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header12.xml" ContentType="application/vnd.openxmlformats-officedocument.wordprocessingml.header+xml"/>
  <Override PartName="/word/footer11.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2.xml" ContentType="application/vnd.openxmlformats-officedocument.wordprocessingml.footer+xml"/>
  <Override PartName="/word/header15.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F9A3F5" w14:textId="3B451707" w:rsidR="00B56D50" w:rsidRDefault="00B56D50" w:rsidP="00572498">
      <w:pPr>
        <w:spacing w:after="0" w:line="259" w:lineRule="auto"/>
        <w:ind w:left="0" w:right="4077" w:firstLine="0"/>
      </w:pPr>
    </w:p>
    <w:p w14:paraId="55236ED9" w14:textId="622491A9" w:rsidR="00B56D50" w:rsidRDefault="00B56D50" w:rsidP="002D1F60">
      <w:pPr>
        <w:spacing w:after="0" w:line="259" w:lineRule="auto"/>
        <w:ind w:left="0" w:right="181" w:firstLine="0"/>
      </w:pPr>
    </w:p>
    <w:p w14:paraId="4B605366" w14:textId="264A0EC5" w:rsidR="00B56D50" w:rsidRDefault="00B56D50" w:rsidP="002D1F60">
      <w:pPr>
        <w:spacing w:after="0" w:line="259" w:lineRule="auto"/>
        <w:ind w:left="0" w:right="181" w:firstLine="0"/>
      </w:pPr>
    </w:p>
    <w:p w14:paraId="437E5BC5" w14:textId="261CDB2A" w:rsidR="00B56D50" w:rsidRDefault="00CE66CA" w:rsidP="00BD6E4F">
      <w:pPr>
        <w:spacing w:after="144" w:line="259" w:lineRule="auto"/>
        <w:ind w:left="0" w:right="205" w:firstLine="0"/>
      </w:pPr>
      <w:r>
        <w:t xml:space="preserve"> </w:t>
      </w:r>
    </w:p>
    <w:p w14:paraId="61935BBF" w14:textId="627AE4AD" w:rsidR="00B56D50" w:rsidRDefault="001C3C42" w:rsidP="00EE598E">
      <w:pPr>
        <w:spacing w:after="0" w:line="259" w:lineRule="auto"/>
        <w:ind w:left="0" w:right="-5"/>
        <w:jc w:val="center"/>
      </w:pPr>
      <w:r>
        <w:rPr>
          <w:b/>
          <w:sz w:val="40"/>
        </w:rPr>
        <w:t>A</w:t>
      </w:r>
      <w:r w:rsidR="00814DC7">
        <w:rPr>
          <w:b/>
          <w:sz w:val="40"/>
        </w:rPr>
        <w:t>ttachment</w:t>
      </w:r>
      <w:r w:rsidR="00F76C45">
        <w:rPr>
          <w:b/>
          <w:sz w:val="40"/>
        </w:rPr>
        <w:t xml:space="preserve"> </w:t>
      </w:r>
      <w:r w:rsidR="00674B6F">
        <w:rPr>
          <w:b/>
          <w:sz w:val="40"/>
        </w:rPr>
        <w:t>P</w:t>
      </w:r>
    </w:p>
    <w:p w14:paraId="6D339DA7" w14:textId="675FEF3E" w:rsidR="00B56D50" w:rsidRDefault="00B56D50" w:rsidP="008E3042">
      <w:pPr>
        <w:spacing w:after="0" w:line="259" w:lineRule="auto"/>
        <w:ind w:left="0" w:right="160" w:firstLine="0"/>
      </w:pPr>
    </w:p>
    <w:p w14:paraId="703405C1" w14:textId="3A48D55D" w:rsidR="00B56D50" w:rsidRDefault="00B56D50" w:rsidP="008E3042">
      <w:pPr>
        <w:spacing w:after="0" w:line="259" w:lineRule="auto"/>
        <w:ind w:left="0" w:right="-5" w:firstLine="0"/>
      </w:pPr>
    </w:p>
    <w:p w14:paraId="153D2BE5" w14:textId="77777777" w:rsidR="00EA3F45" w:rsidRDefault="00EA3F45" w:rsidP="008E3042">
      <w:pPr>
        <w:spacing w:after="0" w:line="259" w:lineRule="auto"/>
        <w:ind w:left="0" w:right="-5" w:firstLine="0"/>
      </w:pPr>
    </w:p>
    <w:p w14:paraId="69ABCECC" w14:textId="4DBE11EA" w:rsidR="00B56D50" w:rsidRDefault="00B56D50" w:rsidP="008E3042">
      <w:pPr>
        <w:spacing w:after="0" w:line="259" w:lineRule="auto"/>
        <w:ind w:left="0" w:right="-5" w:firstLine="0"/>
      </w:pPr>
    </w:p>
    <w:p w14:paraId="700CD3D4" w14:textId="126FC162" w:rsidR="00B56D50" w:rsidRDefault="00B56D50" w:rsidP="008E3042">
      <w:pPr>
        <w:spacing w:after="0" w:line="259" w:lineRule="auto"/>
        <w:ind w:left="0" w:right="-5" w:firstLine="0"/>
      </w:pPr>
    </w:p>
    <w:p w14:paraId="5003AE96" w14:textId="750FF790" w:rsidR="006F5E20" w:rsidRDefault="006F5E20" w:rsidP="008E3042">
      <w:pPr>
        <w:spacing w:after="0" w:line="259" w:lineRule="auto"/>
        <w:ind w:left="0" w:right="-5" w:firstLine="0"/>
      </w:pPr>
    </w:p>
    <w:p w14:paraId="055E3337" w14:textId="2BBB0AD6" w:rsidR="00B56D50" w:rsidRDefault="001C3C42" w:rsidP="002A3235">
      <w:pPr>
        <w:spacing w:after="0" w:line="259" w:lineRule="auto"/>
        <w:ind w:left="0" w:right="160" w:firstLine="0"/>
        <w:jc w:val="center"/>
      </w:pPr>
      <w:r>
        <w:rPr>
          <w:b/>
          <w:sz w:val="40"/>
        </w:rPr>
        <w:t>TECHNICAL SPECIFICATIONS</w:t>
      </w:r>
    </w:p>
    <w:p w14:paraId="09DF7CE1" w14:textId="2E395E4F" w:rsidR="00B56D50" w:rsidRDefault="001C3C42">
      <w:pPr>
        <w:pStyle w:val="Heading1"/>
        <w:ind w:left="218" w:right="472"/>
      </w:pPr>
      <w:bookmarkStart w:id="0" w:name="_Toc68522622"/>
      <w:bookmarkStart w:id="1" w:name="_Toc68522921"/>
      <w:r>
        <w:t>FOR</w:t>
      </w:r>
      <w:bookmarkEnd w:id="0"/>
      <w:bookmarkEnd w:id="1"/>
    </w:p>
    <w:p w14:paraId="5DC68A8B" w14:textId="6909BC42" w:rsidR="00B56D50" w:rsidRDefault="001C3C42">
      <w:pPr>
        <w:spacing w:after="0" w:line="259" w:lineRule="auto"/>
        <w:ind w:left="2475" w:right="0"/>
      </w:pPr>
      <w:r>
        <w:rPr>
          <w:b/>
          <w:sz w:val="40"/>
        </w:rPr>
        <w:t>ANALYTICAL SERVICES</w:t>
      </w:r>
    </w:p>
    <w:p w14:paraId="24BDE94A" w14:textId="060E713E" w:rsidR="00B56D50" w:rsidRDefault="00B56D50">
      <w:pPr>
        <w:spacing w:after="0" w:line="259" w:lineRule="auto"/>
        <w:ind w:left="0" w:right="0" w:firstLine="0"/>
      </w:pPr>
    </w:p>
    <w:p w14:paraId="24AB79DA" w14:textId="27F37F05" w:rsidR="00B56D50" w:rsidRDefault="00B56D50">
      <w:pPr>
        <w:spacing w:after="0" w:line="259" w:lineRule="auto"/>
        <w:ind w:left="0" w:right="0" w:firstLine="0"/>
      </w:pPr>
    </w:p>
    <w:p w14:paraId="616E5BFD" w14:textId="10E6EA18" w:rsidR="00B56D50" w:rsidRDefault="00B56D50">
      <w:pPr>
        <w:spacing w:after="0" w:line="259" w:lineRule="auto"/>
        <w:ind w:left="0" w:right="0" w:firstLine="0"/>
      </w:pPr>
    </w:p>
    <w:p w14:paraId="6626E746" w14:textId="1D7725B4" w:rsidR="00B03522" w:rsidRDefault="00B03522">
      <w:pPr>
        <w:spacing w:after="0" w:line="259" w:lineRule="auto"/>
        <w:ind w:left="0" w:right="0" w:firstLine="0"/>
      </w:pPr>
    </w:p>
    <w:p w14:paraId="34EB22E1" w14:textId="77777777" w:rsidR="00D73986" w:rsidRDefault="00D73986">
      <w:pPr>
        <w:spacing w:after="0" w:line="259" w:lineRule="auto"/>
        <w:ind w:left="0" w:right="0" w:firstLine="0"/>
      </w:pPr>
    </w:p>
    <w:p w14:paraId="0CBA6D28" w14:textId="77777777" w:rsidR="00D73986" w:rsidRDefault="00D73986">
      <w:pPr>
        <w:spacing w:after="0" w:line="259" w:lineRule="auto"/>
        <w:ind w:left="0" w:right="0" w:firstLine="0"/>
      </w:pPr>
    </w:p>
    <w:p w14:paraId="638E0477" w14:textId="1A8FC2CA" w:rsidR="00B56D50" w:rsidRDefault="001C3C42" w:rsidP="002A3235">
      <w:pPr>
        <w:pStyle w:val="Heading1"/>
        <w:ind w:left="14" w:right="0" w:hanging="14"/>
      </w:pPr>
      <w:bookmarkStart w:id="2" w:name="_Toc68522922"/>
      <w:r>
        <w:t>STATE OF INDIANA</w:t>
      </w:r>
      <w:bookmarkEnd w:id="2"/>
    </w:p>
    <w:p w14:paraId="4AF3CA4A" w14:textId="77777777" w:rsidR="0000304A" w:rsidRPr="0000304A" w:rsidRDefault="0000304A" w:rsidP="002A3235"/>
    <w:p w14:paraId="5A4E3414" w14:textId="147AC135" w:rsidR="00B56D50" w:rsidRDefault="001C3C42" w:rsidP="002A3235">
      <w:pPr>
        <w:pStyle w:val="Heading1"/>
        <w:ind w:left="14" w:right="0" w:hanging="14"/>
      </w:pPr>
      <w:bookmarkStart w:id="3" w:name="_Toc68522923"/>
      <w:r>
        <w:t>DEPARTMENT OF ENVIRONMENTAL</w:t>
      </w:r>
      <w:bookmarkEnd w:id="3"/>
    </w:p>
    <w:p w14:paraId="0530BDDC" w14:textId="1C641CF7" w:rsidR="00B56D50" w:rsidRDefault="001C3C42" w:rsidP="00DA2C70">
      <w:pPr>
        <w:pStyle w:val="Heading1"/>
        <w:ind w:left="14" w:right="0" w:hanging="14"/>
      </w:pPr>
      <w:bookmarkStart w:id="4" w:name="_Toc68522924"/>
      <w:r>
        <w:t>MANAGEMENT</w:t>
      </w:r>
      <w:bookmarkEnd w:id="4"/>
    </w:p>
    <w:p w14:paraId="223F2B3D" w14:textId="1C641CF7" w:rsidR="00DA2C70" w:rsidRPr="00DA2C70" w:rsidRDefault="00DA2C70" w:rsidP="002A3235"/>
    <w:p w14:paraId="39F04530" w14:textId="18307555" w:rsidR="00B56D50" w:rsidRDefault="001C3C42" w:rsidP="002A3235">
      <w:pPr>
        <w:pStyle w:val="Heading1"/>
        <w:ind w:left="14" w:right="0" w:hanging="14"/>
      </w:pPr>
      <w:bookmarkStart w:id="5" w:name="_Toc68522925"/>
      <w:r>
        <w:t>OFFICE OF LAND QUALITY</w:t>
      </w:r>
      <w:bookmarkEnd w:id="5"/>
    </w:p>
    <w:p w14:paraId="519B18FB" w14:textId="16120F54" w:rsidR="00B56D50" w:rsidRDefault="00B56D50" w:rsidP="008D15F0">
      <w:pPr>
        <w:pStyle w:val="Heading1"/>
        <w:ind w:left="0"/>
        <w:jc w:val="left"/>
        <w:rPr>
          <w:b w:val="0"/>
          <w:sz w:val="22"/>
        </w:rPr>
      </w:pPr>
    </w:p>
    <w:p w14:paraId="07D2610A" w14:textId="77777777" w:rsidR="008D15F0" w:rsidRDefault="008D15F0" w:rsidP="008D15F0"/>
    <w:p w14:paraId="461A2728" w14:textId="237D089F" w:rsidR="00B56D50" w:rsidRDefault="00B56D50" w:rsidP="008D15F0"/>
    <w:p w14:paraId="0570AC04" w14:textId="77777777" w:rsidR="00421FAE" w:rsidRDefault="00421FAE" w:rsidP="008D15F0"/>
    <w:p w14:paraId="3313295D" w14:textId="77777777" w:rsidR="00421FAE" w:rsidRDefault="00421FAE" w:rsidP="008D15F0"/>
    <w:p w14:paraId="4298F239" w14:textId="77777777" w:rsidR="00421FAE" w:rsidRDefault="00421FAE" w:rsidP="008D15F0"/>
    <w:p w14:paraId="014C6537" w14:textId="77777777" w:rsidR="00E8538D" w:rsidRDefault="00E8538D" w:rsidP="008D15F0"/>
    <w:p w14:paraId="51DBAD65" w14:textId="42D0B369" w:rsidR="00E8538D" w:rsidRDefault="00E8538D" w:rsidP="008D15F0"/>
    <w:p w14:paraId="5B7F96C3" w14:textId="77777777" w:rsidR="0007719B" w:rsidRDefault="0007719B" w:rsidP="008D15F0"/>
    <w:p w14:paraId="6540AD5E" w14:textId="77777777" w:rsidR="008D15F0" w:rsidRDefault="008D15F0" w:rsidP="008D15F0"/>
    <w:p w14:paraId="2446444D" w14:textId="77777777" w:rsidR="00E8538D" w:rsidRDefault="00E8538D" w:rsidP="008D15F0"/>
    <w:p w14:paraId="286CDFFF" w14:textId="77777777" w:rsidR="00E8538D" w:rsidRDefault="00E8538D" w:rsidP="008D15F0"/>
    <w:p w14:paraId="5F5FE670" w14:textId="77777777" w:rsidR="00421FAE" w:rsidRPr="008D15F0" w:rsidRDefault="00421FAE" w:rsidP="008D15F0"/>
    <w:p w14:paraId="42B1BBA3" w14:textId="77777777" w:rsidR="00851357" w:rsidRDefault="00851357" w:rsidP="008D15F0">
      <w:pPr>
        <w:spacing w:after="14" w:line="248" w:lineRule="auto"/>
        <w:ind w:left="0" w:right="1283"/>
        <w:rPr>
          <w:b/>
        </w:rPr>
      </w:pPr>
    </w:p>
    <w:p w14:paraId="0FA60686" w14:textId="00914064" w:rsidR="00174CA3" w:rsidRDefault="001C3C42">
      <w:pPr>
        <w:spacing w:after="14" w:line="248" w:lineRule="auto"/>
        <w:ind w:left="1024" w:right="1283"/>
        <w:jc w:val="center"/>
        <w:rPr>
          <w:b/>
        </w:rPr>
      </w:pPr>
      <w:r>
        <w:rPr>
          <w:b/>
        </w:rPr>
        <w:lastRenderedPageBreak/>
        <w:t xml:space="preserve">TECHNICAL SPECIFICATIONS FOR ANALYTICAL SERVICES </w:t>
      </w:r>
    </w:p>
    <w:p w14:paraId="48447462" w14:textId="11D0BB16" w:rsidR="00B56D50" w:rsidRDefault="001C3C42">
      <w:pPr>
        <w:spacing w:after="14" w:line="248" w:lineRule="auto"/>
        <w:ind w:left="1024" w:right="1283"/>
        <w:jc w:val="center"/>
      </w:pPr>
      <w:r>
        <w:rPr>
          <w:b/>
        </w:rPr>
        <w:t xml:space="preserve">IDEM OFFICE OF LAND QUALITY (OLQ) </w:t>
      </w:r>
    </w:p>
    <w:p w14:paraId="0531AF9E" w14:textId="77777777" w:rsidR="00B56D50" w:rsidRDefault="001C3C42">
      <w:pPr>
        <w:spacing w:after="0" w:line="259" w:lineRule="auto"/>
        <w:ind w:left="0" w:right="205" w:firstLine="0"/>
        <w:jc w:val="center"/>
      </w:pPr>
      <w:r>
        <w:rPr>
          <w:b/>
        </w:rPr>
        <w:t xml:space="preserve"> </w:t>
      </w:r>
    </w:p>
    <w:p w14:paraId="5E2AF5F8" w14:textId="77777777" w:rsidR="00B56D50" w:rsidRDefault="001C3C42">
      <w:pPr>
        <w:pStyle w:val="Heading2"/>
        <w:spacing w:after="14" w:line="248" w:lineRule="auto"/>
        <w:ind w:left="1024" w:right="1275"/>
        <w:jc w:val="center"/>
      </w:pPr>
      <w:bookmarkStart w:id="6" w:name="_Toc68522926"/>
      <w:r>
        <w:rPr>
          <w:sz w:val="22"/>
        </w:rPr>
        <w:t>TABLE OF CONTENTS</w:t>
      </w:r>
      <w:bookmarkEnd w:id="6"/>
      <w:r>
        <w:rPr>
          <w:sz w:val="22"/>
        </w:rPr>
        <w:t xml:space="preserve"> </w:t>
      </w:r>
    </w:p>
    <w:p w14:paraId="2D697648" w14:textId="77777777" w:rsidR="009F264B" w:rsidRDefault="001C3C42" w:rsidP="00606BBD">
      <w:pPr>
        <w:spacing w:after="0" w:line="240" w:lineRule="auto"/>
        <w:ind w:left="0" w:right="205" w:firstLine="0"/>
      </w:pPr>
      <w:r>
        <w:rPr>
          <w:b/>
        </w:rPr>
        <w:t xml:space="preserve"> </w:t>
      </w:r>
    </w:p>
    <w:p w14:paraId="312B266D" w14:textId="7F806BBF" w:rsidR="00B56D50" w:rsidRDefault="007C413F" w:rsidP="00D67FC4">
      <w:pPr>
        <w:pStyle w:val="TOC1"/>
        <w:tabs>
          <w:tab w:val="clear" w:pos="10192"/>
        </w:tabs>
      </w:pPr>
      <w:r>
        <w:t>OVERVIEW</w:t>
      </w:r>
      <w:r w:rsidR="00D67FC4">
        <w:tab/>
      </w:r>
      <w:r w:rsidR="00D67FC4">
        <w:tab/>
      </w:r>
      <w:r w:rsidR="00D67FC4">
        <w:tab/>
      </w:r>
      <w:r w:rsidR="00D67FC4">
        <w:tab/>
      </w:r>
      <w:r w:rsidR="00D67FC4">
        <w:tab/>
      </w:r>
      <w:r w:rsidR="00D67FC4">
        <w:tab/>
      </w:r>
      <w:r w:rsidR="00D67FC4">
        <w:tab/>
      </w:r>
      <w:r w:rsidR="00D67FC4">
        <w:tab/>
      </w:r>
      <w:r w:rsidR="00D67FC4">
        <w:tab/>
      </w:r>
      <w:r w:rsidR="00D67FC4">
        <w:tab/>
      </w:r>
      <w:r w:rsidR="001029CB">
        <w:t xml:space="preserve">  </w:t>
      </w:r>
      <w:r w:rsidR="00E97F10">
        <w:t xml:space="preserve"> </w:t>
      </w:r>
      <w:r w:rsidR="00D67FC4">
        <w:t>3</w:t>
      </w:r>
    </w:p>
    <w:p w14:paraId="22D06B0C" w14:textId="77777777" w:rsidR="0041130E" w:rsidRPr="0041130E" w:rsidRDefault="0041130E" w:rsidP="0041130E"/>
    <w:p w14:paraId="7289F0D8" w14:textId="31F51501" w:rsidR="002A1C80" w:rsidRDefault="002A1C80" w:rsidP="00093377">
      <w:pPr>
        <w:pStyle w:val="ListParagraph"/>
        <w:numPr>
          <w:ilvl w:val="0"/>
          <w:numId w:val="64"/>
        </w:numPr>
        <w:spacing w:line="240" w:lineRule="auto"/>
        <w:ind w:left="706"/>
      </w:pPr>
      <w:r>
        <w:t>DEFINITIONS OF TERMS AND ACRONYMS</w:t>
      </w:r>
      <w:r w:rsidR="00D67FC4">
        <w:tab/>
      </w:r>
      <w:r w:rsidR="00D67FC4">
        <w:tab/>
      </w:r>
      <w:r w:rsidR="00D67FC4">
        <w:tab/>
      </w:r>
      <w:r w:rsidR="00D67FC4">
        <w:tab/>
      </w:r>
      <w:r w:rsidR="00D67FC4">
        <w:tab/>
      </w:r>
      <w:r w:rsidR="00D67FC4">
        <w:tab/>
      </w:r>
      <w:r w:rsidR="001029CB">
        <w:t xml:space="preserve">  </w:t>
      </w:r>
      <w:r w:rsidR="00E97F10">
        <w:t xml:space="preserve"> </w:t>
      </w:r>
      <w:r w:rsidR="00D67FC4">
        <w:t>4</w:t>
      </w:r>
    </w:p>
    <w:p w14:paraId="263A8893" w14:textId="77777777" w:rsidR="00777A31" w:rsidRDefault="00777A31" w:rsidP="00606BBD">
      <w:pPr>
        <w:pStyle w:val="ListParagraph"/>
        <w:spacing w:line="240" w:lineRule="auto"/>
        <w:ind w:left="710" w:firstLine="0"/>
      </w:pPr>
    </w:p>
    <w:p w14:paraId="1EAD97EF" w14:textId="094AE4B4" w:rsidR="002A1C80" w:rsidRDefault="003313CD" w:rsidP="00093377">
      <w:pPr>
        <w:pStyle w:val="ListParagraph"/>
        <w:numPr>
          <w:ilvl w:val="0"/>
          <w:numId w:val="64"/>
        </w:numPr>
        <w:spacing w:line="240" w:lineRule="auto"/>
      </w:pPr>
      <w:r>
        <w:t>PROTOCOL ANALYTE LIST</w:t>
      </w:r>
      <w:r w:rsidR="00E50096">
        <w:t>S</w:t>
      </w:r>
      <w:r w:rsidR="00D67FC4">
        <w:tab/>
      </w:r>
      <w:r w:rsidR="00D67FC4">
        <w:tab/>
      </w:r>
      <w:r w:rsidR="00D67FC4">
        <w:tab/>
      </w:r>
      <w:r w:rsidR="00D67FC4">
        <w:tab/>
      </w:r>
      <w:r w:rsidR="00D67FC4">
        <w:tab/>
      </w:r>
      <w:r w:rsidR="00D67FC4">
        <w:tab/>
      </w:r>
      <w:r w:rsidR="001029CB">
        <w:tab/>
      </w:r>
      <w:r w:rsidR="00E97F10">
        <w:t xml:space="preserve"> </w:t>
      </w:r>
      <w:r w:rsidR="001029CB">
        <w:t>1</w:t>
      </w:r>
      <w:r w:rsidR="00A165D5">
        <w:t>3</w:t>
      </w:r>
    </w:p>
    <w:p w14:paraId="731038F3" w14:textId="56F1918A" w:rsidR="003313CD" w:rsidRDefault="006F75FC" w:rsidP="00093377">
      <w:pPr>
        <w:pStyle w:val="ListParagraph"/>
        <w:numPr>
          <w:ilvl w:val="0"/>
          <w:numId w:val="65"/>
        </w:numPr>
        <w:spacing w:line="240" w:lineRule="auto"/>
      </w:pPr>
      <w:r>
        <w:t xml:space="preserve">USEPA </w:t>
      </w:r>
      <w:r w:rsidR="003313CD">
        <w:t>SW-</w:t>
      </w:r>
      <w:r w:rsidR="008E3D07">
        <w:t>846</w:t>
      </w:r>
      <w:r w:rsidR="00765E34">
        <w:t xml:space="preserve"> </w:t>
      </w:r>
      <w:r w:rsidR="00633DAA">
        <w:t>PRO</w:t>
      </w:r>
      <w:r w:rsidR="00A12F3B">
        <w:t>TOCOL</w:t>
      </w:r>
      <w:r w:rsidR="00EA3A6F">
        <w:t>S</w:t>
      </w:r>
      <w:r w:rsidR="00A12F3B">
        <w:t xml:space="preserve"> </w:t>
      </w:r>
      <w:r>
        <w:t>(</w:t>
      </w:r>
      <w:r w:rsidR="00E6519E">
        <w:t xml:space="preserve">plus </w:t>
      </w:r>
      <w:r w:rsidR="00765E34">
        <w:t>SAS</w:t>
      </w:r>
      <w:r w:rsidR="00E6519E">
        <w:t xml:space="preserve"> </w:t>
      </w:r>
      <w:r w:rsidR="00A12F3B">
        <w:t>GROUPS</w:t>
      </w:r>
      <w:r w:rsidR="00EF7AEA">
        <w:t>)</w:t>
      </w:r>
    </w:p>
    <w:p w14:paraId="0B5A5966" w14:textId="092D8416" w:rsidR="003313CD" w:rsidRDefault="00936919" w:rsidP="00093377">
      <w:pPr>
        <w:pStyle w:val="ListParagraph"/>
        <w:numPr>
          <w:ilvl w:val="0"/>
          <w:numId w:val="65"/>
        </w:numPr>
        <w:spacing w:line="240" w:lineRule="auto"/>
      </w:pPr>
      <w:r>
        <w:t>USEPA DRINKING WATER</w:t>
      </w:r>
      <w:r w:rsidR="00F634CA">
        <w:t xml:space="preserve"> </w:t>
      </w:r>
      <w:r w:rsidR="00557A2B">
        <w:t>PROTOCOL</w:t>
      </w:r>
      <w:r w:rsidR="006F75FC">
        <w:t>S</w:t>
      </w:r>
      <w:r w:rsidR="00557A2B">
        <w:t xml:space="preserve"> </w:t>
      </w:r>
      <w:r w:rsidR="006F75FC">
        <w:t>(</w:t>
      </w:r>
      <w:r w:rsidR="00672917">
        <w:t>p</w:t>
      </w:r>
      <w:r w:rsidR="004076D6">
        <w:t>lus SAS G</w:t>
      </w:r>
      <w:r w:rsidR="00557A2B">
        <w:t>ROUPS</w:t>
      </w:r>
      <w:r w:rsidR="00FF5944">
        <w:t>)</w:t>
      </w:r>
      <w:r w:rsidR="00EF7AEA">
        <w:t xml:space="preserve"> </w:t>
      </w:r>
    </w:p>
    <w:p w14:paraId="7C23CD96" w14:textId="7ADA40BC" w:rsidR="00936919" w:rsidRDefault="00936919" w:rsidP="00093377">
      <w:pPr>
        <w:pStyle w:val="ListParagraph"/>
        <w:numPr>
          <w:ilvl w:val="0"/>
          <w:numId w:val="65"/>
        </w:numPr>
        <w:spacing w:line="240" w:lineRule="auto"/>
      </w:pPr>
      <w:r>
        <w:t>USEPA AIR</w:t>
      </w:r>
      <w:r w:rsidR="00656208">
        <w:t xml:space="preserve"> </w:t>
      </w:r>
      <w:r w:rsidR="00EA3A6F">
        <w:t>PROTOCOLS</w:t>
      </w:r>
    </w:p>
    <w:p w14:paraId="229ECA33" w14:textId="0D1C6D57" w:rsidR="007A3782" w:rsidRDefault="00BA004C" w:rsidP="00093377">
      <w:pPr>
        <w:pStyle w:val="ListParagraph"/>
        <w:numPr>
          <w:ilvl w:val="0"/>
          <w:numId w:val="65"/>
        </w:numPr>
        <w:spacing w:line="240" w:lineRule="auto"/>
      </w:pPr>
      <w:r>
        <w:t xml:space="preserve">ADDITIONAL </w:t>
      </w:r>
      <w:r w:rsidR="007A3782">
        <w:t>SPECIAL ANALYTICAL SERVICES (SAS)</w:t>
      </w:r>
    </w:p>
    <w:p w14:paraId="2AFD7F5A" w14:textId="0F683DCB" w:rsidR="007A3782" w:rsidRDefault="007A3782" w:rsidP="00093377">
      <w:pPr>
        <w:pStyle w:val="ListParagraph"/>
        <w:numPr>
          <w:ilvl w:val="0"/>
          <w:numId w:val="65"/>
        </w:numPr>
        <w:spacing w:line="240" w:lineRule="auto"/>
      </w:pPr>
      <w:r>
        <w:t>ADDITIONAL ANALYTICAL SERVICES</w:t>
      </w:r>
      <w:r w:rsidR="009936C2">
        <w:t xml:space="preserve"> (AAS)</w:t>
      </w:r>
    </w:p>
    <w:p w14:paraId="66AFE025" w14:textId="0E4A9CCF" w:rsidR="001C3FC2" w:rsidRDefault="00EC59F4" w:rsidP="00093377">
      <w:pPr>
        <w:pStyle w:val="ListParagraph"/>
        <w:numPr>
          <w:ilvl w:val="0"/>
          <w:numId w:val="65"/>
        </w:numPr>
        <w:spacing w:line="240" w:lineRule="auto"/>
      </w:pPr>
      <w:r>
        <w:t xml:space="preserve">USEPA </w:t>
      </w:r>
      <w:r w:rsidR="00D230F1">
        <w:t>PFAS</w:t>
      </w:r>
      <w:r w:rsidR="005C7B7D">
        <w:t xml:space="preserve"> </w:t>
      </w:r>
      <w:r w:rsidR="00B43D4F">
        <w:t>PROTOCOL</w:t>
      </w:r>
      <w:r>
        <w:t>S</w:t>
      </w:r>
    </w:p>
    <w:p w14:paraId="191AF0BE" w14:textId="77777777" w:rsidR="001133F0" w:rsidRDefault="001133F0" w:rsidP="00606BBD">
      <w:pPr>
        <w:pStyle w:val="ListParagraph"/>
        <w:spacing w:line="240" w:lineRule="auto"/>
        <w:ind w:left="1070" w:firstLine="0"/>
      </w:pPr>
    </w:p>
    <w:p w14:paraId="762CCF68" w14:textId="306D7B82" w:rsidR="000131CC" w:rsidRDefault="0038336C" w:rsidP="00093377">
      <w:pPr>
        <w:pStyle w:val="ListParagraph"/>
        <w:numPr>
          <w:ilvl w:val="0"/>
          <w:numId w:val="64"/>
        </w:numPr>
        <w:spacing w:line="240" w:lineRule="auto"/>
      </w:pPr>
      <w:r>
        <w:t>SAMPLE CONTAINERS, PRESERVATIVES AND HOLDING TIMES</w:t>
      </w:r>
      <w:r w:rsidR="001029CB">
        <w:tab/>
      </w:r>
      <w:r w:rsidR="001029CB">
        <w:tab/>
      </w:r>
      <w:r w:rsidR="001029CB">
        <w:tab/>
      </w:r>
      <w:r w:rsidR="00CC01E4">
        <w:t>5</w:t>
      </w:r>
      <w:r w:rsidR="002D608C">
        <w:t>9</w:t>
      </w:r>
    </w:p>
    <w:p w14:paraId="0F2107C0" w14:textId="77777777" w:rsidR="001133F0" w:rsidRDefault="001133F0" w:rsidP="00606BBD">
      <w:pPr>
        <w:pStyle w:val="ListParagraph"/>
        <w:spacing w:line="240" w:lineRule="auto"/>
        <w:ind w:left="710" w:firstLine="0"/>
      </w:pPr>
    </w:p>
    <w:p w14:paraId="25CE0CA9" w14:textId="684BF3A4" w:rsidR="00A16BD7" w:rsidRDefault="00675312" w:rsidP="00093377">
      <w:pPr>
        <w:pStyle w:val="ListParagraph"/>
        <w:numPr>
          <w:ilvl w:val="0"/>
          <w:numId w:val="64"/>
        </w:numPr>
        <w:spacing w:line="240" w:lineRule="auto"/>
      </w:pPr>
      <w:r>
        <w:t>REPORTING REQUIREMENTS</w:t>
      </w:r>
      <w:r w:rsidR="00E97F10">
        <w:tab/>
      </w:r>
      <w:r w:rsidR="00E97F10">
        <w:tab/>
      </w:r>
      <w:r w:rsidR="00E97F10">
        <w:tab/>
      </w:r>
      <w:r w:rsidR="00E97F10">
        <w:tab/>
      </w:r>
      <w:r w:rsidR="00E97F10">
        <w:tab/>
      </w:r>
      <w:r w:rsidR="00E97F10">
        <w:tab/>
      </w:r>
      <w:r w:rsidR="00E97F10">
        <w:tab/>
      </w:r>
      <w:r w:rsidR="00CC01E4">
        <w:t>67</w:t>
      </w:r>
    </w:p>
    <w:p w14:paraId="3590C593" w14:textId="77777777" w:rsidR="001133F0" w:rsidRDefault="001133F0" w:rsidP="00606BBD">
      <w:pPr>
        <w:pStyle w:val="ListParagraph"/>
        <w:spacing w:line="240" w:lineRule="auto"/>
        <w:ind w:left="710" w:firstLine="0"/>
      </w:pPr>
    </w:p>
    <w:p w14:paraId="369C203F" w14:textId="13F34F58" w:rsidR="00675312" w:rsidRDefault="00675312" w:rsidP="00093377">
      <w:pPr>
        <w:pStyle w:val="ListParagraph"/>
        <w:numPr>
          <w:ilvl w:val="0"/>
          <w:numId w:val="64"/>
        </w:numPr>
        <w:spacing w:line="240" w:lineRule="auto"/>
      </w:pPr>
      <w:r>
        <w:t>DELIVERABLES LIST</w:t>
      </w:r>
      <w:r w:rsidR="00E97F10">
        <w:tab/>
      </w:r>
      <w:r w:rsidR="00E97F10">
        <w:tab/>
      </w:r>
      <w:r w:rsidR="00E97F10">
        <w:tab/>
      </w:r>
      <w:r w:rsidR="00E97F10">
        <w:tab/>
      </w:r>
      <w:r w:rsidR="00E97F10">
        <w:tab/>
      </w:r>
      <w:r w:rsidR="00E97F10">
        <w:tab/>
      </w:r>
      <w:r w:rsidR="00E97F10">
        <w:tab/>
      </w:r>
      <w:r w:rsidR="00E97F10">
        <w:tab/>
      </w:r>
      <w:r w:rsidR="00E97F10">
        <w:tab/>
      </w:r>
      <w:r w:rsidR="00CC01E4">
        <w:t>70</w:t>
      </w:r>
    </w:p>
    <w:p w14:paraId="65566CE3" w14:textId="77777777" w:rsidR="001133F0" w:rsidRDefault="001133F0" w:rsidP="00606BBD">
      <w:pPr>
        <w:pStyle w:val="ListParagraph"/>
        <w:spacing w:line="240" w:lineRule="auto"/>
      </w:pPr>
    </w:p>
    <w:p w14:paraId="6B0068BC" w14:textId="27EC243F" w:rsidR="00675312" w:rsidRDefault="003812DB" w:rsidP="00093377">
      <w:pPr>
        <w:pStyle w:val="ListParagraph"/>
        <w:numPr>
          <w:ilvl w:val="0"/>
          <w:numId w:val="64"/>
        </w:numPr>
        <w:spacing w:line="240" w:lineRule="auto"/>
      </w:pPr>
      <w:r>
        <w:t xml:space="preserve">TURNAROUND TIMES FOR </w:t>
      </w:r>
      <w:r w:rsidR="00F97F41">
        <w:t>DELIVERY</w:t>
      </w:r>
      <w:r>
        <w:t xml:space="preserve"> OF </w:t>
      </w:r>
      <w:r w:rsidR="00A70255">
        <w:t>ANALYTICAL REPORTS</w:t>
      </w:r>
      <w:r w:rsidR="00E97F10">
        <w:tab/>
      </w:r>
      <w:r w:rsidR="00E97F10">
        <w:tab/>
      </w:r>
      <w:r w:rsidR="00CC01E4">
        <w:t>84</w:t>
      </w:r>
    </w:p>
    <w:p w14:paraId="6AC4A4ED" w14:textId="77777777" w:rsidR="001133F0" w:rsidRDefault="001133F0" w:rsidP="00606BBD">
      <w:pPr>
        <w:pStyle w:val="ListParagraph"/>
        <w:spacing w:line="240" w:lineRule="auto"/>
      </w:pPr>
    </w:p>
    <w:p w14:paraId="34A62071" w14:textId="4E19536C" w:rsidR="00A70255" w:rsidRDefault="00935D48" w:rsidP="00093377">
      <w:pPr>
        <w:pStyle w:val="ListParagraph"/>
        <w:numPr>
          <w:ilvl w:val="0"/>
          <w:numId w:val="64"/>
        </w:numPr>
        <w:spacing w:line="240" w:lineRule="auto"/>
      </w:pPr>
      <w:r>
        <w:t>EXAMPLE</w:t>
      </w:r>
      <w:r w:rsidR="00110DC6">
        <w:t>S</w:t>
      </w:r>
      <w:r>
        <w:t xml:space="preserve"> OF QC </w:t>
      </w:r>
      <w:r w:rsidR="001C2681">
        <w:t>SUMMARY REPORTING FORMS</w:t>
      </w:r>
      <w:r w:rsidR="00E97F10">
        <w:tab/>
      </w:r>
      <w:r w:rsidR="00294E3E">
        <w:tab/>
      </w:r>
      <w:r w:rsidR="00294E3E">
        <w:tab/>
      </w:r>
      <w:r w:rsidR="00294E3E">
        <w:tab/>
      </w:r>
      <w:r w:rsidR="00CC01E4">
        <w:t>85</w:t>
      </w:r>
    </w:p>
    <w:p w14:paraId="284A2C2B" w14:textId="77777777" w:rsidR="00825A81" w:rsidRDefault="00825A81" w:rsidP="00606BBD">
      <w:pPr>
        <w:pStyle w:val="ListParagraph"/>
        <w:spacing w:line="240" w:lineRule="auto"/>
        <w:ind w:left="710" w:firstLine="0"/>
      </w:pPr>
    </w:p>
    <w:p w14:paraId="19ABCF60" w14:textId="2FEDE5D0" w:rsidR="001C2681" w:rsidRDefault="001C2681" w:rsidP="00093377">
      <w:pPr>
        <w:pStyle w:val="ListParagraph"/>
        <w:numPr>
          <w:ilvl w:val="0"/>
          <w:numId w:val="64"/>
        </w:numPr>
        <w:spacing w:line="240" w:lineRule="auto"/>
      </w:pPr>
      <w:r>
        <w:t>PAYMENT FOR ANALYTICAL SERVICES</w:t>
      </w:r>
      <w:r w:rsidR="00294E3E">
        <w:tab/>
      </w:r>
      <w:r w:rsidR="00294E3E">
        <w:tab/>
      </w:r>
      <w:r w:rsidR="00294E3E">
        <w:tab/>
      </w:r>
      <w:r w:rsidR="00294E3E">
        <w:tab/>
      </w:r>
      <w:r w:rsidR="00294E3E">
        <w:tab/>
      </w:r>
      <w:r w:rsidR="00294E3E">
        <w:tab/>
      </w:r>
      <w:r w:rsidR="00CC01E4">
        <w:t>86</w:t>
      </w:r>
    </w:p>
    <w:p w14:paraId="23A76F5E" w14:textId="77777777" w:rsidR="00825A81" w:rsidRDefault="00825A81" w:rsidP="00606BBD">
      <w:pPr>
        <w:pStyle w:val="ListParagraph"/>
        <w:spacing w:line="240" w:lineRule="auto"/>
      </w:pPr>
    </w:p>
    <w:p w14:paraId="29E81D3E" w14:textId="7EA58319" w:rsidR="001C2681" w:rsidRDefault="00286694" w:rsidP="00093377">
      <w:pPr>
        <w:pStyle w:val="ListParagraph"/>
        <w:numPr>
          <w:ilvl w:val="0"/>
          <w:numId w:val="64"/>
        </w:numPr>
        <w:spacing w:line="240" w:lineRule="auto"/>
      </w:pPr>
      <w:r>
        <w:t>PERSONNEL REQUIREMENTS</w:t>
      </w:r>
      <w:r w:rsidR="00294E3E">
        <w:tab/>
      </w:r>
      <w:r w:rsidR="00294E3E">
        <w:tab/>
      </w:r>
      <w:r w:rsidR="00294E3E">
        <w:tab/>
      </w:r>
      <w:r w:rsidR="00294E3E">
        <w:tab/>
      </w:r>
      <w:r w:rsidR="00294E3E">
        <w:tab/>
      </w:r>
      <w:r w:rsidR="00294E3E">
        <w:tab/>
      </w:r>
      <w:r w:rsidR="00294E3E">
        <w:tab/>
      </w:r>
      <w:r w:rsidR="00CC01E4">
        <w:t>88</w:t>
      </w:r>
    </w:p>
    <w:p w14:paraId="367E1C95" w14:textId="77777777" w:rsidR="00825A81" w:rsidRDefault="00825A81" w:rsidP="00606BBD">
      <w:pPr>
        <w:pStyle w:val="ListParagraph"/>
        <w:spacing w:line="240" w:lineRule="auto"/>
        <w:ind w:left="710" w:firstLine="0"/>
      </w:pPr>
    </w:p>
    <w:p w14:paraId="11BCABFD" w14:textId="6EE2820B" w:rsidR="00286694" w:rsidRDefault="00286694" w:rsidP="00093377">
      <w:pPr>
        <w:pStyle w:val="ListParagraph"/>
        <w:numPr>
          <w:ilvl w:val="0"/>
          <w:numId w:val="64"/>
        </w:numPr>
        <w:spacing w:line="240" w:lineRule="auto"/>
      </w:pPr>
      <w:r>
        <w:t>GENERAL TECHNICAL REQUIREMENTS</w:t>
      </w:r>
      <w:r w:rsidR="00294E3E">
        <w:tab/>
      </w:r>
      <w:r w:rsidR="00294E3E">
        <w:tab/>
      </w:r>
      <w:r w:rsidR="00294E3E">
        <w:tab/>
      </w:r>
      <w:r w:rsidR="00294E3E">
        <w:tab/>
      </w:r>
      <w:r w:rsidR="00294E3E">
        <w:tab/>
      </w:r>
      <w:r w:rsidR="00294E3E">
        <w:tab/>
      </w:r>
      <w:r w:rsidR="00A7131F">
        <w:t>90</w:t>
      </w:r>
    </w:p>
    <w:p w14:paraId="393718F8" w14:textId="77777777" w:rsidR="00825A81" w:rsidRDefault="00825A81" w:rsidP="00606BBD">
      <w:pPr>
        <w:pStyle w:val="ListParagraph"/>
        <w:spacing w:line="240" w:lineRule="auto"/>
      </w:pPr>
    </w:p>
    <w:p w14:paraId="1384898F" w14:textId="798FE9CC" w:rsidR="00286694" w:rsidRDefault="00F607F8" w:rsidP="00093377">
      <w:pPr>
        <w:pStyle w:val="ListParagraph"/>
        <w:numPr>
          <w:ilvl w:val="0"/>
          <w:numId w:val="64"/>
        </w:numPr>
        <w:spacing w:line="240" w:lineRule="auto"/>
      </w:pPr>
      <w:r>
        <w:t xml:space="preserve">USEPA </w:t>
      </w:r>
      <w:r w:rsidR="00884F20">
        <w:t>SW</w:t>
      </w:r>
      <w:r w:rsidR="00D007CC">
        <w:t xml:space="preserve">846 </w:t>
      </w:r>
      <w:r w:rsidR="004B2DE1">
        <w:t>ANALYTICAL AND QA/QC REQUIREMENTS</w:t>
      </w:r>
      <w:r w:rsidR="00294E3E">
        <w:tab/>
      </w:r>
      <w:r w:rsidR="00294E3E">
        <w:tab/>
      </w:r>
      <w:r w:rsidR="008970E4">
        <w:tab/>
      </w:r>
      <w:r w:rsidR="00A7131F">
        <w:t>92</w:t>
      </w:r>
    </w:p>
    <w:p w14:paraId="68EB624D" w14:textId="77777777" w:rsidR="00825A81" w:rsidRDefault="00825A81" w:rsidP="00606BBD">
      <w:pPr>
        <w:pStyle w:val="ListParagraph"/>
        <w:spacing w:line="240" w:lineRule="auto"/>
        <w:ind w:left="710" w:firstLine="0"/>
      </w:pPr>
    </w:p>
    <w:p w14:paraId="71F67B27" w14:textId="5879C689" w:rsidR="004B2DE1" w:rsidRDefault="007E1BFD" w:rsidP="00093377">
      <w:pPr>
        <w:pStyle w:val="ListParagraph"/>
        <w:numPr>
          <w:ilvl w:val="0"/>
          <w:numId w:val="64"/>
        </w:numPr>
        <w:spacing w:line="240" w:lineRule="auto"/>
      </w:pPr>
      <w:r>
        <w:t xml:space="preserve">USEPA DRINKING WATER </w:t>
      </w:r>
      <w:r w:rsidR="001D03EC">
        <w:t>ANALYTICAL AND QA/QC REQUIREMENTS</w:t>
      </w:r>
      <w:r w:rsidR="00294E3E">
        <w:tab/>
        <w:t xml:space="preserve">           </w:t>
      </w:r>
      <w:r w:rsidR="00A7131F">
        <w:t>15</w:t>
      </w:r>
      <w:r w:rsidR="00E00E21">
        <w:t>7</w:t>
      </w:r>
    </w:p>
    <w:p w14:paraId="4EBB3FE2" w14:textId="77777777" w:rsidR="00825A81" w:rsidRDefault="00825A81" w:rsidP="00606BBD">
      <w:pPr>
        <w:pStyle w:val="ListParagraph"/>
        <w:spacing w:line="240" w:lineRule="auto"/>
      </w:pPr>
    </w:p>
    <w:p w14:paraId="54E82A0A" w14:textId="6DFCAACB" w:rsidR="007E1BFD" w:rsidRDefault="00D87674" w:rsidP="00093377">
      <w:pPr>
        <w:pStyle w:val="ListParagraph"/>
        <w:numPr>
          <w:ilvl w:val="0"/>
          <w:numId w:val="64"/>
        </w:numPr>
        <w:spacing w:line="240" w:lineRule="auto"/>
      </w:pPr>
      <w:r>
        <w:t xml:space="preserve">USEPA AIR </w:t>
      </w:r>
      <w:r w:rsidR="008C4CED" w:rsidRPr="008C4CED">
        <w:t>ANALYTICAL AND QA/QC REQUIREMENTS</w:t>
      </w:r>
      <w:r w:rsidR="00294E3E">
        <w:tab/>
      </w:r>
      <w:r w:rsidR="00294E3E">
        <w:tab/>
      </w:r>
      <w:r w:rsidR="00294E3E">
        <w:tab/>
        <w:t xml:space="preserve">          </w:t>
      </w:r>
      <w:r w:rsidR="00CA2E4A">
        <w:t xml:space="preserve"> </w:t>
      </w:r>
      <w:r w:rsidR="00A7131F">
        <w:t>15</w:t>
      </w:r>
      <w:r w:rsidR="00E00E21">
        <w:t>8</w:t>
      </w:r>
    </w:p>
    <w:p w14:paraId="0FC8C2D4" w14:textId="77777777" w:rsidR="00294C10" w:rsidRDefault="00294C10" w:rsidP="00294C10">
      <w:pPr>
        <w:pStyle w:val="ListParagraph"/>
        <w:spacing w:line="240" w:lineRule="auto"/>
        <w:ind w:left="710" w:firstLine="0"/>
      </w:pPr>
    </w:p>
    <w:p w14:paraId="3C5E4105" w14:textId="75C07120" w:rsidR="00294C10" w:rsidRDefault="000C7D29" w:rsidP="00093377">
      <w:pPr>
        <w:pStyle w:val="ListParagraph"/>
        <w:numPr>
          <w:ilvl w:val="0"/>
          <w:numId w:val="64"/>
        </w:numPr>
        <w:spacing w:line="240" w:lineRule="auto"/>
      </w:pPr>
      <w:r>
        <w:t xml:space="preserve">USEPA PFAS </w:t>
      </w:r>
      <w:r w:rsidR="008C4CED">
        <w:t>ANALYTICAL AND QA/QC REQUIREMENTS</w:t>
      </w:r>
      <w:r w:rsidR="00226751">
        <w:tab/>
      </w:r>
      <w:r w:rsidR="00226751">
        <w:tab/>
        <w:t xml:space="preserve">           </w:t>
      </w:r>
      <w:r w:rsidR="004E1C88">
        <w:t>16</w:t>
      </w:r>
      <w:r w:rsidR="00E00E21">
        <w:t>3</w:t>
      </w:r>
    </w:p>
    <w:p w14:paraId="1F4AD860" w14:textId="10887F5C" w:rsidR="00F44C62" w:rsidRDefault="00F44C62" w:rsidP="00606BBD">
      <w:pPr>
        <w:pStyle w:val="ListParagraph"/>
        <w:spacing w:line="240" w:lineRule="auto"/>
        <w:ind w:left="710" w:firstLine="0"/>
      </w:pPr>
    </w:p>
    <w:p w14:paraId="3F3665E3" w14:textId="77777777" w:rsidR="00F44C62" w:rsidRPr="002A1C80" w:rsidRDefault="00F44C62" w:rsidP="0007719B"/>
    <w:p w14:paraId="7042EEB2" w14:textId="093F5EA2" w:rsidR="00B56D50" w:rsidRDefault="001C3C42" w:rsidP="0007719B">
      <w:pPr>
        <w:tabs>
          <w:tab w:val="center" w:pos="720"/>
          <w:tab w:val="center" w:pos="2293"/>
          <w:tab w:val="center" w:pos="3601"/>
          <w:tab w:val="center" w:pos="4321"/>
          <w:tab w:val="center" w:pos="5041"/>
          <w:tab w:val="center" w:pos="5761"/>
          <w:tab w:val="center" w:pos="6481"/>
          <w:tab w:val="center" w:pos="7201"/>
          <w:tab w:val="center" w:pos="8448"/>
        </w:tabs>
        <w:spacing w:after="4" w:line="249" w:lineRule="auto"/>
        <w:ind w:left="0" w:right="0" w:firstLine="0"/>
      </w:pPr>
      <w:r>
        <w:t xml:space="preserve"> </w:t>
      </w:r>
      <w:r>
        <w:tab/>
        <w:t xml:space="preserve"> </w:t>
      </w:r>
      <w:r>
        <w:tab/>
        <w:t xml:space="preserve"> </w:t>
      </w:r>
    </w:p>
    <w:p w14:paraId="04C06692" w14:textId="535CF549" w:rsidR="00E17FA6" w:rsidRDefault="00E17FA6">
      <w:pPr>
        <w:spacing w:after="238" w:line="259" w:lineRule="auto"/>
        <w:ind w:left="0" w:right="0" w:firstLine="0"/>
      </w:pPr>
    </w:p>
    <w:p w14:paraId="1F3291F1" w14:textId="72157F13" w:rsidR="00E17FA6" w:rsidRDefault="00E17FA6">
      <w:pPr>
        <w:spacing w:after="238" w:line="259" w:lineRule="auto"/>
        <w:ind w:left="0" w:right="0" w:firstLine="0"/>
      </w:pPr>
    </w:p>
    <w:p w14:paraId="3CFF8C93" w14:textId="32C0CABB" w:rsidR="00E17FA6" w:rsidRDefault="00E17FA6">
      <w:pPr>
        <w:spacing w:after="238" w:line="259" w:lineRule="auto"/>
        <w:ind w:left="0" w:right="0" w:firstLine="0"/>
      </w:pPr>
    </w:p>
    <w:p w14:paraId="78ADDB12" w14:textId="77777777" w:rsidR="00B56D50" w:rsidRDefault="001C3C42" w:rsidP="00D42459">
      <w:pPr>
        <w:pStyle w:val="Heading2"/>
        <w:spacing w:after="0" w:line="259" w:lineRule="auto"/>
        <w:ind w:left="476" w:right="732"/>
        <w:jc w:val="center"/>
      </w:pPr>
      <w:bookmarkStart w:id="7" w:name="_Toc68522927"/>
      <w:r>
        <w:lastRenderedPageBreak/>
        <w:t>TECHNICAL SPECIFICATIONS FOR ANALYTICAL SERVICES</w:t>
      </w:r>
      <w:bookmarkEnd w:id="7"/>
      <w:r>
        <w:t xml:space="preserve"> </w:t>
      </w:r>
    </w:p>
    <w:p w14:paraId="40BA3321" w14:textId="1557196E" w:rsidR="00B56D50" w:rsidRDefault="00B56D50" w:rsidP="00006CA9">
      <w:pPr>
        <w:spacing w:after="0" w:line="259" w:lineRule="auto"/>
        <w:ind w:left="0" w:right="205" w:firstLine="0"/>
      </w:pPr>
    </w:p>
    <w:p w14:paraId="31A5DCC6" w14:textId="2C283632" w:rsidR="00B56D50" w:rsidRDefault="001C3C42" w:rsidP="00C0413D">
      <w:pPr>
        <w:spacing w:after="0" w:line="259" w:lineRule="auto"/>
        <w:ind w:left="0" w:right="0" w:firstLine="0"/>
      </w:pPr>
      <w:r>
        <w:rPr>
          <w:rFonts w:ascii="Calibri" w:eastAsia="Calibri" w:hAnsi="Calibri" w:cs="Calibri"/>
          <w:noProof/>
        </w:rPr>
        <mc:AlternateContent>
          <mc:Choice Requires="wpg">
            <w:drawing>
              <wp:inline distT="0" distB="0" distL="0" distR="0" wp14:anchorId="20D636FA" wp14:editId="5507E332">
                <wp:extent cx="6217920" cy="57150"/>
                <wp:effectExtent l="0" t="0" r="0" b="0"/>
                <wp:docPr id="605396" name="Group 605396"/>
                <wp:cNvGraphicFramePr/>
                <a:graphic xmlns:a="http://schemas.openxmlformats.org/drawingml/2006/main">
                  <a:graphicData uri="http://schemas.microsoft.com/office/word/2010/wordprocessingGroup">
                    <wpg:wgp>
                      <wpg:cNvGrpSpPr/>
                      <wpg:grpSpPr>
                        <a:xfrm>
                          <a:off x="0" y="0"/>
                          <a:ext cx="6217920" cy="57150"/>
                          <a:chOff x="0" y="0"/>
                          <a:chExt cx="6217920" cy="57150"/>
                        </a:xfrm>
                      </wpg:grpSpPr>
                      <wps:wsp>
                        <wps:cNvPr id="899763" name="Shape 899763"/>
                        <wps:cNvSpPr/>
                        <wps:spPr>
                          <a:xfrm>
                            <a:off x="0" y="45720"/>
                            <a:ext cx="6217920" cy="11430"/>
                          </a:xfrm>
                          <a:custGeom>
                            <a:avLst/>
                            <a:gdLst/>
                            <a:ahLst/>
                            <a:cxnLst/>
                            <a:rect l="0" t="0" r="0" b="0"/>
                            <a:pathLst>
                              <a:path w="6217920" h="11430">
                                <a:moveTo>
                                  <a:pt x="0" y="0"/>
                                </a:moveTo>
                                <a:lnTo>
                                  <a:pt x="6217920" y="0"/>
                                </a:lnTo>
                                <a:lnTo>
                                  <a:pt x="6217920" y="11430"/>
                                </a:lnTo>
                                <a:lnTo>
                                  <a:pt x="0" y="114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9764" name="Shape 899764"/>
                        <wps:cNvSpPr/>
                        <wps:spPr>
                          <a:xfrm>
                            <a:off x="0" y="0"/>
                            <a:ext cx="6217920" cy="34290"/>
                          </a:xfrm>
                          <a:custGeom>
                            <a:avLst/>
                            <a:gdLst/>
                            <a:ahLst/>
                            <a:cxnLst/>
                            <a:rect l="0" t="0" r="0" b="0"/>
                            <a:pathLst>
                              <a:path w="6217920" h="34290">
                                <a:moveTo>
                                  <a:pt x="0" y="0"/>
                                </a:moveTo>
                                <a:lnTo>
                                  <a:pt x="6217920" y="0"/>
                                </a:lnTo>
                                <a:lnTo>
                                  <a:pt x="6217920" y="34290"/>
                                </a:lnTo>
                                <a:lnTo>
                                  <a:pt x="0" y="3429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rto="http://schemas.microsoft.com/office/word/2006/arto">
            <w:pict>
              <v:group w14:anchorId="23C50AC9" id="Group 605396" o:spid="_x0000_s1026" style="width:489.6pt;height:4.5pt;mso-position-horizontal-relative:char;mso-position-vertical-relative:line" coordsize="62179,5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">
                <v:shape id="Shape 899763" o:spid="_x0000_s1027" style="position:absolute;top:457;width:62179;height:114;visibility:visible;mso-wrap-style:square;v-text-anchor:top" coordsize="6217920,114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" path="m,l6217920,r,11430l,11430,,e" fillcolor="black" stroked="f" strokeweight="0">
                  <v:stroke miterlimit="83231f" joinstyle="miter"/>
                  <v:path arrowok="t" textboxrect="0,0,6217920,11430"/>
                </v:shape>
                <v:shape id="Shape 899764" o:spid="_x0000_s1028" style="position:absolute;width:62179;height:342;visibility:visible;mso-wrap-style:square;v-text-anchor:top" coordsize="6217920,34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" path="m,l6217920,r,34290l,34290,,e" fillcolor="black" stroked="f" strokeweight="0">
                  <v:stroke miterlimit="83231f" joinstyle="miter"/>
                  <v:path arrowok="t" textboxrect="0,0,6217920,34290"/>
                </v:shape>
                <w10:anchorlock/>
              </v:group>
            </w:pict>
          </mc:Fallback>
        </mc:AlternateContent>
      </w:r>
    </w:p>
    <w:p w14:paraId="7F4C214A" w14:textId="77777777" w:rsidR="00FF5418" w:rsidRPr="00FF5418" w:rsidRDefault="00FF5418" w:rsidP="00957ED9">
      <w:pPr>
        <w:pStyle w:val="Heading3"/>
        <w:spacing w:after="0"/>
        <w:ind w:left="1024" w:right="1273"/>
        <w:rPr>
          <w:sz w:val="10"/>
          <w:szCs w:val="10"/>
        </w:rPr>
      </w:pPr>
    </w:p>
    <w:p w14:paraId="43135FF0" w14:textId="26A61151" w:rsidR="00B56D50" w:rsidRDefault="001C3C42">
      <w:pPr>
        <w:pStyle w:val="Heading3"/>
        <w:ind w:left="1024" w:right="1273"/>
      </w:pPr>
      <w:r>
        <w:t>I.  OVERVIEW</w:t>
      </w:r>
    </w:p>
    <w:p w14:paraId="109BDF93" w14:textId="0AB295C3" w:rsidR="00B56D50" w:rsidRDefault="001C3C42" w:rsidP="009B2E59">
      <w:pPr>
        <w:spacing w:after="0" w:line="259" w:lineRule="auto"/>
        <w:ind w:left="0" w:right="190" w:firstLine="0"/>
        <w:jc w:val="center"/>
      </w:pPr>
      <w:r>
        <w:rPr>
          <w:rFonts w:ascii="Calibri" w:eastAsia="Calibri" w:hAnsi="Calibri" w:cs="Calibri"/>
          <w:noProof/>
        </w:rPr>
        <mc:AlternateContent>
          <mc:Choice Requires="wpg">
            <w:drawing>
              <wp:inline distT="0" distB="0" distL="0" distR="0" wp14:anchorId="2AA3CEDB" wp14:editId="69436B4B">
                <wp:extent cx="6217920" cy="57150"/>
                <wp:effectExtent l="0" t="0" r="0" b="0"/>
                <wp:docPr id="605397" name="Group 605397"/>
                <wp:cNvGraphicFramePr/>
                <a:graphic xmlns:a="http://schemas.openxmlformats.org/drawingml/2006/main">
                  <a:graphicData uri="http://schemas.microsoft.com/office/word/2010/wordprocessingGroup">
                    <wpg:wgp>
                      <wpg:cNvGrpSpPr/>
                      <wpg:grpSpPr>
                        <a:xfrm>
                          <a:off x="0" y="0"/>
                          <a:ext cx="6217920" cy="57150"/>
                          <a:chOff x="0" y="0"/>
                          <a:chExt cx="6217920" cy="57150"/>
                        </a:xfrm>
                      </wpg:grpSpPr>
                      <wps:wsp>
                        <wps:cNvPr id="899765" name="Shape 899765"/>
                        <wps:cNvSpPr/>
                        <wps:spPr>
                          <a:xfrm>
                            <a:off x="0" y="22860"/>
                            <a:ext cx="6217920" cy="34290"/>
                          </a:xfrm>
                          <a:custGeom>
                            <a:avLst/>
                            <a:gdLst/>
                            <a:ahLst/>
                            <a:cxnLst/>
                            <a:rect l="0" t="0" r="0" b="0"/>
                            <a:pathLst>
                              <a:path w="6217920" h="34290">
                                <a:moveTo>
                                  <a:pt x="0" y="0"/>
                                </a:moveTo>
                                <a:lnTo>
                                  <a:pt x="6217920" y="0"/>
                                </a:lnTo>
                                <a:lnTo>
                                  <a:pt x="6217920" y="34290"/>
                                </a:lnTo>
                                <a:lnTo>
                                  <a:pt x="0" y="3429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9766" name="Shape 899766"/>
                        <wps:cNvSpPr/>
                        <wps:spPr>
                          <a:xfrm>
                            <a:off x="0" y="0"/>
                            <a:ext cx="6217920" cy="11430"/>
                          </a:xfrm>
                          <a:custGeom>
                            <a:avLst/>
                            <a:gdLst/>
                            <a:ahLst/>
                            <a:cxnLst/>
                            <a:rect l="0" t="0" r="0" b="0"/>
                            <a:pathLst>
                              <a:path w="6217920" h="11430">
                                <a:moveTo>
                                  <a:pt x="0" y="0"/>
                                </a:moveTo>
                                <a:lnTo>
                                  <a:pt x="6217920" y="0"/>
                                </a:lnTo>
                                <a:lnTo>
                                  <a:pt x="6217920" y="11430"/>
                                </a:lnTo>
                                <a:lnTo>
                                  <a:pt x="0" y="114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rto="http://schemas.microsoft.com/office/word/2006/arto">
            <w:pict>
              <v:group w14:anchorId="51815DD0" id="Group 605397" o:spid="_x0000_s1026" style="width:489.6pt;height:4.5pt;mso-position-horizontal-relative:char;mso-position-vertical-relative:line" coordsize="62179,5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">
                <v:shape id="Shape 899765" o:spid="_x0000_s1027" style="position:absolute;top:228;width:62179;height:343;visibility:visible;mso-wrap-style:square;v-text-anchor:top" coordsize="6217920,34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" path="m,l6217920,r,34290l,34290,,e" fillcolor="black" stroked="f" strokeweight="0">
                  <v:stroke miterlimit="83231f" joinstyle="miter"/>
                  <v:path arrowok="t" textboxrect="0,0,6217920,34290"/>
                </v:shape>
                <v:shape id="Shape 899766" o:spid="_x0000_s1028" style="position:absolute;width:62179;height:114;visibility:visible;mso-wrap-style:square;v-text-anchor:top" coordsize="6217920,114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" path="m,l6217920,r,11430l,11430,,e" fillcolor="black" stroked="f" strokeweight="0">
                  <v:stroke miterlimit="83231f" joinstyle="miter"/>
                  <v:path arrowok="t" textboxrect="0,0,6217920,11430"/>
                </v:shape>
                <w10:anchorlock/>
              </v:group>
            </w:pict>
          </mc:Fallback>
        </mc:AlternateContent>
      </w:r>
    </w:p>
    <w:p w14:paraId="00CEFEEF" w14:textId="77777777" w:rsidR="009B2E59" w:rsidRDefault="009B2E59" w:rsidP="009B2E59">
      <w:pPr>
        <w:spacing w:after="0"/>
        <w:ind w:right="255"/>
      </w:pPr>
    </w:p>
    <w:p w14:paraId="1F9239B6" w14:textId="06D658C0" w:rsidR="00B56D50" w:rsidRDefault="001C3C42" w:rsidP="009B2E59">
      <w:pPr>
        <w:spacing w:after="0"/>
        <w:ind w:right="255"/>
      </w:pPr>
      <w:r>
        <w:t xml:space="preserve">These Technical Specifications contain detailed functional requirements for analytical services for the State of Indiana, Department of Environmental Management, Office of Land Quality (IDEM OLQ).  Specifications and clarifications are provided for technical aspects of contract compliance. </w:t>
      </w:r>
    </w:p>
    <w:p w14:paraId="47BCC0A7" w14:textId="77777777" w:rsidR="00B56D50" w:rsidRDefault="001C3C42">
      <w:pPr>
        <w:ind w:left="-5" w:right="255"/>
      </w:pPr>
      <w:r>
        <w:t xml:space="preserve">All services and specifications contained herein are to be considered mandatory.  If there is a conflict between the technical specifications stated in this document and the required analytical method, </w:t>
      </w:r>
      <w:r>
        <w:rPr>
          <w:u w:val="single" w:color="000000"/>
        </w:rPr>
        <w:t>the criteria specified in</w:t>
      </w:r>
      <w:r>
        <w:t xml:space="preserve"> </w:t>
      </w:r>
      <w:r>
        <w:rPr>
          <w:u w:val="single" w:color="000000"/>
        </w:rPr>
        <w:t>this document take precedence.</w:t>
      </w:r>
      <w:r>
        <w:t xml:space="preserve"> </w:t>
      </w:r>
    </w:p>
    <w:p w14:paraId="2F378FB9" w14:textId="3611E5BE" w:rsidR="00A62AC0" w:rsidRDefault="00A62AC0">
      <w:pPr>
        <w:ind w:left="-5" w:right="255"/>
      </w:pPr>
    </w:p>
    <w:p w14:paraId="391CE96D" w14:textId="77777777" w:rsidR="00A62AC0" w:rsidRDefault="00A62AC0">
      <w:pPr>
        <w:ind w:left="-5" w:right="255"/>
      </w:pPr>
    </w:p>
    <w:p w14:paraId="7297B060" w14:textId="77777777" w:rsidR="00A62AC0" w:rsidRDefault="00A62AC0">
      <w:pPr>
        <w:ind w:left="-5" w:right="255"/>
      </w:pPr>
    </w:p>
    <w:p w14:paraId="7E69B49D" w14:textId="77777777" w:rsidR="00A62AC0" w:rsidRDefault="00A62AC0">
      <w:pPr>
        <w:ind w:left="-5" w:right="255"/>
      </w:pPr>
    </w:p>
    <w:p w14:paraId="558A6B78" w14:textId="77777777" w:rsidR="00A62AC0" w:rsidRDefault="00A62AC0">
      <w:pPr>
        <w:ind w:left="-5" w:right="255"/>
      </w:pPr>
    </w:p>
    <w:p w14:paraId="3A4264FC" w14:textId="77777777" w:rsidR="00A62AC0" w:rsidRDefault="00A62AC0">
      <w:pPr>
        <w:ind w:left="-5" w:right="255"/>
      </w:pPr>
    </w:p>
    <w:p w14:paraId="5EE38793" w14:textId="77777777" w:rsidR="00A62AC0" w:rsidRDefault="00A62AC0">
      <w:pPr>
        <w:ind w:left="-5" w:right="255"/>
      </w:pPr>
    </w:p>
    <w:p w14:paraId="5943EF03" w14:textId="77777777" w:rsidR="00A62AC0" w:rsidRDefault="00A62AC0">
      <w:pPr>
        <w:ind w:left="-5" w:right="255"/>
      </w:pPr>
    </w:p>
    <w:p w14:paraId="792A8734" w14:textId="77777777" w:rsidR="00A62AC0" w:rsidRDefault="00A62AC0">
      <w:pPr>
        <w:ind w:left="-5" w:right="255"/>
      </w:pPr>
    </w:p>
    <w:p w14:paraId="19207DC4" w14:textId="77777777" w:rsidR="00542B94" w:rsidRDefault="00542B94">
      <w:pPr>
        <w:ind w:left="-5" w:right="255"/>
      </w:pPr>
    </w:p>
    <w:p w14:paraId="1015A2DF" w14:textId="77777777" w:rsidR="00542B94" w:rsidRDefault="00542B94">
      <w:pPr>
        <w:ind w:left="-5" w:right="255"/>
      </w:pPr>
    </w:p>
    <w:p w14:paraId="4978C0E9" w14:textId="77777777" w:rsidR="00A62AC0" w:rsidRDefault="00A62AC0">
      <w:pPr>
        <w:ind w:left="-5" w:right="255"/>
      </w:pPr>
    </w:p>
    <w:p w14:paraId="283759B0" w14:textId="77777777" w:rsidR="00A62AC0" w:rsidRDefault="00A62AC0">
      <w:pPr>
        <w:ind w:left="-5" w:right="255"/>
      </w:pPr>
    </w:p>
    <w:p w14:paraId="1D0833A6" w14:textId="77777777" w:rsidR="00A62AC0" w:rsidRDefault="00A62AC0">
      <w:pPr>
        <w:ind w:left="-5" w:right="255"/>
      </w:pPr>
    </w:p>
    <w:p w14:paraId="7124C30D" w14:textId="77777777" w:rsidR="00A62AC0" w:rsidRDefault="00A62AC0">
      <w:pPr>
        <w:ind w:left="-5" w:right="255"/>
      </w:pPr>
    </w:p>
    <w:p w14:paraId="1BEBB70A" w14:textId="77777777" w:rsidR="00A62AC0" w:rsidRDefault="00A62AC0">
      <w:pPr>
        <w:ind w:left="-5" w:right="255"/>
      </w:pPr>
    </w:p>
    <w:p w14:paraId="095A72EC" w14:textId="77777777" w:rsidR="00A62AC0" w:rsidRDefault="00A62AC0">
      <w:pPr>
        <w:ind w:left="-5" w:right="255"/>
      </w:pPr>
    </w:p>
    <w:p w14:paraId="4841CF2E" w14:textId="77777777" w:rsidR="00A62AC0" w:rsidRDefault="00A62AC0">
      <w:pPr>
        <w:ind w:left="-5" w:right="255"/>
      </w:pPr>
    </w:p>
    <w:p w14:paraId="22063FA3" w14:textId="77777777" w:rsidR="00A62AC0" w:rsidRDefault="00A62AC0">
      <w:pPr>
        <w:ind w:left="-5" w:right="255"/>
      </w:pPr>
    </w:p>
    <w:p w14:paraId="5340BBC2" w14:textId="77777777" w:rsidR="00A62AC0" w:rsidRDefault="00A62AC0">
      <w:pPr>
        <w:ind w:left="-5" w:right="255"/>
      </w:pPr>
    </w:p>
    <w:p w14:paraId="09EE6C43" w14:textId="77777777" w:rsidR="004F6DA7" w:rsidRDefault="004F6DA7">
      <w:pPr>
        <w:ind w:left="-5" w:right="255"/>
      </w:pPr>
    </w:p>
    <w:p w14:paraId="057455C0" w14:textId="77777777" w:rsidR="004F6DA7" w:rsidRDefault="004F6DA7">
      <w:pPr>
        <w:ind w:left="-5" w:right="255"/>
      </w:pPr>
    </w:p>
    <w:p w14:paraId="61D2A65A" w14:textId="77777777" w:rsidR="00A62AC0" w:rsidRDefault="00A62AC0">
      <w:pPr>
        <w:ind w:left="-5" w:right="255"/>
      </w:pPr>
    </w:p>
    <w:p w14:paraId="0B06DAD2" w14:textId="77777777" w:rsidR="00A62AC0" w:rsidRDefault="00A62AC0">
      <w:pPr>
        <w:ind w:left="-5" w:right="255"/>
      </w:pPr>
    </w:p>
    <w:p w14:paraId="68E79779" w14:textId="77777777" w:rsidR="00A62AC0" w:rsidRDefault="00A62AC0">
      <w:pPr>
        <w:ind w:left="-5" w:right="255"/>
      </w:pPr>
    </w:p>
    <w:p w14:paraId="1260865E" w14:textId="77777777" w:rsidR="00A62AC0" w:rsidRDefault="00A62AC0">
      <w:pPr>
        <w:ind w:left="-5" w:right="255"/>
      </w:pPr>
    </w:p>
    <w:p w14:paraId="19A93893" w14:textId="77777777" w:rsidR="00A62AC0" w:rsidRDefault="00A62AC0">
      <w:pPr>
        <w:ind w:left="-5" w:right="255"/>
      </w:pPr>
    </w:p>
    <w:p w14:paraId="7B9A0807" w14:textId="77777777" w:rsidR="00A62AC0" w:rsidRDefault="00A62AC0">
      <w:pPr>
        <w:ind w:left="-5" w:right="255"/>
      </w:pPr>
    </w:p>
    <w:p w14:paraId="695D5FEE" w14:textId="77777777" w:rsidR="00A72EB8" w:rsidRDefault="00A72EB8">
      <w:pPr>
        <w:ind w:left="-5" w:right="255"/>
      </w:pPr>
    </w:p>
    <w:p w14:paraId="09E50DFC" w14:textId="77777777" w:rsidR="00A62AC0" w:rsidRDefault="00A62AC0">
      <w:pPr>
        <w:ind w:left="-5" w:right="255"/>
      </w:pPr>
    </w:p>
    <w:p w14:paraId="41D3D12D" w14:textId="77777777" w:rsidR="00D861A2" w:rsidRDefault="00D861A2">
      <w:pPr>
        <w:ind w:left="-5" w:right="255"/>
      </w:pPr>
    </w:p>
    <w:p w14:paraId="4E40F705" w14:textId="77777777" w:rsidR="00443721" w:rsidRDefault="00443721">
      <w:pPr>
        <w:ind w:left="-5" w:right="255"/>
      </w:pPr>
    </w:p>
    <w:p w14:paraId="44D27C33" w14:textId="77777777" w:rsidR="00756FFB" w:rsidRDefault="00756FFB">
      <w:pPr>
        <w:ind w:left="-5" w:right="255"/>
      </w:pPr>
    </w:p>
    <w:p w14:paraId="2D8E1205" w14:textId="77777777" w:rsidR="00DF1F78" w:rsidRDefault="00DF1F78">
      <w:pPr>
        <w:ind w:left="-5" w:right="255"/>
      </w:pPr>
    </w:p>
    <w:p w14:paraId="1D8CAACA" w14:textId="77777777" w:rsidR="00DF1F78" w:rsidRDefault="00DF1F78">
      <w:pPr>
        <w:ind w:left="-5" w:right="255"/>
      </w:pPr>
    </w:p>
    <w:p w14:paraId="1579F187" w14:textId="736184CB" w:rsidR="00700A6F" w:rsidRDefault="00700536">
      <w:pPr>
        <w:ind w:left="-5" w:right="255"/>
      </w:pPr>
      <w:r>
        <w:tab/>
      </w:r>
    </w:p>
    <w:p w14:paraId="05B9BE23" w14:textId="77777777" w:rsidR="00FF5418" w:rsidRDefault="00FF5418" w:rsidP="003955A6">
      <w:pPr>
        <w:spacing w:after="0" w:line="259" w:lineRule="auto"/>
        <w:ind w:left="-900" w:right="-5" w:firstLine="0"/>
        <w:jc w:val="center"/>
      </w:pPr>
      <w:r>
        <w:rPr>
          <w:rFonts w:ascii="Calibri" w:eastAsia="Calibri" w:hAnsi="Calibri" w:cs="Calibri"/>
          <w:noProof/>
        </w:rPr>
        <w:lastRenderedPageBreak/>
        <mc:AlternateContent>
          <mc:Choice Requires="wpg">
            <w:drawing>
              <wp:inline distT="0" distB="0" distL="0" distR="0" wp14:anchorId="6AF3AA3E" wp14:editId="55CA0761">
                <wp:extent cx="6217920" cy="45719"/>
                <wp:effectExtent l="0" t="0" r="0" b="12065"/>
                <wp:docPr id="13" name="Group 13"/>
                <wp:cNvGraphicFramePr/>
                <a:graphic xmlns:a="http://schemas.openxmlformats.org/drawingml/2006/main">
                  <a:graphicData uri="http://schemas.microsoft.com/office/word/2010/wordprocessingGroup">
                    <wpg:wgp>
                      <wpg:cNvGrpSpPr/>
                      <wpg:grpSpPr>
                        <a:xfrm>
                          <a:off x="0" y="0"/>
                          <a:ext cx="6217920" cy="45719"/>
                          <a:chOff x="0" y="0"/>
                          <a:chExt cx="6217920" cy="57150"/>
                        </a:xfrm>
                      </wpg:grpSpPr>
                      <wps:wsp>
                        <wps:cNvPr id="14" name="Shape 899763"/>
                        <wps:cNvSpPr/>
                        <wps:spPr>
                          <a:xfrm>
                            <a:off x="0" y="45720"/>
                            <a:ext cx="6217920" cy="11430"/>
                          </a:xfrm>
                          <a:custGeom>
                            <a:avLst/>
                            <a:gdLst/>
                            <a:ahLst/>
                            <a:cxnLst/>
                            <a:rect l="0" t="0" r="0" b="0"/>
                            <a:pathLst>
                              <a:path w="6217920" h="11430">
                                <a:moveTo>
                                  <a:pt x="0" y="0"/>
                                </a:moveTo>
                                <a:lnTo>
                                  <a:pt x="6217920" y="0"/>
                                </a:lnTo>
                                <a:lnTo>
                                  <a:pt x="6217920" y="11430"/>
                                </a:lnTo>
                                <a:lnTo>
                                  <a:pt x="0" y="114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 name="Shape 899764"/>
                        <wps:cNvSpPr/>
                        <wps:spPr>
                          <a:xfrm>
                            <a:off x="0" y="0"/>
                            <a:ext cx="6217920" cy="34290"/>
                          </a:xfrm>
                          <a:custGeom>
                            <a:avLst/>
                            <a:gdLst/>
                            <a:ahLst/>
                            <a:cxnLst/>
                            <a:rect l="0" t="0" r="0" b="0"/>
                            <a:pathLst>
                              <a:path w="6217920" h="34290">
                                <a:moveTo>
                                  <a:pt x="0" y="0"/>
                                </a:moveTo>
                                <a:lnTo>
                                  <a:pt x="6217920" y="0"/>
                                </a:lnTo>
                                <a:lnTo>
                                  <a:pt x="6217920" y="34290"/>
                                </a:lnTo>
                                <a:lnTo>
                                  <a:pt x="0" y="3429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rto="http://schemas.microsoft.com/office/word/2006/arto">
            <w:pict>
              <v:group w14:anchorId="7920EB0B" id="Group 13" o:spid="_x0000_s1026" style="width:489.6pt;height:3.6pt;mso-position-horizontal-relative:char;mso-position-vertical-relative:line" coordsize="62179,5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">
                <v:shape id="Shape 899763" o:spid="_x0000_s1027" style="position:absolute;top:457;width:62179;height:114;visibility:visible;mso-wrap-style:square;v-text-anchor:top" coordsize="6217920,114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" path="m,l6217920,r,11430l,11430,,e" fillcolor="black" stroked="f" strokeweight="0">
                  <v:stroke miterlimit="83231f" joinstyle="miter"/>
                  <v:path arrowok="t" textboxrect="0,0,6217920,11430"/>
                </v:shape>
                <v:shape id="Shape 899764" o:spid="_x0000_s1028" style="position:absolute;width:62179;height:342;visibility:visible;mso-wrap-style:square;v-text-anchor:top" coordsize="6217920,34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" path="m,l6217920,r,34290l,34290,,e" fillcolor="black" stroked="f" strokeweight="0">
                  <v:stroke miterlimit="83231f" joinstyle="miter"/>
                  <v:path arrowok="t" textboxrect="0,0,6217920,34290"/>
                </v:shape>
                <w10:anchorlock/>
              </v:group>
            </w:pict>
          </mc:Fallback>
        </mc:AlternateContent>
      </w:r>
      <w:r>
        <w:rPr>
          <w:b/>
        </w:rPr>
        <w:t xml:space="preserve">       </w:t>
      </w:r>
    </w:p>
    <w:p w14:paraId="41BFF2DF" w14:textId="77777777" w:rsidR="00B56D50" w:rsidRPr="00FF5418" w:rsidRDefault="00B56D50" w:rsidP="00FF5418">
      <w:pPr>
        <w:pStyle w:val="Heading3"/>
        <w:ind w:left="1024" w:right="1273"/>
        <w:rPr>
          <w:sz w:val="10"/>
          <w:szCs w:val="10"/>
        </w:rPr>
      </w:pPr>
    </w:p>
    <w:p w14:paraId="612467D8" w14:textId="77777777" w:rsidR="00B56D50" w:rsidRDefault="001C3C42">
      <w:pPr>
        <w:spacing w:after="2" w:line="259" w:lineRule="auto"/>
        <w:ind w:right="2713"/>
        <w:jc w:val="right"/>
      </w:pPr>
      <w:r>
        <w:rPr>
          <w:b/>
        </w:rPr>
        <w:t xml:space="preserve">II. DEFINITIONS OF TERMS AND ACRONYMS </w:t>
      </w:r>
    </w:p>
    <w:p w14:paraId="3BD23A1C" w14:textId="77777777" w:rsidR="00FF5418" w:rsidRDefault="00FF5418" w:rsidP="00D861A2">
      <w:pPr>
        <w:spacing w:after="0" w:line="259" w:lineRule="auto"/>
        <w:ind w:left="-720" w:right="190" w:firstLine="0"/>
        <w:jc w:val="center"/>
      </w:pPr>
      <w:r>
        <w:rPr>
          <w:rFonts w:ascii="Calibri" w:eastAsia="Calibri" w:hAnsi="Calibri" w:cs="Calibri"/>
          <w:noProof/>
        </w:rPr>
        <mc:AlternateContent>
          <mc:Choice Requires="wpg">
            <w:drawing>
              <wp:inline distT="0" distB="0" distL="0" distR="0" wp14:anchorId="72866A8B" wp14:editId="407B612E">
                <wp:extent cx="6217920" cy="45719"/>
                <wp:effectExtent l="0" t="0" r="0" b="0"/>
                <wp:docPr id="16" name="Group 16"/>
                <wp:cNvGraphicFramePr/>
                <a:graphic xmlns:a="http://schemas.openxmlformats.org/drawingml/2006/main">
                  <a:graphicData uri="http://schemas.microsoft.com/office/word/2010/wordprocessingGroup">
                    <wpg:wgp>
                      <wpg:cNvGrpSpPr/>
                      <wpg:grpSpPr>
                        <a:xfrm>
                          <a:off x="0" y="0"/>
                          <a:ext cx="6217920" cy="45719"/>
                          <a:chOff x="0" y="0"/>
                          <a:chExt cx="6217920" cy="57150"/>
                        </a:xfrm>
                      </wpg:grpSpPr>
                      <wps:wsp>
                        <wps:cNvPr id="17" name="Shape 899765"/>
                        <wps:cNvSpPr/>
                        <wps:spPr>
                          <a:xfrm>
                            <a:off x="0" y="22860"/>
                            <a:ext cx="6217920" cy="34290"/>
                          </a:xfrm>
                          <a:custGeom>
                            <a:avLst/>
                            <a:gdLst/>
                            <a:ahLst/>
                            <a:cxnLst/>
                            <a:rect l="0" t="0" r="0" b="0"/>
                            <a:pathLst>
                              <a:path w="6217920" h="34290">
                                <a:moveTo>
                                  <a:pt x="0" y="0"/>
                                </a:moveTo>
                                <a:lnTo>
                                  <a:pt x="6217920" y="0"/>
                                </a:lnTo>
                                <a:lnTo>
                                  <a:pt x="6217920" y="34290"/>
                                </a:lnTo>
                                <a:lnTo>
                                  <a:pt x="0" y="3429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8" name="Shape 899766"/>
                        <wps:cNvSpPr/>
                        <wps:spPr>
                          <a:xfrm>
                            <a:off x="0" y="0"/>
                            <a:ext cx="6217920" cy="11430"/>
                          </a:xfrm>
                          <a:custGeom>
                            <a:avLst/>
                            <a:gdLst/>
                            <a:ahLst/>
                            <a:cxnLst/>
                            <a:rect l="0" t="0" r="0" b="0"/>
                            <a:pathLst>
                              <a:path w="6217920" h="11430">
                                <a:moveTo>
                                  <a:pt x="0" y="0"/>
                                </a:moveTo>
                                <a:lnTo>
                                  <a:pt x="6217920" y="0"/>
                                </a:lnTo>
                                <a:lnTo>
                                  <a:pt x="6217920" y="11430"/>
                                </a:lnTo>
                                <a:lnTo>
                                  <a:pt x="0" y="114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rto="http://schemas.microsoft.com/office/word/2006/arto">
            <w:pict>
              <v:group w14:anchorId="41442420" id="Group 16" o:spid="_x0000_s1026" style="width:489.6pt;height:3.6pt;mso-position-horizontal-relative:char;mso-position-vertical-relative:line" coordsize="62179,5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">
                <v:shape id="Shape 899765" o:spid="_x0000_s1027" style="position:absolute;top:228;width:62179;height:343;visibility:visible;mso-wrap-style:square;v-text-anchor:top" coordsize="6217920,34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" path="m,l6217920,r,34290l,34290,,e" fillcolor="black" stroked="f" strokeweight="0">
                  <v:stroke miterlimit="83231f" joinstyle="miter"/>
                  <v:path arrowok="t" textboxrect="0,0,6217920,34290"/>
                </v:shape>
                <v:shape id="Shape 899766" o:spid="_x0000_s1028" style="position:absolute;width:62179;height:114;visibility:visible;mso-wrap-style:square;v-text-anchor:top" coordsize="6217920,114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" path="m,l6217920,r,11430l,11430,,e" fillcolor="black" stroked="f" strokeweight="0">
                  <v:stroke miterlimit="83231f" joinstyle="miter"/>
                  <v:path arrowok="t" textboxrect="0,0,6217920,11430"/>
                </v:shape>
                <w10:anchorlock/>
              </v:group>
            </w:pict>
          </mc:Fallback>
        </mc:AlternateContent>
      </w:r>
      <w:r>
        <w:rPr>
          <w:b/>
        </w:rPr>
        <w:t xml:space="preserve"> </w:t>
      </w:r>
    </w:p>
    <w:p w14:paraId="3C1B8AFE" w14:textId="3F62097C" w:rsidR="00FF5418" w:rsidRDefault="00FF5418" w:rsidP="00DF0860">
      <w:pPr>
        <w:spacing w:after="0" w:line="259" w:lineRule="auto"/>
        <w:ind w:left="0" w:right="0" w:firstLine="0"/>
      </w:pPr>
    </w:p>
    <w:tbl>
      <w:tblPr>
        <w:tblStyle w:val="TableGrid1"/>
        <w:tblW w:w="10620" w:type="dxa"/>
        <w:tblInd w:w="-735" w:type="dxa"/>
        <w:tblCellMar>
          <w:top w:w="7" w:type="dxa"/>
          <w:left w:w="108" w:type="dxa"/>
          <w:right w:w="12" w:type="dxa"/>
        </w:tblCellMar>
        <w:tblLook w:val="04A0" w:firstRow="1" w:lastRow="0" w:firstColumn="1" w:lastColumn="0" w:noHBand="0" w:noVBand="1"/>
      </w:tblPr>
      <w:tblGrid>
        <w:gridCol w:w="2657"/>
        <w:gridCol w:w="7963"/>
      </w:tblGrid>
      <w:tr w:rsidR="00B56D50" w14:paraId="7B10904A" w14:textId="77777777" w:rsidTr="00C674D9">
        <w:trPr>
          <w:trHeight w:val="283"/>
          <w:tblHeader/>
        </w:trPr>
        <w:tc>
          <w:tcPr>
            <w:tcW w:w="2657" w:type="dxa"/>
            <w:tcBorders>
              <w:top w:val="single" w:sz="12" w:space="0" w:color="000000"/>
              <w:left w:val="single" w:sz="12" w:space="0" w:color="000000"/>
              <w:bottom w:val="single" w:sz="12" w:space="0" w:color="000000"/>
              <w:right w:val="single" w:sz="12" w:space="0" w:color="000000"/>
            </w:tcBorders>
          </w:tcPr>
          <w:p w14:paraId="060C67F1" w14:textId="77777777" w:rsidR="00B56D50" w:rsidRDefault="001C3C42">
            <w:pPr>
              <w:spacing w:after="0" w:line="259" w:lineRule="auto"/>
              <w:ind w:left="0" w:right="102" w:firstLine="0"/>
              <w:jc w:val="center"/>
            </w:pPr>
            <w:r>
              <w:rPr>
                <w:b/>
              </w:rPr>
              <w:t xml:space="preserve">TERM </w:t>
            </w:r>
          </w:p>
        </w:tc>
        <w:tc>
          <w:tcPr>
            <w:tcW w:w="7963" w:type="dxa"/>
            <w:tcBorders>
              <w:top w:val="single" w:sz="12" w:space="0" w:color="000000"/>
              <w:left w:val="single" w:sz="12" w:space="0" w:color="000000"/>
              <w:bottom w:val="single" w:sz="12" w:space="0" w:color="000000"/>
              <w:right w:val="single" w:sz="12" w:space="0" w:color="000000"/>
            </w:tcBorders>
          </w:tcPr>
          <w:p w14:paraId="24FC3882" w14:textId="77777777" w:rsidR="00B56D50" w:rsidRDefault="001C3C42">
            <w:pPr>
              <w:spacing w:after="0" w:line="259" w:lineRule="auto"/>
              <w:ind w:left="0" w:right="93" w:firstLine="0"/>
              <w:jc w:val="center"/>
            </w:pPr>
            <w:r>
              <w:rPr>
                <w:b/>
              </w:rPr>
              <w:t xml:space="preserve">DEFINITION </w:t>
            </w:r>
          </w:p>
        </w:tc>
      </w:tr>
      <w:tr w:rsidR="001E6A4E" w14:paraId="478C32E0" w14:textId="77777777" w:rsidTr="00C674D9">
        <w:tblPrEx>
          <w:tblCellMar>
            <w:right w:w="71" w:type="dxa"/>
          </w:tblCellMar>
        </w:tblPrEx>
        <w:trPr>
          <w:trHeight w:val="259"/>
        </w:trPr>
        <w:tc>
          <w:tcPr>
            <w:tcW w:w="2657" w:type="dxa"/>
            <w:tcBorders>
              <w:top w:val="single" w:sz="12" w:space="0" w:color="000000"/>
              <w:left w:val="single" w:sz="12" w:space="0" w:color="000000"/>
              <w:bottom w:val="single" w:sz="4" w:space="0" w:color="000000"/>
              <w:right w:val="single" w:sz="12" w:space="0" w:color="000000"/>
            </w:tcBorders>
          </w:tcPr>
          <w:p w14:paraId="68AADB4C" w14:textId="0E32D4DC" w:rsidR="000B6214" w:rsidRDefault="000B6214">
            <w:pPr>
              <w:spacing w:after="0" w:line="259" w:lineRule="auto"/>
              <w:ind w:left="0" w:right="0" w:firstLine="0"/>
            </w:pPr>
            <w:r>
              <w:rPr>
                <w:b/>
              </w:rPr>
              <w:t>AA</w:t>
            </w:r>
          </w:p>
        </w:tc>
        <w:tc>
          <w:tcPr>
            <w:tcW w:w="7963" w:type="dxa"/>
            <w:tcBorders>
              <w:top w:val="single" w:sz="12" w:space="0" w:color="000000"/>
              <w:left w:val="single" w:sz="12" w:space="0" w:color="000000"/>
              <w:bottom w:val="single" w:sz="4" w:space="0" w:color="000000"/>
              <w:right w:val="single" w:sz="12" w:space="0" w:color="000000"/>
            </w:tcBorders>
          </w:tcPr>
          <w:p w14:paraId="7DABEC11" w14:textId="77777777" w:rsidR="000B6214" w:rsidRDefault="000B6214">
            <w:pPr>
              <w:spacing w:after="0" w:line="259" w:lineRule="auto"/>
              <w:ind w:left="0" w:right="0" w:firstLine="0"/>
            </w:pPr>
            <w:r>
              <w:t>Atomic Absorption Spectroscopy</w:t>
            </w:r>
          </w:p>
        </w:tc>
      </w:tr>
      <w:tr w:rsidR="00585DDB" w14:paraId="0198AC67" w14:textId="77777777" w:rsidTr="00C674D9">
        <w:tblPrEx>
          <w:tblCellMar>
            <w:right w:w="71" w:type="dxa"/>
          </w:tblCellMar>
        </w:tblPrEx>
        <w:trPr>
          <w:trHeight w:val="259"/>
        </w:trPr>
        <w:tc>
          <w:tcPr>
            <w:tcW w:w="2657" w:type="dxa"/>
            <w:tcBorders>
              <w:top w:val="single" w:sz="4" w:space="0" w:color="000000"/>
              <w:left w:val="single" w:sz="12" w:space="0" w:color="000000"/>
              <w:bottom w:val="single" w:sz="4" w:space="0" w:color="000000"/>
              <w:right w:val="single" w:sz="12" w:space="0" w:color="000000"/>
            </w:tcBorders>
          </w:tcPr>
          <w:p w14:paraId="4F419526" w14:textId="47CD0230" w:rsidR="00585DDB" w:rsidRDefault="008A4CEC">
            <w:pPr>
              <w:spacing w:after="0" w:line="259" w:lineRule="auto"/>
              <w:ind w:left="0" w:right="0" w:firstLine="0"/>
              <w:rPr>
                <w:b/>
              </w:rPr>
            </w:pPr>
            <w:r>
              <w:rPr>
                <w:b/>
              </w:rPr>
              <w:t>A</w:t>
            </w:r>
            <w:r w:rsidR="00585DDB" w:rsidRPr="00585DDB">
              <w:rPr>
                <w:b/>
              </w:rPr>
              <w:t>AS</w:t>
            </w:r>
          </w:p>
        </w:tc>
        <w:tc>
          <w:tcPr>
            <w:tcW w:w="7963" w:type="dxa"/>
            <w:tcBorders>
              <w:top w:val="single" w:sz="4" w:space="0" w:color="000000"/>
              <w:left w:val="single" w:sz="12" w:space="0" w:color="000000"/>
              <w:bottom w:val="single" w:sz="4" w:space="0" w:color="000000"/>
              <w:right w:val="single" w:sz="12" w:space="0" w:color="000000"/>
            </w:tcBorders>
          </w:tcPr>
          <w:p w14:paraId="2203A9E0" w14:textId="6B5E7CC5" w:rsidR="00585DDB" w:rsidRDefault="008A4CEC">
            <w:pPr>
              <w:spacing w:after="0" w:line="259" w:lineRule="auto"/>
              <w:ind w:left="0" w:right="0" w:firstLine="0"/>
            </w:pPr>
            <w:r>
              <w:t>Additional Analytical Services</w:t>
            </w:r>
          </w:p>
        </w:tc>
      </w:tr>
      <w:tr w:rsidR="001E6A4E" w14:paraId="55DB834D" w14:textId="77777777" w:rsidTr="00C674D9">
        <w:tblPrEx>
          <w:tblCellMar>
            <w:right w:w="71" w:type="dxa"/>
          </w:tblCellMar>
        </w:tblPrEx>
        <w:trPr>
          <w:trHeight w:val="259"/>
        </w:trPr>
        <w:tc>
          <w:tcPr>
            <w:tcW w:w="2657" w:type="dxa"/>
            <w:tcBorders>
              <w:top w:val="single" w:sz="4" w:space="0" w:color="000000"/>
              <w:left w:val="single" w:sz="12" w:space="0" w:color="000000"/>
              <w:bottom w:val="single" w:sz="4" w:space="0" w:color="000000"/>
              <w:right w:val="single" w:sz="12" w:space="0" w:color="000000"/>
            </w:tcBorders>
            <w:vAlign w:val="center"/>
          </w:tcPr>
          <w:p w14:paraId="68888806" w14:textId="77777777" w:rsidR="000B6214" w:rsidRDefault="000B6214">
            <w:pPr>
              <w:spacing w:after="0" w:line="259" w:lineRule="auto"/>
              <w:ind w:left="0" w:right="0" w:firstLine="0"/>
            </w:pPr>
            <w:r>
              <w:rPr>
                <w:b/>
              </w:rPr>
              <w:t xml:space="preserve">Accuracy   </w:t>
            </w:r>
          </w:p>
        </w:tc>
        <w:tc>
          <w:tcPr>
            <w:tcW w:w="7963" w:type="dxa"/>
            <w:tcBorders>
              <w:top w:val="single" w:sz="4" w:space="0" w:color="000000"/>
              <w:left w:val="single" w:sz="12" w:space="0" w:color="000000"/>
              <w:bottom w:val="single" w:sz="4" w:space="0" w:color="000000"/>
              <w:right w:val="single" w:sz="12" w:space="0" w:color="000000"/>
            </w:tcBorders>
            <w:vAlign w:val="center"/>
          </w:tcPr>
          <w:p w14:paraId="58D7476A" w14:textId="77777777" w:rsidR="000B6214" w:rsidRDefault="000B6214" w:rsidP="00352EC7">
            <w:pPr>
              <w:spacing w:after="0" w:line="259" w:lineRule="auto"/>
              <w:ind w:left="0" w:right="0" w:firstLine="0"/>
            </w:pPr>
            <w:r>
              <w:t>The closeness of agreement between an observed value and an accepted reference value.</w:t>
            </w:r>
          </w:p>
        </w:tc>
      </w:tr>
      <w:tr w:rsidR="001E6A4E" w14:paraId="0D767D64" w14:textId="77777777" w:rsidTr="00C674D9">
        <w:tblPrEx>
          <w:tblCellMar>
            <w:right w:w="71" w:type="dxa"/>
          </w:tblCellMar>
        </w:tblPrEx>
        <w:trPr>
          <w:trHeight w:val="262"/>
        </w:trPr>
        <w:tc>
          <w:tcPr>
            <w:tcW w:w="2657" w:type="dxa"/>
            <w:tcBorders>
              <w:top w:val="single" w:sz="4" w:space="0" w:color="000000"/>
              <w:left w:val="single" w:sz="12" w:space="0" w:color="000000"/>
              <w:bottom w:val="single" w:sz="4" w:space="0" w:color="000000"/>
              <w:right w:val="single" w:sz="12" w:space="0" w:color="000000"/>
            </w:tcBorders>
          </w:tcPr>
          <w:p w14:paraId="6148F9FC" w14:textId="77777777" w:rsidR="000B6214" w:rsidRDefault="000B6214">
            <w:pPr>
              <w:spacing w:after="0" w:line="259" w:lineRule="auto"/>
              <w:ind w:left="0" w:right="0" w:firstLine="0"/>
            </w:pPr>
            <w:r>
              <w:rPr>
                <w:b/>
              </w:rPr>
              <w:t xml:space="preserve">ACS   </w:t>
            </w:r>
          </w:p>
        </w:tc>
        <w:tc>
          <w:tcPr>
            <w:tcW w:w="7963" w:type="dxa"/>
            <w:tcBorders>
              <w:top w:val="single" w:sz="4" w:space="0" w:color="000000"/>
              <w:left w:val="single" w:sz="12" w:space="0" w:color="000000"/>
              <w:bottom w:val="single" w:sz="4" w:space="0" w:color="000000"/>
              <w:right w:val="single" w:sz="12" w:space="0" w:color="000000"/>
            </w:tcBorders>
          </w:tcPr>
          <w:p w14:paraId="47AB30A8" w14:textId="77777777" w:rsidR="000B6214" w:rsidRDefault="000B6214">
            <w:pPr>
              <w:spacing w:after="0" w:line="259" w:lineRule="auto"/>
              <w:ind w:left="0" w:right="0" w:firstLine="0"/>
            </w:pPr>
            <w:r>
              <w:t xml:space="preserve">American Chemical Society </w:t>
            </w:r>
          </w:p>
        </w:tc>
      </w:tr>
      <w:tr w:rsidR="001E6A4E" w14:paraId="33180799" w14:textId="77777777" w:rsidTr="00C674D9">
        <w:tblPrEx>
          <w:tblCellMar>
            <w:right w:w="71" w:type="dxa"/>
          </w:tblCellMar>
        </w:tblPrEx>
        <w:trPr>
          <w:trHeight w:val="264"/>
        </w:trPr>
        <w:tc>
          <w:tcPr>
            <w:tcW w:w="2657" w:type="dxa"/>
            <w:tcBorders>
              <w:top w:val="single" w:sz="4" w:space="0" w:color="000000"/>
              <w:left w:val="single" w:sz="12" w:space="0" w:color="000000"/>
              <w:bottom w:val="single" w:sz="4" w:space="0" w:color="000000"/>
              <w:right w:val="single" w:sz="12" w:space="0" w:color="000000"/>
            </w:tcBorders>
          </w:tcPr>
          <w:p w14:paraId="15B52F6F" w14:textId="77777777" w:rsidR="000B6214" w:rsidRDefault="000B6214">
            <w:pPr>
              <w:spacing w:after="0" w:line="259" w:lineRule="auto"/>
              <w:ind w:left="0" w:right="0" w:firstLine="0"/>
            </w:pPr>
            <w:r>
              <w:rPr>
                <w:b/>
              </w:rPr>
              <w:t xml:space="preserve">Aliquot    </w:t>
            </w:r>
          </w:p>
        </w:tc>
        <w:tc>
          <w:tcPr>
            <w:tcW w:w="7963" w:type="dxa"/>
            <w:tcBorders>
              <w:top w:val="single" w:sz="4" w:space="0" w:color="000000"/>
              <w:left w:val="single" w:sz="12" w:space="0" w:color="000000"/>
              <w:bottom w:val="single" w:sz="4" w:space="0" w:color="000000"/>
              <w:right w:val="single" w:sz="12" w:space="0" w:color="000000"/>
            </w:tcBorders>
          </w:tcPr>
          <w:p w14:paraId="62E98173" w14:textId="77777777" w:rsidR="000B6214" w:rsidRDefault="000B6214">
            <w:pPr>
              <w:spacing w:after="0" w:line="259" w:lineRule="auto"/>
              <w:ind w:left="0" w:right="0" w:firstLine="0"/>
            </w:pPr>
            <w:r>
              <w:t xml:space="preserve">A measured portion of a field sample </w:t>
            </w:r>
            <w:proofErr w:type="gramStart"/>
            <w:r>
              <w:t>taken</w:t>
            </w:r>
            <w:proofErr w:type="gramEnd"/>
            <w:r>
              <w:t xml:space="preserve"> for analysis. </w:t>
            </w:r>
          </w:p>
        </w:tc>
      </w:tr>
      <w:tr w:rsidR="001E6A4E" w14:paraId="06E22177" w14:textId="77777777" w:rsidTr="00C674D9">
        <w:tblPrEx>
          <w:tblCellMar>
            <w:right w:w="71" w:type="dxa"/>
          </w:tblCellMar>
        </w:tblPrEx>
        <w:trPr>
          <w:trHeight w:val="516"/>
        </w:trPr>
        <w:tc>
          <w:tcPr>
            <w:tcW w:w="2657" w:type="dxa"/>
            <w:tcBorders>
              <w:top w:val="single" w:sz="4" w:space="0" w:color="000000"/>
              <w:left w:val="single" w:sz="12" w:space="0" w:color="000000"/>
              <w:bottom w:val="single" w:sz="4" w:space="0" w:color="000000"/>
              <w:right w:val="single" w:sz="12" w:space="0" w:color="000000"/>
            </w:tcBorders>
            <w:vAlign w:val="center"/>
          </w:tcPr>
          <w:p w14:paraId="3BE844DC" w14:textId="77777777" w:rsidR="000B6214" w:rsidRDefault="000B6214">
            <w:pPr>
              <w:spacing w:after="0" w:line="259" w:lineRule="auto"/>
              <w:ind w:left="0" w:right="0" w:firstLine="0"/>
            </w:pPr>
            <w:r>
              <w:rPr>
                <w:b/>
              </w:rPr>
              <w:t xml:space="preserve">Analytical Spike </w:t>
            </w:r>
          </w:p>
        </w:tc>
        <w:tc>
          <w:tcPr>
            <w:tcW w:w="7963" w:type="dxa"/>
            <w:tcBorders>
              <w:top w:val="single" w:sz="4" w:space="0" w:color="000000"/>
              <w:left w:val="single" w:sz="12" w:space="0" w:color="000000"/>
              <w:bottom w:val="single" w:sz="4" w:space="0" w:color="000000"/>
              <w:right w:val="single" w:sz="12" w:space="0" w:color="000000"/>
            </w:tcBorders>
          </w:tcPr>
          <w:p w14:paraId="58A68250" w14:textId="77777777" w:rsidR="000B6214" w:rsidRDefault="000B6214">
            <w:pPr>
              <w:spacing w:after="0" w:line="259" w:lineRule="auto"/>
              <w:ind w:left="0" w:right="0" w:firstLine="0"/>
            </w:pPr>
            <w:r>
              <w:t xml:space="preserve">A known quantity of target analyte added to an aliquot of sample prior to analysis but after digestion or extraction.  (Also called post digestion spike) </w:t>
            </w:r>
          </w:p>
        </w:tc>
      </w:tr>
      <w:tr w:rsidR="001E6A4E" w14:paraId="311244ED" w14:textId="77777777" w:rsidTr="00C674D9">
        <w:tblPrEx>
          <w:tblCellMar>
            <w:right w:w="71" w:type="dxa"/>
          </w:tblCellMar>
        </w:tblPrEx>
        <w:trPr>
          <w:trHeight w:val="516"/>
        </w:trPr>
        <w:tc>
          <w:tcPr>
            <w:tcW w:w="2657" w:type="dxa"/>
            <w:tcBorders>
              <w:top w:val="single" w:sz="4" w:space="0" w:color="000000"/>
              <w:left w:val="single" w:sz="12" w:space="0" w:color="000000"/>
              <w:bottom w:val="single" w:sz="4" w:space="0" w:color="000000"/>
              <w:right w:val="single" w:sz="12" w:space="0" w:color="000000"/>
            </w:tcBorders>
            <w:vAlign w:val="center"/>
          </w:tcPr>
          <w:p w14:paraId="2C2A8303" w14:textId="77777777" w:rsidR="000B6214" w:rsidRDefault="000B6214">
            <w:pPr>
              <w:spacing w:after="0" w:line="259" w:lineRule="auto"/>
              <w:ind w:left="0" w:right="0" w:firstLine="0"/>
            </w:pPr>
            <w:r>
              <w:rPr>
                <w:b/>
              </w:rPr>
              <w:t xml:space="preserve">Attachment II    </w:t>
            </w:r>
          </w:p>
        </w:tc>
        <w:tc>
          <w:tcPr>
            <w:tcW w:w="7963" w:type="dxa"/>
            <w:tcBorders>
              <w:top w:val="single" w:sz="4" w:space="0" w:color="000000"/>
              <w:left w:val="single" w:sz="12" w:space="0" w:color="000000"/>
              <w:bottom w:val="single" w:sz="4" w:space="0" w:color="000000"/>
              <w:right w:val="single" w:sz="12" w:space="0" w:color="000000"/>
            </w:tcBorders>
          </w:tcPr>
          <w:p w14:paraId="75F0C714" w14:textId="77777777" w:rsidR="000B6214" w:rsidRDefault="000B6214">
            <w:pPr>
              <w:spacing w:after="0" w:line="259" w:lineRule="auto"/>
              <w:ind w:left="0" w:right="0" w:firstLine="0"/>
            </w:pPr>
            <w:r>
              <w:t>RCRA Subtitle D List of Hazardous Inorganic and Organic Constituents</w:t>
            </w:r>
            <w:proofErr w:type="gramStart"/>
            <w:r>
              <w:t>:  40</w:t>
            </w:r>
            <w:proofErr w:type="gramEnd"/>
            <w:r>
              <w:t xml:space="preserve"> CFR 258, Attachment II </w:t>
            </w:r>
          </w:p>
        </w:tc>
      </w:tr>
      <w:tr w:rsidR="001E6A4E" w14:paraId="10D5AAD5" w14:textId="77777777" w:rsidTr="00C674D9">
        <w:tblPrEx>
          <w:tblCellMar>
            <w:right w:w="71" w:type="dxa"/>
          </w:tblCellMar>
        </w:tblPrEx>
        <w:trPr>
          <w:trHeight w:val="259"/>
        </w:trPr>
        <w:tc>
          <w:tcPr>
            <w:tcW w:w="2657" w:type="dxa"/>
            <w:tcBorders>
              <w:top w:val="single" w:sz="4" w:space="0" w:color="000000"/>
              <w:left w:val="single" w:sz="12" w:space="0" w:color="000000"/>
              <w:bottom w:val="single" w:sz="4" w:space="0" w:color="000000"/>
              <w:right w:val="single" w:sz="12" w:space="0" w:color="000000"/>
            </w:tcBorders>
            <w:vAlign w:val="center"/>
          </w:tcPr>
          <w:p w14:paraId="24EAF8EA" w14:textId="77777777" w:rsidR="000B6214" w:rsidRDefault="000B6214">
            <w:pPr>
              <w:spacing w:after="0" w:line="259" w:lineRule="auto"/>
              <w:ind w:left="0" w:right="0" w:firstLine="0"/>
            </w:pPr>
            <w:r>
              <w:rPr>
                <w:b/>
              </w:rPr>
              <w:t xml:space="preserve">Attachment VIII   </w:t>
            </w:r>
          </w:p>
        </w:tc>
        <w:tc>
          <w:tcPr>
            <w:tcW w:w="7963" w:type="dxa"/>
            <w:tcBorders>
              <w:top w:val="single" w:sz="4" w:space="0" w:color="000000"/>
              <w:left w:val="single" w:sz="12" w:space="0" w:color="000000"/>
              <w:bottom w:val="single" w:sz="4" w:space="0" w:color="000000"/>
              <w:right w:val="single" w:sz="12" w:space="0" w:color="000000"/>
            </w:tcBorders>
          </w:tcPr>
          <w:p w14:paraId="655BE10D" w14:textId="77777777" w:rsidR="000B6214" w:rsidRDefault="000B6214">
            <w:pPr>
              <w:spacing w:after="0" w:line="259" w:lineRule="auto"/>
              <w:ind w:left="0" w:right="0" w:firstLine="0"/>
              <w:jc w:val="both"/>
            </w:pPr>
            <w:r>
              <w:t>RCRA Subtitle C Hazardous Constituents List</w:t>
            </w:r>
            <w:proofErr w:type="gramStart"/>
            <w:r>
              <w:t>:  40</w:t>
            </w:r>
            <w:proofErr w:type="gramEnd"/>
            <w:r>
              <w:t xml:space="preserve"> CFR 261, Attachment VIII </w:t>
            </w:r>
          </w:p>
        </w:tc>
      </w:tr>
      <w:tr w:rsidR="001E6A4E" w14:paraId="57DC8584" w14:textId="77777777" w:rsidTr="00C674D9">
        <w:tblPrEx>
          <w:tblCellMar>
            <w:right w:w="71" w:type="dxa"/>
          </w:tblCellMar>
        </w:tblPrEx>
        <w:trPr>
          <w:trHeight w:val="259"/>
        </w:trPr>
        <w:tc>
          <w:tcPr>
            <w:tcW w:w="2657" w:type="dxa"/>
            <w:tcBorders>
              <w:top w:val="single" w:sz="4" w:space="0" w:color="000000"/>
              <w:left w:val="single" w:sz="12" w:space="0" w:color="000000"/>
              <w:bottom w:val="single" w:sz="4" w:space="0" w:color="000000"/>
              <w:right w:val="single" w:sz="12" w:space="0" w:color="000000"/>
            </w:tcBorders>
            <w:vAlign w:val="center"/>
          </w:tcPr>
          <w:p w14:paraId="70077190" w14:textId="77777777" w:rsidR="000B6214" w:rsidRDefault="000B6214">
            <w:pPr>
              <w:spacing w:after="0" w:line="259" w:lineRule="auto"/>
              <w:ind w:left="0" w:right="0" w:firstLine="0"/>
            </w:pPr>
            <w:r>
              <w:rPr>
                <w:b/>
              </w:rPr>
              <w:t xml:space="preserve">Attachment IX    </w:t>
            </w:r>
          </w:p>
        </w:tc>
        <w:tc>
          <w:tcPr>
            <w:tcW w:w="7963" w:type="dxa"/>
            <w:tcBorders>
              <w:top w:val="single" w:sz="4" w:space="0" w:color="000000"/>
              <w:left w:val="single" w:sz="12" w:space="0" w:color="000000"/>
              <w:bottom w:val="single" w:sz="4" w:space="0" w:color="000000"/>
              <w:right w:val="single" w:sz="12" w:space="0" w:color="000000"/>
            </w:tcBorders>
          </w:tcPr>
          <w:p w14:paraId="689C8663" w14:textId="77777777" w:rsidR="000B6214" w:rsidRDefault="000B6214">
            <w:pPr>
              <w:spacing w:after="0" w:line="259" w:lineRule="auto"/>
              <w:ind w:left="0" w:right="0" w:firstLine="0"/>
            </w:pPr>
            <w:r>
              <w:t xml:space="preserve">RCRA Subtitle C Groundwater Monitoring List: 40 CFR 264, Attachment IX </w:t>
            </w:r>
          </w:p>
        </w:tc>
      </w:tr>
      <w:tr w:rsidR="001E6A4E" w14:paraId="038C0C18" w14:textId="77777777" w:rsidTr="00C674D9">
        <w:tblPrEx>
          <w:tblCellMar>
            <w:right w:w="71" w:type="dxa"/>
          </w:tblCellMar>
        </w:tblPrEx>
        <w:trPr>
          <w:trHeight w:val="516"/>
        </w:trPr>
        <w:tc>
          <w:tcPr>
            <w:tcW w:w="2657" w:type="dxa"/>
            <w:tcBorders>
              <w:top w:val="single" w:sz="4" w:space="0" w:color="000000"/>
              <w:left w:val="single" w:sz="12" w:space="0" w:color="000000"/>
              <w:bottom w:val="single" w:sz="4" w:space="0" w:color="000000"/>
              <w:right w:val="single" w:sz="12" w:space="0" w:color="000000"/>
            </w:tcBorders>
            <w:vAlign w:val="center"/>
          </w:tcPr>
          <w:p w14:paraId="41FAF4F7" w14:textId="77777777" w:rsidR="000B6214" w:rsidRDefault="000B6214">
            <w:pPr>
              <w:spacing w:after="0" w:line="259" w:lineRule="auto"/>
              <w:ind w:left="0" w:right="0" w:firstLine="0"/>
            </w:pPr>
            <w:r>
              <w:rPr>
                <w:b/>
              </w:rPr>
              <w:t xml:space="preserve">Aqueous Sample   </w:t>
            </w:r>
          </w:p>
        </w:tc>
        <w:tc>
          <w:tcPr>
            <w:tcW w:w="7963" w:type="dxa"/>
            <w:tcBorders>
              <w:top w:val="single" w:sz="4" w:space="0" w:color="000000"/>
              <w:left w:val="single" w:sz="12" w:space="0" w:color="000000"/>
              <w:bottom w:val="single" w:sz="4" w:space="0" w:color="000000"/>
              <w:right w:val="single" w:sz="12" w:space="0" w:color="000000"/>
            </w:tcBorders>
          </w:tcPr>
          <w:p w14:paraId="539483AB" w14:textId="77777777" w:rsidR="000B6214" w:rsidRDefault="000B6214">
            <w:pPr>
              <w:spacing w:after="0" w:line="259" w:lineRule="auto"/>
              <w:ind w:left="0" w:right="0" w:firstLine="0"/>
              <w:jc w:val="both"/>
            </w:pPr>
            <w:r>
              <w:t xml:space="preserve">Samples consisting of drinking water, ground water, surface water, water based waste, or dilute aqueous solutions. </w:t>
            </w:r>
          </w:p>
        </w:tc>
      </w:tr>
      <w:tr w:rsidR="001E6A4E" w14:paraId="018B633B" w14:textId="77777777" w:rsidTr="00C674D9">
        <w:tblPrEx>
          <w:tblCellMar>
            <w:right w:w="71" w:type="dxa"/>
          </w:tblCellMar>
        </w:tblPrEx>
        <w:trPr>
          <w:trHeight w:val="262"/>
        </w:trPr>
        <w:tc>
          <w:tcPr>
            <w:tcW w:w="2657" w:type="dxa"/>
            <w:tcBorders>
              <w:top w:val="single" w:sz="4" w:space="0" w:color="000000"/>
              <w:left w:val="single" w:sz="12" w:space="0" w:color="000000"/>
              <w:bottom w:val="single" w:sz="4" w:space="0" w:color="000000"/>
              <w:right w:val="single" w:sz="12" w:space="0" w:color="000000"/>
            </w:tcBorders>
          </w:tcPr>
          <w:p w14:paraId="2EB8A772" w14:textId="77777777" w:rsidR="000B6214" w:rsidRDefault="000B6214">
            <w:pPr>
              <w:spacing w:after="0" w:line="259" w:lineRule="auto"/>
              <w:ind w:left="0" w:right="0" w:firstLine="0"/>
            </w:pPr>
            <w:r>
              <w:rPr>
                <w:b/>
              </w:rPr>
              <w:t xml:space="preserve">ASTM   </w:t>
            </w:r>
          </w:p>
        </w:tc>
        <w:tc>
          <w:tcPr>
            <w:tcW w:w="7963" w:type="dxa"/>
            <w:tcBorders>
              <w:top w:val="single" w:sz="4" w:space="0" w:color="000000"/>
              <w:left w:val="single" w:sz="12" w:space="0" w:color="000000"/>
              <w:bottom w:val="single" w:sz="4" w:space="0" w:color="000000"/>
              <w:right w:val="single" w:sz="12" w:space="0" w:color="000000"/>
            </w:tcBorders>
          </w:tcPr>
          <w:p w14:paraId="7CFC9920" w14:textId="77777777" w:rsidR="000B6214" w:rsidRDefault="000B6214">
            <w:pPr>
              <w:spacing w:after="0" w:line="259" w:lineRule="auto"/>
              <w:ind w:left="0" w:right="0" w:firstLine="0"/>
            </w:pPr>
            <w:r>
              <w:t xml:space="preserve">American Society for Testing and Materials. </w:t>
            </w:r>
          </w:p>
        </w:tc>
      </w:tr>
      <w:tr w:rsidR="001E6A4E" w14:paraId="58183B95" w14:textId="77777777" w:rsidTr="00C674D9">
        <w:tblPrEx>
          <w:tblCellMar>
            <w:right w:w="71" w:type="dxa"/>
          </w:tblCellMar>
        </w:tblPrEx>
        <w:trPr>
          <w:trHeight w:val="1037"/>
        </w:trPr>
        <w:tc>
          <w:tcPr>
            <w:tcW w:w="2657" w:type="dxa"/>
            <w:tcBorders>
              <w:top w:val="single" w:sz="4" w:space="0" w:color="000000"/>
              <w:left w:val="single" w:sz="12" w:space="0" w:color="000000"/>
              <w:bottom w:val="single" w:sz="4" w:space="0" w:color="000000"/>
              <w:right w:val="single" w:sz="12" w:space="0" w:color="000000"/>
            </w:tcBorders>
            <w:vAlign w:val="center"/>
          </w:tcPr>
          <w:p w14:paraId="5B6A729F" w14:textId="77777777" w:rsidR="000B6214" w:rsidRDefault="000B6214">
            <w:pPr>
              <w:spacing w:after="0" w:line="259" w:lineRule="auto"/>
              <w:ind w:left="0" w:right="0" w:firstLine="0"/>
            </w:pPr>
            <w:r>
              <w:rPr>
                <w:b/>
              </w:rPr>
              <w:t xml:space="preserve">Batch   </w:t>
            </w:r>
          </w:p>
        </w:tc>
        <w:tc>
          <w:tcPr>
            <w:tcW w:w="7963" w:type="dxa"/>
            <w:tcBorders>
              <w:top w:val="single" w:sz="4" w:space="0" w:color="000000"/>
              <w:left w:val="single" w:sz="12" w:space="0" w:color="000000"/>
              <w:bottom w:val="single" w:sz="4" w:space="0" w:color="000000"/>
              <w:right w:val="single" w:sz="12" w:space="0" w:color="000000"/>
            </w:tcBorders>
          </w:tcPr>
          <w:p w14:paraId="1DBC33B4" w14:textId="77777777" w:rsidR="000B6214" w:rsidRDefault="000B6214">
            <w:pPr>
              <w:spacing w:after="0" w:line="259" w:lineRule="auto"/>
              <w:ind w:left="0" w:right="3" w:firstLine="0"/>
            </w:pPr>
            <w:r>
              <w:t xml:space="preserve">A group of samples of the same matrix from the same site, not to exceed 20, and which are processed as a unit at the laboratory.  If the total number of samples of a particular matrix from a site number more than 20, each group of 20 or fewer samples is treated as a separate batch.   </w:t>
            </w:r>
          </w:p>
        </w:tc>
      </w:tr>
      <w:tr w:rsidR="001E6A4E" w14:paraId="72D9F3D1" w14:textId="77777777" w:rsidTr="00C674D9">
        <w:tblPrEx>
          <w:tblCellMar>
            <w:right w:w="71" w:type="dxa"/>
          </w:tblCellMar>
        </w:tblPrEx>
        <w:trPr>
          <w:trHeight w:val="778"/>
        </w:trPr>
        <w:tc>
          <w:tcPr>
            <w:tcW w:w="2657" w:type="dxa"/>
            <w:tcBorders>
              <w:top w:val="single" w:sz="4" w:space="0" w:color="000000"/>
              <w:left w:val="single" w:sz="12" w:space="0" w:color="000000"/>
              <w:bottom w:val="single" w:sz="4" w:space="0" w:color="000000"/>
              <w:right w:val="single" w:sz="12" w:space="0" w:color="000000"/>
            </w:tcBorders>
            <w:vAlign w:val="center"/>
          </w:tcPr>
          <w:p w14:paraId="34B2B000" w14:textId="77777777" w:rsidR="000B6214" w:rsidRDefault="000B6214">
            <w:pPr>
              <w:spacing w:after="0" w:line="259" w:lineRule="auto"/>
              <w:ind w:left="0" w:right="0" w:firstLine="0"/>
            </w:pPr>
            <w:r>
              <w:rPr>
                <w:b/>
              </w:rPr>
              <w:t xml:space="preserve">Bias   </w:t>
            </w:r>
          </w:p>
        </w:tc>
        <w:tc>
          <w:tcPr>
            <w:tcW w:w="7963" w:type="dxa"/>
            <w:tcBorders>
              <w:top w:val="single" w:sz="4" w:space="0" w:color="000000"/>
              <w:left w:val="single" w:sz="12" w:space="0" w:color="000000"/>
              <w:bottom w:val="single" w:sz="4" w:space="0" w:color="000000"/>
              <w:right w:val="single" w:sz="12" w:space="0" w:color="000000"/>
            </w:tcBorders>
          </w:tcPr>
          <w:p w14:paraId="4616C6EB" w14:textId="77777777" w:rsidR="000B6214" w:rsidRDefault="000B6214">
            <w:pPr>
              <w:spacing w:after="0" w:line="259" w:lineRule="auto"/>
              <w:ind w:left="0" w:right="0" w:firstLine="0"/>
            </w:pPr>
            <w:r>
              <w:t>The deviation, due to matrix effects, of the measured value of an analyte from the "true" value.  In the laboratory, this is determined from the difference between the measured value of the analyte and the known spiked amount.</w:t>
            </w:r>
          </w:p>
        </w:tc>
      </w:tr>
      <w:tr w:rsidR="001E6A4E" w14:paraId="50098893" w14:textId="77777777" w:rsidTr="00C674D9">
        <w:tblPrEx>
          <w:tblCellMar>
            <w:right w:w="71" w:type="dxa"/>
          </w:tblCellMar>
        </w:tblPrEx>
        <w:trPr>
          <w:trHeight w:val="262"/>
        </w:trPr>
        <w:tc>
          <w:tcPr>
            <w:tcW w:w="2657" w:type="dxa"/>
            <w:tcBorders>
              <w:top w:val="single" w:sz="4" w:space="0" w:color="000000"/>
              <w:left w:val="single" w:sz="12" w:space="0" w:color="000000"/>
              <w:bottom w:val="single" w:sz="4" w:space="0" w:color="000000"/>
              <w:right w:val="single" w:sz="12" w:space="0" w:color="000000"/>
            </w:tcBorders>
          </w:tcPr>
          <w:p w14:paraId="2E6B9FF3" w14:textId="77777777" w:rsidR="000B6214" w:rsidRDefault="000B6214">
            <w:pPr>
              <w:spacing w:after="0" w:line="259" w:lineRule="auto"/>
              <w:ind w:left="0" w:right="0" w:firstLine="0"/>
            </w:pPr>
            <w:r>
              <w:rPr>
                <w:b/>
              </w:rPr>
              <w:t xml:space="preserve">Blank   </w:t>
            </w:r>
          </w:p>
        </w:tc>
        <w:tc>
          <w:tcPr>
            <w:tcW w:w="7963" w:type="dxa"/>
            <w:tcBorders>
              <w:top w:val="single" w:sz="4" w:space="0" w:color="000000"/>
              <w:left w:val="single" w:sz="12" w:space="0" w:color="000000"/>
              <w:bottom w:val="single" w:sz="4" w:space="0" w:color="000000"/>
              <w:right w:val="single" w:sz="12" w:space="0" w:color="000000"/>
            </w:tcBorders>
          </w:tcPr>
          <w:p w14:paraId="71E3ED0A" w14:textId="77777777" w:rsidR="000B6214" w:rsidRDefault="000B6214">
            <w:pPr>
              <w:spacing w:after="0" w:line="259" w:lineRule="auto"/>
              <w:ind w:left="0" w:right="0" w:firstLine="0"/>
            </w:pPr>
            <w:r>
              <w:t xml:space="preserve">See Equipment Blank, Field Blank, Method Blank, and Trip Blank. </w:t>
            </w:r>
          </w:p>
        </w:tc>
      </w:tr>
      <w:tr w:rsidR="001E6A4E" w14:paraId="77033F8F" w14:textId="77777777" w:rsidTr="00C674D9">
        <w:tblPrEx>
          <w:tblCellMar>
            <w:right w:w="71" w:type="dxa"/>
          </w:tblCellMar>
        </w:tblPrEx>
        <w:trPr>
          <w:trHeight w:val="264"/>
        </w:trPr>
        <w:tc>
          <w:tcPr>
            <w:tcW w:w="2657" w:type="dxa"/>
            <w:tcBorders>
              <w:top w:val="single" w:sz="4" w:space="0" w:color="000000"/>
              <w:left w:val="single" w:sz="12" w:space="0" w:color="000000"/>
              <w:bottom w:val="single" w:sz="4" w:space="0" w:color="000000"/>
              <w:right w:val="single" w:sz="12" w:space="0" w:color="000000"/>
            </w:tcBorders>
          </w:tcPr>
          <w:p w14:paraId="18C957A1" w14:textId="77777777" w:rsidR="000B6214" w:rsidRDefault="000B6214">
            <w:pPr>
              <w:spacing w:after="0" w:line="259" w:lineRule="auto"/>
              <w:ind w:left="0" w:right="0" w:firstLine="0"/>
            </w:pPr>
            <w:r>
              <w:rPr>
                <w:b/>
              </w:rPr>
              <w:t xml:space="preserve">BOD   </w:t>
            </w:r>
          </w:p>
        </w:tc>
        <w:tc>
          <w:tcPr>
            <w:tcW w:w="7963" w:type="dxa"/>
            <w:tcBorders>
              <w:top w:val="single" w:sz="4" w:space="0" w:color="000000"/>
              <w:left w:val="single" w:sz="12" w:space="0" w:color="000000"/>
              <w:bottom w:val="single" w:sz="4" w:space="0" w:color="000000"/>
              <w:right w:val="single" w:sz="12" w:space="0" w:color="000000"/>
            </w:tcBorders>
          </w:tcPr>
          <w:p w14:paraId="7F33885C" w14:textId="77777777" w:rsidR="000B6214" w:rsidRDefault="000B6214">
            <w:pPr>
              <w:spacing w:after="0" w:line="259" w:lineRule="auto"/>
              <w:ind w:left="0" w:right="0" w:firstLine="0"/>
            </w:pPr>
            <w:r>
              <w:t xml:space="preserve">Biochemical Oxygen Demand </w:t>
            </w:r>
          </w:p>
        </w:tc>
      </w:tr>
      <w:tr w:rsidR="001E6A4E" w14:paraId="629DC333" w14:textId="77777777" w:rsidTr="00C674D9">
        <w:tblPrEx>
          <w:tblCellMar>
            <w:right w:w="71" w:type="dxa"/>
          </w:tblCellMar>
        </w:tblPrEx>
        <w:trPr>
          <w:trHeight w:val="778"/>
        </w:trPr>
        <w:tc>
          <w:tcPr>
            <w:tcW w:w="2657" w:type="dxa"/>
            <w:tcBorders>
              <w:top w:val="single" w:sz="4" w:space="0" w:color="000000"/>
              <w:left w:val="single" w:sz="12" w:space="0" w:color="000000"/>
              <w:bottom w:val="single" w:sz="4" w:space="0" w:color="000000"/>
              <w:right w:val="single" w:sz="12" w:space="0" w:color="000000"/>
            </w:tcBorders>
            <w:vAlign w:val="center"/>
          </w:tcPr>
          <w:p w14:paraId="52AA40D1" w14:textId="77777777" w:rsidR="000B6214" w:rsidRDefault="000B6214">
            <w:pPr>
              <w:spacing w:after="0" w:line="259" w:lineRule="auto"/>
              <w:ind w:left="0" w:right="0" w:firstLine="0"/>
            </w:pPr>
            <w:r>
              <w:rPr>
                <w:b/>
              </w:rPr>
              <w:t xml:space="preserve">Breakdown   </w:t>
            </w:r>
          </w:p>
        </w:tc>
        <w:tc>
          <w:tcPr>
            <w:tcW w:w="7963" w:type="dxa"/>
            <w:tcBorders>
              <w:top w:val="single" w:sz="4" w:space="0" w:color="000000"/>
              <w:left w:val="single" w:sz="12" w:space="0" w:color="000000"/>
              <w:bottom w:val="single" w:sz="4" w:space="0" w:color="000000"/>
              <w:right w:val="single" w:sz="12" w:space="0" w:color="000000"/>
            </w:tcBorders>
          </w:tcPr>
          <w:p w14:paraId="6885731B" w14:textId="77777777" w:rsidR="000B6214" w:rsidRDefault="000B6214">
            <w:pPr>
              <w:spacing w:after="0" w:line="259" w:lineRule="auto"/>
              <w:ind w:left="0" w:right="0" w:firstLine="0"/>
            </w:pPr>
            <w:r>
              <w:t xml:space="preserve">A measure of the decomposition of certain analytes into by-products.  For purposes of this RFP, it specifically refers to decomposition of DDT and Endrin during gas chromatographic analysis.  </w:t>
            </w:r>
          </w:p>
        </w:tc>
      </w:tr>
      <w:tr w:rsidR="001E6A4E" w14:paraId="67AF97DF" w14:textId="77777777" w:rsidTr="00C674D9">
        <w:tblPrEx>
          <w:tblCellMar>
            <w:right w:w="71" w:type="dxa"/>
          </w:tblCellMar>
        </w:tblPrEx>
        <w:trPr>
          <w:trHeight w:val="259"/>
        </w:trPr>
        <w:tc>
          <w:tcPr>
            <w:tcW w:w="2657" w:type="dxa"/>
            <w:tcBorders>
              <w:top w:val="single" w:sz="4" w:space="0" w:color="000000"/>
              <w:left w:val="single" w:sz="12" w:space="0" w:color="000000"/>
              <w:bottom w:val="single" w:sz="4" w:space="0" w:color="000000"/>
              <w:right w:val="single" w:sz="12" w:space="0" w:color="000000"/>
            </w:tcBorders>
            <w:vAlign w:val="center"/>
          </w:tcPr>
          <w:p w14:paraId="5956670C" w14:textId="77777777" w:rsidR="000B6214" w:rsidRDefault="000B6214">
            <w:pPr>
              <w:spacing w:after="0" w:line="259" w:lineRule="auto"/>
              <w:ind w:left="0" w:right="0" w:firstLine="0"/>
            </w:pPr>
            <w:r>
              <w:rPr>
                <w:b/>
              </w:rPr>
              <w:t xml:space="preserve">BNA </w:t>
            </w:r>
          </w:p>
        </w:tc>
        <w:tc>
          <w:tcPr>
            <w:tcW w:w="7963" w:type="dxa"/>
            <w:tcBorders>
              <w:top w:val="single" w:sz="4" w:space="0" w:color="000000"/>
              <w:left w:val="single" w:sz="12" w:space="0" w:color="000000"/>
              <w:bottom w:val="single" w:sz="4" w:space="0" w:color="000000"/>
              <w:right w:val="single" w:sz="12" w:space="0" w:color="000000"/>
            </w:tcBorders>
          </w:tcPr>
          <w:p w14:paraId="62BC2A4C" w14:textId="77777777" w:rsidR="000B6214" w:rsidRDefault="000B6214">
            <w:pPr>
              <w:spacing w:after="0" w:line="259" w:lineRule="auto"/>
              <w:ind w:left="0" w:right="17" w:firstLine="0"/>
            </w:pPr>
            <w:r>
              <w:t xml:space="preserve">Base-Neutral-Acid Extractables.  (class of semi-volatile organic compounds) </w:t>
            </w:r>
          </w:p>
        </w:tc>
      </w:tr>
      <w:tr w:rsidR="001E6A4E" w14:paraId="1B23B2F3" w14:textId="77777777" w:rsidTr="00C674D9">
        <w:tblPrEx>
          <w:tblCellMar>
            <w:right w:w="71" w:type="dxa"/>
          </w:tblCellMar>
        </w:tblPrEx>
        <w:trPr>
          <w:trHeight w:val="516"/>
        </w:trPr>
        <w:tc>
          <w:tcPr>
            <w:tcW w:w="2657" w:type="dxa"/>
            <w:tcBorders>
              <w:top w:val="single" w:sz="4" w:space="0" w:color="000000"/>
              <w:left w:val="single" w:sz="12" w:space="0" w:color="000000"/>
              <w:bottom w:val="single" w:sz="4" w:space="0" w:color="000000"/>
              <w:right w:val="single" w:sz="12" w:space="0" w:color="000000"/>
            </w:tcBorders>
            <w:vAlign w:val="center"/>
          </w:tcPr>
          <w:p w14:paraId="5662464A" w14:textId="77777777" w:rsidR="000B6214" w:rsidRDefault="000B6214">
            <w:pPr>
              <w:spacing w:after="0" w:line="259" w:lineRule="auto"/>
              <w:ind w:left="0" w:right="0" w:firstLine="0"/>
            </w:pPr>
            <w:r>
              <w:rPr>
                <w:b/>
              </w:rPr>
              <w:t xml:space="preserve">Case  </w:t>
            </w:r>
          </w:p>
        </w:tc>
        <w:tc>
          <w:tcPr>
            <w:tcW w:w="7963" w:type="dxa"/>
            <w:tcBorders>
              <w:top w:val="single" w:sz="4" w:space="0" w:color="000000"/>
              <w:left w:val="single" w:sz="12" w:space="0" w:color="000000"/>
              <w:bottom w:val="single" w:sz="4" w:space="0" w:color="000000"/>
              <w:right w:val="single" w:sz="12" w:space="0" w:color="000000"/>
            </w:tcBorders>
          </w:tcPr>
          <w:p w14:paraId="132F5D87" w14:textId="77777777" w:rsidR="000B6214" w:rsidRDefault="000B6214">
            <w:pPr>
              <w:spacing w:after="0" w:line="259" w:lineRule="auto"/>
              <w:ind w:left="0" w:right="0" w:firstLine="0"/>
            </w:pPr>
            <w:r>
              <w:t xml:space="preserve">A finite number of samples collected over a given </w:t>
            </w:r>
            <w:proofErr w:type="gramStart"/>
            <w:r>
              <w:t>time period</w:t>
            </w:r>
            <w:proofErr w:type="gramEnd"/>
            <w:r>
              <w:t xml:space="preserve"> from a particular site.  Also referred to as a sample set or sample delivery group.  </w:t>
            </w:r>
          </w:p>
        </w:tc>
      </w:tr>
      <w:tr w:rsidR="001E6A4E" w14:paraId="7AAF9CD3" w14:textId="77777777" w:rsidTr="00C674D9">
        <w:tblPrEx>
          <w:tblCellMar>
            <w:right w:w="71" w:type="dxa"/>
          </w:tblCellMar>
        </w:tblPrEx>
        <w:trPr>
          <w:trHeight w:val="516"/>
        </w:trPr>
        <w:tc>
          <w:tcPr>
            <w:tcW w:w="2657" w:type="dxa"/>
            <w:tcBorders>
              <w:top w:val="single" w:sz="4" w:space="0" w:color="000000"/>
              <w:left w:val="single" w:sz="12" w:space="0" w:color="000000"/>
              <w:bottom w:val="single" w:sz="4" w:space="0" w:color="000000"/>
              <w:right w:val="single" w:sz="12" w:space="0" w:color="000000"/>
            </w:tcBorders>
            <w:vAlign w:val="center"/>
          </w:tcPr>
          <w:p w14:paraId="4394E2E1" w14:textId="77777777" w:rsidR="000B6214" w:rsidRDefault="000B6214">
            <w:pPr>
              <w:spacing w:after="0" w:line="259" w:lineRule="auto"/>
              <w:ind w:left="0" w:right="0" w:firstLine="0"/>
            </w:pPr>
            <w:r>
              <w:rPr>
                <w:b/>
              </w:rPr>
              <w:t xml:space="preserve">CCC (SW-846)   </w:t>
            </w:r>
          </w:p>
        </w:tc>
        <w:tc>
          <w:tcPr>
            <w:tcW w:w="7963" w:type="dxa"/>
            <w:tcBorders>
              <w:top w:val="single" w:sz="4" w:space="0" w:color="000000"/>
              <w:left w:val="single" w:sz="12" w:space="0" w:color="000000"/>
              <w:bottom w:val="single" w:sz="4" w:space="0" w:color="000000"/>
              <w:right w:val="single" w:sz="12" w:space="0" w:color="000000"/>
            </w:tcBorders>
          </w:tcPr>
          <w:p w14:paraId="41D099F8" w14:textId="77777777" w:rsidR="000B6214" w:rsidRDefault="000B6214">
            <w:pPr>
              <w:spacing w:after="0" w:line="259" w:lineRule="auto"/>
              <w:ind w:left="0" w:right="0" w:firstLine="0"/>
            </w:pPr>
            <w:r>
              <w:t xml:space="preserve">Calibration Check Compound (Used in GC/MS analysis of volatile and semi-volatile organic compounds) </w:t>
            </w:r>
          </w:p>
        </w:tc>
      </w:tr>
      <w:tr w:rsidR="001E6A4E" w14:paraId="5798FA8D" w14:textId="77777777" w:rsidTr="00C674D9">
        <w:tblPrEx>
          <w:tblCellMar>
            <w:right w:w="71" w:type="dxa"/>
          </w:tblCellMar>
        </w:tblPrEx>
        <w:trPr>
          <w:trHeight w:val="518"/>
        </w:trPr>
        <w:tc>
          <w:tcPr>
            <w:tcW w:w="2657" w:type="dxa"/>
            <w:tcBorders>
              <w:top w:val="single" w:sz="4" w:space="0" w:color="000000"/>
              <w:left w:val="single" w:sz="12" w:space="0" w:color="000000"/>
              <w:bottom w:val="single" w:sz="4" w:space="0" w:color="000000"/>
              <w:right w:val="single" w:sz="12" w:space="0" w:color="000000"/>
            </w:tcBorders>
            <w:vAlign w:val="center"/>
          </w:tcPr>
          <w:p w14:paraId="3E2053C6" w14:textId="37AEE866" w:rsidR="000B6214" w:rsidRDefault="000B6214">
            <w:pPr>
              <w:spacing w:after="0" w:line="259" w:lineRule="auto"/>
              <w:ind w:left="0" w:right="0" w:firstLine="0"/>
            </w:pPr>
            <w:r>
              <w:rPr>
                <w:b/>
              </w:rPr>
              <w:t>CCC (</w:t>
            </w:r>
            <w:r w:rsidR="00E12105">
              <w:rPr>
                <w:b/>
              </w:rPr>
              <w:t>USEPA</w:t>
            </w:r>
            <w:r>
              <w:rPr>
                <w:b/>
              </w:rPr>
              <w:t xml:space="preserve"> Water Analysis Methods)  </w:t>
            </w:r>
          </w:p>
        </w:tc>
        <w:tc>
          <w:tcPr>
            <w:tcW w:w="7963" w:type="dxa"/>
            <w:tcBorders>
              <w:top w:val="single" w:sz="4" w:space="0" w:color="000000"/>
              <w:left w:val="single" w:sz="12" w:space="0" w:color="000000"/>
              <w:bottom w:val="single" w:sz="4" w:space="0" w:color="000000"/>
              <w:right w:val="single" w:sz="12" w:space="0" w:color="000000"/>
            </w:tcBorders>
          </w:tcPr>
          <w:p w14:paraId="793A95FD" w14:textId="4C11042B" w:rsidR="000B6214" w:rsidRDefault="000B6214">
            <w:pPr>
              <w:spacing w:after="0" w:line="259" w:lineRule="auto"/>
              <w:ind w:left="0" w:right="0" w:firstLine="0"/>
            </w:pPr>
            <w:r>
              <w:t>Continuing Calibration Check (Also known as CCV</w:t>
            </w:r>
            <w:r w:rsidR="00401DBB">
              <w:t xml:space="preserve"> and CV</w:t>
            </w:r>
            <w:r>
              <w:t>)</w:t>
            </w:r>
          </w:p>
        </w:tc>
      </w:tr>
      <w:tr w:rsidR="001E6A4E" w14:paraId="256BB223" w14:textId="77777777" w:rsidTr="00C674D9">
        <w:tblPrEx>
          <w:tblCellMar>
            <w:right w:w="71" w:type="dxa"/>
          </w:tblCellMar>
        </w:tblPrEx>
        <w:trPr>
          <w:trHeight w:val="262"/>
        </w:trPr>
        <w:tc>
          <w:tcPr>
            <w:tcW w:w="2657" w:type="dxa"/>
            <w:tcBorders>
              <w:top w:val="single" w:sz="4" w:space="0" w:color="000000"/>
              <w:left w:val="single" w:sz="12" w:space="0" w:color="000000"/>
              <w:bottom w:val="single" w:sz="4" w:space="0" w:color="000000"/>
              <w:right w:val="single" w:sz="12" w:space="0" w:color="000000"/>
            </w:tcBorders>
          </w:tcPr>
          <w:p w14:paraId="22D0E5F1" w14:textId="77777777" w:rsidR="000B6214" w:rsidRDefault="000B6214">
            <w:pPr>
              <w:spacing w:after="0" w:line="259" w:lineRule="auto"/>
              <w:ind w:left="0" w:right="0" w:firstLine="0"/>
            </w:pPr>
            <w:r>
              <w:rPr>
                <w:b/>
              </w:rPr>
              <w:t xml:space="preserve">CCV  </w:t>
            </w:r>
          </w:p>
        </w:tc>
        <w:tc>
          <w:tcPr>
            <w:tcW w:w="7963" w:type="dxa"/>
            <w:tcBorders>
              <w:top w:val="single" w:sz="4" w:space="0" w:color="000000"/>
              <w:left w:val="single" w:sz="12" w:space="0" w:color="000000"/>
              <w:bottom w:val="single" w:sz="4" w:space="0" w:color="000000"/>
              <w:right w:val="single" w:sz="12" w:space="0" w:color="000000"/>
            </w:tcBorders>
          </w:tcPr>
          <w:p w14:paraId="4312058C" w14:textId="1EE6DAE2" w:rsidR="000B6214" w:rsidRDefault="000B6214">
            <w:pPr>
              <w:spacing w:after="0" w:line="259" w:lineRule="auto"/>
              <w:ind w:left="0" w:right="0" w:firstLine="0"/>
            </w:pPr>
            <w:r>
              <w:t xml:space="preserve">Continuing Calibration Verification - </w:t>
            </w:r>
            <w:r w:rsidRPr="004E0883">
              <w:t xml:space="preserve">A </w:t>
            </w:r>
            <w:r>
              <w:t xml:space="preserve">mid-point </w:t>
            </w:r>
            <w:r w:rsidRPr="004E0883">
              <w:t xml:space="preserve">calibration standard containing the method analytes, internal standard(s) and surrogate(s). </w:t>
            </w:r>
            <w:r>
              <w:t xml:space="preserve"> </w:t>
            </w:r>
            <w:r w:rsidRPr="004E0883">
              <w:t>The CCC is analyzed periodically to verify the accuracy of the existing calibration for those analytes</w:t>
            </w:r>
            <w:r>
              <w:t>.  (Also known as</w:t>
            </w:r>
            <w:r w:rsidR="0068148A">
              <w:t xml:space="preserve"> CCC and</w:t>
            </w:r>
            <w:r>
              <w:t xml:space="preserve"> CV)</w:t>
            </w:r>
          </w:p>
        </w:tc>
      </w:tr>
      <w:tr w:rsidR="001E6A4E" w14:paraId="44C051C1" w14:textId="77777777" w:rsidTr="00C674D9">
        <w:tblPrEx>
          <w:tblCellMar>
            <w:right w:w="71" w:type="dxa"/>
          </w:tblCellMar>
        </w:tblPrEx>
        <w:trPr>
          <w:trHeight w:val="516"/>
        </w:trPr>
        <w:tc>
          <w:tcPr>
            <w:tcW w:w="2657" w:type="dxa"/>
            <w:tcBorders>
              <w:top w:val="single" w:sz="4" w:space="0" w:color="000000"/>
              <w:left w:val="single" w:sz="12" w:space="0" w:color="000000"/>
              <w:bottom w:val="single" w:sz="4" w:space="0" w:color="000000"/>
              <w:right w:val="single" w:sz="12" w:space="0" w:color="000000"/>
            </w:tcBorders>
            <w:vAlign w:val="center"/>
          </w:tcPr>
          <w:p w14:paraId="2F9DC03B" w14:textId="77777777" w:rsidR="000B6214" w:rsidRDefault="000B6214">
            <w:pPr>
              <w:spacing w:after="0" w:line="259" w:lineRule="auto"/>
              <w:ind w:left="0" w:right="0" w:firstLine="0"/>
            </w:pPr>
            <w:r>
              <w:rPr>
                <w:b/>
              </w:rPr>
              <w:t xml:space="preserve">CERCLA   </w:t>
            </w:r>
          </w:p>
        </w:tc>
        <w:tc>
          <w:tcPr>
            <w:tcW w:w="7963" w:type="dxa"/>
            <w:tcBorders>
              <w:top w:val="single" w:sz="4" w:space="0" w:color="000000"/>
              <w:left w:val="single" w:sz="12" w:space="0" w:color="000000"/>
              <w:bottom w:val="single" w:sz="4" w:space="0" w:color="000000"/>
              <w:right w:val="single" w:sz="12" w:space="0" w:color="000000"/>
            </w:tcBorders>
          </w:tcPr>
          <w:p w14:paraId="51E47744" w14:textId="77777777" w:rsidR="000B6214" w:rsidRDefault="000B6214">
            <w:pPr>
              <w:spacing w:after="0" w:line="259" w:lineRule="auto"/>
              <w:ind w:left="0" w:right="0" w:firstLine="0"/>
            </w:pPr>
            <w:r>
              <w:t xml:space="preserve">Comprehensive Environmental Response, Compensation, and Liability Act of 1980, as amended.  (Superfund) </w:t>
            </w:r>
          </w:p>
        </w:tc>
      </w:tr>
      <w:tr w:rsidR="001E6A4E" w14:paraId="536B405D" w14:textId="77777777" w:rsidTr="00C674D9">
        <w:tblPrEx>
          <w:tblCellMar>
            <w:right w:w="71" w:type="dxa"/>
          </w:tblCellMar>
        </w:tblPrEx>
        <w:trPr>
          <w:trHeight w:val="274"/>
        </w:trPr>
        <w:tc>
          <w:tcPr>
            <w:tcW w:w="2657" w:type="dxa"/>
            <w:tcBorders>
              <w:top w:val="single" w:sz="4" w:space="0" w:color="000000"/>
              <w:left w:val="single" w:sz="12" w:space="0" w:color="000000"/>
              <w:bottom w:val="single" w:sz="4" w:space="0" w:color="auto"/>
              <w:right w:val="single" w:sz="12" w:space="0" w:color="000000"/>
            </w:tcBorders>
          </w:tcPr>
          <w:p w14:paraId="210D4217" w14:textId="77777777" w:rsidR="000B6214" w:rsidRDefault="000B6214">
            <w:pPr>
              <w:spacing w:after="0" w:line="259" w:lineRule="auto"/>
              <w:ind w:left="0" w:right="0" w:firstLine="0"/>
            </w:pPr>
            <w:r>
              <w:rPr>
                <w:b/>
              </w:rPr>
              <w:lastRenderedPageBreak/>
              <w:t xml:space="preserve">CF    </w:t>
            </w:r>
          </w:p>
        </w:tc>
        <w:tc>
          <w:tcPr>
            <w:tcW w:w="7963" w:type="dxa"/>
            <w:tcBorders>
              <w:top w:val="single" w:sz="4" w:space="0" w:color="000000"/>
              <w:left w:val="single" w:sz="12" w:space="0" w:color="000000"/>
              <w:bottom w:val="single" w:sz="4" w:space="0" w:color="auto"/>
              <w:right w:val="single" w:sz="12" w:space="0" w:color="000000"/>
            </w:tcBorders>
          </w:tcPr>
          <w:p w14:paraId="14AD3231" w14:textId="77777777" w:rsidR="000B6214" w:rsidRDefault="000B6214">
            <w:pPr>
              <w:spacing w:after="0" w:line="259" w:lineRule="auto"/>
              <w:ind w:left="0" w:right="0" w:firstLine="0"/>
            </w:pPr>
            <w:r>
              <w:t xml:space="preserve">Calibration Factor </w:t>
            </w:r>
          </w:p>
        </w:tc>
      </w:tr>
      <w:tr w:rsidR="001E6A4E" w14:paraId="5E881BFF" w14:textId="77777777" w:rsidTr="00C674D9">
        <w:tblPrEx>
          <w:tblCellMar>
            <w:right w:w="71" w:type="dxa"/>
          </w:tblCellMar>
        </w:tblPrEx>
        <w:trPr>
          <w:trHeight w:val="518"/>
        </w:trPr>
        <w:tc>
          <w:tcPr>
            <w:tcW w:w="2657" w:type="dxa"/>
            <w:tcBorders>
              <w:top w:val="single" w:sz="4" w:space="0" w:color="auto"/>
              <w:left w:val="single" w:sz="12" w:space="0" w:color="000000"/>
              <w:bottom w:val="single" w:sz="4" w:space="0" w:color="auto"/>
              <w:right w:val="single" w:sz="12" w:space="0" w:color="000000"/>
            </w:tcBorders>
            <w:vAlign w:val="center"/>
          </w:tcPr>
          <w:p w14:paraId="54912353" w14:textId="77777777" w:rsidR="000B6214" w:rsidRDefault="000B6214">
            <w:pPr>
              <w:spacing w:after="0" w:line="259" w:lineRule="auto"/>
              <w:ind w:left="0" w:right="0" w:firstLine="0"/>
            </w:pPr>
            <w:r>
              <w:rPr>
                <w:b/>
              </w:rPr>
              <w:t xml:space="preserve">Chain of Custody </w:t>
            </w:r>
          </w:p>
        </w:tc>
        <w:tc>
          <w:tcPr>
            <w:tcW w:w="7963" w:type="dxa"/>
            <w:tcBorders>
              <w:top w:val="single" w:sz="4" w:space="0" w:color="auto"/>
              <w:left w:val="single" w:sz="12" w:space="0" w:color="000000"/>
              <w:bottom w:val="single" w:sz="4" w:space="0" w:color="auto"/>
              <w:right w:val="single" w:sz="12" w:space="0" w:color="000000"/>
            </w:tcBorders>
          </w:tcPr>
          <w:p w14:paraId="5F050470" w14:textId="77777777" w:rsidR="000B6214" w:rsidRDefault="000B6214">
            <w:pPr>
              <w:spacing w:after="0" w:line="259" w:lineRule="auto"/>
              <w:ind w:left="0" w:right="0" w:firstLine="0"/>
            </w:pPr>
            <w:r>
              <w:t>In a chemical sampling situation, the maintenance of the sampled material by providing documentation of the control, transfer, and analysis of the sample.</w:t>
            </w:r>
          </w:p>
        </w:tc>
      </w:tr>
      <w:tr w:rsidR="001E6A4E" w14:paraId="5677030A" w14:textId="77777777" w:rsidTr="00C674D9">
        <w:tblPrEx>
          <w:tblCellMar>
            <w:right w:w="71" w:type="dxa"/>
          </w:tblCellMar>
        </w:tblPrEx>
        <w:trPr>
          <w:trHeight w:val="518"/>
        </w:trPr>
        <w:tc>
          <w:tcPr>
            <w:tcW w:w="2657" w:type="dxa"/>
            <w:tcBorders>
              <w:top w:val="single" w:sz="4" w:space="0" w:color="auto"/>
              <w:left w:val="single" w:sz="12" w:space="0" w:color="000000"/>
              <w:bottom w:val="single" w:sz="4" w:space="0" w:color="auto"/>
              <w:right w:val="single" w:sz="12" w:space="0" w:color="000000"/>
            </w:tcBorders>
            <w:vAlign w:val="center"/>
          </w:tcPr>
          <w:p w14:paraId="26A6E147" w14:textId="77777777" w:rsidR="000B6214" w:rsidRDefault="000B6214">
            <w:pPr>
              <w:spacing w:after="0" w:line="259" w:lineRule="auto"/>
              <w:ind w:left="0" w:right="0" w:firstLine="0"/>
              <w:rPr>
                <w:b/>
              </w:rPr>
            </w:pPr>
            <w:r w:rsidRPr="00A9239F">
              <w:rPr>
                <w:b/>
                <w:color w:val="auto"/>
              </w:rPr>
              <w:t xml:space="preserve">CLP   </w:t>
            </w:r>
          </w:p>
        </w:tc>
        <w:tc>
          <w:tcPr>
            <w:tcW w:w="7963" w:type="dxa"/>
            <w:tcBorders>
              <w:top w:val="single" w:sz="4" w:space="0" w:color="auto"/>
              <w:left w:val="single" w:sz="12" w:space="0" w:color="000000"/>
              <w:bottom w:val="single" w:sz="4" w:space="0" w:color="auto"/>
              <w:right w:val="single" w:sz="12" w:space="0" w:color="000000"/>
            </w:tcBorders>
          </w:tcPr>
          <w:p w14:paraId="6B1D19E3" w14:textId="77777777" w:rsidR="000B6214" w:rsidRDefault="000B6214">
            <w:pPr>
              <w:spacing w:after="0" w:line="259" w:lineRule="auto"/>
              <w:ind w:left="0" w:right="0" w:firstLine="0"/>
            </w:pPr>
            <w:r w:rsidRPr="00A9239F">
              <w:rPr>
                <w:color w:val="auto"/>
              </w:rPr>
              <w:t xml:space="preserve">Contract Laboratory Program – (laboratory specifications, analytical methods, and QA/QC protocols commonly utilized for Superfund activities) </w:t>
            </w:r>
          </w:p>
        </w:tc>
      </w:tr>
      <w:tr w:rsidR="00352EC7" w14:paraId="48BF2098" w14:textId="77777777" w:rsidTr="00C674D9">
        <w:tblPrEx>
          <w:tblCellMar>
            <w:right w:w="60" w:type="dxa"/>
          </w:tblCellMar>
        </w:tblPrEx>
        <w:trPr>
          <w:trHeight w:val="516"/>
        </w:trPr>
        <w:tc>
          <w:tcPr>
            <w:tcW w:w="2657" w:type="dxa"/>
            <w:tcBorders>
              <w:top w:val="single" w:sz="2" w:space="0" w:color="000000"/>
              <w:left w:val="single" w:sz="12" w:space="0" w:color="000000"/>
              <w:bottom w:val="single" w:sz="4" w:space="0" w:color="000000"/>
              <w:right w:val="single" w:sz="12" w:space="0" w:color="000000"/>
            </w:tcBorders>
            <w:vAlign w:val="center"/>
          </w:tcPr>
          <w:p w14:paraId="2EBC6DED" w14:textId="77777777" w:rsidR="000B6214" w:rsidRDefault="000B6214">
            <w:pPr>
              <w:spacing w:after="0" w:line="259" w:lineRule="auto"/>
              <w:ind w:left="0" w:right="0" w:firstLine="0"/>
            </w:pPr>
            <w:r>
              <w:rPr>
                <w:b/>
              </w:rPr>
              <w:t xml:space="preserve">COC   </w:t>
            </w:r>
          </w:p>
        </w:tc>
        <w:tc>
          <w:tcPr>
            <w:tcW w:w="7963" w:type="dxa"/>
            <w:tcBorders>
              <w:top w:val="single" w:sz="2" w:space="0" w:color="000000"/>
              <w:left w:val="single" w:sz="12" w:space="0" w:color="000000"/>
              <w:bottom w:val="single" w:sz="4" w:space="0" w:color="000000"/>
              <w:right w:val="single" w:sz="12" w:space="0" w:color="000000"/>
            </w:tcBorders>
          </w:tcPr>
          <w:p w14:paraId="0DD1E808" w14:textId="77777777" w:rsidR="000B6214" w:rsidRDefault="000B6214">
            <w:pPr>
              <w:spacing w:after="0" w:line="259" w:lineRule="auto"/>
              <w:ind w:left="0" w:right="0" w:firstLine="0"/>
            </w:pPr>
            <w:r>
              <w:t>Chemical of Concern</w:t>
            </w:r>
            <w:proofErr w:type="gramStart"/>
            <w:r>
              <w:t>:  Contaminant</w:t>
            </w:r>
            <w:proofErr w:type="gramEnd"/>
            <w:r>
              <w:t xml:space="preserve"> (target analyte) at a site undergoing remediation or closure. </w:t>
            </w:r>
          </w:p>
        </w:tc>
      </w:tr>
      <w:tr w:rsidR="00352EC7" w14:paraId="12120E35" w14:textId="77777777" w:rsidTr="00C674D9">
        <w:tblPrEx>
          <w:tblCellMar>
            <w:right w:w="60" w:type="dxa"/>
          </w:tblCellMar>
        </w:tblPrEx>
        <w:trPr>
          <w:trHeight w:val="262"/>
        </w:trPr>
        <w:tc>
          <w:tcPr>
            <w:tcW w:w="2657" w:type="dxa"/>
            <w:tcBorders>
              <w:top w:val="single" w:sz="4" w:space="0" w:color="000000"/>
              <w:left w:val="single" w:sz="12" w:space="0" w:color="000000"/>
              <w:bottom w:val="single" w:sz="4" w:space="0" w:color="000000"/>
              <w:right w:val="single" w:sz="12" w:space="0" w:color="000000"/>
            </w:tcBorders>
          </w:tcPr>
          <w:p w14:paraId="67524F11" w14:textId="77777777" w:rsidR="000B6214" w:rsidRDefault="000B6214">
            <w:pPr>
              <w:spacing w:after="0" w:line="259" w:lineRule="auto"/>
              <w:ind w:left="0" w:right="0" w:firstLine="0"/>
            </w:pPr>
            <w:r>
              <w:rPr>
                <w:b/>
              </w:rPr>
              <w:t xml:space="preserve">COD   </w:t>
            </w:r>
          </w:p>
        </w:tc>
        <w:tc>
          <w:tcPr>
            <w:tcW w:w="7963" w:type="dxa"/>
            <w:tcBorders>
              <w:top w:val="single" w:sz="4" w:space="0" w:color="000000"/>
              <w:left w:val="single" w:sz="12" w:space="0" w:color="000000"/>
              <w:bottom w:val="single" w:sz="4" w:space="0" w:color="000000"/>
              <w:right w:val="single" w:sz="12" w:space="0" w:color="000000"/>
            </w:tcBorders>
          </w:tcPr>
          <w:p w14:paraId="5BB035F0" w14:textId="77777777" w:rsidR="000B6214" w:rsidRDefault="000B6214">
            <w:pPr>
              <w:spacing w:after="0" w:line="259" w:lineRule="auto"/>
              <w:ind w:left="0" w:right="0" w:firstLine="0"/>
            </w:pPr>
            <w:r>
              <w:t xml:space="preserve">Chemical Oxygen Demand </w:t>
            </w:r>
          </w:p>
        </w:tc>
      </w:tr>
      <w:tr w:rsidR="00352EC7" w14:paraId="562E1365" w14:textId="77777777" w:rsidTr="00C674D9">
        <w:tblPrEx>
          <w:tblCellMar>
            <w:right w:w="60" w:type="dxa"/>
          </w:tblCellMar>
        </w:tblPrEx>
        <w:trPr>
          <w:trHeight w:val="1296"/>
        </w:trPr>
        <w:tc>
          <w:tcPr>
            <w:tcW w:w="2657" w:type="dxa"/>
            <w:tcBorders>
              <w:top w:val="single" w:sz="4" w:space="0" w:color="000000"/>
              <w:left w:val="single" w:sz="12" w:space="0" w:color="000000"/>
              <w:bottom w:val="single" w:sz="4" w:space="0" w:color="000000"/>
              <w:right w:val="single" w:sz="12" w:space="0" w:color="000000"/>
            </w:tcBorders>
            <w:vAlign w:val="center"/>
          </w:tcPr>
          <w:p w14:paraId="59B7CECF" w14:textId="77777777" w:rsidR="000B6214" w:rsidRDefault="000B6214">
            <w:pPr>
              <w:spacing w:after="0" w:line="259" w:lineRule="auto"/>
              <w:ind w:left="0" w:right="0" w:firstLine="0"/>
            </w:pPr>
            <w:r>
              <w:rPr>
                <w:b/>
              </w:rPr>
              <w:t xml:space="preserve">Co-located Samples </w:t>
            </w:r>
          </w:p>
        </w:tc>
        <w:tc>
          <w:tcPr>
            <w:tcW w:w="7963" w:type="dxa"/>
            <w:tcBorders>
              <w:top w:val="single" w:sz="4" w:space="0" w:color="000000"/>
              <w:left w:val="single" w:sz="12" w:space="0" w:color="000000"/>
              <w:bottom w:val="single" w:sz="4" w:space="0" w:color="000000"/>
              <w:right w:val="single" w:sz="12" w:space="0" w:color="000000"/>
            </w:tcBorders>
          </w:tcPr>
          <w:p w14:paraId="7B85C6F1" w14:textId="77777777" w:rsidR="000B6214" w:rsidRDefault="000B6214">
            <w:pPr>
              <w:spacing w:after="0" w:line="259" w:lineRule="auto"/>
              <w:ind w:left="0" w:right="0" w:firstLine="0"/>
            </w:pPr>
            <w:r>
              <w:t xml:space="preserve">Separate samples collected from the same location or source, as closely as possible to the same point in space and time.  They are stored in separate containers and analyzed separately to document the variability of the sampling process and matrix effect on recoveries (for groundwater, two samples gathered in sequence from separate bailer quantities from the same well). </w:t>
            </w:r>
          </w:p>
        </w:tc>
      </w:tr>
      <w:tr w:rsidR="00352EC7" w14:paraId="79039CF0" w14:textId="77777777" w:rsidTr="00C674D9">
        <w:tblPrEx>
          <w:tblCellMar>
            <w:right w:w="60" w:type="dxa"/>
          </w:tblCellMar>
        </w:tblPrEx>
        <w:trPr>
          <w:trHeight w:val="516"/>
        </w:trPr>
        <w:tc>
          <w:tcPr>
            <w:tcW w:w="2657" w:type="dxa"/>
            <w:tcBorders>
              <w:top w:val="single" w:sz="4" w:space="0" w:color="000000"/>
              <w:left w:val="single" w:sz="12" w:space="0" w:color="000000"/>
              <w:bottom w:val="single" w:sz="4" w:space="0" w:color="000000"/>
              <w:right w:val="single" w:sz="12" w:space="0" w:color="000000"/>
            </w:tcBorders>
            <w:vAlign w:val="center"/>
          </w:tcPr>
          <w:p w14:paraId="40AAEFAB" w14:textId="77777777" w:rsidR="000B6214" w:rsidRDefault="000B6214">
            <w:pPr>
              <w:spacing w:after="0" w:line="259" w:lineRule="auto"/>
              <w:ind w:left="0" w:right="0" w:firstLine="0"/>
            </w:pPr>
            <w:r>
              <w:rPr>
                <w:b/>
              </w:rPr>
              <w:t xml:space="preserve">Control Sample   </w:t>
            </w:r>
          </w:p>
        </w:tc>
        <w:tc>
          <w:tcPr>
            <w:tcW w:w="7963" w:type="dxa"/>
            <w:tcBorders>
              <w:top w:val="single" w:sz="4" w:space="0" w:color="000000"/>
              <w:left w:val="single" w:sz="12" w:space="0" w:color="000000"/>
              <w:bottom w:val="single" w:sz="4" w:space="0" w:color="000000"/>
              <w:right w:val="single" w:sz="12" w:space="0" w:color="000000"/>
            </w:tcBorders>
          </w:tcPr>
          <w:p w14:paraId="78B95520" w14:textId="77777777" w:rsidR="000B6214" w:rsidRDefault="000B6214">
            <w:pPr>
              <w:spacing w:after="0" w:line="259" w:lineRule="auto"/>
              <w:ind w:left="0" w:right="0" w:firstLine="0"/>
            </w:pPr>
            <w:r>
              <w:t xml:space="preserve">A QC sample introduced into a data collection process to monitor the performance of the system. </w:t>
            </w:r>
          </w:p>
        </w:tc>
      </w:tr>
      <w:tr w:rsidR="00352EC7" w14:paraId="28181A84" w14:textId="77777777" w:rsidTr="00C674D9">
        <w:tblPrEx>
          <w:tblCellMar>
            <w:right w:w="60" w:type="dxa"/>
          </w:tblCellMar>
        </w:tblPrEx>
        <w:trPr>
          <w:trHeight w:val="262"/>
        </w:trPr>
        <w:tc>
          <w:tcPr>
            <w:tcW w:w="2657" w:type="dxa"/>
            <w:tcBorders>
              <w:top w:val="single" w:sz="4" w:space="0" w:color="000000"/>
              <w:left w:val="single" w:sz="12" w:space="0" w:color="000000"/>
              <w:bottom w:val="single" w:sz="4" w:space="0" w:color="000000"/>
              <w:right w:val="single" w:sz="12" w:space="0" w:color="000000"/>
            </w:tcBorders>
          </w:tcPr>
          <w:p w14:paraId="1AA8AE2F" w14:textId="77777777" w:rsidR="000B6214" w:rsidRDefault="000B6214">
            <w:pPr>
              <w:spacing w:after="0" w:line="259" w:lineRule="auto"/>
              <w:ind w:left="0" w:right="0" w:firstLine="0"/>
              <w:rPr>
                <w:b/>
              </w:rPr>
            </w:pPr>
            <w:r>
              <w:rPr>
                <w:b/>
              </w:rPr>
              <w:t xml:space="preserve">CV  </w:t>
            </w:r>
          </w:p>
        </w:tc>
        <w:tc>
          <w:tcPr>
            <w:tcW w:w="7963" w:type="dxa"/>
            <w:tcBorders>
              <w:top w:val="single" w:sz="4" w:space="0" w:color="000000"/>
              <w:left w:val="single" w:sz="12" w:space="0" w:color="000000"/>
              <w:bottom w:val="single" w:sz="4" w:space="0" w:color="000000"/>
              <w:right w:val="single" w:sz="12" w:space="0" w:color="000000"/>
            </w:tcBorders>
          </w:tcPr>
          <w:p w14:paraId="542EF273" w14:textId="7D44F0E7" w:rsidR="000B6214" w:rsidRDefault="000B6214">
            <w:pPr>
              <w:spacing w:after="0" w:line="259" w:lineRule="auto"/>
              <w:ind w:left="0" w:right="0" w:firstLine="0"/>
            </w:pPr>
            <w:r>
              <w:t xml:space="preserve">Calibration Verification (Also known as </w:t>
            </w:r>
            <w:r w:rsidR="00401DBB">
              <w:t xml:space="preserve">CCC and </w:t>
            </w:r>
            <w:r>
              <w:t>CCV)</w:t>
            </w:r>
          </w:p>
        </w:tc>
      </w:tr>
      <w:tr w:rsidR="00352EC7" w14:paraId="1597227B" w14:textId="77777777" w:rsidTr="00C674D9">
        <w:tblPrEx>
          <w:tblCellMar>
            <w:right w:w="60" w:type="dxa"/>
          </w:tblCellMar>
        </w:tblPrEx>
        <w:trPr>
          <w:trHeight w:val="262"/>
        </w:trPr>
        <w:tc>
          <w:tcPr>
            <w:tcW w:w="2657" w:type="dxa"/>
            <w:tcBorders>
              <w:top w:val="single" w:sz="4" w:space="0" w:color="000000"/>
              <w:left w:val="single" w:sz="12" w:space="0" w:color="000000"/>
              <w:bottom w:val="single" w:sz="4" w:space="0" w:color="000000"/>
              <w:right w:val="single" w:sz="12" w:space="0" w:color="000000"/>
            </w:tcBorders>
          </w:tcPr>
          <w:p w14:paraId="3FBE13A5" w14:textId="77777777" w:rsidR="000B6214" w:rsidRDefault="000B6214">
            <w:pPr>
              <w:spacing w:after="0" w:line="259" w:lineRule="auto"/>
              <w:ind w:left="0" w:right="0" w:firstLine="0"/>
            </w:pPr>
            <w:r>
              <w:rPr>
                <w:b/>
              </w:rPr>
              <w:t xml:space="preserve">CVAA   </w:t>
            </w:r>
          </w:p>
        </w:tc>
        <w:tc>
          <w:tcPr>
            <w:tcW w:w="7963" w:type="dxa"/>
            <w:tcBorders>
              <w:top w:val="single" w:sz="4" w:space="0" w:color="000000"/>
              <w:left w:val="single" w:sz="12" w:space="0" w:color="000000"/>
              <w:bottom w:val="single" w:sz="4" w:space="0" w:color="000000"/>
              <w:right w:val="single" w:sz="12" w:space="0" w:color="000000"/>
            </w:tcBorders>
          </w:tcPr>
          <w:p w14:paraId="7A0464AC" w14:textId="77777777" w:rsidR="000B6214" w:rsidRDefault="000B6214">
            <w:pPr>
              <w:spacing w:after="0" w:line="259" w:lineRule="auto"/>
              <w:ind w:left="0" w:right="0" w:firstLine="0"/>
            </w:pPr>
            <w:r>
              <w:t xml:space="preserve">Cold Vapor Atomic Absorption </w:t>
            </w:r>
          </w:p>
        </w:tc>
      </w:tr>
      <w:tr w:rsidR="00352EC7" w14:paraId="53514004" w14:textId="77777777" w:rsidTr="00C674D9">
        <w:tblPrEx>
          <w:tblCellMar>
            <w:right w:w="60" w:type="dxa"/>
          </w:tblCellMar>
        </w:tblPrEx>
        <w:trPr>
          <w:trHeight w:val="518"/>
        </w:trPr>
        <w:tc>
          <w:tcPr>
            <w:tcW w:w="2657" w:type="dxa"/>
            <w:tcBorders>
              <w:top w:val="single" w:sz="4" w:space="0" w:color="000000"/>
              <w:left w:val="single" w:sz="12" w:space="0" w:color="000000"/>
              <w:bottom w:val="single" w:sz="4" w:space="0" w:color="000000"/>
              <w:right w:val="single" w:sz="12" w:space="0" w:color="000000"/>
            </w:tcBorders>
            <w:vAlign w:val="center"/>
          </w:tcPr>
          <w:p w14:paraId="6212963C" w14:textId="77777777" w:rsidR="000B6214" w:rsidRDefault="000B6214">
            <w:pPr>
              <w:spacing w:after="0" w:line="259" w:lineRule="auto"/>
              <w:ind w:left="0" w:right="0" w:firstLine="0"/>
            </w:pPr>
            <w:r>
              <w:rPr>
                <w:b/>
              </w:rPr>
              <w:t xml:space="preserve">D001    </w:t>
            </w:r>
          </w:p>
        </w:tc>
        <w:tc>
          <w:tcPr>
            <w:tcW w:w="7963" w:type="dxa"/>
            <w:tcBorders>
              <w:top w:val="single" w:sz="4" w:space="0" w:color="000000"/>
              <w:left w:val="single" w:sz="12" w:space="0" w:color="000000"/>
              <w:bottom w:val="single" w:sz="4" w:space="0" w:color="000000"/>
              <w:right w:val="single" w:sz="12" w:space="0" w:color="000000"/>
            </w:tcBorders>
          </w:tcPr>
          <w:p w14:paraId="7E1A558F" w14:textId="77777777" w:rsidR="000B6214" w:rsidRDefault="000B6214">
            <w:pPr>
              <w:spacing w:after="0" w:line="259" w:lineRule="auto"/>
              <w:ind w:left="0" w:right="0" w:firstLine="0"/>
            </w:pPr>
            <w:r>
              <w:t xml:space="preserve">Ignitability - as defined in 40 CFR 261.21 and SW-846 (RCRA Subtitle C hazardous waste code for characteristic) </w:t>
            </w:r>
          </w:p>
        </w:tc>
      </w:tr>
      <w:tr w:rsidR="00352EC7" w14:paraId="61CE604B" w14:textId="77777777" w:rsidTr="00C674D9">
        <w:tblPrEx>
          <w:tblCellMar>
            <w:right w:w="60" w:type="dxa"/>
          </w:tblCellMar>
        </w:tblPrEx>
        <w:trPr>
          <w:trHeight w:val="516"/>
        </w:trPr>
        <w:tc>
          <w:tcPr>
            <w:tcW w:w="2657" w:type="dxa"/>
            <w:tcBorders>
              <w:top w:val="single" w:sz="4" w:space="0" w:color="000000"/>
              <w:left w:val="single" w:sz="12" w:space="0" w:color="000000"/>
              <w:bottom w:val="single" w:sz="4" w:space="0" w:color="000000"/>
              <w:right w:val="single" w:sz="12" w:space="0" w:color="000000"/>
            </w:tcBorders>
            <w:vAlign w:val="center"/>
          </w:tcPr>
          <w:p w14:paraId="6F11B709" w14:textId="77777777" w:rsidR="000B6214" w:rsidRDefault="000B6214">
            <w:pPr>
              <w:spacing w:after="0" w:line="259" w:lineRule="auto"/>
              <w:ind w:left="0" w:right="0" w:firstLine="0"/>
            </w:pPr>
            <w:r>
              <w:rPr>
                <w:b/>
              </w:rPr>
              <w:t xml:space="preserve">D002    </w:t>
            </w:r>
          </w:p>
        </w:tc>
        <w:tc>
          <w:tcPr>
            <w:tcW w:w="7963" w:type="dxa"/>
            <w:tcBorders>
              <w:top w:val="single" w:sz="4" w:space="0" w:color="000000"/>
              <w:left w:val="single" w:sz="12" w:space="0" w:color="000000"/>
              <w:bottom w:val="single" w:sz="4" w:space="0" w:color="000000"/>
              <w:right w:val="single" w:sz="12" w:space="0" w:color="000000"/>
            </w:tcBorders>
          </w:tcPr>
          <w:p w14:paraId="15A7CF74" w14:textId="77777777" w:rsidR="000B6214" w:rsidRDefault="000B6214">
            <w:pPr>
              <w:spacing w:after="0" w:line="259" w:lineRule="auto"/>
              <w:ind w:left="0" w:right="0" w:firstLine="0"/>
            </w:pPr>
            <w:r>
              <w:t xml:space="preserve">Corrosivity - as defined in 40 CFR 261.22 and SW-846 (RCRA Subtitle C hazardous waste code for characteristic) </w:t>
            </w:r>
          </w:p>
        </w:tc>
      </w:tr>
      <w:tr w:rsidR="00352EC7" w14:paraId="3C5D16C3" w14:textId="77777777" w:rsidTr="00C674D9">
        <w:tblPrEx>
          <w:tblCellMar>
            <w:right w:w="60" w:type="dxa"/>
          </w:tblCellMar>
        </w:tblPrEx>
        <w:trPr>
          <w:trHeight w:val="516"/>
        </w:trPr>
        <w:tc>
          <w:tcPr>
            <w:tcW w:w="2657" w:type="dxa"/>
            <w:tcBorders>
              <w:top w:val="single" w:sz="4" w:space="0" w:color="000000"/>
              <w:left w:val="single" w:sz="12" w:space="0" w:color="000000"/>
              <w:bottom w:val="single" w:sz="4" w:space="0" w:color="000000"/>
              <w:right w:val="single" w:sz="12" w:space="0" w:color="000000"/>
            </w:tcBorders>
            <w:vAlign w:val="center"/>
          </w:tcPr>
          <w:p w14:paraId="4550FE34" w14:textId="77777777" w:rsidR="000B6214" w:rsidRDefault="000B6214">
            <w:pPr>
              <w:spacing w:after="0" w:line="259" w:lineRule="auto"/>
              <w:ind w:left="0" w:right="0" w:firstLine="0"/>
            </w:pPr>
            <w:r>
              <w:rPr>
                <w:b/>
              </w:rPr>
              <w:t xml:space="preserve">D003   </w:t>
            </w:r>
          </w:p>
        </w:tc>
        <w:tc>
          <w:tcPr>
            <w:tcW w:w="7963" w:type="dxa"/>
            <w:tcBorders>
              <w:top w:val="single" w:sz="4" w:space="0" w:color="000000"/>
              <w:left w:val="single" w:sz="12" w:space="0" w:color="000000"/>
              <w:bottom w:val="single" w:sz="4" w:space="0" w:color="000000"/>
              <w:right w:val="single" w:sz="12" w:space="0" w:color="000000"/>
            </w:tcBorders>
          </w:tcPr>
          <w:p w14:paraId="4F34EC61" w14:textId="77777777" w:rsidR="000B6214" w:rsidRDefault="000B6214">
            <w:pPr>
              <w:spacing w:after="0" w:line="259" w:lineRule="auto"/>
              <w:ind w:left="0" w:right="0" w:firstLine="0"/>
            </w:pPr>
            <w:r>
              <w:t xml:space="preserve">Reactivity - as defined in 40 CFR 261.23 and SW-846 (RCRA Subtitle C hazardous waste code for characteristic) </w:t>
            </w:r>
          </w:p>
        </w:tc>
      </w:tr>
      <w:tr w:rsidR="00352EC7" w14:paraId="63ABB07B" w14:textId="77777777" w:rsidTr="00C674D9">
        <w:tblPrEx>
          <w:tblCellMar>
            <w:right w:w="60" w:type="dxa"/>
          </w:tblCellMar>
        </w:tblPrEx>
        <w:trPr>
          <w:trHeight w:val="1037"/>
        </w:trPr>
        <w:tc>
          <w:tcPr>
            <w:tcW w:w="2657" w:type="dxa"/>
            <w:tcBorders>
              <w:top w:val="single" w:sz="4" w:space="0" w:color="000000"/>
              <w:left w:val="single" w:sz="12" w:space="0" w:color="000000"/>
              <w:bottom w:val="single" w:sz="4" w:space="0" w:color="000000"/>
              <w:right w:val="single" w:sz="12" w:space="0" w:color="000000"/>
            </w:tcBorders>
            <w:vAlign w:val="center"/>
          </w:tcPr>
          <w:p w14:paraId="5A3F024B" w14:textId="77777777" w:rsidR="000B6214" w:rsidRDefault="000B6214">
            <w:pPr>
              <w:spacing w:after="0" w:line="259" w:lineRule="auto"/>
              <w:ind w:left="0" w:right="0" w:firstLine="0"/>
            </w:pPr>
            <w:r>
              <w:rPr>
                <w:b/>
              </w:rPr>
              <w:t xml:space="preserve">Data Quality Objectives (DQOs)  </w:t>
            </w:r>
          </w:p>
        </w:tc>
        <w:tc>
          <w:tcPr>
            <w:tcW w:w="7963" w:type="dxa"/>
            <w:tcBorders>
              <w:top w:val="single" w:sz="4" w:space="0" w:color="000000"/>
              <w:left w:val="single" w:sz="12" w:space="0" w:color="000000"/>
              <w:bottom w:val="single" w:sz="4" w:space="0" w:color="000000"/>
              <w:right w:val="single" w:sz="12" w:space="0" w:color="000000"/>
            </w:tcBorders>
          </w:tcPr>
          <w:p w14:paraId="3E47CDB7" w14:textId="77777777" w:rsidR="000B6214" w:rsidRDefault="000B6214">
            <w:pPr>
              <w:spacing w:after="0" w:line="259" w:lineRule="auto"/>
              <w:ind w:left="0" w:right="46" w:firstLine="0"/>
            </w:pPr>
            <w:r>
              <w:t xml:space="preserve">Qualitative and quantitative statements that clarify the overall objective of a data collection activity by defining the criteria that the project should satisfy.  (This is distinct from quality control measurements such as precision and bias.  It also does not refer to levels of data documentation or volume of “data deliverables.”) </w:t>
            </w:r>
          </w:p>
        </w:tc>
      </w:tr>
      <w:tr w:rsidR="00564C5D" w14:paraId="6F748D33" w14:textId="77777777" w:rsidTr="00C674D9">
        <w:trPr>
          <w:trHeight w:val="262"/>
        </w:trPr>
        <w:tc>
          <w:tcPr>
            <w:tcW w:w="2657" w:type="dxa"/>
            <w:tcBorders>
              <w:top w:val="single" w:sz="4" w:space="0" w:color="000000"/>
              <w:left w:val="single" w:sz="12" w:space="0" w:color="000000"/>
              <w:bottom w:val="single" w:sz="4" w:space="0" w:color="000000"/>
              <w:right w:val="single" w:sz="12" w:space="0" w:color="000000"/>
            </w:tcBorders>
          </w:tcPr>
          <w:p w14:paraId="775939B1" w14:textId="5CCFCD29" w:rsidR="00564C5D" w:rsidRDefault="00715859">
            <w:pPr>
              <w:spacing w:after="0" w:line="259" w:lineRule="auto"/>
              <w:ind w:left="0" w:right="0" w:firstLine="0"/>
              <w:rPr>
                <w:b/>
              </w:rPr>
            </w:pPr>
            <w:r>
              <w:rPr>
                <w:b/>
              </w:rPr>
              <w:t>DI Spike</w:t>
            </w:r>
            <w:r w:rsidR="00564C5D">
              <w:rPr>
                <w:b/>
              </w:rPr>
              <w:t xml:space="preserve"> </w:t>
            </w:r>
          </w:p>
        </w:tc>
        <w:tc>
          <w:tcPr>
            <w:tcW w:w="7963" w:type="dxa"/>
            <w:tcBorders>
              <w:top w:val="single" w:sz="4" w:space="0" w:color="000000"/>
              <w:left w:val="single" w:sz="12" w:space="0" w:color="000000"/>
              <w:bottom w:val="single" w:sz="4" w:space="0" w:color="000000"/>
              <w:right w:val="single" w:sz="12" w:space="0" w:color="000000"/>
            </w:tcBorders>
          </w:tcPr>
          <w:p w14:paraId="35072DCB" w14:textId="54DDA770" w:rsidR="00564C5D" w:rsidRDefault="0088655A">
            <w:pPr>
              <w:spacing w:after="0" w:line="259" w:lineRule="auto"/>
              <w:ind w:left="0" w:right="0" w:firstLine="0"/>
            </w:pPr>
            <w:r>
              <w:t>Distilled</w:t>
            </w:r>
            <w:r w:rsidR="00564C5D">
              <w:t xml:space="preserve"> Water </w:t>
            </w:r>
            <w:r>
              <w:t>Spike</w:t>
            </w:r>
            <w:r w:rsidR="00564C5D">
              <w:t xml:space="preserve"> (Also known as LCS, LFB, OPR, and Recovery Standard)</w:t>
            </w:r>
          </w:p>
        </w:tc>
      </w:tr>
      <w:tr w:rsidR="00352EC7" w14:paraId="7190000D" w14:textId="77777777" w:rsidTr="00C674D9">
        <w:tblPrEx>
          <w:tblCellMar>
            <w:right w:w="60" w:type="dxa"/>
          </w:tblCellMar>
        </w:tblPrEx>
        <w:trPr>
          <w:trHeight w:val="262"/>
        </w:trPr>
        <w:tc>
          <w:tcPr>
            <w:tcW w:w="2657" w:type="dxa"/>
            <w:tcBorders>
              <w:top w:val="single" w:sz="4" w:space="0" w:color="000000"/>
              <w:left w:val="single" w:sz="12" w:space="0" w:color="000000"/>
              <w:bottom w:val="single" w:sz="4" w:space="0" w:color="000000"/>
              <w:right w:val="single" w:sz="12" w:space="0" w:color="000000"/>
            </w:tcBorders>
          </w:tcPr>
          <w:p w14:paraId="4C9E5811" w14:textId="77777777" w:rsidR="000B6214" w:rsidRDefault="000B6214">
            <w:pPr>
              <w:spacing w:after="0" w:line="259" w:lineRule="auto"/>
              <w:ind w:left="0" w:right="0" w:firstLine="0"/>
            </w:pPr>
            <w:r>
              <w:rPr>
                <w:b/>
              </w:rPr>
              <w:t xml:space="preserve">Dissolved Metals   </w:t>
            </w:r>
          </w:p>
        </w:tc>
        <w:tc>
          <w:tcPr>
            <w:tcW w:w="7963" w:type="dxa"/>
            <w:tcBorders>
              <w:top w:val="single" w:sz="4" w:space="0" w:color="000000"/>
              <w:left w:val="single" w:sz="12" w:space="0" w:color="000000"/>
              <w:bottom w:val="single" w:sz="4" w:space="0" w:color="000000"/>
              <w:right w:val="single" w:sz="12" w:space="0" w:color="000000"/>
            </w:tcBorders>
          </w:tcPr>
          <w:p w14:paraId="71A567E7" w14:textId="77777777" w:rsidR="000B6214" w:rsidRDefault="000B6214">
            <w:pPr>
              <w:spacing w:after="0" w:line="259" w:lineRule="auto"/>
              <w:ind w:left="0" w:right="0" w:firstLine="0"/>
            </w:pPr>
            <w:r>
              <w:t xml:space="preserve">Digestion and analysis for metals of a filtered aqueous sample. </w:t>
            </w:r>
          </w:p>
        </w:tc>
      </w:tr>
      <w:tr w:rsidR="00352EC7" w14:paraId="5B286C52" w14:textId="77777777" w:rsidTr="00C674D9">
        <w:tblPrEx>
          <w:tblCellMar>
            <w:right w:w="60" w:type="dxa"/>
          </w:tblCellMar>
        </w:tblPrEx>
        <w:trPr>
          <w:trHeight w:val="516"/>
        </w:trPr>
        <w:tc>
          <w:tcPr>
            <w:tcW w:w="2657" w:type="dxa"/>
            <w:tcBorders>
              <w:top w:val="single" w:sz="4" w:space="0" w:color="000000"/>
              <w:left w:val="single" w:sz="12" w:space="0" w:color="000000"/>
              <w:bottom w:val="single" w:sz="4" w:space="0" w:color="000000"/>
              <w:right w:val="single" w:sz="12" w:space="0" w:color="000000"/>
            </w:tcBorders>
            <w:vAlign w:val="center"/>
          </w:tcPr>
          <w:p w14:paraId="3C5EEBBB" w14:textId="77777777" w:rsidR="000B6214" w:rsidRDefault="000B6214">
            <w:pPr>
              <w:spacing w:after="0" w:line="259" w:lineRule="auto"/>
              <w:ind w:left="0" w:right="0" w:firstLine="0"/>
            </w:pPr>
            <w:r>
              <w:rPr>
                <w:b/>
              </w:rPr>
              <w:t xml:space="preserve">Duplicate    </w:t>
            </w:r>
          </w:p>
        </w:tc>
        <w:tc>
          <w:tcPr>
            <w:tcW w:w="7963" w:type="dxa"/>
            <w:tcBorders>
              <w:top w:val="single" w:sz="4" w:space="0" w:color="000000"/>
              <w:left w:val="single" w:sz="12" w:space="0" w:color="000000"/>
              <w:bottom w:val="single" w:sz="4" w:space="0" w:color="000000"/>
              <w:right w:val="single" w:sz="12" w:space="0" w:color="000000"/>
            </w:tcBorders>
          </w:tcPr>
          <w:p w14:paraId="20864C43" w14:textId="77777777" w:rsidR="000B6214" w:rsidRDefault="000B6214">
            <w:pPr>
              <w:spacing w:after="0" w:line="259" w:lineRule="auto"/>
              <w:ind w:left="0" w:right="0" w:firstLine="0"/>
            </w:pPr>
            <w:r>
              <w:t xml:space="preserve">See Field Duplicate, Laboratory Duplicate, Matrix Duplicate, and Matrix Spike Duplicate.  </w:t>
            </w:r>
          </w:p>
        </w:tc>
      </w:tr>
      <w:tr w:rsidR="00352EC7" w14:paraId="2606A6C4" w14:textId="77777777" w:rsidTr="00C674D9">
        <w:tblPrEx>
          <w:tblCellMar>
            <w:right w:w="60" w:type="dxa"/>
          </w:tblCellMar>
        </w:tblPrEx>
        <w:trPr>
          <w:trHeight w:val="264"/>
        </w:trPr>
        <w:tc>
          <w:tcPr>
            <w:tcW w:w="2657" w:type="dxa"/>
            <w:tcBorders>
              <w:top w:val="single" w:sz="4" w:space="0" w:color="000000"/>
              <w:left w:val="single" w:sz="12" w:space="0" w:color="000000"/>
              <w:bottom w:val="single" w:sz="4" w:space="0" w:color="000000"/>
              <w:right w:val="single" w:sz="12" w:space="0" w:color="000000"/>
            </w:tcBorders>
          </w:tcPr>
          <w:p w14:paraId="38D078A8" w14:textId="77777777" w:rsidR="000B6214" w:rsidRDefault="000B6214">
            <w:pPr>
              <w:spacing w:after="0" w:line="259" w:lineRule="auto"/>
              <w:ind w:left="0" w:right="0" w:firstLine="0"/>
            </w:pPr>
            <w:r>
              <w:rPr>
                <w:b/>
              </w:rPr>
              <w:t xml:space="preserve">Dry Weight </w:t>
            </w:r>
          </w:p>
        </w:tc>
        <w:tc>
          <w:tcPr>
            <w:tcW w:w="7963" w:type="dxa"/>
            <w:tcBorders>
              <w:top w:val="single" w:sz="4" w:space="0" w:color="000000"/>
              <w:left w:val="single" w:sz="12" w:space="0" w:color="000000"/>
              <w:bottom w:val="single" w:sz="4" w:space="0" w:color="000000"/>
              <w:right w:val="single" w:sz="12" w:space="0" w:color="000000"/>
            </w:tcBorders>
          </w:tcPr>
          <w:p w14:paraId="30B189F7" w14:textId="77777777" w:rsidR="000B6214" w:rsidRDefault="000B6214">
            <w:pPr>
              <w:spacing w:after="0" w:line="259" w:lineRule="auto"/>
              <w:ind w:left="0" w:right="0" w:firstLine="0"/>
            </w:pPr>
            <w:r>
              <w:t xml:space="preserve">The mass of a soil sample or an object when dried. </w:t>
            </w:r>
          </w:p>
        </w:tc>
      </w:tr>
      <w:tr w:rsidR="00352EC7" w:rsidRPr="000F5D01" w14:paraId="525803CE" w14:textId="77777777" w:rsidTr="00C674D9">
        <w:tblPrEx>
          <w:tblCellMar>
            <w:right w:w="60" w:type="dxa"/>
          </w:tblCellMar>
        </w:tblPrEx>
        <w:trPr>
          <w:trHeight w:val="262"/>
        </w:trPr>
        <w:tc>
          <w:tcPr>
            <w:tcW w:w="2657" w:type="dxa"/>
            <w:tcBorders>
              <w:top w:val="single" w:sz="4" w:space="0" w:color="000000"/>
              <w:left w:val="single" w:sz="12" w:space="0" w:color="000000"/>
              <w:bottom w:val="single" w:sz="4" w:space="0" w:color="000000"/>
              <w:right w:val="single" w:sz="12" w:space="0" w:color="000000"/>
            </w:tcBorders>
          </w:tcPr>
          <w:p w14:paraId="68388577" w14:textId="77777777" w:rsidR="000B6214" w:rsidRPr="000F5D01" w:rsidRDefault="000B6214">
            <w:pPr>
              <w:spacing w:after="0" w:line="259" w:lineRule="auto"/>
              <w:ind w:left="0" w:right="0" w:firstLine="0"/>
              <w:rPr>
                <w:color w:val="auto"/>
              </w:rPr>
            </w:pPr>
            <w:r w:rsidRPr="000F5D01">
              <w:rPr>
                <w:b/>
                <w:color w:val="auto"/>
              </w:rPr>
              <w:t xml:space="preserve">ECD   </w:t>
            </w:r>
          </w:p>
        </w:tc>
        <w:tc>
          <w:tcPr>
            <w:tcW w:w="7963" w:type="dxa"/>
            <w:tcBorders>
              <w:top w:val="single" w:sz="4" w:space="0" w:color="000000"/>
              <w:left w:val="single" w:sz="12" w:space="0" w:color="000000"/>
              <w:bottom w:val="single" w:sz="4" w:space="0" w:color="000000"/>
              <w:right w:val="single" w:sz="12" w:space="0" w:color="000000"/>
            </w:tcBorders>
          </w:tcPr>
          <w:p w14:paraId="5B652562" w14:textId="77777777" w:rsidR="000B6214" w:rsidRPr="000F5D01" w:rsidRDefault="000B6214">
            <w:pPr>
              <w:spacing w:after="0" w:line="259" w:lineRule="auto"/>
              <w:ind w:left="0" w:right="0" w:firstLine="0"/>
              <w:rPr>
                <w:color w:val="auto"/>
              </w:rPr>
            </w:pPr>
            <w:r w:rsidRPr="000F5D01">
              <w:rPr>
                <w:color w:val="auto"/>
              </w:rPr>
              <w:t xml:space="preserve">Electron Capture Detector </w:t>
            </w:r>
          </w:p>
        </w:tc>
      </w:tr>
      <w:tr w:rsidR="00352EC7" w14:paraId="00F39128" w14:textId="77777777" w:rsidTr="00C674D9">
        <w:tblPrEx>
          <w:tblCellMar>
            <w:right w:w="60" w:type="dxa"/>
          </w:tblCellMar>
        </w:tblPrEx>
        <w:trPr>
          <w:trHeight w:val="264"/>
        </w:trPr>
        <w:tc>
          <w:tcPr>
            <w:tcW w:w="2657" w:type="dxa"/>
            <w:tcBorders>
              <w:top w:val="single" w:sz="4" w:space="0" w:color="000000"/>
              <w:left w:val="single" w:sz="12" w:space="0" w:color="000000"/>
              <w:bottom w:val="single" w:sz="4" w:space="0" w:color="000000"/>
              <w:right w:val="single" w:sz="12" w:space="0" w:color="000000"/>
            </w:tcBorders>
          </w:tcPr>
          <w:p w14:paraId="1596E28F" w14:textId="77777777" w:rsidR="000B6214" w:rsidRDefault="000B6214">
            <w:pPr>
              <w:spacing w:after="0" w:line="259" w:lineRule="auto"/>
              <w:ind w:left="0" w:right="0" w:firstLine="0"/>
            </w:pPr>
            <w:r>
              <w:rPr>
                <w:b/>
              </w:rPr>
              <w:t xml:space="preserve">Eh </w:t>
            </w:r>
          </w:p>
        </w:tc>
        <w:tc>
          <w:tcPr>
            <w:tcW w:w="7963" w:type="dxa"/>
            <w:tcBorders>
              <w:top w:val="single" w:sz="4" w:space="0" w:color="000000"/>
              <w:left w:val="single" w:sz="12" w:space="0" w:color="000000"/>
              <w:bottom w:val="single" w:sz="4" w:space="0" w:color="000000"/>
              <w:right w:val="single" w:sz="12" w:space="0" w:color="000000"/>
            </w:tcBorders>
          </w:tcPr>
          <w:p w14:paraId="587E50EE" w14:textId="77777777" w:rsidR="000B6214" w:rsidRDefault="000B6214">
            <w:pPr>
              <w:spacing w:after="0" w:line="259" w:lineRule="auto"/>
              <w:ind w:left="0" w:right="0" w:firstLine="0"/>
            </w:pPr>
            <w:r>
              <w:t xml:space="preserve">Oxidation-Reduction Potential </w:t>
            </w:r>
          </w:p>
        </w:tc>
      </w:tr>
      <w:tr w:rsidR="00352EC7" w14:paraId="73BD2C16" w14:textId="77777777" w:rsidTr="00C674D9">
        <w:tblPrEx>
          <w:tblCellMar>
            <w:right w:w="60" w:type="dxa"/>
          </w:tblCellMar>
        </w:tblPrEx>
        <w:trPr>
          <w:trHeight w:val="264"/>
        </w:trPr>
        <w:tc>
          <w:tcPr>
            <w:tcW w:w="2657" w:type="dxa"/>
            <w:tcBorders>
              <w:top w:val="single" w:sz="4" w:space="0" w:color="000000"/>
              <w:left w:val="single" w:sz="12" w:space="0" w:color="000000"/>
              <w:bottom w:val="single" w:sz="4" w:space="0" w:color="000000"/>
              <w:right w:val="single" w:sz="12" w:space="0" w:color="000000"/>
            </w:tcBorders>
          </w:tcPr>
          <w:p w14:paraId="1B146514" w14:textId="77777777" w:rsidR="000B6214" w:rsidRDefault="000B6214">
            <w:pPr>
              <w:spacing w:after="0" w:line="259" w:lineRule="auto"/>
              <w:ind w:left="0" w:right="0" w:firstLine="0"/>
            </w:pPr>
            <w:r>
              <w:rPr>
                <w:b/>
              </w:rPr>
              <w:t xml:space="preserve">Elutriate Test </w:t>
            </w:r>
          </w:p>
        </w:tc>
        <w:tc>
          <w:tcPr>
            <w:tcW w:w="7963" w:type="dxa"/>
            <w:tcBorders>
              <w:top w:val="single" w:sz="4" w:space="0" w:color="000000"/>
              <w:left w:val="single" w:sz="12" w:space="0" w:color="000000"/>
              <w:bottom w:val="single" w:sz="4" w:space="0" w:color="000000"/>
              <w:right w:val="single" w:sz="12" w:space="0" w:color="000000"/>
            </w:tcBorders>
          </w:tcPr>
          <w:p w14:paraId="787676EC" w14:textId="77777777" w:rsidR="000B6214" w:rsidRDefault="000B6214">
            <w:pPr>
              <w:spacing w:after="0" w:line="259" w:lineRule="auto"/>
              <w:ind w:left="0" w:right="0" w:firstLine="0"/>
            </w:pPr>
            <w:r>
              <w:t xml:space="preserve">See USACE Modified Elutriate Test </w:t>
            </w:r>
          </w:p>
        </w:tc>
      </w:tr>
      <w:tr w:rsidR="00352EC7" w14:paraId="541CB938" w14:textId="77777777" w:rsidTr="00C674D9">
        <w:tblPrEx>
          <w:tblCellMar>
            <w:right w:w="60" w:type="dxa"/>
          </w:tblCellMar>
        </w:tblPrEx>
        <w:trPr>
          <w:trHeight w:val="516"/>
        </w:trPr>
        <w:tc>
          <w:tcPr>
            <w:tcW w:w="2657" w:type="dxa"/>
            <w:tcBorders>
              <w:top w:val="single" w:sz="4" w:space="0" w:color="000000"/>
              <w:left w:val="single" w:sz="12" w:space="0" w:color="000000"/>
              <w:bottom w:val="single" w:sz="4" w:space="0" w:color="000000"/>
              <w:right w:val="single" w:sz="12" w:space="0" w:color="000000"/>
            </w:tcBorders>
          </w:tcPr>
          <w:p w14:paraId="3B514340" w14:textId="77777777" w:rsidR="000B6214" w:rsidRDefault="000B6214">
            <w:pPr>
              <w:spacing w:after="0" w:line="259" w:lineRule="auto"/>
              <w:ind w:left="0" w:right="0" w:firstLine="0"/>
            </w:pPr>
            <w:r>
              <w:rPr>
                <w:b/>
              </w:rPr>
              <w:t xml:space="preserve">Enforcement Level Reporting </w:t>
            </w:r>
          </w:p>
        </w:tc>
        <w:tc>
          <w:tcPr>
            <w:tcW w:w="7963" w:type="dxa"/>
            <w:tcBorders>
              <w:top w:val="single" w:sz="4" w:space="0" w:color="000000"/>
              <w:left w:val="single" w:sz="12" w:space="0" w:color="000000"/>
              <w:bottom w:val="single" w:sz="4" w:space="0" w:color="000000"/>
              <w:right w:val="single" w:sz="12" w:space="0" w:color="000000"/>
            </w:tcBorders>
          </w:tcPr>
          <w:p w14:paraId="378DC072" w14:textId="77777777" w:rsidR="000B6214" w:rsidRDefault="000B6214">
            <w:pPr>
              <w:spacing w:after="0" w:line="259" w:lineRule="auto"/>
              <w:ind w:left="0" w:right="0" w:firstLine="0"/>
            </w:pPr>
            <w:r>
              <w:t xml:space="preserve">Project Deliverables plus raw data plus internal laboratory chain-of-custody and other documentation specified at the time of the analytical request. </w:t>
            </w:r>
          </w:p>
        </w:tc>
      </w:tr>
      <w:tr w:rsidR="00352EC7" w14:paraId="18E01AFD" w14:textId="77777777" w:rsidTr="00C674D9">
        <w:tblPrEx>
          <w:tblCellMar>
            <w:right w:w="60" w:type="dxa"/>
          </w:tblCellMar>
        </w:tblPrEx>
        <w:trPr>
          <w:trHeight w:val="235"/>
        </w:trPr>
        <w:tc>
          <w:tcPr>
            <w:tcW w:w="2657" w:type="dxa"/>
            <w:tcBorders>
              <w:top w:val="single" w:sz="4" w:space="0" w:color="000000"/>
              <w:left w:val="single" w:sz="12" w:space="0" w:color="000000"/>
              <w:bottom w:val="single" w:sz="4" w:space="0" w:color="000000"/>
              <w:right w:val="single" w:sz="12" w:space="0" w:color="000000"/>
            </w:tcBorders>
          </w:tcPr>
          <w:p w14:paraId="6CFA7115" w14:textId="77777777" w:rsidR="000B6214" w:rsidRDefault="000B6214">
            <w:pPr>
              <w:spacing w:after="0" w:line="259" w:lineRule="auto"/>
              <w:ind w:left="0" w:right="0" w:firstLine="0"/>
              <w:rPr>
                <w:b/>
              </w:rPr>
            </w:pPr>
            <w:r>
              <w:rPr>
                <w:b/>
              </w:rPr>
              <w:t>EIS</w:t>
            </w:r>
          </w:p>
        </w:tc>
        <w:tc>
          <w:tcPr>
            <w:tcW w:w="7963" w:type="dxa"/>
            <w:tcBorders>
              <w:top w:val="single" w:sz="4" w:space="0" w:color="000000"/>
              <w:left w:val="single" w:sz="12" w:space="0" w:color="000000"/>
              <w:bottom w:val="single" w:sz="4" w:space="0" w:color="000000"/>
              <w:right w:val="single" w:sz="12" w:space="0" w:color="000000"/>
            </w:tcBorders>
          </w:tcPr>
          <w:p w14:paraId="5ED1275E" w14:textId="77777777" w:rsidR="000B6214" w:rsidRDefault="000B6214">
            <w:pPr>
              <w:spacing w:after="0" w:line="259" w:lineRule="auto"/>
              <w:ind w:left="0" w:right="0" w:firstLine="0"/>
            </w:pPr>
            <w:r>
              <w:t xml:space="preserve">Extracted Internal </w:t>
            </w:r>
            <w:proofErr w:type="gramStart"/>
            <w:r>
              <w:t>Standard  (</w:t>
            </w:r>
            <w:proofErr w:type="gramEnd"/>
            <w:r>
              <w:t>Also known as IS and NIS)</w:t>
            </w:r>
          </w:p>
        </w:tc>
      </w:tr>
      <w:tr w:rsidR="00352EC7" w:rsidRPr="008E474A" w14:paraId="022A6A8C" w14:textId="77777777" w:rsidTr="00C674D9">
        <w:tblPrEx>
          <w:tblCellMar>
            <w:right w:w="60" w:type="dxa"/>
          </w:tblCellMar>
        </w:tblPrEx>
        <w:trPr>
          <w:trHeight w:val="262"/>
        </w:trPr>
        <w:tc>
          <w:tcPr>
            <w:tcW w:w="2657" w:type="dxa"/>
            <w:tcBorders>
              <w:top w:val="single" w:sz="4" w:space="0" w:color="000000"/>
              <w:left w:val="single" w:sz="12" w:space="0" w:color="000000"/>
              <w:bottom w:val="single" w:sz="4" w:space="0" w:color="000000"/>
              <w:right w:val="single" w:sz="12" w:space="0" w:color="000000"/>
            </w:tcBorders>
          </w:tcPr>
          <w:p w14:paraId="68782D94" w14:textId="4C1661C1" w:rsidR="000B6214" w:rsidRPr="008E474A" w:rsidRDefault="00E12105">
            <w:pPr>
              <w:spacing w:after="0" w:line="259" w:lineRule="auto"/>
              <w:ind w:left="0" w:right="0" w:firstLine="0"/>
              <w:rPr>
                <w:color w:val="auto"/>
              </w:rPr>
            </w:pPr>
            <w:r>
              <w:rPr>
                <w:b/>
                <w:color w:val="auto"/>
              </w:rPr>
              <w:t>USEPA</w:t>
            </w:r>
            <w:r w:rsidR="000B6214" w:rsidRPr="008E474A">
              <w:rPr>
                <w:b/>
                <w:color w:val="auto"/>
              </w:rPr>
              <w:t xml:space="preserve"> </w:t>
            </w:r>
          </w:p>
        </w:tc>
        <w:tc>
          <w:tcPr>
            <w:tcW w:w="7963" w:type="dxa"/>
            <w:tcBorders>
              <w:top w:val="single" w:sz="4" w:space="0" w:color="000000"/>
              <w:left w:val="single" w:sz="12" w:space="0" w:color="000000"/>
              <w:bottom w:val="single" w:sz="4" w:space="0" w:color="000000"/>
              <w:right w:val="single" w:sz="12" w:space="0" w:color="000000"/>
            </w:tcBorders>
          </w:tcPr>
          <w:p w14:paraId="65798684" w14:textId="77777777" w:rsidR="000B6214" w:rsidRPr="008E474A" w:rsidRDefault="000B6214">
            <w:pPr>
              <w:spacing w:after="0" w:line="259" w:lineRule="auto"/>
              <w:ind w:left="0" w:right="0" w:firstLine="0"/>
              <w:rPr>
                <w:color w:val="auto"/>
              </w:rPr>
            </w:pPr>
            <w:r w:rsidRPr="008E474A">
              <w:rPr>
                <w:color w:val="auto"/>
              </w:rPr>
              <w:t xml:space="preserve">United States Environmental Protection Agency </w:t>
            </w:r>
          </w:p>
        </w:tc>
      </w:tr>
      <w:tr w:rsidR="00352EC7" w:rsidRPr="00E57B6D" w14:paraId="511451F4" w14:textId="77777777" w:rsidTr="00C674D9">
        <w:tblPrEx>
          <w:tblCellMar>
            <w:right w:w="60" w:type="dxa"/>
          </w:tblCellMar>
        </w:tblPrEx>
        <w:trPr>
          <w:trHeight w:val="264"/>
        </w:trPr>
        <w:tc>
          <w:tcPr>
            <w:tcW w:w="2657" w:type="dxa"/>
            <w:tcBorders>
              <w:top w:val="single" w:sz="4" w:space="0" w:color="000000"/>
              <w:left w:val="single" w:sz="12" w:space="0" w:color="000000"/>
              <w:bottom w:val="single" w:sz="4" w:space="0" w:color="000000"/>
              <w:right w:val="single" w:sz="12" w:space="0" w:color="000000"/>
            </w:tcBorders>
          </w:tcPr>
          <w:p w14:paraId="30462240" w14:textId="77777777" w:rsidR="000B6214" w:rsidRPr="00E57B6D" w:rsidRDefault="000B6214">
            <w:pPr>
              <w:spacing w:after="0" w:line="259" w:lineRule="auto"/>
              <w:ind w:left="0" w:right="0" w:firstLine="0"/>
              <w:rPr>
                <w:color w:val="auto"/>
              </w:rPr>
            </w:pPr>
            <w:r w:rsidRPr="00E57B6D">
              <w:rPr>
                <w:b/>
                <w:color w:val="auto"/>
              </w:rPr>
              <w:t xml:space="preserve">EPH </w:t>
            </w:r>
          </w:p>
        </w:tc>
        <w:tc>
          <w:tcPr>
            <w:tcW w:w="7963" w:type="dxa"/>
            <w:tcBorders>
              <w:top w:val="single" w:sz="4" w:space="0" w:color="000000"/>
              <w:left w:val="single" w:sz="12" w:space="0" w:color="000000"/>
              <w:bottom w:val="single" w:sz="4" w:space="0" w:color="000000"/>
              <w:right w:val="single" w:sz="12" w:space="0" w:color="000000"/>
            </w:tcBorders>
          </w:tcPr>
          <w:p w14:paraId="0D9CBD3C" w14:textId="77777777" w:rsidR="000B6214" w:rsidRPr="00E57B6D" w:rsidRDefault="000B6214">
            <w:pPr>
              <w:spacing w:after="0" w:line="259" w:lineRule="auto"/>
              <w:ind w:left="0" w:right="0" w:firstLine="0"/>
              <w:rPr>
                <w:color w:val="auto"/>
              </w:rPr>
            </w:pPr>
            <w:r w:rsidRPr="00E57B6D">
              <w:rPr>
                <w:color w:val="auto"/>
              </w:rPr>
              <w:t xml:space="preserve">Extractable Petroleum Hydrocarbons </w:t>
            </w:r>
          </w:p>
        </w:tc>
      </w:tr>
      <w:tr w:rsidR="00352EC7" w14:paraId="13B4E877" w14:textId="77777777" w:rsidTr="00C674D9">
        <w:tblPrEx>
          <w:tblCellMar>
            <w:right w:w="60" w:type="dxa"/>
          </w:tblCellMar>
        </w:tblPrEx>
        <w:trPr>
          <w:trHeight w:val="806"/>
        </w:trPr>
        <w:tc>
          <w:tcPr>
            <w:tcW w:w="2657" w:type="dxa"/>
            <w:tcBorders>
              <w:top w:val="single" w:sz="4" w:space="0" w:color="000000"/>
              <w:left w:val="single" w:sz="12" w:space="0" w:color="000000"/>
              <w:bottom w:val="single" w:sz="4" w:space="0" w:color="000000"/>
              <w:right w:val="single" w:sz="12" w:space="0" w:color="000000"/>
            </w:tcBorders>
            <w:vAlign w:val="center"/>
          </w:tcPr>
          <w:p w14:paraId="1398EF76" w14:textId="77777777" w:rsidR="000B6214" w:rsidRDefault="000B6214">
            <w:pPr>
              <w:spacing w:after="0" w:line="259" w:lineRule="auto"/>
              <w:ind w:left="0" w:right="0" w:firstLine="0"/>
            </w:pPr>
            <w:r>
              <w:rPr>
                <w:b/>
              </w:rPr>
              <w:t xml:space="preserve">Equipment Blank   </w:t>
            </w:r>
          </w:p>
        </w:tc>
        <w:tc>
          <w:tcPr>
            <w:tcW w:w="7963" w:type="dxa"/>
            <w:tcBorders>
              <w:top w:val="single" w:sz="4" w:space="0" w:color="000000"/>
              <w:left w:val="single" w:sz="12" w:space="0" w:color="000000"/>
              <w:bottom w:val="single" w:sz="4" w:space="0" w:color="000000"/>
              <w:right w:val="single" w:sz="12" w:space="0" w:color="000000"/>
            </w:tcBorders>
          </w:tcPr>
          <w:p w14:paraId="6D2731F8" w14:textId="77777777" w:rsidR="000B6214" w:rsidRDefault="000B6214">
            <w:pPr>
              <w:spacing w:after="0" w:line="259" w:lineRule="auto"/>
              <w:ind w:left="0" w:right="4" w:firstLine="0"/>
            </w:pPr>
            <w:r>
              <w:t>A sample of analyte-free reagent water that has been used to rinse the sampling equipment. It is collected after completion of decontamination and prior to sampling at the next location. This blank is used to document whether decontamination is adequate.</w:t>
            </w:r>
          </w:p>
        </w:tc>
      </w:tr>
      <w:tr w:rsidR="00352EC7" w14:paraId="5ECDD1D3" w14:textId="77777777" w:rsidTr="00C674D9">
        <w:tblPrEx>
          <w:tblCellMar>
            <w:right w:w="60" w:type="dxa"/>
          </w:tblCellMar>
        </w:tblPrEx>
        <w:trPr>
          <w:trHeight w:val="2074"/>
        </w:trPr>
        <w:tc>
          <w:tcPr>
            <w:tcW w:w="2657" w:type="dxa"/>
            <w:tcBorders>
              <w:top w:val="single" w:sz="4" w:space="0" w:color="000000"/>
              <w:left w:val="single" w:sz="12" w:space="0" w:color="000000"/>
              <w:bottom w:val="single" w:sz="2" w:space="0" w:color="000000"/>
              <w:right w:val="single" w:sz="12" w:space="0" w:color="000000"/>
            </w:tcBorders>
            <w:vAlign w:val="center"/>
          </w:tcPr>
          <w:p w14:paraId="1E46C9F7" w14:textId="77777777" w:rsidR="000B6214" w:rsidRDefault="000B6214">
            <w:pPr>
              <w:spacing w:after="0" w:line="259" w:lineRule="auto"/>
              <w:ind w:left="0" w:right="0" w:firstLine="0"/>
              <w:rPr>
                <w:b/>
              </w:rPr>
            </w:pPr>
            <w:r>
              <w:rPr>
                <w:b/>
              </w:rPr>
              <w:lastRenderedPageBreak/>
              <w:t xml:space="preserve">EQL </w:t>
            </w:r>
          </w:p>
        </w:tc>
        <w:tc>
          <w:tcPr>
            <w:tcW w:w="7963" w:type="dxa"/>
            <w:tcBorders>
              <w:top w:val="single" w:sz="4" w:space="0" w:color="000000"/>
              <w:left w:val="single" w:sz="12" w:space="0" w:color="000000"/>
              <w:bottom w:val="single" w:sz="2" w:space="0" w:color="000000"/>
              <w:right w:val="single" w:sz="12" w:space="0" w:color="000000"/>
            </w:tcBorders>
          </w:tcPr>
          <w:p w14:paraId="1CBECD11" w14:textId="77777777" w:rsidR="000B6214" w:rsidRDefault="000B6214">
            <w:pPr>
              <w:spacing w:after="0" w:line="259" w:lineRule="auto"/>
              <w:ind w:left="0" w:right="4" w:firstLine="0"/>
            </w:pPr>
            <w:r>
              <w:t xml:space="preserve">Estimated Quantitation Limit (Formerly used in SW-846 and formerly called “Practical Quantitation Limit (PQL).”)  The lowest concentration that can be reliably achieved </w:t>
            </w:r>
            <w:proofErr w:type="gramStart"/>
            <w:r>
              <w:t>in a given</w:t>
            </w:r>
            <w:proofErr w:type="gramEnd"/>
            <w:r>
              <w:t xml:space="preserve"> matrix within specified limits of precision and accuracy during routine laboratory operating conditions. The EQL is generally 5 to 10 times the MDL for aqueous samples and low concentration soils.  The EQL for concentrated wastes, high concentration soils, and samples requiring cleanup will be the MDL multiplied by a higher factor, frequently 500 or 670.  These factors are indicated in the Tables at the end of applicable SW-846 methods. </w:t>
            </w:r>
          </w:p>
        </w:tc>
      </w:tr>
      <w:tr w:rsidR="00B56D50" w14:paraId="21083256" w14:textId="77777777" w:rsidTr="00C674D9">
        <w:trPr>
          <w:trHeight w:val="264"/>
        </w:trPr>
        <w:tc>
          <w:tcPr>
            <w:tcW w:w="2657" w:type="dxa"/>
            <w:tcBorders>
              <w:top w:val="single" w:sz="2" w:space="0" w:color="000000"/>
              <w:left w:val="single" w:sz="12" w:space="0" w:color="000000"/>
              <w:bottom w:val="single" w:sz="4" w:space="0" w:color="000000"/>
              <w:right w:val="single" w:sz="12" w:space="0" w:color="000000"/>
            </w:tcBorders>
          </w:tcPr>
          <w:p w14:paraId="7C7D36A9" w14:textId="77777777" w:rsidR="00B56D50" w:rsidRPr="008E474A" w:rsidRDefault="001C3C42" w:rsidP="00615EEA">
            <w:pPr>
              <w:spacing w:after="0" w:line="259" w:lineRule="auto"/>
              <w:ind w:left="0" w:right="0" w:firstLine="0"/>
              <w:rPr>
                <w:color w:val="auto"/>
              </w:rPr>
            </w:pPr>
            <w:r w:rsidRPr="008E474A">
              <w:rPr>
                <w:b/>
                <w:color w:val="auto"/>
              </w:rPr>
              <w:t xml:space="preserve">FID   </w:t>
            </w:r>
          </w:p>
        </w:tc>
        <w:tc>
          <w:tcPr>
            <w:tcW w:w="7963" w:type="dxa"/>
            <w:tcBorders>
              <w:top w:val="single" w:sz="2" w:space="0" w:color="000000"/>
              <w:left w:val="single" w:sz="12" w:space="0" w:color="000000"/>
              <w:bottom w:val="single" w:sz="4" w:space="0" w:color="000000"/>
              <w:right w:val="single" w:sz="12" w:space="0" w:color="000000"/>
            </w:tcBorders>
          </w:tcPr>
          <w:p w14:paraId="6AA6EE13" w14:textId="77C9FA61" w:rsidR="00B56D50" w:rsidRPr="008E474A" w:rsidRDefault="001C3C42">
            <w:pPr>
              <w:spacing w:after="0" w:line="259" w:lineRule="auto"/>
              <w:ind w:left="0" w:right="0" w:firstLine="0"/>
              <w:rPr>
                <w:color w:val="auto"/>
              </w:rPr>
            </w:pPr>
            <w:r w:rsidRPr="008E474A">
              <w:rPr>
                <w:color w:val="auto"/>
              </w:rPr>
              <w:t xml:space="preserve">Flame Ionization Detector </w:t>
            </w:r>
          </w:p>
        </w:tc>
      </w:tr>
      <w:tr w:rsidR="00B56D50" w14:paraId="7DEC9143" w14:textId="77777777" w:rsidTr="00C674D9">
        <w:trPr>
          <w:trHeight w:val="778"/>
        </w:trPr>
        <w:tc>
          <w:tcPr>
            <w:tcW w:w="2657" w:type="dxa"/>
            <w:tcBorders>
              <w:top w:val="single" w:sz="4" w:space="0" w:color="000000"/>
              <w:left w:val="single" w:sz="12" w:space="0" w:color="000000"/>
              <w:bottom w:val="single" w:sz="4" w:space="0" w:color="000000"/>
              <w:right w:val="single" w:sz="12" w:space="0" w:color="000000"/>
            </w:tcBorders>
          </w:tcPr>
          <w:p w14:paraId="527FC224" w14:textId="77777777" w:rsidR="00B56D50" w:rsidRDefault="001C3C42">
            <w:pPr>
              <w:spacing w:after="0" w:line="259" w:lineRule="auto"/>
              <w:ind w:left="0" w:right="0" w:firstLine="0"/>
            </w:pPr>
            <w:r>
              <w:rPr>
                <w:b/>
              </w:rPr>
              <w:t xml:space="preserve">Field Blank </w:t>
            </w:r>
          </w:p>
        </w:tc>
        <w:tc>
          <w:tcPr>
            <w:tcW w:w="7963" w:type="dxa"/>
            <w:tcBorders>
              <w:top w:val="single" w:sz="4" w:space="0" w:color="000000"/>
              <w:left w:val="single" w:sz="12" w:space="0" w:color="000000"/>
              <w:bottom w:val="single" w:sz="4" w:space="0" w:color="000000"/>
              <w:right w:val="single" w:sz="12" w:space="0" w:color="000000"/>
            </w:tcBorders>
          </w:tcPr>
          <w:p w14:paraId="0A47C210" w14:textId="77777777" w:rsidR="00B56D50" w:rsidRDefault="001C3C42">
            <w:pPr>
              <w:spacing w:after="0" w:line="259" w:lineRule="auto"/>
              <w:ind w:left="0" w:right="0" w:firstLine="0"/>
            </w:pPr>
            <w:r>
              <w:t xml:space="preserve">Analyte-free reagent water taken to the sampling site, then analyzed by the laboratory for the same parameters as the investigative samples to check for procedural contamination of samples.  Also see Trip Blank, Equipment Blank, etc. </w:t>
            </w:r>
          </w:p>
        </w:tc>
      </w:tr>
      <w:tr w:rsidR="00B56D50" w14:paraId="23D25685" w14:textId="77777777" w:rsidTr="00C674D9">
        <w:trPr>
          <w:trHeight w:val="1296"/>
        </w:trPr>
        <w:tc>
          <w:tcPr>
            <w:tcW w:w="2657" w:type="dxa"/>
            <w:tcBorders>
              <w:top w:val="single" w:sz="4" w:space="0" w:color="000000"/>
              <w:left w:val="single" w:sz="12" w:space="0" w:color="000000"/>
              <w:bottom w:val="single" w:sz="4" w:space="0" w:color="000000"/>
              <w:right w:val="single" w:sz="12" w:space="0" w:color="000000"/>
            </w:tcBorders>
          </w:tcPr>
          <w:p w14:paraId="778DB30B" w14:textId="77777777" w:rsidR="00B56D50" w:rsidRDefault="001C3C42">
            <w:pPr>
              <w:spacing w:after="0" w:line="259" w:lineRule="auto"/>
              <w:ind w:left="0" w:right="0" w:firstLine="0"/>
            </w:pPr>
            <w:r>
              <w:rPr>
                <w:b/>
              </w:rPr>
              <w:t xml:space="preserve">Field Duplicate </w:t>
            </w:r>
          </w:p>
        </w:tc>
        <w:tc>
          <w:tcPr>
            <w:tcW w:w="7963" w:type="dxa"/>
            <w:tcBorders>
              <w:top w:val="single" w:sz="4" w:space="0" w:color="000000"/>
              <w:left w:val="single" w:sz="12" w:space="0" w:color="000000"/>
              <w:bottom w:val="single" w:sz="4" w:space="0" w:color="000000"/>
              <w:right w:val="single" w:sz="12" w:space="0" w:color="000000"/>
            </w:tcBorders>
          </w:tcPr>
          <w:p w14:paraId="121AA901" w14:textId="77777777" w:rsidR="00B56D50" w:rsidRDefault="001C3C42">
            <w:pPr>
              <w:spacing w:after="0" w:line="259" w:lineRule="auto"/>
              <w:ind w:left="0" w:right="0" w:firstLine="0"/>
            </w:pPr>
            <w:r>
              <w:t xml:space="preserve">Samples collected from the same location or source.  The sample is then split in the field or lab and stored in separate containers.  They are analyzed by the same procedures separately to document the variability of the sampling process and matrix effect on recoveries (for groundwater two samples gathered from the same bailer quantity from the same well). </w:t>
            </w:r>
          </w:p>
        </w:tc>
      </w:tr>
      <w:tr w:rsidR="00B56D50" w14:paraId="3BC86DE0" w14:textId="77777777" w:rsidTr="00C674D9">
        <w:trPr>
          <w:trHeight w:val="1022"/>
        </w:trPr>
        <w:tc>
          <w:tcPr>
            <w:tcW w:w="2657" w:type="dxa"/>
            <w:tcBorders>
              <w:top w:val="single" w:sz="4" w:space="0" w:color="000000"/>
              <w:left w:val="single" w:sz="12" w:space="0" w:color="000000"/>
              <w:bottom w:val="single" w:sz="4" w:space="0" w:color="000000"/>
              <w:right w:val="single" w:sz="12" w:space="0" w:color="000000"/>
            </w:tcBorders>
          </w:tcPr>
          <w:p w14:paraId="574DE6E9" w14:textId="77777777" w:rsidR="00B56D50" w:rsidRDefault="001C3C42">
            <w:pPr>
              <w:spacing w:after="0" w:line="259" w:lineRule="auto"/>
              <w:ind w:left="0" w:right="0" w:firstLine="0"/>
            </w:pPr>
            <w:r>
              <w:rPr>
                <w:b/>
              </w:rPr>
              <w:t xml:space="preserve">Field Reagent Blank (FRB)  </w:t>
            </w:r>
          </w:p>
        </w:tc>
        <w:tc>
          <w:tcPr>
            <w:tcW w:w="7963" w:type="dxa"/>
            <w:tcBorders>
              <w:top w:val="single" w:sz="4" w:space="0" w:color="000000"/>
              <w:left w:val="single" w:sz="12" w:space="0" w:color="000000"/>
              <w:bottom w:val="single" w:sz="4" w:space="0" w:color="000000"/>
              <w:right w:val="single" w:sz="12" w:space="0" w:color="000000"/>
            </w:tcBorders>
          </w:tcPr>
          <w:p w14:paraId="62A05421" w14:textId="11B0F4A5" w:rsidR="00B56D50" w:rsidRDefault="00E12105">
            <w:pPr>
              <w:spacing w:after="0" w:line="259" w:lineRule="auto"/>
              <w:ind w:left="0" w:right="7" w:firstLine="0"/>
            </w:pPr>
            <w:r>
              <w:t>USEPA</w:t>
            </w:r>
            <w:r w:rsidR="001C3C42">
              <w:t xml:space="preserve"> Water Analysis Methods</w:t>
            </w:r>
            <w:proofErr w:type="gramStart"/>
            <w:r w:rsidR="001C3C42">
              <w:t>:  An</w:t>
            </w:r>
            <w:proofErr w:type="gramEnd"/>
            <w:r w:rsidR="001C3C42">
              <w:t xml:space="preserve"> aliquot of reagent water or other blank matrix that is placed in a sample container in the laboratory and treated as a sample in all respects, including shipment to the sampling site, exposure to </w:t>
            </w:r>
            <w:proofErr w:type="gramStart"/>
            <w:r w:rsidR="001C3C42">
              <w:t>sampling site</w:t>
            </w:r>
            <w:proofErr w:type="gramEnd"/>
            <w:r w:rsidR="001C3C42">
              <w:t xml:space="preserve"> conditions, storage, preservation, and all analytical procedures.  (Called Trip Blank in SW-846 and CLP.) </w:t>
            </w:r>
          </w:p>
        </w:tc>
      </w:tr>
      <w:tr w:rsidR="00B56D50" w14:paraId="65BA0C0C" w14:textId="77777777" w:rsidTr="00C674D9">
        <w:trPr>
          <w:trHeight w:val="516"/>
        </w:trPr>
        <w:tc>
          <w:tcPr>
            <w:tcW w:w="2657" w:type="dxa"/>
            <w:tcBorders>
              <w:top w:val="single" w:sz="4" w:space="0" w:color="000000"/>
              <w:left w:val="single" w:sz="12" w:space="0" w:color="000000"/>
              <w:bottom w:val="single" w:sz="4" w:space="0" w:color="000000"/>
              <w:right w:val="single" w:sz="12" w:space="0" w:color="000000"/>
            </w:tcBorders>
          </w:tcPr>
          <w:p w14:paraId="132BF5D5" w14:textId="77777777" w:rsidR="00B56D50" w:rsidRDefault="001C3C42">
            <w:pPr>
              <w:spacing w:after="0" w:line="259" w:lineRule="auto"/>
              <w:ind w:left="0" w:right="23" w:firstLine="0"/>
            </w:pPr>
            <w:r>
              <w:rPr>
                <w:b/>
              </w:rPr>
              <w:t xml:space="preserve">Fraction of Organic Carbon </w:t>
            </w:r>
            <w:r>
              <w:t>(</w:t>
            </w:r>
            <w:proofErr w:type="spellStart"/>
            <w:r>
              <w:t>f</w:t>
            </w:r>
            <w:r>
              <w:rPr>
                <w:vertAlign w:val="subscript"/>
              </w:rPr>
              <w:t>oc</w:t>
            </w:r>
            <w:proofErr w:type="spellEnd"/>
            <w:r>
              <w:t>)</w:t>
            </w:r>
            <w:r>
              <w:rPr>
                <w:b/>
              </w:rPr>
              <w:t xml:space="preserve"> </w:t>
            </w:r>
          </w:p>
        </w:tc>
        <w:tc>
          <w:tcPr>
            <w:tcW w:w="7963" w:type="dxa"/>
            <w:tcBorders>
              <w:top w:val="single" w:sz="4" w:space="0" w:color="000000"/>
              <w:left w:val="single" w:sz="12" w:space="0" w:color="000000"/>
              <w:bottom w:val="single" w:sz="4" w:space="0" w:color="000000"/>
              <w:right w:val="single" w:sz="12" w:space="0" w:color="000000"/>
            </w:tcBorders>
          </w:tcPr>
          <w:p w14:paraId="18829C7C" w14:textId="77777777" w:rsidR="00B56D50" w:rsidRDefault="001C3C42">
            <w:pPr>
              <w:spacing w:after="0" w:line="259" w:lineRule="auto"/>
              <w:ind w:left="0" w:right="10" w:firstLine="0"/>
              <w:jc w:val="both"/>
            </w:pPr>
            <w:r>
              <w:t xml:space="preserve">The fraction of organic carbon in the </w:t>
            </w:r>
            <w:proofErr w:type="gramStart"/>
            <w:r>
              <w:t>soils</w:t>
            </w:r>
            <w:proofErr w:type="gramEnd"/>
            <w:r>
              <w:t xml:space="preserve"> is the total mass of organic carbon divided by a unit of mass of soils. </w:t>
            </w:r>
          </w:p>
        </w:tc>
      </w:tr>
      <w:tr w:rsidR="00B56D50" w14:paraId="77E411E2" w14:textId="77777777" w:rsidTr="00C674D9">
        <w:trPr>
          <w:trHeight w:val="262"/>
        </w:trPr>
        <w:tc>
          <w:tcPr>
            <w:tcW w:w="2657" w:type="dxa"/>
            <w:tcBorders>
              <w:top w:val="single" w:sz="4" w:space="0" w:color="000000"/>
              <w:left w:val="single" w:sz="12" w:space="0" w:color="000000"/>
              <w:bottom w:val="single" w:sz="4" w:space="0" w:color="000000"/>
              <w:right w:val="single" w:sz="12" w:space="0" w:color="000000"/>
            </w:tcBorders>
          </w:tcPr>
          <w:p w14:paraId="2D6D21BF" w14:textId="77777777" w:rsidR="00B56D50" w:rsidRDefault="001C3C42">
            <w:pPr>
              <w:spacing w:after="0" w:line="259" w:lineRule="auto"/>
              <w:ind w:left="0" w:right="0" w:firstLine="0"/>
            </w:pPr>
            <w:r>
              <w:rPr>
                <w:b/>
              </w:rPr>
              <w:t xml:space="preserve">Full QA/QC </w:t>
            </w:r>
          </w:p>
        </w:tc>
        <w:tc>
          <w:tcPr>
            <w:tcW w:w="7963" w:type="dxa"/>
            <w:tcBorders>
              <w:top w:val="single" w:sz="4" w:space="0" w:color="000000"/>
              <w:left w:val="single" w:sz="12" w:space="0" w:color="000000"/>
              <w:bottom w:val="single" w:sz="4" w:space="0" w:color="000000"/>
              <w:right w:val="single" w:sz="12" w:space="0" w:color="000000"/>
            </w:tcBorders>
          </w:tcPr>
          <w:p w14:paraId="4EB459C1" w14:textId="77777777" w:rsidR="00B56D50" w:rsidRDefault="001C3C42">
            <w:pPr>
              <w:spacing w:after="0" w:line="259" w:lineRule="auto"/>
              <w:ind w:left="0" w:right="0" w:firstLine="0"/>
            </w:pPr>
            <w:r>
              <w:t xml:space="preserve">Level IV Deliverables </w:t>
            </w:r>
          </w:p>
        </w:tc>
      </w:tr>
      <w:tr w:rsidR="00B56D50" w14:paraId="7ABD59B3" w14:textId="77777777" w:rsidTr="00C674D9">
        <w:trPr>
          <w:trHeight w:val="264"/>
        </w:trPr>
        <w:tc>
          <w:tcPr>
            <w:tcW w:w="2657" w:type="dxa"/>
            <w:tcBorders>
              <w:top w:val="single" w:sz="4" w:space="0" w:color="000000"/>
              <w:left w:val="single" w:sz="12" w:space="0" w:color="000000"/>
              <w:bottom w:val="single" w:sz="4" w:space="0" w:color="000000"/>
              <w:right w:val="single" w:sz="12" w:space="0" w:color="000000"/>
            </w:tcBorders>
          </w:tcPr>
          <w:p w14:paraId="038F03F7" w14:textId="77777777" w:rsidR="00B56D50" w:rsidRDefault="001C3C42">
            <w:pPr>
              <w:spacing w:after="0" w:line="259" w:lineRule="auto"/>
              <w:ind w:left="0" w:right="0" w:firstLine="0"/>
            </w:pPr>
            <w:r>
              <w:rPr>
                <w:b/>
              </w:rPr>
              <w:t xml:space="preserve">GC   </w:t>
            </w:r>
          </w:p>
        </w:tc>
        <w:tc>
          <w:tcPr>
            <w:tcW w:w="7963" w:type="dxa"/>
            <w:tcBorders>
              <w:top w:val="single" w:sz="4" w:space="0" w:color="000000"/>
              <w:left w:val="single" w:sz="12" w:space="0" w:color="000000"/>
              <w:bottom w:val="single" w:sz="4" w:space="0" w:color="000000"/>
              <w:right w:val="single" w:sz="12" w:space="0" w:color="000000"/>
            </w:tcBorders>
          </w:tcPr>
          <w:p w14:paraId="2097CDC2" w14:textId="77777777" w:rsidR="00B56D50" w:rsidRDefault="001C3C42">
            <w:pPr>
              <w:spacing w:after="0" w:line="259" w:lineRule="auto"/>
              <w:ind w:left="0" w:right="0" w:firstLine="0"/>
            </w:pPr>
            <w:r>
              <w:t xml:space="preserve">Gas Chromatography </w:t>
            </w:r>
          </w:p>
        </w:tc>
      </w:tr>
      <w:tr w:rsidR="00B56D50" w14:paraId="0198CEA1" w14:textId="77777777" w:rsidTr="00C674D9">
        <w:trPr>
          <w:trHeight w:val="262"/>
        </w:trPr>
        <w:tc>
          <w:tcPr>
            <w:tcW w:w="2657" w:type="dxa"/>
            <w:tcBorders>
              <w:top w:val="single" w:sz="4" w:space="0" w:color="000000"/>
              <w:left w:val="single" w:sz="12" w:space="0" w:color="000000"/>
              <w:bottom w:val="single" w:sz="4" w:space="0" w:color="000000"/>
              <w:right w:val="single" w:sz="12" w:space="0" w:color="000000"/>
            </w:tcBorders>
          </w:tcPr>
          <w:p w14:paraId="4D271A25" w14:textId="77777777" w:rsidR="00B56D50" w:rsidRPr="008E474A" w:rsidRDefault="001C3C42">
            <w:pPr>
              <w:spacing w:after="0" w:line="259" w:lineRule="auto"/>
              <w:ind w:left="0" w:right="0" w:firstLine="0"/>
              <w:rPr>
                <w:color w:val="auto"/>
              </w:rPr>
            </w:pPr>
            <w:r w:rsidRPr="008E474A">
              <w:rPr>
                <w:b/>
                <w:color w:val="auto"/>
              </w:rPr>
              <w:t xml:space="preserve">GC/MS   </w:t>
            </w:r>
          </w:p>
        </w:tc>
        <w:tc>
          <w:tcPr>
            <w:tcW w:w="7963" w:type="dxa"/>
            <w:tcBorders>
              <w:top w:val="single" w:sz="4" w:space="0" w:color="000000"/>
              <w:left w:val="single" w:sz="12" w:space="0" w:color="000000"/>
              <w:bottom w:val="single" w:sz="4" w:space="0" w:color="000000"/>
              <w:right w:val="single" w:sz="12" w:space="0" w:color="000000"/>
            </w:tcBorders>
          </w:tcPr>
          <w:p w14:paraId="7022C97E" w14:textId="1A975347" w:rsidR="00B56D50" w:rsidRPr="008E474A" w:rsidRDefault="001C3C42">
            <w:pPr>
              <w:spacing w:after="0" w:line="259" w:lineRule="auto"/>
              <w:ind w:left="0" w:right="0" w:firstLine="0"/>
              <w:rPr>
                <w:color w:val="auto"/>
              </w:rPr>
            </w:pPr>
            <w:r w:rsidRPr="008E474A">
              <w:rPr>
                <w:color w:val="auto"/>
              </w:rPr>
              <w:t xml:space="preserve">Gas Chromatography/Mass Spectrometry </w:t>
            </w:r>
          </w:p>
        </w:tc>
      </w:tr>
      <w:tr w:rsidR="00B56D50" w14:paraId="17561BD5" w14:textId="77777777" w:rsidTr="00C674D9">
        <w:trPr>
          <w:trHeight w:val="264"/>
        </w:trPr>
        <w:tc>
          <w:tcPr>
            <w:tcW w:w="2657" w:type="dxa"/>
            <w:tcBorders>
              <w:top w:val="single" w:sz="4" w:space="0" w:color="000000"/>
              <w:left w:val="single" w:sz="12" w:space="0" w:color="000000"/>
              <w:bottom w:val="single" w:sz="4" w:space="0" w:color="000000"/>
              <w:right w:val="single" w:sz="12" w:space="0" w:color="000000"/>
            </w:tcBorders>
          </w:tcPr>
          <w:p w14:paraId="5E3BA0AC" w14:textId="77777777" w:rsidR="00B56D50" w:rsidRPr="008E474A" w:rsidRDefault="001C3C42">
            <w:pPr>
              <w:spacing w:after="0" w:line="259" w:lineRule="auto"/>
              <w:ind w:left="0" w:right="0" w:firstLine="0"/>
              <w:rPr>
                <w:color w:val="auto"/>
              </w:rPr>
            </w:pPr>
            <w:r w:rsidRPr="008E474A">
              <w:rPr>
                <w:b/>
                <w:color w:val="auto"/>
              </w:rPr>
              <w:t xml:space="preserve">GFAA </w:t>
            </w:r>
          </w:p>
        </w:tc>
        <w:tc>
          <w:tcPr>
            <w:tcW w:w="7963" w:type="dxa"/>
            <w:tcBorders>
              <w:top w:val="single" w:sz="4" w:space="0" w:color="000000"/>
              <w:left w:val="single" w:sz="12" w:space="0" w:color="000000"/>
              <w:bottom w:val="single" w:sz="4" w:space="0" w:color="000000"/>
              <w:right w:val="single" w:sz="12" w:space="0" w:color="000000"/>
            </w:tcBorders>
          </w:tcPr>
          <w:p w14:paraId="308FCA71" w14:textId="3A627DF8" w:rsidR="00B56D50" w:rsidRPr="008E474A" w:rsidRDefault="001C3C42">
            <w:pPr>
              <w:spacing w:after="0" w:line="259" w:lineRule="auto"/>
              <w:ind w:left="0" w:right="0" w:firstLine="0"/>
              <w:rPr>
                <w:color w:val="auto"/>
              </w:rPr>
            </w:pPr>
            <w:r w:rsidRPr="008E474A">
              <w:rPr>
                <w:color w:val="auto"/>
              </w:rPr>
              <w:t xml:space="preserve">Graphite Furnace Atomic Absorption Spectroscopy </w:t>
            </w:r>
          </w:p>
        </w:tc>
      </w:tr>
      <w:tr w:rsidR="00B56D50" w14:paraId="0C0EE00F" w14:textId="77777777" w:rsidTr="00C674D9">
        <w:trPr>
          <w:trHeight w:val="259"/>
        </w:trPr>
        <w:tc>
          <w:tcPr>
            <w:tcW w:w="2657" w:type="dxa"/>
            <w:tcBorders>
              <w:top w:val="single" w:sz="4" w:space="0" w:color="000000"/>
              <w:left w:val="single" w:sz="12" w:space="0" w:color="000000"/>
              <w:bottom w:val="single" w:sz="4" w:space="0" w:color="000000"/>
              <w:right w:val="single" w:sz="12" w:space="0" w:color="000000"/>
            </w:tcBorders>
          </w:tcPr>
          <w:p w14:paraId="65C06C1E" w14:textId="77777777" w:rsidR="00B56D50" w:rsidRDefault="001C3C42">
            <w:pPr>
              <w:spacing w:after="0" w:line="259" w:lineRule="auto"/>
              <w:ind w:left="0" w:right="0" w:firstLine="0"/>
            </w:pPr>
            <w:r>
              <w:rPr>
                <w:b/>
              </w:rPr>
              <w:t xml:space="preserve">Holding Time   </w:t>
            </w:r>
          </w:p>
        </w:tc>
        <w:tc>
          <w:tcPr>
            <w:tcW w:w="7963" w:type="dxa"/>
            <w:tcBorders>
              <w:top w:val="single" w:sz="4" w:space="0" w:color="000000"/>
              <w:left w:val="single" w:sz="12" w:space="0" w:color="000000"/>
              <w:bottom w:val="single" w:sz="4" w:space="0" w:color="000000"/>
              <w:right w:val="single" w:sz="12" w:space="0" w:color="000000"/>
            </w:tcBorders>
          </w:tcPr>
          <w:p w14:paraId="22009989" w14:textId="77777777" w:rsidR="00B56D50" w:rsidRDefault="001C3C42">
            <w:pPr>
              <w:spacing w:after="0" w:line="259" w:lineRule="auto"/>
              <w:ind w:left="0" w:right="0" w:firstLine="0"/>
            </w:pPr>
            <w:r>
              <w:t xml:space="preserve">Elapsed time, expressed in days, from the date of sampling until the date of analysis </w:t>
            </w:r>
          </w:p>
        </w:tc>
      </w:tr>
      <w:tr w:rsidR="00B56D50" w14:paraId="74FB9F9D" w14:textId="77777777" w:rsidTr="00C674D9">
        <w:trPr>
          <w:trHeight w:val="264"/>
        </w:trPr>
        <w:tc>
          <w:tcPr>
            <w:tcW w:w="2657" w:type="dxa"/>
            <w:tcBorders>
              <w:top w:val="single" w:sz="4" w:space="0" w:color="000000"/>
              <w:left w:val="single" w:sz="12" w:space="0" w:color="000000"/>
              <w:bottom w:val="single" w:sz="4" w:space="0" w:color="000000"/>
              <w:right w:val="single" w:sz="12" w:space="0" w:color="000000"/>
            </w:tcBorders>
          </w:tcPr>
          <w:p w14:paraId="31B65746" w14:textId="77777777" w:rsidR="00B56D50" w:rsidRPr="0054161F" w:rsidRDefault="001C3C42">
            <w:pPr>
              <w:spacing w:after="0" w:line="259" w:lineRule="auto"/>
              <w:ind w:left="0" w:right="0" w:firstLine="0"/>
              <w:rPr>
                <w:color w:val="auto"/>
              </w:rPr>
            </w:pPr>
            <w:r w:rsidRPr="0054161F">
              <w:rPr>
                <w:b/>
                <w:color w:val="auto"/>
              </w:rPr>
              <w:t xml:space="preserve">HPLC   </w:t>
            </w:r>
          </w:p>
        </w:tc>
        <w:tc>
          <w:tcPr>
            <w:tcW w:w="7963" w:type="dxa"/>
            <w:tcBorders>
              <w:top w:val="single" w:sz="4" w:space="0" w:color="000000"/>
              <w:left w:val="single" w:sz="12" w:space="0" w:color="000000"/>
              <w:bottom w:val="single" w:sz="4" w:space="0" w:color="000000"/>
              <w:right w:val="single" w:sz="12" w:space="0" w:color="000000"/>
            </w:tcBorders>
          </w:tcPr>
          <w:p w14:paraId="3B3ED845" w14:textId="6F876F41" w:rsidR="00B56D50" w:rsidRPr="0054161F" w:rsidRDefault="001C3C42">
            <w:pPr>
              <w:spacing w:after="0" w:line="259" w:lineRule="auto"/>
              <w:ind w:left="0" w:right="0" w:firstLine="0"/>
              <w:rPr>
                <w:color w:val="auto"/>
              </w:rPr>
            </w:pPr>
            <w:r w:rsidRPr="0054161F">
              <w:rPr>
                <w:color w:val="auto"/>
              </w:rPr>
              <w:t xml:space="preserve">High Performance Liquid Chromatography </w:t>
            </w:r>
          </w:p>
        </w:tc>
      </w:tr>
      <w:tr w:rsidR="00B56D50" w14:paraId="24ABF2B1" w14:textId="77777777" w:rsidTr="00C674D9">
        <w:trPr>
          <w:trHeight w:val="264"/>
        </w:trPr>
        <w:tc>
          <w:tcPr>
            <w:tcW w:w="2657" w:type="dxa"/>
            <w:tcBorders>
              <w:top w:val="single" w:sz="4" w:space="0" w:color="000000"/>
              <w:left w:val="single" w:sz="12" w:space="0" w:color="000000"/>
              <w:bottom w:val="single" w:sz="4" w:space="0" w:color="000000"/>
              <w:right w:val="single" w:sz="12" w:space="0" w:color="000000"/>
            </w:tcBorders>
          </w:tcPr>
          <w:p w14:paraId="5A65EE00" w14:textId="77777777" w:rsidR="00B56D50" w:rsidRDefault="001C3C42">
            <w:pPr>
              <w:spacing w:after="0" w:line="259" w:lineRule="auto"/>
              <w:ind w:left="0" w:right="0" w:firstLine="0"/>
            </w:pPr>
            <w:proofErr w:type="gramStart"/>
            <w:r>
              <w:rPr>
                <w:b/>
              </w:rPr>
              <w:t>ICP  (</w:t>
            </w:r>
            <w:proofErr w:type="gramEnd"/>
            <w:r>
              <w:rPr>
                <w:b/>
              </w:rPr>
              <w:t xml:space="preserve">or ICAP) </w:t>
            </w:r>
          </w:p>
        </w:tc>
        <w:tc>
          <w:tcPr>
            <w:tcW w:w="7963" w:type="dxa"/>
            <w:tcBorders>
              <w:top w:val="single" w:sz="4" w:space="0" w:color="000000"/>
              <w:left w:val="single" w:sz="12" w:space="0" w:color="000000"/>
              <w:bottom w:val="single" w:sz="4" w:space="0" w:color="000000"/>
              <w:right w:val="single" w:sz="12" w:space="0" w:color="000000"/>
            </w:tcBorders>
          </w:tcPr>
          <w:p w14:paraId="136855B0" w14:textId="77777777" w:rsidR="00B56D50" w:rsidRDefault="001C3C42">
            <w:pPr>
              <w:spacing w:after="0" w:line="259" w:lineRule="auto"/>
              <w:ind w:left="0" w:right="0" w:firstLine="0"/>
            </w:pPr>
            <w:r>
              <w:t xml:space="preserve">Inductively Coupled Plasma – Atomic Emission Spectrometry </w:t>
            </w:r>
          </w:p>
        </w:tc>
      </w:tr>
      <w:tr w:rsidR="00B56D50" w14:paraId="03FE9D29" w14:textId="77777777" w:rsidTr="00C674D9">
        <w:trPr>
          <w:trHeight w:val="262"/>
        </w:trPr>
        <w:tc>
          <w:tcPr>
            <w:tcW w:w="2657" w:type="dxa"/>
            <w:tcBorders>
              <w:top w:val="single" w:sz="4" w:space="0" w:color="000000"/>
              <w:left w:val="single" w:sz="12" w:space="0" w:color="000000"/>
              <w:bottom w:val="single" w:sz="4" w:space="0" w:color="000000"/>
              <w:right w:val="single" w:sz="12" w:space="0" w:color="000000"/>
            </w:tcBorders>
          </w:tcPr>
          <w:p w14:paraId="738A3B27" w14:textId="77777777" w:rsidR="00B56D50" w:rsidRPr="0054161F" w:rsidRDefault="001C3C42">
            <w:pPr>
              <w:spacing w:after="0" w:line="259" w:lineRule="auto"/>
              <w:ind w:left="0" w:right="0" w:firstLine="0"/>
              <w:rPr>
                <w:color w:val="auto"/>
              </w:rPr>
            </w:pPr>
            <w:r w:rsidRPr="0054161F">
              <w:rPr>
                <w:b/>
                <w:color w:val="auto"/>
              </w:rPr>
              <w:t xml:space="preserve">ICP-MS </w:t>
            </w:r>
          </w:p>
        </w:tc>
        <w:tc>
          <w:tcPr>
            <w:tcW w:w="7963" w:type="dxa"/>
            <w:tcBorders>
              <w:top w:val="single" w:sz="4" w:space="0" w:color="000000"/>
              <w:left w:val="single" w:sz="12" w:space="0" w:color="000000"/>
              <w:bottom w:val="single" w:sz="4" w:space="0" w:color="000000"/>
              <w:right w:val="single" w:sz="12" w:space="0" w:color="000000"/>
            </w:tcBorders>
          </w:tcPr>
          <w:p w14:paraId="190C329E" w14:textId="2E6D5A37" w:rsidR="00B56D50" w:rsidRPr="0054161F" w:rsidRDefault="001C3C42">
            <w:pPr>
              <w:spacing w:after="0" w:line="259" w:lineRule="auto"/>
              <w:ind w:left="0" w:right="0" w:firstLine="0"/>
              <w:rPr>
                <w:color w:val="auto"/>
              </w:rPr>
            </w:pPr>
            <w:r w:rsidRPr="0054161F">
              <w:rPr>
                <w:color w:val="auto"/>
              </w:rPr>
              <w:t xml:space="preserve">Inductively Coupled Plasma – Mass Spectrometry </w:t>
            </w:r>
          </w:p>
        </w:tc>
      </w:tr>
      <w:tr w:rsidR="00B56D50" w14:paraId="62016373" w14:textId="77777777" w:rsidTr="00C674D9">
        <w:trPr>
          <w:trHeight w:val="264"/>
        </w:trPr>
        <w:tc>
          <w:tcPr>
            <w:tcW w:w="2657" w:type="dxa"/>
            <w:tcBorders>
              <w:top w:val="single" w:sz="4" w:space="0" w:color="000000"/>
              <w:left w:val="single" w:sz="12" w:space="0" w:color="000000"/>
              <w:bottom w:val="single" w:sz="4" w:space="0" w:color="000000"/>
              <w:right w:val="single" w:sz="12" w:space="0" w:color="000000"/>
            </w:tcBorders>
          </w:tcPr>
          <w:p w14:paraId="59DFE57D" w14:textId="61287F33" w:rsidR="00B56D50" w:rsidRDefault="001C3C42">
            <w:pPr>
              <w:spacing w:after="0" w:line="259" w:lineRule="auto"/>
              <w:ind w:left="0" w:right="0" w:firstLine="0"/>
            </w:pPr>
            <w:r>
              <w:rPr>
                <w:b/>
              </w:rPr>
              <w:t xml:space="preserve">ICS   </w:t>
            </w:r>
          </w:p>
        </w:tc>
        <w:tc>
          <w:tcPr>
            <w:tcW w:w="7963" w:type="dxa"/>
            <w:tcBorders>
              <w:top w:val="single" w:sz="4" w:space="0" w:color="000000"/>
              <w:left w:val="single" w:sz="12" w:space="0" w:color="000000"/>
              <w:bottom w:val="single" w:sz="4" w:space="0" w:color="000000"/>
              <w:right w:val="single" w:sz="12" w:space="0" w:color="000000"/>
            </w:tcBorders>
          </w:tcPr>
          <w:p w14:paraId="7D73E411" w14:textId="77777777" w:rsidR="00B56D50" w:rsidRDefault="001C3C42">
            <w:pPr>
              <w:spacing w:after="0" w:line="259" w:lineRule="auto"/>
              <w:ind w:left="0" w:right="0" w:firstLine="0"/>
            </w:pPr>
            <w:r>
              <w:t xml:space="preserve">Interference Check Sample </w:t>
            </w:r>
          </w:p>
        </w:tc>
      </w:tr>
      <w:tr w:rsidR="00307920" w14:paraId="0DDDC973" w14:textId="77777777" w:rsidTr="00C674D9">
        <w:trPr>
          <w:trHeight w:val="264"/>
        </w:trPr>
        <w:tc>
          <w:tcPr>
            <w:tcW w:w="2657" w:type="dxa"/>
            <w:tcBorders>
              <w:top w:val="single" w:sz="4" w:space="0" w:color="000000"/>
              <w:left w:val="single" w:sz="12" w:space="0" w:color="000000"/>
              <w:bottom w:val="single" w:sz="4" w:space="0" w:color="000000"/>
              <w:right w:val="single" w:sz="12" w:space="0" w:color="000000"/>
            </w:tcBorders>
          </w:tcPr>
          <w:p w14:paraId="55A4B93B" w14:textId="7A92E438" w:rsidR="00307920" w:rsidRDefault="00803A60">
            <w:pPr>
              <w:spacing w:after="0" w:line="259" w:lineRule="auto"/>
              <w:ind w:left="0" w:right="0" w:firstLine="0"/>
              <w:rPr>
                <w:b/>
              </w:rPr>
            </w:pPr>
            <w:r>
              <w:rPr>
                <w:b/>
              </w:rPr>
              <w:t>ID</w:t>
            </w:r>
          </w:p>
        </w:tc>
        <w:tc>
          <w:tcPr>
            <w:tcW w:w="7963" w:type="dxa"/>
            <w:tcBorders>
              <w:top w:val="single" w:sz="4" w:space="0" w:color="000000"/>
              <w:left w:val="single" w:sz="12" w:space="0" w:color="000000"/>
              <w:bottom w:val="single" w:sz="4" w:space="0" w:color="000000"/>
              <w:right w:val="single" w:sz="12" w:space="0" w:color="000000"/>
            </w:tcBorders>
          </w:tcPr>
          <w:p w14:paraId="2B62F1AA" w14:textId="09C5F7E4" w:rsidR="00307920" w:rsidRDefault="00803A60">
            <w:pPr>
              <w:spacing w:after="0" w:line="259" w:lineRule="auto"/>
              <w:ind w:left="0" w:right="0" w:firstLine="0"/>
            </w:pPr>
            <w:r>
              <w:t xml:space="preserve">Isotope </w:t>
            </w:r>
            <w:r w:rsidR="006C1E7E">
              <w:t>D</w:t>
            </w:r>
            <w:r>
              <w:t>ilution</w:t>
            </w:r>
          </w:p>
        </w:tc>
      </w:tr>
      <w:tr w:rsidR="00B56D50" w14:paraId="56ABBDCF" w14:textId="77777777" w:rsidTr="00C674D9">
        <w:trPr>
          <w:trHeight w:val="262"/>
        </w:trPr>
        <w:tc>
          <w:tcPr>
            <w:tcW w:w="2657" w:type="dxa"/>
            <w:tcBorders>
              <w:top w:val="single" w:sz="4" w:space="0" w:color="000000"/>
              <w:left w:val="single" w:sz="12" w:space="0" w:color="000000"/>
              <w:bottom w:val="single" w:sz="4" w:space="0" w:color="000000"/>
              <w:right w:val="single" w:sz="12" w:space="0" w:color="000000"/>
            </w:tcBorders>
          </w:tcPr>
          <w:p w14:paraId="6A51159B" w14:textId="77777777" w:rsidR="00B56D50" w:rsidRDefault="001C3C42">
            <w:pPr>
              <w:spacing w:after="0" w:line="259" w:lineRule="auto"/>
              <w:ind w:left="0" w:right="0" w:firstLine="0"/>
            </w:pPr>
            <w:r>
              <w:rPr>
                <w:b/>
              </w:rPr>
              <w:t xml:space="preserve">IDEM </w:t>
            </w:r>
          </w:p>
        </w:tc>
        <w:tc>
          <w:tcPr>
            <w:tcW w:w="7963" w:type="dxa"/>
            <w:tcBorders>
              <w:top w:val="single" w:sz="4" w:space="0" w:color="000000"/>
              <w:left w:val="single" w:sz="12" w:space="0" w:color="000000"/>
              <w:bottom w:val="single" w:sz="4" w:space="0" w:color="000000"/>
              <w:right w:val="single" w:sz="12" w:space="0" w:color="000000"/>
            </w:tcBorders>
          </w:tcPr>
          <w:p w14:paraId="43B6CB8D" w14:textId="77777777" w:rsidR="00B56D50" w:rsidRDefault="001C3C42">
            <w:pPr>
              <w:spacing w:after="0" w:line="259" w:lineRule="auto"/>
              <w:ind w:left="0" w:right="0" w:firstLine="0"/>
            </w:pPr>
            <w:r>
              <w:t xml:space="preserve">Indiana Department of Environmental Management </w:t>
            </w:r>
          </w:p>
        </w:tc>
      </w:tr>
      <w:tr w:rsidR="007E1102" w14:paraId="4A66D5FA" w14:textId="77777777" w:rsidTr="00C674D9">
        <w:trPr>
          <w:trHeight w:val="262"/>
        </w:trPr>
        <w:tc>
          <w:tcPr>
            <w:tcW w:w="2657" w:type="dxa"/>
            <w:tcBorders>
              <w:top w:val="single" w:sz="4" w:space="0" w:color="000000"/>
              <w:left w:val="single" w:sz="12" w:space="0" w:color="000000"/>
              <w:bottom w:val="single" w:sz="4" w:space="0" w:color="000000"/>
              <w:right w:val="single" w:sz="12" w:space="0" w:color="000000"/>
            </w:tcBorders>
          </w:tcPr>
          <w:p w14:paraId="61D69DF7" w14:textId="369C0695" w:rsidR="007E1102" w:rsidRDefault="007E1102">
            <w:pPr>
              <w:spacing w:after="0" w:line="259" w:lineRule="auto"/>
              <w:ind w:left="0" w:right="0" w:firstLine="0"/>
              <w:rPr>
                <w:b/>
              </w:rPr>
            </w:pPr>
            <w:r>
              <w:rPr>
                <w:b/>
              </w:rPr>
              <w:t>Instrument Blank</w:t>
            </w:r>
          </w:p>
        </w:tc>
        <w:tc>
          <w:tcPr>
            <w:tcW w:w="7963" w:type="dxa"/>
            <w:tcBorders>
              <w:top w:val="single" w:sz="4" w:space="0" w:color="000000"/>
              <w:left w:val="single" w:sz="12" w:space="0" w:color="000000"/>
              <w:bottom w:val="single" w:sz="4" w:space="0" w:color="000000"/>
              <w:right w:val="single" w:sz="12" w:space="0" w:color="000000"/>
            </w:tcBorders>
          </w:tcPr>
          <w:p w14:paraId="0176ECCB" w14:textId="40BE698F" w:rsidR="007E1102" w:rsidRDefault="007E1102">
            <w:pPr>
              <w:spacing w:after="0" w:line="259" w:lineRule="auto"/>
              <w:ind w:left="0" w:right="0" w:firstLine="0"/>
            </w:pPr>
            <w:r w:rsidRPr="007E1102">
              <w:t>During the analysis of a batch of samples, a solvent blank is analyzed after standards (e.g., calibration, CV) and based on screening results or prior knowledge of the source, after samples containing high levels of target analytes to monitor carryover from the previous injection</w:t>
            </w:r>
            <w:r>
              <w:t>.</w:t>
            </w:r>
          </w:p>
        </w:tc>
      </w:tr>
      <w:tr w:rsidR="002C1F21" w14:paraId="40267F96" w14:textId="77777777" w:rsidTr="00C674D9">
        <w:trPr>
          <w:trHeight w:val="262"/>
        </w:trPr>
        <w:tc>
          <w:tcPr>
            <w:tcW w:w="2657" w:type="dxa"/>
            <w:tcBorders>
              <w:top w:val="single" w:sz="4" w:space="0" w:color="000000"/>
              <w:left w:val="single" w:sz="12" w:space="0" w:color="000000"/>
              <w:bottom w:val="single" w:sz="4" w:space="0" w:color="000000"/>
              <w:right w:val="single" w:sz="12" w:space="0" w:color="000000"/>
            </w:tcBorders>
          </w:tcPr>
          <w:p w14:paraId="553E5D5B" w14:textId="22D8229C" w:rsidR="002C1F21" w:rsidRDefault="002C1F21">
            <w:pPr>
              <w:spacing w:after="0" w:line="259" w:lineRule="auto"/>
              <w:ind w:left="0" w:right="0" w:firstLine="0"/>
              <w:rPr>
                <w:b/>
              </w:rPr>
            </w:pPr>
            <w:r>
              <w:rPr>
                <w:b/>
              </w:rPr>
              <w:t>Internal Standard</w:t>
            </w:r>
            <w:r w:rsidR="0044313C">
              <w:rPr>
                <w:b/>
              </w:rPr>
              <w:t xml:space="preserve"> (IS)</w:t>
            </w:r>
          </w:p>
        </w:tc>
        <w:tc>
          <w:tcPr>
            <w:tcW w:w="7963" w:type="dxa"/>
            <w:tcBorders>
              <w:top w:val="single" w:sz="4" w:space="0" w:color="000000"/>
              <w:left w:val="single" w:sz="12" w:space="0" w:color="000000"/>
              <w:bottom w:val="single" w:sz="4" w:space="0" w:color="000000"/>
              <w:right w:val="single" w:sz="12" w:space="0" w:color="000000"/>
            </w:tcBorders>
          </w:tcPr>
          <w:p w14:paraId="54905555" w14:textId="0F814DE8" w:rsidR="002C1F21" w:rsidRDefault="007A56AD">
            <w:pPr>
              <w:spacing w:after="0" w:line="259" w:lineRule="auto"/>
              <w:ind w:left="0" w:right="0" w:firstLine="0"/>
            </w:pPr>
            <w:r>
              <w:t>C</w:t>
            </w:r>
            <w:r w:rsidR="00DD263E" w:rsidRPr="009865E2">
              <w:t>hemical added to an extract or standard solution in a known amount(s) and used to measure the relative response of other method analytes and surrogates that are components of the same solution.</w:t>
            </w:r>
            <w:r w:rsidR="007C63BC">
              <w:t xml:space="preserve">  Also known as </w:t>
            </w:r>
            <w:r w:rsidR="00116C53">
              <w:t>EIS</w:t>
            </w:r>
            <w:r w:rsidR="000F66F9">
              <w:t xml:space="preserve"> and NIS</w:t>
            </w:r>
            <w:r w:rsidR="00276AC4">
              <w:t>.</w:t>
            </w:r>
          </w:p>
        </w:tc>
      </w:tr>
      <w:tr w:rsidR="003772EB" w14:paraId="4D32A519" w14:textId="77777777" w:rsidTr="00C674D9">
        <w:trPr>
          <w:trHeight w:val="262"/>
        </w:trPr>
        <w:tc>
          <w:tcPr>
            <w:tcW w:w="2657" w:type="dxa"/>
            <w:tcBorders>
              <w:top w:val="single" w:sz="4" w:space="0" w:color="000000"/>
              <w:left w:val="single" w:sz="12" w:space="0" w:color="000000"/>
              <w:bottom w:val="single" w:sz="4" w:space="0" w:color="000000"/>
              <w:right w:val="single" w:sz="12" w:space="0" w:color="000000"/>
            </w:tcBorders>
          </w:tcPr>
          <w:p w14:paraId="534FB012" w14:textId="3D305C97" w:rsidR="003772EB" w:rsidRDefault="003772EB">
            <w:pPr>
              <w:spacing w:after="0" w:line="259" w:lineRule="auto"/>
              <w:ind w:left="0" w:right="0" w:firstLine="0"/>
              <w:rPr>
                <w:b/>
              </w:rPr>
            </w:pPr>
            <w:r>
              <w:rPr>
                <w:b/>
              </w:rPr>
              <w:t>LCMRL</w:t>
            </w:r>
          </w:p>
        </w:tc>
        <w:tc>
          <w:tcPr>
            <w:tcW w:w="7963" w:type="dxa"/>
            <w:tcBorders>
              <w:top w:val="single" w:sz="4" w:space="0" w:color="000000"/>
              <w:left w:val="single" w:sz="12" w:space="0" w:color="000000"/>
              <w:bottom w:val="single" w:sz="4" w:space="0" w:color="000000"/>
              <w:right w:val="single" w:sz="12" w:space="0" w:color="000000"/>
            </w:tcBorders>
          </w:tcPr>
          <w:p w14:paraId="33227D6E" w14:textId="01CE9344" w:rsidR="003772EB" w:rsidRDefault="003772EB" w:rsidP="00A41F77">
            <w:pPr>
              <w:spacing w:after="0" w:line="259" w:lineRule="auto"/>
              <w:ind w:left="0" w:right="0" w:firstLine="0"/>
            </w:pPr>
            <w:r>
              <w:t xml:space="preserve">Lowest Concentration </w:t>
            </w:r>
            <w:r w:rsidR="00B57508">
              <w:t xml:space="preserve">Minimum Reporting Level </w:t>
            </w:r>
            <w:r w:rsidR="004E77AA">
              <w:t>is t</w:t>
            </w:r>
            <w:r w:rsidR="004E77AA" w:rsidRPr="004E77AA">
              <w:t>he lowest true concentration for which the future recovery is predicted to fall, with high confidence</w:t>
            </w:r>
            <w:r w:rsidR="00A41F77">
              <w:t>.</w:t>
            </w:r>
          </w:p>
        </w:tc>
      </w:tr>
      <w:tr w:rsidR="00DB2698" w14:paraId="551E93DE" w14:textId="77777777" w:rsidTr="00C674D9">
        <w:trPr>
          <w:trHeight w:val="262"/>
        </w:trPr>
        <w:tc>
          <w:tcPr>
            <w:tcW w:w="2657" w:type="dxa"/>
            <w:tcBorders>
              <w:top w:val="single" w:sz="4" w:space="0" w:color="000000"/>
              <w:left w:val="single" w:sz="12" w:space="0" w:color="000000"/>
              <w:bottom w:val="single" w:sz="4" w:space="0" w:color="000000"/>
              <w:right w:val="single" w:sz="12" w:space="0" w:color="000000"/>
            </w:tcBorders>
          </w:tcPr>
          <w:p w14:paraId="66579D50" w14:textId="7E6E2ED0" w:rsidR="00DB2698" w:rsidRDefault="00DB2698">
            <w:pPr>
              <w:spacing w:after="0" w:line="259" w:lineRule="auto"/>
              <w:ind w:left="0" w:right="0" w:firstLine="0"/>
              <w:rPr>
                <w:b/>
              </w:rPr>
            </w:pPr>
            <w:r>
              <w:rPr>
                <w:b/>
              </w:rPr>
              <w:lastRenderedPageBreak/>
              <w:t xml:space="preserve">Laboratory Blank </w:t>
            </w:r>
          </w:p>
        </w:tc>
        <w:tc>
          <w:tcPr>
            <w:tcW w:w="7963" w:type="dxa"/>
            <w:tcBorders>
              <w:top w:val="single" w:sz="4" w:space="0" w:color="000000"/>
              <w:left w:val="single" w:sz="12" w:space="0" w:color="000000"/>
              <w:bottom w:val="single" w:sz="4" w:space="0" w:color="000000"/>
              <w:right w:val="single" w:sz="12" w:space="0" w:color="000000"/>
            </w:tcBorders>
          </w:tcPr>
          <w:p w14:paraId="4A3B043E" w14:textId="4CA61503" w:rsidR="00DB2698" w:rsidRDefault="00DB2698">
            <w:pPr>
              <w:spacing w:after="0" w:line="259" w:lineRule="auto"/>
              <w:ind w:left="0" w:right="0" w:firstLine="0"/>
            </w:pPr>
            <w:r>
              <w:t>Method Blank. (</w:t>
            </w:r>
            <w:r w:rsidR="00E12105">
              <w:t>USEPA</w:t>
            </w:r>
            <w:r>
              <w:t xml:space="preserve"> Water Analysis Methods) (Also known as preparation blank, instrument blank, reagent blank, and laboratory reagent blank)</w:t>
            </w:r>
          </w:p>
        </w:tc>
      </w:tr>
      <w:tr w:rsidR="00951225" w14:paraId="24AC71DD" w14:textId="77777777" w:rsidTr="00C674D9">
        <w:trPr>
          <w:trHeight w:val="262"/>
        </w:trPr>
        <w:tc>
          <w:tcPr>
            <w:tcW w:w="2657" w:type="dxa"/>
            <w:tcBorders>
              <w:top w:val="single" w:sz="4" w:space="0" w:color="000000"/>
              <w:left w:val="single" w:sz="12" w:space="0" w:color="000000"/>
              <w:bottom w:val="single" w:sz="4" w:space="0" w:color="000000"/>
              <w:right w:val="single" w:sz="12" w:space="0" w:color="000000"/>
            </w:tcBorders>
          </w:tcPr>
          <w:p w14:paraId="5BAC13A0" w14:textId="23FFCA6D" w:rsidR="00951225" w:rsidRDefault="00951225" w:rsidP="00951225">
            <w:pPr>
              <w:spacing w:after="0" w:line="259" w:lineRule="auto"/>
              <w:ind w:left="0" w:right="0" w:firstLine="0"/>
              <w:rPr>
                <w:b/>
              </w:rPr>
            </w:pPr>
            <w:r>
              <w:rPr>
                <w:b/>
              </w:rPr>
              <w:t xml:space="preserve">Laboratory Control Sample (LCS) </w:t>
            </w:r>
          </w:p>
        </w:tc>
        <w:tc>
          <w:tcPr>
            <w:tcW w:w="7963" w:type="dxa"/>
            <w:tcBorders>
              <w:top w:val="single" w:sz="4" w:space="0" w:color="000000"/>
              <w:left w:val="single" w:sz="12" w:space="0" w:color="000000"/>
              <w:bottom w:val="single" w:sz="4" w:space="0" w:color="000000"/>
              <w:right w:val="single" w:sz="12" w:space="0" w:color="000000"/>
            </w:tcBorders>
          </w:tcPr>
          <w:p w14:paraId="7379D9FB" w14:textId="4F522498" w:rsidR="00951225" w:rsidRDefault="00951225" w:rsidP="00951225">
            <w:pPr>
              <w:spacing w:after="0" w:line="259" w:lineRule="auto"/>
              <w:ind w:left="0" w:right="0" w:firstLine="0"/>
            </w:pPr>
            <w:r>
              <w:t>A known matrix or laboratory blank spiked with known quantities of the target analytes used to document laboratory performance.  (Also known as Laboratory Fortified Blank</w:t>
            </w:r>
            <w:r w:rsidR="002E256F">
              <w:t xml:space="preserve"> (LFB)</w:t>
            </w:r>
            <w:r>
              <w:t xml:space="preserve">, Ongoing Precision </w:t>
            </w:r>
            <w:r w:rsidR="008F5B7C">
              <w:t>Recovery</w:t>
            </w:r>
            <w:r w:rsidR="002E256F">
              <w:t xml:space="preserve"> (OPR),</w:t>
            </w:r>
            <w:r>
              <w:t xml:space="preserve"> and Recovery Standard, or “DI Spike.”) </w:t>
            </w:r>
          </w:p>
        </w:tc>
      </w:tr>
      <w:tr w:rsidR="00D035FD" w14:paraId="56B26F3F" w14:textId="77777777" w:rsidTr="00C674D9">
        <w:trPr>
          <w:trHeight w:val="262"/>
        </w:trPr>
        <w:tc>
          <w:tcPr>
            <w:tcW w:w="2657" w:type="dxa"/>
            <w:tcBorders>
              <w:top w:val="single" w:sz="4" w:space="0" w:color="000000"/>
              <w:left w:val="single" w:sz="12" w:space="0" w:color="000000"/>
              <w:bottom w:val="single" w:sz="4" w:space="0" w:color="000000"/>
              <w:right w:val="single" w:sz="12" w:space="0" w:color="000000"/>
            </w:tcBorders>
          </w:tcPr>
          <w:p w14:paraId="7DC3B86D" w14:textId="44D74F25" w:rsidR="00D035FD" w:rsidRDefault="00D035FD" w:rsidP="00D035FD">
            <w:pPr>
              <w:spacing w:after="0" w:line="259" w:lineRule="auto"/>
              <w:ind w:left="0" w:right="0" w:firstLine="0"/>
              <w:rPr>
                <w:b/>
              </w:rPr>
            </w:pPr>
            <w:r>
              <w:rPr>
                <w:b/>
              </w:rPr>
              <w:t>Laboratory Duplicate</w:t>
            </w:r>
          </w:p>
        </w:tc>
        <w:tc>
          <w:tcPr>
            <w:tcW w:w="7963" w:type="dxa"/>
            <w:tcBorders>
              <w:top w:val="single" w:sz="4" w:space="0" w:color="000000"/>
              <w:left w:val="single" w:sz="12" w:space="0" w:color="000000"/>
              <w:bottom w:val="single" w:sz="4" w:space="0" w:color="000000"/>
              <w:right w:val="single" w:sz="12" w:space="0" w:color="000000"/>
            </w:tcBorders>
          </w:tcPr>
          <w:p w14:paraId="5887396A" w14:textId="13041450" w:rsidR="00D035FD" w:rsidRDefault="00D035FD" w:rsidP="00D035FD">
            <w:pPr>
              <w:spacing w:after="0" w:line="259" w:lineRule="auto"/>
              <w:ind w:left="0" w:right="0" w:firstLine="0"/>
            </w:pPr>
            <w:r>
              <w:t>T</w:t>
            </w:r>
            <w:r w:rsidRPr="00502093">
              <w:t>wo aliquots from the</w:t>
            </w:r>
            <w:r>
              <w:t xml:space="preserve"> </w:t>
            </w:r>
            <w:r w:rsidRPr="00F672D5">
              <w:t>same sample and tak</w:t>
            </w:r>
            <w:r>
              <w:t xml:space="preserve">en </w:t>
            </w:r>
            <w:r w:rsidRPr="00F672D5">
              <w:t>through the same preparative and analytical procedures to evaluate analytical precision</w:t>
            </w:r>
            <w:r>
              <w:t xml:space="preserve"> </w:t>
            </w:r>
            <w:r w:rsidRPr="000E522C">
              <w:t>but not the precision of field sampling, preservation, or storage internal to the laboratory</w:t>
            </w:r>
            <w:r w:rsidRPr="00F672D5">
              <w:t xml:space="preserve">. </w:t>
            </w:r>
            <w:r>
              <w:t>M</w:t>
            </w:r>
            <w:r w:rsidRPr="00F672D5">
              <w:t>ore commonly used to assess precision for inorganic</w:t>
            </w:r>
            <w:r>
              <w:t xml:space="preserve"> </w:t>
            </w:r>
            <w:r w:rsidRPr="00F672D5">
              <w:t xml:space="preserve">constituents, while precision for organic analyses is usually assessed by determining the RPD between matrix spike and matrix spike duplicates. </w:t>
            </w:r>
          </w:p>
        </w:tc>
      </w:tr>
      <w:tr w:rsidR="003C7854" w14:paraId="75CC0726" w14:textId="77777777" w:rsidTr="00C674D9">
        <w:trPr>
          <w:trHeight w:val="262"/>
        </w:trPr>
        <w:tc>
          <w:tcPr>
            <w:tcW w:w="2657" w:type="dxa"/>
            <w:tcBorders>
              <w:top w:val="single" w:sz="4" w:space="0" w:color="000000"/>
              <w:left w:val="single" w:sz="12" w:space="0" w:color="000000"/>
              <w:bottom w:val="single" w:sz="4" w:space="0" w:color="000000"/>
              <w:right w:val="single" w:sz="12" w:space="0" w:color="000000"/>
            </w:tcBorders>
          </w:tcPr>
          <w:p w14:paraId="2468DCF4" w14:textId="1CD16E78" w:rsidR="003C7854" w:rsidRDefault="003C7854" w:rsidP="003C7854">
            <w:pPr>
              <w:spacing w:after="0" w:line="259" w:lineRule="auto"/>
              <w:ind w:left="0" w:right="0" w:firstLine="0"/>
              <w:rPr>
                <w:b/>
              </w:rPr>
            </w:pPr>
            <w:r>
              <w:rPr>
                <w:b/>
              </w:rPr>
              <w:t xml:space="preserve">Laboratory Fortified Blank (LFB) </w:t>
            </w:r>
          </w:p>
        </w:tc>
        <w:tc>
          <w:tcPr>
            <w:tcW w:w="7963" w:type="dxa"/>
            <w:tcBorders>
              <w:top w:val="single" w:sz="4" w:space="0" w:color="000000"/>
              <w:left w:val="single" w:sz="12" w:space="0" w:color="000000"/>
              <w:bottom w:val="single" w:sz="4" w:space="0" w:color="000000"/>
              <w:right w:val="single" w:sz="12" w:space="0" w:color="000000"/>
            </w:tcBorders>
          </w:tcPr>
          <w:p w14:paraId="65F15162" w14:textId="1A810157" w:rsidR="003C7854" w:rsidRDefault="003C7854" w:rsidP="003C7854">
            <w:pPr>
              <w:spacing w:after="0" w:line="259" w:lineRule="auto"/>
              <w:ind w:left="0" w:right="0" w:firstLine="0"/>
            </w:pPr>
            <w:r>
              <w:t>Laboratory Control Sample (</w:t>
            </w:r>
            <w:r w:rsidR="00E12105">
              <w:t>USEPA</w:t>
            </w:r>
            <w:r>
              <w:t xml:space="preserve"> Water Analysis Methods) </w:t>
            </w:r>
            <w:r w:rsidR="00D36D60">
              <w:t>(Also known as LCS, OPR, Recovery Standard, and DI Spike)</w:t>
            </w:r>
          </w:p>
        </w:tc>
      </w:tr>
      <w:tr w:rsidR="003C7854" w14:paraId="7C6B8FA6" w14:textId="77777777" w:rsidTr="00C674D9">
        <w:trPr>
          <w:trHeight w:val="262"/>
        </w:trPr>
        <w:tc>
          <w:tcPr>
            <w:tcW w:w="2657" w:type="dxa"/>
            <w:tcBorders>
              <w:top w:val="single" w:sz="4" w:space="0" w:color="000000"/>
              <w:left w:val="single" w:sz="12" w:space="0" w:color="000000"/>
              <w:bottom w:val="single" w:sz="4" w:space="0" w:color="000000"/>
              <w:right w:val="single" w:sz="12" w:space="0" w:color="000000"/>
            </w:tcBorders>
          </w:tcPr>
          <w:p w14:paraId="7B6D58D7" w14:textId="7B0DC6A6" w:rsidR="003C7854" w:rsidRDefault="003C7854" w:rsidP="003C7854">
            <w:pPr>
              <w:spacing w:after="0" w:line="259" w:lineRule="auto"/>
              <w:ind w:left="0" w:right="0" w:firstLine="0"/>
              <w:rPr>
                <w:b/>
              </w:rPr>
            </w:pPr>
            <w:r>
              <w:rPr>
                <w:b/>
              </w:rPr>
              <w:t>Laboratory Fortified Sample Matrix (LF</w:t>
            </w:r>
            <w:r w:rsidR="00F2586A">
              <w:rPr>
                <w:b/>
              </w:rPr>
              <w:t>S</w:t>
            </w:r>
            <w:r>
              <w:rPr>
                <w:b/>
              </w:rPr>
              <w:t>M</w:t>
            </w:r>
            <w:r w:rsidR="00003B20">
              <w:rPr>
                <w:b/>
              </w:rPr>
              <w:t xml:space="preserve"> and LFSMD</w:t>
            </w:r>
            <w:r>
              <w:rPr>
                <w:b/>
              </w:rPr>
              <w:t xml:space="preserve">) </w:t>
            </w:r>
          </w:p>
        </w:tc>
        <w:tc>
          <w:tcPr>
            <w:tcW w:w="7963" w:type="dxa"/>
            <w:tcBorders>
              <w:top w:val="single" w:sz="4" w:space="0" w:color="000000"/>
              <w:left w:val="single" w:sz="12" w:space="0" w:color="000000"/>
              <w:bottom w:val="single" w:sz="4" w:space="0" w:color="000000"/>
              <w:right w:val="single" w:sz="12" w:space="0" w:color="000000"/>
            </w:tcBorders>
          </w:tcPr>
          <w:p w14:paraId="2CF63568" w14:textId="23934268" w:rsidR="003C7854" w:rsidRDefault="00FB5C1A" w:rsidP="003C7854">
            <w:pPr>
              <w:spacing w:after="0" w:line="259" w:lineRule="auto"/>
              <w:ind w:left="0" w:right="0" w:firstLine="0"/>
            </w:pPr>
            <w:r w:rsidRPr="00FB5C1A">
              <w:t>Laboratory Fortified Sample Matrix</w:t>
            </w:r>
            <w:r w:rsidR="001C687F">
              <w:t xml:space="preserve"> and Laboratory Fortified Sample Matrix</w:t>
            </w:r>
            <w:r w:rsidRPr="00FB5C1A">
              <w:t xml:space="preserve"> </w:t>
            </w:r>
            <w:proofErr w:type="gramStart"/>
            <w:r w:rsidRPr="00FB5C1A">
              <w:t>Duplicate</w:t>
            </w:r>
            <w:r w:rsidR="00003B20">
              <w:t xml:space="preserve">  </w:t>
            </w:r>
            <w:r w:rsidR="004956D9">
              <w:t>(</w:t>
            </w:r>
            <w:proofErr w:type="gramEnd"/>
            <w:r w:rsidR="004956D9">
              <w:t>Also known as</w:t>
            </w:r>
            <w:r w:rsidR="00003B20">
              <w:t xml:space="preserve"> MS and MSD</w:t>
            </w:r>
            <w:r w:rsidR="00327309">
              <w:t>)</w:t>
            </w:r>
          </w:p>
        </w:tc>
      </w:tr>
      <w:tr w:rsidR="0077289B" w14:paraId="18730B56" w14:textId="77777777" w:rsidTr="00C674D9">
        <w:trPr>
          <w:trHeight w:val="262"/>
        </w:trPr>
        <w:tc>
          <w:tcPr>
            <w:tcW w:w="2657" w:type="dxa"/>
            <w:tcBorders>
              <w:top w:val="single" w:sz="4" w:space="0" w:color="000000"/>
              <w:left w:val="single" w:sz="12" w:space="0" w:color="000000"/>
              <w:bottom w:val="single" w:sz="4" w:space="0" w:color="000000"/>
              <w:right w:val="single" w:sz="12" w:space="0" w:color="000000"/>
            </w:tcBorders>
          </w:tcPr>
          <w:p w14:paraId="48ECB7BB" w14:textId="17F4E8FB" w:rsidR="0077289B" w:rsidRDefault="0077289B" w:rsidP="0077289B">
            <w:pPr>
              <w:spacing w:after="0" w:line="259" w:lineRule="auto"/>
              <w:ind w:left="0" w:right="0" w:firstLine="0"/>
              <w:rPr>
                <w:b/>
              </w:rPr>
            </w:pPr>
            <w:r>
              <w:rPr>
                <w:b/>
              </w:rPr>
              <w:t xml:space="preserve">Laboratory Project Manager (LPM) </w:t>
            </w:r>
          </w:p>
        </w:tc>
        <w:tc>
          <w:tcPr>
            <w:tcW w:w="7963" w:type="dxa"/>
            <w:tcBorders>
              <w:top w:val="single" w:sz="4" w:space="0" w:color="000000"/>
              <w:left w:val="single" w:sz="12" w:space="0" w:color="000000"/>
              <w:bottom w:val="single" w:sz="4" w:space="0" w:color="000000"/>
              <w:right w:val="single" w:sz="12" w:space="0" w:color="000000"/>
            </w:tcBorders>
          </w:tcPr>
          <w:p w14:paraId="3C515D3F" w14:textId="299AA46D" w:rsidR="0077289B" w:rsidRDefault="0077289B" w:rsidP="0077289B">
            <w:pPr>
              <w:spacing w:after="0" w:line="259" w:lineRule="auto"/>
              <w:ind w:left="0" w:right="0" w:firstLine="0"/>
            </w:pPr>
            <w:r>
              <w:t xml:space="preserve">Laboratory contact person for IDEM staff. </w:t>
            </w:r>
          </w:p>
        </w:tc>
      </w:tr>
      <w:tr w:rsidR="0077289B" w14:paraId="37BE3431" w14:textId="77777777" w:rsidTr="00C674D9">
        <w:trPr>
          <w:trHeight w:val="262"/>
        </w:trPr>
        <w:tc>
          <w:tcPr>
            <w:tcW w:w="2657" w:type="dxa"/>
            <w:tcBorders>
              <w:top w:val="single" w:sz="4" w:space="0" w:color="000000"/>
              <w:left w:val="single" w:sz="12" w:space="0" w:color="000000"/>
              <w:bottom w:val="single" w:sz="4" w:space="0" w:color="000000"/>
              <w:right w:val="single" w:sz="12" w:space="0" w:color="000000"/>
            </w:tcBorders>
          </w:tcPr>
          <w:p w14:paraId="552F4C80" w14:textId="70C848C3" w:rsidR="0077289B" w:rsidRDefault="0077289B" w:rsidP="0077289B">
            <w:pPr>
              <w:spacing w:after="0" w:line="259" w:lineRule="auto"/>
              <w:ind w:left="0" w:right="0" w:firstLine="0"/>
              <w:rPr>
                <w:b/>
              </w:rPr>
            </w:pPr>
            <w:r>
              <w:rPr>
                <w:b/>
              </w:rPr>
              <w:t xml:space="preserve">Laboratory Reagent Blank </w:t>
            </w:r>
          </w:p>
        </w:tc>
        <w:tc>
          <w:tcPr>
            <w:tcW w:w="7963" w:type="dxa"/>
            <w:tcBorders>
              <w:top w:val="single" w:sz="4" w:space="0" w:color="000000"/>
              <w:left w:val="single" w:sz="12" w:space="0" w:color="000000"/>
              <w:bottom w:val="single" w:sz="4" w:space="0" w:color="000000"/>
              <w:right w:val="single" w:sz="12" w:space="0" w:color="000000"/>
            </w:tcBorders>
          </w:tcPr>
          <w:p w14:paraId="1296A17F" w14:textId="621D13A3" w:rsidR="0077289B" w:rsidRDefault="0077289B" w:rsidP="0077289B">
            <w:pPr>
              <w:spacing w:after="0" w:line="259" w:lineRule="auto"/>
              <w:ind w:left="0" w:right="0" w:firstLine="0"/>
            </w:pPr>
            <w:r>
              <w:t>Method Blank. (</w:t>
            </w:r>
            <w:r w:rsidR="00E12105">
              <w:t>USEPA</w:t>
            </w:r>
            <w:r>
              <w:t xml:space="preserve"> Water Analysis Methods) </w:t>
            </w:r>
            <w:r w:rsidR="00677101">
              <w:t xml:space="preserve">(Also known as </w:t>
            </w:r>
            <w:r w:rsidR="00361D2C">
              <w:t xml:space="preserve">preparation blank, instrument blank, </w:t>
            </w:r>
            <w:r w:rsidR="00EF7036">
              <w:t>reagent blank, and laboratory blank)</w:t>
            </w:r>
          </w:p>
        </w:tc>
      </w:tr>
      <w:tr w:rsidR="006C2532" w14:paraId="09EA1858" w14:textId="77777777" w:rsidTr="00C674D9">
        <w:trPr>
          <w:trHeight w:val="262"/>
        </w:trPr>
        <w:tc>
          <w:tcPr>
            <w:tcW w:w="2657" w:type="dxa"/>
            <w:tcBorders>
              <w:top w:val="single" w:sz="4" w:space="0" w:color="000000"/>
              <w:left w:val="single" w:sz="12" w:space="0" w:color="000000"/>
              <w:bottom w:val="single" w:sz="4" w:space="0" w:color="000000"/>
              <w:right w:val="single" w:sz="12" w:space="0" w:color="000000"/>
            </w:tcBorders>
          </w:tcPr>
          <w:p w14:paraId="45C7D9B1" w14:textId="07D70673" w:rsidR="006C2532" w:rsidRDefault="006C2532" w:rsidP="006C2532">
            <w:pPr>
              <w:spacing w:after="0" w:line="259" w:lineRule="auto"/>
              <w:ind w:left="0" w:right="0" w:firstLine="0"/>
              <w:rPr>
                <w:b/>
              </w:rPr>
            </w:pPr>
            <w:r>
              <w:rPr>
                <w:b/>
              </w:rPr>
              <w:t xml:space="preserve">LCMRL </w:t>
            </w:r>
          </w:p>
        </w:tc>
        <w:tc>
          <w:tcPr>
            <w:tcW w:w="7963" w:type="dxa"/>
            <w:tcBorders>
              <w:top w:val="single" w:sz="4" w:space="0" w:color="000000"/>
              <w:left w:val="single" w:sz="12" w:space="0" w:color="000000"/>
              <w:bottom w:val="single" w:sz="4" w:space="0" w:color="000000"/>
              <w:right w:val="single" w:sz="12" w:space="0" w:color="000000"/>
            </w:tcBorders>
          </w:tcPr>
          <w:p w14:paraId="1EF72243" w14:textId="5F1F3142" w:rsidR="006C2532" w:rsidRDefault="006C2532" w:rsidP="006C2532">
            <w:pPr>
              <w:spacing w:after="0" w:line="259" w:lineRule="auto"/>
              <w:ind w:left="0" w:right="0" w:firstLine="0"/>
            </w:pPr>
            <w:r>
              <w:t xml:space="preserve">Lowest Concentration Minimum Reporting Level </w:t>
            </w:r>
          </w:p>
        </w:tc>
      </w:tr>
      <w:tr w:rsidR="006C2532" w14:paraId="3C29065B" w14:textId="77777777" w:rsidTr="00C674D9">
        <w:trPr>
          <w:trHeight w:val="262"/>
        </w:trPr>
        <w:tc>
          <w:tcPr>
            <w:tcW w:w="2657" w:type="dxa"/>
            <w:tcBorders>
              <w:top w:val="single" w:sz="4" w:space="0" w:color="000000"/>
              <w:left w:val="single" w:sz="12" w:space="0" w:color="000000"/>
              <w:bottom w:val="single" w:sz="4" w:space="0" w:color="000000"/>
              <w:right w:val="single" w:sz="12" w:space="0" w:color="000000"/>
            </w:tcBorders>
          </w:tcPr>
          <w:p w14:paraId="5668A613" w14:textId="4D6B7924" w:rsidR="006C2532" w:rsidRDefault="006C2532" w:rsidP="006C2532">
            <w:pPr>
              <w:spacing w:after="0" w:line="259" w:lineRule="auto"/>
              <w:ind w:left="0" w:right="0" w:firstLine="0"/>
              <w:rPr>
                <w:b/>
              </w:rPr>
            </w:pPr>
            <w:r>
              <w:rPr>
                <w:b/>
              </w:rPr>
              <w:t xml:space="preserve">Level IV Deliverables </w:t>
            </w:r>
          </w:p>
        </w:tc>
        <w:tc>
          <w:tcPr>
            <w:tcW w:w="7963" w:type="dxa"/>
            <w:tcBorders>
              <w:top w:val="single" w:sz="4" w:space="0" w:color="000000"/>
              <w:left w:val="single" w:sz="12" w:space="0" w:color="000000"/>
              <w:bottom w:val="single" w:sz="4" w:space="0" w:color="000000"/>
              <w:right w:val="single" w:sz="12" w:space="0" w:color="000000"/>
            </w:tcBorders>
          </w:tcPr>
          <w:p w14:paraId="07B815CD" w14:textId="2F134467" w:rsidR="006C2532" w:rsidRDefault="006C2532" w:rsidP="006C2532">
            <w:pPr>
              <w:spacing w:after="0" w:line="259" w:lineRule="auto"/>
              <w:ind w:left="0" w:right="0" w:firstLine="0"/>
            </w:pPr>
            <w:r>
              <w:t xml:space="preserve">See Project Deliverables with Raw Data </w:t>
            </w:r>
          </w:p>
        </w:tc>
      </w:tr>
      <w:tr w:rsidR="00087575" w14:paraId="23EA9388" w14:textId="77777777" w:rsidTr="00C674D9">
        <w:trPr>
          <w:trHeight w:val="1022"/>
        </w:trPr>
        <w:tc>
          <w:tcPr>
            <w:tcW w:w="2657" w:type="dxa"/>
            <w:tcBorders>
              <w:top w:val="single" w:sz="4" w:space="0" w:color="000000"/>
              <w:left w:val="single" w:sz="12" w:space="0" w:color="000000"/>
              <w:bottom w:val="single" w:sz="4" w:space="0" w:color="000000"/>
              <w:right w:val="single" w:sz="12" w:space="0" w:color="000000"/>
            </w:tcBorders>
          </w:tcPr>
          <w:p w14:paraId="32DDECDC" w14:textId="0A3FEB13" w:rsidR="00087575" w:rsidRDefault="00E823FC" w:rsidP="00A324C7">
            <w:pPr>
              <w:spacing w:after="0" w:line="259" w:lineRule="auto"/>
              <w:ind w:left="0" w:right="0" w:firstLine="0"/>
              <w:rPr>
                <w:b/>
              </w:rPr>
            </w:pPr>
            <w:r w:rsidRPr="00E823FC">
              <w:rPr>
                <w:b/>
              </w:rPr>
              <w:t xml:space="preserve">Lower Limit of Quantitation </w:t>
            </w:r>
            <w:r>
              <w:rPr>
                <w:b/>
              </w:rPr>
              <w:t>(</w:t>
            </w:r>
            <w:r w:rsidR="00087575">
              <w:rPr>
                <w:b/>
              </w:rPr>
              <w:t>LLOQ</w:t>
            </w:r>
            <w:r>
              <w:rPr>
                <w:b/>
              </w:rPr>
              <w:t>)</w:t>
            </w:r>
          </w:p>
        </w:tc>
        <w:tc>
          <w:tcPr>
            <w:tcW w:w="7963" w:type="dxa"/>
            <w:tcBorders>
              <w:top w:val="single" w:sz="4" w:space="0" w:color="000000"/>
              <w:left w:val="single" w:sz="12" w:space="0" w:color="000000"/>
              <w:bottom w:val="single" w:sz="4" w:space="0" w:color="000000"/>
              <w:right w:val="single" w:sz="12" w:space="0" w:color="000000"/>
            </w:tcBorders>
          </w:tcPr>
          <w:p w14:paraId="06D491D0" w14:textId="1ECD6E40" w:rsidR="00087575" w:rsidRDefault="00087575" w:rsidP="00087575">
            <w:pPr>
              <w:spacing w:after="0" w:line="259" w:lineRule="auto"/>
              <w:ind w:left="0" w:right="0" w:firstLine="0"/>
            </w:pPr>
            <w:r>
              <w:t xml:space="preserve">Lower Limit of Quantitation (“LLOQ” essentially replaced “EQL” in SW-846) </w:t>
            </w:r>
            <w:r w:rsidRPr="00D87C47">
              <w:t>The lowest point of quantitation which, in most cases, is the lowest concentration in the calibration curve.</w:t>
            </w:r>
            <w:r>
              <w:t xml:space="preserve">  S</w:t>
            </w:r>
            <w:r w:rsidRPr="002A195F">
              <w:t>ee individual methods for additional guidance on implementing LLOQ</w:t>
            </w:r>
            <w:r>
              <w:t>.</w:t>
            </w:r>
          </w:p>
        </w:tc>
      </w:tr>
      <w:tr w:rsidR="00A458E1" w14:paraId="3C17F879" w14:textId="77777777" w:rsidTr="00C674D9">
        <w:trPr>
          <w:trHeight w:val="1022"/>
        </w:trPr>
        <w:tc>
          <w:tcPr>
            <w:tcW w:w="2657" w:type="dxa"/>
            <w:tcBorders>
              <w:top w:val="single" w:sz="4" w:space="0" w:color="000000"/>
              <w:left w:val="single" w:sz="12" w:space="0" w:color="000000"/>
              <w:bottom w:val="single" w:sz="4" w:space="0" w:color="000000"/>
              <w:right w:val="single" w:sz="12" w:space="0" w:color="000000"/>
            </w:tcBorders>
          </w:tcPr>
          <w:p w14:paraId="0451C58D" w14:textId="3EFA6FC0" w:rsidR="00A458E1" w:rsidRDefault="002904D6" w:rsidP="00A324C7">
            <w:pPr>
              <w:spacing w:after="0" w:line="259" w:lineRule="auto"/>
              <w:ind w:left="0" w:right="0" w:firstLine="0"/>
              <w:rPr>
                <w:b/>
              </w:rPr>
            </w:pPr>
            <w:r>
              <w:rPr>
                <w:b/>
              </w:rPr>
              <w:t>L</w:t>
            </w:r>
            <w:r w:rsidR="00E823FC">
              <w:rPr>
                <w:b/>
              </w:rPr>
              <w:t xml:space="preserve">imit </w:t>
            </w:r>
            <w:r>
              <w:rPr>
                <w:b/>
              </w:rPr>
              <w:t>O</w:t>
            </w:r>
            <w:r w:rsidR="00E823FC">
              <w:rPr>
                <w:b/>
              </w:rPr>
              <w:t xml:space="preserve">f </w:t>
            </w:r>
            <w:r>
              <w:rPr>
                <w:b/>
              </w:rPr>
              <w:t>Q</w:t>
            </w:r>
            <w:r w:rsidR="00E823FC">
              <w:rPr>
                <w:b/>
              </w:rPr>
              <w:t>uantitation (LOQ)</w:t>
            </w:r>
          </w:p>
        </w:tc>
        <w:tc>
          <w:tcPr>
            <w:tcW w:w="7963" w:type="dxa"/>
            <w:tcBorders>
              <w:top w:val="single" w:sz="4" w:space="0" w:color="000000"/>
              <w:left w:val="single" w:sz="12" w:space="0" w:color="000000"/>
              <w:bottom w:val="single" w:sz="4" w:space="0" w:color="000000"/>
              <w:right w:val="single" w:sz="12" w:space="0" w:color="000000"/>
            </w:tcBorders>
          </w:tcPr>
          <w:p w14:paraId="501476A2" w14:textId="380BDE43" w:rsidR="00A458E1" w:rsidRDefault="00FA67BB" w:rsidP="00087575">
            <w:pPr>
              <w:spacing w:after="0" w:line="259" w:lineRule="auto"/>
              <w:ind w:left="0" w:right="0" w:firstLine="0"/>
            </w:pPr>
            <w:r w:rsidRPr="00FA67BB">
              <w:t>The smallest concentration that produces a quantitative result with known and recorded precision and bias. The LOQ shall be set at or above the concentration of the lowest initial calibration standard (the lowest calibration standard must fall within the linear range).</w:t>
            </w:r>
          </w:p>
        </w:tc>
      </w:tr>
      <w:tr w:rsidR="000F40EC" w14:paraId="35005FB8" w14:textId="77777777" w:rsidTr="00C674D9">
        <w:tblPrEx>
          <w:tblCellMar>
            <w:top w:w="0" w:type="dxa"/>
            <w:left w:w="0" w:type="dxa"/>
            <w:right w:w="0" w:type="dxa"/>
          </w:tblCellMar>
        </w:tblPrEx>
        <w:trPr>
          <w:trHeight w:val="778"/>
        </w:trPr>
        <w:tc>
          <w:tcPr>
            <w:tcW w:w="2657" w:type="dxa"/>
            <w:tcBorders>
              <w:top w:val="single" w:sz="4" w:space="0" w:color="000000"/>
              <w:left w:val="single" w:sz="12" w:space="0" w:color="000000"/>
              <w:bottom w:val="single" w:sz="4" w:space="0" w:color="000000"/>
              <w:right w:val="single" w:sz="12" w:space="0" w:color="000000"/>
            </w:tcBorders>
          </w:tcPr>
          <w:p w14:paraId="603E169E" w14:textId="7CDA5BF4" w:rsidR="00C54B32" w:rsidRDefault="00C54B32" w:rsidP="00787DAB">
            <w:pPr>
              <w:spacing w:after="0" w:line="259" w:lineRule="auto"/>
              <w:ind w:left="70" w:right="670" w:firstLine="0"/>
            </w:pPr>
            <w:r>
              <w:rPr>
                <w:b/>
              </w:rPr>
              <w:t>Matrix Spike</w:t>
            </w:r>
          </w:p>
        </w:tc>
        <w:tc>
          <w:tcPr>
            <w:tcW w:w="7963" w:type="dxa"/>
            <w:tcBorders>
              <w:top w:val="single" w:sz="4" w:space="0" w:color="000000"/>
              <w:left w:val="single" w:sz="12" w:space="0" w:color="000000"/>
              <w:bottom w:val="single" w:sz="4" w:space="0" w:color="000000"/>
              <w:right w:val="single" w:sz="12" w:space="0" w:color="000000"/>
            </w:tcBorders>
          </w:tcPr>
          <w:p w14:paraId="48F6895C" w14:textId="4559C153" w:rsidR="00C54B32" w:rsidRDefault="00C54B32" w:rsidP="00F95611">
            <w:pPr>
              <w:spacing w:after="0" w:line="259" w:lineRule="auto"/>
              <w:ind w:left="0" w:right="0" w:firstLine="0"/>
            </w:pPr>
            <w:r>
              <w:t xml:space="preserve">An aliquot of sample spiked with a known concentration of all target analytes. </w:t>
            </w:r>
            <w:proofErr w:type="gramStart"/>
            <w:r>
              <w:t>The spiking</w:t>
            </w:r>
            <w:proofErr w:type="gramEnd"/>
            <w:r>
              <w:t xml:space="preserve"> occurs prior to sample preparation and analysis. The matrix spike is used to document the bias of a method for the spiked analytes </w:t>
            </w:r>
            <w:proofErr w:type="gramStart"/>
            <w:r>
              <w:t>in a given</w:t>
            </w:r>
            <w:proofErr w:type="gramEnd"/>
            <w:r>
              <w:t xml:space="preserve"> sample matrix. </w:t>
            </w:r>
            <w:r w:rsidR="00040552">
              <w:t xml:space="preserve"> (Also known as </w:t>
            </w:r>
            <w:r w:rsidR="00040552" w:rsidRPr="008A0281">
              <w:t>LFSM)</w:t>
            </w:r>
          </w:p>
        </w:tc>
      </w:tr>
      <w:tr w:rsidR="000F40EC" w14:paraId="4BE0E5CB" w14:textId="77777777" w:rsidTr="00C674D9">
        <w:tblPrEx>
          <w:tblCellMar>
            <w:top w:w="0" w:type="dxa"/>
            <w:left w:w="0" w:type="dxa"/>
            <w:right w:w="0" w:type="dxa"/>
          </w:tblCellMar>
        </w:tblPrEx>
        <w:trPr>
          <w:trHeight w:val="1022"/>
        </w:trPr>
        <w:tc>
          <w:tcPr>
            <w:tcW w:w="2657" w:type="dxa"/>
            <w:tcBorders>
              <w:top w:val="single" w:sz="4" w:space="0" w:color="000000"/>
              <w:left w:val="single" w:sz="12" w:space="0" w:color="000000"/>
              <w:bottom w:val="single" w:sz="4" w:space="0" w:color="000000"/>
              <w:right w:val="single" w:sz="12" w:space="0" w:color="000000"/>
            </w:tcBorders>
          </w:tcPr>
          <w:p w14:paraId="6A64F2C1" w14:textId="77777777" w:rsidR="00C54B32" w:rsidRDefault="00C54B32" w:rsidP="006C2BCC">
            <w:pPr>
              <w:spacing w:after="0" w:line="259" w:lineRule="auto"/>
              <w:ind w:left="70" w:right="0" w:firstLine="0"/>
            </w:pPr>
            <w:r>
              <w:rPr>
                <w:b/>
              </w:rPr>
              <w:t xml:space="preserve">Matrix Spike Duplicates  </w:t>
            </w:r>
          </w:p>
        </w:tc>
        <w:tc>
          <w:tcPr>
            <w:tcW w:w="7963" w:type="dxa"/>
            <w:tcBorders>
              <w:top w:val="single" w:sz="4" w:space="0" w:color="000000"/>
              <w:left w:val="single" w:sz="12" w:space="0" w:color="000000"/>
              <w:bottom w:val="single" w:sz="4" w:space="0" w:color="000000"/>
              <w:right w:val="single" w:sz="12" w:space="0" w:color="000000"/>
            </w:tcBorders>
          </w:tcPr>
          <w:p w14:paraId="3DC1B8F2" w14:textId="3F77422C" w:rsidR="00C54B32" w:rsidRDefault="00C54B32" w:rsidP="00F95611">
            <w:pPr>
              <w:spacing w:after="0" w:line="259" w:lineRule="auto"/>
              <w:ind w:left="0" w:right="0" w:firstLine="0"/>
            </w:pPr>
            <w:r>
              <w:t xml:space="preserve">Laboratory duplicates (split samples) spiked with identical concentrations of all target analytes. </w:t>
            </w:r>
            <w:proofErr w:type="gramStart"/>
            <w:r>
              <w:t>The spiking</w:t>
            </w:r>
            <w:proofErr w:type="gramEnd"/>
            <w:r>
              <w:t xml:space="preserve"> occurs prior to sample preparation and analysis. Matrix spike duplicates are used to document the precision and bias of a method for the spike analytes </w:t>
            </w:r>
            <w:proofErr w:type="gramStart"/>
            <w:r>
              <w:t>in a given</w:t>
            </w:r>
            <w:proofErr w:type="gramEnd"/>
            <w:r>
              <w:t xml:space="preserve"> sample matrix. </w:t>
            </w:r>
            <w:r w:rsidR="00433F15">
              <w:t xml:space="preserve"> (Also known as </w:t>
            </w:r>
            <w:r w:rsidR="00433F15" w:rsidRPr="0023725C">
              <w:rPr>
                <w:bCs/>
              </w:rPr>
              <w:t>LFSM</w:t>
            </w:r>
            <w:r w:rsidR="00433F15">
              <w:rPr>
                <w:bCs/>
              </w:rPr>
              <w:t>D</w:t>
            </w:r>
            <w:r w:rsidR="00433F15" w:rsidRPr="0023725C">
              <w:rPr>
                <w:bCs/>
              </w:rPr>
              <w:t>)</w:t>
            </w:r>
          </w:p>
        </w:tc>
      </w:tr>
      <w:tr w:rsidR="000F40EC" w14:paraId="6D25152E" w14:textId="77777777" w:rsidTr="00C674D9">
        <w:tblPrEx>
          <w:tblCellMar>
            <w:top w:w="0" w:type="dxa"/>
            <w:left w:w="0" w:type="dxa"/>
            <w:right w:w="0" w:type="dxa"/>
          </w:tblCellMar>
        </w:tblPrEx>
        <w:trPr>
          <w:trHeight w:val="1022"/>
        </w:trPr>
        <w:tc>
          <w:tcPr>
            <w:tcW w:w="2657" w:type="dxa"/>
            <w:tcBorders>
              <w:top w:val="single" w:sz="4" w:space="0" w:color="000000"/>
              <w:left w:val="single" w:sz="12" w:space="0" w:color="000000"/>
              <w:bottom w:val="single" w:sz="4" w:space="0" w:color="000000"/>
              <w:right w:val="single" w:sz="12" w:space="0" w:color="000000"/>
            </w:tcBorders>
          </w:tcPr>
          <w:p w14:paraId="0DDC7A56" w14:textId="77777777" w:rsidR="00C54B32" w:rsidRPr="009D77F5" w:rsidRDefault="00C54B32" w:rsidP="006C2BCC">
            <w:pPr>
              <w:ind w:left="70"/>
              <w:rPr>
                <w:b/>
              </w:rPr>
            </w:pPr>
            <w:r>
              <w:rPr>
                <w:b/>
              </w:rPr>
              <w:t xml:space="preserve">Maximum Contaminant Level (MCL) </w:t>
            </w:r>
          </w:p>
        </w:tc>
        <w:tc>
          <w:tcPr>
            <w:tcW w:w="7963" w:type="dxa"/>
            <w:tcBorders>
              <w:top w:val="single" w:sz="4" w:space="0" w:color="000000"/>
              <w:left w:val="single" w:sz="12" w:space="0" w:color="000000"/>
              <w:bottom w:val="single" w:sz="4" w:space="0" w:color="000000"/>
              <w:right w:val="single" w:sz="12" w:space="0" w:color="000000"/>
            </w:tcBorders>
          </w:tcPr>
          <w:p w14:paraId="5E4DE3B2" w14:textId="77777777" w:rsidR="00C54B32" w:rsidRDefault="00C54B32" w:rsidP="00F95611">
            <w:pPr>
              <w:spacing w:after="0" w:line="259" w:lineRule="auto"/>
              <w:ind w:left="0" w:right="24" w:firstLine="0"/>
            </w:pPr>
            <w:r>
              <w:t xml:space="preserve">Maximum concentration of </w:t>
            </w:r>
            <w:proofErr w:type="gramStart"/>
            <w:r>
              <w:t>a contaminant</w:t>
            </w:r>
            <w:proofErr w:type="gramEnd"/>
            <w:r>
              <w:t xml:space="preserve"> allowed in drinking water systems by the National Primary and Secondary Drinking Water regulations at 40 CFR 141. Reporting limits required by this Request for Proposal (RFP) have been set to meet primary Maximum Contaminant Levels. </w:t>
            </w:r>
          </w:p>
        </w:tc>
      </w:tr>
      <w:tr w:rsidR="000F40EC" w14:paraId="6D7EB6EF" w14:textId="77777777" w:rsidTr="00C674D9">
        <w:tblPrEx>
          <w:tblCellMar>
            <w:top w:w="0" w:type="dxa"/>
            <w:left w:w="0" w:type="dxa"/>
            <w:right w:w="0" w:type="dxa"/>
          </w:tblCellMar>
        </w:tblPrEx>
        <w:trPr>
          <w:trHeight w:val="1296"/>
        </w:trPr>
        <w:tc>
          <w:tcPr>
            <w:tcW w:w="2657" w:type="dxa"/>
            <w:tcBorders>
              <w:top w:val="single" w:sz="4" w:space="0" w:color="000000"/>
              <w:left w:val="single" w:sz="12" w:space="0" w:color="000000"/>
              <w:bottom w:val="single" w:sz="4" w:space="0" w:color="000000"/>
              <w:right w:val="single" w:sz="12" w:space="0" w:color="000000"/>
            </w:tcBorders>
          </w:tcPr>
          <w:p w14:paraId="42AA66AB" w14:textId="77777777" w:rsidR="00C54B32" w:rsidRDefault="00C54B32" w:rsidP="006C2BCC">
            <w:pPr>
              <w:spacing w:after="0" w:line="259" w:lineRule="auto"/>
              <w:ind w:left="70" w:right="0" w:firstLine="0"/>
            </w:pPr>
            <w:r>
              <w:rPr>
                <w:b/>
              </w:rPr>
              <w:lastRenderedPageBreak/>
              <w:t xml:space="preserve">Method Blank   </w:t>
            </w:r>
          </w:p>
        </w:tc>
        <w:tc>
          <w:tcPr>
            <w:tcW w:w="7963" w:type="dxa"/>
            <w:tcBorders>
              <w:top w:val="single" w:sz="4" w:space="0" w:color="000000"/>
              <w:left w:val="single" w:sz="12" w:space="0" w:color="000000"/>
              <w:bottom w:val="single" w:sz="4" w:space="0" w:color="000000"/>
              <w:right w:val="single" w:sz="12" w:space="0" w:color="000000"/>
            </w:tcBorders>
          </w:tcPr>
          <w:p w14:paraId="1E3189C3" w14:textId="042B395B" w:rsidR="00C54B32" w:rsidRDefault="00C54B32" w:rsidP="00F95611">
            <w:pPr>
              <w:spacing w:after="0" w:line="259" w:lineRule="auto"/>
              <w:ind w:left="0" w:right="4" w:firstLine="0"/>
            </w:pPr>
            <w:r>
              <w:t xml:space="preserve">An analyte-free matrix to which all reagents are added in the same volumes or proportions as used in sample processing and is </w:t>
            </w:r>
            <w:proofErr w:type="gramStart"/>
            <w:r>
              <w:t>carried</w:t>
            </w:r>
            <w:proofErr w:type="gramEnd"/>
            <w:r>
              <w:t xml:space="preserve"> through the complete sample preparation and analytical procedure. The method blank is used to document contamination resulting from the analytical process. (Also known as preparation blank, </w:t>
            </w:r>
            <w:r w:rsidR="000434D5">
              <w:t>instrument blank</w:t>
            </w:r>
            <w:r w:rsidR="00CC03CD">
              <w:t>,</w:t>
            </w:r>
            <w:r>
              <w:t xml:space="preserve"> reagent blank, laboratory reagent blank, and laboratory blank.) </w:t>
            </w:r>
          </w:p>
        </w:tc>
      </w:tr>
      <w:tr w:rsidR="000F40EC" w14:paraId="5D4F5942" w14:textId="77777777" w:rsidTr="00C674D9">
        <w:tblPrEx>
          <w:tblCellMar>
            <w:top w:w="0" w:type="dxa"/>
            <w:left w:w="0" w:type="dxa"/>
            <w:right w:w="0" w:type="dxa"/>
          </w:tblCellMar>
        </w:tblPrEx>
        <w:trPr>
          <w:trHeight w:val="1022"/>
        </w:trPr>
        <w:tc>
          <w:tcPr>
            <w:tcW w:w="2657" w:type="dxa"/>
            <w:tcBorders>
              <w:top w:val="single" w:sz="4" w:space="0" w:color="000000"/>
              <w:left w:val="single" w:sz="12" w:space="0" w:color="000000"/>
              <w:bottom w:val="single" w:sz="4" w:space="0" w:color="000000"/>
              <w:right w:val="single" w:sz="12" w:space="0" w:color="000000"/>
            </w:tcBorders>
          </w:tcPr>
          <w:p w14:paraId="313CD866" w14:textId="77777777" w:rsidR="00C54B32" w:rsidRDefault="00C54B32" w:rsidP="006C2BCC">
            <w:pPr>
              <w:spacing w:after="0" w:line="259" w:lineRule="auto"/>
              <w:ind w:left="70" w:right="0" w:firstLine="0"/>
            </w:pPr>
            <w:r>
              <w:rPr>
                <w:b/>
              </w:rPr>
              <w:t xml:space="preserve">Method Detection Limit (MDL)  </w:t>
            </w:r>
          </w:p>
        </w:tc>
        <w:tc>
          <w:tcPr>
            <w:tcW w:w="7963" w:type="dxa"/>
            <w:tcBorders>
              <w:top w:val="single" w:sz="4" w:space="0" w:color="000000"/>
              <w:left w:val="single" w:sz="12" w:space="0" w:color="000000"/>
              <w:bottom w:val="single" w:sz="4" w:space="0" w:color="000000"/>
              <w:right w:val="single" w:sz="12" w:space="0" w:color="000000"/>
            </w:tcBorders>
          </w:tcPr>
          <w:p w14:paraId="0646985A" w14:textId="77777777" w:rsidR="00C54B32" w:rsidRDefault="00C54B32" w:rsidP="00F95611">
            <w:pPr>
              <w:spacing w:after="0" w:line="259" w:lineRule="auto"/>
              <w:ind w:left="0" w:right="0" w:firstLine="0"/>
            </w:pPr>
            <w:r>
              <w:t xml:space="preserve">The minimum concentration of a substance that can be measured and reported with 99% confidence that the analyte concentration is greater than zero and is determined from analysis of a sample </w:t>
            </w:r>
            <w:proofErr w:type="gramStart"/>
            <w:r>
              <w:t>in a given</w:t>
            </w:r>
            <w:proofErr w:type="gramEnd"/>
            <w:r>
              <w:t xml:space="preserve"> matrix type containing the analyte. The procedure for determining the MDL is found at 40 CFR 136, Attachment B. </w:t>
            </w:r>
          </w:p>
        </w:tc>
      </w:tr>
      <w:tr w:rsidR="000F40EC" w14:paraId="0E0E4C1D" w14:textId="77777777" w:rsidTr="00C674D9">
        <w:tblPrEx>
          <w:tblCellMar>
            <w:top w:w="0" w:type="dxa"/>
            <w:left w:w="0" w:type="dxa"/>
            <w:right w:w="0" w:type="dxa"/>
          </w:tblCellMar>
        </w:tblPrEx>
        <w:trPr>
          <w:trHeight w:val="259"/>
        </w:trPr>
        <w:tc>
          <w:tcPr>
            <w:tcW w:w="2657" w:type="dxa"/>
            <w:tcBorders>
              <w:top w:val="single" w:sz="4" w:space="0" w:color="000000"/>
              <w:left w:val="single" w:sz="12" w:space="0" w:color="000000"/>
              <w:bottom w:val="single" w:sz="4" w:space="0" w:color="000000"/>
              <w:right w:val="single" w:sz="12" w:space="0" w:color="000000"/>
            </w:tcBorders>
          </w:tcPr>
          <w:p w14:paraId="48202B64" w14:textId="77777777" w:rsidR="00C54B32" w:rsidRDefault="00C54B32" w:rsidP="006C2BCC">
            <w:pPr>
              <w:spacing w:after="0" w:line="259" w:lineRule="auto"/>
              <w:ind w:left="70" w:right="0" w:firstLine="0"/>
            </w:pPr>
            <w:r>
              <w:rPr>
                <w:b/>
              </w:rPr>
              <w:t xml:space="preserve">MS   </w:t>
            </w:r>
          </w:p>
        </w:tc>
        <w:tc>
          <w:tcPr>
            <w:tcW w:w="7963" w:type="dxa"/>
            <w:tcBorders>
              <w:top w:val="single" w:sz="4" w:space="0" w:color="000000"/>
              <w:left w:val="single" w:sz="12" w:space="0" w:color="000000"/>
              <w:bottom w:val="single" w:sz="4" w:space="0" w:color="000000"/>
              <w:right w:val="single" w:sz="12" w:space="0" w:color="000000"/>
            </w:tcBorders>
          </w:tcPr>
          <w:p w14:paraId="152D832F" w14:textId="77777777" w:rsidR="00C54B32" w:rsidRDefault="00C54B32" w:rsidP="00F95611">
            <w:pPr>
              <w:spacing w:after="0" w:line="259" w:lineRule="auto"/>
              <w:ind w:left="0" w:right="0" w:firstLine="0"/>
            </w:pPr>
            <w:r>
              <w:t xml:space="preserve">Matrix Spike, Mass Spectrometry or Mass Spectrometer </w:t>
            </w:r>
          </w:p>
        </w:tc>
      </w:tr>
      <w:tr w:rsidR="000F40EC" w14:paraId="4EF295CE" w14:textId="77777777" w:rsidTr="00C674D9">
        <w:tblPrEx>
          <w:tblCellMar>
            <w:top w:w="0" w:type="dxa"/>
            <w:left w:w="0" w:type="dxa"/>
            <w:right w:w="0" w:type="dxa"/>
          </w:tblCellMar>
        </w:tblPrEx>
        <w:trPr>
          <w:trHeight w:val="259"/>
        </w:trPr>
        <w:tc>
          <w:tcPr>
            <w:tcW w:w="2657" w:type="dxa"/>
            <w:tcBorders>
              <w:top w:val="single" w:sz="4" w:space="0" w:color="000000"/>
              <w:left w:val="single" w:sz="12" w:space="0" w:color="000000"/>
              <w:bottom w:val="single" w:sz="4" w:space="0" w:color="000000"/>
              <w:right w:val="single" w:sz="12" w:space="0" w:color="000000"/>
            </w:tcBorders>
          </w:tcPr>
          <w:p w14:paraId="558AA430" w14:textId="77777777" w:rsidR="00C54B32" w:rsidRDefault="00C54B32" w:rsidP="006C2BCC">
            <w:pPr>
              <w:spacing w:after="0" w:line="259" w:lineRule="auto"/>
              <w:ind w:left="70" w:right="0" w:firstLine="0"/>
              <w:rPr>
                <w:b/>
              </w:rPr>
            </w:pPr>
            <w:r>
              <w:rPr>
                <w:b/>
              </w:rPr>
              <w:t xml:space="preserve">MSA   </w:t>
            </w:r>
          </w:p>
        </w:tc>
        <w:tc>
          <w:tcPr>
            <w:tcW w:w="7963" w:type="dxa"/>
            <w:tcBorders>
              <w:top w:val="single" w:sz="4" w:space="0" w:color="000000"/>
              <w:left w:val="single" w:sz="12" w:space="0" w:color="000000"/>
              <w:bottom w:val="single" w:sz="4" w:space="0" w:color="000000"/>
              <w:right w:val="single" w:sz="12" w:space="0" w:color="000000"/>
            </w:tcBorders>
          </w:tcPr>
          <w:p w14:paraId="42C9B35C" w14:textId="1087346D" w:rsidR="00C54B32" w:rsidRDefault="00C54B32" w:rsidP="00F95611">
            <w:pPr>
              <w:spacing w:after="0" w:line="259" w:lineRule="auto"/>
              <w:ind w:left="0" w:right="0" w:firstLine="0"/>
            </w:pPr>
            <w:r w:rsidRPr="002C5557">
              <w:rPr>
                <w:color w:val="auto"/>
              </w:rPr>
              <w:t xml:space="preserve">Method of Standard Additions as described in SW-846 Method 7000A (Update III), SW-846 Method 7010 (Update IVA), or various </w:t>
            </w:r>
            <w:r w:rsidR="00E12105">
              <w:rPr>
                <w:color w:val="auto"/>
              </w:rPr>
              <w:t>USEPA</w:t>
            </w:r>
            <w:r w:rsidRPr="002C5557">
              <w:rPr>
                <w:color w:val="auto"/>
              </w:rPr>
              <w:t xml:space="preserve"> Water Analysis Methods, such as Method 200.7, Revision 5.0, or Method 1639. </w:t>
            </w:r>
          </w:p>
        </w:tc>
      </w:tr>
      <w:tr w:rsidR="000F40EC" w14:paraId="6AC65F8D" w14:textId="77777777" w:rsidTr="00C674D9">
        <w:tblPrEx>
          <w:tblCellMar>
            <w:top w:w="0" w:type="dxa"/>
            <w:left w:w="0" w:type="dxa"/>
            <w:right w:w="0" w:type="dxa"/>
          </w:tblCellMar>
        </w:tblPrEx>
        <w:trPr>
          <w:trHeight w:val="259"/>
        </w:trPr>
        <w:tc>
          <w:tcPr>
            <w:tcW w:w="2657" w:type="dxa"/>
            <w:tcBorders>
              <w:top w:val="single" w:sz="4" w:space="0" w:color="000000"/>
              <w:left w:val="single" w:sz="12" w:space="0" w:color="000000"/>
              <w:bottom w:val="single" w:sz="4" w:space="0" w:color="000000"/>
              <w:right w:val="single" w:sz="12" w:space="0" w:color="000000"/>
            </w:tcBorders>
          </w:tcPr>
          <w:p w14:paraId="4B69E151" w14:textId="77777777" w:rsidR="00C54B32" w:rsidRDefault="00C54B32" w:rsidP="006C2BCC">
            <w:pPr>
              <w:spacing w:after="0" w:line="259" w:lineRule="auto"/>
              <w:ind w:left="70" w:right="0" w:firstLine="0"/>
              <w:rPr>
                <w:b/>
              </w:rPr>
            </w:pPr>
            <w:r>
              <w:rPr>
                <w:b/>
              </w:rPr>
              <w:t xml:space="preserve">MS/MSD </w:t>
            </w:r>
          </w:p>
        </w:tc>
        <w:tc>
          <w:tcPr>
            <w:tcW w:w="7963" w:type="dxa"/>
            <w:tcBorders>
              <w:top w:val="single" w:sz="4" w:space="0" w:color="000000"/>
              <w:left w:val="single" w:sz="12" w:space="0" w:color="000000"/>
              <w:bottom w:val="single" w:sz="4" w:space="0" w:color="000000"/>
              <w:right w:val="single" w:sz="12" w:space="0" w:color="000000"/>
            </w:tcBorders>
          </w:tcPr>
          <w:p w14:paraId="37F5C654" w14:textId="77777777" w:rsidR="00C54B32" w:rsidRDefault="00C54B32" w:rsidP="00F95611">
            <w:pPr>
              <w:spacing w:after="0" w:line="259" w:lineRule="auto"/>
              <w:ind w:left="0" w:right="0" w:firstLine="0"/>
            </w:pPr>
            <w:r>
              <w:t xml:space="preserve">Matrix Spike/Matrix Spike Duplicate </w:t>
            </w:r>
          </w:p>
        </w:tc>
      </w:tr>
      <w:tr w:rsidR="000F40EC" w14:paraId="238FEE5D" w14:textId="77777777" w:rsidTr="00C674D9">
        <w:tblPrEx>
          <w:tblCellMar>
            <w:top w:w="0" w:type="dxa"/>
            <w:left w:w="0" w:type="dxa"/>
            <w:right w:w="0" w:type="dxa"/>
          </w:tblCellMar>
        </w:tblPrEx>
        <w:trPr>
          <w:trHeight w:val="259"/>
        </w:trPr>
        <w:tc>
          <w:tcPr>
            <w:tcW w:w="2657" w:type="dxa"/>
            <w:tcBorders>
              <w:top w:val="single" w:sz="4" w:space="0" w:color="000000"/>
              <w:left w:val="single" w:sz="12" w:space="0" w:color="000000"/>
              <w:bottom w:val="single" w:sz="4" w:space="0" w:color="000000"/>
              <w:right w:val="single" w:sz="12" w:space="0" w:color="000000"/>
            </w:tcBorders>
          </w:tcPr>
          <w:p w14:paraId="574C98A9" w14:textId="77777777" w:rsidR="00C54B32" w:rsidRDefault="00C54B32" w:rsidP="006C2BCC">
            <w:pPr>
              <w:spacing w:after="0" w:line="259" w:lineRule="auto"/>
              <w:ind w:left="70" w:right="0" w:firstLine="0"/>
              <w:rPr>
                <w:b/>
              </w:rPr>
            </w:pPr>
            <w:r>
              <w:rPr>
                <w:b/>
              </w:rPr>
              <w:t xml:space="preserve">MSD </w:t>
            </w:r>
          </w:p>
        </w:tc>
        <w:tc>
          <w:tcPr>
            <w:tcW w:w="7963" w:type="dxa"/>
            <w:tcBorders>
              <w:top w:val="single" w:sz="4" w:space="0" w:color="000000"/>
              <w:left w:val="single" w:sz="12" w:space="0" w:color="000000"/>
              <w:bottom w:val="single" w:sz="4" w:space="0" w:color="000000"/>
              <w:right w:val="single" w:sz="12" w:space="0" w:color="000000"/>
            </w:tcBorders>
          </w:tcPr>
          <w:p w14:paraId="30896FBA" w14:textId="77777777" w:rsidR="00C54B32" w:rsidRDefault="00C54B32" w:rsidP="00F95611">
            <w:pPr>
              <w:spacing w:after="0" w:line="259" w:lineRule="auto"/>
              <w:ind w:left="0" w:right="0" w:firstLine="0"/>
            </w:pPr>
            <w:r>
              <w:t xml:space="preserve">Matrix Spike Duplicate </w:t>
            </w:r>
          </w:p>
        </w:tc>
      </w:tr>
      <w:tr w:rsidR="000F40EC" w14:paraId="0DB0E058" w14:textId="77777777" w:rsidTr="00C674D9">
        <w:tblPrEx>
          <w:tblCellMar>
            <w:top w:w="0" w:type="dxa"/>
            <w:left w:w="0" w:type="dxa"/>
            <w:right w:w="0" w:type="dxa"/>
          </w:tblCellMar>
        </w:tblPrEx>
        <w:trPr>
          <w:trHeight w:val="259"/>
        </w:trPr>
        <w:tc>
          <w:tcPr>
            <w:tcW w:w="2657" w:type="dxa"/>
            <w:tcBorders>
              <w:top w:val="single" w:sz="4" w:space="0" w:color="000000"/>
              <w:left w:val="single" w:sz="12" w:space="0" w:color="000000"/>
              <w:bottom w:val="single" w:sz="4" w:space="0" w:color="000000"/>
              <w:right w:val="single" w:sz="12" w:space="0" w:color="000000"/>
            </w:tcBorders>
          </w:tcPr>
          <w:p w14:paraId="63B83DAD" w14:textId="77777777" w:rsidR="00C54B32" w:rsidRDefault="00C54B32" w:rsidP="006C2BCC">
            <w:pPr>
              <w:spacing w:after="0" w:line="259" w:lineRule="auto"/>
              <w:ind w:left="70" w:right="0" w:firstLine="0"/>
              <w:rPr>
                <w:b/>
              </w:rPr>
            </w:pPr>
            <w:r>
              <w:rPr>
                <w:b/>
              </w:rPr>
              <w:t xml:space="preserve">NA or N/A </w:t>
            </w:r>
          </w:p>
        </w:tc>
        <w:tc>
          <w:tcPr>
            <w:tcW w:w="7963" w:type="dxa"/>
            <w:tcBorders>
              <w:top w:val="single" w:sz="4" w:space="0" w:color="000000"/>
              <w:left w:val="single" w:sz="12" w:space="0" w:color="000000"/>
              <w:bottom w:val="single" w:sz="4" w:space="0" w:color="000000"/>
              <w:right w:val="single" w:sz="12" w:space="0" w:color="000000"/>
            </w:tcBorders>
          </w:tcPr>
          <w:p w14:paraId="2E22F229" w14:textId="77777777" w:rsidR="00C54B32" w:rsidRDefault="00C54B32" w:rsidP="00F95611">
            <w:pPr>
              <w:spacing w:after="0" w:line="259" w:lineRule="auto"/>
              <w:ind w:left="0" w:right="0" w:firstLine="0"/>
            </w:pPr>
            <w:r>
              <w:t xml:space="preserve">Not applicable  </w:t>
            </w:r>
          </w:p>
        </w:tc>
      </w:tr>
      <w:tr w:rsidR="000F40EC" w14:paraId="02059091" w14:textId="77777777" w:rsidTr="00C674D9">
        <w:tblPrEx>
          <w:tblCellMar>
            <w:top w:w="0" w:type="dxa"/>
            <w:left w:w="0" w:type="dxa"/>
            <w:right w:w="0" w:type="dxa"/>
          </w:tblCellMar>
        </w:tblPrEx>
        <w:trPr>
          <w:trHeight w:val="1022"/>
        </w:trPr>
        <w:tc>
          <w:tcPr>
            <w:tcW w:w="2657" w:type="dxa"/>
            <w:tcBorders>
              <w:top w:val="single" w:sz="4" w:space="0" w:color="000000"/>
              <w:left w:val="single" w:sz="12" w:space="0" w:color="000000"/>
              <w:bottom w:val="single" w:sz="4" w:space="0" w:color="000000"/>
              <w:right w:val="single" w:sz="12" w:space="0" w:color="000000"/>
            </w:tcBorders>
          </w:tcPr>
          <w:p w14:paraId="559B5474" w14:textId="77777777" w:rsidR="00C54B32" w:rsidRDefault="00C54B32" w:rsidP="006C2BCC">
            <w:pPr>
              <w:spacing w:after="0" w:line="259" w:lineRule="auto"/>
              <w:ind w:left="70" w:right="0" w:firstLine="0"/>
              <w:rPr>
                <w:b/>
              </w:rPr>
            </w:pPr>
            <w:r>
              <w:rPr>
                <w:b/>
              </w:rPr>
              <w:t xml:space="preserve">Neutral Leaching Method (Neutral Leachate)  </w:t>
            </w:r>
          </w:p>
        </w:tc>
        <w:tc>
          <w:tcPr>
            <w:tcW w:w="7963" w:type="dxa"/>
            <w:tcBorders>
              <w:top w:val="single" w:sz="4" w:space="0" w:color="000000"/>
              <w:left w:val="single" w:sz="12" w:space="0" w:color="000000"/>
              <w:bottom w:val="single" w:sz="4" w:space="0" w:color="000000"/>
              <w:right w:val="single" w:sz="12" w:space="0" w:color="000000"/>
            </w:tcBorders>
          </w:tcPr>
          <w:p w14:paraId="4303C0BB" w14:textId="77777777" w:rsidR="00C54B32" w:rsidRDefault="00C54B32" w:rsidP="00F95611">
            <w:pPr>
              <w:spacing w:after="0" w:line="259" w:lineRule="auto"/>
              <w:ind w:left="0" w:right="0" w:firstLine="0"/>
            </w:pPr>
            <w:r w:rsidRPr="002C5557">
              <w:rPr>
                <w:color w:val="auto"/>
              </w:rPr>
              <w:t xml:space="preserve">The leaching procedure extraction as specified for SW-846 Method 1311, the Toxic Characteristic Leaching Procedure (TCLP), except using reagent water instead of acidic extraction fluids 1 or 2. (Used for characterizing certain types of non-hazardous waste. See 329 IAC 10-9.)  </w:t>
            </w:r>
          </w:p>
        </w:tc>
      </w:tr>
      <w:tr w:rsidR="0073745A" w14:paraId="3F58BADC" w14:textId="77777777" w:rsidTr="00C674D9">
        <w:tblPrEx>
          <w:tblCellMar>
            <w:top w:w="0" w:type="dxa"/>
            <w:left w:w="0" w:type="dxa"/>
            <w:right w:w="0" w:type="dxa"/>
          </w:tblCellMar>
        </w:tblPrEx>
        <w:trPr>
          <w:trHeight w:val="278"/>
        </w:trPr>
        <w:tc>
          <w:tcPr>
            <w:tcW w:w="2657" w:type="dxa"/>
            <w:tcBorders>
              <w:top w:val="single" w:sz="4" w:space="0" w:color="000000"/>
              <w:left w:val="single" w:sz="12" w:space="0" w:color="000000"/>
              <w:bottom w:val="single" w:sz="4" w:space="0" w:color="000000"/>
              <w:right w:val="single" w:sz="12" w:space="0" w:color="000000"/>
            </w:tcBorders>
          </w:tcPr>
          <w:p w14:paraId="33918F22" w14:textId="0A8206E6" w:rsidR="0073745A" w:rsidRDefault="0073745A" w:rsidP="006C2BCC">
            <w:pPr>
              <w:spacing w:after="0" w:line="259" w:lineRule="auto"/>
              <w:ind w:left="70" w:right="0" w:firstLine="0"/>
              <w:rPr>
                <w:b/>
              </w:rPr>
            </w:pPr>
            <w:r>
              <w:rPr>
                <w:b/>
              </w:rPr>
              <w:t>NIS</w:t>
            </w:r>
          </w:p>
        </w:tc>
        <w:tc>
          <w:tcPr>
            <w:tcW w:w="7963" w:type="dxa"/>
            <w:tcBorders>
              <w:top w:val="single" w:sz="4" w:space="0" w:color="000000"/>
              <w:left w:val="single" w:sz="12" w:space="0" w:color="000000"/>
              <w:bottom w:val="single" w:sz="4" w:space="0" w:color="000000"/>
              <w:right w:val="single" w:sz="12" w:space="0" w:color="000000"/>
            </w:tcBorders>
          </w:tcPr>
          <w:p w14:paraId="722CE4F7" w14:textId="4F86FB44" w:rsidR="0073745A" w:rsidRPr="002C5557" w:rsidRDefault="0073745A" w:rsidP="00F95611">
            <w:pPr>
              <w:spacing w:after="0" w:line="259" w:lineRule="auto"/>
              <w:ind w:left="0" w:right="0" w:firstLine="0"/>
              <w:rPr>
                <w:color w:val="auto"/>
              </w:rPr>
            </w:pPr>
            <w:r>
              <w:t xml:space="preserve">Non-extracted Internal </w:t>
            </w:r>
            <w:proofErr w:type="gramStart"/>
            <w:r>
              <w:t>Standard  (</w:t>
            </w:r>
            <w:proofErr w:type="gramEnd"/>
            <w:r>
              <w:t>Also known as IS and EIS)</w:t>
            </w:r>
          </w:p>
        </w:tc>
      </w:tr>
      <w:tr w:rsidR="000F40EC" w14:paraId="1FCA8850" w14:textId="77777777" w:rsidTr="00C674D9">
        <w:tblPrEx>
          <w:tblCellMar>
            <w:top w:w="0" w:type="dxa"/>
            <w:left w:w="0" w:type="dxa"/>
            <w:right w:w="0" w:type="dxa"/>
          </w:tblCellMar>
        </w:tblPrEx>
        <w:trPr>
          <w:trHeight w:val="259"/>
        </w:trPr>
        <w:tc>
          <w:tcPr>
            <w:tcW w:w="2657" w:type="dxa"/>
            <w:tcBorders>
              <w:top w:val="single" w:sz="4" w:space="0" w:color="000000"/>
              <w:left w:val="single" w:sz="12" w:space="0" w:color="000000"/>
              <w:bottom w:val="single" w:sz="4" w:space="0" w:color="000000"/>
              <w:right w:val="single" w:sz="12" w:space="0" w:color="000000"/>
            </w:tcBorders>
          </w:tcPr>
          <w:p w14:paraId="2A87BADB" w14:textId="77777777" w:rsidR="00C54B32" w:rsidRDefault="00C54B32" w:rsidP="006C2BCC">
            <w:pPr>
              <w:spacing w:after="0" w:line="259" w:lineRule="auto"/>
              <w:ind w:left="70" w:right="0" w:firstLine="0"/>
              <w:rPr>
                <w:b/>
              </w:rPr>
            </w:pPr>
            <w:r>
              <w:rPr>
                <w:b/>
              </w:rPr>
              <w:t xml:space="preserve">NIST   </w:t>
            </w:r>
          </w:p>
        </w:tc>
        <w:tc>
          <w:tcPr>
            <w:tcW w:w="7963" w:type="dxa"/>
            <w:tcBorders>
              <w:top w:val="single" w:sz="4" w:space="0" w:color="000000"/>
              <w:left w:val="single" w:sz="12" w:space="0" w:color="000000"/>
              <w:bottom w:val="single" w:sz="4" w:space="0" w:color="000000"/>
              <w:right w:val="single" w:sz="12" w:space="0" w:color="000000"/>
            </w:tcBorders>
          </w:tcPr>
          <w:p w14:paraId="34183589" w14:textId="77777777" w:rsidR="00C54B32" w:rsidRDefault="00C54B32" w:rsidP="00F95611">
            <w:pPr>
              <w:spacing w:after="0" w:line="259" w:lineRule="auto"/>
              <w:ind w:left="0" w:right="0" w:firstLine="0"/>
            </w:pPr>
            <w:r>
              <w:t xml:space="preserve">National Institute of Standards Testing </w:t>
            </w:r>
          </w:p>
        </w:tc>
      </w:tr>
      <w:tr w:rsidR="000F40EC" w14:paraId="151E517B" w14:textId="77777777" w:rsidTr="00C674D9">
        <w:tblPrEx>
          <w:tblCellMar>
            <w:top w:w="0" w:type="dxa"/>
            <w:left w:w="0" w:type="dxa"/>
            <w:right w:w="0" w:type="dxa"/>
          </w:tblCellMar>
        </w:tblPrEx>
        <w:trPr>
          <w:trHeight w:val="259"/>
        </w:trPr>
        <w:tc>
          <w:tcPr>
            <w:tcW w:w="2657" w:type="dxa"/>
            <w:tcBorders>
              <w:top w:val="single" w:sz="4" w:space="0" w:color="000000"/>
              <w:left w:val="single" w:sz="12" w:space="0" w:color="000000"/>
              <w:bottom w:val="single" w:sz="4" w:space="0" w:color="000000"/>
              <w:right w:val="single" w:sz="12" w:space="0" w:color="000000"/>
            </w:tcBorders>
          </w:tcPr>
          <w:p w14:paraId="37DC19BD" w14:textId="77777777" w:rsidR="00C54B32" w:rsidRDefault="00C54B32" w:rsidP="006C2BCC">
            <w:pPr>
              <w:spacing w:after="0" w:line="259" w:lineRule="auto"/>
              <w:ind w:left="70" w:right="0" w:firstLine="0"/>
              <w:rPr>
                <w:b/>
              </w:rPr>
            </w:pPr>
            <w:r w:rsidRPr="009B411E">
              <w:rPr>
                <w:b/>
                <w:color w:val="auto"/>
              </w:rPr>
              <w:t xml:space="preserve">Non-aqueous samples </w:t>
            </w:r>
          </w:p>
        </w:tc>
        <w:tc>
          <w:tcPr>
            <w:tcW w:w="7963" w:type="dxa"/>
            <w:tcBorders>
              <w:top w:val="single" w:sz="4" w:space="0" w:color="000000"/>
              <w:left w:val="single" w:sz="12" w:space="0" w:color="000000"/>
              <w:bottom w:val="single" w:sz="4" w:space="0" w:color="000000"/>
              <w:right w:val="single" w:sz="12" w:space="0" w:color="000000"/>
            </w:tcBorders>
          </w:tcPr>
          <w:p w14:paraId="11D435BD" w14:textId="77777777" w:rsidR="00C54B32" w:rsidRDefault="00C54B32" w:rsidP="00F95611">
            <w:pPr>
              <w:spacing w:after="0" w:line="259" w:lineRule="auto"/>
              <w:ind w:left="0" w:right="0" w:firstLine="0"/>
            </w:pPr>
            <w:r w:rsidRPr="009B411E">
              <w:rPr>
                <w:color w:val="auto"/>
              </w:rPr>
              <w:t xml:space="preserve">Samples consisting of soil, sediment, sludge, oil, solid waste, or highly concentrated water-based waste. </w:t>
            </w:r>
          </w:p>
        </w:tc>
      </w:tr>
      <w:tr w:rsidR="000F40EC" w14:paraId="74543343" w14:textId="77777777" w:rsidTr="00C674D9">
        <w:tblPrEx>
          <w:tblCellMar>
            <w:top w:w="0" w:type="dxa"/>
            <w:left w:w="0" w:type="dxa"/>
            <w:right w:w="0" w:type="dxa"/>
          </w:tblCellMar>
        </w:tblPrEx>
        <w:trPr>
          <w:trHeight w:val="259"/>
        </w:trPr>
        <w:tc>
          <w:tcPr>
            <w:tcW w:w="2657" w:type="dxa"/>
            <w:tcBorders>
              <w:top w:val="single" w:sz="4" w:space="0" w:color="000000"/>
              <w:left w:val="single" w:sz="12" w:space="0" w:color="000000"/>
              <w:bottom w:val="single" w:sz="4" w:space="0" w:color="000000"/>
              <w:right w:val="single" w:sz="12" w:space="0" w:color="000000"/>
            </w:tcBorders>
          </w:tcPr>
          <w:p w14:paraId="4728898A" w14:textId="77777777" w:rsidR="00C54B32" w:rsidRDefault="00C54B32" w:rsidP="006C2BCC">
            <w:pPr>
              <w:spacing w:after="0" w:line="259" w:lineRule="auto"/>
              <w:ind w:left="70" w:right="0" w:firstLine="0"/>
              <w:rPr>
                <w:b/>
              </w:rPr>
            </w:pPr>
            <w:r>
              <w:rPr>
                <w:b/>
              </w:rPr>
              <w:t xml:space="preserve">Notice of Data Availability (NODA) </w:t>
            </w:r>
          </w:p>
        </w:tc>
        <w:tc>
          <w:tcPr>
            <w:tcW w:w="7963" w:type="dxa"/>
            <w:tcBorders>
              <w:top w:val="single" w:sz="4" w:space="0" w:color="000000"/>
              <w:left w:val="single" w:sz="12" w:space="0" w:color="000000"/>
              <w:bottom w:val="single" w:sz="4" w:space="0" w:color="000000"/>
              <w:right w:val="single" w:sz="12" w:space="0" w:color="000000"/>
            </w:tcBorders>
          </w:tcPr>
          <w:p w14:paraId="79315343" w14:textId="77777777" w:rsidR="00C54B32" w:rsidRDefault="00C54B32" w:rsidP="00F95611">
            <w:pPr>
              <w:spacing w:after="0" w:line="259" w:lineRule="auto"/>
              <w:ind w:left="0" w:right="0" w:firstLine="0"/>
            </w:pPr>
            <w:r>
              <w:t xml:space="preserve">Notice of Data Availability - Publication in the Federal Register used to officially release finalized updates to SW-846.  Formerly, SW-846 updates were formally promulgated.  Replacement of promulgation with NODA began with Update IVA on May 8, 1998. </w:t>
            </w:r>
          </w:p>
        </w:tc>
      </w:tr>
      <w:tr w:rsidR="000F40EC" w14:paraId="6482B3A1" w14:textId="77777777" w:rsidTr="00C674D9">
        <w:tblPrEx>
          <w:tblCellMar>
            <w:top w:w="0" w:type="dxa"/>
            <w:left w:w="0" w:type="dxa"/>
            <w:right w:w="0" w:type="dxa"/>
          </w:tblCellMar>
        </w:tblPrEx>
        <w:trPr>
          <w:trHeight w:val="259"/>
        </w:trPr>
        <w:tc>
          <w:tcPr>
            <w:tcW w:w="2657" w:type="dxa"/>
            <w:tcBorders>
              <w:top w:val="single" w:sz="4" w:space="0" w:color="000000"/>
              <w:left w:val="single" w:sz="12" w:space="0" w:color="000000"/>
              <w:bottom w:val="single" w:sz="4" w:space="0" w:color="000000"/>
              <w:right w:val="single" w:sz="12" w:space="0" w:color="000000"/>
            </w:tcBorders>
          </w:tcPr>
          <w:p w14:paraId="5D3F9058" w14:textId="77777777" w:rsidR="00C54B32" w:rsidRDefault="00C54B32" w:rsidP="006C2BCC">
            <w:pPr>
              <w:spacing w:after="0" w:line="259" w:lineRule="auto"/>
              <w:ind w:left="70" w:right="0" w:firstLine="0"/>
              <w:rPr>
                <w:b/>
              </w:rPr>
            </w:pPr>
            <w:r>
              <w:rPr>
                <w:b/>
              </w:rPr>
              <w:t>OLER</w:t>
            </w:r>
          </w:p>
        </w:tc>
        <w:tc>
          <w:tcPr>
            <w:tcW w:w="7963" w:type="dxa"/>
            <w:tcBorders>
              <w:top w:val="single" w:sz="4" w:space="0" w:color="000000"/>
              <w:left w:val="single" w:sz="12" w:space="0" w:color="000000"/>
              <w:bottom w:val="single" w:sz="4" w:space="0" w:color="000000"/>
              <w:right w:val="single" w:sz="12" w:space="0" w:color="000000"/>
            </w:tcBorders>
          </w:tcPr>
          <w:p w14:paraId="6A91554F" w14:textId="77777777" w:rsidR="00C54B32" w:rsidRDefault="00C54B32" w:rsidP="00F95611">
            <w:pPr>
              <w:spacing w:after="0" w:line="259" w:lineRule="auto"/>
              <w:ind w:left="0" w:right="0" w:firstLine="0"/>
            </w:pPr>
            <w:r>
              <w:t>USEPA Office of Land and Emergency Management formerly known as USEPA Office of Solid Waste and Emergency Response</w:t>
            </w:r>
          </w:p>
        </w:tc>
      </w:tr>
      <w:tr w:rsidR="000F40EC" w14:paraId="17CE6F8F" w14:textId="77777777" w:rsidTr="00C674D9">
        <w:tblPrEx>
          <w:tblCellMar>
            <w:top w:w="0" w:type="dxa"/>
            <w:left w:w="0" w:type="dxa"/>
            <w:right w:w="0" w:type="dxa"/>
          </w:tblCellMar>
        </w:tblPrEx>
        <w:trPr>
          <w:trHeight w:val="259"/>
        </w:trPr>
        <w:tc>
          <w:tcPr>
            <w:tcW w:w="2657" w:type="dxa"/>
            <w:tcBorders>
              <w:top w:val="single" w:sz="4" w:space="0" w:color="000000"/>
              <w:left w:val="single" w:sz="12" w:space="0" w:color="000000"/>
              <w:bottom w:val="single" w:sz="4" w:space="0" w:color="000000"/>
              <w:right w:val="single" w:sz="12" w:space="0" w:color="000000"/>
            </w:tcBorders>
          </w:tcPr>
          <w:p w14:paraId="053211F7" w14:textId="77777777" w:rsidR="00C54B32" w:rsidRDefault="00C54B32" w:rsidP="006C2BCC">
            <w:pPr>
              <w:spacing w:after="0" w:line="259" w:lineRule="auto"/>
              <w:ind w:left="70" w:right="0" w:firstLine="0"/>
              <w:rPr>
                <w:b/>
              </w:rPr>
            </w:pPr>
            <w:r>
              <w:rPr>
                <w:b/>
              </w:rPr>
              <w:t xml:space="preserve">OLQ   </w:t>
            </w:r>
          </w:p>
        </w:tc>
        <w:tc>
          <w:tcPr>
            <w:tcW w:w="7963" w:type="dxa"/>
            <w:tcBorders>
              <w:top w:val="single" w:sz="4" w:space="0" w:color="000000"/>
              <w:left w:val="single" w:sz="12" w:space="0" w:color="000000"/>
              <w:bottom w:val="single" w:sz="4" w:space="0" w:color="000000"/>
              <w:right w:val="single" w:sz="12" w:space="0" w:color="000000"/>
            </w:tcBorders>
          </w:tcPr>
          <w:p w14:paraId="6CE7E87A" w14:textId="77777777" w:rsidR="00C54B32" w:rsidRDefault="00C54B32" w:rsidP="00F95611">
            <w:pPr>
              <w:spacing w:after="0" w:line="259" w:lineRule="auto"/>
              <w:ind w:left="0" w:right="0" w:firstLine="0"/>
            </w:pPr>
            <w:r>
              <w:t xml:space="preserve">Office of Land Quality  </w:t>
            </w:r>
          </w:p>
        </w:tc>
      </w:tr>
      <w:tr w:rsidR="00C0015D" w14:paraId="4CA91421" w14:textId="77777777" w:rsidTr="00C674D9">
        <w:tblPrEx>
          <w:tblCellMar>
            <w:top w:w="0" w:type="dxa"/>
            <w:left w:w="0" w:type="dxa"/>
            <w:right w:w="0" w:type="dxa"/>
          </w:tblCellMar>
        </w:tblPrEx>
        <w:trPr>
          <w:trHeight w:val="259"/>
        </w:trPr>
        <w:tc>
          <w:tcPr>
            <w:tcW w:w="2657" w:type="dxa"/>
            <w:tcBorders>
              <w:top w:val="single" w:sz="4" w:space="0" w:color="000000"/>
              <w:left w:val="single" w:sz="12" w:space="0" w:color="000000"/>
              <w:bottom w:val="single" w:sz="4" w:space="0" w:color="000000"/>
              <w:right w:val="single" w:sz="12" w:space="0" w:color="000000"/>
            </w:tcBorders>
          </w:tcPr>
          <w:p w14:paraId="0C2F5F72" w14:textId="68FDE49F" w:rsidR="00C0015D" w:rsidRDefault="00C0015D" w:rsidP="006C2BCC">
            <w:pPr>
              <w:spacing w:after="0" w:line="259" w:lineRule="auto"/>
              <w:ind w:left="70" w:right="0" w:firstLine="0"/>
              <w:rPr>
                <w:b/>
              </w:rPr>
            </w:pPr>
            <w:r>
              <w:rPr>
                <w:b/>
              </w:rPr>
              <w:t>OPR</w:t>
            </w:r>
          </w:p>
        </w:tc>
        <w:tc>
          <w:tcPr>
            <w:tcW w:w="7963" w:type="dxa"/>
            <w:tcBorders>
              <w:top w:val="single" w:sz="4" w:space="0" w:color="000000"/>
              <w:left w:val="single" w:sz="12" w:space="0" w:color="000000"/>
              <w:bottom w:val="single" w:sz="4" w:space="0" w:color="000000"/>
              <w:right w:val="single" w:sz="12" w:space="0" w:color="000000"/>
            </w:tcBorders>
          </w:tcPr>
          <w:p w14:paraId="106D502A" w14:textId="13B8EF3F" w:rsidR="00C0015D" w:rsidRDefault="00633CC3" w:rsidP="00F95611">
            <w:pPr>
              <w:spacing w:after="0" w:line="259" w:lineRule="auto"/>
              <w:ind w:left="0" w:right="0" w:firstLine="0"/>
            </w:pPr>
            <w:r w:rsidRPr="00633CC3">
              <w:t>Ongoing Precision Recovery</w:t>
            </w:r>
            <w:r w:rsidR="008F5B7C">
              <w:t xml:space="preserve"> (Also known as LCS</w:t>
            </w:r>
            <w:r w:rsidR="00D36D60">
              <w:t>, LFB, Recovery Standard, and DI Spike)</w:t>
            </w:r>
          </w:p>
        </w:tc>
      </w:tr>
      <w:tr w:rsidR="000F40EC" w14:paraId="57AD4EE4" w14:textId="77777777" w:rsidTr="00C674D9">
        <w:tblPrEx>
          <w:tblCellMar>
            <w:top w:w="0" w:type="dxa"/>
            <w:left w:w="0" w:type="dxa"/>
            <w:right w:w="0" w:type="dxa"/>
          </w:tblCellMar>
        </w:tblPrEx>
        <w:trPr>
          <w:trHeight w:val="259"/>
        </w:trPr>
        <w:tc>
          <w:tcPr>
            <w:tcW w:w="2657" w:type="dxa"/>
            <w:tcBorders>
              <w:top w:val="single" w:sz="4" w:space="0" w:color="000000"/>
              <w:left w:val="single" w:sz="12" w:space="0" w:color="000000"/>
              <w:bottom w:val="single" w:sz="4" w:space="0" w:color="000000"/>
              <w:right w:val="single" w:sz="12" w:space="0" w:color="000000"/>
            </w:tcBorders>
          </w:tcPr>
          <w:p w14:paraId="659A6F54" w14:textId="77777777" w:rsidR="00C54B32" w:rsidRDefault="00C54B32" w:rsidP="006C2BCC">
            <w:pPr>
              <w:spacing w:after="0" w:line="259" w:lineRule="auto"/>
              <w:ind w:left="70" w:right="0" w:firstLine="0"/>
              <w:rPr>
                <w:b/>
              </w:rPr>
            </w:pPr>
            <w:r>
              <w:rPr>
                <w:b/>
              </w:rPr>
              <w:t xml:space="preserve">Organic-Free Reagent Water   </w:t>
            </w:r>
          </w:p>
        </w:tc>
        <w:tc>
          <w:tcPr>
            <w:tcW w:w="7963" w:type="dxa"/>
            <w:tcBorders>
              <w:top w:val="single" w:sz="4" w:space="0" w:color="000000"/>
              <w:left w:val="single" w:sz="12" w:space="0" w:color="000000"/>
              <w:bottom w:val="single" w:sz="4" w:space="0" w:color="000000"/>
              <w:right w:val="single" w:sz="12" w:space="0" w:color="000000"/>
            </w:tcBorders>
          </w:tcPr>
          <w:p w14:paraId="70ADD410" w14:textId="77777777" w:rsidR="00C54B32" w:rsidRDefault="00C54B32" w:rsidP="00F95611">
            <w:pPr>
              <w:spacing w:after="0" w:line="259" w:lineRule="auto"/>
              <w:ind w:left="0" w:right="0" w:firstLine="0"/>
            </w:pPr>
            <w:r>
              <w:t xml:space="preserve">For analysis of organic analytes:  water prepared so that interferents or contaminants are observed at the method detection limit of the compounds of interest.  Methods of preparation include passing tap water through a carbon filter containing about one pound of activated carbon or using a water purification system to generate organic-free deionized water. </w:t>
            </w:r>
          </w:p>
        </w:tc>
      </w:tr>
      <w:tr w:rsidR="00095283" w14:paraId="4F18F2C7" w14:textId="77777777" w:rsidTr="00C674D9">
        <w:trPr>
          <w:trHeight w:val="264"/>
        </w:trPr>
        <w:tc>
          <w:tcPr>
            <w:tcW w:w="2657" w:type="dxa"/>
            <w:tcBorders>
              <w:top w:val="single" w:sz="4" w:space="0" w:color="000000"/>
              <w:left w:val="single" w:sz="12" w:space="0" w:color="000000"/>
              <w:bottom w:val="single" w:sz="4" w:space="0" w:color="000000"/>
              <w:right w:val="single" w:sz="12" w:space="0" w:color="000000"/>
            </w:tcBorders>
          </w:tcPr>
          <w:p w14:paraId="71907B52" w14:textId="77777777" w:rsidR="00CD265F" w:rsidRDefault="00CD265F" w:rsidP="00F95611">
            <w:pPr>
              <w:spacing w:after="0" w:line="259" w:lineRule="auto"/>
              <w:ind w:left="0" w:right="0" w:firstLine="0"/>
            </w:pPr>
            <w:r>
              <w:rPr>
                <w:b/>
              </w:rPr>
              <w:t xml:space="preserve">PAH </w:t>
            </w:r>
          </w:p>
        </w:tc>
        <w:tc>
          <w:tcPr>
            <w:tcW w:w="7963" w:type="dxa"/>
            <w:tcBorders>
              <w:top w:val="single" w:sz="4" w:space="0" w:color="000000"/>
              <w:left w:val="single" w:sz="12" w:space="0" w:color="000000"/>
              <w:bottom w:val="single" w:sz="4" w:space="0" w:color="000000"/>
              <w:right w:val="single" w:sz="12" w:space="0" w:color="000000"/>
            </w:tcBorders>
          </w:tcPr>
          <w:p w14:paraId="4ED7FD30" w14:textId="53B132DC" w:rsidR="00CD265F" w:rsidRDefault="00CD265F" w:rsidP="00F95611">
            <w:pPr>
              <w:spacing w:after="0" w:line="259" w:lineRule="auto"/>
              <w:ind w:left="0" w:right="0" w:firstLine="0"/>
            </w:pPr>
            <w:r>
              <w:t xml:space="preserve">Polynuclear Aromatic Hydrocarbon(s).  (Also </w:t>
            </w:r>
            <w:r w:rsidR="00367F43">
              <w:t>known as</w:t>
            </w:r>
            <w:r>
              <w:t xml:space="preserve"> PNAs.) </w:t>
            </w:r>
          </w:p>
        </w:tc>
      </w:tr>
      <w:tr w:rsidR="00095283" w14:paraId="491034EE" w14:textId="77777777" w:rsidTr="00C674D9">
        <w:trPr>
          <w:trHeight w:val="271"/>
        </w:trPr>
        <w:tc>
          <w:tcPr>
            <w:tcW w:w="2657" w:type="dxa"/>
            <w:tcBorders>
              <w:top w:val="single" w:sz="4" w:space="0" w:color="000000"/>
              <w:left w:val="single" w:sz="12" w:space="0" w:color="000000"/>
              <w:bottom w:val="single" w:sz="4" w:space="0" w:color="000000"/>
              <w:right w:val="single" w:sz="12" w:space="0" w:color="000000"/>
            </w:tcBorders>
          </w:tcPr>
          <w:p w14:paraId="0B269C0E" w14:textId="77777777" w:rsidR="00CD265F" w:rsidRDefault="00CD265F" w:rsidP="00F95611">
            <w:pPr>
              <w:spacing w:after="0" w:line="259" w:lineRule="auto"/>
              <w:ind w:left="0" w:right="0" w:firstLine="0"/>
            </w:pPr>
            <w:r>
              <w:rPr>
                <w:b/>
              </w:rPr>
              <w:t xml:space="preserve">PCB </w:t>
            </w:r>
          </w:p>
        </w:tc>
        <w:tc>
          <w:tcPr>
            <w:tcW w:w="7963" w:type="dxa"/>
            <w:tcBorders>
              <w:top w:val="single" w:sz="4" w:space="0" w:color="000000"/>
              <w:left w:val="single" w:sz="12" w:space="0" w:color="000000"/>
              <w:bottom w:val="single" w:sz="4" w:space="0" w:color="000000"/>
              <w:right w:val="single" w:sz="12" w:space="0" w:color="000000"/>
            </w:tcBorders>
          </w:tcPr>
          <w:p w14:paraId="633D7DCE" w14:textId="77777777" w:rsidR="00CD265F" w:rsidRDefault="00CD265F" w:rsidP="00F95611">
            <w:pPr>
              <w:spacing w:after="0" w:line="259" w:lineRule="auto"/>
              <w:ind w:left="0" w:right="0" w:firstLine="0"/>
            </w:pPr>
            <w:r>
              <w:t xml:space="preserve">Polychlorinated Biphenyl Compound(s) </w:t>
            </w:r>
          </w:p>
        </w:tc>
      </w:tr>
      <w:tr w:rsidR="00095283" w14:paraId="0B009018" w14:textId="77777777" w:rsidTr="00C674D9">
        <w:trPr>
          <w:trHeight w:val="1044"/>
        </w:trPr>
        <w:tc>
          <w:tcPr>
            <w:tcW w:w="2657" w:type="dxa"/>
            <w:tcBorders>
              <w:top w:val="single" w:sz="4" w:space="0" w:color="000000"/>
              <w:left w:val="single" w:sz="12" w:space="0" w:color="000000"/>
              <w:bottom w:val="single" w:sz="4" w:space="0" w:color="000000"/>
              <w:right w:val="single" w:sz="12" w:space="0" w:color="000000"/>
            </w:tcBorders>
          </w:tcPr>
          <w:p w14:paraId="0DCB7A49" w14:textId="77777777" w:rsidR="00CD265F" w:rsidRDefault="00CD265F" w:rsidP="00F95611">
            <w:pPr>
              <w:spacing w:after="0" w:line="259" w:lineRule="auto"/>
              <w:ind w:left="0" w:right="0" w:firstLine="0"/>
            </w:pPr>
            <w:r>
              <w:rPr>
                <w:b/>
              </w:rPr>
              <w:t xml:space="preserve">Petroleum Analysis </w:t>
            </w:r>
          </w:p>
        </w:tc>
        <w:tc>
          <w:tcPr>
            <w:tcW w:w="7963" w:type="dxa"/>
            <w:tcBorders>
              <w:top w:val="single" w:sz="4" w:space="0" w:color="000000"/>
              <w:left w:val="single" w:sz="12" w:space="0" w:color="000000"/>
              <w:bottom w:val="single" w:sz="4" w:space="0" w:color="000000"/>
              <w:right w:val="single" w:sz="12" w:space="0" w:color="000000"/>
            </w:tcBorders>
          </w:tcPr>
          <w:p w14:paraId="521F049B" w14:textId="77777777" w:rsidR="00CD265F" w:rsidRDefault="00CD265F" w:rsidP="00F95611">
            <w:pPr>
              <w:spacing w:after="0" w:line="259" w:lineRule="auto"/>
              <w:ind w:left="0" w:right="0" w:firstLine="0"/>
            </w:pPr>
            <w:r>
              <w:t xml:space="preserve">Total petroleum hydrocarbons determination: Identification of petroleum fuel contamination (gasoline, kerosene, diesel) using Gas Chromatography with a Flame Ionization Detector or a Photoionization Detector. Also, analysis of heavy oils using an Infrared Spectrophotometer. </w:t>
            </w:r>
          </w:p>
        </w:tc>
      </w:tr>
      <w:tr w:rsidR="00095283" w14:paraId="5478C9D6" w14:textId="77777777" w:rsidTr="00C674D9">
        <w:trPr>
          <w:trHeight w:val="281"/>
        </w:trPr>
        <w:tc>
          <w:tcPr>
            <w:tcW w:w="2657" w:type="dxa"/>
            <w:tcBorders>
              <w:top w:val="single" w:sz="4" w:space="0" w:color="000000"/>
              <w:left w:val="single" w:sz="12" w:space="0" w:color="000000"/>
              <w:bottom w:val="single" w:sz="4" w:space="0" w:color="000000"/>
              <w:right w:val="single" w:sz="12" w:space="0" w:color="000000"/>
            </w:tcBorders>
          </w:tcPr>
          <w:p w14:paraId="2FA49DC5" w14:textId="77777777" w:rsidR="00CD265F" w:rsidRDefault="00CD265F" w:rsidP="00F95611">
            <w:pPr>
              <w:spacing w:after="0" w:line="259" w:lineRule="auto"/>
              <w:ind w:left="0" w:right="0" w:firstLine="0"/>
              <w:rPr>
                <w:b/>
              </w:rPr>
            </w:pPr>
            <w:r>
              <w:rPr>
                <w:b/>
              </w:rPr>
              <w:t>PFAS</w:t>
            </w:r>
          </w:p>
        </w:tc>
        <w:tc>
          <w:tcPr>
            <w:tcW w:w="7963" w:type="dxa"/>
            <w:tcBorders>
              <w:top w:val="single" w:sz="4" w:space="0" w:color="000000"/>
              <w:left w:val="single" w:sz="12" w:space="0" w:color="000000"/>
              <w:bottom w:val="single" w:sz="4" w:space="0" w:color="000000"/>
              <w:right w:val="single" w:sz="12" w:space="0" w:color="000000"/>
            </w:tcBorders>
          </w:tcPr>
          <w:p w14:paraId="5945591E" w14:textId="1EE44EC9" w:rsidR="00CD265F" w:rsidRDefault="00CD265F" w:rsidP="00F95611">
            <w:pPr>
              <w:spacing w:after="0" w:line="259" w:lineRule="auto"/>
              <w:ind w:left="0" w:right="0" w:firstLine="0"/>
            </w:pPr>
            <w:r>
              <w:t xml:space="preserve">Per- and Polyfluoroalkyl Substances (Current term for </w:t>
            </w:r>
            <w:r w:rsidRPr="00D35280">
              <w:t>a group of man-made c</w:t>
            </w:r>
            <w:r>
              <w:t>ompounds</w:t>
            </w:r>
            <w:r w:rsidRPr="00D35280">
              <w:t xml:space="preserve"> that includes PFOA, PFOS, and many other chemicals</w:t>
            </w:r>
            <w:r w:rsidR="0026519E">
              <w:t>.</w:t>
            </w:r>
            <w:r>
              <w:t>)</w:t>
            </w:r>
          </w:p>
        </w:tc>
      </w:tr>
      <w:tr w:rsidR="00095283" w14:paraId="27D4C455" w14:textId="77777777" w:rsidTr="00C674D9">
        <w:trPr>
          <w:trHeight w:val="281"/>
        </w:trPr>
        <w:tc>
          <w:tcPr>
            <w:tcW w:w="2657" w:type="dxa"/>
            <w:tcBorders>
              <w:top w:val="single" w:sz="4" w:space="0" w:color="000000"/>
              <w:left w:val="single" w:sz="12" w:space="0" w:color="000000"/>
              <w:bottom w:val="single" w:sz="4" w:space="0" w:color="000000"/>
              <w:right w:val="single" w:sz="12" w:space="0" w:color="000000"/>
            </w:tcBorders>
          </w:tcPr>
          <w:p w14:paraId="38E3ECD6" w14:textId="77777777" w:rsidR="00CD265F" w:rsidRDefault="00CD265F" w:rsidP="00F95611">
            <w:pPr>
              <w:spacing w:after="0" w:line="259" w:lineRule="auto"/>
              <w:ind w:left="0" w:right="0" w:firstLine="0"/>
            </w:pPr>
            <w:r>
              <w:rPr>
                <w:b/>
              </w:rPr>
              <w:lastRenderedPageBreak/>
              <w:t xml:space="preserve">PFOA </w:t>
            </w:r>
          </w:p>
        </w:tc>
        <w:tc>
          <w:tcPr>
            <w:tcW w:w="7963" w:type="dxa"/>
            <w:tcBorders>
              <w:top w:val="single" w:sz="4" w:space="0" w:color="000000"/>
              <w:left w:val="single" w:sz="12" w:space="0" w:color="000000"/>
              <w:bottom w:val="single" w:sz="4" w:space="0" w:color="000000"/>
              <w:right w:val="single" w:sz="12" w:space="0" w:color="000000"/>
            </w:tcBorders>
          </w:tcPr>
          <w:p w14:paraId="1B019C45" w14:textId="77777777" w:rsidR="00CD265F" w:rsidRDefault="00CD265F" w:rsidP="00F95611">
            <w:pPr>
              <w:spacing w:after="0" w:line="259" w:lineRule="auto"/>
              <w:ind w:left="0" w:right="0" w:firstLine="0"/>
            </w:pPr>
            <w:r>
              <w:t>Perfluorooctanoic Acid (</w:t>
            </w:r>
            <w:r w:rsidRPr="00806C7D">
              <w:rPr>
                <w:color w:val="auto"/>
              </w:rPr>
              <w:t>A PFAS compound)</w:t>
            </w:r>
          </w:p>
        </w:tc>
      </w:tr>
      <w:tr w:rsidR="00095283" w14:paraId="235C09A0" w14:textId="77777777" w:rsidTr="00C674D9">
        <w:trPr>
          <w:trHeight w:val="283"/>
        </w:trPr>
        <w:tc>
          <w:tcPr>
            <w:tcW w:w="2657" w:type="dxa"/>
            <w:tcBorders>
              <w:top w:val="single" w:sz="4" w:space="0" w:color="000000"/>
              <w:left w:val="single" w:sz="12" w:space="0" w:color="000000"/>
              <w:bottom w:val="single" w:sz="4" w:space="0" w:color="000000"/>
              <w:right w:val="single" w:sz="12" w:space="0" w:color="000000"/>
            </w:tcBorders>
          </w:tcPr>
          <w:p w14:paraId="287CAC60" w14:textId="77777777" w:rsidR="00CD265F" w:rsidRDefault="00CD265F" w:rsidP="00F95611">
            <w:pPr>
              <w:spacing w:after="0" w:line="259" w:lineRule="auto"/>
              <w:ind w:left="0" w:right="0" w:firstLine="0"/>
            </w:pPr>
            <w:r>
              <w:rPr>
                <w:b/>
              </w:rPr>
              <w:t xml:space="preserve">PFOS </w:t>
            </w:r>
          </w:p>
        </w:tc>
        <w:tc>
          <w:tcPr>
            <w:tcW w:w="7963" w:type="dxa"/>
            <w:tcBorders>
              <w:top w:val="single" w:sz="4" w:space="0" w:color="000000"/>
              <w:left w:val="single" w:sz="12" w:space="0" w:color="000000"/>
              <w:bottom w:val="single" w:sz="4" w:space="0" w:color="000000"/>
              <w:right w:val="single" w:sz="12" w:space="0" w:color="000000"/>
            </w:tcBorders>
          </w:tcPr>
          <w:p w14:paraId="51ED9AE4" w14:textId="77777777" w:rsidR="00CD265F" w:rsidRDefault="00CD265F" w:rsidP="00F95611">
            <w:pPr>
              <w:spacing w:after="0" w:line="259" w:lineRule="auto"/>
              <w:ind w:left="0" w:right="0" w:firstLine="0"/>
            </w:pPr>
            <w:proofErr w:type="spellStart"/>
            <w:r>
              <w:t>Perfluorooctane</w:t>
            </w:r>
            <w:proofErr w:type="spellEnd"/>
            <w:r>
              <w:t xml:space="preserve"> Sulfon</w:t>
            </w:r>
            <w:r w:rsidDel="002438AE">
              <w:t>ic</w:t>
            </w:r>
            <w:r>
              <w:t xml:space="preserve"> Acid (</w:t>
            </w:r>
            <w:r w:rsidRPr="00806C7D">
              <w:rPr>
                <w:color w:val="auto"/>
              </w:rPr>
              <w:t>A PFAS compound)</w:t>
            </w:r>
          </w:p>
        </w:tc>
      </w:tr>
      <w:tr w:rsidR="00095283" w14:paraId="750AE83D" w14:textId="77777777" w:rsidTr="00C674D9">
        <w:trPr>
          <w:trHeight w:val="274"/>
        </w:trPr>
        <w:tc>
          <w:tcPr>
            <w:tcW w:w="2657" w:type="dxa"/>
            <w:tcBorders>
              <w:top w:val="single" w:sz="4" w:space="0" w:color="000000"/>
              <w:left w:val="single" w:sz="12" w:space="0" w:color="000000"/>
              <w:bottom w:val="single" w:sz="4" w:space="0" w:color="000000"/>
              <w:right w:val="single" w:sz="12" w:space="0" w:color="000000"/>
            </w:tcBorders>
          </w:tcPr>
          <w:p w14:paraId="1CEA0F13" w14:textId="77777777" w:rsidR="00CD265F" w:rsidRDefault="00CD265F" w:rsidP="00F95611">
            <w:pPr>
              <w:spacing w:after="0" w:line="259" w:lineRule="auto"/>
              <w:ind w:left="0" w:right="0" w:firstLine="0"/>
            </w:pPr>
            <w:r>
              <w:rPr>
                <w:b/>
              </w:rPr>
              <w:t xml:space="preserve">PID </w:t>
            </w:r>
          </w:p>
        </w:tc>
        <w:tc>
          <w:tcPr>
            <w:tcW w:w="7963" w:type="dxa"/>
            <w:tcBorders>
              <w:top w:val="single" w:sz="4" w:space="0" w:color="000000"/>
              <w:left w:val="single" w:sz="12" w:space="0" w:color="000000"/>
              <w:bottom w:val="single" w:sz="4" w:space="0" w:color="000000"/>
              <w:right w:val="single" w:sz="12" w:space="0" w:color="000000"/>
            </w:tcBorders>
          </w:tcPr>
          <w:p w14:paraId="5A511E79" w14:textId="77777777" w:rsidR="00CD265F" w:rsidRDefault="00CD265F" w:rsidP="00F95611">
            <w:pPr>
              <w:spacing w:after="0" w:line="259" w:lineRule="auto"/>
              <w:ind w:left="0" w:right="0" w:firstLine="0"/>
            </w:pPr>
            <w:r>
              <w:t xml:space="preserve">Photoionization Detector </w:t>
            </w:r>
          </w:p>
        </w:tc>
      </w:tr>
      <w:tr w:rsidR="00095283" w14:paraId="6691F605" w14:textId="77777777" w:rsidTr="00C674D9">
        <w:trPr>
          <w:trHeight w:val="281"/>
        </w:trPr>
        <w:tc>
          <w:tcPr>
            <w:tcW w:w="2657" w:type="dxa"/>
            <w:tcBorders>
              <w:top w:val="single" w:sz="4" w:space="0" w:color="000000"/>
              <w:left w:val="single" w:sz="12" w:space="0" w:color="000000"/>
              <w:bottom w:val="single" w:sz="4" w:space="0" w:color="000000"/>
              <w:right w:val="single" w:sz="12" w:space="0" w:color="000000"/>
            </w:tcBorders>
          </w:tcPr>
          <w:p w14:paraId="3E7C55A9" w14:textId="77777777" w:rsidR="00CD265F" w:rsidRDefault="00CD265F" w:rsidP="00F95611">
            <w:pPr>
              <w:spacing w:after="0" w:line="259" w:lineRule="auto"/>
              <w:ind w:left="0" w:right="0" w:firstLine="0"/>
              <w:rPr>
                <w:b/>
              </w:rPr>
            </w:pPr>
            <w:r>
              <w:rPr>
                <w:b/>
              </w:rPr>
              <w:t>Post-Digestion Spike</w:t>
            </w:r>
          </w:p>
        </w:tc>
        <w:tc>
          <w:tcPr>
            <w:tcW w:w="7963" w:type="dxa"/>
            <w:tcBorders>
              <w:top w:val="single" w:sz="4" w:space="0" w:color="000000"/>
              <w:left w:val="single" w:sz="12" w:space="0" w:color="000000"/>
              <w:bottom w:val="single" w:sz="4" w:space="0" w:color="000000"/>
              <w:right w:val="single" w:sz="12" w:space="0" w:color="000000"/>
            </w:tcBorders>
          </w:tcPr>
          <w:p w14:paraId="42EF04A5" w14:textId="5F88E9E6" w:rsidR="00CD265F" w:rsidRDefault="00CD265F" w:rsidP="00F95611">
            <w:pPr>
              <w:spacing w:after="0" w:line="259" w:lineRule="auto"/>
              <w:ind w:left="0" w:right="0" w:firstLine="0"/>
            </w:pPr>
            <w:r>
              <w:t>S</w:t>
            </w:r>
            <w:r w:rsidRPr="00B57EF3">
              <w:t>pike samples typically prepared for inorganic analyses when pre-digestion/pre-distillation matrix spike recoveries are outside the required control limits. They are prepared by spiking a known amount of standard to the sample digestate. The recovery data from the post digestion spike analyses are used to further assess if matrix effects may be a source of measurement bias in sample quantitation.</w:t>
            </w:r>
            <w:r w:rsidR="00AB6604">
              <w:t xml:space="preserve"> (Also called </w:t>
            </w:r>
            <w:r w:rsidR="008A0281">
              <w:t>A</w:t>
            </w:r>
            <w:r w:rsidR="00AB6604">
              <w:t xml:space="preserve">nalytical </w:t>
            </w:r>
            <w:r w:rsidR="008A0281">
              <w:t>S</w:t>
            </w:r>
            <w:r w:rsidR="00AB6604">
              <w:t>pike)</w:t>
            </w:r>
          </w:p>
        </w:tc>
      </w:tr>
      <w:tr w:rsidR="00095283" w14:paraId="294D6274" w14:textId="77777777" w:rsidTr="00C674D9">
        <w:trPr>
          <w:trHeight w:val="281"/>
        </w:trPr>
        <w:tc>
          <w:tcPr>
            <w:tcW w:w="2657" w:type="dxa"/>
            <w:tcBorders>
              <w:top w:val="single" w:sz="4" w:space="0" w:color="000000"/>
              <w:left w:val="single" w:sz="12" w:space="0" w:color="000000"/>
              <w:bottom w:val="single" w:sz="4" w:space="0" w:color="000000"/>
              <w:right w:val="single" w:sz="12" w:space="0" w:color="000000"/>
            </w:tcBorders>
          </w:tcPr>
          <w:p w14:paraId="089813FB" w14:textId="77777777" w:rsidR="00CD265F" w:rsidRDefault="00CD265F" w:rsidP="00F95611">
            <w:pPr>
              <w:spacing w:after="0" w:line="259" w:lineRule="auto"/>
              <w:ind w:left="0" w:right="0" w:firstLine="0"/>
            </w:pPr>
            <w:r>
              <w:rPr>
                <w:b/>
              </w:rPr>
              <w:t xml:space="preserve">ppb   </w:t>
            </w:r>
          </w:p>
        </w:tc>
        <w:tc>
          <w:tcPr>
            <w:tcW w:w="7963" w:type="dxa"/>
            <w:tcBorders>
              <w:top w:val="single" w:sz="4" w:space="0" w:color="000000"/>
              <w:left w:val="single" w:sz="12" w:space="0" w:color="000000"/>
              <w:bottom w:val="single" w:sz="4" w:space="0" w:color="000000"/>
              <w:right w:val="single" w:sz="12" w:space="0" w:color="000000"/>
            </w:tcBorders>
          </w:tcPr>
          <w:p w14:paraId="4D4348D1" w14:textId="77777777" w:rsidR="00CD265F" w:rsidRDefault="00CD265F" w:rsidP="00F95611">
            <w:pPr>
              <w:spacing w:after="0" w:line="259" w:lineRule="auto"/>
              <w:ind w:left="0" w:right="0" w:firstLine="0"/>
            </w:pPr>
            <w:r>
              <w:t xml:space="preserve">Parts per billion (usually ug/kg (solids) or ug/L (aqueous)) </w:t>
            </w:r>
          </w:p>
        </w:tc>
      </w:tr>
      <w:tr w:rsidR="00095283" w14:paraId="4F1A662B" w14:textId="77777777" w:rsidTr="00C674D9">
        <w:trPr>
          <w:trHeight w:val="262"/>
        </w:trPr>
        <w:tc>
          <w:tcPr>
            <w:tcW w:w="2657" w:type="dxa"/>
            <w:tcBorders>
              <w:top w:val="single" w:sz="4" w:space="0" w:color="000000"/>
              <w:left w:val="single" w:sz="12" w:space="0" w:color="000000"/>
              <w:bottom w:val="single" w:sz="4" w:space="0" w:color="000000"/>
              <w:right w:val="single" w:sz="12" w:space="0" w:color="000000"/>
            </w:tcBorders>
          </w:tcPr>
          <w:p w14:paraId="18C6BE88" w14:textId="77777777" w:rsidR="00CD265F" w:rsidRDefault="00CD265F" w:rsidP="00F95611">
            <w:pPr>
              <w:spacing w:after="0" w:line="259" w:lineRule="auto"/>
              <w:ind w:left="0" w:right="0" w:firstLine="0"/>
            </w:pPr>
            <w:r>
              <w:rPr>
                <w:b/>
              </w:rPr>
              <w:t xml:space="preserve">ppm  </w:t>
            </w:r>
          </w:p>
        </w:tc>
        <w:tc>
          <w:tcPr>
            <w:tcW w:w="7963" w:type="dxa"/>
            <w:tcBorders>
              <w:top w:val="single" w:sz="4" w:space="0" w:color="000000"/>
              <w:left w:val="single" w:sz="12" w:space="0" w:color="000000"/>
              <w:bottom w:val="single" w:sz="4" w:space="0" w:color="000000"/>
              <w:right w:val="single" w:sz="12" w:space="0" w:color="000000"/>
            </w:tcBorders>
          </w:tcPr>
          <w:p w14:paraId="1B881856" w14:textId="77777777" w:rsidR="00CD265F" w:rsidRDefault="00CD265F" w:rsidP="00F95611">
            <w:pPr>
              <w:spacing w:after="0" w:line="259" w:lineRule="auto"/>
              <w:ind w:left="0" w:right="0" w:firstLine="0"/>
            </w:pPr>
            <w:r>
              <w:t xml:space="preserve">Parts per million (usually mg/kg (solids) or mg/L (aqueous)) </w:t>
            </w:r>
          </w:p>
        </w:tc>
      </w:tr>
      <w:tr w:rsidR="00095283" w14:paraId="792694A8" w14:textId="77777777" w:rsidTr="00C674D9">
        <w:trPr>
          <w:trHeight w:val="264"/>
        </w:trPr>
        <w:tc>
          <w:tcPr>
            <w:tcW w:w="2657" w:type="dxa"/>
            <w:tcBorders>
              <w:top w:val="single" w:sz="4" w:space="0" w:color="000000"/>
              <w:left w:val="single" w:sz="12" w:space="0" w:color="000000"/>
              <w:bottom w:val="single" w:sz="4" w:space="0" w:color="000000"/>
              <w:right w:val="single" w:sz="12" w:space="0" w:color="000000"/>
            </w:tcBorders>
          </w:tcPr>
          <w:p w14:paraId="42CE7209" w14:textId="77777777" w:rsidR="00CD265F" w:rsidRDefault="00CD265F" w:rsidP="00F95611">
            <w:pPr>
              <w:spacing w:after="0" w:line="259" w:lineRule="auto"/>
              <w:ind w:left="0" w:right="0" w:firstLine="0"/>
            </w:pPr>
            <w:proofErr w:type="spellStart"/>
            <w:r>
              <w:rPr>
                <w:b/>
              </w:rPr>
              <w:t>ppq</w:t>
            </w:r>
            <w:proofErr w:type="spellEnd"/>
            <w:r>
              <w:rPr>
                <w:b/>
              </w:rPr>
              <w:t xml:space="preserve">    </w:t>
            </w:r>
          </w:p>
        </w:tc>
        <w:tc>
          <w:tcPr>
            <w:tcW w:w="7963" w:type="dxa"/>
            <w:tcBorders>
              <w:top w:val="single" w:sz="4" w:space="0" w:color="000000"/>
              <w:left w:val="single" w:sz="12" w:space="0" w:color="000000"/>
              <w:bottom w:val="single" w:sz="4" w:space="0" w:color="000000"/>
              <w:right w:val="single" w:sz="12" w:space="0" w:color="000000"/>
            </w:tcBorders>
          </w:tcPr>
          <w:p w14:paraId="04F9AB20" w14:textId="77777777" w:rsidR="00CD265F" w:rsidRDefault="00CD265F" w:rsidP="00F95611">
            <w:pPr>
              <w:spacing w:after="0" w:line="259" w:lineRule="auto"/>
              <w:ind w:left="0" w:right="0" w:firstLine="0"/>
            </w:pPr>
            <w:r>
              <w:t>Parts per quadrillion (usually picograms/liter (</w:t>
            </w:r>
            <w:proofErr w:type="spellStart"/>
            <w:r>
              <w:t>pg</w:t>
            </w:r>
            <w:proofErr w:type="spellEnd"/>
            <w:r>
              <w:t xml:space="preserve">/L)) </w:t>
            </w:r>
          </w:p>
        </w:tc>
      </w:tr>
      <w:tr w:rsidR="00095283" w14:paraId="4751288F" w14:textId="77777777" w:rsidTr="00C674D9">
        <w:trPr>
          <w:trHeight w:val="262"/>
        </w:trPr>
        <w:tc>
          <w:tcPr>
            <w:tcW w:w="2657" w:type="dxa"/>
            <w:tcBorders>
              <w:top w:val="single" w:sz="4" w:space="0" w:color="000000"/>
              <w:left w:val="single" w:sz="12" w:space="0" w:color="000000"/>
              <w:bottom w:val="single" w:sz="4" w:space="0" w:color="000000"/>
              <w:right w:val="single" w:sz="12" w:space="0" w:color="000000"/>
            </w:tcBorders>
          </w:tcPr>
          <w:p w14:paraId="5821ED69" w14:textId="77777777" w:rsidR="00CD265F" w:rsidRDefault="00CD265F" w:rsidP="00F95611">
            <w:pPr>
              <w:spacing w:after="0" w:line="259" w:lineRule="auto"/>
              <w:ind w:left="0" w:right="0" w:firstLine="0"/>
            </w:pPr>
            <w:r>
              <w:rPr>
                <w:b/>
              </w:rPr>
              <w:t xml:space="preserve">ppt    </w:t>
            </w:r>
          </w:p>
        </w:tc>
        <w:tc>
          <w:tcPr>
            <w:tcW w:w="7963" w:type="dxa"/>
            <w:tcBorders>
              <w:top w:val="single" w:sz="4" w:space="0" w:color="000000"/>
              <w:left w:val="single" w:sz="12" w:space="0" w:color="000000"/>
              <w:bottom w:val="single" w:sz="4" w:space="0" w:color="000000"/>
              <w:right w:val="single" w:sz="12" w:space="0" w:color="000000"/>
            </w:tcBorders>
          </w:tcPr>
          <w:p w14:paraId="289DC311" w14:textId="77777777" w:rsidR="00CD265F" w:rsidRDefault="00CD265F" w:rsidP="00F95611">
            <w:pPr>
              <w:spacing w:after="0" w:line="259" w:lineRule="auto"/>
              <w:ind w:left="0" w:right="0" w:firstLine="0"/>
            </w:pPr>
            <w:r>
              <w:t xml:space="preserve">Parts per trillion (usually nanograms/liter (ng/L)) </w:t>
            </w:r>
          </w:p>
        </w:tc>
      </w:tr>
      <w:tr w:rsidR="00095283" w14:paraId="28590553" w14:textId="77777777" w:rsidTr="00C674D9">
        <w:trPr>
          <w:trHeight w:val="265"/>
        </w:trPr>
        <w:tc>
          <w:tcPr>
            <w:tcW w:w="2657" w:type="dxa"/>
            <w:tcBorders>
              <w:top w:val="single" w:sz="4" w:space="0" w:color="000000"/>
              <w:left w:val="single" w:sz="12" w:space="0" w:color="000000"/>
              <w:bottom w:val="single" w:sz="4" w:space="0" w:color="000000"/>
              <w:right w:val="single" w:sz="12" w:space="0" w:color="000000"/>
            </w:tcBorders>
          </w:tcPr>
          <w:p w14:paraId="0F8DD76F" w14:textId="77777777" w:rsidR="00CD265F" w:rsidRDefault="00CD265F" w:rsidP="00F95611">
            <w:pPr>
              <w:spacing w:after="0" w:line="259" w:lineRule="auto"/>
              <w:ind w:left="0" w:right="0" w:firstLine="0"/>
            </w:pPr>
            <w:r>
              <w:rPr>
                <w:b/>
              </w:rPr>
              <w:t xml:space="preserve">PQL </w:t>
            </w:r>
          </w:p>
        </w:tc>
        <w:tc>
          <w:tcPr>
            <w:tcW w:w="7963" w:type="dxa"/>
            <w:tcBorders>
              <w:top w:val="single" w:sz="4" w:space="0" w:color="000000"/>
              <w:left w:val="single" w:sz="12" w:space="0" w:color="000000"/>
              <w:bottom w:val="single" w:sz="4" w:space="0" w:color="000000"/>
              <w:right w:val="single" w:sz="12" w:space="0" w:color="000000"/>
            </w:tcBorders>
          </w:tcPr>
          <w:p w14:paraId="4F8E7CDD" w14:textId="77777777" w:rsidR="00CD265F" w:rsidRDefault="00CD265F" w:rsidP="00F95611">
            <w:pPr>
              <w:spacing w:after="0" w:line="259" w:lineRule="auto"/>
              <w:ind w:left="0" w:right="0" w:firstLine="0"/>
            </w:pPr>
            <w:r>
              <w:t xml:space="preserve">Practical Quantitation Limit </w:t>
            </w:r>
          </w:p>
        </w:tc>
      </w:tr>
      <w:tr w:rsidR="00095283" w14:paraId="4648538B" w14:textId="77777777" w:rsidTr="00C674D9">
        <w:trPr>
          <w:trHeight w:val="264"/>
        </w:trPr>
        <w:tc>
          <w:tcPr>
            <w:tcW w:w="2657" w:type="dxa"/>
            <w:tcBorders>
              <w:top w:val="single" w:sz="4" w:space="0" w:color="000000"/>
              <w:left w:val="single" w:sz="12" w:space="0" w:color="000000"/>
              <w:bottom w:val="single" w:sz="4" w:space="0" w:color="000000"/>
              <w:right w:val="single" w:sz="12" w:space="0" w:color="000000"/>
            </w:tcBorders>
          </w:tcPr>
          <w:p w14:paraId="7A2E0F39" w14:textId="77777777" w:rsidR="00CD265F" w:rsidRDefault="00CD265F" w:rsidP="00F95611">
            <w:pPr>
              <w:spacing w:after="0" w:line="259" w:lineRule="auto"/>
              <w:ind w:left="0" w:right="0" w:firstLine="0"/>
            </w:pPr>
            <w:r>
              <w:rPr>
                <w:b/>
              </w:rPr>
              <w:t xml:space="preserve">PNA </w:t>
            </w:r>
          </w:p>
        </w:tc>
        <w:tc>
          <w:tcPr>
            <w:tcW w:w="7963" w:type="dxa"/>
            <w:tcBorders>
              <w:top w:val="single" w:sz="4" w:space="0" w:color="000000"/>
              <w:left w:val="single" w:sz="12" w:space="0" w:color="000000"/>
              <w:bottom w:val="single" w:sz="4" w:space="0" w:color="000000"/>
              <w:right w:val="single" w:sz="12" w:space="0" w:color="000000"/>
            </w:tcBorders>
          </w:tcPr>
          <w:p w14:paraId="540B0840" w14:textId="77777777" w:rsidR="00CD265F" w:rsidRDefault="00CD265F" w:rsidP="00F95611">
            <w:pPr>
              <w:spacing w:after="0" w:line="259" w:lineRule="auto"/>
              <w:ind w:left="0" w:right="0" w:firstLine="0"/>
            </w:pPr>
            <w:r>
              <w:t xml:space="preserve">Polynuclear Aromatic Hydrocarbon(s).  (Usually called PAHs.) </w:t>
            </w:r>
          </w:p>
        </w:tc>
      </w:tr>
      <w:tr w:rsidR="00095283" w14:paraId="4916C20B" w14:textId="77777777" w:rsidTr="00C674D9">
        <w:trPr>
          <w:trHeight w:val="768"/>
        </w:trPr>
        <w:tc>
          <w:tcPr>
            <w:tcW w:w="2657" w:type="dxa"/>
            <w:tcBorders>
              <w:top w:val="single" w:sz="4" w:space="0" w:color="000000"/>
              <w:left w:val="single" w:sz="12" w:space="0" w:color="000000"/>
              <w:bottom w:val="single" w:sz="4" w:space="0" w:color="000000"/>
              <w:right w:val="single" w:sz="12" w:space="0" w:color="000000"/>
            </w:tcBorders>
          </w:tcPr>
          <w:p w14:paraId="5FB9E299" w14:textId="77777777" w:rsidR="00CD265F" w:rsidRDefault="00CD265F" w:rsidP="00F95611">
            <w:pPr>
              <w:spacing w:after="0" w:line="259" w:lineRule="auto"/>
              <w:ind w:left="0" w:right="0" w:firstLine="0"/>
            </w:pPr>
            <w:r>
              <w:rPr>
                <w:b/>
              </w:rPr>
              <w:t xml:space="preserve">Precision   </w:t>
            </w:r>
          </w:p>
        </w:tc>
        <w:tc>
          <w:tcPr>
            <w:tcW w:w="7963" w:type="dxa"/>
            <w:tcBorders>
              <w:top w:val="single" w:sz="4" w:space="0" w:color="000000"/>
              <w:left w:val="single" w:sz="12" w:space="0" w:color="000000"/>
              <w:bottom w:val="single" w:sz="4" w:space="0" w:color="000000"/>
              <w:right w:val="single" w:sz="12" w:space="0" w:color="000000"/>
            </w:tcBorders>
          </w:tcPr>
          <w:p w14:paraId="7936DF05" w14:textId="77777777" w:rsidR="00CD265F" w:rsidRDefault="00CD265F" w:rsidP="00F95611">
            <w:pPr>
              <w:spacing w:after="0" w:line="259" w:lineRule="auto"/>
              <w:ind w:left="0" w:right="0" w:firstLine="0"/>
            </w:pPr>
            <w:r>
              <w:t xml:space="preserve">The agreement among a set of replicate measurements without consideration of the "true" or accurate value.  The variability between measurements of the same material for the same analyte. </w:t>
            </w:r>
          </w:p>
        </w:tc>
      </w:tr>
      <w:tr w:rsidR="00095283" w14:paraId="36C6B3D8" w14:textId="77777777" w:rsidTr="00C674D9">
        <w:trPr>
          <w:trHeight w:val="264"/>
        </w:trPr>
        <w:tc>
          <w:tcPr>
            <w:tcW w:w="2657" w:type="dxa"/>
            <w:tcBorders>
              <w:top w:val="single" w:sz="4" w:space="0" w:color="000000"/>
              <w:left w:val="single" w:sz="12" w:space="0" w:color="000000"/>
              <w:bottom w:val="single" w:sz="4" w:space="0" w:color="000000"/>
              <w:right w:val="single" w:sz="12" w:space="0" w:color="000000"/>
            </w:tcBorders>
          </w:tcPr>
          <w:p w14:paraId="091F0A53" w14:textId="77777777" w:rsidR="00CD265F" w:rsidRDefault="00CD265F" w:rsidP="00F95611">
            <w:pPr>
              <w:spacing w:after="0" w:line="259" w:lineRule="auto"/>
              <w:ind w:left="0" w:right="0" w:firstLine="0"/>
            </w:pPr>
            <w:r>
              <w:rPr>
                <w:b/>
              </w:rPr>
              <w:t xml:space="preserve">Preparation Blank   </w:t>
            </w:r>
          </w:p>
        </w:tc>
        <w:tc>
          <w:tcPr>
            <w:tcW w:w="7963" w:type="dxa"/>
            <w:tcBorders>
              <w:top w:val="single" w:sz="4" w:space="0" w:color="000000"/>
              <w:left w:val="single" w:sz="12" w:space="0" w:color="000000"/>
              <w:bottom w:val="single" w:sz="4" w:space="0" w:color="000000"/>
              <w:right w:val="single" w:sz="12" w:space="0" w:color="000000"/>
            </w:tcBorders>
          </w:tcPr>
          <w:p w14:paraId="06DBBBF7" w14:textId="6CB9C586" w:rsidR="00CD265F" w:rsidRDefault="00CD265F" w:rsidP="00F95611">
            <w:pPr>
              <w:spacing w:after="0" w:line="259" w:lineRule="auto"/>
              <w:ind w:left="0" w:right="0" w:firstLine="0"/>
            </w:pPr>
            <w:r>
              <w:t xml:space="preserve">Method </w:t>
            </w:r>
            <w:r w:rsidR="008A0281">
              <w:t>B</w:t>
            </w:r>
            <w:r>
              <w:t>lank</w:t>
            </w:r>
            <w:r w:rsidR="00D60E04">
              <w:t xml:space="preserve"> (Also known as instrument blank, reagent blank, laboratory reagent blank, and laboratory blank.) </w:t>
            </w:r>
          </w:p>
        </w:tc>
      </w:tr>
      <w:tr w:rsidR="00095283" w14:paraId="6BD7E79D" w14:textId="77777777" w:rsidTr="00C674D9">
        <w:trPr>
          <w:trHeight w:val="516"/>
        </w:trPr>
        <w:tc>
          <w:tcPr>
            <w:tcW w:w="2657" w:type="dxa"/>
            <w:tcBorders>
              <w:top w:val="single" w:sz="4" w:space="0" w:color="000000"/>
              <w:left w:val="single" w:sz="12" w:space="0" w:color="000000"/>
              <w:bottom w:val="single" w:sz="4" w:space="0" w:color="000000"/>
              <w:right w:val="single" w:sz="12" w:space="0" w:color="000000"/>
            </w:tcBorders>
          </w:tcPr>
          <w:p w14:paraId="7FEE3963" w14:textId="77777777" w:rsidR="00CD265F" w:rsidRDefault="00CD265F" w:rsidP="00F95611">
            <w:pPr>
              <w:spacing w:after="0" w:line="259" w:lineRule="auto"/>
              <w:ind w:left="0" w:right="0" w:firstLine="0"/>
            </w:pPr>
            <w:r>
              <w:rPr>
                <w:b/>
              </w:rPr>
              <w:t xml:space="preserve">Project   </w:t>
            </w:r>
          </w:p>
        </w:tc>
        <w:tc>
          <w:tcPr>
            <w:tcW w:w="7963" w:type="dxa"/>
            <w:tcBorders>
              <w:top w:val="single" w:sz="4" w:space="0" w:color="000000"/>
              <w:left w:val="single" w:sz="12" w:space="0" w:color="000000"/>
              <w:bottom w:val="single" w:sz="4" w:space="0" w:color="000000"/>
              <w:right w:val="single" w:sz="12" w:space="0" w:color="000000"/>
            </w:tcBorders>
          </w:tcPr>
          <w:p w14:paraId="711C7596" w14:textId="77777777" w:rsidR="00CD265F" w:rsidRDefault="00CD265F" w:rsidP="00F95611">
            <w:pPr>
              <w:spacing w:after="0" w:line="259" w:lineRule="auto"/>
              <w:ind w:left="0" w:right="0" w:firstLine="0"/>
            </w:pPr>
            <w:r>
              <w:t xml:space="preserve"> Single or multiple data collection activities (or remediation activities) that are related through the same planning sequence. </w:t>
            </w:r>
          </w:p>
        </w:tc>
      </w:tr>
      <w:tr w:rsidR="00095283" w14:paraId="7423897E" w14:textId="77777777" w:rsidTr="00C674D9">
        <w:trPr>
          <w:trHeight w:val="516"/>
        </w:trPr>
        <w:tc>
          <w:tcPr>
            <w:tcW w:w="2657" w:type="dxa"/>
            <w:tcBorders>
              <w:top w:val="single" w:sz="4" w:space="0" w:color="000000"/>
              <w:left w:val="single" w:sz="12" w:space="0" w:color="000000"/>
              <w:bottom w:val="single" w:sz="4" w:space="0" w:color="000000"/>
              <w:right w:val="single" w:sz="12" w:space="0" w:color="000000"/>
            </w:tcBorders>
          </w:tcPr>
          <w:p w14:paraId="54DD5012" w14:textId="77777777" w:rsidR="00CD265F" w:rsidRDefault="00CD265F" w:rsidP="00F95611">
            <w:pPr>
              <w:spacing w:after="0" w:line="259" w:lineRule="auto"/>
              <w:ind w:left="0" w:right="0" w:firstLine="0"/>
              <w:rPr>
                <w:b/>
              </w:rPr>
            </w:pPr>
            <w:r>
              <w:rPr>
                <w:b/>
              </w:rPr>
              <w:t xml:space="preserve">Project Deliverables </w:t>
            </w:r>
          </w:p>
        </w:tc>
        <w:tc>
          <w:tcPr>
            <w:tcW w:w="7963" w:type="dxa"/>
            <w:tcBorders>
              <w:top w:val="single" w:sz="4" w:space="0" w:color="000000"/>
              <w:left w:val="single" w:sz="12" w:space="0" w:color="000000"/>
              <w:bottom w:val="single" w:sz="4" w:space="0" w:color="000000"/>
              <w:right w:val="single" w:sz="12" w:space="0" w:color="000000"/>
            </w:tcBorders>
          </w:tcPr>
          <w:p w14:paraId="49559AE1" w14:textId="77777777" w:rsidR="00CD265F" w:rsidRDefault="00CD265F" w:rsidP="00F95611">
            <w:pPr>
              <w:spacing w:after="0" w:line="259" w:lineRule="auto"/>
              <w:ind w:left="0" w:right="0" w:firstLine="0"/>
            </w:pPr>
            <w:r>
              <w:t xml:space="preserve">All laboratory results listed in the Deliverables List for the analysis requested except raw data.  See Deliverables List in Attachment I, Section VI. </w:t>
            </w:r>
          </w:p>
        </w:tc>
      </w:tr>
      <w:tr w:rsidR="00095283" w14:paraId="41360D61" w14:textId="77777777" w:rsidTr="00C674D9">
        <w:trPr>
          <w:trHeight w:val="516"/>
        </w:trPr>
        <w:tc>
          <w:tcPr>
            <w:tcW w:w="2657" w:type="dxa"/>
            <w:tcBorders>
              <w:top w:val="single" w:sz="4" w:space="0" w:color="000000"/>
              <w:left w:val="single" w:sz="12" w:space="0" w:color="000000"/>
              <w:bottom w:val="single" w:sz="4" w:space="0" w:color="000000"/>
              <w:right w:val="single" w:sz="12" w:space="0" w:color="000000"/>
            </w:tcBorders>
          </w:tcPr>
          <w:p w14:paraId="125EAC39" w14:textId="77777777" w:rsidR="00CD265F" w:rsidRDefault="00CD265F" w:rsidP="00F95611">
            <w:pPr>
              <w:spacing w:after="0" w:line="259" w:lineRule="auto"/>
              <w:ind w:left="0" w:right="0" w:firstLine="0"/>
              <w:rPr>
                <w:b/>
              </w:rPr>
            </w:pPr>
            <w:r>
              <w:rPr>
                <w:b/>
              </w:rPr>
              <w:t xml:space="preserve">Project Deliverables with Raw Data </w:t>
            </w:r>
          </w:p>
        </w:tc>
        <w:tc>
          <w:tcPr>
            <w:tcW w:w="7963" w:type="dxa"/>
            <w:tcBorders>
              <w:top w:val="single" w:sz="4" w:space="0" w:color="000000"/>
              <w:left w:val="single" w:sz="12" w:space="0" w:color="000000"/>
              <w:bottom w:val="single" w:sz="4" w:space="0" w:color="000000"/>
              <w:right w:val="single" w:sz="12" w:space="0" w:color="000000"/>
            </w:tcBorders>
          </w:tcPr>
          <w:p w14:paraId="5501CD83" w14:textId="77777777" w:rsidR="00CD265F" w:rsidRDefault="00CD265F" w:rsidP="00F95611">
            <w:pPr>
              <w:spacing w:after="0" w:line="259" w:lineRule="auto"/>
              <w:ind w:left="0" w:right="0" w:firstLine="0"/>
            </w:pPr>
            <w:r>
              <w:t xml:space="preserve">All laboratory results listed in the Deliverables List for the analysis requested </w:t>
            </w:r>
            <w:proofErr w:type="gramStart"/>
            <w:r>
              <w:t>including</w:t>
            </w:r>
            <w:proofErr w:type="gramEnd"/>
            <w:r>
              <w:t xml:space="preserve"> raw data for field samples, field and laboratory QC samples.  See Deliverables List in Section VI. </w:t>
            </w:r>
          </w:p>
        </w:tc>
      </w:tr>
      <w:tr w:rsidR="00095283" w14:paraId="1FD53A6D" w14:textId="77777777" w:rsidTr="00C674D9">
        <w:trPr>
          <w:trHeight w:val="516"/>
        </w:trPr>
        <w:tc>
          <w:tcPr>
            <w:tcW w:w="2657" w:type="dxa"/>
            <w:tcBorders>
              <w:top w:val="single" w:sz="4" w:space="0" w:color="000000"/>
              <w:left w:val="single" w:sz="12" w:space="0" w:color="000000"/>
              <w:bottom w:val="single" w:sz="4" w:space="0" w:color="000000"/>
              <w:right w:val="single" w:sz="12" w:space="0" w:color="000000"/>
            </w:tcBorders>
          </w:tcPr>
          <w:p w14:paraId="51AC2691" w14:textId="77777777" w:rsidR="00CD265F" w:rsidRDefault="00CD265F" w:rsidP="00F95611">
            <w:pPr>
              <w:spacing w:after="0" w:line="259" w:lineRule="auto"/>
              <w:ind w:left="0" w:right="0" w:firstLine="0"/>
              <w:rPr>
                <w:b/>
              </w:rPr>
            </w:pPr>
            <w:r>
              <w:rPr>
                <w:b/>
              </w:rPr>
              <w:t xml:space="preserve">Protocol    </w:t>
            </w:r>
          </w:p>
        </w:tc>
        <w:tc>
          <w:tcPr>
            <w:tcW w:w="7963" w:type="dxa"/>
            <w:tcBorders>
              <w:top w:val="single" w:sz="4" w:space="0" w:color="000000"/>
              <w:left w:val="single" w:sz="12" w:space="0" w:color="000000"/>
              <w:bottom w:val="single" w:sz="4" w:space="0" w:color="000000"/>
              <w:right w:val="single" w:sz="12" w:space="0" w:color="000000"/>
            </w:tcBorders>
          </w:tcPr>
          <w:p w14:paraId="54506AD5" w14:textId="77777777" w:rsidR="00CD265F" w:rsidRDefault="00CD265F" w:rsidP="00F95611">
            <w:pPr>
              <w:spacing w:after="0" w:line="238" w:lineRule="auto"/>
              <w:ind w:left="0" w:right="0" w:firstLine="0"/>
            </w:pPr>
            <w:r>
              <w:t xml:space="preserve">A broad category of analytical methods for which the source is one or more USEPA methods manuals developed for a specific regulatory program.  For this RFP the applicable Protocols are: </w:t>
            </w:r>
          </w:p>
          <w:p w14:paraId="2C1F4545" w14:textId="77777777" w:rsidR="00CD265F" w:rsidRDefault="00CD265F" w:rsidP="00F95611">
            <w:pPr>
              <w:spacing w:after="0" w:line="239" w:lineRule="auto"/>
              <w:ind w:left="0" w:right="0" w:firstLine="0"/>
            </w:pPr>
            <w:r>
              <w:t xml:space="preserve">USEPA Office of Solid Waste and Emergency Response (OLER) formerly known as SW-846 - from the RCRA program in the USEPA Office of Solid Waste and Emergency Response (OSWER) </w:t>
            </w:r>
          </w:p>
          <w:p w14:paraId="46B14461" w14:textId="2DF2F5C4" w:rsidR="00CD265F" w:rsidRDefault="00E12105" w:rsidP="00F95611">
            <w:pPr>
              <w:spacing w:after="0" w:line="259" w:lineRule="auto"/>
              <w:ind w:left="0" w:right="0" w:firstLine="0"/>
            </w:pPr>
            <w:r>
              <w:t>USEPA</w:t>
            </w:r>
            <w:r w:rsidR="00CD265F">
              <w:t xml:space="preserve"> Drinking Water Methods from the USEPA Office of Ground Water and Drinking Water in the Office of Water</w:t>
            </w:r>
          </w:p>
          <w:p w14:paraId="3C532A83" w14:textId="5CCB3492" w:rsidR="00CD265F" w:rsidRDefault="00E12105" w:rsidP="00F95611">
            <w:pPr>
              <w:spacing w:after="0" w:line="259" w:lineRule="auto"/>
              <w:ind w:left="0" w:right="0" w:firstLine="0"/>
            </w:pPr>
            <w:r>
              <w:t>USEPA</w:t>
            </w:r>
            <w:r w:rsidR="00CD265F" w:rsidRPr="00C45D84">
              <w:t xml:space="preserve"> Compendium of Methods for the Determination of Toxic Organic Compounds in Ambient Air</w:t>
            </w:r>
            <w:r w:rsidR="00CD265F">
              <w:t xml:space="preserve"> from the USEPA </w:t>
            </w:r>
            <w:r w:rsidR="00CD265F" w:rsidRPr="004C4164">
              <w:t>Ambient Monitoring Technology Information Center (AMTIC)</w:t>
            </w:r>
          </w:p>
          <w:p w14:paraId="19990EB0" w14:textId="3EBB768F" w:rsidR="00CD265F" w:rsidRDefault="00D8561B" w:rsidP="0019005D">
            <w:pPr>
              <w:spacing w:after="0" w:line="239" w:lineRule="auto"/>
              <w:ind w:left="0" w:right="0" w:firstLine="0"/>
            </w:pPr>
            <w:r>
              <w:t>PFAS</w:t>
            </w:r>
            <w:r w:rsidR="00F757CE">
              <w:t xml:space="preserve"> from the USEPA Office of Ground Water and Drinking Water in the Office of Water</w:t>
            </w:r>
            <w:r w:rsidR="00070EE8">
              <w:t xml:space="preserve"> and</w:t>
            </w:r>
            <w:r w:rsidR="00906A1C">
              <w:t xml:space="preserve"> USEPA Office of Solid Waste and Emergency Response (OLER) </w:t>
            </w:r>
            <w:r w:rsidR="009249C8">
              <w:t>SW846</w:t>
            </w:r>
          </w:p>
        </w:tc>
      </w:tr>
      <w:tr w:rsidR="00353AF8" w14:paraId="04BAF8B4" w14:textId="77777777" w:rsidTr="00C674D9">
        <w:trPr>
          <w:trHeight w:val="264"/>
        </w:trPr>
        <w:tc>
          <w:tcPr>
            <w:tcW w:w="2657" w:type="dxa"/>
            <w:tcBorders>
              <w:top w:val="single" w:sz="4" w:space="0" w:color="000000"/>
              <w:left w:val="single" w:sz="12" w:space="0" w:color="000000"/>
              <w:bottom w:val="single" w:sz="4" w:space="0" w:color="000000"/>
              <w:right w:val="single" w:sz="12" w:space="0" w:color="000000"/>
            </w:tcBorders>
          </w:tcPr>
          <w:p w14:paraId="522F1BD2" w14:textId="77777777" w:rsidR="00CD265F" w:rsidRDefault="00CD265F" w:rsidP="00F95611">
            <w:pPr>
              <w:spacing w:after="0" w:line="259" w:lineRule="auto"/>
              <w:ind w:left="0" w:right="0" w:firstLine="0"/>
            </w:pPr>
            <w:r>
              <w:rPr>
                <w:b/>
              </w:rPr>
              <w:t xml:space="preserve">Purgeable Compounds </w:t>
            </w:r>
          </w:p>
        </w:tc>
        <w:tc>
          <w:tcPr>
            <w:tcW w:w="7963" w:type="dxa"/>
            <w:tcBorders>
              <w:top w:val="single" w:sz="4" w:space="0" w:color="000000"/>
              <w:left w:val="single" w:sz="12" w:space="0" w:color="000000"/>
              <w:bottom w:val="single" w:sz="4" w:space="0" w:color="000000"/>
              <w:right w:val="single" w:sz="12" w:space="0" w:color="000000"/>
            </w:tcBorders>
          </w:tcPr>
          <w:p w14:paraId="744B3847" w14:textId="77777777" w:rsidR="00CD265F" w:rsidRDefault="00CD265F" w:rsidP="00F95611">
            <w:pPr>
              <w:spacing w:after="0" w:line="259" w:lineRule="auto"/>
              <w:ind w:left="0" w:right="0" w:firstLine="0"/>
            </w:pPr>
            <w:r>
              <w:t xml:space="preserve">Volatile Organic Compounds </w:t>
            </w:r>
          </w:p>
        </w:tc>
      </w:tr>
      <w:tr w:rsidR="00353AF8" w14:paraId="0709008E" w14:textId="77777777" w:rsidTr="00C674D9">
        <w:trPr>
          <w:trHeight w:val="778"/>
        </w:trPr>
        <w:tc>
          <w:tcPr>
            <w:tcW w:w="2657" w:type="dxa"/>
            <w:tcBorders>
              <w:top w:val="single" w:sz="4" w:space="0" w:color="000000"/>
              <w:left w:val="single" w:sz="12" w:space="0" w:color="000000"/>
              <w:bottom w:val="single" w:sz="4" w:space="0" w:color="000000"/>
              <w:right w:val="single" w:sz="12" w:space="0" w:color="000000"/>
            </w:tcBorders>
          </w:tcPr>
          <w:p w14:paraId="13E3BD14" w14:textId="77777777" w:rsidR="00CD265F" w:rsidRDefault="00CD265F" w:rsidP="00F95611">
            <w:pPr>
              <w:spacing w:after="0" w:line="259" w:lineRule="auto"/>
              <w:ind w:left="0" w:right="0" w:firstLine="0"/>
            </w:pPr>
            <w:r>
              <w:rPr>
                <w:b/>
              </w:rPr>
              <w:t xml:space="preserve">QAO   </w:t>
            </w:r>
          </w:p>
        </w:tc>
        <w:tc>
          <w:tcPr>
            <w:tcW w:w="7963" w:type="dxa"/>
            <w:tcBorders>
              <w:top w:val="single" w:sz="4" w:space="0" w:color="000000"/>
              <w:left w:val="single" w:sz="12" w:space="0" w:color="000000"/>
              <w:bottom w:val="single" w:sz="4" w:space="0" w:color="000000"/>
              <w:right w:val="single" w:sz="12" w:space="0" w:color="000000"/>
            </w:tcBorders>
          </w:tcPr>
          <w:p w14:paraId="22D957C6" w14:textId="77777777" w:rsidR="00CD265F" w:rsidRDefault="00CD265F" w:rsidP="00F95611">
            <w:pPr>
              <w:spacing w:after="0" w:line="259" w:lineRule="auto"/>
              <w:ind w:left="0" w:right="0" w:firstLine="0"/>
            </w:pPr>
            <w:r>
              <w:t xml:space="preserve">Quality Assurance Officer.  IDEM OLQ senior chemist responsible for all QA/QC and technical aspects of the laboratory services contract and managing the OLQ sampling and analysis program. </w:t>
            </w:r>
          </w:p>
        </w:tc>
      </w:tr>
      <w:tr w:rsidR="00353AF8" w14:paraId="4F251055" w14:textId="77777777" w:rsidTr="00C674D9">
        <w:trPr>
          <w:trHeight w:val="264"/>
        </w:trPr>
        <w:tc>
          <w:tcPr>
            <w:tcW w:w="2657" w:type="dxa"/>
            <w:tcBorders>
              <w:top w:val="single" w:sz="4" w:space="0" w:color="000000"/>
              <w:left w:val="single" w:sz="12" w:space="0" w:color="000000"/>
              <w:bottom w:val="single" w:sz="4" w:space="0" w:color="000000"/>
              <w:right w:val="single" w:sz="12" w:space="0" w:color="000000"/>
            </w:tcBorders>
          </w:tcPr>
          <w:p w14:paraId="7F66EED8" w14:textId="77777777" w:rsidR="00CD265F" w:rsidRDefault="00CD265F" w:rsidP="00F95611">
            <w:pPr>
              <w:spacing w:after="0" w:line="259" w:lineRule="auto"/>
              <w:ind w:left="0" w:right="0" w:firstLine="0"/>
            </w:pPr>
            <w:r>
              <w:rPr>
                <w:b/>
              </w:rPr>
              <w:t xml:space="preserve">QA/QC   </w:t>
            </w:r>
          </w:p>
        </w:tc>
        <w:tc>
          <w:tcPr>
            <w:tcW w:w="7963" w:type="dxa"/>
            <w:tcBorders>
              <w:top w:val="single" w:sz="4" w:space="0" w:color="000000"/>
              <w:left w:val="single" w:sz="12" w:space="0" w:color="000000"/>
              <w:bottom w:val="single" w:sz="4" w:space="0" w:color="000000"/>
              <w:right w:val="single" w:sz="12" w:space="0" w:color="000000"/>
            </w:tcBorders>
          </w:tcPr>
          <w:p w14:paraId="2AE5DB91" w14:textId="77777777" w:rsidR="00CD265F" w:rsidRDefault="00CD265F" w:rsidP="00F95611">
            <w:pPr>
              <w:spacing w:after="0" w:line="259" w:lineRule="auto"/>
              <w:ind w:left="0" w:right="0" w:firstLine="0"/>
            </w:pPr>
            <w:r>
              <w:t xml:space="preserve">Quality Assurance/Quality Control </w:t>
            </w:r>
          </w:p>
        </w:tc>
      </w:tr>
      <w:tr w:rsidR="00353AF8" w14:paraId="0F21D946" w14:textId="77777777" w:rsidTr="00C674D9">
        <w:trPr>
          <w:trHeight w:val="516"/>
        </w:trPr>
        <w:tc>
          <w:tcPr>
            <w:tcW w:w="2657" w:type="dxa"/>
            <w:tcBorders>
              <w:top w:val="single" w:sz="4" w:space="0" w:color="000000"/>
              <w:left w:val="single" w:sz="12" w:space="0" w:color="000000"/>
              <w:bottom w:val="single" w:sz="4" w:space="0" w:color="000000"/>
              <w:right w:val="single" w:sz="12" w:space="0" w:color="000000"/>
            </w:tcBorders>
          </w:tcPr>
          <w:p w14:paraId="5BF071BB" w14:textId="77777777" w:rsidR="00CD265F" w:rsidRDefault="00CD265F" w:rsidP="00F95611">
            <w:pPr>
              <w:spacing w:after="0" w:line="259" w:lineRule="auto"/>
              <w:ind w:left="0" w:right="0" w:firstLine="0"/>
            </w:pPr>
            <w:r>
              <w:rPr>
                <w:b/>
              </w:rPr>
              <w:lastRenderedPageBreak/>
              <w:t xml:space="preserve">Quality Assurance (QA)  </w:t>
            </w:r>
          </w:p>
        </w:tc>
        <w:tc>
          <w:tcPr>
            <w:tcW w:w="7963" w:type="dxa"/>
            <w:tcBorders>
              <w:top w:val="single" w:sz="4" w:space="0" w:color="000000"/>
              <w:left w:val="single" w:sz="12" w:space="0" w:color="000000"/>
              <w:bottom w:val="single" w:sz="4" w:space="0" w:color="000000"/>
              <w:right w:val="single" w:sz="12" w:space="0" w:color="000000"/>
            </w:tcBorders>
          </w:tcPr>
          <w:p w14:paraId="3247FF81" w14:textId="77777777" w:rsidR="00CD265F" w:rsidRDefault="00CD265F" w:rsidP="00F95611">
            <w:pPr>
              <w:spacing w:after="0" w:line="259" w:lineRule="auto"/>
              <w:ind w:left="0" w:right="0" w:firstLine="0"/>
            </w:pPr>
            <w:r>
              <w:t xml:space="preserve">The management procedures and controls </w:t>
            </w:r>
            <w:proofErr w:type="gramStart"/>
            <w:r>
              <w:t>used</w:t>
            </w:r>
            <w:proofErr w:type="gramEnd"/>
            <w:r>
              <w:t xml:space="preserve"> to ensure data quality through the sampling and analysis process. </w:t>
            </w:r>
          </w:p>
        </w:tc>
      </w:tr>
      <w:tr w:rsidR="00353AF8" w14:paraId="22229899" w14:textId="77777777" w:rsidTr="00C674D9">
        <w:trPr>
          <w:trHeight w:val="518"/>
        </w:trPr>
        <w:tc>
          <w:tcPr>
            <w:tcW w:w="2657" w:type="dxa"/>
            <w:tcBorders>
              <w:top w:val="single" w:sz="4" w:space="0" w:color="000000"/>
              <w:left w:val="single" w:sz="12" w:space="0" w:color="000000"/>
              <w:bottom w:val="single" w:sz="4" w:space="0" w:color="000000"/>
              <w:right w:val="single" w:sz="12" w:space="0" w:color="000000"/>
            </w:tcBorders>
          </w:tcPr>
          <w:p w14:paraId="20990B01" w14:textId="77777777" w:rsidR="00CD265F" w:rsidRPr="006251C5" w:rsidRDefault="00CD265F" w:rsidP="00F95611">
            <w:pPr>
              <w:rPr>
                <w:b/>
              </w:rPr>
            </w:pPr>
            <w:r w:rsidRPr="006251C5">
              <w:rPr>
                <w:b/>
                <w:color w:val="auto"/>
              </w:rPr>
              <w:t xml:space="preserve">Quality Assurance Project Plan (QAPP)  </w:t>
            </w:r>
          </w:p>
        </w:tc>
        <w:tc>
          <w:tcPr>
            <w:tcW w:w="7963" w:type="dxa"/>
            <w:tcBorders>
              <w:top w:val="single" w:sz="4" w:space="0" w:color="000000"/>
              <w:left w:val="single" w:sz="12" w:space="0" w:color="000000"/>
              <w:bottom w:val="single" w:sz="4" w:space="0" w:color="000000"/>
              <w:right w:val="single" w:sz="12" w:space="0" w:color="000000"/>
            </w:tcBorders>
          </w:tcPr>
          <w:p w14:paraId="2A47DE29" w14:textId="77777777" w:rsidR="00CD265F" w:rsidRDefault="00CD265F" w:rsidP="00F95611">
            <w:pPr>
              <w:spacing w:after="0" w:line="259" w:lineRule="auto"/>
              <w:ind w:left="0" w:right="0" w:firstLine="0"/>
            </w:pPr>
            <w:r>
              <w:t xml:space="preserve">An orderly assemblage of detailed procedures designed to produce data of sufficient quality to meet the data quality objectives (DQOs) for a specific data collection activity. </w:t>
            </w:r>
          </w:p>
        </w:tc>
      </w:tr>
      <w:tr w:rsidR="00353AF8" w14:paraId="1236926D" w14:textId="77777777" w:rsidTr="00C674D9">
        <w:trPr>
          <w:trHeight w:val="526"/>
        </w:trPr>
        <w:tc>
          <w:tcPr>
            <w:tcW w:w="2657" w:type="dxa"/>
            <w:tcBorders>
              <w:top w:val="single" w:sz="4" w:space="0" w:color="000000"/>
              <w:left w:val="single" w:sz="12" w:space="0" w:color="000000"/>
              <w:bottom w:val="single" w:sz="4" w:space="0" w:color="000000"/>
              <w:right w:val="single" w:sz="12" w:space="0" w:color="000000"/>
            </w:tcBorders>
          </w:tcPr>
          <w:p w14:paraId="2444E6EC" w14:textId="77777777" w:rsidR="00CD265F" w:rsidRDefault="00CD265F" w:rsidP="00F95611">
            <w:pPr>
              <w:spacing w:after="0" w:line="259" w:lineRule="auto"/>
              <w:ind w:left="0" w:right="0" w:firstLine="0"/>
            </w:pPr>
            <w:r>
              <w:rPr>
                <w:b/>
              </w:rPr>
              <w:t xml:space="preserve">Quality Control (QC) </w:t>
            </w:r>
          </w:p>
        </w:tc>
        <w:tc>
          <w:tcPr>
            <w:tcW w:w="7963" w:type="dxa"/>
            <w:tcBorders>
              <w:top w:val="single" w:sz="4" w:space="0" w:color="000000"/>
              <w:left w:val="single" w:sz="12" w:space="0" w:color="000000"/>
              <w:bottom w:val="single" w:sz="4" w:space="0" w:color="000000"/>
              <w:right w:val="single" w:sz="12" w:space="0" w:color="000000"/>
            </w:tcBorders>
          </w:tcPr>
          <w:p w14:paraId="025BAE33" w14:textId="77777777" w:rsidR="00CD265F" w:rsidRDefault="00CD265F" w:rsidP="00F95611">
            <w:pPr>
              <w:spacing w:after="0" w:line="259" w:lineRule="auto"/>
              <w:ind w:left="0" w:right="0" w:firstLine="0"/>
            </w:pPr>
            <w:r>
              <w:t xml:space="preserve">The day-to-day operational measures used in the field during sampling and in the laboratory during analysis to ensure data quality. </w:t>
            </w:r>
          </w:p>
        </w:tc>
      </w:tr>
      <w:tr w:rsidR="00353AF8" w14:paraId="102343B9" w14:textId="77777777" w:rsidTr="00C674D9">
        <w:trPr>
          <w:trHeight w:val="1022"/>
        </w:trPr>
        <w:tc>
          <w:tcPr>
            <w:tcW w:w="2657" w:type="dxa"/>
            <w:tcBorders>
              <w:top w:val="single" w:sz="4" w:space="0" w:color="000000"/>
              <w:left w:val="single" w:sz="12" w:space="0" w:color="000000"/>
              <w:bottom w:val="single" w:sz="4" w:space="0" w:color="000000"/>
              <w:right w:val="single" w:sz="12" w:space="0" w:color="000000"/>
            </w:tcBorders>
          </w:tcPr>
          <w:p w14:paraId="529C2668" w14:textId="77777777" w:rsidR="00CD265F" w:rsidRDefault="00CD265F" w:rsidP="00F95611">
            <w:pPr>
              <w:spacing w:after="0" w:line="259" w:lineRule="auto"/>
              <w:ind w:left="0" w:right="0" w:firstLine="0"/>
            </w:pPr>
            <w:r>
              <w:rPr>
                <w:b/>
              </w:rPr>
              <w:t xml:space="preserve">Quality Control Check </w:t>
            </w:r>
          </w:p>
          <w:p w14:paraId="4B7A4736" w14:textId="77777777" w:rsidR="00CD265F" w:rsidRDefault="00CD265F" w:rsidP="00F95611">
            <w:pPr>
              <w:spacing w:after="0" w:line="259" w:lineRule="auto"/>
              <w:ind w:left="0" w:right="0" w:firstLine="0"/>
            </w:pPr>
            <w:r>
              <w:rPr>
                <w:b/>
              </w:rPr>
              <w:t xml:space="preserve">Sample (Quality Control Sample) </w:t>
            </w:r>
          </w:p>
        </w:tc>
        <w:tc>
          <w:tcPr>
            <w:tcW w:w="7963" w:type="dxa"/>
            <w:tcBorders>
              <w:top w:val="single" w:sz="4" w:space="0" w:color="000000"/>
              <w:left w:val="single" w:sz="12" w:space="0" w:color="000000"/>
              <w:bottom w:val="single" w:sz="4" w:space="0" w:color="000000"/>
              <w:right w:val="single" w:sz="12" w:space="0" w:color="000000"/>
            </w:tcBorders>
          </w:tcPr>
          <w:p w14:paraId="2D0ABDE2" w14:textId="77777777" w:rsidR="00CD265F" w:rsidRDefault="00CD265F" w:rsidP="00F95611">
            <w:pPr>
              <w:spacing w:after="0" w:line="259" w:lineRule="auto"/>
              <w:ind w:left="0" w:right="0" w:firstLine="0"/>
            </w:pPr>
            <w:r>
              <w:t xml:space="preserve">A sample containing all or a subset of the target analytes at known concentrations.  It is used to check laboratory performance with test materials prepared </w:t>
            </w:r>
            <w:proofErr w:type="gramStart"/>
            <w:r>
              <w:t>external</w:t>
            </w:r>
            <w:proofErr w:type="gramEnd"/>
            <w:r>
              <w:t xml:space="preserve"> to the normal preparation process. The QCS is obtained from an external source or prepared with standards from a different source than the calibration standards.  </w:t>
            </w:r>
          </w:p>
        </w:tc>
      </w:tr>
      <w:tr w:rsidR="00353AF8" w14:paraId="76FB393A" w14:textId="77777777" w:rsidTr="00C674D9">
        <w:trPr>
          <w:trHeight w:val="1296"/>
        </w:trPr>
        <w:tc>
          <w:tcPr>
            <w:tcW w:w="2657" w:type="dxa"/>
            <w:tcBorders>
              <w:top w:val="single" w:sz="4" w:space="0" w:color="000000"/>
              <w:left w:val="single" w:sz="12" w:space="0" w:color="000000"/>
              <w:bottom w:val="single" w:sz="4" w:space="0" w:color="000000"/>
              <w:right w:val="single" w:sz="12" w:space="0" w:color="000000"/>
            </w:tcBorders>
          </w:tcPr>
          <w:p w14:paraId="33E9C1A9" w14:textId="77777777" w:rsidR="00CD265F" w:rsidRDefault="00CD265F" w:rsidP="00F95611">
            <w:pPr>
              <w:spacing w:after="0" w:line="259" w:lineRule="auto"/>
              <w:ind w:left="0" w:right="0" w:firstLine="0"/>
            </w:pPr>
            <w:r>
              <w:rPr>
                <w:b/>
              </w:rPr>
              <w:t xml:space="preserve">Raw Data    </w:t>
            </w:r>
          </w:p>
        </w:tc>
        <w:tc>
          <w:tcPr>
            <w:tcW w:w="7963" w:type="dxa"/>
            <w:tcBorders>
              <w:top w:val="single" w:sz="4" w:space="0" w:color="000000"/>
              <w:left w:val="single" w:sz="12" w:space="0" w:color="000000"/>
              <w:bottom w:val="single" w:sz="4" w:space="0" w:color="000000"/>
              <w:right w:val="single" w:sz="12" w:space="0" w:color="000000"/>
            </w:tcBorders>
          </w:tcPr>
          <w:p w14:paraId="29B745BD" w14:textId="77777777" w:rsidR="00CD265F" w:rsidRDefault="00CD265F" w:rsidP="00F95611">
            <w:pPr>
              <w:spacing w:after="0" w:line="259" w:lineRule="auto"/>
              <w:ind w:left="0" w:right="0" w:firstLine="0"/>
            </w:pPr>
            <w:r>
              <w:t xml:space="preserve">All laboratory-generated documentation contributing to the final reported results.  Includes initial calibration records, daily and continuing calibration records, calibration curves, bench sheets, lab worksheets, strip chart recordings, sample preparation records, run lists, record of dilutions, instrument numerical printouts, instrument peak printouts, chromatograms, second column confirmations, tuning criteria and results, spectra, and quantitation reports.  (See Deliverables List.) </w:t>
            </w:r>
          </w:p>
        </w:tc>
      </w:tr>
      <w:tr w:rsidR="00353AF8" w14:paraId="65A67369" w14:textId="77777777" w:rsidTr="00C674D9">
        <w:trPr>
          <w:trHeight w:val="517"/>
        </w:trPr>
        <w:tc>
          <w:tcPr>
            <w:tcW w:w="2657" w:type="dxa"/>
            <w:tcBorders>
              <w:top w:val="single" w:sz="4" w:space="0" w:color="000000"/>
              <w:left w:val="single" w:sz="12" w:space="0" w:color="000000"/>
              <w:bottom w:val="single" w:sz="4" w:space="0" w:color="000000"/>
              <w:right w:val="single" w:sz="12" w:space="0" w:color="000000"/>
            </w:tcBorders>
          </w:tcPr>
          <w:p w14:paraId="1ECF508C" w14:textId="77777777" w:rsidR="00CD265F" w:rsidRDefault="00CD265F" w:rsidP="00F95611">
            <w:pPr>
              <w:spacing w:after="0" w:line="259" w:lineRule="auto"/>
              <w:ind w:left="0" w:right="0" w:firstLine="0"/>
            </w:pPr>
            <w:r>
              <w:rPr>
                <w:b/>
              </w:rPr>
              <w:t xml:space="preserve">RCG </w:t>
            </w:r>
          </w:p>
        </w:tc>
        <w:tc>
          <w:tcPr>
            <w:tcW w:w="7963" w:type="dxa"/>
            <w:tcBorders>
              <w:top w:val="single" w:sz="4" w:space="0" w:color="000000"/>
              <w:left w:val="single" w:sz="12" w:space="0" w:color="000000"/>
              <w:bottom w:val="single" w:sz="4" w:space="0" w:color="000000"/>
              <w:right w:val="single" w:sz="12" w:space="0" w:color="000000"/>
            </w:tcBorders>
          </w:tcPr>
          <w:p w14:paraId="1251C2AF" w14:textId="77777777" w:rsidR="00CD265F" w:rsidRDefault="00CD265F" w:rsidP="00F95611">
            <w:pPr>
              <w:spacing w:after="0" w:line="259" w:lineRule="auto"/>
              <w:ind w:left="0" w:right="0" w:firstLine="0"/>
            </w:pPr>
            <w:r>
              <w:t xml:space="preserve">Remediation Closure Guide. IDEM OLQ guidance document that describes selected approaches to investigation and risk-based closure of contaminated or potentially contaminated sites. </w:t>
            </w:r>
          </w:p>
        </w:tc>
      </w:tr>
      <w:tr w:rsidR="00353AF8" w14:paraId="7ED6184F" w14:textId="77777777" w:rsidTr="00C674D9">
        <w:trPr>
          <w:trHeight w:val="518"/>
        </w:trPr>
        <w:tc>
          <w:tcPr>
            <w:tcW w:w="2657" w:type="dxa"/>
            <w:tcBorders>
              <w:top w:val="single" w:sz="4" w:space="0" w:color="000000"/>
              <w:left w:val="single" w:sz="12" w:space="0" w:color="000000"/>
              <w:bottom w:val="single" w:sz="4" w:space="0" w:color="000000"/>
              <w:right w:val="single" w:sz="12" w:space="0" w:color="000000"/>
            </w:tcBorders>
          </w:tcPr>
          <w:p w14:paraId="3DA67A0E" w14:textId="77777777" w:rsidR="00CD265F" w:rsidRDefault="00CD265F" w:rsidP="00F95611">
            <w:pPr>
              <w:spacing w:after="0" w:line="259" w:lineRule="auto"/>
              <w:ind w:left="0" w:right="0" w:firstLine="0"/>
            </w:pPr>
            <w:r>
              <w:rPr>
                <w:b/>
              </w:rPr>
              <w:t xml:space="preserve">RCRA    </w:t>
            </w:r>
          </w:p>
        </w:tc>
        <w:tc>
          <w:tcPr>
            <w:tcW w:w="7963" w:type="dxa"/>
            <w:tcBorders>
              <w:top w:val="single" w:sz="4" w:space="0" w:color="000000"/>
              <w:left w:val="single" w:sz="12" w:space="0" w:color="000000"/>
              <w:bottom w:val="single" w:sz="4" w:space="0" w:color="000000"/>
              <w:right w:val="single" w:sz="12" w:space="0" w:color="000000"/>
            </w:tcBorders>
          </w:tcPr>
          <w:p w14:paraId="36A54F0B" w14:textId="77777777" w:rsidR="00CD265F" w:rsidRDefault="00CD265F" w:rsidP="00F95611">
            <w:pPr>
              <w:spacing w:after="0" w:line="259" w:lineRule="auto"/>
              <w:ind w:left="0" w:right="8" w:firstLine="0"/>
            </w:pPr>
            <w:r>
              <w:t xml:space="preserve">The Resource Conservation and Recovery Act of 1976, as amended.  RCRA Subtitle C addresses hazardous waste.  RCRA Subtitle D addresses non-hazardous solid waste.   </w:t>
            </w:r>
          </w:p>
        </w:tc>
      </w:tr>
      <w:tr w:rsidR="00353AF8" w14:paraId="06EE8214" w14:textId="77777777" w:rsidTr="00C674D9">
        <w:trPr>
          <w:trHeight w:val="262"/>
        </w:trPr>
        <w:tc>
          <w:tcPr>
            <w:tcW w:w="2657" w:type="dxa"/>
            <w:tcBorders>
              <w:top w:val="single" w:sz="4" w:space="0" w:color="000000"/>
              <w:left w:val="single" w:sz="12" w:space="0" w:color="000000"/>
              <w:bottom w:val="single" w:sz="4" w:space="0" w:color="000000"/>
              <w:right w:val="single" w:sz="12" w:space="0" w:color="000000"/>
            </w:tcBorders>
          </w:tcPr>
          <w:p w14:paraId="766F7B31" w14:textId="77777777" w:rsidR="00CD265F" w:rsidRDefault="00CD265F" w:rsidP="00F95611">
            <w:pPr>
              <w:spacing w:after="0" w:line="259" w:lineRule="auto"/>
              <w:ind w:left="0" w:right="0" w:firstLine="0"/>
            </w:pPr>
            <w:r>
              <w:rPr>
                <w:b/>
              </w:rPr>
              <w:t xml:space="preserve">Reagent Blank    </w:t>
            </w:r>
          </w:p>
        </w:tc>
        <w:tc>
          <w:tcPr>
            <w:tcW w:w="7963" w:type="dxa"/>
            <w:tcBorders>
              <w:top w:val="single" w:sz="4" w:space="0" w:color="000000"/>
              <w:left w:val="single" w:sz="12" w:space="0" w:color="000000"/>
              <w:bottom w:val="single" w:sz="4" w:space="0" w:color="000000"/>
              <w:right w:val="single" w:sz="12" w:space="0" w:color="000000"/>
            </w:tcBorders>
          </w:tcPr>
          <w:p w14:paraId="2DD6079B" w14:textId="27925344" w:rsidR="00CD265F" w:rsidRDefault="00CD265F" w:rsidP="00F95611">
            <w:pPr>
              <w:spacing w:after="0" w:line="259" w:lineRule="auto"/>
              <w:ind w:left="0" w:right="0" w:firstLine="0"/>
            </w:pPr>
            <w:r>
              <w:t xml:space="preserve">Method Blank </w:t>
            </w:r>
            <w:r w:rsidR="007C2EBE">
              <w:t>(Also known as preparation blank, instrument blank,</w:t>
            </w:r>
            <w:r w:rsidR="00141F58">
              <w:t xml:space="preserve"> laboratory</w:t>
            </w:r>
            <w:r w:rsidR="007C2EBE">
              <w:t xml:space="preserve"> reagent blank, and laboratory blank)</w:t>
            </w:r>
          </w:p>
        </w:tc>
      </w:tr>
      <w:tr w:rsidR="00353AF8" w14:paraId="59D478AB" w14:textId="77777777" w:rsidTr="00C674D9">
        <w:trPr>
          <w:trHeight w:val="778"/>
        </w:trPr>
        <w:tc>
          <w:tcPr>
            <w:tcW w:w="2657" w:type="dxa"/>
            <w:tcBorders>
              <w:top w:val="single" w:sz="4" w:space="0" w:color="000000"/>
              <w:left w:val="single" w:sz="12" w:space="0" w:color="000000"/>
              <w:bottom w:val="single" w:sz="4" w:space="0" w:color="000000"/>
              <w:right w:val="single" w:sz="12" w:space="0" w:color="000000"/>
            </w:tcBorders>
          </w:tcPr>
          <w:p w14:paraId="0700F8A9" w14:textId="77777777" w:rsidR="00CD265F" w:rsidRDefault="00CD265F" w:rsidP="00F95611">
            <w:pPr>
              <w:spacing w:after="0" w:line="259" w:lineRule="auto"/>
              <w:ind w:left="0" w:right="0" w:firstLine="0"/>
              <w:rPr>
                <w:b/>
              </w:rPr>
            </w:pPr>
            <w:r>
              <w:rPr>
                <w:b/>
              </w:rPr>
              <w:t xml:space="preserve">Reagent Water   </w:t>
            </w:r>
          </w:p>
        </w:tc>
        <w:tc>
          <w:tcPr>
            <w:tcW w:w="7963" w:type="dxa"/>
            <w:tcBorders>
              <w:top w:val="single" w:sz="4" w:space="0" w:color="000000"/>
              <w:left w:val="single" w:sz="12" w:space="0" w:color="000000"/>
              <w:bottom w:val="single" w:sz="4" w:space="0" w:color="000000"/>
              <w:right w:val="single" w:sz="12" w:space="0" w:color="000000"/>
            </w:tcBorders>
          </w:tcPr>
          <w:p w14:paraId="4B501222" w14:textId="77777777" w:rsidR="00CD265F" w:rsidRDefault="00CD265F" w:rsidP="00F95611">
            <w:pPr>
              <w:spacing w:after="0" w:line="259" w:lineRule="auto"/>
              <w:ind w:left="0" w:right="0" w:firstLine="0"/>
            </w:pPr>
            <w:r>
              <w:t>Water that has been generated by any method which would achieve the performance specifications for ASTM Type II water. For organic analyses, see the definition of organic-</w:t>
            </w:r>
            <w:proofErr w:type="gramStart"/>
            <w:r>
              <w:t>free reagent</w:t>
            </w:r>
            <w:proofErr w:type="gramEnd"/>
            <w:r>
              <w:t xml:space="preserve"> water.</w:t>
            </w:r>
          </w:p>
        </w:tc>
      </w:tr>
      <w:tr w:rsidR="00DB2698" w14:paraId="40F182EB" w14:textId="77777777" w:rsidTr="00C674D9">
        <w:trPr>
          <w:trHeight w:val="262"/>
        </w:trPr>
        <w:tc>
          <w:tcPr>
            <w:tcW w:w="2657" w:type="dxa"/>
            <w:tcBorders>
              <w:top w:val="single" w:sz="4" w:space="0" w:color="000000"/>
              <w:left w:val="single" w:sz="12" w:space="0" w:color="000000"/>
              <w:bottom w:val="single" w:sz="4" w:space="0" w:color="000000"/>
              <w:right w:val="single" w:sz="12" w:space="0" w:color="000000"/>
            </w:tcBorders>
          </w:tcPr>
          <w:p w14:paraId="174A0CB3" w14:textId="37728891" w:rsidR="00DB2698" w:rsidRDefault="00DB2698">
            <w:pPr>
              <w:spacing w:after="0" w:line="259" w:lineRule="auto"/>
              <w:ind w:left="0" w:right="0" w:firstLine="0"/>
              <w:rPr>
                <w:b/>
              </w:rPr>
            </w:pPr>
            <w:r>
              <w:rPr>
                <w:b/>
              </w:rPr>
              <w:t xml:space="preserve">Recovery Standard </w:t>
            </w:r>
          </w:p>
        </w:tc>
        <w:tc>
          <w:tcPr>
            <w:tcW w:w="7963" w:type="dxa"/>
            <w:tcBorders>
              <w:top w:val="single" w:sz="4" w:space="0" w:color="000000"/>
              <w:left w:val="single" w:sz="12" w:space="0" w:color="000000"/>
              <w:bottom w:val="single" w:sz="4" w:space="0" w:color="000000"/>
              <w:right w:val="single" w:sz="12" w:space="0" w:color="000000"/>
            </w:tcBorders>
          </w:tcPr>
          <w:p w14:paraId="0ED5F3AA" w14:textId="2DB5C810" w:rsidR="00DB2698" w:rsidRDefault="00DB2698">
            <w:pPr>
              <w:spacing w:after="0" w:line="259" w:lineRule="auto"/>
              <w:ind w:left="0" w:right="0" w:firstLine="0"/>
            </w:pPr>
            <w:r>
              <w:t>Laboratory Control Sample (</w:t>
            </w:r>
            <w:r w:rsidR="00FC6933">
              <w:t>LCS</w:t>
            </w:r>
            <w:r>
              <w:t>) (Also known as LFB</w:t>
            </w:r>
            <w:r w:rsidR="00564C5D">
              <w:t xml:space="preserve">, </w:t>
            </w:r>
            <w:r>
              <w:t>OPR, and DI Spike)</w:t>
            </w:r>
          </w:p>
        </w:tc>
      </w:tr>
      <w:tr w:rsidR="00353AF8" w14:paraId="25BA3707" w14:textId="77777777" w:rsidTr="00C674D9">
        <w:trPr>
          <w:trHeight w:val="518"/>
        </w:trPr>
        <w:tc>
          <w:tcPr>
            <w:tcW w:w="2657" w:type="dxa"/>
            <w:tcBorders>
              <w:top w:val="single" w:sz="4" w:space="0" w:color="000000"/>
              <w:left w:val="single" w:sz="12" w:space="0" w:color="000000"/>
              <w:bottom w:val="single" w:sz="4" w:space="0" w:color="000000"/>
              <w:right w:val="single" w:sz="12" w:space="0" w:color="000000"/>
            </w:tcBorders>
          </w:tcPr>
          <w:p w14:paraId="47261B8D" w14:textId="77777777" w:rsidR="00CD265F" w:rsidRDefault="00CD265F" w:rsidP="00F95611">
            <w:pPr>
              <w:spacing w:after="0" w:line="259" w:lineRule="auto"/>
              <w:ind w:left="0" w:right="0" w:firstLine="0"/>
              <w:rPr>
                <w:b/>
              </w:rPr>
            </w:pPr>
            <w:r>
              <w:rPr>
                <w:b/>
              </w:rPr>
              <w:t xml:space="preserve">Reference Material   </w:t>
            </w:r>
          </w:p>
        </w:tc>
        <w:tc>
          <w:tcPr>
            <w:tcW w:w="7963" w:type="dxa"/>
            <w:tcBorders>
              <w:top w:val="single" w:sz="4" w:space="0" w:color="000000"/>
              <w:left w:val="single" w:sz="12" w:space="0" w:color="000000"/>
              <w:bottom w:val="single" w:sz="4" w:space="0" w:color="000000"/>
              <w:right w:val="single" w:sz="12" w:space="0" w:color="000000"/>
            </w:tcBorders>
          </w:tcPr>
          <w:p w14:paraId="1BFBCB7D" w14:textId="77777777" w:rsidR="00CD265F" w:rsidRDefault="00CD265F" w:rsidP="00F95611">
            <w:pPr>
              <w:spacing w:after="0" w:line="259" w:lineRule="auto"/>
              <w:ind w:left="0" w:right="0" w:firstLine="0"/>
            </w:pPr>
            <w:r>
              <w:t xml:space="preserve">A material containing known quantities of target analytes in solution or in a homogeneous matrix. It is used to document the bias of the analytical process. </w:t>
            </w:r>
          </w:p>
        </w:tc>
      </w:tr>
      <w:tr w:rsidR="00353AF8" w14:paraId="0F20B1D9" w14:textId="77777777" w:rsidTr="00C674D9">
        <w:trPr>
          <w:trHeight w:val="778"/>
        </w:trPr>
        <w:tc>
          <w:tcPr>
            <w:tcW w:w="2657" w:type="dxa"/>
            <w:tcBorders>
              <w:top w:val="single" w:sz="4" w:space="0" w:color="000000"/>
              <w:left w:val="single" w:sz="12" w:space="0" w:color="000000"/>
              <w:bottom w:val="single" w:sz="4" w:space="0" w:color="000000"/>
              <w:right w:val="single" w:sz="12" w:space="0" w:color="000000"/>
            </w:tcBorders>
          </w:tcPr>
          <w:p w14:paraId="73DDDF5B" w14:textId="77777777" w:rsidR="00CD265F" w:rsidRDefault="00CD265F" w:rsidP="00F95611">
            <w:pPr>
              <w:spacing w:after="0" w:line="259" w:lineRule="auto"/>
              <w:ind w:left="0" w:right="0" w:firstLine="0"/>
              <w:rPr>
                <w:b/>
              </w:rPr>
            </w:pPr>
            <w:r>
              <w:rPr>
                <w:b/>
              </w:rPr>
              <w:t xml:space="preserve">Relative Percent Difference (RPD) </w:t>
            </w:r>
          </w:p>
        </w:tc>
        <w:tc>
          <w:tcPr>
            <w:tcW w:w="7963" w:type="dxa"/>
            <w:tcBorders>
              <w:top w:val="single" w:sz="4" w:space="0" w:color="000000"/>
              <w:left w:val="single" w:sz="12" w:space="0" w:color="000000"/>
              <w:bottom w:val="single" w:sz="4" w:space="0" w:color="000000"/>
              <w:right w:val="single" w:sz="12" w:space="0" w:color="000000"/>
            </w:tcBorders>
          </w:tcPr>
          <w:p w14:paraId="21CEA1C4" w14:textId="77777777" w:rsidR="00CD265F" w:rsidRDefault="00CD265F" w:rsidP="00F95611">
            <w:pPr>
              <w:spacing w:after="0" w:line="259" w:lineRule="auto"/>
              <w:ind w:left="0" w:right="0" w:firstLine="0"/>
            </w:pPr>
            <w:r>
              <w:t xml:space="preserve">An estimate of precision used when only two samples are available.  It is calculated by subtracting one replicate measurement from the other, dividing the difference by the </w:t>
            </w:r>
            <w:proofErr w:type="gramStart"/>
            <w:r>
              <w:t>mean</w:t>
            </w:r>
            <w:proofErr w:type="gramEnd"/>
            <w:r>
              <w:t xml:space="preserve"> of the two measurements, and multiplying by 100. </w:t>
            </w:r>
          </w:p>
        </w:tc>
      </w:tr>
      <w:tr w:rsidR="00353AF8" w14:paraId="0668D68A" w14:textId="77777777" w:rsidTr="00C674D9">
        <w:trPr>
          <w:trHeight w:val="778"/>
        </w:trPr>
        <w:tc>
          <w:tcPr>
            <w:tcW w:w="2657" w:type="dxa"/>
            <w:tcBorders>
              <w:top w:val="single" w:sz="4" w:space="0" w:color="000000"/>
              <w:left w:val="single" w:sz="12" w:space="0" w:color="000000"/>
              <w:bottom w:val="single" w:sz="4" w:space="0" w:color="000000"/>
              <w:right w:val="single" w:sz="12" w:space="0" w:color="000000"/>
            </w:tcBorders>
          </w:tcPr>
          <w:p w14:paraId="74539CE8" w14:textId="77777777" w:rsidR="00CD265F" w:rsidRDefault="00CD265F" w:rsidP="00F95611">
            <w:pPr>
              <w:spacing w:after="0" w:line="259" w:lineRule="auto"/>
              <w:ind w:left="0" w:right="0" w:firstLine="0"/>
              <w:rPr>
                <w:b/>
              </w:rPr>
            </w:pPr>
            <w:r>
              <w:rPr>
                <w:b/>
              </w:rPr>
              <w:t xml:space="preserve">Relative Standard Deviation (RSD) </w:t>
            </w:r>
          </w:p>
        </w:tc>
        <w:tc>
          <w:tcPr>
            <w:tcW w:w="7963" w:type="dxa"/>
            <w:tcBorders>
              <w:top w:val="single" w:sz="4" w:space="0" w:color="000000"/>
              <w:left w:val="single" w:sz="12" w:space="0" w:color="000000"/>
              <w:bottom w:val="single" w:sz="4" w:space="0" w:color="000000"/>
              <w:right w:val="single" w:sz="12" w:space="0" w:color="000000"/>
            </w:tcBorders>
          </w:tcPr>
          <w:p w14:paraId="46B770A2" w14:textId="7BF9526B" w:rsidR="00CD265F" w:rsidRDefault="00CD265F" w:rsidP="00F95611">
            <w:pPr>
              <w:spacing w:after="0" w:line="259" w:lineRule="auto"/>
              <w:ind w:left="0" w:right="0" w:firstLine="0"/>
            </w:pPr>
            <w:r>
              <w:t xml:space="preserve">An estimate of precision calculated by multiplying the standard deviation of replicate measurements by 100 and dividing by the mean.  </w:t>
            </w:r>
            <w:r w:rsidR="00235F58">
              <w:t>(</w:t>
            </w:r>
            <w:r>
              <w:t>Also known as the coefficient of variation (CV)</w:t>
            </w:r>
            <w:r w:rsidR="00235F58">
              <w:t>)</w:t>
            </w:r>
            <w:r>
              <w:t xml:space="preserve">. </w:t>
            </w:r>
          </w:p>
        </w:tc>
      </w:tr>
      <w:tr w:rsidR="00353AF8" w14:paraId="286706F3" w14:textId="77777777" w:rsidTr="00C674D9">
        <w:trPr>
          <w:trHeight w:val="518"/>
        </w:trPr>
        <w:tc>
          <w:tcPr>
            <w:tcW w:w="2657" w:type="dxa"/>
            <w:tcBorders>
              <w:top w:val="single" w:sz="4" w:space="0" w:color="000000"/>
              <w:left w:val="single" w:sz="12" w:space="0" w:color="000000"/>
              <w:bottom w:val="single" w:sz="4" w:space="0" w:color="000000"/>
              <w:right w:val="single" w:sz="12" w:space="0" w:color="000000"/>
            </w:tcBorders>
          </w:tcPr>
          <w:p w14:paraId="7EFB1DE2" w14:textId="77777777" w:rsidR="00CD265F" w:rsidRDefault="00CD265F" w:rsidP="00F95611">
            <w:pPr>
              <w:spacing w:after="0" w:line="259" w:lineRule="auto"/>
              <w:ind w:left="0" w:right="0" w:firstLine="0"/>
              <w:rPr>
                <w:b/>
              </w:rPr>
            </w:pPr>
            <w:r>
              <w:rPr>
                <w:b/>
              </w:rPr>
              <w:t xml:space="preserve">Replicate   </w:t>
            </w:r>
          </w:p>
        </w:tc>
        <w:tc>
          <w:tcPr>
            <w:tcW w:w="7963" w:type="dxa"/>
            <w:tcBorders>
              <w:top w:val="single" w:sz="4" w:space="0" w:color="000000"/>
              <w:left w:val="single" w:sz="12" w:space="0" w:color="000000"/>
              <w:bottom w:val="single" w:sz="4" w:space="0" w:color="000000"/>
              <w:right w:val="single" w:sz="12" w:space="0" w:color="000000"/>
            </w:tcBorders>
          </w:tcPr>
          <w:p w14:paraId="02B65853" w14:textId="77777777" w:rsidR="00CD265F" w:rsidRDefault="00CD265F" w:rsidP="00F95611">
            <w:pPr>
              <w:spacing w:after="0" w:line="259" w:lineRule="auto"/>
              <w:ind w:left="0" w:right="0" w:firstLine="0"/>
            </w:pPr>
            <w:r>
              <w:t xml:space="preserve">One sample split into two or more samples in the laboratory and analyzed separately with identical procedures. </w:t>
            </w:r>
          </w:p>
        </w:tc>
      </w:tr>
      <w:tr w:rsidR="00353AF8" w14:paraId="74A58E13" w14:textId="77777777" w:rsidTr="00C674D9">
        <w:trPr>
          <w:trHeight w:val="778"/>
        </w:trPr>
        <w:tc>
          <w:tcPr>
            <w:tcW w:w="2657" w:type="dxa"/>
            <w:tcBorders>
              <w:top w:val="single" w:sz="4" w:space="0" w:color="000000"/>
              <w:left w:val="single" w:sz="12" w:space="0" w:color="000000"/>
              <w:bottom w:val="single" w:sz="4" w:space="0" w:color="000000"/>
              <w:right w:val="single" w:sz="12" w:space="0" w:color="000000"/>
            </w:tcBorders>
          </w:tcPr>
          <w:p w14:paraId="138264DC" w14:textId="77777777" w:rsidR="00CD265F" w:rsidRDefault="00CD265F" w:rsidP="00F95611">
            <w:pPr>
              <w:spacing w:after="0" w:line="259" w:lineRule="auto"/>
              <w:ind w:left="0" w:right="0" w:firstLine="0"/>
              <w:rPr>
                <w:b/>
              </w:rPr>
            </w:pPr>
            <w:r>
              <w:rPr>
                <w:b/>
              </w:rPr>
              <w:t xml:space="preserve">Reporting Limit (RL) </w:t>
            </w:r>
          </w:p>
        </w:tc>
        <w:tc>
          <w:tcPr>
            <w:tcW w:w="7963" w:type="dxa"/>
            <w:tcBorders>
              <w:top w:val="single" w:sz="4" w:space="0" w:color="000000"/>
              <w:left w:val="single" w:sz="12" w:space="0" w:color="000000"/>
              <w:bottom w:val="single" w:sz="4" w:space="0" w:color="000000"/>
              <w:right w:val="single" w:sz="12" w:space="0" w:color="000000"/>
            </w:tcBorders>
          </w:tcPr>
          <w:p w14:paraId="0C640878" w14:textId="77777777" w:rsidR="00CD265F" w:rsidRDefault="00CD265F" w:rsidP="00F95611">
            <w:pPr>
              <w:spacing w:after="0" w:line="259" w:lineRule="auto"/>
              <w:ind w:left="0" w:right="0" w:firstLine="0"/>
            </w:pPr>
            <w:r>
              <w:t xml:space="preserve">The reporting limits listed in the Protocol Analyte Lists </w:t>
            </w:r>
            <w:proofErr w:type="gramStart"/>
            <w:r>
              <w:t>are required</w:t>
            </w:r>
            <w:proofErr w:type="gramEnd"/>
            <w:r>
              <w:t xml:space="preserve"> target quantitation limits, except for sample matrices in which they cannot technically be attained (dilutions, matrix interference, etc.)</w:t>
            </w:r>
          </w:p>
        </w:tc>
      </w:tr>
      <w:tr w:rsidR="00353AF8" w14:paraId="4B85665C" w14:textId="77777777" w:rsidTr="00C674D9">
        <w:trPr>
          <w:trHeight w:val="518"/>
        </w:trPr>
        <w:tc>
          <w:tcPr>
            <w:tcW w:w="2657" w:type="dxa"/>
            <w:tcBorders>
              <w:top w:val="single" w:sz="4" w:space="0" w:color="000000"/>
              <w:left w:val="single" w:sz="12" w:space="0" w:color="000000"/>
              <w:bottom w:val="single" w:sz="4" w:space="0" w:color="000000"/>
              <w:right w:val="single" w:sz="12" w:space="0" w:color="000000"/>
            </w:tcBorders>
          </w:tcPr>
          <w:p w14:paraId="0E486EBC" w14:textId="77777777" w:rsidR="00CD265F" w:rsidRDefault="00CD265F" w:rsidP="00F95611">
            <w:pPr>
              <w:spacing w:after="0" w:line="259" w:lineRule="auto"/>
              <w:ind w:left="0" w:right="0" w:firstLine="0"/>
              <w:rPr>
                <w:b/>
              </w:rPr>
            </w:pPr>
            <w:r>
              <w:rPr>
                <w:b/>
              </w:rPr>
              <w:t xml:space="preserve">RISC </w:t>
            </w:r>
          </w:p>
        </w:tc>
        <w:tc>
          <w:tcPr>
            <w:tcW w:w="7963" w:type="dxa"/>
            <w:tcBorders>
              <w:top w:val="single" w:sz="4" w:space="0" w:color="000000"/>
              <w:left w:val="single" w:sz="12" w:space="0" w:color="000000"/>
              <w:bottom w:val="single" w:sz="4" w:space="0" w:color="000000"/>
              <w:right w:val="single" w:sz="12" w:space="0" w:color="000000"/>
            </w:tcBorders>
          </w:tcPr>
          <w:p w14:paraId="0BCCD148" w14:textId="77777777" w:rsidR="00CD265F" w:rsidRDefault="00CD265F" w:rsidP="00F95611">
            <w:pPr>
              <w:spacing w:after="0" w:line="259" w:lineRule="auto"/>
              <w:ind w:left="0" w:right="0" w:firstLine="0"/>
            </w:pPr>
            <w:r>
              <w:t xml:space="preserve">Risk Integrated System of Closure.  One version of IDEM OLQ guidance for a risk assessment-based approach to remediation and closure. </w:t>
            </w:r>
          </w:p>
        </w:tc>
      </w:tr>
      <w:tr w:rsidR="00B76295" w14:paraId="4A9F0535" w14:textId="77777777" w:rsidTr="00C674D9">
        <w:trPr>
          <w:trHeight w:val="264"/>
        </w:trPr>
        <w:tc>
          <w:tcPr>
            <w:tcW w:w="2657" w:type="dxa"/>
            <w:tcBorders>
              <w:top w:val="single" w:sz="4" w:space="0" w:color="000000"/>
              <w:left w:val="single" w:sz="12" w:space="0" w:color="000000"/>
              <w:bottom w:val="single" w:sz="4" w:space="0" w:color="000000"/>
              <w:right w:val="single" w:sz="12" w:space="0" w:color="000000"/>
            </w:tcBorders>
          </w:tcPr>
          <w:p w14:paraId="57B4C1E5" w14:textId="77777777" w:rsidR="00CD265F" w:rsidRDefault="00CD265F" w:rsidP="00F95611">
            <w:pPr>
              <w:spacing w:after="0" w:line="259" w:lineRule="auto"/>
              <w:ind w:left="0" w:right="0" w:firstLine="0"/>
            </w:pPr>
            <w:r>
              <w:rPr>
                <w:b/>
              </w:rPr>
              <w:t xml:space="preserve">RRF   </w:t>
            </w:r>
          </w:p>
        </w:tc>
        <w:tc>
          <w:tcPr>
            <w:tcW w:w="7963" w:type="dxa"/>
            <w:tcBorders>
              <w:top w:val="single" w:sz="4" w:space="0" w:color="000000"/>
              <w:left w:val="single" w:sz="12" w:space="0" w:color="000000"/>
              <w:bottom w:val="single" w:sz="4" w:space="0" w:color="000000"/>
              <w:right w:val="single" w:sz="12" w:space="0" w:color="000000"/>
            </w:tcBorders>
          </w:tcPr>
          <w:p w14:paraId="4C7F4C4D" w14:textId="77777777" w:rsidR="00CD265F" w:rsidRDefault="00CD265F" w:rsidP="00F95611">
            <w:pPr>
              <w:spacing w:after="0" w:line="259" w:lineRule="auto"/>
              <w:ind w:left="0" w:right="0" w:firstLine="0"/>
            </w:pPr>
            <w:r>
              <w:t xml:space="preserve">Relative Response Factor </w:t>
            </w:r>
          </w:p>
        </w:tc>
      </w:tr>
      <w:tr w:rsidR="00B76295" w14:paraId="09094944" w14:textId="77777777" w:rsidTr="00C674D9">
        <w:trPr>
          <w:trHeight w:val="264"/>
        </w:trPr>
        <w:tc>
          <w:tcPr>
            <w:tcW w:w="2657" w:type="dxa"/>
            <w:tcBorders>
              <w:top w:val="single" w:sz="4" w:space="0" w:color="000000"/>
              <w:left w:val="single" w:sz="12" w:space="0" w:color="000000"/>
              <w:bottom w:val="single" w:sz="4" w:space="0" w:color="000000"/>
              <w:right w:val="single" w:sz="12" w:space="0" w:color="000000"/>
            </w:tcBorders>
          </w:tcPr>
          <w:p w14:paraId="519796EC" w14:textId="77777777" w:rsidR="00CD265F" w:rsidRDefault="00CD265F" w:rsidP="00F95611">
            <w:pPr>
              <w:spacing w:after="0" w:line="259" w:lineRule="auto"/>
              <w:ind w:left="0" w:right="0" w:firstLine="0"/>
            </w:pPr>
            <w:r>
              <w:rPr>
                <w:b/>
              </w:rPr>
              <w:t xml:space="preserve">SAS   </w:t>
            </w:r>
          </w:p>
        </w:tc>
        <w:tc>
          <w:tcPr>
            <w:tcW w:w="7963" w:type="dxa"/>
            <w:tcBorders>
              <w:top w:val="single" w:sz="4" w:space="0" w:color="000000"/>
              <w:left w:val="single" w:sz="12" w:space="0" w:color="000000"/>
              <w:bottom w:val="single" w:sz="4" w:space="0" w:color="000000"/>
              <w:right w:val="single" w:sz="12" w:space="0" w:color="000000"/>
            </w:tcBorders>
          </w:tcPr>
          <w:p w14:paraId="3F85BF50" w14:textId="77777777" w:rsidR="00CD265F" w:rsidRDefault="00CD265F" w:rsidP="00F95611">
            <w:pPr>
              <w:spacing w:after="0" w:line="259" w:lineRule="auto"/>
              <w:ind w:left="0" w:right="0" w:firstLine="0"/>
            </w:pPr>
            <w:r>
              <w:t xml:space="preserve">Special Analytical Services - Non-routine analyses </w:t>
            </w:r>
          </w:p>
        </w:tc>
      </w:tr>
      <w:tr w:rsidR="00B76295" w14:paraId="6A190EAD" w14:textId="77777777" w:rsidTr="00C674D9">
        <w:trPr>
          <w:trHeight w:val="264"/>
        </w:trPr>
        <w:tc>
          <w:tcPr>
            <w:tcW w:w="2657" w:type="dxa"/>
            <w:tcBorders>
              <w:top w:val="single" w:sz="4" w:space="0" w:color="000000"/>
              <w:left w:val="single" w:sz="12" w:space="0" w:color="000000"/>
              <w:bottom w:val="single" w:sz="4" w:space="0" w:color="000000"/>
              <w:right w:val="single" w:sz="12" w:space="0" w:color="000000"/>
            </w:tcBorders>
          </w:tcPr>
          <w:p w14:paraId="444C6A14" w14:textId="77777777" w:rsidR="00CD265F" w:rsidRDefault="00CD265F" w:rsidP="00F95611">
            <w:pPr>
              <w:spacing w:after="0" w:line="259" w:lineRule="auto"/>
              <w:ind w:left="0" w:right="0" w:firstLine="0"/>
            </w:pPr>
            <w:r>
              <w:rPr>
                <w:b/>
              </w:rPr>
              <w:lastRenderedPageBreak/>
              <w:t xml:space="preserve">SIM </w:t>
            </w:r>
          </w:p>
        </w:tc>
        <w:tc>
          <w:tcPr>
            <w:tcW w:w="7963" w:type="dxa"/>
            <w:tcBorders>
              <w:top w:val="single" w:sz="4" w:space="0" w:color="000000"/>
              <w:left w:val="single" w:sz="12" w:space="0" w:color="000000"/>
              <w:bottom w:val="single" w:sz="4" w:space="0" w:color="000000"/>
              <w:right w:val="single" w:sz="12" w:space="0" w:color="000000"/>
            </w:tcBorders>
          </w:tcPr>
          <w:p w14:paraId="428E59D5" w14:textId="77777777" w:rsidR="00CD265F" w:rsidRDefault="00CD265F" w:rsidP="00F95611">
            <w:pPr>
              <w:spacing w:after="0" w:line="259" w:lineRule="auto"/>
              <w:ind w:left="0" w:right="0" w:firstLine="0"/>
            </w:pPr>
            <w:r>
              <w:t>The GC is coupled to a MS programmed to acquire data for only specified ions and to disregard all others, selected ion monitoring (SIM).  This is performed using SIM coupled to retention time discriminators.  The MS/SIM analysis provides quantitative results for selected constituents of the sample as programmed by the user.</w:t>
            </w:r>
          </w:p>
        </w:tc>
      </w:tr>
      <w:tr w:rsidR="00B76295" w14:paraId="45663F78" w14:textId="77777777" w:rsidTr="00C674D9">
        <w:trPr>
          <w:trHeight w:val="264"/>
        </w:trPr>
        <w:tc>
          <w:tcPr>
            <w:tcW w:w="2657" w:type="dxa"/>
            <w:tcBorders>
              <w:top w:val="single" w:sz="4" w:space="0" w:color="000000"/>
              <w:left w:val="single" w:sz="12" w:space="0" w:color="000000"/>
              <w:bottom w:val="single" w:sz="4" w:space="0" w:color="000000"/>
              <w:right w:val="single" w:sz="12" w:space="0" w:color="000000"/>
            </w:tcBorders>
          </w:tcPr>
          <w:p w14:paraId="5E54FBEE" w14:textId="77777777" w:rsidR="00CD265F" w:rsidRDefault="00CD265F" w:rsidP="00F95611">
            <w:pPr>
              <w:spacing w:after="0" w:line="259" w:lineRule="auto"/>
              <w:ind w:left="0" w:right="0" w:firstLine="0"/>
            </w:pPr>
            <w:r>
              <w:rPr>
                <w:b/>
              </w:rPr>
              <w:t xml:space="preserve">% Solids </w:t>
            </w:r>
          </w:p>
        </w:tc>
        <w:tc>
          <w:tcPr>
            <w:tcW w:w="7963" w:type="dxa"/>
            <w:tcBorders>
              <w:top w:val="single" w:sz="4" w:space="0" w:color="000000"/>
              <w:left w:val="single" w:sz="12" w:space="0" w:color="000000"/>
              <w:bottom w:val="single" w:sz="4" w:space="0" w:color="000000"/>
              <w:right w:val="single" w:sz="12" w:space="0" w:color="000000"/>
            </w:tcBorders>
          </w:tcPr>
          <w:p w14:paraId="7D51C7AD" w14:textId="77777777" w:rsidR="00CD265F" w:rsidRDefault="00CD265F" w:rsidP="00F95611">
            <w:pPr>
              <w:spacing w:after="0" w:line="259" w:lineRule="auto"/>
              <w:ind w:left="0" w:right="0" w:firstLine="0"/>
            </w:pPr>
            <w:r>
              <w:t xml:space="preserve">Total </w:t>
            </w:r>
            <w:proofErr w:type="gramStart"/>
            <w:r>
              <w:t>percent</w:t>
            </w:r>
            <w:proofErr w:type="gramEnd"/>
            <w:r>
              <w:t xml:space="preserve"> solids, as determined in a 103°C to 105°C oven. </w:t>
            </w:r>
          </w:p>
        </w:tc>
      </w:tr>
      <w:tr w:rsidR="00B76295" w14:paraId="7EBD53DB" w14:textId="77777777" w:rsidTr="00C674D9">
        <w:trPr>
          <w:trHeight w:val="262"/>
        </w:trPr>
        <w:tc>
          <w:tcPr>
            <w:tcW w:w="2657" w:type="dxa"/>
            <w:tcBorders>
              <w:top w:val="single" w:sz="4" w:space="0" w:color="000000"/>
              <w:left w:val="single" w:sz="12" w:space="0" w:color="000000"/>
              <w:bottom w:val="single" w:sz="4" w:space="0" w:color="000000"/>
              <w:right w:val="single" w:sz="12" w:space="0" w:color="000000"/>
            </w:tcBorders>
          </w:tcPr>
          <w:p w14:paraId="7E9DAFBD" w14:textId="77777777" w:rsidR="00CD265F" w:rsidRDefault="00CD265F" w:rsidP="00F95611">
            <w:pPr>
              <w:spacing w:after="0" w:line="259" w:lineRule="auto"/>
              <w:ind w:left="0" w:right="0" w:firstLine="0"/>
            </w:pPr>
            <w:r>
              <w:rPr>
                <w:b/>
              </w:rPr>
              <w:t xml:space="preserve">SOP(s) </w:t>
            </w:r>
          </w:p>
        </w:tc>
        <w:tc>
          <w:tcPr>
            <w:tcW w:w="7963" w:type="dxa"/>
            <w:tcBorders>
              <w:top w:val="single" w:sz="4" w:space="0" w:color="000000"/>
              <w:left w:val="single" w:sz="12" w:space="0" w:color="000000"/>
              <w:bottom w:val="single" w:sz="4" w:space="0" w:color="000000"/>
              <w:right w:val="single" w:sz="12" w:space="0" w:color="000000"/>
            </w:tcBorders>
          </w:tcPr>
          <w:p w14:paraId="026BDB01" w14:textId="77777777" w:rsidR="00CD265F" w:rsidRDefault="00CD265F" w:rsidP="00F95611">
            <w:pPr>
              <w:spacing w:after="0" w:line="259" w:lineRule="auto"/>
              <w:ind w:left="0" w:right="0" w:firstLine="0"/>
            </w:pPr>
            <w:r>
              <w:t xml:space="preserve">Standard Operating Procedure(s) </w:t>
            </w:r>
          </w:p>
        </w:tc>
      </w:tr>
      <w:tr w:rsidR="00B76295" w14:paraId="2EFADF32" w14:textId="77777777" w:rsidTr="00C674D9">
        <w:trPr>
          <w:trHeight w:val="516"/>
        </w:trPr>
        <w:tc>
          <w:tcPr>
            <w:tcW w:w="2657" w:type="dxa"/>
            <w:tcBorders>
              <w:top w:val="single" w:sz="4" w:space="0" w:color="000000"/>
              <w:left w:val="single" w:sz="12" w:space="0" w:color="000000"/>
              <w:bottom w:val="single" w:sz="4" w:space="0" w:color="000000"/>
              <w:right w:val="single" w:sz="12" w:space="0" w:color="000000"/>
            </w:tcBorders>
          </w:tcPr>
          <w:p w14:paraId="4046F5FE" w14:textId="77777777" w:rsidR="00CD265F" w:rsidRDefault="00CD265F" w:rsidP="00F95611">
            <w:pPr>
              <w:spacing w:after="0" w:line="259" w:lineRule="auto"/>
              <w:ind w:left="0" w:right="0" w:firstLine="0"/>
            </w:pPr>
            <w:r>
              <w:rPr>
                <w:b/>
              </w:rPr>
              <w:t xml:space="preserve">SPCC   </w:t>
            </w:r>
          </w:p>
        </w:tc>
        <w:tc>
          <w:tcPr>
            <w:tcW w:w="7963" w:type="dxa"/>
            <w:tcBorders>
              <w:top w:val="single" w:sz="4" w:space="0" w:color="000000"/>
              <w:left w:val="single" w:sz="12" w:space="0" w:color="000000"/>
              <w:bottom w:val="single" w:sz="4" w:space="0" w:color="000000"/>
              <w:right w:val="single" w:sz="12" w:space="0" w:color="000000"/>
            </w:tcBorders>
          </w:tcPr>
          <w:p w14:paraId="7D57DE5F" w14:textId="1C7F3649" w:rsidR="00CD265F" w:rsidRDefault="00CD265F" w:rsidP="00F95611">
            <w:pPr>
              <w:spacing w:after="0" w:line="259" w:lineRule="auto"/>
              <w:ind w:left="0" w:right="0" w:firstLine="0"/>
            </w:pPr>
            <w:r>
              <w:t>System Performance Check Compound (Used in SW-846 GC/MS analysis of volatile and semi-volatile organic compounds</w:t>
            </w:r>
            <w:r w:rsidR="002B6BC1">
              <w:t>.</w:t>
            </w:r>
            <w:r>
              <w:t xml:space="preserve">) </w:t>
            </w:r>
          </w:p>
        </w:tc>
      </w:tr>
      <w:tr w:rsidR="00B76295" w14:paraId="1804E7A6" w14:textId="77777777" w:rsidTr="00C674D9">
        <w:trPr>
          <w:trHeight w:val="518"/>
        </w:trPr>
        <w:tc>
          <w:tcPr>
            <w:tcW w:w="2657" w:type="dxa"/>
            <w:tcBorders>
              <w:top w:val="single" w:sz="4" w:space="0" w:color="000000"/>
              <w:left w:val="single" w:sz="12" w:space="0" w:color="000000"/>
              <w:bottom w:val="single" w:sz="4" w:space="0" w:color="000000"/>
              <w:right w:val="single" w:sz="12" w:space="0" w:color="000000"/>
            </w:tcBorders>
          </w:tcPr>
          <w:p w14:paraId="69513E3A" w14:textId="77777777" w:rsidR="00CD265F" w:rsidRDefault="00CD265F" w:rsidP="00F95611">
            <w:pPr>
              <w:spacing w:after="0" w:line="259" w:lineRule="auto"/>
              <w:ind w:left="0" w:right="0" w:firstLine="0"/>
            </w:pPr>
            <w:r>
              <w:rPr>
                <w:b/>
              </w:rPr>
              <w:t xml:space="preserve">Split Samples </w:t>
            </w:r>
          </w:p>
        </w:tc>
        <w:tc>
          <w:tcPr>
            <w:tcW w:w="7963" w:type="dxa"/>
            <w:tcBorders>
              <w:top w:val="single" w:sz="4" w:space="0" w:color="000000"/>
              <w:left w:val="single" w:sz="12" w:space="0" w:color="000000"/>
              <w:bottom w:val="single" w:sz="4" w:space="0" w:color="000000"/>
              <w:right w:val="single" w:sz="12" w:space="0" w:color="000000"/>
            </w:tcBorders>
          </w:tcPr>
          <w:p w14:paraId="6CCD38B2" w14:textId="77777777" w:rsidR="00CD265F" w:rsidRDefault="00CD265F" w:rsidP="00F95611">
            <w:pPr>
              <w:spacing w:after="0" w:line="259" w:lineRule="auto"/>
              <w:ind w:left="0" w:right="0" w:firstLine="0"/>
            </w:pPr>
            <w:r>
              <w:t xml:space="preserve">Aliquots of sample taken from the same container and analyzed independently, usually after mixing or compositing, and used to document precision. </w:t>
            </w:r>
          </w:p>
        </w:tc>
      </w:tr>
      <w:tr w:rsidR="00B76295" w14:paraId="0D11FEC0" w14:textId="77777777" w:rsidTr="00C674D9">
        <w:trPr>
          <w:trHeight w:val="271"/>
        </w:trPr>
        <w:tc>
          <w:tcPr>
            <w:tcW w:w="2657" w:type="dxa"/>
            <w:tcBorders>
              <w:top w:val="single" w:sz="4" w:space="0" w:color="000000"/>
              <w:left w:val="single" w:sz="12" w:space="0" w:color="000000"/>
              <w:bottom w:val="single" w:sz="4" w:space="0" w:color="000000"/>
              <w:right w:val="single" w:sz="12" w:space="0" w:color="000000"/>
            </w:tcBorders>
          </w:tcPr>
          <w:p w14:paraId="0F377CD6" w14:textId="77777777" w:rsidR="00CD265F" w:rsidRDefault="00CD265F" w:rsidP="00F95611">
            <w:pPr>
              <w:spacing w:after="0" w:line="259" w:lineRule="auto"/>
              <w:ind w:left="0" w:right="0" w:firstLine="0"/>
            </w:pPr>
            <w:r>
              <w:rPr>
                <w:b/>
              </w:rPr>
              <w:t xml:space="preserve">SPLP   </w:t>
            </w:r>
          </w:p>
        </w:tc>
        <w:tc>
          <w:tcPr>
            <w:tcW w:w="7963" w:type="dxa"/>
            <w:tcBorders>
              <w:top w:val="single" w:sz="4" w:space="0" w:color="000000"/>
              <w:left w:val="single" w:sz="12" w:space="0" w:color="000000"/>
              <w:bottom w:val="single" w:sz="4" w:space="0" w:color="000000"/>
              <w:right w:val="single" w:sz="12" w:space="0" w:color="000000"/>
            </w:tcBorders>
          </w:tcPr>
          <w:p w14:paraId="5EBCD3B0" w14:textId="77777777" w:rsidR="00CD265F" w:rsidRDefault="00CD265F" w:rsidP="00F95611">
            <w:pPr>
              <w:spacing w:after="0" w:line="259" w:lineRule="auto"/>
              <w:ind w:left="0" w:right="0" w:firstLine="0"/>
            </w:pPr>
            <w:r>
              <w:t>Synthetic Precipitation Leaching Procedure</w:t>
            </w:r>
            <w:proofErr w:type="gramStart"/>
            <w:r>
              <w:t>:  SW</w:t>
            </w:r>
            <w:proofErr w:type="gramEnd"/>
            <w:r>
              <w:t xml:space="preserve">-846 Method 1312. </w:t>
            </w:r>
          </w:p>
        </w:tc>
      </w:tr>
      <w:tr w:rsidR="00B76295" w14:paraId="4E646898" w14:textId="77777777" w:rsidTr="00C674D9">
        <w:trPr>
          <w:trHeight w:val="516"/>
        </w:trPr>
        <w:tc>
          <w:tcPr>
            <w:tcW w:w="2657" w:type="dxa"/>
            <w:tcBorders>
              <w:top w:val="single" w:sz="4" w:space="0" w:color="000000"/>
              <w:left w:val="single" w:sz="12" w:space="0" w:color="000000"/>
              <w:bottom w:val="single" w:sz="4" w:space="0" w:color="000000"/>
              <w:right w:val="single" w:sz="12" w:space="0" w:color="000000"/>
            </w:tcBorders>
          </w:tcPr>
          <w:p w14:paraId="0666D03D" w14:textId="77777777" w:rsidR="00CD265F" w:rsidRDefault="00CD265F" w:rsidP="00F95611">
            <w:pPr>
              <w:spacing w:after="0" w:line="259" w:lineRule="auto"/>
              <w:ind w:left="0" w:right="0" w:firstLine="0"/>
            </w:pPr>
            <w:r>
              <w:rPr>
                <w:b/>
              </w:rPr>
              <w:t xml:space="preserve">Standard Addition </w:t>
            </w:r>
          </w:p>
        </w:tc>
        <w:tc>
          <w:tcPr>
            <w:tcW w:w="7963" w:type="dxa"/>
            <w:tcBorders>
              <w:top w:val="single" w:sz="4" w:space="0" w:color="000000"/>
              <w:left w:val="single" w:sz="12" w:space="0" w:color="000000"/>
              <w:bottom w:val="single" w:sz="4" w:space="0" w:color="000000"/>
              <w:right w:val="single" w:sz="12" w:space="0" w:color="000000"/>
            </w:tcBorders>
          </w:tcPr>
          <w:p w14:paraId="314F6863" w14:textId="77777777" w:rsidR="00CD265F" w:rsidRDefault="00CD265F" w:rsidP="00F95611">
            <w:pPr>
              <w:spacing w:after="0" w:line="259" w:lineRule="auto"/>
              <w:ind w:left="0" w:right="0" w:firstLine="0"/>
            </w:pPr>
            <w:r>
              <w:t xml:space="preserve">The practice of adding a known amount of an analyte to a sample immediately prior to analysis and typically used to evaluate interferences. </w:t>
            </w:r>
          </w:p>
        </w:tc>
      </w:tr>
      <w:tr w:rsidR="00B76295" w14:paraId="2502E99D" w14:textId="77777777" w:rsidTr="00C674D9">
        <w:trPr>
          <w:trHeight w:val="778"/>
        </w:trPr>
        <w:tc>
          <w:tcPr>
            <w:tcW w:w="2657" w:type="dxa"/>
            <w:tcBorders>
              <w:top w:val="single" w:sz="4" w:space="0" w:color="000000"/>
              <w:left w:val="single" w:sz="12" w:space="0" w:color="000000"/>
              <w:bottom w:val="single" w:sz="4" w:space="0" w:color="000000"/>
              <w:right w:val="single" w:sz="12" w:space="0" w:color="000000"/>
            </w:tcBorders>
          </w:tcPr>
          <w:p w14:paraId="7D0D65C2" w14:textId="77777777" w:rsidR="00CD265F" w:rsidRDefault="00CD265F" w:rsidP="00F95611">
            <w:pPr>
              <w:spacing w:after="0" w:line="259" w:lineRule="auto"/>
              <w:ind w:left="0" w:right="0" w:firstLine="0"/>
            </w:pPr>
            <w:r>
              <w:rPr>
                <w:b/>
              </w:rPr>
              <w:t xml:space="preserve">Surrogate (Surrogate Standard) </w:t>
            </w:r>
          </w:p>
        </w:tc>
        <w:tc>
          <w:tcPr>
            <w:tcW w:w="7963" w:type="dxa"/>
            <w:tcBorders>
              <w:top w:val="single" w:sz="4" w:space="0" w:color="000000"/>
              <w:left w:val="single" w:sz="12" w:space="0" w:color="000000"/>
              <w:bottom w:val="single" w:sz="4" w:space="0" w:color="000000"/>
              <w:right w:val="single" w:sz="12" w:space="0" w:color="000000"/>
            </w:tcBorders>
          </w:tcPr>
          <w:p w14:paraId="0605BBD1" w14:textId="4035C397" w:rsidR="00CD265F" w:rsidRDefault="00CD265F" w:rsidP="00F95611">
            <w:pPr>
              <w:spacing w:after="0" w:line="259" w:lineRule="auto"/>
              <w:ind w:left="0" w:right="0" w:firstLine="0"/>
            </w:pPr>
            <w:r>
              <w:t xml:space="preserve">An organic compound which is </w:t>
            </w:r>
            <w:proofErr w:type="gramStart"/>
            <w:r>
              <w:t>similar to</w:t>
            </w:r>
            <w:proofErr w:type="gramEnd"/>
            <w:r>
              <w:t xml:space="preserve"> the target analyte(s) in chemical composition and behavior in the analytical process, but which is not normally found in environmental samples.  (</w:t>
            </w:r>
            <w:r w:rsidR="002B6BC1">
              <w:t>Also known as</w:t>
            </w:r>
            <w:r>
              <w:t xml:space="preserve"> System Monitoring Compound in CLP volatile analysis.) </w:t>
            </w:r>
          </w:p>
        </w:tc>
      </w:tr>
      <w:tr w:rsidR="00B76295" w14:paraId="48245C7D" w14:textId="77777777" w:rsidTr="00C674D9">
        <w:trPr>
          <w:trHeight w:val="265"/>
        </w:trPr>
        <w:tc>
          <w:tcPr>
            <w:tcW w:w="2657" w:type="dxa"/>
            <w:tcBorders>
              <w:top w:val="single" w:sz="4" w:space="0" w:color="000000"/>
              <w:left w:val="single" w:sz="12" w:space="0" w:color="000000"/>
              <w:bottom w:val="single" w:sz="4" w:space="0" w:color="000000"/>
              <w:right w:val="single" w:sz="12" w:space="0" w:color="000000"/>
            </w:tcBorders>
          </w:tcPr>
          <w:p w14:paraId="7BC8F7B6" w14:textId="77777777" w:rsidR="00CD265F" w:rsidRDefault="00CD265F" w:rsidP="00F95611">
            <w:pPr>
              <w:spacing w:after="0" w:line="259" w:lineRule="auto"/>
              <w:ind w:left="0" w:right="0" w:firstLine="0"/>
            </w:pPr>
            <w:r>
              <w:rPr>
                <w:b/>
              </w:rPr>
              <w:t xml:space="preserve">SVOA   </w:t>
            </w:r>
          </w:p>
        </w:tc>
        <w:tc>
          <w:tcPr>
            <w:tcW w:w="7963" w:type="dxa"/>
            <w:tcBorders>
              <w:top w:val="single" w:sz="4" w:space="0" w:color="000000"/>
              <w:left w:val="single" w:sz="12" w:space="0" w:color="000000"/>
              <w:bottom w:val="single" w:sz="4" w:space="0" w:color="000000"/>
              <w:right w:val="single" w:sz="12" w:space="0" w:color="000000"/>
            </w:tcBorders>
          </w:tcPr>
          <w:p w14:paraId="67D3EC7D" w14:textId="77777777" w:rsidR="00CD265F" w:rsidRDefault="00CD265F" w:rsidP="00F95611">
            <w:pPr>
              <w:spacing w:after="0" w:line="259" w:lineRule="auto"/>
              <w:ind w:left="0" w:right="0" w:firstLine="0"/>
            </w:pPr>
            <w:r>
              <w:t xml:space="preserve">Semi-volatile Organics Analysis.   </w:t>
            </w:r>
          </w:p>
        </w:tc>
      </w:tr>
      <w:tr w:rsidR="00B76295" w14:paraId="4CE9954C" w14:textId="77777777" w:rsidTr="00C674D9">
        <w:trPr>
          <w:trHeight w:val="778"/>
        </w:trPr>
        <w:tc>
          <w:tcPr>
            <w:tcW w:w="2657" w:type="dxa"/>
            <w:tcBorders>
              <w:top w:val="single" w:sz="4" w:space="0" w:color="000000"/>
              <w:left w:val="single" w:sz="12" w:space="0" w:color="000000"/>
              <w:bottom w:val="single" w:sz="4" w:space="0" w:color="000000"/>
              <w:right w:val="single" w:sz="12" w:space="0" w:color="000000"/>
            </w:tcBorders>
          </w:tcPr>
          <w:p w14:paraId="35FD0286" w14:textId="77777777" w:rsidR="00CD265F" w:rsidRDefault="00CD265F" w:rsidP="00F95611">
            <w:pPr>
              <w:spacing w:after="0" w:line="259" w:lineRule="auto"/>
              <w:ind w:left="0" w:right="0" w:firstLine="0"/>
            </w:pPr>
            <w:r>
              <w:rPr>
                <w:b/>
              </w:rPr>
              <w:t xml:space="preserve">SVOC   </w:t>
            </w:r>
          </w:p>
        </w:tc>
        <w:tc>
          <w:tcPr>
            <w:tcW w:w="7963" w:type="dxa"/>
            <w:tcBorders>
              <w:top w:val="single" w:sz="4" w:space="0" w:color="000000"/>
              <w:left w:val="single" w:sz="12" w:space="0" w:color="000000"/>
              <w:bottom w:val="single" w:sz="4" w:space="0" w:color="000000"/>
              <w:right w:val="single" w:sz="12" w:space="0" w:color="000000"/>
            </w:tcBorders>
          </w:tcPr>
          <w:p w14:paraId="4656A3B9" w14:textId="77777777" w:rsidR="00CD265F" w:rsidRDefault="00CD265F" w:rsidP="00F95611">
            <w:pPr>
              <w:spacing w:after="0" w:line="259" w:lineRule="auto"/>
              <w:ind w:left="0" w:right="0" w:firstLine="0"/>
            </w:pPr>
            <w:r>
              <w:t xml:space="preserve">Semi-volatile Organic Compound(s): Organic compounds amenable to </w:t>
            </w:r>
          </w:p>
          <w:p w14:paraId="04D3D045" w14:textId="77777777" w:rsidR="00CD265F" w:rsidRDefault="00CD265F" w:rsidP="00F95611">
            <w:pPr>
              <w:spacing w:after="0" w:line="259" w:lineRule="auto"/>
              <w:ind w:left="0" w:right="0" w:firstLine="0"/>
            </w:pPr>
            <w:r>
              <w:t xml:space="preserve">analysis by extraction with solvent.  Used synonymously with Base/Neutral/Acid (BNA) compounds. </w:t>
            </w:r>
          </w:p>
        </w:tc>
      </w:tr>
      <w:tr w:rsidR="00B76295" w14:paraId="371E8359" w14:textId="77777777" w:rsidTr="00C674D9">
        <w:trPr>
          <w:trHeight w:val="778"/>
        </w:trPr>
        <w:tc>
          <w:tcPr>
            <w:tcW w:w="2657" w:type="dxa"/>
            <w:tcBorders>
              <w:top w:val="single" w:sz="4" w:space="0" w:color="000000"/>
              <w:left w:val="single" w:sz="12" w:space="0" w:color="000000"/>
              <w:bottom w:val="single" w:sz="4" w:space="0" w:color="000000"/>
              <w:right w:val="single" w:sz="12" w:space="0" w:color="000000"/>
            </w:tcBorders>
          </w:tcPr>
          <w:p w14:paraId="38116139" w14:textId="77777777" w:rsidR="00CD265F" w:rsidRDefault="00CD265F" w:rsidP="00F95611">
            <w:pPr>
              <w:spacing w:after="0" w:line="259" w:lineRule="auto"/>
              <w:ind w:left="0" w:right="0" w:firstLine="0"/>
            </w:pPr>
            <w:r>
              <w:rPr>
                <w:b/>
              </w:rPr>
              <w:t xml:space="preserve">SW-846   </w:t>
            </w:r>
          </w:p>
        </w:tc>
        <w:tc>
          <w:tcPr>
            <w:tcW w:w="7963" w:type="dxa"/>
            <w:tcBorders>
              <w:top w:val="single" w:sz="4" w:space="0" w:color="000000"/>
              <w:left w:val="single" w:sz="12" w:space="0" w:color="000000"/>
              <w:bottom w:val="single" w:sz="4" w:space="0" w:color="000000"/>
              <w:right w:val="single" w:sz="12" w:space="0" w:color="000000"/>
            </w:tcBorders>
          </w:tcPr>
          <w:p w14:paraId="0DCB8EAB" w14:textId="77777777" w:rsidR="00CD265F" w:rsidRDefault="00CD265F" w:rsidP="00F95611">
            <w:pPr>
              <w:spacing w:after="0" w:line="239" w:lineRule="auto"/>
              <w:ind w:left="0" w:right="0" w:firstLine="0"/>
            </w:pPr>
            <w:r>
              <w:t xml:space="preserve">Test Methods for Evaluating Solid Wastes: Physical/Chemical Methods: SW-846, Third Edition Nov. 1986, and all subsequent updates or </w:t>
            </w:r>
          </w:p>
          <w:p w14:paraId="552CEA1F" w14:textId="77777777" w:rsidR="00CD265F" w:rsidRDefault="00CD265F" w:rsidP="00F95611">
            <w:pPr>
              <w:spacing w:after="0" w:line="259" w:lineRule="auto"/>
              <w:ind w:left="0" w:right="0" w:firstLine="0"/>
              <w:jc w:val="both"/>
            </w:pPr>
            <w:r>
              <w:t xml:space="preserve">amendments.  (Currently includes Final Updates I, II, IIA, IIB, III, IVA and IVB, etc.) </w:t>
            </w:r>
          </w:p>
        </w:tc>
      </w:tr>
      <w:tr w:rsidR="00B76295" w14:paraId="42017731" w14:textId="77777777" w:rsidTr="00C674D9">
        <w:trPr>
          <w:trHeight w:val="516"/>
        </w:trPr>
        <w:tc>
          <w:tcPr>
            <w:tcW w:w="2657" w:type="dxa"/>
            <w:tcBorders>
              <w:top w:val="single" w:sz="4" w:space="0" w:color="000000"/>
              <w:left w:val="single" w:sz="12" w:space="0" w:color="000000"/>
              <w:bottom w:val="single" w:sz="4" w:space="0" w:color="000000"/>
              <w:right w:val="single" w:sz="12" w:space="0" w:color="000000"/>
            </w:tcBorders>
          </w:tcPr>
          <w:p w14:paraId="28A1D03D" w14:textId="77777777" w:rsidR="00CD265F" w:rsidRPr="00B70436" w:rsidRDefault="00CD265F" w:rsidP="00F95611">
            <w:pPr>
              <w:spacing w:after="0" w:line="259" w:lineRule="auto"/>
              <w:ind w:left="0" w:right="0" w:firstLine="0"/>
              <w:rPr>
                <w:color w:val="auto"/>
              </w:rPr>
            </w:pPr>
            <w:r w:rsidRPr="00B70436">
              <w:rPr>
                <w:b/>
                <w:color w:val="auto"/>
              </w:rPr>
              <w:t xml:space="preserve">System Monitoring Compound  </w:t>
            </w:r>
          </w:p>
        </w:tc>
        <w:tc>
          <w:tcPr>
            <w:tcW w:w="7963" w:type="dxa"/>
            <w:tcBorders>
              <w:top w:val="single" w:sz="4" w:space="0" w:color="000000"/>
              <w:left w:val="single" w:sz="12" w:space="0" w:color="000000"/>
              <w:bottom w:val="single" w:sz="4" w:space="0" w:color="000000"/>
              <w:right w:val="single" w:sz="12" w:space="0" w:color="000000"/>
            </w:tcBorders>
          </w:tcPr>
          <w:p w14:paraId="62BE8502" w14:textId="77777777" w:rsidR="00CD265F" w:rsidRPr="00B70436" w:rsidRDefault="00CD265F" w:rsidP="00F95611">
            <w:pPr>
              <w:spacing w:after="0" w:line="259" w:lineRule="auto"/>
              <w:ind w:left="0" w:right="0" w:firstLine="0"/>
              <w:rPr>
                <w:color w:val="auto"/>
              </w:rPr>
            </w:pPr>
            <w:r w:rsidRPr="00B70436">
              <w:rPr>
                <w:color w:val="auto"/>
              </w:rPr>
              <w:t xml:space="preserve">Surrogate.  (CLP Statement of Work for Organic Analysis) </w:t>
            </w:r>
          </w:p>
        </w:tc>
      </w:tr>
      <w:tr w:rsidR="00B76295" w14:paraId="0DA3486C" w14:textId="77777777" w:rsidTr="00C674D9">
        <w:trPr>
          <w:trHeight w:val="516"/>
        </w:trPr>
        <w:tc>
          <w:tcPr>
            <w:tcW w:w="2657" w:type="dxa"/>
            <w:tcBorders>
              <w:top w:val="single" w:sz="4" w:space="0" w:color="000000"/>
              <w:left w:val="single" w:sz="12" w:space="0" w:color="000000"/>
              <w:bottom w:val="single" w:sz="4" w:space="0" w:color="000000"/>
              <w:right w:val="single" w:sz="12" w:space="0" w:color="000000"/>
            </w:tcBorders>
          </w:tcPr>
          <w:p w14:paraId="4D4667FE" w14:textId="77777777" w:rsidR="00CD265F" w:rsidRPr="00B70436" w:rsidRDefault="00CD265F" w:rsidP="00F95611">
            <w:pPr>
              <w:spacing w:after="0" w:line="259" w:lineRule="auto"/>
              <w:ind w:left="0" w:right="0" w:firstLine="0"/>
              <w:rPr>
                <w:b/>
                <w:color w:val="auto"/>
              </w:rPr>
            </w:pPr>
            <w:r>
              <w:rPr>
                <w:b/>
              </w:rPr>
              <w:t>Table 2</w:t>
            </w:r>
          </w:p>
        </w:tc>
        <w:tc>
          <w:tcPr>
            <w:tcW w:w="7963" w:type="dxa"/>
            <w:tcBorders>
              <w:top w:val="single" w:sz="4" w:space="0" w:color="000000"/>
              <w:left w:val="single" w:sz="12" w:space="0" w:color="000000"/>
              <w:bottom w:val="single" w:sz="4" w:space="0" w:color="000000"/>
              <w:right w:val="single" w:sz="12" w:space="0" w:color="000000"/>
            </w:tcBorders>
          </w:tcPr>
          <w:p w14:paraId="21106945" w14:textId="77777777" w:rsidR="00CD265F" w:rsidRPr="00B70436" w:rsidRDefault="00CD265F" w:rsidP="00F95611">
            <w:pPr>
              <w:spacing w:after="0" w:line="259" w:lineRule="auto"/>
              <w:ind w:left="0" w:right="0" w:firstLine="0"/>
              <w:rPr>
                <w:color w:val="auto"/>
              </w:rPr>
            </w:pPr>
            <w:r>
              <w:t>Constituents for Assessment Monitoring [for Solid Waste Land Disposal Facilities], 329 IAC 10-21-16, Table 2</w:t>
            </w:r>
          </w:p>
        </w:tc>
      </w:tr>
      <w:tr w:rsidR="00B76295" w14:paraId="120AC4A3" w14:textId="77777777" w:rsidTr="00C674D9">
        <w:trPr>
          <w:trHeight w:val="516"/>
        </w:trPr>
        <w:tc>
          <w:tcPr>
            <w:tcW w:w="2657" w:type="dxa"/>
            <w:tcBorders>
              <w:top w:val="single" w:sz="4" w:space="0" w:color="000000"/>
              <w:left w:val="single" w:sz="12" w:space="0" w:color="000000"/>
              <w:bottom w:val="single" w:sz="4" w:space="0" w:color="000000"/>
              <w:right w:val="single" w:sz="12" w:space="0" w:color="000000"/>
            </w:tcBorders>
          </w:tcPr>
          <w:p w14:paraId="4C1E0E3B" w14:textId="77777777" w:rsidR="00CD265F" w:rsidRDefault="00CD265F" w:rsidP="00F95611">
            <w:pPr>
              <w:spacing w:after="0" w:line="259" w:lineRule="auto"/>
              <w:ind w:left="0" w:right="0" w:firstLine="0"/>
              <w:rPr>
                <w:b/>
              </w:rPr>
            </w:pPr>
            <w:r>
              <w:rPr>
                <w:b/>
              </w:rPr>
              <w:t xml:space="preserve">TCLP </w:t>
            </w:r>
          </w:p>
        </w:tc>
        <w:tc>
          <w:tcPr>
            <w:tcW w:w="7963" w:type="dxa"/>
            <w:tcBorders>
              <w:top w:val="single" w:sz="4" w:space="0" w:color="000000"/>
              <w:left w:val="single" w:sz="12" w:space="0" w:color="000000"/>
              <w:bottom w:val="single" w:sz="4" w:space="0" w:color="000000"/>
              <w:right w:val="single" w:sz="12" w:space="0" w:color="000000"/>
            </w:tcBorders>
          </w:tcPr>
          <w:p w14:paraId="3814D3B6" w14:textId="77777777" w:rsidR="00CD265F" w:rsidRDefault="00CD265F" w:rsidP="00F95611">
            <w:pPr>
              <w:spacing w:after="0" w:line="259" w:lineRule="auto"/>
              <w:ind w:left="0" w:right="0" w:firstLine="0"/>
            </w:pPr>
            <w:r>
              <w:t>Toxic Characteristic Leaching Procedure</w:t>
            </w:r>
            <w:proofErr w:type="gramStart"/>
            <w:r>
              <w:t>:  SW</w:t>
            </w:r>
            <w:proofErr w:type="gramEnd"/>
            <w:r>
              <w:t xml:space="preserve">-846 Method 1311.  (Used to characterize RCRA Subtitle C waste codes D004 – D043.) </w:t>
            </w:r>
          </w:p>
        </w:tc>
      </w:tr>
      <w:tr w:rsidR="00B76295" w14:paraId="2D83D01A" w14:textId="77777777" w:rsidTr="00C674D9">
        <w:trPr>
          <w:trHeight w:val="516"/>
        </w:trPr>
        <w:tc>
          <w:tcPr>
            <w:tcW w:w="2657" w:type="dxa"/>
            <w:tcBorders>
              <w:top w:val="single" w:sz="4" w:space="0" w:color="000000"/>
              <w:left w:val="single" w:sz="12" w:space="0" w:color="000000"/>
              <w:bottom w:val="single" w:sz="4" w:space="0" w:color="000000"/>
              <w:right w:val="single" w:sz="12" w:space="0" w:color="000000"/>
            </w:tcBorders>
          </w:tcPr>
          <w:p w14:paraId="42265AAF" w14:textId="77777777" w:rsidR="00CD265F" w:rsidRDefault="00CD265F" w:rsidP="00F95611">
            <w:pPr>
              <w:spacing w:after="0" w:line="259" w:lineRule="auto"/>
              <w:ind w:left="0" w:right="0" w:firstLine="0"/>
              <w:rPr>
                <w:b/>
              </w:rPr>
            </w:pPr>
            <w:r>
              <w:rPr>
                <w:b/>
              </w:rPr>
              <w:t xml:space="preserve">TIC </w:t>
            </w:r>
          </w:p>
        </w:tc>
        <w:tc>
          <w:tcPr>
            <w:tcW w:w="7963" w:type="dxa"/>
            <w:tcBorders>
              <w:top w:val="single" w:sz="4" w:space="0" w:color="000000"/>
              <w:left w:val="single" w:sz="12" w:space="0" w:color="000000"/>
              <w:bottom w:val="single" w:sz="4" w:space="0" w:color="000000"/>
              <w:right w:val="single" w:sz="12" w:space="0" w:color="000000"/>
            </w:tcBorders>
          </w:tcPr>
          <w:p w14:paraId="5471D1A0" w14:textId="77777777" w:rsidR="00CD265F" w:rsidRDefault="00CD265F" w:rsidP="00F95611">
            <w:pPr>
              <w:spacing w:after="0" w:line="259" w:lineRule="auto"/>
              <w:ind w:left="0" w:right="0" w:firstLine="0"/>
            </w:pPr>
            <w:r>
              <w:t xml:space="preserve">Tentatively Identified Compound.  In GC/MS analysis, compounds that are not included in the calibration standard mixture(s) but are identified by the mass spectral library with a reasonable degree of certainty. </w:t>
            </w:r>
          </w:p>
        </w:tc>
      </w:tr>
      <w:tr w:rsidR="00B76295" w14:paraId="624D4162" w14:textId="77777777" w:rsidTr="00C674D9">
        <w:trPr>
          <w:trHeight w:val="259"/>
        </w:trPr>
        <w:tc>
          <w:tcPr>
            <w:tcW w:w="2657" w:type="dxa"/>
            <w:tcBorders>
              <w:top w:val="single" w:sz="4" w:space="0" w:color="000000"/>
              <w:left w:val="single" w:sz="12" w:space="0" w:color="000000"/>
              <w:bottom w:val="single" w:sz="4" w:space="0" w:color="000000"/>
              <w:right w:val="single" w:sz="12" w:space="0" w:color="000000"/>
            </w:tcBorders>
          </w:tcPr>
          <w:p w14:paraId="34D33B48" w14:textId="77777777" w:rsidR="00CD265F" w:rsidRDefault="00CD265F" w:rsidP="00F95611">
            <w:pPr>
              <w:spacing w:after="0" w:line="259" w:lineRule="auto"/>
              <w:ind w:left="0" w:right="0" w:firstLine="0"/>
              <w:rPr>
                <w:b/>
              </w:rPr>
            </w:pPr>
            <w:r>
              <w:rPr>
                <w:b/>
              </w:rPr>
              <w:t xml:space="preserve">TKN  </w:t>
            </w:r>
          </w:p>
        </w:tc>
        <w:tc>
          <w:tcPr>
            <w:tcW w:w="7963" w:type="dxa"/>
            <w:tcBorders>
              <w:top w:val="single" w:sz="4" w:space="0" w:color="000000"/>
              <w:left w:val="single" w:sz="12" w:space="0" w:color="000000"/>
              <w:bottom w:val="single" w:sz="4" w:space="0" w:color="000000"/>
              <w:right w:val="single" w:sz="12" w:space="0" w:color="000000"/>
            </w:tcBorders>
          </w:tcPr>
          <w:p w14:paraId="2695F7B9" w14:textId="77777777" w:rsidR="00CD265F" w:rsidRDefault="00CD265F" w:rsidP="00F95611">
            <w:pPr>
              <w:spacing w:after="0" w:line="259" w:lineRule="auto"/>
              <w:ind w:left="0" w:right="0" w:firstLine="0"/>
            </w:pPr>
            <w:r>
              <w:t xml:space="preserve">Total Kjeldahl Nitrogen </w:t>
            </w:r>
          </w:p>
        </w:tc>
      </w:tr>
      <w:tr w:rsidR="00B76295" w14:paraId="5D2C2F91" w14:textId="77777777" w:rsidTr="00C674D9">
        <w:trPr>
          <w:trHeight w:val="259"/>
        </w:trPr>
        <w:tc>
          <w:tcPr>
            <w:tcW w:w="2657" w:type="dxa"/>
            <w:tcBorders>
              <w:top w:val="single" w:sz="4" w:space="0" w:color="000000"/>
              <w:left w:val="single" w:sz="12" w:space="0" w:color="000000"/>
              <w:bottom w:val="single" w:sz="4" w:space="0" w:color="000000"/>
              <w:right w:val="single" w:sz="12" w:space="0" w:color="000000"/>
            </w:tcBorders>
          </w:tcPr>
          <w:p w14:paraId="48D229E3" w14:textId="77777777" w:rsidR="00CD265F" w:rsidRDefault="00CD265F" w:rsidP="00F95611">
            <w:pPr>
              <w:spacing w:after="0" w:line="259" w:lineRule="auto"/>
              <w:ind w:left="0" w:right="0" w:firstLine="0"/>
              <w:rPr>
                <w:b/>
              </w:rPr>
            </w:pPr>
            <w:r>
              <w:rPr>
                <w:b/>
              </w:rPr>
              <w:t xml:space="preserve">TOC </w:t>
            </w:r>
          </w:p>
        </w:tc>
        <w:tc>
          <w:tcPr>
            <w:tcW w:w="7963" w:type="dxa"/>
            <w:tcBorders>
              <w:top w:val="single" w:sz="4" w:space="0" w:color="000000"/>
              <w:left w:val="single" w:sz="12" w:space="0" w:color="000000"/>
              <w:bottom w:val="single" w:sz="4" w:space="0" w:color="000000"/>
              <w:right w:val="single" w:sz="12" w:space="0" w:color="000000"/>
            </w:tcBorders>
          </w:tcPr>
          <w:p w14:paraId="419DC8C6" w14:textId="77777777" w:rsidR="00CD265F" w:rsidRDefault="00CD265F" w:rsidP="00F95611">
            <w:pPr>
              <w:spacing w:after="0" w:line="259" w:lineRule="auto"/>
              <w:ind w:left="0" w:right="0" w:firstLine="0"/>
            </w:pPr>
            <w:r>
              <w:t xml:space="preserve">Total Organic Carbon </w:t>
            </w:r>
          </w:p>
        </w:tc>
      </w:tr>
      <w:tr w:rsidR="00B76295" w14:paraId="70528D50" w14:textId="77777777" w:rsidTr="00C674D9">
        <w:trPr>
          <w:trHeight w:val="259"/>
        </w:trPr>
        <w:tc>
          <w:tcPr>
            <w:tcW w:w="2657" w:type="dxa"/>
            <w:tcBorders>
              <w:top w:val="single" w:sz="4" w:space="0" w:color="000000"/>
              <w:left w:val="single" w:sz="12" w:space="0" w:color="000000"/>
              <w:bottom w:val="single" w:sz="4" w:space="0" w:color="000000"/>
              <w:right w:val="single" w:sz="12" w:space="0" w:color="000000"/>
            </w:tcBorders>
          </w:tcPr>
          <w:p w14:paraId="0329AD23" w14:textId="77777777" w:rsidR="00CD265F" w:rsidRDefault="00CD265F" w:rsidP="00F95611">
            <w:pPr>
              <w:spacing w:after="0" w:line="259" w:lineRule="auto"/>
              <w:ind w:left="0" w:right="0" w:firstLine="0"/>
              <w:rPr>
                <w:b/>
              </w:rPr>
            </w:pPr>
            <w:r>
              <w:rPr>
                <w:b/>
              </w:rPr>
              <w:t xml:space="preserve">Total Metals </w:t>
            </w:r>
          </w:p>
        </w:tc>
        <w:tc>
          <w:tcPr>
            <w:tcW w:w="7963" w:type="dxa"/>
            <w:tcBorders>
              <w:top w:val="single" w:sz="4" w:space="0" w:color="000000"/>
              <w:left w:val="single" w:sz="12" w:space="0" w:color="000000"/>
              <w:bottom w:val="single" w:sz="4" w:space="0" w:color="000000"/>
              <w:right w:val="single" w:sz="12" w:space="0" w:color="000000"/>
            </w:tcBorders>
          </w:tcPr>
          <w:p w14:paraId="70E3DAEC" w14:textId="77777777" w:rsidR="00CD265F" w:rsidRDefault="00CD265F" w:rsidP="00F95611">
            <w:pPr>
              <w:spacing w:after="0" w:line="259" w:lineRule="auto"/>
              <w:ind w:left="0" w:right="0" w:firstLine="0"/>
            </w:pPr>
            <w:r>
              <w:t xml:space="preserve">Digestion and analysis for metals of an unfiltered aqueous sample. </w:t>
            </w:r>
          </w:p>
        </w:tc>
      </w:tr>
      <w:tr w:rsidR="00B76295" w14:paraId="2458DA63" w14:textId="77777777" w:rsidTr="00C674D9">
        <w:trPr>
          <w:trHeight w:val="259"/>
        </w:trPr>
        <w:tc>
          <w:tcPr>
            <w:tcW w:w="2657" w:type="dxa"/>
            <w:tcBorders>
              <w:top w:val="single" w:sz="4" w:space="0" w:color="000000"/>
              <w:left w:val="single" w:sz="12" w:space="0" w:color="000000"/>
              <w:bottom w:val="single" w:sz="4" w:space="0" w:color="000000"/>
              <w:right w:val="single" w:sz="12" w:space="0" w:color="000000"/>
            </w:tcBorders>
          </w:tcPr>
          <w:p w14:paraId="2A043777" w14:textId="77777777" w:rsidR="00CD265F" w:rsidRDefault="00CD265F" w:rsidP="00F95611">
            <w:pPr>
              <w:spacing w:after="0" w:line="259" w:lineRule="auto"/>
              <w:ind w:left="0" w:right="0" w:firstLine="0"/>
              <w:rPr>
                <w:b/>
              </w:rPr>
            </w:pPr>
            <w:r>
              <w:rPr>
                <w:b/>
              </w:rPr>
              <w:t xml:space="preserve">TOX </w:t>
            </w:r>
          </w:p>
        </w:tc>
        <w:tc>
          <w:tcPr>
            <w:tcW w:w="7963" w:type="dxa"/>
            <w:tcBorders>
              <w:top w:val="single" w:sz="4" w:space="0" w:color="000000"/>
              <w:left w:val="single" w:sz="12" w:space="0" w:color="000000"/>
              <w:bottom w:val="single" w:sz="4" w:space="0" w:color="000000"/>
              <w:right w:val="single" w:sz="12" w:space="0" w:color="000000"/>
            </w:tcBorders>
          </w:tcPr>
          <w:p w14:paraId="7ED09E61" w14:textId="77777777" w:rsidR="00CD265F" w:rsidRDefault="00CD265F" w:rsidP="00F95611">
            <w:pPr>
              <w:spacing w:after="0" w:line="259" w:lineRule="auto"/>
              <w:ind w:left="0" w:right="0" w:firstLine="0"/>
            </w:pPr>
            <w:r>
              <w:t xml:space="preserve">Total Organic Halides </w:t>
            </w:r>
          </w:p>
        </w:tc>
      </w:tr>
      <w:tr w:rsidR="00B76295" w14:paraId="6AE5FBC2" w14:textId="77777777" w:rsidTr="00C674D9">
        <w:trPr>
          <w:trHeight w:val="259"/>
        </w:trPr>
        <w:tc>
          <w:tcPr>
            <w:tcW w:w="2657" w:type="dxa"/>
            <w:tcBorders>
              <w:top w:val="single" w:sz="4" w:space="0" w:color="000000"/>
              <w:left w:val="single" w:sz="12" w:space="0" w:color="000000"/>
              <w:bottom w:val="single" w:sz="4" w:space="0" w:color="000000"/>
              <w:right w:val="single" w:sz="12" w:space="0" w:color="000000"/>
            </w:tcBorders>
          </w:tcPr>
          <w:p w14:paraId="7FBED836" w14:textId="77777777" w:rsidR="00CD265F" w:rsidRDefault="00CD265F" w:rsidP="00F95611">
            <w:pPr>
              <w:spacing w:after="0" w:line="259" w:lineRule="auto"/>
              <w:ind w:left="0" w:right="0" w:firstLine="0"/>
              <w:rPr>
                <w:b/>
              </w:rPr>
            </w:pPr>
            <w:r>
              <w:rPr>
                <w:b/>
              </w:rPr>
              <w:t xml:space="preserve">TPH </w:t>
            </w:r>
          </w:p>
        </w:tc>
        <w:tc>
          <w:tcPr>
            <w:tcW w:w="7963" w:type="dxa"/>
            <w:tcBorders>
              <w:top w:val="single" w:sz="4" w:space="0" w:color="000000"/>
              <w:left w:val="single" w:sz="12" w:space="0" w:color="000000"/>
              <w:bottom w:val="single" w:sz="4" w:space="0" w:color="000000"/>
              <w:right w:val="single" w:sz="12" w:space="0" w:color="000000"/>
            </w:tcBorders>
          </w:tcPr>
          <w:p w14:paraId="57797E0F" w14:textId="77777777" w:rsidR="00CD265F" w:rsidRDefault="00CD265F" w:rsidP="00F95611">
            <w:pPr>
              <w:spacing w:after="0" w:line="259" w:lineRule="auto"/>
              <w:ind w:left="0" w:right="0" w:firstLine="0"/>
            </w:pPr>
            <w:r>
              <w:t xml:space="preserve">Total Petroleum Hydrocarbons.  (See Petroleum Analysis) </w:t>
            </w:r>
          </w:p>
        </w:tc>
      </w:tr>
      <w:tr w:rsidR="00B76295" w14:paraId="6A6734D6" w14:textId="77777777" w:rsidTr="00C674D9">
        <w:trPr>
          <w:trHeight w:val="1296"/>
        </w:trPr>
        <w:tc>
          <w:tcPr>
            <w:tcW w:w="2657" w:type="dxa"/>
            <w:tcBorders>
              <w:top w:val="single" w:sz="4" w:space="0" w:color="000000"/>
              <w:left w:val="single" w:sz="12" w:space="0" w:color="000000"/>
              <w:bottom w:val="single" w:sz="4" w:space="0" w:color="000000"/>
              <w:right w:val="single" w:sz="12" w:space="0" w:color="000000"/>
            </w:tcBorders>
          </w:tcPr>
          <w:p w14:paraId="13F83A6A" w14:textId="77777777" w:rsidR="00CD265F" w:rsidRDefault="00CD265F" w:rsidP="00F95611">
            <w:pPr>
              <w:spacing w:after="0" w:line="259" w:lineRule="auto"/>
              <w:ind w:left="0" w:right="0" w:firstLine="0"/>
              <w:rPr>
                <w:b/>
              </w:rPr>
            </w:pPr>
            <w:r>
              <w:rPr>
                <w:b/>
              </w:rPr>
              <w:t xml:space="preserve">Trip Blank   </w:t>
            </w:r>
          </w:p>
        </w:tc>
        <w:tc>
          <w:tcPr>
            <w:tcW w:w="7963" w:type="dxa"/>
            <w:tcBorders>
              <w:top w:val="single" w:sz="4" w:space="0" w:color="000000"/>
              <w:left w:val="single" w:sz="12" w:space="0" w:color="000000"/>
              <w:bottom w:val="single" w:sz="4" w:space="0" w:color="000000"/>
              <w:right w:val="single" w:sz="12" w:space="0" w:color="000000"/>
            </w:tcBorders>
          </w:tcPr>
          <w:p w14:paraId="34E5AE94" w14:textId="7AACB31B" w:rsidR="00CD265F" w:rsidRDefault="00CD265F" w:rsidP="00F95611">
            <w:pPr>
              <w:spacing w:after="2" w:line="237" w:lineRule="auto"/>
              <w:ind w:left="0" w:right="0" w:firstLine="0"/>
            </w:pPr>
            <w:r>
              <w:t xml:space="preserve">A sample of analyte-free media taken from the laboratory to the sampling site and returned to the laboratory unopened. A trip blank is used to document contamination attributable to shipping and field handling procedures. This type of blank is useful in documenting contamination of volatile organics samples but may be used for all analytes of interest.  (Called Field Reagent Blank in </w:t>
            </w:r>
            <w:r w:rsidR="00E12105">
              <w:t>USEPA</w:t>
            </w:r>
            <w:r>
              <w:t xml:space="preserve"> Water Analysis methods).</w:t>
            </w:r>
          </w:p>
        </w:tc>
      </w:tr>
      <w:tr w:rsidR="00B76295" w14:paraId="1B32DFE8" w14:textId="77777777" w:rsidTr="00C674D9">
        <w:trPr>
          <w:trHeight w:val="259"/>
        </w:trPr>
        <w:tc>
          <w:tcPr>
            <w:tcW w:w="2657" w:type="dxa"/>
            <w:tcBorders>
              <w:top w:val="single" w:sz="4" w:space="0" w:color="000000"/>
              <w:left w:val="single" w:sz="12" w:space="0" w:color="000000"/>
              <w:bottom w:val="single" w:sz="4" w:space="0" w:color="000000"/>
              <w:right w:val="single" w:sz="12" w:space="0" w:color="000000"/>
            </w:tcBorders>
          </w:tcPr>
          <w:p w14:paraId="1462E41D" w14:textId="77777777" w:rsidR="00CD265F" w:rsidRDefault="00CD265F" w:rsidP="00F95611">
            <w:pPr>
              <w:spacing w:after="0" w:line="259" w:lineRule="auto"/>
              <w:ind w:left="0" w:right="0" w:firstLine="0"/>
              <w:rPr>
                <w:b/>
              </w:rPr>
            </w:pPr>
            <w:r>
              <w:rPr>
                <w:b/>
              </w:rPr>
              <w:t xml:space="preserve">TRPH </w:t>
            </w:r>
          </w:p>
        </w:tc>
        <w:tc>
          <w:tcPr>
            <w:tcW w:w="7963" w:type="dxa"/>
            <w:tcBorders>
              <w:top w:val="single" w:sz="4" w:space="0" w:color="000000"/>
              <w:left w:val="single" w:sz="12" w:space="0" w:color="000000"/>
              <w:bottom w:val="single" w:sz="4" w:space="0" w:color="000000"/>
              <w:right w:val="single" w:sz="12" w:space="0" w:color="000000"/>
            </w:tcBorders>
          </w:tcPr>
          <w:p w14:paraId="30D5F55E" w14:textId="056A159D" w:rsidR="00CD265F" w:rsidRDefault="00CD265F" w:rsidP="00F95611">
            <w:pPr>
              <w:spacing w:after="0" w:line="259" w:lineRule="auto"/>
              <w:ind w:left="0" w:right="0" w:firstLine="0"/>
            </w:pPr>
            <w:r>
              <w:t xml:space="preserve">Total Recoverable Petroleum Hydrocarbons.  Extraction and analysis of non-volatile petroleum fractions.  Not applicable to gasoline-range petroleum samples. </w:t>
            </w:r>
          </w:p>
        </w:tc>
      </w:tr>
      <w:tr w:rsidR="00B76295" w14:paraId="37012A50" w14:textId="77777777" w:rsidTr="00C674D9">
        <w:trPr>
          <w:trHeight w:val="259"/>
        </w:trPr>
        <w:tc>
          <w:tcPr>
            <w:tcW w:w="2657" w:type="dxa"/>
            <w:tcBorders>
              <w:top w:val="single" w:sz="4" w:space="0" w:color="000000"/>
              <w:left w:val="single" w:sz="12" w:space="0" w:color="000000"/>
              <w:bottom w:val="single" w:sz="4" w:space="0" w:color="000000"/>
              <w:right w:val="single" w:sz="12" w:space="0" w:color="000000"/>
            </w:tcBorders>
          </w:tcPr>
          <w:p w14:paraId="09C48912" w14:textId="77777777" w:rsidR="00CD265F" w:rsidRDefault="00CD265F" w:rsidP="00F95611">
            <w:pPr>
              <w:spacing w:after="0" w:line="259" w:lineRule="auto"/>
              <w:ind w:left="0" w:right="0" w:firstLine="0"/>
              <w:rPr>
                <w:b/>
              </w:rPr>
            </w:pPr>
            <w:r w:rsidRPr="00890823">
              <w:rPr>
                <w:b/>
                <w:color w:val="auto"/>
              </w:rPr>
              <w:t xml:space="preserve">USACE   </w:t>
            </w:r>
          </w:p>
        </w:tc>
        <w:tc>
          <w:tcPr>
            <w:tcW w:w="7963" w:type="dxa"/>
            <w:tcBorders>
              <w:top w:val="single" w:sz="4" w:space="0" w:color="000000"/>
              <w:left w:val="single" w:sz="12" w:space="0" w:color="000000"/>
              <w:bottom w:val="single" w:sz="4" w:space="0" w:color="000000"/>
              <w:right w:val="single" w:sz="12" w:space="0" w:color="000000"/>
            </w:tcBorders>
          </w:tcPr>
          <w:p w14:paraId="53CB3D72" w14:textId="77777777" w:rsidR="00CD265F" w:rsidRDefault="00CD265F" w:rsidP="00F95611">
            <w:pPr>
              <w:spacing w:after="0" w:line="259" w:lineRule="auto"/>
              <w:ind w:left="0" w:right="0" w:firstLine="0"/>
            </w:pPr>
            <w:r w:rsidRPr="00890823">
              <w:rPr>
                <w:color w:val="auto"/>
              </w:rPr>
              <w:t xml:space="preserve">United States Army Corps of Engineers </w:t>
            </w:r>
          </w:p>
        </w:tc>
      </w:tr>
      <w:tr w:rsidR="00E10FFF" w14:paraId="7308C7EF" w14:textId="77777777" w:rsidTr="00C674D9">
        <w:trPr>
          <w:trHeight w:val="2045"/>
        </w:trPr>
        <w:tc>
          <w:tcPr>
            <w:tcW w:w="2657" w:type="dxa"/>
            <w:tcBorders>
              <w:top w:val="single" w:sz="4" w:space="0" w:color="000000"/>
              <w:left w:val="single" w:sz="12" w:space="0" w:color="000000"/>
              <w:bottom w:val="single" w:sz="4" w:space="0" w:color="000000"/>
              <w:right w:val="single" w:sz="12" w:space="0" w:color="000000"/>
            </w:tcBorders>
          </w:tcPr>
          <w:p w14:paraId="42C1081E" w14:textId="77777777" w:rsidR="00CD265F" w:rsidRPr="00890823" w:rsidRDefault="00CD265F" w:rsidP="00F95611">
            <w:pPr>
              <w:spacing w:after="0" w:line="259" w:lineRule="auto"/>
              <w:ind w:left="0" w:right="0" w:firstLine="0"/>
              <w:rPr>
                <w:color w:val="auto"/>
              </w:rPr>
            </w:pPr>
            <w:r w:rsidRPr="00890823">
              <w:rPr>
                <w:b/>
                <w:color w:val="auto"/>
              </w:rPr>
              <w:lastRenderedPageBreak/>
              <w:t xml:space="preserve">USACE Modified Elutriate </w:t>
            </w:r>
          </w:p>
          <w:p w14:paraId="02614490" w14:textId="77777777" w:rsidR="00CD265F" w:rsidRPr="00890823" w:rsidRDefault="00CD265F" w:rsidP="00F95611">
            <w:pPr>
              <w:spacing w:after="0" w:line="259" w:lineRule="auto"/>
              <w:ind w:left="0" w:right="0" w:firstLine="0"/>
              <w:rPr>
                <w:color w:val="auto"/>
              </w:rPr>
            </w:pPr>
            <w:r w:rsidRPr="00890823">
              <w:rPr>
                <w:b/>
                <w:color w:val="auto"/>
              </w:rPr>
              <w:t xml:space="preserve">Test   </w:t>
            </w:r>
          </w:p>
        </w:tc>
        <w:tc>
          <w:tcPr>
            <w:tcW w:w="7963" w:type="dxa"/>
            <w:tcBorders>
              <w:top w:val="single" w:sz="4" w:space="0" w:color="000000"/>
              <w:left w:val="single" w:sz="12" w:space="0" w:color="000000"/>
              <w:bottom w:val="single" w:sz="4" w:space="0" w:color="000000"/>
              <w:right w:val="single" w:sz="12" w:space="0" w:color="000000"/>
            </w:tcBorders>
          </w:tcPr>
          <w:p w14:paraId="688FFDBC" w14:textId="6A0453C6" w:rsidR="00CD265F" w:rsidRPr="00890823" w:rsidRDefault="00CD265F" w:rsidP="00F95611">
            <w:pPr>
              <w:spacing w:after="0" w:line="237" w:lineRule="auto"/>
              <w:ind w:left="0" w:right="0" w:firstLine="0"/>
              <w:rPr>
                <w:color w:val="auto"/>
              </w:rPr>
            </w:pPr>
            <w:r w:rsidRPr="00890823">
              <w:rPr>
                <w:color w:val="auto"/>
              </w:rPr>
              <w:t xml:space="preserve">USACE-developed method to model quality of effluent discharged from confined dredged material disposal areas.  The test uses surface water and sediment from the site under investigation, and the resulting effluent is analyzed for water quality.   </w:t>
            </w:r>
          </w:p>
          <w:p w14:paraId="770602B1" w14:textId="626A8E69" w:rsidR="00CD265F" w:rsidRPr="00890823" w:rsidRDefault="00CD265F" w:rsidP="00F95611">
            <w:pPr>
              <w:spacing w:after="0" w:line="259" w:lineRule="auto"/>
              <w:ind w:left="0" w:right="0" w:firstLine="0"/>
              <w:rPr>
                <w:color w:val="auto"/>
              </w:rPr>
            </w:pPr>
            <w:r w:rsidRPr="00890823">
              <w:rPr>
                <w:color w:val="auto"/>
              </w:rPr>
              <w:t xml:space="preserve">(The test is included in the document, “Interim Guidance for Predicting </w:t>
            </w:r>
          </w:p>
          <w:p w14:paraId="36639444" w14:textId="0BD45FEE" w:rsidR="00CD265F" w:rsidRPr="00651A9F" w:rsidRDefault="00CD265F" w:rsidP="006C6B71">
            <w:pPr>
              <w:spacing w:after="0" w:line="237" w:lineRule="auto"/>
              <w:ind w:left="0" w:right="0" w:firstLine="0"/>
              <w:rPr>
                <w:color w:val="auto"/>
              </w:rPr>
            </w:pPr>
            <w:r w:rsidRPr="00890823">
              <w:rPr>
                <w:color w:val="auto"/>
              </w:rPr>
              <w:t xml:space="preserve">Quality of Effluent Discharged from Confined Dredged Material Disposal Areas--Test Procedures” (June 1985), available from the USACE web site as document EEDP-04-2at: </w:t>
            </w:r>
            <w:hyperlink r:id="rId11" w:history="1">
              <w:r w:rsidR="006C6B71" w:rsidRPr="00C51C5C">
                <w:rPr>
                  <w:rStyle w:val="Hyperlink"/>
                </w:rPr>
                <w:t>https://www.govinfo.gov/content/pkg/CZIC-kfn2247-n49-1996/html/CZIC-kfn2247-n49-1996.htm</w:t>
              </w:r>
            </w:hyperlink>
            <w:r w:rsidRPr="00651A9F">
              <w:rPr>
                <w:color w:val="auto"/>
              </w:rPr>
              <w:t>)</w:t>
            </w:r>
            <w:r w:rsidR="006C6B71">
              <w:rPr>
                <w:color w:val="auto"/>
              </w:rPr>
              <w:t xml:space="preserve"> </w:t>
            </w:r>
          </w:p>
        </w:tc>
      </w:tr>
      <w:tr w:rsidR="00E10FFF" w14:paraId="689D0C01" w14:textId="77777777" w:rsidTr="00C674D9">
        <w:trPr>
          <w:trHeight w:val="262"/>
        </w:trPr>
        <w:tc>
          <w:tcPr>
            <w:tcW w:w="2657" w:type="dxa"/>
            <w:tcBorders>
              <w:top w:val="single" w:sz="4" w:space="0" w:color="000000"/>
              <w:left w:val="single" w:sz="12" w:space="0" w:color="000000"/>
              <w:bottom w:val="single" w:sz="4" w:space="0" w:color="000000"/>
              <w:right w:val="single" w:sz="12" w:space="0" w:color="000000"/>
            </w:tcBorders>
          </w:tcPr>
          <w:p w14:paraId="0050349D" w14:textId="77777777" w:rsidR="00CD265F" w:rsidRDefault="00CD265F" w:rsidP="00F95611">
            <w:pPr>
              <w:spacing w:after="0" w:line="259" w:lineRule="auto"/>
              <w:ind w:left="0" w:right="0" w:firstLine="0"/>
            </w:pPr>
            <w:r>
              <w:rPr>
                <w:b/>
              </w:rPr>
              <w:t xml:space="preserve">USEPA </w:t>
            </w:r>
          </w:p>
        </w:tc>
        <w:tc>
          <w:tcPr>
            <w:tcW w:w="7963" w:type="dxa"/>
            <w:tcBorders>
              <w:top w:val="single" w:sz="4" w:space="0" w:color="000000"/>
              <w:left w:val="single" w:sz="12" w:space="0" w:color="000000"/>
              <w:bottom w:val="single" w:sz="4" w:space="0" w:color="000000"/>
              <w:right w:val="single" w:sz="12" w:space="0" w:color="000000"/>
            </w:tcBorders>
          </w:tcPr>
          <w:p w14:paraId="1FFF29AD" w14:textId="77777777" w:rsidR="00CD265F" w:rsidRDefault="00CD265F" w:rsidP="00F95611">
            <w:pPr>
              <w:spacing w:after="0" w:line="259" w:lineRule="auto"/>
              <w:ind w:left="0" w:right="0" w:firstLine="0"/>
            </w:pPr>
            <w:r>
              <w:t xml:space="preserve">United States Environmental Protection Agency </w:t>
            </w:r>
          </w:p>
        </w:tc>
      </w:tr>
      <w:tr w:rsidR="00E10FFF" w14:paraId="025A39D0" w14:textId="77777777" w:rsidTr="00C674D9">
        <w:trPr>
          <w:trHeight w:val="264"/>
        </w:trPr>
        <w:tc>
          <w:tcPr>
            <w:tcW w:w="2657" w:type="dxa"/>
            <w:tcBorders>
              <w:top w:val="single" w:sz="4" w:space="0" w:color="000000"/>
              <w:left w:val="single" w:sz="12" w:space="0" w:color="000000"/>
              <w:bottom w:val="single" w:sz="4" w:space="0" w:color="000000"/>
              <w:right w:val="single" w:sz="12" w:space="0" w:color="000000"/>
            </w:tcBorders>
          </w:tcPr>
          <w:p w14:paraId="5062E8D3" w14:textId="77777777" w:rsidR="00CD265F" w:rsidRDefault="00CD265F" w:rsidP="00F95611">
            <w:pPr>
              <w:spacing w:after="0" w:line="259" w:lineRule="auto"/>
              <w:ind w:left="0" w:right="0" w:firstLine="0"/>
            </w:pPr>
            <w:r>
              <w:rPr>
                <w:b/>
              </w:rPr>
              <w:t xml:space="preserve">VOA </w:t>
            </w:r>
          </w:p>
        </w:tc>
        <w:tc>
          <w:tcPr>
            <w:tcW w:w="7963" w:type="dxa"/>
            <w:tcBorders>
              <w:top w:val="single" w:sz="4" w:space="0" w:color="000000"/>
              <w:left w:val="single" w:sz="12" w:space="0" w:color="000000"/>
              <w:bottom w:val="single" w:sz="4" w:space="0" w:color="000000"/>
              <w:right w:val="single" w:sz="12" w:space="0" w:color="000000"/>
            </w:tcBorders>
          </w:tcPr>
          <w:p w14:paraId="7D8AC189" w14:textId="77777777" w:rsidR="00CD265F" w:rsidRDefault="00CD265F" w:rsidP="00F95611">
            <w:pPr>
              <w:spacing w:after="0" w:line="259" w:lineRule="auto"/>
              <w:ind w:left="0" w:right="0" w:firstLine="0"/>
            </w:pPr>
            <w:r>
              <w:t xml:space="preserve">Volatile Organics Analysis </w:t>
            </w:r>
          </w:p>
        </w:tc>
      </w:tr>
      <w:tr w:rsidR="00E10FFF" w14:paraId="6BFD09E8" w14:textId="77777777" w:rsidTr="00C674D9">
        <w:trPr>
          <w:trHeight w:val="516"/>
        </w:trPr>
        <w:tc>
          <w:tcPr>
            <w:tcW w:w="2657" w:type="dxa"/>
            <w:tcBorders>
              <w:top w:val="single" w:sz="4" w:space="0" w:color="000000"/>
              <w:left w:val="single" w:sz="12" w:space="0" w:color="000000"/>
              <w:bottom w:val="single" w:sz="4" w:space="0" w:color="000000"/>
              <w:right w:val="single" w:sz="12" w:space="0" w:color="000000"/>
            </w:tcBorders>
          </w:tcPr>
          <w:p w14:paraId="73BE8045" w14:textId="77777777" w:rsidR="00CD265F" w:rsidRDefault="00CD265F" w:rsidP="00F95611">
            <w:pPr>
              <w:spacing w:after="0" w:line="259" w:lineRule="auto"/>
              <w:ind w:left="0" w:right="0" w:firstLine="0"/>
            </w:pPr>
            <w:r>
              <w:rPr>
                <w:b/>
              </w:rPr>
              <w:t xml:space="preserve">VOCs </w:t>
            </w:r>
          </w:p>
        </w:tc>
        <w:tc>
          <w:tcPr>
            <w:tcW w:w="7963" w:type="dxa"/>
            <w:tcBorders>
              <w:top w:val="single" w:sz="4" w:space="0" w:color="000000"/>
              <w:left w:val="single" w:sz="12" w:space="0" w:color="000000"/>
              <w:bottom w:val="single" w:sz="4" w:space="0" w:color="000000"/>
              <w:right w:val="single" w:sz="12" w:space="0" w:color="000000"/>
            </w:tcBorders>
          </w:tcPr>
          <w:p w14:paraId="6E4BD0E6" w14:textId="77777777" w:rsidR="00CD265F" w:rsidRDefault="00CD265F" w:rsidP="00F95611">
            <w:pPr>
              <w:spacing w:after="0" w:line="259" w:lineRule="auto"/>
              <w:ind w:left="0" w:right="0" w:firstLine="0"/>
            </w:pPr>
            <w:r>
              <w:t xml:space="preserve">Volatile Organic Compounds: Organic compounds amenable to the purge-and-trap procedure.  (Also called purgeable compounds.) </w:t>
            </w:r>
          </w:p>
        </w:tc>
      </w:tr>
      <w:tr w:rsidR="00E10FFF" w14:paraId="1F18BA3B" w14:textId="77777777" w:rsidTr="00C674D9">
        <w:trPr>
          <w:trHeight w:val="264"/>
        </w:trPr>
        <w:tc>
          <w:tcPr>
            <w:tcW w:w="2657" w:type="dxa"/>
            <w:tcBorders>
              <w:top w:val="single" w:sz="4" w:space="0" w:color="000000"/>
              <w:left w:val="single" w:sz="12" w:space="0" w:color="000000"/>
              <w:bottom w:val="single" w:sz="4" w:space="0" w:color="000000"/>
              <w:right w:val="single" w:sz="12" w:space="0" w:color="000000"/>
            </w:tcBorders>
          </w:tcPr>
          <w:p w14:paraId="456E1A29" w14:textId="77777777" w:rsidR="00CD265F" w:rsidRDefault="00CD265F" w:rsidP="00F95611">
            <w:pPr>
              <w:spacing w:after="0" w:line="259" w:lineRule="auto"/>
              <w:ind w:left="0" w:right="0" w:firstLine="0"/>
            </w:pPr>
            <w:r>
              <w:rPr>
                <w:b/>
              </w:rPr>
              <w:t xml:space="preserve">VPH </w:t>
            </w:r>
          </w:p>
        </w:tc>
        <w:tc>
          <w:tcPr>
            <w:tcW w:w="7963" w:type="dxa"/>
            <w:tcBorders>
              <w:top w:val="single" w:sz="4" w:space="0" w:color="000000"/>
              <w:left w:val="single" w:sz="12" w:space="0" w:color="000000"/>
              <w:bottom w:val="single" w:sz="4" w:space="0" w:color="000000"/>
              <w:right w:val="single" w:sz="12" w:space="0" w:color="000000"/>
            </w:tcBorders>
          </w:tcPr>
          <w:p w14:paraId="2BEE6A71" w14:textId="77777777" w:rsidR="00CD265F" w:rsidRDefault="00CD265F" w:rsidP="00F95611">
            <w:pPr>
              <w:spacing w:after="0" w:line="259" w:lineRule="auto"/>
              <w:ind w:left="0" w:right="0" w:firstLine="0"/>
            </w:pPr>
            <w:r>
              <w:t xml:space="preserve">Volatile Petroleum Hydrocarbons </w:t>
            </w:r>
          </w:p>
        </w:tc>
      </w:tr>
      <w:tr w:rsidR="00E10FFF" w14:paraId="3F00BB6C" w14:textId="77777777" w:rsidTr="00C674D9">
        <w:trPr>
          <w:trHeight w:val="568"/>
        </w:trPr>
        <w:tc>
          <w:tcPr>
            <w:tcW w:w="2657" w:type="dxa"/>
            <w:tcBorders>
              <w:top w:val="single" w:sz="4" w:space="0" w:color="000000"/>
              <w:left w:val="single" w:sz="12" w:space="0" w:color="000000"/>
              <w:bottom w:val="single" w:sz="12" w:space="0" w:color="000000"/>
              <w:right w:val="single" w:sz="12" w:space="0" w:color="000000"/>
            </w:tcBorders>
          </w:tcPr>
          <w:p w14:paraId="766F1DAA" w14:textId="77777777" w:rsidR="00CD265F" w:rsidRDefault="00CD265F" w:rsidP="00F95611">
            <w:pPr>
              <w:spacing w:after="0" w:line="259" w:lineRule="auto"/>
              <w:ind w:left="0" w:right="0" w:firstLine="0"/>
            </w:pPr>
            <w:r>
              <w:rPr>
                <w:b/>
              </w:rPr>
              <w:t xml:space="preserve">Wet Weight  </w:t>
            </w:r>
          </w:p>
        </w:tc>
        <w:tc>
          <w:tcPr>
            <w:tcW w:w="7963" w:type="dxa"/>
            <w:tcBorders>
              <w:top w:val="single" w:sz="4" w:space="0" w:color="000000"/>
              <w:left w:val="single" w:sz="12" w:space="0" w:color="000000"/>
              <w:bottom w:val="single" w:sz="12" w:space="0" w:color="000000"/>
              <w:right w:val="single" w:sz="12" w:space="0" w:color="000000"/>
            </w:tcBorders>
          </w:tcPr>
          <w:p w14:paraId="1FD1FE51" w14:textId="79562CC1" w:rsidR="00CD265F" w:rsidRDefault="00CD265F" w:rsidP="00F95611">
            <w:pPr>
              <w:spacing w:after="0" w:line="259" w:lineRule="auto"/>
              <w:ind w:left="0" w:right="0" w:firstLine="0"/>
            </w:pPr>
            <w:r>
              <w:t>The amount of the chemical found in subsequent analysis is expressed as the weight of chemical divided by the total weight, including any water present</w:t>
            </w:r>
            <w:r w:rsidR="008B0CD4">
              <w:t>.</w:t>
            </w:r>
          </w:p>
        </w:tc>
      </w:tr>
    </w:tbl>
    <w:p w14:paraId="346CE3FA" w14:textId="77777777" w:rsidR="00B56D50" w:rsidRDefault="00B56D50" w:rsidP="00BE4C6F">
      <w:pPr>
        <w:spacing w:after="0" w:line="259" w:lineRule="auto"/>
        <w:ind w:left="0" w:right="385" w:firstLine="0"/>
      </w:pPr>
    </w:p>
    <w:p w14:paraId="7F360C28" w14:textId="77777777" w:rsidR="002C5557" w:rsidRPr="000E1E9C" w:rsidRDefault="002C5557" w:rsidP="00017867">
      <w:pPr>
        <w:spacing w:after="0" w:line="259" w:lineRule="auto"/>
        <w:ind w:left="0" w:right="0" w:firstLine="0"/>
        <w:rPr>
          <w:bCs/>
        </w:rPr>
      </w:pPr>
    </w:p>
    <w:p w14:paraId="577D4B4C" w14:textId="77777777" w:rsidR="002C5557" w:rsidRPr="000E1E9C" w:rsidRDefault="002C5557" w:rsidP="00017867">
      <w:pPr>
        <w:spacing w:after="0" w:line="259" w:lineRule="auto"/>
        <w:ind w:left="0" w:right="0" w:firstLine="0"/>
        <w:rPr>
          <w:bCs/>
        </w:rPr>
      </w:pPr>
    </w:p>
    <w:p w14:paraId="7CBE8AAE" w14:textId="77777777" w:rsidR="002C5557" w:rsidRPr="000E1E9C" w:rsidRDefault="002C5557" w:rsidP="00017867">
      <w:pPr>
        <w:spacing w:after="0" w:line="259" w:lineRule="auto"/>
        <w:ind w:left="0" w:right="0" w:firstLine="0"/>
        <w:rPr>
          <w:bCs/>
        </w:rPr>
      </w:pPr>
    </w:p>
    <w:p w14:paraId="0B78C15A" w14:textId="77777777" w:rsidR="006E32D8" w:rsidRPr="000E1E9C" w:rsidRDefault="006E32D8" w:rsidP="006E32D8">
      <w:pPr>
        <w:spacing w:after="0" w:line="259" w:lineRule="auto"/>
        <w:ind w:left="0" w:right="0" w:firstLine="0"/>
        <w:rPr>
          <w:bCs/>
        </w:rPr>
      </w:pPr>
    </w:p>
    <w:p w14:paraId="329B610B" w14:textId="77777777" w:rsidR="00993DB6" w:rsidRPr="000E1E9C" w:rsidRDefault="00993DB6" w:rsidP="006E32D8">
      <w:pPr>
        <w:spacing w:after="0" w:line="259" w:lineRule="auto"/>
        <w:ind w:left="0" w:right="0" w:firstLine="0"/>
        <w:rPr>
          <w:bCs/>
        </w:rPr>
      </w:pPr>
    </w:p>
    <w:p w14:paraId="7B40141B" w14:textId="77777777" w:rsidR="00993DB6" w:rsidRPr="000E1E9C" w:rsidRDefault="00993DB6" w:rsidP="006E32D8">
      <w:pPr>
        <w:spacing w:after="0" w:line="259" w:lineRule="auto"/>
        <w:ind w:left="0" w:right="0" w:firstLine="0"/>
        <w:rPr>
          <w:bCs/>
        </w:rPr>
      </w:pPr>
    </w:p>
    <w:p w14:paraId="60F76E08" w14:textId="77777777" w:rsidR="00EF1BB3" w:rsidRPr="000E1E9C" w:rsidRDefault="00EF1BB3" w:rsidP="006E32D8">
      <w:pPr>
        <w:spacing w:after="0" w:line="259" w:lineRule="auto"/>
        <w:ind w:left="0" w:right="0" w:firstLine="0"/>
        <w:rPr>
          <w:bCs/>
        </w:rPr>
      </w:pPr>
    </w:p>
    <w:p w14:paraId="1081CA22" w14:textId="77777777" w:rsidR="00EF1BB3" w:rsidRPr="000E1E9C" w:rsidRDefault="00EF1BB3" w:rsidP="006E32D8">
      <w:pPr>
        <w:spacing w:after="0" w:line="259" w:lineRule="auto"/>
        <w:ind w:left="0" w:right="0" w:firstLine="0"/>
        <w:rPr>
          <w:bCs/>
        </w:rPr>
      </w:pPr>
    </w:p>
    <w:p w14:paraId="11E33A4C" w14:textId="77777777" w:rsidR="00EF1BB3" w:rsidRDefault="00EF1BB3" w:rsidP="006E32D8">
      <w:pPr>
        <w:spacing w:after="0" w:line="259" w:lineRule="auto"/>
        <w:ind w:left="0" w:right="0" w:firstLine="0"/>
        <w:rPr>
          <w:bCs/>
        </w:rPr>
      </w:pPr>
    </w:p>
    <w:p w14:paraId="1C1025CB" w14:textId="77777777" w:rsidR="00401974" w:rsidRPr="000E1E9C" w:rsidRDefault="00401974" w:rsidP="006E32D8">
      <w:pPr>
        <w:spacing w:after="0" w:line="259" w:lineRule="auto"/>
        <w:ind w:left="0" w:right="0" w:firstLine="0"/>
        <w:rPr>
          <w:bCs/>
        </w:rPr>
      </w:pPr>
    </w:p>
    <w:p w14:paraId="184A101E" w14:textId="77777777" w:rsidR="00EF1BB3" w:rsidRPr="000E1E9C" w:rsidRDefault="00EF1BB3" w:rsidP="006E32D8">
      <w:pPr>
        <w:spacing w:after="0" w:line="259" w:lineRule="auto"/>
        <w:ind w:left="0" w:right="0" w:firstLine="0"/>
        <w:rPr>
          <w:bCs/>
        </w:rPr>
      </w:pPr>
    </w:p>
    <w:p w14:paraId="2EA8A3F2" w14:textId="77777777" w:rsidR="00EF1BB3" w:rsidRPr="000E1E9C" w:rsidRDefault="00EF1BB3" w:rsidP="006E32D8">
      <w:pPr>
        <w:spacing w:after="0" w:line="259" w:lineRule="auto"/>
        <w:ind w:left="0" w:right="0" w:firstLine="0"/>
        <w:rPr>
          <w:bCs/>
        </w:rPr>
      </w:pPr>
    </w:p>
    <w:p w14:paraId="0156F81B" w14:textId="77777777" w:rsidR="00EF1BB3" w:rsidRPr="000E1E9C" w:rsidRDefault="00EF1BB3" w:rsidP="006E32D8">
      <w:pPr>
        <w:spacing w:after="0" w:line="259" w:lineRule="auto"/>
        <w:ind w:left="0" w:right="0" w:firstLine="0"/>
        <w:rPr>
          <w:bCs/>
        </w:rPr>
      </w:pPr>
    </w:p>
    <w:p w14:paraId="37831636" w14:textId="77777777" w:rsidR="00EF1BB3" w:rsidRPr="000E1E9C" w:rsidRDefault="00EF1BB3" w:rsidP="006E32D8">
      <w:pPr>
        <w:spacing w:after="0" w:line="259" w:lineRule="auto"/>
        <w:ind w:left="0" w:right="0" w:firstLine="0"/>
        <w:rPr>
          <w:bCs/>
        </w:rPr>
      </w:pPr>
    </w:p>
    <w:p w14:paraId="2F53AC6A" w14:textId="77777777" w:rsidR="00EF1BB3" w:rsidRPr="000E1E9C" w:rsidRDefault="00EF1BB3" w:rsidP="006E32D8">
      <w:pPr>
        <w:spacing w:after="0" w:line="259" w:lineRule="auto"/>
        <w:ind w:left="0" w:right="0" w:firstLine="0"/>
        <w:rPr>
          <w:bCs/>
        </w:rPr>
      </w:pPr>
    </w:p>
    <w:p w14:paraId="4A8EC595" w14:textId="77777777" w:rsidR="00EF1BB3" w:rsidRPr="000E1E9C" w:rsidRDefault="00EF1BB3" w:rsidP="006E32D8">
      <w:pPr>
        <w:spacing w:after="0" w:line="259" w:lineRule="auto"/>
        <w:ind w:left="0" w:right="0" w:firstLine="0"/>
        <w:rPr>
          <w:bCs/>
        </w:rPr>
      </w:pPr>
    </w:p>
    <w:p w14:paraId="3324FC77" w14:textId="77777777" w:rsidR="00EF1BB3" w:rsidRPr="000E1E9C" w:rsidRDefault="00EF1BB3" w:rsidP="006E32D8">
      <w:pPr>
        <w:spacing w:after="0" w:line="259" w:lineRule="auto"/>
        <w:ind w:left="0" w:right="0" w:firstLine="0"/>
        <w:rPr>
          <w:bCs/>
        </w:rPr>
      </w:pPr>
    </w:p>
    <w:p w14:paraId="126923AF" w14:textId="77777777" w:rsidR="00EF1BB3" w:rsidRPr="000E1E9C" w:rsidRDefault="00EF1BB3" w:rsidP="006E32D8">
      <w:pPr>
        <w:spacing w:after="0" w:line="259" w:lineRule="auto"/>
        <w:ind w:left="0" w:right="0" w:firstLine="0"/>
        <w:rPr>
          <w:bCs/>
        </w:rPr>
      </w:pPr>
    </w:p>
    <w:p w14:paraId="340A6C36" w14:textId="77777777" w:rsidR="00EF1BB3" w:rsidRPr="000E1E9C" w:rsidRDefault="00EF1BB3" w:rsidP="006E32D8">
      <w:pPr>
        <w:spacing w:after="0" w:line="259" w:lineRule="auto"/>
        <w:ind w:left="0" w:right="0" w:firstLine="0"/>
        <w:rPr>
          <w:bCs/>
        </w:rPr>
      </w:pPr>
    </w:p>
    <w:p w14:paraId="41E0F66F" w14:textId="77777777" w:rsidR="00EF1BB3" w:rsidRDefault="00EF1BB3" w:rsidP="006E32D8">
      <w:pPr>
        <w:spacing w:after="0" w:line="259" w:lineRule="auto"/>
        <w:ind w:left="0" w:right="0" w:firstLine="0"/>
        <w:rPr>
          <w:bCs/>
        </w:rPr>
      </w:pPr>
    </w:p>
    <w:p w14:paraId="3E992646" w14:textId="77777777" w:rsidR="00A41462" w:rsidRDefault="00A41462" w:rsidP="006E32D8">
      <w:pPr>
        <w:spacing w:after="0" w:line="259" w:lineRule="auto"/>
        <w:ind w:left="0" w:right="0" w:firstLine="0"/>
        <w:rPr>
          <w:bCs/>
        </w:rPr>
      </w:pPr>
    </w:p>
    <w:p w14:paraId="7F7345C6" w14:textId="77777777" w:rsidR="00A41462" w:rsidRDefault="00A41462" w:rsidP="006E32D8">
      <w:pPr>
        <w:spacing w:after="0" w:line="259" w:lineRule="auto"/>
        <w:ind w:left="0" w:right="0" w:firstLine="0"/>
        <w:rPr>
          <w:bCs/>
        </w:rPr>
      </w:pPr>
    </w:p>
    <w:p w14:paraId="2E9318E5" w14:textId="77777777" w:rsidR="00A41462" w:rsidRDefault="00A41462" w:rsidP="006E32D8">
      <w:pPr>
        <w:spacing w:after="0" w:line="259" w:lineRule="auto"/>
        <w:ind w:left="0" w:right="0" w:firstLine="0"/>
        <w:rPr>
          <w:bCs/>
        </w:rPr>
      </w:pPr>
    </w:p>
    <w:p w14:paraId="227829BD" w14:textId="77777777" w:rsidR="00A41462" w:rsidRDefault="00A41462" w:rsidP="006E32D8">
      <w:pPr>
        <w:spacing w:after="0" w:line="259" w:lineRule="auto"/>
        <w:ind w:left="0" w:right="0" w:firstLine="0"/>
        <w:rPr>
          <w:bCs/>
        </w:rPr>
      </w:pPr>
    </w:p>
    <w:p w14:paraId="43069F62" w14:textId="77777777" w:rsidR="00A41462" w:rsidRDefault="00A41462" w:rsidP="006E32D8">
      <w:pPr>
        <w:spacing w:after="0" w:line="259" w:lineRule="auto"/>
        <w:ind w:left="0" w:right="0" w:firstLine="0"/>
        <w:rPr>
          <w:bCs/>
        </w:rPr>
      </w:pPr>
    </w:p>
    <w:p w14:paraId="5A2D4DD0" w14:textId="77777777" w:rsidR="00A41462" w:rsidRDefault="00A41462" w:rsidP="006E32D8">
      <w:pPr>
        <w:spacing w:after="0" w:line="259" w:lineRule="auto"/>
        <w:ind w:left="0" w:right="0" w:firstLine="0"/>
        <w:rPr>
          <w:bCs/>
        </w:rPr>
      </w:pPr>
    </w:p>
    <w:p w14:paraId="6AA1511B" w14:textId="77777777" w:rsidR="00A41462" w:rsidRDefault="00A41462" w:rsidP="006E32D8">
      <w:pPr>
        <w:spacing w:after="0" w:line="259" w:lineRule="auto"/>
        <w:ind w:left="0" w:right="0" w:firstLine="0"/>
        <w:rPr>
          <w:bCs/>
        </w:rPr>
      </w:pPr>
    </w:p>
    <w:p w14:paraId="38ED52B2" w14:textId="77777777" w:rsidR="00A41462" w:rsidRPr="000E1E9C" w:rsidRDefault="00A41462" w:rsidP="006E32D8">
      <w:pPr>
        <w:spacing w:after="0" w:line="259" w:lineRule="auto"/>
        <w:ind w:left="0" w:right="0" w:firstLine="0"/>
        <w:rPr>
          <w:bCs/>
        </w:rPr>
      </w:pPr>
    </w:p>
    <w:p w14:paraId="4AE59176" w14:textId="77777777" w:rsidR="00EF1BB3" w:rsidRPr="000E1E9C" w:rsidRDefault="00EF1BB3" w:rsidP="006E32D8">
      <w:pPr>
        <w:spacing w:after="0" w:line="259" w:lineRule="auto"/>
        <w:ind w:left="0" w:right="0" w:firstLine="0"/>
        <w:rPr>
          <w:bCs/>
        </w:rPr>
      </w:pPr>
    </w:p>
    <w:p w14:paraId="7EFCADC5" w14:textId="77777777" w:rsidR="00EF1BB3" w:rsidRPr="000E1E9C" w:rsidRDefault="00EF1BB3" w:rsidP="006E32D8">
      <w:pPr>
        <w:spacing w:after="0" w:line="259" w:lineRule="auto"/>
        <w:ind w:left="0" w:right="0" w:firstLine="0"/>
        <w:rPr>
          <w:bCs/>
        </w:rPr>
      </w:pPr>
    </w:p>
    <w:p w14:paraId="11282B30" w14:textId="7812686A" w:rsidR="00B56D50" w:rsidRDefault="001C3C42" w:rsidP="00090B55">
      <w:pPr>
        <w:spacing w:after="0" w:line="259" w:lineRule="auto"/>
        <w:ind w:left="0" w:right="-301" w:firstLine="0"/>
        <w:jc w:val="center"/>
      </w:pPr>
      <w:r>
        <w:rPr>
          <w:rFonts w:ascii="Calibri" w:eastAsia="Calibri" w:hAnsi="Calibri" w:cs="Calibri"/>
          <w:noProof/>
        </w:rPr>
        <w:lastRenderedPageBreak/>
        <mc:AlternateContent>
          <mc:Choice Requires="wpg">
            <w:drawing>
              <wp:inline distT="0" distB="0" distL="0" distR="0" wp14:anchorId="4F5E8F09" wp14:editId="43626939">
                <wp:extent cx="6400800" cy="54864"/>
                <wp:effectExtent l="0" t="0" r="0" b="2540"/>
                <wp:docPr id="606094" name="Group 606094"/>
                <wp:cNvGraphicFramePr/>
                <a:graphic xmlns:a="http://schemas.openxmlformats.org/drawingml/2006/main">
                  <a:graphicData uri="http://schemas.microsoft.com/office/word/2010/wordprocessingGroup">
                    <wpg:wgp>
                      <wpg:cNvGrpSpPr/>
                      <wpg:grpSpPr>
                        <a:xfrm>
                          <a:off x="0" y="0"/>
                          <a:ext cx="6400800" cy="54864"/>
                          <a:chOff x="0" y="0"/>
                          <a:chExt cx="6400800" cy="57150"/>
                        </a:xfrm>
                      </wpg:grpSpPr>
                      <wps:wsp>
                        <wps:cNvPr id="899771" name="Shape 899771"/>
                        <wps:cNvSpPr/>
                        <wps:spPr>
                          <a:xfrm>
                            <a:off x="0" y="45720"/>
                            <a:ext cx="6400800" cy="11430"/>
                          </a:xfrm>
                          <a:custGeom>
                            <a:avLst/>
                            <a:gdLst/>
                            <a:ahLst/>
                            <a:cxnLst/>
                            <a:rect l="0" t="0" r="0" b="0"/>
                            <a:pathLst>
                              <a:path w="6400800" h="11430">
                                <a:moveTo>
                                  <a:pt x="0" y="0"/>
                                </a:moveTo>
                                <a:lnTo>
                                  <a:pt x="6400800" y="0"/>
                                </a:lnTo>
                                <a:lnTo>
                                  <a:pt x="6400800" y="11430"/>
                                </a:lnTo>
                                <a:lnTo>
                                  <a:pt x="0" y="114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9772" name="Shape 899772"/>
                        <wps:cNvSpPr/>
                        <wps:spPr>
                          <a:xfrm>
                            <a:off x="0" y="0"/>
                            <a:ext cx="6400800" cy="34290"/>
                          </a:xfrm>
                          <a:custGeom>
                            <a:avLst/>
                            <a:gdLst/>
                            <a:ahLst/>
                            <a:cxnLst/>
                            <a:rect l="0" t="0" r="0" b="0"/>
                            <a:pathLst>
                              <a:path w="6400800" h="34290">
                                <a:moveTo>
                                  <a:pt x="0" y="0"/>
                                </a:moveTo>
                                <a:lnTo>
                                  <a:pt x="6400800" y="0"/>
                                </a:lnTo>
                                <a:lnTo>
                                  <a:pt x="6400800" y="34290"/>
                                </a:lnTo>
                                <a:lnTo>
                                  <a:pt x="0" y="3429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rto="http://schemas.microsoft.com/office/word/2006/arto">
            <w:pict>
              <v:group w14:anchorId="0A52CF42" id="Group 606094" o:spid="_x0000_s1026" style="width:7in;height:4.3pt;mso-position-horizontal-relative:char;mso-position-vertical-relative:line" coordsize="64008,5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">
                <v:shape id="Shape 899771" o:spid="_x0000_s1027" style="position:absolute;top:457;width:64008;height:114;visibility:visible;mso-wrap-style:square;v-text-anchor:top" coordsize="6400800,114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" path="m,l6400800,r,11430l,11430,,e" fillcolor="black" stroked="f" strokeweight="0">
                  <v:stroke miterlimit="83231f" joinstyle="miter"/>
                  <v:path arrowok="t" textboxrect="0,0,6400800,11430"/>
                </v:shape>
                <v:shape id="Shape 899772" o:spid="_x0000_s1028" style="position:absolute;width:64008;height:342;visibility:visible;mso-wrap-style:square;v-text-anchor:top" coordsize="6400800,34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" path="m,l6400800,r,34290l,34290,,e" fillcolor="black" stroked="f" strokeweight="0">
                  <v:stroke miterlimit="83231f" joinstyle="miter"/>
                  <v:path arrowok="t" textboxrect="0,0,6400800,34290"/>
                </v:shape>
                <w10:anchorlock/>
              </v:group>
            </w:pict>
          </mc:Fallback>
        </mc:AlternateContent>
      </w:r>
    </w:p>
    <w:p w14:paraId="65144DA8" w14:textId="77777777" w:rsidR="003B3356" w:rsidRPr="0046319A" w:rsidRDefault="003B3356" w:rsidP="004B7CA0">
      <w:pPr>
        <w:pStyle w:val="Heading4"/>
        <w:spacing w:after="0"/>
        <w:ind w:left="1022" w:right="533" w:hanging="14"/>
        <w:jc w:val="center"/>
        <w:rPr>
          <w:sz w:val="10"/>
          <w:szCs w:val="10"/>
        </w:rPr>
      </w:pPr>
    </w:p>
    <w:p w14:paraId="4D0D7AC6" w14:textId="45E45EC4" w:rsidR="00B56D50" w:rsidRDefault="001C3C42" w:rsidP="004B7CA0">
      <w:pPr>
        <w:pStyle w:val="Heading4"/>
        <w:spacing w:after="0"/>
        <w:ind w:left="1022" w:right="533" w:hanging="14"/>
        <w:jc w:val="center"/>
      </w:pPr>
      <w:r>
        <w:t xml:space="preserve">III. PROTOCOL ANALYTE LISTS </w:t>
      </w:r>
    </w:p>
    <w:p w14:paraId="192BC976" w14:textId="094026FD" w:rsidR="00B56D50" w:rsidRDefault="001C3C42" w:rsidP="006B1300">
      <w:pPr>
        <w:spacing w:after="0" w:line="259" w:lineRule="auto"/>
        <w:ind w:left="0" w:right="-301" w:firstLine="0"/>
        <w:jc w:val="center"/>
      </w:pPr>
      <w:r>
        <w:rPr>
          <w:rFonts w:ascii="Calibri" w:eastAsia="Calibri" w:hAnsi="Calibri" w:cs="Calibri"/>
          <w:noProof/>
        </w:rPr>
        <mc:AlternateContent>
          <mc:Choice Requires="wpg">
            <w:drawing>
              <wp:inline distT="0" distB="0" distL="0" distR="0" wp14:anchorId="5B580075" wp14:editId="5A166749">
                <wp:extent cx="6400800" cy="57150"/>
                <wp:effectExtent l="0" t="0" r="0" b="0"/>
                <wp:docPr id="606095" name="Group 606095"/>
                <wp:cNvGraphicFramePr/>
                <a:graphic xmlns:a="http://schemas.openxmlformats.org/drawingml/2006/main">
                  <a:graphicData uri="http://schemas.microsoft.com/office/word/2010/wordprocessingGroup">
                    <wpg:wgp>
                      <wpg:cNvGrpSpPr/>
                      <wpg:grpSpPr>
                        <a:xfrm>
                          <a:off x="0" y="0"/>
                          <a:ext cx="6400800" cy="57150"/>
                          <a:chOff x="0" y="0"/>
                          <a:chExt cx="6400800" cy="57150"/>
                        </a:xfrm>
                      </wpg:grpSpPr>
                      <wps:wsp>
                        <wps:cNvPr id="899773" name="Shape 899773"/>
                        <wps:cNvSpPr/>
                        <wps:spPr>
                          <a:xfrm>
                            <a:off x="0" y="22860"/>
                            <a:ext cx="6400800" cy="34290"/>
                          </a:xfrm>
                          <a:custGeom>
                            <a:avLst/>
                            <a:gdLst/>
                            <a:ahLst/>
                            <a:cxnLst/>
                            <a:rect l="0" t="0" r="0" b="0"/>
                            <a:pathLst>
                              <a:path w="6400800" h="34290">
                                <a:moveTo>
                                  <a:pt x="0" y="0"/>
                                </a:moveTo>
                                <a:lnTo>
                                  <a:pt x="6400800" y="0"/>
                                </a:lnTo>
                                <a:lnTo>
                                  <a:pt x="6400800" y="34290"/>
                                </a:lnTo>
                                <a:lnTo>
                                  <a:pt x="0" y="3429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9774" name="Shape 899774"/>
                        <wps:cNvSpPr/>
                        <wps:spPr>
                          <a:xfrm>
                            <a:off x="0" y="0"/>
                            <a:ext cx="6400800" cy="11430"/>
                          </a:xfrm>
                          <a:custGeom>
                            <a:avLst/>
                            <a:gdLst/>
                            <a:ahLst/>
                            <a:cxnLst/>
                            <a:rect l="0" t="0" r="0" b="0"/>
                            <a:pathLst>
                              <a:path w="6400800" h="11430">
                                <a:moveTo>
                                  <a:pt x="0" y="0"/>
                                </a:moveTo>
                                <a:lnTo>
                                  <a:pt x="6400800" y="0"/>
                                </a:lnTo>
                                <a:lnTo>
                                  <a:pt x="6400800" y="11430"/>
                                </a:lnTo>
                                <a:lnTo>
                                  <a:pt x="0" y="114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rto="http://schemas.microsoft.com/office/word/2006/arto">
            <w:pict>
              <v:group w14:anchorId="5C3BC7F7" id="Group 606095" o:spid="_x0000_s1026" style="width:7in;height:4.5pt;mso-position-horizontal-relative:char;mso-position-vertical-relative:line" coordsize="64008,5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">
                <v:shape id="Shape 899773" o:spid="_x0000_s1027" style="position:absolute;top:228;width:64008;height:343;visibility:visible;mso-wrap-style:square;v-text-anchor:top" coordsize="6400800,34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" path="m,l6400800,r,34290l,34290,,e" fillcolor="black" stroked="f" strokeweight="0">
                  <v:stroke miterlimit="83231f" joinstyle="miter"/>
                  <v:path arrowok="t" textboxrect="0,0,6400800,34290"/>
                </v:shape>
                <v:shape id="Shape 899774" o:spid="_x0000_s1028" style="position:absolute;width:64008;height:114;visibility:visible;mso-wrap-style:square;v-text-anchor:top" coordsize="6400800,114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" path="m,l6400800,r,11430l,11430,,e" fillcolor="black" stroked="f" strokeweight="0">
                  <v:stroke miterlimit="83231f" joinstyle="miter"/>
                  <v:path arrowok="t" textboxrect="0,0,6400800,11430"/>
                </v:shape>
                <w10:anchorlock/>
              </v:group>
            </w:pict>
          </mc:Fallback>
        </mc:AlternateContent>
      </w:r>
    </w:p>
    <w:p w14:paraId="3FDC6AF1" w14:textId="77777777" w:rsidR="00B56D50" w:rsidRDefault="001C3C42">
      <w:pPr>
        <w:spacing w:after="0" w:line="259" w:lineRule="auto"/>
        <w:ind w:left="538" w:right="0" w:firstLine="0"/>
        <w:jc w:val="center"/>
      </w:pPr>
      <w:r>
        <w:rPr>
          <w:b/>
        </w:rPr>
        <w:t xml:space="preserve"> </w:t>
      </w:r>
    </w:p>
    <w:p w14:paraId="05FF6670" w14:textId="77777777" w:rsidR="00B56D50" w:rsidRDefault="001C3C42" w:rsidP="00FC592E">
      <w:pPr>
        <w:pStyle w:val="Heading3"/>
        <w:spacing w:after="0" w:line="259" w:lineRule="auto"/>
        <w:ind w:left="0"/>
      </w:pPr>
      <w:r>
        <w:rPr>
          <w:u w:val="single" w:color="000000"/>
        </w:rPr>
        <w:t>INTRODUCTION</w:t>
      </w:r>
      <w:r>
        <w:t xml:space="preserve"> </w:t>
      </w:r>
    </w:p>
    <w:p w14:paraId="320983B8" w14:textId="13D3253E" w:rsidR="00B56D50" w:rsidRDefault="00B56D50">
      <w:pPr>
        <w:spacing w:after="0" w:line="259" w:lineRule="auto"/>
        <w:ind w:left="899" w:right="0" w:firstLine="0"/>
        <w:jc w:val="center"/>
      </w:pPr>
    </w:p>
    <w:p w14:paraId="320F0A0E" w14:textId="446BC40C" w:rsidR="00B56D50" w:rsidRDefault="001C3C42">
      <w:pPr>
        <w:pStyle w:val="Heading4"/>
        <w:spacing w:after="14" w:line="248" w:lineRule="auto"/>
        <w:ind w:left="1024" w:right="530"/>
        <w:jc w:val="center"/>
      </w:pPr>
      <w:r>
        <w:t>Analyte and Method Requirements</w:t>
      </w:r>
    </w:p>
    <w:p w14:paraId="06017742" w14:textId="754CC9DC" w:rsidR="00B56D50" w:rsidRDefault="00B56D50">
      <w:pPr>
        <w:spacing w:after="0" w:line="259" w:lineRule="auto"/>
        <w:ind w:left="538" w:right="0" w:firstLine="0"/>
        <w:jc w:val="center"/>
      </w:pPr>
    </w:p>
    <w:p w14:paraId="0148CCFD" w14:textId="77777777" w:rsidR="00B56D50" w:rsidRPr="00401974" w:rsidRDefault="001C3C42" w:rsidP="00E03A98">
      <w:pPr>
        <w:pStyle w:val="Heading2"/>
        <w:spacing w:after="0"/>
        <w:ind w:right="0"/>
        <w:rPr>
          <w:sz w:val="22"/>
        </w:rPr>
      </w:pPr>
      <w:r w:rsidRPr="00401974">
        <w:rPr>
          <w:sz w:val="22"/>
        </w:rPr>
        <w:t xml:space="preserve">The Contractor shall adhere to the method requirements on the following pages which include the Analyte Lists for each of the Protocols. </w:t>
      </w:r>
    </w:p>
    <w:p w14:paraId="60ECA740" w14:textId="630F7CA0" w:rsidR="00B56D50" w:rsidRDefault="00B56D50" w:rsidP="00883A8A"/>
    <w:p w14:paraId="35DD2487" w14:textId="7610E1E7" w:rsidR="00B56D50" w:rsidRDefault="001C3C42" w:rsidP="00E03A98">
      <w:pPr>
        <w:spacing w:after="0"/>
        <w:ind w:right="0"/>
      </w:pPr>
      <w:r>
        <w:t>SW-846</w:t>
      </w:r>
      <w:r w:rsidR="00BC58FF">
        <w:t>,</w:t>
      </w:r>
      <w:r>
        <w:t xml:space="preserve"> Drinking Water</w:t>
      </w:r>
      <w:r w:rsidR="003755E6">
        <w:t>,</w:t>
      </w:r>
      <w:r w:rsidR="00DF3C99">
        <w:t xml:space="preserve"> </w:t>
      </w:r>
      <w:r w:rsidR="006F32EA">
        <w:t>Air</w:t>
      </w:r>
      <w:r w:rsidR="000D3507">
        <w:t xml:space="preserve">, </w:t>
      </w:r>
      <w:r w:rsidR="005968B8">
        <w:t xml:space="preserve">SAS, </w:t>
      </w:r>
      <w:r w:rsidR="003030D5">
        <w:t>AAS</w:t>
      </w:r>
      <w:r w:rsidR="006F095D">
        <w:t xml:space="preserve">, </w:t>
      </w:r>
      <w:r w:rsidR="000D3507">
        <w:t>and PFAS</w:t>
      </w:r>
      <w:r>
        <w:t xml:space="preserve">.  Each Protocol consists of several Analyte Groups.  </w:t>
      </w:r>
      <w:r w:rsidR="007A1C2A">
        <w:t>T</w:t>
      </w:r>
      <w:r>
        <w:t xml:space="preserve">he required Analyte Groups within </w:t>
      </w:r>
      <w:r w:rsidR="00CD6C6E">
        <w:t xml:space="preserve">the </w:t>
      </w:r>
      <w:r w:rsidR="00A74235">
        <w:t>SW-846</w:t>
      </w:r>
      <w:r w:rsidR="00CB057A">
        <w:t>,</w:t>
      </w:r>
      <w:r w:rsidR="00A74235">
        <w:t xml:space="preserve"> Drinking Water </w:t>
      </w:r>
      <w:r>
        <w:t>Protocol</w:t>
      </w:r>
      <w:r w:rsidR="00CD6C6E">
        <w:t>s</w:t>
      </w:r>
      <w:r>
        <w:t>, Special Analytical Services (SAS) Analyte Groups</w:t>
      </w:r>
      <w:r w:rsidR="000A6A30">
        <w:t xml:space="preserve">, </w:t>
      </w:r>
      <w:r w:rsidR="00DF4629">
        <w:t xml:space="preserve">PFAS </w:t>
      </w:r>
      <w:r>
        <w:t>are provided.  A Contractor is not required to have the capability to perform the SAS</w:t>
      </w:r>
      <w:r w:rsidR="00330ABB">
        <w:t xml:space="preserve"> and </w:t>
      </w:r>
      <w:r w:rsidR="00C17C67">
        <w:t>Additional Analytical Services (</w:t>
      </w:r>
      <w:r w:rsidR="00330ABB">
        <w:t>AAS</w:t>
      </w:r>
      <w:r w:rsidR="00C17C67">
        <w:t>)</w:t>
      </w:r>
      <w:r>
        <w:t xml:space="preserve"> analyses </w:t>
      </w:r>
      <w:proofErr w:type="gramStart"/>
      <w:r>
        <w:t>in order to</w:t>
      </w:r>
      <w:proofErr w:type="gramEnd"/>
      <w:r>
        <w:t xml:space="preserve"> bid on a particular protocol.</w:t>
      </w:r>
    </w:p>
    <w:p w14:paraId="7FCF2DAD" w14:textId="3BFD5F98" w:rsidR="00B56D50" w:rsidRDefault="00B56D50">
      <w:pPr>
        <w:spacing w:after="0" w:line="259" w:lineRule="auto"/>
        <w:ind w:left="540" w:right="0" w:firstLine="0"/>
      </w:pPr>
    </w:p>
    <w:p w14:paraId="4A182F7F" w14:textId="53AC542C" w:rsidR="00B56D50" w:rsidRDefault="001C3C42" w:rsidP="00E03A98">
      <w:pPr>
        <w:spacing w:after="0"/>
        <w:ind w:right="0"/>
      </w:pPr>
      <w:r>
        <w:t xml:space="preserve">When a particular Analyte Group is requested for analysis, all analytes listed in that Group must be run and reported unless the Contractor is instructed to omit certain analytes.  For Analyte Groups that have one Required Method listed, analysis </w:t>
      </w:r>
      <w:r>
        <w:rPr>
          <w:u w:val="single" w:color="000000"/>
        </w:rPr>
        <w:t>must</w:t>
      </w:r>
      <w:r>
        <w:t xml:space="preserve"> be performed by that method.  For Analyte </w:t>
      </w:r>
      <w:proofErr w:type="gramStart"/>
      <w:r>
        <w:t>Groups</w:t>
      </w:r>
      <w:proofErr w:type="gramEnd"/>
      <w:r>
        <w:t xml:space="preserve"> in which </w:t>
      </w:r>
      <w:r w:rsidR="00A74235">
        <w:t>more than one</w:t>
      </w:r>
      <w:r>
        <w:t xml:space="preserve"> Acceptable Method</w:t>
      </w:r>
      <w:r w:rsidR="00A74235">
        <w:t xml:space="preserve"> is</w:t>
      </w:r>
      <w:r>
        <w:t xml:space="preserve"> listed, any of the listed methods appropriate to the sample matrix and required Reporting Limit (RL) may be selected. </w:t>
      </w:r>
    </w:p>
    <w:p w14:paraId="1CE2F979" w14:textId="77777777" w:rsidR="00B56D50" w:rsidRDefault="001C3C42" w:rsidP="00E03A98">
      <w:pPr>
        <w:ind w:right="0"/>
      </w:pPr>
      <w:r>
        <w:t xml:space="preserve"> </w:t>
      </w:r>
    </w:p>
    <w:p w14:paraId="4A8964BB" w14:textId="42A3DE0C" w:rsidR="00B56D50" w:rsidRDefault="001C3C42" w:rsidP="00E03A98">
      <w:pPr>
        <w:spacing w:after="0"/>
        <w:ind w:right="0"/>
      </w:pPr>
      <w:r>
        <w:t>The Reporting Limits (RLs) listed for each analyte in a particular matrix must be met unless it is technically impossible to do so.  In such cases, a sufficient technical explanation must be provided in the Case Narrative accompanying the data package.</w:t>
      </w:r>
    </w:p>
    <w:p w14:paraId="5443EF36" w14:textId="77777777" w:rsidR="00DF50B3" w:rsidRDefault="00DF50B3" w:rsidP="00E03A98"/>
    <w:p w14:paraId="5F87D0B6" w14:textId="7870F444" w:rsidR="00DF50B3" w:rsidRDefault="00356904" w:rsidP="00E03A98">
      <w:pPr>
        <w:spacing w:after="0"/>
        <w:ind w:right="0"/>
      </w:pPr>
      <w:r>
        <w:t xml:space="preserve">In the case of PFAS Protocols, </w:t>
      </w:r>
      <w:r w:rsidR="00F4326B">
        <w:t xml:space="preserve">the </w:t>
      </w:r>
      <w:r>
        <w:t>RLs</w:t>
      </w:r>
      <w:r w:rsidR="008B1A76">
        <w:t>/MDLs/LOQs</w:t>
      </w:r>
      <w:r>
        <w:t xml:space="preserve"> provided </w:t>
      </w:r>
      <w:r w:rsidR="00E8371D">
        <w:t xml:space="preserve">in a particular </w:t>
      </w:r>
      <w:r w:rsidR="000E1119">
        <w:t xml:space="preserve">analytical </w:t>
      </w:r>
      <w:r w:rsidR="00E8371D">
        <w:t>method must be met</w:t>
      </w:r>
      <w:r w:rsidR="00CE2BE4">
        <w:t xml:space="preserve"> unless it is </w:t>
      </w:r>
      <w:r w:rsidR="00E8371D">
        <w:t>technically impossible to do so.</w:t>
      </w:r>
      <w:r w:rsidR="00CE2BE4">
        <w:t xml:space="preserve">  </w:t>
      </w:r>
      <w:r w:rsidR="000E1119">
        <w:t>If the</w:t>
      </w:r>
      <w:r w:rsidR="00E51810">
        <w:t xml:space="preserve"> analytical method does not indicate RLs/MDLs/LOQs</w:t>
      </w:r>
      <w:r w:rsidR="00986276">
        <w:t xml:space="preserve">, the laboratory should </w:t>
      </w:r>
      <w:r w:rsidR="00FC6940">
        <w:t xml:space="preserve">provide and work with the State </w:t>
      </w:r>
      <w:r w:rsidR="00F83702">
        <w:t xml:space="preserve">to determine applicability and acceptability of the laboratory’s </w:t>
      </w:r>
      <w:r w:rsidR="00CE5C4B">
        <w:t>developed RLs/MDLs/LOQs.</w:t>
      </w:r>
      <w:r w:rsidR="000E1119">
        <w:t xml:space="preserve"> </w:t>
      </w:r>
      <w:r w:rsidR="00E8371D">
        <w:t xml:space="preserve"> In such cases, a sufficient technical explanation must be provided in the Case Narrative accompanying the data package.</w:t>
      </w:r>
    </w:p>
    <w:p w14:paraId="20215EF1" w14:textId="19295FB7" w:rsidR="00B56D50" w:rsidRDefault="00B56D50" w:rsidP="00E03A98"/>
    <w:p w14:paraId="3B4406D6" w14:textId="49A1ACA7" w:rsidR="00B56D50" w:rsidRDefault="001C3C42" w:rsidP="00E03A98">
      <w:pPr>
        <w:pStyle w:val="Heading4"/>
        <w:spacing w:after="0" w:line="249" w:lineRule="auto"/>
        <w:ind w:left="0" w:firstLine="0"/>
      </w:pPr>
      <w:r>
        <w:t>A.</w:t>
      </w:r>
      <w:r w:rsidR="00F6215C">
        <w:t xml:space="preserve"> </w:t>
      </w:r>
      <w:r>
        <w:rPr>
          <w:rFonts w:ascii="Arial" w:eastAsia="Arial" w:hAnsi="Arial" w:cs="Arial"/>
        </w:rPr>
        <w:t xml:space="preserve"> </w:t>
      </w:r>
      <w:r w:rsidR="00E661EB" w:rsidRPr="008C0E95">
        <w:rPr>
          <w:rFonts w:eastAsia="Arial"/>
          <w:u w:val="single"/>
        </w:rPr>
        <w:t xml:space="preserve">USEPA </w:t>
      </w:r>
      <w:r>
        <w:rPr>
          <w:u w:val="single" w:color="000000"/>
        </w:rPr>
        <w:t>SW-846 Protocol</w:t>
      </w:r>
      <w:r w:rsidR="004649B2">
        <w:rPr>
          <w:u w:val="single" w:color="000000"/>
        </w:rPr>
        <w:t>s (plus SAS GROUPS)</w:t>
      </w:r>
      <w:r w:rsidR="004649B2">
        <w:t xml:space="preserve"> </w:t>
      </w:r>
    </w:p>
    <w:p w14:paraId="3BC71DED" w14:textId="77777777" w:rsidR="00B56D50" w:rsidRDefault="001C3C42">
      <w:pPr>
        <w:spacing w:after="0" w:line="259" w:lineRule="auto"/>
        <w:ind w:left="540" w:right="0" w:firstLine="0"/>
      </w:pPr>
      <w:r>
        <w:t xml:space="preserve"> </w:t>
      </w:r>
    </w:p>
    <w:p w14:paraId="62A19D84" w14:textId="35D5D306" w:rsidR="00684916" w:rsidRDefault="001C3C42" w:rsidP="00E03A98">
      <w:pPr>
        <w:spacing w:after="0"/>
        <w:ind w:right="0"/>
      </w:pPr>
      <w:r>
        <w:t xml:space="preserve">Unless otherwise noted in the Analyte List, all methods listed for the SW-846 Protocol are from </w:t>
      </w:r>
      <w:r>
        <w:rPr>
          <w:i/>
        </w:rPr>
        <w:t xml:space="preserve">Test Methods for Evaluating Solid Wastes, Physical/Chemical Methods, </w:t>
      </w:r>
      <w:proofErr w:type="gramStart"/>
      <w:r>
        <w:t>Third</w:t>
      </w:r>
      <w:proofErr w:type="gramEnd"/>
      <w:r>
        <w:t xml:space="preserve"> edition and update 1 (August 31, 1993) and updates:</w:t>
      </w:r>
    </w:p>
    <w:p w14:paraId="3E29A185" w14:textId="77777777" w:rsidR="00B56D50" w:rsidRDefault="001C3C42" w:rsidP="00FC1705">
      <w:pPr>
        <w:spacing w:after="0"/>
        <w:ind w:right="0"/>
      </w:pPr>
      <w:r>
        <w:rPr>
          <w:b/>
        </w:rPr>
        <w:t xml:space="preserve"> </w:t>
      </w:r>
    </w:p>
    <w:p w14:paraId="5E264F45" w14:textId="0AD8CF46" w:rsidR="00B56D50" w:rsidRDefault="001C3C42" w:rsidP="00FC1705">
      <w:pPr>
        <w:numPr>
          <w:ilvl w:val="0"/>
          <w:numId w:val="1"/>
        </w:numPr>
        <w:spacing w:after="100" w:afterAutospacing="1"/>
        <w:ind w:left="720" w:right="0" w:hanging="360"/>
      </w:pPr>
      <w:r>
        <w:rPr>
          <w:b/>
        </w:rPr>
        <w:t>Updates</w:t>
      </w:r>
      <w:proofErr w:type="gramStart"/>
      <w:r>
        <w:t xml:space="preserve">:  </w:t>
      </w:r>
      <w:r>
        <w:rPr>
          <w:b/>
        </w:rPr>
        <w:t>II</w:t>
      </w:r>
      <w:proofErr w:type="gramEnd"/>
      <w:r>
        <w:t xml:space="preserve"> (January 1995), </w:t>
      </w:r>
      <w:r>
        <w:rPr>
          <w:b/>
        </w:rPr>
        <w:t xml:space="preserve">IIA </w:t>
      </w:r>
      <w:r>
        <w:t xml:space="preserve">(January 1994), </w:t>
      </w:r>
      <w:r>
        <w:rPr>
          <w:b/>
        </w:rPr>
        <w:t>IIB</w:t>
      </w:r>
      <w:r>
        <w:t xml:space="preserve"> (April 1995), </w:t>
      </w:r>
      <w:r>
        <w:rPr>
          <w:b/>
        </w:rPr>
        <w:t>III</w:t>
      </w:r>
      <w:r>
        <w:t xml:space="preserve"> (June 1997), </w:t>
      </w:r>
      <w:r>
        <w:rPr>
          <w:b/>
        </w:rPr>
        <w:t>IIIA</w:t>
      </w:r>
      <w:r>
        <w:t xml:space="preserve"> (May 1999), </w:t>
      </w:r>
      <w:r>
        <w:rPr>
          <w:b/>
        </w:rPr>
        <w:t>IIIB</w:t>
      </w:r>
      <w:r>
        <w:t xml:space="preserve"> (June 2005), </w:t>
      </w:r>
      <w:r>
        <w:rPr>
          <w:b/>
        </w:rPr>
        <w:t>IVA</w:t>
      </w:r>
      <w:r>
        <w:t xml:space="preserve"> and </w:t>
      </w:r>
      <w:r>
        <w:rPr>
          <w:b/>
        </w:rPr>
        <w:t>IVB</w:t>
      </w:r>
      <w:r>
        <w:t xml:space="preserve"> (January 2008), </w:t>
      </w:r>
      <w:r>
        <w:rPr>
          <w:b/>
        </w:rPr>
        <w:t>Methods Innovation Rule</w:t>
      </w:r>
      <w:r>
        <w:t xml:space="preserve"> (MIR) (June 2005), </w:t>
      </w:r>
      <w:r>
        <w:rPr>
          <w:b/>
        </w:rPr>
        <w:t>IV</w:t>
      </w:r>
      <w:r>
        <w:t xml:space="preserve"> (January 2008), </w:t>
      </w:r>
      <w:r w:rsidR="00156132" w:rsidRPr="006339F6">
        <w:rPr>
          <w:color w:val="auto"/>
        </w:rPr>
        <w:t>and</w:t>
      </w:r>
      <w:r w:rsidR="00156132">
        <w:t xml:space="preserve"> </w:t>
      </w:r>
      <w:r w:rsidRPr="00B908D6">
        <w:rPr>
          <w:b/>
        </w:rPr>
        <w:t>Update V</w:t>
      </w:r>
      <w:r>
        <w:t xml:space="preserve"> (August 2015)</w:t>
      </w:r>
      <w:r w:rsidR="00156132">
        <w:t xml:space="preserve">, </w:t>
      </w:r>
      <w:r w:rsidR="00156132" w:rsidRPr="00B908D6">
        <w:rPr>
          <w:b/>
          <w:color w:val="auto"/>
        </w:rPr>
        <w:t>Update VI</w:t>
      </w:r>
      <w:r w:rsidR="00156132" w:rsidRPr="006339F6">
        <w:rPr>
          <w:color w:val="auto"/>
        </w:rPr>
        <w:t xml:space="preserve"> (May 2019)</w:t>
      </w:r>
      <w:r w:rsidR="001E43BF">
        <w:rPr>
          <w:color w:val="auto"/>
        </w:rPr>
        <w:t xml:space="preserve">, and </w:t>
      </w:r>
      <w:r w:rsidR="0024698E" w:rsidRPr="00CC5C81">
        <w:rPr>
          <w:b/>
          <w:bCs/>
          <w:color w:val="auto"/>
        </w:rPr>
        <w:t>Update</w:t>
      </w:r>
      <w:r w:rsidR="002A6CAD" w:rsidRPr="00CC5C81">
        <w:rPr>
          <w:b/>
          <w:bCs/>
          <w:color w:val="auto"/>
        </w:rPr>
        <w:t xml:space="preserve"> VII</w:t>
      </w:r>
      <w:r w:rsidR="0024698E">
        <w:rPr>
          <w:color w:val="auto"/>
        </w:rPr>
        <w:t xml:space="preserve"> </w:t>
      </w:r>
      <w:r w:rsidR="004E08C8">
        <w:rPr>
          <w:color w:val="auto"/>
        </w:rPr>
        <w:t>(</w:t>
      </w:r>
      <w:r w:rsidR="0024698E">
        <w:rPr>
          <w:color w:val="auto"/>
        </w:rPr>
        <w:t>July 2021</w:t>
      </w:r>
      <w:r w:rsidR="004E08C8">
        <w:rPr>
          <w:color w:val="auto"/>
        </w:rPr>
        <w:t>)</w:t>
      </w:r>
      <w:r w:rsidRPr="006339F6">
        <w:rPr>
          <w:color w:val="auto"/>
        </w:rPr>
        <w:t>.</w:t>
      </w:r>
    </w:p>
    <w:p w14:paraId="7EBBEFBE" w14:textId="4148D261" w:rsidR="00B56D50" w:rsidRDefault="001C3C42" w:rsidP="00FC1705">
      <w:pPr>
        <w:numPr>
          <w:ilvl w:val="0"/>
          <w:numId w:val="1"/>
        </w:numPr>
        <w:spacing w:after="100" w:afterAutospacing="1"/>
        <w:ind w:left="720" w:right="0" w:hanging="360"/>
      </w:pPr>
      <w:r>
        <w:t>Also referenced in the SW-846 Protocol General Chemistry Analyte Lists are:</w:t>
      </w:r>
    </w:p>
    <w:p w14:paraId="5B376F2B" w14:textId="55CC1703" w:rsidR="00B56D50" w:rsidRDefault="00E12105" w:rsidP="00FC1705">
      <w:pPr>
        <w:numPr>
          <w:ilvl w:val="1"/>
          <w:numId w:val="1"/>
        </w:numPr>
        <w:spacing w:after="100" w:afterAutospacing="1" w:line="248" w:lineRule="auto"/>
        <w:ind w:left="1080" w:right="0" w:hanging="360"/>
      </w:pPr>
      <w:bookmarkStart w:id="8" w:name="_Hlk65577408"/>
      <w:r>
        <w:t>USEPA</w:t>
      </w:r>
      <w:r w:rsidR="00BC59B5" w:rsidRPr="00817B96">
        <w:t xml:space="preserve"> Clean Water Act (CWA, 40 CFR 136) </w:t>
      </w:r>
      <w:r w:rsidR="00BC59B5">
        <w:t>Analytical</w:t>
      </w:r>
      <w:r w:rsidR="00BC59B5" w:rsidRPr="00817B96">
        <w:t xml:space="preserve"> Methods, </w:t>
      </w:r>
      <w:r w:rsidR="00BC59B5">
        <w:t>c</w:t>
      </w:r>
      <w:r w:rsidR="00BC59B5" w:rsidRPr="00817B96">
        <w:t>urrently available at:</w:t>
      </w:r>
      <w:r w:rsidR="00BC59B5">
        <w:t xml:space="preserve"> </w:t>
      </w:r>
      <w:hyperlink r:id="rId12" w:history="1">
        <w:r w:rsidR="00BC59B5" w:rsidRPr="00F73383">
          <w:rPr>
            <w:rStyle w:val="Hyperlink"/>
          </w:rPr>
          <w:t>https://www.epa.gov/cwa-methods</w:t>
        </w:r>
      </w:hyperlink>
      <w:r w:rsidR="00BC59B5">
        <w:t xml:space="preserve">, and/or the </w:t>
      </w:r>
      <w:r>
        <w:t>USEPA</w:t>
      </w:r>
      <w:r w:rsidR="00BC59B5">
        <w:t xml:space="preserve"> Drinking Water Analytical Methods, currently available at: </w:t>
      </w:r>
      <w:hyperlink r:id="rId13" w:history="1">
        <w:r w:rsidR="00BC59B5" w:rsidRPr="00F73383">
          <w:rPr>
            <w:rStyle w:val="Hyperlink"/>
          </w:rPr>
          <w:t>https://www.epa.gov/dwanalyticalmethods</w:t>
        </w:r>
      </w:hyperlink>
      <w:bookmarkEnd w:id="8"/>
      <w:r w:rsidR="007A7308">
        <w:rPr>
          <w:iCs/>
        </w:rPr>
        <w:t xml:space="preserve"> </w:t>
      </w:r>
      <w:r w:rsidR="00A831A9">
        <w:t>a</w:t>
      </w:r>
      <w:r w:rsidR="001C3C42">
        <w:t>nd</w:t>
      </w:r>
      <w:r w:rsidR="001C3C42">
        <w:rPr>
          <w:b/>
        </w:rPr>
        <w:t xml:space="preserve"> </w:t>
      </w:r>
    </w:p>
    <w:p w14:paraId="20F8BDC7" w14:textId="25A543F9" w:rsidR="003D30CE" w:rsidRDefault="001C3C42" w:rsidP="00FC1705">
      <w:pPr>
        <w:numPr>
          <w:ilvl w:val="1"/>
          <w:numId w:val="1"/>
        </w:numPr>
        <w:spacing w:after="100" w:afterAutospacing="1" w:line="248" w:lineRule="auto"/>
        <w:ind w:left="1080" w:right="0" w:hanging="360"/>
      </w:pPr>
      <w:r>
        <w:rPr>
          <w:i/>
        </w:rPr>
        <w:t xml:space="preserve">Standard Methods for the Examination of Water and Wastewater, </w:t>
      </w:r>
      <w:r w:rsidR="00DA7383">
        <w:t>20</w:t>
      </w:r>
      <w:r w:rsidR="00DA7383">
        <w:rPr>
          <w:vertAlign w:val="superscript"/>
        </w:rPr>
        <w:t>th</w:t>
      </w:r>
      <w:r w:rsidR="00DA7383">
        <w:t xml:space="preserve"> </w:t>
      </w:r>
      <w:r>
        <w:t xml:space="preserve">edition, </w:t>
      </w:r>
      <w:r w:rsidR="00DA7383">
        <w:t>1998</w:t>
      </w:r>
      <w:r w:rsidR="00896A32">
        <w:t xml:space="preserve"> </w:t>
      </w:r>
      <w:r w:rsidR="008228D8">
        <w:t>– or more recent edition</w:t>
      </w:r>
      <w:r>
        <w:t>.</w:t>
      </w:r>
      <w:r w:rsidR="008228D8">
        <w:t xml:space="preserve"> </w:t>
      </w:r>
      <w:r w:rsidR="00FD5E55">
        <w:t xml:space="preserve">Information currently available at: </w:t>
      </w:r>
      <w:hyperlink r:id="rId14" w:history="1">
        <w:r w:rsidR="00972F88" w:rsidRPr="00EC463C">
          <w:rPr>
            <w:rStyle w:val="Hyperlink"/>
          </w:rPr>
          <w:t>https://www.standardmethods.org/</w:t>
        </w:r>
      </w:hyperlink>
      <w:r w:rsidR="00715FAF">
        <w:t>.</w:t>
      </w:r>
    </w:p>
    <w:p w14:paraId="05E1E963" w14:textId="60142D55" w:rsidR="009A2D52" w:rsidRDefault="001C3C42" w:rsidP="00FC1705">
      <w:pPr>
        <w:spacing w:after="100" w:afterAutospacing="1" w:line="259" w:lineRule="auto"/>
        <w:ind w:left="0" w:right="0" w:firstLine="0"/>
        <w:rPr>
          <w:color w:val="0000FF"/>
        </w:rPr>
      </w:pPr>
      <w:r>
        <w:lastRenderedPageBreak/>
        <w:t xml:space="preserve">Contractors awarded contracts for the SW-846 Protocol </w:t>
      </w:r>
      <w:r>
        <w:rPr>
          <w:u w:val="single" w:color="000000"/>
        </w:rPr>
        <w:t xml:space="preserve">shall </w:t>
      </w:r>
      <w:r w:rsidR="00545722" w:rsidRPr="00545722">
        <w:rPr>
          <w:u w:val="single" w:color="000000"/>
        </w:rPr>
        <w:t>keep up to date with method revisions, technical notes,</w:t>
      </w:r>
      <w:r>
        <w:t xml:space="preserve"> and newly developed methods from the SW-846 Updates listed above and from </w:t>
      </w:r>
      <w:r w:rsidR="00A92814">
        <w:t xml:space="preserve">subsequent </w:t>
      </w:r>
      <w:r>
        <w:t xml:space="preserve">Updates as they become available.  </w:t>
      </w:r>
      <w:r w:rsidR="00A831A9">
        <w:t>In most cases,</w:t>
      </w:r>
      <w:r>
        <w:t xml:space="preserve"> </w:t>
      </w:r>
      <w:r w:rsidR="0091553F">
        <w:t xml:space="preserve">SW-846 Method </w:t>
      </w:r>
      <w:r w:rsidR="0091553F" w:rsidRPr="001F22D5">
        <w:rPr>
          <w:u w:val="single"/>
        </w:rPr>
        <w:t xml:space="preserve">numbers </w:t>
      </w:r>
      <w:r w:rsidR="0091553F" w:rsidRPr="00937F73">
        <w:rPr>
          <w:u w:val="single"/>
        </w:rPr>
        <w:t>only</w:t>
      </w:r>
      <w:r w:rsidR="0091553F">
        <w:t xml:space="preserve"> (e.g., “6010” instead of “6010C”) are listed on the tables below.</w:t>
      </w:r>
      <w:r>
        <w:t xml:space="preserve">  Information regarding SW-846 Updates and  downloads of all SW-846 methods can be obtained from the USEPA website at  </w:t>
      </w:r>
      <w:hyperlink r:id="rId15">
        <w:r>
          <w:rPr>
            <w:color w:val="0000FF"/>
            <w:u w:val="single" w:color="0000FF"/>
          </w:rPr>
          <w:t>https://www.epa.gov/hw</w:t>
        </w:r>
      </w:hyperlink>
      <w:hyperlink r:id="rId16">
        <w:r>
          <w:rPr>
            <w:color w:val="0000FF"/>
            <w:u w:val="single" w:color="0000FF"/>
          </w:rPr>
          <w:t>-</w:t>
        </w:r>
      </w:hyperlink>
      <w:hyperlink r:id="rId17">
        <w:r>
          <w:rPr>
            <w:color w:val="0000FF"/>
            <w:u w:val="single" w:color="0000FF"/>
          </w:rPr>
          <w:t>sw846/sw</w:t>
        </w:r>
      </w:hyperlink>
      <w:hyperlink r:id="rId18">
        <w:r>
          <w:rPr>
            <w:color w:val="0000FF"/>
            <w:u w:val="single" w:color="0000FF"/>
          </w:rPr>
          <w:t>-</w:t>
        </w:r>
      </w:hyperlink>
      <w:hyperlink r:id="rId19">
        <w:r>
          <w:rPr>
            <w:color w:val="0000FF"/>
            <w:u w:val="single" w:color="0000FF"/>
          </w:rPr>
          <w:t>846</w:t>
        </w:r>
      </w:hyperlink>
      <w:hyperlink r:id="rId20">
        <w:r>
          <w:rPr>
            <w:color w:val="0000FF"/>
            <w:u w:val="single" w:color="0000FF"/>
          </w:rPr>
          <w:t>-</w:t>
        </w:r>
      </w:hyperlink>
      <w:hyperlink r:id="rId21">
        <w:r>
          <w:rPr>
            <w:color w:val="0000FF"/>
            <w:u w:val="single" w:color="0000FF"/>
          </w:rPr>
          <w:t>compendium</w:t>
        </w:r>
      </w:hyperlink>
      <w:r w:rsidR="003704BF">
        <w:rPr>
          <w:color w:val="0000FF"/>
        </w:rPr>
        <w:t>.</w:t>
      </w:r>
      <w:r w:rsidR="000A0D50" w:rsidDel="000A0D50">
        <w:t xml:space="preserve"> </w:t>
      </w:r>
    </w:p>
    <w:p w14:paraId="04F4BDF4" w14:textId="23B4DAEC" w:rsidR="00B56D50" w:rsidRDefault="001C3C42" w:rsidP="00FC1705">
      <w:pPr>
        <w:pStyle w:val="Heading4"/>
        <w:spacing w:after="100" w:afterAutospacing="1" w:line="250" w:lineRule="auto"/>
        <w:ind w:left="14" w:hanging="14"/>
      </w:pPr>
      <w:r>
        <w:t>B.</w:t>
      </w:r>
      <w:r>
        <w:rPr>
          <w:rFonts w:ascii="Arial" w:eastAsia="Arial" w:hAnsi="Arial" w:cs="Arial"/>
        </w:rPr>
        <w:t xml:space="preserve"> </w:t>
      </w:r>
      <w:r w:rsidR="00E71A08" w:rsidRPr="00CE721E">
        <w:rPr>
          <w:rFonts w:eastAsia="Arial"/>
          <w:u w:val="single"/>
        </w:rPr>
        <w:t>US</w:t>
      </w:r>
      <w:r>
        <w:rPr>
          <w:u w:val="single" w:color="000000"/>
        </w:rPr>
        <w:t>EPA Drinking Water Protocol</w:t>
      </w:r>
      <w:r w:rsidR="00353084">
        <w:rPr>
          <w:u w:val="single" w:color="000000"/>
        </w:rPr>
        <w:t>s (plus SAS GROUPS)</w:t>
      </w:r>
    </w:p>
    <w:p w14:paraId="39B90E43" w14:textId="506BB09B" w:rsidR="00504A63" w:rsidRDefault="001C3C42" w:rsidP="000441B4">
      <w:pPr>
        <w:spacing w:after="100" w:afterAutospacing="1"/>
        <w:ind w:left="0" w:right="0" w:firstLine="0"/>
      </w:pPr>
      <w:r>
        <w:t xml:space="preserve">The </w:t>
      </w:r>
      <w:r w:rsidR="00E12105">
        <w:t>USEPA</w:t>
      </w:r>
      <w:r>
        <w:t xml:space="preserve"> Office of Water specified methods </w:t>
      </w:r>
      <w:r w:rsidR="00782179">
        <w:t xml:space="preserve">for this protocol </w:t>
      </w:r>
      <w:r w:rsidR="0084087F">
        <w:t>may be found</w:t>
      </w:r>
      <w:r w:rsidR="001E2228">
        <w:t xml:space="preserve"> in</w:t>
      </w:r>
      <w:r>
        <w:t xml:space="preserve"> </w:t>
      </w:r>
      <w:r w:rsidR="00D07D80">
        <w:t>the</w:t>
      </w:r>
      <w:r w:rsidR="00D07D80" w:rsidRPr="00D07D80">
        <w:rPr>
          <w:iCs/>
        </w:rPr>
        <w:t xml:space="preserve"> </w:t>
      </w:r>
      <w:r w:rsidR="00E12105">
        <w:rPr>
          <w:iCs/>
        </w:rPr>
        <w:t>USEPA</w:t>
      </w:r>
      <w:r w:rsidR="00D07D80" w:rsidRPr="00D07D80">
        <w:rPr>
          <w:iCs/>
        </w:rPr>
        <w:t xml:space="preserve"> Clean Water Act (CWA, 40 CFR 136) </w:t>
      </w:r>
      <w:r w:rsidR="00BC59B5">
        <w:t>Analytical</w:t>
      </w:r>
      <w:r w:rsidR="00D07D80" w:rsidRPr="00D07D80">
        <w:rPr>
          <w:iCs/>
        </w:rPr>
        <w:t xml:space="preserve"> Methods, </w:t>
      </w:r>
      <w:r w:rsidR="00D07D80">
        <w:rPr>
          <w:iCs/>
        </w:rPr>
        <w:t>c</w:t>
      </w:r>
      <w:r w:rsidR="00D07D80" w:rsidRPr="00D07D80">
        <w:rPr>
          <w:iCs/>
        </w:rPr>
        <w:t xml:space="preserve">urrently available at: </w:t>
      </w:r>
      <w:hyperlink r:id="rId22" w:history="1">
        <w:r w:rsidR="00BC59B5" w:rsidRPr="00F73383">
          <w:rPr>
            <w:rStyle w:val="Hyperlink"/>
          </w:rPr>
          <w:t>https://www.epa.gov/cwa-methods</w:t>
        </w:r>
      </w:hyperlink>
      <w:r w:rsidR="00BC59B5">
        <w:t xml:space="preserve">, and/or the </w:t>
      </w:r>
      <w:r w:rsidR="00E12105">
        <w:t>USEPA</w:t>
      </w:r>
      <w:r w:rsidR="00BC59B5">
        <w:t xml:space="preserve"> Drinking Water Analytical Methods, currently available at:</w:t>
      </w:r>
      <w:r w:rsidR="00B12844">
        <w:t xml:space="preserve">  </w:t>
      </w:r>
      <w:hyperlink r:id="rId23" w:history="1">
        <w:r w:rsidR="008A59CE" w:rsidRPr="00926888">
          <w:rPr>
            <w:rStyle w:val="Hyperlink"/>
          </w:rPr>
          <w:t>https://www.epa.gov/dwanalyticalmethods</w:t>
        </w:r>
      </w:hyperlink>
      <w:r w:rsidR="002C7B30">
        <w:t xml:space="preserve">.  </w:t>
      </w:r>
      <w:r w:rsidR="002C6061">
        <w:t>Alternative or equivalent methods</w:t>
      </w:r>
      <w:r w:rsidR="00F844BC">
        <w:t xml:space="preserve"> may be </w:t>
      </w:r>
      <w:r w:rsidR="006A7C7A">
        <w:t>proposed for this protocol</w:t>
      </w:r>
      <w:r w:rsidR="00F844BC">
        <w:t xml:space="preserve">. </w:t>
      </w:r>
      <w:r w:rsidR="00561E8E">
        <w:t xml:space="preserve"> </w:t>
      </w:r>
      <w:r w:rsidR="00F844BC">
        <w:t xml:space="preserve">The Contractor shall obtain approval </w:t>
      </w:r>
      <w:r w:rsidR="006A7C7A">
        <w:t xml:space="preserve">from the IDEM/OLQ QAO </w:t>
      </w:r>
      <w:r w:rsidR="00F844BC">
        <w:t xml:space="preserve">to substitute alternative or </w:t>
      </w:r>
      <w:r w:rsidR="006A7C7A">
        <w:t>equivalent methodology.</w:t>
      </w:r>
    </w:p>
    <w:p w14:paraId="2C82E74D" w14:textId="4E63190D" w:rsidR="00D3349F" w:rsidRDefault="001C3C42" w:rsidP="000441B4">
      <w:pPr>
        <w:spacing w:after="100" w:afterAutospacing="1"/>
        <w:ind w:left="0" w:right="0" w:firstLine="0"/>
      </w:pPr>
      <w:r>
        <w:t xml:space="preserve">Contractors awarded contracts for the Drinking Water Protocol shall keep </w:t>
      </w:r>
      <w:r w:rsidR="00BC5331">
        <w:t>up to date</w:t>
      </w:r>
      <w:r>
        <w:t xml:space="preserve"> with method revisions, technical </w:t>
      </w:r>
      <w:r w:rsidR="009C3AE7">
        <w:t>notes,</w:t>
      </w:r>
      <w:r>
        <w:t xml:space="preserve"> and newly developed methods as they become available.  Information regarding Office of Water analytical methodology, including sources for obtaining the methods, is available on the </w:t>
      </w:r>
      <w:r w:rsidR="00E12105">
        <w:t>USEPA</w:t>
      </w:r>
      <w:r>
        <w:t xml:space="preserve"> website,  </w:t>
      </w:r>
      <w:hyperlink r:id="rId24">
        <w:r>
          <w:rPr>
            <w:color w:val="0000FF"/>
            <w:u w:val="single" w:color="0000FF"/>
          </w:rPr>
          <w:t>https://www.epa.gov/dwanalyticalmethods/approved</w:t>
        </w:r>
      </w:hyperlink>
      <w:hyperlink r:id="rId25">
        <w:r>
          <w:rPr>
            <w:color w:val="0000FF"/>
            <w:u w:val="single" w:color="0000FF"/>
          </w:rPr>
          <w:t>-</w:t>
        </w:r>
      </w:hyperlink>
      <w:hyperlink r:id="rId26">
        <w:r>
          <w:rPr>
            <w:color w:val="0000FF"/>
            <w:u w:val="single" w:color="0000FF"/>
          </w:rPr>
          <w:t>drinking</w:t>
        </w:r>
      </w:hyperlink>
      <w:hyperlink r:id="rId27">
        <w:r>
          <w:rPr>
            <w:color w:val="0000FF"/>
            <w:u w:val="single" w:color="0000FF"/>
          </w:rPr>
          <w:t>-</w:t>
        </w:r>
      </w:hyperlink>
      <w:hyperlink r:id="rId28">
        <w:r>
          <w:rPr>
            <w:color w:val="0000FF"/>
            <w:u w:val="single" w:color="0000FF"/>
          </w:rPr>
          <w:t>water</w:t>
        </w:r>
      </w:hyperlink>
      <w:hyperlink r:id="rId29">
        <w:r>
          <w:rPr>
            <w:color w:val="0000FF"/>
            <w:u w:val="single" w:color="0000FF"/>
          </w:rPr>
          <w:t>-</w:t>
        </w:r>
      </w:hyperlink>
      <w:hyperlink r:id="rId30">
        <w:r>
          <w:rPr>
            <w:color w:val="0000FF"/>
            <w:u w:val="single" w:color="0000FF"/>
          </w:rPr>
          <w:t>analytical</w:t>
        </w:r>
      </w:hyperlink>
      <w:hyperlink r:id="rId31">
        <w:r>
          <w:rPr>
            <w:color w:val="0000FF"/>
            <w:u w:val="single" w:color="0000FF"/>
          </w:rPr>
          <w:t>-</w:t>
        </w:r>
      </w:hyperlink>
      <w:hyperlink r:id="rId32">
        <w:r>
          <w:rPr>
            <w:color w:val="0000FF"/>
            <w:u w:val="single" w:color="0000FF"/>
          </w:rPr>
          <w:t>methods</w:t>
        </w:r>
      </w:hyperlink>
      <w:hyperlink r:id="rId33">
        <w:r>
          <w:t>.</w:t>
        </w:r>
      </w:hyperlink>
      <w:r>
        <w:t xml:space="preserve">  Some, but not all, drinking water methods are available for download from links to this site.</w:t>
      </w:r>
    </w:p>
    <w:p w14:paraId="0948599C" w14:textId="72B8866D" w:rsidR="00D84739" w:rsidRDefault="00B27EA2" w:rsidP="000B6C60">
      <w:pPr>
        <w:spacing w:after="100" w:afterAutospacing="1" w:line="259" w:lineRule="auto"/>
        <w:ind w:left="0" w:right="0" w:firstLine="0"/>
      </w:pPr>
      <w:r w:rsidRPr="0074221B">
        <w:rPr>
          <w:b/>
          <w:bCs/>
        </w:rPr>
        <w:t>C.</w:t>
      </w:r>
      <w:r w:rsidR="00EC11E1">
        <w:rPr>
          <w:b/>
          <w:bCs/>
        </w:rPr>
        <w:t xml:space="preserve"> </w:t>
      </w:r>
      <w:r w:rsidR="00A9426B" w:rsidRPr="00D8036F">
        <w:rPr>
          <w:b/>
          <w:bCs/>
          <w:u w:val="single"/>
        </w:rPr>
        <w:t>US</w:t>
      </w:r>
      <w:r w:rsidR="00771499" w:rsidRPr="0074221B">
        <w:rPr>
          <w:b/>
          <w:bCs/>
          <w:u w:val="single"/>
        </w:rPr>
        <w:t>EPA</w:t>
      </w:r>
      <w:r w:rsidR="00B97596" w:rsidRPr="0074221B">
        <w:rPr>
          <w:b/>
          <w:bCs/>
          <w:u w:val="single"/>
        </w:rPr>
        <w:t xml:space="preserve"> </w:t>
      </w:r>
      <w:r w:rsidR="00B97596" w:rsidRPr="0074221B" w:rsidDel="00BF1B98">
        <w:rPr>
          <w:b/>
          <w:bCs/>
          <w:u w:val="single"/>
        </w:rPr>
        <w:t xml:space="preserve">Air </w:t>
      </w:r>
      <w:r w:rsidR="00B97596" w:rsidRPr="0074221B">
        <w:rPr>
          <w:b/>
          <w:bCs/>
          <w:u w:val="single"/>
        </w:rPr>
        <w:t>Protocol</w:t>
      </w:r>
      <w:r w:rsidR="00BF1B98">
        <w:rPr>
          <w:b/>
          <w:bCs/>
          <w:u w:val="single"/>
        </w:rPr>
        <w:t>s</w:t>
      </w:r>
    </w:p>
    <w:p w14:paraId="74ADC149" w14:textId="4AC4F365" w:rsidR="008E16DB" w:rsidRDefault="00AF439F" w:rsidP="000B6C60">
      <w:pPr>
        <w:spacing w:after="0" w:line="259" w:lineRule="auto"/>
        <w:ind w:left="0" w:right="0" w:firstLine="0"/>
      </w:pPr>
      <w:r>
        <w:t xml:space="preserve">The USEPA </w:t>
      </w:r>
      <w:r w:rsidRPr="004C4164">
        <w:t>Ambient Monitoring Technology Information Center (AMTIC)</w:t>
      </w:r>
      <w:bookmarkStart w:id="9" w:name="_Hlk63792468"/>
      <w:r w:rsidR="00503850">
        <w:t xml:space="preserve"> </w:t>
      </w:r>
      <w:r w:rsidR="0084561C" w:rsidRPr="0084561C">
        <w:t>Compendium of Methods for the Determination of Toxic Organic Compounds in Ambient Air</w:t>
      </w:r>
      <w:r w:rsidR="002C421A">
        <w:t xml:space="preserve"> </w:t>
      </w:r>
      <w:bookmarkEnd w:id="9"/>
      <w:r w:rsidR="0084561C" w:rsidRPr="0084561C">
        <w:t xml:space="preserve">contains a set of 17 peer reviewed, standardized methods for the determination of volatile, semi-volatile, and selected toxic organic pollutants in the air. </w:t>
      </w:r>
      <w:r w:rsidR="005923E9">
        <w:t xml:space="preserve"> </w:t>
      </w:r>
      <w:r w:rsidR="00E12105">
        <w:t>USEPA</w:t>
      </w:r>
      <w:r w:rsidR="0084561C" w:rsidRPr="0084561C">
        <w:t xml:space="preserve"> has developed this compendium of methods to assist Federal, State, and local regulatory personnel in developing and maintaining necessary expertise and up-to-date monitoring technology for characterizing organic pollutants in the ambient air.</w:t>
      </w:r>
      <w:r w:rsidR="005923E9">
        <w:t xml:space="preserve"> </w:t>
      </w:r>
      <w:r w:rsidR="000E2327">
        <w:t xml:space="preserve"> </w:t>
      </w:r>
      <w:r w:rsidR="001D704A">
        <w:t xml:space="preserve">IDEM OLQ currently utilizes these methods for analysis of samples </w:t>
      </w:r>
      <w:r w:rsidR="00D4413B">
        <w:t>in connection with vapor intrusion investigations.</w:t>
      </w:r>
    </w:p>
    <w:p w14:paraId="448DA150" w14:textId="0872607E" w:rsidR="006C5D4C" w:rsidRDefault="006C5D4C">
      <w:pPr>
        <w:spacing w:after="0" w:line="259" w:lineRule="auto"/>
        <w:ind w:left="540" w:right="0" w:firstLine="0"/>
      </w:pPr>
    </w:p>
    <w:p w14:paraId="26EC80DD" w14:textId="56E0B3AC" w:rsidR="006C5D4C" w:rsidRDefault="00CF56C1" w:rsidP="000B6C60">
      <w:pPr>
        <w:spacing w:after="100" w:afterAutospacing="1" w:line="259" w:lineRule="auto"/>
        <w:ind w:left="0" w:right="0" w:firstLine="0"/>
      </w:pPr>
      <w:r>
        <w:t xml:space="preserve">The </w:t>
      </w:r>
      <w:r w:rsidR="00E12105">
        <w:t>USEPA</w:t>
      </w:r>
      <w:r>
        <w:t xml:space="preserve"> Compendium </w:t>
      </w:r>
      <w:r w:rsidR="00EE6066">
        <w:t>Methods for this protocol are:</w:t>
      </w:r>
    </w:p>
    <w:p w14:paraId="1381A764" w14:textId="7AE9EF9C" w:rsidR="00BB11F3" w:rsidRDefault="001E7031" w:rsidP="000B6C60">
      <w:pPr>
        <w:pStyle w:val="ListParagraph"/>
        <w:numPr>
          <w:ilvl w:val="0"/>
          <w:numId w:val="57"/>
        </w:numPr>
        <w:spacing w:after="100" w:afterAutospacing="1" w:line="259" w:lineRule="auto"/>
        <w:ind w:right="0"/>
      </w:pPr>
      <w:r>
        <w:t xml:space="preserve">Method TO-15 </w:t>
      </w:r>
      <w:r w:rsidR="00C45D84">
        <w:t xml:space="preserve">- </w:t>
      </w:r>
      <w:r w:rsidRPr="001E7031">
        <w:t xml:space="preserve">Determination of Volatile Organic Compounds (VOCs) In Air Collected </w:t>
      </w:r>
      <w:proofErr w:type="gramStart"/>
      <w:r w:rsidRPr="001E7031">
        <w:t>In</w:t>
      </w:r>
      <w:proofErr w:type="gramEnd"/>
      <w:r w:rsidRPr="001E7031">
        <w:t xml:space="preserve"> </w:t>
      </w:r>
      <w:proofErr w:type="gramStart"/>
      <w:r w:rsidRPr="001E7031">
        <w:t>Specially-Prepared</w:t>
      </w:r>
      <w:proofErr w:type="gramEnd"/>
      <w:r w:rsidRPr="001E7031">
        <w:t xml:space="preserve"> Canisters </w:t>
      </w:r>
      <w:r w:rsidR="001A5C0B" w:rsidRPr="001E7031">
        <w:t>and</w:t>
      </w:r>
      <w:r w:rsidRPr="001E7031">
        <w:t xml:space="preserve"> Analyzed </w:t>
      </w:r>
      <w:proofErr w:type="gramStart"/>
      <w:r w:rsidRPr="001E7031">
        <w:t>By</w:t>
      </w:r>
      <w:proofErr w:type="gramEnd"/>
      <w:r w:rsidRPr="001E7031">
        <w:t xml:space="preserve"> Gas Chromatography Mass Spectrometry (GC/MS)</w:t>
      </w:r>
    </w:p>
    <w:p w14:paraId="7966DBBE" w14:textId="7CA037C7" w:rsidR="002F11DC" w:rsidRDefault="00BB11F3" w:rsidP="000B6C60">
      <w:pPr>
        <w:pStyle w:val="ListParagraph"/>
        <w:numPr>
          <w:ilvl w:val="0"/>
          <w:numId w:val="57"/>
        </w:numPr>
        <w:spacing w:after="100" w:afterAutospacing="1" w:line="259" w:lineRule="auto"/>
        <w:ind w:right="0"/>
      </w:pPr>
      <w:r>
        <w:t>Method TO-15</w:t>
      </w:r>
      <w:r w:rsidR="00574B1D">
        <w:t xml:space="preserve"> SIM</w:t>
      </w:r>
      <w:r>
        <w:t xml:space="preserve"> </w:t>
      </w:r>
      <w:r w:rsidR="00C45D84">
        <w:t xml:space="preserve">- </w:t>
      </w:r>
      <w:r w:rsidR="002F11DC" w:rsidRPr="002F11DC">
        <w:t xml:space="preserve">Determination of Volatile Organic Compounds (VOCs) </w:t>
      </w:r>
      <w:r w:rsidR="00680E95">
        <w:t>I</w:t>
      </w:r>
      <w:r w:rsidR="002F11DC" w:rsidRPr="002F11DC">
        <w:t xml:space="preserve">n Air Collected </w:t>
      </w:r>
      <w:proofErr w:type="gramStart"/>
      <w:r w:rsidR="00680E95">
        <w:t>I</w:t>
      </w:r>
      <w:r w:rsidR="002F11DC" w:rsidRPr="002F11DC">
        <w:t>n</w:t>
      </w:r>
      <w:proofErr w:type="gramEnd"/>
      <w:r w:rsidR="002F11DC" w:rsidRPr="002F11DC">
        <w:t xml:space="preserve"> Specially Prepared Canisters and Analyzed by Gas Chromatography–Mass Spectrometry (GC-MS)</w:t>
      </w:r>
    </w:p>
    <w:p w14:paraId="1A937DA4" w14:textId="004657D8" w:rsidR="00EE6066" w:rsidRDefault="00BB6B8D" w:rsidP="000B6C60">
      <w:pPr>
        <w:pStyle w:val="ListParagraph"/>
        <w:numPr>
          <w:ilvl w:val="0"/>
          <w:numId w:val="57"/>
        </w:numPr>
        <w:spacing w:after="100" w:afterAutospacing="1" w:line="259" w:lineRule="auto"/>
        <w:ind w:right="0"/>
      </w:pPr>
      <w:r>
        <w:t xml:space="preserve">Method TO-17 </w:t>
      </w:r>
      <w:r w:rsidR="00C45D84">
        <w:t xml:space="preserve">- </w:t>
      </w:r>
      <w:r w:rsidRPr="00BB6B8D">
        <w:t xml:space="preserve">Determination of Volatile Organic Compounds </w:t>
      </w:r>
      <w:proofErr w:type="gramStart"/>
      <w:r w:rsidR="00680E95">
        <w:t>I</w:t>
      </w:r>
      <w:r w:rsidRPr="00BB6B8D">
        <w:t>n</w:t>
      </w:r>
      <w:proofErr w:type="gramEnd"/>
      <w:r w:rsidRPr="00BB6B8D">
        <w:t xml:space="preserve"> Ambient Air Using Active Sampling </w:t>
      </w:r>
      <w:proofErr w:type="gramStart"/>
      <w:r w:rsidRPr="00BB6B8D">
        <w:t>Onto</w:t>
      </w:r>
      <w:proofErr w:type="gramEnd"/>
      <w:r w:rsidRPr="00BB6B8D">
        <w:t xml:space="preserve"> Sorbent Tubes</w:t>
      </w:r>
    </w:p>
    <w:p w14:paraId="5FC5863E" w14:textId="1B40C682" w:rsidR="00574B1D" w:rsidRDefault="00574B1D" w:rsidP="000B6C60">
      <w:pPr>
        <w:pStyle w:val="ListParagraph"/>
        <w:numPr>
          <w:ilvl w:val="0"/>
          <w:numId w:val="57"/>
        </w:numPr>
        <w:spacing w:after="100" w:afterAutospacing="1" w:line="259" w:lineRule="auto"/>
        <w:ind w:right="0"/>
      </w:pPr>
      <w:r>
        <w:t xml:space="preserve">Method TO-17 SIM- </w:t>
      </w:r>
      <w:r w:rsidRPr="00BB6B8D">
        <w:t xml:space="preserve">Determination of Volatile Organic Compounds </w:t>
      </w:r>
      <w:proofErr w:type="gramStart"/>
      <w:r>
        <w:t>I</w:t>
      </w:r>
      <w:r w:rsidRPr="00BB6B8D">
        <w:t>n</w:t>
      </w:r>
      <w:proofErr w:type="gramEnd"/>
      <w:r w:rsidRPr="00BB6B8D">
        <w:t xml:space="preserve"> Ambient Air Using Active Sampling </w:t>
      </w:r>
      <w:proofErr w:type="gramStart"/>
      <w:r w:rsidRPr="00BB6B8D">
        <w:t>Onto</w:t>
      </w:r>
      <w:proofErr w:type="gramEnd"/>
      <w:r w:rsidRPr="00BB6B8D">
        <w:t xml:space="preserve"> Sorbent Tube</w:t>
      </w:r>
    </w:p>
    <w:p w14:paraId="3C3B2693" w14:textId="0559AA95" w:rsidR="0084769C" w:rsidRDefault="00A81317" w:rsidP="000B6C60">
      <w:pPr>
        <w:spacing w:after="0" w:line="259" w:lineRule="auto"/>
        <w:ind w:right="0"/>
      </w:pPr>
      <w:r>
        <w:t xml:space="preserve">Contractors awarded contracts for this protocol shall keep up to date with method revisions, technical notes, and newly developed </w:t>
      </w:r>
      <w:r w:rsidR="00130AD3">
        <w:t>methods as they become available</w:t>
      </w:r>
      <w:r w:rsidR="00C3784E">
        <w:t xml:space="preserve"> </w:t>
      </w:r>
      <w:r w:rsidR="00936AE6">
        <w:t>(</w:t>
      </w:r>
      <w:r w:rsidR="00C3784E">
        <w:t>Note</w:t>
      </w:r>
      <w:proofErr w:type="gramStart"/>
      <w:r w:rsidR="00C3784E">
        <w:t xml:space="preserve">:  </w:t>
      </w:r>
      <w:r w:rsidR="00170D4A">
        <w:t>Method</w:t>
      </w:r>
      <w:proofErr w:type="gramEnd"/>
      <w:r w:rsidR="00170D4A">
        <w:t xml:space="preserve"> TO-15A</w:t>
      </w:r>
      <w:r w:rsidR="005B3AA3">
        <w:t xml:space="preserve"> </w:t>
      </w:r>
      <w:r w:rsidR="00170D4A">
        <w:t xml:space="preserve">is </w:t>
      </w:r>
      <w:r w:rsidR="009A1A07">
        <w:t>now available for use</w:t>
      </w:r>
      <w:r w:rsidR="00936AE6">
        <w:t>.)</w:t>
      </w:r>
      <w:r w:rsidR="009A1A07">
        <w:t>.</w:t>
      </w:r>
      <w:r w:rsidR="00130AD3">
        <w:t xml:space="preserve"> Information regarding </w:t>
      </w:r>
      <w:r w:rsidR="00E12105">
        <w:t>USEPA</w:t>
      </w:r>
      <w:r w:rsidR="00C45D84" w:rsidRPr="00C45D84">
        <w:t xml:space="preserve">'s Compendium of Methods for the Determination of Toxic Organic Compounds in Ambient Air </w:t>
      </w:r>
      <w:r w:rsidR="00C45D84">
        <w:t xml:space="preserve">is </w:t>
      </w:r>
      <w:r w:rsidR="00C45D84" w:rsidRPr="00C45D84">
        <w:t xml:space="preserve">available at: </w:t>
      </w:r>
      <w:hyperlink r:id="rId34" w:history="1">
        <w:r w:rsidR="00965E1A" w:rsidRPr="00106F76">
          <w:rPr>
            <w:rStyle w:val="Hyperlink"/>
          </w:rPr>
          <w:t>https://www.epa.gov/amtic/compendium-methods-determination-toxic-organic-compounds-ambient-air</w:t>
        </w:r>
      </w:hyperlink>
      <w:r w:rsidR="00965E1A">
        <w:t xml:space="preserve">. </w:t>
      </w:r>
    </w:p>
    <w:p w14:paraId="6B163A94" w14:textId="77777777" w:rsidR="00D84739" w:rsidRDefault="00D84739">
      <w:pPr>
        <w:spacing w:after="0" w:line="259" w:lineRule="auto"/>
        <w:ind w:left="540" w:right="0" w:firstLine="0"/>
      </w:pPr>
    </w:p>
    <w:p w14:paraId="3EC1D965" w14:textId="7D6A909F" w:rsidR="00B56D50" w:rsidRDefault="00CB1788" w:rsidP="005B3E47">
      <w:pPr>
        <w:pStyle w:val="Heading5"/>
        <w:spacing w:after="100" w:afterAutospacing="1" w:line="249" w:lineRule="auto"/>
        <w:jc w:val="left"/>
      </w:pPr>
      <w:r w:rsidRPr="00ED5F58">
        <w:rPr>
          <w:rFonts w:eastAsia="Arial"/>
        </w:rPr>
        <w:t>D.</w:t>
      </w:r>
      <w:r w:rsidR="001C3C42">
        <w:rPr>
          <w:rFonts w:ascii="Arial" w:eastAsia="Arial" w:hAnsi="Arial" w:cs="Arial"/>
        </w:rPr>
        <w:t xml:space="preserve"> </w:t>
      </w:r>
      <w:r w:rsidR="001C3C42">
        <w:rPr>
          <w:u w:val="single" w:color="000000"/>
        </w:rPr>
        <w:t>Special Analytical Services (SAS)</w:t>
      </w:r>
      <w:r w:rsidR="00382677">
        <w:rPr>
          <w:u w:val="single" w:color="000000"/>
        </w:rPr>
        <w:t xml:space="preserve"> Protocols</w:t>
      </w:r>
    </w:p>
    <w:p w14:paraId="6F9BF07C" w14:textId="1218EFDB" w:rsidR="00B56D50" w:rsidRDefault="001C3C42" w:rsidP="005B3E47">
      <w:pPr>
        <w:spacing w:after="100" w:afterAutospacing="1" w:line="248" w:lineRule="auto"/>
        <w:ind w:left="0" w:right="0" w:firstLine="0"/>
      </w:pPr>
      <w:r w:rsidRPr="001C4032">
        <w:rPr>
          <w:bCs/>
        </w:rPr>
        <w:t xml:space="preserve">The SW-846 and Drinking Water Protocols include potential SAS Analyte Lists </w:t>
      </w:r>
      <w:r w:rsidR="00236BE1">
        <w:rPr>
          <w:bCs/>
        </w:rPr>
        <w:t xml:space="preserve">and specific </w:t>
      </w:r>
      <w:r w:rsidR="0C8095C2">
        <w:t>analytes</w:t>
      </w:r>
      <w:r w:rsidR="00236BE1">
        <w:rPr>
          <w:bCs/>
        </w:rPr>
        <w:t xml:space="preserve"> such </w:t>
      </w:r>
      <w:proofErr w:type="gramStart"/>
      <w:r w:rsidR="00236BE1">
        <w:rPr>
          <w:bCs/>
        </w:rPr>
        <w:t>as,</w:t>
      </w:r>
      <w:proofErr w:type="gramEnd"/>
      <w:r w:rsidR="00236BE1">
        <w:rPr>
          <w:bCs/>
        </w:rPr>
        <w:t xml:space="preserve"> </w:t>
      </w:r>
      <w:r w:rsidR="00236BE1" w:rsidRPr="003E7D2E">
        <w:rPr>
          <w:bCs/>
        </w:rPr>
        <w:t>Radionuclides</w:t>
      </w:r>
      <w:r w:rsidR="00236BE1">
        <w:rPr>
          <w:bCs/>
        </w:rPr>
        <w:t>,</w:t>
      </w:r>
      <w:r w:rsidRPr="001C4032">
        <w:rPr>
          <w:bCs/>
        </w:rPr>
        <w:t xml:space="preserve"> with suggested analytical methodology and quantitation limits.  The State may request additional analyses not listed.</w:t>
      </w:r>
      <w:r w:rsidR="001C4032" w:rsidRPr="001C4032">
        <w:rPr>
          <w:bCs/>
        </w:rPr>
        <w:t xml:space="preserve">  </w:t>
      </w:r>
      <w:r w:rsidRPr="001C4032">
        <w:rPr>
          <w:bCs/>
        </w:rPr>
        <w:t>Any SAS requested will be specified at the time of sampling set up as to analytical methodology and</w:t>
      </w:r>
      <w:r w:rsidR="001C4032" w:rsidRPr="001C4032">
        <w:rPr>
          <w:bCs/>
        </w:rPr>
        <w:t xml:space="preserve"> </w:t>
      </w:r>
      <w:r w:rsidRPr="001C4032">
        <w:rPr>
          <w:bCs/>
        </w:rPr>
        <w:t>quantitation limits required.  Contractors are not required to bid on or perform SAS analyses.</w:t>
      </w:r>
    </w:p>
    <w:p w14:paraId="7508541E" w14:textId="6613C673" w:rsidR="00B56D50" w:rsidRDefault="00990D8F" w:rsidP="005B3E47">
      <w:pPr>
        <w:pStyle w:val="Heading5"/>
        <w:spacing w:after="100" w:afterAutospacing="1" w:line="249" w:lineRule="auto"/>
        <w:jc w:val="left"/>
      </w:pPr>
      <w:r w:rsidRPr="00ED5F58">
        <w:rPr>
          <w:rFonts w:eastAsia="Arial"/>
        </w:rPr>
        <w:t>E</w:t>
      </w:r>
      <w:r>
        <w:rPr>
          <w:rFonts w:ascii="Arial" w:eastAsia="Arial" w:hAnsi="Arial" w:cs="Arial"/>
        </w:rPr>
        <w:t xml:space="preserve">. </w:t>
      </w:r>
      <w:r w:rsidR="001C3C42">
        <w:rPr>
          <w:u w:val="single" w:color="000000"/>
        </w:rPr>
        <w:t>Additional Analytical Service</w:t>
      </w:r>
      <w:r w:rsidR="008D5221">
        <w:rPr>
          <w:u w:val="single" w:color="000000"/>
        </w:rPr>
        <w:t>s (AAS) Protocol</w:t>
      </w:r>
      <w:r w:rsidR="001C3C42">
        <w:rPr>
          <w:u w:val="single" w:color="000000"/>
        </w:rPr>
        <w:t>s</w:t>
      </w:r>
    </w:p>
    <w:p w14:paraId="30DCB5A6" w14:textId="1511D3D6" w:rsidR="00A6089C" w:rsidRDefault="001C3C42" w:rsidP="00E131AE">
      <w:pPr>
        <w:spacing w:after="100" w:afterAutospacing="1"/>
        <w:ind w:right="0"/>
      </w:pPr>
      <w:r>
        <w:t>The Additional Analytical Services includes analysis of soil and sediment for Fraction Organic Carbon (</w:t>
      </w:r>
      <w:proofErr w:type="spellStart"/>
      <w:r>
        <w:t>foc</w:t>
      </w:r>
      <w:proofErr w:type="spellEnd"/>
      <w:r>
        <w:t xml:space="preserve">) </w:t>
      </w:r>
      <w:r w:rsidR="00F166EF">
        <w:t xml:space="preserve">and </w:t>
      </w:r>
      <w:r>
        <w:t>analysis of aqueous, soil, and sediment samples for Total Petroleum Hydrocarbons (TPH).  Specifications will be made at the time of sampling set up as to analytical methodology and quantitation limits required.</w:t>
      </w:r>
      <w:r w:rsidR="0051677F">
        <w:t xml:space="preserve">  </w:t>
      </w:r>
      <w:r w:rsidR="0051677F" w:rsidRPr="001C4032">
        <w:rPr>
          <w:bCs/>
        </w:rPr>
        <w:t xml:space="preserve">Contractors are not required to bid on or perform </w:t>
      </w:r>
      <w:r w:rsidR="009F70F2">
        <w:rPr>
          <w:bCs/>
        </w:rPr>
        <w:t>A</w:t>
      </w:r>
      <w:r w:rsidR="0051677F" w:rsidRPr="001C4032">
        <w:rPr>
          <w:bCs/>
        </w:rPr>
        <w:t>AS analyses.</w:t>
      </w:r>
    </w:p>
    <w:p w14:paraId="6E5B0693" w14:textId="6F9A299A" w:rsidR="0040454B" w:rsidRDefault="00796CC5" w:rsidP="00E131AE">
      <w:pPr>
        <w:pStyle w:val="Heading5"/>
        <w:spacing w:after="100" w:afterAutospacing="1" w:line="249" w:lineRule="auto"/>
        <w:jc w:val="left"/>
      </w:pPr>
      <w:r>
        <w:t>F.</w:t>
      </w:r>
      <w:r w:rsidR="00BF0D6A">
        <w:t xml:space="preserve">  </w:t>
      </w:r>
      <w:r w:rsidR="003A0192" w:rsidRPr="009D5AA2">
        <w:rPr>
          <w:u w:val="single"/>
        </w:rPr>
        <w:t xml:space="preserve">USEPA </w:t>
      </w:r>
      <w:r w:rsidR="00BF0D6A" w:rsidRPr="009D5AA2">
        <w:rPr>
          <w:u w:val="single"/>
        </w:rPr>
        <w:t>P</w:t>
      </w:r>
      <w:r w:rsidR="00BF0D6A" w:rsidRPr="003717AB">
        <w:rPr>
          <w:u w:val="single"/>
        </w:rPr>
        <w:t>FA</w:t>
      </w:r>
      <w:r w:rsidR="0040454B" w:rsidRPr="003717AB">
        <w:rPr>
          <w:u w:val="single"/>
        </w:rPr>
        <w:t>S</w:t>
      </w:r>
      <w:r w:rsidR="0040454B" w:rsidRPr="0040454B">
        <w:rPr>
          <w:u w:val="single" w:color="000000"/>
        </w:rPr>
        <w:t xml:space="preserve"> </w:t>
      </w:r>
      <w:r w:rsidR="003717AB">
        <w:rPr>
          <w:u w:val="single" w:color="000000"/>
        </w:rPr>
        <w:t>Protocol</w:t>
      </w:r>
      <w:r w:rsidR="0040454B">
        <w:rPr>
          <w:u w:val="single" w:color="000000"/>
        </w:rPr>
        <w:t>s</w:t>
      </w:r>
    </w:p>
    <w:p w14:paraId="1BCC256F" w14:textId="3E30BE83" w:rsidR="00692F09" w:rsidRDefault="00692F09" w:rsidP="001764C7">
      <w:pPr>
        <w:spacing w:after="100" w:afterAutospacing="1" w:line="259" w:lineRule="auto"/>
        <w:ind w:left="0" w:right="0" w:firstLine="0"/>
      </w:pPr>
      <w:r>
        <w:t xml:space="preserve">The </w:t>
      </w:r>
      <w:r w:rsidR="00E12105">
        <w:t>USEPA</w:t>
      </w:r>
      <w:r>
        <w:t xml:space="preserve"> Office of Water specified methods (Method 537.1, Method 533, and Method 1633A) for this protocol may be found in the </w:t>
      </w:r>
      <w:r w:rsidR="00E12105">
        <w:t>USEPA</w:t>
      </w:r>
      <w:r>
        <w:t xml:space="preserve"> Clean Water Act (CWA, 40 CFR 136) Analytical Methods, currently available at: https://www.epa.gov/cwa-methods, and/or the </w:t>
      </w:r>
      <w:r w:rsidR="00E12105">
        <w:t>USEPA</w:t>
      </w:r>
      <w:r>
        <w:t xml:space="preserve"> Drinking Water Analytical Methods, currently available at: https://www.epa.gov/dwanalyticalmethods.  The </w:t>
      </w:r>
      <w:r w:rsidR="00E12105">
        <w:t>USEPA</w:t>
      </w:r>
      <w:r>
        <w:t xml:space="preserve"> SW-846 specified method (Method 8327) for this protocol is from Test Methods for Evaluating Solid Wastes, Physical/Chemical Methods, </w:t>
      </w:r>
      <w:r w:rsidR="00451F7F">
        <w:t>third</w:t>
      </w:r>
      <w:r>
        <w:t xml:space="preserve"> edition and update 1 (August 31, 1993) and updates</w:t>
      </w:r>
      <w:r w:rsidR="006677E1">
        <w:t xml:space="preserve"> </w:t>
      </w:r>
      <w:r w:rsidR="006677E1" w:rsidRPr="006677E1">
        <w:t>are available at: https://www.epa.gov/hw-sw846</w:t>
      </w:r>
      <w:r>
        <w:t xml:space="preserve">.  </w:t>
      </w:r>
      <w:r w:rsidR="00E6158C">
        <w:t>T</w:t>
      </w:r>
      <w:r w:rsidR="00997FF8">
        <w:t xml:space="preserve">he </w:t>
      </w:r>
      <w:r w:rsidR="00E6560A">
        <w:t xml:space="preserve">criteria </w:t>
      </w:r>
      <w:r w:rsidR="00997FF8">
        <w:t>specifications for the ASTM method</w:t>
      </w:r>
      <w:r w:rsidR="00543A6F">
        <w:t xml:space="preserve"> protocol</w:t>
      </w:r>
      <w:r w:rsidR="00997FF8">
        <w:t>s are not provided herein but</w:t>
      </w:r>
      <w:r w:rsidR="00C217F3">
        <w:t xml:space="preserve"> these methods</w:t>
      </w:r>
      <w:r w:rsidR="00997FF8">
        <w:t xml:space="preserve"> may be </w:t>
      </w:r>
      <w:r w:rsidR="00C217F3">
        <w:t xml:space="preserve">used as </w:t>
      </w:r>
      <w:r w:rsidR="00997FF8">
        <w:t>alternative</w:t>
      </w:r>
      <w:r w:rsidR="00C217F3">
        <w:t xml:space="preserve"> method</w:t>
      </w:r>
      <w:r w:rsidR="006677E1">
        <w:t>s</w:t>
      </w:r>
      <w:r w:rsidR="00997FF8">
        <w:t xml:space="preserve">.  </w:t>
      </w:r>
      <w:r>
        <w:t>Alternative or equivalent methods may be proposed for this protocol.  The Contractor shall obtain approval from the IDEM/OLQ QAO to substitute alternative or equivalent methodology.</w:t>
      </w:r>
    </w:p>
    <w:p w14:paraId="010EBEFA" w14:textId="394CDAAC" w:rsidR="00FD248F" w:rsidRDefault="00692F09" w:rsidP="005D5488">
      <w:pPr>
        <w:spacing w:after="0" w:line="259" w:lineRule="auto"/>
        <w:ind w:left="14" w:right="0" w:hanging="14"/>
      </w:pPr>
      <w:r>
        <w:t>Contractors awarded contracts for the PFAS Protocols shall keep up to date with method revisions, technical notes, and newly developed methods as they become available.</w:t>
      </w:r>
    </w:p>
    <w:p w14:paraId="64531437" w14:textId="77777777" w:rsidR="00FD248F" w:rsidRDefault="00FD248F" w:rsidP="005D5488">
      <w:pPr>
        <w:spacing w:after="0" w:line="259" w:lineRule="auto"/>
        <w:ind w:left="14" w:right="0" w:hanging="14"/>
      </w:pPr>
    </w:p>
    <w:p w14:paraId="2A2D3B37" w14:textId="77777777" w:rsidR="00C13BFB" w:rsidRDefault="00C13BFB" w:rsidP="005D5488">
      <w:pPr>
        <w:spacing w:after="0" w:line="259" w:lineRule="auto"/>
        <w:ind w:left="14" w:right="0" w:hanging="14"/>
      </w:pPr>
    </w:p>
    <w:p w14:paraId="787A1622" w14:textId="77777777" w:rsidR="00C13BFB" w:rsidRDefault="00C13BFB" w:rsidP="005D5488">
      <w:pPr>
        <w:spacing w:after="0" w:line="259" w:lineRule="auto"/>
        <w:ind w:left="14" w:right="0" w:hanging="14"/>
      </w:pPr>
    </w:p>
    <w:p w14:paraId="4B4860F2" w14:textId="77777777" w:rsidR="00C13BFB" w:rsidRDefault="00C13BFB" w:rsidP="005D5488">
      <w:pPr>
        <w:spacing w:after="0" w:line="259" w:lineRule="auto"/>
        <w:ind w:left="14" w:right="0" w:hanging="14"/>
      </w:pPr>
    </w:p>
    <w:p w14:paraId="741DB26F" w14:textId="77777777" w:rsidR="000A501E" w:rsidRDefault="000A501E" w:rsidP="001251D3">
      <w:pPr>
        <w:spacing w:after="0" w:line="259" w:lineRule="auto"/>
        <w:ind w:left="0" w:right="0" w:firstLine="0"/>
        <w:rPr>
          <w:b/>
        </w:rPr>
      </w:pPr>
    </w:p>
    <w:p w14:paraId="33F5116B" w14:textId="77777777" w:rsidR="00FE74F6" w:rsidRDefault="00FE74F6" w:rsidP="00FE74F6">
      <w:pPr>
        <w:spacing w:after="0" w:line="259" w:lineRule="auto"/>
        <w:ind w:left="0" w:right="0" w:firstLine="0"/>
        <w:jc w:val="center"/>
        <w:rPr>
          <w:rFonts w:ascii="Arial" w:eastAsia="Arial" w:hAnsi="Arial" w:cs="Arial"/>
          <w:b/>
        </w:rPr>
      </w:pPr>
      <w:r>
        <w:rPr>
          <w:b/>
        </w:rPr>
        <w:t>THE REMAINDER OF THIS PAGE HAS BEEN LEFT BLANK INTENTIONALLY</w:t>
      </w:r>
    </w:p>
    <w:p w14:paraId="5BA9F51C" w14:textId="77777777" w:rsidR="00FE74F6" w:rsidRPr="005B6F73" w:rsidRDefault="00FE74F6" w:rsidP="00FE74F6">
      <w:pPr>
        <w:spacing w:after="0" w:line="259" w:lineRule="auto"/>
        <w:ind w:left="0" w:right="0" w:firstLine="0"/>
        <w:rPr>
          <w:bCs/>
        </w:rPr>
      </w:pPr>
    </w:p>
    <w:p w14:paraId="528C9B05" w14:textId="77777777" w:rsidR="002D4B0F" w:rsidRPr="005B6F73" w:rsidRDefault="002D4B0F" w:rsidP="00FE74F6">
      <w:pPr>
        <w:spacing w:after="0" w:line="259" w:lineRule="auto"/>
        <w:ind w:left="0" w:right="0" w:firstLine="0"/>
        <w:rPr>
          <w:bCs/>
        </w:rPr>
      </w:pPr>
    </w:p>
    <w:p w14:paraId="5249FA1F" w14:textId="77777777" w:rsidR="008D7300" w:rsidRPr="005B6F73" w:rsidRDefault="008D7300" w:rsidP="00FE74F6">
      <w:pPr>
        <w:spacing w:after="0" w:line="259" w:lineRule="auto"/>
        <w:ind w:left="0" w:right="0" w:firstLine="0"/>
        <w:rPr>
          <w:bCs/>
        </w:rPr>
      </w:pPr>
    </w:p>
    <w:p w14:paraId="7273C06D" w14:textId="77777777" w:rsidR="00443721" w:rsidRPr="005B6F73" w:rsidRDefault="00443721" w:rsidP="00FE74F6">
      <w:pPr>
        <w:spacing w:after="0" w:line="259" w:lineRule="auto"/>
        <w:ind w:left="0" w:right="0" w:firstLine="0"/>
        <w:rPr>
          <w:bCs/>
        </w:rPr>
      </w:pPr>
    </w:p>
    <w:p w14:paraId="5F6C9E27" w14:textId="77777777" w:rsidR="00443721" w:rsidRPr="005B6F73" w:rsidRDefault="00443721" w:rsidP="00FE74F6">
      <w:pPr>
        <w:spacing w:after="0" w:line="259" w:lineRule="auto"/>
        <w:ind w:left="0" w:right="0" w:firstLine="0"/>
        <w:rPr>
          <w:bCs/>
        </w:rPr>
      </w:pPr>
    </w:p>
    <w:p w14:paraId="3AACC2CC" w14:textId="77777777" w:rsidR="00443721" w:rsidRPr="005B6F73" w:rsidRDefault="00443721" w:rsidP="00FE74F6">
      <w:pPr>
        <w:spacing w:after="0" w:line="259" w:lineRule="auto"/>
        <w:ind w:left="0" w:right="0" w:firstLine="0"/>
        <w:rPr>
          <w:bCs/>
        </w:rPr>
      </w:pPr>
    </w:p>
    <w:p w14:paraId="4772448B" w14:textId="77777777" w:rsidR="00443721" w:rsidRPr="005B6F73" w:rsidRDefault="00443721" w:rsidP="00FE74F6">
      <w:pPr>
        <w:spacing w:after="0" w:line="259" w:lineRule="auto"/>
        <w:ind w:left="0" w:right="0" w:firstLine="0"/>
        <w:rPr>
          <w:bCs/>
        </w:rPr>
      </w:pPr>
    </w:p>
    <w:p w14:paraId="045EDBD7" w14:textId="77777777" w:rsidR="00443721" w:rsidRPr="005B6F73" w:rsidRDefault="00443721" w:rsidP="00FE74F6">
      <w:pPr>
        <w:spacing w:after="0" w:line="259" w:lineRule="auto"/>
        <w:ind w:left="0" w:right="0" w:firstLine="0"/>
        <w:rPr>
          <w:bCs/>
        </w:rPr>
      </w:pPr>
    </w:p>
    <w:p w14:paraId="0F834792" w14:textId="77777777" w:rsidR="008D7300" w:rsidRPr="005B6F73" w:rsidRDefault="008D7300" w:rsidP="00FE74F6">
      <w:pPr>
        <w:spacing w:after="0" w:line="259" w:lineRule="auto"/>
        <w:ind w:left="0" w:right="0" w:firstLine="0"/>
        <w:rPr>
          <w:bCs/>
        </w:rPr>
      </w:pPr>
    </w:p>
    <w:p w14:paraId="6EFFCCB6" w14:textId="77777777" w:rsidR="00E6158C" w:rsidRPr="005B6F73" w:rsidRDefault="00E6158C" w:rsidP="00FE74F6">
      <w:pPr>
        <w:spacing w:after="0" w:line="259" w:lineRule="auto"/>
        <w:ind w:left="0" w:right="0" w:firstLine="0"/>
        <w:rPr>
          <w:bCs/>
        </w:rPr>
      </w:pPr>
    </w:p>
    <w:p w14:paraId="3D6C1537" w14:textId="14993373" w:rsidR="00D05D3C" w:rsidRPr="00106D61" w:rsidRDefault="00D05D3C" w:rsidP="00670C52">
      <w:pPr>
        <w:spacing w:after="0" w:line="259" w:lineRule="auto"/>
        <w:ind w:left="0" w:right="0" w:firstLine="0"/>
        <w:jc w:val="center"/>
      </w:pPr>
      <w:r w:rsidRPr="00106D61">
        <w:rPr>
          <w:b/>
          <w:u w:val="single" w:color="000000"/>
        </w:rPr>
        <w:lastRenderedPageBreak/>
        <w:t>SW-846 PROTOCOL</w:t>
      </w:r>
      <w:r w:rsidR="00B643C8" w:rsidRPr="00106D61">
        <w:rPr>
          <w:b/>
          <w:u w:val="single" w:color="000000"/>
        </w:rPr>
        <w:t>S</w:t>
      </w:r>
      <w:r w:rsidRPr="00106D61">
        <w:rPr>
          <w:b/>
        </w:rPr>
        <w:t xml:space="preserve"> </w:t>
      </w:r>
    </w:p>
    <w:p w14:paraId="73B2865A" w14:textId="77777777" w:rsidR="00A50164" w:rsidRDefault="00A50164" w:rsidP="005D5488">
      <w:pPr>
        <w:spacing w:after="0" w:line="259" w:lineRule="auto"/>
        <w:ind w:left="14" w:right="0" w:hanging="14"/>
      </w:pPr>
    </w:p>
    <w:p w14:paraId="42F734FC" w14:textId="72585954" w:rsidR="00B56D50" w:rsidRPr="00106D61" w:rsidRDefault="001C3C42" w:rsidP="00614F53">
      <w:pPr>
        <w:pStyle w:val="Heading5"/>
      </w:pPr>
      <w:bookmarkStart w:id="10" w:name="_Hlk66880867"/>
      <w:r w:rsidRPr="00106D61">
        <w:t xml:space="preserve">SW-846 </w:t>
      </w:r>
      <w:bookmarkEnd w:id="10"/>
      <w:r w:rsidRPr="00106D61">
        <w:t>Metals</w:t>
      </w:r>
      <w:r w:rsidR="00BF6599" w:rsidRPr="00106D61">
        <w:t xml:space="preserve"> </w:t>
      </w:r>
      <w:r w:rsidR="00135BE6" w:rsidRPr="00106D61">
        <w:t>P</w:t>
      </w:r>
      <w:r w:rsidR="00A50164" w:rsidRPr="00106D61">
        <w:t>rotocol</w:t>
      </w:r>
    </w:p>
    <w:p w14:paraId="20B8709B" w14:textId="098D55E3" w:rsidR="00B56D50" w:rsidRPr="00106D61" w:rsidRDefault="00B56D50" w:rsidP="00B30709">
      <w:pPr>
        <w:spacing w:after="0" w:line="259" w:lineRule="auto"/>
        <w:ind w:right="0"/>
      </w:pPr>
    </w:p>
    <w:tbl>
      <w:tblPr>
        <w:tblStyle w:val="TableGrid1"/>
        <w:tblW w:w="10620" w:type="dxa"/>
        <w:tblInd w:w="-375" w:type="dxa"/>
        <w:tblCellMar>
          <w:top w:w="8" w:type="dxa"/>
          <w:left w:w="72" w:type="dxa"/>
          <w:right w:w="73" w:type="dxa"/>
        </w:tblCellMar>
        <w:tblLook w:val="04A0" w:firstRow="1" w:lastRow="0" w:firstColumn="1" w:lastColumn="0" w:noHBand="0" w:noVBand="1"/>
      </w:tblPr>
      <w:tblGrid>
        <w:gridCol w:w="1647"/>
        <w:gridCol w:w="3365"/>
        <w:gridCol w:w="3453"/>
        <w:gridCol w:w="2155"/>
      </w:tblGrid>
      <w:tr w:rsidR="004B1500" w14:paraId="6C2852DD" w14:textId="77777777" w:rsidTr="00725264">
        <w:trPr>
          <w:trHeight w:val="349"/>
        </w:trPr>
        <w:tc>
          <w:tcPr>
            <w:tcW w:w="10620" w:type="dxa"/>
            <w:gridSpan w:val="4"/>
            <w:tcBorders>
              <w:top w:val="single" w:sz="12" w:space="0" w:color="000000"/>
              <w:left w:val="single" w:sz="12" w:space="0" w:color="000000"/>
              <w:bottom w:val="single" w:sz="12" w:space="0" w:color="000000"/>
              <w:right w:val="single" w:sz="12" w:space="0" w:color="000000"/>
            </w:tcBorders>
            <w:vAlign w:val="center"/>
          </w:tcPr>
          <w:p w14:paraId="04AFED1E" w14:textId="22F82038" w:rsidR="004B1500" w:rsidRDefault="004B1500" w:rsidP="00344A85">
            <w:pPr>
              <w:spacing w:after="0" w:line="259" w:lineRule="auto"/>
              <w:ind w:left="0" w:right="0" w:firstLine="0"/>
            </w:pPr>
            <w:r>
              <w:rPr>
                <w:b/>
                <w:sz w:val="18"/>
              </w:rPr>
              <w:t>Metals</w:t>
            </w:r>
            <w:proofErr w:type="gramStart"/>
            <w:r>
              <w:rPr>
                <w:b/>
                <w:sz w:val="18"/>
              </w:rPr>
              <w:t>:  Acceptable</w:t>
            </w:r>
            <w:proofErr w:type="gramEnd"/>
            <w:r>
              <w:rPr>
                <w:b/>
                <w:sz w:val="18"/>
              </w:rPr>
              <w:t xml:space="preserve"> Sample Preparation Methods</w:t>
            </w:r>
          </w:p>
        </w:tc>
      </w:tr>
      <w:tr w:rsidR="00B56D50" w14:paraId="7FCEFFED" w14:textId="77777777" w:rsidTr="00725264">
        <w:trPr>
          <w:trHeight w:val="319"/>
        </w:trPr>
        <w:tc>
          <w:tcPr>
            <w:tcW w:w="1647" w:type="dxa"/>
            <w:tcBorders>
              <w:top w:val="single" w:sz="12" w:space="0" w:color="000000"/>
              <w:left w:val="single" w:sz="12" w:space="0" w:color="000000"/>
              <w:bottom w:val="single" w:sz="12" w:space="0" w:color="000000"/>
              <w:right w:val="single" w:sz="12" w:space="0" w:color="000000"/>
            </w:tcBorders>
            <w:vAlign w:val="center"/>
          </w:tcPr>
          <w:p w14:paraId="61FFE69D" w14:textId="5A95F8ED" w:rsidR="00B56D50" w:rsidRDefault="001C3C42" w:rsidP="0067303A">
            <w:pPr>
              <w:spacing w:after="0" w:line="259" w:lineRule="auto"/>
              <w:ind w:left="0" w:right="3" w:firstLine="0"/>
              <w:jc w:val="center"/>
            </w:pPr>
            <w:r>
              <w:rPr>
                <w:b/>
                <w:sz w:val="18"/>
              </w:rPr>
              <w:t>Method No.</w:t>
            </w:r>
          </w:p>
        </w:tc>
        <w:tc>
          <w:tcPr>
            <w:tcW w:w="3365" w:type="dxa"/>
            <w:tcBorders>
              <w:top w:val="single" w:sz="12" w:space="0" w:color="000000"/>
              <w:left w:val="single" w:sz="12" w:space="0" w:color="000000"/>
              <w:bottom w:val="single" w:sz="12" w:space="0" w:color="000000"/>
              <w:right w:val="single" w:sz="12" w:space="0" w:color="000000"/>
            </w:tcBorders>
            <w:vAlign w:val="center"/>
          </w:tcPr>
          <w:p w14:paraId="313EF877" w14:textId="6E36DBD1" w:rsidR="00B56D50" w:rsidRDefault="001C3C42" w:rsidP="0067303A">
            <w:pPr>
              <w:spacing w:after="0" w:line="259" w:lineRule="auto"/>
              <w:ind w:left="0" w:right="4" w:firstLine="0"/>
              <w:jc w:val="center"/>
            </w:pPr>
            <w:r>
              <w:rPr>
                <w:b/>
                <w:sz w:val="18"/>
              </w:rPr>
              <w:t>Sample Matrix</w:t>
            </w:r>
          </w:p>
        </w:tc>
        <w:tc>
          <w:tcPr>
            <w:tcW w:w="3453" w:type="dxa"/>
            <w:tcBorders>
              <w:top w:val="single" w:sz="12" w:space="0" w:color="000000"/>
              <w:left w:val="single" w:sz="12" w:space="0" w:color="000000"/>
              <w:bottom w:val="single" w:sz="12" w:space="0" w:color="000000"/>
              <w:right w:val="single" w:sz="12" w:space="0" w:color="000000"/>
            </w:tcBorders>
            <w:vAlign w:val="center"/>
          </w:tcPr>
          <w:p w14:paraId="57CEC87E" w14:textId="499BC82D" w:rsidR="00B56D50" w:rsidRDefault="001C3C42" w:rsidP="0067303A">
            <w:pPr>
              <w:spacing w:after="0" w:line="259" w:lineRule="auto"/>
              <w:ind w:left="0" w:right="5" w:firstLine="0"/>
              <w:jc w:val="center"/>
            </w:pPr>
            <w:r>
              <w:rPr>
                <w:b/>
                <w:sz w:val="18"/>
              </w:rPr>
              <w:t>Procedure</w:t>
            </w:r>
          </w:p>
        </w:tc>
        <w:tc>
          <w:tcPr>
            <w:tcW w:w="2155" w:type="dxa"/>
            <w:tcBorders>
              <w:top w:val="single" w:sz="12" w:space="0" w:color="000000"/>
              <w:left w:val="single" w:sz="12" w:space="0" w:color="000000"/>
              <w:bottom w:val="single" w:sz="12" w:space="0" w:color="000000"/>
              <w:right w:val="single" w:sz="12" w:space="0" w:color="000000"/>
            </w:tcBorders>
            <w:vAlign w:val="center"/>
          </w:tcPr>
          <w:p w14:paraId="32EE6CC1" w14:textId="785B4BDF" w:rsidR="00B56D50" w:rsidRDefault="001C3C42" w:rsidP="0067303A">
            <w:pPr>
              <w:spacing w:after="0" w:line="259" w:lineRule="auto"/>
              <w:ind w:left="0" w:right="8" w:firstLine="0"/>
              <w:jc w:val="center"/>
            </w:pPr>
            <w:r>
              <w:rPr>
                <w:b/>
                <w:sz w:val="18"/>
              </w:rPr>
              <w:t>Comments</w:t>
            </w:r>
          </w:p>
        </w:tc>
      </w:tr>
      <w:tr w:rsidR="00B56D50" w14:paraId="5DCB359F" w14:textId="77777777" w:rsidTr="00725264">
        <w:trPr>
          <w:trHeight w:val="434"/>
        </w:trPr>
        <w:tc>
          <w:tcPr>
            <w:tcW w:w="1647" w:type="dxa"/>
            <w:tcBorders>
              <w:top w:val="single" w:sz="12" w:space="0" w:color="000000"/>
              <w:left w:val="single" w:sz="12" w:space="0" w:color="000000"/>
              <w:bottom w:val="single" w:sz="2" w:space="0" w:color="000000"/>
              <w:right w:val="single" w:sz="12" w:space="0" w:color="000000"/>
            </w:tcBorders>
            <w:vAlign w:val="center"/>
          </w:tcPr>
          <w:p w14:paraId="433D22CE" w14:textId="173465BC" w:rsidR="00B56D50" w:rsidRDefault="001C3C42" w:rsidP="00905D10">
            <w:pPr>
              <w:tabs>
                <w:tab w:val="center" w:pos="517"/>
              </w:tabs>
              <w:spacing w:after="0" w:line="259" w:lineRule="auto"/>
              <w:ind w:left="0" w:right="0" w:firstLine="0"/>
              <w:jc w:val="center"/>
            </w:pPr>
            <w:r>
              <w:rPr>
                <w:sz w:val="18"/>
              </w:rPr>
              <w:t>3005</w:t>
            </w:r>
          </w:p>
        </w:tc>
        <w:tc>
          <w:tcPr>
            <w:tcW w:w="3365" w:type="dxa"/>
            <w:tcBorders>
              <w:top w:val="single" w:sz="12" w:space="0" w:color="000000"/>
              <w:left w:val="single" w:sz="12" w:space="0" w:color="000000"/>
              <w:bottom w:val="single" w:sz="4" w:space="0" w:color="000000"/>
              <w:right w:val="single" w:sz="12" w:space="0" w:color="000000"/>
            </w:tcBorders>
            <w:vAlign w:val="center"/>
          </w:tcPr>
          <w:p w14:paraId="1B6D0E7B" w14:textId="502F956B" w:rsidR="00B56D50" w:rsidRDefault="001C3C42" w:rsidP="0024675C">
            <w:pPr>
              <w:spacing w:after="0" w:line="259" w:lineRule="auto"/>
              <w:ind w:left="20" w:right="0" w:firstLine="0"/>
              <w:jc w:val="center"/>
            </w:pPr>
            <w:r>
              <w:rPr>
                <w:sz w:val="18"/>
              </w:rPr>
              <w:t>Aqueous (ground and surface water only)</w:t>
            </w:r>
          </w:p>
        </w:tc>
        <w:tc>
          <w:tcPr>
            <w:tcW w:w="3453" w:type="dxa"/>
            <w:tcBorders>
              <w:top w:val="single" w:sz="12" w:space="0" w:color="000000"/>
              <w:left w:val="single" w:sz="12" w:space="0" w:color="000000"/>
              <w:bottom w:val="single" w:sz="4" w:space="0" w:color="000000"/>
              <w:right w:val="single" w:sz="12" w:space="0" w:color="000000"/>
            </w:tcBorders>
            <w:vAlign w:val="center"/>
          </w:tcPr>
          <w:p w14:paraId="41D14FC3" w14:textId="7FD70B8D" w:rsidR="00B56D50" w:rsidRDefault="001C3C42" w:rsidP="0024675C">
            <w:pPr>
              <w:tabs>
                <w:tab w:val="center" w:pos="1344"/>
              </w:tabs>
              <w:spacing w:after="0" w:line="259" w:lineRule="auto"/>
              <w:ind w:left="0" w:right="0" w:firstLine="0"/>
              <w:jc w:val="center"/>
            </w:pPr>
            <w:r>
              <w:rPr>
                <w:sz w:val="18"/>
              </w:rPr>
              <w:t>Acid Digestion for ICP analysis</w:t>
            </w:r>
          </w:p>
        </w:tc>
        <w:tc>
          <w:tcPr>
            <w:tcW w:w="2155" w:type="dxa"/>
            <w:tcBorders>
              <w:top w:val="single" w:sz="12" w:space="0" w:color="000000"/>
              <w:left w:val="single" w:sz="12" w:space="0" w:color="000000"/>
              <w:bottom w:val="single" w:sz="2" w:space="0" w:color="000000"/>
              <w:right w:val="single" w:sz="12" w:space="0" w:color="000000"/>
            </w:tcBorders>
            <w:vAlign w:val="center"/>
          </w:tcPr>
          <w:p w14:paraId="15EDC5D5" w14:textId="77E32C09" w:rsidR="00B56D50" w:rsidRDefault="001C3C42" w:rsidP="0024675C">
            <w:pPr>
              <w:spacing w:after="0" w:line="259" w:lineRule="auto"/>
              <w:ind w:left="0" w:right="0" w:firstLine="0"/>
              <w:jc w:val="center"/>
            </w:pPr>
            <w:r>
              <w:rPr>
                <w:i/>
                <w:sz w:val="18"/>
              </w:rPr>
              <w:t>Total Recoverable</w:t>
            </w:r>
            <w:r>
              <w:rPr>
                <w:sz w:val="18"/>
              </w:rPr>
              <w:t xml:space="preserve"> and </w:t>
            </w:r>
            <w:r>
              <w:rPr>
                <w:i/>
                <w:sz w:val="18"/>
              </w:rPr>
              <w:t xml:space="preserve">Dissolved </w:t>
            </w:r>
            <w:r>
              <w:rPr>
                <w:sz w:val="18"/>
              </w:rPr>
              <w:t>Metals</w:t>
            </w:r>
          </w:p>
        </w:tc>
      </w:tr>
      <w:tr w:rsidR="00B56D50" w14:paraId="5238368C" w14:textId="77777777" w:rsidTr="00725264">
        <w:trPr>
          <w:trHeight w:val="422"/>
        </w:trPr>
        <w:tc>
          <w:tcPr>
            <w:tcW w:w="1647" w:type="dxa"/>
            <w:tcBorders>
              <w:top w:val="single" w:sz="2" w:space="0" w:color="000000"/>
              <w:left w:val="single" w:sz="12" w:space="0" w:color="000000"/>
              <w:bottom w:val="single" w:sz="2" w:space="0" w:color="000000"/>
              <w:right w:val="single" w:sz="12" w:space="0" w:color="000000"/>
            </w:tcBorders>
            <w:vAlign w:val="center"/>
          </w:tcPr>
          <w:p w14:paraId="57D50C45" w14:textId="3D145853" w:rsidR="00B56D50" w:rsidRDefault="001C3C42" w:rsidP="00905D10">
            <w:pPr>
              <w:tabs>
                <w:tab w:val="center" w:pos="517"/>
              </w:tabs>
              <w:spacing w:after="0" w:line="259" w:lineRule="auto"/>
              <w:ind w:left="0" w:right="0" w:firstLine="0"/>
              <w:jc w:val="center"/>
            </w:pPr>
            <w:r>
              <w:rPr>
                <w:sz w:val="18"/>
              </w:rPr>
              <w:t>3010</w:t>
            </w:r>
          </w:p>
        </w:tc>
        <w:tc>
          <w:tcPr>
            <w:tcW w:w="3365" w:type="dxa"/>
            <w:tcBorders>
              <w:top w:val="single" w:sz="4" w:space="0" w:color="000000"/>
              <w:left w:val="single" w:sz="12" w:space="0" w:color="000000"/>
              <w:bottom w:val="single" w:sz="4" w:space="0" w:color="000000"/>
              <w:right w:val="single" w:sz="12" w:space="0" w:color="000000"/>
            </w:tcBorders>
            <w:vAlign w:val="center"/>
          </w:tcPr>
          <w:p w14:paraId="2344A868" w14:textId="508D48CF" w:rsidR="00B56D50" w:rsidRDefault="001C3C42" w:rsidP="0024675C">
            <w:pPr>
              <w:spacing w:after="0" w:line="259" w:lineRule="auto"/>
              <w:ind w:left="108" w:right="0" w:firstLine="0"/>
              <w:jc w:val="center"/>
            </w:pPr>
            <w:r>
              <w:rPr>
                <w:sz w:val="18"/>
              </w:rPr>
              <w:t>Aqueous (including leaching procedure extracts)</w:t>
            </w:r>
          </w:p>
        </w:tc>
        <w:tc>
          <w:tcPr>
            <w:tcW w:w="3453" w:type="dxa"/>
            <w:tcBorders>
              <w:top w:val="single" w:sz="4" w:space="0" w:color="000000"/>
              <w:left w:val="single" w:sz="12" w:space="0" w:color="000000"/>
              <w:bottom w:val="single" w:sz="4" w:space="0" w:color="000000"/>
              <w:right w:val="single" w:sz="12" w:space="0" w:color="000000"/>
            </w:tcBorders>
            <w:vAlign w:val="center"/>
          </w:tcPr>
          <w:p w14:paraId="1BFD627E" w14:textId="43FF875B" w:rsidR="00B56D50" w:rsidRDefault="001C3C42" w:rsidP="0024675C">
            <w:pPr>
              <w:tabs>
                <w:tab w:val="center" w:pos="1367"/>
              </w:tabs>
              <w:spacing w:after="0" w:line="259" w:lineRule="auto"/>
              <w:ind w:left="0" w:right="0" w:firstLine="0"/>
              <w:jc w:val="center"/>
            </w:pPr>
            <w:r>
              <w:rPr>
                <w:sz w:val="18"/>
              </w:rPr>
              <w:t xml:space="preserve">Acid </w:t>
            </w:r>
            <w:r w:rsidR="00E81AA4">
              <w:rPr>
                <w:sz w:val="18"/>
              </w:rPr>
              <w:t>Digestion for</w:t>
            </w:r>
            <w:r>
              <w:rPr>
                <w:sz w:val="18"/>
              </w:rPr>
              <w:t xml:space="preserve"> ICP analysis</w:t>
            </w:r>
          </w:p>
        </w:tc>
        <w:tc>
          <w:tcPr>
            <w:tcW w:w="2155" w:type="dxa"/>
            <w:tcBorders>
              <w:top w:val="single" w:sz="2" w:space="0" w:color="000000"/>
              <w:left w:val="single" w:sz="12" w:space="0" w:color="000000"/>
              <w:bottom w:val="single" w:sz="2" w:space="0" w:color="000000"/>
              <w:right w:val="single" w:sz="12" w:space="0" w:color="000000"/>
            </w:tcBorders>
            <w:vAlign w:val="center"/>
          </w:tcPr>
          <w:p w14:paraId="62B844E7" w14:textId="3CF87803" w:rsidR="00B56D50" w:rsidRDefault="001C3C42" w:rsidP="0024675C">
            <w:pPr>
              <w:spacing w:after="0" w:line="259" w:lineRule="auto"/>
              <w:ind w:left="2" w:right="0" w:firstLine="0"/>
              <w:jc w:val="center"/>
            </w:pPr>
            <w:r>
              <w:rPr>
                <w:sz w:val="18"/>
              </w:rPr>
              <w:t>Total Metals</w:t>
            </w:r>
          </w:p>
        </w:tc>
      </w:tr>
      <w:tr w:rsidR="00B56D50" w14:paraId="74E09221" w14:textId="77777777" w:rsidTr="00725264">
        <w:trPr>
          <w:trHeight w:val="425"/>
        </w:trPr>
        <w:tc>
          <w:tcPr>
            <w:tcW w:w="1647" w:type="dxa"/>
            <w:tcBorders>
              <w:top w:val="single" w:sz="2" w:space="0" w:color="000000"/>
              <w:left w:val="single" w:sz="12" w:space="0" w:color="000000"/>
              <w:bottom w:val="single" w:sz="4" w:space="0" w:color="000000"/>
              <w:right w:val="single" w:sz="12" w:space="0" w:color="000000"/>
            </w:tcBorders>
            <w:vAlign w:val="center"/>
          </w:tcPr>
          <w:p w14:paraId="51917086" w14:textId="41965DA4" w:rsidR="00B56D50" w:rsidRDefault="001C3C42" w:rsidP="00905D10">
            <w:pPr>
              <w:tabs>
                <w:tab w:val="center" w:pos="517"/>
              </w:tabs>
              <w:spacing w:after="0" w:line="259" w:lineRule="auto"/>
              <w:ind w:left="0" w:right="0" w:firstLine="0"/>
              <w:jc w:val="center"/>
            </w:pPr>
            <w:r>
              <w:rPr>
                <w:sz w:val="18"/>
              </w:rPr>
              <w:t>3020</w:t>
            </w:r>
          </w:p>
        </w:tc>
        <w:tc>
          <w:tcPr>
            <w:tcW w:w="3365" w:type="dxa"/>
            <w:tcBorders>
              <w:top w:val="single" w:sz="4" w:space="0" w:color="000000"/>
              <w:left w:val="single" w:sz="12" w:space="0" w:color="000000"/>
              <w:bottom w:val="single" w:sz="4" w:space="0" w:color="000000"/>
              <w:right w:val="single" w:sz="12" w:space="0" w:color="000000"/>
            </w:tcBorders>
            <w:vAlign w:val="center"/>
          </w:tcPr>
          <w:p w14:paraId="5396B273" w14:textId="4093281B" w:rsidR="00B56D50" w:rsidRDefault="001C3C42" w:rsidP="0024675C">
            <w:pPr>
              <w:spacing w:after="0" w:line="259" w:lineRule="auto"/>
              <w:ind w:left="108" w:right="0" w:firstLine="0"/>
              <w:jc w:val="center"/>
            </w:pPr>
            <w:r>
              <w:rPr>
                <w:sz w:val="18"/>
              </w:rPr>
              <w:t>Aqueous (including leaching procedure extracts</w:t>
            </w:r>
          </w:p>
        </w:tc>
        <w:tc>
          <w:tcPr>
            <w:tcW w:w="3453" w:type="dxa"/>
            <w:tcBorders>
              <w:top w:val="single" w:sz="4" w:space="0" w:color="000000"/>
              <w:left w:val="single" w:sz="12" w:space="0" w:color="000000"/>
              <w:bottom w:val="single" w:sz="4" w:space="0" w:color="000000"/>
              <w:right w:val="single" w:sz="12" w:space="0" w:color="000000"/>
            </w:tcBorders>
            <w:vAlign w:val="center"/>
          </w:tcPr>
          <w:p w14:paraId="5748C396" w14:textId="22E344C5" w:rsidR="00B56D50" w:rsidRDefault="001C3C42" w:rsidP="0024675C">
            <w:pPr>
              <w:tabs>
                <w:tab w:val="center" w:pos="1451"/>
              </w:tabs>
              <w:spacing w:after="0" w:line="259" w:lineRule="auto"/>
              <w:ind w:left="0" w:right="0" w:firstLine="0"/>
              <w:jc w:val="center"/>
            </w:pPr>
            <w:r>
              <w:rPr>
                <w:sz w:val="18"/>
              </w:rPr>
              <w:t>Acid Digestion for GFAA analysis</w:t>
            </w:r>
          </w:p>
        </w:tc>
        <w:tc>
          <w:tcPr>
            <w:tcW w:w="2155" w:type="dxa"/>
            <w:tcBorders>
              <w:top w:val="single" w:sz="2" w:space="0" w:color="000000"/>
              <w:left w:val="single" w:sz="12" w:space="0" w:color="000000"/>
              <w:bottom w:val="single" w:sz="4" w:space="0" w:color="000000"/>
              <w:right w:val="single" w:sz="12" w:space="0" w:color="000000"/>
            </w:tcBorders>
            <w:vAlign w:val="center"/>
          </w:tcPr>
          <w:p w14:paraId="1D843B38" w14:textId="03D20CF7" w:rsidR="00B56D50" w:rsidRDefault="001C3C42" w:rsidP="0024675C">
            <w:pPr>
              <w:spacing w:after="0" w:line="259" w:lineRule="auto"/>
              <w:ind w:left="2" w:right="0" w:firstLine="0"/>
              <w:jc w:val="center"/>
            </w:pPr>
            <w:r>
              <w:rPr>
                <w:sz w:val="18"/>
              </w:rPr>
              <w:t>Total Metals</w:t>
            </w:r>
          </w:p>
        </w:tc>
      </w:tr>
      <w:tr w:rsidR="00B56D50" w14:paraId="2094C492" w14:textId="77777777" w:rsidTr="00725264">
        <w:trPr>
          <w:trHeight w:val="259"/>
        </w:trPr>
        <w:tc>
          <w:tcPr>
            <w:tcW w:w="1647" w:type="dxa"/>
            <w:tcBorders>
              <w:top w:val="single" w:sz="4" w:space="0" w:color="000000"/>
              <w:left w:val="single" w:sz="12" w:space="0" w:color="000000"/>
              <w:bottom w:val="single" w:sz="4" w:space="0" w:color="000000"/>
              <w:right w:val="single" w:sz="12" w:space="0" w:color="000000"/>
            </w:tcBorders>
            <w:vAlign w:val="center"/>
          </w:tcPr>
          <w:p w14:paraId="6653046E" w14:textId="6509FEEE" w:rsidR="00B56D50" w:rsidRDefault="001C3C42" w:rsidP="00905D10">
            <w:pPr>
              <w:tabs>
                <w:tab w:val="center" w:pos="452"/>
              </w:tabs>
              <w:spacing w:after="0" w:line="259" w:lineRule="auto"/>
              <w:ind w:left="0" w:right="0" w:firstLine="0"/>
              <w:jc w:val="center"/>
            </w:pPr>
            <w:r>
              <w:rPr>
                <w:sz w:val="18"/>
              </w:rPr>
              <w:t>3031</w:t>
            </w:r>
          </w:p>
        </w:tc>
        <w:tc>
          <w:tcPr>
            <w:tcW w:w="3365" w:type="dxa"/>
            <w:tcBorders>
              <w:top w:val="single" w:sz="4" w:space="0" w:color="000000"/>
              <w:left w:val="single" w:sz="12" w:space="0" w:color="000000"/>
              <w:bottom w:val="single" w:sz="4" w:space="0" w:color="000000"/>
              <w:right w:val="single" w:sz="12" w:space="0" w:color="000000"/>
            </w:tcBorders>
            <w:vAlign w:val="center"/>
          </w:tcPr>
          <w:p w14:paraId="19DDE753" w14:textId="4B85EB31" w:rsidR="00B56D50" w:rsidRDefault="001C3C42" w:rsidP="0024675C">
            <w:pPr>
              <w:spacing w:after="0" w:line="259" w:lineRule="auto"/>
              <w:ind w:left="108" w:right="0" w:firstLine="0"/>
              <w:jc w:val="center"/>
            </w:pPr>
            <w:r>
              <w:rPr>
                <w:sz w:val="18"/>
              </w:rPr>
              <w:t>Oils and Oily Wastes</w:t>
            </w:r>
          </w:p>
        </w:tc>
        <w:tc>
          <w:tcPr>
            <w:tcW w:w="3453" w:type="dxa"/>
            <w:tcBorders>
              <w:top w:val="single" w:sz="4" w:space="0" w:color="000000"/>
              <w:left w:val="single" w:sz="12" w:space="0" w:color="000000"/>
              <w:bottom w:val="single" w:sz="4" w:space="0" w:color="000000"/>
              <w:right w:val="single" w:sz="12" w:space="0" w:color="000000"/>
            </w:tcBorders>
            <w:vAlign w:val="center"/>
          </w:tcPr>
          <w:p w14:paraId="71001C30" w14:textId="736DD254" w:rsidR="00B56D50" w:rsidRDefault="001C3C42" w:rsidP="0024675C">
            <w:pPr>
              <w:tabs>
                <w:tab w:val="center" w:pos="1344"/>
              </w:tabs>
              <w:spacing w:after="0" w:line="259" w:lineRule="auto"/>
              <w:ind w:left="0" w:right="0" w:firstLine="0"/>
              <w:jc w:val="center"/>
            </w:pPr>
            <w:r>
              <w:rPr>
                <w:sz w:val="18"/>
              </w:rPr>
              <w:t>Acid Digestion for ICP analysis</w:t>
            </w:r>
          </w:p>
        </w:tc>
        <w:tc>
          <w:tcPr>
            <w:tcW w:w="2155" w:type="dxa"/>
            <w:tcBorders>
              <w:top w:val="single" w:sz="4" w:space="0" w:color="000000"/>
              <w:left w:val="single" w:sz="12" w:space="0" w:color="000000"/>
              <w:bottom w:val="single" w:sz="4" w:space="0" w:color="000000"/>
              <w:right w:val="single" w:sz="12" w:space="0" w:color="000000"/>
            </w:tcBorders>
            <w:vAlign w:val="center"/>
          </w:tcPr>
          <w:p w14:paraId="2C4650C1" w14:textId="572AE01E" w:rsidR="00B56D50" w:rsidRDefault="001C3C42" w:rsidP="0024675C">
            <w:pPr>
              <w:spacing w:after="0" w:line="259" w:lineRule="auto"/>
              <w:ind w:left="2" w:right="0" w:firstLine="0"/>
              <w:jc w:val="center"/>
            </w:pPr>
            <w:r>
              <w:rPr>
                <w:sz w:val="18"/>
              </w:rPr>
              <w:t>Total Metals</w:t>
            </w:r>
          </w:p>
        </w:tc>
      </w:tr>
      <w:tr w:rsidR="00B56D50" w14:paraId="5528093D" w14:textId="77777777" w:rsidTr="00725264">
        <w:trPr>
          <w:trHeight w:val="422"/>
        </w:trPr>
        <w:tc>
          <w:tcPr>
            <w:tcW w:w="1647" w:type="dxa"/>
            <w:tcBorders>
              <w:top w:val="single" w:sz="4" w:space="0" w:color="000000"/>
              <w:left w:val="single" w:sz="12" w:space="0" w:color="000000"/>
              <w:bottom w:val="single" w:sz="4" w:space="0" w:color="000000"/>
              <w:right w:val="single" w:sz="12" w:space="0" w:color="000000"/>
            </w:tcBorders>
            <w:vAlign w:val="center"/>
          </w:tcPr>
          <w:p w14:paraId="0645E152" w14:textId="3D7E6617" w:rsidR="00B56D50" w:rsidRDefault="001C3C42" w:rsidP="00905D10">
            <w:pPr>
              <w:tabs>
                <w:tab w:val="center" w:pos="517"/>
              </w:tabs>
              <w:spacing w:after="0" w:line="259" w:lineRule="auto"/>
              <w:ind w:left="0" w:right="0" w:firstLine="0"/>
              <w:jc w:val="center"/>
            </w:pPr>
            <w:r>
              <w:rPr>
                <w:sz w:val="18"/>
              </w:rPr>
              <w:t>3040</w:t>
            </w:r>
          </w:p>
        </w:tc>
        <w:tc>
          <w:tcPr>
            <w:tcW w:w="3365" w:type="dxa"/>
            <w:tcBorders>
              <w:top w:val="single" w:sz="4" w:space="0" w:color="000000"/>
              <w:left w:val="single" w:sz="12" w:space="0" w:color="000000"/>
              <w:bottom w:val="single" w:sz="4" w:space="0" w:color="000000"/>
              <w:right w:val="single" w:sz="12" w:space="0" w:color="000000"/>
            </w:tcBorders>
            <w:vAlign w:val="center"/>
          </w:tcPr>
          <w:p w14:paraId="41E1B6D1" w14:textId="351F4777" w:rsidR="00B56D50" w:rsidRDefault="001C3C42" w:rsidP="0024675C">
            <w:pPr>
              <w:spacing w:after="0" w:line="259" w:lineRule="auto"/>
              <w:ind w:left="108" w:right="0" w:firstLine="0"/>
              <w:jc w:val="center"/>
            </w:pPr>
            <w:r>
              <w:rPr>
                <w:sz w:val="18"/>
              </w:rPr>
              <w:t>Crude Oil and Virgin Oils, Greases and</w:t>
            </w:r>
          </w:p>
          <w:p w14:paraId="0B2F5A54" w14:textId="0C05622C" w:rsidR="00B56D50" w:rsidRDefault="001C3C42" w:rsidP="0024675C">
            <w:pPr>
              <w:spacing w:after="0" w:line="259" w:lineRule="auto"/>
              <w:ind w:left="108" w:right="0" w:firstLine="0"/>
              <w:jc w:val="center"/>
            </w:pPr>
            <w:r>
              <w:rPr>
                <w:sz w:val="18"/>
              </w:rPr>
              <w:t>Waxes</w:t>
            </w:r>
          </w:p>
        </w:tc>
        <w:tc>
          <w:tcPr>
            <w:tcW w:w="3453" w:type="dxa"/>
            <w:tcBorders>
              <w:top w:val="single" w:sz="4" w:space="0" w:color="000000"/>
              <w:left w:val="single" w:sz="12" w:space="0" w:color="000000"/>
              <w:bottom w:val="single" w:sz="4" w:space="0" w:color="000000"/>
              <w:right w:val="single" w:sz="12" w:space="0" w:color="000000"/>
            </w:tcBorders>
            <w:vAlign w:val="center"/>
          </w:tcPr>
          <w:p w14:paraId="32A8F94C" w14:textId="54F0BBE2" w:rsidR="00B56D50" w:rsidRDefault="001C3C42" w:rsidP="0024675C">
            <w:pPr>
              <w:tabs>
                <w:tab w:val="center" w:pos="1199"/>
              </w:tabs>
              <w:spacing w:after="0" w:line="259" w:lineRule="auto"/>
              <w:ind w:left="0" w:right="0" w:firstLine="0"/>
              <w:jc w:val="center"/>
            </w:pPr>
            <w:r>
              <w:rPr>
                <w:sz w:val="18"/>
              </w:rPr>
              <w:t>Solvent Dissolution for ICP</w:t>
            </w:r>
          </w:p>
        </w:tc>
        <w:tc>
          <w:tcPr>
            <w:tcW w:w="2155" w:type="dxa"/>
            <w:tcBorders>
              <w:top w:val="single" w:sz="4" w:space="0" w:color="000000"/>
              <w:left w:val="single" w:sz="12" w:space="0" w:color="000000"/>
              <w:bottom w:val="single" w:sz="4" w:space="0" w:color="000000"/>
              <w:right w:val="single" w:sz="12" w:space="0" w:color="000000"/>
            </w:tcBorders>
            <w:vAlign w:val="center"/>
          </w:tcPr>
          <w:p w14:paraId="1770959B" w14:textId="3264BD45" w:rsidR="00B56D50" w:rsidRDefault="001C3C42" w:rsidP="0024675C">
            <w:pPr>
              <w:spacing w:after="0" w:line="259" w:lineRule="auto"/>
              <w:ind w:left="2" w:right="0" w:firstLine="0"/>
              <w:jc w:val="center"/>
            </w:pPr>
            <w:r>
              <w:rPr>
                <w:sz w:val="18"/>
              </w:rPr>
              <w:t>Total Metals</w:t>
            </w:r>
          </w:p>
        </w:tc>
      </w:tr>
      <w:tr w:rsidR="00B56D50" w14:paraId="34A2540D" w14:textId="77777777" w:rsidTr="00725264">
        <w:trPr>
          <w:trHeight w:val="259"/>
        </w:trPr>
        <w:tc>
          <w:tcPr>
            <w:tcW w:w="1647" w:type="dxa"/>
            <w:tcBorders>
              <w:top w:val="single" w:sz="4" w:space="0" w:color="000000"/>
              <w:left w:val="single" w:sz="12" w:space="0" w:color="000000"/>
              <w:bottom w:val="single" w:sz="4" w:space="0" w:color="000000"/>
              <w:right w:val="single" w:sz="12" w:space="0" w:color="000000"/>
            </w:tcBorders>
            <w:vAlign w:val="center"/>
          </w:tcPr>
          <w:p w14:paraId="7BF75042" w14:textId="56E1D083" w:rsidR="00B56D50" w:rsidRDefault="001C3C42" w:rsidP="00905D10">
            <w:pPr>
              <w:tabs>
                <w:tab w:val="center" w:pos="512"/>
              </w:tabs>
              <w:spacing w:after="0" w:line="259" w:lineRule="auto"/>
              <w:ind w:left="0" w:right="0" w:firstLine="0"/>
              <w:jc w:val="center"/>
            </w:pPr>
            <w:r>
              <w:rPr>
                <w:sz w:val="18"/>
              </w:rPr>
              <w:t>3050</w:t>
            </w:r>
          </w:p>
        </w:tc>
        <w:tc>
          <w:tcPr>
            <w:tcW w:w="3365" w:type="dxa"/>
            <w:tcBorders>
              <w:top w:val="single" w:sz="4" w:space="0" w:color="000000"/>
              <w:left w:val="single" w:sz="12" w:space="0" w:color="000000"/>
              <w:bottom w:val="single" w:sz="4" w:space="0" w:color="000000"/>
              <w:right w:val="single" w:sz="12" w:space="0" w:color="000000"/>
            </w:tcBorders>
            <w:vAlign w:val="center"/>
          </w:tcPr>
          <w:p w14:paraId="59CEF1C8" w14:textId="300922BC" w:rsidR="00B56D50" w:rsidRDefault="001C3C42" w:rsidP="0024675C">
            <w:pPr>
              <w:spacing w:after="0" w:line="259" w:lineRule="auto"/>
              <w:ind w:left="108" w:right="0" w:firstLine="0"/>
              <w:jc w:val="center"/>
            </w:pPr>
            <w:r>
              <w:rPr>
                <w:sz w:val="18"/>
              </w:rPr>
              <w:t>Soils, Sediments, and Sludges</w:t>
            </w:r>
          </w:p>
        </w:tc>
        <w:tc>
          <w:tcPr>
            <w:tcW w:w="3453" w:type="dxa"/>
            <w:tcBorders>
              <w:top w:val="single" w:sz="4" w:space="0" w:color="000000"/>
              <w:left w:val="single" w:sz="12" w:space="0" w:color="000000"/>
              <w:bottom w:val="single" w:sz="4" w:space="0" w:color="000000"/>
              <w:right w:val="single" w:sz="12" w:space="0" w:color="000000"/>
            </w:tcBorders>
            <w:vAlign w:val="center"/>
          </w:tcPr>
          <w:p w14:paraId="731E5E98" w14:textId="5EFB603C" w:rsidR="00B56D50" w:rsidRDefault="001C3C42" w:rsidP="0024675C">
            <w:pPr>
              <w:tabs>
                <w:tab w:val="center" w:pos="1454"/>
              </w:tabs>
              <w:spacing w:after="0" w:line="259" w:lineRule="auto"/>
              <w:ind w:left="0" w:right="0" w:firstLine="0"/>
              <w:jc w:val="center"/>
            </w:pPr>
            <w:r>
              <w:rPr>
                <w:sz w:val="18"/>
              </w:rPr>
              <w:t>Acid Digestion for ICP and GFAA</w:t>
            </w:r>
          </w:p>
        </w:tc>
        <w:tc>
          <w:tcPr>
            <w:tcW w:w="2155" w:type="dxa"/>
            <w:tcBorders>
              <w:top w:val="single" w:sz="4" w:space="0" w:color="000000"/>
              <w:left w:val="single" w:sz="12" w:space="0" w:color="000000"/>
              <w:bottom w:val="single" w:sz="4" w:space="0" w:color="000000"/>
              <w:right w:val="single" w:sz="12" w:space="0" w:color="000000"/>
            </w:tcBorders>
            <w:vAlign w:val="center"/>
          </w:tcPr>
          <w:p w14:paraId="6F1FDE5C" w14:textId="6CA7D3CE" w:rsidR="00B56D50" w:rsidRDefault="001C3C42" w:rsidP="0024675C">
            <w:pPr>
              <w:spacing w:after="0" w:line="259" w:lineRule="auto"/>
              <w:ind w:left="0" w:right="0" w:firstLine="0"/>
              <w:jc w:val="center"/>
            </w:pPr>
            <w:r>
              <w:rPr>
                <w:sz w:val="18"/>
              </w:rPr>
              <w:t xml:space="preserve">Total </w:t>
            </w:r>
            <w:r>
              <w:rPr>
                <w:i/>
                <w:sz w:val="18"/>
              </w:rPr>
              <w:t xml:space="preserve">Available </w:t>
            </w:r>
            <w:r>
              <w:rPr>
                <w:sz w:val="18"/>
              </w:rPr>
              <w:t>Metals</w:t>
            </w:r>
          </w:p>
        </w:tc>
      </w:tr>
      <w:tr w:rsidR="00B56D50" w14:paraId="541A55E0" w14:textId="77777777" w:rsidTr="00725264">
        <w:trPr>
          <w:trHeight w:val="425"/>
        </w:trPr>
        <w:tc>
          <w:tcPr>
            <w:tcW w:w="1647" w:type="dxa"/>
            <w:tcBorders>
              <w:top w:val="single" w:sz="4" w:space="0" w:color="000000"/>
              <w:left w:val="single" w:sz="12" w:space="0" w:color="000000"/>
              <w:bottom w:val="single" w:sz="4" w:space="0" w:color="000000"/>
              <w:right w:val="single" w:sz="12" w:space="0" w:color="000000"/>
            </w:tcBorders>
            <w:vAlign w:val="center"/>
          </w:tcPr>
          <w:p w14:paraId="527F4E76" w14:textId="211F99E5" w:rsidR="00B56D50" w:rsidRDefault="001C3C42" w:rsidP="00905D10">
            <w:pPr>
              <w:tabs>
                <w:tab w:val="center" w:pos="517"/>
              </w:tabs>
              <w:spacing w:after="0" w:line="259" w:lineRule="auto"/>
              <w:ind w:left="0" w:right="0" w:firstLine="0"/>
              <w:jc w:val="center"/>
            </w:pPr>
            <w:r>
              <w:rPr>
                <w:sz w:val="18"/>
              </w:rPr>
              <w:t>3051</w:t>
            </w:r>
          </w:p>
        </w:tc>
        <w:tc>
          <w:tcPr>
            <w:tcW w:w="3365" w:type="dxa"/>
            <w:tcBorders>
              <w:top w:val="single" w:sz="4" w:space="0" w:color="000000"/>
              <w:left w:val="single" w:sz="12" w:space="0" w:color="000000"/>
              <w:bottom w:val="single" w:sz="4" w:space="0" w:color="000000"/>
              <w:right w:val="single" w:sz="12" w:space="0" w:color="000000"/>
            </w:tcBorders>
            <w:vAlign w:val="center"/>
          </w:tcPr>
          <w:p w14:paraId="78F1F99A" w14:textId="545FB5D7" w:rsidR="00B56D50" w:rsidRDefault="001C3C42" w:rsidP="0024675C">
            <w:pPr>
              <w:spacing w:after="0" w:line="259" w:lineRule="auto"/>
              <w:ind w:left="108" w:right="0" w:firstLine="0"/>
              <w:jc w:val="center"/>
            </w:pPr>
            <w:r>
              <w:rPr>
                <w:sz w:val="18"/>
              </w:rPr>
              <w:t>Soils, Sediments, and Sludges</w:t>
            </w:r>
          </w:p>
        </w:tc>
        <w:tc>
          <w:tcPr>
            <w:tcW w:w="3453" w:type="dxa"/>
            <w:tcBorders>
              <w:top w:val="single" w:sz="4" w:space="0" w:color="000000"/>
              <w:left w:val="single" w:sz="12" w:space="0" w:color="000000"/>
              <w:bottom w:val="single" w:sz="4" w:space="0" w:color="000000"/>
              <w:right w:val="single" w:sz="12" w:space="0" w:color="000000"/>
            </w:tcBorders>
            <w:vAlign w:val="center"/>
          </w:tcPr>
          <w:p w14:paraId="760188FF" w14:textId="76CFD62A" w:rsidR="00B56D50" w:rsidRDefault="001C3C42" w:rsidP="0024675C">
            <w:pPr>
              <w:spacing w:after="0" w:line="259" w:lineRule="auto"/>
              <w:ind w:left="197" w:right="0" w:firstLine="0"/>
              <w:jc w:val="center"/>
            </w:pPr>
            <w:r>
              <w:rPr>
                <w:sz w:val="18"/>
              </w:rPr>
              <w:t>Microwave-Assisted Acid Digestion for ICP and GFAA</w:t>
            </w:r>
          </w:p>
        </w:tc>
        <w:tc>
          <w:tcPr>
            <w:tcW w:w="2155" w:type="dxa"/>
            <w:tcBorders>
              <w:top w:val="single" w:sz="4" w:space="0" w:color="000000"/>
              <w:left w:val="single" w:sz="12" w:space="0" w:color="000000"/>
              <w:bottom w:val="single" w:sz="4" w:space="0" w:color="000000"/>
              <w:right w:val="single" w:sz="12" w:space="0" w:color="000000"/>
            </w:tcBorders>
            <w:vAlign w:val="center"/>
          </w:tcPr>
          <w:p w14:paraId="33F188D0" w14:textId="1E57FA07" w:rsidR="00B56D50" w:rsidRDefault="001C3C42" w:rsidP="0024675C">
            <w:pPr>
              <w:spacing w:after="0" w:line="259" w:lineRule="auto"/>
              <w:ind w:left="0" w:right="0" w:firstLine="0"/>
              <w:jc w:val="center"/>
            </w:pPr>
            <w:r>
              <w:rPr>
                <w:sz w:val="18"/>
              </w:rPr>
              <w:t xml:space="preserve">Total </w:t>
            </w:r>
            <w:r>
              <w:rPr>
                <w:i/>
                <w:sz w:val="18"/>
              </w:rPr>
              <w:t xml:space="preserve">Available </w:t>
            </w:r>
            <w:r>
              <w:rPr>
                <w:sz w:val="18"/>
              </w:rPr>
              <w:t>Metals</w:t>
            </w:r>
          </w:p>
        </w:tc>
      </w:tr>
      <w:tr w:rsidR="00B56D50" w14:paraId="57BED0BD" w14:textId="77777777" w:rsidTr="00725264">
        <w:trPr>
          <w:trHeight w:val="422"/>
        </w:trPr>
        <w:tc>
          <w:tcPr>
            <w:tcW w:w="1647" w:type="dxa"/>
            <w:tcBorders>
              <w:top w:val="single" w:sz="4" w:space="0" w:color="000000"/>
              <w:left w:val="single" w:sz="12" w:space="0" w:color="000000"/>
              <w:bottom w:val="single" w:sz="4" w:space="0" w:color="000000"/>
              <w:right w:val="single" w:sz="12" w:space="0" w:color="000000"/>
            </w:tcBorders>
            <w:vAlign w:val="center"/>
          </w:tcPr>
          <w:p w14:paraId="115D42B4" w14:textId="4853C2EB" w:rsidR="00B56D50" w:rsidRDefault="001C3C42" w:rsidP="00905D10">
            <w:pPr>
              <w:tabs>
                <w:tab w:val="center" w:pos="452"/>
              </w:tabs>
              <w:spacing w:after="0" w:line="259" w:lineRule="auto"/>
              <w:ind w:left="0" w:right="0" w:firstLine="0"/>
              <w:jc w:val="center"/>
            </w:pPr>
            <w:r>
              <w:rPr>
                <w:sz w:val="18"/>
              </w:rPr>
              <w:t>3052</w:t>
            </w:r>
          </w:p>
        </w:tc>
        <w:tc>
          <w:tcPr>
            <w:tcW w:w="3365" w:type="dxa"/>
            <w:tcBorders>
              <w:top w:val="single" w:sz="4" w:space="0" w:color="000000"/>
              <w:left w:val="single" w:sz="12" w:space="0" w:color="000000"/>
              <w:bottom w:val="single" w:sz="4" w:space="0" w:color="000000"/>
              <w:right w:val="single" w:sz="12" w:space="0" w:color="000000"/>
            </w:tcBorders>
            <w:vAlign w:val="center"/>
          </w:tcPr>
          <w:p w14:paraId="41D49C14" w14:textId="50697B06" w:rsidR="00B56D50" w:rsidRDefault="001C3C42" w:rsidP="0024675C">
            <w:pPr>
              <w:spacing w:after="0" w:line="259" w:lineRule="auto"/>
              <w:ind w:left="108" w:right="0" w:firstLine="0"/>
              <w:jc w:val="center"/>
            </w:pPr>
            <w:r>
              <w:rPr>
                <w:sz w:val="18"/>
              </w:rPr>
              <w:t xml:space="preserve">Siliceous and </w:t>
            </w:r>
            <w:r w:rsidR="00E81AA4">
              <w:rPr>
                <w:sz w:val="18"/>
              </w:rPr>
              <w:t>Organically Based</w:t>
            </w:r>
            <w:r>
              <w:rPr>
                <w:sz w:val="18"/>
              </w:rPr>
              <w:t xml:space="preserve"> Matrices (i.e., all except aqueous)</w:t>
            </w:r>
          </w:p>
        </w:tc>
        <w:tc>
          <w:tcPr>
            <w:tcW w:w="3453" w:type="dxa"/>
            <w:tcBorders>
              <w:top w:val="single" w:sz="4" w:space="0" w:color="000000"/>
              <w:left w:val="single" w:sz="12" w:space="0" w:color="000000"/>
              <w:bottom w:val="single" w:sz="4" w:space="0" w:color="000000"/>
              <w:right w:val="single" w:sz="12" w:space="0" w:color="000000"/>
            </w:tcBorders>
            <w:vAlign w:val="center"/>
          </w:tcPr>
          <w:p w14:paraId="147476F2" w14:textId="79A18438" w:rsidR="00B56D50" w:rsidRDefault="001C3C42" w:rsidP="0024675C">
            <w:pPr>
              <w:spacing w:after="0" w:line="259" w:lineRule="auto"/>
              <w:ind w:left="197" w:right="0" w:firstLine="0"/>
              <w:jc w:val="center"/>
            </w:pPr>
            <w:r>
              <w:rPr>
                <w:sz w:val="18"/>
              </w:rPr>
              <w:t>Microwave Assisted Acid Digestion</w:t>
            </w:r>
          </w:p>
        </w:tc>
        <w:tc>
          <w:tcPr>
            <w:tcW w:w="2155" w:type="dxa"/>
            <w:tcBorders>
              <w:top w:val="single" w:sz="4" w:space="0" w:color="000000"/>
              <w:left w:val="single" w:sz="12" w:space="0" w:color="000000"/>
              <w:bottom w:val="single" w:sz="4" w:space="0" w:color="000000"/>
              <w:right w:val="single" w:sz="12" w:space="0" w:color="000000"/>
            </w:tcBorders>
            <w:vAlign w:val="center"/>
          </w:tcPr>
          <w:p w14:paraId="5303E6EC" w14:textId="445A5FE4" w:rsidR="00B56D50" w:rsidRDefault="001C3C42" w:rsidP="0024675C">
            <w:pPr>
              <w:spacing w:after="0" w:line="259" w:lineRule="auto"/>
              <w:ind w:left="2" w:right="0" w:firstLine="0"/>
              <w:jc w:val="center"/>
            </w:pPr>
            <w:r>
              <w:rPr>
                <w:sz w:val="18"/>
              </w:rPr>
              <w:t>Total Metals</w:t>
            </w:r>
          </w:p>
        </w:tc>
      </w:tr>
      <w:tr w:rsidR="00B56D50" w14:paraId="727FC327" w14:textId="77777777" w:rsidTr="00725264">
        <w:trPr>
          <w:trHeight w:val="259"/>
        </w:trPr>
        <w:tc>
          <w:tcPr>
            <w:tcW w:w="1647" w:type="dxa"/>
            <w:tcBorders>
              <w:top w:val="single" w:sz="4" w:space="0" w:color="000000"/>
              <w:left w:val="single" w:sz="12" w:space="0" w:color="000000"/>
              <w:bottom w:val="single" w:sz="12" w:space="0" w:color="000000"/>
              <w:right w:val="single" w:sz="12" w:space="0" w:color="000000"/>
            </w:tcBorders>
            <w:vAlign w:val="center"/>
          </w:tcPr>
          <w:p w14:paraId="4E5AB6CE" w14:textId="378ED7F4" w:rsidR="00B56D50" w:rsidRDefault="001C3C42" w:rsidP="00905D10">
            <w:pPr>
              <w:tabs>
                <w:tab w:val="center" w:pos="426"/>
              </w:tabs>
              <w:spacing w:after="0" w:line="259" w:lineRule="auto"/>
              <w:ind w:left="0" w:right="0" w:firstLine="0"/>
              <w:jc w:val="center"/>
            </w:pPr>
            <w:r>
              <w:rPr>
                <w:sz w:val="18"/>
              </w:rPr>
              <w:t>3060</w:t>
            </w:r>
          </w:p>
        </w:tc>
        <w:tc>
          <w:tcPr>
            <w:tcW w:w="3365" w:type="dxa"/>
            <w:tcBorders>
              <w:top w:val="single" w:sz="4" w:space="0" w:color="000000"/>
              <w:left w:val="single" w:sz="12" w:space="0" w:color="000000"/>
              <w:bottom w:val="single" w:sz="12" w:space="0" w:color="000000"/>
              <w:right w:val="single" w:sz="12" w:space="0" w:color="000000"/>
            </w:tcBorders>
            <w:vAlign w:val="center"/>
          </w:tcPr>
          <w:p w14:paraId="0923D601" w14:textId="7DFF7418" w:rsidR="00B56D50" w:rsidRDefault="001C3C42" w:rsidP="0024675C">
            <w:pPr>
              <w:spacing w:after="0" w:line="259" w:lineRule="auto"/>
              <w:ind w:left="108" w:right="0" w:firstLine="0"/>
              <w:jc w:val="center"/>
            </w:pPr>
            <w:r>
              <w:rPr>
                <w:sz w:val="18"/>
              </w:rPr>
              <w:t>Soils, Sediments, and Sludges</w:t>
            </w:r>
          </w:p>
        </w:tc>
        <w:tc>
          <w:tcPr>
            <w:tcW w:w="3453" w:type="dxa"/>
            <w:tcBorders>
              <w:top w:val="single" w:sz="4" w:space="0" w:color="000000"/>
              <w:left w:val="single" w:sz="12" w:space="0" w:color="000000"/>
              <w:bottom w:val="single" w:sz="12" w:space="0" w:color="000000"/>
              <w:right w:val="single" w:sz="12" w:space="0" w:color="000000"/>
            </w:tcBorders>
            <w:vAlign w:val="center"/>
          </w:tcPr>
          <w:p w14:paraId="3ED59DAF" w14:textId="4C15AF5C" w:rsidR="00B56D50" w:rsidRDefault="001C3C42" w:rsidP="0024675C">
            <w:pPr>
              <w:spacing w:after="0" w:line="259" w:lineRule="auto"/>
              <w:ind w:left="197" w:right="0" w:firstLine="0"/>
              <w:jc w:val="center"/>
            </w:pPr>
            <w:r>
              <w:rPr>
                <w:b/>
                <w:sz w:val="18"/>
              </w:rPr>
              <w:t>Alkaline</w:t>
            </w:r>
            <w:r>
              <w:rPr>
                <w:sz w:val="18"/>
              </w:rPr>
              <w:t xml:space="preserve"> Digestion for </w:t>
            </w:r>
            <w:r>
              <w:rPr>
                <w:b/>
                <w:sz w:val="18"/>
              </w:rPr>
              <w:t>Cr</w:t>
            </w:r>
            <w:r>
              <w:rPr>
                <w:b/>
                <w:sz w:val="18"/>
                <w:vertAlign w:val="superscript"/>
              </w:rPr>
              <w:t>6+</w:t>
            </w:r>
          </w:p>
        </w:tc>
        <w:tc>
          <w:tcPr>
            <w:tcW w:w="2155" w:type="dxa"/>
            <w:tcBorders>
              <w:top w:val="single" w:sz="4" w:space="0" w:color="000000"/>
              <w:left w:val="single" w:sz="12" w:space="0" w:color="000000"/>
              <w:bottom w:val="single" w:sz="12" w:space="0" w:color="000000"/>
              <w:right w:val="single" w:sz="12" w:space="0" w:color="000000"/>
            </w:tcBorders>
            <w:vAlign w:val="center"/>
          </w:tcPr>
          <w:p w14:paraId="240F1AB1" w14:textId="76F532F6" w:rsidR="00B56D50" w:rsidRDefault="001C3C42" w:rsidP="0024675C">
            <w:pPr>
              <w:spacing w:after="0" w:line="259" w:lineRule="auto"/>
              <w:ind w:left="2" w:right="0" w:firstLine="0"/>
              <w:jc w:val="center"/>
            </w:pPr>
            <w:r>
              <w:rPr>
                <w:sz w:val="18"/>
              </w:rPr>
              <w:t>Hexavalent chromium</w:t>
            </w:r>
            <w:r>
              <w:rPr>
                <w:b/>
                <w:sz w:val="18"/>
              </w:rPr>
              <w:t xml:space="preserve"> </w:t>
            </w:r>
            <w:r>
              <w:rPr>
                <w:sz w:val="18"/>
              </w:rPr>
              <w:t>only</w:t>
            </w:r>
          </w:p>
        </w:tc>
      </w:tr>
    </w:tbl>
    <w:p w14:paraId="6C5E1795" w14:textId="77777777" w:rsidR="004E32C8" w:rsidRDefault="004E32C8" w:rsidP="008547E0">
      <w:pPr>
        <w:spacing w:after="0" w:line="259" w:lineRule="auto"/>
        <w:ind w:right="0"/>
      </w:pPr>
    </w:p>
    <w:tbl>
      <w:tblPr>
        <w:tblStyle w:val="TableGrid1"/>
        <w:tblW w:w="10620" w:type="dxa"/>
        <w:tblInd w:w="-375" w:type="dxa"/>
        <w:tblCellMar>
          <w:left w:w="106" w:type="dxa"/>
          <w:right w:w="77" w:type="dxa"/>
        </w:tblCellMar>
        <w:tblLook w:val="04A0" w:firstRow="1" w:lastRow="0" w:firstColumn="1" w:lastColumn="0" w:noHBand="0" w:noVBand="1"/>
      </w:tblPr>
      <w:tblGrid>
        <w:gridCol w:w="2211"/>
        <w:gridCol w:w="1179"/>
        <w:gridCol w:w="817"/>
        <w:gridCol w:w="726"/>
        <w:gridCol w:w="815"/>
        <w:gridCol w:w="818"/>
        <w:gridCol w:w="907"/>
        <w:gridCol w:w="907"/>
        <w:gridCol w:w="770"/>
        <w:gridCol w:w="772"/>
        <w:gridCol w:w="698"/>
      </w:tblGrid>
      <w:tr w:rsidR="0047216A" w14:paraId="797153B2" w14:textId="77777777" w:rsidTr="00725264">
        <w:trPr>
          <w:trHeight w:val="348"/>
        </w:trPr>
        <w:tc>
          <w:tcPr>
            <w:tcW w:w="10620" w:type="dxa"/>
            <w:gridSpan w:val="11"/>
            <w:tcBorders>
              <w:top w:val="single" w:sz="12" w:space="0" w:color="000000"/>
              <w:left w:val="single" w:sz="12" w:space="0" w:color="000000"/>
              <w:bottom w:val="single" w:sz="12" w:space="0" w:color="000000"/>
              <w:right w:val="single" w:sz="12" w:space="0" w:color="000000"/>
            </w:tcBorders>
            <w:vAlign w:val="center"/>
          </w:tcPr>
          <w:p w14:paraId="5358318A" w14:textId="1AE5632D" w:rsidR="0047216A" w:rsidRDefault="0047216A" w:rsidP="00344A85">
            <w:pPr>
              <w:spacing w:after="0" w:line="259" w:lineRule="auto"/>
              <w:ind w:left="0" w:right="0" w:firstLine="0"/>
            </w:pPr>
            <w:r>
              <w:rPr>
                <w:b/>
                <w:sz w:val="18"/>
              </w:rPr>
              <w:t xml:space="preserve">TOTAL METALS – </w:t>
            </w:r>
            <w:r w:rsidRPr="00AF7B6B">
              <w:rPr>
                <w:b/>
                <w:sz w:val="18"/>
              </w:rPr>
              <w:t>Group A:</w:t>
            </w:r>
            <w:r w:rsidRPr="000A501E">
              <w:rPr>
                <w:b/>
                <w:sz w:val="18"/>
              </w:rPr>
              <w:t xml:space="preserve">  RCRA Metals</w:t>
            </w:r>
          </w:p>
        </w:tc>
      </w:tr>
      <w:tr w:rsidR="0047216A" w14:paraId="00D2C32E" w14:textId="77777777" w:rsidTr="00725264">
        <w:trPr>
          <w:trHeight w:val="264"/>
        </w:trPr>
        <w:tc>
          <w:tcPr>
            <w:tcW w:w="2211" w:type="dxa"/>
            <w:vMerge w:val="restart"/>
            <w:tcBorders>
              <w:top w:val="single" w:sz="12" w:space="0" w:color="000000"/>
              <w:left w:val="single" w:sz="12" w:space="0" w:color="000000"/>
              <w:bottom w:val="single" w:sz="12" w:space="0" w:color="000000"/>
              <w:right w:val="single" w:sz="12" w:space="0" w:color="000000"/>
            </w:tcBorders>
            <w:vAlign w:val="center"/>
          </w:tcPr>
          <w:p w14:paraId="4BA61150" w14:textId="65C96ECC" w:rsidR="0047216A" w:rsidRDefault="0047216A" w:rsidP="008474BD">
            <w:pPr>
              <w:spacing w:after="0" w:line="259" w:lineRule="auto"/>
              <w:ind w:left="17" w:right="0" w:firstLine="0"/>
              <w:jc w:val="center"/>
            </w:pPr>
            <w:r>
              <w:rPr>
                <w:b/>
                <w:sz w:val="18"/>
              </w:rPr>
              <w:t>Analyte</w:t>
            </w:r>
          </w:p>
        </w:tc>
        <w:tc>
          <w:tcPr>
            <w:tcW w:w="1179" w:type="dxa"/>
            <w:vMerge w:val="restart"/>
            <w:tcBorders>
              <w:top w:val="single" w:sz="12" w:space="0" w:color="000000"/>
              <w:left w:val="single" w:sz="12" w:space="0" w:color="000000"/>
              <w:bottom w:val="single" w:sz="12" w:space="0" w:color="000000"/>
              <w:right w:val="single" w:sz="12" w:space="0" w:color="000000"/>
            </w:tcBorders>
            <w:vAlign w:val="center"/>
          </w:tcPr>
          <w:p w14:paraId="3CF2F8E3" w14:textId="758E9C2B" w:rsidR="0047216A" w:rsidRDefault="0047216A" w:rsidP="008474BD">
            <w:pPr>
              <w:spacing w:after="0" w:line="259" w:lineRule="auto"/>
              <w:ind w:left="0" w:right="0" w:firstLine="0"/>
              <w:jc w:val="center"/>
            </w:pPr>
            <w:r>
              <w:rPr>
                <w:b/>
                <w:sz w:val="18"/>
              </w:rPr>
              <w:t>CAS Number</w:t>
            </w:r>
          </w:p>
        </w:tc>
        <w:tc>
          <w:tcPr>
            <w:tcW w:w="1543" w:type="dxa"/>
            <w:gridSpan w:val="2"/>
            <w:tcBorders>
              <w:top w:val="single" w:sz="12" w:space="0" w:color="000000"/>
              <w:left w:val="single" w:sz="12" w:space="0" w:color="000000"/>
              <w:bottom w:val="single" w:sz="12" w:space="0" w:color="000000"/>
              <w:right w:val="single" w:sz="12" w:space="0" w:color="000000"/>
            </w:tcBorders>
            <w:vAlign w:val="center"/>
          </w:tcPr>
          <w:p w14:paraId="5042F99A" w14:textId="7B0A0984" w:rsidR="0047216A" w:rsidRDefault="0047216A" w:rsidP="008474BD">
            <w:pPr>
              <w:spacing w:after="0" w:line="259" w:lineRule="auto"/>
              <w:ind w:left="0" w:right="33" w:firstLine="0"/>
              <w:jc w:val="center"/>
            </w:pPr>
            <w:r>
              <w:rPr>
                <w:b/>
                <w:sz w:val="18"/>
              </w:rPr>
              <w:t>Aqueous</w:t>
            </w:r>
          </w:p>
        </w:tc>
        <w:tc>
          <w:tcPr>
            <w:tcW w:w="1633" w:type="dxa"/>
            <w:gridSpan w:val="2"/>
            <w:tcBorders>
              <w:top w:val="single" w:sz="12" w:space="0" w:color="000000"/>
              <w:left w:val="single" w:sz="12" w:space="0" w:color="000000"/>
              <w:bottom w:val="single" w:sz="12" w:space="0" w:color="000000"/>
              <w:right w:val="single" w:sz="12" w:space="0" w:color="000000"/>
            </w:tcBorders>
            <w:vAlign w:val="center"/>
          </w:tcPr>
          <w:p w14:paraId="346E5A52" w14:textId="5F3E92CA" w:rsidR="0047216A" w:rsidRDefault="006B693C" w:rsidP="008474BD">
            <w:pPr>
              <w:spacing w:after="0" w:line="259" w:lineRule="auto"/>
              <w:ind w:left="0" w:right="38" w:firstLine="0"/>
              <w:jc w:val="center"/>
            </w:pPr>
            <w:r>
              <w:rPr>
                <w:b/>
                <w:sz w:val="18"/>
              </w:rPr>
              <w:t>Soil/Sediment</w:t>
            </w:r>
          </w:p>
        </w:tc>
        <w:tc>
          <w:tcPr>
            <w:tcW w:w="4054" w:type="dxa"/>
            <w:gridSpan w:val="5"/>
            <w:vMerge w:val="restart"/>
            <w:tcBorders>
              <w:top w:val="single" w:sz="12" w:space="0" w:color="000000"/>
              <w:left w:val="single" w:sz="12" w:space="0" w:color="000000"/>
              <w:right w:val="single" w:sz="12" w:space="0" w:color="000000"/>
            </w:tcBorders>
            <w:vAlign w:val="center"/>
          </w:tcPr>
          <w:p w14:paraId="7C7DCA9C" w14:textId="31624469" w:rsidR="0047216A" w:rsidRDefault="0047216A" w:rsidP="008474BD">
            <w:pPr>
              <w:spacing w:after="160" w:line="259" w:lineRule="auto"/>
              <w:ind w:left="0" w:right="0" w:firstLine="0"/>
              <w:jc w:val="center"/>
            </w:pPr>
            <w:r>
              <w:rPr>
                <w:b/>
                <w:sz w:val="18"/>
              </w:rPr>
              <w:t>Acceptable Methods</w:t>
            </w:r>
          </w:p>
        </w:tc>
      </w:tr>
      <w:tr w:rsidR="00C84A5D" w14:paraId="5811A547" w14:textId="77777777" w:rsidTr="00725264">
        <w:trPr>
          <w:trHeight w:val="262"/>
        </w:trPr>
        <w:tc>
          <w:tcPr>
            <w:tcW w:w="2211" w:type="dxa"/>
            <w:vMerge/>
            <w:tcBorders>
              <w:top w:val="nil"/>
              <w:left w:val="single" w:sz="12" w:space="0" w:color="000000"/>
              <w:bottom w:val="single" w:sz="12" w:space="0" w:color="000000"/>
              <w:right w:val="single" w:sz="12" w:space="0" w:color="000000"/>
            </w:tcBorders>
            <w:vAlign w:val="center"/>
          </w:tcPr>
          <w:p w14:paraId="30965C9B" w14:textId="77777777" w:rsidR="0047216A" w:rsidRDefault="0047216A" w:rsidP="006C37B3">
            <w:pPr>
              <w:spacing w:after="160" w:line="259" w:lineRule="auto"/>
              <w:ind w:left="0" w:right="0" w:firstLine="0"/>
              <w:jc w:val="center"/>
            </w:pPr>
          </w:p>
        </w:tc>
        <w:tc>
          <w:tcPr>
            <w:tcW w:w="0" w:type="auto"/>
            <w:vMerge/>
            <w:tcBorders>
              <w:top w:val="nil"/>
              <w:left w:val="single" w:sz="12" w:space="0" w:color="000000"/>
              <w:bottom w:val="single" w:sz="12" w:space="0" w:color="000000"/>
              <w:right w:val="single" w:sz="12" w:space="0" w:color="000000"/>
            </w:tcBorders>
            <w:vAlign w:val="center"/>
          </w:tcPr>
          <w:p w14:paraId="136B7630" w14:textId="77777777" w:rsidR="0047216A" w:rsidRDefault="0047216A" w:rsidP="006C37B3">
            <w:pPr>
              <w:spacing w:after="160" w:line="259" w:lineRule="auto"/>
              <w:ind w:left="0" w:right="0" w:firstLine="0"/>
              <w:jc w:val="center"/>
            </w:pPr>
          </w:p>
        </w:tc>
        <w:tc>
          <w:tcPr>
            <w:tcW w:w="817" w:type="dxa"/>
            <w:tcBorders>
              <w:top w:val="single" w:sz="12" w:space="0" w:color="000000"/>
              <w:left w:val="single" w:sz="12" w:space="0" w:color="000000"/>
              <w:bottom w:val="single" w:sz="12" w:space="0" w:color="000000"/>
              <w:right w:val="single" w:sz="12" w:space="0" w:color="000000"/>
            </w:tcBorders>
            <w:vAlign w:val="center"/>
          </w:tcPr>
          <w:p w14:paraId="1CA1C02E" w14:textId="4F03F004" w:rsidR="0047216A" w:rsidRDefault="0047216A" w:rsidP="008474BD">
            <w:pPr>
              <w:spacing w:after="0" w:line="259" w:lineRule="auto"/>
              <w:ind w:left="0" w:right="33" w:firstLine="0"/>
              <w:jc w:val="center"/>
            </w:pPr>
            <w:r>
              <w:rPr>
                <w:b/>
                <w:sz w:val="18"/>
              </w:rPr>
              <w:t>RL</w:t>
            </w:r>
          </w:p>
        </w:tc>
        <w:tc>
          <w:tcPr>
            <w:tcW w:w="726" w:type="dxa"/>
            <w:tcBorders>
              <w:top w:val="single" w:sz="12" w:space="0" w:color="000000"/>
              <w:left w:val="single" w:sz="12" w:space="0" w:color="000000"/>
              <w:bottom w:val="single" w:sz="12" w:space="0" w:color="000000"/>
              <w:right w:val="single" w:sz="12" w:space="0" w:color="000000"/>
            </w:tcBorders>
            <w:vAlign w:val="center"/>
          </w:tcPr>
          <w:p w14:paraId="04567167" w14:textId="651B9C66" w:rsidR="0047216A" w:rsidRDefault="0047216A" w:rsidP="008474BD">
            <w:pPr>
              <w:spacing w:after="0" w:line="259" w:lineRule="auto"/>
              <w:ind w:left="0" w:right="35" w:firstLine="0"/>
              <w:jc w:val="center"/>
            </w:pPr>
            <w:r>
              <w:rPr>
                <w:b/>
                <w:sz w:val="18"/>
              </w:rPr>
              <w:t>units</w:t>
            </w:r>
          </w:p>
        </w:tc>
        <w:tc>
          <w:tcPr>
            <w:tcW w:w="815" w:type="dxa"/>
            <w:tcBorders>
              <w:top w:val="single" w:sz="12" w:space="0" w:color="000000"/>
              <w:left w:val="single" w:sz="12" w:space="0" w:color="000000"/>
              <w:bottom w:val="single" w:sz="12" w:space="0" w:color="000000"/>
              <w:right w:val="single" w:sz="12" w:space="0" w:color="000000"/>
            </w:tcBorders>
            <w:vAlign w:val="center"/>
          </w:tcPr>
          <w:p w14:paraId="03493F98" w14:textId="6F4BD1D0" w:rsidR="0047216A" w:rsidRDefault="0047216A" w:rsidP="008474BD">
            <w:pPr>
              <w:spacing w:after="0" w:line="259" w:lineRule="auto"/>
              <w:ind w:left="0" w:right="35" w:firstLine="0"/>
              <w:jc w:val="center"/>
            </w:pPr>
            <w:r>
              <w:rPr>
                <w:b/>
                <w:sz w:val="18"/>
              </w:rPr>
              <w:t>RL</w:t>
            </w:r>
          </w:p>
        </w:tc>
        <w:tc>
          <w:tcPr>
            <w:tcW w:w="818" w:type="dxa"/>
            <w:tcBorders>
              <w:top w:val="single" w:sz="12" w:space="0" w:color="000000"/>
              <w:left w:val="single" w:sz="12" w:space="0" w:color="000000"/>
              <w:bottom w:val="single" w:sz="12" w:space="0" w:color="000000"/>
              <w:right w:val="single" w:sz="12" w:space="0" w:color="000000"/>
            </w:tcBorders>
            <w:vAlign w:val="center"/>
          </w:tcPr>
          <w:p w14:paraId="2C196AC5" w14:textId="4ABD13D2" w:rsidR="0047216A" w:rsidRDefault="0047216A" w:rsidP="008474BD">
            <w:pPr>
              <w:spacing w:after="0" w:line="259" w:lineRule="auto"/>
              <w:ind w:left="0" w:right="35" w:firstLine="0"/>
              <w:jc w:val="center"/>
            </w:pPr>
            <w:r>
              <w:rPr>
                <w:b/>
                <w:sz w:val="18"/>
              </w:rPr>
              <w:t>units</w:t>
            </w:r>
          </w:p>
        </w:tc>
        <w:tc>
          <w:tcPr>
            <w:tcW w:w="4054" w:type="dxa"/>
            <w:gridSpan w:val="5"/>
            <w:vMerge/>
            <w:tcBorders>
              <w:left w:val="single" w:sz="12" w:space="0" w:color="000000"/>
              <w:bottom w:val="single" w:sz="12" w:space="0" w:color="000000"/>
              <w:right w:val="single" w:sz="12" w:space="0" w:color="000000"/>
            </w:tcBorders>
            <w:vAlign w:val="center"/>
          </w:tcPr>
          <w:p w14:paraId="188C43CC" w14:textId="77777777" w:rsidR="0047216A" w:rsidRDefault="0047216A" w:rsidP="00EE2075">
            <w:pPr>
              <w:spacing w:after="160" w:line="259" w:lineRule="auto"/>
              <w:ind w:left="0" w:right="0" w:firstLine="0"/>
              <w:jc w:val="center"/>
            </w:pPr>
          </w:p>
        </w:tc>
      </w:tr>
      <w:tr w:rsidR="00B56D50" w14:paraId="1005267A" w14:textId="77777777" w:rsidTr="00725264">
        <w:trPr>
          <w:trHeight w:val="302"/>
        </w:trPr>
        <w:tc>
          <w:tcPr>
            <w:tcW w:w="2211" w:type="dxa"/>
            <w:tcBorders>
              <w:top w:val="single" w:sz="12" w:space="0" w:color="000000"/>
              <w:left w:val="single" w:sz="12" w:space="0" w:color="000000"/>
              <w:bottom w:val="single" w:sz="4" w:space="0" w:color="000000"/>
              <w:right w:val="single" w:sz="12" w:space="0" w:color="000000"/>
            </w:tcBorders>
            <w:vAlign w:val="center"/>
          </w:tcPr>
          <w:p w14:paraId="37FE692A" w14:textId="424EA48A" w:rsidR="00B56D50" w:rsidRDefault="001C3C42" w:rsidP="00905D10">
            <w:pPr>
              <w:spacing w:after="0" w:line="259" w:lineRule="auto"/>
              <w:ind w:left="2" w:right="0" w:firstLine="0"/>
            </w:pPr>
            <w:r>
              <w:rPr>
                <w:sz w:val="18"/>
              </w:rPr>
              <w:t>Arsenic</w:t>
            </w:r>
            <w:r w:rsidR="00107B55">
              <w:rPr>
                <w:sz w:val="18"/>
              </w:rPr>
              <w:t xml:space="preserve"> </w:t>
            </w:r>
            <w:r w:rsidR="00300C38" w:rsidRPr="00300C38">
              <w:rPr>
                <w:b/>
                <w:bCs/>
                <w:sz w:val="18"/>
                <w:vertAlign w:val="superscript"/>
              </w:rPr>
              <w:t>1</w:t>
            </w:r>
          </w:p>
        </w:tc>
        <w:tc>
          <w:tcPr>
            <w:tcW w:w="1179" w:type="dxa"/>
            <w:tcBorders>
              <w:top w:val="single" w:sz="12" w:space="0" w:color="000000"/>
              <w:left w:val="single" w:sz="12" w:space="0" w:color="000000"/>
              <w:bottom w:val="single" w:sz="4" w:space="0" w:color="000000"/>
              <w:right w:val="single" w:sz="12" w:space="0" w:color="000000"/>
            </w:tcBorders>
            <w:vAlign w:val="center"/>
          </w:tcPr>
          <w:p w14:paraId="361537F7" w14:textId="3CB42E35" w:rsidR="00B56D50" w:rsidRDefault="001C3C42" w:rsidP="00905D10">
            <w:pPr>
              <w:spacing w:after="0" w:line="259" w:lineRule="auto"/>
              <w:ind w:left="0" w:right="0" w:firstLine="0"/>
              <w:jc w:val="center"/>
            </w:pPr>
            <w:r>
              <w:rPr>
                <w:sz w:val="18"/>
              </w:rPr>
              <w:t>7440-38-2</w:t>
            </w:r>
          </w:p>
        </w:tc>
        <w:tc>
          <w:tcPr>
            <w:tcW w:w="817" w:type="dxa"/>
            <w:tcBorders>
              <w:top w:val="single" w:sz="12" w:space="0" w:color="000000"/>
              <w:left w:val="single" w:sz="12" w:space="0" w:color="000000"/>
              <w:bottom w:val="single" w:sz="4" w:space="0" w:color="000000"/>
              <w:right w:val="single" w:sz="12" w:space="0" w:color="000000"/>
            </w:tcBorders>
            <w:vAlign w:val="center"/>
          </w:tcPr>
          <w:p w14:paraId="6710D20C" w14:textId="7E240644" w:rsidR="00B56D50" w:rsidRDefault="001C3C42" w:rsidP="00905D10">
            <w:pPr>
              <w:spacing w:after="0" w:line="259" w:lineRule="auto"/>
              <w:ind w:left="2" w:right="0" w:firstLine="0"/>
              <w:jc w:val="center"/>
            </w:pPr>
            <w:r>
              <w:rPr>
                <w:sz w:val="18"/>
              </w:rPr>
              <w:t>10</w:t>
            </w:r>
          </w:p>
        </w:tc>
        <w:tc>
          <w:tcPr>
            <w:tcW w:w="726" w:type="dxa"/>
            <w:tcBorders>
              <w:top w:val="single" w:sz="12" w:space="0" w:color="000000"/>
              <w:left w:val="single" w:sz="12" w:space="0" w:color="000000"/>
              <w:bottom w:val="single" w:sz="4" w:space="0" w:color="000000"/>
              <w:right w:val="single" w:sz="12" w:space="0" w:color="000000"/>
            </w:tcBorders>
            <w:vAlign w:val="center"/>
          </w:tcPr>
          <w:p w14:paraId="0B5715F7" w14:textId="6C2A3160" w:rsidR="00B56D50" w:rsidRDefault="00D55746" w:rsidP="00905D10">
            <w:pPr>
              <w:spacing w:after="0" w:line="259" w:lineRule="auto"/>
              <w:ind w:left="0" w:right="0" w:firstLine="0"/>
              <w:jc w:val="center"/>
            </w:pPr>
            <w:r>
              <w:rPr>
                <w:sz w:val="18"/>
              </w:rPr>
              <w:t>ug/L</w:t>
            </w:r>
          </w:p>
        </w:tc>
        <w:tc>
          <w:tcPr>
            <w:tcW w:w="815" w:type="dxa"/>
            <w:tcBorders>
              <w:top w:val="single" w:sz="12" w:space="0" w:color="000000"/>
              <w:left w:val="single" w:sz="12" w:space="0" w:color="000000"/>
              <w:bottom w:val="single" w:sz="4" w:space="0" w:color="000000"/>
              <w:right w:val="single" w:sz="12" w:space="0" w:color="000000"/>
            </w:tcBorders>
            <w:vAlign w:val="center"/>
          </w:tcPr>
          <w:p w14:paraId="26F26505" w14:textId="2DB4672C" w:rsidR="00B56D50" w:rsidRDefault="001C3C42" w:rsidP="00905D10">
            <w:pPr>
              <w:spacing w:after="0" w:line="259" w:lineRule="auto"/>
              <w:ind w:left="0" w:right="0" w:firstLine="0"/>
              <w:jc w:val="center"/>
            </w:pPr>
            <w:r>
              <w:rPr>
                <w:sz w:val="18"/>
              </w:rPr>
              <w:t>1</w:t>
            </w:r>
          </w:p>
        </w:tc>
        <w:tc>
          <w:tcPr>
            <w:tcW w:w="818" w:type="dxa"/>
            <w:tcBorders>
              <w:top w:val="single" w:sz="12" w:space="0" w:color="000000"/>
              <w:left w:val="single" w:sz="12" w:space="0" w:color="000000"/>
              <w:bottom w:val="single" w:sz="4" w:space="0" w:color="000000"/>
              <w:right w:val="single" w:sz="12" w:space="0" w:color="000000"/>
            </w:tcBorders>
            <w:vAlign w:val="center"/>
          </w:tcPr>
          <w:p w14:paraId="3C1A44D0" w14:textId="675D7554" w:rsidR="00B56D50" w:rsidRDefault="001C3C42" w:rsidP="00905D10">
            <w:pPr>
              <w:spacing w:after="0" w:line="259" w:lineRule="auto"/>
              <w:ind w:left="0" w:right="34" w:firstLine="0"/>
              <w:jc w:val="center"/>
            </w:pPr>
            <w:r>
              <w:rPr>
                <w:sz w:val="18"/>
              </w:rPr>
              <w:t>mg/kg</w:t>
            </w:r>
          </w:p>
        </w:tc>
        <w:tc>
          <w:tcPr>
            <w:tcW w:w="907" w:type="dxa"/>
            <w:tcBorders>
              <w:top w:val="single" w:sz="12" w:space="0" w:color="000000"/>
              <w:left w:val="single" w:sz="12" w:space="0" w:color="000000"/>
              <w:bottom w:val="single" w:sz="4" w:space="0" w:color="000000"/>
              <w:right w:val="single" w:sz="12" w:space="0" w:color="000000"/>
            </w:tcBorders>
            <w:vAlign w:val="center"/>
          </w:tcPr>
          <w:p w14:paraId="56CEAACA" w14:textId="076AFBB3" w:rsidR="00B56D50" w:rsidRDefault="001C3C42" w:rsidP="00905D10">
            <w:pPr>
              <w:spacing w:after="0" w:line="259" w:lineRule="auto"/>
              <w:ind w:left="0" w:right="0" w:firstLine="0"/>
              <w:jc w:val="center"/>
            </w:pPr>
            <w:r>
              <w:rPr>
                <w:sz w:val="18"/>
              </w:rPr>
              <w:t>6010</w:t>
            </w:r>
            <w:r w:rsidR="00107B55">
              <w:rPr>
                <w:sz w:val="18"/>
              </w:rPr>
              <w:t xml:space="preserve"> </w:t>
            </w:r>
            <w:r w:rsidRPr="004C351B">
              <w:rPr>
                <w:b/>
                <w:bCs/>
                <w:sz w:val="18"/>
                <w:vertAlign w:val="superscript"/>
              </w:rPr>
              <w:t>1</w:t>
            </w:r>
          </w:p>
        </w:tc>
        <w:tc>
          <w:tcPr>
            <w:tcW w:w="907" w:type="dxa"/>
            <w:tcBorders>
              <w:top w:val="single" w:sz="12" w:space="0" w:color="000000"/>
              <w:left w:val="single" w:sz="12" w:space="0" w:color="000000"/>
              <w:bottom w:val="single" w:sz="4" w:space="0" w:color="000000"/>
              <w:right w:val="single" w:sz="12" w:space="0" w:color="000000"/>
            </w:tcBorders>
            <w:vAlign w:val="center"/>
          </w:tcPr>
          <w:p w14:paraId="517AEF4F" w14:textId="2E46AFE3" w:rsidR="00B56D50" w:rsidRDefault="001C3C42" w:rsidP="00905D10">
            <w:pPr>
              <w:spacing w:after="0" w:line="259" w:lineRule="auto"/>
              <w:ind w:left="0" w:right="0" w:firstLine="0"/>
              <w:jc w:val="center"/>
            </w:pPr>
            <w:r>
              <w:rPr>
                <w:sz w:val="18"/>
              </w:rPr>
              <w:t>6020</w:t>
            </w:r>
          </w:p>
        </w:tc>
        <w:tc>
          <w:tcPr>
            <w:tcW w:w="770" w:type="dxa"/>
            <w:tcBorders>
              <w:top w:val="single" w:sz="12" w:space="0" w:color="000000"/>
              <w:left w:val="single" w:sz="12" w:space="0" w:color="000000"/>
              <w:bottom w:val="single" w:sz="4" w:space="0" w:color="000000"/>
              <w:right w:val="single" w:sz="12" w:space="0" w:color="000000"/>
            </w:tcBorders>
            <w:vAlign w:val="center"/>
          </w:tcPr>
          <w:p w14:paraId="743B8110" w14:textId="1D416630" w:rsidR="00B56D50" w:rsidRPr="00E36274" w:rsidRDefault="001C3C42" w:rsidP="00905D10">
            <w:pPr>
              <w:spacing w:after="0" w:line="259" w:lineRule="auto"/>
              <w:ind w:left="1" w:right="0" w:firstLine="0"/>
              <w:jc w:val="center"/>
              <w:rPr>
                <w:vertAlign w:val="superscript"/>
              </w:rPr>
            </w:pPr>
            <w:r>
              <w:rPr>
                <w:sz w:val="18"/>
              </w:rPr>
              <w:t>7010</w:t>
            </w:r>
            <w:r w:rsidR="00107B55">
              <w:rPr>
                <w:sz w:val="18"/>
              </w:rPr>
              <w:t xml:space="preserve"> </w:t>
            </w:r>
            <w:r w:rsidR="009B740D">
              <w:rPr>
                <w:b/>
                <w:bCs/>
                <w:sz w:val="18"/>
                <w:vertAlign w:val="superscript"/>
              </w:rPr>
              <w:t>2</w:t>
            </w:r>
          </w:p>
        </w:tc>
        <w:tc>
          <w:tcPr>
            <w:tcW w:w="772" w:type="dxa"/>
            <w:tcBorders>
              <w:top w:val="single" w:sz="12" w:space="0" w:color="000000"/>
              <w:left w:val="single" w:sz="12" w:space="0" w:color="000000"/>
              <w:bottom w:val="single" w:sz="4" w:space="0" w:color="000000"/>
              <w:right w:val="single" w:sz="12" w:space="0" w:color="000000"/>
            </w:tcBorders>
            <w:vAlign w:val="center"/>
          </w:tcPr>
          <w:p w14:paraId="29D33B13" w14:textId="68D6513B" w:rsidR="00B56D50" w:rsidRDefault="001C3C42" w:rsidP="00905D10">
            <w:pPr>
              <w:spacing w:after="0" w:line="259" w:lineRule="auto"/>
              <w:ind w:left="2" w:right="0" w:firstLine="0"/>
              <w:jc w:val="center"/>
            </w:pPr>
            <w:r>
              <w:rPr>
                <w:sz w:val="18"/>
              </w:rPr>
              <w:t>7062</w:t>
            </w:r>
          </w:p>
        </w:tc>
        <w:tc>
          <w:tcPr>
            <w:tcW w:w="698" w:type="dxa"/>
            <w:tcBorders>
              <w:top w:val="single" w:sz="12" w:space="0" w:color="000000"/>
              <w:left w:val="single" w:sz="12" w:space="0" w:color="000000"/>
              <w:bottom w:val="single" w:sz="4" w:space="0" w:color="000000"/>
              <w:right w:val="single" w:sz="12" w:space="0" w:color="000000"/>
            </w:tcBorders>
            <w:vAlign w:val="center"/>
          </w:tcPr>
          <w:p w14:paraId="278E0FE9" w14:textId="00F7465D" w:rsidR="00B56D50" w:rsidRDefault="001C3C42" w:rsidP="00905D10">
            <w:pPr>
              <w:spacing w:after="0" w:line="259" w:lineRule="auto"/>
              <w:ind w:left="2" w:right="0" w:firstLine="0"/>
              <w:jc w:val="center"/>
            </w:pPr>
            <w:r>
              <w:rPr>
                <w:sz w:val="18"/>
              </w:rPr>
              <w:t>7063</w:t>
            </w:r>
          </w:p>
        </w:tc>
      </w:tr>
      <w:tr w:rsidR="00B56D50" w14:paraId="10806F50" w14:textId="77777777" w:rsidTr="00725264">
        <w:trPr>
          <w:trHeight w:val="293"/>
        </w:trPr>
        <w:tc>
          <w:tcPr>
            <w:tcW w:w="2211" w:type="dxa"/>
            <w:tcBorders>
              <w:top w:val="single" w:sz="4" w:space="0" w:color="000000"/>
              <w:left w:val="single" w:sz="12" w:space="0" w:color="000000"/>
              <w:bottom w:val="single" w:sz="4" w:space="0" w:color="000000"/>
              <w:right w:val="single" w:sz="12" w:space="0" w:color="000000"/>
            </w:tcBorders>
            <w:vAlign w:val="center"/>
          </w:tcPr>
          <w:p w14:paraId="30A1DF14" w14:textId="77777777" w:rsidR="00B56D50" w:rsidRDefault="001C3C42" w:rsidP="00905D10">
            <w:pPr>
              <w:spacing w:after="0" w:line="259" w:lineRule="auto"/>
              <w:ind w:left="2" w:right="0" w:firstLine="0"/>
            </w:pPr>
            <w:r>
              <w:rPr>
                <w:sz w:val="18"/>
              </w:rPr>
              <w:t xml:space="preserve">Barium </w:t>
            </w:r>
          </w:p>
        </w:tc>
        <w:tc>
          <w:tcPr>
            <w:tcW w:w="1179" w:type="dxa"/>
            <w:tcBorders>
              <w:top w:val="single" w:sz="4" w:space="0" w:color="000000"/>
              <w:left w:val="single" w:sz="12" w:space="0" w:color="000000"/>
              <w:bottom w:val="single" w:sz="4" w:space="0" w:color="000000"/>
              <w:right w:val="single" w:sz="12" w:space="0" w:color="000000"/>
            </w:tcBorders>
            <w:vAlign w:val="center"/>
          </w:tcPr>
          <w:p w14:paraId="4CF7C40D" w14:textId="29530FEA" w:rsidR="00B56D50" w:rsidRDefault="001C3C42" w:rsidP="00905D10">
            <w:pPr>
              <w:spacing w:after="0" w:line="259" w:lineRule="auto"/>
              <w:ind w:left="0" w:right="0" w:firstLine="0"/>
              <w:jc w:val="center"/>
            </w:pPr>
            <w:r>
              <w:rPr>
                <w:sz w:val="18"/>
              </w:rPr>
              <w:t>7440-39-3</w:t>
            </w:r>
          </w:p>
        </w:tc>
        <w:tc>
          <w:tcPr>
            <w:tcW w:w="817" w:type="dxa"/>
            <w:tcBorders>
              <w:top w:val="single" w:sz="4" w:space="0" w:color="000000"/>
              <w:left w:val="single" w:sz="12" w:space="0" w:color="000000"/>
              <w:bottom w:val="single" w:sz="4" w:space="0" w:color="000000"/>
              <w:right w:val="single" w:sz="12" w:space="0" w:color="000000"/>
            </w:tcBorders>
            <w:vAlign w:val="center"/>
          </w:tcPr>
          <w:p w14:paraId="582912FE" w14:textId="5FD30002" w:rsidR="00B56D50" w:rsidRDefault="001C3C42" w:rsidP="00905D10">
            <w:pPr>
              <w:spacing w:after="0" w:line="259" w:lineRule="auto"/>
              <w:ind w:left="0" w:right="74" w:firstLine="0"/>
              <w:jc w:val="center"/>
            </w:pPr>
            <w:r>
              <w:rPr>
                <w:sz w:val="18"/>
              </w:rPr>
              <w:t>50</w:t>
            </w:r>
          </w:p>
        </w:tc>
        <w:tc>
          <w:tcPr>
            <w:tcW w:w="726" w:type="dxa"/>
            <w:tcBorders>
              <w:top w:val="single" w:sz="4" w:space="0" w:color="000000"/>
              <w:left w:val="single" w:sz="12" w:space="0" w:color="000000"/>
              <w:bottom w:val="single" w:sz="4" w:space="0" w:color="000000"/>
              <w:right w:val="single" w:sz="12" w:space="0" w:color="000000"/>
            </w:tcBorders>
            <w:vAlign w:val="center"/>
          </w:tcPr>
          <w:p w14:paraId="3ACA862C" w14:textId="0D80BD53" w:rsidR="00B56D50" w:rsidRDefault="00233099" w:rsidP="00905D10">
            <w:pPr>
              <w:spacing w:after="0" w:line="259" w:lineRule="auto"/>
              <w:ind w:left="0" w:right="0" w:firstLine="0"/>
              <w:jc w:val="center"/>
            </w:pPr>
            <w:r>
              <w:rPr>
                <w:sz w:val="18"/>
              </w:rPr>
              <w:t>ug/L</w:t>
            </w:r>
          </w:p>
        </w:tc>
        <w:tc>
          <w:tcPr>
            <w:tcW w:w="815" w:type="dxa"/>
            <w:tcBorders>
              <w:top w:val="single" w:sz="4" w:space="0" w:color="000000"/>
              <w:left w:val="single" w:sz="12" w:space="0" w:color="000000"/>
              <w:bottom w:val="single" w:sz="4" w:space="0" w:color="000000"/>
              <w:right w:val="single" w:sz="12" w:space="0" w:color="000000"/>
            </w:tcBorders>
            <w:vAlign w:val="center"/>
          </w:tcPr>
          <w:p w14:paraId="068A0F0B" w14:textId="3E0BCF56" w:rsidR="00B56D50" w:rsidRDefault="001C3C42" w:rsidP="00905D10">
            <w:pPr>
              <w:spacing w:after="0" w:line="259" w:lineRule="auto"/>
              <w:ind w:left="0" w:right="0" w:firstLine="0"/>
              <w:jc w:val="center"/>
            </w:pPr>
            <w:r>
              <w:rPr>
                <w:sz w:val="18"/>
              </w:rPr>
              <w:t>5</w:t>
            </w:r>
          </w:p>
        </w:tc>
        <w:tc>
          <w:tcPr>
            <w:tcW w:w="818" w:type="dxa"/>
            <w:tcBorders>
              <w:top w:val="single" w:sz="4" w:space="0" w:color="000000"/>
              <w:left w:val="single" w:sz="12" w:space="0" w:color="000000"/>
              <w:bottom w:val="single" w:sz="4" w:space="0" w:color="000000"/>
              <w:right w:val="single" w:sz="12" w:space="0" w:color="000000"/>
            </w:tcBorders>
            <w:vAlign w:val="center"/>
          </w:tcPr>
          <w:p w14:paraId="796FD04A" w14:textId="72964B57" w:rsidR="00B56D50" w:rsidRDefault="001C3C42" w:rsidP="00905D10">
            <w:pPr>
              <w:spacing w:after="0" w:line="259" w:lineRule="auto"/>
              <w:ind w:left="0" w:right="34" w:firstLine="0"/>
              <w:jc w:val="center"/>
            </w:pPr>
            <w:r>
              <w:rPr>
                <w:sz w:val="18"/>
              </w:rPr>
              <w:t>mg/kg</w:t>
            </w:r>
          </w:p>
        </w:tc>
        <w:tc>
          <w:tcPr>
            <w:tcW w:w="907" w:type="dxa"/>
            <w:tcBorders>
              <w:top w:val="single" w:sz="4" w:space="0" w:color="000000"/>
              <w:left w:val="single" w:sz="12" w:space="0" w:color="000000"/>
              <w:bottom w:val="single" w:sz="4" w:space="0" w:color="000000"/>
              <w:right w:val="single" w:sz="12" w:space="0" w:color="000000"/>
            </w:tcBorders>
            <w:vAlign w:val="center"/>
          </w:tcPr>
          <w:p w14:paraId="5196A908" w14:textId="0AD52AF4" w:rsidR="00B56D50" w:rsidRDefault="001C3C42" w:rsidP="00905D10">
            <w:pPr>
              <w:spacing w:after="0" w:line="259" w:lineRule="auto"/>
              <w:ind w:left="0" w:right="0" w:firstLine="0"/>
              <w:jc w:val="center"/>
            </w:pPr>
            <w:r>
              <w:rPr>
                <w:sz w:val="18"/>
              </w:rPr>
              <w:t>6010</w:t>
            </w:r>
          </w:p>
        </w:tc>
        <w:tc>
          <w:tcPr>
            <w:tcW w:w="907" w:type="dxa"/>
            <w:tcBorders>
              <w:top w:val="single" w:sz="4" w:space="0" w:color="000000"/>
              <w:left w:val="single" w:sz="12" w:space="0" w:color="000000"/>
              <w:bottom w:val="single" w:sz="4" w:space="0" w:color="000000"/>
              <w:right w:val="single" w:sz="12" w:space="0" w:color="000000"/>
            </w:tcBorders>
            <w:vAlign w:val="center"/>
          </w:tcPr>
          <w:p w14:paraId="1BDF8561" w14:textId="2EDD8285" w:rsidR="00B56D50" w:rsidRDefault="001C3C42" w:rsidP="00905D10">
            <w:pPr>
              <w:spacing w:after="0" w:line="259" w:lineRule="auto"/>
              <w:ind w:left="0" w:right="0" w:firstLine="0"/>
              <w:jc w:val="center"/>
            </w:pPr>
            <w:r>
              <w:rPr>
                <w:sz w:val="18"/>
              </w:rPr>
              <w:t>6020</w:t>
            </w:r>
          </w:p>
        </w:tc>
        <w:tc>
          <w:tcPr>
            <w:tcW w:w="770" w:type="dxa"/>
            <w:tcBorders>
              <w:top w:val="single" w:sz="4" w:space="0" w:color="000000"/>
              <w:left w:val="single" w:sz="12" w:space="0" w:color="000000"/>
              <w:bottom w:val="single" w:sz="4" w:space="0" w:color="000000"/>
              <w:right w:val="single" w:sz="12" w:space="0" w:color="000000"/>
            </w:tcBorders>
            <w:vAlign w:val="center"/>
          </w:tcPr>
          <w:p w14:paraId="690C9C2C" w14:textId="02E504C8" w:rsidR="00B56D50" w:rsidRDefault="001C3C42" w:rsidP="00905D10">
            <w:pPr>
              <w:spacing w:after="0" w:line="259" w:lineRule="auto"/>
              <w:ind w:left="1" w:right="0" w:firstLine="0"/>
              <w:jc w:val="center"/>
            </w:pPr>
            <w:r>
              <w:rPr>
                <w:sz w:val="18"/>
              </w:rPr>
              <w:t>7010</w:t>
            </w:r>
            <w:r w:rsidR="00107B55">
              <w:rPr>
                <w:sz w:val="18"/>
              </w:rPr>
              <w:t xml:space="preserve"> </w:t>
            </w:r>
            <w:r w:rsidRPr="00D14E71">
              <w:rPr>
                <w:b/>
                <w:bCs/>
                <w:sz w:val="18"/>
                <w:vertAlign w:val="superscript"/>
              </w:rPr>
              <w:t>2</w:t>
            </w:r>
          </w:p>
        </w:tc>
        <w:tc>
          <w:tcPr>
            <w:tcW w:w="772" w:type="dxa"/>
            <w:tcBorders>
              <w:top w:val="single" w:sz="4" w:space="0" w:color="000000"/>
              <w:left w:val="single" w:sz="12" w:space="0" w:color="000000"/>
              <w:bottom w:val="single" w:sz="4" w:space="0" w:color="000000"/>
              <w:right w:val="single" w:sz="12" w:space="0" w:color="000000"/>
            </w:tcBorders>
            <w:vAlign w:val="center"/>
          </w:tcPr>
          <w:p w14:paraId="23D03E32" w14:textId="26F525AE" w:rsidR="00B56D50" w:rsidRDefault="00B56D50" w:rsidP="00905D10">
            <w:pPr>
              <w:spacing w:after="0" w:line="259" w:lineRule="auto"/>
              <w:ind w:left="2" w:right="0" w:firstLine="0"/>
              <w:jc w:val="center"/>
            </w:pPr>
          </w:p>
        </w:tc>
        <w:tc>
          <w:tcPr>
            <w:tcW w:w="698" w:type="dxa"/>
            <w:tcBorders>
              <w:top w:val="single" w:sz="4" w:space="0" w:color="000000"/>
              <w:left w:val="single" w:sz="12" w:space="0" w:color="000000"/>
              <w:bottom w:val="single" w:sz="4" w:space="0" w:color="000000"/>
              <w:right w:val="single" w:sz="12" w:space="0" w:color="000000"/>
            </w:tcBorders>
            <w:vAlign w:val="center"/>
          </w:tcPr>
          <w:p w14:paraId="06EEC176" w14:textId="25B34075" w:rsidR="00B56D50" w:rsidRDefault="00B56D50" w:rsidP="00905D10">
            <w:pPr>
              <w:spacing w:after="0" w:line="259" w:lineRule="auto"/>
              <w:ind w:left="2" w:right="0" w:firstLine="0"/>
              <w:jc w:val="center"/>
            </w:pPr>
          </w:p>
        </w:tc>
      </w:tr>
      <w:tr w:rsidR="00B56D50" w14:paraId="23C98BA8" w14:textId="77777777" w:rsidTr="00725264">
        <w:trPr>
          <w:trHeight w:val="290"/>
        </w:trPr>
        <w:tc>
          <w:tcPr>
            <w:tcW w:w="2211" w:type="dxa"/>
            <w:tcBorders>
              <w:top w:val="single" w:sz="4" w:space="0" w:color="000000"/>
              <w:left w:val="single" w:sz="12" w:space="0" w:color="000000"/>
              <w:bottom w:val="single" w:sz="4" w:space="0" w:color="000000"/>
              <w:right w:val="single" w:sz="12" w:space="0" w:color="000000"/>
            </w:tcBorders>
            <w:vAlign w:val="center"/>
          </w:tcPr>
          <w:p w14:paraId="2A3B0051" w14:textId="296BB598" w:rsidR="00B56D50" w:rsidRDefault="001C3C42" w:rsidP="00905D10">
            <w:pPr>
              <w:spacing w:after="0" w:line="259" w:lineRule="auto"/>
              <w:ind w:left="2" w:right="0" w:firstLine="0"/>
            </w:pPr>
            <w:r>
              <w:rPr>
                <w:sz w:val="18"/>
              </w:rPr>
              <w:t>Cadmium</w:t>
            </w:r>
            <w:r w:rsidR="00107B55">
              <w:rPr>
                <w:sz w:val="18"/>
              </w:rPr>
              <w:t xml:space="preserve"> </w:t>
            </w:r>
            <w:r w:rsidRPr="00D14E71">
              <w:rPr>
                <w:b/>
                <w:bCs/>
                <w:sz w:val="18"/>
                <w:vertAlign w:val="superscript"/>
              </w:rPr>
              <w:t>1</w:t>
            </w:r>
            <w:r>
              <w:rPr>
                <w:sz w:val="18"/>
              </w:rPr>
              <w:t xml:space="preserve"> </w:t>
            </w:r>
          </w:p>
        </w:tc>
        <w:tc>
          <w:tcPr>
            <w:tcW w:w="1179" w:type="dxa"/>
            <w:tcBorders>
              <w:top w:val="single" w:sz="4" w:space="0" w:color="000000"/>
              <w:left w:val="single" w:sz="12" w:space="0" w:color="000000"/>
              <w:bottom w:val="single" w:sz="4" w:space="0" w:color="000000"/>
              <w:right w:val="single" w:sz="12" w:space="0" w:color="000000"/>
            </w:tcBorders>
            <w:vAlign w:val="center"/>
          </w:tcPr>
          <w:p w14:paraId="3487FC5E" w14:textId="68BC947B" w:rsidR="00B56D50" w:rsidRDefault="001C3C42" w:rsidP="00905D10">
            <w:pPr>
              <w:spacing w:after="0" w:line="259" w:lineRule="auto"/>
              <w:ind w:left="0" w:right="0" w:firstLine="0"/>
              <w:jc w:val="center"/>
            </w:pPr>
            <w:r>
              <w:rPr>
                <w:sz w:val="18"/>
              </w:rPr>
              <w:t>7440-43-9</w:t>
            </w:r>
          </w:p>
        </w:tc>
        <w:tc>
          <w:tcPr>
            <w:tcW w:w="817" w:type="dxa"/>
            <w:tcBorders>
              <w:top w:val="single" w:sz="4" w:space="0" w:color="000000"/>
              <w:left w:val="single" w:sz="12" w:space="0" w:color="000000"/>
              <w:bottom w:val="single" w:sz="4" w:space="0" w:color="000000"/>
              <w:right w:val="single" w:sz="12" w:space="0" w:color="000000"/>
            </w:tcBorders>
            <w:vAlign w:val="center"/>
          </w:tcPr>
          <w:p w14:paraId="5FE96CED" w14:textId="218424D2" w:rsidR="00B56D50" w:rsidRDefault="001C3C42" w:rsidP="00905D10">
            <w:pPr>
              <w:spacing w:after="0" w:line="259" w:lineRule="auto"/>
              <w:ind w:left="2" w:right="0" w:firstLine="0"/>
              <w:jc w:val="center"/>
            </w:pPr>
            <w:r>
              <w:rPr>
                <w:sz w:val="18"/>
              </w:rPr>
              <w:t>5</w:t>
            </w:r>
          </w:p>
        </w:tc>
        <w:tc>
          <w:tcPr>
            <w:tcW w:w="726" w:type="dxa"/>
            <w:tcBorders>
              <w:top w:val="single" w:sz="4" w:space="0" w:color="000000"/>
              <w:left w:val="single" w:sz="12" w:space="0" w:color="000000"/>
              <w:bottom w:val="single" w:sz="4" w:space="0" w:color="000000"/>
              <w:right w:val="single" w:sz="12" w:space="0" w:color="000000"/>
            </w:tcBorders>
            <w:vAlign w:val="center"/>
          </w:tcPr>
          <w:p w14:paraId="1904A494" w14:textId="283B013D" w:rsidR="00B56D50" w:rsidRDefault="00023BFA" w:rsidP="00905D10">
            <w:pPr>
              <w:spacing w:after="0" w:line="259" w:lineRule="auto"/>
              <w:ind w:left="0" w:right="0" w:firstLine="0"/>
              <w:jc w:val="center"/>
            </w:pPr>
            <w:r>
              <w:rPr>
                <w:sz w:val="18"/>
              </w:rPr>
              <w:t>ug/L</w:t>
            </w:r>
          </w:p>
        </w:tc>
        <w:tc>
          <w:tcPr>
            <w:tcW w:w="815" w:type="dxa"/>
            <w:tcBorders>
              <w:top w:val="single" w:sz="4" w:space="0" w:color="000000"/>
              <w:left w:val="single" w:sz="12" w:space="0" w:color="000000"/>
              <w:bottom w:val="single" w:sz="4" w:space="0" w:color="000000"/>
              <w:right w:val="single" w:sz="12" w:space="0" w:color="000000"/>
            </w:tcBorders>
            <w:vAlign w:val="center"/>
          </w:tcPr>
          <w:p w14:paraId="622A8B7E" w14:textId="244E35CA" w:rsidR="00B56D50" w:rsidRDefault="001C3C42" w:rsidP="00905D10">
            <w:pPr>
              <w:spacing w:after="0" w:line="259" w:lineRule="auto"/>
              <w:ind w:left="0" w:right="0" w:firstLine="0"/>
              <w:jc w:val="center"/>
            </w:pPr>
            <w:r>
              <w:rPr>
                <w:sz w:val="18"/>
              </w:rPr>
              <w:t>0.50</w:t>
            </w:r>
          </w:p>
        </w:tc>
        <w:tc>
          <w:tcPr>
            <w:tcW w:w="818" w:type="dxa"/>
            <w:tcBorders>
              <w:top w:val="single" w:sz="4" w:space="0" w:color="000000"/>
              <w:left w:val="single" w:sz="12" w:space="0" w:color="000000"/>
              <w:bottom w:val="single" w:sz="4" w:space="0" w:color="000000"/>
              <w:right w:val="single" w:sz="12" w:space="0" w:color="000000"/>
            </w:tcBorders>
            <w:vAlign w:val="center"/>
          </w:tcPr>
          <w:p w14:paraId="153656CA" w14:textId="25991391" w:rsidR="00B56D50" w:rsidRDefault="001C3C42" w:rsidP="00905D10">
            <w:pPr>
              <w:spacing w:after="0" w:line="259" w:lineRule="auto"/>
              <w:ind w:left="0" w:right="34" w:firstLine="0"/>
              <w:jc w:val="center"/>
            </w:pPr>
            <w:r>
              <w:rPr>
                <w:sz w:val="18"/>
              </w:rPr>
              <w:t>mg/kg</w:t>
            </w:r>
          </w:p>
        </w:tc>
        <w:tc>
          <w:tcPr>
            <w:tcW w:w="907" w:type="dxa"/>
            <w:tcBorders>
              <w:top w:val="single" w:sz="4" w:space="0" w:color="000000"/>
              <w:left w:val="single" w:sz="12" w:space="0" w:color="000000"/>
              <w:bottom w:val="single" w:sz="4" w:space="0" w:color="000000"/>
              <w:right w:val="single" w:sz="12" w:space="0" w:color="000000"/>
            </w:tcBorders>
            <w:vAlign w:val="center"/>
          </w:tcPr>
          <w:p w14:paraId="60AC3A14" w14:textId="7C907631" w:rsidR="00B56D50" w:rsidRDefault="001C3C42" w:rsidP="00905D10">
            <w:pPr>
              <w:spacing w:after="0" w:line="259" w:lineRule="auto"/>
              <w:ind w:left="0" w:right="0" w:firstLine="0"/>
              <w:jc w:val="center"/>
            </w:pPr>
            <w:r>
              <w:rPr>
                <w:sz w:val="18"/>
              </w:rPr>
              <w:t>6010</w:t>
            </w:r>
            <w:r w:rsidR="00107B55">
              <w:rPr>
                <w:sz w:val="18"/>
              </w:rPr>
              <w:t xml:space="preserve"> </w:t>
            </w:r>
            <w:r w:rsidRPr="00D14E71">
              <w:rPr>
                <w:b/>
                <w:bCs/>
                <w:sz w:val="18"/>
                <w:vertAlign w:val="superscript"/>
              </w:rPr>
              <w:t>1</w:t>
            </w:r>
          </w:p>
        </w:tc>
        <w:tc>
          <w:tcPr>
            <w:tcW w:w="907" w:type="dxa"/>
            <w:tcBorders>
              <w:top w:val="single" w:sz="4" w:space="0" w:color="000000"/>
              <w:left w:val="single" w:sz="12" w:space="0" w:color="000000"/>
              <w:bottom w:val="single" w:sz="4" w:space="0" w:color="000000"/>
              <w:right w:val="single" w:sz="12" w:space="0" w:color="000000"/>
            </w:tcBorders>
            <w:vAlign w:val="center"/>
          </w:tcPr>
          <w:p w14:paraId="4A3D0208" w14:textId="4D1331CE" w:rsidR="00B56D50" w:rsidRDefault="001C3C42" w:rsidP="00905D10">
            <w:pPr>
              <w:spacing w:after="0" w:line="259" w:lineRule="auto"/>
              <w:ind w:left="0" w:right="0" w:firstLine="0"/>
              <w:jc w:val="center"/>
            </w:pPr>
            <w:r>
              <w:rPr>
                <w:sz w:val="18"/>
              </w:rPr>
              <w:t>6020</w:t>
            </w:r>
          </w:p>
        </w:tc>
        <w:tc>
          <w:tcPr>
            <w:tcW w:w="770" w:type="dxa"/>
            <w:tcBorders>
              <w:top w:val="single" w:sz="4" w:space="0" w:color="000000"/>
              <w:left w:val="single" w:sz="12" w:space="0" w:color="000000"/>
              <w:bottom w:val="single" w:sz="4" w:space="0" w:color="000000"/>
              <w:right w:val="single" w:sz="12" w:space="0" w:color="000000"/>
            </w:tcBorders>
            <w:vAlign w:val="center"/>
          </w:tcPr>
          <w:p w14:paraId="2183D4E9" w14:textId="746A9D59" w:rsidR="00B56D50" w:rsidRDefault="001C3C42" w:rsidP="00905D10">
            <w:pPr>
              <w:spacing w:after="0" w:line="259" w:lineRule="auto"/>
              <w:ind w:left="1" w:right="0" w:firstLine="0"/>
              <w:jc w:val="center"/>
            </w:pPr>
            <w:r>
              <w:rPr>
                <w:sz w:val="18"/>
              </w:rPr>
              <w:t>7010</w:t>
            </w:r>
            <w:r w:rsidR="00107B55">
              <w:rPr>
                <w:sz w:val="18"/>
              </w:rPr>
              <w:t xml:space="preserve"> </w:t>
            </w:r>
            <w:r w:rsidRPr="00870C02">
              <w:rPr>
                <w:b/>
                <w:bCs/>
                <w:sz w:val="18"/>
                <w:vertAlign w:val="superscript"/>
              </w:rPr>
              <w:t>2</w:t>
            </w:r>
          </w:p>
        </w:tc>
        <w:tc>
          <w:tcPr>
            <w:tcW w:w="772" w:type="dxa"/>
            <w:tcBorders>
              <w:top w:val="single" w:sz="4" w:space="0" w:color="000000"/>
              <w:left w:val="single" w:sz="12" w:space="0" w:color="000000"/>
              <w:bottom w:val="single" w:sz="4" w:space="0" w:color="000000"/>
              <w:right w:val="single" w:sz="12" w:space="0" w:color="000000"/>
            </w:tcBorders>
            <w:vAlign w:val="center"/>
          </w:tcPr>
          <w:p w14:paraId="598BA69D" w14:textId="392366A7" w:rsidR="00B56D50" w:rsidRDefault="00B56D50" w:rsidP="00905D10">
            <w:pPr>
              <w:spacing w:after="0" w:line="259" w:lineRule="auto"/>
              <w:ind w:left="2" w:right="0" w:firstLine="0"/>
              <w:jc w:val="center"/>
            </w:pPr>
          </w:p>
        </w:tc>
        <w:tc>
          <w:tcPr>
            <w:tcW w:w="698" w:type="dxa"/>
            <w:tcBorders>
              <w:top w:val="single" w:sz="4" w:space="0" w:color="000000"/>
              <w:left w:val="single" w:sz="12" w:space="0" w:color="000000"/>
              <w:bottom w:val="single" w:sz="4" w:space="0" w:color="000000"/>
              <w:right w:val="single" w:sz="12" w:space="0" w:color="000000"/>
            </w:tcBorders>
            <w:vAlign w:val="center"/>
          </w:tcPr>
          <w:p w14:paraId="5D83C92C" w14:textId="1E25F04F" w:rsidR="00B56D50" w:rsidRDefault="00B56D50" w:rsidP="00905D10">
            <w:pPr>
              <w:spacing w:after="0" w:line="259" w:lineRule="auto"/>
              <w:ind w:left="2" w:right="0" w:firstLine="0"/>
              <w:jc w:val="center"/>
            </w:pPr>
          </w:p>
        </w:tc>
      </w:tr>
      <w:tr w:rsidR="00B56D50" w14:paraId="29685604" w14:textId="77777777" w:rsidTr="00725264">
        <w:trPr>
          <w:trHeight w:val="290"/>
        </w:trPr>
        <w:tc>
          <w:tcPr>
            <w:tcW w:w="2211" w:type="dxa"/>
            <w:tcBorders>
              <w:top w:val="single" w:sz="4" w:space="0" w:color="000000"/>
              <w:left w:val="single" w:sz="12" w:space="0" w:color="000000"/>
              <w:bottom w:val="single" w:sz="4" w:space="0" w:color="000000"/>
              <w:right w:val="single" w:sz="12" w:space="0" w:color="000000"/>
            </w:tcBorders>
            <w:vAlign w:val="center"/>
          </w:tcPr>
          <w:p w14:paraId="05FF6A60" w14:textId="77777777" w:rsidR="00B56D50" w:rsidRDefault="001C3C42" w:rsidP="00905D10">
            <w:pPr>
              <w:spacing w:after="0" w:line="259" w:lineRule="auto"/>
              <w:ind w:left="2" w:right="0" w:firstLine="0"/>
            </w:pPr>
            <w:r>
              <w:rPr>
                <w:sz w:val="18"/>
              </w:rPr>
              <w:t xml:space="preserve">Chromium (all forms) </w:t>
            </w:r>
          </w:p>
        </w:tc>
        <w:tc>
          <w:tcPr>
            <w:tcW w:w="1179" w:type="dxa"/>
            <w:tcBorders>
              <w:top w:val="single" w:sz="4" w:space="0" w:color="000000"/>
              <w:left w:val="single" w:sz="12" w:space="0" w:color="000000"/>
              <w:bottom w:val="single" w:sz="4" w:space="0" w:color="000000"/>
              <w:right w:val="single" w:sz="12" w:space="0" w:color="000000"/>
            </w:tcBorders>
            <w:vAlign w:val="center"/>
          </w:tcPr>
          <w:p w14:paraId="32A09D26" w14:textId="3080BFCC" w:rsidR="00B56D50" w:rsidRDefault="001C3C42" w:rsidP="00905D10">
            <w:pPr>
              <w:spacing w:after="0" w:line="259" w:lineRule="auto"/>
              <w:ind w:left="0" w:right="0" w:firstLine="0"/>
              <w:jc w:val="center"/>
            </w:pPr>
            <w:r>
              <w:rPr>
                <w:sz w:val="18"/>
              </w:rPr>
              <w:t>7440-47-3</w:t>
            </w:r>
          </w:p>
        </w:tc>
        <w:tc>
          <w:tcPr>
            <w:tcW w:w="817" w:type="dxa"/>
            <w:tcBorders>
              <w:top w:val="single" w:sz="4" w:space="0" w:color="000000"/>
              <w:left w:val="single" w:sz="12" w:space="0" w:color="000000"/>
              <w:bottom w:val="single" w:sz="4" w:space="0" w:color="000000"/>
              <w:right w:val="single" w:sz="12" w:space="0" w:color="000000"/>
            </w:tcBorders>
            <w:vAlign w:val="center"/>
          </w:tcPr>
          <w:p w14:paraId="56B97E17" w14:textId="484481D3" w:rsidR="00B56D50" w:rsidRDefault="001C3C42" w:rsidP="00905D10">
            <w:pPr>
              <w:spacing w:after="0" w:line="259" w:lineRule="auto"/>
              <w:ind w:left="2" w:right="0" w:firstLine="0"/>
              <w:jc w:val="center"/>
            </w:pPr>
            <w:r>
              <w:rPr>
                <w:sz w:val="18"/>
              </w:rPr>
              <w:t>10</w:t>
            </w:r>
          </w:p>
        </w:tc>
        <w:tc>
          <w:tcPr>
            <w:tcW w:w="726" w:type="dxa"/>
            <w:tcBorders>
              <w:top w:val="single" w:sz="4" w:space="0" w:color="000000"/>
              <w:left w:val="single" w:sz="12" w:space="0" w:color="000000"/>
              <w:bottom w:val="single" w:sz="4" w:space="0" w:color="000000"/>
              <w:right w:val="single" w:sz="12" w:space="0" w:color="000000"/>
            </w:tcBorders>
            <w:vAlign w:val="center"/>
          </w:tcPr>
          <w:p w14:paraId="2527168B" w14:textId="03707F7E" w:rsidR="00B56D50" w:rsidRDefault="00023BFA" w:rsidP="00905D10">
            <w:pPr>
              <w:spacing w:after="0" w:line="259" w:lineRule="auto"/>
              <w:ind w:left="0" w:right="0" w:firstLine="0"/>
              <w:jc w:val="center"/>
            </w:pPr>
            <w:r>
              <w:rPr>
                <w:sz w:val="18"/>
              </w:rPr>
              <w:t>ug/L</w:t>
            </w:r>
          </w:p>
        </w:tc>
        <w:tc>
          <w:tcPr>
            <w:tcW w:w="815" w:type="dxa"/>
            <w:tcBorders>
              <w:top w:val="single" w:sz="4" w:space="0" w:color="000000"/>
              <w:left w:val="single" w:sz="12" w:space="0" w:color="000000"/>
              <w:bottom w:val="single" w:sz="4" w:space="0" w:color="000000"/>
              <w:right w:val="single" w:sz="12" w:space="0" w:color="000000"/>
            </w:tcBorders>
            <w:vAlign w:val="center"/>
          </w:tcPr>
          <w:p w14:paraId="67989255" w14:textId="243F3D4D" w:rsidR="00B56D50" w:rsidRDefault="001C3C42" w:rsidP="00905D10">
            <w:pPr>
              <w:spacing w:after="0" w:line="259" w:lineRule="auto"/>
              <w:ind w:left="0" w:right="0" w:firstLine="0"/>
              <w:jc w:val="center"/>
            </w:pPr>
            <w:r>
              <w:rPr>
                <w:sz w:val="18"/>
              </w:rPr>
              <w:t>5</w:t>
            </w:r>
          </w:p>
        </w:tc>
        <w:tc>
          <w:tcPr>
            <w:tcW w:w="818" w:type="dxa"/>
            <w:tcBorders>
              <w:top w:val="single" w:sz="4" w:space="0" w:color="000000"/>
              <w:left w:val="single" w:sz="12" w:space="0" w:color="000000"/>
              <w:bottom w:val="single" w:sz="4" w:space="0" w:color="000000"/>
              <w:right w:val="single" w:sz="12" w:space="0" w:color="000000"/>
            </w:tcBorders>
            <w:vAlign w:val="center"/>
          </w:tcPr>
          <w:p w14:paraId="6332BDCA" w14:textId="564AB852" w:rsidR="00B56D50" w:rsidRDefault="001C3C42" w:rsidP="00905D10">
            <w:pPr>
              <w:spacing w:after="0" w:line="259" w:lineRule="auto"/>
              <w:ind w:left="0" w:right="34" w:firstLine="0"/>
              <w:jc w:val="center"/>
            </w:pPr>
            <w:r>
              <w:rPr>
                <w:sz w:val="18"/>
              </w:rPr>
              <w:t>mg/kg</w:t>
            </w:r>
          </w:p>
        </w:tc>
        <w:tc>
          <w:tcPr>
            <w:tcW w:w="907" w:type="dxa"/>
            <w:tcBorders>
              <w:top w:val="single" w:sz="4" w:space="0" w:color="000000"/>
              <w:left w:val="single" w:sz="12" w:space="0" w:color="000000"/>
              <w:bottom w:val="single" w:sz="4" w:space="0" w:color="000000"/>
              <w:right w:val="single" w:sz="12" w:space="0" w:color="000000"/>
            </w:tcBorders>
            <w:vAlign w:val="center"/>
          </w:tcPr>
          <w:p w14:paraId="2CA7D257" w14:textId="0B8DF902" w:rsidR="00B56D50" w:rsidRDefault="001C3C42" w:rsidP="00905D10">
            <w:pPr>
              <w:spacing w:after="0" w:line="259" w:lineRule="auto"/>
              <w:ind w:left="0" w:right="0" w:firstLine="0"/>
              <w:jc w:val="center"/>
            </w:pPr>
            <w:r>
              <w:rPr>
                <w:sz w:val="18"/>
              </w:rPr>
              <w:t>6010</w:t>
            </w:r>
          </w:p>
        </w:tc>
        <w:tc>
          <w:tcPr>
            <w:tcW w:w="907" w:type="dxa"/>
            <w:tcBorders>
              <w:top w:val="single" w:sz="4" w:space="0" w:color="000000"/>
              <w:left w:val="single" w:sz="12" w:space="0" w:color="000000"/>
              <w:bottom w:val="single" w:sz="4" w:space="0" w:color="000000"/>
              <w:right w:val="single" w:sz="12" w:space="0" w:color="000000"/>
            </w:tcBorders>
            <w:vAlign w:val="center"/>
          </w:tcPr>
          <w:p w14:paraId="3D3D12EC" w14:textId="609685AF" w:rsidR="00B56D50" w:rsidRDefault="001C3C42" w:rsidP="00905D10">
            <w:pPr>
              <w:spacing w:after="0" w:line="259" w:lineRule="auto"/>
              <w:ind w:left="0" w:right="0" w:firstLine="0"/>
              <w:jc w:val="center"/>
            </w:pPr>
            <w:r>
              <w:rPr>
                <w:sz w:val="18"/>
              </w:rPr>
              <w:t>6020</w:t>
            </w:r>
          </w:p>
        </w:tc>
        <w:tc>
          <w:tcPr>
            <w:tcW w:w="770" w:type="dxa"/>
            <w:tcBorders>
              <w:top w:val="single" w:sz="4" w:space="0" w:color="000000"/>
              <w:left w:val="single" w:sz="12" w:space="0" w:color="000000"/>
              <w:bottom w:val="single" w:sz="4" w:space="0" w:color="000000"/>
              <w:right w:val="single" w:sz="12" w:space="0" w:color="000000"/>
            </w:tcBorders>
            <w:vAlign w:val="center"/>
          </w:tcPr>
          <w:p w14:paraId="6B0BADDD" w14:textId="0993811D" w:rsidR="00B56D50" w:rsidRDefault="001C3C42" w:rsidP="00905D10">
            <w:pPr>
              <w:spacing w:after="0" w:line="259" w:lineRule="auto"/>
              <w:ind w:left="1" w:right="0" w:firstLine="0"/>
              <w:jc w:val="center"/>
            </w:pPr>
            <w:r>
              <w:rPr>
                <w:sz w:val="18"/>
              </w:rPr>
              <w:t>7010</w:t>
            </w:r>
            <w:r w:rsidR="00107B55">
              <w:rPr>
                <w:sz w:val="18"/>
              </w:rPr>
              <w:t xml:space="preserve"> </w:t>
            </w:r>
            <w:r w:rsidRPr="00870C02">
              <w:rPr>
                <w:b/>
                <w:bCs/>
                <w:sz w:val="18"/>
                <w:vertAlign w:val="superscript"/>
              </w:rPr>
              <w:t>2</w:t>
            </w:r>
          </w:p>
        </w:tc>
        <w:tc>
          <w:tcPr>
            <w:tcW w:w="772" w:type="dxa"/>
            <w:tcBorders>
              <w:top w:val="single" w:sz="4" w:space="0" w:color="000000"/>
              <w:left w:val="single" w:sz="12" w:space="0" w:color="000000"/>
              <w:bottom w:val="single" w:sz="4" w:space="0" w:color="000000"/>
              <w:right w:val="single" w:sz="12" w:space="0" w:color="000000"/>
            </w:tcBorders>
            <w:vAlign w:val="center"/>
          </w:tcPr>
          <w:p w14:paraId="3A19F816" w14:textId="7ACCF6A5" w:rsidR="00B56D50" w:rsidRDefault="00B56D50" w:rsidP="00905D10">
            <w:pPr>
              <w:spacing w:after="0" w:line="259" w:lineRule="auto"/>
              <w:ind w:left="2" w:right="0" w:firstLine="0"/>
              <w:jc w:val="center"/>
            </w:pPr>
          </w:p>
        </w:tc>
        <w:tc>
          <w:tcPr>
            <w:tcW w:w="698" w:type="dxa"/>
            <w:tcBorders>
              <w:top w:val="single" w:sz="4" w:space="0" w:color="000000"/>
              <w:left w:val="single" w:sz="12" w:space="0" w:color="000000"/>
              <w:bottom w:val="single" w:sz="4" w:space="0" w:color="000000"/>
              <w:right w:val="single" w:sz="12" w:space="0" w:color="000000"/>
            </w:tcBorders>
            <w:vAlign w:val="center"/>
          </w:tcPr>
          <w:p w14:paraId="114F4720" w14:textId="241F123A" w:rsidR="00B56D50" w:rsidRDefault="00B56D50" w:rsidP="00905D10">
            <w:pPr>
              <w:spacing w:after="0" w:line="259" w:lineRule="auto"/>
              <w:ind w:left="2" w:right="0" w:firstLine="0"/>
              <w:jc w:val="center"/>
            </w:pPr>
          </w:p>
        </w:tc>
      </w:tr>
      <w:tr w:rsidR="00B56D50" w14:paraId="41632E1A" w14:textId="77777777" w:rsidTr="00725264">
        <w:trPr>
          <w:trHeight w:val="291"/>
        </w:trPr>
        <w:tc>
          <w:tcPr>
            <w:tcW w:w="2211" w:type="dxa"/>
            <w:tcBorders>
              <w:top w:val="single" w:sz="4" w:space="0" w:color="000000"/>
              <w:left w:val="single" w:sz="12" w:space="0" w:color="000000"/>
              <w:bottom w:val="single" w:sz="4" w:space="0" w:color="000000"/>
              <w:right w:val="single" w:sz="12" w:space="0" w:color="000000"/>
            </w:tcBorders>
            <w:vAlign w:val="center"/>
          </w:tcPr>
          <w:p w14:paraId="22B8A48E" w14:textId="242249EF" w:rsidR="00B56D50" w:rsidRDefault="001C3C42" w:rsidP="00905D10">
            <w:pPr>
              <w:spacing w:after="0" w:line="259" w:lineRule="auto"/>
              <w:ind w:left="2" w:right="0" w:firstLine="0"/>
            </w:pPr>
            <w:r>
              <w:rPr>
                <w:sz w:val="18"/>
              </w:rPr>
              <w:t>Lead</w:t>
            </w:r>
            <w:r w:rsidR="00107B55">
              <w:rPr>
                <w:sz w:val="18"/>
              </w:rPr>
              <w:t xml:space="preserve"> </w:t>
            </w:r>
            <w:r w:rsidRPr="001E4D63">
              <w:rPr>
                <w:b/>
                <w:bCs/>
                <w:sz w:val="18"/>
                <w:vertAlign w:val="superscript"/>
              </w:rPr>
              <w:t>1</w:t>
            </w:r>
            <w:r>
              <w:rPr>
                <w:sz w:val="18"/>
              </w:rPr>
              <w:t xml:space="preserve"> </w:t>
            </w:r>
          </w:p>
        </w:tc>
        <w:tc>
          <w:tcPr>
            <w:tcW w:w="1179" w:type="dxa"/>
            <w:tcBorders>
              <w:top w:val="single" w:sz="4" w:space="0" w:color="000000"/>
              <w:left w:val="single" w:sz="12" w:space="0" w:color="000000"/>
              <w:bottom w:val="single" w:sz="4" w:space="0" w:color="000000"/>
              <w:right w:val="single" w:sz="12" w:space="0" w:color="000000"/>
            </w:tcBorders>
            <w:vAlign w:val="center"/>
          </w:tcPr>
          <w:p w14:paraId="208DB1E8" w14:textId="570AFF54" w:rsidR="00B56D50" w:rsidRDefault="001C3C42" w:rsidP="00905D10">
            <w:pPr>
              <w:spacing w:after="0" w:line="259" w:lineRule="auto"/>
              <w:ind w:left="0" w:right="0" w:firstLine="0"/>
              <w:jc w:val="center"/>
            </w:pPr>
            <w:r>
              <w:rPr>
                <w:sz w:val="18"/>
              </w:rPr>
              <w:t>7439-92-1</w:t>
            </w:r>
          </w:p>
        </w:tc>
        <w:tc>
          <w:tcPr>
            <w:tcW w:w="817" w:type="dxa"/>
            <w:tcBorders>
              <w:top w:val="single" w:sz="4" w:space="0" w:color="000000"/>
              <w:left w:val="single" w:sz="12" w:space="0" w:color="000000"/>
              <w:bottom w:val="single" w:sz="4" w:space="0" w:color="000000"/>
              <w:right w:val="single" w:sz="12" w:space="0" w:color="000000"/>
            </w:tcBorders>
            <w:vAlign w:val="center"/>
          </w:tcPr>
          <w:p w14:paraId="76EECE58" w14:textId="6E53AD0E" w:rsidR="00B56D50" w:rsidRDefault="001C3C42" w:rsidP="00905D10">
            <w:pPr>
              <w:spacing w:after="0" w:line="259" w:lineRule="auto"/>
              <w:ind w:left="2" w:right="0" w:firstLine="0"/>
              <w:jc w:val="center"/>
            </w:pPr>
            <w:r>
              <w:rPr>
                <w:sz w:val="18"/>
              </w:rPr>
              <w:t>15</w:t>
            </w:r>
          </w:p>
        </w:tc>
        <w:tc>
          <w:tcPr>
            <w:tcW w:w="726" w:type="dxa"/>
            <w:tcBorders>
              <w:top w:val="single" w:sz="4" w:space="0" w:color="000000"/>
              <w:left w:val="single" w:sz="12" w:space="0" w:color="000000"/>
              <w:bottom w:val="single" w:sz="4" w:space="0" w:color="000000"/>
              <w:right w:val="single" w:sz="12" w:space="0" w:color="000000"/>
            </w:tcBorders>
            <w:vAlign w:val="center"/>
          </w:tcPr>
          <w:p w14:paraId="426F0798" w14:textId="135AA60C" w:rsidR="00B56D50" w:rsidRDefault="00023BFA" w:rsidP="00905D10">
            <w:pPr>
              <w:spacing w:after="0" w:line="259" w:lineRule="auto"/>
              <w:ind w:left="0" w:right="0" w:firstLine="0"/>
              <w:jc w:val="center"/>
            </w:pPr>
            <w:r>
              <w:rPr>
                <w:sz w:val="18"/>
              </w:rPr>
              <w:t>ug/L</w:t>
            </w:r>
          </w:p>
        </w:tc>
        <w:tc>
          <w:tcPr>
            <w:tcW w:w="815" w:type="dxa"/>
            <w:tcBorders>
              <w:top w:val="single" w:sz="4" w:space="0" w:color="000000"/>
              <w:left w:val="single" w:sz="12" w:space="0" w:color="000000"/>
              <w:bottom w:val="single" w:sz="4" w:space="0" w:color="000000"/>
              <w:right w:val="single" w:sz="12" w:space="0" w:color="000000"/>
            </w:tcBorders>
            <w:vAlign w:val="center"/>
          </w:tcPr>
          <w:p w14:paraId="3883355A" w14:textId="39EB5EED" w:rsidR="00B56D50" w:rsidRDefault="001C3C42" w:rsidP="00905D10">
            <w:pPr>
              <w:spacing w:after="0" w:line="259" w:lineRule="auto"/>
              <w:ind w:left="0" w:right="0" w:firstLine="0"/>
              <w:jc w:val="center"/>
            </w:pPr>
            <w:r>
              <w:rPr>
                <w:sz w:val="18"/>
              </w:rPr>
              <w:t>5</w:t>
            </w:r>
          </w:p>
        </w:tc>
        <w:tc>
          <w:tcPr>
            <w:tcW w:w="818" w:type="dxa"/>
            <w:tcBorders>
              <w:top w:val="single" w:sz="4" w:space="0" w:color="000000"/>
              <w:left w:val="single" w:sz="12" w:space="0" w:color="000000"/>
              <w:bottom w:val="single" w:sz="4" w:space="0" w:color="000000"/>
              <w:right w:val="single" w:sz="12" w:space="0" w:color="000000"/>
            </w:tcBorders>
            <w:vAlign w:val="center"/>
          </w:tcPr>
          <w:p w14:paraId="1CA27D16" w14:textId="5BF22590" w:rsidR="00B56D50" w:rsidRDefault="001C3C42" w:rsidP="00905D10">
            <w:pPr>
              <w:spacing w:after="0" w:line="259" w:lineRule="auto"/>
              <w:ind w:left="0" w:right="34" w:firstLine="0"/>
              <w:jc w:val="center"/>
            </w:pPr>
            <w:r>
              <w:rPr>
                <w:sz w:val="18"/>
              </w:rPr>
              <w:t>mg/kg</w:t>
            </w:r>
          </w:p>
        </w:tc>
        <w:tc>
          <w:tcPr>
            <w:tcW w:w="907" w:type="dxa"/>
            <w:tcBorders>
              <w:top w:val="single" w:sz="4" w:space="0" w:color="000000"/>
              <w:left w:val="single" w:sz="12" w:space="0" w:color="000000"/>
              <w:bottom w:val="single" w:sz="4" w:space="0" w:color="000000"/>
              <w:right w:val="single" w:sz="12" w:space="0" w:color="000000"/>
            </w:tcBorders>
            <w:vAlign w:val="center"/>
          </w:tcPr>
          <w:p w14:paraId="20A58218" w14:textId="7397DC4D" w:rsidR="00B56D50" w:rsidRDefault="001C3C42" w:rsidP="00905D10">
            <w:pPr>
              <w:spacing w:after="0" w:line="259" w:lineRule="auto"/>
              <w:ind w:left="0" w:right="0" w:firstLine="0"/>
              <w:jc w:val="center"/>
            </w:pPr>
            <w:r>
              <w:rPr>
                <w:sz w:val="18"/>
              </w:rPr>
              <w:t>6010</w:t>
            </w:r>
            <w:r w:rsidR="00107B55">
              <w:rPr>
                <w:sz w:val="18"/>
              </w:rPr>
              <w:t xml:space="preserve"> </w:t>
            </w:r>
            <w:r w:rsidRPr="009E7BEC">
              <w:rPr>
                <w:b/>
                <w:bCs/>
                <w:sz w:val="18"/>
                <w:vertAlign w:val="superscript"/>
              </w:rPr>
              <w:t>1</w:t>
            </w:r>
          </w:p>
        </w:tc>
        <w:tc>
          <w:tcPr>
            <w:tcW w:w="907" w:type="dxa"/>
            <w:tcBorders>
              <w:top w:val="single" w:sz="4" w:space="0" w:color="000000"/>
              <w:left w:val="single" w:sz="12" w:space="0" w:color="000000"/>
              <w:bottom w:val="single" w:sz="4" w:space="0" w:color="000000"/>
              <w:right w:val="single" w:sz="12" w:space="0" w:color="000000"/>
            </w:tcBorders>
            <w:vAlign w:val="center"/>
          </w:tcPr>
          <w:p w14:paraId="087CA90A" w14:textId="23EB71C2" w:rsidR="00B56D50" w:rsidRDefault="001C3C42" w:rsidP="00905D10">
            <w:pPr>
              <w:spacing w:after="0" w:line="259" w:lineRule="auto"/>
              <w:ind w:left="0" w:right="0" w:firstLine="0"/>
              <w:jc w:val="center"/>
            </w:pPr>
            <w:r>
              <w:rPr>
                <w:sz w:val="18"/>
              </w:rPr>
              <w:t>6020</w:t>
            </w:r>
          </w:p>
        </w:tc>
        <w:tc>
          <w:tcPr>
            <w:tcW w:w="770" w:type="dxa"/>
            <w:tcBorders>
              <w:top w:val="single" w:sz="4" w:space="0" w:color="000000"/>
              <w:left w:val="single" w:sz="12" w:space="0" w:color="000000"/>
              <w:bottom w:val="single" w:sz="4" w:space="0" w:color="000000"/>
              <w:right w:val="single" w:sz="12" w:space="0" w:color="000000"/>
            </w:tcBorders>
            <w:vAlign w:val="center"/>
          </w:tcPr>
          <w:p w14:paraId="316DA1B3" w14:textId="1A77D5A7" w:rsidR="00B56D50" w:rsidRDefault="001C3C42" w:rsidP="00905D10">
            <w:pPr>
              <w:spacing w:after="0" w:line="259" w:lineRule="auto"/>
              <w:ind w:left="1" w:right="0" w:firstLine="0"/>
              <w:jc w:val="center"/>
            </w:pPr>
            <w:r>
              <w:rPr>
                <w:sz w:val="18"/>
              </w:rPr>
              <w:t>7010</w:t>
            </w:r>
            <w:r w:rsidR="00107B55">
              <w:rPr>
                <w:sz w:val="18"/>
              </w:rPr>
              <w:t xml:space="preserve"> </w:t>
            </w:r>
            <w:r w:rsidRPr="009E7BEC">
              <w:rPr>
                <w:b/>
                <w:bCs/>
                <w:sz w:val="18"/>
                <w:vertAlign w:val="superscript"/>
              </w:rPr>
              <w:t>2</w:t>
            </w:r>
          </w:p>
        </w:tc>
        <w:tc>
          <w:tcPr>
            <w:tcW w:w="772" w:type="dxa"/>
            <w:tcBorders>
              <w:top w:val="single" w:sz="4" w:space="0" w:color="000000"/>
              <w:left w:val="single" w:sz="12" w:space="0" w:color="000000"/>
              <w:bottom w:val="single" w:sz="4" w:space="0" w:color="000000"/>
              <w:right w:val="single" w:sz="12" w:space="0" w:color="000000"/>
            </w:tcBorders>
            <w:vAlign w:val="center"/>
          </w:tcPr>
          <w:p w14:paraId="55E12B4A" w14:textId="024C27A9" w:rsidR="00B56D50" w:rsidRDefault="00B56D50" w:rsidP="00905D10">
            <w:pPr>
              <w:spacing w:after="0" w:line="259" w:lineRule="auto"/>
              <w:ind w:left="2" w:right="0" w:firstLine="0"/>
              <w:jc w:val="center"/>
            </w:pPr>
          </w:p>
        </w:tc>
        <w:tc>
          <w:tcPr>
            <w:tcW w:w="698" w:type="dxa"/>
            <w:tcBorders>
              <w:top w:val="single" w:sz="4" w:space="0" w:color="000000"/>
              <w:left w:val="single" w:sz="12" w:space="0" w:color="000000"/>
              <w:bottom w:val="single" w:sz="4" w:space="0" w:color="000000"/>
              <w:right w:val="single" w:sz="12" w:space="0" w:color="000000"/>
            </w:tcBorders>
            <w:vAlign w:val="center"/>
          </w:tcPr>
          <w:p w14:paraId="3A4698DD" w14:textId="3E9A3684" w:rsidR="00B56D50" w:rsidRDefault="00B56D50" w:rsidP="00905D10">
            <w:pPr>
              <w:spacing w:after="0" w:line="259" w:lineRule="auto"/>
              <w:ind w:left="2" w:right="0" w:firstLine="0"/>
              <w:jc w:val="center"/>
            </w:pPr>
          </w:p>
        </w:tc>
      </w:tr>
      <w:tr w:rsidR="00B56D50" w14:paraId="3AA818AE" w14:textId="77777777" w:rsidTr="00725264">
        <w:trPr>
          <w:trHeight w:val="293"/>
        </w:trPr>
        <w:tc>
          <w:tcPr>
            <w:tcW w:w="2211" w:type="dxa"/>
            <w:tcBorders>
              <w:top w:val="single" w:sz="4" w:space="0" w:color="000000"/>
              <w:left w:val="single" w:sz="12" w:space="0" w:color="000000"/>
              <w:bottom w:val="single" w:sz="4" w:space="0" w:color="000000"/>
              <w:right w:val="single" w:sz="12" w:space="0" w:color="000000"/>
            </w:tcBorders>
            <w:vAlign w:val="center"/>
          </w:tcPr>
          <w:p w14:paraId="14EC70CB" w14:textId="77777777" w:rsidR="00B56D50" w:rsidRDefault="001C3C42" w:rsidP="00905D10">
            <w:pPr>
              <w:spacing w:after="0" w:line="259" w:lineRule="auto"/>
              <w:ind w:left="2" w:right="0" w:firstLine="0"/>
            </w:pPr>
            <w:r>
              <w:rPr>
                <w:sz w:val="18"/>
              </w:rPr>
              <w:t xml:space="preserve">Mercury </w:t>
            </w:r>
          </w:p>
        </w:tc>
        <w:tc>
          <w:tcPr>
            <w:tcW w:w="1179" w:type="dxa"/>
            <w:tcBorders>
              <w:top w:val="single" w:sz="4" w:space="0" w:color="000000"/>
              <w:left w:val="single" w:sz="12" w:space="0" w:color="000000"/>
              <w:bottom w:val="single" w:sz="4" w:space="0" w:color="000000"/>
              <w:right w:val="single" w:sz="12" w:space="0" w:color="000000"/>
            </w:tcBorders>
            <w:vAlign w:val="center"/>
          </w:tcPr>
          <w:p w14:paraId="4DAFCAF3" w14:textId="3D2A41AB" w:rsidR="00B56D50" w:rsidRDefault="001C3C42" w:rsidP="00905D10">
            <w:pPr>
              <w:spacing w:after="0" w:line="259" w:lineRule="auto"/>
              <w:ind w:left="0" w:right="0" w:firstLine="0"/>
              <w:jc w:val="center"/>
            </w:pPr>
            <w:r>
              <w:rPr>
                <w:sz w:val="18"/>
              </w:rPr>
              <w:t>7439-97-6</w:t>
            </w:r>
          </w:p>
        </w:tc>
        <w:tc>
          <w:tcPr>
            <w:tcW w:w="817" w:type="dxa"/>
            <w:tcBorders>
              <w:top w:val="single" w:sz="4" w:space="0" w:color="000000"/>
              <w:left w:val="single" w:sz="12" w:space="0" w:color="000000"/>
              <w:bottom w:val="single" w:sz="4" w:space="0" w:color="000000"/>
              <w:right w:val="single" w:sz="12" w:space="0" w:color="000000"/>
            </w:tcBorders>
            <w:vAlign w:val="center"/>
          </w:tcPr>
          <w:p w14:paraId="6C09B6C0" w14:textId="16C1EB3C" w:rsidR="00B56D50" w:rsidRDefault="001C3C42" w:rsidP="00905D10">
            <w:pPr>
              <w:tabs>
                <w:tab w:val="right" w:pos="628"/>
              </w:tabs>
              <w:spacing w:after="0" w:line="259" w:lineRule="auto"/>
              <w:ind w:left="0" w:right="0" w:firstLine="0"/>
              <w:jc w:val="center"/>
            </w:pPr>
            <w:r>
              <w:rPr>
                <w:sz w:val="18"/>
              </w:rPr>
              <w:t>0.20</w:t>
            </w:r>
          </w:p>
        </w:tc>
        <w:tc>
          <w:tcPr>
            <w:tcW w:w="726" w:type="dxa"/>
            <w:tcBorders>
              <w:top w:val="single" w:sz="4" w:space="0" w:color="000000"/>
              <w:left w:val="single" w:sz="12" w:space="0" w:color="000000"/>
              <w:bottom w:val="single" w:sz="4" w:space="0" w:color="000000"/>
              <w:right w:val="single" w:sz="12" w:space="0" w:color="000000"/>
            </w:tcBorders>
            <w:vAlign w:val="center"/>
          </w:tcPr>
          <w:p w14:paraId="4BB4C1DC" w14:textId="595D8060" w:rsidR="00B56D50" w:rsidRDefault="00023BFA" w:rsidP="00905D10">
            <w:pPr>
              <w:spacing w:after="0" w:line="259" w:lineRule="auto"/>
              <w:ind w:left="0" w:right="0" w:firstLine="0"/>
              <w:jc w:val="center"/>
            </w:pPr>
            <w:r>
              <w:rPr>
                <w:sz w:val="18"/>
              </w:rPr>
              <w:t>ug/L</w:t>
            </w:r>
          </w:p>
        </w:tc>
        <w:tc>
          <w:tcPr>
            <w:tcW w:w="815" w:type="dxa"/>
            <w:tcBorders>
              <w:top w:val="single" w:sz="4" w:space="0" w:color="000000"/>
              <w:left w:val="single" w:sz="12" w:space="0" w:color="000000"/>
              <w:bottom w:val="single" w:sz="4" w:space="0" w:color="000000"/>
              <w:right w:val="single" w:sz="12" w:space="0" w:color="000000"/>
            </w:tcBorders>
            <w:vAlign w:val="center"/>
          </w:tcPr>
          <w:p w14:paraId="707DF427" w14:textId="081FB2BF" w:rsidR="00B56D50" w:rsidRDefault="001C3C42" w:rsidP="00905D10">
            <w:pPr>
              <w:spacing w:after="0" w:line="259" w:lineRule="auto"/>
              <w:ind w:left="0" w:right="0" w:firstLine="0"/>
              <w:jc w:val="center"/>
            </w:pPr>
            <w:r>
              <w:rPr>
                <w:sz w:val="18"/>
              </w:rPr>
              <w:t>0.20</w:t>
            </w:r>
          </w:p>
        </w:tc>
        <w:tc>
          <w:tcPr>
            <w:tcW w:w="818" w:type="dxa"/>
            <w:tcBorders>
              <w:top w:val="single" w:sz="4" w:space="0" w:color="000000"/>
              <w:left w:val="single" w:sz="12" w:space="0" w:color="000000"/>
              <w:bottom w:val="single" w:sz="4" w:space="0" w:color="000000"/>
              <w:right w:val="single" w:sz="12" w:space="0" w:color="000000"/>
            </w:tcBorders>
            <w:vAlign w:val="center"/>
          </w:tcPr>
          <w:p w14:paraId="2B0C7734" w14:textId="19261431" w:rsidR="00B56D50" w:rsidRDefault="001C3C42" w:rsidP="00905D10">
            <w:pPr>
              <w:spacing w:after="0" w:line="259" w:lineRule="auto"/>
              <w:ind w:left="0" w:right="34" w:firstLine="0"/>
              <w:jc w:val="center"/>
            </w:pPr>
            <w:r>
              <w:rPr>
                <w:sz w:val="18"/>
              </w:rPr>
              <w:t>mg/kg</w:t>
            </w:r>
          </w:p>
        </w:tc>
        <w:tc>
          <w:tcPr>
            <w:tcW w:w="907" w:type="dxa"/>
            <w:tcBorders>
              <w:top w:val="single" w:sz="4" w:space="0" w:color="000000"/>
              <w:left w:val="single" w:sz="12" w:space="0" w:color="000000"/>
              <w:bottom w:val="single" w:sz="4" w:space="0" w:color="000000"/>
              <w:right w:val="single" w:sz="12" w:space="0" w:color="000000"/>
            </w:tcBorders>
            <w:vAlign w:val="center"/>
          </w:tcPr>
          <w:p w14:paraId="1845C342" w14:textId="64E151D2" w:rsidR="00B56D50" w:rsidRDefault="001C3C42" w:rsidP="00905D10">
            <w:pPr>
              <w:spacing w:after="0" w:line="259" w:lineRule="auto"/>
              <w:ind w:left="0" w:right="0" w:firstLine="0"/>
              <w:jc w:val="center"/>
            </w:pPr>
            <w:r>
              <w:rPr>
                <w:sz w:val="18"/>
              </w:rPr>
              <w:t>7470</w:t>
            </w:r>
          </w:p>
        </w:tc>
        <w:tc>
          <w:tcPr>
            <w:tcW w:w="907" w:type="dxa"/>
            <w:tcBorders>
              <w:top w:val="single" w:sz="4" w:space="0" w:color="000000"/>
              <w:left w:val="single" w:sz="12" w:space="0" w:color="000000"/>
              <w:bottom w:val="single" w:sz="4" w:space="0" w:color="000000"/>
              <w:right w:val="single" w:sz="12" w:space="0" w:color="000000"/>
            </w:tcBorders>
            <w:vAlign w:val="center"/>
          </w:tcPr>
          <w:p w14:paraId="47608BC0" w14:textId="330CE412" w:rsidR="00B56D50" w:rsidRDefault="001C3C42" w:rsidP="00905D10">
            <w:pPr>
              <w:spacing w:after="0" w:line="259" w:lineRule="auto"/>
              <w:ind w:left="0" w:right="0" w:firstLine="0"/>
              <w:jc w:val="center"/>
            </w:pPr>
            <w:r>
              <w:rPr>
                <w:sz w:val="18"/>
              </w:rPr>
              <w:t>7471</w:t>
            </w:r>
          </w:p>
        </w:tc>
        <w:tc>
          <w:tcPr>
            <w:tcW w:w="770" w:type="dxa"/>
            <w:tcBorders>
              <w:top w:val="single" w:sz="4" w:space="0" w:color="000000"/>
              <w:left w:val="single" w:sz="12" w:space="0" w:color="000000"/>
              <w:bottom w:val="single" w:sz="4" w:space="0" w:color="000000"/>
              <w:right w:val="single" w:sz="12" w:space="0" w:color="000000"/>
            </w:tcBorders>
            <w:vAlign w:val="center"/>
          </w:tcPr>
          <w:p w14:paraId="5DDE173F" w14:textId="109646E8" w:rsidR="00B56D50" w:rsidRDefault="001C3C42" w:rsidP="00905D10">
            <w:pPr>
              <w:spacing w:after="0" w:line="259" w:lineRule="auto"/>
              <w:ind w:left="1" w:right="0" w:firstLine="0"/>
              <w:jc w:val="center"/>
            </w:pPr>
            <w:r>
              <w:rPr>
                <w:sz w:val="18"/>
              </w:rPr>
              <w:t>7472</w:t>
            </w:r>
          </w:p>
        </w:tc>
        <w:tc>
          <w:tcPr>
            <w:tcW w:w="772" w:type="dxa"/>
            <w:tcBorders>
              <w:top w:val="single" w:sz="4" w:space="0" w:color="000000"/>
              <w:left w:val="single" w:sz="12" w:space="0" w:color="000000"/>
              <w:bottom w:val="single" w:sz="4" w:space="0" w:color="000000"/>
              <w:right w:val="single" w:sz="12" w:space="0" w:color="000000"/>
            </w:tcBorders>
            <w:vAlign w:val="center"/>
          </w:tcPr>
          <w:p w14:paraId="2C2EA534" w14:textId="702AE6E1" w:rsidR="00B56D50" w:rsidRDefault="001C3C42" w:rsidP="00905D10">
            <w:pPr>
              <w:spacing w:after="0" w:line="259" w:lineRule="auto"/>
              <w:ind w:left="2" w:right="0" w:firstLine="0"/>
              <w:jc w:val="center"/>
            </w:pPr>
            <w:r>
              <w:rPr>
                <w:sz w:val="18"/>
              </w:rPr>
              <w:t>7473</w:t>
            </w:r>
          </w:p>
        </w:tc>
        <w:tc>
          <w:tcPr>
            <w:tcW w:w="698" w:type="dxa"/>
            <w:tcBorders>
              <w:top w:val="single" w:sz="4" w:space="0" w:color="000000"/>
              <w:left w:val="single" w:sz="12" w:space="0" w:color="000000"/>
              <w:bottom w:val="single" w:sz="4" w:space="0" w:color="000000"/>
              <w:right w:val="single" w:sz="12" w:space="0" w:color="000000"/>
            </w:tcBorders>
            <w:vAlign w:val="center"/>
          </w:tcPr>
          <w:p w14:paraId="14848327" w14:textId="11F69975" w:rsidR="00B56D50" w:rsidRDefault="001C3C42" w:rsidP="00905D10">
            <w:pPr>
              <w:spacing w:after="0" w:line="259" w:lineRule="auto"/>
              <w:ind w:left="2" w:right="0" w:firstLine="0"/>
              <w:jc w:val="center"/>
            </w:pPr>
            <w:r>
              <w:rPr>
                <w:sz w:val="18"/>
              </w:rPr>
              <w:t>6020</w:t>
            </w:r>
            <w:r w:rsidR="00107B55">
              <w:rPr>
                <w:sz w:val="18"/>
              </w:rPr>
              <w:t xml:space="preserve"> </w:t>
            </w:r>
            <w:r w:rsidR="001875E1" w:rsidRPr="00C26CC6">
              <w:rPr>
                <w:b/>
                <w:bCs/>
                <w:sz w:val="18"/>
                <w:vertAlign w:val="superscript"/>
              </w:rPr>
              <w:t>3</w:t>
            </w:r>
          </w:p>
        </w:tc>
      </w:tr>
      <w:tr w:rsidR="00B56D50" w14:paraId="68DCFAF2" w14:textId="77777777" w:rsidTr="00725264">
        <w:trPr>
          <w:trHeight w:val="290"/>
        </w:trPr>
        <w:tc>
          <w:tcPr>
            <w:tcW w:w="2211" w:type="dxa"/>
            <w:tcBorders>
              <w:top w:val="single" w:sz="4" w:space="0" w:color="000000"/>
              <w:left w:val="single" w:sz="12" w:space="0" w:color="000000"/>
              <w:bottom w:val="single" w:sz="4" w:space="0" w:color="000000"/>
              <w:right w:val="single" w:sz="12" w:space="0" w:color="000000"/>
            </w:tcBorders>
            <w:vAlign w:val="center"/>
          </w:tcPr>
          <w:p w14:paraId="5DC796D0" w14:textId="527B14C3" w:rsidR="00B56D50" w:rsidRDefault="001C3C42" w:rsidP="00905D10">
            <w:pPr>
              <w:spacing w:after="0" w:line="259" w:lineRule="auto"/>
              <w:ind w:left="2" w:right="0" w:firstLine="0"/>
            </w:pPr>
            <w:r>
              <w:rPr>
                <w:sz w:val="18"/>
              </w:rPr>
              <w:t>Selenium</w:t>
            </w:r>
            <w:r w:rsidR="00107B55">
              <w:rPr>
                <w:sz w:val="18"/>
              </w:rPr>
              <w:t xml:space="preserve"> </w:t>
            </w:r>
            <w:r w:rsidRPr="009E7BEC">
              <w:rPr>
                <w:b/>
                <w:bCs/>
                <w:sz w:val="18"/>
                <w:vertAlign w:val="superscript"/>
              </w:rPr>
              <w:t>1</w:t>
            </w:r>
            <w:r>
              <w:rPr>
                <w:sz w:val="18"/>
              </w:rPr>
              <w:t xml:space="preserve"> </w:t>
            </w:r>
          </w:p>
        </w:tc>
        <w:tc>
          <w:tcPr>
            <w:tcW w:w="1179" w:type="dxa"/>
            <w:tcBorders>
              <w:top w:val="single" w:sz="4" w:space="0" w:color="000000"/>
              <w:left w:val="single" w:sz="12" w:space="0" w:color="000000"/>
              <w:bottom w:val="single" w:sz="4" w:space="0" w:color="000000"/>
              <w:right w:val="single" w:sz="12" w:space="0" w:color="000000"/>
            </w:tcBorders>
            <w:vAlign w:val="center"/>
          </w:tcPr>
          <w:p w14:paraId="4CF18DF7" w14:textId="38E83336" w:rsidR="00B56D50" w:rsidRDefault="001C3C42" w:rsidP="00905D10">
            <w:pPr>
              <w:spacing w:after="0" w:line="259" w:lineRule="auto"/>
              <w:ind w:left="0" w:right="0" w:firstLine="0"/>
              <w:jc w:val="center"/>
            </w:pPr>
            <w:r>
              <w:rPr>
                <w:sz w:val="18"/>
              </w:rPr>
              <w:t>7782-49-2</w:t>
            </w:r>
          </w:p>
        </w:tc>
        <w:tc>
          <w:tcPr>
            <w:tcW w:w="817" w:type="dxa"/>
            <w:tcBorders>
              <w:top w:val="single" w:sz="4" w:space="0" w:color="000000"/>
              <w:left w:val="single" w:sz="12" w:space="0" w:color="000000"/>
              <w:bottom w:val="single" w:sz="4" w:space="0" w:color="000000"/>
              <w:right w:val="single" w:sz="12" w:space="0" w:color="000000"/>
            </w:tcBorders>
            <w:vAlign w:val="center"/>
          </w:tcPr>
          <w:p w14:paraId="69E025DA" w14:textId="2E0B7EA0" w:rsidR="00B56D50" w:rsidRDefault="001C3C42" w:rsidP="00905D10">
            <w:pPr>
              <w:spacing w:after="0" w:line="259" w:lineRule="auto"/>
              <w:ind w:left="2" w:right="0" w:firstLine="0"/>
              <w:jc w:val="center"/>
            </w:pPr>
            <w:r>
              <w:rPr>
                <w:sz w:val="18"/>
              </w:rPr>
              <w:t>50</w:t>
            </w:r>
          </w:p>
        </w:tc>
        <w:tc>
          <w:tcPr>
            <w:tcW w:w="726" w:type="dxa"/>
            <w:tcBorders>
              <w:top w:val="single" w:sz="4" w:space="0" w:color="000000"/>
              <w:left w:val="single" w:sz="12" w:space="0" w:color="000000"/>
              <w:bottom w:val="single" w:sz="4" w:space="0" w:color="000000"/>
              <w:right w:val="single" w:sz="12" w:space="0" w:color="000000"/>
            </w:tcBorders>
            <w:vAlign w:val="center"/>
          </w:tcPr>
          <w:p w14:paraId="57191654" w14:textId="56259B08" w:rsidR="00B56D50" w:rsidRDefault="00023BFA" w:rsidP="00905D10">
            <w:pPr>
              <w:spacing w:after="0" w:line="259" w:lineRule="auto"/>
              <w:ind w:left="0" w:right="0" w:firstLine="0"/>
              <w:jc w:val="center"/>
            </w:pPr>
            <w:r>
              <w:rPr>
                <w:sz w:val="18"/>
              </w:rPr>
              <w:t>ug/L</w:t>
            </w:r>
          </w:p>
        </w:tc>
        <w:tc>
          <w:tcPr>
            <w:tcW w:w="815" w:type="dxa"/>
            <w:tcBorders>
              <w:top w:val="single" w:sz="4" w:space="0" w:color="000000"/>
              <w:left w:val="single" w:sz="12" w:space="0" w:color="000000"/>
              <w:bottom w:val="single" w:sz="4" w:space="0" w:color="000000"/>
              <w:right w:val="single" w:sz="12" w:space="0" w:color="000000"/>
            </w:tcBorders>
            <w:vAlign w:val="center"/>
          </w:tcPr>
          <w:p w14:paraId="787A7133" w14:textId="3161570D" w:rsidR="00B56D50" w:rsidRDefault="001C3C42" w:rsidP="00905D10">
            <w:pPr>
              <w:spacing w:after="0" w:line="259" w:lineRule="auto"/>
              <w:ind w:left="0" w:right="0" w:firstLine="0"/>
              <w:jc w:val="center"/>
            </w:pPr>
            <w:r>
              <w:rPr>
                <w:sz w:val="18"/>
              </w:rPr>
              <w:t>1</w:t>
            </w:r>
          </w:p>
        </w:tc>
        <w:tc>
          <w:tcPr>
            <w:tcW w:w="818" w:type="dxa"/>
            <w:tcBorders>
              <w:top w:val="single" w:sz="4" w:space="0" w:color="000000"/>
              <w:left w:val="single" w:sz="12" w:space="0" w:color="000000"/>
              <w:bottom w:val="single" w:sz="4" w:space="0" w:color="000000"/>
              <w:right w:val="single" w:sz="12" w:space="0" w:color="000000"/>
            </w:tcBorders>
            <w:vAlign w:val="center"/>
          </w:tcPr>
          <w:p w14:paraId="0C55A5D2" w14:textId="3F0160A1" w:rsidR="00B56D50" w:rsidRDefault="001C3C42" w:rsidP="00905D10">
            <w:pPr>
              <w:spacing w:after="0" w:line="259" w:lineRule="auto"/>
              <w:ind w:left="0" w:right="34" w:firstLine="0"/>
              <w:jc w:val="center"/>
            </w:pPr>
            <w:r>
              <w:rPr>
                <w:sz w:val="18"/>
              </w:rPr>
              <w:t>mg/kg</w:t>
            </w:r>
          </w:p>
        </w:tc>
        <w:tc>
          <w:tcPr>
            <w:tcW w:w="907" w:type="dxa"/>
            <w:tcBorders>
              <w:top w:val="single" w:sz="4" w:space="0" w:color="000000"/>
              <w:left w:val="single" w:sz="12" w:space="0" w:color="000000"/>
              <w:bottom w:val="single" w:sz="4" w:space="0" w:color="000000"/>
              <w:right w:val="single" w:sz="12" w:space="0" w:color="000000"/>
            </w:tcBorders>
            <w:vAlign w:val="center"/>
          </w:tcPr>
          <w:p w14:paraId="4CC7192B" w14:textId="32E4DB4D" w:rsidR="00B56D50" w:rsidRDefault="001C3C42" w:rsidP="00905D10">
            <w:pPr>
              <w:spacing w:after="0" w:line="259" w:lineRule="auto"/>
              <w:ind w:left="0" w:right="0" w:firstLine="0"/>
              <w:jc w:val="center"/>
            </w:pPr>
            <w:r>
              <w:rPr>
                <w:sz w:val="18"/>
              </w:rPr>
              <w:t>6010</w:t>
            </w:r>
            <w:r w:rsidR="00107B55">
              <w:rPr>
                <w:sz w:val="18"/>
              </w:rPr>
              <w:t xml:space="preserve"> </w:t>
            </w:r>
            <w:r w:rsidRPr="009E7BEC">
              <w:rPr>
                <w:b/>
                <w:bCs/>
                <w:sz w:val="18"/>
                <w:vertAlign w:val="superscript"/>
              </w:rPr>
              <w:t>1</w:t>
            </w:r>
          </w:p>
        </w:tc>
        <w:tc>
          <w:tcPr>
            <w:tcW w:w="907" w:type="dxa"/>
            <w:tcBorders>
              <w:top w:val="single" w:sz="4" w:space="0" w:color="000000"/>
              <w:left w:val="single" w:sz="12" w:space="0" w:color="000000"/>
              <w:bottom w:val="single" w:sz="4" w:space="0" w:color="000000"/>
              <w:right w:val="single" w:sz="12" w:space="0" w:color="000000"/>
            </w:tcBorders>
            <w:vAlign w:val="center"/>
          </w:tcPr>
          <w:p w14:paraId="0D1D6316" w14:textId="10BDF882" w:rsidR="00B56D50" w:rsidRDefault="001C3C42" w:rsidP="00905D10">
            <w:pPr>
              <w:spacing w:after="0" w:line="259" w:lineRule="auto"/>
              <w:ind w:left="0" w:right="0" w:firstLine="0"/>
              <w:jc w:val="center"/>
            </w:pPr>
            <w:r>
              <w:rPr>
                <w:sz w:val="18"/>
              </w:rPr>
              <w:t>6020</w:t>
            </w:r>
          </w:p>
        </w:tc>
        <w:tc>
          <w:tcPr>
            <w:tcW w:w="770" w:type="dxa"/>
            <w:tcBorders>
              <w:top w:val="single" w:sz="4" w:space="0" w:color="000000"/>
              <w:left w:val="single" w:sz="12" w:space="0" w:color="000000"/>
              <w:bottom w:val="single" w:sz="4" w:space="0" w:color="000000"/>
              <w:right w:val="single" w:sz="12" w:space="0" w:color="000000"/>
            </w:tcBorders>
            <w:vAlign w:val="center"/>
          </w:tcPr>
          <w:p w14:paraId="3B6EFC03" w14:textId="62F35D67" w:rsidR="00B56D50" w:rsidRDefault="001C3C42" w:rsidP="00905D10">
            <w:pPr>
              <w:spacing w:after="0" w:line="259" w:lineRule="auto"/>
              <w:ind w:left="1" w:right="0" w:firstLine="0"/>
              <w:jc w:val="center"/>
            </w:pPr>
            <w:r>
              <w:rPr>
                <w:sz w:val="18"/>
              </w:rPr>
              <w:t>7010</w:t>
            </w:r>
            <w:r w:rsidR="00107B55">
              <w:rPr>
                <w:sz w:val="18"/>
              </w:rPr>
              <w:t xml:space="preserve"> </w:t>
            </w:r>
            <w:r w:rsidRPr="009E7BEC">
              <w:rPr>
                <w:b/>
                <w:bCs/>
                <w:sz w:val="18"/>
                <w:vertAlign w:val="superscript"/>
              </w:rPr>
              <w:t>2</w:t>
            </w:r>
          </w:p>
        </w:tc>
        <w:tc>
          <w:tcPr>
            <w:tcW w:w="772" w:type="dxa"/>
            <w:tcBorders>
              <w:top w:val="single" w:sz="4" w:space="0" w:color="000000"/>
              <w:left w:val="single" w:sz="12" w:space="0" w:color="000000"/>
              <w:bottom w:val="single" w:sz="4" w:space="0" w:color="000000"/>
              <w:right w:val="single" w:sz="12" w:space="0" w:color="000000"/>
            </w:tcBorders>
            <w:vAlign w:val="center"/>
          </w:tcPr>
          <w:p w14:paraId="2BC6E1B2" w14:textId="2D5331E1" w:rsidR="00B56D50" w:rsidRDefault="001C3C42" w:rsidP="00905D10">
            <w:pPr>
              <w:spacing w:after="0" w:line="259" w:lineRule="auto"/>
              <w:ind w:left="2" w:right="0" w:firstLine="0"/>
              <w:jc w:val="center"/>
            </w:pPr>
            <w:r>
              <w:rPr>
                <w:sz w:val="18"/>
              </w:rPr>
              <w:t>7741</w:t>
            </w:r>
          </w:p>
        </w:tc>
        <w:tc>
          <w:tcPr>
            <w:tcW w:w="698" w:type="dxa"/>
            <w:tcBorders>
              <w:top w:val="single" w:sz="4" w:space="0" w:color="000000"/>
              <w:left w:val="single" w:sz="12" w:space="0" w:color="000000"/>
              <w:bottom w:val="single" w:sz="4" w:space="0" w:color="000000"/>
              <w:right w:val="single" w:sz="12" w:space="0" w:color="000000"/>
            </w:tcBorders>
            <w:vAlign w:val="center"/>
          </w:tcPr>
          <w:p w14:paraId="07CD4501" w14:textId="6BAD4912" w:rsidR="00B56D50" w:rsidRDefault="001C3C42" w:rsidP="00905D10">
            <w:pPr>
              <w:spacing w:after="0" w:line="259" w:lineRule="auto"/>
              <w:ind w:left="2" w:right="0" w:firstLine="0"/>
              <w:jc w:val="center"/>
            </w:pPr>
            <w:r>
              <w:rPr>
                <w:sz w:val="18"/>
              </w:rPr>
              <w:t>7742</w:t>
            </w:r>
          </w:p>
        </w:tc>
      </w:tr>
      <w:tr w:rsidR="00B56D50" w14:paraId="79D97AF0" w14:textId="77777777" w:rsidTr="00725264">
        <w:trPr>
          <w:trHeight w:val="367"/>
        </w:trPr>
        <w:tc>
          <w:tcPr>
            <w:tcW w:w="2211" w:type="dxa"/>
            <w:tcBorders>
              <w:top w:val="single" w:sz="4" w:space="0" w:color="000000"/>
              <w:left w:val="single" w:sz="12" w:space="0" w:color="000000"/>
              <w:bottom w:val="single" w:sz="12" w:space="0" w:color="000000"/>
              <w:right w:val="single" w:sz="12" w:space="0" w:color="000000"/>
            </w:tcBorders>
            <w:vAlign w:val="center"/>
          </w:tcPr>
          <w:p w14:paraId="00940FFA" w14:textId="77777777" w:rsidR="00B56D50" w:rsidRDefault="001C3C42" w:rsidP="00905D10">
            <w:pPr>
              <w:spacing w:after="0" w:line="259" w:lineRule="auto"/>
              <w:ind w:left="2" w:right="0" w:firstLine="0"/>
            </w:pPr>
            <w:r>
              <w:rPr>
                <w:sz w:val="18"/>
              </w:rPr>
              <w:t xml:space="preserve">Silver </w:t>
            </w:r>
          </w:p>
        </w:tc>
        <w:tc>
          <w:tcPr>
            <w:tcW w:w="1179" w:type="dxa"/>
            <w:tcBorders>
              <w:top w:val="single" w:sz="4" w:space="0" w:color="000000"/>
              <w:left w:val="single" w:sz="12" w:space="0" w:color="000000"/>
              <w:bottom w:val="single" w:sz="12" w:space="0" w:color="000000"/>
              <w:right w:val="single" w:sz="12" w:space="0" w:color="000000"/>
            </w:tcBorders>
            <w:vAlign w:val="center"/>
          </w:tcPr>
          <w:p w14:paraId="4B35992D" w14:textId="71D92A8D" w:rsidR="00B56D50" w:rsidRDefault="001C3C42" w:rsidP="00905D10">
            <w:pPr>
              <w:spacing w:after="0" w:line="259" w:lineRule="auto"/>
              <w:ind w:left="0" w:right="0" w:firstLine="0"/>
              <w:jc w:val="center"/>
            </w:pPr>
            <w:r>
              <w:rPr>
                <w:sz w:val="18"/>
              </w:rPr>
              <w:t>7440-22-4</w:t>
            </w:r>
          </w:p>
        </w:tc>
        <w:tc>
          <w:tcPr>
            <w:tcW w:w="817" w:type="dxa"/>
            <w:tcBorders>
              <w:top w:val="single" w:sz="4" w:space="0" w:color="000000"/>
              <w:left w:val="single" w:sz="12" w:space="0" w:color="000000"/>
              <w:bottom w:val="single" w:sz="12" w:space="0" w:color="000000"/>
              <w:right w:val="single" w:sz="12" w:space="0" w:color="000000"/>
            </w:tcBorders>
            <w:vAlign w:val="center"/>
          </w:tcPr>
          <w:p w14:paraId="62422565" w14:textId="0A057E52" w:rsidR="00B56D50" w:rsidRDefault="001C3C42" w:rsidP="00905D10">
            <w:pPr>
              <w:spacing w:after="0" w:line="259" w:lineRule="auto"/>
              <w:ind w:left="2" w:right="0" w:firstLine="0"/>
              <w:jc w:val="center"/>
            </w:pPr>
            <w:r>
              <w:rPr>
                <w:sz w:val="18"/>
              </w:rPr>
              <w:t>1</w:t>
            </w:r>
          </w:p>
        </w:tc>
        <w:tc>
          <w:tcPr>
            <w:tcW w:w="726" w:type="dxa"/>
            <w:tcBorders>
              <w:top w:val="single" w:sz="4" w:space="0" w:color="000000"/>
              <w:left w:val="single" w:sz="12" w:space="0" w:color="000000"/>
              <w:bottom w:val="single" w:sz="12" w:space="0" w:color="000000"/>
              <w:right w:val="single" w:sz="12" w:space="0" w:color="000000"/>
            </w:tcBorders>
            <w:vAlign w:val="center"/>
          </w:tcPr>
          <w:p w14:paraId="1EA17507" w14:textId="7E18E889" w:rsidR="00B56D50" w:rsidRDefault="00023BFA" w:rsidP="00905D10">
            <w:pPr>
              <w:spacing w:after="0" w:line="259" w:lineRule="auto"/>
              <w:ind w:left="0" w:right="0" w:firstLine="0"/>
              <w:jc w:val="center"/>
            </w:pPr>
            <w:r>
              <w:rPr>
                <w:sz w:val="18"/>
              </w:rPr>
              <w:t>ug/L</w:t>
            </w:r>
          </w:p>
        </w:tc>
        <w:tc>
          <w:tcPr>
            <w:tcW w:w="815" w:type="dxa"/>
            <w:tcBorders>
              <w:top w:val="single" w:sz="4" w:space="0" w:color="000000"/>
              <w:left w:val="single" w:sz="12" w:space="0" w:color="000000"/>
              <w:bottom w:val="single" w:sz="12" w:space="0" w:color="000000"/>
              <w:right w:val="single" w:sz="12" w:space="0" w:color="000000"/>
            </w:tcBorders>
            <w:vAlign w:val="center"/>
          </w:tcPr>
          <w:p w14:paraId="33133F26" w14:textId="7E555FEA" w:rsidR="00B56D50" w:rsidRDefault="001C3C42" w:rsidP="00905D10">
            <w:pPr>
              <w:spacing w:after="0" w:line="259" w:lineRule="auto"/>
              <w:ind w:left="0" w:right="0" w:firstLine="0"/>
              <w:jc w:val="center"/>
            </w:pPr>
            <w:r>
              <w:rPr>
                <w:sz w:val="18"/>
              </w:rPr>
              <w:t>3</w:t>
            </w:r>
          </w:p>
        </w:tc>
        <w:tc>
          <w:tcPr>
            <w:tcW w:w="818" w:type="dxa"/>
            <w:tcBorders>
              <w:top w:val="single" w:sz="4" w:space="0" w:color="000000"/>
              <w:left w:val="single" w:sz="12" w:space="0" w:color="000000"/>
              <w:bottom w:val="single" w:sz="12" w:space="0" w:color="000000"/>
              <w:right w:val="single" w:sz="12" w:space="0" w:color="000000"/>
            </w:tcBorders>
            <w:vAlign w:val="center"/>
          </w:tcPr>
          <w:p w14:paraId="046A51BA" w14:textId="33425C88" w:rsidR="00B56D50" w:rsidRDefault="001C3C42" w:rsidP="00905D10">
            <w:pPr>
              <w:spacing w:after="0" w:line="259" w:lineRule="auto"/>
              <w:ind w:left="0" w:right="34" w:firstLine="0"/>
              <w:jc w:val="center"/>
            </w:pPr>
            <w:r>
              <w:rPr>
                <w:sz w:val="18"/>
              </w:rPr>
              <w:t>mg/kg</w:t>
            </w:r>
          </w:p>
        </w:tc>
        <w:tc>
          <w:tcPr>
            <w:tcW w:w="907" w:type="dxa"/>
            <w:tcBorders>
              <w:top w:val="single" w:sz="4" w:space="0" w:color="000000"/>
              <w:left w:val="single" w:sz="12" w:space="0" w:color="000000"/>
              <w:bottom w:val="single" w:sz="12" w:space="0" w:color="000000"/>
              <w:right w:val="single" w:sz="12" w:space="0" w:color="000000"/>
            </w:tcBorders>
            <w:vAlign w:val="center"/>
          </w:tcPr>
          <w:p w14:paraId="7DCDF388" w14:textId="13E4AA3F" w:rsidR="00B56D50" w:rsidRDefault="001C3C42" w:rsidP="00905D10">
            <w:pPr>
              <w:spacing w:after="0" w:line="259" w:lineRule="auto"/>
              <w:ind w:left="0" w:right="0" w:firstLine="0"/>
              <w:jc w:val="center"/>
            </w:pPr>
            <w:r>
              <w:rPr>
                <w:sz w:val="18"/>
              </w:rPr>
              <w:t>6010</w:t>
            </w:r>
          </w:p>
        </w:tc>
        <w:tc>
          <w:tcPr>
            <w:tcW w:w="907" w:type="dxa"/>
            <w:tcBorders>
              <w:top w:val="single" w:sz="4" w:space="0" w:color="000000"/>
              <w:left w:val="single" w:sz="12" w:space="0" w:color="000000"/>
              <w:bottom w:val="single" w:sz="12" w:space="0" w:color="000000"/>
              <w:right w:val="single" w:sz="12" w:space="0" w:color="000000"/>
            </w:tcBorders>
            <w:vAlign w:val="center"/>
          </w:tcPr>
          <w:p w14:paraId="610493A0" w14:textId="4663E863" w:rsidR="00B56D50" w:rsidRDefault="001C3C42" w:rsidP="00905D10">
            <w:pPr>
              <w:spacing w:after="0" w:line="259" w:lineRule="auto"/>
              <w:ind w:left="0" w:right="0" w:firstLine="0"/>
              <w:jc w:val="center"/>
            </w:pPr>
            <w:r>
              <w:rPr>
                <w:sz w:val="18"/>
              </w:rPr>
              <w:t>6020</w:t>
            </w:r>
          </w:p>
        </w:tc>
        <w:tc>
          <w:tcPr>
            <w:tcW w:w="770" w:type="dxa"/>
            <w:tcBorders>
              <w:top w:val="single" w:sz="4" w:space="0" w:color="000000"/>
              <w:left w:val="single" w:sz="12" w:space="0" w:color="000000"/>
              <w:bottom w:val="single" w:sz="12" w:space="0" w:color="000000"/>
              <w:right w:val="single" w:sz="12" w:space="0" w:color="000000"/>
            </w:tcBorders>
            <w:vAlign w:val="center"/>
          </w:tcPr>
          <w:p w14:paraId="07A05EA2" w14:textId="01D6EBF8" w:rsidR="00B56D50" w:rsidRDefault="001C3C42" w:rsidP="00905D10">
            <w:pPr>
              <w:spacing w:after="0" w:line="259" w:lineRule="auto"/>
              <w:ind w:left="1" w:right="0" w:firstLine="0"/>
              <w:jc w:val="center"/>
            </w:pPr>
            <w:r>
              <w:rPr>
                <w:sz w:val="18"/>
              </w:rPr>
              <w:t>7010</w:t>
            </w:r>
            <w:r w:rsidR="00107B55">
              <w:rPr>
                <w:sz w:val="18"/>
              </w:rPr>
              <w:t xml:space="preserve"> </w:t>
            </w:r>
            <w:r w:rsidRPr="009E7BEC">
              <w:rPr>
                <w:b/>
                <w:bCs/>
                <w:sz w:val="18"/>
                <w:vertAlign w:val="superscript"/>
              </w:rPr>
              <w:t>2</w:t>
            </w:r>
          </w:p>
        </w:tc>
        <w:tc>
          <w:tcPr>
            <w:tcW w:w="772" w:type="dxa"/>
            <w:tcBorders>
              <w:top w:val="single" w:sz="4" w:space="0" w:color="000000"/>
              <w:left w:val="single" w:sz="12" w:space="0" w:color="000000"/>
              <w:bottom w:val="single" w:sz="12" w:space="0" w:color="000000"/>
              <w:right w:val="single" w:sz="12" w:space="0" w:color="000000"/>
            </w:tcBorders>
            <w:vAlign w:val="center"/>
          </w:tcPr>
          <w:p w14:paraId="2E5B29D8" w14:textId="2D273FF1" w:rsidR="00B56D50" w:rsidRDefault="00B56D50" w:rsidP="00905D10">
            <w:pPr>
              <w:spacing w:after="0" w:line="259" w:lineRule="auto"/>
              <w:ind w:left="2" w:right="0" w:firstLine="0"/>
              <w:jc w:val="center"/>
            </w:pPr>
          </w:p>
        </w:tc>
        <w:tc>
          <w:tcPr>
            <w:tcW w:w="698" w:type="dxa"/>
            <w:tcBorders>
              <w:top w:val="single" w:sz="4" w:space="0" w:color="000000"/>
              <w:left w:val="single" w:sz="12" w:space="0" w:color="000000"/>
              <w:bottom w:val="single" w:sz="12" w:space="0" w:color="000000"/>
              <w:right w:val="single" w:sz="12" w:space="0" w:color="000000"/>
            </w:tcBorders>
            <w:vAlign w:val="center"/>
          </w:tcPr>
          <w:p w14:paraId="7A6117C3" w14:textId="55CCD8E4" w:rsidR="00B56D50" w:rsidRDefault="00B56D50" w:rsidP="00905D10">
            <w:pPr>
              <w:spacing w:after="0" w:line="259" w:lineRule="auto"/>
              <w:ind w:left="2" w:right="0" w:firstLine="0"/>
              <w:jc w:val="center"/>
            </w:pPr>
          </w:p>
        </w:tc>
      </w:tr>
    </w:tbl>
    <w:p w14:paraId="3239DE70" w14:textId="77777777" w:rsidR="00AC2528" w:rsidRDefault="00AC2528" w:rsidP="00AE1258">
      <w:pPr>
        <w:spacing w:after="0" w:line="259" w:lineRule="auto"/>
        <w:ind w:right="0"/>
      </w:pPr>
    </w:p>
    <w:p w14:paraId="6F70EA09" w14:textId="77777777" w:rsidR="00F31B9E" w:rsidRDefault="00F31B9E" w:rsidP="00AE1258">
      <w:pPr>
        <w:spacing w:after="0" w:line="259" w:lineRule="auto"/>
        <w:ind w:right="0"/>
      </w:pPr>
    </w:p>
    <w:p w14:paraId="5D163A04" w14:textId="77777777" w:rsidR="00F31B9E" w:rsidRDefault="00F31B9E" w:rsidP="00AE1258">
      <w:pPr>
        <w:spacing w:after="0" w:line="259" w:lineRule="auto"/>
        <w:ind w:right="0"/>
      </w:pPr>
    </w:p>
    <w:p w14:paraId="0C1A8C44" w14:textId="77777777" w:rsidR="00F31B9E" w:rsidRDefault="00F31B9E" w:rsidP="00AE1258">
      <w:pPr>
        <w:spacing w:after="0" w:line="259" w:lineRule="auto"/>
        <w:ind w:right="0"/>
      </w:pPr>
    </w:p>
    <w:p w14:paraId="08862669" w14:textId="77777777" w:rsidR="00F31B9E" w:rsidRDefault="00F31B9E" w:rsidP="00F31B9E">
      <w:pPr>
        <w:ind w:left="0" w:firstLine="0"/>
        <w:jc w:val="center"/>
      </w:pPr>
      <w:bookmarkStart w:id="11" w:name="_Hlk212446226"/>
      <w:r>
        <w:rPr>
          <w:b/>
        </w:rPr>
        <w:t>THE REMAINDER OF THIS PAGE HAS BEEN LEFT BLANK INTENTIONALLY</w:t>
      </w:r>
    </w:p>
    <w:bookmarkEnd w:id="11"/>
    <w:p w14:paraId="1D7C3BC0" w14:textId="77777777" w:rsidR="00F31B9E" w:rsidRDefault="00F31B9E" w:rsidP="00F31B9E">
      <w:pPr>
        <w:spacing w:after="0" w:line="259" w:lineRule="auto"/>
        <w:ind w:right="0"/>
      </w:pPr>
    </w:p>
    <w:p w14:paraId="5F50F00D" w14:textId="77777777" w:rsidR="001251D3" w:rsidRDefault="001251D3" w:rsidP="00F31B9E">
      <w:pPr>
        <w:spacing w:after="0" w:line="259" w:lineRule="auto"/>
        <w:ind w:right="0"/>
      </w:pPr>
    </w:p>
    <w:p w14:paraId="420CF1AB" w14:textId="77777777" w:rsidR="00F31B9E" w:rsidRDefault="00F31B9E" w:rsidP="00F31B9E">
      <w:pPr>
        <w:spacing w:after="0" w:line="259" w:lineRule="auto"/>
        <w:ind w:right="0"/>
      </w:pPr>
    </w:p>
    <w:p w14:paraId="3EF3676E" w14:textId="77777777" w:rsidR="00F31B9E" w:rsidRDefault="00F31B9E" w:rsidP="00AE1258">
      <w:pPr>
        <w:spacing w:after="0" w:line="259" w:lineRule="auto"/>
        <w:ind w:right="0"/>
      </w:pPr>
    </w:p>
    <w:p w14:paraId="3C9FD379" w14:textId="77777777" w:rsidR="00F31B9E" w:rsidRDefault="00F31B9E" w:rsidP="00AE1258">
      <w:pPr>
        <w:spacing w:after="0" w:line="259" w:lineRule="auto"/>
        <w:ind w:right="0"/>
      </w:pPr>
    </w:p>
    <w:p w14:paraId="20649F20" w14:textId="77777777" w:rsidR="00F31B9E" w:rsidRDefault="00F31B9E" w:rsidP="00AE1258">
      <w:pPr>
        <w:spacing w:after="0" w:line="259" w:lineRule="auto"/>
        <w:ind w:right="0"/>
      </w:pPr>
    </w:p>
    <w:p w14:paraId="13FF1A86" w14:textId="77777777" w:rsidR="00F31B9E" w:rsidRDefault="00F31B9E" w:rsidP="00AE1258">
      <w:pPr>
        <w:spacing w:after="0" w:line="259" w:lineRule="auto"/>
        <w:ind w:right="0"/>
      </w:pPr>
    </w:p>
    <w:p w14:paraId="5D1221D2" w14:textId="77777777" w:rsidR="00F31B9E" w:rsidRDefault="00F31B9E" w:rsidP="00AE1258">
      <w:pPr>
        <w:spacing w:after="0" w:line="259" w:lineRule="auto"/>
        <w:ind w:right="0"/>
      </w:pPr>
    </w:p>
    <w:tbl>
      <w:tblPr>
        <w:tblStyle w:val="TableGrid1"/>
        <w:tblW w:w="10620" w:type="dxa"/>
        <w:tblInd w:w="-375" w:type="dxa"/>
        <w:tblCellMar>
          <w:left w:w="106" w:type="dxa"/>
          <w:right w:w="72" w:type="dxa"/>
        </w:tblCellMar>
        <w:tblLook w:val="04A0" w:firstRow="1" w:lastRow="0" w:firstColumn="1" w:lastColumn="0" w:noHBand="0" w:noVBand="1"/>
      </w:tblPr>
      <w:tblGrid>
        <w:gridCol w:w="2209"/>
        <w:gridCol w:w="1179"/>
        <w:gridCol w:w="818"/>
        <w:gridCol w:w="726"/>
        <w:gridCol w:w="816"/>
        <w:gridCol w:w="819"/>
        <w:gridCol w:w="907"/>
        <w:gridCol w:w="907"/>
        <w:gridCol w:w="770"/>
        <w:gridCol w:w="772"/>
        <w:gridCol w:w="697"/>
      </w:tblGrid>
      <w:tr w:rsidR="006A6F9B" w14:paraId="6B4CA3C2" w14:textId="77777777" w:rsidTr="00725264">
        <w:trPr>
          <w:trHeight w:val="432"/>
        </w:trPr>
        <w:tc>
          <w:tcPr>
            <w:tcW w:w="10620" w:type="dxa"/>
            <w:gridSpan w:val="11"/>
            <w:tcBorders>
              <w:top w:val="single" w:sz="12" w:space="0" w:color="000000"/>
              <w:left w:val="single" w:sz="12" w:space="0" w:color="000000"/>
              <w:right w:val="single" w:sz="12" w:space="0" w:color="000000"/>
            </w:tcBorders>
            <w:vAlign w:val="center"/>
          </w:tcPr>
          <w:p w14:paraId="01065738" w14:textId="3BA35168" w:rsidR="006A6F9B" w:rsidRDefault="006A6F9B" w:rsidP="006A6F9B">
            <w:pPr>
              <w:spacing w:after="0" w:line="259" w:lineRule="auto"/>
              <w:ind w:left="2" w:right="0" w:firstLine="0"/>
            </w:pPr>
            <w:r>
              <w:rPr>
                <w:b/>
                <w:sz w:val="18"/>
              </w:rPr>
              <w:lastRenderedPageBreak/>
              <w:t xml:space="preserve">TOTAL METALS – </w:t>
            </w:r>
            <w:r w:rsidRPr="00AF7B6B">
              <w:rPr>
                <w:b/>
                <w:sz w:val="18"/>
              </w:rPr>
              <w:t>Group B:</w:t>
            </w:r>
            <w:r w:rsidRPr="000A501E">
              <w:rPr>
                <w:b/>
                <w:sz w:val="18"/>
              </w:rPr>
              <w:t xml:space="preserve">  Additional CERCLA Metals and non-RCRA Metals with Primary MCLs</w:t>
            </w:r>
            <w:r>
              <w:rPr>
                <w:b/>
                <w:sz w:val="18"/>
              </w:rPr>
              <w:t xml:space="preserve"> </w:t>
            </w:r>
          </w:p>
        </w:tc>
      </w:tr>
      <w:tr w:rsidR="00B56D50" w14:paraId="4CCD6A40" w14:textId="77777777" w:rsidTr="00725264">
        <w:trPr>
          <w:trHeight w:val="281"/>
        </w:trPr>
        <w:tc>
          <w:tcPr>
            <w:tcW w:w="2209" w:type="dxa"/>
            <w:vMerge w:val="restart"/>
            <w:tcBorders>
              <w:top w:val="single" w:sz="12" w:space="0" w:color="000000"/>
              <w:left w:val="single" w:sz="12" w:space="0" w:color="000000"/>
              <w:bottom w:val="single" w:sz="12" w:space="0" w:color="000000"/>
              <w:right w:val="single" w:sz="12" w:space="0" w:color="000000"/>
            </w:tcBorders>
            <w:vAlign w:val="center"/>
          </w:tcPr>
          <w:p w14:paraId="2476E559" w14:textId="4AFAB296" w:rsidR="00B56D50" w:rsidRDefault="001C3C42" w:rsidP="008474BD">
            <w:pPr>
              <w:spacing w:after="0" w:line="259" w:lineRule="auto"/>
              <w:ind w:left="55" w:right="0" w:firstLine="0"/>
              <w:jc w:val="center"/>
            </w:pPr>
            <w:r>
              <w:rPr>
                <w:b/>
                <w:sz w:val="18"/>
              </w:rPr>
              <w:t>Analyte</w:t>
            </w:r>
          </w:p>
        </w:tc>
        <w:tc>
          <w:tcPr>
            <w:tcW w:w="1179" w:type="dxa"/>
            <w:vMerge w:val="restart"/>
            <w:tcBorders>
              <w:top w:val="single" w:sz="12" w:space="0" w:color="000000"/>
              <w:left w:val="single" w:sz="12" w:space="0" w:color="000000"/>
              <w:bottom w:val="single" w:sz="12" w:space="0" w:color="000000"/>
              <w:right w:val="single" w:sz="12" w:space="0" w:color="000000"/>
            </w:tcBorders>
            <w:vAlign w:val="center"/>
          </w:tcPr>
          <w:p w14:paraId="00495CFB" w14:textId="25321B4C" w:rsidR="00B56D50" w:rsidRDefault="001C3C42" w:rsidP="008474BD">
            <w:pPr>
              <w:spacing w:after="0" w:line="259" w:lineRule="auto"/>
              <w:ind w:left="0" w:right="0" w:firstLine="0"/>
              <w:jc w:val="center"/>
            </w:pPr>
            <w:r>
              <w:rPr>
                <w:b/>
                <w:sz w:val="18"/>
              </w:rPr>
              <w:t>CAS Number</w:t>
            </w:r>
          </w:p>
        </w:tc>
        <w:tc>
          <w:tcPr>
            <w:tcW w:w="1544" w:type="dxa"/>
            <w:gridSpan w:val="2"/>
            <w:tcBorders>
              <w:top w:val="single" w:sz="12" w:space="0" w:color="000000"/>
              <w:left w:val="single" w:sz="12" w:space="0" w:color="000000"/>
              <w:bottom w:val="single" w:sz="12" w:space="0" w:color="000000"/>
              <w:right w:val="single" w:sz="12" w:space="0" w:color="000000"/>
            </w:tcBorders>
            <w:vAlign w:val="center"/>
          </w:tcPr>
          <w:p w14:paraId="1980ADE7" w14:textId="0E4DF1C7" w:rsidR="00B56D50" w:rsidRDefault="001C3C42" w:rsidP="008474BD">
            <w:pPr>
              <w:spacing w:after="0" w:line="259" w:lineRule="auto"/>
              <w:ind w:left="5" w:right="0" w:firstLine="0"/>
              <w:jc w:val="center"/>
            </w:pPr>
            <w:r>
              <w:rPr>
                <w:b/>
                <w:sz w:val="18"/>
              </w:rPr>
              <w:t>Aqueous</w:t>
            </w:r>
          </w:p>
        </w:tc>
        <w:tc>
          <w:tcPr>
            <w:tcW w:w="1635" w:type="dxa"/>
            <w:gridSpan w:val="2"/>
            <w:tcBorders>
              <w:top w:val="single" w:sz="12" w:space="0" w:color="000000"/>
              <w:left w:val="single" w:sz="12" w:space="0" w:color="000000"/>
              <w:bottom w:val="single" w:sz="12" w:space="0" w:color="000000"/>
              <w:right w:val="single" w:sz="12" w:space="0" w:color="000000"/>
            </w:tcBorders>
            <w:vAlign w:val="center"/>
          </w:tcPr>
          <w:p w14:paraId="789C2A8B" w14:textId="304BAF18" w:rsidR="00B56D50" w:rsidRDefault="006B693C" w:rsidP="008474BD">
            <w:pPr>
              <w:spacing w:after="0" w:line="259" w:lineRule="auto"/>
              <w:ind w:left="0" w:right="0" w:firstLine="0"/>
              <w:jc w:val="center"/>
            </w:pPr>
            <w:r>
              <w:rPr>
                <w:b/>
                <w:sz w:val="18"/>
              </w:rPr>
              <w:t>Soil/Sediment</w:t>
            </w:r>
          </w:p>
        </w:tc>
        <w:tc>
          <w:tcPr>
            <w:tcW w:w="4053" w:type="dxa"/>
            <w:gridSpan w:val="5"/>
            <w:vMerge w:val="restart"/>
            <w:tcBorders>
              <w:top w:val="single" w:sz="12" w:space="0" w:color="000000"/>
              <w:left w:val="single" w:sz="12" w:space="0" w:color="000000"/>
              <w:bottom w:val="single" w:sz="12" w:space="0" w:color="000000"/>
              <w:right w:val="single" w:sz="12" w:space="0" w:color="000000"/>
            </w:tcBorders>
            <w:vAlign w:val="center"/>
          </w:tcPr>
          <w:p w14:paraId="1A19047A" w14:textId="5F2EF917" w:rsidR="00B56D50" w:rsidRDefault="001C3C42" w:rsidP="008474BD">
            <w:pPr>
              <w:spacing w:after="0" w:line="259" w:lineRule="auto"/>
              <w:ind w:left="2" w:right="0" w:firstLine="0"/>
              <w:jc w:val="center"/>
            </w:pPr>
            <w:r>
              <w:rPr>
                <w:b/>
                <w:sz w:val="18"/>
              </w:rPr>
              <w:t>Acceptable Methods</w:t>
            </w:r>
          </w:p>
        </w:tc>
      </w:tr>
      <w:tr w:rsidR="00725264" w14:paraId="610A0996" w14:textId="77777777" w:rsidTr="00725264">
        <w:trPr>
          <w:trHeight w:val="281"/>
        </w:trPr>
        <w:tc>
          <w:tcPr>
            <w:tcW w:w="2209" w:type="dxa"/>
            <w:vMerge/>
            <w:tcBorders>
              <w:top w:val="nil"/>
              <w:left w:val="single" w:sz="12" w:space="0" w:color="000000"/>
              <w:bottom w:val="single" w:sz="12" w:space="0" w:color="000000"/>
              <w:right w:val="single" w:sz="12" w:space="0" w:color="000000"/>
            </w:tcBorders>
            <w:vAlign w:val="center"/>
          </w:tcPr>
          <w:p w14:paraId="7F720059" w14:textId="77777777" w:rsidR="00B56D50" w:rsidRDefault="00B56D50" w:rsidP="002A1A4A">
            <w:pPr>
              <w:spacing w:after="160" w:line="259" w:lineRule="auto"/>
              <w:ind w:left="0" w:right="0" w:firstLine="0"/>
              <w:jc w:val="center"/>
            </w:pPr>
          </w:p>
        </w:tc>
        <w:tc>
          <w:tcPr>
            <w:tcW w:w="0" w:type="auto"/>
            <w:vMerge/>
            <w:tcBorders>
              <w:top w:val="nil"/>
              <w:left w:val="single" w:sz="12" w:space="0" w:color="000000"/>
              <w:bottom w:val="single" w:sz="12" w:space="0" w:color="000000"/>
              <w:right w:val="single" w:sz="12" w:space="0" w:color="000000"/>
            </w:tcBorders>
            <w:vAlign w:val="center"/>
          </w:tcPr>
          <w:p w14:paraId="53845423" w14:textId="77777777" w:rsidR="00B56D50" w:rsidRDefault="00B56D50" w:rsidP="002A1A4A">
            <w:pPr>
              <w:spacing w:after="160" w:line="259" w:lineRule="auto"/>
              <w:ind w:left="0" w:right="0" w:firstLine="0"/>
              <w:jc w:val="center"/>
            </w:pPr>
          </w:p>
        </w:tc>
        <w:tc>
          <w:tcPr>
            <w:tcW w:w="818" w:type="dxa"/>
            <w:tcBorders>
              <w:top w:val="single" w:sz="12" w:space="0" w:color="000000"/>
              <w:left w:val="single" w:sz="12" w:space="0" w:color="000000"/>
              <w:bottom w:val="single" w:sz="12" w:space="0" w:color="000000"/>
              <w:right w:val="single" w:sz="12" w:space="0" w:color="000000"/>
            </w:tcBorders>
            <w:vAlign w:val="center"/>
          </w:tcPr>
          <w:p w14:paraId="169C9BA8" w14:textId="2816C9AA" w:rsidR="00B56D50" w:rsidRDefault="001C3C42" w:rsidP="008474BD">
            <w:pPr>
              <w:spacing w:after="0" w:line="259" w:lineRule="auto"/>
              <w:ind w:left="5" w:right="0" w:firstLine="0"/>
              <w:jc w:val="center"/>
            </w:pPr>
            <w:r>
              <w:rPr>
                <w:b/>
                <w:sz w:val="18"/>
              </w:rPr>
              <w:t>RL</w:t>
            </w:r>
          </w:p>
        </w:tc>
        <w:tc>
          <w:tcPr>
            <w:tcW w:w="726" w:type="dxa"/>
            <w:tcBorders>
              <w:top w:val="single" w:sz="12" w:space="0" w:color="000000"/>
              <w:left w:val="single" w:sz="12" w:space="0" w:color="000000"/>
              <w:bottom w:val="single" w:sz="12" w:space="0" w:color="000000"/>
              <w:right w:val="single" w:sz="12" w:space="0" w:color="000000"/>
            </w:tcBorders>
            <w:vAlign w:val="center"/>
          </w:tcPr>
          <w:p w14:paraId="110C46D0" w14:textId="0D433E3A" w:rsidR="00B56D50" w:rsidRDefault="001C3C42" w:rsidP="008474BD">
            <w:pPr>
              <w:spacing w:after="0" w:line="259" w:lineRule="auto"/>
              <w:ind w:left="3" w:right="0" w:firstLine="0"/>
              <w:jc w:val="center"/>
            </w:pPr>
            <w:r>
              <w:rPr>
                <w:b/>
                <w:sz w:val="18"/>
              </w:rPr>
              <w:t>units</w:t>
            </w:r>
          </w:p>
        </w:tc>
        <w:tc>
          <w:tcPr>
            <w:tcW w:w="816" w:type="dxa"/>
            <w:tcBorders>
              <w:top w:val="single" w:sz="12" w:space="0" w:color="000000"/>
              <w:left w:val="single" w:sz="12" w:space="0" w:color="000000"/>
              <w:bottom w:val="single" w:sz="12" w:space="0" w:color="000000"/>
              <w:right w:val="single" w:sz="12" w:space="0" w:color="000000"/>
            </w:tcBorders>
            <w:vAlign w:val="center"/>
          </w:tcPr>
          <w:p w14:paraId="1F0557AE" w14:textId="67B6E4C6" w:rsidR="00B56D50" w:rsidRDefault="001C3C42" w:rsidP="008474BD">
            <w:pPr>
              <w:spacing w:after="0" w:line="259" w:lineRule="auto"/>
              <w:ind w:left="2" w:right="0" w:firstLine="0"/>
              <w:jc w:val="center"/>
            </w:pPr>
            <w:r>
              <w:rPr>
                <w:b/>
                <w:sz w:val="18"/>
              </w:rPr>
              <w:t>RL</w:t>
            </w:r>
          </w:p>
        </w:tc>
        <w:tc>
          <w:tcPr>
            <w:tcW w:w="819" w:type="dxa"/>
            <w:tcBorders>
              <w:top w:val="single" w:sz="12" w:space="0" w:color="000000"/>
              <w:left w:val="single" w:sz="12" w:space="0" w:color="000000"/>
              <w:bottom w:val="single" w:sz="12" w:space="0" w:color="000000"/>
              <w:right w:val="single" w:sz="12" w:space="0" w:color="000000"/>
            </w:tcBorders>
            <w:vAlign w:val="center"/>
          </w:tcPr>
          <w:p w14:paraId="2B0177F1" w14:textId="6E73787D" w:rsidR="00B56D50" w:rsidRDefault="001C3C42" w:rsidP="008474BD">
            <w:pPr>
              <w:spacing w:after="0" w:line="259" w:lineRule="auto"/>
              <w:ind w:left="3" w:right="0" w:firstLine="0"/>
              <w:jc w:val="center"/>
            </w:pPr>
            <w:r>
              <w:rPr>
                <w:b/>
                <w:sz w:val="18"/>
              </w:rPr>
              <w:t>units</w:t>
            </w:r>
          </w:p>
        </w:tc>
        <w:tc>
          <w:tcPr>
            <w:tcW w:w="4053" w:type="dxa"/>
            <w:gridSpan w:val="5"/>
            <w:vMerge/>
            <w:tcBorders>
              <w:top w:val="nil"/>
              <w:left w:val="single" w:sz="12" w:space="0" w:color="000000"/>
              <w:bottom w:val="single" w:sz="12" w:space="0" w:color="000000"/>
              <w:right w:val="single" w:sz="12" w:space="0" w:color="000000"/>
            </w:tcBorders>
            <w:vAlign w:val="center"/>
          </w:tcPr>
          <w:p w14:paraId="72632832" w14:textId="77777777" w:rsidR="00B56D50" w:rsidRDefault="00B56D50" w:rsidP="00F42DFD">
            <w:pPr>
              <w:spacing w:after="160" w:line="259" w:lineRule="auto"/>
              <w:ind w:left="0" w:right="0" w:firstLine="0"/>
              <w:jc w:val="center"/>
            </w:pPr>
          </w:p>
        </w:tc>
      </w:tr>
      <w:tr w:rsidR="00B56D50" w14:paraId="032C572C" w14:textId="77777777" w:rsidTr="00725264">
        <w:trPr>
          <w:trHeight w:val="281"/>
        </w:trPr>
        <w:tc>
          <w:tcPr>
            <w:tcW w:w="2209" w:type="dxa"/>
            <w:tcBorders>
              <w:top w:val="single" w:sz="12" w:space="0" w:color="000000"/>
              <w:left w:val="single" w:sz="12" w:space="0" w:color="000000"/>
              <w:bottom w:val="single" w:sz="4" w:space="0" w:color="000000"/>
              <w:right w:val="single" w:sz="12" w:space="0" w:color="000000"/>
            </w:tcBorders>
            <w:vAlign w:val="center"/>
          </w:tcPr>
          <w:p w14:paraId="591EB068" w14:textId="433B53CD" w:rsidR="00B56D50" w:rsidRDefault="001C3C42" w:rsidP="000F20D6">
            <w:pPr>
              <w:spacing w:after="0" w:line="259" w:lineRule="auto"/>
              <w:ind w:left="2" w:right="0" w:firstLine="0"/>
            </w:pPr>
            <w:r>
              <w:rPr>
                <w:sz w:val="18"/>
              </w:rPr>
              <w:t>Antimony</w:t>
            </w:r>
            <w:r w:rsidR="00BC1098">
              <w:rPr>
                <w:sz w:val="18"/>
              </w:rPr>
              <w:t xml:space="preserve"> </w:t>
            </w:r>
            <w:r>
              <w:rPr>
                <w:b/>
                <w:sz w:val="18"/>
                <w:vertAlign w:val="superscript"/>
              </w:rPr>
              <w:t>1</w:t>
            </w:r>
            <w:r>
              <w:rPr>
                <w:sz w:val="18"/>
              </w:rPr>
              <w:t xml:space="preserve"> </w:t>
            </w:r>
          </w:p>
        </w:tc>
        <w:tc>
          <w:tcPr>
            <w:tcW w:w="1179" w:type="dxa"/>
            <w:tcBorders>
              <w:top w:val="single" w:sz="12" w:space="0" w:color="000000"/>
              <w:left w:val="single" w:sz="12" w:space="0" w:color="000000"/>
              <w:bottom w:val="single" w:sz="4" w:space="0" w:color="000000"/>
              <w:right w:val="single" w:sz="12" w:space="0" w:color="000000"/>
            </w:tcBorders>
            <w:vAlign w:val="center"/>
          </w:tcPr>
          <w:p w14:paraId="09627BB9" w14:textId="05A6D45E" w:rsidR="00B56D50" w:rsidRDefault="001C3C42" w:rsidP="000F20D6">
            <w:pPr>
              <w:spacing w:after="0" w:line="259" w:lineRule="auto"/>
              <w:ind w:left="0" w:right="0" w:firstLine="0"/>
              <w:jc w:val="center"/>
            </w:pPr>
            <w:r>
              <w:rPr>
                <w:sz w:val="18"/>
              </w:rPr>
              <w:t>7440-36-0</w:t>
            </w:r>
          </w:p>
        </w:tc>
        <w:tc>
          <w:tcPr>
            <w:tcW w:w="818" w:type="dxa"/>
            <w:tcBorders>
              <w:top w:val="single" w:sz="12" w:space="0" w:color="000000"/>
              <w:left w:val="single" w:sz="12" w:space="0" w:color="000000"/>
              <w:bottom w:val="single" w:sz="4" w:space="0" w:color="000000"/>
              <w:right w:val="single" w:sz="12" w:space="0" w:color="000000"/>
            </w:tcBorders>
            <w:vAlign w:val="center"/>
          </w:tcPr>
          <w:p w14:paraId="223117F0" w14:textId="1144635F" w:rsidR="00B56D50" w:rsidRDefault="001C3C42" w:rsidP="000F20D6">
            <w:pPr>
              <w:tabs>
                <w:tab w:val="right" w:pos="590"/>
              </w:tabs>
              <w:spacing w:after="0" w:line="259" w:lineRule="auto"/>
              <w:ind w:left="0" w:right="0" w:firstLine="0"/>
              <w:jc w:val="center"/>
            </w:pPr>
            <w:r>
              <w:rPr>
                <w:sz w:val="18"/>
              </w:rPr>
              <w:t>6</w:t>
            </w:r>
          </w:p>
        </w:tc>
        <w:tc>
          <w:tcPr>
            <w:tcW w:w="726" w:type="dxa"/>
            <w:tcBorders>
              <w:top w:val="single" w:sz="12" w:space="0" w:color="000000"/>
              <w:left w:val="single" w:sz="12" w:space="0" w:color="000000"/>
              <w:bottom w:val="single" w:sz="4" w:space="0" w:color="000000"/>
              <w:right w:val="single" w:sz="12" w:space="0" w:color="000000"/>
            </w:tcBorders>
            <w:vAlign w:val="center"/>
          </w:tcPr>
          <w:p w14:paraId="507020B6" w14:textId="32F73327" w:rsidR="00B56D50" w:rsidRDefault="00C43C6A" w:rsidP="000F20D6">
            <w:pPr>
              <w:spacing w:after="0" w:line="259" w:lineRule="auto"/>
              <w:ind w:left="0" w:right="0" w:firstLine="0"/>
              <w:jc w:val="center"/>
            </w:pPr>
            <w:r>
              <w:rPr>
                <w:rFonts w:ascii="Segoe UI Symbol" w:eastAsia="Segoe UI Symbol" w:hAnsi="Segoe UI Symbol" w:cs="Segoe UI Symbol"/>
                <w:sz w:val="18"/>
              </w:rPr>
              <w:t>u</w:t>
            </w:r>
            <w:r w:rsidR="001C3C42">
              <w:rPr>
                <w:sz w:val="18"/>
              </w:rPr>
              <w:t>g/L</w:t>
            </w:r>
          </w:p>
        </w:tc>
        <w:tc>
          <w:tcPr>
            <w:tcW w:w="816" w:type="dxa"/>
            <w:tcBorders>
              <w:top w:val="single" w:sz="12" w:space="0" w:color="000000"/>
              <w:left w:val="single" w:sz="12" w:space="0" w:color="000000"/>
              <w:bottom w:val="single" w:sz="4" w:space="0" w:color="000000"/>
              <w:right w:val="single" w:sz="12" w:space="0" w:color="000000"/>
            </w:tcBorders>
            <w:vAlign w:val="center"/>
          </w:tcPr>
          <w:p w14:paraId="78A3CDBD" w14:textId="2765E56B" w:rsidR="00B56D50" w:rsidRDefault="001C3C42" w:rsidP="000F20D6">
            <w:pPr>
              <w:spacing w:after="0" w:line="259" w:lineRule="auto"/>
              <w:ind w:left="0" w:right="0" w:firstLine="0"/>
              <w:jc w:val="center"/>
            </w:pPr>
            <w:r>
              <w:rPr>
                <w:sz w:val="18"/>
              </w:rPr>
              <w:t>3</w:t>
            </w:r>
          </w:p>
        </w:tc>
        <w:tc>
          <w:tcPr>
            <w:tcW w:w="819" w:type="dxa"/>
            <w:tcBorders>
              <w:top w:val="single" w:sz="12" w:space="0" w:color="000000"/>
              <w:left w:val="single" w:sz="12" w:space="0" w:color="000000"/>
              <w:bottom w:val="single" w:sz="4" w:space="0" w:color="000000"/>
              <w:right w:val="single" w:sz="12" w:space="0" w:color="000000"/>
            </w:tcBorders>
            <w:vAlign w:val="center"/>
          </w:tcPr>
          <w:p w14:paraId="3F18D3E1" w14:textId="507235B6" w:rsidR="00B56D50" w:rsidRDefault="001C3C42" w:rsidP="000F20D6">
            <w:pPr>
              <w:spacing w:after="0" w:line="259" w:lineRule="auto"/>
              <w:ind w:left="4" w:right="0" w:firstLine="0"/>
              <w:jc w:val="center"/>
            </w:pPr>
            <w:r>
              <w:rPr>
                <w:sz w:val="18"/>
              </w:rPr>
              <w:t>mg/kg</w:t>
            </w:r>
          </w:p>
        </w:tc>
        <w:tc>
          <w:tcPr>
            <w:tcW w:w="907" w:type="dxa"/>
            <w:tcBorders>
              <w:top w:val="single" w:sz="12" w:space="0" w:color="000000"/>
              <w:left w:val="single" w:sz="12" w:space="0" w:color="000000"/>
              <w:bottom w:val="single" w:sz="4" w:space="0" w:color="000000"/>
              <w:right w:val="single" w:sz="12" w:space="0" w:color="000000"/>
            </w:tcBorders>
            <w:vAlign w:val="center"/>
          </w:tcPr>
          <w:p w14:paraId="36854145" w14:textId="48835917" w:rsidR="00B56D50" w:rsidRDefault="001C3C42" w:rsidP="000F20D6">
            <w:pPr>
              <w:spacing w:after="0" w:line="259" w:lineRule="auto"/>
              <w:ind w:left="0" w:right="0" w:firstLine="0"/>
              <w:jc w:val="center"/>
            </w:pPr>
            <w:r>
              <w:rPr>
                <w:sz w:val="18"/>
              </w:rPr>
              <w:t>6010</w:t>
            </w:r>
            <w:r>
              <w:rPr>
                <w:b/>
                <w:sz w:val="18"/>
                <w:vertAlign w:val="superscript"/>
              </w:rPr>
              <w:t>1</w:t>
            </w:r>
          </w:p>
        </w:tc>
        <w:tc>
          <w:tcPr>
            <w:tcW w:w="907" w:type="dxa"/>
            <w:tcBorders>
              <w:top w:val="single" w:sz="12" w:space="0" w:color="000000"/>
              <w:left w:val="single" w:sz="12" w:space="0" w:color="000000"/>
              <w:bottom w:val="single" w:sz="4" w:space="0" w:color="000000"/>
              <w:right w:val="single" w:sz="12" w:space="0" w:color="000000"/>
            </w:tcBorders>
            <w:vAlign w:val="center"/>
          </w:tcPr>
          <w:p w14:paraId="3125C870" w14:textId="71FD9641" w:rsidR="00B56D50" w:rsidRDefault="001C3C42" w:rsidP="000F20D6">
            <w:pPr>
              <w:spacing w:after="0" w:line="259" w:lineRule="auto"/>
              <w:ind w:left="0" w:right="0" w:firstLine="0"/>
              <w:jc w:val="center"/>
            </w:pPr>
            <w:r>
              <w:rPr>
                <w:sz w:val="18"/>
              </w:rPr>
              <w:t>6020</w:t>
            </w:r>
          </w:p>
        </w:tc>
        <w:tc>
          <w:tcPr>
            <w:tcW w:w="770" w:type="dxa"/>
            <w:tcBorders>
              <w:top w:val="single" w:sz="12" w:space="0" w:color="000000"/>
              <w:left w:val="single" w:sz="12" w:space="0" w:color="000000"/>
              <w:bottom w:val="single" w:sz="4" w:space="0" w:color="000000"/>
              <w:right w:val="single" w:sz="12" w:space="0" w:color="000000"/>
            </w:tcBorders>
            <w:vAlign w:val="center"/>
          </w:tcPr>
          <w:p w14:paraId="11873866" w14:textId="287A1FB8" w:rsidR="00B56D50" w:rsidRDefault="001C3C42" w:rsidP="000F20D6">
            <w:pPr>
              <w:spacing w:after="0" w:line="259" w:lineRule="auto"/>
              <w:ind w:left="1" w:right="0" w:firstLine="0"/>
              <w:jc w:val="center"/>
            </w:pPr>
            <w:r>
              <w:rPr>
                <w:sz w:val="18"/>
              </w:rPr>
              <w:t>7010</w:t>
            </w:r>
            <w:r w:rsidR="00BC1098">
              <w:rPr>
                <w:sz w:val="18"/>
              </w:rPr>
              <w:t xml:space="preserve"> </w:t>
            </w:r>
            <w:r w:rsidRPr="00FA00A3">
              <w:rPr>
                <w:b/>
                <w:bCs/>
                <w:sz w:val="18"/>
                <w:vertAlign w:val="superscript"/>
              </w:rPr>
              <w:t>2</w:t>
            </w:r>
          </w:p>
        </w:tc>
        <w:tc>
          <w:tcPr>
            <w:tcW w:w="772" w:type="dxa"/>
            <w:tcBorders>
              <w:top w:val="single" w:sz="12" w:space="0" w:color="000000"/>
              <w:left w:val="single" w:sz="12" w:space="0" w:color="000000"/>
              <w:bottom w:val="single" w:sz="4" w:space="0" w:color="000000"/>
              <w:right w:val="single" w:sz="12" w:space="0" w:color="000000"/>
            </w:tcBorders>
            <w:vAlign w:val="center"/>
          </w:tcPr>
          <w:p w14:paraId="0B8B4E04" w14:textId="701FA318" w:rsidR="00B56D50" w:rsidRDefault="001C3C42" w:rsidP="000F20D6">
            <w:pPr>
              <w:spacing w:after="0" w:line="259" w:lineRule="auto"/>
              <w:ind w:left="2" w:right="0" w:firstLine="0"/>
              <w:jc w:val="center"/>
            </w:pPr>
            <w:r>
              <w:rPr>
                <w:sz w:val="18"/>
              </w:rPr>
              <w:t>7062</w:t>
            </w:r>
          </w:p>
        </w:tc>
        <w:tc>
          <w:tcPr>
            <w:tcW w:w="697" w:type="dxa"/>
            <w:tcBorders>
              <w:top w:val="single" w:sz="12" w:space="0" w:color="000000"/>
              <w:left w:val="single" w:sz="12" w:space="0" w:color="000000"/>
              <w:bottom w:val="single" w:sz="4" w:space="0" w:color="000000"/>
              <w:right w:val="single" w:sz="12" w:space="0" w:color="000000"/>
            </w:tcBorders>
            <w:vAlign w:val="center"/>
          </w:tcPr>
          <w:p w14:paraId="7A3CA254" w14:textId="08C0B3FA" w:rsidR="00B56D50" w:rsidRDefault="00B56D50" w:rsidP="000F20D6">
            <w:pPr>
              <w:spacing w:after="0" w:line="259" w:lineRule="auto"/>
              <w:ind w:left="2" w:right="0" w:firstLine="0"/>
              <w:jc w:val="center"/>
            </w:pPr>
          </w:p>
        </w:tc>
      </w:tr>
      <w:tr w:rsidR="00B56D50" w14:paraId="6444D285" w14:textId="77777777" w:rsidTr="00725264">
        <w:trPr>
          <w:trHeight w:val="281"/>
        </w:trPr>
        <w:tc>
          <w:tcPr>
            <w:tcW w:w="2209" w:type="dxa"/>
            <w:tcBorders>
              <w:top w:val="single" w:sz="4" w:space="0" w:color="000000"/>
              <w:left w:val="single" w:sz="12" w:space="0" w:color="000000"/>
              <w:bottom w:val="single" w:sz="4" w:space="0" w:color="000000"/>
              <w:right w:val="single" w:sz="12" w:space="0" w:color="000000"/>
            </w:tcBorders>
            <w:vAlign w:val="center"/>
          </w:tcPr>
          <w:p w14:paraId="5718E0C4" w14:textId="77777777" w:rsidR="00B56D50" w:rsidRDefault="001C3C42" w:rsidP="000F20D6">
            <w:pPr>
              <w:spacing w:after="0" w:line="259" w:lineRule="auto"/>
              <w:ind w:left="2" w:right="0" w:firstLine="0"/>
            </w:pPr>
            <w:r>
              <w:rPr>
                <w:sz w:val="18"/>
              </w:rPr>
              <w:t xml:space="preserve">Beryllium </w:t>
            </w:r>
          </w:p>
        </w:tc>
        <w:tc>
          <w:tcPr>
            <w:tcW w:w="1179" w:type="dxa"/>
            <w:tcBorders>
              <w:top w:val="single" w:sz="4" w:space="0" w:color="000000"/>
              <w:left w:val="single" w:sz="12" w:space="0" w:color="000000"/>
              <w:bottom w:val="single" w:sz="4" w:space="0" w:color="000000"/>
              <w:right w:val="single" w:sz="12" w:space="0" w:color="000000"/>
            </w:tcBorders>
            <w:vAlign w:val="center"/>
          </w:tcPr>
          <w:p w14:paraId="7073985E" w14:textId="1FE4F2F2" w:rsidR="00B56D50" w:rsidRDefault="001C3C42" w:rsidP="000F20D6">
            <w:pPr>
              <w:spacing w:after="0" w:line="259" w:lineRule="auto"/>
              <w:ind w:left="0" w:right="0" w:firstLine="0"/>
              <w:jc w:val="center"/>
            </w:pPr>
            <w:r>
              <w:rPr>
                <w:sz w:val="18"/>
              </w:rPr>
              <w:t>7440-41-7</w:t>
            </w:r>
          </w:p>
        </w:tc>
        <w:tc>
          <w:tcPr>
            <w:tcW w:w="818" w:type="dxa"/>
            <w:tcBorders>
              <w:top w:val="single" w:sz="4" w:space="0" w:color="000000"/>
              <w:left w:val="single" w:sz="12" w:space="0" w:color="000000"/>
              <w:bottom w:val="single" w:sz="4" w:space="0" w:color="000000"/>
              <w:right w:val="single" w:sz="12" w:space="0" w:color="000000"/>
            </w:tcBorders>
            <w:vAlign w:val="center"/>
          </w:tcPr>
          <w:p w14:paraId="1DA944D6" w14:textId="7169D09A" w:rsidR="00B56D50" w:rsidRDefault="00A472B2" w:rsidP="000F20D6">
            <w:pPr>
              <w:spacing w:after="0" w:line="259" w:lineRule="auto"/>
              <w:ind w:right="0"/>
              <w:jc w:val="center"/>
            </w:pPr>
            <w:r>
              <w:rPr>
                <w:sz w:val="18"/>
              </w:rPr>
              <w:t>4</w:t>
            </w:r>
          </w:p>
        </w:tc>
        <w:tc>
          <w:tcPr>
            <w:tcW w:w="726" w:type="dxa"/>
            <w:tcBorders>
              <w:top w:val="single" w:sz="4" w:space="0" w:color="000000"/>
              <w:left w:val="single" w:sz="12" w:space="0" w:color="000000"/>
              <w:bottom w:val="single" w:sz="4" w:space="0" w:color="000000"/>
              <w:right w:val="single" w:sz="12" w:space="0" w:color="000000"/>
            </w:tcBorders>
            <w:vAlign w:val="center"/>
          </w:tcPr>
          <w:p w14:paraId="01C294CC" w14:textId="63C532CB" w:rsidR="00B56D50" w:rsidRDefault="00A74BAD" w:rsidP="000F20D6">
            <w:pPr>
              <w:spacing w:after="0" w:line="259" w:lineRule="auto"/>
              <w:ind w:left="0" w:right="0" w:firstLine="0"/>
              <w:jc w:val="center"/>
            </w:pPr>
            <w:r>
              <w:rPr>
                <w:rFonts w:ascii="Segoe UI Symbol" w:eastAsia="Segoe UI Symbol" w:hAnsi="Segoe UI Symbol" w:cs="Segoe UI Symbol"/>
                <w:sz w:val="18"/>
              </w:rPr>
              <w:t>u</w:t>
            </w:r>
            <w:r w:rsidR="001C3C42">
              <w:rPr>
                <w:sz w:val="18"/>
              </w:rPr>
              <w:t>g/L</w:t>
            </w:r>
          </w:p>
        </w:tc>
        <w:tc>
          <w:tcPr>
            <w:tcW w:w="816" w:type="dxa"/>
            <w:tcBorders>
              <w:top w:val="single" w:sz="4" w:space="0" w:color="000000"/>
              <w:left w:val="single" w:sz="12" w:space="0" w:color="000000"/>
              <w:bottom w:val="single" w:sz="4" w:space="0" w:color="000000"/>
              <w:right w:val="single" w:sz="12" w:space="0" w:color="000000"/>
            </w:tcBorders>
            <w:vAlign w:val="center"/>
          </w:tcPr>
          <w:p w14:paraId="20D2FB6D" w14:textId="0B1F057A" w:rsidR="00B56D50" w:rsidRDefault="001C3C42" w:rsidP="000F20D6">
            <w:pPr>
              <w:spacing w:after="0" w:line="259" w:lineRule="auto"/>
              <w:ind w:left="0" w:right="0" w:firstLine="0"/>
              <w:jc w:val="center"/>
            </w:pPr>
            <w:r>
              <w:rPr>
                <w:sz w:val="18"/>
              </w:rPr>
              <w:t>5</w:t>
            </w:r>
          </w:p>
        </w:tc>
        <w:tc>
          <w:tcPr>
            <w:tcW w:w="819" w:type="dxa"/>
            <w:tcBorders>
              <w:top w:val="single" w:sz="4" w:space="0" w:color="000000"/>
              <w:left w:val="single" w:sz="12" w:space="0" w:color="000000"/>
              <w:bottom w:val="single" w:sz="4" w:space="0" w:color="000000"/>
              <w:right w:val="single" w:sz="12" w:space="0" w:color="000000"/>
            </w:tcBorders>
            <w:vAlign w:val="center"/>
          </w:tcPr>
          <w:p w14:paraId="5904499C" w14:textId="1F3A7FB2" w:rsidR="00B56D50" w:rsidRDefault="001C3C42" w:rsidP="000F20D6">
            <w:pPr>
              <w:spacing w:after="0" w:line="259" w:lineRule="auto"/>
              <w:ind w:left="4" w:right="0" w:firstLine="0"/>
              <w:jc w:val="center"/>
            </w:pPr>
            <w:r>
              <w:rPr>
                <w:sz w:val="18"/>
              </w:rPr>
              <w:t>mg/kg</w:t>
            </w:r>
          </w:p>
        </w:tc>
        <w:tc>
          <w:tcPr>
            <w:tcW w:w="907" w:type="dxa"/>
            <w:tcBorders>
              <w:top w:val="single" w:sz="4" w:space="0" w:color="000000"/>
              <w:left w:val="single" w:sz="12" w:space="0" w:color="000000"/>
              <w:bottom w:val="single" w:sz="4" w:space="0" w:color="000000"/>
              <w:right w:val="single" w:sz="12" w:space="0" w:color="000000"/>
            </w:tcBorders>
            <w:vAlign w:val="center"/>
          </w:tcPr>
          <w:p w14:paraId="1488BB51" w14:textId="2241A35C" w:rsidR="00B56D50" w:rsidRDefault="001C3C42" w:rsidP="000F20D6">
            <w:pPr>
              <w:spacing w:after="0" w:line="259" w:lineRule="auto"/>
              <w:ind w:left="0" w:right="0" w:firstLine="0"/>
              <w:jc w:val="center"/>
            </w:pPr>
            <w:r>
              <w:rPr>
                <w:sz w:val="18"/>
              </w:rPr>
              <w:t>6010</w:t>
            </w:r>
          </w:p>
        </w:tc>
        <w:tc>
          <w:tcPr>
            <w:tcW w:w="907" w:type="dxa"/>
            <w:tcBorders>
              <w:top w:val="single" w:sz="4" w:space="0" w:color="000000"/>
              <w:left w:val="single" w:sz="12" w:space="0" w:color="000000"/>
              <w:bottom w:val="single" w:sz="4" w:space="0" w:color="000000"/>
              <w:right w:val="single" w:sz="12" w:space="0" w:color="000000"/>
            </w:tcBorders>
            <w:vAlign w:val="center"/>
          </w:tcPr>
          <w:p w14:paraId="5C86DD81" w14:textId="4B24D624" w:rsidR="00B56D50" w:rsidRDefault="001C3C42" w:rsidP="000F20D6">
            <w:pPr>
              <w:spacing w:after="0" w:line="259" w:lineRule="auto"/>
              <w:ind w:left="0" w:right="0" w:firstLine="0"/>
              <w:jc w:val="center"/>
            </w:pPr>
            <w:r>
              <w:rPr>
                <w:sz w:val="18"/>
              </w:rPr>
              <w:t>6020</w:t>
            </w:r>
          </w:p>
        </w:tc>
        <w:tc>
          <w:tcPr>
            <w:tcW w:w="770" w:type="dxa"/>
            <w:tcBorders>
              <w:top w:val="single" w:sz="4" w:space="0" w:color="000000"/>
              <w:left w:val="single" w:sz="12" w:space="0" w:color="000000"/>
              <w:bottom w:val="single" w:sz="4" w:space="0" w:color="000000"/>
              <w:right w:val="single" w:sz="12" w:space="0" w:color="000000"/>
            </w:tcBorders>
            <w:vAlign w:val="center"/>
          </w:tcPr>
          <w:p w14:paraId="3CEC77DA" w14:textId="5F37F51F" w:rsidR="00B56D50" w:rsidRDefault="001C3C42" w:rsidP="000F20D6">
            <w:pPr>
              <w:spacing w:after="0" w:line="259" w:lineRule="auto"/>
              <w:ind w:left="1" w:right="0" w:firstLine="0"/>
              <w:jc w:val="center"/>
            </w:pPr>
            <w:r>
              <w:rPr>
                <w:sz w:val="18"/>
              </w:rPr>
              <w:t>7010</w:t>
            </w:r>
            <w:r w:rsidR="00BC1098">
              <w:rPr>
                <w:sz w:val="18"/>
              </w:rPr>
              <w:t xml:space="preserve"> </w:t>
            </w:r>
            <w:r w:rsidRPr="00FA00A3">
              <w:rPr>
                <w:b/>
                <w:bCs/>
                <w:sz w:val="18"/>
                <w:vertAlign w:val="superscript"/>
              </w:rPr>
              <w:t>2</w:t>
            </w:r>
          </w:p>
        </w:tc>
        <w:tc>
          <w:tcPr>
            <w:tcW w:w="772" w:type="dxa"/>
            <w:tcBorders>
              <w:top w:val="single" w:sz="4" w:space="0" w:color="000000"/>
              <w:left w:val="single" w:sz="12" w:space="0" w:color="000000"/>
              <w:bottom w:val="single" w:sz="4" w:space="0" w:color="000000"/>
              <w:right w:val="single" w:sz="12" w:space="0" w:color="000000"/>
            </w:tcBorders>
            <w:vAlign w:val="center"/>
          </w:tcPr>
          <w:p w14:paraId="56BEC5CE" w14:textId="00C3A27F" w:rsidR="00B56D50" w:rsidRDefault="00B56D50" w:rsidP="000F20D6">
            <w:pPr>
              <w:spacing w:after="0" w:line="259" w:lineRule="auto"/>
              <w:ind w:left="2" w:right="0" w:firstLine="0"/>
              <w:jc w:val="center"/>
            </w:pPr>
          </w:p>
        </w:tc>
        <w:tc>
          <w:tcPr>
            <w:tcW w:w="697" w:type="dxa"/>
            <w:tcBorders>
              <w:top w:val="single" w:sz="4" w:space="0" w:color="000000"/>
              <w:left w:val="single" w:sz="12" w:space="0" w:color="000000"/>
              <w:bottom w:val="single" w:sz="4" w:space="0" w:color="000000"/>
              <w:right w:val="single" w:sz="12" w:space="0" w:color="000000"/>
            </w:tcBorders>
            <w:vAlign w:val="center"/>
          </w:tcPr>
          <w:p w14:paraId="6FB740FB" w14:textId="6C3D9BC1" w:rsidR="00B56D50" w:rsidRDefault="00B56D50" w:rsidP="000F20D6">
            <w:pPr>
              <w:spacing w:after="0" w:line="259" w:lineRule="auto"/>
              <w:ind w:left="2" w:right="0" w:firstLine="0"/>
              <w:jc w:val="center"/>
            </w:pPr>
          </w:p>
        </w:tc>
      </w:tr>
      <w:tr w:rsidR="00B56D50" w14:paraId="563D228D" w14:textId="77777777" w:rsidTr="00725264">
        <w:trPr>
          <w:trHeight w:val="281"/>
        </w:trPr>
        <w:tc>
          <w:tcPr>
            <w:tcW w:w="2209" w:type="dxa"/>
            <w:tcBorders>
              <w:top w:val="single" w:sz="4" w:space="0" w:color="000000"/>
              <w:left w:val="single" w:sz="12" w:space="0" w:color="000000"/>
              <w:bottom w:val="single" w:sz="4" w:space="0" w:color="000000"/>
              <w:right w:val="single" w:sz="12" w:space="0" w:color="000000"/>
            </w:tcBorders>
            <w:vAlign w:val="center"/>
          </w:tcPr>
          <w:p w14:paraId="3F4D238A" w14:textId="77777777" w:rsidR="00B56D50" w:rsidRDefault="001C3C42" w:rsidP="000F20D6">
            <w:pPr>
              <w:spacing w:after="0" w:line="259" w:lineRule="auto"/>
              <w:ind w:left="2" w:right="0" w:firstLine="0"/>
            </w:pPr>
            <w:r>
              <w:rPr>
                <w:sz w:val="18"/>
              </w:rPr>
              <w:t xml:space="preserve">Cobalt </w:t>
            </w:r>
          </w:p>
        </w:tc>
        <w:tc>
          <w:tcPr>
            <w:tcW w:w="1179" w:type="dxa"/>
            <w:tcBorders>
              <w:top w:val="single" w:sz="4" w:space="0" w:color="000000"/>
              <w:left w:val="single" w:sz="12" w:space="0" w:color="000000"/>
              <w:bottom w:val="single" w:sz="4" w:space="0" w:color="000000"/>
              <w:right w:val="single" w:sz="12" w:space="0" w:color="000000"/>
            </w:tcBorders>
            <w:vAlign w:val="center"/>
          </w:tcPr>
          <w:p w14:paraId="0D593C34" w14:textId="128D2F1B" w:rsidR="00B56D50" w:rsidRDefault="001C3C42" w:rsidP="000F20D6">
            <w:pPr>
              <w:spacing w:after="0" w:line="259" w:lineRule="auto"/>
              <w:ind w:left="0" w:right="0" w:firstLine="0"/>
              <w:jc w:val="center"/>
            </w:pPr>
            <w:r>
              <w:rPr>
                <w:sz w:val="18"/>
              </w:rPr>
              <w:t>7440-48-4</w:t>
            </w:r>
          </w:p>
        </w:tc>
        <w:tc>
          <w:tcPr>
            <w:tcW w:w="818" w:type="dxa"/>
            <w:tcBorders>
              <w:top w:val="single" w:sz="4" w:space="0" w:color="000000"/>
              <w:left w:val="single" w:sz="12" w:space="0" w:color="000000"/>
              <w:bottom w:val="single" w:sz="4" w:space="0" w:color="000000"/>
              <w:right w:val="single" w:sz="12" w:space="0" w:color="000000"/>
            </w:tcBorders>
            <w:vAlign w:val="center"/>
          </w:tcPr>
          <w:p w14:paraId="33674CEA" w14:textId="5D609C85" w:rsidR="00B56D50" w:rsidRDefault="001C3C42" w:rsidP="000F20D6">
            <w:pPr>
              <w:tabs>
                <w:tab w:val="right" w:pos="590"/>
              </w:tabs>
              <w:spacing w:after="0" w:line="259" w:lineRule="auto"/>
              <w:ind w:left="0" w:right="0" w:firstLine="0"/>
              <w:jc w:val="center"/>
            </w:pPr>
            <w:r>
              <w:rPr>
                <w:sz w:val="18"/>
              </w:rPr>
              <w:t>5</w:t>
            </w:r>
          </w:p>
        </w:tc>
        <w:tc>
          <w:tcPr>
            <w:tcW w:w="726" w:type="dxa"/>
            <w:tcBorders>
              <w:top w:val="single" w:sz="4" w:space="0" w:color="000000"/>
              <w:left w:val="single" w:sz="12" w:space="0" w:color="000000"/>
              <w:bottom w:val="single" w:sz="4" w:space="0" w:color="000000"/>
              <w:right w:val="single" w:sz="12" w:space="0" w:color="000000"/>
            </w:tcBorders>
            <w:vAlign w:val="center"/>
          </w:tcPr>
          <w:p w14:paraId="1CFE856D" w14:textId="4CD72C60" w:rsidR="00B56D50" w:rsidRDefault="00C43C6A" w:rsidP="000F20D6">
            <w:pPr>
              <w:spacing w:after="0" w:line="259" w:lineRule="auto"/>
              <w:ind w:left="0" w:right="0" w:firstLine="0"/>
              <w:jc w:val="center"/>
            </w:pPr>
            <w:r>
              <w:rPr>
                <w:rFonts w:ascii="Segoe UI Symbol" w:eastAsia="Segoe UI Symbol" w:hAnsi="Segoe UI Symbol" w:cs="Segoe UI Symbol"/>
                <w:sz w:val="18"/>
              </w:rPr>
              <w:t>u</w:t>
            </w:r>
            <w:r w:rsidR="001C3C42">
              <w:rPr>
                <w:sz w:val="18"/>
              </w:rPr>
              <w:t>g/L</w:t>
            </w:r>
          </w:p>
        </w:tc>
        <w:tc>
          <w:tcPr>
            <w:tcW w:w="816" w:type="dxa"/>
            <w:tcBorders>
              <w:top w:val="single" w:sz="4" w:space="0" w:color="000000"/>
              <w:left w:val="single" w:sz="12" w:space="0" w:color="000000"/>
              <w:bottom w:val="single" w:sz="4" w:space="0" w:color="000000"/>
              <w:right w:val="single" w:sz="12" w:space="0" w:color="000000"/>
            </w:tcBorders>
            <w:vAlign w:val="center"/>
          </w:tcPr>
          <w:p w14:paraId="6B5166F5" w14:textId="4021D75C" w:rsidR="00B56D50" w:rsidRDefault="001C3C42" w:rsidP="000F20D6">
            <w:pPr>
              <w:spacing w:after="0" w:line="259" w:lineRule="auto"/>
              <w:ind w:left="0" w:right="0" w:firstLine="0"/>
              <w:jc w:val="center"/>
            </w:pPr>
            <w:r>
              <w:rPr>
                <w:sz w:val="18"/>
              </w:rPr>
              <w:t>5</w:t>
            </w:r>
          </w:p>
        </w:tc>
        <w:tc>
          <w:tcPr>
            <w:tcW w:w="819" w:type="dxa"/>
            <w:tcBorders>
              <w:top w:val="single" w:sz="4" w:space="0" w:color="000000"/>
              <w:left w:val="single" w:sz="12" w:space="0" w:color="000000"/>
              <w:bottom w:val="single" w:sz="4" w:space="0" w:color="000000"/>
              <w:right w:val="single" w:sz="12" w:space="0" w:color="000000"/>
            </w:tcBorders>
            <w:vAlign w:val="center"/>
          </w:tcPr>
          <w:p w14:paraId="2CE7C655" w14:textId="75CE4E4A" w:rsidR="00B56D50" w:rsidRDefault="001C3C42" w:rsidP="000F20D6">
            <w:pPr>
              <w:spacing w:after="0" w:line="259" w:lineRule="auto"/>
              <w:ind w:left="4" w:right="0" w:firstLine="0"/>
              <w:jc w:val="center"/>
            </w:pPr>
            <w:r>
              <w:rPr>
                <w:sz w:val="18"/>
              </w:rPr>
              <w:t>mg/kg</w:t>
            </w:r>
          </w:p>
        </w:tc>
        <w:tc>
          <w:tcPr>
            <w:tcW w:w="907" w:type="dxa"/>
            <w:tcBorders>
              <w:top w:val="single" w:sz="4" w:space="0" w:color="000000"/>
              <w:left w:val="single" w:sz="12" w:space="0" w:color="000000"/>
              <w:bottom w:val="single" w:sz="4" w:space="0" w:color="000000"/>
              <w:right w:val="single" w:sz="12" w:space="0" w:color="000000"/>
            </w:tcBorders>
            <w:vAlign w:val="center"/>
          </w:tcPr>
          <w:p w14:paraId="52B07223" w14:textId="069E70E9" w:rsidR="00B56D50" w:rsidRDefault="001C3C42" w:rsidP="000F20D6">
            <w:pPr>
              <w:spacing w:after="0" w:line="259" w:lineRule="auto"/>
              <w:ind w:left="0" w:right="0" w:firstLine="0"/>
              <w:jc w:val="center"/>
            </w:pPr>
            <w:r>
              <w:rPr>
                <w:sz w:val="18"/>
              </w:rPr>
              <w:t>6010</w:t>
            </w:r>
          </w:p>
        </w:tc>
        <w:tc>
          <w:tcPr>
            <w:tcW w:w="907" w:type="dxa"/>
            <w:tcBorders>
              <w:top w:val="single" w:sz="4" w:space="0" w:color="000000"/>
              <w:left w:val="single" w:sz="12" w:space="0" w:color="000000"/>
              <w:bottom w:val="single" w:sz="4" w:space="0" w:color="000000"/>
              <w:right w:val="single" w:sz="12" w:space="0" w:color="000000"/>
            </w:tcBorders>
            <w:vAlign w:val="center"/>
          </w:tcPr>
          <w:p w14:paraId="56177896" w14:textId="075E5039" w:rsidR="00B56D50" w:rsidRDefault="001C3C42" w:rsidP="000F20D6">
            <w:pPr>
              <w:spacing w:after="0" w:line="259" w:lineRule="auto"/>
              <w:ind w:left="0" w:right="0" w:firstLine="0"/>
              <w:jc w:val="center"/>
            </w:pPr>
            <w:r>
              <w:rPr>
                <w:sz w:val="18"/>
              </w:rPr>
              <w:t>6020</w:t>
            </w:r>
          </w:p>
        </w:tc>
        <w:tc>
          <w:tcPr>
            <w:tcW w:w="770" w:type="dxa"/>
            <w:tcBorders>
              <w:top w:val="single" w:sz="4" w:space="0" w:color="000000"/>
              <w:left w:val="single" w:sz="12" w:space="0" w:color="000000"/>
              <w:bottom w:val="single" w:sz="4" w:space="0" w:color="000000"/>
              <w:right w:val="single" w:sz="12" w:space="0" w:color="000000"/>
            </w:tcBorders>
            <w:vAlign w:val="center"/>
          </w:tcPr>
          <w:p w14:paraId="5D7A0475" w14:textId="48384950" w:rsidR="00B56D50" w:rsidRDefault="001C3C42" w:rsidP="000F20D6">
            <w:pPr>
              <w:spacing w:after="0" w:line="259" w:lineRule="auto"/>
              <w:ind w:left="1" w:right="0" w:firstLine="0"/>
              <w:jc w:val="center"/>
            </w:pPr>
            <w:r>
              <w:rPr>
                <w:sz w:val="18"/>
              </w:rPr>
              <w:t>7010</w:t>
            </w:r>
            <w:r w:rsidR="00BC1098">
              <w:rPr>
                <w:sz w:val="18"/>
              </w:rPr>
              <w:t xml:space="preserve"> </w:t>
            </w:r>
            <w:r w:rsidRPr="00FA00A3">
              <w:rPr>
                <w:b/>
                <w:bCs/>
                <w:sz w:val="18"/>
                <w:vertAlign w:val="superscript"/>
              </w:rPr>
              <w:t>2</w:t>
            </w:r>
          </w:p>
        </w:tc>
        <w:tc>
          <w:tcPr>
            <w:tcW w:w="772" w:type="dxa"/>
            <w:tcBorders>
              <w:top w:val="single" w:sz="4" w:space="0" w:color="000000"/>
              <w:left w:val="single" w:sz="12" w:space="0" w:color="000000"/>
              <w:bottom w:val="single" w:sz="4" w:space="0" w:color="000000"/>
              <w:right w:val="single" w:sz="12" w:space="0" w:color="000000"/>
            </w:tcBorders>
            <w:vAlign w:val="center"/>
          </w:tcPr>
          <w:p w14:paraId="2D09E0E9" w14:textId="32615B27" w:rsidR="00B56D50" w:rsidRDefault="00B56D50" w:rsidP="000F20D6">
            <w:pPr>
              <w:spacing w:after="0" w:line="259" w:lineRule="auto"/>
              <w:ind w:left="2" w:right="0" w:firstLine="0"/>
              <w:jc w:val="center"/>
            </w:pPr>
          </w:p>
        </w:tc>
        <w:tc>
          <w:tcPr>
            <w:tcW w:w="697" w:type="dxa"/>
            <w:tcBorders>
              <w:top w:val="single" w:sz="4" w:space="0" w:color="000000"/>
              <w:left w:val="single" w:sz="12" w:space="0" w:color="000000"/>
              <w:bottom w:val="single" w:sz="4" w:space="0" w:color="000000"/>
              <w:right w:val="single" w:sz="12" w:space="0" w:color="000000"/>
            </w:tcBorders>
            <w:vAlign w:val="center"/>
          </w:tcPr>
          <w:p w14:paraId="6F060D67" w14:textId="5BF2BFE2" w:rsidR="00B56D50" w:rsidRDefault="00B56D50" w:rsidP="000F20D6">
            <w:pPr>
              <w:spacing w:after="0" w:line="259" w:lineRule="auto"/>
              <w:ind w:left="2" w:right="0" w:firstLine="0"/>
              <w:jc w:val="center"/>
            </w:pPr>
          </w:p>
        </w:tc>
      </w:tr>
      <w:tr w:rsidR="00B56D50" w14:paraId="1D886B12" w14:textId="77777777" w:rsidTr="00725264">
        <w:trPr>
          <w:trHeight w:val="281"/>
        </w:trPr>
        <w:tc>
          <w:tcPr>
            <w:tcW w:w="2209" w:type="dxa"/>
            <w:tcBorders>
              <w:top w:val="single" w:sz="4" w:space="0" w:color="000000"/>
              <w:left w:val="single" w:sz="12" w:space="0" w:color="000000"/>
              <w:bottom w:val="single" w:sz="4" w:space="0" w:color="000000"/>
              <w:right w:val="single" w:sz="12" w:space="0" w:color="000000"/>
            </w:tcBorders>
            <w:vAlign w:val="center"/>
          </w:tcPr>
          <w:p w14:paraId="02635810" w14:textId="77777777" w:rsidR="00B56D50" w:rsidRDefault="001C3C42" w:rsidP="000F20D6">
            <w:pPr>
              <w:spacing w:after="0" w:line="259" w:lineRule="auto"/>
              <w:ind w:left="2" w:right="0" w:firstLine="0"/>
            </w:pPr>
            <w:r>
              <w:rPr>
                <w:sz w:val="18"/>
              </w:rPr>
              <w:t xml:space="preserve">Copper </w:t>
            </w:r>
          </w:p>
        </w:tc>
        <w:tc>
          <w:tcPr>
            <w:tcW w:w="1179" w:type="dxa"/>
            <w:tcBorders>
              <w:top w:val="single" w:sz="4" w:space="0" w:color="000000"/>
              <w:left w:val="single" w:sz="12" w:space="0" w:color="000000"/>
              <w:bottom w:val="single" w:sz="4" w:space="0" w:color="000000"/>
              <w:right w:val="single" w:sz="12" w:space="0" w:color="000000"/>
            </w:tcBorders>
            <w:vAlign w:val="center"/>
          </w:tcPr>
          <w:p w14:paraId="38361350" w14:textId="0AB81D58" w:rsidR="00B56D50" w:rsidRDefault="001C3C42" w:rsidP="000F20D6">
            <w:pPr>
              <w:spacing w:after="0" w:line="259" w:lineRule="auto"/>
              <w:ind w:left="0" w:right="0" w:firstLine="0"/>
              <w:jc w:val="center"/>
            </w:pPr>
            <w:r>
              <w:rPr>
                <w:sz w:val="18"/>
              </w:rPr>
              <w:t>7440-50-8</w:t>
            </w:r>
          </w:p>
        </w:tc>
        <w:tc>
          <w:tcPr>
            <w:tcW w:w="818" w:type="dxa"/>
            <w:tcBorders>
              <w:top w:val="single" w:sz="4" w:space="0" w:color="000000"/>
              <w:left w:val="single" w:sz="12" w:space="0" w:color="000000"/>
              <w:bottom w:val="single" w:sz="4" w:space="0" w:color="000000"/>
              <w:right w:val="single" w:sz="12" w:space="0" w:color="000000"/>
            </w:tcBorders>
            <w:vAlign w:val="center"/>
          </w:tcPr>
          <w:p w14:paraId="0D8FB212" w14:textId="5C7E0B05" w:rsidR="00B56D50" w:rsidRDefault="001C3C42" w:rsidP="000F20D6">
            <w:pPr>
              <w:tabs>
                <w:tab w:val="right" w:pos="590"/>
              </w:tabs>
              <w:spacing w:after="0" w:line="259" w:lineRule="auto"/>
              <w:ind w:left="0" w:right="0" w:firstLine="0"/>
              <w:jc w:val="center"/>
            </w:pPr>
            <w:r>
              <w:rPr>
                <w:sz w:val="18"/>
              </w:rPr>
              <w:t>5</w:t>
            </w:r>
          </w:p>
        </w:tc>
        <w:tc>
          <w:tcPr>
            <w:tcW w:w="726" w:type="dxa"/>
            <w:tcBorders>
              <w:top w:val="single" w:sz="4" w:space="0" w:color="000000"/>
              <w:left w:val="single" w:sz="12" w:space="0" w:color="000000"/>
              <w:bottom w:val="single" w:sz="4" w:space="0" w:color="000000"/>
              <w:right w:val="single" w:sz="12" w:space="0" w:color="000000"/>
            </w:tcBorders>
            <w:vAlign w:val="center"/>
          </w:tcPr>
          <w:p w14:paraId="5CAF0406" w14:textId="43E1DD99" w:rsidR="00B56D50" w:rsidRDefault="00C43C6A" w:rsidP="000F20D6">
            <w:pPr>
              <w:spacing w:after="0" w:line="259" w:lineRule="auto"/>
              <w:ind w:left="0" w:right="0" w:firstLine="0"/>
              <w:jc w:val="center"/>
            </w:pPr>
            <w:r>
              <w:rPr>
                <w:rFonts w:ascii="Segoe UI Symbol" w:eastAsia="Segoe UI Symbol" w:hAnsi="Segoe UI Symbol" w:cs="Segoe UI Symbol"/>
                <w:sz w:val="18"/>
              </w:rPr>
              <w:t>u</w:t>
            </w:r>
            <w:r w:rsidR="001C3C42">
              <w:rPr>
                <w:sz w:val="18"/>
              </w:rPr>
              <w:t>g/L</w:t>
            </w:r>
          </w:p>
        </w:tc>
        <w:tc>
          <w:tcPr>
            <w:tcW w:w="816" w:type="dxa"/>
            <w:tcBorders>
              <w:top w:val="single" w:sz="4" w:space="0" w:color="000000"/>
              <w:left w:val="single" w:sz="12" w:space="0" w:color="000000"/>
              <w:bottom w:val="single" w:sz="4" w:space="0" w:color="000000"/>
              <w:right w:val="single" w:sz="12" w:space="0" w:color="000000"/>
            </w:tcBorders>
            <w:vAlign w:val="center"/>
          </w:tcPr>
          <w:p w14:paraId="413A4FD1" w14:textId="6D4FCD8B" w:rsidR="00B56D50" w:rsidRDefault="001C3C42" w:rsidP="000F20D6">
            <w:pPr>
              <w:spacing w:after="0" w:line="259" w:lineRule="auto"/>
              <w:ind w:left="0" w:right="0" w:firstLine="0"/>
              <w:jc w:val="center"/>
            </w:pPr>
            <w:r>
              <w:rPr>
                <w:sz w:val="18"/>
              </w:rPr>
              <w:t>2</w:t>
            </w:r>
          </w:p>
        </w:tc>
        <w:tc>
          <w:tcPr>
            <w:tcW w:w="819" w:type="dxa"/>
            <w:tcBorders>
              <w:top w:val="single" w:sz="4" w:space="0" w:color="000000"/>
              <w:left w:val="single" w:sz="12" w:space="0" w:color="000000"/>
              <w:bottom w:val="single" w:sz="4" w:space="0" w:color="000000"/>
              <w:right w:val="single" w:sz="12" w:space="0" w:color="000000"/>
            </w:tcBorders>
            <w:vAlign w:val="center"/>
          </w:tcPr>
          <w:p w14:paraId="7514E581" w14:textId="4AFF10CC" w:rsidR="00B56D50" w:rsidRDefault="001C3C42" w:rsidP="000F20D6">
            <w:pPr>
              <w:spacing w:after="0" w:line="259" w:lineRule="auto"/>
              <w:ind w:left="4" w:right="0" w:firstLine="0"/>
              <w:jc w:val="center"/>
            </w:pPr>
            <w:r>
              <w:rPr>
                <w:sz w:val="18"/>
              </w:rPr>
              <w:t>mg/kg</w:t>
            </w:r>
          </w:p>
        </w:tc>
        <w:tc>
          <w:tcPr>
            <w:tcW w:w="907" w:type="dxa"/>
            <w:tcBorders>
              <w:top w:val="single" w:sz="4" w:space="0" w:color="000000"/>
              <w:left w:val="single" w:sz="12" w:space="0" w:color="000000"/>
              <w:bottom w:val="single" w:sz="4" w:space="0" w:color="000000"/>
              <w:right w:val="single" w:sz="12" w:space="0" w:color="000000"/>
            </w:tcBorders>
            <w:vAlign w:val="center"/>
          </w:tcPr>
          <w:p w14:paraId="3DB58B3C" w14:textId="36343043" w:rsidR="00B56D50" w:rsidRDefault="001C3C42" w:rsidP="000F20D6">
            <w:pPr>
              <w:spacing w:after="0" w:line="259" w:lineRule="auto"/>
              <w:ind w:left="0" w:right="0" w:firstLine="0"/>
              <w:jc w:val="center"/>
            </w:pPr>
            <w:r>
              <w:rPr>
                <w:sz w:val="18"/>
              </w:rPr>
              <w:t>6010</w:t>
            </w:r>
          </w:p>
        </w:tc>
        <w:tc>
          <w:tcPr>
            <w:tcW w:w="907" w:type="dxa"/>
            <w:tcBorders>
              <w:top w:val="single" w:sz="4" w:space="0" w:color="000000"/>
              <w:left w:val="single" w:sz="12" w:space="0" w:color="000000"/>
              <w:bottom w:val="single" w:sz="4" w:space="0" w:color="000000"/>
              <w:right w:val="single" w:sz="12" w:space="0" w:color="000000"/>
            </w:tcBorders>
            <w:vAlign w:val="center"/>
          </w:tcPr>
          <w:p w14:paraId="78AB62EC" w14:textId="0B2C3F21" w:rsidR="00B56D50" w:rsidRDefault="001C3C42" w:rsidP="000F20D6">
            <w:pPr>
              <w:spacing w:after="0" w:line="259" w:lineRule="auto"/>
              <w:ind w:left="0" w:right="0" w:firstLine="0"/>
              <w:jc w:val="center"/>
            </w:pPr>
            <w:r>
              <w:rPr>
                <w:sz w:val="18"/>
              </w:rPr>
              <w:t>6020</w:t>
            </w:r>
          </w:p>
        </w:tc>
        <w:tc>
          <w:tcPr>
            <w:tcW w:w="770" w:type="dxa"/>
            <w:tcBorders>
              <w:top w:val="single" w:sz="4" w:space="0" w:color="000000"/>
              <w:left w:val="single" w:sz="12" w:space="0" w:color="000000"/>
              <w:bottom w:val="single" w:sz="4" w:space="0" w:color="000000"/>
              <w:right w:val="single" w:sz="12" w:space="0" w:color="000000"/>
            </w:tcBorders>
            <w:vAlign w:val="center"/>
          </w:tcPr>
          <w:p w14:paraId="61FEE7AD" w14:textId="3B7E7EB9" w:rsidR="00B56D50" w:rsidRDefault="001C3C42" w:rsidP="000F20D6">
            <w:pPr>
              <w:spacing w:after="0" w:line="259" w:lineRule="auto"/>
              <w:ind w:left="1" w:right="0" w:firstLine="0"/>
              <w:jc w:val="center"/>
            </w:pPr>
            <w:r>
              <w:rPr>
                <w:sz w:val="18"/>
              </w:rPr>
              <w:t>7010</w:t>
            </w:r>
            <w:r w:rsidR="00BC1098">
              <w:rPr>
                <w:sz w:val="18"/>
              </w:rPr>
              <w:t xml:space="preserve"> </w:t>
            </w:r>
            <w:r w:rsidRPr="00FA00A3">
              <w:rPr>
                <w:b/>
                <w:bCs/>
                <w:sz w:val="18"/>
                <w:vertAlign w:val="superscript"/>
              </w:rPr>
              <w:t>2</w:t>
            </w:r>
          </w:p>
        </w:tc>
        <w:tc>
          <w:tcPr>
            <w:tcW w:w="772" w:type="dxa"/>
            <w:tcBorders>
              <w:top w:val="single" w:sz="4" w:space="0" w:color="000000"/>
              <w:left w:val="single" w:sz="12" w:space="0" w:color="000000"/>
              <w:bottom w:val="single" w:sz="4" w:space="0" w:color="000000"/>
              <w:right w:val="single" w:sz="12" w:space="0" w:color="000000"/>
            </w:tcBorders>
            <w:vAlign w:val="center"/>
          </w:tcPr>
          <w:p w14:paraId="0B0AC014" w14:textId="7ED05FB6" w:rsidR="00B56D50" w:rsidRDefault="00B56D50" w:rsidP="000F20D6">
            <w:pPr>
              <w:spacing w:after="0" w:line="259" w:lineRule="auto"/>
              <w:ind w:left="2" w:right="0" w:firstLine="0"/>
              <w:jc w:val="center"/>
            </w:pPr>
          </w:p>
        </w:tc>
        <w:tc>
          <w:tcPr>
            <w:tcW w:w="697" w:type="dxa"/>
            <w:tcBorders>
              <w:top w:val="single" w:sz="4" w:space="0" w:color="000000"/>
              <w:left w:val="single" w:sz="12" w:space="0" w:color="000000"/>
              <w:bottom w:val="single" w:sz="4" w:space="0" w:color="000000"/>
              <w:right w:val="single" w:sz="12" w:space="0" w:color="000000"/>
            </w:tcBorders>
            <w:vAlign w:val="center"/>
          </w:tcPr>
          <w:p w14:paraId="367765C8" w14:textId="1AF4C786" w:rsidR="00B56D50" w:rsidRDefault="00B56D50" w:rsidP="000F20D6">
            <w:pPr>
              <w:spacing w:after="0" w:line="259" w:lineRule="auto"/>
              <w:ind w:left="2" w:right="0" w:firstLine="0"/>
              <w:jc w:val="center"/>
            </w:pPr>
          </w:p>
        </w:tc>
      </w:tr>
      <w:tr w:rsidR="00B56D50" w14:paraId="2E3946C3" w14:textId="77777777" w:rsidTr="00725264">
        <w:trPr>
          <w:trHeight w:val="281"/>
        </w:trPr>
        <w:tc>
          <w:tcPr>
            <w:tcW w:w="2209" w:type="dxa"/>
            <w:tcBorders>
              <w:top w:val="single" w:sz="4" w:space="0" w:color="000000"/>
              <w:left w:val="single" w:sz="12" w:space="0" w:color="000000"/>
              <w:bottom w:val="single" w:sz="4" w:space="0" w:color="000000"/>
              <w:right w:val="single" w:sz="12" w:space="0" w:color="000000"/>
            </w:tcBorders>
            <w:vAlign w:val="center"/>
          </w:tcPr>
          <w:p w14:paraId="15805AF9" w14:textId="77777777" w:rsidR="00B56D50" w:rsidRDefault="001C3C42" w:rsidP="000F20D6">
            <w:pPr>
              <w:spacing w:after="0" w:line="259" w:lineRule="auto"/>
              <w:ind w:left="2" w:right="0" w:firstLine="0"/>
            </w:pPr>
            <w:r>
              <w:rPr>
                <w:sz w:val="18"/>
              </w:rPr>
              <w:t xml:space="preserve">Nickel </w:t>
            </w:r>
          </w:p>
        </w:tc>
        <w:tc>
          <w:tcPr>
            <w:tcW w:w="1179" w:type="dxa"/>
            <w:tcBorders>
              <w:top w:val="single" w:sz="4" w:space="0" w:color="000000"/>
              <w:left w:val="single" w:sz="12" w:space="0" w:color="000000"/>
              <w:bottom w:val="single" w:sz="4" w:space="0" w:color="000000"/>
              <w:right w:val="single" w:sz="12" w:space="0" w:color="000000"/>
            </w:tcBorders>
            <w:vAlign w:val="center"/>
          </w:tcPr>
          <w:p w14:paraId="782EB63B" w14:textId="3B9723A4" w:rsidR="00B56D50" w:rsidRDefault="001C3C42" w:rsidP="000F20D6">
            <w:pPr>
              <w:spacing w:after="0" w:line="259" w:lineRule="auto"/>
              <w:ind w:left="0" w:right="0" w:firstLine="0"/>
              <w:jc w:val="center"/>
            </w:pPr>
            <w:r>
              <w:rPr>
                <w:sz w:val="18"/>
              </w:rPr>
              <w:t>7440-02-0</w:t>
            </w:r>
          </w:p>
        </w:tc>
        <w:tc>
          <w:tcPr>
            <w:tcW w:w="818" w:type="dxa"/>
            <w:tcBorders>
              <w:top w:val="single" w:sz="4" w:space="0" w:color="000000"/>
              <w:left w:val="single" w:sz="12" w:space="0" w:color="000000"/>
              <w:bottom w:val="single" w:sz="4" w:space="0" w:color="000000"/>
              <w:right w:val="single" w:sz="12" w:space="0" w:color="000000"/>
            </w:tcBorders>
            <w:vAlign w:val="center"/>
          </w:tcPr>
          <w:p w14:paraId="3311E2FB" w14:textId="57F5FEC7" w:rsidR="00B56D50" w:rsidRDefault="001C3C42" w:rsidP="000F20D6">
            <w:pPr>
              <w:spacing w:after="0" w:line="259" w:lineRule="auto"/>
              <w:ind w:left="2" w:right="0" w:firstLine="0"/>
              <w:jc w:val="center"/>
            </w:pPr>
            <w:r>
              <w:rPr>
                <w:sz w:val="18"/>
              </w:rPr>
              <w:t>10</w:t>
            </w:r>
          </w:p>
        </w:tc>
        <w:tc>
          <w:tcPr>
            <w:tcW w:w="726" w:type="dxa"/>
            <w:tcBorders>
              <w:top w:val="single" w:sz="4" w:space="0" w:color="000000"/>
              <w:left w:val="single" w:sz="12" w:space="0" w:color="000000"/>
              <w:bottom w:val="single" w:sz="4" w:space="0" w:color="000000"/>
              <w:right w:val="single" w:sz="12" w:space="0" w:color="000000"/>
            </w:tcBorders>
            <w:vAlign w:val="center"/>
          </w:tcPr>
          <w:p w14:paraId="503D803D" w14:textId="7FF21F39" w:rsidR="00B56D50" w:rsidRDefault="00C43C6A" w:rsidP="000F20D6">
            <w:pPr>
              <w:spacing w:after="0" w:line="259" w:lineRule="auto"/>
              <w:ind w:left="0" w:right="0" w:firstLine="0"/>
              <w:jc w:val="center"/>
            </w:pPr>
            <w:r>
              <w:rPr>
                <w:rFonts w:ascii="Segoe UI Symbol" w:eastAsia="Segoe UI Symbol" w:hAnsi="Segoe UI Symbol" w:cs="Segoe UI Symbol"/>
                <w:sz w:val="18"/>
              </w:rPr>
              <w:t>u</w:t>
            </w:r>
            <w:r w:rsidR="001C3C42">
              <w:rPr>
                <w:sz w:val="18"/>
              </w:rPr>
              <w:t>g/L</w:t>
            </w:r>
          </w:p>
        </w:tc>
        <w:tc>
          <w:tcPr>
            <w:tcW w:w="816" w:type="dxa"/>
            <w:tcBorders>
              <w:top w:val="single" w:sz="4" w:space="0" w:color="000000"/>
              <w:left w:val="single" w:sz="12" w:space="0" w:color="000000"/>
              <w:bottom w:val="single" w:sz="4" w:space="0" w:color="000000"/>
              <w:right w:val="single" w:sz="12" w:space="0" w:color="000000"/>
            </w:tcBorders>
            <w:vAlign w:val="center"/>
          </w:tcPr>
          <w:p w14:paraId="626D81D2" w14:textId="298D47A2" w:rsidR="00B56D50" w:rsidRDefault="001C3C42" w:rsidP="000F20D6">
            <w:pPr>
              <w:spacing w:after="0" w:line="259" w:lineRule="auto"/>
              <w:ind w:left="0" w:right="0" w:firstLine="0"/>
              <w:jc w:val="center"/>
            </w:pPr>
            <w:r>
              <w:rPr>
                <w:sz w:val="18"/>
              </w:rPr>
              <w:t>5</w:t>
            </w:r>
          </w:p>
        </w:tc>
        <w:tc>
          <w:tcPr>
            <w:tcW w:w="819" w:type="dxa"/>
            <w:tcBorders>
              <w:top w:val="single" w:sz="4" w:space="0" w:color="000000"/>
              <w:left w:val="single" w:sz="12" w:space="0" w:color="000000"/>
              <w:bottom w:val="single" w:sz="4" w:space="0" w:color="000000"/>
              <w:right w:val="single" w:sz="12" w:space="0" w:color="000000"/>
            </w:tcBorders>
            <w:vAlign w:val="center"/>
          </w:tcPr>
          <w:p w14:paraId="1E1A3114" w14:textId="06A4C7FE" w:rsidR="00B56D50" w:rsidRDefault="001C3C42" w:rsidP="000F20D6">
            <w:pPr>
              <w:spacing w:after="0" w:line="259" w:lineRule="auto"/>
              <w:ind w:left="4" w:right="0" w:firstLine="0"/>
              <w:jc w:val="center"/>
            </w:pPr>
            <w:r>
              <w:rPr>
                <w:sz w:val="18"/>
              </w:rPr>
              <w:t>mg/kg</w:t>
            </w:r>
          </w:p>
        </w:tc>
        <w:tc>
          <w:tcPr>
            <w:tcW w:w="907" w:type="dxa"/>
            <w:tcBorders>
              <w:top w:val="single" w:sz="4" w:space="0" w:color="000000"/>
              <w:left w:val="single" w:sz="12" w:space="0" w:color="000000"/>
              <w:bottom w:val="single" w:sz="4" w:space="0" w:color="000000"/>
              <w:right w:val="single" w:sz="12" w:space="0" w:color="000000"/>
            </w:tcBorders>
            <w:vAlign w:val="center"/>
          </w:tcPr>
          <w:p w14:paraId="6DD9934C" w14:textId="7A991F88" w:rsidR="00B56D50" w:rsidRDefault="001C3C42" w:rsidP="000F20D6">
            <w:pPr>
              <w:spacing w:after="0" w:line="259" w:lineRule="auto"/>
              <w:ind w:left="0" w:right="0" w:firstLine="0"/>
              <w:jc w:val="center"/>
            </w:pPr>
            <w:r>
              <w:rPr>
                <w:sz w:val="18"/>
              </w:rPr>
              <w:t>6010</w:t>
            </w:r>
          </w:p>
        </w:tc>
        <w:tc>
          <w:tcPr>
            <w:tcW w:w="907" w:type="dxa"/>
            <w:tcBorders>
              <w:top w:val="single" w:sz="4" w:space="0" w:color="000000"/>
              <w:left w:val="single" w:sz="12" w:space="0" w:color="000000"/>
              <w:bottom w:val="single" w:sz="4" w:space="0" w:color="000000"/>
              <w:right w:val="single" w:sz="12" w:space="0" w:color="000000"/>
            </w:tcBorders>
            <w:vAlign w:val="center"/>
          </w:tcPr>
          <w:p w14:paraId="4EF4ABF1" w14:textId="5F5B9074" w:rsidR="00B56D50" w:rsidRDefault="001C3C42" w:rsidP="000F20D6">
            <w:pPr>
              <w:spacing w:after="0" w:line="259" w:lineRule="auto"/>
              <w:ind w:left="0" w:right="0" w:firstLine="0"/>
              <w:jc w:val="center"/>
            </w:pPr>
            <w:r>
              <w:rPr>
                <w:sz w:val="18"/>
              </w:rPr>
              <w:t>6020</w:t>
            </w:r>
          </w:p>
        </w:tc>
        <w:tc>
          <w:tcPr>
            <w:tcW w:w="770" w:type="dxa"/>
            <w:tcBorders>
              <w:top w:val="single" w:sz="4" w:space="0" w:color="000000"/>
              <w:left w:val="single" w:sz="12" w:space="0" w:color="000000"/>
              <w:bottom w:val="single" w:sz="4" w:space="0" w:color="000000"/>
              <w:right w:val="single" w:sz="12" w:space="0" w:color="000000"/>
            </w:tcBorders>
            <w:vAlign w:val="center"/>
          </w:tcPr>
          <w:p w14:paraId="1B751498" w14:textId="56C18948" w:rsidR="00B56D50" w:rsidRDefault="001C3C42" w:rsidP="000F20D6">
            <w:pPr>
              <w:spacing w:after="0" w:line="259" w:lineRule="auto"/>
              <w:ind w:left="1" w:right="0" w:firstLine="0"/>
              <w:jc w:val="center"/>
            </w:pPr>
            <w:r>
              <w:rPr>
                <w:sz w:val="18"/>
              </w:rPr>
              <w:t>7010</w:t>
            </w:r>
            <w:r w:rsidR="00BC1098">
              <w:rPr>
                <w:sz w:val="18"/>
              </w:rPr>
              <w:t xml:space="preserve"> </w:t>
            </w:r>
            <w:r w:rsidRPr="00FA00A3">
              <w:rPr>
                <w:b/>
                <w:bCs/>
                <w:sz w:val="18"/>
                <w:vertAlign w:val="superscript"/>
              </w:rPr>
              <w:t>2</w:t>
            </w:r>
          </w:p>
        </w:tc>
        <w:tc>
          <w:tcPr>
            <w:tcW w:w="772" w:type="dxa"/>
            <w:tcBorders>
              <w:top w:val="single" w:sz="4" w:space="0" w:color="000000"/>
              <w:left w:val="single" w:sz="12" w:space="0" w:color="000000"/>
              <w:bottom w:val="single" w:sz="4" w:space="0" w:color="000000"/>
              <w:right w:val="single" w:sz="12" w:space="0" w:color="000000"/>
            </w:tcBorders>
            <w:vAlign w:val="center"/>
          </w:tcPr>
          <w:p w14:paraId="75A3CF1A" w14:textId="59BC7283" w:rsidR="00B56D50" w:rsidRDefault="00B56D50" w:rsidP="000F20D6">
            <w:pPr>
              <w:spacing w:after="0" w:line="259" w:lineRule="auto"/>
              <w:ind w:left="2" w:right="0" w:firstLine="0"/>
              <w:jc w:val="center"/>
            </w:pPr>
          </w:p>
        </w:tc>
        <w:tc>
          <w:tcPr>
            <w:tcW w:w="697" w:type="dxa"/>
            <w:tcBorders>
              <w:top w:val="single" w:sz="4" w:space="0" w:color="000000"/>
              <w:left w:val="single" w:sz="12" w:space="0" w:color="000000"/>
              <w:bottom w:val="single" w:sz="4" w:space="0" w:color="000000"/>
              <w:right w:val="single" w:sz="12" w:space="0" w:color="000000"/>
            </w:tcBorders>
            <w:vAlign w:val="center"/>
          </w:tcPr>
          <w:p w14:paraId="284D0804" w14:textId="2D81DFE3" w:rsidR="00B56D50" w:rsidRDefault="00B56D50" w:rsidP="000F20D6">
            <w:pPr>
              <w:spacing w:after="0" w:line="259" w:lineRule="auto"/>
              <w:ind w:left="2" w:right="0" w:firstLine="0"/>
              <w:jc w:val="center"/>
            </w:pPr>
          </w:p>
        </w:tc>
      </w:tr>
      <w:tr w:rsidR="00B56D50" w14:paraId="7121925A" w14:textId="77777777" w:rsidTr="00725264">
        <w:trPr>
          <w:trHeight w:val="281"/>
        </w:trPr>
        <w:tc>
          <w:tcPr>
            <w:tcW w:w="2209" w:type="dxa"/>
            <w:tcBorders>
              <w:top w:val="single" w:sz="4" w:space="0" w:color="000000"/>
              <w:left w:val="single" w:sz="12" w:space="0" w:color="000000"/>
              <w:bottom w:val="single" w:sz="4" w:space="0" w:color="000000"/>
              <w:right w:val="single" w:sz="12" w:space="0" w:color="000000"/>
            </w:tcBorders>
            <w:vAlign w:val="center"/>
          </w:tcPr>
          <w:p w14:paraId="665C815A" w14:textId="560AA647" w:rsidR="00B56D50" w:rsidRDefault="001C3C42" w:rsidP="000F20D6">
            <w:pPr>
              <w:spacing w:after="0" w:line="259" w:lineRule="auto"/>
              <w:ind w:left="2" w:right="0" w:firstLine="0"/>
            </w:pPr>
            <w:r>
              <w:rPr>
                <w:sz w:val="18"/>
              </w:rPr>
              <w:t>Thallium</w:t>
            </w:r>
            <w:r w:rsidR="00BC1098">
              <w:rPr>
                <w:sz w:val="18"/>
              </w:rPr>
              <w:t xml:space="preserve"> </w:t>
            </w:r>
            <w:r>
              <w:rPr>
                <w:b/>
                <w:sz w:val="18"/>
                <w:vertAlign w:val="superscript"/>
              </w:rPr>
              <w:t>1</w:t>
            </w:r>
            <w:r>
              <w:rPr>
                <w:sz w:val="18"/>
              </w:rPr>
              <w:t xml:space="preserve"> </w:t>
            </w:r>
          </w:p>
        </w:tc>
        <w:tc>
          <w:tcPr>
            <w:tcW w:w="1179" w:type="dxa"/>
            <w:tcBorders>
              <w:top w:val="single" w:sz="4" w:space="0" w:color="000000"/>
              <w:left w:val="single" w:sz="12" w:space="0" w:color="000000"/>
              <w:bottom w:val="single" w:sz="4" w:space="0" w:color="000000"/>
              <w:right w:val="single" w:sz="12" w:space="0" w:color="000000"/>
            </w:tcBorders>
            <w:vAlign w:val="center"/>
          </w:tcPr>
          <w:p w14:paraId="05DB43B9" w14:textId="6A76C833" w:rsidR="00B56D50" w:rsidRDefault="001C3C42" w:rsidP="000F20D6">
            <w:pPr>
              <w:spacing w:after="0" w:line="259" w:lineRule="auto"/>
              <w:ind w:left="0" w:right="0" w:firstLine="0"/>
              <w:jc w:val="center"/>
            </w:pPr>
            <w:r>
              <w:rPr>
                <w:sz w:val="18"/>
              </w:rPr>
              <w:t>7440-28-0</w:t>
            </w:r>
          </w:p>
        </w:tc>
        <w:tc>
          <w:tcPr>
            <w:tcW w:w="818" w:type="dxa"/>
            <w:tcBorders>
              <w:top w:val="single" w:sz="4" w:space="0" w:color="000000"/>
              <w:left w:val="single" w:sz="12" w:space="0" w:color="000000"/>
              <w:bottom w:val="single" w:sz="4" w:space="0" w:color="000000"/>
              <w:right w:val="single" w:sz="12" w:space="0" w:color="000000"/>
            </w:tcBorders>
            <w:vAlign w:val="center"/>
          </w:tcPr>
          <w:p w14:paraId="47C1C482" w14:textId="7E6E6C64" w:rsidR="00B56D50" w:rsidRDefault="001C3C42" w:rsidP="000F20D6">
            <w:pPr>
              <w:tabs>
                <w:tab w:val="right" w:pos="590"/>
              </w:tabs>
              <w:spacing w:after="0" w:line="259" w:lineRule="auto"/>
              <w:ind w:left="0" w:right="0" w:firstLine="0"/>
              <w:jc w:val="center"/>
            </w:pPr>
            <w:r>
              <w:rPr>
                <w:sz w:val="18"/>
              </w:rPr>
              <w:t>2</w:t>
            </w:r>
          </w:p>
        </w:tc>
        <w:tc>
          <w:tcPr>
            <w:tcW w:w="726" w:type="dxa"/>
            <w:tcBorders>
              <w:top w:val="single" w:sz="4" w:space="0" w:color="000000"/>
              <w:left w:val="single" w:sz="12" w:space="0" w:color="000000"/>
              <w:bottom w:val="single" w:sz="4" w:space="0" w:color="000000"/>
              <w:right w:val="single" w:sz="12" w:space="0" w:color="000000"/>
            </w:tcBorders>
            <w:vAlign w:val="center"/>
          </w:tcPr>
          <w:p w14:paraId="6F9C80D2" w14:textId="028F77BF" w:rsidR="00B56D50" w:rsidRDefault="00C43C6A" w:rsidP="000F20D6">
            <w:pPr>
              <w:spacing w:after="0" w:line="259" w:lineRule="auto"/>
              <w:ind w:left="0" w:right="0" w:firstLine="0"/>
              <w:jc w:val="center"/>
            </w:pPr>
            <w:r>
              <w:rPr>
                <w:rFonts w:ascii="Segoe UI Symbol" w:eastAsia="Segoe UI Symbol" w:hAnsi="Segoe UI Symbol" w:cs="Segoe UI Symbol"/>
                <w:sz w:val="18"/>
              </w:rPr>
              <w:t>u</w:t>
            </w:r>
            <w:r w:rsidR="001C3C42">
              <w:rPr>
                <w:sz w:val="18"/>
              </w:rPr>
              <w:t>g/L</w:t>
            </w:r>
          </w:p>
        </w:tc>
        <w:tc>
          <w:tcPr>
            <w:tcW w:w="816" w:type="dxa"/>
            <w:tcBorders>
              <w:top w:val="single" w:sz="4" w:space="0" w:color="000000"/>
              <w:left w:val="single" w:sz="12" w:space="0" w:color="000000"/>
              <w:bottom w:val="single" w:sz="4" w:space="0" w:color="000000"/>
              <w:right w:val="single" w:sz="12" w:space="0" w:color="000000"/>
            </w:tcBorders>
            <w:vAlign w:val="center"/>
          </w:tcPr>
          <w:p w14:paraId="6206F112" w14:textId="2C01C853" w:rsidR="00B56D50" w:rsidRDefault="001C3C42" w:rsidP="000F20D6">
            <w:pPr>
              <w:spacing w:after="0" w:line="259" w:lineRule="auto"/>
              <w:ind w:left="0" w:right="0" w:firstLine="0"/>
              <w:jc w:val="center"/>
            </w:pPr>
            <w:r>
              <w:rPr>
                <w:sz w:val="18"/>
              </w:rPr>
              <w:t>1</w:t>
            </w:r>
          </w:p>
        </w:tc>
        <w:tc>
          <w:tcPr>
            <w:tcW w:w="819" w:type="dxa"/>
            <w:tcBorders>
              <w:top w:val="single" w:sz="4" w:space="0" w:color="000000"/>
              <w:left w:val="single" w:sz="12" w:space="0" w:color="000000"/>
              <w:bottom w:val="single" w:sz="4" w:space="0" w:color="000000"/>
              <w:right w:val="single" w:sz="12" w:space="0" w:color="000000"/>
            </w:tcBorders>
            <w:vAlign w:val="center"/>
          </w:tcPr>
          <w:p w14:paraId="3F5B3840" w14:textId="54F19E32" w:rsidR="00B56D50" w:rsidRDefault="001C3C42" w:rsidP="000F20D6">
            <w:pPr>
              <w:spacing w:after="0" w:line="259" w:lineRule="auto"/>
              <w:ind w:left="4" w:right="0" w:firstLine="0"/>
              <w:jc w:val="center"/>
            </w:pPr>
            <w:r>
              <w:rPr>
                <w:sz w:val="18"/>
              </w:rPr>
              <w:t>mg/kg</w:t>
            </w:r>
          </w:p>
        </w:tc>
        <w:tc>
          <w:tcPr>
            <w:tcW w:w="907" w:type="dxa"/>
            <w:tcBorders>
              <w:top w:val="single" w:sz="4" w:space="0" w:color="000000"/>
              <w:left w:val="single" w:sz="12" w:space="0" w:color="000000"/>
              <w:bottom w:val="single" w:sz="4" w:space="0" w:color="000000"/>
              <w:right w:val="single" w:sz="12" w:space="0" w:color="000000"/>
            </w:tcBorders>
            <w:vAlign w:val="center"/>
          </w:tcPr>
          <w:p w14:paraId="2989BAA1" w14:textId="544ECCC4" w:rsidR="00B56D50" w:rsidRDefault="001C3C42" w:rsidP="000F20D6">
            <w:pPr>
              <w:spacing w:after="0" w:line="259" w:lineRule="auto"/>
              <w:ind w:left="0" w:right="0" w:firstLine="0"/>
              <w:jc w:val="center"/>
            </w:pPr>
            <w:r>
              <w:rPr>
                <w:sz w:val="18"/>
              </w:rPr>
              <w:t>6010</w:t>
            </w:r>
            <w:r>
              <w:rPr>
                <w:b/>
                <w:sz w:val="18"/>
                <w:vertAlign w:val="superscript"/>
              </w:rPr>
              <w:t>1</w:t>
            </w:r>
          </w:p>
        </w:tc>
        <w:tc>
          <w:tcPr>
            <w:tcW w:w="907" w:type="dxa"/>
            <w:tcBorders>
              <w:top w:val="single" w:sz="4" w:space="0" w:color="000000"/>
              <w:left w:val="single" w:sz="12" w:space="0" w:color="000000"/>
              <w:bottom w:val="single" w:sz="4" w:space="0" w:color="000000"/>
              <w:right w:val="single" w:sz="12" w:space="0" w:color="000000"/>
            </w:tcBorders>
            <w:vAlign w:val="center"/>
          </w:tcPr>
          <w:p w14:paraId="23C981FD" w14:textId="6E125B8F" w:rsidR="00B56D50" w:rsidRDefault="001C3C42" w:rsidP="000F20D6">
            <w:pPr>
              <w:spacing w:after="0" w:line="259" w:lineRule="auto"/>
              <w:ind w:left="0" w:right="0" w:firstLine="0"/>
              <w:jc w:val="center"/>
            </w:pPr>
            <w:r>
              <w:rPr>
                <w:sz w:val="18"/>
              </w:rPr>
              <w:t>6020</w:t>
            </w:r>
          </w:p>
        </w:tc>
        <w:tc>
          <w:tcPr>
            <w:tcW w:w="770" w:type="dxa"/>
            <w:tcBorders>
              <w:top w:val="single" w:sz="4" w:space="0" w:color="000000"/>
              <w:left w:val="single" w:sz="12" w:space="0" w:color="000000"/>
              <w:bottom w:val="single" w:sz="4" w:space="0" w:color="000000"/>
              <w:right w:val="single" w:sz="12" w:space="0" w:color="000000"/>
            </w:tcBorders>
            <w:vAlign w:val="center"/>
          </w:tcPr>
          <w:p w14:paraId="048C960A" w14:textId="514F6D6A" w:rsidR="00B56D50" w:rsidRDefault="001C3C42" w:rsidP="000F20D6">
            <w:pPr>
              <w:spacing w:after="0" w:line="259" w:lineRule="auto"/>
              <w:ind w:left="1" w:right="0" w:firstLine="0"/>
              <w:jc w:val="center"/>
            </w:pPr>
            <w:r>
              <w:rPr>
                <w:sz w:val="18"/>
              </w:rPr>
              <w:t>7010</w:t>
            </w:r>
            <w:r w:rsidR="00BC1098">
              <w:rPr>
                <w:sz w:val="18"/>
              </w:rPr>
              <w:t xml:space="preserve"> </w:t>
            </w:r>
            <w:r w:rsidRPr="00FA00A3">
              <w:rPr>
                <w:b/>
                <w:bCs/>
                <w:sz w:val="18"/>
                <w:vertAlign w:val="superscript"/>
              </w:rPr>
              <w:t>2</w:t>
            </w:r>
          </w:p>
        </w:tc>
        <w:tc>
          <w:tcPr>
            <w:tcW w:w="772" w:type="dxa"/>
            <w:tcBorders>
              <w:top w:val="single" w:sz="4" w:space="0" w:color="000000"/>
              <w:left w:val="single" w:sz="12" w:space="0" w:color="000000"/>
              <w:bottom w:val="single" w:sz="4" w:space="0" w:color="000000"/>
              <w:right w:val="single" w:sz="12" w:space="0" w:color="000000"/>
            </w:tcBorders>
            <w:vAlign w:val="center"/>
          </w:tcPr>
          <w:p w14:paraId="2064A9EB" w14:textId="6F256E12" w:rsidR="00B56D50" w:rsidRDefault="00B56D50" w:rsidP="000F20D6">
            <w:pPr>
              <w:spacing w:after="0" w:line="259" w:lineRule="auto"/>
              <w:ind w:left="2" w:right="0" w:firstLine="0"/>
              <w:jc w:val="center"/>
            </w:pPr>
          </w:p>
        </w:tc>
        <w:tc>
          <w:tcPr>
            <w:tcW w:w="697" w:type="dxa"/>
            <w:tcBorders>
              <w:top w:val="single" w:sz="4" w:space="0" w:color="000000"/>
              <w:left w:val="single" w:sz="12" w:space="0" w:color="000000"/>
              <w:bottom w:val="single" w:sz="4" w:space="0" w:color="000000"/>
              <w:right w:val="single" w:sz="12" w:space="0" w:color="000000"/>
            </w:tcBorders>
            <w:vAlign w:val="center"/>
          </w:tcPr>
          <w:p w14:paraId="50D75D42" w14:textId="09FC9E54" w:rsidR="00B56D50" w:rsidRDefault="00B56D50" w:rsidP="000F20D6">
            <w:pPr>
              <w:spacing w:after="0" w:line="259" w:lineRule="auto"/>
              <w:ind w:left="2" w:right="0" w:firstLine="0"/>
              <w:jc w:val="center"/>
            </w:pPr>
          </w:p>
        </w:tc>
      </w:tr>
      <w:tr w:rsidR="00B56D50" w14:paraId="29331871" w14:textId="77777777" w:rsidTr="00725264">
        <w:trPr>
          <w:trHeight w:val="281"/>
        </w:trPr>
        <w:tc>
          <w:tcPr>
            <w:tcW w:w="2209" w:type="dxa"/>
            <w:tcBorders>
              <w:top w:val="single" w:sz="4" w:space="0" w:color="000000"/>
              <w:left w:val="single" w:sz="12" w:space="0" w:color="000000"/>
              <w:bottom w:val="single" w:sz="2" w:space="0" w:color="000000"/>
              <w:right w:val="single" w:sz="12" w:space="0" w:color="000000"/>
            </w:tcBorders>
            <w:vAlign w:val="center"/>
          </w:tcPr>
          <w:p w14:paraId="2FF87DAF" w14:textId="77777777" w:rsidR="00B56D50" w:rsidRDefault="001C3C42" w:rsidP="000F20D6">
            <w:pPr>
              <w:spacing w:after="0" w:line="259" w:lineRule="auto"/>
              <w:ind w:left="2" w:right="0" w:firstLine="0"/>
            </w:pPr>
            <w:r>
              <w:rPr>
                <w:sz w:val="18"/>
              </w:rPr>
              <w:t xml:space="preserve">Vanadium </w:t>
            </w:r>
          </w:p>
        </w:tc>
        <w:tc>
          <w:tcPr>
            <w:tcW w:w="1179" w:type="dxa"/>
            <w:tcBorders>
              <w:top w:val="single" w:sz="4" w:space="0" w:color="000000"/>
              <w:left w:val="single" w:sz="12" w:space="0" w:color="000000"/>
              <w:bottom w:val="single" w:sz="2" w:space="0" w:color="000000"/>
              <w:right w:val="single" w:sz="12" w:space="0" w:color="000000"/>
            </w:tcBorders>
            <w:vAlign w:val="center"/>
          </w:tcPr>
          <w:p w14:paraId="6AFA6722" w14:textId="3B52C4AC" w:rsidR="00B56D50" w:rsidRDefault="001C3C42" w:rsidP="000F20D6">
            <w:pPr>
              <w:spacing w:after="0" w:line="259" w:lineRule="auto"/>
              <w:ind w:left="0" w:right="0" w:firstLine="0"/>
              <w:jc w:val="center"/>
            </w:pPr>
            <w:r>
              <w:rPr>
                <w:sz w:val="18"/>
              </w:rPr>
              <w:t>7440-62-2</w:t>
            </w:r>
          </w:p>
        </w:tc>
        <w:tc>
          <w:tcPr>
            <w:tcW w:w="818" w:type="dxa"/>
            <w:tcBorders>
              <w:top w:val="single" w:sz="4" w:space="0" w:color="000000"/>
              <w:left w:val="single" w:sz="12" w:space="0" w:color="000000"/>
              <w:bottom w:val="single" w:sz="2" w:space="0" w:color="000000"/>
              <w:right w:val="single" w:sz="12" w:space="0" w:color="000000"/>
            </w:tcBorders>
            <w:vAlign w:val="center"/>
          </w:tcPr>
          <w:p w14:paraId="235364E9" w14:textId="6D412B1E" w:rsidR="00B56D50" w:rsidRDefault="001C3C42" w:rsidP="000F20D6">
            <w:pPr>
              <w:spacing w:after="0" w:line="259" w:lineRule="auto"/>
              <w:ind w:left="2" w:right="0" w:firstLine="0"/>
              <w:jc w:val="center"/>
            </w:pPr>
            <w:r>
              <w:rPr>
                <w:sz w:val="18"/>
              </w:rPr>
              <w:t>10</w:t>
            </w:r>
          </w:p>
        </w:tc>
        <w:tc>
          <w:tcPr>
            <w:tcW w:w="726" w:type="dxa"/>
            <w:tcBorders>
              <w:top w:val="single" w:sz="4" w:space="0" w:color="000000"/>
              <w:left w:val="single" w:sz="12" w:space="0" w:color="000000"/>
              <w:bottom w:val="single" w:sz="2" w:space="0" w:color="000000"/>
              <w:right w:val="single" w:sz="12" w:space="0" w:color="000000"/>
            </w:tcBorders>
            <w:vAlign w:val="center"/>
          </w:tcPr>
          <w:p w14:paraId="5153054D" w14:textId="1E1B6B21" w:rsidR="00B56D50" w:rsidRDefault="00C43C6A" w:rsidP="000F20D6">
            <w:pPr>
              <w:spacing w:after="0" w:line="259" w:lineRule="auto"/>
              <w:ind w:left="0" w:right="0" w:firstLine="0"/>
              <w:jc w:val="center"/>
            </w:pPr>
            <w:r>
              <w:rPr>
                <w:rFonts w:ascii="Segoe UI Symbol" w:eastAsia="Segoe UI Symbol" w:hAnsi="Segoe UI Symbol" w:cs="Segoe UI Symbol"/>
                <w:sz w:val="18"/>
              </w:rPr>
              <w:t>u</w:t>
            </w:r>
            <w:r w:rsidR="001C3C42">
              <w:rPr>
                <w:sz w:val="18"/>
              </w:rPr>
              <w:t>g/L</w:t>
            </w:r>
          </w:p>
        </w:tc>
        <w:tc>
          <w:tcPr>
            <w:tcW w:w="816" w:type="dxa"/>
            <w:tcBorders>
              <w:top w:val="single" w:sz="4" w:space="0" w:color="000000"/>
              <w:left w:val="single" w:sz="12" w:space="0" w:color="000000"/>
              <w:bottom w:val="single" w:sz="2" w:space="0" w:color="000000"/>
              <w:right w:val="single" w:sz="12" w:space="0" w:color="000000"/>
            </w:tcBorders>
            <w:vAlign w:val="center"/>
          </w:tcPr>
          <w:p w14:paraId="78FF3FD3" w14:textId="5B6EF403" w:rsidR="00B56D50" w:rsidRDefault="001C3C42" w:rsidP="000F20D6">
            <w:pPr>
              <w:spacing w:after="0" w:line="259" w:lineRule="auto"/>
              <w:ind w:left="0" w:right="0" w:firstLine="0"/>
              <w:jc w:val="center"/>
            </w:pPr>
            <w:r>
              <w:rPr>
                <w:sz w:val="18"/>
              </w:rPr>
              <w:t>5</w:t>
            </w:r>
          </w:p>
        </w:tc>
        <w:tc>
          <w:tcPr>
            <w:tcW w:w="819" w:type="dxa"/>
            <w:tcBorders>
              <w:top w:val="single" w:sz="4" w:space="0" w:color="000000"/>
              <w:left w:val="single" w:sz="12" w:space="0" w:color="000000"/>
              <w:bottom w:val="single" w:sz="2" w:space="0" w:color="000000"/>
              <w:right w:val="single" w:sz="12" w:space="0" w:color="000000"/>
            </w:tcBorders>
            <w:vAlign w:val="center"/>
          </w:tcPr>
          <w:p w14:paraId="73406E38" w14:textId="1CE9939A" w:rsidR="00B56D50" w:rsidRDefault="001C3C42" w:rsidP="000F20D6">
            <w:pPr>
              <w:spacing w:after="0" w:line="259" w:lineRule="auto"/>
              <w:ind w:left="4" w:right="0" w:firstLine="0"/>
              <w:jc w:val="center"/>
            </w:pPr>
            <w:r>
              <w:rPr>
                <w:sz w:val="18"/>
              </w:rPr>
              <w:t>mg/kg</w:t>
            </w:r>
          </w:p>
        </w:tc>
        <w:tc>
          <w:tcPr>
            <w:tcW w:w="907" w:type="dxa"/>
            <w:tcBorders>
              <w:top w:val="single" w:sz="4" w:space="0" w:color="000000"/>
              <w:left w:val="single" w:sz="12" w:space="0" w:color="000000"/>
              <w:bottom w:val="single" w:sz="2" w:space="0" w:color="000000"/>
              <w:right w:val="single" w:sz="12" w:space="0" w:color="000000"/>
            </w:tcBorders>
            <w:vAlign w:val="center"/>
          </w:tcPr>
          <w:p w14:paraId="09D16231" w14:textId="47D040C7" w:rsidR="00B56D50" w:rsidRDefault="001C3C42" w:rsidP="000F20D6">
            <w:pPr>
              <w:spacing w:after="0" w:line="259" w:lineRule="auto"/>
              <w:ind w:left="0" w:right="0" w:firstLine="0"/>
              <w:jc w:val="center"/>
            </w:pPr>
            <w:r>
              <w:rPr>
                <w:sz w:val="18"/>
              </w:rPr>
              <w:t>6010</w:t>
            </w:r>
          </w:p>
        </w:tc>
        <w:tc>
          <w:tcPr>
            <w:tcW w:w="907" w:type="dxa"/>
            <w:tcBorders>
              <w:top w:val="single" w:sz="4" w:space="0" w:color="000000"/>
              <w:left w:val="single" w:sz="12" w:space="0" w:color="000000"/>
              <w:bottom w:val="single" w:sz="2" w:space="0" w:color="000000"/>
              <w:right w:val="single" w:sz="12" w:space="0" w:color="000000"/>
            </w:tcBorders>
            <w:vAlign w:val="center"/>
          </w:tcPr>
          <w:p w14:paraId="40B0B16A" w14:textId="1B51F739" w:rsidR="00B56D50" w:rsidRDefault="001C3C42" w:rsidP="000F20D6">
            <w:pPr>
              <w:spacing w:after="0" w:line="259" w:lineRule="auto"/>
              <w:ind w:left="0" w:right="0" w:firstLine="0"/>
              <w:jc w:val="center"/>
            </w:pPr>
            <w:r>
              <w:rPr>
                <w:sz w:val="18"/>
              </w:rPr>
              <w:t>6020</w:t>
            </w:r>
          </w:p>
        </w:tc>
        <w:tc>
          <w:tcPr>
            <w:tcW w:w="770" w:type="dxa"/>
            <w:tcBorders>
              <w:top w:val="single" w:sz="4" w:space="0" w:color="000000"/>
              <w:left w:val="single" w:sz="12" w:space="0" w:color="000000"/>
              <w:bottom w:val="single" w:sz="2" w:space="0" w:color="000000"/>
              <w:right w:val="single" w:sz="12" w:space="0" w:color="000000"/>
            </w:tcBorders>
            <w:vAlign w:val="center"/>
          </w:tcPr>
          <w:p w14:paraId="55931183" w14:textId="328612E2" w:rsidR="00B56D50" w:rsidRDefault="001C3C42" w:rsidP="000F20D6">
            <w:pPr>
              <w:spacing w:after="0" w:line="259" w:lineRule="auto"/>
              <w:ind w:left="1" w:right="0" w:firstLine="0"/>
              <w:jc w:val="center"/>
            </w:pPr>
            <w:r>
              <w:rPr>
                <w:sz w:val="18"/>
              </w:rPr>
              <w:t>7010</w:t>
            </w:r>
            <w:r w:rsidR="00BC1098">
              <w:rPr>
                <w:sz w:val="18"/>
              </w:rPr>
              <w:t xml:space="preserve"> </w:t>
            </w:r>
            <w:r w:rsidRPr="00965FDE">
              <w:rPr>
                <w:b/>
                <w:bCs/>
                <w:sz w:val="18"/>
                <w:vertAlign w:val="superscript"/>
              </w:rPr>
              <w:t>2</w:t>
            </w:r>
          </w:p>
        </w:tc>
        <w:tc>
          <w:tcPr>
            <w:tcW w:w="772" w:type="dxa"/>
            <w:tcBorders>
              <w:top w:val="single" w:sz="4" w:space="0" w:color="000000"/>
              <w:left w:val="single" w:sz="12" w:space="0" w:color="000000"/>
              <w:bottom w:val="single" w:sz="2" w:space="0" w:color="000000"/>
              <w:right w:val="single" w:sz="12" w:space="0" w:color="000000"/>
            </w:tcBorders>
            <w:vAlign w:val="center"/>
          </w:tcPr>
          <w:p w14:paraId="0613BEE9" w14:textId="5C8F4563" w:rsidR="00B56D50" w:rsidRDefault="00B56D50" w:rsidP="000F20D6">
            <w:pPr>
              <w:spacing w:after="0" w:line="259" w:lineRule="auto"/>
              <w:ind w:left="2" w:right="0" w:firstLine="0"/>
              <w:jc w:val="center"/>
            </w:pPr>
          </w:p>
        </w:tc>
        <w:tc>
          <w:tcPr>
            <w:tcW w:w="697" w:type="dxa"/>
            <w:tcBorders>
              <w:top w:val="single" w:sz="4" w:space="0" w:color="000000"/>
              <w:left w:val="single" w:sz="12" w:space="0" w:color="000000"/>
              <w:bottom w:val="single" w:sz="2" w:space="0" w:color="000000"/>
              <w:right w:val="single" w:sz="12" w:space="0" w:color="000000"/>
            </w:tcBorders>
            <w:vAlign w:val="center"/>
          </w:tcPr>
          <w:p w14:paraId="3E8FAED6" w14:textId="7F65C645" w:rsidR="00B56D50" w:rsidRDefault="00B56D50" w:rsidP="000F20D6">
            <w:pPr>
              <w:spacing w:after="0" w:line="259" w:lineRule="auto"/>
              <w:ind w:left="2" w:right="0" w:firstLine="0"/>
              <w:jc w:val="center"/>
            </w:pPr>
          </w:p>
        </w:tc>
      </w:tr>
      <w:tr w:rsidR="00B56D50" w14:paraId="3619B4B5" w14:textId="77777777" w:rsidTr="00725264">
        <w:trPr>
          <w:trHeight w:val="281"/>
        </w:trPr>
        <w:tc>
          <w:tcPr>
            <w:tcW w:w="2209" w:type="dxa"/>
            <w:tcBorders>
              <w:top w:val="single" w:sz="2" w:space="0" w:color="000000"/>
              <w:left w:val="single" w:sz="12" w:space="0" w:color="000000"/>
              <w:bottom w:val="single" w:sz="12" w:space="0" w:color="000000"/>
              <w:right w:val="single" w:sz="12" w:space="0" w:color="000000"/>
            </w:tcBorders>
            <w:vAlign w:val="center"/>
          </w:tcPr>
          <w:p w14:paraId="283D7295" w14:textId="77777777" w:rsidR="00B56D50" w:rsidRDefault="001C3C42" w:rsidP="000F20D6">
            <w:pPr>
              <w:spacing w:after="0" w:line="259" w:lineRule="auto"/>
              <w:ind w:left="2" w:right="0" w:firstLine="0"/>
            </w:pPr>
            <w:r>
              <w:rPr>
                <w:sz w:val="18"/>
              </w:rPr>
              <w:t xml:space="preserve">Zinc </w:t>
            </w:r>
          </w:p>
        </w:tc>
        <w:tc>
          <w:tcPr>
            <w:tcW w:w="1179" w:type="dxa"/>
            <w:tcBorders>
              <w:top w:val="single" w:sz="2" w:space="0" w:color="000000"/>
              <w:left w:val="single" w:sz="12" w:space="0" w:color="000000"/>
              <w:bottom w:val="single" w:sz="12" w:space="0" w:color="000000"/>
              <w:right w:val="single" w:sz="12" w:space="0" w:color="000000"/>
            </w:tcBorders>
            <w:vAlign w:val="center"/>
          </w:tcPr>
          <w:p w14:paraId="58617533" w14:textId="7E744710" w:rsidR="00B56D50" w:rsidRDefault="001C3C42" w:rsidP="000F20D6">
            <w:pPr>
              <w:spacing w:after="0" w:line="259" w:lineRule="auto"/>
              <w:ind w:left="0" w:right="0" w:firstLine="0"/>
              <w:jc w:val="center"/>
            </w:pPr>
            <w:r>
              <w:rPr>
                <w:sz w:val="18"/>
              </w:rPr>
              <w:t>7440-66-6</w:t>
            </w:r>
          </w:p>
        </w:tc>
        <w:tc>
          <w:tcPr>
            <w:tcW w:w="818" w:type="dxa"/>
            <w:tcBorders>
              <w:top w:val="single" w:sz="2" w:space="0" w:color="000000"/>
              <w:left w:val="single" w:sz="12" w:space="0" w:color="000000"/>
              <w:bottom w:val="single" w:sz="12" w:space="0" w:color="000000"/>
              <w:right w:val="single" w:sz="12" w:space="0" w:color="000000"/>
            </w:tcBorders>
            <w:vAlign w:val="center"/>
          </w:tcPr>
          <w:p w14:paraId="2DDA12C6" w14:textId="78200239" w:rsidR="00B56D50" w:rsidRDefault="001C3C42" w:rsidP="000F20D6">
            <w:pPr>
              <w:spacing w:after="0" w:line="259" w:lineRule="auto"/>
              <w:ind w:left="2" w:right="0" w:firstLine="0"/>
              <w:jc w:val="center"/>
            </w:pPr>
            <w:r>
              <w:rPr>
                <w:sz w:val="18"/>
              </w:rPr>
              <w:t>20</w:t>
            </w:r>
          </w:p>
        </w:tc>
        <w:tc>
          <w:tcPr>
            <w:tcW w:w="726" w:type="dxa"/>
            <w:tcBorders>
              <w:top w:val="single" w:sz="2" w:space="0" w:color="000000"/>
              <w:left w:val="single" w:sz="12" w:space="0" w:color="000000"/>
              <w:bottom w:val="single" w:sz="12" w:space="0" w:color="000000"/>
              <w:right w:val="single" w:sz="12" w:space="0" w:color="000000"/>
            </w:tcBorders>
            <w:vAlign w:val="center"/>
          </w:tcPr>
          <w:p w14:paraId="220F0954" w14:textId="545AAE5F" w:rsidR="00B56D50" w:rsidRDefault="00C43C6A" w:rsidP="000F20D6">
            <w:pPr>
              <w:spacing w:after="0" w:line="259" w:lineRule="auto"/>
              <w:ind w:left="0" w:right="0" w:firstLine="0"/>
              <w:jc w:val="center"/>
            </w:pPr>
            <w:r>
              <w:rPr>
                <w:rFonts w:ascii="Segoe UI Symbol" w:eastAsia="Segoe UI Symbol" w:hAnsi="Segoe UI Symbol" w:cs="Segoe UI Symbol"/>
                <w:sz w:val="18"/>
              </w:rPr>
              <w:t>u</w:t>
            </w:r>
            <w:r w:rsidR="001C3C42">
              <w:rPr>
                <w:sz w:val="18"/>
              </w:rPr>
              <w:t>g/L</w:t>
            </w:r>
          </w:p>
        </w:tc>
        <w:tc>
          <w:tcPr>
            <w:tcW w:w="816" w:type="dxa"/>
            <w:tcBorders>
              <w:top w:val="single" w:sz="2" w:space="0" w:color="000000"/>
              <w:left w:val="single" w:sz="12" w:space="0" w:color="000000"/>
              <w:bottom w:val="single" w:sz="12" w:space="0" w:color="000000"/>
              <w:right w:val="single" w:sz="12" w:space="0" w:color="000000"/>
            </w:tcBorders>
            <w:vAlign w:val="center"/>
          </w:tcPr>
          <w:p w14:paraId="35E5955C" w14:textId="4A940B74" w:rsidR="00B56D50" w:rsidRDefault="001C3C42" w:rsidP="000F20D6">
            <w:pPr>
              <w:spacing w:after="0" w:line="259" w:lineRule="auto"/>
              <w:ind w:left="0" w:right="0" w:firstLine="0"/>
              <w:jc w:val="center"/>
            </w:pPr>
            <w:r>
              <w:rPr>
                <w:sz w:val="18"/>
              </w:rPr>
              <w:t>2</w:t>
            </w:r>
          </w:p>
        </w:tc>
        <w:tc>
          <w:tcPr>
            <w:tcW w:w="819" w:type="dxa"/>
            <w:tcBorders>
              <w:top w:val="single" w:sz="2" w:space="0" w:color="000000"/>
              <w:left w:val="single" w:sz="12" w:space="0" w:color="000000"/>
              <w:bottom w:val="single" w:sz="12" w:space="0" w:color="000000"/>
              <w:right w:val="single" w:sz="12" w:space="0" w:color="000000"/>
            </w:tcBorders>
            <w:vAlign w:val="center"/>
          </w:tcPr>
          <w:p w14:paraId="439FCCF4" w14:textId="35E04C94" w:rsidR="00B56D50" w:rsidRDefault="001C3C42" w:rsidP="000F20D6">
            <w:pPr>
              <w:spacing w:after="0" w:line="259" w:lineRule="auto"/>
              <w:ind w:left="4" w:right="0" w:firstLine="0"/>
              <w:jc w:val="center"/>
            </w:pPr>
            <w:r>
              <w:rPr>
                <w:sz w:val="18"/>
              </w:rPr>
              <w:t>mg/kg</w:t>
            </w:r>
          </w:p>
        </w:tc>
        <w:tc>
          <w:tcPr>
            <w:tcW w:w="907" w:type="dxa"/>
            <w:tcBorders>
              <w:top w:val="single" w:sz="2" w:space="0" w:color="000000"/>
              <w:left w:val="single" w:sz="12" w:space="0" w:color="000000"/>
              <w:bottom w:val="single" w:sz="12" w:space="0" w:color="000000"/>
              <w:right w:val="single" w:sz="12" w:space="0" w:color="000000"/>
            </w:tcBorders>
            <w:vAlign w:val="center"/>
          </w:tcPr>
          <w:p w14:paraId="64868102" w14:textId="78E689FA" w:rsidR="00B56D50" w:rsidRDefault="001C3C42" w:rsidP="000F20D6">
            <w:pPr>
              <w:spacing w:after="0" w:line="259" w:lineRule="auto"/>
              <w:ind w:left="0" w:right="0" w:firstLine="0"/>
              <w:jc w:val="center"/>
            </w:pPr>
            <w:r>
              <w:rPr>
                <w:sz w:val="18"/>
              </w:rPr>
              <w:t>6010</w:t>
            </w:r>
          </w:p>
        </w:tc>
        <w:tc>
          <w:tcPr>
            <w:tcW w:w="907" w:type="dxa"/>
            <w:tcBorders>
              <w:top w:val="single" w:sz="2" w:space="0" w:color="000000"/>
              <w:left w:val="single" w:sz="12" w:space="0" w:color="000000"/>
              <w:bottom w:val="single" w:sz="12" w:space="0" w:color="000000"/>
              <w:right w:val="single" w:sz="12" w:space="0" w:color="000000"/>
            </w:tcBorders>
            <w:vAlign w:val="center"/>
          </w:tcPr>
          <w:p w14:paraId="171017CD" w14:textId="3F482F36" w:rsidR="00B56D50" w:rsidRDefault="001C3C42" w:rsidP="000F20D6">
            <w:pPr>
              <w:spacing w:after="0" w:line="259" w:lineRule="auto"/>
              <w:ind w:left="0" w:right="0" w:firstLine="0"/>
              <w:jc w:val="center"/>
            </w:pPr>
            <w:r>
              <w:rPr>
                <w:sz w:val="18"/>
              </w:rPr>
              <w:t>6020</w:t>
            </w:r>
          </w:p>
        </w:tc>
        <w:tc>
          <w:tcPr>
            <w:tcW w:w="770" w:type="dxa"/>
            <w:tcBorders>
              <w:top w:val="single" w:sz="2" w:space="0" w:color="000000"/>
              <w:left w:val="single" w:sz="12" w:space="0" w:color="000000"/>
              <w:bottom w:val="single" w:sz="12" w:space="0" w:color="000000"/>
              <w:right w:val="single" w:sz="12" w:space="0" w:color="000000"/>
            </w:tcBorders>
            <w:vAlign w:val="center"/>
          </w:tcPr>
          <w:p w14:paraId="5F6DC06E" w14:textId="4F47F9F7" w:rsidR="00B56D50" w:rsidRDefault="001C3C42" w:rsidP="000F20D6">
            <w:pPr>
              <w:spacing w:after="0" w:line="259" w:lineRule="auto"/>
              <w:ind w:left="1" w:right="0" w:firstLine="0"/>
              <w:jc w:val="center"/>
            </w:pPr>
            <w:r>
              <w:rPr>
                <w:sz w:val="18"/>
              </w:rPr>
              <w:t>7010</w:t>
            </w:r>
            <w:r w:rsidR="00BC1098">
              <w:rPr>
                <w:sz w:val="18"/>
              </w:rPr>
              <w:t xml:space="preserve"> </w:t>
            </w:r>
            <w:r w:rsidRPr="004243BE">
              <w:rPr>
                <w:b/>
                <w:bCs/>
                <w:sz w:val="18"/>
                <w:vertAlign w:val="superscript"/>
              </w:rPr>
              <w:t>2</w:t>
            </w:r>
          </w:p>
        </w:tc>
        <w:tc>
          <w:tcPr>
            <w:tcW w:w="772" w:type="dxa"/>
            <w:tcBorders>
              <w:top w:val="single" w:sz="2" w:space="0" w:color="000000"/>
              <w:left w:val="single" w:sz="12" w:space="0" w:color="000000"/>
              <w:bottom w:val="single" w:sz="12" w:space="0" w:color="000000"/>
              <w:right w:val="single" w:sz="12" w:space="0" w:color="000000"/>
            </w:tcBorders>
            <w:vAlign w:val="center"/>
          </w:tcPr>
          <w:p w14:paraId="107C1534" w14:textId="174D6049" w:rsidR="00B56D50" w:rsidRDefault="00B56D50" w:rsidP="000F20D6">
            <w:pPr>
              <w:spacing w:after="0" w:line="259" w:lineRule="auto"/>
              <w:ind w:left="2" w:right="0" w:firstLine="0"/>
              <w:jc w:val="center"/>
            </w:pPr>
          </w:p>
        </w:tc>
        <w:tc>
          <w:tcPr>
            <w:tcW w:w="697" w:type="dxa"/>
            <w:tcBorders>
              <w:top w:val="single" w:sz="2" w:space="0" w:color="000000"/>
              <w:left w:val="single" w:sz="12" w:space="0" w:color="000000"/>
              <w:bottom w:val="single" w:sz="12" w:space="0" w:color="000000"/>
              <w:right w:val="single" w:sz="12" w:space="0" w:color="000000"/>
            </w:tcBorders>
            <w:vAlign w:val="center"/>
          </w:tcPr>
          <w:p w14:paraId="03462C2F" w14:textId="0E73850C" w:rsidR="00B56D50" w:rsidRDefault="00B56D50" w:rsidP="000F20D6">
            <w:pPr>
              <w:spacing w:after="0" w:line="259" w:lineRule="auto"/>
              <w:ind w:left="2" w:right="0" w:firstLine="0"/>
              <w:jc w:val="center"/>
            </w:pPr>
          </w:p>
        </w:tc>
      </w:tr>
    </w:tbl>
    <w:p w14:paraId="7EA03DE3" w14:textId="77777777" w:rsidR="00F31B9E" w:rsidRDefault="00F31B9E"/>
    <w:tbl>
      <w:tblPr>
        <w:tblStyle w:val="TableGrid1"/>
        <w:tblW w:w="10620" w:type="dxa"/>
        <w:tblInd w:w="-375" w:type="dxa"/>
        <w:tblCellMar>
          <w:top w:w="18" w:type="dxa"/>
          <w:left w:w="106" w:type="dxa"/>
          <w:right w:w="115" w:type="dxa"/>
        </w:tblCellMar>
        <w:tblLook w:val="04A0" w:firstRow="1" w:lastRow="0" w:firstColumn="1" w:lastColumn="0" w:noHBand="0" w:noVBand="1"/>
      </w:tblPr>
      <w:tblGrid>
        <w:gridCol w:w="2211"/>
        <w:gridCol w:w="1179"/>
        <w:gridCol w:w="817"/>
        <w:gridCol w:w="726"/>
        <w:gridCol w:w="815"/>
        <w:gridCol w:w="818"/>
        <w:gridCol w:w="907"/>
        <w:gridCol w:w="907"/>
        <w:gridCol w:w="770"/>
        <w:gridCol w:w="772"/>
        <w:gridCol w:w="698"/>
      </w:tblGrid>
      <w:tr w:rsidR="0047216A" w14:paraId="09F98A40" w14:textId="77777777" w:rsidTr="00725264">
        <w:trPr>
          <w:trHeight w:val="375"/>
        </w:trPr>
        <w:tc>
          <w:tcPr>
            <w:tcW w:w="10620" w:type="dxa"/>
            <w:gridSpan w:val="11"/>
            <w:tcBorders>
              <w:top w:val="single" w:sz="12" w:space="0" w:color="000000"/>
              <w:left w:val="single" w:sz="12" w:space="0" w:color="000000"/>
              <w:bottom w:val="single" w:sz="12" w:space="0" w:color="000000"/>
              <w:right w:val="single" w:sz="12" w:space="0" w:color="000000"/>
            </w:tcBorders>
            <w:vAlign w:val="center"/>
          </w:tcPr>
          <w:p w14:paraId="15B98A41" w14:textId="12560C9E" w:rsidR="0047216A" w:rsidRDefault="0047216A" w:rsidP="00E07CC6">
            <w:pPr>
              <w:spacing w:after="0" w:line="259" w:lineRule="auto"/>
              <w:ind w:left="0" w:right="0" w:firstLine="0"/>
            </w:pPr>
            <w:r>
              <w:rPr>
                <w:b/>
                <w:sz w:val="18"/>
              </w:rPr>
              <w:t xml:space="preserve">TOTAL METALS – </w:t>
            </w:r>
            <w:r w:rsidRPr="00EB3E70">
              <w:rPr>
                <w:b/>
                <w:sz w:val="18"/>
              </w:rPr>
              <w:t>Group C:</w:t>
            </w:r>
            <w:r w:rsidRPr="00D038F1">
              <w:rPr>
                <w:b/>
                <w:sz w:val="18"/>
              </w:rPr>
              <w:t xml:space="preserve">  Indicator and Water Quality Metals</w:t>
            </w:r>
          </w:p>
        </w:tc>
      </w:tr>
      <w:tr w:rsidR="00CF61C3" w14:paraId="7948C1E4" w14:textId="77777777" w:rsidTr="00725264">
        <w:trPr>
          <w:trHeight w:val="264"/>
        </w:trPr>
        <w:tc>
          <w:tcPr>
            <w:tcW w:w="2211" w:type="dxa"/>
            <w:vMerge w:val="restart"/>
            <w:tcBorders>
              <w:top w:val="single" w:sz="12" w:space="0" w:color="000000"/>
              <w:left w:val="single" w:sz="12" w:space="0" w:color="000000"/>
              <w:bottom w:val="single" w:sz="12" w:space="0" w:color="000000"/>
              <w:right w:val="single" w:sz="12" w:space="0" w:color="000000"/>
            </w:tcBorders>
            <w:vAlign w:val="center"/>
          </w:tcPr>
          <w:p w14:paraId="491535D5" w14:textId="569B2C32" w:rsidR="00CF61C3" w:rsidRDefault="00CF61C3" w:rsidP="008474BD">
            <w:pPr>
              <w:spacing w:after="0" w:line="259" w:lineRule="auto"/>
              <w:ind w:left="8" w:right="0" w:firstLine="0"/>
              <w:jc w:val="center"/>
            </w:pPr>
            <w:r>
              <w:rPr>
                <w:b/>
                <w:sz w:val="18"/>
              </w:rPr>
              <w:t>Analyte</w:t>
            </w:r>
          </w:p>
        </w:tc>
        <w:tc>
          <w:tcPr>
            <w:tcW w:w="1179" w:type="dxa"/>
            <w:vMerge w:val="restart"/>
            <w:tcBorders>
              <w:top w:val="single" w:sz="12" w:space="0" w:color="000000"/>
              <w:left w:val="single" w:sz="12" w:space="0" w:color="000000"/>
              <w:bottom w:val="single" w:sz="12" w:space="0" w:color="000000"/>
              <w:right w:val="single" w:sz="12" w:space="0" w:color="000000"/>
            </w:tcBorders>
            <w:vAlign w:val="center"/>
          </w:tcPr>
          <w:p w14:paraId="4DBF1B1F" w14:textId="19FB6949" w:rsidR="00CF61C3" w:rsidRDefault="00CF61C3" w:rsidP="008474BD">
            <w:pPr>
              <w:spacing w:after="0" w:line="259" w:lineRule="auto"/>
              <w:ind w:left="0" w:right="0" w:firstLine="0"/>
              <w:jc w:val="center"/>
            </w:pPr>
            <w:r>
              <w:rPr>
                <w:b/>
                <w:sz w:val="18"/>
              </w:rPr>
              <w:t>CAS Number</w:t>
            </w:r>
          </w:p>
        </w:tc>
        <w:tc>
          <w:tcPr>
            <w:tcW w:w="1543" w:type="dxa"/>
            <w:gridSpan w:val="2"/>
            <w:tcBorders>
              <w:top w:val="single" w:sz="12" w:space="0" w:color="000000"/>
              <w:left w:val="single" w:sz="12" w:space="0" w:color="000000"/>
              <w:bottom w:val="single" w:sz="12" w:space="0" w:color="000000"/>
              <w:right w:val="single" w:sz="12" w:space="0" w:color="000000"/>
            </w:tcBorders>
            <w:vAlign w:val="center"/>
          </w:tcPr>
          <w:p w14:paraId="37805FEF" w14:textId="5D02D74E" w:rsidR="00CF61C3" w:rsidRDefault="00CF61C3" w:rsidP="008474BD">
            <w:pPr>
              <w:spacing w:after="0" w:line="259" w:lineRule="auto"/>
              <w:ind w:left="5" w:right="0" w:firstLine="0"/>
              <w:jc w:val="center"/>
            </w:pPr>
            <w:r>
              <w:rPr>
                <w:b/>
                <w:sz w:val="18"/>
              </w:rPr>
              <w:t>Aqueous</w:t>
            </w:r>
          </w:p>
        </w:tc>
        <w:tc>
          <w:tcPr>
            <w:tcW w:w="1633" w:type="dxa"/>
            <w:gridSpan w:val="2"/>
            <w:tcBorders>
              <w:top w:val="single" w:sz="12" w:space="0" w:color="000000"/>
              <w:left w:val="single" w:sz="12" w:space="0" w:color="000000"/>
              <w:bottom w:val="single" w:sz="12" w:space="0" w:color="000000"/>
              <w:right w:val="single" w:sz="12" w:space="0" w:color="000000"/>
            </w:tcBorders>
            <w:vAlign w:val="center"/>
          </w:tcPr>
          <w:p w14:paraId="52ED2E56" w14:textId="5E42E46B" w:rsidR="00CF61C3" w:rsidRDefault="006B693C" w:rsidP="008474BD">
            <w:pPr>
              <w:spacing w:after="0" w:line="259" w:lineRule="auto"/>
              <w:ind w:left="0" w:right="0" w:firstLine="0"/>
              <w:jc w:val="center"/>
            </w:pPr>
            <w:r>
              <w:rPr>
                <w:b/>
                <w:sz w:val="18"/>
              </w:rPr>
              <w:t>Soil/Sediment</w:t>
            </w:r>
          </w:p>
        </w:tc>
        <w:tc>
          <w:tcPr>
            <w:tcW w:w="4054" w:type="dxa"/>
            <w:gridSpan w:val="5"/>
            <w:vMerge w:val="restart"/>
            <w:tcBorders>
              <w:top w:val="single" w:sz="12" w:space="0" w:color="000000"/>
              <w:left w:val="single" w:sz="12" w:space="0" w:color="000000"/>
              <w:right w:val="single" w:sz="12" w:space="0" w:color="000000"/>
            </w:tcBorders>
            <w:vAlign w:val="center"/>
          </w:tcPr>
          <w:p w14:paraId="5113A25E" w14:textId="2332A135" w:rsidR="00CF61C3" w:rsidRDefault="00CF61C3" w:rsidP="00DE705E">
            <w:pPr>
              <w:spacing w:after="0" w:line="259" w:lineRule="auto"/>
              <w:ind w:left="324" w:right="0" w:firstLine="0"/>
              <w:jc w:val="center"/>
            </w:pPr>
            <w:r>
              <w:rPr>
                <w:b/>
                <w:sz w:val="18"/>
              </w:rPr>
              <w:t>Acceptable Methods</w:t>
            </w:r>
          </w:p>
        </w:tc>
      </w:tr>
      <w:tr w:rsidR="00C84A5D" w14:paraId="5EAEE72D" w14:textId="77777777" w:rsidTr="00725264">
        <w:trPr>
          <w:trHeight w:val="262"/>
        </w:trPr>
        <w:tc>
          <w:tcPr>
            <w:tcW w:w="2211" w:type="dxa"/>
            <w:vMerge/>
            <w:tcBorders>
              <w:top w:val="nil"/>
              <w:left w:val="single" w:sz="12" w:space="0" w:color="000000"/>
              <w:bottom w:val="single" w:sz="12" w:space="0" w:color="000000"/>
              <w:right w:val="single" w:sz="12" w:space="0" w:color="000000"/>
            </w:tcBorders>
            <w:vAlign w:val="center"/>
          </w:tcPr>
          <w:p w14:paraId="77434E8C" w14:textId="77777777" w:rsidR="00CF61C3" w:rsidRDefault="00CF61C3" w:rsidP="00F42DFD">
            <w:pPr>
              <w:spacing w:after="160" w:line="259" w:lineRule="auto"/>
              <w:ind w:left="0" w:right="0" w:firstLine="0"/>
              <w:jc w:val="center"/>
            </w:pPr>
          </w:p>
        </w:tc>
        <w:tc>
          <w:tcPr>
            <w:tcW w:w="0" w:type="auto"/>
            <w:vMerge/>
            <w:tcBorders>
              <w:top w:val="nil"/>
              <w:left w:val="single" w:sz="12" w:space="0" w:color="000000"/>
              <w:bottom w:val="single" w:sz="12" w:space="0" w:color="000000"/>
              <w:right w:val="single" w:sz="12" w:space="0" w:color="000000"/>
            </w:tcBorders>
            <w:vAlign w:val="center"/>
          </w:tcPr>
          <w:p w14:paraId="6C294179" w14:textId="77777777" w:rsidR="00CF61C3" w:rsidRDefault="00CF61C3" w:rsidP="00F42DFD">
            <w:pPr>
              <w:spacing w:after="160" w:line="259" w:lineRule="auto"/>
              <w:ind w:left="0" w:right="0" w:firstLine="0"/>
              <w:jc w:val="center"/>
            </w:pPr>
          </w:p>
        </w:tc>
        <w:tc>
          <w:tcPr>
            <w:tcW w:w="817" w:type="dxa"/>
            <w:tcBorders>
              <w:top w:val="single" w:sz="12" w:space="0" w:color="000000"/>
              <w:left w:val="single" w:sz="12" w:space="0" w:color="000000"/>
              <w:bottom w:val="single" w:sz="12" w:space="0" w:color="000000"/>
              <w:right w:val="single" w:sz="12" w:space="0" w:color="000000"/>
            </w:tcBorders>
            <w:vAlign w:val="center"/>
          </w:tcPr>
          <w:p w14:paraId="05C1BF77" w14:textId="685F374F" w:rsidR="00CF61C3" w:rsidRDefault="00CF61C3" w:rsidP="008474BD">
            <w:pPr>
              <w:spacing w:after="0" w:line="259" w:lineRule="auto"/>
              <w:ind w:left="5" w:right="0" w:firstLine="0"/>
              <w:jc w:val="center"/>
            </w:pPr>
            <w:r>
              <w:rPr>
                <w:b/>
                <w:sz w:val="18"/>
              </w:rPr>
              <w:t>RL</w:t>
            </w:r>
          </w:p>
        </w:tc>
        <w:tc>
          <w:tcPr>
            <w:tcW w:w="726" w:type="dxa"/>
            <w:tcBorders>
              <w:top w:val="single" w:sz="12" w:space="0" w:color="000000"/>
              <w:left w:val="single" w:sz="12" w:space="0" w:color="000000"/>
              <w:bottom w:val="single" w:sz="12" w:space="0" w:color="000000"/>
              <w:right w:val="single" w:sz="12" w:space="0" w:color="000000"/>
            </w:tcBorders>
            <w:vAlign w:val="center"/>
          </w:tcPr>
          <w:p w14:paraId="74DAD91F" w14:textId="27D9AF5D" w:rsidR="00CF61C3" w:rsidRDefault="00CF61C3" w:rsidP="008474BD">
            <w:pPr>
              <w:spacing w:after="0" w:line="259" w:lineRule="auto"/>
              <w:ind w:left="3" w:right="0" w:firstLine="0"/>
              <w:jc w:val="center"/>
            </w:pPr>
            <w:r>
              <w:rPr>
                <w:b/>
                <w:sz w:val="18"/>
              </w:rPr>
              <w:t>units</w:t>
            </w:r>
          </w:p>
        </w:tc>
        <w:tc>
          <w:tcPr>
            <w:tcW w:w="815" w:type="dxa"/>
            <w:tcBorders>
              <w:top w:val="single" w:sz="12" w:space="0" w:color="000000"/>
              <w:left w:val="single" w:sz="12" w:space="0" w:color="000000"/>
              <w:bottom w:val="single" w:sz="12" w:space="0" w:color="000000"/>
              <w:right w:val="single" w:sz="12" w:space="0" w:color="000000"/>
            </w:tcBorders>
            <w:vAlign w:val="center"/>
          </w:tcPr>
          <w:p w14:paraId="0AC87081" w14:textId="65293835" w:rsidR="00CF61C3" w:rsidRDefault="00CF61C3" w:rsidP="008474BD">
            <w:pPr>
              <w:spacing w:after="0" w:line="259" w:lineRule="auto"/>
              <w:ind w:left="2" w:right="0" w:firstLine="0"/>
              <w:jc w:val="center"/>
            </w:pPr>
            <w:r>
              <w:rPr>
                <w:b/>
                <w:sz w:val="18"/>
              </w:rPr>
              <w:t>RL</w:t>
            </w:r>
          </w:p>
        </w:tc>
        <w:tc>
          <w:tcPr>
            <w:tcW w:w="818" w:type="dxa"/>
            <w:tcBorders>
              <w:top w:val="single" w:sz="12" w:space="0" w:color="000000"/>
              <w:left w:val="single" w:sz="12" w:space="0" w:color="000000"/>
              <w:bottom w:val="single" w:sz="12" w:space="0" w:color="000000"/>
              <w:right w:val="single" w:sz="12" w:space="0" w:color="000000"/>
            </w:tcBorders>
            <w:vAlign w:val="center"/>
          </w:tcPr>
          <w:p w14:paraId="4690AA41" w14:textId="795E36A5" w:rsidR="00CF61C3" w:rsidRDefault="00CF61C3" w:rsidP="008474BD">
            <w:pPr>
              <w:spacing w:after="0" w:line="259" w:lineRule="auto"/>
              <w:ind w:left="3" w:right="0" w:firstLine="0"/>
              <w:jc w:val="center"/>
            </w:pPr>
            <w:r>
              <w:rPr>
                <w:b/>
                <w:sz w:val="18"/>
              </w:rPr>
              <w:t>units</w:t>
            </w:r>
          </w:p>
        </w:tc>
        <w:tc>
          <w:tcPr>
            <w:tcW w:w="4054" w:type="dxa"/>
            <w:gridSpan w:val="5"/>
            <w:vMerge/>
            <w:tcBorders>
              <w:left w:val="single" w:sz="12" w:space="0" w:color="000000"/>
              <w:bottom w:val="single" w:sz="12" w:space="0" w:color="000000"/>
              <w:right w:val="single" w:sz="12" w:space="0" w:color="000000"/>
            </w:tcBorders>
            <w:vAlign w:val="center"/>
          </w:tcPr>
          <w:p w14:paraId="55C0C0BD" w14:textId="77777777" w:rsidR="00CF61C3" w:rsidRDefault="00CF61C3" w:rsidP="00017AB4">
            <w:pPr>
              <w:spacing w:after="160" w:line="259" w:lineRule="auto"/>
              <w:ind w:left="0" w:right="0" w:firstLine="0"/>
              <w:jc w:val="center"/>
            </w:pPr>
          </w:p>
        </w:tc>
      </w:tr>
      <w:tr w:rsidR="00B56D50" w14:paraId="621F1131" w14:textId="77777777" w:rsidTr="00725264">
        <w:trPr>
          <w:trHeight w:val="302"/>
        </w:trPr>
        <w:tc>
          <w:tcPr>
            <w:tcW w:w="2211" w:type="dxa"/>
            <w:tcBorders>
              <w:top w:val="single" w:sz="12" w:space="0" w:color="000000"/>
              <w:left w:val="single" w:sz="12" w:space="0" w:color="000000"/>
              <w:bottom w:val="single" w:sz="4" w:space="0" w:color="000000"/>
              <w:right w:val="single" w:sz="12" w:space="0" w:color="000000"/>
            </w:tcBorders>
            <w:vAlign w:val="center"/>
          </w:tcPr>
          <w:p w14:paraId="76E7A55A" w14:textId="77777777" w:rsidR="00B56D50" w:rsidRDefault="001C3C42" w:rsidP="00250C0A">
            <w:pPr>
              <w:spacing w:after="0" w:line="259" w:lineRule="auto"/>
              <w:ind w:left="2" w:right="0" w:firstLine="0"/>
            </w:pPr>
            <w:r>
              <w:rPr>
                <w:sz w:val="18"/>
              </w:rPr>
              <w:t xml:space="preserve">Aluminum </w:t>
            </w:r>
          </w:p>
        </w:tc>
        <w:tc>
          <w:tcPr>
            <w:tcW w:w="1179" w:type="dxa"/>
            <w:tcBorders>
              <w:top w:val="single" w:sz="12" w:space="0" w:color="000000"/>
              <w:left w:val="single" w:sz="12" w:space="0" w:color="000000"/>
              <w:bottom w:val="single" w:sz="4" w:space="0" w:color="000000"/>
              <w:right w:val="single" w:sz="12" w:space="0" w:color="000000"/>
            </w:tcBorders>
            <w:vAlign w:val="center"/>
          </w:tcPr>
          <w:p w14:paraId="2FBF5F23" w14:textId="7B28362F" w:rsidR="00B56D50" w:rsidRDefault="001C3C42" w:rsidP="00250C0A">
            <w:pPr>
              <w:spacing w:after="0" w:line="259" w:lineRule="auto"/>
              <w:ind w:left="0" w:right="0" w:firstLine="0"/>
              <w:jc w:val="center"/>
            </w:pPr>
            <w:r>
              <w:rPr>
                <w:sz w:val="18"/>
              </w:rPr>
              <w:t>7429-90-5</w:t>
            </w:r>
          </w:p>
        </w:tc>
        <w:tc>
          <w:tcPr>
            <w:tcW w:w="817" w:type="dxa"/>
            <w:tcBorders>
              <w:top w:val="single" w:sz="12" w:space="0" w:color="000000"/>
              <w:left w:val="single" w:sz="12" w:space="0" w:color="000000"/>
              <w:bottom w:val="single" w:sz="4" w:space="0" w:color="000000"/>
              <w:right w:val="single" w:sz="12" w:space="0" w:color="000000"/>
            </w:tcBorders>
            <w:vAlign w:val="center"/>
          </w:tcPr>
          <w:p w14:paraId="5BB19BDA" w14:textId="020C5EF2" w:rsidR="00B56D50" w:rsidRDefault="001C3C42" w:rsidP="00250C0A">
            <w:pPr>
              <w:spacing w:after="0" w:line="259" w:lineRule="auto"/>
              <w:ind w:left="2" w:right="0" w:firstLine="0"/>
              <w:jc w:val="center"/>
            </w:pPr>
            <w:r>
              <w:rPr>
                <w:sz w:val="18"/>
              </w:rPr>
              <w:t>200</w:t>
            </w:r>
          </w:p>
        </w:tc>
        <w:tc>
          <w:tcPr>
            <w:tcW w:w="726" w:type="dxa"/>
            <w:tcBorders>
              <w:top w:val="single" w:sz="12" w:space="0" w:color="000000"/>
              <w:left w:val="single" w:sz="12" w:space="0" w:color="000000"/>
              <w:bottom w:val="single" w:sz="4" w:space="0" w:color="000000"/>
              <w:right w:val="single" w:sz="12" w:space="0" w:color="000000"/>
            </w:tcBorders>
            <w:vAlign w:val="center"/>
          </w:tcPr>
          <w:p w14:paraId="47B4E7BE" w14:textId="1857D032" w:rsidR="00B56D50" w:rsidRDefault="00007499" w:rsidP="00250C0A">
            <w:pPr>
              <w:spacing w:after="0" w:line="259" w:lineRule="auto"/>
              <w:ind w:left="0" w:right="0" w:firstLine="0"/>
              <w:jc w:val="center"/>
            </w:pPr>
            <w:r>
              <w:rPr>
                <w:rFonts w:ascii="Segoe UI Symbol" w:eastAsia="Segoe UI Symbol" w:hAnsi="Segoe UI Symbol" w:cs="Segoe UI Symbol"/>
                <w:sz w:val="18"/>
              </w:rPr>
              <w:t>u</w:t>
            </w:r>
            <w:r w:rsidR="001C3C42">
              <w:rPr>
                <w:sz w:val="18"/>
              </w:rPr>
              <w:t>g/L</w:t>
            </w:r>
          </w:p>
        </w:tc>
        <w:tc>
          <w:tcPr>
            <w:tcW w:w="815" w:type="dxa"/>
            <w:tcBorders>
              <w:top w:val="single" w:sz="12" w:space="0" w:color="000000"/>
              <w:left w:val="single" w:sz="12" w:space="0" w:color="000000"/>
              <w:bottom w:val="single" w:sz="4" w:space="0" w:color="000000"/>
              <w:right w:val="single" w:sz="12" w:space="0" w:color="000000"/>
            </w:tcBorders>
            <w:vAlign w:val="center"/>
          </w:tcPr>
          <w:p w14:paraId="022B2CEF" w14:textId="24D25CBC" w:rsidR="00B56D50" w:rsidRDefault="001C3C42" w:rsidP="00250C0A">
            <w:pPr>
              <w:spacing w:after="0" w:line="259" w:lineRule="auto"/>
              <w:ind w:left="0" w:right="0" w:firstLine="0"/>
              <w:jc w:val="center"/>
            </w:pPr>
            <w:r>
              <w:rPr>
                <w:sz w:val="18"/>
              </w:rPr>
              <w:t>100</w:t>
            </w:r>
          </w:p>
        </w:tc>
        <w:tc>
          <w:tcPr>
            <w:tcW w:w="818" w:type="dxa"/>
            <w:tcBorders>
              <w:top w:val="single" w:sz="12" w:space="0" w:color="000000"/>
              <w:left w:val="single" w:sz="12" w:space="0" w:color="000000"/>
              <w:bottom w:val="single" w:sz="4" w:space="0" w:color="000000"/>
              <w:right w:val="single" w:sz="12" w:space="0" w:color="000000"/>
            </w:tcBorders>
            <w:vAlign w:val="center"/>
          </w:tcPr>
          <w:p w14:paraId="4D67762F" w14:textId="7BDAD7BE" w:rsidR="00B56D50" w:rsidRDefault="001C3C42" w:rsidP="00250C0A">
            <w:pPr>
              <w:spacing w:after="0" w:line="259" w:lineRule="auto"/>
              <w:ind w:left="4" w:right="0" w:firstLine="0"/>
              <w:jc w:val="center"/>
            </w:pPr>
            <w:r>
              <w:rPr>
                <w:sz w:val="18"/>
              </w:rPr>
              <w:t>mg/kg</w:t>
            </w:r>
          </w:p>
        </w:tc>
        <w:tc>
          <w:tcPr>
            <w:tcW w:w="907" w:type="dxa"/>
            <w:tcBorders>
              <w:top w:val="single" w:sz="12" w:space="0" w:color="000000"/>
              <w:left w:val="single" w:sz="12" w:space="0" w:color="000000"/>
              <w:bottom w:val="single" w:sz="4" w:space="0" w:color="000000"/>
              <w:right w:val="single" w:sz="12" w:space="0" w:color="000000"/>
            </w:tcBorders>
            <w:vAlign w:val="center"/>
          </w:tcPr>
          <w:p w14:paraId="152DCD1C" w14:textId="15937C1A" w:rsidR="00B56D50" w:rsidRDefault="001C3C42" w:rsidP="00250C0A">
            <w:pPr>
              <w:spacing w:after="0" w:line="259" w:lineRule="auto"/>
              <w:ind w:left="0" w:right="0" w:firstLine="0"/>
              <w:jc w:val="center"/>
            </w:pPr>
            <w:r>
              <w:rPr>
                <w:sz w:val="18"/>
              </w:rPr>
              <w:t>6010</w:t>
            </w:r>
          </w:p>
        </w:tc>
        <w:tc>
          <w:tcPr>
            <w:tcW w:w="907" w:type="dxa"/>
            <w:tcBorders>
              <w:top w:val="single" w:sz="12" w:space="0" w:color="000000"/>
              <w:left w:val="single" w:sz="12" w:space="0" w:color="000000"/>
              <w:bottom w:val="single" w:sz="4" w:space="0" w:color="000000"/>
              <w:right w:val="single" w:sz="12" w:space="0" w:color="000000"/>
            </w:tcBorders>
            <w:vAlign w:val="center"/>
          </w:tcPr>
          <w:p w14:paraId="19226219" w14:textId="560CB076" w:rsidR="00B56D50" w:rsidRDefault="001C3C42" w:rsidP="00250C0A">
            <w:pPr>
              <w:spacing w:after="0" w:line="259" w:lineRule="auto"/>
              <w:ind w:left="0" w:right="0" w:firstLine="0"/>
              <w:jc w:val="center"/>
            </w:pPr>
            <w:r>
              <w:rPr>
                <w:sz w:val="18"/>
              </w:rPr>
              <w:t>6020</w:t>
            </w:r>
          </w:p>
        </w:tc>
        <w:tc>
          <w:tcPr>
            <w:tcW w:w="770" w:type="dxa"/>
            <w:tcBorders>
              <w:top w:val="single" w:sz="12" w:space="0" w:color="000000"/>
              <w:left w:val="single" w:sz="12" w:space="0" w:color="000000"/>
              <w:bottom w:val="single" w:sz="4" w:space="0" w:color="000000"/>
              <w:right w:val="single" w:sz="12" w:space="0" w:color="000000"/>
            </w:tcBorders>
            <w:vAlign w:val="center"/>
          </w:tcPr>
          <w:p w14:paraId="571A1207" w14:textId="3FDA6F7E" w:rsidR="00B56D50" w:rsidRDefault="00B56D50" w:rsidP="00250C0A">
            <w:pPr>
              <w:spacing w:after="0" w:line="259" w:lineRule="auto"/>
              <w:ind w:left="1" w:right="0" w:firstLine="0"/>
              <w:jc w:val="center"/>
            </w:pPr>
          </w:p>
        </w:tc>
        <w:tc>
          <w:tcPr>
            <w:tcW w:w="772" w:type="dxa"/>
            <w:tcBorders>
              <w:top w:val="single" w:sz="12" w:space="0" w:color="000000"/>
              <w:left w:val="single" w:sz="12" w:space="0" w:color="000000"/>
              <w:bottom w:val="single" w:sz="4" w:space="0" w:color="000000"/>
              <w:right w:val="single" w:sz="12" w:space="0" w:color="000000"/>
            </w:tcBorders>
            <w:vAlign w:val="center"/>
          </w:tcPr>
          <w:p w14:paraId="1E32722F" w14:textId="39F3F955" w:rsidR="00B56D50" w:rsidRDefault="00B56D50" w:rsidP="00250C0A">
            <w:pPr>
              <w:spacing w:after="0" w:line="259" w:lineRule="auto"/>
              <w:ind w:left="2" w:right="0" w:firstLine="0"/>
              <w:jc w:val="center"/>
            </w:pPr>
          </w:p>
        </w:tc>
        <w:tc>
          <w:tcPr>
            <w:tcW w:w="698" w:type="dxa"/>
            <w:tcBorders>
              <w:top w:val="single" w:sz="12" w:space="0" w:color="000000"/>
              <w:left w:val="single" w:sz="12" w:space="0" w:color="000000"/>
              <w:bottom w:val="single" w:sz="4" w:space="0" w:color="000000"/>
              <w:right w:val="single" w:sz="12" w:space="0" w:color="000000"/>
            </w:tcBorders>
            <w:vAlign w:val="center"/>
          </w:tcPr>
          <w:p w14:paraId="10532E2C" w14:textId="5FB1136F" w:rsidR="00B56D50" w:rsidRDefault="00B56D50" w:rsidP="00250C0A">
            <w:pPr>
              <w:spacing w:after="0" w:line="259" w:lineRule="auto"/>
              <w:ind w:left="2" w:right="0" w:firstLine="0"/>
              <w:jc w:val="center"/>
            </w:pPr>
          </w:p>
        </w:tc>
      </w:tr>
      <w:tr w:rsidR="00B56D50" w14:paraId="1062DE51" w14:textId="77777777" w:rsidTr="00725264">
        <w:trPr>
          <w:trHeight w:val="293"/>
        </w:trPr>
        <w:tc>
          <w:tcPr>
            <w:tcW w:w="2211" w:type="dxa"/>
            <w:tcBorders>
              <w:top w:val="single" w:sz="4" w:space="0" w:color="000000"/>
              <w:left w:val="single" w:sz="12" w:space="0" w:color="000000"/>
              <w:bottom w:val="single" w:sz="4" w:space="0" w:color="000000"/>
              <w:right w:val="single" w:sz="12" w:space="0" w:color="000000"/>
            </w:tcBorders>
            <w:vAlign w:val="center"/>
          </w:tcPr>
          <w:p w14:paraId="5CE38261" w14:textId="77777777" w:rsidR="00B56D50" w:rsidRDefault="001C3C42" w:rsidP="00250C0A">
            <w:pPr>
              <w:spacing w:after="0" w:line="259" w:lineRule="auto"/>
              <w:ind w:left="2" w:right="0" w:firstLine="0"/>
            </w:pPr>
            <w:r>
              <w:rPr>
                <w:sz w:val="18"/>
              </w:rPr>
              <w:t xml:space="preserve">Calcium </w:t>
            </w:r>
          </w:p>
        </w:tc>
        <w:tc>
          <w:tcPr>
            <w:tcW w:w="1179" w:type="dxa"/>
            <w:tcBorders>
              <w:top w:val="single" w:sz="4" w:space="0" w:color="000000"/>
              <w:left w:val="single" w:sz="12" w:space="0" w:color="000000"/>
              <w:bottom w:val="single" w:sz="4" w:space="0" w:color="000000"/>
              <w:right w:val="single" w:sz="12" w:space="0" w:color="000000"/>
            </w:tcBorders>
            <w:vAlign w:val="center"/>
          </w:tcPr>
          <w:p w14:paraId="1F0DAD90" w14:textId="27437632" w:rsidR="00B56D50" w:rsidRDefault="001C3C42" w:rsidP="00250C0A">
            <w:pPr>
              <w:spacing w:after="0" w:line="259" w:lineRule="auto"/>
              <w:ind w:left="0" w:right="0" w:firstLine="0"/>
              <w:jc w:val="center"/>
            </w:pPr>
            <w:r>
              <w:rPr>
                <w:sz w:val="18"/>
              </w:rPr>
              <w:t>7440-70-2</w:t>
            </w:r>
          </w:p>
        </w:tc>
        <w:tc>
          <w:tcPr>
            <w:tcW w:w="817" w:type="dxa"/>
            <w:tcBorders>
              <w:top w:val="single" w:sz="4" w:space="0" w:color="000000"/>
              <w:left w:val="single" w:sz="12" w:space="0" w:color="000000"/>
              <w:bottom w:val="single" w:sz="4" w:space="0" w:color="000000"/>
              <w:right w:val="single" w:sz="12" w:space="0" w:color="000000"/>
            </w:tcBorders>
            <w:vAlign w:val="center"/>
          </w:tcPr>
          <w:p w14:paraId="6AC83D7C" w14:textId="2FA329AE" w:rsidR="00B56D50" w:rsidRDefault="001C3C42" w:rsidP="00250C0A">
            <w:pPr>
              <w:spacing w:after="0" w:line="259" w:lineRule="auto"/>
              <w:ind w:left="74" w:right="0" w:firstLine="0"/>
              <w:jc w:val="center"/>
            </w:pPr>
            <w:r>
              <w:rPr>
                <w:sz w:val="18"/>
              </w:rPr>
              <w:t>500</w:t>
            </w:r>
          </w:p>
        </w:tc>
        <w:tc>
          <w:tcPr>
            <w:tcW w:w="726" w:type="dxa"/>
            <w:tcBorders>
              <w:top w:val="single" w:sz="4" w:space="0" w:color="000000"/>
              <w:left w:val="single" w:sz="12" w:space="0" w:color="000000"/>
              <w:bottom w:val="single" w:sz="4" w:space="0" w:color="000000"/>
              <w:right w:val="single" w:sz="12" w:space="0" w:color="000000"/>
            </w:tcBorders>
            <w:vAlign w:val="center"/>
          </w:tcPr>
          <w:p w14:paraId="1EEBA586" w14:textId="22267B15" w:rsidR="00B56D50" w:rsidRDefault="00007499" w:rsidP="00250C0A">
            <w:pPr>
              <w:spacing w:after="0" w:line="259" w:lineRule="auto"/>
              <w:ind w:left="0" w:right="0" w:firstLine="0"/>
              <w:jc w:val="center"/>
            </w:pPr>
            <w:r>
              <w:rPr>
                <w:rFonts w:ascii="Segoe UI Symbol" w:eastAsia="Segoe UI Symbol" w:hAnsi="Segoe UI Symbol" w:cs="Segoe UI Symbol"/>
                <w:sz w:val="18"/>
              </w:rPr>
              <w:t>u</w:t>
            </w:r>
            <w:r w:rsidR="001C3C42">
              <w:rPr>
                <w:sz w:val="18"/>
              </w:rPr>
              <w:t>g/L</w:t>
            </w:r>
          </w:p>
        </w:tc>
        <w:tc>
          <w:tcPr>
            <w:tcW w:w="815" w:type="dxa"/>
            <w:tcBorders>
              <w:top w:val="single" w:sz="4" w:space="0" w:color="000000"/>
              <w:left w:val="single" w:sz="12" w:space="0" w:color="000000"/>
              <w:bottom w:val="single" w:sz="4" w:space="0" w:color="000000"/>
              <w:right w:val="single" w:sz="12" w:space="0" w:color="000000"/>
            </w:tcBorders>
            <w:vAlign w:val="center"/>
          </w:tcPr>
          <w:p w14:paraId="5139D9AC" w14:textId="353C6CAB" w:rsidR="00B56D50" w:rsidRDefault="001C3C42" w:rsidP="00250C0A">
            <w:pPr>
              <w:spacing w:after="0" w:line="259" w:lineRule="auto"/>
              <w:ind w:left="0" w:right="0" w:firstLine="0"/>
              <w:jc w:val="center"/>
            </w:pPr>
            <w:r>
              <w:rPr>
                <w:sz w:val="18"/>
              </w:rPr>
              <w:t>100</w:t>
            </w:r>
          </w:p>
        </w:tc>
        <w:tc>
          <w:tcPr>
            <w:tcW w:w="818" w:type="dxa"/>
            <w:tcBorders>
              <w:top w:val="single" w:sz="4" w:space="0" w:color="000000"/>
              <w:left w:val="single" w:sz="12" w:space="0" w:color="000000"/>
              <w:bottom w:val="single" w:sz="4" w:space="0" w:color="000000"/>
              <w:right w:val="single" w:sz="12" w:space="0" w:color="000000"/>
            </w:tcBorders>
            <w:vAlign w:val="center"/>
          </w:tcPr>
          <w:p w14:paraId="33608D14" w14:textId="394C8EED" w:rsidR="00B56D50" w:rsidRDefault="001C3C42" w:rsidP="00250C0A">
            <w:pPr>
              <w:spacing w:after="0" w:line="259" w:lineRule="auto"/>
              <w:ind w:left="4" w:right="0" w:firstLine="0"/>
              <w:jc w:val="center"/>
            </w:pPr>
            <w:r>
              <w:rPr>
                <w:sz w:val="18"/>
              </w:rPr>
              <w:t>mg/kg</w:t>
            </w:r>
          </w:p>
        </w:tc>
        <w:tc>
          <w:tcPr>
            <w:tcW w:w="907" w:type="dxa"/>
            <w:tcBorders>
              <w:top w:val="single" w:sz="4" w:space="0" w:color="000000"/>
              <w:left w:val="single" w:sz="12" w:space="0" w:color="000000"/>
              <w:bottom w:val="single" w:sz="4" w:space="0" w:color="000000"/>
              <w:right w:val="single" w:sz="12" w:space="0" w:color="000000"/>
            </w:tcBorders>
            <w:vAlign w:val="center"/>
          </w:tcPr>
          <w:p w14:paraId="1A10F9D5" w14:textId="4913D9B6" w:rsidR="00B56D50" w:rsidRDefault="001C3C42" w:rsidP="00250C0A">
            <w:pPr>
              <w:spacing w:after="0" w:line="259" w:lineRule="auto"/>
              <w:ind w:left="0" w:right="0" w:firstLine="0"/>
              <w:jc w:val="center"/>
            </w:pPr>
            <w:r>
              <w:rPr>
                <w:sz w:val="18"/>
              </w:rPr>
              <w:t>6010</w:t>
            </w:r>
          </w:p>
        </w:tc>
        <w:tc>
          <w:tcPr>
            <w:tcW w:w="907" w:type="dxa"/>
            <w:tcBorders>
              <w:top w:val="single" w:sz="4" w:space="0" w:color="000000"/>
              <w:left w:val="single" w:sz="12" w:space="0" w:color="000000"/>
              <w:bottom w:val="single" w:sz="4" w:space="0" w:color="000000"/>
              <w:right w:val="single" w:sz="12" w:space="0" w:color="000000"/>
            </w:tcBorders>
            <w:vAlign w:val="center"/>
          </w:tcPr>
          <w:p w14:paraId="184D1162" w14:textId="1993FD20" w:rsidR="00B56D50" w:rsidRDefault="001C3C42" w:rsidP="00250C0A">
            <w:pPr>
              <w:spacing w:after="0" w:line="259" w:lineRule="auto"/>
              <w:ind w:left="0" w:right="0" w:firstLine="0"/>
              <w:jc w:val="center"/>
            </w:pPr>
            <w:r>
              <w:rPr>
                <w:sz w:val="18"/>
              </w:rPr>
              <w:t>6020</w:t>
            </w:r>
          </w:p>
        </w:tc>
        <w:tc>
          <w:tcPr>
            <w:tcW w:w="770" w:type="dxa"/>
            <w:tcBorders>
              <w:top w:val="single" w:sz="4" w:space="0" w:color="000000"/>
              <w:left w:val="single" w:sz="12" w:space="0" w:color="000000"/>
              <w:bottom w:val="single" w:sz="4" w:space="0" w:color="000000"/>
              <w:right w:val="single" w:sz="12" w:space="0" w:color="000000"/>
            </w:tcBorders>
            <w:vAlign w:val="center"/>
          </w:tcPr>
          <w:p w14:paraId="5FA0AE7F" w14:textId="5D627E94" w:rsidR="00B56D50" w:rsidRDefault="00B56D50" w:rsidP="00250C0A">
            <w:pPr>
              <w:spacing w:after="0" w:line="259" w:lineRule="auto"/>
              <w:ind w:left="1" w:right="0" w:firstLine="0"/>
              <w:jc w:val="center"/>
            </w:pPr>
          </w:p>
        </w:tc>
        <w:tc>
          <w:tcPr>
            <w:tcW w:w="772" w:type="dxa"/>
            <w:tcBorders>
              <w:top w:val="single" w:sz="4" w:space="0" w:color="000000"/>
              <w:left w:val="single" w:sz="12" w:space="0" w:color="000000"/>
              <w:bottom w:val="single" w:sz="4" w:space="0" w:color="000000"/>
              <w:right w:val="single" w:sz="12" w:space="0" w:color="000000"/>
            </w:tcBorders>
            <w:vAlign w:val="center"/>
          </w:tcPr>
          <w:p w14:paraId="32532C6F" w14:textId="269ED852" w:rsidR="00B56D50" w:rsidRDefault="00B56D50" w:rsidP="00250C0A">
            <w:pPr>
              <w:spacing w:after="0" w:line="259" w:lineRule="auto"/>
              <w:ind w:left="2" w:right="0" w:firstLine="0"/>
              <w:jc w:val="center"/>
            </w:pPr>
          </w:p>
        </w:tc>
        <w:tc>
          <w:tcPr>
            <w:tcW w:w="698" w:type="dxa"/>
            <w:tcBorders>
              <w:top w:val="single" w:sz="4" w:space="0" w:color="000000"/>
              <w:left w:val="single" w:sz="12" w:space="0" w:color="000000"/>
              <w:bottom w:val="single" w:sz="4" w:space="0" w:color="000000"/>
              <w:right w:val="single" w:sz="12" w:space="0" w:color="000000"/>
            </w:tcBorders>
            <w:vAlign w:val="center"/>
          </w:tcPr>
          <w:p w14:paraId="3BDC6030" w14:textId="36DD927D" w:rsidR="00B56D50" w:rsidRDefault="00B56D50" w:rsidP="00250C0A">
            <w:pPr>
              <w:spacing w:after="0" w:line="259" w:lineRule="auto"/>
              <w:ind w:left="2" w:right="0" w:firstLine="0"/>
              <w:jc w:val="center"/>
            </w:pPr>
          </w:p>
        </w:tc>
      </w:tr>
      <w:tr w:rsidR="00B56D50" w14:paraId="026F849A" w14:textId="77777777" w:rsidTr="00725264">
        <w:trPr>
          <w:trHeight w:val="290"/>
        </w:trPr>
        <w:tc>
          <w:tcPr>
            <w:tcW w:w="2211" w:type="dxa"/>
            <w:tcBorders>
              <w:top w:val="single" w:sz="4" w:space="0" w:color="000000"/>
              <w:left w:val="single" w:sz="12" w:space="0" w:color="000000"/>
              <w:bottom w:val="single" w:sz="4" w:space="0" w:color="000000"/>
              <w:right w:val="single" w:sz="12" w:space="0" w:color="000000"/>
            </w:tcBorders>
            <w:vAlign w:val="center"/>
          </w:tcPr>
          <w:p w14:paraId="3BF78AD7" w14:textId="77777777" w:rsidR="00B56D50" w:rsidRDefault="001C3C42" w:rsidP="00250C0A">
            <w:pPr>
              <w:spacing w:after="0" w:line="259" w:lineRule="auto"/>
              <w:ind w:left="2" w:right="0" w:firstLine="0"/>
            </w:pPr>
            <w:r>
              <w:rPr>
                <w:sz w:val="18"/>
              </w:rPr>
              <w:t xml:space="preserve">Iron </w:t>
            </w:r>
          </w:p>
        </w:tc>
        <w:tc>
          <w:tcPr>
            <w:tcW w:w="1179" w:type="dxa"/>
            <w:tcBorders>
              <w:top w:val="single" w:sz="4" w:space="0" w:color="000000"/>
              <w:left w:val="single" w:sz="12" w:space="0" w:color="000000"/>
              <w:bottom w:val="single" w:sz="4" w:space="0" w:color="000000"/>
              <w:right w:val="single" w:sz="12" w:space="0" w:color="000000"/>
            </w:tcBorders>
            <w:vAlign w:val="center"/>
          </w:tcPr>
          <w:p w14:paraId="2296238A" w14:textId="6D4990EF" w:rsidR="00B56D50" w:rsidRDefault="001C3C42" w:rsidP="00250C0A">
            <w:pPr>
              <w:spacing w:after="0" w:line="259" w:lineRule="auto"/>
              <w:ind w:left="0" w:right="0" w:firstLine="0"/>
              <w:jc w:val="center"/>
            </w:pPr>
            <w:r>
              <w:rPr>
                <w:sz w:val="18"/>
              </w:rPr>
              <w:t>7439-89-6</w:t>
            </w:r>
          </w:p>
        </w:tc>
        <w:tc>
          <w:tcPr>
            <w:tcW w:w="817" w:type="dxa"/>
            <w:tcBorders>
              <w:top w:val="single" w:sz="4" w:space="0" w:color="000000"/>
              <w:left w:val="single" w:sz="12" w:space="0" w:color="000000"/>
              <w:bottom w:val="single" w:sz="4" w:space="0" w:color="000000"/>
              <w:right w:val="single" w:sz="12" w:space="0" w:color="000000"/>
            </w:tcBorders>
            <w:vAlign w:val="center"/>
          </w:tcPr>
          <w:p w14:paraId="74DE18E8" w14:textId="30516176" w:rsidR="00B56D50" w:rsidRDefault="001C3C42" w:rsidP="00250C0A">
            <w:pPr>
              <w:spacing w:after="0" w:line="259" w:lineRule="auto"/>
              <w:ind w:left="2" w:right="0" w:firstLine="0"/>
              <w:jc w:val="center"/>
            </w:pPr>
            <w:r>
              <w:rPr>
                <w:sz w:val="18"/>
              </w:rPr>
              <w:t>100</w:t>
            </w:r>
          </w:p>
        </w:tc>
        <w:tc>
          <w:tcPr>
            <w:tcW w:w="726" w:type="dxa"/>
            <w:tcBorders>
              <w:top w:val="single" w:sz="4" w:space="0" w:color="000000"/>
              <w:left w:val="single" w:sz="12" w:space="0" w:color="000000"/>
              <w:bottom w:val="single" w:sz="4" w:space="0" w:color="000000"/>
              <w:right w:val="single" w:sz="12" w:space="0" w:color="000000"/>
            </w:tcBorders>
            <w:vAlign w:val="center"/>
          </w:tcPr>
          <w:p w14:paraId="076E69D5" w14:textId="496BD515" w:rsidR="00B56D50" w:rsidRDefault="008748B5" w:rsidP="00250C0A">
            <w:pPr>
              <w:spacing w:after="0" w:line="259" w:lineRule="auto"/>
              <w:ind w:left="0" w:right="0" w:firstLine="0"/>
              <w:jc w:val="center"/>
            </w:pPr>
            <w:r>
              <w:rPr>
                <w:rFonts w:ascii="Segoe UI Symbol" w:eastAsia="Segoe UI Symbol" w:hAnsi="Segoe UI Symbol" w:cs="Segoe UI Symbol"/>
                <w:sz w:val="18"/>
              </w:rPr>
              <w:t>u</w:t>
            </w:r>
            <w:r w:rsidR="001C3C42">
              <w:rPr>
                <w:sz w:val="18"/>
              </w:rPr>
              <w:t>g/L</w:t>
            </w:r>
          </w:p>
        </w:tc>
        <w:tc>
          <w:tcPr>
            <w:tcW w:w="815" w:type="dxa"/>
            <w:tcBorders>
              <w:top w:val="single" w:sz="4" w:space="0" w:color="000000"/>
              <w:left w:val="single" w:sz="12" w:space="0" w:color="000000"/>
              <w:bottom w:val="single" w:sz="4" w:space="0" w:color="000000"/>
              <w:right w:val="single" w:sz="12" w:space="0" w:color="000000"/>
            </w:tcBorders>
            <w:vAlign w:val="center"/>
          </w:tcPr>
          <w:p w14:paraId="31DEB312" w14:textId="6A21A3D3" w:rsidR="00B56D50" w:rsidRDefault="001C3C42" w:rsidP="00250C0A">
            <w:pPr>
              <w:spacing w:after="0" w:line="259" w:lineRule="auto"/>
              <w:ind w:left="0" w:right="0" w:firstLine="0"/>
              <w:jc w:val="center"/>
            </w:pPr>
            <w:r>
              <w:rPr>
                <w:sz w:val="18"/>
              </w:rPr>
              <w:t>100</w:t>
            </w:r>
          </w:p>
        </w:tc>
        <w:tc>
          <w:tcPr>
            <w:tcW w:w="818" w:type="dxa"/>
            <w:tcBorders>
              <w:top w:val="single" w:sz="4" w:space="0" w:color="000000"/>
              <w:left w:val="single" w:sz="12" w:space="0" w:color="000000"/>
              <w:bottom w:val="single" w:sz="4" w:space="0" w:color="000000"/>
              <w:right w:val="single" w:sz="12" w:space="0" w:color="000000"/>
            </w:tcBorders>
            <w:vAlign w:val="center"/>
          </w:tcPr>
          <w:p w14:paraId="47889733" w14:textId="48DA60FE" w:rsidR="00B56D50" w:rsidRDefault="001C3C42" w:rsidP="00250C0A">
            <w:pPr>
              <w:spacing w:after="0" w:line="259" w:lineRule="auto"/>
              <w:ind w:left="4" w:right="0" w:firstLine="0"/>
              <w:jc w:val="center"/>
            </w:pPr>
            <w:r>
              <w:rPr>
                <w:sz w:val="18"/>
              </w:rPr>
              <w:t>mg/kg</w:t>
            </w:r>
          </w:p>
        </w:tc>
        <w:tc>
          <w:tcPr>
            <w:tcW w:w="907" w:type="dxa"/>
            <w:tcBorders>
              <w:top w:val="single" w:sz="4" w:space="0" w:color="000000"/>
              <w:left w:val="single" w:sz="12" w:space="0" w:color="000000"/>
              <w:bottom w:val="single" w:sz="4" w:space="0" w:color="000000"/>
              <w:right w:val="single" w:sz="12" w:space="0" w:color="000000"/>
            </w:tcBorders>
            <w:vAlign w:val="center"/>
          </w:tcPr>
          <w:p w14:paraId="5E1D5B50" w14:textId="7CC7CC5B" w:rsidR="00B56D50" w:rsidRDefault="001C3C42" w:rsidP="00250C0A">
            <w:pPr>
              <w:spacing w:after="0" w:line="259" w:lineRule="auto"/>
              <w:ind w:left="0" w:right="0" w:firstLine="0"/>
              <w:jc w:val="center"/>
            </w:pPr>
            <w:r>
              <w:rPr>
                <w:sz w:val="18"/>
              </w:rPr>
              <w:t>6010</w:t>
            </w:r>
          </w:p>
        </w:tc>
        <w:tc>
          <w:tcPr>
            <w:tcW w:w="907" w:type="dxa"/>
            <w:tcBorders>
              <w:top w:val="single" w:sz="4" w:space="0" w:color="000000"/>
              <w:left w:val="single" w:sz="12" w:space="0" w:color="000000"/>
              <w:bottom w:val="single" w:sz="4" w:space="0" w:color="000000"/>
              <w:right w:val="single" w:sz="12" w:space="0" w:color="000000"/>
            </w:tcBorders>
            <w:vAlign w:val="center"/>
          </w:tcPr>
          <w:p w14:paraId="2744F976" w14:textId="17F7C854" w:rsidR="00B56D50" w:rsidRDefault="001C3C42" w:rsidP="00250C0A">
            <w:pPr>
              <w:spacing w:after="0" w:line="259" w:lineRule="auto"/>
              <w:ind w:left="0" w:right="0" w:firstLine="0"/>
              <w:jc w:val="center"/>
            </w:pPr>
            <w:r>
              <w:rPr>
                <w:sz w:val="18"/>
              </w:rPr>
              <w:t>6020</w:t>
            </w:r>
          </w:p>
        </w:tc>
        <w:tc>
          <w:tcPr>
            <w:tcW w:w="770" w:type="dxa"/>
            <w:tcBorders>
              <w:top w:val="single" w:sz="4" w:space="0" w:color="000000"/>
              <w:left w:val="single" w:sz="12" w:space="0" w:color="000000"/>
              <w:bottom w:val="single" w:sz="4" w:space="0" w:color="000000"/>
              <w:right w:val="single" w:sz="12" w:space="0" w:color="000000"/>
            </w:tcBorders>
            <w:vAlign w:val="center"/>
          </w:tcPr>
          <w:p w14:paraId="1C22DED7" w14:textId="511E722C" w:rsidR="00B56D50" w:rsidRDefault="001C3C42" w:rsidP="00250C0A">
            <w:pPr>
              <w:spacing w:after="0" w:line="259" w:lineRule="auto"/>
              <w:ind w:left="1" w:right="0" w:firstLine="0"/>
              <w:jc w:val="center"/>
            </w:pPr>
            <w:r>
              <w:rPr>
                <w:sz w:val="18"/>
              </w:rPr>
              <w:t>7010</w:t>
            </w:r>
            <w:r w:rsidR="002531DB">
              <w:rPr>
                <w:sz w:val="18"/>
              </w:rPr>
              <w:t xml:space="preserve"> </w:t>
            </w:r>
            <w:r w:rsidR="002531DB" w:rsidRPr="002531DB">
              <w:rPr>
                <w:b/>
                <w:bCs/>
                <w:sz w:val="18"/>
                <w:vertAlign w:val="superscript"/>
              </w:rPr>
              <w:t>4</w:t>
            </w:r>
          </w:p>
        </w:tc>
        <w:tc>
          <w:tcPr>
            <w:tcW w:w="772" w:type="dxa"/>
            <w:tcBorders>
              <w:top w:val="single" w:sz="4" w:space="0" w:color="000000"/>
              <w:left w:val="single" w:sz="12" w:space="0" w:color="000000"/>
              <w:bottom w:val="single" w:sz="4" w:space="0" w:color="000000"/>
              <w:right w:val="single" w:sz="12" w:space="0" w:color="000000"/>
            </w:tcBorders>
            <w:vAlign w:val="center"/>
          </w:tcPr>
          <w:p w14:paraId="00CB8FB6" w14:textId="17CD0F5E" w:rsidR="00B56D50" w:rsidRDefault="00B56D50" w:rsidP="00250C0A">
            <w:pPr>
              <w:spacing w:after="0" w:line="259" w:lineRule="auto"/>
              <w:ind w:left="2" w:right="0" w:firstLine="0"/>
              <w:jc w:val="center"/>
            </w:pPr>
          </w:p>
        </w:tc>
        <w:tc>
          <w:tcPr>
            <w:tcW w:w="698" w:type="dxa"/>
            <w:tcBorders>
              <w:top w:val="single" w:sz="4" w:space="0" w:color="000000"/>
              <w:left w:val="single" w:sz="12" w:space="0" w:color="000000"/>
              <w:bottom w:val="single" w:sz="4" w:space="0" w:color="000000"/>
              <w:right w:val="single" w:sz="12" w:space="0" w:color="000000"/>
            </w:tcBorders>
            <w:vAlign w:val="center"/>
          </w:tcPr>
          <w:p w14:paraId="1C54F609" w14:textId="30D33C40" w:rsidR="00B56D50" w:rsidRDefault="00B56D50" w:rsidP="00250C0A">
            <w:pPr>
              <w:spacing w:after="0" w:line="259" w:lineRule="auto"/>
              <w:ind w:left="2" w:right="0" w:firstLine="0"/>
              <w:jc w:val="center"/>
            </w:pPr>
          </w:p>
        </w:tc>
      </w:tr>
      <w:tr w:rsidR="00B56D50" w14:paraId="0B8FE55E" w14:textId="77777777" w:rsidTr="00725264">
        <w:trPr>
          <w:trHeight w:val="290"/>
        </w:trPr>
        <w:tc>
          <w:tcPr>
            <w:tcW w:w="2211" w:type="dxa"/>
            <w:tcBorders>
              <w:top w:val="single" w:sz="4" w:space="0" w:color="000000"/>
              <w:left w:val="single" w:sz="12" w:space="0" w:color="000000"/>
              <w:bottom w:val="single" w:sz="4" w:space="0" w:color="000000"/>
              <w:right w:val="single" w:sz="12" w:space="0" w:color="000000"/>
            </w:tcBorders>
            <w:vAlign w:val="center"/>
          </w:tcPr>
          <w:p w14:paraId="0B3EB1F2" w14:textId="77777777" w:rsidR="00B56D50" w:rsidRDefault="001C3C42" w:rsidP="00250C0A">
            <w:pPr>
              <w:spacing w:after="0" w:line="259" w:lineRule="auto"/>
              <w:ind w:left="2" w:right="0" w:firstLine="0"/>
            </w:pPr>
            <w:r>
              <w:rPr>
                <w:sz w:val="18"/>
              </w:rPr>
              <w:t xml:space="preserve">Magnesium </w:t>
            </w:r>
          </w:p>
        </w:tc>
        <w:tc>
          <w:tcPr>
            <w:tcW w:w="1179" w:type="dxa"/>
            <w:tcBorders>
              <w:top w:val="single" w:sz="4" w:space="0" w:color="000000"/>
              <w:left w:val="single" w:sz="12" w:space="0" w:color="000000"/>
              <w:bottom w:val="single" w:sz="4" w:space="0" w:color="000000"/>
              <w:right w:val="single" w:sz="12" w:space="0" w:color="000000"/>
            </w:tcBorders>
            <w:vAlign w:val="center"/>
          </w:tcPr>
          <w:p w14:paraId="7F3D5044" w14:textId="32BB3872" w:rsidR="00B56D50" w:rsidRDefault="001C3C42" w:rsidP="00250C0A">
            <w:pPr>
              <w:spacing w:after="0" w:line="259" w:lineRule="auto"/>
              <w:ind w:left="0" w:right="0" w:firstLine="0"/>
              <w:jc w:val="center"/>
            </w:pPr>
            <w:r>
              <w:rPr>
                <w:sz w:val="18"/>
              </w:rPr>
              <w:t>7439-95-4</w:t>
            </w:r>
          </w:p>
        </w:tc>
        <w:tc>
          <w:tcPr>
            <w:tcW w:w="817" w:type="dxa"/>
            <w:tcBorders>
              <w:top w:val="single" w:sz="4" w:space="0" w:color="000000"/>
              <w:left w:val="single" w:sz="12" w:space="0" w:color="000000"/>
              <w:bottom w:val="single" w:sz="4" w:space="0" w:color="000000"/>
              <w:right w:val="single" w:sz="12" w:space="0" w:color="000000"/>
            </w:tcBorders>
            <w:vAlign w:val="center"/>
          </w:tcPr>
          <w:p w14:paraId="6E3D347E" w14:textId="614D7E49" w:rsidR="00B56D50" w:rsidRDefault="001C3C42" w:rsidP="00250C0A">
            <w:pPr>
              <w:spacing w:after="0" w:line="259" w:lineRule="auto"/>
              <w:ind w:left="2" w:right="0" w:firstLine="0"/>
              <w:jc w:val="center"/>
            </w:pPr>
            <w:r>
              <w:rPr>
                <w:sz w:val="18"/>
              </w:rPr>
              <w:t>100</w:t>
            </w:r>
          </w:p>
        </w:tc>
        <w:tc>
          <w:tcPr>
            <w:tcW w:w="726" w:type="dxa"/>
            <w:tcBorders>
              <w:top w:val="single" w:sz="4" w:space="0" w:color="000000"/>
              <w:left w:val="single" w:sz="12" w:space="0" w:color="000000"/>
              <w:bottom w:val="single" w:sz="4" w:space="0" w:color="000000"/>
              <w:right w:val="single" w:sz="12" w:space="0" w:color="000000"/>
            </w:tcBorders>
            <w:vAlign w:val="center"/>
          </w:tcPr>
          <w:p w14:paraId="3D13BF62" w14:textId="390CD9B6" w:rsidR="00B56D50" w:rsidRDefault="008748B5" w:rsidP="00250C0A">
            <w:pPr>
              <w:spacing w:after="0" w:line="259" w:lineRule="auto"/>
              <w:ind w:left="0" w:right="0" w:firstLine="0"/>
              <w:jc w:val="center"/>
            </w:pPr>
            <w:r>
              <w:rPr>
                <w:rFonts w:ascii="Segoe UI Symbol" w:eastAsia="Segoe UI Symbol" w:hAnsi="Segoe UI Symbol" w:cs="Segoe UI Symbol"/>
                <w:sz w:val="18"/>
              </w:rPr>
              <w:t>u</w:t>
            </w:r>
            <w:r w:rsidR="001C3C42">
              <w:rPr>
                <w:sz w:val="18"/>
              </w:rPr>
              <w:t>g/L</w:t>
            </w:r>
          </w:p>
        </w:tc>
        <w:tc>
          <w:tcPr>
            <w:tcW w:w="815" w:type="dxa"/>
            <w:tcBorders>
              <w:top w:val="single" w:sz="4" w:space="0" w:color="000000"/>
              <w:left w:val="single" w:sz="12" w:space="0" w:color="000000"/>
              <w:bottom w:val="single" w:sz="4" w:space="0" w:color="000000"/>
              <w:right w:val="single" w:sz="12" w:space="0" w:color="000000"/>
            </w:tcBorders>
            <w:vAlign w:val="center"/>
          </w:tcPr>
          <w:p w14:paraId="39A1E4F3" w14:textId="5F9CEF7B" w:rsidR="00B56D50" w:rsidRDefault="001C3C42" w:rsidP="00250C0A">
            <w:pPr>
              <w:spacing w:after="0" w:line="259" w:lineRule="auto"/>
              <w:ind w:left="0" w:right="0" w:firstLine="0"/>
              <w:jc w:val="center"/>
            </w:pPr>
            <w:r>
              <w:rPr>
                <w:sz w:val="18"/>
              </w:rPr>
              <w:t>10</w:t>
            </w:r>
          </w:p>
        </w:tc>
        <w:tc>
          <w:tcPr>
            <w:tcW w:w="818" w:type="dxa"/>
            <w:tcBorders>
              <w:top w:val="single" w:sz="4" w:space="0" w:color="000000"/>
              <w:left w:val="single" w:sz="12" w:space="0" w:color="000000"/>
              <w:bottom w:val="single" w:sz="4" w:space="0" w:color="000000"/>
              <w:right w:val="single" w:sz="12" w:space="0" w:color="000000"/>
            </w:tcBorders>
            <w:vAlign w:val="center"/>
          </w:tcPr>
          <w:p w14:paraId="12D909A9" w14:textId="3D08F87A" w:rsidR="00B56D50" w:rsidRDefault="001C3C42" w:rsidP="00250C0A">
            <w:pPr>
              <w:spacing w:after="0" w:line="259" w:lineRule="auto"/>
              <w:ind w:left="4" w:right="0" w:firstLine="0"/>
              <w:jc w:val="center"/>
            </w:pPr>
            <w:r>
              <w:rPr>
                <w:sz w:val="18"/>
              </w:rPr>
              <w:t>mg/kg</w:t>
            </w:r>
          </w:p>
        </w:tc>
        <w:tc>
          <w:tcPr>
            <w:tcW w:w="907" w:type="dxa"/>
            <w:tcBorders>
              <w:top w:val="single" w:sz="4" w:space="0" w:color="000000"/>
              <w:left w:val="single" w:sz="12" w:space="0" w:color="000000"/>
              <w:bottom w:val="single" w:sz="4" w:space="0" w:color="000000"/>
              <w:right w:val="single" w:sz="12" w:space="0" w:color="000000"/>
            </w:tcBorders>
            <w:vAlign w:val="center"/>
          </w:tcPr>
          <w:p w14:paraId="2B544188" w14:textId="1C31469A" w:rsidR="00B56D50" w:rsidRDefault="001C3C42" w:rsidP="00250C0A">
            <w:pPr>
              <w:spacing w:after="0" w:line="259" w:lineRule="auto"/>
              <w:ind w:left="0" w:right="0" w:firstLine="0"/>
              <w:jc w:val="center"/>
            </w:pPr>
            <w:r>
              <w:rPr>
                <w:sz w:val="18"/>
              </w:rPr>
              <w:t>6010</w:t>
            </w:r>
          </w:p>
        </w:tc>
        <w:tc>
          <w:tcPr>
            <w:tcW w:w="907" w:type="dxa"/>
            <w:tcBorders>
              <w:top w:val="single" w:sz="4" w:space="0" w:color="000000"/>
              <w:left w:val="single" w:sz="12" w:space="0" w:color="000000"/>
              <w:bottom w:val="single" w:sz="4" w:space="0" w:color="000000"/>
              <w:right w:val="single" w:sz="12" w:space="0" w:color="000000"/>
            </w:tcBorders>
            <w:vAlign w:val="center"/>
          </w:tcPr>
          <w:p w14:paraId="5A62CD87" w14:textId="296E331A" w:rsidR="00B56D50" w:rsidRDefault="001C3C42" w:rsidP="00250C0A">
            <w:pPr>
              <w:spacing w:after="0" w:line="259" w:lineRule="auto"/>
              <w:ind w:left="0" w:right="0" w:firstLine="0"/>
              <w:jc w:val="center"/>
            </w:pPr>
            <w:r>
              <w:rPr>
                <w:sz w:val="18"/>
              </w:rPr>
              <w:t>6020</w:t>
            </w:r>
          </w:p>
        </w:tc>
        <w:tc>
          <w:tcPr>
            <w:tcW w:w="770" w:type="dxa"/>
            <w:tcBorders>
              <w:top w:val="single" w:sz="4" w:space="0" w:color="000000"/>
              <w:left w:val="single" w:sz="12" w:space="0" w:color="000000"/>
              <w:bottom w:val="single" w:sz="4" w:space="0" w:color="000000"/>
              <w:right w:val="single" w:sz="12" w:space="0" w:color="000000"/>
            </w:tcBorders>
            <w:vAlign w:val="center"/>
          </w:tcPr>
          <w:p w14:paraId="1B73AD0E" w14:textId="03AB25EB" w:rsidR="00B56D50" w:rsidRDefault="00B56D50" w:rsidP="00250C0A">
            <w:pPr>
              <w:spacing w:after="0" w:line="259" w:lineRule="auto"/>
              <w:ind w:left="1" w:right="0" w:firstLine="0"/>
              <w:jc w:val="center"/>
            </w:pPr>
          </w:p>
        </w:tc>
        <w:tc>
          <w:tcPr>
            <w:tcW w:w="772" w:type="dxa"/>
            <w:tcBorders>
              <w:top w:val="single" w:sz="4" w:space="0" w:color="000000"/>
              <w:left w:val="single" w:sz="12" w:space="0" w:color="000000"/>
              <w:bottom w:val="single" w:sz="4" w:space="0" w:color="000000"/>
              <w:right w:val="single" w:sz="12" w:space="0" w:color="000000"/>
            </w:tcBorders>
            <w:vAlign w:val="center"/>
          </w:tcPr>
          <w:p w14:paraId="3FC2B2F9" w14:textId="57DA680F" w:rsidR="00B56D50" w:rsidRDefault="00B56D50" w:rsidP="00250C0A">
            <w:pPr>
              <w:spacing w:after="0" w:line="259" w:lineRule="auto"/>
              <w:ind w:left="2" w:right="0" w:firstLine="0"/>
              <w:jc w:val="center"/>
            </w:pPr>
          </w:p>
        </w:tc>
        <w:tc>
          <w:tcPr>
            <w:tcW w:w="698" w:type="dxa"/>
            <w:tcBorders>
              <w:top w:val="single" w:sz="4" w:space="0" w:color="000000"/>
              <w:left w:val="single" w:sz="12" w:space="0" w:color="000000"/>
              <w:bottom w:val="single" w:sz="4" w:space="0" w:color="000000"/>
              <w:right w:val="single" w:sz="12" w:space="0" w:color="000000"/>
            </w:tcBorders>
            <w:vAlign w:val="center"/>
          </w:tcPr>
          <w:p w14:paraId="2B58DFD6" w14:textId="70D6F06C" w:rsidR="00B56D50" w:rsidRDefault="00B56D50" w:rsidP="00250C0A">
            <w:pPr>
              <w:spacing w:after="0" w:line="259" w:lineRule="auto"/>
              <w:ind w:left="2" w:right="0" w:firstLine="0"/>
              <w:jc w:val="center"/>
            </w:pPr>
          </w:p>
        </w:tc>
      </w:tr>
      <w:tr w:rsidR="00B56D50" w14:paraId="73CD4883" w14:textId="77777777" w:rsidTr="00725264">
        <w:trPr>
          <w:trHeight w:val="290"/>
        </w:trPr>
        <w:tc>
          <w:tcPr>
            <w:tcW w:w="2211" w:type="dxa"/>
            <w:tcBorders>
              <w:top w:val="single" w:sz="4" w:space="0" w:color="000000"/>
              <w:left w:val="single" w:sz="12" w:space="0" w:color="000000"/>
              <w:bottom w:val="single" w:sz="4" w:space="0" w:color="000000"/>
              <w:right w:val="single" w:sz="12" w:space="0" w:color="000000"/>
            </w:tcBorders>
            <w:vAlign w:val="center"/>
          </w:tcPr>
          <w:p w14:paraId="2A5F0BB6" w14:textId="77777777" w:rsidR="00B56D50" w:rsidRDefault="001C3C42" w:rsidP="00250C0A">
            <w:pPr>
              <w:spacing w:after="0" w:line="259" w:lineRule="auto"/>
              <w:ind w:left="2" w:right="0" w:firstLine="0"/>
            </w:pPr>
            <w:r>
              <w:rPr>
                <w:sz w:val="18"/>
              </w:rPr>
              <w:t xml:space="preserve">Manganese </w:t>
            </w:r>
          </w:p>
        </w:tc>
        <w:tc>
          <w:tcPr>
            <w:tcW w:w="1179" w:type="dxa"/>
            <w:tcBorders>
              <w:top w:val="single" w:sz="4" w:space="0" w:color="000000"/>
              <w:left w:val="single" w:sz="12" w:space="0" w:color="000000"/>
              <w:bottom w:val="single" w:sz="4" w:space="0" w:color="000000"/>
              <w:right w:val="single" w:sz="12" w:space="0" w:color="000000"/>
            </w:tcBorders>
            <w:vAlign w:val="center"/>
          </w:tcPr>
          <w:p w14:paraId="1B510050" w14:textId="00D24B6F" w:rsidR="00B56D50" w:rsidRDefault="001C3C42" w:rsidP="00250C0A">
            <w:pPr>
              <w:spacing w:after="0" w:line="259" w:lineRule="auto"/>
              <w:ind w:left="0" w:right="0" w:firstLine="0"/>
              <w:jc w:val="center"/>
            </w:pPr>
            <w:r>
              <w:rPr>
                <w:sz w:val="18"/>
              </w:rPr>
              <w:t>7439-96-5</w:t>
            </w:r>
          </w:p>
        </w:tc>
        <w:tc>
          <w:tcPr>
            <w:tcW w:w="817" w:type="dxa"/>
            <w:tcBorders>
              <w:top w:val="single" w:sz="4" w:space="0" w:color="000000"/>
              <w:left w:val="single" w:sz="12" w:space="0" w:color="000000"/>
              <w:bottom w:val="single" w:sz="4" w:space="0" w:color="000000"/>
              <w:right w:val="single" w:sz="12" w:space="0" w:color="000000"/>
            </w:tcBorders>
            <w:vAlign w:val="center"/>
          </w:tcPr>
          <w:p w14:paraId="0D85C393" w14:textId="1BC386A0" w:rsidR="00B56D50" w:rsidRDefault="001C3C42" w:rsidP="00250C0A">
            <w:pPr>
              <w:tabs>
                <w:tab w:val="right" w:pos="590"/>
              </w:tabs>
              <w:spacing w:after="0" w:line="259" w:lineRule="auto"/>
              <w:ind w:left="0" w:right="0" w:firstLine="0"/>
              <w:jc w:val="center"/>
            </w:pPr>
            <w:r>
              <w:rPr>
                <w:sz w:val="18"/>
              </w:rPr>
              <w:t>5</w:t>
            </w:r>
          </w:p>
        </w:tc>
        <w:tc>
          <w:tcPr>
            <w:tcW w:w="726" w:type="dxa"/>
            <w:tcBorders>
              <w:top w:val="single" w:sz="4" w:space="0" w:color="000000"/>
              <w:left w:val="single" w:sz="12" w:space="0" w:color="000000"/>
              <w:bottom w:val="single" w:sz="4" w:space="0" w:color="000000"/>
              <w:right w:val="single" w:sz="12" w:space="0" w:color="000000"/>
            </w:tcBorders>
            <w:vAlign w:val="center"/>
          </w:tcPr>
          <w:p w14:paraId="5FAC8EF4" w14:textId="2C96BB02" w:rsidR="00B56D50" w:rsidRDefault="008748B5" w:rsidP="00250C0A">
            <w:pPr>
              <w:spacing w:after="0" w:line="259" w:lineRule="auto"/>
              <w:ind w:left="0" w:right="0" w:firstLine="0"/>
              <w:jc w:val="center"/>
            </w:pPr>
            <w:r>
              <w:rPr>
                <w:rFonts w:ascii="Segoe UI Symbol" w:eastAsia="Segoe UI Symbol" w:hAnsi="Segoe UI Symbol" w:cs="Segoe UI Symbol"/>
                <w:sz w:val="18"/>
              </w:rPr>
              <w:t>u</w:t>
            </w:r>
            <w:r w:rsidR="001C3C42">
              <w:rPr>
                <w:sz w:val="18"/>
              </w:rPr>
              <w:t>g/L</w:t>
            </w:r>
          </w:p>
        </w:tc>
        <w:tc>
          <w:tcPr>
            <w:tcW w:w="815" w:type="dxa"/>
            <w:tcBorders>
              <w:top w:val="single" w:sz="4" w:space="0" w:color="000000"/>
              <w:left w:val="single" w:sz="12" w:space="0" w:color="000000"/>
              <w:bottom w:val="single" w:sz="4" w:space="0" w:color="000000"/>
              <w:right w:val="single" w:sz="12" w:space="0" w:color="000000"/>
            </w:tcBorders>
            <w:vAlign w:val="center"/>
          </w:tcPr>
          <w:p w14:paraId="79F51B73" w14:textId="5BC43F3C" w:rsidR="00B56D50" w:rsidRDefault="001C3C42" w:rsidP="00250C0A">
            <w:pPr>
              <w:spacing w:after="0" w:line="259" w:lineRule="auto"/>
              <w:ind w:left="0" w:right="0" w:firstLine="0"/>
              <w:jc w:val="center"/>
            </w:pPr>
            <w:r>
              <w:rPr>
                <w:sz w:val="18"/>
              </w:rPr>
              <w:t>2</w:t>
            </w:r>
          </w:p>
        </w:tc>
        <w:tc>
          <w:tcPr>
            <w:tcW w:w="818" w:type="dxa"/>
            <w:tcBorders>
              <w:top w:val="single" w:sz="4" w:space="0" w:color="000000"/>
              <w:left w:val="single" w:sz="12" w:space="0" w:color="000000"/>
              <w:bottom w:val="single" w:sz="4" w:space="0" w:color="000000"/>
              <w:right w:val="single" w:sz="12" w:space="0" w:color="000000"/>
            </w:tcBorders>
            <w:vAlign w:val="center"/>
          </w:tcPr>
          <w:p w14:paraId="4B2B11CC" w14:textId="2D90FE27" w:rsidR="00B56D50" w:rsidRDefault="001C3C42" w:rsidP="00250C0A">
            <w:pPr>
              <w:spacing w:after="0" w:line="259" w:lineRule="auto"/>
              <w:ind w:left="4" w:right="0" w:firstLine="0"/>
              <w:jc w:val="center"/>
            </w:pPr>
            <w:r>
              <w:rPr>
                <w:sz w:val="18"/>
              </w:rPr>
              <w:t>mg/kg</w:t>
            </w:r>
          </w:p>
        </w:tc>
        <w:tc>
          <w:tcPr>
            <w:tcW w:w="907" w:type="dxa"/>
            <w:tcBorders>
              <w:top w:val="single" w:sz="4" w:space="0" w:color="000000"/>
              <w:left w:val="single" w:sz="12" w:space="0" w:color="000000"/>
              <w:bottom w:val="single" w:sz="4" w:space="0" w:color="000000"/>
              <w:right w:val="single" w:sz="12" w:space="0" w:color="000000"/>
            </w:tcBorders>
            <w:vAlign w:val="center"/>
          </w:tcPr>
          <w:p w14:paraId="4E56A53C" w14:textId="2E72E5C3" w:rsidR="00B56D50" w:rsidRDefault="001C3C42" w:rsidP="00250C0A">
            <w:pPr>
              <w:spacing w:after="0" w:line="259" w:lineRule="auto"/>
              <w:ind w:left="0" w:right="0" w:firstLine="0"/>
              <w:jc w:val="center"/>
            </w:pPr>
            <w:r>
              <w:rPr>
                <w:sz w:val="18"/>
              </w:rPr>
              <w:t>6010</w:t>
            </w:r>
          </w:p>
        </w:tc>
        <w:tc>
          <w:tcPr>
            <w:tcW w:w="907" w:type="dxa"/>
            <w:tcBorders>
              <w:top w:val="single" w:sz="4" w:space="0" w:color="000000"/>
              <w:left w:val="single" w:sz="12" w:space="0" w:color="000000"/>
              <w:bottom w:val="single" w:sz="4" w:space="0" w:color="000000"/>
              <w:right w:val="single" w:sz="12" w:space="0" w:color="000000"/>
            </w:tcBorders>
            <w:vAlign w:val="center"/>
          </w:tcPr>
          <w:p w14:paraId="6D0DDEBD" w14:textId="08E545E5" w:rsidR="00B56D50" w:rsidRDefault="001C3C42" w:rsidP="00250C0A">
            <w:pPr>
              <w:spacing w:after="0" w:line="259" w:lineRule="auto"/>
              <w:ind w:left="0" w:right="0" w:firstLine="0"/>
              <w:jc w:val="center"/>
            </w:pPr>
            <w:r>
              <w:rPr>
                <w:sz w:val="18"/>
              </w:rPr>
              <w:t>6020</w:t>
            </w:r>
          </w:p>
        </w:tc>
        <w:tc>
          <w:tcPr>
            <w:tcW w:w="770" w:type="dxa"/>
            <w:tcBorders>
              <w:top w:val="single" w:sz="4" w:space="0" w:color="000000"/>
              <w:left w:val="single" w:sz="12" w:space="0" w:color="000000"/>
              <w:bottom w:val="single" w:sz="4" w:space="0" w:color="000000"/>
              <w:right w:val="single" w:sz="12" w:space="0" w:color="000000"/>
            </w:tcBorders>
            <w:vAlign w:val="center"/>
          </w:tcPr>
          <w:p w14:paraId="4826E0BC" w14:textId="5EB70811" w:rsidR="00B56D50" w:rsidRDefault="001C3C42" w:rsidP="00250C0A">
            <w:pPr>
              <w:spacing w:after="0" w:line="259" w:lineRule="auto"/>
              <w:ind w:left="1" w:right="0" w:firstLine="0"/>
              <w:jc w:val="center"/>
            </w:pPr>
            <w:r>
              <w:rPr>
                <w:sz w:val="18"/>
              </w:rPr>
              <w:t>7010</w:t>
            </w:r>
            <w:r w:rsidR="007E564F">
              <w:rPr>
                <w:sz w:val="18"/>
              </w:rPr>
              <w:t xml:space="preserve"> </w:t>
            </w:r>
            <w:r w:rsidR="006077B3" w:rsidRPr="007E564F">
              <w:rPr>
                <w:b/>
                <w:bCs/>
                <w:sz w:val="18"/>
                <w:vertAlign w:val="superscript"/>
              </w:rPr>
              <w:t>4</w:t>
            </w:r>
          </w:p>
        </w:tc>
        <w:tc>
          <w:tcPr>
            <w:tcW w:w="772" w:type="dxa"/>
            <w:tcBorders>
              <w:top w:val="single" w:sz="4" w:space="0" w:color="000000"/>
              <w:left w:val="single" w:sz="12" w:space="0" w:color="000000"/>
              <w:bottom w:val="single" w:sz="4" w:space="0" w:color="000000"/>
              <w:right w:val="single" w:sz="12" w:space="0" w:color="000000"/>
            </w:tcBorders>
            <w:vAlign w:val="center"/>
          </w:tcPr>
          <w:p w14:paraId="168871AD" w14:textId="2EBD5A44" w:rsidR="00B56D50" w:rsidRDefault="00B56D50" w:rsidP="00250C0A">
            <w:pPr>
              <w:spacing w:after="0" w:line="259" w:lineRule="auto"/>
              <w:ind w:left="2" w:right="0" w:firstLine="0"/>
              <w:jc w:val="center"/>
            </w:pPr>
          </w:p>
        </w:tc>
        <w:tc>
          <w:tcPr>
            <w:tcW w:w="698" w:type="dxa"/>
            <w:tcBorders>
              <w:top w:val="single" w:sz="4" w:space="0" w:color="000000"/>
              <w:left w:val="single" w:sz="12" w:space="0" w:color="000000"/>
              <w:bottom w:val="single" w:sz="4" w:space="0" w:color="000000"/>
              <w:right w:val="single" w:sz="12" w:space="0" w:color="000000"/>
            </w:tcBorders>
            <w:vAlign w:val="center"/>
          </w:tcPr>
          <w:p w14:paraId="0B7DCA79" w14:textId="313CBC05" w:rsidR="00B56D50" w:rsidRDefault="00B56D50" w:rsidP="00250C0A">
            <w:pPr>
              <w:spacing w:after="0" w:line="259" w:lineRule="auto"/>
              <w:ind w:left="2" w:right="0" w:firstLine="0"/>
              <w:jc w:val="center"/>
            </w:pPr>
          </w:p>
        </w:tc>
      </w:tr>
      <w:tr w:rsidR="00B56D50" w14:paraId="51ED8205" w14:textId="77777777" w:rsidTr="00725264">
        <w:trPr>
          <w:trHeight w:val="293"/>
        </w:trPr>
        <w:tc>
          <w:tcPr>
            <w:tcW w:w="2211" w:type="dxa"/>
            <w:tcBorders>
              <w:top w:val="single" w:sz="4" w:space="0" w:color="000000"/>
              <w:left w:val="single" w:sz="12" w:space="0" w:color="000000"/>
              <w:bottom w:val="single" w:sz="4" w:space="0" w:color="000000"/>
              <w:right w:val="single" w:sz="12" w:space="0" w:color="000000"/>
            </w:tcBorders>
            <w:vAlign w:val="center"/>
          </w:tcPr>
          <w:p w14:paraId="2563D183" w14:textId="77777777" w:rsidR="00B56D50" w:rsidRDefault="001C3C42" w:rsidP="00250C0A">
            <w:pPr>
              <w:spacing w:after="0" w:line="259" w:lineRule="auto"/>
              <w:ind w:left="2" w:right="0" w:firstLine="0"/>
            </w:pPr>
            <w:r>
              <w:rPr>
                <w:sz w:val="18"/>
              </w:rPr>
              <w:t xml:space="preserve">Potassium </w:t>
            </w:r>
          </w:p>
        </w:tc>
        <w:tc>
          <w:tcPr>
            <w:tcW w:w="1179" w:type="dxa"/>
            <w:tcBorders>
              <w:top w:val="single" w:sz="4" w:space="0" w:color="000000"/>
              <w:left w:val="single" w:sz="12" w:space="0" w:color="000000"/>
              <w:bottom w:val="single" w:sz="4" w:space="0" w:color="000000"/>
              <w:right w:val="single" w:sz="12" w:space="0" w:color="000000"/>
            </w:tcBorders>
            <w:vAlign w:val="center"/>
          </w:tcPr>
          <w:p w14:paraId="01695540" w14:textId="0205D314" w:rsidR="00B56D50" w:rsidRDefault="001C3C42" w:rsidP="00250C0A">
            <w:pPr>
              <w:spacing w:after="0" w:line="259" w:lineRule="auto"/>
              <w:ind w:left="0" w:right="0" w:firstLine="0"/>
              <w:jc w:val="center"/>
            </w:pPr>
            <w:r>
              <w:rPr>
                <w:sz w:val="18"/>
              </w:rPr>
              <w:t>7440-09-7</w:t>
            </w:r>
          </w:p>
        </w:tc>
        <w:tc>
          <w:tcPr>
            <w:tcW w:w="817" w:type="dxa"/>
            <w:tcBorders>
              <w:top w:val="single" w:sz="4" w:space="0" w:color="000000"/>
              <w:left w:val="single" w:sz="12" w:space="0" w:color="000000"/>
              <w:bottom w:val="single" w:sz="4" w:space="0" w:color="000000"/>
              <w:right w:val="single" w:sz="12" w:space="0" w:color="000000"/>
            </w:tcBorders>
            <w:vAlign w:val="center"/>
          </w:tcPr>
          <w:p w14:paraId="40F836BE" w14:textId="0D964695" w:rsidR="00B56D50" w:rsidRDefault="001C3C42" w:rsidP="00250C0A">
            <w:pPr>
              <w:spacing w:after="0" w:line="259" w:lineRule="auto"/>
              <w:ind w:left="2" w:right="0" w:firstLine="0"/>
              <w:jc w:val="center"/>
            </w:pPr>
            <w:r>
              <w:rPr>
                <w:sz w:val="18"/>
              </w:rPr>
              <w:t>100</w:t>
            </w:r>
          </w:p>
        </w:tc>
        <w:tc>
          <w:tcPr>
            <w:tcW w:w="726" w:type="dxa"/>
            <w:tcBorders>
              <w:top w:val="single" w:sz="4" w:space="0" w:color="000000"/>
              <w:left w:val="single" w:sz="12" w:space="0" w:color="000000"/>
              <w:bottom w:val="single" w:sz="4" w:space="0" w:color="000000"/>
              <w:right w:val="single" w:sz="12" w:space="0" w:color="000000"/>
            </w:tcBorders>
            <w:vAlign w:val="center"/>
          </w:tcPr>
          <w:p w14:paraId="0D58DD3C" w14:textId="132450E7" w:rsidR="00B56D50" w:rsidRDefault="008748B5" w:rsidP="00250C0A">
            <w:pPr>
              <w:spacing w:after="0" w:line="259" w:lineRule="auto"/>
              <w:ind w:left="0" w:right="0" w:firstLine="0"/>
              <w:jc w:val="center"/>
            </w:pPr>
            <w:r>
              <w:rPr>
                <w:rFonts w:ascii="Segoe UI Symbol" w:eastAsia="Segoe UI Symbol" w:hAnsi="Segoe UI Symbol" w:cs="Segoe UI Symbol"/>
                <w:sz w:val="18"/>
              </w:rPr>
              <w:t>u</w:t>
            </w:r>
            <w:r w:rsidR="001C3C42">
              <w:rPr>
                <w:sz w:val="18"/>
              </w:rPr>
              <w:t>g/L</w:t>
            </w:r>
          </w:p>
        </w:tc>
        <w:tc>
          <w:tcPr>
            <w:tcW w:w="815" w:type="dxa"/>
            <w:tcBorders>
              <w:top w:val="single" w:sz="4" w:space="0" w:color="000000"/>
              <w:left w:val="single" w:sz="12" w:space="0" w:color="000000"/>
              <w:bottom w:val="single" w:sz="4" w:space="0" w:color="000000"/>
              <w:right w:val="single" w:sz="12" w:space="0" w:color="000000"/>
            </w:tcBorders>
            <w:vAlign w:val="center"/>
          </w:tcPr>
          <w:p w14:paraId="252C0D4E" w14:textId="12BAD264" w:rsidR="00B56D50" w:rsidRDefault="001C3C42" w:rsidP="00250C0A">
            <w:pPr>
              <w:spacing w:after="0" w:line="259" w:lineRule="auto"/>
              <w:ind w:left="0" w:right="0" w:firstLine="0"/>
              <w:jc w:val="center"/>
            </w:pPr>
            <w:r>
              <w:rPr>
                <w:sz w:val="18"/>
              </w:rPr>
              <w:t>100</w:t>
            </w:r>
          </w:p>
        </w:tc>
        <w:tc>
          <w:tcPr>
            <w:tcW w:w="818" w:type="dxa"/>
            <w:tcBorders>
              <w:top w:val="single" w:sz="4" w:space="0" w:color="000000"/>
              <w:left w:val="single" w:sz="12" w:space="0" w:color="000000"/>
              <w:bottom w:val="single" w:sz="4" w:space="0" w:color="000000"/>
              <w:right w:val="single" w:sz="12" w:space="0" w:color="000000"/>
            </w:tcBorders>
            <w:vAlign w:val="center"/>
          </w:tcPr>
          <w:p w14:paraId="26074041" w14:textId="73405C98" w:rsidR="00B56D50" w:rsidRDefault="001C3C42" w:rsidP="00250C0A">
            <w:pPr>
              <w:spacing w:after="0" w:line="259" w:lineRule="auto"/>
              <w:ind w:left="4" w:right="0" w:firstLine="0"/>
              <w:jc w:val="center"/>
            </w:pPr>
            <w:r>
              <w:rPr>
                <w:sz w:val="18"/>
              </w:rPr>
              <w:t>mg/kg</w:t>
            </w:r>
          </w:p>
        </w:tc>
        <w:tc>
          <w:tcPr>
            <w:tcW w:w="907" w:type="dxa"/>
            <w:tcBorders>
              <w:top w:val="single" w:sz="4" w:space="0" w:color="000000"/>
              <w:left w:val="single" w:sz="12" w:space="0" w:color="000000"/>
              <w:bottom w:val="single" w:sz="4" w:space="0" w:color="000000"/>
              <w:right w:val="single" w:sz="12" w:space="0" w:color="000000"/>
            </w:tcBorders>
            <w:vAlign w:val="center"/>
          </w:tcPr>
          <w:p w14:paraId="7F38CC0F" w14:textId="072D39A5" w:rsidR="00B56D50" w:rsidRDefault="001C3C42" w:rsidP="00250C0A">
            <w:pPr>
              <w:spacing w:after="0" w:line="259" w:lineRule="auto"/>
              <w:ind w:left="0" w:right="0" w:firstLine="0"/>
              <w:jc w:val="center"/>
            </w:pPr>
            <w:r>
              <w:rPr>
                <w:sz w:val="18"/>
              </w:rPr>
              <w:t>6010</w:t>
            </w:r>
          </w:p>
        </w:tc>
        <w:tc>
          <w:tcPr>
            <w:tcW w:w="907" w:type="dxa"/>
            <w:tcBorders>
              <w:top w:val="single" w:sz="4" w:space="0" w:color="000000"/>
              <w:left w:val="single" w:sz="12" w:space="0" w:color="000000"/>
              <w:bottom w:val="single" w:sz="4" w:space="0" w:color="000000"/>
              <w:right w:val="single" w:sz="12" w:space="0" w:color="000000"/>
            </w:tcBorders>
            <w:vAlign w:val="center"/>
          </w:tcPr>
          <w:p w14:paraId="40F96278" w14:textId="6D091D52" w:rsidR="00B56D50" w:rsidRDefault="001C3C42" w:rsidP="00250C0A">
            <w:pPr>
              <w:spacing w:after="0" w:line="259" w:lineRule="auto"/>
              <w:ind w:left="0" w:right="0" w:firstLine="0"/>
              <w:jc w:val="center"/>
            </w:pPr>
            <w:r>
              <w:rPr>
                <w:sz w:val="18"/>
              </w:rPr>
              <w:t>6020</w:t>
            </w:r>
          </w:p>
        </w:tc>
        <w:tc>
          <w:tcPr>
            <w:tcW w:w="770" w:type="dxa"/>
            <w:tcBorders>
              <w:top w:val="single" w:sz="4" w:space="0" w:color="000000"/>
              <w:left w:val="single" w:sz="12" w:space="0" w:color="000000"/>
              <w:bottom w:val="single" w:sz="4" w:space="0" w:color="000000"/>
              <w:right w:val="single" w:sz="12" w:space="0" w:color="000000"/>
            </w:tcBorders>
            <w:vAlign w:val="center"/>
          </w:tcPr>
          <w:p w14:paraId="3A437BB9" w14:textId="11B6BD57" w:rsidR="00B56D50" w:rsidRDefault="00B56D50" w:rsidP="00250C0A">
            <w:pPr>
              <w:spacing w:after="0" w:line="259" w:lineRule="auto"/>
              <w:ind w:left="1" w:right="0" w:firstLine="0"/>
              <w:jc w:val="center"/>
            </w:pPr>
          </w:p>
        </w:tc>
        <w:tc>
          <w:tcPr>
            <w:tcW w:w="772" w:type="dxa"/>
            <w:tcBorders>
              <w:top w:val="single" w:sz="4" w:space="0" w:color="000000"/>
              <w:left w:val="single" w:sz="12" w:space="0" w:color="000000"/>
              <w:bottom w:val="single" w:sz="4" w:space="0" w:color="000000"/>
              <w:right w:val="single" w:sz="12" w:space="0" w:color="000000"/>
            </w:tcBorders>
            <w:vAlign w:val="center"/>
          </w:tcPr>
          <w:p w14:paraId="49EE31C9" w14:textId="2A8A7179" w:rsidR="00B56D50" w:rsidRDefault="00B56D50" w:rsidP="00250C0A">
            <w:pPr>
              <w:spacing w:after="0" w:line="259" w:lineRule="auto"/>
              <w:ind w:left="2" w:right="0" w:firstLine="0"/>
              <w:jc w:val="center"/>
            </w:pPr>
          </w:p>
        </w:tc>
        <w:tc>
          <w:tcPr>
            <w:tcW w:w="698" w:type="dxa"/>
            <w:tcBorders>
              <w:top w:val="single" w:sz="4" w:space="0" w:color="000000"/>
              <w:left w:val="single" w:sz="12" w:space="0" w:color="000000"/>
              <w:bottom w:val="single" w:sz="4" w:space="0" w:color="000000"/>
              <w:right w:val="single" w:sz="12" w:space="0" w:color="000000"/>
            </w:tcBorders>
            <w:vAlign w:val="center"/>
          </w:tcPr>
          <w:p w14:paraId="51F8D418" w14:textId="1C2FF1A5" w:rsidR="00B56D50" w:rsidRDefault="00B56D50" w:rsidP="00250C0A">
            <w:pPr>
              <w:spacing w:after="0" w:line="259" w:lineRule="auto"/>
              <w:ind w:left="2" w:right="0" w:firstLine="0"/>
              <w:jc w:val="center"/>
            </w:pPr>
          </w:p>
        </w:tc>
      </w:tr>
      <w:tr w:rsidR="00B56D50" w14:paraId="725F2848" w14:textId="77777777" w:rsidTr="00725264">
        <w:trPr>
          <w:trHeight w:val="298"/>
        </w:trPr>
        <w:tc>
          <w:tcPr>
            <w:tcW w:w="2211" w:type="dxa"/>
            <w:tcBorders>
              <w:top w:val="single" w:sz="4" w:space="0" w:color="000000"/>
              <w:left w:val="single" w:sz="12" w:space="0" w:color="000000"/>
              <w:bottom w:val="single" w:sz="12" w:space="0" w:color="000000"/>
              <w:right w:val="single" w:sz="12" w:space="0" w:color="000000"/>
            </w:tcBorders>
            <w:vAlign w:val="center"/>
          </w:tcPr>
          <w:p w14:paraId="1FA1E9D6" w14:textId="77777777" w:rsidR="00B56D50" w:rsidRDefault="001C3C42" w:rsidP="00250C0A">
            <w:pPr>
              <w:spacing w:after="0" w:line="259" w:lineRule="auto"/>
              <w:ind w:left="2" w:right="0" w:firstLine="0"/>
            </w:pPr>
            <w:r>
              <w:rPr>
                <w:sz w:val="18"/>
              </w:rPr>
              <w:t xml:space="preserve">Sodium </w:t>
            </w:r>
          </w:p>
        </w:tc>
        <w:tc>
          <w:tcPr>
            <w:tcW w:w="1179" w:type="dxa"/>
            <w:tcBorders>
              <w:top w:val="single" w:sz="4" w:space="0" w:color="000000"/>
              <w:left w:val="single" w:sz="12" w:space="0" w:color="000000"/>
              <w:bottom w:val="single" w:sz="12" w:space="0" w:color="000000"/>
              <w:right w:val="single" w:sz="12" w:space="0" w:color="000000"/>
            </w:tcBorders>
            <w:vAlign w:val="center"/>
          </w:tcPr>
          <w:p w14:paraId="21947F6D" w14:textId="765613BD" w:rsidR="00B56D50" w:rsidRDefault="001C3C42" w:rsidP="00250C0A">
            <w:pPr>
              <w:spacing w:after="0" w:line="259" w:lineRule="auto"/>
              <w:ind w:left="0" w:right="0" w:firstLine="0"/>
              <w:jc w:val="center"/>
            </w:pPr>
            <w:r>
              <w:rPr>
                <w:sz w:val="18"/>
              </w:rPr>
              <w:t>7440-23-5</w:t>
            </w:r>
          </w:p>
        </w:tc>
        <w:tc>
          <w:tcPr>
            <w:tcW w:w="817" w:type="dxa"/>
            <w:tcBorders>
              <w:top w:val="single" w:sz="4" w:space="0" w:color="000000"/>
              <w:left w:val="single" w:sz="12" w:space="0" w:color="000000"/>
              <w:bottom w:val="single" w:sz="12" w:space="0" w:color="000000"/>
              <w:right w:val="single" w:sz="12" w:space="0" w:color="000000"/>
            </w:tcBorders>
            <w:vAlign w:val="center"/>
          </w:tcPr>
          <w:p w14:paraId="58E9336A" w14:textId="7F1CDDCA" w:rsidR="00B56D50" w:rsidRDefault="001C3C42" w:rsidP="00250C0A">
            <w:pPr>
              <w:spacing w:after="0" w:line="259" w:lineRule="auto"/>
              <w:ind w:left="2" w:right="0" w:firstLine="0"/>
              <w:jc w:val="center"/>
            </w:pPr>
            <w:r>
              <w:rPr>
                <w:sz w:val="18"/>
              </w:rPr>
              <w:t>500</w:t>
            </w:r>
          </w:p>
        </w:tc>
        <w:tc>
          <w:tcPr>
            <w:tcW w:w="726" w:type="dxa"/>
            <w:tcBorders>
              <w:top w:val="single" w:sz="4" w:space="0" w:color="000000"/>
              <w:left w:val="single" w:sz="12" w:space="0" w:color="000000"/>
              <w:bottom w:val="single" w:sz="12" w:space="0" w:color="000000"/>
              <w:right w:val="single" w:sz="12" w:space="0" w:color="000000"/>
            </w:tcBorders>
            <w:vAlign w:val="center"/>
          </w:tcPr>
          <w:p w14:paraId="056659E7" w14:textId="3F03F8EE" w:rsidR="00B56D50" w:rsidRDefault="008748B5" w:rsidP="00250C0A">
            <w:pPr>
              <w:spacing w:after="0" w:line="259" w:lineRule="auto"/>
              <w:ind w:left="0" w:right="0" w:firstLine="0"/>
              <w:jc w:val="center"/>
            </w:pPr>
            <w:r>
              <w:rPr>
                <w:rFonts w:ascii="Segoe UI Symbol" w:eastAsia="Segoe UI Symbol" w:hAnsi="Segoe UI Symbol" w:cs="Segoe UI Symbol"/>
                <w:sz w:val="18"/>
              </w:rPr>
              <w:t>u</w:t>
            </w:r>
            <w:r w:rsidR="001C3C42">
              <w:rPr>
                <w:sz w:val="18"/>
              </w:rPr>
              <w:t>g/L</w:t>
            </w:r>
          </w:p>
        </w:tc>
        <w:tc>
          <w:tcPr>
            <w:tcW w:w="815" w:type="dxa"/>
            <w:tcBorders>
              <w:top w:val="single" w:sz="4" w:space="0" w:color="000000"/>
              <w:left w:val="single" w:sz="12" w:space="0" w:color="000000"/>
              <w:bottom w:val="single" w:sz="12" w:space="0" w:color="000000"/>
              <w:right w:val="single" w:sz="12" w:space="0" w:color="000000"/>
            </w:tcBorders>
            <w:vAlign w:val="center"/>
          </w:tcPr>
          <w:p w14:paraId="4293B814" w14:textId="242607E4" w:rsidR="00B56D50" w:rsidRDefault="001C3C42" w:rsidP="00250C0A">
            <w:pPr>
              <w:spacing w:after="0" w:line="259" w:lineRule="auto"/>
              <w:ind w:left="0" w:right="0" w:firstLine="0"/>
              <w:jc w:val="center"/>
            </w:pPr>
            <w:r>
              <w:rPr>
                <w:sz w:val="18"/>
              </w:rPr>
              <w:t>100</w:t>
            </w:r>
          </w:p>
        </w:tc>
        <w:tc>
          <w:tcPr>
            <w:tcW w:w="818" w:type="dxa"/>
            <w:tcBorders>
              <w:top w:val="single" w:sz="4" w:space="0" w:color="000000"/>
              <w:left w:val="single" w:sz="12" w:space="0" w:color="000000"/>
              <w:bottom w:val="single" w:sz="12" w:space="0" w:color="000000"/>
              <w:right w:val="single" w:sz="12" w:space="0" w:color="000000"/>
            </w:tcBorders>
            <w:vAlign w:val="center"/>
          </w:tcPr>
          <w:p w14:paraId="3809A3D8" w14:textId="16719C3A" w:rsidR="00B56D50" w:rsidRDefault="001C3C42" w:rsidP="00250C0A">
            <w:pPr>
              <w:spacing w:after="0" w:line="259" w:lineRule="auto"/>
              <w:ind w:left="4" w:right="0" w:firstLine="0"/>
              <w:jc w:val="center"/>
            </w:pPr>
            <w:r>
              <w:rPr>
                <w:sz w:val="18"/>
              </w:rPr>
              <w:t>mg/kg</w:t>
            </w:r>
          </w:p>
        </w:tc>
        <w:tc>
          <w:tcPr>
            <w:tcW w:w="907" w:type="dxa"/>
            <w:tcBorders>
              <w:top w:val="single" w:sz="4" w:space="0" w:color="000000"/>
              <w:left w:val="single" w:sz="12" w:space="0" w:color="000000"/>
              <w:bottom w:val="single" w:sz="12" w:space="0" w:color="000000"/>
              <w:right w:val="single" w:sz="12" w:space="0" w:color="000000"/>
            </w:tcBorders>
            <w:vAlign w:val="center"/>
          </w:tcPr>
          <w:p w14:paraId="64DF615F" w14:textId="1F8327C7" w:rsidR="00B56D50" w:rsidRDefault="001C3C42" w:rsidP="00250C0A">
            <w:pPr>
              <w:spacing w:after="0" w:line="259" w:lineRule="auto"/>
              <w:ind w:left="0" w:right="0" w:firstLine="0"/>
              <w:jc w:val="center"/>
            </w:pPr>
            <w:r>
              <w:rPr>
                <w:sz w:val="18"/>
              </w:rPr>
              <w:t>6010</w:t>
            </w:r>
          </w:p>
        </w:tc>
        <w:tc>
          <w:tcPr>
            <w:tcW w:w="907" w:type="dxa"/>
            <w:tcBorders>
              <w:top w:val="single" w:sz="4" w:space="0" w:color="000000"/>
              <w:left w:val="single" w:sz="12" w:space="0" w:color="000000"/>
              <w:bottom w:val="single" w:sz="12" w:space="0" w:color="000000"/>
              <w:right w:val="single" w:sz="12" w:space="0" w:color="000000"/>
            </w:tcBorders>
            <w:vAlign w:val="center"/>
          </w:tcPr>
          <w:p w14:paraId="68A7536C" w14:textId="0599B472" w:rsidR="00B56D50" w:rsidRDefault="001C3C42" w:rsidP="00250C0A">
            <w:pPr>
              <w:spacing w:after="0" w:line="259" w:lineRule="auto"/>
              <w:ind w:left="0" w:right="0" w:firstLine="0"/>
              <w:jc w:val="center"/>
            </w:pPr>
            <w:r>
              <w:rPr>
                <w:sz w:val="18"/>
              </w:rPr>
              <w:t>6020</w:t>
            </w:r>
          </w:p>
        </w:tc>
        <w:tc>
          <w:tcPr>
            <w:tcW w:w="770" w:type="dxa"/>
            <w:tcBorders>
              <w:top w:val="single" w:sz="4" w:space="0" w:color="000000"/>
              <w:left w:val="single" w:sz="12" w:space="0" w:color="000000"/>
              <w:bottom w:val="single" w:sz="12" w:space="0" w:color="000000"/>
              <w:right w:val="single" w:sz="12" w:space="0" w:color="000000"/>
            </w:tcBorders>
            <w:vAlign w:val="center"/>
          </w:tcPr>
          <w:p w14:paraId="7638553C" w14:textId="74AC20E6" w:rsidR="00B56D50" w:rsidRDefault="00B56D50" w:rsidP="00250C0A">
            <w:pPr>
              <w:spacing w:after="0" w:line="259" w:lineRule="auto"/>
              <w:ind w:left="1" w:right="0" w:firstLine="0"/>
              <w:jc w:val="center"/>
            </w:pPr>
          </w:p>
        </w:tc>
        <w:tc>
          <w:tcPr>
            <w:tcW w:w="772" w:type="dxa"/>
            <w:tcBorders>
              <w:top w:val="single" w:sz="4" w:space="0" w:color="000000"/>
              <w:left w:val="single" w:sz="12" w:space="0" w:color="000000"/>
              <w:bottom w:val="single" w:sz="12" w:space="0" w:color="000000"/>
              <w:right w:val="single" w:sz="12" w:space="0" w:color="000000"/>
            </w:tcBorders>
            <w:vAlign w:val="center"/>
          </w:tcPr>
          <w:p w14:paraId="6A2ADA6D" w14:textId="0A770D32" w:rsidR="00B56D50" w:rsidRDefault="00B56D50" w:rsidP="00250C0A">
            <w:pPr>
              <w:spacing w:after="0" w:line="259" w:lineRule="auto"/>
              <w:ind w:left="2" w:right="0" w:firstLine="0"/>
              <w:jc w:val="center"/>
            </w:pPr>
          </w:p>
        </w:tc>
        <w:tc>
          <w:tcPr>
            <w:tcW w:w="698" w:type="dxa"/>
            <w:tcBorders>
              <w:top w:val="single" w:sz="4" w:space="0" w:color="000000"/>
              <w:left w:val="single" w:sz="12" w:space="0" w:color="000000"/>
              <w:bottom w:val="single" w:sz="12" w:space="0" w:color="000000"/>
              <w:right w:val="single" w:sz="12" w:space="0" w:color="000000"/>
            </w:tcBorders>
            <w:vAlign w:val="center"/>
          </w:tcPr>
          <w:p w14:paraId="090A7CB7" w14:textId="1441F189" w:rsidR="00B56D50" w:rsidRDefault="00B56D50" w:rsidP="00250C0A">
            <w:pPr>
              <w:spacing w:after="0" w:line="259" w:lineRule="auto"/>
              <w:ind w:left="2" w:right="0" w:firstLine="0"/>
              <w:jc w:val="center"/>
            </w:pPr>
          </w:p>
        </w:tc>
      </w:tr>
    </w:tbl>
    <w:p w14:paraId="5F52ACAB" w14:textId="559B0E73" w:rsidR="00B56D50" w:rsidRDefault="00B56D50" w:rsidP="00182513">
      <w:pPr>
        <w:spacing w:after="0" w:line="259" w:lineRule="auto"/>
        <w:ind w:right="0"/>
      </w:pPr>
    </w:p>
    <w:tbl>
      <w:tblPr>
        <w:tblStyle w:val="TableGrid1"/>
        <w:tblW w:w="10620" w:type="dxa"/>
        <w:tblInd w:w="-375" w:type="dxa"/>
        <w:tblCellMar>
          <w:top w:w="20" w:type="dxa"/>
          <w:left w:w="72" w:type="dxa"/>
          <w:right w:w="85" w:type="dxa"/>
        </w:tblCellMar>
        <w:tblLook w:val="04A0" w:firstRow="1" w:lastRow="0" w:firstColumn="1" w:lastColumn="0" w:noHBand="0" w:noVBand="1"/>
      </w:tblPr>
      <w:tblGrid>
        <w:gridCol w:w="2629"/>
        <w:gridCol w:w="1183"/>
        <w:gridCol w:w="817"/>
        <w:gridCol w:w="727"/>
        <w:gridCol w:w="727"/>
        <w:gridCol w:w="727"/>
        <w:gridCol w:w="727"/>
        <w:gridCol w:w="909"/>
        <w:gridCol w:w="728"/>
        <w:gridCol w:w="819"/>
        <w:gridCol w:w="627"/>
      </w:tblGrid>
      <w:tr w:rsidR="0047216A" w14:paraId="34C689FA" w14:textId="77777777" w:rsidTr="00725264">
        <w:trPr>
          <w:trHeight w:val="432"/>
        </w:trPr>
        <w:tc>
          <w:tcPr>
            <w:tcW w:w="10620" w:type="dxa"/>
            <w:gridSpan w:val="11"/>
            <w:tcBorders>
              <w:top w:val="single" w:sz="12" w:space="0" w:color="000000"/>
              <w:left w:val="single" w:sz="12" w:space="0" w:color="000000"/>
              <w:bottom w:val="single" w:sz="12" w:space="0" w:color="000000"/>
              <w:right w:val="single" w:sz="12" w:space="0" w:color="000000"/>
            </w:tcBorders>
            <w:vAlign w:val="center"/>
          </w:tcPr>
          <w:p w14:paraId="60FF149C" w14:textId="78BFF433" w:rsidR="0047216A" w:rsidRDefault="0047216A" w:rsidP="00B961A7">
            <w:pPr>
              <w:spacing w:after="0" w:line="259" w:lineRule="auto"/>
              <w:ind w:left="0" w:right="0" w:firstLine="0"/>
            </w:pPr>
            <w:r>
              <w:rPr>
                <w:b/>
                <w:sz w:val="18"/>
              </w:rPr>
              <w:t xml:space="preserve">TOTAL METALS - </w:t>
            </w:r>
            <w:r w:rsidRPr="00EB3E70">
              <w:rPr>
                <w:b/>
                <w:sz w:val="18"/>
              </w:rPr>
              <w:t>Group D</w:t>
            </w:r>
            <w:r w:rsidRPr="000A501E">
              <w:rPr>
                <w:b/>
                <w:sz w:val="18"/>
              </w:rPr>
              <w:t>:  Hexavalent Chromium</w:t>
            </w:r>
            <w:r>
              <w:rPr>
                <w:b/>
                <w:sz w:val="18"/>
              </w:rPr>
              <w:t xml:space="preserve"> </w:t>
            </w:r>
          </w:p>
        </w:tc>
      </w:tr>
      <w:tr w:rsidR="00B56D50" w14:paraId="08215465" w14:textId="77777777" w:rsidTr="00725264">
        <w:trPr>
          <w:trHeight w:val="262"/>
        </w:trPr>
        <w:tc>
          <w:tcPr>
            <w:tcW w:w="2629" w:type="dxa"/>
            <w:vMerge w:val="restart"/>
            <w:tcBorders>
              <w:top w:val="single" w:sz="12" w:space="0" w:color="000000"/>
              <w:left w:val="single" w:sz="12" w:space="0" w:color="000000"/>
              <w:bottom w:val="single" w:sz="12" w:space="0" w:color="000000"/>
              <w:right w:val="single" w:sz="12" w:space="0" w:color="000000"/>
            </w:tcBorders>
          </w:tcPr>
          <w:p w14:paraId="2BE6E201" w14:textId="47138806" w:rsidR="00B56D50" w:rsidRDefault="001C3C42" w:rsidP="00DE705E">
            <w:pPr>
              <w:spacing w:after="0" w:line="259" w:lineRule="auto"/>
              <w:ind w:left="58" w:right="0" w:firstLine="0"/>
              <w:jc w:val="center"/>
            </w:pPr>
            <w:r>
              <w:rPr>
                <w:b/>
                <w:sz w:val="18"/>
              </w:rPr>
              <w:t>Analyte</w:t>
            </w:r>
          </w:p>
        </w:tc>
        <w:tc>
          <w:tcPr>
            <w:tcW w:w="1183" w:type="dxa"/>
            <w:vMerge w:val="restart"/>
            <w:tcBorders>
              <w:top w:val="single" w:sz="12" w:space="0" w:color="000000"/>
              <w:left w:val="single" w:sz="12" w:space="0" w:color="000000"/>
              <w:bottom w:val="single" w:sz="12" w:space="0" w:color="000000"/>
              <w:right w:val="single" w:sz="12" w:space="0" w:color="000000"/>
            </w:tcBorders>
          </w:tcPr>
          <w:p w14:paraId="5378FB2E" w14:textId="53563308" w:rsidR="00B56D50" w:rsidRDefault="001C3C42" w:rsidP="00DE705E">
            <w:pPr>
              <w:spacing w:after="0" w:line="259" w:lineRule="auto"/>
              <w:ind w:left="14" w:right="0" w:firstLine="0"/>
              <w:jc w:val="center"/>
            </w:pPr>
            <w:r>
              <w:rPr>
                <w:b/>
                <w:sz w:val="18"/>
              </w:rPr>
              <w:t>CAS Number</w:t>
            </w:r>
          </w:p>
        </w:tc>
        <w:tc>
          <w:tcPr>
            <w:tcW w:w="1544" w:type="dxa"/>
            <w:gridSpan w:val="2"/>
            <w:tcBorders>
              <w:top w:val="single" w:sz="12" w:space="0" w:color="000000"/>
              <w:left w:val="single" w:sz="12" w:space="0" w:color="000000"/>
              <w:bottom w:val="single" w:sz="12" w:space="0" w:color="000000"/>
              <w:right w:val="single" w:sz="12" w:space="0" w:color="000000"/>
            </w:tcBorders>
          </w:tcPr>
          <w:p w14:paraId="6349041A" w14:textId="2CF0A67B" w:rsidR="00B56D50" w:rsidRDefault="001C3C42" w:rsidP="00DE705E">
            <w:pPr>
              <w:spacing w:after="0" w:line="259" w:lineRule="auto"/>
              <w:ind w:left="11" w:right="0" w:firstLine="0"/>
              <w:jc w:val="center"/>
            </w:pPr>
            <w:r>
              <w:rPr>
                <w:b/>
                <w:sz w:val="18"/>
              </w:rPr>
              <w:t>Aqueous</w:t>
            </w:r>
          </w:p>
        </w:tc>
        <w:tc>
          <w:tcPr>
            <w:tcW w:w="1454" w:type="dxa"/>
            <w:gridSpan w:val="2"/>
            <w:tcBorders>
              <w:top w:val="single" w:sz="12" w:space="0" w:color="000000"/>
              <w:left w:val="single" w:sz="12" w:space="0" w:color="000000"/>
              <w:bottom w:val="single" w:sz="12" w:space="0" w:color="000000"/>
              <w:right w:val="single" w:sz="12" w:space="0" w:color="000000"/>
            </w:tcBorders>
          </w:tcPr>
          <w:p w14:paraId="032F44F9" w14:textId="272F77BB" w:rsidR="00B56D50" w:rsidRDefault="001C3C42" w:rsidP="00DE705E">
            <w:pPr>
              <w:spacing w:after="0" w:line="259" w:lineRule="auto"/>
              <w:ind w:right="0" w:firstLine="0"/>
              <w:jc w:val="center"/>
            </w:pPr>
            <w:r>
              <w:rPr>
                <w:b/>
                <w:sz w:val="18"/>
              </w:rPr>
              <w:t>Non-Aqueous</w:t>
            </w:r>
          </w:p>
        </w:tc>
        <w:tc>
          <w:tcPr>
            <w:tcW w:w="3810" w:type="dxa"/>
            <w:gridSpan w:val="5"/>
            <w:vMerge w:val="restart"/>
            <w:tcBorders>
              <w:top w:val="single" w:sz="12" w:space="0" w:color="000000"/>
              <w:left w:val="single" w:sz="12" w:space="0" w:color="000000"/>
              <w:bottom w:val="single" w:sz="12" w:space="0" w:color="000000"/>
              <w:right w:val="single" w:sz="12" w:space="0" w:color="000000"/>
            </w:tcBorders>
            <w:vAlign w:val="center"/>
          </w:tcPr>
          <w:p w14:paraId="4775AAAC" w14:textId="6310F981" w:rsidR="00B56D50" w:rsidRDefault="001C3C42" w:rsidP="00212B83">
            <w:pPr>
              <w:spacing w:after="0" w:line="259" w:lineRule="auto"/>
              <w:ind w:left="5" w:right="0" w:firstLine="0"/>
              <w:jc w:val="center"/>
            </w:pPr>
            <w:r>
              <w:rPr>
                <w:b/>
                <w:sz w:val="18"/>
              </w:rPr>
              <w:t>Acceptable Methods</w:t>
            </w:r>
          </w:p>
        </w:tc>
      </w:tr>
      <w:tr w:rsidR="005F3A69" w14:paraId="350A51E7" w14:textId="77777777" w:rsidTr="00B419A9">
        <w:trPr>
          <w:trHeight w:val="264"/>
        </w:trPr>
        <w:tc>
          <w:tcPr>
            <w:tcW w:w="2629" w:type="dxa"/>
            <w:vMerge/>
            <w:tcBorders>
              <w:top w:val="nil"/>
              <w:left w:val="single" w:sz="12" w:space="0" w:color="000000"/>
              <w:bottom w:val="single" w:sz="12" w:space="0" w:color="000000"/>
              <w:right w:val="single" w:sz="12" w:space="0" w:color="000000"/>
            </w:tcBorders>
          </w:tcPr>
          <w:p w14:paraId="01AF4AE3" w14:textId="77777777" w:rsidR="00B56D50" w:rsidRDefault="00B56D50" w:rsidP="00017AB4">
            <w:pPr>
              <w:spacing w:after="160" w:line="259" w:lineRule="auto"/>
              <w:ind w:left="0" w:right="0" w:firstLine="0"/>
              <w:jc w:val="center"/>
            </w:pPr>
          </w:p>
        </w:tc>
        <w:tc>
          <w:tcPr>
            <w:tcW w:w="0" w:type="auto"/>
            <w:vMerge/>
            <w:tcBorders>
              <w:top w:val="nil"/>
              <w:left w:val="single" w:sz="12" w:space="0" w:color="000000"/>
              <w:bottom w:val="single" w:sz="12" w:space="0" w:color="000000"/>
              <w:right w:val="single" w:sz="12" w:space="0" w:color="000000"/>
            </w:tcBorders>
          </w:tcPr>
          <w:p w14:paraId="3CD88FAD" w14:textId="77777777" w:rsidR="00B56D50" w:rsidRDefault="00B56D50" w:rsidP="00017AB4">
            <w:pPr>
              <w:spacing w:after="160" w:line="259" w:lineRule="auto"/>
              <w:ind w:left="0" w:right="0" w:firstLine="0"/>
              <w:jc w:val="center"/>
            </w:pPr>
          </w:p>
        </w:tc>
        <w:tc>
          <w:tcPr>
            <w:tcW w:w="817" w:type="dxa"/>
            <w:tcBorders>
              <w:top w:val="single" w:sz="12" w:space="0" w:color="000000"/>
              <w:left w:val="single" w:sz="12" w:space="0" w:color="000000"/>
              <w:bottom w:val="single" w:sz="12" w:space="0" w:color="000000"/>
              <w:right w:val="single" w:sz="12" w:space="0" w:color="000000"/>
            </w:tcBorders>
          </w:tcPr>
          <w:p w14:paraId="5B0CB5F1" w14:textId="1D40A906" w:rsidR="00B56D50" w:rsidRDefault="001C3C42" w:rsidP="00DE705E">
            <w:pPr>
              <w:spacing w:after="0" w:line="259" w:lineRule="auto"/>
              <w:ind w:left="15" w:right="0" w:firstLine="0"/>
              <w:jc w:val="center"/>
            </w:pPr>
            <w:r>
              <w:rPr>
                <w:b/>
                <w:sz w:val="18"/>
              </w:rPr>
              <w:t>RL</w:t>
            </w:r>
          </w:p>
        </w:tc>
        <w:tc>
          <w:tcPr>
            <w:tcW w:w="727" w:type="dxa"/>
            <w:tcBorders>
              <w:top w:val="single" w:sz="12" w:space="0" w:color="000000"/>
              <w:left w:val="single" w:sz="12" w:space="0" w:color="000000"/>
              <w:bottom w:val="single" w:sz="12" w:space="0" w:color="000000"/>
              <w:right w:val="single" w:sz="12" w:space="0" w:color="000000"/>
            </w:tcBorders>
          </w:tcPr>
          <w:p w14:paraId="11ACC415" w14:textId="54A118E1" w:rsidR="00B56D50" w:rsidRDefault="001C3C42" w:rsidP="00DE705E">
            <w:pPr>
              <w:spacing w:after="0" w:line="259" w:lineRule="auto"/>
              <w:ind w:right="0" w:firstLine="0"/>
              <w:jc w:val="center"/>
            </w:pPr>
            <w:r>
              <w:rPr>
                <w:b/>
                <w:sz w:val="18"/>
              </w:rPr>
              <w:t>units</w:t>
            </w:r>
          </w:p>
        </w:tc>
        <w:tc>
          <w:tcPr>
            <w:tcW w:w="727" w:type="dxa"/>
            <w:tcBorders>
              <w:top w:val="single" w:sz="12" w:space="0" w:color="000000"/>
              <w:left w:val="single" w:sz="12" w:space="0" w:color="000000"/>
              <w:bottom w:val="single" w:sz="12" w:space="0" w:color="000000"/>
              <w:right w:val="single" w:sz="12" w:space="0" w:color="000000"/>
            </w:tcBorders>
          </w:tcPr>
          <w:p w14:paraId="2BEB11D4" w14:textId="43445770" w:rsidR="00B56D50" w:rsidRDefault="001C3C42" w:rsidP="00DE705E">
            <w:pPr>
              <w:spacing w:after="0" w:line="259" w:lineRule="auto"/>
              <w:ind w:left="12" w:right="0" w:firstLine="0"/>
              <w:jc w:val="center"/>
            </w:pPr>
            <w:r>
              <w:rPr>
                <w:b/>
                <w:sz w:val="18"/>
              </w:rPr>
              <w:t>RL</w:t>
            </w:r>
          </w:p>
        </w:tc>
        <w:tc>
          <w:tcPr>
            <w:tcW w:w="727" w:type="dxa"/>
            <w:tcBorders>
              <w:top w:val="single" w:sz="12" w:space="0" w:color="000000"/>
              <w:left w:val="single" w:sz="12" w:space="0" w:color="000000"/>
              <w:bottom w:val="single" w:sz="12" w:space="0" w:color="000000"/>
              <w:right w:val="single" w:sz="12" w:space="0" w:color="000000"/>
            </w:tcBorders>
          </w:tcPr>
          <w:p w14:paraId="7417AE54" w14:textId="2FDB4C83" w:rsidR="00B56D50" w:rsidRDefault="001C3C42" w:rsidP="00DE705E">
            <w:pPr>
              <w:spacing w:after="0" w:line="259" w:lineRule="auto"/>
              <w:ind w:right="0" w:firstLine="0"/>
              <w:jc w:val="center"/>
            </w:pPr>
            <w:r>
              <w:rPr>
                <w:b/>
                <w:sz w:val="18"/>
              </w:rPr>
              <w:t>units</w:t>
            </w:r>
          </w:p>
        </w:tc>
        <w:tc>
          <w:tcPr>
            <w:tcW w:w="3810" w:type="dxa"/>
            <w:gridSpan w:val="5"/>
            <w:vMerge/>
            <w:tcBorders>
              <w:top w:val="nil"/>
              <w:left w:val="single" w:sz="12" w:space="0" w:color="000000"/>
              <w:bottom w:val="single" w:sz="12" w:space="0" w:color="000000"/>
              <w:right w:val="single" w:sz="12" w:space="0" w:color="000000"/>
            </w:tcBorders>
          </w:tcPr>
          <w:p w14:paraId="4B87D52F" w14:textId="77777777" w:rsidR="00B56D50" w:rsidRDefault="00B56D50" w:rsidP="00017AB4">
            <w:pPr>
              <w:spacing w:after="160" w:line="259" w:lineRule="auto"/>
              <w:ind w:left="0" w:right="0" w:firstLine="0"/>
              <w:jc w:val="center"/>
            </w:pPr>
          </w:p>
        </w:tc>
      </w:tr>
      <w:tr w:rsidR="00C84A5D" w14:paraId="50CD73F6" w14:textId="77777777" w:rsidTr="00725264">
        <w:trPr>
          <w:trHeight w:val="302"/>
        </w:trPr>
        <w:tc>
          <w:tcPr>
            <w:tcW w:w="2629" w:type="dxa"/>
            <w:tcBorders>
              <w:top w:val="single" w:sz="12" w:space="0" w:color="000000"/>
              <w:left w:val="single" w:sz="12" w:space="0" w:color="000000"/>
              <w:bottom w:val="single" w:sz="4" w:space="0" w:color="000000"/>
              <w:right w:val="single" w:sz="12" w:space="0" w:color="000000"/>
            </w:tcBorders>
          </w:tcPr>
          <w:p w14:paraId="67F4DEFC" w14:textId="3629436F" w:rsidR="00B56D50" w:rsidRDefault="001C3C42" w:rsidP="00250C0A">
            <w:pPr>
              <w:spacing w:after="0" w:line="259" w:lineRule="auto"/>
              <w:ind w:left="0" w:right="0" w:firstLine="0"/>
            </w:pPr>
            <w:r>
              <w:rPr>
                <w:sz w:val="18"/>
              </w:rPr>
              <w:t>Cr</w:t>
            </w:r>
            <w:r>
              <w:rPr>
                <w:sz w:val="18"/>
                <w:vertAlign w:val="superscript"/>
              </w:rPr>
              <w:t>6+</w:t>
            </w:r>
            <w:r>
              <w:rPr>
                <w:sz w:val="18"/>
              </w:rPr>
              <w:t>Aqueous samples</w:t>
            </w:r>
            <w:r w:rsidR="00BB2E2F">
              <w:rPr>
                <w:sz w:val="18"/>
              </w:rPr>
              <w:t xml:space="preserve"> </w:t>
            </w:r>
            <w:r w:rsidR="00BB2E2F" w:rsidRPr="00BB2E2F">
              <w:rPr>
                <w:b/>
                <w:bCs/>
                <w:sz w:val="18"/>
                <w:vertAlign w:val="superscript"/>
              </w:rPr>
              <w:t>5</w:t>
            </w:r>
            <w:r w:rsidR="003F33EF">
              <w:rPr>
                <w:sz w:val="18"/>
              </w:rPr>
              <w:t xml:space="preserve"> </w:t>
            </w:r>
          </w:p>
        </w:tc>
        <w:tc>
          <w:tcPr>
            <w:tcW w:w="1183" w:type="dxa"/>
            <w:tcBorders>
              <w:top w:val="single" w:sz="12" w:space="0" w:color="000000"/>
              <w:left w:val="single" w:sz="12" w:space="0" w:color="000000"/>
              <w:bottom w:val="single" w:sz="4" w:space="0" w:color="000000"/>
              <w:right w:val="single" w:sz="12" w:space="0" w:color="000000"/>
            </w:tcBorders>
          </w:tcPr>
          <w:p w14:paraId="381B621B" w14:textId="45D8E8FB" w:rsidR="00B56D50" w:rsidRDefault="001C3C42" w:rsidP="00250C0A">
            <w:pPr>
              <w:spacing w:after="0" w:line="259" w:lineRule="auto"/>
              <w:ind w:left="0" w:right="0" w:firstLine="0"/>
              <w:jc w:val="center"/>
            </w:pPr>
            <w:r>
              <w:rPr>
                <w:sz w:val="18"/>
              </w:rPr>
              <w:t>18540-29-9</w:t>
            </w:r>
          </w:p>
        </w:tc>
        <w:tc>
          <w:tcPr>
            <w:tcW w:w="817" w:type="dxa"/>
            <w:tcBorders>
              <w:top w:val="single" w:sz="12" w:space="0" w:color="000000"/>
              <w:left w:val="single" w:sz="12" w:space="0" w:color="000000"/>
              <w:bottom w:val="single" w:sz="4" w:space="0" w:color="000000"/>
              <w:right w:val="single" w:sz="12" w:space="0" w:color="000000"/>
            </w:tcBorders>
          </w:tcPr>
          <w:p w14:paraId="0D8F899E" w14:textId="0D1055F1" w:rsidR="00B56D50" w:rsidRDefault="001C3C42" w:rsidP="000F20D6">
            <w:pPr>
              <w:tabs>
                <w:tab w:val="center" w:pos="365"/>
              </w:tabs>
              <w:spacing w:after="0" w:line="259" w:lineRule="auto"/>
              <w:ind w:left="0" w:right="0" w:firstLine="0"/>
              <w:jc w:val="center"/>
            </w:pPr>
            <w:r>
              <w:rPr>
                <w:sz w:val="18"/>
              </w:rPr>
              <w:t>0.3</w:t>
            </w:r>
          </w:p>
        </w:tc>
        <w:tc>
          <w:tcPr>
            <w:tcW w:w="727" w:type="dxa"/>
            <w:tcBorders>
              <w:top w:val="single" w:sz="12" w:space="0" w:color="000000"/>
              <w:left w:val="single" w:sz="12" w:space="0" w:color="000000"/>
              <w:bottom w:val="single" w:sz="4" w:space="0" w:color="000000"/>
              <w:right w:val="single" w:sz="12" w:space="0" w:color="000000"/>
            </w:tcBorders>
          </w:tcPr>
          <w:p w14:paraId="569F23C6" w14:textId="2438CAE7" w:rsidR="00B56D50" w:rsidRDefault="00DA2367" w:rsidP="000F20D6">
            <w:pPr>
              <w:spacing w:after="0" w:line="259" w:lineRule="auto"/>
              <w:ind w:left="0" w:right="0" w:firstLine="0"/>
              <w:jc w:val="center"/>
            </w:pPr>
            <w:r>
              <w:rPr>
                <w:rFonts w:ascii="Segoe UI Symbol" w:eastAsia="Segoe UI Symbol" w:hAnsi="Segoe UI Symbol" w:cs="Segoe UI Symbol"/>
                <w:sz w:val="18"/>
              </w:rPr>
              <w:t>u</w:t>
            </w:r>
            <w:r w:rsidR="001C3C42">
              <w:rPr>
                <w:sz w:val="18"/>
              </w:rPr>
              <w:t>g/L</w:t>
            </w:r>
          </w:p>
        </w:tc>
        <w:tc>
          <w:tcPr>
            <w:tcW w:w="727" w:type="dxa"/>
            <w:tcBorders>
              <w:top w:val="single" w:sz="12" w:space="0" w:color="000000"/>
              <w:left w:val="single" w:sz="12" w:space="0" w:color="000000"/>
              <w:bottom w:val="single" w:sz="4" w:space="0" w:color="000000"/>
              <w:right w:val="single" w:sz="12" w:space="0" w:color="000000"/>
            </w:tcBorders>
          </w:tcPr>
          <w:p w14:paraId="322C57AB" w14:textId="46BDAE6E" w:rsidR="00B56D50" w:rsidRDefault="001C3C42" w:rsidP="000F20D6">
            <w:pPr>
              <w:spacing w:after="0" w:line="259" w:lineRule="auto"/>
              <w:ind w:right="0" w:firstLine="0"/>
              <w:jc w:val="center"/>
            </w:pPr>
            <w:r>
              <w:rPr>
                <w:sz w:val="18"/>
              </w:rPr>
              <w:t>N/A</w:t>
            </w:r>
          </w:p>
        </w:tc>
        <w:tc>
          <w:tcPr>
            <w:tcW w:w="727" w:type="dxa"/>
            <w:tcBorders>
              <w:top w:val="single" w:sz="12" w:space="0" w:color="000000"/>
              <w:left w:val="single" w:sz="12" w:space="0" w:color="000000"/>
              <w:bottom w:val="single" w:sz="4" w:space="0" w:color="000000"/>
              <w:right w:val="single" w:sz="12" w:space="0" w:color="000000"/>
            </w:tcBorders>
          </w:tcPr>
          <w:p w14:paraId="6A2C14CF" w14:textId="4468B8B7" w:rsidR="00B56D50" w:rsidRDefault="001C3C42" w:rsidP="000F20D6">
            <w:pPr>
              <w:spacing w:after="0" w:line="259" w:lineRule="auto"/>
              <w:ind w:left="11" w:right="0" w:firstLine="0"/>
              <w:jc w:val="center"/>
            </w:pPr>
            <w:r>
              <w:rPr>
                <w:sz w:val="18"/>
              </w:rPr>
              <w:t>N/A</w:t>
            </w:r>
          </w:p>
        </w:tc>
        <w:tc>
          <w:tcPr>
            <w:tcW w:w="727" w:type="dxa"/>
            <w:tcBorders>
              <w:top w:val="single" w:sz="12" w:space="0" w:color="000000"/>
              <w:left w:val="single" w:sz="12" w:space="0" w:color="000000"/>
              <w:bottom w:val="single" w:sz="12" w:space="0" w:color="000000"/>
              <w:right w:val="single" w:sz="12" w:space="0" w:color="000000"/>
            </w:tcBorders>
          </w:tcPr>
          <w:p w14:paraId="3827334C" w14:textId="75D98E6B" w:rsidR="00B56D50" w:rsidRDefault="001C3C42" w:rsidP="000F20D6">
            <w:pPr>
              <w:spacing w:after="0" w:line="259" w:lineRule="auto"/>
              <w:ind w:left="0" w:right="0" w:firstLine="0"/>
              <w:jc w:val="center"/>
            </w:pPr>
            <w:r>
              <w:rPr>
                <w:sz w:val="18"/>
              </w:rPr>
              <w:t>7195</w:t>
            </w:r>
          </w:p>
        </w:tc>
        <w:tc>
          <w:tcPr>
            <w:tcW w:w="909" w:type="dxa"/>
            <w:tcBorders>
              <w:top w:val="single" w:sz="12" w:space="0" w:color="000000"/>
              <w:left w:val="single" w:sz="12" w:space="0" w:color="000000"/>
              <w:bottom w:val="single" w:sz="12" w:space="0" w:color="000000"/>
              <w:right w:val="single" w:sz="12" w:space="0" w:color="000000"/>
            </w:tcBorders>
          </w:tcPr>
          <w:p w14:paraId="52E7CC3D" w14:textId="3639A49E" w:rsidR="00B56D50" w:rsidRDefault="001C3C42" w:rsidP="000F20D6">
            <w:pPr>
              <w:spacing w:after="0" w:line="259" w:lineRule="auto"/>
              <w:ind w:left="0" w:right="0" w:firstLine="0"/>
              <w:jc w:val="center"/>
            </w:pPr>
            <w:r>
              <w:rPr>
                <w:sz w:val="18"/>
              </w:rPr>
              <w:t>7196</w:t>
            </w:r>
          </w:p>
        </w:tc>
        <w:tc>
          <w:tcPr>
            <w:tcW w:w="728" w:type="dxa"/>
            <w:tcBorders>
              <w:top w:val="single" w:sz="12" w:space="0" w:color="000000"/>
              <w:left w:val="single" w:sz="12" w:space="0" w:color="000000"/>
              <w:bottom w:val="single" w:sz="12" w:space="0" w:color="000000"/>
              <w:right w:val="single" w:sz="12" w:space="0" w:color="000000"/>
            </w:tcBorders>
          </w:tcPr>
          <w:p w14:paraId="21933400" w14:textId="5C6D2414" w:rsidR="00B56D50" w:rsidRDefault="001C3C42" w:rsidP="000F20D6">
            <w:pPr>
              <w:spacing w:after="0" w:line="259" w:lineRule="auto"/>
              <w:ind w:left="1" w:right="0" w:firstLine="0"/>
              <w:jc w:val="center"/>
            </w:pPr>
            <w:r>
              <w:rPr>
                <w:sz w:val="18"/>
              </w:rPr>
              <w:t>7197</w:t>
            </w:r>
          </w:p>
        </w:tc>
        <w:tc>
          <w:tcPr>
            <w:tcW w:w="819" w:type="dxa"/>
            <w:tcBorders>
              <w:top w:val="single" w:sz="12" w:space="0" w:color="000000"/>
              <w:left w:val="single" w:sz="12" w:space="0" w:color="000000"/>
              <w:bottom w:val="single" w:sz="12" w:space="0" w:color="000000"/>
              <w:right w:val="single" w:sz="12" w:space="0" w:color="000000"/>
            </w:tcBorders>
          </w:tcPr>
          <w:p w14:paraId="273EB6CC" w14:textId="4C92C7DE" w:rsidR="00B56D50" w:rsidRDefault="001C3C42" w:rsidP="000F20D6">
            <w:pPr>
              <w:spacing w:after="0" w:line="259" w:lineRule="auto"/>
              <w:ind w:left="0" w:right="0" w:firstLine="0"/>
              <w:jc w:val="center"/>
            </w:pPr>
            <w:r>
              <w:rPr>
                <w:sz w:val="18"/>
              </w:rPr>
              <w:t>7198</w:t>
            </w:r>
          </w:p>
        </w:tc>
        <w:tc>
          <w:tcPr>
            <w:tcW w:w="627" w:type="dxa"/>
            <w:tcBorders>
              <w:top w:val="single" w:sz="12" w:space="0" w:color="000000"/>
              <w:left w:val="single" w:sz="12" w:space="0" w:color="000000"/>
              <w:bottom w:val="single" w:sz="12" w:space="0" w:color="000000"/>
              <w:right w:val="single" w:sz="12" w:space="0" w:color="000000"/>
            </w:tcBorders>
          </w:tcPr>
          <w:p w14:paraId="2BF77EEF" w14:textId="360A63B8" w:rsidR="00B56D50" w:rsidRDefault="001C3C42" w:rsidP="000F20D6">
            <w:pPr>
              <w:spacing w:after="0" w:line="259" w:lineRule="auto"/>
              <w:ind w:left="0" w:right="0" w:firstLine="0"/>
              <w:jc w:val="center"/>
            </w:pPr>
            <w:r>
              <w:rPr>
                <w:sz w:val="18"/>
              </w:rPr>
              <w:t>7199</w:t>
            </w:r>
          </w:p>
        </w:tc>
      </w:tr>
      <w:tr w:rsidR="00C84A5D" w14:paraId="4FC5D159" w14:textId="77777777" w:rsidTr="00725264">
        <w:trPr>
          <w:trHeight w:val="311"/>
        </w:trPr>
        <w:tc>
          <w:tcPr>
            <w:tcW w:w="2629" w:type="dxa"/>
            <w:tcBorders>
              <w:top w:val="single" w:sz="4" w:space="0" w:color="000000"/>
              <w:left w:val="single" w:sz="12" w:space="0" w:color="000000"/>
              <w:bottom w:val="single" w:sz="12" w:space="0" w:color="000000"/>
              <w:right w:val="single" w:sz="12" w:space="0" w:color="000000"/>
            </w:tcBorders>
          </w:tcPr>
          <w:p w14:paraId="74E675BD" w14:textId="510BF0D9" w:rsidR="00B56D50" w:rsidRDefault="001C3C42" w:rsidP="00250C0A">
            <w:pPr>
              <w:spacing w:after="0" w:line="259" w:lineRule="auto"/>
              <w:ind w:left="0" w:right="0" w:firstLine="0"/>
            </w:pPr>
            <w:r>
              <w:rPr>
                <w:sz w:val="18"/>
              </w:rPr>
              <w:t>Cr</w:t>
            </w:r>
            <w:r>
              <w:rPr>
                <w:sz w:val="18"/>
                <w:vertAlign w:val="superscript"/>
              </w:rPr>
              <w:t>6+</w:t>
            </w:r>
            <w:r w:rsidR="00245063">
              <w:rPr>
                <w:sz w:val="18"/>
              </w:rPr>
              <w:t xml:space="preserve"> </w:t>
            </w:r>
            <w:proofErr w:type="gramStart"/>
            <w:r>
              <w:rPr>
                <w:sz w:val="18"/>
              </w:rPr>
              <w:t>Non-aqueous</w:t>
            </w:r>
            <w:proofErr w:type="gramEnd"/>
            <w:r w:rsidR="00BB2E2F">
              <w:rPr>
                <w:sz w:val="18"/>
              </w:rPr>
              <w:t xml:space="preserve"> </w:t>
            </w:r>
            <w:r w:rsidR="00BB2E2F" w:rsidRPr="00BB2E2F">
              <w:rPr>
                <w:b/>
                <w:bCs/>
                <w:sz w:val="18"/>
                <w:vertAlign w:val="superscript"/>
              </w:rPr>
              <w:t>6</w:t>
            </w:r>
            <w:r w:rsidR="003F33EF" w:rsidRPr="00BB2E2F">
              <w:rPr>
                <w:b/>
                <w:bCs/>
                <w:sz w:val="18"/>
                <w:vertAlign w:val="superscript"/>
              </w:rPr>
              <w:t xml:space="preserve"> </w:t>
            </w:r>
          </w:p>
        </w:tc>
        <w:tc>
          <w:tcPr>
            <w:tcW w:w="1183" w:type="dxa"/>
            <w:tcBorders>
              <w:top w:val="single" w:sz="4" w:space="0" w:color="000000"/>
              <w:left w:val="single" w:sz="12" w:space="0" w:color="000000"/>
              <w:bottom w:val="single" w:sz="12" w:space="0" w:color="000000"/>
              <w:right w:val="single" w:sz="12" w:space="0" w:color="000000"/>
            </w:tcBorders>
          </w:tcPr>
          <w:p w14:paraId="483FB78A" w14:textId="708BA1D6" w:rsidR="00B56D50" w:rsidRDefault="001C3C42" w:rsidP="00250C0A">
            <w:pPr>
              <w:spacing w:after="0" w:line="259" w:lineRule="auto"/>
              <w:ind w:left="0" w:right="0" w:firstLine="0"/>
              <w:jc w:val="center"/>
            </w:pPr>
            <w:r>
              <w:rPr>
                <w:sz w:val="18"/>
              </w:rPr>
              <w:t>18540-29-9</w:t>
            </w:r>
          </w:p>
        </w:tc>
        <w:tc>
          <w:tcPr>
            <w:tcW w:w="817" w:type="dxa"/>
            <w:tcBorders>
              <w:top w:val="single" w:sz="4" w:space="0" w:color="000000"/>
              <w:left w:val="single" w:sz="12" w:space="0" w:color="000000"/>
              <w:bottom w:val="single" w:sz="12" w:space="0" w:color="000000"/>
              <w:right w:val="single" w:sz="12" w:space="0" w:color="000000"/>
            </w:tcBorders>
          </w:tcPr>
          <w:p w14:paraId="4F7107EB" w14:textId="37CC928B" w:rsidR="00B56D50" w:rsidRDefault="001C3C42" w:rsidP="000F20D6">
            <w:pPr>
              <w:spacing w:after="0" w:line="259" w:lineRule="auto"/>
              <w:ind w:left="47" w:right="0" w:firstLine="0"/>
              <w:jc w:val="center"/>
            </w:pPr>
            <w:r>
              <w:rPr>
                <w:sz w:val="18"/>
              </w:rPr>
              <w:t>N/A</w:t>
            </w:r>
          </w:p>
        </w:tc>
        <w:tc>
          <w:tcPr>
            <w:tcW w:w="727" w:type="dxa"/>
            <w:tcBorders>
              <w:top w:val="single" w:sz="4" w:space="0" w:color="000000"/>
              <w:left w:val="single" w:sz="12" w:space="0" w:color="000000"/>
              <w:bottom w:val="single" w:sz="12" w:space="0" w:color="000000"/>
              <w:right w:val="single" w:sz="12" w:space="0" w:color="000000"/>
            </w:tcBorders>
          </w:tcPr>
          <w:p w14:paraId="3E499398" w14:textId="19664930" w:rsidR="00B56D50" w:rsidRDefault="001C3C42" w:rsidP="000F20D6">
            <w:pPr>
              <w:spacing w:after="0" w:line="259" w:lineRule="auto"/>
              <w:ind w:left="0" w:right="0" w:firstLine="0"/>
              <w:jc w:val="center"/>
            </w:pPr>
            <w:r>
              <w:rPr>
                <w:sz w:val="18"/>
              </w:rPr>
              <w:t>N/A</w:t>
            </w:r>
          </w:p>
        </w:tc>
        <w:tc>
          <w:tcPr>
            <w:tcW w:w="727" w:type="dxa"/>
            <w:tcBorders>
              <w:top w:val="single" w:sz="4" w:space="0" w:color="000000"/>
              <w:left w:val="single" w:sz="12" w:space="0" w:color="000000"/>
              <w:bottom w:val="single" w:sz="12" w:space="0" w:color="000000"/>
              <w:right w:val="single" w:sz="12" w:space="0" w:color="000000"/>
            </w:tcBorders>
          </w:tcPr>
          <w:p w14:paraId="27B0042A" w14:textId="4BCE9B2E" w:rsidR="00B56D50" w:rsidRDefault="001C3C42" w:rsidP="000F20D6">
            <w:pPr>
              <w:spacing w:after="0" w:line="259" w:lineRule="auto"/>
              <w:ind w:left="0" w:right="0" w:firstLine="0"/>
              <w:jc w:val="center"/>
            </w:pPr>
            <w:r>
              <w:rPr>
                <w:sz w:val="18"/>
              </w:rPr>
              <w:t>20</w:t>
            </w:r>
          </w:p>
        </w:tc>
        <w:tc>
          <w:tcPr>
            <w:tcW w:w="727" w:type="dxa"/>
            <w:tcBorders>
              <w:top w:val="single" w:sz="4" w:space="0" w:color="000000"/>
              <w:left w:val="single" w:sz="12" w:space="0" w:color="000000"/>
              <w:bottom w:val="single" w:sz="12" w:space="0" w:color="000000"/>
              <w:right w:val="single" w:sz="12" w:space="0" w:color="000000"/>
            </w:tcBorders>
          </w:tcPr>
          <w:p w14:paraId="269C7FD9" w14:textId="008323CB" w:rsidR="00B56D50" w:rsidRDefault="001C3C42" w:rsidP="000F20D6">
            <w:pPr>
              <w:spacing w:after="0" w:line="259" w:lineRule="auto"/>
              <w:ind w:left="58" w:right="0" w:firstLine="0"/>
              <w:jc w:val="center"/>
            </w:pPr>
            <w:r>
              <w:rPr>
                <w:sz w:val="18"/>
              </w:rPr>
              <w:t>mg/kg</w:t>
            </w:r>
          </w:p>
        </w:tc>
        <w:tc>
          <w:tcPr>
            <w:tcW w:w="3810" w:type="dxa"/>
            <w:gridSpan w:val="5"/>
            <w:tcBorders>
              <w:top w:val="single" w:sz="12" w:space="0" w:color="000000"/>
              <w:left w:val="single" w:sz="12" w:space="0" w:color="000000"/>
              <w:bottom w:val="single" w:sz="12" w:space="0" w:color="000000"/>
              <w:right w:val="single" w:sz="12" w:space="0" w:color="000000"/>
            </w:tcBorders>
          </w:tcPr>
          <w:p w14:paraId="5CE17156" w14:textId="3E1EA574" w:rsidR="00B56D50" w:rsidRDefault="001C3C42" w:rsidP="000F20D6">
            <w:pPr>
              <w:spacing w:after="0" w:line="259" w:lineRule="auto"/>
              <w:ind w:left="0" w:right="0" w:firstLine="0"/>
              <w:jc w:val="center"/>
            </w:pPr>
            <w:r>
              <w:rPr>
                <w:b/>
                <w:sz w:val="18"/>
              </w:rPr>
              <w:t>Digestion by 3060</w:t>
            </w:r>
            <w:r w:rsidR="00FF21BF">
              <w:rPr>
                <w:sz w:val="18"/>
              </w:rPr>
              <w:t>, then</w:t>
            </w:r>
            <w:r>
              <w:rPr>
                <w:sz w:val="18"/>
              </w:rPr>
              <w:t>: 7196 or 7199</w:t>
            </w:r>
          </w:p>
        </w:tc>
      </w:tr>
    </w:tbl>
    <w:p w14:paraId="75AAD7C1" w14:textId="38864372" w:rsidR="00B56D50" w:rsidRDefault="00B56D50">
      <w:pPr>
        <w:spacing w:after="0" w:line="259" w:lineRule="auto"/>
        <w:ind w:left="0" w:right="0" w:firstLine="0"/>
      </w:pPr>
    </w:p>
    <w:tbl>
      <w:tblPr>
        <w:tblStyle w:val="TableGrid1"/>
        <w:tblW w:w="10620" w:type="dxa"/>
        <w:tblInd w:w="-37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CellMar>
          <w:left w:w="106" w:type="dxa"/>
          <w:right w:w="115" w:type="dxa"/>
        </w:tblCellMar>
        <w:tblLook w:val="04A0" w:firstRow="1" w:lastRow="0" w:firstColumn="1" w:lastColumn="0" w:noHBand="0" w:noVBand="1"/>
      </w:tblPr>
      <w:tblGrid>
        <w:gridCol w:w="2193"/>
        <w:gridCol w:w="1183"/>
        <w:gridCol w:w="817"/>
        <w:gridCol w:w="727"/>
        <w:gridCol w:w="819"/>
        <w:gridCol w:w="817"/>
        <w:gridCol w:w="909"/>
        <w:gridCol w:w="909"/>
        <w:gridCol w:w="773"/>
        <w:gridCol w:w="773"/>
        <w:gridCol w:w="700"/>
      </w:tblGrid>
      <w:tr w:rsidR="002D6645" w14:paraId="5784C0AF" w14:textId="77777777" w:rsidTr="00725264">
        <w:trPr>
          <w:trHeight w:val="432"/>
        </w:trPr>
        <w:tc>
          <w:tcPr>
            <w:tcW w:w="10620" w:type="dxa"/>
            <w:gridSpan w:val="11"/>
            <w:vAlign w:val="center"/>
          </w:tcPr>
          <w:p w14:paraId="7AF9AD92" w14:textId="186609AB" w:rsidR="002D6645" w:rsidRDefault="002D6645" w:rsidP="008474BD">
            <w:pPr>
              <w:spacing w:after="0" w:line="259" w:lineRule="auto"/>
              <w:ind w:left="0" w:right="0" w:firstLine="0"/>
            </w:pPr>
            <w:r>
              <w:rPr>
                <w:b/>
                <w:sz w:val="18"/>
              </w:rPr>
              <w:t xml:space="preserve">TOTAL METALS - Group </w:t>
            </w:r>
            <w:r w:rsidRPr="00EB3E70">
              <w:rPr>
                <w:b/>
                <w:sz w:val="18"/>
              </w:rPr>
              <w:t>E:</w:t>
            </w:r>
            <w:r w:rsidRPr="000A501E">
              <w:rPr>
                <w:b/>
                <w:sz w:val="18"/>
              </w:rPr>
              <w:t xml:space="preserve">  Metals, other</w:t>
            </w:r>
            <w:r>
              <w:rPr>
                <w:b/>
                <w:sz w:val="18"/>
              </w:rPr>
              <w:t xml:space="preserve"> </w:t>
            </w:r>
          </w:p>
        </w:tc>
      </w:tr>
      <w:tr w:rsidR="00D46EE4" w14:paraId="1FC17ED9" w14:textId="77777777" w:rsidTr="00725264">
        <w:trPr>
          <w:trHeight w:val="264"/>
        </w:trPr>
        <w:tc>
          <w:tcPr>
            <w:tcW w:w="2193" w:type="dxa"/>
            <w:vMerge w:val="restart"/>
            <w:vAlign w:val="center"/>
          </w:tcPr>
          <w:p w14:paraId="40770006" w14:textId="022EDA4A" w:rsidR="00D46EE4" w:rsidRDefault="00D46EE4" w:rsidP="00DE705E">
            <w:pPr>
              <w:spacing w:after="0" w:line="259" w:lineRule="auto"/>
              <w:ind w:left="55" w:right="0" w:firstLine="0"/>
              <w:jc w:val="center"/>
            </w:pPr>
            <w:r>
              <w:rPr>
                <w:b/>
                <w:sz w:val="18"/>
              </w:rPr>
              <w:t>Analyte</w:t>
            </w:r>
          </w:p>
        </w:tc>
        <w:tc>
          <w:tcPr>
            <w:tcW w:w="1183" w:type="dxa"/>
            <w:vMerge w:val="restart"/>
            <w:vAlign w:val="center"/>
          </w:tcPr>
          <w:p w14:paraId="3048AA24" w14:textId="5A790B45" w:rsidR="00D46EE4" w:rsidRDefault="00D46EE4" w:rsidP="00DE705E">
            <w:pPr>
              <w:spacing w:after="0" w:line="259" w:lineRule="auto"/>
              <w:ind w:left="0" w:right="0" w:firstLine="0"/>
              <w:jc w:val="center"/>
            </w:pPr>
            <w:r>
              <w:rPr>
                <w:b/>
                <w:sz w:val="18"/>
              </w:rPr>
              <w:t>CAS Number</w:t>
            </w:r>
          </w:p>
        </w:tc>
        <w:tc>
          <w:tcPr>
            <w:tcW w:w="1544" w:type="dxa"/>
            <w:gridSpan w:val="2"/>
            <w:vAlign w:val="center"/>
          </w:tcPr>
          <w:p w14:paraId="6EB3F740" w14:textId="70B22D5C" w:rsidR="00D46EE4" w:rsidRDefault="00D46EE4" w:rsidP="00DE705E">
            <w:pPr>
              <w:spacing w:after="0" w:line="259" w:lineRule="auto"/>
              <w:ind w:left="3" w:right="0" w:firstLine="0"/>
              <w:jc w:val="center"/>
            </w:pPr>
            <w:r>
              <w:rPr>
                <w:b/>
                <w:sz w:val="18"/>
              </w:rPr>
              <w:t>Aqueous</w:t>
            </w:r>
          </w:p>
        </w:tc>
        <w:tc>
          <w:tcPr>
            <w:tcW w:w="1636" w:type="dxa"/>
            <w:gridSpan w:val="2"/>
            <w:vAlign w:val="center"/>
          </w:tcPr>
          <w:p w14:paraId="092139BB" w14:textId="54EA4C18" w:rsidR="00D46EE4" w:rsidRDefault="006B693C" w:rsidP="00DE705E">
            <w:pPr>
              <w:spacing w:after="0" w:line="259" w:lineRule="auto"/>
              <w:ind w:left="4" w:right="0" w:firstLine="0"/>
              <w:jc w:val="center"/>
            </w:pPr>
            <w:r>
              <w:rPr>
                <w:b/>
                <w:sz w:val="18"/>
              </w:rPr>
              <w:t>Soil/Sediment</w:t>
            </w:r>
          </w:p>
        </w:tc>
        <w:tc>
          <w:tcPr>
            <w:tcW w:w="4064" w:type="dxa"/>
            <w:gridSpan w:val="5"/>
            <w:vMerge w:val="restart"/>
            <w:vAlign w:val="center"/>
          </w:tcPr>
          <w:p w14:paraId="3CA84DE8" w14:textId="66133287" w:rsidR="00D46EE4" w:rsidRDefault="00D46EE4" w:rsidP="00DE705E">
            <w:pPr>
              <w:spacing w:after="0" w:line="259" w:lineRule="auto"/>
              <w:ind w:left="365" w:right="0" w:firstLine="0"/>
              <w:jc w:val="center"/>
            </w:pPr>
            <w:r>
              <w:rPr>
                <w:b/>
                <w:sz w:val="18"/>
              </w:rPr>
              <w:t>Acceptable Methods</w:t>
            </w:r>
          </w:p>
        </w:tc>
      </w:tr>
      <w:tr w:rsidR="00D46EE4" w14:paraId="7BC5C83E" w14:textId="77777777" w:rsidTr="00725264">
        <w:trPr>
          <w:trHeight w:val="262"/>
        </w:trPr>
        <w:tc>
          <w:tcPr>
            <w:tcW w:w="2193" w:type="dxa"/>
            <w:vMerge/>
            <w:tcBorders>
              <w:bottom w:val="single" w:sz="12" w:space="0" w:color="000000"/>
            </w:tcBorders>
            <w:vAlign w:val="center"/>
          </w:tcPr>
          <w:p w14:paraId="5D2BFBD5" w14:textId="77777777" w:rsidR="00D46EE4" w:rsidRDefault="00D46EE4" w:rsidP="00017AB4">
            <w:pPr>
              <w:spacing w:after="160" w:line="259" w:lineRule="auto"/>
              <w:ind w:left="0" w:right="0" w:firstLine="0"/>
              <w:jc w:val="center"/>
            </w:pPr>
          </w:p>
        </w:tc>
        <w:tc>
          <w:tcPr>
            <w:tcW w:w="0" w:type="auto"/>
            <w:vMerge/>
            <w:tcBorders>
              <w:bottom w:val="single" w:sz="12" w:space="0" w:color="000000"/>
            </w:tcBorders>
            <w:vAlign w:val="center"/>
          </w:tcPr>
          <w:p w14:paraId="7B6912A3" w14:textId="77777777" w:rsidR="00D46EE4" w:rsidRDefault="00D46EE4" w:rsidP="00017AB4">
            <w:pPr>
              <w:spacing w:after="160" w:line="259" w:lineRule="auto"/>
              <w:ind w:left="0" w:right="0" w:firstLine="0"/>
              <w:jc w:val="center"/>
            </w:pPr>
          </w:p>
        </w:tc>
        <w:tc>
          <w:tcPr>
            <w:tcW w:w="817" w:type="dxa"/>
            <w:tcBorders>
              <w:bottom w:val="single" w:sz="12" w:space="0" w:color="000000"/>
            </w:tcBorders>
            <w:vAlign w:val="center"/>
          </w:tcPr>
          <w:p w14:paraId="08FCE583" w14:textId="699EA09D" w:rsidR="00D46EE4" w:rsidRDefault="00D46EE4" w:rsidP="00DE705E">
            <w:pPr>
              <w:spacing w:after="0" w:line="259" w:lineRule="auto"/>
              <w:ind w:left="2" w:right="0" w:firstLine="0"/>
              <w:jc w:val="center"/>
            </w:pPr>
            <w:r>
              <w:rPr>
                <w:b/>
                <w:sz w:val="18"/>
              </w:rPr>
              <w:t>RL</w:t>
            </w:r>
          </w:p>
        </w:tc>
        <w:tc>
          <w:tcPr>
            <w:tcW w:w="727" w:type="dxa"/>
            <w:tcBorders>
              <w:bottom w:val="single" w:sz="12" w:space="0" w:color="000000"/>
            </w:tcBorders>
            <w:vAlign w:val="center"/>
          </w:tcPr>
          <w:p w14:paraId="68FD9473" w14:textId="0584A093" w:rsidR="00D46EE4" w:rsidRDefault="00D46EE4" w:rsidP="00DE705E">
            <w:pPr>
              <w:spacing w:after="0" w:line="259" w:lineRule="auto"/>
              <w:ind w:left="7" w:right="0" w:firstLine="0"/>
              <w:jc w:val="center"/>
            </w:pPr>
            <w:r>
              <w:rPr>
                <w:b/>
                <w:sz w:val="18"/>
              </w:rPr>
              <w:t>units</w:t>
            </w:r>
          </w:p>
        </w:tc>
        <w:tc>
          <w:tcPr>
            <w:tcW w:w="819" w:type="dxa"/>
            <w:tcBorders>
              <w:bottom w:val="single" w:sz="12" w:space="0" w:color="000000"/>
            </w:tcBorders>
            <w:vAlign w:val="center"/>
          </w:tcPr>
          <w:p w14:paraId="6334F304" w14:textId="4C10E358" w:rsidR="00D46EE4" w:rsidRDefault="00D46EE4" w:rsidP="00DE705E">
            <w:pPr>
              <w:spacing w:after="0" w:line="259" w:lineRule="auto"/>
              <w:ind w:left="5" w:right="0" w:firstLine="0"/>
              <w:jc w:val="center"/>
            </w:pPr>
            <w:r>
              <w:rPr>
                <w:b/>
                <w:sz w:val="18"/>
              </w:rPr>
              <w:t>RL</w:t>
            </w:r>
          </w:p>
        </w:tc>
        <w:tc>
          <w:tcPr>
            <w:tcW w:w="817" w:type="dxa"/>
            <w:tcBorders>
              <w:bottom w:val="single" w:sz="12" w:space="0" w:color="000000"/>
            </w:tcBorders>
            <w:vAlign w:val="center"/>
          </w:tcPr>
          <w:p w14:paraId="015BC83C" w14:textId="3EEE8CCC" w:rsidR="00D46EE4" w:rsidRDefault="00D46EE4" w:rsidP="00DE705E">
            <w:pPr>
              <w:spacing w:after="0" w:line="259" w:lineRule="auto"/>
              <w:ind w:left="1" w:right="0" w:firstLine="0"/>
              <w:jc w:val="center"/>
            </w:pPr>
            <w:r>
              <w:rPr>
                <w:b/>
                <w:sz w:val="18"/>
              </w:rPr>
              <w:t>units</w:t>
            </w:r>
          </w:p>
        </w:tc>
        <w:tc>
          <w:tcPr>
            <w:tcW w:w="4064" w:type="dxa"/>
            <w:gridSpan w:val="5"/>
            <w:vMerge/>
            <w:tcBorders>
              <w:bottom w:val="single" w:sz="12" w:space="0" w:color="000000"/>
            </w:tcBorders>
            <w:vAlign w:val="center"/>
          </w:tcPr>
          <w:p w14:paraId="3381206D" w14:textId="77777777" w:rsidR="00D46EE4" w:rsidRDefault="00D46EE4" w:rsidP="00017AB4">
            <w:pPr>
              <w:spacing w:after="160" w:line="259" w:lineRule="auto"/>
              <w:ind w:left="0" w:right="0" w:firstLine="0"/>
              <w:jc w:val="center"/>
            </w:pPr>
          </w:p>
        </w:tc>
      </w:tr>
      <w:tr w:rsidR="00B56D50" w14:paraId="2D17F7F7" w14:textId="77777777" w:rsidTr="00725264">
        <w:trPr>
          <w:trHeight w:val="240"/>
        </w:trPr>
        <w:tc>
          <w:tcPr>
            <w:tcW w:w="2193" w:type="dxa"/>
            <w:tcBorders>
              <w:left w:val="single" w:sz="12" w:space="0" w:color="auto"/>
              <w:bottom w:val="single" w:sz="4" w:space="0" w:color="000000"/>
            </w:tcBorders>
            <w:vAlign w:val="center"/>
          </w:tcPr>
          <w:p w14:paraId="6D9FD9C6" w14:textId="77777777" w:rsidR="00B56D50" w:rsidRDefault="001C3C42" w:rsidP="00482D75">
            <w:pPr>
              <w:spacing w:after="0" w:line="259" w:lineRule="auto"/>
              <w:ind w:left="2" w:right="0" w:firstLine="0"/>
            </w:pPr>
            <w:r>
              <w:rPr>
                <w:sz w:val="18"/>
              </w:rPr>
              <w:t xml:space="preserve">Boron </w:t>
            </w:r>
          </w:p>
        </w:tc>
        <w:tc>
          <w:tcPr>
            <w:tcW w:w="1183" w:type="dxa"/>
            <w:tcBorders>
              <w:bottom w:val="single" w:sz="4" w:space="0" w:color="000000"/>
            </w:tcBorders>
            <w:vAlign w:val="center"/>
          </w:tcPr>
          <w:p w14:paraId="28726676" w14:textId="397EAF60" w:rsidR="00B56D50" w:rsidRDefault="001C3C42" w:rsidP="00482D75">
            <w:pPr>
              <w:spacing w:after="0" w:line="259" w:lineRule="auto"/>
              <w:ind w:left="2" w:right="0" w:firstLine="0"/>
              <w:jc w:val="center"/>
            </w:pPr>
            <w:r>
              <w:rPr>
                <w:sz w:val="18"/>
              </w:rPr>
              <w:t>7440-42-8</w:t>
            </w:r>
          </w:p>
        </w:tc>
        <w:tc>
          <w:tcPr>
            <w:tcW w:w="817" w:type="dxa"/>
            <w:tcBorders>
              <w:bottom w:val="single" w:sz="4" w:space="0" w:color="000000"/>
            </w:tcBorders>
            <w:vAlign w:val="center"/>
          </w:tcPr>
          <w:p w14:paraId="47D17523" w14:textId="4C5B95D1" w:rsidR="00B56D50" w:rsidRDefault="001C3C42" w:rsidP="00482D75">
            <w:pPr>
              <w:spacing w:after="0" w:line="259" w:lineRule="auto"/>
              <w:ind w:left="0" w:right="0" w:firstLine="0"/>
              <w:jc w:val="center"/>
            </w:pPr>
            <w:r>
              <w:rPr>
                <w:sz w:val="18"/>
              </w:rPr>
              <w:t>50</w:t>
            </w:r>
          </w:p>
        </w:tc>
        <w:tc>
          <w:tcPr>
            <w:tcW w:w="727" w:type="dxa"/>
            <w:tcBorders>
              <w:bottom w:val="single" w:sz="4" w:space="0" w:color="000000"/>
            </w:tcBorders>
            <w:vAlign w:val="center"/>
          </w:tcPr>
          <w:p w14:paraId="4987A95D" w14:textId="3D659CB8" w:rsidR="00B56D50" w:rsidRDefault="00C17F96" w:rsidP="00482D75">
            <w:pPr>
              <w:spacing w:after="0" w:line="259" w:lineRule="auto"/>
              <w:ind w:left="2" w:right="0" w:firstLine="0"/>
              <w:jc w:val="center"/>
            </w:pPr>
            <w:r>
              <w:rPr>
                <w:rFonts w:ascii="Segoe UI Symbol" w:eastAsia="Segoe UI Symbol" w:hAnsi="Segoe UI Symbol" w:cs="Segoe UI Symbol"/>
                <w:sz w:val="18"/>
              </w:rPr>
              <w:t>u</w:t>
            </w:r>
            <w:r w:rsidR="001C3C42">
              <w:rPr>
                <w:sz w:val="18"/>
              </w:rPr>
              <w:t>g/L</w:t>
            </w:r>
          </w:p>
        </w:tc>
        <w:tc>
          <w:tcPr>
            <w:tcW w:w="819" w:type="dxa"/>
            <w:tcBorders>
              <w:bottom w:val="single" w:sz="4" w:space="0" w:color="000000"/>
            </w:tcBorders>
            <w:vAlign w:val="center"/>
          </w:tcPr>
          <w:p w14:paraId="747932F8" w14:textId="6488682C" w:rsidR="00B56D50" w:rsidRDefault="001C3C42" w:rsidP="00482D75">
            <w:pPr>
              <w:spacing w:after="0" w:line="259" w:lineRule="auto"/>
              <w:ind w:left="2" w:right="0" w:firstLine="0"/>
              <w:jc w:val="center"/>
            </w:pPr>
            <w:r>
              <w:rPr>
                <w:sz w:val="18"/>
              </w:rPr>
              <w:t>100</w:t>
            </w:r>
          </w:p>
        </w:tc>
        <w:tc>
          <w:tcPr>
            <w:tcW w:w="817" w:type="dxa"/>
            <w:tcBorders>
              <w:bottom w:val="single" w:sz="4" w:space="0" w:color="000000"/>
            </w:tcBorders>
            <w:vAlign w:val="center"/>
          </w:tcPr>
          <w:p w14:paraId="68A53A4B" w14:textId="7E3A1947" w:rsidR="00B56D50" w:rsidRDefault="001C3C42" w:rsidP="00482D75">
            <w:pPr>
              <w:spacing w:after="0" w:line="259" w:lineRule="auto"/>
              <w:ind w:left="1" w:right="0" w:firstLine="0"/>
              <w:jc w:val="center"/>
            </w:pPr>
            <w:r>
              <w:rPr>
                <w:sz w:val="18"/>
              </w:rPr>
              <w:t>mg/kg</w:t>
            </w:r>
          </w:p>
        </w:tc>
        <w:tc>
          <w:tcPr>
            <w:tcW w:w="909" w:type="dxa"/>
            <w:tcBorders>
              <w:bottom w:val="single" w:sz="4" w:space="0" w:color="000000"/>
            </w:tcBorders>
            <w:vAlign w:val="center"/>
          </w:tcPr>
          <w:p w14:paraId="25BA4629" w14:textId="15E8C237" w:rsidR="00B56D50" w:rsidRDefault="001C3C42" w:rsidP="00482D75">
            <w:pPr>
              <w:spacing w:after="0" w:line="259" w:lineRule="auto"/>
              <w:ind w:left="2" w:right="0" w:firstLine="0"/>
              <w:jc w:val="center"/>
            </w:pPr>
            <w:r>
              <w:rPr>
                <w:sz w:val="18"/>
              </w:rPr>
              <w:t>6010</w:t>
            </w:r>
          </w:p>
        </w:tc>
        <w:tc>
          <w:tcPr>
            <w:tcW w:w="909" w:type="dxa"/>
            <w:tcBorders>
              <w:bottom w:val="single" w:sz="4" w:space="0" w:color="000000"/>
            </w:tcBorders>
            <w:vAlign w:val="center"/>
          </w:tcPr>
          <w:p w14:paraId="7622507C" w14:textId="1D6F708E" w:rsidR="00B56D50" w:rsidRDefault="00B56D50" w:rsidP="00482D75">
            <w:pPr>
              <w:spacing w:after="0" w:line="259" w:lineRule="auto"/>
              <w:ind w:left="2" w:right="0" w:firstLine="0"/>
              <w:jc w:val="center"/>
            </w:pPr>
          </w:p>
        </w:tc>
        <w:tc>
          <w:tcPr>
            <w:tcW w:w="773" w:type="dxa"/>
            <w:tcBorders>
              <w:bottom w:val="single" w:sz="4" w:space="0" w:color="000000"/>
            </w:tcBorders>
            <w:vAlign w:val="center"/>
          </w:tcPr>
          <w:p w14:paraId="1D768ABA" w14:textId="573DB061" w:rsidR="00B56D50" w:rsidRDefault="00B56D50" w:rsidP="00482D75">
            <w:pPr>
              <w:spacing w:after="0" w:line="259" w:lineRule="auto"/>
              <w:ind w:left="2" w:right="0" w:firstLine="0"/>
              <w:jc w:val="center"/>
            </w:pPr>
          </w:p>
        </w:tc>
        <w:tc>
          <w:tcPr>
            <w:tcW w:w="773" w:type="dxa"/>
            <w:tcBorders>
              <w:bottom w:val="single" w:sz="4" w:space="0" w:color="000000"/>
            </w:tcBorders>
            <w:vAlign w:val="center"/>
          </w:tcPr>
          <w:p w14:paraId="67B4C7C7" w14:textId="74A46D4D" w:rsidR="00B56D50" w:rsidRDefault="00B56D50" w:rsidP="00482D75">
            <w:pPr>
              <w:spacing w:after="0" w:line="259" w:lineRule="auto"/>
              <w:ind w:left="2" w:right="0" w:firstLine="0"/>
              <w:jc w:val="center"/>
            </w:pPr>
          </w:p>
        </w:tc>
        <w:tc>
          <w:tcPr>
            <w:tcW w:w="700" w:type="dxa"/>
            <w:tcBorders>
              <w:bottom w:val="single" w:sz="4" w:space="0" w:color="000000"/>
            </w:tcBorders>
            <w:vAlign w:val="center"/>
          </w:tcPr>
          <w:p w14:paraId="1D60FEB4" w14:textId="63020AAC" w:rsidR="00B56D50" w:rsidRDefault="00B56D50" w:rsidP="00482D75">
            <w:pPr>
              <w:spacing w:after="0" w:line="259" w:lineRule="auto"/>
              <w:ind w:left="0" w:right="0" w:firstLine="0"/>
              <w:jc w:val="center"/>
            </w:pPr>
          </w:p>
        </w:tc>
      </w:tr>
      <w:tr w:rsidR="00B56D50" w14:paraId="1B2BA1CB" w14:textId="77777777" w:rsidTr="00725264">
        <w:trPr>
          <w:trHeight w:val="233"/>
        </w:trPr>
        <w:tc>
          <w:tcPr>
            <w:tcW w:w="2193" w:type="dxa"/>
            <w:tcBorders>
              <w:top w:val="single" w:sz="4" w:space="0" w:color="000000"/>
              <w:left w:val="single" w:sz="12" w:space="0" w:color="auto"/>
              <w:bottom w:val="single" w:sz="4" w:space="0" w:color="auto"/>
              <w:right w:val="single" w:sz="12" w:space="0" w:color="auto"/>
            </w:tcBorders>
            <w:vAlign w:val="center"/>
          </w:tcPr>
          <w:p w14:paraId="0B907788" w14:textId="77777777" w:rsidR="00B56D50" w:rsidRDefault="001C3C42" w:rsidP="00482D75">
            <w:pPr>
              <w:spacing w:after="0" w:line="259" w:lineRule="auto"/>
              <w:ind w:left="2" w:right="0" w:firstLine="0"/>
            </w:pPr>
            <w:r>
              <w:rPr>
                <w:sz w:val="18"/>
              </w:rPr>
              <w:t xml:space="preserve">Lithium </w:t>
            </w:r>
          </w:p>
        </w:tc>
        <w:tc>
          <w:tcPr>
            <w:tcW w:w="1183" w:type="dxa"/>
            <w:tcBorders>
              <w:top w:val="single" w:sz="4" w:space="0" w:color="000000"/>
              <w:left w:val="single" w:sz="12" w:space="0" w:color="auto"/>
              <w:bottom w:val="single" w:sz="4" w:space="0" w:color="auto"/>
              <w:right w:val="single" w:sz="12" w:space="0" w:color="auto"/>
            </w:tcBorders>
            <w:vAlign w:val="center"/>
          </w:tcPr>
          <w:p w14:paraId="404643BE" w14:textId="6060514F" w:rsidR="00B56D50" w:rsidRDefault="001C3C42" w:rsidP="00482D75">
            <w:pPr>
              <w:spacing w:after="0" w:line="259" w:lineRule="auto"/>
              <w:ind w:left="2" w:right="0" w:firstLine="0"/>
              <w:jc w:val="center"/>
            </w:pPr>
            <w:r>
              <w:rPr>
                <w:sz w:val="18"/>
              </w:rPr>
              <w:t>7439-93-2</w:t>
            </w:r>
          </w:p>
        </w:tc>
        <w:tc>
          <w:tcPr>
            <w:tcW w:w="817" w:type="dxa"/>
            <w:tcBorders>
              <w:top w:val="single" w:sz="4" w:space="0" w:color="000000"/>
              <w:left w:val="single" w:sz="12" w:space="0" w:color="auto"/>
              <w:bottom w:val="single" w:sz="4" w:space="0" w:color="auto"/>
              <w:right w:val="single" w:sz="12" w:space="0" w:color="auto"/>
            </w:tcBorders>
            <w:vAlign w:val="center"/>
          </w:tcPr>
          <w:p w14:paraId="62A1B7B9" w14:textId="47102F63" w:rsidR="00B56D50" w:rsidRDefault="001C3C42" w:rsidP="00482D75">
            <w:pPr>
              <w:spacing w:after="0" w:line="259" w:lineRule="auto"/>
              <w:ind w:left="0" w:right="0" w:firstLine="0"/>
              <w:jc w:val="center"/>
            </w:pPr>
            <w:r>
              <w:rPr>
                <w:sz w:val="18"/>
              </w:rPr>
              <w:t>50</w:t>
            </w:r>
          </w:p>
        </w:tc>
        <w:tc>
          <w:tcPr>
            <w:tcW w:w="727" w:type="dxa"/>
            <w:tcBorders>
              <w:top w:val="single" w:sz="4" w:space="0" w:color="000000"/>
              <w:left w:val="single" w:sz="12" w:space="0" w:color="auto"/>
              <w:bottom w:val="single" w:sz="4" w:space="0" w:color="auto"/>
              <w:right w:val="single" w:sz="12" w:space="0" w:color="auto"/>
            </w:tcBorders>
            <w:vAlign w:val="center"/>
          </w:tcPr>
          <w:p w14:paraId="71121D07" w14:textId="544FA12C" w:rsidR="00B56D50" w:rsidRDefault="00C17F96" w:rsidP="00482D75">
            <w:pPr>
              <w:spacing w:after="0" w:line="259" w:lineRule="auto"/>
              <w:ind w:left="2" w:right="0" w:firstLine="0"/>
              <w:jc w:val="center"/>
            </w:pPr>
            <w:r>
              <w:rPr>
                <w:rFonts w:ascii="Segoe UI Symbol" w:eastAsia="Segoe UI Symbol" w:hAnsi="Segoe UI Symbol" w:cs="Segoe UI Symbol"/>
                <w:sz w:val="18"/>
              </w:rPr>
              <w:t>u</w:t>
            </w:r>
            <w:r w:rsidR="001C3C42">
              <w:rPr>
                <w:sz w:val="18"/>
              </w:rPr>
              <w:t>g/L</w:t>
            </w:r>
          </w:p>
        </w:tc>
        <w:tc>
          <w:tcPr>
            <w:tcW w:w="819" w:type="dxa"/>
            <w:tcBorders>
              <w:top w:val="single" w:sz="4" w:space="0" w:color="000000"/>
              <w:left w:val="single" w:sz="12" w:space="0" w:color="auto"/>
              <w:bottom w:val="single" w:sz="4" w:space="0" w:color="auto"/>
              <w:right w:val="single" w:sz="12" w:space="0" w:color="auto"/>
            </w:tcBorders>
            <w:vAlign w:val="center"/>
          </w:tcPr>
          <w:p w14:paraId="5EF09A2A" w14:textId="45DBBDED" w:rsidR="00B56D50" w:rsidRDefault="001C3C42" w:rsidP="00482D75">
            <w:pPr>
              <w:spacing w:after="0" w:line="259" w:lineRule="auto"/>
              <w:ind w:left="2" w:right="0" w:firstLine="0"/>
              <w:jc w:val="center"/>
            </w:pPr>
            <w:r>
              <w:rPr>
                <w:sz w:val="18"/>
              </w:rPr>
              <w:t>1</w:t>
            </w:r>
          </w:p>
        </w:tc>
        <w:tc>
          <w:tcPr>
            <w:tcW w:w="817" w:type="dxa"/>
            <w:tcBorders>
              <w:top w:val="single" w:sz="4" w:space="0" w:color="000000"/>
              <w:left w:val="single" w:sz="12" w:space="0" w:color="auto"/>
              <w:bottom w:val="single" w:sz="4" w:space="0" w:color="auto"/>
              <w:right w:val="single" w:sz="12" w:space="0" w:color="auto"/>
            </w:tcBorders>
            <w:vAlign w:val="center"/>
          </w:tcPr>
          <w:p w14:paraId="4F572A94" w14:textId="0DE707C7" w:rsidR="00B56D50" w:rsidRDefault="001C3C42" w:rsidP="00482D75">
            <w:pPr>
              <w:spacing w:after="0" w:line="259" w:lineRule="auto"/>
              <w:ind w:left="1" w:right="0" w:firstLine="0"/>
              <w:jc w:val="center"/>
            </w:pPr>
            <w:r>
              <w:rPr>
                <w:sz w:val="18"/>
              </w:rPr>
              <w:t>mg/kg</w:t>
            </w:r>
          </w:p>
        </w:tc>
        <w:tc>
          <w:tcPr>
            <w:tcW w:w="909" w:type="dxa"/>
            <w:tcBorders>
              <w:top w:val="single" w:sz="4" w:space="0" w:color="000000"/>
              <w:left w:val="single" w:sz="12" w:space="0" w:color="auto"/>
              <w:bottom w:val="single" w:sz="4" w:space="0" w:color="auto"/>
              <w:right w:val="single" w:sz="12" w:space="0" w:color="auto"/>
            </w:tcBorders>
            <w:vAlign w:val="center"/>
          </w:tcPr>
          <w:p w14:paraId="5E094A21" w14:textId="73221B42" w:rsidR="00B56D50" w:rsidRDefault="001C3C42" w:rsidP="00482D75">
            <w:pPr>
              <w:spacing w:after="0" w:line="259" w:lineRule="auto"/>
              <w:ind w:left="2" w:right="0" w:firstLine="0"/>
              <w:jc w:val="center"/>
            </w:pPr>
            <w:r>
              <w:rPr>
                <w:sz w:val="18"/>
              </w:rPr>
              <w:t>6010</w:t>
            </w:r>
          </w:p>
        </w:tc>
        <w:tc>
          <w:tcPr>
            <w:tcW w:w="909" w:type="dxa"/>
            <w:tcBorders>
              <w:top w:val="single" w:sz="4" w:space="0" w:color="000000"/>
              <w:left w:val="single" w:sz="12" w:space="0" w:color="auto"/>
              <w:bottom w:val="single" w:sz="4" w:space="0" w:color="auto"/>
              <w:right w:val="single" w:sz="12" w:space="0" w:color="auto"/>
            </w:tcBorders>
            <w:vAlign w:val="center"/>
          </w:tcPr>
          <w:p w14:paraId="256DB014" w14:textId="7E7C9521" w:rsidR="00B56D50" w:rsidRDefault="00B56D50" w:rsidP="00482D75">
            <w:pPr>
              <w:spacing w:after="0" w:line="259" w:lineRule="auto"/>
              <w:ind w:left="2" w:right="0" w:firstLine="0"/>
              <w:jc w:val="center"/>
            </w:pPr>
          </w:p>
        </w:tc>
        <w:tc>
          <w:tcPr>
            <w:tcW w:w="773" w:type="dxa"/>
            <w:tcBorders>
              <w:top w:val="single" w:sz="4" w:space="0" w:color="000000"/>
              <w:left w:val="single" w:sz="12" w:space="0" w:color="auto"/>
              <w:bottom w:val="single" w:sz="4" w:space="0" w:color="auto"/>
              <w:right w:val="single" w:sz="12" w:space="0" w:color="auto"/>
            </w:tcBorders>
            <w:vAlign w:val="center"/>
          </w:tcPr>
          <w:p w14:paraId="7C08ABCE" w14:textId="0C721165" w:rsidR="00B56D50" w:rsidRDefault="00B56D50" w:rsidP="00482D75">
            <w:pPr>
              <w:spacing w:after="0" w:line="259" w:lineRule="auto"/>
              <w:ind w:left="2" w:right="0" w:firstLine="0"/>
              <w:jc w:val="center"/>
            </w:pPr>
          </w:p>
        </w:tc>
        <w:tc>
          <w:tcPr>
            <w:tcW w:w="773" w:type="dxa"/>
            <w:tcBorders>
              <w:top w:val="single" w:sz="4" w:space="0" w:color="000000"/>
              <w:left w:val="single" w:sz="12" w:space="0" w:color="auto"/>
              <w:bottom w:val="single" w:sz="4" w:space="0" w:color="auto"/>
              <w:right w:val="single" w:sz="12" w:space="0" w:color="auto"/>
            </w:tcBorders>
            <w:vAlign w:val="center"/>
          </w:tcPr>
          <w:p w14:paraId="73B3F50B" w14:textId="0F1213A8" w:rsidR="00B56D50" w:rsidRDefault="00B56D50" w:rsidP="00482D75">
            <w:pPr>
              <w:spacing w:after="0" w:line="259" w:lineRule="auto"/>
              <w:ind w:left="2" w:right="0" w:firstLine="0"/>
              <w:jc w:val="center"/>
            </w:pPr>
          </w:p>
        </w:tc>
        <w:tc>
          <w:tcPr>
            <w:tcW w:w="700" w:type="dxa"/>
            <w:tcBorders>
              <w:top w:val="single" w:sz="4" w:space="0" w:color="000000"/>
              <w:left w:val="single" w:sz="12" w:space="0" w:color="auto"/>
              <w:bottom w:val="single" w:sz="4" w:space="0" w:color="auto"/>
              <w:right w:val="single" w:sz="12" w:space="0" w:color="auto"/>
            </w:tcBorders>
            <w:vAlign w:val="center"/>
          </w:tcPr>
          <w:p w14:paraId="59CCA6E6" w14:textId="4388BDD7" w:rsidR="00B56D50" w:rsidRDefault="00B56D50" w:rsidP="00482D75">
            <w:pPr>
              <w:spacing w:after="0" w:line="259" w:lineRule="auto"/>
              <w:ind w:left="0" w:right="0" w:firstLine="0"/>
              <w:jc w:val="center"/>
            </w:pPr>
          </w:p>
        </w:tc>
      </w:tr>
      <w:tr w:rsidR="00B56D50" w14:paraId="5E0BFAD5" w14:textId="77777777" w:rsidTr="00725264">
        <w:trPr>
          <w:trHeight w:val="230"/>
        </w:trPr>
        <w:tc>
          <w:tcPr>
            <w:tcW w:w="2193" w:type="dxa"/>
            <w:tcBorders>
              <w:top w:val="single" w:sz="4" w:space="0" w:color="auto"/>
              <w:left w:val="single" w:sz="12" w:space="0" w:color="auto"/>
              <w:bottom w:val="single" w:sz="4" w:space="0" w:color="auto"/>
              <w:right w:val="single" w:sz="12" w:space="0" w:color="auto"/>
            </w:tcBorders>
            <w:vAlign w:val="center"/>
          </w:tcPr>
          <w:p w14:paraId="73EAB339" w14:textId="77777777" w:rsidR="00B56D50" w:rsidRDefault="001C3C42" w:rsidP="00482D75">
            <w:pPr>
              <w:spacing w:after="0" w:line="259" w:lineRule="auto"/>
              <w:ind w:left="2" w:right="0" w:firstLine="0"/>
            </w:pPr>
            <w:r>
              <w:rPr>
                <w:sz w:val="18"/>
              </w:rPr>
              <w:t xml:space="preserve">Molybdenum </w:t>
            </w:r>
          </w:p>
        </w:tc>
        <w:tc>
          <w:tcPr>
            <w:tcW w:w="1183" w:type="dxa"/>
            <w:tcBorders>
              <w:top w:val="single" w:sz="4" w:space="0" w:color="auto"/>
              <w:left w:val="single" w:sz="12" w:space="0" w:color="auto"/>
              <w:bottom w:val="single" w:sz="4" w:space="0" w:color="auto"/>
              <w:right w:val="single" w:sz="12" w:space="0" w:color="auto"/>
            </w:tcBorders>
            <w:vAlign w:val="center"/>
          </w:tcPr>
          <w:p w14:paraId="0DEA80AE" w14:textId="6FE7C894" w:rsidR="00B56D50" w:rsidRDefault="001C3C42" w:rsidP="00482D75">
            <w:pPr>
              <w:spacing w:after="0" w:line="259" w:lineRule="auto"/>
              <w:ind w:left="2" w:right="0" w:firstLine="0"/>
              <w:jc w:val="center"/>
            </w:pPr>
            <w:r>
              <w:rPr>
                <w:sz w:val="18"/>
              </w:rPr>
              <w:t>7439-98-7</w:t>
            </w:r>
          </w:p>
        </w:tc>
        <w:tc>
          <w:tcPr>
            <w:tcW w:w="817" w:type="dxa"/>
            <w:tcBorders>
              <w:top w:val="single" w:sz="4" w:space="0" w:color="auto"/>
              <w:left w:val="single" w:sz="12" w:space="0" w:color="auto"/>
              <w:bottom w:val="single" w:sz="4" w:space="0" w:color="auto"/>
              <w:right w:val="single" w:sz="12" w:space="0" w:color="auto"/>
            </w:tcBorders>
            <w:vAlign w:val="center"/>
          </w:tcPr>
          <w:p w14:paraId="78574722" w14:textId="627C0966" w:rsidR="00B56D50" w:rsidRDefault="001C3C42" w:rsidP="00482D75">
            <w:pPr>
              <w:spacing w:after="0" w:line="259" w:lineRule="auto"/>
              <w:ind w:left="0" w:right="0" w:firstLine="0"/>
              <w:jc w:val="center"/>
            </w:pPr>
            <w:r>
              <w:rPr>
                <w:sz w:val="18"/>
              </w:rPr>
              <w:t>50</w:t>
            </w:r>
          </w:p>
        </w:tc>
        <w:tc>
          <w:tcPr>
            <w:tcW w:w="727" w:type="dxa"/>
            <w:tcBorders>
              <w:top w:val="single" w:sz="4" w:space="0" w:color="auto"/>
              <w:left w:val="single" w:sz="12" w:space="0" w:color="auto"/>
              <w:bottom w:val="single" w:sz="4" w:space="0" w:color="auto"/>
              <w:right w:val="single" w:sz="12" w:space="0" w:color="auto"/>
            </w:tcBorders>
            <w:vAlign w:val="center"/>
          </w:tcPr>
          <w:p w14:paraId="4750DED5" w14:textId="626846FB" w:rsidR="00B56D50" w:rsidRDefault="00C17F96" w:rsidP="00482D75">
            <w:pPr>
              <w:spacing w:after="0" w:line="259" w:lineRule="auto"/>
              <w:ind w:left="2" w:right="0" w:firstLine="0"/>
              <w:jc w:val="center"/>
            </w:pPr>
            <w:r>
              <w:rPr>
                <w:rFonts w:ascii="Segoe UI Symbol" w:eastAsia="Segoe UI Symbol" w:hAnsi="Segoe UI Symbol" w:cs="Segoe UI Symbol"/>
                <w:sz w:val="18"/>
              </w:rPr>
              <w:t>u</w:t>
            </w:r>
            <w:r w:rsidR="001C3C42">
              <w:rPr>
                <w:sz w:val="18"/>
              </w:rPr>
              <w:t>g/L</w:t>
            </w:r>
          </w:p>
        </w:tc>
        <w:tc>
          <w:tcPr>
            <w:tcW w:w="819" w:type="dxa"/>
            <w:tcBorders>
              <w:top w:val="single" w:sz="4" w:space="0" w:color="auto"/>
              <w:left w:val="single" w:sz="12" w:space="0" w:color="auto"/>
              <w:bottom w:val="single" w:sz="4" w:space="0" w:color="auto"/>
              <w:right w:val="single" w:sz="12" w:space="0" w:color="auto"/>
            </w:tcBorders>
            <w:vAlign w:val="center"/>
          </w:tcPr>
          <w:p w14:paraId="04817869" w14:textId="1A11FC86" w:rsidR="00B56D50" w:rsidRDefault="001C3C42" w:rsidP="00482D75">
            <w:pPr>
              <w:spacing w:after="0" w:line="259" w:lineRule="auto"/>
              <w:ind w:left="2" w:right="0" w:firstLine="0"/>
              <w:jc w:val="center"/>
            </w:pPr>
            <w:r>
              <w:rPr>
                <w:sz w:val="18"/>
              </w:rPr>
              <w:t>1</w:t>
            </w:r>
          </w:p>
        </w:tc>
        <w:tc>
          <w:tcPr>
            <w:tcW w:w="817" w:type="dxa"/>
            <w:tcBorders>
              <w:top w:val="single" w:sz="4" w:space="0" w:color="auto"/>
              <w:left w:val="single" w:sz="12" w:space="0" w:color="auto"/>
              <w:bottom w:val="single" w:sz="4" w:space="0" w:color="auto"/>
              <w:right w:val="single" w:sz="12" w:space="0" w:color="auto"/>
            </w:tcBorders>
            <w:vAlign w:val="center"/>
          </w:tcPr>
          <w:p w14:paraId="75F4FE40" w14:textId="5577F73B" w:rsidR="00B56D50" w:rsidRDefault="001C3C42" w:rsidP="00482D75">
            <w:pPr>
              <w:spacing w:after="0" w:line="259" w:lineRule="auto"/>
              <w:ind w:left="1" w:right="0" w:firstLine="0"/>
              <w:jc w:val="center"/>
            </w:pPr>
            <w:r>
              <w:rPr>
                <w:sz w:val="18"/>
              </w:rPr>
              <w:t>mg/kg</w:t>
            </w:r>
          </w:p>
        </w:tc>
        <w:tc>
          <w:tcPr>
            <w:tcW w:w="909" w:type="dxa"/>
            <w:tcBorders>
              <w:top w:val="single" w:sz="4" w:space="0" w:color="auto"/>
              <w:left w:val="single" w:sz="12" w:space="0" w:color="auto"/>
              <w:bottom w:val="single" w:sz="4" w:space="0" w:color="auto"/>
              <w:right w:val="single" w:sz="12" w:space="0" w:color="auto"/>
            </w:tcBorders>
            <w:vAlign w:val="center"/>
          </w:tcPr>
          <w:p w14:paraId="52CAE099" w14:textId="7654696C" w:rsidR="00B56D50" w:rsidRDefault="001C3C42" w:rsidP="00482D75">
            <w:pPr>
              <w:spacing w:after="0" w:line="259" w:lineRule="auto"/>
              <w:ind w:left="2" w:right="0" w:firstLine="0"/>
              <w:jc w:val="center"/>
            </w:pPr>
            <w:r>
              <w:rPr>
                <w:sz w:val="18"/>
              </w:rPr>
              <w:t>6010</w:t>
            </w:r>
          </w:p>
        </w:tc>
        <w:tc>
          <w:tcPr>
            <w:tcW w:w="909" w:type="dxa"/>
            <w:tcBorders>
              <w:top w:val="single" w:sz="4" w:space="0" w:color="auto"/>
              <w:left w:val="single" w:sz="12" w:space="0" w:color="auto"/>
              <w:bottom w:val="single" w:sz="4" w:space="0" w:color="auto"/>
              <w:right w:val="single" w:sz="12" w:space="0" w:color="auto"/>
            </w:tcBorders>
            <w:vAlign w:val="center"/>
          </w:tcPr>
          <w:p w14:paraId="4C173775" w14:textId="1F5D5005" w:rsidR="00B56D50" w:rsidRDefault="00B56D50" w:rsidP="00482D75">
            <w:pPr>
              <w:spacing w:after="0" w:line="259" w:lineRule="auto"/>
              <w:ind w:left="2" w:right="0" w:firstLine="0"/>
              <w:jc w:val="center"/>
            </w:pPr>
          </w:p>
        </w:tc>
        <w:tc>
          <w:tcPr>
            <w:tcW w:w="773" w:type="dxa"/>
            <w:tcBorders>
              <w:top w:val="single" w:sz="4" w:space="0" w:color="auto"/>
              <w:left w:val="single" w:sz="12" w:space="0" w:color="auto"/>
              <w:bottom w:val="single" w:sz="4" w:space="0" w:color="auto"/>
              <w:right w:val="single" w:sz="12" w:space="0" w:color="auto"/>
            </w:tcBorders>
            <w:vAlign w:val="center"/>
          </w:tcPr>
          <w:p w14:paraId="31B7503B" w14:textId="59D385FD" w:rsidR="00B56D50" w:rsidRDefault="00B56D50" w:rsidP="00482D75">
            <w:pPr>
              <w:spacing w:after="0" w:line="259" w:lineRule="auto"/>
              <w:ind w:left="2" w:right="0" w:firstLine="0"/>
              <w:jc w:val="center"/>
            </w:pPr>
          </w:p>
        </w:tc>
        <w:tc>
          <w:tcPr>
            <w:tcW w:w="773" w:type="dxa"/>
            <w:tcBorders>
              <w:top w:val="single" w:sz="4" w:space="0" w:color="auto"/>
              <w:left w:val="single" w:sz="12" w:space="0" w:color="auto"/>
              <w:bottom w:val="single" w:sz="4" w:space="0" w:color="auto"/>
              <w:right w:val="single" w:sz="12" w:space="0" w:color="auto"/>
            </w:tcBorders>
            <w:vAlign w:val="center"/>
          </w:tcPr>
          <w:p w14:paraId="608DC145" w14:textId="22C82144" w:rsidR="00B56D50" w:rsidRDefault="00B56D50" w:rsidP="00482D75">
            <w:pPr>
              <w:spacing w:after="0" w:line="259" w:lineRule="auto"/>
              <w:ind w:left="2" w:right="0" w:firstLine="0"/>
              <w:jc w:val="center"/>
            </w:pPr>
          </w:p>
        </w:tc>
        <w:tc>
          <w:tcPr>
            <w:tcW w:w="700" w:type="dxa"/>
            <w:tcBorders>
              <w:top w:val="single" w:sz="4" w:space="0" w:color="auto"/>
              <w:left w:val="single" w:sz="12" w:space="0" w:color="auto"/>
              <w:bottom w:val="single" w:sz="4" w:space="0" w:color="auto"/>
              <w:right w:val="single" w:sz="12" w:space="0" w:color="auto"/>
            </w:tcBorders>
            <w:vAlign w:val="center"/>
          </w:tcPr>
          <w:p w14:paraId="393C6C1A" w14:textId="72B0E5D2" w:rsidR="00B56D50" w:rsidRDefault="00B56D50" w:rsidP="00482D75">
            <w:pPr>
              <w:spacing w:after="0" w:line="259" w:lineRule="auto"/>
              <w:ind w:left="0" w:right="0" w:firstLine="0"/>
              <w:jc w:val="center"/>
            </w:pPr>
          </w:p>
        </w:tc>
      </w:tr>
      <w:tr w:rsidR="00B56D50" w14:paraId="0A3FD35B" w14:textId="77777777" w:rsidTr="00725264">
        <w:trPr>
          <w:trHeight w:val="231"/>
        </w:trPr>
        <w:tc>
          <w:tcPr>
            <w:tcW w:w="2193" w:type="dxa"/>
            <w:tcBorders>
              <w:top w:val="single" w:sz="4" w:space="0" w:color="auto"/>
              <w:left w:val="single" w:sz="12" w:space="0" w:color="auto"/>
              <w:bottom w:val="single" w:sz="4" w:space="0" w:color="auto"/>
              <w:right w:val="single" w:sz="12" w:space="0" w:color="auto"/>
            </w:tcBorders>
            <w:vAlign w:val="center"/>
          </w:tcPr>
          <w:p w14:paraId="22BD97DC" w14:textId="77777777" w:rsidR="00B56D50" w:rsidRDefault="001C3C42" w:rsidP="00482D75">
            <w:pPr>
              <w:spacing w:after="0" w:line="259" w:lineRule="auto"/>
              <w:ind w:left="2" w:right="0" w:firstLine="0"/>
            </w:pPr>
            <w:r>
              <w:rPr>
                <w:sz w:val="18"/>
              </w:rPr>
              <w:t xml:space="preserve">Strontium </w:t>
            </w:r>
          </w:p>
        </w:tc>
        <w:tc>
          <w:tcPr>
            <w:tcW w:w="1183" w:type="dxa"/>
            <w:tcBorders>
              <w:top w:val="single" w:sz="4" w:space="0" w:color="auto"/>
              <w:left w:val="single" w:sz="12" w:space="0" w:color="auto"/>
              <w:bottom w:val="single" w:sz="4" w:space="0" w:color="auto"/>
              <w:right w:val="single" w:sz="12" w:space="0" w:color="auto"/>
            </w:tcBorders>
            <w:vAlign w:val="center"/>
          </w:tcPr>
          <w:p w14:paraId="5E77A711" w14:textId="076DAB5E" w:rsidR="00B56D50" w:rsidRDefault="001C3C42" w:rsidP="00482D75">
            <w:pPr>
              <w:spacing w:after="0" w:line="259" w:lineRule="auto"/>
              <w:ind w:left="2" w:right="0" w:firstLine="0"/>
              <w:jc w:val="center"/>
            </w:pPr>
            <w:r>
              <w:rPr>
                <w:sz w:val="18"/>
              </w:rPr>
              <w:t>7440-24-6</w:t>
            </w:r>
          </w:p>
        </w:tc>
        <w:tc>
          <w:tcPr>
            <w:tcW w:w="817" w:type="dxa"/>
            <w:tcBorders>
              <w:top w:val="single" w:sz="4" w:space="0" w:color="auto"/>
              <w:left w:val="single" w:sz="12" w:space="0" w:color="auto"/>
              <w:bottom w:val="single" w:sz="4" w:space="0" w:color="auto"/>
              <w:right w:val="single" w:sz="12" w:space="0" w:color="auto"/>
            </w:tcBorders>
            <w:vAlign w:val="center"/>
          </w:tcPr>
          <w:p w14:paraId="2F511057" w14:textId="55C19957" w:rsidR="00B56D50" w:rsidRDefault="001C3C42" w:rsidP="00482D75">
            <w:pPr>
              <w:spacing w:after="0" w:line="259" w:lineRule="auto"/>
              <w:ind w:left="0" w:right="0" w:firstLine="0"/>
              <w:jc w:val="center"/>
            </w:pPr>
            <w:r>
              <w:rPr>
                <w:sz w:val="18"/>
              </w:rPr>
              <w:t>50</w:t>
            </w:r>
          </w:p>
        </w:tc>
        <w:tc>
          <w:tcPr>
            <w:tcW w:w="727" w:type="dxa"/>
            <w:tcBorders>
              <w:top w:val="single" w:sz="4" w:space="0" w:color="auto"/>
              <w:left w:val="single" w:sz="12" w:space="0" w:color="auto"/>
              <w:bottom w:val="single" w:sz="4" w:space="0" w:color="auto"/>
              <w:right w:val="single" w:sz="12" w:space="0" w:color="auto"/>
            </w:tcBorders>
            <w:vAlign w:val="center"/>
          </w:tcPr>
          <w:p w14:paraId="53ECB94A" w14:textId="50F2FE12" w:rsidR="00B56D50" w:rsidRDefault="001C1931" w:rsidP="00482D75">
            <w:pPr>
              <w:spacing w:after="0" w:line="259" w:lineRule="auto"/>
              <w:ind w:left="2" w:right="0" w:firstLine="0"/>
              <w:jc w:val="center"/>
            </w:pPr>
            <w:r>
              <w:rPr>
                <w:rFonts w:ascii="Segoe UI Symbol" w:eastAsia="Segoe UI Symbol" w:hAnsi="Segoe UI Symbol" w:cs="Segoe UI Symbol"/>
                <w:sz w:val="18"/>
              </w:rPr>
              <w:t>u</w:t>
            </w:r>
            <w:r w:rsidR="001C3C42">
              <w:rPr>
                <w:sz w:val="18"/>
              </w:rPr>
              <w:t>g/L</w:t>
            </w:r>
          </w:p>
        </w:tc>
        <w:tc>
          <w:tcPr>
            <w:tcW w:w="819" w:type="dxa"/>
            <w:tcBorders>
              <w:top w:val="single" w:sz="4" w:space="0" w:color="auto"/>
              <w:left w:val="single" w:sz="12" w:space="0" w:color="auto"/>
              <w:bottom w:val="single" w:sz="4" w:space="0" w:color="auto"/>
              <w:right w:val="single" w:sz="12" w:space="0" w:color="auto"/>
            </w:tcBorders>
            <w:vAlign w:val="center"/>
          </w:tcPr>
          <w:p w14:paraId="3B8D2400" w14:textId="3F1168D6" w:rsidR="00B56D50" w:rsidRDefault="001C3C42" w:rsidP="00482D75">
            <w:pPr>
              <w:spacing w:after="0" w:line="259" w:lineRule="auto"/>
              <w:ind w:left="2" w:right="0" w:firstLine="0"/>
              <w:jc w:val="center"/>
            </w:pPr>
            <w:r>
              <w:rPr>
                <w:sz w:val="18"/>
              </w:rPr>
              <w:t>5</w:t>
            </w:r>
          </w:p>
        </w:tc>
        <w:tc>
          <w:tcPr>
            <w:tcW w:w="817" w:type="dxa"/>
            <w:tcBorders>
              <w:top w:val="single" w:sz="4" w:space="0" w:color="auto"/>
              <w:left w:val="single" w:sz="12" w:space="0" w:color="auto"/>
              <w:bottom w:val="single" w:sz="4" w:space="0" w:color="auto"/>
              <w:right w:val="single" w:sz="12" w:space="0" w:color="auto"/>
            </w:tcBorders>
            <w:vAlign w:val="center"/>
          </w:tcPr>
          <w:p w14:paraId="30AADEDB" w14:textId="1509D022" w:rsidR="00B56D50" w:rsidRDefault="001C3C42" w:rsidP="00482D75">
            <w:pPr>
              <w:spacing w:after="0" w:line="259" w:lineRule="auto"/>
              <w:ind w:left="1" w:right="0" w:firstLine="0"/>
              <w:jc w:val="center"/>
            </w:pPr>
            <w:r>
              <w:rPr>
                <w:sz w:val="18"/>
              </w:rPr>
              <w:t>mg/kg</w:t>
            </w:r>
          </w:p>
        </w:tc>
        <w:tc>
          <w:tcPr>
            <w:tcW w:w="909" w:type="dxa"/>
            <w:tcBorders>
              <w:top w:val="single" w:sz="4" w:space="0" w:color="auto"/>
              <w:left w:val="single" w:sz="12" w:space="0" w:color="auto"/>
              <w:bottom w:val="single" w:sz="4" w:space="0" w:color="auto"/>
              <w:right w:val="single" w:sz="12" w:space="0" w:color="auto"/>
            </w:tcBorders>
            <w:vAlign w:val="center"/>
          </w:tcPr>
          <w:p w14:paraId="26343CA5" w14:textId="348268CA" w:rsidR="00B56D50" w:rsidRDefault="001C3C42" w:rsidP="00482D75">
            <w:pPr>
              <w:spacing w:after="0" w:line="259" w:lineRule="auto"/>
              <w:ind w:left="2" w:right="0" w:firstLine="0"/>
              <w:jc w:val="center"/>
            </w:pPr>
            <w:r>
              <w:rPr>
                <w:sz w:val="18"/>
              </w:rPr>
              <w:t>6010</w:t>
            </w:r>
          </w:p>
        </w:tc>
        <w:tc>
          <w:tcPr>
            <w:tcW w:w="909" w:type="dxa"/>
            <w:tcBorders>
              <w:top w:val="single" w:sz="4" w:space="0" w:color="auto"/>
              <w:left w:val="single" w:sz="12" w:space="0" w:color="auto"/>
              <w:bottom w:val="single" w:sz="4" w:space="0" w:color="auto"/>
              <w:right w:val="single" w:sz="12" w:space="0" w:color="auto"/>
            </w:tcBorders>
            <w:vAlign w:val="center"/>
          </w:tcPr>
          <w:p w14:paraId="3D074B8D" w14:textId="09FAEF51" w:rsidR="00B56D50" w:rsidRDefault="00B56D50" w:rsidP="00482D75">
            <w:pPr>
              <w:spacing w:after="0" w:line="259" w:lineRule="auto"/>
              <w:ind w:left="2" w:right="0" w:firstLine="0"/>
              <w:jc w:val="center"/>
            </w:pPr>
          </w:p>
        </w:tc>
        <w:tc>
          <w:tcPr>
            <w:tcW w:w="773" w:type="dxa"/>
            <w:tcBorders>
              <w:top w:val="single" w:sz="4" w:space="0" w:color="auto"/>
              <w:left w:val="single" w:sz="12" w:space="0" w:color="auto"/>
              <w:bottom w:val="single" w:sz="4" w:space="0" w:color="auto"/>
              <w:right w:val="single" w:sz="12" w:space="0" w:color="auto"/>
            </w:tcBorders>
            <w:vAlign w:val="center"/>
          </w:tcPr>
          <w:p w14:paraId="5BEA303F" w14:textId="7ABBB969" w:rsidR="00B56D50" w:rsidRDefault="00B56D50" w:rsidP="00482D75">
            <w:pPr>
              <w:spacing w:after="0" w:line="259" w:lineRule="auto"/>
              <w:ind w:left="2" w:right="0" w:firstLine="0"/>
              <w:jc w:val="center"/>
            </w:pPr>
          </w:p>
        </w:tc>
        <w:tc>
          <w:tcPr>
            <w:tcW w:w="773" w:type="dxa"/>
            <w:tcBorders>
              <w:top w:val="single" w:sz="4" w:space="0" w:color="auto"/>
              <w:left w:val="single" w:sz="12" w:space="0" w:color="auto"/>
              <w:bottom w:val="single" w:sz="4" w:space="0" w:color="auto"/>
              <w:right w:val="single" w:sz="12" w:space="0" w:color="auto"/>
            </w:tcBorders>
            <w:vAlign w:val="center"/>
          </w:tcPr>
          <w:p w14:paraId="4249BA6D" w14:textId="0EC4D9D3" w:rsidR="00B56D50" w:rsidRDefault="00B56D50" w:rsidP="00482D75">
            <w:pPr>
              <w:spacing w:after="0" w:line="259" w:lineRule="auto"/>
              <w:ind w:left="2" w:right="0" w:firstLine="0"/>
              <w:jc w:val="center"/>
            </w:pPr>
          </w:p>
        </w:tc>
        <w:tc>
          <w:tcPr>
            <w:tcW w:w="700" w:type="dxa"/>
            <w:tcBorders>
              <w:top w:val="single" w:sz="4" w:space="0" w:color="auto"/>
              <w:left w:val="single" w:sz="12" w:space="0" w:color="auto"/>
              <w:bottom w:val="single" w:sz="4" w:space="0" w:color="auto"/>
              <w:right w:val="single" w:sz="12" w:space="0" w:color="auto"/>
            </w:tcBorders>
            <w:vAlign w:val="center"/>
          </w:tcPr>
          <w:p w14:paraId="2181C3C3" w14:textId="30E51DB0" w:rsidR="00B56D50" w:rsidRDefault="00B56D50" w:rsidP="00482D75">
            <w:pPr>
              <w:spacing w:after="0" w:line="259" w:lineRule="auto"/>
              <w:ind w:left="0" w:right="0" w:firstLine="0"/>
              <w:jc w:val="center"/>
            </w:pPr>
          </w:p>
        </w:tc>
      </w:tr>
      <w:tr w:rsidR="00B56D50" w14:paraId="1F876819" w14:textId="77777777" w:rsidTr="00725264">
        <w:trPr>
          <w:trHeight w:val="230"/>
        </w:trPr>
        <w:tc>
          <w:tcPr>
            <w:tcW w:w="2193" w:type="dxa"/>
            <w:tcBorders>
              <w:top w:val="single" w:sz="4" w:space="0" w:color="auto"/>
              <w:left w:val="single" w:sz="12" w:space="0" w:color="auto"/>
              <w:bottom w:val="single" w:sz="4" w:space="0" w:color="auto"/>
              <w:right w:val="single" w:sz="12" w:space="0" w:color="auto"/>
            </w:tcBorders>
            <w:vAlign w:val="center"/>
          </w:tcPr>
          <w:p w14:paraId="4D9BF06C" w14:textId="77777777" w:rsidR="00B56D50" w:rsidRDefault="001C3C42" w:rsidP="00482D75">
            <w:pPr>
              <w:spacing w:after="0" w:line="259" w:lineRule="auto"/>
              <w:ind w:left="2" w:right="0" w:firstLine="0"/>
            </w:pPr>
            <w:r>
              <w:rPr>
                <w:sz w:val="18"/>
              </w:rPr>
              <w:t xml:space="preserve">Tin </w:t>
            </w:r>
          </w:p>
        </w:tc>
        <w:tc>
          <w:tcPr>
            <w:tcW w:w="1183" w:type="dxa"/>
            <w:tcBorders>
              <w:top w:val="single" w:sz="4" w:space="0" w:color="auto"/>
              <w:left w:val="single" w:sz="12" w:space="0" w:color="auto"/>
              <w:bottom w:val="single" w:sz="4" w:space="0" w:color="auto"/>
              <w:right w:val="single" w:sz="12" w:space="0" w:color="auto"/>
            </w:tcBorders>
            <w:vAlign w:val="center"/>
          </w:tcPr>
          <w:p w14:paraId="72633912" w14:textId="60B0BEF4" w:rsidR="00B56D50" w:rsidRDefault="001C3C42" w:rsidP="00482D75">
            <w:pPr>
              <w:spacing w:after="0" w:line="259" w:lineRule="auto"/>
              <w:ind w:left="2" w:right="0" w:firstLine="0"/>
              <w:jc w:val="center"/>
            </w:pPr>
            <w:r>
              <w:rPr>
                <w:sz w:val="18"/>
              </w:rPr>
              <w:t>7440-31-5</w:t>
            </w:r>
          </w:p>
        </w:tc>
        <w:tc>
          <w:tcPr>
            <w:tcW w:w="817" w:type="dxa"/>
            <w:tcBorders>
              <w:top w:val="single" w:sz="4" w:space="0" w:color="auto"/>
              <w:left w:val="single" w:sz="12" w:space="0" w:color="auto"/>
              <w:bottom w:val="single" w:sz="4" w:space="0" w:color="auto"/>
              <w:right w:val="single" w:sz="12" w:space="0" w:color="auto"/>
            </w:tcBorders>
            <w:vAlign w:val="center"/>
          </w:tcPr>
          <w:p w14:paraId="63915F93" w14:textId="35F995E8" w:rsidR="00B56D50" w:rsidRDefault="001C3C42" w:rsidP="00482D75">
            <w:pPr>
              <w:spacing w:after="0" w:line="259" w:lineRule="auto"/>
              <w:ind w:left="0" w:right="0" w:firstLine="0"/>
              <w:jc w:val="center"/>
            </w:pPr>
            <w:r>
              <w:rPr>
                <w:sz w:val="18"/>
              </w:rPr>
              <w:t>200</w:t>
            </w:r>
          </w:p>
        </w:tc>
        <w:tc>
          <w:tcPr>
            <w:tcW w:w="727" w:type="dxa"/>
            <w:tcBorders>
              <w:top w:val="single" w:sz="4" w:space="0" w:color="auto"/>
              <w:left w:val="single" w:sz="12" w:space="0" w:color="auto"/>
              <w:bottom w:val="single" w:sz="4" w:space="0" w:color="auto"/>
              <w:right w:val="single" w:sz="12" w:space="0" w:color="auto"/>
            </w:tcBorders>
            <w:vAlign w:val="center"/>
          </w:tcPr>
          <w:p w14:paraId="5B0C63F1" w14:textId="7DDC4DB1" w:rsidR="00B56D50" w:rsidRDefault="001C1931" w:rsidP="00482D75">
            <w:pPr>
              <w:spacing w:after="0" w:line="259" w:lineRule="auto"/>
              <w:ind w:left="2" w:right="0" w:firstLine="0"/>
              <w:jc w:val="center"/>
            </w:pPr>
            <w:r>
              <w:rPr>
                <w:rFonts w:ascii="Segoe UI Symbol" w:eastAsia="Segoe UI Symbol" w:hAnsi="Segoe UI Symbol" w:cs="Segoe UI Symbol"/>
                <w:sz w:val="18"/>
              </w:rPr>
              <w:t>u</w:t>
            </w:r>
            <w:r w:rsidR="001C3C42">
              <w:rPr>
                <w:sz w:val="18"/>
              </w:rPr>
              <w:t>g/L</w:t>
            </w:r>
          </w:p>
        </w:tc>
        <w:tc>
          <w:tcPr>
            <w:tcW w:w="819" w:type="dxa"/>
            <w:tcBorders>
              <w:top w:val="single" w:sz="4" w:space="0" w:color="auto"/>
              <w:left w:val="single" w:sz="12" w:space="0" w:color="auto"/>
              <w:bottom w:val="single" w:sz="4" w:space="0" w:color="auto"/>
              <w:right w:val="single" w:sz="12" w:space="0" w:color="auto"/>
            </w:tcBorders>
            <w:vAlign w:val="center"/>
          </w:tcPr>
          <w:p w14:paraId="0562F0B7" w14:textId="19EFB083" w:rsidR="00B56D50" w:rsidRDefault="001C3C42" w:rsidP="00482D75">
            <w:pPr>
              <w:spacing w:after="0" w:line="259" w:lineRule="auto"/>
              <w:ind w:left="2" w:right="0" w:firstLine="0"/>
              <w:jc w:val="center"/>
            </w:pPr>
            <w:r>
              <w:rPr>
                <w:sz w:val="18"/>
              </w:rPr>
              <w:t>2</w:t>
            </w:r>
          </w:p>
        </w:tc>
        <w:tc>
          <w:tcPr>
            <w:tcW w:w="817" w:type="dxa"/>
            <w:tcBorders>
              <w:top w:val="single" w:sz="4" w:space="0" w:color="auto"/>
              <w:left w:val="single" w:sz="12" w:space="0" w:color="auto"/>
              <w:bottom w:val="single" w:sz="4" w:space="0" w:color="auto"/>
              <w:right w:val="single" w:sz="12" w:space="0" w:color="auto"/>
            </w:tcBorders>
            <w:vAlign w:val="center"/>
          </w:tcPr>
          <w:p w14:paraId="3FB95FFE" w14:textId="079D874D" w:rsidR="00B56D50" w:rsidRDefault="001C3C42" w:rsidP="00482D75">
            <w:pPr>
              <w:spacing w:after="0" w:line="259" w:lineRule="auto"/>
              <w:ind w:left="1" w:right="0" w:firstLine="0"/>
              <w:jc w:val="center"/>
            </w:pPr>
            <w:r>
              <w:rPr>
                <w:sz w:val="18"/>
              </w:rPr>
              <w:t>mg/kg</w:t>
            </w:r>
          </w:p>
        </w:tc>
        <w:tc>
          <w:tcPr>
            <w:tcW w:w="909" w:type="dxa"/>
            <w:tcBorders>
              <w:top w:val="single" w:sz="4" w:space="0" w:color="auto"/>
              <w:left w:val="single" w:sz="12" w:space="0" w:color="auto"/>
              <w:bottom w:val="single" w:sz="4" w:space="0" w:color="auto"/>
              <w:right w:val="single" w:sz="12" w:space="0" w:color="auto"/>
            </w:tcBorders>
            <w:vAlign w:val="center"/>
          </w:tcPr>
          <w:p w14:paraId="45A46000" w14:textId="415C3C29" w:rsidR="00B56D50" w:rsidRDefault="001C3C42" w:rsidP="00482D75">
            <w:pPr>
              <w:spacing w:after="0" w:line="259" w:lineRule="auto"/>
              <w:ind w:left="2" w:right="0" w:firstLine="0"/>
              <w:jc w:val="center"/>
            </w:pPr>
            <w:r>
              <w:rPr>
                <w:sz w:val="18"/>
              </w:rPr>
              <w:t>6010</w:t>
            </w:r>
          </w:p>
        </w:tc>
        <w:tc>
          <w:tcPr>
            <w:tcW w:w="909" w:type="dxa"/>
            <w:tcBorders>
              <w:top w:val="single" w:sz="4" w:space="0" w:color="auto"/>
              <w:left w:val="single" w:sz="12" w:space="0" w:color="auto"/>
              <w:bottom w:val="single" w:sz="4" w:space="0" w:color="auto"/>
              <w:right w:val="single" w:sz="12" w:space="0" w:color="auto"/>
            </w:tcBorders>
            <w:vAlign w:val="center"/>
          </w:tcPr>
          <w:p w14:paraId="4E03B9D7" w14:textId="0A7CCAAA" w:rsidR="00B56D50" w:rsidRDefault="00B56D50" w:rsidP="00482D75">
            <w:pPr>
              <w:spacing w:after="0" w:line="259" w:lineRule="auto"/>
              <w:ind w:left="2" w:right="0" w:firstLine="0"/>
              <w:jc w:val="center"/>
            </w:pPr>
          </w:p>
        </w:tc>
        <w:tc>
          <w:tcPr>
            <w:tcW w:w="773" w:type="dxa"/>
            <w:tcBorders>
              <w:top w:val="single" w:sz="4" w:space="0" w:color="auto"/>
              <w:left w:val="single" w:sz="12" w:space="0" w:color="auto"/>
              <w:bottom w:val="single" w:sz="4" w:space="0" w:color="auto"/>
              <w:right w:val="single" w:sz="12" w:space="0" w:color="auto"/>
            </w:tcBorders>
            <w:vAlign w:val="center"/>
          </w:tcPr>
          <w:p w14:paraId="7FFD3EC6" w14:textId="70778018" w:rsidR="00B56D50" w:rsidRDefault="00B56D50" w:rsidP="00482D75">
            <w:pPr>
              <w:spacing w:after="0" w:line="259" w:lineRule="auto"/>
              <w:ind w:left="2" w:right="0" w:firstLine="0"/>
              <w:jc w:val="center"/>
            </w:pPr>
          </w:p>
        </w:tc>
        <w:tc>
          <w:tcPr>
            <w:tcW w:w="773" w:type="dxa"/>
            <w:tcBorders>
              <w:top w:val="single" w:sz="4" w:space="0" w:color="auto"/>
              <w:left w:val="single" w:sz="12" w:space="0" w:color="auto"/>
              <w:bottom w:val="single" w:sz="4" w:space="0" w:color="auto"/>
              <w:right w:val="single" w:sz="12" w:space="0" w:color="auto"/>
            </w:tcBorders>
            <w:vAlign w:val="center"/>
          </w:tcPr>
          <w:p w14:paraId="315E31AF" w14:textId="337A1C98" w:rsidR="00B56D50" w:rsidRDefault="00B56D50" w:rsidP="00482D75">
            <w:pPr>
              <w:spacing w:after="0" w:line="259" w:lineRule="auto"/>
              <w:ind w:left="2" w:right="0" w:firstLine="0"/>
              <w:jc w:val="center"/>
            </w:pPr>
          </w:p>
        </w:tc>
        <w:tc>
          <w:tcPr>
            <w:tcW w:w="700" w:type="dxa"/>
            <w:tcBorders>
              <w:top w:val="single" w:sz="4" w:space="0" w:color="auto"/>
              <w:left w:val="single" w:sz="12" w:space="0" w:color="auto"/>
              <w:bottom w:val="single" w:sz="4" w:space="0" w:color="auto"/>
              <w:right w:val="single" w:sz="12" w:space="0" w:color="auto"/>
            </w:tcBorders>
            <w:vAlign w:val="center"/>
          </w:tcPr>
          <w:p w14:paraId="05A4D4E1" w14:textId="6EA7C111" w:rsidR="00B56D50" w:rsidRDefault="00B56D50" w:rsidP="00482D75">
            <w:pPr>
              <w:spacing w:after="0" w:line="259" w:lineRule="auto"/>
              <w:ind w:left="0" w:right="0" w:firstLine="0"/>
              <w:jc w:val="center"/>
            </w:pPr>
          </w:p>
        </w:tc>
      </w:tr>
      <w:tr w:rsidR="00B56D50" w14:paraId="51A05D51" w14:textId="77777777" w:rsidTr="00725264">
        <w:trPr>
          <w:trHeight w:val="242"/>
        </w:trPr>
        <w:tc>
          <w:tcPr>
            <w:tcW w:w="2193" w:type="dxa"/>
            <w:tcBorders>
              <w:top w:val="single" w:sz="4" w:space="0" w:color="auto"/>
            </w:tcBorders>
            <w:vAlign w:val="center"/>
          </w:tcPr>
          <w:p w14:paraId="28B14EF1" w14:textId="77777777" w:rsidR="00B56D50" w:rsidRDefault="001C3C42" w:rsidP="00482D75">
            <w:pPr>
              <w:spacing w:after="0" w:line="259" w:lineRule="auto"/>
              <w:ind w:left="2" w:right="0" w:firstLine="0"/>
            </w:pPr>
            <w:r>
              <w:rPr>
                <w:sz w:val="18"/>
              </w:rPr>
              <w:t xml:space="preserve">Titanium </w:t>
            </w:r>
          </w:p>
        </w:tc>
        <w:tc>
          <w:tcPr>
            <w:tcW w:w="1183" w:type="dxa"/>
            <w:tcBorders>
              <w:top w:val="single" w:sz="4" w:space="0" w:color="auto"/>
            </w:tcBorders>
            <w:vAlign w:val="center"/>
          </w:tcPr>
          <w:p w14:paraId="352E2E72" w14:textId="34A69ED0" w:rsidR="00B56D50" w:rsidRDefault="001C3C42" w:rsidP="00482D75">
            <w:pPr>
              <w:spacing w:after="0" w:line="259" w:lineRule="auto"/>
              <w:ind w:left="2" w:right="0" w:firstLine="0"/>
              <w:jc w:val="center"/>
            </w:pPr>
            <w:r>
              <w:rPr>
                <w:sz w:val="18"/>
              </w:rPr>
              <w:t>7440-32-6</w:t>
            </w:r>
          </w:p>
        </w:tc>
        <w:tc>
          <w:tcPr>
            <w:tcW w:w="817" w:type="dxa"/>
            <w:tcBorders>
              <w:top w:val="single" w:sz="4" w:space="0" w:color="auto"/>
            </w:tcBorders>
            <w:vAlign w:val="center"/>
          </w:tcPr>
          <w:p w14:paraId="47B89C69" w14:textId="581FC418" w:rsidR="00B56D50" w:rsidRDefault="001C3C42" w:rsidP="00482D75">
            <w:pPr>
              <w:spacing w:after="0" w:line="259" w:lineRule="auto"/>
              <w:ind w:left="0" w:right="0" w:firstLine="0"/>
              <w:jc w:val="center"/>
            </w:pPr>
            <w:r>
              <w:rPr>
                <w:sz w:val="18"/>
              </w:rPr>
              <w:t>50</w:t>
            </w:r>
          </w:p>
        </w:tc>
        <w:tc>
          <w:tcPr>
            <w:tcW w:w="727" w:type="dxa"/>
            <w:tcBorders>
              <w:top w:val="single" w:sz="4" w:space="0" w:color="auto"/>
            </w:tcBorders>
            <w:vAlign w:val="center"/>
          </w:tcPr>
          <w:p w14:paraId="10554F8C" w14:textId="3F589431" w:rsidR="00B56D50" w:rsidRDefault="001C1931" w:rsidP="00482D75">
            <w:pPr>
              <w:spacing w:after="0" w:line="259" w:lineRule="auto"/>
              <w:ind w:left="2" w:right="0" w:firstLine="0"/>
              <w:jc w:val="center"/>
            </w:pPr>
            <w:r>
              <w:rPr>
                <w:rFonts w:ascii="Segoe UI Symbol" w:eastAsia="Segoe UI Symbol" w:hAnsi="Segoe UI Symbol" w:cs="Segoe UI Symbol"/>
                <w:sz w:val="18"/>
              </w:rPr>
              <w:t>u</w:t>
            </w:r>
            <w:r w:rsidR="001C3C42">
              <w:rPr>
                <w:sz w:val="18"/>
              </w:rPr>
              <w:t>g/L</w:t>
            </w:r>
          </w:p>
        </w:tc>
        <w:tc>
          <w:tcPr>
            <w:tcW w:w="819" w:type="dxa"/>
            <w:tcBorders>
              <w:top w:val="single" w:sz="4" w:space="0" w:color="auto"/>
            </w:tcBorders>
            <w:vAlign w:val="center"/>
          </w:tcPr>
          <w:p w14:paraId="33D97AD0" w14:textId="38838B90" w:rsidR="00B56D50" w:rsidRDefault="001C3C42" w:rsidP="00482D75">
            <w:pPr>
              <w:spacing w:after="0" w:line="259" w:lineRule="auto"/>
              <w:ind w:left="2" w:right="0" w:firstLine="0"/>
              <w:jc w:val="center"/>
            </w:pPr>
            <w:r>
              <w:rPr>
                <w:sz w:val="18"/>
              </w:rPr>
              <w:t>2</w:t>
            </w:r>
          </w:p>
        </w:tc>
        <w:tc>
          <w:tcPr>
            <w:tcW w:w="817" w:type="dxa"/>
            <w:tcBorders>
              <w:top w:val="single" w:sz="4" w:space="0" w:color="auto"/>
            </w:tcBorders>
            <w:vAlign w:val="center"/>
          </w:tcPr>
          <w:p w14:paraId="394945F2" w14:textId="4439F9D6" w:rsidR="00B56D50" w:rsidRDefault="001C3C42" w:rsidP="00482D75">
            <w:pPr>
              <w:spacing w:after="0" w:line="259" w:lineRule="auto"/>
              <w:ind w:left="1" w:right="0" w:firstLine="0"/>
              <w:jc w:val="center"/>
            </w:pPr>
            <w:r>
              <w:rPr>
                <w:sz w:val="18"/>
              </w:rPr>
              <w:t>mg/kg</w:t>
            </w:r>
          </w:p>
        </w:tc>
        <w:tc>
          <w:tcPr>
            <w:tcW w:w="909" w:type="dxa"/>
            <w:tcBorders>
              <w:top w:val="single" w:sz="4" w:space="0" w:color="auto"/>
            </w:tcBorders>
            <w:vAlign w:val="center"/>
          </w:tcPr>
          <w:p w14:paraId="4B0D1A39" w14:textId="7F325F01" w:rsidR="00B56D50" w:rsidRDefault="001C3C42" w:rsidP="00482D75">
            <w:pPr>
              <w:spacing w:after="0" w:line="259" w:lineRule="auto"/>
              <w:ind w:left="2" w:right="0" w:firstLine="0"/>
              <w:jc w:val="center"/>
            </w:pPr>
            <w:r>
              <w:rPr>
                <w:sz w:val="18"/>
              </w:rPr>
              <w:t>6010</w:t>
            </w:r>
          </w:p>
        </w:tc>
        <w:tc>
          <w:tcPr>
            <w:tcW w:w="909" w:type="dxa"/>
            <w:tcBorders>
              <w:top w:val="single" w:sz="4" w:space="0" w:color="auto"/>
            </w:tcBorders>
            <w:vAlign w:val="center"/>
          </w:tcPr>
          <w:p w14:paraId="50B3D738" w14:textId="4A73A884" w:rsidR="00B56D50" w:rsidRDefault="00B56D50" w:rsidP="00482D75">
            <w:pPr>
              <w:spacing w:after="0" w:line="259" w:lineRule="auto"/>
              <w:ind w:left="2" w:right="0" w:firstLine="0"/>
              <w:jc w:val="center"/>
            </w:pPr>
          </w:p>
        </w:tc>
        <w:tc>
          <w:tcPr>
            <w:tcW w:w="773" w:type="dxa"/>
            <w:tcBorders>
              <w:top w:val="single" w:sz="4" w:space="0" w:color="auto"/>
            </w:tcBorders>
            <w:vAlign w:val="center"/>
          </w:tcPr>
          <w:p w14:paraId="1E54695F" w14:textId="5214B33B" w:rsidR="00B56D50" w:rsidRDefault="00B56D50" w:rsidP="00482D75">
            <w:pPr>
              <w:spacing w:after="0" w:line="259" w:lineRule="auto"/>
              <w:ind w:left="2" w:right="0" w:firstLine="0"/>
              <w:jc w:val="center"/>
            </w:pPr>
          </w:p>
        </w:tc>
        <w:tc>
          <w:tcPr>
            <w:tcW w:w="773" w:type="dxa"/>
            <w:tcBorders>
              <w:top w:val="single" w:sz="4" w:space="0" w:color="auto"/>
            </w:tcBorders>
            <w:vAlign w:val="center"/>
          </w:tcPr>
          <w:p w14:paraId="275B15D0" w14:textId="7F2CD21F" w:rsidR="00B56D50" w:rsidRDefault="00B56D50" w:rsidP="00482D75">
            <w:pPr>
              <w:spacing w:after="0" w:line="259" w:lineRule="auto"/>
              <w:ind w:left="2" w:right="0" w:firstLine="0"/>
              <w:jc w:val="center"/>
            </w:pPr>
          </w:p>
        </w:tc>
        <w:tc>
          <w:tcPr>
            <w:tcW w:w="700" w:type="dxa"/>
            <w:tcBorders>
              <w:top w:val="single" w:sz="4" w:space="0" w:color="auto"/>
            </w:tcBorders>
            <w:vAlign w:val="center"/>
          </w:tcPr>
          <w:p w14:paraId="6C609E28" w14:textId="7585DA7B" w:rsidR="00B56D50" w:rsidRDefault="00B56D50" w:rsidP="00482D75">
            <w:pPr>
              <w:spacing w:after="0" w:line="259" w:lineRule="auto"/>
              <w:ind w:left="0" w:right="0" w:firstLine="0"/>
              <w:jc w:val="center"/>
            </w:pPr>
          </w:p>
        </w:tc>
      </w:tr>
    </w:tbl>
    <w:p w14:paraId="7EDD9CE4" w14:textId="77777777" w:rsidR="00AC2528" w:rsidRDefault="00AC2528" w:rsidP="00182513">
      <w:pPr>
        <w:spacing w:after="0" w:line="259" w:lineRule="auto"/>
        <w:ind w:right="0"/>
      </w:pPr>
    </w:p>
    <w:p w14:paraId="178C28A7" w14:textId="77777777" w:rsidR="00E00B6D" w:rsidRDefault="00E00B6D" w:rsidP="00182513">
      <w:pPr>
        <w:spacing w:after="0" w:line="259" w:lineRule="auto"/>
        <w:ind w:right="0"/>
      </w:pPr>
    </w:p>
    <w:p w14:paraId="6363ABEB" w14:textId="10F09CD4" w:rsidR="00D83A9C" w:rsidRPr="00A80203" w:rsidRDefault="00B8744C" w:rsidP="00D9242C">
      <w:pPr>
        <w:jc w:val="center"/>
        <w:rPr>
          <w:b/>
          <w:bCs/>
          <w:sz w:val="24"/>
          <w:szCs w:val="24"/>
        </w:rPr>
      </w:pPr>
      <w:r w:rsidRPr="00B8744C">
        <w:rPr>
          <w:b/>
          <w:bCs/>
          <w:sz w:val="24"/>
          <w:szCs w:val="24"/>
        </w:rPr>
        <w:lastRenderedPageBreak/>
        <w:t xml:space="preserve">SW-846 </w:t>
      </w:r>
      <w:r w:rsidR="001C3C42" w:rsidRPr="00A80203">
        <w:rPr>
          <w:b/>
          <w:bCs/>
          <w:sz w:val="24"/>
          <w:szCs w:val="24"/>
        </w:rPr>
        <w:t>General Chemistry</w:t>
      </w:r>
    </w:p>
    <w:p w14:paraId="521AE6A7" w14:textId="12291CA2" w:rsidR="00B56D50" w:rsidRDefault="00B56D50" w:rsidP="00D9242C">
      <w:pPr>
        <w:pStyle w:val="Heading5"/>
        <w:ind w:right="533"/>
        <w:jc w:val="left"/>
      </w:pPr>
    </w:p>
    <w:tbl>
      <w:tblPr>
        <w:tblStyle w:val="TableGrid1"/>
        <w:tblW w:w="10620" w:type="dxa"/>
        <w:tblInd w:w="-375" w:type="dxa"/>
        <w:tblCellMar>
          <w:top w:w="8" w:type="dxa"/>
          <w:left w:w="72" w:type="dxa"/>
          <w:right w:w="97" w:type="dxa"/>
        </w:tblCellMar>
        <w:tblLook w:val="04A0" w:firstRow="1" w:lastRow="0" w:firstColumn="1" w:lastColumn="0" w:noHBand="0" w:noVBand="1"/>
      </w:tblPr>
      <w:tblGrid>
        <w:gridCol w:w="2456"/>
        <w:gridCol w:w="1124"/>
        <w:gridCol w:w="792"/>
        <w:gridCol w:w="711"/>
        <w:gridCol w:w="920"/>
        <w:gridCol w:w="1074"/>
        <w:gridCol w:w="721"/>
        <w:gridCol w:w="831"/>
        <w:gridCol w:w="699"/>
        <w:gridCol w:w="700"/>
        <w:gridCol w:w="592"/>
      </w:tblGrid>
      <w:tr w:rsidR="000A0792" w14:paraId="00DFFC45" w14:textId="77777777" w:rsidTr="00467372">
        <w:trPr>
          <w:trHeight w:val="432"/>
        </w:trPr>
        <w:tc>
          <w:tcPr>
            <w:tcW w:w="10620" w:type="dxa"/>
            <w:gridSpan w:val="11"/>
            <w:tcBorders>
              <w:top w:val="single" w:sz="12" w:space="0" w:color="000000"/>
              <w:left w:val="single" w:sz="12" w:space="0" w:color="000000"/>
              <w:bottom w:val="single" w:sz="12" w:space="0" w:color="000000"/>
              <w:right w:val="single" w:sz="12" w:space="0" w:color="000000"/>
            </w:tcBorders>
            <w:vAlign w:val="center"/>
          </w:tcPr>
          <w:p w14:paraId="765DA06A" w14:textId="2F7BCFAB" w:rsidR="000A0792" w:rsidRDefault="000A0792" w:rsidP="00926D8B">
            <w:pPr>
              <w:spacing w:after="0" w:line="259" w:lineRule="auto"/>
              <w:ind w:left="0" w:right="0" w:firstLine="0"/>
            </w:pPr>
            <w:r>
              <w:rPr>
                <w:b/>
                <w:sz w:val="18"/>
              </w:rPr>
              <w:t xml:space="preserve">GENERAL CHEMISTRY – Group </w:t>
            </w:r>
            <w:r w:rsidRPr="00EB3E70">
              <w:rPr>
                <w:b/>
                <w:sz w:val="18"/>
              </w:rPr>
              <w:t>A:</w:t>
            </w:r>
            <w:r w:rsidRPr="000A501E">
              <w:rPr>
                <w:b/>
                <w:sz w:val="18"/>
              </w:rPr>
              <w:t xml:space="preserve">  Cyanide and Sulfide</w:t>
            </w:r>
          </w:p>
        </w:tc>
      </w:tr>
      <w:tr w:rsidR="0045444E" w14:paraId="0AE53498" w14:textId="77777777" w:rsidTr="00467372">
        <w:trPr>
          <w:trHeight w:val="262"/>
        </w:trPr>
        <w:tc>
          <w:tcPr>
            <w:tcW w:w="2456" w:type="dxa"/>
            <w:vMerge w:val="restart"/>
            <w:tcBorders>
              <w:top w:val="single" w:sz="12" w:space="0" w:color="000000"/>
              <w:left w:val="single" w:sz="12" w:space="0" w:color="000000"/>
              <w:bottom w:val="single" w:sz="12" w:space="0" w:color="000000"/>
              <w:right w:val="single" w:sz="12" w:space="0" w:color="000000"/>
            </w:tcBorders>
            <w:vAlign w:val="center"/>
          </w:tcPr>
          <w:p w14:paraId="6FDC590B" w14:textId="304ED32E" w:rsidR="0045444E" w:rsidRDefault="0045444E" w:rsidP="00507786">
            <w:pPr>
              <w:spacing w:after="0" w:line="259" w:lineRule="auto"/>
              <w:ind w:left="18" w:right="0" w:firstLine="0"/>
              <w:jc w:val="center"/>
            </w:pPr>
            <w:r>
              <w:rPr>
                <w:b/>
                <w:sz w:val="18"/>
              </w:rPr>
              <w:t>Analyte</w:t>
            </w:r>
          </w:p>
        </w:tc>
        <w:tc>
          <w:tcPr>
            <w:tcW w:w="1124" w:type="dxa"/>
            <w:vMerge w:val="restart"/>
            <w:tcBorders>
              <w:top w:val="single" w:sz="12" w:space="0" w:color="000000"/>
              <w:left w:val="single" w:sz="12" w:space="0" w:color="000000"/>
              <w:bottom w:val="single" w:sz="12" w:space="0" w:color="000000"/>
              <w:right w:val="single" w:sz="12" w:space="0" w:color="000000"/>
            </w:tcBorders>
            <w:vAlign w:val="center"/>
          </w:tcPr>
          <w:p w14:paraId="7350FD1B" w14:textId="5B08519E" w:rsidR="0045444E" w:rsidRDefault="0045444E" w:rsidP="00507786">
            <w:pPr>
              <w:spacing w:after="0" w:line="259" w:lineRule="auto"/>
              <w:ind w:left="9" w:right="0" w:firstLine="0"/>
              <w:jc w:val="center"/>
            </w:pPr>
            <w:r>
              <w:rPr>
                <w:b/>
                <w:sz w:val="18"/>
              </w:rPr>
              <w:t>CAS Number</w:t>
            </w:r>
          </w:p>
        </w:tc>
        <w:tc>
          <w:tcPr>
            <w:tcW w:w="1503" w:type="dxa"/>
            <w:gridSpan w:val="2"/>
            <w:tcBorders>
              <w:top w:val="single" w:sz="12" w:space="0" w:color="000000"/>
              <w:left w:val="single" w:sz="12" w:space="0" w:color="000000"/>
              <w:bottom w:val="single" w:sz="12" w:space="0" w:color="000000"/>
              <w:right w:val="single" w:sz="12" w:space="0" w:color="000000"/>
            </w:tcBorders>
            <w:vAlign w:val="center"/>
          </w:tcPr>
          <w:p w14:paraId="050AF205" w14:textId="6930064B" w:rsidR="0045444E" w:rsidRDefault="0045444E" w:rsidP="00507786">
            <w:pPr>
              <w:spacing w:after="0" w:line="259" w:lineRule="auto"/>
              <w:ind w:left="20" w:right="0" w:firstLine="0"/>
              <w:jc w:val="center"/>
            </w:pPr>
            <w:r>
              <w:rPr>
                <w:b/>
                <w:sz w:val="18"/>
              </w:rPr>
              <w:t>Aqueous</w:t>
            </w:r>
          </w:p>
        </w:tc>
        <w:tc>
          <w:tcPr>
            <w:tcW w:w="1994" w:type="dxa"/>
            <w:gridSpan w:val="2"/>
            <w:tcBorders>
              <w:top w:val="single" w:sz="12" w:space="0" w:color="000000"/>
              <w:left w:val="single" w:sz="12" w:space="0" w:color="000000"/>
              <w:bottom w:val="single" w:sz="12" w:space="0" w:color="000000"/>
              <w:right w:val="single" w:sz="12" w:space="0" w:color="000000"/>
            </w:tcBorders>
            <w:vAlign w:val="center"/>
          </w:tcPr>
          <w:p w14:paraId="0FF34B03" w14:textId="1AA4244F" w:rsidR="0045444E" w:rsidRDefault="0045444E" w:rsidP="00507786">
            <w:pPr>
              <w:spacing w:after="0" w:line="259" w:lineRule="auto"/>
              <w:ind w:left="94" w:right="0" w:firstLine="0"/>
              <w:jc w:val="center"/>
            </w:pPr>
            <w:r>
              <w:rPr>
                <w:b/>
                <w:sz w:val="18"/>
              </w:rPr>
              <w:t>Soil/Sediment</w:t>
            </w:r>
          </w:p>
        </w:tc>
        <w:tc>
          <w:tcPr>
            <w:tcW w:w="3543" w:type="dxa"/>
            <w:gridSpan w:val="5"/>
            <w:vMerge w:val="restart"/>
            <w:tcBorders>
              <w:top w:val="single" w:sz="12" w:space="0" w:color="000000"/>
              <w:left w:val="single" w:sz="12" w:space="0" w:color="000000"/>
              <w:right w:val="single" w:sz="12" w:space="0" w:color="000000"/>
            </w:tcBorders>
            <w:vAlign w:val="center"/>
          </w:tcPr>
          <w:p w14:paraId="7EA13E6F" w14:textId="0E99096C" w:rsidR="0045444E" w:rsidRDefault="0045444E" w:rsidP="00C06F08">
            <w:pPr>
              <w:spacing w:after="0" w:line="259" w:lineRule="auto"/>
              <w:ind w:left="403" w:right="0" w:firstLine="0"/>
              <w:jc w:val="center"/>
            </w:pPr>
            <w:r>
              <w:rPr>
                <w:b/>
                <w:sz w:val="18"/>
              </w:rPr>
              <w:t>Acceptable Methods</w:t>
            </w:r>
          </w:p>
        </w:tc>
      </w:tr>
      <w:tr w:rsidR="00C84A5D" w14:paraId="4F5EBF01" w14:textId="77777777" w:rsidTr="00467372">
        <w:trPr>
          <w:trHeight w:val="264"/>
        </w:trPr>
        <w:tc>
          <w:tcPr>
            <w:tcW w:w="2456" w:type="dxa"/>
            <w:vMerge/>
            <w:tcBorders>
              <w:top w:val="nil"/>
              <w:left w:val="single" w:sz="12" w:space="0" w:color="000000"/>
              <w:bottom w:val="single" w:sz="12" w:space="0" w:color="000000"/>
              <w:right w:val="single" w:sz="12" w:space="0" w:color="000000"/>
            </w:tcBorders>
            <w:vAlign w:val="center"/>
          </w:tcPr>
          <w:p w14:paraId="161F5FE5" w14:textId="77777777" w:rsidR="0045444E" w:rsidRDefault="0045444E" w:rsidP="00017AB4">
            <w:pPr>
              <w:spacing w:after="160" w:line="259" w:lineRule="auto"/>
              <w:ind w:left="0" w:right="0" w:firstLine="0"/>
              <w:jc w:val="center"/>
            </w:pPr>
          </w:p>
        </w:tc>
        <w:tc>
          <w:tcPr>
            <w:tcW w:w="0" w:type="auto"/>
            <w:vMerge/>
            <w:tcBorders>
              <w:top w:val="nil"/>
              <w:left w:val="single" w:sz="12" w:space="0" w:color="000000"/>
              <w:bottom w:val="single" w:sz="12" w:space="0" w:color="000000"/>
              <w:right w:val="single" w:sz="12" w:space="0" w:color="000000"/>
            </w:tcBorders>
            <w:vAlign w:val="center"/>
          </w:tcPr>
          <w:p w14:paraId="4CAEA244" w14:textId="77777777" w:rsidR="0045444E" w:rsidRDefault="0045444E" w:rsidP="00017AB4">
            <w:pPr>
              <w:spacing w:after="160" w:line="259" w:lineRule="auto"/>
              <w:ind w:left="0" w:right="0" w:firstLine="0"/>
              <w:jc w:val="center"/>
            </w:pPr>
          </w:p>
        </w:tc>
        <w:tc>
          <w:tcPr>
            <w:tcW w:w="792" w:type="dxa"/>
            <w:tcBorders>
              <w:top w:val="single" w:sz="12" w:space="0" w:color="000000"/>
              <w:left w:val="single" w:sz="12" w:space="0" w:color="000000"/>
              <w:bottom w:val="single" w:sz="12" w:space="0" w:color="000000"/>
              <w:right w:val="single" w:sz="12" w:space="0" w:color="000000"/>
            </w:tcBorders>
            <w:vAlign w:val="center"/>
          </w:tcPr>
          <w:p w14:paraId="6293EEE1" w14:textId="200B29CF" w:rsidR="0045444E" w:rsidRDefault="0045444E" w:rsidP="00507786">
            <w:pPr>
              <w:spacing w:after="0" w:line="259" w:lineRule="auto"/>
              <w:ind w:left="20" w:right="0" w:firstLine="0"/>
              <w:jc w:val="center"/>
            </w:pPr>
            <w:r>
              <w:rPr>
                <w:b/>
                <w:sz w:val="18"/>
              </w:rPr>
              <w:t>RL</w:t>
            </w:r>
          </w:p>
        </w:tc>
        <w:tc>
          <w:tcPr>
            <w:tcW w:w="711" w:type="dxa"/>
            <w:tcBorders>
              <w:top w:val="single" w:sz="12" w:space="0" w:color="000000"/>
              <w:left w:val="single" w:sz="12" w:space="0" w:color="000000"/>
              <w:bottom w:val="single" w:sz="12" w:space="0" w:color="000000"/>
              <w:right w:val="single" w:sz="12" w:space="0" w:color="000000"/>
            </w:tcBorders>
            <w:vAlign w:val="center"/>
          </w:tcPr>
          <w:p w14:paraId="60402852" w14:textId="674FBF2A" w:rsidR="0045444E" w:rsidRDefault="0045444E" w:rsidP="00507786">
            <w:pPr>
              <w:spacing w:after="0" w:line="259" w:lineRule="auto"/>
              <w:ind w:left="18" w:right="0" w:firstLine="0"/>
              <w:jc w:val="center"/>
            </w:pPr>
            <w:r>
              <w:rPr>
                <w:b/>
                <w:sz w:val="18"/>
              </w:rPr>
              <w:t>units</w:t>
            </w:r>
          </w:p>
        </w:tc>
        <w:tc>
          <w:tcPr>
            <w:tcW w:w="920" w:type="dxa"/>
            <w:tcBorders>
              <w:top w:val="single" w:sz="12" w:space="0" w:color="000000"/>
              <w:left w:val="single" w:sz="12" w:space="0" w:color="000000"/>
              <w:bottom w:val="single" w:sz="12" w:space="0" w:color="000000"/>
              <w:right w:val="single" w:sz="12" w:space="0" w:color="000000"/>
            </w:tcBorders>
            <w:vAlign w:val="center"/>
          </w:tcPr>
          <w:p w14:paraId="1857B1ED" w14:textId="7965ADB5" w:rsidR="0045444E" w:rsidRDefault="0045444E" w:rsidP="00507786">
            <w:pPr>
              <w:spacing w:after="0" w:line="259" w:lineRule="auto"/>
              <w:ind w:left="120" w:right="0" w:firstLine="0"/>
              <w:jc w:val="center"/>
            </w:pPr>
            <w:r>
              <w:rPr>
                <w:b/>
                <w:sz w:val="18"/>
              </w:rPr>
              <w:t>RL</w:t>
            </w:r>
          </w:p>
        </w:tc>
        <w:tc>
          <w:tcPr>
            <w:tcW w:w="1074" w:type="dxa"/>
            <w:tcBorders>
              <w:top w:val="single" w:sz="12" w:space="0" w:color="000000"/>
              <w:left w:val="single" w:sz="12" w:space="0" w:color="000000"/>
              <w:bottom w:val="single" w:sz="12" w:space="0" w:color="000000"/>
              <w:right w:val="single" w:sz="12" w:space="0" w:color="000000"/>
            </w:tcBorders>
            <w:vAlign w:val="center"/>
          </w:tcPr>
          <w:p w14:paraId="7751864B" w14:textId="4CC5F7D5" w:rsidR="0045444E" w:rsidRDefault="0045444E" w:rsidP="00507786">
            <w:pPr>
              <w:spacing w:after="0" w:line="259" w:lineRule="auto"/>
              <w:ind w:left="25" w:right="0" w:firstLine="0"/>
              <w:jc w:val="center"/>
            </w:pPr>
            <w:r>
              <w:rPr>
                <w:b/>
                <w:sz w:val="18"/>
              </w:rPr>
              <w:t>units</w:t>
            </w:r>
          </w:p>
        </w:tc>
        <w:tc>
          <w:tcPr>
            <w:tcW w:w="3543" w:type="dxa"/>
            <w:gridSpan w:val="5"/>
            <w:vMerge/>
            <w:tcBorders>
              <w:left w:val="single" w:sz="12" w:space="0" w:color="000000"/>
              <w:bottom w:val="single" w:sz="12" w:space="0" w:color="000000"/>
              <w:right w:val="single" w:sz="12" w:space="0" w:color="000000"/>
            </w:tcBorders>
            <w:vAlign w:val="center"/>
          </w:tcPr>
          <w:p w14:paraId="64B6AEDA" w14:textId="77777777" w:rsidR="0045444E" w:rsidRDefault="0045444E" w:rsidP="00C06F08">
            <w:pPr>
              <w:spacing w:after="160" w:line="259" w:lineRule="auto"/>
              <w:ind w:left="0" w:right="0" w:firstLine="0"/>
              <w:jc w:val="center"/>
            </w:pPr>
          </w:p>
        </w:tc>
      </w:tr>
      <w:tr w:rsidR="00B56D50" w14:paraId="1E3F3E76" w14:textId="77777777" w:rsidTr="00467372">
        <w:trPr>
          <w:trHeight w:val="233"/>
        </w:trPr>
        <w:tc>
          <w:tcPr>
            <w:tcW w:w="2456" w:type="dxa"/>
            <w:tcBorders>
              <w:top w:val="single" w:sz="12" w:space="0" w:color="000000"/>
              <w:left w:val="single" w:sz="12" w:space="0" w:color="000000"/>
              <w:bottom w:val="single" w:sz="4" w:space="0" w:color="000000"/>
              <w:right w:val="single" w:sz="12" w:space="0" w:color="000000"/>
            </w:tcBorders>
            <w:vAlign w:val="center"/>
          </w:tcPr>
          <w:p w14:paraId="00D27317" w14:textId="77777777" w:rsidR="00B56D50" w:rsidRDefault="001C3C42" w:rsidP="00182220">
            <w:pPr>
              <w:spacing w:after="0" w:line="259" w:lineRule="auto"/>
              <w:ind w:left="0" w:right="0" w:firstLine="0"/>
            </w:pPr>
            <w:r>
              <w:rPr>
                <w:sz w:val="18"/>
              </w:rPr>
              <w:t xml:space="preserve">Total Cyanide </w:t>
            </w:r>
          </w:p>
        </w:tc>
        <w:tc>
          <w:tcPr>
            <w:tcW w:w="1124" w:type="dxa"/>
            <w:tcBorders>
              <w:top w:val="single" w:sz="12" w:space="0" w:color="000000"/>
              <w:left w:val="single" w:sz="12" w:space="0" w:color="000000"/>
              <w:bottom w:val="single" w:sz="4" w:space="0" w:color="000000"/>
              <w:right w:val="single" w:sz="12" w:space="0" w:color="000000"/>
            </w:tcBorders>
            <w:vAlign w:val="center"/>
          </w:tcPr>
          <w:p w14:paraId="2495F826" w14:textId="747C9684" w:rsidR="00B56D50" w:rsidRDefault="001C3C42" w:rsidP="00182220">
            <w:pPr>
              <w:spacing w:after="0" w:line="259" w:lineRule="auto"/>
              <w:ind w:left="0" w:right="0" w:firstLine="0"/>
              <w:jc w:val="center"/>
            </w:pPr>
            <w:r>
              <w:rPr>
                <w:sz w:val="18"/>
              </w:rPr>
              <w:t>57-12-5</w:t>
            </w:r>
          </w:p>
        </w:tc>
        <w:tc>
          <w:tcPr>
            <w:tcW w:w="792" w:type="dxa"/>
            <w:tcBorders>
              <w:top w:val="single" w:sz="12" w:space="0" w:color="000000"/>
              <w:left w:val="single" w:sz="12" w:space="0" w:color="000000"/>
              <w:bottom w:val="single" w:sz="4" w:space="0" w:color="000000"/>
              <w:right w:val="single" w:sz="12" w:space="0" w:color="000000"/>
            </w:tcBorders>
            <w:vAlign w:val="center"/>
          </w:tcPr>
          <w:p w14:paraId="285D8587" w14:textId="0E2C3FA1" w:rsidR="00B56D50" w:rsidRDefault="001C3C42" w:rsidP="00182220">
            <w:pPr>
              <w:spacing w:after="0" w:line="259" w:lineRule="auto"/>
              <w:ind w:left="0" w:right="0" w:firstLine="0"/>
              <w:jc w:val="center"/>
            </w:pPr>
            <w:r>
              <w:rPr>
                <w:sz w:val="18"/>
              </w:rPr>
              <w:t>0.0050</w:t>
            </w:r>
          </w:p>
        </w:tc>
        <w:tc>
          <w:tcPr>
            <w:tcW w:w="711" w:type="dxa"/>
            <w:tcBorders>
              <w:top w:val="single" w:sz="12" w:space="0" w:color="000000"/>
              <w:left w:val="single" w:sz="12" w:space="0" w:color="000000"/>
              <w:bottom w:val="single" w:sz="4" w:space="0" w:color="000000"/>
              <w:right w:val="single" w:sz="12" w:space="0" w:color="000000"/>
            </w:tcBorders>
            <w:vAlign w:val="center"/>
          </w:tcPr>
          <w:p w14:paraId="26D8421B" w14:textId="6AA737C4" w:rsidR="00B56D50" w:rsidRDefault="001C3C42" w:rsidP="00182220">
            <w:pPr>
              <w:spacing w:after="0" w:line="259" w:lineRule="auto"/>
              <w:ind w:left="91" w:right="0" w:firstLine="0"/>
              <w:jc w:val="center"/>
            </w:pPr>
            <w:r>
              <w:rPr>
                <w:sz w:val="18"/>
              </w:rPr>
              <w:t>mg/L</w:t>
            </w:r>
          </w:p>
        </w:tc>
        <w:tc>
          <w:tcPr>
            <w:tcW w:w="920" w:type="dxa"/>
            <w:tcBorders>
              <w:top w:val="single" w:sz="12" w:space="0" w:color="000000"/>
              <w:left w:val="single" w:sz="12" w:space="0" w:color="000000"/>
              <w:bottom w:val="single" w:sz="4" w:space="0" w:color="000000"/>
              <w:right w:val="single" w:sz="12" w:space="0" w:color="000000"/>
            </w:tcBorders>
            <w:vAlign w:val="center"/>
          </w:tcPr>
          <w:p w14:paraId="516CCE87" w14:textId="52866E98" w:rsidR="00B56D50" w:rsidRDefault="001C3C42" w:rsidP="00182220">
            <w:pPr>
              <w:spacing w:after="0" w:line="259" w:lineRule="auto"/>
              <w:ind w:left="0" w:right="0" w:firstLine="0"/>
              <w:jc w:val="center"/>
            </w:pPr>
            <w:r>
              <w:rPr>
                <w:sz w:val="18"/>
              </w:rPr>
              <w:t>1</w:t>
            </w:r>
          </w:p>
        </w:tc>
        <w:tc>
          <w:tcPr>
            <w:tcW w:w="1074" w:type="dxa"/>
            <w:tcBorders>
              <w:top w:val="single" w:sz="12" w:space="0" w:color="000000"/>
              <w:left w:val="single" w:sz="12" w:space="0" w:color="000000"/>
              <w:bottom w:val="single" w:sz="4" w:space="0" w:color="000000"/>
              <w:right w:val="single" w:sz="12" w:space="0" w:color="000000"/>
            </w:tcBorders>
            <w:vAlign w:val="center"/>
          </w:tcPr>
          <w:p w14:paraId="563BE287" w14:textId="2C13571C" w:rsidR="00B56D50" w:rsidRDefault="001C3C42" w:rsidP="00182220">
            <w:pPr>
              <w:spacing w:after="0" w:line="259" w:lineRule="auto"/>
              <w:ind w:left="0" w:right="0" w:firstLine="0"/>
              <w:jc w:val="center"/>
            </w:pPr>
            <w:r>
              <w:rPr>
                <w:sz w:val="18"/>
              </w:rPr>
              <w:t>mg/kg</w:t>
            </w:r>
          </w:p>
        </w:tc>
        <w:tc>
          <w:tcPr>
            <w:tcW w:w="721" w:type="dxa"/>
            <w:tcBorders>
              <w:top w:val="single" w:sz="12" w:space="0" w:color="000000"/>
              <w:left w:val="single" w:sz="12" w:space="0" w:color="000000"/>
              <w:bottom w:val="single" w:sz="4" w:space="0" w:color="000000"/>
              <w:right w:val="single" w:sz="12" w:space="0" w:color="000000"/>
            </w:tcBorders>
            <w:vAlign w:val="center"/>
          </w:tcPr>
          <w:p w14:paraId="526E3028" w14:textId="7D019F24" w:rsidR="00B56D50" w:rsidRDefault="001C3C42" w:rsidP="00182220">
            <w:pPr>
              <w:spacing w:after="0" w:line="259" w:lineRule="auto"/>
              <w:ind w:left="0" w:right="0" w:firstLine="0"/>
              <w:jc w:val="center"/>
            </w:pPr>
            <w:r>
              <w:rPr>
                <w:sz w:val="18"/>
              </w:rPr>
              <w:t>9012</w:t>
            </w:r>
          </w:p>
        </w:tc>
        <w:tc>
          <w:tcPr>
            <w:tcW w:w="2822" w:type="dxa"/>
            <w:gridSpan w:val="4"/>
            <w:tcBorders>
              <w:left w:val="single" w:sz="12" w:space="0" w:color="000000"/>
              <w:bottom w:val="single" w:sz="4" w:space="0" w:color="000000"/>
              <w:right w:val="single" w:sz="12" w:space="0" w:color="000000"/>
            </w:tcBorders>
            <w:vAlign w:val="center"/>
          </w:tcPr>
          <w:p w14:paraId="683A4393" w14:textId="42431D57" w:rsidR="00B56D50" w:rsidRDefault="001C3C42" w:rsidP="00182220">
            <w:pPr>
              <w:spacing w:after="0" w:line="259" w:lineRule="auto"/>
              <w:ind w:left="0" w:right="0" w:firstLine="0"/>
              <w:jc w:val="center"/>
            </w:pPr>
            <w:r>
              <w:rPr>
                <w:sz w:val="18"/>
              </w:rPr>
              <w:t>9010 (or 9013</w:t>
            </w:r>
            <w:r>
              <w:rPr>
                <w:i/>
                <w:sz w:val="18"/>
              </w:rPr>
              <w:t>)</w:t>
            </w:r>
            <w:r>
              <w:rPr>
                <w:sz w:val="18"/>
              </w:rPr>
              <w:t xml:space="preserve"> </w:t>
            </w:r>
            <w:r>
              <w:rPr>
                <w:sz w:val="18"/>
                <w:u w:val="single" w:color="000000"/>
              </w:rPr>
              <w:t>plus</w:t>
            </w:r>
            <w:r>
              <w:rPr>
                <w:sz w:val="18"/>
              </w:rPr>
              <w:t xml:space="preserve"> 9014 or 9213</w:t>
            </w:r>
          </w:p>
        </w:tc>
      </w:tr>
      <w:tr w:rsidR="00B56D50" w14:paraId="28E9564E" w14:textId="77777777" w:rsidTr="00467372">
        <w:trPr>
          <w:trHeight w:val="230"/>
        </w:trPr>
        <w:tc>
          <w:tcPr>
            <w:tcW w:w="2456" w:type="dxa"/>
            <w:tcBorders>
              <w:top w:val="single" w:sz="4" w:space="0" w:color="000000"/>
              <w:left w:val="single" w:sz="12" w:space="0" w:color="000000"/>
              <w:bottom w:val="single" w:sz="4" w:space="0" w:color="000000"/>
              <w:right w:val="single" w:sz="12" w:space="0" w:color="000000"/>
            </w:tcBorders>
            <w:vAlign w:val="center"/>
          </w:tcPr>
          <w:p w14:paraId="7B4C0975" w14:textId="18D87205" w:rsidR="00B56D50" w:rsidRDefault="001C3C42" w:rsidP="00182220">
            <w:pPr>
              <w:spacing w:after="0" w:line="259" w:lineRule="auto"/>
              <w:ind w:left="17" w:right="0" w:firstLine="0"/>
            </w:pPr>
            <w:r>
              <w:rPr>
                <w:b/>
                <w:sz w:val="18"/>
              </w:rPr>
              <w:t>Free Cyanide</w:t>
            </w:r>
            <w:r w:rsidR="003D7BA6">
              <w:rPr>
                <w:b/>
                <w:sz w:val="18"/>
              </w:rPr>
              <w:t xml:space="preserve"> </w:t>
            </w:r>
            <w:r w:rsidR="00FC2017">
              <w:rPr>
                <w:b/>
                <w:sz w:val="18"/>
                <w:vertAlign w:val="superscript"/>
              </w:rPr>
              <w:t>7</w:t>
            </w:r>
            <w:r>
              <w:rPr>
                <w:b/>
                <w:sz w:val="18"/>
              </w:rPr>
              <w:t xml:space="preserve"> </w:t>
            </w:r>
            <w:r w:rsidR="003D7BA6">
              <w:rPr>
                <w:b/>
                <w:sz w:val="18"/>
              </w:rPr>
              <w:t xml:space="preserve">  </w:t>
            </w:r>
          </w:p>
        </w:tc>
        <w:tc>
          <w:tcPr>
            <w:tcW w:w="1124" w:type="dxa"/>
            <w:tcBorders>
              <w:top w:val="single" w:sz="4" w:space="0" w:color="000000"/>
              <w:left w:val="single" w:sz="12" w:space="0" w:color="000000"/>
              <w:bottom w:val="single" w:sz="4" w:space="0" w:color="000000"/>
              <w:right w:val="single" w:sz="12" w:space="0" w:color="000000"/>
            </w:tcBorders>
            <w:vAlign w:val="center"/>
          </w:tcPr>
          <w:p w14:paraId="2F13D07B" w14:textId="23C976C9" w:rsidR="00B56D50" w:rsidRDefault="001C3C42" w:rsidP="00182220">
            <w:pPr>
              <w:spacing w:after="0" w:line="259" w:lineRule="auto"/>
              <w:ind w:left="0" w:right="0" w:firstLine="0"/>
              <w:jc w:val="center"/>
            </w:pPr>
            <w:r>
              <w:rPr>
                <w:sz w:val="18"/>
              </w:rPr>
              <w:t>57-12-5</w:t>
            </w:r>
          </w:p>
        </w:tc>
        <w:tc>
          <w:tcPr>
            <w:tcW w:w="792" w:type="dxa"/>
            <w:tcBorders>
              <w:top w:val="single" w:sz="4" w:space="0" w:color="000000"/>
              <w:left w:val="single" w:sz="12" w:space="0" w:color="000000"/>
              <w:bottom w:val="single" w:sz="4" w:space="0" w:color="000000"/>
              <w:right w:val="single" w:sz="12" w:space="0" w:color="000000"/>
            </w:tcBorders>
            <w:vAlign w:val="center"/>
          </w:tcPr>
          <w:p w14:paraId="2631C5A5" w14:textId="3DF672F1" w:rsidR="00B56D50" w:rsidRDefault="001C3C42" w:rsidP="00182220">
            <w:pPr>
              <w:spacing w:after="0" w:line="259" w:lineRule="auto"/>
              <w:ind w:left="0" w:right="0" w:firstLine="0"/>
              <w:jc w:val="center"/>
            </w:pPr>
            <w:r>
              <w:rPr>
                <w:sz w:val="18"/>
              </w:rPr>
              <w:t>0.2</w:t>
            </w:r>
          </w:p>
        </w:tc>
        <w:tc>
          <w:tcPr>
            <w:tcW w:w="711" w:type="dxa"/>
            <w:tcBorders>
              <w:top w:val="single" w:sz="4" w:space="0" w:color="000000"/>
              <w:left w:val="single" w:sz="12" w:space="0" w:color="000000"/>
              <w:bottom w:val="single" w:sz="4" w:space="0" w:color="000000"/>
              <w:right w:val="single" w:sz="12" w:space="0" w:color="000000"/>
            </w:tcBorders>
            <w:vAlign w:val="center"/>
          </w:tcPr>
          <w:p w14:paraId="5E77FEF1" w14:textId="02DED13E" w:rsidR="00B56D50" w:rsidRDefault="001C3C42" w:rsidP="00182220">
            <w:pPr>
              <w:spacing w:after="0" w:line="259" w:lineRule="auto"/>
              <w:ind w:left="91" w:right="0" w:firstLine="0"/>
              <w:jc w:val="center"/>
            </w:pPr>
            <w:r>
              <w:rPr>
                <w:sz w:val="18"/>
              </w:rPr>
              <w:t>mg/L</w:t>
            </w:r>
          </w:p>
        </w:tc>
        <w:tc>
          <w:tcPr>
            <w:tcW w:w="920" w:type="dxa"/>
            <w:tcBorders>
              <w:top w:val="single" w:sz="4" w:space="0" w:color="000000"/>
              <w:left w:val="single" w:sz="12" w:space="0" w:color="000000"/>
              <w:bottom w:val="single" w:sz="4" w:space="0" w:color="000000"/>
              <w:right w:val="single" w:sz="12" w:space="0" w:color="000000"/>
            </w:tcBorders>
            <w:vAlign w:val="center"/>
          </w:tcPr>
          <w:p w14:paraId="3C7C3FA3" w14:textId="0A4D99E9" w:rsidR="00B56D50" w:rsidRDefault="001C3C42" w:rsidP="00EB72BE">
            <w:pPr>
              <w:spacing w:after="0" w:line="259" w:lineRule="auto"/>
              <w:ind w:left="0" w:right="0" w:firstLine="0"/>
              <w:jc w:val="center"/>
            </w:pPr>
            <w:r>
              <w:rPr>
                <w:sz w:val="18"/>
              </w:rPr>
              <w:t>1</w:t>
            </w:r>
          </w:p>
        </w:tc>
        <w:tc>
          <w:tcPr>
            <w:tcW w:w="1074" w:type="dxa"/>
            <w:tcBorders>
              <w:top w:val="single" w:sz="4" w:space="0" w:color="000000"/>
              <w:left w:val="single" w:sz="12" w:space="0" w:color="000000"/>
              <w:bottom w:val="single" w:sz="4" w:space="0" w:color="000000"/>
              <w:right w:val="single" w:sz="12" w:space="0" w:color="000000"/>
            </w:tcBorders>
            <w:vAlign w:val="center"/>
          </w:tcPr>
          <w:p w14:paraId="05A23320" w14:textId="390DF14B" w:rsidR="00B56D50" w:rsidRDefault="001C3C42" w:rsidP="00EB72BE">
            <w:pPr>
              <w:spacing w:after="0" w:line="259" w:lineRule="auto"/>
              <w:ind w:left="0" w:right="0" w:firstLine="0"/>
              <w:jc w:val="center"/>
            </w:pPr>
            <w:r>
              <w:rPr>
                <w:sz w:val="18"/>
              </w:rPr>
              <w:t>mg/kg</w:t>
            </w:r>
          </w:p>
        </w:tc>
        <w:tc>
          <w:tcPr>
            <w:tcW w:w="721" w:type="dxa"/>
            <w:tcBorders>
              <w:top w:val="single" w:sz="4" w:space="0" w:color="000000"/>
              <w:left w:val="single" w:sz="12" w:space="0" w:color="000000"/>
              <w:bottom w:val="single" w:sz="4" w:space="0" w:color="000000"/>
              <w:right w:val="single" w:sz="12" w:space="0" w:color="000000"/>
            </w:tcBorders>
            <w:vAlign w:val="center"/>
          </w:tcPr>
          <w:p w14:paraId="3A8FFD1C" w14:textId="66EEA5CF" w:rsidR="00B56D50" w:rsidRDefault="001C3C42" w:rsidP="00EB72BE">
            <w:pPr>
              <w:spacing w:after="0" w:line="259" w:lineRule="auto"/>
              <w:ind w:left="0" w:right="0" w:firstLine="0"/>
              <w:jc w:val="center"/>
            </w:pPr>
            <w:r>
              <w:rPr>
                <w:sz w:val="18"/>
              </w:rPr>
              <w:t>9014</w:t>
            </w:r>
          </w:p>
        </w:tc>
        <w:tc>
          <w:tcPr>
            <w:tcW w:w="831" w:type="dxa"/>
            <w:tcBorders>
              <w:top w:val="single" w:sz="4" w:space="0" w:color="000000"/>
              <w:left w:val="single" w:sz="12" w:space="0" w:color="000000"/>
              <w:bottom w:val="single" w:sz="4" w:space="0" w:color="000000"/>
              <w:right w:val="single" w:sz="12" w:space="0" w:color="000000"/>
            </w:tcBorders>
            <w:vAlign w:val="center"/>
          </w:tcPr>
          <w:p w14:paraId="40EDF4A3" w14:textId="6C5BE5B1" w:rsidR="00B56D50" w:rsidRDefault="001C3C42" w:rsidP="00EB72BE">
            <w:pPr>
              <w:spacing w:after="0" w:line="259" w:lineRule="auto"/>
              <w:ind w:left="0" w:right="0" w:firstLine="0"/>
              <w:jc w:val="center"/>
            </w:pPr>
            <w:r>
              <w:rPr>
                <w:sz w:val="18"/>
              </w:rPr>
              <w:t>9213</w:t>
            </w:r>
          </w:p>
        </w:tc>
        <w:tc>
          <w:tcPr>
            <w:tcW w:w="699" w:type="dxa"/>
            <w:tcBorders>
              <w:left w:val="single" w:sz="12" w:space="0" w:color="000000"/>
              <w:right w:val="single" w:sz="12" w:space="0" w:color="000000"/>
            </w:tcBorders>
            <w:vAlign w:val="center"/>
          </w:tcPr>
          <w:p w14:paraId="03CEE66A" w14:textId="1C879BEF" w:rsidR="00B56D50" w:rsidRDefault="00B56D50" w:rsidP="00EB72BE">
            <w:pPr>
              <w:spacing w:after="0" w:line="259" w:lineRule="auto"/>
              <w:ind w:left="0" w:right="0" w:firstLine="0"/>
              <w:jc w:val="center"/>
            </w:pPr>
          </w:p>
        </w:tc>
        <w:tc>
          <w:tcPr>
            <w:tcW w:w="700" w:type="dxa"/>
            <w:tcBorders>
              <w:left w:val="single" w:sz="12" w:space="0" w:color="000000"/>
              <w:right w:val="single" w:sz="12" w:space="0" w:color="000000"/>
            </w:tcBorders>
            <w:vAlign w:val="center"/>
          </w:tcPr>
          <w:p w14:paraId="336A11C7" w14:textId="1975D134" w:rsidR="00B56D50" w:rsidRDefault="00B56D50" w:rsidP="00EB72BE">
            <w:pPr>
              <w:spacing w:after="0" w:line="259" w:lineRule="auto"/>
              <w:ind w:left="0" w:right="0" w:firstLine="0"/>
              <w:jc w:val="center"/>
            </w:pPr>
          </w:p>
        </w:tc>
        <w:tc>
          <w:tcPr>
            <w:tcW w:w="592" w:type="dxa"/>
            <w:tcBorders>
              <w:top w:val="single" w:sz="4" w:space="0" w:color="000000"/>
              <w:left w:val="single" w:sz="12" w:space="0" w:color="000000"/>
              <w:bottom w:val="single" w:sz="4" w:space="0" w:color="000000"/>
              <w:right w:val="single" w:sz="12" w:space="0" w:color="000000"/>
            </w:tcBorders>
            <w:vAlign w:val="center"/>
          </w:tcPr>
          <w:p w14:paraId="0738CBA6" w14:textId="57E78644" w:rsidR="00B56D50" w:rsidRDefault="00B56D50" w:rsidP="00EB72BE">
            <w:pPr>
              <w:spacing w:after="0" w:line="259" w:lineRule="auto"/>
              <w:ind w:left="0" w:right="0" w:firstLine="0"/>
              <w:jc w:val="center"/>
            </w:pPr>
          </w:p>
        </w:tc>
      </w:tr>
      <w:tr w:rsidR="00B56D50" w14:paraId="73250AAC" w14:textId="77777777" w:rsidTr="00467372">
        <w:trPr>
          <w:trHeight w:val="218"/>
        </w:trPr>
        <w:tc>
          <w:tcPr>
            <w:tcW w:w="2456" w:type="dxa"/>
            <w:tcBorders>
              <w:top w:val="single" w:sz="4" w:space="0" w:color="000000"/>
              <w:left w:val="single" w:sz="12" w:space="0" w:color="000000"/>
              <w:bottom w:val="single" w:sz="4" w:space="0" w:color="000000"/>
              <w:right w:val="single" w:sz="12" w:space="0" w:color="000000"/>
            </w:tcBorders>
            <w:vAlign w:val="center"/>
          </w:tcPr>
          <w:p w14:paraId="1AA0AE41" w14:textId="77777777" w:rsidR="00B56D50" w:rsidRDefault="001C3C42" w:rsidP="00182220">
            <w:pPr>
              <w:spacing w:after="0" w:line="259" w:lineRule="auto"/>
              <w:ind w:left="0" w:right="0" w:firstLine="0"/>
            </w:pPr>
            <w:r>
              <w:rPr>
                <w:sz w:val="18"/>
              </w:rPr>
              <w:t xml:space="preserve">Amenable Cyanide </w:t>
            </w:r>
          </w:p>
        </w:tc>
        <w:tc>
          <w:tcPr>
            <w:tcW w:w="1124" w:type="dxa"/>
            <w:tcBorders>
              <w:top w:val="single" w:sz="4" w:space="0" w:color="000000"/>
              <w:left w:val="single" w:sz="12" w:space="0" w:color="000000"/>
              <w:bottom w:val="single" w:sz="4" w:space="0" w:color="000000"/>
              <w:right w:val="single" w:sz="12" w:space="0" w:color="000000"/>
            </w:tcBorders>
            <w:vAlign w:val="center"/>
          </w:tcPr>
          <w:p w14:paraId="2149A4C5" w14:textId="6816B864" w:rsidR="00B56D50" w:rsidRDefault="001C3C42" w:rsidP="00182220">
            <w:pPr>
              <w:spacing w:after="0" w:line="259" w:lineRule="auto"/>
              <w:ind w:left="0" w:right="0" w:firstLine="0"/>
              <w:jc w:val="center"/>
            </w:pPr>
            <w:r>
              <w:rPr>
                <w:sz w:val="18"/>
              </w:rPr>
              <w:t>57-12-5</w:t>
            </w:r>
          </w:p>
        </w:tc>
        <w:tc>
          <w:tcPr>
            <w:tcW w:w="792" w:type="dxa"/>
            <w:tcBorders>
              <w:top w:val="single" w:sz="4" w:space="0" w:color="000000"/>
              <w:left w:val="single" w:sz="12" w:space="0" w:color="000000"/>
              <w:bottom w:val="single" w:sz="4" w:space="0" w:color="000000"/>
              <w:right w:val="single" w:sz="12" w:space="0" w:color="000000"/>
            </w:tcBorders>
            <w:vAlign w:val="center"/>
          </w:tcPr>
          <w:p w14:paraId="2142D30A" w14:textId="675E6951" w:rsidR="00B56D50" w:rsidRDefault="001C3C42" w:rsidP="00182220">
            <w:pPr>
              <w:spacing w:after="0" w:line="259" w:lineRule="auto"/>
              <w:ind w:left="0" w:right="0" w:firstLine="0"/>
              <w:jc w:val="center"/>
            </w:pPr>
            <w:r>
              <w:rPr>
                <w:sz w:val="18"/>
              </w:rPr>
              <w:t>0.0050</w:t>
            </w:r>
          </w:p>
        </w:tc>
        <w:tc>
          <w:tcPr>
            <w:tcW w:w="711" w:type="dxa"/>
            <w:tcBorders>
              <w:top w:val="single" w:sz="4" w:space="0" w:color="000000"/>
              <w:left w:val="single" w:sz="12" w:space="0" w:color="000000"/>
              <w:bottom w:val="single" w:sz="4" w:space="0" w:color="000000"/>
              <w:right w:val="single" w:sz="12" w:space="0" w:color="000000"/>
            </w:tcBorders>
            <w:vAlign w:val="center"/>
          </w:tcPr>
          <w:p w14:paraId="1BA6E653" w14:textId="4AACBE6D" w:rsidR="00B56D50" w:rsidRDefault="001C3C42" w:rsidP="00182220">
            <w:pPr>
              <w:spacing w:after="0" w:line="259" w:lineRule="auto"/>
              <w:ind w:left="91" w:right="0" w:firstLine="0"/>
              <w:jc w:val="center"/>
            </w:pPr>
            <w:r>
              <w:rPr>
                <w:sz w:val="18"/>
              </w:rPr>
              <w:t>mg/L</w:t>
            </w:r>
          </w:p>
        </w:tc>
        <w:tc>
          <w:tcPr>
            <w:tcW w:w="920" w:type="dxa"/>
            <w:tcBorders>
              <w:top w:val="single" w:sz="4" w:space="0" w:color="000000"/>
              <w:left w:val="single" w:sz="12" w:space="0" w:color="000000"/>
              <w:bottom w:val="single" w:sz="4" w:space="0" w:color="000000"/>
              <w:right w:val="single" w:sz="12" w:space="0" w:color="000000"/>
            </w:tcBorders>
            <w:vAlign w:val="center"/>
          </w:tcPr>
          <w:p w14:paraId="6CDEC0C3" w14:textId="5E162735" w:rsidR="00B56D50" w:rsidRDefault="001C3C42" w:rsidP="00EB72BE">
            <w:pPr>
              <w:spacing w:after="0" w:line="259" w:lineRule="auto"/>
              <w:ind w:left="0" w:right="0" w:firstLine="0"/>
              <w:jc w:val="center"/>
            </w:pPr>
            <w:r>
              <w:rPr>
                <w:sz w:val="18"/>
              </w:rPr>
              <w:t>1</w:t>
            </w:r>
          </w:p>
        </w:tc>
        <w:tc>
          <w:tcPr>
            <w:tcW w:w="1074" w:type="dxa"/>
            <w:tcBorders>
              <w:top w:val="single" w:sz="4" w:space="0" w:color="000000"/>
              <w:left w:val="single" w:sz="12" w:space="0" w:color="000000"/>
              <w:bottom w:val="single" w:sz="4" w:space="0" w:color="000000"/>
              <w:right w:val="single" w:sz="12" w:space="0" w:color="000000"/>
            </w:tcBorders>
            <w:vAlign w:val="center"/>
          </w:tcPr>
          <w:p w14:paraId="3895E509" w14:textId="60123D3A" w:rsidR="00B56D50" w:rsidRDefault="001C3C42" w:rsidP="00EB72BE">
            <w:pPr>
              <w:spacing w:after="0" w:line="259" w:lineRule="auto"/>
              <w:ind w:left="0" w:right="0" w:firstLine="0"/>
              <w:jc w:val="center"/>
            </w:pPr>
            <w:r>
              <w:rPr>
                <w:sz w:val="18"/>
              </w:rPr>
              <w:t>mg/kg</w:t>
            </w:r>
          </w:p>
        </w:tc>
        <w:tc>
          <w:tcPr>
            <w:tcW w:w="721" w:type="dxa"/>
            <w:tcBorders>
              <w:top w:val="single" w:sz="4" w:space="0" w:color="000000"/>
              <w:left w:val="single" w:sz="12" w:space="0" w:color="000000"/>
              <w:bottom w:val="single" w:sz="4" w:space="0" w:color="000000"/>
              <w:right w:val="single" w:sz="12" w:space="0" w:color="000000"/>
            </w:tcBorders>
            <w:vAlign w:val="center"/>
          </w:tcPr>
          <w:p w14:paraId="69806F32" w14:textId="36C3CDE9" w:rsidR="00B56D50" w:rsidRDefault="001C3C42" w:rsidP="00737408">
            <w:pPr>
              <w:spacing w:after="0" w:line="259" w:lineRule="auto"/>
              <w:ind w:left="0" w:right="0" w:firstLine="0"/>
              <w:jc w:val="center"/>
            </w:pPr>
            <w:r>
              <w:rPr>
                <w:sz w:val="18"/>
              </w:rPr>
              <w:t>9012</w:t>
            </w:r>
          </w:p>
        </w:tc>
        <w:tc>
          <w:tcPr>
            <w:tcW w:w="2822" w:type="dxa"/>
            <w:gridSpan w:val="4"/>
            <w:tcBorders>
              <w:top w:val="single" w:sz="4" w:space="0" w:color="000000"/>
              <w:left w:val="single" w:sz="12" w:space="0" w:color="000000"/>
              <w:bottom w:val="single" w:sz="4" w:space="0" w:color="000000"/>
              <w:right w:val="single" w:sz="12" w:space="0" w:color="000000"/>
            </w:tcBorders>
            <w:vAlign w:val="center"/>
          </w:tcPr>
          <w:p w14:paraId="7F36C4B3" w14:textId="10BF3672" w:rsidR="00B56D50" w:rsidRDefault="001C3C42" w:rsidP="00EB72BE">
            <w:pPr>
              <w:spacing w:after="0" w:line="259" w:lineRule="auto"/>
              <w:ind w:left="0" w:right="0" w:firstLine="0"/>
              <w:jc w:val="center"/>
            </w:pPr>
            <w:r>
              <w:rPr>
                <w:sz w:val="18"/>
              </w:rPr>
              <w:t>9010 (or 9013</w:t>
            </w:r>
            <w:r>
              <w:rPr>
                <w:i/>
                <w:sz w:val="18"/>
              </w:rPr>
              <w:t>)</w:t>
            </w:r>
            <w:r>
              <w:rPr>
                <w:sz w:val="18"/>
              </w:rPr>
              <w:t xml:space="preserve"> </w:t>
            </w:r>
            <w:r>
              <w:rPr>
                <w:sz w:val="18"/>
                <w:u w:val="single" w:color="000000"/>
              </w:rPr>
              <w:t>plus</w:t>
            </w:r>
            <w:r>
              <w:rPr>
                <w:sz w:val="18"/>
              </w:rPr>
              <w:t xml:space="preserve"> 9014 or 9213</w:t>
            </w:r>
          </w:p>
        </w:tc>
      </w:tr>
      <w:tr w:rsidR="00B56D50" w14:paraId="5AAD3822" w14:textId="77777777" w:rsidTr="00467372">
        <w:trPr>
          <w:trHeight w:val="315"/>
        </w:trPr>
        <w:tc>
          <w:tcPr>
            <w:tcW w:w="2456" w:type="dxa"/>
            <w:tcBorders>
              <w:top w:val="single" w:sz="4" w:space="0" w:color="000000"/>
              <w:left w:val="single" w:sz="12" w:space="0" w:color="000000"/>
              <w:bottom w:val="single" w:sz="12" w:space="0" w:color="000000"/>
              <w:right w:val="single" w:sz="12" w:space="0" w:color="000000"/>
            </w:tcBorders>
            <w:vAlign w:val="center"/>
          </w:tcPr>
          <w:p w14:paraId="6F176E3B" w14:textId="01E77889" w:rsidR="00B56D50" w:rsidRDefault="001C3C42" w:rsidP="00182220">
            <w:pPr>
              <w:spacing w:after="0" w:line="259" w:lineRule="auto"/>
              <w:ind w:left="0" w:right="0" w:firstLine="0"/>
            </w:pPr>
            <w:r>
              <w:rPr>
                <w:sz w:val="18"/>
              </w:rPr>
              <w:t xml:space="preserve">Total Sulfide </w:t>
            </w:r>
          </w:p>
        </w:tc>
        <w:tc>
          <w:tcPr>
            <w:tcW w:w="1124" w:type="dxa"/>
            <w:tcBorders>
              <w:top w:val="single" w:sz="4" w:space="0" w:color="000000"/>
              <w:left w:val="single" w:sz="12" w:space="0" w:color="000000"/>
              <w:bottom w:val="single" w:sz="12" w:space="0" w:color="000000"/>
              <w:right w:val="single" w:sz="12" w:space="0" w:color="000000"/>
            </w:tcBorders>
            <w:vAlign w:val="center"/>
          </w:tcPr>
          <w:p w14:paraId="70ECB01D" w14:textId="12985BE1" w:rsidR="00B56D50" w:rsidRDefault="001C3C42" w:rsidP="00182220">
            <w:pPr>
              <w:spacing w:after="0" w:line="259" w:lineRule="auto"/>
              <w:ind w:left="0" w:right="0" w:firstLine="0"/>
              <w:jc w:val="center"/>
            </w:pPr>
            <w:r>
              <w:rPr>
                <w:sz w:val="18"/>
              </w:rPr>
              <w:t>18496-25-8</w:t>
            </w:r>
          </w:p>
        </w:tc>
        <w:tc>
          <w:tcPr>
            <w:tcW w:w="792" w:type="dxa"/>
            <w:tcBorders>
              <w:top w:val="single" w:sz="4" w:space="0" w:color="000000"/>
              <w:left w:val="single" w:sz="12" w:space="0" w:color="000000"/>
              <w:bottom w:val="single" w:sz="12" w:space="0" w:color="000000"/>
              <w:right w:val="single" w:sz="12" w:space="0" w:color="000000"/>
            </w:tcBorders>
            <w:vAlign w:val="center"/>
          </w:tcPr>
          <w:p w14:paraId="432D2AEB" w14:textId="2BFB38F8" w:rsidR="00B56D50" w:rsidRDefault="001C3C42" w:rsidP="00182220">
            <w:pPr>
              <w:spacing w:after="0" w:line="259" w:lineRule="auto"/>
              <w:ind w:left="0" w:right="0" w:firstLine="0"/>
              <w:jc w:val="center"/>
            </w:pPr>
            <w:r>
              <w:rPr>
                <w:sz w:val="18"/>
              </w:rPr>
              <w:t>1</w:t>
            </w:r>
          </w:p>
        </w:tc>
        <w:tc>
          <w:tcPr>
            <w:tcW w:w="711" w:type="dxa"/>
            <w:tcBorders>
              <w:top w:val="single" w:sz="4" w:space="0" w:color="000000"/>
              <w:left w:val="single" w:sz="12" w:space="0" w:color="000000"/>
              <w:bottom w:val="single" w:sz="12" w:space="0" w:color="000000"/>
              <w:right w:val="single" w:sz="12" w:space="0" w:color="000000"/>
            </w:tcBorders>
            <w:vAlign w:val="center"/>
          </w:tcPr>
          <w:p w14:paraId="36D43FE1" w14:textId="7A097D82" w:rsidR="00B56D50" w:rsidRDefault="001C3C42" w:rsidP="00182220">
            <w:pPr>
              <w:spacing w:after="0" w:line="259" w:lineRule="auto"/>
              <w:ind w:left="91" w:right="0" w:firstLine="0"/>
              <w:jc w:val="center"/>
            </w:pPr>
            <w:r>
              <w:rPr>
                <w:sz w:val="18"/>
              </w:rPr>
              <w:t>mg/L</w:t>
            </w:r>
          </w:p>
        </w:tc>
        <w:tc>
          <w:tcPr>
            <w:tcW w:w="920" w:type="dxa"/>
            <w:tcBorders>
              <w:top w:val="single" w:sz="4" w:space="0" w:color="000000"/>
              <w:left w:val="single" w:sz="12" w:space="0" w:color="000000"/>
              <w:bottom w:val="single" w:sz="12" w:space="0" w:color="000000"/>
              <w:right w:val="single" w:sz="12" w:space="0" w:color="000000"/>
            </w:tcBorders>
            <w:vAlign w:val="center"/>
          </w:tcPr>
          <w:p w14:paraId="07A371A9" w14:textId="12EAF280" w:rsidR="00B56D50" w:rsidRDefault="001C3C42" w:rsidP="00EB72BE">
            <w:pPr>
              <w:spacing w:after="0" w:line="259" w:lineRule="auto"/>
              <w:ind w:left="0" w:right="0" w:firstLine="0"/>
              <w:jc w:val="center"/>
            </w:pPr>
            <w:r>
              <w:rPr>
                <w:sz w:val="18"/>
              </w:rPr>
              <w:t>25</w:t>
            </w:r>
          </w:p>
        </w:tc>
        <w:tc>
          <w:tcPr>
            <w:tcW w:w="1074" w:type="dxa"/>
            <w:tcBorders>
              <w:top w:val="single" w:sz="4" w:space="0" w:color="000000"/>
              <w:left w:val="single" w:sz="12" w:space="0" w:color="000000"/>
              <w:bottom w:val="single" w:sz="12" w:space="0" w:color="000000"/>
              <w:right w:val="single" w:sz="12" w:space="0" w:color="000000"/>
            </w:tcBorders>
            <w:vAlign w:val="center"/>
          </w:tcPr>
          <w:p w14:paraId="244C087C" w14:textId="5920DBF6" w:rsidR="00B56D50" w:rsidRDefault="001C3C42" w:rsidP="00EB72BE">
            <w:pPr>
              <w:spacing w:after="0" w:line="259" w:lineRule="auto"/>
              <w:ind w:left="0" w:right="0" w:firstLine="0"/>
              <w:jc w:val="center"/>
            </w:pPr>
            <w:r>
              <w:rPr>
                <w:sz w:val="18"/>
              </w:rPr>
              <w:t>mg/kg</w:t>
            </w:r>
          </w:p>
        </w:tc>
        <w:tc>
          <w:tcPr>
            <w:tcW w:w="721" w:type="dxa"/>
            <w:tcBorders>
              <w:top w:val="single" w:sz="4" w:space="0" w:color="000000"/>
              <w:left w:val="single" w:sz="12" w:space="0" w:color="000000"/>
              <w:bottom w:val="single" w:sz="12" w:space="0" w:color="000000"/>
              <w:right w:val="single" w:sz="12" w:space="0" w:color="000000"/>
            </w:tcBorders>
            <w:vAlign w:val="center"/>
          </w:tcPr>
          <w:p w14:paraId="13EE3758" w14:textId="5CA35065" w:rsidR="00B56D50" w:rsidRDefault="001C3C42" w:rsidP="00737408">
            <w:pPr>
              <w:spacing w:after="0" w:line="259" w:lineRule="auto"/>
              <w:ind w:left="0" w:right="0" w:firstLine="0"/>
              <w:jc w:val="center"/>
            </w:pPr>
            <w:r>
              <w:rPr>
                <w:sz w:val="18"/>
              </w:rPr>
              <w:t>9031</w:t>
            </w:r>
          </w:p>
        </w:tc>
        <w:tc>
          <w:tcPr>
            <w:tcW w:w="2822" w:type="dxa"/>
            <w:gridSpan w:val="4"/>
            <w:tcBorders>
              <w:top w:val="single" w:sz="4" w:space="0" w:color="000000"/>
              <w:left w:val="single" w:sz="12" w:space="0" w:color="000000"/>
              <w:bottom w:val="single" w:sz="12" w:space="0" w:color="000000"/>
              <w:right w:val="single" w:sz="12" w:space="0" w:color="000000"/>
            </w:tcBorders>
            <w:vAlign w:val="center"/>
          </w:tcPr>
          <w:p w14:paraId="34CDEA95" w14:textId="00501F57" w:rsidR="00B56D50" w:rsidRDefault="001C3C42" w:rsidP="00EB72BE">
            <w:pPr>
              <w:spacing w:after="0" w:line="259" w:lineRule="auto"/>
              <w:ind w:left="0" w:right="0" w:firstLine="0"/>
              <w:jc w:val="center"/>
            </w:pPr>
            <w:r>
              <w:rPr>
                <w:sz w:val="18"/>
              </w:rPr>
              <w:t xml:space="preserve">9030 </w:t>
            </w:r>
            <w:r>
              <w:rPr>
                <w:sz w:val="18"/>
                <w:u w:val="single" w:color="000000"/>
              </w:rPr>
              <w:t>plus</w:t>
            </w:r>
            <w:r>
              <w:rPr>
                <w:sz w:val="18"/>
              </w:rPr>
              <w:t xml:space="preserve"> 9034 or </w:t>
            </w:r>
            <w:r w:rsidR="00FF21BF">
              <w:rPr>
                <w:sz w:val="18"/>
              </w:rPr>
              <w:t>9215, 9031</w:t>
            </w:r>
            <w:r>
              <w:rPr>
                <w:sz w:val="18"/>
              </w:rPr>
              <w:t>/9215</w:t>
            </w:r>
          </w:p>
        </w:tc>
      </w:tr>
    </w:tbl>
    <w:p w14:paraId="7A3C64AC" w14:textId="11AE28B3" w:rsidR="00B56D50" w:rsidRDefault="001C3C42" w:rsidP="00FD4011">
      <w:pPr>
        <w:spacing w:after="0" w:line="259" w:lineRule="auto"/>
        <w:ind w:right="0"/>
      </w:pPr>
      <w:r w:rsidRPr="00C77A32">
        <w:rPr>
          <w:rFonts w:eastAsia="Arial"/>
          <w:sz w:val="20"/>
        </w:rPr>
        <w:t xml:space="preserve"> </w:t>
      </w:r>
    </w:p>
    <w:tbl>
      <w:tblPr>
        <w:tblStyle w:val="TableGrid1"/>
        <w:tblW w:w="10620" w:type="dxa"/>
        <w:tblInd w:w="-375" w:type="dxa"/>
        <w:tblCellMar>
          <w:top w:w="5" w:type="dxa"/>
          <w:left w:w="72" w:type="dxa"/>
          <w:right w:w="37" w:type="dxa"/>
        </w:tblCellMar>
        <w:tblLook w:val="04A0" w:firstRow="1" w:lastRow="0" w:firstColumn="1" w:lastColumn="0" w:noHBand="0" w:noVBand="1"/>
      </w:tblPr>
      <w:tblGrid>
        <w:gridCol w:w="2828"/>
        <w:gridCol w:w="1092"/>
        <w:gridCol w:w="727"/>
        <w:gridCol w:w="727"/>
        <w:gridCol w:w="635"/>
        <w:gridCol w:w="819"/>
        <w:gridCol w:w="708"/>
        <w:gridCol w:w="727"/>
        <w:gridCol w:w="729"/>
        <w:gridCol w:w="637"/>
        <w:gridCol w:w="991"/>
      </w:tblGrid>
      <w:tr w:rsidR="000A0792" w14:paraId="1FAD5210" w14:textId="77777777" w:rsidTr="00467372">
        <w:trPr>
          <w:trHeight w:val="432"/>
          <w:tblHeader/>
        </w:trPr>
        <w:tc>
          <w:tcPr>
            <w:tcW w:w="10620" w:type="dxa"/>
            <w:gridSpan w:val="11"/>
            <w:tcBorders>
              <w:top w:val="single" w:sz="12" w:space="0" w:color="000000"/>
              <w:left w:val="single" w:sz="12" w:space="0" w:color="000000"/>
              <w:bottom w:val="single" w:sz="12" w:space="0" w:color="000000"/>
              <w:right w:val="single" w:sz="12" w:space="0" w:color="000000"/>
            </w:tcBorders>
            <w:vAlign w:val="center"/>
          </w:tcPr>
          <w:p w14:paraId="6508DA58" w14:textId="37CD5F59" w:rsidR="000A0792" w:rsidRDefault="000A0792" w:rsidP="00926D8B">
            <w:pPr>
              <w:spacing w:after="0" w:line="240" w:lineRule="auto"/>
              <w:ind w:left="0" w:right="0" w:firstLine="0"/>
            </w:pPr>
            <w:r>
              <w:rPr>
                <w:b/>
                <w:sz w:val="18"/>
              </w:rPr>
              <w:t xml:space="preserve">GENERAL CHEMISTRY – Group </w:t>
            </w:r>
            <w:r w:rsidRPr="00EB3E70">
              <w:rPr>
                <w:b/>
                <w:sz w:val="18"/>
              </w:rPr>
              <w:t>B:</w:t>
            </w:r>
            <w:r w:rsidRPr="000A501E">
              <w:rPr>
                <w:b/>
                <w:sz w:val="18"/>
              </w:rPr>
              <w:t xml:space="preserve">  Solid Waste Standard List</w:t>
            </w:r>
            <w:r>
              <w:rPr>
                <w:b/>
                <w:sz w:val="18"/>
              </w:rPr>
              <w:t xml:space="preserve"> </w:t>
            </w:r>
          </w:p>
        </w:tc>
      </w:tr>
      <w:tr w:rsidR="00536A73" w14:paraId="2431A391" w14:textId="77777777" w:rsidTr="00467372">
        <w:trPr>
          <w:trHeight w:val="262"/>
          <w:tblHeader/>
        </w:trPr>
        <w:tc>
          <w:tcPr>
            <w:tcW w:w="2828" w:type="dxa"/>
            <w:vMerge w:val="restart"/>
            <w:tcBorders>
              <w:top w:val="single" w:sz="12" w:space="0" w:color="000000"/>
              <w:left w:val="single" w:sz="12" w:space="0" w:color="000000"/>
              <w:bottom w:val="single" w:sz="12" w:space="0" w:color="000000"/>
              <w:right w:val="single" w:sz="12" w:space="0" w:color="000000"/>
            </w:tcBorders>
            <w:vAlign w:val="center"/>
          </w:tcPr>
          <w:p w14:paraId="34222EEE" w14:textId="6F28900C" w:rsidR="00536A73" w:rsidRDefault="00536A73" w:rsidP="00536A73">
            <w:pPr>
              <w:spacing w:after="0" w:line="259" w:lineRule="auto"/>
              <w:ind w:left="8" w:right="0" w:firstLine="0"/>
              <w:jc w:val="center"/>
            </w:pPr>
            <w:r>
              <w:rPr>
                <w:b/>
                <w:sz w:val="18"/>
              </w:rPr>
              <w:t>Analyte</w:t>
            </w:r>
          </w:p>
        </w:tc>
        <w:tc>
          <w:tcPr>
            <w:tcW w:w="1092" w:type="dxa"/>
            <w:vMerge w:val="restart"/>
            <w:tcBorders>
              <w:top w:val="single" w:sz="12" w:space="0" w:color="000000"/>
              <w:left w:val="single" w:sz="12" w:space="0" w:color="000000"/>
              <w:bottom w:val="single" w:sz="12" w:space="0" w:color="000000"/>
              <w:right w:val="single" w:sz="12" w:space="0" w:color="000000"/>
            </w:tcBorders>
            <w:vAlign w:val="center"/>
          </w:tcPr>
          <w:p w14:paraId="1E6F2ADE" w14:textId="022B0B8F" w:rsidR="00536A73" w:rsidRDefault="00536A73" w:rsidP="00536A73">
            <w:pPr>
              <w:spacing w:after="0" w:line="259" w:lineRule="auto"/>
              <w:ind w:left="144" w:right="0" w:firstLine="142"/>
              <w:jc w:val="center"/>
            </w:pPr>
            <w:r>
              <w:rPr>
                <w:b/>
                <w:sz w:val="18"/>
              </w:rPr>
              <w:t>CAS Number</w:t>
            </w:r>
          </w:p>
        </w:tc>
        <w:tc>
          <w:tcPr>
            <w:tcW w:w="1454" w:type="dxa"/>
            <w:gridSpan w:val="2"/>
            <w:tcBorders>
              <w:top w:val="single" w:sz="12" w:space="0" w:color="000000"/>
              <w:left w:val="single" w:sz="12" w:space="0" w:color="000000"/>
              <w:bottom w:val="single" w:sz="12" w:space="0" w:color="000000"/>
              <w:right w:val="single" w:sz="12" w:space="0" w:color="000000"/>
            </w:tcBorders>
            <w:vAlign w:val="center"/>
          </w:tcPr>
          <w:p w14:paraId="29CC484A" w14:textId="48670F57" w:rsidR="00536A73" w:rsidRDefault="00536A73" w:rsidP="00536A73">
            <w:pPr>
              <w:spacing w:after="0" w:line="259" w:lineRule="auto"/>
              <w:ind w:left="0" w:right="45" w:firstLine="0"/>
              <w:jc w:val="center"/>
            </w:pPr>
            <w:r>
              <w:rPr>
                <w:b/>
                <w:sz w:val="18"/>
              </w:rPr>
              <w:t>Aqueous</w:t>
            </w:r>
          </w:p>
        </w:tc>
        <w:tc>
          <w:tcPr>
            <w:tcW w:w="1454" w:type="dxa"/>
            <w:gridSpan w:val="2"/>
            <w:tcBorders>
              <w:top w:val="single" w:sz="12" w:space="0" w:color="000000"/>
              <w:left w:val="single" w:sz="12" w:space="0" w:color="000000"/>
              <w:bottom w:val="single" w:sz="12" w:space="0" w:color="000000"/>
              <w:right w:val="single" w:sz="12" w:space="0" w:color="000000"/>
            </w:tcBorders>
            <w:vAlign w:val="center"/>
          </w:tcPr>
          <w:p w14:paraId="1CFDF6DB" w14:textId="3F413FD9" w:rsidR="00536A73" w:rsidRDefault="006B693C" w:rsidP="00536A73">
            <w:pPr>
              <w:spacing w:after="0" w:line="259" w:lineRule="auto"/>
              <w:ind w:left="0" w:right="43" w:firstLine="0"/>
              <w:jc w:val="center"/>
            </w:pPr>
            <w:r>
              <w:rPr>
                <w:b/>
                <w:sz w:val="18"/>
              </w:rPr>
              <w:t>Soil/Sediment</w:t>
            </w:r>
          </w:p>
        </w:tc>
        <w:tc>
          <w:tcPr>
            <w:tcW w:w="3792" w:type="dxa"/>
            <w:gridSpan w:val="5"/>
            <w:vMerge w:val="restart"/>
            <w:tcBorders>
              <w:top w:val="single" w:sz="12" w:space="0" w:color="000000"/>
              <w:left w:val="single" w:sz="12" w:space="0" w:color="000000"/>
              <w:right w:val="single" w:sz="12" w:space="0" w:color="000000"/>
            </w:tcBorders>
            <w:vAlign w:val="center"/>
          </w:tcPr>
          <w:p w14:paraId="0C4A948D" w14:textId="6D5A4363" w:rsidR="00536A73" w:rsidRDefault="00536A73" w:rsidP="00536A73">
            <w:pPr>
              <w:spacing w:after="0" w:line="259" w:lineRule="auto"/>
              <w:ind w:left="422" w:right="0" w:firstLine="0"/>
              <w:jc w:val="center"/>
            </w:pPr>
            <w:r>
              <w:rPr>
                <w:b/>
                <w:sz w:val="18"/>
              </w:rPr>
              <w:t>Acceptable Methods</w:t>
            </w:r>
          </w:p>
        </w:tc>
      </w:tr>
      <w:tr w:rsidR="00467372" w14:paraId="0D6FFD04" w14:textId="77777777" w:rsidTr="00467372">
        <w:trPr>
          <w:trHeight w:val="264"/>
          <w:tblHeader/>
        </w:trPr>
        <w:tc>
          <w:tcPr>
            <w:tcW w:w="2828" w:type="dxa"/>
            <w:vMerge/>
            <w:tcBorders>
              <w:top w:val="nil"/>
              <w:left w:val="single" w:sz="12" w:space="0" w:color="000000"/>
              <w:bottom w:val="single" w:sz="12" w:space="0" w:color="000000"/>
              <w:right w:val="single" w:sz="12" w:space="0" w:color="000000"/>
            </w:tcBorders>
            <w:vAlign w:val="center"/>
          </w:tcPr>
          <w:p w14:paraId="1F5CA9F3" w14:textId="77777777" w:rsidR="00536A73" w:rsidRDefault="00536A73" w:rsidP="00536A73">
            <w:pPr>
              <w:spacing w:after="160" w:line="259" w:lineRule="auto"/>
              <w:ind w:left="0" w:right="0" w:firstLine="0"/>
              <w:jc w:val="center"/>
            </w:pPr>
          </w:p>
        </w:tc>
        <w:tc>
          <w:tcPr>
            <w:tcW w:w="0" w:type="auto"/>
            <w:vMerge/>
            <w:tcBorders>
              <w:top w:val="nil"/>
              <w:left w:val="single" w:sz="12" w:space="0" w:color="000000"/>
              <w:bottom w:val="single" w:sz="12" w:space="0" w:color="000000"/>
              <w:right w:val="single" w:sz="12" w:space="0" w:color="000000"/>
            </w:tcBorders>
            <w:vAlign w:val="center"/>
          </w:tcPr>
          <w:p w14:paraId="40F09290" w14:textId="77777777" w:rsidR="00536A73" w:rsidRDefault="00536A73" w:rsidP="00536A73">
            <w:pPr>
              <w:spacing w:after="160" w:line="259" w:lineRule="auto"/>
              <w:ind w:left="0" w:right="0" w:firstLine="0"/>
              <w:jc w:val="center"/>
            </w:pPr>
          </w:p>
        </w:tc>
        <w:tc>
          <w:tcPr>
            <w:tcW w:w="727" w:type="dxa"/>
            <w:tcBorders>
              <w:top w:val="single" w:sz="12" w:space="0" w:color="000000"/>
              <w:left w:val="single" w:sz="12" w:space="0" w:color="000000"/>
              <w:bottom w:val="single" w:sz="12" w:space="0" w:color="000000"/>
              <w:right w:val="single" w:sz="12" w:space="0" w:color="000000"/>
            </w:tcBorders>
            <w:vAlign w:val="center"/>
          </w:tcPr>
          <w:p w14:paraId="68337C7F" w14:textId="3AD80FCC" w:rsidR="00536A73" w:rsidRDefault="00536A73" w:rsidP="00536A73">
            <w:pPr>
              <w:spacing w:after="0" w:line="259" w:lineRule="auto"/>
              <w:ind w:left="0" w:right="40" w:firstLine="0"/>
              <w:jc w:val="center"/>
            </w:pPr>
            <w:r>
              <w:rPr>
                <w:b/>
                <w:sz w:val="18"/>
              </w:rPr>
              <w:t>RL</w:t>
            </w:r>
          </w:p>
        </w:tc>
        <w:tc>
          <w:tcPr>
            <w:tcW w:w="727" w:type="dxa"/>
            <w:tcBorders>
              <w:top w:val="single" w:sz="12" w:space="0" w:color="000000"/>
              <w:left w:val="single" w:sz="12" w:space="0" w:color="000000"/>
              <w:bottom w:val="single" w:sz="12" w:space="0" w:color="000000"/>
              <w:right w:val="single" w:sz="12" w:space="0" w:color="000000"/>
            </w:tcBorders>
            <w:vAlign w:val="center"/>
          </w:tcPr>
          <w:p w14:paraId="1A3BFA57" w14:textId="0DE2CF11" w:rsidR="00536A73" w:rsidRDefault="00536A73" w:rsidP="00536A73">
            <w:pPr>
              <w:spacing w:after="0" w:line="259" w:lineRule="auto"/>
              <w:ind w:left="0" w:right="42" w:firstLine="0"/>
              <w:jc w:val="center"/>
            </w:pPr>
            <w:r>
              <w:rPr>
                <w:b/>
                <w:sz w:val="18"/>
              </w:rPr>
              <w:t>units</w:t>
            </w:r>
          </w:p>
        </w:tc>
        <w:tc>
          <w:tcPr>
            <w:tcW w:w="635" w:type="dxa"/>
            <w:tcBorders>
              <w:top w:val="single" w:sz="12" w:space="0" w:color="000000"/>
              <w:left w:val="single" w:sz="12" w:space="0" w:color="000000"/>
              <w:bottom w:val="single" w:sz="12" w:space="0" w:color="000000"/>
              <w:right w:val="single" w:sz="12" w:space="0" w:color="000000"/>
            </w:tcBorders>
            <w:vAlign w:val="center"/>
          </w:tcPr>
          <w:p w14:paraId="09FFAC28" w14:textId="512E7D5E" w:rsidR="00536A73" w:rsidRDefault="00536A73" w:rsidP="00536A73">
            <w:pPr>
              <w:spacing w:after="0" w:line="259" w:lineRule="auto"/>
              <w:ind w:left="115" w:right="0" w:firstLine="0"/>
              <w:jc w:val="center"/>
            </w:pPr>
            <w:r>
              <w:rPr>
                <w:b/>
                <w:sz w:val="18"/>
              </w:rPr>
              <w:t>RL</w:t>
            </w:r>
          </w:p>
        </w:tc>
        <w:tc>
          <w:tcPr>
            <w:tcW w:w="819" w:type="dxa"/>
            <w:tcBorders>
              <w:top w:val="single" w:sz="12" w:space="0" w:color="000000"/>
              <w:left w:val="single" w:sz="12" w:space="0" w:color="000000"/>
              <w:bottom w:val="single" w:sz="12" w:space="0" w:color="000000"/>
              <w:right w:val="single" w:sz="12" w:space="0" w:color="000000"/>
            </w:tcBorders>
            <w:vAlign w:val="center"/>
          </w:tcPr>
          <w:p w14:paraId="307C3820" w14:textId="7F8C4FD8" w:rsidR="00536A73" w:rsidRDefault="00536A73" w:rsidP="00536A73">
            <w:pPr>
              <w:spacing w:after="0" w:line="259" w:lineRule="auto"/>
              <w:ind w:left="0" w:right="42" w:firstLine="0"/>
              <w:jc w:val="center"/>
            </w:pPr>
            <w:r>
              <w:rPr>
                <w:b/>
                <w:sz w:val="18"/>
              </w:rPr>
              <w:t>units</w:t>
            </w:r>
          </w:p>
        </w:tc>
        <w:tc>
          <w:tcPr>
            <w:tcW w:w="3792" w:type="dxa"/>
            <w:gridSpan w:val="5"/>
            <w:vMerge/>
            <w:tcBorders>
              <w:left w:val="single" w:sz="12" w:space="0" w:color="000000"/>
              <w:bottom w:val="single" w:sz="12" w:space="0" w:color="000000"/>
              <w:right w:val="single" w:sz="12" w:space="0" w:color="000000"/>
            </w:tcBorders>
            <w:vAlign w:val="center"/>
          </w:tcPr>
          <w:p w14:paraId="19EBFDB0" w14:textId="77777777" w:rsidR="00536A73" w:rsidRDefault="00536A73" w:rsidP="00536A73">
            <w:pPr>
              <w:spacing w:after="160" w:line="259" w:lineRule="auto"/>
              <w:ind w:left="0" w:right="0" w:firstLine="0"/>
              <w:jc w:val="center"/>
            </w:pPr>
          </w:p>
        </w:tc>
      </w:tr>
      <w:tr w:rsidR="00A41473" w14:paraId="66C73AC5" w14:textId="77777777" w:rsidTr="00467372">
        <w:trPr>
          <w:trHeight w:val="223"/>
        </w:trPr>
        <w:tc>
          <w:tcPr>
            <w:tcW w:w="2828" w:type="dxa"/>
            <w:tcBorders>
              <w:top w:val="single" w:sz="12" w:space="0" w:color="000000"/>
              <w:left w:val="single" w:sz="12" w:space="0" w:color="000000"/>
              <w:bottom w:val="single" w:sz="2" w:space="0" w:color="000000"/>
              <w:right w:val="single" w:sz="12" w:space="0" w:color="000000"/>
            </w:tcBorders>
            <w:vAlign w:val="center"/>
          </w:tcPr>
          <w:p w14:paraId="1C4A3F26" w14:textId="375071F0" w:rsidR="00A41473" w:rsidRDefault="00A41473" w:rsidP="00736903">
            <w:pPr>
              <w:spacing w:after="0" w:line="259" w:lineRule="auto"/>
              <w:ind w:left="0" w:right="0" w:firstLine="0"/>
            </w:pPr>
            <w:r>
              <w:rPr>
                <w:sz w:val="18"/>
              </w:rPr>
              <w:t>Ammonia-N</w:t>
            </w:r>
            <w:r>
              <w:rPr>
                <w:sz w:val="18"/>
                <w:vertAlign w:val="superscript"/>
              </w:rPr>
              <w:t xml:space="preserve"> </w:t>
            </w:r>
          </w:p>
        </w:tc>
        <w:tc>
          <w:tcPr>
            <w:tcW w:w="1092" w:type="dxa"/>
            <w:tcBorders>
              <w:top w:val="single" w:sz="12" w:space="0" w:color="000000"/>
              <w:left w:val="single" w:sz="12" w:space="0" w:color="000000"/>
              <w:bottom w:val="single" w:sz="2" w:space="0" w:color="000000"/>
              <w:right w:val="single" w:sz="12" w:space="0" w:color="000000"/>
            </w:tcBorders>
            <w:vAlign w:val="center"/>
          </w:tcPr>
          <w:p w14:paraId="67654D39" w14:textId="4C8B3D39" w:rsidR="00A41473" w:rsidRDefault="00A41473" w:rsidP="001E0DA8">
            <w:pPr>
              <w:spacing w:after="0" w:line="259" w:lineRule="auto"/>
              <w:ind w:left="0" w:right="0" w:firstLine="0"/>
              <w:jc w:val="center"/>
            </w:pPr>
            <w:r>
              <w:rPr>
                <w:sz w:val="18"/>
              </w:rPr>
              <w:t>14798-03-9</w:t>
            </w:r>
          </w:p>
        </w:tc>
        <w:tc>
          <w:tcPr>
            <w:tcW w:w="727" w:type="dxa"/>
            <w:tcBorders>
              <w:top w:val="single" w:sz="12" w:space="0" w:color="000000"/>
              <w:left w:val="single" w:sz="12" w:space="0" w:color="000000"/>
              <w:bottom w:val="single" w:sz="2" w:space="0" w:color="000000"/>
              <w:right w:val="single" w:sz="12" w:space="0" w:color="000000"/>
            </w:tcBorders>
            <w:vAlign w:val="center"/>
          </w:tcPr>
          <w:p w14:paraId="34507B4B" w14:textId="2D5EB261" w:rsidR="00A41473" w:rsidRDefault="00A41473" w:rsidP="001E0DA8">
            <w:pPr>
              <w:spacing w:after="0" w:line="259" w:lineRule="auto"/>
              <w:ind w:left="0" w:right="0" w:firstLine="0"/>
              <w:jc w:val="center"/>
            </w:pPr>
            <w:r>
              <w:rPr>
                <w:sz w:val="18"/>
              </w:rPr>
              <w:t>0.1</w:t>
            </w:r>
          </w:p>
        </w:tc>
        <w:tc>
          <w:tcPr>
            <w:tcW w:w="727" w:type="dxa"/>
            <w:tcBorders>
              <w:top w:val="single" w:sz="12" w:space="0" w:color="000000"/>
              <w:left w:val="single" w:sz="12" w:space="0" w:color="000000"/>
              <w:bottom w:val="single" w:sz="2" w:space="0" w:color="000000"/>
              <w:right w:val="single" w:sz="12" w:space="0" w:color="000000"/>
            </w:tcBorders>
            <w:vAlign w:val="center"/>
          </w:tcPr>
          <w:p w14:paraId="0E96C231" w14:textId="21DF0560" w:rsidR="00A41473" w:rsidRDefault="00A41473" w:rsidP="001E0DA8">
            <w:pPr>
              <w:spacing w:after="0" w:line="259" w:lineRule="auto"/>
              <w:ind w:left="91" w:right="0" w:firstLine="0"/>
              <w:jc w:val="center"/>
            </w:pPr>
            <w:r>
              <w:rPr>
                <w:sz w:val="18"/>
              </w:rPr>
              <w:t>mg/L</w:t>
            </w:r>
          </w:p>
        </w:tc>
        <w:tc>
          <w:tcPr>
            <w:tcW w:w="635" w:type="dxa"/>
            <w:tcBorders>
              <w:top w:val="single" w:sz="12" w:space="0" w:color="000000"/>
              <w:left w:val="single" w:sz="12" w:space="0" w:color="000000"/>
              <w:bottom w:val="single" w:sz="2" w:space="0" w:color="000000"/>
              <w:right w:val="single" w:sz="12" w:space="0" w:color="000000"/>
            </w:tcBorders>
            <w:vAlign w:val="center"/>
          </w:tcPr>
          <w:p w14:paraId="48A49264" w14:textId="241BA3D5" w:rsidR="00A41473" w:rsidRDefault="00A41473" w:rsidP="001E0DA8">
            <w:pPr>
              <w:spacing w:after="0" w:line="259" w:lineRule="auto"/>
              <w:ind w:left="89" w:right="0" w:firstLine="0"/>
              <w:jc w:val="center"/>
            </w:pPr>
            <w:r>
              <w:rPr>
                <w:sz w:val="18"/>
              </w:rPr>
              <w:t>N/A</w:t>
            </w:r>
          </w:p>
        </w:tc>
        <w:tc>
          <w:tcPr>
            <w:tcW w:w="819" w:type="dxa"/>
            <w:tcBorders>
              <w:top w:val="single" w:sz="12" w:space="0" w:color="000000"/>
              <w:left w:val="single" w:sz="12" w:space="0" w:color="000000"/>
              <w:bottom w:val="single" w:sz="2" w:space="0" w:color="000000"/>
              <w:right w:val="single" w:sz="12" w:space="0" w:color="000000"/>
            </w:tcBorders>
            <w:vAlign w:val="center"/>
          </w:tcPr>
          <w:p w14:paraId="6C90CFD5" w14:textId="03DDF5AB" w:rsidR="00A41473" w:rsidRDefault="00A41473" w:rsidP="001E0DA8">
            <w:pPr>
              <w:spacing w:after="0" w:line="259" w:lineRule="auto"/>
              <w:ind w:left="0" w:right="37" w:firstLine="0"/>
              <w:jc w:val="center"/>
            </w:pPr>
            <w:r>
              <w:rPr>
                <w:sz w:val="18"/>
              </w:rPr>
              <w:t>N/A</w:t>
            </w:r>
          </w:p>
        </w:tc>
        <w:tc>
          <w:tcPr>
            <w:tcW w:w="708" w:type="dxa"/>
            <w:tcBorders>
              <w:top w:val="single" w:sz="12" w:space="0" w:color="000000"/>
              <w:left w:val="single" w:sz="12" w:space="0" w:color="000000"/>
              <w:bottom w:val="single" w:sz="2" w:space="0" w:color="000000"/>
              <w:right w:val="single" w:sz="12" w:space="0" w:color="000000"/>
            </w:tcBorders>
            <w:vAlign w:val="center"/>
          </w:tcPr>
          <w:p w14:paraId="0A81FF7D" w14:textId="752640AA" w:rsidR="00A41473" w:rsidRDefault="00A41473" w:rsidP="001E0DA8">
            <w:pPr>
              <w:spacing w:after="0" w:line="259" w:lineRule="auto"/>
              <w:ind w:left="0" w:right="0" w:firstLine="0"/>
              <w:jc w:val="center"/>
            </w:pPr>
            <w:r>
              <w:rPr>
                <w:sz w:val="18"/>
              </w:rPr>
              <w:t xml:space="preserve">350.1 </w:t>
            </w:r>
            <w:r w:rsidRPr="003D7BA6">
              <w:rPr>
                <w:b/>
                <w:bCs/>
                <w:sz w:val="18"/>
                <w:vertAlign w:val="superscript"/>
              </w:rPr>
              <w:t>8</w:t>
            </w:r>
          </w:p>
        </w:tc>
        <w:tc>
          <w:tcPr>
            <w:tcW w:w="3084" w:type="dxa"/>
            <w:gridSpan w:val="4"/>
            <w:tcBorders>
              <w:top w:val="single" w:sz="12" w:space="0" w:color="000000"/>
              <w:left w:val="single" w:sz="12" w:space="0" w:color="000000"/>
              <w:bottom w:val="single" w:sz="2" w:space="0" w:color="000000"/>
              <w:right w:val="single" w:sz="12" w:space="0" w:color="000000"/>
            </w:tcBorders>
            <w:vAlign w:val="center"/>
          </w:tcPr>
          <w:p w14:paraId="65401735" w14:textId="39EAFD54" w:rsidR="00A41473" w:rsidRDefault="00A41473" w:rsidP="001E0DA8">
            <w:pPr>
              <w:spacing w:after="0" w:line="259" w:lineRule="auto"/>
              <w:ind w:left="0" w:right="0" w:firstLine="0"/>
              <w:jc w:val="center"/>
            </w:pPr>
            <w:r>
              <w:rPr>
                <w:rStyle w:val="CommentReference"/>
              </w:rPr>
              <w:t xml:space="preserve">SM 4500-NH3 </w:t>
            </w:r>
            <w:r w:rsidR="00EE2022">
              <w:rPr>
                <w:rStyle w:val="CommentReference"/>
                <w:b/>
                <w:bCs/>
                <w:sz w:val="18"/>
                <w:szCs w:val="18"/>
                <w:vertAlign w:val="superscript"/>
              </w:rPr>
              <w:t>9</w:t>
            </w:r>
          </w:p>
        </w:tc>
      </w:tr>
      <w:tr w:rsidR="00B56D50" w14:paraId="4C363B3C" w14:textId="77777777" w:rsidTr="00467372">
        <w:trPr>
          <w:trHeight w:val="214"/>
        </w:trPr>
        <w:tc>
          <w:tcPr>
            <w:tcW w:w="2828" w:type="dxa"/>
            <w:tcBorders>
              <w:top w:val="single" w:sz="2" w:space="0" w:color="000000"/>
              <w:left w:val="single" w:sz="12" w:space="0" w:color="000000"/>
              <w:bottom w:val="single" w:sz="2" w:space="0" w:color="000000"/>
              <w:right w:val="single" w:sz="12" w:space="0" w:color="000000"/>
            </w:tcBorders>
            <w:vAlign w:val="center"/>
          </w:tcPr>
          <w:p w14:paraId="042694B3" w14:textId="77777777" w:rsidR="00B56D50" w:rsidRDefault="001C3C42" w:rsidP="00736903">
            <w:pPr>
              <w:spacing w:after="0" w:line="259" w:lineRule="auto"/>
              <w:ind w:left="0" w:right="0" w:firstLine="0"/>
            </w:pPr>
            <w:r>
              <w:rPr>
                <w:sz w:val="18"/>
              </w:rPr>
              <w:t xml:space="preserve">Chloride </w:t>
            </w:r>
          </w:p>
        </w:tc>
        <w:tc>
          <w:tcPr>
            <w:tcW w:w="1092" w:type="dxa"/>
            <w:tcBorders>
              <w:top w:val="single" w:sz="2" w:space="0" w:color="000000"/>
              <w:left w:val="single" w:sz="12" w:space="0" w:color="000000"/>
              <w:bottom w:val="single" w:sz="2" w:space="0" w:color="000000"/>
              <w:right w:val="single" w:sz="12" w:space="0" w:color="000000"/>
            </w:tcBorders>
            <w:vAlign w:val="center"/>
          </w:tcPr>
          <w:p w14:paraId="5723578A" w14:textId="6D766F8E" w:rsidR="00B56D50" w:rsidRDefault="001C3C42" w:rsidP="001E0DA8">
            <w:pPr>
              <w:spacing w:after="0" w:line="259" w:lineRule="auto"/>
              <w:ind w:left="0" w:right="0" w:firstLine="0"/>
              <w:jc w:val="center"/>
            </w:pPr>
            <w:r>
              <w:rPr>
                <w:sz w:val="18"/>
              </w:rPr>
              <w:t>16887-00-6</w:t>
            </w:r>
          </w:p>
        </w:tc>
        <w:tc>
          <w:tcPr>
            <w:tcW w:w="727" w:type="dxa"/>
            <w:tcBorders>
              <w:top w:val="single" w:sz="2" w:space="0" w:color="000000"/>
              <w:left w:val="single" w:sz="12" w:space="0" w:color="000000"/>
              <w:bottom w:val="single" w:sz="2" w:space="0" w:color="000000"/>
              <w:right w:val="single" w:sz="12" w:space="0" w:color="000000"/>
            </w:tcBorders>
            <w:vAlign w:val="center"/>
          </w:tcPr>
          <w:p w14:paraId="01E23209" w14:textId="7BE096B0" w:rsidR="00B56D50" w:rsidRDefault="001C3C42" w:rsidP="001E0DA8">
            <w:pPr>
              <w:spacing w:after="0" w:line="259" w:lineRule="auto"/>
              <w:ind w:left="0" w:right="0" w:firstLine="0"/>
              <w:jc w:val="center"/>
            </w:pPr>
            <w:r>
              <w:rPr>
                <w:sz w:val="18"/>
              </w:rPr>
              <w:t>2</w:t>
            </w:r>
          </w:p>
        </w:tc>
        <w:tc>
          <w:tcPr>
            <w:tcW w:w="727" w:type="dxa"/>
            <w:tcBorders>
              <w:top w:val="single" w:sz="2" w:space="0" w:color="000000"/>
              <w:left w:val="single" w:sz="12" w:space="0" w:color="000000"/>
              <w:bottom w:val="single" w:sz="2" w:space="0" w:color="000000"/>
              <w:right w:val="single" w:sz="12" w:space="0" w:color="000000"/>
            </w:tcBorders>
            <w:vAlign w:val="center"/>
          </w:tcPr>
          <w:p w14:paraId="5DA64222" w14:textId="080104ED" w:rsidR="00B56D50" w:rsidRDefault="001C3C42" w:rsidP="001E0DA8">
            <w:pPr>
              <w:spacing w:after="0" w:line="259" w:lineRule="auto"/>
              <w:ind w:left="91" w:right="0" w:firstLine="0"/>
              <w:jc w:val="center"/>
            </w:pPr>
            <w:r>
              <w:rPr>
                <w:sz w:val="18"/>
              </w:rPr>
              <w:t>mg/L</w:t>
            </w:r>
          </w:p>
        </w:tc>
        <w:tc>
          <w:tcPr>
            <w:tcW w:w="635" w:type="dxa"/>
            <w:tcBorders>
              <w:top w:val="single" w:sz="2" w:space="0" w:color="000000"/>
              <w:left w:val="single" w:sz="12" w:space="0" w:color="000000"/>
              <w:bottom w:val="single" w:sz="2" w:space="0" w:color="000000"/>
              <w:right w:val="single" w:sz="12" w:space="0" w:color="000000"/>
            </w:tcBorders>
            <w:vAlign w:val="center"/>
          </w:tcPr>
          <w:p w14:paraId="4E43FB67" w14:textId="577BC67A" w:rsidR="00B56D50" w:rsidRDefault="001C3C42" w:rsidP="001E0DA8">
            <w:pPr>
              <w:spacing w:after="0" w:line="259" w:lineRule="auto"/>
              <w:ind w:left="0" w:right="0" w:firstLine="0"/>
              <w:jc w:val="center"/>
            </w:pPr>
            <w:r>
              <w:rPr>
                <w:sz w:val="18"/>
              </w:rPr>
              <w:t>20</w:t>
            </w:r>
          </w:p>
        </w:tc>
        <w:tc>
          <w:tcPr>
            <w:tcW w:w="819" w:type="dxa"/>
            <w:tcBorders>
              <w:top w:val="single" w:sz="2" w:space="0" w:color="000000"/>
              <w:left w:val="single" w:sz="12" w:space="0" w:color="000000"/>
              <w:bottom w:val="single" w:sz="2" w:space="0" w:color="000000"/>
              <w:right w:val="single" w:sz="12" w:space="0" w:color="000000"/>
            </w:tcBorders>
            <w:vAlign w:val="center"/>
          </w:tcPr>
          <w:p w14:paraId="2110823A" w14:textId="2A26BCF5" w:rsidR="00B56D50" w:rsidRDefault="001C3C42" w:rsidP="001E0DA8">
            <w:pPr>
              <w:spacing w:after="0" w:line="259" w:lineRule="auto"/>
              <w:ind w:left="0" w:right="37" w:firstLine="0"/>
              <w:jc w:val="center"/>
            </w:pPr>
            <w:r>
              <w:rPr>
                <w:sz w:val="18"/>
              </w:rPr>
              <w:t>mg/kg</w:t>
            </w:r>
          </w:p>
        </w:tc>
        <w:tc>
          <w:tcPr>
            <w:tcW w:w="708" w:type="dxa"/>
            <w:tcBorders>
              <w:top w:val="single" w:sz="2" w:space="0" w:color="000000"/>
              <w:left w:val="single" w:sz="12" w:space="0" w:color="000000"/>
              <w:bottom w:val="single" w:sz="2" w:space="0" w:color="000000"/>
              <w:right w:val="single" w:sz="12" w:space="0" w:color="000000"/>
            </w:tcBorders>
            <w:vAlign w:val="center"/>
          </w:tcPr>
          <w:p w14:paraId="11609C74" w14:textId="2B2BDA12" w:rsidR="00B56D50" w:rsidRDefault="001C3C42" w:rsidP="001E0DA8">
            <w:pPr>
              <w:spacing w:after="0" w:line="259" w:lineRule="auto"/>
              <w:ind w:left="0" w:right="0" w:firstLine="0"/>
              <w:jc w:val="center"/>
            </w:pPr>
            <w:r>
              <w:rPr>
                <w:sz w:val="18"/>
              </w:rPr>
              <w:t>9056</w:t>
            </w:r>
          </w:p>
        </w:tc>
        <w:tc>
          <w:tcPr>
            <w:tcW w:w="727" w:type="dxa"/>
            <w:tcBorders>
              <w:top w:val="single" w:sz="2" w:space="0" w:color="000000"/>
              <w:left w:val="single" w:sz="12" w:space="0" w:color="000000"/>
              <w:bottom w:val="single" w:sz="2" w:space="0" w:color="000000"/>
              <w:right w:val="single" w:sz="12" w:space="0" w:color="000000"/>
            </w:tcBorders>
            <w:vAlign w:val="center"/>
          </w:tcPr>
          <w:p w14:paraId="425EB627" w14:textId="4C59C0ED" w:rsidR="00B56D50" w:rsidRDefault="001C3C42" w:rsidP="001E0DA8">
            <w:pPr>
              <w:spacing w:after="0" w:line="259" w:lineRule="auto"/>
              <w:ind w:left="0" w:right="0" w:firstLine="0"/>
              <w:jc w:val="center"/>
            </w:pPr>
            <w:r>
              <w:rPr>
                <w:sz w:val="18"/>
              </w:rPr>
              <w:t>9212</w:t>
            </w:r>
          </w:p>
        </w:tc>
        <w:tc>
          <w:tcPr>
            <w:tcW w:w="729" w:type="dxa"/>
            <w:tcBorders>
              <w:top w:val="single" w:sz="2" w:space="0" w:color="000000"/>
              <w:left w:val="single" w:sz="12" w:space="0" w:color="000000"/>
              <w:bottom w:val="single" w:sz="2" w:space="0" w:color="000000"/>
              <w:right w:val="single" w:sz="12" w:space="0" w:color="000000"/>
            </w:tcBorders>
            <w:vAlign w:val="center"/>
          </w:tcPr>
          <w:p w14:paraId="467ECFDB" w14:textId="2A4B1C84" w:rsidR="00B56D50" w:rsidRDefault="001C3C42" w:rsidP="001E0DA8">
            <w:pPr>
              <w:spacing w:after="0" w:line="259" w:lineRule="auto"/>
              <w:ind w:left="0" w:right="0" w:firstLine="0"/>
              <w:jc w:val="center"/>
            </w:pPr>
            <w:r>
              <w:rPr>
                <w:sz w:val="18"/>
              </w:rPr>
              <w:t>9250</w:t>
            </w:r>
          </w:p>
        </w:tc>
        <w:tc>
          <w:tcPr>
            <w:tcW w:w="637" w:type="dxa"/>
            <w:tcBorders>
              <w:top w:val="single" w:sz="2" w:space="0" w:color="000000"/>
              <w:left w:val="single" w:sz="12" w:space="0" w:color="000000"/>
              <w:bottom w:val="single" w:sz="2" w:space="0" w:color="000000"/>
              <w:right w:val="single" w:sz="12" w:space="0" w:color="000000"/>
            </w:tcBorders>
            <w:vAlign w:val="center"/>
          </w:tcPr>
          <w:p w14:paraId="09F8EEA9" w14:textId="1E91B452" w:rsidR="00B56D50" w:rsidRDefault="001C3C42" w:rsidP="001E0DA8">
            <w:pPr>
              <w:spacing w:after="0" w:line="259" w:lineRule="auto"/>
              <w:ind w:left="0" w:right="0" w:firstLine="0"/>
              <w:jc w:val="center"/>
            </w:pPr>
            <w:r>
              <w:rPr>
                <w:sz w:val="18"/>
              </w:rPr>
              <w:t>9251</w:t>
            </w:r>
          </w:p>
        </w:tc>
        <w:tc>
          <w:tcPr>
            <w:tcW w:w="991" w:type="dxa"/>
            <w:tcBorders>
              <w:top w:val="single" w:sz="2" w:space="0" w:color="000000"/>
              <w:left w:val="single" w:sz="12" w:space="0" w:color="000000"/>
              <w:bottom w:val="single" w:sz="2" w:space="0" w:color="000000"/>
              <w:right w:val="single" w:sz="12" w:space="0" w:color="000000"/>
            </w:tcBorders>
            <w:vAlign w:val="center"/>
          </w:tcPr>
          <w:p w14:paraId="2DE884AA" w14:textId="56BF6263" w:rsidR="00B56D50" w:rsidRDefault="001C3C42" w:rsidP="001E0DA8">
            <w:pPr>
              <w:spacing w:after="0" w:line="259" w:lineRule="auto"/>
              <w:ind w:left="0" w:right="0" w:firstLine="0"/>
              <w:jc w:val="center"/>
            </w:pPr>
            <w:r>
              <w:rPr>
                <w:sz w:val="18"/>
              </w:rPr>
              <w:t>9253</w:t>
            </w:r>
          </w:p>
        </w:tc>
      </w:tr>
      <w:tr w:rsidR="00EE2022" w14:paraId="4EB8497E" w14:textId="77777777" w:rsidTr="00467372">
        <w:trPr>
          <w:trHeight w:val="430"/>
        </w:trPr>
        <w:tc>
          <w:tcPr>
            <w:tcW w:w="2828" w:type="dxa"/>
            <w:tcBorders>
              <w:top w:val="single" w:sz="2" w:space="0" w:color="000000"/>
              <w:left w:val="single" w:sz="12" w:space="0" w:color="000000"/>
              <w:bottom w:val="single" w:sz="6" w:space="0" w:color="000000"/>
              <w:right w:val="single" w:sz="12" w:space="0" w:color="000000"/>
            </w:tcBorders>
            <w:vAlign w:val="center"/>
          </w:tcPr>
          <w:p w14:paraId="578B3F97" w14:textId="04A35EDB" w:rsidR="00EE2022" w:rsidRDefault="00EE2022" w:rsidP="00736903">
            <w:pPr>
              <w:spacing w:after="0" w:line="259" w:lineRule="auto"/>
              <w:ind w:left="0" w:right="0" w:firstLine="0"/>
            </w:pPr>
            <w:r>
              <w:rPr>
                <w:sz w:val="18"/>
              </w:rPr>
              <w:t>Nitrate-Nitrite</w:t>
            </w:r>
            <w:r>
              <w:rPr>
                <w:sz w:val="18"/>
                <w:vertAlign w:val="superscript"/>
              </w:rPr>
              <w:t xml:space="preserve"> </w:t>
            </w:r>
          </w:p>
        </w:tc>
        <w:tc>
          <w:tcPr>
            <w:tcW w:w="1092" w:type="dxa"/>
            <w:tcBorders>
              <w:top w:val="single" w:sz="2" w:space="0" w:color="000000"/>
              <w:left w:val="single" w:sz="12" w:space="0" w:color="000000"/>
              <w:bottom w:val="single" w:sz="6" w:space="0" w:color="000000"/>
              <w:right w:val="single" w:sz="12" w:space="0" w:color="000000"/>
            </w:tcBorders>
            <w:vAlign w:val="center"/>
          </w:tcPr>
          <w:p w14:paraId="1413790C" w14:textId="73A29504" w:rsidR="00EE2022" w:rsidRDefault="00EE2022" w:rsidP="001E0DA8">
            <w:pPr>
              <w:spacing w:after="0" w:line="259" w:lineRule="auto"/>
              <w:ind w:left="0" w:right="0" w:firstLine="0"/>
              <w:jc w:val="center"/>
            </w:pPr>
            <w:r>
              <w:rPr>
                <w:sz w:val="18"/>
              </w:rPr>
              <w:t>14797-55-8</w:t>
            </w:r>
          </w:p>
          <w:p w14:paraId="4A177822" w14:textId="3F3BB32A" w:rsidR="00EE2022" w:rsidRDefault="00EE2022" w:rsidP="001E0DA8">
            <w:pPr>
              <w:spacing w:after="0" w:line="259" w:lineRule="auto"/>
              <w:ind w:left="0" w:right="0" w:firstLine="0"/>
              <w:jc w:val="center"/>
            </w:pPr>
            <w:r>
              <w:rPr>
                <w:sz w:val="18"/>
              </w:rPr>
              <w:t>14797-65-0</w:t>
            </w:r>
          </w:p>
        </w:tc>
        <w:tc>
          <w:tcPr>
            <w:tcW w:w="727" w:type="dxa"/>
            <w:tcBorders>
              <w:top w:val="single" w:sz="2" w:space="0" w:color="000000"/>
              <w:left w:val="single" w:sz="12" w:space="0" w:color="000000"/>
              <w:bottom w:val="single" w:sz="6" w:space="0" w:color="000000"/>
              <w:right w:val="single" w:sz="12" w:space="0" w:color="000000"/>
            </w:tcBorders>
            <w:vAlign w:val="center"/>
          </w:tcPr>
          <w:p w14:paraId="016881BA" w14:textId="4E3DAB08" w:rsidR="00EE2022" w:rsidRDefault="00EE2022" w:rsidP="001E0DA8">
            <w:pPr>
              <w:spacing w:after="0" w:line="259" w:lineRule="auto"/>
              <w:ind w:left="0" w:right="0" w:firstLine="0"/>
              <w:jc w:val="center"/>
            </w:pPr>
            <w:r>
              <w:rPr>
                <w:sz w:val="18"/>
              </w:rPr>
              <w:t>0.010</w:t>
            </w:r>
          </w:p>
        </w:tc>
        <w:tc>
          <w:tcPr>
            <w:tcW w:w="727" w:type="dxa"/>
            <w:tcBorders>
              <w:top w:val="single" w:sz="2" w:space="0" w:color="000000"/>
              <w:left w:val="single" w:sz="12" w:space="0" w:color="000000"/>
              <w:bottom w:val="single" w:sz="6" w:space="0" w:color="000000"/>
              <w:right w:val="single" w:sz="12" w:space="0" w:color="000000"/>
            </w:tcBorders>
            <w:vAlign w:val="center"/>
          </w:tcPr>
          <w:p w14:paraId="21457A17" w14:textId="072E5D70" w:rsidR="00EE2022" w:rsidRDefault="00EE2022" w:rsidP="001E0DA8">
            <w:pPr>
              <w:spacing w:after="0" w:line="259" w:lineRule="auto"/>
              <w:ind w:left="91" w:right="0" w:firstLine="0"/>
              <w:jc w:val="center"/>
            </w:pPr>
            <w:r>
              <w:rPr>
                <w:sz w:val="18"/>
              </w:rPr>
              <w:t>mg/L</w:t>
            </w:r>
          </w:p>
        </w:tc>
        <w:tc>
          <w:tcPr>
            <w:tcW w:w="635" w:type="dxa"/>
            <w:tcBorders>
              <w:top w:val="single" w:sz="2" w:space="0" w:color="000000"/>
              <w:left w:val="single" w:sz="12" w:space="0" w:color="000000"/>
              <w:bottom w:val="single" w:sz="6" w:space="0" w:color="000000"/>
              <w:right w:val="single" w:sz="12" w:space="0" w:color="000000"/>
            </w:tcBorders>
            <w:vAlign w:val="center"/>
          </w:tcPr>
          <w:p w14:paraId="01697CB5" w14:textId="5F212E32" w:rsidR="00EE2022" w:rsidRDefault="00EE2022" w:rsidP="001E0DA8">
            <w:pPr>
              <w:spacing w:after="0" w:line="259" w:lineRule="auto"/>
              <w:ind w:left="0" w:right="0" w:firstLine="0"/>
              <w:jc w:val="center"/>
            </w:pPr>
            <w:r>
              <w:rPr>
                <w:sz w:val="18"/>
              </w:rPr>
              <w:t>1</w:t>
            </w:r>
          </w:p>
        </w:tc>
        <w:tc>
          <w:tcPr>
            <w:tcW w:w="819" w:type="dxa"/>
            <w:tcBorders>
              <w:top w:val="single" w:sz="2" w:space="0" w:color="000000"/>
              <w:left w:val="single" w:sz="12" w:space="0" w:color="000000"/>
              <w:bottom w:val="single" w:sz="6" w:space="0" w:color="000000"/>
              <w:right w:val="single" w:sz="12" w:space="0" w:color="000000"/>
            </w:tcBorders>
            <w:vAlign w:val="center"/>
          </w:tcPr>
          <w:p w14:paraId="46E1DB25" w14:textId="18C353A1" w:rsidR="00EE2022" w:rsidRDefault="00EE2022" w:rsidP="001E0DA8">
            <w:pPr>
              <w:spacing w:after="0" w:line="259" w:lineRule="auto"/>
              <w:ind w:left="0" w:right="37" w:firstLine="0"/>
              <w:jc w:val="center"/>
            </w:pPr>
            <w:r>
              <w:rPr>
                <w:sz w:val="18"/>
              </w:rPr>
              <w:t>mg/kg</w:t>
            </w:r>
          </w:p>
        </w:tc>
        <w:tc>
          <w:tcPr>
            <w:tcW w:w="708" w:type="dxa"/>
            <w:tcBorders>
              <w:top w:val="single" w:sz="2" w:space="0" w:color="000000"/>
              <w:left w:val="single" w:sz="12" w:space="0" w:color="000000"/>
              <w:bottom w:val="single" w:sz="6" w:space="0" w:color="000000"/>
              <w:right w:val="single" w:sz="12" w:space="0" w:color="000000"/>
            </w:tcBorders>
            <w:vAlign w:val="center"/>
          </w:tcPr>
          <w:p w14:paraId="61A10327" w14:textId="186BF4F9" w:rsidR="00EE2022" w:rsidRDefault="00EE2022" w:rsidP="001E0DA8">
            <w:pPr>
              <w:spacing w:after="0" w:line="259" w:lineRule="auto"/>
              <w:ind w:left="0" w:right="0" w:firstLine="0"/>
              <w:jc w:val="center"/>
            </w:pPr>
            <w:r>
              <w:rPr>
                <w:sz w:val="18"/>
              </w:rPr>
              <w:t>9056</w:t>
            </w:r>
          </w:p>
        </w:tc>
        <w:tc>
          <w:tcPr>
            <w:tcW w:w="727" w:type="dxa"/>
            <w:tcBorders>
              <w:top w:val="single" w:sz="2" w:space="0" w:color="000000"/>
              <w:left w:val="single" w:sz="12" w:space="0" w:color="000000"/>
              <w:bottom w:val="single" w:sz="6" w:space="0" w:color="000000"/>
              <w:right w:val="single" w:sz="12" w:space="0" w:color="000000"/>
            </w:tcBorders>
            <w:vAlign w:val="center"/>
          </w:tcPr>
          <w:p w14:paraId="7902E1A8" w14:textId="00A1B1C1" w:rsidR="00EE2022" w:rsidRDefault="00EE2022" w:rsidP="001E0DA8">
            <w:pPr>
              <w:spacing w:after="0" w:line="259" w:lineRule="auto"/>
              <w:ind w:left="0" w:right="0" w:firstLine="0"/>
              <w:jc w:val="center"/>
            </w:pPr>
            <w:r>
              <w:rPr>
                <w:sz w:val="18"/>
              </w:rPr>
              <w:t xml:space="preserve">353.2 </w:t>
            </w:r>
            <w:r w:rsidRPr="003D7BA6">
              <w:rPr>
                <w:b/>
                <w:bCs/>
                <w:sz w:val="18"/>
                <w:vertAlign w:val="superscript"/>
              </w:rPr>
              <w:t>8</w:t>
            </w:r>
          </w:p>
        </w:tc>
        <w:tc>
          <w:tcPr>
            <w:tcW w:w="2357" w:type="dxa"/>
            <w:gridSpan w:val="3"/>
            <w:tcBorders>
              <w:top w:val="single" w:sz="2" w:space="0" w:color="000000"/>
              <w:left w:val="single" w:sz="12" w:space="0" w:color="000000"/>
              <w:bottom w:val="single" w:sz="6" w:space="0" w:color="000000"/>
              <w:right w:val="single" w:sz="12" w:space="0" w:color="000000"/>
            </w:tcBorders>
            <w:vAlign w:val="center"/>
          </w:tcPr>
          <w:p w14:paraId="6200AB4B" w14:textId="372DD1FE" w:rsidR="00EE2022" w:rsidRDefault="00EE2022" w:rsidP="001E0DA8">
            <w:pPr>
              <w:spacing w:after="0" w:line="259" w:lineRule="auto"/>
              <w:ind w:left="0" w:right="0" w:firstLine="0"/>
              <w:jc w:val="center"/>
            </w:pPr>
            <w:r>
              <w:rPr>
                <w:rStyle w:val="CommentReference"/>
              </w:rPr>
              <w:t>SM 4500-NO3</w:t>
            </w:r>
            <w:r w:rsidR="007473E9">
              <w:rPr>
                <w:rStyle w:val="CommentReference"/>
              </w:rPr>
              <w:t xml:space="preserve"> </w:t>
            </w:r>
            <w:r w:rsidR="007473E9" w:rsidRPr="007473E9">
              <w:rPr>
                <w:rStyle w:val="CommentReference"/>
                <w:b/>
                <w:bCs/>
                <w:sz w:val="18"/>
                <w:szCs w:val="18"/>
                <w:vertAlign w:val="superscript"/>
              </w:rPr>
              <w:t>9</w:t>
            </w:r>
          </w:p>
        </w:tc>
      </w:tr>
      <w:tr w:rsidR="00B56D50" w14:paraId="7CA0289B" w14:textId="77777777" w:rsidTr="00467372">
        <w:trPr>
          <w:trHeight w:val="252"/>
        </w:trPr>
        <w:tc>
          <w:tcPr>
            <w:tcW w:w="2828" w:type="dxa"/>
            <w:tcBorders>
              <w:top w:val="single" w:sz="6" w:space="0" w:color="000000"/>
              <w:left w:val="single" w:sz="12" w:space="0" w:color="000000"/>
              <w:bottom w:val="single" w:sz="6" w:space="0" w:color="000000"/>
              <w:right w:val="single" w:sz="12" w:space="0" w:color="000000"/>
            </w:tcBorders>
            <w:vAlign w:val="center"/>
          </w:tcPr>
          <w:p w14:paraId="0EE83A2C" w14:textId="77777777" w:rsidR="00B56D50" w:rsidRDefault="001C3C42" w:rsidP="00736903">
            <w:pPr>
              <w:spacing w:after="0" w:line="259" w:lineRule="auto"/>
              <w:ind w:left="0" w:right="0" w:firstLine="0"/>
            </w:pPr>
            <w:r>
              <w:rPr>
                <w:sz w:val="18"/>
              </w:rPr>
              <w:t xml:space="preserve">pH </w:t>
            </w:r>
          </w:p>
        </w:tc>
        <w:tc>
          <w:tcPr>
            <w:tcW w:w="1092" w:type="dxa"/>
            <w:tcBorders>
              <w:top w:val="single" w:sz="6" w:space="0" w:color="000000"/>
              <w:left w:val="single" w:sz="12" w:space="0" w:color="000000"/>
              <w:bottom w:val="single" w:sz="6" w:space="0" w:color="000000"/>
              <w:right w:val="single" w:sz="12" w:space="0" w:color="000000"/>
            </w:tcBorders>
            <w:vAlign w:val="center"/>
          </w:tcPr>
          <w:p w14:paraId="7E0C63D3" w14:textId="70551DB5" w:rsidR="00B56D50" w:rsidRDefault="001C3C42" w:rsidP="001E0DA8">
            <w:pPr>
              <w:spacing w:after="0" w:line="259" w:lineRule="auto"/>
              <w:ind w:left="0" w:right="0" w:firstLine="0"/>
              <w:jc w:val="center"/>
            </w:pPr>
            <w:r>
              <w:rPr>
                <w:sz w:val="18"/>
              </w:rPr>
              <w:t>N/A</w:t>
            </w:r>
          </w:p>
        </w:tc>
        <w:tc>
          <w:tcPr>
            <w:tcW w:w="727" w:type="dxa"/>
            <w:tcBorders>
              <w:top w:val="single" w:sz="6" w:space="0" w:color="000000"/>
              <w:left w:val="single" w:sz="12" w:space="0" w:color="000000"/>
              <w:bottom w:val="single" w:sz="6" w:space="0" w:color="000000"/>
              <w:right w:val="single" w:sz="12" w:space="0" w:color="000000"/>
            </w:tcBorders>
            <w:vAlign w:val="center"/>
          </w:tcPr>
          <w:p w14:paraId="3C5E9E8C" w14:textId="2ED7363D" w:rsidR="00B56D50" w:rsidRDefault="001C3C42" w:rsidP="001E0DA8">
            <w:pPr>
              <w:spacing w:after="0" w:line="259" w:lineRule="auto"/>
              <w:ind w:left="0" w:right="35" w:firstLine="0"/>
              <w:jc w:val="center"/>
            </w:pPr>
            <w:r>
              <w:rPr>
                <w:sz w:val="18"/>
              </w:rPr>
              <w:t>0.1</w:t>
            </w:r>
          </w:p>
        </w:tc>
        <w:tc>
          <w:tcPr>
            <w:tcW w:w="727" w:type="dxa"/>
            <w:tcBorders>
              <w:top w:val="single" w:sz="6" w:space="0" w:color="000000"/>
              <w:left w:val="single" w:sz="12" w:space="0" w:color="000000"/>
              <w:bottom w:val="single" w:sz="6" w:space="0" w:color="000000"/>
              <w:right w:val="single" w:sz="12" w:space="0" w:color="000000"/>
            </w:tcBorders>
            <w:vAlign w:val="center"/>
          </w:tcPr>
          <w:p w14:paraId="14F5354E" w14:textId="12160A35" w:rsidR="00B56D50" w:rsidRDefault="001C3C42" w:rsidP="001E0DA8">
            <w:pPr>
              <w:spacing w:after="0" w:line="259" w:lineRule="auto"/>
              <w:ind w:left="0" w:right="33" w:firstLine="0"/>
              <w:jc w:val="center"/>
            </w:pPr>
            <w:r>
              <w:rPr>
                <w:sz w:val="18"/>
              </w:rPr>
              <w:t>units</w:t>
            </w:r>
          </w:p>
        </w:tc>
        <w:tc>
          <w:tcPr>
            <w:tcW w:w="635" w:type="dxa"/>
            <w:tcBorders>
              <w:top w:val="single" w:sz="6" w:space="0" w:color="000000"/>
              <w:left w:val="single" w:sz="12" w:space="0" w:color="000000"/>
              <w:bottom w:val="single" w:sz="6" w:space="0" w:color="000000"/>
              <w:right w:val="single" w:sz="12" w:space="0" w:color="000000"/>
            </w:tcBorders>
            <w:vAlign w:val="center"/>
          </w:tcPr>
          <w:p w14:paraId="1E0AC003" w14:textId="16F61A85" w:rsidR="00B56D50" w:rsidRDefault="001C3C42" w:rsidP="001E0DA8">
            <w:pPr>
              <w:spacing w:after="0" w:line="259" w:lineRule="auto"/>
              <w:ind w:left="0" w:right="0" w:firstLine="0"/>
              <w:jc w:val="center"/>
            </w:pPr>
            <w:r>
              <w:rPr>
                <w:sz w:val="18"/>
              </w:rPr>
              <w:t>0.1</w:t>
            </w:r>
          </w:p>
        </w:tc>
        <w:tc>
          <w:tcPr>
            <w:tcW w:w="819" w:type="dxa"/>
            <w:tcBorders>
              <w:top w:val="single" w:sz="6" w:space="0" w:color="000000"/>
              <w:left w:val="single" w:sz="12" w:space="0" w:color="000000"/>
              <w:bottom w:val="single" w:sz="6" w:space="0" w:color="000000"/>
              <w:right w:val="single" w:sz="12" w:space="0" w:color="000000"/>
            </w:tcBorders>
            <w:vAlign w:val="center"/>
          </w:tcPr>
          <w:p w14:paraId="1D75024B" w14:textId="7292514B" w:rsidR="00B56D50" w:rsidRDefault="001C3C42" w:rsidP="001E0DA8">
            <w:pPr>
              <w:spacing w:after="0" w:line="259" w:lineRule="auto"/>
              <w:ind w:left="0" w:right="33" w:firstLine="0"/>
              <w:jc w:val="center"/>
            </w:pPr>
            <w:r>
              <w:rPr>
                <w:sz w:val="18"/>
              </w:rPr>
              <w:t>units</w:t>
            </w:r>
          </w:p>
        </w:tc>
        <w:tc>
          <w:tcPr>
            <w:tcW w:w="708" w:type="dxa"/>
            <w:tcBorders>
              <w:top w:val="single" w:sz="6" w:space="0" w:color="000000"/>
              <w:left w:val="single" w:sz="12" w:space="0" w:color="000000"/>
              <w:bottom w:val="single" w:sz="6" w:space="0" w:color="000000"/>
              <w:right w:val="single" w:sz="12" w:space="0" w:color="000000"/>
            </w:tcBorders>
            <w:vAlign w:val="center"/>
          </w:tcPr>
          <w:p w14:paraId="2CE5AA80" w14:textId="7245935E" w:rsidR="00B56D50" w:rsidRDefault="001C3C42" w:rsidP="001E0DA8">
            <w:pPr>
              <w:spacing w:after="0" w:line="259" w:lineRule="auto"/>
              <w:ind w:left="0" w:right="0" w:firstLine="0"/>
              <w:jc w:val="center"/>
            </w:pPr>
            <w:r>
              <w:rPr>
                <w:sz w:val="18"/>
              </w:rPr>
              <w:t>9040</w:t>
            </w:r>
          </w:p>
        </w:tc>
        <w:tc>
          <w:tcPr>
            <w:tcW w:w="727" w:type="dxa"/>
            <w:tcBorders>
              <w:top w:val="single" w:sz="6" w:space="0" w:color="000000"/>
              <w:left w:val="single" w:sz="12" w:space="0" w:color="000000"/>
              <w:bottom w:val="single" w:sz="6" w:space="0" w:color="000000"/>
              <w:right w:val="single" w:sz="12" w:space="0" w:color="000000"/>
            </w:tcBorders>
            <w:vAlign w:val="center"/>
          </w:tcPr>
          <w:p w14:paraId="01CAAD45" w14:textId="7233775B" w:rsidR="00B56D50" w:rsidRDefault="001C3C42" w:rsidP="001E0DA8">
            <w:pPr>
              <w:spacing w:after="0" w:line="259" w:lineRule="auto"/>
              <w:ind w:left="0" w:right="0" w:firstLine="0"/>
              <w:jc w:val="center"/>
            </w:pPr>
            <w:r>
              <w:rPr>
                <w:sz w:val="18"/>
              </w:rPr>
              <w:t>9045</w:t>
            </w:r>
          </w:p>
        </w:tc>
        <w:tc>
          <w:tcPr>
            <w:tcW w:w="2357" w:type="dxa"/>
            <w:gridSpan w:val="3"/>
            <w:tcBorders>
              <w:top w:val="single" w:sz="6" w:space="0" w:color="000000"/>
              <w:left w:val="single" w:sz="12" w:space="0" w:color="000000"/>
              <w:bottom w:val="single" w:sz="6" w:space="0" w:color="000000"/>
              <w:right w:val="single" w:sz="12" w:space="0" w:color="000000"/>
            </w:tcBorders>
            <w:vAlign w:val="center"/>
          </w:tcPr>
          <w:p w14:paraId="5765EF74" w14:textId="3B76C1CA" w:rsidR="00B56D50" w:rsidRDefault="001C3C42" w:rsidP="001E0DA8">
            <w:pPr>
              <w:spacing w:after="0" w:line="259" w:lineRule="auto"/>
              <w:ind w:left="0" w:right="0" w:firstLine="0"/>
              <w:jc w:val="center"/>
            </w:pPr>
            <w:r>
              <w:rPr>
                <w:sz w:val="18"/>
              </w:rPr>
              <w:t>(9041-only if necessary)</w:t>
            </w:r>
          </w:p>
        </w:tc>
      </w:tr>
      <w:tr w:rsidR="00B56D50" w14:paraId="3190414B" w14:textId="77777777" w:rsidTr="00467372">
        <w:trPr>
          <w:trHeight w:val="240"/>
        </w:trPr>
        <w:tc>
          <w:tcPr>
            <w:tcW w:w="2828" w:type="dxa"/>
            <w:tcBorders>
              <w:top w:val="single" w:sz="6" w:space="0" w:color="000000"/>
              <w:left w:val="single" w:sz="12" w:space="0" w:color="000000"/>
              <w:bottom w:val="single" w:sz="2" w:space="0" w:color="000000"/>
              <w:right w:val="single" w:sz="12" w:space="0" w:color="000000"/>
            </w:tcBorders>
            <w:vAlign w:val="center"/>
          </w:tcPr>
          <w:p w14:paraId="2742AFA1" w14:textId="77777777" w:rsidR="00B56D50" w:rsidRDefault="001C3C42" w:rsidP="00736903">
            <w:pPr>
              <w:spacing w:after="0" w:line="259" w:lineRule="auto"/>
              <w:ind w:left="0" w:right="0" w:firstLine="0"/>
            </w:pPr>
            <w:r>
              <w:rPr>
                <w:sz w:val="18"/>
              </w:rPr>
              <w:t xml:space="preserve">Specific Conductance </w:t>
            </w:r>
          </w:p>
        </w:tc>
        <w:tc>
          <w:tcPr>
            <w:tcW w:w="1092" w:type="dxa"/>
            <w:tcBorders>
              <w:top w:val="single" w:sz="6" w:space="0" w:color="000000"/>
              <w:left w:val="single" w:sz="12" w:space="0" w:color="000000"/>
              <w:bottom w:val="single" w:sz="2" w:space="0" w:color="000000"/>
              <w:right w:val="single" w:sz="12" w:space="0" w:color="000000"/>
            </w:tcBorders>
            <w:vAlign w:val="center"/>
          </w:tcPr>
          <w:p w14:paraId="44588DED" w14:textId="0C61A597" w:rsidR="00B56D50" w:rsidRDefault="001C3C42" w:rsidP="001E0DA8">
            <w:pPr>
              <w:spacing w:after="0" w:line="259" w:lineRule="auto"/>
              <w:ind w:left="0" w:right="0" w:firstLine="0"/>
              <w:jc w:val="center"/>
            </w:pPr>
            <w:r>
              <w:rPr>
                <w:sz w:val="18"/>
              </w:rPr>
              <w:t>N/A</w:t>
            </w:r>
          </w:p>
        </w:tc>
        <w:tc>
          <w:tcPr>
            <w:tcW w:w="727" w:type="dxa"/>
            <w:tcBorders>
              <w:top w:val="single" w:sz="6" w:space="0" w:color="000000"/>
              <w:left w:val="single" w:sz="12" w:space="0" w:color="000000"/>
              <w:bottom w:val="single" w:sz="2" w:space="0" w:color="000000"/>
              <w:right w:val="single" w:sz="12" w:space="0" w:color="000000"/>
            </w:tcBorders>
            <w:vAlign w:val="center"/>
          </w:tcPr>
          <w:p w14:paraId="1449A028" w14:textId="11487DF5" w:rsidR="00B56D50" w:rsidRDefault="001C3C42" w:rsidP="001E0DA8">
            <w:pPr>
              <w:spacing w:after="0" w:line="259" w:lineRule="auto"/>
              <w:ind w:left="0" w:right="0" w:firstLine="0"/>
              <w:jc w:val="center"/>
            </w:pPr>
            <w:r>
              <w:rPr>
                <w:sz w:val="18"/>
              </w:rPr>
              <w:t>5</w:t>
            </w:r>
          </w:p>
        </w:tc>
        <w:tc>
          <w:tcPr>
            <w:tcW w:w="727" w:type="dxa"/>
            <w:tcBorders>
              <w:top w:val="single" w:sz="6" w:space="0" w:color="000000"/>
              <w:left w:val="single" w:sz="12" w:space="0" w:color="000000"/>
              <w:bottom w:val="single" w:sz="2" w:space="0" w:color="000000"/>
              <w:right w:val="single" w:sz="12" w:space="0" w:color="000000"/>
            </w:tcBorders>
            <w:vAlign w:val="center"/>
          </w:tcPr>
          <w:p w14:paraId="6791D6F3" w14:textId="71C6D122" w:rsidR="00B56D50" w:rsidRDefault="00140014" w:rsidP="001E0DA8">
            <w:pPr>
              <w:spacing w:after="0" w:line="259" w:lineRule="auto"/>
              <w:ind w:left="50" w:right="0" w:firstLine="0"/>
              <w:jc w:val="center"/>
            </w:pPr>
            <w:r>
              <w:rPr>
                <w:rFonts w:ascii="Segoe UI Symbol" w:eastAsia="Segoe UI Symbol" w:hAnsi="Segoe UI Symbol" w:cs="Segoe UI Symbol"/>
                <w:sz w:val="18"/>
              </w:rPr>
              <w:t>u</w:t>
            </w:r>
            <w:r>
              <w:rPr>
                <w:sz w:val="18"/>
              </w:rPr>
              <w:t>s</w:t>
            </w:r>
            <w:r w:rsidR="001C3C42">
              <w:rPr>
                <w:sz w:val="18"/>
              </w:rPr>
              <w:t>/cm</w:t>
            </w:r>
          </w:p>
        </w:tc>
        <w:tc>
          <w:tcPr>
            <w:tcW w:w="635" w:type="dxa"/>
            <w:tcBorders>
              <w:top w:val="single" w:sz="6" w:space="0" w:color="000000"/>
              <w:left w:val="single" w:sz="12" w:space="0" w:color="000000"/>
              <w:bottom w:val="single" w:sz="2" w:space="0" w:color="000000"/>
              <w:right w:val="single" w:sz="12" w:space="0" w:color="000000"/>
            </w:tcBorders>
            <w:vAlign w:val="center"/>
          </w:tcPr>
          <w:p w14:paraId="60F01FDC" w14:textId="7A64186F" w:rsidR="00B56D50" w:rsidRDefault="001C3C42" w:rsidP="001E0DA8">
            <w:pPr>
              <w:spacing w:after="0" w:line="259" w:lineRule="auto"/>
              <w:ind w:left="89" w:right="0" w:firstLine="0"/>
              <w:jc w:val="center"/>
            </w:pPr>
            <w:r>
              <w:rPr>
                <w:sz w:val="18"/>
              </w:rPr>
              <w:t>N/A</w:t>
            </w:r>
          </w:p>
        </w:tc>
        <w:tc>
          <w:tcPr>
            <w:tcW w:w="819" w:type="dxa"/>
            <w:tcBorders>
              <w:top w:val="single" w:sz="6" w:space="0" w:color="000000"/>
              <w:left w:val="single" w:sz="12" w:space="0" w:color="000000"/>
              <w:bottom w:val="single" w:sz="2" w:space="0" w:color="000000"/>
              <w:right w:val="single" w:sz="12" w:space="0" w:color="000000"/>
            </w:tcBorders>
            <w:vAlign w:val="center"/>
          </w:tcPr>
          <w:p w14:paraId="7703373A" w14:textId="3ABB37E6" w:rsidR="00B56D50" w:rsidRDefault="001C3C42" w:rsidP="001E0DA8">
            <w:pPr>
              <w:spacing w:after="0" w:line="259" w:lineRule="auto"/>
              <w:ind w:left="0" w:right="37" w:firstLine="0"/>
              <w:jc w:val="center"/>
            </w:pPr>
            <w:r>
              <w:rPr>
                <w:sz w:val="18"/>
              </w:rPr>
              <w:t>N/A</w:t>
            </w:r>
          </w:p>
        </w:tc>
        <w:tc>
          <w:tcPr>
            <w:tcW w:w="708" w:type="dxa"/>
            <w:tcBorders>
              <w:top w:val="single" w:sz="6" w:space="0" w:color="000000"/>
              <w:left w:val="single" w:sz="12" w:space="0" w:color="000000"/>
              <w:bottom w:val="single" w:sz="2" w:space="0" w:color="000000"/>
              <w:right w:val="single" w:sz="12" w:space="0" w:color="000000"/>
            </w:tcBorders>
            <w:vAlign w:val="center"/>
          </w:tcPr>
          <w:p w14:paraId="516A9305" w14:textId="3B5C47C0" w:rsidR="00B56D50" w:rsidRDefault="001C3C42" w:rsidP="001E0DA8">
            <w:pPr>
              <w:spacing w:after="0" w:line="259" w:lineRule="auto"/>
              <w:ind w:left="0" w:right="0" w:firstLine="0"/>
              <w:jc w:val="center"/>
            </w:pPr>
            <w:r>
              <w:rPr>
                <w:sz w:val="18"/>
              </w:rPr>
              <w:t>9050</w:t>
            </w:r>
          </w:p>
        </w:tc>
        <w:tc>
          <w:tcPr>
            <w:tcW w:w="727" w:type="dxa"/>
            <w:tcBorders>
              <w:top w:val="single" w:sz="6" w:space="0" w:color="000000"/>
              <w:left w:val="single" w:sz="12" w:space="0" w:color="000000"/>
              <w:bottom w:val="single" w:sz="2" w:space="0" w:color="000000"/>
              <w:right w:val="single" w:sz="12" w:space="0" w:color="000000"/>
            </w:tcBorders>
            <w:vAlign w:val="center"/>
          </w:tcPr>
          <w:p w14:paraId="009716D7" w14:textId="5E395861" w:rsidR="00B56D50" w:rsidRDefault="00B56D50" w:rsidP="001E0DA8">
            <w:pPr>
              <w:spacing w:after="0" w:line="259" w:lineRule="auto"/>
              <w:ind w:left="0" w:right="0" w:firstLine="0"/>
              <w:jc w:val="center"/>
            </w:pPr>
          </w:p>
        </w:tc>
        <w:tc>
          <w:tcPr>
            <w:tcW w:w="729" w:type="dxa"/>
            <w:tcBorders>
              <w:top w:val="single" w:sz="6" w:space="0" w:color="000000"/>
              <w:left w:val="single" w:sz="12" w:space="0" w:color="000000"/>
              <w:bottom w:val="single" w:sz="2" w:space="0" w:color="000000"/>
              <w:right w:val="single" w:sz="12" w:space="0" w:color="000000"/>
            </w:tcBorders>
            <w:vAlign w:val="center"/>
          </w:tcPr>
          <w:p w14:paraId="3F53D86C" w14:textId="590073F4" w:rsidR="00B56D50" w:rsidRDefault="00B56D50" w:rsidP="001E0DA8">
            <w:pPr>
              <w:spacing w:after="0" w:line="259" w:lineRule="auto"/>
              <w:ind w:left="0" w:right="0" w:firstLine="0"/>
              <w:jc w:val="center"/>
            </w:pPr>
          </w:p>
        </w:tc>
        <w:tc>
          <w:tcPr>
            <w:tcW w:w="637" w:type="dxa"/>
            <w:tcBorders>
              <w:top w:val="single" w:sz="6" w:space="0" w:color="000000"/>
              <w:left w:val="single" w:sz="12" w:space="0" w:color="000000"/>
              <w:bottom w:val="single" w:sz="2" w:space="0" w:color="000000"/>
              <w:right w:val="single" w:sz="12" w:space="0" w:color="000000"/>
            </w:tcBorders>
            <w:vAlign w:val="center"/>
          </w:tcPr>
          <w:p w14:paraId="0EA2886C" w14:textId="016D3501" w:rsidR="00B56D50" w:rsidRDefault="00B56D50" w:rsidP="001E0DA8">
            <w:pPr>
              <w:spacing w:after="0" w:line="259" w:lineRule="auto"/>
              <w:ind w:left="0" w:right="0" w:firstLine="0"/>
              <w:jc w:val="center"/>
            </w:pPr>
          </w:p>
        </w:tc>
        <w:tc>
          <w:tcPr>
            <w:tcW w:w="991" w:type="dxa"/>
            <w:tcBorders>
              <w:top w:val="single" w:sz="6" w:space="0" w:color="000000"/>
              <w:left w:val="single" w:sz="12" w:space="0" w:color="000000"/>
              <w:bottom w:val="single" w:sz="2" w:space="0" w:color="000000"/>
              <w:right w:val="single" w:sz="12" w:space="0" w:color="000000"/>
            </w:tcBorders>
            <w:vAlign w:val="center"/>
          </w:tcPr>
          <w:p w14:paraId="0C58465E" w14:textId="55972747" w:rsidR="00B56D50" w:rsidRDefault="00B56D50" w:rsidP="001E0DA8">
            <w:pPr>
              <w:spacing w:after="0" w:line="259" w:lineRule="auto"/>
              <w:ind w:left="0" w:right="0" w:firstLine="0"/>
              <w:jc w:val="center"/>
            </w:pPr>
          </w:p>
        </w:tc>
      </w:tr>
      <w:tr w:rsidR="00B56D50" w14:paraId="188FA059" w14:textId="77777777" w:rsidTr="00467372">
        <w:trPr>
          <w:trHeight w:val="216"/>
        </w:trPr>
        <w:tc>
          <w:tcPr>
            <w:tcW w:w="2828" w:type="dxa"/>
            <w:tcBorders>
              <w:top w:val="single" w:sz="2" w:space="0" w:color="000000"/>
              <w:left w:val="single" w:sz="12" w:space="0" w:color="000000"/>
              <w:bottom w:val="single" w:sz="4" w:space="0" w:color="000000"/>
              <w:right w:val="single" w:sz="12" w:space="0" w:color="000000"/>
            </w:tcBorders>
            <w:vAlign w:val="center"/>
          </w:tcPr>
          <w:p w14:paraId="0625961E" w14:textId="77777777" w:rsidR="00B56D50" w:rsidRDefault="001C3C42" w:rsidP="00736903">
            <w:pPr>
              <w:spacing w:after="0" w:line="259" w:lineRule="auto"/>
              <w:ind w:left="0" w:right="0" w:firstLine="0"/>
            </w:pPr>
            <w:r>
              <w:rPr>
                <w:sz w:val="18"/>
              </w:rPr>
              <w:t xml:space="preserve">Sulfate </w:t>
            </w:r>
          </w:p>
        </w:tc>
        <w:tc>
          <w:tcPr>
            <w:tcW w:w="1092" w:type="dxa"/>
            <w:tcBorders>
              <w:top w:val="single" w:sz="2" w:space="0" w:color="000000"/>
              <w:left w:val="single" w:sz="12" w:space="0" w:color="000000"/>
              <w:bottom w:val="single" w:sz="4" w:space="0" w:color="000000"/>
              <w:right w:val="single" w:sz="12" w:space="0" w:color="000000"/>
            </w:tcBorders>
            <w:vAlign w:val="center"/>
          </w:tcPr>
          <w:p w14:paraId="6AFCB564" w14:textId="191A36A6" w:rsidR="00B56D50" w:rsidRDefault="001C3C42" w:rsidP="001E0DA8">
            <w:pPr>
              <w:spacing w:after="0" w:line="259" w:lineRule="auto"/>
              <w:ind w:left="0" w:right="0" w:firstLine="0"/>
              <w:jc w:val="center"/>
            </w:pPr>
            <w:r>
              <w:rPr>
                <w:sz w:val="18"/>
              </w:rPr>
              <w:t>14808-79-8</w:t>
            </w:r>
          </w:p>
        </w:tc>
        <w:tc>
          <w:tcPr>
            <w:tcW w:w="727" w:type="dxa"/>
            <w:tcBorders>
              <w:top w:val="single" w:sz="2" w:space="0" w:color="000000"/>
              <w:left w:val="single" w:sz="12" w:space="0" w:color="000000"/>
              <w:bottom w:val="single" w:sz="4" w:space="0" w:color="000000"/>
              <w:right w:val="single" w:sz="12" w:space="0" w:color="000000"/>
            </w:tcBorders>
            <w:vAlign w:val="center"/>
          </w:tcPr>
          <w:p w14:paraId="7BC7BBE1" w14:textId="2514D189" w:rsidR="00B56D50" w:rsidRDefault="001C3C42" w:rsidP="001E0DA8">
            <w:pPr>
              <w:spacing w:after="0" w:line="259" w:lineRule="auto"/>
              <w:ind w:left="0" w:right="0" w:firstLine="0"/>
              <w:jc w:val="center"/>
            </w:pPr>
            <w:r>
              <w:rPr>
                <w:sz w:val="18"/>
              </w:rPr>
              <w:t>5</w:t>
            </w:r>
          </w:p>
        </w:tc>
        <w:tc>
          <w:tcPr>
            <w:tcW w:w="727" w:type="dxa"/>
            <w:tcBorders>
              <w:top w:val="single" w:sz="2" w:space="0" w:color="000000"/>
              <w:left w:val="single" w:sz="12" w:space="0" w:color="000000"/>
              <w:bottom w:val="single" w:sz="4" w:space="0" w:color="000000"/>
              <w:right w:val="single" w:sz="12" w:space="0" w:color="000000"/>
            </w:tcBorders>
            <w:vAlign w:val="center"/>
          </w:tcPr>
          <w:p w14:paraId="387F9F00" w14:textId="22CAA650" w:rsidR="00B56D50" w:rsidRDefault="001C3C42" w:rsidP="001E0DA8">
            <w:pPr>
              <w:spacing w:after="0" w:line="259" w:lineRule="auto"/>
              <w:ind w:left="91" w:right="0" w:firstLine="0"/>
              <w:jc w:val="center"/>
            </w:pPr>
            <w:r>
              <w:rPr>
                <w:sz w:val="18"/>
              </w:rPr>
              <w:t>mg/L</w:t>
            </w:r>
          </w:p>
        </w:tc>
        <w:tc>
          <w:tcPr>
            <w:tcW w:w="635" w:type="dxa"/>
            <w:tcBorders>
              <w:top w:val="single" w:sz="2" w:space="0" w:color="000000"/>
              <w:left w:val="single" w:sz="12" w:space="0" w:color="000000"/>
              <w:bottom w:val="single" w:sz="4" w:space="0" w:color="000000"/>
              <w:right w:val="single" w:sz="12" w:space="0" w:color="000000"/>
            </w:tcBorders>
            <w:vAlign w:val="center"/>
          </w:tcPr>
          <w:p w14:paraId="13038B02" w14:textId="6D0A5C66" w:rsidR="00B56D50" w:rsidRDefault="001C3C42" w:rsidP="001E0DA8">
            <w:pPr>
              <w:spacing w:after="0" w:line="259" w:lineRule="auto"/>
              <w:ind w:left="0" w:right="0" w:firstLine="0"/>
              <w:jc w:val="center"/>
            </w:pPr>
            <w:r>
              <w:rPr>
                <w:sz w:val="18"/>
              </w:rPr>
              <w:t>100</w:t>
            </w:r>
          </w:p>
        </w:tc>
        <w:tc>
          <w:tcPr>
            <w:tcW w:w="819" w:type="dxa"/>
            <w:tcBorders>
              <w:top w:val="single" w:sz="2" w:space="0" w:color="000000"/>
              <w:left w:val="single" w:sz="12" w:space="0" w:color="000000"/>
              <w:bottom w:val="single" w:sz="4" w:space="0" w:color="000000"/>
              <w:right w:val="single" w:sz="12" w:space="0" w:color="000000"/>
            </w:tcBorders>
            <w:vAlign w:val="center"/>
          </w:tcPr>
          <w:p w14:paraId="09F8948F" w14:textId="535B0FFF" w:rsidR="00B56D50" w:rsidRDefault="001C3C42" w:rsidP="001E0DA8">
            <w:pPr>
              <w:spacing w:after="0" w:line="259" w:lineRule="auto"/>
              <w:ind w:left="0" w:right="37" w:firstLine="0"/>
              <w:jc w:val="center"/>
            </w:pPr>
            <w:r>
              <w:rPr>
                <w:sz w:val="18"/>
              </w:rPr>
              <w:t>mg/kg</w:t>
            </w:r>
          </w:p>
        </w:tc>
        <w:tc>
          <w:tcPr>
            <w:tcW w:w="708" w:type="dxa"/>
            <w:tcBorders>
              <w:top w:val="single" w:sz="2" w:space="0" w:color="000000"/>
              <w:left w:val="single" w:sz="12" w:space="0" w:color="000000"/>
              <w:bottom w:val="single" w:sz="4" w:space="0" w:color="000000"/>
              <w:right w:val="single" w:sz="12" w:space="0" w:color="000000"/>
            </w:tcBorders>
            <w:vAlign w:val="center"/>
          </w:tcPr>
          <w:p w14:paraId="2067FAB5" w14:textId="678187AB" w:rsidR="00B56D50" w:rsidRDefault="001C3C42" w:rsidP="001E0DA8">
            <w:pPr>
              <w:spacing w:after="0" w:line="259" w:lineRule="auto"/>
              <w:ind w:left="0" w:right="0" w:firstLine="0"/>
              <w:jc w:val="center"/>
            </w:pPr>
            <w:r>
              <w:rPr>
                <w:sz w:val="18"/>
              </w:rPr>
              <w:t>9056</w:t>
            </w:r>
          </w:p>
        </w:tc>
        <w:tc>
          <w:tcPr>
            <w:tcW w:w="727" w:type="dxa"/>
            <w:tcBorders>
              <w:top w:val="single" w:sz="2" w:space="0" w:color="000000"/>
              <w:left w:val="single" w:sz="12" w:space="0" w:color="000000"/>
              <w:bottom w:val="single" w:sz="4" w:space="0" w:color="000000"/>
              <w:right w:val="single" w:sz="12" w:space="0" w:color="000000"/>
            </w:tcBorders>
            <w:vAlign w:val="center"/>
          </w:tcPr>
          <w:p w14:paraId="5009B38A" w14:textId="6F3EA9BF" w:rsidR="00B56D50" w:rsidRDefault="001C3C42" w:rsidP="001E0DA8">
            <w:pPr>
              <w:spacing w:after="0" w:line="259" w:lineRule="auto"/>
              <w:ind w:left="0" w:right="0" w:firstLine="0"/>
              <w:jc w:val="center"/>
            </w:pPr>
            <w:r>
              <w:rPr>
                <w:sz w:val="18"/>
              </w:rPr>
              <w:t>9035</w:t>
            </w:r>
          </w:p>
        </w:tc>
        <w:tc>
          <w:tcPr>
            <w:tcW w:w="729" w:type="dxa"/>
            <w:tcBorders>
              <w:top w:val="single" w:sz="2" w:space="0" w:color="000000"/>
              <w:left w:val="single" w:sz="12" w:space="0" w:color="000000"/>
              <w:bottom w:val="single" w:sz="4" w:space="0" w:color="000000"/>
              <w:right w:val="single" w:sz="12" w:space="0" w:color="000000"/>
            </w:tcBorders>
            <w:vAlign w:val="center"/>
          </w:tcPr>
          <w:p w14:paraId="1F39A168" w14:textId="5203038A" w:rsidR="00B56D50" w:rsidRDefault="001C3C42" w:rsidP="001E0DA8">
            <w:pPr>
              <w:spacing w:after="0" w:line="259" w:lineRule="auto"/>
              <w:ind w:left="0" w:right="0" w:firstLine="0"/>
              <w:jc w:val="center"/>
            </w:pPr>
            <w:r>
              <w:rPr>
                <w:sz w:val="18"/>
              </w:rPr>
              <w:t>9036</w:t>
            </w:r>
          </w:p>
        </w:tc>
        <w:tc>
          <w:tcPr>
            <w:tcW w:w="637" w:type="dxa"/>
            <w:tcBorders>
              <w:top w:val="single" w:sz="2" w:space="0" w:color="000000"/>
              <w:left w:val="single" w:sz="12" w:space="0" w:color="000000"/>
              <w:bottom w:val="single" w:sz="4" w:space="0" w:color="000000"/>
              <w:right w:val="single" w:sz="12" w:space="0" w:color="000000"/>
            </w:tcBorders>
            <w:vAlign w:val="center"/>
          </w:tcPr>
          <w:p w14:paraId="00F1D852" w14:textId="58ABA869" w:rsidR="00B56D50" w:rsidRDefault="001C3C42" w:rsidP="001E0DA8">
            <w:pPr>
              <w:spacing w:after="0" w:line="259" w:lineRule="auto"/>
              <w:ind w:left="0" w:right="0" w:firstLine="0"/>
              <w:jc w:val="center"/>
            </w:pPr>
            <w:r>
              <w:rPr>
                <w:sz w:val="18"/>
              </w:rPr>
              <w:t>9038</w:t>
            </w:r>
          </w:p>
        </w:tc>
        <w:tc>
          <w:tcPr>
            <w:tcW w:w="991" w:type="dxa"/>
            <w:tcBorders>
              <w:top w:val="single" w:sz="2" w:space="0" w:color="000000"/>
              <w:left w:val="single" w:sz="12" w:space="0" w:color="000000"/>
              <w:bottom w:val="single" w:sz="4" w:space="0" w:color="000000"/>
              <w:right w:val="single" w:sz="12" w:space="0" w:color="000000"/>
            </w:tcBorders>
            <w:vAlign w:val="center"/>
          </w:tcPr>
          <w:p w14:paraId="5904647B" w14:textId="4C68B7D5" w:rsidR="00B56D50" w:rsidRDefault="00B56D50" w:rsidP="001E0DA8">
            <w:pPr>
              <w:spacing w:after="0" w:line="259" w:lineRule="auto"/>
              <w:ind w:left="0" w:right="0" w:firstLine="0"/>
              <w:jc w:val="center"/>
            </w:pPr>
          </w:p>
        </w:tc>
      </w:tr>
      <w:tr w:rsidR="00B56D50" w14:paraId="71283743" w14:textId="77777777" w:rsidTr="00467372">
        <w:trPr>
          <w:trHeight w:val="218"/>
        </w:trPr>
        <w:tc>
          <w:tcPr>
            <w:tcW w:w="2828" w:type="dxa"/>
            <w:tcBorders>
              <w:top w:val="single" w:sz="4" w:space="0" w:color="000000"/>
              <w:left w:val="single" w:sz="12" w:space="0" w:color="000000"/>
              <w:bottom w:val="single" w:sz="4" w:space="0" w:color="000000"/>
              <w:right w:val="single" w:sz="12" w:space="0" w:color="000000"/>
            </w:tcBorders>
            <w:vAlign w:val="center"/>
          </w:tcPr>
          <w:p w14:paraId="59073738" w14:textId="18292F70" w:rsidR="00B56D50" w:rsidRDefault="001C3C42" w:rsidP="00736903">
            <w:pPr>
              <w:spacing w:after="0" w:line="259" w:lineRule="auto"/>
              <w:ind w:left="0" w:right="0" w:firstLine="0"/>
            </w:pPr>
            <w:r>
              <w:rPr>
                <w:sz w:val="18"/>
              </w:rPr>
              <w:t xml:space="preserve">Residue, Filterable (TDS) </w:t>
            </w:r>
          </w:p>
        </w:tc>
        <w:tc>
          <w:tcPr>
            <w:tcW w:w="1092" w:type="dxa"/>
            <w:tcBorders>
              <w:top w:val="single" w:sz="4" w:space="0" w:color="000000"/>
              <w:left w:val="single" w:sz="12" w:space="0" w:color="000000"/>
              <w:bottom w:val="single" w:sz="4" w:space="0" w:color="000000"/>
              <w:right w:val="single" w:sz="12" w:space="0" w:color="000000"/>
            </w:tcBorders>
            <w:vAlign w:val="center"/>
          </w:tcPr>
          <w:p w14:paraId="04DE44BA" w14:textId="1DAF38E7" w:rsidR="00B56D50" w:rsidRDefault="001C3C42" w:rsidP="001E0DA8">
            <w:pPr>
              <w:spacing w:after="0" w:line="259" w:lineRule="auto"/>
              <w:ind w:left="0" w:right="0" w:firstLine="0"/>
              <w:jc w:val="center"/>
            </w:pPr>
            <w:r>
              <w:rPr>
                <w:sz w:val="18"/>
              </w:rPr>
              <w:t>N/A</w:t>
            </w:r>
          </w:p>
        </w:tc>
        <w:tc>
          <w:tcPr>
            <w:tcW w:w="727" w:type="dxa"/>
            <w:tcBorders>
              <w:top w:val="single" w:sz="4" w:space="0" w:color="000000"/>
              <w:left w:val="single" w:sz="12" w:space="0" w:color="000000"/>
              <w:bottom w:val="single" w:sz="4" w:space="0" w:color="000000"/>
              <w:right w:val="single" w:sz="12" w:space="0" w:color="000000"/>
            </w:tcBorders>
            <w:vAlign w:val="center"/>
          </w:tcPr>
          <w:p w14:paraId="5DFF3DD4" w14:textId="4FEEA64A" w:rsidR="00B56D50" w:rsidRDefault="001C3C42" w:rsidP="001E0DA8">
            <w:pPr>
              <w:spacing w:after="0" w:line="259" w:lineRule="auto"/>
              <w:ind w:left="0" w:right="0" w:firstLine="0"/>
              <w:jc w:val="center"/>
            </w:pPr>
            <w:r>
              <w:rPr>
                <w:sz w:val="18"/>
              </w:rPr>
              <w:t>20</w:t>
            </w:r>
          </w:p>
        </w:tc>
        <w:tc>
          <w:tcPr>
            <w:tcW w:w="727" w:type="dxa"/>
            <w:tcBorders>
              <w:top w:val="single" w:sz="4" w:space="0" w:color="000000"/>
              <w:left w:val="single" w:sz="12" w:space="0" w:color="000000"/>
              <w:bottom w:val="single" w:sz="4" w:space="0" w:color="000000"/>
              <w:right w:val="single" w:sz="12" w:space="0" w:color="000000"/>
            </w:tcBorders>
            <w:vAlign w:val="center"/>
          </w:tcPr>
          <w:p w14:paraId="23F3D8F1" w14:textId="68615199" w:rsidR="00B56D50" w:rsidRDefault="001C3C42" w:rsidP="001E0DA8">
            <w:pPr>
              <w:spacing w:after="0" w:line="259" w:lineRule="auto"/>
              <w:ind w:left="91" w:right="0" w:firstLine="0"/>
              <w:jc w:val="center"/>
            </w:pPr>
            <w:r>
              <w:rPr>
                <w:sz w:val="18"/>
              </w:rPr>
              <w:t>mg/L</w:t>
            </w:r>
          </w:p>
        </w:tc>
        <w:tc>
          <w:tcPr>
            <w:tcW w:w="635" w:type="dxa"/>
            <w:tcBorders>
              <w:top w:val="single" w:sz="4" w:space="0" w:color="000000"/>
              <w:left w:val="single" w:sz="12" w:space="0" w:color="000000"/>
              <w:bottom w:val="single" w:sz="4" w:space="0" w:color="000000"/>
              <w:right w:val="single" w:sz="12" w:space="0" w:color="000000"/>
            </w:tcBorders>
            <w:vAlign w:val="center"/>
          </w:tcPr>
          <w:p w14:paraId="5CD650BE" w14:textId="41879B7B" w:rsidR="00B56D50" w:rsidRDefault="001C3C42" w:rsidP="001E0DA8">
            <w:pPr>
              <w:spacing w:after="0" w:line="259" w:lineRule="auto"/>
              <w:ind w:left="89" w:right="0" w:firstLine="0"/>
              <w:jc w:val="center"/>
            </w:pPr>
            <w:r>
              <w:rPr>
                <w:sz w:val="18"/>
              </w:rPr>
              <w:t>N/A</w:t>
            </w:r>
          </w:p>
        </w:tc>
        <w:tc>
          <w:tcPr>
            <w:tcW w:w="819" w:type="dxa"/>
            <w:tcBorders>
              <w:top w:val="single" w:sz="4" w:space="0" w:color="000000"/>
              <w:left w:val="single" w:sz="12" w:space="0" w:color="000000"/>
              <w:bottom w:val="single" w:sz="4" w:space="0" w:color="000000"/>
              <w:right w:val="single" w:sz="12" w:space="0" w:color="000000"/>
            </w:tcBorders>
            <w:vAlign w:val="center"/>
          </w:tcPr>
          <w:p w14:paraId="24E475E5" w14:textId="78845802" w:rsidR="00B56D50" w:rsidRDefault="001C3C42" w:rsidP="001E0DA8">
            <w:pPr>
              <w:spacing w:after="0" w:line="259" w:lineRule="auto"/>
              <w:ind w:left="0" w:right="37" w:firstLine="0"/>
              <w:jc w:val="center"/>
            </w:pPr>
            <w:r>
              <w:rPr>
                <w:sz w:val="18"/>
              </w:rPr>
              <w:t>N/A</w:t>
            </w:r>
          </w:p>
        </w:tc>
        <w:tc>
          <w:tcPr>
            <w:tcW w:w="708" w:type="dxa"/>
            <w:tcBorders>
              <w:top w:val="single" w:sz="4" w:space="0" w:color="000000"/>
              <w:left w:val="single" w:sz="12" w:space="0" w:color="000000"/>
              <w:bottom w:val="single" w:sz="4" w:space="0" w:color="000000"/>
              <w:right w:val="single" w:sz="12" w:space="0" w:color="000000"/>
            </w:tcBorders>
            <w:vAlign w:val="center"/>
          </w:tcPr>
          <w:p w14:paraId="6B8BA91B" w14:textId="0831477B" w:rsidR="00B56D50" w:rsidRDefault="001C3C42" w:rsidP="001E0DA8">
            <w:pPr>
              <w:spacing w:after="0" w:line="259" w:lineRule="auto"/>
              <w:ind w:left="0" w:right="0" w:firstLine="0"/>
              <w:jc w:val="center"/>
            </w:pPr>
            <w:r>
              <w:rPr>
                <w:sz w:val="18"/>
              </w:rPr>
              <w:t>2540C</w:t>
            </w:r>
            <w:r w:rsidR="00FF435C">
              <w:rPr>
                <w:sz w:val="18"/>
              </w:rPr>
              <w:t xml:space="preserve"> </w:t>
            </w:r>
            <w:r w:rsidR="007E39F4" w:rsidRPr="00025637">
              <w:rPr>
                <w:b/>
                <w:bCs/>
                <w:sz w:val="18"/>
                <w:vertAlign w:val="superscript"/>
              </w:rPr>
              <w:t>9</w:t>
            </w:r>
          </w:p>
        </w:tc>
        <w:tc>
          <w:tcPr>
            <w:tcW w:w="727" w:type="dxa"/>
            <w:tcBorders>
              <w:top w:val="single" w:sz="4" w:space="0" w:color="000000"/>
              <w:left w:val="single" w:sz="12" w:space="0" w:color="000000"/>
              <w:bottom w:val="single" w:sz="4" w:space="0" w:color="000000"/>
              <w:right w:val="single" w:sz="12" w:space="0" w:color="000000"/>
            </w:tcBorders>
            <w:vAlign w:val="center"/>
          </w:tcPr>
          <w:p w14:paraId="67E3659F" w14:textId="658FEBCF" w:rsidR="00B56D50" w:rsidRDefault="00B56D50" w:rsidP="001E0DA8">
            <w:pPr>
              <w:spacing w:after="0" w:line="259" w:lineRule="auto"/>
              <w:ind w:left="0" w:right="0" w:firstLine="0"/>
              <w:jc w:val="center"/>
            </w:pPr>
          </w:p>
        </w:tc>
        <w:tc>
          <w:tcPr>
            <w:tcW w:w="729" w:type="dxa"/>
            <w:tcBorders>
              <w:top w:val="single" w:sz="4" w:space="0" w:color="000000"/>
              <w:left w:val="single" w:sz="12" w:space="0" w:color="000000"/>
              <w:bottom w:val="single" w:sz="4" w:space="0" w:color="000000"/>
              <w:right w:val="single" w:sz="12" w:space="0" w:color="000000"/>
            </w:tcBorders>
            <w:vAlign w:val="center"/>
          </w:tcPr>
          <w:p w14:paraId="19BE657F" w14:textId="5D5651E5" w:rsidR="00B56D50" w:rsidRDefault="00B56D50" w:rsidP="001E0DA8">
            <w:pPr>
              <w:spacing w:after="0" w:line="259" w:lineRule="auto"/>
              <w:ind w:left="0" w:right="0" w:firstLine="0"/>
              <w:jc w:val="center"/>
            </w:pPr>
          </w:p>
        </w:tc>
        <w:tc>
          <w:tcPr>
            <w:tcW w:w="637" w:type="dxa"/>
            <w:tcBorders>
              <w:top w:val="single" w:sz="4" w:space="0" w:color="000000"/>
              <w:left w:val="single" w:sz="12" w:space="0" w:color="000000"/>
              <w:bottom w:val="single" w:sz="4" w:space="0" w:color="000000"/>
              <w:right w:val="single" w:sz="12" w:space="0" w:color="000000"/>
            </w:tcBorders>
            <w:vAlign w:val="center"/>
          </w:tcPr>
          <w:p w14:paraId="38487FB8" w14:textId="53909508" w:rsidR="00B56D50" w:rsidRDefault="00B56D50" w:rsidP="001E0DA8">
            <w:pPr>
              <w:spacing w:after="0" w:line="259" w:lineRule="auto"/>
              <w:ind w:left="0" w:right="0" w:firstLine="0"/>
              <w:jc w:val="center"/>
            </w:pPr>
          </w:p>
        </w:tc>
        <w:tc>
          <w:tcPr>
            <w:tcW w:w="991" w:type="dxa"/>
            <w:tcBorders>
              <w:top w:val="single" w:sz="4" w:space="0" w:color="000000"/>
              <w:left w:val="single" w:sz="12" w:space="0" w:color="000000"/>
              <w:bottom w:val="single" w:sz="4" w:space="0" w:color="000000"/>
              <w:right w:val="single" w:sz="12" w:space="0" w:color="000000"/>
            </w:tcBorders>
            <w:vAlign w:val="center"/>
          </w:tcPr>
          <w:p w14:paraId="505893BA" w14:textId="6CB241C0" w:rsidR="00B56D50" w:rsidRDefault="00B56D50" w:rsidP="001E0DA8">
            <w:pPr>
              <w:spacing w:after="0" w:line="259" w:lineRule="auto"/>
              <w:ind w:left="0" w:right="0" w:firstLine="0"/>
              <w:jc w:val="center"/>
            </w:pPr>
          </w:p>
        </w:tc>
      </w:tr>
      <w:tr w:rsidR="00B56D50" w14:paraId="55CE9B11" w14:textId="77777777" w:rsidTr="00467372">
        <w:trPr>
          <w:trHeight w:val="302"/>
        </w:trPr>
        <w:tc>
          <w:tcPr>
            <w:tcW w:w="2828" w:type="dxa"/>
            <w:tcBorders>
              <w:top w:val="single" w:sz="4" w:space="0" w:color="000000"/>
              <w:left w:val="single" w:sz="12" w:space="0" w:color="000000"/>
              <w:bottom w:val="single" w:sz="12" w:space="0" w:color="000000"/>
              <w:right w:val="single" w:sz="12" w:space="0" w:color="000000"/>
            </w:tcBorders>
            <w:vAlign w:val="center"/>
          </w:tcPr>
          <w:p w14:paraId="2EDCE660" w14:textId="18E93ED4" w:rsidR="00B56D50" w:rsidRDefault="001C3C42" w:rsidP="00736903">
            <w:pPr>
              <w:spacing w:after="0" w:line="259" w:lineRule="auto"/>
              <w:ind w:left="0" w:right="0" w:firstLine="0"/>
            </w:pPr>
            <w:r>
              <w:rPr>
                <w:sz w:val="18"/>
              </w:rPr>
              <w:t xml:space="preserve">Residue, Total (TS) </w:t>
            </w:r>
          </w:p>
        </w:tc>
        <w:tc>
          <w:tcPr>
            <w:tcW w:w="1092" w:type="dxa"/>
            <w:tcBorders>
              <w:top w:val="single" w:sz="4" w:space="0" w:color="000000"/>
              <w:left w:val="single" w:sz="12" w:space="0" w:color="000000"/>
              <w:bottom w:val="single" w:sz="12" w:space="0" w:color="000000"/>
              <w:right w:val="single" w:sz="12" w:space="0" w:color="000000"/>
            </w:tcBorders>
            <w:vAlign w:val="center"/>
          </w:tcPr>
          <w:p w14:paraId="6B7EAD0A" w14:textId="6626AB0A" w:rsidR="00B56D50" w:rsidRDefault="001C3C42" w:rsidP="001E0DA8">
            <w:pPr>
              <w:spacing w:after="0" w:line="259" w:lineRule="auto"/>
              <w:ind w:left="0" w:right="0" w:firstLine="0"/>
              <w:jc w:val="center"/>
            </w:pPr>
            <w:r>
              <w:rPr>
                <w:sz w:val="18"/>
              </w:rPr>
              <w:t>N/A</w:t>
            </w:r>
          </w:p>
        </w:tc>
        <w:tc>
          <w:tcPr>
            <w:tcW w:w="727" w:type="dxa"/>
            <w:tcBorders>
              <w:top w:val="single" w:sz="4" w:space="0" w:color="000000"/>
              <w:left w:val="single" w:sz="12" w:space="0" w:color="000000"/>
              <w:bottom w:val="single" w:sz="12" w:space="0" w:color="000000"/>
              <w:right w:val="single" w:sz="12" w:space="0" w:color="000000"/>
            </w:tcBorders>
            <w:vAlign w:val="center"/>
          </w:tcPr>
          <w:p w14:paraId="75C1535D" w14:textId="4FF59385" w:rsidR="00B56D50" w:rsidRDefault="001C3C42" w:rsidP="001E0DA8">
            <w:pPr>
              <w:spacing w:after="0" w:line="259" w:lineRule="auto"/>
              <w:ind w:left="0" w:right="0" w:firstLine="0"/>
              <w:jc w:val="center"/>
            </w:pPr>
            <w:r>
              <w:rPr>
                <w:sz w:val="18"/>
              </w:rPr>
              <w:t>20</w:t>
            </w:r>
          </w:p>
        </w:tc>
        <w:tc>
          <w:tcPr>
            <w:tcW w:w="727" w:type="dxa"/>
            <w:tcBorders>
              <w:top w:val="single" w:sz="4" w:space="0" w:color="000000"/>
              <w:left w:val="single" w:sz="12" w:space="0" w:color="000000"/>
              <w:bottom w:val="single" w:sz="12" w:space="0" w:color="000000"/>
              <w:right w:val="single" w:sz="12" w:space="0" w:color="000000"/>
            </w:tcBorders>
            <w:vAlign w:val="center"/>
          </w:tcPr>
          <w:p w14:paraId="14A80502" w14:textId="0D914788" w:rsidR="00B56D50" w:rsidRDefault="001C3C42" w:rsidP="001E0DA8">
            <w:pPr>
              <w:spacing w:after="0" w:line="259" w:lineRule="auto"/>
              <w:ind w:left="91" w:right="0" w:firstLine="0"/>
              <w:jc w:val="center"/>
            </w:pPr>
            <w:r>
              <w:rPr>
                <w:sz w:val="18"/>
              </w:rPr>
              <w:t>mg/L</w:t>
            </w:r>
          </w:p>
        </w:tc>
        <w:tc>
          <w:tcPr>
            <w:tcW w:w="635" w:type="dxa"/>
            <w:tcBorders>
              <w:top w:val="single" w:sz="4" w:space="0" w:color="000000"/>
              <w:left w:val="single" w:sz="12" w:space="0" w:color="000000"/>
              <w:bottom w:val="single" w:sz="12" w:space="0" w:color="000000"/>
              <w:right w:val="single" w:sz="12" w:space="0" w:color="000000"/>
            </w:tcBorders>
            <w:vAlign w:val="center"/>
          </w:tcPr>
          <w:p w14:paraId="0CD4D8B3" w14:textId="0A64A337" w:rsidR="00B56D50" w:rsidRDefault="001C3C42" w:rsidP="001E0DA8">
            <w:pPr>
              <w:spacing w:after="0" w:line="259" w:lineRule="auto"/>
              <w:ind w:left="89" w:right="0" w:firstLine="0"/>
              <w:jc w:val="center"/>
            </w:pPr>
            <w:r>
              <w:rPr>
                <w:sz w:val="18"/>
              </w:rPr>
              <w:t>N/A</w:t>
            </w:r>
          </w:p>
        </w:tc>
        <w:tc>
          <w:tcPr>
            <w:tcW w:w="819" w:type="dxa"/>
            <w:tcBorders>
              <w:top w:val="single" w:sz="4" w:space="0" w:color="000000"/>
              <w:left w:val="single" w:sz="12" w:space="0" w:color="000000"/>
              <w:bottom w:val="single" w:sz="12" w:space="0" w:color="000000"/>
              <w:right w:val="single" w:sz="12" w:space="0" w:color="000000"/>
            </w:tcBorders>
            <w:vAlign w:val="center"/>
          </w:tcPr>
          <w:p w14:paraId="5C89FCA1" w14:textId="1971EBB9" w:rsidR="00B56D50" w:rsidRDefault="001C3C42" w:rsidP="001E0DA8">
            <w:pPr>
              <w:spacing w:after="0" w:line="259" w:lineRule="auto"/>
              <w:ind w:left="0" w:right="37" w:firstLine="0"/>
              <w:jc w:val="center"/>
            </w:pPr>
            <w:r>
              <w:rPr>
                <w:sz w:val="18"/>
              </w:rPr>
              <w:t>N/A</w:t>
            </w:r>
          </w:p>
        </w:tc>
        <w:tc>
          <w:tcPr>
            <w:tcW w:w="708" w:type="dxa"/>
            <w:tcBorders>
              <w:top w:val="single" w:sz="4" w:space="0" w:color="000000"/>
              <w:left w:val="single" w:sz="12" w:space="0" w:color="000000"/>
              <w:bottom w:val="single" w:sz="12" w:space="0" w:color="000000"/>
              <w:right w:val="single" w:sz="12" w:space="0" w:color="000000"/>
            </w:tcBorders>
            <w:vAlign w:val="center"/>
          </w:tcPr>
          <w:p w14:paraId="34AD8FC5" w14:textId="426CDE57" w:rsidR="00B56D50" w:rsidRDefault="001C3C42" w:rsidP="001E0DA8">
            <w:pPr>
              <w:spacing w:after="0" w:line="259" w:lineRule="auto"/>
              <w:ind w:left="0" w:right="0" w:firstLine="0"/>
              <w:jc w:val="center"/>
            </w:pPr>
            <w:r>
              <w:rPr>
                <w:sz w:val="18"/>
              </w:rPr>
              <w:t>2540B</w:t>
            </w:r>
            <w:r w:rsidR="00FF435C">
              <w:rPr>
                <w:sz w:val="18"/>
              </w:rPr>
              <w:t xml:space="preserve"> </w:t>
            </w:r>
            <w:r w:rsidR="007E39F4" w:rsidRPr="00FF435C">
              <w:rPr>
                <w:b/>
                <w:bCs/>
                <w:sz w:val="18"/>
                <w:vertAlign w:val="superscript"/>
              </w:rPr>
              <w:t>9</w:t>
            </w:r>
          </w:p>
        </w:tc>
        <w:tc>
          <w:tcPr>
            <w:tcW w:w="727" w:type="dxa"/>
            <w:tcBorders>
              <w:top w:val="single" w:sz="4" w:space="0" w:color="000000"/>
              <w:left w:val="single" w:sz="12" w:space="0" w:color="000000"/>
              <w:bottom w:val="single" w:sz="12" w:space="0" w:color="000000"/>
              <w:right w:val="single" w:sz="12" w:space="0" w:color="000000"/>
            </w:tcBorders>
            <w:vAlign w:val="center"/>
          </w:tcPr>
          <w:p w14:paraId="017145E6" w14:textId="659A8A0B" w:rsidR="00B56D50" w:rsidRDefault="00B56D50" w:rsidP="001E0DA8">
            <w:pPr>
              <w:spacing w:after="0" w:line="259" w:lineRule="auto"/>
              <w:ind w:left="0" w:right="0" w:firstLine="0"/>
              <w:jc w:val="center"/>
            </w:pPr>
          </w:p>
        </w:tc>
        <w:tc>
          <w:tcPr>
            <w:tcW w:w="729" w:type="dxa"/>
            <w:tcBorders>
              <w:top w:val="single" w:sz="4" w:space="0" w:color="000000"/>
              <w:left w:val="single" w:sz="12" w:space="0" w:color="000000"/>
              <w:bottom w:val="single" w:sz="12" w:space="0" w:color="000000"/>
              <w:right w:val="single" w:sz="12" w:space="0" w:color="000000"/>
            </w:tcBorders>
            <w:vAlign w:val="center"/>
          </w:tcPr>
          <w:p w14:paraId="7193270C" w14:textId="74AEAB0C" w:rsidR="00B56D50" w:rsidRDefault="00B56D50" w:rsidP="001E0DA8">
            <w:pPr>
              <w:spacing w:after="0" w:line="259" w:lineRule="auto"/>
              <w:ind w:left="0" w:right="0" w:firstLine="0"/>
              <w:jc w:val="center"/>
            </w:pPr>
          </w:p>
        </w:tc>
        <w:tc>
          <w:tcPr>
            <w:tcW w:w="637" w:type="dxa"/>
            <w:tcBorders>
              <w:top w:val="single" w:sz="4" w:space="0" w:color="000000"/>
              <w:left w:val="single" w:sz="12" w:space="0" w:color="000000"/>
              <w:bottom w:val="single" w:sz="12" w:space="0" w:color="000000"/>
              <w:right w:val="single" w:sz="12" w:space="0" w:color="000000"/>
            </w:tcBorders>
            <w:vAlign w:val="center"/>
          </w:tcPr>
          <w:p w14:paraId="354DF4CB" w14:textId="6BE4F081" w:rsidR="00B56D50" w:rsidRDefault="00B56D50" w:rsidP="001E0DA8">
            <w:pPr>
              <w:spacing w:after="0" w:line="259" w:lineRule="auto"/>
              <w:ind w:left="0" w:right="0" w:firstLine="0"/>
              <w:jc w:val="center"/>
            </w:pPr>
          </w:p>
        </w:tc>
        <w:tc>
          <w:tcPr>
            <w:tcW w:w="991" w:type="dxa"/>
            <w:tcBorders>
              <w:top w:val="single" w:sz="4" w:space="0" w:color="000000"/>
              <w:left w:val="single" w:sz="12" w:space="0" w:color="000000"/>
              <w:bottom w:val="single" w:sz="12" w:space="0" w:color="000000"/>
              <w:right w:val="single" w:sz="12" w:space="0" w:color="000000"/>
            </w:tcBorders>
            <w:vAlign w:val="center"/>
          </w:tcPr>
          <w:p w14:paraId="0AB4D150" w14:textId="48EB7C86" w:rsidR="00B56D50" w:rsidRDefault="00B56D50" w:rsidP="001E0DA8">
            <w:pPr>
              <w:spacing w:after="0" w:line="259" w:lineRule="auto"/>
              <w:ind w:left="0" w:right="0" w:firstLine="0"/>
              <w:jc w:val="center"/>
            </w:pPr>
          </w:p>
        </w:tc>
      </w:tr>
    </w:tbl>
    <w:p w14:paraId="339A3A74" w14:textId="77777777" w:rsidR="00F43092" w:rsidRDefault="00F43092">
      <w:pPr>
        <w:spacing w:after="0" w:line="259" w:lineRule="auto"/>
        <w:ind w:left="0" w:right="0" w:firstLine="0"/>
      </w:pPr>
    </w:p>
    <w:tbl>
      <w:tblPr>
        <w:tblStyle w:val="TableGrid1"/>
        <w:tblW w:w="10620" w:type="dxa"/>
        <w:tblInd w:w="-375" w:type="dxa"/>
        <w:tblBorders>
          <w:top w:val="single" w:sz="12" w:space="0" w:color="000000"/>
          <w:left w:val="single" w:sz="12" w:space="0" w:color="000000"/>
          <w:bottom w:val="single" w:sz="12" w:space="0" w:color="000000"/>
          <w:right w:val="single" w:sz="12" w:space="0" w:color="000000"/>
          <w:insideH w:val="single" w:sz="6" w:space="0" w:color="000000"/>
          <w:insideV w:val="single" w:sz="12" w:space="0" w:color="000000"/>
        </w:tblBorders>
        <w:tblCellMar>
          <w:top w:w="6" w:type="dxa"/>
          <w:left w:w="72" w:type="dxa"/>
          <w:right w:w="80" w:type="dxa"/>
        </w:tblCellMar>
        <w:tblLook w:val="04A0" w:firstRow="1" w:lastRow="0" w:firstColumn="1" w:lastColumn="0" w:noHBand="0" w:noVBand="1"/>
      </w:tblPr>
      <w:tblGrid>
        <w:gridCol w:w="2989"/>
        <w:gridCol w:w="1134"/>
        <w:gridCol w:w="565"/>
        <w:gridCol w:w="755"/>
        <w:gridCol w:w="567"/>
        <w:gridCol w:w="753"/>
        <w:gridCol w:w="1050"/>
        <w:gridCol w:w="862"/>
        <w:gridCol w:w="750"/>
        <w:gridCol w:w="753"/>
        <w:gridCol w:w="442"/>
      </w:tblGrid>
      <w:tr w:rsidR="00C82D2A" w14:paraId="51F285D9" w14:textId="77777777" w:rsidTr="00467372">
        <w:trPr>
          <w:trHeight w:val="432"/>
        </w:trPr>
        <w:tc>
          <w:tcPr>
            <w:tcW w:w="10620" w:type="dxa"/>
            <w:gridSpan w:val="11"/>
            <w:tcBorders>
              <w:top w:val="single" w:sz="12" w:space="0" w:color="000000"/>
              <w:bottom w:val="single" w:sz="12" w:space="0" w:color="000000"/>
            </w:tcBorders>
            <w:vAlign w:val="center"/>
          </w:tcPr>
          <w:p w14:paraId="5AE9AF2F" w14:textId="3BDD3EDF" w:rsidR="00C82D2A" w:rsidRDefault="00C82D2A" w:rsidP="00926D8B">
            <w:pPr>
              <w:spacing w:after="0" w:line="259" w:lineRule="auto"/>
              <w:ind w:left="0" w:right="0" w:firstLine="0"/>
            </w:pPr>
            <w:r>
              <w:rPr>
                <w:b/>
                <w:sz w:val="18"/>
              </w:rPr>
              <w:t>GENERAL CHEMISTRY – Group C</w:t>
            </w:r>
            <w:r w:rsidRPr="00EB3E70">
              <w:rPr>
                <w:b/>
                <w:sz w:val="18"/>
              </w:rPr>
              <w:t>:</w:t>
            </w:r>
            <w:r w:rsidRPr="000A501E">
              <w:rPr>
                <w:b/>
                <w:sz w:val="18"/>
              </w:rPr>
              <w:t xml:space="preserve">  Additional Ground Water Indicator Parameters</w:t>
            </w:r>
            <w:r>
              <w:rPr>
                <w:sz w:val="18"/>
              </w:rPr>
              <w:t xml:space="preserve"> </w:t>
            </w:r>
          </w:p>
        </w:tc>
      </w:tr>
      <w:tr w:rsidR="00C84A5D" w14:paraId="468E94FC" w14:textId="77777777" w:rsidTr="00467372">
        <w:trPr>
          <w:trHeight w:val="271"/>
        </w:trPr>
        <w:tc>
          <w:tcPr>
            <w:tcW w:w="2989" w:type="dxa"/>
            <w:vMerge w:val="restart"/>
            <w:tcBorders>
              <w:top w:val="single" w:sz="12" w:space="0" w:color="000000"/>
              <w:bottom w:val="single" w:sz="12" w:space="0" w:color="000000"/>
            </w:tcBorders>
            <w:vAlign w:val="center"/>
          </w:tcPr>
          <w:p w14:paraId="587B6543" w14:textId="6E246D55" w:rsidR="00D46EE4" w:rsidRDefault="00D46EE4" w:rsidP="003A409E">
            <w:pPr>
              <w:spacing w:after="0" w:line="259" w:lineRule="auto"/>
              <w:ind w:left="53" w:right="0" w:firstLine="0"/>
              <w:jc w:val="center"/>
            </w:pPr>
            <w:r>
              <w:rPr>
                <w:b/>
                <w:sz w:val="18"/>
              </w:rPr>
              <w:t>Analyte</w:t>
            </w:r>
          </w:p>
        </w:tc>
        <w:tc>
          <w:tcPr>
            <w:tcW w:w="1134" w:type="dxa"/>
            <w:vMerge w:val="restart"/>
            <w:tcBorders>
              <w:top w:val="single" w:sz="12" w:space="0" w:color="000000"/>
              <w:bottom w:val="single" w:sz="12" w:space="0" w:color="000000"/>
            </w:tcBorders>
            <w:vAlign w:val="center"/>
          </w:tcPr>
          <w:p w14:paraId="10E8A8E3" w14:textId="31FDB3C6" w:rsidR="00D46EE4" w:rsidRDefault="00D46EE4" w:rsidP="003A409E">
            <w:pPr>
              <w:spacing w:after="0" w:line="259" w:lineRule="auto"/>
              <w:ind w:left="0" w:right="0" w:firstLine="0"/>
              <w:jc w:val="center"/>
            </w:pPr>
            <w:r>
              <w:rPr>
                <w:b/>
                <w:sz w:val="18"/>
              </w:rPr>
              <w:t>CAS Number</w:t>
            </w:r>
          </w:p>
        </w:tc>
        <w:tc>
          <w:tcPr>
            <w:tcW w:w="1320" w:type="dxa"/>
            <w:gridSpan w:val="2"/>
            <w:tcBorders>
              <w:top w:val="single" w:sz="12" w:space="0" w:color="000000"/>
              <w:bottom w:val="single" w:sz="12" w:space="0" w:color="000000"/>
            </w:tcBorders>
            <w:vAlign w:val="center"/>
          </w:tcPr>
          <w:p w14:paraId="48A3D55F" w14:textId="6CE685F3" w:rsidR="00D46EE4" w:rsidRDefault="00D46EE4" w:rsidP="003A409E">
            <w:pPr>
              <w:spacing w:after="0" w:line="259" w:lineRule="auto"/>
              <w:ind w:left="6" w:right="0" w:firstLine="0"/>
              <w:jc w:val="center"/>
            </w:pPr>
            <w:r>
              <w:rPr>
                <w:b/>
                <w:sz w:val="18"/>
              </w:rPr>
              <w:t>Aqueous</w:t>
            </w:r>
          </w:p>
        </w:tc>
        <w:tc>
          <w:tcPr>
            <w:tcW w:w="1320" w:type="dxa"/>
            <w:gridSpan w:val="2"/>
            <w:tcBorders>
              <w:top w:val="single" w:sz="12" w:space="0" w:color="000000"/>
              <w:bottom w:val="single" w:sz="12" w:space="0" w:color="000000"/>
            </w:tcBorders>
            <w:vAlign w:val="center"/>
          </w:tcPr>
          <w:p w14:paraId="503D6D3C" w14:textId="46665FEC" w:rsidR="00D46EE4" w:rsidRDefault="006B693C" w:rsidP="003A409E">
            <w:pPr>
              <w:spacing w:after="0" w:line="259" w:lineRule="auto"/>
              <w:ind w:left="55" w:right="0" w:firstLine="0"/>
              <w:jc w:val="center"/>
            </w:pPr>
            <w:r>
              <w:rPr>
                <w:b/>
                <w:sz w:val="18"/>
              </w:rPr>
              <w:t>Soil/Sediment</w:t>
            </w:r>
          </w:p>
        </w:tc>
        <w:tc>
          <w:tcPr>
            <w:tcW w:w="3857" w:type="dxa"/>
            <w:gridSpan w:val="5"/>
            <w:vMerge w:val="restart"/>
            <w:tcBorders>
              <w:top w:val="single" w:sz="12" w:space="0" w:color="000000"/>
            </w:tcBorders>
            <w:vAlign w:val="center"/>
          </w:tcPr>
          <w:p w14:paraId="5E38DD4C" w14:textId="50E530E0" w:rsidR="00D46EE4" w:rsidRDefault="00D46EE4" w:rsidP="003A409E">
            <w:pPr>
              <w:spacing w:after="0" w:line="259" w:lineRule="auto"/>
              <w:ind w:left="216" w:right="0" w:firstLine="0"/>
              <w:jc w:val="center"/>
            </w:pPr>
            <w:r>
              <w:rPr>
                <w:b/>
                <w:sz w:val="18"/>
              </w:rPr>
              <w:t>Acceptable Methods</w:t>
            </w:r>
          </w:p>
        </w:tc>
      </w:tr>
      <w:tr w:rsidR="00C84A5D" w14:paraId="264C370F" w14:textId="77777777" w:rsidTr="00467372">
        <w:trPr>
          <w:trHeight w:val="269"/>
        </w:trPr>
        <w:tc>
          <w:tcPr>
            <w:tcW w:w="2989" w:type="dxa"/>
            <w:vMerge/>
            <w:tcBorders>
              <w:top w:val="single" w:sz="12" w:space="0" w:color="000000"/>
              <w:bottom w:val="single" w:sz="12" w:space="0" w:color="000000"/>
            </w:tcBorders>
            <w:vAlign w:val="center"/>
          </w:tcPr>
          <w:p w14:paraId="66F6625C" w14:textId="77777777" w:rsidR="00D46EE4" w:rsidRDefault="00D46EE4" w:rsidP="003A409E">
            <w:pPr>
              <w:spacing w:after="160" w:line="259" w:lineRule="auto"/>
              <w:ind w:left="0" w:right="0" w:firstLine="0"/>
              <w:jc w:val="center"/>
            </w:pPr>
          </w:p>
        </w:tc>
        <w:tc>
          <w:tcPr>
            <w:tcW w:w="0" w:type="auto"/>
            <w:vMerge/>
            <w:tcBorders>
              <w:top w:val="single" w:sz="12" w:space="0" w:color="000000"/>
              <w:bottom w:val="single" w:sz="12" w:space="0" w:color="000000"/>
            </w:tcBorders>
            <w:vAlign w:val="center"/>
          </w:tcPr>
          <w:p w14:paraId="152842F5" w14:textId="77777777" w:rsidR="00D46EE4" w:rsidRDefault="00D46EE4" w:rsidP="003A409E">
            <w:pPr>
              <w:spacing w:after="160" w:line="259" w:lineRule="auto"/>
              <w:ind w:left="0" w:right="0" w:firstLine="0"/>
              <w:jc w:val="center"/>
            </w:pPr>
          </w:p>
        </w:tc>
        <w:tc>
          <w:tcPr>
            <w:tcW w:w="565" w:type="dxa"/>
            <w:tcBorders>
              <w:top w:val="single" w:sz="12" w:space="0" w:color="000000"/>
              <w:bottom w:val="single" w:sz="12" w:space="0" w:color="000000"/>
            </w:tcBorders>
            <w:vAlign w:val="center"/>
          </w:tcPr>
          <w:p w14:paraId="449D7B2F" w14:textId="39B9E093" w:rsidR="00D46EE4" w:rsidRDefault="00D46EE4" w:rsidP="003A409E">
            <w:pPr>
              <w:spacing w:after="0" w:line="259" w:lineRule="auto"/>
              <w:ind w:left="84" w:right="0" w:firstLine="0"/>
              <w:jc w:val="center"/>
            </w:pPr>
            <w:r>
              <w:rPr>
                <w:b/>
                <w:sz w:val="18"/>
              </w:rPr>
              <w:t>RL</w:t>
            </w:r>
          </w:p>
        </w:tc>
        <w:tc>
          <w:tcPr>
            <w:tcW w:w="755" w:type="dxa"/>
            <w:tcBorders>
              <w:top w:val="single" w:sz="12" w:space="0" w:color="000000"/>
              <w:bottom w:val="single" w:sz="12" w:space="0" w:color="000000"/>
            </w:tcBorders>
            <w:vAlign w:val="center"/>
          </w:tcPr>
          <w:p w14:paraId="688B8D2B" w14:textId="2AE940DE" w:rsidR="00D46EE4" w:rsidRDefault="00D46EE4" w:rsidP="003A409E">
            <w:pPr>
              <w:spacing w:after="0" w:line="259" w:lineRule="auto"/>
              <w:ind w:left="6" w:right="0" w:firstLine="0"/>
              <w:jc w:val="center"/>
            </w:pPr>
            <w:r>
              <w:rPr>
                <w:b/>
                <w:sz w:val="18"/>
              </w:rPr>
              <w:t>units</w:t>
            </w:r>
          </w:p>
        </w:tc>
        <w:tc>
          <w:tcPr>
            <w:tcW w:w="567" w:type="dxa"/>
            <w:tcBorders>
              <w:top w:val="single" w:sz="12" w:space="0" w:color="000000"/>
              <w:bottom w:val="single" w:sz="12" w:space="0" w:color="000000"/>
            </w:tcBorders>
            <w:vAlign w:val="center"/>
          </w:tcPr>
          <w:p w14:paraId="4CB39552" w14:textId="516A59D7" w:rsidR="00D46EE4" w:rsidRDefault="00D46EE4" w:rsidP="003A409E">
            <w:pPr>
              <w:spacing w:after="0" w:line="259" w:lineRule="auto"/>
              <w:ind w:left="84" w:right="0" w:firstLine="0"/>
              <w:jc w:val="center"/>
            </w:pPr>
            <w:r>
              <w:rPr>
                <w:b/>
                <w:sz w:val="18"/>
              </w:rPr>
              <w:t>RL</w:t>
            </w:r>
          </w:p>
        </w:tc>
        <w:tc>
          <w:tcPr>
            <w:tcW w:w="753" w:type="dxa"/>
            <w:tcBorders>
              <w:top w:val="single" w:sz="12" w:space="0" w:color="000000"/>
              <w:bottom w:val="single" w:sz="12" w:space="0" w:color="000000"/>
            </w:tcBorders>
            <w:vAlign w:val="center"/>
          </w:tcPr>
          <w:p w14:paraId="20743771" w14:textId="78057B19" w:rsidR="00D46EE4" w:rsidRDefault="00D46EE4" w:rsidP="003A409E">
            <w:pPr>
              <w:spacing w:after="0" w:line="259" w:lineRule="auto"/>
              <w:ind w:left="8" w:right="0" w:firstLine="0"/>
              <w:jc w:val="center"/>
            </w:pPr>
            <w:r>
              <w:rPr>
                <w:b/>
                <w:sz w:val="18"/>
              </w:rPr>
              <w:t>units</w:t>
            </w:r>
          </w:p>
        </w:tc>
        <w:tc>
          <w:tcPr>
            <w:tcW w:w="3857" w:type="dxa"/>
            <w:gridSpan w:val="5"/>
            <w:vMerge/>
            <w:tcBorders>
              <w:bottom w:val="single" w:sz="12" w:space="0" w:color="000000"/>
            </w:tcBorders>
            <w:vAlign w:val="center"/>
          </w:tcPr>
          <w:p w14:paraId="307F7F87" w14:textId="77777777" w:rsidR="00D46EE4" w:rsidRDefault="00D46EE4" w:rsidP="003A409E">
            <w:pPr>
              <w:spacing w:after="160" w:line="259" w:lineRule="auto"/>
              <w:ind w:left="0" w:right="0" w:firstLine="0"/>
              <w:jc w:val="center"/>
            </w:pPr>
          </w:p>
        </w:tc>
      </w:tr>
      <w:tr w:rsidR="00B56D50" w14:paraId="6A6251DB" w14:textId="77777777" w:rsidTr="00467372">
        <w:trPr>
          <w:trHeight w:val="262"/>
        </w:trPr>
        <w:tc>
          <w:tcPr>
            <w:tcW w:w="2989" w:type="dxa"/>
            <w:tcBorders>
              <w:top w:val="single" w:sz="12" w:space="0" w:color="000000"/>
            </w:tcBorders>
            <w:vAlign w:val="center"/>
          </w:tcPr>
          <w:p w14:paraId="54E90C32" w14:textId="0AEF9053" w:rsidR="00B56D50" w:rsidRDefault="001C3C42" w:rsidP="001E0DA8">
            <w:pPr>
              <w:spacing w:after="0" w:line="259" w:lineRule="auto"/>
              <w:ind w:left="0" w:right="0" w:firstLine="0"/>
            </w:pPr>
            <w:r>
              <w:rPr>
                <w:sz w:val="18"/>
              </w:rPr>
              <w:t>Alkalinity</w:t>
            </w:r>
            <w:r>
              <w:rPr>
                <w:sz w:val="18"/>
                <w:vertAlign w:val="superscript"/>
              </w:rPr>
              <w:t xml:space="preserve"> </w:t>
            </w:r>
            <w:r>
              <w:rPr>
                <w:sz w:val="18"/>
              </w:rPr>
              <w:t>(as CaCO</w:t>
            </w:r>
            <w:r>
              <w:rPr>
                <w:sz w:val="18"/>
                <w:vertAlign w:val="subscript"/>
              </w:rPr>
              <w:t>3</w:t>
            </w:r>
            <w:r>
              <w:rPr>
                <w:sz w:val="18"/>
              </w:rPr>
              <w:t xml:space="preserve">) </w:t>
            </w:r>
          </w:p>
        </w:tc>
        <w:tc>
          <w:tcPr>
            <w:tcW w:w="1134" w:type="dxa"/>
            <w:tcBorders>
              <w:top w:val="single" w:sz="12" w:space="0" w:color="000000"/>
            </w:tcBorders>
            <w:vAlign w:val="center"/>
          </w:tcPr>
          <w:p w14:paraId="0B85BA86" w14:textId="70EA47EC" w:rsidR="00B56D50" w:rsidRDefault="001C3C42" w:rsidP="001E0DA8">
            <w:pPr>
              <w:spacing w:after="0" w:line="259" w:lineRule="auto"/>
              <w:ind w:left="6" w:right="0" w:firstLine="0"/>
              <w:jc w:val="center"/>
            </w:pPr>
            <w:r>
              <w:rPr>
                <w:sz w:val="18"/>
              </w:rPr>
              <w:t>N/A</w:t>
            </w:r>
          </w:p>
        </w:tc>
        <w:tc>
          <w:tcPr>
            <w:tcW w:w="565" w:type="dxa"/>
            <w:tcBorders>
              <w:top w:val="single" w:sz="12" w:space="0" w:color="000000"/>
            </w:tcBorders>
            <w:vAlign w:val="center"/>
          </w:tcPr>
          <w:p w14:paraId="245170C9" w14:textId="30637415" w:rsidR="00B56D50" w:rsidRDefault="001C3C42" w:rsidP="001E0DA8">
            <w:pPr>
              <w:spacing w:after="0" w:line="259" w:lineRule="auto"/>
              <w:ind w:left="0" w:right="0" w:firstLine="0"/>
              <w:jc w:val="center"/>
            </w:pPr>
            <w:r>
              <w:rPr>
                <w:sz w:val="18"/>
              </w:rPr>
              <w:t>5</w:t>
            </w:r>
          </w:p>
        </w:tc>
        <w:tc>
          <w:tcPr>
            <w:tcW w:w="755" w:type="dxa"/>
            <w:tcBorders>
              <w:top w:val="single" w:sz="12" w:space="0" w:color="000000"/>
            </w:tcBorders>
            <w:vAlign w:val="center"/>
          </w:tcPr>
          <w:p w14:paraId="63609B25" w14:textId="42F9E12B" w:rsidR="00B56D50" w:rsidRDefault="001C3C42" w:rsidP="001E0DA8">
            <w:pPr>
              <w:spacing w:after="0" w:line="259" w:lineRule="auto"/>
              <w:ind w:left="5" w:right="0" w:firstLine="0"/>
              <w:jc w:val="center"/>
            </w:pPr>
            <w:r>
              <w:rPr>
                <w:sz w:val="18"/>
              </w:rPr>
              <w:t>mg/L</w:t>
            </w:r>
          </w:p>
        </w:tc>
        <w:tc>
          <w:tcPr>
            <w:tcW w:w="567" w:type="dxa"/>
            <w:tcBorders>
              <w:top w:val="single" w:sz="12" w:space="0" w:color="000000"/>
            </w:tcBorders>
            <w:vAlign w:val="center"/>
          </w:tcPr>
          <w:p w14:paraId="0C2CC944" w14:textId="07400265" w:rsidR="00B56D50" w:rsidRDefault="001C3C42" w:rsidP="001E0DA8">
            <w:pPr>
              <w:spacing w:after="0" w:line="259" w:lineRule="auto"/>
              <w:ind w:left="53" w:right="0" w:firstLine="0"/>
              <w:jc w:val="center"/>
            </w:pPr>
            <w:r>
              <w:rPr>
                <w:sz w:val="18"/>
              </w:rPr>
              <w:t>N/A</w:t>
            </w:r>
          </w:p>
        </w:tc>
        <w:tc>
          <w:tcPr>
            <w:tcW w:w="753" w:type="dxa"/>
            <w:tcBorders>
              <w:top w:val="single" w:sz="12" w:space="0" w:color="000000"/>
            </w:tcBorders>
            <w:vAlign w:val="center"/>
          </w:tcPr>
          <w:p w14:paraId="2D31DB9E" w14:textId="3DA89304" w:rsidR="00B56D50" w:rsidRDefault="001C3C42" w:rsidP="001E0DA8">
            <w:pPr>
              <w:spacing w:after="0" w:line="259" w:lineRule="auto"/>
              <w:ind w:left="8" w:right="0" w:firstLine="0"/>
              <w:jc w:val="center"/>
            </w:pPr>
            <w:r>
              <w:rPr>
                <w:sz w:val="18"/>
              </w:rPr>
              <w:t>N/A</w:t>
            </w:r>
          </w:p>
        </w:tc>
        <w:tc>
          <w:tcPr>
            <w:tcW w:w="1050" w:type="dxa"/>
            <w:tcBorders>
              <w:top w:val="single" w:sz="12" w:space="0" w:color="000000"/>
            </w:tcBorders>
            <w:vAlign w:val="center"/>
          </w:tcPr>
          <w:p w14:paraId="6CC312CA" w14:textId="28D72F3B" w:rsidR="00B56D50" w:rsidRDefault="001C3C42" w:rsidP="001E0DA8">
            <w:pPr>
              <w:spacing w:after="0" w:line="259" w:lineRule="auto"/>
              <w:ind w:left="0" w:right="0" w:firstLine="0"/>
              <w:jc w:val="center"/>
            </w:pPr>
            <w:r>
              <w:rPr>
                <w:sz w:val="18"/>
              </w:rPr>
              <w:t>310.2</w:t>
            </w:r>
            <w:r w:rsidR="00025637">
              <w:rPr>
                <w:sz w:val="18"/>
              </w:rPr>
              <w:t xml:space="preserve"> </w:t>
            </w:r>
            <w:r w:rsidR="002515B0" w:rsidRPr="00305B5E">
              <w:rPr>
                <w:b/>
                <w:bCs/>
                <w:sz w:val="18"/>
                <w:vertAlign w:val="superscript"/>
              </w:rPr>
              <w:t>8</w:t>
            </w:r>
          </w:p>
        </w:tc>
        <w:tc>
          <w:tcPr>
            <w:tcW w:w="862" w:type="dxa"/>
            <w:tcBorders>
              <w:top w:val="single" w:sz="12" w:space="0" w:color="000000"/>
            </w:tcBorders>
            <w:vAlign w:val="center"/>
          </w:tcPr>
          <w:p w14:paraId="12B4B9C9" w14:textId="44AB4182" w:rsidR="00B56D50" w:rsidRPr="009E1C20" w:rsidRDefault="009B38FE" w:rsidP="001E0DA8">
            <w:pPr>
              <w:spacing w:after="0" w:line="259" w:lineRule="auto"/>
              <w:ind w:left="0" w:right="0" w:firstLine="0"/>
              <w:jc w:val="center"/>
              <w:rPr>
                <w:vertAlign w:val="superscript"/>
              </w:rPr>
            </w:pPr>
            <w:r>
              <w:rPr>
                <w:sz w:val="18"/>
              </w:rPr>
              <w:t>2320B</w:t>
            </w:r>
            <w:r w:rsidR="00025637">
              <w:rPr>
                <w:sz w:val="18"/>
              </w:rPr>
              <w:t xml:space="preserve"> </w:t>
            </w:r>
            <w:r w:rsidR="002515B0" w:rsidRPr="00305B5E">
              <w:rPr>
                <w:b/>
                <w:bCs/>
                <w:sz w:val="18"/>
                <w:vertAlign w:val="superscript"/>
              </w:rPr>
              <w:t>9</w:t>
            </w:r>
          </w:p>
        </w:tc>
        <w:tc>
          <w:tcPr>
            <w:tcW w:w="750" w:type="dxa"/>
            <w:tcBorders>
              <w:top w:val="single" w:sz="12" w:space="0" w:color="000000"/>
            </w:tcBorders>
            <w:vAlign w:val="center"/>
          </w:tcPr>
          <w:p w14:paraId="3A4804CC" w14:textId="149C0AB5" w:rsidR="00B56D50" w:rsidRDefault="00B56D50" w:rsidP="001E0DA8">
            <w:pPr>
              <w:spacing w:after="0" w:line="259" w:lineRule="auto"/>
              <w:ind w:left="0" w:right="0" w:firstLine="0"/>
              <w:jc w:val="center"/>
            </w:pPr>
          </w:p>
        </w:tc>
        <w:tc>
          <w:tcPr>
            <w:tcW w:w="753" w:type="dxa"/>
            <w:tcBorders>
              <w:top w:val="single" w:sz="12" w:space="0" w:color="000000"/>
            </w:tcBorders>
            <w:vAlign w:val="center"/>
          </w:tcPr>
          <w:p w14:paraId="77ECE976" w14:textId="071CCE62" w:rsidR="00B56D50" w:rsidRDefault="00B56D50" w:rsidP="001E0DA8">
            <w:pPr>
              <w:spacing w:after="0" w:line="259" w:lineRule="auto"/>
              <w:ind w:left="0" w:right="0" w:firstLine="0"/>
              <w:jc w:val="center"/>
            </w:pPr>
          </w:p>
        </w:tc>
        <w:tc>
          <w:tcPr>
            <w:tcW w:w="442" w:type="dxa"/>
            <w:tcBorders>
              <w:top w:val="single" w:sz="12" w:space="0" w:color="000000"/>
            </w:tcBorders>
            <w:vAlign w:val="center"/>
          </w:tcPr>
          <w:p w14:paraId="56C54E86" w14:textId="7726357A" w:rsidR="00B56D50" w:rsidRDefault="00B56D50" w:rsidP="001E0DA8">
            <w:pPr>
              <w:spacing w:after="0" w:line="259" w:lineRule="auto"/>
              <w:ind w:left="0" w:right="0" w:firstLine="0"/>
              <w:jc w:val="center"/>
            </w:pPr>
          </w:p>
        </w:tc>
      </w:tr>
      <w:tr w:rsidR="00B56D50" w14:paraId="56762C72" w14:textId="77777777" w:rsidTr="00467372">
        <w:trPr>
          <w:trHeight w:val="250"/>
        </w:trPr>
        <w:tc>
          <w:tcPr>
            <w:tcW w:w="2989" w:type="dxa"/>
            <w:vAlign w:val="center"/>
          </w:tcPr>
          <w:p w14:paraId="58EB1CF8" w14:textId="162E6867" w:rsidR="00B56D50" w:rsidRDefault="001C3C42" w:rsidP="001E0DA8">
            <w:pPr>
              <w:spacing w:after="0" w:line="259" w:lineRule="auto"/>
              <w:ind w:left="0" w:right="0" w:firstLine="0"/>
            </w:pPr>
            <w:r>
              <w:rPr>
                <w:sz w:val="18"/>
              </w:rPr>
              <w:t>Bicarbonate (as CaCO</w:t>
            </w:r>
            <w:r>
              <w:rPr>
                <w:sz w:val="18"/>
                <w:vertAlign w:val="subscript"/>
              </w:rPr>
              <w:t>3</w:t>
            </w:r>
            <w:r>
              <w:rPr>
                <w:sz w:val="18"/>
              </w:rPr>
              <w:t>)</w:t>
            </w:r>
            <w:r>
              <w:rPr>
                <w:sz w:val="18"/>
                <w:vertAlign w:val="superscript"/>
              </w:rPr>
              <w:t xml:space="preserve"> </w:t>
            </w:r>
          </w:p>
        </w:tc>
        <w:tc>
          <w:tcPr>
            <w:tcW w:w="1134" w:type="dxa"/>
            <w:vAlign w:val="center"/>
          </w:tcPr>
          <w:p w14:paraId="4EC32AD6" w14:textId="66D62424" w:rsidR="00B56D50" w:rsidRDefault="001C3C42" w:rsidP="001E0DA8">
            <w:pPr>
              <w:spacing w:after="0" w:line="259" w:lineRule="auto"/>
              <w:ind w:left="0" w:right="0" w:firstLine="0"/>
              <w:jc w:val="center"/>
            </w:pPr>
            <w:r>
              <w:rPr>
                <w:sz w:val="18"/>
              </w:rPr>
              <w:t>71-52-3</w:t>
            </w:r>
          </w:p>
        </w:tc>
        <w:tc>
          <w:tcPr>
            <w:tcW w:w="565" w:type="dxa"/>
            <w:vAlign w:val="center"/>
          </w:tcPr>
          <w:p w14:paraId="304F3E4B" w14:textId="72691501" w:rsidR="00B56D50" w:rsidRDefault="001C3C42" w:rsidP="001E0DA8">
            <w:pPr>
              <w:spacing w:after="0" w:line="259" w:lineRule="auto"/>
              <w:ind w:left="0" w:right="0" w:firstLine="0"/>
              <w:jc w:val="center"/>
            </w:pPr>
            <w:r>
              <w:rPr>
                <w:sz w:val="18"/>
              </w:rPr>
              <w:t>10</w:t>
            </w:r>
          </w:p>
        </w:tc>
        <w:tc>
          <w:tcPr>
            <w:tcW w:w="755" w:type="dxa"/>
            <w:vAlign w:val="center"/>
          </w:tcPr>
          <w:p w14:paraId="6B1581F5" w14:textId="0FDE8C26" w:rsidR="00B56D50" w:rsidRDefault="001C3C42" w:rsidP="001E0DA8">
            <w:pPr>
              <w:spacing w:after="0" w:line="259" w:lineRule="auto"/>
              <w:ind w:left="5" w:right="0" w:firstLine="0"/>
              <w:jc w:val="center"/>
            </w:pPr>
            <w:r>
              <w:rPr>
                <w:sz w:val="18"/>
              </w:rPr>
              <w:t>mg/L</w:t>
            </w:r>
          </w:p>
        </w:tc>
        <w:tc>
          <w:tcPr>
            <w:tcW w:w="567" w:type="dxa"/>
            <w:vAlign w:val="center"/>
          </w:tcPr>
          <w:p w14:paraId="3327957B" w14:textId="67B346F9" w:rsidR="00B56D50" w:rsidRDefault="001C3C42" w:rsidP="001E0DA8">
            <w:pPr>
              <w:spacing w:after="0" w:line="259" w:lineRule="auto"/>
              <w:ind w:left="53" w:right="0" w:firstLine="0"/>
              <w:jc w:val="center"/>
            </w:pPr>
            <w:r>
              <w:rPr>
                <w:sz w:val="18"/>
              </w:rPr>
              <w:t>N/A</w:t>
            </w:r>
          </w:p>
        </w:tc>
        <w:tc>
          <w:tcPr>
            <w:tcW w:w="753" w:type="dxa"/>
            <w:vAlign w:val="center"/>
          </w:tcPr>
          <w:p w14:paraId="109E64BB" w14:textId="63B6AEFF" w:rsidR="00B56D50" w:rsidRDefault="001C3C42" w:rsidP="001E0DA8">
            <w:pPr>
              <w:spacing w:after="0" w:line="259" w:lineRule="auto"/>
              <w:ind w:left="8" w:right="0" w:firstLine="0"/>
              <w:jc w:val="center"/>
            </w:pPr>
            <w:r>
              <w:rPr>
                <w:sz w:val="18"/>
              </w:rPr>
              <w:t>N/A</w:t>
            </w:r>
          </w:p>
        </w:tc>
        <w:tc>
          <w:tcPr>
            <w:tcW w:w="1050" w:type="dxa"/>
            <w:vAlign w:val="center"/>
          </w:tcPr>
          <w:p w14:paraId="278B13A1" w14:textId="41B3C838" w:rsidR="00B56D50" w:rsidRPr="009E1C20" w:rsidRDefault="00473EAD" w:rsidP="001E0DA8">
            <w:pPr>
              <w:spacing w:after="0" w:line="259" w:lineRule="auto"/>
              <w:ind w:left="0" w:right="0" w:firstLine="0"/>
              <w:jc w:val="center"/>
              <w:rPr>
                <w:vertAlign w:val="superscript"/>
              </w:rPr>
            </w:pPr>
            <w:r>
              <w:rPr>
                <w:sz w:val="18"/>
              </w:rPr>
              <w:t>2320B</w:t>
            </w:r>
            <w:r w:rsidR="00025637">
              <w:rPr>
                <w:sz w:val="18"/>
              </w:rPr>
              <w:t xml:space="preserve"> </w:t>
            </w:r>
            <w:r w:rsidR="002515B0" w:rsidRPr="00305B5E">
              <w:rPr>
                <w:b/>
                <w:bCs/>
                <w:sz w:val="18"/>
                <w:vertAlign w:val="superscript"/>
              </w:rPr>
              <w:t>9</w:t>
            </w:r>
          </w:p>
        </w:tc>
        <w:tc>
          <w:tcPr>
            <w:tcW w:w="862" w:type="dxa"/>
            <w:vAlign w:val="center"/>
          </w:tcPr>
          <w:p w14:paraId="1D7CDC16" w14:textId="623BAACC" w:rsidR="00B56D50" w:rsidRDefault="00B56D50" w:rsidP="001E0DA8">
            <w:pPr>
              <w:spacing w:after="0" w:line="259" w:lineRule="auto"/>
              <w:ind w:left="0" w:right="0" w:firstLine="0"/>
              <w:jc w:val="center"/>
            </w:pPr>
          </w:p>
        </w:tc>
        <w:tc>
          <w:tcPr>
            <w:tcW w:w="750" w:type="dxa"/>
            <w:vAlign w:val="center"/>
          </w:tcPr>
          <w:p w14:paraId="5A13EE3D" w14:textId="72646618" w:rsidR="00B56D50" w:rsidRDefault="00B56D50" w:rsidP="001E0DA8">
            <w:pPr>
              <w:spacing w:after="0" w:line="259" w:lineRule="auto"/>
              <w:ind w:left="0" w:right="0" w:firstLine="0"/>
              <w:jc w:val="center"/>
            </w:pPr>
          </w:p>
        </w:tc>
        <w:tc>
          <w:tcPr>
            <w:tcW w:w="753" w:type="dxa"/>
            <w:vAlign w:val="center"/>
          </w:tcPr>
          <w:p w14:paraId="49A7877B" w14:textId="10AD916B" w:rsidR="00B56D50" w:rsidRDefault="00B56D50" w:rsidP="001E0DA8">
            <w:pPr>
              <w:spacing w:after="0" w:line="259" w:lineRule="auto"/>
              <w:ind w:left="0" w:right="0" w:firstLine="0"/>
              <w:jc w:val="center"/>
            </w:pPr>
          </w:p>
        </w:tc>
        <w:tc>
          <w:tcPr>
            <w:tcW w:w="442" w:type="dxa"/>
            <w:vAlign w:val="center"/>
          </w:tcPr>
          <w:p w14:paraId="3B05540C" w14:textId="6DB08285" w:rsidR="00B56D50" w:rsidRDefault="00B56D50" w:rsidP="001E0DA8">
            <w:pPr>
              <w:spacing w:after="0" w:line="259" w:lineRule="auto"/>
              <w:ind w:left="0" w:right="0" w:firstLine="0"/>
              <w:jc w:val="center"/>
            </w:pPr>
          </w:p>
        </w:tc>
      </w:tr>
      <w:tr w:rsidR="00B56D50" w14:paraId="37D59657" w14:textId="77777777" w:rsidTr="00467372">
        <w:trPr>
          <w:trHeight w:val="250"/>
        </w:trPr>
        <w:tc>
          <w:tcPr>
            <w:tcW w:w="2989" w:type="dxa"/>
            <w:vAlign w:val="center"/>
          </w:tcPr>
          <w:p w14:paraId="0E93F453" w14:textId="6F88C606" w:rsidR="00B56D50" w:rsidRDefault="001C3C42" w:rsidP="001E0DA8">
            <w:pPr>
              <w:spacing w:after="0" w:line="259" w:lineRule="auto"/>
              <w:ind w:left="0" w:right="0" w:firstLine="0"/>
            </w:pPr>
            <w:r>
              <w:rPr>
                <w:sz w:val="18"/>
              </w:rPr>
              <w:t>Carbonate (as CaCO</w:t>
            </w:r>
            <w:r>
              <w:rPr>
                <w:sz w:val="18"/>
                <w:vertAlign w:val="subscript"/>
              </w:rPr>
              <w:t>3</w:t>
            </w:r>
            <w:r>
              <w:rPr>
                <w:sz w:val="18"/>
              </w:rPr>
              <w:t>)</w:t>
            </w:r>
            <w:r>
              <w:rPr>
                <w:sz w:val="18"/>
                <w:vertAlign w:val="superscript"/>
              </w:rPr>
              <w:t xml:space="preserve"> </w:t>
            </w:r>
          </w:p>
        </w:tc>
        <w:tc>
          <w:tcPr>
            <w:tcW w:w="1134" w:type="dxa"/>
            <w:vAlign w:val="center"/>
          </w:tcPr>
          <w:p w14:paraId="5D10BEA3" w14:textId="40355936" w:rsidR="00B56D50" w:rsidRDefault="001C3C42" w:rsidP="001E0DA8">
            <w:pPr>
              <w:spacing w:after="0" w:line="259" w:lineRule="auto"/>
              <w:ind w:left="0" w:right="0" w:firstLine="0"/>
              <w:jc w:val="center"/>
            </w:pPr>
            <w:r>
              <w:rPr>
                <w:sz w:val="18"/>
              </w:rPr>
              <w:t>3812-32-6</w:t>
            </w:r>
          </w:p>
        </w:tc>
        <w:tc>
          <w:tcPr>
            <w:tcW w:w="565" w:type="dxa"/>
            <w:vAlign w:val="center"/>
          </w:tcPr>
          <w:p w14:paraId="666E4CAD" w14:textId="4457BD3A" w:rsidR="00B56D50" w:rsidRDefault="001C3C42" w:rsidP="001E0DA8">
            <w:pPr>
              <w:spacing w:after="0" w:line="259" w:lineRule="auto"/>
              <w:ind w:left="0" w:right="0" w:firstLine="0"/>
              <w:jc w:val="center"/>
            </w:pPr>
            <w:r>
              <w:rPr>
                <w:sz w:val="18"/>
              </w:rPr>
              <w:t>10</w:t>
            </w:r>
          </w:p>
        </w:tc>
        <w:tc>
          <w:tcPr>
            <w:tcW w:w="755" w:type="dxa"/>
            <w:vAlign w:val="center"/>
          </w:tcPr>
          <w:p w14:paraId="30808468" w14:textId="278C218D" w:rsidR="00B56D50" w:rsidRDefault="001C3C42" w:rsidP="001E0DA8">
            <w:pPr>
              <w:spacing w:after="0" w:line="259" w:lineRule="auto"/>
              <w:ind w:left="5" w:right="0" w:firstLine="0"/>
              <w:jc w:val="center"/>
            </w:pPr>
            <w:r>
              <w:rPr>
                <w:sz w:val="18"/>
              </w:rPr>
              <w:t>mg/L</w:t>
            </w:r>
          </w:p>
        </w:tc>
        <w:tc>
          <w:tcPr>
            <w:tcW w:w="567" w:type="dxa"/>
            <w:vAlign w:val="center"/>
          </w:tcPr>
          <w:p w14:paraId="4D64516A" w14:textId="45EFF42A" w:rsidR="00B56D50" w:rsidRDefault="001C3C42" w:rsidP="001E0DA8">
            <w:pPr>
              <w:spacing w:after="0" w:line="259" w:lineRule="auto"/>
              <w:ind w:left="53" w:right="0" w:firstLine="0"/>
              <w:jc w:val="center"/>
            </w:pPr>
            <w:r>
              <w:rPr>
                <w:sz w:val="18"/>
              </w:rPr>
              <w:t>N/A</w:t>
            </w:r>
          </w:p>
        </w:tc>
        <w:tc>
          <w:tcPr>
            <w:tcW w:w="753" w:type="dxa"/>
            <w:vAlign w:val="center"/>
          </w:tcPr>
          <w:p w14:paraId="1C941BDD" w14:textId="2176D636" w:rsidR="00B56D50" w:rsidRDefault="001C3C42" w:rsidP="001E0DA8">
            <w:pPr>
              <w:spacing w:after="0" w:line="259" w:lineRule="auto"/>
              <w:ind w:left="8" w:right="0" w:firstLine="0"/>
              <w:jc w:val="center"/>
            </w:pPr>
            <w:r>
              <w:rPr>
                <w:sz w:val="18"/>
              </w:rPr>
              <w:t>N/A</w:t>
            </w:r>
          </w:p>
        </w:tc>
        <w:tc>
          <w:tcPr>
            <w:tcW w:w="1050" w:type="dxa"/>
            <w:vAlign w:val="center"/>
          </w:tcPr>
          <w:p w14:paraId="78FDA448" w14:textId="2914DA92" w:rsidR="00B56D50" w:rsidRPr="00B26FD1" w:rsidRDefault="00473EAD" w:rsidP="001E0DA8">
            <w:pPr>
              <w:spacing w:after="0" w:line="259" w:lineRule="auto"/>
              <w:ind w:left="0" w:right="0" w:firstLine="0"/>
              <w:jc w:val="center"/>
              <w:rPr>
                <w:vertAlign w:val="superscript"/>
              </w:rPr>
            </w:pPr>
            <w:r>
              <w:rPr>
                <w:sz w:val="18"/>
              </w:rPr>
              <w:t>2320B</w:t>
            </w:r>
            <w:r w:rsidR="00025637">
              <w:rPr>
                <w:sz w:val="18"/>
              </w:rPr>
              <w:t xml:space="preserve"> </w:t>
            </w:r>
            <w:r w:rsidR="00B001B6" w:rsidRPr="00305B5E">
              <w:rPr>
                <w:b/>
                <w:bCs/>
                <w:sz w:val="18"/>
                <w:vertAlign w:val="superscript"/>
              </w:rPr>
              <w:t>9</w:t>
            </w:r>
          </w:p>
        </w:tc>
        <w:tc>
          <w:tcPr>
            <w:tcW w:w="862" w:type="dxa"/>
            <w:vAlign w:val="center"/>
          </w:tcPr>
          <w:p w14:paraId="3594446F" w14:textId="26142F13" w:rsidR="00B56D50" w:rsidRDefault="00B56D50" w:rsidP="001E0DA8">
            <w:pPr>
              <w:spacing w:after="0" w:line="259" w:lineRule="auto"/>
              <w:ind w:left="0" w:right="0" w:firstLine="0"/>
              <w:jc w:val="center"/>
            </w:pPr>
          </w:p>
        </w:tc>
        <w:tc>
          <w:tcPr>
            <w:tcW w:w="750" w:type="dxa"/>
            <w:vAlign w:val="center"/>
          </w:tcPr>
          <w:p w14:paraId="14122DEB" w14:textId="67049F1F" w:rsidR="00B56D50" w:rsidRDefault="00B56D50" w:rsidP="001E0DA8">
            <w:pPr>
              <w:spacing w:after="0" w:line="259" w:lineRule="auto"/>
              <w:ind w:left="0" w:right="0" w:firstLine="0"/>
              <w:jc w:val="center"/>
            </w:pPr>
          </w:p>
        </w:tc>
        <w:tc>
          <w:tcPr>
            <w:tcW w:w="753" w:type="dxa"/>
            <w:vAlign w:val="center"/>
          </w:tcPr>
          <w:p w14:paraId="187850D0" w14:textId="3759495F" w:rsidR="00B56D50" w:rsidRDefault="00B56D50" w:rsidP="001E0DA8">
            <w:pPr>
              <w:spacing w:after="0" w:line="259" w:lineRule="auto"/>
              <w:ind w:left="0" w:right="0" w:firstLine="0"/>
              <w:jc w:val="center"/>
            </w:pPr>
          </w:p>
        </w:tc>
        <w:tc>
          <w:tcPr>
            <w:tcW w:w="442" w:type="dxa"/>
            <w:vAlign w:val="center"/>
          </w:tcPr>
          <w:p w14:paraId="5AC0F721" w14:textId="77608492" w:rsidR="00B56D50" w:rsidRDefault="00B56D50" w:rsidP="001E0DA8">
            <w:pPr>
              <w:spacing w:after="0" w:line="259" w:lineRule="auto"/>
              <w:ind w:left="0" w:right="0" w:firstLine="0"/>
              <w:jc w:val="center"/>
            </w:pPr>
          </w:p>
        </w:tc>
      </w:tr>
      <w:tr w:rsidR="00B56D50" w14:paraId="1FFBC4F2" w14:textId="77777777" w:rsidTr="00467372">
        <w:trPr>
          <w:trHeight w:val="425"/>
        </w:trPr>
        <w:tc>
          <w:tcPr>
            <w:tcW w:w="2989" w:type="dxa"/>
            <w:vAlign w:val="center"/>
          </w:tcPr>
          <w:p w14:paraId="17F549EB" w14:textId="7901D0C0" w:rsidR="00B56D50" w:rsidRDefault="001C3C42" w:rsidP="001E0DA8">
            <w:pPr>
              <w:spacing w:after="0" w:line="259" w:lineRule="auto"/>
              <w:ind w:left="0" w:right="0" w:firstLine="0"/>
            </w:pPr>
            <w:r>
              <w:rPr>
                <w:sz w:val="18"/>
              </w:rPr>
              <w:t>Eh (Oxidation-Reduction Potential)</w:t>
            </w:r>
            <w:r>
              <w:rPr>
                <w:sz w:val="18"/>
                <w:vertAlign w:val="superscript"/>
              </w:rPr>
              <w:t xml:space="preserve"> </w:t>
            </w:r>
          </w:p>
        </w:tc>
        <w:tc>
          <w:tcPr>
            <w:tcW w:w="1134" w:type="dxa"/>
            <w:vAlign w:val="center"/>
          </w:tcPr>
          <w:p w14:paraId="38218CB2" w14:textId="59AC482E" w:rsidR="00B56D50" w:rsidRDefault="001C3C42" w:rsidP="001E0DA8">
            <w:pPr>
              <w:spacing w:after="0" w:line="259" w:lineRule="auto"/>
              <w:ind w:left="6" w:right="0" w:firstLine="0"/>
              <w:jc w:val="center"/>
            </w:pPr>
            <w:r>
              <w:rPr>
                <w:sz w:val="18"/>
              </w:rPr>
              <w:t>N/A</w:t>
            </w:r>
          </w:p>
        </w:tc>
        <w:tc>
          <w:tcPr>
            <w:tcW w:w="565" w:type="dxa"/>
            <w:vAlign w:val="center"/>
          </w:tcPr>
          <w:p w14:paraId="7A1F57B6" w14:textId="23230AB4" w:rsidR="00B56D50" w:rsidRDefault="001C3C42" w:rsidP="001E0DA8">
            <w:pPr>
              <w:spacing w:after="0" w:line="259" w:lineRule="auto"/>
              <w:ind w:left="0" w:right="0" w:firstLine="0"/>
              <w:jc w:val="center"/>
            </w:pPr>
            <w:r>
              <w:rPr>
                <w:sz w:val="18"/>
              </w:rPr>
              <w:t>0</w:t>
            </w:r>
          </w:p>
        </w:tc>
        <w:tc>
          <w:tcPr>
            <w:tcW w:w="755" w:type="dxa"/>
            <w:vAlign w:val="center"/>
          </w:tcPr>
          <w:p w14:paraId="1F74D329" w14:textId="4CCAC4AF" w:rsidR="00B56D50" w:rsidRDefault="001C3C42" w:rsidP="001E0DA8">
            <w:pPr>
              <w:spacing w:after="0" w:line="259" w:lineRule="auto"/>
              <w:ind w:left="5" w:right="0" w:firstLine="0"/>
              <w:jc w:val="center"/>
            </w:pPr>
            <w:r>
              <w:rPr>
                <w:sz w:val="18"/>
              </w:rPr>
              <w:t>Volts</w:t>
            </w:r>
          </w:p>
        </w:tc>
        <w:tc>
          <w:tcPr>
            <w:tcW w:w="567" w:type="dxa"/>
            <w:vAlign w:val="center"/>
          </w:tcPr>
          <w:p w14:paraId="5FD5910D" w14:textId="1FF2DAEC" w:rsidR="00B56D50" w:rsidRDefault="001C3C42" w:rsidP="001E0DA8">
            <w:pPr>
              <w:spacing w:after="0" w:line="259" w:lineRule="auto"/>
              <w:ind w:left="53" w:right="0" w:firstLine="0"/>
              <w:jc w:val="center"/>
            </w:pPr>
            <w:r>
              <w:rPr>
                <w:sz w:val="18"/>
              </w:rPr>
              <w:t>N/A</w:t>
            </w:r>
          </w:p>
        </w:tc>
        <w:tc>
          <w:tcPr>
            <w:tcW w:w="753" w:type="dxa"/>
            <w:vAlign w:val="center"/>
          </w:tcPr>
          <w:p w14:paraId="1F2A92AA" w14:textId="19E839EE" w:rsidR="00B56D50" w:rsidRDefault="001C3C42" w:rsidP="001E0DA8">
            <w:pPr>
              <w:spacing w:after="0" w:line="259" w:lineRule="auto"/>
              <w:ind w:left="8" w:right="0" w:firstLine="0"/>
              <w:jc w:val="center"/>
            </w:pPr>
            <w:r>
              <w:rPr>
                <w:sz w:val="18"/>
              </w:rPr>
              <w:t>N/A</w:t>
            </w:r>
          </w:p>
        </w:tc>
        <w:tc>
          <w:tcPr>
            <w:tcW w:w="1050" w:type="dxa"/>
            <w:vAlign w:val="center"/>
          </w:tcPr>
          <w:p w14:paraId="3F494FA9" w14:textId="6F5EB302" w:rsidR="00B56D50" w:rsidRDefault="001C3C42" w:rsidP="001E0DA8">
            <w:pPr>
              <w:spacing w:after="0" w:line="259" w:lineRule="auto"/>
              <w:ind w:left="0" w:right="0" w:firstLine="0"/>
              <w:jc w:val="center"/>
            </w:pPr>
            <w:r>
              <w:rPr>
                <w:sz w:val="18"/>
              </w:rPr>
              <w:t>2580</w:t>
            </w:r>
            <w:r w:rsidR="00025637">
              <w:rPr>
                <w:sz w:val="18"/>
              </w:rPr>
              <w:t xml:space="preserve"> </w:t>
            </w:r>
            <w:r w:rsidR="00B001B6" w:rsidRPr="00305B5E">
              <w:rPr>
                <w:b/>
                <w:bCs/>
                <w:sz w:val="18"/>
                <w:vertAlign w:val="superscript"/>
              </w:rPr>
              <w:t>9</w:t>
            </w:r>
          </w:p>
        </w:tc>
        <w:tc>
          <w:tcPr>
            <w:tcW w:w="862" w:type="dxa"/>
            <w:vAlign w:val="center"/>
          </w:tcPr>
          <w:p w14:paraId="7A81E04E" w14:textId="1F063C07" w:rsidR="00B56D50" w:rsidRDefault="00B56D50" w:rsidP="001E0DA8">
            <w:pPr>
              <w:spacing w:after="0" w:line="259" w:lineRule="auto"/>
              <w:ind w:left="0" w:right="0" w:firstLine="0"/>
              <w:jc w:val="center"/>
            </w:pPr>
          </w:p>
        </w:tc>
        <w:tc>
          <w:tcPr>
            <w:tcW w:w="750" w:type="dxa"/>
            <w:vAlign w:val="center"/>
          </w:tcPr>
          <w:p w14:paraId="63870F56" w14:textId="7D031674" w:rsidR="00B56D50" w:rsidRDefault="00B56D50" w:rsidP="001E0DA8">
            <w:pPr>
              <w:spacing w:after="0" w:line="259" w:lineRule="auto"/>
              <w:ind w:left="0" w:right="0" w:firstLine="0"/>
              <w:jc w:val="center"/>
            </w:pPr>
          </w:p>
        </w:tc>
        <w:tc>
          <w:tcPr>
            <w:tcW w:w="753" w:type="dxa"/>
            <w:vAlign w:val="center"/>
          </w:tcPr>
          <w:p w14:paraId="4F6451F3" w14:textId="7A816CC7" w:rsidR="00B56D50" w:rsidRDefault="00B56D50" w:rsidP="001E0DA8">
            <w:pPr>
              <w:spacing w:after="0" w:line="259" w:lineRule="auto"/>
              <w:ind w:left="0" w:right="0" w:firstLine="0"/>
              <w:jc w:val="center"/>
            </w:pPr>
          </w:p>
        </w:tc>
        <w:tc>
          <w:tcPr>
            <w:tcW w:w="442" w:type="dxa"/>
            <w:vAlign w:val="center"/>
          </w:tcPr>
          <w:p w14:paraId="56A8ACD8" w14:textId="52370C3F" w:rsidR="00B56D50" w:rsidRDefault="00B56D50" w:rsidP="001E0DA8">
            <w:pPr>
              <w:spacing w:after="0" w:line="259" w:lineRule="auto"/>
              <w:ind w:left="0" w:right="0" w:firstLine="0"/>
              <w:jc w:val="center"/>
            </w:pPr>
          </w:p>
        </w:tc>
      </w:tr>
      <w:tr w:rsidR="00B56D50" w14:paraId="32384B5B" w14:textId="77777777" w:rsidTr="00467372">
        <w:trPr>
          <w:trHeight w:val="250"/>
        </w:trPr>
        <w:tc>
          <w:tcPr>
            <w:tcW w:w="2989" w:type="dxa"/>
            <w:vAlign w:val="center"/>
          </w:tcPr>
          <w:p w14:paraId="18BF2FAA" w14:textId="55B258A6" w:rsidR="00B56D50" w:rsidRDefault="001C3C42" w:rsidP="001E0DA8">
            <w:pPr>
              <w:spacing w:after="0" w:line="259" w:lineRule="auto"/>
              <w:ind w:left="0" w:right="0" w:firstLine="0"/>
            </w:pPr>
            <w:r>
              <w:rPr>
                <w:sz w:val="18"/>
              </w:rPr>
              <w:t>Fluoride</w:t>
            </w:r>
            <w:r>
              <w:rPr>
                <w:sz w:val="18"/>
                <w:vertAlign w:val="superscript"/>
              </w:rPr>
              <w:t xml:space="preserve"> </w:t>
            </w:r>
          </w:p>
        </w:tc>
        <w:tc>
          <w:tcPr>
            <w:tcW w:w="1134" w:type="dxa"/>
            <w:vAlign w:val="center"/>
          </w:tcPr>
          <w:p w14:paraId="799445A0" w14:textId="4159E534" w:rsidR="00B56D50" w:rsidRDefault="001C3C42" w:rsidP="001E0DA8">
            <w:pPr>
              <w:spacing w:after="0" w:line="259" w:lineRule="auto"/>
              <w:ind w:left="0" w:right="0" w:firstLine="0"/>
              <w:jc w:val="center"/>
            </w:pPr>
            <w:r>
              <w:rPr>
                <w:sz w:val="18"/>
              </w:rPr>
              <w:t>16984-48-8</w:t>
            </w:r>
          </w:p>
        </w:tc>
        <w:tc>
          <w:tcPr>
            <w:tcW w:w="565" w:type="dxa"/>
            <w:vAlign w:val="center"/>
          </w:tcPr>
          <w:p w14:paraId="48400628" w14:textId="37F71364" w:rsidR="00B56D50" w:rsidRDefault="001C3C42" w:rsidP="001E0DA8">
            <w:pPr>
              <w:spacing w:after="0" w:line="259" w:lineRule="auto"/>
              <w:ind w:left="0" w:right="0" w:firstLine="0"/>
              <w:jc w:val="center"/>
            </w:pPr>
            <w:r>
              <w:rPr>
                <w:sz w:val="18"/>
              </w:rPr>
              <w:t>0.1</w:t>
            </w:r>
          </w:p>
        </w:tc>
        <w:tc>
          <w:tcPr>
            <w:tcW w:w="755" w:type="dxa"/>
            <w:vAlign w:val="center"/>
          </w:tcPr>
          <w:p w14:paraId="5B391042" w14:textId="24DDB3C4" w:rsidR="00B56D50" w:rsidRDefault="001C3C42" w:rsidP="001E0DA8">
            <w:pPr>
              <w:spacing w:after="0" w:line="259" w:lineRule="auto"/>
              <w:ind w:left="5" w:right="0" w:firstLine="0"/>
              <w:jc w:val="center"/>
            </w:pPr>
            <w:r>
              <w:rPr>
                <w:sz w:val="18"/>
              </w:rPr>
              <w:t>mg/L</w:t>
            </w:r>
          </w:p>
        </w:tc>
        <w:tc>
          <w:tcPr>
            <w:tcW w:w="567" w:type="dxa"/>
            <w:vAlign w:val="center"/>
          </w:tcPr>
          <w:p w14:paraId="3731AB1D" w14:textId="42C56468" w:rsidR="00B56D50" w:rsidRDefault="001C3C42" w:rsidP="001E0DA8">
            <w:pPr>
              <w:spacing w:after="0" w:line="259" w:lineRule="auto"/>
              <w:ind w:left="53" w:right="0" w:firstLine="0"/>
              <w:jc w:val="center"/>
            </w:pPr>
            <w:r>
              <w:rPr>
                <w:sz w:val="18"/>
              </w:rPr>
              <w:t>N/A</w:t>
            </w:r>
          </w:p>
        </w:tc>
        <w:tc>
          <w:tcPr>
            <w:tcW w:w="753" w:type="dxa"/>
            <w:vAlign w:val="center"/>
          </w:tcPr>
          <w:p w14:paraId="077E4A09" w14:textId="684628BD" w:rsidR="00B56D50" w:rsidRDefault="001C3C42" w:rsidP="001E0DA8">
            <w:pPr>
              <w:spacing w:after="0" w:line="259" w:lineRule="auto"/>
              <w:ind w:left="8" w:right="0" w:firstLine="0"/>
              <w:jc w:val="center"/>
            </w:pPr>
            <w:r>
              <w:rPr>
                <w:sz w:val="18"/>
              </w:rPr>
              <w:t>N/A</w:t>
            </w:r>
          </w:p>
        </w:tc>
        <w:tc>
          <w:tcPr>
            <w:tcW w:w="1050" w:type="dxa"/>
            <w:vAlign w:val="center"/>
          </w:tcPr>
          <w:p w14:paraId="12EAEE39" w14:textId="4D39AC63" w:rsidR="00B56D50" w:rsidRDefault="001C3C42" w:rsidP="001E0DA8">
            <w:pPr>
              <w:spacing w:after="0" w:line="259" w:lineRule="auto"/>
              <w:ind w:left="0" w:right="0" w:firstLine="0"/>
              <w:jc w:val="center"/>
            </w:pPr>
            <w:r>
              <w:rPr>
                <w:sz w:val="18"/>
              </w:rPr>
              <w:t>9056</w:t>
            </w:r>
          </w:p>
        </w:tc>
        <w:tc>
          <w:tcPr>
            <w:tcW w:w="862" w:type="dxa"/>
            <w:vAlign w:val="center"/>
          </w:tcPr>
          <w:p w14:paraId="59C1C7F6" w14:textId="3897359F" w:rsidR="00B56D50" w:rsidRDefault="001C3C42" w:rsidP="001E0DA8">
            <w:pPr>
              <w:spacing w:after="0" w:line="259" w:lineRule="auto"/>
              <w:ind w:left="0" w:right="0" w:firstLine="0"/>
              <w:jc w:val="center"/>
            </w:pPr>
            <w:r>
              <w:rPr>
                <w:sz w:val="18"/>
              </w:rPr>
              <w:t>9214</w:t>
            </w:r>
          </w:p>
        </w:tc>
        <w:tc>
          <w:tcPr>
            <w:tcW w:w="750" w:type="dxa"/>
            <w:vAlign w:val="center"/>
          </w:tcPr>
          <w:p w14:paraId="7A211E9A" w14:textId="6695BFE3" w:rsidR="00B56D50" w:rsidRDefault="00B56D50" w:rsidP="001E0DA8">
            <w:pPr>
              <w:spacing w:after="0" w:line="259" w:lineRule="auto"/>
              <w:ind w:left="0" w:right="0" w:firstLine="0"/>
              <w:jc w:val="center"/>
            </w:pPr>
          </w:p>
        </w:tc>
        <w:tc>
          <w:tcPr>
            <w:tcW w:w="753" w:type="dxa"/>
            <w:vAlign w:val="center"/>
          </w:tcPr>
          <w:p w14:paraId="639FEBE9" w14:textId="19EF5084" w:rsidR="00B56D50" w:rsidRDefault="00B56D50" w:rsidP="001E0DA8">
            <w:pPr>
              <w:spacing w:after="0" w:line="259" w:lineRule="auto"/>
              <w:ind w:left="0" w:right="0" w:firstLine="0"/>
              <w:jc w:val="center"/>
            </w:pPr>
          </w:p>
        </w:tc>
        <w:tc>
          <w:tcPr>
            <w:tcW w:w="442" w:type="dxa"/>
            <w:vAlign w:val="center"/>
          </w:tcPr>
          <w:p w14:paraId="092A2E21" w14:textId="0CF0A4C2" w:rsidR="00B56D50" w:rsidRDefault="00B56D50" w:rsidP="001E0DA8">
            <w:pPr>
              <w:spacing w:after="0" w:line="259" w:lineRule="auto"/>
              <w:ind w:left="0" w:right="0" w:firstLine="0"/>
              <w:jc w:val="center"/>
            </w:pPr>
          </w:p>
        </w:tc>
      </w:tr>
      <w:tr w:rsidR="00B56D50" w14:paraId="204B7A72" w14:textId="77777777" w:rsidTr="00467372">
        <w:trPr>
          <w:trHeight w:val="250"/>
        </w:trPr>
        <w:tc>
          <w:tcPr>
            <w:tcW w:w="2989" w:type="dxa"/>
            <w:vAlign w:val="center"/>
          </w:tcPr>
          <w:p w14:paraId="34AFB1B5" w14:textId="09240CC0" w:rsidR="00B56D50" w:rsidRDefault="001C3C42" w:rsidP="001E0DA8">
            <w:pPr>
              <w:spacing w:after="0" w:line="259" w:lineRule="auto"/>
              <w:ind w:left="0" w:right="0" w:firstLine="0"/>
            </w:pPr>
            <w:r>
              <w:rPr>
                <w:sz w:val="18"/>
              </w:rPr>
              <w:t>Hardness (as CaCO</w:t>
            </w:r>
            <w:r>
              <w:rPr>
                <w:sz w:val="18"/>
                <w:vertAlign w:val="subscript"/>
              </w:rPr>
              <w:t>3</w:t>
            </w:r>
            <w:r>
              <w:rPr>
                <w:sz w:val="18"/>
              </w:rPr>
              <w:t xml:space="preserve">) </w:t>
            </w:r>
          </w:p>
        </w:tc>
        <w:tc>
          <w:tcPr>
            <w:tcW w:w="1134" w:type="dxa"/>
            <w:vAlign w:val="center"/>
          </w:tcPr>
          <w:p w14:paraId="534149D0" w14:textId="30BAC339" w:rsidR="00B56D50" w:rsidRDefault="001C3C42" w:rsidP="001E0DA8">
            <w:pPr>
              <w:spacing w:after="0" w:line="259" w:lineRule="auto"/>
              <w:ind w:left="6" w:right="0" w:firstLine="0"/>
              <w:jc w:val="center"/>
            </w:pPr>
            <w:r>
              <w:rPr>
                <w:sz w:val="18"/>
              </w:rPr>
              <w:t>N/A</w:t>
            </w:r>
          </w:p>
        </w:tc>
        <w:tc>
          <w:tcPr>
            <w:tcW w:w="565" w:type="dxa"/>
            <w:vAlign w:val="center"/>
          </w:tcPr>
          <w:p w14:paraId="0AB9A155" w14:textId="033B00D6" w:rsidR="00B56D50" w:rsidRDefault="001C3C42" w:rsidP="001E0DA8">
            <w:pPr>
              <w:spacing w:after="0" w:line="259" w:lineRule="auto"/>
              <w:ind w:left="0" w:right="0" w:firstLine="0"/>
              <w:jc w:val="center"/>
            </w:pPr>
            <w:r>
              <w:rPr>
                <w:sz w:val="18"/>
              </w:rPr>
              <w:t>1</w:t>
            </w:r>
          </w:p>
        </w:tc>
        <w:tc>
          <w:tcPr>
            <w:tcW w:w="755" w:type="dxa"/>
            <w:vAlign w:val="center"/>
          </w:tcPr>
          <w:p w14:paraId="0E6EFB85" w14:textId="06ED60ED" w:rsidR="00B56D50" w:rsidRDefault="001C3C42" w:rsidP="001E0DA8">
            <w:pPr>
              <w:spacing w:after="0" w:line="259" w:lineRule="auto"/>
              <w:ind w:left="5" w:right="0" w:firstLine="0"/>
              <w:jc w:val="center"/>
            </w:pPr>
            <w:r>
              <w:rPr>
                <w:sz w:val="18"/>
              </w:rPr>
              <w:t>mg/L</w:t>
            </w:r>
          </w:p>
        </w:tc>
        <w:tc>
          <w:tcPr>
            <w:tcW w:w="567" w:type="dxa"/>
            <w:vAlign w:val="center"/>
          </w:tcPr>
          <w:p w14:paraId="52B3D549" w14:textId="29A9B4A3" w:rsidR="00B56D50" w:rsidRDefault="001C3C42" w:rsidP="001E0DA8">
            <w:pPr>
              <w:spacing w:after="0" w:line="259" w:lineRule="auto"/>
              <w:ind w:left="53" w:right="0" w:firstLine="0"/>
              <w:jc w:val="center"/>
            </w:pPr>
            <w:r>
              <w:rPr>
                <w:sz w:val="18"/>
              </w:rPr>
              <w:t>N/A</w:t>
            </w:r>
          </w:p>
        </w:tc>
        <w:tc>
          <w:tcPr>
            <w:tcW w:w="753" w:type="dxa"/>
            <w:vAlign w:val="center"/>
          </w:tcPr>
          <w:p w14:paraId="580A45A8" w14:textId="5BAC0B49" w:rsidR="00B56D50" w:rsidRDefault="001C3C42" w:rsidP="001E0DA8">
            <w:pPr>
              <w:spacing w:after="0" w:line="259" w:lineRule="auto"/>
              <w:ind w:left="8" w:right="0" w:firstLine="0"/>
              <w:jc w:val="center"/>
            </w:pPr>
            <w:r>
              <w:rPr>
                <w:sz w:val="18"/>
              </w:rPr>
              <w:t>N/A</w:t>
            </w:r>
          </w:p>
        </w:tc>
        <w:tc>
          <w:tcPr>
            <w:tcW w:w="1050" w:type="dxa"/>
            <w:vAlign w:val="center"/>
          </w:tcPr>
          <w:p w14:paraId="1D1F2CB4" w14:textId="1BF0DE92" w:rsidR="00B56D50" w:rsidRDefault="001C3C42" w:rsidP="001E0DA8">
            <w:pPr>
              <w:spacing w:after="0" w:line="259" w:lineRule="auto"/>
              <w:ind w:left="0" w:right="0" w:firstLine="0"/>
              <w:jc w:val="center"/>
            </w:pPr>
            <w:r>
              <w:rPr>
                <w:sz w:val="18"/>
              </w:rPr>
              <w:t>130.1</w:t>
            </w:r>
            <w:r w:rsidR="00025637">
              <w:rPr>
                <w:sz w:val="18"/>
              </w:rPr>
              <w:t xml:space="preserve"> </w:t>
            </w:r>
            <w:r w:rsidR="00CB495B" w:rsidRPr="00305B5E">
              <w:rPr>
                <w:b/>
                <w:bCs/>
                <w:sz w:val="18"/>
                <w:vertAlign w:val="superscript"/>
              </w:rPr>
              <w:t>8</w:t>
            </w:r>
          </w:p>
        </w:tc>
        <w:tc>
          <w:tcPr>
            <w:tcW w:w="862" w:type="dxa"/>
            <w:vAlign w:val="center"/>
          </w:tcPr>
          <w:p w14:paraId="5002B3BB" w14:textId="0297374C" w:rsidR="00B56D50" w:rsidRDefault="00B56D50" w:rsidP="001E0DA8">
            <w:pPr>
              <w:spacing w:after="0" w:line="259" w:lineRule="auto"/>
              <w:ind w:left="0" w:right="0" w:firstLine="0"/>
              <w:jc w:val="center"/>
            </w:pPr>
          </w:p>
        </w:tc>
        <w:tc>
          <w:tcPr>
            <w:tcW w:w="750" w:type="dxa"/>
            <w:vAlign w:val="center"/>
          </w:tcPr>
          <w:p w14:paraId="12B5EB92" w14:textId="7239C948" w:rsidR="00B56D50" w:rsidRDefault="00B56D50" w:rsidP="001E0DA8">
            <w:pPr>
              <w:spacing w:after="0" w:line="259" w:lineRule="auto"/>
              <w:ind w:left="0" w:right="0" w:firstLine="0"/>
              <w:jc w:val="center"/>
            </w:pPr>
          </w:p>
        </w:tc>
        <w:tc>
          <w:tcPr>
            <w:tcW w:w="753" w:type="dxa"/>
            <w:vAlign w:val="center"/>
          </w:tcPr>
          <w:p w14:paraId="681B0353" w14:textId="2DEBC039" w:rsidR="00B56D50" w:rsidRDefault="00B56D50" w:rsidP="001E0DA8">
            <w:pPr>
              <w:spacing w:after="0" w:line="259" w:lineRule="auto"/>
              <w:ind w:left="0" w:right="0" w:firstLine="0"/>
              <w:jc w:val="center"/>
            </w:pPr>
          </w:p>
        </w:tc>
        <w:tc>
          <w:tcPr>
            <w:tcW w:w="442" w:type="dxa"/>
            <w:vAlign w:val="center"/>
          </w:tcPr>
          <w:p w14:paraId="6F5B6556" w14:textId="483A284B" w:rsidR="00B56D50" w:rsidRDefault="00B56D50" w:rsidP="001E0DA8">
            <w:pPr>
              <w:spacing w:after="0" w:line="259" w:lineRule="auto"/>
              <w:ind w:left="0" w:right="0" w:firstLine="0"/>
              <w:jc w:val="center"/>
            </w:pPr>
          </w:p>
        </w:tc>
      </w:tr>
      <w:tr w:rsidR="00AC7815" w14:paraId="21C808E6" w14:textId="77777777" w:rsidTr="00467372">
        <w:trPr>
          <w:trHeight w:val="250"/>
        </w:trPr>
        <w:tc>
          <w:tcPr>
            <w:tcW w:w="2989" w:type="dxa"/>
            <w:vAlign w:val="center"/>
          </w:tcPr>
          <w:p w14:paraId="0AA537F7" w14:textId="65AA887F" w:rsidR="00AC7815" w:rsidRDefault="00AC7815" w:rsidP="001E0DA8">
            <w:pPr>
              <w:spacing w:after="0" w:line="259" w:lineRule="auto"/>
              <w:ind w:left="0" w:right="0" w:firstLine="0"/>
            </w:pPr>
            <w:r>
              <w:rPr>
                <w:sz w:val="18"/>
              </w:rPr>
              <w:t>Oxygen, Total Dissolved</w:t>
            </w:r>
            <w:r>
              <w:rPr>
                <w:sz w:val="18"/>
                <w:vertAlign w:val="superscript"/>
              </w:rPr>
              <w:t xml:space="preserve"> </w:t>
            </w:r>
          </w:p>
        </w:tc>
        <w:tc>
          <w:tcPr>
            <w:tcW w:w="1134" w:type="dxa"/>
            <w:vAlign w:val="center"/>
          </w:tcPr>
          <w:p w14:paraId="7F60BC51" w14:textId="07E0388D" w:rsidR="00AC7815" w:rsidRDefault="00AC7815" w:rsidP="001E0DA8">
            <w:pPr>
              <w:spacing w:after="0" w:line="259" w:lineRule="auto"/>
              <w:ind w:left="4" w:right="0" w:firstLine="0"/>
              <w:jc w:val="center"/>
            </w:pPr>
            <w:r>
              <w:rPr>
                <w:sz w:val="18"/>
              </w:rPr>
              <w:t>7782-44-7</w:t>
            </w:r>
          </w:p>
        </w:tc>
        <w:tc>
          <w:tcPr>
            <w:tcW w:w="565" w:type="dxa"/>
            <w:vAlign w:val="center"/>
          </w:tcPr>
          <w:p w14:paraId="3D257B78" w14:textId="39A4731A" w:rsidR="00AC7815" w:rsidRDefault="00AC7815" w:rsidP="001E0DA8">
            <w:pPr>
              <w:spacing w:after="0" w:line="259" w:lineRule="auto"/>
              <w:ind w:left="0" w:right="0" w:firstLine="0"/>
              <w:jc w:val="center"/>
            </w:pPr>
            <w:r>
              <w:rPr>
                <w:sz w:val="18"/>
              </w:rPr>
              <w:t>1</w:t>
            </w:r>
          </w:p>
        </w:tc>
        <w:tc>
          <w:tcPr>
            <w:tcW w:w="755" w:type="dxa"/>
            <w:vAlign w:val="center"/>
          </w:tcPr>
          <w:p w14:paraId="61FE70CD" w14:textId="7A289A10" w:rsidR="00AC7815" w:rsidRDefault="00AC7815" w:rsidP="001E0DA8">
            <w:pPr>
              <w:spacing w:after="0" w:line="259" w:lineRule="auto"/>
              <w:ind w:left="5" w:right="0" w:firstLine="0"/>
              <w:jc w:val="center"/>
            </w:pPr>
            <w:r>
              <w:rPr>
                <w:sz w:val="18"/>
              </w:rPr>
              <w:t>mg/L</w:t>
            </w:r>
          </w:p>
        </w:tc>
        <w:tc>
          <w:tcPr>
            <w:tcW w:w="567" w:type="dxa"/>
            <w:vAlign w:val="center"/>
          </w:tcPr>
          <w:p w14:paraId="793A49E0" w14:textId="6E83964C" w:rsidR="00AC7815" w:rsidRDefault="00AC7815" w:rsidP="001E0DA8">
            <w:pPr>
              <w:spacing w:after="0" w:line="259" w:lineRule="auto"/>
              <w:ind w:left="53" w:right="0" w:firstLine="0"/>
              <w:jc w:val="center"/>
            </w:pPr>
            <w:r>
              <w:rPr>
                <w:sz w:val="18"/>
              </w:rPr>
              <w:t>N/A</w:t>
            </w:r>
          </w:p>
        </w:tc>
        <w:tc>
          <w:tcPr>
            <w:tcW w:w="753" w:type="dxa"/>
            <w:vAlign w:val="center"/>
          </w:tcPr>
          <w:p w14:paraId="4C311BAC" w14:textId="02AB4955" w:rsidR="00AC7815" w:rsidRDefault="00AC7815" w:rsidP="001E0DA8">
            <w:pPr>
              <w:spacing w:after="0" w:line="259" w:lineRule="auto"/>
              <w:ind w:left="8" w:right="0" w:firstLine="0"/>
              <w:jc w:val="center"/>
            </w:pPr>
            <w:r>
              <w:rPr>
                <w:sz w:val="18"/>
              </w:rPr>
              <w:t>N/A</w:t>
            </w:r>
          </w:p>
        </w:tc>
        <w:tc>
          <w:tcPr>
            <w:tcW w:w="1050" w:type="dxa"/>
            <w:vAlign w:val="center"/>
          </w:tcPr>
          <w:p w14:paraId="12FF74B9" w14:textId="7E31112F" w:rsidR="00AC7815" w:rsidRDefault="00AC7815" w:rsidP="001E0DA8">
            <w:pPr>
              <w:spacing w:after="0" w:line="259" w:lineRule="auto"/>
              <w:ind w:left="0" w:right="0" w:firstLine="0"/>
              <w:jc w:val="center"/>
            </w:pPr>
            <w:r>
              <w:rPr>
                <w:sz w:val="18"/>
              </w:rPr>
              <w:t>4500·O·G</w:t>
            </w:r>
            <w:r w:rsidR="00025637">
              <w:rPr>
                <w:sz w:val="18"/>
              </w:rPr>
              <w:t xml:space="preserve"> </w:t>
            </w:r>
            <w:r w:rsidRPr="00305B5E">
              <w:rPr>
                <w:b/>
                <w:bCs/>
                <w:sz w:val="18"/>
                <w:vertAlign w:val="superscript"/>
              </w:rPr>
              <w:t>9</w:t>
            </w:r>
          </w:p>
        </w:tc>
        <w:tc>
          <w:tcPr>
            <w:tcW w:w="862" w:type="dxa"/>
            <w:vAlign w:val="center"/>
          </w:tcPr>
          <w:p w14:paraId="6D2D8B83" w14:textId="3B6D2938" w:rsidR="00AC7815" w:rsidRDefault="00AC7815" w:rsidP="001E0DA8">
            <w:pPr>
              <w:spacing w:after="0" w:line="259" w:lineRule="auto"/>
              <w:ind w:left="0" w:right="0" w:firstLine="0"/>
              <w:jc w:val="center"/>
            </w:pPr>
            <w:r>
              <w:rPr>
                <w:sz w:val="18"/>
              </w:rPr>
              <w:t>4500·O</w:t>
            </w:r>
            <w:r w:rsidR="00CF337B">
              <w:rPr>
                <w:sz w:val="18"/>
              </w:rPr>
              <w:t xml:space="preserve"> </w:t>
            </w:r>
            <w:r w:rsidRPr="00305B5E">
              <w:rPr>
                <w:b/>
                <w:bCs/>
                <w:sz w:val="18"/>
                <w:vertAlign w:val="superscript"/>
              </w:rPr>
              <w:t>9</w:t>
            </w:r>
          </w:p>
        </w:tc>
        <w:tc>
          <w:tcPr>
            <w:tcW w:w="750" w:type="dxa"/>
            <w:vAlign w:val="center"/>
          </w:tcPr>
          <w:p w14:paraId="074E042C" w14:textId="0028FC8D" w:rsidR="00AC7815" w:rsidRDefault="00AC7815" w:rsidP="001E0DA8">
            <w:pPr>
              <w:spacing w:after="0" w:line="259" w:lineRule="auto"/>
              <w:ind w:left="0" w:right="0" w:firstLine="0"/>
              <w:jc w:val="center"/>
            </w:pPr>
          </w:p>
        </w:tc>
        <w:tc>
          <w:tcPr>
            <w:tcW w:w="753" w:type="dxa"/>
            <w:vAlign w:val="center"/>
          </w:tcPr>
          <w:p w14:paraId="66792D55" w14:textId="3F6D6951" w:rsidR="00AC7815" w:rsidRDefault="00AC7815" w:rsidP="001E0DA8">
            <w:pPr>
              <w:spacing w:after="0" w:line="259" w:lineRule="auto"/>
              <w:ind w:left="0" w:right="0" w:firstLine="0"/>
              <w:jc w:val="center"/>
              <w:rPr>
                <w:sz w:val="18"/>
              </w:rPr>
            </w:pPr>
          </w:p>
        </w:tc>
        <w:tc>
          <w:tcPr>
            <w:tcW w:w="442" w:type="dxa"/>
            <w:vAlign w:val="center"/>
          </w:tcPr>
          <w:p w14:paraId="5702CEE5" w14:textId="79282B63" w:rsidR="00AC7815" w:rsidRDefault="00AC7815" w:rsidP="001E0DA8">
            <w:pPr>
              <w:spacing w:after="0" w:line="259" w:lineRule="auto"/>
              <w:ind w:left="0" w:right="0" w:firstLine="0"/>
              <w:jc w:val="center"/>
            </w:pPr>
          </w:p>
        </w:tc>
      </w:tr>
      <w:tr w:rsidR="00B56D50" w14:paraId="58EF9553" w14:textId="77777777" w:rsidTr="00467372">
        <w:trPr>
          <w:trHeight w:val="250"/>
        </w:trPr>
        <w:tc>
          <w:tcPr>
            <w:tcW w:w="2989" w:type="dxa"/>
            <w:vAlign w:val="center"/>
          </w:tcPr>
          <w:p w14:paraId="120A3401" w14:textId="6C675CC0" w:rsidR="00B56D50" w:rsidRDefault="001C3C42" w:rsidP="001E0DA8">
            <w:pPr>
              <w:spacing w:after="0" w:line="259" w:lineRule="auto"/>
              <w:ind w:left="0" w:right="0" w:firstLine="0"/>
            </w:pPr>
            <w:r>
              <w:rPr>
                <w:sz w:val="18"/>
              </w:rPr>
              <w:t>Phosphorus, Total (as PO</w:t>
            </w:r>
            <w:r>
              <w:rPr>
                <w:sz w:val="18"/>
                <w:vertAlign w:val="subscript"/>
              </w:rPr>
              <w:t>4</w:t>
            </w:r>
            <w:r>
              <w:rPr>
                <w:sz w:val="18"/>
                <w:vertAlign w:val="superscript"/>
              </w:rPr>
              <w:t>3</w:t>
            </w:r>
            <w:r>
              <w:rPr>
                <w:sz w:val="18"/>
              </w:rPr>
              <w:t xml:space="preserve">) </w:t>
            </w:r>
          </w:p>
        </w:tc>
        <w:tc>
          <w:tcPr>
            <w:tcW w:w="1134" w:type="dxa"/>
            <w:vAlign w:val="center"/>
          </w:tcPr>
          <w:p w14:paraId="2C79B2AD" w14:textId="3FE640B4" w:rsidR="00B56D50" w:rsidRDefault="001C3C42" w:rsidP="001E0DA8">
            <w:pPr>
              <w:spacing w:after="0" w:line="259" w:lineRule="auto"/>
              <w:ind w:left="67" w:right="0" w:firstLine="0"/>
              <w:jc w:val="center"/>
            </w:pPr>
            <w:r>
              <w:rPr>
                <w:sz w:val="18"/>
              </w:rPr>
              <w:t>14265-44-2</w:t>
            </w:r>
          </w:p>
        </w:tc>
        <w:tc>
          <w:tcPr>
            <w:tcW w:w="565" w:type="dxa"/>
            <w:vAlign w:val="center"/>
          </w:tcPr>
          <w:p w14:paraId="53C8660C" w14:textId="64CE3134" w:rsidR="00B56D50" w:rsidRDefault="001C3C42" w:rsidP="001E0DA8">
            <w:pPr>
              <w:spacing w:after="0" w:line="259" w:lineRule="auto"/>
              <w:ind w:left="0" w:right="0" w:firstLine="0"/>
              <w:jc w:val="center"/>
            </w:pPr>
            <w:r>
              <w:rPr>
                <w:sz w:val="18"/>
              </w:rPr>
              <w:t>0.5</w:t>
            </w:r>
          </w:p>
        </w:tc>
        <w:tc>
          <w:tcPr>
            <w:tcW w:w="755" w:type="dxa"/>
            <w:vAlign w:val="center"/>
          </w:tcPr>
          <w:p w14:paraId="49FFB3F9" w14:textId="636E2CD3" w:rsidR="00B56D50" w:rsidRDefault="001C3C42" w:rsidP="001E0DA8">
            <w:pPr>
              <w:spacing w:after="0" w:line="259" w:lineRule="auto"/>
              <w:ind w:left="5" w:right="0" w:firstLine="0"/>
              <w:jc w:val="center"/>
            </w:pPr>
            <w:r>
              <w:rPr>
                <w:sz w:val="18"/>
              </w:rPr>
              <w:t>mg/L</w:t>
            </w:r>
          </w:p>
        </w:tc>
        <w:tc>
          <w:tcPr>
            <w:tcW w:w="567" w:type="dxa"/>
            <w:vAlign w:val="center"/>
          </w:tcPr>
          <w:p w14:paraId="71A83A96" w14:textId="4929CD95" w:rsidR="00B56D50" w:rsidRDefault="001C3C42" w:rsidP="001E0DA8">
            <w:pPr>
              <w:spacing w:after="0" w:line="259" w:lineRule="auto"/>
              <w:ind w:left="72" w:right="0" w:firstLine="0"/>
              <w:jc w:val="center"/>
            </w:pPr>
            <w:r>
              <w:rPr>
                <w:sz w:val="18"/>
              </w:rPr>
              <w:t>130</w:t>
            </w:r>
          </w:p>
        </w:tc>
        <w:tc>
          <w:tcPr>
            <w:tcW w:w="753" w:type="dxa"/>
            <w:vAlign w:val="center"/>
          </w:tcPr>
          <w:p w14:paraId="5DDC723E" w14:textId="14BA7385" w:rsidR="00B56D50" w:rsidRDefault="001C3C42" w:rsidP="001E0DA8">
            <w:pPr>
              <w:spacing w:after="0" w:line="259" w:lineRule="auto"/>
              <w:ind w:left="72" w:right="0" w:firstLine="0"/>
              <w:jc w:val="center"/>
            </w:pPr>
            <w:r>
              <w:rPr>
                <w:sz w:val="18"/>
              </w:rPr>
              <w:t>mg/kg</w:t>
            </w:r>
          </w:p>
        </w:tc>
        <w:tc>
          <w:tcPr>
            <w:tcW w:w="1050" w:type="dxa"/>
            <w:vAlign w:val="center"/>
          </w:tcPr>
          <w:p w14:paraId="6D17A823" w14:textId="65D31E89" w:rsidR="00B56D50" w:rsidRDefault="001C3C42" w:rsidP="001E0DA8">
            <w:pPr>
              <w:spacing w:after="0" w:line="259" w:lineRule="auto"/>
              <w:ind w:left="0" w:right="0" w:firstLine="0"/>
              <w:jc w:val="center"/>
            </w:pPr>
            <w:r>
              <w:rPr>
                <w:sz w:val="18"/>
              </w:rPr>
              <w:t>9056</w:t>
            </w:r>
          </w:p>
        </w:tc>
        <w:tc>
          <w:tcPr>
            <w:tcW w:w="862" w:type="dxa"/>
            <w:vAlign w:val="center"/>
          </w:tcPr>
          <w:p w14:paraId="3F9A2AF8" w14:textId="6F475BC3" w:rsidR="00B56D50" w:rsidRDefault="00B56D50" w:rsidP="001E0DA8">
            <w:pPr>
              <w:spacing w:after="0" w:line="259" w:lineRule="auto"/>
              <w:ind w:left="0" w:right="0" w:firstLine="0"/>
              <w:jc w:val="center"/>
            </w:pPr>
          </w:p>
        </w:tc>
        <w:tc>
          <w:tcPr>
            <w:tcW w:w="750" w:type="dxa"/>
            <w:vAlign w:val="center"/>
          </w:tcPr>
          <w:p w14:paraId="186F476F" w14:textId="4FEE7920" w:rsidR="00B56D50" w:rsidRDefault="00B56D50" w:rsidP="001E0DA8">
            <w:pPr>
              <w:spacing w:after="0" w:line="259" w:lineRule="auto"/>
              <w:ind w:left="0" w:right="0" w:firstLine="0"/>
              <w:jc w:val="center"/>
            </w:pPr>
          </w:p>
        </w:tc>
        <w:tc>
          <w:tcPr>
            <w:tcW w:w="753" w:type="dxa"/>
            <w:vAlign w:val="center"/>
          </w:tcPr>
          <w:p w14:paraId="001430EA" w14:textId="0AA9A93A" w:rsidR="00B56D50" w:rsidRDefault="00B56D50" w:rsidP="001E0DA8">
            <w:pPr>
              <w:spacing w:after="0" w:line="259" w:lineRule="auto"/>
              <w:ind w:left="0" w:right="0" w:firstLine="0"/>
              <w:jc w:val="center"/>
            </w:pPr>
          </w:p>
        </w:tc>
        <w:tc>
          <w:tcPr>
            <w:tcW w:w="442" w:type="dxa"/>
            <w:vAlign w:val="center"/>
          </w:tcPr>
          <w:p w14:paraId="21A52E57" w14:textId="29CDDF6D" w:rsidR="00B56D50" w:rsidRDefault="00B56D50" w:rsidP="001E0DA8">
            <w:pPr>
              <w:spacing w:after="0" w:line="259" w:lineRule="auto"/>
              <w:ind w:left="0" w:right="0" w:firstLine="0"/>
              <w:jc w:val="center"/>
            </w:pPr>
          </w:p>
        </w:tc>
      </w:tr>
      <w:tr w:rsidR="00B56D50" w14:paraId="56C22B4A" w14:textId="77777777" w:rsidTr="00467372">
        <w:trPr>
          <w:trHeight w:val="252"/>
        </w:trPr>
        <w:tc>
          <w:tcPr>
            <w:tcW w:w="2989" w:type="dxa"/>
            <w:vAlign w:val="center"/>
          </w:tcPr>
          <w:p w14:paraId="7A4070D5" w14:textId="26F2663C" w:rsidR="00B56D50" w:rsidRDefault="001C3C42" w:rsidP="001E0DA8">
            <w:pPr>
              <w:spacing w:after="0" w:line="259" w:lineRule="auto"/>
              <w:ind w:left="0" w:right="0" w:firstLine="0"/>
            </w:pPr>
            <w:r>
              <w:rPr>
                <w:sz w:val="18"/>
              </w:rPr>
              <w:t>Turbidity</w:t>
            </w:r>
            <w:r>
              <w:rPr>
                <w:sz w:val="18"/>
                <w:vertAlign w:val="superscript"/>
              </w:rPr>
              <w:t xml:space="preserve"> </w:t>
            </w:r>
          </w:p>
        </w:tc>
        <w:tc>
          <w:tcPr>
            <w:tcW w:w="1134" w:type="dxa"/>
            <w:vAlign w:val="center"/>
          </w:tcPr>
          <w:p w14:paraId="153599DC" w14:textId="7F4D1E2A" w:rsidR="00B56D50" w:rsidRDefault="001C3C42" w:rsidP="001E0DA8">
            <w:pPr>
              <w:spacing w:after="0" w:line="259" w:lineRule="auto"/>
              <w:ind w:left="6" w:right="0" w:firstLine="0"/>
              <w:jc w:val="center"/>
            </w:pPr>
            <w:r>
              <w:rPr>
                <w:sz w:val="18"/>
              </w:rPr>
              <w:t>N/A</w:t>
            </w:r>
          </w:p>
        </w:tc>
        <w:tc>
          <w:tcPr>
            <w:tcW w:w="565" w:type="dxa"/>
            <w:vAlign w:val="center"/>
          </w:tcPr>
          <w:p w14:paraId="445C57C6" w14:textId="73BE05D3" w:rsidR="00B56D50" w:rsidRDefault="001C3C42" w:rsidP="001E0DA8">
            <w:pPr>
              <w:spacing w:after="0" w:line="259" w:lineRule="auto"/>
              <w:ind w:left="0" w:right="0" w:firstLine="0"/>
              <w:jc w:val="center"/>
            </w:pPr>
            <w:r>
              <w:rPr>
                <w:sz w:val="18"/>
              </w:rPr>
              <w:t>0.5</w:t>
            </w:r>
          </w:p>
        </w:tc>
        <w:tc>
          <w:tcPr>
            <w:tcW w:w="755" w:type="dxa"/>
            <w:vAlign w:val="center"/>
          </w:tcPr>
          <w:p w14:paraId="25A03261" w14:textId="5A012BC4" w:rsidR="00B56D50" w:rsidRDefault="001C3C42" w:rsidP="001E0DA8">
            <w:pPr>
              <w:spacing w:after="0" w:line="259" w:lineRule="auto"/>
              <w:ind w:left="118" w:right="0" w:firstLine="0"/>
              <w:jc w:val="center"/>
            </w:pPr>
            <w:r>
              <w:rPr>
                <w:sz w:val="18"/>
              </w:rPr>
              <w:t>NTU</w:t>
            </w:r>
          </w:p>
        </w:tc>
        <w:tc>
          <w:tcPr>
            <w:tcW w:w="567" w:type="dxa"/>
            <w:vAlign w:val="center"/>
          </w:tcPr>
          <w:p w14:paraId="0DB978DA" w14:textId="63C09D3A" w:rsidR="00B56D50" w:rsidRDefault="001C3C42" w:rsidP="001E0DA8">
            <w:pPr>
              <w:spacing w:after="0" w:line="259" w:lineRule="auto"/>
              <w:ind w:left="53" w:right="0" w:firstLine="0"/>
              <w:jc w:val="center"/>
            </w:pPr>
            <w:r>
              <w:rPr>
                <w:sz w:val="18"/>
              </w:rPr>
              <w:t>N/A</w:t>
            </w:r>
          </w:p>
        </w:tc>
        <w:tc>
          <w:tcPr>
            <w:tcW w:w="753" w:type="dxa"/>
            <w:vAlign w:val="center"/>
          </w:tcPr>
          <w:p w14:paraId="1F5DECDC" w14:textId="79F8EFDE" w:rsidR="00B56D50" w:rsidRDefault="001C3C42" w:rsidP="001E0DA8">
            <w:pPr>
              <w:spacing w:after="0" w:line="259" w:lineRule="auto"/>
              <w:ind w:left="8" w:right="0" w:firstLine="0"/>
              <w:jc w:val="center"/>
            </w:pPr>
            <w:r>
              <w:rPr>
                <w:sz w:val="18"/>
              </w:rPr>
              <w:t>N/A</w:t>
            </w:r>
          </w:p>
        </w:tc>
        <w:tc>
          <w:tcPr>
            <w:tcW w:w="1050" w:type="dxa"/>
            <w:vAlign w:val="center"/>
          </w:tcPr>
          <w:p w14:paraId="71546718" w14:textId="1F983A8F" w:rsidR="00B56D50" w:rsidRDefault="001C3C42" w:rsidP="001E0DA8">
            <w:pPr>
              <w:spacing w:after="0" w:line="259" w:lineRule="auto"/>
              <w:ind w:left="0" w:right="0" w:firstLine="0"/>
              <w:jc w:val="center"/>
            </w:pPr>
            <w:r>
              <w:rPr>
                <w:sz w:val="18"/>
              </w:rPr>
              <w:t>180.1</w:t>
            </w:r>
            <w:r w:rsidR="00025637">
              <w:rPr>
                <w:sz w:val="18"/>
              </w:rPr>
              <w:t xml:space="preserve"> </w:t>
            </w:r>
            <w:r w:rsidR="00261FD4" w:rsidRPr="00305B5E">
              <w:rPr>
                <w:b/>
                <w:bCs/>
                <w:sz w:val="18"/>
                <w:vertAlign w:val="superscript"/>
              </w:rPr>
              <w:t>8</w:t>
            </w:r>
          </w:p>
        </w:tc>
        <w:tc>
          <w:tcPr>
            <w:tcW w:w="862" w:type="dxa"/>
            <w:vAlign w:val="center"/>
          </w:tcPr>
          <w:p w14:paraId="4E04063E" w14:textId="2E0B3706" w:rsidR="00B56D50" w:rsidRDefault="00B56D50" w:rsidP="001E0DA8">
            <w:pPr>
              <w:spacing w:after="0" w:line="259" w:lineRule="auto"/>
              <w:ind w:left="0" w:right="0" w:firstLine="0"/>
              <w:jc w:val="center"/>
            </w:pPr>
          </w:p>
        </w:tc>
        <w:tc>
          <w:tcPr>
            <w:tcW w:w="750" w:type="dxa"/>
            <w:vAlign w:val="center"/>
          </w:tcPr>
          <w:p w14:paraId="0B70628D" w14:textId="5E17068A" w:rsidR="00B56D50" w:rsidRDefault="00B56D50" w:rsidP="001E0DA8">
            <w:pPr>
              <w:spacing w:after="0" w:line="259" w:lineRule="auto"/>
              <w:ind w:left="0" w:right="0" w:firstLine="0"/>
              <w:jc w:val="center"/>
            </w:pPr>
          </w:p>
        </w:tc>
        <w:tc>
          <w:tcPr>
            <w:tcW w:w="753" w:type="dxa"/>
            <w:vAlign w:val="center"/>
          </w:tcPr>
          <w:p w14:paraId="71816F85" w14:textId="3462D5BE" w:rsidR="00B56D50" w:rsidRDefault="00B56D50" w:rsidP="001E0DA8">
            <w:pPr>
              <w:spacing w:after="0" w:line="259" w:lineRule="auto"/>
              <w:ind w:left="0" w:right="0" w:firstLine="0"/>
              <w:jc w:val="center"/>
            </w:pPr>
          </w:p>
        </w:tc>
        <w:tc>
          <w:tcPr>
            <w:tcW w:w="442" w:type="dxa"/>
            <w:vAlign w:val="center"/>
          </w:tcPr>
          <w:p w14:paraId="0DA03948" w14:textId="4EAEAC4B" w:rsidR="00B56D50" w:rsidRDefault="00B56D50" w:rsidP="001E0DA8">
            <w:pPr>
              <w:spacing w:after="0" w:line="259" w:lineRule="auto"/>
              <w:ind w:left="0" w:right="0" w:firstLine="0"/>
              <w:jc w:val="center"/>
            </w:pPr>
          </w:p>
        </w:tc>
      </w:tr>
    </w:tbl>
    <w:p w14:paraId="0F909A0B" w14:textId="5074408D" w:rsidR="00B56D50" w:rsidRDefault="00B56D50" w:rsidP="00BF6E5D">
      <w:pPr>
        <w:pStyle w:val="Heading5"/>
        <w:ind w:left="0" w:right="530" w:firstLine="0"/>
        <w:jc w:val="left"/>
      </w:pPr>
    </w:p>
    <w:p w14:paraId="77C21A7F" w14:textId="77777777" w:rsidR="00CE66A1" w:rsidRDefault="00CE66A1" w:rsidP="00862FF1"/>
    <w:p w14:paraId="11BF96E5" w14:textId="77777777" w:rsidR="00CE66A1" w:rsidRDefault="00CE66A1" w:rsidP="00862FF1"/>
    <w:p w14:paraId="1484BE8C" w14:textId="77777777" w:rsidR="006F07DD" w:rsidRDefault="006F07DD" w:rsidP="00862FF1"/>
    <w:p w14:paraId="5E3F102A" w14:textId="77777777" w:rsidR="006F07DD" w:rsidRDefault="006F07DD" w:rsidP="00862FF1"/>
    <w:p w14:paraId="3E443FDC" w14:textId="77777777" w:rsidR="00CE66A1" w:rsidRDefault="00CE66A1" w:rsidP="00862FF1"/>
    <w:p w14:paraId="57A5964F" w14:textId="77777777" w:rsidR="00CE66A1" w:rsidRPr="00CE66A1" w:rsidRDefault="00CE66A1" w:rsidP="000A501E"/>
    <w:tbl>
      <w:tblPr>
        <w:tblStyle w:val="TableGrid1"/>
        <w:tblW w:w="10620" w:type="dxa"/>
        <w:tblInd w:w="-375" w:type="dxa"/>
        <w:tblLayout w:type="fixed"/>
        <w:tblCellMar>
          <w:top w:w="8" w:type="dxa"/>
          <w:left w:w="72" w:type="dxa"/>
          <w:right w:w="85" w:type="dxa"/>
        </w:tblCellMar>
        <w:tblLook w:val="04A0" w:firstRow="1" w:lastRow="0" w:firstColumn="1" w:lastColumn="0" w:noHBand="0" w:noVBand="1"/>
      </w:tblPr>
      <w:tblGrid>
        <w:gridCol w:w="3647"/>
        <w:gridCol w:w="1091"/>
        <w:gridCol w:w="637"/>
        <w:gridCol w:w="728"/>
        <w:gridCol w:w="635"/>
        <w:gridCol w:w="727"/>
        <w:gridCol w:w="802"/>
        <w:gridCol w:w="727"/>
        <w:gridCol w:w="636"/>
        <w:gridCol w:w="545"/>
        <w:gridCol w:w="445"/>
      </w:tblGrid>
      <w:tr w:rsidR="00B56D50" w14:paraId="5267B77E" w14:textId="77777777" w:rsidTr="00467372">
        <w:trPr>
          <w:trHeight w:val="245"/>
          <w:tblHeader/>
        </w:trPr>
        <w:tc>
          <w:tcPr>
            <w:tcW w:w="7465" w:type="dxa"/>
            <w:gridSpan w:val="6"/>
            <w:tcBorders>
              <w:top w:val="single" w:sz="12" w:space="0" w:color="000000"/>
              <w:left w:val="single" w:sz="12" w:space="0" w:color="000000"/>
              <w:bottom w:val="single" w:sz="12" w:space="0" w:color="000000"/>
              <w:right w:val="nil"/>
            </w:tcBorders>
            <w:vAlign w:val="center"/>
          </w:tcPr>
          <w:p w14:paraId="39725B22" w14:textId="3714DF66" w:rsidR="00B56D50" w:rsidRDefault="001C3C42" w:rsidP="00941281">
            <w:pPr>
              <w:spacing w:after="0" w:line="259" w:lineRule="auto"/>
              <w:ind w:left="36" w:right="0" w:firstLine="0"/>
            </w:pPr>
            <w:r>
              <w:rPr>
                <w:b/>
                <w:sz w:val="18"/>
              </w:rPr>
              <w:lastRenderedPageBreak/>
              <w:t xml:space="preserve">GENERAL CHEMISTRY – Group </w:t>
            </w:r>
            <w:r w:rsidRPr="00EB3E70">
              <w:rPr>
                <w:b/>
                <w:sz w:val="18"/>
              </w:rPr>
              <w:t>D:</w:t>
            </w:r>
            <w:r w:rsidRPr="000A501E">
              <w:rPr>
                <w:b/>
                <w:sz w:val="18"/>
              </w:rPr>
              <w:t xml:space="preserve">  Non-Specific Organic Determinations</w:t>
            </w:r>
          </w:p>
        </w:tc>
        <w:tc>
          <w:tcPr>
            <w:tcW w:w="802" w:type="dxa"/>
            <w:tcBorders>
              <w:top w:val="single" w:sz="12" w:space="0" w:color="000000"/>
              <w:left w:val="nil"/>
              <w:bottom w:val="single" w:sz="12" w:space="0" w:color="000000"/>
              <w:right w:val="nil"/>
            </w:tcBorders>
            <w:vAlign w:val="center"/>
          </w:tcPr>
          <w:p w14:paraId="731EF799" w14:textId="77777777" w:rsidR="00B56D50" w:rsidRDefault="00B56D50" w:rsidP="00941281">
            <w:pPr>
              <w:spacing w:after="160" w:line="259" w:lineRule="auto"/>
              <w:ind w:left="0" w:right="0" w:firstLine="0"/>
            </w:pPr>
          </w:p>
        </w:tc>
        <w:tc>
          <w:tcPr>
            <w:tcW w:w="2353" w:type="dxa"/>
            <w:gridSpan w:val="4"/>
            <w:tcBorders>
              <w:top w:val="single" w:sz="12" w:space="0" w:color="000000"/>
              <w:left w:val="nil"/>
              <w:bottom w:val="single" w:sz="12" w:space="0" w:color="000000"/>
              <w:right w:val="single" w:sz="12" w:space="0" w:color="000000"/>
            </w:tcBorders>
            <w:vAlign w:val="center"/>
          </w:tcPr>
          <w:p w14:paraId="060D9708" w14:textId="77777777" w:rsidR="00B56D50" w:rsidRDefault="00B56D50" w:rsidP="00941281">
            <w:pPr>
              <w:spacing w:after="160" w:line="259" w:lineRule="auto"/>
              <w:ind w:left="0" w:right="0" w:firstLine="0"/>
            </w:pPr>
          </w:p>
        </w:tc>
      </w:tr>
      <w:tr w:rsidR="00B56D50" w14:paraId="24A8B005" w14:textId="77777777" w:rsidTr="00467372">
        <w:trPr>
          <w:trHeight w:val="271"/>
          <w:tblHeader/>
        </w:trPr>
        <w:tc>
          <w:tcPr>
            <w:tcW w:w="3647" w:type="dxa"/>
            <w:vMerge w:val="restart"/>
            <w:tcBorders>
              <w:top w:val="single" w:sz="12" w:space="0" w:color="000000"/>
              <w:left w:val="single" w:sz="12" w:space="0" w:color="000000"/>
              <w:bottom w:val="single" w:sz="12" w:space="0" w:color="000000"/>
              <w:right w:val="single" w:sz="12" w:space="0" w:color="000000"/>
            </w:tcBorders>
            <w:vAlign w:val="center"/>
          </w:tcPr>
          <w:p w14:paraId="78E02340" w14:textId="475156DC" w:rsidR="00B56D50" w:rsidRDefault="001C3C42" w:rsidP="00941281">
            <w:pPr>
              <w:spacing w:after="0" w:line="259" w:lineRule="auto"/>
              <w:ind w:left="11" w:right="0" w:firstLine="0"/>
              <w:jc w:val="center"/>
            </w:pPr>
            <w:r>
              <w:rPr>
                <w:b/>
                <w:sz w:val="18"/>
              </w:rPr>
              <w:t>Analyte</w:t>
            </w:r>
          </w:p>
        </w:tc>
        <w:tc>
          <w:tcPr>
            <w:tcW w:w="1091" w:type="dxa"/>
            <w:vMerge w:val="restart"/>
            <w:tcBorders>
              <w:top w:val="single" w:sz="12" w:space="0" w:color="000000"/>
              <w:left w:val="single" w:sz="12" w:space="0" w:color="000000"/>
              <w:bottom w:val="single" w:sz="12" w:space="0" w:color="000000"/>
              <w:right w:val="single" w:sz="12" w:space="0" w:color="000000"/>
            </w:tcBorders>
            <w:vAlign w:val="center"/>
          </w:tcPr>
          <w:p w14:paraId="49B537D3" w14:textId="59645DC6" w:rsidR="00B56D50" w:rsidRDefault="001C3C42" w:rsidP="00941281">
            <w:pPr>
              <w:spacing w:after="0" w:line="259" w:lineRule="auto"/>
              <w:ind w:left="0" w:right="0" w:firstLine="0"/>
              <w:jc w:val="center"/>
            </w:pPr>
            <w:r>
              <w:rPr>
                <w:b/>
                <w:sz w:val="18"/>
              </w:rPr>
              <w:t>CAS Number</w:t>
            </w:r>
          </w:p>
        </w:tc>
        <w:tc>
          <w:tcPr>
            <w:tcW w:w="1365" w:type="dxa"/>
            <w:gridSpan w:val="2"/>
            <w:tcBorders>
              <w:top w:val="single" w:sz="12" w:space="0" w:color="000000"/>
              <w:left w:val="single" w:sz="12" w:space="0" w:color="000000"/>
              <w:bottom w:val="single" w:sz="12" w:space="0" w:color="000000"/>
              <w:right w:val="single" w:sz="12" w:space="0" w:color="000000"/>
            </w:tcBorders>
            <w:vAlign w:val="center"/>
          </w:tcPr>
          <w:p w14:paraId="482B70F2" w14:textId="7A6E53EF" w:rsidR="00B56D50" w:rsidRDefault="001C3C42" w:rsidP="00941281">
            <w:pPr>
              <w:spacing w:after="0" w:line="259" w:lineRule="auto"/>
              <w:ind w:left="5" w:right="0" w:firstLine="0"/>
              <w:jc w:val="center"/>
            </w:pPr>
            <w:r>
              <w:rPr>
                <w:b/>
                <w:sz w:val="18"/>
              </w:rPr>
              <w:t>Aqueous</w:t>
            </w:r>
          </w:p>
        </w:tc>
        <w:tc>
          <w:tcPr>
            <w:tcW w:w="1362" w:type="dxa"/>
            <w:gridSpan w:val="2"/>
            <w:tcBorders>
              <w:top w:val="single" w:sz="12" w:space="0" w:color="000000"/>
              <w:left w:val="single" w:sz="12" w:space="0" w:color="000000"/>
              <w:bottom w:val="single" w:sz="12" w:space="0" w:color="000000"/>
              <w:right w:val="single" w:sz="12" w:space="0" w:color="000000"/>
            </w:tcBorders>
            <w:vAlign w:val="center"/>
          </w:tcPr>
          <w:p w14:paraId="4598BED8" w14:textId="7317F88C" w:rsidR="00B56D50" w:rsidRDefault="006B693C" w:rsidP="00941281">
            <w:pPr>
              <w:spacing w:after="0" w:line="259" w:lineRule="auto"/>
              <w:ind w:left="74" w:right="0" w:firstLine="0"/>
              <w:jc w:val="center"/>
            </w:pPr>
            <w:r>
              <w:rPr>
                <w:b/>
                <w:sz w:val="18"/>
              </w:rPr>
              <w:t>Soil/Sediment</w:t>
            </w:r>
          </w:p>
        </w:tc>
        <w:tc>
          <w:tcPr>
            <w:tcW w:w="802" w:type="dxa"/>
            <w:vMerge w:val="restart"/>
            <w:tcBorders>
              <w:top w:val="single" w:sz="12" w:space="0" w:color="000000"/>
              <w:left w:val="single" w:sz="12" w:space="0" w:color="000000"/>
              <w:bottom w:val="single" w:sz="12" w:space="0" w:color="000000"/>
              <w:right w:val="nil"/>
            </w:tcBorders>
            <w:vAlign w:val="center"/>
          </w:tcPr>
          <w:p w14:paraId="0FDE3086" w14:textId="77777777" w:rsidR="00B56D50" w:rsidRDefault="00B56D50" w:rsidP="00941281">
            <w:pPr>
              <w:spacing w:after="160" w:line="259" w:lineRule="auto"/>
              <w:ind w:left="0" w:right="0" w:firstLine="0"/>
              <w:jc w:val="center"/>
            </w:pPr>
          </w:p>
        </w:tc>
        <w:tc>
          <w:tcPr>
            <w:tcW w:w="2353" w:type="dxa"/>
            <w:gridSpan w:val="4"/>
            <w:vMerge w:val="restart"/>
            <w:tcBorders>
              <w:top w:val="single" w:sz="12" w:space="0" w:color="000000"/>
              <w:left w:val="nil"/>
              <w:bottom w:val="single" w:sz="12" w:space="0" w:color="000000"/>
              <w:right w:val="single" w:sz="12" w:space="0" w:color="000000"/>
            </w:tcBorders>
            <w:vAlign w:val="center"/>
          </w:tcPr>
          <w:p w14:paraId="59F8462A" w14:textId="7845C185" w:rsidR="00B56D50" w:rsidRDefault="001C3C42" w:rsidP="00510CA5">
            <w:pPr>
              <w:spacing w:after="0" w:line="259" w:lineRule="auto"/>
              <w:ind w:left="106" w:right="0" w:firstLine="0"/>
            </w:pPr>
            <w:r>
              <w:rPr>
                <w:b/>
                <w:sz w:val="18"/>
              </w:rPr>
              <w:t>Acceptable Methods</w:t>
            </w:r>
          </w:p>
        </w:tc>
      </w:tr>
      <w:tr w:rsidR="00950E59" w14:paraId="6E170F8B" w14:textId="77777777" w:rsidTr="00910C8B">
        <w:trPr>
          <w:trHeight w:val="269"/>
          <w:tblHeader/>
        </w:trPr>
        <w:tc>
          <w:tcPr>
            <w:tcW w:w="3647" w:type="dxa"/>
            <w:vMerge/>
            <w:tcBorders>
              <w:top w:val="nil"/>
              <w:left w:val="single" w:sz="12" w:space="0" w:color="000000"/>
              <w:bottom w:val="single" w:sz="12" w:space="0" w:color="000000"/>
              <w:right w:val="single" w:sz="12" w:space="0" w:color="000000"/>
            </w:tcBorders>
            <w:vAlign w:val="center"/>
          </w:tcPr>
          <w:p w14:paraId="767585D5" w14:textId="77777777" w:rsidR="00B56D50" w:rsidRDefault="00B56D50" w:rsidP="00941281">
            <w:pPr>
              <w:spacing w:after="160" w:line="259" w:lineRule="auto"/>
              <w:ind w:left="0" w:right="0" w:firstLine="0"/>
              <w:jc w:val="center"/>
            </w:pPr>
          </w:p>
        </w:tc>
        <w:tc>
          <w:tcPr>
            <w:tcW w:w="1091" w:type="dxa"/>
            <w:vMerge/>
            <w:tcBorders>
              <w:top w:val="nil"/>
              <w:left w:val="single" w:sz="12" w:space="0" w:color="000000"/>
              <w:bottom w:val="single" w:sz="12" w:space="0" w:color="000000"/>
              <w:right w:val="single" w:sz="12" w:space="0" w:color="000000"/>
            </w:tcBorders>
            <w:vAlign w:val="center"/>
          </w:tcPr>
          <w:p w14:paraId="159C2A4D" w14:textId="77777777" w:rsidR="00B56D50" w:rsidRDefault="00B56D50" w:rsidP="00941281">
            <w:pPr>
              <w:spacing w:after="160" w:line="259" w:lineRule="auto"/>
              <w:ind w:left="0" w:right="0" w:firstLine="0"/>
              <w:jc w:val="center"/>
            </w:pPr>
          </w:p>
        </w:tc>
        <w:tc>
          <w:tcPr>
            <w:tcW w:w="637" w:type="dxa"/>
            <w:tcBorders>
              <w:top w:val="single" w:sz="12" w:space="0" w:color="000000"/>
              <w:left w:val="single" w:sz="12" w:space="0" w:color="000000"/>
              <w:bottom w:val="single" w:sz="12" w:space="0" w:color="000000"/>
              <w:right w:val="single" w:sz="12" w:space="0" w:color="000000"/>
            </w:tcBorders>
            <w:vAlign w:val="center"/>
          </w:tcPr>
          <w:p w14:paraId="230F916F" w14:textId="3D8D6115" w:rsidR="00B56D50" w:rsidRDefault="001C3C42" w:rsidP="00941281">
            <w:pPr>
              <w:spacing w:after="0" w:line="259" w:lineRule="auto"/>
              <w:ind w:left="118" w:right="0" w:firstLine="0"/>
              <w:jc w:val="center"/>
            </w:pPr>
            <w:r>
              <w:rPr>
                <w:b/>
                <w:sz w:val="18"/>
              </w:rPr>
              <w:t>RL</w:t>
            </w:r>
          </w:p>
        </w:tc>
        <w:tc>
          <w:tcPr>
            <w:tcW w:w="728" w:type="dxa"/>
            <w:tcBorders>
              <w:top w:val="single" w:sz="12" w:space="0" w:color="000000"/>
              <w:left w:val="single" w:sz="12" w:space="0" w:color="000000"/>
              <w:bottom w:val="single" w:sz="12" w:space="0" w:color="000000"/>
              <w:right w:val="single" w:sz="12" w:space="0" w:color="000000"/>
            </w:tcBorders>
            <w:vAlign w:val="center"/>
          </w:tcPr>
          <w:p w14:paraId="274B116A" w14:textId="73D22B62" w:rsidR="00B56D50" w:rsidRDefault="001C3C42" w:rsidP="00941281">
            <w:pPr>
              <w:spacing w:after="0" w:line="259" w:lineRule="auto"/>
              <w:ind w:left="5" w:right="0" w:firstLine="0"/>
              <w:jc w:val="center"/>
            </w:pPr>
            <w:r>
              <w:rPr>
                <w:b/>
                <w:sz w:val="18"/>
              </w:rPr>
              <w:t>units</w:t>
            </w:r>
          </w:p>
        </w:tc>
        <w:tc>
          <w:tcPr>
            <w:tcW w:w="635" w:type="dxa"/>
            <w:tcBorders>
              <w:top w:val="single" w:sz="12" w:space="0" w:color="000000"/>
              <w:left w:val="single" w:sz="12" w:space="0" w:color="000000"/>
              <w:bottom w:val="single" w:sz="12" w:space="0" w:color="000000"/>
              <w:right w:val="single" w:sz="12" w:space="0" w:color="000000"/>
            </w:tcBorders>
            <w:vAlign w:val="center"/>
          </w:tcPr>
          <w:p w14:paraId="05E7CAEE" w14:textId="60D736C0" w:rsidR="00B56D50" w:rsidRDefault="001C3C42" w:rsidP="00941281">
            <w:pPr>
              <w:spacing w:after="0" w:line="259" w:lineRule="auto"/>
              <w:ind w:left="115" w:right="0" w:firstLine="0"/>
              <w:jc w:val="center"/>
            </w:pPr>
            <w:r>
              <w:rPr>
                <w:b/>
                <w:sz w:val="18"/>
              </w:rPr>
              <w:t>RL</w:t>
            </w:r>
          </w:p>
        </w:tc>
        <w:tc>
          <w:tcPr>
            <w:tcW w:w="727" w:type="dxa"/>
            <w:tcBorders>
              <w:top w:val="single" w:sz="12" w:space="0" w:color="000000"/>
              <w:left w:val="single" w:sz="12" w:space="0" w:color="000000"/>
              <w:bottom w:val="single" w:sz="12" w:space="0" w:color="000000"/>
              <w:right w:val="single" w:sz="12" w:space="0" w:color="000000"/>
            </w:tcBorders>
            <w:vAlign w:val="center"/>
          </w:tcPr>
          <w:p w14:paraId="2860C183" w14:textId="3B5C502C" w:rsidR="00B56D50" w:rsidRDefault="001C3C42" w:rsidP="00941281">
            <w:pPr>
              <w:spacing w:after="0" w:line="259" w:lineRule="auto"/>
              <w:ind w:right="0" w:firstLine="0"/>
              <w:jc w:val="center"/>
            </w:pPr>
            <w:r>
              <w:rPr>
                <w:b/>
                <w:sz w:val="18"/>
              </w:rPr>
              <w:t>units</w:t>
            </w:r>
          </w:p>
        </w:tc>
        <w:tc>
          <w:tcPr>
            <w:tcW w:w="802" w:type="dxa"/>
            <w:vMerge/>
            <w:tcBorders>
              <w:top w:val="nil"/>
              <w:left w:val="single" w:sz="12" w:space="0" w:color="000000"/>
              <w:bottom w:val="single" w:sz="12" w:space="0" w:color="000000"/>
              <w:right w:val="nil"/>
            </w:tcBorders>
            <w:vAlign w:val="center"/>
          </w:tcPr>
          <w:p w14:paraId="22EC8925" w14:textId="77777777" w:rsidR="00B56D50" w:rsidRDefault="00B56D50" w:rsidP="00941281">
            <w:pPr>
              <w:spacing w:after="160" w:line="259" w:lineRule="auto"/>
              <w:ind w:left="0" w:right="0" w:firstLine="0"/>
              <w:jc w:val="center"/>
            </w:pPr>
          </w:p>
        </w:tc>
        <w:tc>
          <w:tcPr>
            <w:tcW w:w="2353" w:type="dxa"/>
            <w:gridSpan w:val="4"/>
            <w:vMerge/>
            <w:tcBorders>
              <w:top w:val="nil"/>
              <w:left w:val="nil"/>
              <w:bottom w:val="single" w:sz="12" w:space="0" w:color="000000"/>
              <w:right w:val="single" w:sz="12" w:space="0" w:color="000000"/>
            </w:tcBorders>
            <w:vAlign w:val="center"/>
          </w:tcPr>
          <w:p w14:paraId="67562003" w14:textId="77777777" w:rsidR="00B56D50" w:rsidRDefault="00B56D50" w:rsidP="00941281">
            <w:pPr>
              <w:spacing w:after="160" w:line="259" w:lineRule="auto"/>
              <w:ind w:left="0" w:right="0" w:firstLine="0"/>
              <w:jc w:val="center"/>
            </w:pPr>
          </w:p>
        </w:tc>
      </w:tr>
      <w:tr w:rsidR="00B56D50" w14:paraId="305EAC10" w14:textId="77777777" w:rsidTr="00467372">
        <w:trPr>
          <w:trHeight w:val="262"/>
        </w:trPr>
        <w:tc>
          <w:tcPr>
            <w:tcW w:w="3647" w:type="dxa"/>
            <w:tcBorders>
              <w:top w:val="single" w:sz="12" w:space="0" w:color="000000"/>
              <w:left w:val="single" w:sz="12" w:space="0" w:color="000000"/>
              <w:bottom w:val="single" w:sz="4" w:space="0" w:color="000000"/>
              <w:right w:val="single" w:sz="12" w:space="0" w:color="000000"/>
            </w:tcBorders>
          </w:tcPr>
          <w:p w14:paraId="05BC3C63" w14:textId="77777777" w:rsidR="00B56D50" w:rsidRDefault="001C3C42" w:rsidP="00A96221">
            <w:pPr>
              <w:spacing w:after="0" w:line="259" w:lineRule="auto"/>
              <w:ind w:left="0" w:right="0" w:firstLine="0"/>
            </w:pPr>
            <w:r>
              <w:rPr>
                <w:sz w:val="18"/>
              </w:rPr>
              <w:t xml:space="preserve">Oil and Grease (HEM) </w:t>
            </w:r>
          </w:p>
        </w:tc>
        <w:tc>
          <w:tcPr>
            <w:tcW w:w="1091" w:type="dxa"/>
            <w:tcBorders>
              <w:top w:val="single" w:sz="12" w:space="0" w:color="000000"/>
              <w:left w:val="single" w:sz="12" w:space="0" w:color="000000"/>
              <w:bottom w:val="single" w:sz="4" w:space="0" w:color="000000"/>
              <w:right w:val="single" w:sz="12" w:space="0" w:color="000000"/>
            </w:tcBorders>
          </w:tcPr>
          <w:p w14:paraId="2165633B" w14:textId="24E75454" w:rsidR="00B56D50" w:rsidRDefault="001C3C42" w:rsidP="00A96221">
            <w:pPr>
              <w:spacing w:after="0" w:line="259" w:lineRule="auto"/>
              <w:ind w:left="11" w:right="0" w:firstLine="0"/>
              <w:jc w:val="center"/>
            </w:pPr>
            <w:r>
              <w:rPr>
                <w:sz w:val="18"/>
              </w:rPr>
              <w:t>N/A</w:t>
            </w:r>
          </w:p>
        </w:tc>
        <w:tc>
          <w:tcPr>
            <w:tcW w:w="637" w:type="dxa"/>
            <w:tcBorders>
              <w:top w:val="single" w:sz="12" w:space="0" w:color="000000"/>
              <w:left w:val="single" w:sz="12" w:space="0" w:color="000000"/>
              <w:bottom w:val="single" w:sz="4" w:space="0" w:color="000000"/>
              <w:right w:val="single" w:sz="12" w:space="0" w:color="000000"/>
            </w:tcBorders>
          </w:tcPr>
          <w:p w14:paraId="499C89ED" w14:textId="2980164B" w:rsidR="00B56D50" w:rsidRDefault="001C3C42" w:rsidP="00A96221">
            <w:pPr>
              <w:spacing w:after="0" w:line="259" w:lineRule="auto"/>
              <w:ind w:left="0" w:right="0" w:firstLine="0"/>
              <w:jc w:val="center"/>
            </w:pPr>
            <w:r>
              <w:rPr>
                <w:sz w:val="18"/>
              </w:rPr>
              <w:t>5</w:t>
            </w:r>
          </w:p>
        </w:tc>
        <w:tc>
          <w:tcPr>
            <w:tcW w:w="728" w:type="dxa"/>
            <w:tcBorders>
              <w:top w:val="single" w:sz="12" w:space="0" w:color="000000"/>
              <w:left w:val="single" w:sz="12" w:space="0" w:color="000000"/>
              <w:bottom w:val="single" w:sz="4" w:space="0" w:color="000000"/>
              <w:right w:val="single" w:sz="12" w:space="0" w:color="000000"/>
            </w:tcBorders>
          </w:tcPr>
          <w:p w14:paraId="15642B7B" w14:textId="599ACDD7" w:rsidR="00B56D50" w:rsidRDefault="001C3C42" w:rsidP="00A96221">
            <w:pPr>
              <w:spacing w:after="0" w:line="259" w:lineRule="auto"/>
              <w:ind w:left="91" w:right="0" w:firstLine="0"/>
              <w:jc w:val="center"/>
            </w:pPr>
            <w:r>
              <w:rPr>
                <w:sz w:val="18"/>
              </w:rPr>
              <w:t>mg/L</w:t>
            </w:r>
          </w:p>
        </w:tc>
        <w:tc>
          <w:tcPr>
            <w:tcW w:w="635" w:type="dxa"/>
            <w:tcBorders>
              <w:top w:val="single" w:sz="12" w:space="0" w:color="000000"/>
              <w:left w:val="single" w:sz="12" w:space="0" w:color="000000"/>
              <w:bottom w:val="single" w:sz="4" w:space="0" w:color="000000"/>
              <w:right w:val="single" w:sz="12" w:space="0" w:color="000000"/>
            </w:tcBorders>
          </w:tcPr>
          <w:p w14:paraId="3EE4D41E" w14:textId="29486837" w:rsidR="00B56D50" w:rsidRDefault="001C3C42" w:rsidP="00A96221">
            <w:pPr>
              <w:spacing w:after="0" w:line="259" w:lineRule="auto"/>
              <w:ind w:left="0" w:right="0" w:firstLine="0"/>
              <w:jc w:val="center"/>
            </w:pPr>
            <w:r>
              <w:rPr>
                <w:sz w:val="18"/>
              </w:rPr>
              <w:t>10</w:t>
            </w:r>
          </w:p>
        </w:tc>
        <w:tc>
          <w:tcPr>
            <w:tcW w:w="727" w:type="dxa"/>
            <w:tcBorders>
              <w:top w:val="single" w:sz="12" w:space="0" w:color="000000"/>
              <w:left w:val="single" w:sz="12" w:space="0" w:color="000000"/>
              <w:bottom w:val="single" w:sz="4" w:space="0" w:color="000000"/>
              <w:right w:val="single" w:sz="12" w:space="0" w:color="000000"/>
            </w:tcBorders>
          </w:tcPr>
          <w:p w14:paraId="6BAA52D8" w14:textId="22D79B35" w:rsidR="00B56D50" w:rsidRDefault="001C3C42" w:rsidP="00A96221">
            <w:pPr>
              <w:spacing w:after="0" w:line="259" w:lineRule="auto"/>
              <w:ind w:left="58" w:right="0" w:firstLine="0"/>
              <w:jc w:val="center"/>
            </w:pPr>
            <w:r>
              <w:rPr>
                <w:sz w:val="18"/>
              </w:rPr>
              <w:t>mg/kg</w:t>
            </w:r>
          </w:p>
        </w:tc>
        <w:tc>
          <w:tcPr>
            <w:tcW w:w="802" w:type="dxa"/>
            <w:tcBorders>
              <w:top w:val="single" w:sz="12" w:space="0" w:color="000000"/>
              <w:left w:val="single" w:sz="12" w:space="0" w:color="000000"/>
              <w:bottom w:val="single" w:sz="4" w:space="0" w:color="000000"/>
              <w:right w:val="single" w:sz="12" w:space="0" w:color="000000"/>
            </w:tcBorders>
          </w:tcPr>
          <w:p w14:paraId="00392168" w14:textId="4469FB86" w:rsidR="00B56D50" w:rsidRDefault="001C3C42" w:rsidP="00A96221">
            <w:pPr>
              <w:spacing w:after="0" w:line="259" w:lineRule="auto"/>
              <w:ind w:left="0" w:right="0" w:firstLine="0"/>
              <w:jc w:val="center"/>
            </w:pPr>
            <w:r>
              <w:rPr>
                <w:sz w:val="18"/>
              </w:rPr>
              <w:t>9070</w:t>
            </w:r>
          </w:p>
        </w:tc>
        <w:tc>
          <w:tcPr>
            <w:tcW w:w="727" w:type="dxa"/>
            <w:tcBorders>
              <w:top w:val="single" w:sz="12" w:space="0" w:color="000000"/>
              <w:left w:val="single" w:sz="12" w:space="0" w:color="000000"/>
              <w:bottom w:val="single" w:sz="4" w:space="0" w:color="000000"/>
              <w:right w:val="single" w:sz="12" w:space="0" w:color="000000"/>
            </w:tcBorders>
          </w:tcPr>
          <w:p w14:paraId="2AC34CDA" w14:textId="30E31128" w:rsidR="00B56D50" w:rsidRDefault="001C3C42" w:rsidP="00A96221">
            <w:pPr>
              <w:spacing w:after="0" w:line="259" w:lineRule="auto"/>
              <w:ind w:left="0" w:right="0" w:firstLine="0"/>
              <w:jc w:val="center"/>
            </w:pPr>
            <w:r>
              <w:rPr>
                <w:sz w:val="18"/>
              </w:rPr>
              <w:t>9071</w:t>
            </w:r>
          </w:p>
        </w:tc>
        <w:tc>
          <w:tcPr>
            <w:tcW w:w="636" w:type="dxa"/>
            <w:tcBorders>
              <w:top w:val="single" w:sz="12" w:space="0" w:color="000000"/>
              <w:left w:val="single" w:sz="12" w:space="0" w:color="000000"/>
              <w:bottom w:val="single" w:sz="4" w:space="0" w:color="000000"/>
              <w:right w:val="single" w:sz="12" w:space="0" w:color="000000"/>
            </w:tcBorders>
          </w:tcPr>
          <w:p w14:paraId="21681845" w14:textId="1215FE55" w:rsidR="00B56D50" w:rsidRDefault="00B56D50" w:rsidP="00A96221">
            <w:pPr>
              <w:spacing w:after="0" w:line="259" w:lineRule="auto"/>
              <w:ind w:left="0" w:right="0" w:firstLine="0"/>
              <w:jc w:val="center"/>
            </w:pPr>
          </w:p>
        </w:tc>
        <w:tc>
          <w:tcPr>
            <w:tcW w:w="545" w:type="dxa"/>
            <w:tcBorders>
              <w:top w:val="single" w:sz="12" w:space="0" w:color="000000"/>
              <w:left w:val="single" w:sz="12" w:space="0" w:color="000000"/>
              <w:bottom w:val="single" w:sz="4" w:space="0" w:color="000000"/>
              <w:right w:val="single" w:sz="12" w:space="0" w:color="000000"/>
            </w:tcBorders>
          </w:tcPr>
          <w:p w14:paraId="3177E576" w14:textId="70CAAB56" w:rsidR="00B56D50" w:rsidRDefault="00B56D50" w:rsidP="00A96221">
            <w:pPr>
              <w:spacing w:after="0" w:line="259" w:lineRule="auto"/>
              <w:ind w:left="0" w:right="0" w:firstLine="0"/>
              <w:jc w:val="center"/>
            </w:pPr>
          </w:p>
        </w:tc>
        <w:tc>
          <w:tcPr>
            <w:tcW w:w="445" w:type="dxa"/>
            <w:tcBorders>
              <w:top w:val="single" w:sz="12" w:space="0" w:color="000000"/>
              <w:left w:val="single" w:sz="12" w:space="0" w:color="000000"/>
              <w:bottom w:val="single" w:sz="4" w:space="0" w:color="000000"/>
              <w:right w:val="single" w:sz="12" w:space="0" w:color="000000"/>
            </w:tcBorders>
          </w:tcPr>
          <w:p w14:paraId="5FAAA3E7" w14:textId="2A1C05BE" w:rsidR="00B56D50" w:rsidRDefault="00B56D50" w:rsidP="00A96221">
            <w:pPr>
              <w:spacing w:after="0" w:line="259" w:lineRule="auto"/>
              <w:ind w:left="0" w:right="0" w:firstLine="0"/>
              <w:jc w:val="center"/>
            </w:pPr>
          </w:p>
        </w:tc>
      </w:tr>
      <w:tr w:rsidR="00B56D50" w14:paraId="1F060944" w14:textId="77777777" w:rsidTr="00467372">
        <w:trPr>
          <w:trHeight w:val="250"/>
        </w:trPr>
        <w:tc>
          <w:tcPr>
            <w:tcW w:w="3647" w:type="dxa"/>
            <w:tcBorders>
              <w:top w:val="single" w:sz="4" w:space="0" w:color="000000"/>
              <w:left w:val="single" w:sz="12" w:space="0" w:color="000000"/>
              <w:bottom w:val="single" w:sz="4" w:space="0" w:color="000000"/>
              <w:right w:val="single" w:sz="12" w:space="0" w:color="000000"/>
            </w:tcBorders>
          </w:tcPr>
          <w:p w14:paraId="3AFB9ECE" w14:textId="77777777" w:rsidR="00B56D50" w:rsidRDefault="001C3C42" w:rsidP="00A96221">
            <w:pPr>
              <w:spacing w:after="0" w:line="259" w:lineRule="auto"/>
              <w:ind w:left="0" w:right="0" w:firstLine="0"/>
            </w:pPr>
            <w:r>
              <w:rPr>
                <w:sz w:val="18"/>
              </w:rPr>
              <w:t xml:space="preserve">Total Organic Carbon (TOC) </w:t>
            </w:r>
          </w:p>
        </w:tc>
        <w:tc>
          <w:tcPr>
            <w:tcW w:w="1091" w:type="dxa"/>
            <w:tcBorders>
              <w:top w:val="single" w:sz="4" w:space="0" w:color="000000"/>
              <w:left w:val="single" w:sz="12" w:space="0" w:color="000000"/>
              <w:bottom w:val="single" w:sz="4" w:space="0" w:color="000000"/>
              <w:right w:val="single" w:sz="12" w:space="0" w:color="000000"/>
            </w:tcBorders>
          </w:tcPr>
          <w:p w14:paraId="62081921" w14:textId="10151B79" w:rsidR="00B56D50" w:rsidRDefault="001C3C42" w:rsidP="00A96221">
            <w:pPr>
              <w:spacing w:after="0" w:line="259" w:lineRule="auto"/>
              <w:ind w:left="11" w:right="0" w:firstLine="0"/>
              <w:jc w:val="center"/>
            </w:pPr>
            <w:r>
              <w:rPr>
                <w:sz w:val="18"/>
              </w:rPr>
              <w:t>N/A</w:t>
            </w:r>
          </w:p>
        </w:tc>
        <w:tc>
          <w:tcPr>
            <w:tcW w:w="637" w:type="dxa"/>
            <w:tcBorders>
              <w:top w:val="single" w:sz="4" w:space="0" w:color="000000"/>
              <w:left w:val="single" w:sz="12" w:space="0" w:color="000000"/>
              <w:bottom w:val="single" w:sz="4" w:space="0" w:color="000000"/>
              <w:right w:val="single" w:sz="12" w:space="0" w:color="000000"/>
            </w:tcBorders>
          </w:tcPr>
          <w:p w14:paraId="6BB8EE16" w14:textId="31E3FEC2" w:rsidR="00B56D50" w:rsidRDefault="001C3C42" w:rsidP="00A96221">
            <w:pPr>
              <w:spacing w:after="0" w:line="259" w:lineRule="auto"/>
              <w:ind w:left="0" w:right="0" w:firstLine="0"/>
              <w:jc w:val="center"/>
            </w:pPr>
            <w:r>
              <w:rPr>
                <w:sz w:val="18"/>
              </w:rPr>
              <w:t>3</w:t>
            </w:r>
          </w:p>
        </w:tc>
        <w:tc>
          <w:tcPr>
            <w:tcW w:w="728" w:type="dxa"/>
            <w:tcBorders>
              <w:top w:val="single" w:sz="4" w:space="0" w:color="000000"/>
              <w:left w:val="single" w:sz="12" w:space="0" w:color="000000"/>
              <w:bottom w:val="single" w:sz="4" w:space="0" w:color="000000"/>
              <w:right w:val="single" w:sz="12" w:space="0" w:color="000000"/>
            </w:tcBorders>
          </w:tcPr>
          <w:p w14:paraId="3092BFCC" w14:textId="14CBB572" w:rsidR="00B56D50" w:rsidRDefault="001C3C42" w:rsidP="00A96221">
            <w:pPr>
              <w:spacing w:after="0" w:line="259" w:lineRule="auto"/>
              <w:ind w:left="91" w:right="0" w:firstLine="0"/>
              <w:jc w:val="center"/>
            </w:pPr>
            <w:r>
              <w:rPr>
                <w:sz w:val="18"/>
              </w:rPr>
              <w:t>mg/L</w:t>
            </w:r>
          </w:p>
        </w:tc>
        <w:tc>
          <w:tcPr>
            <w:tcW w:w="635" w:type="dxa"/>
            <w:tcBorders>
              <w:top w:val="single" w:sz="4" w:space="0" w:color="000000"/>
              <w:left w:val="single" w:sz="12" w:space="0" w:color="000000"/>
              <w:bottom w:val="single" w:sz="4" w:space="0" w:color="000000"/>
              <w:right w:val="single" w:sz="12" w:space="0" w:color="000000"/>
            </w:tcBorders>
          </w:tcPr>
          <w:p w14:paraId="08D4CE0E" w14:textId="59D2BF60" w:rsidR="00B56D50" w:rsidRDefault="001C3C42" w:rsidP="00A96221">
            <w:pPr>
              <w:spacing w:after="0" w:line="259" w:lineRule="auto"/>
              <w:ind w:left="0" w:right="0" w:firstLine="0"/>
              <w:jc w:val="center"/>
            </w:pPr>
            <w:r>
              <w:rPr>
                <w:sz w:val="18"/>
              </w:rPr>
              <w:t>500</w:t>
            </w:r>
          </w:p>
        </w:tc>
        <w:tc>
          <w:tcPr>
            <w:tcW w:w="727" w:type="dxa"/>
            <w:tcBorders>
              <w:top w:val="single" w:sz="4" w:space="0" w:color="000000"/>
              <w:left w:val="single" w:sz="12" w:space="0" w:color="000000"/>
              <w:bottom w:val="single" w:sz="4" w:space="0" w:color="000000"/>
              <w:right w:val="single" w:sz="12" w:space="0" w:color="000000"/>
            </w:tcBorders>
          </w:tcPr>
          <w:p w14:paraId="66F19380" w14:textId="65FC8AA3" w:rsidR="00B56D50" w:rsidRDefault="001C3C42" w:rsidP="00A96221">
            <w:pPr>
              <w:spacing w:after="0" w:line="259" w:lineRule="auto"/>
              <w:ind w:left="58" w:right="0" w:firstLine="0"/>
              <w:jc w:val="center"/>
            </w:pPr>
            <w:r>
              <w:rPr>
                <w:sz w:val="18"/>
              </w:rPr>
              <w:t>mg/kg</w:t>
            </w:r>
          </w:p>
        </w:tc>
        <w:tc>
          <w:tcPr>
            <w:tcW w:w="802" w:type="dxa"/>
            <w:tcBorders>
              <w:top w:val="single" w:sz="4" w:space="0" w:color="000000"/>
              <w:left w:val="single" w:sz="12" w:space="0" w:color="000000"/>
              <w:bottom w:val="single" w:sz="4" w:space="0" w:color="000000"/>
              <w:right w:val="single" w:sz="12" w:space="0" w:color="000000"/>
            </w:tcBorders>
          </w:tcPr>
          <w:p w14:paraId="5CB479FA" w14:textId="245F8035" w:rsidR="00B56D50" w:rsidRDefault="001C3C42" w:rsidP="00A96221">
            <w:pPr>
              <w:spacing w:after="0" w:line="259" w:lineRule="auto"/>
              <w:ind w:left="0" w:right="0" w:firstLine="0"/>
              <w:jc w:val="center"/>
            </w:pPr>
            <w:r>
              <w:rPr>
                <w:sz w:val="18"/>
              </w:rPr>
              <w:t>9060</w:t>
            </w:r>
          </w:p>
        </w:tc>
        <w:tc>
          <w:tcPr>
            <w:tcW w:w="727" w:type="dxa"/>
            <w:tcBorders>
              <w:top w:val="single" w:sz="4" w:space="0" w:color="000000"/>
              <w:left w:val="single" w:sz="12" w:space="0" w:color="000000"/>
              <w:bottom w:val="single" w:sz="4" w:space="0" w:color="000000"/>
              <w:right w:val="single" w:sz="12" w:space="0" w:color="000000"/>
            </w:tcBorders>
          </w:tcPr>
          <w:p w14:paraId="12B85BEB" w14:textId="7EC647CB" w:rsidR="00B56D50" w:rsidRDefault="00B56D50" w:rsidP="00A96221">
            <w:pPr>
              <w:spacing w:after="0" w:line="259" w:lineRule="auto"/>
              <w:ind w:left="0" w:right="0" w:firstLine="0"/>
              <w:jc w:val="center"/>
            </w:pPr>
          </w:p>
        </w:tc>
        <w:tc>
          <w:tcPr>
            <w:tcW w:w="636" w:type="dxa"/>
            <w:tcBorders>
              <w:top w:val="single" w:sz="4" w:space="0" w:color="000000"/>
              <w:left w:val="single" w:sz="12" w:space="0" w:color="000000"/>
              <w:bottom w:val="single" w:sz="4" w:space="0" w:color="000000"/>
              <w:right w:val="single" w:sz="12" w:space="0" w:color="000000"/>
            </w:tcBorders>
          </w:tcPr>
          <w:p w14:paraId="45AAEFA8" w14:textId="17BD2F15" w:rsidR="00B56D50" w:rsidRDefault="00B56D50" w:rsidP="00A96221">
            <w:pPr>
              <w:spacing w:after="0" w:line="259" w:lineRule="auto"/>
              <w:ind w:left="0" w:right="0" w:firstLine="0"/>
              <w:jc w:val="center"/>
            </w:pPr>
          </w:p>
        </w:tc>
        <w:tc>
          <w:tcPr>
            <w:tcW w:w="545" w:type="dxa"/>
            <w:tcBorders>
              <w:top w:val="single" w:sz="4" w:space="0" w:color="000000"/>
              <w:left w:val="single" w:sz="12" w:space="0" w:color="000000"/>
              <w:bottom w:val="single" w:sz="4" w:space="0" w:color="000000"/>
              <w:right w:val="single" w:sz="12" w:space="0" w:color="000000"/>
            </w:tcBorders>
          </w:tcPr>
          <w:p w14:paraId="49B8DD18" w14:textId="4FC407AD" w:rsidR="00B56D50" w:rsidRDefault="00B56D50" w:rsidP="00A96221">
            <w:pPr>
              <w:spacing w:after="0" w:line="259" w:lineRule="auto"/>
              <w:ind w:left="0" w:right="0" w:firstLine="0"/>
              <w:jc w:val="center"/>
            </w:pPr>
          </w:p>
        </w:tc>
        <w:tc>
          <w:tcPr>
            <w:tcW w:w="445" w:type="dxa"/>
            <w:tcBorders>
              <w:top w:val="single" w:sz="4" w:space="0" w:color="000000"/>
              <w:left w:val="single" w:sz="12" w:space="0" w:color="000000"/>
              <w:bottom w:val="single" w:sz="4" w:space="0" w:color="000000"/>
              <w:right w:val="single" w:sz="12" w:space="0" w:color="000000"/>
            </w:tcBorders>
          </w:tcPr>
          <w:p w14:paraId="5406AC1F" w14:textId="2E6769E4" w:rsidR="00B56D50" w:rsidRDefault="00B56D50" w:rsidP="00A96221">
            <w:pPr>
              <w:spacing w:after="0" w:line="259" w:lineRule="auto"/>
              <w:ind w:left="0" w:right="0" w:firstLine="0"/>
              <w:jc w:val="center"/>
            </w:pPr>
          </w:p>
        </w:tc>
      </w:tr>
      <w:tr w:rsidR="00B56D50" w14:paraId="1202C9EE" w14:textId="77777777" w:rsidTr="00467372">
        <w:trPr>
          <w:trHeight w:val="250"/>
        </w:trPr>
        <w:tc>
          <w:tcPr>
            <w:tcW w:w="3647" w:type="dxa"/>
            <w:tcBorders>
              <w:top w:val="single" w:sz="4" w:space="0" w:color="000000"/>
              <w:left w:val="single" w:sz="12" w:space="0" w:color="000000"/>
              <w:bottom w:val="single" w:sz="4" w:space="0" w:color="000000"/>
              <w:right w:val="single" w:sz="12" w:space="0" w:color="000000"/>
            </w:tcBorders>
          </w:tcPr>
          <w:p w14:paraId="459E2DAD" w14:textId="77777777" w:rsidR="00B56D50" w:rsidRDefault="001C3C42" w:rsidP="00A96221">
            <w:pPr>
              <w:spacing w:after="0" w:line="259" w:lineRule="auto"/>
              <w:ind w:left="0" w:right="0" w:firstLine="0"/>
            </w:pPr>
            <w:r>
              <w:rPr>
                <w:sz w:val="18"/>
              </w:rPr>
              <w:t xml:space="preserve">Total Organic Halides (TOX) </w:t>
            </w:r>
          </w:p>
        </w:tc>
        <w:tc>
          <w:tcPr>
            <w:tcW w:w="1091" w:type="dxa"/>
            <w:tcBorders>
              <w:top w:val="single" w:sz="4" w:space="0" w:color="000000"/>
              <w:left w:val="single" w:sz="12" w:space="0" w:color="000000"/>
              <w:bottom w:val="single" w:sz="4" w:space="0" w:color="000000"/>
              <w:right w:val="single" w:sz="12" w:space="0" w:color="000000"/>
            </w:tcBorders>
          </w:tcPr>
          <w:p w14:paraId="604B139F" w14:textId="505614D6" w:rsidR="00B56D50" w:rsidRDefault="001C3C42" w:rsidP="00A96221">
            <w:pPr>
              <w:spacing w:after="0" w:line="259" w:lineRule="auto"/>
              <w:ind w:left="11" w:right="0" w:firstLine="0"/>
              <w:jc w:val="center"/>
            </w:pPr>
            <w:r>
              <w:rPr>
                <w:sz w:val="18"/>
              </w:rPr>
              <w:t>N/A</w:t>
            </w:r>
          </w:p>
        </w:tc>
        <w:tc>
          <w:tcPr>
            <w:tcW w:w="637" w:type="dxa"/>
            <w:tcBorders>
              <w:top w:val="single" w:sz="4" w:space="0" w:color="000000"/>
              <w:left w:val="single" w:sz="12" w:space="0" w:color="000000"/>
              <w:bottom w:val="single" w:sz="4" w:space="0" w:color="000000"/>
              <w:right w:val="single" w:sz="12" w:space="0" w:color="000000"/>
            </w:tcBorders>
          </w:tcPr>
          <w:p w14:paraId="3B3CA96E" w14:textId="30ED15BB" w:rsidR="00B56D50" w:rsidRDefault="001C3C42" w:rsidP="00A96221">
            <w:pPr>
              <w:spacing w:after="0" w:line="259" w:lineRule="auto"/>
              <w:ind w:left="0" w:right="0" w:firstLine="0"/>
              <w:jc w:val="center"/>
            </w:pPr>
            <w:r>
              <w:rPr>
                <w:sz w:val="18"/>
              </w:rPr>
              <w:t>0.050</w:t>
            </w:r>
          </w:p>
        </w:tc>
        <w:tc>
          <w:tcPr>
            <w:tcW w:w="728" w:type="dxa"/>
            <w:tcBorders>
              <w:top w:val="single" w:sz="4" w:space="0" w:color="000000"/>
              <w:left w:val="single" w:sz="12" w:space="0" w:color="000000"/>
              <w:bottom w:val="single" w:sz="4" w:space="0" w:color="000000"/>
              <w:right w:val="single" w:sz="12" w:space="0" w:color="000000"/>
            </w:tcBorders>
          </w:tcPr>
          <w:p w14:paraId="213CC5AB" w14:textId="116A3AC0" w:rsidR="00B56D50" w:rsidRDefault="001C3C42" w:rsidP="00A96221">
            <w:pPr>
              <w:spacing w:after="0" w:line="259" w:lineRule="auto"/>
              <w:ind w:left="91" w:right="0" w:firstLine="0"/>
              <w:jc w:val="center"/>
            </w:pPr>
            <w:r>
              <w:rPr>
                <w:sz w:val="18"/>
              </w:rPr>
              <w:t>mg/L</w:t>
            </w:r>
          </w:p>
        </w:tc>
        <w:tc>
          <w:tcPr>
            <w:tcW w:w="635" w:type="dxa"/>
            <w:tcBorders>
              <w:top w:val="single" w:sz="4" w:space="0" w:color="000000"/>
              <w:left w:val="single" w:sz="12" w:space="0" w:color="000000"/>
              <w:bottom w:val="single" w:sz="4" w:space="0" w:color="000000"/>
              <w:right w:val="single" w:sz="12" w:space="0" w:color="000000"/>
            </w:tcBorders>
          </w:tcPr>
          <w:p w14:paraId="3377E965" w14:textId="0504A4F7" w:rsidR="00B56D50" w:rsidRDefault="001C3C42" w:rsidP="00A96221">
            <w:pPr>
              <w:spacing w:after="0" w:line="259" w:lineRule="auto"/>
              <w:ind w:left="0" w:right="0" w:firstLine="0"/>
              <w:jc w:val="center"/>
            </w:pPr>
            <w:r>
              <w:rPr>
                <w:sz w:val="18"/>
              </w:rPr>
              <w:t>500</w:t>
            </w:r>
          </w:p>
        </w:tc>
        <w:tc>
          <w:tcPr>
            <w:tcW w:w="727" w:type="dxa"/>
            <w:tcBorders>
              <w:top w:val="single" w:sz="4" w:space="0" w:color="000000"/>
              <w:left w:val="single" w:sz="12" w:space="0" w:color="000000"/>
              <w:bottom w:val="single" w:sz="4" w:space="0" w:color="000000"/>
              <w:right w:val="single" w:sz="12" w:space="0" w:color="000000"/>
            </w:tcBorders>
          </w:tcPr>
          <w:p w14:paraId="1A418AFB" w14:textId="335C8588" w:rsidR="00B56D50" w:rsidRDefault="001C3C42" w:rsidP="00A96221">
            <w:pPr>
              <w:spacing w:after="0" w:line="259" w:lineRule="auto"/>
              <w:ind w:left="58" w:right="0" w:firstLine="0"/>
              <w:jc w:val="center"/>
            </w:pPr>
            <w:r>
              <w:rPr>
                <w:sz w:val="18"/>
              </w:rPr>
              <w:t>mg/kg</w:t>
            </w:r>
          </w:p>
        </w:tc>
        <w:tc>
          <w:tcPr>
            <w:tcW w:w="802" w:type="dxa"/>
            <w:tcBorders>
              <w:top w:val="single" w:sz="4" w:space="0" w:color="000000"/>
              <w:left w:val="single" w:sz="12" w:space="0" w:color="000000"/>
              <w:bottom w:val="single" w:sz="4" w:space="0" w:color="000000"/>
              <w:right w:val="single" w:sz="12" w:space="0" w:color="000000"/>
            </w:tcBorders>
          </w:tcPr>
          <w:p w14:paraId="5F7D7701" w14:textId="7F7B8B91" w:rsidR="00B56D50" w:rsidRDefault="001C3C42" w:rsidP="00A96221">
            <w:pPr>
              <w:spacing w:after="0" w:line="259" w:lineRule="auto"/>
              <w:ind w:left="0" w:right="0" w:firstLine="0"/>
              <w:jc w:val="center"/>
            </w:pPr>
            <w:r>
              <w:rPr>
                <w:sz w:val="18"/>
              </w:rPr>
              <w:t>9020</w:t>
            </w:r>
          </w:p>
        </w:tc>
        <w:tc>
          <w:tcPr>
            <w:tcW w:w="727" w:type="dxa"/>
            <w:tcBorders>
              <w:top w:val="single" w:sz="4" w:space="0" w:color="000000"/>
              <w:left w:val="single" w:sz="12" w:space="0" w:color="000000"/>
              <w:bottom w:val="single" w:sz="4" w:space="0" w:color="000000"/>
              <w:right w:val="single" w:sz="12" w:space="0" w:color="000000"/>
            </w:tcBorders>
          </w:tcPr>
          <w:p w14:paraId="6B4B4790" w14:textId="41A63FB9" w:rsidR="00B56D50" w:rsidRDefault="001C3C42" w:rsidP="00A96221">
            <w:pPr>
              <w:spacing w:after="0" w:line="259" w:lineRule="auto"/>
              <w:ind w:left="0" w:right="0" w:firstLine="0"/>
              <w:jc w:val="center"/>
            </w:pPr>
            <w:r>
              <w:rPr>
                <w:sz w:val="18"/>
              </w:rPr>
              <w:t>9022</w:t>
            </w:r>
          </w:p>
        </w:tc>
        <w:tc>
          <w:tcPr>
            <w:tcW w:w="636" w:type="dxa"/>
            <w:tcBorders>
              <w:top w:val="single" w:sz="4" w:space="0" w:color="000000"/>
              <w:left w:val="single" w:sz="12" w:space="0" w:color="000000"/>
              <w:bottom w:val="single" w:sz="4" w:space="0" w:color="000000"/>
              <w:right w:val="single" w:sz="12" w:space="0" w:color="000000"/>
            </w:tcBorders>
          </w:tcPr>
          <w:p w14:paraId="42055639" w14:textId="21E77466" w:rsidR="00B56D50" w:rsidRDefault="00B56D50" w:rsidP="00A96221">
            <w:pPr>
              <w:spacing w:after="0" w:line="259" w:lineRule="auto"/>
              <w:ind w:left="0" w:right="0" w:firstLine="0"/>
              <w:jc w:val="center"/>
            </w:pPr>
          </w:p>
        </w:tc>
        <w:tc>
          <w:tcPr>
            <w:tcW w:w="545" w:type="dxa"/>
            <w:tcBorders>
              <w:top w:val="single" w:sz="4" w:space="0" w:color="000000"/>
              <w:left w:val="single" w:sz="12" w:space="0" w:color="000000"/>
              <w:bottom w:val="single" w:sz="4" w:space="0" w:color="000000"/>
              <w:right w:val="single" w:sz="12" w:space="0" w:color="000000"/>
            </w:tcBorders>
          </w:tcPr>
          <w:p w14:paraId="61C9ACBC" w14:textId="47693EE0" w:rsidR="00B56D50" w:rsidRDefault="00B56D50" w:rsidP="00A96221">
            <w:pPr>
              <w:spacing w:after="0" w:line="259" w:lineRule="auto"/>
              <w:ind w:left="0" w:right="0" w:firstLine="0"/>
              <w:jc w:val="center"/>
            </w:pPr>
          </w:p>
        </w:tc>
        <w:tc>
          <w:tcPr>
            <w:tcW w:w="445" w:type="dxa"/>
            <w:tcBorders>
              <w:top w:val="single" w:sz="4" w:space="0" w:color="000000"/>
              <w:left w:val="single" w:sz="12" w:space="0" w:color="000000"/>
              <w:bottom w:val="single" w:sz="4" w:space="0" w:color="000000"/>
              <w:right w:val="single" w:sz="12" w:space="0" w:color="000000"/>
            </w:tcBorders>
          </w:tcPr>
          <w:p w14:paraId="10F494F2" w14:textId="2B9DFEB4" w:rsidR="00B56D50" w:rsidRDefault="00B56D50" w:rsidP="00A96221">
            <w:pPr>
              <w:spacing w:after="0" w:line="259" w:lineRule="auto"/>
              <w:ind w:left="0" w:right="0" w:firstLine="0"/>
              <w:jc w:val="center"/>
            </w:pPr>
          </w:p>
        </w:tc>
      </w:tr>
      <w:tr w:rsidR="00B56D50" w14:paraId="68FD376A" w14:textId="77777777" w:rsidTr="00467372">
        <w:trPr>
          <w:trHeight w:val="250"/>
        </w:trPr>
        <w:tc>
          <w:tcPr>
            <w:tcW w:w="3647" w:type="dxa"/>
            <w:tcBorders>
              <w:top w:val="single" w:sz="4" w:space="0" w:color="000000"/>
              <w:left w:val="single" w:sz="12" w:space="0" w:color="000000"/>
              <w:bottom w:val="single" w:sz="4" w:space="0" w:color="000000"/>
              <w:right w:val="single" w:sz="12" w:space="0" w:color="000000"/>
            </w:tcBorders>
          </w:tcPr>
          <w:p w14:paraId="100963EA" w14:textId="77777777" w:rsidR="00B56D50" w:rsidRDefault="001C3C42" w:rsidP="00A96221">
            <w:pPr>
              <w:spacing w:after="0" w:line="259" w:lineRule="auto"/>
              <w:ind w:left="0" w:right="0" w:firstLine="0"/>
            </w:pPr>
            <w:r>
              <w:rPr>
                <w:sz w:val="18"/>
              </w:rPr>
              <w:t>Phenolics, Total</w:t>
            </w:r>
            <w:r>
              <w:rPr>
                <w:sz w:val="18"/>
                <w:vertAlign w:val="superscript"/>
              </w:rPr>
              <w:t xml:space="preserve">8b </w:t>
            </w:r>
          </w:p>
        </w:tc>
        <w:tc>
          <w:tcPr>
            <w:tcW w:w="1091" w:type="dxa"/>
            <w:tcBorders>
              <w:top w:val="single" w:sz="4" w:space="0" w:color="000000"/>
              <w:left w:val="single" w:sz="12" w:space="0" w:color="000000"/>
              <w:bottom w:val="single" w:sz="4" w:space="0" w:color="000000"/>
              <w:right w:val="single" w:sz="12" w:space="0" w:color="000000"/>
            </w:tcBorders>
          </w:tcPr>
          <w:p w14:paraId="534AC12D" w14:textId="6741055F" w:rsidR="00B56D50" w:rsidRDefault="001C3C42" w:rsidP="00A96221">
            <w:pPr>
              <w:spacing w:after="0" w:line="259" w:lineRule="auto"/>
              <w:ind w:left="0" w:right="0" w:firstLine="0"/>
              <w:jc w:val="center"/>
            </w:pPr>
            <w:r>
              <w:rPr>
                <w:sz w:val="18"/>
              </w:rPr>
              <w:t>64743-03-9</w:t>
            </w:r>
          </w:p>
        </w:tc>
        <w:tc>
          <w:tcPr>
            <w:tcW w:w="637" w:type="dxa"/>
            <w:tcBorders>
              <w:top w:val="single" w:sz="4" w:space="0" w:color="000000"/>
              <w:left w:val="single" w:sz="12" w:space="0" w:color="000000"/>
              <w:bottom w:val="single" w:sz="4" w:space="0" w:color="000000"/>
              <w:right w:val="single" w:sz="12" w:space="0" w:color="000000"/>
            </w:tcBorders>
          </w:tcPr>
          <w:p w14:paraId="75E1CBE3" w14:textId="268AABB3" w:rsidR="00B56D50" w:rsidRDefault="001C3C42" w:rsidP="00A96221">
            <w:pPr>
              <w:spacing w:after="0" w:line="259" w:lineRule="auto"/>
              <w:ind w:left="0" w:right="0" w:firstLine="0"/>
              <w:jc w:val="center"/>
            </w:pPr>
            <w:r>
              <w:rPr>
                <w:sz w:val="18"/>
              </w:rPr>
              <w:t>0.010</w:t>
            </w:r>
          </w:p>
        </w:tc>
        <w:tc>
          <w:tcPr>
            <w:tcW w:w="728" w:type="dxa"/>
            <w:tcBorders>
              <w:top w:val="single" w:sz="4" w:space="0" w:color="000000"/>
              <w:left w:val="single" w:sz="12" w:space="0" w:color="000000"/>
              <w:bottom w:val="single" w:sz="4" w:space="0" w:color="000000"/>
              <w:right w:val="single" w:sz="12" w:space="0" w:color="000000"/>
            </w:tcBorders>
          </w:tcPr>
          <w:p w14:paraId="7257BCEC" w14:textId="44780060" w:rsidR="00B56D50" w:rsidRDefault="001C3C42" w:rsidP="00A96221">
            <w:pPr>
              <w:spacing w:after="0" w:line="259" w:lineRule="auto"/>
              <w:ind w:left="91" w:right="0" w:firstLine="0"/>
              <w:jc w:val="center"/>
            </w:pPr>
            <w:r>
              <w:rPr>
                <w:sz w:val="18"/>
              </w:rPr>
              <w:t>mg/L</w:t>
            </w:r>
          </w:p>
        </w:tc>
        <w:tc>
          <w:tcPr>
            <w:tcW w:w="635" w:type="dxa"/>
            <w:tcBorders>
              <w:top w:val="single" w:sz="4" w:space="0" w:color="000000"/>
              <w:left w:val="single" w:sz="12" w:space="0" w:color="000000"/>
              <w:bottom w:val="single" w:sz="4" w:space="0" w:color="000000"/>
              <w:right w:val="single" w:sz="12" w:space="0" w:color="000000"/>
            </w:tcBorders>
          </w:tcPr>
          <w:p w14:paraId="2AF79482" w14:textId="1E39381A" w:rsidR="00B56D50" w:rsidRDefault="001C3C42" w:rsidP="00A96221">
            <w:pPr>
              <w:spacing w:after="0" w:line="259" w:lineRule="auto"/>
              <w:ind w:left="0" w:right="0" w:firstLine="0"/>
              <w:jc w:val="center"/>
            </w:pPr>
            <w:r>
              <w:rPr>
                <w:sz w:val="18"/>
              </w:rPr>
              <w:t>0. 5</w:t>
            </w:r>
          </w:p>
        </w:tc>
        <w:tc>
          <w:tcPr>
            <w:tcW w:w="727" w:type="dxa"/>
            <w:tcBorders>
              <w:top w:val="single" w:sz="4" w:space="0" w:color="000000"/>
              <w:left w:val="single" w:sz="12" w:space="0" w:color="000000"/>
              <w:bottom w:val="single" w:sz="4" w:space="0" w:color="000000"/>
              <w:right w:val="single" w:sz="12" w:space="0" w:color="000000"/>
            </w:tcBorders>
          </w:tcPr>
          <w:p w14:paraId="770912EB" w14:textId="4AB34E2C" w:rsidR="00B56D50" w:rsidRDefault="001C3C42" w:rsidP="00A96221">
            <w:pPr>
              <w:spacing w:after="0" w:line="259" w:lineRule="auto"/>
              <w:ind w:left="58" w:right="0" w:firstLine="0"/>
              <w:jc w:val="center"/>
            </w:pPr>
            <w:r>
              <w:rPr>
                <w:sz w:val="18"/>
              </w:rPr>
              <w:t>mg/kg</w:t>
            </w:r>
          </w:p>
        </w:tc>
        <w:tc>
          <w:tcPr>
            <w:tcW w:w="802" w:type="dxa"/>
            <w:tcBorders>
              <w:top w:val="single" w:sz="4" w:space="0" w:color="000000"/>
              <w:left w:val="single" w:sz="12" w:space="0" w:color="000000"/>
              <w:bottom w:val="single" w:sz="4" w:space="0" w:color="000000"/>
              <w:right w:val="single" w:sz="12" w:space="0" w:color="000000"/>
            </w:tcBorders>
          </w:tcPr>
          <w:p w14:paraId="3227BD74" w14:textId="5BCACC05" w:rsidR="00B56D50" w:rsidRDefault="001C3C42" w:rsidP="00A96221">
            <w:pPr>
              <w:spacing w:after="0" w:line="259" w:lineRule="auto"/>
              <w:ind w:left="0" w:right="0" w:firstLine="0"/>
              <w:jc w:val="center"/>
            </w:pPr>
            <w:r>
              <w:rPr>
                <w:sz w:val="18"/>
              </w:rPr>
              <w:t>9065</w:t>
            </w:r>
          </w:p>
        </w:tc>
        <w:tc>
          <w:tcPr>
            <w:tcW w:w="727" w:type="dxa"/>
            <w:tcBorders>
              <w:top w:val="single" w:sz="4" w:space="0" w:color="000000"/>
              <w:left w:val="single" w:sz="12" w:space="0" w:color="000000"/>
              <w:bottom w:val="single" w:sz="4" w:space="0" w:color="000000"/>
              <w:right w:val="single" w:sz="12" w:space="0" w:color="000000"/>
            </w:tcBorders>
          </w:tcPr>
          <w:p w14:paraId="399BDD30" w14:textId="0E01B416" w:rsidR="00B56D50" w:rsidRDefault="001C3C42" w:rsidP="00A96221">
            <w:pPr>
              <w:spacing w:after="0" w:line="259" w:lineRule="auto"/>
              <w:ind w:left="0" w:right="0" w:firstLine="0"/>
              <w:jc w:val="center"/>
            </w:pPr>
            <w:r>
              <w:rPr>
                <w:sz w:val="18"/>
              </w:rPr>
              <w:t>9066</w:t>
            </w:r>
          </w:p>
        </w:tc>
        <w:tc>
          <w:tcPr>
            <w:tcW w:w="636" w:type="dxa"/>
            <w:tcBorders>
              <w:top w:val="single" w:sz="4" w:space="0" w:color="000000"/>
              <w:left w:val="single" w:sz="12" w:space="0" w:color="000000"/>
              <w:bottom w:val="single" w:sz="4" w:space="0" w:color="000000"/>
              <w:right w:val="single" w:sz="12" w:space="0" w:color="000000"/>
            </w:tcBorders>
          </w:tcPr>
          <w:p w14:paraId="2B81504F" w14:textId="7266626B" w:rsidR="00B56D50" w:rsidRDefault="001C3C42" w:rsidP="00A96221">
            <w:pPr>
              <w:spacing w:after="0" w:line="259" w:lineRule="auto"/>
              <w:ind w:left="0" w:right="0" w:firstLine="0"/>
              <w:jc w:val="center"/>
            </w:pPr>
            <w:r>
              <w:rPr>
                <w:sz w:val="18"/>
              </w:rPr>
              <w:t>9067</w:t>
            </w:r>
          </w:p>
        </w:tc>
        <w:tc>
          <w:tcPr>
            <w:tcW w:w="990" w:type="dxa"/>
            <w:gridSpan w:val="2"/>
            <w:tcBorders>
              <w:top w:val="single" w:sz="4" w:space="0" w:color="000000"/>
              <w:left w:val="single" w:sz="12" w:space="0" w:color="000000"/>
              <w:bottom w:val="single" w:sz="4" w:space="0" w:color="000000"/>
              <w:right w:val="single" w:sz="12" w:space="0" w:color="000000"/>
            </w:tcBorders>
          </w:tcPr>
          <w:p w14:paraId="1AF2A052" w14:textId="5CDA8613" w:rsidR="00B56D50" w:rsidRDefault="001C3C42" w:rsidP="00A96221">
            <w:pPr>
              <w:spacing w:after="0" w:line="259" w:lineRule="auto"/>
              <w:ind w:left="0" w:right="0" w:firstLine="0"/>
              <w:jc w:val="center"/>
            </w:pPr>
            <w:r>
              <w:rPr>
                <w:sz w:val="18"/>
              </w:rPr>
              <w:t>420.1-420.4</w:t>
            </w:r>
            <w:r w:rsidR="00BD14C0">
              <w:rPr>
                <w:sz w:val="18"/>
              </w:rPr>
              <w:t xml:space="preserve"> </w:t>
            </w:r>
            <w:r w:rsidR="00896230" w:rsidRPr="000364A6">
              <w:rPr>
                <w:b/>
                <w:bCs/>
                <w:sz w:val="18"/>
                <w:vertAlign w:val="superscript"/>
              </w:rPr>
              <w:t>8</w:t>
            </w:r>
          </w:p>
        </w:tc>
      </w:tr>
      <w:tr w:rsidR="00B56D50" w14:paraId="6EF25724" w14:textId="77777777" w:rsidTr="00467372">
        <w:trPr>
          <w:trHeight w:val="250"/>
        </w:trPr>
        <w:tc>
          <w:tcPr>
            <w:tcW w:w="3647" w:type="dxa"/>
            <w:tcBorders>
              <w:top w:val="single" w:sz="4" w:space="0" w:color="000000"/>
              <w:left w:val="single" w:sz="12" w:space="0" w:color="000000"/>
              <w:bottom w:val="single" w:sz="4" w:space="0" w:color="000000"/>
              <w:right w:val="single" w:sz="12" w:space="0" w:color="000000"/>
            </w:tcBorders>
          </w:tcPr>
          <w:p w14:paraId="5543BE3D" w14:textId="35303691" w:rsidR="00B56D50" w:rsidRDefault="001C3C42" w:rsidP="00A96221">
            <w:pPr>
              <w:spacing w:after="0" w:line="259" w:lineRule="auto"/>
              <w:ind w:left="0" w:right="0" w:firstLine="0"/>
            </w:pPr>
            <w:r>
              <w:rPr>
                <w:sz w:val="18"/>
              </w:rPr>
              <w:t>Surfactants (MBAS)</w:t>
            </w:r>
            <w:r>
              <w:rPr>
                <w:sz w:val="18"/>
                <w:vertAlign w:val="superscript"/>
              </w:rPr>
              <w:t xml:space="preserve"> </w:t>
            </w:r>
          </w:p>
        </w:tc>
        <w:tc>
          <w:tcPr>
            <w:tcW w:w="1091" w:type="dxa"/>
            <w:tcBorders>
              <w:top w:val="single" w:sz="4" w:space="0" w:color="000000"/>
              <w:left w:val="single" w:sz="12" w:space="0" w:color="000000"/>
              <w:bottom w:val="single" w:sz="4" w:space="0" w:color="000000"/>
              <w:right w:val="single" w:sz="12" w:space="0" w:color="000000"/>
            </w:tcBorders>
          </w:tcPr>
          <w:p w14:paraId="22E6171C" w14:textId="465673A0" w:rsidR="00B56D50" w:rsidRDefault="001C3C42" w:rsidP="00A96221">
            <w:pPr>
              <w:spacing w:after="0" w:line="259" w:lineRule="auto"/>
              <w:ind w:left="11" w:right="0" w:firstLine="0"/>
              <w:jc w:val="center"/>
            </w:pPr>
            <w:r>
              <w:rPr>
                <w:sz w:val="18"/>
              </w:rPr>
              <w:t>N/A</w:t>
            </w:r>
          </w:p>
        </w:tc>
        <w:tc>
          <w:tcPr>
            <w:tcW w:w="637" w:type="dxa"/>
            <w:tcBorders>
              <w:top w:val="single" w:sz="4" w:space="0" w:color="000000"/>
              <w:left w:val="single" w:sz="12" w:space="0" w:color="000000"/>
              <w:bottom w:val="single" w:sz="4" w:space="0" w:color="000000"/>
              <w:right w:val="single" w:sz="12" w:space="0" w:color="000000"/>
            </w:tcBorders>
          </w:tcPr>
          <w:p w14:paraId="701144B1" w14:textId="30E9C041" w:rsidR="00B56D50" w:rsidRDefault="001C3C42" w:rsidP="00A96221">
            <w:pPr>
              <w:spacing w:after="0" w:line="259" w:lineRule="auto"/>
              <w:ind w:left="0" w:right="0" w:firstLine="0"/>
              <w:jc w:val="center"/>
            </w:pPr>
            <w:r>
              <w:rPr>
                <w:sz w:val="18"/>
              </w:rPr>
              <w:t>0.1</w:t>
            </w:r>
          </w:p>
        </w:tc>
        <w:tc>
          <w:tcPr>
            <w:tcW w:w="728" w:type="dxa"/>
            <w:tcBorders>
              <w:top w:val="single" w:sz="4" w:space="0" w:color="000000"/>
              <w:left w:val="single" w:sz="12" w:space="0" w:color="000000"/>
              <w:bottom w:val="single" w:sz="4" w:space="0" w:color="000000"/>
              <w:right w:val="single" w:sz="12" w:space="0" w:color="000000"/>
            </w:tcBorders>
          </w:tcPr>
          <w:p w14:paraId="61852AFE" w14:textId="7D9E8A1A" w:rsidR="00B56D50" w:rsidRDefault="001C3C42" w:rsidP="00A96221">
            <w:pPr>
              <w:spacing w:after="0" w:line="259" w:lineRule="auto"/>
              <w:ind w:left="91" w:right="0" w:firstLine="0"/>
              <w:jc w:val="center"/>
            </w:pPr>
            <w:r>
              <w:rPr>
                <w:sz w:val="18"/>
              </w:rPr>
              <w:t>mg/L</w:t>
            </w:r>
          </w:p>
        </w:tc>
        <w:tc>
          <w:tcPr>
            <w:tcW w:w="635" w:type="dxa"/>
            <w:tcBorders>
              <w:top w:val="single" w:sz="4" w:space="0" w:color="000000"/>
              <w:left w:val="single" w:sz="12" w:space="0" w:color="000000"/>
              <w:bottom w:val="single" w:sz="4" w:space="0" w:color="000000"/>
              <w:right w:val="single" w:sz="12" w:space="0" w:color="000000"/>
            </w:tcBorders>
          </w:tcPr>
          <w:p w14:paraId="4CCF334E" w14:textId="142A02E8" w:rsidR="00B56D50" w:rsidRDefault="001C3C42" w:rsidP="00A96221">
            <w:pPr>
              <w:spacing w:after="0" w:line="259" w:lineRule="auto"/>
              <w:ind w:left="89" w:right="0" w:firstLine="0"/>
              <w:jc w:val="center"/>
            </w:pPr>
            <w:r>
              <w:rPr>
                <w:sz w:val="18"/>
              </w:rPr>
              <w:t>N/A</w:t>
            </w:r>
          </w:p>
        </w:tc>
        <w:tc>
          <w:tcPr>
            <w:tcW w:w="727" w:type="dxa"/>
            <w:tcBorders>
              <w:top w:val="single" w:sz="4" w:space="0" w:color="000000"/>
              <w:left w:val="single" w:sz="12" w:space="0" w:color="000000"/>
              <w:bottom w:val="single" w:sz="4" w:space="0" w:color="000000"/>
              <w:right w:val="single" w:sz="12" w:space="0" w:color="000000"/>
            </w:tcBorders>
          </w:tcPr>
          <w:p w14:paraId="43F019CB" w14:textId="46250480" w:rsidR="00B56D50" w:rsidRDefault="001C3C42" w:rsidP="00A96221">
            <w:pPr>
              <w:spacing w:after="0" w:line="259" w:lineRule="auto"/>
              <w:ind w:left="11" w:right="0" w:firstLine="0"/>
              <w:jc w:val="center"/>
            </w:pPr>
            <w:r>
              <w:rPr>
                <w:sz w:val="18"/>
              </w:rPr>
              <w:t>N/A</w:t>
            </w:r>
          </w:p>
        </w:tc>
        <w:tc>
          <w:tcPr>
            <w:tcW w:w="802" w:type="dxa"/>
            <w:tcBorders>
              <w:top w:val="single" w:sz="4" w:space="0" w:color="000000"/>
              <w:left w:val="single" w:sz="12" w:space="0" w:color="000000"/>
              <w:bottom w:val="single" w:sz="4" w:space="0" w:color="000000"/>
              <w:right w:val="single" w:sz="12" w:space="0" w:color="000000"/>
            </w:tcBorders>
          </w:tcPr>
          <w:p w14:paraId="6D1A4E25" w14:textId="152A827C" w:rsidR="00B56D50" w:rsidRDefault="001C3C42" w:rsidP="00A96221">
            <w:pPr>
              <w:spacing w:after="0" w:line="259" w:lineRule="auto"/>
              <w:ind w:left="0" w:right="0" w:firstLine="0"/>
              <w:jc w:val="center"/>
            </w:pPr>
            <w:r>
              <w:rPr>
                <w:sz w:val="18"/>
              </w:rPr>
              <w:t>425.1</w:t>
            </w:r>
            <w:r w:rsidR="00BD14C0">
              <w:rPr>
                <w:sz w:val="18"/>
              </w:rPr>
              <w:t xml:space="preserve"> </w:t>
            </w:r>
            <w:r w:rsidR="00896230" w:rsidRPr="000364A6">
              <w:rPr>
                <w:b/>
                <w:bCs/>
                <w:sz w:val="18"/>
                <w:vertAlign w:val="superscript"/>
              </w:rPr>
              <w:t>8</w:t>
            </w:r>
          </w:p>
        </w:tc>
        <w:tc>
          <w:tcPr>
            <w:tcW w:w="727" w:type="dxa"/>
            <w:tcBorders>
              <w:top w:val="single" w:sz="4" w:space="0" w:color="000000"/>
              <w:left w:val="single" w:sz="12" w:space="0" w:color="000000"/>
              <w:bottom w:val="single" w:sz="4" w:space="0" w:color="000000"/>
              <w:right w:val="single" w:sz="12" w:space="0" w:color="000000"/>
            </w:tcBorders>
          </w:tcPr>
          <w:p w14:paraId="2534D3A2" w14:textId="1ADC9CAD" w:rsidR="00B56D50" w:rsidRPr="00B26FD1" w:rsidRDefault="00DD4C83" w:rsidP="00A96221">
            <w:pPr>
              <w:spacing w:after="0" w:line="259" w:lineRule="auto"/>
              <w:ind w:left="0" w:right="0" w:firstLine="0"/>
              <w:jc w:val="center"/>
              <w:rPr>
                <w:vertAlign w:val="superscript"/>
              </w:rPr>
            </w:pPr>
            <w:r>
              <w:rPr>
                <w:sz w:val="18"/>
              </w:rPr>
              <w:t>5540</w:t>
            </w:r>
            <w:r w:rsidR="00BD14C0">
              <w:rPr>
                <w:sz w:val="18"/>
              </w:rPr>
              <w:t xml:space="preserve"> </w:t>
            </w:r>
            <w:r w:rsidR="003F256E" w:rsidRPr="000364A6">
              <w:rPr>
                <w:b/>
                <w:bCs/>
                <w:sz w:val="18"/>
                <w:vertAlign w:val="superscript"/>
              </w:rPr>
              <w:t>9</w:t>
            </w:r>
          </w:p>
        </w:tc>
        <w:tc>
          <w:tcPr>
            <w:tcW w:w="636" w:type="dxa"/>
            <w:tcBorders>
              <w:top w:val="single" w:sz="4" w:space="0" w:color="000000"/>
              <w:left w:val="single" w:sz="12" w:space="0" w:color="000000"/>
              <w:bottom w:val="single" w:sz="4" w:space="0" w:color="000000"/>
              <w:right w:val="single" w:sz="12" w:space="0" w:color="000000"/>
            </w:tcBorders>
          </w:tcPr>
          <w:p w14:paraId="76A7C0CB" w14:textId="1C735338" w:rsidR="00B56D50" w:rsidRDefault="00B56D50" w:rsidP="00A96221">
            <w:pPr>
              <w:spacing w:after="0" w:line="259" w:lineRule="auto"/>
              <w:ind w:left="0" w:right="0" w:firstLine="0"/>
              <w:jc w:val="center"/>
            </w:pPr>
          </w:p>
        </w:tc>
        <w:tc>
          <w:tcPr>
            <w:tcW w:w="545" w:type="dxa"/>
            <w:tcBorders>
              <w:top w:val="single" w:sz="4" w:space="0" w:color="000000"/>
              <w:left w:val="single" w:sz="12" w:space="0" w:color="000000"/>
              <w:bottom w:val="single" w:sz="4" w:space="0" w:color="000000"/>
              <w:right w:val="single" w:sz="12" w:space="0" w:color="000000"/>
            </w:tcBorders>
          </w:tcPr>
          <w:p w14:paraId="1C9C2EE0" w14:textId="0F4C51EE" w:rsidR="00B56D50" w:rsidRDefault="00B56D50" w:rsidP="00A96221">
            <w:pPr>
              <w:spacing w:after="0" w:line="259" w:lineRule="auto"/>
              <w:ind w:left="0" w:right="0" w:firstLine="0"/>
              <w:jc w:val="center"/>
            </w:pPr>
          </w:p>
        </w:tc>
        <w:tc>
          <w:tcPr>
            <w:tcW w:w="445" w:type="dxa"/>
            <w:tcBorders>
              <w:top w:val="single" w:sz="4" w:space="0" w:color="000000"/>
              <w:left w:val="single" w:sz="12" w:space="0" w:color="000000"/>
              <w:bottom w:val="single" w:sz="4" w:space="0" w:color="000000"/>
              <w:right w:val="single" w:sz="12" w:space="0" w:color="000000"/>
            </w:tcBorders>
          </w:tcPr>
          <w:p w14:paraId="2EBEF60F" w14:textId="7DEFCEFB" w:rsidR="00B56D50" w:rsidRDefault="00B56D50" w:rsidP="00A96221">
            <w:pPr>
              <w:spacing w:after="0" w:line="259" w:lineRule="auto"/>
              <w:ind w:left="0" w:right="0" w:firstLine="0"/>
              <w:jc w:val="center"/>
            </w:pPr>
          </w:p>
        </w:tc>
      </w:tr>
      <w:tr w:rsidR="00B56D50" w14:paraId="6107528D" w14:textId="77777777" w:rsidTr="00467372">
        <w:trPr>
          <w:trHeight w:val="252"/>
        </w:trPr>
        <w:tc>
          <w:tcPr>
            <w:tcW w:w="3647" w:type="dxa"/>
            <w:tcBorders>
              <w:top w:val="single" w:sz="4" w:space="0" w:color="000000"/>
              <w:left w:val="single" w:sz="12" w:space="0" w:color="000000"/>
              <w:bottom w:val="single" w:sz="4" w:space="0" w:color="000000"/>
              <w:right w:val="single" w:sz="12" w:space="0" w:color="000000"/>
            </w:tcBorders>
          </w:tcPr>
          <w:p w14:paraId="6205FB09" w14:textId="2C1729FA" w:rsidR="00B56D50" w:rsidRDefault="001C3C42" w:rsidP="00A96221">
            <w:pPr>
              <w:spacing w:after="0" w:line="259" w:lineRule="auto"/>
              <w:ind w:left="0" w:right="0" w:firstLine="0"/>
            </w:pPr>
            <w:r>
              <w:rPr>
                <w:sz w:val="18"/>
              </w:rPr>
              <w:t>Chemical Oxygen Demand (COD)</w:t>
            </w:r>
            <w:r>
              <w:rPr>
                <w:sz w:val="18"/>
                <w:vertAlign w:val="superscript"/>
              </w:rPr>
              <w:t xml:space="preserve"> </w:t>
            </w:r>
          </w:p>
        </w:tc>
        <w:tc>
          <w:tcPr>
            <w:tcW w:w="1091" w:type="dxa"/>
            <w:tcBorders>
              <w:top w:val="single" w:sz="4" w:space="0" w:color="000000"/>
              <w:left w:val="single" w:sz="12" w:space="0" w:color="000000"/>
              <w:bottom w:val="single" w:sz="4" w:space="0" w:color="000000"/>
              <w:right w:val="single" w:sz="12" w:space="0" w:color="000000"/>
            </w:tcBorders>
          </w:tcPr>
          <w:p w14:paraId="1A7C64F5" w14:textId="73E463DF" w:rsidR="00B56D50" w:rsidRDefault="001C3C42" w:rsidP="00A96221">
            <w:pPr>
              <w:spacing w:after="0" w:line="259" w:lineRule="auto"/>
              <w:ind w:left="11" w:right="0" w:firstLine="0"/>
              <w:jc w:val="center"/>
            </w:pPr>
            <w:r>
              <w:rPr>
                <w:sz w:val="18"/>
              </w:rPr>
              <w:t>N/A</w:t>
            </w:r>
          </w:p>
        </w:tc>
        <w:tc>
          <w:tcPr>
            <w:tcW w:w="637" w:type="dxa"/>
            <w:tcBorders>
              <w:top w:val="single" w:sz="4" w:space="0" w:color="000000"/>
              <w:left w:val="single" w:sz="12" w:space="0" w:color="000000"/>
              <w:bottom w:val="single" w:sz="4" w:space="0" w:color="000000"/>
              <w:right w:val="single" w:sz="12" w:space="0" w:color="000000"/>
            </w:tcBorders>
          </w:tcPr>
          <w:p w14:paraId="3139D8EE" w14:textId="1281495E" w:rsidR="00B56D50" w:rsidRDefault="001C3C42" w:rsidP="00A96221">
            <w:pPr>
              <w:spacing w:after="0" w:line="259" w:lineRule="auto"/>
              <w:ind w:left="0" w:right="0" w:firstLine="0"/>
              <w:jc w:val="center"/>
            </w:pPr>
            <w:r>
              <w:rPr>
                <w:sz w:val="18"/>
              </w:rPr>
              <w:t>5</w:t>
            </w:r>
          </w:p>
        </w:tc>
        <w:tc>
          <w:tcPr>
            <w:tcW w:w="728" w:type="dxa"/>
            <w:tcBorders>
              <w:top w:val="single" w:sz="4" w:space="0" w:color="000000"/>
              <w:left w:val="single" w:sz="12" w:space="0" w:color="000000"/>
              <w:bottom w:val="single" w:sz="4" w:space="0" w:color="000000"/>
              <w:right w:val="single" w:sz="12" w:space="0" w:color="000000"/>
            </w:tcBorders>
          </w:tcPr>
          <w:p w14:paraId="1343F8B5" w14:textId="1BD86969" w:rsidR="00B56D50" w:rsidRDefault="001C3C42" w:rsidP="00A96221">
            <w:pPr>
              <w:spacing w:after="0" w:line="259" w:lineRule="auto"/>
              <w:ind w:left="91" w:right="0" w:firstLine="0"/>
              <w:jc w:val="center"/>
            </w:pPr>
            <w:r>
              <w:rPr>
                <w:sz w:val="18"/>
              </w:rPr>
              <w:t>mg/L</w:t>
            </w:r>
          </w:p>
        </w:tc>
        <w:tc>
          <w:tcPr>
            <w:tcW w:w="635" w:type="dxa"/>
            <w:tcBorders>
              <w:top w:val="single" w:sz="4" w:space="0" w:color="000000"/>
              <w:left w:val="single" w:sz="12" w:space="0" w:color="000000"/>
              <w:bottom w:val="single" w:sz="4" w:space="0" w:color="000000"/>
              <w:right w:val="single" w:sz="12" w:space="0" w:color="000000"/>
            </w:tcBorders>
          </w:tcPr>
          <w:p w14:paraId="31A8EDDA" w14:textId="2ABE405F" w:rsidR="00B56D50" w:rsidRDefault="001C3C42" w:rsidP="00A96221">
            <w:pPr>
              <w:spacing w:after="0" w:line="259" w:lineRule="auto"/>
              <w:ind w:left="89" w:right="0" w:firstLine="0"/>
              <w:jc w:val="center"/>
            </w:pPr>
            <w:r>
              <w:rPr>
                <w:sz w:val="18"/>
              </w:rPr>
              <w:t>N/A</w:t>
            </w:r>
          </w:p>
        </w:tc>
        <w:tc>
          <w:tcPr>
            <w:tcW w:w="727" w:type="dxa"/>
            <w:tcBorders>
              <w:top w:val="single" w:sz="4" w:space="0" w:color="000000"/>
              <w:left w:val="single" w:sz="12" w:space="0" w:color="000000"/>
              <w:bottom w:val="single" w:sz="4" w:space="0" w:color="000000"/>
              <w:right w:val="single" w:sz="12" w:space="0" w:color="000000"/>
            </w:tcBorders>
          </w:tcPr>
          <w:p w14:paraId="38B9A394" w14:textId="58509D50" w:rsidR="00B56D50" w:rsidRDefault="001C3C42" w:rsidP="00A96221">
            <w:pPr>
              <w:spacing w:after="0" w:line="259" w:lineRule="auto"/>
              <w:ind w:left="58" w:right="0" w:firstLine="0"/>
              <w:jc w:val="center"/>
            </w:pPr>
            <w:r>
              <w:rPr>
                <w:sz w:val="18"/>
              </w:rPr>
              <w:t>mg/kg</w:t>
            </w:r>
          </w:p>
        </w:tc>
        <w:tc>
          <w:tcPr>
            <w:tcW w:w="802" w:type="dxa"/>
            <w:tcBorders>
              <w:top w:val="single" w:sz="4" w:space="0" w:color="000000"/>
              <w:left w:val="single" w:sz="12" w:space="0" w:color="000000"/>
              <w:bottom w:val="single" w:sz="4" w:space="0" w:color="000000"/>
              <w:right w:val="single" w:sz="12" w:space="0" w:color="000000"/>
            </w:tcBorders>
          </w:tcPr>
          <w:p w14:paraId="44C5475F" w14:textId="27AFDA6F" w:rsidR="00B56D50" w:rsidRDefault="001C3C42" w:rsidP="00A96221">
            <w:pPr>
              <w:spacing w:after="0" w:line="259" w:lineRule="auto"/>
              <w:ind w:left="0" w:right="0" w:firstLine="0"/>
              <w:jc w:val="center"/>
            </w:pPr>
            <w:r>
              <w:rPr>
                <w:sz w:val="18"/>
              </w:rPr>
              <w:t>410.3</w:t>
            </w:r>
            <w:r w:rsidR="00BD14C0">
              <w:rPr>
                <w:sz w:val="18"/>
              </w:rPr>
              <w:t xml:space="preserve"> </w:t>
            </w:r>
            <w:r w:rsidR="00C52FD2" w:rsidRPr="000364A6">
              <w:rPr>
                <w:b/>
                <w:bCs/>
                <w:sz w:val="18"/>
                <w:vertAlign w:val="superscript"/>
              </w:rPr>
              <w:t>8</w:t>
            </w:r>
          </w:p>
        </w:tc>
        <w:tc>
          <w:tcPr>
            <w:tcW w:w="727" w:type="dxa"/>
            <w:tcBorders>
              <w:top w:val="single" w:sz="4" w:space="0" w:color="000000"/>
              <w:left w:val="single" w:sz="12" w:space="0" w:color="000000"/>
              <w:bottom w:val="single" w:sz="4" w:space="0" w:color="000000"/>
              <w:right w:val="single" w:sz="12" w:space="0" w:color="000000"/>
            </w:tcBorders>
          </w:tcPr>
          <w:p w14:paraId="5F4FE2D9" w14:textId="205B9C08" w:rsidR="00B56D50" w:rsidRDefault="001C3C42" w:rsidP="00A96221">
            <w:pPr>
              <w:spacing w:after="0" w:line="259" w:lineRule="auto"/>
              <w:ind w:left="0" w:right="0" w:firstLine="0"/>
              <w:jc w:val="center"/>
            </w:pPr>
            <w:r>
              <w:rPr>
                <w:sz w:val="18"/>
              </w:rPr>
              <w:t>410.4</w:t>
            </w:r>
            <w:r w:rsidR="00BD14C0">
              <w:rPr>
                <w:sz w:val="18"/>
              </w:rPr>
              <w:t xml:space="preserve"> </w:t>
            </w:r>
            <w:r w:rsidR="00C52FD2" w:rsidRPr="000364A6">
              <w:rPr>
                <w:b/>
                <w:bCs/>
                <w:sz w:val="18"/>
                <w:vertAlign w:val="superscript"/>
              </w:rPr>
              <w:t>8</w:t>
            </w:r>
          </w:p>
        </w:tc>
        <w:tc>
          <w:tcPr>
            <w:tcW w:w="636" w:type="dxa"/>
            <w:tcBorders>
              <w:top w:val="single" w:sz="4" w:space="0" w:color="000000"/>
              <w:left w:val="single" w:sz="12" w:space="0" w:color="000000"/>
              <w:bottom w:val="single" w:sz="4" w:space="0" w:color="000000"/>
              <w:right w:val="single" w:sz="12" w:space="0" w:color="000000"/>
            </w:tcBorders>
          </w:tcPr>
          <w:p w14:paraId="16BE88C9" w14:textId="757DB239" w:rsidR="00B56D50" w:rsidRDefault="001C3C42" w:rsidP="00A96221">
            <w:pPr>
              <w:spacing w:after="0" w:line="259" w:lineRule="auto"/>
              <w:ind w:left="0" w:right="0" w:firstLine="0"/>
              <w:jc w:val="center"/>
            </w:pPr>
            <w:r>
              <w:rPr>
                <w:sz w:val="18"/>
              </w:rPr>
              <w:t>5220</w:t>
            </w:r>
            <w:r w:rsidR="00BD14C0">
              <w:rPr>
                <w:sz w:val="18"/>
              </w:rPr>
              <w:t xml:space="preserve"> </w:t>
            </w:r>
            <w:r w:rsidR="00C52FD2" w:rsidRPr="000364A6">
              <w:rPr>
                <w:b/>
                <w:bCs/>
                <w:sz w:val="18"/>
                <w:vertAlign w:val="superscript"/>
              </w:rPr>
              <w:t>9</w:t>
            </w:r>
          </w:p>
        </w:tc>
        <w:tc>
          <w:tcPr>
            <w:tcW w:w="545" w:type="dxa"/>
            <w:tcBorders>
              <w:top w:val="single" w:sz="4" w:space="0" w:color="000000"/>
              <w:left w:val="single" w:sz="12" w:space="0" w:color="000000"/>
              <w:bottom w:val="single" w:sz="4" w:space="0" w:color="000000"/>
              <w:right w:val="single" w:sz="12" w:space="0" w:color="000000"/>
            </w:tcBorders>
          </w:tcPr>
          <w:p w14:paraId="2692345A" w14:textId="722B344F" w:rsidR="00B56D50" w:rsidRDefault="00B56D50" w:rsidP="00A96221">
            <w:pPr>
              <w:spacing w:after="0" w:line="259" w:lineRule="auto"/>
              <w:ind w:left="0" w:right="0" w:firstLine="0"/>
              <w:jc w:val="center"/>
            </w:pPr>
          </w:p>
        </w:tc>
        <w:tc>
          <w:tcPr>
            <w:tcW w:w="445" w:type="dxa"/>
            <w:tcBorders>
              <w:top w:val="single" w:sz="4" w:space="0" w:color="000000"/>
              <w:left w:val="single" w:sz="12" w:space="0" w:color="000000"/>
              <w:bottom w:val="single" w:sz="4" w:space="0" w:color="000000"/>
              <w:right w:val="single" w:sz="12" w:space="0" w:color="000000"/>
            </w:tcBorders>
          </w:tcPr>
          <w:p w14:paraId="51EF366A" w14:textId="7E82A16C" w:rsidR="00B56D50" w:rsidRDefault="00B56D50" w:rsidP="00A96221">
            <w:pPr>
              <w:spacing w:after="0" w:line="259" w:lineRule="auto"/>
              <w:ind w:left="0" w:right="0" w:firstLine="0"/>
              <w:jc w:val="center"/>
            </w:pPr>
          </w:p>
        </w:tc>
      </w:tr>
      <w:tr w:rsidR="00B56D50" w14:paraId="07457E64" w14:textId="77777777" w:rsidTr="00467372">
        <w:trPr>
          <w:trHeight w:val="422"/>
        </w:trPr>
        <w:tc>
          <w:tcPr>
            <w:tcW w:w="3647" w:type="dxa"/>
            <w:tcBorders>
              <w:top w:val="single" w:sz="4" w:space="0" w:color="000000"/>
              <w:left w:val="single" w:sz="12" w:space="0" w:color="000000"/>
              <w:bottom w:val="single" w:sz="4" w:space="0" w:color="000000"/>
              <w:right w:val="single" w:sz="12" w:space="0" w:color="000000"/>
            </w:tcBorders>
          </w:tcPr>
          <w:p w14:paraId="70F6E773" w14:textId="77777777" w:rsidR="00B56D50" w:rsidRDefault="001C3C42" w:rsidP="00A96221">
            <w:pPr>
              <w:spacing w:after="0" w:line="259" w:lineRule="auto"/>
              <w:ind w:left="0" w:right="0" w:firstLine="0"/>
            </w:pPr>
            <w:r>
              <w:rPr>
                <w:sz w:val="18"/>
              </w:rPr>
              <w:t xml:space="preserve">Biochemical Oxygen Demand (total) </w:t>
            </w:r>
          </w:p>
          <w:p w14:paraId="4B1A2D20" w14:textId="29138C08" w:rsidR="00B56D50" w:rsidRDefault="001C3C42" w:rsidP="00A96221">
            <w:pPr>
              <w:spacing w:after="0" w:line="259" w:lineRule="auto"/>
              <w:ind w:left="0" w:right="0" w:firstLine="0"/>
            </w:pPr>
            <w:r>
              <w:rPr>
                <w:sz w:val="18"/>
              </w:rPr>
              <w:t>(BOD</w:t>
            </w:r>
            <w:r>
              <w:rPr>
                <w:sz w:val="18"/>
                <w:vertAlign w:val="subscript"/>
              </w:rPr>
              <w:t>5</w:t>
            </w:r>
            <w:r>
              <w:rPr>
                <w:sz w:val="18"/>
              </w:rPr>
              <w:t>)</w:t>
            </w:r>
            <w:r>
              <w:rPr>
                <w:sz w:val="12"/>
              </w:rPr>
              <w:t xml:space="preserve"> </w:t>
            </w:r>
          </w:p>
        </w:tc>
        <w:tc>
          <w:tcPr>
            <w:tcW w:w="1091" w:type="dxa"/>
            <w:tcBorders>
              <w:top w:val="single" w:sz="4" w:space="0" w:color="000000"/>
              <w:left w:val="single" w:sz="12" w:space="0" w:color="000000"/>
              <w:bottom w:val="single" w:sz="4" w:space="0" w:color="000000"/>
              <w:right w:val="single" w:sz="12" w:space="0" w:color="000000"/>
            </w:tcBorders>
          </w:tcPr>
          <w:p w14:paraId="4641F253" w14:textId="7477ADA2" w:rsidR="00B56D50" w:rsidRDefault="001C3C42" w:rsidP="00A96221">
            <w:pPr>
              <w:spacing w:after="0" w:line="259" w:lineRule="auto"/>
              <w:ind w:left="11" w:right="0" w:firstLine="0"/>
              <w:jc w:val="center"/>
            </w:pPr>
            <w:r>
              <w:rPr>
                <w:sz w:val="18"/>
              </w:rPr>
              <w:t>N/A</w:t>
            </w:r>
          </w:p>
        </w:tc>
        <w:tc>
          <w:tcPr>
            <w:tcW w:w="637" w:type="dxa"/>
            <w:tcBorders>
              <w:top w:val="single" w:sz="4" w:space="0" w:color="000000"/>
              <w:left w:val="single" w:sz="12" w:space="0" w:color="000000"/>
              <w:bottom w:val="single" w:sz="4" w:space="0" w:color="000000"/>
              <w:right w:val="single" w:sz="12" w:space="0" w:color="000000"/>
            </w:tcBorders>
          </w:tcPr>
          <w:p w14:paraId="6AFA41DA" w14:textId="04E86721" w:rsidR="00B56D50" w:rsidRDefault="001C3C42" w:rsidP="00A96221">
            <w:pPr>
              <w:spacing w:after="0" w:line="259" w:lineRule="auto"/>
              <w:ind w:left="0" w:right="0" w:firstLine="0"/>
              <w:jc w:val="center"/>
            </w:pPr>
            <w:r>
              <w:rPr>
                <w:sz w:val="18"/>
              </w:rPr>
              <w:t>5</w:t>
            </w:r>
          </w:p>
        </w:tc>
        <w:tc>
          <w:tcPr>
            <w:tcW w:w="728" w:type="dxa"/>
            <w:tcBorders>
              <w:top w:val="single" w:sz="4" w:space="0" w:color="000000"/>
              <w:left w:val="single" w:sz="12" w:space="0" w:color="000000"/>
              <w:bottom w:val="single" w:sz="4" w:space="0" w:color="000000"/>
              <w:right w:val="single" w:sz="12" w:space="0" w:color="000000"/>
            </w:tcBorders>
          </w:tcPr>
          <w:p w14:paraId="1DBD3106" w14:textId="2E4D145E" w:rsidR="00B56D50" w:rsidRDefault="001C3C42" w:rsidP="00A96221">
            <w:pPr>
              <w:spacing w:after="0" w:line="259" w:lineRule="auto"/>
              <w:ind w:left="91" w:right="0" w:firstLine="0"/>
              <w:jc w:val="center"/>
            </w:pPr>
            <w:r>
              <w:rPr>
                <w:sz w:val="18"/>
              </w:rPr>
              <w:t>mg/L</w:t>
            </w:r>
          </w:p>
        </w:tc>
        <w:tc>
          <w:tcPr>
            <w:tcW w:w="635" w:type="dxa"/>
            <w:tcBorders>
              <w:top w:val="single" w:sz="4" w:space="0" w:color="000000"/>
              <w:left w:val="single" w:sz="12" w:space="0" w:color="000000"/>
              <w:bottom w:val="single" w:sz="4" w:space="0" w:color="000000"/>
              <w:right w:val="single" w:sz="12" w:space="0" w:color="000000"/>
            </w:tcBorders>
          </w:tcPr>
          <w:p w14:paraId="7E0E6B26" w14:textId="5FB837EE" w:rsidR="00B56D50" w:rsidRDefault="001C3C42" w:rsidP="00A96221">
            <w:pPr>
              <w:spacing w:after="0" w:line="259" w:lineRule="auto"/>
              <w:ind w:left="89" w:right="0" w:firstLine="0"/>
              <w:jc w:val="center"/>
            </w:pPr>
            <w:r>
              <w:rPr>
                <w:sz w:val="18"/>
              </w:rPr>
              <w:t>N/A</w:t>
            </w:r>
          </w:p>
        </w:tc>
        <w:tc>
          <w:tcPr>
            <w:tcW w:w="727" w:type="dxa"/>
            <w:tcBorders>
              <w:top w:val="single" w:sz="4" w:space="0" w:color="000000"/>
              <w:left w:val="single" w:sz="12" w:space="0" w:color="000000"/>
              <w:bottom w:val="single" w:sz="4" w:space="0" w:color="000000"/>
              <w:right w:val="single" w:sz="12" w:space="0" w:color="000000"/>
            </w:tcBorders>
          </w:tcPr>
          <w:p w14:paraId="0A3184F2" w14:textId="5E131F02" w:rsidR="00B56D50" w:rsidRDefault="001C3C42" w:rsidP="00A96221">
            <w:pPr>
              <w:spacing w:after="0" w:line="259" w:lineRule="auto"/>
              <w:ind w:left="11" w:right="0" w:firstLine="0"/>
              <w:jc w:val="center"/>
            </w:pPr>
            <w:r>
              <w:rPr>
                <w:sz w:val="18"/>
              </w:rPr>
              <w:t>N/A</w:t>
            </w:r>
          </w:p>
        </w:tc>
        <w:tc>
          <w:tcPr>
            <w:tcW w:w="802" w:type="dxa"/>
            <w:tcBorders>
              <w:top w:val="single" w:sz="4" w:space="0" w:color="000000"/>
              <w:left w:val="single" w:sz="12" w:space="0" w:color="000000"/>
              <w:bottom w:val="single" w:sz="4" w:space="0" w:color="000000"/>
              <w:right w:val="single" w:sz="12" w:space="0" w:color="000000"/>
            </w:tcBorders>
          </w:tcPr>
          <w:p w14:paraId="28C6005F" w14:textId="1E9966CC" w:rsidR="00B56D50" w:rsidRDefault="001C3C42" w:rsidP="00A96221">
            <w:pPr>
              <w:spacing w:after="0" w:line="259" w:lineRule="auto"/>
              <w:ind w:left="0" w:right="0" w:firstLine="0"/>
              <w:jc w:val="center"/>
            </w:pPr>
            <w:r>
              <w:rPr>
                <w:sz w:val="18"/>
              </w:rPr>
              <w:t>5210B</w:t>
            </w:r>
            <w:r w:rsidR="00BD14C0">
              <w:rPr>
                <w:sz w:val="18"/>
              </w:rPr>
              <w:t xml:space="preserve"> </w:t>
            </w:r>
            <w:r w:rsidR="00C52FD2" w:rsidRPr="000364A6">
              <w:rPr>
                <w:b/>
                <w:bCs/>
                <w:sz w:val="18"/>
                <w:vertAlign w:val="superscript"/>
              </w:rPr>
              <w:t>9</w:t>
            </w:r>
          </w:p>
        </w:tc>
        <w:tc>
          <w:tcPr>
            <w:tcW w:w="727" w:type="dxa"/>
            <w:tcBorders>
              <w:top w:val="single" w:sz="4" w:space="0" w:color="000000"/>
              <w:left w:val="single" w:sz="12" w:space="0" w:color="000000"/>
              <w:bottom w:val="single" w:sz="4" w:space="0" w:color="000000"/>
              <w:right w:val="single" w:sz="12" w:space="0" w:color="000000"/>
            </w:tcBorders>
          </w:tcPr>
          <w:p w14:paraId="4F0908CA" w14:textId="7E095621" w:rsidR="00B56D50" w:rsidRDefault="00B56D50" w:rsidP="00A96221">
            <w:pPr>
              <w:spacing w:after="0" w:line="259" w:lineRule="auto"/>
              <w:ind w:left="0" w:right="0" w:firstLine="0"/>
              <w:jc w:val="center"/>
            </w:pPr>
          </w:p>
        </w:tc>
        <w:tc>
          <w:tcPr>
            <w:tcW w:w="636" w:type="dxa"/>
            <w:tcBorders>
              <w:top w:val="single" w:sz="4" w:space="0" w:color="000000"/>
              <w:left w:val="single" w:sz="12" w:space="0" w:color="000000"/>
              <w:bottom w:val="single" w:sz="4" w:space="0" w:color="000000"/>
              <w:right w:val="single" w:sz="12" w:space="0" w:color="000000"/>
            </w:tcBorders>
          </w:tcPr>
          <w:p w14:paraId="28A303C7" w14:textId="473A2EC4" w:rsidR="00B56D50" w:rsidRDefault="00B56D50" w:rsidP="00A96221">
            <w:pPr>
              <w:spacing w:after="0" w:line="259" w:lineRule="auto"/>
              <w:ind w:left="0" w:right="0" w:firstLine="0"/>
              <w:jc w:val="center"/>
            </w:pPr>
          </w:p>
        </w:tc>
        <w:tc>
          <w:tcPr>
            <w:tcW w:w="545" w:type="dxa"/>
            <w:tcBorders>
              <w:top w:val="single" w:sz="4" w:space="0" w:color="000000"/>
              <w:left w:val="single" w:sz="12" w:space="0" w:color="000000"/>
              <w:bottom w:val="single" w:sz="4" w:space="0" w:color="000000"/>
              <w:right w:val="single" w:sz="12" w:space="0" w:color="000000"/>
            </w:tcBorders>
          </w:tcPr>
          <w:p w14:paraId="10D4AD55" w14:textId="1E20FBEF" w:rsidR="00B56D50" w:rsidRDefault="00B56D50" w:rsidP="00A96221">
            <w:pPr>
              <w:spacing w:after="0" w:line="259" w:lineRule="auto"/>
              <w:ind w:left="0" w:right="0" w:firstLine="0"/>
              <w:jc w:val="center"/>
            </w:pPr>
          </w:p>
        </w:tc>
        <w:tc>
          <w:tcPr>
            <w:tcW w:w="445" w:type="dxa"/>
            <w:tcBorders>
              <w:top w:val="single" w:sz="4" w:space="0" w:color="000000"/>
              <w:left w:val="single" w:sz="12" w:space="0" w:color="000000"/>
              <w:bottom w:val="single" w:sz="4" w:space="0" w:color="000000"/>
              <w:right w:val="single" w:sz="12" w:space="0" w:color="000000"/>
            </w:tcBorders>
          </w:tcPr>
          <w:p w14:paraId="4A0A46A8" w14:textId="726DB46C" w:rsidR="00B56D50" w:rsidRDefault="00B56D50" w:rsidP="00A96221">
            <w:pPr>
              <w:spacing w:after="0" w:line="259" w:lineRule="auto"/>
              <w:ind w:left="0" w:right="0" w:firstLine="0"/>
              <w:jc w:val="center"/>
            </w:pPr>
          </w:p>
        </w:tc>
      </w:tr>
      <w:tr w:rsidR="00B56D50" w14:paraId="3DC09EB7" w14:textId="77777777" w:rsidTr="00467372">
        <w:trPr>
          <w:trHeight w:val="432"/>
        </w:trPr>
        <w:tc>
          <w:tcPr>
            <w:tcW w:w="3647" w:type="dxa"/>
            <w:tcBorders>
              <w:top w:val="single" w:sz="4" w:space="0" w:color="000000"/>
              <w:left w:val="single" w:sz="12" w:space="0" w:color="000000"/>
              <w:bottom w:val="single" w:sz="12" w:space="0" w:color="000000"/>
              <w:right w:val="single" w:sz="12" w:space="0" w:color="000000"/>
            </w:tcBorders>
          </w:tcPr>
          <w:p w14:paraId="100E7043" w14:textId="77777777" w:rsidR="00B56D50" w:rsidRDefault="001C3C42" w:rsidP="00A96221">
            <w:pPr>
              <w:spacing w:after="0" w:line="259" w:lineRule="auto"/>
              <w:ind w:left="0" w:right="0" w:firstLine="0"/>
            </w:pPr>
            <w:r>
              <w:rPr>
                <w:sz w:val="18"/>
              </w:rPr>
              <w:t xml:space="preserve">Carbonaceous Biochemical Oxygen </w:t>
            </w:r>
          </w:p>
          <w:p w14:paraId="14F57B15" w14:textId="1A20458A" w:rsidR="00B56D50" w:rsidRDefault="001C3C42" w:rsidP="00A96221">
            <w:pPr>
              <w:spacing w:after="0" w:line="259" w:lineRule="auto"/>
              <w:ind w:left="0" w:right="0" w:firstLine="0"/>
            </w:pPr>
            <w:r>
              <w:rPr>
                <w:sz w:val="18"/>
              </w:rPr>
              <w:t>Demand (CBOD</w:t>
            </w:r>
            <w:r>
              <w:rPr>
                <w:sz w:val="18"/>
                <w:vertAlign w:val="subscript"/>
              </w:rPr>
              <w:t>5</w:t>
            </w:r>
            <w:r>
              <w:rPr>
                <w:sz w:val="18"/>
              </w:rPr>
              <w:t>)</w:t>
            </w:r>
            <w:r>
              <w:rPr>
                <w:sz w:val="18"/>
                <w:vertAlign w:val="superscript"/>
              </w:rPr>
              <w:t xml:space="preserve"> </w:t>
            </w:r>
          </w:p>
        </w:tc>
        <w:tc>
          <w:tcPr>
            <w:tcW w:w="1091" w:type="dxa"/>
            <w:tcBorders>
              <w:top w:val="single" w:sz="4" w:space="0" w:color="000000"/>
              <w:left w:val="single" w:sz="12" w:space="0" w:color="000000"/>
              <w:bottom w:val="single" w:sz="12" w:space="0" w:color="000000"/>
              <w:right w:val="single" w:sz="12" w:space="0" w:color="000000"/>
            </w:tcBorders>
          </w:tcPr>
          <w:p w14:paraId="287F85B5" w14:textId="75AF80B4" w:rsidR="00B56D50" w:rsidRDefault="001C3C42" w:rsidP="00A96221">
            <w:pPr>
              <w:spacing w:after="0" w:line="259" w:lineRule="auto"/>
              <w:ind w:left="11" w:right="0" w:firstLine="0"/>
              <w:jc w:val="center"/>
            </w:pPr>
            <w:r>
              <w:rPr>
                <w:sz w:val="18"/>
              </w:rPr>
              <w:t>N/A</w:t>
            </w:r>
          </w:p>
        </w:tc>
        <w:tc>
          <w:tcPr>
            <w:tcW w:w="637" w:type="dxa"/>
            <w:tcBorders>
              <w:top w:val="single" w:sz="4" w:space="0" w:color="000000"/>
              <w:left w:val="single" w:sz="12" w:space="0" w:color="000000"/>
              <w:bottom w:val="single" w:sz="12" w:space="0" w:color="000000"/>
              <w:right w:val="single" w:sz="12" w:space="0" w:color="000000"/>
            </w:tcBorders>
          </w:tcPr>
          <w:p w14:paraId="3F39499F" w14:textId="62C91781" w:rsidR="00B56D50" w:rsidRDefault="001C3C42" w:rsidP="00A96221">
            <w:pPr>
              <w:spacing w:after="0" w:line="259" w:lineRule="auto"/>
              <w:ind w:left="0" w:right="0" w:firstLine="0"/>
              <w:jc w:val="center"/>
            </w:pPr>
            <w:r>
              <w:rPr>
                <w:sz w:val="18"/>
              </w:rPr>
              <w:t>5</w:t>
            </w:r>
          </w:p>
        </w:tc>
        <w:tc>
          <w:tcPr>
            <w:tcW w:w="728" w:type="dxa"/>
            <w:tcBorders>
              <w:top w:val="single" w:sz="4" w:space="0" w:color="000000"/>
              <w:left w:val="single" w:sz="12" w:space="0" w:color="000000"/>
              <w:bottom w:val="single" w:sz="12" w:space="0" w:color="000000"/>
              <w:right w:val="single" w:sz="12" w:space="0" w:color="000000"/>
            </w:tcBorders>
          </w:tcPr>
          <w:p w14:paraId="13CA1C93" w14:textId="68E961C3" w:rsidR="00B56D50" w:rsidRDefault="001C3C42" w:rsidP="00A96221">
            <w:pPr>
              <w:spacing w:after="0" w:line="259" w:lineRule="auto"/>
              <w:ind w:left="91" w:right="0" w:firstLine="0"/>
              <w:jc w:val="center"/>
            </w:pPr>
            <w:r>
              <w:rPr>
                <w:sz w:val="18"/>
              </w:rPr>
              <w:t>mg/L</w:t>
            </w:r>
          </w:p>
        </w:tc>
        <w:tc>
          <w:tcPr>
            <w:tcW w:w="635" w:type="dxa"/>
            <w:tcBorders>
              <w:top w:val="single" w:sz="4" w:space="0" w:color="000000"/>
              <w:left w:val="single" w:sz="12" w:space="0" w:color="000000"/>
              <w:bottom w:val="single" w:sz="12" w:space="0" w:color="000000"/>
              <w:right w:val="single" w:sz="12" w:space="0" w:color="000000"/>
            </w:tcBorders>
          </w:tcPr>
          <w:p w14:paraId="4BB6F5A3" w14:textId="394680E0" w:rsidR="00B56D50" w:rsidRDefault="001C3C42" w:rsidP="00A96221">
            <w:pPr>
              <w:spacing w:after="0" w:line="259" w:lineRule="auto"/>
              <w:ind w:left="89" w:right="0" w:firstLine="0"/>
              <w:jc w:val="center"/>
            </w:pPr>
            <w:r>
              <w:rPr>
                <w:sz w:val="18"/>
              </w:rPr>
              <w:t>N/A</w:t>
            </w:r>
          </w:p>
        </w:tc>
        <w:tc>
          <w:tcPr>
            <w:tcW w:w="727" w:type="dxa"/>
            <w:tcBorders>
              <w:top w:val="single" w:sz="4" w:space="0" w:color="000000"/>
              <w:left w:val="single" w:sz="12" w:space="0" w:color="000000"/>
              <w:bottom w:val="single" w:sz="12" w:space="0" w:color="000000"/>
              <w:right w:val="single" w:sz="12" w:space="0" w:color="000000"/>
            </w:tcBorders>
          </w:tcPr>
          <w:p w14:paraId="44FA5DEF" w14:textId="5C587717" w:rsidR="00B56D50" w:rsidRDefault="001C3C42" w:rsidP="00A96221">
            <w:pPr>
              <w:spacing w:after="0" w:line="259" w:lineRule="auto"/>
              <w:ind w:left="11" w:right="0" w:firstLine="0"/>
              <w:jc w:val="center"/>
            </w:pPr>
            <w:r>
              <w:rPr>
                <w:sz w:val="18"/>
              </w:rPr>
              <w:t>N/A</w:t>
            </w:r>
          </w:p>
        </w:tc>
        <w:tc>
          <w:tcPr>
            <w:tcW w:w="802" w:type="dxa"/>
            <w:tcBorders>
              <w:top w:val="single" w:sz="4" w:space="0" w:color="000000"/>
              <w:left w:val="single" w:sz="12" w:space="0" w:color="000000"/>
              <w:bottom w:val="single" w:sz="12" w:space="0" w:color="000000"/>
              <w:right w:val="single" w:sz="12" w:space="0" w:color="000000"/>
            </w:tcBorders>
          </w:tcPr>
          <w:p w14:paraId="53F26CFE" w14:textId="48DD93DB" w:rsidR="00B56D50" w:rsidRDefault="001C3C42" w:rsidP="00A96221">
            <w:pPr>
              <w:spacing w:after="0" w:line="259" w:lineRule="auto"/>
              <w:ind w:left="0" w:right="0" w:firstLine="0"/>
              <w:jc w:val="center"/>
            </w:pPr>
            <w:r>
              <w:rPr>
                <w:sz w:val="18"/>
              </w:rPr>
              <w:t>5210B</w:t>
            </w:r>
            <w:r w:rsidR="00BD14C0">
              <w:rPr>
                <w:sz w:val="18"/>
              </w:rPr>
              <w:t xml:space="preserve"> </w:t>
            </w:r>
            <w:r w:rsidR="00C52FD2" w:rsidRPr="000364A6">
              <w:rPr>
                <w:b/>
                <w:bCs/>
                <w:sz w:val="18"/>
                <w:vertAlign w:val="superscript"/>
              </w:rPr>
              <w:t>9</w:t>
            </w:r>
          </w:p>
        </w:tc>
        <w:tc>
          <w:tcPr>
            <w:tcW w:w="727" w:type="dxa"/>
            <w:tcBorders>
              <w:top w:val="single" w:sz="4" w:space="0" w:color="000000"/>
              <w:left w:val="single" w:sz="12" w:space="0" w:color="000000"/>
              <w:bottom w:val="single" w:sz="12" w:space="0" w:color="000000"/>
              <w:right w:val="single" w:sz="12" w:space="0" w:color="000000"/>
            </w:tcBorders>
          </w:tcPr>
          <w:p w14:paraId="164C3DF1" w14:textId="777E24FA" w:rsidR="00B56D50" w:rsidRDefault="00B56D50" w:rsidP="00A96221">
            <w:pPr>
              <w:spacing w:after="0" w:line="259" w:lineRule="auto"/>
              <w:ind w:left="0" w:right="0" w:firstLine="0"/>
              <w:jc w:val="center"/>
            </w:pPr>
          </w:p>
        </w:tc>
        <w:tc>
          <w:tcPr>
            <w:tcW w:w="636" w:type="dxa"/>
            <w:tcBorders>
              <w:top w:val="single" w:sz="4" w:space="0" w:color="000000"/>
              <w:left w:val="single" w:sz="12" w:space="0" w:color="000000"/>
              <w:bottom w:val="single" w:sz="12" w:space="0" w:color="000000"/>
              <w:right w:val="single" w:sz="12" w:space="0" w:color="000000"/>
            </w:tcBorders>
          </w:tcPr>
          <w:p w14:paraId="05F10F16" w14:textId="3D5D84A7" w:rsidR="00B56D50" w:rsidRDefault="00B56D50" w:rsidP="00A96221">
            <w:pPr>
              <w:spacing w:after="0" w:line="259" w:lineRule="auto"/>
              <w:ind w:left="0" w:right="0" w:firstLine="0"/>
              <w:jc w:val="center"/>
            </w:pPr>
          </w:p>
        </w:tc>
        <w:tc>
          <w:tcPr>
            <w:tcW w:w="545" w:type="dxa"/>
            <w:tcBorders>
              <w:top w:val="single" w:sz="4" w:space="0" w:color="000000"/>
              <w:left w:val="single" w:sz="12" w:space="0" w:color="000000"/>
              <w:bottom w:val="single" w:sz="12" w:space="0" w:color="000000"/>
              <w:right w:val="single" w:sz="12" w:space="0" w:color="000000"/>
            </w:tcBorders>
          </w:tcPr>
          <w:p w14:paraId="0BDC6BE1" w14:textId="47B6E1FE" w:rsidR="00B56D50" w:rsidRDefault="00B56D50" w:rsidP="00A96221">
            <w:pPr>
              <w:spacing w:after="0" w:line="259" w:lineRule="auto"/>
              <w:ind w:left="0" w:right="0" w:firstLine="0"/>
              <w:jc w:val="center"/>
            </w:pPr>
          </w:p>
        </w:tc>
        <w:tc>
          <w:tcPr>
            <w:tcW w:w="445" w:type="dxa"/>
            <w:tcBorders>
              <w:top w:val="single" w:sz="4" w:space="0" w:color="000000"/>
              <w:left w:val="single" w:sz="12" w:space="0" w:color="000000"/>
              <w:bottom w:val="single" w:sz="12" w:space="0" w:color="000000"/>
              <w:right w:val="single" w:sz="12" w:space="0" w:color="000000"/>
            </w:tcBorders>
          </w:tcPr>
          <w:p w14:paraId="222342A6" w14:textId="4E08B99F" w:rsidR="00B56D50" w:rsidRDefault="00B56D50" w:rsidP="00A96221">
            <w:pPr>
              <w:spacing w:after="0" w:line="259" w:lineRule="auto"/>
              <w:ind w:left="0" w:right="0" w:firstLine="0"/>
              <w:jc w:val="center"/>
            </w:pPr>
          </w:p>
        </w:tc>
      </w:tr>
    </w:tbl>
    <w:p w14:paraId="7681808C" w14:textId="77777777" w:rsidR="0033060D" w:rsidRDefault="0033060D">
      <w:pPr>
        <w:spacing w:after="0" w:line="259" w:lineRule="auto"/>
        <w:ind w:left="0" w:right="0" w:firstLine="0"/>
      </w:pPr>
    </w:p>
    <w:tbl>
      <w:tblPr>
        <w:tblStyle w:val="TableGrid1"/>
        <w:tblW w:w="10620" w:type="dxa"/>
        <w:tblInd w:w="-375" w:type="dxa"/>
        <w:tblCellMar>
          <w:top w:w="4" w:type="dxa"/>
          <w:left w:w="72" w:type="dxa"/>
          <w:right w:w="27" w:type="dxa"/>
        </w:tblCellMar>
        <w:tblLook w:val="04A0" w:firstRow="1" w:lastRow="0" w:firstColumn="1" w:lastColumn="0" w:noHBand="0" w:noVBand="1"/>
      </w:tblPr>
      <w:tblGrid>
        <w:gridCol w:w="2648"/>
        <w:gridCol w:w="1092"/>
        <w:gridCol w:w="635"/>
        <w:gridCol w:w="1272"/>
        <w:gridCol w:w="545"/>
        <w:gridCol w:w="820"/>
        <w:gridCol w:w="727"/>
        <w:gridCol w:w="727"/>
        <w:gridCol w:w="2154"/>
      </w:tblGrid>
      <w:tr w:rsidR="00CF3B29" w14:paraId="1EEB0E55" w14:textId="77777777" w:rsidTr="00A66287">
        <w:trPr>
          <w:trHeight w:val="406"/>
        </w:trPr>
        <w:tc>
          <w:tcPr>
            <w:tcW w:w="10620" w:type="dxa"/>
            <w:gridSpan w:val="9"/>
            <w:tcBorders>
              <w:top w:val="single" w:sz="12" w:space="0" w:color="000000"/>
              <w:left w:val="single" w:sz="12" w:space="0" w:color="000000"/>
              <w:bottom w:val="single" w:sz="12" w:space="0" w:color="000000"/>
              <w:right w:val="single" w:sz="12" w:space="0" w:color="000000"/>
            </w:tcBorders>
            <w:vAlign w:val="center"/>
          </w:tcPr>
          <w:p w14:paraId="05120233" w14:textId="180A36A4" w:rsidR="00CF3B29" w:rsidRPr="00CF3B29" w:rsidRDefault="00CF3B29" w:rsidP="00941281">
            <w:pPr>
              <w:spacing w:after="0" w:line="259" w:lineRule="auto"/>
              <w:ind w:left="36" w:right="0" w:firstLine="0"/>
              <w:rPr>
                <w:sz w:val="18"/>
              </w:rPr>
            </w:pPr>
            <w:r>
              <w:rPr>
                <w:b/>
                <w:sz w:val="18"/>
              </w:rPr>
              <w:t>GENERAL CHEMISTRY – Group E-1</w:t>
            </w:r>
            <w:r w:rsidRPr="00EB3E70">
              <w:rPr>
                <w:b/>
                <w:sz w:val="18"/>
              </w:rPr>
              <w:t>:</w:t>
            </w:r>
            <w:r w:rsidRPr="000A501E">
              <w:rPr>
                <w:b/>
                <w:sz w:val="18"/>
              </w:rPr>
              <w:t xml:space="preserve">  Feedlot Runoff and Manure Spill Characterization</w:t>
            </w:r>
          </w:p>
        </w:tc>
      </w:tr>
      <w:tr w:rsidR="00B56D50" w14:paraId="215C2688" w14:textId="77777777" w:rsidTr="00A66287">
        <w:trPr>
          <w:trHeight w:val="269"/>
        </w:trPr>
        <w:tc>
          <w:tcPr>
            <w:tcW w:w="2648" w:type="dxa"/>
            <w:vMerge w:val="restart"/>
            <w:tcBorders>
              <w:top w:val="single" w:sz="12" w:space="0" w:color="000000"/>
              <w:left w:val="single" w:sz="12" w:space="0" w:color="000000"/>
              <w:bottom w:val="single" w:sz="12" w:space="0" w:color="000000"/>
              <w:right w:val="single" w:sz="12" w:space="0" w:color="000000"/>
            </w:tcBorders>
            <w:vAlign w:val="center"/>
          </w:tcPr>
          <w:p w14:paraId="00F52805" w14:textId="021AFCF7" w:rsidR="00B56D50" w:rsidRDefault="001C3C42" w:rsidP="00941281">
            <w:pPr>
              <w:spacing w:after="0" w:line="259" w:lineRule="auto"/>
              <w:ind w:left="0" w:right="4" w:firstLine="0"/>
              <w:jc w:val="center"/>
            </w:pPr>
            <w:r>
              <w:rPr>
                <w:b/>
                <w:sz w:val="18"/>
              </w:rPr>
              <w:t>Analyte</w:t>
            </w:r>
          </w:p>
        </w:tc>
        <w:tc>
          <w:tcPr>
            <w:tcW w:w="1092" w:type="dxa"/>
            <w:vMerge w:val="restart"/>
            <w:tcBorders>
              <w:top w:val="single" w:sz="12" w:space="0" w:color="000000"/>
              <w:left w:val="single" w:sz="12" w:space="0" w:color="000000"/>
              <w:bottom w:val="single" w:sz="12" w:space="0" w:color="000000"/>
              <w:right w:val="single" w:sz="12" w:space="0" w:color="000000"/>
            </w:tcBorders>
            <w:vAlign w:val="center"/>
          </w:tcPr>
          <w:p w14:paraId="580D03AF" w14:textId="50A7E142" w:rsidR="00B56D50" w:rsidRDefault="001C3C42" w:rsidP="00941281">
            <w:pPr>
              <w:spacing w:after="0" w:line="259" w:lineRule="auto"/>
              <w:ind w:left="144" w:right="0" w:firstLine="142"/>
              <w:jc w:val="center"/>
            </w:pPr>
            <w:r>
              <w:rPr>
                <w:b/>
                <w:sz w:val="18"/>
              </w:rPr>
              <w:t>CAS Number</w:t>
            </w:r>
          </w:p>
        </w:tc>
        <w:tc>
          <w:tcPr>
            <w:tcW w:w="1907" w:type="dxa"/>
            <w:gridSpan w:val="2"/>
            <w:tcBorders>
              <w:top w:val="single" w:sz="12" w:space="0" w:color="000000"/>
              <w:left w:val="single" w:sz="12" w:space="0" w:color="000000"/>
              <w:bottom w:val="single" w:sz="12" w:space="0" w:color="000000"/>
              <w:right w:val="single" w:sz="12" w:space="0" w:color="000000"/>
            </w:tcBorders>
            <w:vAlign w:val="center"/>
          </w:tcPr>
          <w:p w14:paraId="06532F70" w14:textId="5379799E" w:rsidR="00B56D50" w:rsidRDefault="001C3C42" w:rsidP="00941281">
            <w:pPr>
              <w:spacing w:after="0" w:line="259" w:lineRule="auto"/>
              <w:ind w:left="0" w:right="52" w:firstLine="0"/>
              <w:jc w:val="center"/>
            </w:pPr>
            <w:r>
              <w:rPr>
                <w:b/>
                <w:sz w:val="18"/>
              </w:rPr>
              <w:t>Aqueous</w:t>
            </w:r>
          </w:p>
        </w:tc>
        <w:tc>
          <w:tcPr>
            <w:tcW w:w="1365" w:type="dxa"/>
            <w:gridSpan w:val="2"/>
            <w:tcBorders>
              <w:top w:val="single" w:sz="12" w:space="0" w:color="000000"/>
              <w:left w:val="single" w:sz="12" w:space="0" w:color="000000"/>
              <w:bottom w:val="single" w:sz="12" w:space="0" w:color="000000"/>
              <w:right w:val="single" w:sz="12" w:space="0" w:color="000000"/>
            </w:tcBorders>
            <w:vAlign w:val="center"/>
          </w:tcPr>
          <w:p w14:paraId="404F98FB" w14:textId="3EF4C596" w:rsidR="00B56D50" w:rsidRDefault="006B693C" w:rsidP="00941281">
            <w:pPr>
              <w:spacing w:after="0" w:line="259" w:lineRule="auto"/>
              <w:ind w:right="0"/>
              <w:jc w:val="center"/>
            </w:pPr>
            <w:r>
              <w:rPr>
                <w:b/>
                <w:sz w:val="18"/>
              </w:rPr>
              <w:t>Soil/Sediment</w:t>
            </w:r>
          </w:p>
        </w:tc>
        <w:tc>
          <w:tcPr>
            <w:tcW w:w="3608" w:type="dxa"/>
            <w:gridSpan w:val="3"/>
            <w:vMerge w:val="restart"/>
            <w:tcBorders>
              <w:top w:val="single" w:sz="12" w:space="0" w:color="000000"/>
              <w:left w:val="single" w:sz="12" w:space="0" w:color="000000"/>
              <w:bottom w:val="single" w:sz="12" w:space="0" w:color="000000"/>
              <w:right w:val="single" w:sz="12" w:space="0" w:color="000000"/>
            </w:tcBorders>
            <w:vAlign w:val="center"/>
          </w:tcPr>
          <w:p w14:paraId="48AC9EFD" w14:textId="727FEC59" w:rsidR="00B56D50" w:rsidRDefault="001C3C42" w:rsidP="00941281">
            <w:pPr>
              <w:spacing w:after="0" w:line="259" w:lineRule="auto"/>
              <w:ind w:left="0" w:right="55" w:firstLine="0"/>
              <w:jc w:val="center"/>
            </w:pPr>
            <w:r>
              <w:rPr>
                <w:b/>
                <w:sz w:val="18"/>
              </w:rPr>
              <w:t>Acceptable Methods</w:t>
            </w:r>
          </w:p>
        </w:tc>
      </w:tr>
      <w:tr w:rsidR="00950E59" w14:paraId="5F01443C" w14:textId="77777777" w:rsidTr="00910C8B">
        <w:trPr>
          <w:trHeight w:val="271"/>
        </w:trPr>
        <w:tc>
          <w:tcPr>
            <w:tcW w:w="2648" w:type="dxa"/>
            <w:vMerge/>
            <w:tcBorders>
              <w:top w:val="nil"/>
              <w:left w:val="single" w:sz="12" w:space="0" w:color="000000"/>
              <w:bottom w:val="single" w:sz="12" w:space="0" w:color="000000"/>
              <w:right w:val="single" w:sz="12" w:space="0" w:color="000000"/>
            </w:tcBorders>
            <w:vAlign w:val="center"/>
          </w:tcPr>
          <w:p w14:paraId="673EE1FB" w14:textId="77777777" w:rsidR="00B56D50" w:rsidRDefault="00B56D50" w:rsidP="00017AB4">
            <w:pPr>
              <w:spacing w:after="160" w:line="259" w:lineRule="auto"/>
              <w:ind w:left="0" w:right="0" w:firstLine="0"/>
              <w:jc w:val="center"/>
            </w:pPr>
          </w:p>
        </w:tc>
        <w:tc>
          <w:tcPr>
            <w:tcW w:w="0" w:type="auto"/>
            <w:vMerge/>
            <w:tcBorders>
              <w:top w:val="nil"/>
              <w:left w:val="single" w:sz="12" w:space="0" w:color="000000"/>
              <w:bottom w:val="single" w:sz="12" w:space="0" w:color="000000"/>
              <w:right w:val="single" w:sz="12" w:space="0" w:color="000000"/>
            </w:tcBorders>
            <w:vAlign w:val="center"/>
          </w:tcPr>
          <w:p w14:paraId="72704B53" w14:textId="77777777" w:rsidR="00B56D50" w:rsidRDefault="00B56D50" w:rsidP="00941281">
            <w:pPr>
              <w:spacing w:after="160" w:line="259" w:lineRule="auto"/>
              <w:ind w:left="0" w:right="0" w:firstLine="0"/>
              <w:jc w:val="center"/>
            </w:pPr>
          </w:p>
        </w:tc>
        <w:tc>
          <w:tcPr>
            <w:tcW w:w="635" w:type="dxa"/>
            <w:tcBorders>
              <w:top w:val="single" w:sz="12" w:space="0" w:color="000000"/>
              <w:left w:val="single" w:sz="12" w:space="0" w:color="000000"/>
              <w:bottom w:val="single" w:sz="12" w:space="0" w:color="000000"/>
              <w:right w:val="single" w:sz="12" w:space="0" w:color="000000"/>
            </w:tcBorders>
            <w:vAlign w:val="center"/>
          </w:tcPr>
          <w:p w14:paraId="590693A1" w14:textId="626AA9B8" w:rsidR="00B56D50" w:rsidRDefault="001C3C42" w:rsidP="00941281">
            <w:pPr>
              <w:spacing w:after="0" w:line="259" w:lineRule="auto"/>
              <w:ind w:left="115" w:right="0" w:firstLine="0"/>
              <w:jc w:val="center"/>
            </w:pPr>
            <w:r>
              <w:rPr>
                <w:b/>
                <w:sz w:val="18"/>
              </w:rPr>
              <w:t>RL</w:t>
            </w:r>
          </w:p>
        </w:tc>
        <w:tc>
          <w:tcPr>
            <w:tcW w:w="1272" w:type="dxa"/>
            <w:tcBorders>
              <w:top w:val="single" w:sz="12" w:space="0" w:color="000000"/>
              <w:left w:val="single" w:sz="12" w:space="0" w:color="000000"/>
              <w:bottom w:val="single" w:sz="12" w:space="0" w:color="000000"/>
              <w:right w:val="single" w:sz="12" w:space="0" w:color="000000"/>
            </w:tcBorders>
            <w:vAlign w:val="center"/>
          </w:tcPr>
          <w:p w14:paraId="6C5A77A7" w14:textId="30FDE684" w:rsidR="00B56D50" w:rsidRDefault="001C3C42" w:rsidP="00941281">
            <w:pPr>
              <w:spacing w:after="0" w:line="259" w:lineRule="auto"/>
              <w:ind w:left="0" w:right="50" w:firstLine="0"/>
              <w:jc w:val="center"/>
            </w:pPr>
            <w:r>
              <w:rPr>
                <w:b/>
                <w:sz w:val="18"/>
              </w:rPr>
              <w:t>units</w:t>
            </w:r>
          </w:p>
        </w:tc>
        <w:tc>
          <w:tcPr>
            <w:tcW w:w="545" w:type="dxa"/>
            <w:tcBorders>
              <w:top w:val="single" w:sz="12" w:space="0" w:color="000000"/>
              <w:left w:val="single" w:sz="12" w:space="0" w:color="000000"/>
              <w:bottom w:val="single" w:sz="12" w:space="0" w:color="000000"/>
              <w:right w:val="single" w:sz="12" w:space="0" w:color="000000"/>
            </w:tcBorders>
            <w:vAlign w:val="center"/>
          </w:tcPr>
          <w:p w14:paraId="65AD3EA5" w14:textId="1781144C" w:rsidR="00B56D50" w:rsidRDefault="001C3C42" w:rsidP="00941281">
            <w:pPr>
              <w:spacing w:after="0" w:line="259" w:lineRule="auto"/>
              <w:ind w:left="72" w:right="0" w:firstLine="0"/>
              <w:jc w:val="center"/>
            </w:pPr>
            <w:r>
              <w:rPr>
                <w:b/>
                <w:sz w:val="18"/>
              </w:rPr>
              <w:t>RL</w:t>
            </w:r>
          </w:p>
        </w:tc>
        <w:tc>
          <w:tcPr>
            <w:tcW w:w="820" w:type="dxa"/>
            <w:tcBorders>
              <w:top w:val="single" w:sz="12" w:space="0" w:color="000000"/>
              <w:left w:val="single" w:sz="12" w:space="0" w:color="000000"/>
              <w:bottom w:val="single" w:sz="12" w:space="0" w:color="000000"/>
              <w:right w:val="single" w:sz="12" w:space="0" w:color="000000"/>
            </w:tcBorders>
            <w:vAlign w:val="center"/>
          </w:tcPr>
          <w:p w14:paraId="42493F3F" w14:textId="4DF45FE1" w:rsidR="00B56D50" w:rsidRDefault="001C3C42" w:rsidP="00941281">
            <w:pPr>
              <w:spacing w:after="0" w:line="259" w:lineRule="auto"/>
              <w:ind w:left="0" w:right="52" w:firstLine="0"/>
              <w:jc w:val="center"/>
            </w:pPr>
            <w:r>
              <w:rPr>
                <w:b/>
                <w:sz w:val="18"/>
              </w:rPr>
              <w:t>units</w:t>
            </w:r>
          </w:p>
        </w:tc>
        <w:tc>
          <w:tcPr>
            <w:tcW w:w="3608" w:type="dxa"/>
            <w:gridSpan w:val="3"/>
            <w:vMerge/>
            <w:tcBorders>
              <w:top w:val="nil"/>
              <w:left w:val="single" w:sz="12" w:space="0" w:color="000000"/>
              <w:bottom w:val="single" w:sz="12" w:space="0" w:color="000000"/>
              <w:right w:val="single" w:sz="12" w:space="0" w:color="000000"/>
            </w:tcBorders>
            <w:vAlign w:val="center"/>
          </w:tcPr>
          <w:p w14:paraId="0F0C1EAB" w14:textId="77777777" w:rsidR="00B56D50" w:rsidRDefault="00B56D50" w:rsidP="00017AB4">
            <w:pPr>
              <w:spacing w:after="160" w:line="259" w:lineRule="auto"/>
              <w:ind w:left="0" w:right="0" w:firstLine="0"/>
              <w:jc w:val="center"/>
            </w:pPr>
          </w:p>
        </w:tc>
      </w:tr>
      <w:tr w:rsidR="00950E59" w14:paraId="444FE4A4" w14:textId="77777777" w:rsidTr="00910C8B">
        <w:trPr>
          <w:trHeight w:val="227"/>
        </w:trPr>
        <w:tc>
          <w:tcPr>
            <w:tcW w:w="2648" w:type="dxa"/>
            <w:tcBorders>
              <w:top w:val="single" w:sz="12" w:space="0" w:color="000000"/>
              <w:left w:val="single" w:sz="12" w:space="0" w:color="000000"/>
              <w:bottom w:val="single" w:sz="4" w:space="0" w:color="000000"/>
              <w:right w:val="single" w:sz="12" w:space="0" w:color="000000"/>
            </w:tcBorders>
          </w:tcPr>
          <w:p w14:paraId="4EA3A1E4" w14:textId="2AADF31E" w:rsidR="00947B6C" w:rsidRDefault="00947B6C">
            <w:pPr>
              <w:spacing w:after="0" w:line="259" w:lineRule="auto"/>
              <w:ind w:left="0" w:right="0" w:firstLine="0"/>
            </w:pPr>
            <w:r>
              <w:rPr>
                <w:i/>
                <w:sz w:val="18"/>
              </w:rPr>
              <w:t>E. coli</w:t>
            </w:r>
          </w:p>
        </w:tc>
        <w:tc>
          <w:tcPr>
            <w:tcW w:w="1092" w:type="dxa"/>
            <w:tcBorders>
              <w:top w:val="single" w:sz="12" w:space="0" w:color="000000"/>
              <w:left w:val="single" w:sz="12" w:space="0" w:color="000000"/>
              <w:bottom w:val="single" w:sz="4" w:space="0" w:color="000000"/>
              <w:right w:val="single" w:sz="12" w:space="0" w:color="000000"/>
            </w:tcBorders>
          </w:tcPr>
          <w:p w14:paraId="76867779" w14:textId="15F888BA" w:rsidR="00947B6C" w:rsidRDefault="00947B6C" w:rsidP="00A96221">
            <w:pPr>
              <w:spacing w:after="0" w:line="259" w:lineRule="auto"/>
              <w:ind w:left="0" w:right="48" w:firstLine="0"/>
              <w:jc w:val="center"/>
            </w:pPr>
            <w:r>
              <w:rPr>
                <w:sz w:val="18"/>
              </w:rPr>
              <w:t>N/A</w:t>
            </w:r>
          </w:p>
        </w:tc>
        <w:tc>
          <w:tcPr>
            <w:tcW w:w="635" w:type="dxa"/>
            <w:tcBorders>
              <w:top w:val="single" w:sz="12" w:space="0" w:color="000000"/>
              <w:left w:val="single" w:sz="12" w:space="0" w:color="000000"/>
              <w:bottom w:val="single" w:sz="4" w:space="0" w:color="000000"/>
              <w:right w:val="single" w:sz="12" w:space="0" w:color="000000"/>
            </w:tcBorders>
          </w:tcPr>
          <w:p w14:paraId="1FA26062" w14:textId="777A3FB2" w:rsidR="00947B6C" w:rsidRDefault="00947B6C" w:rsidP="00A96221">
            <w:pPr>
              <w:spacing w:after="0" w:line="259" w:lineRule="auto"/>
              <w:ind w:left="0" w:right="0" w:firstLine="0"/>
              <w:jc w:val="center"/>
            </w:pPr>
            <w:r>
              <w:rPr>
                <w:sz w:val="18"/>
              </w:rPr>
              <w:t>1</w:t>
            </w:r>
          </w:p>
        </w:tc>
        <w:tc>
          <w:tcPr>
            <w:tcW w:w="1272" w:type="dxa"/>
            <w:vMerge w:val="restart"/>
            <w:tcBorders>
              <w:top w:val="single" w:sz="12" w:space="0" w:color="000000"/>
              <w:left w:val="single" w:sz="12" w:space="0" w:color="000000"/>
              <w:bottom w:val="single" w:sz="12" w:space="0" w:color="000000"/>
              <w:right w:val="single" w:sz="12" w:space="0" w:color="000000"/>
            </w:tcBorders>
          </w:tcPr>
          <w:p w14:paraId="33585A28" w14:textId="7AA215DE" w:rsidR="00947B6C" w:rsidRDefault="00947B6C" w:rsidP="00A96221">
            <w:pPr>
              <w:spacing w:after="0" w:line="259" w:lineRule="auto"/>
              <w:ind w:left="0" w:right="4" w:firstLine="0"/>
              <w:jc w:val="center"/>
            </w:pPr>
            <w:r>
              <w:rPr>
                <w:sz w:val="18"/>
              </w:rPr>
              <w:t>MPN/100mL or CFU/100mL</w:t>
            </w:r>
          </w:p>
        </w:tc>
        <w:tc>
          <w:tcPr>
            <w:tcW w:w="545" w:type="dxa"/>
            <w:tcBorders>
              <w:top w:val="single" w:sz="12" w:space="0" w:color="000000"/>
              <w:left w:val="single" w:sz="12" w:space="0" w:color="000000"/>
              <w:bottom w:val="single" w:sz="2" w:space="0" w:color="000000"/>
              <w:right w:val="single" w:sz="12" w:space="0" w:color="000000"/>
            </w:tcBorders>
          </w:tcPr>
          <w:p w14:paraId="5F87801A" w14:textId="5247803D" w:rsidR="00947B6C" w:rsidRDefault="00947B6C" w:rsidP="00A96221">
            <w:pPr>
              <w:spacing w:after="0" w:line="259" w:lineRule="auto"/>
              <w:ind w:left="0" w:right="0" w:firstLine="0"/>
              <w:jc w:val="center"/>
            </w:pPr>
            <w:r>
              <w:rPr>
                <w:sz w:val="18"/>
              </w:rPr>
              <w:t>10</w:t>
            </w:r>
          </w:p>
        </w:tc>
        <w:tc>
          <w:tcPr>
            <w:tcW w:w="820" w:type="dxa"/>
            <w:vMerge w:val="restart"/>
            <w:tcBorders>
              <w:top w:val="single" w:sz="12" w:space="0" w:color="000000"/>
              <w:left w:val="single" w:sz="12" w:space="0" w:color="000000"/>
              <w:bottom w:val="single" w:sz="12" w:space="0" w:color="000000"/>
              <w:right w:val="single" w:sz="12" w:space="0" w:color="000000"/>
            </w:tcBorders>
            <w:vAlign w:val="center"/>
          </w:tcPr>
          <w:p w14:paraId="6C4A61E6" w14:textId="372DDEBC" w:rsidR="00947B6C" w:rsidRDefault="00947B6C" w:rsidP="00650776">
            <w:pPr>
              <w:spacing w:after="0" w:line="238" w:lineRule="auto"/>
              <w:ind w:left="0" w:right="0" w:firstLine="0"/>
              <w:jc w:val="center"/>
            </w:pPr>
            <w:r>
              <w:rPr>
                <w:sz w:val="18"/>
              </w:rPr>
              <w:t>MPN/g or</w:t>
            </w:r>
          </w:p>
          <w:p w14:paraId="7C9AA970" w14:textId="75C69A26" w:rsidR="00947B6C" w:rsidRDefault="00947B6C" w:rsidP="00650776">
            <w:pPr>
              <w:spacing w:after="0" w:line="259" w:lineRule="auto"/>
              <w:ind w:left="89" w:right="0" w:firstLine="0"/>
              <w:jc w:val="center"/>
            </w:pPr>
            <w:r>
              <w:rPr>
                <w:sz w:val="18"/>
              </w:rPr>
              <w:t>CFU/g</w:t>
            </w:r>
          </w:p>
        </w:tc>
        <w:tc>
          <w:tcPr>
            <w:tcW w:w="727" w:type="dxa"/>
            <w:tcBorders>
              <w:top w:val="single" w:sz="12" w:space="0" w:color="000000"/>
              <w:left w:val="single" w:sz="12" w:space="0" w:color="000000"/>
              <w:bottom w:val="single" w:sz="2" w:space="0" w:color="000000"/>
              <w:right w:val="single" w:sz="12" w:space="0" w:color="000000"/>
            </w:tcBorders>
          </w:tcPr>
          <w:p w14:paraId="4CAE0DD2" w14:textId="5F14AB6C" w:rsidR="00947B6C" w:rsidRDefault="00947B6C" w:rsidP="00A96221">
            <w:pPr>
              <w:spacing w:after="0" w:line="259" w:lineRule="auto"/>
              <w:ind w:left="0" w:right="0" w:firstLine="0"/>
              <w:jc w:val="center"/>
            </w:pPr>
            <w:r>
              <w:rPr>
                <w:sz w:val="18"/>
              </w:rPr>
              <w:t>9222G</w:t>
            </w:r>
            <w:r w:rsidR="000364A6">
              <w:rPr>
                <w:sz w:val="18"/>
              </w:rPr>
              <w:t xml:space="preserve"> </w:t>
            </w:r>
            <w:r w:rsidRPr="000364A6">
              <w:rPr>
                <w:b/>
                <w:bCs/>
                <w:sz w:val="18"/>
                <w:vertAlign w:val="superscript"/>
              </w:rPr>
              <w:t>9</w:t>
            </w:r>
          </w:p>
        </w:tc>
        <w:tc>
          <w:tcPr>
            <w:tcW w:w="727" w:type="dxa"/>
            <w:tcBorders>
              <w:top w:val="single" w:sz="12" w:space="0" w:color="000000"/>
              <w:left w:val="single" w:sz="12" w:space="0" w:color="000000"/>
              <w:bottom w:val="single" w:sz="2" w:space="0" w:color="000000"/>
              <w:right w:val="single" w:sz="12" w:space="0" w:color="000000"/>
            </w:tcBorders>
          </w:tcPr>
          <w:p w14:paraId="54633BAD" w14:textId="351C88B0" w:rsidR="00947B6C" w:rsidRDefault="00601C82" w:rsidP="00A96221">
            <w:pPr>
              <w:spacing w:after="0" w:line="259" w:lineRule="auto"/>
              <w:ind w:left="0" w:right="0" w:firstLine="0"/>
              <w:jc w:val="center"/>
            </w:pPr>
            <w:r>
              <w:rPr>
                <w:sz w:val="18"/>
              </w:rPr>
              <w:t>9223B</w:t>
            </w:r>
            <w:r w:rsidR="000364A6">
              <w:rPr>
                <w:sz w:val="18"/>
              </w:rPr>
              <w:t xml:space="preserve"> </w:t>
            </w:r>
            <w:r w:rsidRPr="000364A6">
              <w:rPr>
                <w:b/>
                <w:bCs/>
                <w:sz w:val="18"/>
                <w:vertAlign w:val="superscript"/>
              </w:rPr>
              <w:t>9</w:t>
            </w:r>
          </w:p>
        </w:tc>
        <w:tc>
          <w:tcPr>
            <w:tcW w:w="2154" w:type="dxa"/>
            <w:tcBorders>
              <w:top w:val="single" w:sz="12" w:space="0" w:color="000000"/>
              <w:left w:val="single" w:sz="12" w:space="0" w:color="000000"/>
              <w:bottom w:val="single" w:sz="2" w:space="0" w:color="000000"/>
              <w:right w:val="single" w:sz="12" w:space="0" w:color="000000"/>
            </w:tcBorders>
          </w:tcPr>
          <w:p w14:paraId="7DF53DC7" w14:textId="46DD7F5C" w:rsidR="00947B6C" w:rsidRDefault="00947B6C" w:rsidP="00A96221">
            <w:pPr>
              <w:spacing w:after="0" w:line="259" w:lineRule="auto"/>
              <w:ind w:left="1" w:right="0" w:firstLine="0"/>
              <w:jc w:val="center"/>
            </w:pPr>
            <w:r>
              <w:rPr>
                <w:b/>
                <w:sz w:val="18"/>
              </w:rPr>
              <w:t>Must provide count</w:t>
            </w:r>
          </w:p>
        </w:tc>
      </w:tr>
      <w:tr w:rsidR="00C84A5D" w14:paraId="7D1D8D00" w14:textId="77777777" w:rsidTr="00A66287">
        <w:trPr>
          <w:trHeight w:val="216"/>
        </w:trPr>
        <w:tc>
          <w:tcPr>
            <w:tcW w:w="2648" w:type="dxa"/>
            <w:tcBorders>
              <w:top w:val="single" w:sz="4" w:space="0" w:color="000000"/>
              <w:left w:val="single" w:sz="12" w:space="0" w:color="000000"/>
              <w:bottom w:val="single" w:sz="4" w:space="0" w:color="000000"/>
              <w:right w:val="single" w:sz="12" w:space="0" w:color="000000"/>
            </w:tcBorders>
          </w:tcPr>
          <w:p w14:paraId="48035067" w14:textId="6D045CF0" w:rsidR="00B56D50" w:rsidRDefault="001C3C42">
            <w:pPr>
              <w:spacing w:after="0" w:line="259" w:lineRule="auto"/>
              <w:ind w:left="0" w:right="0" w:firstLine="0"/>
            </w:pPr>
            <w:r>
              <w:rPr>
                <w:sz w:val="18"/>
              </w:rPr>
              <w:t>Fecal Coliform</w:t>
            </w:r>
            <w:r>
              <w:rPr>
                <w:sz w:val="18"/>
                <w:vertAlign w:val="superscript"/>
              </w:rPr>
              <w:t xml:space="preserve"> </w:t>
            </w:r>
          </w:p>
        </w:tc>
        <w:tc>
          <w:tcPr>
            <w:tcW w:w="1092" w:type="dxa"/>
            <w:tcBorders>
              <w:top w:val="single" w:sz="4" w:space="0" w:color="000000"/>
              <w:left w:val="single" w:sz="12" w:space="0" w:color="000000"/>
              <w:bottom w:val="single" w:sz="4" w:space="0" w:color="000000"/>
              <w:right w:val="single" w:sz="12" w:space="0" w:color="000000"/>
            </w:tcBorders>
          </w:tcPr>
          <w:p w14:paraId="42305DAE" w14:textId="3A6BD77F" w:rsidR="00B56D50" w:rsidRDefault="001C3C42" w:rsidP="00A96221">
            <w:pPr>
              <w:spacing w:after="0" w:line="259" w:lineRule="auto"/>
              <w:ind w:left="0" w:right="48" w:firstLine="0"/>
              <w:jc w:val="center"/>
            </w:pPr>
            <w:r>
              <w:rPr>
                <w:sz w:val="18"/>
              </w:rPr>
              <w:t>N/A</w:t>
            </w:r>
          </w:p>
        </w:tc>
        <w:tc>
          <w:tcPr>
            <w:tcW w:w="635" w:type="dxa"/>
            <w:tcBorders>
              <w:top w:val="single" w:sz="4" w:space="0" w:color="000000"/>
              <w:left w:val="single" w:sz="12" w:space="0" w:color="000000"/>
              <w:bottom w:val="single" w:sz="4" w:space="0" w:color="000000"/>
              <w:right w:val="single" w:sz="12" w:space="0" w:color="000000"/>
            </w:tcBorders>
          </w:tcPr>
          <w:p w14:paraId="5486A304" w14:textId="27EA96E9" w:rsidR="00B56D50" w:rsidRDefault="001C3C42" w:rsidP="00A96221">
            <w:pPr>
              <w:spacing w:after="0" w:line="259" w:lineRule="auto"/>
              <w:ind w:left="0" w:right="0" w:firstLine="0"/>
              <w:jc w:val="center"/>
            </w:pPr>
            <w:r>
              <w:rPr>
                <w:sz w:val="18"/>
              </w:rPr>
              <w:t>1</w:t>
            </w:r>
          </w:p>
        </w:tc>
        <w:tc>
          <w:tcPr>
            <w:tcW w:w="0" w:type="auto"/>
            <w:vMerge/>
            <w:tcBorders>
              <w:top w:val="nil"/>
              <w:left w:val="single" w:sz="12" w:space="0" w:color="000000"/>
              <w:bottom w:val="nil"/>
              <w:right w:val="single" w:sz="12" w:space="0" w:color="000000"/>
            </w:tcBorders>
          </w:tcPr>
          <w:p w14:paraId="4C28C33E" w14:textId="77777777" w:rsidR="00B56D50" w:rsidRDefault="00B56D50" w:rsidP="00A96221">
            <w:pPr>
              <w:spacing w:after="160" w:line="259" w:lineRule="auto"/>
              <w:ind w:left="0" w:right="0" w:firstLine="0"/>
              <w:jc w:val="center"/>
            </w:pPr>
          </w:p>
        </w:tc>
        <w:tc>
          <w:tcPr>
            <w:tcW w:w="545" w:type="dxa"/>
            <w:tcBorders>
              <w:top w:val="single" w:sz="2" w:space="0" w:color="000000"/>
              <w:left w:val="single" w:sz="12" w:space="0" w:color="000000"/>
              <w:bottom w:val="single" w:sz="2" w:space="0" w:color="000000"/>
              <w:right w:val="single" w:sz="12" w:space="0" w:color="000000"/>
            </w:tcBorders>
          </w:tcPr>
          <w:p w14:paraId="52D705DA" w14:textId="1C0F84D2" w:rsidR="00B56D50" w:rsidRDefault="001C3C42" w:rsidP="00A96221">
            <w:pPr>
              <w:spacing w:after="0" w:line="259" w:lineRule="auto"/>
              <w:ind w:left="0" w:right="0" w:firstLine="0"/>
              <w:jc w:val="center"/>
            </w:pPr>
            <w:r>
              <w:rPr>
                <w:sz w:val="18"/>
              </w:rPr>
              <w:t>10</w:t>
            </w:r>
          </w:p>
        </w:tc>
        <w:tc>
          <w:tcPr>
            <w:tcW w:w="0" w:type="auto"/>
            <w:vMerge/>
            <w:tcBorders>
              <w:top w:val="nil"/>
              <w:left w:val="single" w:sz="12" w:space="0" w:color="000000"/>
              <w:bottom w:val="nil"/>
              <w:right w:val="single" w:sz="12" w:space="0" w:color="000000"/>
            </w:tcBorders>
          </w:tcPr>
          <w:p w14:paraId="1E085E5B" w14:textId="77777777" w:rsidR="00B56D50" w:rsidRDefault="00B56D50" w:rsidP="00A96221">
            <w:pPr>
              <w:spacing w:after="160" w:line="259" w:lineRule="auto"/>
              <w:ind w:left="0" w:right="0" w:firstLine="0"/>
              <w:jc w:val="center"/>
            </w:pPr>
          </w:p>
        </w:tc>
        <w:tc>
          <w:tcPr>
            <w:tcW w:w="727" w:type="dxa"/>
            <w:tcBorders>
              <w:top w:val="single" w:sz="2" w:space="0" w:color="000000"/>
              <w:left w:val="single" w:sz="12" w:space="0" w:color="000000"/>
              <w:bottom w:val="single" w:sz="2" w:space="0" w:color="000000"/>
              <w:right w:val="single" w:sz="12" w:space="0" w:color="000000"/>
            </w:tcBorders>
          </w:tcPr>
          <w:p w14:paraId="42187A96" w14:textId="5636EC44" w:rsidR="00B56D50" w:rsidRDefault="001C3C42" w:rsidP="00A96221">
            <w:pPr>
              <w:spacing w:after="0" w:line="259" w:lineRule="auto"/>
              <w:ind w:left="0" w:right="0" w:firstLine="0"/>
              <w:jc w:val="center"/>
            </w:pPr>
            <w:r>
              <w:rPr>
                <w:sz w:val="18"/>
              </w:rPr>
              <w:t>1680</w:t>
            </w:r>
            <w:r w:rsidR="000364A6">
              <w:rPr>
                <w:sz w:val="18"/>
              </w:rPr>
              <w:t xml:space="preserve"> </w:t>
            </w:r>
            <w:r w:rsidR="00882B72" w:rsidRPr="000364A6">
              <w:rPr>
                <w:b/>
                <w:bCs/>
                <w:sz w:val="18"/>
                <w:vertAlign w:val="superscript"/>
              </w:rPr>
              <w:t>8</w:t>
            </w:r>
          </w:p>
        </w:tc>
        <w:tc>
          <w:tcPr>
            <w:tcW w:w="727" w:type="dxa"/>
            <w:tcBorders>
              <w:top w:val="single" w:sz="2" w:space="0" w:color="000000"/>
              <w:left w:val="single" w:sz="12" w:space="0" w:color="000000"/>
              <w:bottom w:val="single" w:sz="2" w:space="0" w:color="000000"/>
              <w:right w:val="single" w:sz="12" w:space="0" w:color="000000"/>
            </w:tcBorders>
          </w:tcPr>
          <w:p w14:paraId="4023A8CE" w14:textId="1412D156" w:rsidR="00B56D50" w:rsidRDefault="001C3C42" w:rsidP="00A96221">
            <w:pPr>
              <w:spacing w:after="0" w:line="259" w:lineRule="auto"/>
              <w:ind w:left="0" w:right="0" w:firstLine="0"/>
              <w:jc w:val="center"/>
            </w:pPr>
            <w:r>
              <w:rPr>
                <w:sz w:val="18"/>
              </w:rPr>
              <w:t>9222D</w:t>
            </w:r>
            <w:r w:rsidR="000364A6">
              <w:rPr>
                <w:sz w:val="18"/>
              </w:rPr>
              <w:t xml:space="preserve"> </w:t>
            </w:r>
            <w:r w:rsidR="00363BDD" w:rsidRPr="000364A6">
              <w:rPr>
                <w:b/>
                <w:bCs/>
                <w:sz w:val="18"/>
                <w:vertAlign w:val="superscript"/>
              </w:rPr>
              <w:t>9</w:t>
            </w:r>
          </w:p>
        </w:tc>
        <w:tc>
          <w:tcPr>
            <w:tcW w:w="2154" w:type="dxa"/>
            <w:tcBorders>
              <w:top w:val="single" w:sz="2" w:space="0" w:color="000000"/>
              <w:left w:val="single" w:sz="12" w:space="0" w:color="000000"/>
              <w:bottom w:val="single" w:sz="2" w:space="0" w:color="000000"/>
              <w:right w:val="single" w:sz="12" w:space="0" w:color="000000"/>
            </w:tcBorders>
          </w:tcPr>
          <w:p w14:paraId="330FB849" w14:textId="55779F44" w:rsidR="00B56D50" w:rsidRDefault="001C3C42" w:rsidP="00A96221">
            <w:pPr>
              <w:spacing w:after="0" w:line="259" w:lineRule="auto"/>
              <w:ind w:left="1" w:right="0" w:firstLine="0"/>
              <w:jc w:val="center"/>
            </w:pPr>
            <w:r>
              <w:rPr>
                <w:b/>
                <w:sz w:val="18"/>
              </w:rPr>
              <w:t>Must provide count</w:t>
            </w:r>
          </w:p>
        </w:tc>
      </w:tr>
      <w:tr w:rsidR="00C84A5D" w14:paraId="773E8ED8" w14:textId="77777777" w:rsidTr="00A66287">
        <w:trPr>
          <w:trHeight w:val="229"/>
        </w:trPr>
        <w:tc>
          <w:tcPr>
            <w:tcW w:w="2648" w:type="dxa"/>
            <w:tcBorders>
              <w:top w:val="single" w:sz="4" w:space="0" w:color="000000"/>
              <w:left w:val="single" w:sz="12" w:space="0" w:color="000000"/>
              <w:bottom w:val="single" w:sz="12" w:space="0" w:color="000000"/>
              <w:right w:val="single" w:sz="12" w:space="0" w:color="000000"/>
            </w:tcBorders>
          </w:tcPr>
          <w:p w14:paraId="71B739F3" w14:textId="1174AF17" w:rsidR="00B56D50" w:rsidRDefault="001C3C42">
            <w:pPr>
              <w:spacing w:after="0" w:line="259" w:lineRule="auto"/>
              <w:ind w:left="0" w:right="0" w:firstLine="0"/>
            </w:pPr>
            <w:r>
              <w:rPr>
                <w:sz w:val="18"/>
              </w:rPr>
              <w:t>Total Coliform</w:t>
            </w:r>
            <w:r>
              <w:rPr>
                <w:sz w:val="18"/>
                <w:vertAlign w:val="superscript"/>
              </w:rPr>
              <w:t xml:space="preserve"> </w:t>
            </w:r>
          </w:p>
        </w:tc>
        <w:tc>
          <w:tcPr>
            <w:tcW w:w="1092" w:type="dxa"/>
            <w:tcBorders>
              <w:top w:val="single" w:sz="4" w:space="0" w:color="000000"/>
              <w:left w:val="single" w:sz="12" w:space="0" w:color="000000"/>
              <w:bottom w:val="single" w:sz="12" w:space="0" w:color="000000"/>
              <w:right w:val="single" w:sz="12" w:space="0" w:color="000000"/>
            </w:tcBorders>
          </w:tcPr>
          <w:p w14:paraId="1D371059" w14:textId="6925D183" w:rsidR="00B56D50" w:rsidRDefault="001C3C42" w:rsidP="00A96221">
            <w:pPr>
              <w:spacing w:after="0" w:line="259" w:lineRule="auto"/>
              <w:ind w:left="0" w:right="48" w:firstLine="0"/>
              <w:jc w:val="center"/>
            </w:pPr>
            <w:r>
              <w:rPr>
                <w:sz w:val="18"/>
              </w:rPr>
              <w:t>N/A</w:t>
            </w:r>
          </w:p>
        </w:tc>
        <w:tc>
          <w:tcPr>
            <w:tcW w:w="635" w:type="dxa"/>
            <w:tcBorders>
              <w:top w:val="single" w:sz="4" w:space="0" w:color="000000"/>
              <w:left w:val="single" w:sz="12" w:space="0" w:color="000000"/>
              <w:bottom w:val="single" w:sz="12" w:space="0" w:color="000000"/>
              <w:right w:val="single" w:sz="12" w:space="0" w:color="000000"/>
            </w:tcBorders>
          </w:tcPr>
          <w:p w14:paraId="647ADD8D" w14:textId="6DAC3D3C" w:rsidR="00B56D50" w:rsidRDefault="001C3C42" w:rsidP="00A96221">
            <w:pPr>
              <w:spacing w:after="0" w:line="259" w:lineRule="auto"/>
              <w:ind w:left="0" w:right="0" w:firstLine="0"/>
              <w:jc w:val="center"/>
            </w:pPr>
            <w:r>
              <w:rPr>
                <w:sz w:val="18"/>
              </w:rPr>
              <w:t>1</w:t>
            </w:r>
          </w:p>
        </w:tc>
        <w:tc>
          <w:tcPr>
            <w:tcW w:w="0" w:type="auto"/>
            <w:vMerge/>
            <w:tcBorders>
              <w:top w:val="nil"/>
              <w:left w:val="single" w:sz="12" w:space="0" w:color="000000"/>
              <w:bottom w:val="single" w:sz="12" w:space="0" w:color="000000"/>
              <w:right w:val="single" w:sz="12" w:space="0" w:color="000000"/>
            </w:tcBorders>
          </w:tcPr>
          <w:p w14:paraId="58926567" w14:textId="77777777" w:rsidR="00B56D50" w:rsidRDefault="00B56D50" w:rsidP="00A96221">
            <w:pPr>
              <w:spacing w:after="160" w:line="259" w:lineRule="auto"/>
              <w:ind w:left="0" w:right="0" w:firstLine="0"/>
              <w:jc w:val="center"/>
            </w:pPr>
          </w:p>
        </w:tc>
        <w:tc>
          <w:tcPr>
            <w:tcW w:w="545" w:type="dxa"/>
            <w:tcBorders>
              <w:top w:val="single" w:sz="2" w:space="0" w:color="000000"/>
              <w:left w:val="single" w:sz="12" w:space="0" w:color="000000"/>
              <w:bottom w:val="single" w:sz="12" w:space="0" w:color="000000"/>
              <w:right w:val="single" w:sz="12" w:space="0" w:color="000000"/>
            </w:tcBorders>
          </w:tcPr>
          <w:p w14:paraId="034911F0" w14:textId="1A672BE8" w:rsidR="00B56D50" w:rsidRDefault="001C3C42" w:rsidP="00A96221">
            <w:pPr>
              <w:spacing w:after="0" w:line="259" w:lineRule="auto"/>
              <w:ind w:left="0" w:right="0" w:firstLine="0"/>
              <w:jc w:val="center"/>
            </w:pPr>
            <w:r>
              <w:rPr>
                <w:sz w:val="18"/>
              </w:rPr>
              <w:t>10</w:t>
            </w:r>
          </w:p>
        </w:tc>
        <w:tc>
          <w:tcPr>
            <w:tcW w:w="0" w:type="auto"/>
            <w:vMerge/>
            <w:tcBorders>
              <w:top w:val="nil"/>
              <w:left w:val="single" w:sz="12" w:space="0" w:color="000000"/>
              <w:bottom w:val="single" w:sz="12" w:space="0" w:color="000000"/>
              <w:right w:val="single" w:sz="12" w:space="0" w:color="000000"/>
            </w:tcBorders>
          </w:tcPr>
          <w:p w14:paraId="2541DEC9" w14:textId="77777777" w:rsidR="00B56D50" w:rsidRDefault="00B56D50" w:rsidP="00A96221">
            <w:pPr>
              <w:spacing w:after="160" w:line="259" w:lineRule="auto"/>
              <w:ind w:left="0" w:right="0" w:firstLine="0"/>
              <w:jc w:val="center"/>
            </w:pPr>
          </w:p>
        </w:tc>
        <w:tc>
          <w:tcPr>
            <w:tcW w:w="727" w:type="dxa"/>
            <w:tcBorders>
              <w:top w:val="single" w:sz="2" w:space="0" w:color="000000"/>
              <w:left w:val="single" w:sz="12" w:space="0" w:color="000000"/>
              <w:bottom w:val="single" w:sz="12" w:space="0" w:color="000000"/>
              <w:right w:val="single" w:sz="12" w:space="0" w:color="000000"/>
            </w:tcBorders>
          </w:tcPr>
          <w:p w14:paraId="6B0C7A25" w14:textId="6AE37850" w:rsidR="00B56D50" w:rsidRDefault="001C3C42" w:rsidP="00A96221">
            <w:pPr>
              <w:spacing w:after="0" w:line="259" w:lineRule="auto"/>
              <w:ind w:left="0" w:right="0" w:firstLine="0"/>
              <w:jc w:val="center"/>
            </w:pPr>
            <w:r>
              <w:rPr>
                <w:sz w:val="18"/>
              </w:rPr>
              <w:t>9132</w:t>
            </w:r>
            <w:r w:rsidR="000364A6">
              <w:rPr>
                <w:sz w:val="18"/>
              </w:rPr>
              <w:t xml:space="preserve"> </w:t>
            </w:r>
            <w:r w:rsidR="00363BDD" w:rsidRPr="000364A6">
              <w:rPr>
                <w:b/>
                <w:bCs/>
                <w:sz w:val="18"/>
                <w:vertAlign w:val="superscript"/>
              </w:rPr>
              <w:t>9</w:t>
            </w:r>
          </w:p>
        </w:tc>
        <w:tc>
          <w:tcPr>
            <w:tcW w:w="727" w:type="dxa"/>
            <w:tcBorders>
              <w:top w:val="single" w:sz="2" w:space="0" w:color="000000"/>
              <w:left w:val="single" w:sz="12" w:space="0" w:color="000000"/>
              <w:bottom w:val="single" w:sz="12" w:space="0" w:color="000000"/>
              <w:right w:val="single" w:sz="12" w:space="0" w:color="000000"/>
            </w:tcBorders>
          </w:tcPr>
          <w:p w14:paraId="58B6C5F7" w14:textId="338B7A37" w:rsidR="00B56D50" w:rsidRDefault="001C3C42" w:rsidP="00A96221">
            <w:pPr>
              <w:spacing w:after="0" w:line="259" w:lineRule="auto"/>
              <w:ind w:left="0" w:right="0" w:firstLine="0"/>
              <w:jc w:val="center"/>
            </w:pPr>
            <w:r>
              <w:rPr>
                <w:sz w:val="18"/>
              </w:rPr>
              <w:t>9222B</w:t>
            </w:r>
            <w:r w:rsidR="000364A6">
              <w:rPr>
                <w:sz w:val="18"/>
              </w:rPr>
              <w:t xml:space="preserve"> </w:t>
            </w:r>
            <w:r w:rsidR="00363BDD" w:rsidRPr="000364A6">
              <w:rPr>
                <w:b/>
                <w:bCs/>
                <w:sz w:val="18"/>
                <w:vertAlign w:val="superscript"/>
              </w:rPr>
              <w:t>9</w:t>
            </w:r>
          </w:p>
        </w:tc>
        <w:tc>
          <w:tcPr>
            <w:tcW w:w="2154" w:type="dxa"/>
            <w:tcBorders>
              <w:top w:val="single" w:sz="2" w:space="0" w:color="000000"/>
              <w:left w:val="single" w:sz="12" w:space="0" w:color="000000"/>
              <w:bottom w:val="single" w:sz="12" w:space="0" w:color="000000"/>
              <w:right w:val="single" w:sz="12" w:space="0" w:color="000000"/>
            </w:tcBorders>
          </w:tcPr>
          <w:p w14:paraId="76D57D8D" w14:textId="0C16607B" w:rsidR="00B56D50" w:rsidRDefault="001C3C42" w:rsidP="00A96221">
            <w:pPr>
              <w:spacing w:after="0" w:line="259" w:lineRule="auto"/>
              <w:ind w:left="1" w:right="0" w:firstLine="0"/>
              <w:jc w:val="center"/>
            </w:pPr>
            <w:r>
              <w:rPr>
                <w:b/>
                <w:sz w:val="18"/>
              </w:rPr>
              <w:t>Must provide count</w:t>
            </w:r>
          </w:p>
        </w:tc>
      </w:tr>
    </w:tbl>
    <w:p w14:paraId="44CE2C28" w14:textId="6FCA6B9A" w:rsidR="00AF50AC" w:rsidRPr="00507786" w:rsidRDefault="00AF50AC">
      <w:pPr>
        <w:spacing w:after="0" w:line="259" w:lineRule="auto"/>
        <w:ind w:left="0" w:right="0" w:firstLine="0"/>
      </w:pPr>
    </w:p>
    <w:tbl>
      <w:tblPr>
        <w:tblStyle w:val="TableGrid1"/>
        <w:tblW w:w="10620" w:type="dxa"/>
        <w:tblInd w:w="-375" w:type="dxa"/>
        <w:tblLayout w:type="fixed"/>
        <w:tblCellMar>
          <w:top w:w="5" w:type="dxa"/>
          <w:left w:w="34" w:type="dxa"/>
          <w:right w:w="37" w:type="dxa"/>
        </w:tblCellMar>
        <w:tblLook w:val="04A0" w:firstRow="1" w:lastRow="0" w:firstColumn="1" w:lastColumn="0" w:noHBand="0" w:noVBand="1"/>
      </w:tblPr>
      <w:tblGrid>
        <w:gridCol w:w="2636"/>
        <w:gridCol w:w="1092"/>
        <w:gridCol w:w="635"/>
        <w:gridCol w:w="1266"/>
        <w:gridCol w:w="546"/>
        <w:gridCol w:w="773"/>
        <w:gridCol w:w="777"/>
        <w:gridCol w:w="727"/>
        <w:gridCol w:w="728"/>
        <w:gridCol w:w="720"/>
        <w:gridCol w:w="720"/>
      </w:tblGrid>
      <w:tr w:rsidR="005F5BE9" w14:paraId="5C25D9E7" w14:textId="35DCE7D3" w:rsidTr="00A66287">
        <w:trPr>
          <w:trHeight w:val="245"/>
        </w:trPr>
        <w:tc>
          <w:tcPr>
            <w:tcW w:w="7725" w:type="dxa"/>
            <w:gridSpan w:val="7"/>
            <w:tcBorders>
              <w:top w:val="single" w:sz="12" w:space="0" w:color="000000"/>
              <w:left w:val="single" w:sz="12" w:space="0" w:color="000000"/>
              <w:bottom w:val="single" w:sz="12" w:space="0" w:color="000000"/>
              <w:right w:val="nil"/>
            </w:tcBorders>
            <w:vAlign w:val="center"/>
          </w:tcPr>
          <w:p w14:paraId="74B4DCD2" w14:textId="192B1F46" w:rsidR="005C1884" w:rsidRPr="000A501E" w:rsidRDefault="005C1884" w:rsidP="00941281">
            <w:pPr>
              <w:spacing w:after="0" w:line="259" w:lineRule="auto"/>
              <w:ind w:left="74" w:right="0" w:firstLine="0"/>
              <w:rPr>
                <w:b/>
              </w:rPr>
            </w:pPr>
            <w:r w:rsidRPr="00EB3E70">
              <w:rPr>
                <w:b/>
                <w:sz w:val="18"/>
              </w:rPr>
              <w:t>GENERAL CHEMISTRY – Group E-2:</w:t>
            </w:r>
            <w:r w:rsidRPr="000A501E">
              <w:rPr>
                <w:b/>
                <w:sz w:val="18"/>
              </w:rPr>
              <w:t xml:space="preserve">  Feedlot Runoff and Manure Spill Characterization</w:t>
            </w:r>
          </w:p>
        </w:tc>
        <w:tc>
          <w:tcPr>
            <w:tcW w:w="2895" w:type="dxa"/>
            <w:gridSpan w:val="4"/>
            <w:tcBorders>
              <w:top w:val="single" w:sz="12" w:space="0" w:color="000000"/>
              <w:left w:val="nil"/>
              <w:bottom w:val="single" w:sz="12" w:space="0" w:color="000000"/>
              <w:right w:val="single" w:sz="12" w:space="0" w:color="000000"/>
            </w:tcBorders>
            <w:vAlign w:val="center"/>
          </w:tcPr>
          <w:p w14:paraId="59884758" w14:textId="77777777" w:rsidR="005C1884" w:rsidRDefault="005C1884" w:rsidP="00941281">
            <w:pPr>
              <w:spacing w:after="160" w:line="259" w:lineRule="auto"/>
              <w:ind w:left="0" w:right="0" w:firstLine="0"/>
            </w:pPr>
          </w:p>
        </w:tc>
      </w:tr>
      <w:tr w:rsidR="003403F0" w14:paraId="53084CDC" w14:textId="47C9F0EE" w:rsidTr="00A66287">
        <w:trPr>
          <w:trHeight w:val="271"/>
        </w:trPr>
        <w:tc>
          <w:tcPr>
            <w:tcW w:w="2636" w:type="dxa"/>
            <w:vMerge w:val="restart"/>
            <w:tcBorders>
              <w:top w:val="single" w:sz="12" w:space="0" w:color="000000"/>
              <w:left w:val="single" w:sz="12" w:space="0" w:color="000000"/>
              <w:bottom w:val="single" w:sz="12" w:space="0" w:color="000000"/>
              <w:right w:val="single" w:sz="12" w:space="0" w:color="000000"/>
            </w:tcBorders>
            <w:vAlign w:val="center"/>
          </w:tcPr>
          <w:p w14:paraId="39CA96F8" w14:textId="5FA131B0" w:rsidR="003403F0" w:rsidRDefault="003403F0" w:rsidP="00941281">
            <w:pPr>
              <w:spacing w:after="0" w:line="240" w:lineRule="auto"/>
              <w:ind w:left="0" w:right="3" w:firstLine="0"/>
              <w:jc w:val="center"/>
            </w:pPr>
            <w:r>
              <w:rPr>
                <w:b/>
                <w:sz w:val="18"/>
              </w:rPr>
              <w:t>Analyte</w:t>
            </w:r>
          </w:p>
        </w:tc>
        <w:tc>
          <w:tcPr>
            <w:tcW w:w="1092" w:type="dxa"/>
            <w:vMerge w:val="restart"/>
            <w:tcBorders>
              <w:top w:val="single" w:sz="12" w:space="0" w:color="000000"/>
              <w:left w:val="single" w:sz="12" w:space="0" w:color="000000"/>
              <w:bottom w:val="single" w:sz="12" w:space="0" w:color="000000"/>
              <w:right w:val="single" w:sz="12" w:space="0" w:color="000000"/>
            </w:tcBorders>
            <w:vAlign w:val="center"/>
          </w:tcPr>
          <w:p w14:paraId="2C0E696F" w14:textId="45FC14A3" w:rsidR="003403F0" w:rsidRDefault="003403F0" w:rsidP="00135059">
            <w:pPr>
              <w:spacing w:after="0" w:line="240" w:lineRule="auto"/>
              <w:ind w:left="182" w:right="0" w:firstLine="142"/>
            </w:pPr>
            <w:r>
              <w:rPr>
                <w:b/>
                <w:sz w:val="18"/>
              </w:rPr>
              <w:t>CAS Number</w:t>
            </w:r>
          </w:p>
        </w:tc>
        <w:tc>
          <w:tcPr>
            <w:tcW w:w="1901" w:type="dxa"/>
            <w:gridSpan w:val="2"/>
            <w:tcBorders>
              <w:top w:val="single" w:sz="12" w:space="0" w:color="000000"/>
              <w:left w:val="single" w:sz="12" w:space="0" w:color="000000"/>
              <w:bottom w:val="single" w:sz="12" w:space="0" w:color="000000"/>
              <w:right w:val="single" w:sz="12" w:space="0" w:color="000000"/>
            </w:tcBorders>
            <w:vAlign w:val="center"/>
          </w:tcPr>
          <w:p w14:paraId="3FEF89C9" w14:textId="72B09A09" w:rsidR="003403F0" w:rsidRDefault="003403F0" w:rsidP="00941281">
            <w:pPr>
              <w:spacing w:after="0" w:line="240" w:lineRule="auto"/>
              <w:ind w:left="0" w:right="4" w:firstLine="0"/>
              <w:jc w:val="center"/>
            </w:pPr>
            <w:r>
              <w:rPr>
                <w:b/>
                <w:sz w:val="18"/>
              </w:rPr>
              <w:t>Aqueous</w:t>
            </w:r>
          </w:p>
        </w:tc>
        <w:tc>
          <w:tcPr>
            <w:tcW w:w="1319" w:type="dxa"/>
            <w:gridSpan w:val="2"/>
            <w:tcBorders>
              <w:top w:val="single" w:sz="12" w:space="0" w:color="000000"/>
              <w:left w:val="single" w:sz="12" w:space="0" w:color="000000"/>
              <w:bottom w:val="single" w:sz="12" w:space="0" w:color="000000"/>
              <w:right w:val="single" w:sz="12" w:space="0" w:color="000000"/>
            </w:tcBorders>
            <w:vAlign w:val="center"/>
          </w:tcPr>
          <w:p w14:paraId="6385C247" w14:textId="7BDB78DE" w:rsidR="003403F0" w:rsidRDefault="003403F0" w:rsidP="00135059">
            <w:pPr>
              <w:spacing w:after="0" w:line="240" w:lineRule="auto"/>
              <w:ind w:left="91" w:right="0" w:firstLine="0"/>
            </w:pPr>
            <w:r>
              <w:rPr>
                <w:b/>
                <w:sz w:val="18"/>
              </w:rPr>
              <w:t>Soil/Sediment</w:t>
            </w:r>
          </w:p>
        </w:tc>
        <w:tc>
          <w:tcPr>
            <w:tcW w:w="3672" w:type="dxa"/>
            <w:gridSpan w:val="5"/>
            <w:vMerge w:val="restart"/>
            <w:tcBorders>
              <w:top w:val="single" w:sz="12" w:space="0" w:color="000000"/>
              <w:left w:val="single" w:sz="12" w:space="0" w:color="000000"/>
              <w:right w:val="single" w:sz="12" w:space="0" w:color="000000"/>
            </w:tcBorders>
            <w:vAlign w:val="center"/>
          </w:tcPr>
          <w:p w14:paraId="14607229" w14:textId="658FCB26" w:rsidR="003403F0" w:rsidRDefault="003403F0" w:rsidP="00135059">
            <w:pPr>
              <w:spacing w:after="0" w:line="240" w:lineRule="auto"/>
              <w:ind w:left="329" w:right="0" w:firstLine="0"/>
              <w:jc w:val="center"/>
            </w:pPr>
            <w:r>
              <w:rPr>
                <w:b/>
                <w:sz w:val="18"/>
              </w:rPr>
              <w:t>Acceptable Methods</w:t>
            </w:r>
          </w:p>
        </w:tc>
      </w:tr>
      <w:tr w:rsidR="00C84A5D" w14:paraId="4A35F44E" w14:textId="0A8165D4" w:rsidTr="00A66287">
        <w:trPr>
          <w:trHeight w:val="269"/>
        </w:trPr>
        <w:tc>
          <w:tcPr>
            <w:tcW w:w="2636" w:type="dxa"/>
            <w:vMerge/>
            <w:tcBorders>
              <w:top w:val="nil"/>
              <w:left w:val="single" w:sz="12" w:space="0" w:color="000000"/>
              <w:bottom w:val="single" w:sz="12" w:space="0" w:color="000000"/>
              <w:right w:val="single" w:sz="12" w:space="0" w:color="000000"/>
            </w:tcBorders>
            <w:vAlign w:val="center"/>
          </w:tcPr>
          <w:p w14:paraId="00797615" w14:textId="77777777" w:rsidR="003403F0" w:rsidRDefault="003403F0" w:rsidP="00941281">
            <w:pPr>
              <w:spacing w:after="160" w:line="259" w:lineRule="auto"/>
              <w:ind w:left="0" w:right="0" w:firstLine="0"/>
              <w:jc w:val="center"/>
            </w:pPr>
          </w:p>
        </w:tc>
        <w:tc>
          <w:tcPr>
            <w:tcW w:w="1092" w:type="dxa"/>
            <w:vMerge/>
            <w:tcBorders>
              <w:top w:val="nil"/>
              <w:left w:val="single" w:sz="12" w:space="0" w:color="000000"/>
              <w:bottom w:val="single" w:sz="12" w:space="0" w:color="000000"/>
              <w:right w:val="single" w:sz="12" w:space="0" w:color="000000"/>
            </w:tcBorders>
            <w:vAlign w:val="center"/>
          </w:tcPr>
          <w:p w14:paraId="4EB3B528" w14:textId="77777777" w:rsidR="003403F0" w:rsidRDefault="003403F0" w:rsidP="00941281">
            <w:pPr>
              <w:spacing w:after="160" w:line="259" w:lineRule="auto"/>
              <w:ind w:left="0" w:right="0" w:firstLine="0"/>
              <w:jc w:val="center"/>
            </w:pPr>
          </w:p>
        </w:tc>
        <w:tc>
          <w:tcPr>
            <w:tcW w:w="635" w:type="dxa"/>
            <w:tcBorders>
              <w:top w:val="single" w:sz="12" w:space="0" w:color="000000"/>
              <w:left w:val="single" w:sz="12" w:space="0" w:color="000000"/>
              <w:bottom w:val="single" w:sz="12" w:space="0" w:color="000000"/>
              <w:right w:val="single" w:sz="12" w:space="0" w:color="000000"/>
            </w:tcBorders>
            <w:vAlign w:val="center"/>
          </w:tcPr>
          <w:p w14:paraId="5F399BD8" w14:textId="58714B3E" w:rsidR="003403F0" w:rsidRDefault="003403F0" w:rsidP="00941281">
            <w:pPr>
              <w:spacing w:after="0" w:line="259" w:lineRule="auto"/>
              <w:ind w:left="154" w:right="0" w:firstLine="0"/>
              <w:jc w:val="center"/>
            </w:pPr>
            <w:r>
              <w:rPr>
                <w:b/>
                <w:sz w:val="18"/>
              </w:rPr>
              <w:t>RL</w:t>
            </w:r>
          </w:p>
        </w:tc>
        <w:tc>
          <w:tcPr>
            <w:tcW w:w="1266" w:type="dxa"/>
            <w:tcBorders>
              <w:top w:val="single" w:sz="12" w:space="0" w:color="000000"/>
              <w:left w:val="single" w:sz="12" w:space="0" w:color="000000"/>
              <w:bottom w:val="single" w:sz="12" w:space="0" w:color="000000"/>
              <w:right w:val="single" w:sz="12" w:space="0" w:color="000000"/>
            </w:tcBorders>
            <w:vAlign w:val="center"/>
          </w:tcPr>
          <w:p w14:paraId="401C8A61" w14:textId="0D606C95" w:rsidR="003403F0" w:rsidRDefault="003403F0" w:rsidP="00941281">
            <w:pPr>
              <w:spacing w:after="0" w:line="259" w:lineRule="auto"/>
              <w:ind w:left="0" w:right="2" w:firstLine="0"/>
              <w:jc w:val="center"/>
            </w:pPr>
            <w:r>
              <w:rPr>
                <w:b/>
                <w:sz w:val="18"/>
              </w:rPr>
              <w:t>units</w:t>
            </w:r>
          </w:p>
        </w:tc>
        <w:tc>
          <w:tcPr>
            <w:tcW w:w="546" w:type="dxa"/>
            <w:tcBorders>
              <w:top w:val="single" w:sz="12" w:space="0" w:color="000000"/>
              <w:left w:val="single" w:sz="12" w:space="0" w:color="000000"/>
              <w:bottom w:val="single" w:sz="12" w:space="0" w:color="000000"/>
              <w:right w:val="single" w:sz="12" w:space="0" w:color="000000"/>
            </w:tcBorders>
            <w:vAlign w:val="center"/>
          </w:tcPr>
          <w:p w14:paraId="21F58E12" w14:textId="4732488D" w:rsidR="003403F0" w:rsidRDefault="003403F0" w:rsidP="00941281">
            <w:pPr>
              <w:spacing w:after="0" w:line="259" w:lineRule="auto"/>
              <w:ind w:left="110" w:right="0" w:firstLine="0"/>
              <w:jc w:val="center"/>
            </w:pPr>
            <w:r>
              <w:rPr>
                <w:b/>
                <w:sz w:val="18"/>
              </w:rPr>
              <w:t>RL</w:t>
            </w:r>
          </w:p>
        </w:tc>
        <w:tc>
          <w:tcPr>
            <w:tcW w:w="773" w:type="dxa"/>
            <w:tcBorders>
              <w:top w:val="single" w:sz="12" w:space="0" w:color="000000"/>
              <w:left w:val="single" w:sz="12" w:space="0" w:color="000000"/>
              <w:bottom w:val="single" w:sz="12" w:space="0" w:color="000000"/>
              <w:right w:val="single" w:sz="12" w:space="0" w:color="000000"/>
            </w:tcBorders>
            <w:vAlign w:val="center"/>
          </w:tcPr>
          <w:p w14:paraId="6458126B" w14:textId="6F161A71" w:rsidR="003403F0" w:rsidRDefault="003403F0" w:rsidP="00941281">
            <w:pPr>
              <w:spacing w:after="0" w:line="259" w:lineRule="auto"/>
              <w:ind w:left="1" w:right="0" w:firstLine="0"/>
              <w:jc w:val="center"/>
            </w:pPr>
            <w:r>
              <w:rPr>
                <w:b/>
                <w:sz w:val="18"/>
              </w:rPr>
              <w:t>units</w:t>
            </w:r>
          </w:p>
        </w:tc>
        <w:tc>
          <w:tcPr>
            <w:tcW w:w="3672" w:type="dxa"/>
            <w:gridSpan w:val="5"/>
            <w:vMerge/>
            <w:tcBorders>
              <w:left w:val="single" w:sz="12" w:space="0" w:color="000000"/>
              <w:bottom w:val="single" w:sz="12" w:space="0" w:color="000000"/>
              <w:right w:val="single" w:sz="12" w:space="0" w:color="000000"/>
            </w:tcBorders>
            <w:vAlign w:val="center"/>
          </w:tcPr>
          <w:p w14:paraId="7B320D52" w14:textId="77777777" w:rsidR="003403F0" w:rsidRDefault="003403F0" w:rsidP="00941281">
            <w:pPr>
              <w:spacing w:after="160" w:line="259" w:lineRule="auto"/>
              <w:ind w:left="0" w:right="0" w:firstLine="0"/>
              <w:jc w:val="center"/>
            </w:pPr>
          </w:p>
        </w:tc>
      </w:tr>
      <w:tr w:rsidR="005F5BE9" w14:paraId="563E8550" w14:textId="7D173219" w:rsidTr="005A599E">
        <w:trPr>
          <w:trHeight w:val="264"/>
        </w:trPr>
        <w:tc>
          <w:tcPr>
            <w:tcW w:w="2636" w:type="dxa"/>
            <w:tcBorders>
              <w:top w:val="single" w:sz="12" w:space="0" w:color="000000"/>
              <w:left w:val="single" w:sz="12" w:space="0" w:color="000000"/>
              <w:bottom w:val="single" w:sz="4" w:space="0" w:color="000000"/>
              <w:right w:val="single" w:sz="12" w:space="0" w:color="000000"/>
            </w:tcBorders>
          </w:tcPr>
          <w:p w14:paraId="12EA355F" w14:textId="6F38BB99" w:rsidR="00027B71" w:rsidRDefault="00027B71">
            <w:pPr>
              <w:spacing w:after="0" w:line="259" w:lineRule="auto"/>
              <w:ind w:left="38" w:right="0" w:firstLine="0"/>
            </w:pPr>
            <w:r>
              <w:rPr>
                <w:sz w:val="18"/>
              </w:rPr>
              <w:t>Nitrogen-Ammonia</w:t>
            </w:r>
          </w:p>
        </w:tc>
        <w:tc>
          <w:tcPr>
            <w:tcW w:w="1092" w:type="dxa"/>
            <w:tcBorders>
              <w:top w:val="single" w:sz="12" w:space="0" w:color="000000"/>
              <w:left w:val="single" w:sz="12" w:space="0" w:color="000000"/>
              <w:bottom w:val="single" w:sz="4" w:space="0" w:color="000000"/>
              <w:right w:val="single" w:sz="12" w:space="0" w:color="000000"/>
            </w:tcBorders>
          </w:tcPr>
          <w:p w14:paraId="3E0E399B" w14:textId="10AC86B6" w:rsidR="00027B71" w:rsidRDefault="00027B71" w:rsidP="00770169">
            <w:pPr>
              <w:spacing w:after="0" w:line="259" w:lineRule="auto"/>
              <w:ind w:left="86" w:right="0" w:firstLine="0"/>
              <w:jc w:val="center"/>
            </w:pPr>
            <w:r>
              <w:rPr>
                <w:sz w:val="18"/>
              </w:rPr>
              <w:t>14798-03-9</w:t>
            </w:r>
          </w:p>
        </w:tc>
        <w:tc>
          <w:tcPr>
            <w:tcW w:w="635" w:type="dxa"/>
            <w:tcBorders>
              <w:top w:val="single" w:sz="12" w:space="0" w:color="000000"/>
              <w:left w:val="single" w:sz="12" w:space="0" w:color="000000"/>
              <w:bottom w:val="single" w:sz="4" w:space="0" w:color="000000"/>
              <w:right w:val="single" w:sz="12" w:space="0" w:color="000000"/>
            </w:tcBorders>
          </w:tcPr>
          <w:p w14:paraId="42C4BCB6" w14:textId="5EA28159" w:rsidR="00027B71" w:rsidRDefault="00027B71" w:rsidP="00770169">
            <w:pPr>
              <w:spacing w:after="0" w:line="259" w:lineRule="auto"/>
              <w:ind w:left="38" w:right="0" w:firstLine="0"/>
              <w:jc w:val="center"/>
            </w:pPr>
            <w:r>
              <w:rPr>
                <w:sz w:val="18"/>
              </w:rPr>
              <w:t>0.1</w:t>
            </w:r>
          </w:p>
        </w:tc>
        <w:tc>
          <w:tcPr>
            <w:tcW w:w="1266" w:type="dxa"/>
            <w:tcBorders>
              <w:top w:val="single" w:sz="12" w:space="0" w:color="000000"/>
              <w:left w:val="single" w:sz="12" w:space="0" w:color="000000"/>
              <w:bottom w:val="single" w:sz="4" w:space="0" w:color="000000"/>
              <w:right w:val="single" w:sz="12" w:space="0" w:color="000000"/>
            </w:tcBorders>
          </w:tcPr>
          <w:p w14:paraId="10885DF3" w14:textId="45B8A605" w:rsidR="00027B71" w:rsidRDefault="00027B71" w:rsidP="00770169">
            <w:pPr>
              <w:spacing w:after="0" w:line="259" w:lineRule="auto"/>
              <w:ind w:left="2" w:right="0" w:firstLine="0"/>
              <w:jc w:val="center"/>
            </w:pPr>
            <w:r>
              <w:rPr>
                <w:sz w:val="18"/>
              </w:rPr>
              <w:t>mg/L</w:t>
            </w:r>
          </w:p>
        </w:tc>
        <w:tc>
          <w:tcPr>
            <w:tcW w:w="546" w:type="dxa"/>
            <w:tcBorders>
              <w:top w:val="single" w:sz="12" w:space="0" w:color="000000"/>
              <w:left w:val="single" w:sz="12" w:space="0" w:color="000000"/>
              <w:bottom w:val="single" w:sz="4" w:space="0" w:color="000000"/>
              <w:right w:val="single" w:sz="12" w:space="0" w:color="000000"/>
            </w:tcBorders>
          </w:tcPr>
          <w:p w14:paraId="5A88DFDC" w14:textId="003EDE1B" w:rsidR="00027B71" w:rsidRDefault="00027B71" w:rsidP="00770169">
            <w:pPr>
              <w:spacing w:after="0" w:line="259" w:lineRule="auto"/>
              <w:ind w:left="82" w:right="0" w:firstLine="0"/>
              <w:jc w:val="center"/>
            </w:pPr>
            <w:r>
              <w:rPr>
                <w:sz w:val="18"/>
              </w:rPr>
              <w:t>N/A</w:t>
            </w:r>
          </w:p>
        </w:tc>
        <w:tc>
          <w:tcPr>
            <w:tcW w:w="773" w:type="dxa"/>
            <w:tcBorders>
              <w:top w:val="single" w:sz="12" w:space="0" w:color="000000"/>
              <w:left w:val="single" w:sz="12" w:space="0" w:color="000000"/>
              <w:bottom w:val="single" w:sz="4" w:space="0" w:color="000000"/>
              <w:right w:val="single" w:sz="12" w:space="0" w:color="000000"/>
            </w:tcBorders>
          </w:tcPr>
          <w:p w14:paraId="5000D7AF" w14:textId="57C5E69B" w:rsidR="00027B71" w:rsidRDefault="00027B71" w:rsidP="00770169">
            <w:pPr>
              <w:spacing w:after="0" w:line="259" w:lineRule="auto"/>
              <w:ind w:left="1" w:right="0" w:firstLine="0"/>
              <w:jc w:val="center"/>
            </w:pPr>
            <w:r>
              <w:rPr>
                <w:sz w:val="18"/>
              </w:rPr>
              <w:t>N/A</w:t>
            </w:r>
          </w:p>
        </w:tc>
        <w:tc>
          <w:tcPr>
            <w:tcW w:w="777" w:type="dxa"/>
            <w:tcBorders>
              <w:top w:val="single" w:sz="12" w:space="0" w:color="000000"/>
              <w:left w:val="single" w:sz="12" w:space="0" w:color="000000"/>
              <w:bottom w:val="single" w:sz="4" w:space="0" w:color="000000"/>
              <w:right w:val="single" w:sz="12" w:space="0" w:color="000000"/>
            </w:tcBorders>
          </w:tcPr>
          <w:p w14:paraId="4B5F2978" w14:textId="5E2CAB83" w:rsidR="00027B71" w:rsidRDefault="00027B71" w:rsidP="00770169">
            <w:pPr>
              <w:spacing w:after="0" w:line="259" w:lineRule="auto"/>
              <w:ind w:left="38" w:right="0" w:firstLine="0"/>
              <w:jc w:val="center"/>
            </w:pPr>
            <w:r>
              <w:rPr>
                <w:sz w:val="18"/>
              </w:rPr>
              <w:t>350.1</w:t>
            </w:r>
            <w:r w:rsidR="00107B55">
              <w:rPr>
                <w:sz w:val="18"/>
              </w:rPr>
              <w:t xml:space="preserve"> </w:t>
            </w:r>
            <w:r w:rsidRPr="00107B55">
              <w:rPr>
                <w:b/>
                <w:bCs/>
                <w:sz w:val="18"/>
                <w:vertAlign w:val="superscript"/>
              </w:rPr>
              <w:t>8</w:t>
            </w:r>
          </w:p>
        </w:tc>
        <w:tc>
          <w:tcPr>
            <w:tcW w:w="727" w:type="dxa"/>
            <w:tcBorders>
              <w:top w:val="single" w:sz="12" w:space="0" w:color="000000"/>
              <w:left w:val="single" w:sz="12" w:space="0" w:color="000000"/>
              <w:bottom w:val="single" w:sz="4" w:space="0" w:color="000000"/>
              <w:right w:val="single" w:sz="12" w:space="0" w:color="000000"/>
            </w:tcBorders>
          </w:tcPr>
          <w:p w14:paraId="1CC6B2B8" w14:textId="38F2C3EB" w:rsidR="00027B71" w:rsidRDefault="00027B71" w:rsidP="00770169">
            <w:pPr>
              <w:spacing w:after="0" w:line="259" w:lineRule="auto"/>
              <w:ind w:left="38" w:right="0" w:firstLine="0"/>
              <w:jc w:val="center"/>
            </w:pPr>
          </w:p>
        </w:tc>
        <w:tc>
          <w:tcPr>
            <w:tcW w:w="728" w:type="dxa"/>
            <w:tcBorders>
              <w:top w:val="single" w:sz="12" w:space="0" w:color="000000"/>
              <w:left w:val="single" w:sz="12" w:space="0" w:color="000000"/>
              <w:bottom w:val="single" w:sz="4" w:space="0" w:color="000000"/>
              <w:right w:val="single" w:sz="12" w:space="0" w:color="000000"/>
            </w:tcBorders>
          </w:tcPr>
          <w:p w14:paraId="0DC2F352" w14:textId="5452D81A" w:rsidR="00027B71" w:rsidRDefault="00027B71" w:rsidP="00770169">
            <w:pPr>
              <w:spacing w:after="0" w:line="259" w:lineRule="auto"/>
              <w:ind w:left="39" w:right="0" w:firstLine="0"/>
              <w:jc w:val="center"/>
            </w:pPr>
          </w:p>
        </w:tc>
        <w:tc>
          <w:tcPr>
            <w:tcW w:w="1440" w:type="dxa"/>
            <w:gridSpan w:val="2"/>
            <w:tcBorders>
              <w:top w:val="single" w:sz="12" w:space="0" w:color="000000"/>
              <w:left w:val="single" w:sz="12" w:space="0" w:color="000000"/>
              <w:bottom w:val="single" w:sz="4" w:space="0" w:color="000000"/>
              <w:right w:val="single" w:sz="12" w:space="0" w:color="000000"/>
            </w:tcBorders>
          </w:tcPr>
          <w:p w14:paraId="317E52E2" w14:textId="72BCAD4F" w:rsidR="00027B71" w:rsidRDefault="00027B71" w:rsidP="00770169">
            <w:pPr>
              <w:spacing w:after="0" w:line="259" w:lineRule="auto"/>
              <w:ind w:left="77" w:right="0" w:firstLine="0"/>
              <w:jc w:val="center"/>
            </w:pPr>
          </w:p>
        </w:tc>
      </w:tr>
      <w:tr w:rsidR="005F5BE9" w14:paraId="35A7F265" w14:textId="54484E09" w:rsidTr="005A599E">
        <w:trPr>
          <w:trHeight w:val="252"/>
        </w:trPr>
        <w:tc>
          <w:tcPr>
            <w:tcW w:w="2636" w:type="dxa"/>
            <w:tcBorders>
              <w:top w:val="single" w:sz="4" w:space="0" w:color="000000"/>
              <w:left w:val="single" w:sz="12" w:space="0" w:color="000000"/>
              <w:bottom w:val="single" w:sz="4" w:space="0" w:color="000000"/>
              <w:right w:val="single" w:sz="12" w:space="0" w:color="000000"/>
            </w:tcBorders>
          </w:tcPr>
          <w:p w14:paraId="378D2667" w14:textId="0393FA72" w:rsidR="00027B71" w:rsidRDefault="00027B71">
            <w:pPr>
              <w:spacing w:after="0" w:line="259" w:lineRule="auto"/>
              <w:ind w:left="38" w:right="0" w:firstLine="0"/>
            </w:pPr>
            <w:r>
              <w:rPr>
                <w:sz w:val="18"/>
              </w:rPr>
              <w:t>Nitrogen-Nitrate</w:t>
            </w:r>
          </w:p>
        </w:tc>
        <w:tc>
          <w:tcPr>
            <w:tcW w:w="1092" w:type="dxa"/>
            <w:tcBorders>
              <w:top w:val="single" w:sz="4" w:space="0" w:color="000000"/>
              <w:left w:val="single" w:sz="12" w:space="0" w:color="000000"/>
              <w:bottom w:val="single" w:sz="4" w:space="0" w:color="000000"/>
              <w:right w:val="single" w:sz="12" w:space="0" w:color="000000"/>
            </w:tcBorders>
          </w:tcPr>
          <w:p w14:paraId="3D071D2D" w14:textId="4B519F0B" w:rsidR="00027B71" w:rsidRDefault="00027B71" w:rsidP="00770169">
            <w:pPr>
              <w:spacing w:after="0" w:line="259" w:lineRule="auto"/>
              <w:ind w:left="86" w:right="0" w:firstLine="0"/>
              <w:jc w:val="center"/>
            </w:pPr>
            <w:r>
              <w:rPr>
                <w:sz w:val="18"/>
              </w:rPr>
              <w:t>14797-55-8</w:t>
            </w:r>
          </w:p>
        </w:tc>
        <w:tc>
          <w:tcPr>
            <w:tcW w:w="635" w:type="dxa"/>
            <w:tcBorders>
              <w:top w:val="single" w:sz="4" w:space="0" w:color="000000"/>
              <w:left w:val="single" w:sz="12" w:space="0" w:color="000000"/>
              <w:bottom w:val="single" w:sz="4" w:space="0" w:color="000000"/>
              <w:right w:val="single" w:sz="12" w:space="0" w:color="000000"/>
            </w:tcBorders>
          </w:tcPr>
          <w:p w14:paraId="54F7266E" w14:textId="1B4917F7" w:rsidR="00027B71" w:rsidRDefault="00027B71" w:rsidP="00770169">
            <w:pPr>
              <w:spacing w:after="0" w:line="259" w:lineRule="auto"/>
              <w:ind w:left="38" w:right="0" w:firstLine="0"/>
              <w:jc w:val="center"/>
            </w:pPr>
            <w:r>
              <w:rPr>
                <w:sz w:val="18"/>
              </w:rPr>
              <w:t>0.2</w:t>
            </w:r>
          </w:p>
        </w:tc>
        <w:tc>
          <w:tcPr>
            <w:tcW w:w="1266" w:type="dxa"/>
            <w:tcBorders>
              <w:top w:val="single" w:sz="4" w:space="0" w:color="000000"/>
              <w:left w:val="single" w:sz="12" w:space="0" w:color="000000"/>
              <w:bottom w:val="single" w:sz="4" w:space="0" w:color="000000"/>
              <w:right w:val="single" w:sz="12" w:space="0" w:color="000000"/>
            </w:tcBorders>
          </w:tcPr>
          <w:p w14:paraId="288A370F" w14:textId="154F3FD7" w:rsidR="00027B71" w:rsidRDefault="00027B71" w:rsidP="00770169">
            <w:pPr>
              <w:spacing w:after="0" w:line="259" w:lineRule="auto"/>
              <w:ind w:left="2" w:right="0" w:firstLine="0"/>
              <w:jc w:val="center"/>
            </w:pPr>
            <w:r>
              <w:rPr>
                <w:sz w:val="18"/>
              </w:rPr>
              <w:t>mg/L</w:t>
            </w:r>
          </w:p>
        </w:tc>
        <w:tc>
          <w:tcPr>
            <w:tcW w:w="546" w:type="dxa"/>
            <w:tcBorders>
              <w:top w:val="single" w:sz="4" w:space="0" w:color="000000"/>
              <w:left w:val="single" w:sz="12" w:space="0" w:color="000000"/>
              <w:bottom w:val="single" w:sz="4" w:space="0" w:color="000000"/>
              <w:right w:val="single" w:sz="12" w:space="0" w:color="000000"/>
            </w:tcBorders>
          </w:tcPr>
          <w:p w14:paraId="596EFFE8" w14:textId="5351D44B" w:rsidR="00027B71" w:rsidRDefault="00027B71" w:rsidP="00770169">
            <w:pPr>
              <w:spacing w:after="0" w:line="259" w:lineRule="auto"/>
              <w:ind w:left="38" w:right="0" w:firstLine="0"/>
              <w:jc w:val="center"/>
            </w:pPr>
            <w:r>
              <w:rPr>
                <w:sz w:val="18"/>
              </w:rPr>
              <w:t>1</w:t>
            </w:r>
          </w:p>
        </w:tc>
        <w:tc>
          <w:tcPr>
            <w:tcW w:w="773" w:type="dxa"/>
            <w:tcBorders>
              <w:top w:val="single" w:sz="4" w:space="0" w:color="000000"/>
              <w:left w:val="single" w:sz="12" w:space="0" w:color="000000"/>
              <w:bottom w:val="single" w:sz="4" w:space="0" w:color="000000"/>
              <w:right w:val="single" w:sz="12" w:space="0" w:color="000000"/>
            </w:tcBorders>
          </w:tcPr>
          <w:p w14:paraId="125C4FBC" w14:textId="1C50E297" w:rsidR="00027B71" w:rsidRDefault="00027B71" w:rsidP="00770169">
            <w:pPr>
              <w:spacing w:after="0" w:line="259" w:lineRule="auto"/>
              <w:ind w:left="118" w:right="0" w:firstLine="0"/>
              <w:jc w:val="center"/>
            </w:pPr>
            <w:r>
              <w:rPr>
                <w:sz w:val="18"/>
              </w:rPr>
              <w:t>mg/kg</w:t>
            </w:r>
          </w:p>
        </w:tc>
        <w:tc>
          <w:tcPr>
            <w:tcW w:w="777" w:type="dxa"/>
            <w:tcBorders>
              <w:top w:val="single" w:sz="4" w:space="0" w:color="000000"/>
              <w:left w:val="single" w:sz="12" w:space="0" w:color="000000"/>
              <w:bottom w:val="single" w:sz="4" w:space="0" w:color="000000"/>
              <w:right w:val="single" w:sz="12" w:space="0" w:color="000000"/>
            </w:tcBorders>
          </w:tcPr>
          <w:p w14:paraId="7A6B9AB6" w14:textId="66117945" w:rsidR="00027B71" w:rsidRDefault="00027B71" w:rsidP="00770169">
            <w:pPr>
              <w:spacing w:after="0" w:line="259" w:lineRule="auto"/>
              <w:ind w:left="38" w:right="0" w:firstLine="0"/>
              <w:jc w:val="center"/>
            </w:pPr>
            <w:r>
              <w:rPr>
                <w:sz w:val="18"/>
              </w:rPr>
              <w:t>9056</w:t>
            </w:r>
          </w:p>
        </w:tc>
        <w:tc>
          <w:tcPr>
            <w:tcW w:w="727" w:type="dxa"/>
            <w:tcBorders>
              <w:top w:val="single" w:sz="4" w:space="0" w:color="000000"/>
              <w:left w:val="single" w:sz="12" w:space="0" w:color="000000"/>
              <w:bottom w:val="single" w:sz="4" w:space="0" w:color="000000"/>
              <w:right w:val="single" w:sz="12" w:space="0" w:color="000000"/>
            </w:tcBorders>
          </w:tcPr>
          <w:p w14:paraId="0D1B39E5" w14:textId="476631AB" w:rsidR="00027B71" w:rsidRDefault="00027B71" w:rsidP="00770169">
            <w:pPr>
              <w:spacing w:after="0" w:line="259" w:lineRule="auto"/>
              <w:ind w:left="38" w:right="0" w:firstLine="0"/>
              <w:jc w:val="center"/>
            </w:pPr>
            <w:r>
              <w:rPr>
                <w:sz w:val="18"/>
              </w:rPr>
              <w:t>9210</w:t>
            </w:r>
          </w:p>
        </w:tc>
        <w:tc>
          <w:tcPr>
            <w:tcW w:w="728" w:type="dxa"/>
            <w:tcBorders>
              <w:top w:val="single" w:sz="4" w:space="0" w:color="000000"/>
              <w:left w:val="single" w:sz="12" w:space="0" w:color="000000"/>
              <w:bottom w:val="single" w:sz="4" w:space="0" w:color="000000"/>
              <w:right w:val="single" w:sz="12" w:space="0" w:color="000000"/>
            </w:tcBorders>
          </w:tcPr>
          <w:p w14:paraId="6888D0BE" w14:textId="368C52A6" w:rsidR="00027B71" w:rsidRDefault="00027B71" w:rsidP="00770169">
            <w:pPr>
              <w:spacing w:after="0" w:line="259" w:lineRule="auto"/>
              <w:ind w:left="39" w:right="0" w:firstLine="0"/>
              <w:jc w:val="center"/>
            </w:pPr>
            <w:r>
              <w:rPr>
                <w:sz w:val="18"/>
              </w:rPr>
              <w:t>352.1</w:t>
            </w:r>
            <w:r w:rsidR="00107B55">
              <w:rPr>
                <w:sz w:val="18"/>
              </w:rPr>
              <w:t xml:space="preserve"> </w:t>
            </w:r>
            <w:r w:rsidRPr="00107B55">
              <w:rPr>
                <w:b/>
                <w:bCs/>
                <w:sz w:val="18"/>
                <w:vertAlign w:val="superscript"/>
              </w:rPr>
              <w:t>8</w:t>
            </w:r>
          </w:p>
        </w:tc>
        <w:tc>
          <w:tcPr>
            <w:tcW w:w="1440" w:type="dxa"/>
            <w:gridSpan w:val="2"/>
            <w:tcBorders>
              <w:top w:val="single" w:sz="4" w:space="0" w:color="000000"/>
              <w:left w:val="single" w:sz="12" w:space="0" w:color="000000"/>
              <w:bottom w:val="single" w:sz="4" w:space="0" w:color="000000"/>
              <w:right w:val="single" w:sz="12" w:space="0" w:color="000000"/>
            </w:tcBorders>
          </w:tcPr>
          <w:p w14:paraId="648DF975" w14:textId="404B88DD" w:rsidR="00027B71" w:rsidRDefault="00027B71" w:rsidP="00770169">
            <w:pPr>
              <w:spacing w:after="0" w:line="259" w:lineRule="auto"/>
              <w:ind w:left="77" w:right="0" w:firstLine="0"/>
              <w:jc w:val="center"/>
            </w:pPr>
            <w:r>
              <w:rPr>
                <w:sz w:val="18"/>
              </w:rPr>
              <w:t>300.1</w:t>
            </w:r>
            <w:r w:rsidR="00107B55">
              <w:rPr>
                <w:sz w:val="18"/>
              </w:rPr>
              <w:t xml:space="preserve"> </w:t>
            </w:r>
            <w:r w:rsidRPr="00107B55">
              <w:rPr>
                <w:b/>
                <w:bCs/>
                <w:sz w:val="18"/>
                <w:vertAlign w:val="superscript"/>
              </w:rPr>
              <w:t>8</w:t>
            </w:r>
          </w:p>
        </w:tc>
      </w:tr>
      <w:tr w:rsidR="005F5BE9" w14:paraId="23754CB0" w14:textId="59A16546" w:rsidTr="005A599E">
        <w:trPr>
          <w:trHeight w:val="254"/>
        </w:trPr>
        <w:tc>
          <w:tcPr>
            <w:tcW w:w="2636" w:type="dxa"/>
            <w:tcBorders>
              <w:top w:val="single" w:sz="4" w:space="0" w:color="000000"/>
              <w:left w:val="single" w:sz="12" w:space="0" w:color="000000"/>
              <w:bottom w:val="single" w:sz="4" w:space="0" w:color="000000"/>
              <w:right w:val="single" w:sz="12" w:space="0" w:color="000000"/>
            </w:tcBorders>
          </w:tcPr>
          <w:p w14:paraId="070ACDF5" w14:textId="7543F091" w:rsidR="00027B71" w:rsidRDefault="00027B71">
            <w:pPr>
              <w:spacing w:after="0" w:line="259" w:lineRule="auto"/>
              <w:ind w:left="38" w:right="0" w:firstLine="0"/>
            </w:pPr>
            <w:r>
              <w:rPr>
                <w:sz w:val="18"/>
              </w:rPr>
              <w:t>Nitrogen-Nitrite</w:t>
            </w:r>
          </w:p>
        </w:tc>
        <w:tc>
          <w:tcPr>
            <w:tcW w:w="1092" w:type="dxa"/>
            <w:tcBorders>
              <w:top w:val="single" w:sz="4" w:space="0" w:color="000000"/>
              <w:left w:val="single" w:sz="12" w:space="0" w:color="000000"/>
              <w:bottom w:val="single" w:sz="4" w:space="0" w:color="000000"/>
              <w:right w:val="single" w:sz="12" w:space="0" w:color="000000"/>
            </w:tcBorders>
          </w:tcPr>
          <w:p w14:paraId="448BEB7F" w14:textId="2CCE68F8" w:rsidR="00027B71" w:rsidRDefault="00027B71" w:rsidP="00770169">
            <w:pPr>
              <w:spacing w:after="0" w:line="259" w:lineRule="auto"/>
              <w:ind w:left="86" w:right="0" w:firstLine="0"/>
              <w:jc w:val="center"/>
            </w:pPr>
            <w:r>
              <w:rPr>
                <w:sz w:val="18"/>
              </w:rPr>
              <w:t>14797-65-0</w:t>
            </w:r>
          </w:p>
        </w:tc>
        <w:tc>
          <w:tcPr>
            <w:tcW w:w="635" w:type="dxa"/>
            <w:tcBorders>
              <w:top w:val="single" w:sz="4" w:space="0" w:color="000000"/>
              <w:left w:val="single" w:sz="12" w:space="0" w:color="000000"/>
              <w:bottom w:val="single" w:sz="4" w:space="0" w:color="000000"/>
              <w:right w:val="single" w:sz="12" w:space="0" w:color="000000"/>
            </w:tcBorders>
          </w:tcPr>
          <w:p w14:paraId="46D64984" w14:textId="5E291008" w:rsidR="00027B71" w:rsidRDefault="00027B71" w:rsidP="00770169">
            <w:pPr>
              <w:spacing w:after="0" w:line="259" w:lineRule="auto"/>
              <w:ind w:left="38" w:right="0" w:firstLine="0"/>
              <w:jc w:val="center"/>
            </w:pPr>
            <w:r>
              <w:rPr>
                <w:sz w:val="18"/>
              </w:rPr>
              <w:t>0.2</w:t>
            </w:r>
          </w:p>
        </w:tc>
        <w:tc>
          <w:tcPr>
            <w:tcW w:w="1266" w:type="dxa"/>
            <w:tcBorders>
              <w:top w:val="single" w:sz="4" w:space="0" w:color="000000"/>
              <w:left w:val="single" w:sz="12" w:space="0" w:color="000000"/>
              <w:bottom w:val="single" w:sz="4" w:space="0" w:color="000000"/>
              <w:right w:val="single" w:sz="12" w:space="0" w:color="000000"/>
            </w:tcBorders>
          </w:tcPr>
          <w:p w14:paraId="25CF39C0" w14:textId="059DAE0A" w:rsidR="00027B71" w:rsidRDefault="00027B71" w:rsidP="00770169">
            <w:pPr>
              <w:spacing w:after="0" w:line="259" w:lineRule="auto"/>
              <w:ind w:left="2" w:right="0" w:firstLine="0"/>
              <w:jc w:val="center"/>
            </w:pPr>
            <w:r>
              <w:rPr>
                <w:sz w:val="18"/>
              </w:rPr>
              <w:t>mg/L</w:t>
            </w:r>
          </w:p>
        </w:tc>
        <w:tc>
          <w:tcPr>
            <w:tcW w:w="546" w:type="dxa"/>
            <w:tcBorders>
              <w:top w:val="single" w:sz="4" w:space="0" w:color="000000"/>
              <w:left w:val="single" w:sz="12" w:space="0" w:color="000000"/>
              <w:bottom w:val="single" w:sz="4" w:space="0" w:color="000000"/>
              <w:right w:val="single" w:sz="12" w:space="0" w:color="000000"/>
            </w:tcBorders>
          </w:tcPr>
          <w:p w14:paraId="19E74AB3" w14:textId="054A13AC" w:rsidR="00027B71" w:rsidRDefault="00027B71" w:rsidP="00770169">
            <w:pPr>
              <w:spacing w:after="0" w:line="259" w:lineRule="auto"/>
              <w:ind w:left="38" w:right="0" w:firstLine="0"/>
              <w:jc w:val="center"/>
            </w:pPr>
            <w:r>
              <w:rPr>
                <w:sz w:val="18"/>
              </w:rPr>
              <w:t>1</w:t>
            </w:r>
          </w:p>
        </w:tc>
        <w:tc>
          <w:tcPr>
            <w:tcW w:w="773" w:type="dxa"/>
            <w:tcBorders>
              <w:top w:val="single" w:sz="4" w:space="0" w:color="000000"/>
              <w:left w:val="single" w:sz="12" w:space="0" w:color="000000"/>
              <w:bottom w:val="single" w:sz="4" w:space="0" w:color="000000"/>
              <w:right w:val="single" w:sz="12" w:space="0" w:color="000000"/>
            </w:tcBorders>
          </w:tcPr>
          <w:p w14:paraId="59298799" w14:textId="0D2A751A" w:rsidR="00027B71" w:rsidRDefault="00027B71" w:rsidP="00770169">
            <w:pPr>
              <w:spacing w:after="0" w:line="259" w:lineRule="auto"/>
              <w:ind w:left="118" w:right="0" w:firstLine="0"/>
              <w:jc w:val="center"/>
            </w:pPr>
            <w:r>
              <w:rPr>
                <w:sz w:val="18"/>
              </w:rPr>
              <w:t>mg/kg</w:t>
            </w:r>
          </w:p>
        </w:tc>
        <w:tc>
          <w:tcPr>
            <w:tcW w:w="777" w:type="dxa"/>
            <w:tcBorders>
              <w:top w:val="single" w:sz="4" w:space="0" w:color="000000"/>
              <w:left w:val="single" w:sz="12" w:space="0" w:color="000000"/>
              <w:bottom w:val="single" w:sz="4" w:space="0" w:color="000000"/>
              <w:right w:val="single" w:sz="12" w:space="0" w:color="000000"/>
            </w:tcBorders>
          </w:tcPr>
          <w:p w14:paraId="2943D8DE" w14:textId="30DB1427" w:rsidR="00027B71" w:rsidRDefault="00027B71" w:rsidP="00770169">
            <w:pPr>
              <w:spacing w:after="0" w:line="259" w:lineRule="auto"/>
              <w:ind w:left="38" w:right="0" w:firstLine="0"/>
              <w:jc w:val="center"/>
            </w:pPr>
            <w:r>
              <w:rPr>
                <w:sz w:val="18"/>
              </w:rPr>
              <w:t>9056</w:t>
            </w:r>
          </w:p>
        </w:tc>
        <w:tc>
          <w:tcPr>
            <w:tcW w:w="727" w:type="dxa"/>
            <w:tcBorders>
              <w:top w:val="single" w:sz="4" w:space="0" w:color="000000"/>
              <w:left w:val="single" w:sz="12" w:space="0" w:color="000000"/>
              <w:bottom w:val="single" w:sz="4" w:space="0" w:color="000000"/>
              <w:right w:val="single" w:sz="12" w:space="0" w:color="000000"/>
            </w:tcBorders>
          </w:tcPr>
          <w:p w14:paraId="2AE37FC9" w14:textId="5FA0EE5D" w:rsidR="00027B71" w:rsidRDefault="00027B71" w:rsidP="00770169">
            <w:pPr>
              <w:spacing w:after="0" w:line="259" w:lineRule="auto"/>
              <w:ind w:left="38" w:right="0" w:firstLine="0"/>
              <w:jc w:val="center"/>
            </w:pPr>
            <w:r>
              <w:rPr>
                <w:sz w:val="18"/>
              </w:rPr>
              <w:t>354.1</w:t>
            </w:r>
            <w:r w:rsidR="00107B55">
              <w:rPr>
                <w:sz w:val="18"/>
              </w:rPr>
              <w:t xml:space="preserve"> </w:t>
            </w:r>
            <w:r w:rsidRPr="00107B55">
              <w:rPr>
                <w:b/>
                <w:bCs/>
                <w:sz w:val="18"/>
                <w:vertAlign w:val="superscript"/>
              </w:rPr>
              <w:t>8</w:t>
            </w:r>
          </w:p>
        </w:tc>
        <w:tc>
          <w:tcPr>
            <w:tcW w:w="728" w:type="dxa"/>
            <w:tcBorders>
              <w:top w:val="single" w:sz="4" w:space="0" w:color="000000"/>
              <w:left w:val="single" w:sz="12" w:space="0" w:color="000000"/>
              <w:bottom w:val="single" w:sz="4" w:space="0" w:color="000000"/>
              <w:right w:val="single" w:sz="12" w:space="0" w:color="000000"/>
            </w:tcBorders>
          </w:tcPr>
          <w:p w14:paraId="74AA1244" w14:textId="3BE54997" w:rsidR="00027B71" w:rsidRDefault="00027B71" w:rsidP="00770169">
            <w:pPr>
              <w:spacing w:after="0" w:line="259" w:lineRule="auto"/>
              <w:ind w:left="39" w:right="0" w:firstLine="0"/>
              <w:jc w:val="center"/>
            </w:pPr>
            <w:r>
              <w:rPr>
                <w:sz w:val="18"/>
              </w:rPr>
              <w:t>300.0</w:t>
            </w:r>
            <w:r w:rsidR="00107B55">
              <w:rPr>
                <w:sz w:val="18"/>
              </w:rPr>
              <w:t xml:space="preserve"> </w:t>
            </w:r>
            <w:r w:rsidRPr="00107B55">
              <w:rPr>
                <w:b/>
                <w:bCs/>
                <w:sz w:val="18"/>
                <w:vertAlign w:val="superscript"/>
              </w:rPr>
              <w:t>8</w:t>
            </w:r>
          </w:p>
        </w:tc>
        <w:tc>
          <w:tcPr>
            <w:tcW w:w="1440" w:type="dxa"/>
            <w:gridSpan w:val="2"/>
            <w:tcBorders>
              <w:top w:val="single" w:sz="4" w:space="0" w:color="000000"/>
              <w:left w:val="single" w:sz="12" w:space="0" w:color="000000"/>
              <w:bottom w:val="single" w:sz="4" w:space="0" w:color="000000"/>
              <w:right w:val="single" w:sz="12" w:space="0" w:color="000000"/>
            </w:tcBorders>
          </w:tcPr>
          <w:p w14:paraId="77E4E6C0" w14:textId="6644FD98" w:rsidR="00027B71" w:rsidRDefault="00027B71" w:rsidP="00770169">
            <w:pPr>
              <w:spacing w:after="0" w:line="259" w:lineRule="auto"/>
              <w:ind w:left="77" w:right="0" w:firstLine="0"/>
              <w:jc w:val="center"/>
            </w:pPr>
            <w:r>
              <w:rPr>
                <w:sz w:val="18"/>
              </w:rPr>
              <w:t>300.1</w:t>
            </w:r>
            <w:r w:rsidR="00107B55">
              <w:rPr>
                <w:sz w:val="18"/>
              </w:rPr>
              <w:t xml:space="preserve"> </w:t>
            </w:r>
            <w:r w:rsidRPr="00107B55">
              <w:rPr>
                <w:b/>
                <w:bCs/>
                <w:sz w:val="18"/>
                <w:vertAlign w:val="superscript"/>
              </w:rPr>
              <w:t>8</w:t>
            </w:r>
          </w:p>
        </w:tc>
      </w:tr>
      <w:tr w:rsidR="005F5BE9" w14:paraId="461472CB" w14:textId="4320C828" w:rsidTr="005A599E">
        <w:trPr>
          <w:trHeight w:val="423"/>
        </w:trPr>
        <w:tc>
          <w:tcPr>
            <w:tcW w:w="2636" w:type="dxa"/>
            <w:tcBorders>
              <w:top w:val="single" w:sz="4" w:space="0" w:color="000000"/>
              <w:left w:val="single" w:sz="12" w:space="0" w:color="000000"/>
              <w:bottom w:val="single" w:sz="4" w:space="0" w:color="000000"/>
              <w:right w:val="single" w:sz="12" w:space="0" w:color="000000"/>
            </w:tcBorders>
          </w:tcPr>
          <w:p w14:paraId="660BB601" w14:textId="4A70DFA3" w:rsidR="005C1884" w:rsidRDefault="005C1884">
            <w:pPr>
              <w:spacing w:after="0" w:line="259" w:lineRule="auto"/>
              <w:ind w:left="38" w:right="0" w:firstLine="0"/>
            </w:pPr>
            <w:r>
              <w:rPr>
                <w:sz w:val="18"/>
              </w:rPr>
              <w:t>Nitrogen-Total Kjeldahl</w:t>
            </w:r>
            <w:r>
              <w:rPr>
                <w:sz w:val="18"/>
                <w:vertAlign w:val="superscript"/>
              </w:rPr>
              <w:t xml:space="preserve"> </w:t>
            </w:r>
            <w:r>
              <w:rPr>
                <w:sz w:val="18"/>
              </w:rPr>
              <w:t>(TKN)</w:t>
            </w:r>
          </w:p>
        </w:tc>
        <w:tc>
          <w:tcPr>
            <w:tcW w:w="1092" w:type="dxa"/>
            <w:tcBorders>
              <w:top w:val="single" w:sz="4" w:space="0" w:color="000000"/>
              <w:left w:val="single" w:sz="12" w:space="0" w:color="000000"/>
              <w:bottom w:val="single" w:sz="4" w:space="0" w:color="000000"/>
              <w:right w:val="single" w:sz="12" w:space="0" w:color="000000"/>
            </w:tcBorders>
          </w:tcPr>
          <w:p w14:paraId="6A523BCC" w14:textId="7FC1A4F4" w:rsidR="005C1884" w:rsidRDefault="005C1884" w:rsidP="00770169">
            <w:pPr>
              <w:spacing w:after="0" w:line="259" w:lineRule="auto"/>
              <w:ind w:left="4" w:right="0" w:firstLine="0"/>
              <w:jc w:val="center"/>
            </w:pPr>
            <w:r>
              <w:rPr>
                <w:sz w:val="18"/>
              </w:rPr>
              <w:t>7727-37-9</w:t>
            </w:r>
          </w:p>
        </w:tc>
        <w:tc>
          <w:tcPr>
            <w:tcW w:w="635" w:type="dxa"/>
            <w:tcBorders>
              <w:top w:val="single" w:sz="4" w:space="0" w:color="000000"/>
              <w:left w:val="single" w:sz="12" w:space="0" w:color="000000"/>
              <w:bottom w:val="single" w:sz="4" w:space="0" w:color="000000"/>
              <w:right w:val="single" w:sz="12" w:space="0" w:color="000000"/>
            </w:tcBorders>
          </w:tcPr>
          <w:p w14:paraId="6FCCEF7A" w14:textId="6858F0AD" w:rsidR="005C1884" w:rsidRDefault="005C1884" w:rsidP="00770169">
            <w:pPr>
              <w:spacing w:after="0" w:line="259" w:lineRule="auto"/>
              <w:ind w:left="38" w:right="0" w:firstLine="0"/>
              <w:jc w:val="center"/>
            </w:pPr>
            <w:r>
              <w:rPr>
                <w:sz w:val="18"/>
              </w:rPr>
              <w:t>0.5</w:t>
            </w:r>
          </w:p>
        </w:tc>
        <w:tc>
          <w:tcPr>
            <w:tcW w:w="1266" w:type="dxa"/>
            <w:tcBorders>
              <w:top w:val="single" w:sz="4" w:space="0" w:color="000000"/>
              <w:left w:val="single" w:sz="12" w:space="0" w:color="000000"/>
              <w:bottom w:val="single" w:sz="4" w:space="0" w:color="000000"/>
              <w:right w:val="single" w:sz="12" w:space="0" w:color="000000"/>
            </w:tcBorders>
          </w:tcPr>
          <w:p w14:paraId="240C0A84" w14:textId="42E224B1" w:rsidR="005C1884" w:rsidRDefault="005C1884" w:rsidP="00770169">
            <w:pPr>
              <w:spacing w:after="0" w:line="259" w:lineRule="auto"/>
              <w:ind w:left="2" w:right="0" w:firstLine="0"/>
              <w:jc w:val="center"/>
            </w:pPr>
            <w:r>
              <w:rPr>
                <w:sz w:val="18"/>
              </w:rPr>
              <w:t>mg/L</w:t>
            </w:r>
          </w:p>
        </w:tc>
        <w:tc>
          <w:tcPr>
            <w:tcW w:w="546" w:type="dxa"/>
            <w:tcBorders>
              <w:top w:val="single" w:sz="4" w:space="0" w:color="000000"/>
              <w:left w:val="single" w:sz="12" w:space="0" w:color="000000"/>
              <w:bottom w:val="single" w:sz="4" w:space="0" w:color="000000"/>
              <w:right w:val="single" w:sz="12" w:space="0" w:color="000000"/>
            </w:tcBorders>
          </w:tcPr>
          <w:p w14:paraId="7CFC32B5" w14:textId="06DB5C4C" w:rsidR="005C1884" w:rsidRDefault="005C1884" w:rsidP="00770169">
            <w:pPr>
              <w:spacing w:after="0" w:line="259" w:lineRule="auto"/>
              <w:ind w:left="38" w:right="0" w:firstLine="0"/>
              <w:jc w:val="center"/>
            </w:pPr>
            <w:r>
              <w:rPr>
                <w:sz w:val="18"/>
              </w:rPr>
              <w:t>130</w:t>
            </w:r>
          </w:p>
        </w:tc>
        <w:tc>
          <w:tcPr>
            <w:tcW w:w="773" w:type="dxa"/>
            <w:tcBorders>
              <w:top w:val="single" w:sz="4" w:space="0" w:color="000000"/>
              <w:left w:val="single" w:sz="12" w:space="0" w:color="000000"/>
              <w:bottom w:val="single" w:sz="4" w:space="0" w:color="000000"/>
              <w:right w:val="single" w:sz="12" w:space="0" w:color="000000"/>
            </w:tcBorders>
          </w:tcPr>
          <w:p w14:paraId="723231E7" w14:textId="78A68479" w:rsidR="005C1884" w:rsidRDefault="005C1884" w:rsidP="00770169">
            <w:pPr>
              <w:spacing w:after="0" w:line="259" w:lineRule="auto"/>
              <w:ind w:left="118" w:right="0" w:firstLine="0"/>
              <w:jc w:val="center"/>
            </w:pPr>
            <w:r>
              <w:rPr>
                <w:sz w:val="18"/>
              </w:rPr>
              <w:t>mg/kg</w:t>
            </w:r>
          </w:p>
        </w:tc>
        <w:tc>
          <w:tcPr>
            <w:tcW w:w="777" w:type="dxa"/>
            <w:tcBorders>
              <w:top w:val="single" w:sz="4" w:space="0" w:color="000000"/>
              <w:left w:val="single" w:sz="12" w:space="0" w:color="000000"/>
              <w:bottom w:val="single" w:sz="4" w:space="0" w:color="000000"/>
              <w:right w:val="single" w:sz="12" w:space="0" w:color="000000"/>
            </w:tcBorders>
          </w:tcPr>
          <w:p w14:paraId="0AB15758" w14:textId="2734FE8F" w:rsidR="005C1884" w:rsidRDefault="005C1884" w:rsidP="00770169">
            <w:pPr>
              <w:spacing w:after="0" w:line="259" w:lineRule="auto"/>
              <w:ind w:left="38" w:right="0" w:firstLine="0"/>
              <w:jc w:val="center"/>
            </w:pPr>
            <w:r>
              <w:rPr>
                <w:sz w:val="18"/>
              </w:rPr>
              <w:t>351.1</w:t>
            </w:r>
            <w:r w:rsidR="00107B55">
              <w:rPr>
                <w:sz w:val="18"/>
              </w:rPr>
              <w:t xml:space="preserve"> </w:t>
            </w:r>
            <w:r w:rsidR="006F67F2" w:rsidRPr="00107B55">
              <w:rPr>
                <w:b/>
                <w:bCs/>
                <w:sz w:val="18"/>
                <w:vertAlign w:val="superscript"/>
              </w:rPr>
              <w:t>8</w:t>
            </w:r>
          </w:p>
        </w:tc>
        <w:tc>
          <w:tcPr>
            <w:tcW w:w="727" w:type="dxa"/>
            <w:tcBorders>
              <w:top w:val="single" w:sz="4" w:space="0" w:color="000000"/>
              <w:left w:val="single" w:sz="12" w:space="0" w:color="000000"/>
              <w:bottom w:val="single" w:sz="4" w:space="0" w:color="000000"/>
              <w:right w:val="single" w:sz="12" w:space="0" w:color="000000"/>
            </w:tcBorders>
          </w:tcPr>
          <w:p w14:paraId="50707826" w14:textId="37167D4E" w:rsidR="005C1884" w:rsidRDefault="005C1884" w:rsidP="00770169">
            <w:pPr>
              <w:spacing w:after="0" w:line="259" w:lineRule="auto"/>
              <w:ind w:left="38" w:right="0" w:firstLine="0"/>
              <w:jc w:val="center"/>
            </w:pPr>
            <w:r>
              <w:rPr>
                <w:sz w:val="18"/>
              </w:rPr>
              <w:t>351.2</w:t>
            </w:r>
            <w:r w:rsidR="00107B55">
              <w:rPr>
                <w:sz w:val="18"/>
              </w:rPr>
              <w:t xml:space="preserve"> </w:t>
            </w:r>
            <w:r w:rsidR="006F67F2" w:rsidRPr="00107B55">
              <w:rPr>
                <w:b/>
                <w:bCs/>
                <w:sz w:val="18"/>
                <w:vertAlign w:val="superscript"/>
              </w:rPr>
              <w:t>8</w:t>
            </w:r>
          </w:p>
        </w:tc>
        <w:tc>
          <w:tcPr>
            <w:tcW w:w="728" w:type="dxa"/>
            <w:tcBorders>
              <w:top w:val="single" w:sz="4" w:space="0" w:color="000000"/>
              <w:left w:val="single" w:sz="12" w:space="0" w:color="000000"/>
              <w:bottom w:val="single" w:sz="4" w:space="0" w:color="000000"/>
              <w:right w:val="single" w:sz="12" w:space="0" w:color="000000"/>
            </w:tcBorders>
          </w:tcPr>
          <w:p w14:paraId="05BE37F4" w14:textId="7292DE35" w:rsidR="005C1884" w:rsidRDefault="005C1884" w:rsidP="00770169">
            <w:pPr>
              <w:spacing w:after="0" w:line="259" w:lineRule="auto"/>
              <w:ind w:left="39" w:right="0" w:firstLine="0"/>
              <w:jc w:val="center"/>
            </w:pPr>
          </w:p>
        </w:tc>
        <w:tc>
          <w:tcPr>
            <w:tcW w:w="1440" w:type="dxa"/>
            <w:gridSpan w:val="2"/>
            <w:tcBorders>
              <w:top w:val="single" w:sz="4" w:space="0" w:color="000000"/>
              <w:left w:val="single" w:sz="12" w:space="0" w:color="000000"/>
              <w:bottom w:val="single" w:sz="4" w:space="0" w:color="000000"/>
              <w:right w:val="single" w:sz="12" w:space="0" w:color="000000"/>
            </w:tcBorders>
          </w:tcPr>
          <w:p w14:paraId="6D753F90" w14:textId="74D1EC81" w:rsidR="005C1884" w:rsidRDefault="005C1884" w:rsidP="00770169">
            <w:pPr>
              <w:spacing w:after="0" w:line="259" w:lineRule="auto"/>
              <w:ind w:left="77" w:right="0" w:firstLine="0"/>
              <w:jc w:val="center"/>
            </w:pPr>
          </w:p>
        </w:tc>
      </w:tr>
      <w:tr w:rsidR="005F5BE9" w14:paraId="3537B497" w14:textId="3CE2639D" w:rsidTr="005A599E">
        <w:trPr>
          <w:trHeight w:val="254"/>
        </w:trPr>
        <w:tc>
          <w:tcPr>
            <w:tcW w:w="2636" w:type="dxa"/>
            <w:tcBorders>
              <w:top w:val="single" w:sz="4" w:space="0" w:color="000000"/>
              <w:left w:val="single" w:sz="12" w:space="0" w:color="000000"/>
              <w:bottom w:val="single" w:sz="4" w:space="0" w:color="000000"/>
              <w:right w:val="single" w:sz="12" w:space="0" w:color="000000"/>
            </w:tcBorders>
          </w:tcPr>
          <w:p w14:paraId="1984BCC6" w14:textId="67405EE2" w:rsidR="004C1826" w:rsidRDefault="004C1826">
            <w:pPr>
              <w:spacing w:after="0" w:line="259" w:lineRule="auto"/>
              <w:ind w:left="38" w:right="0" w:firstLine="0"/>
            </w:pPr>
            <w:r>
              <w:rPr>
                <w:sz w:val="18"/>
              </w:rPr>
              <w:t>Phosphorus, Total</w:t>
            </w:r>
          </w:p>
        </w:tc>
        <w:tc>
          <w:tcPr>
            <w:tcW w:w="1092" w:type="dxa"/>
            <w:tcBorders>
              <w:top w:val="single" w:sz="4" w:space="0" w:color="000000"/>
              <w:left w:val="single" w:sz="12" w:space="0" w:color="000000"/>
              <w:bottom w:val="single" w:sz="4" w:space="0" w:color="000000"/>
              <w:right w:val="single" w:sz="12" w:space="0" w:color="000000"/>
            </w:tcBorders>
          </w:tcPr>
          <w:p w14:paraId="144AC868" w14:textId="346B0288" w:rsidR="004C1826" w:rsidRDefault="004C1826" w:rsidP="00770169">
            <w:pPr>
              <w:spacing w:after="0" w:line="259" w:lineRule="auto"/>
              <w:ind w:left="4" w:right="0" w:firstLine="0"/>
              <w:jc w:val="center"/>
            </w:pPr>
            <w:r>
              <w:rPr>
                <w:sz w:val="18"/>
              </w:rPr>
              <w:t>7723-14-0</w:t>
            </w:r>
          </w:p>
        </w:tc>
        <w:tc>
          <w:tcPr>
            <w:tcW w:w="635" w:type="dxa"/>
            <w:tcBorders>
              <w:top w:val="single" w:sz="4" w:space="0" w:color="000000"/>
              <w:left w:val="single" w:sz="12" w:space="0" w:color="000000"/>
              <w:bottom w:val="single" w:sz="4" w:space="0" w:color="000000"/>
              <w:right w:val="single" w:sz="12" w:space="0" w:color="000000"/>
            </w:tcBorders>
          </w:tcPr>
          <w:p w14:paraId="13F6F468" w14:textId="56DB1B56" w:rsidR="004C1826" w:rsidRDefault="004C1826" w:rsidP="00770169">
            <w:pPr>
              <w:spacing w:after="0" w:line="259" w:lineRule="auto"/>
              <w:ind w:left="38" w:right="0" w:firstLine="0"/>
              <w:jc w:val="center"/>
            </w:pPr>
            <w:r>
              <w:rPr>
                <w:sz w:val="18"/>
              </w:rPr>
              <w:t>0.5</w:t>
            </w:r>
          </w:p>
        </w:tc>
        <w:tc>
          <w:tcPr>
            <w:tcW w:w="1266" w:type="dxa"/>
            <w:tcBorders>
              <w:top w:val="single" w:sz="4" w:space="0" w:color="000000"/>
              <w:left w:val="single" w:sz="12" w:space="0" w:color="000000"/>
              <w:bottom w:val="single" w:sz="4" w:space="0" w:color="000000"/>
              <w:right w:val="single" w:sz="12" w:space="0" w:color="000000"/>
            </w:tcBorders>
          </w:tcPr>
          <w:p w14:paraId="040AFD38" w14:textId="084CE404" w:rsidR="004C1826" w:rsidRDefault="004C1826" w:rsidP="00770169">
            <w:pPr>
              <w:spacing w:after="0" w:line="259" w:lineRule="auto"/>
              <w:ind w:left="2" w:right="0" w:firstLine="0"/>
              <w:jc w:val="center"/>
            </w:pPr>
            <w:r>
              <w:rPr>
                <w:sz w:val="18"/>
              </w:rPr>
              <w:t>mg/L</w:t>
            </w:r>
          </w:p>
        </w:tc>
        <w:tc>
          <w:tcPr>
            <w:tcW w:w="546" w:type="dxa"/>
            <w:tcBorders>
              <w:top w:val="single" w:sz="4" w:space="0" w:color="000000"/>
              <w:left w:val="single" w:sz="12" w:space="0" w:color="000000"/>
              <w:bottom w:val="single" w:sz="4" w:space="0" w:color="000000"/>
              <w:right w:val="single" w:sz="12" w:space="0" w:color="000000"/>
            </w:tcBorders>
          </w:tcPr>
          <w:p w14:paraId="34A1131A" w14:textId="7F5363AF" w:rsidR="004C1826" w:rsidRDefault="004C1826" w:rsidP="00770169">
            <w:pPr>
              <w:spacing w:after="0" w:line="259" w:lineRule="auto"/>
              <w:ind w:left="38" w:right="0" w:firstLine="0"/>
              <w:jc w:val="center"/>
            </w:pPr>
            <w:r>
              <w:rPr>
                <w:sz w:val="18"/>
              </w:rPr>
              <w:t>1</w:t>
            </w:r>
          </w:p>
        </w:tc>
        <w:tc>
          <w:tcPr>
            <w:tcW w:w="773" w:type="dxa"/>
            <w:tcBorders>
              <w:top w:val="single" w:sz="4" w:space="0" w:color="000000"/>
              <w:left w:val="single" w:sz="12" w:space="0" w:color="000000"/>
              <w:bottom w:val="single" w:sz="4" w:space="0" w:color="000000"/>
              <w:right w:val="single" w:sz="12" w:space="0" w:color="000000"/>
            </w:tcBorders>
          </w:tcPr>
          <w:p w14:paraId="2266AA68" w14:textId="08D4214F" w:rsidR="004C1826" w:rsidRDefault="004C1826" w:rsidP="00770169">
            <w:pPr>
              <w:spacing w:after="0" w:line="259" w:lineRule="auto"/>
              <w:ind w:left="118" w:right="0" w:firstLine="0"/>
              <w:jc w:val="center"/>
            </w:pPr>
            <w:r>
              <w:rPr>
                <w:sz w:val="18"/>
              </w:rPr>
              <w:t>mg/kg</w:t>
            </w:r>
          </w:p>
        </w:tc>
        <w:tc>
          <w:tcPr>
            <w:tcW w:w="777" w:type="dxa"/>
            <w:tcBorders>
              <w:top w:val="single" w:sz="4" w:space="0" w:color="000000"/>
              <w:left w:val="single" w:sz="12" w:space="0" w:color="000000"/>
              <w:bottom w:val="single" w:sz="4" w:space="0" w:color="000000"/>
              <w:right w:val="single" w:sz="12" w:space="0" w:color="000000"/>
            </w:tcBorders>
          </w:tcPr>
          <w:p w14:paraId="57A42914" w14:textId="4D0E7B7C" w:rsidR="004C1826" w:rsidRDefault="004C1826" w:rsidP="00770169">
            <w:pPr>
              <w:spacing w:after="0" w:line="259" w:lineRule="auto"/>
              <w:ind w:left="38" w:right="0" w:firstLine="0"/>
              <w:jc w:val="center"/>
            </w:pPr>
            <w:r>
              <w:rPr>
                <w:sz w:val="18"/>
              </w:rPr>
              <w:t>7580</w:t>
            </w:r>
          </w:p>
        </w:tc>
        <w:tc>
          <w:tcPr>
            <w:tcW w:w="727" w:type="dxa"/>
            <w:tcBorders>
              <w:top w:val="single" w:sz="4" w:space="0" w:color="000000"/>
              <w:left w:val="single" w:sz="12" w:space="0" w:color="000000"/>
              <w:bottom w:val="single" w:sz="4" w:space="0" w:color="000000"/>
              <w:right w:val="single" w:sz="12" w:space="0" w:color="000000"/>
            </w:tcBorders>
          </w:tcPr>
          <w:p w14:paraId="4FC8C12D" w14:textId="3FA42F32" w:rsidR="004C1826" w:rsidRDefault="004C1826" w:rsidP="00770169">
            <w:pPr>
              <w:spacing w:after="0" w:line="259" w:lineRule="auto"/>
              <w:ind w:left="38" w:right="0" w:firstLine="0"/>
              <w:jc w:val="center"/>
            </w:pPr>
            <w:r>
              <w:rPr>
                <w:sz w:val="18"/>
              </w:rPr>
              <w:t>6010</w:t>
            </w:r>
          </w:p>
        </w:tc>
        <w:tc>
          <w:tcPr>
            <w:tcW w:w="728" w:type="dxa"/>
            <w:tcBorders>
              <w:top w:val="single" w:sz="4" w:space="0" w:color="000000"/>
              <w:left w:val="single" w:sz="12" w:space="0" w:color="000000"/>
              <w:bottom w:val="single" w:sz="4" w:space="0" w:color="000000"/>
              <w:right w:val="single" w:sz="12" w:space="0" w:color="000000"/>
            </w:tcBorders>
          </w:tcPr>
          <w:p w14:paraId="200BD57B" w14:textId="18B36144" w:rsidR="004C1826" w:rsidRDefault="004C1826" w:rsidP="00770169">
            <w:pPr>
              <w:spacing w:after="0" w:line="259" w:lineRule="auto"/>
              <w:ind w:left="39" w:right="0" w:firstLine="0"/>
              <w:jc w:val="center"/>
              <w:rPr>
                <w:sz w:val="18"/>
              </w:rPr>
            </w:pPr>
            <w:r>
              <w:rPr>
                <w:sz w:val="18"/>
              </w:rPr>
              <w:t>365.1</w:t>
            </w:r>
            <w:r w:rsidR="00107B55">
              <w:rPr>
                <w:sz w:val="18"/>
              </w:rPr>
              <w:t xml:space="preserve"> </w:t>
            </w:r>
            <w:r w:rsidRPr="00107B55">
              <w:rPr>
                <w:b/>
                <w:bCs/>
                <w:sz w:val="18"/>
                <w:vertAlign w:val="superscript"/>
              </w:rPr>
              <w:t>8</w:t>
            </w:r>
          </w:p>
        </w:tc>
        <w:tc>
          <w:tcPr>
            <w:tcW w:w="720" w:type="dxa"/>
            <w:tcBorders>
              <w:top w:val="single" w:sz="4" w:space="0" w:color="000000"/>
              <w:left w:val="single" w:sz="12" w:space="0" w:color="000000"/>
              <w:bottom w:val="single" w:sz="4" w:space="0" w:color="000000"/>
              <w:right w:val="single" w:sz="12" w:space="0" w:color="000000"/>
            </w:tcBorders>
          </w:tcPr>
          <w:p w14:paraId="01098F60" w14:textId="34A727D9" w:rsidR="004C1826" w:rsidRDefault="004C1826" w:rsidP="00770169">
            <w:pPr>
              <w:spacing w:after="0" w:line="259" w:lineRule="auto"/>
              <w:ind w:left="39" w:right="0" w:firstLine="0"/>
              <w:jc w:val="center"/>
              <w:rPr>
                <w:sz w:val="18"/>
              </w:rPr>
            </w:pPr>
            <w:r>
              <w:rPr>
                <w:sz w:val="18"/>
              </w:rPr>
              <w:t>365.3</w:t>
            </w:r>
            <w:r w:rsidR="00107B55">
              <w:rPr>
                <w:sz w:val="18"/>
              </w:rPr>
              <w:t xml:space="preserve"> </w:t>
            </w:r>
            <w:r w:rsidRPr="00107B55">
              <w:rPr>
                <w:b/>
                <w:bCs/>
                <w:sz w:val="18"/>
                <w:vertAlign w:val="superscript"/>
              </w:rPr>
              <w:t>8</w:t>
            </w:r>
          </w:p>
        </w:tc>
        <w:tc>
          <w:tcPr>
            <w:tcW w:w="720" w:type="dxa"/>
            <w:tcBorders>
              <w:top w:val="single" w:sz="4" w:space="0" w:color="000000"/>
              <w:left w:val="single" w:sz="12" w:space="0" w:color="000000"/>
              <w:bottom w:val="single" w:sz="4" w:space="0" w:color="000000"/>
              <w:right w:val="single" w:sz="12" w:space="0" w:color="000000"/>
            </w:tcBorders>
          </w:tcPr>
          <w:p w14:paraId="63A7BE2D" w14:textId="648A9487" w:rsidR="004C1826" w:rsidRDefault="004C1826" w:rsidP="00770169">
            <w:pPr>
              <w:spacing w:after="0" w:line="259" w:lineRule="auto"/>
              <w:ind w:left="39" w:right="0" w:firstLine="0"/>
              <w:jc w:val="center"/>
            </w:pPr>
            <w:r>
              <w:rPr>
                <w:sz w:val="18"/>
              </w:rPr>
              <w:t>365.4</w:t>
            </w:r>
            <w:r w:rsidR="00107B55">
              <w:rPr>
                <w:sz w:val="18"/>
              </w:rPr>
              <w:t xml:space="preserve"> </w:t>
            </w:r>
            <w:r w:rsidRPr="00107B55">
              <w:rPr>
                <w:b/>
                <w:bCs/>
                <w:sz w:val="18"/>
                <w:vertAlign w:val="superscript"/>
              </w:rPr>
              <w:t>8</w:t>
            </w:r>
          </w:p>
        </w:tc>
      </w:tr>
      <w:tr w:rsidR="005F5BE9" w14:paraId="72F440AE" w14:textId="64BB94F7" w:rsidTr="005A599E">
        <w:trPr>
          <w:trHeight w:val="434"/>
        </w:trPr>
        <w:tc>
          <w:tcPr>
            <w:tcW w:w="2636" w:type="dxa"/>
            <w:tcBorders>
              <w:top w:val="single" w:sz="4" w:space="0" w:color="000000"/>
              <w:left w:val="single" w:sz="12" w:space="0" w:color="000000"/>
              <w:bottom w:val="single" w:sz="12" w:space="0" w:color="000000"/>
              <w:right w:val="single" w:sz="12" w:space="0" w:color="000000"/>
            </w:tcBorders>
          </w:tcPr>
          <w:p w14:paraId="3517E271" w14:textId="2B84E8CF" w:rsidR="005C1884" w:rsidRDefault="005C1884">
            <w:pPr>
              <w:spacing w:after="0" w:line="259" w:lineRule="auto"/>
              <w:ind w:left="38" w:right="0" w:firstLine="0"/>
            </w:pPr>
            <w:r>
              <w:rPr>
                <w:sz w:val="18"/>
              </w:rPr>
              <w:t>Residue, Non-Filterable (TSS)</w:t>
            </w:r>
          </w:p>
        </w:tc>
        <w:tc>
          <w:tcPr>
            <w:tcW w:w="1092" w:type="dxa"/>
            <w:tcBorders>
              <w:top w:val="single" w:sz="4" w:space="0" w:color="000000"/>
              <w:left w:val="single" w:sz="12" w:space="0" w:color="000000"/>
              <w:bottom w:val="single" w:sz="12" w:space="0" w:color="000000"/>
              <w:right w:val="single" w:sz="12" w:space="0" w:color="000000"/>
            </w:tcBorders>
          </w:tcPr>
          <w:p w14:paraId="7056DDDE" w14:textId="0BB087E0" w:rsidR="005C1884" w:rsidRDefault="005C1884" w:rsidP="00770169">
            <w:pPr>
              <w:spacing w:after="0" w:line="259" w:lineRule="auto"/>
              <w:ind w:left="0" w:right="0" w:firstLine="0"/>
              <w:jc w:val="center"/>
            </w:pPr>
            <w:r>
              <w:rPr>
                <w:sz w:val="18"/>
              </w:rPr>
              <w:t>N/A</w:t>
            </w:r>
          </w:p>
        </w:tc>
        <w:tc>
          <w:tcPr>
            <w:tcW w:w="635" w:type="dxa"/>
            <w:tcBorders>
              <w:top w:val="single" w:sz="4" w:space="0" w:color="000000"/>
              <w:left w:val="single" w:sz="12" w:space="0" w:color="000000"/>
              <w:bottom w:val="single" w:sz="12" w:space="0" w:color="000000"/>
              <w:right w:val="single" w:sz="12" w:space="0" w:color="000000"/>
            </w:tcBorders>
          </w:tcPr>
          <w:p w14:paraId="4F8A7F2A" w14:textId="2EB499A5" w:rsidR="005C1884" w:rsidRDefault="005C1884" w:rsidP="00770169">
            <w:pPr>
              <w:spacing w:after="0" w:line="259" w:lineRule="auto"/>
              <w:ind w:left="38" w:right="0" w:firstLine="0"/>
              <w:jc w:val="center"/>
            </w:pPr>
            <w:r>
              <w:rPr>
                <w:sz w:val="18"/>
              </w:rPr>
              <w:t>5</w:t>
            </w:r>
          </w:p>
        </w:tc>
        <w:tc>
          <w:tcPr>
            <w:tcW w:w="1266" w:type="dxa"/>
            <w:tcBorders>
              <w:top w:val="single" w:sz="4" w:space="0" w:color="000000"/>
              <w:left w:val="single" w:sz="12" w:space="0" w:color="000000"/>
              <w:bottom w:val="single" w:sz="12" w:space="0" w:color="000000"/>
              <w:right w:val="single" w:sz="12" w:space="0" w:color="000000"/>
            </w:tcBorders>
          </w:tcPr>
          <w:p w14:paraId="0F3D4F4B" w14:textId="0E596043" w:rsidR="005C1884" w:rsidRDefault="005C1884" w:rsidP="00770169">
            <w:pPr>
              <w:spacing w:after="0" w:line="259" w:lineRule="auto"/>
              <w:ind w:left="2" w:right="0" w:firstLine="0"/>
              <w:jc w:val="center"/>
            </w:pPr>
            <w:r>
              <w:rPr>
                <w:sz w:val="18"/>
              </w:rPr>
              <w:t>mg/L</w:t>
            </w:r>
          </w:p>
        </w:tc>
        <w:tc>
          <w:tcPr>
            <w:tcW w:w="546" w:type="dxa"/>
            <w:tcBorders>
              <w:top w:val="single" w:sz="4" w:space="0" w:color="000000"/>
              <w:left w:val="single" w:sz="12" w:space="0" w:color="000000"/>
              <w:bottom w:val="single" w:sz="12" w:space="0" w:color="000000"/>
              <w:right w:val="single" w:sz="12" w:space="0" w:color="000000"/>
            </w:tcBorders>
          </w:tcPr>
          <w:p w14:paraId="3E17AC57" w14:textId="3D2430E4" w:rsidR="005C1884" w:rsidRDefault="005C1884" w:rsidP="00770169">
            <w:pPr>
              <w:spacing w:after="0" w:line="259" w:lineRule="auto"/>
              <w:ind w:left="82" w:right="0" w:firstLine="0"/>
              <w:jc w:val="center"/>
            </w:pPr>
            <w:r>
              <w:rPr>
                <w:sz w:val="18"/>
              </w:rPr>
              <w:t>N/A</w:t>
            </w:r>
          </w:p>
        </w:tc>
        <w:tc>
          <w:tcPr>
            <w:tcW w:w="773" w:type="dxa"/>
            <w:tcBorders>
              <w:top w:val="single" w:sz="4" w:space="0" w:color="000000"/>
              <w:left w:val="single" w:sz="12" w:space="0" w:color="000000"/>
              <w:bottom w:val="single" w:sz="12" w:space="0" w:color="000000"/>
              <w:right w:val="single" w:sz="12" w:space="0" w:color="000000"/>
            </w:tcBorders>
          </w:tcPr>
          <w:p w14:paraId="2D3B5302" w14:textId="15CEB38C" w:rsidR="005C1884" w:rsidRDefault="005C1884" w:rsidP="00770169">
            <w:pPr>
              <w:spacing w:after="0" w:line="259" w:lineRule="auto"/>
              <w:ind w:left="1" w:right="0" w:firstLine="0"/>
              <w:jc w:val="center"/>
            </w:pPr>
            <w:r>
              <w:rPr>
                <w:sz w:val="18"/>
              </w:rPr>
              <w:t>N/A</w:t>
            </w:r>
          </w:p>
        </w:tc>
        <w:tc>
          <w:tcPr>
            <w:tcW w:w="777" w:type="dxa"/>
            <w:tcBorders>
              <w:top w:val="single" w:sz="4" w:space="0" w:color="000000"/>
              <w:left w:val="single" w:sz="12" w:space="0" w:color="000000"/>
              <w:bottom w:val="single" w:sz="12" w:space="0" w:color="000000"/>
              <w:right w:val="single" w:sz="12" w:space="0" w:color="000000"/>
            </w:tcBorders>
          </w:tcPr>
          <w:p w14:paraId="57EC3F8E" w14:textId="35CAC718" w:rsidR="005C1884" w:rsidRDefault="005C1884" w:rsidP="00770169">
            <w:pPr>
              <w:spacing w:after="0" w:line="259" w:lineRule="auto"/>
              <w:ind w:left="38" w:right="0" w:firstLine="0"/>
              <w:jc w:val="center"/>
            </w:pPr>
            <w:r>
              <w:rPr>
                <w:sz w:val="18"/>
              </w:rPr>
              <w:t>2540D</w:t>
            </w:r>
            <w:r w:rsidR="00107B55">
              <w:rPr>
                <w:sz w:val="18"/>
              </w:rPr>
              <w:t xml:space="preserve"> </w:t>
            </w:r>
            <w:r w:rsidR="00BB66CE" w:rsidRPr="00107B55">
              <w:rPr>
                <w:b/>
                <w:bCs/>
                <w:sz w:val="18"/>
                <w:vertAlign w:val="superscript"/>
              </w:rPr>
              <w:t>9</w:t>
            </w:r>
          </w:p>
        </w:tc>
        <w:tc>
          <w:tcPr>
            <w:tcW w:w="727" w:type="dxa"/>
            <w:tcBorders>
              <w:top w:val="single" w:sz="4" w:space="0" w:color="000000"/>
              <w:left w:val="single" w:sz="12" w:space="0" w:color="000000"/>
              <w:bottom w:val="single" w:sz="12" w:space="0" w:color="000000"/>
              <w:right w:val="single" w:sz="12" w:space="0" w:color="000000"/>
            </w:tcBorders>
          </w:tcPr>
          <w:p w14:paraId="1D4EFD89" w14:textId="3F44B744" w:rsidR="005C1884" w:rsidRDefault="005C1884" w:rsidP="00770169">
            <w:pPr>
              <w:spacing w:after="0" w:line="259" w:lineRule="auto"/>
              <w:ind w:left="38" w:right="0" w:firstLine="0"/>
              <w:jc w:val="center"/>
            </w:pPr>
          </w:p>
        </w:tc>
        <w:tc>
          <w:tcPr>
            <w:tcW w:w="728" w:type="dxa"/>
            <w:tcBorders>
              <w:top w:val="single" w:sz="4" w:space="0" w:color="000000"/>
              <w:left w:val="single" w:sz="12" w:space="0" w:color="000000"/>
              <w:bottom w:val="single" w:sz="12" w:space="0" w:color="000000"/>
              <w:right w:val="single" w:sz="12" w:space="0" w:color="000000"/>
            </w:tcBorders>
          </w:tcPr>
          <w:p w14:paraId="7A61272A" w14:textId="4A37737C" w:rsidR="005C1884" w:rsidRDefault="005C1884" w:rsidP="00770169">
            <w:pPr>
              <w:spacing w:after="0" w:line="259" w:lineRule="auto"/>
              <w:ind w:left="39" w:right="0" w:firstLine="0"/>
              <w:jc w:val="center"/>
            </w:pPr>
          </w:p>
        </w:tc>
        <w:tc>
          <w:tcPr>
            <w:tcW w:w="720" w:type="dxa"/>
            <w:tcBorders>
              <w:top w:val="single" w:sz="4" w:space="0" w:color="000000"/>
              <w:left w:val="single" w:sz="12" w:space="0" w:color="000000"/>
              <w:bottom w:val="single" w:sz="12" w:space="0" w:color="000000"/>
              <w:right w:val="single" w:sz="12" w:space="0" w:color="000000"/>
            </w:tcBorders>
          </w:tcPr>
          <w:p w14:paraId="7C287183" w14:textId="4C563656" w:rsidR="005C1884" w:rsidRDefault="005C1884" w:rsidP="00770169">
            <w:pPr>
              <w:spacing w:after="0" w:line="259" w:lineRule="auto"/>
              <w:ind w:left="38" w:right="-206" w:firstLine="0"/>
              <w:jc w:val="center"/>
            </w:pPr>
          </w:p>
        </w:tc>
        <w:tc>
          <w:tcPr>
            <w:tcW w:w="720" w:type="dxa"/>
            <w:tcBorders>
              <w:top w:val="single" w:sz="4" w:space="0" w:color="000000"/>
              <w:left w:val="single" w:sz="12" w:space="0" w:color="000000"/>
              <w:bottom w:val="single" w:sz="12" w:space="0" w:color="000000"/>
              <w:right w:val="single" w:sz="12" w:space="0" w:color="000000"/>
            </w:tcBorders>
          </w:tcPr>
          <w:p w14:paraId="3697A726" w14:textId="646F96A3" w:rsidR="005C1884" w:rsidRDefault="005C1884" w:rsidP="00770169">
            <w:pPr>
              <w:spacing w:after="0" w:line="259" w:lineRule="auto"/>
              <w:ind w:left="-67" w:right="0" w:firstLine="11"/>
              <w:jc w:val="center"/>
            </w:pPr>
          </w:p>
        </w:tc>
      </w:tr>
    </w:tbl>
    <w:p w14:paraId="1F625849" w14:textId="76F80F11" w:rsidR="00B56D50" w:rsidRDefault="00B56D50">
      <w:pPr>
        <w:spacing w:after="0" w:line="259" w:lineRule="auto"/>
        <w:ind w:left="0" w:right="0" w:firstLine="0"/>
      </w:pPr>
    </w:p>
    <w:tbl>
      <w:tblPr>
        <w:tblStyle w:val="TableGrid1"/>
        <w:tblW w:w="10620" w:type="dxa"/>
        <w:tblInd w:w="-375" w:type="dxa"/>
        <w:tblCellMar>
          <w:top w:w="23" w:type="dxa"/>
          <w:left w:w="72" w:type="dxa"/>
          <w:right w:w="70" w:type="dxa"/>
        </w:tblCellMar>
        <w:tblLook w:val="04A0" w:firstRow="1" w:lastRow="0" w:firstColumn="1" w:lastColumn="0" w:noHBand="0" w:noVBand="1"/>
      </w:tblPr>
      <w:tblGrid>
        <w:gridCol w:w="3374"/>
        <w:gridCol w:w="1001"/>
        <w:gridCol w:w="545"/>
        <w:gridCol w:w="909"/>
        <w:gridCol w:w="635"/>
        <w:gridCol w:w="819"/>
        <w:gridCol w:w="817"/>
        <w:gridCol w:w="720"/>
        <w:gridCol w:w="552"/>
        <w:gridCol w:w="727"/>
        <w:gridCol w:w="521"/>
      </w:tblGrid>
      <w:tr w:rsidR="00B56D50" w14:paraId="530209D9" w14:textId="77777777" w:rsidTr="005A599E">
        <w:trPr>
          <w:trHeight w:val="271"/>
        </w:trPr>
        <w:tc>
          <w:tcPr>
            <w:tcW w:w="8100" w:type="dxa"/>
            <w:gridSpan w:val="7"/>
            <w:tcBorders>
              <w:top w:val="single" w:sz="12" w:space="0" w:color="000000"/>
              <w:left w:val="single" w:sz="12" w:space="0" w:color="000000"/>
              <w:bottom w:val="single" w:sz="12" w:space="0" w:color="000000"/>
              <w:right w:val="nil"/>
            </w:tcBorders>
            <w:vAlign w:val="center"/>
          </w:tcPr>
          <w:p w14:paraId="1AE1B2C7" w14:textId="0FB53D89" w:rsidR="00B56D50" w:rsidRDefault="001C3C42" w:rsidP="00AA0FA0">
            <w:pPr>
              <w:spacing w:after="0" w:line="240" w:lineRule="auto"/>
              <w:ind w:left="43" w:right="0" w:firstLine="0"/>
            </w:pPr>
            <w:r>
              <w:rPr>
                <w:b/>
                <w:sz w:val="18"/>
              </w:rPr>
              <w:t xml:space="preserve">GENERAL CHEMISTRY – Group </w:t>
            </w:r>
            <w:r w:rsidRPr="0027679B">
              <w:rPr>
                <w:b/>
                <w:sz w:val="18"/>
              </w:rPr>
              <w:t>F G</w:t>
            </w:r>
            <w:r w:rsidRPr="0027679B">
              <w:rPr>
                <w:b/>
                <w:bCs/>
                <w:sz w:val="18"/>
              </w:rPr>
              <w:t>eneral Chemistry – Other/Miscellaneous: Physical Testing</w:t>
            </w:r>
          </w:p>
        </w:tc>
        <w:tc>
          <w:tcPr>
            <w:tcW w:w="2520" w:type="dxa"/>
            <w:gridSpan w:val="4"/>
            <w:tcBorders>
              <w:top w:val="single" w:sz="12" w:space="0" w:color="000000"/>
              <w:left w:val="nil"/>
              <w:bottom w:val="single" w:sz="12" w:space="0" w:color="000000"/>
              <w:right w:val="single" w:sz="12" w:space="0" w:color="000000"/>
            </w:tcBorders>
            <w:vAlign w:val="center"/>
          </w:tcPr>
          <w:p w14:paraId="5F942FFE" w14:textId="77777777" w:rsidR="00B56D50" w:rsidRPr="005E4951" w:rsidRDefault="00B56D50" w:rsidP="00917668">
            <w:pPr>
              <w:spacing w:after="160" w:line="259" w:lineRule="auto"/>
              <w:ind w:left="0" w:right="0" w:firstLine="0"/>
              <w:rPr>
                <w:sz w:val="18"/>
                <w:szCs w:val="18"/>
              </w:rPr>
            </w:pPr>
          </w:p>
        </w:tc>
      </w:tr>
      <w:tr w:rsidR="00B56D50" w14:paraId="03137D98" w14:textId="77777777" w:rsidTr="005A599E">
        <w:trPr>
          <w:trHeight w:val="269"/>
        </w:trPr>
        <w:tc>
          <w:tcPr>
            <w:tcW w:w="3374" w:type="dxa"/>
            <w:vMerge w:val="restart"/>
            <w:tcBorders>
              <w:top w:val="single" w:sz="12" w:space="0" w:color="000000"/>
              <w:left w:val="single" w:sz="12" w:space="0" w:color="000000"/>
              <w:bottom w:val="single" w:sz="12" w:space="0" w:color="000000"/>
              <w:right w:val="single" w:sz="12" w:space="0" w:color="000000"/>
            </w:tcBorders>
            <w:vAlign w:val="center"/>
          </w:tcPr>
          <w:p w14:paraId="1EA8030F" w14:textId="1F6AD5D8" w:rsidR="00B56D50" w:rsidRDefault="001C3C42" w:rsidP="00941281">
            <w:pPr>
              <w:spacing w:after="0" w:line="259" w:lineRule="auto"/>
              <w:ind w:left="0" w:right="6" w:firstLine="0"/>
              <w:jc w:val="center"/>
            </w:pPr>
            <w:r>
              <w:rPr>
                <w:b/>
                <w:sz w:val="18"/>
              </w:rPr>
              <w:t>Analyte</w:t>
            </w:r>
          </w:p>
        </w:tc>
        <w:tc>
          <w:tcPr>
            <w:tcW w:w="1001" w:type="dxa"/>
            <w:vMerge w:val="restart"/>
            <w:tcBorders>
              <w:top w:val="single" w:sz="12" w:space="0" w:color="000000"/>
              <w:left w:val="single" w:sz="12" w:space="0" w:color="000000"/>
              <w:bottom w:val="single" w:sz="12" w:space="0" w:color="000000"/>
              <w:right w:val="single" w:sz="12" w:space="0" w:color="000000"/>
            </w:tcBorders>
            <w:vAlign w:val="center"/>
          </w:tcPr>
          <w:p w14:paraId="2E8A17A3" w14:textId="609A79C3" w:rsidR="00B56D50" w:rsidRDefault="001C3C42" w:rsidP="00941281">
            <w:pPr>
              <w:spacing w:after="0" w:line="259" w:lineRule="auto"/>
              <w:ind w:left="0" w:right="0" w:firstLine="0"/>
              <w:jc w:val="center"/>
            </w:pPr>
            <w:r>
              <w:rPr>
                <w:b/>
                <w:sz w:val="18"/>
              </w:rPr>
              <w:t>CAS Number</w:t>
            </w:r>
          </w:p>
        </w:tc>
        <w:tc>
          <w:tcPr>
            <w:tcW w:w="1454" w:type="dxa"/>
            <w:gridSpan w:val="2"/>
            <w:tcBorders>
              <w:top w:val="single" w:sz="12" w:space="0" w:color="000000"/>
              <w:left w:val="single" w:sz="12" w:space="0" w:color="000000"/>
              <w:bottom w:val="single" w:sz="12" w:space="0" w:color="000000"/>
              <w:right w:val="single" w:sz="12" w:space="0" w:color="000000"/>
            </w:tcBorders>
            <w:vAlign w:val="center"/>
          </w:tcPr>
          <w:p w14:paraId="02B9A31B" w14:textId="213E13D2" w:rsidR="00B56D50" w:rsidRDefault="001C3C42" w:rsidP="00941281">
            <w:pPr>
              <w:spacing w:after="0" w:line="259" w:lineRule="auto"/>
              <w:ind w:left="0" w:right="6" w:firstLine="0"/>
              <w:jc w:val="center"/>
            </w:pPr>
            <w:r>
              <w:rPr>
                <w:b/>
                <w:sz w:val="18"/>
              </w:rPr>
              <w:t>Aqueous</w:t>
            </w:r>
          </w:p>
        </w:tc>
        <w:tc>
          <w:tcPr>
            <w:tcW w:w="1454" w:type="dxa"/>
            <w:gridSpan w:val="2"/>
            <w:tcBorders>
              <w:top w:val="single" w:sz="12" w:space="0" w:color="000000"/>
              <w:left w:val="single" w:sz="12" w:space="0" w:color="000000"/>
              <w:bottom w:val="single" w:sz="12" w:space="0" w:color="000000"/>
              <w:right w:val="single" w:sz="12" w:space="0" w:color="000000"/>
            </w:tcBorders>
            <w:vAlign w:val="center"/>
          </w:tcPr>
          <w:p w14:paraId="26B302F3" w14:textId="54157723" w:rsidR="00B56D50" w:rsidRDefault="006B693C" w:rsidP="00941281">
            <w:pPr>
              <w:spacing w:after="0" w:line="259" w:lineRule="auto"/>
              <w:ind w:left="0" w:right="4" w:firstLine="0"/>
              <w:jc w:val="center"/>
            </w:pPr>
            <w:r>
              <w:rPr>
                <w:b/>
                <w:sz w:val="18"/>
              </w:rPr>
              <w:t>Soil/Sediment</w:t>
            </w:r>
          </w:p>
        </w:tc>
        <w:tc>
          <w:tcPr>
            <w:tcW w:w="817" w:type="dxa"/>
            <w:vMerge w:val="restart"/>
            <w:tcBorders>
              <w:top w:val="single" w:sz="12" w:space="0" w:color="000000"/>
              <w:left w:val="single" w:sz="12" w:space="0" w:color="000000"/>
              <w:bottom w:val="single" w:sz="12" w:space="0" w:color="000000"/>
              <w:right w:val="nil"/>
            </w:tcBorders>
            <w:vAlign w:val="center"/>
          </w:tcPr>
          <w:p w14:paraId="3C84EA57" w14:textId="77777777" w:rsidR="00B56D50" w:rsidRDefault="00B56D50" w:rsidP="00941281">
            <w:pPr>
              <w:spacing w:after="160" w:line="259" w:lineRule="auto"/>
              <w:ind w:left="0" w:right="0" w:firstLine="0"/>
              <w:jc w:val="center"/>
            </w:pPr>
          </w:p>
        </w:tc>
        <w:tc>
          <w:tcPr>
            <w:tcW w:w="2520" w:type="dxa"/>
            <w:gridSpan w:val="4"/>
            <w:vMerge w:val="restart"/>
            <w:tcBorders>
              <w:top w:val="single" w:sz="12" w:space="0" w:color="000000"/>
              <w:left w:val="nil"/>
              <w:bottom w:val="single" w:sz="12" w:space="0" w:color="000000"/>
              <w:right w:val="single" w:sz="12" w:space="0" w:color="000000"/>
            </w:tcBorders>
            <w:vAlign w:val="center"/>
          </w:tcPr>
          <w:p w14:paraId="521ECFB7" w14:textId="24950CC8" w:rsidR="00B56D50" w:rsidRDefault="001C3C42" w:rsidP="00AE536D">
            <w:pPr>
              <w:spacing w:after="0" w:line="259" w:lineRule="auto"/>
              <w:ind w:left="180" w:right="0" w:firstLine="0"/>
            </w:pPr>
            <w:r>
              <w:rPr>
                <w:b/>
                <w:sz w:val="18"/>
              </w:rPr>
              <w:t>Acceptable Methods</w:t>
            </w:r>
          </w:p>
        </w:tc>
      </w:tr>
      <w:tr w:rsidR="00C84A5D" w14:paraId="511AD8A3" w14:textId="77777777" w:rsidTr="005A599E">
        <w:trPr>
          <w:trHeight w:val="369"/>
        </w:trPr>
        <w:tc>
          <w:tcPr>
            <w:tcW w:w="3374" w:type="dxa"/>
            <w:vMerge/>
            <w:tcBorders>
              <w:top w:val="nil"/>
              <w:left w:val="single" w:sz="12" w:space="0" w:color="000000"/>
              <w:bottom w:val="single" w:sz="12" w:space="0" w:color="000000"/>
              <w:right w:val="single" w:sz="12" w:space="0" w:color="000000"/>
            </w:tcBorders>
            <w:vAlign w:val="center"/>
          </w:tcPr>
          <w:p w14:paraId="1DC5E917" w14:textId="77777777" w:rsidR="00B56D50" w:rsidRDefault="00B56D50" w:rsidP="00941281">
            <w:pPr>
              <w:spacing w:after="160" w:line="259" w:lineRule="auto"/>
              <w:ind w:left="0" w:right="0" w:firstLine="0"/>
              <w:jc w:val="center"/>
            </w:pPr>
          </w:p>
        </w:tc>
        <w:tc>
          <w:tcPr>
            <w:tcW w:w="0" w:type="auto"/>
            <w:vMerge/>
            <w:tcBorders>
              <w:top w:val="nil"/>
              <w:left w:val="single" w:sz="12" w:space="0" w:color="000000"/>
              <w:bottom w:val="single" w:sz="12" w:space="0" w:color="000000"/>
              <w:right w:val="single" w:sz="12" w:space="0" w:color="000000"/>
            </w:tcBorders>
            <w:vAlign w:val="center"/>
          </w:tcPr>
          <w:p w14:paraId="4C8BEC07" w14:textId="77777777" w:rsidR="00B56D50" w:rsidRDefault="00B56D50" w:rsidP="00941281">
            <w:pPr>
              <w:spacing w:after="160" w:line="259" w:lineRule="auto"/>
              <w:ind w:left="0" w:right="0" w:firstLine="0"/>
              <w:jc w:val="center"/>
            </w:pPr>
          </w:p>
        </w:tc>
        <w:tc>
          <w:tcPr>
            <w:tcW w:w="545" w:type="dxa"/>
            <w:tcBorders>
              <w:top w:val="single" w:sz="12" w:space="0" w:color="000000"/>
              <w:left w:val="single" w:sz="12" w:space="0" w:color="000000"/>
              <w:bottom w:val="single" w:sz="12" w:space="0" w:color="000000"/>
              <w:right w:val="single" w:sz="12" w:space="0" w:color="000000"/>
            </w:tcBorders>
            <w:vAlign w:val="center"/>
          </w:tcPr>
          <w:p w14:paraId="2EEA9CC4" w14:textId="051812DA" w:rsidR="00B56D50" w:rsidRDefault="001C3C42" w:rsidP="00941281">
            <w:pPr>
              <w:spacing w:after="0" w:line="259" w:lineRule="auto"/>
              <w:ind w:left="72" w:right="0" w:firstLine="0"/>
              <w:jc w:val="center"/>
            </w:pPr>
            <w:r>
              <w:rPr>
                <w:b/>
                <w:sz w:val="18"/>
              </w:rPr>
              <w:t>RL</w:t>
            </w:r>
          </w:p>
        </w:tc>
        <w:tc>
          <w:tcPr>
            <w:tcW w:w="909" w:type="dxa"/>
            <w:tcBorders>
              <w:top w:val="single" w:sz="12" w:space="0" w:color="000000"/>
              <w:left w:val="single" w:sz="12" w:space="0" w:color="000000"/>
              <w:bottom w:val="single" w:sz="12" w:space="0" w:color="000000"/>
              <w:right w:val="single" w:sz="12" w:space="0" w:color="000000"/>
            </w:tcBorders>
            <w:vAlign w:val="center"/>
          </w:tcPr>
          <w:p w14:paraId="798CC4F8" w14:textId="0797DF89" w:rsidR="00B56D50" w:rsidRDefault="001C3C42" w:rsidP="00941281">
            <w:pPr>
              <w:spacing w:after="0" w:line="259" w:lineRule="auto"/>
              <w:ind w:left="0" w:right="6" w:firstLine="0"/>
              <w:jc w:val="center"/>
            </w:pPr>
            <w:r>
              <w:rPr>
                <w:b/>
                <w:sz w:val="18"/>
              </w:rPr>
              <w:t>units</w:t>
            </w:r>
          </w:p>
        </w:tc>
        <w:tc>
          <w:tcPr>
            <w:tcW w:w="635" w:type="dxa"/>
            <w:tcBorders>
              <w:top w:val="single" w:sz="12" w:space="0" w:color="000000"/>
              <w:left w:val="single" w:sz="12" w:space="0" w:color="000000"/>
              <w:bottom w:val="single" w:sz="12" w:space="0" w:color="000000"/>
              <w:right w:val="single" w:sz="12" w:space="0" w:color="000000"/>
            </w:tcBorders>
            <w:vAlign w:val="center"/>
          </w:tcPr>
          <w:p w14:paraId="286D6005" w14:textId="68672FEF" w:rsidR="00B56D50" w:rsidRDefault="001C3C42" w:rsidP="00941281">
            <w:pPr>
              <w:spacing w:after="0" w:line="259" w:lineRule="auto"/>
              <w:ind w:left="118" w:right="0" w:firstLine="0"/>
              <w:jc w:val="center"/>
            </w:pPr>
            <w:r>
              <w:rPr>
                <w:b/>
                <w:sz w:val="18"/>
              </w:rPr>
              <w:t>RL</w:t>
            </w:r>
          </w:p>
        </w:tc>
        <w:tc>
          <w:tcPr>
            <w:tcW w:w="819" w:type="dxa"/>
            <w:tcBorders>
              <w:top w:val="single" w:sz="12" w:space="0" w:color="000000"/>
              <w:left w:val="single" w:sz="12" w:space="0" w:color="000000"/>
              <w:bottom w:val="single" w:sz="12" w:space="0" w:color="000000"/>
              <w:right w:val="single" w:sz="12" w:space="0" w:color="000000"/>
            </w:tcBorders>
            <w:vAlign w:val="center"/>
          </w:tcPr>
          <w:p w14:paraId="07097876" w14:textId="59A6C142" w:rsidR="00B56D50" w:rsidRDefault="001C3C42" w:rsidP="00941281">
            <w:pPr>
              <w:spacing w:after="0" w:line="259" w:lineRule="auto"/>
              <w:ind w:left="0" w:right="9" w:firstLine="0"/>
              <w:jc w:val="center"/>
            </w:pPr>
            <w:r>
              <w:rPr>
                <w:b/>
                <w:sz w:val="18"/>
              </w:rPr>
              <w:t>units</w:t>
            </w:r>
          </w:p>
        </w:tc>
        <w:tc>
          <w:tcPr>
            <w:tcW w:w="817" w:type="dxa"/>
            <w:vMerge/>
            <w:tcBorders>
              <w:top w:val="nil"/>
              <w:left w:val="single" w:sz="12" w:space="0" w:color="000000"/>
              <w:bottom w:val="single" w:sz="12" w:space="0" w:color="000000"/>
              <w:right w:val="nil"/>
            </w:tcBorders>
            <w:vAlign w:val="center"/>
          </w:tcPr>
          <w:p w14:paraId="115EF5C7" w14:textId="77777777" w:rsidR="00B56D50" w:rsidRDefault="00B56D50" w:rsidP="00941281">
            <w:pPr>
              <w:spacing w:after="160" w:line="259" w:lineRule="auto"/>
              <w:ind w:left="0" w:right="0" w:firstLine="0"/>
              <w:jc w:val="center"/>
            </w:pPr>
          </w:p>
        </w:tc>
        <w:tc>
          <w:tcPr>
            <w:tcW w:w="2520" w:type="dxa"/>
            <w:gridSpan w:val="4"/>
            <w:vMerge/>
            <w:tcBorders>
              <w:top w:val="nil"/>
              <w:left w:val="nil"/>
              <w:bottom w:val="single" w:sz="12" w:space="0" w:color="000000"/>
              <w:right w:val="single" w:sz="12" w:space="0" w:color="000000"/>
            </w:tcBorders>
            <w:vAlign w:val="center"/>
          </w:tcPr>
          <w:p w14:paraId="03077B89" w14:textId="77777777" w:rsidR="00B56D50" w:rsidRDefault="00B56D50" w:rsidP="00941281">
            <w:pPr>
              <w:spacing w:after="160" w:line="259" w:lineRule="auto"/>
              <w:ind w:left="0" w:right="0" w:firstLine="0"/>
              <w:jc w:val="center"/>
            </w:pPr>
          </w:p>
        </w:tc>
      </w:tr>
      <w:tr w:rsidR="00B56D50" w14:paraId="7AB07862" w14:textId="77777777" w:rsidTr="005A599E">
        <w:trPr>
          <w:trHeight w:val="259"/>
        </w:trPr>
        <w:tc>
          <w:tcPr>
            <w:tcW w:w="3374" w:type="dxa"/>
            <w:tcBorders>
              <w:top w:val="single" w:sz="12" w:space="0" w:color="000000"/>
              <w:left w:val="single" w:sz="12" w:space="0" w:color="000000"/>
              <w:bottom w:val="single" w:sz="4" w:space="0" w:color="000000"/>
              <w:right w:val="single" w:sz="12" w:space="0" w:color="000000"/>
            </w:tcBorders>
          </w:tcPr>
          <w:p w14:paraId="0DF5C2F5" w14:textId="160DAC2C" w:rsidR="00B56D50" w:rsidRDefault="001C3C42">
            <w:pPr>
              <w:spacing w:after="0" w:line="259" w:lineRule="auto"/>
              <w:ind w:left="0" w:right="0" w:firstLine="0"/>
            </w:pPr>
            <w:r>
              <w:rPr>
                <w:sz w:val="18"/>
              </w:rPr>
              <w:t xml:space="preserve">% Solids </w:t>
            </w:r>
          </w:p>
        </w:tc>
        <w:tc>
          <w:tcPr>
            <w:tcW w:w="1001" w:type="dxa"/>
            <w:tcBorders>
              <w:top w:val="single" w:sz="12" w:space="0" w:color="000000"/>
              <w:left w:val="single" w:sz="12" w:space="0" w:color="000000"/>
              <w:bottom w:val="single" w:sz="4" w:space="0" w:color="000000"/>
              <w:right w:val="single" w:sz="12" w:space="0" w:color="000000"/>
            </w:tcBorders>
          </w:tcPr>
          <w:p w14:paraId="2844DE0A" w14:textId="77777777" w:rsidR="00B56D50" w:rsidRDefault="001C3C42">
            <w:pPr>
              <w:spacing w:after="0" w:line="259" w:lineRule="auto"/>
              <w:ind w:left="0" w:right="1" w:firstLine="0"/>
              <w:jc w:val="center"/>
            </w:pPr>
            <w:r>
              <w:rPr>
                <w:sz w:val="18"/>
              </w:rPr>
              <w:t xml:space="preserve">N/A </w:t>
            </w:r>
          </w:p>
        </w:tc>
        <w:tc>
          <w:tcPr>
            <w:tcW w:w="545" w:type="dxa"/>
            <w:tcBorders>
              <w:top w:val="single" w:sz="12" w:space="0" w:color="000000"/>
              <w:left w:val="single" w:sz="12" w:space="0" w:color="000000"/>
              <w:bottom w:val="single" w:sz="4" w:space="0" w:color="000000"/>
              <w:right w:val="single" w:sz="12" w:space="0" w:color="000000"/>
            </w:tcBorders>
          </w:tcPr>
          <w:p w14:paraId="7506DF79" w14:textId="466121E3" w:rsidR="00B56D50" w:rsidRDefault="001C3C42" w:rsidP="006012D4">
            <w:pPr>
              <w:spacing w:after="0" w:line="259" w:lineRule="auto"/>
              <w:ind w:left="43" w:right="0" w:firstLine="0"/>
              <w:jc w:val="center"/>
            </w:pPr>
            <w:r>
              <w:rPr>
                <w:sz w:val="18"/>
              </w:rPr>
              <w:t>N/A</w:t>
            </w:r>
          </w:p>
        </w:tc>
        <w:tc>
          <w:tcPr>
            <w:tcW w:w="909" w:type="dxa"/>
            <w:tcBorders>
              <w:top w:val="single" w:sz="12" w:space="0" w:color="000000"/>
              <w:left w:val="single" w:sz="12" w:space="0" w:color="000000"/>
              <w:bottom w:val="single" w:sz="4" w:space="0" w:color="000000"/>
              <w:right w:val="single" w:sz="12" w:space="0" w:color="000000"/>
            </w:tcBorders>
          </w:tcPr>
          <w:p w14:paraId="23B82DDA" w14:textId="77777777" w:rsidR="00B56D50" w:rsidRDefault="001C3C42">
            <w:pPr>
              <w:spacing w:after="0" w:line="259" w:lineRule="auto"/>
              <w:ind w:left="0" w:right="1" w:firstLine="0"/>
              <w:jc w:val="center"/>
            </w:pPr>
            <w:r>
              <w:rPr>
                <w:sz w:val="18"/>
              </w:rPr>
              <w:t xml:space="preserve">N/A </w:t>
            </w:r>
          </w:p>
        </w:tc>
        <w:tc>
          <w:tcPr>
            <w:tcW w:w="635" w:type="dxa"/>
            <w:tcBorders>
              <w:top w:val="single" w:sz="12" w:space="0" w:color="000000"/>
              <w:left w:val="single" w:sz="12" w:space="0" w:color="000000"/>
              <w:bottom w:val="single" w:sz="4" w:space="0" w:color="000000"/>
              <w:right w:val="single" w:sz="12" w:space="0" w:color="000000"/>
            </w:tcBorders>
          </w:tcPr>
          <w:p w14:paraId="6BC3D8A3" w14:textId="59278468" w:rsidR="00B56D50" w:rsidRDefault="001C3C42" w:rsidP="00114909">
            <w:pPr>
              <w:spacing w:after="0" w:line="259" w:lineRule="auto"/>
              <w:ind w:left="0" w:right="0" w:firstLine="0"/>
              <w:jc w:val="center"/>
            </w:pPr>
            <w:r>
              <w:rPr>
                <w:sz w:val="18"/>
              </w:rPr>
              <w:t>1</w:t>
            </w:r>
          </w:p>
        </w:tc>
        <w:tc>
          <w:tcPr>
            <w:tcW w:w="819" w:type="dxa"/>
            <w:tcBorders>
              <w:top w:val="single" w:sz="12" w:space="0" w:color="000000"/>
              <w:left w:val="single" w:sz="12" w:space="0" w:color="000000"/>
              <w:bottom w:val="single" w:sz="4" w:space="0" w:color="000000"/>
              <w:right w:val="single" w:sz="12" w:space="0" w:color="000000"/>
            </w:tcBorders>
          </w:tcPr>
          <w:p w14:paraId="535ADA41" w14:textId="77777777" w:rsidR="00B56D50" w:rsidRDefault="001C3C42">
            <w:pPr>
              <w:spacing w:after="0" w:line="259" w:lineRule="auto"/>
              <w:ind w:left="0" w:right="1" w:firstLine="0"/>
              <w:jc w:val="center"/>
            </w:pPr>
            <w:r>
              <w:rPr>
                <w:sz w:val="18"/>
              </w:rPr>
              <w:t xml:space="preserve">% </w:t>
            </w:r>
          </w:p>
        </w:tc>
        <w:tc>
          <w:tcPr>
            <w:tcW w:w="817" w:type="dxa"/>
            <w:tcBorders>
              <w:top w:val="single" w:sz="12" w:space="0" w:color="000000"/>
              <w:left w:val="single" w:sz="12" w:space="0" w:color="000000"/>
              <w:bottom w:val="single" w:sz="4" w:space="0" w:color="000000"/>
              <w:right w:val="single" w:sz="12" w:space="0" w:color="000000"/>
            </w:tcBorders>
          </w:tcPr>
          <w:p w14:paraId="5F73BEF6" w14:textId="4BA3B182" w:rsidR="00B56D50" w:rsidRPr="00AC4BEA" w:rsidRDefault="001C3C42">
            <w:pPr>
              <w:spacing w:after="0" w:line="259" w:lineRule="auto"/>
              <w:ind w:left="0" w:right="0" w:firstLine="0"/>
              <w:rPr>
                <w:b/>
                <w:vertAlign w:val="superscript"/>
              </w:rPr>
            </w:pPr>
            <w:r>
              <w:rPr>
                <w:sz w:val="18"/>
              </w:rPr>
              <w:t xml:space="preserve">1684 </w:t>
            </w:r>
            <w:r w:rsidR="00124081">
              <w:rPr>
                <w:b/>
                <w:bCs/>
                <w:sz w:val="18"/>
                <w:vertAlign w:val="superscript"/>
              </w:rPr>
              <w:t>8</w:t>
            </w:r>
          </w:p>
        </w:tc>
        <w:tc>
          <w:tcPr>
            <w:tcW w:w="720" w:type="dxa"/>
            <w:tcBorders>
              <w:top w:val="single" w:sz="12" w:space="0" w:color="000000"/>
              <w:left w:val="single" w:sz="12" w:space="0" w:color="000000"/>
              <w:bottom w:val="single" w:sz="4" w:space="0" w:color="000000"/>
              <w:right w:val="single" w:sz="12" w:space="0" w:color="000000"/>
            </w:tcBorders>
          </w:tcPr>
          <w:p w14:paraId="7671CAEA" w14:textId="77777777" w:rsidR="00B56D50" w:rsidRDefault="001C3C42">
            <w:pPr>
              <w:spacing w:after="0" w:line="259" w:lineRule="auto"/>
              <w:ind w:left="0" w:right="0" w:firstLine="0"/>
            </w:pPr>
            <w:r>
              <w:rPr>
                <w:sz w:val="18"/>
              </w:rPr>
              <w:t xml:space="preserve"> </w:t>
            </w:r>
          </w:p>
        </w:tc>
        <w:tc>
          <w:tcPr>
            <w:tcW w:w="552" w:type="dxa"/>
            <w:tcBorders>
              <w:top w:val="single" w:sz="12" w:space="0" w:color="000000"/>
              <w:left w:val="single" w:sz="12" w:space="0" w:color="000000"/>
              <w:bottom w:val="single" w:sz="4" w:space="0" w:color="000000"/>
              <w:right w:val="single" w:sz="12" w:space="0" w:color="000000"/>
            </w:tcBorders>
          </w:tcPr>
          <w:p w14:paraId="06827443" w14:textId="77777777" w:rsidR="00B56D50" w:rsidRDefault="001C3C42">
            <w:pPr>
              <w:spacing w:after="0" w:line="259" w:lineRule="auto"/>
              <w:ind w:left="0" w:right="0" w:firstLine="0"/>
            </w:pPr>
            <w:r>
              <w:rPr>
                <w:sz w:val="18"/>
              </w:rPr>
              <w:t xml:space="preserve"> </w:t>
            </w:r>
          </w:p>
        </w:tc>
        <w:tc>
          <w:tcPr>
            <w:tcW w:w="727" w:type="dxa"/>
            <w:tcBorders>
              <w:top w:val="single" w:sz="12" w:space="0" w:color="000000"/>
              <w:left w:val="single" w:sz="12" w:space="0" w:color="000000"/>
              <w:bottom w:val="single" w:sz="4" w:space="0" w:color="000000"/>
              <w:right w:val="single" w:sz="12" w:space="0" w:color="000000"/>
            </w:tcBorders>
          </w:tcPr>
          <w:p w14:paraId="55B2EE8D" w14:textId="77777777" w:rsidR="00B56D50" w:rsidRDefault="001C3C42">
            <w:pPr>
              <w:spacing w:after="0" w:line="259" w:lineRule="auto"/>
              <w:ind w:left="0" w:right="0" w:firstLine="0"/>
            </w:pPr>
            <w:r>
              <w:rPr>
                <w:sz w:val="18"/>
              </w:rPr>
              <w:t xml:space="preserve"> </w:t>
            </w:r>
          </w:p>
        </w:tc>
        <w:tc>
          <w:tcPr>
            <w:tcW w:w="521" w:type="dxa"/>
            <w:tcBorders>
              <w:top w:val="single" w:sz="12" w:space="0" w:color="000000"/>
              <w:left w:val="single" w:sz="12" w:space="0" w:color="000000"/>
              <w:bottom w:val="single" w:sz="4" w:space="0" w:color="000000"/>
              <w:right w:val="single" w:sz="12" w:space="0" w:color="000000"/>
            </w:tcBorders>
          </w:tcPr>
          <w:p w14:paraId="4C768A9D" w14:textId="77777777" w:rsidR="00B56D50" w:rsidRDefault="001C3C42">
            <w:pPr>
              <w:spacing w:after="0" w:line="259" w:lineRule="auto"/>
              <w:ind w:left="0" w:right="0" w:firstLine="0"/>
            </w:pPr>
            <w:r>
              <w:rPr>
                <w:sz w:val="18"/>
              </w:rPr>
              <w:t xml:space="preserve"> </w:t>
            </w:r>
          </w:p>
        </w:tc>
      </w:tr>
      <w:tr w:rsidR="00B56D50" w14:paraId="48428EC1" w14:textId="77777777" w:rsidTr="005A599E">
        <w:trPr>
          <w:trHeight w:val="250"/>
        </w:trPr>
        <w:tc>
          <w:tcPr>
            <w:tcW w:w="3374" w:type="dxa"/>
            <w:tcBorders>
              <w:top w:val="single" w:sz="4" w:space="0" w:color="000000"/>
              <w:left w:val="single" w:sz="12" w:space="0" w:color="000000"/>
              <w:bottom w:val="single" w:sz="4" w:space="0" w:color="000000"/>
              <w:right w:val="single" w:sz="12" w:space="0" w:color="000000"/>
            </w:tcBorders>
          </w:tcPr>
          <w:p w14:paraId="5F072F27" w14:textId="0BC9C23B" w:rsidR="00B56D50" w:rsidRDefault="001C3C42">
            <w:pPr>
              <w:spacing w:after="0" w:line="259" w:lineRule="auto"/>
              <w:ind w:left="0" w:right="0" w:firstLine="0"/>
            </w:pPr>
            <w:r>
              <w:rPr>
                <w:sz w:val="18"/>
              </w:rPr>
              <w:t xml:space="preserve">Total Solids/Residue, total </w:t>
            </w:r>
          </w:p>
        </w:tc>
        <w:tc>
          <w:tcPr>
            <w:tcW w:w="1001" w:type="dxa"/>
            <w:tcBorders>
              <w:top w:val="single" w:sz="4" w:space="0" w:color="000000"/>
              <w:left w:val="single" w:sz="12" w:space="0" w:color="000000"/>
              <w:bottom w:val="single" w:sz="4" w:space="0" w:color="000000"/>
              <w:right w:val="single" w:sz="12" w:space="0" w:color="000000"/>
            </w:tcBorders>
          </w:tcPr>
          <w:p w14:paraId="31A8C635" w14:textId="77777777" w:rsidR="00B56D50" w:rsidRDefault="001C3C42">
            <w:pPr>
              <w:spacing w:after="0" w:line="259" w:lineRule="auto"/>
              <w:ind w:left="0" w:right="1" w:firstLine="0"/>
              <w:jc w:val="center"/>
            </w:pPr>
            <w:r>
              <w:rPr>
                <w:sz w:val="18"/>
              </w:rPr>
              <w:t xml:space="preserve">N/A </w:t>
            </w:r>
          </w:p>
        </w:tc>
        <w:tc>
          <w:tcPr>
            <w:tcW w:w="545" w:type="dxa"/>
            <w:tcBorders>
              <w:top w:val="single" w:sz="4" w:space="0" w:color="000000"/>
              <w:left w:val="single" w:sz="12" w:space="0" w:color="000000"/>
              <w:bottom w:val="single" w:sz="4" w:space="0" w:color="000000"/>
              <w:right w:val="single" w:sz="12" w:space="0" w:color="000000"/>
            </w:tcBorders>
          </w:tcPr>
          <w:p w14:paraId="32C8AD55" w14:textId="175DD89C" w:rsidR="00B56D50" w:rsidRDefault="001C3C42" w:rsidP="006012D4">
            <w:pPr>
              <w:spacing w:after="0" w:line="259" w:lineRule="auto"/>
              <w:ind w:left="0" w:right="0" w:firstLine="0"/>
              <w:jc w:val="center"/>
            </w:pPr>
            <w:r>
              <w:rPr>
                <w:sz w:val="18"/>
              </w:rPr>
              <w:t>10</w:t>
            </w:r>
          </w:p>
        </w:tc>
        <w:tc>
          <w:tcPr>
            <w:tcW w:w="909" w:type="dxa"/>
            <w:tcBorders>
              <w:top w:val="single" w:sz="4" w:space="0" w:color="000000"/>
              <w:left w:val="single" w:sz="12" w:space="0" w:color="000000"/>
              <w:bottom w:val="single" w:sz="4" w:space="0" w:color="000000"/>
              <w:right w:val="single" w:sz="12" w:space="0" w:color="000000"/>
            </w:tcBorders>
          </w:tcPr>
          <w:p w14:paraId="57AE53B2" w14:textId="77777777" w:rsidR="00B56D50" w:rsidRDefault="001C3C42">
            <w:pPr>
              <w:spacing w:after="0" w:line="259" w:lineRule="auto"/>
              <w:ind w:left="0" w:right="3" w:firstLine="0"/>
              <w:jc w:val="center"/>
            </w:pPr>
            <w:r>
              <w:rPr>
                <w:sz w:val="18"/>
              </w:rPr>
              <w:t xml:space="preserve">mg/L </w:t>
            </w:r>
          </w:p>
        </w:tc>
        <w:tc>
          <w:tcPr>
            <w:tcW w:w="635" w:type="dxa"/>
            <w:tcBorders>
              <w:top w:val="single" w:sz="4" w:space="0" w:color="000000"/>
              <w:left w:val="single" w:sz="12" w:space="0" w:color="000000"/>
              <w:bottom w:val="single" w:sz="4" w:space="0" w:color="000000"/>
              <w:right w:val="single" w:sz="12" w:space="0" w:color="000000"/>
            </w:tcBorders>
          </w:tcPr>
          <w:p w14:paraId="55CDA7E2" w14:textId="5C0F5F46" w:rsidR="00B56D50" w:rsidRDefault="001C3C42" w:rsidP="00114909">
            <w:pPr>
              <w:spacing w:after="0" w:line="259" w:lineRule="auto"/>
              <w:ind w:left="2" w:right="0" w:firstLine="0"/>
              <w:jc w:val="center"/>
            </w:pPr>
            <w:r>
              <w:rPr>
                <w:sz w:val="18"/>
              </w:rPr>
              <w:t>20</w:t>
            </w:r>
          </w:p>
        </w:tc>
        <w:tc>
          <w:tcPr>
            <w:tcW w:w="819" w:type="dxa"/>
            <w:tcBorders>
              <w:top w:val="single" w:sz="4" w:space="0" w:color="000000"/>
              <w:left w:val="single" w:sz="12" w:space="0" w:color="000000"/>
              <w:bottom w:val="single" w:sz="4" w:space="0" w:color="000000"/>
              <w:right w:val="single" w:sz="12" w:space="0" w:color="000000"/>
            </w:tcBorders>
          </w:tcPr>
          <w:p w14:paraId="4DAE693C" w14:textId="77777777" w:rsidR="00B56D50" w:rsidRDefault="001C3C42">
            <w:pPr>
              <w:spacing w:after="0" w:line="259" w:lineRule="auto"/>
              <w:ind w:left="0" w:right="3" w:firstLine="0"/>
              <w:jc w:val="center"/>
            </w:pPr>
            <w:r>
              <w:rPr>
                <w:sz w:val="18"/>
              </w:rPr>
              <w:t xml:space="preserve">mg/kg </w:t>
            </w:r>
          </w:p>
        </w:tc>
        <w:tc>
          <w:tcPr>
            <w:tcW w:w="817" w:type="dxa"/>
            <w:tcBorders>
              <w:top w:val="single" w:sz="4" w:space="0" w:color="000000"/>
              <w:left w:val="single" w:sz="12" w:space="0" w:color="000000"/>
              <w:bottom w:val="single" w:sz="4" w:space="0" w:color="000000"/>
              <w:right w:val="single" w:sz="12" w:space="0" w:color="000000"/>
            </w:tcBorders>
          </w:tcPr>
          <w:p w14:paraId="3707FE5C" w14:textId="21EEB60D" w:rsidR="00B56D50" w:rsidRDefault="001C3C42">
            <w:pPr>
              <w:spacing w:after="0" w:line="259" w:lineRule="auto"/>
              <w:ind w:left="0" w:right="0" w:firstLine="0"/>
            </w:pPr>
            <w:r>
              <w:rPr>
                <w:sz w:val="18"/>
              </w:rPr>
              <w:t xml:space="preserve">1684 </w:t>
            </w:r>
            <w:r w:rsidR="00AC4BEA" w:rsidRPr="00AC4BEA">
              <w:rPr>
                <w:b/>
                <w:bCs/>
                <w:sz w:val="18"/>
                <w:vertAlign w:val="superscript"/>
              </w:rPr>
              <w:t>8</w:t>
            </w:r>
          </w:p>
        </w:tc>
        <w:tc>
          <w:tcPr>
            <w:tcW w:w="720" w:type="dxa"/>
            <w:tcBorders>
              <w:top w:val="single" w:sz="4" w:space="0" w:color="000000"/>
              <w:left w:val="single" w:sz="12" w:space="0" w:color="000000"/>
              <w:bottom w:val="single" w:sz="4" w:space="0" w:color="000000"/>
              <w:right w:val="single" w:sz="12" w:space="0" w:color="000000"/>
            </w:tcBorders>
          </w:tcPr>
          <w:p w14:paraId="48B5E7E9" w14:textId="77777777" w:rsidR="00B56D50" w:rsidRDefault="001C3C42">
            <w:pPr>
              <w:spacing w:after="0" w:line="259" w:lineRule="auto"/>
              <w:ind w:left="0" w:right="0" w:firstLine="0"/>
            </w:pPr>
            <w:r>
              <w:rPr>
                <w:sz w:val="18"/>
              </w:rPr>
              <w:t xml:space="preserve"> </w:t>
            </w:r>
          </w:p>
        </w:tc>
        <w:tc>
          <w:tcPr>
            <w:tcW w:w="552" w:type="dxa"/>
            <w:tcBorders>
              <w:top w:val="single" w:sz="4" w:space="0" w:color="000000"/>
              <w:left w:val="single" w:sz="12" w:space="0" w:color="000000"/>
              <w:bottom w:val="single" w:sz="4" w:space="0" w:color="000000"/>
              <w:right w:val="single" w:sz="12" w:space="0" w:color="000000"/>
            </w:tcBorders>
          </w:tcPr>
          <w:p w14:paraId="058EC358" w14:textId="77777777" w:rsidR="00B56D50" w:rsidRDefault="001C3C42">
            <w:pPr>
              <w:spacing w:after="0" w:line="259" w:lineRule="auto"/>
              <w:ind w:left="0" w:right="0" w:firstLine="0"/>
            </w:pPr>
            <w:r>
              <w:rPr>
                <w:sz w:val="18"/>
              </w:rPr>
              <w:t xml:space="preserve"> </w:t>
            </w:r>
          </w:p>
        </w:tc>
        <w:tc>
          <w:tcPr>
            <w:tcW w:w="727" w:type="dxa"/>
            <w:tcBorders>
              <w:top w:val="single" w:sz="4" w:space="0" w:color="000000"/>
              <w:left w:val="single" w:sz="12" w:space="0" w:color="000000"/>
              <w:bottom w:val="single" w:sz="4" w:space="0" w:color="000000"/>
              <w:right w:val="single" w:sz="12" w:space="0" w:color="000000"/>
            </w:tcBorders>
          </w:tcPr>
          <w:p w14:paraId="50E8B772" w14:textId="77777777" w:rsidR="00B56D50" w:rsidRDefault="001C3C42">
            <w:pPr>
              <w:spacing w:after="0" w:line="259" w:lineRule="auto"/>
              <w:ind w:left="0" w:right="0" w:firstLine="0"/>
            </w:pPr>
            <w:r>
              <w:rPr>
                <w:sz w:val="18"/>
              </w:rPr>
              <w:t xml:space="preserve"> </w:t>
            </w:r>
          </w:p>
        </w:tc>
        <w:tc>
          <w:tcPr>
            <w:tcW w:w="521" w:type="dxa"/>
            <w:tcBorders>
              <w:top w:val="single" w:sz="4" w:space="0" w:color="000000"/>
              <w:left w:val="single" w:sz="12" w:space="0" w:color="000000"/>
              <w:bottom w:val="single" w:sz="4" w:space="0" w:color="000000"/>
              <w:right w:val="single" w:sz="12" w:space="0" w:color="000000"/>
            </w:tcBorders>
          </w:tcPr>
          <w:p w14:paraId="0AD27E43" w14:textId="77777777" w:rsidR="00B56D50" w:rsidRDefault="001C3C42">
            <w:pPr>
              <w:spacing w:after="0" w:line="259" w:lineRule="auto"/>
              <w:ind w:left="0" w:right="0" w:firstLine="0"/>
            </w:pPr>
            <w:r>
              <w:rPr>
                <w:sz w:val="18"/>
              </w:rPr>
              <w:t xml:space="preserve"> </w:t>
            </w:r>
          </w:p>
        </w:tc>
      </w:tr>
      <w:tr w:rsidR="00B56D50" w14:paraId="4956E406" w14:textId="77777777" w:rsidTr="005A599E">
        <w:trPr>
          <w:trHeight w:val="250"/>
        </w:trPr>
        <w:tc>
          <w:tcPr>
            <w:tcW w:w="3374" w:type="dxa"/>
            <w:tcBorders>
              <w:top w:val="single" w:sz="4" w:space="0" w:color="000000"/>
              <w:left w:val="single" w:sz="12" w:space="0" w:color="000000"/>
              <w:bottom w:val="single" w:sz="4" w:space="0" w:color="000000"/>
              <w:right w:val="single" w:sz="12" w:space="0" w:color="000000"/>
            </w:tcBorders>
          </w:tcPr>
          <w:p w14:paraId="3C6B67B7" w14:textId="1997DF82" w:rsidR="00B56D50" w:rsidRDefault="001C3C42">
            <w:pPr>
              <w:spacing w:after="0" w:line="259" w:lineRule="auto"/>
              <w:ind w:left="0" w:right="0" w:firstLine="0"/>
            </w:pPr>
            <w:r>
              <w:rPr>
                <w:sz w:val="18"/>
              </w:rPr>
              <w:t xml:space="preserve">Volatile Solids/Residue, volatile </w:t>
            </w:r>
          </w:p>
        </w:tc>
        <w:tc>
          <w:tcPr>
            <w:tcW w:w="1001" w:type="dxa"/>
            <w:tcBorders>
              <w:top w:val="single" w:sz="4" w:space="0" w:color="000000"/>
              <w:left w:val="single" w:sz="12" w:space="0" w:color="000000"/>
              <w:bottom w:val="single" w:sz="4" w:space="0" w:color="000000"/>
              <w:right w:val="single" w:sz="12" w:space="0" w:color="000000"/>
            </w:tcBorders>
          </w:tcPr>
          <w:p w14:paraId="7F76BD01" w14:textId="77777777" w:rsidR="00B56D50" w:rsidRDefault="001C3C42">
            <w:pPr>
              <w:spacing w:after="0" w:line="259" w:lineRule="auto"/>
              <w:ind w:left="0" w:right="1" w:firstLine="0"/>
              <w:jc w:val="center"/>
            </w:pPr>
            <w:r>
              <w:rPr>
                <w:sz w:val="18"/>
              </w:rPr>
              <w:t xml:space="preserve">N/A </w:t>
            </w:r>
          </w:p>
        </w:tc>
        <w:tc>
          <w:tcPr>
            <w:tcW w:w="545" w:type="dxa"/>
            <w:tcBorders>
              <w:top w:val="single" w:sz="4" w:space="0" w:color="000000"/>
              <w:left w:val="single" w:sz="12" w:space="0" w:color="000000"/>
              <w:bottom w:val="single" w:sz="4" w:space="0" w:color="000000"/>
              <w:right w:val="single" w:sz="12" w:space="0" w:color="000000"/>
            </w:tcBorders>
          </w:tcPr>
          <w:p w14:paraId="093DD44A" w14:textId="064B95AB" w:rsidR="00B56D50" w:rsidRDefault="001C3C42" w:rsidP="006012D4">
            <w:pPr>
              <w:spacing w:after="0" w:line="259" w:lineRule="auto"/>
              <w:ind w:left="0" w:right="0" w:firstLine="0"/>
              <w:jc w:val="center"/>
            </w:pPr>
            <w:r>
              <w:rPr>
                <w:sz w:val="18"/>
              </w:rPr>
              <w:t>10</w:t>
            </w:r>
          </w:p>
        </w:tc>
        <w:tc>
          <w:tcPr>
            <w:tcW w:w="909" w:type="dxa"/>
            <w:tcBorders>
              <w:top w:val="single" w:sz="4" w:space="0" w:color="000000"/>
              <w:left w:val="single" w:sz="12" w:space="0" w:color="000000"/>
              <w:bottom w:val="single" w:sz="4" w:space="0" w:color="000000"/>
              <w:right w:val="single" w:sz="12" w:space="0" w:color="000000"/>
            </w:tcBorders>
          </w:tcPr>
          <w:p w14:paraId="2405D75A" w14:textId="77777777" w:rsidR="00B56D50" w:rsidRDefault="001C3C42">
            <w:pPr>
              <w:spacing w:after="0" w:line="259" w:lineRule="auto"/>
              <w:ind w:left="0" w:right="3" w:firstLine="0"/>
              <w:jc w:val="center"/>
            </w:pPr>
            <w:r>
              <w:rPr>
                <w:sz w:val="18"/>
              </w:rPr>
              <w:t xml:space="preserve">mg/L </w:t>
            </w:r>
          </w:p>
        </w:tc>
        <w:tc>
          <w:tcPr>
            <w:tcW w:w="635" w:type="dxa"/>
            <w:tcBorders>
              <w:top w:val="single" w:sz="4" w:space="0" w:color="000000"/>
              <w:left w:val="single" w:sz="12" w:space="0" w:color="000000"/>
              <w:bottom w:val="single" w:sz="4" w:space="0" w:color="000000"/>
              <w:right w:val="single" w:sz="12" w:space="0" w:color="000000"/>
            </w:tcBorders>
          </w:tcPr>
          <w:p w14:paraId="0F236194" w14:textId="54C6E3EF" w:rsidR="00B56D50" w:rsidRDefault="001C3C42" w:rsidP="00114909">
            <w:pPr>
              <w:spacing w:after="0" w:line="259" w:lineRule="auto"/>
              <w:ind w:left="2" w:right="0" w:firstLine="0"/>
              <w:jc w:val="center"/>
            </w:pPr>
            <w:r>
              <w:rPr>
                <w:sz w:val="18"/>
              </w:rPr>
              <w:t>20</w:t>
            </w:r>
          </w:p>
        </w:tc>
        <w:tc>
          <w:tcPr>
            <w:tcW w:w="819" w:type="dxa"/>
            <w:tcBorders>
              <w:top w:val="single" w:sz="4" w:space="0" w:color="000000"/>
              <w:left w:val="single" w:sz="12" w:space="0" w:color="000000"/>
              <w:bottom w:val="single" w:sz="4" w:space="0" w:color="000000"/>
              <w:right w:val="single" w:sz="12" w:space="0" w:color="000000"/>
            </w:tcBorders>
          </w:tcPr>
          <w:p w14:paraId="5B6321FD" w14:textId="77777777" w:rsidR="00B56D50" w:rsidRDefault="001C3C42">
            <w:pPr>
              <w:spacing w:after="0" w:line="259" w:lineRule="auto"/>
              <w:ind w:left="0" w:right="3" w:firstLine="0"/>
              <w:jc w:val="center"/>
            </w:pPr>
            <w:r>
              <w:rPr>
                <w:sz w:val="18"/>
              </w:rPr>
              <w:t xml:space="preserve">mg/kg </w:t>
            </w:r>
          </w:p>
        </w:tc>
        <w:tc>
          <w:tcPr>
            <w:tcW w:w="817" w:type="dxa"/>
            <w:tcBorders>
              <w:top w:val="single" w:sz="4" w:space="0" w:color="000000"/>
              <w:left w:val="single" w:sz="12" w:space="0" w:color="000000"/>
              <w:bottom w:val="single" w:sz="4" w:space="0" w:color="000000"/>
              <w:right w:val="single" w:sz="12" w:space="0" w:color="000000"/>
            </w:tcBorders>
          </w:tcPr>
          <w:p w14:paraId="051BBBBC" w14:textId="5DCAD44E" w:rsidR="00B56D50" w:rsidRDefault="001C3C42">
            <w:pPr>
              <w:spacing w:after="0" w:line="259" w:lineRule="auto"/>
              <w:ind w:left="0" w:right="0" w:firstLine="0"/>
            </w:pPr>
            <w:r>
              <w:rPr>
                <w:sz w:val="18"/>
              </w:rPr>
              <w:t xml:space="preserve">1684 </w:t>
            </w:r>
            <w:r w:rsidR="00AC4BEA" w:rsidRPr="00AC4BEA">
              <w:rPr>
                <w:b/>
                <w:bCs/>
                <w:sz w:val="18"/>
                <w:vertAlign w:val="superscript"/>
              </w:rPr>
              <w:t>8</w:t>
            </w:r>
          </w:p>
        </w:tc>
        <w:tc>
          <w:tcPr>
            <w:tcW w:w="720" w:type="dxa"/>
            <w:tcBorders>
              <w:top w:val="single" w:sz="4" w:space="0" w:color="000000"/>
              <w:left w:val="single" w:sz="12" w:space="0" w:color="000000"/>
              <w:bottom w:val="single" w:sz="4" w:space="0" w:color="000000"/>
              <w:right w:val="single" w:sz="12" w:space="0" w:color="000000"/>
            </w:tcBorders>
          </w:tcPr>
          <w:p w14:paraId="13FDC017" w14:textId="3370E65F" w:rsidR="00B56D50" w:rsidRDefault="001C3C42">
            <w:pPr>
              <w:spacing w:after="0" w:line="259" w:lineRule="auto"/>
              <w:ind w:left="0" w:right="0" w:firstLine="0"/>
            </w:pPr>
            <w:r>
              <w:rPr>
                <w:sz w:val="18"/>
              </w:rPr>
              <w:t>160.4</w:t>
            </w:r>
            <w:r w:rsidR="00107B55">
              <w:rPr>
                <w:sz w:val="18"/>
              </w:rPr>
              <w:t xml:space="preserve"> </w:t>
            </w:r>
            <w:r w:rsidR="00164518" w:rsidRPr="00107B55">
              <w:rPr>
                <w:b/>
                <w:bCs/>
                <w:sz w:val="18"/>
                <w:vertAlign w:val="superscript"/>
              </w:rPr>
              <w:t>8</w:t>
            </w:r>
            <w:r>
              <w:rPr>
                <w:sz w:val="18"/>
              </w:rPr>
              <w:t xml:space="preserve"> </w:t>
            </w:r>
          </w:p>
        </w:tc>
        <w:tc>
          <w:tcPr>
            <w:tcW w:w="552" w:type="dxa"/>
            <w:tcBorders>
              <w:top w:val="single" w:sz="4" w:space="0" w:color="000000"/>
              <w:left w:val="single" w:sz="12" w:space="0" w:color="000000"/>
              <w:bottom w:val="single" w:sz="4" w:space="0" w:color="000000"/>
              <w:right w:val="single" w:sz="12" w:space="0" w:color="000000"/>
            </w:tcBorders>
          </w:tcPr>
          <w:p w14:paraId="08BEECF4" w14:textId="77777777" w:rsidR="00B56D50" w:rsidRDefault="001C3C42">
            <w:pPr>
              <w:spacing w:after="0" w:line="259" w:lineRule="auto"/>
              <w:ind w:left="0" w:right="0" w:firstLine="0"/>
            </w:pPr>
            <w:r>
              <w:rPr>
                <w:sz w:val="18"/>
              </w:rPr>
              <w:t xml:space="preserve"> </w:t>
            </w:r>
          </w:p>
        </w:tc>
        <w:tc>
          <w:tcPr>
            <w:tcW w:w="727" w:type="dxa"/>
            <w:tcBorders>
              <w:top w:val="single" w:sz="4" w:space="0" w:color="000000"/>
              <w:left w:val="single" w:sz="12" w:space="0" w:color="000000"/>
              <w:bottom w:val="single" w:sz="4" w:space="0" w:color="000000"/>
              <w:right w:val="single" w:sz="12" w:space="0" w:color="000000"/>
            </w:tcBorders>
          </w:tcPr>
          <w:p w14:paraId="1F9501C4" w14:textId="77777777" w:rsidR="00B56D50" w:rsidRDefault="001C3C42">
            <w:pPr>
              <w:spacing w:after="0" w:line="259" w:lineRule="auto"/>
              <w:ind w:left="0" w:right="0" w:firstLine="0"/>
            </w:pPr>
            <w:r>
              <w:rPr>
                <w:sz w:val="18"/>
              </w:rPr>
              <w:t xml:space="preserve"> </w:t>
            </w:r>
          </w:p>
        </w:tc>
        <w:tc>
          <w:tcPr>
            <w:tcW w:w="521" w:type="dxa"/>
            <w:tcBorders>
              <w:top w:val="single" w:sz="4" w:space="0" w:color="000000"/>
              <w:left w:val="single" w:sz="12" w:space="0" w:color="000000"/>
              <w:bottom w:val="single" w:sz="4" w:space="0" w:color="000000"/>
              <w:right w:val="single" w:sz="12" w:space="0" w:color="000000"/>
            </w:tcBorders>
          </w:tcPr>
          <w:p w14:paraId="32718DBA" w14:textId="77777777" w:rsidR="00B56D50" w:rsidRDefault="001C3C42">
            <w:pPr>
              <w:spacing w:after="0" w:line="259" w:lineRule="auto"/>
              <w:ind w:left="0" w:right="0" w:firstLine="0"/>
            </w:pPr>
            <w:r>
              <w:rPr>
                <w:sz w:val="18"/>
              </w:rPr>
              <w:t xml:space="preserve"> </w:t>
            </w:r>
          </w:p>
        </w:tc>
      </w:tr>
      <w:tr w:rsidR="00B56D50" w14:paraId="2EF168B9" w14:textId="77777777" w:rsidTr="005A599E">
        <w:trPr>
          <w:trHeight w:val="262"/>
        </w:trPr>
        <w:tc>
          <w:tcPr>
            <w:tcW w:w="3374" w:type="dxa"/>
            <w:tcBorders>
              <w:top w:val="single" w:sz="4" w:space="0" w:color="000000"/>
              <w:left w:val="single" w:sz="12" w:space="0" w:color="000000"/>
              <w:bottom w:val="single" w:sz="12" w:space="0" w:color="000000"/>
              <w:right w:val="single" w:sz="12" w:space="0" w:color="000000"/>
            </w:tcBorders>
          </w:tcPr>
          <w:p w14:paraId="257690A6" w14:textId="77777777" w:rsidR="00B56D50" w:rsidRDefault="001C3C42">
            <w:pPr>
              <w:spacing w:after="0" w:line="259" w:lineRule="auto"/>
              <w:ind w:left="0" w:right="0" w:firstLine="0"/>
            </w:pPr>
            <w:r>
              <w:rPr>
                <w:sz w:val="18"/>
              </w:rPr>
              <w:t xml:space="preserve">Paint Filter Test </w:t>
            </w:r>
          </w:p>
        </w:tc>
        <w:tc>
          <w:tcPr>
            <w:tcW w:w="1001" w:type="dxa"/>
            <w:tcBorders>
              <w:top w:val="single" w:sz="4" w:space="0" w:color="000000"/>
              <w:left w:val="single" w:sz="12" w:space="0" w:color="000000"/>
              <w:bottom w:val="single" w:sz="12" w:space="0" w:color="000000"/>
              <w:right w:val="single" w:sz="12" w:space="0" w:color="000000"/>
            </w:tcBorders>
          </w:tcPr>
          <w:p w14:paraId="5097FB4F" w14:textId="77777777" w:rsidR="00B56D50" w:rsidRDefault="001C3C42">
            <w:pPr>
              <w:spacing w:after="0" w:line="259" w:lineRule="auto"/>
              <w:ind w:left="0" w:right="1" w:firstLine="0"/>
              <w:jc w:val="center"/>
            </w:pPr>
            <w:r>
              <w:rPr>
                <w:sz w:val="18"/>
              </w:rPr>
              <w:t xml:space="preserve">N/A </w:t>
            </w:r>
          </w:p>
        </w:tc>
        <w:tc>
          <w:tcPr>
            <w:tcW w:w="545" w:type="dxa"/>
            <w:tcBorders>
              <w:top w:val="single" w:sz="4" w:space="0" w:color="000000"/>
              <w:left w:val="single" w:sz="12" w:space="0" w:color="000000"/>
              <w:bottom w:val="single" w:sz="12" w:space="0" w:color="000000"/>
              <w:right w:val="single" w:sz="12" w:space="0" w:color="000000"/>
            </w:tcBorders>
          </w:tcPr>
          <w:p w14:paraId="7190D8B8" w14:textId="1CB96F0E" w:rsidR="00B56D50" w:rsidRDefault="001C3C42" w:rsidP="006012D4">
            <w:pPr>
              <w:spacing w:after="0" w:line="259" w:lineRule="auto"/>
              <w:ind w:left="43" w:right="0" w:firstLine="0"/>
              <w:jc w:val="center"/>
            </w:pPr>
            <w:r>
              <w:rPr>
                <w:sz w:val="18"/>
              </w:rPr>
              <w:t>N/A</w:t>
            </w:r>
          </w:p>
        </w:tc>
        <w:tc>
          <w:tcPr>
            <w:tcW w:w="909" w:type="dxa"/>
            <w:tcBorders>
              <w:top w:val="single" w:sz="4" w:space="0" w:color="000000"/>
              <w:left w:val="single" w:sz="12" w:space="0" w:color="000000"/>
              <w:bottom w:val="single" w:sz="12" w:space="0" w:color="000000"/>
              <w:right w:val="single" w:sz="12" w:space="0" w:color="000000"/>
            </w:tcBorders>
          </w:tcPr>
          <w:p w14:paraId="5CD6EE92" w14:textId="77777777" w:rsidR="00B56D50" w:rsidRDefault="001C3C42">
            <w:pPr>
              <w:spacing w:after="0" w:line="259" w:lineRule="auto"/>
              <w:ind w:left="0" w:right="1" w:firstLine="0"/>
              <w:jc w:val="center"/>
            </w:pPr>
            <w:r>
              <w:rPr>
                <w:sz w:val="18"/>
              </w:rPr>
              <w:t xml:space="preserve">N/A </w:t>
            </w:r>
          </w:p>
        </w:tc>
        <w:tc>
          <w:tcPr>
            <w:tcW w:w="635" w:type="dxa"/>
            <w:tcBorders>
              <w:top w:val="single" w:sz="4" w:space="0" w:color="000000"/>
              <w:left w:val="single" w:sz="12" w:space="0" w:color="000000"/>
              <w:bottom w:val="single" w:sz="12" w:space="0" w:color="000000"/>
              <w:right w:val="single" w:sz="12" w:space="0" w:color="000000"/>
            </w:tcBorders>
          </w:tcPr>
          <w:p w14:paraId="3C8B4E40" w14:textId="6D232A0E" w:rsidR="00B56D50" w:rsidRDefault="001C3C42" w:rsidP="006012D4">
            <w:pPr>
              <w:spacing w:after="0" w:line="259" w:lineRule="auto"/>
              <w:ind w:left="89" w:right="0" w:firstLine="0"/>
              <w:jc w:val="center"/>
            </w:pPr>
            <w:r>
              <w:rPr>
                <w:sz w:val="18"/>
              </w:rPr>
              <w:t>N/A</w:t>
            </w:r>
          </w:p>
        </w:tc>
        <w:tc>
          <w:tcPr>
            <w:tcW w:w="819" w:type="dxa"/>
            <w:tcBorders>
              <w:top w:val="single" w:sz="4" w:space="0" w:color="000000"/>
              <w:left w:val="single" w:sz="12" w:space="0" w:color="000000"/>
              <w:bottom w:val="single" w:sz="12" w:space="0" w:color="000000"/>
              <w:right w:val="single" w:sz="12" w:space="0" w:color="000000"/>
            </w:tcBorders>
          </w:tcPr>
          <w:p w14:paraId="4745C6B7" w14:textId="77777777" w:rsidR="00B56D50" w:rsidRDefault="001C3C42">
            <w:pPr>
              <w:spacing w:after="0" w:line="259" w:lineRule="auto"/>
              <w:ind w:left="0" w:right="4" w:firstLine="0"/>
              <w:jc w:val="center"/>
            </w:pPr>
            <w:r>
              <w:rPr>
                <w:sz w:val="18"/>
              </w:rPr>
              <w:t xml:space="preserve">N/A </w:t>
            </w:r>
          </w:p>
        </w:tc>
        <w:tc>
          <w:tcPr>
            <w:tcW w:w="817" w:type="dxa"/>
            <w:tcBorders>
              <w:top w:val="single" w:sz="4" w:space="0" w:color="000000"/>
              <w:left w:val="single" w:sz="12" w:space="0" w:color="000000"/>
              <w:bottom w:val="single" w:sz="12" w:space="0" w:color="000000"/>
              <w:right w:val="single" w:sz="12" w:space="0" w:color="000000"/>
            </w:tcBorders>
          </w:tcPr>
          <w:p w14:paraId="5AE52FAC" w14:textId="55B01682" w:rsidR="00B56D50" w:rsidRDefault="001C3C42">
            <w:pPr>
              <w:spacing w:after="0" w:line="259" w:lineRule="auto"/>
              <w:ind w:left="0" w:right="0" w:firstLine="0"/>
            </w:pPr>
            <w:r>
              <w:rPr>
                <w:sz w:val="18"/>
              </w:rPr>
              <w:t xml:space="preserve">9095 </w:t>
            </w:r>
          </w:p>
        </w:tc>
        <w:tc>
          <w:tcPr>
            <w:tcW w:w="720" w:type="dxa"/>
            <w:tcBorders>
              <w:top w:val="single" w:sz="4" w:space="0" w:color="000000"/>
              <w:left w:val="single" w:sz="12" w:space="0" w:color="000000"/>
              <w:bottom w:val="single" w:sz="12" w:space="0" w:color="000000"/>
              <w:right w:val="single" w:sz="12" w:space="0" w:color="000000"/>
            </w:tcBorders>
          </w:tcPr>
          <w:p w14:paraId="2562C77B" w14:textId="77777777" w:rsidR="00B56D50" w:rsidRDefault="001C3C42">
            <w:pPr>
              <w:spacing w:after="0" w:line="259" w:lineRule="auto"/>
              <w:ind w:left="0" w:right="0" w:firstLine="0"/>
            </w:pPr>
            <w:r>
              <w:rPr>
                <w:sz w:val="18"/>
              </w:rPr>
              <w:t xml:space="preserve"> </w:t>
            </w:r>
          </w:p>
        </w:tc>
        <w:tc>
          <w:tcPr>
            <w:tcW w:w="552" w:type="dxa"/>
            <w:tcBorders>
              <w:top w:val="single" w:sz="4" w:space="0" w:color="000000"/>
              <w:left w:val="single" w:sz="12" w:space="0" w:color="000000"/>
              <w:bottom w:val="single" w:sz="12" w:space="0" w:color="000000"/>
              <w:right w:val="single" w:sz="12" w:space="0" w:color="000000"/>
            </w:tcBorders>
          </w:tcPr>
          <w:p w14:paraId="598B8609" w14:textId="77777777" w:rsidR="00B56D50" w:rsidRDefault="001C3C42">
            <w:pPr>
              <w:spacing w:after="0" w:line="259" w:lineRule="auto"/>
              <w:ind w:left="0" w:right="0" w:firstLine="0"/>
            </w:pPr>
            <w:r>
              <w:rPr>
                <w:sz w:val="18"/>
              </w:rPr>
              <w:t xml:space="preserve"> </w:t>
            </w:r>
          </w:p>
        </w:tc>
        <w:tc>
          <w:tcPr>
            <w:tcW w:w="727" w:type="dxa"/>
            <w:tcBorders>
              <w:top w:val="single" w:sz="4" w:space="0" w:color="000000"/>
              <w:left w:val="single" w:sz="12" w:space="0" w:color="000000"/>
              <w:bottom w:val="single" w:sz="12" w:space="0" w:color="000000"/>
              <w:right w:val="single" w:sz="12" w:space="0" w:color="000000"/>
            </w:tcBorders>
          </w:tcPr>
          <w:p w14:paraId="58A1E4A1" w14:textId="77777777" w:rsidR="00B56D50" w:rsidRDefault="001C3C42">
            <w:pPr>
              <w:spacing w:after="0" w:line="259" w:lineRule="auto"/>
              <w:ind w:left="0" w:right="0" w:firstLine="0"/>
            </w:pPr>
            <w:r>
              <w:rPr>
                <w:sz w:val="18"/>
              </w:rPr>
              <w:t xml:space="preserve"> </w:t>
            </w:r>
          </w:p>
        </w:tc>
        <w:tc>
          <w:tcPr>
            <w:tcW w:w="521" w:type="dxa"/>
            <w:tcBorders>
              <w:top w:val="single" w:sz="4" w:space="0" w:color="000000"/>
              <w:left w:val="single" w:sz="12" w:space="0" w:color="000000"/>
              <w:bottom w:val="single" w:sz="12" w:space="0" w:color="000000"/>
              <w:right w:val="single" w:sz="12" w:space="0" w:color="000000"/>
            </w:tcBorders>
          </w:tcPr>
          <w:p w14:paraId="55CCDAC4" w14:textId="77777777" w:rsidR="00B56D50" w:rsidRDefault="001C3C42">
            <w:pPr>
              <w:spacing w:after="0" w:line="259" w:lineRule="auto"/>
              <w:ind w:left="0" w:right="0" w:firstLine="0"/>
            </w:pPr>
            <w:r>
              <w:rPr>
                <w:sz w:val="18"/>
              </w:rPr>
              <w:t xml:space="preserve"> </w:t>
            </w:r>
          </w:p>
        </w:tc>
      </w:tr>
    </w:tbl>
    <w:p w14:paraId="51332061" w14:textId="1FDE7AEE" w:rsidR="00B56D50" w:rsidRDefault="00B56D50" w:rsidP="008F6F1B">
      <w:pPr>
        <w:spacing w:after="0" w:line="259" w:lineRule="auto"/>
        <w:ind w:left="0" w:right="0" w:firstLine="0"/>
      </w:pPr>
    </w:p>
    <w:p w14:paraId="2516CEE7" w14:textId="77777777" w:rsidR="00673474" w:rsidRDefault="00673474" w:rsidP="008F6F1B">
      <w:pPr>
        <w:spacing w:after="0" w:line="259" w:lineRule="auto"/>
        <w:ind w:left="0" w:right="0" w:firstLine="0"/>
      </w:pPr>
    </w:p>
    <w:p w14:paraId="316E1C41" w14:textId="2299D087" w:rsidR="00B56D50" w:rsidRPr="00D46707" w:rsidRDefault="00A14323" w:rsidP="00F973AB">
      <w:pPr>
        <w:pStyle w:val="Heading5"/>
        <w:spacing w:after="16" w:line="247" w:lineRule="auto"/>
        <w:ind w:right="186"/>
      </w:pPr>
      <w:r w:rsidRPr="00D46707">
        <w:lastRenderedPageBreak/>
        <w:t xml:space="preserve">SW-846 </w:t>
      </w:r>
      <w:r w:rsidR="001C3C42" w:rsidRPr="00D46707">
        <w:t>Volatile Organic Analysis (VOA)</w:t>
      </w:r>
    </w:p>
    <w:p w14:paraId="683EBC7B" w14:textId="46B7EBD7" w:rsidR="00B56D50" w:rsidRPr="00D46707" w:rsidRDefault="00B56D50" w:rsidP="00255261">
      <w:pPr>
        <w:spacing w:after="0" w:line="259" w:lineRule="auto"/>
        <w:ind w:right="0"/>
      </w:pPr>
    </w:p>
    <w:tbl>
      <w:tblPr>
        <w:tblStyle w:val="TableGrid1"/>
        <w:tblW w:w="10620" w:type="dxa"/>
        <w:tblInd w:w="-375" w:type="dxa"/>
        <w:tblCellMar>
          <w:top w:w="8" w:type="dxa"/>
          <w:left w:w="72" w:type="dxa"/>
          <w:right w:w="115" w:type="dxa"/>
        </w:tblCellMar>
        <w:tblLook w:val="04A0" w:firstRow="1" w:lastRow="0" w:firstColumn="1" w:lastColumn="0" w:noHBand="0" w:noVBand="1"/>
      </w:tblPr>
      <w:tblGrid>
        <w:gridCol w:w="1740"/>
        <w:gridCol w:w="2816"/>
        <w:gridCol w:w="2545"/>
        <w:gridCol w:w="3519"/>
      </w:tblGrid>
      <w:tr w:rsidR="002D12AF" w:rsidRPr="005E4951" w14:paraId="3DFC8A02" w14:textId="77777777" w:rsidTr="00B1604E">
        <w:trPr>
          <w:trHeight w:val="321"/>
        </w:trPr>
        <w:tc>
          <w:tcPr>
            <w:tcW w:w="10620" w:type="dxa"/>
            <w:gridSpan w:val="4"/>
            <w:tcBorders>
              <w:top w:val="single" w:sz="12" w:space="0" w:color="000000"/>
              <w:left w:val="single" w:sz="12" w:space="0" w:color="000000"/>
              <w:bottom w:val="single" w:sz="12" w:space="0" w:color="000000"/>
              <w:right w:val="single" w:sz="12" w:space="0" w:color="000000"/>
            </w:tcBorders>
            <w:vAlign w:val="center"/>
          </w:tcPr>
          <w:p w14:paraId="0D602F20" w14:textId="58D50038" w:rsidR="002D12AF" w:rsidRDefault="002D12AF" w:rsidP="00134832">
            <w:pPr>
              <w:spacing w:after="0" w:line="240" w:lineRule="auto"/>
              <w:ind w:left="43" w:right="0" w:firstLine="0"/>
            </w:pPr>
            <w:r>
              <w:rPr>
                <w:b/>
                <w:sz w:val="18"/>
              </w:rPr>
              <w:t>VOA</w:t>
            </w:r>
            <w:proofErr w:type="gramStart"/>
            <w:r>
              <w:rPr>
                <w:b/>
                <w:sz w:val="18"/>
              </w:rPr>
              <w:t>:  Acceptable</w:t>
            </w:r>
            <w:proofErr w:type="gramEnd"/>
            <w:r>
              <w:rPr>
                <w:b/>
                <w:sz w:val="18"/>
              </w:rPr>
              <w:t xml:space="preserve"> Sample Preparation and Introduction Methods</w:t>
            </w:r>
          </w:p>
        </w:tc>
      </w:tr>
      <w:tr w:rsidR="00B56D50" w14:paraId="1802152F" w14:textId="77777777" w:rsidTr="00B1604E">
        <w:trPr>
          <w:trHeight w:val="317"/>
        </w:trPr>
        <w:tc>
          <w:tcPr>
            <w:tcW w:w="1740" w:type="dxa"/>
            <w:tcBorders>
              <w:top w:val="single" w:sz="12" w:space="0" w:color="000000"/>
              <w:left w:val="single" w:sz="12" w:space="0" w:color="000000"/>
              <w:bottom w:val="single" w:sz="12" w:space="0" w:color="000000"/>
              <w:right w:val="single" w:sz="12" w:space="0" w:color="000000"/>
            </w:tcBorders>
            <w:vAlign w:val="center"/>
          </w:tcPr>
          <w:p w14:paraId="1C474F16" w14:textId="0873EC70" w:rsidR="00B56D50" w:rsidRDefault="001C3C42" w:rsidP="00134832">
            <w:pPr>
              <w:spacing w:after="0" w:line="259" w:lineRule="auto"/>
              <w:ind w:left="35" w:right="0" w:firstLine="0"/>
              <w:jc w:val="center"/>
            </w:pPr>
            <w:r>
              <w:rPr>
                <w:b/>
                <w:sz w:val="18"/>
              </w:rPr>
              <w:t>Method No.</w:t>
            </w:r>
          </w:p>
        </w:tc>
        <w:tc>
          <w:tcPr>
            <w:tcW w:w="2816" w:type="dxa"/>
            <w:tcBorders>
              <w:top w:val="single" w:sz="12" w:space="0" w:color="000000"/>
              <w:left w:val="single" w:sz="12" w:space="0" w:color="000000"/>
              <w:bottom w:val="single" w:sz="12" w:space="0" w:color="000000"/>
              <w:right w:val="single" w:sz="12" w:space="0" w:color="000000"/>
            </w:tcBorders>
            <w:vAlign w:val="center"/>
          </w:tcPr>
          <w:p w14:paraId="76B1C918" w14:textId="62422BE0" w:rsidR="00B56D50" w:rsidRDefault="001C3C42" w:rsidP="00134832">
            <w:pPr>
              <w:spacing w:after="0" w:line="259" w:lineRule="auto"/>
              <w:ind w:left="33" w:right="0" w:firstLine="0"/>
              <w:jc w:val="center"/>
            </w:pPr>
            <w:r>
              <w:rPr>
                <w:b/>
                <w:sz w:val="18"/>
              </w:rPr>
              <w:t>Sample Matrix</w:t>
            </w:r>
          </w:p>
        </w:tc>
        <w:tc>
          <w:tcPr>
            <w:tcW w:w="2545" w:type="dxa"/>
            <w:tcBorders>
              <w:top w:val="single" w:sz="12" w:space="0" w:color="000000"/>
              <w:left w:val="single" w:sz="12" w:space="0" w:color="000000"/>
              <w:bottom w:val="single" w:sz="12" w:space="0" w:color="000000"/>
              <w:right w:val="single" w:sz="12" w:space="0" w:color="000000"/>
            </w:tcBorders>
            <w:vAlign w:val="center"/>
          </w:tcPr>
          <w:p w14:paraId="1D7C9036" w14:textId="1F9A0A24" w:rsidR="00B56D50" w:rsidRDefault="001C3C42" w:rsidP="00134832">
            <w:pPr>
              <w:spacing w:after="0" w:line="259" w:lineRule="auto"/>
              <w:ind w:left="38" w:right="0" w:firstLine="0"/>
              <w:jc w:val="center"/>
            </w:pPr>
            <w:r>
              <w:rPr>
                <w:b/>
                <w:sz w:val="18"/>
              </w:rPr>
              <w:t>Procedure</w:t>
            </w:r>
          </w:p>
        </w:tc>
        <w:tc>
          <w:tcPr>
            <w:tcW w:w="3519" w:type="dxa"/>
            <w:tcBorders>
              <w:top w:val="single" w:sz="12" w:space="0" w:color="000000"/>
              <w:left w:val="single" w:sz="12" w:space="0" w:color="000000"/>
              <w:bottom w:val="single" w:sz="12" w:space="0" w:color="000000"/>
              <w:right w:val="single" w:sz="12" w:space="0" w:color="000000"/>
            </w:tcBorders>
            <w:vAlign w:val="center"/>
          </w:tcPr>
          <w:p w14:paraId="4EB53013" w14:textId="7383D1C7" w:rsidR="00B56D50" w:rsidRDefault="001C3C42" w:rsidP="00134832">
            <w:pPr>
              <w:spacing w:after="0" w:line="259" w:lineRule="auto"/>
              <w:ind w:left="36" w:right="0" w:firstLine="0"/>
              <w:jc w:val="center"/>
            </w:pPr>
            <w:r>
              <w:rPr>
                <w:b/>
                <w:sz w:val="18"/>
              </w:rPr>
              <w:t>Comments</w:t>
            </w:r>
          </w:p>
        </w:tc>
      </w:tr>
      <w:tr w:rsidR="00B56D50" w14:paraId="53B338B5" w14:textId="77777777" w:rsidTr="00B1604E">
        <w:trPr>
          <w:trHeight w:val="261"/>
        </w:trPr>
        <w:tc>
          <w:tcPr>
            <w:tcW w:w="1740" w:type="dxa"/>
            <w:tcBorders>
              <w:top w:val="single" w:sz="12" w:space="0" w:color="000000"/>
              <w:left w:val="single" w:sz="12" w:space="0" w:color="000000"/>
              <w:bottom w:val="single" w:sz="2" w:space="0" w:color="000000"/>
              <w:right w:val="single" w:sz="12" w:space="0" w:color="000000"/>
            </w:tcBorders>
          </w:tcPr>
          <w:p w14:paraId="22F35C1B" w14:textId="1D5AB8BD" w:rsidR="00B56D50" w:rsidRDefault="001C3C42" w:rsidP="003D75C9">
            <w:pPr>
              <w:tabs>
                <w:tab w:val="center" w:pos="452"/>
              </w:tabs>
              <w:spacing w:after="0" w:line="259" w:lineRule="auto"/>
              <w:ind w:left="0" w:right="0" w:firstLine="0"/>
              <w:jc w:val="center"/>
            </w:pPr>
            <w:r>
              <w:rPr>
                <w:sz w:val="18"/>
              </w:rPr>
              <w:t>5000</w:t>
            </w:r>
          </w:p>
        </w:tc>
        <w:tc>
          <w:tcPr>
            <w:tcW w:w="2816" w:type="dxa"/>
            <w:tcBorders>
              <w:top w:val="single" w:sz="12" w:space="0" w:color="000000"/>
              <w:left w:val="single" w:sz="12" w:space="0" w:color="000000"/>
              <w:bottom w:val="single" w:sz="4" w:space="0" w:color="000000"/>
              <w:right w:val="single" w:sz="12" w:space="0" w:color="000000"/>
            </w:tcBorders>
          </w:tcPr>
          <w:p w14:paraId="6D213BD7" w14:textId="30955CF2" w:rsidR="00B56D50" w:rsidRDefault="001C3C42" w:rsidP="003D75C9">
            <w:pPr>
              <w:spacing w:after="0" w:line="259" w:lineRule="auto"/>
              <w:ind w:left="108" w:right="0" w:firstLine="0"/>
              <w:jc w:val="center"/>
            </w:pPr>
            <w:r>
              <w:rPr>
                <w:sz w:val="18"/>
              </w:rPr>
              <w:t>All</w:t>
            </w:r>
          </w:p>
        </w:tc>
        <w:tc>
          <w:tcPr>
            <w:tcW w:w="2545" w:type="dxa"/>
            <w:tcBorders>
              <w:top w:val="single" w:sz="12" w:space="0" w:color="000000"/>
              <w:left w:val="single" w:sz="12" w:space="0" w:color="000000"/>
              <w:bottom w:val="single" w:sz="4" w:space="0" w:color="000000"/>
              <w:right w:val="single" w:sz="12" w:space="0" w:color="000000"/>
            </w:tcBorders>
          </w:tcPr>
          <w:p w14:paraId="2F01A49D" w14:textId="512DA911" w:rsidR="00B56D50" w:rsidRDefault="001C3C42" w:rsidP="003D75C9">
            <w:pPr>
              <w:tabs>
                <w:tab w:val="center" w:pos="848"/>
              </w:tabs>
              <w:spacing w:after="0" w:line="259" w:lineRule="auto"/>
              <w:ind w:left="0" w:right="0" w:firstLine="0"/>
              <w:jc w:val="center"/>
            </w:pPr>
            <w:r>
              <w:rPr>
                <w:sz w:val="18"/>
              </w:rPr>
              <w:t>General Guidance</w:t>
            </w:r>
          </w:p>
        </w:tc>
        <w:tc>
          <w:tcPr>
            <w:tcW w:w="3519" w:type="dxa"/>
            <w:tcBorders>
              <w:top w:val="single" w:sz="12" w:space="0" w:color="000000"/>
              <w:left w:val="single" w:sz="12" w:space="0" w:color="000000"/>
              <w:bottom w:val="single" w:sz="4" w:space="0" w:color="000000"/>
              <w:right w:val="single" w:sz="12" w:space="0" w:color="000000"/>
            </w:tcBorders>
          </w:tcPr>
          <w:p w14:paraId="6D14D819" w14:textId="5FBBC2EC" w:rsidR="00B56D50" w:rsidRDefault="001C3C42" w:rsidP="003D75C9">
            <w:pPr>
              <w:spacing w:after="0" w:line="259" w:lineRule="auto"/>
              <w:ind w:left="0" w:right="0" w:firstLine="0"/>
              <w:jc w:val="center"/>
            </w:pPr>
            <w:r>
              <w:rPr>
                <w:b/>
                <w:sz w:val="18"/>
              </w:rPr>
              <w:t xml:space="preserve">Required.  </w:t>
            </w:r>
            <w:proofErr w:type="gramStart"/>
            <w:r>
              <w:rPr>
                <w:sz w:val="18"/>
              </w:rPr>
              <w:t>Analyst</w:t>
            </w:r>
            <w:proofErr w:type="gramEnd"/>
            <w:r>
              <w:rPr>
                <w:sz w:val="18"/>
              </w:rPr>
              <w:t xml:space="preserve"> </w:t>
            </w:r>
            <w:r>
              <w:rPr>
                <w:b/>
                <w:sz w:val="18"/>
              </w:rPr>
              <w:t>must</w:t>
            </w:r>
            <w:r>
              <w:rPr>
                <w:sz w:val="18"/>
              </w:rPr>
              <w:t xml:space="preserve"> be familiar with.</w:t>
            </w:r>
          </w:p>
        </w:tc>
      </w:tr>
      <w:tr w:rsidR="00B56D50" w14:paraId="0056658D" w14:textId="77777777" w:rsidTr="00B1604E">
        <w:trPr>
          <w:trHeight w:val="250"/>
        </w:trPr>
        <w:tc>
          <w:tcPr>
            <w:tcW w:w="1740" w:type="dxa"/>
            <w:tcBorders>
              <w:top w:val="single" w:sz="2" w:space="0" w:color="000000"/>
              <w:left w:val="single" w:sz="12" w:space="0" w:color="000000"/>
              <w:bottom w:val="single" w:sz="2" w:space="0" w:color="000000"/>
              <w:right w:val="single" w:sz="12" w:space="0" w:color="000000"/>
            </w:tcBorders>
          </w:tcPr>
          <w:p w14:paraId="1D935AE3" w14:textId="60EC53FC" w:rsidR="00B56D50" w:rsidRDefault="001C3C42" w:rsidP="003D75C9">
            <w:pPr>
              <w:tabs>
                <w:tab w:val="center" w:pos="452"/>
              </w:tabs>
              <w:spacing w:after="0" w:line="259" w:lineRule="auto"/>
              <w:ind w:left="0" w:right="0" w:firstLine="0"/>
              <w:jc w:val="center"/>
            </w:pPr>
            <w:r>
              <w:rPr>
                <w:sz w:val="18"/>
              </w:rPr>
              <w:t>3585</w:t>
            </w:r>
          </w:p>
        </w:tc>
        <w:tc>
          <w:tcPr>
            <w:tcW w:w="2816" w:type="dxa"/>
            <w:tcBorders>
              <w:top w:val="single" w:sz="4" w:space="0" w:color="000000"/>
              <w:left w:val="single" w:sz="12" w:space="0" w:color="000000"/>
              <w:bottom w:val="single" w:sz="4" w:space="0" w:color="000000"/>
              <w:right w:val="single" w:sz="12" w:space="0" w:color="000000"/>
            </w:tcBorders>
          </w:tcPr>
          <w:p w14:paraId="391275DB" w14:textId="4131B818" w:rsidR="00B56D50" w:rsidRDefault="001C3C42" w:rsidP="003D75C9">
            <w:pPr>
              <w:spacing w:after="0" w:line="259" w:lineRule="auto"/>
              <w:ind w:left="108" w:right="0" w:firstLine="0"/>
              <w:jc w:val="center"/>
            </w:pPr>
            <w:r>
              <w:rPr>
                <w:sz w:val="18"/>
              </w:rPr>
              <w:t>Oily Wastes</w:t>
            </w:r>
          </w:p>
        </w:tc>
        <w:tc>
          <w:tcPr>
            <w:tcW w:w="2545" w:type="dxa"/>
            <w:tcBorders>
              <w:top w:val="single" w:sz="4" w:space="0" w:color="000000"/>
              <w:left w:val="single" w:sz="12" w:space="0" w:color="000000"/>
              <w:bottom w:val="single" w:sz="4" w:space="0" w:color="000000"/>
              <w:right w:val="single" w:sz="12" w:space="0" w:color="000000"/>
            </w:tcBorders>
          </w:tcPr>
          <w:p w14:paraId="14401FAA" w14:textId="0B8D7CC8" w:rsidR="00B56D50" w:rsidRDefault="001C3C42" w:rsidP="003D75C9">
            <w:pPr>
              <w:tabs>
                <w:tab w:val="center" w:pos="795"/>
              </w:tabs>
              <w:spacing w:after="0" w:line="259" w:lineRule="auto"/>
              <w:ind w:left="0" w:right="0" w:firstLine="0"/>
              <w:jc w:val="center"/>
            </w:pPr>
            <w:r>
              <w:rPr>
                <w:sz w:val="18"/>
              </w:rPr>
              <w:t>Solvent Dilution</w:t>
            </w:r>
          </w:p>
        </w:tc>
        <w:tc>
          <w:tcPr>
            <w:tcW w:w="3519" w:type="dxa"/>
            <w:tcBorders>
              <w:top w:val="single" w:sz="4" w:space="0" w:color="000000"/>
              <w:left w:val="single" w:sz="12" w:space="0" w:color="000000"/>
              <w:bottom w:val="single" w:sz="4" w:space="0" w:color="000000"/>
              <w:right w:val="single" w:sz="12" w:space="0" w:color="000000"/>
            </w:tcBorders>
          </w:tcPr>
          <w:p w14:paraId="7B0B6CB5" w14:textId="4DF8CD1D" w:rsidR="00B56D50" w:rsidRDefault="001C3C42" w:rsidP="003D75C9">
            <w:pPr>
              <w:spacing w:after="0" w:line="259" w:lineRule="auto"/>
              <w:ind w:left="0" w:right="0" w:firstLine="0"/>
              <w:jc w:val="center"/>
            </w:pPr>
            <w:r>
              <w:rPr>
                <w:sz w:val="18"/>
              </w:rPr>
              <w:t>Introduction to GC by direct injection</w:t>
            </w:r>
          </w:p>
        </w:tc>
      </w:tr>
      <w:tr w:rsidR="00B56D50" w14:paraId="215DD6B8" w14:textId="77777777" w:rsidTr="00B1604E">
        <w:trPr>
          <w:trHeight w:val="250"/>
        </w:trPr>
        <w:tc>
          <w:tcPr>
            <w:tcW w:w="1740" w:type="dxa"/>
            <w:tcBorders>
              <w:top w:val="single" w:sz="2" w:space="0" w:color="000000"/>
              <w:left w:val="single" w:sz="12" w:space="0" w:color="000000"/>
              <w:bottom w:val="single" w:sz="4" w:space="0" w:color="000000"/>
              <w:right w:val="single" w:sz="12" w:space="0" w:color="000000"/>
            </w:tcBorders>
          </w:tcPr>
          <w:p w14:paraId="0D828733" w14:textId="02024039" w:rsidR="00B56D50" w:rsidRDefault="001C3C42" w:rsidP="003D75C9">
            <w:pPr>
              <w:tabs>
                <w:tab w:val="center" w:pos="452"/>
              </w:tabs>
              <w:spacing w:after="0" w:line="259" w:lineRule="auto"/>
              <w:ind w:left="0" w:right="0" w:firstLine="0"/>
              <w:jc w:val="center"/>
            </w:pPr>
            <w:r>
              <w:rPr>
                <w:sz w:val="18"/>
              </w:rPr>
              <w:t>5021</w:t>
            </w:r>
          </w:p>
        </w:tc>
        <w:tc>
          <w:tcPr>
            <w:tcW w:w="2816" w:type="dxa"/>
            <w:tcBorders>
              <w:top w:val="single" w:sz="4" w:space="0" w:color="000000"/>
              <w:left w:val="single" w:sz="12" w:space="0" w:color="000000"/>
              <w:bottom w:val="single" w:sz="4" w:space="0" w:color="000000"/>
              <w:right w:val="single" w:sz="12" w:space="0" w:color="000000"/>
            </w:tcBorders>
          </w:tcPr>
          <w:p w14:paraId="6389731D" w14:textId="5CE19DD0" w:rsidR="00B56D50" w:rsidRDefault="001C3C42" w:rsidP="003D75C9">
            <w:pPr>
              <w:spacing w:after="0" w:line="259" w:lineRule="auto"/>
              <w:ind w:left="108" w:right="0" w:firstLine="0"/>
              <w:jc w:val="center"/>
            </w:pPr>
            <w:r>
              <w:rPr>
                <w:sz w:val="18"/>
              </w:rPr>
              <w:t>Soils, Sediments, Solid Waste</w:t>
            </w:r>
          </w:p>
        </w:tc>
        <w:tc>
          <w:tcPr>
            <w:tcW w:w="2545" w:type="dxa"/>
            <w:tcBorders>
              <w:top w:val="single" w:sz="4" w:space="0" w:color="000000"/>
              <w:left w:val="single" w:sz="12" w:space="0" w:color="000000"/>
              <w:bottom w:val="single" w:sz="4" w:space="0" w:color="000000"/>
              <w:right w:val="single" w:sz="12" w:space="0" w:color="000000"/>
            </w:tcBorders>
          </w:tcPr>
          <w:p w14:paraId="2B120199" w14:textId="23611D0A" w:rsidR="00B56D50" w:rsidRDefault="001C3C42" w:rsidP="003D75C9">
            <w:pPr>
              <w:tabs>
                <w:tab w:val="center" w:pos="1008"/>
              </w:tabs>
              <w:spacing w:after="0" w:line="259" w:lineRule="auto"/>
              <w:ind w:left="0" w:right="0" w:firstLine="0"/>
              <w:jc w:val="center"/>
            </w:pPr>
            <w:r>
              <w:rPr>
                <w:sz w:val="18"/>
              </w:rPr>
              <w:t>Automated Headspace</w:t>
            </w:r>
          </w:p>
        </w:tc>
        <w:tc>
          <w:tcPr>
            <w:tcW w:w="3519" w:type="dxa"/>
            <w:tcBorders>
              <w:top w:val="single" w:sz="4" w:space="0" w:color="000000"/>
              <w:left w:val="single" w:sz="12" w:space="0" w:color="000000"/>
              <w:bottom w:val="single" w:sz="4" w:space="0" w:color="000000"/>
              <w:right w:val="single" w:sz="12" w:space="0" w:color="000000"/>
            </w:tcBorders>
          </w:tcPr>
          <w:p w14:paraId="6CD4235F" w14:textId="5FA3DFC6" w:rsidR="00B56D50" w:rsidRDefault="001C3C42" w:rsidP="003D75C9">
            <w:pPr>
              <w:spacing w:after="0" w:line="259" w:lineRule="auto"/>
              <w:ind w:left="41" w:right="0" w:firstLine="0"/>
              <w:jc w:val="center"/>
            </w:pPr>
            <w:r>
              <w:rPr>
                <w:sz w:val="18"/>
              </w:rPr>
              <w:t>---</w:t>
            </w:r>
          </w:p>
        </w:tc>
      </w:tr>
      <w:tr w:rsidR="00B56D50" w14:paraId="6B1BD4A1" w14:textId="77777777" w:rsidTr="00B1604E">
        <w:trPr>
          <w:trHeight w:val="250"/>
        </w:trPr>
        <w:tc>
          <w:tcPr>
            <w:tcW w:w="1740" w:type="dxa"/>
            <w:tcBorders>
              <w:top w:val="single" w:sz="4" w:space="0" w:color="000000"/>
              <w:left w:val="single" w:sz="12" w:space="0" w:color="000000"/>
              <w:bottom w:val="single" w:sz="4" w:space="0" w:color="000000"/>
              <w:right w:val="single" w:sz="12" w:space="0" w:color="000000"/>
            </w:tcBorders>
          </w:tcPr>
          <w:p w14:paraId="28031734" w14:textId="173FD486" w:rsidR="00B56D50" w:rsidRDefault="001C3C42" w:rsidP="003D75C9">
            <w:pPr>
              <w:tabs>
                <w:tab w:val="center" w:pos="512"/>
              </w:tabs>
              <w:spacing w:after="0" w:line="259" w:lineRule="auto"/>
              <w:ind w:left="0" w:right="0" w:firstLine="0"/>
              <w:jc w:val="center"/>
            </w:pPr>
            <w:r>
              <w:rPr>
                <w:sz w:val="18"/>
              </w:rPr>
              <w:t>5030</w:t>
            </w:r>
          </w:p>
        </w:tc>
        <w:tc>
          <w:tcPr>
            <w:tcW w:w="2816" w:type="dxa"/>
            <w:tcBorders>
              <w:top w:val="single" w:sz="4" w:space="0" w:color="000000"/>
              <w:left w:val="single" w:sz="12" w:space="0" w:color="000000"/>
              <w:bottom w:val="single" w:sz="4" w:space="0" w:color="000000"/>
              <w:right w:val="single" w:sz="12" w:space="0" w:color="000000"/>
            </w:tcBorders>
          </w:tcPr>
          <w:p w14:paraId="199DEEE0" w14:textId="2CCC9249" w:rsidR="00B56D50" w:rsidRDefault="001C3C42" w:rsidP="003D75C9">
            <w:pPr>
              <w:spacing w:after="0" w:line="259" w:lineRule="auto"/>
              <w:ind w:left="108" w:right="0" w:firstLine="0"/>
              <w:jc w:val="center"/>
            </w:pPr>
            <w:r>
              <w:rPr>
                <w:sz w:val="18"/>
              </w:rPr>
              <w:t>Aqueous</w:t>
            </w:r>
          </w:p>
        </w:tc>
        <w:tc>
          <w:tcPr>
            <w:tcW w:w="2545" w:type="dxa"/>
            <w:tcBorders>
              <w:top w:val="single" w:sz="4" w:space="0" w:color="000000"/>
              <w:left w:val="single" w:sz="12" w:space="0" w:color="000000"/>
              <w:bottom w:val="single" w:sz="4" w:space="0" w:color="000000"/>
              <w:right w:val="single" w:sz="12" w:space="0" w:color="000000"/>
            </w:tcBorders>
          </w:tcPr>
          <w:p w14:paraId="5AE1B7B4" w14:textId="1C4EE8AB" w:rsidR="00B56D50" w:rsidRDefault="001C3C42" w:rsidP="003D75C9">
            <w:pPr>
              <w:tabs>
                <w:tab w:val="center" w:pos="766"/>
              </w:tabs>
              <w:spacing w:after="0" w:line="259" w:lineRule="auto"/>
              <w:ind w:left="0" w:right="0" w:firstLine="0"/>
              <w:jc w:val="center"/>
            </w:pPr>
            <w:r>
              <w:rPr>
                <w:sz w:val="18"/>
              </w:rPr>
              <w:t>Purge-and-Trap</w:t>
            </w:r>
          </w:p>
        </w:tc>
        <w:tc>
          <w:tcPr>
            <w:tcW w:w="3519" w:type="dxa"/>
            <w:tcBorders>
              <w:top w:val="single" w:sz="4" w:space="0" w:color="000000"/>
              <w:left w:val="single" w:sz="12" w:space="0" w:color="000000"/>
              <w:bottom w:val="single" w:sz="4" w:space="0" w:color="000000"/>
              <w:right w:val="single" w:sz="12" w:space="0" w:color="000000"/>
            </w:tcBorders>
          </w:tcPr>
          <w:p w14:paraId="2051544D" w14:textId="1A409934" w:rsidR="00B56D50" w:rsidRDefault="001C3C42" w:rsidP="003D75C9">
            <w:pPr>
              <w:spacing w:after="0" w:line="259" w:lineRule="auto"/>
              <w:ind w:left="41" w:right="0" w:firstLine="0"/>
              <w:jc w:val="center"/>
            </w:pPr>
            <w:r>
              <w:rPr>
                <w:sz w:val="18"/>
              </w:rPr>
              <w:t>---</w:t>
            </w:r>
          </w:p>
        </w:tc>
      </w:tr>
      <w:tr w:rsidR="00B56D50" w14:paraId="042408EE" w14:textId="77777777" w:rsidTr="00B1604E">
        <w:trPr>
          <w:trHeight w:val="425"/>
        </w:trPr>
        <w:tc>
          <w:tcPr>
            <w:tcW w:w="1740" w:type="dxa"/>
            <w:tcBorders>
              <w:top w:val="single" w:sz="4" w:space="0" w:color="000000"/>
              <w:left w:val="single" w:sz="12" w:space="0" w:color="000000"/>
              <w:bottom w:val="single" w:sz="4" w:space="0" w:color="000000"/>
              <w:right w:val="single" w:sz="12" w:space="0" w:color="000000"/>
            </w:tcBorders>
          </w:tcPr>
          <w:p w14:paraId="25B90958" w14:textId="64BC591E" w:rsidR="00B56D50" w:rsidRDefault="001C3C42" w:rsidP="003D75C9">
            <w:pPr>
              <w:tabs>
                <w:tab w:val="center" w:pos="452"/>
              </w:tabs>
              <w:spacing w:after="0" w:line="259" w:lineRule="auto"/>
              <w:ind w:left="0" w:right="0" w:firstLine="0"/>
              <w:jc w:val="center"/>
            </w:pPr>
            <w:r>
              <w:rPr>
                <w:sz w:val="18"/>
              </w:rPr>
              <w:t>5031</w:t>
            </w:r>
          </w:p>
        </w:tc>
        <w:tc>
          <w:tcPr>
            <w:tcW w:w="2816" w:type="dxa"/>
            <w:tcBorders>
              <w:top w:val="single" w:sz="4" w:space="0" w:color="000000"/>
              <w:left w:val="single" w:sz="12" w:space="0" w:color="000000"/>
              <w:bottom w:val="single" w:sz="4" w:space="0" w:color="000000"/>
              <w:right w:val="single" w:sz="12" w:space="0" w:color="000000"/>
            </w:tcBorders>
          </w:tcPr>
          <w:p w14:paraId="46A83B54" w14:textId="3B421265" w:rsidR="00B56D50" w:rsidRDefault="001C3C42" w:rsidP="003D75C9">
            <w:pPr>
              <w:spacing w:after="0" w:line="259" w:lineRule="auto"/>
              <w:ind w:left="108" w:right="0" w:firstLine="0"/>
              <w:jc w:val="center"/>
            </w:pPr>
            <w:r>
              <w:rPr>
                <w:sz w:val="18"/>
              </w:rPr>
              <w:t>All</w:t>
            </w:r>
          </w:p>
        </w:tc>
        <w:tc>
          <w:tcPr>
            <w:tcW w:w="2545" w:type="dxa"/>
            <w:tcBorders>
              <w:top w:val="single" w:sz="4" w:space="0" w:color="000000"/>
              <w:left w:val="single" w:sz="12" w:space="0" w:color="000000"/>
              <w:bottom w:val="single" w:sz="4" w:space="0" w:color="000000"/>
              <w:right w:val="single" w:sz="12" w:space="0" w:color="000000"/>
            </w:tcBorders>
          </w:tcPr>
          <w:p w14:paraId="3EF8CE7F" w14:textId="5490C719" w:rsidR="00B56D50" w:rsidRDefault="001C3C42" w:rsidP="003D75C9">
            <w:pPr>
              <w:tabs>
                <w:tab w:val="center" w:pos="1024"/>
              </w:tabs>
              <w:spacing w:after="0" w:line="259" w:lineRule="auto"/>
              <w:ind w:left="0" w:right="0" w:firstLine="0"/>
              <w:jc w:val="center"/>
            </w:pPr>
            <w:r>
              <w:rPr>
                <w:sz w:val="18"/>
              </w:rPr>
              <w:t>Azeotropic Distillation</w:t>
            </w:r>
          </w:p>
        </w:tc>
        <w:tc>
          <w:tcPr>
            <w:tcW w:w="3519" w:type="dxa"/>
            <w:tcBorders>
              <w:top w:val="single" w:sz="4" w:space="0" w:color="000000"/>
              <w:left w:val="single" w:sz="12" w:space="0" w:color="000000"/>
              <w:bottom w:val="single" w:sz="4" w:space="0" w:color="000000"/>
              <w:right w:val="single" w:sz="12" w:space="0" w:color="000000"/>
            </w:tcBorders>
          </w:tcPr>
          <w:p w14:paraId="6A16B4D4" w14:textId="5132F9CD" w:rsidR="00B56D50" w:rsidRDefault="001C3C42" w:rsidP="003D75C9">
            <w:pPr>
              <w:spacing w:after="0" w:line="259" w:lineRule="auto"/>
              <w:ind w:left="0" w:right="0" w:firstLine="0"/>
              <w:jc w:val="center"/>
            </w:pPr>
            <w:r>
              <w:rPr>
                <w:sz w:val="18"/>
              </w:rPr>
              <w:t xml:space="preserve">Alternative sample introduction technique for water-soluble “poor </w:t>
            </w:r>
            <w:proofErr w:type="spellStart"/>
            <w:r>
              <w:rPr>
                <w:sz w:val="18"/>
              </w:rPr>
              <w:t>purgers</w:t>
            </w:r>
            <w:proofErr w:type="spellEnd"/>
            <w:r>
              <w:rPr>
                <w:sz w:val="18"/>
              </w:rPr>
              <w:t>”</w:t>
            </w:r>
          </w:p>
        </w:tc>
      </w:tr>
      <w:tr w:rsidR="00B56D50" w14:paraId="75904CD2" w14:textId="77777777" w:rsidTr="00B1604E">
        <w:trPr>
          <w:trHeight w:val="250"/>
        </w:trPr>
        <w:tc>
          <w:tcPr>
            <w:tcW w:w="1740" w:type="dxa"/>
            <w:tcBorders>
              <w:top w:val="single" w:sz="4" w:space="0" w:color="000000"/>
              <w:left w:val="single" w:sz="12" w:space="0" w:color="000000"/>
              <w:bottom w:val="single" w:sz="4" w:space="0" w:color="000000"/>
              <w:right w:val="single" w:sz="12" w:space="0" w:color="000000"/>
            </w:tcBorders>
          </w:tcPr>
          <w:p w14:paraId="757732C1" w14:textId="1350387A" w:rsidR="00B56D50" w:rsidRDefault="001C3C42" w:rsidP="003D75C9">
            <w:pPr>
              <w:tabs>
                <w:tab w:val="center" w:pos="452"/>
              </w:tabs>
              <w:spacing w:after="0" w:line="259" w:lineRule="auto"/>
              <w:ind w:left="0" w:right="0" w:firstLine="0"/>
              <w:jc w:val="center"/>
            </w:pPr>
            <w:r>
              <w:rPr>
                <w:sz w:val="18"/>
              </w:rPr>
              <w:t>5032</w:t>
            </w:r>
          </w:p>
        </w:tc>
        <w:tc>
          <w:tcPr>
            <w:tcW w:w="2816" w:type="dxa"/>
            <w:tcBorders>
              <w:top w:val="single" w:sz="4" w:space="0" w:color="000000"/>
              <w:left w:val="single" w:sz="12" w:space="0" w:color="000000"/>
              <w:bottom w:val="single" w:sz="4" w:space="0" w:color="000000"/>
              <w:right w:val="single" w:sz="12" w:space="0" w:color="000000"/>
            </w:tcBorders>
          </w:tcPr>
          <w:p w14:paraId="78E2FAF7" w14:textId="2BA600A5" w:rsidR="00B56D50" w:rsidRDefault="001C3C42" w:rsidP="003D75C9">
            <w:pPr>
              <w:spacing w:after="0" w:line="259" w:lineRule="auto"/>
              <w:ind w:left="108" w:right="0" w:firstLine="0"/>
              <w:jc w:val="center"/>
            </w:pPr>
            <w:r>
              <w:rPr>
                <w:sz w:val="18"/>
              </w:rPr>
              <w:t>Biota, Tissue, Oils</w:t>
            </w:r>
          </w:p>
        </w:tc>
        <w:tc>
          <w:tcPr>
            <w:tcW w:w="2545" w:type="dxa"/>
            <w:tcBorders>
              <w:top w:val="single" w:sz="4" w:space="0" w:color="000000"/>
              <w:left w:val="single" w:sz="12" w:space="0" w:color="000000"/>
              <w:bottom w:val="single" w:sz="4" w:space="0" w:color="000000"/>
              <w:right w:val="single" w:sz="12" w:space="0" w:color="000000"/>
            </w:tcBorders>
          </w:tcPr>
          <w:p w14:paraId="36C2C274" w14:textId="5CCB8A6A" w:rsidR="00B56D50" w:rsidRDefault="001C3C42" w:rsidP="003D75C9">
            <w:pPr>
              <w:tabs>
                <w:tab w:val="center" w:pos="929"/>
              </w:tabs>
              <w:spacing w:after="0" w:line="259" w:lineRule="auto"/>
              <w:ind w:left="0" w:right="0" w:firstLine="0"/>
              <w:jc w:val="center"/>
            </w:pPr>
            <w:r>
              <w:rPr>
                <w:sz w:val="18"/>
              </w:rPr>
              <w:t>Vacuum Distillation</w:t>
            </w:r>
          </w:p>
        </w:tc>
        <w:tc>
          <w:tcPr>
            <w:tcW w:w="3519" w:type="dxa"/>
            <w:tcBorders>
              <w:top w:val="single" w:sz="4" w:space="0" w:color="000000"/>
              <w:left w:val="single" w:sz="12" w:space="0" w:color="000000"/>
              <w:bottom w:val="single" w:sz="4" w:space="0" w:color="000000"/>
              <w:right w:val="single" w:sz="12" w:space="0" w:color="000000"/>
            </w:tcBorders>
          </w:tcPr>
          <w:p w14:paraId="68AAA532" w14:textId="0789FE1F" w:rsidR="00B56D50" w:rsidRDefault="001C3C42" w:rsidP="003D75C9">
            <w:pPr>
              <w:spacing w:after="0" w:line="259" w:lineRule="auto"/>
              <w:ind w:left="41" w:right="0" w:firstLine="0"/>
              <w:jc w:val="center"/>
            </w:pPr>
            <w:r>
              <w:rPr>
                <w:sz w:val="18"/>
              </w:rPr>
              <w:t>---</w:t>
            </w:r>
          </w:p>
        </w:tc>
      </w:tr>
      <w:tr w:rsidR="00B56D50" w14:paraId="78E5EB5C" w14:textId="77777777" w:rsidTr="00B1604E">
        <w:trPr>
          <w:trHeight w:val="425"/>
        </w:trPr>
        <w:tc>
          <w:tcPr>
            <w:tcW w:w="1740" w:type="dxa"/>
            <w:tcBorders>
              <w:top w:val="single" w:sz="4" w:space="0" w:color="000000"/>
              <w:left w:val="single" w:sz="12" w:space="0" w:color="000000"/>
              <w:bottom w:val="single" w:sz="4" w:space="0" w:color="000000"/>
              <w:right w:val="single" w:sz="12" w:space="0" w:color="000000"/>
            </w:tcBorders>
          </w:tcPr>
          <w:p w14:paraId="3BE01671" w14:textId="3FBEF1A3" w:rsidR="00B56D50" w:rsidRDefault="001C3C42" w:rsidP="003D75C9">
            <w:pPr>
              <w:spacing w:after="0" w:line="259" w:lineRule="auto"/>
              <w:ind w:left="47" w:right="0" w:firstLine="0"/>
              <w:jc w:val="center"/>
            </w:pPr>
            <w:r>
              <w:rPr>
                <w:sz w:val="18"/>
              </w:rPr>
              <w:t>5035</w:t>
            </w:r>
            <w:r w:rsidR="00CF5085">
              <w:rPr>
                <w:sz w:val="18"/>
              </w:rPr>
              <w:t>A</w:t>
            </w:r>
          </w:p>
        </w:tc>
        <w:tc>
          <w:tcPr>
            <w:tcW w:w="2816" w:type="dxa"/>
            <w:tcBorders>
              <w:top w:val="single" w:sz="4" w:space="0" w:color="000000"/>
              <w:left w:val="single" w:sz="12" w:space="0" w:color="000000"/>
              <w:bottom w:val="single" w:sz="4" w:space="0" w:color="000000"/>
              <w:right w:val="single" w:sz="12" w:space="0" w:color="000000"/>
            </w:tcBorders>
          </w:tcPr>
          <w:p w14:paraId="1EC9B429" w14:textId="53E6972B" w:rsidR="00B56D50" w:rsidRDefault="001C3C42" w:rsidP="003D75C9">
            <w:pPr>
              <w:spacing w:after="0" w:line="259" w:lineRule="auto"/>
              <w:ind w:left="108" w:right="0" w:firstLine="0"/>
              <w:jc w:val="center"/>
            </w:pPr>
            <w:r>
              <w:rPr>
                <w:sz w:val="18"/>
              </w:rPr>
              <w:t>Soils, Sediments, Solid Waste</w:t>
            </w:r>
          </w:p>
        </w:tc>
        <w:tc>
          <w:tcPr>
            <w:tcW w:w="2545" w:type="dxa"/>
            <w:tcBorders>
              <w:top w:val="single" w:sz="4" w:space="0" w:color="000000"/>
              <w:left w:val="single" w:sz="12" w:space="0" w:color="000000"/>
              <w:bottom w:val="single" w:sz="4" w:space="0" w:color="000000"/>
              <w:right w:val="single" w:sz="12" w:space="0" w:color="000000"/>
            </w:tcBorders>
          </w:tcPr>
          <w:p w14:paraId="3B114AD5" w14:textId="50423765" w:rsidR="00B56D50" w:rsidRDefault="001C3C42" w:rsidP="003D75C9">
            <w:pPr>
              <w:spacing w:after="0" w:line="259" w:lineRule="auto"/>
              <w:ind w:left="197" w:right="0" w:firstLine="0"/>
              <w:jc w:val="center"/>
            </w:pPr>
            <w:r>
              <w:rPr>
                <w:sz w:val="18"/>
              </w:rPr>
              <w:t>Closed System Purge-and Trap (Modified)</w:t>
            </w:r>
          </w:p>
        </w:tc>
        <w:tc>
          <w:tcPr>
            <w:tcW w:w="3519" w:type="dxa"/>
            <w:tcBorders>
              <w:top w:val="single" w:sz="4" w:space="0" w:color="000000"/>
              <w:left w:val="single" w:sz="12" w:space="0" w:color="000000"/>
              <w:bottom w:val="single" w:sz="4" w:space="0" w:color="000000"/>
              <w:right w:val="single" w:sz="12" w:space="0" w:color="000000"/>
            </w:tcBorders>
          </w:tcPr>
          <w:p w14:paraId="2170A13A" w14:textId="7DEE4179" w:rsidR="00B56D50" w:rsidRDefault="000139B2" w:rsidP="003D75C9">
            <w:pPr>
              <w:spacing w:after="0" w:line="259" w:lineRule="auto"/>
              <w:ind w:left="0" w:right="0" w:firstLine="0"/>
              <w:jc w:val="center"/>
            </w:pPr>
            <w:r>
              <w:rPr>
                <w:sz w:val="18"/>
              </w:rPr>
              <w:t>---</w:t>
            </w:r>
          </w:p>
        </w:tc>
      </w:tr>
      <w:tr w:rsidR="00B56D50" w14:paraId="049920A4" w14:textId="77777777" w:rsidTr="00B1604E">
        <w:trPr>
          <w:trHeight w:val="1052"/>
        </w:trPr>
        <w:tc>
          <w:tcPr>
            <w:tcW w:w="1740" w:type="dxa"/>
            <w:tcBorders>
              <w:top w:val="single" w:sz="4" w:space="0" w:color="000000"/>
              <w:left w:val="single" w:sz="12" w:space="0" w:color="000000"/>
              <w:bottom w:val="single" w:sz="12" w:space="0" w:color="000000"/>
              <w:right w:val="single" w:sz="12" w:space="0" w:color="000000"/>
            </w:tcBorders>
          </w:tcPr>
          <w:p w14:paraId="27831897" w14:textId="1B48CE49" w:rsidR="00B56D50" w:rsidRDefault="001C3C42" w:rsidP="003D75C9">
            <w:pPr>
              <w:spacing w:after="0" w:line="259" w:lineRule="auto"/>
              <w:ind w:left="0" w:right="0" w:firstLine="0"/>
              <w:jc w:val="center"/>
            </w:pPr>
            <w:r w:rsidRPr="005B4D41">
              <w:rPr>
                <w:iCs/>
                <w:sz w:val="18"/>
              </w:rPr>
              <w:t>5035</w:t>
            </w:r>
            <w:r w:rsidR="00CF5085">
              <w:rPr>
                <w:iCs/>
                <w:sz w:val="18"/>
              </w:rPr>
              <w:t>A</w:t>
            </w:r>
          </w:p>
        </w:tc>
        <w:tc>
          <w:tcPr>
            <w:tcW w:w="2816" w:type="dxa"/>
            <w:tcBorders>
              <w:top w:val="single" w:sz="4" w:space="0" w:color="000000"/>
              <w:left w:val="single" w:sz="12" w:space="0" w:color="000000"/>
              <w:bottom w:val="single" w:sz="12" w:space="0" w:color="000000"/>
              <w:right w:val="single" w:sz="12" w:space="0" w:color="000000"/>
            </w:tcBorders>
          </w:tcPr>
          <w:p w14:paraId="6B532F8C" w14:textId="1753F150" w:rsidR="00B56D50" w:rsidRDefault="001C3C42" w:rsidP="003D75C9">
            <w:pPr>
              <w:spacing w:after="0" w:line="259" w:lineRule="auto"/>
              <w:ind w:left="108" w:right="0" w:firstLine="0"/>
              <w:jc w:val="center"/>
            </w:pPr>
            <w:r>
              <w:rPr>
                <w:sz w:val="18"/>
              </w:rPr>
              <w:t>Soils, Sediments, Solid Waste</w:t>
            </w:r>
          </w:p>
        </w:tc>
        <w:tc>
          <w:tcPr>
            <w:tcW w:w="2545" w:type="dxa"/>
            <w:tcBorders>
              <w:top w:val="single" w:sz="4" w:space="0" w:color="000000"/>
              <w:left w:val="single" w:sz="12" w:space="0" w:color="000000"/>
              <w:bottom w:val="single" w:sz="12" w:space="0" w:color="000000"/>
              <w:right w:val="single" w:sz="12" w:space="0" w:color="000000"/>
            </w:tcBorders>
          </w:tcPr>
          <w:p w14:paraId="7153EDC4" w14:textId="0A5D58D1" w:rsidR="00B56D50" w:rsidRDefault="001C3C42" w:rsidP="003D75C9">
            <w:pPr>
              <w:spacing w:after="0" w:line="259" w:lineRule="auto"/>
              <w:ind w:left="197" w:right="0" w:firstLine="0"/>
              <w:jc w:val="center"/>
            </w:pPr>
            <w:r>
              <w:rPr>
                <w:sz w:val="18"/>
              </w:rPr>
              <w:t>Heated Purge-and-Trap</w:t>
            </w:r>
          </w:p>
        </w:tc>
        <w:tc>
          <w:tcPr>
            <w:tcW w:w="3519" w:type="dxa"/>
            <w:tcBorders>
              <w:top w:val="single" w:sz="4" w:space="0" w:color="000000"/>
              <w:left w:val="single" w:sz="12" w:space="0" w:color="000000"/>
              <w:bottom w:val="single" w:sz="12" w:space="0" w:color="000000"/>
              <w:right w:val="single" w:sz="12" w:space="0" w:color="000000"/>
            </w:tcBorders>
          </w:tcPr>
          <w:p w14:paraId="3BD56539" w14:textId="3A24F9BB" w:rsidR="00B56D50" w:rsidRDefault="001C3C42" w:rsidP="003D75C9">
            <w:pPr>
              <w:spacing w:after="0" w:line="259" w:lineRule="auto"/>
              <w:ind w:left="0" w:right="141" w:firstLine="0"/>
              <w:jc w:val="center"/>
            </w:pPr>
            <w:r>
              <w:rPr>
                <w:sz w:val="18"/>
              </w:rPr>
              <w:t xml:space="preserve">Solid samples that have not been collected and stored properly for performance </w:t>
            </w:r>
            <w:r w:rsidR="00B47AB8">
              <w:rPr>
                <w:sz w:val="18"/>
              </w:rPr>
              <w:t>of 5021</w:t>
            </w:r>
            <w:r>
              <w:rPr>
                <w:sz w:val="18"/>
              </w:rPr>
              <w:t xml:space="preserve"> should be analyzed using the soil procedure in Method 5030A in SW-846 Final Update I, July 1992.</w:t>
            </w:r>
          </w:p>
        </w:tc>
      </w:tr>
    </w:tbl>
    <w:p w14:paraId="07180B9E" w14:textId="4B9CDA2C" w:rsidR="00B56D50" w:rsidRDefault="00B56D50">
      <w:pPr>
        <w:spacing w:after="0" w:line="259" w:lineRule="auto"/>
        <w:ind w:left="0" w:right="0" w:firstLine="0"/>
      </w:pPr>
    </w:p>
    <w:tbl>
      <w:tblPr>
        <w:tblStyle w:val="TableGrid1"/>
        <w:tblW w:w="10620" w:type="dxa"/>
        <w:tblInd w:w="-375" w:type="dxa"/>
        <w:tblCellMar>
          <w:top w:w="22" w:type="dxa"/>
          <w:left w:w="72" w:type="dxa"/>
          <w:right w:w="27" w:type="dxa"/>
        </w:tblCellMar>
        <w:tblLook w:val="04A0" w:firstRow="1" w:lastRow="0" w:firstColumn="1" w:lastColumn="0" w:noHBand="0" w:noVBand="1"/>
      </w:tblPr>
      <w:tblGrid>
        <w:gridCol w:w="3256"/>
        <w:gridCol w:w="1082"/>
        <w:gridCol w:w="1001"/>
        <w:gridCol w:w="992"/>
        <w:gridCol w:w="900"/>
        <w:gridCol w:w="1092"/>
        <w:gridCol w:w="1217"/>
        <w:gridCol w:w="1080"/>
      </w:tblGrid>
      <w:tr w:rsidR="00B01CB7" w:rsidRPr="005E4951" w14:paraId="009A6A95" w14:textId="77777777" w:rsidTr="00B1604E">
        <w:trPr>
          <w:trHeight w:val="316"/>
          <w:tblHeader/>
        </w:trPr>
        <w:tc>
          <w:tcPr>
            <w:tcW w:w="10620" w:type="dxa"/>
            <w:gridSpan w:val="8"/>
            <w:tcBorders>
              <w:top w:val="single" w:sz="12" w:space="0" w:color="000000"/>
              <w:left w:val="single" w:sz="12" w:space="0" w:color="000000"/>
              <w:bottom w:val="single" w:sz="12" w:space="0" w:color="000000"/>
              <w:right w:val="single" w:sz="12" w:space="0" w:color="000000"/>
            </w:tcBorders>
            <w:vAlign w:val="center"/>
          </w:tcPr>
          <w:p w14:paraId="093CE7EF" w14:textId="5B2FB807" w:rsidR="00B01CB7" w:rsidRPr="00133F6F" w:rsidRDefault="00B01CB7" w:rsidP="00941281">
            <w:pPr>
              <w:spacing w:after="0" w:line="240" w:lineRule="auto"/>
              <w:ind w:left="0" w:right="0" w:firstLine="0"/>
              <w:rPr>
                <w:sz w:val="18"/>
                <w:szCs w:val="18"/>
              </w:rPr>
            </w:pPr>
            <w:r>
              <w:rPr>
                <w:b/>
                <w:sz w:val="18"/>
              </w:rPr>
              <w:t>VOA – Group A:</w:t>
            </w:r>
            <w:r>
              <w:rPr>
                <w:sz w:val="18"/>
              </w:rPr>
              <w:t xml:space="preserve">  </w:t>
            </w:r>
            <w:r>
              <w:rPr>
                <w:b/>
                <w:sz w:val="18"/>
              </w:rPr>
              <w:t>OLQ Standard Volatiles List</w:t>
            </w:r>
            <w:r w:rsidRPr="00133F6F">
              <w:rPr>
                <w:sz w:val="18"/>
              </w:rPr>
              <w:t xml:space="preserve"> </w:t>
            </w:r>
          </w:p>
        </w:tc>
      </w:tr>
      <w:tr w:rsidR="00B56D50" w14:paraId="12D81C10" w14:textId="77777777" w:rsidTr="00B1604E">
        <w:trPr>
          <w:trHeight w:val="444"/>
          <w:tblHeader/>
        </w:trPr>
        <w:tc>
          <w:tcPr>
            <w:tcW w:w="3256" w:type="dxa"/>
            <w:vMerge w:val="restart"/>
            <w:tcBorders>
              <w:top w:val="single" w:sz="12" w:space="0" w:color="000000"/>
              <w:left w:val="single" w:sz="12" w:space="0" w:color="000000"/>
              <w:right w:val="single" w:sz="12" w:space="0" w:color="000000"/>
            </w:tcBorders>
            <w:vAlign w:val="center"/>
          </w:tcPr>
          <w:p w14:paraId="3EF796CB" w14:textId="0FE3394B" w:rsidR="00B56D50" w:rsidRDefault="001C3C42" w:rsidP="004C6602">
            <w:pPr>
              <w:spacing w:after="0" w:line="259" w:lineRule="auto"/>
              <w:ind w:left="0" w:right="46" w:firstLine="0"/>
              <w:jc w:val="center"/>
            </w:pPr>
            <w:r>
              <w:rPr>
                <w:b/>
                <w:sz w:val="18"/>
              </w:rPr>
              <w:t>Analyte</w:t>
            </w:r>
          </w:p>
        </w:tc>
        <w:tc>
          <w:tcPr>
            <w:tcW w:w="1082" w:type="dxa"/>
            <w:vMerge w:val="restart"/>
            <w:tcBorders>
              <w:top w:val="single" w:sz="12" w:space="0" w:color="000000"/>
              <w:left w:val="single" w:sz="12" w:space="0" w:color="000000"/>
              <w:right w:val="single" w:sz="12" w:space="0" w:color="000000"/>
            </w:tcBorders>
            <w:vAlign w:val="center"/>
          </w:tcPr>
          <w:p w14:paraId="3B60BA39" w14:textId="1B19A5CD" w:rsidR="00B56D50" w:rsidRDefault="001C3C42" w:rsidP="004C6602">
            <w:pPr>
              <w:spacing w:after="0" w:line="259" w:lineRule="auto"/>
              <w:ind w:left="0" w:right="0" w:firstLine="0"/>
              <w:jc w:val="center"/>
            </w:pPr>
            <w:r>
              <w:rPr>
                <w:b/>
                <w:sz w:val="18"/>
              </w:rPr>
              <w:t>CAS Number</w:t>
            </w:r>
          </w:p>
        </w:tc>
        <w:tc>
          <w:tcPr>
            <w:tcW w:w="1993" w:type="dxa"/>
            <w:gridSpan w:val="2"/>
            <w:tcBorders>
              <w:top w:val="single" w:sz="12" w:space="0" w:color="000000"/>
              <w:left w:val="single" w:sz="12" w:space="0" w:color="000000"/>
              <w:bottom w:val="single" w:sz="12" w:space="0" w:color="000000"/>
              <w:right w:val="single" w:sz="12" w:space="0" w:color="000000"/>
            </w:tcBorders>
            <w:vAlign w:val="center"/>
          </w:tcPr>
          <w:p w14:paraId="08D4DECC" w14:textId="41FA5BC0" w:rsidR="00B56D50" w:rsidRDefault="001C3C42" w:rsidP="004C6602">
            <w:pPr>
              <w:spacing w:after="0" w:line="259" w:lineRule="auto"/>
              <w:ind w:left="442" w:right="487" w:firstLine="0"/>
              <w:jc w:val="center"/>
            </w:pPr>
            <w:r>
              <w:rPr>
                <w:b/>
                <w:sz w:val="18"/>
              </w:rPr>
              <w:t xml:space="preserve">Aqueous </w:t>
            </w:r>
            <w:r>
              <w:rPr>
                <w:b/>
                <w:i/>
                <w:sz w:val="18"/>
              </w:rPr>
              <w:t>25 mL purge</w:t>
            </w:r>
          </w:p>
        </w:tc>
        <w:tc>
          <w:tcPr>
            <w:tcW w:w="1992" w:type="dxa"/>
            <w:gridSpan w:val="2"/>
            <w:tcBorders>
              <w:top w:val="single" w:sz="12" w:space="0" w:color="000000"/>
              <w:left w:val="single" w:sz="12" w:space="0" w:color="000000"/>
              <w:bottom w:val="single" w:sz="12" w:space="0" w:color="000000"/>
              <w:right w:val="single" w:sz="12" w:space="0" w:color="000000"/>
            </w:tcBorders>
            <w:vAlign w:val="center"/>
          </w:tcPr>
          <w:p w14:paraId="6973F386" w14:textId="3C9EAA05" w:rsidR="00B56D50" w:rsidRDefault="001C3C42" w:rsidP="004C6602">
            <w:pPr>
              <w:spacing w:after="0" w:line="259" w:lineRule="auto"/>
              <w:ind w:left="166" w:right="180" w:firstLine="0"/>
              <w:jc w:val="center"/>
            </w:pPr>
            <w:r>
              <w:rPr>
                <w:b/>
                <w:sz w:val="18"/>
              </w:rPr>
              <w:t xml:space="preserve">Soil/Sediment </w:t>
            </w:r>
            <w:r>
              <w:rPr>
                <w:sz w:val="18"/>
              </w:rPr>
              <w:t>(low concentration)</w:t>
            </w:r>
          </w:p>
        </w:tc>
        <w:tc>
          <w:tcPr>
            <w:tcW w:w="2297" w:type="dxa"/>
            <w:gridSpan w:val="2"/>
            <w:vMerge w:val="restart"/>
            <w:tcBorders>
              <w:top w:val="single" w:sz="12" w:space="0" w:color="000000"/>
              <w:left w:val="single" w:sz="12" w:space="0" w:color="000000"/>
              <w:right w:val="single" w:sz="12" w:space="0" w:color="000000"/>
            </w:tcBorders>
            <w:vAlign w:val="center"/>
          </w:tcPr>
          <w:p w14:paraId="20525D75" w14:textId="0A09AB83" w:rsidR="00B56D50" w:rsidRDefault="001C3C42" w:rsidP="004C6602">
            <w:pPr>
              <w:spacing w:after="0" w:line="259" w:lineRule="auto"/>
              <w:ind w:left="0" w:right="51" w:firstLine="0"/>
              <w:jc w:val="center"/>
            </w:pPr>
            <w:r>
              <w:rPr>
                <w:b/>
                <w:sz w:val="18"/>
              </w:rPr>
              <w:t>Acceptable Methods</w:t>
            </w:r>
            <w:r w:rsidR="007F2B95">
              <w:rPr>
                <w:b/>
                <w:sz w:val="18"/>
              </w:rPr>
              <w:t xml:space="preserve"> </w:t>
            </w:r>
            <w:r w:rsidR="007F2B95" w:rsidRPr="003851DE">
              <w:rPr>
                <w:b/>
                <w:bCs/>
                <w:sz w:val="18"/>
                <w:vertAlign w:val="superscript"/>
              </w:rPr>
              <w:t>10</w:t>
            </w:r>
          </w:p>
        </w:tc>
      </w:tr>
      <w:tr w:rsidR="00B56D50" w14:paraId="7C212802" w14:textId="77777777" w:rsidTr="00B1604E">
        <w:trPr>
          <w:trHeight w:val="269"/>
          <w:tblHeader/>
        </w:trPr>
        <w:tc>
          <w:tcPr>
            <w:tcW w:w="3256" w:type="dxa"/>
            <w:vMerge/>
            <w:tcBorders>
              <w:left w:val="single" w:sz="12" w:space="0" w:color="000000"/>
              <w:bottom w:val="single" w:sz="12" w:space="0" w:color="000000"/>
              <w:right w:val="single" w:sz="12" w:space="0" w:color="000000"/>
            </w:tcBorders>
            <w:vAlign w:val="center"/>
          </w:tcPr>
          <w:p w14:paraId="07B93B07" w14:textId="6EA70DB1" w:rsidR="00B56D50" w:rsidRDefault="00B56D50" w:rsidP="00017AB4">
            <w:pPr>
              <w:spacing w:after="160" w:line="259" w:lineRule="auto"/>
              <w:ind w:left="0" w:right="0" w:firstLine="0"/>
              <w:jc w:val="center"/>
            </w:pPr>
          </w:p>
        </w:tc>
        <w:tc>
          <w:tcPr>
            <w:tcW w:w="1082" w:type="dxa"/>
            <w:vMerge/>
            <w:tcBorders>
              <w:left w:val="single" w:sz="12" w:space="0" w:color="000000"/>
              <w:bottom w:val="single" w:sz="12" w:space="0" w:color="000000"/>
              <w:right w:val="single" w:sz="12" w:space="0" w:color="000000"/>
            </w:tcBorders>
            <w:vAlign w:val="center"/>
          </w:tcPr>
          <w:p w14:paraId="681A2B45" w14:textId="4A687598" w:rsidR="00B56D50" w:rsidRDefault="00B56D50" w:rsidP="00017AB4">
            <w:pPr>
              <w:spacing w:after="160" w:line="259" w:lineRule="auto"/>
              <w:ind w:left="0" w:right="0" w:firstLine="0"/>
              <w:jc w:val="center"/>
            </w:pPr>
          </w:p>
        </w:tc>
        <w:tc>
          <w:tcPr>
            <w:tcW w:w="1001" w:type="dxa"/>
            <w:tcBorders>
              <w:top w:val="single" w:sz="12" w:space="0" w:color="000000"/>
              <w:left w:val="single" w:sz="12" w:space="0" w:color="000000"/>
              <w:bottom w:val="single" w:sz="12" w:space="0" w:color="000000"/>
              <w:right w:val="single" w:sz="12" w:space="0" w:color="000000"/>
            </w:tcBorders>
            <w:vAlign w:val="center"/>
          </w:tcPr>
          <w:p w14:paraId="4EFAEAF4" w14:textId="6349E0DC" w:rsidR="00B56D50" w:rsidRDefault="001C3C42" w:rsidP="004C6602">
            <w:pPr>
              <w:spacing w:after="0" w:line="259" w:lineRule="auto"/>
              <w:ind w:left="0" w:right="47" w:firstLine="0"/>
              <w:jc w:val="center"/>
            </w:pPr>
            <w:r>
              <w:rPr>
                <w:b/>
                <w:sz w:val="18"/>
              </w:rPr>
              <w:t>RL</w:t>
            </w:r>
            <w:r w:rsidR="003F11BB">
              <w:rPr>
                <w:b/>
                <w:sz w:val="18"/>
              </w:rPr>
              <w:t xml:space="preserve"> </w:t>
            </w:r>
            <w:r w:rsidR="00832E3B" w:rsidRPr="008D0373">
              <w:rPr>
                <w:b/>
                <w:sz w:val="18"/>
                <w:vertAlign w:val="superscript"/>
              </w:rPr>
              <w:t>11</w:t>
            </w:r>
          </w:p>
        </w:tc>
        <w:tc>
          <w:tcPr>
            <w:tcW w:w="992" w:type="dxa"/>
            <w:tcBorders>
              <w:top w:val="single" w:sz="12" w:space="0" w:color="000000"/>
              <w:left w:val="single" w:sz="12" w:space="0" w:color="000000"/>
              <w:bottom w:val="single" w:sz="12" w:space="0" w:color="000000"/>
              <w:right w:val="single" w:sz="12" w:space="0" w:color="000000"/>
            </w:tcBorders>
            <w:vAlign w:val="center"/>
          </w:tcPr>
          <w:p w14:paraId="0B147A45" w14:textId="0432E11B" w:rsidR="00B56D50" w:rsidRDefault="001C3C42" w:rsidP="004C6602">
            <w:pPr>
              <w:spacing w:after="0" w:line="259" w:lineRule="auto"/>
              <w:ind w:left="0" w:right="52" w:firstLine="0"/>
              <w:jc w:val="center"/>
            </w:pPr>
            <w:r>
              <w:rPr>
                <w:b/>
                <w:sz w:val="18"/>
              </w:rPr>
              <w:t>units</w:t>
            </w:r>
          </w:p>
        </w:tc>
        <w:tc>
          <w:tcPr>
            <w:tcW w:w="900" w:type="dxa"/>
            <w:tcBorders>
              <w:top w:val="single" w:sz="12" w:space="0" w:color="000000"/>
              <w:left w:val="single" w:sz="12" w:space="0" w:color="000000"/>
              <w:bottom w:val="single" w:sz="12" w:space="0" w:color="000000"/>
              <w:right w:val="single" w:sz="12" w:space="0" w:color="000000"/>
            </w:tcBorders>
            <w:vAlign w:val="center"/>
          </w:tcPr>
          <w:p w14:paraId="2BA36490" w14:textId="2EF2802F" w:rsidR="00B56D50" w:rsidRDefault="001C3C42" w:rsidP="004C6602">
            <w:pPr>
              <w:spacing w:after="0" w:line="259" w:lineRule="auto"/>
              <w:ind w:left="0" w:right="47" w:firstLine="0"/>
              <w:jc w:val="center"/>
            </w:pPr>
            <w:r>
              <w:rPr>
                <w:b/>
                <w:sz w:val="18"/>
              </w:rPr>
              <w:t>RL</w:t>
            </w:r>
          </w:p>
        </w:tc>
        <w:tc>
          <w:tcPr>
            <w:tcW w:w="1092" w:type="dxa"/>
            <w:tcBorders>
              <w:top w:val="single" w:sz="12" w:space="0" w:color="000000"/>
              <w:left w:val="single" w:sz="12" w:space="0" w:color="000000"/>
              <w:bottom w:val="single" w:sz="12" w:space="0" w:color="000000"/>
              <w:right w:val="single" w:sz="12" w:space="0" w:color="000000"/>
            </w:tcBorders>
            <w:vAlign w:val="center"/>
          </w:tcPr>
          <w:p w14:paraId="3655A455" w14:textId="282C4778" w:rsidR="00B56D50" w:rsidRDefault="001C3C42" w:rsidP="00640D79">
            <w:pPr>
              <w:spacing w:after="0" w:line="259" w:lineRule="auto"/>
              <w:ind w:left="0" w:right="50" w:firstLine="0"/>
              <w:jc w:val="center"/>
            </w:pPr>
            <w:r>
              <w:rPr>
                <w:b/>
                <w:sz w:val="18"/>
              </w:rPr>
              <w:t>units</w:t>
            </w:r>
          </w:p>
        </w:tc>
        <w:tc>
          <w:tcPr>
            <w:tcW w:w="2297" w:type="dxa"/>
            <w:gridSpan w:val="2"/>
            <w:vMerge/>
            <w:tcBorders>
              <w:left w:val="single" w:sz="12" w:space="0" w:color="000000"/>
              <w:bottom w:val="single" w:sz="12" w:space="0" w:color="000000"/>
              <w:right w:val="single" w:sz="12" w:space="0" w:color="000000"/>
            </w:tcBorders>
            <w:vAlign w:val="center"/>
          </w:tcPr>
          <w:p w14:paraId="0E8E1751" w14:textId="082F02FD" w:rsidR="00B56D50" w:rsidRDefault="00B56D50" w:rsidP="00017AB4">
            <w:pPr>
              <w:spacing w:after="160" w:line="259" w:lineRule="auto"/>
              <w:ind w:left="0" w:right="0" w:firstLine="0"/>
              <w:jc w:val="center"/>
            </w:pPr>
          </w:p>
        </w:tc>
      </w:tr>
      <w:tr w:rsidR="00B56D50" w14:paraId="208C9CEF" w14:textId="77777777" w:rsidTr="00B1604E">
        <w:trPr>
          <w:trHeight w:val="262"/>
        </w:trPr>
        <w:tc>
          <w:tcPr>
            <w:tcW w:w="3256" w:type="dxa"/>
            <w:tcBorders>
              <w:top w:val="single" w:sz="12" w:space="0" w:color="000000"/>
              <w:left w:val="single" w:sz="12" w:space="0" w:color="000000"/>
              <w:bottom w:val="single" w:sz="4" w:space="0" w:color="000000"/>
              <w:right w:val="single" w:sz="12" w:space="0" w:color="000000"/>
            </w:tcBorders>
            <w:vAlign w:val="center"/>
          </w:tcPr>
          <w:p w14:paraId="1F08CDAA" w14:textId="77777777" w:rsidR="00B56D50" w:rsidRDefault="001C3C42" w:rsidP="008318CD">
            <w:pPr>
              <w:spacing w:after="0" w:line="259" w:lineRule="auto"/>
              <w:ind w:left="0" w:right="0" w:firstLine="0"/>
            </w:pPr>
            <w:r>
              <w:rPr>
                <w:sz w:val="18"/>
              </w:rPr>
              <w:t xml:space="preserve">Acetone </w:t>
            </w:r>
          </w:p>
        </w:tc>
        <w:tc>
          <w:tcPr>
            <w:tcW w:w="1082" w:type="dxa"/>
            <w:tcBorders>
              <w:top w:val="single" w:sz="12" w:space="0" w:color="000000"/>
              <w:left w:val="single" w:sz="12" w:space="0" w:color="000000"/>
              <w:bottom w:val="single" w:sz="4" w:space="0" w:color="000000"/>
              <w:right w:val="single" w:sz="12" w:space="0" w:color="000000"/>
            </w:tcBorders>
            <w:vAlign w:val="center"/>
          </w:tcPr>
          <w:p w14:paraId="2FC6ACD4" w14:textId="3999614E" w:rsidR="00B56D50" w:rsidRDefault="001C3C42" w:rsidP="008318CD">
            <w:pPr>
              <w:spacing w:after="0" w:line="259" w:lineRule="auto"/>
              <w:ind w:left="0" w:right="44" w:firstLine="0"/>
              <w:jc w:val="center"/>
            </w:pPr>
            <w:r>
              <w:rPr>
                <w:sz w:val="18"/>
              </w:rPr>
              <w:t>67-64-1</w:t>
            </w:r>
          </w:p>
        </w:tc>
        <w:tc>
          <w:tcPr>
            <w:tcW w:w="1001" w:type="dxa"/>
            <w:tcBorders>
              <w:top w:val="single" w:sz="12" w:space="0" w:color="000000"/>
              <w:left w:val="single" w:sz="12" w:space="0" w:color="000000"/>
              <w:bottom w:val="single" w:sz="4" w:space="0" w:color="000000"/>
              <w:right w:val="single" w:sz="12" w:space="0" w:color="000000"/>
            </w:tcBorders>
            <w:vAlign w:val="center"/>
          </w:tcPr>
          <w:p w14:paraId="73E11216" w14:textId="5CEED6A4" w:rsidR="00B56D50" w:rsidRDefault="001C3C42" w:rsidP="008318CD">
            <w:pPr>
              <w:tabs>
                <w:tab w:val="center" w:pos="488"/>
              </w:tabs>
              <w:spacing w:after="0" w:line="259" w:lineRule="auto"/>
              <w:ind w:left="0" w:right="0" w:firstLine="0"/>
              <w:jc w:val="center"/>
            </w:pPr>
            <w:r>
              <w:rPr>
                <w:sz w:val="18"/>
              </w:rPr>
              <w:t>20</w:t>
            </w:r>
          </w:p>
        </w:tc>
        <w:tc>
          <w:tcPr>
            <w:tcW w:w="992" w:type="dxa"/>
            <w:tcBorders>
              <w:top w:val="single" w:sz="12" w:space="0" w:color="000000"/>
              <w:left w:val="single" w:sz="12" w:space="0" w:color="000000"/>
              <w:bottom w:val="single" w:sz="4" w:space="0" w:color="000000"/>
              <w:right w:val="single" w:sz="12" w:space="0" w:color="000000"/>
            </w:tcBorders>
            <w:vAlign w:val="center"/>
          </w:tcPr>
          <w:p w14:paraId="1C7FC45D" w14:textId="4C36CB4C" w:rsidR="00B56D50" w:rsidRPr="000376D7" w:rsidRDefault="002638A8" w:rsidP="008318CD">
            <w:pPr>
              <w:spacing w:after="0" w:line="259" w:lineRule="auto"/>
              <w:ind w:left="0" w:right="44" w:firstLine="0"/>
              <w:jc w:val="center"/>
            </w:pPr>
            <w:r w:rsidRPr="007E060D">
              <w:rPr>
                <w:rFonts w:eastAsia="Segoe UI Symbol"/>
                <w:sz w:val="18"/>
              </w:rPr>
              <w:t>u</w:t>
            </w:r>
            <w:r w:rsidR="001C3C42" w:rsidRPr="007C53EE">
              <w:rPr>
                <w:sz w:val="18"/>
              </w:rPr>
              <w:t>g/L</w:t>
            </w:r>
          </w:p>
        </w:tc>
        <w:tc>
          <w:tcPr>
            <w:tcW w:w="900" w:type="dxa"/>
            <w:tcBorders>
              <w:top w:val="single" w:sz="12" w:space="0" w:color="000000"/>
              <w:left w:val="single" w:sz="12" w:space="0" w:color="000000"/>
              <w:bottom w:val="single" w:sz="4" w:space="0" w:color="000000"/>
              <w:right w:val="single" w:sz="12" w:space="0" w:color="000000"/>
            </w:tcBorders>
            <w:vAlign w:val="center"/>
          </w:tcPr>
          <w:p w14:paraId="6C9CECB0" w14:textId="61EBCE91" w:rsidR="00B56D50" w:rsidRDefault="001C3C42" w:rsidP="008318CD">
            <w:pPr>
              <w:tabs>
                <w:tab w:val="center" w:pos="399"/>
              </w:tabs>
              <w:spacing w:after="0" w:line="259" w:lineRule="auto"/>
              <w:ind w:left="0" w:right="0" w:firstLine="0"/>
              <w:jc w:val="center"/>
            </w:pPr>
            <w:r>
              <w:rPr>
                <w:sz w:val="18"/>
              </w:rPr>
              <w:t>50</w:t>
            </w:r>
          </w:p>
        </w:tc>
        <w:tc>
          <w:tcPr>
            <w:tcW w:w="1092" w:type="dxa"/>
            <w:tcBorders>
              <w:top w:val="single" w:sz="12" w:space="0" w:color="000000"/>
              <w:left w:val="single" w:sz="12" w:space="0" w:color="000000"/>
              <w:bottom w:val="single" w:sz="4" w:space="0" w:color="000000"/>
              <w:right w:val="single" w:sz="12" w:space="0" w:color="000000"/>
            </w:tcBorders>
            <w:vAlign w:val="center"/>
          </w:tcPr>
          <w:p w14:paraId="5B311206" w14:textId="160B97DE" w:rsidR="00B56D50" w:rsidRDefault="00EB7493" w:rsidP="008318CD">
            <w:pPr>
              <w:spacing w:after="0" w:line="259" w:lineRule="auto"/>
              <w:ind w:left="0" w:right="46" w:firstLine="0"/>
              <w:jc w:val="center"/>
            </w:pPr>
            <w:r>
              <w:rPr>
                <w:rFonts w:eastAsia="Segoe UI Symbol"/>
                <w:sz w:val="18"/>
              </w:rPr>
              <w:t>u</w:t>
            </w:r>
            <w:r w:rsidR="001C3C42">
              <w:rPr>
                <w:sz w:val="18"/>
              </w:rPr>
              <w:t>g/kg</w:t>
            </w:r>
          </w:p>
        </w:tc>
        <w:tc>
          <w:tcPr>
            <w:tcW w:w="1217" w:type="dxa"/>
            <w:tcBorders>
              <w:top w:val="single" w:sz="12" w:space="0" w:color="000000"/>
              <w:left w:val="single" w:sz="12" w:space="0" w:color="000000"/>
              <w:bottom w:val="single" w:sz="4" w:space="0" w:color="000000"/>
              <w:right w:val="single" w:sz="12" w:space="0" w:color="000000"/>
            </w:tcBorders>
            <w:vAlign w:val="center"/>
          </w:tcPr>
          <w:p w14:paraId="048D5437" w14:textId="6D21F3E7" w:rsidR="00B56D50" w:rsidRDefault="001C3C42" w:rsidP="008318CD">
            <w:pPr>
              <w:spacing w:after="0" w:line="259" w:lineRule="auto"/>
              <w:ind w:left="0" w:right="45" w:firstLine="0"/>
              <w:jc w:val="center"/>
            </w:pPr>
            <w:r>
              <w:rPr>
                <w:b/>
                <w:sz w:val="18"/>
              </w:rPr>
              <w:t>8260</w:t>
            </w:r>
          </w:p>
        </w:tc>
        <w:tc>
          <w:tcPr>
            <w:tcW w:w="1080" w:type="dxa"/>
            <w:tcBorders>
              <w:top w:val="single" w:sz="12" w:space="0" w:color="000000"/>
              <w:left w:val="single" w:sz="12" w:space="0" w:color="000000"/>
              <w:bottom w:val="single" w:sz="4" w:space="0" w:color="000000"/>
              <w:right w:val="single" w:sz="12" w:space="0" w:color="000000"/>
            </w:tcBorders>
            <w:vAlign w:val="center"/>
          </w:tcPr>
          <w:p w14:paraId="3CE461E7" w14:textId="39D1316C" w:rsidR="00B56D50" w:rsidRDefault="001C3C42" w:rsidP="008318CD">
            <w:pPr>
              <w:spacing w:after="0" w:line="259" w:lineRule="auto"/>
              <w:ind w:left="0" w:right="48" w:firstLine="0"/>
              <w:jc w:val="center"/>
            </w:pPr>
            <w:r>
              <w:rPr>
                <w:sz w:val="18"/>
              </w:rPr>
              <w:t>8015</w:t>
            </w:r>
          </w:p>
        </w:tc>
      </w:tr>
      <w:tr w:rsidR="00B56D50" w14:paraId="2F32C655" w14:textId="77777777" w:rsidTr="00B1604E">
        <w:trPr>
          <w:trHeight w:val="250"/>
        </w:trPr>
        <w:tc>
          <w:tcPr>
            <w:tcW w:w="3256" w:type="dxa"/>
            <w:tcBorders>
              <w:top w:val="single" w:sz="4" w:space="0" w:color="000000"/>
              <w:left w:val="single" w:sz="12" w:space="0" w:color="000000"/>
              <w:bottom w:val="single" w:sz="4" w:space="0" w:color="000000"/>
              <w:right w:val="single" w:sz="12" w:space="0" w:color="000000"/>
            </w:tcBorders>
            <w:vAlign w:val="center"/>
          </w:tcPr>
          <w:p w14:paraId="4D6D3146" w14:textId="77777777" w:rsidR="00B56D50" w:rsidRDefault="001C3C42" w:rsidP="008318CD">
            <w:pPr>
              <w:spacing w:after="0" w:line="259" w:lineRule="auto"/>
              <w:ind w:left="0" w:right="0" w:firstLine="0"/>
            </w:pPr>
            <w:r>
              <w:rPr>
                <w:sz w:val="18"/>
              </w:rPr>
              <w:t xml:space="preserve">Acrolein </w:t>
            </w:r>
          </w:p>
        </w:tc>
        <w:tc>
          <w:tcPr>
            <w:tcW w:w="1082" w:type="dxa"/>
            <w:tcBorders>
              <w:top w:val="single" w:sz="4" w:space="0" w:color="000000"/>
              <w:left w:val="single" w:sz="12" w:space="0" w:color="000000"/>
              <w:bottom w:val="single" w:sz="4" w:space="0" w:color="000000"/>
              <w:right w:val="single" w:sz="12" w:space="0" w:color="000000"/>
            </w:tcBorders>
            <w:vAlign w:val="center"/>
          </w:tcPr>
          <w:p w14:paraId="710829F6" w14:textId="4A96E831" w:rsidR="00B56D50" w:rsidRDefault="001C3C42" w:rsidP="008318CD">
            <w:pPr>
              <w:spacing w:after="0" w:line="259" w:lineRule="auto"/>
              <w:ind w:left="0" w:right="44" w:firstLine="0"/>
              <w:jc w:val="center"/>
            </w:pPr>
            <w:r>
              <w:rPr>
                <w:sz w:val="18"/>
              </w:rPr>
              <w:t>107-02-6</w:t>
            </w:r>
          </w:p>
        </w:tc>
        <w:tc>
          <w:tcPr>
            <w:tcW w:w="1001" w:type="dxa"/>
            <w:tcBorders>
              <w:top w:val="single" w:sz="4" w:space="0" w:color="000000"/>
              <w:left w:val="single" w:sz="12" w:space="0" w:color="000000"/>
              <w:bottom w:val="single" w:sz="4" w:space="0" w:color="000000"/>
              <w:right w:val="single" w:sz="12" w:space="0" w:color="000000"/>
            </w:tcBorders>
            <w:vAlign w:val="center"/>
          </w:tcPr>
          <w:p w14:paraId="613EB2E8" w14:textId="7DF9BBED" w:rsidR="00B56D50" w:rsidRDefault="001C3C42" w:rsidP="008318CD">
            <w:pPr>
              <w:tabs>
                <w:tab w:val="center" w:pos="467"/>
              </w:tabs>
              <w:spacing w:after="0" w:line="259" w:lineRule="auto"/>
              <w:ind w:left="0" w:right="0" w:firstLine="0"/>
              <w:jc w:val="center"/>
            </w:pPr>
            <w:r>
              <w:rPr>
                <w:b/>
                <w:sz w:val="18"/>
              </w:rPr>
              <w:t>20</w:t>
            </w:r>
          </w:p>
        </w:tc>
        <w:tc>
          <w:tcPr>
            <w:tcW w:w="992" w:type="dxa"/>
            <w:tcBorders>
              <w:top w:val="single" w:sz="4" w:space="0" w:color="000000"/>
              <w:left w:val="single" w:sz="12" w:space="0" w:color="000000"/>
              <w:bottom w:val="single" w:sz="4" w:space="0" w:color="000000"/>
              <w:right w:val="single" w:sz="12" w:space="0" w:color="000000"/>
            </w:tcBorders>
            <w:vAlign w:val="center"/>
          </w:tcPr>
          <w:p w14:paraId="3D6267E4" w14:textId="1A5682A2" w:rsidR="00B56D50" w:rsidRPr="000376D7" w:rsidRDefault="002638A8" w:rsidP="008318CD">
            <w:pPr>
              <w:spacing w:after="0" w:line="259" w:lineRule="auto"/>
              <w:ind w:left="0" w:right="44" w:firstLine="0"/>
              <w:jc w:val="center"/>
            </w:pPr>
            <w:r w:rsidRPr="00CD5619">
              <w:rPr>
                <w:rFonts w:eastAsia="Segoe UI Symbol"/>
                <w:sz w:val="18"/>
              </w:rPr>
              <w:t>u</w:t>
            </w:r>
            <w:r w:rsidR="001C3C42" w:rsidRPr="007C53EE">
              <w:rPr>
                <w:sz w:val="18"/>
              </w:rPr>
              <w:t>g/L</w:t>
            </w:r>
          </w:p>
        </w:tc>
        <w:tc>
          <w:tcPr>
            <w:tcW w:w="900" w:type="dxa"/>
            <w:tcBorders>
              <w:top w:val="single" w:sz="4" w:space="0" w:color="000000"/>
              <w:left w:val="single" w:sz="12" w:space="0" w:color="000000"/>
              <w:bottom w:val="single" w:sz="4" w:space="0" w:color="000000"/>
              <w:right w:val="single" w:sz="12" w:space="0" w:color="000000"/>
            </w:tcBorders>
            <w:vAlign w:val="center"/>
          </w:tcPr>
          <w:p w14:paraId="0338681A" w14:textId="459AE7D7" w:rsidR="00B56D50" w:rsidRDefault="001C3C42" w:rsidP="008318CD">
            <w:pPr>
              <w:tabs>
                <w:tab w:val="center" w:pos="379"/>
              </w:tabs>
              <w:spacing w:after="0" w:line="259" w:lineRule="auto"/>
              <w:ind w:left="0" w:right="0" w:firstLine="0"/>
              <w:jc w:val="center"/>
            </w:pPr>
            <w:r>
              <w:rPr>
                <w:sz w:val="18"/>
              </w:rPr>
              <w:t>40</w:t>
            </w:r>
          </w:p>
        </w:tc>
        <w:tc>
          <w:tcPr>
            <w:tcW w:w="1092" w:type="dxa"/>
            <w:tcBorders>
              <w:top w:val="single" w:sz="4" w:space="0" w:color="000000"/>
              <w:left w:val="single" w:sz="12" w:space="0" w:color="000000"/>
              <w:bottom w:val="single" w:sz="4" w:space="0" w:color="000000"/>
              <w:right w:val="single" w:sz="12" w:space="0" w:color="000000"/>
            </w:tcBorders>
            <w:vAlign w:val="center"/>
          </w:tcPr>
          <w:p w14:paraId="25FE71DB" w14:textId="4F0CCA3F" w:rsidR="00B56D50" w:rsidRDefault="00EB7493" w:rsidP="008318CD">
            <w:pPr>
              <w:spacing w:after="0" w:line="259" w:lineRule="auto"/>
              <w:ind w:left="0" w:right="46" w:firstLine="0"/>
              <w:jc w:val="center"/>
            </w:pPr>
            <w:r>
              <w:rPr>
                <w:rFonts w:eastAsia="Segoe UI Symbol"/>
                <w:sz w:val="18"/>
              </w:rPr>
              <w:t>u</w:t>
            </w:r>
            <w:r w:rsidR="001C3C42">
              <w:rPr>
                <w:sz w:val="18"/>
              </w:rPr>
              <w:t>g/kg</w:t>
            </w:r>
          </w:p>
        </w:tc>
        <w:tc>
          <w:tcPr>
            <w:tcW w:w="1217" w:type="dxa"/>
            <w:tcBorders>
              <w:top w:val="single" w:sz="4" w:space="0" w:color="000000"/>
              <w:left w:val="single" w:sz="12" w:space="0" w:color="000000"/>
              <w:bottom w:val="single" w:sz="4" w:space="0" w:color="000000"/>
              <w:right w:val="single" w:sz="12" w:space="0" w:color="000000"/>
            </w:tcBorders>
            <w:vAlign w:val="center"/>
          </w:tcPr>
          <w:p w14:paraId="2D62B22F" w14:textId="03DE4ABC" w:rsidR="00B56D50" w:rsidRDefault="001C3C42" w:rsidP="008318CD">
            <w:pPr>
              <w:spacing w:after="0" w:line="259" w:lineRule="auto"/>
              <w:ind w:left="0" w:right="45" w:firstLine="0"/>
              <w:jc w:val="center"/>
            </w:pPr>
            <w:r>
              <w:rPr>
                <w:b/>
                <w:sz w:val="18"/>
              </w:rPr>
              <w:t>8260</w:t>
            </w:r>
          </w:p>
        </w:tc>
        <w:tc>
          <w:tcPr>
            <w:tcW w:w="1080" w:type="dxa"/>
            <w:tcBorders>
              <w:top w:val="single" w:sz="4" w:space="0" w:color="000000"/>
              <w:left w:val="single" w:sz="12" w:space="0" w:color="000000"/>
              <w:bottom w:val="single" w:sz="4" w:space="0" w:color="000000"/>
              <w:right w:val="single" w:sz="12" w:space="0" w:color="000000"/>
            </w:tcBorders>
            <w:vAlign w:val="center"/>
          </w:tcPr>
          <w:p w14:paraId="3E5A7477" w14:textId="01E5C586" w:rsidR="00B56D50" w:rsidRDefault="001C3C42" w:rsidP="008318CD">
            <w:pPr>
              <w:spacing w:after="0" w:line="259" w:lineRule="auto"/>
              <w:ind w:left="0" w:right="48" w:firstLine="0"/>
              <w:jc w:val="center"/>
            </w:pPr>
            <w:r>
              <w:rPr>
                <w:sz w:val="18"/>
              </w:rPr>
              <w:t>8015</w:t>
            </w:r>
          </w:p>
        </w:tc>
      </w:tr>
      <w:tr w:rsidR="00B56D50" w14:paraId="78924BB8" w14:textId="77777777" w:rsidTr="00B1604E">
        <w:trPr>
          <w:trHeight w:val="250"/>
        </w:trPr>
        <w:tc>
          <w:tcPr>
            <w:tcW w:w="3256" w:type="dxa"/>
            <w:tcBorders>
              <w:top w:val="single" w:sz="4" w:space="0" w:color="000000"/>
              <w:left w:val="single" w:sz="12" w:space="0" w:color="000000"/>
              <w:bottom w:val="single" w:sz="4" w:space="0" w:color="000000"/>
              <w:right w:val="single" w:sz="12" w:space="0" w:color="000000"/>
            </w:tcBorders>
            <w:vAlign w:val="center"/>
          </w:tcPr>
          <w:p w14:paraId="49EF8132" w14:textId="77777777" w:rsidR="00B56D50" w:rsidRDefault="001C3C42" w:rsidP="008318CD">
            <w:pPr>
              <w:spacing w:after="0" w:line="259" w:lineRule="auto"/>
              <w:ind w:left="0" w:right="0" w:firstLine="0"/>
            </w:pPr>
            <w:r>
              <w:rPr>
                <w:sz w:val="18"/>
              </w:rPr>
              <w:t xml:space="preserve">Benzene </w:t>
            </w:r>
          </w:p>
        </w:tc>
        <w:tc>
          <w:tcPr>
            <w:tcW w:w="1082" w:type="dxa"/>
            <w:tcBorders>
              <w:top w:val="single" w:sz="4" w:space="0" w:color="000000"/>
              <w:left w:val="single" w:sz="12" w:space="0" w:color="000000"/>
              <w:bottom w:val="single" w:sz="4" w:space="0" w:color="000000"/>
              <w:right w:val="single" w:sz="12" w:space="0" w:color="000000"/>
            </w:tcBorders>
            <w:vAlign w:val="center"/>
          </w:tcPr>
          <w:p w14:paraId="043C3E99" w14:textId="66D75422" w:rsidR="00B56D50" w:rsidRDefault="001C3C42" w:rsidP="008318CD">
            <w:pPr>
              <w:spacing w:after="0" w:line="259" w:lineRule="auto"/>
              <w:ind w:left="0" w:right="44" w:firstLine="0"/>
              <w:jc w:val="center"/>
            </w:pPr>
            <w:r>
              <w:rPr>
                <w:sz w:val="18"/>
              </w:rPr>
              <w:t>71-43-2</w:t>
            </w:r>
          </w:p>
        </w:tc>
        <w:tc>
          <w:tcPr>
            <w:tcW w:w="1001" w:type="dxa"/>
            <w:tcBorders>
              <w:top w:val="single" w:sz="4" w:space="0" w:color="000000"/>
              <w:left w:val="single" w:sz="12" w:space="0" w:color="000000"/>
              <w:bottom w:val="single" w:sz="4" w:space="0" w:color="000000"/>
              <w:right w:val="single" w:sz="12" w:space="0" w:color="000000"/>
            </w:tcBorders>
            <w:vAlign w:val="center"/>
          </w:tcPr>
          <w:p w14:paraId="163A287C" w14:textId="78EF6B45" w:rsidR="00B56D50" w:rsidRDefault="001C3C42" w:rsidP="008318CD">
            <w:pPr>
              <w:tabs>
                <w:tab w:val="center" w:pos="534"/>
              </w:tabs>
              <w:spacing w:after="0" w:line="259" w:lineRule="auto"/>
              <w:ind w:left="0" w:right="0" w:firstLine="0"/>
              <w:jc w:val="center"/>
            </w:pPr>
            <w:r>
              <w:rPr>
                <w:b/>
                <w:sz w:val="18"/>
              </w:rPr>
              <w:t>1</w:t>
            </w:r>
          </w:p>
        </w:tc>
        <w:tc>
          <w:tcPr>
            <w:tcW w:w="992" w:type="dxa"/>
            <w:tcBorders>
              <w:top w:val="single" w:sz="4" w:space="0" w:color="000000"/>
              <w:left w:val="single" w:sz="12" w:space="0" w:color="000000"/>
              <w:bottom w:val="single" w:sz="4" w:space="0" w:color="000000"/>
              <w:right w:val="single" w:sz="12" w:space="0" w:color="000000"/>
            </w:tcBorders>
            <w:vAlign w:val="center"/>
          </w:tcPr>
          <w:p w14:paraId="502FD9AA" w14:textId="6DC38DDE" w:rsidR="00B56D50" w:rsidRPr="000376D7" w:rsidRDefault="002638A8" w:rsidP="008318CD">
            <w:pPr>
              <w:spacing w:after="0" w:line="259" w:lineRule="auto"/>
              <w:ind w:left="0" w:right="44" w:firstLine="0"/>
              <w:jc w:val="center"/>
            </w:pPr>
            <w:r w:rsidRPr="00CD5619">
              <w:rPr>
                <w:rFonts w:eastAsia="Segoe UI Symbol"/>
                <w:sz w:val="18"/>
              </w:rPr>
              <w:t>u</w:t>
            </w:r>
            <w:r w:rsidR="001C3C42" w:rsidRPr="007C53EE">
              <w:rPr>
                <w:sz w:val="18"/>
              </w:rPr>
              <w:t>g/L</w:t>
            </w:r>
          </w:p>
        </w:tc>
        <w:tc>
          <w:tcPr>
            <w:tcW w:w="900" w:type="dxa"/>
            <w:tcBorders>
              <w:top w:val="single" w:sz="4" w:space="0" w:color="000000"/>
              <w:left w:val="single" w:sz="12" w:space="0" w:color="000000"/>
              <w:bottom w:val="single" w:sz="4" w:space="0" w:color="000000"/>
              <w:right w:val="single" w:sz="12" w:space="0" w:color="000000"/>
            </w:tcBorders>
            <w:vAlign w:val="center"/>
          </w:tcPr>
          <w:p w14:paraId="56BE2693" w14:textId="04AE5F35" w:rsidR="00B56D50" w:rsidRDefault="001C3C42" w:rsidP="008318CD">
            <w:pPr>
              <w:tabs>
                <w:tab w:val="center" w:pos="445"/>
              </w:tabs>
              <w:spacing w:after="0" w:line="259" w:lineRule="auto"/>
              <w:ind w:left="0" w:right="0" w:firstLine="0"/>
              <w:jc w:val="center"/>
            </w:pPr>
            <w:r>
              <w:rPr>
                <w:sz w:val="18"/>
              </w:rPr>
              <w:t>5</w:t>
            </w:r>
          </w:p>
        </w:tc>
        <w:tc>
          <w:tcPr>
            <w:tcW w:w="1092" w:type="dxa"/>
            <w:tcBorders>
              <w:top w:val="single" w:sz="4" w:space="0" w:color="000000"/>
              <w:left w:val="single" w:sz="12" w:space="0" w:color="000000"/>
              <w:bottom w:val="single" w:sz="4" w:space="0" w:color="000000"/>
              <w:right w:val="single" w:sz="12" w:space="0" w:color="000000"/>
            </w:tcBorders>
            <w:vAlign w:val="center"/>
          </w:tcPr>
          <w:p w14:paraId="57DAAABF" w14:textId="59823C8E" w:rsidR="00B56D50" w:rsidRDefault="00EB7493" w:rsidP="008318CD">
            <w:pPr>
              <w:spacing w:after="0" w:line="259" w:lineRule="auto"/>
              <w:ind w:left="0" w:right="46" w:firstLine="0"/>
              <w:jc w:val="center"/>
            </w:pPr>
            <w:r>
              <w:rPr>
                <w:rFonts w:eastAsia="Segoe UI Symbol"/>
                <w:sz w:val="18"/>
              </w:rPr>
              <w:t>u</w:t>
            </w:r>
            <w:r w:rsidR="001C3C42">
              <w:rPr>
                <w:sz w:val="18"/>
              </w:rPr>
              <w:t>g/kg</w:t>
            </w:r>
          </w:p>
        </w:tc>
        <w:tc>
          <w:tcPr>
            <w:tcW w:w="1217" w:type="dxa"/>
            <w:tcBorders>
              <w:top w:val="single" w:sz="4" w:space="0" w:color="000000"/>
              <w:left w:val="single" w:sz="12" w:space="0" w:color="000000"/>
              <w:bottom w:val="single" w:sz="4" w:space="0" w:color="000000"/>
              <w:right w:val="single" w:sz="12" w:space="0" w:color="000000"/>
            </w:tcBorders>
            <w:vAlign w:val="center"/>
          </w:tcPr>
          <w:p w14:paraId="7AD536F4" w14:textId="0226759D" w:rsidR="00B56D50" w:rsidRDefault="001C3C42" w:rsidP="008318CD">
            <w:pPr>
              <w:spacing w:after="0" w:line="259" w:lineRule="auto"/>
              <w:ind w:left="0" w:right="45" w:firstLine="0"/>
              <w:jc w:val="center"/>
            </w:pPr>
            <w:r>
              <w:rPr>
                <w:b/>
                <w:sz w:val="18"/>
              </w:rPr>
              <w:t>8260</w:t>
            </w:r>
          </w:p>
        </w:tc>
        <w:tc>
          <w:tcPr>
            <w:tcW w:w="1080" w:type="dxa"/>
            <w:tcBorders>
              <w:top w:val="single" w:sz="4" w:space="0" w:color="000000"/>
              <w:left w:val="single" w:sz="12" w:space="0" w:color="000000"/>
              <w:bottom w:val="single" w:sz="4" w:space="0" w:color="000000"/>
              <w:right w:val="single" w:sz="12" w:space="0" w:color="000000"/>
            </w:tcBorders>
            <w:vAlign w:val="center"/>
          </w:tcPr>
          <w:p w14:paraId="60AA191D" w14:textId="187AB42C" w:rsidR="00B56D50" w:rsidRDefault="001C3C42" w:rsidP="008318CD">
            <w:pPr>
              <w:spacing w:after="0" w:line="259" w:lineRule="auto"/>
              <w:ind w:left="0" w:right="48" w:firstLine="0"/>
              <w:jc w:val="center"/>
            </w:pPr>
            <w:r>
              <w:rPr>
                <w:sz w:val="18"/>
              </w:rPr>
              <w:t>8021</w:t>
            </w:r>
          </w:p>
        </w:tc>
      </w:tr>
      <w:tr w:rsidR="00B56D50" w14:paraId="00D88234" w14:textId="77777777" w:rsidTr="00B1604E">
        <w:trPr>
          <w:trHeight w:val="250"/>
        </w:trPr>
        <w:tc>
          <w:tcPr>
            <w:tcW w:w="3256" w:type="dxa"/>
            <w:tcBorders>
              <w:top w:val="single" w:sz="4" w:space="0" w:color="000000"/>
              <w:left w:val="single" w:sz="12" w:space="0" w:color="000000"/>
              <w:bottom w:val="single" w:sz="4" w:space="0" w:color="000000"/>
              <w:right w:val="single" w:sz="12" w:space="0" w:color="000000"/>
            </w:tcBorders>
            <w:vAlign w:val="center"/>
          </w:tcPr>
          <w:p w14:paraId="1F6FB80C" w14:textId="77777777" w:rsidR="00B56D50" w:rsidRDefault="001C3C42" w:rsidP="008318CD">
            <w:pPr>
              <w:spacing w:after="0" w:line="259" w:lineRule="auto"/>
              <w:ind w:left="0" w:right="0" w:firstLine="0"/>
            </w:pPr>
            <w:r>
              <w:rPr>
                <w:sz w:val="18"/>
              </w:rPr>
              <w:t xml:space="preserve">Bromodichloromethane </w:t>
            </w:r>
          </w:p>
        </w:tc>
        <w:tc>
          <w:tcPr>
            <w:tcW w:w="1082" w:type="dxa"/>
            <w:tcBorders>
              <w:top w:val="single" w:sz="4" w:space="0" w:color="000000"/>
              <w:left w:val="single" w:sz="12" w:space="0" w:color="000000"/>
              <w:bottom w:val="single" w:sz="4" w:space="0" w:color="000000"/>
              <w:right w:val="single" w:sz="12" w:space="0" w:color="000000"/>
            </w:tcBorders>
            <w:vAlign w:val="center"/>
          </w:tcPr>
          <w:p w14:paraId="1BF474E9" w14:textId="365EAEF0" w:rsidR="00B56D50" w:rsidRDefault="001C3C42" w:rsidP="008318CD">
            <w:pPr>
              <w:spacing w:after="0" w:line="259" w:lineRule="auto"/>
              <w:ind w:left="0" w:right="44" w:firstLine="0"/>
              <w:jc w:val="center"/>
            </w:pPr>
            <w:r>
              <w:rPr>
                <w:sz w:val="18"/>
              </w:rPr>
              <w:t>75-27-4</w:t>
            </w:r>
          </w:p>
        </w:tc>
        <w:tc>
          <w:tcPr>
            <w:tcW w:w="1001" w:type="dxa"/>
            <w:tcBorders>
              <w:top w:val="single" w:sz="4" w:space="0" w:color="000000"/>
              <w:left w:val="single" w:sz="12" w:space="0" w:color="000000"/>
              <w:bottom w:val="single" w:sz="4" w:space="0" w:color="000000"/>
              <w:right w:val="single" w:sz="12" w:space="0" w:color="000000"/>
            </w:tcBorders>
            <w:vAlign w:val="center"/>
          </w:tcPr>
          <w:p w14:paraId="0C35CC3D" w14:textId="7453485D" w:rsidR="00B56D50" w:rsidRDefault="001C3C42" w:rsidP="008318CD">
            <w:pPr>
              <w:tabs>
                <w:tab w:val="center" w:pos="534"/>
              </w:tabs>
              <w:spacing w:after="0" w:line="259" w:lineRule="auto"/>
              <w:ind w:left="0" w:right="0" w:firstLine="0"/>
              <w:jc w:val="center"/>
            </w:pPr>
            <w:r>
              <w:rPr>
                <w:sz w:val="18"/>
              </w:rPr>
              <w:t>1</w:t>
            </w:r>
          </w:p>
        </w:tc>
        <w:tc>
          <w:tcPr>
            <w:tcW w:w="992" w:type="dxa"/>
            <w:tcBorders>
              <w:top w:val="single" w:sz="4" w:space="0" w:color="000000"/>
              <w:left w:val="single" w:sz="12" w:space="0" w:color="000000"/>
              <w:bottom w:val="single" w:sz="4" w:space="0" w:color="000000"/>
              <w:right w:val="single" w:sz="12" w:space="0" w:color="000000"/>
            </w:tcBorders>
            <w:vAlign w:val="center"/>
          </w:tcPr>
          <w:p w14:paraId="06E8FF7A" w14:textId="696A0B72" w:rsidR="00B56D50" w:rsidRPr="000376D7" w:rsidRDefault="002638A8" w:rsidP="008318CD">
            <w:pPr>
              <w:spacing w:after="0" w:line="259" w:lineRule="auto"/>
              <w:ind w:left="0" w:right="44" w:firstLine="0"/>
              <w:jc w:val="center"/>
            </w:pPr>
            <w:r w:rsidRPr="00CD5619">
              <w:rPr>
                <w:rFonts w:eastAsia="Segoe UI Symbol"/>
                <w:sz w:val="18"/>
              </w:rPr>
              <w:t>u</w:t>
            </w:r>
            <w:r w:rsidR="001C3C42" w:rsidRPr="007C53EE">
              <w:rPr>
                <w:sz w:val="18"/>
              </w:rPr>
              <w:t>g/L</w:t>
            </w:r>
          </w:p>
        </w:tc>
        <w:tc>
          <w:tcPr>
            <w:tcW w:w="900" w:type="dxa"/>
            <w:tcBorders>
              <w:top w:val="single" w:sz="4" w:space="0" w:color="000000"/>
              <w:left w:val="single" w:sz="12" w:space="0" w:color="000000"/>
              <w:bottom w:val="single" w:sz="4" w:space="0" w:color="000000"/>
              <w:right w:val="single" w:sz="12" w:space="0" w:color="000000"/>
            </w:tcBorders>
            <w:vAlign w:val="center"/>
          </w:tcPr>
          <w:p w14:paraId="339DB174" w14:textId="49AD7DE5" w:rsidR="00B56D50" w:rsidRDefault="001C3C42" w:rsidP="008318CD">
            <w:pPr>
              <w:tabs>
                <w:tab w:val="center" w:pos="445"/>
              </w:tabs>
              <w:spacing w:after="0" w:line="259" w:lineRule="auto"/>
              <w:ind w:left="0" w:right="0" w:firstLine="0"/>
              <w:jc w:val="center"/>
            </w:pPr>
            <w:r>
              <w:rPr>
                <w:sz w:val="18"/>
              </w:rPr>
              <w:t>5</w:t>
            </w:r>
          </w:p>
        </w:tc>
        <w:tc>
          <w:tcPr>
            <w:tcW w:w="1092" w:type="dxa"/>
            <w:tcBorders>
              <w:top w:val="single" w:sz="4" w:space="0" w:color="000000"/>
              <w:left w:val="single" w:sz="12" w:space="0" w:color="000000"/>
              <w:bottom w:val="single" w:sz="4" w:space="0" w:color="000000"/>
              <w:right w:val="single" w:sz="12" w:space="0" w:color="000000"/>
            </w:tcBorders>
            <w:vAlign w:val="center"/>
          </w:tcPr>
          <w:p w14:paraId="43AD8994" w14:textId="24460196" w:rsidR="00B56D50" w:rsidRDefault="00EB7493" w:rsidP="008318CD">
            <w:pPr>
              <w:spacing w:after="0" w:line="259" w:lineRule="auto"/>
              <w:ind w:left="0" w:right="46" w:firstLine="0"/>
              <w:jc w:val="center"/>
            </w:pPr>
            <w:r>
              <w:rPr>
                <w:rFonts w:eastAsia="Segoe UI Symbol"/>
                <w:sz w:val="18"/>
              </w:rPr>
              <w:t>u</w:t>
            </w:r>
            <w:r w:rsidR="001C3C42">
              <w:rPr>
                <w:sz w:val="18"/>
              </w:rPr>
              <w:t>g/kg</w:t>
            </w:r>
          </w:p>
        </w:tc>
        <w:tc>
          <w:tcPr>
            <w:tcW w:w="1217" w:type="dxa"/>
            <w:tcBorders>
              <w:top w:val="single" w:sz="4" w:space="0" w:color="000000"/>
              <w:left w:val="single" w:sz="12" w:space="0" w:color="000000"/>
              <w:bottom w:val="single" w:sz="4" w:space="0" w:color="000000"/>
              <w:right w:val="single" w:sz="12" w:space="0" w:color="000000"/>
            </w:tcBorders>
            <w:vAlign w:val="center"/>
          </w:tcPr>
          <w:p w14:paraId="7383D5D1" w14:textId="2CB7A3EC" w:rsidR="00B56D50" w:rsidRDefault="001C3C42" w:rsidP="008318CD">
            <w:pPr>
              <w:spacing w:after="0" w:line="259" w:lineRule="auto"/>
              <w:ind w:left="0" w:right="45" w:firstLine="0"/>
              <w:jc w:val="center"/>
            </w:pPr>
            <w:r>
              <w:rPr>
                <w:b/>
                <w:sz w:val="18"/>
              </w:rPr>
              <w:t>8260</w:t>
            </w:r>
          </w:p>
        </w:tc>
        <w:tc>
          <w:tcPr>
            <w:tcW w:w="1080" w:type="dxa"/>
            <w:tcBorders>
              <w:top w:val="single" w:sz="4" w:space="0" w:color="000000"/>
              <w:left w:val="single" w:sz="12" w:space="0" w:color="000000"/>
              <w:bottom w:val="single" w:sz="4" w:space="0" w:color="000000"/>
              <w:right w:val="single" w:sz="12" w:space="0" w:color="000000"/>
            </w:tcBorders>
            <w:vAlign w:val="center"/>
          </w:tcPr>
          <w:p w14:paraId="23AEB813" w14:textId="1C1852B4" w:rsidR="00B56D50" w:rsidRDefault="001C3C42" w:rsidP="008318CD">
            <w:pPr>
              <w:spacing w:after="0" w:line="259" w:lineRule="auto"/>
              <w:ind w:left="0" w:right="48" w:firstLine="0"/>
              <w:jc w:val="center"/>
            </w:pPr>
            <w:r>
              <w:rPr>
                <w:sz w:val="18"/>
              </w:rPr>
              <w:t>8021</w:t>
            </w:r>
          </w:p>
        </w:tc>
      </w:tr>
      <w:tr w:rsidR="00B56D50" w14:paraId="76282E69" w14:textId="77777777" w:rsidTr="00B1604E">
        <w:trPr>
          <w:trHeight w:val="252"/>
        </w:trPr>
        <w:tc>
          <w:tcPr>
            <w:tcW w:w="3256" w:type="dxa"/>
            <w:tcBorders>
              <w:top w:val="single" w:sz="4" w:space="0" w:color="000000"/>
              <w:left w:val="single" w:sz="12" w:space="0" w:color="000000"/>
              <w:bottom w:val="single" w:sz="4" w:space="0" w:color="000000"/>
              <w:right w:val="single" w:sz="12" w:space="0" w:color="000000"/>
            </w:tcBorders>
            <w:vAlign w:val="center"/>
          </w:tcPr>
          <w:p w14:paraId="0D07BB71" w14:textId="77777777" w:rsidR="00B56D50" w:rsidRDefault="001C3C42" w:rsidP="008318CD">
            <w:pPr>
              <w:spacing w:after="0" w:line="259" w:lineRule="auto"/>
              <w:ind w:left="0" w:right="0" w:firstLine="0"/>
            </w:pPr>
            <w:r>
              <w:rPr>
                <w:sz w:val="18"/>
              </w:rPr>
              <w:t xml:space="preserve">Bromoform </w:t>
            </w:r>
          </w:p>
        </w:tc>
        <w:tc>
          <w:tcPr>
            <w:tcW w:w="1082" w:type="dxa"/>
            <w:tcBorders>
              <w:top w:val="single" w:sz="4" w:space="0" w:color="000000"/>
              <w:left w:val="single" w:sz="12" w:space="0" w:color="000000"/>
              <w:bottom w:val="single" w:sz="4" w:space="0" w:color="000000"/>
              <w:right w:val="single" w:sz="12" w:space="0" w:color="000000"/>
            </w:tcBorders>
            <w:vAlign w:val="center"/>
          </w:tcPr>
          <w:p w14:paraId="7CAE9A84" w14:textId="6C297F2E" w:rsidR="00B56D50" w:rsidRDefault="001C3C42" w:rsidP="008318CD">
            <w:pPr>
              <w:spacing w:after="0" w:line="259" w:lineRule="auto"/>
              <w:ind w:left="0" w:right="44" w:firstLine="0"/>
              <w:jc w:val="center"/>
            </w:pPr>
            <w:r>
              <w:rPr>
                <w:sz w:val="18"/>
              </w:rPr>
              <w:t>75-25-2</w:t>
            </w:r>
          </w:p>
        </w:tc>
        <w:tc>
          <w:tcPr>
            <w:tcW w:w="1001" w:type="dxa"/>
            <w:tcBorders>
              <w:top w:val="single" w:sz="4" w:space="0" w:color="000000"/>
              <w:left w:val="single" w:sz="12" w:space="0" w:color="000000"/>
              <w:bottom w:val="single" w:sz="4" w:space="0" w:color="000000"/>
              <w:right w:val="single" w:sz="12" w:space="0" w:color="000000"/>
            </w:tcBorders>
            <w:vAlign w:val="center"/>
          </w:tcPr>
          <w:p w14:paraId="516AB5B2" w14:textId="79E4DA8D" w:rsidR="00B56D50" w:rsidRDefault="001C3C42" w:rsidP="008318CD">
            <w:pPr>
              <w:tabs>
                <w:tab w:val="center" w:pos="534"/>
              </w:tabs>
              <w:spacing w:after="0" w:line="259" w:lineRule="auto"/>
              <w:ind w:left="0" w:right="0" w:firstLine="0"/>
              <w:jc w:val="center"/>
            </w:pPr>
            <w:r>
              <w:rPr>
                <w:sz w:val="18"/>
              </w:rPr>
              <w:t>1</w:t>
            </w:r>
          </w:p>
        </w:tc>
        <w:tc>
          <w:tcPr>
            <w:tcW w:w="992" w:type="dxa"/>
            <w:tcBorders>
              <w:top w:val="single" w:sz="4" w:space="0" w:color="000000"/>
              <w:left w:val="single" w:sz="12" w:space="0" w:color="000000"/>
              <w:bottom w:val="single" w:sz="4" w:space="0" w:color="000000"/>
              <w:right w:val="single" w:sz="12" w:space="0" w:color="000000"/>
            </w:tcBorders>
            <w:vAlign w:val="center"/>
          </w:tcPr>
          <w:p w14:paraId="05C959F0" w14:textId="0F0105F8" w:rsidR="00B56D50" w:rsidRPr="000376D7" w:rsidRDefault="002638A8" w:rsidP="008318CD">
            <w:pPr>
              <w:spacing w:after="0" w:line="259" w:lineRule="auto"/>
              <w:ind w:left="0" w:right="44" w:firstLine="0"/>
              <w:jc w:val="center"/>
            </w:pPr>
            <w:r w:rsidRPr="00CD5619">
              <w:rPr>
                <w:rFonts w:eastAsia="Segoe UI Symbol"/>
                <w:sz w:val="18"/>
              </w:rPr>
              <w:t>u</w:t>
            </w:r>
            <w:r w:rsidR="001C3C42" w:rsidRPr="007C53EE">
              <w:rPr>
                <w:sz w:val="18"/>
              </w:rPr>
              <w:t>g/L</w:t>
            </w:r>
          </w:p>
        </w:tc>
        <w:tc>
          <w:tcPr>
            <w:tcW w:w="900" w:type="dxa"/>
            <w:tcBorders>
              <w:top w:val="single" w:sz="4" w:space="0" w:color="000000"/>
              <w:left w:val="single" w:sz="12" w:space="0" w:color="000000"/>
              <w:bottom w:val="single" w:sz="4" w:space="0" w:color="000000"/>
              <w:right w:val="single" w:sz="12" w:space="0" w:color="000000"/>
            </w:tcBorders>
            <w:vAlign w:val="center"/>
          </w:tcPr>
          <w:p w14:paraId="188C11B9" w14:textId="2B15FF78" w:rsidR="00B56D50" w:rsidRDefault="001C3C42" w:rsidP="008318CD">
            <w:pPr>
              <w:tabs>
                <w:tab w:val="center" w:pos="445"/>
              </w:tabs>
              <w:spacing w:after="0" w:line="259" w:lineRule="auto"/>
              <w:ind w:left="0" w:right="0" w:firstLine="0"/>
              <w:jc w:val="center"/>
            </w:pPr>
            <w:r>
              <w:rPr>
                <w:sz w:val="18"/>
              </w:rPr>
              <w:t>5</w:t>
            </w:r>
          </w:p>
        </w:tc>
        <w:tc>
          <w:tcPr>
            <w:tcW w:w="1092" w:type="dxa"/>
            <w:tcBorders>
              <w:top w:val="single" w:sz="4" w:space="0" w:color="000000"/>
              <w:left w:val="single" w:sz="12" w:space="0" w:color="000000"/>
              <w:bottom w:val="single" w:sz="4" w:space="0" w:color="000000"/>
              <w:right w:val="single" w:sz="12" w:space="0" w:color="000000"/>
            </w:tcBorders>
            <w:vAlign w:val="center"/>
          </w:tcPr>
          <w:p w14:paraId="5090AF43" w14:textId="354EB11E" w:rsidR="00B56D50" w:rsidRDefault="00EB7493" w:rsidP="008318CD">
            <w:pPr>
              <w:spacing w:after="0" w:line="259" w:lineRule="auto"/>
              <w:ind w:left="0" w:right="46" w:firstLine="0"/>
              <w:jc w:val="center"/>
            </w:pPr>
            <w:r>
              <w:rPr>
                <w:rFonts w:eastAsia="Segoe UI Symbol"/>
                <w:sz w:val="18"/>
              </w:rPr>
              <w:t>u</w:t>
            </w:r>
            <w:r w:rsidR="001C3C42">
              <w:rPr>
                <w:sz w:val="18"/>
              </w:rPr>
              <w:t>g/kg</w:t>
            </w:r>
          </w:p>
        </w:tc>
        <w:tc>
          <w:tcPr>
            <w:tcW w:w="1217" w:type="dxa"/>
            <w:tcBorders>
              <w:top w:val="single" w:sz="4" w:space="0" w:color="000000"/>
              <w:left w:val="single" w:sz="12" w:space="0" w:color="000000"/>
              <w:bottom w:val="single" w:sz="4" w:space="0" w:color="000000"/>
              <w:right w:val="single" w:sz="12" w:space="0" w:color="000000"/>
            </w:tcBorders>
            <w:vAlign w:val="center"/>
          </w:tcPr>
          <w:p w14:paraId="59A07B00" w14:textId="26EDA451" w:rsidR="00B56D50" w:rsidRDefault="001C3C42" w:rsidP="008318CD">
            <w:pPr>
              <w:spacing w:after="0" w:line="259" w:lineRule="auto"/>
              <w:ind w:left="0" w:right="45" w:firstLine="0"/>
              <w:jc w:val="center"/>
            </w:pPr>
            <w:r>
              <w:rPr>
                <w:b/>
                <w:sz w:val="18"/>
              </w:rPr>
              <w:t>8260</w:t>
            </w:r>
          </w:p>
        </w:tc>
        <w:tc>
          <w:tcPr>
            <w:tcW w:w="1080" w:type="dxa"/>
            <w:tcBorders>
              <w:top w:val="single" w:sz="4" w:space="0" w:color="000000"/>
              <w:left w:val="single" w:sz="12" w:space="0" w:color="000000"/>
              <w:bottom w:val="single" w:sz="4" w:space="0" w:color="000000"/>
              <w:right w:val="single" w:sz="12" w:space="0" w:color="000000"/>
            </w:tcBorders>
            <w:vAlign w:val="center"/>
          </w:tcPr>
          <w:p w14:paraId="7C9B8AC9" w14:textId="05C577CB" w:rsidR="00B56D50" w:rsidRDefault="001C3C42" w:rsidP="008318CD">
            <w:pPr>
              <w:spacing w:after="0" w:line="259" w:lineRule="auto"/>
              <w:ind w:left="0" w:right="48" w:firstLine="0"/>
              <w:jc w:val="center"/>
            </w:pPr>
            <w:r>
              <w:rPr>
                <w:sz w:val="18"/>
              </w:rPr>
              <w:t>8021</w:t>
            </w:r>
          </w:p>
        </w:tc>
      </w:tr>
      <w:tr w:rsidR="00B56D50" w14:paraId="15BC3A3E" w14:textId="77777777" w:rsidTr="00B1604E">
        <w:trPr>
          <w:trHeight w:val="250"/>
        </w:trPr>
        <w:tc>
          <w:tcPr>
            <w:tcW w:w="3256" w:type="dxa"/>
            <w:tcBorders>
              <w:top w:val="single" w:sz="4" w:space="0" w:color="000000"/>
              <w:left w:val="single" w:sz="12" w:space="0" w:color="000000"/>
              <w:bottom w:val="single" w:sz="4" w:space="0" w:color="000000"/>
              <w:right w:val="single" w:sz="12" w:space="0" w:color="000000"/>
            </w:tcBorders>
            <w:vAlign w:val="center"/>
          </w:tcPr>
          <w:p w14:paraId="7E8979D6" w14:textId="77777777" w:rsidR="00B56D50" w:rsidRDefault="001C3C42" w:rsidP="008318CD">
            <w:pPr>
              <w:spacing w:after="0" w:line="259" w:lineRule="auto"/>
              <w:ind w:left="0" w:right="0" w:firstLine="0"/>
            </w:pPr>
            <w:r>
              <w:rPr>
                <w:sz w:val="18"/>
              </w:rPr>
              <w:t xml:space="preserve">Bromomethane </w:t>
            </w:r>
          </w:p>
        </w:tc>
        <w:tc>
          <w:tcPr>
            <w:tcW w:w="1082" w:type="dxa"/>
            <w:tcBorders>
              <w:top w:val="single" w:sz="4" w:space="0" w:color="000000"/>
              <w:left w:val="single" w:sz="12" w:space="0" w:color="000000"/>
              <w:bottom w:val="single" w:sz="4" w:space="0" w:color="000000"/>
              <w:right w:val="single" w:sz="12" w:space="0" w:color="000000"/>
            </w:tcBorders>
            <w:vAlign w:val="center"/>
          </w:tcPr>
          <w:p w14:paraId="7B140525" w14:textId="03915B5A" w:rsidR="00B56D50" w:rsidRDefault="001C3C42" w:rsidP="008318CD">
            <w:pPr>
              <w:spacing w:after="0" w:line="259" w:lineRule="auto"/>
              <w:ind w:left="0" w:right="44" w:firstLine="0"/>
              <w:jc w:val="center"/>
            </w:pPr>
            <w:r>
              <w:rPr>
                <w:sz w:val="18"/>
              </w:rPr>
              <w:t>74-83-9</w:t>
            </w:r>
          </w:p>
        </w:tc>
        <w:tc>
          <w:tcPr>
            <w:tcW w:w="1001" w:type="dxa"/>
            <w:tcBorders>
              <w:top w:val="single" w:sz="4" w:space="0" w:color="000000"/>
              <w:left w:val="single" w:sz="12" w:space="0" w:color="000000"/>
              <w:bottom w:val="single" w:sz="4" w:space="0" w:color="000000"/>
              <w:right w:val="single" w:sz="12" w:space="0" w:color="000000"/>
            </w:tcBorders>
            <w:vAlign w:val="center"/>
          </w:tcPr>
          <w:p w14:paraId="4A1646C4" w14:textId="57A8674E" w:rsidR="00B56D50" w:rsidRDefault="001C3C42" w:rsidP="008318CD">
            <w:pPr>
              <w:tabs>
                <w:tab w:val="center" w:pos="534"/>
              </w:tabs>
              <w:spacing w:after="0" w:line="259" w:lineRule="auto"/>
              <w:ind w:left="0" w:right="0" w:firstLine="0"/>
              <w:jc w:val="center"/>
            </w:pPr>
            <w:r>
              <w:rPr>
                <w:sz w:val="18"/>
              </w:rPr>
              <w:t>2</w:t>
            </w:r>
          </w:p>
        </w:tc>
        <w:tc>
          <w:tcPr>
            <w:tcW w:w="992" w:type="dxa"/>
            <w:tcBorders>
              <w:top w:val="single" w:sz="4" w:space="0" w:color="000000"/>
              <w:left w:val="single" w:sz="12" w:space="0" w:color="000000"/>
              <w:bottom w:val="single" w:sz="4" w:space="0" w:color="000000"/>
              <w:right w:val="single" w:sz="12" w:space="0" w:color="000000"/>
            </w:tcBorders>
            <w:vAlign w:val="center"/>
          </w:tcPr>
          <w:p w14:paraId="53A59D73" w14:textId="7A6A2C70" w:rsidR="00B56D50" w:rsidRPr="000376D7" w:rsidRDefault="002638A8" w:rsidP="008318CD">
            <w:pPr>
              <w:spacing w:after="0" w:line="259" w:lineRule="auto"/>
              <w:ind w:left="0" w:right="44" w:firstLine="0"/>
              <w:jc w:val="center"/>
            </w:pPr>
            <w:r w:rsidRPr="00CD5619">
              <w:rPr>
                <w:rFonts w:eastAsia="Segoe UI Symbol"/>
                <w:sz w:val="18"/>
              </w:rPr>
              <w:t>u</w:t>
            </w:r>
            <w:r w:rsidR="001C3C42" w:rsidRPr="007C53EE">
              <w:rPr>
                <w:sz w:val="18"/>
              </w:rPr>
              <w:t>g/L</w:t>
            </w:r>
          </w:p>
        </w:tc>
        <w:tc>
          <w:tcPr>
            <w:tcW w:w="900" w:type="dxa"/>
            <w:tcBorders>
              <w:top w:val="single" w:sz="4" w:space="0" w:color="000000"/>
              <w:left w:val="single" w:sz="12" w:space="0" w:color="000000"/>
              <w:bottom w:val="single" w:sz="4" w:space="0" w:color="000000"/>
              <w:right w:val="single" w:sz="12" w:space="0" w:color="000000"/>
            </w:tcBorders>
            <w:vAlign w:val="center"/>
          </w:tcPr>
          <w:p w14:paraId="1396333A" w14:textId="5B79EBDE" w:rsidR="00B56D50" w:rsidRDefault="001C3C42" w:rsidP="008318CD">
            <w:pPr>
              <w:tabs>
                <w:tab w:val="center" w:pos="399"/>
              </w:tabs>
              <w:spacing w:after="0" w:line="259" w:lineRule="auto"/>
              <w:ind w:left="0" w:right="0" w:firstLine="0"/>
              <w:jc w:val="center"/>
            </w:pPr>
            <w:r>
              <w:rPr>
                <w:sz w:val="18"/>
              </w:rPr>
              <w:t>10</w:t>
            </w:r>
          </w:p>
        </w:tc>
        <w:tc>
          <w:tcPr>
            <w:tcW w:w="1092" w:type="dxa"/>
            <w:tcBorders>
              <w:top w:val="single" w:sz="4" w:space="0" w:color="000000"/>
              <w:left w:val="single" w:sz="12" w:space="0" w:color="000000"/>
              <w:bottom w:val="single" w:sz="4" w:space="0" w:color="000000"/>
              <w:right w:val="single" w:sz="12" w:space="0" w:color="000000"/>
            </w:tcBorders>
            <w:vAlign w:val="center"/>
          </w:tcPr>
          <w:p w14:paraId="0437E182" w14:textId="5637ACFD" w:rsidR="00B56D50" w:rsidRDefault="00EB7493" w:rsidP="008318CD">
            <w:pPr>
              <w:spacing w:after="0" w:line="259" w:lineRule="auto"/>
              <w:ind w:left="0" w:right="46" w:firstLine="0"/>
              <w:jc w:val="center"/>
            </w:pPr>
            <w:r>
              <w:rPr>
                <w:rFonts w:eastAsia="Segoe UI Symbol"/>
                <w:sz w:val="18"/>
              </w:rPr>
              <w:t>u</w:t>
            </w:r>
            <w:r w:rsidR="001C3C42">
              <w:rPr>
                <w:sz w:val="18"/>
              </w:rPr>
              <w:t>g/kg</w:t>
            </w:r>
          </w:p>
        </w:tc>
        <w:tc>
          <w:tcPr>
            <w:tcW w:w="1217" w:type="dxa"/>
            <w:tcBorders>
              <w:top w:val="single" w:sz="4" w:space="0" w:color="000000"/>
              <w:left w:val="single" w:sz="12" w:space="0" w:color="000000"/>
              <w:bottom w:val="single" w:sz="4" w:space="0" w:color="000000"/>
              <w:right w:val="single" w:sz="12" w:space="0" w:color="000000"/>
            </w:tcBorders>
            <w:vAlign w:val="center"/>
          </w:tcPr>
          <w:p w14:paraId="6ED2FCDC" w14:textId="30F439C2" w:rsidR="00B56D50" w:rsidRDefault="001C3C42" w:rsidP="008318CD">
            <w:pPr>
              <w:spacing w:after="0" w:line="259" w:lineRule="auto"/>
              <w:ind w:left="0" w:right="45" w:firstLine="0"/>
              <w:jc w:val="center"/>
            </w:pPr>
            <w:r>
              <w:rPr>
                <w:b/>
                <w:sz w:val="18"/>
              </w:rPr>
              <w:t>8260</w:t>
            </w:r>
          </w:p>
        </w:tc>
        <w:tc>
          <w:tcPr>
            <w:tcW w:w="1080" w:type="dxa"/>
            <w:tcBorders>
              <w:top w:val="single" w:sz="4" w:space="0" w:color="000000"/>
              <w:left w:val="single" w:sz="12" w:space="0" w:color="000000"/>
              <w:bottom w:val="single" w:sz="4" w:space="0" w:color="000000"/>
              <w:right w:val="single" w:sz="12" w:space="0" w:color="000000"/>
            </w:tcBorders>
            <w:vAlign w:val="center"/>
          </w:tcPr>
          <w:p w14:paraId="2F3B6C73" w14:textId="245884C5" w:rsidR="00B56D50" w:rsidRDefault="001C3C42" w:rsidP="008318CD">
            <w:pPr>
              <w:spacing w:after="0" w:line="259" w:lineRule="auto"/>
              <w:ind w:left="0" w:right="48" w:firstLine="0"/>
              <w:jc w:val="center"/>
            </w:pPr>
            <w:r>
              <w:rPr>
                <w:sz w:val="18"/>
              </w:rPr>
              <w:t>8021</w:t>
            </w:r>
          </w:p>
        </w:tc>
      </w:tr>
      <w:tr w:rsidR="00EB7493" w14:paraId="49058AA7" w14:textId="77777777" w:rsidTr="00B1604E">
        <w:trPr>
          <w:trHeight w:val="250"/>
        </w:trPr>
        <w:tc>
          <w:tcPr>
            <w:tcW w:w="3256" w:type="dxa"/>
            <w:tcBorders>
              <w:top w:val="single" w:sz="4" w:space="0" w:color="000000"/>
              <w:left w:val="single" w:sz="12" w:space="0" w:color="000000"/>
              <w:bottom w:val="single" w:sz="4" w:space="0" w:color="000000"/>
              <w:right w:val="single" w:sz="12" w:space="0" w:color="000000"/>
            </w:tcBorders>
            <w:vAlign w:val="center"/>
          </w:tcPr>
          <w:p w14:paraId="7113146B" w14:textId="77777777" w:rsidR="00EB7493" w:rsidRDefault="00EB7493" w:rsidP="008318CD">
            <w:pPr>
              <w:spacing w:after="0" w:line="259" w:lineRule="auto"/>
              <w:ind w:left="0" w:right="0" w:firstLine="0"/>
            </w:pPr>
            <w:r>
              <w:rPr>
                <w:sz w:val="18"/>
              </w:rPr>
              <w:t xml:space="preserve">n-Butanol </w:t>
            </w:r>
          </w:p>
        </w:tc>
        <w:tc>
          <w:tcPr>
            <w:tcW w:w="1082" w:type="dxa"/>
            <w:tcBorders>
              <w:top w:val="single" w:sz="4" w:space="0" w:color="000000"/>
              <w:left w:val="single" w:sz="12" w:space="0" w:color="000000"/>
              <w:bottom w:val="single" w:sz="4" w:space="0" w:color="000000"/>
              <w:right w:val="single" w:sz="12" w:space="0" w:color="000000"/>
            </w:tcBorders>
            <w:vAlign w:val="center"/>
          </w:tcPr>
          <w:p w14:paraId="04033A0C" w14:textId="72EA435E" w:rsidR="00EB7493" w:rsidRDefault="00EB7493" w:rsidP="008318CD">
            <w:pPr>
              <w:spacing w:after="0" w:line="259" w:lineRule="auto"/>
              <w:ind w:left="0" w:right="44" w:firstLine="0"/>
              <w:jc w:val="center"/>
            </w:pPr>
            <w:r>
              <w:rPr>
                <w:sz w:val="18"/>
              </w:rPr>
              <w:t>71-36-3</w:t>
            </w:r>
          </w:p>
        </w:tc>
        <w:tc>
          <w:tcPr>
            <w:tcW w:w="1001" w:type="dxa"/>
            <w:tcBorders>
              <w:top w:val="single" w:sz="4" w:space="0" w:color="000000"/>
              <w:left w:val="single" w:sz="12" w:space="0" w:color="000000"/>
              <w:bottom w:val="single" w:sz="4" w:space="0" w:color="000000"/>
              <w:right w:val="single" w:sz="12" w:space="0" w:color="000000"/>
            </w:tcBorders>
            <w:vAlign w:val="center"/>
          </w:tcPr>
          <w:p w14:paraId="0AD68480" w14:textId="1A4A13AA" w:rsidR="00EB7493" w:rsidRDefault="00EB7493" w:rsidP="008318CD">
            <w:pPr>
              <w:tabs>
                <w:tab w:val="center" w:pos="377"/>
              </w:tabs>
              <w:spacing w:after="0" w:line="259" w:lineRule="auto"/>
              <w:ind w:left="0" w:right="0" w:firstLine="0"/>
              <w:jc w:val="center"/>
            </w:pPr>
            <w:r>
              <w:rPr>
                <w:sz w:val="18"/>
              </w:rPr>
              <w:t>1000</w:t>
            </w:r>
          </w:p>
        </w:tc>
        <w:tc>
          <w:tcPr>
            <w:tcW w:w="992" w:type="dxa"/>
            <w:tcBorders>
              <w:top w:val="single" w:sz="4" w:space="0" w:color="000000"/>
              <w:left w:val="single" w:sz="12" w:space="0" w:color="000000"/>
              <w:bottom w:val="single" w:sz="4" w:space="0" w:color="000000"/>
              <w:right w:val="single" w:sz="12" w:space="0" w:color="000000"/>
            </w:tcBorders>
            <w:vAlign w:val="center"/>
          </w:tcPr>
          <w:p w14:paraId="62A5E76F" w14:textId="20276A22" w:rsidR="00EB7493" w:rsidRPr="000376D7" w:rsidRDefault="00EB7493" w:rsidP="008318CD">
            <w:pPr>
              <w:spacing w:after="0" w:line="259" w:lineRule="auto"/>
              <w:ind w:left="0" w:right="44" w:firstLine="0"/>
              <w:jc w:val="center"/>
            </w:pPr>
            <w:r w:rsidRPr="00CD5619">
              <w:rPr>
                <w:rFonts w:eastAsia="Segoe UI Symbol"/>
                <w:sz w:val="18"/>
              </w:rPr>
              <w:t>u</w:t>
            </w:r>
            <w:r w:rsidRPr="007C53EE">
              <w:rPr>
                <w:sz w:val="18"/>
              </w:rPr>
              <w:t>g/L</w:t>
            </w:r>
          </w:p>
        </w:tc>
        <w:tc>
          <w:tcPr>
            <w:tcW w:w="900" w:type="dxa"/>
            <w:tcBorders>
              <w:top w:val="single" w:sz="4" w:space="0" w:color="000000"/>
              <w:left w:val="single" w:sz="12" w:space="0" w:color="000000"/>
              <w:bottom w:val="single" w:sz="4" w:space="0" w:color="000000"/>
              <w:right w:val="single" w:sz="12" w:space="0" w:color="000000"/>
            </w:tcBorders>
            <w:vAlign w:val="center"/>
          </w:tcPr>
          <w:p w14:paraId="11AC6B5D" w14:textId="7CDD9DF8" w:rsidR="00EB7493" w:rsidRDefault="00EB7493" w:rsidP="008318CD">
            <w:pPr>
              <w:spacing w:after="0" w:line="259" w:lineRule="auto"/>
              <w:ind w:left="0" w:right="0" w:firstLine="0"/>
              <w:jc w:val="center"/>
            </w:pPr>
            <w:r>
              <w:rPr>
                <w:sz w:val="18"/>
              </w:rPr>
              <w:t>1000</w:t>
            </w:r>
          </w:p>
        </w:tc>
        <w:tc>
          <w:tcPr>
            <w:tcW w:w="1092" w:type="dxa"/>
            <w:tcBorders>
              <w:top w:val="single" w:sz="4" w:space="0" w:color="000000"/>
              <w:left w:val="single" w:sz="12" w:space="0" w:color="000000"/>
              <w:bottom w:val="single" w:sz="4" w:space="0" w:color="000000"/>
              <w:right w:val="single" w:sz="12" w:space="0" w:color="000000"/>
            </w:tcBorders>
            <w:vAlign w:val="center"/>
          </w:tcPr>
          <w:p w14:paraId="1E9F80B1" w14:textId="14A940BB" w:rsidR="00EB7493" w:rsidRDefault="00EB7493" w:rsidP="008318CD">
            <w:pPr>
              <w:spacing w:after="0" w:line="259" w:lineRule="auto"/>
              <w:ind w:left="0" w:right="46" w:firstLine="0"/>
              <w:jc w:val="center"/>
            </w:pPr>
            <w:r>
              <w:rPr>
                <w:rFonts w:eastAsia="Segoe UI Symbol"/>
                <w:sz w:val="18"/>
              </w:rPr>
              <w:t>u</w:t>
            </w:r>
            <w:r>
              <w:rPr>
                <w:sz w:val="18"/>
              </w:rPr>
              <w:t>g/kg</w:t>
            </w:r>
          </w:p>
        </w:tc>
        <w:tc>
          <w:tcPr>
            <w:tcW w:w="1217" w:type="dxa"/>
            <w:tcBorders>
              <w:top w:val="single" w:sz="4" w:space="0" w:color="000000"/>
              <w:left w:val="single" w:sz="12" w:space="0" w:color="000000"/>
              <w:bottom w:val="single" w:sz="4" w:space="0" w:color="000000"/>
              <w:right w:val="single" w:sz="12" w:space="0" w:color="000000"/>
            </w:tcBorders>
            <w:vAlign w:val="center"/>
          </w:tcPr>
          <w:p w14:paraId="6818B8BA" w14:textId="231F4CEE" w:rsidR="00EB7493" w:rsidRDefault="00EB7493" w:rsidP="008318CD">
            <w:pPr>
              <w:spacing w:after="0" w:line="259" w:lineRule="auto"/>
              <w:ind w:left="0" w:right="45" w:firstLine="0"/>
              <w:jc w:val="center"/>
            </w:pPr>
            <w:r>
              <w:rPr>
                <w:b/>
                <w:sz w:val="18"/>
              </w:rPr>
              <w:t>8260</w:t>
            </w:r>
          </w:p>
        </w:tc>
        <w:tc>
          <w:tcPr>
            <w:tcW w:w="1080" w:type="dxa"/>
            <w:tcBorders>
              <w:top w:val="single" w:sz="4" w:space="0" w:color="000000"/>
              <w:left w:val="single" w:sz="12" w:space="0" w:color="000000"/>
              <w:bottom w:val="single" w:sz="4" w:space="0" w:color="000000"/>
              <w:right w:val="single" w:sz="12" w:space="0" w:color="000000"/>
            </w:tcBorders>
            <w:vAlign w:val="center"/>
          </w:tcPr>
          <w:p w14:paraId="17739AC7" w14:textId="02D7113E" w:rsidR="00EB7493" w:rsidRDefault="00EB7493" w:rsidP="008318CD">
            <w:pPr>
              <w:spacing w:after="0" w:line="259" w:lineRule="auto"/>
              <w:ind w:left="0" w:right="48" w:firstLine="0"/>
              <w:jc w:val="center"/>
            </w:pPr>
            <w:r>
              <w:rPr>
                <w:sz w:val="18"/>
              </w:rPr>
              <w:t>8015</w:t>
            </w:r>
          </w:p>
        </w:tc>
      </w:tr>
      <w:tr w:rsidR="00EB7493" w14:paraId="7AF612BA" w14:textId="77777777" w:rsidTr="00B1604E">
        <w:trPr>
          <w:trHeight w:val="250"/>
        </w:trPr>
        <w:tc>
          <w:tcPr>
            <w:tcW w:w="3256" w:type="dxa"/>
            <w:tcBorders>
              <w:top w:val="single" w:sz="4" w:space="0" w:color="000000"/>
              <w:left w:val="single" w:sz="12" w:space="0" w:color="000000"/>
              <w:bottom w:val="single" w:sz="4" w:space="0" w:color="000000"/>
              <w:right w:val="single" w:sz="12" w:space="0" w:color="000000"/>
            </w:tcBorders>
            <w:vAlign w:val="center"/>
          </w:tcPr>
          <w:p w14:paraId="74A4F1A5" w14:textId="77777777" w:rsidR="00EB7493" w:rsidRDefault="00EB7493" w:rsidP="008318CD">
            <w:pPr>
              <w:spacing w:after="0" w:line="259" w:lineRule="auto"/>
              <w:ind w:left="0" w:right="0" w:firstLine="0"/>
            </w:pPr>
            <w:r>
              <w:rPr>
                <w:sz w:val="18"/>
              </w:rPr>
              <w:t xml:space="preserve">2-Butanone (MEK) </w:t>
            </w:r>
          </w:p>
        </w:tc>
        <w:tc>
          <w:tcPr>
            <w:tcW w:w="1082" w:type="dxa"/>
            <w:tcBorders>
              <w:top w:val="single" w:sz="4" w:space="0" w:color="000000"/>
              <w:left w:val="single" w:sz="12" w:space="0" w:color="000000"/>
              <w:bottom w:val="single" w:sz="4" w:space="0" w:color="000000"/>
              <w:right w:val="single" w:sz="12" w:space="0" w:color="000000"/>
            </w:tcBorders>
            <w:vAlign w:val="center"/>
          </w:tcPr>
          <w:p w14:paraId="76D743FE" w14:textId="0FBD35A4" w:rsidR="00EB7493" w:rsidRDefault="00EB7493" w:rsidP="008318CD">
            <w:pPr>
              <w:spacing w:after="0" w:line="259" w:lineRule="auto"/>
              <w:ind w:left="0" w:right="44" w:firstLine="0"/>
              <w:jc w:val="center"/>
            </w:pPr>
            <w:r>
              <w:rPr>
                <w:sz w:val="18"/>
              </w:rPr>
              <w:t>78-93-3</w:t>
            </w:r>
          </w:p>
        </w:tc>
        <w:tc>
          <w:tcPr>
            <w:tcW w:w="1001" w:type="dxa"/>
            <w:tcBorders>
              <w:top w:val="single" w:sz="4" w:space="0" w:color="000000"/>
              <w:left w:val="single" w:sz="12" w:space="0" w:color="000000"/>
              <w:bottom w:val="single" w:sz="4" w:space="0" w:color="000000"/>
              <w:right w:val="single" w:sz="12" w:space="0" w:color="000000"/>
            </w:tcBorders>
            <w:vAlign w:val="center"/>
          </w:tcPr>
          <w:p w14:paraId="3B586D9F" w14:textId="274D2B61" w:rsidR="00EB7493" w:rsidRDefault="00EB7493" w:rsidP="008318CD">
            <w:pPr>
              <w:tabs>
                <w:tab w:val="center" w:pos="488"/>
              </w:tabs>
              <w:spacing w:after="0" w:line="259" w:lineRule="auto"/>
              <w:ind w:left="0" w:right="0" w:firstLine="0"/>
              <w:jc w:val="center"/>
            </w:pPr>
            <w:r>
              <w:rPr>
                <w:sz w:val="18"/>
              </w:rPr>
              <w:t>20</w:t>
            </w:r>
          </w:p>
        </w:tc>
        <w:tc>
          <w:tcPr>
            <w:tcW w:w="992" w:type="dxa"/>
            <w:tcBorders>
              <w:top w:val="single" w:sz="4" w:space="0" w:color="000000"/>
              <w:left w:val="single" w:sz="12" w:space="0" w:color="000000"/>
              <w:bottom w:val="single" w:sz="4" w:space="0" w:color="000000"/>
              <w:right w:val="single" w:sz="12" w:space="0" w:color="000000"/>
            </w:tcBorders>
            <w:vAlign w:val="center"/>
          </w:tcPr>
          <w:p w14:paraId="4A723A76" w14:textId="68BF9E4F" w:rsidR="00EB7493" w:rsidRPr="000376D7" w:rsidRDefault="00EB7493" w:rsidP="008318CD">
            <w:pPr>
              <w:spacing w:after="0" w:line="259" w:lineRule="auto"/>
              <w:ind w:left="0" w:right="44" w:firstLine="0"/>
              <w:jc w:val="center"/>
            </w:pPr>
            <w:r w:rsidRPr="00CD5619">
              <w:rPr>
                <w:rFonts w:eastAsia="Segoe UI Symbol"/>
                <w:sz w:val="18"/>
              </w:rPr>
              <w:t>u</w:t>
            </w:r>
            <w:r w:rsidRPr="007C53EE">
              <w:rPr>
                <w:sz w:val="18"/>
              </w:rPr>
              <w:t>g/L</w:t>
            </w:r>
          </w:p>
        </w:tc>
        <w:tc>
          <w:tcPr>
            <w:tcW w:w="900" w:type="dxa"/>
            <w:tcBorders>
              <w:top w:val="single" w:sz="4" w:space="0" w:color="000000"/>
              <w:left w:val="single" w:sz="12" w:space="0" w:color="000000"/>
              <w:bottom w:val="single" w:sz="4" w:space="0" w:color="000000"/>
              <w:right w:val="single" w:sz="12" w:space="0" w:color="000000"/>
            </w:tcBorders>
            <w:vAlign w:val="center"/>
          </w:tcPr>
          <w:p w14:paraId="1B39A892" w14:textId="35D61A9F" w:rsidR="00EB7493" w:rsidRDefault="00EB7493" w:rsidP="008318CD">
            <w:pPr>
              <w:tabs>
                <w:tab w:val="center" w:pos="399"/>
              </w:tabs>
              <w:spacing w:after="0" w:line="259" w:lineRule="auto"/>
              <w:ind w:left="0" w:right="0" w:firstLine="0"/>
              <w:jc w:val="center"/>
            </w:pPr>
            <w:r>
              <w:rPr>
                <w:sz w:val="18"/>
              </w:rPr>
              <w:t>50</w:t>
            </w:r>
          </w:p>
        </w:tc>
        <w:tc>
          <w:tcPr>
            <w:tcW w:w="1092" w:type="dxa"/>
            <w:tcBorders>
              <w:top w:val="single" w:sz="4" w:space="0" w:color="000000"/>
              <w:left w:val="single" w:sz="12" w:space="0" w:color="000000"/>
              <w:bottom w:val="single" w:sz="4" w:space="0" w:color="000000"/>
              <w:right w:val="single" w:sz="12" w:space="0" w:color="000000"/>
            </w:tcBorders>
            <w:vAlign w:val="center"/>
          </w:tcPr>
          <w:p w14:paraId="0E04AB81" w14:textId="7172323A" w:rsidR="00EB7493" w:rsidRDefault="00EB7493" w:rsidP="008318CD">
            <w:pPr>
              <w:spacing w:after="0" w:line="259" w:lineRule="auto"/>
              <w:ind w:left="0" w:right="46" w:firstLine="0"/>
              <w:jc w:val="center"/>
            </w:pPr>
            <w:r>
              <w:rPr>
                <w:rFonts w:eastAsia="Segoe UI Symbol"/>
                <w:sz w:val="18"/>
              </w:rPr>
              <w:t>u</w:t>
            </w:r>
            <w:r>
              <w:rPr>
                <w:sz w:val="18"/>
              </w:rPr>
              <w:t>g/kg</w:t>
            </w:r>
          </w:p>
        </w:tc>
        <w:tc>
          <w:tcPr>
            <w:tcW w:w="1217" w:type="dxa"/>
            <w:tcBorders>
              <w:top w:val="single" w:sz="4" w:space="0" w:color="000000"/>
              <w:left w:val="single" w:sz="12" w:space="0" w:color="000000"/>
              <w:bottom w:val="single" w:sz="4" w:space="0" w:color="000000"/>
              <w:right w:val="single" w:sz="12" w:space="0" w:color="000000"/>
            </w:tcBorders>
            <w:vAlign w:val="center"/>
          </w:tcPr>
          <w:p w14:paraId="64342BC2" w14:textId="1A29235B" w:rsidR="00EB7493" w:rsidRDefault="00EB7493" w:rsidP="008318CD">
            <w:pPr>
              <w:spacing w:after="0" w:line="259" w:lineRule="auto"/>
              <w:ind w:left="0" w:right="45" w:firstLine="0"/>
              <w:jc w:val="center"/>
            </w:pPr>
            <w:r>
              <w:rPr>
                <w:b/>
                <w:sz w:val="18"/>
              </w:rPr>
              <w:t>8260</w:t>
            </w:r>
          </w:p>
        </w:tc>
        <w:tc>
          <w:tcPr>
            <w:tcW w:w="1080" w:type="dxa"/>
            <w:tcBorders>
              <w:top w:val="single" w:sz="4" w:space="0" w:color="000000"/>
              <w:left w:val="single" w:sz="12" w:space="0" w:color="000000"/>
              <w:bottom w:val="single" w:sz="4" w:space="0" w:color="000000"/>
              <w:right w:val="single" w:sz="12" w:space="0" w:color="000000"/>
            </w:tcBorders>
            <w:vAlign w:val="center"/>
          </w:tcPr>
          <w:p w14:paraId="407F9EA6" w14:textId="4B8B5430" w:rsidR="00EB7493" w:rsidRDefault="00EB7493" w:rsidP="008318CD">
            <w:pPr>
              <w:spacing w:after="0" w:line="259" w:lineRule="auto"/>
              <w:ind w:left="0" w:right="48" w:firstLine="0"/>
              <w:jc w:val="center"/>
            </w:pPr>
            <w:r>
              <w:rPr>
                <w:sz w:val="18"/>
              </w:rPr>
              <w:t>8015</w:t>
            </w:r>
          </w:p>
        </w:tc>
      </w:tr>
      <w:tr w:rsidR="00EB7493" w14:paraId="54B989EF" w14:textId="77777777" w:rsidTr="00B1604E">
        <w:trPr>
          <w:trHeight w:val="250"/>
        </w:trPr>
        <w:tc>
          <w:tcPr>
            <w:tcW w:w="3256" w:type="dxa"/>
            <w:tcBorders>
              <w:top w:val="single" w:sz="4" w:space="0" w:color="000000"/>
              <w:left w:val="single" w:sz="12" w:space="0" w:color="000000"/>
              <w:bottom w:val="single" w:sz="4" w:space="0" w:color="000000"/>
              <w:right w:val="single" w:sz="12" w:space="0" w:color="000000"/>
            </w:tcBorders>
            <w:vAlign w:val="center"/>
          </w:tcPr>
          <w:p w14:paraId="4D397443" w14:textId="77777777" w:rsidR="00EB7493" w:rsidRDefault="00EB7493" w:rsidP="008318CD">
            <w:pPr>
              <w:spacing w:after="0" w:line="259" w:lineRule="auto"/>
              <w:ind w:left="0" w:right="0" w:firstLine="0"/>
            </w:pPr>
            <w:r>
              <w:rPr>
                <w:sz w:val="18"/>
              </w:rPr>
              <w:t xml:space="preserve">n-Butylbenzene </w:t>
            </w:r>
          </w:p>
        </w:tc>
        <w:tc>
          <w:tcPr>
            <w:tcW w:w="1082" w:type="dxa"/>
            <w:tcBorders>
              <w:top w:val="single" w:sz="4" w:space="0" w:color="000000"/>
              <w:left w:val="single" w:sz="12" w:space="0" w:color="000000"/>
              <w:bottom w:val="single" w:sz="4" w:space="0" w:color="000000"/>
              <w:right w:val="single" w:sz="12" w:space="0" w:color="000000"/>
            </w:tcBorders>
            <w:vAlign w:val="center"/>
          </w:tcPr>
          <w:p w14:paraId="302E1092" w14:textId="373E07B1" w:rsidR="00EB7493" w:rsidRDefault="00EB7493" w:rsidP="008318CD">
            <w:pPr>
              <w:spacing w:after="0" w:line="259" w:lineRule="auto"/>
              <w:ind w:left="0" w:right="44" w:firstLine="0"/>
              <w:jc w:val="center"/>
            </w:pPr>
            <w:r>
              <w:rPr>
                <w:sz w:val="18"/>
              </w:rPr>
              <w:t>104-51-8</w:t>
            </w:r>
          </w:p>
        </w:tc>
        <w:tc>
          <w:tcPr>
            <w:tcW w:w="1001" w:type="dxa"/>
            <w:tcBorders>
              <w:top w:val="single" w:sz="4" w:space="0" w:color="000000"/>
              <w:left w:val="single" w:sz="12" w:space="0" w:color="000000"/>
              <w:bottom w:val="single" w:sz="4" w:space="0" w:color="000000"/>
              <w:right w:val="single" w:sz="12" w:space="0" w:color="000000"/>
            </w:tcBorders>
            <w:vAlign w:val="center"/>
          </w:tcPr>
          <w:p w14:paraId="723E8FE5" w14:textId="324E0EF8" w:rsidR="00EB7493" w:rsidRDefault="00EB7493" w:rsidP="008318CD">
            <w:pPr>
              <w:tabs>
                <w:tab w:val="center" w:pos="534"/>
              </w:tabs>
              <w:spacing w:after="0" w:line="259" w:lineRule="auto"/>
              <w:ind w:left="0" w:right="0" w:firstLine="0"/>
              <w:jc w:val="center"/>
            </w:pPr>
            <w:r>
              <w:rPr>
                <w:sz w:val="18"/>
              </w:rPr>
              <w:t>1</w:t>
            </w:r>
          </w:p>
        </w:tc>
        <w:tc>
          <w:tcPr>
            <w:tcW w:w="992" w:type="dxa"/>
            <w:tcBorders>
              <w:top w:val="single" w:sz="4" w:space="0" w:color="000000"/>
              <w:left w:val="single" w:sz="12" w:space="0" w:color="000000"/>
              <w:bottom w:val="single" w:sz="4" w:space="0" w:color="000000"/>
              <w:right w:val="single" w:sz="12" w:space="0" w:color="000000"/>
            </w:tcBorders>
            <w:vAlign w:val="center"/>
          </w:tcPr>
          <w:p w14:paraId="652342BE" w14:textId="77A11775" w:rsidR="00EB7493" w:rsidRPr="000376D7" w:rsidRDefault="00EB7493" w:rsidP="008318CD">
            <w:pPr>
              <w:spacing w:after="0" w:line="259" w:lineRule="auto"/>
              <w:ind w:left="0" w:right="44" w:firstLine="0"/>
              <w:jc w:val="center"/>
            </w:pPr>
            <w:r w:rsidRPr="00CD5619">
              <w:rPr>
                <w:rFonts w:eastAsia="Segoe UI Symbol"/>
                <w:sz w:val="18"/>
              </w:rPr>
              <w:t>u</w:t>
            </w:r>
            <w:r w:rsidRPr="007C53EE">
              <w:rPr>
                <w:sz w:val="18"/>
              </w:rPr>
              <w:t>g/L</w:t>
            </w:r>
          </w:p>
        </w:tc>
        <w:tc>
          <w:tcPr>
            <w:tcW w:w="900" w:type="dxa"/>
            <w:tcBorders>
              <w:top w:val="single" w:sz="4" w:space="0" w:color="000000"/>
              <w:left w:val="single" w:sz="12" w:space="0" w:color="000000"/>
              <w:bottom w:val="single" w:sz="4" w:space="0" w:color="000000"/>
              <w:right w:val="single" w:sz="12" w:space="0" w:color="000000"/>
            </w:tcBorders>
            <w:vAlign w:val="center"/>
          </w:tcPr>
          <w:p w14:paraId="14C46B49" w14:textId="08235967" w:rsidR="00EB7493" w:rsidRDefault="00EB7493" w:rsidP="008318CD">
            <w:pPr>
              <w:tabs>
                <w:tab w:val="center" w:pos="354"/>
              </w:tabs>
              <w:spacing w:after="0" w:line="259" w:lineRule="auto"/>
              <w:ind w:left="0" w:right="0" w:firstLine="0"/>
              <w:jc w:val="center"/>
            </w:pPr>
            <w:r>
              <w:rPr>
                <w:sz w:val="18"/>
              </w:rPr>
              <w:t>5</w:t>
            </w:r>
          </w:p>
        </w:tc>
        <w:tc>
          <w:tcPr>
            <w:tcW w:w="1092" w:type="dxa"/>
            <w:tcBorders>
              <w:top w:val="single" w:sz="4" w:space="0" w:color="000000"/>
              <w:left w:val="single" w:sz="12" w:space="0" w:color="000000"/>
              <w:bottom w:val="single" w:sz="4" w:space="0" w:color="000000"/>
              <w:right w:val="single" w:sz="12" w:space="0" w:color="000000"/>
            </w:tcBorders>
            <w:vAlign w:val="center"/>
          </w:tcPr>
          <w:p w14:paraId="4E549773" w14:textId="5670A52D" w:rsidR="00EB7493" w:rsidRDefault="00EB7493" w:rsidP="008318CD">
            <w:pPr>
              <w:spacing w:after="0" w:line="259" w:lineRule="auto"/>
              <w:ind w:left="0" w:right="46" w:firstLine="0"/>
              <w:jc w:val="center"/>
            </w:pPr>
            <w:r>
              <w:rPr>
                <w:rFonts w:eastAsia="Segoe UI Symbol"/>
                <w:sz w:val="18"/>
              </w:rPr>
              <w:t>u</w:t>
            </w:r>
            <w:r>
              <w:rPr>
                <w:sz w:val="18"/>
              </w:rPr>
              <w:t>g/kg</w:t>
            </w:r>
          </w:p>
        </w:tc>
        <w:tc>
          <w:tcPr>
            <w:tcW w:w="1217" w:type="dxa"/>
            <w:tcBorders>
              <w:top w:val="single" w:sz="4" w:space="0" w:color="000000"/>
              <w:left w:val="single" w:sz="12" w:space="0" w:color="000000"/>
              <w:bottom w:val="single" w:sz="4" w:space="0" w:color="000000"/>
              <w:right w:val="single" w:sz="12" w:space="0" w:color="000000"/>
            </w:tcBorders>
            <w:vAlign w:val="center"/>
          </w:tcPr>
          <w:p w14:paraId="1E42FF01" w14:textId="7A0DDBC3" w:rsidR="00EB7493" w:rsidRDefault="00EB7493" w:rsidP="008318CD">
            <w:pPr>
              <w:spacing w:after="0" w:line="259" w:lineRule="auto"/>
              <w:ind w:left="0" w:right="45" w:firstLine="0"/>
              <w:jc w:val="center"/>
            </w:pPr>
            <w:r>
              <w:rPr>
                <w:b/>
                <w:sz w:val="18"/>
              </w:rPr>
              <w:t>8260</w:t>
            </w:r>
          </w:p>
        </w:tc>
        <w:tc>
          <w:tcPr>
            <w:tcW w:w="1080" w:type="dxa"/>
            <w:tcBorders>
              <w:top w:val="single" w:sz="4" w:space="0" w:color="000000"/>
              <w:left w:val="single" w:sz="12" w:space="0" w:color="000000"/>
              <w:bottom w:val="single" w:sz="4" w:space="0" w:color="000000"/>
              <w:right w:val="single" w:sz="12" w:space="0" w:color="000000"/>
            </w:tcBorders>
            <w:vAlign w:val="center"/>
          </w:tcPr>
          <w:p w14:paraId="0B3D963E" w14:textId="00B4B637" w:rsidR="00EB7493" w:rsidRDefault="00EB7493" w:rsidP="008318CD">
            <w:pPr>
              <w:spacing w:after="0" w:line="259" w:lineRule="auto"/>
              <w:ind w:left="0" w:right="5" w:firstLine="0"/>
              <w:jc w:val="center"/>
            </w:pPr>
          </w:p>
        </w:tc>
      </w:tr>
      <w:tr w:rsidR="00EB7493" w14:paraId="4CB99B18" w14:textId="77777777" w:rsidTr="00B1604E">
        <w:trPr>
          <w:trHeight w:val="250"/>
        </w:trPr>
        <w:tc>
          <w:tcPr>
            <w:tcW w:w="3256" w:type="dxa"/>
            <w:tcBorders>
              <w:top w:val="single" w:sz="4" w:space="0" w:color="000000"/>
              <w:left w:val="single" w:sz="12" w:space="0" w:color="000000"/>
              <w:bottom w:val="single" w:sz="4" w:space="0" w:color="000000"/>
              <w:right w:val="single" w:sz="12" w:space="0" w:color="000000"/>
            </w:tcBorders>
            <w:vAlign w:val="center"/>
          </w:tcPr>
          <w:p w14:paraId="6CED859D" w14:textId="77777777" w:rsidR="00EB7493" w:rsidRDefault="00EB7493" w:rsidP="008318CD">
            <w:pPr>
              <w:spacing w:after="0" w:line="259" w:lineRule="auto"/>
              <w:ind w:left="0" w:right="0" w:firstLine="0"/>
            </w:pPr>
            <w:r>
              <w:rPr>
                <w:sz w:val="18"/>
              </w:rPr>
              <w:t xml:space="preserve">sec-Butylbenzene </w:t>
            </w:r>
          </w:p>
        </w:tc>
        <w:tc>
          <w:tcPr>
            <w:tcW w:w="1082" w:type="dxa"/>
            <w:tcBorders>
              <w:top w:val="single" w:sz="4" w:space="0" w:color="000000"/>
              <w:left w:val="single" w:sz="12" w:space="0" w:color="000000"/>
              <w:bottom w:val="single" w:sz="4" w:space="0" w:color="000000"/>
              <w:right w:val="single" w:sz="12" w:space="0" w:color="000000"/>
            </w:tcBorders>
            <w:vAlign w:val="center"/>
          </w:tcPr>
          <w:p w14:paraId="6F2BD889" w14:textId="2FBEFE86" w:rsidR="00EB7493" w:rsidRDefault="00EB7493" w:rsidP="008318CD">
            <w:pPr>
              <w:spacing w:after="0" w:line="259" w:lineRule="auto"/>
              <w:ind w:left="0" w:right="44" w:firstLine="0"/>
              <w:jc w:val="center"/>
            </w:pPr>
            <w:r>
              <w:rPr>
                <w:sz w:val="18"/>
              </w:rPr>
              <w:t>135-98-8</w:t>
            </w:r>
          </w:p>
        </w:tc>
        <w:tc>
          <w:tcPr>
            <w:tcW w:w="1001" w:type="dxa"/>
            <w:tcBorders>
              <w:top w:val="single" w:sz="4" w:space="0" w:color="000000"/>
              <w:left w:val="single" w:sz="12" w:space="0" w:color="000000"/>
              <w:bottom w:val="single" w:sz="4" w:space="0" w:color="000000"/>
              <w:right w:val="single" w:sz="12" w:space="0" w:color="000000"/>
            </w:tcBorders>
            <w:vAlign w:val="center"/>
          </w:tcPr>
          <w:p w14:paraId="001EED65" w14:textId="5862A0F3" w:rsidR="00EB7493" w:rsidRDefault="00EB7493" w:rsidP="008318CD">
            <w:pPr>
              <w:tabs>
                <w:tab w:val="center" w:pos="534"/>
              </w:tabs>
              <w:spacing w:after="0" w:line="259" w:lineRule="auto"/>
              <w:ind w:left="0" w:right="0" w:firstLine="0"/>
              <w:jc w:val="center"/>
            </w:pPr>
            <w:r>
              <w:rPr>
                <w:sz w:val="18"/>
              </w:rPr>
              <w:t>1</w:t>
            </w:r>
          </w:p>
        </w:tc>
        <w:tc>
          <w:tcPr>
            <w:tcW w:w="992" w:type="dxa"/>
            <w:tcBorders>
              <w:top w:val="single" w:sz="4" w:space="0" w:color="000000"/>
              <w:left w:val="single" w:sz="12" w:space="0" w:color="000000"/>
              <w:bottom w:val="single" w:sz="4" w:space="0" w:color="000000"/>
              <w:right w:val="single" w:sz="12" w:space="0" w:color="000000"/>
            </w:tcBorders>
            <w:vAlign w:val="center"/>
          </w:tcPr>
          <w:p w14:paraId="3D85E547" w14:textId="5AC55F3F" w:rsidR="00EB7493" w:rsidRPr="000376D7" w:rsidRDefault="00EB7493" w:rsidP="008318CD">
            <w:pPr>
              <w:spacing w:after="0" w:line="259" w:lineRule="auto"/>
              <w:ind w:left="0" w:right="44" w:firstLine="0"/>
              <w:jc w:val="center"/>
            </w:pPr>
            <w:r w:rsidRPr="00CD5619">
              <w:rPr>
                <w:rFonts w:eastAsia="Segoe UI Symbol"/>
                <w:sz w:val="18"/>
              </w:rPr>
              <w:t>u</w:t>
            </w:r>
            <w:r w:rsidRPr="007C53EE">
              <w:rPr>
                <w:sz w:val="18"/>
              </w:rPr>
              <w:t>g/L</w:t>
            </w:r>
          </w:p>
        </w:tc>
        <w:tc>
          <w:tcPr>
            <w:tcW w:w="900" w:type="dxa"/>
            <w:tcBorders>
              <w:top w:val="single" w:sz="4" w:space="0" w:color="000000"/>
              <w:left w:val="single" w:sz="12" w:space="0" w:color="000000"/>
              <w:bottom w:val="single" w:sz="4" w:space="0" w:color="000000"/>
              <w:right w:val="single" w:sz="12" w:space="0" w:color="000000"/>
            </w:tcBorders>
            <w:vAlign w:val="center"/>
          </w:tcPr>
          <w:p w14:paraId="54B9A75D" w14:textId="0581B703" w:rsidR="00EB7493" w:rsidRDefault="00EB7493" w:rsidP="008318CD">
            <w:pPr>
              <w:tabs>
                <w:tab w:val="center" w:pos="354"/>
              </w:tabs>
              <w:spacing w:after="0" w:line="259" w:lineRule="auto"/>
              <w:ind w:left="0" w:right="0" w:firstLine="0"/>
              <w:jc w:val="center"/>
            </w:pPr>
            <w:r>
              <w:rPr>
                <w:sz w:val="18"/>
              </w:rPr>
              <w:t>5</w:t>
            </w:r>
          </w:p>
        </w:tc>
        <w:tc>
          <w:tcPr>
            <w:tcW w:w="1092" w:type="dxa"/>
            <w:tcBorders>
              <w:top w:val="single" w:sz="4" w:space="0" w:color="000000"/>
              <w:left w:val="single" w:sz="12" w:space="0" w:color="000000"/>
              <w:bottom w:val="single" w:sz="4" w:space="0" w:color="auto"/>
              <w:right w:val="single" w:sz="12" w:space="0" w:color="000000"/>
            </w:tcBorders>
            <w:vAlign w:val="center"/>
          </w:tcPr>
          <w:p w14:paraId="71568974" w14:textId="60E3CCFA" w:rsidR="00EB7493" w:rsidRDefault="00EB7493" w:rsidP="008318CD">
            <w:pPr>
              <w:spacing w:after="0" w:line="259" w:lineRule="auto"/>
              <w:ind w:left="0" w:right="46" w:firstLine="0"/>
              <w:jc w:val="center"/>
            </w:pPr>
            <w:r>
              <w:rPr>
                <w:rFonts w:eastAsia="Segoe UI Symbol"/>
                <w:sz w:val="18"/>
              </w:rPr>
              <w:t>u</w:t>
            </w:r>
            <w:r>
              <w:rPr>
                <w:sz w:val="18"/>
              </w:rPr>
              <w:t>g/kg</w:t>
            </w:r>
          </w:p>
        </w:tc>
        <w:tc>
          <w:tcPr>
            <w:tcW w:w="1217" w:type="dxa"/>
            <w:tcBorders>
              <w:top w:val="single" w:sz="4" w:space="0" w:color="000000"/>
              <w:left w:val="single" w:sz="12" w:space="0" w:color="000000"/>
              <w:bottom w:val="single" w:sz="4" w:space="0" w:color="000000"/>
              <w:right w:val="single" w:sz="12" w:space="0" w:color="000000"/>
            </w:tcBorders>
            <w:vAlign w:val="center"/>
          </w:tcPr>
          <w:p w14:paraId="1FE40BD9" w14:textId="1E3B6B8A" w:rsidR="00EB7493" w:rsidRDefault="00EB7493" w:rsidP="008318CD">
            <w:pPr>
              <w:spacing w:after="0" w:line="259" w:lineRule="auto"/>
              <w:ind w:left="0" w:right="45" w:firstLine="0"/>
              <w:jc w:val="center"/>
            </w:pPr>
            <w:r>
              <w:rPr>
                <w:b/>
                <w:sz w:val="18"/>
              </w:rPr>
              <w:t>8260</w:t>
            </w:r>
          </w:p>
        </w:tc>
        <w:tc>
          <w:tcPr>
            <w:tcW w:w="1080" w:type="dxa"/>
            <w:tcBorders>
              <w:top w:val="single" w:sz="4" w:space="0" w:color="000000"/>
              <w:left w:val="single" w:sz="12" w:space="0" w:color="000000"/>
              <w:bottom w:val="single" w:sz="4" w:space="0" w:color="000000"/>
              <w:right w:val="single" w:sz="12" w:space="0" w:color="000000"/>
            </w:tcBorders>
            <w:vAlign w:val="center"/>
          </w:tcPr>
          <w:p w14:paraId="0AA73C1B" w14:textId="68994301" w:rsidR="00EB7493" w:rsidRDefault="00EB7493" w:rsidP="008318CD">
            <w:pPr>
              <w:spacing w:after="0" w:line="259" w:lineRule="auto"/>
              <w:ind w:left="0" w:right="5" w:firstLine="0"/>
              <w:jc w:val="center"/>
            </w:pPr>
          </w:p>
        </w:tc>
      </w:tr>
      <w:tr w:rsidR="00EB7493" w14:paraId="117737A3" w14:textId="77777777" w:rsidTr="00B1604E">
        <w:trPr>
          <w:trHeight w:val="252"/>
        </w:trPr>
        <w:tc>
          <w:tcPr>
            <w:tcW w:w="3256" w:type="dxa"/>
            <w:tcBorders>
              <w:top w:val="single" w:sz="4" w:space="0" w:color="000000"/>
              <w:left w:val="single" w:sz="12" w:space="0" w:color="000000"/>
              <w:bottom w:val="single" w:sz="4" w:space="0" w:color="000000"/>
              <w:right w:val="single" w:sz="12" w:space="0" w:color="000000"/>
            </w:tcBorders>
            <w:vAlign w:val="center"/>
          </w:tcPr>
          <w:p w14:paraId="077FC5E8" w14:textId="77777777" w:rsidR="00EB7493" w:rsidRDefault="00EB7493" w:rsidP="008318CD">
            <w:pPr>
              <w:spacing w:after="0" w:line="259" w:lineRule="auto"/>
              <w:ind w:left="0" w:right="0" w:firstLine="0"/>
            </w:pPr>
            <w:r>
              <w:rPr>
                <w:sz w:val="18"/>
              </w:rPr>
              <w:t xml:space="preserve">tert-Butylbenzene </w:t>
            </w:r>
          </w:p>
        </w:tc>
        <w:tc>
          <w:tcPr>
            <w:tcW w:w="1082" w:type="dxa"/>
            <w:tcBorders>
              <w:top w:val="single" w:sz="4" w:space="0" w:color="000000"/>
              <w:left w:val="single" w:sz="12" w:space="0" w:color="000000"/>
              <w:bottom w:val="single" w:sz="4" w:space="0" w:color="000000"/>
              <w:right w:val="single" w:sz="12" w:space="0" w:color="000000"/>
            </w:tcBorders>
            <w:vAlign w:val="center"/>
          </w:tcPr>
          <w:p w14:paraId="4BD8151F" w14:textId="5AAC6E34" w:rsidR="00EB7493" w:rsidRDefault="00EB7493" w:rsidP="008318CD">
            <w:pPr>
              <w:spacing w:after="0" w:line="259" w:lineRule="auto"/>
              <w:ind w:left="0" w:right="44" w:firstLine="0"/>
              <w:jc w:val="center"/>
            </w:pPr>
            <w:r>
              <w:rPr>
                <w:sz w:val="18"/>
              </w:rPr>
              <w:t>98-06-6</w:t>
            </w:r>
          </w:p>
        </w:tc>
        <w:tc>
          <w:tcPr>
            <w:tcW w:w="1001" w:type="dxa"/>
            <w:tcBorders>
              <w:top w:val="single" w:sz="4" w:space="0" w:color="000000"/>
              <w:left w:val="single" w:sz="12" w:space="0" w:color="000000"/>
              <w:bottom w:val="single" w:sz="4" w:space="0" w:color="000000"/>
              <w:right w:val="single" w:sz="12" w:space="0" w:color="000000"/>
            </w:tcBorders>
            <w:vAlign w:val="center"/>
          </w:tcPr>
          <w:p w14:paraId="3BAF16CF" w14:textId="15C36523" w:rsidR="00EB7493" w:rsidRDefault="00EB7493" w:rsidP="008318CD">
            <w:pPr>
              <w:tabs>
                <w:tab w:val="center" w:pos="534"/>
              </w:tabs>
              <w:spacing w:after="0" w:line="259" w:lineRule="auto"/>
              <w:ind w:left="0" w:right="0" w:firstLine="0"/>
              <w:jc w:val="center"/>
            </w:pPr>
            <w:r>
              <w:rPr>
                <w:sz w:val="18"/>
              </w:rPr>
              <w:t>1</w:t>
            </w:r>
          </w:p>
        </w:tc>
        <w:tc>
          <w:tcPr>
            <w:tcW w:w="992" w:type="dxa"/>
            <w:tcBorders>
              <w:top w:val="single" w:sz="4" w:space="0" w:color="000000"/>
              <w:left w:val="single" w:sz="12" w:space="0" w:color="000000"/>
              <w:bottom w:val="single" w:sz="4" w:space="0" w:color="000000"/>
              <w:right w:val="single" w:sz="12" w:space="0" w:color="000000"/>
            </w:tcBorders>
            <w:vAlign w:val="center"/>
          </w:tcPr>
          <w:p w14:paraId="470AE727" w14:textId="040BBDDE" w:rsidR="00EB7493" w:rsidRPr="000376D7" w:rsidRDefault="00EB7493" w:rsidP="008318CD">
            <w:pPr>
              <w:spacing w:after="0" w:line="259" w:lineRule="auto"/>
              <w:ind w:left="0" w:right="44" w:firstLine="0"/>
              <w:jc w:val="center"/>
            </w:pPr>
            <w:r w:rsidRPr="00CD5619">
              <w:rPr>
                <w:rFonts w:eastAsia="Segoe UI Symbol"/>
                <w:sz w:val="18"/>
              </w:rPr>
              <w:t>u</w:t>
            </w:r>
            <w:r w:rsidRPr="007C53EE">
              <w:rPr>
                <w:sz w:val="18"/>
              </w:rPr>
              <w:t>g/L</w:t>
            </w:r>
          </w:p>
        </w:tc>
        <w:tc>
          <w:tcPr>
            <w:tcW w:w="900" w:type="dxa"/>
            <w:tcBorders>
              <w:top w:val="single" w:sz="4" w:space="0" w:color="000000"/>
              <w:left w:val="single" w:sz="12" w:space="0" w:color="000000"/>
              <w:bottom w:val="single" w:sz="4" w:space="0" w:color="000000"/>
              <w:right w:val="single" w:sz="12" w:space="0" w:color="auto"/>
            </w:tcBorders>
            <w:vAlign w:val="center"/>
          </w:tcPr>
          <w:p w14:paraId="0852A8D9" w14:textId="043315D3" w:rsidR="00EB7493" w:rsidRDefault="00EB7493" w:rsidP="008318CD">
            <w:pPr>
              <w:tabs>
                <w:tab w:val="center" w:pos="354"/>
              </w:tabs>
              <w:spacing w:after="0" w:line="259" w:lineRule="auto"/>
              <w:ind w:left="0" w:right="0" w:firstLine="0"/>
              <w:jc w:val="center"/>
            </w:pPr>
            <w:r>
              <w:rPr>
                <w:sz w:val="18"/>
              </w:rPr>
              <w:t>5</w:t>
            </w:r>
          </w:p>
        </w:tc>
        <w:tc>
          <w:tcPr>
            <w:tcW w:w="1092" w:type="dxa"/>
            <w:tcBorders>
              <w:top w:val="single" w:sz="4" w:space="0" w:color="auto"/>
              <w:left w:val="single" w:sz="12" w:space="0" w:color="auto"/>
              <w:bottom w:val="single" w:sz="4" w:space="0" w:color="auto"/>
              <w:right w:val="single" w:sz="12" w:space="0" w:color="000000"/>
            </w:tcBorders>
            <w:vAlign w:val="center"/>
          </w:tcPr>
          <w:p w14:paraId="662452F7" w14:textId="517FB26F" w:rsidR="00EB7493" w:rsidRDefault="00EB7493" w:rsidP="008318CD">
            <w:pPr>
              <w:spacing w:after="0" w:line="259" w:lineRule="auto"/>
              <w:ind w:left="0" w:right="46" w:firstLine="0"/>
              <w:jc w:val="center"/>
            </w:pPr>
            <w:r>
              <w:rPr>
                <w:rFonts w:eastAsia="Segoe UI Symbol"/>
                <w:sz w:val="18"/>
              </w:rPr>
              <w:t>u</w:t>
            </w:r>
            <w:r>
              <w:rPr>
                <w:sz w:val="18"/>
              </w:rPr>
              <w:t>g/kg</w:t>
            </w:r>
          </w:p>
        </w:tc>
        <w:tc>
          <w:tcPr>
            <w:tcW w:w="1217" w:type="dxa"/>
            <w:tcBorders>
              <w:top w:val="single" w:sz="4" w:space="0" w:color="000000"/>
              <w:left w:val="single" w:sz="12" w:space="0" w:color="000000"/>
              <w:bottom w:val="single" w:sz="4" w:space="0" w:color="000000"/>
              <w:right w:val="single" w:sz="12" w:space="0" w:color="000000"/>
            </w:tcBorders>
            <w:vAlign w:val="center"/>
          </w:tcPr>
          <w:p w14:paraId="1A8FA82C" w14:textId="2AED1C6D" w:rsidR="00EB7493" w:rsidRDefault="00EB7493" w:rsidP="008318CD">
            <w:pPr>
              <w:spacing w:after="0" w:line="259" w:lineRule="auto"/>
              <w:ind w:left="0" w:right="45" w:firstLine="0"/>
              <w:jc w:val="center"/>
            </w:pPr>
            <w:r>
              <w:rPr>
                <w:b/>
                <w:sz w:val="18"/>
              </w:rPr>
              <w:t>8260</w:t>
            </w:r>
          </w:p>
        </w:tc>
        <w:tc>
          <w:tcPr>
            <w:tcW w:w="1080" w:type="dxa"/>
            <w:tcBorders>
              <w:top w:val="single" w:sz="4" w:space="0" w:color="000000"/>
              <w:left w:val="single" w:sz="12" w:space="0" w:color="000000"/>
              <w:bottom w:val="single" w:sz="4" w:space="0" w:color="000000"/>
              <w:right w:val="single" w:sz="12" w:space="0" w:color="000000"/>
            </w:tcBorders>
            <w:vAlign w:val="center"/>
          </w:tcPr>
          <w:p w14:paraId="14335CAE" w14:textId="65683BBD" w:rsidR="00EB7493" w:rsidRDefault="00EB7493" w:rsidP="008318CD">
            <w:pPr>
              <w:spacing w:after="0" w:line="259" w:lineRule="auto"/>
              <w:ind w:left="0" w:right="5" w:firstLine="0"/>
              <w:jc w:val="center"/>
            </w:pPr>
          </w:p>
        </w:tc>
      </w:tr>
      <w:tr w:rsidR="00EB7493" w14:paraId="1BA54C11" w14:textId="77777777" w:rsidTr="00B1604E">
        <w:trPr>
          <w:trHeight w:val="250"/>
        </w:trPr>
        <w:tc>
          <w:tcPr>
            <w:tcW w:w="3256" w:type="dxa"/>
            <w:tcBorders>
              <w:top w:val="single" w:sz="4" w:space="0" w:color="000000"/>
              <w:left w:val="single" w:sz="12" w:space="0" w:color="000000"/>
              <w:bottom w:val="single" w:sz="4" w:space="0" w:color="000000"/>
              <w:right w:val="single" w:sz="12" w:space="0" w:color="000000"/>
            </w:tcBorders>
            <w:vAlign w:val="center"/>
          </w:tcPr>
          <w:p w14:paraId="259E1313" w14:textId="77777777" w:rsidR="00EB7493" w:rsidRDefault="00EB7493" w:rsidP="008318CD">
            <w:pPr>
              <w:spacing w:after="0" w:line="259" w:lineRule="auto"/>
              <w:ind w:left="0" w:right="0" w:firstLine="0"/>
            </w:pPr>
            <w:r>
              <w:rPr>
                <w:sz w:val="18"/>
              </w:rPr>
              <w:t xml:space="preserve">Carbon disulfide </w:t>
            </w:r>
          </w:p>
        </w:tc>
        <w:tc>
          <w:tcPr>
            <w:tcW w:w="1082" w:type="dxa"/>
            <w:tcBorders>
              <w:top w:val="single" w:sz="4" w:space="0" w:color="000000"/>
              <w:left w:val="single" w:sz="12" w:space="0" w:color="000000"/>
              <w:bottom w:val="single" w:sz="4" w:space="0" w:color="000000"/>
              <w:right w:val="single" w:sz="12" w:space="0" w:color="000000"/>
            </w:tcBorders>
            <w:vAlign w:val="center"/>
          </w:tcPr>
          <w:p w14:paraId="3C4E95D8" w14:textId="6AC8C010" w:rsidR="00EB7493" w:rsidRDefault="00EB7493" w:rsidP="008318CD">
            <w:pPr>
              <w:spacing w:after="0" w:line="259" w:lineRule="auto"/>
              <w:ind w:left="0" w:right="44" w:firstLine="0"/>
              <w:jc w:val="center"/>
            </w:pPr>
            <w:r>
              <w:rPr>
                <w:sz w:val="18"/>
              </w:rPr>
              <w:t>75-15-0</w:t>
            </w:r>
          </w:p>
        </w:tc>
        <w:tc>
          <w:tcPr>
            <w:tcW w:w="1001" w:type="dxa"/>
            <w:tcBorders>
              <w:top w:val="single" w:sz="4" w:space="0" w:color="000000"/>
              <w:left w:val="single" w:sz="12" w:space="0" w:color="000000"/>
              <w:bottom w:val="single" w:sz="4" w:space="0" w:color="000000"/>
              <w:right w:val="single" w:sz="12" w:space="0" w:color="000000"/>
            </w:tcBorders>
            <w:vAlign w:val="center"/>
          </w:tcPr>
          <w:p w14:paraId="2DD7666C" w14:textId="02DDFF2C" w:rsidR="00EB7493" w:rsidRDefault="00EB7493" w:rsidP="008318CD">
            <w:pPr>
              <w:tabs>
                <w:tab w:val="center" w:pos="488"/>
              </w:tabs>
              <w:spacing w:after="0" w:line="259" w:lineRule="auto"/>
              <w:ind w:left="0" w:right="0" w:firstLine="0"/>
              <w:jc w:val="center"/>
            </w:pPr>
            <w:r>
              <w:rPr>
                <w:sz w:val="18"/>
              </w:rPr>
              <w:t>20</w:t>
            </w:r>
          </w:p>
        </w:tc>
        <w:tc>
          <w:tcPr>
            <w:tcW w:w="992" w:type="dxa"/>
            <w:tcBorders>
              <w:top w:val="single" w:sz="4" w:space="0" w:color="000000"/>
              <w:left w:val="single" w:sz="12" w:space="0" w:color="000000"/>
              <w:bottom w:val="single" w:sz="4" w:space="0" w:color="000000"/>
              <w:right w:val="single" w:sz="12" w:space="0" w:color="000000"/>
            </w:tcBorders>
            <w:vAlign w:val="center"/>
          </w:tcPr>
          <w:p w14:paraId="3B8106BD" w14:textId="1992E7CB" w:rsidR="00EB7493" w:rsidRPr="000376D7" w:rsidRDefault="00EB7493" w:rsidP="008318CD">
            <w:pPr>
              <w:spacing w:after="0" w:line="259" w:lineRule="auto"/>
              <w:ind w:left="0" w:right="44" w:firstLine="0"/>
              <w:jc w:val="center"/>
            </w:pPr>
            <w:r w:rsidRPr="00CD5619">
              <w:rPr>
                <w:rFonts w:eastAsia="Segoe UI Symbol"/>
                <w:sz w:val="18"/>
              </w:rPr>
              <w:t>u</w:t>
            </w:r>
            <w:r w:rsidRPr="007C53EE">
              <w:rPr>
                <w:sz w:val="18"/>
              </w:rPr>
              <w:t>g/L</w:t>
            </w:r>
          </w:p>
        </w:tc>
        <w:tc>
          <w:tcPr>
            <w:tcW w:w="900" w:type="dxa"/>
            <w:tcBorders>
              <w:top w:val="single" w:sz="4" w:space="0" w:color="000000"/>
              <w:left w:val="single" w:sz="12" w:space="0" w:color="000000"/>
              <w:bottom w:val="single" w:sz="4" w:space="0" w:color="000000"/>
              <w:right w:val="single" w:sz="12" w:space="0" w:color="000000"/>
            </w:tcBorders>
            <w:vAlign w:val="center"/>
          </w:tcPr>
          <w:p w14:paraId="5FEC61C4" w14:textId="447A587E" w:rsidR="00EB7493" w:rsidRDefault="00EB7493" w:rsidP="008318CD">
            <w:pPr>
              <w:tabs>
                <w:tab w:val="center" w:pos="399"/>
              </w:tabs>
              <w:spacing w:after="0" w:line="259" w:lineRule="auto"/>
              <w:ind w:left="0" w:right="0" w:firstLine="0"/>
              <w:jc w:val="center"/>
            </w:pPr>
            <w:r>
              <w:rPr>
                <w:sz w:val="18"/>
              </w:rPr>
              <w:t>5</w:t>
            </w:r>
          </w:p>
        </w:tc>
        <w:tc>
          <w:tcPr>
            <w:tcW w:w="1092" w:type="dxa"/>
            <w:tcBorders>
              <w:top w:val="single" w:sz="4" w:space="0" w:color="auto"/>
              <w:left w:val="single" w:sz="12" w:space="0" w:color="000000"/>
              <w:bottom w:val="single" w:sz="4" w:space="0" w:color="000000"/>
              <w:right w:val="single" w:sz="12" w:space="0" w:color="000000"/>
            </w:tcBorders>
            <w:vAlign w:val="center"/>
          </w:tcPr>
          <w:p w14:paraId="0A6F85A1" w14:textId="33D3220D" w:rsidR="00EB7493" w:rsidRDefault="00EB7493" w:rsidP="008318CD">
            <w:pPr>
              <w:spacing w:after="0" w:line="259" w:lineRule="auto"/>
              <w:ind w:left="0" w:right="46" w:firstLine="0"/>
              <w:jc w:val="center"/>
            </w:pPr>
            <w:r>
              <w:rPr>
                <w:rFonts w:eastAsia="Segoe UI Symbol"/>
                <w:sz w:val="18"/>
              </w:rPr>
              <w:t>u</w:t>
            </w:r>
            <w:r>
              <w:rPr>
                <w:sz w:val="18"/>
              </w:rPr>
              <w:t>g/kg</w:t>
            </w:r>
          </w:p>
        </w:tc>
        <w:tc>
          <w:tcPr>
            <w:tcW w:w="1217" w:type="dxa"/>
            <w:tcBorders>
              <w:top w:val="single" w:sz="4" w:space="0" w:color="000000"/>
              <w:left w:val="single" w:sz="12" w:space="0" w:color="000000"/>
              <w:bottom w:val="single" w:sz="4" w:space="0" w:color="000000"/>
              <w:right w:val="single" w:sz="12" w:space="0" w:color="000000"/>
            </w:tcBorders>
            <w:vAlign w:val="center"/>
          </w:tcPr>
          <w:p w14:paraId="73663AC4" w14:textId="45CE2C42" w:rsidR="00EB7493" w:rsidRDefault="00EB7493" w:rsidP="008318CD">
            <w:pPr>
              <w:spacing w:after="0" w:line="259" w:lineRule="auto"/>
              <w:ind w:left="0" w:right="45" w:firstLine="0"/>
              <w:jc w:val="center"/>
            </w:pPr>
            <w:r>
              <w:rPr>
                <w:b/>
                <w:sz w:val="18"/>
              </w:rPr>
              <w:t>8260</w:t>
            </w:r>
          </w:p>
        </w:tc>
        <w:tc>
          <w:tcPr>
            <w:tcW w:w="1080" w:type="dxa"/>
            <w:tcBorders>
              <w:top w:val="single" w:sz="4" w:space="0" w:color="000000"/>
              <w:left w:val="single" w:sz="12" w:space="0" w:color="000000"/>
              <w:bottom w:val="single" w:sz="4" w:space="0" w:color="000000"/>
              <w:right w:val="single" w:sz="12" w:space="0" w:color="000000"/>
            </w:tcBorders>
            <w:vAlign w:val="center"/>
          </w:tcPr>
          <w:p w14:paraId="33E963C5" w14:textId="1184AA29" w:rsidR="00EB7493" w:rsidRDefault="00EB7493" w:rsidP="008318CD">
            <w:pPr>
              <w:spacing w:after="0" w:line="259" w:lineRule="auto"/>
              <w:ind w:left="0" w:right="5" w:firstLine="0"/>
              <w:jc w:val="center"/>
            </w:pPr>
          </w:p>
        </w:tc>
      </w:tr>
      <w:tr w:rsidR="00EB7493" w14:paraId="1F6975BE" w14:textId="77777777" w:rsidTr="00B1604E">
        <w:trPr>
          <w:trHeight w:val="250"/>
        </w:trPr>
        <w:tc>
          <w:tcPr>
            <w:tcW w:w="3256" w:type="dxa"/>
            <w:tcBorders>
              <w:top w:val="single" w:sz="4" w:space="0" w:color="000000"/>
              <w:left w:val="single" w:sz="12" w:space="0" w:color="000000"/>
              <w:bottom w:val="single" w:sz="4" w:space="0" w:color="000000"/>
              <w:right w:val="single" w:sz="12" w:space="0" w:color="000000"/>
            </w:tcBorders>
            <w:vAlign w:val="center"/>
          </w:tcPr>
          <w:p w14:paraId="2F63F74D" w14:textId="77777777" w:rsidR="00EB7493" w:rsidRDefault="00EB7493" w:rsidP="008318CD">
            <w:pPr>
              <w:spacing w:after="0" w:line="259" w:lineRule="auto"/>
              <w:ind w:left="0" w:right="0" w:firstLine="0"/>
            </w:pPr>
            <w:r>
              <w:rPr>
                <w:sz w:val="18"/>
              </w:rPr>
              <w:t xml:space="preserve">Carbon tetrachloride </w:t>
            </w:r>
          </w:p>
        </w:tc>
        <w:tc>
          <w:tcPr>
            <w:tcW w:w="1082" w:type="dxa"/>
            <w:tcBorders>
              <w:top w:val="single" w:sz="4" w:space="0" w:color="000000"/>
              <w:left w:val="single" w:sz="12" w:space="0" w:color="000000"/>
              <w:bottom w:val="single" w:sz="4" w:space="0" w:color="000000"/>
              <w:right w:val="single" w:sz="12" w:space="0" w:color="000000"/>
            </w:tcBorders>
            <w:vAlign w:val="center"/>
          </w:tcPr>
          <w:p w14:paraId="2913179F" w14:textId="298093A1" w:rsidR="00EB7493" w:rsidRDefault="00EB7493" w:rsidP="008318CD">
            <w:pPr>
              <w:spacing w:after="0" w:line="259" w:lineRule="auto"/>
              <w:ind w:left="0" w:right="44" w:firstLine="0"/>
              <w:jc w:val="center"/>
            </w:pPr>
            <w:r>
              <w:rPr>
                <w:sz w:val="18"/>
              </w:rPr>
              <w:t>56-23-5</w:t>
            </w:r>
          </w:p>
        </w:tc>
        <w:tc>
          <w:tcPr>
            <w:tcW w:w="1001" w:type="dxa"/>
            <w:tcBorders>
              <w:top w:val="single" w:sz="4" w:space="0" w:color="000000"/>
              <w:left w:val="single" w:sz="12" w:space="0" w:color="000000"/>
              <w:bottom w:val="single" w:sz="4" w:space="0" w:color="000000"/>
              <w:right w:val="single" w:sz="12" w:space="0" w:color="000000"/>
            </w:tcBorders>
            <w:vAlign w:val="center"/>
          </w:tcPr>
          <w:p w14:paraId="5C7DEFA6" w14:textId="20E5AA4E" w:rsidR="00EB7493" w:rsidRDefault="00EB7493" w:rsidP="008318CD">
            <w:pPr>
              <w:tabs>
                <w:tab w:val="center" w:pos="534"/>
              </w:tabs>
              <w:spacing w:after="0" w:line="259" w:lineRule="auto"/>
              <w:ind w:left="0" w:right="0" w:firstLine="0"/>
              <w:jc w:val="center"/>
            </w:pPr>
            <w:r>
              <w:rPr>
                <w:b/>
                <w:sz w:val="18"/>
              </w:rPr>
              <w:t>1</w:t>
            </w:r>
          </w:p>
        </w:tc>
        <w:tc>
          <w:tcPr>
            <w:tcW w:w="992" w:type="dxa"/>
            <w:tcBorders>
              <w:top w:val="single" w:sz="4" w:space="0" w:color="000000"/>
              <w:left w:val="single" w:sz="12" w:space="0" w:color="000000"/>
              <w:bottom w:val="single" w:sz="4" w:space="0" w:color="000000"/>
              <w:right w:val="single" w:sz="12" w:space="0" w:color="000000"/>
            </w:tcBorders>
            <w:vAlign w:val="center"/>
          </w:tcPr>
          <w:p w14:paraId="665F98AE" w14:textId="25C34535" w:rsidR="00EB7493" w:rsidRPr="000376D7" w:rsidRDefault="00EB7493" w:rsidP="008318CD">
            <w:pPr>
              <w:spacing w:after="0" w:line="259" w:lineRule="auto"/>
              <w:ind w:left="0" w:right="44" w:firstLine="0"/>
              <w:jc w:val="center"/>
            </w:pPr>
            <w:r w:rsidRPr="00CD5619">
              <w:rPr>
                <w:rFonts w:eastAsia="Segoe UI Symbol"/>
                <w:sz w:val="18"/>
              </w:rPr>
              <w:t>u</w:t>
            </w:r>
            <w:r w:rsidRPr="007C53EE">
              <w:rPr>
                <w:sz w:val="18"/>
              </w:rPr>
              <w:t>g/L</w:t>
            </w:r>
          </w:p>
        </w:tc>
        <w:tc>
          <w:tcPr>
            <w:tcW w:w="900" w:type="dxa"/>
            <w:tcBorders>
              <w:top w:val="single" w:sz="4" w:space="0" w:color="000000"/>
              <w:left w:val="single" w:sz="12" w:space="0" w:color="000000"/>
              <w:bottom w:val="single" w:sz="4" w:space="0" w:color="000000"/>
              <w:right w:val="single" w:sz="12" w:space="0" w:color="000000"/>
            </w:tcBorders>
            <w:vAlign w:val="center"/>
          </w:tcPr>
          <w:p w14:paraId="7C714232" w14:textId="4E157B1D" w:rsidR="00EB7493" w:rsidRDefault="00EB7493" w:rsidP="008318CD">
            <w:pPr>
              <w:tabs>
                <w:tab w:val="center" w:pos="445"/>
              </w:tabs>
              <w:spacing w:after="0" w:line="259" w:lineRule="auto"/>
              <w:ind w:left="0" w:right="0" w:firstLine="0"/>
              <w:jc w:val="center"/>
            </w:pPr>
            <w:r>
              <w:rPr>
                <w:sz w:val="18"/>
              </w:rPr>
              <w:t>5</w:t>
            </w:r>
          </w:p>
        </w:tc>
        <w:tc>
          <w:tcPr>
            <w:tcW w:w="1092" w:type="dxa"/>
            <w:tcBorders>
              <w:top w:val="single" w:sz="4" w:space="0" w:color="000000"/>
              <w:left w:val="single" w:sz="12" w:space="0" w:color="000000"/>
              <w:bottom w:val="single" w:sz="4" w:space="0" w:color="000000"/>
              <w:right w:val="single" w:sz="12" w:space="0" w:color="000000"/>
            </w:tcBorders>
            <w:vAlign w:val="center"/>
          </w:tcPr>
          <w:p w14:paraId="20056317" w14:textId="15170351" w:rsidR="00EB7493" w:rsidRDefault="00EB7493" w:rsidP="008318CD">
            <w:pPr>
              <w:spacing w:after="0" w:line="259" w:lineRule="auto"/>
              <w:ind w:left="0" w:right="46" w:firstLine="0"/>
              <w:jc w:val="center"/>
            </w:pPr>
            <w:r>
              <w:rPr>
                <w:rFonts w:eastAsia="Segoe UI Symbol"/>
                <w:sz w:val="18"/>
              </w:rPr>
              <w:t>u</w:t>
            </w:r>
            <w:r>
              <w:rPr>
                <w:sz w:val="18"/>
              </w:rPr>
              <w:t>g/kg</w:t>
            </w:r>
          </w:p>
        </w:tc>
        <w:tc>
          <w:tcPr>
            <w:tcW w:w="1217" w:type="dxa"/>
            <w:tcBorders>
              <w:top w:val="single" w:sz="4" w:space="0" w:color="000000"/>
              <w:left w:val="single" w:sz="12" w:space="0" w:color="000000"/>
              <w:bottom w:val="single" w:sz="4" w:space="0" w:color="000000"/>
              <w:right w:val="single" w:sz="12" w:space="0" w:color="000000"/>
            </w:tcBorders>
            <w:vAlign w:val="center"/>
          </w:tcPr>
          <w:p w14:paraId="09B724A1" w14:textId="4F42D80C" w:rsidR="00EB7493" w:rsidRDefault="00EB7493" w:rsidP="008318CD">
            <w:pPr>
              <w:spacing w:after="0" w:line="259" w:lineRule="auto"/>
              <w:ind w:left="0" w:right="45" w:firstLine="0"/>
              <w:jc w:val="center"/>
            </w:pPr>
            <w:r>
              <w:rPr>
                <w:b/>
                <w:sz w:val="18"/>
              </w:rPr>
              <w:t>8260</w:t>
            </w:r>
          </w:p>
        </w:tc>
        <w:tc>
          <w:tcPr>
            <w:tcW w:w="1080" w:type="dxa"/>
            <w:tcBorders>
              <w:top w:val="single" w:sz="4" w:space="0" w:color="000000"/>
              <w:left w:val="single" w:sz="12" w:space="0" w:color="000000"/>
              <w:bottom w:val="single" w:sz="4" w:space="0" w:color="000000"/>
              <w:right w:val="single" w:sz="12" w:space="0" w:color="000000"/>
            </w:tcBorders>
            <w:vAlign w:val="center"/>
          </w:tcPr>
          <w:p w14:paraId="5204DB9A" w14:textId="52671D60" w:rsidR="00EB7493" w:rsidRDefault="00EB7493" w:rsidP="008318CD">
            <w:pPr>
              <w:spacing w:after="0" w:line="259" w:lineRule="auto"/>
              <w:ind w:left="0" w:right="48" w:firstLine="0"/>
              <w:jc w:val="center"/>
            </w:pPr>
            <w:r>
              <w:rPr>
                <w:sz w:val="18"/>
              </w:rPr>
              <w:t>8021</w:t>
            </w:r>
          </w:p>
        </w:tc>
      </w:tr>
      <w:tr w:rsidR="00EB7493" w14:paraId="37065DA7" w14:textId="77777777" w:rsidTr="00B1604E">
        <w:trPr>
          <w:trHeight w:val="250"/>
        </w:trPr>
        <w:tc>
          <w:tcPr>
            <w:tcW w:w="3256" w:type="dxa"/>
            <w:tcBorders>
              <w:top w:val="single" w:sz="4" w:space="0" w:color="000000"/>
              <w:left w:val="single" w:sz="12" w:space="0" w:color="000000"/>
              <w:bottom w:val="single" w:sz="4" w:space="0" w:color="000000"/>
              <w:right w:val="single" w:sz="12" w:space="0" w:color="000000"/>
            </w:tcBorders>
            <w:vAlign w:val="center"/>
          </w:tcPr>
          <w:p w14:paraId="2BD6C8D9" w14:textId="77777777" w:rsidR="00EB7493" w:rsidRDefault="00EB7493" w:rsidP="008318CD">
            <w:pPr>
              <w:spacing w:after="0" w:line="259" w:lineRule="auto"/>
              <w:ind w:left="0" w:right="0" w:firstLine="0"/>
            </w:pPr>
            <w:r>
              <w:rPr>
                <w:sz w:val="18"/>
              </w:rPr>
              <w:t xml:space="preserve">Chlorobenzene </w:t>
            </w:r>
          </w:p>
        </w:tc>
        <w:tc>
          <w:tcPr>
            <w:tcW w:w="1082" w:type="dxa"/>
            <w:tcBorders>
              <w:top w:val="single" w:sz="4" w:space="0" w:color="000000"/>
              <w:left w:val="single" w:sz="12" w:space="0" w:color="000000"/>
              <w:bottom w:val="single" w:sz="4" w:space="0" w:color="000000"/>
              <w:right w:val="single" w:sz="12" w:space="0" w:color="000000"/>
            </w:tcBorders>
            <w:vAlign w:val="center"/>
          </w:tcPr>
          <w:p w14:paraId="69E409F7" w14:textId="58DEBD9F" w:rsidR="00EB7493" w:rsidRDefault="00EB7493" w:rsidP="008318CD">
            <w:pPr>
              <w:spacing w:after="0" w:line="259" w:lineRule="auto"/>
              <w:ind w:left="0" w:right="44" w:firstLine="0"/>
              <w:jc w:val="center"/>
            </w:pPr>
            <w:r>
              <w:rPr>
                <w:sz w:val="18"/>
              </w:rPr>
              <w:t>108-90-7</w:t>
            </w:r>
          </w:p>
        </w:tc>
        <w:tc>
          <w:tcPr>
            <w:tcW w:w="1001" w:type="dxa"/>
            <w:tcBorders>
              <w:top w:val="single" w:sz="4" w:space="0" w:color="000000"/>
              <w:left w:val="single" w:sz="12" w:space="0" w:color="000000"/>
              <w:bottom w:val="single" w:sz="4" w:space="0" w:color="000000"/>
              <w:right w:val="single" w:sz="12" w:space="0" w:color="000000"/>
            </w:tcBorders>
            <w:vAlign w:val="center"/>
          </w:tcPr>
          <w:p w14:paraId="6C5F4077" w14:textId="258A385E" w:rsidR="00EB7493" w:rsidRDefault="00EB7493" w:rsidP="008318CD">
            <w:pPr>
              <w:tabs>
                <w:tab w:val="center" w:pos="534"/>
              </w:tabs>
              <w:spacing w:after="0" w:line="259" w:lineRule="auto"/>
              <w:ind w:left="0" w:right="0" w:firstLine="0"/>
              <w:jc w:val="center"/>
            </w:pPr>
            <w:r>
              <w:rPr>
                <w:sz w:val="18"/>
              </w:rPr>
              <w:t>1</w:t>
            </w:r>
          </w:p>
        </w:tc>
        <w:tc>
          <w:tcPr>
            <w:tcW w:w="992" w:type="dxa"/>
            <w:tcBorders>
              <w:top w:val="single" w:sz="4" w:space="0" w:color="000000"/>
              <w:left w:val="single" w:sz="12" w:space="0" w:color="000000"/>
              <w:bottom w:val="single" w:sz="4" w:space="0" w:color="000000"/>
              <w:right w:val="single" w:sz="12" w:space="0" w:color="000000"/>
            </w:tcBorders>
            <w:vAlign w:val="center"/>
          </w:tcPr>
          <w:p w14:paraId="1D38F91D" w14:textId="42A13A5A" w:rsidR="00EB7493" w:rsidRPr="000376D7" w:rsidRDefault="00EB7493" w:rsidP="008318CD">
            <w:pPr>
              <w:spacing w:after="0" w:line="259" w:lineRule="auto"/>
              <w:ind w:left="0" w:right="44" w:firstLine="0"/>
              <w:jc w:val="center"/>
            </w:pPr>
            <w:r w:rsidRPr="00CD5619">
              <w:rPr>
                <w:rFonts w:eastAsia="Segoe UI Symbol"/>
                <w:sz w:val="18"/>
              </w:rPr>
              <w:t>u</w:t>
            </w:r>
            <w:r w:rsidRPr="007C53EE">
              <w:rPr>
                <w:sz w:val="18"/>
              </w:rPr>
              <w:t>g/L</w:t>
            </w:r>
          </w:p>
        </w:tc>
        <w:tc>
          <w:tcPr>
            <w:tcW w:w="900" w:type="dxa"/>
            <w:tcBorders>
              <w:top w:val="single" w:sz="4" w:space="0" w:color="000000"/>
              <w:left w:val="single" w:sz="12" w:space="0" w:color="000000"/>
              <w:bottom w:val="single" w:sz="4" w:space="0" w:color="000000"/>
              <w:right w:val="single" w:sz="12" w:space="0" w:color="000000"/>
            </w:tcBorders>
            <w:vAlign w:val="center"/>
          </w:tcPr>
          <w:p w14:paraId="2DB985F5" w14:textId="70A62CB0" w:rsidR="00EB7493" w:rsidRDefault="00EB7493" w:rsidP="008318CD">
            <w:pPr>
              <w:tabs>
                <w:tab w:val="center" w:pos="445"/>
              </w:tabs>
              <w:spacing w:after="0" w:line="259" w:lineRule="auto"/>
              <w:ind w:left="0" w:right="0" w:firstLine="0"/>
              <w:jc w:val="center"/>
            </w:pPr>
            <w:r>
              <w:rPr>
                <w:sz w:val="18"/>
              </w:rPr>
              <w:t>5</w:t>
            </w:r>
          </w:p>
        </w:tc>
        <w:tc>
          <w:tcPr>
            <w:tcW w:w="1092" w:type="dxa"/>
            <w:tcBorders>
              <w:top w:val="single" w:sz="4" w:space="0" w:color="000000"/>
              <w:left w:val="single" w:sz="12" w:space="0" w:color="000000"/>
              <w:bottom w:val="single" w:sz="4" w:space="0" w:color="000000"/>
              <w:right w:val="single" w:sz="12" w:space="0" w:color="000000"/>
            </w:tcBorders>
            <w:vAlign w:val="center"/>
          </w:tcPr>
          <w:p w14:paraId="4154D93A" w14:textId="6D1BFEC2" w:rsidR="00EB7493" w:rsidRDefault="00EB7493" w:rsidP="008318CD">
            <w:pPr>
              <w:spacing w:after="0" w:line="259" w:lineRule="auto"/>
              <w:ind w:left="0" w:right="46" w:firstLine="0"/>
              <w:jc w:val="center"/>
            </w:pPr>
            <w:r>
              <w:rPr>
                <w:rFonts w:eastAsia="Segoe UI Symbol"/>
                <w:sz w:val="18"/>
              </w:rPr>
              <w:t>u</w:t>
            </w:r>
            <w:r>
              <w:rPr>
                <w:sz w:val="18"/>
              </w:rPr>
              <w:t>g/kg</w:t>
            </w:r>
          </w:p>
        </w:tc>
        <w:tc>
          <w:tcPr>
            <w:tcW w:w="1217" w:type="dxa"/>
            <w:tcBorders>
              <w:top w:val="single" w:sz="4" w:space="0" w:color="000000"/>
              <w:left w:val="single" w:sz="12" w:space="0" w:color="000000"/>
              <w:bottom w:val="single" w:sz="4" w:space="0" w:color="000000"/>
              <w:right w:val="single" w:sz="12" w:space="0" w:color="000000"/>
            </w:tcBorders>
            <w:vAlign w:val="center"/>
          </w:tcPr>
          <w:p w14:paraId="6F1E5C03" w14:textId="3E485E1F" w:rsidR="00EB7493" w:rsidRDefault="00EB7493" w:rsidP="008318CD">
            <w:pPr>
              <w:spacing w:after="0" w:line="259" w:lineRule="auto"/>
              <w:ind w:left="0" w:right="45" w:firstLine="0"/>
              <w:jc w:val="center"/>
            </w:pPr>
            <w:r>
              <w:rPr>
                <w:b/>
                <w:sz w:val="18"/>
              </w:rPr>
              <w:t>8260</w:t>
            </w:r>
          </w:p>
        </w:tc>
        <w:tc>
          <w:tcPr>
            <w:tcW w:w="1080" w:type="dxa"/>
            <w:tcBorders>
              <w:top w:val="single" w:sz="4" w:space="0" w:color="000000"/>
              <w:left w:val="single" w:sz="12" w:space="0" w:color="000000"/>
              <w:bottom w:val="single" w:sz="4" w:space="0" w:color="000000"/>
              <w:right w:val="single" w:sz="12" w:space="0" w:color="000000"/>
            </w:tcBorders>
            <w:vAlign w:val="center"/>
          </w:tcPr>
          <w:p w14:paraId="7ABCC60A" w14:textId="794F936A" w:rsidR="00EB7493" w:rsidRDefault="00EB7493" w:rsidP="008318CD">
            <w:pPr>
              <w:spacing w:after="0" w:line="259" w:lineRule="auto"/>
              <w:ind w:left="0" w:right="48" w:firstLine="0"/>
              <w:jc w:val="center"/>
            </w:pPr>
            <w:r>
              <w:rPr>
                <w:sz w:val="18"/>
              </w:rPr>
              <w:t>8021</w:t>
            </w:r>
          </w:p>
        </w:tc>
      </w:tr>
      <w:tr w:rsidR="00EB7493" w14:paraId="4FA0390F" w14:textId="77777777" w:rsidTr="00B1604E">
        <w:trPr>
          <w:trHeight w:val="250"/>
        </w:trPr>
        <w:tc>
          <w:tcPr>
            <w:tcW w:w="3256" w:type="dxa"/>
            <w:tcBorders>
              <w:top w:val="single" w:sz="4" w:space="0" w:color="000000"/>
              <w:left w:val="single" w:sz="12" w:space="0" w:color="000000"/>
              <w:bottom w:val="single" w:sz="4" w:space="0" w:color="000000"/>
              <w:right w:val="single" w:sz="12" w:space="0" w:color="000000"/>
            </w:tcBorders>
            <w:vAlign w:val="center"/>
          </w:tcPr>
          <w:p w14:paraId="0A43986D" w14:textId="06C5137A" w:rsidR="00EB7493" w:rsidRDefault="00EB7493" w:rsidP="008318CD">
            <w:pPr>
              <w:spacing w:after="0" w:line="259" w:lineRule="auto"/>
              <w:ind w:left="0" w:right="0" w:firstLine="0"/>
            </w:pPr>
            <w:r>
              <w:rPr>
                <w:sz w:val="18"/>
              </w:rPr>
              <w:t>Chloroethane</w:t>
            </w:r>
          </w:p>
        </w:tc>
        <w:tc>
          <w:tcPr>
            <w:tcW w:w="1082" w:type="dxa"/>
            <w:tcBorders>
              <w:top w:val="single" w:sz="4" w:space="0" w:color="000000"/>
              <w:left w:val="single" w:sz="12" w:space="0" w:color="000000"/>
              <w:bottom w:val="single" w:sz="4" w:space="0" w:color="000000"/>
              <w:right w:val="single" w:sz="12" w:space="0" w:color="000000"/>
            </w:tcBorders>
            <w:vAlign w:val="center"/>
          </w:tcPr>
          <w:p w14:paraId="5E3B4F62" w14:textId="7CD746A2" w:rsidR="00EB7493" w:rsidRDefault="00EB7493" w:rsidP="008318CD">
            <w:pPr>
              <w:spacing w:after="0" w:line="259" w:lineRule="auto"/>
              <w:ind w:left="0" w:right="44" w:firstLine="0"/>
              <w:jc w:val="center"/>
            </w:pPr>
            <w:r>
              <w:rPr>
                <w:sz w:val="18"/>
              </w:rPr>
              <w:t>75-00-3</w:t>
            </w:r>
          </w:p>
        </w:tc>
        <w:tc>
          <w:tcPr>
            <w:tcW w:w="1001" w:type="dxa"/>
            <w:tcBorders>
              <w:top w:val="single" w:sz="4" w:space="0" w:color="000000"/>
              <w:left w:val="single" w:sz="12" w:space="0" w:color="000000"/>
              <w:bottom w:val="single" w:sz="4" w:space="0" w:color="000000"/>
              <w:right w:val="single" w:sz="12" w:space="0" w:color="000000"/>
            </w:tcBorders>
            <w:vAlign w:val="center"/>
          </w:tcPr>
          <w:p w14:paraId="24614EE0" w14:textId="2FD19513" w:rsidR="00EB7493" w:rsidRDefault="00EB7493" w:rsidP="008318CD">
            <w:pPr>
              <w:tabs>
                <w:tab w:val="center" w:pos="534"/>
              </w:tabs>
              <w:spacing w:after="0" w:line="259" w:lineRule="auto"/>
              <w:ind w:left="0" w:right="0" w:firstLine="0"/>
              <w:jc w:val="center"/>
            </w:pPr>
            <w:r>
              <w:rPr>
                <w:sz w:val="18"/>
              </w:rPr>
              <w:t>2</w:t>
            </w:r>
          </w:p>
        </w:tc>
        <w:tc>
          <w:tcPr>
            <w:tcW w:w="992" w:type="dxa"/>
            <w:tcBorders>
              <w:top w:val="single" w:sz="4" w:space="0" w:color="000000"/>
              <w:left w:val="single" w:sz="12" w:space="0" w:color="000000"/>
              <w:bottom w:val="single" w:sz="4" w:space="0" w:color="000000"/>
              <w:right w:val="single" w:sz="12" w:space="0" w:color="000000"/>
            </w:tcBorders>
            <w:vAlign w:val="center"/>
          </w:tcPr>
          <w:p w14:paraId="441BACE9" w14:textId="1650B77F" w:rsidR="00EB7493" w:rsidRPr="000376D7" w:rsidRDefault="00EB7493" w:rsidP="008318CD">
            <w:pPr>
              <w:spacing w:after="0" w:line="259" w:lineRule="auto"/>
              <w:ind w:left="0" w:right="44" w:firstLine="0"/>
              <w:jc w:val="center"/>
            </w:pPr>
            <w:r w:rsidRPr="00CD5619">
              <w:rPr>
                <w:rFonts w:eastAsia="Segoe UI Symbol"/>
                <w:sz w:val="18"/>
              </w:rPr>
              <w:t>u</w:t>
            </w:r>
            <w:r w:rsidRPr="007C53EE">
              <w:rPr>
                <w:sz w:val="18"/>
              </w:rPr>
              <w:t>g/L</w:t>
            </w:r>
          </w:p>
        </w:tc>
        <w:tc>
          <w:tcPr>
            <w:tcW w:w="900" w:type="dxa"/>
            <w:tcBorders>
              <w:top w:val="single" w:sz="4" w:space="0" w:color="000000"/>
              <w:left w:val="single" w:sz="12" w:space="0" w:color="000000"/>
              <w:bottom w:val="single" w:sz="4" w:space="0" w:color="000000"/>
              <w:right w:val="single" w:sz="12" w:space="0" w:color="000000"/>
            </w:tcBorders>
            <w:vAlign w:val="center"/>
          </w:tcPr>
          <w:p w14:paraId="74C52FB2" w14:textId="41F9EC6A" w:rsidR="00EB7493" w:rsidRDefault="00EB7493" w:rsidP="008318CD">
            <w:pPr>
              <w:tabs>
                <w:tab w:val="center" w:pos="399"/>
              </w:tabs>
              <w:spacing w:after="0" w:line="259" w:lineRule="auto"/>
              <w:ind w:left="0" w:right="0" w:firstLine="0"/>
              <w:jc w:val="center"/>
            </w:pPr>
            <w:r>
              <w:rPr>
                <w:sz w:val="18"/>
              </w:rPr>
              <w:t>10</w:t>
            </w:r>
          </w:p>
        </w:tc>
        <w:tc>
          <w:tcPr>
            <w:tcW w:w="1092" w:type="dxa"/>
            <w:tcBorders>
              <w:top w:val="single" w:sz="4" w:space="0" w:color="000000"/>
              <w:left w:val="single" w:sz="12" w:space="0" w:color="000000"/>
              <w:bottom w:val="single" w:sz="4" w:space="0" w:color="000000"/>
              <w:right w:val="single" w:sz="12" w:space="0" w:color="000000"/>
            </w:tcBorders>
            <w:vAlign w:val="center"/>
          </w:tcPr>
          <w:p w14:paraId="4BC3C3B0" w14:textId="711E3082" w:rsidR="00EB7493" w:rsidRDefault="00EB7493" w:rsidP="008318CD">
            <w:pPr>
              <w:spacing w:after="0" w:line="259" w:lineRule="auto"/>
              <w:ind w:left="0" w:right="46" w:firstLine="0"/>
              <w:jc w:val="center"/>
            </w:pPr>
            <w:r>
              <w:rPr>
                <w:rFonts w:eastAsia="Segoe UI Symbol"/>
                <w:sz w:val="18"/>
              </w:rPr>
              <w:t>u</w:t>
            </w:r>
            <w:r>
              <w:rPr>
                <w:sz w:val="18"/>
              </w:rPr>
              <w:t>g/kg</w:t>
            </w:r>
          </w:p>
        </w:tc>
        <w:tc>
          <w:tcPr>
            <w:tcW w:w="1217" w:type="dxa"/>
            <w:tcBorders>
              <w:top w:val="single" w:sz="4" w:space="0" w:color="000000"/>
              <w:left w:val="single" w:sz="12" w:space="0" w:color="000000"/>
              <w:bottom w:val="single" w:sz="4" w:space="0" w:color="000000"/>
              <w:right w:val="single" w:sz="12" w:space="0" w:color="000000"/>
            </w:tcBorders>
            <w:vAlign w:val="center"/>
          </w:tcPr>
          <w:p w14:paraId="303712E0" w14:textId="319C4274" w:rsidR="00EB7493" w:rsidRDefault="00EB7493" w:rsidP="008318CD">
            <w:pPr>
              <w:spacing w:after="0" w:line="259" w:lineRule="auto"/>
              <w:ind w:left="0" w:right="45" w:firstLine="0"/>
              <w:jc w:val="center"/>
            </w:pPr>
            <w:r>
              <w:rPr>
                <w:b/>
                <w:sz w:val="18"/>
              </w:rPr>
              <w:t>8260</w:t>
            </w:r>
          </w:p>
        </w:tc>
        <w:tc>
          <w:tcPr>
            <w:tcW w:w="1080" w:type="dxa"/>
            <w:tcBorders>
              <w:top w:val="single" w:sz="4" w:space="0" w:color="000000"/>
              <w:left w:val="single" w:sz="12" w:space="0" w:color="000000"/>
              <w:bottom w:val="single" w:sz="4" w:space="0" w:color="000000"/>
              <w:right w:val="single" w:sz="12" w:space="0" w:color="000000"/>
            </w:tcBorders>
            <w:vAlign w:val="center"/>
          </w:tcPr>
          <w:p w14:paraId="4BDBF058" w14:textId="52AE2246" w:rsidR="00EB7493" w:rsidRDefault="00EB7493" w:rsidP="008318CD">
            <w:pPr>
              <w:spacing w:after="0" w:line="259" w:lineRule="auto"/>
              <w:ind w:left="0" w:right="48" w:firstLine="0"/>
              <w:jc w:val="center"/>
            </w:pPr>
            <w:r>
              <w:rPr>
                <w:sz w:val="18"/>
              </w:rPr>
              <w:t>8021</w:t>
            </w:r>
          </w:p>
        </w:tc>
      </w:tr>
      <w:tr w:rsidR="00EB7493" w14:paraId="2C1EC047" w14:textId="77777777" w:rsidTr="00B1604E">
        <w:trPr>
          <w:trHeight w:val="250"/>
        </w:trPr>
        <w:tc>
          <w:tcPr>
            <w:tcW w:w="3256" w:type="dxa"/>
            <w:tcBorders>
              <w:top w:val="single" w:sz="4" w:space="0" w:color="000000"/>
              <w:left w:val="single" w:sz="12" w:space="0" w:color="000000"/>
              <w:bottom w:val="single" w:sz="4" w:space="0" w:color="000000"/>
              <w:right w:val="single" w:sz="12" w:space="0" w:color="000000"/>
            </w:tcBorders>
            <w:vAlign w:val="center"/>
          </w:tcPr>
          <w:p w14:paraId="50B9CD2A" w14:textId="77777777" w:rsidR="00EB7493" w:rsidRDefault="00EB7493" w:rsidP="008318CD">
            <w:pPr>
              <w:spacing w:after="0" w:line="259" w:lineRule="auto"/>
              <w:ind w:left="0" w:right="0" w:firstLine="0"/>
            </w:pPr>
            <w:r>
              <w:rPr>
                <w:sz w:val="18"/>
              </w:rPr>
              <w:t xml:space="preserve">Chloroform </w:t>
            </w:r>
          </w:p>
        </w:tc>
        <w:tc>
          <w:tcPr>
            <w:tcW w:w="1082" w:type="dxa"/>
            <w:tcBorders>
              <w:top w:val="single" w:sz="4" w:space="0" w:color="000000"/>
              <w:left w:val="single" w:sz="12" w:space="0" w:color="000000"/>
              <w:bottom w:val="single" w:sz="4" w:space="0" w:color="000000"/>
              <w:right w:val="single" w:sz="12" w:space="0" w:color="000000"/>
            </w:tcBorders>
            <w:vAlign w:val="center"/>
          </w:tcPr>
          <w:p w14:paraId="0300A080" w14:textId="7D65B1DD" w:rsidR="00EB7493" w:rsidRDefault="00EB7493" w:rsidP="008318CD">
            <w:pPr>
              <w:spacing w:after="0" w:line="259" w:lineRule="auto"/>
              <w:ind w:left="0" w:right="44" w:firstLine="0"/>
              <w:jc w:val="center"/>
            </w:pPr>
            <w:r>
              <w:rPr>
                <w:sz w:val="18"/>
              </w:rPr>
              <w:t>67-66-3</w:t>
            </w:r>
          </w:p>
        </w:tc>
        <w:tc>
          <w:tcPr>
            <w:tcW w:w="1001" w:type="dxa"/>
            <w:tcBorders>
              <w:top w:val="single" w:sz="4" w:space="0" w:color="000000"/>
              <w:left w:val="single" w:sz="12" w:space="0" w:color="000000"/>
              <w:bottom w:val="single" w:sz="4" w:space="0" w:color="000000"/>
              <w:right w:val="single" w:sz="12" w:space="0" w:color="000000"/>
            </w:tcBorders>
            <w:vAlign w:val="center"/>
          </w:tcPr>
          <w:p w14:paraId="4A19F29D" w14:textId="6C3AFC53" w:rsidR="00EB7493" w:rsidRDefault="00EB7493" w:rsidP="008318CD">
            <w:pPr>
              <w:tabs>
                <w:tab w:val="center" w:pos="534"/>
              </w:tabs>
              <w:spacing w:after="0" w:line="259" w:lineRule="auto"/>
              <w:ind w:left="0" w:right="0" w:firstLine="0"/>
              <w:jc w:val="center"/>
            </w:pPr>
            <w:r>
              <w:rPr>
                <w:sz w:val="18"/>
              </w:rPr>
              <w:t>1</w:t>
            </w:r>
          </w:p>
        </w:tc>
        <w:tc>
          <w:tcPr>
            <w:tcW w:w="992" w:type="dxa"/>
            <w:tcBorders>
              <w:top w:val="single" w:sz="4" w:space="0" w:color="000000"/>
              <w:left w:val="single" w:sz="12" w:space="0" w:color="000000"/>
              <w:bottom w:val="single" w:sz="4" w:space="0" w:color="000000"/>
              <w:right w:val="single" w:sz="12" w:space="0" w:color="000000"/>
            </w:tcBorders>
            <w:vAlign w:val="center"/>
          </w:tcPr>
          <w:p w14:paraId="607D6001" w14:textId="2DEEDB50" w:rsidR="00EB7493" w:rsidRPr="000376D7" w:rsidRDefault="00EB7493" w:rsidP="008318CD">
            <w:pPr>
              <w:spacing w:after="0" w:line="259" w:lineRule="auto"/>
              <w:ind w:left="0" w:right="44" w:firstLine="0"/>
              <w:jc w:val="center"/>
            </w:pPr>
            <w:r w:rsidRPr="00CD5619">
              <w:rPr>
                <w:rFonts w:eastAsia="Segoe UI Symbol"/>
                <w:sz w:val="18"/>
              </w:rPr>
              <w:t>u</w:t>
            </w:r>
            <w:r w:rsidRPr="007C53EE">
              <w:rPr>
                <w:sz w:val="18"/>
              </w:rPr>
              <w:t>g/L</w:t>
            </w:r>
          </w:p>
        </w:tc>
        <w:tc>
          <w:tcPr>
            <w:tcW w:w="900" w:type="dxa"/>
            <w:tcBorders>
              <w:top w:val="single" w:sz="4" w:space="0" w:color="000000"/>
              <w:left w:val="single" w:sz="12" w:space="0" w:color="000000"/>
              <w:bottom w:val="single" w:sz="4" w:space="0" w:color="000000"/>
              <w:right w:val="single" w:sz="12" w:space="0" w:color="000000"/>
            </w:tcBorders>
            <w:vAlign w:val="center"/>
          </w:tcPr>
          <w:p w14:paraId="44D8F794" w14:textId="1BF46B00" w:rsidR="00EB7493" w:rsidRDefault="00EB7493" w:rsidP="008318CD">
            <w:pPr>
              <w:tabs>
                <w:tab w:val="center" w:pos="445"/>
              </w:tabs>
              <w:spacing w:after="0" w:line="259" w:lineRule="auto"/>
              <w:ind w:left="0" w:right="0" w:firstLine="0"/>
              <w:jc w:val="center"/>
            </w:pPr>
            <w:r>
              <w:rPr>
                <w:sz w:val="18"/>
              </w:rPr>
              <w:t>5</w:t>
            </w:r>
          </w:p>
        </w:tc>
        <w:tc>
          <w:tcPr>
            <w:tcW w:w="1092" w:type="dxa"/>
            <w:tcBorders>
              <w:top w:val="single" w:sz="4" w:space="0" w:color="000000"/>
              <w:left w:val="single" w:sz="12" w:space="0" w:color="000000"/>
              <w:bottom w:val="single" w:sz="4" w:space="0" w:color="000000"/>
              <w:right w:val="single" w:sz="12" w:space="0" w:color="000000"/>
            </w:tcBorders>
            <w:vAlign w:val="center"/>
          </w:tcPr>
          <w:p w14:paraId="529ED436" w14:textId="3F6059EA" w:rsidR="00EB7493" w:rsidRDefault="00EB7493" w:rsidP="008318CD">
            <w:pPr>
              <w:spacing w:after="0" w:line="259" w:lineRule="auto"/>
              <w:ind w:left="0" w:right="46" w:firstLine="0"/>
              <w:jc w:val="center"/>
            </w:pPr>
            <w:r>
              <w:rPr>
                <w:rFonts w:eastAsia="Segoe UI Symbol"/>
                <w:sz w:val="18"/>
              </w:rPr>
              <w:t>u</w:t>
            </w:r>
            <w:r>
              <w:rPr>
                <w:sz w:val="18"/>
              </w:rPr>
              <w:t>g/kg</w:t>
            </w:r>
          </w:p>
        </w:tc>
        <w:tc>
          <w:tcPr>
            <w:tcW w:w="1217" w:type="dxa"/>
            <w:tcBorders>
              <w:top w:val="single" w:sz="4" w:space="0" w:color="000000"/>
              <w:left w:val="single" w:sz="12" w:space="0" w:color="000000"/>
              <w:bottom w:val="single" w:sz="4" w:space="0" w:color="000000"/>
              <w:right w:val="single" w:sz="12" w:space="0" w:color="000000"/>
            </w:tcBorders>
            <w:vAlign w:val="center"/>
          </w:tcPr>
          <w:p w14:paraId="32400797" w14:textId="6E663548" w:rsidR="00EB7493" w:rsidRDefault="00EB7493" w:rsidP="008318CD">
            <w:pPr>
              <w:spacing w:after="0" w:line="259" w:lineRule="auto"/>
              <w:ind w:left="0" w:right="45" w:firstLine="0"/>
              <w:jc w:val="center"/>
            </w:pPr>
            <w:r>
              <w:rPr>
                <w:b/>
                <w:sz w:val="18"/>
              </w:rPr>
              <w:t>8260</w:t>
            </w:r>
          </w:p>
        </w:tc>
        <w:tc>
          <w:tcPr>
            <w:tcW w:w="1080" w:type="dxa"/>
            <w:tcBorders>
              <w:top w:val="single" w:sz="4" w:space="0" w:color="000000"/>
              <w:left w:val="single" w:sz="12" w:space="0" w:color="000000"/>
              <w:bottom w:val="single" w:sz="4" w:space="0" w:color="000000"/>
              <w:right w:val="single" w:sz="12" w:space="0" w:color="000000"/>
            </w:tcBorders>
            <w:vAlign w:val="center"/>
          </w:tcPr>
          <w:p w14:paraId="5D6FFBE1" w14:textId="6216EBBD" w:rsidR="00EB7493" w:rsidRDefault="00EB7493" w:rsidP="008318CD">
            <w:pPr>
              <w:spacing w:after="0" w:line="259" w:lineRule="auto"/>
              <w:ind w:left="0" w:right="48" w:firstLine="0"/>
              <w:jc w:val="center"/>
            </w:pPr>
            <w:r>
              <w:rPr>
                <w:sz w:val="18"/>
              </w:rPr>
              <w:t>8021</w:t>
            </w:r>
          </w:p>
        </w:tc>
      </w:tr>
      <w:tr w:rsidR="00EB7493" w14:paraId="15670B0B" w14:textId="77777777" w:rsidTr="00B1604E">
        <w:trPr>
          <w:trHeight w:val="252"/>
        </w:trPr>
        <w:tc>
          <w:tcPr>
            <w:tcW w:w="3256" w:type="dxa"/>
            <w:tcBorders>
              <w:top w:val="single" w:sz="4" w:space="0" w:color="000000"/>
              <w:left w:val="single" w:sz="12" w:space="0" w:color="000000"/>
              <w:bottom w:val="single" w:sz="4" w:space="0" w:color="000000"/>
              <w:right w:val="single" w:sz="12" w:space="0" w:color="000000"/>
            </w:tcBorders>
            <w:vAlign w:val="center"/>
          </w:tcPr>
          <w:p w14:paraId="32C33FF5" w14:textId="77777777" w:rsidR="00EB7493" w:rsidRDefault="00EB7493" w:rsidP="008318CD">
            <w:pPr>
              <w:spacing w:after="0" w:line="259" w:lineRule="auto"/>
              <w:ind w:left="0" w:right="0" w:firstLine="0"/>
            </w:pPr>
            <w:r>
              <w:rPr>
                <w:sz w:val="18"/>
              </w:rPr>
              <w:t xml:space="preserve">Chloromethane </w:t>
            </w:r>
          </w:p>
        </w:tc>
        <w:tc>
          <w:tcPr>
            <w:tcW w:w="1082" w:type="dxa"/>
            <w:tcBorders>
              <w:top w:val="single" w:sz="4" w:space="0" w:color="000000"/>
              <w:left w:val="single" w:sz="12" w:space="0" w:color="000000"/>
              <w:bottom w:val="single" w:sz="4" w:space="0" w:color="000000"/>
              <w:right w:val="single" w:sz="12" w:space="0" w:color="000000"/>
            </w:tcBorders>
            <w:vAlign w:val="center"/>
          </w:tcPr>
          <w:p w14:paraId="07795D85" w14:textId="245E90BF" w:rsidR="00EB7493" w:rsidRDefault="00EB7493" w:rsidP="008318CD">
            <w:pPr>
              <w:spacing w:after="0" w:line="259" w:lineRule="auto"/>
              <w:ind w:left="0" w:right="44" w:firstLine="0"/>
              <w:jc w:val="center"/>
            </w:pPr>
            <w:r>
              <w:rPr>
                <w:sz w:val="18"/>
              </w:rPr>
              <w:t>74-87-3</w:t>
            </w:r>
          </w:p>
        </w:tc>
        <w:tc>
          <w:tcPr>
            <w:tcW w:w="1001" w:type="dxa"/>
            <w:tcBorders>
              <w:top w:val="single" w:sz="4" w:space="0" w:color="000000"/>
              <w:left w:val="single" w:sz="12" w:space="0" w:color="000000"/>
              <w:bottom w:val="single" w:sz="4" w:space="0" w:color="000000"/>
              <w:right w:val="single" w:sz="12" w:space="0" w:color="000000"/>
            </w:tcBorders>
            <w:vAlign w:val="center"/>
          </w:tcPr>
          <w:p w14:paraId="56055DAE" w14:textId="6CCE88B8" w:rsidR="00EB7493" w:rsidRDefault="00EB7493" w:rsidP="008318CD">
            <w:pPr>
              <w:tabs>
                <w:tab w:val="center" w:pos="534"/>
              </w:tabs>
              <w:spacing w:after="0" w:line="259" w:lineRule="auto"/>
              <w:ind w:left="0" w:right="0" w:firstLine="0"/>
              <w:jc w:val="center"/>
            </w:pPr>
            <w:r>
              <w:rPr>
                <w:sz w:val="18"/>
              </w:rPr>
              <w:t>2</w:t>
            </w:r>
          </w:p>
        </w:tc>
        <w:tc>
          <w:tcPr>
            <w:tcW w:w="992" w:type="dxa"/>
            <w:tcBorders>
              <w:top w:val="single" w:sz="4" w:space="0" w:color="000000"/>
              <w:left w:val="single" w:sz="12" w:space="0" w:color="000000"/>
              <w:bottom w:val="single" w:sz="4" w:space="0" w:color="000000"/>
              <w:right w:val="single" w:sz="12" w:space="0" w:color="000000"/>
            </w:tcBorders>
            <w:vAlign w:val="center"/>
          </w:tcPr>
          <w:p w14:paraId="26E7B60D" w14:textId="4A5FE34B" w:rsidR="00EB7493" w:rsidRPr="000376D7" w:rsidRDefault="00EB7493" w:rsidP="008318CD">
            <w:pPr>
              <w:spacing w:after="0" w:line="259" w:lineRule="auto"/>
              <w:ind w:left="0" w:right="44" w:firstLine="0"/>
              <w:jc w:val="center"/>
            </w:pPr>
            <w:r w:rsidRPr="00CD5619">
              <w:rPr>
                <w:rFonts w:eastAsia="Segoe UI Symbol"/>
                <w:sz w:val="18"/>
              </w:rPr>
              <w:t>u</w:t>
            </w:r>
            <w:r w:rsidRPr="007C53EE">
              <w:rPr>
                <w:sz w:val="18"/>
              </w:rPr>
              <w:t>g/L</w:t>
            </w:r>
          </w:p>
        </w:tc>
        <w:tc>
          <w:tcPr>
            <w:tcW w:w="900" w:type="dxa"/>
            <w:tcBorders>
              <w:top w:val="single" w:sz="4" w:space="0" w:color="000000"/>
              <w:left w:val="single" w:sz="12" w:space="0" w:color="000000"/>
              <w:bottom w:val="single" w:sz="4" w:space="0" w:color="000000"/>
              <w:right w:val="single" w:sz="12" w:space="0" w:color="000000"/>
            </w:tcBorders>
            <w:vAlign w:val="center"/>
          </w:tcPr>
          <w:p w14:paraId="223FE266" w14:textId="0CE47C1B" w:rsidR="00EB7493" w:rsidRDefault="00EB7493" w:rsidP="008318CD">
            <w:pPr>
              <w:tabs>
                <w:tab w:val="center" w:pos="399"/>
              </w:tabs>
              <w:spacing w:after="0" w:line="259" w:lineRule="auto"/>
              <w:ind w:left="0" w:right="0" w:firstLine="0"/>
              <w:jc w:val="center"/>
            </w:pPr>
            <w:r>
              <w:rPr>
                <w:sz w:val="18"/>
              </w:rPr>
              <w:t>10</w:t>
            </w:r>
          </w:p>
        </w:tc>
        <w:tc>
          <w:tcPr>
            <w:tcW w:w="1092" w:type="dxa"/>
            <w:tcBorders>
              <w:top w:val="single" w:sz="4" w:space="0" w:color="000000"/>
              <w:left w:val="single" w:sz="12" w:space="0" w:color="000000"/>
              <w:bottom w:val="single" w:sz="4" w:space="0" w:color="000000"/>
              <w:right w:val="single" w:sz="12" w:space="0" w:color="000000"/>
            </w:tcBorders>
            <w:vAlign w:val="center"/>
          </w:tcPr>
          <w:p w14:paraId="07DD1616" w14:textId="5B9F962D" w:rsidR="00EB7493" w:rsidRDefault="00EB7493" w:rsidP="008318CD">
            <w:pPr>
              <w:spacing w:after="0" w:line="259" w:lineRule="auto"/>
              <w:ind w:left="0" w:right="46" w:firstLine="0"/>
              <w:jc w:val="center"/>
            </w:pPr>
            <w:r>
              <w:rPr>
                <w:rFonts w:eastAsia="Segoe UI Symbol"/>
                <w:sz w:val="18"/>
              </w:rPr>
              <w:t>u</w:t>
            </w:r>
            <w:r>
              <w:rPr>
                <w:sz w:val="18"/>
              </w:rPr>
              <w:t>g/kg</w:t>
            </w:r>
          </w:p>
        </w:tc>
        <w:tc>
          <w:tcPr>
            <w:tcW w:w="1217" w:type="dxa"/>
            <w:tcBorders>
              <w:top w:val="single" w:sz="4" w:space="0" w:color="000000"/>
              <w:left w:val="single" w:sz="12" w:space="0" w:color="000000"/>
              <w:bottom w:val="single" w:sz="4" w:space="0" w:color="000000"/>
              <w:right w:val="single" w:sz="12" w:space="0" w:color="000000"/>
            </w:tcBorders>
            <w:vAlign w:val="center"/>
          </w:tcPr>
          <w:p w14:paraId="47A4F1DB" w14:textId="145125B3" w:rsidR="00EB7493" w:rsidRDefault="00EB7493" w:rsidP="008318CD">
            <w:pPr>
              <w:spacing w:after="0" w:line="259" w:lineRule="auto"/>
              <w:ind w:left="0" w:right="45" w:firstLine="0"/>
              <w:jc w:val="center"/>
            </w:pPr>
            <w:r>
              <w:rPr>
                <w:b/>
                <w:sz w:val="18"/>
              </w:rPr>
              <w:t>8260</w:t>
            </w:r>
          </w:p>
        </w:tc>
        <w:tc>
          <w:tcPr>
            <w:tcW w:w="1080" w:type="dxa"/>
            <w:tcBorders>
              <w:top w:val="single" w:sz="4" w:space="0" w:color="000000"/>
              <w:left w:val="single" w:sz="12" w:space="0" w:color="000000"/>
              <w:bottom w:val="single" w:sz="4" w:space="0" w:color="000000"/>
              <w:right w:val="single" w:sz="12" w:space="0" w:color="000000"/>
            </w:tcBorders>
            <w:vAlign w:val="center"/>
          </w:tcPr>
          <w:p w14:paraId="1DDF2A50" w14:textId="08200658" w:rsidR="00EB7493" w:rsidRDefault="00EB7493" w:rsidP="008318CD">
            <w:pPr>
              <w:spacing w:after="0" w:line="259" w:lineRule="auto"/>
              <w:ind w:left="0" w:right="48" w:firstLine="0"/>
              <w:jc w:val="center"/>
            </w:pPr>
            <w:r>
              <w:rPr>
                <w:sz w:val="18"/>
              </w:rPr>
              <w:t>8021</w:t>
            </w:r>
          </w:p>
        </w:tc>
      </w:tr>
      <w:tr w:rsidR="00EB7493" w14:paraId="5B05DDF3" w14:textId="77777777" w:rsidTr="00B1604E">
        <w:trPr>
          <w:trHeight w:val="250"/>
        </w:trPr>
        <w:tc>
          <w:tcPr>
            <w:tcW w:w="3256" w:type="dxa"/>
            <w:tcBorders>
              <w:top w:val="single" w:sz="4" w:space="0" w:color="000000"/>
              <w:left w:val="single" w:sz="12" w:space="0" w:color="000000"/>
              <w:bottom w:val="single" w:sz="4" w:space="0" w:color="000000"/>
              <w:right w:val="single" w:sz="12" w:space="0" w:color="000000"/>
            </w:tcBorders>
            <w:vAlign w:val="center"/>
          </w:tcPr>
          <w:p w14:paraId="2D1F5F84" w14:textId="77777777" w:rsidR="00EB7493" w:rsidRDefault="00EB7493" w:rsidP="008318CD">
            <w:pPr>
              <w:spacing w:after="0" w:line="259" w:lineRule="auto"/>
              <w:ind w:left="0" w:right="0" w:firstLine="0"/>
            </w:pPr>
            <w:r>
              <w:rPr>
                <w:sz w:val="18"/>
              </w:rPr>
              <w:t xml:space="preserve">1,2-Dibromoethane (EDB) </w:t>
            </w:r>
          </w:p>
        </w:tc>
        <w:tc>
          <w:tcPr>
            <w:tcW w:w="1082" w:type="dxa"/>
            <w:tcBorders>
              <w:top w:val="single" w:sz="4" w:space="0" w:color="000000"/>
              <w:left w:val="single" w:sz="12" w:space="0" w:color="000000"/>
              <w:bottom w:val="single" w:sz="4" w:space="0" w:color="000000"/>
              <w:right w:val="single" w:sz="12" w:space="0" w:color="000000"/>
            </w:tcBorders>
            <w:vAlign w:val="center"/>
          </w:tcPr>
          <w:p w14:paraId="27A01F79" w14:textId="4FA007EE" w:rsidR="00EB7493" w:rsidRDefault="00EB7493" w:rsidP="008318CD">
            <w:pPr>
              <w:spacing w:after="0" w:line="259" w:lineRule="auto"/>
              <w:ind w:left="0" w:right="44" w:firstLine="0"/>
              <w:jc w:val="center"/>
            </w:pPr>
            <w:r>
              <w:rPr>
                <w:sz w:val="18"/>
              </w:rPr>
              <w:t>106-93-4</w:t>
            </w:r>
          </w:p>
        </w:tc>
        <w:tc>
          <w:tcPr>
            <w:tcW w:w="1001" w:type="dxa"/>
            <w:tcBorders>
              <w:top w:val="single" w:sz="4" w:space="0" w:color="000000"/>
              <w:left w:val="single" w:sz="12" w:space="0" w:color="000000"/>
              <w:bottom w:val="single" w:sz="4" w:space="0" w:color="000000"/>
              <w:right w:val="single" w:sz="12" w:space="0" w:color="000000"/>
            </w:tcBorders>
            <w:vAlign w:val="center"/>
          </w:tcPr>
          <w:p w14:paraId="44E43A9A" w14:textId="1082E145" w:rsidR="00EB7493" w:rsidRDefault="00EB7493" w:rsidP="008318CD">
            <w:pPr>
              <w:tabs>
                <w:tab w:val="center" w:pos="534"/>
              </w:tabs>
              <w:spacing w:after="0" w:line="259" w:lineRule="auto"/>
              <w:ind w:left="0" w:right="0" w:firstLine="0"/>
              <w:jc w:val="center"/>
            </w:pPr>
            <w:r>
              <w:rPr>
                <w:sz w:val="18"/>
              </w:rPr>
              <w:t>1</w:t>
            </w:r>
          </w:p>
        </w:tc>
        <w:tc>
          <w:tcPr>
            <w:tcW w:w="992" w:type="dxa"/>
            <w:tcBorders>
              <w:top w:val="single" w:sz="4" w:space="0" w:color="000000"/>
              <w:left w:val="single" w:sz="12" w:space="0" w:color="000000"/>
              <w:bottom w:val="single" w:sz="4" w:space="0" w:color="000000"/>
              <w:right w:val="single" w:sz="12" w:space="0" w:color="000000"/>
            </w:tcBorders>
            <w:vAlign w:val="center"/>
          </w:tcPr>
          <w:p w14:paraId="02A8F107" w14:textId="0808D914" w:rsidR="00EB7493" w:rsidRPr="000376D7" w:rsidRDefault="00EB7493" w:rsidP="008318CD">
            <w:pPr>
              <w:spacing w:after="0" w:line="259" w:lineRule="auto"/>
              <w:ind w:left="0" w:right="44" w:firstLine="0"/>
              <w:jc w:val="center"/>
            </w:pPr>
            <w:r w:rsidRPr="00CD5619">
              <w:rPr>
                <w:rFonts w:eastAsia="Segoe UI Symbol"/>
                <w:sz w:val="18"/>
              </w:rPr>
              <w:t>u</w:t>
            </w:r>
            <w:r w:rsidRPr="007C53EE">
              <w:rPr>
                <w:sz w:val="18"/>
              </w:rPr>
              <w:t>g/L</w:t>
            </w:r>
          </w:p>
        </w:tc>
        <w:tc>
          <w:tcPr>
            <w:tcW w:w="900" w:type="dxa"/>
            <w:tcBorders>
              <w:top w:val="single" w:sz="4" w:space="0" w:color="000000"/>
              <w:left w:val="single" w:sz="12" w:space="0" w:color="000000"/>
              <w:bottom w:val="single" w:sz="4" w:space="0" w:color="000000"/>
              <w:right w:val="single" w:sz="12" w:space="0" w:color="000000"/>
            </w:tcBorders>
            <w:vAlign w:val="center"/>
          </w:tcPr>
          <w:p w14:paraId="26334D2C" w14:textId="41F9845A" w:rsidR="00EB7493" w:rsidRDefault="00EB7493" w:rsidP="008318CD">
            <w:pPr>
              <w:tabs>
                <w:tab w:val="center" w:pos="445"/>
              </w:tabs>
              <w:spacing w:after="0" w:line="259" w:lineRule="auto"/>
              <w:ind w:left="0" w:right="0" w:firstLine="0"/>
              <w:jc w:val="center"/>
            </w:pPr>
            <w:r>
              <w:rPr>
                <w:sz w:val="18"/>
              </w:rPr>
              <w:t>5</w:t>
            </w:r>
          </w:p>
        </w:tc>
        <w:tc>
          <w:tcPr>
            <w:tcW w:w="1092" w:type="dxa"/>
            <w:tcBorders>
              <w:top w:val="single" w:sz="4" w:space="0" w:color="000000"/>
              <w:left w:val="single" w:sz="12" w:space="0" w:color="000000"/>
              <w:bottom w:val="single" w:sz="4" w:space="0" w:color="000000"/>
              <w:right w:val="single" w:sz="12" w:space="0" w:color="000000"/>
            </w:tcBorders>
            <w:vAlign w:val="center"/>
          </w:tcPr>
          <w:p w14:paraId="19244A3C" w14:textId="567C92E8" w:rsidR="00EB7493" w:rsidRDefault="00EB7493" w:rsidP="008318CD">
            <w:pPr>
              <w:spacing w:after="0" w:line="259" w:lineRule="auto"/>
              <w:ind w:left="0" w:right="46" w:firstLine="0"/>
              <w:jc w:val="center"/>
            </w:pPr>
            <w:r>
              <w:rPr>
                <w:rFonts w:eastAsia="Segoe UI Symbol"/>
                <w:sz w:val="18"/>
              </w:rPr>
              <w:t>u</w:t>
            </w:r>
            <w:r>
              <w:rPr>
                <w:sz w:val="18"/>
              </w:rPr>
              <w:t>g/kg</w:t>
            </w:r>
          </w:p>
        </w:tc>
        <w:tc>
          <w:tcPr>
            <w:tcW w:w="1217" w:type="dxa"/>
            <w:tcBorders>
              <w:top w:val="single" w:sz="4" w:space="0" w:color="000000"/>
              <w:left w:val="single" w:sz="12" w:space="0" w:color="000000"/>
              <w:bottom w:val="single" w:sz="4" w:space="0" w:color="000000"/>
              <w:right w:val="single" w:sz="12" w:space="0" w:color="000000"/>
            </w:tcBorders>
            <w:vAlign w:val="center"/>
          </w:tcPr>
          <w:p w14:paraId="2040A196" w14:textId="041CA26E" w:rsidR="00EB7493" w:rsidRDefault="00EB7493" w:rsidP="008318CD">
            <w:pPr>
              <w:spacing w:after="0" w:line="259" w:lineRule="auto"/>
              <w:ind w:left="0" w:right="45" w:firstLine="0"/>
              <w:jc w:val="center"/>
            </w:pPr>
            <w:r>
              <w:rPr>
                <w:b/>
                <w:sz w:val="18"/>
              </w:rPr>
              <w:t>8260</w:t>
            </w:r>
          </w:p>
        </w:tc>
        <w:tc>
          <w:tcPr>
            <w:tcW w:w="1080" w:type="dxa"/>
            <w:tcBorders>
              <w:top w:val="single" w:sz="4" w:space="0" w:color="000000"/>
              <w:left w:val="single" w:sz="12" w:space="0" w:color="000000"/>
              <w:bottom w:val="single" w:sz="4" w:space="0" w:color="000000"/>
              <w:right w:val="single" w:sz="12" w:space="0" w:color="000000"/>
            </w:tcBorders>
            <w:vAlign w:val="center"/>
          </w:tcPr>
          <w:p w14:paraId="6A83BD66" w14:textId="599008C3" w:rsidR="00EB7493" w:rsidRDefault="00EB7493" w:rsidP="008318CD">
            <w:pPr>
              <w:spacing w:after="0" w:line="259" w:lineRule="auto"/>
              <w:ind w:left="0" w:right="48" w:firstLine="0"/>
              <w:jc w:val="center"/>
            </w:pPr>
            <w:r>
              <w:rPr>
                <w:sz w:val="18"/>
              </w:rPr>
              <w:t>8021</w:t>
            </w:r>
          </w:p>
        </w:tc>
      </w:tr>
      <w:tr w:rsidR="00EB7493" w14:paraId="46F15CB7" w14:textId="77777777" w:rsidTr="00B1604E">
        <w:trPr>
          <w:trHeight w:val="250"/>
        </w:trPr>
        <w:tc>
          <w:tcPr>
            <w:tcW w:w="3256" w:type="dxa"/>
            <w:tcBorders>
              <w:top w:val="single" w:sz="4" w:space="0" w:color="000000"/>
              <w:left w:val="single" w:sz="12" w:space="0" w:color="000000"/>
              <w:bottom w:val="single" w:sz="4" w:space="0" w:color="000000"/>
              <w:right w:val="single" w:sz="12" w:space="0" w:color="000000"/>
            </w:tcBorders>
            <w:vAlign w:val="center"/>
          </w:tcPr>
          <w:p w14:paraId="0B20A2B3" w14:textId="77777777" w:rsidR="00EB7493" w:rsidRDefault="00EB7493" w:rsidP="008318CD">
            <w:pPr>
              <w:spacing w:after="0" w:line="259" w:lineRule="auto"/>
              <w:ind w:left="0" w:right="0" w:firstLine="0"/>
            </w:pPr>
            <w:proofErr w:type="spellStart"/>
            <w:r>
              <w:rPr>
                <w:sz w:val="18"/>
              </w:rPr>
              <w:t>Dibromomethane</w:t>
            </w:r>
            <w:proofErr w:type="spellEnd"/>
            <w:r>
              <w:rPr>
                <w:sz w:val="18"/>
              </w:rPr>
              <w:t xml:space="preserve"> </w:t>
            </w:r>
          </w:p>
        </w:tc>
        <w:tc>
          <w:tcPr>
            <w:tcW w:w="1082" w:type="dxa"/>
            <w:tcBorders>
              <w:top w:val="single" w:sz="4" w:space="0" w:color="000000"/>
              <w:left w:val="single" w:sz="12" w:space="0" w:color="000000"/>
              <w:bottom w:val="single" w:sz="4" w:space="0" w:color="000000"/>
              <w:right w:val="single" w:sz="12" w:space="0" w:color="000000"/>
            </w:tcBorders>
            <w:vAlign w:val="center"/>
          </w:tcPr>
          <w:p w14:paraId="7E0E6452" w14:textId="05AD0087" w:rsidR="00EB7493" w:rsidRDefault="00EB7493" w:rsidP="008318CD">
            <w:pPr>
              <w:spacing w:after="0" w:line="259" w:lineRule="auto"/>
              <w:ind w:left="0" w:right="44" w:firstLine="0"/>
              <w:jc w:val="center"/>
            </w:pPr>
            <w:r>
              <w:rPr>
                <w:sz w:val="18"/>
              </w:rPr>
              <w:t>74-95-3</w:t>
            </w:r>
          </w:p>
        </w:tc>
        <w:tc>
          <w:tcPr>
            <w:tcW w:w="1001" w:type="dxa"/>
            <w:tcBorders>
              <w:top w:val="single" w:sz="4" w:space="0" w:color="000000"/>
              <w:left w:val="single" w:sz="12" w:space="0" w:color="000000"/>
              <w:bottom w:val="single" w:sz="4" w:space="0" w:color="000000"/>
              <w:right w:val="single" w:sz="12" w:space="0" w:color="000000"/>
            </w:tcBorders>
            <w:vAlign w:val="center"/>
          </w:tcPr>
          <w:p w14:paraId="092B9FF1" w14:textId="06FE18F7" w:rsidR="00EB7493" w:rsidRDefault="00EB7493" w:rsidP="008318CD">
            <w:pPr>
              <w:tabs>
                <w:tab w:val="center" w:pos="534"/>
              </w:tabs>
              <w:spacing w:after="0" w:line="259" w:lineRule="auto"/>
              <w:ind w:left="0" w:right="0" w:firstLine="0"/>
              <w:jc w:val="center"/>
            </w:pPr>
            <w:r>
              <w:rPr>
                <w:sz w:val="18"/>
              </w:rPr>
              <w:t>1</w:t>
            </w:r>
          </w:p>
        </w:tc>
        <w:tc>
          <w:tcPr>
            <w:tcW w:w="992" w:type="dxa"/>
            <w:tcBorders>
              <w:top w:val="single" w:sz="4" w:space="0" w:color="000000"/>
              <w:left w:val="single" w:sz="12" w:space="0" w:color="000000"/>
              <w:bottom w:val="single" w:sz="4" w:space="0" w:color="000000"/>
              <w:right w:val="single" w:sz="12" w:space="0" w:color="000000"/>
            </w:tcBorders>
            <w:vAlign w:val="center"/>
          </w:tcPr>
          <w:p w14:paraId="69A3A7A8" w14:textId="5D1080D0" w:rsidR="00EB7493" w:rsidRPr="000376D7" w:rsidRDefault="00EB7493" w:rsidP="008318CD">
            <w:pPr>
              <w:spacing w:after="0" w:line="259" w:lineRule="auto"/>
              <w:ind w:left="0" w:right="44" w:firstLine="0"/>
              <w:jc w:val="center"/>
            </w:pPr>
            <w:r w:rsidRPr="00CD5619">
              <w:rPr>
                <w:rFonts w:eastAsia="Segoe UI Symbol"/>
                <w:sz w:val="18"/>
              </w:rPr>
              <w:t>u</w:t>
            </w:r>
            <w:r w:rsidRPr="007C53EE">
              <w:rPr>
                <w:sz w:val="18"/>
              </w:rPr>
              <w:t>g/L</w:t>
            </w:r>
          </w:p>
        </w:tc>
        <w:tc>
          <w:tcPr>
            <w:tcW w:w="900" w:type="dxa"/>
            <w:tcBorders>
              <w:top w:val="single" w:sz="4" w:space="0" w:color="000000"/>
              <w:left w:val="single" w:sz="12" w:space="0" w:color="000000"/>
              <w:bottom w:val="single" w:sz="4" w:space="0" w:color="000000"/>
              <w:right w:val="single" w:sz="12" w:space="0" w:color="000000"/>
            </w:tcBorders>
            <w:vAlign w:val="center"/>
          </w:tcPr>
          <w:p w14:paraId="4663C055" w14:textId="5C04193E" w:rsidR="00EB7493" w:rsidRDefault="00EB7493" w:rsidP="008318CD">
            <w:pPr>
              <w:tabs>
                <w:tab w:val="center" w:pos="445"/>
              </w:tabs>
              <w:spacing w:after="0" w:line="259" w:lineRule="auto"/>
              <w:ind w:left="0" w:right="0" w:firstLine="0"/>
              <w:jc w:val="center"/>
            </w:pPr>
            <w:r>
              <w:rPr>
                <w:sz w:val="18"/>
              </w:rPr>
              <w:t>5</w:t>
            </w:r>
          </w:p>
        </w:tc>
        <w:tc>
          <w:tcPr>
            <w:tcW w:w="1092" w:type="dxa"/>
            <w:tcBorders>
              <w:top w:val="single" w:sz="4" w:space="0" w:color="000000"/>
              <w:left w:val="single" w:sz="12" w:space="0" w:color="000000"/>
              <w:bottom w:val="single" w:sz="4" w:space="0" w:color="000000"/>
              <w:right w:val="single" w:sz="12" w:space="0" w:color="000000"/>
            </w:tcBorders>
            <w:vAlign w:val="center"/>
          </w:tcPr>
          <w:p w14:paraId="7BD650B8" w14:textId="2EE1394F" w:rsidR="00EB7493" w:rsidRDefault="00EB7493" w:rsidP="008318CD">
            <w:pPr>
              <w:spacing w:after="0" w:line="259" w:lineRule="auto"/>
              <w:ind w:left="0" w:right="46" w:firstLine="0"/>
              <w:jc w:val="center"/>
            </w:pPr>
            <w:r>
              <w:rPr>
                <w:rFonts w:eastAsia="Segoe UI Symbol"/>
                <w:sz w:val="18"/>
              </w:rPr>
              <w:t>u</w:t>
            </w:r>
            <w:r>
              <w:rPr>
                <w:sz w:val="18"/>
              </w:rPr>
              <w:t>g/kg</w:t>
            </w:r>
          </w:p>
        </w:tc>
        <w:tc>
          <w:tcPr>
            <w:tcW w:w="1217" w:type="dxa"/>
            <w:tcBorders>
              <w:top w:val="single" w:sz="4" w:space="0" w:color="000000"/>
              <w:left w:val="single" w:sz="12" w:space="0" w:color="000000"/>
              <w:bottom w:val="single" w:sz="4" w:space="0" w:color="000000"/>
              <w:right w:val="single" w:sz="12" w:space="0" w:color="000000"/>
            </w:tcBorders>
            <w:vAlign w:val="center"/>
          </w:tcPr>
          <w:p w14:paraId="67E3ACDC" w14:textId="5D2A9788" w:rsidR="00EB7493" w:rsidRDefault="00EB7493" w:rsidP="008318CD">
            <w:pPr>
              <w:spacing w:after="0" w:line="259" w:lineRule="auto"/>
              <w:ind w:left="0" w:right="45" w:firstLine="0"/>
              <w:jc w:val="center"/>
            </w:pPr>
            <w:r>
              <w:rPr>
                <w:b/>
                <w:sz w:val="18"/>
              </w:rPr>
              <w:t>8260</w:t>
            </w:r>
          </w:p>
        </w:tc>
        <w:tc>
          <w:tcPr>
            <w:tcW w:w="1080" w:type="dxa"/>
            <w:tcBorders>
              <w:top w:val="single" w:sz="4" w:space="0" w:color="000000"/>
              <w:left w:val="single" w:sz="12" w:space="0" w:color="000000"/>
              <w:bottom w:val="single" w:sz="4" w:space="0" w:color="000000"/>
              <w:right w:val="single" w:sz="12" w:space="0" w:color="000000"/>
            </w:tcBorders>
            <w:vAlign w:val="center"/>
          </w:tcPr>
          <w:p w14:paraId="246B643E" w14:textId="460432CB" w:rsidR="00EB7493" w:rsidRDefault="00EB7493" w:rsidP="008318CD">
            <w:pPr>
              <w:spacing w:after="0" w:line="259" w:lineRule="auto"/>
              <w:ind w:left="0" w:right="48" w:firstLine="0"/>
              <w:jc w:val="center"/>
            </w:pPr>
            <w:r>
              <w:rPr>
                <w:sz w:val="18"/>
              </w:rPr>
              <w:t>8021</w:t>
            </w:r>
          </w:p>
        </w:tc>
      </w:tr>
      <w:tr w:rsidR="00EB7493" w14:paraId="5F1A2353" w14:textId="77777777" w:rsidTr="00B1604E">
        <w:trPr>
          <w:trHeight w:val="250"/>
        </w:trPr>
        <w:tc>
          <w:tcPr>
            <w:tcW w:w="3256" w:type="dxa"/>
            <w:tcBorders>
              <w:top w:val="single" w:sz="4" w:space="0" w:color="000000"/>
              <w:left w:val="single" w:sz="12" w:space="0" w:color="000000"/>
              <w:bottom w:val="single" w:sz="4" w:space="0" w:color="000000"/>
              <w:right w:val="single" w:sz="12" w:space="0" w:color="000000"/>
            </w:tcBorders>
            <w:vAlign w:val="center"/>
          </w:tcPr>
          <w:p w14:paraId="347EA92E" w14:textId="77777777" w:rsidR="00EB7493" w:rsidRDefault="00EB7493" w:rsidP="008318CD">
            <w:pPr>
              <w:spacing w:after="0" w:line="259" w:lineRule="auto"/>
              <w:ind w:left="0" w:right="0" w:firstLine="0"/>
            </w:pPr>
            <w:r>
              <w:rPr>
                <w:sz w:val="18"/>
              </w:rPr>
              <w:t xml:space="preserve">1,2-Dichlorobenzene </w:t>
            </w:r>
          </w:p>
        </w:tc>
        <w:tc>
          <w:tcPr>
            <w:tcW w:w="1082" w:type="dxa"/>
            <w:tcBorders>
              <w:top w:val="single" w:sz="4" w:space="0" w:color="000000"/>
              <w:left w:val="single" w:sz="12" w:space="0" w:color="000000"/>
              <w:bottom w:val="single" w:sz="4" w:space="0" w:color="000000"/>
              <w:right w:val="single" w:sz="12" w:space="0" w:color="000000"/>
            </w:tcBorders>
            <w:vAlign w:val="center"/>
          </w:tcPr>
          <w:p w14:paraId="7A2D153C" w14:textId="2A1D6F49" w:rsidR="00EB7493" w:rsidRDefault="00EB7493" w:rsidP="008318CD">
            <w:pPr>
              <w:spacing w:after="0" w:line="259" w:lineRule="auto"/>
              <w:ind w:left="0" w:right="44" w:firstLine="0"/>
              <w:jc w:val="center"/>
            </w:pPr>
            <w:r>
              <w:rPr>
                <w:sz w:val="18"/>
              </w:rPr>
              <w:t>95-50-1</w:t>
            </w:r>
          </w:p>
        </w:tc>
        <w:tc>
          <w:tcPr>
            <w:tcW w:w="1001" w:type="dxa"/>
            <w:tcBorders>
              <w:top w:val="single" w:sz="4" w:space="0" w:color="000000"/>
              <w:left w:val="single" w:sz="12" w:space="0" w:color="000000"/>
              <w:bottom w:val="single" w:sz="4" w:space="0" w:color="000000"/>
              <w:right w:val="single" w:sz="12" w:space="0" w:color="000000"/>
            </w:tcBorders>
            <w:vAlign w:val="center"/>
          </w:tcPr>
          <w:p w14:paraId="2E94A299" w14:textId="18234016" w:rsidR="00EB7493" w:rsidRDefault="00EB7493" w:rsidP="008318CD">
            <w:pPr>
              <w:tabs>
                <w:tab w:val="center" w:pos="534"/>
              </w:tabs>
              <w:spacing w:after="0" w:line="259" w:lineRule="auto"/>
              <w:ind w:left="0" w:right="0" w:firstLine="0"/>
              <w:jc w:val="center"/>
            </w:pPr>
            <w:r>
              <w:rPr>
                <w:sz w:val="18"/>
              </w:rPr>
              <w:t>1</w:t>
            </w:r>
          </w:p>
        </w:tc>
        <w:tc>
          <w:tcPr>
            <w:tcW w:w="992" w:type="dxa"/>
            <w:tcBorders>
              <w:top w:val="single" w:sz="4" w:space="0" w:color="000000"/>
              <w:left w:val="single" w:sz="12" w:space="0" w:color="000000"/>
              <w:bottom w:val="single" w:sz="4" w:space="0" w:color="000000"/>
              <w:right w:val="single" w:sz="12" w:space="0" w:color="000000"/>
            </w:tcBorders>
            <w:vAlign w:val="center"/>
          </w:tcPr>
          <w:p w14:paraId="172E8E8B" w14:textId="1B5E58B9" w:rsidR="00EB7493" w:rsidRPr="000376D7" w:rsidRDefault="00EB7493" w:rsidP="008318CD">
            <w:pPr>
              <w:spacing w:after="0" w:line="259" w:lineRule="auto"/>
              <w:ind w:left="0" w:right="44" w:firstLine="0"/>
              <w:jc w:val="center"/>
            </w:pPr>
            <w:r w:rsidRPr="00CD5619">
              <w:rPr>
                <w:rFonts w:eastAsia="Segoe UI Symbol"/>
                <w:sz w:val="18"/>
              </w:rPr>
              <w:t>u</w:t>
            </w:r>
            <w:r w:rsidRPr="007C53EE">
              <w:rPr>
                <w:sz w:val="18"/>
              </w:rPr>
              <w:t>g/L</w:t>
            </w:r>
          </w:p>
        </w:tc>
        <w:tc>
          <w:tcPr>
            <w:tcW w:w="900" w:type="dxa"/>
            <w:tcBorders>
              <w:top w:val="single" w:sz="4" w:space="0" w:color="000000"/>
              <w:left w:val="single" w:sz="12" w:space="0" w:color="000000"/>
              <w:bottom w:val="single" w:sz="4" w:space="0" w:color="000000"/>
              <w:right w:val="single" w:sz="12" w:space="0" w:color="000000"/>
            </w:tcBorders>
            <w:vAlign w:val="center"/>
          </w:tcPr>
          <w:p w14:paraId="701F1E7E" w14:textId="24493F95" w:rsidR="00EB7493" w:rsidRDefault="00EB7493" w:rsidP="008318CD">
            <w:pPr>
              <w:tabs>
                <w:tab w:val="center" w:pos="354"/>
              </w:tabs>
              <w:spacing w:after="0" w:line="259" w:lineRule="auto"/>
              <w:ind w:left="0" w:right="0" w:firstLine="0"/>
              <w:jc w:val="center"/>
            </w:pPr>
            <w:r>
              <w:rPr>
                <w:sz w:val="18"/>
              </w:rPr>
              <w:t>5</w:t>
            </w:r>
          </w:p>
        </w:tc>
        <w:tc>
          <w:tcPr>
            <w:tcW w:w="1092" w:type="dxa"/>
            <w:tcBorders>
              <w:top w:val="single" w:sz="4" w:space="0" w:color="000000"/>
              <w:left w:val="single" w:sz="12" w:space="0" w:color="000000"/>
              <w:bottom w:val="single" w:sz="4" w:space="0" w:color="000000"/>
              <w:right w:val="single" w:sz="12" w:space="0" w:color="000000"/>
            </w:tcBorders>
            <w:vAlign w:val="center"/>
          </w:tcPr>
          <w:p w14:paraId="74E1CA38" w14:textId="129E7878" w:rsidR="00EB7493" w:rsidRDefault="00EB7493" w:rsidP="008318CD">
            <w:pPr>
              <w:spacing w:after="0" w:line="259" w:lineRule="auto"/>
              <w:ind w:left="0" w:right="46" w:firstLine="0"/>
              <w:jc w:val="center"/>
            </w:pPr>
            <w:r>
              <w:rPr>
                <w:rFonts w:eastAsia="Segoe UI Symbol"/>
                <w:sz w:val="18"/>
              </w:rPr>
              <w:t>u</w:t>
            </w:r>
            <w:r>
              <w:rPr>
                <w:sz w:val="18"/>
              </w:rPr>
              <w:t>g/kg</w:t>
            </w:r>
          </w:p>
        </w:tc>
        <w:tc>
          <w:tcPr>
            <w:tcW w:w="1217" w:type="dxa"/>
            <w:tcBorders>
              <w:top w:val="single" w:sz="4" w:space="0" w:color="000000"/>
              <w:left w:val="single" w:sz="12" w:space="0" w:color="000000"/>
              <w:bottom w:val="single" w:sz="4" w:space="0" w:color="000000"/>
              <w:right w:val="single" w:sz="12" w:space="0" w:color="000000"/>
            </w:tcBorders>
            <w:vAlign w:val="center"/>
          </w:tcPr>
          <w:p w14:paraId="1517CFB1" w14:textId="0D7E64B0" w:rsidR="00EB7493" w:rsidRDefault="00EB7493" w:rsidP="008318CD">
            <w:pPr>
              <w:spacing w:after="0" w:line="259" w:lineRule="auto"/>
              <w:ind w:left="0" w:right="45" w:firstLine="0"/>
              <w:jc w:val="center"/>
            </w:pPr>
            <w:r>
              <w:rPr>
                <w:b/>
                <w:sz w:val="18"/>
              </w:rPr>
              <w:t>8260</w:t>
            </w:r>
          </w:p>
        </w:tc>
        <w:tc>
          <w:tcPr>
            <w:tcW w:w="1080" w:type="dxa"/>
            <w:tcBorders>
              <w:top w:val="single" w:sz="4" w:space="0" w:color="000000"/>
              <w:left w:val="single" w:sz="12" w:space="0" w:color="000000"/>
              <w:bottom w:val="single" w:sz="4" w:space="0" w:color="000000"/>
              <w:right w:val="single" w:sz="12" w:space="0" w:color="000000"/>
            </w:tcBorders>
            <w:vAlign w:val="center"/>
          </w:tcPr>
          <w:p w14:paraId="4D876AD4" w14:textId="44E95F3F" w:rsidR="00EB7493" w:rsidRDefault="00EB7493" w:rsidP="008318CD">
            <w:pPr>
              <w:spacing w:after="0" w:line="259" w:lineRule="auto"/>
              <w:ind w:left="0" w:right="48" w:firstLine="0"/>
              <w:jc w:val="center"/>
            </w:pPr>
            <w:r>
              <w:rPr>
                <w:sz w:val="18"/>
              </w:rPr>
              <w:t>8021</w:t>
            </w:r>
          </w:p>
        </w:tc>
      </w:tr>
      <w:tr w:rsidR="00EB7493" w14:paraId="1160C34D" w14:textId="77777777" w:rsidTr="00B1604E">
        <w:trPr>
          <w:trHeight w:val="250"/>
        </w:trPr>
        <w:tc>
          <w:tcPr>
            <w:tcW w:w="3256" w:type="dxa"/>
            <w:tcBorders>
              <w:top w:val="single" w:sz="4" w:space="0" w:color="000000"/>
              <w:left w:val="single" w:sz="12" w:space="0" w:color="000000"/>
              <w:bottom w:val="single" w:sz="4" w:space="0" w:color="000000"/>
              <w:right w:val="single" w:sz="12" w:space="0" w:color="000000"/>
            </w:tcBorders>
            <w:vAlign w:val="center"/>
          </w:tcPr>
          <w:p w14:paraId="08CA1EF7" w14:textId="77777777" w:rsidR="00EB7493" w:rsidRDefault="00EB7493" w:rsidP="008318CD">
            <w:pPr>
              <w:spacing w:after="0" w:line="259" w:lineRule="auto"/>
              <w:ind w:left="0" w:right="0" w:firstLine="0"/>
            </w:pPr>
            <w:r>
              <w:rPr>
                <w:sz w:val="18"/>
              </w:rPr>
              <w:t xml:space="preserve">1,3-Dichlorobenzene </w:t>
            </w:r>
          </w:p>
        </w:tc>
        <w:tc>
          <w:tcPr>
            <w:tcW w:w="1082" w:type="dxa"/>
            <w:tcBorders>
              <w:top w:val="single" w:sz="4" w:space="0" w:color="000000"/>
              <w:left w:val="single" w:sz="12" w:space="0" w:color="000000"/>
              <w:bottom w:val="single" w:sz="4" w:space="0" w:color="000000"/>
              <w:right w:val="single" w:sz="12" w:space="0" w:color="000000"/>
            </w:tcBorders>
            <w:vAlign w:val="center"/>
          </w:tcPr>
          <w:p w14:paraId="4D12AE37" w14:textId="47F7CD47" w:rsidR="00EB7493" w:rsidRDefault="00EB7493" w:rsidP="008318CD">
            <w:pPr>
              <w:spacing w:after="0" w:line="259" w:lineRule="auto"/>
              <w:ind w:left="0" w:right="44" w:firstLine="0"/>
              <w:jc w:val="center"/>
            </w:pPr>
            <w:r>
              <w:rPr>
                <w:sz w:val="18"/>
              </w:rPr>
              <w:t>541-73-1</w:t>
            </w:r>
          </w:p>
        </w:tc>
        <w:tc>
          <w:tcPr>
            <w:tcW w:w="1001" w:type="dxa"/>
            <w:tcBorders>
              <w:top w:val="single" w:sz="4" w:space="0" w:color="000000"/>
              <w:left w:val="single" w:sz="12" w:space="0" w:color="000000"/>
              <w:bottom w:val="single" w:sz="4" w:space="0" w:color="000000"/>
              <w:right w:val="single" w:sz="12" w:space="0" w:color="000000"/>
            </w:tcBorders>
            <w:vAlign w:val="center"/>
          </w:tcPr>
          <w:p w14:paraId="60B24E91" w14:textId="5466EA91" w:rsidR="00EB7493" w:rsidRDefault="00EB7493" w:rsidP="008318CD">
            <w:pPr>
              <w:tabs>
                <w:tab w:val="center" w:pos="534"/>
              </w:tabs>
              <w:spacing w:after="0" w:line="259" w:lineRule="auto"/>
              <w:ind w:left="0" w:right="0" w:firstLine="0"/>
              <w:jc w:val="center"/>
            </w:pPr>
            <w:r>
              <w:rPr>
                <w:sz w:val="18"/>
              </w:rPr>
              <w:t>1</w:t>
            </w:r>
          </w:p>
        </w:tc>
        <w:tc>
          <w:tcPr>
            <w:tcW w:w="992" w:type="dxa"/>
            <w:tcBorders>
              <w:top w:val="single" w:sz="4" w:space="0" w:color="000000"/>
              <w:left w:val="single" w:sz="12" w:space="0" w:color="000000"/>
              <w:bottom w:val="single" w:sz="4" w:space="0" w:color="000000"/>
              <w:right w:val="single" w:sz="12" w:space="0" w:color="000000"/>
            </w:tcBorders>
            <w:vAlign w:val="center"/>
          </w:tcPr>
          <w:p w14:paraId="337D01AB" w14:textId="0B41AF05" w:rsidR="00EB7493" w:rsidRPr="000376D7" w:rsidRDefault="00EB7493" w:rsidP="008318CD">
            <w:pPr>
              <w:spacing w:after="0" w:line="259" w:lineRule="auto"/>
              <w:ind w:left="0" w:right="44" w:firstLine="0"/>
              <w:jc w:val="center"/>
            </w:pPr>
            <w:r w:rsidRPr="00CD5619">
              <w:rPr>
                <w:rFonts w:eastAsia="Segoe UI Symbol"/>
                <w:sz w:val="18"/>
              </w:rPr>
              <w:t>u</w:t>
            </w:r>
            <w:r w:rsidRPr="007C53EE">
              <w:rPr>
                <w:sz w:val="18"/>
              </w:rPr>
              <w:t>g/L</w:t>
            </w:r>
          </w:p>
        </w:tc>
        <w:tc>
          <w:tcPr>
            <w:tcW w:w="900" w:type="dxa"/>
            <w:tcBorders>
              <w:top w:val="single" w:sz="4" w:space="0" w:color="000000"/>
              <w:left w:val="single" w:sz="12" w:space="0" w:color="000000"/>
              <w:bottom w:val="single" w:sz="4" w:space="0" w:color="000000"/>
              <w:right w:val="single" w:sz="12" w:space="0" w:color="000000"/>
            </w:tcBorders>
            <w:vAlign w:val="center"/>
          </w:tcPr>
          <w:p w14:paraId="5DB5D3A9" w14:textId="40E394D2" w:rsidR="00EB7493" w:rsidRDefault="00EB7493" w:rsidP="008318CD">
            <w:pPr>
              <w:tabs>
                <w:tab w:val="center" w:pos="354"/>
              </w:tabs>
              <w:spacing w:after="0" w:line="259" w:lineRule="auto"/>
              <w:ind w:left="0" w:right="0" w:firstLine="0"/>
              <w:jc w:val="center"/>
            </w:pPr>
            <w:r>
              <w:rPr>
                <w:sz w:val="18"/>
              </w:rPr>
              <w:t>5</w:t>
            </w:r>
          </w:p>
        </w:tc>
        <w:tc>
          <w:tcPr>
            <w:tcW w:w="1092" w:type="dxa"/>
            <w:tcBorders>
              <w:top w:val="single" w:sz="4" w:space="0" w:color="000000"/>
              <w:left w:val="single" w:sz="12" w:space="0" w:color="000000"/>
              <w:bottom w:val="single" w:sz="4" w:space="0" w:color="000000"/>
              <w:right w:val="single" w:sz="12" w:space="0" w:color="000000"/>
            </w:tcBorders>
            <w:vAlign w:val="center"/>
          </w:tcPr>
          <w:p w14:paraId="2385F2BB" w14:textId="29B19E03" w:rsidR="00EB7493" w:rsidRDefault="00EB7493" w:rsidP="008318CD">
            <w:pPr>
              <w:spacing w:after="0" w:line="259" w:lineRule="auto"/>
              <w:ind w:left="0" w:right="46" w:firstLine="0"/>
              <w:jc w:val="center"/>
            </w:pPr>
            <w:r>
              <w:rPr>
                <w:rFonts w:eastAsia="Segoe UI Symbol"/>
                <w:sz w:val="18"/>
              </w:rPr>
              <w:t>u</w:t>
            </w:r>
            <w:r>
              <w:rPr>
                <w:sz w:val="18"/>
              </w:rPr>
              <w:t>g/kg</w:t>
            </w:r>
          </w:p>
        </w:tc>
        <w:tc>
          <w:tcPr>
            <w:tcW w:w="1217" w:type="dxa"/>
            <w:tcBorders>
              <w:top w:val="single" w:sz="4" w:space="0" w:color="000000"/>
              <w:left w:val="single" w:sz="12" w:space="0" w:color="000000"/>
              <w:bottom w:val="single" w:sz="4" w:space="0" w:color="000000"/>
              <w:right w:val="single" w:sz="12" w:space="0" w:color="000000"/>
            </w:tcBorders>
            <w:vAlign w:val="center"/>
          </w:tcPr>
          <w:p w14:paraId="64BDBED5" w14:textId="71E40D55" w:rsidR="00EB7493" w:rsidRDefault="00EB7493" w:rsidP="008318CD">
            <w:pPr>
              <w:spacing w:after="0" w:line="259" w:lineRule="auto"/>
              <w:ind w:left="0" w:right="45" w:firstLine="0"/>
              <w:jc w:val="center"/>
            </w:pPr>
            <w:r>
              <w:rPr>
                <w:b/>
                <w:sz w:val="18"/>
              </w:rPr>
              <w:t>8260</w:t>
            </w:r>
          </w:p>
        </w:tc>
        <w:tc>
          <w:tcPr>
            <w:tcW w:w="1080" w:type="dxa"/>
            <w:tcBorders>
              <w:top w:val="single" w:sz="4" w:space="0" w:color="000000"/>
              <w:left w:val="single" w:sz="12" w:space="0" w:color="000000"/>
              <w:bottom w:val="single" w:sz="4" w:space="0" w:color="000000"/>
              <w:right w:val="single" w:sz="12" w:space="0" w:color="000000"/>
            </w:tcBorders>
            <w:vAlign w:val="center"/>
          </w:tcPr>
          <w:p w14:paraId="5E4ED57B" w14:textId="54E070C3" w:rsidR="00EB7493" w:rsidRDefault="00EB7493" w:rsidP="008318CD">
            <w:pPr>
              <w:spacing w:after="0" w:line="259" w:lineRule="auto"/>
              <w:ind w:left="0" w:right="48" w:firstLine="0"/>
              <w:jc w:val="center"/>
            </w:pPr>
            <w:r>
              <w:rPr>
                <w:sz w:val="18"/>
              </w:rPr>
              <w:t>8021</w:t>
            </w:r>
          </w:p>
        </w:tc>
      </w:tr>
      <w:tr w:rsidR="00EB7493" w14:paraId="6FDBD889" w14:textId="77777777" w:rsidTr="00B1604E">
        <w:trPr>
          <w:trHeight w:val="250"/>
        </w:trPr>
        <w:tc>
          <w:tcPr>
            <w:tcW w:w="3256" w:type="dxa"/>
            <w:tcBorders>
              <w:top w:val="single" w:sz="4" w:space="0" w:color="000000"/>
              <w:left w:val="single" w:sz="12" w:space="0" w:color="000000"/>
              <w:bottom w:val="single" w:sz="4" w:space="0" w:color="000000"/>
              <w:right w:val="single" w:sz="12" w:space="0" w:color="000000"/>
            </w:tcBorders>
            <w:vAlign w:val="center"/>
          </w:tcPr>
          <w:p w14:paraId="48311EDD" w14:textId="77777777" w:rsidR="00EB7493" w:rsidRDefault="00EB7493" w:rsidP="008318CD">
            <w:pPr>
              <w:spacing w:after="0" w:line="259" w:lineRule="auto"/>
              <w:ind w:left="0" w:right="0" w:firstLine="0"/>
            </w:pPr>
            <w:r>
              <w:rPr>
                <w:sz w:val="18"/>
              </w:rPr>
              <w:t xml:space="preserve">1,4-Dichlorobenzene </w:t>
            </w:r>
          </w:p>
        </w:tc>
        <w:tc>
          <w:tcPr>
            <w:tcW w:w="1082" w:type="dxa"/>
            <w:tcBorders>
              <w:top w:val="single" w:sz="4" w:space="0" w:color="000000"/>
              <w:left w:val="single" w:sz="12" w:space="0" w:color="000000"/>
              <w:bottom w:val="single" w:sz="4" w:space="0" w:color="000000"/>
              <w:right w:val="single" w:sz="12" w:space="0" w:color="000000"/>
            </w:tcBorders>
            <w:vAlign w:val="center"/>
          </w:tcPr>
          <w:p w14:paraId="1F79DF7A" w14:textId="4152BE7C" w:rsidR="00EB7493" w:rsidRDefault="00EB7493" w:rsidP="008318CD">
            <w:pPr>
              <w:spacing w:after="0" w:line="259" w:lineRule="auto"/>
              <w:ind w:left="0" w:right="44" w:firstLine="0"/>
              <w:jc w:val="center"/>
            </w:pPr>
            <w:r>
              <w:rPr>
                <w:sz w:val="18"/>
              </w:rPr>
              <w:t>106-46-7</w:t>
            </w:r>
          </w:p>
        </w:tc>
        <w:tc>
          <w:tcPr>
            <w:tcW w:w="1001" w:type="dxa"/>
            <w:tcBorders>
              <w:top w:val="single" w:sz="4" w:space="0" w:color="000000"/>
              <w:left w:val="single" w:sz="12" w:space="0" w:color="000000"/>
              <w:bottom w:val="single" w:sz="4" w:space="0" w:color="000000"/>
              <w:right w:val="single" w:sz="12" w:space="0" w:color="000000"/>
            </w:tcBorders>
            <w:vAlign w:val="center"/>
          </w:tcPr>
          <w:p w14:paraId="217F00F9" w14:textId="3FF4B39D" w:rsidR="00EB7493" w:rsidRDefault="00EB7493" w:rsidP="008318CD">
            <w:pPr>
              <w:tabs>
                <w:tab w:val="center" w:pos="534"/>
              </w:tabs>
              <w:spacing w:after="0" w:line="259" w:lineRule="auto"/>
              <w:ind w:left="0" w:right="0" w:firstLine="0"/>
              <w:jc w:val="center"/>
            </w:pPr>
            <w:r>
              <w:rPr>
                <w:sz w:val="18"/>
              </w:rPr>
              <w:t>1</w:t>
            </w:r>
          </w:p>
        </w:tc>
        <w:tc>
          <w:tcPr>
            <w:tcW w:w="992" w:type="dxa"/>
            <w:tcBorders>
              <w:top w:val="single" w:sz="4" w:space="0" w:color="000000"/>
              <w:left w:val="single" w:sz="12" w:space="0" w:color="000000"/>
              <w:bottom w:val="single" w:sz="4" w:space="0" w:color="000000"/>
              <w:right w:val="single" w:sz="12" w:space="0" w:color="000000"/>
            </w:tcBorders>
            <w:vAlign w:val="center"/>
          </w:tcPr>
          <w:p w14:paraId="20550608" w14:textId="299B6DA5" w:rsidR="00EB7493" w:rsidRPr="000376D7" w:rsidRDefault="00EB7493" w:rsidP="008318CD">
            <w:pPr>
              <w:spacing w:after="0" w:line="259" w:lineRule="auto"/>
              <w:ind w:left="0" w:right="44" w:firstLine="0"/>
              <w:jc w:val="center"/>
            </w:pPr>
            <w:r w:rsidRPr="00CD5619">
              <w:rPr>
                <w:rFonts w:eastAsia="Segoe UI Symbol"/>
                <w:sz w:val="18"/>
              </w:rPr>
              <w:t>u</w:t>
            </w:r>
            <w:r w:rsidRPr="007C53EE">
              <w:rPr>
                <w:sz w:val="18"/>
              </w:rPr>
              <w:t>g/L</w:t>
            </w:r>
          </w:p>
        </w:tc>
        <w:tc>
          <w:tcPr>
            <w:tcW w:w="900" w:type="dxa"/>
            <w:tcBorders>
              <w:top w:val="single" w:sz="4" w:space="0" w:color="000000"/>
              <w:left w:val="single" w:sz="12" w:space="0" w:color="000000"/>
              <w:bottom w:val="single" w:sz="4" w:space="0" w:color="000000"/>
              <w:right w:val="single" w:sz="12" w:space="0" w:color="000000"/>
            </w:tcBorders>
            <w:vAlign w:val="center"/>
          </w:tcPr>
          <w:p w14:paraId="78D535DF" w14:textId="6E76623F" w:rsidR="00EB7493" w:rsidRDefault="00EB7493" w:rsidP="008318CD">
            <w:pPr>
              <w:tabs>
                <w:tab w:val="center" w:pos="354"/>
              </w:tabs>
              <w:spacing w:after="0" w:line="259" w:lineRule="auto"/>
              <w:ind w:left="0" w:right="0" w:firstLine="0"/>
              <w:jc w:val="center"/>
            </w:pPr>
            <w:r>
              <w:rPr>
                <w:sz w:val="18"/>
              </w:rPr>
              <w:t>5</w:t>
            </w:r>
          </w:p>
        </w:tc>
        <w:tc>
          <w:tcPr>
            <w:tcW w:w="1092" w:type="dxa"/>
            <w:tcBorders>
              <w:top w:val="single" w:sz="4" w:space="0" w:color="000000"/>
              <w:left w:val="single" w:sz="12" w:space="0" w:color="000000"/>
              <w:bottom w:val="single" w:sz="4" w:space="0" w:color="000000"/>
              <w:right w:val="single" w:sz="12" w:space="0" w:color="000000"/>
            </w:tcBorders>
            <w:vAlign w:val="center"/>
          </w:tcPr>
          <w:p w14:paraId="2680AB77" w14:textId="4ACA2417" w:rsidR="00EB7493" w:rsidRDefault="00EB7493" w:rsidP="008318CD">
            <w:pPr>
              <w:spacing w:after="0" w:line="259" w:lineRule="auto"/>
              <w:ind w:left="0" w:right="46" w:firstLine="0"/>
              <w:jc w:val="center"/>
            </w:pPr>
            <w:r>
              <w:rPr>
                <w:rFonts w:eastAsia="Segoe UI Symbol"/>
                <w:sz w:val="18"/>
              </w:rPr>
              <w:t>u</w:t>
            </w:r>
            <w:r>
              <w:rPr>
                <w:sz w:val="18"/>
              </w:rPr>
              <w:t>g/kg</w:t>
            </w:r>
          </w:p>
        </w:tc>
        <w:tc>
          <w:tcPr>
            <w:tcW w:w="1217" w:type="dxa"/>
            <w:tcBorders>
              <w:top w:val="single" w:sz="4" w:space="0" w:color="000000"/>
              <w:left w:val="single" w:sz="12" w:space="0" w:color="000000"/>
              <w:bottom w:val="single" w:sz="4" w:space="0" w:color="000000"/>
              <w:right w:val="single" w:sz="12" w:space="0" w:color="000000"/>
            </w:tcBorders>
            <w:vAlign w:val="center"/>
          </w:tcPr>
          <w:p w14:paraId="313ECD06" w14:textId="47D75554" w:rsidR="00EB7493" w:rsidRDefault="00EB7493" w:rsidP="008318CD">
            <w:pPr>
              <w:spacing w:after="0" w:line="259" w:lineRule="auto"/>
              <w:ind w:left="0" w:right="45" w:firstLine="0"/>
              <w:jc w:val="center"/>
            </w:pPr>
            <w:r>
              <w:rPr>
                <w:b/>
                <w:sz w:val="18"/>
              </w:rPr>
              <w:t>8260</w:t>
            </w:r>
          </w:p>
        </w:tc>
        <w:tc>
          <w:tcPr>
            <w:tcW w:w="1080" w:type="dxa"/>
            <w:tcBorders>
              <w:top w:val="single" w:sz="4" w:space="0" w:color="000000"/>
              <w:left w:val="single" w:sz="12" w:space="0" w:color="000000"/>
              <w:bottom w:val="single" w:sz="4" w:space="0" w:color="000000"/>
              <w:right w:val="single" w:sz="12" w:space="0" w:color="000000"/>
            </w:tcBorders>
            <w:vAlign w:val="center"/>
          </w:tcPr>
          <w:p w14:paraId="514C1C05" w14:textId="2AF16297" w:rsidR="00EB7493" w:rsidRDefault="00EB7493" w:rsidP="008318CD">
            <w:pPr>
              <w:spacing w:after="0" w:line="259" w:lineRule="auto"/>
              <w:ind w:left="0" w:right="48" w:firstLine="0"/>
              <w:jc w:val="center"/>
            </w:pPr>
            <w:r>
              <w:rPr>
                <w:sz w:val="18"/>
              </w:rPr>
              <w:t>8021</w:t>
            </w:r>
          </w:p>
        </w:tc>
      </w:tr>
      <w:tr w:rsidR="00EB7493" w14:paraId="5083F919" w14:textId="77777777" w:rsidTr="00B1604E">
        <w:trPr>
          <w:trHeight w:val="252"/>
        </w:trPr>
        <w:tc>
          <w:tcPr>
            <w:tcW w:w="3256" w:type="dxa"/>
            <w:tcBorders>
              <w:top w:val="single" w:sz="4" w:space="0" w:color="000000"/>
              <w:left w:val="single" w:sz="12" w:space="0" w:color="000000"/>
              <w:bottom w:val="single" w:sz="4" w:space="0" w:color="000000"/>
              <w:right w:val="single" w:sz="12" w:space="0" w:color="000000"/>
            </w:tcBorders>
            <w:vAlign w:val="center"/>
          </w:tcPr>
          <w:p w14:paraId="600EEF1D" w14:textId="77777777" w:rsidR="00EB7493" w:rsidRDefault="00EB7493" w:rsidP="008318CD">
            <w:pPr>
              <w:spacing w:after="0" w:line="259" w:lineRule="auto"/>
              <w:ind w:left="0" w:right="0" w:firstLine="0"/>
            </w:pPr>
            <w:r>
              <w:rPr>
                <w:sz w:val="18"/>
              </w:rPr>
              <w:t xml:space="preserve">Dichlorodifluoromethane </w:t>
            </w:r>
          </w:p>
        </w:tc>
        <w:tc>
          <w:tcPr>
            <w:tcW w:w="1082" w:type="dxa"/>
            <w:tcBorders>
              <w:top w:val="single" w:sz="4" w:space="0" w:color="000000"/>
              <w:left w:val="single" w:sz="12" w:space="0" w:color="000000"/>
              <w:bottom w:val="single" w:sz="4" w:space="0" w:color="000000"/>
              <w:right w:val="single" w:sz="12" w:space="0" w:color="000000"/>
            </w:tcBorders>
            <w:vAlign w:val="center"/>
          </w:tcPr>
          <w:p w14:paraId="37F80261" w14:textId="096003FD" w:rsidR="00EB7493" w:rsidRDefault="00EB7493" w:rsidP="008318CD">
            <w:pPr>
              <w:spacing w:after="0" w:line="259" w:lineRule="auto"/>
              <w:ind w:left="0" w:right="44" w:firstLine="0"/>
              <w:jc w:val="center"/>
            </w:pPr>
            <w:r>
              <w:rPr>
                <w:sz w:val="18"/>
              </w:rPr>
              <w:t>75-71-8</w:t>
            </w:r>
          </w:p>
        </w:tc>
        <w:tc>
          <w:tcPr>
            <w:tcW w:w="1001" w:type="dxa"/>
            <w:tcBorders>
              <w:top w:val="single" w:sz="4" w:space="0" w:color="000000"/>
              <w:left w:val="single" w:sz="12" w:space="0" w:color="000000"/>
              <w:bottom w:val="single" w:sz="4" w:space="0" w:color="000000"/>
              <w:right w:val="single" w:sz="12" w:space="0" w:color="000000"/>
            </w:tcBorders>
            <w:vAlign w:val="center"/>
          </w:tcPr>
          <w:p w14:paraId="40800AB8" w14:textId="4385BF2D" w:rsidR="00EB7493" w:rsidRDefault="00EB7493" w:rsidP="008318CD">
            <w:pPr>
              <w:tabs>
                <w:tab w:val="center" w:pos="511"/>
              </w:tabs>
              <w:spacing w:after="0" w:line="259" w:lineRule="auto"/>
              <w:ind w:left="0" w:right="0" w:firstLine="0"/>
              <w:jc w:val="center"/>
            </w:pPr>
            <w:r>
              <w:rPr>
                <w:sz w:val="18"/>
              </w:rPr>
              <w:t>2</w:t>
            </w:r>
          </w:p>
        </w:tc>
        <w:tc>
          <w:tcPr>
            <w:tcW w:w="992" w:type="dxa"/>
            <w:tcBorders>
              <w:top w:val="single" w:sz="4" w:space="0" w:color="000000"/>
              <w:left w:val="single" w:sz="12" w:space="0" w:color="000000"/>
              <w:bottom w:val="single" w:sz="4" w:space="0" w:color="000000"/>
              <w:right w:val="single" w:sz="12" w:space="0" w:color="000000"/>
            </w:tcBorders>
            <w:vAlign w:val="center"/>
          </w:tcPr>
          <w:p w14:paraId="0B2819A0" w14:textId="7D03F903" w:rsidR="00EB7493" w:rsidRPr="000376D7" w:rsidRDefault="00EB7493" w:rsidP="008318CD">
            <w:pPr>
              <w:spacing w:after="0" w:line="259" w:lineRule="auto"/>
              <w:ind w:left="0" w:right="44" w:firstLine="0"/>
              <w:jc w:val="center"/>
            </w:pPr>
            <w:r w:rsidRPr="00CD5619">
              <w:rPr>
                <w:rFonts w:eastAsia="Segoe UI Symbol"/>
                <w:sz w:val="18"/>
              </w:rPr>
              <w:t>u</w:t>
            </w:r>
            <w:r w:rsidRPr="007C53EE">
              <w:rPr>
                <w:sz w:val="18"/>
              </w:rPr>
              <w:t>g/L</w:t>
            </w:r>
          </w:p>
        </w:tc>
        <w:tc>
          <w:tcPr>
            <w:tcW w:w="900" w:type="dxa"/>
            <w:tcBorders>
              <w:top w:val="single" w:sz="4" w:space="0" w:color="000000"/>
              <w:left w:val="single" w:sz="12" w:space="0" w:color="000000"/>
              <w:bottom w:val="single" w:sz="4" w:space="0" w:color="000000"/>
              <w:right w:val="single" w:sz="12" w:space="0" w:color="000000"/>
            </w:tcBorders>
            <w:vAlign w:val="center"/>
          </w:tcPr>
          <w:p w14:paraId="1C6BCE5E" w14:textId="06A63EF8" w:rsidR="00EB7493" w:rsidRDefault="00EB7493" w:rsidP="008318CD">
            <w:pPr>
              <w:tabs>
                <w:tab w:val="center" w:pos="308"/>
              </w:tabs>
              <w:spacing w:after="0" w:line="259" w:lineRule="auto"/>
              <w:ind w:left="0" w:right="0" w:firstLine="0"/>
              <w:jc w:val="center"/>
            </w:pPr>
            <w:r>
              <w:rPr>
                <w:sz w:val="18"/>
              </w:rPr>
              <w:t>10</w:t>
            </w:r>
          </w:p>
        </w:tc>
        <w:tc>
          <w:tcPr>
            <w:tcW w:w="1092" w:type="dxa"/>
            <w:tcBorders>
              <w:top w:val="single" w:sz="4" w:space="0" w:color="000000"/>
              <w:left w:val="single" w:sz="12" w:space="0" w:color="000000"/>
              <w:bottom w:val="single" w:sz="4" w:space="0" w:color="000000"/>
              <w:right w:val="single" w:sz="12" w:space="0" w:color="000000"/>
            </w:tcBorders>
            <w:vAlign w:val="center"/>
          </w:tcPr>
          <w:p w14:paraId="6ED8AB4F" w14:textId="1C74D5DD" w:rsidR="00EB7493" w:rsidRDefault="00EB7493" w:rsidP="008318CD">
            <w:pPr>
              <w:spacing w:after="0" w:line="259" w:lineRule="auto"/>
              <w:ind w:left="0" w:right="46" w:firstLine="0"/>
              <w:jc w:val="center"/>
            </w:pPr>
            <w:r>
              <w:rPr>
                <w:rFonts w:eastAsia="Segoe UI Symbol"/>
                <w:sz w:val="18"/>
              </w:rPr>
              <w:t>u</w:t>
            </w:r>
            <w:r>
              <w:rPr>
                <w:sz w:val="18"/>
              </w:rPr>
              <w:t>g/kg</w:t>
            </w:r>
          </w:p>
        </w:tc>
        <w:tc>
          <w:tcPr>
            <w:tcW w:w="1217" w:type="dxa"/>
            <w:tcBorders>
              <w:top w:val="single" w:sz="4" w:space="0" w:color="000000"/>
              <w:left w:val="single" w:sz="12" w:space="0" w:color="000000"/>
              <w:bottom w:val="single" w:sz="4" w:space="0" w:color="000000"/>
              <w:right w:val="single" w:sz="12" w:space="0" w:color="000000"/>
            </w:tcBorders>
            <w:vAlign w:val="center"/>
          </w:tcPr>
          <w:p w14:paraId="0930FAA0" w14:textId="493D36CF" w:rsidR="00EB7493" w:rsidRDefault="00EB7493" w:rsidP="008318CD">
            <w:pPr>
              <w:spacing w:after="0" w:line="259" w:lineRule="auto"/>
              <w:ind w:left="0" w:right="45" w:firstLine="0"/>
              <w:jc w:val="center"/>
            </w:pPr>
            <w:r>
              <w:rPr>
                <w:b/>
                <w:sz w:val="18"/>
              </w:rPr>
              <w:t>8260</w:t>
            </w:r>
          </w:p>
        </w:tc>
        <w:tc>
          <w:tcPr>
            <w:tcW w:w="1080" w:type="dxa"/>
            <w:tcBorders>
              <w:top w:val="single" w:sz="4" w:space="0" w:color="000000"/>
              <w:left w:val="single" w:sz="12" w:space="0" w:color="000000"/>
              <w:bottom w:val="single" w:sz="4" w:space="0" w:color="000000"/>
              <w:right w:val="single" w:sz="12" w:space="0" w:color="000000"/>
            </w:tcBorders>
            <w:vAlign w:val="center"/>
          </w:tcPr>
          <w:p w14:paraId="370B8898" w14:textId="4C6C6D87" w:rsidR="00EB7493" w:rsidRDefault="00EB7493" w:rsidP="008318CD">
            <w:pPr>
              <w:spacing w:after="0" w:line="259" w:lineRule="auto"/>
              <w:ind w:left="0" w:right="48" w:firstLine="0"/>
              <w:jc w:val="center"/>
            </w:pPr>
            <w:r>
              <w:rPr>
                <w:sz w:val="18"/>
              </w:rPr>
              <w:t>8021</w:t>
            </w:r>
          </w:p>
        </w:tc>
      </w:tr>
      <w:tr w:rsidR="00EB7493" w14:paraId="213D367A" w14:textId="77777777" w:rsidTr="00B1604E">
        <w:trPr>
          <w:trHeight w:val="250"/>
        </w:trPr>
        <w:tc>
          <w:tcPr>
            <w:tcW w:w="3256" w:type="dxa"/>
            <w:tcBorders>
              <w:top w:val="single" w:sz="4" w:space="0" w:color="000000"/>
              <w:left w:val="single" w:sz="12" w:space="0" w:color="000000"/>
              <w:bottom w:val="single" w:sz="4" w:space="0" w:color="000000"/>
              <w:right w:val="single" w:sz="12" w:space="0" w:color="000000"/>
            </w:tcBorders>
            <w:vAlign w:val="center"/>
          </w:tcPr>
          <w:p w14:paraId="71F811AA" w14:textId="77777777" w:rsidR="00EB7493" w:rsidRDefault="00EB7493" w:rsidP="008318CD">
            <w:pPr>
              <w:spacing w:after="0" w:line="259" w:lineRule="auto"/>
              <w:ind w:left="0" w:right="0" w:firstLine="0"/>
            </w:pPr>
            <w:r>
              <w:rPr>
                <w:sz w:val="18"/>
              </w:rPr>
              <w:lastRenderedPageBreak/>
              <w:t xml:space="preserve">1,1-Dichloroethane </w:t>
            </w:r>
          </w:p>
        </w:tc>
        <w:tc>
          <w:tcPr>
            <w:tcW w:w="1082" w:type="dxa"/>
            <w:tcBorders>
              <w:top w:val="single" w:sz="4" w:space="0" w:color="000000"/>
              <w:left w:val="single" w:sz="12" w:space="0" w:color="000000"/>
              <w:bottom w:val="single" w:sz="4" w:space="0" w:color="000000"/>
              <w:right w:val="single" w:sz="12" w:space="0" w:color="000000"/>
            </w:tcBorders>
            <w:vAlign w:val="center"/>
          </w:tcPr>
          <w:p w14:paraId="54CAA1F0" w14:textId="76B2B512" w:rsidR="00EB7493" w:rsidRDefault="00EB7493" w:rsidP="008318CD">
            <w:pPr>
              <w:spacing w:after="0" w:line="259" w:lineRule="auto"/>
              <w:ind w:left="0" w:right="44" w:firstLine="0"/>
              <w:jc w:val="center"/>
            </w:pPr>
            <w:r>
              <w:rPr>
                <w:sz w:val="18"/>
              </w:rPr>
              <w:t>75-34-3</w:t>
            </w:r>
          </w:p>
        </w:tc>
        <w:tc>
          <w:tcPr>
            <w:tcW w:w="1001" w:type="dxa"/>
            <w:tcBorders>
              <w:top w:val="single" w:sz="4" w:space="0" w:color="000000"/>
              <w:left w:val="single" w:sz="12" w:space="0" w:color="000000"/>
              <w:bottom w:val="single" w:sz="4" w:space="0" w:color="000000"/>
              <w:right w:val="single" w:sz="12" w:space="0" w:color="000000"/>
            </w:tcBorders>
            <w:vAlign w:val="center"/>
          </w:tcPr>
          <w:p w14:paraId="7CB365B3" w14:textId="7284A2F8" w:rsidR="00EB7493" w:rsidRDefault="00EB7493" w:rsidP="008318CD">
            <w:pPr>
              <w:tabs>
                <w:tab w:val="center" w:pos="534"/>
              </w:tabs>
              <w:spacing w:after="0" w:line="259" w:lineRule="auto"/>
              <w:ind w:left="0" w:right="0" w:firstLine="0"/>
              <w:jc w:val="center"/>
            </w:pPr>
            <w:r>
              <w:rPr>
                <w:sz w:val="18"/>
              </w:rPr>
              <w:t>1</w:t>
            </w:r>
          </w:p>
        </w:tc>
        <w:tc>
          <w:tcPr>
            <w:tcW w:w="992" w:type="dxa"/>
            <w:tcBorders>
              <w:top w:val="single" w:sz="4" w:space="0" w:color="000000"/>
              <w:left w:val="single" w:sz="12" w:space="0" w:color="000000"/>
              <w:bottom w:val="single" w:sz="4" w:space="0" w:color="000000"/>
              <w:right w:val="single" w:sz="12" w:space="0" w:color="000000"/>
            </w:tcBorders>
            <w:vAlign w:val="center"/>
          </w:tcPr>
          <w:p w14:paraId="09518B5A" w14:textId="656D0438" w:rsidR="00EB7493" w:rsidRPr="000376D7" w:rsidRDefault="00EB7493" w:rsidP="008318CD">
            <w:pPr>
              <w:spacing w:after="0" w:line="259" w:lineRule="auto"/>
              <w:ind w:left="0" w:right="44" w:firstLine="0"/>
              <w:jc w:val="center"/>
            </w:pPr>
            <w:r w:rsidRPr="00CD5619">
              <w:rPr>
                <w:rFonts w:eastAsia="Segoe UI Symbol"/>
                <w:sz w:val="18"/>
              </w:rPr>
              <w:t>u</w:t>
            </w:r>
            <w:r w:rsidRPr="007C53EE">
              <w:rPr>
                <w:sz w:val="18"/>
              </w:rPr>
              <w:t>g/L</w:t>
            </w:r>
          </w:p>
        </w:tc>
        <w:tc>
          <w:tcPr>
            <w:tcW w:w="900" w:type="dxa"/>
            <w:tcBorders>
              <w:top w:val="single" w:sz="4" w:space="0" w:color="000000"/>
              <w:left w:val="single" w:sz="12" w:space="0" w:color="000000"/>
              <w:bottom w:val="single" w:sz="4" w:space="0" w:color="000000"/>
              <w:right w:val="single" w:sz="12" w:space="0" w:color="000000"/>
            </w:tcBorders>
            <w:vAlign w:val="center"/>
          </w:tcPr>
          <w:p w14:paraId="185BB0F9" w14:textId="17D0DB6E" w:rsidR="00EB7493" w:rsidRDefault="00EB7493" w:rsidP="008318CD">
            <w:pPr>
              <w:tabs>
                <w:tab w:val="center" w:pos="354"/>
              </w:tabs>
              <w:spacing w:after="0" w:line="259" w:lineRule="auto"/>
              <w:ind w:left="0" w:right="0" w:firstLine="0"/>
              <w:jc w:val="center"/>
            </w:pPr>
            <w:r>
              <w:rPr>
                <w:sz w:val="18"/>
              </w:rPr>
              <w:t>5</w:t>
            </w:r>
          </w:p>
        </w:tc>
        <w:tc>
          <w:tcPr>
            <w:tcW w:w="1092" w:type="dxa"/>
            <w:tcBorders>
              <w:top w:val="single" w:sz="4" w:space="0" w:color="000000"/>
              <w:left w:val="single" w:sz="12" w:space="0" w:color="000000"/>
              <w:bottom w:val="single" w:sz="4" w:space="0" w:color="000000"/>
              <w:right w:val="single" w:sz="12" w:space="0" w:color="000000"/>
            </w:tcBorders>
            <w:vAlign w:val="center"/>
          </w:tcPr>
          <w:p w14:paraId="10A0F98E" w14:textId="2247C990" w:rsidR="00EB7493" w:rsidRDefault="00EB7493" w:rsidP="008318CD">
            <w:pPr>
              <w:spacing w:after="0" w:line="259" w:lineRule="auto"/>
              <w:ind w:left="0" w:right="46" w:firstLine="0"/>
              <w:jc w:val="center"/>
            </w:pPr>
            <w:r>
              <w:rPr>
                <w:rFonts w:eastAsia="Segoe UI Symbol"/>
                <w:sz w:val="18"/>
              </w:rPr>
              <w:t>u</w:t>
            </w:r>
            <w:r>
              <w:rPr>
                <w:sz w:val="18"/>
              </w:rPr>
              <w:t>g/kg</w:t>
            </w:r>
          </w:p>
        </w:tc>
        <w:tc>
          <w:tcPr>
            <w:tcW w:w="1217" w:type="dxa"/>
            <w:tcBorders>
              <w:top w:val="single" w:sz="4" w:space="0" w:color="000000"/>
              <w:left w:val="single" w:sz="12" w:space="0" w:color="000000"/>
              <w:bottom w:val="single" w:sz="4" w:space="0" w:color="000000"/>
              <w:right w:val="single" w:sz="12" w:space="0" w:color="000000"/>
            </w:tcBorders>
            <w:vAlign w:val="center"/>
          </w:tcPr>
          <w:p w14:paraId="0A927FCD" w14:textId="370C5E66" w:rsidR="00EB7493" w:rsidRDefault="00EB7493" w:rsidP="008318CD">
            <w:pPr>
              <w:spacing w:after="0" w:line="259" w:lineRule="auto"/>
              <w:ind w:left="0" w:right="45" w:firstLine="0"/>
              <w:jc w:val="center"/>
            </w:pPr>
            <w:r>
              <w:rPr>
                <w:b/>
                <w:sz w:val="18"/>
              </w:rPr>
              <w:t>8260</w:t>
            </w:r>
          </w:p>
        </w:tc>
        <w:tc>
          <w:tcPr>
            <w:tcW w:w="1080" w:type="dxa"/>
            <w:tcBorders>
              <w:top w:val="single" w:sz="4" w:space="0" w:color="000000"/>
              <w:left w:val="single" w:sz="12" w:space="0" w:color="000000"/>
              <w:bottom w:val="single" w:sz="4" w:space="0" w:color="000000"/>
              <w:right w:val="single" w:sz="12" w:space="0" w:color="000000"/>
            </w:tcBorders>
            <w:vAlign w:val="center"/>
          </w:tcPr>
          <w:p w14:paraId="313D8C54" w14:textId="708E34A9" w:rsidR="00EB7493" w:rsidRDefault="00EB7493" w:rsidP="008318CD">
            <w:pPr>
              <w:spacing w:after="0" w:line="259" w:lineRule="auto"/>
              <w:ind w:left="0" w:right="48" w:firstLine="0"/>
              <w:jc w:val="center"/>
            </w:pPr>
            <w:r>
              <w:rPr>
                <w:sz w:val="18"/>
              </w:rPr>
              <w:t>8021</w:t>
            </w:r>
          </w:p>
        </w:tc>
      </w:tr>
      <w:tr w:rsidR="00EB7493" w14:paraId="36D66A4A" w14:textId="77777777" w:rsidTr="00B1604E">
        <w:trPr>
          <w:trHeight w:val="250"/>
        </w:trPr>
        <w:tc>
          <w:tcPr>
            <w:tcW w:w="3256" w:type="dxa"/>
            <w:tcBorders>
              <w:top w:val="single" w:sz="4" w:space="0" w:color="000000"/>
              <w:left w:val="single" w:sz="12" w:space="0" w:color="000000"/>
              <w:bottom w:val="single" w:sz="4" w:space="0" w:color="000000"/>
              <w:right w:val="single" w:sz="12" w:space="0" w:color="000000"/>
            </w:tcBorders>
            <w:vAlign w:val="center"/>
          </w:tcPr>
          <w:p w14:paraId="445FB67E" w14:textId="77777777" w:rsidR="00EB7493" w:rsidRDefault="00EB7493" w:rsidP="008318CD">
            <w:pPr>
              <w:spacing w:after="0" w:line="259" w:lineRule="auto"/>
              <w:ind w:left="0" w:right="0" w:firstLine="0"/>
            </w:pPr>
            <w:r>
              <w:rPr>
                <w:sz w:val="18"/>
              </w:rPr>
              <w:t xml:space="preserve">1,2-Dichloroethane </w:t>
            </w:r>
          </w:p>
        </w:tc>
        <w:tc>
          <w:tcPr>
            <w:tcW w:w="1082" w:type="dxa"/>
            <w:tcBorders>
              <w:top w:val="single" w:sz="4" w:space="0" w:color="000000"/>
              <w:left w:val="single" w:sz="12" w:space="0" w:color="000000"/>
              <w:bottom w:val="single" w:sz="4" w:space="0" w:color="000000"/>
              <w:right w:val="single" w:sz="12" w:space="0" w:color="000000"/>
            </w:tcBorders>
            <w:vAlign w:val="center"/>
          </w:tcPr>
          <w:p w14:paraId="26E8E740" w14:textId="1A872DC9" w:rsidR="00EB7493" w:rsidRDefault="00EB7493" w:rsidP="008318CD">
            <w:pPr>
              <w:spacing w:after="0" w:line="259" w:lineRule="auto"/>
              <w:ind w:left="0" w:right="44" w:firstLine="0"/>
              <w:jc w:val="center"/>
            </w:pPr>
            <w:r>
              <w:rPr>
                <w:sz w:val="18"/>
              </w:rPr>
              <w:t>107-06-2</w:t>
            </w:r>
          </w:p>
        </w:tc>
        <w:tc>
          <w:tcPr>
            <w:tcW w:w="1001" w:type="dxa"/>
            <w:tcBorders>
              <w:top w:val="single" w:sz="4" w:space="0" w:color="000000"/>
              <w:left w:val="single" w:sz="12" w:space="0" w:color="000000"/>
              <w:bottom w:val="single" w:sz="4" w:space="0" w:color="000000"/>
              <w:right w:val="single" w:sz="12" w:space="0" w:color="000000"/>
            </w:tcBorders>
            <w:vAlign w:val="center"/>
          </w:tcPr>
          <w:p w14:paraId="4FFC562B" w14:textId="0829F954" w:rsidR="00EB7493" w:rsidRDefault="00EB7493" w:rsidP="008318CD">
            <w:pPr>
              <w:tabs>
                <w:tab w:val="center" w:pos="534"/>
              </w:tabs>
              <w:spacing w:after="0" w:line="259" w:lineRule="auto"/>
              <w:ind w:left="0" w:right="0" w:firstLine="0"/>
              <w:jc w:val="center"/>
            </w:pPr>
            <w:r>
              <w:rPr>
                <w:b/>
                <w:sz w:val="18"/>
              </w:rPr>
              <w:t>1</w:t>
            </w:r>
          </w:p>
        </w:tc>
        <w:tc>
          <w:tcPr>
            <w:tcW w:w="992" w:type="dxa"/>
            <w:tcBorders>
              <w:top w:val="single" w:sz="4" w:space="0" w:color="000000"/>
              <w:left w:val="single" w:sz="12" w:space="0" w:color="000000"/>
              <w:bottom w:val="single" w:sz="4" w:space="0" w:color="000000"/>
              <w:right w:val="single" w:sz="12" w:space="0" w:color="000000"/>
            </w:tcBorders>
            <w:vAlign w:val="center"/>
          </w:tcPr>
          <w:p w14:paraId="1E829A3F" w14:textId="4D4ECF07" w:rsidR="00EB7493" w:rsidRPr="000376D7" w:rsidRDefault="00EB7493" w:rsidP="008318CD">
            <w:pPr>
              <w:spacing w:after="0" w:line="259" w:lineRule="auto"/>
              <w:ind w:left="0" w:right="44" w:firstLine="0"/>
              <w:jc w:val="center"/>
            </w:pPr>
            <w:r w:rsidRPr="00CD5619">
              <w:rPr>
                <w:rFonts w:eastAsia="Segoe UI Symbol"/>
                <w:sz w:val="18"/>
              </w:rPr>
              <w:t>u</w:t>
            </w:r>
            <w:r w:rsidRPr="007C53EE">
              <w:rPr>
                <w:sz w:val="18"/>
              </w:rPr>
              <w:t>g/L</w:t>
            </w:r>
          </w:p>
        </w:tc>
        <w:tc>
          <w:tcPr>
            <w:tcW w:w="900" w:type="dxa"/>
            <w:tcBorders>
              <w:top w:val="single" w:sz="4" w:space="0" w:color="000000"/>
              <w:left w:val="single" w:sz="12" w:space="0" w:color="000000"/>
              <w:bottom w:val="single" w:sz="4" w:space="0" w:color="000000"/>
              <w:right w:val="single" w:sz="12" w:space="0" w:color="000000"/>
            </w:tcBorders>
            <w:vAlign w:val="center"/>
          </w:tcPr>
          <w:p w14:paraId="13642893" w14:textId="176A51AD" w:rsidR="00EB7493" w:rsidRDefault="00EB7493" w:rsidP="008318CD">
            <w:pPr>
              <w:tabs>
                <w:tab w:val="center" w:pos="354"/>
              </w:tabs>
              <w:spacing w:after="0" w:line="259" w:lineRule="auto"/>
              <w:ind w:left="0" w:right="0" w:firstLine="0"/>
              <w:jc w:val="center"/>
            </w:pPr>
            <w:r>
              <w:rPr>
                <w:sz w:val="18"/>
              </w:rPr>
              <w:t>5</w:t>
            </w:r>
          </w:p>
        </w:tc>
        <w:tc>
          <w:tcPr>
            <w:tcW w:w="1092" w:type="dxa"/>
            <w:tcBorders>
              <w:top w:val="single" w:sz="4" w:space="0" w:color="000000"/>
              <w:left w:val="single" w:sz="12" w:space="0" w:color="000000"/>
              <w:bottom w:val="single" w:sz="4" w:space="0" w:color="000000"/>
              <w:right w:val="single" w:sz="12" w:space="0" w:color="000000"/>
            </w:tcBorders>
            <w:vAlign w:val="center"/>
          </w:tcPr>
          <w:p w14:paraId="04754009" w14:textId="16D4F7C5" w:rsidR="00EB7493" w:rsidRDefault="00EB7493" w:rsidP="008318CD">
            <w:pPr>
              <w:spacing w:after="0" w:line="259" w:lineRule="auto"/>
              <w:ind w:left="0" w:right="46" w:firstLine="0"/>
              <w:jc w:val="center"/>
            </w:pPr>
            <w:r>
              <w:rPr>
                <w:rFonts w:eastAsia="Segoe UI Symbol"/>
                <w:sz w:val="18"/>
              </w:rPr>
              <w:t>u</w:t>
            </w:r>
            <w:r>
              <w:rPr>
                <w:sz w:val="18"/>
              </w:rPr>
              <w:t>g/kg</w:t>
            </w:r>
          </w:p>
        </w:tc>
        <w:tc>
          <w:tcPr>
            <w:tcW w:w="1217" w:type="dxa"/>
            <w:tcBorders>
              <w:top w:val="single" w:sz="4" w:space="0" w:color="000000"/>
              <w:left w:val="single" w:sz="12" w:space="0" w:color="000000"/>
              <w:bottom w:val="single" w:sz="4" w:space="0" w:color="000000"/>
              <w:right w:val="single" w:sz="12" w:space="0" w:color="000000"/>
            </w:tcBorders>
            <w:vAlign w:val="center"/>
          </w:tcPr>
          <w:p w14:paraId="21264854" w14:textId="63690C45" w:rsidR="00EB7493" w:rsidRDefault="00EB7493" w:rsidP="008318CD">
            <w:pPr>
              <w:spacing w:after="0" w:line="259" w:lineRule="auto"/>
              <w:ind w:left="0" w:right="45" w:firstLine="0"/>
              <w:jc w:val="center"/>
            </w:pPr>
            <w:r>
              <w:rPr>
                <w:b/>
                <w:sz w:val="18"/>
              </w:rPr>
              <w:t>8260</w:t>
            </w:r>
          </w:p>
        </w:tc>
        <w:tc>
          <w:tcPr>
            <w:tcW w:w="1080" w:type="dxa"/>
            <w:tcBorders>
              <w:top w:val="single" w:sz="4" w:space="0" w:color="000000"/>
              <w:left w:val="single" w:sz="12" w:space="0" w:color="000000"/>
              <w:bottom w:val="single" w:sz="4" w:space="0" w:color="000000"/>
              <w:right w:val="single" w:sz="12" w:space="0" w:color="000000"/>
            </w:tcBorders>
            <w:vAlign w:val="center"/>
          </w:tcPr>
          <w:p w14:paraId="54B174B0" w14:textId="50088CE8" w:rsidR="00EB7493" w:rsidRDefault="00EB7493" w:rsidP="008318CD">
            <w:pPr>
              <w:spacing w:after="0" w:line="259" w:lineRule="auto"/>
              <w:ind w:left="0" w:right="48" w:firstLine="0"/>
              <w:jc w:val="center"/>
            </w:pPr>
            <w:r>
              <w:rPr>
                <w:sz w:val="18"/>
              </w:rPr>
              <w:t>8021</w:t>
            </w:r>
          </w:p>
        </w:tc>
      </w:tr>
      <w:tr w:rsidR="00EB7493" w14:paraId="150DED26" w14:textId="77777777" w:rsidTr="00B1604E">
        <w:trPr>
          <w:trHeight w:val="250"/>
        </w:trPr>
        <w:tc>
          <w:tcPr>
            <w:tcW w:w="3256" w:type="dxa"/>
            <w:tcBorders>
              <w:top w:val="single" w:sz="4" w:space="0" w:color="000000"/>
              <w:left w:val="single" w:sz="12" w:space="0" w:color="000000"/>
              <w:bottom w:val="single" w:sz="4" w:space="0" w:color="000000"/>
              <w:right w:val="single" w:sz="12" w:space="0" w:color="000000"/>
            </w:tcBorders>
            <w:vAlign w:val="center"/>
          </w:tcPr>
          <w:p w14:paraId="5AB8775E" w14:textId="77777777" w:rsidR="00EB7493" w:rsidRDefault="00EB7493" w:rsidP="008318CD">
            <w:pPr>
              <w:spacing w:after="0" w:line="259" w:lineRule="auto"/>
              <w:ind w:left="0" w:right="0" w:firstLine="0"/>
            </w:pPr>
            <w:r>
              <w:rPr>
                <w:sz w:val="18"/>
              </w:rPr>
              <w:t xml:space="preserve">1,1-Dichloroethene </w:t>
            </w:r>
          </w:p>
        </w:tc>
        <w:tc>
          <w:tcPr>
            <w:tcW w:w="1082" w:type="dxa"/>
            <w:tcBorders>
              <w:top w:val="single" w:sz="4" w:space="0" w:color="000000"/>
              <w:left w:val="single" w:sz="12" w:space="0" w:color="000000"/>
              <w:bottom w:val="single" w:sz="4" w:space="0" w:color="000000"/>
              <w:right w:val="single" w:sz="12" w:space="0" w:color="000000"/>
            </w:tcBorders>
            <w:vAlign w:val="center"/>
          </w:tcPr>
          <w:p w14:paraId="71C82CDC" w14:textId="731271F3" w:rsidR="00EB7493" w:rsidRDefault="00EB7493" w:rsidP="008318CD">
            <w:pPr>
              <w:spacing w:after="0" w:line="259" w:lineRule="auto"/>
              <w:ind w:left="0" w:right="44" w:firstLine="0"/>
              <w:jc w:val="center"/>
            </w:pPr>
            <w:r>
              <w:rPr>
                <w:sz w:val="18"/>
              </w:rPr>
              <w:t>75-35-4</w:t>
            </w:r>
          </w:p>
        </w:tc>
        <w:tc>
          <w:tcPr>
            <w:tcW w:w="1001" w:type="dxa"/>
            <w:tcBorders>
              <w:top w:val="single" w:sz="4" w:space="0" w:color="000000"/>
              <w:left w:val="single" w:sz="12" w:space="0" w:color="000000"/>
              <w:bottom w:val="single" w:sz="4" w:space="0" w:color="000000"/>
              <w:right w:val="single" w:sz="12" w:space="0" w:color="000000"/>
            </w:tcBorders>
            <w:vAlign w:val="center"/>
          </w:tcPr>
          <w:p w14:paraId="276DDA5A" w14:textId="17A53C36" w:rsidR="00EB7493" w:rsidRDefault="00EB7493" w:rsidP="008318CD">
            <w:pPr>
              <w:tabs>
                <w:tab w:val="center" w:pos="534"/>
              </w:tabs>
              <w:spacing w:after="0" w:line="259" w:lineRule="auto"/>
              <w:ind w:left="0" w:right="0" w:firstLine="0"/>
              <w:jc w:val="center"/>
            </w:pPr>
            <w:r>
              <w:rPr>
                <w:sz w:val="18"/>
              </w:rPr>
              <w:t>1</w:t>
            </w:r>
          </w:p>
        </w:tc>
        <w:tc>
          <w:tcPr>
            <w:tcW w:w="992" w:type="dxa"/>
            <w:tcBorders>
              <w:top w:val="single" w:sz="4" w:space="0" w:color="000000"/>
              <w:left w:val="single" w:sz="12" w:space="0" w:color="000000"/>
              <w:bottom w:val="single" w:sz="4" w:space="0" w:color="000000"/>
              <w:right w:val="single" w:sz="12" w:space="0" w:color="auto"/>
            </w:tcBorders>
            <w:vAlign w:val="center"/>
          </w:tcPr>
          <w:p w14:paraId="3C5E6DDC" w14:textId="39038FFA" w:rsidR="00EB7493" w:rsidRPr="000376D7" w:rsidRDefault="00EB7493" w:rsidP="008318CD">
            <w:pPr>
              <w:spacing w:after="0" w:line="259" w:lineRule="auto"/>
              <w:ind w:left="0" w:right="44" w:firstLine="0"/>
              <w:jc w:val="center"/>
            </w:pPr>
            <w:r w:rsidRPr="00CD5619">
              <w:rPr>
                <w:rFonts w:eastAsia="Segoe UI Symbol"/>
                <w:sz w:val="18"/>
              </w:rPr>
              <w:t>u</w:t>
            </w:r>
            <w:r w:rsidRPr="007C53EE">
              <w:rPr>
                <w:sz w:val="18"/>
              </w:rPr>
              <w:t>g/L</w:t>
            </w:r>
          </w:p>
        </w:tc>
        <w:tc>
          <w:tcPr>
            <w:tcW w:w="900" w:type="dxa"/>
            <w:tcBorders>
              <w:top w:val="single" w:sz="4" w:space="0" w:color="000000"/>
              <w:left w:val="single" w:sz="12" w:space="0" w:color="auto"/>
              <w:bottom w:val="single" w:sz="4" w:space="0" w:color="000000"/>
              <w:right w:val="single" w:sz="12" w:space="0" w:color="000000"/>
            </w:tcBorders>
            <w:vAlign w:val="center"/>
          </w:tcPr>
          <w:p w14:paraId="0DA96F7C" w14:textId="045B8CFE" w:rsidR="00EB7493" w:rsidRDefault="00EB7493" w:rsidP="008318CD">
            <w:pPr>
              <w:tabs>
                <w:tab w:val="center" w:pos="354"/>
              </w:tabs>
              <w:spacing w:after="0" w:line="259" w:lineRule="auto"/>
              <w:ind w:left="0" w:right="0" w:firstLine="0"/>
              <w:jc w:val="center"/>
            </w:pPr>
            <w:r>
              <w:rPr>
                <w:sz w:val="18"/>
              </w:rPr>
              <w:t>5</w:t>
            </w:r>
          </w:p>
        </w:tc>
        <w:tc>
          <w:tcPr>
            <w:tcW w:w="1092" w:type="dxa"/>
            <w:tcBorders>
              <w:top w:val="single" w:sz="4" w:space="0" w:color="000000"/>
              <w:left w:val="single" w:sz="12" w:space="0" w:color="000000"/>
              <w:bottom w:val="single" w:sz="4" w:space="0" w:color="000000"/>
              <w:right w:val="single" w:sz="12" w:space="0" w:color="000000"/>
            </w:tcBorders>
            <w:vAlign w:val="center"/>
          </w:tcPr>
          <w:p w14:paraId="3826A45D" w14:textId="37F7C589" w:rsidR="00EB7493" w:rsidRDefault="00EB7493" w:rsidP="008318CD">
            <w:pPr>
              <w:spacing w:after="0" w:line="259" w:lineRule="auto"/>
              <w:ind w:left="0" w:right="46" w:firstLine="0"/>
              <w:jc w:val="center"/>
            </w:pPr>
            <w:r>
              <w:rPr>
                <w:rFonts w:eastAsia="Segoe UI Symbol"/>
                <w:sz w:val="18"/>
              </w:rPr>
              <w:t>u</w:t>
            </w:r>
            <w:r>
              <w:rPr>
                <w:sz w:val="18"/>
              </w:rPr>
              <w:t>g/kg</w:t>
            </w:r>
          </w:p>
        </w:tc>
        <w:tc>
          <w:tcPr>
            <w:tcW w:w="1217" w:type="dxa"/>
            <w:tcBorders>
              <w:top w:val="single" w:sz="4" w:space="0" w:color="000000"/>
              <w:left w:val="single" w:sz="12" w:space="0" w:color="000000"/>
              <w:bottom w:val="single" w:sz="4" w:space="0" w:color="000000"/>
              <w:right w:val="single" w:sz="12" w:space="0" w:color="000000"/>
            </w:tcBorders>
            <w:vAlign w:val="center"/>
          </w:tcPr>
          <w:p w14:paraId="3D7C6617" w14:textId="58B731AD" w:rsidR="00EB7493" w:rsidRDefault="00EB7493" w:rsidP="008318CD">
            <w:pPr>
              <w:spacing w:after="0" w:line="259" w:lineRule="auto"/>
              <w:ind w:left="0" w:right="45" w:firstLine="0"/>
              <w:jc w:val="center"/>
            </w:pPr>
            <w:r>
              <w:rPr>
                <w:b/>
                <w:sz w:val="18"/>
              </w:rPr>
              <w:t>8260</w:t>
            </w:r>
          </w:p>
        </w:tc>
        <w:tc>
          <w:tcPr>
            <w:tcW w:w="1080" w:type="dxa"/>
            <w:tcBorders>
              <w:top w:val="single" w:sz="4" w:space="0" w:color="000000"/>
              <w:left w:val="single" w:sz="12" w:space="0" w:color="000000"/>
              <w:bottom w:val="single" w:sz="4" w:space="0" w:color="000000"/>
              <w:right w:val="single" w:sz="12" w:space="0" w:color="000000"/>
            </w:tcBorders>
            <w:vAlign w:val="center"/>
          </w:tcPr>
          <w:p w14:paraId="6865662E" w14:textId="06F99B1C" w:rsidR="00EB7493" w:rsidRDefault="00EB7493" w:rsidP="008318CD">
            <w:pPr>
              <w:spacing w:after="0" w:line="259" w:lineRule="auto"/>
              <w:ind w:left="0" w:right="48" w:firstLine="0"/>
              <w:jc w:val="center"/>
            </w:pPr>
            <w:r>
              <w:rPr>
                <w:sz w:val="18"/>
              </w:rPr>
              <w:t>8021</w:t>
            </w:r>
          </w:p>
        </w:tc>
      </w:tr>
      <w:tr w:rsidR="00EB7493" w14:paraId="2E9A6054" w14:textId="77777777" w:rsidTr="00B1604E">
        <w:trPr>
          <w:trHeight w:val="250"/>
        </w:trPr>
        <w:tc>
          <w:tcPr>
            <w:tcW w:w="3256" w:type="dxa"/>
            <w:tcBorders>
              <w:top w:val="single" w:sz="4" w:space="0" w:color="000000"/>
              <w:left w:val="single" w:sz="12" w:space="0" w:color="000000"/>
              <w:bottom w:val="single" w:sz="4" w:space="0" w:color="000000"/>
              <w:right w:val="single" w:sz="12" w:space="0" w:color="000000"/>
            </w:tcBorders>
            <w:vAlign w:val="center"/>
          </w:tcPr>
          <w:p w14:paraId="524F76A3" w14:textId="77777777" w:rsidR="00EB7493" w:rsidRDefault="00EB7493" w:rsidP="008318CD">
            <w:pPr>
              <w:spacing w:after="0" w:line="259" w:lineRule="auto"/>
              <w:ind w:left="0" w:right="0" w:firstLine="0"/>
            </w:pPr>
            <w:r>
              <w:rPr>
                <w:sz w:val="18"/>
              </w:rPr>
              <w:t xml:space="preserve">cis-1,2-Dichloroethene </w:t>
            </w:r>
          </w:p>
        </w:tc>
        <w:tc>
          <w:tcPr>
            <w:tcW w:w="1082" w:type="dxa"/>
            <w:tcBorders>
              <w:top w:val="single" w:sz="4" w:space="0" w:color="000000"/>
              <w:left w:val="single" w:sz="12" w:space="0" w:color="000000"/>
              <w:bottom w:val="single" w:sz="4" w:space="0" w:color="000000"/>
              <w:right w:val="single" w:sz="12" w:space="0" w:color="000000"/>
            </w:tcBorders>
            <w:vAlign w:val="center"/>
          </w:tcPr>
          <w:p w14:paraId="4D872F05" w14:textId="30C02BCF" w:rsidR="00EB7493" w:rsidRDefault="00EB7493" w:rsidP="008318CD">
            <w:pPr>
              <w:spacing w:after="0" w:line="259" w:lineRule="auto"/>
              <w:ind w:left="0" w:right="44" w:firstLine="0"/>
              <w:jc w:val="center"/>
            </w:pPr>
            <w:r>
              <w:rPr>
                <w:sz w:val="18"/>
              </w:rPr>
              <w:t>156-59-2</w:t>
            </w:r>
          </w:p>
        </w:tc>
        <w:tc>
          <w:tcPr>
            <w:tcW w:w="1001" w:type="dxa"/>
            <w:tcBorders>
              <w:top w:val="single" w:sz="4" w:space="0" w:color="000000"/>
              <w:left w:val="single" w:sz="12" w:space="0" w:color="000000"/>
              <w:bottom w:val="single" w:sz="4" w:space="0" w:color="000000"/>
              <w:right w:val="single" w:sz="12" w:space="0" w:color="000000"/>
            </w:tcBorders>
            <w:vAlign w:val="center"/>
          </w:tcPr>
          <w:p w14:paraId="5623AA8E" w14:textId="3501A21D" w:rsidR="00EB7493" w:rsidRDefault="00EB7493" w:rsidP="008318CD">
            <w:pPr>
              <w:tabs>
                <w:tab w:val="center" w:pos="534"/>
              </w:tabs>
              <w:spacing w:after="0" w:line="259" w:lineRule="auto"/>
              <w:ind w:left="0" w:right="0" w:firstLine="0"/>
              <w:jc w:val="center"/>
            </w:pPr>
            <w:r>
              <w:rPr>
                <w:sz w:val="18"/>
              </w:rPr>
              <w:t>1</w:t>
            </w:r>
          </w:p>
        </w:tc>
        <w:tc>
          <w:tcPr>
            <w:tcW w:w="992" w:type="dxa"/>
            <w:tcBorders>
              <w:top w:val="single" w:sz="4" w:space="0" w:color="000000"/>
              <w:left w:val="single" w:sz="12" w:space="0" w:color="000000"/>
              <w:bottom w:val="single" w:sz="4" w:space="0" w:color="000000"/>
              <w:right w:val="single" w:sz="12" w:space="0" w:color="auto"/>
            </w:tcBorders>
            <w:vAlign w:val="center"/>
          </w:tcPr>
          <w:p w14:paraId="3152FE53" w14:textId="1AB4FAEB" w:rsidR="00EB7493" w:rsidRPr="000376D7" w:rsidRDefault="00EB7493" w:rsidP="008318CD">
            <w:pPr>
              <w:spacing w:after="0" w:line="259" w:lineRule="auto"/>
              <w:ind w:left="0" w:right="44" w:firstLine="0"/>
              <w:jc w:val="center"/>
            </w:pPr>
            <w:r w:rsidRPr="00CD5619">
              <w:rPr>
                <w:rFonts w:eastAsia="Segoe UI Symbol"/>
                <w:sz w:val="18"/>
              </w:rPr>
              <w:t>u</w:t>
            </w:r>
            <w:r w:rsidRPr="007C53EE">
              <w:rPr>
                <w:sz w:val="18"/>
              </w:rPr>
              <w:t>g/L</w:t>
            </w:r>
          </w:p>
        </w:tc>
        <w:tc>
          <w:tcPr>
            <w:tcW w:w="900" w:type="dxa"/>
            <w:tcBorders>
              <w:top w:val="single" w:sz="4" w:space="0" w:color="000000"/>
              <w:left w:val="single" w:sz="12" w:space="0" w:color="auto"/>
              <w:bottom w:val="single" w:sz="4" w:space="0" w:color="000000"/>
              <w:right w:val="single" w:sz="12" w:space="0" w:color="000000"/>
            </w:tcBorders>
            <w:vAlign w:val="center"/>
          </w:tcPr>
          <w:p w14:paraId="57F38FD7" w14:textId="78E0DBEA" w:rsidR="00EB7493" w:rsidRDefault="00EB7493" w:rsidP="008318CD">
            <w:pPr>
              <w:tabs>
                <w:tab w:val="center" w:pos="354"/>
              </w:tabs>
              <w:spacing w:after="0" w:line="259" w:lineRule="auto"/>
              <w:ind w:left="0" w:right="0" w:firstLine="0"/>
              <w:jc w:val="center"/>
            </w:pPr>
            <w:r>
              <w:rPr>
                <w:sz w:val="18"/>
              </w:rPr>
              <w:t>5</w:t>
            </w:r>
          </w:p>
        </w:tc>
        <w:tc>
          <w:tcPr>
            <w:tcW w:w="1092" w:type="dxa"/>
            <w:tcBorders>
              <w:top w:val="single" w:sz="4" w:space="0" w:color="000000"/>
              <w:left w:val="single" w:sz="12" w:space="0" w:color="000000"/>
              <w:bottom w:val="single" w:sz="4" w:space="0" w:color="000000"/>
              <w:right w:val="single" w:sz="12" w:space="0" w:color="000000"/>
            </w:tcBorders>
            <w:vAlign w:val="center"/>
          </w:tcPr>
          <w:p w14:paraId="35E21534" w14:textId="1CEA5AAC" w:rsidR="00EB7493" w:rsidRDefault="00EB7493" w:rsidP="008318CD">
            <w:pPr>
              <w:spacing w:after="0" w:line="259" w:lineRule="auto"/>
              <w:ind w:left="0" w:right="46" w:firstLine="0"/>
              <w:jc w:val="center"/>
            </w:pPr>
            <w:r>
              <w:rPr>
                <w:rFonts w:eastAsia="Segoe UI Symbol"/>
                <w:sz w:val="18"/>
              </w:rPr>
              <w:t>u</w:t>
            </w:r>
            <w:r>
              <w:rPr>
                <w:sz w:val="18"/>
              </w:rPr>
              <w:t>g/kg</w:t>
            </w:r>
          </w:p>
        </w:tc>
        <w:tc>
          <w:tcPr>
            <w:tcW w:w="1217" w:type="dxa"/>
            <w:tcBorders>
              <w:top w:val="single" w:sz="4" w:space="0" w:color="000000"/>
              <w:left w:val="single" w:sz="12" w:space="0" w:color="000000"/>
              <w:bottom w:val="single" w:sz="4" w:space="0" w:color="000000"/>
              <w:right w:val="single" w:sz="12" w:space="0" w:color="000000"/>
            </w:tcBorders>
            <w:vAlign w:val="center"/>
          </w:tcPr>
          <w:p w14:paraId="3D544D86" w14:textId="2C0ACEAE" w:rsidR="00EB7493" w:rsidRDefault="00EB7493" w:rsidP="008318CD">
            <w:pPr>
              <w:spacing w:after="0" w:line="259" w:lineRule="auto"/>
              <w:ind w:left="0" w:right="45" w:firstLine="0"/>
              <w:jc w:val="center"/>
            </w:pPr>
            <w:r>
              <w:rPr>
                <w:b/>
                <w:sz w:val="18"/>
              </w:rPr>
              <w:t>8260</w:t>
            </w:r>
          </w:p>
        </w:tc>
        <w:tc>
          <w:tcPr>
            <w:tcW w:w="1080" w:type="dxa"/>
            <w:tcBorders>
              <w:top w:val="single" w:sz="4" w:space="0" w:color="000000"/>
              <w:left w:val="single" w:sz="12" w:space="0" w:color="000000"/>
              <w:bottom w:val="single" w:sz="4" w:space="0" w:color="000000"/>
              <w:right w:val="single" w:sz="12" w:space="0" w:color="000000"/>
            </w:tcBorders>
            <w:vAlign w:val="center"/>
          </w:tcPr>
          <w:p w14:paraId="662EDB27" w14:textId="35A7C3BA" w:rsidR="00EB7493" w:rsidRDefault="00EB7493" w:rsidP="008318CD">
            <w:pPr>
              <w:spacing w:after="0" w:line="259" w:lineRule="auto"/>
              <w:ind w:left="0" w:right="48" w:firstLine="0"/>
              <w:jc w:val="center"/>
            </w:pPr>
            <w:r>
              <w:rPr>
                <w:sz w:val="18"/>
              </w:rPr>
              <w:t>8021</w:t>
            </w:r>
          </w:p>
        </w:tc>
      </w:tr>
      <w:tr w:rsidR="00EB7493" w14:paraId="0C97E188" w14:textId="77777777" w:rsidTr="00B1604E">
        <w:trPr>
          <w:trHeight w:val="262"/>
        </w:trPr>
        <w:tc>
          <w:tcPr>
            <w:tcW w:w="3256" w:type="dxa"/>
            <w:tcBorders>
              <w:top w:val="single" w:sz="4" w:space="0" w:color="000000"/>
              <w:left w:val="single" w:sz="12" w:space="0" w:color="000000"/>
              <w:bottom w:val="single" w:sz="4" w:space="0" w:color="000000"/>
              <w:right w:val="single" w:sz="12" w:space="0" w:color="000000"/>
            </w:tcBorders>
            <w:vAlign w:val="center"/>
          </w:tcPr>
          <w:p w14:paraId="736E4556" w14:textId="77777777" w:rsidR="00EB7493" w:rsidRDefault="00EB7493" w:rsidP="008318CD">
            <w:pPr>
              <w:spacing w:after="0" w:line="259" w:lineRule="auto"/>
              <w:ind w:left="0" w:right="0" w:firstLine="0"/>
            </w:pPr>
            <w:r>
              <w:rPr>
                <w:sz w:val="18"/>
              </w:rPr>
              <w:t xml:space="preserve">trans-1,2-Dichloroethene </w:t>
            </w:r>
          </w:p>
        </w:tc>
        <w:tc>
          <w:tcPr>
            <w:tcW w:w="1082" w:type="dxa"/>
            <w:tcBorders>
              <w:top w:val="single" w:sz="4" w:space="0" w:color="000000"/>
              <w:left w:val="single" w:sz="12" w:space="0" w:color="000000"/>
              <w:bottom w:val="single" w:sz="4" w:space="0" w:color="000000"/>
              <w:right w:val="single" w:sz="12" w:space="0" w:color="000000"/>
            </w:tcBorders>
            <w:vAlign w:val="center"/>
          </w:tcPr>
          <w:p w14:paraId="6866F7BD" w14:textId="000C7A3C" w:rsidR="00EB7493" w:rsidRDefault="00EB7493" w:rsidP="008318CD">
            <w:pPr>
              <w:spacing w:after="0" w:line="259" w:lineRule="auto"/>
              <w:ind w:left="0" w:right="44" w:firstLine="0"/>
              <w:jc w:val="center"/>
            </w:pPr>
            <w:r>
              <w:rPr>
                <w:sz w:val="18"/>
              </w:rPr>
              <w:t>156-60-5</w:t>
            </w:r>
          </w:p>
        </w:tc>
        <w:tc>
          <w:tcPr>
            <w:tcW w:w="1001" w:type="dxa"/>
            <w:tcBorders>
              <w:top w:val="single" w:sz="4" w:space="0" w:color="000000"/>
              <w:left w:val="single" w:sz="12" w:space="0" w:color="000000"/>
              <w:bottom w:val="single" w:sz="4" w:space="0" w:color="000000"/>
              <w:right w:val="single" w:sz="12" w:space="0" w:color="000000"/>
            </w:tcBorders>
            <w:vAlign w:val="center"/>
          </w:tcPr>
          <w:p w14:paraId="513B0578" w14:textId="703C04AD" w:rsidR="00EB7493" w:rsidRDefault="00EB7493" w:rsidP="008318CD">
            <w:pPr>
              <w:tabs>
                <w:tab w:val="center" w:pos="534"/>
              </w:tabs>
              <w:spacing w:after="0" w:line="259" w:lineRule="auto"/>
              <w:ind w:left="0" w:right="0" w:firstLine="0"/>
              <w:jc w:val="center"/>
            </w:pPr>
            <w:r>
              <w:rPr>
                <w:sz w:val="18"/>
              </w:rPr>
              <w:t>1</w:t>
            </w:r>
          </w:p>
        </w:tc>
        <w:tc>
          <w:tcPr>
            <w:tcW w:w="992" w:type="dxa"/>
            <w:tcBorders>
              <w:top w:val="single" w:sz="4" w:space="0" w:color="000000"/>
              <w:left w:val="single" w:sz="12" w:space="0" w:color="000000"/>
              <w:bottom w:val="single" w:sz="4" w:space="0" w:color="000000"/>
              <w:right w:val="single" w:sz="12" w:space="0" w:color="auto"/>
            </w:tcBorders>
            <w:vAlign w:val="center"/>
          </w:tcPr>
          <w:p w14:paraId="604DB771" w14:textId="498C6758" w:rsidR="00EB7493" w:rsidRPr="000376D7" w:rsidRDefault="00EB7493" w:rsidP="008318CD">
            <w:pPr>
              <w:spacing w:after="0" w:line="259" w:lineRule="auto"/>
              <w:ind w:left="0" w:right="44" w:firstLine="0"/>
              <w:jc w:val="center"/>
            </w:pPr>
            <w:r w:rsidRPr="00CD5619">
              <w:rPr>
                <w:rFonts w:eastAsia="Segoe UI Symbol"/>
                <w:sz w:val="18"/>
              </w:rPr>
              <w:t>u</w:t>
            </w:r>
            <w:r w:rsidRPr="007C53EE">
              <w:rPr>
                <w:sz w:val="18"/>
              </w:rPr>
              <w:t>g/L</w:t>
            </w:r>
          </w:p>
        </w:tc>
        <w:tc>
          <w:tcPr>
            <w:tcW w:w="900" w:type="dxa"/>
            <w:tcBorders>
              <w:top w:val="single" w:sz="4" w:space="0" w:color="000000"/>
              <w:left w:val="single" w:sz="12" w:space="0" w:color="auto"/>
              <w:bottom w:val="single" w:sz="4" w:space="0" w:color="000000"/>
              <w:right w:val="single" w:sz="12" w:space="0" w:color="000000"/>
            </w:tcBorders>
            <w:vAlign w:val="center"/>
          </w:tcPr>
          <w:p w14:paraId="208344A4" w14:textId="6C3535FB" w:rsidR="00EB7493" w:rsidRDefault="00EB7493" w:rsidP="008318CD">
            <w:pPr>
              <w:tabs>
                <w:tab w:val="center" w:pos="354"/>
              </w:tabs>
              <w:spacing w:after="0" w:line="259" w:lineRule="auto"/>
              <w:ind w:left="0" w:right="0" w:firstLine="0"/>
              <w:jc w:val="center"/>
            </w:pPr>
            <w:r>
              <w:rPr>
                <w:sz w:val="18"/>
              </w:rPr>
              <w:t>5</w:t>
            </w:r>
          </w:p>
        </w:tc>
        <w:tc>
          <w:tcPr>
            <w:tcW w:w="1092" w:type="dxa"/>
            <w:tcBorders>
              <w:top w:val="single" w:sz="4" w:space="0" w:color="000000"/>
              <w:left w:val="single" w:sz="12" w:space="0" w:color="000000"/>
              <w:bottom w:val="single" w:sz="4" w:space="0" w:color="000000"/>
              <w:right w:val="single" w:sz="12" w:space="0" w:color="000000"/>
            </w:tcBorders>
            <w:vAlign w:val="center"/>
          </w:tcPr>
          <w:p w14:paraId="66ED1234" w14:textId="2A65769C" w:rsidR="00EB7493" w:rsidRDefault="00EB7493" w:rsidP="008318CD">
            <w:pPr>
              <w:spacing w:after="0" w:line="259" w:lineRule="auto"/>
              <w:ind w:left="0" w:right="46" w:firstLine="0"/>
              <w:jc w:val="center"/>
            </w:pPr>
            <w:r>
              <w:rPr>
                <w:rFonts w:eastAsia="Segoe UI Symbol"/>
                <w:sz w:val="18"/>
              </w:rPr>
              <w:t>u</w:t>
            </w:r>
            <w:r>
              <w:rPr>
                <w:sz w:val="18"/>
              </w:rPr>
              <w:t>g/kg</w:t>
            </w:r>
          </w:p>
        </w:tc>
        <w:tc>
          <w:tcPr>
            <w:tcW w:w="1217" w:type="dxa"/>
            <w:tcBorders>
              <w:top w:val="single" w:sz="4" w:space="0" w:color="000000"/>
              <w:left w:val="single" w:sz="12" w:space="0" w:color="000000"/>
              <w:bottom w:val="single" w:sz="4" w:space="0" w:color="000000"/>
              <w:right w:val="single" w:sz="12" w:space="0" w:color="000000"/>
            </w:tcBorders>
            <w:vAlign w:val="center"/>
          </w:tcPr>
          <w:p w14:paraId="2FE051CC" w14:textId="1183F7C5" w:rsidR="00EB7493" w:rsidRDefault="00EB7493" w:rsidP="008318CD">
            <w:pPr>
              <w:spacing w:after="0" w:line="259" w:lineRule="auto"/>
              <w:ind w:left="0" w:right="45" w:firstLine="0"/>
              <w:jc w:val="center"/>
            </w:pPr>
            <w:r>
              <w:rPr>
                <w:b/>
                <w:sz w:val="18"/>
              </w:rPr>
              <w:t>8260</w:t>
            </w:r>
          </w:p>
        </w:tc>
        <w:tc>
          <w:tcPr>
            <w:tcW w:w="1080" w:type="dxa"/>
            <w:tcBorders>
              <w:top w:val="single" w:sz="4" w:space="0" w:color="000000"/>
              <w:left w:val="single" w:sz="12" w:space="0" w:color="000000"/>
              <w:bottom w:val="single" w:sz="4" w:space="0" w:color="000000"/>
              <w:right w:val="single" w:sz="12" w:space="0" w:color="000000"/>
            </w:tcBorders>
            <w:vAlign w:val="center"/>
          </w:tcPr>
          <w:p w14:paraId="4BAED115" w14:textId="0EC503C8" w:rsidR="00EB7493" w:rsidRDefault="00EB7493" w:rsidP="008318CD">
            <w:pPr>
              <w:spacing w:after="0" w:line="259" w:lineRule="auto"/>
              <w:ind w:left="0" w:right="48" w:firstLine="0"/>
              <w:jc w:val="center"/>
            </w:pPr>
            <w:r>
              <w:rPr>
                <w:sz w:val="18"/>
              </w:rPr>
              <w:t>8021</w:t>
            </w:r>
          </w:p>
        </w:tc>
      </w:tr>
      <w:tr w:rsidR="00B361EF" w14:paraId="18330D82" w14:textId="77777777" w:rsidTr="00B1604E">
        <w:trPr>
          <w:trHeight w:val="262"/>
        </w:trPr>
        <w:tc>
          <w:tcPr>
            <w:tcW w:w="3256" w:type="dxa"/>
            <w:tcBorders>
              <w:top w:val="single" w:sz="4" w:space="0" w:color="000000"/>
              <w:left w:val="single" w:sz="12" w:space="0" w:color="000000"/>
              <w:bottom w:val="single" w:sz="4" w:space="0" w:color="000000"/>
              <w:right w:val="single" w:sz="12" w:space="0" w:color="000000"/>
            </w:tcBorders>
            <w:vAlign w:val="center"/>
          </w:tcPr>
          <w:p w14:paraId="26B2DC0C" w14:textId="15C01256" w:rsidR="00B361EF" w:rsidRDefault="00B361EF" w:rsidP="008318CD">
            <w:pPr>
              <w:spacing w:after="0" w:line="259" w:lineRule="auto"/>
              <w:ind w:left="0" w:right="0" w:firstLine="0"/>
              <w:rPr>
                <w:sz w:val="18"/>
              </w:rPr>
            </w:pPr>
            <w:r>
              <w:rPr>
                <w:sz w:val="18"/>
              </w:rPr>
              <w:t xml:space="preserve">1,2-Dichloropropane </w:t>
            </w:r>
          </w:p>
        </w:tc>
        <w:tc>
          <w:tcPr>
            <w:tcW w:w="1082" w:type="dxa"/>
            <w:tcBorders>
              <w:top w:val="single" w:sz="4" w:space="0" w:color="000000"/>
              <w:left w:val="single" w:sz="12" w:space="0" w:color="000000"/>
              <w:bottom w:val="single" w:sz="4" w:space="0" w:color="000000"/>
              <w:right w:val="single" w:sz="12" w:space="0" w:color="000000"/>
            </w:tcBorders>
            <w:vAlign w:val="center"/>
          </w:tcPr>
          <w:p w14:paraId="36B079EC" w14:textId="372EC083" w:rsidR="00B361EF" w:rsidRDefault="00B361EF" w:rsidP="008318CD">
            <w:pPr>
              <w:spacing w:after="0" w:line="259" w:lineRule="auto"/>
              <w:ind w:left="0" w:right="44" w:firstLine="0"/>
              <w:jc w:val="center"/>
              <w:rPr>
                <w:sz w:val="18"/>
              </w:rPr>
            </w:pPr>
            <w:r>
              <w:rPr>
                <w:sz w:val="18"/>
              </w:rPr>
              <w:t>78-87-5</w:t>
            </w:r>
          </w:p>
        </w:tc>
        <w:tc>
          <w:tcPr>
            <w:tcW w:w="1001" w:type="dxa"/>
            <w:tcBorders>
              <w:top w:val="single" w:sz="4" w:space="0" w:color="000000"/>
              <w:left w:val="single" w:sz="12" w:space="0" w:color="000000"/>
              <w:bottom w:val="single" w:sz="4" w:space="0" w:color="000000"/>
              <w:right w:val="single" w:sz="12" w:space="0" w:color="000000"/>
            </w:tcBorders>
            <w:vAlign w:val="center"/>
          </w:tcPr>
          <w:p w14:paraId="2B422A1A" w14:textId="0F2360C5" w:rsidR="00B361EF" w:rsidRDefault="00B361EF" w:rsidP="008318CD">
            <w:pPr>
              <w:tabs>
                <w:tab w:val="center" w:pos="534"/>
              </w:tabs>
              <w:spacing w:after="0" w:line="259" w:lineRule="auto"/>
              <w:ind w:left="0" w:right="0" w:firstLine="0"/>
              <w:jc w:val="center"/>
              <w:rPr>
                <w:sz w:val="18"/>
              </w:rPr>
            </w:pPr>
            <w:r>
              <w:rPr>
                <w:b/>
                <w:sz w:val="18"/>
              </w:rPr>
              <w:t>1</w:t>
            </w:r>
          </w:p>
        </w:tc>
        <w:tc>
          <w:tcPr>
            <w:tcW w:w="992" w:type="dxa"/>
            <w:tcBorders>
              <w:top w:val="single" w:sz="4" w:space="0" w:color="000000"/>
              <w:left w:val="single" w:sz="12" w:space="0" w:color="000000"/>
              <w:bottom w:val="single" w:sz="4" w:space="0" w:color="000000"/>
              <w:right w:val="single" w:sz="12" w:space="0" w:color="auto"/>
            </w:tcBorders>
            <w:vAlign w:val="center"/>
          </w:tcPr>
          <w:p w14:paraId="2455F958" w14:textId="179C258D" w:rsidR="00B361EF" w:rsidRPr="00CD5619" w:rsidRDefault="00B361EF" w:rsidP="008318CD">
            <w:pPr>
              <w:spacing w:after="0" w:line="259" w:lineRule="auto"/>
              <w:ind w:left="0" w:right="44" w:firstLine="0"/>
              <w:jc w:val="center"/>
              <w:rPr>
                <w:rFonts w:eastAsia="Segoe UI Symbol"/>
                <w:sz w:val="18"/>
              </w:rPr>
            </w:pPr>
            <w:r w:rsidRPr="00167FB0">
              <w:rPr>
                <w:rFonts w:eastAsia="Segoe UI Symbol"/>
                <w:sz w:val="18"/>
              </w:rPr>
              <w:t>u</w:t>
            </w:r>
            <w:r w:rsidRPr="000376D7">
              <w:rPr>
                <w:sz w:val="18"/>
              </w:rPr>
              <w:t>g/L</w:t>
            </w:r>
          </w:p>
        </w:tc>
        <w:tc>
          <w:tcPr>
            <w:tcW w:w="900" w:type="dxa"/>
            <w:tcBorders>
              <w:top w:val="single" w:sz="4" w:space="0" w:color="000000"/>
              <w:left w:val="single" w:sz="12" w:space="0" w:color="auto"/>
              <w:bottom w:val="single" w:sz="4" w:space="0" w:color="000000"/>
              <w:right w:val="single" w:sz="12" w:space="0" w:color="000000"/>
            </w:tcBorders>
            <w:vAlign w:val="center"/>
          </w:tcPr>
          <w:p w14:paraId="114B6CE7" w14:textId="5DC6B513" w:rsidR="00B361EF" w:rsidRDefault="00B361EF" w:rsidP="008318CD">
            <w:pPr>
              <w:tabs>
                <w:tab w:val="center" w:pos="354"/>
              </w:tabs>
              <w:spacing w:after="0" w:line="259" w:lineRule="auto"/>
              <w:ind w:left="0" w:right="0" w:firstLine="0"/>
              <w:jc w:val="center"/>
              <w:rPr>
                <w:sz w:val="18"/>
              </w:rPr>
            </w:pPr>
            <w:r>
              <w:rPr>
                <w:sz w:val="18"/>
              </w:rPr>
              <w:t>5</w:t>
            </w:r>
          </w:p>
        </w:tc>
        <w:tc>
          <w:tcPr>
            <w:tcW w:w="1092" w:type="dxa"/>
            <w:tcBorders>
              <w:top w:val="single" w:sz="4" w:space="0" w:color="000000"/>
              <w:left w:val="single" w:sz="12" w:space="0" w:color="000000"/>
              <w:bottom w:val="single" w:sz="4" w:space="0" w:color="000000"/>
              <w:right w:val="single" w:sz="12" w:space="0" w:color="000000"/>
            </w:tcBorders>
            <w:vAlign w:val="center"/>
          </w:tcPr>
          <w:p w14:paraId="159D9BC8" w14:textId="2B1D729E" w:rsidR="00B361EF" w:rsidRDefault="00B361EF" w:rsidP="008318CD">
            <w:pPr>
              <w:spacing w:after="0" w:line="259" w:lineRule="auto"/>
              <w:ind w:left="0" w:right="46" w:firstLine="0"/>
              <w:jc w:val="center"/>
              <w:rPr>
                <w:rFonts w:eastAsia="Segoe UI Symbol"/>
                <w:sz w:val="18"/>
              </w:rPr>
            </w:pPr>
            <w:r>
              <w:rPr>
                <w:rFonts w:eastAsia="Segoe UI Symbol"/>
                <w:sz w:val="18"/>
              </w:rPr>
              <w:t>u</w:t>
            </w:r>
            <w:r>
              <w:rPr>
                <w:sz w:val="18"/>
              </w:rPr>
              <w:t>g/kg</w:t>
            </w:r>
          </w:p>
        </w:tc>
        <w:tc>
          <w:tcPr>
            <w:tcW w:w="1217" w:type="dxa"/>
            <w:tcBorders>
              <w:top w:val="single" w:sz="4" w:space="0" w:color="000000"/>
              <w:left w:val="single" w:sz="12" w:space="0" w:color="000000"/>
              <w:bottom w:val="single" w:sz="4" w:space="0" w:color="000000"/>
              <w:right w:val="single" w:sz="12" w:space="0" w:color="000000"/>
            </w:tcBorders>
            <w:vAlign w:val="center"/>
          </w:tcPr>
          <w:p w14:paraId="5A6E1488" w14:textId="5C596265" w:rsidR="00B361EF" w:rsidRDefault="00B361EF" w:rsidP="008318CD">
            <w:pPr>
              <w:spacing w:after="0" w:line="259" w:lineRule="auto"/>
              <w:ind w:left="0" w:right="45" w:firstLine="0"/>
              <w:jc w:val="center"/>
              <w:rPr>
                <w:b/>
                <w:sz w:val="18"/>
              </w:rPr>
            </w:pPr>
            <w:r>
              <w:rPr>
                <w:b/>
                <w:sz w:val="18"/>
              </w:rPr>
              <w:t>8260</w:t>
            </w:r>
          </w:p>
        </w:tc>
        <w:tc>
          <w:tcPr>
            <w:tcW w:w="1080" w:type="dxa"/>
            <w:tcBorders>
              <w:top w:val="single" w:sz="4" w:space="0" w:color="000000"/>
              <w:left w:val="single" w:sz="12" w:space="0" w:color="000000"/>
              <w:bottom w:val="single" w:sz="4" w:space="0" w:color="000000"/>
              <w:right w:val="single" w:sz="12" w:space="0" w:color="000000"/>
            </w:tcBorders>
            <w:vAlign w:val="center"/>
          </w:tcPr>
          <w:p w14:paraId="4C168D2E" w14:textId="6C20A42A" w:rsidR="00B361EF" w:rsidRDefault="00B361EF" w:rsidP="008318CD">
            <w:pPr>
              <w:spacing w:after="0" w:line="259" w:lineRule="auto"/>
              <w:ind w:left="0" w:right="48" w:firstLine="0"/>
              <w:jc w:val="center"/>
              <w:rPr>
                <w:sz w:val="18"/>
              </w:rPr>
            </w:pPr>
            <w:r>
              <w:rPr>
                <w:sz w:val="18"/>
              </w:rPr>
              <w:t>8021</w:t>
            </w:r>
          </w:p>
        </w:tc>
      </w:tr>
      <w:tr w:rsidR="00B361EF" w14:paraId="0980F6FB" w14:textId="77777777" w:rsidTr="00B1604E">
        <w:trPr>
          <w:trHeight w:val="262"/>
        </w:trPr>
        <w:tc>
          <w:tcPr>
            <w:tcW w:w="3256" w:type="dxa"/>
            <w:tcBorders>
              <w:top w:val="single" w:sz="4" w:space="0" w:color="000000"/>
              <w:left w:val="single" w:sz="12" w:space="0" w:color="000000"/>
              <w:bottom w:val="single" w:sz="4" w:space="0" w:color="000000"/>
              <w:right w:val="single" w:sz="12" w:space="0" w:color="000000"/>
            </w:tcBorders>
            <w:vAlign w:val="center"/>
          </w:tcPr>
          <w:p w14:paraId="189E86F6" w14:textId="338FB94D" w:rsidR="00B361EF" w:rsidRDefault="00B361EF" w:rsidP="008318CD">
            <w:pPr>
              <w:spacing w:after="0" w:line="259" w:lineRule="auto"/>
              <w:ind w:left="0" w:right="0" w:firstLine="0"/>
              <w:rPr>
                <w:sz w:val="18"/>
              </w:rPr>
            </w:pPr>
            <w:r>
              <w:rPr>
                <w:sz w:val="18"/>
              </w:rPr>
              <w:t xml:space="preserve">cis-1,3-Dichloropropene </w:t>
            </w:r>
          </w:p>
        </w:tc>
        <w:tc>
          <w:tcPr>
            <w:tcW w:w="1082" w:type="dxa"/>
            <w:tcBorders>
              <w:top w:val="single" w:sz="4" w:space="0" w:color="000000"/>
              <w:left w:val="single" w:sz="12" w:space="0" w:color="000000"/>
              <w:bottom w:val="single" w:sz="4" w:space="0" w:color="000000"/>
              <w:right w:val="single" w:sz="12" w:space="0" w:color="000000"/>
            </w:tcBorders>
            <w:vAlign w:val="center"/>
          </w:tcPr>
          <w:p w14:paraId="14AC527A" w14:textId="3B46D98B" w:rsidR="00B361EF" w:rsidRDefault="00B361EF" w:rsidP="008318CD">
            <w:pPr>
              <w:spacing w:after="0" w:line="259" w:lineRule="auto"/>
              <w:ind w:left="0" w:right="44" w:firstLine="0"/>
              <w:jc w:val="center"/>
              <w:rPr>
                <w:sz w:val="18"/>
              </w:rPr>
            </w:pPr>
            <w:r>
              <w:rPr>
                <w:sz w:val="18"/>
              </w:rPr>
              <w:t>10061-01-5</w:t>
            </w:r>
          </w:p>
        </w:tc>
        <w:tc>
          <w:tcPr>
            <w:tcW w:w="1001" w:type="dxa"/>
            <w:tcBorders>
              <w:top w:val="single" w:sz="4" w:space="0" w:color="000000"/>
              <w:left w:val="single" w:sz="12" w:space="0" w:color="000000"/>
              <w:bottom w:val="single" w:sz="4" w:space="0" w:color="000000"/>
              <w:right w:val="single" w:sz="12" w:space="0" w:color="000000"/>
            </w:tcBorders>
            <w:vAlign w:val="center"/>
          </w:tcPr>
          <w:p w14:paraId="31E4D442" w14:textId="2DBD310A" w:rsidR="00B361EF" w:rsidRDefault="00B361EF" w:rsidP="008318CD">
            <w:pPr>
              <w:tabs>
                <w:tab w:val="center" w:pos="534"/>
              </w:tabs>
              <w:spacing w:after="0" w:line="259" w:lineRule="auto"/>
              <w:ind w:left="0" w:right="0" w:firstLine="0"/>
              <w:jc w:val="center"/>
              <w:rPr>
                <w:b/>
                <w:sz w:val="18"/>
              </w:rPr>
            </w:pPr>
            <w:r>
              <w:rPr>
                <w:sz w:val="18"/>
              </w:rPr>
              <w:t>1</w:t>
            </w:r>
          </w:p>
        </w:tc>
        <w:tc>
          <w:tcPr>
            <w:tcW w:w="992" w:type="dxa"/>
            <w:tcBorders>
              <w:top w:val="single" w:sz="4" w:space="0" w:color="000000"/>
              <w:left w:val="single" w:sz="12" w:space="0" w:color="000000"/>
              <w:bottom w:val="single" w:sz="4" w:space="0" w:color="000000"/>
              <w:right w:val="single" w:sz="12" w:space="0" w:color="auto"/>
            </w:tcBorders>
            <w:vAlign w:val="center"/>
          </w:tcPr>
          <w:p w14:paraId="32AFBBD3" w14:textId="28146DC2" w:rsidR="00B361EF" w:rsidRPr="00167FB0" w:rsidRDefault="00B361EF" w:rsidP="008318CD">
            <w:pPr>
              <w:spacing w:after="0" w:line="259" w:lineRule="auto"/>
              <w:ind w:left="0" w:right="44" w:firstLine="0"/>
              <w:jc w:val="center"/>
              <w:rPr>
                <w:rFonts w:eastAsia="Segoe UI Symbol"/>
                <w:sz w:val="18"/>
              </w:rPr>
            </w:pPr>
            <w:r w:rsidRPr="00167FB0">
              <w:rPr>
                <w:rFonts w:eastAsia="Segoe UI Symbol"/>
                <w:sz w:val="18"/>
              </w:rPr>
              <w:t>u</w:t>
            </w:r>
            <w:r w:rsidRPr="000376D7">
              <w:rPr>
                <w:sz w:val="18"/>
              </w:rPr>
              <w:t>g/L</w:t>
            </w:r>
          </w:p>
        </w:tc>
        <w:tc>
          <w:tcPr>
            <w:tcW w:w="900" w:type="dxa"/>
            <w:tcBorders>
              <w:top w:val="single" w:sz="4" w:space="0" w:color="000000"/>
              <w:left w:val="single" w:sz="12" w:space="0" w:color="auto"/>
              <w:bottom w:val="single" w:sz="4" w:space="0" w:color="000000"/>
              <w:right w:val="single" w:sz="12" w:space="0" w:color="000000"/>
            </w:tcBorders>
            <w:vAlign w:val="center"/>
          </w:tcPr>
          <w:p w14:paraId="1AC54AF2" w14:textId="36BF5C12" w:rsidR="00B361EF" w:rsidRDefault="00B361EF" w:rsidP="008318CD">
            <w:pPr>
              <w:tabs>
                <w:tab w:val="center" w:pos="354"/>
              </w:tabs>
              <w:spacing w:after="0" w:line="259" w:lineRule="auto"/>
              <w:ind w:left="0" w:right="0" w:firstLine="0"/>
              <w:jc w:val="center"/>
              <w:rPr>
                <w:sz w:val="18"/>
              </w:rPr>
            </w:pPr>
            <w:r>
              <w:rPr>
                <w:sz w:val="18"/>
              </w:rPr>
              <w:t>5</w:t>
            </w:r>
          </w:p>
        </w:tc>
        <w:tc>
          <w:tcPr>
            <w:tcW w:w="1092" w:type="dxa"/>
            <w:tcBorders>
              <w:top w:val="single" w:sz="4" w:space="0" w:color="000000"/>
              <w:left w:val="single" w:sz="12" w:space="0" w:color="000000"/>
              <w:bottom w:val="single" w:sz="4" w:space="0" w:color="000000"/>
              <w:right w:val="single" w:sz="12" w:space="0" w:color="000000"/>
            </w:tcBorders>
            <w:vAlign w:val="center"/>
          </w:tcPr>
          <w:p w14:paraId="1DD8EFB9" w14:textId="663BE02D" w:rsidR="00B361EF" w:rsidRDefault="00B361EF" w:rsidP="008318CD">
            <w:pPr>
              <w:spacing w:after="0" w:line="259" w:lineRule="auto"/>
              <w:ind w:left="0" w:right="46" w:firstLine="0"/>
              <w:jc w:val="center"/>
              <w:rPr>
                <w:rFonts w:eastAsia="Segoe UI Symbol"/>
                <w:sz w:val="18"/>
              </w:rPr>
            </w:pPr>
            <w:r>
              <w:rPr>
                <w:rFonts w:eastAsia="Segoe UI Symbol"/>
                <w:sz w:val="18"/>
              </w:rPr>
              <w:t>u</w:t>
            </w:r>
            <w:r>
              <w:rPr>
                <w:sz w:val="18"/>
              </w:rPr>
              <w:t>g/kg</w:t>
            </w:r>
          </w:p>
        </w:tc>
        <w:tc>
          <w:tcPr>
            <w:tcW w:w="1217" w:type="dxa"/>
            <w:tcBorders>
              <w:top w:val="single" w:sz="4" w:space="0" w:color="000000"/>
              <w:left w:val="single" w:sz="12" w:space="0" w:color="000000"/>
              <w:bottom w:val="single" w:sz="4" w:space="0" w:color="000000"/>
              <w:right w:val="single" w:sz="12" w:space="0" w:color="000000"/>
            </w:tcBorders>
            <w:vAlign w:val="center"/>
          </w:tcPr>
          <w:p w14:paraId="26713C76" w14:textId="32C37129" w:rsidR="00B361EF" w:rsidRDefault="00B361EF" w:rsidP="008318CD">
            <w:pPr>
              <w:spacing w:after="0" w:line="259" w:lineRule="auto"/>
              <w:ind w:left="0" w:right="45" w:firstLine="0"/>
              <w:jc w:val="center"/>
              <w:rPr>
                <w:b/>
                <w:sz w:val="18"/>
              </w:rPr>
            </w:pPr>
            <w:r>
              <w:rPr>
                <w:b/>
                <w:sz w:val="18"/>
              </w:rPr>
              <w:t>8260</w:t>
            </w:r>
          </w:p>
        </w:tc>
        <w:tc>
          <w:tcPr>
            <w:tcW w:w="1080" w:type="dxa"/>
            <w:tcBorders>
              <w:top w:val="single" w:sz="4" w:space="0" w:color="000000"/>
              <w:left w:val="single" w:sz="12" w:space="0" w:color="000000"/>
              <w:bottom w:val="single" w:sz="4" w:space="0" w:color="000000"/>
              <w:right w:val="single" w:sz="12" w:space="0" w:color="000000"/>
            </w:tcBorders>
            <w:vAlign w:val="center"/>
          </w:tcPr>
          <w:p w14:paraId="612953CE" w14:textId="0ED908E4" w:rsidR="00B361EF" w:rsidRDefault="00B361EF" w:rsidP="008318CD">
            <w:pPr>
              <w:spacing w:after="0" w:line="259" w:lineRule="auto"/>
              <w:ind w:left="0" w:right="48" w:firstLine="0"/>
              <w:jc w:val="center"/>
              <w:rPr>
                <w:sz w:val="18"/>
              </w:rPr>
            </w:pPr>
            <w:r>
              <w:rPr>
                <w:sz w:val="18"/>
              </w:rPr>
              <w:t>8021</w:t>
            </w:r>
          </w:p>
        </w:tc>
      </w:tr>
      <w:tr w:rsidR="00B361EF" w14:paraId="0CAEE600" w14:textId="77777777" w:rsidTr="00B1604E">
        <w:trPr>
          <w:trHeight w:val="262"/>
        </w:trPr>
        <w:tc>
          <w:tcPr>
            <w:tcW w:w="3256" w:type="dxa"/>
            <w:tcBorders>
              <w:top w:val="single" w:sz="4" w:space="0" w:color="000000"/>
              <w:left w:val="single" w:sz="12" w:space="0" w:color="000000"/>
              <w:bottom w:val="single" w:sz="4" w:space="0" w:color="000000"/>
              <w:right w:val="single" w:sz="12" w:space="0" w:color="000000"/>
            </w:tcBorders>
            <w:vAlign w:val="center"/>
          </w:tcPr>
          <w:p w14:paraId="73022FD0" w14:textId="2CBA4885" w:rsidR="00B361EF" w:rsidRDefault="00B361EF" w:rsidP="008318CD">
            <w:pPr>
              <w:spacing w:after="0" w:line="259" w:lineRule="auto"/>
              <w:ind w:left="0" w:right="0" w:firstLine="0"/>
              <w:rPr>
                <w:sz w:val="18"/>
              </w:rPr>
            </w:pPr>
            <w:r>
              <w:rPr>
                <w:sz w:val="18"/>
              </w:rPr>
              <w:t xml:space="preserve">trans-1,3-Dichloropropene </w:t>
            </w:r>
          </w:p>
        </w:tc>
        <w:tc>
          <w:tcPr>
            <w:tcW w:w="1082" w:type="dxa"/>
            <w:tcBorders>
              <w:top w:val="single" w:sz="4" w:space="0" w:color="000000"/>
              <w:left w:val="single" w:sz="12" w:space="0" w:color="000000"/>
              <w:bottom w:val="single" w:sz="4" w:space="0" w:color="000000"/>
              <w:right w:val="single" w:sz="12" w:space="0" w:color="000000"/>
            </w:tcBorders>
            <w:vAlign w:val="center"/>
          </w:tcPr>
          <w:p w14:paraId="35F13720" w14:textId="3736C1E2" w:rsidR="00B361EF" w:rsidRDefault="00B361EF" w:rsidP="008318CD">
            <w:pPr>
              <w:spacing w:after="0" w:line="259" w:lineRule="auto"/>
              <w:ind w:left="0" w:right="44" w:firstLine="0"/>
              <w:jc w:val="center"/>
              <w:rPr>
                <w:sz w:val="18"/>
              </w:rPr>
            </w:pPr>
            <w:r>
              <w:rPr>
                <w:sz w:val="18"/>
              </w:rPr>
              <w:t>10061-02-6</w:t>
            </w:r>
          </w:p>
        </w:tc>
        <w:tc>
          <w:tcPr>
            <w:tcW w:w="1001" w:type="dxa"/>
            <w:tcBorders>
              <w:top w:val="single" w:sz="4" w:space="0" w:color="000000"/>
              <w:left w:val="single" w:sz="12" w:space="0" w:color="000000"/>
              <w:bottom w:val="single" w:sz="4" w:space="0" w:color="000000"/>
              <w:right w:val="single" w:sz="12" w:space="0" w:color="000000"/>
            </w:tcBorders>
            <w:vAlign w:val="center"/>
          </w:tcPr>
          <w:p w14:paraId="01DC8425" w14:textId="3049E963" w:rsidR="00B361EF" w:rsidRDefault="00B361EF" w:rsidP="008318CD">
            <w:pPr>
              <w:tabs>
                <w:tab w:val="center" w:pos="534"/>
              </w:tabs>
              <w:spacing w:after="0" w:line="259" w:lineRule="auto"/>
              <w:ind w:left="0" w:right="0" w:firstLine="0"/>
              <w:jc w:val="center"/>
              <w:rPr>
                <w:sz w:val="18"/>
              </w:rPr>
            </w:pPr>
            <w:r>
              <w:rPr>
                <w:sz w:val="18"/>
              </w:rPr>
              <w:t>1</w:t>
            </w:r>
          </w:p>
        </w:tc>
        <w:tc>
          <w:tcPr>
            <w:tcW w:w="992" w:type="dxa"/>
            <w:tcBorders>
              <w:top w:val="single" w:sz="4" w:space="0" w:color="000000"/>
              <w:left w:val="single" w:sz="12" w:space="0" w:color="000000"/>
              <w:bottom w:val="single" w:sz="4" w:space="0" w:color="000000"/>
              <w:right w:val="single" w:sz="12" w:space="0" w:color="auto"/>
            </w:tcBorders>
            <w:vAlign w:val="center"/>
          </w:tcPr>
          <w:p w14:paraId="03C637CB" w14:textId="4AB8D7A3" w:rsidR="00B361EF" w:rsidRPr="00167FB0" w:rsidRDefault="00B361EF" w:rsidP="008318CD">
            <w:pPr>
              <w:spacing w:after="0" w:line="259" w:lineRule="auto"/>
              <w:ind w:left="0" w:right="44" w:firstLine="0"/>
              <w:jc w:val="center"/>
              <w:rPr>
                <w:rFonts w:eastAsia="Segoe UI Symbol"/>
                <w:sz w:val="18"/>
              </w:rPr>
            </w:pPr>
            <w:r w:rsidRPr="00167FB0">
              <w:rPr>
                <w:rFonts w:eastAsia="Segoe UI Symbol"/>
                <w:sz w:val="18"/>
              </w:rPr>
              <w:t>u</w:t>
            </w:r>
            <w:r w:rsidRPr="000376D7">
              <w:rPr>
                <w:sz w:val="18"/>
              </w:rPr>
              <w:t>g/L</w:t>
            </w:r>
          </w:p>
        </w:tc>
        <w:tc>
          <w:tcPr>
            <w:tcW w:w="900" w:type="dxa"/>
            <w:tcBorders>
              <w:top w:val="single" w:sz="4" w:space="0" w:color="000000"/>
              <w:left w:val="single" w:sz="12" w:space="0" w:color="auto"/>
              <w:bottom w:val="single" w:sz="4" w:space="0" w:color="000000"/>
              <w:right w:val="single" w:sz="12" w:space="0" w:color="000000"/>
            </w:tcBorders>
            <w:vAlign w:val="center"/>
          </w:tcPr>
          <w:p w14:paraId="66570AA3" w14:textId="600AF97C" w:rsidR="00B361EF" w:rsidRDefault="00B361EF" w:rsidP="008318CD">
            <w:pPr>
              <w:tabs>
                <w:tab w:val="center" w:pos="354"/>
              </w:tabs>
              <w:spacing w:after="0" w:line="259" w:lineRule="auto"/>
              <w:ind w:left="0" w:right="0" w:firstLine="0"/>
              <w:jc w:val="center"/>
              <w:rPr>
                <w:sz w:val="18"/>
              </w:rPr>
            </w:pPr>
            <w:r>
              <w:rPr>
                <w:sz w:val="18"/>
              </w:rPr>
              <w:t>5</w:t>
            </w:r>
          </w:p>
        </w:tc>
        <w:tc>
          <w:tcPr>
            <w:tcW w:w="1092" w:type="dxa"/>
            <w:tcBorders>
              <w:top w:val="single" w:sz="4" w:space="0" w:color="000000"/>
              <w:left w:val="single" w:sz="12" w:space="0" w:color="000000"/>
              <w:bottom w:val="single" w:sz="4" w:space="0" w:color="000000"/>
              <w:right w:val="single" w:sz="12" w:space="0" w:color="000000"/>
            </w:tcBorders>
            <w:vAlign w:val="center"/>
          </w:tcPr>
          <w:p w14:paraId="34400046" w14:textId="2011F84E" w:rsidR="00B361EF" w:rsidRDefault="00B361EF" w:rsidP="008318CD">
            <w:pPr>
              <w:spacing w:after="0" w:line="259" w:lineRule="auto"/>
              <w:ind w:left="0" w:right="46" w:firstLine="0"/>
              <w:jc w:val="center"/>
              <w:rPr>
                <w:rFonts w:eastAsia="Segoe UI Symbol"/>
                <w:sz w:val="18"/>
              </w:rPr>
            </w:pPr>
            <w:r>
              <w:rPr>
                <w:rFonts w:eastAsia="Segoe UI Symbol"/>
                <w:sz w:val="18"/>
              </w:rPr>
              <w:t>u</w:t>
            </w:r>
            <w:r>
              <w:rPr>
                <w:sz w:val="18"/>
              </w:rPr>
              <w:t>g/kg</w:t>
            </w:r>
          </w:p>
        </w:tc>
        <w:tc>
          <w:tcPr>
            <w:tcW w:w="1217" w:type="dxa"/>
            <w:tcBorders>
              <w:top w:val="single" w:sz="4" w:space="0" w:color="000000"/>
              <w:left w:val="single" w:sz="12" w:space="0" w:color="000000"/>
              <w:bottom w:val="single" w:sz="4" w:space="0" w:color="000000"/>
              <w:right w:val="single" w:sz="12" w:space="0" w:color="000000"/>
            </w:tcBorders>
            <w:vAlign w:val="center"/>
          </w:tcPr>
          <w:p w14:paraId="16574BA8" w14:textId="30356E91" w:rsidR="00B361EF" w:rsidRDefault="00B361EF" w:rsidP="008318CD">
            <w:pPr>
              <w:spacing w:after="0" w:line="259" w:lineRule="auto"/>
              <w:ind w:left="0" w:right="45" w:firstLine="0"/>
              <w:jc w:val="center"/>
              <w:rPr>
                <w:b/>
                <w:sz w:val="18"/>
              </w:rPr>
            </w:pPr>
            <w:r>
              <w:rPr>
                <w:b/>
                <w:sz w:val="18"/>
              </w:rPr>
              <w:t>8260</w:t>
            </w:r>
          </w:p>
        </w:tc>
        <w:tc>
          <w:tcPr>
            <w:tcW w:w="1080" w:type="dxa"/>
            <w:tcBorders>
              <w:top w:val="single" w:sz="4" w:space="0" w:color="000000"/>
              <w:left w:val="single" w:sz="12" w:space="0" w:color="000000"/>
              <w:bottom w:val="single" w:sz="4" w:space="0" w:color="000000"/>
              <w:right w:val="single" w:sz="12" w:space="0" w:color="000000"/>
            </w:tcBorders>
            <w:vAlign w:val="center"/>
          </w:tcPr>
          <w:p w14:paraId="2DFE37C9" w14:textId="0CDF8F2A" w:rsidR="00B361EF" w:rsidRDefault="00B361EF" w:rsidP="008318CD">
            <w:pPr>
              <w:spacing w:after="0" w:line="259" w:lineRule="auto"/>
              <w:ind w:left="0" w:right="48" w:firstLine="0"/>
              <w:jc w:val="center"/>
              <w:rPr>
                <w:sz w:val="18"/>
              </w:rPr>
            </w:pPr>
            <w:r>
              <w:rPr>
                <w:sz w:val="18"/>
              </w:rPr>
              <w:t>8021</w:t>
            </w:r>
          </w:p>
        </w:tc>
      </w:tr>
      <w:tr w:rsidR="00B361EF" w14:paraId="3B840ECA" w14:textId="77777777" w:rsidTr="00B1604E">
        <w:trPr>
          <w:trHeight w:val="262"/>
        </w:trPr>
        <w:tc>
          <w:tcPr>
            <w:tcW w:w="3256" w:type="dxa"/>
            <w:tcBorders>
              <w:top w:val="single" w:sz="4" w:space="0" w:color="000000"/>
              <w:left w:val="single" w:sz="12" w:space="0" w:color="000000"/>
              <w:bottom w:val="single" w:sz="4" w:space="0" w:color="000000"/>
              <w:right w:val="single" w:sz="12" w:space="0" w:color="000000"/>
            </w:tcBorders>
            <w:vAlign w:val="center"/>
          </w:tcPr>
          <w:p w14:paraId="10C95128" w14:textId="543824BD" w:rsidR="00B361EF" w:rsidRDefault="00B361EF" w:rsidP="008318CD">
            <w:pPr>
              <w:spacing w:after="0" w:line="259" w:lineRule="auto"/>
              <w:ind w:left="0" w:right="0" w:firstLine="0"/>
              <w:rPr>
                <w:sz w:val="18"/>
              </w:rPr>
            </w:pPr>
            <w:r>
              <w:rPr>
                <w:sz w:val="18"/>
              </w:rPr>
              <w:t xml:space="preserve">Ethylbenzene </w:t>
            </w:r>
          </w:p>
        </w:tc>
        <w:tc>
          <w:tcPr>
            <w:tcW w:w="1082" w:type="dxa"/>
            <w:tcBorders>
              <w:top w:val="single" w:sz="4" w:space="0" w:color="000000"/>
              <w:left w:val="single" w:sz="12" w:space="0" w:color="000000"/>
              <w:bottom w:val="single" w:sz="4" w:space="0" w:color="000000"/>
              <w:right w:val="single" w:sz="12" w:space="0" w:color="000000"/>
            </w:tcBorders>
            <w:vAlign w:val="center"/>
          </w:tcPr>
          <w:p w14:paraId="163B1D36" w14:textId="7783F39B" w:rsidR="00B361EF" w:rsidRDefault="00B361EF" w:rsidP="008318CD">
            <w:pPr>
              <w:spacing w:after="0" w:line="259" w:lineRule="auto"/>
              <w:ind w:left="0" w:right="44" w:firstLine="0"/>
              <w:jc w:val="center"/>
              <w:rPr>
                <w:sz w:val="18"/>
              </w:rPr>
            </w:pPr>
            <w:r>
              <w:rPr>
                <w:sz w:val="18"/>
              </w:rPr>
              <w:t>100-41-4</w:t>
            </w:r>
          </w:p>
        </w:tc>
        <w:tc>
          <w:tcPr>
            <w:tcW w:w="1001" w:type="dxa"/>
            <w:tcBorders>
              <w:top w:val="single" w:sz="4" w:space="0" w:color="000000"/>
              <w:left w:val="single" w:sz="12" w:space="0" w:color="000000"/>
              <w:bottom w:val="single" w:sz="4" w:space="0" w:color="000000"/>
              <w:right w:val="single" w:sz="12" w:space="0" w:color="000000"/>
            </w:tcBorders>
            <w:vAlign w:val="center"/>
          </w:tcPr>
          <w:p w14:paraId="74DC6480" w14:textId="03456BB0" w:rsidR="00B361EF" w:rsidRDefault="00B361EF" w:rsidP="008318CD">
            <w:pPr>
              <w:tabs>
                <w:tab w:val="center" w:pos="534"/>
              </w:tabs>
              <w:spacing w:after="0" w:line="259" w:lineRule="auto"/>
              <w:ind w:left="0" w:right="0" w:firstLine="0"/>
              <w:jc w:val="center"/>
              <w:rPr>
                <w:sz w:val="18"/>
              </w:rPr>
            </w:pPr>
            <w:r>
              <w:rPr>
                <w:sz w:val="18"/>
              </w:rPr>
              <w:t>1</w:t>
            </w:r>
          </w:p>
        </w:tc>
        <w:tc>
          <w:tcPr>
            <w:tcW w:w="992" w:type="dxa"/>
            <w:tcBorders>
              <w:top w:val="single" w:sz="4" w:space="0" w:color="000000"/>
              <w:left w:val="single" w:sz="12" w:space="0" w:color="000000"/>
              <w:bottom w:val="single" w:sz="4" w:space="0" w:color="000000"/>
              <w:right w:val="single" w:sz="12" w:space="0" w:color="auto"/>
            </w:tcBorders>
            <w:vAlign w:val="center"/>
          </w:tcPr>
          <w:p w14:paraId="46087211" w14:textId="1C2567BD" w:rsidR="00B361EF" w:rsidRPr="00167FB0" w:rsidRDefault="00B361EF" w:rsidP="008318CD">
            <w:pPr>
              <w:spacing w:after="0" w:line="259" w:lineRule="auto"/>
              <w:ind w:left="0" w:right="44" w:firstLine="0"/>
              <w:jc w:val="center"/>
              <w:rPr>
                <w:rFonts w:eastAsia="Segoe UI Symbol"/>
                <w:sz w:val="18"/>
              </w:rPr>
            </w:pPr>
            <w:r w:rsidRPr="00167FB0">
              <w:rPr>
                <w:rFonts w:eastAsia="Segoe UI Symbol"/>
                <w:sz w:val="18"/>
              </w:rPr>
              <w:t>u</w:t>
            </w:r>
            <w:r w:rsidRPr="000376D7">
              <w:rPr>
                <w:sz w:val="18"/>
              </w:rPr>
              <w:t>g/L</w:t>
            </w:r>
          </w:p>
        </w:tc>
        <w:tc>
          <w:tcPr>
            <w:tcW w:w="900" w:type="dxa"/>
            <w:tcBorders>
              <w:top w:val="single" w:sz="4" w:space="0" w:color="000000"/>
              <w:left w:val="single" w:sz="12" w:space="0" w:color="auto"/>
              <w:bottom w:val="single" w:sz="4" w:space="0" w:color="000000"/>
              <w:right w:val="single" w:sz="12" w:space="0" w:color="000000"/>
            </w:tcBorders>
            <w:vAlign w:val="center"/>
          </w:tcPr>
          <w:p w14:paraId="4D0CE1D9" w14:textId="69089C0E" w:rsidR="00B361EF" w:rsidRDefault="00B361EF" w:rsidP="008318CD">
            <w:pPr>
              <w:tabs>
                <w:tab w:val="center" w:pos="354"/>
              </w:tabs>
              <w:spacing w:after="0" w:line="259" w:lineRule="auto"/>
              <w:ind w:left="0" w:right="0" w:firstLine="0"/>
              <w:jc w:val="center"/>
              <w:rPr>
                <w:sz w:val="18"/>
              </w:rPr>
            </w:pPr>
            <w:r>
              <w:rPr>
                <w:sz w:val="18"/>
              </w:rPr>
              <w:t>5</w:t>
            </w:r>
          </w:p>
        </w:tc>
        <w:tc>
          <w:tcPr>
            <w:tcW w:w="1092" w:type="dxa"/>
            <w:tcBorders>
              <w:top w:val="single" w:sz="4" w:space="0" w:color="000000"/>
              <w:left w:val="single" w:sz="12" w:space="0" w:color="000000"/>
              <w:bottom w:val="single" w:sz="4" w:space="0" w:color="000000"/>
              <w:right w:val="single" w:sz="12" w:space="0" w:color="000000"/>
            </w:tcBorders>
            <w:vAlign w:val="center"/>
          </w:tcPr>
          <w:p w14:paraId="02411C59" w14:textId="62097CD3" w:rsidR="00B361EF" w:rsidRDefault="00B361EF" w:rsidP="008318CD">
            <w:pPr>
              <w:spacing w:after="0" w:line="259" w:lineRule="auto"/>
              <w:ind w:left="0" w:right="46" w:firstLine="0"/>
              <w:jc w:val="center"/>
              <w:rPr>
                <w:rFonts w:eastAsia="Segoe UI Symbol"/>
                <w:sz w:val="18"/>
              </w:rPr>
            </w:pPr>
            <w:r>
              <w:rPr>
                <w:rFonts w:eastAsia="Segoe UI Symbol"/>
                <w:sz w:val="18"/>
              </w:rPr>
              <w:t>u</w:t>
            </w:r>
            <w:r>
              <w:rPr>
                <w:sz w:val="18"/>
              </w:rPr>
              <w:t>g/kg</w:t>
            </w:r>
          </w:p>
        </w:tc>
        <w:tc>
          <w:tcPr>
            <w:tcW w:w="1217" w:type="dxa"/>
            <w:tcBorders>
              <w:top w:val="single" w:sz="4" w:space="0" w:color="000000"/>
              <w:left w:val="single" w:sz="12" w:space="0" w:color="000000"/>
              <w:bottom w:val="single" w:sz="4" w:space="0" w:color="000000"/>
              <w:right w:val="single" w:sz="12" w:space="0" w:color="000000"/>
            </w:tcBorders>
            <w:vAlign w:val="center"/>
          </w:tcPr>
          <w:p w14:paraId="16E945FF" w14:textId="21068937" w:rsidR="00B361EF" w:rsidRDefault="00B361EF" w:rsidP="008318CD">
            <w:pPr>
              <w:spacing w:after="0" w:line="259" w:lineRule="auto"/>
              <w:ind w:left="0" w:right="45" w:firstLine="0"/>
              <w:jc w:val="center"/>
              <w:rPr>
                <w:b/>
                <w:sz w:val="18"/>
              </w:rPr>
            </w:pPr>
            <w:r>
              <w:rPr>
                <w:b/>
                <w:sz w:val="18"/>
              </w:rPr>
              <w:t>8260</w:t>
            </w:r>
          </w:p>
        </w:tc>
        <w:tc>
          <w:tcPr>
            <w:tcW w:w="1080" w:type="dxa"/>
            <w:tcBorders>
              <w:top w:val="single" w:sz="4" w:space="0" w:color="000000"/>
              <w:left w:val="single" w:sz="12" w:space="0" w:color="000000"/>
              <w:bottom w:val="single" w:sz="4" w:space="0" w:color="000000"/>
              <w:right w:val="single" w:sz="12" w:space="0" w:color="000000"/>
            </w:tcBorders>
            <w:vAlign w:val="center"/>
          </w:tcPr>
          <w:p w14:paraId="0E2EFBF1" w14:textId="12CABF4D" w:rsidR="00B361EF" w:rsidRDefault="00B361EF" w:rsidP="008318CD">
            <w:pPr>
              <w:spacing w:after="0" w:line="259" w:lineRule="auto"/>
              <w:ind w:left="0" w:right="48" w:firstLine="0"/>
              <w:jc w:val="center"/>
              <w:rPr>
                <w:sz w:val="18"/>
              </w:rPr>
            </w:pPr>
            <w:r>
              <w:rPr>
                <w:sz w:val="18"/>
              </w:rPr>
              <w:t>8021</w:t>
            </w:r>
          </w:p>
        </w:tc>
      </w:tr>
      <w:tr w:rsidR="00B361EF" w14:paraId="221DB9C8" w14:textId="77777777" w:rsidTr="00B1604E">
        <w:trPr>
          <w:trHeight w:val="262"/>
        </w:trPr>
        <w:tc>
          <w:tcPr>
            <w:tcW w:w="3256" w:type="dxa"/>
            <w:tcBorders>
              <w:top w:val="single" w:sz="4" w:space="0" w:color="000000"/>
              <w:left w:val="single" w:sz="12" w:space="0" w:color="000000"/>
              <w:bottom w:val="single" w:sz="4" w:space="0" w:color="000000"/>
              <w:right w:val="single" w:sz="12" w:space="0" w:color="000000"/>
            </w:tcBorders>
            <w:vAlign w:val="center"/>
          </w:tcPr>
          <w:p w14:paraId="2E1681F7" w14:textId="696CE3D4" w:rsidR="00B361EF" w:rsidRDefault="00B361EF" w:rsidP="008318CD">
            <w:pPr>
              <w:spacing w:after="0" w:line="259" w:lineRule="auto"/>
              <w:ind w:left="0" w:right="0" w:firstLine="0"/>
              <w:rPr>
                <w:sz w:val="18"/>
              </w:rPr>
            </w:pPr>
            <w:r>
              <w:rPr>
                <w:sz w:val="18"/>
              </w:rPr>
              <w:t xml:space="preserve">2-Hexanone (MBK) </w:t>
            </w:r>
          </w:p>
        </w:tc>
        <w:tc>
          <w:tcPr>
            <w:tcW w:w="1082" w:type="dxa"/>
            <w:tcBorders>
              <w:top w:val="single" w:sz="4" w:space="0" w:color="000000"/>
              <w:left w:val="single" w:sz="12" w:space="0" w:color="000000"/>
              <w:bottom w:val="single" w:sz="4" w:space="0" w:color="000000"/>
              <w:right w:val="single" w:sz="12" w:space="0" w:color="000000"/>
            </w:tcBorders>
            <w:vAlign w:val="center"/>
          </w:tcPr>
          <w:p w14:paraId="30849D59" w14:textId="0719A8EB" w:rsidR="00B361EF" w:rsidRDefault="00B361EF" w:rsidP="008318CD">
            <w:pPr>
              <w:spacing w:after="0" w:line="259" w:lineRule="auto"/>
              <w:ind w:left="0" w:right="44" w:firstLine="0"/>
              <w:jc w:val="center"/>
              <w:rPr>
                <w:sz w:val="18"/>
              </w:rPr>
            </w:pPr>
            <w:r>
              <w:rPr>
                <w:sz w:val="18"/>
              </w:rPr>
              <w:t>591-78-6</w:t>
            </w:r>
          </w:p>
        </w:tc>
        <w:tc>
          <w:tcPr>
            <w:tcW w:w="1001" w:type="dxa"/>
            <w:tcBorders>
              <w:top w:val="single" w:sz="4" w:space="0" w:color="000000"/>
              <w:left w:val="single" w:sz="12" w:space="0" w:color="000000"/>
              <w:bottom w:val="single" w:sz="4" w:space="0" w:color="000000"/>
              <w:right w:val="single" w:sz="12" w:space="0" w:color="000000"/>
            </w:tcBorders>
            <w:vAlign w:val="center"/>
          </w:tcPr>
          <w:p w14:paraId="6A953725" w14:textId="22CC4EA3" w:rsidR="00B361EF" w:rsidRDefault="00B361EF" w:rsidP="008318CD">
            <w:pPr>
              <w:tabs>
                <w:tab w:val="center" w:pos="534"/>
              </w:tabs>
              <w:spacing w:after="0" w:line="259" w:lineRule="auto"/>
              <w:ind w:left="0" w:right="0" w:firstLine="0"/>
              <w:jc w:val="center"/>
              <w:rPr>
                <w:sz w:val="18"/>
              </w:rPr>
            </w:pPr>
            <w:r>
              <w:rPr>
                <w:sz w:val="18"/>
              </w:rPr>
              <w:t>20</w:t>
            </w:r>
          </w:p>
        </w:tc>
        <w:tc>
          <w:tcPr>
            <w:tcW w:w="992" w:type="dxa"/>
            <w:tcBorders>
              <w:top w:val="single" w:sz="4" w:space="0" w:color="000000"/>
              <w:left w:val="single" w:sz="12" w:space="0" w:color="000000"/>
              <w:bottom w:val="single" w:sz="4" w:space="0" w:color="000000"/>
              <w:right w:val="single" w:sz="12" w:space="0" w:color="auto"/>
            </w:tcBorders>
            <w:vAlign w:val="center"/>
          </w:tcPr>
          <w:p w14:paraId="79718225" w14:textId="7E71FED5" w:rsidR="00B361EF" w:rsidRPr="00167FB0" w:rsidRDefault="00B361EF" w:rsidP="008318CD">
            <w:pPr>
              <w:spacing w:after="0" w:line="259" w:lineRule="auto"/>
              <w:ind w:left="0" w:right="44" w:firstLine="0"/>
              <w:jc w:val="center"/>
              <w:rPr>
                <w:rFonts w:eastAsia="Segoe UI Symbol"/>
                <w:sz w:val="18"/>
              </w:rPr>
            </w:pPr>
            <w:r w:rsidRPr="00167FB0">
              <w:rPr>
                <w:rFonts w:eastAsia="Segoe UI Symbol"/>
                <w:sz w:val="18"/>
              </w:rPr>
              <w:t>u</w:t>
            </w:r>
            <w:r w:rsidRPr="000376D7">
              <w:rPr>
                <w:sz w:val="18"/>
              </w:rPr>
              <w:t>g/L</w:t>
            </w:r>
          </w:p>
        </w:tc>
        <w:tc>
          <w:tcPr>
            <w:tcW w:w="900" w:type="dxa"/>
            <w:tcBorders>
              <w:top w:val="single" w:sz="4" w:space="0" w:color="000000"/>
              <w:left w:val="single" w:sz="12" w:space="0" w:color="auto"/>
              <w:bottom w:val="single" w:sz="4" w:space="0" w:color="000000"/>
              <w:right w:val="single" w:sz="12" w:space="0" w:color="000000"/>
            </w:tcBorders>
            <w:vAlign w:val="center"/>
          </w:tcPr>
          <w:p w14:paraId="129AC160" w14:textId="54AB12BD" w:rsidR="00B361EF" w:rsidRDefault="00B361EF" w:rsidP="008318CD">
            <w:pPr>
              <w:tabs>
                <w:tab w:val="center" w:pos="354"/>
              </w:tabs>
              <w:spacing w:after="0" w:line="259" w:lineRule="auto"/>
              <w:ind w:left="0" w:right="0" w:firstLine="0"/>
              <w:jc w:val="center"/>
              <w:rPr>
                <w:sz w:val="18"/>
              </w:rPr>
            </w:pPr>
            <w:r>
              <w:rPr>
                <w:sz w:val="18"/>
              </w:rPr>
              <w:t>50</w:t>
            </w:r>
          </w:p>
        </w:tc>
        <w:tc>
          <w:tcPr>
            <w:tcW w:w="1092" w:type="dxa"/>
            <w:tcBorders>
              <w:top w:val="single" w:sz="4" w:space="0" w:color="000000"/>
              <w:left w:val="single" w:sz="12" w:space="0" w:color="000000"/>
              <w:bottom w:val="single" w:sz="4" w:space="0" w:color="000000"/>
              <w:right w:val="single" w:sz="12" w:space="0" w:color="000000"/>
            </w:tcBorders>
            <w:vAlign w:val="center"/>
          </w:tcPr>
          <w:p w14:paraId="55F94422" w14:textId="764A2BCF" w:rsidR="00B361EF" w:rsidRDefault="00B361EF" w:rsidP="008318CD">
            <w:pPr>
              <w:spacing w:after="0" w:line="259" w:lineRule="auto"/>
              <w:ind w:left="0" w:right="46" w:firstLine="0"/>
              <w:jc w:val="center"/>
              <w:rPr>
                <w:rFonts w:eastAsia="Segoe UI Symbol"/>
                <w:sz w:val="18"/>
              </w:rPr>
            </w:pPr>
            <w:r>
              <w:rPr>
                <w:rFonts w:eastAsia="Segoe UI Symbol"/>
                <w:sz w:val="18"/>
              </w:rPr>
              <w:t>u</w:t>
            </w:r>
            <w:r>
              <w:rPr>
                <w:sz w:val="18"/>
              </w:rPr>
              <w:t>g/kg</w:t>
            </w:r>
          </w:p>
        </w:tc>
        <w:tc>
          <w:tcPr>
            <w:tcW w:w="1217" w:type="dxa"/>
            <w:tcBorders>
              <w:top w:val="single" w:sz="4" w:space="0" w:color="000000"/>
              <w:left w:val="single" w:sz="12" w:space="0" w:color="000000"/>
              <w:bottom w:val="single" w:sz="4" w:space="0" w:color="000000"/>
              <w:right w:val="single" w:sz="12" w:space="0" w:color="000000"/>
            </w:tcBorders>
            <w:vAlign w:val="center"/>
          </w:tcPr>
          <w:p w14:paraId="56B7B866" w14:textId="167F9CE9" w:rsidR="00B361EF" w:rsidRDefault="00B361EF" w:rsidP="008318CD">
            <w:pPr>
              <w:spacing w:after="0" w:line="259" w:lineRule="auto"/>
              <w:ind w:left="0" w:right="45" w:firstLine="0"/>
              <w:jc w:val="center"/>
              <w:rPr>
                <w:b/>
                <w:sz w:val="18"/>
              </w:rPr>
            </w:pPr>
            <w:r>
              <w:rPr>
                <w:b/>
                <w:sz w:val="18"/>
              </w:rPr>
              <w:t>8260</w:t>
            </w:r>
          </w:p>
        </w:tc>
        <w:tc>
          <w:tcPr>
            <w:tcW w:w="1080" w:type="dxa"/>
            <w:tcBorders>
              <w:top w:val="single" w:sz="4" w:space="0" w:color="000000"/>
              <w:left w:val="single" w:sz="12" w:space="0" w:color="000000"/>
              <w:bottom w:val="single" w:sz="4" w:space="0" w:color="000000"/>
              <w:right w:val="single" w:sz="12" w:space="0" w:color="000000"/>
            </w:tcBorders>
            <w:vAlign w:val="center"/>
          </w:tcPr>
          <w:p w14:paraId="6129F80B" w14:textId="2A8C746E" w:rsidR="00B361EF" w:rsidRDefault="00B361EF" w:rsidP="008318CD">
            <w:pPr>
              <w:spacing w:after="0" w:line="259" w:lineRule="auto"/>
              <w:ind w:left="0" w:right="48" w:firstLine="0"/>
              <w:jc w:val="center"/>
              <w:rPr>
                <w:sz w:val="18"/>
              </w:rPr>
            </w:pPr>
            <w:r w:rsidRPr="00811414">
              <w:rPr>
                <w:iCs/>
                <w:sz w:val="18"/>
              </w:rPr>
              <w:t>8015</w:t>
            </w:r>
          </w:p>
        </w:tc>
      </w:tr>
      <w:tr w:rsidR="00B361EF" w14:paraId="106AFB32" w14:textId="77777777" w:rsidTr="00B1604E">
        <w:trPr>
          <w:trHeight w:val="262"/>
        </w:trPr>
        <w:tc>
          <w:tcPr>
            <w:tcW w:w="3256" w:type="dxa"/>
            <w:tcBorders>
              <w:top w:val="single" w:sz="4" w:space="0" w:color="000000"/>
              <w:left w:val="single" w:sz="12" w:space="0" w:color="000000"/>
              <w:bottom w:val="single" w:sz="4" w:space="0" w:color="000000"/>
              <w:right w:val="single" w:sz="12" w:space="0" w:color="000000"/>
            </w:tcBorders>
            <w:vAlign w:val="center"/>
          </w:tcPr>
          <w:p w14:paraId="6708CA4D" w14:textId="73336E46" w:rsidR="00B361EF" w:rsidRDefault="00B361EF" w:rsidP="008318CD">
            <w:pPr>
              <w:spacing w:after="0" w:line="259" w:lineRule="auto"/>
              <w:ind w:left="0" w:right="0" w:firstLine="0"/>
              <w:rPr>
                <w:sz w:val="18"/>
              </w:rPr>
            </w:pPr>
            <w:proofErr w:type="spellStart"/>
            <w:r>
              <w:rPr>
                <w:sz w:val="18"/>
              </w:rPr>
              <w:t>Isopropylbenzene</w:t>
            </w:r>
            <w:proofErr w:type="spellEnd"/>
            <w:r>
              <w:rPr>
                <w:sz w:val="18"/>
              </w:rPr>
              <w:t xml:space="preserve"> </w:t>
            </w:r>
          </w:p>
        </w:tc>
        <w:tc>
          <w:tcPr>
            <w:tcW w:w="1082" w:type="dxa"/>
            <w:tcBorders>
              <w:top w:val="single" w:sz="4" w:space="0" w:color="000000"/>
              <w:left w:val="single" w:sz="12" w:space="0" w:color="000000"/>
              <w:bottom w:val="single" w:sz="4" w:space="0" w:color="000000"/>
              <w:right w:val="single" w:sz="12" w:space="0" w:color="000000"/>
            </w:tcBorders>
            <w:vAlign w:val="center"/>
          </w:tcPr>
          <w:p w14:paraId="5745D8C4" w14:textId="38B36219" w:rsidR="00B361EF" w:rsidRDefault="00B361EF" w:rsidP="008318CD">
            <w:pPr>
              <w:spacing w:after="0" w:line="259" w:lineRule="auto"/>
              <w:ind w:left="0" w:right="44" w:firstLine="0"/>
              <w:jc w:val="center"/>
              <w:rPr>
                <w:sz w:val="18"/>
              </w:rPr>
            </w:pPr>
            <w:r>
              <w:rPr>
                <w:sz w:val="18"/>
              </w:rPr>
              <w:t>98-82-8</w:t>
            </w:r>
          </w:p>
        </w:tc>
        <w:tc>
          <w:tcPr>
            <w:tcW w:w="1001" w:type="dxa"/>
            <w:tcBorders>
              <w:top w:val="single" w:sz="4" w:space="0" w:color="000000"/>
              <w:left w:val="single" w:sz="12" w:space="0" w:color="000000"/>
              <w:bottom w:val="single" w:sz="4" w:space="0" w:color="000000"/>
              <w:right w:val="single" w:sz="12" w:space="0" w:color="000000"/>
            </w:tcBorders>
            <w:vAlign w:val="center"/>
          </w:tcPr>
          <w:p w14:paraId="2D99CD84" w14:textId="6BEFC9BD" w:rsidR="00B361EF" w:rsidRDefault="00B361EF" w:rsidP="008318CD">
            <w:pPr>
              <w:tabs>
                <w:tab w:val="center" w:pos="534"/>
              </w:tabs>
              <w:spacing w:after="0" w:line="259" w:lineRule="auto"/>
              <w:ind w:left="0" w:right="0" w:firstLine="0"/>
              <w:jc w:val="center"/>
              <w:rPr>
                <w:sz w:val="18"/>
              </w:rPr>
            </w:pPr>
            <w:r>
              <w:rPr>
                <w:sz w:val="18"/>
              </w:rPr>
              <w:t>1</w:t>
            </w:r>
          </w:p>
        </w:tc>
        <w:tc>
          <w:tcPr>
            <w:tcW w:w="992" w:type="dxa"/>
            <w:tcBorders>
              <w:top w:val="single" w:sz="4" w:space="0" w:color="000000"/>
              <w:left w:val="single" w:sz="12" w:space="0" w:color="000000"/>
              <w:bottom w:val="single" w:sz="4" w:space="0" w:color="000000"/>
              <w:right w:val="single" w:sz="12" w:space="0" w:color="auto"/>
            </w:tcBorders>
            <w:vAlign w:val="center"/>
          </w:tcPr>
          <w:p w14:paraId="006E1387" w14:textId="54C72F8C" w:rsidR="00B361EF" w:rsidRPr="00167FB0" w:rsidRDefault="00B361EF" w:rsidP="008318CD">
            <w:pPr>
              <w:spacing w:after="0" w:line="259" w:lineRule="auto"/>
              <w:ind w:left="0" w:right="44" w:firstLine="0"/>
              <w:jc w:val="center"/>
              <w:rPr>
                <w:rFonts w:eastAsia="Segoe UI Symbol"/>
                <w:sz w:val="18"/>
              </w:rPr>
            </w:pPr>
            <w:r w:rsidRPr="00167FB0">
              <w:rPr>
                <w:rFonts w:eastAsia="Segoe UI Symbol"/>
                <w:sz w:val="18"/>
              </w:rPr>
              <w:t>u</w:t>
            </w:r>
            <w:r w:rsidRPr="000376D7">
              <w:rPr>
                <w:sz w:val="18"/>
              </w:rPr>
              <w:t>g/L</w:t>
            </w:r>
          </w:p>
        </w:tc>
        <w:tc>
          <w:tcPr>
            <w:tcW w:w="900" w:type="dxa"/>
            <w:tcBorders>
              <w:top w:val="single" w:sz="4" w:space="0" w:color="000000"/>
              <w:left w:val="single" w:sz="12" w:space="0" w:color="auto"/>
              <w:bottom w:val="single" w:sz="4" w:space="0" w:color="000000"/>
              <w:right w:val="single" w:sz="12" w:space="0" w:color="000000"/>
            </w:tcBorders>
            <w:vAlign w:val="center"/>
          </w:tcPr>
          <w:p w14:paraId="19EFDBF7" w14:textId="56014DE5" w:rsidR="00B361EF" w:rsidRDefault="00B361EF" w:rsidP="008318CD">
            <w:pPr>
              <w:tabs>
                <w:tab w:val="center" w:pos="354"/>
              </w:tabs>
              <w:spacing w:after="0" w:line="259" w:lineRule="auto"/>
              <w:ind w:left="0" w:right="0" w:firstLine="0"/>
              <w:jc w:val="center"/>
              <w:rPr>
                <w:sz w:val="18"/>
              </w:rPr>
            </w:pPr>
            <w:r>
              <w:rPr>
                <w:sz w:val="18"/>
              </w:rPr>
              <w:t>5</w:t>
            </w:r>
          </w:p>
        </w:tc>
        <w:tc>
          <w:tcPr>
            <w:tcW w:w="1092" w:type="dxa"/>
            <w:tcBorders>
              <w:top w:val="single" w:sz="4" w:space="0" w:color="000000"/>
              <w:left w:val="single" w:sz="12" w:space="0" w:color="000000"/>
              <w:bottom w:val="single" w:sz="4" w:space="0" w:color="000000"/>
              <w:right w:val="single" w:sz="12" w:space="0" w:color="000000"/>
            </w:tcBorders>
            <w:vAlign w:val="center"/>
          </w:tcPr>
          <w:p w14:paraId="21D655DF" w14:textId="7877FF39" w:rsidR="00B361EF" w:rsidRDefault="00B361EF" w:rsidP="008318CD">
            <w:pPr>
              <w:spacing w:after="0" w:line="259" w:lineRule="auto"/>
              <w:ind w:left="0" w:right="46" w:firstLine="0"/>
              <w:jc w:val="center"/>
              <w:rPr>
                <w:rFonts w:eastAsia="Segoe UI Symbol"/>
                <w:sz w:val="18"/>
              </w:rPr>
            </w:pPr>
            <w:r>
              <w:rPr>
                <w:rFonts w:eastAsia="Segoe UI Symbol"/>
                <w:sz w:val="18"/>
              </w:rPr>
              <w:t>u</w:t>
            </w:r>
            <w:r>
              <w:rPr>
                <w:sz w:val="18"/>
              </w:rPr>
              <w:t>g/kg</w:t>
            </w:r>
          </w:p>
        </w:tc>
        <w:tc>
          <w:tcPr>
            <w:tcW w:w="1217" w:type="dxa"/>
            <w:tcBorders>
              <w:top w:val="single" w:sz="4" w:space="0" w:color="000000"/>
              <w:left w:val="single" w:sz="12" w:space="0" w:color="000000"/>
              <w:bottom w:val="single" w:sz="4" w:space="0" w:color="000000"/>
              <w:right w:val="single" w:sz="12" w:space="0" w:color="000000"/>
            </w:tcBorders>
            <w:vAlign w:val="center"/>
          </w:tcPr>
          <w:p w14:paraId="36A90166" w14:textId="2E872718" w:rsidR="00B361EF" w:rsidRDefault="00B361EF" w:rsidP="008318CD">
            <w:pPr>
              <w:spacing w:after="0" w:line="259" w:lineRule="auto"/>
              <w:ind w:left="0" w:right="45" w:firstLine="0"/>
              <w:jc w:val="center"/>
              <w:rPr>
                <w:b/>
                <w:sz w:val="18"/>
              </w:rPr>
            </w:pPr>
            <w:r>
              <w:rPr>
                <w:b/>
                <w:sz w:val="18"/>
              </w:rPr>
              <w:t>8260</w:t>
            </w:r>
          </w:p>
        </w:tc>
        <w:tc>
          <w:tcPr>
            <w:tcW w:w="1080" w:type="dxa"/>
            <w:tcBorders>
              <w:top w:val="single" w:sz="4" w:space="0" w:color="000000"/>
              <w:left w:val="single" w:sz="12" w:space="0" w:color="000000"/>
              <w:bottom w:val="single" w:sz="4" w:space="0" w:color="000000"/>
              <w:right w:val="single" w:sz="12" w:space="0" w:color="000000"/>
            </w:tcBorders>
            <w:vAlign w:val="center"/>
          </w:tcPr>
          <w:p w14:paraId="0CA77CCA" w14:textId="11F38117" w:rsidR="00B361EF" w:rsidRPr="00811414" w:rsidRDefault="00B361EF" w:rsidP="008318CD">
            <w:pPr>
              <w:spacing w:after="0" w:line="259" w:lineRule="auto"/>
              <w:ind w:left="0" w:right="48" w:firstLine="0"/>
              <w:jc w:val="center"/>
              <w:rPr>
                <w:iCs/>
                <w:sz w:val="18"/>
              </w:rPr>
            </w:pPr>
            <w:r>
              <w:rPr>
                <w:sz w:val="18"/>
              </w:rPr>
              <w:t>8021</w:t>
            </w:r>
          </w:p>
        </w:tc>
      </w:tr>
      <w:tr w:rsidR="00B361EF" w14:paraId="09105E0E" w14:textId="77777777" w:rsidTr="00B1604E">
        <w:trPr>
          <w:trHeight w:val="262"/>
        </w:trPr>
        <w:tc>
          <w:tcPr>
            <w:tcW w:w="3256" w:type="dxa"/>
            <w:tcBorders>
              <w:top w:val="single" w:sz="4" w:space="0" w:color="000000"/>
              <w:left w:val="single" w:sz="12" w:space="0" w:color="000000"/>
              <w:bottom w:val="single" w:sz="4" w:space="0" w:color="000000"/>
              <w:right w:val="single" w:sz="12" w:space="0" w:color="000000"/>
            </w:tcBorders>
            <w:vAlign w:val="center"/>
          </w:tcPr>
          <w:p w14:paraId="2B9537CD" w14:textId="53F4EC4E" w:rsidR="00B361EF" w:rsidRDefault="00B361EF" w:rsidP="008318CD">
            <w:pPr>
              <w:spacing w:after="0" w:line="259" w:lineRule="auto"/>
              <w:ind w:left="0" w:right="0" w:firstLine="0"/>
              <w:rPr>
                <w:sz w:val="18"/>
              </w:rPr>
            </w:pPr>
            <w:r>
              <w:rPr>
                <w:sz w:val="18"/>
              </w:rPr>
              <w:t>p-</w:t>
            </w:r>
            <w:proofErr w:type="spellStart"/>
            <w:r>
              <w:rPr>
                <w:sz w:val="18"/>
              </w:rPr>
              <w:t>Isopropylbenzene</w:t>
            </w:r>
            <w:proofErr w:type="spellEnd"/>
            <w:r>
              <w:rPr>
                <w:sz w:val="18"/>
              </w:rPr>
              <w:t xml:space="preserve"> </w:t>
            </w:r>
          </w:p>
        </w:tc>
        <w:tc>
          <w:tcPr>
            <w:tcW w:w="1082" w:type="dxa"/>
            <w:tcBorders>
              <w:top w:val="single" w:sz="4" w:space="0" w:color="000000"/>
              <w:left w:val="single" w:sz="12" w:space="0" w:color="000000"/>
              <w:bottom w:val="single" w:sz="4" w:space="0" w:color="000000"/>
              <w:right w:val="single" w:sz="12" w:space="0" w:color="000000"/>
            </w:tcBorders>
            <w:vAlign w:val="center"/>
          </w:tcPr>
          <w:p w14:paraId="168A85D2" w14:textId="45ABF9C4" w:rsidR="00B361EF" w:rsidRDefault="00B361EF" w:rsidP="008318CD">
            <w:pPr>
              <w:spacing w:after="0" w:line="259" w:lineRule="auto"/>
              <w:ind w:left="0" w:right="44" w:firstLine="0"/>
              <w:jc w:val="center"/>
              <w:rPr>
                <w:sz w:val="18"/>
              </w:rPr>
            </w:pPr>
            <w:r>
              <w:rPr>
                <w:sz w:val="18"/>
              </w:rPr>
              <w:t>99-87-6</w:t>
            </w:r>
          </w:p>
        </w:tc>
        <w:tc>
          <w:tcPr>
            <w:tcW w:w="1001" w:type="dxa"/>
            <w:tcBorders>
              <w:top w:val="single" w:sz="4" w:space="0" w:color="000000"/>
              <w:left w:val="single" w:sz="12" w:space="0" w:color="000000"/>
              <w:bottom w:val="single" w:sz="4" w:space="0" w:color="000000"/>
              <w:right w:val="single" w:sz="12" w:space="0" w:color="000000"/>
            </w:tcBorders>
            <w:vAlign w:val="center"/>
          </w:tcPr>
          <w:p w14:paraId="5B3C94AA" w14:textId="69B3C61A" w:rsidR="00B361EF" w:rsidRDefault="00B361EF" w:rsidP="008318CD">
            <w:pPr>
              <w:tabs>
                <w:tab w:val="center" w:pos="534"/>
              </w:tabs>
              <w:spacing w:after="0" w:line="259" w:lineRule="auto"/>
              <w:ind w:left="0" w:right="0" w:firstLine="0"/>
              <w:jc w:val="center"/>
              <w:rPr>
                <w:sz w:val="18"/>
              </w:rPr>
            </w:pPr>
            <w:r>
              <w:rPr>
                <w:sz w:val="18"/>
              </w:rPr>
              <w:t>1</w:t>
            </w:r>
          </w:p>
        </w:tc>
        <w:tc>
          <w:tcPr>
            <w:tcW w:w="992" w:type="dxa"/>
            <w:tcBorders>
              <w:top w:val="single" w:sz="4" w:space="0" w:color="000000"/>
              <w:left w:val="single" w:sz="12" w:space="0" w:color="000000"/>
              <w:bottom w:val="single" w:sz="4" w:space="0" w:color="000000"/>
              <w:right w:val="single" w:sz="12" w:space="0" w:color="auto"/>
            </w:tcBorders>
            <w:vAlign w:val="center"/>
          </w:tcPr>
          <w:p w14:paraId="3E20339F" w14:textId="7199A6B2" w:rsidR="00B361EF" w:rsidRPr="00167FB0" w:rsidRDefault="00B361EF" w:rsidP="008318CD">
            <w:pPr>
              <w:spacing w:after="0" w:line="259" w:lineRule="auto"/>
              <w:ind w:left="0" w:right="44" w:firstLine="0"/>
              <w:jc w:val="center"/>
              <w:rPr>
                <w:rFonts w:eastAsia="Segoe UI Symbol"/>
                <w:sz w:val="18"/>
              </w:rPr>
            </w:pPr>
            <w:r w:rsidRPr="00167FB0">
              <w:rPr>
                <w:rFonts w:eastAsia="Segoe UI Symbol"/>
                <w:sz w:val="18"/>
              </w:rPr>
              <w:t>u</w:t>
            </w:r>
            <w:r w:rsidRPr="000376D7">
              <w:rPr>
                <w:sz w:val="18"/>
              </w:rPr>
              <w:t>g/L</w:t>
            </w:r>
          </w:p>
        </w:tc>
        <w:tc>
          <w:tcPr>
            <w:tcW w:w="900" w:type="dxa"/>
            <w:tcBorders>
              <w:top w:val="single" w:sz="4" w:space="0" w:color="000000"/>
              <w:left w:val="single" w:sz="12" w:space="0" w:color="auto"/>
              <w:bottom w:val="single" w:sz="4" w:space="0" w:color="000000"/>
              <w:right w:val="single" w:sz="12" w:space="0" w:color="000000"/>
            </w:tcBorders>
            <w:vAlign w:val="center"/>
          </w:tcPr>
          <w:p w14:paraId="746929E2" w14:textId="6098FBA2" w:rsidR="00B361EF" w:rsidRDefault="00B361EF" w:rsidP="008318CD">
            <w:pPr>
              <w:tabs>
                <w:tab w:val="center" w:pos="354"/>
              </w:tabs>
              <w:spacing w:after="0" w:line="259" w:lineRule="auto"/>
              <w:ind w:left="0" w:right="0" w:firstLine="0"/>
              <w:jc w:val="center"/>
              <w:rPr>
                <w:sz w:val="18"/>
              </w:rPr>
            </w:pPr>
            <w:r>
              <w:rPr>
                <w:sz w:val="18"/>
              </w:rPr>
              <w:t>5</w:t>
            </w:r>
          </w:p>
        </w:tc>
        <w:tc>
          <w:tcPr>
            <w:tcW w:w="1092" w:type="dxa"/>
            <w:tcBorders>
              <w:top w:val="single" w:sz="4" w:space="0" w:color="000000"/>
              <w:left w:val="single" w:sz="12" w:space="0" w:color="000000"/>
              <w:bottom w:val="single" w:sz="4" w:space="0" w:color="000000"/>
              <w:right w:val="single" w:sz="12" w:space="0" w:color="000000"/>
            </w:tcBorders>
            <w:vAlign w:val="center"/>
          </w:tcPr>
          <w:p w14:paraId="0178BC1D" w14:textId="67FA6D83" w:rsidR="00B361EF" w:rsidRDefault="00B361EF" w:rsidP="008318CD">
            <w:pPr>
              <w:spacing w:after="0" w:line="259" w:lineRule="auto"/>
              <w:ind w:left="0" w:right="46" w:firstLine="0"/>
              <w:jc w:val="center"/>
              <w:rPr>
                <w:rFonts w:eastAsia="Segoe UI Symbol"/>
                <w:sz w:val="18"/>
              </w:rPr>
            </w:pPr>
            <w:r>
              <w:rPr>
                <w:rFonts w:eastAsia="Segoe UI Symbol"/>
                <w:sz w:val="18"/>
              </w:rPr>
              <w:t>u</w:t>
            </w:r>
            <w:r>
              <w:rPr>
                <w:sz w:val="18"/>
              </w:rPr>
              <w:t>g/kg</w:t>
            </w:r>
          </w:p>
        </w:tc>
        <w:tc>
          <w:tcPr>
            <w:tcW w:w="1217" w:type="dxa"/>
            <w:tcBorders>
              <w:top w:val="single" w:sz="4" w:space="0" w:color="000000"/>
              <w:left w:val="single" w:sz="12" w:space="0" w:color="000000"/>
              <w:bottom w:val="single" w:sz="4" w:space="0" w:color="000000"/>
              <w:right w:val="single" w:sz="12" w:space="0" w:color="000000"/>
            </w:tcBorders>
            <w:vAlign w:val="center"/>
          </w:tcPr>
          <w:p w14:paraId="0FD56580" w14:textId="2E9CFA58" w:rsidR="00B361EF" w:rsidRDefault="00B361EF" w:rsidP="008318CD">
            <w:pPr>
              <w:spacing w:after="0" w:line="259" w:lineRule="auto"/>
              <w:ind w:left="0" w:right="45" w:firstLine="0"/>
              <w:jc w:val="center"/>
              <w:rPr>
                <w:b/>
                <w:sz w:val="18"/>
              </w:rPr>
            </w:pPr>
            <w:r>
              <w:rPr>
                <w:b/>
                <w:sz w:val="18"/>
              </w:rPr>
              <w:t>8260</w:t>
            </w:r>
          </w:p>
        </w:tc>
        <w:tc>
          <w:tcPr>
            <w:tcW w:w="1080" w:type="dxa"/>
            <w:tcBorders>
              <w:top w:val="single" w:sz="4" w:space="0" w:color="000000"/>
              <w:left w:val="single" w:sz="12" w:space="0" w:color="000000"/>
              <w:bottom w:val="single" w:sz="4" w:space="0" w:color="000000"/>
              <w:right w:val="single" w:sz="12" w:space="0" w:color="000000"/>
            </w:tcBorders>
            <w:vAlign w:val="center"/>
          </w:tcPr>
          <w:p w14:paraId="08A3A57D" w14:textId="573CC939" w:rsidR="00B361EF" w:rsidRDefault="00B361EF" w:rsidP="008318CD">
            <w:pPr>
              <w:spacing w:after="0" w:line="259" w:lineRule="auto"/>
              <w:ind w:left="0" w:right="48" w:firstLine="0"/>
              <w:jc w:val="center"/>
              <w:rPr>
                <w:sz w:val="18"/>
              </w:rPr>
            </w:pPr>
          </w:p>
        </w:tc>
      </w:tr>
      <w:tr w:rsidR="00B361EF" w14:paraId="5CBCD5B5" w14:textId="77777777" w:rsidTr="00B1604E">
        <w:trPr>
          <w:trHeight w:val="262"/>
        </w:trPr>
        <w:tc>
          <w:tcPr>
            <w:tcW w:w="3256" w:type="dxa"/>
            <w:tcBorders>
              <w:top w:val="single" w:sz="4" w:space="0" w:color="000000"/>
              <w:left w:val="single" w:sz="12" w:space="0" w:color="000000"/>
              <w:bottom w:val="single" w:sz="4" w:space="0" w:color="000000"/>
              <w:right w:val="single" w:sz="12" w:space="0" w:color="000000"/>
            </w:tcBorders>
            <w:vAlign w:val="center"/>
          </w:tcPr>
          <w:p w14:paraId="5D759CD0" w14:textId="535F6F59" w:rsidR="00B361EF" w:rsidRDefault="00B361EF" w:rsidP="008318CD">
            <w:pPr>
              <w:spacing w:after="0" w:line="259" w:lineRule="auto"/>
              <w:ind w:left="0" w:right="0" w:firstLine="0"/>
              <w:rPr>
                <w:sz w:val="18"/>
              </w:rPr>
            </w:pPr>
            <w:r>
              <w:rPr>
                <w:sz w:val="18"/>
              </w:rPr>
              <w:t xml:space="preserve">Methyl-t-butyl ether (MTBE) </w:t>
            </w:r>
          </w:p>
        </w:tc>
        <w:tc>
          <w:tcPr>
            <w:tcW w:w="1082" w:type="dxa"/>
            <w:tcBorders>
              <w:top w:val="single" w:sz="4" w:space="0" w:color="000000"/>
              <w:left w:val="single" w:sz="12" w:space="0" w:color="000000"/>
              <w:bottom w:val="single" w:sz="4" w:space="0" w:color="000000"/>
              <w:right w:val="single" w:sz="12" w:space="0" w:color="000000"/>
            </w:tcBorders>
            <w:vAlign w:val="center"/>
          </w:tcPr>
          <w:p w14:paraId="040DC7F5" w14:textId="520085F1" w:rsidR="00B361EF" w:rsidRDefault="00B361EF" w:rsidP="008318CD">
            <w:pPr>
              <w:spacing w:after="0" w:line="259" w:lineRule="auto"/>
              <w:ind w:left="0" w:right="44" w:firstLine="0"/>
              <w:jc w:val="center"/>
              <w:rPr>
                <w:sz w:val="18"/>
              </w:rPr>
            </w:pPr>
            <w:r>
              <w:rPr>
                <w:sz w:val="18"/>
              </w:rPr>
              <w:t>1634-04-4</w:t>
            </w:r>
          </w:p>
        </w:tc>
        <w:tc>
          <w:tcPr>
            <w:tcW w:w="1001" w:type="dxa"/>
            <w:tcBorders>
              <w:top w:val="single" w:sz="4" w:space="0" w:color="000000"/>
              <w:left w:val="single" w:sz="12" w:space="0" w:color="000000"/>
              <w:bottom w:val="single" w:sz="4" w:space="0" w:color="000000"/>
              <w:right w:val="single" w:sz="12" w:space="0" w:color="000000"/>
            </w:tcBorders>
            <w:vAlign w:val="center"/>
          </w:tcPr>
          <w:p w14:paraId="1FBCC72A" w14:textId="132D79EF" w:rsidR="00B361EF" w:rsidRDefault="00B361EF" w:rsidP="008318CD">
            <w:pPr>
              <w:tabs>
                <w:tab w:val="center" w:pos="534"/>
              </w:tabs>
              <w:spacing w:after="0" w:line="259" w:lineRule="auto"/>
              <w:ind w:left="0" w:right="0" w:firstLine="0"/>
              <w:jc w:val="center"/>
              <w:rPr>
                <w:sz w:val="18"/>
              </w:rPr>
            </w:pPr>
            <w:r>
              <w:rPr>
                <w:sz w:val="18"/>
              </w:rPr>
              <w:t>20</w:t>
            </w:r>
          </w:p>
        </w:tc>
        <w:tc>
          <w:tcPr>
            <w:tcW w:w="992" w:type="dxa"/>
            <w:tcBorders>
              <w:top w:val="single" w:sz="4" w:space="0" w:color="000000"/>
              <w:left w:val="single" w:sz="12" w:space="0" w:color="000000"/>
              <w:bottom w:val="single" w:sz="4" w:space="0" w:color="000000"/>
              <w:right w:val="single" w:sz="12" w:space="0" w:color="auto"/>
            </w:tcBorders>
            <w:vAlign w:val="center"/>
          </w:tcPr>
          <w:p w14:paraId="283162D6" w14:textId="791F6083" w:rsidR="00B361EF" w:rsidRPr="00167FB0" w:rsidRDefault="00B361EF" w:rsidP="008318CD">
            <w:pPr>
              <w:spacing w:after="0" w:line="259" w:lineRule="auto"/>
              <w:ind w:left="0" w:right="44" w:firstLine="0"/>
              <w:jc w:val="center"/>
              <w:rPr>
                <w:rFonts w:eastAsia="Segoe UI Symbol"/>
                <w:sz w:val="18"/>
              </w:rPr>
            </w:pPr>
            <w:r w:rsidRPr="00167FB0">
              <w:rPr>
                <w:rFonts w:eastAsia="Segoe UI Symbol"/>
                <w:sz w:val="18"/>
              </w:rPr>
              <w:t>u</w:t>
            </w:r>
            <w:r w:rsidRPr="000376D7">
              <w:rPr>
                <w:sz w:val="18"/>
              </w:rPr>
              <w:t>g/L</w:t>
            </w:r>
          </w:p>
        </w:tc>
        <w:tc>
          <w:tcPr>
            <w:tcW w:w="900" w:type="dxa"/>
            <w:tcBorders>
              <w:top w:val="single" w:sz="4" w:space="0" w:color="000000"/>
              <w:left w:val="single" w:sz="12" w:space="0" w:color="auto"/>
              <w:bottom w:val="single" w:sz="4" w:space="0" w:color="000000"/>
              <w:right w:val="single" w:sz="12" w:space="0" w:color="000000"/>
            </w:tcBorders>
            <w:vAlign w:val="center"/>
          </w:tcPr>
          <w:p w14:paraId="09A977A6" w14:textId="19A97602" w:rsidR="00B361EF" w:rsidRDefault="00B361EF" w:rsidP="008318CD">
            <w:pPr>
              <w:tabs>
                <w:tab w:val="center" w:pos="354"/>
              </w:tabs>
              <w:spacing w:after="0" w:line="259" w:lineRule="auto"/>
              <w:ind w:left="0" w:right="0" w:firstLine="0"/>
              <w:jc w:val="center"/>
              <w:rPr>
                <w:sz w:val="18"/>
              </w:rPr>
            </w:pPr>
            <w:r>
              <w:rPr>
                <w:sz w:val="18"/>
              </w:rPr>
              <w:t>50</w:t>
            </w:r>
          </w:p>
        </w:tc>
        <w:tc>
          <w:tcPr>
            <w:tcW w:w="1092" w:type="dxa"/>
            <w:tcBorders>
              <w:top w:val="single" w:sz="4" w:space="0" w:color="000000"/>
              <w:left w:val="single" w:sz="12" w:space="0" w:color="000000"/>
              <w:bottom w:val="single" w:sz="4" w:space="0" w:color="000000"/>
              <w:right w:val="single" w:sz="12" w:space="0" w:color="000000"/>
            </w:tcBorders>
            <w:vAlign w:val="center"/>
          </w:tcPr>
          <w:p w14:paraId="455FCEDB" w14:textId="1520D8CF" w:rsidR="00B361EF" w:rsidRDefault="00B361EF" w:rsidP="008318CD">
            <w:pPr>
              <w:spacing w:after="0" w:line="259" w:lineRule="auto"/>
              <w:ind w:left="0" w:right="46" w:firstLine="0"/>
              <w:jc w:val="center"/>
              <w:rPr>
                <w:rFonts w:eastAsia="Segoe UI Symbol"/>
                <w:sz w:val="18"/>
              </w:rPr>
            </w:pPr>
            <w:r>
              <w:rPr>
                <w:rFonts w:eastAsia="Segoe UI Symbol"/>
                <w:sz w:val="18"/>
              </w:rPr>
              <w:t>u</w:t>
            </w:r>
            <w:r>
              <w:rPr>
                <w:sz w:val="18"/>
              </w:rPr>
              <w:t>g/kg</w:t>
            </w:r>
          </w:p>
        </w:tc>
        <w:tc>
          <w:tcPr>
            <w:tcW w:w="1217" w:type="dxa"/>
            <w:tcBorders>
              <w:top w:val="single" w:sz="4" w:space="0" w:color="000000"/>
              <w:left w:val="single" w:sz="12" w:space="0" w:color="000000"/>
              <w:bottom w:val="single" w:sz="4" w:space="0" w:color="000000"/>
              <w:right w:val="single" w:sz="12" w:space="0" w:color="000000"/>
            </w:tcBorders>
            <w:vAlign w:val="center"/>
          </w:tcPr>
          <w:p w14:paraId="078F8034" w14:textId="43C68C5B" w:rsidR="00B361EF" w:rsidRDefault="00B361EF" w:rsidP="008318CD">
            <w:pPr>
              <w:spacing w:after="0" w:line="259" w:lineRule="auto"/>
              <w:ind w:left="0" w:right="45" w:firstLine="0"/>
              <w:jc w:val="center"/>
              <w:rPr>
                <w:b/>
                <w:sz w:val="18"/>
              </w:rPr>
            </w:pPr>
            <w:r>
              <w:rPr>
                <w:b/>
                <w:sz w:val="18"/>
              </w:rPr>
              <w:t>8260</w:t>
            </w:r>
          </w:p>
        </w:tc>
        <w:tc>
          <w:tcPr>
            <w:tcW w:w="1080" w:type="dxa"/>
            <w:tcBorders>
              <w:top w:val="single" w:sz="4" w:space="0" w:color="000000"/>
              <w:left w:val="single" w:sz="12" w:space="0" w:color="000000"/>
              <w:bottom w:val="single" w:sz="4" w:space="0" w:color="000000"/>
              <w:right w:val="single" w:sz="12" w:space="0" w:color="000000"/>
            </w:tcBorders>
            <w:vAlign w:val="center"/>
          </w:tcPr>
          <w:p w14:paraId="2735F9CC" w14:textId="3303682F" w:rsidR="00B361EF" w:rsidRDefault="00B361EF" w:rsidP="008318CD">
            <w:pPr>
              <w:spacing w:after="0" w:line="259" w:lineRule="auto"/>
              <w:ind w:left="0" w:right="48" w:firstLine="0"/>
              <w:jc w:val="center"/>
              <w:rPr>
                <w:sz w:val="18"/>
              </w:rPr>
            </w:pPr>
            <w:r w:rsidRPr="00811414">
              <w:rPr>
                <w:iCs/>
                <w:sz w:val="18"/>
              </w:rPr>
              <w:t>8021</w:t>
            </w:r>
          </w:p>
        </w:tc>
      </w:tr>
      <w:tr w:rsidR="00B361EF" w14:paraId="18D36061" w14:textId="77777777" w:rsidTr="00B1604E">
        <w:trPr>
          <w:trHeight w:val="262"/>
        </w:trPr>
        <w:tc>
          <w:tcPr>
            <w:tcW w:w="3256" w:type="dxa"/>
            <w:tcBorders>
              <w:top w:val="single" w:sz="4" w:space="0" w:color="000000"/>
              <w:left w:val="single" w:sz="12" w:space="0" w:color="000000"/>
              <w:bottom w:val="single" w:sz="4" w:space="0" w:color="000000"/>
              <w:right w:val="single" w:sz="12" w:space="0" w:color="000000"/>
            </w:tcBorders>
            <w:vAlign w:val="center"/>
          </w:tcPr>
          <w:p w14:paraId="211A2236" w14:textId="00252543" w:rsidR="00B361EF" w:rsidRDefault="00B361EF" w:rsidP="008318CD">
            <w:pPr>
              <w:spacing w:after="0" w:line="259" w:lineRule="auto"/>
              <w:ind w:left="0" w:right="0" w:firstLine="0"/>
              <w:rPr>
                <w:sz w:val="18"/>
              </w:rPr>
            </w:pPr>
            <w:r>
              <w:rPr>
                <w:sz w:val="18"/>
              </w:rPr>
              <w:t xml:space="preserve">Methylene chloride </w:t>
            </w:r>
          </w:p>
        </w:tc>
        <w:tc>
          <w:tcPr>
            <w:tcW w:w="1082" w:type="dxa"/>
            <w:tcBorders>
              <w:top w:val="single" w:sz="4" w:space="0" w:color="000000"/>
              <w:left w:val="single" w:sz="12" w:space="0" w:color="000000"/>
              <w:bottom w:val="single" w:sz="4" w:space="0" w:color="000000"/>
              <w:right w:val="single" w:sz="12" w:space="0" w:color="000000"/>
            </w:tcBorders>
            <w:vAlign w:val="center"/>
          </w:tcPr>
          <w:p w14:paraId="029F2D0A" w14:textId="24C0A6D9" w:rsidR="00B361EF" w:rsidRDefault="00B361EF" w:rsidP="008318CD">
            <w:pPr>
              <w:spacing w:after="0" w:line="259" w:lineRule="auto"/>
              <w:ind w:left="0" w:right="44" w:firstLine="0"/>
              <w:jc w:val="center"/>
              <w:rPr>
                <w:sz w:val="18"/>
              </w:rPr>
            </w:pPr>
            <w:r>
              <w:rPr>
                <w:sz w:val="18"/>
              </w:rPr>
              <w:t>75-09-2</w:t>
            </w:r>
          </w:p>
        </w:tc>
        <w:tc>
          <w:tcPr>
            <w:tcW w:w="1001" w:type="dxa"/>
            <w:tcBorders>
              <w:top w:val="single" w:sz="4" w:space="0" w:color="000000"/>
              <w:left w:val="single" w:sz="12" w:space="0" w:color="000000"/>
              <w:bottom w:val="single" w:sz="4" w:space="0" w:color="000000"/>
              <w:right w:val="single" w:sz="12" w:space="0" w:color="000000"/>
            </w:tcBorders>
            <w:vAlign w:val="center"/>
          </w:tcPr>
          <w:p w14:paraId="2F8F8DAF" w14:textId="740F5B17" w:rsidR="00B361EF" w:rsidRDefault="00B361EF" w:rsidP="008318CD">
            <w:pPr>
              <w:tabs>
                <w:tab w:val="center" w:pos="534"/>
              </w:tabs>
              <w:spacing w:after="0" w:line="259" w:lineRule="auto"/>
              <w:ind w:left="0" w:right="0" w:firstLine="0"/>
              <w:jc w:val="center"/>
              <w:rPr>
                <w:sz w:val="18"/>
              </w:rPr>
            </w:pPr>
            <w:r>
              <w:rPr>
                <w:sz w:val="18"/>
              </w:rPr>
              <w:t>5</w:t>
            </w:r>
          </w:p>
        </w:tc>
        <w:tc>
          <w:tcPr>
            <w:tcW w:w="992" w:type="dxa"/>
            <w:tcBorders>
              <w:top w:val="single" w:sz="4" w:space="0" w:color="000000"/>
              <w:left w:val="single" w:sz="12" w:space="0" w:color="000000"/>
              <w:bottom w:val="single" w:sz="4" w:space="0" w:color="000000"/>
              <w:right w:val="single" w:sz="12" w:space="0" w:color="auto"/>
            </w:tcBorders>
            <w:vAlign w:val="center"/>
          </w:tcPr>
          <w:p w14:paraId="313B3D22" w14:textId="0DCD8929" w:rsidR="00B361EF" w:rsidRPr="00167FB0" w:rsidRDefault="00B361EF" w:rsidP="008318CD">
            <w:pPr>
              <w:spacing w:after="0" w:line="259" w:lineRule="auto"/>
              <w:ind w:left="0" w:right="44" w:firstLine="0"/>
              <w:jc w:val="center"/>
              <w:rPr>
                <w:rFonts w:eastAsia="Segoe UI Symbol"/>
                <w:sz w:val="18"/>
              </w:rPr>
            </w:pPr>
            <w:r w:rsidRPr="00167FB0">
              <w:rPr>
                <w:rFonts w:eastAsia="Segoe UI Symbol"/>
                <w:sz w:val="18"/>
              </w:rPr>
              <w:t>u</w:t>
            </w:r>
            <w:r w:rsidRPr="000376D7">
              <w:rPr>
                <w:sz w:val="18"/>
              </w:rPr>
              <w:t>g/L</w:t>
            </w:r>
          </w:p>
        </w:tc>
        <w:tc>
          <w:tcPr>
            <w:tcW w:w="900" w:type="dxa"/>
            <w:tcBorders>
              <w:top w:val="single" w:sz="4" w:space="0" w:color="000000"/>
              <w:left w:val="single" w:sz="12" w:space="0" w:color="auto"/>
              <w:bottom w:val="single" w:sz="4" w:space="0" w:color="000000"/>
              <w:right w:val="single" w:sz="12" w:space="0" w:color="000000"/>
            </w:tcBorders>
            <w:vAlign w:val="center"/>
          </w:tcPr>
          <w:p w14:paraId="48A50191" w14:textId="3D56307C" w:rsidR="00B361EF" w:rsidRDefault="00B361EF" w:rsidP="008318CD">
            <w:pPr>
              <w:tabs>
                <w:tab w:val="center" w:pos="354"/>
              </w:tabs>
              <w:spacing w:after="0" w:line="259" w:lineRule="auto"/>
              <w:ind w:left="0" w:right="0" w:firstLine="0"/>
              <w:jc w:val="center"/>
              <w:rPr>
                <w:sz w:val="18"/>
              </w:rPr>
            </w:pPr>
            <w:r>
              <w:rPr>
                <w:sz w:val="18"/>
              </w:rPr>
              <w:t>50</w:t>
            </w:r>
          </w:p>
        </w:tc>
        <w:tc>
          <w:tcPr>
            <w:tcW w:w="1092" w:type="dxa"/>
            <w:tcBorders>
              <w:top w:val="single" w:sz="4" w:space="0" w:color="000000"/>
              <w:left w:val="single" w:sz="12" w:space="0" w:color="000000"/>
              <w:bottom w:val="single" w:sz="4" w:space="0" w:color="000000"/>
              <w:right w:val="single" w:sz="12" w:space="0" w:color="000000"/>
            </w:tcBorders>
            <w:vAlign w:val="center"/>
          </w:tcPr>
          <w:p w14:paraId="7D39E4B3" w14:textId="2E8EE482" w:rsidR="00B361EF" w:rsidRDefault="00B361EF" w:rsidP="008318CD">
            <w:pPr>
              <w:spacing w:after="0" w:line="259" w:lineRule="auto"/>
              <w:ind w:left="0" w:right="46" w:firstLine="0"/>
              <w:jc w:val="center"/>
              <w:rPr>
                <w:rFonts w:eastAsia="Segoe UI Symbol"/>
                <w:sz w:val="18"/>
              </w:rPr>
            </w:pPr>
            <w:r>
              <w:rPr>
                <w:rFonts w:eastAsia="Segoe UI Symbol"/>
                <w:sz w:val="18"/>
              </w:rPr>
              <w:t>u</w:t>
            </w:r>
            <w:r>
              <w:rPr>
                <w:sz w:val="18"/>
              </w:rPr>
              <w:t>g/kg</w:t>
            </w:r>
          </w:p>
        </w:tc>
        <w:tc>
          <w:tcPr>
            <w:tcW w:w="1217" w:type="dxa"/>
            <w:tcBorders>
              <w:top w:val="single" w:sz="4" w:space="0" w:color="000000"/>
              <w:left w:val="single" w:sz="12" w:space="0" w:color="000000"/>
              <w:bottom w:val="single" w:sz="4" w:space="0" w:color="000000"/>
              <w:right w:val="single" w:sz="12" w:space="0" w:color="000000"/>
            </w:tcBorders>
            <w:vAlign w:val="center"/>
          </w:tcPr>
          <w:p w14:paraId="31079CBE" w14:textId="21139175" w:rsidR="00B361EF" w:rsidRDefault="00B361EF" w:rsidP="008318CD">
            <w:pPr>
              <w:spacing w:after="0" w:line="259" w:lineRule="auto"/>
              <w:ind w:left="0" w:right="45" w:firstLine="0"/>
              <w:jc w:val="center"/>
              <w:rPr>
                <w:b/>
                <w:sz w:val="18"/>
              </w:rPr>
            </w:pPr>
            <w:r>
              <w:rPr>
                <w:b/>
                <w:sz w:val="18"/>
              </w:rPr>
              <w:t>8260</w:t>
            </w:r>
          </w:p>
        </w:tc>
        <w:tc>
          <w:tcPr>
            <w:tcW w:w="1080" w:type="dxa"/>
            <w:tcBorders>
              <w:top w:val="single" w:sz="4" w:space="0" w:color="000000"/>
              <w:left w:val="single" w:sz="12" w:space="0" w:color="000000"/>
              <w:bottom w:val="single" w:sz="4" w:space="0" w:color="000000"/>
              <w:right w:val="single" w:sz="12" w:space="0" w:color="000000"/>
            </w:tcBorders>
            <w:vAlign w:val="center"/>
          </w:tcPr>
          <w:p w14:paraId="0C14E64A" w14:textId="06C00BC0" w:rsidR="00B361EF" w:rsidRPr="00811414" w:rsidRDefault="00B361EF" w:rsidP="008318CD">
            <w:pPr>
              <w:spacing w:after="0" w:line="259" w:lineRule="auto"/>
              <w:ind w:left="0" w:right="48" w:firstLine="0"/>
              <w:jc w:val="center"/>
              <w:rPr>
                <w:iCs/>
                <w:sz w:val="18"/>
              </w:rPr>
            </w:pPr>
            <w:r>
              <w:rPr>
                <w:sz w:val="18"/>
              </w:rPr>
              <w:t>8021</w:t>
            </w:r>
          </w:p>
        </w:tc>
      </w:tr>
      <w:tr w:rsidR="00B361EF" w14:paraId="69FA548F" w14:textId="77777777" w:rsidTr="00B1604E">
        <w:trPr>
          <w:trHeight w:val="262"/>
        </w:trPr>
        <w:tc>
          <w:tcPr>
            <w:tcW w:w="3256" w:type="dxa"/>
            <w:tcBorders>
              <w:top w:val="single" w:sz="4" w:space="0" w:color="000000"/>
              <w:left w:val="single" w:sz="12" w:space="0" w:color="000000"/>
              <w:bottom w:val="single" w:sz="4" w:space="0" w:color="000000"/>
              <w:right w:val="single" w:sz="12" w:space="0" w:color="000000"/>
            </w:tcBorders>
            <w:vAlign w:val="center"/>
          </w:tcPr>
          <w:p w14:paraId="077D45F5" w14:textId="438ADD2C" w:rsidR="00B361EF" w:rsidRDefault="00B361EF" w:rsidP="008318CD">
            <w:pPr>
              <w:spacing w:after="0" w:line="259" w:lineRule="auto"/>
              <w:ind w:left="0" w:right="0" w:firstLine="0"/>
              <w:rPr>
                <w:sz w:val="18"/>
              </w:rPr>
            </w:pPr>
            <w:r>
              <w:rPr>
                <w:sz w:val="18"/>
              </w:rPr>
              <w:t xml:space="preserve">4-Methyl-2-pentanone (MIBK) </w:t>
            </w:r>
          </w:p>
        </w:tc>
        <w:tc>
          <w:tcPr>
            <w:tcW w:w="1082" w:type="dxa"/>
            <w:tcBorders>
              <w:top w:val="single" w:sz="4" w:space="0" w:color="000000"/>
              <w:left w:val="single" w:sz="12" w:space="0" w:color="000000"/>
              <w:bottom w:val="single" w:sz="4" w:space="0" w:color="000000"/>
              <w:right w:val="single" w:sz="12" w:space="0" w:color="000000"/>
            </w:tcBorders>
            <w:vAlign w:val="center"/>
          </w:tcPr>
          <w:p w14:paraId="6BF187FE" w14:textId="108F7ADA" w:rsidR="00B361EF" w:rsidRDefault="00B361EF" w:rsidP="008318CD">
            <w:pPr>
              <w:spacing w:after="0" w:line="259" w:lineRule="auto"/>
              <w:ind w:left="0" w:right="44" w:firstLine="0"/>
              <w:jc w:val="center"/>
              <w:rPr>
                <w:sz w:val="18"/>
              </w:rPr>
            </w:pPr>
            <w:r>
              <w:rPr>
                <w:sz w:val="18"/>
              </w:rPr>
              <w:t>108-10-1</w:t>
            </w:r>
          </w:p>
        </w:tc>
        <w:tc>
          <w:tcPr>
            <w:tcW w:w="1001" w:type="dxa"/>
            <w:tcBorders>
              <w:top w:val="single" w:sz="4" w:space="0" w:color="000000"/>
              <w:left w:val="single" w:sz="12" w:space="0" w:color="000000"/>
              <w:bottom w:val="single" w:sz="4" w:space="0" w:color="000000"/>
              <w:right w:val="single" w:sz="12" w:space="0" w:color="000000"/>
            </w:tcBorders>
            <w:vAlign w:val="center"/>
          </w:tcPr>
          <w:p w14:paraId="2BFAF9C2" w14:textId="43C8A71C" w:rsidR="00B361EF" w:rsidRDefault="00B361EF" w:rsidP="008318CD">
            <w:pPr>
              <w:tabs>
                <w:tab w:val="center" w:pos="534"/>
              </w:tabs>
              <w:spacing w:after="0" w:line="259" w:lineRule="auto"/>
              <w:ind w:left="0" w:right="0" w:firstLine="0"/>
              <w:jc w:val="center"/>
              <w:rPr>
                <w:sz w:val="18"/>
              </w:rPr>
            </w:pPr>
            <w:r>
              <w:rPr>
                <w:sz w:val="18"/>
              </w:rPr>
              <w:t>20</w:t>
            </w:r>
          </w:p>
        </w:tc>
        <w:tc>
          <w:tcPr>
            <w:tcW w:w="992" w:type="dxa"/>
            <w:tcBorders>
              <w:top w:val="single" w:sz="4" w:space="0" w:color="000000"/>
              <w:left w:val="single" w:sz="12" w:space="0" w:color="000000"/>
              <w:bottom w:val="single" w:sz="4" w:space="0" w:color="000000"/>
              <w:right w:val="single" w:sz="12" w:space="0" w:color="auto"/>
            </w:tcBorders>
            <w:vAlign w:val="center"/>
          </w:tcPr>
          <w:p w14:paraId="564C6343" w14:textId="6B68B637" w:rsidR="00B361EF" w:rsidRPr="00167FB0" w:rsidRDefault="00B361EF" w:rsidP="008318CD">
            <w:pPr>
              <w:spacing w:after="0" w:line="259" w:lineRule="auto"/>
              <w:ind w:left="0" w:right="44" w:firstLine="0"/>
              <w:jc w:val="center"/>
              <w:rPr>
                <w:rFonts w:eastAsia="Segoe UI Symbol"/>
                <w:sz w:val="18"/>
              </w:rPr>
            </w:pPr>
            <w:r w:rsidRPr="00167FB0">
              <w:rPr>
                <w:rFonts w:eastAsia="Segoe UI Symbol"/>
                <w:sz w:val="18"/>
              </w:rPr>
              <w:t>u</w:t>
            </w:r>
            <w:r w:rsidRPr="000376D7">
              <w:rPr>
                <w:sz w:val="18"/>
              </w:rPr>
              <w:t>g/L</w:t>
            </w:r>
          </w:p>
        </w:tc>
        <w:tc>
          <w:tcPr>
            <w:tcW w:w="900" w:type="dxa"/>
            <w:tcBorders>
              <w:top w:val="single" w:sz="4" w:space="0" w:color="000000"/>
              <w:left w:val="single" w:sz="12" w:space="0" w:color="auto"/>
              <w:bottom w:val="single" w:sz="4" w:space="0" w:color="000000"/>
              <w:right w:val="single" w:sz="12" w:space="0" w:color="000000"/>
            </w:tcBorders>
            <w:vAlign w:val="center"/>
          </w:tcPr>
          <w:p w14:paraId="4B88EEBC" w14:textId="6CA62237" w:rsidR="00B361EF" w:rsidRDefault="00B361EF" w:rsidP="008318CD">
            <w:pPr>
              <w:tabs>
                <w:tab w:val="center" w:pos="354"/>
              </w:tabs>
              <w:spacing w:after="0" w:line="259" w:lineRule="auto"/>
              <w:ind w:left="0" w:right="0" w:firstLine="0"/>
              <w:jc w:val="center"/>
              <w:rPr>
                <w:sz w:val="18"/>
              </w:rPr>
            </w:pPr>
            <w:r>
              <w:rPr>
                <w:sz w:val="18"/>
              </w:rPr>
              <w:t>50</w:t>
            </w:r>
          </w:p>
        </w:tc>
        <w:tc>
          <w:tcPr>
            <w:tcW w:w="1092" w:type="dxa"/>
            <w:tcBorders>
              <w:top w:val="single" w:sz="4" w:space="0" w:color="000000"/>
              <w:left w:val="single" w:sz="12" w:space="0" w:color="000000"/>
              <w:bottom w:val="single" w:sz="4" w:space="0" w:color="000000"/>
              <w:right w:val="single" w:sz="12" w:space="0" w:color="000000"/>
            </w:tcBorders>
            <w:vAlign w:val="center"/>
          </w:tcPr>
          <w:p w14:paraId="5F3B83A1" w14:textId="2B233E96" w:rsidR="00B361EF" w:rsidRDefault="00B361EF" w:rsidP="008318CD">
            <w:pPr>
              <w:spacing w:after="0" w:line="259" w:lineRule="auto"/>
              <w:ind w:left="0" w:right="46" w:firstLine="0"/>
              <w:jc w:val="center"/>
              <w:rPr>
                <w:rFonts w:eastAsia="Segoe UI Symbol"/>
                <w:sz w:val="18"/>
              </w:rPr>
            </w:pPr>
            <w:r>
              <w:rPr>
                <w:rFonts w:eastAsia="Segoe UI Symbol"/>
                <w:sz w:val="18"/>
              </w:rPr>
              <w:t>u</w:t>
            </w:r>
            <w:r>
              <w:rPr>
                <w:sz w:val="18"/>
              </w:rPr>
              <w:t>g/kg</w:t>
            </w:r>
          </w:p>
        </w:tc>
        <w:tc>
          <w:tcPr>
            <w:tcW w:w="1217" w:type="dxa"/>
            <w:tcBorders>
              <w:top w:val="single" w:sz="4" w:space="0" w:color="000000"/>
              <w:left w:val="single" w:sz="12" w:space="0" w:color="000000"/>
              <w:bottom w:val="single" w:sz="4" w:space="0" w:color="000000"/>
              <w:right w:val="single" w:sz="12" w:space="0" w:color="000000"/>
            </w:tcBorders>
            <w:vAlign w:val="center"/>
          </w:tcPr>
          <w:p w14:paraId="09358F75" w14:textId="0224DBD5" w:rsidR="00B361EF" w:rsidRDefault="00B361EF" w:rsidP="008318CD">
            <w:pPr>
              <w:spacing w:after="0" w:line="259" w:lineRule="auto"/>
              <w:ind w:left="0" w:right="45" w:firstLine="0"/>
              <w:jc w:val="center"/>
              <w:rPr>
                <w:b/>
                <w:sz w:val="18"/>
              </w:rPr>
            </w:pPr>
            <w:r>
              <w:rPr>
                <w:b/>
                <w:sz w:val="18"/>
              </w:rPr>
              <w:t>8260</w:t>
            </w:r>
          </w:p>
        </w:tc>
        <w:tc>
          <w:tcPr>
            <w:tcW w:w="1080" w:type="dxa"/>
            <w:tcBorders>
              <w:top w:val="single" w:sz="4" w:space="0" w:color="000000"/>
              <w:left w:val="single" w:sz="12" w:space="0" w:color="000000"/>
              <w:bottom w:val="single" w:sz="4" w:space="0" w:color="000000"/>
              <w:right w:val="single" w:sz="12" w:space="0" w:color="000000"/>
            </w:tcBorders>
            <w:vAlign w:val="center"/>
          </w:tcPr>
          <w:p w14:paraId="66CD386B" w14:textId="7E70B0E0" w:rsidR="00B361EF" w:rsidRDefault="00B361EF" w:rsidP="008318CD">
            <w:pPr>
              <w:spacing w:after="0" w:line="259" w:lineRule="auto"/>
              <w:ind w:left="0" w:right="48" w:firstLine="0"/>
              <w:jc w:val="center"/>
              <w:rPr>
                <w:sz w:val="18"/>
              </w:rPr>
            </w:pPr>
            <w:r>
              <w:rPr>
                <w:sz w:val="18"/>
              </w:rPr>
              <w:t>8015</w:t>
            </w:r>
          </w:p>
        </w:tc>
      </w:tr>
      <w:tr w:rsidR="00B361EF" w14:paraId="30891482" w14:textId="77777777" w:rsidTr="00B1604E">
        <w:trPr>
          <w:trHeight w:val="262"/>
        </w:trPr>
        <w:tc>
          <w:tcPr>
            <w:tcW w:w="3256" w:type="dxa"/>
            <w:tcBorders>
              <w:top w:val="single" w:sz="4" w:space="0" w:color="000000"/>
              <w:left w:val="single" w:sz="12" w:space="0" w:color="000000"/>
              <w:bottom w:val="single" w:sz="4" w:space="0" w:color="000000"/>
              <w:right w:val="single" w:sz="12" w:space="0" w:color="000000"/>
            </w:tcBorders>
            <w:vAlign w:val="center"/>
          </w:tcPr>
          <w:p w14:paraId="64435731" w14:textId="15E499AB" w:rsidR="00B361EF" w:rsidRDefault="00B361EF" w:rsidP="008318CD">
            <w:pPr>
              <w:spacing w:after="0" w:line="259" w:lineRule="auto"/>
              <w:ind w:left="0" w:right="0" w:firstLine="0"/>
              <w:rPr>
                <w:sz w:val="18"/>
              </w:rPr>
            </w:pPr>
            <w:r>
              <w:rPr>
                <w:sz w:val="18"/>
              </w:rPr>
              <w:t xml:space="preserve">Naphthalene </w:t>
            </w:r>
          </w:p>
        </w:tc>
        <w:tc>
          <w:tcPr>
            <w:tcW w:w="1082" w:type="dxa"/>
            <w:tcBorders>
              <w:top w:val="single" w:sz="4" w:space="0" w:color="000000"/>
              <w:left w:val="single" w:sz="12" w:space="0" w:color="000000"/>
              <w:bottom w:val="single" w:sz="4" w:space="0" w:color="000000"/>
              <w:right w:val="single" w:sz="12" w:space="0" w:color="000000"/>
            </w:tcBorders>
            <w:vAlign w:val="center"/>
          </w:tcPr>
          <w:p w14:paraId="0674F076" w14:textId="5B123DF7" w:rsidR="00B361EF" w:rsidRDefault="00B361EF" w:rsidP="008318CD">
            <w:pPr>
              <w:spacing w:after="0" w:line="259" w:lineRule="auto"/>
              <w:ind w:left="0" w:right="44" w:firstLine="0"/>
              <w:jc w:val="center"/>
              <w:rPr>
                <w:sz w:val="18"/>
              </w:rPr>
            </w:pPr>
            <w:r>
              <w:rPr>
                <w:sz w:val="18"/>
              </w:rPr>
              <w:t>91-20-3</w:t>
            </w:r>
          </w:p>
        </w:tc>
        <w:tc>
          <w:tcPr>
            <w:tcW w:w="1001" w:type="dxa"/>
            <w:tcBorders>
              <w:top w:val="single" w:sz="4" w:space="0" w:color="000000"/>
              <w:left w:val="single" w:sz="12" w:space="0" w:color="000000"/>
              <w:bottom w:val="single" w:sz="4" w:space="0" w:color="000000"/>
              <w:right w:val="single" w:sz="12" w:space="0" w:color="000000"/>
            </w:tcBorders>
            <w:vAlign w:val="center"/>
          </w:tcPr>
          <w:p w14:paraId="4F39836E" w14:textId="46349759" w:rsidR="00B361EF" w:rsidRDefault="00B361EF" w:rsidP="008318CD">
            <w:pPr>
              <w:tabs>
                <w:tab w:val="center" w:pos="534"/>
              </w:tabs>
              <w:spacing w:after="0" w:line="259" w:lineRule="auto"/>
              <w:ind w:left="0" w:right="0" w:firstLine="0"/>
              <w:jc w:val="center"/>
              <w:rPr>
                <w:sz w:val="18"/>
              </w:rPr>
            </w:pPr>
            <w:r>
              <w:rPr>
                <w:sz w:val="18"/>
              </w:rPr>
              <w:t>1</w:t>
            </w:r>
          </w:p>
        </w:tc>
        <w:tc>
          <w:tcPr>
            <w:tcW w:w="992" w:type="dxa"/>
            <w:tcBorders>
              <w:top w:val="single" w:sz="4" w:space="0" w:color="000000"/>
              <w:left w:val="single" w:sz="12" w:space="0" w:color="000000"/>
              <w:bottom w:val="single" w:sz="4" w:space="0" w:color="000000"/>
              <w:right w:val="single" w:sz="12" w:space="0" w:color="auto"/>
            </w:tcBorders>
            <w:vAlign w:val="center"/>
          </w:tcPr>
          <w:p w14:paraId="6C740560" w14:textId="65E0006D" w:rsidR="00B361EF" w:rsidRPr="00167FB0" w:rsidRDefault="00B361EF" w:rsidP="008318CD">
            <w:pPr>
              <w:spacing w:after="0" w:line="259" w:lineRule="auto"/>
              <w:ind w:left="0" w:right="44" w:firstLine="0"/>
              <w:jc w:val="center"/>
              <w:rPr>
                <w:rFonts w:eastAsia="Segoe UI Symbol"/>
                <w:sz w:val="18"/>
              </w:rPr>
            </w:pPr>
            <w:r w:rsidRPr="00167FB0">
              <w:rPr>
                <w:rFonts w:eastAsia="Segoe UI Symbol"/>
                <w:sz w:val="18"/>
              </w:rPr>
              <w:t>u</w:t>
            </w:r>
            <w:r w:rsidRPr="000376D7">
              <w:rPr>
                <w:sz w:val="18"/>
              </w:rPr>
              <w:t>g/L</w:t>
            </w:r>
          </w:p>
        </w:tc>
        <w:tc>
          <w:tcPr>
            <w:tcW w:w="900" w:type="dxa"/>
            <w:tcBorders>
              <w:top w:val="single" w:sz="4" w:space="0" w:color="000000"/>
              <w:left w:val="single" w:sz="12" w:space="0" w:color="auto"/>
              <w:bottom w:val="single" w:sz="4" w:space="0" w:color="000000"/>
              <w:right w:val="single" w:sz="12" w:space="0" w:color="000000"/>
            </w:tcBorders>
            <w:vAlign w:val="center"/>
          </w:tcPr>
          <w:p w14:paraId="39FF1BBA" w14:textId="7134B766" w:rsidR="00B361EF" w:rsidRDefault="00B361EF" w:rsidP="008318CD">
            <w:pPr>
              <w:tabs>
                <w:tab w:val="center" w:pos="354"/>
              </w:tabs>
              <w:spacing w:after="0" w:line="259" w:lineRule="auto"/>
              <w:ind w:left="0" w:right="0" w:firstLine="0"/>
              <w:jc w:val="center"/>
              <w:rPr>
                <w:sz w:val="18"/>
              </w:rPr>
            </w:pPr>
            <w:r>
              <w:rPr>
                <w:sz w:val="18"/>
              </w:rPr>
              <w:t>5</w:t>
            </w:r>
          </w:p>
        </w:tc>
        <w:tc>
          <w:tcPr>
            <w:tcW w:w="1092" w:type="dxa"/>
            <w:tcBorders>
              <w:top w:val="single" w:sz="4" w:space="0" w:color="000000"/>
              <w:left w:val="single" w:sz="12" w:space="0" w:color="000000"/>
              <w:bottom w:val="single" w:sz="4" w:space="0" w:color="000000"/>
              <w:right w:val="single" w:sz="12" w:space="0" w:color="000000"/>
            </w:tcBorders>
            <w:vAlign w:val="center"/>
          </w:tcPr>
          <w:p w14:paraId="0AD77F1F" w14:textId="5D7D4251" w:rsidR="00B361EF" w:rsidRDefault="00B361EF" w:rsidP="008318CD">
            <w:pPr>
              <w:spacing w:after="0" w:line="259" w:lineRule="auto"/>
              <w:ind w:left="0" w:right="46" w:firstLine="0"/>
              <w:jc w:val="center"/>
              <w:rPr>
                <w:rFonts w:eastAsia="Segoe UI Symbol"/>
                <w:sz w:val="18"/>
              </w:rPr>
            </w:pPr>
            <w:r>
              <w:rPr>
                <w:rFonts w:eastAsia="Segoe UI Symbol"/>
                <w:sz w:val="18"/>
              </w:rPr>
              <w:t>u</w:t>
            </w:r>
            <w:r>
              <w:rPr>
                <w:sz w:val="18"/>
              </w:rPr>
              <w:t>g/kg</w:t>
            </w:r>
          </w:p>
        </w:tc>
        <w:tc>
          <w:tcPr>
            <w:tcW w:w="1217" w:type="dxa"/>
            <w:tcBorders>
              <w:top w:val="single" w:sz="4" w:space="0" w:color="000000"/>
              <w:left w:val="single" w:sz="12" w:space="0" w:color="000000"/>
              <w:bottom w:val="single" w:sz="4" w:space="0" w:color="000000"/>
              <w:right w:val="single" w:sz="12" w:space="0" w:color="000000"/>
            </w:tcBorders>
            <w:vAlign w:val="center"/>
          </w:tcPr>
          <w:p w14:paraId="083485DB" w14:textId="29660CC5" w:rsidR="00B361EF" w:rsidRDefault="00B361EF" w:rsidP="008318CD">
            <w:pPr>
              <w:spacing w:after="0" w:line="259" w:lineRule="auto"/>
              <w:ind w:left="0" w:right="45" w:firstLine="0"/>
              <w:jc w:val="center"/>
              <w:rPr>
                <w:b/>
                <w:sz w:val="18"/>
              </w:rPr>
            </w:pPr>
            <w:r>
              <w:rPr>
                <w:b/>
                <w:sz w:val="18"/>
              </w:rPr>
              <w:t>8260</w:t>
            </w:r>
          </w:p>
        </w:tc>
        <w:tc>
          <w:tcPr>
            <w:tcW w:w="1080" w:type="dxa"/>
            <w:tcBorders>
              <w:top w:val="single" w:sz="4" w:space="0" w:color="000000"/>
              <w:left w:val="single" w:sz="12" w:space="0" w:color="000000"/>
              <w:bottom w:val="single" w:sz="4" w:space="0" w:color="000000"/>
              <w:right w:val="single" w:sz="12" w:space="0" w:color="000000"/>
            </w:tcBorders>
            <w:vAlign w:val="center"/>
          </w:tcPr>
          <w:p w14:paraId="61FFE1DF" w14:textId="4B04B842" w:rsidR="00B361EF" w:rsidRDefault="00B361EF" w:rsidP="008318CD">
            <w:pPr>
              <w:spacing w:after="0" w:line="259" w:lineRule="auto"/>
              <w:ind w:left="0" w:right="48" w:firstLine="0"/>
              <w:jc w:val="center"/>
              <w:rPr>
                <w:sz w:val="18"/>
              </w:rPr>
            </w:pPr>
            <w:r>
              <w:rPr>
                <w:sz w:val="18"/>
              </w:rPr>
              <w:t>8021</w:t>
            </w:r>
          </w:p>
        </w:tc>
      </w:tr>
      <w:tr w:rsidR="00B361EF" w14:paraId="7B283B3B" w14:textId="77777777" w:rsidTr="00B1604E">
        <w:trPr>
          <w:trHeight w:val="262"/>
        </w:trPr>
        <w:tc>
          <w:tcPr>
            <w:tcW w:w="3256" w:type="dxa"/>
            <w:tcBorders>
              <w:top w:val="single" w:sz="4" w:space="0" w:color="000000"/>
              <w:left w:val="single" w:sz="12" w:space="0" w:color="000000"/>
              <w:bottom w:val="single" w:sz="4" w:space="0" w:color="000000"/>
              <w:right w:val="single" w:sz="12" w:space="0" w:color="000000"/>
            </w:tcBorders>
            <w:vAlign w:val="center"/>
          </w:tcPr>
          <w:p w14:paraId="420A971F" w14:textId="51752DC2" w:rsidR="00B361EF" w:rsidRDefault="00B361EF" w:rsidP="008318CD">
            <w:pPr>
              <w:spacing w:after="0" w:line="259" w:lineRule="auto"/>
              <w:ind w:left="0" w:right="0" w:firstLine="0"/>
              <w:rPr>
                <w:sz w:val="18"/>
              </w:rPr>
            </w:pPr>
            <w:r>
              <w:rPr>
                <w:sz w:val="18"/>
              </w:rPr>
              <w:t>n-</w:t>
            </w:r>
            <w:proofErr w:type="spellStart"/>
            <w:r>
              <w:rPr>
                <w:sz w:val="18"/>
              </w:rPr>
              <w:t>Propylbenzene</w:t>
            </w:r>
            <w:proofErr w:type="spellEnd"/>
            <w:r>
              <w:rPr>
                <w:sz w:val="18"/>
              </w:rPr>
              <w:t xml:space="preserve"> </w:t>
            </w:r>
          </w:p>
        </w:tc>
        <w:tc>
          <w:tcPr>
            <w:tcW w:w="1082" w:type="dxa"/>
            <w:tcBorders>
              <w:top w:val="single" w:sz="4" w:space="0" w:color="000000"/>
              <w:left w:val="single" w:sz="12" w:space="0" w:color="000000"/>
              <w:bottom w:val="single" w:sz="4" w:space="0" w:color="000000"/>
              <w:right w:val="single" w:sz="12" w:space="0" w:color="000000"/>
            </w:tcBorders>
            <w:vAlign w:val="center"/>
          </w:tcPr>
          <w:p w14:paraId="2B546664" w14:textId="0F1D9BE3" w:rsidR="00B361EF" w:rsidRDefault="00B361EF" w:rsidP="008318CD">
            <w:pPr>
              <w:spacing w:after="0" w:line="259" w:lineRule="auto"/>
              <w:ind w:left="0" w:right="44" w:firstLine="0"/>
              <w:jc w:val="center"/>
              <w:rPr>
                <w:sz w:val="18"/>
              </w:rPr>
            </w:pPr>
            <w:r>
              <w:rPr>
                <w:sz w:val="18"/>
              </w:rPr>
              <w:t>103-65-1</w:t>
            </w:r>
          </w:p>
        </w:tc>
        <w:tc>
          <w:tcPr>
            <w:tcW w:w="1001" w:type="dxa"/>
            <w:tcBorders>
              <w:top w:val="single" w:sz="4" w:space="0" w:color="000000"/>
              <w:left w:val="single" w:sz="12" w:space="0" w:color="000000"/>
              <w:bottom w:val="single" w:sz="4" w:space="0" w:color="000000"/>
              <w:right w:val="single" w:sz="12" w:space="0" w:color="000000"/>
            </w:tcBorders>
            <w:vAlign w:val="center"/>
          </w:tcPr>
          <w:p w14:paraId="5FE8D3E8" w14:textId="3F5DE606" w:rsidR="00B361EF" w:rsidRDefault="00B361EF" w:rsidP="008318CD">
            <w:pPr>
              <w:tabs>
                <w:tab w:val="center" w:pos="534"/>
              </w:tabs>
              <w:spacing w:after="0" w:line="259" w:lineRule="auto"/>
              <w:ind w:left="0" w:right="0" w:firstLine="0"/>
              <w:jc w:val="center"/>
              <w:rPr>
                <w:sz w:val="18"/>
              </w:rPr>
            </w:pPr>
            <w:r>
              <w:rPr>
                <w:sz w:val="18"/>
              </w:rPr>
              <w:t>1</w:t>
            </w:r>
          </w:p>
        </w:tc>
        <w:tc>
          <w:tcPr>
            <w:tcW w:w="992" w:type="dxa"/>
            <w:tcBorders>
              <w:top w:val="single" w:sz="4" w:space="0" w:color="000000"/>
              <w:left w:val="single" w:sz="12" w:space="0" w:color="000000"/>
              <w:bottom w:val="single" w:sz="4" w:space="0" w:color="000000"/>
              <w:right w:val="single" w:sz="12" w:space="0" w:color="auto"/>
            </w:tcBorders>
            <w:vAlign w:val="center"/>
          </w:tcPr>
          <w:p w14:paraId="0216535C" w14:textId="7DF21A1E" w:rsidR="00B361EF" w:rsidRPr="00167FB0" w:rsidRDefault="00B361EF" w:rsidP="008318CD">
            <w:pPr>
              <w:spacing w:after="0" w:line="259" w:lineRule="auto"/>
              <w:ind w:left="0" w:right="44" w:firstLine="0"/>
              <w:jc w:val="center"/>
              <w:rPr>
                <w:rFonts w:eastAsia="Segoe UI Symbol"/>
                <w:sz w:val="18"/>
              </w:rPr>
            </w:pPr>
            <w:r w:rsidRPr="00167FB0">
              <w:rPr>
                <w:rFonts w:eastAsia="Segoe UI Symbol"/>
                <w:sz w:val="18"/>
              </w:rPr>
              <w:t>u</w:t>
            </w:r>
            <w:r w:rsidRPr="000376D7">
              <w:rPr>
                <w:sz w:val="18"/>
              </w:rPr>
              <w:t>g/L</w:t>
            </w:r>
          </w:p>
        </w:tc>
        <w:tc>
          <w:tcPr>
            <w:tcW w:w="900" w:type="dxa"/>
            <w:tcBorders>
              <w:top w:val="single" w:sz="4" w:space="0" w:color="000000"/>
              <w:left w:val="single" w:sz="12" w:space="0" w:color="auto"/>
              <w:bottom w:val="single" w:sz="4" w:space="0" w:color="000000"/>
              <w:right w:val="single" w:sz="12" w:space="0" w:color="000000"/>
            </w:tcBorders>
            <w:vAlign w:val="center"/>
          </w:tcPr>
          <w:p w14:paraId="2D88AF5D" w14:textId="29139078" w:rsidR="00B361EF" w:rsidRDefault="00B361EF" w:rsidP="008318CD">
            <w:pPr>
              <w:tabs>
                <w:tab w:val="center" w:pos="354"/>
              </w:tabs>
              <w:spacing w:after="0" w:line="259" w:lineRule="auto"/>
              <w:ind w:left="0" w:right="0" w:firstLine="0"/>
              <w:jc w:val="center"/>
              <w:rPr>
                <w:sz w:val="18"/>
              </w:rPr>
            </w:pPr>
            <w:r>
              <w:rPr>
                <w:sz w:val="18"/>
              </w:rPr>
              <w:t>5</w:t>
            </w:r>
          </w:p>
        </w:tc>
        <w:tc>
          <w:tcPr>
            <w:tcW w:w="1092" w:type="dxa"/>
            <w:tcBorders>
              <w:top w:val="single" w:sz="4" w:space="0" w:color="000000"/>
              <w:left w:val="single" w:sz="12" w:space="0" w:color="000000"/>
              <w:bottom w:val="single" w:sz="4" w:space="0" w:color="000000"/>
              <w:right w:val="single" w:sz="12" w:space="0" w:color="000000"/>
            </w:tcBorders>
            <w:vAlign w:val="center"/>
          </w:tcPr>
          <w:p w14:paraId="6FBC4C70" w14:textId="4BE0FC1D" w:rsidR="00B361EF" w:rsidRDefault="00B361EF" w:rsidP="008318CD">
            <w:pPr>
              <w:spacing w:after="0" w:line="259" w:lineRule="auto"/>
              <w:ind w:left="0" w:right="46" w:firstLine="0"/>
              <w:jc w:val="center"/>
              <w:rPr>
                <w:rFonts w:eastAsia="Segoe UI Symbol"/>
                <w:sz w:val="18"/>
              </w:rPr>
            </w:pPr>
            <w:r>
              <w:rPr>
                <w:rFonts w:eastAsia="Segoe UI Symbol"/>
                <w:sz w:val="18"/>
              </w:rPr>
              <w:t>u</w:t>
            </w:r>
            <w:r>
              <w:rPr>
                <w:sz w:val="18"/>
              </w:rPr>
              <w:t>g/kg</w:t>
            </w:r>
          </w:p>
        </w:tc>
        <w:tc>
          <w:tcPr>
            <w:tcW w:w="1217" w:type="dxa"/>
            <w:tcBorders>
              <w:top w:val="single" w:sz="4" w:space="0" w:color="000000"/>
              <w:left w:val="single" w:sz="12" w:space="0" w:color="000000"/>
              <w:bottom w:val="single" w:sz="4" w:space="0" w:color="000000"/>
              <w:right w:val="single" w:sz="12" w:space="0" w:color="000000"/>
            </w:tcBorders>
            <w:vAlign w:val="center"/>
          </w:tcPr>
          <w:p w14:paraId="25CD6ABC" w14:textId="1134D142" w:rsidR="00B361EF" w:rsidRDefault="00B361EF" w:rsidP="008318CD">
            <w:pPr>
              <w:spacing w:after="0" w:line="259" w:lineRule="auto"/>
              <w:ind w:left="0" w:right="45" w:firstLine="0"/>
              <w:jc w:val="center"/>
              <w:rPr>
                <w:b/>
                <w:sz w:val="18"/>
              </w:rPr>
            </w:pPr>
            <w:r>
              <w:rPr>
                <w:b/>
                <w:sz w:val="18"/>
              </w:rPr>
              <w:t>8260</w:t>
            </w:r>
          </w:p>
        </w:tc>
        <w:tc>
          <w:tcPr>
            <w:tcW w:w="1080" w:type="dxa"/>
            <w:tcBorders>
              <w:top w:val="single" w:sz="4" w:space="0" w:color="000000"/>
              <w:left w:val="single" w:sz="12" w:space="0" w:color="000000"/>
              <w:bottom w:val="single" w:sz="4" w:space="0" w:color="000000"/>
              <w:right w:val="single" w:sz="12" w:space="0" w:color="000000"/>
            </w:tcBorders>
            <w:vAlign w:val="center"/>
          </w:tcPr>
          <w:p w14:paraId="5484867D" w14:textId="324C99F5" w:rsidR="00B361EF" w:rsidRDefault="00B361EF" w:rsidP="008318CD">
            <w:pPr>
              <w:spacing w:after="0" w:line="259" w:lineRule="auto"/>
              <w:ind w:left="0" w:right="48" w:firstLine="0"/>
              <w:jc w:val="center"/>
              <w:rPr>
                <w:sz w:val="18"/>
              </w:rPr>
            </w:pPr>
          </w:p>
        </w:tc>
      </w:tr>
      <w:tr w:rsidR="00B361EF" w14:paraId="6A432799" w14:textId="77777777" w:rsidTr="00B1604E">
        <w:trPr>
          <w:trHeight w:val="262"/>
        </w:trPr>
        <w:tc>
          <w:tcPr>
            <w:tcW w:w="3256" w:type="dxa"/>
            <w:tcBorders>
              <w:top w:val="single" w:sz="4" w:space="0" w:color="000000"/>
              <w:left w:val="single" w:sz="12" w:space="0" w:color="000000"/>
              <w:bottom w:val="single" w:sz="4" w:space="0" w:color="000000"/>
              <w:right w:val="single" w:sz="12" w:space="0" w:color="000000"/>
            </w:tcBorders>
            <w:vAlign w:val="center"/>
          </w:tcPr>
          <w:p w14:paraId="2EDBE8EB" w14:textId="2D531A6F" w:rsidR="00B361EF" w:rsidRDefault="00B361EF" w:rsidP="008318CD">
            <w:pPr>
              <w:spacing w:after="0" w:line="259" w:lineRule="auto"/>
              <w:ind w:left="0" w:right="0" w:firstLine="0"/>
              <w:rPr>
                <w:sz w:val="18"/>
              </w:rPr>
            </w:pPr>
            <w:r>
              <w:rPr>
                <w:sz w:val="18"/>
              </w:rPr>
              <w:t xml:space="preserve">Styrene </w:t>
            </w:r>
          </w:p>
        </w:tc>
        <w:tc>
          <w:tcPr>
            <w:tcW w:w="1082" w:type="dxa"/>
            <w:tcBorders>
              <w:top w:val="single" w:sz="4" w:space="0" w:color="000000"/>
              <w:left w:val="single" w:sz="12" w:space="0" w:color="000000"/>
              <w:bottom w:val="single" w:sz="4" w:space="0" w:color="000000"/>
              <w:right w:val="single" w:sz="12" w:space="0" w:color="000000"/>
            </w:tcBorders>
            <w:vAlign w:val="center"/>
          </w:tcPr>
          <w:p w14:paraId="458350AB" w14:textId="3FBB22B2" w:rsidR="00B361EF" w:rsidRDefault="00B361EF" w:rsidP="008318CD">
            <w:pPr>
              <w:spacing w:after="0" w:line="259" w:lineRule="auto"/>
              <w:ind w:left="0" w:right="44" w:firstLine="0"/>
              <w:jc w:val="center"/>
              <w:rPr>
                <w:sz w:val="18"/>
              </w:rPr>
            </w:pPr>
            <w:r>
              <w:rPr>
                <w:sz w:val="18"/>
              </w:rPr>
              <w:t>100-42-5</w:t>
            </w:r>
          </w:p>
        </w:tc>
        <w:tc>
          <w:tcPr>
            <w:tcW w:w="1001" w:type="dxa"/>
            <w:tcBorders>
              <w:top w:val="single" w:sz="4" w:space="0" w:color="000000"/>
              <w:left w:val="single" w:sz="12" w:space="0" w:color="000000"/>
              <w:bottom w:val="single" w:sz="4" w:space="0" w:color="000000"/>
              <w:right w:val="single" w:sz="12" w:space="0" w:color="000000"/>
            </w:tcBorders>
            <w:vAlign w:val="center"/>
          </w:tcPr>
          <w:p w14:paraId="59BA8D08" w14:textId="2A638149" w:rsidR="00B361EF" w:rsidRDefault="00B361EF" w:rsidP="008318CD">
            <w:pPr>
              <w:tabs>
                <w:tab w:val="center" w:pos="534"/>
              </w:tabs>
              <w:spacing w:after="0" w:line="259" w:lineRule="auto"/>
              <w:ind w:left="0" w:right="0" w:firstLine="0"/>
              <w:jc w:val="center"/>
              <w:rPr>
                <w:sz w:val="18"/>
              </w:rPr>
            </w:pPr>
            <w:r>
              <w:rPr>
                <w:sz w:val="18"/>
              </w:rPr>
              <w:t>1</w:t>
            </w:r>
          </w:p>
        </w:tc>
        <w:tc>
          <w:tcPr>
            <w:tcW w:w="992" w:type="dxa"/>
            <w:tcBorders>
              <w:top w:val="single" w:sz="4" w:space="0" w:color="000000"/>
              <w:left w:val="single" w:sz="12" w:space="0" w:color="000000"/>
              <w:bottom w:val="single" w:sz="4" w:space="0" w:color="000000"/>
              <w:right w:val="single" w:sz="12" w:space="0" w:color="auto"/>
            </w:tcBorders>
            <w:vAlign w:val="center"/>
          </w:tcPr>
          <w:p w14:paraId="64C14EBC" w14:textId="092EE693" w:rsidR="00B361EF" w:rsidRPr="00167FB0" w:rsidRDefault="00B361EF" w:rsidP="008318CD">
            <w:pPr>
              <w:spacing w:after="0" w:line="259" w:lineRule="auto"/>
              <w:ind w:left="0" w:right="44" w:firstLine="0"/>
              <w:jc w:val="center"/>
              <w:rPr>
                <w:rFonts w:eastAsia="Segoe UI Symbol"/>
                <w:sz w:val="18"/>
              </w:rPr>
            </w:pPr>
            <w:r w:rsidRPr="00167FB0">
              <w:rPr>
                <w:rFonts w:eastAsia="Segoe UI Symbol"/>
                <w:sz w:val="18"/>
              </w:rPr>
              <w:t>u</w:t>
            </w:r>
            <w:r w:rsidRPr="000376D7">
              <w:rPr>
                <w:sz w:val="18"/>
              </w:rPr>
              <w:t>g/L</w:t>
            </w:r>
          </w:p>
        </w:tc>
        <w:tc>
          <w:tcPr>
            <w:tcW w:w="900" w:type="dxa"/>
            <w:tcBorders>
              <w:top w:val="single" w:sz="4" w:space="0" w:color="000000"/>
              <w:left w:val="single" w:sz="12" w:space="0" w:color="auto"/>
              <w:bottom w:val="single" w:sz="4" w:space="0" w:color="000000"/>
              <w:right w:val="single" w:sz="12" w:space="0" w:color="000000"/>
            </w:tcBorders>
            <w:vAlign w:val="center"/>
          </w:tcPr>
          <w:p w14:paraId="66F6728A" w14:textId="7796EBE9" w:rsidR="00B361EF" w:rsidRDefault="00B361EF" w:rsidP="008318CD">
            <w:pPr>
              <w:tabs>
                <w:tab w:val="center" w:pos="354"/>
              </w:tabs>
              <w:spacing w:after="0" w:line="259" w:lineRule="auto"/>
              <w:ind w:left="0" w:right="0" w:firstLine="0"/>
              <w:jc w:val="center"/>
              <w:rPr>
                <w:sz w:val="18"/>
              </w:rPr>
            </w:pPr>
            <w:r>
              <w:rPr>
                <w:sz w:val="18"/>
              </w:rPr>
              <w:t>5</w:t>
            </w:r>
          </w:p>
        </w:tc>
        <w:tc>
          <w:tcPr>
            <w:tcW w:w="1092" w:type="dxa"/>
            <w:tcBorders>
              <w:top w:val="single" w:sz="4" w:space="0" w:color="000000"/>
              <w:left w:val="single" w:sz="12" w:space="0" w:color="000000"/>
              <w:bottom w:val="single" w:sz="4" w:space="0" w:color="000000"/>
              <w:right w:val="single" w:sz="12" w:space="0" w:color="000000"/>
            </w:tcBorders>
            <w:vAlign w:val="center"/>
          </w:tcPr>
          <w:p w14:paraId="1794F5B9" w14:textId="73E54307" w:rsidR="00B361EF" w:rsidRDefault="00B361EF" w:rsidP="008318CD">
            <w:pPr>
              <w:spacing w:after="0" w:line="259" w:lineRule="auto"/>
              <w:ind w:left="0" w:right="46" w:firstLine="0"/>
              <w:jc w:val="center"/>
              <w:rPr>
                <w:rFonts w:eastAsia="Segoe UI Symbol"/>
                <w:sz w:val="18"/>
              </w:rPr>
            </w:pPr>
            <w:r>
              <w:rPr>
                <w:rFonts w:eastAsia="Segoe UI Symbol"/>
                <w:sz w:val="18"/>
              </w:rPr>
              <w:t>u</w:t>
            </w:r>
            <w:r>
              <w:rPr>
                <w:sz w:val="18"/>
              </w:rPr>
              <w:t>g/kg</w:t>
            </w:r>
          </w:p>
        </w:tc>
        <w:tc>
          <w:tcPr>
            <w:tcW w:w="1217" w:type="dxa"/>
            <w:tcBorders>
              <w:top w:val="single" w:sz="4" w:space="0" w:color="000000"/>
              <w:left w:val="single" w:sz="12" w:space="0" w:color="000000"/>
              <w:bottom w:val="single" w:sz="4" w:space="0" w:color="000000"/>
              <w:right w:val="single" w:sz="12" w:space="0" w:color="000000"/>
            </w:tcBorders>
            <w:vAlign w:val="center"/>
          </w:tcPr>
          <w:p w14:paraId="48A368AA" w14:textId="67505C0F" w:rsidR="00B361EF" w:rsidRDefault="00B361EF" w:rsidP="008318CD">
            <w:pPr>
              <w:spacing w:after="0" w:line="259" w:lineRule="auto"/>
              <w:ind w:left="0" w:right="45" w:firstLine="0"/>
              <w:jc w:val="center"/>
              <w:rPr>
                <w:b/>
                <w:sz w:val="18"/>
              </w:rPr>
            </w:pPr>
            <w:r>
              <w:rPr>
                <w:b/>
                <w:sz w:val="18"/>
              </w:rPr>
              <w:t>8260</w:t>
            </w:r>
          </w:p>
        </w:tc>
        <w:tc>
          <w:tcPr>
            <w:tcW w:w="1080" w:type="dxa"/>
            <w:tcBorders>
              <w:top w:val="single" w:sz="4" w:space="0" w:color="000000"/>
              <w:left w:val="single" w:sz="12" w:space="0" w:color="000000"/>
              <w:bottom w:val="single" w:sz="4" w:space="0" w:color="000000"/>
              <w:right w:val="single" w:sz="12" w:space="0" w:color="000000"/>
            </w:tcBorders>
            <w:vAlign w:val="center"/>
          </w:tcPr>
          <w:p w14:paraId="3FF30CE9" w14:textId="10E8904E" w:rsidR="00B361EF" w:rsidRDefault="00B361EF" w:rsidP="008318CD">
            <w:pPr>
              <w:spacing w:after="0" w:line="259" w:lineRule="auto"/>
              <w:ind w:left="0" w:right="48" w:firstLine="0"/>
              <w:jc w:val="center"/>
              <w:rPr>
                <w:sz w:val="18"/>
              </w:rPr>
            </w:pPr>
            <w:r>
              <w:rPr>
                <w:sz w:val="18"/>
              </w:rPr>
              <w:t>8021</w:t>
            </w:r>
          </w:p>
        </w:tc>
      </w:tr>
      <w:tr w:rsidR="00B361EF" w14:paraId="7A1FF173" w14:textId="77777777" w:rsidTr="00B1604E">
        <w:trPr>
          <w:trHeight w:val="262"/>
        </w:trPr>
        <w:tc>
          <w:tcPr>
            <w:tcW w:w="3256" w:type="dxa"/>
            <w:tcBorders>
              <w:top w:val="single" w:sz="4" w:space="0" w:color="000000"/>
              <w:left w:val="single" w:sz="12" w:space="0" w:color="000000"/>
              <w:bottom w:val="single" w:sz="4" w:space="0" w:color="000000"/>
              <w:right w:val="single" w:sz="12" w:space="0" w:color="000000"/>
            </w:tcBorders>
            <w:vAlign w:val="center"/>
          </w:tcPr>
          <w:p w14:paraId="5F772F51" w14:textId="367EB25A" w:rsidR="00B361EF" w:rsidRDefault="00B361EF" w:rsidP="008318CD">
            <w:pPr>
              <w:spacing w:after="0" w:line="259" w:lineRule="auto"/>
              <w:ind w:left="0" w:right="0" w:firstLine="0"/>
              <w:rPr>
                <w:sz w:val="18"/>
              </w:rPr>
            </w:pPr>
            <w:r>
              <w:rPr>
                <w:sz w:val="18"/>
              </w:rPr>
              <w:t xml:space="preserve">1,1,1,2-Tetrachloroethane </w:t>
            </w:r>
          </w:p>
        </w:tc>
        <w:tc>
          <w:tcPr>
            <w:tcW w:w="1082" w:type="dxa"/>
            <w:tcBorders>
              <w:top w:val="single" w:sz="4" w:space="0" w:color="000000"/>
              <w:left w:val="single" w:sz="12" w:space="0" w:color="000000"/>
              <w:bottom w:val="single" w:sz="4" w:space="0" w:color="000000"/>
              <w:right w:val="single" w:sz="12" w:space="0" w:color="000000"/>
            </w:tcBorders>
            <w:vAlign w:val="center"/>
          </w:tcPr>
          <w:p w14:paraId="7A5F1F66" w14:textId="44F4C68B" w:rsidR="00B361EF" w:rsidRDefault="00B361EF" w:rsidP="008318CD">
            <w:pPr>
              <w:spacing w:after="0" w:line="259" w:lineRule="auto"/>
              <w:ind w:left="0" w:right="44" w:firstLine="0"/>
              <w:jc w:val="center"/>
              <w:rPr>
                <w:sz w:val="18"/>
              </w:rPr>
            </w:pPr>
            <w:r>
              <w:rPr>
                <w:sz w:val="18"/>
              </w:rPr>
              <w:t>630-20-6</w:t>
            </w:r>
          </w:p>
        </w:tc>
        <w:tc>
          <w:tcPr>
            <w:tcW w:w="1001" w:type="dxa"/>
            <w:tcBorders>
              <w:top w:val="single" w:sz="4" w:space="0" w:color="000000"/>
              <w:left w:val="single" w:sz="12" w:space="0" w:color="000000"/>
              <w:bottom w:val="single" w:sz="4" w:space="0" w:color="000000"/>
              <w:right w:val="single" w:sz="12" w:space="0" w:color="000000"/>
            </w:tcBorders>
            <w:vAlign w:val="center"/>
          </w:tcPr>
          <w:p w14:paraId="2E447841" w14:textId="7CF89DD6" w:rsidR="00B361EF" w:rsidRDefault="00B361EF" w:rsidP="008318CD">
            <w:pPr>
              <w:tabs>
                <w:tab w:val="center" w:pos="534"/>
              </w:tabs>
              <w:spacing w:after="0" w:line="259" w:lineRule="auto"/>
              <w:ind w:left="0" w:right="0" w:firstLine="0"/>
              <w:jc w:val="center"/>
              <w:rPr>
                <w:sz w:val="18"/>
              </w:rPr>
            </w:pPr>
            <w:r>
              <w:rPr>
                <w:sz w:val="18"/>
              </w:rPr>
              <w:t>1</w:t>
            </w:r>
          </w:p>
        </w:tc>
        <w:tc>
          <w:tcPr>
            <w:tcW w:w="992" w:type="dxa"/>
            <w:tcBorders>
              <w:top w:val="single" w:sz="4" w:space="0" w:color="000000"/>
              <w:left w:val="single" w:sz="12" w:space="0" w:color="000000"/>
              <w:bottom w:val="single" w:sz="4" w:space="0" w:color="000000"/>
              <w:right w:val="single" w:sz="12" w:space="0" w:color="auto"/>
            </w:tcBorders>
            <w:vAlign w:val="center"/>
          </w:tcPr>
          <w:p w14:paraId="13C6142E" w14:textId="7D71A3E6" w:rsidR="00B361EF" w:rsidRPr="00167FB0" w:rsidRDefault="00B361EF" w:rsidP="008318CD">
            <w:pPr>
              <w:spacing w:after="0" w:line="259" w:lineRule="auto"/>
              <w:ind w:left="0" w:right="44" w:firstLine="0"/>
              <w:jc w:val="center"/>
              <w:rPr>
                <w:rFonts w:eastAsia="Segoe UI Symbol"/>
                <w:sz w:val="18"/>
              </w:rPr>
            </w:pPr>
            <w:r w:rsidRPr="00167FB0">
              <w:rPr>
                <w:rFonts w:eastAsia="Segoe UI Symbol"/>
                <w:sz w:val="18"/>
              </w:rPr>
              <w:t>u</w:t>
            </w:r>
            <w:r w:rsidRPr="000376D7">
              <w:rPr>
                <w:sz w:val="18"/>
              </w:rPr>
              <w:t>g/L</w:t>
            </w:r>
          </w:p>
        </w:tc>
        <w:tc>
          <w:tcPr>
            <w:tcW w:w="900" w:type="dxa"/>
            <w:tcBorders>
              <w:top w:val="single" w:sz="4" w:space="0" w:color="000000"/>
              <w:left w:val="single" w:sz="12" w:space="0" w:color="auto"/>
              <w:bottom w:val="single" w:sz="4" w:space="0" w:color="000000"/>
              <w:right w:val="single" w:sz="12" w:space="0" w:color="000000"/>
            </w:tcBorders>
            <w:vAlign w:val="center"/>
          </w:tcPr>
          <w:p w14:paraId="3100F5E3" w14:textId="77219F74" w:rsidR="00B361EF" w:rsidRDefault="00B361EF" w:rsidP="008318CD">
            <w:pPr>
              <w:tabs>
                <w:tab w:val="center" w:pos="354"/>
              </w:tabs>
              <w:spacing w:after="0" w:line="259" w:lineRule="auto"/>
              <w:ind w:left="0" w:right="0" w:firstLine="0"/>
              <w:jc w:val="center"/>
              <w:rPr>
                <w:sz w:val="18"/>
              </w:rPr>
            </w:pPr>
            <w:r>
              <w:rPr>
                <w:sz w:val="18"/>
              </w:rPr>
              <w:t>5</w:t>
            </w:r>
          </w:p>
        </w:tc>
        <w:tc>
          <w:tcPr>
            <w:tcW w:w="1092" w:type="dxa"/>
            <w:tcBorders>
              <w:top w:val="single" w:sz="4" w:space="0" w:color="000000"/>
              <w:left w:val="single" w:sz="12" w:space="0" w:color="000000"/>
              <w:bottom w:val="single" w:sz="4" w:space="0" w:color="000000"/>
              <w:right w:val="single" w:sz="12" w:space="0" w:color="000000"/>
            </w:tcBorders>
            <w:vAlign w:val="center"/>
          </w:tcPr>
          <w:p w14:paraId="0CE5E2C1" w14:textId="5FEF22DE" w:rsidR="00B361EF" w:rsidRDefault="00B361EF" w:rsidP="008318CD">
            <w:pPr>
              <w:spacing w:after="0" w:line="259" w:lineRule="auto"/>
              <w:ind w:left="0" w:right="46" w:firstLine="0"/>
              <w:jc w:val="center"/>
              <w:rPr>
                <w:rFonts w:eastAsia="Segoe UI Symbol"/>
                <w:sz w:val="18"/>
              </w:rPr>
            </w:pPr>
            <w:r>
              <w:rPr>
                <w:rFonts w:eastAsia="Segoe UI Symbol"/>
                <w:sz w:val="18"/>
              </w:rPr>
              <w:t>u</w:t>
            </w:r>
            <w:r>
              <w:rPr>
                <w:sz w:val="18"/>
              </w:rPr>
              <w:t>g/kg</w:t>
            </w:r>
          </w:p>
        </w:tc>
        <w:tc>
          <w:tcPr>
            <w:tcW w:w="1217" w:type="dxa"/>
            <w:tcBorders>
              <w:top w:val="single" w:sz="4" w:space="0" w:color="000000"/>
              <w:left w:val="single" w:sz="12" w:space="0" w:color="000000"/>
              <w:bottom w:val="single" w:sz="4" w:space="0" w:color="000000"/>
              <w:right w:val="single" w:sz="12" w:space="0" w:color="000000"/>
            </w:tcBorders>
            <w:vAlign w:val="center"/>
          </w:tcPr>
          <w:p w14:paraId="6A38BF0E" w14:textId="0BA9B3DB" w:rsidR="00B361EF" w:rsidRDefault="00B361EF" w:rsidP="008318CD">
            <w:pPr>
              <w:spacing w:after="0" w:line="259" w:lineRule="auto"/>
              <w:ind w:left="0" w:right="45" w:firstLine="0"/>
              <w:jc w:val="center"/>
              <w:rPr>
                <w:b/>
                <w:sz w:val="18"/>
              </w:rPr>
            </w:pPr>
            <w:r>
              <w:rPr>
                <w:b/>
                <w:sz w:val="18"/>
              </w:rPr>
              <w:t>8260</w:t>
            </w:r>
          </w:p>
        </w:tc>
        <w:tc>
          <w:tcPr>
            <w:tcW w:w="1080" w:type="dxa"/>
            <w:tcBorders>
              <w:top w:val="single" w:sz="4" w:space="0" w:color="000000"/>
              <w:left w:val="single" w:sz="12" w:space="0" w:color="000000"/>
              <w:bottom w:val="single" w:sz="4" w:space="0" w:color="000000"/>
              <w:right w:val="single" w:sz="12" w:space="0" w:color="000000"/>
            </w:tcBorders>
            <w:vAlign w:val="center"/>
          </w:tcPr>
          <w:p w14:paraId="1E067E17" w14:textId="0865916F" w:rsidR="00B361EF" w:rsidRDefault="00B361EF" w:rsidP="008318CD">
            <w:pPr>
              <w:spacing w:after="0" w:line="259" w:lineRule="auto"/>
              <w:ind w:left="0" w:right="48" w:firstLine="0"/>
              <w:jc w:val="center"/>
              <w:rPr>
                <w:sz w:val="18"/>
              </w:rPr>
            </w:pPr>
            <w:r>
              <w:rPr>
                <w:sz w:val="18"/>
              </w:rPr>
              <w:t>8021</w:t>
            </w:r>
          </w:p>
        </w:tc>
      </w:tr>
      <w:tr w:rsidR="00B361EF" w14:paraId="72EAA61A" w14:textId="77777777" w:rsidTr="00B1604E">
        <w:trPr>
          <w:trHeight w:val="262"/>
        </w:trPr>
        <w:tc>
          <w:tcPr>
            <w:tcW w:w="3256" w:type="dxa"/>
            <w:tcBorders>
              <w:top w:val="single" w:sz="4" w:space="0" w:color="000000"/>
              <w:left w:val="single" w:sz="12" w:space="0" w:color="000000"/>
              <w:bottom w:val="single" w:sz="4" w:space="0" w:color="000000"/>
              <w:right w:val="single" w:sz="12" w:space="0" w:color="000000"/>
            </w:tcBorders>
            <w:vAlign w:val="center"/>
          </w:tcPr>
          <w:p w14:paraId="00A2461E" w14:textId="2EF336CC" w:rsidR="00B361EF" w:rsidRDefault="00B361EF" w:rsidP="008318CD">
            <w:pPr>
              <w:spacing w:after="0" w:line="259" w:lineRule="auto"/>
              <w:ind w:left="0" w:right="0" w:firstLine="0"/>
              <w:rPr>
                <w:sz w:val="18"/>
              </w:rPr>
            </w:pPr>
            <w:r>
              <w:rPr>
                <w:sz w:val="18"/>
              </w:rPr>
              <w:t xml:space="preserve">1,1,2,2-Tetrachloroethane </w:t>
            </w:r>
          </w:p>
        </w:tc>
        <w:tc>
          <w:tcPr>
            <w:tcW w:w="1082" w:type="dxa"/>
            <w:tcBorders>
              <w:top w:val="single" w:sz="4" w:space="0" w:color="000000"/>
              <w:left w:val="single" w:sz="12" w:space="0" w:color="000000"/>
              <w:bottom w:val="single" w:sz="4" w:space="0" w:color="000000"/>
              <w:right w:val="single" w:sz="12" w:space="0" w:color="000000"/>
            </w:tcBorders>
            <w:vAlign w:val="center"/>
          </w:tcPr>
          <w:p w14:paraId="6C68A6F7" w14:textId="3B88FDA1" w:rsidR="00B361EF" w:rsidRDefault="00B361EF" w:rsidP="008318CD">
            <w:pPr>
              <w:spacing w:after="0" w:line="259" w:lineRule="auto"/>
              <w:ind w:left="0" w:right="44" w:firstLine="0"/>
              <w:jc w:val="center"/>
              <w:rPr>
                <w:sz w:val="18"/>
              </w:rPr>
            </w:pPr>
            <w:r>
              <w:rPr>
                <w:sz w:val="18"/>
              </w:rPr>
              <w:t>79-34-5</w:t>
            </w:r>
          </w:p>
        </w:tc>
        <w:tc>
          <w:tcPr>
            <w:tcW w:w="1001" w:type="dxa"/>
            <w:tcBorders>
              <w:top w:val="single" w:sz="4" w:space="0" w:color="000000"/>
              <w:left w:val="single" w:sz="12" w:space="0" w:color="000000"/>
              <w:bottom w:val="single" w:sz="4" w:space="0" w:color="000000"/>
              <w:right w:val="single" w:sz="12" w:space="0" w:color="000000"/>
            </w:tcBorders>
            <w:vAlign w:val="center"/>
          </w:tcPr>
          <w:p w14:paraId="05DA492C" w14:textId="1E53E77E" w:rsidR="00B361EF" w:rsidRDefault="00B361EF" w:rsidP="008318CD">
            <w:pPr>
              <w:tabs>
                <w:tab w:val="center" w:pos="534"/>
              </w:tabs>
              <w:spacing w:after="0" w:line="259" w:lineRule="auto"/>
              <w:ind w:left="0" w:right="0" w:firstLine="0"/>
              <w:jc w:val="center"/>
              <w:rPr>
                <w:sz w:val="18"/>
              </w:rPr>
            </w:pPr>
            <w:r>
              <w:rPr>
                <w:b/>
                <w:sz w:val="18"/>
              </w:rPr>
              <w:t>1</w:t>
            </w:r>
          </w:p>
        </w:tc>
        <w:tc>
          <w:tcPr>
            <w:tcW w:w="992" w:type="dxa"/>
            <w:tcBorders>
              <w:top w:val="single" w:sz="4" w:space="0" w:color="000000"/>
              <w:left w:val="single" w:sz="12" w:space="0" w:color="000000"/>
              <w:bottom w:val="single" w:sz="4" w:space="0" w:color="000000"/>
              <w:right w:val="single" w:sz="12" w:space="0" w:color="auto"/>
            </w:tcBorders>
            <w:vAlign w:val="center"/>
          </w:tcPr>
          <w:p w14:paraId="2235CA2B" w14:textId="1176ED12" w:rsidR="00B361EF" w:rsidRPr="00167FB0" w:rsidRDefault="00B361EF" w:rsidP="008318CD">
            <w:pPr>
              <w:spacing w:after="0" w:line="259" w:lineRule="auto"/>
              <w:ind w:left="0" w:right="44" w:firstLine="0"/>
              <w:jc w:val="center"/>
              <w:rPr>
                <w:rFonts w:eastAsia="Segoe UI Symbol"/>
                <w:sz w:val="18"/>
              </w:rPr>
            </w:pPr>
            <w:r w:rsidRPr="00167FB0">
              <w:rPr>
                <w:rFonts w:eastAsia="Segoe UI Symbol"/>
                <w:sz w:val="18"/>
              </w:rPr>
              <w:t>u</w:t>
            </w:r>
            <w:r w:rsidRPr="000376D7">
              <w:rPr>
                <w:sz w:val="18"/>
              </w:rPr>
              <w:t>g/L</w:t>
            </w:r>
          </w:p>
        </w:tc>
        <w:tc>
          <w:tcPr>
            <w:tcW w:w="900" w:type="dxa"/>
            <w:tcBorders>
              <w:top w:val="single" w:sz="4" w:space="0" w:color="000000"/>
              <w:left w:val="single" w:sz="12" w:space="0" w:color="auto"/>
              <w:bottom w:val="single" w:sz="4" w:space="0" w:color="000000"/>
              <w:right w:val="single" w:sz="12" w:space="0" w:color="000000"/>
            </w:tcBorders>
            <w:vAlign w:val="center"/>
          </w:tcPr>
          <w:p w14:paraId="04999B68" w14:textId="4018E8EC" w:rsidR="00B361EF" w:rsidRDefault="00B361EF" w:rsidP="008318CD">
            <w:pPr>
              <w:tabs>
                <w:tab w:val="center" w:pos="354"/>
              </w:tabs>
              <w:spacing w:after="0" w:line="259" w:lineRule="auto"/>
              <w:ind w:left="0" w:right="0" w:firstLine="0"/>
              <w:jc w:val="center"/>
              <w:rPr>
                <w:sz w:val="18"/>
              </w:rPr>
            </w:pPr>
            <w:r>
              <w:rPr>
                <w:sz w:val="18"/>
              </w:rPr>
              <w:t>5</w:t>
            </w:r>
          </w:p>
        </w:tc>
        <w:tc>
          <w:tcPr>
            <w:tcW w:w="1092" w:type="dxa"/>
            <w:tcBorders>
              <w:top w:val="single" w:sz="4" w:space="0" w:color="000000"/>
              <w:left w:val="single" w:sz="12" w:space="0" w:color="000000"/>
              <w:bottom w:val="single" w:sz="4" w:space="0" w:color="000000"/>
              <w:right w:val="single" w:sz="12" w:space="0" w:color="000000"/>
            </w:tcBorders>
            <w:vAlign w:val="center"/>
          </w:tcPr>
          <w:p w14:paraId="13EB98B6" w14:textId="16AC7F20" w:rsidR="00B361EF" w:rsidRDefault="00B361EF" w:rsidP="008318CD">
            <w:pPr>
              <w:spacing w:after="0" w:line="259" w:lineRule="auto"/>
              <w:ind w:left="0" w:right="46" w:firstLine="0"/>
              <w:jc w:val="center"/>
              <w:rPr>
                <w:rFonts w:eastAsia="Segoe UI Symbol"/>
                <w:sz w:val="18"/>
              </w:rPr>
            </w:pPr>
            <w:r>
              <w:rPr>
                <w:rFonts w:eastAsia="Segoe UI Symbol"/>
                <w:sz w:val="18"/>
              </w:rPr>
              <w:t>u</w:t>
            </w:r>
            <w:r>
              <w:rPr>
                <w:sz w:val="18"/>
              </w:rPr>
              <w:t>g/kg</w:t>
            </w:r>
          </w:p>
        </w:tc>
        <w:tc>
          <w:tcPr>
            <w:tcW w:w="1217" w:type="dxa"/>
            <w:tcBorders>
              <w:top w:val="single" w:sz="4" w:space="0" w:color="000000"/>
              <w:left w:val="single" w:sz="12" w:space="0" w:color="000000"/>
              <w:bottom w:val="single" w:sz="4" w:space="0" w:color="000000"/>
              <w:right w:val="single" w:sz="12" w:space="0" w:color="000000"/>
            </w:tcBorders>
            <w:vAlign w:val="center"/>
          </w:tcPr>
          <w:p w14:paraId="504E2CDF" w14:textId="1A718E61" w:rsidR="00B361EF" w:rsidRDefault="00B361EF" w:rsidP="008318CD">
            <w:pPr>
              <w:spacing w:after="0" w:line="259" w:lineRule="auto"/>
              <w:ind w:left="0" w:right="45" w:firstLine="0"/>
              <w:jc w:val="center"/>
              <w:rPr>
                <w:b/>
                <w:sz w:val="18"/>
              </w:rPr>
            </w:pPr>
            <w:r>
              <w:rPr>
                <w:b/>
                <w:sz w:val="18"/>
              </w:rPr>
              <w:t>8260</w:t>
            </w:r>
          </w:p>
        </w:tc>
        <w:tc>
          <w:tcPr>
            <w:tcW w:w="1080" w:type="dxa"/>
            <w:tcBorders>
              <w:top w:val="single" w:sz="4" w:space="0" w:color="000000"/>
              <w:left w:val="single" w:sz="12" w:space="0" w:color="000000"/>
              <w:bottom w:val="single" w:sz="4" w:space="0" w:color="000000"/>
              <w:right w:val="single" w:sz="12" w:space="0" w:color="000000"/>
            </w:tcBorders>
            <w:vAlign w:val="center"/>
          </w:tcPr>
          <w:p w14:paraId="621C4E09" w14:textId="116FD39E" w:rsidR="00B361EF" w:rsidRDefault="00B361EF" w:rsidP="008318CD">
            <w:pPr>
              <w:spacing w:after="0" w:line="259" w:lineRule="auto"/>
              <w:ind w:left="0" w:right="48" w:firstLine="0"/>
              <w:jc w:val="center"/>
              <w:rPr>
                <w:sz w:val="18"/>
              </w:rPr>
            </w:pPr>
            <w:r>
              <w:rPr>
                <w:sz w:val="18"/>
              </w:rPr>
              <w:t>8021</w:t>
            </w:r>
          </w:p>
        </w:tc>
      </w:tr>
      <w:tr w:rsidR="00B361EF" w14:paraId="7C885A63" w14:textId="77777777" w:rsidTr="00B1604E">
        <w:trPr>
          <w:trHeight w:val="262"/>
        </w:trPr>
        <w:tc>
          <w:tcPr>
            <w:tcW w:w="3256" w:type="dxa"/>
            <w:tcBorders>
              <w:top w:val="single" w:sz="4" w:space="0" w:color="000000"/>
              <w:left w:val="single" w:sz="12" w:space="0" w:color="000000"/>
              <w:bottom w:val="single" w:sz="4" w:space="0" w:color="000000"/>
              <w:right w:val="single" w:sz="12" w:space="0" w:color="000000"/>
            </w:tcBorders>
            <w:vAlign w:val="center"/>
          </w:tcPr>
          <w:p w14:paraId="0D772441" w14:textId="16009429" w:rsidR="00B361EF" w:rsidRDefault="00B361EF" w:rsidP="008318CD">
            <w:pPr>
              <w:spacing w:after="0" w:line="259" w:lineRule="auto"/>
              <w:ind w:left="0" w:right="0" w:firstLine="0"/>
              <w:rPr>
                <w:sz w:val="18"/>
              </w:rPr>
            </w:pPr>
            <w:r>
              <w:rPr>
                <w:sz w:val="18"/>
              </w:rPr>
              <w:t xml:space="preserve">Tetrachloroethene </w:t>
            </w:r>
          </w:p>
        </w:tc>
        <w:tc>
          <w:tcPr>
            <w:tcW w:w="1082" w:type="dxa"/>
            <w:tcBorders>
              <w:top w:val="single" w:sz="4" w:space="0" w:color="000000"/>
              <w:left w:val="single" w:sz="12" w:space="0" w:color="000000"/>
              <w:bottom w:val="single" w:sz="4" w:space="0" w:color="000000"/>
              <w:right w:val="single" w:sz="12" w:space="0" w:color="000000"/>
            </w:tcBorders>
            <w:vAlign w:val="center"/>
          </w:tcPr>
          <w:p w14:paraId="2EB67F05" w14:textId="0A16069B" w:rsidR="00B361EF" w:rsidRDefault="00B361EF" w:rsidP="008318CD">
            <w:pPr>
              <w:spacing w:after="0" w:line="259" w:lineRule="auto"/>
              <w:ind w:left="0" w:right="44" w:firstLine="0"/>
              <w:jc w:val="center"/>
              <w:rPr>
                <w:sz w:val="18"/>
              </w:rPr>
            </w:pPr>
            <w:r>
              <w:rPr>
                <w:sz w:val="18"/>
              </w:rPr>
              <w:t>127-18-4</w:t>
            </w:r>
          </w:p>
        </w:tc>
        <w:tc>
          <w:tcPr>
            <w:tcW w:w="1001" w:type="dxa"/>
            <w:tcBorders>
              <w:top w:val="single" w:sz="4" w:space="0" w:color="000000"/>
              <w:left w:val="single" w:sz="12" w:space="0" w:color="000000"/>
              <w:bottom w:val="single" w:sz="4" w:space="0" w:color="000000"/>
              <w:right w:val="single" w:sz="12" w:space="0" w:color="000000"/>
            </w:tcBorders>
            <w:vAlign w:val="center"/>
          </w:tcPr>
          <w:p w14:paraId="2A33BF81" w14:textId="5BE14403" w:rsidR="00B361EF" w:rsidRDefault="00B361EF" w:rsidP="008318CD">
            <w:pPr>
              <w:tabs>
                <w:tab w:val="center" w:pos="534"/>
              </w:tabs>
              <w:spacing w:after="0" w:line="259" w:lineRule="auto"/>
              <w:ind w:left="0" w:right="0" w:firstLine="0"/>
              <w:jc w:val="center"/>
              <w:rPr>
                <w:b/>
                <w:sz w:val="18"/>
              </w:rPr>
            </w:pPr>
            <w:r>
              <w:rPr>
                <w:b/>
                <w:sz w:val="18"/>
              </w:rPr>
              <w:t>1</w:t>
            </w:r>
          </w:p>
        </w:tc>
        <w:tc>
          <w:tcPr>
            <w:tcW w:w="992" w:type="dxa"/>
            <w:tcBorders>
              <w:top w:val="single" w:sz="4" w:space="0" w:color="000000"/>
              <w:left w:val="single" w:sz="12" w:space="0" w:color="000000"/>
              <w:bottom w:val="single" w:sz="4" w:space="0" w:color="000000"/>
              <w:right w:val="single" w:sz="12" w:space="0" w:color="auto"/>
            </w:tcBorders>
            <w:vAlign w:val="center"/>
          </w:tcPr>
          <w:p w14:paraId="1E4685CB" w14:textId="0A081040" w:rsidR="00B361EF" w:rsidRPr="00167FB0" w:rsidRDefault="00B361EF" w:rsidP="008318CD">
            <w:pPr>
              <w:spacing w:after="0" w:line="259" w:lineRule="auto"/>
              <w:ind w:left="0" w:right="44" w:firstLine="0"/>
              <w:jc w:val="center"/>
              <w:rPr>
                <w:rFonts w:eastAsia="Segoe UI Symbol"/>
                <w:sz w:val="18"/>
              </w:rPr>
            </w:pPr>
            <w:r w:rsidRPr="00167FB0">
              <w:rPr>
                <w:rFonts w:eastAsia="Segoe UI Symbol"/>
                <w:sz w:val="18"/>
              </w:rPr>
              <w:t>u</w:t>
            </w:r>
            <w:r w:rsidRPr="000376D7">
              <w:rPr>
                <w:sz w:val="18"/>
              </w:rPr>
              <w:t>g/L</w:t>
            </w:r>
          </w:p>
        </w:tc>
        <w:tc>
          <w:tcPr>
            <w:tcW w:w="900" w:type="dxa"/>
            <w:tcBorders>
              <w:top w:val="single" w:sz="4" w:space="0" w:color="000000"/>
              <w:left w:val="single" w:sz="12" w:space="0" w:color="auto"/>
              <w:bottom w:val="single" w:sz="4" w:space="0" w:color="000000"/>
              <w:right w:val="single" w:sz="12" w:space="0" w:color="000000"/>
            </w:tcBorders>
            <w:vAlign w:val="center"/>
          </w:tcPr>
          <w:p w14:paraId="12876CA1" w14:textId="183FB20C" w:rsidR="00B361EF" w:rsidRDefault="00B361EF" w:rsidP="008318CD">
            <w:pPr>
              <w:tabs>
                <w:tab w:val="center" w:pos="354"/>
              </w:tabs>
              <w:spacing w:after="0" w:line="259" w:lineRule="auto"/>
              <w:ind w:left="0" w:right="0" w:firstLine="0"/>
              <w:jc w:val="center"/>
              <w:rPr>
                <w:sz w:val="18"/>
              </w:rPr>
            </w:pPr>
            <w:r>
              <w:rPr>
                <w:sz w:val="18"/>
              </w:rPr>
              <w:t>5</w:t>
            </w:r>
          </w:p>
        </w:tc>
        <w:tc>
          <w:tcPr>
            <w:tcW w:w="1092" w:type="dxa"/>
            <w:tcBorders>
              <w:top w:val="single" w:sz="4" w:space="0" w:color="000000"/>
              <w:left w:val="single" w:sz="12" w:space="0" w:color="000000"/>
              <w:bottom w:val="single" w:sz="4" w:space="0" w:color="000000"/>
              <w:right w:val="single" w:sz="12" w:space="0" w:color="000000"/>
            </w:tcBorders>
            <w:vAlign w:val="center"/>
          </w:tcPr>
          <w:p w14:paraId="705F1295" w14:textId="7264139B" w:rsidR="00B361EF" w:rsidRDefault="00B361EF" w:rsidP="008318CD">
            <w:pPr>
              <w:spacing w:after="0" w:line="259" w:lineRule="auto"/>
              <w:ind w:left="0" w:right="46" w:firstLine="0"/>
              <w:jc w:val="center"/>
              <w:rPr>
                <w:rFonts w:eastAsia="Segoe UI Symbol"/>
                <w:sz w:val="18"/>
              </w:rPr>
            </w:pPr>
            <w:r>
              <w:rPr>
                <w:rFonts w:eastAsia="Segoe UI Symbol"/>
                <w:sz w:val="18"/>
              </w:rPr>
              <w:t>u</w:t>
            </w:r>
            <w:r>
              <w:rPr>
                <w:sz w:val="18"/>
              </w:rPr>
              <w:t>g/kg</w:t>
            </w:r>
          </w:p>
        </w:tc>
        <w:tc>
          <w:tcPr>
            <w:tcW w:w="1217" w:type="dxa"/>
            <w:tcBorders>
              <w:top w:val="single" w:sz="4" w:space="0" w:color="000000"/>
              <w:left w:val="single" w:sz="12" w:space="0" w:color="000000"/>
              <w:bottom w:val="single" w:sz="4" w:space="0" w:color="000000"/>
              <w:right w:val="single" w:sz="12" w:space="0" w:color="000000"/>
            </w:tcBorders>
            <w:vAlign w:val="center"/>
          </w:tcPr>
          <w:p w14:paraId="0A58E3E1" w14:textId="04510F88" w:rsidR="00B361EF" w:rsidRDefault="00B361EF" w:rsidP="008318CD">
            <w:pPr>
              <w:spacing w:after="0" w:line="259" w:lineRule="auto"/>
              <w:ind w:left="0" w:right="45" w:firstLine="0"/>
              <w:jc w:val="center"/>
              <w:rPr>
                <w:b/>
                <w:sz w:val="18"/>
              </w:rPr>
            </w:pPr>
            <w:r>
              <w:rPr>
                <w:b/>
                <w:sz w:val="18"/>
              </w:rPr>
              <w:t>8260</w:t>
            </w:r>
          </w:p>
        </w:tc>
        <w:tc>
          <w:tcPr>
            <w:tcW w:w="1080" w:type="dxa"/>
            <w:tcBorders>
              <w:top w:val="single" w:sz="4" w:space="0" w:color="000000"/>
              <w:left w:val="single" w:sz="12" w:space="0" w:color="000000"/>
              <w:bottom w:val="single" w:sz="4" w:space="0" w:color="000000"/>
              <w:right w:val="single" w:sz="12" w:space="0" w:color="000000"/>
            </w:tcBorders>
            <w:vAlign w:val="center"/>
          </w:tcPr>
          <w:p w14:paraId="0F2AEB0F" w14:textId="34CD8F60" w:rsidR="00B361EF" w:rsidRDefault="00B361EF" w:rsidP="008318CD">
            <w:pPr>
              <w:spacing w:after="0" w:line="259" w:lineRule="auto"/>
              <w:ind w:left="0" w:right="48" w:firstLine="0"/>
              <w:jc w:val="center"/>
              <w:rPr>
                <w:sz w:val="18"/>
              </w:rPr>
            </w:pPr>
            <w:r>
              <w:rPr>
                <w:sz w:val="18"/>
              </w:rPr>
              <w:t>8021</w:t>
            </w:r>
          </w:p>
        </w:tc>
      </w:tr>
      <w:tr w:rsidR="00B361EF" w14:paraId="2DC88A51" w14:textId="77777777" w:rsidTr="00B1604E">
        <w:trPr>
          <w:trHeight w:val="262"/>
        </w:trPr>
        <w:tc>
          <w:tcPr>
            <w:tcW w:w="3256" w:type="dxa"/>
            <w:tcBorders>
              <w:top w:val="single" w:sz="4" w:space="0" w:color="000000"/>
              <w:left w:val="single" w:sz="12" w:space="0" w:color="000000"/>
              <w:bottom w:val="single" w:sz="4" w:space="0" w:color="000000"/>
              <w:right w:val="single" w:sz="12" w:space="0" w:color="000000"/>
            </w:tcBorders>
            <w:vAlign w:val="center"/>
          </w:tcPr>
          <w:p w14:paraId="28066211" w14:textId="016F1F7F" w:rsidR="00B361EF" w:rsidRDefault="00B361EF" w:rsidP="008318CD">
            <w:pPr>
              <w:spacing w:after="0" w:line="259" w:lineRule="auto"/>
              <w:ind w:left="0" w:right="0" w:firstLine="0"/>
              <w:rPr>
                <w:sz w:val="18"/>
              </w:rPr>
            </w:pPr>
            <w:r>
              <w:rPr>
                <w:sz w:val="18"/>
              </w:rPr>
              <w:t xml:space="preserve">Toluene </w:t>
            </w:r>
          </w:p>
        </w:tc>
        <w:tc>
          <w:tcPr>
            <w:tcW w:w="1082" w:type="dxa"/>
            <w:tcBorders>
              <w:top w:val="single" w:sz="4" w:space="0" w:color="000000"/>
              <w:left w:val="single" w:sz="12" w:space="0" w:color="000000"/>
              <w:bottom w:val="single" w:sz="4" w:space="0" w:color="000000"/>
              <w:right w:val="single" w:sz="12" w:space="0" w:color="000000"/>
            </w:tcBorders>
            <w:vAlign w:val="center"/>
          </w:tcPr>
          <w:p w14:paraId="17ECFB4C" w14:textId="4D022DD7" w:rsidR="00B361EF" w:rsidRDefault="00B361EF" w:rsidP="008318CD">
            <w:pPr>
              <w:spacing w:after="0" w:line="259" w:lineRule="auto"/>
              <w:ind w:left="0" w:right="44" w:firstLine="0"/>
              <w:jc w:val="center"/>
              <w:rPr>
                <w:sz w:val="18"/>
              </w:rPr>
            </w:pPr>
            <w:r>
              <w:rPr>
                <w:sz w:val="18"/>
              </w:rPr>
              <w:t>108-88-3</w:t>
            </w:r>
          </w:p>
        </w:tc>
        <w:tc>
          <w:tcPr>
            <w:tcW w:w="1001" w:type="dxa"/>
            <w:tcBorders>
              <w:top w:val="single" w:sz="4" w:space="0" w:color="000000"/>
              <w:left w:val="single" w:sz="12" w:space="0" w:color="000000"/>
              <w:bottom w:val="single" w:sz="4" w:space="0" w:color="000000"/>
              <w:right w:val="single" w:sz="12" w:space="0" w:color="000000"/>
            </w:tcBorders>
            <w:vAlign w:val="center"/>
          </w:tcPr>
          <w:p w14:paraId="79715345" w14:textId="7471C715" w:rsidR="00B361EF" w:rsidRDefault="00B361EF" w:rsidP="008318CD">
            <w:pPr>
              <w:tabs>
                <w:tab w:val="center" w:pos="534"/>
              </w:tabs>
              <w:spacing w:after="0" w:line="259" w:lineRule="auto"/>
              <w:ind w:left="0" w:right="0" w:firstLine="0"/>
              <w:jc w:val="center"/>
              <w:rPr>
                <w:b/>
                <w:sz w:val="18"/>
              </w:rPr>
            </w:pPr>
            <w:r>
              <w:rPr>
                <w:sz w:val="18"/>
              </w:rPr>
              <w:t>1</w:t>
            </w:r>
          </w:p>
        </w:tc>
        <w:tc>
          <w:tcPr>
            <w:tcW w:w="992" w:type="dxa"/>
            <w:tcBorders>
              <w:top w:val="single" w:sz="4" w:space="0" w:color="000000"/>
              <w:left w:val="single" w:sz="12" w:space="0" w:color="000000"/>
              <w:bottom w:val="single" w:sz="4" w:space="0" w:color="000000"/>
              <w:right w:val="single" w:sz="12" w:space="0" w:color="auto"/>
            </w:tcBorders>
            <w:vAlign w:val="center"/>
          </w:tcPr>
          <w:p w14:paraId="0B9474E8" w14:textId="67A57462" w:rsidR="00B361EF" w:rsidRPr="00167FB0" w:rsidRDefault="00B361EF" w:rsidP="008318CD">
            <w:pPr>
              <w:spacing w:after="0" w:line="259" w:lineRule="auto"/>
              <w:ind w:left="0" w:right="44" w:firstLine="0"/>
              <w:jc w:val="center"/>
              <w:rPr>
                <w:rFonts w:eastAsia="Segoe UI Symbol"/>
                <w:sz w:val="18"/>
              </w:rPr>
            </w:pPr>
            <w:r w:rsidRPr="00167FB0">
              <w:rPr>
                <w:rFonts w:eastAsia="Segoe UI Symbol"/>
                <w:sz w:val="18"/>
              </w:rPr>
              <w:t>u</w:t>
            </w:r>
            <w:r w:rsidRPr="000376D7">
              <w:rPr>
                <w:sz w:val="18"/>
              </w:rPr>
              <w:t>g/L</w:t>
            </w:r>
          </w:p>
        </w:tc>
        <w:tc>
          <w:tcPr>
            <w:tcW w:w="900" w:type="dxa"/>
            <w:tcBorders>
              <w:top w:val="single" w:sz="4" w:space="0" w:color="000000"/>
              <w:left w:val="single" w:sz="12" w:space="0" w:color="auto"/>
              <w:bottom w:val="single" w:sz="4" w:space="0" w:color="000000"/>
              <w:right w:val="single" w:sz="12" w:space="0" w:color="000000"/>
            </w:tcBorders>
            <w:vAlign w:val="center"/>
          </w:tcPr>
          <w:p w14:paraId="59559F0D" w14:textId="3BFF0ABE" w:rsidR="00B361EF" w:rsidRDefault="00B361EF" w:rsidP="008318CD">
            <w:pPr>
              <w:tabs>
                <w:tab w:val="center" w:pos="354"/>
              </w:tabs>
              <w:spacing w:after="0" w:line="259" w:lineRule="auto"/>
              <w:ind w:left="0" w:right="0" w:firstLine="0"/>
              <w:jc w:val="center"/>
              <w:rPr>
                <w:sz w:val="18"/>
              </w:rPr>
            </w:pPr>
            <w:r>
              <w:rPr>
                <w:sz w:val="18"/>
              </w:rPr>
              <w:t>5</w:t>
            </w:r>
          </w:p>
        </w:tc>
        <w:tc>
          <w:tcPr>
            <w:tcW w:w="1092" w:type="dxa"/>
            <w:tcBorders>
              <w:top w:val="single" w:sz="4" w:space="0" w:color="000000"/>
              <w:left w:val="single" w:sz="12" w:space="0" w:color="000000"/>
              <w:bottom w:val="single" w:sz="4" w:space="0" w:color="000000"/>
              <w:right w:val="single" w:sz="12" w:space="0" w:color="000000"/>
            </w:tcBorders>
            <w:vAlign w:val="center"/>
          </w:tcPr>
          <w:p w14:paraId="44C3AD75" w14:textId="516EC74A" w:rsidR="00B361EF" w:rsidRDefault="00B361EF" w:rsidP="008318CD">
            <w:pPr>
              <w:spacing w:after="0" w:line="259" w:lineRule="auto"/>
              <w:ind w:left="0" w:right="46" w:firstLine="0"/>
              <w:jc w:val="center"/>
              <w:rPr>
                <w:rFonts w:eastAsia="Segoe UI Symbol"/>
                <w:sz w:val="18"/>
              </w:rPr>
            </w:pPr>
            <w:r>
              <w:rPr>
                <w:rFonts w:eastAsia="Segoe UI Symbol"/>
                <w:sz w:val="18"/>
              </w:rPr>
              <w:t>u</w:t>
            </w:r>
            <w:r>
              <w:rPr>
                <w:sz w:val="18"/>
              </w:rPr>
              <w:t>g/kg</w:t>
            </w:r>
          </w:p>
        </w:tc>
        <w:tc>
          <w:tcPr>
            <w:tcW w:w="1217" w:type="dxa"/>
            <w:tcBorders>
              <w:top w:val="single" w:sz="4" w:space="0" w:color="000000"/>
              <w:left w:val="single" w:sz="12" w:space="0" w:color="000000"/>
              <w:bottom w:val="single" w:sz="4" w:space="0" w:color="000000"/>
              <w:right w:val="single" w:sz="12" w:space="0" w:color="000000"/>
            </w:tcBorders>
            <w:vAlign w:val="center"/>
          </w:tcPr>
          <w:p w14:paraId="21E24563" w14:textId="21E04D1B" w:rsidR="00B361EF" w:rsidRDefault="00B361EF" w:rsidP="008318CD">
            <w:pPr>
              <w:spacing w:after="0" w:line="259" w:lineRule="auto"/>
              <w:ind w:left="0" w:right="45" w:firstLine="0"/>
              <w:jc w:val="center"/>
              <w:rPr>
                <w:b/>
                <w:sz w:val="18"/>
              </w:rPr>
            </w:pPr>
            <w:r>
              <w:rPr>
                <w:b/>
                <w:sz w:val="18"/>
              </w:rPr>
              <w:t>8260</w:t>
            </w:r>
          </w:p>
        </w:tc>
        <w:tc>
          <w:tcPr>
            <w:tcW w:w="1080" w:type="dxa"/>
            <w:tcBorders>
              <w:top w:val="single" w:sz="4" w:space="0" w:color="000000"/>
              <w:left w:val="single" w:sz="12" w:space="0" w:color="000000"/>
              <w:bottom w:val="single" w:sz="4" w:space="0" w:color="000000"/>
              <w:right w:val="single" w:sz="12" w:space="0" w:color="000000"/>
            </w:tcBorders>
            <w:vAlign w:val="center"/>
          </w:tcPr>
          <w:p w14:paraId="008C9F51" w14:textId="34FADBE0" w:rsidR="00B361EF" w:rsidRDefault="00B361EF" w:rsidP="008318CD">
            <w:pPr>
              <w:spacing w:after="0" w:line="259" w:lineRule="auto"/>
              <w:ind w:left="0" w:right="48" w:firstLine="0"/>
              <w:jc w:val="center"/>
              <w:rPr>
                <w:sz w:val="18"/>
              </w:rPr>
            </w:pPr>
            <w:r>
              <w:rPr>
                <w:sz w:val="18"/>
              </w:rPr>
              <w:t>8021</w:t>
            </w:r>
          </w:p>
        </w:tc>
      </w:tr>
      <w:tr w:rsidR="00B361EF" w14:paraId="2B55585D" w14:textId="77777777" w:rsidTr="00B1604E">
        <w:trPr>
          <w:trHeight w:val="262"/>
        </w:trPr>
        <w:tc>
          <w:tcPr>
            <w:tcW w:w="3256" w:type="dxa"/>
            <w:tcBorders>
              <w:top w:val="single" w:sz="4" w:space="0" w:color="000000"/>
              <w:left w:val="single" w:sz="12" w:space="0" w:color="000000"/>
              <w:bottom w:val="single" w:sz="4" w:space="0" w:color="000000"/>
              <w:right w:val="single" w:sz="12" w:space="0" w:color="000000"/>
            </w:tcBorders>
            <w:vAlign w:val="center"/>
          </w:tcPr>
          <w:p w14:paraId="40AABCA9" w14:textId="042BB7D0" w:rsidR="00B361EF" w:rsidRDefault="00B361EF" w:rsidP="008318CD">
            <w:pPr>
              <w:spacing w:after="0" w:line="259" w:lineRule="auto"/>
              <w:ind w:left="0" w:right="0" w:firstLine="0"/>
              <w:rPr>
                <w:sz w:val="18"/>
              </w:rPr>
            </w:pPr>
            <w:r>
              <w:rPr>
                <w:sz w:val="18"/>
              </w:rPr>
              <w:t xml:space="preserve">1,2,4-Trichlorobenzene </w:t>
            </w:r>
          </w:p>
        </w:tc>
        <w:tc>
          <w:tcPr>
            <w:tcW w:w="1082" w:type="dxa"/>
            <w:tcBorders>
              <w:top w:val="single" w:sz="4" w:space="0" w:color="000000"/>
              <w:left w:val="single" w:sz="12" w:space="0" w:color="000000"/>
              <w:bottom w:val="single" w:sz="4" w:space="0" w:color="000000"/>
              <w:right w:val="single" w:sz="12" w:space="0" w:color="000000"/>
            </w:tcBorders>
            <w:vAlign w:val="center"/>
          </w:tcPr>
          <w:p w14:paraId="71148020" w14:textId="16D1FCC4" w:rsidR="00B361EF" w:rsidRDefault="00B361EF" w:rsidP="008318CD">
            <w:pPr>
              <w:spacing w:after="0" w:line="259" w:lineRule="auto"/>
              <w:ind w:left="0" w:right="44" w:firstLine="0"/>
              <w:jc w:val="center"/>
              <w:rPr>
                <w:sz w:val="18"/>
              </w:rPr>
            </w:pPr>
            <w:r>
              <w:rPr>
                <w:sz w:val="18"/>
              </w:rPr>
              <w:t>120-82-1</w:t>
            </w:r>
          </w:p>
        </w:tc>
        <w:tc>
          <w:tcPr>
            <w:tcW w:w="1001" w:type="dxa"/>
            <w:tcBorders>
              <w:top w:val="single" w:sz="4" w:space="0" w:color="000000"/>
              <w:left w:val="single" w:sz="12" w:space="0" w:color="000000"/>
              <w:bottom w:val="single" w:sz="4" w:space="0" w:color="000000"/>
              <w:right w:val="single" w:sz="12" w:space="0" w:color="000000"/>
            </w:tcBorders>
            <w:vAlign w:val="center"/>
          </w:tcPr>
          <w:p w14:paraId="3A843892" w14:textId="127A83D3" w:rsidR="00B361EF" w:rsidRDefault="00B361EF" w:rsidP="008318CD">
            <w:pPr>
              <w:tabs>
                <w:tab w:val="center" w:pos="534"/>
              </w:tabs>
              <w:spacing w:after="0" w:line="259" w:lineRule="auto"/>
              <w:ind w:left="0" w:right="0" w:firstLine="0"/>
              <w:jc w:val="center"/>
              <w:rPr>
                <w:sz w:val="18"/>
              </w:rPr>
            </w:pPr>
            <w:r>
              <w:rPr>
                <w:sz w:val="18"/>
              </w:rPr>
              <w:t>1</w:t>
            </w:r>
          </w:p>
        </w:tc>
        <w:tc>
          <w:tcPr>
            <w:tcW w:w="992" w:type="dxa"/>
            <w:tcBorders>
              <w:top w:val="single" w:sz="4" w:space="0" w:color="000000"/>
              <w:left w:val="single" w:sz="12" w:space="0" w:color="000000"/>
              <w:bottom w:val="single" w:sz="4" w:space="0" w:color="000000"/>
              <w:right w:val="single" w:sz="12" w:space="0" w:color="auto"/>
            </w:tcBorders>
            <w:vAlign w:val="center"/>
          </w:tcPr>
          <w:p w14:paraId="7D7B1712" w14:textId="10DA9D42" w:rsidR="00B361EF" w:rsidRPr="00167FB0" w:rsidRDefault="00B361EF" w:rsidP="008318CD">
            <w:pPr>
              <w:spacing w:after="0" w:line="259" w:lineRule="auto"/>
              <w:ind w:left="0" w:right="44" w:firstLine="0"/>
              <w:jc w:val="center"/>
              <w:rPr>
                <w:rFonts w:eastAsia="Segoe UI Symbol"/>
                <w:sz w:val="18"/>
              </w:rPr>
            </w:pPr>
            <w:r w:rsidRPr="00167FB0">
              <w:rPr>
                <w:rFonts w:eastAsia="Segoe UI Symbol"/>
                <w:sz w:val="18"/>
              </w:rPr>
              <w:t>u</w:t>
            </w:r>
            <w:r w:rsidRPr="000376D7">
              <w:rPr>
                <w:sz w:val="18"/>
              </w:rPr>
              <w:t>g/L</w:t>
            </w:r>
          </w:p>
        </w:tc>
        <w:tc>
          <w:tcPr>
            <w:tcW w:w="900" w:type="dxa"/>
            <w:tcBorders>
              <w:top w:val="single" w:sz="4" w:space="0" w:color="000000"/>
              <w:left w:val="single" w:sz="12" w:space="0" w:color="auto"/>
              <w:bottom w:val="single" w:sz="4" w:space="0" w:color="000000"/>
              <w:right w:val="single" w:sz="12" w:space="0" w:color="000000"/>
            </w:tcBorders>
            <w:vAlign w:val="center"/>
          </w:tcPr>
          <w:p w14:paraId="76310C2A" w14:textId="42A68CFC" w:rsidR="00B361EF" w:rsidRDefault="00B361EF" w:rsidP="008318CD">
            <w:pPr>
              <w:tabs>
                <w:tab w:val="center" w:pos="354"/>
              </w:tabs>
              <w:spacing w:after="0" w:line="259" w:lineRule="auto"/>
              <w:ind w:left="0" w:right="0" w:firstLine="0"/>
              <w:jc w:val="center"/>
              <w:rPr>
                <w:sz w:val="18"/>
              </w:rPr>
            </w:pPr>
            <w:r>
              <w:rPr>
                <w:sz w:val="18"/>
              </w:rPr>
              <w:t>5</w:t>
            </w:r>
          </w:p>
        </w:tc>
        <w:tc>
          <w:tcPr>
            <w:tcW w:w="1092" w:type="dxa"/>
            <w:tcBorders>
              <w:top w:val="single" w:sz="4" w:space="0" w:color="000000"/>
              <w:left w:val="single" w:sz="12" w:space="0" w:color="000000"/>
              <w:bottom w:val="single" w:sz="4" w:space="0" w:color="000000"/>
              <w:right w:val="single" w:sz="12" w:space="0" w:color="000000"/>
            </w:tcBorders>
            <w:vAlign w:val="center"/>
          </w:tcPr>
          <w:p w14:paraId="52ACA68F" w14:textId="2DCFAD57" w:rsidR="00B361EF" w:rsidRDefault="00B361EF" w:rsidP="008318CD">
            <w:pPr>
              <w:spacing w:after="0" w:line="259" w:lineRule="auto"/>
              <w:ind w:left="0" w:right="46" w:firstLine="0"/>
              <w:jc w:val="center"/>
              <w:rPr>
                <w:rFonts w:eastAsia="Segoe UI Symbol"/>
                <w:sz w:val="18"/>
              </w:rPr>
            </w:pPr>
            <w:r>
              <w:rPr>
                <w:rFonts w:eastAsia="Segoe UI Symbol"/>
                <w:sz w:val="18"/>
              </w:rPr>
              <w:t>u</w:t>
            </w:r>
            <w:r>
              <w:rPr>
                <w:sz w:val="18"/>
              </w:rPr>
              <w:t>g/kg</w:t>
            </w:r>
          </w:p>
        </w:tc>
        <w:tc>
          <w:tcPr>
            <w:tcW w:w="1217" w:type="dxa"/>
            <w:tcBorders>
              <w:top w:val="single" w:sz="4" w:space="0" w:color="000000"/>
              <w:left w:val="single" w:sz="12" w:space="0" w:color="000000"/>
              <w:bottom w:val="single" w:sz="4" w:space="0" w:color="000000"/>
              <w:right w:val="single" w:sz="12" w:space="0" w:color="000000"/>
            </w:tcBorders>
            <w:vAlign w:val="center"/>
          </w:tcPr>
          <w:p w14:paraId="447EAD2A" w14:textId="1339BD92" w:rsidR="00B361EF" w:rsidRDefault="00B361EF" w:rsidP="008318CD">
            <w:pPr>
              <w:spacing w:after="0" w:line="259" w:lineRule="auto"/>
              <w:ind w:left="0" w:right="45" w:firstLine="0"/>
              <w:jc w:val="center"/>
              <w:rPr>
                <w:b/>
                <w:sz w:val="18"/>
              </w:rPr>
            </w:pPr>
            <w:r>
              <w:rPr>
                <w:b/>
                <w:sz w:val="18"/>
              </w:rPr>
              <w:t>8260</w:t>
            </w:r>
          </w:p>
        </w:tc>
        <w:tc>
          <w:tcPr>
            <w:tcW w:w="1080" w:type="dxa"/>
            <w:tcBorders>
              <w:top w:val="single" w:sz="4" w:space="0" w:color="000000"/>
              <w:left w:val="single" w:sz="12" w:space="0" w:color="000000"/>
              <w:bottom w:val="single" w:sz="4" w:space="0" w:color="000000"/>
              <w:right w:val="single" w:sz="12" w:space="0" w:color="000000"/>
            </w:tcBorders>
            <w:vAlign w:val="center"/>
          </w:tcPr>
          <w:p w14:paraId="4AC60FB4" w14:textId="292A5126" w:rsidR="00B361EF" w:rsidRDefault="00B361EF" w:rsidP="008318CD">
            <w:pPr>
              <w:spacing w:after="0" w:line="259" w:lineRule="auto"/>
              <w:ind w:left="0" w:right="48" w:firstLine="0"/>
              <w:jc w:val="center"/>
              <w:rPr>
                <w:sz w:val="18"/>
              </w:rPr>
            </w:pPr>
            <w:r>
              <w:rPr>
                <w:sz w:val="18"/>
              </w:rPr>
              <w:t>8021</w:t>
            </w:r>
          </w:p>
        </w:tc>
      </w:tr>
      <w:tr w:rsidR="00B361EF" w14:paraId="65469D4E" w14:textId="77777777" w:rsidTr="00B1604E">
        <w:trPr>
          <w:trHeight w:val="262"/>
        </w:trPr>
        <w:tc>
          <w:tcPr>
            <w:tcW w:w="3256" w:type="dxa"/>
            <w:tcBorders>
              <w:top w:val="single" w:sz="4" w:space="0" w:color="000000"/>
              <w:left w:val="single" w:sz="12" w:space="0" w:color="000000"/>
              <w:bottom w:val="single" w:sz="4" w:space="0" w:color="000000"/>
              <w:right w:val="single" w:sz="12" w:space="0" w:color="000000"/>
            </w:tcBorders>
            <w:vAlign w:val="center"/>
          </w:tcPr>
          <w:p w14:paraId="72F26665" w14:textId="610DA561" w:rsidR="00B361EF" w:rsidRDefault="00B361EF" w:rsidP="008318CD">
            <w:pPr>
              <w:spacing w:after="0" w:line="259" w:lineRule="auto"/>
              <w:ind w:left="0" w:right="0" w:firstLine="0"/>
              <w:rPr>
                <w:sz w:val="18"/>
              </w:rPr>
            </w:pPr>
            <w:r>
              <w:rPr>
                <w:sz w:val="18"/>
              </w:rPr>
              <w:t xml:space="preserve">1,1,1-Trichloroethane </w:t>
            </w:r>
          </w:p>
        </w:tc>
        <w:tc>
          <w:tcPr>
            <w:tcW w:w="1082" w:type="dxa"/>
            <w:tcBorders>
              <w:top w:val="single" w:sz="4" w:space="0" w:color="000000"/>
              <w:left w:val="single" w:sz="12" w:space="0" w:color="000000"/>
              <w:bottom w:val="single" w:sz="4" w:space="0" w:color="000000"/>
              <w:right w:val="single" w:sz="12" w:space="0" w:color="000000"/>
            </w:tcBorders>
            <w:vAlign w:val="center"/>
          </w:tcPr>
          <w:p w14:paraId="584F1971" w14:textId="5777E0BE" w:rsidR="00B361EF" w:rsidRDefault="00B361EF" w:rsidP="008318CD">
            <w:pPr>
              <w:spacing w:after="0" w:line="259" w:lineRule="auto"/>
              <w:ind w:left="0" w:right="44" w:firstLine="0"/>
              <w:jc w:val="center"/>
              <w:rPr>
                <w:sz w:val="18"/>
              </w:rPr>
            </w:pPr>
            <w:r>
              <w:rPr>
                <w:sz w:val="18"/>
              </w:rPr>
              <w:t>71-55-6</w:t>
            </w:r>
          </w:p>
        </w:tc>
        <w:tc>
          <w:tcPr>
            <w:tcW w:w="1001" w:type="dxa"/>
            <w:tcBorders>
              <w:top w:val="single" w:sz="4" w:space="0" w:color="000000"/>
              <w:left w:val="single" w:sz="12" w:space="0" w:color="000000"/>
              <w:bottom w:val="single" w:sz="4" w:space="0" w:color="000000"/>
              <w:right w:val="single" w:sz="12" w:space="0" w:color="000000"/>
            </w:tcBorders>
            <w:vAlign w:val="center"/>
          </w:tcPr>
          <w:p w14:paraId="6D8FDB7D" w14:textId="6B8ED7A2" w:rsidR="00B361EF" w:rsidRDefault="00B361EF" w:rsidP="008318CD">
            <w:pPr>
              <w:tabs>
                <w:tab w:val="center" w:pos="534"/>
              </w:tabs>
              <w:spacing w:after="0" w:line="259" w:lineRule="auto"/>
              <w:ind w:left="0" w:right="0" w:firstLine="0"/>
              <w:jc w:val="center"/>
              <w:rPr>
                <w:sz w:val="18"/>
              </w:rPr>
            </w:pPr>
            <w:r>
              <w:rPr>
                <w:sz w:val="18"/>
              </w:rPr>
              <w:t>1</w:t>
            </w:r>
          </w:p>
        </w:tc>
        <w:tc>
          <w:tcPr>
            <w:tcW w:w="992" w:type="dxa"/>
            <w:tcBorders>
              <w:top w:val="single" w:sz="4" w:space="0" w:color="000000"/>
              <w:left w:val="single" w:sz="12" w:space="0" w:color="000000"/>
              <w:bottom w:val="single" w:sz="4" w:space="0" w:color="000000"/>
              <w:right w:val="single" w:sz="12" w:space="0" w:color="auto"/>
            </w:tcBorders>
            <w:vAlign w:val="center"/>
          </w:tcPr>
          <w:p w14:paraId="42E449A3" w14:textId="2CF5ACDF" w:rsidR="00B361EF" w:rsidRPr="00167FB0" w:rsidRDefault="00B361EF" w:rsidP="008318CD">
            <w:pPr>
              <w:spacing w:after="0" w:line="259" w:lineRule="auto"/>
              <w:ind w:left="0" w:right="44" w:firstLine="0"/>
              <w:jc w:val="center"/>
              <w:rPr>
                <w:rFonts w:eastAsia="Segoe UI Symbol"/>
                <w:sz w:val="18"/>
              </w:rPr>
            </w:pPr>
            <w:r w:rsidRPr="00167FB0">
              <w:rPr>
                <w:rFonts w:eastAsia="Segoe UI Symbol"/>
                <w:sz w:val="18"/>
              </w:rPr>
              <w:t>u</w:t>
            </w:r>
            <w:r w:rsidRPr="000376D7">
              <w:rPr>
                <w:sz w:val="18"/>
              </w:rPr>
              <w:t>g/L</w:t>
            </w:r>
          </w:p>
        </w:tc>
        <w:tc>
          <w:tcPr>
            <w:tcW w:w="900" w:type="dxa"/>
            <w:tcBorders>
              <w:top w:val="single" w:sz="4" w:space="0" w:color="000000"/>
              <w:left w:val="single" w:sz="12" w:space="0" w:color="auto"/>
              <w:bottom w:val="single" w:sz="4" w:space="0" w:color="000000"/>
              <w:right w:val="single" w:sz="12" w:space="0" w:color="000000"/>
            </w:tcBorders>
            <w:vAlign w:val="center"/>
          </w:tcPr>
          <w:p w14:paraId="4AE9DC8A" w14:textId="516D002D" w:rsidR="00B361EF" w:rsidRDefault="00B361EF" w:rsidP="008318CD">
            <w:pPr>
              <w:tabs>
                <w:tab w:val="center" w:pos="354"/>
              </w:tabs>
              <w:spacing w:after="0" w:line="259" w:lineRule="auto"/>
              <w:ind w:left="0" w:right="0" w:firstLine="0"/>
              <w:jc w:val="center"/>
              <w:rPr>
                <w:sz w:val="18"/>
              </w:rPr>
            </w:pPr>
            <w:r>
              <w:rPr>
                <w:sz w:val="18"/>
              </w:rPr>
              <w:t>5</w:t>
            </w:r>
          </w:p>
        </w:tc>
        <w:tc>
          <w:tcPr>
            <w:tcW w:w="1092" w:type="dxa"/>
            <w:tcBorders>
              <w:top w:val="single" w:sz="4" w:space="0" w:color="000000"/>
              <w:left w:val="single" w:sz="12" w:space="0" w:color="000000"/>
              <w:bottom w:val="single" w:sz="4" w:space="0" w:color="000000"/>
              <w:right w:val="single" w:sz="12" w:space="0" w:color="000000"/>
            </w:tcBorders>
            <w:vAlign w:val="center"/>
          </w:tcPr>
          <w:p w14:paraId="08BE6A4F" w14:textId="5DACA3CD" w:rsidR="00B361EF" w:rsidRDefault="00B361EF" w:rsidP="008318CD">
            <w:pPr>
              <w:spacing w:after="0" w:line="259" w:lineRule="auto"/>
              <w:ind w:left="0" w:right="46" w:firstLine="0"/>
              <w:jc w:val="center"/>
              <w:rPr>
                <w:rFonts w:eastAsia="Segoe UI Symbol"/>
                <w:sz w:val="18"/>
              </w:rPr>
            </w:pPr>
            <w:r>
              <w:rPr>
                <w:rFonts w:eastAsia="Segoe UI Symbol"/>
                <w:sz w:val="18"/>
              </w:rPr>
              <w:t>u</w:t>
            </w:r>
            <w:r>
              <w:rPr>
                <w:sz w:val="18"/>
              </w:rPr>
              <w:t>g/kg</w:t>
            </w:r>
          </w:p>
        </w:tc>
        <w:tc>
          <w:tcPr>
            <w:tcW w:w="1217" w:type="dxa"/>
            <w:tcBorders>
              <w:top w:val="single" w:sz="4" w:space="0" w:color="000000"/>
              <w:left w:val="single" w:sz="12" w:space="0" w:color="000000"/>
              <w:bottom w:val="single" w:sz="4" w:space="0" w:color="000000"/>
              <w:right w:val="single" w:sz="12" w:space="0" w:color="000000"/>
            </w:tcBorders>
            <w:vAlign w:val="center"/>
          </w:tcPr>
          <w:p w14:paraId="0C0119D1" w14:textId="67F5A44D" w:rsidR="00B361EF" w:rsidRDefault="00B361EF" w:rsidP="008318CD">
            <w:pPr>
              <w:spacing w:after="0" w:line="259" w:lineRule="auto"/>
              <w:ind w:left="0" w:right="45" w:firstLine="0"/>
              <w:jc w:val="center"/>
              <w:rPr>
                <w:b/>
                <w:sz w:val="18"/>
              </w:rPr>
            </w:pPr>
            <w:r>
              <w:rPr>
                <w:b/>
                <w:sz w:val="18"/>
              </w:rPr>
              <w:t>8260</w:t>
            </w:r>
          </w:p>
        </w:tc>
        <w:tc>
          <w:tcPr>
            <w:tcW w:w="1080" w:type="dxa"/>
            <w:tcBorders>
              <w:top w:val="single" w:sz="4" w:space="0" w:color="000000"/>
              <w:left w:val="single" w:sz="12" w:space="0" w:color="000000"/>
              <w:bottom w:val="single" w:sz="4" w:space="0" w:color="000000"/>
              <w:right w:val="single" w:sz="12" w:space="0" w:color="000000"/>
            </w:tcBorders>
            <w:vAlign w:val="center"/>
          </w:tcPr>
          <w:p w14:paraId="2148147C" w14:textId="55AD0E24" w:rsidR="00B361EF" w:rsidRDefault="00B361EF" w:rsidP="008318CD">
            <w:pPr>
              <w:spacing w:after="0" w:line="259" w:lineRule="auto"/>
              <w:ind w:left="0" w:right="48" w:firstLine="0"/>
              <w:jc w:val="center"/>
              <w:rPr>
                <w:sz w:val="18"/>
              </w:rPr>
            </w:pPr>
            <w:r>
              <w:rPr>
                <w:sz w:val="18"/>
              </w:rPr>
              <w:t>8021</w:t>
            </w:r>
          </w:p>
        </w:tc>
      </w:tr>
      <w:tr w:rsidR="00B361EF" w14:paraId="1CEDD400" w14:textId="77777777" w:rsidTr="00B1604E">
        <w:trPr>
          <w:trHeight w:val="262"/>
        </w:trPr>
        <w:tc>
          <w:tcPr>
            <w:tcW w:w="3256" w:type="dxa"/>
            <w:tcBorders>
              <w:top w:val="single" w:sz="4" w:space="0" w:color="000000"/>
              <w:left w:val="single" w:sz="12" w:space="0" w:color="000000"/>
              <w:bottom w:val="single" w:sz="4" w:space="0" w:color="000000"/>
              <w:right w:val="single" w:sz="12" w:space="0" w:color="000000"/>
            </w:tcBorders>
            <w:vAlign w:val="center"/>
          </w:tcPr>
          <w:p w14:paraId="3ABF3E69" w14:textId="6AEAC5C9" w:rsidR="00B361EF" w:rsidRDefault="00B361EF" w:rsidP="008318CD">
            <w:pPr>
              <w:spacing w:after="0" w:line="259" w:lineRule="auto"/>
              <w:ind w:left="0" w:right="0" w:firstLine="0"/>
              <w:rPr>
                <w:sz w:val="18"/>
              </w:rPr>
            </w:pPr>
            <w:r>
              <w:rPr>
                <w:sz w:val="18"/>
              </w:rPr>
              <w:t xml:space="preserve">1,1,2-Trichloroethane </w:t>
            </w:r>
          </w:p>
        </w:tc>
        <w:tc>
          <w:tcPr>
            <w:tcW w:w="1082" w:type="dxa"/>
            <w:tcBorders>
              <w:top w:val="single" w:sz="4" w:space="0" w:color="000000"/>
              <w:left w:val="single" w:sz="12" w:space="0" w:color="000000"/>
              <w:bottom w:val="single" w:sz="4" w:space="0" w:color="000000"/>
              <w:right w:val="single" w:sz="12" w:space="0" w:color="000000"/>
            </w:tcBorders>
            <w:vAlign w:val="center"/>
          </w:tcPr>
          <w:p w14:paraId="55CA1E28" w14:textId="6B0451B1" w:rsidR="00B361EF" w:rsidRDefault="00B361EF" w:rsidP="008318CD">
            <w:pPr>
              <w:spacing w:after="0" w:line="259" w:lineRule="auto"/>
              <w:ind w:left="0" w:right="44" w:firstLine="0"/>
              <w:jc w:val="center"/>
              <w:rPr>
                <w:sz w:val="18"/>
              </w:rPr>
            </w:pPr>
            <w:r>
              <w:rPr>
                <w:sz w:val="18"/>
              </w:rPr>
              <w:t>79-00-5</w:t>
            </w:r>
          </w:p>
        </w:tc>
        <w:tc>
          <w:tcPr>
            <w:tcW w:w="1001" w:type="dxa"/>
            <w:tcBorders>
              <w:top w:val="single" w:sz="4" w:space="0" w:color="000000"/>
              <w:left w:val="single" w:sz="12" w:space="0" w:color="000000"/>
              <w:bottom w:val="single" w:sz="4" w:space="0" w:color="000000"/>
              <w:right w:val="single" w:sz="12" w:space="0" w:color="000000"/>
            </w:tcBorders>
            <w:vAlign w:val="center"/>
          </w:tcPr>
          <w:p w14:paraId="45F3C078" w14:textId="1E22AEDB" w:rsidR="00B361EF" w:rsidRDefault="00B361EF" w:rsidP="008318CD">
            <w:pPr>
              <w:tabs>
                <w:tab w:val="center" w:pos="534"/>
              </w:tabs>
              <w:spacing w:after="0" w:line="259" w:lineRule="auto"/>
              <w:ind w:left="0" w:right="0" w:firstLine="0"/>
              <w:jc w:val="center"/>
              <w:rPr>
                <w:sz w:val="18"/>
              </w:rPr>
            </w:pPr>
            <w:r>
              <w:rPr>
                <w:sz w:val="18"/>
              </w:rPr>
              <w:t>1</w:t>
            </w:r>
          </w:p>
        </w:tc>
        <w:tc>
          <w:tcPr>
            <w:tcW w:w="992" w:type="dxa"/>
            <w:tcBorders>
              <w:top w:val="single" w:sz="4" w:space="0" w:color="000000"/>
              <w:left w:val="single" w:sz="12" w:space="0" w:color="000000"/>
              <w:bottom w:val="single" w:sz="4" w:space="0" w:color="000000"/>
              <w:right w:val="single" w:sz="12" w:space="0" w:color="auto"/>
            </w:tcBorders>
            <w:vAlign w:val="center"/>
          </w:tcPr>
          <w:p w14:paraId="332B9090" w14:textId="1FBEF29B" w:rsidR="00B361EF" w:rsidRPr="00167FB0" w:rsidRDefault="00B361EF" w:rsidP="008318CD">
            <w:pPr>
              <w:spacing w:after="0" w:line="259" w:lineRule="auto"/>
              <w:ind w:left="0" w:right="44" w:firstLine="0"/>
              <w:jc w:val="center"/>
              <w:rPr>
                <w:rFonts w:eastAsia="Segoe UI Symbol"/>
                <w:sz w:val="18"/>
              </w:rPr>
            </w:pPr>
            <w:r w:rsidRPr="00140536">
              <w:rPr>
                <w:rFonts w:eastAsia="Segoe UI Symbol"/>
                <w:sz w:val="18"/>
              </w:rPr>
              <w:t>u</w:t>
            </w:r>
            <w:r w:rsidRPr="000376D7">
              <w:rPr>
                <w:sz w:val="18"/>
              </w:rPr>
              <w:t>g/L</w:t>
            </w:r>
          </w:p>
        </w:tc>
        <w:tc>
          <w:tcPr>
            <w:tcW w:w="900" w:type="dxa"/>
            <w:tcBorders>
              <w:top w:val="single" w:sz="4" w:space="0" w:color="000000"/>
              <w:left w:val="single" w:sz="12" w:space="0" w:color="auto"/>
              <w:bottom w:val="single" w:sz="4" w:space="0" w:color="000000"/>
              <w:right w:val="single" w:sz="12" w:space="0" w:color="000000"/>
            </w:tcBorders>
            <w:vAlign w:val="center"/>
          </w:tcPr>
          <w:p w14:paraId="2955BD67" w14:textId="564D48AB" w:rsidR="00B361EF" w:rsidRDefault="00B361EF" w:rsidP="008318CD">
            <w:pPr>
              <w:tabs>
                <w:tab w:val="center" w:pos="354"/>
              </w:tabs>
              <w:spacing w:after="0" w:line="259" w:lineRule="auto"/>
              <w:ind w:left="0" w:right="0" w:firstLine="0"/>
              <w:jc w:val="center"/>
              <w:rPr>
                <w:sz w:val="18"/>
              </w:rPr>
            </w:pPr>
            <w:r>
              <w:rPr>
                <w:sz w:val="18"/>
              </w:rPr>
              <w:t>5</w:t>
            </w:r>
          </w:p>
        </w:tc>
        <w:tc>
          <w:tcPr>
            <w:tcW w:w="1092" w:type="dxa"/>
            <w:tcBorders>
              <w:top w:val="single" w:sz="4" w:space="0" w:color="000000"/>
              <w:left w:val="single" w:sz="12" w:space="0" w:color="000000"/>
              <w:bottom w:val="single" w:sz="4" w:space="0" w:color="000000"/>
              <w:right w:val="single" w:sz="12" w:space="0" w:color="000000"/>
            </w:tcBorders>
            <w:vAlign w:val="center"/>
          </w:tcPr>
          <w:p w14:paraId="594FF122" w14:textId="6DE9A448" w:rsidR="00B361EF" w:rsidRDefault="00B361EF" w:rsidP="008318CD">
            <w:pPr>
              <w:spacing w:after="0" w:line="259" w:lineRule="auto"/>
              <w:ind w:left="0" w:right="46" w:firstLine="0"/>
              <w:jc w:val="center"/>
              <w:rPr>
                <w:rFonts w:eastAsia="Segoe UI Symbol"/>
                <w:sz w:val="18"/>
              </w:rPr>
            </w:pPr>
            <w:r>
              <w:rPr>
                <w:rFonts w:eastAsia="Segoe UI Symbol"/>
                <w:sz w:val="18"/>
              </w:rPr>
              <w:t>u</w:t>
            </w:r>
            <w:r>
              <w:rPr>
                <w:sz w:val="18"/>
              </w:rPr>
              <w:t>g/kg</w:t>
            </w:r>
          </w:p>
        </w:tc>
        <w:tc>
          <w:tcPr>
            <w:tcW w:w="1217" w:type="dxa"/>
            <w:tcBorders>
              <w:top w:val="single" w:sz="4" w:space="0" w:color="000000"/>
              <w:left w:val="single" w:sz="12" w:space="0" w:color="000000"/>
              <w:bottom w:val="single" w:sz="4" w:space="0" w:color="000000"/>
              <w:right w:val="single" w:sz="12" w:space="0" w:color="000000"/>
            </w:tcBorders>
            <w:vAlign w:val="center"/>
          </w:tcPr>
          <w:p w14:paraId="6AE28196" w14:textId="7B6DEF29" w:rsidR="00B361EF" w:rsidRDefault="00B361EF" w:rsidP="008318CD">
            <w:pPr>
              <w:spacing w:after="0" w:line="259" w:lineRule="auto"/>
              <w:ind w:left="0" w:right="45" w:firstLine="0"/>
              <w:jc w:val="center"/>
              <w:rPr>
                <w:b/>
                <w:sz w:val="18"/>
              </w:rPr>
            </w:pPr>
            <w:r>
              <w:rPr>
                <w:b/>
                <w:sz w:val="18"/>
              </w:rPr>
              <w:t>8260</w:t>
            </w:r>
          </w:p>
        </w:tc>
        <w:tc>
          <w:tcPr>
            <w:tcW w:w="1080" w:type="dxa"/>
            <w:tcBorders>
              <w:top w:val="single" w:sz="4" w:space="0" w:color="000000"/>
              <w:left w:val="single" w:sz="12" w:space="0" w:color="000000"/>
              <w:bottom w:val="single" w:sz="4" w:space="0" w:color="000000"/>
              <w:right w:val="single" w:sz="12" w:space="0" w:color="000000"/>
            </w:tcBorders>
            <w:vAlign w:val="center"/>
          </w:tcPr>
          <w:p w14:paraId="0E924856" w14:textId="437CE358" w:rsidR="00B361EF" w:rsidRDefault="00B361EF" w:rsidP="008318CD">
            <w:pPr>
              <w:spacing w:after="0" w:line="259" w:lineRule="auto"/>
              <w:ind w:left="0" w:right="48" w:firstLine="0"/>
              <w:jc w:val="center"/>
              <w:rPr>
                <w:sz w:val="18"/>
              </w:rPr>
            </w:pPr>
            <w:r>
              <w:rPr>
                <w:sz w:val="18"/>
              </w:rPr>
              <w:t>8021</w:t>
            </w:r>
          </w:p>
        </w:tc>
      </w:tr>
      <w:tr w:rsidR="00B361EF" w14:paraId="50D7C1D8" w14:textId="77777777" w:rsidTr="00B1604E">
        <w:trPr>
          <w:trHeight w:val="262"/>
        </w:trPr>
        <w:tc>
          <w:tcPr>
            <w:tcW w:w="3256" w:type="dxa"/>
            <w:tcBorders>
              <w:top w:val="single" w:sz="4" w:space="0" w:color="000000"/>
              <w:left w:val="single" w:sz="12" w:space="0" w:color="000000"/>
              <w:bottom w:val="single" w:sz="4" w:space="0" w:color="000000"/>
              <w:right w:val="single" w:sz="12" w:space="0" w:color="000000"/>
            </w:tcBorders>
            <w:vAlign w:val="center"/>
          </w:tcPr>
          <w:p w14:paraId="1DF64386" w14:textId="00345756" w:rsidR="00B361EF" w:rsidRDefault="00B361EF" w:rsidP="008318CD">
            <w:pPr>
              <w:spacing w:after="0" w:line="259" w:lineRule="auto"/>
              <w:ind w:left="0" w:right="0" w:firstLine="0"/>
              <w:rPr>
                <w:sz w:val="18"/>
              </w:rPr>
            </w:pPr>
            <w:r>
              <w:rPr>
                <w:sz w:val="18"/>
              </w:rPr>
              <w:t xml:space="preserve">Trichloroethene </w:t>
            </w:r>
          </w:p>
        </w:tc>
        <w:tc>
          <w:tcPr>
            <w:tcW w:w="1082" w:type="dxa"/>
            <w:tcBorders>
              <w:top w:val="single" w:sz="4" w:space="0" w:color="000000"/>
              <w:left w:val="single" w:sz="12" w:space="0" w:color="000000"/>
              <w:bottom w:val="single" w:sz="4" w:space="0" w:color="000000"/>
              <w:right w:val="single" w:sz="12" w:space="0" w:color="000000"/>
            </w:tcBorders>
            <w:vAlign w:val="center"/>
          </w:tcPr>
          <w:p w14:paraId="0B8927C7" w14:textId="292A6CBB" w:rsidR="00B361EF" w:rsidRDefault="00B361EF" w:rsidP="008318CD">
            <w:pPr>
              <w:spacing w:after="0" w:line="259" w:lineRule="auto"/>
              <w:ind w:left="0" w:right="44" w:firstLine="0"/>
              <w:jc w:val="center"/>
              <w:rPr>
                <w:sz w:val="18"/>
              </w:rPr>
            </w:pPr>
            <w:r>
              <w:rPr>
                <w:sz w:val="18"/>
              </w:rPr>
              <w:t>79-01-6</w:t>
            </w:r>
          </w:p>
        </w:tc>
        <w:tc>
          <w:tcPr>
            <w:tcW w:w="1001" w:type="dxa"/>
            <w:tcBorders>
              <w:top w:val="single" w:sz="4" w:space="0" w:color="000000"/>
              <w:left w:val="single" w:sz="12" w:space="0" w:color="000000"/>
              <w:bottom w:val="single" w:sz="4" w:space="0" w:color="000000"/>
              <w:right w:val="single" w:sz="12" w:space="0" w:color="000000"/>
            </w:tcBorders>
            <w:vAlign w:val="center"/>
          </w:tcPr>
          <w:p w14:paraId="27C7A455" w14:textId="744505F3" w:rsidR="00B361EF" w:rsidRDefault="00B361EF" w:rsidP="008318CD">
            <w:pPr>
              <w:tabs>
                <w:tab w:val="center" w:pos="534"/>
              </w:tabs>
              <w:spacing w:after="0" w:line="259" w:lineRule="auto"/>
              <w:ind w:left="0" w:right="0" w:firstLine="0"/>
              <w:jc w:val="center"/>
              <w:rPr>
                <w:sz w:val="18"/>
              </w:rPr>
            </w:pPr>
            <w:r>
              <w:rPr>
                <w:b/>
                <w:sz w:val="18"/>
              </w:rPr>
              <w:t>1</w:t>
            </w:r>
          </w:p>
        </w:tc>
        <w:tc>
          <w:tcPr>
            <w:tcW w:w="992" w:type="dxa"/>
            <w:tcBorders>
              <w:top w:val="single" w:sz="4" w:space="0" w:color="000000"/>
              <w:left w:val="single" w:sz="12" w:space="0" w:color="000000"/>
              <w:bottom w:val="single" w:sz="4" w:space="0" w:color="000000"/>
              <w:right w:val="single" w:sz="12" w:space="0" w:color="auto"/>
            </w:tcBorders>
            <w:vAlign w:val="center"/>
          </w:tcPr>
          <w:p w14:paraId="30F81CB5" w14:textId="5B99F987" w:rsidR="00B361EF" w:rsidRPr="00140536" w:rsidRDefault="00B361EF" w:rsidP="008318CD">
            <w:pPr>
              <w:spacing w:after="0" w:line="259" w:lineRule="auto"/>
              <w:ind w:left="0" w:right="44" w:firstLine="0"/>
              <w:jc w:val="center"/>
              <w:rPr>
                <w:rFonts w:eastAsia="Segoe UI Symbol"/>
                <w:sz w:val="18"/>
              </w:rPr>
            </w:pPr>
            <w:r w:rsidRPr="00140536">
              <w:rPr>
                <w:rFonts w:eastAsia="Segoe UI Symbol"/>
                <w:sz w:val="18"/>
              </w:rPr>
              <w:t>u</w:t>
            </w:r>
            <w:r w:rsidRPr="000376D7">
              <w:rPr>
                <w:sz w:val="18"/>
              </w:rPr>
              <w:t>g/L</w:t>
            </w:r>
          </w:p>
        </w:tc>
        <w:tc>
          <w:tcPr>
            <w:tcW w:w="900" w:type="dxa"/>
            <w:tcBorders>
              <w:top w:val="single" w:sz="4" w:space="0" w:color="000000"/>
              <w:left w:val="single" w:sz="12" w:space="0" w:color="auto"/>
              <w:bottom w:val="single" w:sz="4" w:space="0" w:color="000000"/>
              <w:right w:val="single" w:sz="12" w:space="0" w:color="000000"/>
            </w:tcBorders>
            <w:vAlign w:val="center"/>
          </w:tcPr>
          <w:p w14:paraId="39721EB3" w14:textId="47DF5B67" w:rsidR="00B361EF" w:rsidRDefault="00B361EF" w:rsidP="008318CD">
            <w:pPr>
              <w:tabs>
                <w:tab w:val="center" w:pos="354"/>
              </w:tabs>
              <w:spacing w:after="0" w:line="259" w:lineRule="auto"/>
              <w:ind w:left="0" w:right="0" w:firstLine="0"/>
              <w:jc w:val="center"/>
              <w:rPr>
                <w:sz w:val="18"/>
              </w:rPr>
            </w:pPr>
            <w:r>
              <w:rPr>
                <w:sz w:val="18"/>
              </w:rPr>
              <w:t>5</w:t>
            </w:r>
          </w:p>
        </w:tc>
        <w:tc>
          <w:tcPr>
            <w:tcW w:w="1092" w:type="dxa"/>
            <w:tcBorders>
              <w:top w:val="single" w:sz="4" w:space="0" w:color="000000"/>
              <w:left w:val="single" w:sz="12" w:space="0" w:color="000000"/>
              <w:bottom w:val="single" w:sz="4" w:space="0" w:color="000000"/>
              <w:right w:val="single" w:sz="12" w:space="0" w:color="000000"/>
            </w:tcBorders>
            <w:vAlign w:val="center"/>
          </w:tcPr>
          <w:p w14:paraId="6A1095C9" w14:textId="5EC24C7E" w:rsidR="00B361EF" w:rsidRDefault="00B361EF" w:rsidP="008318CD">
            <w:pPr>
              <w:spacing w:after="0" w:line="259" w:lineRule="auto"/>
              <w:ind w:left="0" w:right="46" w:firstLine="0"/>
              <w:jc w:val="center"/>
              <w:rPr>
                <w:rFonts w:eastAsia="Segoe UI Symbol"/>
                <w:sz w:val="18"/>
              </w:rPr>
            </w:pPr>
            <w:r>
              <w:rPr>
                <w:rFonts w:eastAsia="Segoe UI Symbol"/>
                <w:sz w:val="18"/>
              </w:rPr>
              <w:t>u</w:t>
            </w:r>
            <w:r>
              <w:rPr>
                <w:sz w:val="18"/>
              </w:rPr>
              <w:t>g/kg</w:t>
            </w:r>
          </w:p>
        </w:tc>
        <w:tc>
          <w:tcPr>
            <w:tcW w:w="1217" w:type="dxa"/>
            <w:tcBorders>
              <w:top w:val="single" w:sz="4" w:space="0" w:color="000000"/>
              <w:left w:val="single" w:sz="12" w:space="0" w:color="000000"/>
              <w:bottom w:val="single" w:sz="4" w:space="0" w:color="000000"/>
              <w:right w:val="single" w:sz="12" w:space="0" w:color="000000"/>
            </w:tcBorders>
            <w:vAlign w:val="center"/>
          </w:tcPr>
          <w:p w14:paraId="194F3B47" w14:textId="3D06A7B4" w:rsidR="00B361EF" w:rsidRDefault="00B361EF" w:rsidP="008318CD">
            <w:pPr>
              <w:spacing w:after="0" w:line="259" w:lineRule="auto"/>
              <w:ind w:left="0" w:right="45" w:firstLine="0"/>
              <w:jc w:val="center"/>
              <w:rPr>
                <w:b/>
                <w:sz w:val="18"/>
              </w:rPr>
            </w:pPr>
            <w:r>
              <w:rPr>
                <w:b/>
                <w:sz w:val="18"/>
              </w:rPr>
              <w:t>8260</w:t>
            </w:r>
          </w:p>
        </w:tc>
        <w:tc>
          <w:tcPr>
            <w:tcW w:w="1080" w:type="dxa"/>
            <w:tcBorders>
              <w:top w:val="single" w:sz="4" w:space="0" w:color="000000"/>
              <w:left w:val="single" w:sz="12" w:space="0" w:color="000000"/>
              <w:bottom w:val="single" w:sz="4" w:space="0" w:color="000000"/>
              <w:right w:val="single" w:sz="12" w:space="0" w:color="000000"/>
            </w:tcBorders>
            <w:vAlign w:val="center"/>
          </w:tcPr>
          <w:p w14:paraId="0FA1E4EB" w14:textId="435C814D" w:rsidR="00B361EF" w:rsidRDefault="00B361EF" w:rsidP="008318CD">
            <w:pPr>
              <w:spacing w:after="0" w:line="259" w:lineRule="auto"/>
              <w:ind w:left="0" w:right="48" w:firstLine="0"/>
              <w:jc w:val="center"/>
              <w:rPr>
                <w:sz w:val="18"/>
              </w:rPr>
            </w:pPr>
            <w:r>
              <w:rPr>
                <w:sz w:val="18"/>
              </w:rPr>
              <w:t>8021</w:t>
            </w:r>
          </w:p>
        </w:tc>
      </w:tr>
      <w:tr w:rsidR="00B361EF" w14:paraId="4CCE631E" w14:textId="77777777" w:rsidTr="00B1604E">
        <w:trPr>
          <w:trHeight w:val="262"/>
        </w:trPr>
        <w:tc>
          <w:tcPr>
            <w:tcW w:w="3256" w:type="dxa"/>
            <w:tcBorders>
              <w:top w:val="single" w:sz="4" w:space="0" w:color="000000"/>
              <w:left w:val="single" w:sz="12" w:space="0" w:color="000000"/>
              <w:bottom w:val="single" w:sz="4" w:space="0" w:color="000000"/>
              <w:right w:val="single" w:sz="12" w:space="0" w:color="000000"/>
            </w:tcBorders>
            <w:vAlign w:val="center"/>
          </w:tcPr>
          <w:p w14:paraId="77027EFB" w14:textId="24BD5030" w:rsidR="00B361EF" w:rsidRDefault="00B361EF" w:rsidP="008318CD">
            <w:pPr>
              <w:spacing w:after="0" w:line="259" w:lineRule="auto"/>
              <w:ind w:left="0" w:right="0" w:firstLine="0"/>
              <w:rPr>
                <w:sz w:val="18"/>
              </w:rPr>
            </w:pPr>
            <w:r>
              <w:rPr>
                <w:sz w:val="18"/>
              </w:rPr>
              <w:t xml:space="preserve">Trichlorofluoromethane </w:t>
            </w:r>
          </w:p>
        </w:tc>
        <w:tc>
          <w:tcPr>
            <w:tcW w:w="1082" w:type="dxa"/>
            <w:tcBorders>
              <w:top w:val="single" w:sz="4" w:space="0" w:color="000000"/>
              <w:left w:val="single" w:sz="12" w:space="0" w:color="000000"/>
              <w:bottom w:val="single" w:sz="4" w:space="0" w:color="000000"/>
              <w:right w:val="single" w:sz="12" w:space="0" w:color="000000"/>
            </w:tcBorders>
            <w:vAlign w:val="center"/>
          </w:tcPr>
          <w:p w14:paraId="35CE69FB" w14:textId="4ED949CD" w:rsidR="00B361EF" w:rsidRDefault="00B361EF" w:rsidP="008318CD">
            <w:pPr>
              <w:spacing w:after="0" w:line="259" w:lineRule="auto"/>
              <w:ind w:left="0" w:right="44" w:firstLine="0"/>
              <w:jc w:val="center"/>
              <w:rPr>
                <w:sz w:val="18"/>
              </w:rPr>
            </w:pPr>
            <w:r>
              <w:rPr>
                <w:sz w:val="18"/>
              </w:rPr>
              <w:t>75-69-4</w:t>
            </w:r>
          </w:p>
        </w:tc>
        <w:tc>
          <w:tcPr>
            <w:tcW w:w="1001" w:type="dxa"/>
            <w:tcBorders>
              <w:top w:val="single" w:sz="4" w:space="0" w:color="000000"/>
              <w:left w:val="single" w:sz="12" w:space="0" w:color="000000"/>
              <w:bottom w:val="single" w:sz="4" w:space="0" w:color="000000"/>
              <w:right w:val="single" w:sz="12" w:space="0" w:color="000000"/>
            </w:tcBorders>
            <w:vAlign w:val="center"/>
          </w:tcPr>
          <w:p w14:paraId="4AC49355" w14:textId="37002C9D" w:rsidR="00B361EF" w:rsidRDefault="00B361EF" w:rsidP="008318CD">
            <w:pPr>
              <w:tabs>
                <w:tab w:val="center" w:pos="534"/>
              </w:tabs>
              <w:spacing w:after="0" w:line="259" w:lineRule="auto"/>
              <w:ind w:left="0" w:right="0" w:firstLine="0"/>
              <w:jc w:val="center"/>
              <w:rPr>
                <w:b/>
                <w:sz w:val="18"/>
              </w:rPr>
            </w:pPr>
            <w:r>
              <w:rPr>
                <w:sz w:val="18"/>
              </w:rPr>
              <w:t>2</w:t>
            </w:r>
          </w:p>
        </w:tc>
        <w:tc>
          <w:tcPr>
            <w:tcW w:w="992" w:type="dxa"/>
            <w:tcBorders>
              <w:top w:val="single" w:sz="4" w:space="0" w:color="000000"/>
              <w:left w:val="single" w:sz="12" w:space="0" w:color="000000"/>
              <w:bottom w:val="single" w:sz="4" w:space="0" w:color="000000"/>
              <w:right w:val="single" w:sz="12" w:space="0" w:color="auto"/>
            </w:tcBorders>
            <w:vAlign w:val="center"/>
          </w:tcPr>
          <w:p w14:paraId="7254F2DA" w14:textId="00F12DB8" w:rsidR="00B361EF" w:rsidRPr="00140536" w:rsidRDefault="00B361EF" w:rsidP="008318CD">
            <w:pPr>
              <w:spacing w:after="0" w:line="259" w:lineRule="auto"/>
              <w:ind w:left="0" w:right="44" w:firstLine="0"/>
              <w:jc w:val="center"/>
              <w:rPr>
                <w:rFonts w:eastAsia="Segoe UI Symbol"/>
                <w:sz w:val="18"/>
              </w:rPr>
            </w:pPr>
            <w:r w:rsidRPr="00140536">
              <w:rPr>
                <w:rFonts w:eastAsia="Segoe UI Symbol"/>
                <w:sz w:val="18"/>
              </w:rPr>
              <w:t>u</w:t>
            </w:r>
            <w:r w:rsidRPr="000376D7">
              <w:rPr>
                <w:sz w:val="18"/>
              </w:rPr>
              <w:t>g/L</w:t>
            </w:r>
          </w:p>
        </w:tc>
        <w:tc>
          <w:tcPr>
            <w:tcW w:w="900" w:type="dxa"/>
            <w:tcBorders>
              <w:top w:val="single" w:sz="4" w:space="0" w:color="000000"/>
              <w:left w:val="single" w:sz="12" w:space="0" w:color="auto"/>
              <w:bottom w:val="single" w:sz="4" w:space="0" w:color="000000"/>
              <w:right w:val="single" w:sz="12" w:space="0" w:color="000000"/>
            </w:tcBorders>
            <w:vAlign w:val="center"/>
          </w:tcPr>
          <w:p w14:paraId="3FF58045" w14:textId="7FDC7F36" w:rsidR="00B361EF" w:rsidRDefault="00B361EF" w:rsidP="008318CD">
            <w:pPr>
              <w:tabs>
                <w:tab w:val="center" w:pos="354"/>
              </w:tabs>
              <w:spacing w:after="0" w:line="259" w:lineRule="auto"/>
              <w:ind w:left="0" w:right="0" w:firstLine="0"/>
              <w:jc w:val="center"/>
              <w:rPr>
                <w:sz w:val="18"/>
              </w:rPr>
            </w:pPr>
            <w:r>
              <w:rPr>
                <w:sz w:val="18"/>
              </w:rPr>
              <w:t>10</w:t>
            </w:r>
          </w:p>
        </w:tc>
        <w:tc>
          <w:tcPr>
            <w:tcW w:w="1092" w:type="dxa"/>
            <w:tcBorders>
              <w:top w:val="single" w:sz="4" w:space="0" w:color="000000"/>
              <w:left w:val="single" w:sz="12" w:space="0" w:color="000000"/>
              <w:bottom w:val="single" w:sz="4" w:space="0" w:color="000000"/>
              <w:right w:val="single" w:sz="12" w:space="0" w:color="000000"/>
            </w:tcBorders>
            <w:vAlign w:val="center"/>
          </w:tcPr>
          <w:p w14:paraId="4846A045" w14:textId="3F73A311" w:rsidR="00B361EF" w:rsidRDefault="00B361EF" w:rsidP="008318CD">
            <w:pPr>
              <w:spacing w:after="0" w:line="259" w:lineRule="auto"/>
              <w:ind w:left="0" w:right="46" w:firstLine="0"/>
              <w:jc w:val="center"/>
              <w:rPr>
                <w:rFonts w:eastAsia="Segoe UI Symbol"/>
                <w:sz w:val="18"/>
              </w:rPr>
            </w:pPr>
            <w:r>
              <w:rPr>
                <w:rFonts w:eastAsia="Segoe UI Symbol"/>
                <w:sz w:val="18"/>
              </w:rPr>
              <w:t>u</w:t>
            </w:r>
            <w:r>
              <w:rPr>
                <w:sz w:val="18"/>
              </w:rPr>
              <w:t>g/kg</w:t>
            </w:r>
          </w:p>
        </w:tc>
        <w:tc>
          <w:tcPr>
            <w:tcW w:w="1217" w:type="dxa"/>
            <w:tcBorders>
              <w:top w:val="single" w:sz="4" w:space="0" w:color="000000"/>
              <w:left w:val="single" w:sz="12" w:space="0" w:color="000000"/>
              <w:bottom w:val="single" w:sz="4" w:space="0" w:color="000000"/>
              <w:right w:val="single" w:sz="12" w:space="0" w:color="000000"/>
            </w:tcBorders>
            <w:vAlign w:val="center"/>
          </w:tcPr>
          <w:p w14:paraId="587F62AA" w14:textId="524397FF" w:rsidR="00B361EF" w:rsidRDefault="00B361EF" w:rsidP="008318CD">
            <w:pPr>
              <w:spacing w:after="0" w:line="259" w:lineRule="auto"/>
              <w:ind w:left="0" w:right="45" w:firstLine="0"/>
              <w:jc w:val="center"/>
              <w:rPr>
                <w:b/>
                <w:sz w:val="18"/>
              </w:rPr>
            </w:pPr>
            <w:r>
              <w:rPr>
                <w:b/>
                <w:sz w:val="18"/>
              </w:rPr>
              <w:t>8260</w:t>
            </w:r>
          </w:p>
        </w:tc>
        <w:tc>
          <w:tcPr>
            <w:tcW w:w="1080" w:type="dxa"/>
            <w:tcBorders>
              <w:top w:val="single" w:sz="4" w:space="0" w:color="000000"/>
              <w:left w:val="single" w:sz="12" w:space="0" w:color="000000"/>
              <w:bottom w:val="single" w:sz="4" w:space="0" w:color="000000"/>
              <w:right w:val="single" w:sz="12" w:space="0" w:color="000000"/>
            </w:tcBorders>
            <w:vAlign w:val="center"/>
          </w:tcPr>
          <w:p w14:paraId="29F8E74E" w14:textId="062AE842" w:rsidR="00B361EF" w:rsidRDefault="00B361EF" w:rsidP="008318CD">
            <w:pPr>
              <w:spacing w:after="0" w:line="259" w:lineRule="auto"/>
              <w:ind w:left="0" w:right="48" w:firstLine="0"/>
              <w:jc w:val="center"/>
              <w:rPr>
                <w:sz w:val="18"/>
              </w:rPr>
            </w:pPr>
            <w:r>
              <w:rPr>
                <w:sz w:val="18"/>
              </w:rPr>
              <w:t>8021</w:t>
            </w:r>
          </w:p>
        </w:tc>
      </w:tr>
      <w:tr w:rsidR="00B361EF" w14:paraId="573D193B" w14:textId="77777777" w:rsidTr="00B1604E">
        <w:trPr>
          <w:trHeight w:val="262"/>
        </w:trPr>
        <w:tc>
          <w:tcPr>
            <w:tcW w:w="3256" w:type="dxa"/>
            <w:tcBorders>
              <w:top w:val="single" w:sz="4" w:space="0" w:color="000000"/>
              <w:left w:val="single" w:sz="12" w:space="0" w:color="000000"/>
              <w:bottom w:val="single" w:sz="4" w:space="0" w:color="000000"/>
              <w:right w:val="single" w:sz="12" w:space="0" w:color="000000"/>
            </w:tcBorders>
            <w:vAlign w:val="center"/>
          </w:tcPr>
          <w:p w14:paraId="5D3215D6" w14:textId="5DFDD4BB" w:rsidR="00B361EF" w:rsidRDefault="00B361EF" w:rsidP="008318CD">
            <w:pPr>
              <w:spacing w:after="0" w:line="259" w:lineRule="auto"/>
              <w:ind w:left="0" w:right="0" w:firstLine="0"/>
              <w:rPr>
                <w:sz w:val="18"/>
              </w:rPr>
            </w:pPr>
            <w:r>
              <w:rPr>
                <w:sz w:val="18"/>
              </w:rPr>
              <w:t xml:space="preserve">1,2,4 Trimethylbenzene </w:t>
            </w:r>
          </w:p>
        </w:tc>
        <w:tc>
          <w:tcPr>
            <w:tcW w:w="1082" w:type="dxa"/>
            <w:tcBorders>
              <w:top w:val="single" w:sz="4" w:space="0" w:color="000000"/>
              <w:left w:val="single" w:sz="12" w:space="0" w:color="000000"/>
              <w:bottom w:val="single" w:sz="4" w:space="0" w:color="000000"/>
              <w:right w:val="single" w:sz="12" w:space="0" w:color="000000"/>
            </w:tcBorders>
            <w:vAlign w:val="center"/>
          </w:tcPr>
          <w:p w14:paraId="657C9712" w14:textId="371CDE8E" w:rsidR="00B361EF" w:rsidRDefault="00B361EF" w:rsidP="008318CD">
            <w:pPr>
              <w:spacing w:after="0" w:line="259" w:lineRule="auto"/>
              <w:ind w:left="0" w:right="44" w:firstLine="0"/>
              <w:jc w:val="center"/>
              <w:rPr>
                <w:sz w:val="18"/>
              </w:rPr>
            </w:pPr>
            <w:r>
              <w:rPr>
                <w:sz w:val="18"/>
              </w:rPr>
              <w:t>95-63-6</w:t>
            </w:r>
          </w:p>
        </w:tc>
        <w:tc>
          <w:tcPr>
            <w:tcW w:w="1001" w:type="dxa"/>
            <w:tcBorders>
              <w:top w:val="single" w:sz="4" w:space="0" w:color="000000"/>
              <w:left w:val="single" w:sz="12" w:space="0" w:color="000000"/>
              <w:bottom w:val="single" w:sz="4" w:space="0" w:color="000000"/>
              <w:right w:val="single" w:sz="12" w:space="0" w:color="000000"/>
            </w:tcBorders>
            <w:vAlign w:val="center"/>
          </w:tcPr>
          <w:p w14:paraId="77BC6FB1" w14:textId="6CC6BCBB" w:rsidR="00B361EF" w:rsidRDefault="00B361EF" w:rsidP="008318CD">
            <w:pPr>
              <w:tabs>
                <w:tab w:val="center" w:pos="534"/>
              </w:tabs>
              <w:spacing w:after="0" w:line="259" w:lineRule="auto"/>
              <w:ind w:left="0" w:right="0" w:firstLine="0"/>
              <w:jc w:val="center"/>
              <w:rPr>
                <w:sz w:val="18"/>
              </w:rPr>
            </w:pPr>
            <w:r>
              <w:rPr>
                <w:sz w:val="18"/>
              </w:rPr>
              <w:t>1</w:t>
            </w:r>
          </w:p>
        </w:tc>
        <w:tc>
          <w:tcPr>
            <w:tcW w:w="992" w:type="dxa"/>
            <w:tcBorders>
              <w:top w:val="single" w:sz="4" w:space="0" w:color="000000"/>
              <w:left w:val="single" w:sz="12" w:space="0" w:color="000000"/>
              <w:bottom w:val="single" w:sz="4" w:space="0" w:color="000000"/>
              <w:right w:val="single" w:sz="12" w:space="0" w:color="auto"/>
            </w:tcBorders>
            <w:vAlign w:val="center"/>
          </w:tcPr>
          <w:p w14:paraId="1315D78F" w14:textId="6992B85D" w:rsidR="00B361EF" w:rsidRPr="00140536" w:rsidRDefault="00B361EF" w:rsidP="008318CD">
            <w:pPr>
              <w:spacing w:after="0" w:line="259" w:lineRule="auto"/>
              <w:ind w:left="0" w:right="44" w:firstLine="0"/>
              <w:jc w:val="center"/>
              <w:rPr>
                <w:rFonts w:eastAsia="Segoe UI Symbol"/>
                <w:sz w:val="18"/>
              </w:rPr>
            </w:pPr>
            <w:r w:rsidRPr="00140536">
              <w:rPr>
                <w:rFonts w:eastAsia="Segoe UI Symbol"/>
                <w:sz w:val="18"/>
              </w:rPr>
              <w:t>u</w:t>
            </w:r>
            <w:r w:rsidRPr="000376D7">
              <w:rPr>
                <w:sz w:val="18"/>
              </w:rPr>
              <w:t>g/L</w:t>
            </w:r>
          </w:p>
        </w:tc>
        <w:tc>
          <w:tcPr>
            <w:tcW w:w="900" w:type="dxa"/>
            <w:tcBorders>
              <w:top w:val="single" w:sz="4" w:space="0" w:color="000000"/>
              <w:left w:val="single" w:sz="12" w:space="0" w:color="auto"/>
              <w:bottom w:val="single" w:sz="4" w:space="0" w:color="000000"/>
              <w:right w:val="single" w:sz="12" w:space="0" w:color="000000"/>
            </w:tcBorders>
            <w:vAlign w:val="center"/>
          </w:tcPr>
          <w:p w14:paraId="47FB3EF9" w14:textId="725175E0" w:rsidR="00B361EF" w:rsidRDefault="00B361EF" w:rsidP="008318CD">
            <w:pPr>
              <w:tabs>
                <w:tab w:val="center" w:pos="354"/>
              </w:tabs>
              <w:spacing w:after="0" w:line="259" w:lineRule="auto"/>
              <w:ind w:left="0" w:right="0" w:firstLine="0"/>
              <w:jc w:val="center"/>
              <w:rPr>
                <w:sz w:val="18"/>
              </w:rPr>
            </w:pPr>
            <w:r>
              <w:rPr>
                <w:sz w:val="18"/>
              </w:rPr>
              <w:t>5</w:t>
            </w:r>
          </w:p>
        </w:tc>
        <w:tc>
          <w:tcPr>
            <w:tcW w:w="1092" w:type="dxa"/>
            <w:tcBorders>
              <w:top w:val="single" w:sz="4" w:space="0" w:color="000000"/>
              <w:left w:val="single" w:sz="12" w:space="0" w:color="000000"/>
              <w:bottom w:val="single" w:sz="4" w:space="0" w:color="000000"/>
              <w:right w:val="single" w:sz="12" w:space="0" w:color="000000"/>
            </w:tcBorders>
            <w:vAlign w:val="center"/>
          </w:tcPr>
          <w:p w14:paraId="0CABAEE0" w14:textId="3CB7AC44" w:rsidR="00B361EF" w:rsidRDefault="00B361EF" w:rsidP="008318CD">
            <w:pPr>
              <w:spacing w:after="0" w:line="259" w:lineRule="auto"/>
              <w:ind w:left="0" w:right="46" w:firstLine="0"/>
              <w:jc w:val="center"/>
              <w:rPr>
                <w:rFonts w:eastAsia="Segoe UI Symbol"/>
                <w:sz w:val="18"/>
              </w:rPr>
            </w:pPr>
            <w:r>
              <w:rPr>
                <w:rFonts w:eastAsia="Segoe UI Symbol"/>
                <w:sz w:val="18"/>
              </w:rPr>
              <w:t>u</w:t>
            </w:r>
            <w:r>
              <w:rPr>
                <w:sz w:val="18"/>
              </w:rPr>
              <w:t>g/kg</w:t>
            </w:r>
          </w:p>
        </w:tc>
        <w:tc>
          <w:tcPr>
            <w:tcW w:w="1217" w:type="dxa"/>
            <w:tcBorders>
              <w:top w:val="single" w:sz="4" w:space="0" w:color="000000"/>
              <w:left w:val="single" w:sz="12" w:space="0" w:color="000000"/>
              <w:bottom w:val="single" w:sz="4" w:space="0" w:color="000000"/>
              <w:right w:val="single" w:sz="12" w:space="0" w:color="000000"/>
            </w:tcBorders>
            <w:vAlign w:val="center"/>
          </w:tcPr>
          <w:p w14:paraId="316087BD" w14:textId="6D58766E" w:rsidR="00B361EF" w:rsidRDefault="00B361EF" w:rsidP="008318CD">
            <w:pPr>
              <w:spacing w:after="0" w:line="259" w:lineRule="auto"/>
              <w:ind w:left="0" w:right="45" w:firstLine="0"/>
              <w:jc w:val="center"/>
              <w:rPr>
                <w:b/>
                <w:sz w:val="18"/>
              </w:rPr>
            </w:pPr>
            <w:r>
              <w:rPr>
                <w:b/>
                <w:sz w:val="18"/>
              </w:rPr>
              <w:t>8260</w:t>
            </w:r>
          </w:p>
        </w:tc>
        <w:tc>
          <w:tcPr>
            <w:tcW w:w="1080" w:type="dxa"/>
            <w:tcBorders>
              <w:top w:val="single" w:sz="4" w:space="0" w:color="000000"/>
              <w:left w:val="single" w:sz="12" w:space="0" w:color="000000"/>
              <w:bottom w:val="single" w:sz="4" w:space="0" w:color="000000"/>
              <w:right w:val="single" w:sz="12" w:space="0" w:color="000000"/>
            </w:tcBorders>
            <w:vAlign w:val="center"/>
          </w:tcPr>
          <w:p w14:paraId="5F44389F" w14:textId="75C44FF8" w:rsidR="00B361EF" w:rsidRDefault="00B361EF" w:rsidP="008318CD">
            <w:pPr>
              <w:spacing w:after="0" w:line="259" w:lineRule="auto"/>
              <w:ind w:left="0" w:right="48" w:firstLine="0"/>
              <w:jc w:val="center"/>
              <w:rPr>
                <w:sz w:val="18"/>
              </w:rPr>
            </w:pPr>
          </w:p>
        </w:tc>
      </w:tr>
      <w:tr w:rsidR="00B361EF" w14:paraId="6E887057" w14:textId="77777777" w:rsidTr="00B1604E">
        <w:trPr>
          <w:trHeight w:val="262"/>
        </w:trPr>
        <w:tc>
          <w:tcPr>
            <w:tcW w:w="3256" w:type="dxa"/>
            <w:tcBorders>
              <w:top w:val="single" w:sz="4" w:space="0" w:color="000000"/>
              <w:left w:val="single" w:sz="12" w:space="0" w:color="000000"/>
              <w:bottom w:val="single" w:sz="4" w:space="0" w:color="000000"/>
              <w:right w:val="single" w:sz="12" w:space="0" w:color="000000"/>
            </w:tcBorders>
            <w:vAlign w:val="center"/>
          </w:tcPr>
          <w:p w14:paraId="7F1E7A8D" w14:textId="034A9BEA" w:rsidR="00B361EF" w:rsidRDefault="00B361EF" w:rsidP="008318CD">
            <w:pPr>
              <w:spacing w:after="0" w:line="259" w:lineRule="auto"/>
              <w:ind w:left="0" w:right="0" w:firstLine="0"/>
              <w:rPr>
                <w:sz w:val="18"/>
              </w:rPr>
            </w:pPr>
            <w:r>
              <w:rPr>
                <w:sz w:val="18"/>
              </w:rPr>
              <w:t xml:space="preserve">1,3,5 Trimethylbenzene </w:t>
            </w:r>
          </w:p>
        </w:tc>
        <w:tc>
          <w:tcPr>
            <w:tcW w:w="1082" w:type="dxa"/>
            <w:tcBorders>
              <w:top w:val="single" w:sz="4" w:space="0" w:color="000000"/>
              <w:left w:val="single" w:sz="12" w:space="0" w:color="000000"/>
              <w:bottom w:val="single" w:sz="4" w:space="0" w:color="000000"/>
              <w:right w:val="single" w:sz="12" w:space="0" w:color="000000"/>
            </w:tcBorders>
            <w:vAlign w:val="center"/>
          </w:tcPr>
          <w:p w14:paraId="4F5060EB" w14:textId="073CE099" w:rsidR="00B361EF" w:rsidRDefault="00B361EF" w:rsidP="008318CD">
            <w:pPr>
              <w:spacing w:after="0" w:line="259" w:lineRule="auto"/>
              <w:ind w:left="0" w:right="44" w:firstLine="0"/>
              <w:jc w:val="center"/>
              <w:rPr>
                <w:sz w:val="18"/>
              </w:rPr>
            </w:pPr>
            <w:r>
              <w:rPr>
                <w:sz w:val="18"/>
              </w:rPr>
              <w:t>108-67-8</w:t>
            </w:r>
          </w:p>
        </w:tc>
        <w:tc>
          <w:tcPr>
            <w:tcW w:w="1001" w:type="dxa"/>
            <w:tcBorders>
              <w:top w:val="single" w:sz="4" w:space="0" w:color="000000"/>
              <w:left w:val="single" w:sz="12" w:space="0" w:color="000000"/>
              <w:bottom w:val="single" w:sz="4" w:space="0" w:color="000000"/>
              <w:right w:val="single" w:sz="12" w:space="0" w:color="000000"/>
            </w:tcBorders>
            <w:vAlign w:val="center"/>
          </w:tcPr>
          <w:p w14:paraId="59A2EE36" w14:textId="63603907" w:rsidR="00B361EF" w:rsidRDefault="00B361EF" w:rsidP="008318CD">
            <w:pPr>
              <w:tabs>
                <w:tab w:val="center" w:pos="534"/>
              </w:tabs>
              <w:spacing w:after="0" w:line="259" w:lineRule="auto"/>
              <w:ind w:left="0" w:right="0" w:firstLine="0"/>
              <w:jc w:val="center"/>
              <w:rPr>
                <w:sz w:val="18"/>
              </w:rPr>
            </w:pPr>
            <w:r>
              <w:rPr>
                <w:sz w:val="18"/>
              </w:rPr>
              <w:t>1</w:t>
            </w:r>
          </w:p>
        </w:tc>
        <w:tc>
          <w:tcPr>
            <w:tcW w:w="992" w:type="dxa"/>
            <w:tcBorders>
              <w:top w:val="single" w:sz="4" w:space="0" w:color="000000"/>
              <w:left w:val="single" w:sz="12" w:space="0" w:color="000000"/>
              <w:bottom w:val="single" w:sz="4" w:space="0" w:color="000000"/>
              <w:right w:val="single" w:sz="12" w:space="0" w:color="auto"/>
            </w:tcBorders>
            <w:vAlign w:val="center"/>
          </w:tcPr>
          <w:p w14:paraId="5A997B76" w14:textId="4580F8AA" w:rsidR="00B361EF" w:rsidRPr="00140536" w:rsidRDefault="00B361EF" w:rsidP="008318CD">
            <w:pPr>
              <w:spacing w:after="0" w:line="259" w:lineRule="auto"/>
              <w:ind w:left="0" w:right="44" w:firstLine="0"/>
              <w:jc w:val="center"/>
              <w:rPr>
                <w:rFonts w:eastAsia="Segoe UI Symbol"/>
                <w:sz w:val="18"/>
              </w:rPr>
            </w:pPr>
            <w:r w:rsidRPr="00140536">
              <w:rPr>
                <w:rFonts w:eastAsia="Segoe UI Symbol"/>
                <w:sz w:val="18"/>
              </w:rPr>
              <w:t>u</w:t>
            </w:r>
            <w:r w:rsidRPr="000376D7">
              <w:rPr>
                <w:sz w:val="18"/>
              </w:rPr>
              <w:t>g/L</w:t>
            </w:r>
          </w:p>
        </w:tc>
        <w:tc>
          <w:tcPr>
            <w:tcW w:w="900" w:type="dxa"/>
            <w:tcBorders>
              <w:top w:val="single" w:sz="4" w:space="0" w:color="000000"/>
              <w:left w:val="single" w:sz="12" w:space="0" w:color="auto"/>
              <w:bottom w:val="single" w:sz="4" w:space="0" w:color="000000"/>
              <w:right w:val="single" w:sz="12" w:space="0" w:color="000000"/>
            </w:tcBorders>
            <w:vAlign w:val="center"/>
          </w:tcPr>
          <w:p w14:paraId="4D2242A5" w14:textId="193B15C4" w:rsidR="00B361EF" w:rsidRDefault="00B361EF" w:rsidP="008318CD">
            <w:pPr>
              <w:tabs>
                <w:tab w:val="center" w:pos="354"/>
              </w:tabs>
              <w:spacing w:after="0" w:line="259" w:lineRule="auto"/>
              <w:ind w:left="0" w:right="0" w:firstLine="0"/>
              <w:jc w:val="center"/>
              <w:rPr>
                <w:sz w:val="18"/>
              </w:rPr>
            </w:pPr>
            <w:r>
              <w:rPr>
                <w:sz w:val="18"/>
              </w:rPr>
              <w:t>5</w:t>
            </w:r>
          </w:p>
        </w:tc>
        <w:tc>
          <w:tcPr>
            <w:tcW w:w="1092" w:type="dxa"/>
            <w:tcBorders>
              <w:top w:val="single" w:sz="4" w:space="0" w:color="000000"/>
              <w:left w:val="single" w:sz="12" w:space="0" w:color="000000"/>
              <w:bottom w:val="single" w:sz="4" w:space="0" w:color="000000"/>
              <w:right w:val="single" w:sz="12" w:space="0" w:color="000000"/>
            </w:tcBorders>
            <w:vAlign w:val="center"/>
          </w:tcPr>
          <w:p w14:paraId="3663998C" w14:textId="7FD07C9A" w:rsidR="00B361EF" w:rsidRDefault="00B361EF" w:rsidP="008318CD">
            <w:pPr>
              <w:spacing w:after="0" w:line="259" w:lineRule="auto"/>
              <w:ind w:left="0" w:right="46" w:firstLine="0"/>
              <w:jc w:val="center"/>
              <w:rPr>
                <w:rFonts w:eastAsia="Segoe UI Symbol"/>
                <w:sz w:val="18"/>
              </w:rPr>
            </w:pPr>
            <w:r>
              <w:rPr>
                <w:rFonts w:eastAsia="Segoe UI Symbol"/>
                <w:sz w:val="18"/>
              </w:rPr>
              <w:t>u</w:t>
            </w:r>
            <w:r>
              <w:rPr>
                <w:sz w:val="18"/>
              </w:rPr>
              <w:t>g/kg</w:t>
            </w:r>
          </w:p>
        </w:tc>
        <w:tc>
          <w:tcPr>
            <w:tcW w:w="1217" w:type="dxa"/>
            <w:tcBorders>
              <w:top w:val="single" w:sz="4" w:space="0" w:color="000000"/>
              <w:left w:val="single" w:sz="12" w:space="0" w:color="000000"/>
              <w:bottom w:val="single" w:sz="4" w:space="0" w:color="000000"/>
              <w:right w:val="single" w:sz="12" w:space="0" w:color="000000"/>
            </w:tcBorders>
            <w:vAlign w:val="center"/>
          </w:tcPr>
          <w:p w14:paraId="26064F07" w14:textId="7C4920E5" w:rsidR="00B361EF" w:rsidRDefault="00B361EF" w:rsidP="008318CD">
            <w:pPr>
              <w:spacing w:after="0" w:line="259" w:lineRule="auto"/>
              <w:ind w:left="0" w:right="45" w:firstLine="0"/>
              <w:jc w:val="center"/>
              <w:rPr>
                <w:b/>
                <w:sz w:val="18"/>
              </w:rPr>
            </w:pPr>
            <w:r>
              <w:rPr>
                <w:b/>
                <w:sz w:val="18"/>
              </w:rPr>
              <w:t>8260</w:t>
            </w:r>
          </w:p>
        </w:tc>
        <w:tc>
          <w:tcPr>
            <w:tcW w:w="1080" w:type="dxa"/>
            <w:tcBorders>
              <w:top w:val="single" w:sz="4" w:space="0" w:color="000000"/>
              <w:left w:val="single" w:sz="12" w:space="0" w:color="000000"/>
              <w:bottom w:val="single" w:sz="4" w:space="0" w:color="000000"/>
              <w:right w:val="single" w:sz="12" w:space="0" w:color="000000"/>
            </w:tcBorders>
            <w:vAlign w:val="center"/>
          </w:tcPr>
          <w:p w14:paraId="5B1277BD" w14:textId="1C7FE243" w:rsidR="00B361EF" w:rsidRDefault="00B361EF" w:rsidP="008318CD">
            <w:pPr>
              <w:spacing w:after="0" w:line="259" w:lineRule="auto"/>
              <w:ind w:left="0" w:right="48" w:firstLine="0"/>
              <w:jc w:val="center"/>
              <w:rPr>
                <w:sz w:val="18"/>
              </w:rPr>
            </w:pPr>
          </w:p>
        </w:tc>
      </w:tr>
      <w:tr w:rsidR="00B361EF" w14:paraId="46F74B6E" w14:textId="77777777" w:rsidTr="00B1604E">
        <w:trPr>
          <w:trHeight w:val="262"/>
        </w:trPr>
        <w:tc>
          <w:tcPr>
            <w:tcW w:w="3256" w:type="dxa"/>
            <w:tcBorders>
              <w:top w:val="single" w:sz="4" w:space="0" w:color="000000"/>
              <w:left w:val="single" w:sz="12" w:space="0" w:color="000000"/>
              <w:bottom w:val="single" w:sz="4" w:space="0" w:color="000000"/>
              <w:right w:val="single" w:sz="12" w:space="0" w:color="000000"/>
            </w:tcBorders>
            <w:vAlign w:val="center"/>
          </w:tcPr>
          <w:p w14:paraId="3E48C06C" w14:textId="1815904F" w:rsidR="00B361EF" w:rsidRDefault="00B361EF" w:rsidP="008318CD">
            <w:pPr>
              <w:spacing w:after="0" w:line="259" w:lineRule="auto"/>
              <w:ind w:left="0" w:right="0" w:firstLine="0"/>
              <w:rPr>
                <w:sz w:val="18"/>
              </w:rPr>
            </w:pPr>
            <w:r>
              <w:rPr>
                <w:sz w:val="18"/>
              </w:rPr>
              <w:t xml:space="preserve">Vinyl acetate </w:t>
            </w:r>
          </w:p>
        </w:tc>
        <w:tc>
          <w:tcPr>
            <w:tcW w:w="1082" w:type="dxa"/>
            <w:tcBorders>
              <w:top w:val="single" w:sz="4" w:space="0" w:color="000000"/>
              <w:left w:val="single" w:sz="12" w:space="0" w:color="000000"/>
              <w:bottom w:val="single" w:sz="4" w:space="0" w:color="000000"/>
              <w:right w:val="single" w:sz="12" w:space="0" w:color="000000"/>
            </w:tcBorders>
            <w:vAlign w:val="center"/>
          </w:tcPr>
          <w:p w14:paraId="080AD25E" w14:textId="7117DB8F" w:rsidR="00B361EF" w:rsidRDefault="00B361EF" w:rsidP="008318CD">
            <w:pPr>
              <w:spacing w:after="0" w:line="259" w:lineRule="auto"/>
              <w:ind w:left="0" w:right="44" w:firstLine="0"/>
              <w:jc w:val="center"/>
              <w:rPr>
                <w:sz w:val="18"/>
              </w:rPr>
            </w:pPr>
            <w:r>
              <w:rPr>
                <w:sz w:val="18"/>
              </w:rPr>
              <w:t>108-05-4</w:t>
            </w:r>
          </w:p>
        </w:tc>
        <w:tc>
          <w:tcPr>
            <w:tcW w:w="1001" w:type="dxa"/>
            <w:tcBorders>
              <w:top w:val="single" w:sz="4" w:space="0" w:color="000000"/>
              <w:left w:val="single" w:sz="12" w:space="0" w:color="000000"/>
              <w:bottom w:val="single" w:sz="4" w:space="0" w:color="000000"/>
              <w:right w:val="single" w:sz="12" w:space="0" w:color="000000"/>
            </w:tcBorders>
            <w:vAlign w:val="center"/>
          </w:tcPr>
          <w:p w14:paraId="22351F8A" w14:textId="5B13E964" w:rsidR="00B361EF" w:rsidRDefault="00B361EF" w:rsidP="008318CD">
            <w:pPr>
              <w:tabs>
                <w:tab w:val="center" w:pos="534"/>
              </w:tabs>
              <w:spacing w:after="0" w:line="259" w:lineRule="auto"/>
              <w:ind w:left="0" w:right="0" w:firstLine="0"/>
              <w:jc w:val="center"/>
              <w:rPr>
                <w:sz w:val="18"/>
              </w:rPr>
            </w:pPr>
            <w:r>
              <w:rPr>
                <w:sz w:val="18"/>
              </w:rPr>
              <w:t>20</w:t>
            </w:r>
          </w:p>
        </w:tc>
        <w:tc>
          <w:tcPr>
            <w:tcW w:w="992" w:type="dxa"/>
            <w:tcBorders>
              <w:top w:val="single" w:sz="4" w:space="0" w:color="000000"/>
              <w:left w:val="single" w:sz="12" w:space="0" w:color="000000"/>
              <w:bottom w:val="single" w:sz="4" w:space="0" w:color="000000"/>
              <w:right w:val="single" w:sz="12" w:space="0" w:color="auto"/>
            </w:tcBorders>
            <w:vAlign w:val="center"/>
          </w:tcPr>
          <w:p w14:paraId="6B07BE3B" w14:textId="3B4EF822" w:rsidR="00B361EF" w:rsidRPr="00140536" w:rsidRDefault="00B361EF" w:rsidP="008318CD">
            <w:pPr>
              <w:spacing w:after="0" w:line="259" w:lineRule="auto"/>
              <w:ind w:left="0" w:right="44" w:firstLine="0"/>
              <w:jc w:val="center"/>
              <w:rPr>
                <w:rFonts w:eastAsia="Segoe UI Symbol"/>
                <w:sz w:val="18"/>
              </w:rPr>
            </w:pPr>
            <w:r w:rsidRPr="00140536">
              <w:rPr>
                <w:rFonts w:eastAsia="Segoe UI Symbol"/>
                <w:sz w:val="18"/>
              </w:rPr>
              <w:t>u</w:t>
            </w:r>
            <w:r w:rsidRPr="000376D7">
              <w:rPr>
                <w:sz w:val="18"/>
              </w:rPr>
              <w:t>g/L</w:t>
            </w:r>
          </w:p>
        </w:tc>
        <w:tc>
          <w:tcPr>
            <w:tcW w:w="900" w:type="dxa"/>
            <w:tcBorders>
              <w:top w:val="single" w:sz="4" w:space="0" w:color="000000"/>
              <w:left w:val="single" w:sz="12" w:space="0" w:color="auto"/>
              <w:bottom w:val="single" w:sz="4" w:space="0" w:color="000000"/>
              <w:right w:val="single" w:sz="12" w:space="0" w:color="000000"/>
            </w:tcBorders>
            <w:vAlign w:val="center"/>
          </w:tcPr>
          <w:p w14:paraId="2319DA1E" w14:textId="233ECAEC" w:rsidR="00B361EF" w:rsidRDefault="00B361EF" w:rsidP="008318CD">
            <w:pPr>
              <w:tabs>
                <w:tab w:val="center" w:pos="354"/>
              </w:tabs>
              <w:spacing w:after="0" w:line="259" w:lineRule="auto"/>
              <w:ind w:left="0" w:right="0" w:firstLine="0"/>
              <w:jc w:val="center"/>
              <w:rPr>
                <w:sz w:val="18"/>
              </w:rPr>
            </w:pPr>
            <w:r>
              <w:rPr>
                <w:sz w:val="18"/>
              </w:rPr>
              <w:t>5</w:t>
            </w:r>
          </w:p>
        </w:tc>
        <w:tc>
          <w:tcPr>
            <w:tcW w:w="1092" w:type="dxa"/>
            <w:tcBorders>
              <w:top w:val="single" w:sz="4" w:space="0" w:color="000000"/>
              <w:left w:val="single" w:sz="12" w:space="0" w:color="000000"/>
              <w:bottom w:val="single" w:sz="4" w:space="0" w:color="000000"/>
              <w:right w:val="single" w:sz="12" w:space="0" w:color="000000"/>
            </w:tcBorders>
            <w:vAlign w:val="center"/>
          </w:tcPr>
          <w:p w14:paraId="31D16DF7" w14:textId="3AFB9467" w:rsidR="00B361EF" w:rsidRDefault="00B361EF" w:rsidP="008318CD">
            <w:pPr>
              <w:spacing w:after="0" w:line="259" w:lineRule="auto"/>
              <w:ind w:left="0" w:right="46" w:firstLine="0"/>
              <w:jc w:val="center"/>
              <w:rPr>
                <w:rFonts w:eastAsia="Segoe UI Symbol"/>
                <w:sz w:val="18"/>
              </w:rPr>
            </w:pPr>
            <w:r>
              <w:rPr>
                <w:rFonts w:eastAsia="Segoe UI Symbol"/>
                <w:sz w:val="18"/>
              </w:rPr>
              <w:t>u</w:t>
            </w:r>
            <w:r>
              <w:rPr>
                <w:sz w:val="18"/>
              </w:rPr>
              <w:t>g/kg</w:t>
            </w:r>
          </w:p>
        </w:tc>
        <w:tc>
          <w:tcPr>
            <w:tcW w:w="1217" w:type="dxa"/>
            <w:tcBorders>
              <w:top w:val="single" w:sz="4" w:space="0" w:color="000000"/>
              <w:left w:val="single" w:sz="12" w:space="0" w:color="000000"/>
              <w:bottom w:val="single" w:sz="4" w:space="0" w:color="000000"/>
              <w:right w:val="single" w:sz="12" w:space="0" w:color="000000"/>
            </w:tcBorders>
            <w:vAlign w:val="center"/>
          </w:tcPr>
          <w:p w14:paraId="4A7477FE" w14:textId="5F91FB81" w:rsidR="00B361EF" w:rsidRDefault="00B361EF" w:rsidP="008318CD">
            <w:pPr>
              <w:spacing w:after="0" w:line="259" w:lineRule="auto"/>
              <w:ind w:left="0" w:right="45" w:firstLine="0"/>
              <w:jc w:val="center"/>
              <w:rPr>
                <w:b/>
                <w:sz w:val="18"/>
              </w:rPr>
            </w:pPr>
            <w:r>
              <w:rPr>
                <w:b/>
                <w:sz w:val="18"/>
              </w:rPr>
              <w:t>8260</w:t>
            </w:r>
          </w:p>
        </w:tc>
        <w:tc>
          <w:tcPr>
            <w:tcW w:w="1080" w:type="dxa"/>
            <w:tcBorders>
              <w:top w:val="single" w:sz="4" w:space="0" w:color="000000"/>
              <w:left w:val="single" w:sz="12" w:space="0" w:color="000000"/>
              <w:bottom w:val="single" w:sz="4" w:space="0" w:color="000000"/>
              <w:right w:val="single" w:sz="12" w:space="0" w:color="000000"/>
            </w:tcBorders>
            <w:vAlign w:val="center"/>
          </w:tcPr>
          <w:p w14:paraId="712C2E40" w14:textId="7E6A64D1" w:rsidR="00B361EF" w:rsidRDefault="00B361EF" w:rsidP="008318CD">
            <w:pPr>
              <w:spacing w:after="0" w:line="259" w:lineRule="auto"/>
              <w:ind w:left="0" w:right="48" w:firstLine="0"/>
              <w:jc w:val="center"/>
              <w:rPr>
                <w:sz w:val="18"/>
              </w:rPr>
            </w:pPr>
          </w:p>
        </w:tc>
      </w:tr>
      <w:tr w:rsidR="00B361EF" w14:paraId="64C32EAB" w14:textId="77777777" w:rsidTr="00B1604E">
        <w:trPr>
          <w:trHeight w:val="262"/>
        </w:trPr>
        <w:tc>
          <w:tcPr>
            <w:tcW w:w="3256" w:type="dxa"/>
            <w:tcBorders>
              <w:top w:val="single" w:sz="4" w:space="0" w:color="000000"/>
              <w:left w:val="single" w:sz="12" w:space="0" w:color="000000"/>
              <w:bottom w:val="single" w:sz="4" w:space="0" w:color="000000"/>
              <w:right w:val="single" w:sz="12" w:space="0" w:color="000000"/>
            </w:tcBorders>
            <w:vAlign w:val="center"/>
          </w:tcPr>
          <w:p w14:paraId="1A29ADFC" w14:textId="2EE23056" w:rsidR="00B361EF" w:rsidRDefault="00B361EF" w:rsidP="008318CD">
            <w:pPr>
              <w:spacing w:after="0" w:line="259" w:lineRule="auto"/>
              <w:ind w:left="0" w:right="0" w:firstLine="0"/>
              <w:rPr>
                <w:sz w:val="18"/>
              </w:rPr>
            </w:pPr>
            <w:r>
              <w:rPr>
                <w:sz w:val="18"/>
              </w:rPr>
              <w:t xml:space="preserve">Vinyl chloride </w:t>
            </w:r>
          </w:p>
        </w:tc>
        <w:tc>
          <w:tcPr>
            <w:tcW w:w="1082" w:type="dxa"/>
            <w:tcBorders>
              <w:top w:val="single" w:sz="4" w:space="0" w:color="000000"/>
              <w:left w:val="single" w:sz="12" w:space="0" w:color="000000"/>
              <w:bottom w:val="single" w:sz="4" w:space="0" w:color="000000"/>
              <w:right w:val="single" w:sz="12" w:space="0" w:color="000000"/>
            </w:tcBorders>
            <w:vAlign w:val="center"/>
          </w:tcPr>
          <w:p w14:paraId="4C045232" w14:textId="52AAA7C7" w:rsidR="00B361EF" w:rsidRDefault="00B361EF" w:rsidP="008318CD">
            <w:pPr>
              <w:spacing w:after="0" w:line="259" w:lineRule="auto"/>
              <w:ind w:left="0" w:right="44" w:firstLine="0"/>
              <w:jc w:val="center"/>
              <w:rPr>
                <w:sz w:val="18"/>
              </w:rPr>
            </w:pPr>
            <w:r>
              <w:rPr>
                <w:sz w:val="18"/>
              </w:rPr>
              <w:t>75-01-4</w:t>
            </w:r>
          </w:p>
        </w:tc>
        <w:tc>
          <w:tcPr>
            <w:tcW w:w="1001" w:type="dxa"/>
            <w:tcBorders>
              <w:top w:val="single" w:sz="4" w:space="0" w:color="000000"/>
              <w:left w:val="single" w:sz="12" w:space="0" w:color="000000"/>
              <w:bottom w:val="single" w:sz="4" w:space="0" w:color="000000"/>
              <w:right w:val="single" w:sz="12" w:space="0" w:color="000000"/>
            </w:tcBorders>
            <w:vAlign w:val="center"/>
          </w:tcPr>
          <w:p w14:paraId="5CD2241A" w14:textId="60BEE479" w:rsidR="00B361EF" w:rsidRDefault="00B361EF" w:rsidP="008318CD">
            <w:pPr>
              <w:tabs>
                <w:tab w:val="center" w:pos="534"/>
              </w:tabs>
              <w:spacing w:after="0" w:line="259" w:lineRule="auto"/>
              <w:ind w:left="0" w:right="0" w:firstLine="0"/>
              <w:jc w:val="center"/>
              <w:rPr>
                <w:sz w:val="18"/>
              </w:rPr>
            </w:pPr>
            <w:r>
              <w:rPr>
                <w:b/>
                <w:sz w:val="18"/>
              </w:rPr>
              <w:t>1</w:t>
            </w:r>
          </w:p>
        </w:tc>
        <w:tc>
          <w:tcPr>
            <w:tcW w:w="992" w:type="dxa"/>
            <w:tcBorders>
              <w:top w:val="single" w:sz="4" w:space="0" w:color="000000"/>
              <w:left w:val="single" w:sz="12" w:space="0" w:color="000000"/>
              <w:bottom w:val="single" w:sz="4" w:space="0" w:color="000000"/>
              <w:right w:val="single" w:sz="12" w:space="0" w:color="auto"/>
            </w:tcBorders>
            <w:vAlign w:val="center"/>
          </w:tcPr>
          <w:p w14:paraId="04BFCE6B" w14:textId="77F34EE3" w:rsidR="00B361EF" w:rsidRPr="00140536" w:rsidRDefault="00B361EF" w:rsidP="008318CD">
            <w:pPr>
              <w:spacing w:after="0" w:line="259" w:lineRule="auto"/>
              <w:ind w:left="0" w:right="44" w:firstLine="0"/>
              <w:jc w:val="center"/>
              <w:rPr>
                <w:rFonts w:eastAsia="Segoe UI Symbol"/>
                <w:sz w:val="18"/>
              </w:rPr>
            </w:pPr>
            <w:r w:rsidRPr="00140536">
              <w:rPr>
                <w:rFonts w:eastAsia="Segoe UI Symbol"/>
                <w:sz w:val="18"/>
              </w:rPr>
              <w:t>u</w:t>
            </w:r>
            <w:r w:rsidRPr="000376D7">
              <w:rPr>
                <w:sz w:val="18"/>
              </w:rPr>
              <w:t>g/L</w:t>
            </w:r>
          </w:p>
        </w:tc>
        <w:tc>
          <w:tcPr>
            <w:tcW w:w="900" w:type="dxa"/>
            <w:tcBorders>
              <w:top w:val="single" w:sz="4" w:space="0" w:color="000000"/>
              <w:left w:val="single" w:sz="12" w:space="0" w:color="auto"/>
              <w:bottom w:val="single" w:sz="4" w:space="0" w:color="000000"/>
              <w:right w:val="single" w:sz="12" w:space="0" w:color="000000"/>
            </w:tcBorders>
            <w:vAlign w:val="center"/>
          </w:tcPr>
          <w:p w14:paraId="4D5E9199" w14:textId="132DA562" w:rsidR="00B361EF" w:rsidRDefault="00B361EF" w:rsidP="008318CD">
            <w:pPr>
              <w:tabs>
                <w:tab w:val="center" w:pos="354"/>
              </w:tabs>
              <w:spacing w:after="0" w:line="259" w:lineRule="auto"/>
              <w:ind w:left="0" w:right="0" w:firstLine="0"/>
              <w:jc w:val="center"/>
              <w:rPr>
                <w:sz w:val="18"/>
              </w:rPr>
            </w:pPr>
            <w:r>
              <w:rPr>
                <w:sz w:val="18"/>
              </w:rPr>
              <w:t>5</w:t>
            </w:r>
          </w:p>
        </w:tc>
        <w:tc>
          <w:tcPr>
            <w:tcW w:w="1092" w:type="dxa"/>
            <w:tcBorders>
              <w:top w:val="single" w:sz="4" w:space="0" w:color="000000"/>
              <w:left w:val="single" w:sz="12" w:space="0" w:color="000000"/>
              <w:bottom w:val="single" w:sz="4" w:space="0" w:color="000000"/>
              <w:right w:val="single" w:sz="12" w:space="0" w:color="000000"/>
            </w:tcBorders>
            <w:vAlign w:val="center"/>
          </w:tcPr>
          <w:p w14:paraId="4004734C" w14:textId="592E5247" w:rsidR="00B361EF" w:rsidRDefault="00B361EF" w:rsidP="008318CD">
            <w:pPr>
              <w:spacing w:after="0" w:line="259" w:lineRule="auto"/>
              <w:ind w:left="0" w:right="46" w:firstLine="0"/>
              <w:jc w:val="center"/>
              <w:rPr>
                <w:rFonts w:eastAsia="Segoe UI Symbol"/>
                <w:sz w:val="18"/>
              </w:rPr>
            </w:pPr>
            <w:r>
              <w:rPr>
                <w:rFonts w:eastAsia="Segoe UI Symbol"/>
                <w:sz w:val="18"/>
              </w:rPr>
              <w:t>u</w:t>
            </w:r>
            <w:r>
              <w:rPr>
                <w:sz w:val="18"/>
              </w:rPr>
              <w:t>g/kg</w:t>
            </w:r>
          </w:p>
        </w:tc>
        <w:tc>
          <w:tcPr>
            <w:tcW w:w="1217" w:type="dxa"/>
            <w:tcBorders>
              <w:top w:val="single" w:sz="4" w:space="0" w:color="000000"/>
              <w:left w:val="single" w:sz="12" w:space="0" w:color="000000"/>
              <w:bottom w:val="single" w:sz="4" w:space="0" w:color="000000"/>
              <w:right w:val="single" w:sz="12" w:space="0" w:color="000000"/>
            </w:tcBorders>
            <w:vAlign w:val="center"/>
          </w:tcPr>
          <w:p w14:paraId="05C806DA" w14:textId="4C265340" w:rsidR="00B361EF" w:rsidRDefault="00B361EF" w:rsidP="008318CD">
            <w:pPr>
              <w:spacing w:after="0" w:line="259" w:lineRule="auto"/>
              <w:ind w:left="0" w:right="45" w:firstLine="0"/>
              <w:jc w:val="center"/>
              <w:rPr>
                <w:b/>
                <w:sz w:val="18"/>
              </w:rPr>
            </w:pPr>
            <w:r>
              <w:rPr>
                <w:b/>
                <w:sz w:val="18"/>
              </w:rPr>
              <w:t>8260</w:t>
            </w:r>
          </w:p>
        </w:tc>
        <w:tc>
          <w:tcPr>
            <w:tcW w:w="1080" w:type="dxa"/>
            <w:tcBorders>
              <w:top w:val="single" w:sz="4" w:space="0" w:color="000000"/>
              <w:left w:val="single" w:sz="12" w:space="0" w:color="000000"/>
              <w:bottom w:val="single" w:sz="4" w:space="0" w:color="000000"/>
              <w:right w:val="single" w:sz="12" w:space="0" w:color="000000"/>
            </w:tcBorders>
            <w:vAlign w:val="center"/>
          </w:tcPr>
          <w:p w14:paraId="65BB7D4F" w14:textId="75549098" w:rsidR="00B361EF" w:rsidRDefault="00B361EF" w:rsidP="008318CD">
            <w:pPr>
              <w:spacing w:after="0" w:line="259" w:lineRule="auto"/>
              <w:ind w:left="0" w:right="48" w:firstLine="0"/>
              <w:jc w:val="center"/>
              <w:rPr>
                <w:sz w:val="18"/>
              </w:rPr>
            </w:pPr>
            <w:r>
              <w:rPr>
                <w:sz w:val="18"/>
              </w:rPr>
              <w:t>8021</w:t>
            </w:r>
          </w:p>
        </w:tc>
      </w:tr>
      <w:tr w:rsidR="00B361EF" w14:paraId="6C7A79C2" w14:textId="77777777" w:rsidTr="00B1604E">
        <w:trPr>
          <w:trHeight w:val="262"/>
        </w:trPr>
        <w:tc>
          <w:tcPr>
            <w:tcW w:w="3256" w:type="dxa"/>
            <w:tcBorders>
              <w:top w:val="single" w:sz="4" w:space="0" w:color="000000"/>
              <w:left w:val="single" w:sz="12" w:space="0" w:color="000000"/>
              <w:bottom w:val="single" w:sz="4" w:space="0" w:color="000000"/>
              <w:right w:val="single" w:sz="12" w:space="0" w:color="000000"/>
            </w:tcBorders>
            <w:vAlign w:val="center"/>
          </w:tcPr>
          <w:p w14:paraId="27515672" w14:textId="319DE6F0" w:rsidR="00B361EF" w:rsidRDefault="00B361EF" w:rsidP="008318CD">
            <w:pPr>
              <w:spacing w:after="0" w:line="259" w:lineRule="auto"/>
              <w:ind w:left="0" w:right="0" w:firstLine="0"/>
              <w:rPr>
                <w:sz w:val="18"/>
              </w:rPr>
            </w:pPr>
            <w:r>
              <w:rPr>
                <w:sz w:val="18"/>
              </w:rPr>
              <w:t xml:space="preserve">o-Xylene </w:t>
            </w:r>
          </w:p>
        </w:tc>
        <w:tc>
          <w:tcPr>
            <w:tcW w:w="1082" w:type="dxa"/>
            <w:tcBorders>
              <w:top w:val="single" w:sz="4" w:space="0" w:color="000000"/>
              <w:left w:val="single" w:sz="12" w:space="0" w:color="000000"/>
              <w:bottom w:val="single" w:sz="4" w:space="0" w:color="000000"/>
              <w:right w:val="single" w:sz="12" w:space="0" w:color="000000"/>
            </w:tcBorders>
            <w:vAlign w:val="center"/>
          </w:tcPr>
          <w:p w14:paraId="766E17F8" w14:textId="483C08F6" w:rsidR="00B361EF" w:rsidRDefault="00B361EF" w:rsidP="008318CD">
            <w:pPr>
              <w:spacing w:after="0" w:line="259" w:lineRule="auto"/>
              <w:ind w:left="0" w:right="44" w:firstLine="0"/>
              <w:jc w:val="center"/>
              <w:rPr>
                <w:sz w:val="18"/>
              </w:rPr>
            </w:pPr>
            <w:r>
              <w:rPr>
                <w:sz w:val="18"/>
              </w:rPr>
              <w:t>95-47-6</w:t>
            </w:r>
          </w:p>
        </w:tc>
        <w:tc>
          <w:tcPr>
            <w:tcW w:w="1001" w:type="dxa"/>
            <w:tcBorders>
              <w:top w:val="single" w:sz="4" w:space="0" w:color="000000"/>
              <w:left w:val="single" w:sz="12" w:space="0" w:color="000000"/>
              <w:bottom w:val="single" w:sz="4" w:space="0" w:color="000000"/>
              <w:right w:val="single" w:sz="12" w:space="0" w:color="000000"/>
            </w:tcBorders>
            <w:vAlign w:val="center"/>
          </w:tcPr>
          <w:p w14:paraId="789A8D03" w14:textId="59390803" w:rsidR="00B361EF" w:rsidRDefault="00B361EF" w:rsidP="008318CD">
            <w:pPr>
              <w:tabs>
                <w:tab w:val="center" w:pos="534"/>
              </w:tabs>
              <w:spacing w:after="0" w:line="259" w:lineRule="auto"/>
              <w:ind w:left="0" w:right="0" w:firstLine="0"/>
              <w:jc w:val="center"/>
              <w:rPr>
                <w:b/>
                <w:sz w:val="18"/>
              </w:rPr>
            </w:pPr>
            <w:r>
              <w:rPr>
                <w:sz w:val="18"/>
              </w:rPr>
              <w:t>1</w:t>
            </w:r>
          </w:p>
        </w:tc>
        <w:tc>
          <w:tcPr>
            <w:tcW w:w="992" w:type="dxa"/>
            <w:tcBorders>
              <w:top w:val="single" w:sz="4" w:space="0" w:color="000000"/>
              <w:left w:val="single" w:sz="12" w:space="0" w:color="000000"/>
              <w:bottom w:val="single" w:sz="4" w:space="0" w:color="000000"/>
              <w:right w:val="single" w:sz="12" w:space="0" w:color="auto"/>
            </w:tcBorders>
            <w:vAlign w:val="center"/>
          </w:tcPr>
          <w:p w14:paraId="5C20991C" w14:textId="42309504" w:rsidR="00B361EF" w:rsidRPr="00140536" w:rsidRDefault="00B361EF" w:rsidP="008318CD">
            <w:pPr>
              <w:spacing w:after="0" w:line="259" w:lineRule="auto"/>
              <w:ind w:left="0" w:right="44" w:firstLine="0"/>
              <w:jc w:val="center"/>
              <w:rPr>
                <w:rFonts w:eastAsia="Segoe UI Symbol"/>
                <w:sz w:val="18"/>
              </w:rPr>
            </w:pPr>
            <w:r w:rsidRPr="00140536">
              <w:rPr>
                <w:rFonts w:eastAsia="Segoe UI Symbol"/>
                <w:sz w:val="18"/>
              </w:rPr>
              <w:t>u</w:t>
            </w:r>
            <w:r w:rsidRPr="000376D7">
              <w:rPr>
                <w:sz w:val="18"/>
              </w:rPr>
              <w:t>g/L</w:t>
            </w:r>
          </w:p>
        </w:tc>
        <w:tc>
          <w:tcPr>
            <w:tcW w:w="900" w:type="dxa"/>
            <w:tcBorders>
              <w:top w:val="single" w:sz="4" w:space="0" w:color="000000"/>
              <w:left w:val="single" w:sz="12" w:space="0" w:color="auto"/>
              <w:bottom w:val="single" w:sz="4" w:space="0" w:color="000000"/>
              <w:right w:val="single" w:sz="12" w:space="0" w:color="000000"/>
            </w:tcBorders>
            <w:vAlign w:val="center"/>
          </w:tcPr>
          <w:p w14:paraId="699EAC19" w14:textId="0A3891E9" w:rsidR="00B361EF" w:rsidRDefault="00B361EF" w:rsidP="008318CD">
            <w:pPr>
              <w:tabs>
                <w:tab w:val="center" w:pos="354"/>
              </w:tabs>
              <w:spacing w:after="0" w:line="259" w:lineRule="auto"/>
              <w:ind w:left="0" w:right="0" w:firstLine="0"/>
              <w:jc w:val="center"/>
              <w:rPr>
                <w:sz w:val="18"/>
              </w:rPr>
            </w:pPr>
            <w:r>
              <w:rPr>
                <w:sz w:val="18"/>
              </w:rPr>
              <w:t>5</w:t>
            </w:r>
          </w:p>
        </w:tc>
        <w:tc>
          <w:tcPr>
            <w:tcW w:w="1092" w:type="dxa"/>
            <w:tcBorders>
              <w:top w:val="single" w:sz="4" w:space="0" w:color="000000"/>
              <w:left w:val="single" w:sz="12" w:space="0" w:color="000000"/>
              <w:bottom w:val="single" w:sz="4" w:space="0" w:color="000000"/>
              <w:right w:val="single" w:sz="12" w:space="0" w:color="000000"/>
            </w:tcBorders>
            <w:vAlign w:val="center"/>
          </w:tcPr>
          <w:p w14:paraId="073D2EA0" w14:textId="374251B7" w:rsidR="00B361EF" w:rsidRDefault="00B361EF" w:rsidP="008318CD">
            <w:pPr>
              <w:spacing w:after="0" w:line="259" w:lineRule="auto"/>
              <w:ind w:left="0" w:right="46" w:firstLine="0"/>
              <w:jc w:val="center"/>
              <w:rPr>
                <w:rFonts w:eastAsia="Segoe UI Symbol"/>
                <w:sz w:val="18"/>
              </w:rPr>
            </w:pPr>
            <w:r>
              <w:rPr>
                <w:rFonts w:eastAsia="Segoe UI Symbol"/>
                <w:sz w:val="18"/>
              </w:rPr>
              <w:t>u</w:t>
            </w:r>
            <w:r>
              <w:rPr>
                <w:sz w:val="18"/>
              </w:rPr>
              <w:t>g/kg</w:t>
            </w:r>
          </w:p>
        </w:tc>
        <w:tc>
          <w:tcPr>
            <w:tcW w:w="1217" w:type="dxa"/>
            <w:tcBorders>
              <w:top w:val="single" w:sz="4" w:space="0" w:color="000000"/>
              <w:left w:val="single" w:sz="12" w:space="0" w:color="000000"/>
              <w:bottom w:val="single" w:sz="4" w:space="0" w:color="000000"/>
              <w:right w:val="single" w:sz="12" w:space="0" w:color="000000"/>
            </w:tcBorders>
            <w:vAlign w:val="center"/>
          </w:tcPr>
          <w:p w14:paraId="5132670C" w14:textId="5CD19783" w:rsidR="00B361EF" w:rsidRDefault="00B361EF" w:rsidP="008318CD">
            <w:pPr>
              <w:spacing w:after="0" w:line="259" w:lineRule="auto"/>
              <w:ind w:left="0" w:right="45" w:firstLine="0"/>
              <w:jc w:val="center"/>
              <w:rPr>
                <w:b/>
                <w:sz w:val="18"/>
              </w:rPr>
            </w:pPr>
            <w:r>
              <w:rPr>
                <w:b/>
                <w:sz w:val="18"/>
              </w:rPr>
              <w:t>8260</w:t>
            </w:r>
          </w:p>
        </w:tc>
        <w:tc>
          <w:tcPr>
            <w:tcW w:w="1080" w:type="dxa"/>
            <w:tcBorders>
              <w:top w:val="single" w:sz="4" w:space="0" w:color="000000"/>
              <w:left w:val="single" w:sz="12" w:space="0" w:color="000000"/>
              <w:bottom w:val="single" w:sz="4" w:space="0" w:color="000000"/>
              <w:right w:val="single" w:sz="12" w:space="0" w:color="000000"/>
            </w:tcBorders>
            <w:vAlign w:val="center"/>
          </w:tcPr>
          <w:p w14:paraId="15A816AC" w14:textId="6FAE6D5B" w:rsidR="00B361EF" w:rsidRDefault="00B361EF" w:rsidP="008318CD">
            <w:pPr>
              <w:spacing w:after="0" w:line="259" w:lineRule="auto"/>
              <w:ind w:left="0" w:right="48" w:firstLine="0"/>
              <w:jc w:val="center"/>
              <w:rPr>
                <w:sz w:val="18"/>
              </w:rPr>
            </w:pPr>
            <w:r>
              <w:rPr>
                <w:sz w:val="18"/>
              </w:rPr>
              <w:t>8021</w:t>
            </w:r>
          </w:p>
        </w:tc>
      </w:tr>
      <w:tr w:rsidR="00B361EF" w14:paraId="25A9C91B" w14:textId="77777777" w:rsidTr="00B1604E">
        <w:trPr>
          <w:trHeight w:val="262"/>
        </w:trPr>
        <w:tc>
          <w:tcPr>
            <w:tcW w:w="3256" w:type="dxa"/>
            <w:tcBorders>
              <w:top w:val="single" w:sz="4" w:space="0" w:color="000000"/>
              <w:left w:val="single" w:sz="12" w:space="0" w:color="000000"/>
              <w:bottom w:val="single" w:sz="4" w:space="0" w:color="000000"/>
              <w:right w:val="single" w:sz="12" w:space="0" w:color="000000"/>
            </w:tcBorders>
            <w:vAlign w:val="center"/>
          </w:tcPr>
          <w:p w14:paraId="44A8FFC0" w14:textId="7D94D12B" w:rsidR="00B361EF" w:rsidRDefault="00B361EF" w:rsidP="008318CD">
            <w:pPr>
              <w:spacing w:after="0" w:line="259" w:lineRule="auto"/>
              <w:ind w:left="0" w:right="0" w:firstLine="0"/>
              <w:rPr>
                <w:sz w:val="18"/>
              </w:rPr>
            </w:pPr>
            <w:r>
              <w:rPr>
                <w:sz w:val="18"/>
              </w:rPr>
              <w:t xml:space="preserve">m-Xylene </w:t>
            </w:r>
          </w:p>
        </w:tc>
        <w:tc>
          <w:tcPr>
            <w:tcW w:w="1082" w:type="dxa"/>
            <w:tcBorders>
              <w:top w:val="single" w:sz="4" w:space="0" w:color="000000"/>
              <w:left w:val="single" w:sz="12" w:space="0" w:color="000000"/>
              <w:bottom w:val="single" w:sz="4" w:space="0" w:color="000000"/>
              <w:right w:val="single" w:sz="12" w:space="0" w:color="000000"/>
            </w:tcBorders>
            <w:vAlign w:val="center"/>
          </w:tcPr>
          <w:p w14:paraId="22684A15" w14:textId="2DC231C9" w:rsidR="00B361EF" w:rsidRDefault="00B361EF" w:rsidP="008318CD">
            <w:pPr>
              <w:spacing w:after="0" w:line="259" w:lineRule="auto"/>
              <w:ind w:left="0" w:right="44" w:firstLine="0"/>
              <w:jc w:val="center"/>
              <w:rPr>
                <w:sz w:val="18"/>
              </w:rPr>
            </w:pPr>
            <w:r>
              <w:rPr>
                <w:sz w:val="18"/>
              </w:rPr>
              <w:t>108-38-3</w:t>
            </w:r>
          </w:p>
        </w:tc>
        <w:tc>
          <w:tcPr>
            <w:tcW w:w="1001" w:type="dxa"/>
            <w:tcBorders>
              <w:top w:val="single" w:sz="4" w:space="0" w:color="000000"/>
              <w:left w:val="single" w:sz="12" w:space="0" w:color="000000"/>
              <w:bottom w:val="single" w:sz="4" w:space="0" w:color="000000"/>
              <w:right w:val="single" w:sz="12" w:space="0" w:color="000000"/>
            </w:tcBorders>
            <w:vAlign w:val="center"/>
          </w:tcPr>
          <w:p w14:paraId="15EEDF99" w14:textId="3B52B489" w:rsidR="00B361EF" w:rsidRDefault="00B361EF" w:rsidP="008318CD">
            <w:pPr>
              <w:tabs>
                <w:tab w:val="center" w:pos="534"/>
              </w:tabs>
              <w:spacing w:after="0" w:line="259" w:lineRule="auto"/>
              <w:ind w:left="0" w:right="0" w:firstLine="0"/>
              <w:jc w:val="center"/>
              <w:rPr>
                <w:sz w:val="18"/>
              </w:rPr>
            </w:pPr>
            <w:r>
              <w:rPr>
                <w:sz w:val="18"/>
              </w:rPr>
              <w:t>1</w:t>
            </w:r>
          </w:p>
        </w:tc>
        <w:tc>
          <w:tcPr>
            <w:tcW w:w="992" w:type="dxa"/>
            <w:tcBorders>
              <w:top w:val="single" w:sz="4" w:space="0" w:color="000000"/>
              <w:left w:val="single" w:sz="12" w:space="0" w:color="000000"/>
              <w:bottom w:val="single" w:sz="4" w:space="0" w:color="000000"/>
              <w:right w:val="single" w:sz="12" w:space="0" w:color="auto"/>
            </w:tcBorders>
            <w:vAlign w:val="center"/>
          </w:tcPr>
          <w:p w14:paraId="0804AD81" w14:textId="0DFCB9CC" w:rsidR="00B361EF" w:rsidRPr="00140536" w:rsidRDefault="00B361EF" w:rsidP="008318CD">
            <w:pPr>
              <w:spacing w:after="0" w:line="259" w:lineRule="auto"/>
              <w:ind w:left="0" w:right="44" w:firstLine="0"/>
              <w:jc w:val="center"/>
              <w:rPr>
                <w:rFonts w:eastAsia="Segoe UI Symbol"/>
                <w:sz w:val="18"/>
              </w:rPr>
            </w:pPr>
            <w:r w:rsidRPr="00140536">
              <w:rPr>
                <w:rFonts w:eastAsia="Segoe UI Symbol"/>
                <w:sz w:val="18"/>
              </w:rPr>
              <w:t>u</w:t>
            </w:r>
            <w:r w:rsidRPr="000376D7">
              <w:rPr>
                <w:sz w:val="18"/>
              </w:rPr>
              <w:t>g/L</w:t>
            </w:r>
          </w:p>
        </w:tc>
        <w:tc>
          <w:tcPr>
            <w:tcW w:w="900" w:type="dxa"/>
            <w:tcBorders>
              <w:top w:val="single" w:sz="4" w:space="0" w:color="000000"/>
              <w:left w:val="single" w:sz="12" w:space="0" w:color="auto"/>
              <w:bottom w:val="single" w:sz="4" w:space="0" w:color="000000"/>
              <w:right w:val="single" w:sz="12" w:space="0" w:color="000000"/>
            </w:tcBorders>
            <w:vAlign w:val="center"/>
          </w:tcPr>
          <w:p w14:paraId="3680D4D4" w14:textId="57FF748B" w:rsidR="00B361EF" w:rsidRDefault="00B361EF" w:rsidP="008318CD">
            <w:pPr>
              <w:tabs>
                <w:tab w:val="center" w:pos="354"/>
              </w:tabs>
              <w:spacing w:after="0" w:line="259" w:lineRule="auto"/>
              <w:ind w:left="0" w:right="0" w:firstLine="0"/>
              <w:jc w:val="center"/>
              <w:rPr>
                <w:sz w:val="18"/>
              </w:rPr>
            </w:pPr>
            <w:r>
              <w:rPr>
                <w:sz w:val="18"/>
              </w:rPr>
              <w:t>5</w:t>
            </w:r>
          </w:p>
        </w:tc>
        <w:tc>
          <w:tcPr>
            <w:tcW w:w="1092" w:type="dxa"/>
            <w:tcBorders>
              <w:top w:val="single" w:sz="4" w:space="0" w:color="000000"/>
              <w:left w:val="single" w:sz="12" w:space="0" w:color="000000"/>
              <w:bottom w:val="single" w:sz="4" w:space="0" w:color="000000"/>
              <w:right w:val="single" w:sz="12" w:space="0" w:color="000000"/>
            </w:tcBorders>
            <w:vAlign w:val="center"/>
          </w:tcPr>
          <w:p w14:paraId="07718DE1" w14:textId="33708F6B" w:rsidR="00B361EF" w:rsidRDefault="00B361EF" w:rsidP="008318CD">
            <w:pPr>
              <w:spacing w:after="0" w:line="259" w:lineRule="auto"/>
              <w:ind w:left="0" w:right="46" w:firstLine="0"/>
              <w:jc w:val="center"/>
              <w:rPr>
                <w:rFonts w:eastAsia="Segoe UI Symbol"/>
                <w:sz w:val="18"/>
              </w:rPr>
            </w:pPr>
            <w:r>
              <w:rPr>
                <w:rFonts w:eastAsia="Segoe UI Symbol"/>
                <w:sz w:val="18"/>
              </w:rPr>
              <w:t>u</w:t>
            </w:r>
            <w:r>
              <w:rPr>
                <w:sz w:val="18"/>
              </w:rPr>
              <w:t>g/kg</w:t>
            </w:r>
          </w:p>
        </w:tc>
        <w:tc>
          <w:tcPr>
            <w:tcW w:w="1217" w:type="dxa"/>
            <w:tcBorders>
              <w:top w:val="single" w:sz="4" w:space="0" w:color="000000"/>
              <w:left w:val="single" w:sz="12" w:space="0" w:color="000000"/>
              <w:bottom w:val="single" w:sz="4" w:space="0" w:color="000000"/>
              <w:right w:val="single" w:sz="12" w:space="0" w:color="000000"/>
            </w:tcBorders>
            <w:vAlign w:val="center"/>
          </w:tcPr>
          <w:p w14:paraId="2A5CA171" w14:textId="003ABA37" w:rsidR="00B361EF" w:rsidRDefault="00B361EF" w:rsidP="008318CD">
            <w:pPr>
              <w:spacing w:after="0" w:line="259" w:lineRule="auto"/>
              <w:ind w:left="0" w:right="45" w:firstLine="0"/>
              <w:jc w:val="center"/>
              <w:rPr>
                <w:b/>
                <w:sz w:val="18"/>
              </w:rPr>
            </w:pPr>
            <w:r>
              <w:rPr>
                <w:b/>
                <w:sz w:val="18"/>
              </w:rPr>
              <w:t>8260</w:t>
            </w:r>
          </w:p>
        </w:tc>
        <w:tc>
          <w:tcPr>
            <w:tcW w:w="1080" w:type="dxa"/>
            <w:tcBorders>
              <w:top w:val="single" w:sz="4" w:space="0" w:color="000000"/>
              <w:left w:val="single" w:sz="12" w:space="0" w:color="000000"/>
              <w:bottom w:val="single" w:sz="4" w:space="0" w:color="000000"/>
              <w:right w:val="single" w:sz="12" w:space="0" w:color="000000"/>
            </w:tcBorders>
            <w:vAlign w:val="center"/>
          </w:tcPr>
          <w:p w14:paraId="3EAA4870" w14:textId="68068840" w:rsidR="00B361EF" w:rsidRDefault="00B361EF" w:rsidP="008318CD">
            <w:pPr>
              <w:spacing w:after="0" w:line="259" w:lineRule="auto"/>
              <w:ind w:left="0" w:right="48" w:firstLine="0"/>
              <w:jc w:val="center"/>
              <w:rPr>
                <w:sz w:val="18"/>
              </w:rPr>
            </w:pPr>
            <w:r>
              <w:rPr>
                <w:sz w:val="18"/>
              </w:rPr>
              <w:t>8021</w:t>
            </w:r>
          </w:p>
        </w:tc>
      </w:tr>
      <w:tr w:rsidR="00B361EF" w14:paraId="345C668A" w14:textId="77777777" w:rsidTr="00B1604E">
        <w:trPr>
          <w:trHeight w:val="288"/>
        </w:trPr>
        <w:tc>
          <w:tcPr>
            <w:tcW w:w="3256" w:type="dxa"/>
            <w:tcBorders>
              <w:top w:val="single" w:sz="4" w:space="0" w:color="000000"/>
              <w:left w:val="single" w:sz="12" w:space="0" w:color="000000"/>
              <w:bottom w:val="single" w:sz="12" w:space="0" w:color="000000"/>
              <w:right w:val="single" w:sz="12" w:space="0" w:color="000000"/>
            </w:tcBorders>
            <w:vAlign w:val="center"/>
          </w:tcPr>
          <w:p w14:paraId="3640D6D5" w14:textId="27977339" w:rsidR="00B361EF" w:rsidRDefault="00B361EF" w:rsidP="008318CD">
            <w:pPr>
              <w:spacing w:after="0" w:line="259" w:lineRule="auto"/>
              <w:ind w:left="0" w:right="0" w:firstLine="0"/>
              <w:rPr>
                <w:sz w:val="18"/>
              </w:rPr>
            </w:pPr>
            <w:r>
              <w:rPr>
                <w:sz w:val="18"/>
              </w:rPr>
              <w:t>p-Xylene</w:t>
            </w:r>
          </w:p>
        </w:tc>
        <w:tc>
          <w:tcPr>
            <w:tcW w:w="1082" w:type="dxa"/>
            <w:tcBorders>
              <w:top w:val="single" w:sz="4" w:space="0" w:color="000000"/>
              <w:left w:val="single" w:sz="12" w:space="0" w:color="000000"/>
              <w:bottom w:val="single" w:sz="12" w:space="0" w:color="000000"/>
              <w:right w:val="single" w:sz="12" w:space="0" w:color="000000"/>
            </w:tcBorders>
            <w:vAlign w:val="center"/>
          </w:tcPr>
          <w:p w14:paraId="707E8790" w14:textId="5DA5E8E6" w:rsidR="00B361EF" w:rsidRDefault="00B361EF" w:rsidP="008318CD">
            <w:pPr>
              <w:spacing w:after="0" w:line="259" w:lineRule="auto"/>
              <w:ind w:left="0" w:right="44" w:firstLine="0"/>
              <w:jc w:val="center"/>
              <w:rPr>
                <w:sz w:val="18"/>
              </w:rPr>
            </w:pPr>
            <w:r>
              <w:rPr>
                <w:sz w:val="18"/>
              </w:rPr>
              <w:t>106-42-3</w:t>
            </w:r>
          </w:p>
        </w:tc>
        <w:tc>
          <w:tcPr>
            <w:tcW w:w="1001" w:type="dxa"/>
            <w:tcBorders>
              <w:top w:val="single" w:sz="4" w:space="0" w:color="000000"/>
              <w:left w:val="single" w:sz="12" w:space="0" w:color="000000"/>
              <w:bottom w:val="single" w:sz="12" w:space="0" w:color="000000"/>
              <w:right w:val="single" w:sz="12" w:space="0" w:color="000000"/>
            </w:tcBorders>
            <w:vAlign w:val="center"/>
          </w:tcPr>
          <w:p w14:paraId="41238584" w14:textId="69F76F29" w:rsidR="00B361EF" w:rsidRDefault="00B361EF" w:rsidP="008318CD">
            <w:pPr>
              <w:tabs>
                <w:tab w:val="center" w:pos="534"/>
              </w:tabs>
              <w:spacing w:after="0" w:line="259" w:lineRule="auto"/>
              <w:ind w:left="0" w:right="0" w:firstLine="0"/>
              <w:jc w:val="center"/>
              <w:rPr>
                <w:sz w:val="18"/>
              </w:rPr>
            </w:pPr>
            <w:r>
              <w:rPr>
                <w:sz w:val="18"/>
              </w:rPr>
              <w:t>1</w:t>
            </w:r>
          </w:p>
        </w:tc>
        <w:tc>
          <w:tcPr>
            <w:tcW w:w="992" w:type="dxa"/>
            <w:tcBorders>
              <w:top w:val="single" w:sz="4" w:space="0" w:color="000000"/>
              <w:left w:val="single" w:sz="12" w:space="0" w:color="000000"/>
              <w:bottom w:val="single" w:sz="12" w:space="0" w:color="000000"/>
              <w:right w:val="single" w:sz="12" w:space="0" w:color="auto"/>
            </w:tcBorders>
            <w:vAlign w:val="center"/>
          </w:tcPr>
          <w:p w14:paraId="0AC5E981" w14:textId="40E4AC20" w:rsidR="00B361EF" w:rsidRPr="00140536" w:rsidRDefault="00B361EF" w:rsidP="008318CD">
            <w:pPr>
              <w:spacing w:after="0" w:line="259" w:lineRule="auto"/>
              <w:ind w:left="0" w:right="44" w:firstLine="0"/>
              <w:jc w:val="center"/>
              <w:rPr>
                <w:rFonts w:eastAsia="Segoe UI Symbol"/>
                <w:sz w:val="18"/>
              </w:rPr>
            </w:pPr>
            <w:r w:rsidRPr="00140536">
              <w:rPr>
                <w:rFonts w:eastAsia="Segoe UI Symbol"/>
                <w:sz w:val="18"/>
              </w:rPr>
              <w:t>u</w:t>
            </w:r>
            <w:r w:rsidRPr="000376D7">
              <w:rPr>
                <w:sz w:val="18"/>
              </w:rPr>
              <w:t>g/L</w:t>
            </w:r>
          </w:p>
        </w:tc>
        <w:tc>
          <w:tcPr>
            <w:tcW w:w="900" w:type="dxa"/>
            <w:tcBorders>
              <w:top w:val="single" w:sz="4" w:space="0" w:color="000000"/>
              <w:left w:val="single" w:sz="12" w:space="0" w:color="auto"/>
              <w:bottom w:val="single" w:sz="12" w:space="0" w:color="000000"/>
              <w:right w:val="single" w:sz="12" w:space="0" w:color="000000"/>
            </w:tcBorders>
            <w:vAlign w:val="center"/>
          </w:tcPr>
          <w:p w14:paraId="659BB774" w14:textId="75F37455" w:rsidR="00B361EF" w:rsidRDefault="00B361EF" w:rsidP="008318CD">
            <w:pPr>
              <w:tabs>
                <w:tab w:val="center" w:pos="354"/>
              </w:tabs>
              <w:spacing w:after="0" w:line="259" w:lineRule="auto"/>
              <w:ind w:left="0" w:right="0" w:firstLine="0"/>
              <w:jc w:val="center"/>
              <w:rPr>
                <w:sz w:val="18"/>
              </w:rPr>
            </w:pPr>
            <w:r>
              <w:rPr>
                <w:sz w:val="18"/>
              </w:rPr>
              <w:t>5</w:t>
            </w:r>
          </w:p>
        </w:tc>
        <w:tc>
          <w:tcPr>
            <w:tcW w:w="1092" w:type="dxa"/>
            <w:tcBorders>
              <w:top w:val="single" w:sz="4" w:space="0" w:color="000000"/>
              <w:left w:val="single" w:sz="12" w:space="0" w:color="000000"/>
              <w:bottom w:val="single" w:sz="12" w:space="0" w:color="000000"/>
              <w:right w:val="single" w:sz="12" w:space="0" w:color="000000"/>
            </w:tcBorders>
            <w:vAlign w:val="center"/>
          </w:tcPr>
          <w:p w14:paraId="21D9C2D2" w14:textId="1FAC2909" w:rsidR="00B361EF" w:rsidRDefault="00B361EF" w:rsidP="008318CD">
            <w:pPr>
              <w:spacing w:after="0" w:line="259" w:lineRule="auto"/>
              <w:ind w:left="0" w:right="46" w:firstLine="0"/>
              <w:jc w:val="center"/>
              <w:rPr>
                <w:rFonts w:eastAsia="Segoe UI Symbol"/>
                <w:sz w:val="18"/>
              </w:rPr>
            </w:pPr>
            <w:r>
              <w:rPr>
                <w:rFonts w:eastAsia="Segoe UI Symbol"/>
                <w:sz w:val="18"/>
              </w:rPr>
              <w:t>u</w:t>
            </w:r>
            <w:r>
              <w:rPr>
                <w:sz w:val="18"/>
              </w:rPr>
              <w:t>g/kg</w:t>
            </w:r>
          </w:p>
        </w:tc>
        <w:tc>
          <w:tcPr>
            <w:tcW w:w="1217" w:type="dxa"/>
            <w:tcBorders>
              <w:top w:val="single" w:sz="4" w:space="0" w:color="000000"/>
              <w:left w:val="single" w:sz="12" w:space="0" w:color="000000"/>
              <w:bottom w:val="single" w:sz="12" w:space="0" w:color="000000"/>
              <w:right w:val="single" w:sz="12" w:space="0" w:color="000000"/>
            </w:tcBorders>
            <w:vAlign w:val="center"/>
          </w:tcPr>
          <w:p w14:paraId="3A13B86C" w14:textId="2AAEF6D8" w:rsidR="00B361EF" w:rsidRDefault="00B361EF" w:rsidP="008318CD">
            <w:pPr>
              <w:spacing w:after="0" w:line="259" w:lineRule="auto"/>
              <w:ind w:left="0" w:right="45" w:firstLine="0"/>
              <w:jc w:val="center"/>
              <w:rPr>
                <w:b/>
                <w:sz w:val="18"/>
              </w:rPr>
            </w:pPr>
            <w:r>
              <w:rPr>
                <w:b/>
                <w:sz w:val="18"/>
              </w:rPr>
              <w:t>8260</w:t>
            </w:r>
          </w:p>
        </w:tc>
        <w:tc>
          <w:tcPr>
            <w:tcW w:w="1080" w:type="dxa"/>
            <w:tcBorders>
              <w:top w:val="single" w:sz="4" w:space="0" w:color="000000"/>
              <w:left w:val="single" w:sz="12" w:space="0" w:color="000000"/>
              <w:bottom w:val="single" w:sz="12" w:space="0" w:color="000000"/>
              <w:right w:val="single" w:sz="12" w:space="0" w:color="000000"/>
            </w:tcBorders>
            <w:vAlign w:val="center"/>
          </w:tcPr>
          <w:p w14:paraId="2196E1AD" w14:textId="729386A1" w:rsidR="00AF73DF" w:rsidRDefault="00B361EF" w:rsidP="008318CD">
            <w:pPr>
              <w:spacing w:after="0" w:line="259" w:lineRule="auto"/>
              <w:ind w:left="0" w:right="48" w:firstLine="0"/>
              <w:jc w:val="center"/>
              <w:rPr>
                <w:sz w:val="18"/>
              </w:rPr>
            </w:pPr>
            <w:r>
              <w:rPr>
                <w:sz w:val="18"/>
              </w:rPr>
              <w:t>802</w:t>
            </w:r>
            <w:r w:rsidR="00AF73DF">
              <w:rPr>
                <w:sz w:val="18"/>
              </w:rPr>
              <w:t>1</w:t>
            </w:r>
          </w:p>
        </w:tc>
      </w:tr>
    </w:tbl>
    <w:p w14:paraId="7D6AE817" w14:textId="619889B5" w:rsidR="00B56D50" w:rsidRDefault="00B56D50">
      <w:pPr>
        <w:spacing w:after="0" w:line="259" w:lineRule="auto"/>
        <w:ind w:left="0" w:right="0" w:firstLine="0"/>
      </w:pPr>
    </w:p>
    <w:p w14:paraId="3DEAF7DF" w14:textId="77777777" w:rsidR="0034764B" w:rsidRDefault="0034764B">
      <w:pPr>
        <w:spacing w:after="0" w:line="259" w:lineRule="auto"/>
        <w:ind w:left="0" w:right="0" w:firstLine="0"/>
      </w:pPr>
    </w:p>
    <w:p w14:paraId="63D75B7C" w14:textId="77777777" w:rsidR="0034764B" w:rsidRDefault="0034764B">
      <w:pPr>
        <w:spacing w:after="0" w:line="259" w:lineRule="auto"/>
        <w:ind w:left="0" w:right="0" w:firstLine="0"/>
      </w:pPr>
    </w:p>
    <w:p w14:paraId="392A0E61" w14:textId="77777777" w:rsidR="00EB03CC" w:rsidRDefault="00EB03CC">
      <w:pPr>
        <w:spacing w:after="0" w:line="259" w:lineRule="auto"/>
        <w:ind w:left="0" w:right="0" w:firstLine="0"/>
      </w:pPr>
    </w:p>
    <w:p w14:paraId="654E789A" w14:textId="77777777" w:rsidR="00EB03CC" w:rsidRDefault="00EB03CC">
      <w:pPr>
        <w:spacing w:after="0" w:line="259" w:lineRule="auto"/>
        <w:ind w:left="0" w:right="0" w:firstLine="0"/>
      </w:pPr>
    </w:p>
    <w:p w14:paraId="782E0A45" w14:textId="77777777" w:rsidR="00D00632" w:rsidRDefault="00D00632">
      <w:pPr>
        <w:spacing w:after="0" w:line="259" w:lineRule="auto"/>
        <w:ind w:left="0" w:right="0" w:firstLine="0"/>
      </w:pPr>
    </w:p>
    <w:tbl>
      <w:tblPr>
        <w:tblStyle w:val="TableGrid1"/>
        <w:tblW w:w="10620" w:type="dxa"/>
        <w:tblInd w:w="-375" w:type="dxa"/>
        <w:tblCellMar>
          <w:top w:w="22" w:type="dxa"/>
          <w:left w:w="72" w:type="dxa"/>
        </w:tblCellMar>
        <w:tblLook w:val="04A0" w:firstRow="1" w:lastRow="0" w:firstColumn="1" w:lastColumn="0" w:noHBand="0" w:noVBand="1"/>
      </w:tblPr>
      <w:tblGrid>
        <w:gridCol w:w="3381"/>
        <w:gridCol w:w="1000"/>
        <w:gridCol w:w="893"/>
        <w:gridCol w:w="1110"/>
        <w:gridCol w:w="910"/>
        <w:gridCol w:w="1003"/>
        <w:gridCol w:w="1243"/>
        <w:gridCol w:w="1080"/>
      </w:tblGrid>
      <w:tr w:rsidR="000B5758" w:rsidRPr="00CF222B" w14:paraId="3FFA9B93" w14:textId="77777777" w:rsidTr="00F61FD1">
        <w:trPr>
          <w:trHeight w:val="343"/>
        </w:trPr>
        <w:tc>
          <w:tcPr>
            <w:tcW w:w="10620" w:type="dxa"/>
            <w:gridSpan w:val="8"/>
            <w:tcBorders>
              <w:top w:val="single" w:sz="12" w:space="0" w:color="000000"/>
              <w:left w:val="single" w:sz="12" w:space="0" w:color="000000"/>
              <w:bottom w:val="single" w:sz="12" w:space="0" w:color="000000"/>
              <w:right w:val="single" w:sz="12" w:space="0" w:color="000000"/>
            </w:tcBorders>
            <w:vAlign w:val="center"/>
          </w:tcPr>
          <w:p w14:paraId="3B9AE2C6" w14:textId="1C2D24AB" w:rsidR="000B5758" w:rsidRDefault="000B5758" w:rsidP="00957009">
            <w:pPr>
              <w:spacing w:after="0" w:line="240" w:lineRule="auto"/>
              <w:ind w:left="0" w:right="0" w:firstLine="0"/>
            </w:pPr>
            <w:r>
              <w:rPr>
                <w:b/>
                <w:sz w:val="18"/>
              </w:rPr>
              <w:lastRenderedPageBreak/>
              <w:t>VOA – Group B:</w:t>
            </w:r>
            <w:r>
              <w:rPr>
                <w:sz w:val="18"/>
              </w:rPr>
              <w:t xml:space="preserve">  </w:t>
            </w:r>
            <w:r>
              <w:rPr>
                <w:b/>
                <w:sz w:val="18"/>
              </w:rPr>
              <w:t>BTEX and MTBE</w:t>
            </w:r>
          </w:p>
        </w:tc>
      </w:tr>
      <w:tr w:rsidR="00B56D50" w14:paraId="1DEBA9D6" w14:textId="77777777" w:rsidTr="00F61FD1">
        <w:trPr>
          <w:trHeight w:val="444"/>
        </w:trPr>
        <w:tc>
          <w:tcPr>
            <w:tcW w:w="3381" w:type="dxa"/>
            <w:vMerge w:val="restart"/>
            <w:tcBorders>
              <w:top w:val="single" w:sz="12" w:space="0" w:color="000000"/>
              <w:left w:val="single" w:sz="12" w:space="0" w:color="000000"/>
              <w:bottom w:val="single" w:sz="12" w:space="0" w:color="000000"/>
              <w:right w:val="single" w:sz="12" w:space="0" w:color="000000"/>
            </w:tcBorders>
            <w:vAlign w:val="center"/>
          </w:tcPr>
          <w:p w14:paraId="0C2F217C" w14:textId="505D28E6" w:rsidR="00B56D50" w:rsidRDefault="001C3C42" w:rsidP="00F61FD1">
            <w:pPr>
              <w:spacing w:after="0" w:line="259" w:lineRule="auto"/>
              <w:ind w:left="0" w:right="0" w:firstLine="0"/>
              <w:jc w:val="center"/>
            </w:pPr>
            <w:r>
              <w:rPr>
                <w:b/>
                <w:sz w:val="18"/>
              </w:rPr>
              <w:t>Analyte</w:t>
            </w:r>
          </w:p>
        </w:tc>
        <w:tc>
          <w:tcPr>
            <w:tcW w:w="1000" w:type="dxa"/>
            <w:vMerge w:val="restart"/>
            <w:tcBorders>
              <w:top w:val="single" w:sz="12" w:space="0" w:color="000000"/>
              <w:left w:val="single" w:sz="12" w:space="0" w:color="000000"/>
              <w:bottom w:val="single" w:sz="12" w:space="0" w:color="000000"/>
              <w:right w:val="single" w:sz="12" w:space="0" w:color="000000"/>
            </w:tcBorders>
            <w:vAlign w:val="center"/>
          </w:tcPr>
          <w:p w14:paraId="072445AD" w14:textId="20F6D56D" w:rsidR="00B56D50" w:rsidRDefault="001C3C42" w:rsidP="00885AF9">
            <w:pPr>
              <w:spacing w:after="0" w:line="259" w:lineRule="auto"/>
              <w:ind w:left="0" w:right="0" w:firstLine="0"/>
              <w:jc w:val="center"/>
            </w:pPr>
            <w:r>
              <w:rPr>
                <w:b/>
                <w:sz w:val="18"/>
              </w:rPr>
              <w:t>CAS Number</w:t>
            </w:r>
          </w:p>
        </w:tc>
        <w:tc>
          <w:tcPr>
            <w:tcW w:w="2003" w:type="dxa"/>
            <w:gridSpan w:val="2"/>
            <w:tcBorders>
              <w:top w:val="single" w:sz="12" w:space="0" w:color="000000"/>
              <w:left w:val="single" w:sz="12" w:space="0" w:color="000000"/>
              <w:bottom w:val="single" w:sz="12" w:space="0" w:color="000000"/>
              <w:right w:val="single" w:sz="12" w:space="0" w:color="000000"/>
            </w:tcBorders>
            <w:vAlign w:val="center"/>
          </w:tcPr>
          <w:p w14:paraId="1591B719" w14:textId="38667038" w:rsidR="00B56D50" w:rsidRDefault="001C3C42" w:rsidP="00885AF9">
            <w:pPr>
              <w:spacing w:after="0" w:line="259" w:lineRule="auto"/>
              <w:ind w:left="442" w:right="490" w:firstLine="0"/>
              <w:jc w:val="center"/>
            </w:pPr>
            <w:r>
              <w:rPr>
                <w:b/>
                <w:sz w:val="18"/>
              </w:rPr>
              <w:t xml:space="preserve">Aqueous </w:t>
            </w:r>
            <w:r>
              <w:rPr>
                <w:b/>
                <w:i/>
                <w:sz w:val="18"/>
              </w:rPr>
              <w:t>25 mL purge</w:t>
            </w:r>
          </w:p>
        </w:tc>
        <w:tc>
          <w:tcPr>
            <w:tcW w:w="1913" w:type="dxa"/>
            <w:gridSpan w:val="2"/>
            <w:tcBorders>
              <w:top w:val="single" w:sz="12" w:space="0" w:color="000000"/>
              <w:left w:val="single" w:sz="12" w:space="0" w:color="000000"/>
              <w:bottom w:val="single" w:sz="12" w:space="0" w:color="000000"/>
              <w:right w:val="single" w:sz="12" w:space="0" w:color="000000"/>
            </w:tcBorders>
            <w:vAlign w:val="center"/>
          </w:tcPr>
          <w:p w14:paraId="1229E4DF" w14:textId="4CEBE1F8" w:rsidR="00B56D50" w:rsidRDefault="001C3C42" w:rsidP="00885AF9">
            <w:pPr>
              <w:spacing w:after="0" w:line="259" w:lineRule="auto"/>
              <w:ind w:left="166" w:right="182" w:firstLine="0"/>
              <w:jc w:val="center"/>
            </w:pPr>
            <w:r>
              <w:rPr>
                <w:b/>
                <w:sz w:val="18"/>
              </w:rPr>
              <w:t xml:space="preserve">Soil/Sediment </w:t>
            </w:r>
            <w:r>
              <w:rPr>
                <w:sz w:val="18"/>
              </w:rPr>
              <w:t>(low concentration)</w:t>
            </w:r>
          </w:p>
        </w:tc>
        <w:tc>
          <w:tcPr>
            <w:tcW w:w="2323" w:type="dxa"/>
            <w:gridSpan w:val="2"/>
            <w:vMerge w:val="restart"/>
            <w:tcBorders>
              <w:top w:val="single" w:sz="12" w:space="0" w:color="000000"/>
              <w:left w:val="single" w:sz="12" w:space="0" w:color="000000"/>
              <w:bottom w:val="single" w:sz="12" w:space="0" w:color="000000"/>
              <w:right w:val="single" w:sz="12" w:space="0" w:color="000000"/>
            </w:tcBorders>
            <w:vAlign w:val="center"/>
          </w:tcPr>
          <w:p w14:paraId="6C3DE79F" w14:textId="65771727" w:rsidR="00B56D50" w:rsidRDefault="001C3C42" w:rsidP="00885AF9">
            <w:pPr>
              <w:spacing w:after="0" w:line="259" w:lineRule="auto"/>
              <w:ind w:left="89" w:right="0" w:firstLine="0"/>
              <w:jc w:val="center"/>
            </w:pPr>
            <w:r>
              <w:rPr>
                <w:b/>
                <w:sz w:val="18"/>
              </w:rPr>
              <w:t xml:space="preserve">Acceptable Methods </w:t>
            </w:r>
            <w:r w:rsidR="008C76DC" w:rsidRPr="008C76DC">
              <w:rPr>
                <w:b/>
                <w:sz w:val="18"/>
                <w:vertAlign w:val="superscript"/>
              </w:rPr>
              <w:t>12</w:t>
            </w:r>
          </w:p>
        </w:tc>
      </w:tr>
      <w:tr w:rsidR="00C84A5D" w14:paraId="6A07CFB3" w14:textId="77777777" w:rsidTr="00F61FD1">
        <w:trPr>
          <w:trHeight w:val="269"/>
        </w:trPr>
        <w:tc>
          <w:tcPr>
            <w:tcW w:w="3381" w:type="dxa"/>
            <w:vMerge/>
            <w:tcBorders>
              <w:top w:val="nil"/>
              <w:left w:val="single" w:sz="12" w:space="0" w:color="000000"/>
              <w:bottom w:val="single" w:sz="12" w:space="0" w:color="000000"/>
              <w:right w:val="single" w:sz="12" w:space="0" w:color="000000"/>
            </w:tcBorders>
            <w:vAlign w:val="center"/>
          </w:tcPr>
          <w:p w14:paraId="74DF3FF2" w14:textId="77777777" w:rsidR="00B56D50" w:rsidRDefault="00B56D50" w:rsidP="00017AB4">
            <w:pPr>
              <w:spacing w:after="160" w:line="259" w:lineRule="auto"/>
              <w:ind w:left="0" w:right="0" w:firstLine="0"/>
              <w:jc w:val="center"/>
            </w:pPr>
          </w:p>
        </w:tc>
        <w:tc>
          <w:tcPr>
            <w:tcW w:w="0" w:type="auto"/>
            <w:vMerge/>
            <w:tcBorders>
              <w:top w:val="nil"/>
              <w:left w:val="single" w:sz="12" w:space="0" w:color="000000"/>
              <w:bottom w:val="single" w:sz="12" w:space="0" w:color="000000"/>
              <w:right w:val="single" w:sz="12" w:space="0" w:color="000000"/>
            </w:tcBorders>
            <w:vAlign w:val="center"/>
          </w:tcPr>
          <w:p w14:paraId="33A51283" w14:textId="77777777" w:rsidR="00B56D50" w:rsidRDefault="00B56D50" w:rsidP="00017AB4">
            <w:pPr>
              <w:spacing w:after="160" w:line="259" w:lineRule="auto"/>
              <w:ind w:left="0" w:right="0" w:firstLine="0"/>
              <w:jc w:val="center"/>
            </w:pPr>
          </w:p>
        </w:tc>
        <w:tc>
          <w:tcPr>
            <w:tcW w:w="893" w:type="dxa"/>
            <w:tcBorders>
              <w:top w:val="single" w:sz="12" w:space="0" w:color="000000"/>
              <w:left w:val="single" w:sz="12" w:space="0" w:color="000000"/>
              <w:bottom w:val="single" w:sz="12" w:space="0" w:color="000000"/>
              <w:right w:val="single" w:sz="12" w:space="0" w:color="000000"/>
            </w:tcBorders>
            <w:vAlign w:val="center"/>
          </w:tcPr>
          <w:p w14:paraId="5EC3FF22" w14:textId="1048C7D4" w:rsidR="00B56D50" w:rsidRDefault="001C3C42" w:rsidP="00640D79">
            <w:pPr>
              <w:spacing w:after="0" w:line="259" w:lineRule="auto"/>
              <w:ind w:left="0" w:right="52" w:firstLine="0"/>
              <w:jc w:val="center"/>
            </w:pPr>
            <w:r>
              <w:rPr>
                <w:b/>
                <w:sz w:val="18"/>
              </w:rPr>
              <w:t>RL</w:t>
            </w:r>
          </w:p>
        </w:tc>
        <w:tc>
          <w:tcPr>
            <w:tcW w:w="1110" w:type="dxa"/>
            <w:tcBorders>
              <w:top w:val="single" w:sz="12" w:space="0" w:color="000000"/>
              <w:left w:val="single" w:sz="12" w:space="0" w:color="000000"/>
              <w:bottom w:val="single" w:sz="12" w:space="0" w:color="000000"/>
              <w:right w:val="single" w:sz="12" w:space="0" w:color="000000"/>
            </w:tcBorders>
            <w:vAlign w:val="center"/>
          </w:tcPr>
          <w:p w14:paraId="201FA980" w14:textId="5326D699" w:rsidR="00B56D50" w:rsidRDefault="001C3C42" w:rsidP="00885AF9">
            <w:pPr>
              <w:spacing w:after="0" w:line="259" w:lineRule="auto"/>
              <w:ind w:left="0" w:right="48" w:firstLine="0"/>
              <w:jc w:val="center"/>
            </w:pPr>
            <w:r>
              <w:rPr>
                <w:b/>
                <w:sz w:val="18"/>
              </w:rPr>
              <w:t>units</w:t>
            </w:r>
          </w:p>
        </w:tc>
        <w:tc>
          <w:tcPr>
            <w:tcW w:w="910" w:type="dxa"/>
            <w:tcBorders>
              <w:top w:val="single" w:sz="12" w:space="0" w:color="000000"/>
              <w:left w:val="single" w:sz="12" w:space="0" w:color="000000"/>
              <w:bottom w:val="single" w:sz="12" w:space="0" w:color="000000"/>
              <w:right w:val="single" w:sz="12" w:space="0" w:color="000000"/>
            </w:tcBorders>
            <w:vAlign w:val="center"/>
          </w:tcPr>
          <w:p w14:paraId="79B6476C" w14:textId="14038978" w:rsidR="00B56D50" w:rsidRDefault="001C3C42" w:rsidP="00885AF9">
            <w:pPr>
              <w:spacing w:after="0" w:line="259" w:lineRule="auto"/>
              <w:ind w:left="0" w:right="50" w:firstLine="0"/>
              <w:jc w:val="center"/>
            </w:pPr>
            <w:r>
              <w:rPr>
                <w:b/>
                <w:sz w:val="18"/>
              </w:rPr>
              <w:t>RL</w:t>
            </w:r>
          </w:p>
        </w:tc>
        <w:tc>
          <w:tcPr>
            <w:tcW w:w="1003" w:type="dxa"/>
            <w:tcBorders>
              <w:top w:val="single" w:sz="12" w:space="0" w:color="000000"/>
              <w:left w:val="single" w:sz="12" w:space="0" w:color="000000"/>
              <w:bottom w:val="single" w:sz="12" w:space="0" w:color="000000"/>
              <w:right w:val="single" w:sz="12" w:space="0" w:color="000000"/>
            </w:tcBorders>
            <w:vAlign w:val="center"/>
          </w:tcPr>
          <w:p w14:paraId="60DEF5B7" w14:textId="66BD8AEC" w:rsidR="00B56D50" w:rsidRDefault="001C3C42" w:rsidP="00885AF9">
            <w:pPr>
              <w:spacing w:after="0" w:line="259" w:lineRule="auto"/>
              <w:ind w:left="0" w:right="52" w:firstLine="0"/>
              <w:jc w:val="center"/>
            </w:pPr>
            <w:r>
              <w:rPr>
                <w:b/>
                <w:sz w:val="18"/>
              </w:rPr>
              <w:t>units</w:t>
            </w:r>
          </w:p>
        </w:tc>
        <w:tc>
          <w:tcPr>
            <w:tcW w:w="2323" w:type="dxa"/>
            <w:gridSpan w:val="2"/>
            <w:vMerge/>
            <w:tcBorders>
              <w:top w:val="nil"/>
              <w:left w:val="single" w:sz="12" w:space="0" w:color="000000"/>
              <w:bottom w:val="single" w:sz="12" w:space="0" w:color="000000"/>
              <w:right w:val="single" w:sz="12" w:space="0" w:color="000000"/>
            </w:tcBorders>
            <w:vAlign w:val="center"/>
          </w:tcPr>
          <w:p w14:paraId="64855481" w14:textId="77777777" w:rsidR="00B56D50" w:rsidRDefault="00B56D50" w:rsidP="00017AB4">
            <w:pPr>
              <w:spacing w:after="160" w:line="259" w:lineRule="auto"/>
              <w:ind w:left="0" w:right="0" w:firstLine="0"/>
              <w:jc w:val="center"/>
            </w:pPr>
          </w:p>
        </w:tc>
      </w:tr>
      <w:tr w:rsidR="00BD6806" w14:paraId="03FD928E" w14:textId="77777777" w:rsidTr="00F61FD1">
        <w:trPr>
          <w:trHeight w:val="262"/>
        </w:trPr>
        <w:tc>
          <w:tcPr>
            <w:tcW w:w="3381" w:type="dxa"/>
            <w:tcBorders>
              <w:top w:val="single" w:sz="12" w:space="0" w:color="000000"/>
              <w:left w:val="single" w:sz="12" w:space="0" w:color="000000"/>
              <w:bottom w:val="single" w:sz="4" w:space="0" w:color="000000"/>
              <w:right w:val="single" w:sz="12" w:space="0" w:color="000000"/>
            </w:tcBorders>
          </w:tcPr>
          <w:p w14:paraId="48B7E303" w14:textId="77777777" w:rsidR="00BD6806" w:rsidRDefault="00BD6806" w:rsidP="00BD6806">
            <w:pPr>
              <w:spacing w:after="0" w:line="259" w:lineRule="auto"/>
              <w:ind w:left="0" w:right="0" w:firstLine="0"/>
            </w:pPr>
            <w:r>
              <w:rPr>
                <w:sz w:val="18"/>
              </w:rPr>
              <w:t xml:space="preserve">Benzene </w:t>
            </w:r>
          </w:p>
        </w:tc>
        <w:tc>
          <w:tcPr>
            <w:tcW w:w="1000" w:type="dxa"/>
            <w:tcBorders>
              <w:top w:val="single" w:sz="12" w:space="0" w:color="000000"/>
              <w:left w:val="single" w:sz="12" w:space="0" w:color="000000"/>
              <w:bottom w:val="single" w:sz="4" w:space="0" w:color="000000"/>
              <w:right w:val="single" w:sz="12" w:space="0" w:color="000000"/>
            </w:tcBorders>
          </w:tcPr>
          <w:p w14:paraId="518CD3E3" w14:textId="716F4062" w:rsidR="00BD6806" w:rsidRDefault="00BD6806" w:rsidP="001C0B54">
            <w:pPr>
              <w:spacing w:after="0" w:line="259" w:lineRule="auto"/>
              <w:ind w:left="0" w:right="44" w:firstLine="0"/>
              <w:jc w:val="center"/>
            </w:pPr>
            <w:r>
              <w:rPr>
                <w:sz w:val="18"/>
              </w:rPr>
              <w:t>71-43-2</w:t>
            </w:r>
          </w:p>
        </w:tc>
        <w:tc>
          <w:tcPr>
            <w:tcW w:w="893" w:type="dxa"/>
            <w:tcBorders>
              <w:top w:val="single" w:sz="12" w:space="0" w:color="000000"/>
              <w:left w:val="single" w:sz="12" w:space="0" w:color="000000"/>
              <w:bottom w:val="single" w:sz="4" w:space="0" w:color="000000"/>
              <w:right w:val="single" w:sz="12" w:space="0" w:color="000000"/>
            </w:tcBorders>
          </w:tcPr>
          <w:p w14:paraId="22A99797" w14:textId="5405D820" w:rsidR="00BD6806" w:rsidRDefault="00BD6806" w:rsidP="001C0B54">
            <w:pPr>
              <w:spacing w:after="0" w:line="259" w:lineRule="auto"/>
              <w:ind w:left="0" w:right="50" w:firstLine="0"/>
              <w:jc w:val="center"/>
            </w:pPr>
            <w:r>
              <w:rPr>
                <w:sz w:val="18"/>
              </w:rPr>
              <w:t>1</w:t>
            </w:r>
          </w:p>
        </w:tc>
        <w:tc>
          <w:tcPr>
            <w:tcW w:w="1110" w:type="dxa"/>
            <w:tcBorders>
              <w:top w:val="single" w:sz="12" w:space="0" w:color="000000"/>
              <w:left w:val="single" w:sz="12" w:space="0" w:color="000000"/>
              <w:bottom w:val="single" w:sz="4" w:space="0" w:color="000000"/>
              <w:right w:val="single" w:sz="12" w:space="0" w:color="000000"/>
            </w:tcBorders>
          </w:tcPr>
          <w:p w14:paraId="5F293373" w14:textId="7F412C72" w:rsidR="00BD6806" w:rsidRPr="000376D7" w:rsidRDefault="00BD6806" w:rsidP="001C0B54">
            <w:pPr>
              <w:spacing w:after="0" w:line="259" w:lineRule="auto"/>
              <w:ind w:left="0" w:right="49" w:firstLine="0"/>
              <w:jc w:val="center"/>
            </w:pPr>
            <w:r w:rsidRPr="00140536">
              <w:rPr>
                <w:rFonts w:eastAsia="Segoe UI Symbol"/>
                <w:sz w:val="18"/>
              </w:rPr>
              <w:t>u</w:t>
            </w:r>
            <w:r w:rsidRPr="000376D7">
              <w:rPr>
                <w:sz w:val="18"/>
              </w:rPr>
              <w:t>g/L</w:t>
            </w:r>
          </w:p>
        </w:tc>
        <w:tc>
          <w:tcPr>
            <w:tcW w:w="910" w:type="dxa"/>
            <w:tcBorders>
              <w:top w:val="single" w:sz="12" w:space="0" w:color="000000"/>
              <w:left w:val="single" w:sz="12" w:space="0" w:color="000000"/>
              <w:bottom w:val="single" w:sz="4" w:space="0" w:color="000000"/>
              <w:right w:val="single" w:sz="12" w:space="0" w:color="000000"/>
            </w:tcBorders>
          </w:tcPr>
          <w:p w14:paraId="4AA7BA70" w14:textId="5AB2AF37" w:rsidR="00BD6806" w:rsidRDefault="00BD6806" w:rsidP="001C0B54">
            <w:pPr>
              <w:spacing w:after="0" w:line="259" w:lineRule="auto"/>
              <w:ind w:left="0" w:right="46" w:firstLine="0"/>
              <w:jc w:val="center"/>
            </w:pPr>
            <w:r>
              <w:rPr>
                <w:sz w:val="18"/>
              </w:rPr>
              <w:t>5</w:t>
            </w:r>
          </w:p>
        </w:tc>
        <w:tc>
          <w:tcPr>
            <w:tcW w:w="1003" w:type="dxa"/>
            <w:tcBorders>
              <w:top w:val="single" w:sz="12" w:space="0" w:color="000000"/>
              <w:left w:val="single" w:sz="12" w:space="0" w:color="000000"/>
              <w:bottom w:val="single" w:sz="4" w:space="0" w:color="000000"/>
              <w:right w:val="single" w:sz="12" w:space="0" w:color="000000"/>
            </w:tcBorders>
          </w:tcPr>
          <w:p w14:paraId="1FA8379A" w14:textId="2B06938E" w:rsidR="00BD6806" w:rsidRDefault="00BD6806" w:rsidP="001C0B54">
            <w:pPr>
              <w:spacing w:after="0" w:line="259" w:lineRule="auto"/>
              <w:ind w:left="0" w:right="49" w:firstLine="0"/>
              <w:jc w:val="center"/>
            </w:pPr>
            <w:r>
              <w:rPr>
                <w:rFonts w:eastAsia="Segoe UI Symbol"/>
                <w:sz w:val="18"/>
              </w:rPr>
              <w:t>u</w:t>
            </w:r>
            <w:r>
              <w:rPr>
                <w:sz w:val="18"/>
              </w:rPr>
              <w:t>g/kg</w:t>
            </w:r>
          </w:p>
        </w:tc>
        <w:tc>
          <w:tcPr>
            <w:tcW w:w="1243" w:type="dxa"/>
            <w:tcBorders>
              <w:top w:val="single" w:sz="12" w:space="0" w:color="000000"/>
              <w:left w:val="single" w:sz="12" w:space="0" w:color="000000"/>
              <w:bottom w:val="single" w:sz="4" w:space="0" w:color="000000"/>
              <w:right w:val="single" w:sz="12" w:space="0" w:color="000000"/>
            </w:tcBorders>
            <w:vAlign w:val="center"/>
          </w:tcPr>
          <w:p w14:paraId="1369CB6A" w14:textId="694EC106" w:rsidR="00BD6806" w:rsidRDefault="00BD6806" w:rsidP="00CD2A3F">
            <w:pPr>
              <w:spacing w:after="0" w:line="259" w:lineRule="auto"/>
              <w:ind w:left="0" w:right="50" w:firstLine="0"/>
              <w:jc w:val="center"/>
            </w:pPr>
            <w:r>
              <w:rPr>
                <w:b/>
                <w:sz w:val="18"/>
              </w:rPr>
              <w:t>82</w:t>
            </w:r>
            <w:r w:rsidR="00B76954">
              <w:rPr>
                <w:b/>
                <w:sz w:val="18"/>
              </w:rPr>
              <w:t>60</w:t>
            </w:r>
          </w:p>
        </w:tc>
        <w:tc>
          <w:tcPr>
            <w:tcW w:w="1080" w:type="dxa"/>
            <w:tcBorders>
              <w:top w:val="single" w:sz="12" w:space="0" w:color="000000"/>
              <w:left w:val="single" w:sz="12" w:space="0" w:color="000000"/>
              <w:bottom w:val="single" w:sz="4" w:space="0" w:color="000000"/>
              <w:right w:val="single" w:sz="12" w:space="0" w:color="000000"/>
            </w:tcBorders>
          </w:tcPr>
          <w:p w14:paraId="5CAD6B63" w14:textId="4084FD80" w:rsidR="00BD6806" w:rsidRDefault="00BD6806" w:rsidP="001C0B54">
            <w:pPr>
              <w:spacing w:after="0" w:line="259" w:lineRule="auto"/>
              <w:ind w:left="0" w:right="0" w:firstLine="0"/>
              <w:jc w:val="center"/>
            </w:pPr>
          </w:p>
        </w:tc>
      </w:tr>
      <w:tr w:rsidR="00C33BE1" w14:paraId="3E865D3A" w14:textId="77777777" w:rsidTr="00F61FD1">
        <w:trPr>
          <w:trHeight w:val="250"/>
        </w:trPr>
        <w:tc>
          <w:tcPr>
            <w:tcW w:w="3381" w:type="dxa"/>
            <w:tcBorders>
              <w:top w:val="single" w:sz="4" w:space="0" w:color="000000"/>
              <w:left w:val="single" w:sz="12" w:space="0" w:color="000000"/>
              <w:bottom w:val="single" w:sz="4" w:space="0" w:color="000000"/>
              <w:right w:val="single" w:sz="12" w:space="0" w:color="000000"/>
            </w:tcBorders>
          </w:tcPr>
          <w:p w14:paraId="31EC000B" w14:textId="77777777" w:rsidR="00C33BE1" w:rsidRDefault="00C33BE1" w:rsidP="00C33BE1">
            <w:pPr>
              <w:spacing w:after="0" w:line="259" w:lineRule="auto"/>
              <w:ind w:left="0" w:right="0" w:firstLine="0"/>
            </w:pPr>
            <w:r>
              <w:rPr>
                <w:sz w:val="18"/>
              </w:rPr>
              <w:t xml:space="preserve">Ethylbenzene </w:t>
            </w:r>
          </w:p>
        </w:tc>
        <w:tc>
          <w:tcPr>
            <w:tcW w:w="1000" w:type="dxa"/>
            <w:tcBorders>
              <w:top w:val="single" w:sz="4" w:space="0" w:color="000000"/>
              <w:left w:val="single" w:sz="12" w:space="0" w:color="000000"/>
              <w:bottom w:val="single" w:sz="4" w:space="0" w:color="000000"/>
              <w:right w:val="single" w:sz="12" w:space="0" w:color="000000"/>
            </w:tcBorders>
          </w:tcPr>
          <w:p w14:paraId="45CA7126" w14:textId="22312F39" w:rsidR="00C33BE1" w:rsidRDefault="00C33BE1" w:rsidP="00C33BE1">
            <w:pPr>
              <w:spacing w:after="0" w:line="259" w:lineRule="auto"/>
              <w:ind w:left="0" w:right="44" w:firstLine="0"/>
              <w:jc w:val="center"/>
            </w:pPr>
            <w:r>
              <w:rPr>
                <w:sz w:val="18"/>
              </w:rPr>
              <w:t>100-41-4</w:t>
            </w:r>
          </w:p>
        </w:tc>
        <w:tc>
          <w:tcPr>
            <w:tcW w:w="893" w:type="dxa"/>
            <w:tcBorders>
              <w:top w:val="single" w:sz="4" w:space="0" w:color="000000"/>
              <w:left w:val="single" w:sz="12" w:space="0" w:color="000000"/>
              <w:bottom w:val="single" w:sz="4" w:space="0" w:color="000000"/>
              <w:right w:val="single" w:sz="12" w:space="0" w:color="000000"/>
            </w:tcBorders>
          </w:tcPr>
          <w:p w14:paraId="02639FC4" w14:textId="53ED6A6F" w:rsidR="00C33BE1" w:rsidRDefault="00C33BE1" w:rsidP="00C33BE1">
            <w:pPr>
              <w:spacing w:after="0" w:line="259" w:lineRule="auto"/>
              <w:ind w:left="0" w:right="50" w:firstLine="0"/>
              <w:jc w:val="center"/>
            </w:pPr>
            <w:r>
              <w:rPr>
                <w:sz w:val="18"/>
              </w:rPr>
              <w:t>1</w:t>
            </w:r>
          </w:p>
        </w:tc>
        <w:tc>
          <w:tcPr>
            <w:tcW w:w="1110" w:type="dxa"/>
            <w:tcBorders>
              <w:top w:val="single" w:sz="4" w:space="0" w:color="000000"/>
              <w:left w:val="single" w:sz="12" w:space="0" w:color="000000"/>
              <w:bottom w:val="single" w:sz="4" w:space="0" w:color="000000"/>
              <w:right w:val="single" w:sz="12" w:space="0" w:color="000000"/>
            </w:tcBorders>
          </w:tcPr>
          <w:p w14:paraId="42F4D754" w14:textId="5618FE2A" w:rsidR="00C33BE1" w:rsidRPr="000376D7" w:rsidRDefault="00C33BE1" w:rsidP="00C33BE1">
            <w:pPr>
              <w:spacing w:after="0" w:line="259" w:lineRule="auto"/>
              <w:ind w:left="0" w:right="49" w:firstLine="0"/>
              <w:jc w:val="center"/>
            </w:pPr>
            <w:r w:rsidRPr="00140536">
              <w:rPr>
                <w:rFonts w:eastAsia="Segoe UI Symbol"/>
                <w:sz w:val="18"/>
              </w:rPr>
              <w:t>u</w:t>
            </w:r>
            <w:r w:rsidRPr="000376D7">
              <w:rPr>
                <w:sz w:val="18"/>
              </w:rPr>
              <w:t>g/L</w:t>
            </w:r>
          </w:p>
        </w:tc>
        <w:tc>
          <w:tcPr>
            <w:tcW w:w="910" w:type="dxa"/>
            <w:tcBorders>
              <w:top w:val="single" w:sz="4" w:space="0" w:color="000000"/>
              <w:left w:val="single" w:sz="12" w:space="0" w:color="000000"/>
              <w:bottom w:val="single" w:sz="4" w:space="0" w:color="000000"/>
              <w:right w:val="single" w:sz="12" w:space="0" w:color="000000"/>
            </w:tcBorders>
          </w:tcPr>
          <w:p w14:paraId="45F5830A" w14:textId="13F8C87E" w:rsidR="00C33BE1" w:rsidRDefault="00C33BE1" w:rsidP="00C33BE1">
            <w:pPr>
              <w:spacing w:after="0" w:line="259" w:lineRule="auto"/>
              <w:ind w:left="0" w:right="46" w:firstLine="0"/>
              <w:jc w:val="center"/>
            </w:pPr>
            <w:r>
              <w:rPr>
                <w:sz w:val="18"/>
              </w:rPr>
              <w:t>5</w:t>
            </w:r>
          </w:p>
        </w:tc>
        <w:tc>
          <w:tcPr>
            <w:tcW w:w="1003" w:type="dxa"/>
            <w:tcBorders>
              <w:top w:val="single" w:sz="4" w:space="0" w:color="000000"/>
              <w:left w:val="single" w:sz="12" w:space="0" w:color="000000"/>
              <w:bottom w:val="single" w:sz="4" w:space="0" w:color="000000"/>
              <w:right w:val="single" w:sz="12" w:space="0" w:color="000000"/>
            </w:tcBorders>
          </w:tcPr>
          <w:p w14:paraId="76B0F916" w14:textId="6090C4F3" w:rsidR="00C33BE1" w:rsidRDefault="00C33BE1" w:rsidP="00C33BE1">
            <w:pPr>
              <w:spacing w:after="0" w:line="259" w:lineRule="auto"/>
              <w:ind w:left="0" w:right="49" w:firstLine="0"/>
              <w:jc w:val="center"/>
            </w:pPr>
            <w:r>
              <w:rPr>
                <w:rFonts w:eastAsia="Segoe UI Symbol"/>
                <w:sz w:val="18"/>
              </w:rPr>
              <w:t>u</w:t>
            </w:r>
            <w:r>
              <w:rPr>
                <w:sz w:val="18"/>
              </w:rPr>
              <w:t>g/kg</w:t>
            </w:r>
          </w:p>
        </w:tc>
        <w:tc>
          <w:tcPr>
            <w:tcW w:w="1243" w:type="dxa"/>
            <w:tcBorders>
              <w:top w:val="single" w:sz="4" w:space="0" w:color="000000"/>
              <w:left w:val="single" w:sz="12" w:space="0" w:color="000000"/>
              <w:bottom w:val="single" w:sz="4" w:space="0" w:color="000000"/>
              <w:right w:val="single" w:sz="12" w:space="0" w:color="000000"/>
            </w:tcBorders>
            <w:vAlign w:val="center"/>
          </w:tcPr>
          <w:p w14:paraId="7E50B4C1" w14:textId="3AB82097" w:rsidR="00C33BE1" w:rsidRPr="00C853F3" w:rsidRDefault="00C33BE1" w:rsidP="00CD2A3F">
            <w:pPr>
              <w:spacing w:after="0" w:line="259" w:lineRule="auto"/>
              <w:ind w:left="0" w:right="50" w:firstLine="0"/>
              <w:jc w:val="center"/>
              <w:rPr>
                <w:b/>
                <w:bCs/>
                <w:sz w:val="18"/>
                <w:szCs w:val="18"/>
              </w:rPr>
            </w:pPr>
            <w:r w:rsidRPr="00C853F3">
              <w:rPr>
                <w:b/>
                <w:bCs/>
                <w:sz w:val="18"/>
                <w:szCs w:val="18"/>
              </w:rPr>
              <w:t>8260</w:t>
            </w:r>
          </w:p>
        </w:tc>
        <w:tc>
          <w:tcPr>
            <w:tcW w:w="1080" w:type="dxa"/>
            <w:tcBorders>
              <w:top w:val="single" w:sz="4" w:space="0" w:color="000000"/>
              <w:left w:val="single" w:sz="12" w:space="0" w:color="000000"/>
              <w:bottom w:val="single" w:sz="4" w:space="0" w:color="000000"/>
              <w:right w:val="single" w:sz="12" w:space="0" w:color="000000"/>
            </w:tcBorders>
          </w:tcPr>
          <w:p w14:paraId="79334260" w14:textId="380ADC68" w:rsidR="00C33BE1" w:rsidRDefault="00C33BE1" w:rsidP="00C33BE1">
            <w:pPr>
              <w:spacing w:after="0" w:line="259" w:lineRule="auto"/>
              <w:ind w:left="0" w:right="0" w:firstLine="0"/>
              <w:jc w:val="center"/>
            </w:pPr>
          </w:p>
        </w:tc>
      </w:tr>
      <w:tr w:rsidR="00C33BE1" w14:paraId="1FF10610" w14:textId="77777777" w:rsidTr="00F61FD1">
        <w:trPr>
          <w:trHeight w:val="250"/>
        </w:trPr>
        <w:tc>
          <w:tcPr>
            <w:tcW w:w="3381" w:type="dxa"/>
            <w:tcBorders>
              <w:top w:val="single" w:sz="4" w:space="0" w:color="000000"/>
              <w:left w:val="single" w:sz="12" w:space="0" w:color="000000"/>
              <w:bottom w:val="single" w:sz="4" w:space="0" w:color="000000"/>
              <w:right w:val="single" w:sz="12" w:space="0" w:color="000000"/>
            </w:tcBorders>
          </w:tcPr>
          <w:p w14:paraId="43B359C1" w14:textId="77777777" w:rsidR="00C33BE1" w:rsidRDefault="00C33BE1" w:rsidP="00C33BE1">
            <w:pPr>
              <w:spacing w:after="0" w:line="259" w:lineRule="auto"/>
              <w:ind w:left="0" w:right="0" w:firstLine="0"/>
            </w:pPr>
            <w:r>
              <w:rPr>
                <w:sz w:val="18"/>
              </w:rPr>
              <w:t xml:space="preserve">Toluene </w:t>
            </w:r>
          </w:p>
        </w:tc>
        <w:tc>
          <w:tcPr>
            <w:tcW w:w="1000" w:type="dxa"/>
            <w:tcBorders>
              <w:top w:val="single" w:sz="4" w:space="0" w:color="000000"/>
              <w:left w:val="single" w:sz="12" w:space="0" w:color="000000"/>
              <w:bottom w:val="single" w:sz="4" w:space="0" w:color="000000"/>
              <w:right w:val="single" w:sz="12" w:space="0" w:color="000000"/>
            </w:tcBorders>
          </w:tcPr>
          <w:p w14:paraId="5287193A" w14:textId="7FD9026B" w:rsidR="00C33BE1" w:rsidRDefault="00C33BE1" w:rsidP="00C33BE1">
            <w:pPr>
              <w:spacing w:after="0" w:line="259" w:lineRule="auto"/>
              <w:ind w:left="0" w:right="44" w:firstLine="0"/>
              <w:jc w:val="center"/>
            </w:pPr>
            <w:r>
              <w:rPr>
                <w:sz w:val="18"/>
              </w:rPr>
              <w:t>108-88-3</w:t>
            </w:r>
          </w:p>
        </w:tc>
        <w:tc>
          <w:tcPr>
            <w:tcW w:w="893" w:type="dxa"/>
            <w:tcBorders>
              <w:top w:val="single" w:sz="4" w:space="0" w:color="000000"/>
              <w:left w:val="single" w:sz="12" w:space="0" w:color="000000"/>
              <w:bottom w:val="single" w:sz="4" w:space="0" w:color="000000"/>
              <w:right w:val="single" w:sz="12" w:space="0" w:color="000000"/>
            </w:tcBorders>
          </w:tcPr>
          <w:p w14:paraId="23DFB74A" w14:textId="433EB4FD" w:rsidR="00C33BE1" w:rsidRDefault="00C33BE1" w:rsidP="00C33BE1">
            <w:pPr>
              <w:spacing w:after="0" w:line="259" w:lineRule="auto"/>
              <w:ind w:left="0" w:right="50" w:firstLine="0"/>
              <w:jc w:val="center"/>
            </w:pPr>
            <w:r>
              <w:rPr>
                <w:sz w:val="18"/>
              </w:rPr>
              <w:t>1</w:t>
            </w:r>
          </w:p>
        </w:tc>
        <w:tc>
          <w:tcPr>
            <w:tcW w:w="1110" w:type="dxa"/>
            <w:tcBorders>
              <w:top w:val="single" w:sz="4" w:space="0" w:color="000000"/>
              <w:left w:val="single" w:sz="12" w:space="0" w:color="000000"/>
              <w:bottom w:val="single" w:sz="4" w:space="0" w:color="000000"/>
              <w:right w:val="single" w:sz="12" w:space="0" w:color="000000"/>
            </w:tcBorders>
          </w:tcPr>
          <w:p w14:paraId="588756F7" w14:textId="57B219F6" w:rsidR="00C33BE1" w:rsidRPr="000376D7" w:rsidRDefault="00C33BE1" w:rsidP="00C33BE1">
            <w:pPr>
              <w:spacing w:after="0" w:line="259" w:lineRule="auto"/>
              <w:ind w:left="0" w:right="49" w:firstLine="0"/>
              <w:jc w:val="center"/>
            </w:pPr>
            <w:r w:rsidRPr="00E03AE5">
              <w:rPr>
                <w:rFonts w:eastAsia="Segoe UI Symbol"/>
                <w:sz w:val="18"/>
              </w:rPr>
              <w:t>u</w:t>
            </w:r>
            <w:r w:rsidRPr="000376D7">
              <w:rPr>
                <w:sz w:val="18"/>
              </w:rPr>
              <w:t>g/L</w:t>
            </w:r>
          </w:p>
        </w:tc>
        <w:tc>
          <w:tcPr>
            <w:tcW w:w="910" w:type="dxa"/>
            <w:tcBorders>
              <w:top w:val="single" w:sz="4" w:space="0" w:color="000000"/>
              <w:left w:val="single" w:sz="12" w:space="0" w:color="000000"/>
              <w:bottom w:val="single" w:sz="4" w:space="0" w:color="000000"/>
              <w:right w:val="single" w:sz="12" w:space="0" w:color="000000"/>
            </w:tcBorders>
          </w:tcPr>
          <w:p w14:paraId="5B202DB3" w14:textId="4A3058BF" w:rsidR="00C33BE1" w:rsidRDefault="00C33BE1" w:rsidP="00C33BE1">
            <w:pPr>
              <w:spacing w:after="0" w:line="259" w:lineRule="auto"/>
              <w:ind w:left="0" w:right="46" w:firstLine="0"/>
              <w:jc w:val="center"/>
            </w:pPr>
            <w:r>
              <w:rPr>
                <w:sz w:val="18"/>
              </w:rPr>
              <w:t>5</w:t>
            </w:r>
          </w:p>
        </w:tc>
        <w:tc>
          <w:tcPr>
            <w:tcW w:w="1003" w:type="dxa"/>
            <w:tcBorders>
              <w:top w:val="single" w:sz="4" w:space="0" w:color="000000"/>
              <w:left w:val="single" w:sz="12" w:space="0" w:color="000000"/>
              <w:bottom w:val="single" w:sz="4" w:space="0" w:color="000000"/>
              <w:right w:val="single" w:sz="12" w:space="0" w:color="000000"/>
            </w:tcBorders>
          </w:tcPr>
          <w:p w14:paraId="7C862269" w14:textId="60AD7177" w:rsidR="00C33BE1" w:rsidRDefault="00C33BE1" w:rsidP="00C33BE1">
            <w:pPr>
              <w:spacing w:after="0" w:line="259" w:lineRule="auto"/>
              <w:ind w:left="0" w:right="49" w:firstLine="0"/>
              <w:jc w:val="center"/>
            </w:pPr>
            <w:r>
              <w:rPr>
                <w:rFonts w:eastAsia="Segoe UI Symbol"/>
                <w:sz w:val="18"/>
              </w:rPr>
              <w:t>u</w:t>
            </w:r>
            <w:r>
              <w:rPr>
                <w:sz w:val="18"/>
              </w:rPr>
              <w:t>g/kg</w:t>
            </w:r>
          </w:p>
        </w:tc>
        <w:tc>
          <w:tcPr>
            <w:tcW w:w="1243" w:type="dxa"/>
            <w:tcBorders>
              <w:top w:val="single" w:sz="4" w:space="0" w:color="000000"/>
              <w:left w:val="single" w:sz="12" w:space="0" w:color="000000"/>
              <w:bottom w:val="single" w:sz="4" w:space="0" w:color="000000"/>
              <w:right w:val="single" w:sz="12" w:space="0" w:color="000000"/>
            </w:tcBorders>
            <w:vAlign w:val="center"/>
          </w:tcPr>
          <w:p w14:paraId="40E3160C" w14:textId="4C625FA9" w:rsidR="00C33BE1" w:rsidRPr="00C853F3" w:rsidRDefault="00C33BE1" w:rsidP="00CD2A3F">
            <w:pPr>
              <w:spacing w:after="0" w:line="259" w:lineRule="auto"/>
              <w:ind w:left="0" w:right="50" w:firstLine="0"/>
              <w:jc w:val="center"/>
              <w:rPr>
                <w:b/>
                <w:bCs/>
                <w:sz w:val="18"/>
                <w:szCs w:val="18"/>
              </w:rPr>
            </w:pPr>
            <w:r w:rsidRPr="00C853F3">
              <w:rPr>
                <w:b/>
                <w:bCs/>
                <w:sz w:val="18"/>
                <w:szCs w:val="18"/>
              </w:rPr>
              <w:t>8260</w:t>
            </w:r>
          </w:p>
        </w:tc>
        <w:tc>
          <w:tcPr>
            <w:tcW w:w="1080" w:type="dxa"/>
            <w:tcBorders>
              <w:top w:val="single" w:sz="4" w:space="0" w:color="000000"/>
              <w:left w:val="single" w:sz="12" w:space="0" w:color="000000"/>
              <w:bottom w:val="single" w:sz="4" w:space="0" w:color="000000"/>
              <w:right w:val="single" w:sz="12" w:space="0" w:color="000000"/>
            </w:tcBorders>
          </w:tcPr>
          <w:p w14:paraId="62D1A698" w14:textId="74FCB27A" w:rsidR="00C33BE1" w:rsidRDefault="00C33BE1" w:rsidP="00C33BE1">
            <w:pPr>
              <w:spacing w:after="0" w:line="259" w:lineRule="auto"/>
              <w:ind w:left="0" w:right="0" w:firstLine="0"/>
              <w:jc w:val="center"/>
            </w:pPr>
          </w:p>
        </w:tc>
      </w:tr>
      <w:tr w:rsidR="00C33BE1" w14:paraId="3D2F2CF4" w14:textId="77777777" w:rsidTr="00F61FD1">
        <w:trPr>
          <w:trHeight w:val="250"/>
        </w:trPr>
        <w:tc>
          <w:tcPr>
            <w:tcW w:w="3381" w:type="dxa"/>
            <w:tcBorders>
              <w:top w:val="single" w:sz="4" w:space="0" w:color="000000"/>
              <w:left w:val="single" w:sz="12" w:space="0" w:color="000000"/>
              <w:bottom w:val="single" w:sz="4" w:space="0" w:color="000000"/>
              <w:right w:val="single" w:sz="12" w:space="0" w:color="000000"/>
            </w:tcBorders>
          </w:tcPr>
          <w:p w14:paraId="7C825C6A" w14:textId="77777777" w:rsidR="00C33BE1" w:rsidRDefault="00C33BE1" w:rsidP="00C33BE1">
            <w:pPr>
              <w:spacing w:after="0" w:line="259" w:lineRule="auto"/>
              <w:ind w:left="0" w:right="0" w:firstLine="0"/>
            </w:pPr>
            <w:r>
              <w:rPr>
                <w:sz w:val="18"/>
              </w:rPr>
              <w:t xml:space="preserve">Xylenes (total o-, m-, and p-) </w:t>
            </w:r>
          </w:p>
        </w:tc>
        <w:tc>
          <w:tcPr>
            <w:tcW w:w="1000" w:type="dxa"/>
            <w:tcBorders>
              <w:top w:val="single" w:sz="4" w:space="0" w:color="000000"/>
              <w:left w:val="single" w:sz="12" w:space="0" w:color="000000"/>
              <w:bottom w:val="single" w:sz="4" w:space="0" w:color="000000"/>
              <w:right w:val="single" w:sz="12" w:space="0" w:color="000000"/>
            </w:tcBorders>
          </w:tcPr>
          <w:p w14:paraId="30204F16" w14:textId="201C5D0B" w:rsidR="00C33BE1" w:rsidRDefault="00C33BE1" w:rsidP="00C33BE1">
            <w:pPr>
              <w:spacing w:after="0" w:line="259" w:lineRule="auto"/>
              <w:ind w:left="0" w:right="44" w:firstLine="0"/>
              <w:jc w:val="center"/>
            </w:pPr>
            <w:r>
              <w:rPr>
                <w:sz w:val="18"/>
              </w:rPr>
              <w:t>1330-20-7</w:t>
            </w:r>
          </w:p>
        </w:tc>
        <w:tc>
          <w:tcPr>
            <w:tcW w:w="893" w:type="dxa"/>
            <w:tcBorders>
              <w:top w:val="single" w:sz="4" w:space="0" w:color="000000"/>
              <w:left w:val="single" w:sz="12" w:space="0" w:color="000000"/>
              <w:bottom w:val="single" w:sz="4" w:space="0" w:color="000000"/>
              <w:right w:val="single" w:sz="12" w:space="0" w:color="000000"/>
            </w:tcBorders>
          </w:tcPr>
          <w:p w14:paraId="6286CD24" w14:textId="7B2A368D" w:rsidR="00C33BE1" w:rsidRDefault="00C33BE1" w:rsidP="00C33BE1">
            <w:pPr>
              <w:spacing w:after="0" w:line="259" w:lineRule="auto"/>
              <w:ind w:left="0" w:right="50" w:firstLine="0"/>
              <w:jc w:val="center"/>
            </w:pPr>
            <w:r>
              <w:rPr>
                <w:sz w:val="18"/>
              </w:rPr>
              <w:t>1</w:t>
            </w:r>
          </w:p>
        </w:tc>
        <w:tc>
          <w:tcPr>
            <w:tcW w:w="1110" w:type="dxa"/>
            <w:tcBorders>
              <w:top w:val="single" w:sz="4" w:space="0" w:color="000000"/>
              <w:left w:val="single" w:sz="12" w:space="0" w:color="000000"/>
              <w:bottom w:val="single" w:sz="4" w:space="0" w:color="000000"/>
              <w:right w:val="single" w:sz="12" w:space="0" w:color="000000"/>
            </w:tcBorders>
          </w:tcPr>
          <w:p w14:paraId="6878C939" w14:textId="1D7BAAF9" w:rsidR="00C33BE1" w:rsidRPr="000376D7" w:rsidRDefault="00C33BE1" w:rsidP="00C33BE1">
            <w:pPr>
              <w:spacing w:after="0" w:line="259" w:lineRule="auto"/>
              <w:ind w:left="0" w:right="49" w:firstLine="0"/>
              <w:jc w:val="center"/>
            </w:pPr>
            <w:r w:rsidRPr="00E03AE5">
              <w:rPr>
                <w:rFonts w:eastAsia="Segoe UI Symbol"/>
                <w:sz w:val="18"/>
              </w:rPr>
              <w:t>u</w:t>
            </w:r>
            <w:r w:rsidRPr="000376D7">
              <w:rPr>
                <w:sz w:val="18"/>
              </w:rPr>
              <w:t>g/L</w:t>
            </w:r>
          </w:p>
        </w:tc>
        <w:tc>
          <w:tcPr>
            <w:tcW w:w="910" w:type="dxa"/>
            <w:tcBorders>
              <w:top w:val="single" w:sz="4" w:space="0" w:color="000000"/>
              <w:left w:val="single" w:sz="12" w:space="0" w:color="000000"/>
              <w:bottom w:val="single" w:sz="4" w:space="0" w:color="000000"/>
              <w:right w:val="single" w:sz="12" w:space="0" w:color="000000"/>
            </w:tcBorders>
          </w:tcPr>
          <w:p w14:paraId="7CCC862A" w14:textId="3BC98276" w:rsidR="00C33BE1" w:rsidRDefault="00C33BE1" w:rsidP="00C33BE1">
            <w:pPr>
              <w:spacing w:after="0" w:line="259" w:lineRule="auto"/>
              <w:ind w:left="0" w:right="46" w:firstLine="0"/>
              <w:jc w:val="center"/>
            </w:pPr>
            <w:r>
              <w:rPr>
                <w:sz w:val="18"/>
              </w:rPr>
              <w:t>5</w:t>
            </w:r>
          </w:p>
        </w:tc>
        <w:tc>
          <w:tcPr>
            <w:tcW w:w="1003" w:type="dxa"/>
            <w:tcBorders>
              <w:top w:val="single" w:sz="4" w:space="0" w:color="000000"/>
              <w:left w:val="single" w:sz="12" w:space="0" w:color="000000"/>
              <w:bottom w:val="single" w:sz="4" w:space="0" w:color="000000"/>
              <w:right w:val="single" w:sz="12" w:space="0" w:color="000000"/>
            </w:tcBorders>
          </w:tcPr>
          <w:p w14:paraId="4D440021" w14:textId="46B2D13F" w:rsidR="00C33BE1" w:rsidRDefault="00C33BE1" w:rsidP="00C33BE1">
            <w:pPr>
              <w:spacing w:after="0" w:line="259" w:lineRule="auto"/>
              <w:ind w:left="0" w:right="49" w:firstLine="0"/>
              <w:jc w:val="center"/>
            </w:pPr>
            <w:r>
              <w:rPr>
                <w:rFonts w:eastAsia="Segoe UI Symbol"/>
                <w:sz w:val="18"/>
              </w:rPr>
              <w:t>u</w:t>
            </w:r>
            <w:r>
              <w:rPr>
                <w:sz w:val="18"/>
              </w:rPr>
              <w:t>g/kg</w:t>
            </w:r>
          </w:p>
        </w:tc>
        <w:tc>
          <w:tcPr>
            <w:tcW w:w="1243" w:type="dxa"/>
            <w:tcBorders>
              <w:top w:val="single" w:sz="4" w:space="0" w:color="000000"/>
              <w:left w:val="single" w:sz="12" w:space="0" w:color="000000"/>
              <w:bottom w:val="single" w:sz="4" w:space="0" w:color="000000"/>
              <w:right w:val="single" w:sz="12" w:space="0" w:color="000000"/>
            </w:tcBorders>
            <w:vAlign w:val="center"/>
          </w:tcPr>
          <w:p w14:paraId="44C5CA07" w14:textId="1D57FB97" w:rsidR="00C33BE1" w:rsidRPr="00C853F3" w:rsidRDefault="00C33BE1" w:rsidP="00CD2A3F">
            <w:pPr>
              <w:spacing w:after="0" w:line="259" w:lineRule="auto"/>
              <w:ind w:left="0" w:right="50" w:firstLine="0"/>
              <w:jc w:val="center"/>
              <w:rPr>
                <w:b/>
                <w:bCs/>
                <w:sz w:val="18"/>
                <w:szCs w:val="18"/>
              </w:rPr>
            </w:pPr>
            <w:r w:rsidRPr="00C853F3">
              <w:rPr>
                <w:b/>
                <w:bCs/>
                <w:sz w:val="18"/>
                <w:szCs w:val="18"/>
              </w:rPr>
              <w:t>8260</w:t>
            </w:r>
          </w:p>
        </w:tc>
        <w:tc>
          <w:tcPr>
            <w:tcW w:w="1080" w:type="dxa"/>
            <w:tcBorders>
              <w:top w:val="single" w:sz="4" w:space="0" w:color="000000"/>
              <w:left w:val="single" w:sz="12" w:space="0" w:color="000000"/>
              <w:bottom w:val="single" w:sz="4" w:space="0" w:color="000000"/>
              <w:right w:val="single" w:sz="12" w:space="0" w:color="000000"/>
            </w:tcBorders>
          </w:tcPr>
          <w:p w14:paraId="72E458CA" w14:textId="094F1EDD" w:rsidR="00C33BE1" w:rsidRDefault="00C33BE1" w:rsidP="00C33BE1">
            <w:pPr>
              <w:spacing w:after="0" w:line="259" w:lineRule="auto"/>
              <w:ind w:left="0" w:right="0" w:firstLine="0"/>
              <w:jc w:val="center"/>
            </w:pPr>
          </w:p>
        </w:tc>
      </w:tr>
      <w:tr w:rsidR="00C33BE1" w14:paraId="4F159205" w14:textId="77777777" w:rsidTr="00F61FD1">
        <w:trPr>
          <w:trHeight w:val="264"/>
        </w:trPr>
        <w:tc>
          <w:tcPr>
            <w:tcW w:w="3381" w:type="dxa"/>
            <w:tcBorders>
              <w:top w:val="single" w:sz="4" w:space="0" w:color="000000"/>
              <w:left w:val="single" w:sz="12" w:space="0" w:color="000000"/>
              <w:bottom w:val="single" w:sz="12" w:space="0" w:color="000000"/>
              <w:right w:val="single" w:sz="12" w:space="0" w:color="000000"/>
            </w:tcBorders>
          </w:tcPr>
          <w:p w14:paraId="55DC51F3" w14:textId="77777777" w:rsidR="00C33BE1" w:rsidRDefault="00C33BE1" w:rsidP="00C33BE1">
            <w:pPr>
              <w:spacing w:after="0" w:line="259" w:lineRule="auto"/>
              <w:ind w:left="0" w:right="0" w:firstLine="0"/>
            </w:pPr>
            <w:r>
              <w:rPr>
                <w:sz w:val="18"/>
              </w:rPr>
              <w:t xml:space="preserve">Methyl-t-butyl-ether (MTBE) </w:t>
            </w:r>
          </w:p>
        </w:tc>
        <w:tc>
          <w:tcPr>
            <w:tcW w:w="1000" w:type="dxa"/>
            <w:tcBorders>
              <w:top w:val="single" w:sz="4" w:space="0" w:color="000000"/>
              <w:left w:val="single" w:sz="12" w:space="0" w:color="000000"/>
              <w:bottom w:val="single" w:sz="12" w:space="0" w:color="000000"/>
              <w:right w:val="single" w:sz="12" w:space="0" w:color="000000"/>
            </w:tcBorders>
          </w:tcPr>
          <w:p w14:paraId="0040B1CC" w14:textId="52276D28" w:rsidR="00C33BE1" w:rsidRDefault="00C33BE1" w:rsidP="00C33BE1">
            <w:pPr>
              <w:spacing w:after="0" w:line="259" w:lineRule="auto"/>
              <w:ind w:left="0" w:right="44" w:firstLine="0"/>
              <w:jc w:val="center"/>
            </w:pPr>
            <w:r>
              <w:rPr>
                <w:sz w:val="18"/>
              </w:rPr>
              <w:t>1634-04-4</w:t>
            </w:r>
          </w:p>
        </w:tc>
        <w:tc>
          <w:tcPr>
            <w:tcW w:w="893" w:type="dxa"/>
            <w:tcBorders>
              <w:top w:val="single" w:sz="4" w:space="0" w:color="000000"/>
              <w:left w:val="single" w:sz="12" w:space="0" w:color="000000"/>
              <w:bottom w:val="single" w:sz="12" w:space="0" w:color="000000"/>
              <w:right w:val="single" w:sz="12" w:space="0" w:color="000000"/>
            </w:tcBorders>
          </w:tcPr>
          <w:p w14:paraId="4CF17C68" w14:textId="4D93665B" w:rsidR="00C33BE1" w:rsidRDefault="00C33BE1" w:rsidP="00C33BE1">
            <w:pPr>
              <w:spacing w:after="0" w:line="259" w:lineRule="auto"/>
              <w:ind w:left="0" w:right="48" w:firstLine="0"/>
              <w:jc w:val="center"/>
            </w:pPr>
            <w:r>
              <w:rPr>
                <w:sz w:val="18"/>
              </w:rPr>
              <w:t>10</w:t>
            </w:r>
          </w:p>
        </w:tc>
        <w:tc>
          <w:tcPr>
            <w:tcW w:w="1110" w:type="dxa"/>
            <w:tcBorders>
              <w:top w:val="single" w:sz="4" w:space="0" w:color="000000"/>
              <w:left w:val="single" w:sz="12" w:space="0" w:color="000000"/>
              <w:bottom w:val="single" w:sz="12" w:space="0" w:color="000000"/>
              <w:right w:val="single" w:sz="12" w:space="0" w:color="000000"/>
            </w:tcBorders>
          </w:tcPr>
          <w:p w14:paraId="673E7C72" w14:textId="2ACA8E32" w:rsidR="00C33BE1" w:rsidRPr="000376D7" w:rsidRDefault="00C33BE1" w:rsidP="00C33BE1">
            <w:pPr>
              <w:spacing w:after="0" w:line="259" w:lineRule="auto"/>
              <w:ind w:left="0" w:right="49" w:firstLine="0"/>
              <w:jc w:val="center"/>
            </w:pPr>
            <w:r w:rsidRPr="00E03AE5">
              <w:rPr>
                <w:rFonts w:eastAsia="Segoe UI Symbol"/>
                <w:sz w:val="18"/>
              </w:rPr>
              <w:t>u</w:t>
            </w:r>
            <w:r w:rsidRPr="000376D7">
              <w:rPr>
                <w:sz w:val="18"/>
              </w:rPr>
              <w:t>g/L</w:t>
            </w:r>
          </w:p>
        </w:tc>
        <w:tc>
          <w:tcPr>
            <w:tcW w:w="910" w:type="dxa"/>
            <w:tcBorders>
              <w:top w:val="single" w:sz="4" w:space="0" w:color="000000"/>
              <w:left w:val="single" w:sz="12" w:space="0" w:color="000000"/>
              <w:bottom w:val="single" w:sz="12" w:space="0" w:color="000000"/>
              <w:right w:val="single" w:sz="12" w:space="0" w:color="000000"/>
            </w:tcBorders>
          </w:tcPr>
          <w:p w14:paraId="63390165" w14:textId="3C9EB1FF" w:rsidR="00C33BE1" w:rsidRDefault="00C33BE1" w:rsidP="00C33BE1">
            <w:pPr>
              <w:spacing w:after="0" w:line="259" w:lineRule="auto"/>
              <w:ind w:left="0" w:right="48" w:firstLine="0"/>
              <w:jc w:val="center"/>
            </w:pPr>
            <w:r>
              <w:rPr>
                <w:sz w:val="18"/>
              </w:rPr>
              <w:t>50</w:t>
            </w:r>
          </w:p>
        </w:tc>
        <w:tc>
          <w:tcPr>
            <w:tcW w:w="1003" w:type="dxa"/>
            <w:tcBorders>
              <w:top w:val="single" w:sz="4" w:space="0" w:color="000000"/>
              <w:left w:val="single" w:sz="12" w:space="0" w:color="000000"/>
              <w:bottom w:val="single" w:sz="12" w:space="0" w:color="000000"/>
              <w:right w:val="single" w:sz="12" w:space="0" w:color="000000"/>
            </w:tcBorders>
          </w:tcPr>
          <w:p w14:paraId="1CF773AF" w14:textId="36163612" w:rsidR="00C33BE1" w:rsidRDefault="00C33BE1" w:rsidP="00C33BE1">
            <w:pPr>
              <w:spacing w:after="0" w:line="259" w:lineRule="auto"/>
              <w:ind w:left="0" w:right="49" w:firstLine="0"/>
              <w:jc w:val="center"/>
            </w:pPr>
            <w:r>
              <w:rPr>
                <w:rFonts w:eastAsia="Segoe UI Symbol"/>
                <w:sz w:val="18"/>
              </w:rPr>
              <w:t>u</w:t>
            </w:r>
            <w:r>
              <w:rPr>
                <w:sz w:val="18"/>
              </w:rPr>
              <w:t>g/kg</w:t>
            </w:r>
          </w:p>
        </w:tc>
        <w:tc>
          <w:tcPr>
            <w:tcW w:w="1243" w:type="dxa"/>
            <w:tcBorders>
              <w:top w:val="single" w:sz="4" w:space="0" w:color="000000"/>
              <w:left w:val="single" w:sz="12" w:space="0" w:color="000000"/>
              <w:bottom w:val="single" w:sz="12" w:space="0" w:color="000000"/>
              <w:right w:val="single" w:sz="12" w:space="0" w:color="000000"/>
            </w:tcBorders>
            <w:vAlign w:val="center"/>
          </w:tcPr>
          <w:p w14:paraId="5C1DBAF1" w14:textId="0944BF7C" w:rsidR="00C33BE1" w:rsidRPr="00C853F3" w:rsidRDefault="00C33BE1" w:rsidP="00CD2A3F">
            <w:pPr>
              <w:spacing w:after="0" w:line="259" w:lineRule="auto"/>
              <w:ind w:left="0" w:right="47" w:firstLine="0"/>
              <w:jc w:val="center"/>
              <w:rPr>
                <w:b/>
                <w:bCs/>
                <w:iCs/>
                <w:sz w:val="18"/>
                <w:szCs w:val="18"/>
              </w:rPr>
            </w:pPr>
            <w:r w:rsidRPr="00C853F3">
              <w:rPr>
                <w:b/>
                <w:bCs/>
                <w:sz w:val="18"/>
                <w:szCs w:val="18"/>
              </w:rPr>
              <w:t>8260</w:t>
            </w:r>
          </w:p>
        </w:tc>
        <w:tc>
          <w:tcPr>
            <w:tcW w:w="1080" w:type="dxa"/>
            <w:tcBorders>
              <w:top w:val="single" w:sz="4" w:space="0" w:color="000000"/>
              <w:left w:val="single" w:sz="12" w:space="0" w:color="000000"/>
              <w:bottom w:val="single" w:sz="12" w:space="0" w:color="000000"/>
              <w:right w:val="single" w:sz="12" w:space="0" w:color="000000"/>
            </w:tcBorders>
          </w:tcPr>
          <w:p w14:paraId="7B999C7E" w14:textId="79B66C52" w:rsidR="00C33BE1" w:rsidRDefault="00C33BE1" w:rsidP="00C33BE1">
            <w:pPr>
              <w:spacing w:after="0" w:line="259" w:lineRule="auto"/>
              <w:ind w:left="0" w:right="0" w:firstLine="0"/>
              <w:jc w:val="center"/>
            </w:pPr>
          </w:p>
        </w:tc>
      </w:tr>
    </w:tbl>
    <w:p w14:paraId="78B37FAD" w14:textId="77777777" w:rsidR="00771951" w:rsidRDefault="00771951"/>
    <w:tbl>
      <w:tblPr>
        <w:tblStyle w:val="TableGrid1"/>
        <w:tblW w:w="10620" w:type="dxa"/>
        <w:tblInd w:w="-375" w:type="dxa"/>
        <w:tblCellMar>
          <w:top w:w="22" w:type="dxa"/>
          <w:left w:w="72" w:type="dxa"/>
        </w:tblCellMar>
        <w:tblLook w:val="04A0" w:firstRow="1" w:lastRow="0" w:firstColumn="1" w:lastColumn="0" w:noHBand="0" w:noVBand="1"/>
      </w:tblPr>
      <w:tblGrid>
        <w:gridCol w:w="3380"/>
        <w:gridCol w:w="947"/>
        <w:gridCol w:w="947"/>
        <w:gridCol w:w="1110"/>
        <w:gridCol w:w="910"/>
        <w:gridCol w:w="1003"/>
        <w:gridCol w:w="1243"/>
        <w:gridCol w:w="1080"/>
      </w:tblGrid>
      <w:tr w:rsidR="001B3BF1" w:rsidRPr="00493698" w14:paraId="21F1D0FC" w14:textId="77777777" w:rsidTr="00F61FD1">
        <w:trPr>
          <w:trHeight w:val="334"/>
        </w:trPr>
        <w:tc>
          <w:tcPr>
            <w:tcW w:w="10620" w:type="dxa"/>
            <w:gridSpan w:val="8"/>
            <w:tcBorders>
              <w:top w:val="single" w:sz="12" w:space="0" w:color="000000"/>
              <w:left w:val="single" w:sz="12" w:space="0" w:color="000000"/>
              <w:bottom w:val="single" w:sz="12" w:space="0" w:color="000000"/>
              <w:right w:val="single" w:sz="12" w:space="0" w:color="000000"/>
            </w:tcBorders>
            <w:vAlign w:val="center"/>
          </w:tcPr>
          <w:p w14:paraId="2EB2F1C5" w14:textId="0DC759B3" w:rsidR="001B3BF1" w:rsidRDefault="001B3BF1" w:rsidP="00957009">
            <w:pPr>
              <w:spacing w:after="0" w:line="240" w:lineRule="auto"/>
              <w:ind w:left="0" w:right="0" w:firstLine="0"/>
            </w:pPr>
            <w:r>
              <w:rPr>
                <w:b/>
                <w:sz w:val="18"/>
              </w:rPr>
              <w:t>VOA–Group C:</w:t>
            </w:r>
            <w:r>
              <w:rPr>
                <w:sz w:val="18"/>
              </w:rPr>
              <w:t xml:space="preserve">  </w:t>
            </w:r>
            <w:r>
              <w:rPr>
                <w:b/>
                <w:sz w:val="18"/>
              </w:rPr>
              <w:t>Antifreeze/Coolant</w:t>
            </w:r>
          </w:p>
        </w:tc>
      </w:tr>
      <w:tr w:rsidR="00B56D50" w14:paraId="46E4FCE0" w14:textId="77777777" w:rsidTr="00F61FD1">
        <w:trPr>
          <w:trHeight w:val="269"/>
        </w:trPr>
        <w:tc>
          <w:tcPr>
            <w:tcW w:w="3380" w:type="dxa"/>
            <w:vMerge w:val="restart"/>
            <w:tcBorders>
              <w:top w:val="single" w:sz="12" w:space="0" w:color="000000"/>
              <w:left w:val="single" w:sz="12" w:space="0" w:color="000000"/>
              <w:bottom w:val="single" w:sz="12" w:space="0" w:color="000000"/>
              <w:right w:val="single" w:sz="12" w:space="0" w:color="000000"/>
            </w:tcBorders>
            <w:vAlign w:val="center"/>
          </w:tcPr>
          <w:p w14:paraId="54EB12C9" w14:textId="7B1C6FC8" w:rsidR="00B56D50" w:rsidRDefault="001C3C42" w:rsidP="00957009">
            <w:pPr>
              <w:spacing w:after="0" w:line="259" w:lineRule="auto"/>
              <w:ind w:left="0" w:right="74" w:firstLine="0"/>
              <w:jc w:val="center"/>
            </w:pPr>
            <w:r>
              <w:rPr>
                <w:b/>
                <w:sz w:val="18"/>
              </w:rPr>
              <w:t>Analyte</w:t>
            </w:r>
          </w:p>
        </w:tc>
        <w:tc>
          <w:tcPr>
            <w:tcW w:w="947" w:type="dxa"/>
            <w:vMerge w:val="restart"/>
            <w:tcBorders>
              <w:top w:val="single" w:sz="12" w:space="0" w:color="000000"/>
              <w:left w:val="single" w:sz="12" w:space="0" w:color="000000"/>
              <w:bottom w:val="single" w:sz="12" w:space="0" w:color="000000"/>
              <w:right w:val="single" w:sz="12" w:space="0" w:color="000000"/>
            </w:tcBorders>
            <w:vAlign w:val="center"/>
          </w:tcPr>
          <w:p w14:paraId="593C8E8C" w14:textId="0CF939F4" w:rsidR="00B56D50" w:rsidRDefault="001C3C42" w:rsidP="00957009">
            <w:pPr>
              <w:spacing w:after="0" w:line="259" w:lineRule="auto"/>
              <w:ind w:left="0" w:right="0" w:firstLine="0"/>
              <w:jc w:val="center"/>
            </w:pPr>
            <w:r>
              <w:rPr>
                <w:b/>
                <w:sz w:val="18"/>
              </w:rPr>
              <w:t>CAS Number</w:t>
            </w:r>
          </w:p>
        </w:tc>
        <w:tc>
          <w:tcPr>
            <w:tcW w:w="2057" w:type="dxa"/>
            <w:gridSpan w:val="2"/>
            <w:tcBorders>
              <w:top w:val="single" w:sz="12" w:space="0" w:color="000000"/>
              <w:left w:val="single" w:sz="12" w:space="0" w:color="000000"/>
              <w:bottom w:val="single" w:sz="12" w:space="0" w:color="000000"/>
              <w:right w:val="single" w:sz="12" w:space="0" w:color="000000"/>
            </w:tcBorders>
            <w:vAlign w:val="center"/>
          </w:tcPr>
          <w:p w14:paraId="03356F6C" w14:textId="50310780" w:rsidR="00B56D50" w:rsidRDefault="001C3C42" w:rsidP="00957009">
            <w:pPr>
              <w:spacing w:after="0" w:line="259" w:lineRule="auto"/>
              <w:ind w:left="0" w:right="79" w:firstLine="0"/>
              <w:jc w:val="center"/>
            </w:pPr>
            <w:r>
              <w:rPr>
                <w:b/>
                <w:sz w:val="18"/>
              </w:rPr>
              <w:t>Aqueous</w:t>
            </w:r>
          </w:p>
        </w:tc>
        <w:tc>
          <w:tcPr>
            <w:tcW w:w="1913" w:type="dxa"/>
            <w:gridSpan w:val="2"/>
            <w:tcBorders>
              <w:top w:val="single" w:sz="12" w:space="0" w:color="000000"/>
              <w:left w:val="single" w:sz="12" w:space="0" w:color="000000"/>
              <w:bottom w:val="single" w:sz="12" w:space="0" w:color="000000"/>
              <w:right w:val="single" w:sz="12" w:space="0" w:color="000000"/>
            </w:tcBorders>
            <w:vAlign w:val="center"/>
          </w:tcPr>
          <w:p w14:paraId="34003E8D" w14:textId="03F9ACBE" w:rsidR="00B56D50" w:rsidRDefault="001C3C42" w:rsidP="00957009">
            <w:pPr>
              <w:spacing w:after="0" w:line="259" w:lineRule="auto"/>
              <w:ind w:left="0" w:right="80" w:firstLine="0"/>
              <w:jc w:val="center"/>
            </w:pPr>
            <w:r>
              <w:rPr>
                <w:b/>
                <w:sz w:val="18"/>
              </w:rPr>
              <w:t>Soil/Sediment</w:t>
            </w:r>
          </w:p>
        </w:tc>
        <w:tc>
          <w:tcPr>
            <w:tcW w:w="2323" w:type="dxa"/>
            <w:gridSpan w:val="2"/>
            <w:vMerge w:val="restart"/>
            <w:tcBorders>
              <w:top w:val="single" w:sz="12" w:space="0" w:color="000000"/>
              <w:left w:val="single" w:sz="12" w:space="0" w:color="000000"/>
              <w:bottom w:val="single" w:sz="12" w:space="0" w:color="000000"/>
              <w:right w:val="single" w:sz="12" w:space="0" w:color="000000"/>
            </w:tcBorders>
            <w:vAlign w:val="center"/>
          </w:tcPr>
          <w:p w14:paraId="086C8989" w14:textId="7828A583" w:rsidR="00B56D50" w:rsidRDefault="001C3C42" w:rsidP="00957009">
            <w:pPr>
              <w:spacing w:after="0" w:line="259" w:lineRule="auto"/>
              <w:ind w:left="89" w:right="0" w:firstLine="0"/>
              <w:jc w:val="center"/>
            </w:pPr>
            <w:r>
              <w:rPr>
                <w:b/>
                <w:sz w:val="18"/>
              </w:rPr>
              <w:t xml:space="preserve">Acceptable Methods </w:t>
            </w:r>
            <w:r w:rsidR="008C76DC" w:rsidRPr="008C76DC">
              <w:rPr>
                <w:b/>
                <w:sz w:val="18"/>
                <w:vertAlign w:val="superscript"/>
              </w:rPr>
              <w:t>13</w:t>
            </w:r>
          </w:p>
        </w:tc>
      </w:tr>
      <w:tr w:rsidR="00C84A5D" w14:paraId="2AD7AF25" w14:textId="77777777" w:rsidTr="00F61FD1">
        <w:trPr>
          <w:trHeight w:val="271"/>
        </w:trPr>
        <w:tc>
          <w:tcPr>
            <w:tcW w:w="3380" w:type="dxa"/>
            <w:vMerge/>
            <w:tcBorders>
              <w:top w:val="nil"/>
              <w:left w:val="single" w:sz="12" w:space="0" w:color="000000"/>
              <w:bottom w:val="single" w:sz="12" w:space="0" w:color="000000"/>
              <w:right w:val="single" w:sz="12" w:space="0" w:color="000000"/>
            </w:tcBorders>
            <w:vAlign w:val="center"/>
          </w:tcPr>
          <w:p w14:paraId="59C5E861" w14:textId="77777777" w:rsidR="00B56D50" w:rsidRDefault="00B56D50" w:rsidP="00017AB4">
            <w:pPr>
              <w:spacing w:after="160" w:line="259" w:lineRule="auto"/>
              <w:ind w:left="0" w:right="0" w:firstLine="0"/>
              <w:jc w:val="center"/>
            </w:pPr>
          </w:p>
        </w:tc>
        <w:tc>
          <w:tcPr>
            <w:tcW w:w="0" w:type="auto"/>
            <w:vMerge/>
            <w:tcBorders>
              <w:top w:val="nil"/>
              <w:left w:val="single" w:sz="12" w:space="0" w:color="000000"/>
              <w:bottom w:val="single" w:sz="12" w:space="0" w:color="000000"/>
              <w:right w:val="single" w:sz="12" w:space="0" w:color="000000"/>
            </w:tcBorders>
            <w:vAlign w:val="center"/>
          </w:tcPr>
          <w:p w14:paraId="1870A443" w14:textId="77777777" w:rsidR="00B56D50" w:rsidRDefault="00B56D50" w:rsidP="00017AB4">
            <w:pPr>
              <w:spacing w:after="160" w:line="259" w:lineRule="auto"/>
              <w:ind w:left="0" w:right="0" w:firstLine="0"/>
              <w:jc w:val="center"/>
            </w:pPr>
          </w:p>
        </w:tc>
        <w:tc>
          <w:tcPr>
            <w:tcW w:w="947" w:type="dxa"/>
            <w:tcBorders>
              <w:top w:val="single" w:sz="12" w:space="0" w:color="000000"/>
              <w:left w:val="single" w:sz="12" w:space="0" w:color="000000"/>
              <w:bottom w:val="single" w:sz="12" w:space="0" w:color="000000"/>
              <w:right w:val="single" w:sz="12" w:space="0" w:color="000000"/>
            </w:tcBorders>
            <w:vAlign w:val="center"/>
          </w:tcPr>
          <w:p w14:paraId="345A5BB5" w14:textId="1C64B670" w:rsidR="00B56D50" w:rsidRDefault="001C3C42" w:rsidP="00957009">
            <w:pPr>
              <w:spacing w:after="0" w:line="259" w:lineRule="auto"/>
              <w:ind w:left="0" w:right="77" w:firstLine="0"/>
              <w:jc w:val="center"/>
            </w:pPr>
            <w:r>
              <w:rPr>
                <w:b/>
                <w:sz w:val="18"/>
              </w:rPr>
              <w:t>RL</w:t>
            </w:r>
          </w:p>
        </w:tc>
        <w:tc>
          <w:tcPr>
            <w:tcW w:w="1110" w:type="dxa"/>
            <w:tcBorders>
              <w:top w:val="single" w:sz="12" w:space="0" w:color="000000"/>
              <w:left w:val="single" w:sz="12" w:space="0" w:color="000000"/>
              <w:bottom w:val="single" w:sz="12" w:space="0" w:color="000000"/>
              <w:right w:val="single" w:sz="12" w:space="0" w:color="000000"/>
            </w:tcBorders>
            <w:vAlign w:val="center"/>
          </w:tcPr>
          <w:p w14:paraId="097CFF88" w14:textId="5EB7B01E" w:rsidR="00B56D50" w:rsidRDefault="001C3C42" w:rsidP="00957009">
            <w:pPr>
              <w:spacing w:after="0" w:line="259" w:lineRule="auto"/>
              <w:ind w:left="0" w:right="72" w:firstLine="0"/>
              <w:jc w:val="center"/>
            </w:pPr>
            <w:r>
              <w:rPr>
                <w:b/>
                <w:sz w:val="18"/>
              </w:rPr>
              <w:t>units</w:t>
            </w:r>
          </w:p>
        </w:tc>
        <w:tc>
          <w:tcPr>
            <w:tcW w:w="910" w:type="dxa"/>
            <w:tcBorders>
              <w:top w:val="single" w:sz="12" w:space="0" w:color="000000"/>
              <w:left w:val="single" w:sz="12" w:space="0" w:color="000000"/>
              <w:bottom w:val="single" w:sz="12" w:space="0" w:color="000000"/>
              <w:right w:val="single" w:sz="12" w:space="0" w:color="000000"/>
            </w:tcBorders>
            <w:vAlign w:val="center"/>
          </w:tcPr>
          <w:p w14:paraId="1B63B08B" w14:textId="47EC4909" w:rsidR="00B56D50" w:rsidRDefault="001C3C42" w:rsidP="00957009">
            <w:pPr>
              <w:spacing w:after="0" w:line="259" w:lineRule="auto"/>
              <w:ind w:left="0" w:right="74" w:firstLine="0"/>
              <w:jc w:val="center"/>
            </w:pPr>
            <w:r>
              <w:rPr>
                <w:b/>
                <w:sz w:val="18"/>
              </w:rPr>
              <w:t>RL</w:t>
            </w:r>
          </w:p>
        </w:tc>
        <w:tc>
          <w:tcPr>
            <w:tcW w:w="1003" w:type="dxa"/>
            <w:tcBorders>
              <w:top w:val="single" w:sz="12" w:space="0" w:color="000000"/>
              <w:left w:val="single" w:sz="12" w:space="0" w:color="000000"/>
              <w:bottom w:val="single" w:sz="12" w:space="0" w:color="000000"/>
              <w:right w:val="single" w:sz="12" w:space="0" w:color="000000"/>
            </w:tcBorders>
            <w:vAlign w:val="center"/>
          </w:tcPr>
          <w:p w14:paraId="5A787772" w14:textId="4EBACBD0" w:rsidR="00B56D50" w:rsidRDefault="001C3C42" w:rsidP="00957009">
            <w:pPr>
              <w:spacing w:after="0" w:line="259" w:lineRule="auto"/>
              <w:ind w:left="0" w:right="77" w:firstLine="0"/>
              <w:jc w:val="center"/>
            </w:pPr>
            <w:r>
              <w:rPr>
                <w:b/>
                <w:sz w:val="18"/>
              </w:rPr>
              <w:t>units</w:t>
            </w:r>
          </w:p>
        </w:tc>
        <w:tc>
          <w:tcPr>
            <w:tcW w:w="2323" w:type="dxa"/>
            <w:gridSpan w:val="2"/>
            <w:vMerge/>
            <w:tcBorders>
              <w:top w:val="nil"/>
              <w:left w:val="single" w:sz="12" w:space="0" w:color="000000"/>
              <w:bottom w:val="single" w:sz="12" w:space="0" w:color="000000"/>
              <w:right w:val="single" w:sz="12" w:space="0" w:color="000000"/>
            </w:tcBorders>
            <w:vAlign w:val="center"/>
          </w:tcPr>
          <w:p w14:paraId="5A8B3E08" w14:textId="77777777" w:rsidR="00B56D50" w:rsidRDefault="00B56D50" w:rsidP="00017AB4">
            <w:pPr>
              <w:spacing w:after="160" w:line="259" w:lineRule="auto"/>
              <w:ind w:left="0" w:right="0" w:firstLine="0"/>
              <w:jc w:val="center"/>
            </w:pPr>
          </w:p>
        </w:tc>
      </w:tr>
      <w:tr w:rsidR="00BD6806" w14:paraId="135F1C45" w14:textId="77777777" w:rsidTr="00F61FD1">
        <w:trPr>
          <w:trHeight w:val="259"/>
        </w:trPr>
        <w:tc>
          <w:tcPr>
            <w:tcW w:w="3380" w:type="dxa"/>
            <w:tcBorders>
              <w:top w:val="single" w:sz="12" w:space="0" w:color="000000"/>
              <w:left w:val="single" w:sz="12" w:space="0" w:color="000000"/>
              <w:bottom w:val="single" w:sz="4" w:space="0" w:color="000000"/>
              <w:right w:val="single" w:sz="12" w:space="0" w:color="000000"/>
            </w:tcBorders>
          </w:tcPr>
          <w:p w14:paraId="2F66EA0C" w14:textId="77777777" w:rsidR="00BD6806" w:rsidRDefault="00BD6806" w:rsidP="00BD6806">
            <w:pPr>
              <w:spacing w:after="0" w:line="259" w:lineRule="auto"/>
              <w:ind w:left="0" w:right="0" w:firstLine="0"/>
            </w:pPr>
            <w:r>
              <w:rPr>
                <w:sz w:val="18"/>
              </w:rPr>
              <w:t xml:space="preserve">Ethylene glycol </w:t>
            </w:r>
          </w:p>
        </w:tc>
        <w:tc>
          <w:tcPr>
            <w:tcW w:w="947" w:type="dxa"/>
            <w:tcBorders>
              <w:top w:val="single" w:sz="12" w:space="0" w:color="000000"/>
              <w:left w:val="single" w:sz="12" w:space="0" w:color="000000"/>
              <w:bottom w:val="single" w:sz="4" w:space="0" w:color="000000"/>
              <w:right w:val="single" w:sz="12" w:space="0" w:color="000000"/>
            </w:tcBorders>
          </w:tcPr>
          <w:p w14:paraId="1A2D8C67" w14:textId="1CC1E4AD" w:rsidR="00BD6806" w:rsidRDefault="00BD6806" w:rsidP="001C0B54">
            <w:pPr>
              <w:spacing w:after="0" w:line="259" w:lineRule="auto"/>
              <w:ind w:left="0" w:right="71" w:firstLine="0"/>
              <w:jc w:val="center"/>
            </w:pPr>
            <w:r>
              <w:rPr>
                <w:sz w:val="18"/>
              </w:rPr>
              <w:t>107-21-1</w:t>
            </w:r>
          </w:p>
        </w:tc>
        <w:tc>
          <w:tcPr>
            <w:tcW w:w="947" w:type="dxa"/>
            <w:tcBorders>
              <w:top w:val="single" w:sz="12" w:space="0" w:color="000000"/>
              <w:left w:val="single" w:sz="12" w:space="0" w:color="000000"/>
              <w:bottom w:val="single" w:sz="4" w:space="0" w:color="000000"/>
              <w:right w:val="single" w:sz="12" w:space="0" w:color="000000"/>
            </w:tcBorders>
          </w:tcPr>
          <w:p w14:paraId="60700E2D" w14:textId="047B1449" w:rsidR="00BD6806" w:rsidRDefault="00BD6806" w:rsidP="001C0B54">
            <w:pPr>
              <w:spacing w:after="0" w:line="259" w:lineRule="auto"/>
              <w:ind w:left="0" w:right="73" w:firstLine="0"/>
              <w:jc w:val="center"/>
            </w:pPr>
            <w:r>
              <w:rPr>
                <w:sz w:val="18"/>
              </w:rPr>
              <w:t>500</w:t>
            </w:r>
          </w:p>
        </w:tc>
        <w:tc>
          <w:tcPr>
            <w:tcW w:w="1110" w:type="dxa"/>
            <w:tcBorders>
              <w:top w:val="single" w:sz="12" w:space="0" w:color="000000"/>
              <w:left w:val="single" w:sz="12" w:space="0" w:color="000000"/>
              <w:bottom w:val="single" w:sz="4" w:space="0" w:color="000000"/>
              <w:right w:val="single" w:sz="12" w:space="0" w:color="000000"/>
            </w:tcBorders>
          </w:tcPr>
          <w:p w14:paraId="45DCCE7B" w14:textId="556E8508" w:rsidR="00BD6806" w:rsidRPr="006A6B24" w:rsidRDefault="00BD6806" w:rsidP="001C0B54">
            <w:pPr>
              <w:spacing w:after="0" w:line="259" w:lineRule="auto"/>
              <w:ind w:left="0" w:right="73" w:firstLine="0"/>
              <w:jc w:val="center"/>
            </w:pPr>
            <w:r w:rsidRPr="00E03AE5">
              <w:rPr>
                <w:rFonts w:eastAsia="Segoe UI Symbol"/>
                <w:sz w:val="18"/>
              </w:rPr>
              <w:t>u</w:t>
            </w:r>
            <w:r w:rsidRPr="000376D7">
              <w:rPr>
                <w:sz w:val="18"/>
              </w:rPr>
              <w:t>g/L</w:t>
            </w:r>
          </w:p>
        </w:tc>
        <w:tc>
          <w:tcPr>
            <w:tcW w:w="910" w:type="dxa"/>
            <w:tcBorders>
              <w:top w:val="single" w:sz="12" w:space="0" w:color="000000"/>
              <w:left w:val="single" w:sz="12" w:space="0" w:color="000000"/>
              <w:bottom w:val="single" w:sz="4" w:space="0" w:color="000000"/>
              <w:right w:val="single" w:sz="12" w:space="0" w:color="000000"/>
            </w:tcBorders>
          </w:tcPr>
          <w:p w14:paraId="42EA215F" w14:textId="62E7DDC7" w:rsidR="00BD6806" w:rsidRDefault="00BD6806" w:rsidP="001C0B54">
            <w:pPr>
              <w:spacing w:after="0" w:line="259" w:lineRule="auto"/>
              <w:ind w:left="0" w:right="71" w:firstLine="0"/>
              <w:jc w:val="center"/>
            </w:pPr>
            <w:r>
              <w:rPr>
                <w:sz w:val="18"/>
              </w:rPr>
              <w:t>500</w:t>
            </w:r>
          </w:p>
        </w:tc>
        <w:tc>
          <w:tcPr>
            <w:tcW w:w="1003" w:type="dxa"/>
            <w:tcBorders>
              <w:top w:val="single" w:sz="12" w:space="0" w:color="000000"/>
              <w:left w:val="single" w:sz="12" w:space="0" w:color="000000"/>
              <w:bottom w:val="single" w:sz="4" w:space="0" w:color="000000"/>
              <w:right w:val="single" w:sz="12" w:space="0" w:color="000000"/>
            </w:tcBorders>
          </w:tcPr>
          <w:p w14:paraId="2B0F0770" w14:textId="60D53416" w:rsidR="00BD6806" w:rsidRDefault="00BD6806" w:rsidP="001C0B54">
            <w:pPr>
              <w:spacing w:after="0" w:line="259" w:lineRule="auto"/>
              <w:ind w:left="0" w:right="73" w:firstLine="0"/>
              <w:jc w:val="center"/>
            </w:pPr>
            <w:r>
              <w:rPr>
                <w:rFonts w:eastAsia="Segoe UI Symbol"/>
                <w:sz w:val="18"/>
              </w:rPr>
              <w:t>u</w:t>
            </w:r>
            <w:r>
              <w:rPr>
                <w:sz w:val="18"/>
              </w:rPr>
              <w:t>g/kg</w:t>
            </w:r>
          </w:p>
        </w:tc>
        <w:tc>
          <w:tcPr>
            <w:tcW w:w="1243" w:type="dxa"/>
            <w:tcBorders>
              <w:top w:val="single" w:sz="12" w:space="0" w:color="000000"/>
              <w:left w:val="single" w:sz="12" w:space="0" w:color="000000"/>
              <w:bottom w:val="single" w:sz="4" w:space="0" w:color="000000"/>
              <w:right w:val="single" w:sz="12" w:space="0" w:color="000000"/>
            </w:tcBorders>
          </w:tcPr>
          <w:p w14:paraId="7A9D29ED" w14:textId="0BF268FD" w:rsidR="00BD6806" w:rsidRDefault="00BD6806" w:rsidP="001C0B54">
            <w:pPr>
              <w:spacing w:after="0" w:line="259" w:lineRule="auto"/>
              <w:ind w:left="0" w:right="71" w:firstLine="0"/>
              <w:jc w:val="center"/>
            </w:pPr>
            <w:r>
              <w:rPr>
                <w:b/>
                <w:sz w:val="18"/>
              </w:rPr>
              <w:t>8015</w:t>
            </w:r>
          </w:p>
        </w:tc>
        <w:tc>
          <w:tcPr>
            <w:tcW w:w="1080" w:type="dxa"/>
            <w:tcBorders>
              <w:top w:val="single" w:sz="12" w:space="0" w:color="000000"/>
              <w:left w:val="single" w:sz="12" w:space="0" w:color="000000"/>
              <w:bottom w:val="single" w:sz="4" w:space="0" w:color="000000"/>
              <w:right w:val="single" w:sz="12" w:space="0" w:color="000000"/>
            </w:tcBorders>
          </w:tcPr>
          <w:p w14:paraId="7A5E6BEB" w14:textId="6DB266A8" w:rsidR="00BD6806" w:rsidRDefault="00BD6806" w:rsidP="001C0B54">
            <w:pPr>
              <w:spacing w:after="0" w:line="259" w:lineRule="auto"/>
              <w:ind w:left="0" w:right="0" w:firstLine="0"/>
              <w:jc w:val="center"/>
            </w:pPr>
            <w:r>
              <w:rPr>
                <w:sz w:val="18"/>
              </w:rPr>
              <w:t>8430</w:t>
            </w:r>
          </w:p>
        </w:tc>
      </w:tr>
      <w:tr w:rsidR="00BD6806" w14:paraId="78223C61" w14:textId="77777777" w:rsidTr="00F61FD1">
        <w:trPr>
          <w:trHeight w:val="259"/>
        </w:trPr>
        <w:tc>
          <w:tcPr>
            <w:tcW w:w="3380" w:type="dxa"/>
            <w:tcBorders>
              <w:top w:val="single" w:sz="4" w:space="0" w:color="000000"/>
              <w:left w:val="single" w:sz="12" w:space="0" w:color="000000"/>
              <w:bottom w:val="single" w:sz="12" w:space="0" w:color="000000"/>
              <w:right w:val="single" w:sz="12" w:space="0" w:color="000000"/>
            </w:tcBorders>
          </w:tcPr>
          <w:p w14:paraId="42CC4D52" w14:textId="77777777" w:rsidR="00BD6806" w:rsidRDefault="00BD6806" w:rsidP="00BD6806">
            <w:pPr>
              <w:spacing w:after="0" w:line="259" w:lineRule="auto"/>
              <w:ind w:left="0" w:right="0" w:firstLine="0"/>
            </w:pPr>
            <w:r>
              <w:rPr>
                <w:sz w:val="18"/>
              </w:rPr>
              <w:t xml:space="preserve">Propylene glycol </w:t>
            </w:r>
          </w:p>
        </w:tc>
        <w:tc>
          <w:tcPr>
            <w:tcW w:w="947" w:type="dxa"/>
            <w:tcBorders>
              <w:top w:val="single" w:sz="4" w:space="0" w:color="000000"/>
              <w:left w:val="single" w:sz="12" w:space="0" w:color="000000"/>
              <w:bottom w:val="single" w:sz="12" w:space="0" w:color="000000"/>
              <w:right w:val="single" w:sz="12" w:space="0" w:color="000000"/>
            </w:tcBorders>
          </w:tcPr>
          <w:p w14:paraId="32BF1CDB" w14:textId="7019366F" w:rsidR="00BD6806" w:rsidRDefault="00BD6806" w:rsidP="001C0B54">
            <w:pPr>
              <w:spacing w:after="0" w:line="259" w:lineRule="auto"/>
              <w:ind w:left="0" w:right="71" w:firstLine="0"/>
              <w:jc w:val="center"/>
            </w:pPr>
            <w:r>
              <w:rPr>
                <w:sz w:val="18"/>
              </w:rPr>
              <w:t>107-21-1</w:t>
            </w:r>
          </w:p>
        </w:tc>
        <w:tc>
          <w:tcPr>
            <w:tcW w:w="947" w:type="dxa"/>
            <w:tcBorders>
              <w:top w:val="single" w:sz="4" w:space="0" w:color="000000"/>
              <w:left w:val="single" w:sz="12" w:space="0" w:color="000000"/>
              <w:bottom w:val="single" w:sz="12" w:space="0" w:color="000000"/>
              <w:right w:val="single" w:sz="12" w:space="0" w:color="000000"/>
            </w:tcBorders>
          </w:tcPr>
          <w:p w14:paraId="68C2BDC5" w14:textId="3D477991" w:rsidR="00BD6806" w:rsidRDefault="00BD6806" w:rsidP="001C0B54">
            <w:pPr>
              <w:spacing w:after="0" w:line="259" w:lineRule="auto"/>
              <w:ind w:left="0" w:right="73" w:firstLine="0"/>
              <w:jc w:val="center"/>
            </w:pPr>
            <w:r>
              <w:rPr>
                <w:sz w:val="18"/>
              </w:rPr>
              <w:t>500</w:t>
            </w:r>
          </w:p>
        </w:tc>
        <w:tc>
          <w:tcPr>
            <w:tcW w:w="1110" w:type="dxa"/>
            <w:tcBorders>
              <w:top w:val="single" w:sz="4" w:space="0" w:color="000000"/>
              <w:left w:val="single" w:sz="12" w:space="0" w:color="000000"/>
              <w:bottom w:val="single" w:sz="12" w:space="0" w:color="000000"/>
              <w:right w:val="single" w:sz="12" w:space="0" w:color="000000"/>
            </w:tcBorders>
          </w:tcPr>
          <w:p w14:paraId="11F721F6" w14:textId="124A46D3" w:rsidR="00BD6806" w:rsidRPr="006A6B24" w:rsidRDefault="00BD6806" w:rsidP="001C0B54">
            <w:pPr>
              <w:spacing w:after="0" w:line="259" w:lineRule="auto"/>
              <w:ind w:left="0" w:right="73" w:firstLine="0"/>
              <w:jc w:val="center"/>
            </w:pPr>
            <w:r w:rsidRPr="00E03AE5">
              <w:rPr>
                <w:rFonts w:eastAsia="Segoe UI Symbol"/>
                <w:sz w:val="18"/>
              </w:rPr>
              <w:t>u</w:t>
            </w:r>
            <w:r w:rsidRPr="000376D7">
              <w:rPr>
                <w:sz w:val="18"/>
              </w:rPr>
              <w:t>g/L</w:t>
            </w:r>
          </w:p>
        </w:tc>
        <w:tc>
          <w:tcPr>
            <w:tcW w:w="910" w:type="dxa"/>
            <w:tcBorders>
              <w:top w:val="single" w:sz="4" w:space="0" w:color="000000"/>
              <w:left w:val="single" w:sz="12" w:space="0" w:color="000000"/>
              <w:bottom w:val="single" w:sz="12" w:space="0" w:color="000000"/>
              <w:right w:val="single" w:sz="12" w:space="0" w:color="000000"/>
            </w:tcBorders>
          </w:tcPr>
          <w:p w14:paraId="50DE835A" w14:textId="4307330B" w:rsidR="00BD6806" w:rsidRDefault="00BD6806" w:rsidP="001C0B54">
            <w:pPr>
              <w:spacing w:after="0" w:line="259" w:lineRule="auto"/>
              <w:ind w:left="0" w:right="71" w:firstLine="0"/>
              <w:jc w:val="center"/>
            </w:pPr>
            <w:r>
              <w:rPr>
                <w:sz w:val="18"/>
              </w:rPr>
              <w:t>500</w:t>
            </w:r>
          </w:p>
        </w:tc>
        <w:tc>
          <w:tcPr>
            <w:tcW w:w="1003" w:type="dxa"/>
            <w:tcBorders>
              <w:top w:val="single" w:sz="4" w:space="0" w:color="000000"/>
              <w:left w:val="single" w:sz="12" w:space="0" w:color="000000"/>
              <w:bottom w:val="single" w:sz="12" w:space="0" w:color="000000"/>
              <w:right w:val="single" w:sz="12" w:space="0" w:color="000000"/>
            </w:tcBorders>
          </w:tcPr>
          <w:p w14:paraId="0361FB40" w14:textId="315D3115" w:rsidR="00BD6806" w:rsidRDefault="00BD6806" w:rsidP="001C0B54">
            <w:pPr>
              <w:spacing w:after="0" w:line="259" w:lineRule="auto"/>
              <w:ind w:left="0" w:right="73" w:firstLine="0"/>
              <w:jc w:val="center"/>
            </w:pPr>
            <w:r>
              <w:rPr>
                <w:rFonts w:eastAsia="Segoe UI Symbol"/>
                <w:sz w:val="18"/>
              </w:rPr>
              <w:t>u</w:t>
            </w:r>
            <w:r>
              <w:rPr>
                <w:sz w:val="18"/>
              </w:rPr>
              <w:t>g/kg</w:t>
            </w:r>
          </w:p>
        </w:tc>
        <w:tc>
          <w:tcPr>
            <w:tcW w:w="1243" w:type="dxa"/>
            <w:tcBorders>
              <w:top w:val="single" w:sz="4" w:space="0" w:color="000000"/>
              <w:left w:val="single" w:sz="12" w:space="0" w:color="000000"/>
              <w:bottom w:val="single" w:sz="12" w:space="0" w:color="000000"/>
              <w:right w:val="single" w:sz="12" w:space="0" w:color="000000"/>
            </w:tcBorders>
          </w:tcPr>
          <w:p w14:paraId="60F07AC6" w14:textId="468BC1ED" w:rsidR="00BD6806" w:rsidRPr="00C30865" w:rsidRDefault="00BD6806" w:rsidP="001C0B54">
            <w:pPr>
              <w:spacing w:after="0" w:line="259" w:lineRule="auto"/>
              <w:ind w:left="0" w:right="72" w:firstLine="0"/>
              <w:jc w:val="center"/>
              <w:rPr>
                <w:iCs/>
              </w:rPr>
            </w:pPr>
            <w:r w:rsidRPr="00C30865">
              <w:rPr>
                <w:b/>
                <w:iCs/>
                <w:sz w:val="18"/>
              </w:rPr>
              <w:t>8015</w:t>
            </w:r>
          </w:p>
        </w:tc>
        <w:tc>
          <w:tcPr>
            <w:tcW w:w="1080" w:type="dxa"/>
            <w:tcBorders>
              <w:top w:val="single" w:sz="4" w:space="0" w:color="000000"/>
              <w:left w:val="single" w:sz="12" w:space="0" w:color="000000"/>
              <w:bottom w:val="single" w:sz="12" w:space="0" w:color="000000"/>
              <w:right w:val="single" w:sz="12" w:space="0" w:color="000000"/>
            </w:tcBorders>
          </w:tcPr>
          <w:p w14:paraId="04A2E46F" w14:textId="46222FFC" w:rsidR="00BD6806" w:rsidRPr="00C30865" w:rsidRDefault="00BD6806" w:rsidP="001C0B54">
            <w:pPr>
              <w:spacing w:after="0" w:line="259" w:lineRule="auto"/>
              <w:ind w:left="0" w:right="0" w:firstLine="0"/>
              <w:jc w:val="center"/>
              <w:rPr>
                <w:iCs/>
              </w:rPr>
            </w:pPr>
            <w:r w:rsidRPr="00C30865">
              <w:rPr>
                <w:iCs/>
                <w:sz w:val="18"/>
              </w:rPr>
              <w:t>8430</w:t>
            </w:r>
          </w:p>
        </w:tc>
      </w:tr>
    </w:tbl>
    <w:p w14:paraId="4DF0399C" w14:textId="77777777" w:rsidR="00AA0E57" w:rsidRDefault="00AA0E57" w:rsidP="003532ED">
      <w:pPr>
        <w:spacing w:after="0" w:line="259" w:lineRule="auto"/>
        <w:ind w:left="0" w:right="0" w:firstLine="0"/>
      </w:pPr>
    </w:p>
    <w:p w14:paraId="3AE60B22" w14:textId="77777777" w:rsidR="00F1487F" w:rsidRDefault="00F1487F" w:rsidP="003532ED">
      <w:pPr>
        <w:spacing w:after="0" w:line="259" w:lineRule="auto"/>
        <w:ind w:left="0" w:right="0" w:firstLine="0"/>
      </w:pPr>
    </w:p>
    <w:p w14:paraId="634B8198" w14:textId="77777777" w:rsidR="00F1487F" w:rsidRDefault="00F1487F" w:rsidP="003532ED">
      <w:pPr>
        <w:spacing w:after="0" w:line="259" w:lineRule="auto"/>
        <w:ind w:left="0" w:right="0" w:firstLine="0"/>
      </w:pPr>
    </w:p>
    <w:p w14:paraId="35B9481F" w14:textId="77777777" w:rsidR="00F1487F" w:rsidRDefault="00F1487F" w:rsidP="003532ED">
      <w:pPr>
        <w:spacing w:after="0" w:line="259" w:lineRule="auto"/>
        <w:ind w:left="0" w:right="0" w:firstLine="0"/>
      </w:pPr>
    </w:p>
    <w:p w14:paraId="372FC16A" w14:textId="5A79D1F1" w:rsidR="00F1487F" w:rsidRDefault="00F1487F" w:rsidP="003532ED">
      <w:pPr>
        <w:spacing w:after="0" w:line="259" w:lineRule="auto"/>
        <w:ind w:left="0" w:right="0" w:firstLine="0"/>
      </w:pPr>
    </w:p>
    <w:p w14:paraId="352E9EE0" w14:textId="77777777" w:rsidR="0034764B" w:rsidRDefault="0034764B" w:rsidP="0034764B">
      <w:pPr>
        <w:ind w:left="0" w:firstLine="0"/>
        <w:jc w:val="center"/>
      </w:pPr>
      <w:r>
        <w:rPr>
          <w:b/>
        </w:rPr>
        <w:t>THE REMAINDER OF THIS PAGE HAS BEEN LEFT BLANK INTENTIONALLY</w:t>
      </w:r>
    </w:p>
    <w:p w14:paraId="0E77DFBF" w14:textId="77777777" w:rsidR="00957009" w:rsidRDefault="00957009" w:rsidP="003532ED">
      <w:pPr>
        <w:spacing w:after="0" w:line="259" w:lineRule="auto"/>
        <w:ind w:left="0" w:right="0" w:firstLine="0"/>
      </w:pPr>
    </w:p>
    <w:p w14:paraId="4D56FE0A" w14:textId="77777777" w:rsidR="00F1487F" w:rsidRDefault="00F1487F" w:rsidP="003532ED">
      <w:pPr>
        <w:spacing w:after="0" w:line="259" w:lineRule="auto"/>
        <w:ind w:left="0" w:right="0" w:firstLine="0"/>
      </w:pPr>
    </w:p>
    <w:p w14:paraId="7C8D6841" w14:textId="77777777" w:rsidR="009A19F7" w:rsidRDefault="009A19F7" w:rsidP="003532ED">
      <w:pPr>
        <w:spacing w:after="0" w:line="259" w:lineRule="auto"/>
        <w:ind w:left="0" w:right="0" w:firstLine="0"/>
      </w:pPr>
    </w:p>
    <w:p w14:paraId="6606435E" w14:textId="77777777" w:rsidR="009A19F7" w:rsidRDefault="009A19F7" w:rsidP="003532ED">
      <w:pPr>
        <w:spacing w:after="0" w:line="259" w:lineRule="auto"/>
        <w:ind w:left="0" w:right="0" w:firstLine="0"/>
      </w:pPr>
    </w:p>
    <w:p w14:paraId="424099A1" w14:textId="77777777" w:rsidR="009A19F7" w:rsidRDefault="009A19F7" w:rsidP="003532ED">
      <w:pPr>
        <w:spacing w:after="0" w:line="259" w:lineRule="auto"/>
        <w:ind w:left="0" w:right="0" w:firstLine="0"/>
      </w:pPr>
    </w:p>
    <w:p w14:paraId="6644B2F6" w14:textId="77777777" w:rsidR="009A19F7" w:rsidRDefault="009A19F7" w:rsidP="003532ED">
      <w:pPr>
        <w:spacing w:after="0" w:line="259" w:lineRule="auto"/>
        <w:ind w:left="0" w:right="0" w:firstLine="0"/>
      </w:pPr>
    </w:p>
    <w:p w14:paraId="381AEE15" w14:textId="77777777" w:rsidR="009A19F7" w:rsidRDefault="009A19F7" w:rsidP="003532ED">
      <w:pPr>
        <w:spacing w:after="0" w:line="259" w:lineRule="auto"/>
        <w:ind w:left="0" w:right="0" w:firstLine="0"/>
      </w:pPr>
    </w:p>
    <w:p w14:paraId="4D815DD0" w14:textId="77777777" w:rsidR="009A19F7" w:rsidRDefault="009A19F7" w:rsidP="003532ED">
      <w:pPr>
        <w:spacing w:after="0" w:line="259" w:lineRule="auto"/>
        <w:ind w:left="0" w:right="0" w:firstLine="0"/>
      </w:pPr>
    </w:p>
    <w:p w14:paraId="570C6166" w14:textId="77777777" w:rsidR="009A19F7" w:rsidRDefault="009A19F7" w:rsidP="003532ED">
      <w:pPr>
        <w:spacing w:after="0" w:line="259" w:lineRule="auto"/>
        <w:ind w:left="0" w:right="0" w:firstLine="0"/>
      </w:pPr>
    </w:p>
    <w:p w14:paraId="268230AF" w14:textId="77777777" w:rsidR="00FB2E1B" w:rsidRDefault="00FB2E1B" w:rsidP="003532ED">
      <w:pPr>
        <w:spacing w:after="0" w:line="259" w:lineRule="auto"/>
        <w:ind w:left="0" w:right="0" w:firstLine="0"/>
      </w:pPr>
    </w:p>
    <w:p w14:paraId="7DBFDABD" w14:textId="77777777" w:rsidR="009A19F7" w:rsidRDefault="009A19F7" w:rsidP="003532ED">
      <w:pPr>
        <w:spacing w:after="0" w:line="259" w:lineRule="auto"/>
        <w:ind w:left="0" w:right="0" w:firstLine="0"/>
      </w:pPr>
    </w:p>
    <w:p w14:paraId="3154CBDB" w14:textId="77777777" w:rsidR="009A19F7" w:rsidRDefault="009A19F7" w:rsidP="003532ED">
      <w:pPr>
        <w:spacing w:after="0" w:line="259" w:lineRule="auto"/>
        <w:ind w:left="0" w:right="0" w:firstLine="0"/>
      </w:pPr>
    </w:p>
    <w:p w14:paraId="2754A537" w14:textId="77777777" w:rsidR="00FC5F8A" w:rsidRDefault="00FC5F8A" w:rsidP="003532ED">
      <w:pPr>
        <w:spacing w:after="0" w:line="259" w:lineRule="auto"/>
        <w:ind w:left="0" w:right="0" w:firstLine="0"/>
      </w:pPr>
    </w:p>
    <w:p w14:paraId="0909A4F3" w14:textId="77777777" w:rsidR="009A19F7" w:rsidRDefault="009A19F7" w:rsidP="003532ED">
      <w:pPr>
        <w:spacing w:after="0" w:line="259" w:lineRule="auto"/>
        <w:ind w:left="0" w:right="0" w:firstLine="0"/>
      </w:pPr>
    </w:p>
    <w:p w14:paraId="6187507F" w14:textId="77777777" w:rsidR="009A19F7" w:rsidRDefault="009A19F7" w:rsidP="003532ED">
      <w:pPr>
        <w:spacing w:after="0" w:line="259" w:lineRule="auto"/>
        <w:ind w:left="0" w:right="0" w:firstLine="0"/>
      </w:pPr>
    </w:p>
    <w:p w14:paraId="5E072CA0" w14:textId="77777777" w:rsidR="009A19F7" w:rsidRDefault="009A19F7" w:rsidP="003532ED">
      <w:pPr>
        <w:spacing w:after="0" w:line="259" w:lineRule="auto"/>
        <w:ind w:left="0" w:right="0" w:firstLine="0"/>
      </w:pPr>
    </w:p>
    <w:p w14:paraId="6241458E" w14:textId="77777777" w:rsidR="009A19F7" w:rsidRDefault="009A19F7" w:rsidP="003532ED">
      <w:pPr>
        <w:spacing w:after="0" w:line="259" w:lineRule="auto"/>
        <w:ind w:left="0" w:right="0" w:firstLine="0"/>
      </w:pPr>
    </w:p>
    <w:p w14:paraId="2FA6D018" w14:textId="77777777" w:rsidR="00EB03CC" w:rsidRDefault="00EB03CC" w:rsidP="003532ED">
      <w:pPr>
        <w:spacing w:after="0" w:line="259" w:lineRule="auto"/>
        <w:ind w:left="0" w:right="0" w:firstLine="0"/>
      </w:pPr>
    </w:p>
    <w:p w14:paraId="5B3127E2" w14:textId="77777777" w:rsidR="009A19F7" w:rsidRDefault="009A19F7" w:rsidP="003532ED">
      <w:pPr>
        <w:spacing w:after="0" w:line="259" w:lineRule="auto"/>
        <w:ind w:left="0" w:right="0" w:firstLine="0"/>
      </w:pPr>
    </w:p>
    <w:p w14:paraId="2F7ACB01" w14:textId="77777777" w:rsidR="009A19F7" w:rsidRDefault="009A19F7" w:rsidP="003532ED">
      <w:pPr>
        <w:spacing w:after="0" w:line="259" w:lineRule="auto"/>
        <w:ind w:left="0" w:right="0" w:firstLine="0"/>
      </w:pPr>
    </w:p>
    <w:p w14:paraId="69220532" w14:textId="77777777" w:rsidR="009A19F7" w:rsidRDefault="009A19F7" w:rsidP="003532ED">
      <w:pPr>
        <w:spacing w:after="0" w:line="259" w:lineRule="auto"/>
        <w:ind w:left="0" w:right="0" w:firstLine="0"/>
      </w:pPr>
    </w:p>
    <w:p w14:paraId="0992A918" w14:textId="77777777" w:rsidR="009A19F7" w:rsidRDefault="009A19F7" w:rsidP="003532ED">
      <w:pPr>
        <w:spacing w:after="0" w:line="259" w:lineRule="auto"/>
        <w:ind w:left="0" w:right="0" w:firstLine="0"/>
      </w:pPr>
    </w:p>
    <w:p w14:paraId="1C5E792B" w14:textId="77777777" w:rsidR="00D00632" w:rsidRDefault="00D00632" w:rsidP="003532ED">
      <w:pPr>
        <w:spacing w:after="0" w:line="259" w:lineRule="auto"/>
        <w:ind w:left="0" w:right="0" w:firstLine="0"/>
      </w:pPr>
    </w:p>
    <w:p w14:paraId="7D74AE56" w14:textId="77777777" w:rsidR="00D00632" w:rsidRDefault="00D00632" w:rsidP="003532ED">
      <w:pPr>
        <w:spacing w:after="0" w:line="259" w:lineRule="auto"/>
        <w:ind w:left="0" w:right="0" w:firstLine="0"/>
      </w:pPr>
    </w:p>
    <w:p w14:paraId="216AA6A2" w14:textId="5C942950" w:rsidR="00B56D50" w:rsidRPr="00096639" w:rsidRDefault="00A607BA" w:rsidP="00AC7B73">
      <w:pPr>
        <w:spacing w:after="0" w:line="259" w:lineRule="auto"/>
        <w:ind w:right="0"/>
        <w:jc w:val="center"/>
        <w:rPr>
          <w:b/>
        </w:rPr>
      </w:pPr>
      <w:r w:rsidRPr="00096639">
        <w:rPr>
          <w:b/>
        </w:rPr>
        <w:lastRenderedPageBreak/>
        <w:t xml:space="preserve">SW-846 </w:t>
      </w:r>
      <w:r w:rsidR="001C3C42" w:rsidRPr="00096639">
        <w:rPr>
          <w:b/>
        </w:rPr>
        <w:t>Semi</w:t>
      </w:r>
      <w:r w:rsidR="00A03C4A" w:rsidRPr="00096639">
        <w:rPr>
          <w:b/>
        </w:rPr>
        <w:t>-</w:t>
      </w:r>
      <w:r w:rsidR="001C3C42" w:rsidRPr="00096639">
        <w:rPr>
          <w:b/>
        </w:rPr>
        <w:t xml:space="preserve">volatile Organic Analysis (SVOA) and </w:t>
      </w:r>
      <w:r w:rsidR="00E83D27" w:rsidRPr="00096639">
        <w:rPr>
          <w:b/>
        </w:rPr>
        <w:t>Non-volatile</w:t>
      </w:r>
      <w:r w:rsidR="001C3C42" w:rsidRPr="00096639">
        <w:rPr>
          <w:b/>
        </w:rPr>
        <w:t xml:space="preserve"> Organic Analysis (NVOA)</w:t>
      </w:r>
    </w:p>
    <w:p w14:paraId="1932A611" w14:textId="77777777" w:rsidR="00F1487F" w:rsidRPr="00096639" w:rsidRDefault="00F1487F" w:rsidP="00145AB6">
      <w:pPr>
        <w:spacing w:after="0" w:line="259" w:lineRule="auto"/>
        <w:ind w:right="0"/>
        <w:rPr>
          <w:b/>
        </w:rPr>
      </w:pPr>
    </w:p>
    <w:tbl>
      <w:tblPr>
        <w:tblStyle w:val="TableGrid1"/>
        <w:tblW w:w="10620" w:type="dxa"/>
        <w:tblInd w:w="-375" w:type="dxa"/>
        <w:tblCellMar>
          <w:top w:w="8" w:type="dxa"/>
          <w:left w:w="72" w:type="dxa"/>
          <w:right w:w="73" w:type="dxa"/>
        </w:tblCellMar>
        <w:tblLook w:val="04A0" w:firstRow="1" w:lastRow="0" w:firstColumn="1" w:lastColumn="0" w:noHBand="0" w:noVBand="1"/>
      </w:tblPr>
      <w:tblGrid>
        <w:gridCol w:w="1646"/>
        <w:gridCol w:w="2815"/>
        <w:gridCol w:w="3538"/>
        <w:gridCol w:w="2621"/>
      </w:tblGrid>
      <w:tr w:rsidR="00770E35" w:rsidRPr="00493698" w14:paraId="431FE8F7" w14:textId="77777777" w:rsidTr="00324798">
        <w:trPr>
          <w:trHeight w:val="384"/>
          <w:tblHeader/>
        </w:trPr>
        <w:tc>
          <w:tcPr>
            <w:tcW w:w="10620" w:type="dxa"/>
            <w:gridSpan w:val="4"/>
            <w:tcBorders>
              <w:top w:val="single" w:sz="12" w:space="0" w:color="000000"/>
              <w:left w:val="single" w:sz="12" w:space="0" w:color="000000"/>
              <w:bottom w:val="single" w:sz="12" w:space="0" w:color="000000"/>
              <w:right w:val="single" w:sz="12" w:space="0" w:color="000000"/>
            </w:tcBorders>
            <w:vAlign w:val="center"/>
          </w:tcPr>
          <w:p w14:paraId="05FC8250" w14:textId="3EC4D225" w:rsidR="00770E35" w:rsidRPr="00493698" w:rsidRDefault="00770E35" w:rsidP="00F3387F">
            <w:pPr>
              <w:spacing w:after="0" w:line="240" w:lineRule="auto"/>
              <w:ind w:left="0" w:right="0" w:firstLine="0"/>
              <w:rPr>
                <w:sz w:val="18"/>
                <w:szCs w:val="18"/>
              </w:rPr>
            </w:pPr>
            <w:r>
              <w:rPr>
                <w:b/>
                <w:sz w:val="18"/>
              </w:rPr>
              <w:t>SVOA &amp; NVOA</w:t>
            </w:r>
            <w:proofErr w:type="gramStart"/>
            <w:r>
              <w:rPr>
                <w:b/>
                <w:sz w:val="18"/>
              </w:rPr>
              <w:t>:  Acceptable</w:t>
            </w:r>
            <w:proofErr w:type="gramEnd"/>
            <w:r>
              <w:rPr>
                <w:b/>
                <w:sz w:val="18"/>
              </w:rPr>
              <w:t xml:space="preserve"> Sample Preparation Methods</w:t>
            </w:r>
          </w:p>
        </w:tc>
      </w:tr>
      <w:tr w:rsidR="00C84A5D" w14:paraId="758DF1B9" w14:textId="77777777" w:rsidTr="00324798">
        <w:trPr>
          <w:trHeight w:val="288"/>
          <w:tblHeader/>
        </w:trPr>
        <w:tc>
          <w:tcPr>
            <w:tcW w:w="1646" w:type="dxa"/>
            <w:tcBorders>
              <w:top w:val="single" w:sz="12" w:space="0" w:color="000000"/>
              <w:left w:val="single" w:sz="12" w:space="0" w:color="000000"/>
              <w:bottom w:val="single" w:sz="12" w:space="0" w:color="000000"/>
              <w:right w:val="single" w:sz="12" w:space="0" w:color="000000"/>
            </w:tcBorders>
            <w:vAlign w:val="center"/>
          </w:tcPr>
          <w:p w14:paraId="3A392485" w14:textId="6F77817F" w:rsidR="00B56D50" w:rsidRDefault="001C3C42" w:rsidP="00836891">
            <w:pPr>
              <w:spacing w:after="0" w:line="259" w:lineRule="auto"/>
              <w:ind w:left="0" w:right="0" w:firstLine="0"/>
              <w:jc w:val="center"/>
            </w:pPr>
            <w:r>
              <w:rPr>
                <w:b/>
                <w:sz w:val="18"/>
              </w:rPr>
              <w:t>Method No.</w:t>
            </w:r>
          </w:p>
        </w:tc>
        <w:tc>
          <w:tcPr>
            <w:tcW w:w="2815" w:type="dxa"/>
            <w:tcBorders>
              <w:top w:val="single" w:sz="12" w:space="0" w:color="000000"/>
              <w:left w:val="single" w:sz="12" w:space="0" w:color="000000"/>
              <w:bottom w:val="single" w:sz="12" w:space="0" w:color="000000"/>
              <w:right w:val="single" w:sz="12" w:space="0" w:color="000000"/>
            </w:tcBorders>
            <w:vAlign w:val="center"/>
          </w:tcPr>
          <w:p w14:paraId="3D3AE586" w14:textId="56AFCB3A" w:rsidR="00B56D50" w:rsidRDefault="001C3C42" w:rsidP="00836891">
            <w:pPr>
              <w:spacing w:after="0" w:line="259" w:lineRule="auto"/>
              <w:ind w:left="0" w:right="0" w:firstLine="0"/>
              <w:jc w:val="center"/>
            </w:pPr>
            <w:r>
              <w:rPr>
                <w:b/>
                <w:sz w:val="18"/>
              </w:rPr>
              <w:t>Sample Matrix</w:t>
            </w:r>
          </w:p>
        </w:tc>
        <w:tc>
          <w:tcPr>
            <w:tcW w:w="3538" w:type="dxa"/>
            <w:tcBorders>
              <w:top w:val="single" w:sz="12" w:space="0" w:color="000000"/>
              <w:left w:val="single" w:sz="12" w:space="0" w:color="000000"/>
              <w:bottom w:val="single" w:sz="12" w:space="0" w:color="000000"/>
              <w:right w:val="single" w:sz="12" w:space="0" w:color="000000"/>
            </w:tcBorders>
            <w:vAlign w:val="center"/>
          </w:tcPr>
          <w:p w14:paraId="17840C0A" w14:textId="31144976" w:rsidR="00B56D50" w:rsidRDefault="001C3C42" w:rsidP="00836891">
            <w:pPr>
              <w:spacing w:after="0" w:line="259" w:lineRule="auto"/>
              <w:ind w:left="0" w:right="0" w:firstLine="0"/>
              <w:jc w:val="center"/>
            </w:pPr>
            <w:r>
              <w:rPr>
                <w:b/>
                <w:sz w:val="18"/>
              </w:rPr>
              <w:t>Procedure</w:t>
            </w:r>
          </w:p>
        </w:tc>
        <w:tc>
          <w:tcPr>
            <w:tcW w:w="2621" w:type="dxa"/>
            <w:tcBorders>
              <w:top w:val="single" w:sz="12" w:space="0" w:color="000000"/>
              <w:left w:val="single" w:sz="12" w:space="0" w:color="000000"/>
              <w:bottom w:val="single" w:sz="12" w:space="0" w:color="000000"/>
              <w:right w:val="single" w:sz="12" w:space="0" w:color="000000"/>
            </w:tcBorders>
            <w:vAlign w:val="center"/>
          </w:tcPr>
          <w:p w14:paraId="3FCEA49D" w14:textId="72530217" w:rsidR="00B56D50" w:rsidRDefault="001C3C42" w:rsidP="00836891">
            <w:pPr>
              <w:spacing w:after="0" w:line="259" w:lineRule="auto"/>
              <w:ind w:left="0" w:right="0" w:firstLine="0"/>
              <w:jc w:val="center"/>
            </w:pPr>
            <w:r>
              <w:rPr>
                <w:b/>
                <w:sz w:val="18"/>
              </w:rPr>
              <w:t>Comments</w:t>
            </w:r>
          </w:p>
        </w:tc>
      </w:tr>
      <w:tr w:rsidR="00C84A5D" w14:paraId="611AEE0C" w14:textId="77777777" w:rsidTr="00324798">
        <w:trPr>
          <w:trHeight w:val="434"/>
        </w:trPr>
        <w:tc>
          <w:tcPr>
            <w:tcW w:w="1646" w:type="dxa"/>
            <w:tcBorders>
              <w:top w:val="single" w:sz="12" w:space="0" w:color="000000"/>
              <w:left w:val="single" w:sz="12" w:space="0" w:color="000000"/>
              <w:bottom w:val="single" w:sz="4" w:space="0" w:color="000000"/>
              <w:right w:val="single" w:sz="12" w:space="0" w:color="000000"/>
            </w:tcBorders>
            <w:vAlign w:val="center"/>
          </w:tcPr>
          <w:p w14:paraId="617F4C7A" w14:textId="194241C8" w:rsidR="00B56D50" w:rsidRDefault="001C3C42" w:rsidP="00F3387F">
            <w:pPr>
              <w:tabs>
                <w:tab w:val="center" w:pos="513"/>
              </w:tabs>
              <w:spacing w:after="0" w:line="259" w:lineRule="auto"/>
              <w:ind w:left="0" w:right="0" w:firstLine="0"/>
              <w:jc w:val="center"/>
            </w:pPr>
            <w:r>
              <w:rPr>
                <w:sz w:val="18"/>
              </w:rPr>
              <w:t>3500C</w:t>
            </w:r>
          </w:p>
        </w:tc>
        <w:tc>
          <w:tcPr>
            <w:tcW w:w="2815" w:type="dxa"/>
            <w:tcBorders>
              <w:top w:val="single" w:sz="12" w:space="0" w:color="000000"/>
              <w:left w:val="single" w:sz="12" w:space="0" w:color="000000"/>
              <w:bottom w:val="single" w:sz="4" w:space="0" w:color="000000"/>
              <w:right w:val="single" w:sz="12" w:space="0" w:color="000000"/>
            </w:tcBorders>
            <w:vAlign w:val="center"/>
          </w:tcPr>
          <w:p w14:paraId="6BA5D157" w14:textId="1DE26100" w:rsidR="00B56D50" w:rsidRDefault="001C3C42" w:rsidP="00F3387F">
            <w:pPr>
              <w:spacing w:after="0" w:line="259" w:lineRule="auto"/>
              <w:ind w:left="108" w:right="0" w:firstLine="0"/>
              <w:jc w:val="center"/>
            </w:pPr>
            <w:r>
              <w:rPr>
                <w:sz w:val="18"/>
              </w:rPr>
              <w:t>All</w:t>
            </w:r>
          </w:p>
        </w:tc>
        <w:tc>
          <w:tcPr>
            <w:tcW w:w="3538" w:type="dxa"/>
            <w:tcBorders>
              <w:top w:val="single" w:sz="12" w:space="0" w:color="000000"/>
              <w:left w:val="single" w:sz="12" w:space="0" w:color="000000"/>
              <w:bottom w:val="single" w:sz="4" w:space="0" w:color="000000"/>
              <w:right w:val="single" w:sz="12" w:space="0" w:color="000000"/>
            </w:tcBorders>
            <w:vAlign w:val="center"/>
          </w:tcPr>
          <w:p w14:paraId="535CDB75" w14:textId="4976D0BF" w:rsidR="00B56D50" w:rsidRDefault="001C3C42" w:rsidP="00F3387F">
            <w:pPr>
              <w:tabs>
                <w:tab w:val="center" w:pos="848"/>
              </w:tabs>
              <w:spacing w:after="0" w:line="259" w:lineRule="auto"/>
              <w:ind w:left="0" w:right="0" w:firstLine="0"/>
              <w:jc w:val="center"/>
            </w:pPr>
            <w:r>
              <w:rPr>
                <w:sz w:val="18"/>
              </w:rPr>
              <w:t>General Guidance</w:t>
            </w:r>
          </w:p>
        </w:tc>
        <w:tc>
          <w:tcPr>
            <w:tcW w:w="2621" w:type="dxa"/>
            <w:tcBorders>
              <w:top w:val="single" w:sz="12" w:space="0" w:color="000000"/>
              <w:left w:val="single" w:sz="12" w:space="0" w:color="000000"/>
              <w:bottom w:val="single" w:sz="4" w:space="0" w:color="000000"/>
              <w:right w:val="single" w:sz="12" w:space="0" w:color="000000"/>
            </w:tcBorders>
            <w:vAlign w:val="center"/>
          </w:tcPr>
          <w:p w14:paraId="2C5C043A" w14:textId="6E3301D8" w:rsidR="00B56D50" w:rsidRDefault="001C3C42" w:rsidP="00F3387F">
            <w:pPr>
              <w:spacing w:after="0" w:line="259" w:lineRule="auto"/>
              <w:ind w:left="0" w:right="0" w:firstLine="0"/>
              <w:jc w:val="center"/>
            </w:pPr>
            <w:r>
              <w:rPr>
                <w:b/>
                <w:sz w:val="18"/>
              </w:rPr>
              <w:t xml:space="preserve">Required.  </w:t>
            </w:r>
            <w:proofErr w:type="gramStart"/>
            <w:r>
              <w:rPr>
                <w:sz w:val="18"/>
              </w:rPr>
              <w:t>Analyst</w:t>
            </w:r>
            <w:proofErr w:type="gramEnd"/>
            <w:r>
              <w:rPr>
                <w:sz w:val="18"/>
              </w:rPr>
              <w:t xml:space="preserve"> </w:t>
            </w:r>
            <w:r>
              <w:rPr>
                <w:b/>
                <w:sz w:val="18"/>
              </w:rPr>
              <w:t>must</w:t>
            </w:r>
            <w:r>
              <w:rPr>
                <w:sz w:val="18"/>
              </w:rPr>
              <w:t xml:space="preserve"> be familiar with.</w:t>
            </w:r>
          </w:p>
        </w:tc>
      </w:tr>
      <w:tr w:rsidR="00C84A5D" w14:paraId="600A40E9" w14:textId="77777777" w:rsidTr="00324798">
        <w:trPr>
          <w:trHeight w:val="425"/>
        </w:trPr>
        <w:tc>
          <w:tcPr>
            <w:tcW w:w="1646" w:type="dxa"/>
            <w:tcBorders>
              <w:top w:val="single" w:sz="4" w:space="0" w:color="000000"/>
              <w:left w:val="single" w:sz="12" w:space="0" w:color="000000"/>
              <w:bottom w:val="single" w:sz="4" w:space="0" w:color="000000"/>
              <w:right w:val="single" w:sz="12" w:space="0" w:color="000000"/>
            </w:tcBorders>
            <w:vAlign w:val="center"/>
          </w:tcPr>
          <w:p w14:paraId="612B3F6A" w14:textId="1FE64F45" w:rsidR="00B56D50" w:rsidRDefault="001C3C42" w:rsidP="00F3387F">
            <w:pPr>
              <w:tabs>
                <w:tab w:val="center" w:pos="452"/>
              </w:tabs>
              <w:spacing w:after="0" w:line="259" w:lineRule="auto"/>
              <w:ind w:left="0" w:right="0" w:firstLine="0"/>
              <w:jc w:val="center"/>
            </w:pPr>
            <w:r>
              <w:rPr>
                <w:sz w:val="18"/>
              </w:rPr>
              <w:t>3510</w:t>
            </w:r>
          </w:p>
        </w:tc>
        <w:tc>
          <w:tcPr>
            <w:tcW w:w="2815" w:type="dxa"/>
            <w:tcBorders>
              <w:top w:val="single" w:sz="4" w:space="0" w:color="000000"/>
              <w:left w:val="single" w:sz="12" w:space="0" w:color="000000"/>
              <w:bottom w:val="single" w:sz="4" w:space="0" w:color="000000"/>
              <w:right w:val="single" w:sz="12" w:space="0" w:color="000000"/>
            </w:tcBorders>
            <w:vAlign w:val="center"/>
          </w:tcPr>
          <w:p w14:paraId="532CA56A" w14:textId="617BD272" w:rsidR="00B56D50" w:rsidRDefault="001C3C42" w:rsidP="00F3387F">
            <w:pPr>
              <w:spacing w:after="0" w:line="259" w:lineRule="auto"/>
              <w:ind w:left="108" w:right="0" w:firstLine="0"/>
              <w:jc w:val="center"/>
            </w:pPr>
            <w:r>
              <w:rPr>
                <w:sz w:val="18"/>
              </w:rPr>
              <w:t>Aqueous</w:t>
            </w:r>
          </w:p>
        </w:tc>
        <w:tc>
          <w:tcPr>
            <w:tcW w:w="3538" w:type="dxa"/>
            <w:tcBorders>
              <w:top w:val="single" w:sz="4" w:space="0" w:color="000000"/>
              <w:left w:val="single" w:sz="12" w:space="0" w:color="000000"/>
              <w:bottom w:val="single" w:sz="4" w:space="0" w:color="000000"/>
              <w:right w:val="single" w:sz="12" w:space="0" w:color="000000"/>
            </w:tcBorders>
            <w:vAlign w:val="center"/>
          </w:tcPr>
          <w:p w14:paraId="72D2C087" w14:textId="0B5E6582" w:rsidR="00B56D50" w:rsidRDefault="001C3C42" w:rsidP="00F3387F">
            <w:pPr>
              <w:spacing w:after="0" w:line="259" w:lineRule="auto"/>
              <w:ind w:left="0" w:right="0" w:firstLine="0"/>
              <w:jc w:val="center"/>
            </w:pPr>
            <w:r>
              <w:rPr>
                <w:sz w:val="18"/>
              </w:rPr>
              <w:t>Separatory Funnel Liquid-Liquid Extraction</w:t>
            </w:r>
          </w:p>
        </w:tc>
        <w:tc>
          <w:tcPr>
            <w:tcW w:w="2621" w:type="dxa"/>
            <w:tcBorders>
              <w:top w:val="single" w:sz="4" w:space="0" w:color="000000"/>
              <w:left w:val="single" w:sz="12" w:space="0" w:color="000000"/>
              <w:bottom w:val="single" w:sz="4" w:space="0" w:color="000000"/>
              <w:right w:val="single" w:sz="12" w:space="0" w:color="000000"/>
            </w:tcBorders>
            <w:vAlign w:val="center"/>
          </w:tcPr>
          <w:p w14:paraId="1A30DFE6" w14:textId="538557F3" w:rsidR="00B56D50" w:rsidRDefault="001C3C42" w:rsidP="00F3387F">
            <w:pPr>
              <w:spacing w:after="0" w:line="259" w:lineRule="auto"/>
              <w:ind w:left="0" w:right="0" w:firstLine="0"/>
              <w:jc w:val="center"/>
            </w:pPr>
            <w:r>
              <w:rPr>
                <w:sz w:val="18"/>
              </w:rPr>
              <w:t>For any semi</w:t>
            </w:r>
            <w:r w:rsidR="009423B8">
              <w:rPr>
                <w:sz w:val="18"/>
              </w:rPr>
              <w:t>-</w:t>
            </w:r>
            <w:r>
              <w:rPr>
                <w:sz w:val="18"/>
              </w:rPr>
              <w:t xml:space="preserve">volatile or </w:t>
            </w:r>
            <w:r w:rsidR="007303C2">
              <w:rPr>
                <w:sz w:val="18"/>
              </w:rPr>
              <w:t>non-volatile</w:t>
            </w:r>
            <w:r>
              <w:rPr>
                <w:sz w:val="18"/>
              </w:rPr>
              <w:t xml:space="preserve"> organic analytes</w:t>
            </w:r>
          </w:p>
        </w:tc>
      </w:tr>
      <w:tr w:rsidR="00C84A5D" w14:paraId="56B04ED5" w14:textId="77777777" w:rsidTr="00324798">
        <w:trPr>
          <w:trHeight w:val="422"/>
        </w:trPr>
        <w:tc>
          <w:tcPr>
            <w:tcW w:w="1646" w:type="dxa"/>
            <w:tcBorders>
              <w:top w:val="single" w:sz="4" w:space="0" w:color="000000"/>
              <w:left w:val="single" w:sz="12" w:space="0" w:color="000000"/>
              <w:bottom w:val="single" w:sz="4" w:space="0" w:color="000000"/>
              <w:right w:val="single" w:sz="12" w:space="0" w:color="000000"/>
            </w:tcBorders>
            <w:vAlign w:val="center"/>
          </w:tcPr>
          <w:p w14:paraId="046919FE" w14:textId="03096D97" w:rsidR="00B56D50" w:rsidRDefault="001C3C42" w:rsidP="00F3387F">
            <w:pPr>
              <w:tabs>
                <w:tab w:val="center" w:pos="452"/>
              </w:tabs>
              <w:spacing w:after="0" w:line="259" w:lineRule="auto"/>
              <w:ind w:left="0" w:right="0" w:firstLine="0"/>
              <w:jc w:val="center"/>
            </w:pPr>
            <w:r>
              <w:rPr>
                <w:sz w:val="18"/>
              </w:rPr>
              <w:t>3520</w:t>
            </w:r>
          </w:p>
        </w:tc>
        <w:tc>
          <w:tcPr>
            <w:tcW w:w="2815" w:type="dxa"/>
            <w:tcBorders>
              <w:top w:val="single" w:sz="4" w:space="0" w:color="000000"/>
              <w:left w:val="single" w:sz="12" w:space="0" w:color="000000"/>
              <w:bottom w:val="single" w:sz="4" w:space="0" w:color="000000"/>
              <w:right w:val="single" w:sz="12" w:space="0" w:color="000000"/>
            </w:tcBorders>
            <w:vAlign w:val="center"/>
          </w:tcPr>
          <w:p w14:paraId="4F16D59A" w14:textId="1BBDE5EA" w:rsidR="00B56D50" w:rsidRDefault="001C3C42" w:rsidP="00F3387F">
            <w:pPr>
              <w:spacing w:after="0" w:line="259" w:lineRule="auto"/>
              <w:ind w:left="108" w:right="0" w:firstLine="0"/>
              <w:jc w:val="center"/>
            </w:pPr>
            <w:r>
              <w:rPr>
                <w:sz w:val="18"/>
              </w:rPr>
              <w:t>Aqueous</w:t>
            </w:r>
          </w:p>
        </w:tc>
        <w:tc>
          <w:tcPr>
            <w:tcW w:w="3538" w:type="dxa"/>
            <w:tcBorders>
              <w:top w:val="single" w:sz="4" w:space="0" w:color="000000"/>
              <w:left w:val="single" w:sz="12" w:space="0" w:color="000000"/>
              <w:bottom w:val="single" w:sz="4" w:space="0" w:color="000000"/>
              <w:right w:val="single" w:sz="12" w:space="0" w:color="000000"/>
            </w:tcBorders>
            <w:vAlign w:val="center"/>
          </w:tcPr>
          <w:p w14:paraId="3A0D54DB" w14:textId="6C5BC970" w:rsidR="00B56D50" w:rsidRDefault="001C3C42" w:rsidP="00F3387F">
            <w:pPr>
              <w:tabs>
                <w:tab w:val="center" w:pos="1542"/>
              </w:tabs>
              <w:spacing w:after="0" w:line="259" w:lineRule="auto"/>
              <w:ind w:left="0" w:right="0" w:firstLine="0"/>
              <w:jc w:val="center"/>
            </w:pPr>
            <w:r>
              <w:rPr>
                <w:sz w:val="18"/>
              </w:rPr>
              <w:t>Continuous Liquid-Liquid Extraction</w:t>
            </w:r>
          </w:p>
        </w:tc>
        <w:tc>
          <w:tcPr>
            <w:tcW w:w="2621" w:type="dxa"/>
            <w:tcBorders>
              <w:top w:val="single" w:sz="4" w:space="0" w:color="000000"/>
              <w:left w:val="single" w:sz="12" w:space="0" w:color="000000"/>
              <w:bottom w:val="single" w:sz="4" w:space="0" w:color="000000"/>
              <w:right w:val="single" w:sz="12" w:space="0" w:color="000000"/>
            </w:tcBorders>
            <w:vAlign w:val="center"/>
          </w:tcPr>
          <w:p w14:paraId="2C7D1C38" w14:textId="64C199FD" w:rsidR="00B56D50" w:rsidRDefault="001C3C42" w:rsidP="00F3387F">
            <w:pPr>
              <w:spacing w:after="0" w:line="259" w:lineRule="auto"/>
              <w:ind w:left="0" w:right="0" w:firstLine="0"/>
              <w:jc w:val="center"/>
            </w:pPr>
            <w:r>
              <w:rPr>
                <w:sz w:val="18"/>
              </w:rPr>
              <w:t xml:space="preserve">For any </w:t>
            </w:r>
            <w:r w:rsidR="009423B8">
              <w:rPr>
                <w:sz w:val="18"/>
              </w:rPr>
              <w:t>semi-volatile</w:t>
            </w:r>
            <w:r>
              <w:rPr>
                <w:sz w:val="18"/>
              </w:rPr>
              <w:t xml:space="preserve"> or </w:t>
            </w:r>
            <w:r w:rsidR="007303C2">
              <w:rPr>
                <w:sz w:val="18"/>
              </w:rPr>
              <w:t>n</w:t>
            </w:r>
            <w:r w:rsidR="00E83D27">
              <w:rPr>
                <w:sz w:val="18"/>
              </w:rPr>
              <w:t>on-volatile</w:t>
            </w:r>
            <w:r>
              <w:rPr>
                <w:sz w:val="18"/>
              </w:rPr>
              <w:t xml:space="preserve"> organic analytes</w:t>
            </w:r>
          </w:p>
        </w:tc>
      </w:tr>
      <w:tr w:rsidR="00C84A5D" w14:paraId="0053D755" w14:textId="77777777" w:rsidTr="00324798">
        <w:trPr>
          <w:trHeight w:val="631"/>
        </w:trPr>
        <w:tc>
          <w:tcPr>
            <w:tcW w:w="1646" w:type="dxa"/>
            <w:tcBorders>
              <w:top w:val="single" w:sz="4" w:space="0" w:color="000000"/>
              <w:left w:val="single" w:sz="12" w:space="0" w:color="000000"/>
              <w:bottom w:val="single" w:sz="4" w:space="0" w:color="000000"/>
              <w:right w:val="single" w:sz="12" w:space="0" w:color="000000"/>
            </w:tcBorders>
            <w:vAlign w:val="center"/>
          </w:tcPr>
          <w:p w14:paraId="44CD2DF3" w14:textId="1C1B53D5" w:rsidR="00B56D50" w:rsidRDefault="001C3C42" w:rsidP="00F3387F">
            <w:pPr>
              <w:tabs>
                <w:tab w:val="center" w:pos="518"/>
              </w:tabs>
              <w:spacing w:after="0" w:line="259" w:lineRule="auto"/>
              <w:ind w:left="0" w:right="0" w:firstLine="0"/>
              <w:jc w:val="center"/>
            </w:pPr>
            <w:r>
              <w:rPr>
                <w:sz w:val="18"/>
              </w:rPr>
              <w:t>3535A</w:t>
            </w:r>
          </w:p>
          <w:p w14:paraId="0E68A4B0" w14:textId="5F6BCAA6" w:rsidR="00B56D50" w:rsidRDefault="001C3C42" w:rsidP="00F3387F">
            <w:pPr>
              <w:spacing w:after="0" w:line="259" w:lineRule="auto"/>
              <w:ind w:left="0" w:right="0" w:firstLine="0"/>
              <w:jc w:val="center"/>
            </w:pPr>
            <w:r>
              <w:rPr>
                <w:sz w:val="18"/>
              </w:rPr>
              <w:t>(Update</w:t>
            </w:r>
          </w:p>
          <w:p w14:paraId="5F82AC82" w14:textId="454A2BF4" w:rsidR="00B56D50" w:rsidRDefault="001C3C42" w:rsidP="00F3387F">
            <w:pPr>
              <w:spacing w:after="0" w:line="259" w:lineRule="auto"/>
              <w:ind w:left="0" w:right="0" w:firstLine="0"/>
              <w:jc w:val="center"/>
            </w:pPr>
            <w:r>
              <w:rPr>
                <w:sz w:val="18"/>
              </w:rPr>
              <w:t>IVB)</w:t>
            </w:r>
          </w:p>
        </w:tc>
        <w:tc>
          <w:tcPr>
            <w:tcW w:w="2815" w:type="dxa"/>
            <w:tcBorders>
              <w:top w:val="single" w:sz="4" w:space="0" w:color="000000"/>
              <w:left w:val="single" w:sz="12" w:space="0" w:color="000000"/>
              <w:bottom w:val="single" w:sz="4" w:space="0" w:color="000000"/>
              <w:right w:val="single" w:sz="12" w:space="0" w:color="000000"/>
            </w:tcBorders>
            <w:vAlign w:val="center"/>
          </w:tcPr>
          <w:p w14:paraId="3320D663" w14:textId="2C3DF6FF" w:rsidR="00B56D50" w:rsidRDefault="001C3C42" w:rsidP="00F3387F">
            <w:pPr>
              <w:spacing w:after="0" w:line="259" w:lineRule="auto"/>
              <w:ind w:left="108" w:right="0" w:firstLine="0"/>
              <w:jc w:val="center"/>
            </w:pPr>
            <w:r>
              <w:rPr>
                <w:sz w:val="18"/>
              </w:rPr>
              <w:t>Aqueous</w:t>
            </w:r>
          </w:p>
        </w:tc>
        <w:tc>
          <w:tcPr>
            <w:tcW w:w="3538" w:type="dxa"/>
            <w:tcBorders>
              <w:top w:val="single" w:sz="4" w:space="0" w:color="000000"/>
              <w:left w:val="single" w:sz="12" w:space="0" w:color="000000"/>
              <w:bottom w:val="single" w:sz="4" w:space="0" w:color="000000"/>
              <w:right w:val="single" w:sz="12" w:space="0" w:color="000000"/>
            </w:tcBorders>
            <w:vAlign w:val="center"/>
          </w:tcPr>
          <w:p w14:paraId="0DCD61AB" w14:textId="15393C8A" w:rsidR="00B56D50" w:rsidRDefault="001C3C42" w:rsidP="00F3387F">
            <w:pPr>
              <w:tabs>
                <w:tab w:val="center" w:pos="1255"/>
              </w:tabs>
              <w:spacing w:after="0" w:line="259" w:lineRule="auto"/>
              <w:ind w:left="0" w:right="0" w:firstLine="0"/>
              <w:jc w:val="center"/>
            </w:pPr>
            <w:r>
              <w:rPr>
                <w:sz w:val="18"/>
              </w:rPr>
              <w:t>Solid Phase Extraction (SPE)</w:t>
            </w:r>
          </w:p>
        </w:tc>
        <w:tc>
          <w:tcPr>
            <w:tcW w:w="2621" w:type="dxa"/>
            <w:tcBorders>
              <w:top w:val="single" w:sz="4" w:space="0" w:color="000000"/>
              <w:left w:val="single" w:sz="12" w:space="0" w:color="000000"/>
              <w:bottom w:val="single" w:sz="4" w:space="0" w:color="000000"/>
              <w:right w:val="single" w:sz="12" w:space="0" w:color="000000"/>
            </w:tcBorders>
            <w:vAlign w:val="center"/>
          </w:tcPr>
          <w:p w14:paraId="1B289E76" w14:textId="27BB591F" w:rsidR="00B56D50" w:rsidRDefault="001C3C42" w:rsidP="00F3387F">
            <w:pPr>
              <w:spacing w:after="0" w:line="259" w:lineRule="auto"/>
              <w:ind w:left="0" w:right="0" w:firstLine="0"/>
              <w:jc w:val="center"/>
            </w:pPr>
            <w:r>
              <w:rPr>
                <w:sz w:val="18"/>
              </w:rPr>
              <w:t xml:space="preserve">For any </w:t>
            </w:r>
            <w:r w:rsidR="009423B8">
              <w:rPr>
                <w:sz w:val="18"/>
              </w:rPr>
              <w:t>semi-volatile</w:t>
            </w:r>
            <w:r>
              <w:rPr>
                <w:sz w:val="18"/>
              </w:rPr>
              <w:t xml:space="preserve"> or </w:t>
            </w:r>
            <w:r w:rsidR="007303C2">
              <w:rPr>
                <w:sz w:val="18"/>
              </w:rPr>
              <w:t>n</w:t>
            </w:r>
            <w:r w:rsidR="00E83D27">
              <w:rPr>
                <w:sz w:val="18"/>
              </w:rPr>
              <w:t>on-volatile</w:t>
            </w:r>
            <w:r>
              <w:rPr>
                <w:sz w:val="18"/>
              </w:rPr>
              <w:t xml:space="preserve"> organic analytes</w:t>
            </w:r>
          </w:p>
        </w:tc>
      </w:tr>
      <w:tr w:rsidR="00C84A5D" w14:paraId="7A90BEC4" w14:textId="77777777" w:rsidTr="00324798">
        <w:trPr>
          <w:trHeight w:val="425"/>
        </w:trPr>
        <w:tc>
          <w:tcPr>
            <w:tcW w:w="1646" w:type="dxa"/>
            <w:tcBorders>
              <w:top w:val="single" w:sz="4" w:space="0" w:color="000000"/>
              <w:left w:val="single" w:sz="12" w:space="0" w:color="000000"/>
              <w:bottom w:val="single" w:sz="4" w:space="0" w:color="000000"/>
              <w:right w:val="single" w:sz="12" w:space="0" w:color="000000"/>
            </w:tcBorders>
            <w:vAlign w:val="center"/>
          </w:tcPr>
          <w:p w14:paraId="2B788FC7" w14:textId="43F8FB82" w:rsidR="00B56D50" w:rsidRDefault="001C3C42" w:rsidP="00F3387F">
            <w:pPr>
              <w:tabs>
                <w:tab w:val="center" w:pos="452"/>
              </w:tabs>
              <w:spacing w:after="0" w:line="259" w:lineRule="auto"/>
              <w:ind w:left="0" w:right="0" w:firstLine="0"/>
              <w:jc w:val="center"/>
            </w:pPr>
            <w:r>
              <w:rPr>
                <w:sz w:val="18"/>
              </w:rPr>
              <w:t>3540</w:t>
            </w:r>
          </w:p>
        </w:tc>
        <w:tc>
          <w:tcPr>
            <w:tcW w:w="2815" w:type="dxa"/>
            <w:tcBorders>
              <w:top w:val="single" w:sz="4" w:space="0" w:color="000000"/>
              <w:left w:val="single" w:sz="12" w:space="0" w:color="000000"/>
              <w:bottom w:val="single" w:sz="4" w:space="0" w:color="000000"/>
              <w:right w:val="single" w:sz="12" w:space="0" w:color="000000"/>
            </w:tcBorders>
            <w:vAlign w:val="center"/>
          </w:tcPr>
          <w:p w14:paraId="4B308C1A" w14:textId="41D57A07" w:rsidR="00B56D50" w:rsidRDefault="001C3C42" w:rsidP="00F3387F">
            <w:pPr>
              <w:spacing w:after="0" w:line="259" w:lineRule="auto"/>
              <w:ind w:left="108" w:right="0" w:firstLine="0"/>
              <w:jc w:val="center"/>
            </w:pPr>
            <w:r>
              <w:rPr>
                <w:sz w:val="18"/>
              </w:rPr>
              <w:t>Soils, Sediments, Solid Waste</w:t>
            </w:r>
          </w:p>
        </w:tc>
        <w:tc>
          <w:tcPr>
            <w:tcW w:w="3538" w:type="dxa"/>
            <w:tcBorders>
              <w:top w:val="single" w:sz="4" w:space="0" w:color="000000"/>
              <w:left w:val="single" w:sz="12" w:space="0" w:color="000000"/>
              <w:bottom w:val="single" w:sz="4" w:space="0" w:color="000000"/>
              <w:right w:val="single" w:sz="12" w:space="0" w:color="000000"/>
            </w:tcBorders>
            <w:vAlign w:val="center"/>
          </w:tcPr>
          <w:p w14:paraId="207B9C43" w14:textId="4DCD5DDF" w:rsidR="00B56D50" w:rsidRDefault="001C3C42" w:rsidP="00F3387F">
            <w:pPr>
              <w:tabs>
                <w:tab w:val="center" w:pos="869"/>
              </w:tabs>
              <w:spacing w:after="0" w:line="259" w:lineRule="auto"/>
              <w:ind w:left="0" w:right="0" w:firstLine="0"/>
              <w:jc w:val="center"/>
            </w:pPr>
            <w:r>
              <w:rPr>
                <w:sz w:val="18"/>
              </w:rPr>
              <w:t>Soxhlet Extraction</w:t>
            </w:r>
          </w:p>
        </w:tc>
        <w:tc>
          <w:tcPr>
            <w:tcW w:w="2621" w:type="dxa"/>
            <w:tcBorders>
              <w:top w:val="single" w:sz="4" w:space="0" w:color="000000"/>
              <w:left w:val="single" w:sz="12" w:space="0" w:color="000000"/>
              <w:bottom w:val="single" w:sz="4" w:space="0" w:color="000000"/>
              <w:right w:val="single" w:sz="12" w:space="0" w:color="000000"/>
            </w:tcBorders>
            <w:vAlign w:val="center"/>
          </w:tcPr>
          <w:p w14:paraId="41266F83" w14:textId="38EBECCD" w:rsidR="00B56D50" w:rsidRDefault="001C3C42" w:rsidP="00F3387F">
            <w:pPr>
              <w:spacing w:after="0" w:line="259" w:lineRule="auto"/>
              <w:ind w:left="0" w:right="0" w:firstLine="0"/>
              <w:jc w:val="center"/>
            </w:pPr>
            <w:r>
              <w:rPr>
                <w:sz w:val="18"/>
              </w:rPr>
              <w:t xml:space="preserve">For any </w:t>
            </w:r>
            <w:r w:rsidR="009423B8">
              <w:rPr>
                <w:sz w:val="18"/>
              </w:rPr>
              <w:t>semi-volatile</w:t>
            </w:r>
            <w:r>
              <w:rPr>
                <w:sz w:val="18"/>
              </w:rPr>
              <w:t xml:space="preserve"> or </w:t>
            </w:r>
            <w:r w:rsidR="007303C2">
              <w:rPr>
                <w:sz w:val="18"/>
              </w:rPr>
              <w:t>n</w:t>
            </w:r>
            <w:r w:rsidR="00E83D27">
              <w:rPr>
                <w:sz w:val="18"/>
              </w:rPr>
              <w:t>on-volatile</w:t>
            </w:r>
            <w:r>
              <w:rPr>
                <w:sz w:val="18"/>
              </w:rPr>
              <w:t xml:space="preserve"> organic analytes</w:t>
            </w:r>
          </w:p>
        </w:tc>
      </w:tr>
      <w:tr w:rsidR="00C84A5D" w14:paraId="519789AC" w14:textId="77777777" w:rsidTr="00324798">
        <w:trPr>
          <w:trHeight w:val="423"/>
        </w:trPr>
        <w:tc>
          <w:tcPr>
            <w:tcW w:w="1646" w:type="dxa"/>
            <w:tcBorders>
              <w:top w:val="single" w:sz="4" w:space="0" w:color="000000"/>
              <w:left w:val="single" w:sz="12" w:space="0" w:color="000000"/>
              <w:bottom w:val="single" w:sz="4" w:space="0" w:color="000000"/>
              <w:right w:val="single" w:sz="12" w:space="0" w:color="000000"/>
            </w:tcBorders>
            <w:vAlign w:val="center"/>
          </w:tcPr>
          <w:p w14:paraId="1DF35EAA" w14:textId="4C0AAF48" w:rsidR="00B56D50" w:rsidRDefault="001C3C42" w:rsidP="00F3387F">
            <w:pPr>
              <w:tabs>
                <w:tab w:val="center" w:pos="452"/>
              </w:tabs>
              <w:spacing w:after="0" w:line="259" w:lineRule="auto"/>
              <w:ind w:left="0" w:right="0" w:firstLine="0"/>
              <w:jc w:val="center"/>
            </w:pPr>
            <w:r>
              <w:rPr>
                <w:sz w:val="18"/>
              </w:rPr>
              <w:t>3541</w:t>
            </w:r>
          </w:p>
        </w:tc>
        <w:tc>
          <w:tcPr>
            <w:tcW w:w="2815" w:type="dxa"/>
            <w:tcBorders>
              <w:top w:val="single" w:sz="4" w:space="0" w:color="000000"/>
              <w:left w:val="single" w:sz="12" w:space="0" w:color="000000"/>
              <w:bottom w:val="single" w:sz="4" w:space="0" w:color="000000"/>
              <w:right w:val="single" w:sz="12" w:space="0" w:color="000000"/>
            </w:tcBorders>
            <w:vAlign w:val="center"/>
          </w:tcPr>
          <w:p w14:paraId="1C83642B" w14:textId="50F32935" w:rsidR="00B56D50" w:rsidRDefault="001C3C42" w:rsidP="00F3387F">
            <w:pPr>
              <w:spacing w:after="0" w:line="259" w:lineRule="auto"/>
              <w:ind w:left="108" w:right="0" w:firstLine="0"/>
              <w:jc w:val="center"/>
            </w:pPr>
            <w:r>
              <w:rPr>
                <w:sz w:val="18"/>
              </w:rPr>
              <w:t>Soils, Sediments, Solid Waste</w:t>
            </w:r>
          </w:p>
        </w:tc>
        <w:tc>
          <w:tcPr>
            <w:tcW w:w="3538" w:type="dxa"/>
            <w:tcBorders>
              <w:top w:val="single" w:sz="4" w:space="0" w:color="000000"/>
              <w:left w:val="single" w:sz="12" w:space="0" w:color="000000"/>
              <w:bottom w:val="single" w:sz="4" w:space="0" w:color="000000"/>
              <w:right w:val="single" w:sz="12" w:space="0" w:color="000000"/>
            </w:tcBorders>
            <w:vAlign w:val="center"/>
          </w:tcPr>
          <w:p w14:paraId="77A6993D" w14:textId="3509E235" w:rsidR="00B56D50" w:rsidRDefault="001C3C42" w:rsidP="00F3387F">
            <w:pPr>
              <w:tabs>
                <w:tab w:val="center" w:pos="1291"/>
              </w:tabs>
              <w:spacing w:after="0" w:line="259" w:lineRule="auto"/>
              <w:ind w:left="0" w:right="0" w:firstLine="0"/>
              <w:jc w:val="center"/>
            </w:pPr>
            <w:r>
              <w:rPr>
                <w:sz w:val="18"/>
              </w:rPr>
              <w:t>Automated Soxhlet Extraction</w:t>
            </w:r>
          </w:p>
        </w:tc>
        <w:tc>
          <w:tcPr>
            <w:tcW w:w="2621" w:type="dxa"/>
            <w:tcBorders>
              <w:top w:val="single" w:sz="4" w:space="0" w:color="000000"/>
              <w:left w:val="single" w:sz="12" w:space="0" w:color="000000"/>
              <w:bottom w:val="single" w:sz="4" w:space="0" w:color="000000"/>
              <w:right w:val="single" w:sz="12" w:space="0" w:color="000000"/>
            </w:tcBorders>
            <w:vAlign w:val="center"/>
          </w:tcPr>
          <w:p w14:paraId="4D51AE46" w14:textId="3AE0DE5B" w:rsidR="00B56D50" w:rsidRDefault="001C3C42" w:rsidP="00F3387F">
            <w:pPr>
              <w:spacing w:after="0" w:line="259" w:lineRule="auto"/>
              <w:ind w:left="0" w:right="0" w:firstLine="0"/>
              <w:jc w:val="center"/>
            </w:pPr>
            <w:r>
              <w:rPr>
                <w:sz w:val="18"/>
              </w:rPr>
              <w:t xml:space="preserve">For any </w:t>
            </w:r>
            <w:r w:rsidR="009423B8">
              <w:rPr>
                <w:sz w:val="18"/>
              </w:rPr>
              <w:t>semi-volatile</w:t>
            </w:r>
            <w:r>
              <w:rPr>
                <w:sz w:val="18"/>
              </w:rPr>
              <w:t xml:space="preserve"> or </w:t>
            </w:r>
            <w:r w:rsidR="00F0044F">
              <w:rPr>
                <w:sz w:val="18"/>
              </w:rPr>
              <w:t>n</w:t>
            </w:r>
            <w:r w:rsidR="00E83D27">
              <w:rPr>
                <w:sz w:val="18"/>
              </w:rPr>
              <w:t>on-volatile</w:t>
            </w:r>
            <w:r>
              <w:rPr>
                <w:sz w:val="18"/>
              </w:rPr>
              <w:t xml:space="preserve"> organic analytes</w:t>
            </w:r>
          </w:p>
        </w:tc>
      </w:tr>
      <w:tr w:rsidR="00C84A5D" w14:paraId="6C86A2C1" w14:textId="77777777" w:rsidTr="00324798">
        <w:trPr>
          <w:trHeight w:val="631"/>
        </w:trPr>
        <w:tc>
          <w:tcPr>
            <w:tcW w:w="1646" w:type="dxa"/>
            <w:tcBorders>
              <w:top w:val="single" w:sz="4" w:space="0" w:color="000000"/>
              <w:left w:val="single" w:sz="12" w:space="0" w:color="000000"/>
              <w:bottom w:val="single" w:sz="4" w:space="0" w:color="000000"/>
              <w:right w:val="single" w:sz="12" w:space="0" w:color="000000"/>
            </w:tcBorders>
            <w:vAlign w:val="center"/>
          </w:tcPr>
          <w:p w14:paraId="3D8967F2" w14:textId="7E47CA7B" w:rsidR="00B56D50" w:rsidRDefault="001C3C42" w:rsidP="00F3387F">
            <w:pPr>
              <w:tabs>
                <w:tab w:val="center" w:pos="518"/>
              </w:tabs>
              <w:spacing w:after="0" w:line="259" w:lineRule="auto"/>
              <w:ind w:left="0" w:right="0" w:firstLine="0"/>
              <w:jc w:val="center"/>
            </w:pPr>
            <w:r>
              <w:rPr>
                <w:sz w:val="18"/>
              </w:rPr>
              <w:t>3545A</w:t>
            </w:r>
          </w:p>
          <w:p w14:paraId="5B658E4C" w14:textId="232FC14E" w:rsidR="00B56D50" w:rsidRDefault="001C3C42" w:rsidP="00F3387F">
            <w:pPr>
              <w:spacing w:after="0" w:line="259" w:lineRule="auto"/>
              <w:ind w:left="0" w:right="0" w:firstLine="0"/>
              <w:jc w:val="center"/>
            </w:pPr>
            <w:r>
              <w:rPr>
                <w:sz w:val="18"/>
              </w:rPr>
              <w:t>(Update</w:t>
            </w:r>
          </w:p>
          <w:p w14:paraId="6210DC37" w14:textId="7A17811C" w:rsidR="00B56D50" w:rsidRDefault="001C3C42" w:rsidP="00F3387F">
            <w:pPr>
              <w:spacing w:after="0" w:line="259" w:lineRule="auto"/>
              <w:ind w:left="0" w:right="0" w:firstLine="0"/>
              <w:jc w:val="center"/>
            </w:pPr>
            <w:r>
              <w:rPr>
                <w:sz w:val="18"/>
              </w:rPr>
              <w:t>IVB)</w:t>
            </w:r>
          </w:p>
        </w:tc>
        <w:tc>
          <w:tcPr>
            <w:tcW w:w="2815" w:type="dxa"/>
            <w:tcBorders>
              <w:top w:val="single" w:sz="4" w:space="0" w:color="000000"/>
              <w:left w:val="single" w:sz="12" w:space="0" w:color="000000"/>
              <w:bottom w:val="single" w:sz="4" w:space="0" w:color="000000"/>
              <w:right w:val="single" w:sz="12" w:space="0" w:color="000000"/>
            </w:tcBorders>
            <w:vAlign w:val="center"/>
          </w:tcPr>
          <w:p w14:paraId="3BDD0552" w14:textId="15CA01FD" w:rsidR="00B56D50" w:rsidRDefault="001C3C42" w:rsidP="00F3387F">
            <w:pPr>
              <w:spacing w:after="0" w:line="259" w:lineRule="auto"/>
              <w:ind w:left="108" w:right="0" w:firstLine="0"/>
              <w:jc w:val="center"/>
            </w:pPr>
            <w:r>
              <w:rPr>
                <w:sz w:val="18"/>
              </w:rPr>
              <w:t>Soils, Sediments, Solid Waste</w:t>
            </w:r>
          </w:p>
        </w:tc>
        <w:tc>
          <w:tcPr>
            <w:tcW w:w="3538" w:type="dxa"/>
            <w:tcBorders>
              <w:top w:val="single" w:sz="4" w:space="0" w:color="000000"/>
              <w:left w:val="single" w:sz="12" w:space="0" w:color="000000"/>
              <w:bottom w:val="single" w:sz="4" w:space="0" w:color="000000"/>
              <w:right w:val="single" w:sz="12" w:space="0" w:color="000000"/>
            </w:tcBorders>
            <w:vAlign w:val="center"/>
          </w:tcPr>
          <w:p w14:paraId="2921DE60" w14:textId="7FD37AB9" w:rsidR="00B56D50" w:rsidRDefault="001C3C42" w:rsidP="00F3387F">
            <w:pPr>
              <w:tabs>
                <w:tab w:val="center" w:pos="1458"/>
              </w:tabs>
              <w:spacing w:after="0" w:line="259" w:lineRule="auto"/>
              <w:ind w:left="0" w:right="0" w:firstLine="0"/>
              <w:jc w:val="center"/>
            </w:pPr>
            <w:r>
              <w:rPr>
                <w:sz w:val="18"/>
              </w:rPr>
              <w:t>Pressurized Fluid Extraction (PFE)</w:t>
            </w:r>
          </w:p>
        </w:tc>
        <w:tc>
          <w:tcPr>
            <w:tcW w:w="2621" w:type="dxa"/>
            <w:tcBorders>
              <w:top w:val="single" w:sz="4" w:space="0" w:color="000000"/>
              <w:left w:val="single" w:sz="12" w:space="0" w:color="000000"/>
              <w:bottom w:val="single" w:sz="4" w:space="0" w:color="000000"/>
              <w:right w:val="single" w:sz="12" w:space="0" w:color="000000"/>
            </w:tcBorders>
            <w:vAlign w:val="center"/>
          </w:tcPr>
          <w:p w14:paraId="135CDC93" w14:textId="2CEE0388" w:rsidR="00B56D50" w:rsidRDefault="001C3C42" w:rsidP="00F3387F">
            <w:pPr>
              <w:spacing w:after="0" w:line="259" w:lineRule="auto"/>
              <w:ind w:left="0" w:right="0" w:firstLine="0"/>
              <w:jc w:val="center"/>
            </w:pPr>
            <w:r>
              <w:rPr>
                <w:sz w:val="18"/>
              </w:rPr>
              <w:t xml:space="preserve">For any </w:t>
            </w:r>
            <w:r w:rsidR="009423B8">
              <w:rPr>
                <w:sz w:val="18"/>
              </w:rPr>
              <w:t>semi-volatile</w:t>
            </w:r>
            <w:r>
              <w:rPr>
                <w:sz w:val="18"/>
              </w:rPr>
              <w:t xml:space="preserve"> or </w:t>
            </w:r>
            <w:r w:rsidR="00F0044F">
              <w:rPr>
                <w:sz w:val="18"/>
              </w:rPr>
              <w:t>n</w:t>
            </w:r>
            <w:r w:rsidR="00E83D27">
              <w:rPr>
                <w:sz w:val="18"/>
              </w:rPr>
              <w:t>on-volatile</w:t>
            </w:r>
            <w:r>
              <w:rPr>
                <w:sz w:val="18"/>
              </w:rPr>
              <w:t xml:space="preserve"> organic analytes</w:t>
            </w:r>
          </w:p>
        </w:tc>
      </w:tr>
      <w:tr w:rsidR="00C84A5D" w14:paraId="3BD39FA8" w14:textId="77777777" w:rsidTr="00324798">
        <w:trPr>
          <w:trHeight w:val="425"/>
        </w:trPr>
        <w:tc>
          <w:tcPr>
            <w:tcW w:w="1646" w:type="dxa"/>
            <w:tcBorders>
              <w:top w:val="single" w:sz="4" w:space="0" w:color="000000"/>
              <w:left w:val="single" w:sz="12" w:space="0" w:color="000000"/>
              <w:bottom w:val="single" w:sz="4" w:space="0" w:color="000000"/>
              <w:right w:val="single" w:sz="12" w:space="0" w:color="000000"/>
            </w:tcBorders>
            <w:vAlign w:val="center"/>
          </w:tcPr>
          <w:p w14:paraId="041EBE87" w14:textId="3E36F7F4" w:rsidR="00B56D50" w:rsidRDefault="001C3C42" w:rsidP="00F3387F">
            <w:pPr>
              <w:tabs>
                <w:tab w:val="center" w:pos="452"/>
              </w:tabs>
              <w:spacing w:after="0" w:line="259" w:lineRule="auto"/>
              <w:ind w:left="0" w:right="0" w:firstLine="0"/>
              <w:jc w:val="center"/>
            </w:pPr>
            <w:r>
              <w:rPr>
                <w:sz w:val="18"/>
              </w:rPr>
              <w:t>3546</w:t>
            </w:r>
          </w:p>
        </w:tc>
        <w:tc>
          <w:tcPr>
            <w:tcW w:w="2815" w:type="dxa"/>
            <w:tcBorders>
              <w:top w:val="single" w:sz="4" w:space="0" w:color="000000"/>
              <w:left w:val="single" w:sz="12" w:space="0" w:color="000000"/>
              <w:bottom w:val="single" w:sz="4" w:space="0" w:color="000000"/>
              <w:right w:val="single" w:sz="12" w:space="0" w:color="000000"/>
            </w:tcBorders>
            <w:vAlign w:val="center"/>
          </w:tcPr>
          <w:p w14:paraId="2A7FF0A0" w14:textId="5DD3337D" w:rsidR="00B56D50" w:rsidRDefault="001C3C42" w:rsidP="00F3387F">
            <w:pPr>
              <w:spacing w:after="0" w:line="259" w:lineRule="auto"/>
              <w:ind w:left="108" w:right="0" w:firstLine="0"/>
              <w:jc w:val="center"/>
            </w:pPr>
            <w:r>
              <w:rPr>
                <w:sz w:val="18"/>
              </w:rPr>
              <w:t>Soils, Sediments, Solid Waste</w:t>
            </w:r>
          </w:p>
        </w:tc>
        <w:tc>
          <w:tcPr>
            <w:tcW w:w="3538" w:type="dxa"/>
            <w:tcBorders>
              <w:top w:val="single" w:sz="4" w:space="0" w:color="000000"/>
              <w:left w:val="single" w:sz="12" w:space="0" w:color="000000"/>
              <w:bottom w:val="single" w:sz="4" w:space="0" w:color="000000"/>
              <w:right w:val="single" w:sz="12" w:space="0" w:color="000000"/>
            </w:tcBorders>
            <w:vAlign w:val="center"/>
          </w:tcPr>
          <w:p w14:paraId="093EEAB8" w14:textId="4E7D2300" w:rsidR="00B56D50" w:rsidRDefault="001C3C42" w:rsidP="00F3387F">
            <w:pPr>
              <w:tabs>
                <w:tab w:val="center" w:pos="1003"/>
              </w:tabs>
              <w:spacing w:after="0" w:line="259" w:lineRule="auto"/>
              <w:ind w:left="0" w:right="0" w:firstLine="0"/>
              <w:jc w:val="center"/>
            </w:pPr>
            <w:r>
              <w:rPr>
                <w:sz w:val="18"/>
              </w:rPr>
              <w:t>Microwave Extraction</w:t>
            </w:r>
          </w:p>
        </w:tc>
        <w:tc>
          <w:tcPr>
            <w:tcW w:w="2621" w:type="dxa"/>
            <w:tcBorders>
              <w:top w:val="single" w:sz="4" w:space="0" w:color="000000"/>
              <w:left w:val="single" w:sz="12" w:space="0" w:color="000000"/>
              <w:bottom w:val="single" w:sz="4" w:space="0" w:color="000000"/>
              <w:right w:val="single" w:sz="12" w:space="0" w:color="000000"/>
            </w:tcBorders>
            <w:vAlign w:val="center"/>
          </w:tcPr>
          <w:p w14:paraId="4DBF37FC" w14:textId="6DEC865D" w:rsidR="00B56D50" w:rsidRDefault="001C3C42" w:rsidP="00F3387F">
            <w:pPr>
              <w:spacing w:after="0" w:line="259" w:lineRule="auto"/>
              <w:ind w:left="0" w:right="0" w:firstLine="0"/>
              <w:jc w:val="center"/>
            </w:pPr>
            <w:r>
              <w:rPr>
                <w:sz w:val="18"/>
              </w:rPr>
              <w:t xml:space="preserve">For any </w:t>
            </w:r>
            <w:r w:rsidR="009423B8">
              <w:rPr>
                <w:sz w:val="18"/>
              </w:rPr>
              <w:t>semi-volatile</w:t>
            </w:r>
            <w:r>
              <w:rPr>
                <w:sz w:val="18"/>
              </w:rPr>
              <w:t xml:space="preserve"> or </w:t>
            </w:r>
            <w:r w:rsidR="00F0044F">
              <w:rPr>
                <w:sz w:val="18"/>
              </w:rPr>
              <w:t>n</w:t>
            </w:r>
            <w:r w:rsidR="00E83D27">
              <w:rPr>
                <w:sz w:val="18"/>
              </w:rPr>
              <w:t>on-volatile</w:t>
            </w:r>
            <w:r>
              <w:rPr>
                <w:sz w:val="18"/>
              </w:rPr>
              <w:t xml:space="preserve"> organic analytes</w:t>
            </w:r>
          </w:p>
        </w:tc>
      </w:tr>
      <w:tr w:rsidR="00C84A5D" w14:paraId="4934F674" w14:textId="77777777" w:rsidTr="00324798">
        <w:trPr>
          <w:trHeight w:val="425"/>
        </w:trPr>
        <w:tc>
          <w:tcPr>
            <w:tcW w:w="1646" w:type="dxa"/>
            <w:tcBorders>
              <w:top w:val="single" w:sz="4" w:space="0" w:color="000000"/>
              <w:left w:val="single" w:sz="12" w:space="0" w:color="000000"/>
              <w:bottom w:val="single" w:sz="4" w:space="0" w:color="000000"/>
              <w:right w:val="single" w:sz="12" w:space="0" w:color="000000"/>
            </w:tcBorders>
            <w:vAlign w:val="center"/>
          </w:tcPr>
          <w:p w14:paraId="40A0B318" w14:textId="60A8DB61" w:rsidR="00B56D50" w:rsidRDefault="001C3C42" w:rsidP="00F3387F">
            <w:pPr>
              <w:tabs>
                <w:tab w:val="center" w:pos="513"/>
              </w:tabs>
              <w:spacing w:after="0" w:line="259" w:lineRule="auto"/>
              <w:ind w:left="0" w:right="0" w:firstLine="0"/>
              <w:jc w:val="center"/>
            </w:pPr>
            <w:r>
              <w:rPr>
                <w:sz w:val="18"/>
              </w:rPr>
              <w:t>3550C</w:t>
            </w:r>
          </w:p>
        </w:tc>
        <w:tc>
          <w:tcPr>
            <w:tcW w:w="2815" w:type="dxa"/>
            <w:tcBorders>
              <w:top w:val="single" w:sz="4" w:space="0" w:color="000000"/>
              <w:left w:val="single" w:sz="12" w:space="0" w:color="000000"/>
              <w:bottom w:val="single" w:sz="4" w:space="0" w:color="000000"/>
              <w:right w:val="single" w:sz="12" w:space="0" w:color="000000"/>
            </w:tcBorders>
            <w:vAlign w:val="center"/>
          </w:tcPr>
          <w:p w14:paraId="700368FF" w14:textId="48F4FE37" w:rsidR="00B56D50" w:rsidRDefault="001C3C42" w:rsidP="00F3387F">
            <w:pPr>
              <w:spacing w:after="0" w:line="259" w:lineRule="auto"/>
              <w:ind w:left="108" w:right="0" w:firstLine="0"/>
              <w:jc w:val="center"/>
            </w:pPr>
            <w:r>
              <w:rPr>
                <w:sz w:val="18"/>
              </w:rPr>
              <w:t>Soils, Sediments, Solid Waste</w:t>
            </w:r>
          </w:p>
        </w:tc>
        <w:tc>
          <w:tcPr>
            <w:tcW w:w="3538" w:type="dxa"/>
            <w:tcBorders>
              <w:top w:val="single" w:sz="4" w:space="0" w:color="000000"/>
              <w:left w:val="single" w:sz="12" w:space="0" w:color="000000"/>
              <w:bottom w:val="single" w:sz="4" w:space="0" w:color="000000"/>
              <w:right w:val="single" w:sz="12" w:space="0" w:color="000000"/>
            </w:tcBorders>
            <w:vAlign w:val="center"/>
          </w:tcPr>
          <w:p w14:paraId="4DDFF134" w14:textId="3E5A64DD" w:rsidR="00B56D50" w:rsidRDefault="001C3C42" w:rsidP="00F3387F">
            <w:pPr>
              <w:tabs>
                <w:tab w:val="center" w:pos="970"/>
              </w:tabs>
              <w:spacing w:after="0" w:line="259" w:lineRule="auto"/>
              <w:ind w:left="0" w:right="0" w:firstLine="0"/>
              <w:jc w:val="center"/>
            </w:pPr>
            <w:r>
              <w:rPr>
                <w:sz w:val="18"/>
              </w:rPr>
              <w:t>Ultrasonic Extraction</w:t>
            </w:r>
          </w:p>
        </w:tc>
        <w:tc>
          <w:tcPr>
            <w:tcW w:w="2621" w:type="dxa"/>
            <w:tcBorders>
              <w:top w:val="single" w:sz="4" w:space="0" w:color="000000"/>
              <w:left w:val="single" w:sz="12" w:space="0" w:color="000000"/>
              <w:bottom w:val="single" w:sz="4" w:space="0" w:color="000000"/>
              <w:right w:val="single" w:sz="12" w:space="0" w:color="000000"/>
            </w:tcBorders>
            <w:vAlign w:val="center"/>
          </w:tcPr>
          <w:p w14:paraId="23352764" w14:textId="19CF7A55" w:rsidR="00B56D50" w:rsidRDefault="001C3C42" w:rsidP="00F3387F">
            <w:pPr>
              <w:spacing w:after="0" w:line="259" w:lineRule="auto"/>
              <w:ind w:left="0" w:right="0" w:firstLine="0"/>
              <w:jc w:val="center"/>
            </w:pPr>
            <w:r>
              <w:rPr>
                <w:sz w:val="18"/>
              </w:rPr>
              <w:t xml:space="preserve">For any </w:t>
            </w:r>
            <w:r w:rsidR="009423B8">
              <w:rPr>
                <w:sz w:val="18"/>
              </w:rPr>
              <w:t>semi-volatile</w:t>
            </w:r>
            <w:r>
              <w:rPr>
                <w:sz w:val="18"/>
              </w:rPr>
              <w:t xml:space="preserve"> or </w:t>
            </w:r>
            <w:r w:rsidR="00F0044F">
              <w:rPr>
                <w:sz w:val="18"/>
              </w:rPr>
              <w:t>n</w:t>
            </w:r>
            <w:r w:rsidR="00E83D27">
              <w:rPr>
                <w:sz w:val="18"/>
              </w:rPr>
              <w:t>on-volatile</w:t>
            </w:r>
            <w:r>
              <w:rPr>
                <w:sz w:val="18"/>
              </w:rPr>
              <w:t xml:space="preserve"> organic analytes</w:t>
            </w:r>
          </w:p>
        </w:tc>
      </w:tr>
      <w:tr w:rsidR="00C84A5D" w14:paraId="55643E31" w14:textId="77777777" w:rsidTr="00324798">
        <w:trPr>
          <w:trHeight w:val="422"/>
        </w:trPr>
        <w:tc>
          <w:tcPr>
            <w:tcW w:w="1646" w:type="dxa"/>
            <w:tcBorders>
              <w:top w:val="single" w:sz="4" w:space="0" w:color="000000"/>
              <w:left w:val="single" w:sz="12" w:space="0" w:color="000000"/>
              <w:bottom w:val="single" w:sz="4" w:space="0" w:color="000000"/>
              <w:right w:val="single" w:sz="12" w:space="0" w:color="000000"/>
            </w:tcBorders>
            <w:vAlign w:val="center"/>
          </w:tcPr>
          <w:p w14:paraId="0FDF92CA" w14:textId="267B8242" w:rsidR="00B56D50" w:rsidRDefault="001C3C42" w:rsidP="00F3387F">
            <w:pPr>
              <w:tabs>
                <w:tab w:val="center" w:pos="452"/>
              </w:tabs>
              <w:spacing w:after="0" w:line="259" w:lineRule="auto"/>
              <w:ind w:left="0" w:right="0" w:firstLine="0"/>
              <w:jc w:val="center"/>
            </w:pPr>
            <w:r>
              <w:rPr>
                <w:sz w:val="18"/>
              </w:rPr>
              <w:t>3560</w:t>
            </w:r>
          </w:p>
        </w:tc>
        <w:tc>
          <w:tcPr>
            <w:tcW w:w="2815" w:type="dxa"/>
            <w:tcBorders>
              <w:top w:val="single" w:sz="4" w:space="0" w:color="000000"/>
              <w:left w:val="single" w:sz="12" w:space="0" w:color="000000"/>
              <w:bottom w:val="single" w:sz="4" w:space="0" w:color="000000"/>
              <w:right w:val="single" w:sz="12" w:space="0" w:color="000000"/>
            </w:tcBorders>
            <w:vAlign w:val="center"/>
          </w:tcPr>
          <w:p w14:paraId="0F0F1046" w14:textId="6B40D56C" w:rsidR="00B56D50" w:rsidRDefault="001C3C42" w:rsidP="00F3387F">
            <w:pPr>
              <w:spacing w:after="0" w:line="259" w:lineRule="auto"/>
              <w:ind w:left="108" w:right="0" w:firstLine="0"/>
              <w:jc w:val="center"/>
            </w:pPr>
            <w:r>
              <w:rPr>
                <w:sz w:val="18"/>
              </w:rPr>
              <w:t>Soils, Sediments, Solid Waste</w:t>
            </w:r>
          </w:p>
        </w:tc>
        <w:tc>
          <w:tcPr>
            <w:tcW w:w="3538" w:type="dxa"/>
            <w:tcBorders>
              <w:top w:val="single" w:sz="4" w:space="0" w:color="000000"/>
              <w:left w:val="single" w:sz="12" w:space="0" w:color="000000"/>
              <w:bottom w:val="single" w:sz="4" w:space="0" w:color="000000"/>
              <w:right w:val="single" w:sz="12" w:space="0" w:color="000000"/>
            </w:tcBorders>
            <w:vAlign w:val="center"/>
          </w:tcPr>
          <w:p w14:paraId="4FF00C72" w14:textId="447B913B" w:rsidR="00B56D50" w:rsidRDefault="001C3C42" w:rsidP="00F3387F">
            <w:pPr>
              <w:tabs>
                <w:tab w:val="center" w:pos="1503"/>
              </w:tabs>
              <w:spacing w:after="0" w:line="259" w:lineRule="auto"/>
              <w:ind w:left="0" w:right="0" w:firstLine="0"/>
              <w:jc w:val="center"/>
            </w:pPr>
            <w:r>
              <w:rPr>
                <w:sz w:val="18"/>
              </w:rPr>
              <w:t>Supercritical Fluid Extraction (SFE)</w:t>
            </w:r>
          </w:p>
        </w:tc>
        <w:tc>
          <w:tcPr>
            <w:tcW w:w="2621" w:type="dxa"/>
            <w:tcBorders>
              <w:top w:val="single" w:sz="4" w:space="0" w:color="000000"/>
              <w:left w:val="single" w:sz="12" w:space="0" w:color="000000"/>
              <w:bottom w:val="single" w:sz="4" w:space="0" w:color="000000"/>
              <w:right w:val="single" w:sz="12" w:space="0" w:color="000000"/>
            </w:tcBorders>
            <w:vAlign w:val="center"/>
          </w:tcPr>
          <w:p w14:paraId="471A4209" w14:textId="537F6D7B" w:rsidR="00B56D50" w:rsidRDefault="001C3C42" w:rsidP="00F3387F">
            <w:pPr>
              <w:spacing w:after="0" w:line="259" w:lineRule="auto"/>
              <w:ind w:left="0" w:right="0" w:firstLine="0"/>
              <w:jc w:val="center"/>
            </w:pPr>
            <w:r>
              <w:rPr>
                <w:sz w:val="18"/>
              </w:rPr>
              <w:t xml:space="preserve">For </w:t>
            </w:r>
            <w:r w:rsidR="009423B8">
              <w:rPr>
                <w:sz w:val="18"/>
              </w:rPr>
              <w:t>semi-volatile</w:t>
            </w:r>
            <w:r>
              <w:rPr>
                <w:sz w:val="18"/>
              </w:rPr>
              <w:t xml:space="preserve"> petroleum hydrocarbons</w:t>
            </w:r>
          </w:p>
        </w:tc>
      </w:tr>
      <w:tr w:rsidR="00C84A5D" w14:paraId="3FC856E4" w14:textId="77777777" w:rsidTr="00324798">
        <w:trPr>
          <w:trHeight w:val="425"/>
        </w:trPr>
        <w:tc>
          <w:tcPr>
            <w:tcW w:w="1646" w:type="dxa"/>
            <w:tcBorders>
              <w:top w:val="single" w:sz="4" w:space="0" w:color="000000"/>
              <w:left w:val="single" w:sz="12" w:space="0" w:color="000000"/>
              <w:bottom w:val="single" w:sz="4" w:space="0" w:color="000000"/>
              <w:right w:val="single" w:sz="12" w:space="0" w:color="000000"/>
            </w:tcBorders>
            <w:vAlign w:val="center"/>
          </w:tcPr>
          <w:p w14:paraId="01B2BF5D" w14:textId="137F37A4" w:rsidR="00B56D50" w:rsidRDefault="001C3C42" w:rsidP="00F3387F">
            <w:pPr>
              <w:tabs>
                <w:tab w:val="center" w:pos="452"/>
              </w:tabs>
              <w:spacing w:after="0" w:line="259" w:lineRule="auto"/>
              <w:ind w:left="0" w:right="0" w:firstLine="0"/>
              <w:jc w:val="center"/>
            </w:pPr>
            <w:r>
              <w:rPr>
                <w:sz w:val="18"/>
              </w:rPr>
              <w:t>3561</w:t>
            </w:r>
          </w:p>
        </w:tc>
        <w:tc>
          <w:tcPr>
            <w:tcW w:w="2815" w:type="dxa"/>
            <w:tcBorders>
              <w:top w:val="single" w:sz="4" w:space="0" w:color="000000"/>
              <w:left w:val="single" w:sz="12" w:space="0" w:color="000000"/>
              <w:bottom w:val="single" w:sz="4" w:space="0" w:color="000000"/>
              <w:right w:val="single" w:sz="12" w:space="0" w:color="000000"/>
            </w:tcBorders>
            <w:vAlign w:val="center"/>
          </w:tcPr>
          <w:p w14:paraId="4163F2EE" w14:textId="12865C22" w:rsidR="00B56D50" w:rsidRDefault="001C3C42" w:rsidP="00F3387F">
            <w:pPr>
              <w:spacing w:after="0" w:line="259" w:lineRule="auto"/>
              <w:ind w:left="108" w:right="0" w:firstLine="0"/>
              <w:jc w:val="center"/>
            </w:pPr>
            <w:r>
              <w:rPr>
                <w:sz w:val="18"/>
              </w:rPr>
              <w:t>Soils, Sediments, Solid Waste</w:t>
            </w:r>
          </w:p>
        </w:tc>
        <w:tc>
          <w:tcPr>
            <w:tcW w:w="3538" w:type="dxa"/>
            <w:tcBorders>
              <w:top w:val="single" w:sz="4" w:space="0" w:color="000000"/>
              <w:left w:val="single" w:sz="12" w:space="0" w:color="000000"/>
              <w:bottom w:val="single" w:sz="4" w:space="0" w:color="000000"/>
              <w:right w:val="single" w:sz="12" w:space="0" w:color="000000"/>
            </w:tcBorders>
            <w:vAlign w:val="center"/>
          </w:tcPr>
          <w:p w14:paraId="326B6B62" w14:textId="762CB1D0" w:rsidR="00B56D50" w:rsidRDefault="001C3C42" w:rsidP="00F3387F">
            <w:pPr>
              <w:tabs>
                <w:tab w:val="center" w:pos="1503"/>
              </w:tabs>
              <w:spacing w:after="0" w:line="259" w:lineRule="auto"/>
              <w:ind w:left="0" w:right="0" w:firstLine="0"/>
              <w:jc w:val="center"/>
            </w:pPr>
            <w:r>
              <w:rPr>
                <w:sz w:val="18"/>
              </w:rPr>
              <w:t>Supercritical Fluid Extraction (SFE)</w:t>
            </w:r>
          </w:p>
        </w:tc>
        <w:tc>
          <w:tcPr>
            <w:tcW w:w="2621" w:type="dxa"/>
            <w:tcBorders>
              <w:top w:val="single" w:sz="4" w:space="0" w:color="000000"/>
              <w:left w:val="single" w:sz="12" w:space="0" w:color="000000"/>
              <w:bottom w:val="single" w:sz="4" w:space="0" w:color="000000"/>
              <w:right w:val="single" w:sz="12" w:space="0" w:color="000000"/>
            </w:tcBorders>
            <w:vAlign w:val="center"/>
          </w:tcPr>
          <w:p w14:paraId="5E034DB1" w14:textId="2BAE7C70" w:rsidR="00B56D50" w:rsidRDefault="001C3C42" w:rsidP="00F3387F">
            <w:pPr>
              <w:spacing w:after="0" w:line="259" w:lineRule="auto"/>
              <w:ind w:left="0" w:right="0" w:firstLine="0"/>
              <w:jc w:val="center"/>
            </w:pPr>
            <w:r>
              <w:rPr>
                <w:sz w:val="18"/>
              </w:rPr>
              <w:t>For polynuclear aromatic hydrocarbons (PAHs)</w:t>
            </w:r>
          </w:p>
        </w:tc>
      </w:tr>
      <w:tr w:rsidR="00C84A5D" w14:paraId="49C91424" w14:textId="77777777" w:rsidTr="00324798">
        <w:trPr>
          <w:trHeight w:val="631"/>
        </w:trPr>
        <w:tc>
          <w:tcPr>
            <w:tcW w:w="1646" w:type="dxa"/>
            <w:tcBorders>
              <w:top w:val="single" w:sz="4" w:space="0" w:color="000000"/>
              <w:left w:val="single" w:sz="12" w:space="0" w:color="000000"/>
              <w:bottom w:val="single" w:sz="4" w:space="0" w:color="000000"/>
              <w:right w:val="single" w:sz="12" w:space="0" w:color="000000"/>
            </w:tcBorders>
            <w:vAlign w:val="center"/>
          </w:tcPr>
          <w:p w14:paraId="03BA4FA2" w14:textId="7AB05767" w:rsidR="00B56D50" w:rsidRDefault="001C3C42" w:rsidP="00F3387F">
            <w:pPr>
              <w:tabs>
                <w:tab w:val="center" w:pos="452"/>
              </w:tabs>
              <w:spacing w:after="0" w:line="259" w:lineRule="auto"/>
              <w:ind w:left="0" w:right="0" w:firstLine="0"/>
              <w:jc w:val="center"/>
            </w:pPr>
            <w:r>
              <w:rPr>
                <w:sz w:val="18"/>
              </w:rPr>
              <w:t>3562</w:t>
            </w:r>
          </w:p>
        </w:tc>
        <w:tc>
          <w:tcPr>
            <w:tcW w:w="2815" w:type="dxa"/>
            <w:tcBorders>
              <w:top w:val="single" w:sz="4" w:space="0" w:color="000000"/>
              <w:left w:val="single" w:sz="12" w:space="0" w:color="000000"/>
              <w:bottom w:val="single" w:sz="4" w:space="0" w:color="000000"/>
              <w:right w:val="single" w:sz="12" w:space="0" w:color="000000"/>
            </w:tcBorders>
            <w:vAlign w:val="center"/>
          </w:tcPr>
          <w:p w14:paraId="1D8DB56C" w14:textId="5A16115D" w:rsidR="00B56D50" w:rsidRDefault="001C3C42" w:rsidP="00F3387F">
            <w:pPr>
              <w:spacing w:after="0" w:line="259" w:lineRule="auto"/>
              <w:ind w:left="108" w:right="0" w:firstLine="0"/>
              <w:jc w:val="center"/>
            </w:pPr>
            <w:r>
              <w:rPr>
                <w:sz w:val="18"/>
              </w:rPr>
              <w:t>Soils, Sediments, Solid Waste</w:t>
            </w:r>
          </w:p>
        </w:tc>
        <w:tc>
          <w:tcPr>
            <w:tcW w:w="3538" w:type="dxa"/>
            <w:tcBorders>
              <w:top w:val="single" w:sz="4" w:space="0" w:color="000000"/>
              <w:left w:val="single" w:sz="12" w:space="0" w:color="000000"/>
              <w:bottom w:val="single" w:sz="4" w:space="0" w:color="000000"/>
              <w:right w:val="single" w:sz="12" w:space="0" w:color="000000"/>
            </w:tcBorders>
            <w:vAlign w:val="center"/>
          </w:tcPr>
          <w:p w14:paraId="6075B338" w14:textId="235F60BF" w:rsidR="00B56D50" w:rsidRDefault="001C3C42" w:rsidP="00F3387F">
            <w:pPr>
              <w:tabs>
                <w:tab w:val="center" w:pos="1503"/>
              </w:tabs>
              <w:spacing w:after="0" w:line="259" w:lineRule="auto"/>
              <w:ind w:left="0" w:right="0" w:firstLine="0"/>
              <w:jc w:val="center"/>
            </w:pPr>
            <w:r>
              <w:rPr>
                <w:sz w:val="18"/>
              </w:rPr>
              <w:t>Supercritical Fluid Extraction (SFE)</w:t>
            </w:r>
          </w:p>
        </w:tc>
        <w:tc>
          <w:tcPr>
            <w:tcW w:w="2621" w:type="dxa"/>
            <w:tcBorders>
              <w:top w:val="single" w:sz="4" w:space="0" w:color="000000"/>
              <w:left w:val="single" w:sz="12" w:space="0" w:color="000000"/>
              <w:bottom w:val="single" w:sz="4" w:space="0" w:color="000000"/>
              <w:right w:val="single" w:sz="12" w:space="0" w:color="000000"/>
            </w:tcBorders>
            <w:vAlign w:val="center"/>
          </w:tcPr>
          <w:p w14:paraId="1E695405" w14:textId="1D0F44D9" w:rsidR="00B56D50" w:rsidRDefault="001C3C42" w:rsidP="00F3387F">
            <w:pPr>
              <w:spacing w:after="0" w:line="259" w:lineRule="auto"/>
              <w:ind w:left="0" w:right="549" w:firstLine="0"/>
              <w:jc w:val="center"/>
            </w:pPr>
            <w:r>
              <w:rPr>
                <w:sz w:val="18"/>
              </w:rPr>
              <w:t>For polychlorinated biphenyl compounds (PCBs) and organochlorine pesticides</w:t>
            </w:r>
          </w:p>
        </w:tc>
      </w:tr>
      <w:tr w:rsidR="00C84A5D" w14:paraId="43CB784A" w14:textId="77777777" w:rsidTr="00324798">
        <w:trPr>
          <w:trHeight w:val="432"/>
        </w:trPr>
        <w:tc>
          <w:tcPr>
            <w:tcW w:w="1646" w:type="dxa"/>
            <w:tcBorders>
              <w:top w:val="single" w:sz="4" w:space="0" w:color="000000"/>
              <w:left w:val="single" w:sz="12" w:space="0" w:color="000000"/>
              <w:bottom w:val="single" w:sz="12" w:space="0" w:color="000000"/>
              <w:right w:val="single" w:sz="12" w:space="0" w:color="000000"/>
            </w:tcBorders>
            <w:vAlign w:val="center"/>
          </w:tcPr>
          <w:p w14:paraId="42167821" w14:textId="0536EB28" w:rsidR="00B56D50" w:rsidRDefault="001C3C42" w:rsidP="00F3387F">
            <w:pPr>
              <w:tabs>
                <w:tab w:val="center" w:pos="518"/>
              </w:tabs>
              <w:spacing w:after="0" w:line="259" w:lineRule="auto"/>
              <w:ind w:left="0" w:right="0" w:firstLine="0"/>
              <w:jc w:val="center"/>
            </w:pPr>
            <w:r>
              <w:rPr>
                <w:sz w:val="18"/>
              </w:rPr>
              <w:t>3580A</w:t>
            </w:r>
          </w:p>
        </w:tc>
        <w:tc>
          <w:tcPr>
            <w:tcW w:w="2815" w:type="dxa"/>
            <w:tcBorders>
              <w:top w:val="single" w:sz="4" w:space="0" w:color="000000"/>
              <w:left w:val="single" w:sz="12" w:space="0" w:color="000000"/>
              <w:bottom w:val="single" w:sz="12" w:space="0" w:color="000000"/>
              <w:right w:val="single" w:sz="12" w:space="0" w:color="000000"/>
            </w:tcBorders>
            <w:vAlign w:val="center"/>
          </w:tcPr>
          <w:p w14:paraId="730B55AA" w14:textId="2DA270F9" w:rsidR="00B56D50" w:rsidRDefault="001C3C42" w:rsidP="00F3387F">
            <w:pPr>
              <w:spacing w:after="0" w:line="259" w:lineRule="auto"/>
              <w:ind w:left="108" w:right="0" w:firstLine="0"/>
              <w:jc w:val="center"/>
            </w:pPr>
            <w:r>
              <w:rPr>
                <w:sz w:val="18"/>
              </w:rPr>
              <w:t>Semi</w:t>
            </w:r>
            <w:r w:rsidR="009423B8">
              <w:rPr>
                <w:sz w:val="18"/>
              </w:rPr>
              <w:t>-</w:t>
            </w:r>
            <w:r>
              <w:rPr>
                <w:sz w:val="18"/>
              </w:rPr>
              <w:t xml:space="preserve">volatile and </w:t>
            </w:r>
            <w:r w:rsidR="00F0044F">
              <w:rPr>
                <w:sz w:val="18"/>
              </w:rPr>
              <w:t>n</w:t>
            </w:r>
            <w:r w:rsidR="00E83D27">
              <w:rPr>
                <w:sz w:val="18"/>
              </w:rPr>
              <w:t>on-volatile</w:t>
            </w:r>
            <w:r>
              <w:rPr>
                <w:sz w:val="18"/>
              </w:rPr>
              <w:t xml:space="preserve"> Oily Wastes</w:t>
            </w:r>
          </w:p>
        </w:tc>
        <w:tc>
          <w:tcPr>
            <w:tcW w:w="3538" w:type="dxa"/>
            <w:tcBorders>
              <w:top w:val="single" w:sz="4" w:space="0" w:color="000000"/>
              <w:left w:val="single" w:sz="12" w:space="0" w:color="000000"/>
              <w:bottom w:val="single" w:sz="12" w:space="0" w:color="000000"/>
              <w:right w:val="single" w:sz="12" w:space="0" w:color="000000"/>
            </w:tcBorders>
            <w:vAlign w:val="center"/>
          </w:tcPr>
          <w:p w14:paraId="14E24622" w14:textId="6B237B09" w:rsidR="00B56D50" w:rsidRDefault="001C3C42" w:rsidP="00F3387F">
            <w:pPr>
              <w:tabs>
                <w:tab w:val="center" w:pos="795"/>
              </w:tabs>
              <w:spacing w:after="0" w:line="259" w:lineRule="auto"/>
              <w:ind w:left="0" w:right="0" w:firstLine="0"/>
              <w:jc w:val="center"/>
            </w:pPr>
            <w:r>
              <w:rPr>
                <w:sz w:val="18"/>
              </w:rPr>
              <w:t>Solvent Dilution</w:t>
            </w:r>
          </w:p>
        </w:tc>
        <w:tc>
          <w:tcPr>
            <w:tcW w:w="2621" w:type="dxa"/>
            <w:tcBorders>
              <w:top w:val="single" w:sz="4" w:space="0" w:color="000000"/>
              <w:left w:val="single" w:sz="12" w:space="0" w:color="000000"/>
              <w:bottom w:val="single" w:sz="12" w:space="0" w:color="000000"/>
              <w:right w:val="single" w:sz="12" w:space="0" w:color="000000"/>
            </w:tcBorders>
            <w:vAlign w:val="center"/>
          </w:tcPr>
          <w:p w14:paraId="47A94511" w14:textId="548E3BB7" w:rsidR="00B56D50" w:rsidRDefault="001C3C42" w:rsidP="00F3387F">
            <w:pPr>
              <w:spacing w:after="0" w:line="259" w:lineRule="auto"/>
              <w:ind w:left="0" w:right="0" w:firstLine="0"/>
              <w:jc w:val="center"/>
            </w:pPr>
            <w:r>
              <w:rPr>
                <w:sz w:val="18"/>
              </w:rPr>
              <w:t xml:space="preserve">For </w:t>
            </w:r>
            <w:r w:rsidR="006B693C">
              <w:rPr>
                <w:sz w:val="18"/>
              </w:rPr>
              <w:t>Soil/Sediment</w:t>
            </w:r>
            <w:r>
              <w:rPr>
                <w:sz w:val="18"/>
              </w:rPr>
              <w:t>, non-</w:t>
            </w:r>
            <w:r w:rsidR="00FB7A2D">
              <w:rPr>
                <w:sz w:val="18"/>
              </w:rPr>
              <w:t>water-soluble</w:t>
            </w:r>
            <w:r>
              <w:rPr>
                <w:sz w:val="18"/>
              </w:rPr>
              <w:t xml:space="preserve"> organic samples</w:t>
            </w:r>
          </w:p>
        </w:tc>
      </w:tr>
    </w:tbl>
    <w:p w14:paraId="6FD283ED" w14:textId="130B9C9C" w:rsidR="00B56D50" w:rsidRDefault="00B56D50" w:rsidP="000C4B92">
      <w:pPr>
        <w:spacing w:after="0" w:line="259" w:lineRule="auto"/>
        <w:ind w:left="0" w:right="0" w:firstLine="0"/>
      </w:pPr>
    </w:p>
    <w:tbl>
      <w:tblPr>
        <w:tblStyle w:val="TableGrid1"/>
        <w:tblW w:w="10620" w:type="dxa"/>
        <w:tblInd w:w="-375" w:type="dxa"/>
        <w:tblCellMar>
          <w:top w:w="21" w:type="dxa"/>
          <w:left w:w="72" w:type="dxa"/>
          <w:right w:w="27" w:type="dxa"/>
        </w:tblCellMar>
        <w:tblLook w:val="04A0" w:firstRow="1" w:lastRow="0" w:firstColumn="1" w:lastColumn="0" w:noHBand="0" w:noVBand="1"/>
      </w:tblPr>
      <w:tblGrid>
        <w:gridCol w:w="3372"/>
        <w:gridCol w:w="1130"/>
        <w:gridCol w:w="866"/>
        <w:gridCol w:w="816"/>
        <w:gridCol w:w="818"/>
        <w:gridCol w:w="997"/>
        <w:gridCol w:w="1029"/>
        <w:gridCol w:w="1592"/>
      </w:tblGrid>
      <w:tr w:rsidR="00BF00D5" w:rsidRPr="00493698" w14:paraId="203238C6" w14:textId="77777777" w:rsidTr="00324798">
        <w:trPr>
          <w:trHeight w:val="317"/>
          <w:tblHeader/>
        </w:trPr>
        <w:tc>
          <w:tcPr>
            <w:tcW w:w="10620" w:type="dxa"/>
            <w:gridSpan w:val="8"/>
            <w:tcBorders>
              <w:top w:val="single" w:sz="12" w:space="0" w:color="000000"/>
              <w:left w:val="single" w:sz="12" w:space="0" w:color="000000"/>
              <w:bottom w:val="single" w:sz="12" w:space="0" w:color="000000"/>
              <w:right w:val="single" w:sz="12" w:space="0" w:color="000000"/>
            </w:tcBorders>
            <w:vAlign w:val="center"/>
          </w:tcPr>
          <w:p w14:paraId="0987220E" w14:textId="4A7F4D92" w:rsidR="00904BC4" w:rsidRPr="00493698" w:rsidRDefault="00BF00D5" w:rsidP="00FC6CD5">
            <w:pPr>
              <w:spacing w:after="0" w:line="259" w:lineRule="auto"/>
              <w:ind w:left="0" w:right="0" w:firstLine="0"/>
              <w:rPr>
                <w:sz w:val="18"/>
                <w:szCs w:val="18"/>
              </w:rPr>
            </w:pPr>
            <w:r>
              <w:rPr>
                <w:b/>
                <w:sz w:val="18"/>
              </w:rPr>
              <w:t>SVOA – Group A:</w:t>
            </w:r>
            <w:r>
              <w:rPr>
                <w:sz w:val="18"/>
              </w:rPr>
              <w:t xml:space="preserve">  </w:t>
            </w:r>
            <w:r>
              <w:rPr>
                <w:b/>
                <w:sz w:val="18"/>
              </w:rPr>
              <w:t xml:space="preserve">OLQ Standard Semi-volatiles List </w:t>
            </w:r>
          </w:p>
        </w:tc>
      </w:tr>
      <w:tr w:rsidR="00B56D50" w14:paraId="2D9031EB" w14:textId="77777777" w:rsidTr="00324798">
        <w:trPr>
          <w:trHeight w:val="444"/>
          <w:tblHeader/>
        </w:trPr>
        <w:tc>
          <w:tcPr>
            <w:tcW w:w="3372" w:type="dxa"/>
            <w:vMerge w:val="restart"/>
            <w:tcBorders>
              <w:top w:val="single" w:sz="12" w:space="0" w:color="000000"/>
              <w:left w:val="single" w:sz="12" w:space="0" w:color="000000"/>
              <w:bottom w:val="single" w:sz="12" w:space="0" w:color="000000"/>
              <w:right w:val="single" w:sz="12" w:space="0" w:color="000000"/>
            </w:tcBorders>
            <w:vAlign w:val="center"/>
          </w:tcPr>
          <w:p w14:paraId="41B8B48F" w14:textId="01ABA51D" w:rsidR="00B56D50" w:rsidRDefault="001C3C42" w:rsidP="00FC6CD5">
            <w:pPr>
              <w:spacing w:after="0" w:line="259" w:lineRule="auto"/>
              <w:ind w:left="0" w:right="49" w:firstLine="0"/>
              <w:jc w:val="center"/>
            </w:pPr>
            <w:r>
              <w:rPr>
                <w:b/>
                <w:sz w:val="18"/>
              </w:rPr>
              <w:t>Analyte</w:t>
            </w:r>
          </w:p>
        </w:tc>
        <w:tc>
          <w:tcPr>
            <w:tcW w:w="1130" w:type="dxa"/>
            <w:vMerge w:val="restart"/>
            <w:tcBorders>
              <w:top w:val="single" w:sz="12" w:space="0" w:color="000000"/>
              <w:left w:val="single" w:sz="12" w:space="0" w:color="000000"/>
              <w:bottom w:val="single" w:sz="12" w:space="0" w:color="000000"/>
              <w:right w:val="single" w:sz="12" w:space="0" w:color="000000"/>
            </w:tcBorders>
            <w:vAlign w:val="center"/>
          </w:tcPr>
          <w:p w14:paraId="65F3A75E" w14:textId="30E9F12C" w:rsidR="00B56D50" w:rsidRDefault="001C3C42" w:rsidP="00FC6CD5">
            <w:pPr>
              <w:spacing w:after="0" w:line="259" w:lineRule="auto"/>
              <w:ind w:left="0" w:right="0" w:firstLine="0"/>
              <w:jc w:val="center"/>
            </w:pPr>
            <w:r>
              <w:rPr>
                <w:b/>
                <w:sz w:val="18"/>
              </w:rPr>
              <w:t>CAS Number</w:t>
            </w:r>
          </w:p>
        </w:tc>
        <w:tc>
          <w:tcPr>
            <w:tcW w:w="1682" w:type="dxa"/>
            <w:gridSpan w:val="2"/>
            <w:tcBorders>
              <w:top w:val="single" w:sz="12" w:space="0" w:color="000000"/>
              <w:left w:val="single" w:sz="12" w:space="0" w:color="000000"/>
              <w:bottom w:val="single" w:sz="12" w:space="0" w:color="000000"/>
              <w:right w:val="single" w:sz="12" w:space="0" w:color="000000"/>
            </w:tcBorders>
            <w:vAlign w:val="center"/>
          </w:tcPr>
          <w:p w14:paraId="4F689DAF" w14:textId="19D60233" w:rsidR="00B56D50" w:rsidRDefault="001C3C42" w:rsidP="00FC6CD5">
            <w:pPr>
              <w:spacing w:after="0" w:line="259" w:lineRule="auto"/>
              <w:ind w:left="0" w:right="47" w:firstLine="0"/>
              <w:jc w:val="center"/>
            </w:pPr>
            <w:r>
              <w:rPr>
                <w:b/>
                <w:sz w:val="18"/>
              </w:rPr>
              <w:t>Aqueous</w:t>
            </w:r>
          </w:p>
        </w:tc>
        <w:tc>
          <w:tcPr>
            <w:tcW w:w="1815" w:type="dxa"/>
            <w:gridSpan w:val="2"/>
            <w:tcBorders>
              <w:top w:val="single" w:sz="12" w:space="0" w:color="000000"/>
              <w:left w:val="single" w:sz="12" w:space="0" w:color="000000"/>
              <w:bottom w:val="single" w:sz="12" w:space="0" w:color="000000"/>
              <w:right w:val="single" w:sz="12" w:space="0" w:color="000000"/>
            </w:tcBorders>
            <w:vAlign w:val="center"/>
          </w:tcPr>
          <w:p w14:paraId="7B7628EC" w14:textId="421F2782" w:rsidR="00B56D50" w:rsidRDefault="001C3C42" w:rsidP="00FC6CD5">
            <w:pPr>
              <w:spacing w:after="0" w:line="259" w:lineRule="auto"/>
              <w:ind w:left="120" w:right="132" w:firstLine="0"/>
              <w:jc w:val="center"/>
            </w:pPr>
            <w:r>
              <w:rPr>
                <w:b/>
                <w:sz w:val="18"/>
              </w:rPr>
              <w:t xml:space="preserve">Soil/Sediment </w:t>
            </w:r>
            <w:r>
              <w:rPr>
                <w:sz w:val="18"/>
              </w:rPr>
              <w:t>(low concentration)</w:t>
            </w:r>
          </w:p>
        </w:tc>
        <w:tc>
          <w:tcPr>
            <w:tcW w:w="2621" w:type="dxa"/>
            <w:gridSpan w:val="2"/>
            <w:vMerge w:val="restart"/>
            <w:tcBorders>
              <w:top w:val="single" w:sz="12" w:space="0" w:color="000000"/>
              <w:left w:val="single" w:sz="12" w:space="0" w:color="000000"/>
              <w:bottom w:val="single" w:sz="12" w:space="0" w:color="000000"/>
              <w:right w:val="single" w:sz="12" w:space="0" w:color="000000"/>
            </w:tcBorders>
            <w:vAlign w:val="center"/>
          </w:tcPr>
          <w:p w14:paraId="7F0CEA94" w14:textId="02FA910D" w:rsidR="00B56D50" w:rsidRDefault="001C3C42" w:rsidP="00FC6CD5">
            <w:pPr>
              <w:spacing w:after="0" w:line="259" w:lineRule="auto"/>
              <w:ind w:left="0" w:right="52" w:firstLine="0"/>
              <w:jc w:val="center"/>
            </w:pPr>
            <w:r>
              <w:rPr>
                <w:b/>
                <w:sz w:val="18"/>
              </w:rPr>
              <w:t>Acceptable Methods</w:t>
            </w:r>
            <w:r w:rsidR="00731833">
              <w:rPr>
                <w:b/>
                <w:sz w:val="18"/>
              </w:rPr>
              <w:t xml:space="preserve"> </w:t>
            </w:r>
            <w:r w:rsidR="00BB3E1D">
              <w:rPr>
                <w:b/>
                <w:sz w:val="18"/>
                <w:vertAlign w:val="superscript"/>
              </w:rPr>
              <w:t>1</w:t>
            </w:r>
            <w:r w:rsidR="00C4786A">
              <w:rPr>
                <w:b/>
                <w:sz w:val="18"/>
                <w:vertAlign w:val="superscript"/>
              </w:rPr>
              <w:t>4</w:t>
            </w:r>
            <w:r w:rsidR="00BE693E">
              <w:rPr>
                <w:b/>
                <w:sz w:val="18"/>
                <w:vertAlign w:val="superscript"/>
              </w:rPr>
              <w:t xml:space="preserve">, </w:t>
            </w:r>
            <w:r w:rsidR="00BE693E" w:rsidRPr="007F2A8A">
              <w:rPr>
                <w:b/>
                <w:sz w:val="18"/>
                <w:vertAlign w:val="superscript"/>
              </w:rPr>
              <w:t>15</w:t>
            </w:r>
          </w:p>
        </w:tc>
      </w:tr>
      <w:tr w:rsidR="00950E59" w14:paraId="37E9330F" w14:textId="77777777" w:rsidTr="00C06E63">
        <w:trPr>
          <w:trHeight w:val="271"/>
          <w:tblHeader/>
        </w:trPr>
        <w:tc>
          <w:tcPr>
            <w:tcW w:w="3372" w:type="dxa"/>
            <w:vMerge/>
            <w:tcBorders>
              <w:top w:val="nil"/>
              <w:left w:val="single" w:sz="12" w:space="0" w:color="000000"/>
              <w:bottom w:val="single" w:sz="12" w:space="0" w:color="000000"/>
              <w:right w:val="single" w:sz="12" w:space="0" w:color="000000"/>
            </w:tcBorders>
            <w:vAlign w:val="center"/>
          </w:tcPr>
          <w:p w14:paraId="0FD7CB7B" w14:textId="77777777" w:rsidR="00B56D50" w:rsidRDefault="00B56D50" w:rsidP="00FC6CD5">
            <w:pPr>
              <w:spacing w:after="160" w:line="259" w:lineRule="auto"/>
              <w:ind w:left="0" w:right="0" w:firstLine="0"/>
              <w:jc w:val="center"/>
            </w:pPr>
          </w:p>
        </w:tc>
        <w:tc>
          <w:tcPr>
            <w:tcW w:w="0" w:type="auto"/>
            <w:vMerge/>
            <w:tcBorders>
              <w:top w:val="nil"/>
              <w:left w:val="single" w:sz="12" w:space="0" w:color="000000"/>
              <w:bottom w:val="single" w:sz="12" w:space="0" w:color="000000"/>
              <w:right w:val="single" w:sz="12" w:space="0" w:color="000000"/>
            </w:tcBorders>
            <w:vAlign w:val="center"/>
          </w:tcPr>
          <w:p w14:paraId="64A5EF9E" w14:textId="77777777" w:rsidR="00B56D50" w:rsidRDefault="00B56D50" w:rsidP="00FC6CD5">
            <w:pPr>
              <w:spacing w:after="160" w:line="259" w:lineRule="auto"/>
              <w:ind w:left="0" w:right="0" w:firstLine="0"/>
              <w:jc w:val="center"/>
            </w:pPr>
          </w:p>
        </w:tc>
        <w:tc>
          <w:tcPr>
            <w:tcW w:w="866" w:type="dxa"/>
            <w:tcBorders>
              <w:top w:val="single" w:sz="12" w:space="0" w:color="000000"/>
              <w:left w:val="single" w:sz="12" w:space="0" w:color="000000"/>
              <w:bottom w:val="single" w:sz="12" w:space="0" w:color="000000"/>
              <w:right w:val="single" w:sz="12" w:space="0" w:color="000000"/>
            </w:tcBorders>
            <w:vAlign w:val="center"/>
          </w:tcPr>
          <w:p w14:paraId="4CE67A9B" w14:textId="457ACC73" w:rsidR="00B56D50" w:rsidRDefault="001C3C42" w:rsidP="00FC6CD5">
            <w:pPr>
              <w:spacing w:after="0" w:line="259" w:lineRule="auto"/>
              <w:ind w:left="0" w:right="50" w:firstLine="0"/>
              <w:jc w:val="center"/>
            </w:pPr>
            <w:r>
              <w:rPr>
                <w:b/>
                <w:sz w:val="18"/>
              </w:rPr>
              <w:t>RL</w:t>
            </w:r>
          </w:p>
        </w:tc>
        <w:tc>
          <w:tcPr>
            <w:tcW w:w="816" w:type="dxa"/>
            <w:tcBorders>
              <w:top w:val="single" w:sz="12" w:space="0" w:color="000000"/>
              <w:left w:val="single" w:sz="12" w:space="0" w:color="000000"/>
              <w:bottom w:val="single" w:sz="12" w:space="0" w:color="000000"/>
              <w:right w:val="single" w:sz="12" w:space="0" w:color="000000"/>
            </w:tcBorders>
            <w:vAlign w:val="center"/>
          </w:tcPr>
          <w:p w14:paraId="40FA6FF7" w14:textId="45342348" w:rsidR="00B56D50" w:rsidRDefault="001C3C42" w:rsidP="00FC6CD5">
            <w:pPr>
              <w:spacing w:after="0" w:line="259" w:lineRule="auto"/>
              <w:ind w:left="0" w:right="55" w:firstLine="0"/>
              <w:jc w:val="center"/>
            </w:pPr>
            <w:r>
              <w:rPr>
                <w:b/>
                <w:sz w:val="18"/>
              </w:rPr>
              <w:t>units</w:t>
            </w:r>
          </w:p>
        </w:tc>
        <w:tc>
          <w:tcPr>
            <w:tcW w:w="818" w:type="dxa"/>
            <w:tcBorders>
              <w:top w:val="single" w:sz="12" w:space="0" w:color="000000"/>
              <w:left w:val="single" w:sz="12" w:space="0" w:color="000000"/>
              <w:bottom w:val="single" w:sz="12" w:space="0" w:color="000000"/>
              <w:right w:val="single" w:sz="12" w:space="0" w:color="000000"/>
            </w:tcBorders>
            <w:vAlign w:val="center"/>
          </w:tcPr>
          <w:p w14:paraId="62A62088" w14:textId="60681E90" w:rsidR="00B56D50" w:rsidRDefault="001C3C42" w:rsidP="00FC6CD5">
            <w:pPr>
              <w:spacing w:after="0" w:line="259" w:lineRule="auto"/>
              <w:ind w:left="0" w:right="50" w:firstLine="0"/>
              <w:jc w:val="center"/>
            </w:pPr>
            <w:r>
              <w:rPr>
                <w:b/>
                <w:sz w:val="18"/>
              </w:rPr>
              <w:t>RL</w:t>
            </w:r>
          </w:p>
        </w:tc>
        <w:tc>
          <w:tcPr>
            <w:tcW w:w="997" w:type="dxa"/>
            <w:tcBorders>
              <w:top w:val="single" w:sz="12" w:space="0" w:color="000000"/>
              <w:left w:val="single" w:sz="12" w:space="0" w:color="000000"/>
              <w:bottom w:val="single" w:sz="12" w:space="0" w:color="000000"/>
              <w:right w:val="single" w:sz="12" w:space="0" w:color="000000"/>
            </w:tcBorders>
            <w:vAlign w:val="center"/>
          </w:tcPr>
          <w:p w14:paraId="1A3AFE64" w14:textId="62E1DB6A" w:rsidR="00B56D50" w:rsidRDefault="001C3C42" w:rsidP="00FC6CD5">
            <w:pPr>
              <w:spacing w:after="0" w:line="259" w:lineRule="auto"/>
              <w:ind w:left="0" w:right="52" w:firstLine="0"/>
              <w:jc w:val="center"/>
            </w:pPr>
            <w:r>
              <w:rPr>
                <w:b/>
                <w:sz w:val="18"/>
              </w:rPr>
              <w:t>units</w:t>
            </w:r>
          </w:p>
        </w:tc>
        <w:tc>
          <w:tcPr>
            <w:tcW w:w="2621" w:type="dxa"/>
            <w:gridSpan w:val="2"/>
            <w:vMerge/>
            <w:tcBorders>
              <w:top w:val="nil"/>
              <w:left w:val="single" w:sz="12" w:space="0" w:color="000000"/>
              <w:bottom w:val="single" w:sz="12" w:space="0" w:color="000000"/>
              <w:right w:val="single" w:sz="12" w:space="0" w:color="000000"/>
            </w:tcBorders>
            <w:vAlign w:val="center"/>
          </w:tcPr>
          <w:p w14:paraId="643DF4E7" w14:textId="77777777" w:rsidR="00B56D50" w:rsidRDefault="00B56D50" w:rsidP="00FC6CD5">
            <w:pPr>
              <w:spacing w:after="160" w:line="259" w:lineRule="auto"/>
              <w:ind w:left="0" w:right="0" w:firstLine="0"/>
              <w:jc w:val="center"/>
            </w:pPr>
          </w:p>
        </w:tc>
      </w:tr>
      <w:tr w:rsidR="00BD6806" w14:paraId="28477A42" w14:textId="77777777" w:rsidTr="00324798">
        <w:trPr>
          <w:trHeight w:val="259"/>
        </w:trPr>
        <w:tc>
          <w:tcPr>
            <w:tcW w:w="3372" w:type="dxa"/>
            <w:tcBorders>
              <w:top w:val="single" w:sz="12" w:space="0" w:color="000000"/>
              <w:left w:val="single" w:sz="12" w:space="0" w:color="000000"/>
              <w:bottom w:val="single" w:sz="4" w:space="0" w:color="000000"/>
              <w:right w:val="single" w:sz="12" w:space="0" w:color="000000"/>
            </w:tcBorders>
          </w:tcPr>
          <w:p w14:paraId="0858AAEF" w14:textId="77777777" w:rsidR="00BD6806" w:rsidRDefault="00BD6806" w:rsidP="00BD6806">
            <w:pPr>
              <w:spacing w:after="0" w:line="259" w:lineRule="auto"/>
              <w:ind w:left="17" w:right="0" w:firstLine="0"/>
            </w:pPr>
            <w:r>
              <w:rPr>
                <w:sz w:val="18"/>
              </w:rPr>
              <w:t xml:space="preserve">Acenaphthene </w:t>
            </w:r>
          </w:p>
        </w:tc>
        <w:tc>
          <w:tcPr>
            <w:tcW w:w="1130" w:type="dxa"/>
            <w:tcBorders>
              <w:top w:val="single" w:sz="12" w:space="0" w:color="000000"/>
              <w:left w:val="single" w:sz="12" w:space="0" w:color="000000"/>
              <w:bottom w:val="single" w:sz="4" w:space="0" w:color="000000"/>
              <w:right w:val="single" w:sz="12" w:space="0" w:color="000000"/>
            </w:tcBorders>
          </w:tcPr>
          <w:p w14:paraId="4CA23631" w14:textId="3E7C7017" w:rsidR="00BD6806" w:rsidRDefault="00BD6806" w:rsidP="00FC6809">
            <w:pPr>
              <w:spacing w:after="0" w:line="259" w:lineRule="auto"/>
              <w:ind w:left="0" w:right="44" w:firstLine="0"/>
              <w:jc w:val="center"/>
            </w:pPr>
            <w:r>
              <w:rPr>
                <w:sz w:val="18"/>
              </w:rPr>
              <w:t>83-32-9</w:t>
            </w:r>
          </w:p>
        </w:tc>
        <w:tc>
          <w:tcPr>
            <w:tcW w:w="866" w:type="dxa"/>
            <w:tcBorders>
              <w:top w:val="single" w:sz="12" w:space="0" w:color="000000"/>
              <w:left w:val="single" w:sz="12" w:space="0" w:color="000000"/>
              <w:bottom w:val="single" w:sz="4" w:space="0" w:color="000000"/>
              <w:right w:val="single" w:sz="12" w:space="0" w:color="000000"/>
            </w:tcBorders>
          </w:tcPr>
          <w:p w14:paraId="0605C574" w14:textId="46E4F381" w:rsidR="00BD6806" w:rsidRDefault="00BD6806" w:rsidP="00FC6809">
            <w:pPr>
              <w:spacing w:after="0" w:line="259" w:lineRule="auto"/>
              <w:ind w:left="0" w:right="46" w:firstLine="0"/>
              <w:jc w:val="center"/>
            </w:pPr>
            <w:r>
              <w:rPr>
                <w:sz w:val="18"/>
              </w:rPr>
              <w:t>10</w:t>
            </w:r>
          </w:p>
        </w:tc>
        <w:tc>
          <w:tcPr>
            <w:tcW w:w="816" w:type="dxa"/>
            <w:tcBorders>
              <w:top w:val="single" w:sz="12" w:space="0" w:color="000000"/>
              <w:left w:val="single" w:sz="12" w:space="0" w:color="000000"/>
              <w:bottom w:val="single" w:sz="4" w:space="0" w:color="000000"/>
              <w:right w:val="single" w:sz="12" w:space="0" w:color="000000"/>
            </w:tcBorders>
          </w:tcPr>
          <w:p w14:paraId="2674A9D7" w14:textId="585E6AD6" w:rsidR="00BD6806" w:rsidRPr="006A6B24" w:rsidRDefault="00BD6806" w:rsidP="00FC6809">
            <w:pPr>
              <w:spacing w:after="0" w:line="259" w:lineRule="auto"/>
              <w:ind w:left="0" w:right="46" w:firstLine="0"/>
              <w:jc w:val="center"/>
            </w:pPr>
            <w:r w:rsidRPr="002D185D">
              <w:rPr>
                <w:rFonts w:eastAsia="Segoe UI Symbol"/>
                <w:sz w:val="18"/>
              </w:rPr>
              <w:t>u</w:t>
            </w:r>
            <w:r w:rsidRPr="006A6B24">
              <w:rPr>
                <w:sz w:val="18"/>
              </w:rPr>
              <w:t>g/L</w:t>
            </w:r>
          </w:p>
        </w:tc>
        <w:tc>
          <w:tcPr>
            <w:tcW w:w="818" w:type="dxa"/>
            <w:tcBorders>
              <w:top w:val="single" w:sz="12" w:space="0" w:color="000000"/>
              <w:left w:val="single" w:sz="12" w:space="0" w:color="000000"/>
              <w:bottom w:val="single" w:sz="4" w:space="0" w:color="000000"/>
              <w:right w:val="single" w:sz="12" w:space="0" w:color="000000"/>
            </w:tcBorders>
          </w:tcPr>
          <w:p w14:paraId="64A46782" w14:textId="544EE10E" w:rsidR="00BD6806" w:rsidRDefault="00BD6806" w:rsidP="00FC6809">
            <w:pPr>
              <w:spacing w:after="0" w:line="259" w:lineRule="auto"/>
              <w:ind w:left="0" w:right="44" w:firstLine="0"/>
              <w:jc w:val="center"/>
            </w:pPr>
            <w:r>
              <w:rPr>
                <w:sz w:val="18"/>
              </w:rPr>
              <w:t>660</w:t>
            </w:r>
          </w:p>
        </w:tc>
        <w:tc>
          <w:tcPr>
            <w:tcW w:w="997" w:type="dxa"/>
            <w:tcBorders>
              <w:top w:val="single" w:sz="12" w:space="0" w:color="000000"/>
              <w:left w:val="single" w:sz="12" w:space="0" w:color="000000"/>
              <w:bottom w:val="single" w:sz="4" w:space="0" w:color="000000"/>
              <w:right w:val="single" w:sz="12" w:space="0" w:color="000000"/>
            </w:tcBorders>
          </w:tcPr>
          <w:p w14:paraId="1223CE3B" w14:textId="247EDDC6" w:rsidR="00BD6806" w:rsidRDefault="00BD6806" w:rsidP="00FC6809">
            <w:pPr>
              <w:spacing w:after="0" w:line="259" w:lineRule="auto"/>
              <w:ind w:left="0" w:right="44" w:firstLine="0"/>
              <w:jc w:val="center"/>
            </w:pPr>
            <w:r>
              <w:rPr>
                <w:rFonts w:eastAsia="Segoe UI Symbol"/>
                <w:sz w:val="18"/>
              </w:rPr>
              <w:t>u</w:t>
            </w:r>
            <w:r>
              <w:rPr>
                <w:sz w:val="18"/>
              </w:rPr>
              <w:t>g/kg</w:t>
            </w:r>
          </w:p>
        </w:tc>
        <w:tc>
          <w:tcPr>
            <w:tcW w:w="1029" w:type="dxa"/>
            <w:tcBorders>
              <w:top w:val="single" w:sz="12" w:space="0" w:color="000000"/>
              <w:left w:val="single" w:sz="12" w:space="0" w:color="000000"/>
              <w:bottom w:val="single" w:sz="4" w:space="0" w:color="000000"/>
              <w:right w:val="single" w:sz="12" w:space="0" w:color="000000"/>
            </w:tcBorders>
          </w:tcPr>
          <w:p w14:paraId="02AB6569" w14:textId="711CBAB6" w:rsidR="00BD6806" w:rsidRDefault="00BD6806" w:rsidP="00FC6809">
            <w:pPr>
              <w:spacing w:after="0" w:line="259" w:lineRule="auto"/>
              <w:ind w:left="0" w:right="46" w:firstLine="0"/>
              <w:jc w:val="center"/>
            </w:pPr>
            <w:r>
              <w:rPr>
                <w:b/>
                <w:sz w:val="18"/>
              </w:rPr>
              <w:t>8270</w:t>
            </w:r>
          </w:p>
        </w:tc>
        <w:tc>
          <w:tcPr>
            <w:tcW w:w="1592" w:type="dxa"/>
            <w:tcBorders>
              <w:top w:val="single" w:sz="12" w:space="0" w:color="000000"/>
              <w:left w:val="single" w:sz="12" w:space="0" w:color="000000"/>
              <w:bottom w:val="single" w:sz="4" w:space="0" w:color="000000"/>
              <w:right w:val="single" w:sz="12" w:space="0" w:color="000000"/>
            </w:tcBorders>
          </w:tcPr>
          <w:p w14:paraId="045E1490" w14:textId="1CD97A6A" w:rsidR="00BD6806" w:rsidRPr="001253E3" w:rsidRDefault="005F04A7" w:rsidP="00FC6809">
            <w:pPr>
              <w:spacing w:after="0" w:line="259" w:lineRule="auto"/>
              <w:ind w:left="0" w:right="49" w:firstLine="0"/>
              <w:jc w:val="center"/>
              <w:rPr>
                <w:sz w:val="18"/>
                <w:szCs w:val="18"/>
              </w:rPr>
            </w:pPr>
            <w:r>
              <w:rPr>
                <w:sz w:val="18"/>
                <w:szCs w:val="18"/>
              </w:rPr>
              <w:t xml:space="preserve">8310, </w:t>
            </w:r>
            <w:r w:rsidR="00FA5B56">
              <w:rPr>
                <w:sz w:val="18"/>
                <w:szCs w:val="18"/>
              </w:rPr>
              <w:t>8270</w:t>
            </w:r>
            <w:r w:rsidR="00FA2CAE">
              <w:rPr>
                <w:sz w:val="18"/>
                <w:szCs w:val="18"/>
              </w:rPr>
              <w:t xml:space="preserve"> SIM</w:t>
            </w:r>
          </w:p>
        </w:tc>
      </w:tr>
      <w:tr w:rsidR="00BD6806" w14:paraId="19E155DB" w14:textId="77777777" w:rsidTr="00324798">
        <w:trPr>
          <w:trHeight w:val="252"/>
        </w:trPr>
        <w:tc>
          <w:tcPr>
            <w:tcW w:w="3372" w:type="dxa"/>
            <w:tcBorders>
              <w:top w:val="single" w:sz="4" w:space="0" w:color="000000"/>
              <w:left w:val="single" w:sz="12" w:space="0" w:color="000000"/>
              <w:bottom w:val="single" w:sz="4" w:space="0" w:color="000000"/>
              <w:right w:val="single" w:sz="12" w:space="0" w:color="000000"/>
            </w:tcBorders>
          </w:tcPr>
          <w:p w14:paraId="592A0B4F" w14:textId="426C29E9" w:rsidR="00BD6806" w:rsidRDefault="00BD6806" w:rsidP="00BD6806">
            <w:pPr>
              <w:spacing w:after="0" w:line="259" w:lineRule="auto"/>
              <w:ind w:left="0" w:right="0" w:firstLine="0"/>
            </w:pPr>
            <w:r>
              <w:rPr>
                <w:sz w:val="18"/>
              </w:rPr>
              <w:t xml:space="preserve">Acenaphthylene </w:t>
            </w:r>
          </w:p>
        </w:tc>
        <w:tc>
          <w:tcPr>
            <w:tcW w:w="1130" w:type="dxa"/>
            <w:tcBorders>
              <w:top w:val="single" w:sz="4" w:space="0" w:color="000000"/>
              <w:left w:val="single" w:sz="12" w:space="0" w:color="000000"/>
              <w:bottom w:val="single" w:sz="4" w:space="0" w:color="000000"/>
              <w:right w:val="single" w:sz="12" w:space="0" w:color="000000"/>
            </w:tcBorders>
          </w:tcPr>
          <w:p w14:paraId="3D00C262" w14:textId="7633D625" w:rsidR="00BD6806" w:rsidRDefault="00BD6806" w:rsidP="00FC6809">
            <w:pPr>
              <w:spacing w:after="0" w:line="259" w:lineRule="auto"/>
              <w:ind w:left="0" w:right="44" w:firstLine="0"/>
              <w:jc w:val="center"/>
            </w:pPr>
            <w:r>
              <w:rPr>
                <w:sz w:val="18"/>
              </w:rPr>
              <w:t>208-96-8</w:t>
            </w:r>
          </w:p>
        </w:tc>
        <w:tc>
          <w:tcPr>
            <w:tcW w:w="866" w:type="dxa"/>
            <w:tcBorders>
              <w:top w:val="single" w:sz="4" w:space="0" w:color="000000"/>
              <w:left w:val="single" w:sz="12" w:space="0" w:color="000000"/>
              <w:bottom w:val="single" w:sz="4" w:space="0" w:color="000000"/>
              <w:right w:val="single" w:sz="12" w:space="0" w:color="000000"/>
            </w:tcBorders>
          </w:tcPr>
          <w:p w14:paraId="612E0251" w14:textId="3DAB375D" w:rsidR="00BD6806" w:rsidRDefault="00BD6806" w:rsidP="00FC6809">
            <w:pPr>
              <w:spacing w:after="0" w:line="259" w:lineRule="auto"/>
              <w:ind w:left="0" w:right="46" w:firstLine="0"/>
              <w:jc w:val="center"/>
            </w:pPr>
            <w:r>
              <w:rPr>
                <w:sz w:val="18"/>
              </w:rPr>
              <w:t>10</w:t>
            </w:r>
          </w:p>
        </w:tc>
        <w:tc>
          <w:tcPr>
            <w:tcW w:w="816" w:type="dxa"/>
            <w:tcBorders>
              <w:top w:val="single" w:sz="4" w:space="0" w:color="000000"/>
              <w:left w:val="single" w:sz="12" w:space="0" w:color="000000"/>
              <w:bottom w:val="single" w:sz="4" w:space="0" w:color="000000"/>
              <w:right w:val="single" w:sz="12" w:space="0" w:color="000000"/>
            </w:tcBorders>
          </w:tcPr>
          <w:p w14:paraId="3D1BB9AA" w14:textId="6C77B03E" w:rsidR="00BD6806" w:rsidRPr="006A6B24" w:rsidRDefault="00BD6806" w:rsidP="00FC6809">
            <w:pPr>
              <w:spacing w:after="0" w:line="259" w:lineRule="auto"/>
              <w:ind w:left="0" w:right="46" w:firstLine="0"/>
              <w:jc w:val="center"/>
            </w:pPr>
            <w:r w:rsidRPr="001253E3">
              <w:rPr>
                <w:rFonts w:eastAsia="Segoe UI Symbol"/>
                <w:sz w:val="18"/>
              </w:rPr>
              <w:t>u</w:t>
            </w:r>
            <w:r w:rsidRPr="006A6B24">
              <w:rPr>
                <w:sz w:val="18"/>
              </w:rPr>
              <w:t>g/L</w:t>
            </w:r>
          </w:p>
        </w:tc>
        <w:tc>
          <w:tcPr>
            <w:tcW w:w="818" w:type="dxa"/>
            <w:tcBorders>
              <w:top w:val="single" w:sz="4" w:space="0" w:color="000000"/>
              <w:left w:val="single" w:sz="12" w:space="0" w:color="000000"/>
              <w:bottom w:val="single" w:sz="4" w:space="0" w:color="000000"/>
              <w:right w:val="single" w:sz="12" w:space="0" w:color="000000"/>
            </w:tcBorders>
          </w:tcPr>
          <w:p w14:paraId="6BAE793C" w14:textId="14978C64" w:rsidR="00BD6806" w:rsidRDefault="00BD6806" w:rsidP="00FC6809">
            <w:pPr>
              <w:spacing w:after="0" w:line="259" w:lineRule="auto"/>
              <w:ind w:left="0" w:right="44" w:firstLine="0"/>
              <w:jc w:val="center"/>
            </w:pPr>
            <w:r>
              <w:rPr>
                <w:sz w:val="18"/>
              </w:rPr>
              <w:t>660</w:t>
            </w:r>
          </w:p>
        </w:tc>
        <w:tc>
          <w:tcPr>
            <w:tcW w:w="997" w:type="dxa"/>
            <w:tcBorders>
              <w:top w:val="single" w:sz="4" w:space="0" w:color="000000"/>
              <w:left w:val="single" w:sz="12" w:space="0" w:color="000000"/>
              <w:bottom w:val="single" w:sz="4" w:space="0" w:color="000000"/>
              <w:right w:val="single" w:sz="12" w:space="0" w:color="000000"/>
            </w:tcBorders>
          </w:tcPr>
          <w:p w14:paraId="1F6DE1C5" w14:textId="2EAC01B3" w:rsidR="00BD6806" w:rsidRDefault="00BD6806" w:rsidP="00FC6809">
            <w:pPr>
              <w:spacing w:after="0" w:line="259" w:lineRule="auto"/>
              <w:ind w:left="0" w:right="44" w:firstLine="0"/>
              <w:jc w:val="center"/>
            </w:pPr>
            <w:r>
              <w:rPr>
                <w:rFonts w:eastAsia="Segoe UI Symbol"/>
                <w:sz w:val="18"/>
              </w:rPr>
              <w:t>u</w:t>
            </w:r>
            <w:r>
              <w:rPr>
                <w:sz w:val="18"/>
              </w:rPr>
              <w:t>g/kg</w:t>
            </w:r>
          </w:p>
        </w:tc>
        <w:tc>
          <w:tcPr>
            <w:tcW w:w="1029" w:type="dxa"/>
            <w:tcBorders>
              <w:top w:val="single" w:sz="4" w:space="0" w:color="000000"/>
              <w:left w:val="single" w:sz="12" w:space="0" w:color="000000"/>
              <w:bottom w:val="single" w:sz="4" w:space="0" w:color="000000"/>
              <w:right w:val="single" w:sz="12" w:space="0" w:color="000000"/>
            </w:tcBorders>
          </w:tcPr>
          <w:p w14:paraId="557AF67E" w14:textId="14F19B51" w:rsidR="00BD6806" w:rsidRDefault="00BD6806" w:rsidP="00FC6809">
            <w:pPr>
              <w:spacing w:after="0" w:line="259" w:lineRule="auto"/>
              <w:ind w:left="0" w:right="46" w:firstLine="0"/>
              <w:jc w:val="center"/>
            </w:pPr>
            <w:r>
              <w:rPr>
                <w:b/>
                <w:sz w:val="18"/>
              </w:rPr>
              <w:t>8270</w:t>
            </w:r>
          </w:p>
        </w:tc>
        <w:tc>
          <w:tcPr>
            <w:tcW w:w="1592" w:type="dxa"/>
            <w:tcBorders>
              <w:top w:val="single" w:sz="4" w:space="0" w:color="000000"/>
              <w:left w:val="single" w:sz="12" w:space="0" w:color="000000"/>
              <w:bottom w:val="single" w:sz="4" w:space="0" w:color="000000"/>
              <w:right w:val="single" w:sz="12" w:space="0" w:color="000000"/>
            </w:tcBorders>
          </w:tcPr>
          <w:p w14:paraId="694F14E4" w14:textId="002904C8" w:rsidR="00BD6806" w:rsidRPr="001253E3" w:rsidRDefault="00296D1F" w:rsidP="00FC6809">
            <w:pPr>
              <w:spacing w:after="0" w:line="259" w:lineRule="auto"/>
              <w:ind w:left="0" w:right="49" w:firstLine="0"/>
              <w:jc w:val="center"/>
              <w:rPr>
                <w:sz w:val="18"/>
                <w:szCs w:val="18"/>
              </w:rPr>
            </w:pPr>
            <w:r>
              <w:rPr>
                <w:sz w:val="18"/>
                <w:szCs w:val="18"/>
              </w:rPr>
              <w:t xml:space="preserve">8310, </w:t>
            </w:r>
            <w:r w:rsidR="008D6183">
              <w:rPr>
                <w:sz w:val="18"/>
                <w:szCs w:val="18"/>
              </w:rPr>
              <w:t>8270 SIM</w:t>
            </w:r>
          </w:p>
        </w:tc>
      </w:tr>
      <w:tr w:rsidR="00BD6806" w14:paraId="690EABFF" w14:textId="77777777" w:rsidTr="00324798">
        <w:trPr>
          <w:trHeight w:val="250"/>
        </w:trPr>
        <w:tc>
          <w:tcPr>
            <w:tcW w:w="3372" w:type="dxa"/>
            <w:tcBorders>
              <w:top w:val="single" w:sz="4" w:space="0" w:color="000000"/>
              <w:left w:val="single" w:sz="12" w:space="0" w:color="000000"/>
              <w:bottom w:val="single" w:sz="4" w:space="0" w:color="000000"/>
              <w:right w:val="single" w:sz="12" w:space="0" w:color="000000"/>
            </w:tcBorders>
          </w:tcPr>
          <w:p w14:paraId="74A78307" w14:textId="77777777" w:rsidR="00BD6806" w:rsidRDefault="00BD6806" w:rsidP="00BD6806">
            <w:pPr>
              <w:spacing w:after="0" w:line="259" w:lineRule="auto"/>
              <w:ind w:left="0" w:right="0" w:firstLine="0"/>
            </w:pPr>
            <w:r>
              <w:rPr>
                <w:sz w:val="18"/>
              </w:rPr>
              <w:t xml:space="preserve">Anthracene </w:t>
            </w:r>
          </w:p>
        </w:tc>
        <w:tc>
          <w:tcPr>
            <w:tcW w:w="1130" w:type="dxa"/>
            <w:tcBorders>
              <w:top w:val="single" w:sz="4" w:space="0" w:color="000000"/>
              <w:left w:val="single" w:sz="12" w:space="0" w:color="000000"/>
              <w:bottom w:val="single" w:sz="4" w:space="0" w:color="000000"/>
              <w:right w:val="single" w:sz="12" w:space="0" w:color="000000"/>
            </w:tcBorders>
          </w:tcPr>
          <w:p w14:paraId="595AA6E4" w14:textId="13E034BE" w:rsidR="00BD6806" w:rsidRDefault="00BD6806" w:rsidP="00FC6809">
            <w:pPr>
              <w:spacing w:after="0" w:line="259" w:lineRule="auto"/>
              <w:ind w:left="0" w:right="44" w:firstLine="0"/>
              <w:jc w:val="center"/>
            </w:pPr>
            <w:r>
              <w:rPr>
                <w:sz w:val="18"/>
              </w:rPr>
              <w:t>120-12-7</w:t>
            </w:r>
          </w:p>
        </w:tc>
        <w:tc>
          <w:tcPr>
            <w:tcW w:w="866" w:type="dxa"/>
            <w:tcBorders>
              <w:top w:val="single" w:sz="4" w:space="0" w:color="000000"/>
              <w:left w:val="single" w:sz="12" w:space="0" w:color="000000"/>
              <w:bottom w:val="single" w:sz="4" w:space="0" w:color="000000"/>
              <w:right w:val="single" w:sz="12" w:space="0" w:color="000000"/>
            </w:tcBorders>
          </w:tcPr>
          <w:p w14:paraId="05C162B5" w14:textId="1B5406FC" w:rsidR="00BD6806" w:rsidRDefault="00BD6806" w:rsidP="00FC6809">
            <w:pPr>
              <w:spacing w:after="0" w:line="259" w:lineRule="auto"/>
              <w:ind w:left="0" w:right="46" w:firstLine="0"/>
              <w:jc w:val="center"/>
            </w:pPr>
            <w:r>
              <w:rPr>
                <w:sz w:val="18"/>
              </w:rPr>
              <w:t>10</w:t>
            </w:r>
          </w:p>
        </w:tc>
        <w:tc>
          <w:tcPr>
            <w:tcW w:w="816" w:type="dxa"/>
            <w:tcBorders>
              <w:top w:val="single" w:sz="4" w:space="0" w:color="000000"/>
              <w:left w:val="single" w:sz="12" w:space="0" w:color="000000"/>
              <w:bottom w:val="single" w:sz="4" w:space="0" w:color="000000"/>
              <w:right w:val="single" w:sz="12" w:space="0" w:color="000000"/>
            </w:tcBorders>
          </w:tcPr>
          <w:p w14:paraId="66F4601D" w14:textId="019CC09A" w:rsidR="00BD6806" w:rsidRPr="006A6B24" w:rsidRDefault="00BD6806" w:rsidP="00FC6809">
            <w:pPr>
              <w:spacing w:after="0" w:line="259" w:lineRule="auto"/>
              <w:ind w:left="0" w:right="46" w:firstLine="0"/>
              <w:jc w:val="center"/>
            </w:pPr>
            <w:r w:rsidRPr="001253E3">
              <w:rPr>
                <w:rFonts w:eastAsia="Segoe UI Symbol"/>
                <w:sz w:val="18"/>
              </w:rPr>
              <w:t>u</w:t>
            </w:r>
            <w:r w:rsidRPr="006A6B24">
              <w:rPr>
                <w:sz w:val="18"/>
              </w:rPr>
              <w:t>g/L</w:t>
            </w:r>
          </w:p>
        </w:tc>
        <w:tc>
          <w:tcPr>
            <w:tcW w:w="818" w:type="dxa"/>
            <w:tcBorders>
              <w:top w:val="single" w:sz="4" w:space="0" w:color="000000"/>
              <w:left w:val="single" w:sz="12" w:space="0" w:color="000000"/>
              <w:bottom w:val="single" w:sz="4" w:space="0" w:color="000000"/>
              <w:right w:val="single" w:sz="12" w:space="0" w:color="000000"/>
            </w:tcBorders>
          </w:tcPr>
          <w:p w14:paraId="481838BD" w14:textId="0259C45B" w:rsidR="00BD6806" w:rsidRDefault="00BD6806" w:rsidP="00FC6809">
            <w:pPr>
              <w:spacing w:after="0" w:line="259" w:lineRule="auto"/>
              <w:ind w:left="0" w:right="44" w:firstLine="0"/>
              <w:jc w:val="center"/>
            </w:pPr>
            <w:r>
              <w:rPr>
                <w:sz w:val="18"/>
              </w:rPr>
              <w:t>660</w:t>
            </w:r>
          </w:p>
        </w:tc>
        <w:tc>
          <w:tcPr>
            <w:tcW w:w="997" w:type="dxa"/>
            <w:tcBorders>
              <w:top w:val="single" w:sz="4" w:space="0" w:color="000000"/>
              <w:left w:val="single" w:sz="12" w:space="0" w:color="000000"/>
              <w:bottom w:val="single" w:sz="4" w:space="0" w:color="000000"/>
              <w:right w:val="single" w:sz="12" w:space="0" w:color="000000"/>
            </w:tcBorders>
          </w:tcPr>
          <w:p w14:paraId="64457C55" w14:textId="756504D7" w:rsidR="00BD6806" w:rsidRDefault="00BD6806" w:rsidP="00FC6809">
            <w:pPr>
              <w:spacing w:after="0" w:line="259" w:lineRule="auto"/>
              <w:ind w:left="0" w:right="44" w:firstLine="0"/>
              <w:jc w:val="center"/>
            </w:pPr>
            <w:r>
              <w:rPr>
                <w:rFonts w:eastAsia="Segoe UI Symbol"/>
                <w:sz w:val="18"/>
              </w:rPr>
              <w:t>u</w:t>
            </w:r>
            <w:r>
              <w:rPr>
                <w:sz w:val="18"/>
              </w:rPr>
              <w:t>g/kg</w:t>
            </w:r>
          </w:p>
        </w:tc>
        <w:tc>
          <w:tcPr>
            <w:tcW w:w="1029" w:type="dxa"/>
            <w:tcBorders>
              <w:top w:val="single" w:sz="4" w:space="0" w:color="000000"/>
              <w:left w:val="single" w:sz="12" w:space="0" w:color="000000"/>
              <w:bottom w:val="single" w:sz="4" w:space="0" w:color="000000"/>
              <w:right w:val="single" w:sz="12" w:space="0" w:color="000000"/>
            </w:tcBorders>
          </w:tcPr>
          <w:p w14:paraId="58BFA244" w14:textId="48CE7AF3" w:rsidR="00BD6806" w:rsidRDefault="00BD6806" w:rsidP="00FC6809">
            <w:pPr>
              <w:spacing w:after="0" w:line="259" w:lineRule="auto"/>
              <w:ind w:left="0" w:right="46" w:firstLine="0"/>
              <w:jc w:val="center"/>
            </w:pPr>
            <w:r>
              <w:rPr>
                <w:b/>
                <w:sz w:val="18"/>
              </w:rPr>
              <w:t>8270</w:t>
            </w:r>
          </w:p>
        </w:tc>
        <w:tc>
          <w:tcPr>
            <w:tcW w:w="1592" w:type="dxa"/>
            <w:tcBorders>
              <w:top w:val="single" w:sz="4" w:space="0" w:color="000000"/>
              <w:left w:val="single" w:sz="12" w:space="0" w:color="000000"/>
              <w:bottom w:val="single" w:sz="4" w:space="0" w:color="000000"/>
              <w:right w:val="single" w:sz="12" w:space="0" w:color="000000"/>
            </w:tcBorders>
          </w:tcPr>
          <w:p w14:paraId="4AC0FF4B" w14:textId="00F2BFF2" w:rsidR="00BD6806" w:rsidRPr="001253E3" w:rsidRDefault="00984A0D" w:rsidP="00FC6809">
            <w:pPr>
              <w:spacing w:after="0" w:line="259" w:lineRule="auto"/>
              <w:ind w:left="0" w:right="49" w:firstLine="0"/>
              <w:jc w:val="center"/>
              <w:rPr>
                <w:sz w:val="18"/>
                <w:szCs w:val="18"/>
              </w:rPr>
            </w:pPr>
            <w:r>
              <w:rPr>
                <w:sz w:val="18"/>
                <w:szCs w:val="18"/>
              </w:rPr>
              <w:t xml:space="preserve">8310, </w:t>
            </w:r>
            <w:r w:rsidR="008C5F8A">
              <w:rPr>
                <w:sz w:val="18"/>
                <w:szCs w:val="18"/>
              </w:rPr>
              <w:t>8270 SIM</w:t>
            </w:r>
          </w:p>
        </w:tc>
      </w:tr>
      <w:tr w:rsidR="00BD6806" w14:paraId="1C4F1B2E" w14:textId="77777777" w:rsidTr="00324798">
        <w:trPr>
          <w:trHeight w:val="250"/>
        </w:trPr>
        <w:tc>
          <w:tcPr>
            <w:tcW w:w="3372" w:type="dxa"/>
            <w:tcBorders>
              <w:top w:val="single" w:sz="4" w:space="0" w:color="000000"/>
              <w:left w:val="single" w:sz="12" w:space="0" w:color="000000"/>
              <w:bottom w:val="single" w:sz="4" w:space="0" w:color="000000"/>
              <w:right w:val="single" w:sz="12" w:space="0" w:color="000000"/>
            </w:tcBorders>
          </w:tcPr>
          <w:p w14:paraId="72E947F9" w14:textId="202B6F10" w:rsidR="00BD6806" w:rsidRDefault="00BD6806" w:rsidP="00BD6806">
            <w:pPr>
              <w:spacing w:after="0" w:line="259" w:lineRule="auto"/>
              <w:ind w:left="0" w:right="0" w:firstLine="0"/>
            </w:pPr>
            <w:r>
              <w:rPr>
                <w:sz w:val="18"/>
              </w:rPr>
              <w:t>Benzo[a]anthracene</w:t>
            </w:r>
            <w:r>
              <w:rPr>
                <w:sz w:val="18"/>
                <w:vertAlign w:val="superscript"/>
              </w:rPr>
              <w:t xml:space="preserve"> </w:t>
            </w:r>
          </w:p>
        </w:tc>
        <w:tc>
          <w:tcPr>
            <w:tcW w:w="1130" w:type="dxa"/>
            <w:tcBorders>
              <w:top w:val="single" w:sz="4" w:space="0" w:color="000000"/>
              <w:left w:val="single" w:sz="12" w:space="0" w:color="000000"/>
              <w:bottom w:val="single" w:sz="4" w:space="0" w:color="000000"/>
              <w:right w:val="single" w:sz="12" w:space="0" w:color="000000"/>
            </w:tcBorders>
          </w:tcPr>
          <w:p w14:paraId="7A7B22B3" w14:textId="344F9658" w:rsidR="00BD6806" w:rsidRDefault="00BD6806" w:rsidP="00FC6809">
            <w:pPr>
              <w:spacing w:after="0" w:line="259" w:lineRule="auto"/>
              <w:ind w:left="0" w:right="44" w:firstLine="0"/>
              <w:jc w:val="center"/>
            </w:pPr>
            <w:r>
              <w:rPr>
                <w:sz w:val="18"/>
              </w:rPr>
              <w:t>56-55-3</w:t>
            </w:r>
          </w:p>
        </w:tc>
        <w:tc>
          <w:tcPr>
            <w:tcW w:w="866" w:type="dxa"/>
            <w:tcBorders>
              <w:top w:val="single" w:sz="4" w:space="0" w:color="000000"/>
              <w:left w:val="single" w:sz="12" w:space="0" w:color="000000"/>
              <w:bottom w:val="single" w:sz="4" w:space="0" w:color="000000"/>
              <w:right w:val="single" w:sz="12" w:space="0" w:color="000000"/>
            </w:tcBorders>
          </w:tcPr>
          <w:p w14:paraId="60EF27FC" w14:textId="6C47852F" w:rsidR="00BD6806" w:rsidRDefault="00BD6806" w:rsidP="00FC6809">
            <w:pPr>
              <w:spacing w:after="0" w:line="259" w:lineRule="auto"/>
              <w:ind w:left="0" w:right="46" w:firstLine="0"/>
              <w:jc w:val="center"/>
            </w:pPr>
            <w:r>
              <w:rPr>
                <w:sz w:val="18"/>
              </w:rPr>
              <w:t>10</w:t>
            </w:r>
          </w:p>
        </w:tc>
        <w:tc>
          <w:tcPr>
            <w:tcW w:w="816" w:type="dxa"/>
            <w:tcBorders>
              <w:top w:val="single" w:sz="4" w:space="0" w:color="000000"/>
              <w:left w:val="single" w:sz="12" w:space="0" w:color="000000"/>
              <w:bottom w:val="single" w:sz="4" w:space="0" w:color="000000"/>
              <w:right w:val="single" w:sz="12" w:space="0" w:color="000000"/>
            </w:tcBorders>
          </w:tcPr>
          <w:p w14:paraId="51DDCB3B" w14:textId="0ECD4667" w:rsidR="00BD6806" w:rsidRPr="006A6B24" w:rsidRDefault="00BD6806" w:rsidP="00FC6809">
            <w:pPr>
              <w:spacing w:after="0" w:line="259" w:lineRule="auto"/>
              <w:ind w:left="0" w:right="46" w:firstLine="0"/>
              <w:jc w:val="center"/>
            </w:pPr>
            <w:r w:rsidRPr="001253E3">
              <w:rPr>
                <w:rFonts w:eastAsia="Segoe UI Symbol"/>
                <w:sz w:val="18"/>
              </w:rPr>
              <w:t>u</w:t>
            </w:r>
            <w:r w:rsidRPr="006A6B24">
              <w:rPr>
                <w:sz w:val="18"/>
              </w:rPr>
              <w:t>g/L</w:t>
            </w:r>
          </w:p>
        </w:tc>
        <w:tc>
          <w:tcPr>
            <w:tcW w:w="818" w:type="dxa"/>
            <w:tcBorders>
              <w:top w:val="single" w:sz="4" w:space="0" w:color="000000"/>
              <w:left w:val="single" w:sz="12" w:space="0" w:color="000000"/>
              <w:bottom w:val="single" w:sz="4" w:space="0" w:color="000000"/>
              <w:right w:val="single" w:sz="12" w:space="0" w:color="000000"/>
            </w:tcBorders>
          </w:tcPr>
          <w:p w14:paraId="44CA8AB9" w14:textId="05DD836C" w:rsidR="00BD6806" w:rsidRDefault="00BD6806" w:rsidP="00FC6809">
            <w:pPr>
              <w:spacing w:after="0" w:line="259" w:lineRule="auto"/>
              <w:ind w:left="0" w:right="44" w:firstLine="0"/>
              <w:jc w:val="center"/>
            </w:pPr>
            <w:r>
              <w:rPr>
                <w:sz w:val="18"/>
              </w:rPr>
              <w:t>660</w:t>
            </w:r>
          </w:p>
        </w:tc>
        <w:tc>
          <w:tcPr>
            <w:tcW w:w="997" w:type="dxa"/>
            <w:tcBorders>
              <w:top w:val="single" w:sz="4" w:space="0" w:color="000000"/>
              <w:left w:val="single" w:sz="12" w:space="0" w:color="000000"/>
              <w:bottom w:val="single" w:sz="4" w:space="0" w:color="000000"/>
              <w:right w:val="single" w:sz="12" w:space="0" w:color="000000"/>
            </w:tcBorders>
          </w:tcPr>
          <w:p w14:paraId="2938B174" w14:textId="1E076FD2" w:rsidR="00BD6806" w:rsidRDefault="00BD6806" w:rsidP="00FC6809">
            <w:pPr>
              <w:spacing w:after="0" w:line="259" w:lineRule="auto"/>
              <w:ind w:left="0" w:right="44" w:firstLine="0"/>
              <w:jc w:val="center"/>
            </w:pPr>
            <w:r>
              <w:rPr>
                <w:rFonts w:eastAsia="Segoe UI Symbol"/>
                <w:sz w:val="18"/>
              </w:rPr>
              <w:t>u</w:t>
            </w:r>
            <w:r>
              <w:rPr>
                <w:sz w:val="18"/>
              </w:rPr>
              <w:t>g/kg</w:t>
            </w:r>
          </w:p>
        </w:tc>
        <w:tc>
          <w:tcPr>
            <w:tcW w:w="1029" w:type="dxa"/>
            <w:tcBorders>
              <w:top w:val="single" w:sz="4" w:space="0" w:color="000000"/>
              <w:left w:val="single" w:sz="12" w:space="0" w:color="000000"/>
              <w:bottom w:val="single" w:sz="4" w:space="0" w:color="000000"/>
              <w:right w:val="single" w:sz="12" w:space="0" w:color="000000"/>
            </w:tcBorders>
          </w:tcPr>
          <w:p w14:paraId="7EFC653C" w14:textId="1E599DDD" w:rsidR="00BD6806" w:rsidRDefault="00BD6806" w:rsidP="00FC6809">
            <w:pPr>
              <w:spacing w:after="0" w:line="259" w:lineRule="auto"/>
              <w:ind w:left="0" w:right="46" w:firstLine="0"/>
              <w:jc w:val="center"/>
            </w:pPr>
            <w:r>
              <w:rPr>
                <w:b/>
                <w:sz w:val="18"/>
              </w:rPr>
              <w:t>8270</w:t>
            </w:r>
          </w:p>
        </w:tc>
        <w:tc>
          <w:tcPr>
            <w:tcW w:w="1592" w:type="dxa"/>
            <w:tcBorders>
              <w:top w:val="single" w:sz="4" w:space="0" w:color="000000"/>
              <w:left w:val="single" w:sz="12" w:space="0" w:color="000000"/>
              <w:bottom w:val="single" w:sz="4" w:space="0" w:color="000000"/>
              <w:right w:val="single" w:sz="12" w:space="0" w:color="000000"/>
            </w:tcBorders>
          </w:tcPr>
          <w:p w14:paraId="33C4B48C" w14:textId="2461E27F" w:rsidR="00BD6806" w:rsidRPr="001253E3" w:rsidRDefault="00FC6B3C" w:rsidP="00FC6809">
            <w:pPr>
              <w:spacing w:after="0" w:line="259" w:lineRule="auto"/>
              <w:ind w:left="0" w:right="49" w:firstLine="0"/>
              <w:jc w:val="center"/>
              <w:rPr>
                <w:sz w:val="18"/>
                <w:szCs w:val="18"/>
              </w:rPr>
            </w:pPr>
            <w:r>
              <w:rPr>
                <w:sz w:val="18"/>
                <w:szCs w:val="18"/>
              </w:rPr>
              <w:t>8310</w:t>
            </w:r>
            <w:r w:rsidR="00792CC2">
              <w:rPr>
                <w:sz w:val="18"/>
                <w:szCs w:val="18"/>
              </w:rPr>
              <w:t xml:space="preserve">, </w:t>
            </w:r>
            <w:r w:rsidR="008C5F8A">
              <w:rPr>
                <w:sz w:val="18"/>
                <w:szCs w:val="18"/>
              </w:rPr>
              <w:t>8270 SIM</w:t>
            </w:r>
          </w:p>
        </w:tc>
      </w:tr>
      <w:tr w:rsidR="00BD6806" w14:paraId="2B255882" w14:textId="77777777" w:rsidTr="00324798">
        <w:trPr>
          <w:trHeight w:val="250"/>
        </w:trPr>
        <w:tc>
          <w:tcPr>
            <w:tcW w:w="3372" w:type="dxa"/>
            <w:tcBorders>
              <w:top w:val="single" w:sz="4" w:space="0" w:color="000000"/>
              <w:left w:val="single" w:sz="12" w:space="0" w:color="000000"/>
              <w:bottom w:val="single" w:sz="4" w:space="0" w:color="000000"/>
              <w:right w:val="single" w:sz="12" w:space="0" w:color="000000"/>
            </w:tcBorders>
          </w:tcPr>
          <w:p w14:paraId="21D26FA8" w14:textId="3D507BCD" w:rsidR="00BD6806" w:rsidRDefault="00BD6806" w:rsidP="00BD6806">
            <w:pPr>
              <w:spacing w:after="0" w:line="259" w:lineRule="auto"/>
              <w:ind w:left="0" w:right="0" w:firstLine="0"/>
            </w:pPr>
            <w:r>
              <w:rPr>
                <w:sz w:val="18"/>
              </w:rPr>
              <w:t>Benzo[b]fluoranthene</w:t>
            </w:r>
            <w:r w:rsidRPr="005A4655">
              <w:rPr>
                <w:b/>
                <w:strike/>
                <w:sz w:val="18"/>
                <w:vertAlign w:val="superscript"/>
              </w:rPr>
              <w:t xml:space="preserve"> </w:t>
            </w:r>
          </w:p>
        </w:tc>
        <w:tc>
          <w:tcPr>
            <w:tcW w:w="1130" w:type="dxa"/>
            <w:tcBorders>
              <w:top w:val="single" w:sz="4" w:space="0" w:color="000000"/>
              <w:left w:val="single" w:sz="12" w:space="0" w:color="000000"/>
              <w:bottom w:val="single" w:sz="4" w:space="0" w:color="000000"/>
              <w:right w:val="single" w:sz="12" w:space="0" w:color="000000"/>
            </w:tcBorders>
          </w:tcPr>
          <w:p w14:paraId="21123F7F" w14:textId="6F09E134" w:rsidR="00BD6806" w:rsidRDefault="00BD6806" w:rsidP="00FC6809">
            <w:pPr>
              <w:spacing w:after="0" w:line="259" w:lineRule="auto"/>
              <w:ind w:left="0" w:right="44" w:firstLine="0"/>
              <w:jc w:val="center"/>
            </w:pPr>
            <w:r>
              <w:rPr>
                <w:sz w:val="18"/>
              </w:rPr>
              <w:t>205-99-2</w:t>
            </w:r>
          </w:p>
        </w:tc>
        <w:tc>
          <w:tcPr>
            <w:tcW w:w="866" w:type="dxa"/>
            <w:tcBorders>
              <w:top w:val="single" w:sz="4" w:space="0" w:color="000000"/>
              <w:left w:val="single" w:sz="12" w:space="0" w:color="000000"/>
              <w:bottom w:val="single" w:sz="4" w:space="0" w:color="000000"/>
              <w:right w:val="single" w:sz="12" w:space="0" w:color="000000"/>
            </w:tcBorders>
          </w:tcPr>
          <w:p w14:paraId="541ABF35" w14:textId="69117163" w:rsidR="00BD6806" w:rsidRDefault="00BD6806" w:rsidP="00FC6809">
            <w:pPr>
              <w:spacing w:after="0" w:line="259" w:lineRule="auto"/>
              <w:ind w:left="0" w:right="46" w:firstLine="0"/>
              <w:jc w:val="center"/>
            </w:pPr>
            <w:r>
              <w:rPr>
                <w:sz w:val="18"/>
              </w:rPr>
              <w:t>10</w:t>
            </w:r>
          </w:p>
        </w:tc>
        <w:tc>
          <w:tcPr>
            <w:tcW w:w="816" w:type="dxa"/>
            <w:tcBorders>
              <w:top w:val="single" w:sz="4" w:space="0" w:color="000000"/>
              <w:left w:val="single" w:sz="12" w:space="0" w:color="000000"/>
              <w:bottom w:val="single" w:sz="4" w:space="0" w:color="000000"/>
              <w:right w:val="single" w:sz="12" w:space="0" w:color="000000"/>
            </w:tcBorders>
          </w:tcPr>
          <w:p w14:paraId="21262674" w14:textId="5D37D993" w:rsidR="00BD6806" w:rsidRPr="006A6B24" w:rsidRDefault="00BD6806" w:rsidP="00FC6809">
            <w:pPr>
              <w:spacing w:after="0" w:line="259" w:lineRule="auto"/>
              <w:ind w:left="0" w:right="46" w:firstLine="0"/>
              <w:jc w:val="center"/>
            </w:pPr>
            <w:r w:rsidRPr="001253E3">
              <w:rPr>
                <w:rFonts w:eastAsia="Segoe UI Symbol"/>
                <w:sz w:val="18"/>
              </w:rPr>
              <w:t>u</w:t>
            </w:r>
            <w:r w:rsidRPr="006A6B24">
              <w:rPr>
                <w:sz w:val="18"/>
              </w:rPr>
              <w:t>g/L</w:t>
            </w:r>
          </w:p>
        </w:tc>
        <w:tc>
          <w:tcPr>
            <w:tcW w:w="818" w:type="dxa"/>
            <w:tcBorders>
              <w:top w:val="single" w:sz="4" w:space="0" w:color="000000"/>
              <w:left w:val="single" w:sz="12" w:space="0" w:color="000000"/>
              <w:bottom w:val="single" w:sz="4" w:space="0" w:color="000000"/>
              <w:right w:val="single" w:sz="12" w:space="0" w:color="000000"/>
            </w:tcBorders>
          </w:tcPr>
          <w:p w14:paraId="4F9DED95" w14:textId="7A4CB6A1" w:rsidR="00BD6806" w:rsidRDefault="00BD6806" w:rsidP="00FC6809">
            <w:pPr>
              <w:spacing w:after="0" w:line="259" w:lineRule="auto"/>
              <w:ind w:left="0" w:right="44" w:firstLine="0"/>
              <w:jc w:val="center"/>
            </w:pPr>
            <w:r>
              <w:rPr>
                <w:sz w:val="18"/>
              </w:rPr>
              <w:t>660</w:t>
            </w:r>
          </w:p>
        </w:tc>
        <w:tc>
          <w:tcPr>
            <w:tcW w:w="997" w:type="dxa"/>
            <w:tcBorders>
              <w:top w:val="single" w:sz="4" w:space="0" w:color="000000"/>
              <w:left w:val="single" w:sz="12" w:space="0" w:color="000000"/>
              <w:bottom w:val="single" w:sz="4" w:space="0" w:color="000000"/>
              <w:right w:val="single" w:sz="12" w:space="0" w:color="000000"/>
            </w:tcBorders>
          </w:tcPr>
          <w:p w14:paraId="78B044DE" w14:textId="6C07297C" w:rsidR="00BD6806" w:rsidRDefault="00BD6806" w:rsidP="00FC6809">
            <w:pPr>
              <w:spacing w:after="0" w:line="259" w:lineRule="auto"/>
              <w:ind w:left="0" w:right="44" w:firstLine="0"/>
              <w:jc w:val="center"/>
            </w:pPr>
            <w:r>
              <w:rPr>
                <w:rFonts w:eastAsia="Segoe UI Symbol"/>
                <w:sz w:val="18"/>
              </w:rPr>
              <w:t>u</w:t>
            </w:r>
            <w:r>
              <w:rPr>
                <w:sz w:val="18"/>
              </w:rPr>
              <w:t>g/kg</w:t>
            </w:r>
          </w:p>
        </w:tc>
        <w:tc>
          <w:tcPr>
            <w:tcW w:w="1029" w:type="dxa"/>
            <w:tcBorders>
              <w:top w:val="single" w:sz="4" w:space="0" w:color="000000"/>
              <w:left w:val="single" w:sz="12" w:space="0" w:color="000000"/>
              <w:bottom w:val="single" w:sz="4" w:space="0" w:color="000000"/>
              <w:right w:val="single" w:sz="12" w:space="0" w:color="000000"/>
            </w:tcBorders>
          </w:tcPr>
          <w:p w14:paraId="1D4EED64" w14:textId="69CF6292" w:rsidR="00BD6806" w:rsidRDefault="00BD6806" w:rsidP="00FC6809">
            <w:pPr>
              <w:spacing w:after="0" w:line="259" w:lineRule="auto"/>
              <w:ind w:left="0" w:right="46" w:firstLine="0"/>
              <w:jc w:val="center"/>
            </w:pPr>
            <w:r>
              <w:rPr>
                <w:b/>
                <w:sz w:val="18"/>
              </w:rPr>
              <w:t>8270</w:t>
            </w:r>
          </w:p>
        </w:tc>
        <w:tc>
          <w:tcPr>
            <w:tcW w:w="1592" w:type="dxa"/>
            <w:tcBorders>
              <w:top w:val="single" w:sz="4" w:space="0" w:color="000000"/>
              <w:left w:val="single" w:sz="12" w:space="0" w:color="000000"/>
              <w:bottom w:val="single" w:sz="4" w:space="0" w:color="000000"/>
              <w:right w:val="single" w:sz="12" w:space="0" w:color="000000"/>
            </w:tcBorders>
          </w:tcPr>
          <w:p w14:paraId="77F5C8CD" w14:textId="2B89C129" w:rsidR="00BD6806" w:rsidRPr="001253E3" w:rsidRDefault="00D67A04" w:rsidP="00FC6809">
            <w:pPr>
              <w:spacing w:after="0" w:line="259" w:lineRule="auto"/>
              <w:ind w:left="0" w:right="49" w:firstLine="0"/>
              <w:jc w:val="center"/>
              <w:rPr>
                <w:sz w:val="18"/>
                <w:szCs w:val="18"/>
              </w:rPr>
            </w:pPr>
            <w:r>
              <w:rPr>
                <w:sz w:val="18"/>
                <w:szCs w:val="18"/>
              </w:rPr>
              <w:t>8310</w:t>
            </w:r>
            <w:r w:rsidR="008C5F8A">
              <w:rPr>
                <w:sz w:val="18"/>
                <w:szCs w:val="18"/>
              </w:rPr>
              <w:t>, 8270 SIM</w:t>
            </w:r>
          </w:p>
        </w:tc>
      </w:tr>
      <w:tr w:rsidR="00BD6806" w14:paraId="0B1ADCE0" w14:textId="77777777" w:rsidTr="00324798">
        <w:trPr>
          <w:trHeight w:val="250"/>
        </w:trPr>
        <w:tc>
          <w:tcPr>
            <w:tcW w:w="3372" w:type="dxa"/>
            <w:tcBorders>
              <w:top w:val="single" w:sz="4" w:space="0" w:color="000000"/>
              <w:left w:val="single" w:sz="12" w:space="0" w:color="000000"/>
              <w:bottom w:val="single" w:sz="4" w:space="0" w:color="000000"/>
              <w:right w:val="single" w:sz="12" w:space="0" w:color="000000"/>
            </w:tcBorders>
          </w:tcPr>
          <w:p w14:paraId="52C14CC4" w14:textId="53AA40C9" w:rsidR="00BD6806" w:rsidRDefault="00BD6806" w:rsidP="00BD6806">
            <w:pPr>
              <w:spacing w:after="0" w:line="259" w:lineRule="auto"/>
              <w:ind w:left="0" w:right="0" w:firstLine="0"/>
            </w:pPr>
            <w:r>
              <w:rPr>
                <w:sz w:val="18"/>
              </w:rPr>
              <w:t>Benzo[k]fluoranthene</w:t>
            </w:r>
            <w:r>
              <w:rPr>
                <w:b/>
                <w:sz w:val="18"/>
                <w:vertAlign w:val="superscript"/>
              </w:rPr>
              <w:t xml:space="preserve"> </w:t>
            </w:r>
          </w:p>
        </w:tc>
        <w:tc>
          <w:tcPr>
            <w:tcW w:w="1130" w:type="dxa"/>
            <w:tcBorders>
              <w:top w:val="single" w:sz="4" w:space="0" w:color="000000"/>
              <w:left w:val="single" w:sz="12" w:space="0" w:color="000000"/>
              <w:bottom w:val="single" w:sz="4" w:space="0" w:color="000000"/>
              <w:right w:val="single" w:sz="12" w:space="0" w:color="000000"/>
            </w:tcBorders>
          </w:tcPr>
          <w:p w14:paraId="5CAAD75D" w14:textId="540563DD" w:rsidR="00BD6806" w:rsidRDefault="00BD6806" w:rsidP="00FC6809">
            <w:pPr>
              <w:spacing w:after="0" w:line="259" w:lineRule="auto"/>
              <w:ind w:left="0" w:right="44" w:firstLine="0"/>
              <w:jc w:val="center"/>
            </w:pPr>
            <w:r>
              <w:rPr>
                <w:sz w:val="18"/>
              </w:rPr>
              <w:t>207-08-9</w:t>
            </w:r>
          </w:p>
        </w:tc>
        <w:tc>
          <w:tcPr>
            <w:tcW w:w="866" w:type="dxa"/>
            <w:tcBorders>
              <w:top w:val="single" w:sz="4" w:space="0" w:color="000000"/>
              <w:left w:val="single" w:sz="12" w:space="0" w:color="000000"/>
              <w:bottom w:val="single" w:sz="4" w:space="0" w:color="000000"/>
              <w:right w:val="single" w:sz="12" w:space="0" w:color="000000"/>
            </w:tcBorders>
          </w:tcPr>
          <w:p w14:paraId="2114F4A9" w14:textId="6DD4F38B" w:rsidR="00BD6806" w:rsidRDefault="00BD6806" w:rsidP="00FC6809">
            <w:pPr>
              <w:spacing w:after="0" w:line="259" w:lineRule="auto"/>
              <w:ind w:left="0" w:right="46" w:firstLine="0"/>
              <w:jc w:val="center"/>
            </w:pPr>
            <w:r>
              <w:rPr>
                <w:sz w:val="18"/>
              </w:rPr>
              <w:t>10</w:t>
            </w:r>
          </w:p>
        </w:tc>
        <w:tc>
          <w:tcPr>
            <w:tcW w:w="816" w:type="dxa"/>
            <w:tcBorders>
              <w:top w:val="single" w:sz="4" w:space="0" w:color="000000"/>
              <w:left w:val="single" w:sz="12" w:space="0" w:color="000000"/>
              <w:bottom w:val="single" w:sz="4" w:space="0" w:color="000000"/>
              <w:right w:val="single" w:sz="12" w:space="0" w:color="000000"/>
            </w:tcBorders>
          </w:tcPr>
          <w:p w14:paraId="3BFAC41F" w14:textId="1D9008AB" w:rsidR="00BD6806" w:rsidRPr="006A6B24" w:rsidRDefault="00BD6806" w:rsidP="00FC6809">
            <w:pPr>
              <w:spacing w:after="0" w:line="259" w:lineRule="auto"/>
              <w:ind w:left="0" w:right="46" w:firstLine="0"/>
              <w:jc w:val="center"/>
            </w:pPr>
            <w:r w:rsidRPr="001253E3">
              <w:rPr>
                <w:rFonts w:eastAsia="Segoe UI Symbol"/>
                <w:sz w:val="18"/>
              </w:rPr>
              <w:t>u</w:t>
            </w:r>
            <w:r w:rsidRPr="006A6B24">
              <w:rPr>
                <w:sz w:val="18"/>
              </w:rPr>
              <w:t>g/L</w:t>
            </w:r>
          </w:p>
        </w:tc>
        <w:tc>
          <w:tcPr>
            <w:tcW w:w="818" w:type="dxa"/>
            <w:tcBorders>
              <w:top w:val="single" w:sz="4" w:space="0" w:color="000000"/>
              <w:left w:val="single" w:sz="12" w:space="0" w:color="000000"/>
              <w:bottom w:val="single" w:sz="4" w:space="0" w:color="000000"/>
              <w:right w:val="single" w:sz="12" w:space="0" w:color="000000"/>
            </w:tcBorders>
          </w:tcPr>
          <w:p w14:paraId="1E42B31A" w14:textId="3020430F" w:rsidR="00BD6806" w:rsidRDefault="00BD6806" w:rsidP="00FC6809">
            <w:pPr>
              <w:spacing w:after="0" w:line="259" w:lineRule="auto"/>
              <w:ind w:left="0" w:right="44" w:firstLine="0"/>
              <w:jc w:val="center"/>
            </w:pPr>
            <w:r>
              <w:rPr>
                <w:sz w:val="18"/>
              </w:rPr>
              <w:t>660</w:t>
            </w:r>
          </w:p>
        </w:tc>
        <w:tc>
          <w:tcPr>
            <w:tcW w:w="997" w:type="dxa"/>
            <w:tcBorders>
              <w:top w:val="single" w:sz="4" w:space="0" w:color="000000"/>
              <w:left w:val="single" w:sz="12" w:space="0" w:color="000000"/>
              <w:bottom w:val="single" w:sz="4" w:space="0" w:color="000000"/>
              <w:right w:val="single" w:sz="12" w:space="0" w:color="000000"/>
            </w:tcBorders>
          </w:tcPr>
          <w:p w14:paraId="7FDDBE1D" w14:textId="60B9747C" w:rsidR="00BD6806" w:rsidRDefault="00BD6806" w:rsidP="00FC6809">
            <w:pPr>
              <w:spacing w:after="0" w:line="259" w:lineRule="auto"/>
              <w:ind w:left="0" w:right="44" w:firstLine="0"/>
              <w:jc w:val="center"/>
            </w:pPr>
            <w:r>
              <w:rPr>
                <w:rFonts w:eastAsia="Segoe UI Symbol"/>
                <w:sz w:val="18"/>
              </w:rPr>
              <w:t>u</w:t>
            </w:r>
            <w:r>
              <w:rPr>
                <w:sz w:val="18"/>
              </w:rPr>
              <w:t>g/kg</w:t>
            </w:r>
          </w:p>
        </w:tc>
        <w:tc>
          <w:tcPr>
            <w:tcW w:w="1029" w:type="dxa"/>
            <w:tcBorders>
              <w:top w:val="single" w:sz="4" w:space="0" w:color="000000"/>
              <w:left w:val="single" w:sz="12" w:space="0" w:color="000000"/>
              <w:bottom w:val="single" w:sz="4" w:space="0" w:color="000000"/>
              <w:right w:val="single" w:sz="12" w:space="0" w:color="000000"/>
            </w:tcBorders>
          </w:tcPr>
          <w:p w14:paraId="78D35E49" w14:textId="45B69150" w:rsidR="00BD6806" w:rsidRDefault="00BD6806" w:rsidP="00FC6809">
            <w:pPr>
              <w:spacing w:after="0" w:line="259" w:lineRule="auto"/>
              <w:ind w:left="0" w:right="46" w:firstLine="0"/>
              <w:jc w:val="center"/>
            </w:pPr>
            <w:r>
              <w:rPr>
                <w:b/>
                <w:sz w:val="18"/>
              </w:rPr>
              <w:t>8270</w:t>
            </w:r>
          </w:p>
        </w:tc>
        <w:tc>
          <w:tcPr>
            <w:tcW w:w="1592" w:type="dxa"/>
            <w:tcBorders>
              <w:top w:val="single" w:sz="4" w:space="0" w:color="000000"/>
              <w:left w:val="single" w:sz="12" w:space="0" w:color="000000"/>
              <w:bottom w:val="single" w:sz="4" w:space="0" w:color="000000"/>
              <w:right w:val="single" w:sz="12" w:space="0" w:color="000000"/>
            </w:tcBorders>
          </w:tcPr>
          <w:p w14:paraId="5FD50B2E" w14:textId="7FA18A07" w:rsidR="00BD6806" w:rsidRPr="001253E3" w:rsidRDefault="00D67A04" w:rsidP="00FC6809">
            <w:pPr>
              <w:spacing w:after="0" w:line="259" w:lineRule="auto"/>
              <w:ind w:left="0" w:right="49" w:firstLine="0"/>
              <w:jc w:val="center"/>
              <w:rPr>
                <w:sz w:val="18"/>
                <w:szCs w:val="18"/>
              </w:rPr>
            </w:pPr>
            <w:r>
              <w:rPr>
                <w:sz w:val="18"/>
                <w:szCs w:val="18"/>
              </w:rPr>
              <w:t>8310</w:t>
            </w:r>
            <w:r w:rsidR="008C5F8A">
              <w:rPr>
                <w:sz w:val="18"/>
                <w:szCs w:val="18"/>
              </w:rPr>
              <w:t>, 8270 SIM</w:t>
            </w:r>
          </w:p>
        </w:tc>
      </w:tr>
      <w:tr w:rsidR="00BD6806" w14:paraId="3B6B7952" w14:textId="77777777" w:rsidTr="00324798">
        <w:trPr>
          <w:trHeight w:val="250"/>
        </w:trPr>
        <w:tc>
          <w:tcPr>
            <w:tcW w:w="3372" w:type="dxa"/>
            <w:tcBorders>
              <w:top w:val="single" w:sz="4" w:space="0" w:color="000000"/>
              <w:left w:val="single" w:sz="12" w:space="0" w:color="000000"/>
              <w:bottom w:val="single" w:sz="4" w:space="0" w:color="000000"/>
              <w:right w:val="single" w:sz="12" w:space="0" w:color="000000"/>
            </w:tcBorders>
          </w:tcPr>
          <w:p w14:paraId="209825D7" w14:textId="77777777" w:rsidR="00BD6806" w:rsidRDefault="00BD6806" w:rsidP="00BD6806">
            <w:pPr>
              <w:spacing w:after="0" w:line="259" w:lineRule="auto"/>
              <w:ind w:left="0" w:right="0" w:firstLine="0"/>
            </w:pPr>
            <w:r>
              <w:rPr>
                <w:sz w:val="18"/>
              </w:rPr>
              <w:t xml:space="preserve">Benzoic acid </w:t>
            </w:r>
          </w:p>
        </w:tc>
        <w:tc>
          <w:tcPr>
            <w:tcW w:w="1130" w:type="dxa"/>
            <w:tcBorders>
              <w:top w:val="single" w:sz="4" w:space="0" w:color="000000"/>
              <w:left w:val="single" w:sz="12" w:space="0" w:color="000000"/>
              <w:bottom w:val="single" w:sz="4" w:space="0" w:color="000000"/>
              <w:right w:val="single" w:sz="12" w:space="0" w:color="000000"/>
            </w:tcBorders>
          </w:tcPr>
          <w:p w14:paraId="07F05FE2" w14:textId="07F182DB" w:rsidR="00BD6806" w:rsidRDefault="00BD6806" w:rsidP="00FC6809">
            <w:pPr>
              <w:spacing w:after="0" w:line="259" w:lineRule="auto"/>
              <w:ind w:left="0" w:right="44" w:firstLine="0"/>
              <w:jc w:val="center"/>
            </w:pPr>
            <w:r>
              <w:rPr>
                <w:sz w:val="18"/>
              </w:rPr>
              <w:t>65-85-0</w:t>
            </w:r>
          </w:p>
        </w:tc>
        <w:tc>
          <w:tcPr>
            <w:tcW w:w="866" w:type="dxa"/>
            <w:tcBorders>
              <w:top w:val="single" w:sz="4" w:space="0" w:color="000000"/>
              <w:left w:val="single" w:sz="12" w:space="0" w:color="000000"/>
              <w:bottom w:val="single" w:sz="4" w:space="0" w:color="000000"/>
              <w:right w:val="single" w:sz="12" w:space="0" w:color="000000"/>
            </w:tcBorders>
          </w:tcPr>
          <w:p w14:paraId="2B9B0C1D" w14:textId="5735C866" w:rsidR="00BD6806" w:rsidRDefault="00BD6806" w:rsidP="00FC6809">
            <w:pPr>
              <w:spacing w:after="0" w:line="259" w:lineRule="auto"/>
              <w:ind w:left="0" w:right="46" w:firstLine="0"/>
              <w:jc w:val="center"/>
            </w:pPr>
            <w:r>
              <w:rPr>
                <w:sz w:val="18"/>
              </w:rPr>
              <w:t>50</w:t>
            </w:r>
          </w:p>
        </w:tc>
        <w:tc>
          <w:tcPr>
            <w:tcW w:w="816" w:type="dxa"/>
            <w:tcBorders>
              <w:top w:val="single" w:sz="4" w:space="0" w:color="000000"/>
              <w:left w:val="single" w:sz="12" w:space="0" w:color="000000"/>
              <w:bottom w:val="single" w:sz="4" w:space="0" w:color="000000"/>
              <w:right w:val="single" w:sz="12" w:space="0" w:color="000000"/>
            </w:tcBorders>
          </w:tcPr>
          <w:p w14:paraId="762C720C" w14:textId="4555DDC7" w:rsidR="00BD6806" w:rsidRPr="006A6B24" w:rsidRDefault="00BD6806" w:rsidP="00FC6809">
            <w:pPr>
              <w:spacing w:after="0" w:line="259" w:lineRule="auto"/>
              <w:ind w:left="0" w:right="46" w:firstLine="0"/>
              <w:jc w:val="center"/>
            </w:pPr>
            <w:r w:rsidRPr="001253E3">
              <w:rPr>
                <w:rFonts w:eastAsia="Segoe UI Symbol"/>
                <w:sz w:val="18"/>
              </w:rPr>
              <w:t>u</w:t>
            </w:r>
            <w:r w:rsidRPr="006A6B24">
              <w:rPr>
                <w:sz w:val="18"/>
              </w:rPr>
              <w:t>g/L</w:t>
            </w:r>
          </w:p>
        </w:tc>
        <w:tc>
          <w:tcPr>
            <w:tcW w:w="818" w:type="dxa"/>
            <w:tcBorders>
              <w:top w:val="single" w:sz="4" w:space="0" w:color="000000"/>
              <w:left w:val="single" w:sz="12" w:space="0" w:color="000000"/>
              <w:bottom w:val="single" w:sz="4" w:space="0" w:color="000000"/>
              <w:right w:val="single" w:sz="12" w:space="0" w:color="000000"/>
            </w:tcBorders>
          </w:tcPr>
          <w:p w14:paraId="22203B6F" w14:textId="0A29E447" w:rsidR="00BD6806" w:rsidRDefault="00BD6806" w:rsidP="00FC6809">
            <w:pPr>
              <w:spacing w:after="0" w:line="259" w:lineRule="auto"/>
              <w:ind w:left="0" w:right="44" w:firstLine="0"/>
              <w:jc w:val="center"/>
            </w:pPr>
            <w:r>
              <w:rPr>
                <w:sz w:val="18"/>
              </w:rPr>
              <w:t>3300</w:t>
            </w:r>
          </w:p>
        </w:tc>
        <w:tc>
          <w:tcPr>
            <w:tcW w:w="997" w:type="dxa"/>
            <w:tcBorders>
              <w:top w:val="single" w:sz="4" w:space="0" w:color="000000"/>
              <w:left w:val="single" w:sz="12" w:space="0" w:color="000000"/>
              <w:bottom w:val="single" w:sz="4" w:space="0" w:color="000000"/>
              <w:right w:val="single" w:sz="12" w:space="0" w:color="000000"/>
            </w:tcBorders>
          </w:tcPr>
          <w:p w14:paraId="4994DB94" w14:textId="2E26D8B1" w:rsidR="00BD6806" w:rsidRDefault="00BD6806" w:rsidP="00FC6809">
            <w:pPr>
              <w:spacing w:after="0" w:line="259" w:lineRule="auto"/>
              <w:ind w:left="0" w:right="44" w:firstLine="0"/>
              <w:jc w:val="center"/>
            </w:pPr>
            <w:r>
              <w:rPr>
                <w:rFonts w:eastAsia="Segoe UI Symbol"/>
                <w:sz w:val="18"/>
              </w:rPr>
              <w:t>u</w:t>
            </w:r>
            <w:r>
              <w:rPr>
                <w:sz w:val="18"/>
              </w:rPr>
              <w:t>g/kg</w:t>
            </w:r>
          </w:p>
        </w:tc>
        <w:tc>
          <w:tcPr>
            <w:tcW w:w="1029" w:type="dxa"/>
            <w:tcBorders>
              <w:top w:val="single" w:sz="4" w:space="0" w:color="000000"/>
              <w:left w:val="single" w:sz="12" w:space="0" w:color="000000"/>
              <w:bottom w:val="single" w:sz="4" w:space="0" w:color="000000"/>
              <w:right w:val="single" w:sz="12" w:space="0" w:color="000000"/>
            </w:tcBorders>
          </w:tcPr>
          <w:p w14:paraId="6EB896D4" w14:textId="04272820" w:rsidR="00BD6806" w:rsidRDefault="00BD6806" w:rsidP="00FC6809">
            <w:pPr>
              <w:spacing w:after="0" w:line="259" w:lineRule="auto"/>
              <w:ind w:left="0" w:right="46" w:firstLine="0"/>
              <w:jc w:val="center"/>
            </w:pPr>
            <w:r>
              <w:rPr>
                <w:b/>
                <w:sz w:val="18"/>
              </w:rPr>
              <w:t>8270</w:t>
            </w:r>
          </w:p>
        </w:tc>
        <w:tc>
          <w:tcPr>
            <w:tcW w:w="1592" w:type="dxa"/>
            <w:tcBorders>
              <w:top w:val="single" w:sz="4" w:space="0" w:color="000000"/>
              <w:left w:val="single" w:sz="12" w:space="0" w:color="000000"/>
              <w:bottom w:val="single" w:sz="4" w:space="0" w:color="000000"/>
              <w:right w:val="single" w:sz="12" w:space="0" w:color="000000"/>
            </w:tcBorders>
          </w:tcPr>
          <w:p w14:paraId="3A7F2998" w14:textId="0B62BADD" w:rsidR="00BD6806" w:rsidRPr="001253E3" w:rsidRDefault="008C5F8A" w:rsidP="00FC6809">
            <w:pPr>
              <w:spacing w:after="0" w:line="259" w:lineRule="auto"/>
              <w:ind w:left="0" w:right="49" w:firstLine="0"/>
              <w:jc w:val="center"/>
              <w:rPr>
                <w:sz w:val="18"/>
                <w:szCs w:val="18"/>
              </w:rPr>
            </w:pPr>
            <w:r>
              <w:rPr>
                <w:sz w:val="18"/>
                <w:szCs w:val="18"/>
              </w:rPr>
              <w:t>8270 SIM</w:t>
            </w:r>
          </w:p>
        </w:tc>
      </w:tr>
      <w:tr w:rsidR="00BD6806" w14:paraId="63779D3E" w14:textId="77777777" w:rsidTr="00324798">
        <w:trPr>
          <w:trHeight w:val="253"/>
        </w:trPr>
        <w:tc>
          <w:tcPr>
            <w:tcW w:w="3372" w:type="dxa"/>
            <w:tcBorders>
              <w:top w:val="single" w:sz="4" w:space="0" w:color="000000"/>
              <w:left w:val="single" w:sz="12" w:space="0" w:color="000000"/>
              <w:bottom w:val="single" w:sz="4" w:space="0" w:color="000000"/>
              <w:right w:val="single" w:sz="12" w:space="0" w:color="000000"/>
            </w:tcBorders>
          </w:tcPr>
          <w:p w14:paraId="251A151C" w14:textId="77777777" w:rsidR="00BD6806" w:rsidRDefault="00BD6806" w:rsidP="00BD6806">
            <w:pPr>
              <w:spacing w:after="0" w:line="259" w:lineRule="auto"/>
              <w:ind w:left="0" w:right="0" w:firstLine="0"/>
            </w:pPr>
            <w:r>
              <w:rPr>
                <w:sz w:val="18"/>
              </w:rPr>
              <w:t>Benzo[</w:t>
            </w:r>
            <w:proofErr w:type="spellStart"/>
            <w:proofErr w:type="gramStart"/>
            <w:r>
              <w:rPr>
                <w:sz w:val="18"/>
              </w:rPr>
              <w:t>g,h</w:t>
            </w:r>
            <w:proofErr w:type="gramEnd"/>
            <w:r>
              <w:rPr>
                <w:sz w:val="18"/>
              </w:rPr>
              <w:t>,</w:t>
            </w:r>
            <w:proofErr w:type="gramStart"/>
            <w:r>
              <w:rPr>
                <w:sz w:val="18"/>
              </w:rPr>
              <w:t>i</w:t>
            </w:r>
            <w:proofErr w:type="spellEnd"/>
            <w:r>
              <w:rPr>
                <w:sz w:val="18"/>
              </w:rPr>
              <w:t>]perylene</w:t>
            </w:r>
            <w:proofErr w:type="gramEnd"/>
            <w:r>
              <w:rPr>
                <w:b/>
                <w:sz w:val="18"/>
              </w:rPr>
              <w:t xml:space="preserve"> </w:t>
            </w:r>
          </w:p>
        </w:tc>
        <w:tc>
          <w:tcPr>
            <w:tcW w:w="1130" w:type="dxa"/>
            <w:tcBorders>
              <w:top w:val="single" w:sz="4" w:space="0" w:color="000000"/>
              <w:left w:val="single" w:sz="12" w:space="0" w:color="000000"/>
              <w:bottom w:val="single" w:sz="4" w:space="0" w:color="000000"/>
              <w:right w:val="single" w:sz="12" w:space="0" w:color="000000"/>
            </w:tcBorders>
          </w:tcPr>
          <w:p w14:paraId="74A8903C" w14:textId="6D3B0D2B" w:rsidR="00BD6806" w:rsidRDefault="00BD6806" w:rsidP="00FC6809">
            <w:pPr>
              <w:spacing w:after="0" w:line="259" w:lineRule="auto"/>
              <w:ind w:left="0" w:right="44" w:firstLine="0"/>
              <w:jc w:val="center"/>
            </w:pPr>
            <w:r>
              <w:rPr>
                <w:sz w:val="18"/>
              </w:rPr>
              <w:t>191-24-2</w:t>
            </w:r>
          </w:p>
        </w:tc>
        <w:tc>
          <w:tcPr>
            <w:tcW w:w="866" w:type="dxa"/>
            <w:tcBorders>
              <w:top w:val="single" w:sz="4" w:space="0" w:color="000000"/>
              <w:left w:val="single" w:sz="12" w:space="0" w:color="000000"/>
              <w:bottom w:val="single" w:sz="4" w:space="0" w:color="000000"/>
              <w:right w:val="single" w:sz="12" w:space="0" w:color="000000"/>
            </w:tcBorders>
          </w:tcPr>
          <w:p w14:paraId="01B24F6D" w14:textId="0D7517A5" w:rsidR="00BD6806" w:rsidRDefault="00BD6806" w:rsidP="00FC6809">
            <w:pPr>
              <w:spacing w:after="0" w:line="259" w:lineRule="auto"/>
              <w:ind w:left="0" w:right="46" w:firstLine="0"/>
              <w:jc w:val="center"/>
            </w:pPr>
            <w:r>
              <w:rPr>
                <w:sz w:val="18"/>
              </w:rPr>
              <w:t>10</w:t>
            </w:r>
          </w:p>
        </w:tc>
        <w:tc>
          <w:tcPr>
            <w:tcW w:w="816" w:type="dxa"/>
            <w:tcBorders>
              <w:top w:val="single" w:sz="4" w:space="0" w:color="000000"/>
              <w:left w:val="single" w:sz="12" w:space="0" w:color="000000"/>
              <w:bottom w:val="single" w:sz="4" w:space="0" w:color="000000"/>
              <w:right w:val="single" w:sz="12" w:space="0" w:color="000000"/>
            </w:tcBorders>
          </w:tcPr>
          <w:p w14:paraId="309DC55E" w14:textId="6018D381" w:rsidR="00BD6806" w:rsidRPr="006A6B24" w:rsidRDefault="00BD6806" w:rsidP="00FC6809">
            <w:pPr>
              <w:spacing w:after="0" w:line="259" w:lineRule="auto"/>
              <w:ind w:left="0" w:right="46" w:firstLine="0"/>
              <w:jc w:val="center"/>
            </w:pPr>
            <w:r w:rsidRPr="001253E3">
              <w:rPr>
                <w:rFonts w:eastAsia="Segoe UI Symbol"/>
                <w:sz w:val="18"/>
              </w:rPr>
              <w:t>u</w:t>
            </w:r>
            <w:r w:rsidRPr="006A6B24">
              <w:rPr>
                <w:sz w:val="18"/>
              </w:rPr>
              <w:t>g/L</w:t>
            </w:r>
          </w:p>
        </w:tc>
        <w:tc>
          <w:tcPr>
            <w:tcW w:w="818" w:type="dxa"/>
            <w:tcBorders>
              <w:top w:val="single" w:sz="4" w:space="0" w:color="000000"/>
              <w:left w:val="single" w:sz="12" w:space="0" w:color="000000"/>
              <w:bottom w:val="single" w:sz="4" w:space="0" w:color="000000"/>
              <w:right w:val="single" w:sz="12" w:space="0" w:color="000000"/>
            </w:tcBorders>
          </w:tcPr>
          <w:p w14:paraId="2FA9668B" w14:textId="74CB1FB3" w:rsidR="00BD6806" w:rsidRDefault="00BD6806" w:rsidP="00FC6809">
            <w:pPr>
              <w:spacing w:after="0" w:line="259" w:lineRule="auto"/>
              <w:ind w:left="0" w:right="44" w:firstLine="0"/>
              <w:jc w:val="center"/>
            </w:pPr>
            <w:r>
              <w:rPr>
                <w:sz w:val="18"/>
              </w:rPr>
              <w:t>660</w:t>
            </w:r>
          </w:p>
        </w:tc>
        <w:tc>
          <w:tcPr>
            <w:tcW w:w="997" w:type="dxa"/>
            <w:tcBorders>
              <w:top w:val="single" w:sz="4" w:space="0" w:color="000000"/>
              <w:left w:val="single" w:sz="12" w:space="0" w:color="000000"/>
              <w:bottom w:val="single" w:sz="4" w:space="0" w:color="000000"/>
              <w:right w:val="single" w:sz="12" w:space="0" w:color="000000"/>
            </w:tcBorders>
          </w:tcPr>
          <w:p w14:paraId="10CFA03D" w14:textId="42E3FA63" w:rsidR="00BD6806" w:rsidRDefault="00BD6806" w:rsidP="00FC6809">
            <w:pPr>
              <w:spacing w:after="0" w:line="259" w:lineRule="auto"/>
              <w:ind w:left="0" w:right="44" w:firstLine="0"/>
              <w:jc w:val="center"/>
            </w:pPr>
            <w:r>
              <w:rPr>
                <w:rFonts w:eastAsia="Segoe UI Symbol"/>
                <w:sz w:val="18"/>
              </w:rPr>
              <w:t>u</w:t>
            </w:r>
            <w:r>
              <w:rPr>
                <w:sz w:val="18"/>
              </w:rPr>
              <w:t>g/kg</w:t>
            </w:r>
          </w:p>
        </w:tc>
        <w:tc>
          <w:tcPr>
            <w:tcW w:w="1029" w:type="dxa"/>
            <w:tcBorders>
              <w:top w:val="single" w:sz="4" w:space="0" w:color="000000"/>
              <w:left w:val="single" w:sz="12" w:space="0" w:color="000000"/>
              <w:bottom w:val="single" w:sz="4" w:space="0" w:color="000000"/>
              <w:right w:val="single" w:sz="12" w:space="0" w:color="000000"/>
            </w:tcBorders>
          </w:tcPr>
          <w:p w14:paraId="0843116A" w14:textId="2F8C1BB3" w:rsidR="00BD6806" w:rsidRDefault="00BD6806" w:rsidP="00FC6809">
            <w:pPr>
              <w:spacing w:after="0" w:line="259" w:lineRule="auto"/>
              <w:ind w:left="0" w:right="46" w:firstLine="0"/>
              <w:jc w:val="center"/>
            </w:pPr>
            <w:r>
              <w:rPr>
                <w:b/>
                <w:sz w:val="18"/>
              </w:rPr>
              <w:t>8270</w:t>
            </w:r>
          </w:p>
        </w:tc>
        <w:tc>
          <w:tcPr>
            <w:tcW w:w="1592" w:type="dxa"/>
            <w:tcBorders>
              <w:top w:val="single" w:sz="4" w:space="0" w:color="000000"/>
              <w:left w:val="single" w:sz="12" w:space="0" w:color="000000"/>
              <w:bottom w:val="single" w:sz="4" w:space="0" w:color="000000"/>
              <w:right w:val="single" w:sz="12" w:space="0" w:color="000000"/>
            </w:tcBorders>
          </w:tcPr>
          <w:p w14:paraId="0FFFCD67" w14:textId="443009D8" w:rsidR="00BD6806" w:rsidRPr="001253E3" w:rsidRDefault="00D67A04" w:rsidP="00FC6809">
            <w:pPr>
              <w:spacing w:after="0" w:line="259" w:lineRule="auto"/>
              <w:ind w:left="0" w:right="49" w:firstLine="0"/>
              <w:jc w:val="center"/>
              <w:rPr>
                <w:sz w:val="18"/>
                <w:szCs w:val="18"/>
              </w:rPr>
            </w:pPr>
            <w:r>
              <w:rPr>
                <w:sz w:val="18"/>
                <w:szCs w:val="18"/>
              </w:rPr>
              <w:t>8310</w:t>
            </w:r>
            <w:r w:rsidR="008C5F8A">
              <w:rPr>
                <w:sz w:val="18"/>
                <w:szCs w:val="18"/>
              </w:rPr>
              <w:t>, 8270 SIM</w:t>
            </w:r>
          </w:p>
        </w:tc>
      </w:tr>
      <w:tr w:rsidR="00BD6806" w14:paraId="60358C34" w14:textId="77777777" w:rsidTr="00324798">
        <w:trPr>
          <w:trHeight w:val="250"/>
        </w:trPr>
        <w:tc>
          <w:tcPr>
            <w:tcW w:w="3372" w:type="dxa"/>
            <w:tcBorders>
              <w:top w:val="single" w:sz="4" w:space="0" w:color="000000"/>
              <w:left w:val="single" w:sz="12" w:space="0" w:color="000000"/>
              <w:bottom w:val="single" w:sz="4" w:space="0" w:color="000000"/>
              <w:right w:val="single" w:sz="12" w:space="0" w:color="000000"/>
            </w:tcBorders>
          </w:tcPr>
          <w:p w14:paraId="7ED82F88" w14:textId="45844CA4" w:rsidR="00BD6806" w:rsidRDefault="00BD6806" w:rsidP="00BD6806">
            <w:pPr>
              <w:spacing w:after="0" w:line="259" w:lineRule="auto"/>
              <w:ind w:left="0" w:right="0" w:firstLine="0"/>
            </w:pPr>
            <w:r>
              <w:rPr>
                <w:sz w:val="18"/>
              </w:rPr>
              <w:t>Benzo[a]pyrene</w:t>
            </w:r>
            <w:r w:rsidRPr="005A4655">
              <w:rPr>
                <w:strike/>
                <w:sz w:val="18"/>
              </w:rPr>
              <w:t xml:space="preserve"> </w:t>
            </w:r>
          </w:p>
        </w:tc>
        <w:tc>
          <w:tcPr>
            <w:tcW w:w="1130" w:type="dxa"/>
            <w:tcBorders>
              <w:top w:val="single" w:sz="4" w:space="0" w:color="000000"/>
              <w:left w:val="single" w:sz="12" w:space="0" w:color="000000"/>
              <w:bottom w:val="single" w:sz="4" w:space="0" w:color="000000"/>
              <w:right w:val="single" w:sz="12" w:space="0" w:color="000000"/>
            </w:tcBorders>
          </w:tcPr>
          <w:p w14:paraId="46A476B5" w14:textId="2D0F7DAB" w:rsidR="00BD6806" w:rsidRDefault="00BD6806" w:rsidP="00FC6809">
            <w:pPr>
              <w:spacing w:after="0" w:line="259" w:lineRule="auto"/>
              <w:ind w:left="0" w:right="44" w:firstLine="0"/>
              <w:jc w:val="center"/>
            </w:pPr>
            <w:r>
              <w:rPr>
                <w:sz w:val="18"/>
              </w:rPr>
              <w:t>50-32-8</w:t>
            </w:r>
          </w:p>
        </w:tc>
        <w:tc>
          <w:tcPr>
            <w:tcW w:w="866" w:type="dxa"/>
            <w:tcBorders>
              <w:top w:val="single" w:sz="4" w:space="0" w:color="000000"/>
              <w:left w:val="single" w:sz="12" w:space="0" w:color="000000"/>
              <w:bottom w:val="single" w:sz="4" w:space="0" w:color="000000"/>
              <w:right w:val="single" w:sz="12" w:space="0" w:color="000000"/>
            </w:tcBorders>
          </w:tcPr>
          <w:p w14:paraId="2E6AD2CD" w14:textId="4654C237" w:rsidR="00BD6806" w:rsidRDefault="00BD6806" w:rsidP="00FC6809">
            <w:pPr>
              <w:spacing w:after="0" w:line="259" w:lineRule="auto"/>
              <w:ind w:left="0" w:right="46" w:firstLine="0"/>
              <w:jc w:val="center"/>
            </w:pPr>
            <w:r>
              <w:rPr>
                <w:sz w:val="18"/>
              </w:rPr>
              <w:t>10</w:t>
            </w:r>
          </w:p>
        </w:tc>
        <w:tc>
          <w:tcPr>
            <w:tcW w:w="816" w:type="dxa"/>
            <w:tcBorders>
              <w:top w:val="single" w:sz="4" w:space="0" w:color="000000"/>
              <w:left w:val="single" w:sz="12" w:space="0" w:color="000000"/>
              <w:bottom w:val="single" w:sz="4" w:space="0" w:color="000000"/>
              <w:right w:val="single" w:sz="12" w:space="0" w:color="000000"/>
            </w:tcBorders>
          </w:tcPr>
          <w:p w14:paraId="5325BC2B" w14:textId="3CABA18E" w:rsidR="00BD6806" w:rsidRPr="006A6B24" w:rsidRDefault="00BD6806" w:rsidP="00FC6809">
            <w:pPr>
              <w:spacing w:after="0" w:line="259" w:lineRule="auto"/>
              <w:ind w:left="0" w:right="46" w:firstLine="0"/>
              <w:jc w:val="center"/>
            </w:pPr>
            <w:r w:rsidRPr="001253E3">
              <w:rPr>
                <w:rFonts w:eastAsia="Segoe UI Symbol"/>
                <w:sz w:val="18"/>
              </w:rPr>
              <w:t>u</w:t>
            </w:r>
            <w:r w:rsidRPr="006A6B24">
              <w:rPr>
                <w:sz w:val="18"/>
              </w:rPr>
              <w:t>g/L</w:t>
            </w:r>
          </w:p>
        </w:tc>
        <w:tc>
          <w:tcPr>
            <w:tcW w:w="818" w:type="dxa"/>
            <w:tcBorders>
              <w:top w:val="single" w:sz="4" w:space="0" w:color="000000"/>
              <w:left w:val="single" w:sz="12" w:space="0" w:color="000000"/>
              <w:bottom w:val="single" w:sz="4" w:space="0" w:color="000000"/>
              <w:right w:val="single" w:sz="12" w:space="0" w:color="000000"/>
            </w:tcBorders>
          </w:tcPr>
          <w:p w14:paraId="69B09237" w14:textId="7EA2F1CB" w:rsidR="00BD6806" w:rsidRDefault="00BD6806" w:rsidP="00FC6809">
            <w:pPr>
              <w:spacing w:after="0" w:line="259" w:lineRule="auto"/>
              <w:ind w:left="0" w:right="44" w:firstLine="0"/>
              <w:jc w:val="center"/>
            </w:pPr>
            <w:r>
              <w:rPr>
                <w:sz w:val="18"/>
              </w:rPr>
              <w:t>660</w:t>
            </w:r>
          </w:p>
        </w:tc>
        <w:tc>
          <w:tcPr>
            <w:tcW w:w="997" w:type="dxa"/>
            <w:tcBorders>
              <w:top w:val="single" w:sz="4" w:space="0" w:color="000000"/>
              <w:left w:val="single" w:sz="12" w:space="0" w:color="000000"/>
              <w:bottom w:val="single" w:sz="4" w:space="0" w:color="000000"/>
              <w:right w:val="single" w:sz="12" w:space="0" w:color="000000"/>
            </w:tcBorders>
          </w:tcPr>
          <w:p w14:paraId="35E62498" w14:textId="29BF9AD0" w:rsidR="00BD6806" w:rsidRDefault="00BD6806" w:rsidP="00FC6809">
            <w:pPr>
              <w:spacing w:after="0" w:line="259" w:lineRule="auto"/>
              <w:ind w:left="0" w:right="44" w:firstLine="0"/>
              <w:jc w:val="center"/>
            </w:pPr>
            <w:r>
              <w:rPr>
                <w:rFonts w:eastAsia="Segoe UI Symbol"/>
                <w:sz w:val="18"/>
              </w:rPr>
              <w:t>u</w:t>
            </w:r>
            <w:r>
              <w:rPr>
                <w:sz w:val="18"/>
              </w:rPr>
              <w:t>g/kg</w:t>
            </w:r>
          </w:p>
        </w:tc>
        <w:tc>
          <w:tcPr>
            <w:tcW w:w="1029" w:type="dxa"/>
            <w:tcBorders>
              <w:top w:val="single" w:sz="4" w:space="0" w:color="000000"/>
              <w:left w:val="single" w:sz="12" w:space="0" w:color="000000"/>
              <w:bottom w:val="single" w:sz="4" w:space="0" w:color="000000"/>
              <w:right w:val="single" w:sz="12" w:space="0" w:color="000000"/>
            </w:tcBorders>
          </w:tcPr>
          <w:p w14:paraId="5916A22D" w14:textId="4C22EF48" w:rsidR="00BD6806" w:rsidRDefault="00BD6806" w:rsidP="00FC6809">
            <w:pPr>
              <w:spacing w:after="0" w:line="259" w:lineRule="auto"/>
              <w:ind w:left="0" w:right="46" w:firstLine="0"/>
              <w:jc w:val="center"/>
            </w:pPr>
            <w:r>
              <w:rPr>
                <w:b/>
                <w:sz w:val="18"/>
              </w:rPr>
              <w:t>8270</w:t>
            </w:r>
          </w:p>
        </w:tc>
        <w:tc>
          <w:tcPr>
            <w:tcW w:w="1592" w:type="dxa"/>
            <w:tcBorders>
              <w:top w:val="single" w:sz="4" w:space="0" w:color="000000"/>
              <w:left w:val="single" w:sz="12" w:space="0" w:color="000000"/>
              <w:bottom w:val="single" w:sz="4" w:space="0" w:color="000000"/>
              <w:right w:val="single" w:sz="12" w:space="0" w:color="000000"/>
            </w:tcBorders>
          </w:tcPr>
          <w:p w14:paraId="545872B6" w14:textId="460CE8F1" w:rsidR="00BD6806" w:rsidRPr="001253E3" w:rsidRDefault="00D67A04" w:rsidP="00FC6809">
            <w:pPr>
              <w:spacing w:after="0" w:line="259" w:lineRule="auto"/>
              <w:ind w:left="0" w:right="49" w:firstLine="0"/>
              <w:jc w:val="center"/>
              <w:rPr>
                <w:sz w:val="18"/>
                <w:szCs w:val="18"/>
              </w:rPr>
            </w:pPr>
            <w:r>
              <w:rPr>
                <w:sz w:val="18"/>
                <w:szCs w:val="18"/>
              </w:rPr>
              <w:t>8310</w:t>
            </w:r>
            <w:r w:rsidR="008C5F8A">
              <w:rPr>
                <w:sz w:val="18"/>
                <w:szCs w:val="18"/>
              </w:rPr>
              <w:t>, 8270 SIM</w:t>
            </w:r>
          </w:p>
        </w:tc>
      </w:tr>
      <w:tr w:rsidR="00BD6806" w14:paraId="38A972A7" w14:textId="77777777" w:rsidTr="00324798">
        <w:trPr>
          <w:trHeight w:val="250"/>
        </w:trPr>
        <w:tc>
          <w:tcPr>
            <w:tcW w:w="3372" w:type="dxa"/>
            <w:tcBorders>
              <w:top w:val="single" w:sz="4" w:space="0" w:color="000000"/>
              <w:left w:val="single" w:sz="12" w:space="0" w:color="000000"/>
              <w:bottom w:val="single" w:sz="4" w:space="0" w:color="000000"/>
              <w:right w:val="single" w:sz="12" w:space="0" w:color="000000"/>
            </w:tcBorders>
          </w:tcPr>
          <w:p w14:paraId="015089CD" w14:textId="77777777" w:rsidR="00BD6806" w:rsidRDefault="00BD6806" w:rsidP="00BD6806">
            <w:pPr>
              <w:spacing w:after="0" w:line="259" w:lineRule="auto"/>
              <w:ind w:left="0" w:right="0" w:firstLine="0"/>
            </w:pPr>
            <w:r>
              <w:rPr>
                <w:sz w:val="18"/>
              </w:rPr>
              <w:t xml:space="preserve">Benzyl alcohol </w:t>
            </w:r>
          </w:p>
        </w:tc>
        <w:tc>
          <w:tcPr>
            <w:tcW w:w="1130" w:type="dxa"/>
            <w:tcBorders>
              <w:top w:val="single" w:sz="4" w:space="0" w:color="000000"/>
              <w:left w:val="single" w:sz="12" w:space="0" w:color="000000"/>
              <w:bottom w:val="single" w:sz="4" w:space="0" w:color="000000"/>
              <w:right w:val="single" w:sz="12" w:space="0" w:color="000000"/>
            </w:tcBorders>
          </w:tcPr>
          <w:p w14:paraId="09C327F6" w14:textId="734284C7" w:rsidR="00BD6806" w:rsidRDefault="00BD6806" w:rsidP="00FC6809">
            <w:pPr>
              <w:spacing w:after="0" w:line="259" w:lineRule="auto"/>
              <w:ind w:left="0" w:right="44" w:firstLine="0"/>
              <w:jc w:val="center"/>
            </w:pPr>
            <w:r>
              <w:rPr>
                <w:sz w:val="18"/>
              </w:rPr>
              <w:t>100-54-6</w:t>
            </w:r>
          </w:p>
        </w:tc>
        <w:tc>
          <w:tcPr>
            <w:tcW w:w="866" w:type="dxa"/>
            <w:tcBorders>
              <w:top w:val="single" w:sz="4" w:space="0" w:color="000000"/>
              <w:left w:val="single" w:sz="12" w:space="0" w:color="000000"/>
              <w:bottom w:val="single" w:sz="4" w:space="0" w:color="000000"/>
              <w:right w:val="single" w:sz="12" w:space="0" w:color="000000"/>
            </w:tcBorders>
          </w:tcPr>
          <w:p w14:paraId="1EE0BB79" w14:textId="59ECCE83" w:rsidR="00BD6806" w:rsidRDefault="00BD6806" w:rsidP="00FC6809">
            <w:pPr>
              <w:spacing w:after="0" w:line="259" w:lineRule="auto"/>
              <w:ind w:left="0" w:right="46" w:firstLine="0"/>
              <w:jc w:val="center"/>
            </w:pPr>
            <w:r>
              <w:rPr>
                <w:sz w:val="18"/>
              </w:rPr>
              <w:t>20</w:t>
            </w:r>
          </w:p>
        </w:tc>
        <w:tc>
          <w:tcPr>
            <w:tcW w:w="816" w:type="dxa"/>
            <w:tcBorders>
              <w:top w:val="single" w:sz="4" w:space="0" w:color="000000"/>
              <w:left w:val="single" w:sz="12" w:space="0" w:color="000000"/>
              <w:bottom w:val="single" w:sz="4" w:space="0" w:color="000000"/>
              <w:right w:val="single" w:sz="12" w:space="0" w:color="000000"/>
            </w:tcBorders>
          </w:tcPr>
          <w:p w14:paraId="2E84CB4A" w14:textId="6CBB5A1E" w:rsidR="00BD6806" w:rsidRPr="006A6B24" w:rsidRDefault="00BD6806" w:rsidP="00FC6809">
            <w:pPr>
              <w:spacing w:after="0" w:line="259" w:lineRule="auto"/>
              <w:ind w:left="0" w:right="46" w:firstLine="0"/>
              <w:jc w:val="center"/>
            </w:pPr>
            <w:r w:rsidRPr="001253E3">
              <w:rPr>
                <w:rFonts w:eastAsia="Segoe UI Symbol"/>
                <w:sz w:val="18"/>
              </w:rPr>
              <w:t>u</w:t>
            </w:r>
            <w:r w:rsidRPr="006A6B24">
              <w:rPr>
                <w:sz w:val="18"/>
              </w:rPr>
              <w:t>g/L</w:t>
            </w:r>
          </w:p>
        </w:tc>
        <w:tc>
          <w:tcPr>
            <w:tcW w:w="818" w:type="dxa"/>
            <w:tcBorders>
              <w:top w:val="single" w:sz="4" w:space="0" w:color="000000"/>
              <w:left w:val="single" w:sz="12" w:space="0" w:color="000000"/>
              <w:bottom w:val="single" w:sz="4" w:space="0" w:color="000000"/>
              <w:right w:val="single" w:sz="12" w:space="0" w:color="000000"/>
            </w:tcBorders>
          </w:tcPr>
          <w:p w14:paraId="3777AC2A" w14:textId="6A7D2BA1" w:rsidR="00BD6806" w:rsidRDefault="00BD6806" w:rsidP="00FC6809">
            <w:pPr>
              <w:spacing w:after="0" w:line="259" w:lineRule="auto"/>
              <w:ind w:left="0" w:right="44" w:firstLine="0"/>
              <w:jc w:val="center"/>
            </w:pPr>
            <w:r>
              <w:rPr>
                <w:sz w:val="18"/>
              </w:rPr>
              <w:t>1300</w:t>
            </w:r>
          </w:p>
        </w:tc>
        <w:tc>
          <w:tcPr>
            <w:tcW w:w="997" w:type="dxa"/>
            <w:tcBorders>
              <w:top w:val="single" w:sz="4" w:space="0" w:color="000000"/>
              <w:left w:val="single" w:sz="12" w:space="0" w:color="000000"/>
              <w:bottom w:val="single" w:sz="4" w:space="0" w:color="000000"/>
              <w:right w:val="single" w:sz="12" w:space="0" w:color="000000"/>
            </w:tcBorders>
          </w:tcPr>
          <w:p w14:paraId="05149407" w14:textId="5EFFADB5" w:rsidR="00BD6806" w:rsidRDefault="00BD6806" w:rsidP="00FC6809">
            <w:pPr>
              <w:spacing w:after="0" w:line="259" w:lineRule="auto"/>
              <w:ind w:left="0" w:right="44" w:firstLine="0"/>
              <w:jc w:val="center"/>
            </w:pPr>
            <w:r>
              <w:rPr>
                <w:rFonts w:eastAsia="Segoe UI Symbol"/>
                <w:sz w:val="18"/>
              </w:rPr>
              <w:t>u</w:t>
            </w:r>
            <w:r>
              <w:rPr>
                <w:sz w:val="18"/>
              </w:rPr>
              <w:t>g/kg</w:t>
            </w:r>
          </w:p>
        </w:tc>
        <w:tc>
          <w:tcPr>
            <w:tcW w:w="1029" w:type="dxa"/>
            <w:tcBorders>
              <w:top w:val="single" w:sz="4" w:space="0" w:color="000000"/>
              <w:left w:val="single" w:sz="12" w:space="0" w:color="000000"/>
              <w:bottom w:val="single" w:sz="4" w:space="0" w:color="000000"/>
              <w:right w:val="single" w:sz="12" w:space="0" w:color="000000"/>
            </w:tcBorders>
          </w:tcPr>
          <w:p w14:paraId="017F745D" w14:textId="11B7DA04" w:rsidR="00BD6806" w:rsidRDefault="00BD6806" w:rsidP="00FC6809">
            <w:pPr>
              <w:spacing w:after="0" w:line="259" w:lineRule="auto"/>
              <w:ind w:left="0" w:right="46" w:firstLine="0"/>
              <w:jc w:val="center"/>
            </w:pPr>
            <w:r>
              <w:rPr>
                <w:b/>
                <w:sz w:val="18"/>
              </w:rPr>
              <w:t>8270</w:t>
            </w:r>
          </w:p>
        </w:tc>
        <w:tc>
          <w:tcPr>
            <w:tcW w:w="1592" w:type="dxa"/>
            <w:tcBorders>
              <w:top w:val="single" w:sz="4" w:space="0" w:color="000000"/>
              <w:left w:val="single" w:sz="12" w:space="0" w:color="000000"/>
              <w:bottom w:val="single" w:sz="4" w:space="0" w:color="000000"/>
              <w:right w:val="single" w:sz="12" w:space="0" w:color="000000"/>
            </w:tcBorders>
          </w:tcPr>
          <w:p w14:paraId="119FC085" w14:textId="257DE7B0" w:rsidR="00BD6806" w:rsidRPr="001253E3" w:rsidRDefault="008C5F8A" w:rsidP="00FC6809">
            <w:pPr>
              <w:spacing w:after="0" w:line="259" w:lineRule="auto"/>
              <w:ind w:left="0" w:right="49" w:firstLine="0"/>
              <w:jc w:val="center"/>
              <w:rPr>
                <w:sz w:val="18"/>
                <w:szCs w:val="18"/>
              </w:rPr>
            </w:pPr>
            <w:r>
              <w:rPr>
                <w:sz w:val="18"/>
                <w:szCs w:val="18"/>
              </w:rPr>
              <w:t>8270 SIM</w:t>
            </w:r>
          </w:p>
        </w:tc>
      </w:tr>
      <w:tr w:rsidR="00BD6806" w14:paraId="329352C4" w14:textId="77777777" w:rsidTr="00324798">
        <w:trPr>
          <w:trHeight w:val="259"/>
        </w:trPr>
        <w:tc>
          <w:tcPr>
            <w:tcW w:w="3372" w:type="dxa"/>
            <w:tcBorders>
              <w:top w:val="single" w:sz="4" w:space="0" w:color="000000"/>
              <w:left w:val="single" w:sz="12" w:space="0" w:color="000000"/>
              <w:bottom w:val="single" w:sz="4" w:space="0" w:color="000000"/>
              <w:right w:val="single" w:sz="12" w:space="0" w:color="000000"/>
            </w:tcBorders>
          </w:tcPr>
          <w:p w14:paraId="57A048D2" w14:textId="7F7CFF73" w:rsidR="00BD6806" w:rsidRDefault="00BD6806" w:rsidP="00BD6806">
            <w:pPr>
              <w:spacing w:after="0" w:line="259" w:lineRule="auto"/>
              <w:ind w:left="0" w:right="0" w:firstLine="0"/>
            </w:pPr>
            <w:r>
              <w:rPr>
                <w:sz w:val="18"/>
              </w:rPr>
              <w:t>Bis(2-</w:t>
            </w:r>
            <w:proofErr w:type="gramStart"/>
            <w:r>
              <w:rPr>
                <w:sz w:val="18"/>
              </w:rPr>
              <w:t>chloroethoxy)methane</w:t>
            </w:r>
            <w:proofErr w:type="gramEnd"/>
            <w:r>
              <w:rPr>
                <w:sz w:val="18"/>
              </w:rPr>
              <w:t xml:space="preserve"> </w:t>
            </w:r>
          </w:p>
        </w:tc>
        <w:tc>
          <w:tcPr>
            <w:tcW w:w="1130" w:type="dxa"/>
            <w:tcBorders>
              <w:top w:val="single" w:sz="4" w:space="0" w:color="000000"/>
              <w:left w:val="single" w:sz="12" w:space="0" w:color="000000"/>
              <w:bottom w:val="single" w:sz="4" w:space="0" w:color="000000"/>
              <w:right w:val="single" w:sz="12" w:space="0" w:color="000000"/>
            </w:tcBorders>
          </w:tcPr>
          <w:p w14:paraId="3B1681D9" w14:textId="55337616" w:rsidR="00BD6806" w:rsidRDefault="00BD6806" w:rsidP="00FC6809">
            <w:pPr>
              <w:spacing w:after="0" w:line="259" w:lineRule="auto"/>
              <w:ind w:left="0" w:right="44" w:firstLine="0"/>
              <w:jc w:val="center"/>
            </w:pPr>
            <w:r>
              <w:rPr>
                <w:sz w:val="18"/>
              </w:rPr>
              <w:t>111-91-1</w:t>
            </w:r>
          </w:p>
        </w:tc>
        <w:tc>
          <w:tcPr>
            <w:tcW w:w="866" w:type="dxa"/>
            <w:tcBorders>
              <w:top w:val="single" w:sz="4" w:space="0" w:color="000000"/>
              <w:left w:val="single" w:sz="12" w:space="0" w:color="000000"/>
              <w:bottom w:val="single" w:sz="4" w:space="0" w:color="000000"/>
              <w:right w:val="single" w:sz="12" w:space="0" w:color="000000"/>
            </w:tcBorders>
          </w:tcPr>
          <w:p w14:paraId="69802856" w14:textId="32461165" w:rsidR="00BD6806" w:rsidRDefault="00BD6806" w:rsidP="00FC6809">
            <w:pPr>
              <w:spacing w:after="0" w:line="259" w:lineRule="auto"/>
              <w:ind w:left="0" w:right="46" w:firstLine="0"/>
              <w:jc w:val="center"/>
            </w:pPr>
            <w:r>
              <w:rPr>
                <w:sz w:val="18"/>
              </w:rPr>
              <w:t>10</w:t>
            </w:r>
          </w:p>
        </w:tc>
        <w:tc>
          <w:tcPr>
            <w:tcW w:w="816" w:type="dxa"/>
            <w:tcBorders>
              <w:top w:val="single" w:sz="4" w:space="0" w:color="000000"/>
              <w:left w:val="single" w:sz="12" w:space="0" w:color="000000"/>
              <w:bottom w:val="single" w:sz="4" w:space="0" w:color="000000"/>
              <w:right w:val="single" w:sz="12" w:space="0" w:color="000000"/>
            </w:tcBorders>
          </w:tcPr>
          <w:p w14:paraId="74986885" w14:textId="45161CA5" w:rsidR="00BD6806" w:rsidRPr="006A6B24" w:rsidRDefault="00BD6806" w:rsidP="00FC6809">
            <w:pPr>
              <w:spacing w:after="0" w:line="259" w:lineRule="auto"/>
              <w:ind w:left="0" w:right="46" w:firstLine="0"/>
              <w:jc w:val="center"/>
            </w:pPr>
            <w:r w:rsidRPr="001253E3">
              <w:rPr>
                <w:rFonts w:eastAsia="Segoe UI Symbol"/>
                <w:sz w:val="18"/>
              </w:rPr>
              <w:t>u</w:t>
            </w:r>
            <w:r w:rsidRPr="006A6B24">
              <w:rPr>
                <w:sz w:val="18"/>
              </w:rPr>
              <w:t>g/L</w:t>
            </w:r>
          </w:p>
        </w:tc>
        <w:tc>
          <w:tcPr>
            <w:tcW w:w="818" w:type="dxa"/>
            <w:tcBorders>
              <w:top w:val="single" w:sz="4" w:space="0" w:color="000000"/>
              <w:left w:val="single" w:sz="12" w:space="0" w:color="000000"/>
              <w:bottom w:val="single" w:sz="4" w:space="0" w:color="000000"/>
              <w:right w:val="single" w:sz="12" w:space="0" w:color="000000"/>
            </w:tcBorders>
          </w:tcPr>
          <w:p w14:paraId="15EEAB22" w14:textId="7E0D6B75" w:rsidR="00BD6806" w:rsidRDefault="00BD6806" w:rsidP="00FC6809">
            <w:pPr>
              <w:spacing w:after="0" w:line="259" w:lineRule="auto"/>
              <w:ind w:left="0" w:right="44" w:firstLine="0"/>
              <w:jc w:val="center"/>
            </w:pPr>
            <w:r>
              <w:rPr>
                <w:sz w:val="18"/>
              </w:rPr>
              <w:t>660</w:t>
            </w:r>
          </w:p>
        </w:tc>
        <w:tc>
          <w:tcPr>
            <w:tcW w:w="997" w:type="dxa"/>
            <w:tcBorders>
              <w:top w:val="single" w:sz="4" w:space="0" w:color="000000"/>
              <w:left w:val="single" w:sz="12" w:space="0" w:color="000000"/>
              <w:bottom w:val="single" w:sz="4" w:space="0" w:color="000000"/>
              <w:right w:val="single" w:sz="12" w:space="0" w:color="000000"/>
            </w:tcBorders>
          </w:tcPr>
          <w:p w14:paraId="0027F1BA" w14:textId="63E06874" w:rsidR="00BD6806" w:rsidRDefault="00BD6806" w:rsidP="00FC6809">
            <w:pPr>
              <w:spacing w:after="0" w:line="259" w:lineRule="auto"/>
              <w:ind w:left="0" w:right="44" w:firstLine="0"/>
              <w:jc w:val="center"/>
            </w:pPr>
            <w:r>
              <w:rPr>
                <w:rFonts w:eastAsia="Segoe UI Symbol"/>
                <w:sz w:val="18"/>
              </w:rPr>
              <w:t>u</w:t>
            </w:r>
            <w:r>
              <w:rPr>
                <w:sz w:val="18"/>
              </w:rPr>
              <w:t>g/kg</w:t>
            </w:r>
          </w:p>
        </w:tc>
        <w:tc>
          <w:tcPr>
            <w:tcW w:w="1029" w:type="dxa"/>
            <w:tcBorders>
              <w:top w:val="single" w:sz="4" w:space="0" w:color="000000"/>
              <w:left w:val="single" w:sz="12" w:space="0" w:color="000000"/>
              <w:bottom w:val="single" w:sz="4" w:space="0" w:color="000000"/>
              <w:right w:val="single" w:sz="12" w:space="0" w:color="000000"/>
            </w:tcBorders>
          </w:tcPr>
          <w:p w14:paraId="17710CCB" w14:textId="33141B35" w:rsidR="00BD6806" w:rsidRDefault="00BD6806" w:rsidP="00FC6809">
            <w:pPr>
              <w:spacing w:after="0" w:line="259" w:lineRule="auto"/>
              <w:ind w:left="0" w:right="46" w:firstLine="0"/>
              <w:jc w:val="center"/>
            </w:pPr>
            <w:r>
              <w:rPr>
                <w:b/>
                <w:sz w:val="18"/>
              </w:rPr>
              <w:t>8270</w:t>
            </w:r>
          </w:p>
        </w:tc>
        <w:tc>
          <w:tcPr>
            <w:tcW w:w="1592" w:type="dxa"/>
            <w:tcBorders>
              <w:top w:val="single" w:sz="4" w:space="0" w:color="000000"/>
              <w:left w:val="single" w:sz="12" w:space="0" w:color="000000"/>
              <w:bottom w:val="single" w:sz="4" w:space="0" w:color="000000"/>
              <w:right w:val="single" w:sz="12" w:space="0" w:color="000000"/>
            </w:tcBorders>
          </w:tcPr>
          <w:p w14:paraId="67047F44" w14:textId="6296B6E8" w:rsidR="00BD6806" w:rsidRPr="001253E3" w:rsidRDefault="008C5F8A" w:rsidP="00FC6809">
            <w:pPr>
              <w:spacing w:after="0" w:line="259" w:lineRule="auto"/>
              <w:ind w:left="0" w:right="49" w:firstLine="0"/>
              <w:jc w:val="center"/>
              <w:rPr>
                <w:sz w:val="18"/>
                <w:szCs w:val="18"/>
              </w:rPr>
            </w:pPr>
            <w:r>
              <w:rPr>
                <w:sz w:val="18"/>
                <w:szCs w:val="18"/>
              </w:rPr>
              <w:t>8270 SIM</w:t>
            </w:r>
          </w:p>
        </w:tc>
      </w:tr>
      <w:tr w:rsidR="001E7AA3" w14:paraId="30056C39" w14:textId="77777777" w:rsidTr="00324798">
        <w:trPr>
          <w:trHeight w:val="259"/>
        </w:trPr>
        <w:tc>
          <w:tcPr>
            <w:tcW w:w="3372" w:type="dxa"/>
            <w:tcBorders>
              <w:top w:val="single" w:sz="4" w:space="0" w:color="000000"/>
              <w:left w:val="single" w:sz="12" w:space="0" w:color="000000"/>
              <w:bottom w:val="single" w:sz="4" w:space="0" w:color="000000"/>
              <w:right w:val="single" w:sz="12" w:space="0" w:color="000000"/>
            </w:tcBorders>
          </w:tcPr>
          <w:p w14:paraId="3304292A" w14:textId="362C4F41" w:rsidR="001E7AA3" w:rsidRDefault="001E7AA3" w:rsidP="001E7AA3">
            <w:pPr>
              <w:spacing w:after="0" w:line="259" w:lineRule="auto"/>
              <w:ind w:left="0" w:right="0" w:firstLine="0"/>
              <w:rPr>
                <w:sz w:val="18"/>
              </w:rPr>
            </w:pPr>
            <w:r>
              <w:rPr>
                <w:sz w:val="18"/>
              </w:rPr>
              <w:lastRenderedPageBreak/>
              <w:t>Bis(2-</w:t>
            </w:r>
            <w:proofErr w:type="gramStart"/>
            <w:r>
              <w:rPr>
                <w:sz w:val="18"/>
              </w:rPr>
              <w:t>chloroethyl)ether</w:t>
            </w:r>
            <w:proofErr w:type="gramEnd"/>
            <w:r>
              <w:rPr>
                <w:b/>
                <w:sz w:val="18"/>
                <w:vertAlign w:val="superscript"/>
              </w:rPr>
              <w:t xml:space="preserve"> 16</w:t>
            </w:r>
          </w:p>
        </w:tc>
        <w:tc>
          <w:tcPr>
            <w:tcW w:w="1130" w:type="dxa"/>
            <w:tcBorders>
              <w:top w:val="single" w:sz="4" w:space="0" w:color="000000"/>
              <w:left w:val="single" w:sz="12" w:space="0" w:color="000000"/>
              <w:bottom w:val="single" w:sz="4" w:space="0" w:color="000000"/>
              <w:right w:val="single" w:sz="12" w:space="0" w:color="000000"/>
            </w:tcBorders>
          </w:tcPr>
          <w:p w14:paraId="41AC0F91" w14:textId="25649DC4" w:rsidR="001E7AA3" w:rsidRDefault="001E7AA3" w:rsidP="00FC6809">
            <w:pPr>
              <w:spacing w:after="0" w:line="259" w:lineRule="auto"/>
              <w:ind w:left="0" w:right="44" w:firstLine="0"/>
              <w:jc w:val="center"/>
              <w:rPr>
                <w:sz w:val="18"/>
              </w:rPr>
            </w:pPr>
            <w:r>
              <w:rPr>
                <w:sz w:val="18"/>
              </w:rPr>
              <w:t>111-44-4</w:t>
            </w:r>
          </w:p>
        </w:tc>
        <w:tc>
          <w:tcPr>
            <w:tcW w:w="866" w:type="dxa"/>
            <w:tcBorders>
              <w:top w:val="single" w:sz="4" w:space="0" w:color="000000"/>
              <w:left w:val="single" w:sz="12" w:space="0" w:color="000000"/>
              <w:bottom w:val="single" w:sz="4" w:space="0" w:color="000000"/>
              <w:right w:val="single" w:sz="12" w:space="0" w:color="000000"/>
            </w:tcBorders>
          </w:tcPr>
          <w:p w14:paraId="00DE0951" w14:textId="2005360E" w:rsidR="001E7AA3" w:rsidRDefault="001E7AA3" w:rsidP="00FC6809">
            <w:pPr>
              <w:spacing w:after="0" w:line="259" w:lineRule="auto"/>
              <w:ind w:left="0" w:right="46" w:firstLine="0"/>
              <w:jc w:val="center"/>
              <w:rPr>
                <w:sz w:val="18"/>
              </w:rPr>
            </w:pPr>
            <w:r>
              <w:rPr>
                <w:sz w:val="18"/>
              </w:rPr>
              <w:t>10</w:t>
            </w:r>
          </w:p>
        </w:tc>
        <w:tc>
          <w:tcPr>
            <w:tcW w:w="816" w:type="dxa"/>
            <w:tcBorders>
              <w:top w:val="single" w:sz="4" w:space="0" w:color="000000"/>
              <w:left w:val="single" w:sz="12" w:space="0" w:color="000000"/>
              <w:bottom w:val="single" w:sz="4" w:space="0" w:color="000000"/>
              <w:right w:val="single" w:sz="12" w:space="0" w:color="000000"/>
            </w:tcBorders>
          </w:tcPr>
          <w:p w14:paraId="61182185" w14:textId="02F7865D" w:rsidR="001E7AA3" w:rsidRPr="001253E3" w:rsidRDefault="001E7AA3" w:rsidP="00FC6809">
            <w:pPr>
              <w:spacing w:after="0" w:line="259" w:lineRule="auto"/>
              <w:ind w:left="0" w:right="46" w:firstLine="0"/>
              <w:jc w:val="center"/>
              <w:rPr>
                <w:rFonts w:eastAsia="Segoe UI Symbol"/>
                <w:sz w:val="18"/>
              </w:rPr>
            </w:pPr>
            <w:r w:rsidRPr="00425989">
              <w:rPr>
                <w:rFonts w:eastAsia="Segoe UI Symbol"/>
                <w:sz w:val="18"/>
              </w:rPr>
              <w:t>u</w:t>
            </w:r>
            <w:r w:rsidRPr="006A6B24">
              <w:rPr>
                <w:sz w:val="18"/>
              </w:rPr>
              <w:t>g/L</w:t>
            </w:r>
          </w:p>
        </w:tc>
        <w:tc>
          <w:tcPr>
            <w:tcW w:w="818" w:type="dxa"/>
            <w:tcBorders>
              <w:top w:val="single" w:sz="4" w:space="0" w:color="000000"/>
              <w:left w:val="single" w:sz="12" w:space="0" w:color="000000"/>
              <w:bottom w:val="single" w:sz="4" w:space="0" w:color="000000"/>
              <w:right w:val="single" w:sz="12" w:space="0" w:color="000000"/>
            </w:tcBorders>
          </w:tcPr>
          <w:p w14:paraId="75CAD4E3" w14:textId="753EFD5F" w:rsidR="001E7AA3" w:rsidRDefault="001E7AA3" w:rsidP="00FC6809">
            <w:pPr>
              <w:spacing w:after="0" w:line="259" w:lineRule="auto"/>
              <w:ind w:left="0" w:right="44" w:firstLine="0"/>
              <w:jc w:val="center"/>
              <w:rPr>
                <w:sz w:val="18"/>
              </w:rPr>
            </w:pPr>
            <w:r>
              <w:rPr>
                <w:sz w:val="18"/>
              </w:rPr>
              <w:t>660</w:t>
            </w:r>
          </w:p>
        </w:tc>
        <w:tc>
          <w:tcPr>
            <w:tcW w:w="997" w:type="dxa"/>
            <w:tcBorders>
              <w:top w:val="single" w:sz="4" w:space="0" w:color="000000"/>
              <w:left w:val="single" w:sz="12" w:space="0" w:color="000000"/>
              <w:bottom w:val="single" w:sz="4" w:space="0" w:color="000000"/>
              <w:right w:val="single" w:sz="12" w:space="0" w:color="000000"/>
            </w:tcBorders>
          </w:tcPr>
          <w:p w14:paraId="01561183" w14:textId="6517F490" w:rsidR="001E7AA3" w:rsidRDefault="001E7AA3" w:rsidP="00FC6809">
            <w:pPr>
              <w:spacing w:after="0" w:line="259" w:lineRule="auto"/>
              <w:ind w:left="0" w:right="44" w:firstLine="0"/>
              <w:jc w:val="center"/>
              <w:rPr>
                <w:rFonts w:eastAsia="Segoe UI Symbol"/>
                <w:sz w:val="18"/>
              </w:rPr>
            </w:pPr>
            <w:r>
              <w:rPr>
                <w:rFonts w:eastAsia="Segoe UI Symbol"/>
                <w:sz w:val="18"/>
              </w:rPr>
              <w:t>u</w:t>
            </w:r>
            <w:r>
              <w:rPr>
                <w:sz w:val="18"/>
              </w:rPr>
              <w:t>g/kg</w:t>
            </w:r>
          </w:p>
        </w:tc>
        <w:tc>
          <w:tcPr>
            <w:tcW w:w="1029" w:type="dxa"/>
            <w:tcBorders>
              <w:top w:val="single" w:sz="4" w:space="0" w:color="000000"/>
              <w:left w:val="single" w:sz="12" w:space="0" w:color="000000"/>
              <w:bottom w:val="single" w:sz="4" w:space="0" w:color="000000"/>
              <w:right w:val="single" w:sz="12" w:space="0" w:color="000000"/>
            </w:tcBorders>
          </w:tcPr>
          <w:p w14:paraId="5DEA8A9B" w14:textId="0C8B22B8" w:rsidR="001E7AA3" w:rsidRDefault="001E7AA3" w:rsidP="00FC6809">
            <w:pPr>
              <w:spacing w:after="0" w:line="259" w:lineRule="auto"/>
              <w:ind w:left="0" w:right="46" w:firstLine="0"/>
              <w:jc w:val="center"/>
              <w:rPr>
                <w:b/>
                <w:sz w:val="18"/>
              </w:rPr>
            </w:pPr>
            <w:r>
              <w:rPr>
                <w:b/>
                <w:sz w:val="18"/>
              </w:rPr>
              <w:t>8270</w:t>
            </w:r>
          </w:p>
        </w:tc>
        <w:tc>
          <w:tcPr>
            <w:tcW w:w="1592" w:type="dxa"/>
            <w:tcBorders>
              <w:top w:val="single" w:sz="4" w:space="0" w:color="000000"/>
              <w:left w:val="single" w:sz="12" w:space="0" w:color="000000"/>
              <w:bottom w:val="single" w:sz="4" w:space="0" w:color="000000"/>
              <w:right w:val="single" w:sz="12" w:space="0" w:color="000000"/>
            </w:tcBorders>
          </w:tcPr>
          <w:p w14:paraId="09D4491C" w14:textId="2F95DFED" w:rsidR="001E7AA3" w:rsidRDefault="001E7AA3" w:rsidP="00FC6809">
            <w:pPr>
              <w:spacing w:after="0" w:line="259" w:lineRule="auto"/>
              <w:ind w:left="0" w:right="49" w:firstLine="0"/>
              <w:jc w:val="center"/>
              <w:rPr>
                <w:sz w:val="18"/>
                <w:szCs w:val="18"/>
              </w:rPr>
            </w:pPr>
            <w:r w:rsidRPr="008468E1">
              <w:rPr>
                <w:sz w:val="18"/>
                <w:szCs w:val="18"/>
              </w:rPr>
              <w:t>8270 SIM</w:t>
            </w:r>
          </w:p>
        </w:tc>
      </w:tr>
      <w:tr w:rsidR="001E7AA3" w14:paraId="24739CE6" w14:textId="77777777" w:rsidTr="00324798">
        <w:trPr>
          <w:trHeight w:val="259"/>
        </w:trPr>
        <w:tc>
          <w:tcPr>
            <w:tcW w:w="3372" w:type="dxa"/>
            <w:tcBorders>
              <w:top w:val="single" w:sz="4" w:space="0" w:color="000000"/>
              <w:left w:val="single" w:sz="12" w:space="0" w:color="000000"/>
              <w:bottom w:val="single" w:sz="4" w:space="0" w:color="000000"/>
              <w:right w:val="single" w:sz="12" w:space="0" w:color="000000"/>
            </w:tcBorders>
          </w:tcPr>
          <w:p w14:paraId="15AF4CC8" w14:textId="0256D862" w:rsidR="001E7AA3" w:rsidRDefault="001E7AA3" w:rsidP="001E7AA3">
            <w:pPr>
              <w:spacing w:after="0" w:line="259" w:lineRule="auto"/>
              <w:ind w:left="0" w:right="0" w:firstLine="0"/>
              <w:rPr>
                <w:sz w:val="18"/>
              </w:rPr>
            </w:pPr>
            <w:r>
              <w:rPr>
                <w:sz w:val="18"/>
              </w:rPr>
              <w:t>Bis(2-</w:t>
            </w:r>
            <w:proofErr w:type="gramStart"/>
            <w:r>
              <w:rPr>
                <w:sz w:val="18"/>
              </w:rPr>
              <w:t>chloroisopropyl)ether</w:t>
            </w:r>
            <w:proofErr w:type="gramEnd"/>
            <w:r w:rsidRPr="00735618">
              <w:rPr>
                <w:b/>
                <w:sz w:val="18"/>
                <w:vertAlign w:val="superscript"/>
              </w:rPr>
              <w:t xml:space="preserve"> </w:t>
            </w:r>
            <w:r>
              <w:rPr>
                <w:b/>
                <w:sz w:val="18"/>
                <w:vertAlign w:val="superscript"/>
              </w:rPr>
              <w:t>16</w:t>
            </w:r>
          </w:p>
        </w:tc>
        <w:tc>
          <w:tcPr>
            <w:tcW w:w="1130" w:type="dxa"/>
            <w:tcBorders>
              <w:top w:val="single" w:sz="4" w:space="0" w:color="000000"/>
              <w:left w:val="single" w:sz="12" w:space="0" w:color="000000"/>
              <w:bottom w:val="single" w:sz="4" w:space="0" w:color="000000"/>
              <w:right w:val="single" w:sz="12" w:space="0" w:color="000000"/>
            </w:tcBorders>
          </w:tcPr>
          <w:p w14:paraId="012152DA" w14:textId="279EF542" w:rsidR="001E7AA3" w:rsidRDefault="001E7AA3" w:rsidP="00FC6809">
            <w:pPr>
              <w:spacing w:after="0" w:line="259" w:lineRule="auto"/>
              <w:ind w:left="0" w:right="44" w:firstLine="0"/>
              <w:jc w:val="center"/>
              <w:rPr>
                <w:sz w:val="18"/>
              </w:rPr>
            </w:pPr>
            <w:r>
              <w:rPr>
                <w:sz w:val="18"/>
              </w:rPr>
              <w:t>108-60-1</w:t>
            </w:r>
          </w:p>
        </w:tc>
        <w:tc>
          <w:tcPr>
            <w:tcW w:w="866" w:type="dxa"/>
            <w:tcBorders>
              <w:top w:val="single" w:sz="4" w:space="0" w:color="000000"/>
              <w:left w:val="single" w:sz="12" w:space="0" w:color="000000"/>
              <w:bottom w:val="single" w:sz="4" w:space="0" w:color="000000"/>
              <w:right w:val="single" w:sz="12" w:space="0" w:color="000000"/>
            </w:tcBorders>
          </w:tcPr>
          <w:p w14:paraId="76741F87" w14:textId="1833BEE5" w:rsidR="001E7AA3" w:rsidRDefault="001E7AA3" w:rsidP="00FC6809">
            <w:pPr>
              <w:spacing w:after="0" w:line="259" w:lineRule="auto"/>
              <w:ind w:left="0" w:right="46" w:firstLine="0"/>
              <w:jc w:val="center"/>
              <w:rPr>
                <w:sz w:val="18"/>
              </w:rPr>
            </w:pPr>
            <w:r>
              <w:rPr>
                <w:sz w:val="18"/>
              </w:rPr>
              <w:t>10</w:t>
            </w:r>
          </w:p>
        </w:tc>
        <w:tc>
          <w:tcPr>
            <w:tcW w:w="816" w:type="dxa"/>
            <w:tcBorders>
              <w:top w:val="single" w:sz="4" w:space="0" w:color="000000"/>
              <w:left w:val="single" w:sz="12" w:space="0" w:color="000000"/>
              <w:bottom w:val="single" w:sz="4" w:space="0" w:color="000000"/>
              <w:right w:val="single" w:sz="12" w:space="0" w:color="000000"/>
            </w:tcBorders>
          </w:tcPr>
          <w:p w14:paraId="5FEA6FEF" w14:textId="142F0979" w:rsidR="001E7AA3" w:rsidRPr="00425989" w:rsidRDefault="001E7AA3" w:rsidP="00FC6809">
            <w:pPr>
              <w:spacing w:after="0" w:line="259" w:lineRule="auto"/>
              <w:ind w:left="0" w:right="46" w:firstLine="0"/>
              <w:jc w:val="center"/>
              <w:rPr>
                <w:rFonts w:eastAsia="Segoe UI Symbol"/>
                <w:sz w:val="18"/>
              </w:rPr>
            </w:pPr>
            <w:r w:rsidRPr="00425989">
              <w:rPr>
                <w:rFonts w:eastAsia="Segoe UI Symbol"/>
                <w:sz w:val="18"/>
              </w:rPr>
              <w:t>u</w:t>
            </w:r>
            <w:r w:rsidRPr="006A6B24">
              <w:rPr>
                <w:sz w:val="18"/>
              </w:rPr>
              <w:t>g/L</w:t>
            </w:r>
          </w:p>
        </w:tc>
        <w:tc>
          <w:tcPr>
            <w:tcW w:w="818" w:type="dxa"/>
            <w:tcBorders>
              <w:top w:val="single" w:sz="4" w:space="0" w:color="000000"/>
              <w:left w:val="single" w:sz="12" w:space="0" w:color="000000"/>
              <w:bottom w:val="single" w:sz="4" w:space="0" w:color="000000"/>
              <w:right w:val="single" w:sz="12" w:space="0" w:color="000000"/>
            </w:tcBorders>
          </w:tcPr>
          <w:p w14:paraId="3FD50CCD" w14:textId="51D28DE2" w:rsidR="001E7AA3" w:rsidRDefault="001E7AA3" w:rsidP="00FC6809">
            <w:pPr>
              <w:spacing w:after="0" w:line="259" w:lineRule="auto"/>
              <w:ind w:left="0" w:right="44" w:firstLine="0"/>
              <w:jc w:val="center"/>
              <w:rPr>
                <w:sz w:val="18"/>
              </w:rPr>
            </w:pPr>
            <w:r>
              <w:rPr>
                <w:sz w:val="18"/>
              </w:rPr>
              <w:t>660</w:t>
            </w:r>
          </w:p>
        </w:tc>
        <w:tc>
          <w:tcPr>
            <w:tcW w:w="997" w:type="dxa"/>
            <w:tcBorders>
              <w:top w:val="single" w:sz="4" w:space="0" w:color="000000"/>
              <w:left w:val="single" w:sz="12" w:space="0" w:color="000000"/>
              <w:bottom w:val="single" w:sz="4" w:space="0" w:color="000000"/>
              <w:right w:val="single" w:sz="12" w:space="0" w:color="000000"/>
            </w:tcBorders>
          </w:tcPr>
          <w:p w14:paraId="6B58DA4E" w14:textId="52BC9829" w:rsidR="001E7AA3" w:rsidRDefault="001E7AA3" w:rsidP="00FC6809">
            <w:pPr>
              <w:spacing w:after="0" w:line="259" w:lineRule="auto"/>
              <w:ind w:left="0" w:right="44" w:firstLine="0"/>
              <w:jc w:val="center"/>
              <w:rPr>
                <w:rFonts w:eastAsia="Segoe UI Symbol"/>
                <w:sz w:val="18"/>
              </w:rPr>
            </w:pPr>
            <w:r>
              <w:rPr>
                <w:rFonts w:eastAsia="Segoe UI Symbol"/>
                <w:sz w:val="18"/>
              </w:rPr>
              <w:t>u</w:t>
            </w:r>
            <w:r>
              <w:rPr>
                <w:sz w:val="18"/>
              </w:rPr>
              <w:t>g/kg</w:t>
            </w:r>
          </w:p>
        </w:tc>
        <w:tc>
          <w:tcPr>
            <w:tcW w:w="1029" w:type="dxa"/>
            <w:tcBorders>
              <w:top w:val="single" w:sz="4" w:space="0" w:color="000000"/>
              <w:left w:val="single" w:sz="12" w:space="0" w:color="000000"/>
              <w:bottom w:val="single" w:sz="4" w:space="0" w:color="000000"/>
              <w:right w:val="single" w:sz="12" w:space="0" w:color="000000"/>
            </w:tcBorders>
          </w:tcPr>
          <w:p w14:paraId="4ABBC744" w14:textId="2826390F" w:rsidR="001E7AA3" w:rsidRDefault="001E7AA3" w:rsidP="00FC6809">
            <w:pPr>
              <w:spacing w:after="0" w:line="259" w:lineRule="auto"/>
              <w:ind w:left="0" w:right="46" w:firstLine="0"/>
              <w:jc w:val="center"/>
              <w:rPr>
                <w:b/>
                <w:sz w:val="18"/>
              </w:rPr>
            </w:pPr>
            <w:r>
              <w:rPr>
                <w:b/>
                <w:sz w:val="18"/>
              </w:rPr>
              <w:t>8270</w:t>
            </w:r>
          </w:p>
        </w:tc>
        <w:tc>
          <w:tcPr>
            <w:tcW w:w="1592" w:type="dxa"/>
            <w:tcBorders>
              <w:top w:val="single" w:sz="4" w:space="0" w:color="000000"/>
              <w:left w:val="single" w:sz="12" w:space="0" w:color="000000"/>
              <w:bottom w:val="single" w:sz="4" w:space="0" w:color="000000"/>
              <w:right w:val="single" w:sz="12" w:space="0" w:color="000000"/>
            </w:tcBorders>
          </w:tcPr>
          <w:p w14:paraId="20D848F5" w14:textId="5D67B7F5" w:rsidR="001E7AA3" w:rsidRPr="008468E1" w:rsidRDefault="001E7AA3" w:rsidP="00FC6809">
            <w:pPr>
              <w:spacing w:after="0" w:line="259" w:lineRule="auto"/>
              <w:ind w:left="0" w:right="49" w:firstLine="0"/>
              <w:jc w:val="center"/>
              <w:rPr>
                <w:sz w:val="18"/>
                <w:szCs w:val="18"/>
              </w:rPr>
            </w:pPr>
            <w:r w:rsidRPr="008468E1">
              <w:rPr>
                <w:sz w:val="18"/>
                <w:szCs w:val="18"/>
              </w:rPr>
              <w:t>8270 SIM</w:t>
            </w:r>
          </w:p>
        </w:tc>
      </w:tr>
      <w:tr w:rsidR="001E7AA3" w14:paraId="03F78476" w14:textId="77777777" w:rsidTr="00324798">
        <w:trPr>
          <w:trHeight w:val="259"/>
        </w:trPr>
        <w:tc>
          <w:tcPr>
            <w:tcW w:w="3372" w:type="dxa"/>
            <w:tcBorders>
              <w:top w:val="single" w:sz="4" w:space="0" w:color="000000"/>
              <w:left w:val="single" w:sz="12" w:space="0" w:color="000000"/>
              <w:bottom w:val="single" w:sz="4" w:space="0" w:color="000000"/>
              <w:right w:val="single" w:sz="12" w:space="0" w:color="000000"/>
            </w:tcBorders>
          </w:tcPr>
          <w:p w14:paraId="3830B94B" w14:textId="49A160FC" w:rsidR="001E7AA3" w:rsidRDefault="001E7AA3" w:rsidP="001E7AA3">
            <w:pPr>
              <w:spacing w:after="0" w:line="259" w:lineRule="auto"/>
              <w:ind w:left="0" w:right="0" w:firstLine="0"/>
              <w:rPr>
                <w:sz w:val="18"/>
              </w:rPr>
            </w:pPr>
            <w:r>
              <w:rPr>
                <w:sz w:val="18"/>
              </w:rPr>
              <w:t>Bis(2-</w:t>
            </w:r>
            <w:proofErr w:type="gramStart"/>
            <w:r>
              <w:rPr>
                <w:sz w:val="18"/>
              </w:rPr>
              <w:t>ethylhexyl)phthalate</w:t>
            </w:r>
            <w:proofErr w:type="gramEnd"/>
            <w:r>
              <w:rPr>
                <w:b/>
                <w:sz w:val="18"/>
                <w:vertAlign w:val="superscript"/>
              </w:rPr>
              <w:t xml:space="preserve"> </w:t>
            </w:r>
            <w:r w:rsidRPr="005A4655">
              <w:rPr>
                <w:b/>
                <w:sz w:val="18"/>
                <w:vertAlign w:val="superscript"/>
              </w:rPr>
              <w:t>17</w:t>
            </w:r>
          </w:p>
        </w:tc>
        <w:tc>
          <w:tcPr>
            <w:tcW w:w="1130" w:type="dxa"/>
            <w:tcBorders>
              <w:top w:val="single" w:sz="4" w:space="0" w:color="000000"/>
              <w:left w:val="single" w:sz="12" w:space="0" w:color="000000"/>
              <w:bottom w:val="single" w:sz="4" w:space="0" w:color="000000"/>
              <w:right w:val="single" w:sz="12" w:space="0" w:color="000000"/>
            </w:tcBorders>
          </w:tcPr>
          <w:p w14:paraId="40413648" w14:textId="159A05C6" w:rsidR="001E7AA3" w:rsidRDefault="001E7AA3" w:rsidP="00FC6809">
            <w:pPr>
              <w:spacing w:after="0" w:line="259" w:lineRule="auto"/>
              <w:ind w:left="0" w:right="44" w:firstLine="0"/>
              <w:jc w:val="center"/>
              <w:rPr>
                <w:sz w:val="18"/>
              </w:rPr>
            </w:pPr>
            <w:r>
              <w:rPr>
                <w:sz w:val="18"/>
              </w:rPr>
              <w:t>117-81-7</w:t>
            </w:r>
          </w:p>
        </w:tc>
        <w:tc>
          <w:tcPr>
            <w:tcW w:w="866" w:type="dxa"/>
            <w:tcBorders>
              <w:top w:val="single" w:sz="4" w:space="0" w:color="000000"/>
              <w:left w:val="single" w:sz="12" w:space="0" w:color="000000"/>
              <w:bottom w:val="single" w:sz="4" w:space="0" w:color="000000"/>
              <w:right w:val="single" w:sz="12" w:space="0" w:color="000000"/>
            </w:tcBorders>
          </w:tcPr>
          <w:p w14:paraId="20CC3F4D" w14:textId="50DC3B45" w:rsidR="001E7AA3" w:rsidRDefault="001E7AA3" w:rsidP="00FC6809">
            <w:pPr>
              <w:spacing w:after="0" w:line="259" w:lineRule="auto"/>
              <w:ind w:left="0" w:right="46" w:firstLine="0"/>
              <w:jc w:val="center"/>
              <w:rPr>
                <w:sz w:val="18"/>
              </w:rPr>
            </w:pPr>
            <w:r>
              <w:rPr>
                <w:sz w:val="18"/>
              </w:rPr>
              <w:t>10</w:t>
            </w:r>
          </w:p>
        </w:tc>
        <w:tc>
          <w:tcPr>
            <w:tcW w:w="816" w:type="dxa"/>
            <w:tcBorders>
              <w:top w:val="single" w:sz="4" w:space="0" w:color="000000"/>
              <w:left w:val="single" w:sz="12" w:space="0" w:color="000000"/>
              <w:bottom w:val="single" w:sz="4" w:space="0" w:color="000000"/>
              <w:right w:val="single" w:sz="12" w:space="0" w:color="000000"/>
            </w:tcBorders>
          </w:tcPr>
          <w:p w14:paraId="56A529F7" w14:textId="2BDAA4B4" w:rsidR="001E7AA3" w:rsidRPr="00425989" w:rsidRDefault="001E7AA3" w:rsidP="00FC6809">
            <w:pPr>
              <w:spacing w:after="0" w:line="259" w:lineRule="auto"/>
              <w:ind w:left="0" w:right="46" w:firstLine="0"/>
              <w:jc w:val="center"/>
              <w:rPr>
                <w:rFonts w:eastAsia="Segoe UI Symbol"/>
                <w:sz w:val="18"/>
              </w:rPr>
            </w:pPr>
            <w:r w:rsidRPr="00425989">
              <w:rPr>
                <w:rFonts w:eastAsia="Segoe UI Symbol"/>
                <w:sz w:val="18"/>
              </w:rPr>
              <w:t>u</w:t>
            </w:r>
            <w:r w:rsidRPr="006A6B24">
              <w:rPr>
                <w:sz w:val="18"/>
              </w:rPr>
              <w:t>g/L</w:t>
            </w:r>
          </w:p>
        </w:tc>
        <w:tc>
          <w:tcPr>
            <w:tcW w:w="818" w:type="dxa"/>
            <w:tcBorders>
              <w:top w:val="single" w:sz="4" w:space="0" w:color="000000"/>
              <w:left w:val="single" w:sz="12" w:space="0" w:color="000000"/>
              <w:bottom w:val="single" w:sz="4" w:space="0" w:color="000000"/>
              <w:right w:val="single" w:sz="12" w:space="0" w:color="000000"/>
            </w:tcBorders>
          </w:tcPr>
          <w:p w14:paraId="1947BD07" w14:textId="143CDB09" w:rsidR="001E7AA3" w:rsidRDefault="001E7AA3" w:rsidP="00FC6809">
            <w:pPr>
              <w:spacing w:after="0" w:line="259" w:lineRule="auto"/>
              <w:ind w:left="0" w:right="44" w:firstLine="0"/>
              <w:jc w:val="center"/>
              <w:rPr>
                <w:sz w:val="18"/>
              </w:rPr>
            </w:pPr>
            <w:r>
              <w:rPr>
                <w:sz w:val="18"/>
              </w:rPr>
              <w:t>660</w:t>
            </w:r>
          </w:p>
        </w:tc>
        <w:tc>
          <w:tcPr>
            <w:tcW w:w="997" w:type="dxa"/>
            <w:tcBorders>
              <w:top w:val="single" w:sz="4" w:space="0" w:color="000000"/>
              <w:left w:val="single" w:sz="12" w:space="0" w:color="000000"/>
              <w:bottom w:val="single" w:sz="4" w:space="0" w:color="000000"/>
              <w:right w:val="single" w:sz="12" w:space="0" w:color="000000"/>
            </w:tcBorders>
          </w:tcPr>
          <w:p w14:paraId="702B7647" w14:textId="33AAA144" w:rsidR="001E7AA3" w:rsidRDefault="001E7AA3" w:rsidP="00FC6809">
            <w:pPr>
              <w:spacing w:after="0" w:line="259" w:lineRule="auto"/>
              <w:ind w:left="0" w:right="44" w:firstLine="0"/>
              <w:jc w:val="center"/>
              <w:rPr>
                <w:rFonts w:eastAsia="Segoe UI Symbol"/>
                <w:sz w:val="18"/>
              </w:rPr>
            </w:pPr>
            <w:r>
              <w:rPr>
                <w:rFonts w:eastAsia="Segoe UI Symbol"/>
                <w:sz w:val="18"/>
              </w:rPr>
              <w:t>u</w:t>
            </w:r>
            <w:r>
              <w:rPr>
                <w:sz w:val="18"/>
              </w:rPr>
              <w:t>g/kg</w:t>
            </w:r>
          </w:p>
        </w:tc>
        <w:tc>
          <w:tcPr>
            <w:tcW w:w="1029" w:type="dxa"/>
            <w:tcBorders>
              <w:top w:val="single" w:sz="4" w:space="0" w:color="000000"/>
              <w:left w:val="single" w:sz="12" w:space="0" w:color="000000"/>
              <w:bottom w:val="single" w:sz="4" w:space="0" w:color="000000"/>
              <w:right w:val="single" w:sz="12" w:space="0" w:color="000000"/>
            </w:tcBorders>
          </w:tcPr>
          <w:p w14:paraId="4E657F99" w14:textId="7DABA82E" w:rsidR="001E7AA3" w:rsidRDefault="001E7AA3" w:rsidP="00FC6809">
            <w:pPr>
              <w:spacing w:after="0" w:line="259" w:lineRule="auto"/>
              <w:ind w:left="0" w:right="46" w:firstLine="0"/>
              <w:jc w:val="center"/>
              <w:rPr>
                <w:b/>
                <w:sz w:val="18"/>
              </w:rPr>
            </w:pPr>
            <w:r>
              <w:rPr>
                <w:b/>
                <w:sz w:val="18"/>
              </w:rPr>
              <w:t>8270</w:t>
            </w:r>
          </w:p>
        </w:tc>
        <w:tc>
          <w:tcPr>
            <w:tcW w:w="1592" w:type="dxa"/>
            <w:tcBorders>
              <w:top w:val="single" w:sz="4" w:space="0" w:color="000000"/>
              <w:left w:val="single" w:sz="12" w:space="0" w:color="000000"/>
              <w:bottom w:val="single" w:sz="4" w:space="0" w:color="000000"/>
              <w:right w:val="single" w:sz="12" w:space="0" w:color="000000"/>
            </w:tcBorders>
          </w:tcPr>
          <w:p w14:paraId="26DCE986" w14:textId="02C9BF9A" w:rsidR="001E7AA3" w:rsidRPr="008468E1" w:rsidRDefault="001E7AA3" w:rsidP="00FC6809">
            <w:pPr>
              <w:spacing w:after="0" w:line="259" w:lineRule="auto"/>
              <w:ind w:left="0" w:right="49" w:firstLine="0"/>
              <w:jc w:val="center"/>
              <w:rPr>
                <w:sz w:val="18"/>
                <w:szCs w:val="18"/>
              </w:rPr>
            </w:pPr>
            <w:r w:rsidRPr="008468E1">
              <w:rPr>
                <w:sz w:val="18"/>
                <w:szCs w:val="18"/>
              </w:rPr>
              <w:t>8270 SIM</w:t>
            </w:r>
          </w:p>
        </w:tc>
      </w:tr>
      <w:tr w:rsidR="001E7AA3" w14:paraId="3D4D4A61" w14:textId="77777777" w:rsidTr="00324798">
        <w:trPr>
          <w:trHeight w:val="259"/>
        </w:trPr>
        <w:tc>
          <w:tcPr>
            <w:tcW w:w="3372" w:type="dxa"/>
            <w:tcBorders>
              <w:top w:val="single" w:sz="4" w:space="0" w:color="000000"/>
              <w:left w:val="single" w:sz="12" w:space="0" w:color="000000"/>
              <w:bottom w:val="single" w:sz="4" w:space="0" w:color="000000"/>
              <w:right w:val="single" w:sz="12" w:space="0" w:color="000000"/>
            </w:tcBorders>
          </w:tcPr>
          <w:p w14:paraId="020D7211" w14:textId="592B3890" w:rsidR="001E7AA3" w:rsidRDefault="001E7AA3" w:rsidP="001E7AA3">
            <w:pPr>
              <w:spacing w:after="0" w:line="259" w:lineRule="auto"/>
              <w:ind w:left="0" w:right="0" w:firstLine="0"/>
              <w:rPr>
                <w:sz w:val="18"/>
              </w:rPr>
            </w:pPr>
            <w:r>
              <w:rPr>
                <w:sz w:val="18"/>
              </w:rPr>
              <w:t xml:space="preserve">4-Bromophenyl phenyl ether </w:t>
            </w:r>
          </w:p>
        </w:tc>
        <w:tc>
          <w:tcPr>
            <w:tcW w:w="1130" w:type="dxa"/>
            <w:tcBorders>
              <w:top w:val="single" w:sz="4" w:space="0" w:color="000000"/>
              <w:left w:val="single" w:sz="12" w:space="0" w:color="000000"/>
              <w:bottom w:val="single" w:sz="4" w:space="0" w:color="000000"/>
              <w:right w:val="single" w:sz="12" w:space="0" w:color="000000"/>
            </w:tcBorders>
          </w:tcPr>
          <w:p w14:paraId="58DDA1EF" w14:textId="3D5FEA97" w:rsidR="001E7AA3" w:rsidRDefault="001E7AA3" w:rsidP="00FC6809">
            <w:pPr>
              <w:spacing w:after="0" w:line="259" w:lineRule="auto"/>
              <w:ind w:left="0" w:right="44" w:firstLine="0"/>
              <w:jc w:val="center"/>
              <w:rPr>
                <w:sz w:val="18"/>
              </w:rPr>
            </w:pPr>
            <w:r>
              <w:rPr>
                <w:sz w:val="18"/>
              </w:rPr>
              <w:t>101-55-3</w:t>
            </w:r>
          </w:p>
        </w:tc>
        <w:tc>
          <w:tcPr>
            <w:tcW w:w="866" w:type="dxa"/>
            <w:tcBorders>
              <w:top w:val="single" w:sz="4" w:space="0" w:color="000000"/>
              <w:left w:val="single" w:sz="12" w:space="0" w:color="000000"/>
              <w:bottom w:val="single" w:sz="4" w:space="0" w:color="000000"/>
              <w:right w:val="single" w:sz="12" w:space="0" w:color="000000"/>
            </w:tcBorders>
          </w:tcPr>
          <w:p w14:paraId="499A2AAA" w14:textId="23B782B1" w:rsidR="001E7AA3" w:rsidRDefault="001E7AA3" w:rsidP="00FC6809">
            <w:pPr>
              <w:spacing w:after="0" w:line="259" w:lineRule="auto"/>
              <w:ind w:left="0" w:right="46" w:firstLine="0"/>
              <w:jc w:val="center"/>
              <w:rPr>
                <w:sz w:val="18"/>
              </w:rPr>
            </w:pPr>
            <w:r>
              <w:rPr>
                <w:sz w:val="18"/>
              </w:rPr>
              <w:t>10</w:t>
            </w:r>
          </w:p>
        </w:tc>
        <w:tc>
          <w:tcPr>
            <w:tcW w:w="816" w:type="dxa"/>
            <w:tcBorders>
              <w:top w:val="single" w:sz="4" w:space="0" w:color="000000"/>
              <w:left w:val="single" w:sz="12" w:space="0" w:color="000000"/>
              <w:bottom w:val="single" w:sz="4" w:space="0" w:color="000000"/>
              <w:right w:val="single" w:sz="12" w:space="0" w:color="000000"/>
            </w:tcBorders>
          </w:tcPr>
          <w:p w14:paraId="3A638843" w14:textId="521D7FFD" w:rsidR="001E7AA3" w:rsidRPr="00425989" w:rsidRDefault="001E7AA3" w:rsidP="00FC6809">
            <w:pPr>
              <w:spacing w:after="0" w:line="259" w:lineRule="auto"/>
              <w:ind w:left="0" w:right="46" w:firstLine="0"/>
              <w:jc w:val="center"/>
              <w:rPr>
                <w:rFonts w:eastAsia="Segoe UI Symbol"/>
                <w:sz w:val="18"/>
              </w:rPr>
            </w:pPr>
            <w:r w:rsidRPr="00425989">
              <w:rPr>
                <w:rFonts w:eastAsia="Segoe UI Symbol"/>
                <w:sz w:val="18"/>
              </w:rPr>
              <w:t>u</w:t>
            </w:r>
            <w:r w:rsidRPr="006A6B24">
              <w:rPr>
                <w:sz w:val="18"/>
              </w:rPr>
              <w:t>g/L</w:t>
            </w:r>
          </w:p>
        </w:tc>
        <w:tc>
          <w:tcPr>
            <w:tcW w:w="818" w:type="dxa"/>
            <w:tcBorders>
              <w:top w:val="single" w:sz="4" w:space="0" w:color="000000"/>
              <w:left w:val="single" w:sz="12" w:space="0" w:color="000000"/>
              <w:bottom w:val="single" w:sz="4" w:space="0" w:color="000000"/>
              <w:right w:val="single" w:sz="12" w:space="0" w:color="000000"/>
            </w:tcBorders>
          </w:tcPr>
          <w:p w14:paraId="176F3747" w14:textId="08BCCB4D" w:rsidR="001E7AA3" w:rsidRDefault="001E7AA3" w:rsidP="00FC6809">
            <w:pPr>
              <w:spacing w:after="0" w:line="259" w:lineRule="auto"/>
              <w:ind w:left="0" w:right="44" w:firstLine="0"/>
              <w:jc w:val="center"/>
              <w:rPr>
                <w:sz w:val="18"/>
              </w:rPr>
            </w:pPr>
            <w:r>
              <w:rPr>
                <w:sz w:val="18"/>
              </w:rPr>
              <w:t>660</w:t>
            </w:r>
          </w:p>
        </w:tc>
        <w:tc>
          <w:tcPr>
            <w:tcW w:w="997" w:type="dxa"/>
            <w:tcBorders>
              <w:top w:val="single" w:sz="4" w:space="0" w:color="000000"/>
              <w:left w:val="single" w:sz="12" w:space="0" w:color="000000"/>
              <w:bottom w:val="single" w:sz="4" w:space="0" w:color="000000"/>
              <w:right w:val="single" w:sz="12" w:space="0" w:color="000000"/>
            </w:tcBorders>
          </w:tcPr>
          <w:p w14:paraId="20A85678" w14:textId="4DD0078A" w:rsidR="001E7AA3" w:rsidRDefault="001E7AA3" w:rsidP="00FC6809">
            <w:pPr>
              <w:spacing w:after="0" w:line="259" w:lineRule="auto"/>
              <w:ind w:left="0" w:right="44" w:firstLine="0"/>
              <w:jc w:val="center"/>
              <w:rPr>
                <w:rFonts w:eastAsia="Segoe UI Symbol"/>
                <w:sz w:val="18"/>
              </w:rPr>
            </w:pPr>
            <w:r>
              <w:rPr>
                <w:rFonts w:eastAsia="Segoe UI Symbol"/>
                <w:sz w:val="18"/>
              </w:rPr>
              <w:t>u</w:t>
            </w:r>
            <w:r>
              <w:rPr>
                <w:sz w:val="18"/>
              </w:rPr>
              <w:t>g/kg</w:t>
            </w:r>
          </w:p>
        </w:tc>
        <w:tc>
          <w:tcPr>
            <w:tcW w:w="1029" w:type="dxa"/>
            <w:tcBorders>
              <w:top w:val="single" w:sz="4" w:space="0" w:color="000000"/>
              <w:left w:val="single" w:sz="12" w:space="0" w:color="000000"/>
              <w:bottom w:val="single" w:sz="4" w:space="0" w:color="000000"/>
              <w:right w:val="single" w:sz="12" w:space="0" w:color="000000"/>
            </w:tcBorders>
          </w:tcPr>
          <w:p w14:paraId="7509EB7E" w14:textId="40BE064F" w:rsidR="001E7AA3" w:rsidRDefault="001E7AA3" w:rsidP="00FC6809">
            <w:pPr>
              <w:spacing w:after="0" w:line="259" w:lineRule="auto"/>
              <w:ind w:left="0" w:right="46" w:firstLine="0"/>
              <w:jc w:val="center"/>
              <w:rPr>
                <w:b/>
                <w:sz w:val="18"/>
              </w:rPr>
            </w:pPr>
            <w:r>
              <w:rPr>
                <w:b/>
                <w:sz w:val="18"/>
              </w:rPr>
              <w:t>8270</w:t>
            </w:r>
          </w:p>
        </w:tc>
        <w:tc>
          <w:tcPr>
            <w:tcW w:w="1592" w:type="dxa"/>
            <w:tcBorders>
              <w:top w:val="single" w:sz="4" w:space="0" w:color="000000"/>
              <w:left w:val="single" w:sz="12" w:space="0" w:color="000000"/>
              <w:bottom w:val="single" w:sz="4" w:space="0" w:color="000000"/>
              <w:right w:val="single" w:sz="12" w:space="0" w:color="000000"/>
            </w:tcBorders>
          </w:tcPr>
          <w:p w14:paraId="189C3FEE" w14:textId="4B94360A" w:rsidR="001E7AA3" w:rsidRPr="008468E1" w:rsidRDefault="001E7AA3" w:rsidP="00FC6809">
            <w:pPr>
              <w:spacing w:after="0" w:line="259" w:lineRule="auto"/>
              <w:ind w:left="0" w:right="49" w:firstLine="0"/>
              <w:jc w:val="center"/>
              <w:rPr>
                <w:sz w:val="18"/>
                <w:szCs w:val="18"/>
              </w:rPr>
            </w:pPr>
            <w:r w:rsidRPr="008468E1">
              <w:rPr>
                <w:sz w:val="18"/>
                <w:szCs w:val="18"/>
              </w:rPr>
              <w:t>8270 SIM</w:t>
            </w:r>
          </w:p>
        </w:tc>
      </w:tr>
      <w:tr w:rsidR="005734F3" w14:paraId="69F6FD82" w14:textId="77777777" w:rsidTr="00324798">
        <w:trPr>
          <w:trHeight w:val="259"/>
        </w:trPr>
        <w:tc>
          <w:tcPr>
            <w:tcW w:w="3372" w:type="dxa"/>
            <w:tcBorders>
              <w:top w:val="single" w:sz="4" w:space="0" w:color="000000"/>
              <w:left w:val="single" w:sz="12" w:space="0" w:color="000000"/>
              <w:bottom w:val="single" w:sz="4" w:space="0" w:color="000000"/>
              <w:right w:val="single" w:sz="12" w:space="0" w:color="000000"/>
            </w:tcBorders>
          </w:tcPr>
          <w:p w14:paraId="1ED3104B" w14:textId="5C6BC44C" w:rsidR="005734F3" w:rsidRDefault="005734F3" w:rsidP="005734F3">
            <w:pPr>
              <w:spacing w:after="0" w:line="259" w:lineRule="auto"/>
              <w:ind w:left="0" w:right="0" w:firstLine="0"/>
              <w:rPr>
                <w:sz w:val="18"/>
              </w:rPr>
            </w:pPr>
            <w:r>
              <w:rPr>
                <w:sz w:val="18"/>
              </w:rPr>
              <w:t xml:space="preserve">Butyl benzyl phthalate </w:t>
            </w:r>
            <w:r w:rsidRPr="006670D3">
              <w:rPr>
                <w:b/>
                <w:bCs/>
                <w:sz w:val="18"/>
                <w:vertAlign w:val="superscript"/>
              </w:rPr>
              <w:t>17</w:t>
            </w:r>
          </w:p>
        </w:tc>
        <w:tc>
          <w:tcPr>
            <w:tcW w:w="1130" w:type="dxa"/>
            <w:tcBorders>
              <w:top w:val="single" w:sz="4" w:space="0" w:color="000000"/>
              <w:left w:val="single" w:sz="12" w:space="0" w:color="000000"/>
              <w:bottom w:val="single" w:sz="4" w:space="0" w:color="000000"/>
              <w:right w:val="single" w:sz="12" w:space="0" w:color="000000"/>
            </w:tcBorders>
          </w:tcPr>
          <w:p w14:paraId="2224DF25" w14:textId="5504E1FC" w:rsidR="005734F3" w:rsidRDefault="005734F3" w:rsidP="00FC6809">
            <w:pPr>
              <w:spacing w:after="0" w:line="259" w:lineRule="auto"/>
              <w:ind w:left="0" w:right="44" w:firstLine="0"/>
              <w:jc w:val="center"/>
              <w:rPr>
                <w:sz w:val="18"/>
              </w:rPr>
            </w:pPr>
            <w:r>
              <w:rPr>
                <w:sz w:val="18"/>
              </w:rPr>
              <w:t>85-68-7</w:t>
            </w:r>
          </w:p>
        </w:tc>
        <w:tc>
          <w:tcPr>
            <w:tcW w:w="866" w:type="dxa"/>
            <w:tcBorders>
              <w:top w:val="single" w:sz="4" w:space="0" w:color="000000"/>
              <w:left w:val="single" w:sz="12" w:space="0" w:color="000000"/>
              <w:bottom w:val="single" w:sz="4" w:space="0" w:color="000000"/>
              <w:right w:val="single" w:sz="12" w:space="0" w:color="000000"/>
            </w:tcBorders>
          </w:tcPr>
          <w:p w14:paraId="7B91565F" w14:textId="375E5FDB" w:rsidR="005734F3" w:rsidRDefault="005734F3" w:rsidP="00FC6809">
            <w:pPr>
              <w:spacing w:after="0" w:line="259" w:lineRule="auto"/>
              <w:ind w:left="0" w:right="46" w:firstLine="0"/>
              <w:jc w:val="center"/>
              <w:rPr>
                <w:sz w:val="18"/>
              </w:rPr>
            </w:pPr>
            <w:r>
              <w:rPr>
                <w:sz w:val="18"/>
              </w:rPr>
              <w:t>10</w:t>
            </w:r>
          </w:p>
        </w:tc>
        <w:tc>
          <w:tcPr>
            <w:tcW w:w="816" w:type="dxa"/>
            <w:tcBorders>
              <w:top w:val="single" w:sz="4" w:space="0" w:color="000000"/>
              <w:left w:val="single" w:sz="12" w:space="0" w:color="000000"/>
              <w:bottom w:val="single" w:sz="4" w:space="0" w:color="000000"/>
              <w:right w:val="single" w:sz="12" w:space="0" w:color="000000"/>
            </w:tcBorders>
          </w:tcPr>
          <w:p w14:paraId="11AB62BD" w14:textId="3A903032" w:rsidR="005734F3" w:rsidRPr="00425989" w:rsidRDefault="005734F3" w:rsidP="00FC6809">
            <w:pPr>
              <w:spacing w:after="0" w:line="259" w:lineRule="auto"/>
              <w:ind w:left="0" w:right="46" w:firstLine="0"/>
              <w:jc w:val="center"/>
              <w:rPr>
                <w:rFonts w:eastAsia="Segoe UI Symbol"/>
                <w:sz w:val="18"/>
              </w:rPr>
            </w:pPr>
            <w:r w:rsidRPr="00425989">
              <w:rPr>
                <w:rFonts w:eastAsia="Segoe UI Symbol"/>
                <w:sz w:val="18"/>
              </w:rPr>
              <w:t>u</w:t>
            </w:r>
            <w:r w:rsidRPr="006A6B24">
              <w:rPr>
                <w:sz w:val="18"/>
              </w:rPr>
              <w:t>g/L</w:t>
            </w:r>
          </w:p>
        </w:tc>
        <w:tc>
          <w:tcPr>
            <w:tcW w:w="818" w:type="dxa"/>
            <w:tcBorders>
              <w:top w:val="single" w:sz="4" w:space="0" w:color="000000"/>
              <w:left w:val="single" w:sz="12" w:space="0" w:color="000000"/>
              <w:bottom w:val="single" w:sz="4" w:space="0" w:color="000000"/>
              <w:right w:val="single" w:sz="12" w:space="0" w:color="000000"/>
            </w:tcBorders>
          </w:tcPr>
          <w:p w14:paraId="76F7B99C" w14:textId="35FE3656" w:rsidR="005734F3" w:rsidRDefault="005734F3" w:rsidP="00FC6809">
            <w:pPr>
              <w:spacing w:after="0" w:line="259" w:lineRule="auto"/>
              <w:ind w:left="0" w:right="44" w:firstLine="0"/>
              <w:jc w:val="center"/>
              <w:rPr>
                <w:sz w:val="18"/>
              </w:rPr>
            </w:pPr>
            <w:r>
              <w:rPr>
                <w:sz w:val="18"/>
              </w:rPr>
              <w:t>660</w:t>
            </w:r>
          </w:p>
        </w:tc>
        <w:tc>
          <w:tcPr>
            <w:tcW w:w="997" w:type="dxa"/>
            <w:tcBorders>
              <w:top w:val="single" w:sz="4" w:space="0" w:color="000000"/>
              <w:left w:val="single" w:sz="12" w:space="0" w:color="000000"/>
              <w:bottom w:val="single" w:sz="4" w:space="0" w:color="000000"/>
              <w:right w:val="single" w:sz="12" w:space="0" w:color="000000"/>
            </w:tcBorders>
          </w:tcPr>
          <w:p w14:paraId="1898846B" w14:textId="74775875" w:rsidR="005734F3" w:rsidRDefault="005734F3" w:rsidP="00FC6809">
            <w:pPr>
              <w:spacing w:after="0" w:line="259" w:lineRule="auto"/>
              <w:ind w:left="0" w:right="44" w:firstLine="0"/>
              <w:jc w:val="center"/>
              <w:rPr>
                <w:rFonts w:eastAsia="Segoe UI Symbol"/>
                <w:sz w:val="18"/>
              </w:rPr>
            </w:pPr>
            <w:r>
              <w:rPr>
                <w:rFonts w:eastAsia="Segoe UI Symbol"/>
                <w:sz w:val="18"/>
              </w:rPr>
              <w:t>u</w:t>
            </w:r>
            <w:r>
              <w:rPr>
                <w:sz w:val="18"/>
              </w:rPr>
              <w:t>g/kg</w:t>
            </w:r>
          </w:p>
        </w:tc>
        <w:tc>
          <w:tcPr>
            <w:tcW w:w="1029" w:type="dxa"/>
            <w:tcBorders>
              <w:top w:val="single" w:sz="4" w:space="0" w:color="000000"/>
              <w:left w:val="single" w:sz="12" w:space="0" w:color="000000"/>
              <w:bottom w:val="single" w:sz="4" w:space="0" w:color="000000"/>
              <w:right w:val="single" w:sz="12" w:space="0" w:color="000000"/>
            </w:tcBorders>
          </w:tcPr>
          <w:p w14:paraId="2E1CC255" w14:textId="21896AD4" w:rsidR="005734F3" w:rsidRDefault="005734F3" w:rsidP="00FC6809">
            <w:pPr>
              <w:spacing w:after="0" w:line="259" w:lineRule="auto"/>
              <w:ind w:left="0" w:right="46" w:firstLine="0"/>
              <w:jc w:val="center"/>
              <w:rPr>
                <w:b/>
                <w:sz w:val="18"/>
              </w:rPr>
            </w:pPr>
            <w:r>
              <w:rPr>
                <w:b/>
                <w:sz w:val="18"/>
              </w:rPr>
              <w:t>8270</w:t>
            </w:r>
          </w:p>
        </w:tc>
        <w:tc>
          <w:tcPr>
            <w:tcW w:w="1592" w:type="dxa"/>
            <w:tcBorders>
              <w:top w:val="single" w:sz="4" w:space="0" w:color="000000"/>
              <w:left w:val="single" w:sz="12" w:space="0" w:color="000000"/>
              <w:bottom w:val="single" w:sz="4" w:space="0" w:color="000000"/>
              <w:right w:val="single" w:sz="12" w:space="0" w:color="000000"/>
            </w:tcBorders>
          </w:tcPr>
          <w:p w14:paraId="2057F8F8" w14:textId="282F1B60" w:rsidR="005734F3" w:rsidRPr="008468E1" w:rsidRDefault="005734F3" w:rsidP="00FC6809">
            <w:pPr>
              <w:spacing w:after="0" w:line="259" w:lineRule="auto"/>
              <w:ind w:left="0" w:right="49" w:firstLine="0"/>
              <w:jc w:val="center"/>
              <w:rPr>
                <w:sz w:val="18"/>
                <w:szCs w:val="18"/>
              </w:rPr>
            </w:pPr>
            <w:r w:rsidRPr="008468E1">
              <w:rPr>
                <w:sz w:val="18"/>
                <w:szCs w:val="18"/>
              </w:rPr>
              <w:t>8270 SIM</w:t>
            </w:r>
          </w:p>
        </w:tc>
      </w:tr>
      <w:tr w:rsidR="005734F3" w14:paraId="25611663" w14:textId="77777777" w:rsidTr="00324798">
        <w:trPr>
          <w:trHeight w:val="259"/>
        </w:trPr>
        <w:tc>
          <w:tcPr>
            <w:tcW w:w="3372" w:type="dxa"/>
            <w:tcBorders>
              <w:top w:val="single" w:sz="4" w:space="0" w:color="000000"/>
              <w:left w:val="single" w:sz="12" w:space="0" w:color="000000"/>
              <w:bottom w:val="single" w:sz="4" w:space="0" w:color="000000"/>
              <w:right w:val="single" w:sz="12" w:space="0" w:color="000000"/>
            </w:tcBorders>
          </w:tcPr>
          <w:p w14:paraId="49E8C6C0" w14:textId="18A48AF7" w:rsidR="005734F3" w:rsidRDefault="005734F3" w:rsidP="005734F3">
            <w:pPr>
              <w:spacing w:after="0" w:line="259" w:lineRule="auto"/>
              <w:ind w:left="0" w:right="0" w:firstLine="0"/>
              <w:rPr>
                <w:sz w:val="18"/>
              </w:rPr>
            </w:pPr>
            <w:r>
              <w:rPr>
                <w:sz w:val="18"/>
              </w:rPr>
              <w:t xml:space="preserve">Carbazole </w:t>
            </w:r>
          </w:p>
        </w:tc>
        <w:tc>
          <w:tcPr>
            <w:tcW w:w="1130" w:type="dxa"/>
            <w:tcBorders>
              <w:top w:val="single" w:sz="4" w:space="0" w:color="000000"/>
              <w:left w:val="single" w:sz="12" w:space="0" w:color="000000"/>
              <w:bottom w:val="single" w:sz="4" w:space="0" w:color="000000"/>
              <w:right w:val="single" w:sz="12" w:space="0" w:color="000000"/>
            </w:tcBorders>
          </w:tcPr>
          <w:p w14:paraId="021D9131" w14:textId="2FD41744" w:rsidR="005734F3" w:rsidRDefault="005734F3" w:rsidP="00FC6809">
            <w:pPr>
              <w:spacing w:after="0" w:line="259" w:lineRule="auto"/>
              <w:ind w:left="0" w:right="44" w:firstLine="0"/>
              <w:jc w:val="center"/>
              <w:rPr>
                <w:sz w:val="18"/>
              </w:rPr>
            </w:pPr>
            <w:r>
              <w:rPr>
                <w:sz w:val="18"/>
              </w:rPr>
              <w:t>86-74-8</w:t>
            </w:r>
          </w:p>
        </w:tc>
        <w:tc>
          <w:tcPr>
            <w:tcW w:w="866" w:type="dxa"/>
            <w:tcBorders>
              <w:top w:val="single" w:sz="4" w:space="0" w:color="000000"/>
              <w:left w:val="single" w:sz="12" w:space="0" w:color="000000"/>
              <w:bottom w:val="single" w:sz="4" w:space="0" w:color="000000"/>
              <w:right w:val="single" w:sz="12" w:space="0" w:color="000000"/>
            </w:tcBorders>
          </w:tcPr>
          <w:p w14:paraId="4357A552" w14:textId="768D53C8" w:rsidR="005734F3" w:rsidRDefault="005734F3" w:rsidP="00FC6809">
            <w:pPr>
              <w:spacing w:after="0" w:line="259" w:lineRule="auto"/>
              <w:ind w:left="0" w:right="46" w:firstLine="0"/>
              <w:jc w:val="center"/>
              <w:rPr>
                <w:sz w:val="18"/>
              </w:rPr>
            </w:pPr>
            <w:r>
              <w:rPr>
                <w:sz w:val="18"/>
              </w:rPr>
              <w:t>10</w:t>
            </w:r>
          </w:p>
        </w:tc>
        <w:tc>
          <w:tcPr>
            <w:tcW w:w="816" w:type="dxa"/>
            <w:tcBorders>
              <w:top w:val="single" w:sz="4" w:space="0" w:color="000000"/>
              <w:left w:val="single" w:sz="12" w:space="0" w:color="000000"/>
              <w:bottom w:val="single" w:sz="4" w:space="0" w:color="000000"/>
              <w:right w:val="single" w:sz="12" w:space="0" w:color="000000"/>
            </w:tcBorders>
          </w:tcPr>
          <w:p w14:paraId="146E0E31" w14:textId="26D415D2" w:rsidR="005734F3" w:rsidRPr="00425989" w:rsidRDefault="005734F3" w:rsidP="00FC6809">
            <w:pPr>
              <w:spacing w:after="0" w:line="259" w:lineRule="auto"/>
              <w:ind w:left="0" w:right="46" w:firstLine="0"/>
              <w:jc w:val="center"/>
              <w:rPr>
                <w:rFonts w:eastAsia="Segoe UI Symbol"/>
                <w:sz w:val="18"/>
              </w:rPr>
            </w:pPr>
            <w:r w:rsidRPr="00425989">
              <w:rPr>
                <w:rFonts w:eastAsia="Segoe UI Symbol"/>
                <w:sz w:val="18"/>
              </w:rPr>
              <w:t>u</w:t>
            </w:r>
            <w:r w:rsidRPr="006A6B24">
              <w:rPr>
                <w:sz w:val="18"/>
              </w:rPr>
              <w:t>g/L</w:t>
            </w:r>
          </w:p>
        </w:tc>
        <w:tc>
          <w:tcPr>
            <w:tcW w:w="818" w:type="dxa"/>
            <w:tcBorders>
              <w:top w:val="single" w:sz="4" w:space="0" w:color="000000"/>
              <w:left w:val="single" w:sz="12" w:space="0" w:color="000000"/>
              <w:bottom w:val="single" w:sz="4" w:space="0" w:color="000000"/>
              <w:right w:val="single" w:sz="12" w:space="0" w:color="000000"/>
            </w:tcBorders>
          </w:tcPr>
          <w:p w14:paraId="5D231849" w14:textId="46326F21" w:rsidR="005734F3" w:rsidRDefault="005734F3" w:rsidP="00FC6809">
            <w:pPr>
              <w:spacing w:after="0" w:line="259" w:lineRule="auto"/>
              <w:ind w:left="0" w:right="44" w:firstLine="0"/>
              <w:jc w:val="center"/>
              <w:rPr>
                <w:sz w:val="18"/>
              </w:rPr>
            </w:pPr>
            <w:r>
              <w:rPr>
                <w:sz w:val="18"/>
              </w:rPr>
              <w:t>660</w:t>
            </w:r>
          </w:p>
        </w:tc>
        <w:tc>
          <w:tcPr>
            <w:tcW w:w="997" w:type="dxa"/>
            <w:tcBorders>
              <w:top w:val="single" w:sz="4" w:space="0" w:color="000000"/>
              <w:left w:val="single" w:sz="12" w:space="0" w:color="000000"/>
              <w:bottom w:val="single" w:sz="4" w:space="0" w:color="000000"/>
              <w:right w:val="single" w:sz="12" w:space="0" w:color="000000"/>
            </w:tcBorders>
          </w:tcPr>
          <w:p w14:paraId="266781FC" w14:textId="17DE299F" w:rsidR="005734F3" w:rsidRDefault="005734F3" w:rsidP="00FC6809">
            <w:pPr>
              <w:spacing w:after="0" w:line="259" w:lineRule="auto"/>
              <w:ind w:left="0" w:right="44" w:firstLine="0"/>
              <w:jc w:val="center"/>
              <w:rPr>
                <w:rFonts w:eastAsia="Segoe UI Symbol"/>
                <w:sz w:val="18"/>
              </w:rPr>
            </w:pPr>
            <w:r>
              <w:rPr>
                <w:rFonts w:eastAsia="Segoe UI Symbol"/>
                <w:sz w:val="18"/>
              </w:rPr>
              <w:t>u</w:t>
            </w:r>
            <w:r>
              <w:rPr>
                <w:sz w:val="18"/>
              </w:rPr>
              <w:t>g/kg</w:t>
            </w:r>
          </w:p>
        </w:tc>
        <w:tc>
          <w:tcPr>
            <w:tcW w:w="1029" w:type="dxa"/>
            <w:tcBorders>
              <w:top w:val="single" w:sz="4" w:space="0" w:color="000000"/>
              <w:left w:val="single" w:sz="12" w:space="0" w:color="000000"/>
              <w:bottom w:val="single" w:sz="4" w:space="0" w:color="000000"/>
              <w:right w:val="single" w:sz="12" w:space="0" w:color="000000"/>
            </w:tcBorders>
          </w:tcPr>
          <w:p w14:paraId="6BF275BD" w14:textId="40EF6A11" w:rsidR="005734F3" w:rsidRDefault="005734F3" w:rsidP="00FC6809">
            <w:pPr>
              <w:spacing w:after="0" w:line="259" w:lineRule="auto"/>
              <w:ind w:left="0" w:right="46" w:firstLine="0"/>
              <w:jc w:val="center"/>
              <w:rPr>
                <w:b/>
                <w:sz w:val="18"/>
              </w:rPr>
            </w:pPr>
            <w:r w:rsidRPr="00E14CF0">
              <w:rPr>
                <w:b/>
                <w:iCs/>
                <w:sz w:val="18"/>
              </w:rPr>
              <w:t>8270</w:t>
            </w:r>
          </w:p>
        </w:tc>
        <w:tc>
          <w:tcPr>
            <w:tcW w:w="1592" w:type="dxa"/>
            <w:tcBorders>
              <w:top w:val="single" w:sz="4" w:space="0" w:color="000000"/>
              <w:left w:val="single" w:sz="12" w:space="0" w:color="000000"/>
              <w:bottom w:val="single" w:sz="4" w:space="0" w:color="000000"/>
              <w:right w:val="single" w:sz="12" w:space="0" w:color="000000"/>
            </w:tcBorders>
          </w:tcPr>
          <w:p w14:paraId="4F9BC1A7" w14:textId="3E9BE810" w:rsidR="005734F3" w:rsidRPr="008468E1" w:rsidRDefault="005734F3" w:rsidP="00FC6809">
            <w:pPr>
              <w:spacing w:after="0" w:line="259" w:lineRule="auto"/>
              <w:ind w:left="0" w:right="49" w:firstLine="0"/>
              <w:jc w:val="center"/>
              <w:rPr>
                <w:sz w:val="18"/>
                <w:szCs w:val="18"/>
              </w:rPr>
            </w:pPr>
            <w:r w:rsidRPr="008468E1">
              <w:rPr>
                <w:sz w:val="18"/>
                <w:szCs w:val="18"/>
              </w:rPr>
              <w:t>8270 SIM</w:t>
            </w:r>
          </w:p>
        </w:tc>
      </w:tr>
      <w:tr w:rsidR="005734F3" w14:paraId="4E88DEA7" w14:textId="77777777" w:rsidTr="00324798">
        <w:trPr>
          <w:trHeight w:val="259"/>
        </w:trPr>
        <w:tc>
          <w:tcPr>
            <w:tcW w:w="3372" w:type="dxa"/>
            <w:tcBorders>
              <w:top w:val="single" w:sz="4" w:space="0" w:color="000000"/>
              <w:left w:val="single" w:sz="12" w:space="0" w:color="000000"/>
              <w:bottom w:val="single" w:sz="4" w:space="0" w:color="000000"/>
              <w:right w:val="single" w:sz="12" w:space="0" w:color="000000"/>
            </w:tcBorders>
          </w:tcPr>
          <w:p w14:paraId="0893DC8F" w14:textId="73D294BE" w:rsidR="005734F3" w:rsidRDefault="005734F3" w:rsidP="005734F3">
            <w:pPr>
              <w:spacing w:after="0" w:line="259" w:lineRule="auto"/>
              <w:ind w:left="0" w:right="0" w:firstLine="0"/>
              <w:rPr>
                <w:sz w:val="18"/>
              </w:rPr>
            </w:pPr>
            <w:r>
              <w:rPr>
                <w:sz w:val="18"/>
              </w:rPr>
              <w:t xml:space="preserve">4-Chloroaniline </w:t>
            </w:r>
          </w:p>
        </w:tc>
        <w:tc>
          <w:tcPr>
            <w:tcW w:w="1130" w:type="dxa"/>
            <w:tcBorders>
              <w:top w:val="single" w:sz="4" w:space="0" w:color="000000"/>
              <w:left w:val="single" w:sz="12" w:space="0" w:color="000000"/>
              <w:bottom w:val="single" w:sz="4" w:space="0" w:color="000000"/>
              <w:right w:val="single" w:sz="12" w:space="0" w:color="000000"/>
            </w:tcBorders>
          </w:tcPr>
          <w:p w14:paraId="2B810A34" w14:textId="3BC4D595" w:rsidR="005734F3" w:rsidRDefault="005734F3" w:rsidP="00FC6809">
            <w:pPr>
              <w:spacing w:after="0" w:line="259" w:lineRule="auto"/>
              <w:ind w:left="0" w:right="44" w:firstLine="0"/>
              <w:jc w:val="center"/>
              <w:rPr>
                <w:sz w:val="18"/>
              </w:rPr>
            </w:pPr>
            <w:r>
              <w:rPr>
                <w:sz w:val="18"/>
              </w:rPr>
              <w:t>106-47-8</w:t>
            </w:r>
          </w:p>
        </w:tc>
        <w:tc>
          <w:tcPr>
            <w:tcW w:w="866" w:type="dxa"/>
            <w:tcBorders>
              <w:top w:val="single" w:sz="4" w:space="0" w:color="000000"/>
              <w:left w:val="single" w:sz="12" w:space="0" w:color="000000"/>
              <w:bottom w:val="single" w:sz="4" w:space="0" w:color="000000"/>
              <w:right w:val="single" w:sz="12" w:space="0" w:color="000000"/>
            </w:tcBorders>
          </w:tcPr>
          <w:p w14:paraId="107145D5" w14:textId="094292F1" w:rsidR="005734F3" w:rsidRDefault="005734F3" w:rsidP="00FC6809">
            <w:pPr>
              <w:spacing w:after="0" w:line="259" w:lineRule="auto"/>
              <w:ind w:left="0" w:right="46" w:firstLine="0"/>
              <w:jc w:val="center"/>
              <w:rPr>
                <w:sz w:val="18"/>
              </w:rPr>
            </w:pPr>
            <w:r>
              <w:rPr>
                <w:sz w:val="18"/>
              </w:rPr>
              <w:t>20</w:t>
            </w:r>
          </w:p>
        </w:tc>
        <w:tc>
          <w:tcPr>
            <w:tcW w:w="816" w:type="dxa"/>
            <w:tcBorders>
              <w:top w:val="single" w:sz="4" w:space="0" w:color="000000"/>
              <w:left w:val="single" w:sz="12" w:space="0" w:color="000000"/>
              <w:bottom w:val="single" w:sz="4" w:space="0" w:color="000000"/>
              <w:right w:val="single" w:sz="12" w:space="0" w:color="000000"/>
            </w:tcBorders>
          </w:tcPr>
          <w:p w14:paraId="6490C728" w14:textId="5A0BEAE9" w:rsidR="005734F3" w:rsidRPr="00425989" w:rsidRDefault="005734F3" w:rsidP="00FC6809">
            <w:pPr>
              <w:spacing w:after="0" w:line="259" w:lineRule="auto"/>
              <w:ind w:left="0" w:right="46" w:firstLine="0"/>
              <w:jc w:val="center"/>
              <w:rPr>
                <w:rFonts w:eastAsia="Segoe UI Symbol"/>
                <w:sz w:val="18"/>
              </w:rPr>
            </w:pPr>
            <w:r w:rsidRPr="00425989">
              <w:rPr>
                <w:rFonts w:eastAsia="Segoe UI Symbol"/>
                <w:sz w:val="18"/>
              </w:rPr>
              <w:t>u</w:t>
            </w:r>
            <w:r w:rsidRPr="006A6B24">
              <w:rPr>
                <w:sz w:val="18"/>
              </w:rPr>
              <w:t>g/L</w:t>
            </w:r>
          </w:p>
        </w:tc>
        <w:tc>
          <w:tcPr>
            <w:tcW w:w="818" w:type="dxa"/>
            <w:tcBorders>
              <w:top w:val="single" w:sz="4" w:space="0" w:color="000000"/>
              <w:left w:val="single" w:sz="12" w:space="0" w:color="000000"/>
              <w:bottom w:val="single" w:sz="4" w:space="0" w:color="000000"/>
              <w:right w:val="single" w:sz="12" w:space="0" w:color="000000"/>
            </w:tcBorders>
          </w:tcPr>
          <w:p w14:paraId="21352E03" w14:textId="163FD1CD" w:rsidR="005734F3" w:rsidRDefault="005734F3" w:rsidP="00FC6809">
            <w:pPr>
              <w:spacing w:after="0" w:line="259" w:lineRule="auto"/>
              <w:ind w:left="0" w:right="44" w:firstLine="0"/>
              <w:jc w:val="center"/>
              <w:rPr>
                <w:sz w:val="18"/>
              </w:rPr>
            </w:pPr>
            <w:r>
              <w:rPr>
                <w:sz w:val="18"/>
              </w:rPr>
              <w:t>1300</w:t>
            </w:r>
          </w:p>
        </w:tc>
        <w:tc>
          <w:tcPr>
            <w:tcW w:w="997" w:type="dxa"/>
            <w:tcBorders>
              <w:top w:val="single" w:sz="4" w:space="0" w:color="000000"/>
              <w:left w:val="single" w:sz="12" w:space="0" w:color="000000"/>
              <w:bottom w:val="single" w:sz="4" w:space="0" w:color="000000"/>
              <w:right w:val="single" w:sz="12" w:space="0" w:color="000000"/>
            </w:tcBorders>
          </w:tcPr>
          <w:p w14:paraId="1032F2D3" w14:textId="4A94E56A" w:rsidR="005734F3" w:rsidRDefault="005734F3" w:rsidP="00FC6809">
            <w:pPr>
              <w:spacing w:after="0" w:line="259" w:lineRule="auto"/>
              <w:ind w:left="0" w:right="44" w:firstLine="0"/>
              <w:jc w:val="center"/>
              <w:rPr>
                <w:rFonts w:eastAsia="Segoe UI Symbol"/>
                <w:sz w:val="18"/>
              </w:rPr>
            </w:pPr>
            <w:r>
              <w:rPr>
                <w:rFonts w:eastAsia="Segoe UI Symbol"/>
                <w:sz w:val="18"/>
              </w:rPr>
              <w:t>u</w:t>
            </w:r>
            <w:r>
              <w:rPr>
                <w:sz w:val="18"/>
              </w:rPr>
              <w:t>g/kg</w:t>
            </w:r>
          </w:p>
        </w:tc>
        <w:tc>
          <w:tcPr>
            <w:tcW w:w="1029" w:type="dxa"/>
            <w:tcBorders>
              <w:top w:val="single" w:sz="4" w:space="0" w:color="000000"/>
              <w:left w:val="single" w:sz="12" w:space="0" w:color="000000"/>
              <w:bottom w:val="single" w:sz="4" w:space="0" w:color="000000"/>
              <w:right w:val="single" w:sz="12" w:space="0" w:color="000000"/>
            </w:tcBorders>
          </w:tcPr>
          <w:p w14:paraId="0D9A31F1" w14:textId="29606131" w:rsidR="005734F3" w:rsidRPr="00E14CF0" w:rsidRDefault="005734F3" w:rsidP="00FC6809">
            <w:pPr>
              <w:spacing w:after="0" w:line="259" w:lineRule="auto"/>
              <w:ind w:left="0" w:right="46" w:firstLine="0"/>
              <w:jc w:val="center"/>
              <w:rPr>
                <w:b/>
                <w:iCs/>
                <w:sz w:val="18"/>
              </w:rPr>
            </w:pPr>
            <w:r>
              <w:rPr>
                <w:b/>
                <w:sz w:val="18"/>
              </w:rPr>
              <w:t>8270</w:t>
            </w:r>
          </w:p>
        </w:tc>
        <w:tc>
          <w:tcPr>
            <w:tcW w:w="1592" w:type="dxa"/>
            <w:tcBorders>
              <w:top w:val="single" w:sz="4" w:space="0" w:color="000000"/>
              <w:left w:val="single" w:sz="12" w:space="0" w:color="000000"/>
              <w:bottom w:val="single" w:sz="4" w:space="0" w:color="000000"/>
              <w:right w:val="single" w:sz="12" w:space="0" w:color="000000"/>
            </w:tcBorders>
          </w:tcPr>
          <w:p w14:paraId="6F7AA13F" w14:textId="128D3CED" w:rsidR="005734F3" w:rsidRPr="008468E1" w:rsidRDefault="005734F3" w:rsidP="00FC6809">
            <w:pPr>
              <w:spacing w:after="0" w:line="259" w:lineRule="auto"/>
              <w:ind w:left="0" w:right="49" w:firstLine="0"/>
              <w:jc w:val="center"/>
              <w:rPr>
                <w:sz w:val="18"/>
                <w:szCs w:val="18"/>
              </w:rPr>
            </w:pPr>
            <w:r w:rsidRPr="008468E1">
              <w:rPr>
                <w:sz w:val="18"/>
                <w:szCs w:val="18"/>
              </w:rPr>
              <w:t>8270 SIM</w:t>
            </w:r>
          </w:p>
        </w:tc>
      </w:tr>
      <w:tr w:rsidR="005734F3" w14:paraId="2A2EADEF" w14:textId="77777777" w:rsidTr="00324798">
        <w:trPr>
          <w:trHeight w:val="259"/>
        </w:trPr>
        <w:tc>
          <w:tcPr>
            <w:tcW w:w="3372" w:type="dxa"/>
            <w:tcBorders>
              <w:top w:val="single" w:sz="4" w:space="0" w:color="000000"/>
              <w:left w:val="single" w:sz="12" w:space="0" w:color="000000"/>
              <w:bottom w:val="single" w:sz="4" w:space="0" w:color="000000"/>
              <w:right w:val="single" w:sz="12" w:space="0" w:color="000000"/>
            </w:tcBorders>
          </w:tcPr>
          <w:p w14:paraId="2F372021" w14:textId="5BD38383" w:rsidR="005734F3" w:rsidRDefault="005734F3" w:rsidP="005734F3">
            <w:pPr>
              <w:spacing w:after="0" w:line="259" w:lineRule="auto"/>
              <w:ind w:left="0" w:right="0" w:firstLine="0"/>
              <w:rPr>
                <w:sz w:val="18"/>
              </w:rPr>
            </w:pPr>
            <w:r>
              <w:rPr>
                <w:sz w:val="18"/>
              </w:rPr>
              <w:t xml:space="preserve">4-Chloro-3-methylphenol </w:t>
            </w:r>
          </w:p>
        </w:tc>
        <w:tc>
          <w:tcPr>
            <w:tcW w:w="1130" w:type="dxa"/>
            <w:tcBorders>
              <w:top w:val="single" w:sz="4" w:space="0" w:color="000000"/>
              <w:left w:val="single" w:sz="12" w:space="0" w:color="000000"/>
              <w:bottom w:val="single" w:sz="4" w:space="0" w:color="000000"/>
              <w:right w:val="single" w:sz="12" w:space="0" w:color="000000"/>
            </w:tcBorders>
          </w:tcPr>
          <w:p w14:paraId="70D86B9A" w14:textId="717D65B8" w:rsidR="005734F3" w:rsidRDefault="005734F3" w:rsidP="00FC6809">
            <w:pPr>
              <w:spacing w:after="0" w:line="259" w:lineRule="auto"/>
              <w:ind w:left="0" w:right="44" w:firstLine="0"/>
              <w:jc w:val="center"/>
              <w:rPr>
                <w:sz w:val="18"/>
              </w:rPr>
            </w:pPr>
            <w:r>
              <w:rPr>
                <w:sz w:val="18"/>
              </w:rPr>
              <w:t>59-50-7</w:t>
            </w:r>
          </w:p>
        </w:tc>
        <w:tc>
          <w:tcPr>
            <w:tcW w:w="866" w:type="dxa"/>
            <w:tcBorders>
              <w:top w:val="single" w:sz="4" w:space="0" w:color="000000"/>
              <w:left w:val="single" w:sz="12" w:space="0" w:color="000000"/>
              <w:bottom w:val="single" w:sz="4" w:space="0" w:color="000000"/>
              <w:right w:val="single" w:sz="12" w:space="0" w:color="000000"/>
            </w:tcBorders>
          </w:tcPr>
          <w:p w14:paraId="39A4D613" w14:textId="72B44AA3" w:rsidR="005734F3" w:rsidRDefault="005734F3" w:rsidP="00FC6809">
            <w:pPr>
              <w:spacing w:after="0" w:line="259" w:lineRule="auto"/>
              <w:ind w:left="0" w:right="46" w:firstLine="0"/>
              <w:jc w:val="center"/>
              <w:rPr>
                <w:sz w:val="18"/>
              </w:rPr>
            </w:pPr>
            <w:r>
              <w:rPr>
                <w:sz w:val="18"/>
              </w:rPr>
              <w:t>20</w:t>
            </w:r>
          </w:p>
        </w:tc>
        <w:tc>
          <w:tcPr>
            <w:tcW w:w="816" w:type="dxa"/>
            <w:tcBorders>
              <w:top w:val="single" w:sz="4" w:space="0" w:color="000000"/>
              <w:left w:val="single" w:sz="12" w:space="0" w:color="000000"/>
              <w:bottom w:val="single" w:sz="4" w:space="0" w:color="000000"/>
              <w:right w:val="single" w:sz="12" w:space="0" w:color="000000"/>
            </w:tcBorders>
          </w:tcPr>
          <w:p w14:paraId="03B57CBC" w14:textId="09A046BB" w:rsidR="005734F3" w:rsidRPr="00425989" w:rsidRDefault="005734F3" w:rsidP="00FC6809">
            <w:pPr>
              <w:spacing w:after="0" w:line="259" w:lineRule="auto"/>
              <w:ind w:left="0" w:right="46" w:firstLine="0"/>
              <w:jc w:val="center"/>
              <w:rPr>
                <w:rFonts w:eastAsia="Segoe UI Symbol"/>
                <w:sz w:val="18"/>
              </w:rPr>
            </w:pPr>
            <w:r w:rsidRPr="00425989">
              <w:rPr>
                <w:rFonts w:eastAsia="Segoe UI Symbol"/>
                <w:sz w:val="18"/>
              </w:rPr>
              <w:t>u</w:t>
            </w:r>
            <w:r w:rsidRPr="006A6B24">
              <w:rPr>
                <w:sz w:val="18"/>
              </w:rPr>
              <w:t>g/L</w:t>
            </w:r>
          </w:p>
        </w:tc>
        <w:tc>
          <w:tcPr>
            <w:tcW w:w="818" w:type="dxa"/>
            <w:tcBorders>
              <w:top w:val="single" w:sz="4" w:space="0" w:color="000000"/>
              <w:left w:val="single" w:sz="12" w:space="0" w:color="000000"/>
              <w:bottom w:val="single" w:sz="4" w:space="0" w:color="000000"/>
              <w:right w:val="single" w:sz="12" w:space="0" w:color="000000"/>
            </w:tcBorders>
          </w:tcPr>
          <w:p w14:paraId="647EE600" w14:textId="64C61C9E" w:rsidR="005734F3" w:rsidRDefault="005734F3" w:rsidP="00FC6809">
            <w:pPr>
              <w:spacing w:after="0" w:line="259" w:lineRule="auto"/>
              <w:ind w:left="0" w:right="44" w:firstLine="0"/>
              <w:jc w:val="center"/>
              <w:rPr>
                <w:sz w:val="18"/>
              </w:rPr>
            </w:pPr>
            <w:r>
              <w:rPr>
                <w:sz w:val="18"/>
              </w:rPr>
              <w:t>1300</w:t>
            </w:r>
          </w:p>
        </w:tc>
        <w:tc>
          <w:tcPr>
            <w:tcW w:w="997" w:type="dxa"/>
            <w:tcBorders>
              <w:top w:val="single" w:sz="4" w:space="0" w:color="000000"/>
              <w:left w:val="single" w:sz="12" w:space="0" w:color="000000"/>
              <w:bottom w:val="single" w:sz="4" w:space="0" w:color="000000"/>
              <w:right w:val="single" w:sz="12" w:space="0" w:color="000000"/>
            </w:tcBorders>
          </w:tcPr>
          <w:p w14:paraId="734A868F" w14:textId="4B9D2B93" w:rsidR="005734F3" w:rsidRDefault="005734F3" w:rsidP="00FC6809">
            <w:pPr>
              <w:spacing w:after="0" w:line="259" w:lineRule="auto"/>
              <w:ind w:left="0" w:right="44" w:firstLine="0"/>
              <w:jc w:val="center"/>
              <w:rPr>
                <w:rFonts w:eastAsia="Segoe UI Symbol"/>
                <w:sz w:val="18"/>
              </w:rPr>
            </w:pPr>
            <w:r>
              <w:rPr>
                <w:rFonts w:eastAsia="Segoe UI Symbol"/>
                <w:sz w:val="18"/>
              </w:rPr>
              <w:t>u</w:t>
            </w:r>
            <w:r>
              <w:rPr>
                <w:sz w:val="18"/>
              </w:rPr>
              <w:t>g/kg</w:t>
            </w:r>
          </w:p>
        </w:tc>
        <w:tc>
          <w:tcPr>
            <w:tcW w:w="1029" w:type="dxa"/>
            <w:tcBorders>
              <w:top w:val="single" w:sz="4" w:space="0" w:color="000000"/>
              <w:left w:val="single" w:sz="12" w:space="0" w:color="000000"/>
              <w:bottom w:val="single" w:sz="4" w:space="0" w:color="000000"/>
              <w:right w:val="single" w:sz="12" w:space="0" w:color="000000"/>
            </w:tcBorders>
          </w:tcPr>
          <w:p w14:paraId="0D18FFC2" w14:textId="1F44CB71" w:rsidR="005734F3" w:rsidRDefault="005734F3" w:rsidP="00FC6809">
            <w:pPr>
              <w:spacing w:after="0" w:line="259" w:lineRule="auto"/>
              <w:ind w:left="0" w:right="46" w:firstLine="0"/>
              <w:jc w:val="center"/>
              <w:rPr>
                <w:b/>
                <w:sz w:val="18"/>
              </w:rPr>
            </w:pPr>
            <w:r>
              <w:rPr>
                <w:b/>
                <w:sz w:val="18"/>
              </w:rPr>
              <w:t>8270</w:t>
            </w:r>
          </w:p>
        </w:tc>
        <w:tc>
          <w:tcPr>
            <w:tcW w:w="1592" w:type="dxa"/>
            <w:tcBorders>
              <w:top w:val="single" w:sz="4" w:space="0" w:color="000000"/>
              <w:left w:val="single" w:sz="12" w:space="0" w:color="000000"/>
              <w:bottom w:val="single" w:sz="4" w:space="0" w:color="000000"/>
              <w:right w:val="single" w:sz="12" w:space="0" w:color="000000"/>
            </w:tcBorders>
          </w:tcPr>
          <w:p w14:paraId="131866DB" w14:textId="20CC1682" w:rsidR="005734F3" w:rsidRPr="008468E1" w:rsidRDefault="005734F3" w:rsidP="00FC6809">
            <w:pPr>
              <w:spacing w:after="0" w:line="259" w:lineRule="auto"/>
              <w:ind w:left="0" w:right="49" w:firstLine="0"/>
              <w:jc w:val="center"/>
              <w:rPr>
                <w:sz w:val="18"/>
                <w:szCs w:val="18"/>
              </w:rPr>
            </w:pPr>
            <w:r w:rsidRPr="008468E1">
              <w:rPr>
                <w:sz w:val="18"/>
                <w:szCs w:val="18"/>
              </w:rPr>
              <w:t>8270 SIM</w:t>
            </w:r>
          </w:p>
        </w:tc>
      </w:tr>
      <w:tr w:rsidR="008A2D17" w14:paraId="4C0C9FBB" w14:textId="77777777" w:rsidTr="00324798">
        <w:trPr>
          <w:trHeight w:val="259"/>
        </w:trPr>
        <w:tc>
          <w:tcPr>
            <w:tcW w:w="3372" w:type="dxa"/>
            <w:tcBorders>
              <w:top w:val="single" w:sz="4" w:space="0" w:color="000000"/>
              <w:left w:val="single" w:sz="12" w:space="0" w:color="000000"/>
              <w:bottom w:val="single" w:sz="4" w:space="0" w:color="000000"/>
              <w:right w:val="single" w:sz="12" w:space="0" w:color="000000"/>
            </w:tcBorders>
          </w:tcPr>
          <w:p w14:paraId="5EB4C099" w14:textId="50D7F286" w:rsidR="008A2D17" w:rsidRDefault="008A2D17" w:rsidP="008A2D17">
            <w:pPr>
              <w:spacing w:after="0" w:line="259" w:lineRule="auto"/>
              <w:ind w:left="0" w:right="0" w:firstLine="0"/>
              <w:rPr>
                <w:sz w:val="18"/>
              </w:rPr>
            </w:pPr>
            <w:r>
              <w:rPr>
                <w:sz w:val="18"/>
              </w:rPr>
              <w:t xml:space="preserve">2-Chloronaphthalene </w:t>
            </w:r>
          </w:p>
        </w:tc>
        <w:tc>
          <w:tcPr>
            <w:tcW w:w="1130" w:type="dxa"/>
            <w:tcBorders>
              <w:top w:val="single" w:sz="4" w:space="0" w:color="000000"/>
              <w:left w:val="single" w:sz="12" w:space="0" w:color="000000"/>
              <w:bottom w:val="single" w:sz="4" w:space="0" w:color="000000"/>
              <w:right w:val="single" w:sz="12" w:space="0" w:color="000000"/>
            </w:tcBorders>
          </w:tcPr>
          <w:p w14:paraId="574D9881" w14:textId="2D3D7310" w:rsidR="008A2D17" w:rsidRDefault="008A2D17" w:rsidP="00FC6809">
            <w:pPr>
              <w:spacing w:after="0" w:line="259" w:lineRule="auto"/>
              <w:ind w:left="0" w:right="44" w:firstLine="0"/>
              <w:jc w:val="center"/>
              <w:rPr>
                <w:sz w:val="18"/>
              </w:rPr>
            </w:pPr>
            <w:r>
              <w:rPr>
                <w:sz w:val="18"/>
              </w:rPr>
              <w:t>91-58-7</w:t>
            </w:r>
          </w:p>
        </w:tc>
        <w:tc>
          <w:tcPr>
            <w:tcW w:w="866" w:type="dxa"/>
            <w:tcBorders>
              <w:top w:val="single" w:sz="4" w:space="0" w:color="000000"/>
              <w:left w:val="single" w:sz="12" w:space="0" w:color="000000"/>
              <w:bottom w:val="single" w:sz="4" w:space="0" w:color="000000"/>
              <w:right w:val="single" w:sz="12" w:space="0" w:color="000000"/>
            </w:tcBorders>
          </w:tcPr>
          <w:p w14:paraId="56E06E6B" w14:textId="2973EB74" w:rsidR="008A2D17" w:rsidRDefault="008A2D17" w:rsidP="00FC6809">
            <w:pPr>
              <w:spacing w:after="0" w:line="259" w:lineRule="auto"/>
              <w:ind w:left="0" w:right="46" w:firstLine="0"/>
              <w:jc w:val="center"/>
              <w:rPr>
                <w:sz w:val="18"/>
              </w:rPr>
            </w:pPr>
            <w:r>
              <w:rPr>
                <w:sz w:val="18"/>
              </w:rPr>
              <w:t>10</w:t>
            </w:r>
          </w:p>
        </w:tc>
        <w:tc>
          <w:tcPr>
            <w:tcW w:w="816" w:type="dxa"/>
            <w:tcBorders>
              <w:top w:val="single" w:sz="4" w:space="0" w:color="000000"/>
              <w:left w:val="single" w:sz="12" w:space="0" w:color="000000"/>
              <w:bottom w:val="single" w:sz="4" w:space="0" w:color="000000"/>
              <w:right w:val="single" w:sz="12" w:space="0" w:color="000000"/>
            </w:tcBorders>
          </w:tcPr>
          <w:p w14:paraId="7AF8EBBD" w14:textId="5F1C9549" w:rsidR="008A2D17" w:rsidRPr="00425989" w:rsidRDefault="008A2D17" w:rsidP="00FC6809">
            <w:pPr>
              <w:spacing w:after="0" w:line="259" w:lineRule="auto"/>
              <w:ind w:left="0" w:right="46" w:firstLine="0"/>
              <w:jc w:val="center"/>
              <w:rPr>
                <w:rFonts w:eastAsia="Segoe UI Symbol"/>
                <w:sz w:val="18"/>
              </w:rPr>
            </w:pPr>
            <w:r w:rsidRPr="00425989">
              <w:rPr>
                <w:rFonts w:eastAsia="Segoe UI Symbol"/>
                <w:sz w:val="18"/>
              </w:rPr>
              <w:t>u</w:t>
            </w:r>
            <w:r w:rsidRPr="006A6B24">
              <w:rPr>
                <w:sz w:val="18"/>
              </w:rPr>
              <w:t>g/L</w:t>
            </w:r>
          </w:p>
        </w:tc>
        <w:tc>
          <w:tcPr>
            <w:tcW w:w="818" w:type="dxa"/>
            <w:tcBorders>
              <w:top w:val="single" w:sz="4" w:space="0" w:color="000000"/>
              <w:left w:val="single" w:sz="12" w:space="0" w:color="000000"/>
              <w:bottom w:val="single" w:sz="4" w:space="0" w:color="000000"/>
              <w:right w:val="single" w:sz="12" w:space="0" w:color="000000"/>
            </w:tcBorders>
          </w:tcPr>
          <w:p w14:paraId="3A78AEF1" w14:textId="6D131B41" w:rsidR="008A2D17" w:rsidRDefault="008A2D17" w:rsidP="00FC6809">
            <w:pPr>
              <w:spacing w:after="0" w:line="259" w:lineRule="auto"/>
              <w:ind w:left="0" w:right="44" w:firstLine="0"/>
              <w:jc w:val="center"/>
              <w:rPr>
                <w:sz w:val="18"/>
              </w:rPr>
            </w:pPr>
            <w:r>
              <w:rPr>
                <w:sz w:val="18"/>
              </w:rPr>
              <w:t>660</w:t>
            </w:r>
          </w:p>
        </w:tc>
        <w:tc>
          <w:tcPr>
            <w:tcW w:w="997" w:type="dxa"/>
            <w:tcBorders>
              <w:top w:val="single" w:sz="4" w:space="0" w:color="000000"/>
              <w:left w:val="single" w:sz="12" w:space="0" w:color="000000"/>
              <w:bottom w:val="single" w:sz="4" w:space="0" w:color="000000"/>
              <w:right w:val="single" w:sz="12" w:space="0" w:color="000000"/>
            </w:tcBorders>
          </w:tcPr>
          <w:p w14:paraId="42DC2200" w14:textId="10028993" w:rsidR="008A2D17" w:rsidRDefault="008A2D17" w:rsidP="00FC6809">
            <w:pPr>
              <w:spacing w:after="0" w:line="259" w:lineRule="auto"/>
              <w:ind w:left="0" w:right="44" w:firstLine="0"/>
              <w:jc w:val="center"/>
              <w:rPr>
                <w:rFonts w:eastAsia="Segoe UI Symbol"/>
                <w:sz w:val="18"/>
              </w:rPr>
            </w:pPr>
            <w:r>
              <w:rPr>
                <w:rFonts w:eastAsia="Segoe UI Symbol"/>
                <w:sz w:val="18"/>
              </w:rPr>
              <w:t>u</w:t>
            </w:r>
            <w:r>
              <w:rPr>
                <w:sz w:val="18"/>
              </w:rPr>
              <w:t>g/kg</w:t>
            </w:r>
          </w:p>
        </w:tc>
        <w:tc>
          <w:tcPr>
            <w:tcW w:w="1029" w:type="dxa"/>
            <w:tcBorders>
              <w:top w:val="single" w:sz="4" w:space="0" w:color="000000"/>
              <w:left w:val="single" w:sz="12" w:space="0" w:color="000000"/>
              <w:bottom w:val="single" w:sz="4" w:space="0" w:color="000000"/>
              <w:right w:val="single" w:sz="12" w:space="0" w:color="000000"/>
            </w:tcBorders>
          </w:tcPr>
          <w:p w14:paraId="12113AA9" w14:textId="11098B18" w:rsidR="008A2D17" w:rsidRDefault="008A2D17" w:rsidP="00FC6809">
            <w:pPr>
              <w:spacing w:after="0" w:line="259" w:lineRule="auto"/>
              <w:ind w:left="0" w:right="46" w:firstLine="0"/>
              <w:jc w:val="center"/>
              <w:rPr>
                <w:b/>
                <w:sz w:val="18"/>
              </w:rPr>
            </w:pPr>
            <w:r>
              <w:rPr>
                <w:b/>
                <w:sz w:val="18"/>
              </w:rPr>
              <w:t>8270</w:t>
            </w:r>
          </w:p>
        </w:tc>
        <w:tc>
          <w:tcPr>
            <w:tcW w:w="1592" w:type="dxa"/>
            <w:tcBorders>
              <w:top w:val="single" w:sz="4" w:space="0" w:color="000000"/>
              <w:left w:val="single" w:sz="12" w:space="0" w:color="000000"/>
              <w:bottom w:val="single" w:sz="4" w:space="0" w:color="000000"/>
              <w:right w:val="single" w:sz="12" w:space="0" w:color="000000"/>
            </w:tcBorders>
          </w:tcPr>
          <w:p w14:paraId="3A042502" w14:textId="49A128D8" w:rsidR="008A2D17" w:rsidRPr="008468E1" w:rsidRDefault="008A2D17" w:rsidP="00FC6809">
            <w:pPr>
              <w:spacing w:after="0" w:line="259" w:lineRule="auto"/>
              <w:ind w:left="0" w:right="49" w:firstLine="0"/>
              <w:jc w:val="center"/>
              <w:rPr>
                <w:sz w:val="18"/>
                <w:szCs w:val="18"/>
              </w:rPr>
            </w:pPr>
            <w:r w:rsidRPr="008468E1">
              <w:rPr>
                <w:sz w:val="18"/>
                <w:szCs w:val="18"/>
              </w:rPr>
              <w:t>8270 SIM</w:t>
            </w:r>
          </w:p>
        </w:tc>
      </w:tr>
      <w:tr w:rsidR="008A2D17" w14:paraId="0B1FCE94" w14:textId="77777777" w:rsidTr="00324798">
        <w:trPr>
          <w:trHeight w:val="259"/>
        </w:trPr>
        <w:tc>
          <w:tcPr>
            <w:tcW w:w="3372" w:type="dxa"/>
            <w:tcBorders>
              <w:top w:val="single" w:sz="4" w:space="0" w:color="000000"/>
              <w:left w:val="single" w:sz="12" w:space="0" w:color="000000"/>
              <w:bottom w:val="single" w:sz="4" w:space="0" w:color="000000"/>
              <w:right w:val="single" w:sz="12" w:space="0" w:color="000000"/>
            </w:tcBorders>
          </w:tcPr>
          <w:p w14:paraId="1B58B941" w14:textId="46A8D177" w:rsidR="008A2D17" w:rsidRDefault="008A2D17" w:rsidP="008A2D17">
            <w:pPr>
              <w:spacing w:after="0" w:line="259" w:lineRule="auto"/>
              <w:ind w:left="0" w:right="0" w:firstLine="0"/>
              <w:rPr>
                <w:sz w:val="18"/>
              </w:rPr>
            </w:pPr>
            <w:r>
              <w:rPr>
                <w:sz w:val="18"/>
              </w:rPr>
              <w:t xml:space="preserve">2-Chlorophenol </w:t>
            </w:r>
          </w:p>
        </w:tc>
        <w:tc>
          <w:tcPr>
            <w:tcW w:w="1130" w:type="dxa"/>
            <w:tcBorders>
              <w:top w:val="single" w:sz="4" w:space="0" w:color="000000"/>
              <w:left w:val="single" w:sz="12" w:space="0" w:color="000000"/>
              <w:bottom w:val="single" w:sz="4" w:space="0" w:color="000000"/>
              <w:right w:val="single" w:sz="12" w:space="0" w:color="000000"/>
            </w:tcBorders>
          </w:tcPr>
          <w:p w14:paraId="35C7B0CE" w14:textId="3629E293" w:rsidR="008A2D17" w:rsidRDefault="008A2D17" w:rsidP="00FC6809">
            <w:pPr>
              <w:spacing w:after="0" w:line="259" w:lineRule="auto"/>
              <w:ind w:left="0" w:right="44" w:firstLine="0"/>
              <w:jc w:val="center"/>
              <w:rPr>
                <w:sz w:val="18"/>
              </w:rPr>
            </w:pPr>
            <w:r>
              <w:rPr>
                <w:sz w:val="18"/>
              </w:rPr>
              <w:t>95-57-8</w:t>
            </w:r>
          </w:p>
        </w:tc>
        <w:tc>
          <w:tcPr>
            <w:tcW w:w="866" w:type="dxa"/>
            <w:tcBorders>
              <w:top w:val="single" w:sz="4" w:space="0" w:color="000000"/>
              <w:left w:val="single" w:sz="12" w:space="0" w:color="000000"/>
              <w:bottom w:val="single" w:sz="4" w:space="0" w:color="000000"/>
              <w:right w:val="single" w:sz="12" w:space="0" w:color="000000"/>
            </w:tcBorders>
          </w:tcPr>
          <w:p w14:paraId="48D69F89" w14:textId="7FE5E67C" w:rsidR="008A2D17" w:rsidRDefault="008A2D17" w:rsidP="00FC6809">
            <w:pPr>
              <w:spacing w:after="0" w:line="259" w:lineRule="auto"/>
              <w:ind w:left="0" w:right="46" w:firstLine="0"/>
              <w:jc w:val="center"/>
              <w:rPr>
                <w:sz w:val="18"/>
              </w:rPr>
            </w:pPr>
            <w:r>
              <w:rPr>
                <w:sz w:val="18"/>
              </w:rPr>
              <w:t>10</w:t>
            </w:r>
          </w:p>
        </w:tc>
        <w:tc>
          <w:tcPr>
            <w:tcW w:w="816" w:type="dxa"/>
            <w:tcBorders>
              <w:top w:val="single" w:sz="4" w:space="0" w:color="000000"/>
              <w:left w:val="single" w:sz="12" w:space="0" w:color="000000"/>
              <w:bottom w:val="single" w:sz="4" w:space="0" w:color="000000"/>
              <w:right w:val="single" w:sz="12" w:space="0" w:color="000000"/>
            </w:tcBorders>
          </w:tcPr>
          <w:p w14:paraId="6CB3164B" w14:textId="31C80F05" w:rsidR="008A2D17" w:rsidRPr="00425989" w:rsidRDefault="008A2D17" w:rsidP="00FC6809">
            <w:pPr>
              <w:spacing w:after="0" w:line="259" w:lineRule="auto"/>
              <w:ind w:left="0" w:right="46" w:firstLine="0"/>
              <w:jc w:val="center"/>
              <w:rPr>
                <w:rFonts w:eastAsia="Segoe UI Symbol"/>
                <w:sz w:val="18"/>
              </w:rPr>
            </w:pPr>
            <w:r w:rsidRPr="00425989">
              <w:rPr>
                <w:rFonts w:eastAsia="Segoe UI Symbol"/>
                <w:sz w:val="18"/>
              </w:rPr>
              <w:t>u</w:t>
            </w:r>
            <w:r w:rsidRPr="006A6B24">
              <w:rPr>
                <w:sz w:val="18"/>
              </w:rPr>
              <w:t>g/L</w:t>
            </w:r>
          </w:p>
        </w:tc>
        <w:tc>
          <w:tcPr>
            <w:tcW w:w="818" w:type="dxa"/>
            <w:tcBorders>
              <w:top w:val="single" w:sz="4" w:space="0" w:color="000000"/>
              <w:left w:val="single" w:sz="12" w:space="0" w:color="000000"/>
              <w:bottom w:val="single" w:sz="4" w:space="0" w:color="000000"/>
              <w:right w:val="single" w:sz="12" w:space="0" w:color="000000"/>
            </w:tcBorders>
          </w:tcPr>
          <w:p w14:paraId="2D6B3F0C" w14:textId="6C7DAB83" w:rsidR="008A2D17" w:rsidRDefault="008A2D17" w:rsidP="00FC6809">
            <w:pPr>
              <w:spacing w:after="0" w:line="259" w:lineRule="auto"/>
              <w:ind w:left="0" w:right="44" w:firstLine="0"/>
              <w:jc w:val="center"/>
              <w:rPr>
                <w:sz w:val="18"/>
              </w:rPr>
            </w:pPr>
            <w:r>
              <w:rPr>
                <w:sz w:val="18"/>
              </w:rPr>
              <w:t>660</w:t>
            </w:r>
          </w:p>
        </w:tc>
        <w:tc>
          <w:tcPr>
            <w:tcW w:w="997" w:type="dxa"/>
            <w:tcBorders>
              <w:top w:val="single" w:sz="4" w:space="0" w:color="000000"/>
              <w:left w:val="single" w:sz="12" w:space="0" w:color="000000"/>
              <w:bottom w:val="single" w:sz="4" w:space="0" w:color="000000"/>
              <w:right w:val="single" w:sz="12" w:space="0" w:color="000000"/>
            </w:tcBorders>
          </w:tcPr>
          <w:p w14:paraId="065E7652" w14:textId="2C29BEFF" w:rsidR="008A2D17" w:rsidRDefault="008A2D17" w:rsidP="00FC6809">
            <w:pPr>
              <w:spacing w:after="0" w:line="259" w:lineRule="auto"/>
              <w:ind w:left="0" w:right="44" w:firstLine="0"/>
              <w:jc w:val="center"/>
              <w:rPr>
                <w:rFonts w:eastAsia="Segoe UI Symbol"/>
                <w:sz w:val="18"/>
              </w:rPr>
            </w:pPr>
            <w:r>
              <w:rPr>
                <w:rFonts w:eastAsia="Segoe UI Symbol"/>
                <w:sz w:val="18"/>
              </w:rPr>
              <w:t>u</w:t>
            </w:r>
            <w:r>
              <w:rPr>
                <w:sz w:val="18"/>
              </w:rPr>
              <w:t>g/kg</w:t>
            </w:r>
          </w:p>
        </w:tc>
        <w:tc>
          <w:tcPr>
            <w:tcW w:w="1029" w:type="dxa"/>
            <w:tcBorders>
              <w:top w:val="single" w:sz="4" w:space="0" w:color="000000"/>
              <w:left w:val="single" w:sz="12" w:space="0" w:color="000000"/>
              <w:bottom w:val="single" w:sz="4" w:space="0" w:color="000000"/>
              <w:right w:val="single" w:sz="12" w:space="0" w:color="000000"/>
            </w:tcBorders>
          </w:tcPr>
          <w:p w14:paraId="70EDDBC9" w14:textId="58910098" w:rsidR="008A2D17" w:rsidRDefault="008A2D17" w:rsidP="00FC6809">
            <w:pPr>
              <w:spacing w:after="0" w:line="259" w:lineRule="auto"/>
              <w:ind w:left="0" w:right="46" w:firstLine="0"/>
              <w:jc w:val="center"/>
              <w:rPr>
                <w:b/>
                <w:sz w:val="18"/>
              </w:rPr>
            </w:pPr>
            <w:r>
              <w:rPr>
                <w:b/>
                <w:sz w:val="18"/>
              </w:rPr>
              <w:t>8270</w:t>
            </w:r>
          </w:p>
        </w:tc>
        <w:tc>
          <w:tcPr>
            <w:tcW w:w="1592" w:type="dxa"/>
            <w:tcBorders>
              <w:top w:val="single" w:sz="4" w:space="0" w:color="000000"/>
              <w:left w:val="single" w:sz="12" w:space="0" w:color="000000"/>
              <w:bottom w:val="single" w:sz="4" w:space="0" w:color="000000"/>
              <w:right w:val="single" w:sz="12" w:space="0" w:color="000000"/>
            </w:tcBorders>
          </w:tcPr>
          <w:p w14:paraId="7015B078" w14:textId="2CA60447" w:rsidR="008A2D17" w:rsidRPr="008468E1" w:rsidRDefault="008A2D17" w:rsidP="00FC6809">
            <w:pPr>
              <w:spacing w:after="0" w:line="259" w:lineRule="auto"/>
              <w:ind w:left="0" w:right="49" w:firstLine="0"/>
              <w:jc w:val="center"/>
              <w:rPr>
                <w:sz w:val="18"/>
                <w:szCs w:val="18"/>
              </w:rPr>
            </w:pPr>
            <w:r w:rsidRPr="008468E1">
              <w:rPr>
                <w:sz w:val="18"/>
                <w:szCs w:val="18"/>
              </w:rPr>
              <w:t>8270 SIM</w:t>
            </w:r>
          </w:p>
        </w:tc>
      </w:tr>
      <w:tr w:rsidR="008A2D17" w14:paraId="72494BDF" w14:textId="77777777" w:rsidTr="00324798">
        <w:trPr>
          <w:trHeight w:val="259"/>
        </w:trPr>
        <w:tc>
          <w:tcPr>
            <w:tcW w:w="3372" w:type="dxa"/>
            <w:tcBorders>
              <w:top w:val="single" w:sz="4" w:space="0" w:color="000000"/>
              <w:left w:val="single" w:sz="12" w:space="0" w:color="000000"/>
              <w:bottom w:val="single" w:sz="4" w:space="0" w:color="000000"/>
              <w:right w:val="single" w:sz="12" w:space="0" w:color="000000"/>
            </w:tcBorders>
          </w:tcPr>
          <w:p w14:paraId="5E44B54B" w14:textId="77FEEDCF" w:rsidR="008A2D17" w:rsidRDefault="008A2D17" w:rsidP="008A2D17">
            <w:pPr>
              <w:spacing w:after="0" w:line="259" w:lineRule="auto"/>
              <w:ind w:left="0" w:right="0" w:firstLine="0"/>
              <w:rPr>
                <w:sz w:val="18"/>
              </w:rPr>
            </w:pPr>
            <w:r>
              <w:rPr>
                <w:sz w:val="18"/>
              </w:rPr>
              <w:t xml:space="preserve">4-Chlorophenyl phenyl ether </w:t>
            </w:r>
          </w:p>
        </w:tc>
        <w:tc>
          <w:tcPr>
            <w:tcW w:w="1130" w:type="dxa"/>
            <w:tcBorders>
              <w:top w:val="single" w:sz="4" w:space="0" w:color="000000"/>
              <w:left w:val="single" w:sz="12" w:space="0" w:color="000000"/>
              <w:bottom w:val="single" w:sz="4" w:space="0" w:color="000000"/>
              <w:right w:val="single" w:sz="12" w:space="0" w:color="000000"/>
            </w:tcBorders>
          </w:tcPr>
          <w:p w14:paraId="0CEBDA90" w14:textId="4DD0BDC1" w:rsidR="008A2D17" w:rsidRDefault="008A2D17" w:rsidP="00FC6809">
            <w:pPr>
              <w:spacing w:after="0" w:line="259" w:lineRule="auto"/>
              <w:ind w:left="0" w:right="44" w:firstLine="0"/>
              <w:jc w:val="center"/>
              <w:rPr>
                <w:sz w:val="18"/>
              </w:rPr>
            </w:pPr>
            <w:r>
              <w:rPr>
                <w:sz w:val="18"/>
              </w:rPr>
              <w:t>7005-72-3</w:t>
            </w:r>
          </w:p>
        </w:tc>
        <w:tc>
          <w:tcPr>
            <w:tcW w:w="866" w:type="dxa"/>
            <w:tcBorders>
              <w:top w:val="single" w:sz="4" w:space="0" w:color="000000"/>
              <w:left w:val="single" w:sz="12" w:space="0" w:color="000000"/>
              <w:bottom w:val="single" w:sz="4" w:space="0" w:color="000000"/>
              <w:right w:val="single" w:sz="12" w:space="0" w:color="000000"/>
            </w:tcBorders>
          </w:tcPr>
          <w:p w14:paraId="4F2C7165" w14:textId="5C0C7C96" w:rsidR="008A2D17" w:rsidRDefault="008A2D17" w:rsidP="00FC6809">
            <w:pPr>
              <w:spacing w:after="0" w:line="259" w:lineRule="auto"/>
              <w:ind w:left="0" w:right="46" w:firstLine="0"/>
              <w:jc w:val="center"/>
              <w:rPr>
                <w:sz w:val="18"/>
              </w:rPr>
            </w:pPr>
            <w:r>
              <w:rPr>
                <w:sz w:val="18"/>
              </w:rPr>
              <w:t>10</w:t>
            </w:r>
          </w:p>
        </w:tc>
        <w:tc>
          <w:tcPr>
            <w:tcW w:w="816" w:type="dxa"/>
            <w:tcBorders>
              <w:top w:val="single" w:sz="4" w:space="0" w:color="000000"/>
              <w:left w:val="single" w:sz="12" w:space="0" w:color="000000"/>
              <w:bottom w:val="single" w:sz="4" w:space="0" w:color="000000"/>
              <w:right w:val="single" w:sz="12" w:space="0" w:color="000000"/>
            </w:tcBorders>
          </w:tcPr>
          <w:p w14:paraId="77071A89" w14:textId="661480C6" w:rsidR="008A2D17" w:rsidRPr="00425989" w:rsidRDefault="008A2D17" w:rsidP="00FC6809">
            <w:pPr>
              <w:spacing w:after="0" w:line="259" w:lineRule="auto"/>
              <w:ind w:left="0" w:right="46" w:firstLine="0"/>
              <w:jc w:val="center"/>
              <w:rPr>
                <w:rFonts w:eastAsia="Segoe UI Symbol"/>
                <w:sz w:val="18"/>
              </w:rPr>
            </w:pPr>
            <w:r w:rsidRPr="00425989">
              <w:rPr>
                <w:rFonts w:eastAsia="Segoe UI Symbol"/>
                <w:sz w:val="18"/>
              </w:rPr>
              <w:t>u</w:t>
            </w:r>
            <w:r w:rsidRPr="006A6B24">
              <w:rPr>
                <w:sz w:val="18"/>
              </w:rPr>
              <w:t>g/L</w:t>
            </w:r>
          </w:p>
        </w:tc>
        <w:tc>
          <w:tcPr>
            <w:tcW w:w="818" w:type="dxa"/>
            <w:tcBorders>
              <w:top w:val="single" w:sz="4" w:space="0" w:color="000000"/>
              <w:left w:val="single" w:sz="12" w:space="0" w:color="000000"/>
              <w:bottom w:val="single" w:sz="4" w:space="0" w:color="000000"/>
              <w:right w:val="single" w:sz="12" w:space="0" w:color="000000"/>
            </w:tcBorders>
          </w:tcPr>
          <w:p w14:paraId="6691FAB8" w14:textId="14770B46" w:rsidR="008A2D17" w:rsidRDefault="008A2D17" w:rsidP="00FC6809">
            <w:pPr>
              <w:spacing w:after="0" w:line="259" w:lineRule="auto"/>
              <w:ind w:left="0" w:right="44" w:firstLine="0"/>
              <w:jc w:val="center"/>
              <w:rPr>
                <w:sz w:val="18"/>
              </w:rPr>
            </w:pPr>
            <w:r>
              <w:rPr>
                <w:sz w:val="18"/>
              </w:rPr>
              <w:t>660</w:t>
            </w:r>
          </w:p>
        </w:tc>
        <w:tc>
          <w:tcPr>
            <w:tcW w:w="997" w:type="dxa"/>
            <w:tcBorders>
              <w:top w:val="single" w:sz="4" w:space="0" w:color="000000"/>
              <w:left w:val="single" w:sz="12" w:space="0" w:color="000000"/>
              <w:bottom w:val="single" w:sz="4" w:space="0" w:color="000000"/>
              <w:right w:val="single" w:sz="12" w:space="0" w:color="000000"/>
            </w:tcBorders>
          </w:tcPr>
          <w:p w14:paraId="094C55EA" w14:textId="35F82D0F" w:rsidR="008A2D17" w:rsidRDefault="008A2D17" w:rsidP="00FC6809">
            <w:pPr>
              <w:spacing w:after="0" w:line="259" w:lineRule="auto"/>
              <w:ind w:left="0" w:right="44" w:firstLine="0"/>
              <w:jc w:val="center"/>
              <w:rPr>
                <w:rFonts w:eastAsia="Segoe UI Symbol"/>
                <w:sz w:val="18"/>
              </w:rPr>
            </w:pPr>
            <w:r>
              <w:rPr>
                <w:rFonts w:eastAsia="Segoe UI Symbol"/>
                <w:sz w:val="18"/>
              </w:rPr>
              <w:t>u</w:t>
            </w:r>
            <w:r>
              <w:rPr>
                <w:sz w:val="18"/>
              </w:rPr>
              <w:t>g/kg</w:t>
            </w:r>
          </w:p>
        </w:tc>
        <w:tc>
          <w:tcPr>
            <w:tcW w:w="1029" w:type="dxa"/>
            <w:tcBorders>
              <w:top w:val="single" w:sz="4" w:space="0" w:color="000000"/>
              <w:left w:val="single" w:sz="12" w:space="0" w:color="000000"/>
              <w:bottom w:val="single" w:sz="4" w:space="0" w:color="000000"/>
              <w:right w:val="single" w:sz="12" w:space="0" w:color="000000"/>
            </w:tcBorders>
          </w:tcPr>
          <w:p w14:paraId="5088A928" w14:textId="0CE56DDF" w:rsidR="008A2D17" w:rsidRDefault="008A2D17" w:rsidP="00FC6809">
            <w:pPr>
              <w:spacing w:after="0" w:line="259" w:lineRule="auto"/>
              <w:ind w:left="0" w:right="46" w:firstLine="0"/>
              <w:jc w:val="center"/>
              <w:rPr>
                <w:b/>
                <w:sz w:val="18"/>
              </w:rPr>
            </w:pPr>
            <w:r>
              <w:rPr>
                <w:b/>
                <w:sz w:val="18"/>
              </w:rPr>
              <w:t>8270</w:t>
            </w:r>
          </w:p>
        </w:tc>
        <w:tc>
          <w:tcPr>
            <w:tcW w:w="1592" w:type="dxa"/>
            <w:tcBorders>
              <w:top w:val="single" w:sz="4" w:space="0" w:color="000000"/>
              <w:left w:val="single" w:sz="12" w:space="0" w:color="000000"/>
              <w:bottom w:val="single" w:sz="4" w:space="0" w:color="000000"/>
              <w:right w:val="single" w:sz="12" w:space="0" w:color="000000"/>
            </w:tcBorders>
          </w:tcPr>
          <w:p w14:paraId="25CE3162" w14:textId="63FB1748" w:rsidR="008A2D17" w:rsidRPr="008468E1" w:rsidRDefault="008A2D17" w:rsidP="00FC6809">
            <w:pPr>
              <w:spacing w:after="0" w:line="259" w:lineRule="auto"/>
              <w:ind w:left="0" w:right="49" w:firstLine="0"/>
              <w:jc w:val="center"/>
              <w:rPr>
                <w:sz w:val="18"/>
                <w:szCs w:val="18"/>
              </w:rPr>
            </w:pPr>
            <w:r w:rsidRPr="008468E1">
              <w:rPr>
                <w:sz w:val="18"/>
                <w:szCs w:val="18"/>
              </w:rPr>
              <w:t>8270 SIM</w:t>
            </w:r>
          </w:p>
        </w:tc>
      </w:tr>
      <w:tr w:rsidR="008A2D17" w14:paraId="6E86A5C7" w14:textId="77777777" w:rsidTr="00324798">
        <w:trPr>
          <w:trHeight w:val="259"/>
        </w:trPr>
        <w:tc>
          <w:tcPr>
            <w:tcW w:w="3372" w:type="dxa"/>
            <w:tcBorders>
              <w:top w:val="single" w:sz="4" w:space="0" w:color="000000"/>
              <w:left w:val="single" w:sz="12" w:space="0" w:color="000000"/>
              <w:bottom w:val="single" w:sz="4" w:space="0" w:color="000000"/>
              <w:right w:val="single" w:sz="12" w:space="0" w:color="000000"/>
            </w:tcBorders>
          </w:tcPr>
          <w:p w14:paraId="00F0B0F6" w14:textId="32B91DDE" w:rsidR="008A2D17" w:rsidRDefault="008A2D17" w:rsidP="008A2D17">
            <w:pPr>
              <w:spacing w:after="0" w:line="259" w:lineRule="auto"/>
              <w:ind w:left="0" w:right="0" w:firstLine="0"/>
              <w:rPr>
                <w:sz w:val="18"/>
              </w:rPr>
            </w:pPr>
            <w:r>
              <w:rPr>
                <w:sz w:val="18"/>
              </w:rPr>
              <w:t>Chrysene</w:t>
            </w:r>
            <w:r>
              <w:rPr>
                <w:b/>
                <w:sz w:val="18"/>
                <w:vertAlign w:val="superscript"/>
              </w:rPr>
              <w:t xml:space="preserve"> </w:t>
            </w:r>
          </w:p>
        </w:tc>
        <w:tc>
          <w:tcPr>
            <w:tcW w:w="1130" w:type="dxa"/>
            <w:tcBorders>
              <w:top w:val="single" w:sz="4" w:space="0" w:color="000000"/>
              <w:left w:val="single" w:sz="12" w:space="0" w:color="000000"/>
              <w:bottom w:val="single" w:sz="4" w:space="0" w:color="000000"/>
              <w:right w:val="single" w:sz="12" w:space="0" w:color="000000"/>
            </w:tcBorders>
          </w:tcPr>
          <w:p w14:paraId="2CC18617" w14:textId="58B4BA2F" w:rsidR="008A2D17" w:rsidRDefault="008A2D17" w:rsidP="00FC6809">
            <w:pPr>
              <w:spacing w:after="0" w:line="259" w:lineRule="auto"/>
              <w:ind w:left="0" w:right="44" w:firstLine="0"/>
              <w:jc w:val="center"/>
              <w:rPr>
                <w:sz w:val="18"/>
              </w:rPr>
            </w:pPr>
            <w:r>
              <w:rPr>
                <w:sz w:val="18"/>
              </w:rPr>
              <w:t>218-01-9</w:t>
            </w:r>
          </w:p>
        </w:tc>
        <w:tc>
          <w:tcPr>
            <w:tcW w:w="866" w:type="dxa"/>
            <w:tcBorders>
              <w:top w:val="single" w:sz="4" w:space="0" w:color="000000"/>
              <w:left w:val="single" w:sz="12" w:space="0" w:color="000000"/>
              <w:bottom w:val="single" w:sz="4" w:space="0" w:color="000000"/>
              <w:right w:val="single" w:sz="12" w:space="0" w:color="000000"/>
            </w:tcBorders>
          </w:tcPr>
          <w:p w14:paraId="1741E717" w14:textId="2857836E" w:rsidR="008A2D17" w:rsidRDefault="008A2D17" w:rsidP="00FC6809">
            <w:pPr>
              <w:spacing w:after="0" w:line="259" w:lineRule="auto"/>
              <w:ind w:left="0" w:right="46" w:firstLine="0"/>
              <w:jc w:val="center"/>
              <w:rPr>
                <w:sz w:val="18"/>
              </w:rPr>
            </w:pPr>
            <w:r>
              <w:rPr>
                <w:sz w:val="18"/>
              </w:rPr>
              <w:t>10</w:t>
            </w:r>
          </w:p>
        </w:tc>
        <w:tc>
          <w:tcPr>
            <w:tcW w:w="816" w:type="dxa"/>
            <w:tcBorders>
              <w:top w:val="single" w:sz="4" w:space="0" w:color="000000"/>
              <w:left w:val="single" w:sz="12" w:space="0" w:color="000000"/>
              <w:bottom w:val="single" w:sz="4" w:space="0" w:color="000000"/>
              <w:right w:val="single" w:sz="12" w:space="0" w:color="000000"/>
            </w:tcBorders>
          </w:tcPr>
          <w:p w14:paraId="564B2E51" w14:textId="4059CB15" w:rsidR="008A2D17" w:rsidRPr="00425989" w:rsidRDefault="008A2D17" w:rsidP="00FC6809">
            <w:pPr>
              <w:spacing w:after="0" w:line="259" w:lineRule="auto"/>
              <w:ind w:left="0" w:right="46" w:firstLine="0"/>
              <w:jc w:val="center"/>
              <w:rPr>
                <w:rFonts w:eastAsia="Segoe UI Symbol"/>
                <w:sz w:val="18"/>
              </w:rPr>
            </w:pPr>
            <w:r w:rsidRPr="006A6B24">
              <w:rPr>
                <w:rFonts w:eastAsia="Segoe UI Symbol"/>
                <w:sz w:val="18"/>
              </w:rPr>
              <w:t>u</w:t>
            </w:r>
            <w:r w:rsidRPr="006A6B24">
              <w:rPr>
                <w:sz w:val="18"/>
              </w:rPr>
              <w:t>g/L</w:t>
            </w:r>
          </w:p>
        </w:tc>
        <w:tc>
          <w:tcPr>
            <w:tcW w:w="818" w:type="dxa"/>
            <w:tcBorders>
              <w:top w:val="single" w:sz="4" w:space="0" w:color="000000"/>
              <w:left w:val="single" w:sz="12" w:space="0" w:color="000000"/>
              <w:bottom w:val="single" w:sz="4" w:space="0" w:color="000000"/>
              <w:right w:val="single" w:sz="12" w:space="0" w:color="000000"/>
            </w:tcBorders>
          </w:tcPr>
          <w:p w14:paraId="1D3CAA2A" w14:textId="166FB009" w:rsidR="008A2D17" w:rsidRDefault="008A2D17" w:rsidP="00FC6809">
            <w:pPr>
              <w:spacing w:after="0" w:line="259" w:lineRule="auto"/>
              <w:ind w:left="0" w:right="44" w:firstLine="0"/>
              <w:jc w:val="center"/>
              <w:rPr>
                <w:sz w:val="18"/>
              </w:rPr>
            </w:pPr>
            <w:r>
              <w:rPr>
                <w:sz w:val="18"/>
              </w:rPr>
              <w:t>660</w:t>
            </w:r>
          </w:p>
        </w:tc>
        <w:tc>
          <w:tcPr>
            <w:tcW w:w="997" w:type="dxa"/>
            <w:tcBorders>
              <w:top w:val="single" w:sz="4" w:space="0" w:color="000000"/>
              <w:left w:val="single" w:sz="12" w:space="0" w:color="000000"/>
              <w:bottom w:val="single" w:sz="4" w:space="0" w:color="000000"/>
              <w:right w:val="single" w:sz="12" w:space="0" w:color="000000"/>
            </w:tcBorders>
          </w:tcPr>
          <w:p w14:paraId="3B58C90D" w14:textId="55C1085C" w:rsidR="008A2D17" w:rsidRDefault="008A2D17" w:rsidP="00FC6809">
            <w:pPr>
              <w:spacing w:after="0" w:line="259" w:lineRule="auto"/>
              <w:ind w:left="0" w:right="44" w:firstLine="0"/>
              <w:jc w:val="center"/>
              <w:rPr>
                <w:rFonts w:eastAsia="Segoe UI Symbol"/>
                <w:sz w:val="18"/>
              </w:rPr>
            </w:pPr>
            <w:r>
              <w:rPr>
                <w:rFonts w:eastAsia="Segoe UI Symbol"/>
                <w:sz w:val="18"/>
              </w:rPr>
              <w:t>u</w:t>
            </w:r>
            <w:r>
              <w:rPr>
                <w:sz w:val="18"/>
              </w:rPr>
              <w:t>g/kg</w:t>
            </w:r>
          </w:p>
        </w:tc>
        <w:tc>
          <w:tcPr>
            <w:tcW w:w="1029" w:type="dxa"/>
            <w:tcBorders>
              <w:top w:val="single" w:sz="4" w:space="0" w:color="000000"/>
              <w:left w:val="single" w:sz="12" w:space="0" w:color="000000"/>
              <w:bottom w:val="single" w:sz="4" w:space="0" w:color="000000"/>
              <w:right w:val="single" w:sz="12" w:space="0" w:color="000000"/>
            </w:tcBorders>
          </w:tcPr>
          <w:p w14:paraId="5825CF9D" w14:textId="5FAAC51B" w:rsidR="008A2D17" w:rsidRDefault="008A2D17" w:rsidP="00FC6809">
            <w:pPr>
              <w:spacing w:after="0" w:line="259" w:lineRule="auto"/>
              <w:ind w:left="0" w:right="46" w:firstLine="0"/>
              <w:jc w:val="center"/>
              <w:rPr>
                <w:b/>
                <w:sz w:val="18"/>
              </w:rPr>
            </w:pPr>
            <w:r>
              <w:rPr>
                <w:b/>
                <w:sz w:val="18"/>
              </w:rPr>
              <w:t>8270</w:t>
            </w:r>
          </w:p>
        </w:tc>
        <w:tc>
          <w:tcPr>
            <w:tcW w:w="1592" w:type="dxa"/>
            <w:tcBorders>
              <w:top w:val="single" w:sz="4" w:space="0" w:color="000000"/>
              <w:left w:val="single" w:sz="12" w:space="0" w:color="000000"/>
              <w:bottom w:val="single" w:sz="4" w:space="0" w:color="000000"/>
              <w:right w:val="single" w:sz="12" w:space="0" w:color="000000"/>
            </w:tcBorders>
          </w:tcPr>
          <w:p w14:paraId="3D9A9659" w14:textId="35589418" w:rsidR="008A2D17" w:rsidRPr="008468E1" w:rsidRDefault="008A2D17" w:rsidP="00FC6809">
            <w:pPr>
              <w:spacing w:after="0" w:line="259" w:lineRule="auto"/>
              <w:ind w:left="0" w:right="49" w:firstLine="0"/>
              <w:jc w:val="center"/>
              <w:rPr>
                <w:sz w:val="18"/>
                <w:szCs w:val="18"/>
              </w:rPr>
            </w:pPr>
            <w:r w:rsidRPr="005A4655">
              <w:rPr>
                <w:sz w:val="18"/>
                <w:szCs w:val="18"/>
              </w:rPr>
              <w:t>8310</w:t>
            </w:r>
            <w:r>
              <w:rPr>
                <w:sz w:val="18"/>
                <w:szCs w:val="18"/>
              </w:rPr>
              <w:t>, 8270 SIM</w:t>
            </w:r>
          </w:p>
        </w:tc>
      </w:tr>
      <w:tr w:rsidR="008A2D17" w14:paraId="5A6BCEA6" w14:textId="77777777" w:rsidTr="00324798">
        <w:trPr>
          <w:trHeight w:val="259"/>
        </w:trPr>
        <w:tc>
          <w:tcPr>
            <w:tcW w:w="3372" w:type="dxa"/>
            <w:tcBorders>
              <w:top w:val="single" w:sz="4" w:space="0" w:color="000000"/>
              <w:left w:val="single" w:sz="12" w:space="0" w:color="000000"/>
              <w:bottom w:val="single" w:sz="4" w:space="0" w:color="000000"/>
              <w:right w:val="single" w:sz="12" w:space="0" w:color="000000"/>
            </w:tcBorders>
          </w:tcPr>
          <w:p w14:paraId="3E92AE24" w14:textId="22363D27" w:rsidR="008A2D17" w:rsidRDefault="008A2D17" w:rsidP="008A2D17">
            <w:pPr>
              <w:spacing w:after="0" w:line="259" w:lineRule="auto"/>
              <w:ind w:left="0" w:right="0" w:firstLine="0"/>
              <w:rPr>
                <w:sz w:val="18"/>
              </w:rPr>
            </w:pPr>
            <w:proofErr w:type="spellStart"/>
            <w:r>
              <w:rPr>
                <w:sz w:val="18"/>
              </w:rPr>
              <w:t>Dibenz</w:t>
            </w:r>
            <w:proofErr w:type="spellEnd"/>
            <w:r>
              <w:rPr>
                <w:sz w:val="18"/>
              </w:rPr>
              <w:t xml:space="preserve"> [</w:t>
            </w:r>
            <w:proofErr w:type="spellStart"/>
            <w:proofErr w:type="gramStart"/>
            <w:r>
              <w:rPr>
                <w:sz w:val="18"/>
              </w:rPr>
              <w:t>a,h</w:t>
            </w:r>
            <w:proofErr w:type="spellEnd"/>
            <w:proofErr w:type="gramEnd"/>
            <w:r>
              <w:rPr>
                <w:sz w:val="18"/>
              </w:rPr>
              <w:t>]anthracene</w:t>
            </w:r>
            <w:r>
              <w:rPr>
                <w:b/>
                <w:sz w:val="18"/>
                <w:vertAlign w:val="superscript"/>
              </w:rPr>
              <w:t xml:space="preserve"> </w:t>
            </w:r>
          </w:p>
        </w:tc>
        <w:tc>
          <w:tcPr>
            <w:tcW w:w="1130" w:type="dxa"/>
            <w:tcBorders>
              <w:top w:val="single" w:sz="4" w:space="0" w:color="000000"/>
              <w:left w:val="single" w:sz="12" w:space="0" w:color="000000"/>
              <w:bottom w:val="single" w:sz="4" w:space="0" w:color="000000"/>
              <w:right w:val="single" w:sz="12" w:space="0" w:color="000000"/>
            </w:tcBorders>
          </w:tcPr>
          <w:p w14:paraId="1C2F75D2" w14:textId="696A8903" w:rsidR="008A2D17" w:rsidRDefault="008A2D17" w:rsidP="00FC6809">
            <w:pPr>
              <w:spacing w:after="0" w:line="259" w:lineRule="auto"/>
              <w:ind w:left="0" w:right="44" w:firstLine="0"/>
              <w:jc w:val="center"/>
              <w:rPr>
                <w:sz w:val="18"/>
              </w:rPr>
            </w:pPr>
            <w:r>
              <w:rPr>
                <w:sz w:val="18"/>
              </w:rPr>
              <w:t>53-70-3</w:t>
            </w:r>
          </w:p>
        </w:tc>
        <w:tc>
          <w:tcPr>
            <w:tcW w:w="866" w:type="dxa"/>
            <w:tcBorders>
              <w:top w:val="single" w:sz="4" w:space="0" w:color="000000"/>
              <w:left w:val="single" w:sz="12" w:space="0" w:color="000000"/>
              <w:bottom w:val="single" w:sz="4" w:space="0" w:color="000000"/>
              <w:right w:val="single" w:sz="12" w:space="0" w:color="000000"/>
            </w:tcBorders>
          </w:tcPr>
          <w:p w14:paraId="63C7AB7D" w14:textId="37171EE4" w:rsidR="008A2D17" w:rsidRDefault="008A2D17" w:rsidP="00FC6809">
            <w:pPr>
              <w:spacing w:after="0" w:line="259" w:lineRule="auto"/>
              <w:ind w:left="0" w:right="46" w:firstLine="0"/>
              <w:jc w:val="center"/>
              <w:rPr>
                <w:sz w:val="18"/>
              </w:rPr>
            </w:pPr>
            <w:r>
              <w:rPr>
                <w:sz w:val="18"/>
              </w:rPr>
              <w:t>10</w:t>
            </w:r>
          </w:p>
        </w:tc>
        <w:tc>
          <w:tcPr>
            <w:tcW w:w="816" w:type="dxa"/>
            <w:tcBorders>
              <w:top w:val="single" w:sz="4" w:space="0" w:color="000000"/>
              <w:left w:val="single" w:sz="12" w:space="0" w:color="000000"/>
              <w:bottom w:val="single" w:sz="4" w:space="0" w:color="000000"/>
              <w:right w:val="single" w:sz="12" w:space="0" w:color="000000"/>
            </w:tcBorders>
          </w:tcPr>
          <w:p w14:paraId="7E0ACF12" w14:textId="0D08F2C3" w:rsidR="008A2D17" w:rsidRPr="00425989" w:rsidRDefault="008A2D17" w:rsidP="00FC6809">
            <w:pPr>
              <w:spacing w:after="0" w:line="259" w:lineRule="auto"/>
              <w:ind w:left="0" w:right="46" w:firstLine="0"/>
              <w:jc w:val="center"/>
              <w:rPr>
                <w:rFonts w:eastAsia="Segoe UI Symbol"/>
                <w:sz w:val="18"/>
              </w:rPr>
            </w:pPr>
            <w:r w:rsidRPr="006A6B24">
              <w:rPr>
                <w:rFonts w:eastAsia="Segoe UI Symbol"/>
                <w:sz w:val="18"/>
              </w:rPr>
              <w:t>u</w:t>
            </w:r>
            <w:r w:rsidRPr="006A6B24">
              <w:rPr>
                <w:sz w:val="18"/>
              </w:rPr>
              <w:t>g/L</w:t>
            </w:r>
          </w:p>
        </w:tc>
        <w:tc>
          <w:tcPr>
            <w:tcW w:w="818" w:type="dxa"/>
            <w:tcBorders>
              <w:top w:val="single" w:sz="4" w:space="0" w:color="000000"/>
              <w:left w:val="single" w:sz="12" w:space="0" w:color="000000"/>
              <w:bottom w:val="single" w:sz="4" w:space="0" w:color="000000"/>
              <w:right w:val="single" w:sz="12" w:space="0" w:color="000000"/>
            </w:tcBorders>
          </w:tcPr>
          <w:p w14:paraId="7FB6DE9F" w14:textId="195EB854" w:rsidR="008A2D17" w:rsidRDefault="008A2D17" w:rsidP="00FC6809">
            <w:pPr>
              <w:spacing w:after="0" w:line="259" w:lineRule="auto"/>
              <w:ind w:left="0" w:right="44" w:firstLine="0"/>
              <w:jc w:val="center"/>
              <w:rPr>
                <w:sz w:val="18"/>
              </w:rPr>
            </w:pPr>
            <w:r>
              <w:rPr>
                <w:sz w:val="18"/>
              </w:rPr>
              <w:t>660</w:t>
            </w:r>
          </w:p>
        </w:tc>
        <w:tc>
          <w:tcPr>
            <w:tcW w:w="997" w:type="dxa"/>
            <w:tcBorders>
              <w:top w:val="single" w:sz="4" w:space="0" w:color="000000"/>
              <w:left w:val="single" w:sz="12" w:space="0" w:color="000000"/>
              <w:bottom w:val="single" w:sz="4" w:space="0" w:color="000000"/>
              <w:right w:val="single" w:sz="12" w:space="0" w:color="000000"/>
            </w:tcBorders>
          </w:tcPr>
          <w:p w14:paraId="258767FC" w14:textId="20F67B29" w:rsidR="008A2D17" w:rsidRDefault="008A2D17" w:rsidP="00FC6809">
            <w:pPr>
              <w:spacing w:after="0" w:line="259" w:lineRule="auto"/>
              <w:ind w:left="0" w:right="44" w:firstLine="0"/>
              <w:jc w:val="center"/>
              <w:rPr>
                <w:rFonts w:eastAsia="Segoe UI Symbol"/>
                <w:sz w:val="18"/>
              </w:rPr>
            </w:pPr>
            <w:r>
              <w:rPr>
                <w:rFonts w:eastAsia="Segoe UI Symbol"/>
                <w:sz w:val="18"/>
              </w:rPr>
              <w:t>u</w:t>
            </w:r>
            <w:r>
              <w:rPr>
                <w:sz w:val="18"/>
              </w:rPr>
              <w:t>g/kg</w:t>
            </w:r>
          </w:p>
        </w:tc>
        <w:tc>
          <w:tcPr>
            <w:tcW w:w="1029" w:type="dxa"/>
            <w:tcBorders>
              <w:top w:val="single" w:sz="4" w:space="0" w:color="000000"/>
              <w:left w:val="single" w:sz="12" w:space="0" w:color="000000"/>
              <w:bottom w:val="single" w:sz="4" w:space="0" w:color="000000"/>
              <w:right w:val="single" w:sz="12" w:space="0" w:color="000000"/>
            </w:tcBorders>
          </w:tcPr>
          <w:p w14:paraId="56ACE984" w14:textId="61D23ED6" w:rsidR="008A2D17" w:rsidRDefault="008A2D17" w:rsidP="00FC6809">
            <w:pPr>
              <w:spacing w:after="0" w:line="259" w:lineRule="auto"/>
              <w:ind w:left="0" w:right="46" w:firstLine="0"/>
              <w:jc w:val="center"/>
              <w:rPr>
                <w:b/>
                <w:sz w:val="18"/>
              </w:rPr>
            </w:pPr>
            <w:r>
              <w:rPr>
                <w:b/>
                <w:sz w:val="18"/>
              </w:rPr>
              <w:t>8270</w:t>
            </w:r>
          </w:p>
        </w:tc>
        <w:tc>
          <w:tcPr>
            <w:tcW w:w="1592" w:type="dxa"/>
            <w:tcBorders>
              <w:top w:val="single" w:sz="4" w:space="0" w:color="000000"/>
              <w:left w:val="single" w:sz="12" w:space="0" w:color="000000"/>
              <w:bottom w:val="single" w:sz="4" w:space="0" w:color="000000"/>
              <w:right w:val="single" w:sz="12" w:space="0" w:color="000000"/>
            </w:tcBorders>
          </w:tcPr>
          <w:p w14:paraId="428744EB" w14:textId="5F1C395E" w:rsidR="008A2D17" w:rsidRPr="008468E1" w:rsidRDefault="008A2D17" w:rsidP="00FC6809">
            <w:pPr>
              <w:spacing w:after="0" w:line="259" w:lineRule="auto"/>
              <w:ind w:left="0" w:right="49" w:firstLine="0"/>
              <w:jc w:val="center"/>
              <w:rPr>
                <w:sz w:val="18"/>
                <w:szCs w:val="18"/>
              </w:rPr>
            </w:pPr>
            <w:r w:rsidRPr="00757EE9">
              <w:rPr>
                <w:sz w:val="18"/>
                <w:szCs w:val="18"/>
              </w:rPr>
              <w:t>8310</w:t>
            </w:r>
            <w:r>
              <w:rPr>
                <w:sz w:val="18"/>
                <w:szCs w:val="18"/>
              </w:rPr>
              <w:t>, 8270 SIM</w:t>
            </w:r>
          </w:p>
        </w:tc>
      </w:tr>
      <w:tr w:rsidR="008A2D17" w14:paraId="682CC2D6" w14:textId="77777777" w:rsidTr="00324798">
        <w:trPr>
          <w:trHeight w:val="259"/>
        </w:trPr>
        <w:tc>
          <w:tcPr>
            <w:tcW w:w="3372" w:type="dxa"/>
            <w:tcBorders>
              <w:top w:val="single" w:sz="4" w:space="0" w:color="000000"/>
              <w:left w:val="single" w:sz="12" w:space="0" w:color="000000"/>
              <w:bottom w:val="single" w:sz="4" w:space="0" w:color="000000"/>
              <w:right w:val="single" w:sz="12" w:space="0" w:color="000000"/>
            </w:tcBorders>
          </w:tcPr>
          <w:p w14:paraId="74E3A9FE" w14:textId="58D1BA91" w:rsidR="008A2D17" w:rsidRDefault="008A2D17" w:rsidP="008A2D17">
            <w:pPr>
              <w:spacing w:after="0" w:line="259" w:lineRule="auto"/>
              <w:ind w:left="0" w:right="0" w:firstLine="0"/>
              <w:rPr>
                <w:sz w:val="18"/>
              </w:rPr>
            </w:pPr>
            <w:r>
              <w:rPr>
                <w:sz w:val="18"/>
              </w:rPr>
              <w:t xml:space="preserve">Dibenzofuran </w:t>
            </w:r>
          </w:p>
        </w:tc>
        <w:tc>
          <w:tcPr>
            <w:tcW w:w="1130" w:type="dxa"/>
            <w:tcBorders>
              <w:top w:val="single" w:sz="4" w:space="0" w:color="000000"/>
              <w:left w:val="single" w:sz="12" w:space="0" w:color="000000"/>
              <w:bottom w:val="single" w:sz="4" w:space="0" w:color="000000"/>
              <w:right w:val="single" w:sz="12" w:space="0" w:color="000000"/>
            </w:tcBorders>
          </w:tcPr>
          <w:p w14:paraId="5CFD607F" w14:textId="59C18D27" w:rsidR="008A2D17" w:rsidRDefault="008A2D17" w:rsidP="00FC6809">
            <w:pPr>
              <w:spacing w:after="0" w:line="259" w:lineRule="auto"/>
              <w:ind w:left="0" w:right="44" w:firstLine="0"/>
              <w:jc w:val="center"/>
              <w:rPr>
                <w:sz w:val="18"/>
              </w:rPr>
            </w:pPr>
            <w:r>
              <w:rPr>
                <w:sz w:val="18"/>
              </w:rPr>
              <w:t>132-64-9</w:t>
            </w:r>
          </w:p>
        </w:tc>
        <w:tc>
          <w:tcPr>
            <w:tcW w:w="866" w:type="dxa"/>
            <w:tcBorders>
              <w:top w:val="single" w:sz="4" w:space="0" w:color="000000"/>
              <w:left w:val="single" w:sz="12" w:space="0" w:color="000000"/>
              <w:bottom w:val="single" w:sz="4" w:space="0" w:color="000000"/>
              <w:right w:val="single" w:sz="12" w:space="0" w:color="000000"/>
            </w:tcBorders>
          </w:tcPr>
          <w:p w14:paraId="7F6BBF46" w14:textId="71510335" w:rsidR="008A2D17" w:rsidRDefault="008A2D17" w:rsidP="00FC6809">
            <w:pPr>
              <w:spacing w:after="0" w:line="259" w:lineRule="auto"/>
              <w:ind w:left="0" w:right="46" w:firstLine="0"/>
              <w:jc w:val="center"/>
              <w:rPr>
                <w:sz w:val="18"/>
              </w:rPr>
            </w:pPr>
            <w:r>
              <w:rPr>
                <w:sz w:val="18"/>
              </w:rPr>
              <w:t>10</w:t>
            </w:r>
          </w:p>
        </w:tc>
        <w:tc>
          <w:tcPr>
            <w:tcW w:w="816" w:type="dxa"/>
            <w:tcBorders>
              <w:top w:val="single" w:sz="4" w:space="0" w:color="000000"/>
              <w:left w:val="single" w:sz="12" w:space="0" w:color="000000"/>
              <w:bottom w:val="single" w:sz="4" w:space="0" w:color="000000"/>
              <w:right w:val="single" w:sz="12" w:space="0" w:color="000000"/>
            </w:tcBorders>
          </w:tcPr>
          <w:p w14:paraId="6395EA25" w14:textId="4BF4F3A0" w:rsidR="008A2D17" w:rsidRPr="00425989" w:rsidRDefault="008A2D17" w:rsidP="00FC6809">
            <w:pPr>
              <w:spacing w:after="0" w:line="259" w:lineRule="auto"/>
              <w:ind w:left="0" w:right="46" w:firstLine="0"/>
              <w:jc w:val="center"/>
              <w:rPr>
                <w:rFonts w:eastAsia="Segoe UI Symbol"/>
                <w:sz w:val="18"/>
              </w:rPr>
            </w:pPr>
            <w:r w:rsidRPr="006A6B24">
              <w:rPr>
                <w:rFonts w:eastAsia="Segoe UI Symbol"/>
                <w:sz w:val="18"/>
              </w:rPr>
              <w:t>u</w:t>
            </w:r>
            <w:r w:rsidRPr="006A6B24">
              <w:rPr>
                <w:sz w:val="18"/>
              </w:rPr>
              <w:t>g/L</w:t>
            </w:r>
          </w:p>
        </w:tc>
        <w:tc>
          <w:tcPr>
            <w:tcW w:w="818" w:type="dxa"/>
            <w:tcBorders>
              <w:top w:val="single" w:sz="4" w:space="0" w:color="000000"/>
              <w:left w:val="single" w:sz="12" w:space="0" w:color="000000"/>
              <w:bottom w:val="single" w:sz="4" w:space="0" w:color="000000"/>
              <w:right w:val="single" w:sz="12" w:space="0" w:color="000000"/>
            </w:tcBorders>
          </w:tcPr>
          <w:p w14:paraId="09448841" w14:textId="384D7401" w:rsidR="008A2D17" w:rsidRDefault="008A2D17" w:rsidP="00FC6809">
            <w:pPr>
              <w:spacing w:after="0" w:line="259" w:lineRule="auto"/>
              <w:ind w:left="0" w:right="44" w:firstLine="0"/>
              <w:jc w:val="center"/>
              <w:rPr>
                <w:sz w:val="18"/>
              </w:rPr>
            </w:pPr>
            <w:r>
              <w:rPr>
                <w:sz w:val="18"/>
              </w:rPr>
              <w:t>660</w:t>
            </w:r>
          </w:p>
        </w:tc>
        <w:tc>
          <w:tcPr>
            <w:tcW w:w="997" w:type="dxa"/>
            <w:tcBorders>
              <w:top w:val="single" w:sz="4" w:space="0" w:color="000000"/>
              <w:left w:val="single" w:sz="12" w:space="0" w:color="000000"/>
              <w:bottom w:val="single" w:sz="4" w:space="0" w:color="000000"/>
              <w:right w:val="single" w:sz="12" w:space="0" w:color="000000"/>
            </w:tcBorders>
          </w:tcPr>
          <w:p w14:paraId="252BCDED" w14:textId="6257705D" w:rsidR="008A2D17" w:rsidRDefault="008A2D17" w:rsidP="00FC6809">
            <w:pPr>
              <w:spacing w:after="0" w:line="259" w:lineRule="auto"/>
              <w:ind w:left="0" w:right="44" w:firstLine="0"/>
              <w:jc w:val="center"/>
              <w:rPr>
                <w:rFonts w:eastAsia="Segoe UI Symbol"/>
                <w:sz w:val="18"/>
              </w:rPr>
            </w:pPr>
            <w:r>
              <w:rPr>
                <w:rFonts w:eastAsia="Segoe UI Symbol"/>
                <w:sz w:val="18"/>
              </w:rPr>
              <w:t>u</w:t>
            </w:r>
            <w:r>
              <w:rPr>
                <w:sz w:val="18"/>
              </w:rPr>
              <w:t>g/kg</w:t>
            </w:r>
          </w:p>
        </w:tc>
        <w:tc>
          <w:tcPr>
            <w:tcW w:w="1029" w:type="dxa"/>
            <w:tcBorders>
              <w:top w:val="single" w:sz="4" w:space="0" w:color="000000"/>
              <w:left w:val="single" w:sz="12" w:space="0" w:color="000000"/>
              <w:bottom w:val="single" w:sz="4" w:space="0" w:color="000000"/>
              <w:right w:val="single" w:sz="12" w:space="0" w:color="000000"/>
            </w:tcBorders>
          </w:tcPr>
          <w:p w14:paraId="1C87CC4D" w14:textId="0E681F69" w:rsidR="008A2D17" w:rsidRDefault="008A2D17" w:rsidP="00FC6809">
            <w:pPr>
              <w:spacing w:after="0" w:line="259" w:lineRule="auto"/>
              <w:ind w:left="0" w:right="46" w:firstLine="0"/>
              <w:jc w:val="center"/>
              <w:rPr>
                <w:b/>
                <w:sz w:val="18"/>
              </w:rPr>
            </w:pPr>
            <w:r>
              <w:rPr>
                <w:b/>
                <w:sz w:val="18"/>
              </w:rPr>
              <w:t>8270</w:t>
            </w:r>
          </w:p>
        </w:tc>
        <w:tc>
          <w:tcPr>
            <w:tcW w:w="1592" w:type="dxa"/>
            <w:tcBorders>
              <w:top w:val="single" w:sz="4" w:space="0" w:color="000000"/>
              <w:left w:val="single" w:sz="12" w:space="0" w:color="000000"/>
              <w:bottom w:val="single" w:sz="4" w:space="0" w:color="000000"/>
              <w:right w:val="single" w:sz="12" w:space="0" w:color="000000"/>
            </w:tcBorders>
          </w:tcPr>
          <w:p w14:paraId="20B5593A" w14:textId="4617923D" w:rsidR="008A2D17" w:rsidRPr="008468E1" w:rsidRDefault="008A2D17" w:rsidP="00FC6809">
            <w:pPr>
              <w:spacing w:after="0" w:line="259" w:lineRule="auto"/>
              <w:ind w:left="0" w:right="49" w:firstLine="0"/>
              <w:jc w:val="center"/>
              <w:rPr>
                <w:sz w:val="18"/>
                <w:szCs w:val="18"/>
              </w:rPr>
            </w:pPr>
            <w:r w:rsidRPr="006B4CE1">
              <w:rPr>
                <w:sz w:val="18"/>
                <w:szCs w:val="18"/>
              </w:rPr>
              <w:t>8270 SIM</w:t>
            </w:r>
          </w:p>
        </w:tc>
      </w:tr>
      <w:tr w:rsidR="008A2D17" w14:paraId="4D33B964" w14:textId="77777777" w:rsidTr="00324798">
        <w:trPr>
          <w:trHeight w:val="259"/>
        </w:trPr>
        <w:tc>
          <w:tcPr>
            <w:tcW w:w="3372" w:type="dxa"/>
            <w:tcBorders>
              <w:top w:val="single" w:sz="4" w:space="0" w:color="000000"/>
              <w:left w:val="single" w:sz="12" w:space="0" w:color="000000"/>
              <w:bottom w:val="single" w:sz="4" w:space="0" w:color="000000"/>
              <w:right w:val="single" w:sz="12" w:space="0" w:color="000000"/>
            </w:tcBorders>
          </w:tcPr>
          <w:p w14:paraId="183B717F" w14:textId="11521424" w:rsidR="008A2D17" w:rsidRDefault="008A2D17" w:rsidP="008A2D17">
            <w:pPr>
              <w:spacing w:after="0" w:line="259" w:lineRule="auto"/>
              <w:ind w:left="0" w:right="0" w:firstLine="0"/>
              <w:rPr>
                <w:sz w:val="18"/>
              </w:rPr>
            </w:pPr>
            <w:r>
              <w:rPr>
                <w:sz w:val="18"/>
              </w:rPr>
              <w:t>Di-n-</w:t>
            </w:r>
            <w:proofErr w:type="spellStart"/>
            <w:r>
              <w:rPr>
                <w:sz w:val="18"/>
              </w:rPr>
              <w:t>butylphthalate</w:t>
            </w:r>
            <w:proofErr w:type="spellEnd"/>
            <w:r>
              <w:rPr>
                <w:sz w:val="18"/>
              </w:rPr>
              <w:t xml:space="preserve"> </w:t>
            </w:r>
            <w:r w:rsidRPr="006670D3">
              <w:rPr>
                <w:b/>
                <w:bCs/>
                <w:sz w:val="18"/>
                <w:vertAlign w:val="superscript"/>
              </w:rPr>
              <w:t>17</w:t>
            </w:r>
          </w:p>
        </w:tc>
        <w:tc>
          <w:tcPr>
            <w:tcW w:w="1130" w:type="dxa"/>
            <w:tcBorders>
              <w:top w:val="single" w:sz="4" w:space="0" w:color="000000"/>
              <w:left w:val="single" w:sz="12" w:space="0" w:color="000000"/>
              <w:bottom w:val="single" w:sz="4" w:space="0" w:color="000000"/>
              <w:right w:val="single" w:sz="12" w:space="0" w:color="000000"/>
            </w:tcBorders>
          </w:tcPr>
          <w:p w14:paraId="3B7DE23D" w14:textId="4B89B8D7" w:rsidR="008A2D17" w:rsidRDefault="008A2D17" w:rsidP="00FC6809">
            <w:pPr>
              <w:spacing w:after="0" w:line="259" w:lineRule="auto"/>
              <w:ind w:left="0" w:right="44" w:firstLine="0"/>
              <w:jc w:val="center"/>
              <w:rPr>
                <w:sz w:val="18"/>
              </w:rPr>
            </w:pPr>
            <w:r>
              <w:rPr>
                <w:sz w:val="18"/>
              </w:rPr>
              <w:t>84-74-2</w:t>
            </w:r>
          </w:p>
        </w:tc>
        <w:tc>
          <w:tcPr>
            <w:tcW w:w="866" w:type="dxa"/>
            <w:tcBorders>
              <w:top w:val="single" w:sz="4" w:space="0" w:color="000000"/>
              <w:left w:val="single" w:sz="12" w:space="0" w:color="000000"/>
              <w:bottom w:val="single" w:sz="4" w:space="0" w:color="000000"/>
              <w:right w:val="single" w:sz="12" w:space="0" w:color="000000"/>
            </w:tcBorders>
          </w:tcPr>
          <w:p w14:paraId="675D147A" w14:textId="7D84E4B2" w:rsidR="008A2D17" w:rsidRDefault="008A2D17" w:rsidP="00FC6809">
            <w:pPr>
              <w:spacing w:after="0" w:line="259" w:lineRule="auto"/>
              <w:ind w:left="0" w:right="46" w:firstLine="0"/>
              <w:jc w:val="center"/>
              <w:rPr>
                <w:sz w:val="18"/>
              </w:rPr>
            </w:pPr>
            <w:r>
              <w:rPr>
                <w:sz w:val="18"/>
              </w:rPr>
              <w:t>10</w:t>
            </w:r>
          </w:p>
        </w:tc>
        <w:tc>
          <w:tcPr>
            <w:tcW w:w="816" w:type="dxa"/>
            <w:tcBorders>
              <w:top w:val="single" w:sz="4" w:space="0" w:color="000000"/>
              <w:left w:val="single" w:sz="12" w:space="0" w:color="000000"/>
              <w:bottom w:val="single" w:sz="4" w:space="0" w:color="000000"/>
              <w:right w:val="single" w:sz="12" w:space="0" w:color="000000"/>
            </w:tcBorders>
          </w:tcPr>
          <w:p w14:paraId="78E76FBF" w14:textId="6E4683A3" w:rsidR="008A2D17" w:rsidRPr="00425989" w:rsidRDefault="008A2D17" w:rsidP="00FC6809">
            <w:pPr>
              <w:spacing w:after="0" w:line="259" w:lineRule="auto"/>
              <w:ind w:left="0" w:right="46" w:firstLine="0"/>
              <w:jc w:val="center"/>
              <w:rPr>
                <w:rFonts w:eastAsia="Segoe UI Symbol"/>
                <w:sz w:val="18"/>
              </w:rPr>
            </w:pPr>
            <w:r w:rsidRPr="006A6B24">
              <w:rPr>
                <w:rFonts w:eastAsia="Segoe UI Symbol"/>
                <w:sz w:val="18"/>
              </w:rPr>
              <w:t>u</w:t>
            </w:r>
            <w:r w:rsidRPr="006A6B24">
              <w:rPr>
                <w:sz w:val="18"/>
              </w:rPr>
              <w:t>g/L</w:t>
            </w:r>
          </w:p>
        </w:tc>
        <w:tc>
          <w:tcPr>
            <w:tcW w:w="818" w:type="dxa"/>
            <w:tcBorders>
              <w:top w:val="single" w:sz="4" w:space="0" w:color="000000"/>
              <w:left w:val="single" w:sz="12" w:space="0" w:color="000000"/>
              <w:bottom w:val="single" w:sz="4" w:space="0" w:color="000000"/>
              <w:right w:val="single" w:sz="12" w:space="0" w:color="000000"/>
            </w:tcBorders>
          </w:tcPr>
          <w:p w14:paraId="61B6F403" w14:textId="6422EF35" w:rsidR="008A2D17" w:rsidRDefault="008A2D17" w:rsidP="00FC6809">
            <w:pPr>
              <w:spacing w:after="0" w:line="259" w:lineRule="auto"/>
              <w:ind w:left="0" w:right="44" w:firstLine="0"/>
              <w:jc w:val="center"/>
              <w:rPr>
                <w:sz w:val="18"/>
              </w:rPr>
            </w:pPr>
            <w:r>
              <w:rPr>
                <w:sz w:val="18"/>
              </w:rPr>
              <w:t>660</w:t>
            </w:r>
          </w:p>
        </w:tc>
        <w:tc>
          <w:tcPr>
            <w:tcW w:w="997" w:type="dxa"/>
            <w:tcBorders>
              <w:top w:val="single" w:sz="4" w:space="0" w:color="000000"/>
              <w:left w:val="single" w:sz="12" w:space="0" w:color="000000"/>
              <w:bottom w:val="single" w:sz="4" w:space="0" w:color="000000"/>
              <w:right w:val="single" w:sz="12" w:space="0" w:color="000000"/>
            </w:tcBorders>
          </w:tcPr>
          <w:p w14:paraId="42BBFA38" w14:textId="64E3B3EC" w:rsidR="008A2D17" w:rsidRDefault="008A2D17" w:rsidP="00FC6809">
            <w:pPr>
              <w:spacing w:after="0" w:line="259" w:lineRule="auto"/>
              <w:ind w:left="0" w:right="44" w:firstLine="0"/>
              <w:jc w:val="center"/>
              <w:rPr>
                <w:rFonts w:eastAsia="Segoe UI Symbol"/>
                <w:sz w:val="18"/>
              </w:rPr>
            </w:pPr>
            <w:r>
              <w:rPr>
                <w:rFonts w:eastAsia="Segoe UI Symbol"/>
                <w:sz w:val="18"/>
              </w:rPr>
              <w:t>u</w:t>
            </w:r>
            <w:r>
              <w:rPr>
                <w:sz w:val="18"/>
              </w:rPr>
              <w:t>g/kg</w:t>
            </w:r>
          </w:p>
        </w:tc>
        <w:tc>
          <w:tcPr>
            <w:tcW w:w="1029" w:type="dxa"/>
            <w:tcBorders>
              <w:top w:val="single" w:sz="4" w:space="0" w:color="000000"/>
              <w:left w:val="single" w:sz="12" w:space="0" w:color="000000"/>
              <w:bottom w:val="single" w:sz="4" w:space="0" w:color="000000"/>
              <w:right w:val="single" w:sz="12" w:space="0" w:color="000000"/>
            </w:tcBorders>
          </w:tcPr>
          <w:p w14:paraId="407B1C19" w14:textId="2B3FA750" w:rsidR="008A2D17" w:rsidRDefault="008A2D17" w:rsidP="00FC6809">
            <w:pPr>
              <w:spacing w:after="0" w:line="259" w:lineRule="auto"/>
              <w:ind w:left="0" w:right="46" w:firstLine="0"/>
              <w:jc w:val="center"/>
              <w:rPr>
                <w:b/>
                <w:sz w:val="18"/>
              </w:rPr>
            </w:pPr>
            <w:r>
              <w:rPr>
                <w:b/>
                <w:sz w:val="18"/>
              </w:rPr>
              <w:t>8270</w:t>
            </w:r>
          </w:p>
        </w:tc>
        <w:tc>
          <w:tcPr>
            <w:tcW w:w="1592" w:type="dxa"/>
            <w:tcBorders>
              <w:top w:val="single" w:sz="4" w:space="0" w:color="000000"/>
              <w:left w:val="single" w:sz="12" w:space="0" w:color="000000"/>
              <w:bottom w:val="single" w:sz="4" w:space="0" w:color="000000"/>
              <w:right w:val="single" w:sz="12" w:space="0" w:color="000000"/>
            </w:tcBorders>
          </w:tcPr>
          <w:p w14:paraId="4DF1B82F" w14:textId="04578CB7" w:rsidR="008A2D17" w:rsidRPr="008468E1" w:rsidRDefault="008A2D17" w:rsidP="00FC6809">
            <w:pPr>
              <w:spacing w:after="0" w:line="259" w:lineRule="auto"/>
              <w:ind w:left="0" w:right="49" w:firstLine="0"/>
              <w:jc w:val="center"/>
              <w:rPr>
                <w:sz w:val="18"/>
                <w:szCs w:val="18"/>
              </w:rPr>
            </w:pPr>
            <w:r w:rsidRPr="006B4CE1">
              <w:rPr>
                <w:sz w:val="18"/>
                <w:szCs w:val="18"/>
              </w:rPr>
              <w:t>8270 SIM</w:t>
            </w:r>
          </w:p>
        </w:tc>
      </w:tr>
      <w:tr w:rsidR="008A2D17" w14:paraId="33263B7F" w14:textId="77777777" w:rsidTr="00324798">
        <w:trPr>
          <w:trHeight w:val="259"/>
        </w:trPr>
        <w:tc>
          <w:tcPr>
            <w:tcW w:w="3372" w:type="dxa"/>
            <w:tcBorders>
              <w:top w:val="single" w:sz="4" w:space="0" w:color="000000"/>
              <w:left w:val="single" w:sz="12" w:space="0" w:color="000000"/>
              <w:bottom w:val="single" w:sz="4" w:space="0" w:color="000000"/>
              <w:right w:val="single" w:sz="12" w:space="0" w:color="000000"/>
            </w:tcBorders>
          </w:tcPr>
          <w:p w14:paraId="545C14C2" w14:textId="2DBDF1C4" w:rsidR="008A2D17" w:rsidRDefault="008A2D17" w:rsidP="008A2D17">
            <w:pPr>
              <w:spacing w:after="0" w:line="259" w:lineRule="auto"/>
              <w:ind w:left="0" w:right="0" w:firstLine="0"/>
              <w:rPr>
                <w:sz w:val="18"/>
              </w:rPr>
            </w:pPr>
            <w:r>
              <w:rPr>
                <w:sz w:val="18"/>
              </w:rPr>
              <w:t>3,3’-</w:t>
            </w:r>
            <w:r w:rsidRPr="00DB5634">
              <w:rPr>
                <w:sz w:val="18"/>
              </w:rPr>
              <w:t>Dichlorobenzidine</w:t>
            </w:r>
            <w:r w:rsidRPr="00757EE9">
              <w:rPr>
                <w:sz w:val="18"/>
                <w:vertAlign w:val="superscript"/>
              </w:rPr>
              <w:t xml:space="preserve"> </w:t>
            </w:r>
            <w:r w:rsidRPr="006670D3">
              <w:rPr>
                <w:b/>
                <w:bCs/>
                <w:sz w:val="18"/>
                <w:vertAlign w:val="superscript"/>
              </w:rPr>
              <w:t>18</w:t>
            </w:r>
          </w:p>
        </w:tc>
        <w:tc>
          <w:tcPr>
            <w:tcW w:w="1130" w:type="dxa"/>
            <w:tcBorders>
              <w:top w:val="single" w:sz="4" w:space="0" w:color="000000"/>
              <w:left w:val="single" w:sz="12" w:space="0" w:color="000000"/>
              <w:bottom w:val="single" w:sz="4" w:space="0" w:color="000000"/>
              <w:right w:val="single" w:sz="12" w:space="0" w:color="000000"/>
            </w:tcBorders>
          </w:tcPr>
          <w:p w14:paraId="6B9531BD" w14:textId="4402607C" w:rsidR="008A2D17" w:rsidRDefault="008A2D17" w:rsidP="00FC6809">
            <w:pPr>
              <w:spacing w:after="0" w:line="259" w:lineRule="auto"/>
              <w:ind w:left="0" w:right="44" w:firstLine="0"/>
              <w:jc w:val="center"/>
              <w:rPr>
                <w:sz w:val="18"/>
              </w:rPr>
            </w:pPr>
            <w:r>
              <w:rPr>
                <w:sz w:val="18"/>
              </w:rPr>
              <w:t>91-94-1</w:t>
            </w:r>
          </w:p>
        </w:tc>
        <w:tc>
          <w:tcPr>
            <w:tcW w:w="866" w:type="dxa"/>
            <w:tcBorders>
              <w:top w:val="single" w:sz="4" w:space="0" w:color="000000"/>
              <w:left w:val="single" w:sz="12" w:space="0" w:color="000000"/>
              <w:bottom w:val="single" w:sz="4" w:space="0" w:color="000000"/>
              <w:right w:val="single" w:sz="12" w:space="0" w:color="000000"/>
            </w:tcBorders>
          </w:tcPr>
          <w:p w14:paraId="55A202A4" w14:textId="2A3C4645" w:rsidR="008A2D17" w:rsidRDefault="008A2D17" w:rsidP="00FC6809">
            <w:pPr>
              <w:spacing w:after="0" w:line="259" w:lineRule="auto"/>
              <w:ind w:left="0" w:right="46" w:firstLine="0"/>
              <w:jc w:val="center"/>
              <w:rPr>
                <w:sz w:val="18"/>
              </w:rPr>
            </w:pPr>
            <w:r>
              <w:rPr>
                <w:sz w:val="18"/>
              </w:rPr>
              <w:t>20</w:t>
            </w:r>
          </w:p>
        </w:tc>
        <w:tc>
          <w:tcPr>
            <w:tcW w:w="816" w:type="dxa"/>
            <w:tcBorders>
              <w:top w:val="single" w:sz="4" w:space="0" w:color="000000"/>
              <w:left w:val="single" w:sz="12" w:space="0" w:color="000000"/>
              <w:bottom w:val="single" w:sz="4" w:space="0" w:color="000000"/>
              <w:right w:val="single" w:sz="12" w:space="0" w:color="000000"/>
            </w:tcBorders>
          </w:tcPr>
          <w:p w14:paraId="434C2578" w14:textId="65609B02" w:rsidR="008A2D17" w:rsidRPr="00425989" w:rsidRDefault="008A2D17" w:rsidP="00FC6809">
            <w:pPr>
              <w:spacing w:after="0" w:line="259" w:lineRule="auto"/>
              <w:ind w:left="0" w:right="46" w:firstLine="0"/>
              <w:jc w:val="center"/>
              <w:rPr>
                <w:rFonts w:eastAsia="Segoe UI Symbol"/>
                <w:sz w:val="18"/>
              </w:rPr>
            </w:pPr>
            <w:r w:rsidRPr="005B46B1">
              <w:rPr>
                <w:rFonts w:eastAsia="Segoe UI Symbol"/>
                <w:sz w:val="18"/>
              </w:rPr>
              <w:t>u</w:t>
            </w:r>
            <w:r w:rsidRPr="007137E4">
              <w:rPr>
                <w:sz w:val="18"/>
              </w:rPr>
              <w:t>g/L</w:t>
            </w:r>
          </w:p>
        </w:tc>
        <w:tc>
          <w:tcPr>
            <w:tcW w:w="818" w:type="dxa"/>
            <w:tcBorders>
              <w:top w:val="single" w:sz="4" w:space="0" w:color="000000"/>
              <w:left w:val="single" w:sz="12" w:space="0" w:color="000000"/>
              <w:bottom w:val="single" w:sz="4" w:space="0" w:color="000000"/>
              <w:right w:val="single" w:sz="12" w:space="0" w:color="000000"/>
            </w:tcBorders>
          </w:tcPr>
          <w:p w14:paraId="5B4648E7" w14:textId="462782AE" w:rsidR="008A2D17" w:rsidRDefault="008A2D17" w:rsidP="00FC6809">
            <w:pPr>
              <w:spacing w:after="0" w:line="259" w:lineRule="auto"/>
              <w:ind w:left="0" w:right="44" w:firstLine="0"/>
              <w:jc w:val="center"/>
              <w:rPr>
                <w:sz w:val="18"/>
              </w:rPr>
            </w:pPr>
            <w:r>
              <w:rPr>
                <w:sz w:val="18"/>
              </w:rPr>
              <w:t>1300</w:t>
            </w:r>
          </w:p>
        </w:tc>
        <w:tc>
          <w:tcPr>
            <w:tcW w:w="997" w:type="dxa"/>
            <w:tcBorders>
              <w:top w:val="single" w:sz="4" w:space="0" w:color="000000"/>
              <w:left w:val="single" w:sz="12" w:space="0" w:color="000000"/>
              <w:bottom w:val="single" w:sz="4" w:space="0" w:color="000000"/>
              <w:right w:val="single" w:sz="12" w:space="0" w:color="000000"/>
            </w:tcBorders>
          </w:tcPr>
          <w:p w14:paraId="3267BDBB" w14:textId="74CD16B6" w:rsidR="008A2D17" w:rsidRDefault="008A2D17" w:rsidP="00FC6809">
            <w:pPr>
              <w:spacing w:after="0" w:line="259" w:lineRule="auto"/>
              <w:ind w:left="0" w:right="44" w:firstLine="0"/>
              <w:jc w:val="center"/>
              <w:rPr>
                <w:rFonts w:eastAsia="Segoe UI Symbol"/>
                <w:sz w:val="18"/>
              </w:rPr>
            </w:pPr>
            <w:r>
              <w:rPr>
                <w:rFonts w:eastAsia="Segoe UI Symbol"/>
                <w:sz w:val="18"/>
              </w:rPr>
              <w:t>u</w:t>
            </w:r>
            <w:r>
              <w:rPr>
                <w:sz w:val="18"/>
              </w:rPr>
              <w:t>g/kg</w:t>
            </w:r>
          </w:p>
        </w:tc>
        <w:tc>
          <w:tcPr>
            <w:tcW w:w="1029" w:type="dxa"/>
            <w:tcBorders>
              <w:top w:val="single" w:sz="4" w:space="0" w:color="000000"/>
              <w:left w:val="single" w:sz="12" w:space="0" w:color="000000"/>
              <w:bottom w:val="single" w:sz="4" w:space="0" w:color="000000"/>
              <w:right w:val="single" w:sz="12" w:space="0" w:color="000000"/>
            </w:tcBorders>
          </w:tcPr>
          <w:p w14:paraId="50E6736B" w14:textId="7AED4B96" w:rsidR="008A2D17" w:rsidRDefault="008A2D17" w:rsidP="00FC6809">
            <w:pPr>
              <w:spacing w:after="0" w:line="259" w:lineRule="auto"/>
              <w:ind w:left="0" w:right="46" w:firstLine="0"/>
              <w:jc w:val="center"/>
              <w:rPr>
                <w:b/>
                <w:sz w:val="18"/>
              </w:rPr>
            </w:pPr>
            <w:r>
              <w:rPr>
                <w:b/>
                <w:sz w:val="18"/>
              </w:rPr>
              <w:t>8270</w:t>
            </w:r>
          </w:p>
        </w:tc>
        <w:tc>
          <w:tcPr>
            <w:tcW w:w="1592" w:type="dxa"/>
            <w:tcBorders>
              <w:top w:val="single" w:sz="4" w:space="0" w:color="000000"/>
              <w:left w:val="single" w:sz="12" w:space="0" w:color="000000"/>
              <w:bottom w:val="single" w:sz="4" w:space="0" w:color="000000"/>
              <w:right w:val="single" w:sz="12" w:space="0" w:color="000000"/>
            </w:tcBorders>
          </w:tcPr>
          <w:p w14:paraId="33E6AA76" w14:textId="19136D55" w:rsidR="008A2D17" w:rsidRPr="008468E1" w:rsidRDefault="008A2D17" w:rsidP="00FC6809">
            <w:pPr>
              <w:spacing w:after="0" w:line="259" w:lineRule="auto"/>
              <w:ind w:left="0" w:right="49" w:firstLine="0"/>
              <w:jc w:val="center"/>
              <w:rPr>
                <w:sz w:val="18"/>
                <w:szCs w:val="18"/>
              </w:rPr>
            </w:pPr>
            <w:r w:rsidRPr="006B4CE1">
              <w:rPr>
                <w:sz w:val="18"/>
                <w:szCs w:val="18"/>
              </w:rPr>
              <w:t>8270 SIM</w:t>
            </w:r>
          </w:p>
        </w:tc>
      </w:tr>
      <w:tr w:rsidR="008A2D17" w14:paraId="7F68228B" w14:textId="77777777" w:rsidTr="00324798">
        <w:trPr>
          <w:trHeight w:val="259"/>
        </w:trPr>
        <w:tc>
          <w:tcPr>
            <w:tcW w:w="3372" w:type="dxa"/>
            <w:tcBorders>
              <w:top w:val="single" w:sz="4" w:space="0" w:color="000000"/>
              <w:left w:val="single" w:sz="12" w:space="0" w:color="000000"/>
              <w:bottom w:val="single" w:sz="4" w:space="0" w:color="000000"/>
              <w:right w:val="single" w:sz="12" w:space="0" w:color="000000"/>
            </w:tcBorders>
          </w:tcPr>
          <w:p w14:paraId="5CC54DAD" w14:textId="19561FE9" w:rsidR="008A2D17" w:rsidRDefault="008A2D17" w:rsidP="008A2D17">
            <w:pPr>
              <w:spacing w:after="0" w:line="259" w:lineRule="auto"/>
              <w:ind w:left="0" w:right="0" w:firstLine="0"/>
              <w:rPr>
                <w:sz w:val="18"/>
              </w:rPr>
            </w:pPr>
            <w:r>
              <w:rPr>
                <w:sz w:val="18"/>
              </w:rPr>
              <w:t xml:space="preserve">2,4-Dichlorophenol </w:t>
            </w:r>
          </w:p>
        </w:tc>
        <w:tc>
          <w:tcPr>
            <w:tcW w:w="1130" w:type="dxa"/>
            <w:tcBorders>
              <w:top w:val="single" w:sz="4" w:space="0" w:color="000000"/>
              <w:left w:val="single" w:sz="12" w:space="0" w:color="000000"/>
              <w:bottom w:val="single" w:sz="4" w:space="0" w:color="000000"/>
              <w:right w:val="single" w:sz="12" w:space="0" w:color="000000"/>
            </w:tcBorders>
          </w:tcPr>
          <w:p w14:paraId="1841DE2F" w14:textId="7C79A2EA" w:rsidR="008A2D17" w:rsidRDefault="008A2D17" w:rsidP="00FC6809">
            <w:pPr>
              <w:spacing w:after="0" w:line="259" w:lineRule="auto"/>
              <w:ind w:left="0" w:right="44" w:firstLine="0"/>
              <w:jc w:val="center"/>
              <w:rPr>
                <w:sz w:val="18"/>
              </w:rPr>
            </w:pPr>
            <w:r>
              <w:rPr>
                <w:sz w:val="18"/>
              </w:rPr>
              <w:t>120-83-2</w:t>
            </w:r>
          </w:p>
        </w:tc>
        <w:tc>
          <w:tcPr>
            <w:tcW w:w="866" w:type="dxa"/>
            <w:tcBorders>
              <w:top w:val="single" w:sz="4" w:space="0" w:color="000000"/>
              <w:left w:val="single" w:sz="12" w:space="0" w:color="000000"/>
              <w:bottom w:val="single" w:sz="4" w:space="0" w:color="000000"/>
              <w:right w:val="single" w:sz="12" w:space="0" w:color="000000"/>
            </w:tcBorders>
          </w:tcPr>
          <w:p w14:paraId="31F57FFA" w14:textId="616BDAB9" w:rsidR="008A2D17" w:rsidRDefault="008A2D17" w:rsidP="00FC6809">
            <w:pPr>
              <w:spacing w:after="0" w:line="259" w:lineRule="auto"/>
              <w:ind w:left="0" w:right="46" w:firstLine="0"/>
              <w:jc w:val="center"/>
              <w:rPr>
                <w:sz w:val="18"/>
              </w:rPr>
            </w:pPr>
            <w:r>
              <w:rPr>
                <w:sz w:val="18"/>
              </w:rPr>
              <w:t>10</w:t>
            </w:r>
          </w:p>
        </w:tc>
        <w:tc>
          <w:tcPr>
            <w:tcW w:w="816" w:type="dxa"/>
            <w:tcBorders>
              <w:top w:val="single" w:sz="4" w:space="0" w:color="000000"/>
              <w:left w:val="single" w:sz="12" w:space="0" w:color="000000"/>
              <w:bottom w:val="single" w:sz="4" w:space="0" w:color="000000"/>
              <w:right w:val="single" w:sz="12" w:space="0" w:color="000000"/>
            </w:tcBorders>
          </w:tcPr>
          <w:p w14:paraId="323B5790" w14:textId="01B2E4D2" w:rsidR="008A2D17" w:rsidRPr="00425989" w:rsidRDefault="008A2D17" w:rsidP="00FC6809">
            <w:pPr>
              <w:spacing w:after="0" w:line="259" w:lineRule="auto"/>
              <w:ind w:left="0" w:right="46" w:firstLine="0"/>
              <w:jc w:val="center"/>
              <w:rPr>
                <w:rFonts w:eastAsia="Segoe UI Symbol"/>
                <w:sz w:val="18"/>
              </w:rPr>
            </w:pPr>
            <w:r w:rsidRPr="005B46B1">
              <w:rPr>
                <w:rFonts w:eastAsia="Segoe UI Symbol"/>
                <w:sz w:val="18"/>
              </w:rPr>
              <w:t>u</w:t>
            </w:r>
            <w:r w:rsidRPr="007137E4">
              <w:rPr>
                <w:sz w:val="18"/>
              </w:rPr>
              <w:t>g/L</w:t>
            </w:r>
          </w:p>
        </w:tc>
        <w:tc>
          <w:tcPr>
            <w:tcW w:w="818" w:type="dxa"/>
            <w:tcBorders>
              <w:top w:val="single" w:sz="4" w:space="0" w:color="000000"/>
              <w:left w:val="single" w:sz="12" w:space="0" w:color="000000"/>
              <w:bottom w:val="single" w:sz="4" w:space="0" w:color="000000"/>
              <w:right w:val="single" w:sz="12" w:space="0" w:color="000000"/>
            </w:tcBorders>
          </w:tcPr>
          <w:p w14:paraId="299AFC91" w14:textId="0B3E80F1" w:rsidR="008A2D17" w:rsidRDefault="008A2D17" w:rsidP="00FC6809">
            <w:pPr>
              <w:spacing w:after="0" w:line="259" w:lineRule="auto"/>
              <w:ind w:left="0" w:right="44" w:firstLine="0"/>
              <w:jc w:val="center"/>
              <w:rPr>
                <w:sz w:val="18"/>
              </w:rPr>
            </w:pPr>
            <w:r>
              <w:rPr>
                <w:sz w:val="18"/>
              </w:rPr>
              <w:t>660</w:t>
            </w:r>
          </w:p>
        </w:tc>
        <w:tc>
          <w:tcPr>
            <w:tcW w:w="997" w:type="dxa"/>
            <w:tcBorders>
              <w:top w:val="single" w:sz="4" w:space="0" w:color="000000"/>
              <w:left w:val="single" w:sz="12" w:space="0" w:color="000000"/>
              <w:bottom w:val="single" w:sz="4" w:space="0" w:color="000000"/>
              <w:right w:val="single" w:sz="12" w:space="0" w:color="000000"/>
            </w:tcBorders>
          </w:tcPr>
          <w:p w14:paraId="39D80491" w14:textId="17F81D18" w:rsidR="008A2D17" w:rsidRDefault="008A2D17" w:rsidP="00FC6809">
            <w:pPr>
              <w:spacing w:after="0" w:line="259" w:lineRule="auto"/>
              <w:ind w:left="0" w:right="44" w:firstLine="0"/>
              <w:jc w:val="center"/>
              <w:rPr>
                <w:rFonts w:eastAsia="Segoe UI Symbol"/>
                <w:sz w:val="18"/>
              </w:rPr>
            </w:pPr>
            <w:r>
              <w:rPr>
                <w:rFonts w:eastAsia="Segoe UI Symbol"/>
                <w:sz w:val="18"/>
              </w:rPr>
              <w:t>u</w:t>
            </w:r>
            <w:r>
              <w:rPr>
                <w:sz w:val="18"/>
              </w:rPr>
              <w:t>g/kg</w:t>
            </w:r>
          </w:p>
        </w:tc>
        <w:tc>
          <w:tcPr>
            <w:tcW w:w="1029" w:type="dxa"/>
            <w:tcBorders>
              <w:top w:val="single" w:sz="4" w:space="0" w:color="000000"/>
              <w:left w:val="single" w:sz="12" w:space="0" w:color="000000"/>
              <w:bottom w:val="single" w:sz="4" w:space="0" w:color="000000"/>
              <w:right w:val="single" w:sz="12" w:space="0" w:color="000000"/>
            </w:tcBorders>
          </w:tcPr>
          <w:p w14:paraId="2F3409DD" w14:textId="77E561CF" w:rsidR="008A2D17" w:rsidRDefault="008A2D17" w:rsidP="00FC6809">
            <w:pPr>
              <w:spacing w:after="0" w:line="259" w:lineRule="auto"/>
              <w:ind w:left="0" w:right="46" w:firstLine="0"/>
              <w:jc w:val="center"/>
              <w:rPr>
                <w:b/>
                <w:sz w:val="18"/>
              </w:rPr>
            </w:pPr>
            <w:r>
              <w:rPr>
                <w:b/>
                <w:sz w:val="18"/>
              </w:rPr>
              <w:t>8270</w:t>
            </w:r>
          </w:p>
        </w:tc>
        <w:tc>
          <w:tcPr>
            <w:tcW w:w="1592" w:type="dxa"/>
            <w:tcBorders>
              <w:top w:val="single" w:sz="4" w:space="0" w:color="000000"/>
              <w:left w:val="single" w:sz="12" w:space="0" w:color="000000"/>
              <w:bottom w:val="single" w:sz="4" w:space="0" w:color="000000"/>
              <w:right w:val="single" w:sz="12" w:space="0" w:color="000000"/>
            </w:tcBorders>
          </w:tcPr>
          <w:p w14:paraId="7A6B3F4B" w14:textId="7CD058B9" w:rsidR="008A2D17" w:rsidRPr="008468E1" w:rsidRDefault="008A2D17" w:rsidP="00FC6809">
            <w:pPr>
              <w:spacing w:after="0" w:line="259" w:lineRule="auto"/>
              <w:ind w:left="0" w:right="49" w:firstLine="0"/>
              <w:jc w:val="center"/>
              <w:rPr>
                <w:sz w:val="18"/>
                <w:szCs w:val="18"/>
              </w:rPr>
            </w:pPr>
            <w:r w:rsidRPr="006B4CE1">
              <w:rPr>
                <w:sz w:val="18"/>
                <w:szCs w:val="18"/>
              </w:rPr>
              <w:t>8270 SIM</w:t>
            </w:r>
          </w:p>
        </w:tc>
      </w:tr>
      <w:tr w:rsidR="008A2D17" w14:paraId="4B2BAE9F" w14:textId="77777777" w:rsidTr="00324798">
        <w:trPr>
          <w:trHeight w:val="259"/>
        </w:trPr>
        <w:tc>
          <w:tcPr>
            <w:tcW w:w="3372" w:type="dxa"/>
            <w:tcBorders>
              <w:top w:val="single" w:sz="4" w:space="0" w:color="000000"/>
              <w:left w:val="single" w:sz="12" w:space="0" w:color="000000"/>
              <w:bottom w:val="single" w:sz="4" w:space="0" w:color="000000"/>
              <w:right w:val="single" w:sz="12" w:space="0" w:color="000000"/>
            </w:tcBorders>
          </w:tcPr>
          <w:p w14:paraId="590229E7" w14:textId="5FE89FCD" w:rsidR="008A2D17" w:rsidRDefault="008A2D17" w:rsidP="008A2D17">
            <w:pPr>
              <w:spacing w:after="0" w:line="259" w:lineRule="auto"/>
              <w:ind w:left="0" w:right="0" w:firstLine="0"/>
              <w:rPr>
                <w:sz w:val="18"/>
              </w:rPr>
            </w:pPr>
            <w:r>
              <w:rPr>
                <w:sz w:val="18"/>
              </w:rPr>
              <w:t xml:space="preserve">Diethyl phthalate </w:t>
            </w:r>
            <w:r w:rsidRPr="006670D3">
              <w:rPr>
                <w:b/>
                <w:bCs/>
                <w:sz w:val="18"/>
                <w:vertAlign w:val="superscript"/>
              </w:rPr>
              <w:t>17</w:t>
            </w:r>
          </w:p>
        </w:tc>
        <w:tc>
          <w:tcPr>
            <w:tcW w:w="1130" w:type="dxa"/>
            <w:tcBorders>
              <w:top w:val="single" w:sz="4" w:space="0" w:color="000000"/>
              <w:left w:val="single" w:sz="12" w:space="0" w:color="000000"/>
              <w:bottom w:val="single" w:sz="4" w:space="0" w:color="000000"/>
              <w:right w:val="single" w:sz="12" w:space="0" w:color="000000"/>
            </w:tcBorders>
          </w:tcPr>
          <w:p w14:paraId="430E630D" w14:textId="35E62E3F" w:rsidR="008A2D17" w:rsidRDefault="008A2D17" w:rsidP="00FC6809">
            <w:pPr>
              <w:spacing w:after="0" w:line="259" w:lineRule="auto"/>
              <w:ind w:left="0" w:right="44" w:firstLine="0"/>
              <w:jc w:val="center"/>
              <w:rPr>
                <w:sz w:val="18"/>
              </w:rPr>
            </w:pPr>
            <w:r>
              <w:rPr>
                <w:sz w:val="18"/>
              </w:rPr>
              <w:t>84-66-2</w:t>
            </w:r>
          </w:p>
        </w:tc>
        <w:tc>
          <w:tcPr>
            <w:tcW w:w="866" w:type="dxa"/>
            <w:tcBorders>
              <w:top w:val="single" w:sz="4" w:space="0" w:color="000000"/>
              <w:left w:val="single" w:sz="12" w:space="0" w:color="000000"/>
              <w:bottom w:val="single" w:sz="4" w:space="0" w:color="000000"/>
              <w:right w:val="single" w:sz="12" w:space="0" w:color="000000"/>
            </w:tcBorders>
          </w:tcPr>
          <w:p w14:paraId="19FAC54A" w14:textId="5A88FE07" w:rsidR="008A2D17" w:rsidRDefault="008A2D17" w:rsidP="00FC6809">
            <w:pPr>
              <w:spacing w:after="0" w:line="259" w:lineRule="auto"/>
              <w:ind w:left="0" w:right="46" w:firstLine="0"/>
              <w:jc w:val="center"/>
              <w:rPr>
                <w:sz w:val="18"/>
              </w:rPr>
            </w:pPr>
            <w:r>
              <w:rPr>
                <w:sz w:val="18"/>
              </w:rPr>
              <w:t>10</w:t>
            </w:r>
          </w:p>
        </w:tc>
        <w:tc>
          <w:tcPr>
            <w:tcW w:w="816" w:type="dxa"/>
            <w:tcBorders>
              <w:top w:val="single" w:sz="4" w:space="0" w:color="000000"/>
              <w:left w:val="single" w:sz="12" w:space="0" w:color="000000"/>
              <w:bottom w:val="single" w:sz="4" w:space="0" w:color="000000"/>
              <w:right w:val="single" w:sz="12" w:space="0" w:color="000000"/>
            </w:tcBorders>
          </w:tcPr>
          <w:p w14:paraId="446F5A03" w14:textId="548635E6" w:rsidR="008A2D17" w:rsidRPr="00425989" w:rsidRDefault="008A2D17" w:rsidP="00FC6809">
            <w:pPr>
              <w:spacing w:after="0" w:line="259" w:lineRule="auto"/>
              <w:ind w:left="0" w:right="46" w:firstLine="0"/>
              <w:jc w:val="center"/>
              <w:rPr>
                <w:rFonts w:eastAsia="Segoe UI Symbol"/>
                <w:sz w:val="18"/>
              </w:rPr>
            </w:pPr>
            <w:r w:rsidRPr="005B46B1">
              <w:rPr>
                <w:rFonts w:eastAsia="Segoe UI Symbol"/>
                <w:sz w:val="18"/>
              </w:rPr>
              <w:t>u</w:t>
            </w:r>
            <w:r w:rsidRPr="007137E4">
              <w:rPr>
                <w:sz w:val="18"/>
              </w:rPr>
              <w:t>g/L</w:t>
            </w:r>
          </w:p>
        </w:tc>
        <w:tc>
          <w:tcPr>
            <w:tcW w:w="818" w:type="dxa"/>
            <w:tcBorders>
              <w:top w:val="single" w:sz="4" w:space="0" w:color="000000"/>
              <w:left w:val="single" w:sz="12" w:space="0" w:color="000000"/>
              <w:bottom w:val="single" w:sz="4" w:space="0" w:color="000000"/>
              <w:right w:val="single" w:sz="12" w:space="0" w:color="000000"/>
            </w:tcBorders>
          </w:tcPr>
          <w:p w14:paraId="7EDCEC6B" w14:textId="7DFE47EE" w:rsidR="008A2D17" w:rsidRDefault="008A2D17" w:rsidP="00FC6809">
            <w:pPr>
              <w:spacing w:after="0" w:line="259" w:lineRule="auto"/>
              <w:ind w:left="0" w:right="44" w:firstLine="0"/>
              <w:jc w:val="center"/>
              <w:rPr>
                <w:sz w:val="18"/>
              </w:rPr>
            </w:pPr>
            <w:r>
              <w:rPr>
                <w:sz w:val="18"/>
              </w:rPr>
              <w:t>660</w:t>
            </w:r>
          </w:p>
        </w:tc>
        <w:tc>
          <w:tcPr>
            <w:tcW w:w="997" w:type="dxa"/>
            <w:tcBorders>
              <w:top w:val="single" w:sz="4" w:space="0" w:color="000000"/>
              <w:left w:val="single" w:sz="12" w:space="0" w:color="000000"/>
              <w:bottom w:val="single" w:sz="4" w:space="0" w:color="000000"/>
              <w:right w:val="single" w:sz="12" w:space="0" w:color="000000"/>
            </w:tcBorders>
          </w:tcPr>
          <w:p w14:paraId="7C66C213" w14:textId="2F1CB7FB" w:rsidR="008A2D17" w:rsidRDefault="008A2D17" w:rsidP="00FC6809">
            <w:pPr>
              <w:spacing w:after="0" w:line="259" w:lineRule="auto"/>
              <w:ind w:left="0" w:right="44" w:firstLine="0"/>
              <w:jc w:val="center"/>
              <w:rPr>
                <w:rFonts w:eastAsia="Segoe UI Symbol"/>
                <w:sz w:val="18"/>
              </w:rPr>
            </w:pPr>
            <w:r>
              <w:rPr>
                <w:rFonts w:eastAsia="Segoe UI Symbol"/>
                <w:sz w:val="18"/>
              </w:rPr>
              <w:t>u</w:t>
            </w:r>
            <w:r>
              <w:rPr>
                <w:sz w:val="18"/>
              </w:rPr>
              <w:t>g/kg</w:t>
            </w:r>
          </w:p>
        </w:tc>
        <w:tc>
          <w:tcPr>
            <w:tcW w:w="1029" w:type="dxa"/>
            <w:tcBorders>
              <w:top w:val="single" w:sz="4" w:space="0" w:color="000000"/>
              <w:left w:val="single" w:sz="12" w:space="0" w:color="000000"/>
              <w:bottom w:val="single" w:sz="4" w:space="0" w:color="000000"/>
              <w:right w:val="single" w:sz="12" w:space="0" w:color="000000"/>
            </w:tcBorders>
          </w:tcPr>
          <w:p w14:paraId="0D3040D3" w14:textId="1F1A7345" w:rsidR="008A2D17" w:rsidRDefault="008A2D17" w:rsidP="00FC6809">
            <w:pPr>
              <w:spacing w:after="0" w:line="259" w:lineRule="auto"/>
              <w:ind w:left="0" w:right="46" w:firstLine="0"/>
              <w:jc w:val="center"/>
              <w:rPr>
                <w:b/>
                <w:sz w:val="18"/>
              </w:rPr>
            </w:pPr>
            <w:r>
              <w:rPr>
                <w:b/>
                <w:sz w:val="18"/>
              </w:rPr>
              <w:t>8270</w:t>
            </w:r>
          </w:p>
        </w:tc>
        <w:tc>
          <w:tcPr>
            <w:tcW w:w="1592" w:type="dxa"/>
            <w:tcBorders>
              <w:top w:val="single" w:sz="4" w:space="0" w:color="000000"/>
              <w:left w:val="single" w:sz="12" w:space="0" w:color="000000"/>
              <w:bottom w:val="single" w:sz="4" w:space="0" w:color="000000"/>
              <w:right w:val="single" w:sz="12" w:space="0" w:color="000000"/>
            </w:tcBorders>
          </w:tcPr>
          <w:p w14:paraId="0F33A41D" w14:textId="322413D4" w:rsidR="008A2D17" w:rsidRPr="008468E1" w:rsidRDefault="008A2D17" w:rsidP="00FC6809">
            <w:pPr>
              <w:spacing w:after="0" w:line="259" w:lineRule="auto"/>
              <w:ind w:left="0" w:right="49" w:firstLine="0"/>
              <w:jc w:val="center"/>
              <w:rPr>
                <w:sz w:val="18"/>
                <w:szCs w:val="18"/>
              </w:rPr>
            </w:pPr>
            <w:r w:rsidRPr="006B4CE1">
              <w:rPr>
                <w:sz w:val="18"/>
                <w:szCs w:val="18"/>
              </w:rPr>
              <w:t>8270 SIM</w:t>
            </w:r>
          </w:p>
        </w:tc>
      </w:tr>
      <w:tr w:rsidR="008A2D17" w14:paraId="23FC8DAC" w14:textId="77777777" w:rsidTr="00324798">
        <w:trPr>
          <w:trHeight w:val="259"/>
        </w:trPr>
        <w:tc>
          <w:tcPr>
            <w:tcW w:w="3372" w:type="dxa"/>
            <w:tcBorders>
              <w:top w:val="single" w:sz="4" w:space="0" w:color="000000"/>
              <w:left w:val="single" w:sz="12" w:space="0" w:color="000000"/>
              <w:bottom w:val="single" w:sz="4" w:space="0" w:color="000000"/>
              <w:right w:val="single" w:sz="12" w:space="0" w:color="000000"/>
            </w:tcBorders>
          </w:tcPr>
          <w:p w14:paraId="65D6EB8B" w14:textId="2D1982DC" w:rsidR="008A2D17" w:rsidRDefault="008A2D17" w:rsidP="008A2D17">
            <w:pPr>
              <w:spacing w:after="0" w:line="259" w:lineRule="auto"/>
              <w:ind w:left="0" w:right="0" w:firstLine="0"/>
              <w:rPr>
                <w:sz w:val="18"/>
              </w:rPr>
            </w:pPr>
            <w:r>
              <w:rPr>
                <w:sz w:val="18"/>
              </w:rPr>
              <w:t xml:space="preserve">2,4-Dimethylphenol </w:t>
            </w:r>
          </w:p>
        </w:tc>
        <w:tc>
          <w:tcPr>
            <w:tcW w:w="1130" w:type="dxa"/>
            <w:tcBorders>
              <w:top w:val="single" w:sz="4" w:space="0" w:color="000000"/>
              <w:left w:val="single" w:sz="12" w:space="0" w:color="000000"/>
              <w:bottom w:val="single" w:sz="4" w:space="0" w:color="000000"/>
              <w:right w:val="single" w:sz="12" w:space="0" w:color="000000"/>
            </w:tcBorders>
          </w:tcPr>
          <w:p w14:paraId="01170EEA" w14:textId="54C4D0A4" w:rsidR="008A2D17" w:rsidRDefault="008A2D17" w:rsidP="00FC6809">
            <w:pPr>
              <w:spacing w:after="0" w:line="259" w:lineRule="auto"/>
              <w:ind w:left="0" w:right="44" w:firstLine="0"/>
              <w:jc w:val="center"/>
              <w:rPr>
                <w:sz w:val="18"/>
              </w:rPr>
            </w:pPr>
            <w:r>
              <w:rPr>
                <w:sz w:val="18"/>
              </w:rPr>
              <w:t>105-67-9</w:t>
            </w:r>
          </w:p>
        </w:tc>
        <w:tc>
          <w:tcPr>
            <w:tcW w:w="866" w:type="dxa"/>
            <w:tcBorders>
              <w:top w:val="single" w:sz="4" w:space="0" w:color="000000"/>
              <w:left w:val="single" w:sz="12" w:space="0" w:color="000000"/>
              <w:bottom w:val="single" w:sz="4" w:space="0" w:color="000000"/>
              <w:right w:val="single" w:sz="12" w:space="0" w:color="000000"/>
            </w:tcBorders>
          </w:tcPr>
          <w:p w14:paraId="6CA3CB32" w14:textId="1D8514B9" w:rsidR="008A2D17" w:rsidRDefault="008A2D17" w:rsidP="00FC6809">
            <w:pPr>
              <w:spacing w:after="0" w:line="259" w:lineRule="auto"/>
              <w:ind w:left="0" w:right="46" w:firstLine="0"/>
              <w:jc w:val="center"/>
              <w:rPr>
                <w:sz w:val="18"/>
              </w:rPr>
            </w:pPr>
            <w:r>
              <w:rPr>
                <w:sz w:val="18"/>
              </w:rPr>
              <w:t>10</w:t>
            </w:r>
          </w:p>
        </w:tc>
        <w:tc>
          <w:tcPr>
            <w:tcW w:w="816" w:type="dxa"/>
            <w:tcBorders>
              <w:top w:val="single" w:sz="4" w:space="0" w:color="000000"/>
              <w:left w:val="single" w:sz="12" w:space="0" w:color="000000"/>
              <w:bottom w:val="single" w:sz="4" w:space="0" w:color="000000"/>
              <w:right w:val="single" w:sz="12" w:space="0" w:color="000000"/>
            </w:tcBorders>
          </w:tcPr>
          <w:p w14:paraId="62B7331A" w14:textId="1578BB53" w:rsidR="008A2D17" w:rsidRPr="00425989" w:rsidRDefault="008A2D17" w:rsidP="00FC6809">
            <w:pPr>
              <w:spacing w:after="0" w:line="259" w:lineRule="auto"/>
              <w:ind w:left="0" w:right="46" w:firstLine="0"/>
              <w:jc w:val="center"/>
              <w:rPr>
                <w:rFonts w:eastAsia="Segoe UI Symbol"/>
                <w:sz w:val="18"/>
              </w:rPr>
            </w:pPr>
            <w:r w:rsidRPr="005B46B1">
              <w:rPr>
                <w:rFonts w:eastAsia="Segoe UI Symbol"/>
                <w:sz w:val="18"/>
              </w:rPr>
              <w:t>u</w:t>
            </w:r>
            <w:r w:rsidRPr="007137E4">
              <w:rPr>
                <w:sz w:val="18"/>
              </w:rPr>
              <w:t>g/L</w:t>
            </w:r>
          </w:p>
        </w:tc>
        <w:tc>
          <w:tcPr>
            <w:tcW w:w="818" w:type="dxa"/>
            <w:tcBorders>
              <w:top w:val="single" w:sz="4" w:space="0" w:color="000000"/>
              <w:left w:val="single" w:sz="12" w:space="0" w:color="000000"/>
              <w:bottom w:val="single" w:sz="4" w:space="0" w:color="000000"/>
              <w:right w:val="single" w:sz="12" w:space="0" w:color="000000"/>
            </w:tcBorders>
          </w:tcPr>
          <w:p w14:paraId="29304E14" w14:textId="34A835C0" w:rsidR="008A2D17" w:rsidRDefault="008A2D17" w:rsidP="00FC6809">
            <w:pPr>
              <w:spacing w:after="0" w:line="259" w:lineRule="auto"/>
              <w:ind w:left="0" w:right="44" w:firstLine="0"/>
              <w:jc w:val="center"/>
              <w:rPr>
                <w:sz w:val="18"/>
              </w:rPr>
            </w:pPr>
            <w:r>
              <w:rPr>
                <w:sz w:val="18"/>
              </w:rPr>
              <w:t>660</w:t>
            </w:r>
          </w:p>
        </w:tc>
        <w:tc>
          <w:tcPr>
            <w:tcW w:w="997" w:type="dxa"/>
            <w:tcBorders>
              <w:top w:val="single" w:sz="4" w:space="0" w:color="000000"/>
              <w:left w:val="single" w:sz="12" w:space="0" w:color="000000"/>
              <w:bottom w:val="single" w:sz="4" w:space="0" w:color="000000"/>
              <w:right w:val="single" w:sz="12" w:space="0" w:color="000000"/>
            </w:tcBorders>
          </w:tcPr>
          <w:p w14:paraId="3D3022BE" w14:textId="22294BF6" w:rsidR="008A2D17" w:rsidRDefault="008A2D17" w:rsidP="00FC6809">
            <w:pPr>
              <w:spacing w:after="0" w:line="259" w:lineRule="auto"/>
              <w:ind w:left="0" w:right="44" w:firstLine="0"/>
              <w:jc w:val="center"/>
              <w:rPr>
                <w:rFonts w:eastAsia="Segoe UI Symbol"/>
                <w:sz w:val="18"/>
              </w:rPr>
            </w:pPr>
            <w:r>
              <w:rPr>
                <w:rFonts w:eastAsia="Segoe UI Symbol"/>
                <w:sz w:val="18"/>
              </w:rPr>
              <w:t>u</w:t>
            </w:r>
            <w:r>
              <w:rPr>
                <w:sz w:val="18"/>
              </w:rPr>
              <w:t>g/kg</w:t>
            </w:r>
          </w:p>
        </w:tc>
        <w:tc>
          <w:tcPr>
            <w:tcW w:w="1029" w:type="dxa"/>
            <w:tcBorders>
              <w:top w:val="single" w:sz="4" w:space="0" w:color="000000"/>
              <w:left w:val="single" w:sz="12" w:space="0" w:color="000000"/>
              <w:bottom w:val="single" w:sz="4" w:space="0" w:color="000000"/>
              <w:right w:val="single" w:sz="12" w:space="0" w:color="000000"/>
            </w:tcBorders>
          </w:tcPr>
          <w:p w14:paraId="7AB1A5D1" w14:textId="3422E3D0" w:rsidR="008A2D17" w:rsidRDefault="008A2D17" w:rsidP="00FC6809">
            <w:pPr>
              <w:spacing w:after="0" w:line="259" w:lineRule="auto"/>
              <w:ind w:left="0" w:right="46" w:firstLine="0"/>
              <w:jc w:val="center"/>
              <w:rPr>
                <w:b/>
                <w:sz w:val="18"/>
              </w:rPr>
            </w:pPr>
            <w:r>
              <w:rPr>
                <w:b/>
                <w:sz w:val="18"/>
              </w:rPr>
              <w:t>8270</w:t>
            </w:r>
          </w:p>
        </w:tc>
        <w:tc>
          <w:tcPr>
            <w:tcW w:w="1592" w:type="dxa"/>
            <w:tcBorders>
              <w:top w:val="single" w:sz="4" w:space="0" w:color="000000"/>
              <w:left w:val="single" w:sz="12" w:space="0" w:color="000000"/>
              <w:bottom w:val="single" w:sz="4" w:space="0" w:color="000000"/>
              <w:right w:val="single" w:sz="12" w:space="0" w:color="000000"/>
            </w:tcBorders>
          </w:tcPr>
          <w:p w14:paraId="0C33381E" w14:textId="1B7901B8" w:rsidR="008A2D17" w:rsidRPr="008468E1" w:rsidRDefault="008A2D17" w:rsidP="00FC6809">
            <w:pPr>
              <w:spacing w:after="0" w:line="259" w:lineRule="auto"/>
              <w:ind w:left="0" w:right="49" w:firstLine="0"/>
              <w:jc w:val="center"/>
              <w:rPr>
                <w:sz w:val="18"/>
                <w:szCs w:val="18"/>
              </w:rPr>
            </w:pPr>
            <w:r w:rsidRPr="006B4CE1">
              <w:rPr>
                <w:sz w:val="18"/>
                <w:szCs w:val="18"/>
              </w:rPr>
              <w:t>8270 SIM</w:t>
            </w:r>
          </w:p>
        </w:tc>
      </w:tr>
      <w:tr w:rsidR="008A2D17" w14:paraId="00915A24" w14:textId="77777777" w:rsidTr="00324798">
        <w:trPr>
          <w:trHeight w:val="259"/>
        </w:trPr>
        <w:tc>
          <w:tcPr>
            <w:tcW w:w="3372" w:type="dxa"/>
            <w:tcBorders>
              <w:top w:val="single" w:sz="4" w:space="0" w:color="000000"/>
              <w:left w:val="single" w:sz="12" w:space="0" w:color="000000"/>
              <w:bottom w:val="single" w:sz="4" w:space="0" w:color="000000"/>
              <w:right w:val="single" w:sz="12" w:space="0" w:color="000000"/>
            </w:tcBorders>
          </w:tcPr>
          <w:p w14:paraId="2AD3D0DC" w14:textId="0C43C245" w:rsidR="008A2D17" w:rsidRDefault="008A2D17" w:rsidP="008A2D17">
            <w:pPr>
              <w:spacing w:after="0" w:line="259" w:lineRule="auto"/>
              <w:ind w:left="0" w:right="0" w:firstLine="0"/>
              <w:rPr>
                <w:sz w:val="18"/>
              </w:rPr>
            </w:pPr>
            <w:r>
              <w:rPr>
                <w:sz w:val="18"/>
              </w:rPr>
              <w:t xml:space="preserve">Dimethyl phthalate </w:t>
            </w:r>
            <w:r w:rsidRPr="006670D3">
              <w:rPr>
                <w:b/>
                <w:bCs/>
                <w:sz w:val="18"/>
                <w:vertAlign w:val="superscript"/>
              </w:rPr>
              <w:t>17</w:t>
            </w:r>
          </w:p>
        </w:tc>
        <w:tc>
          <w:tcPr>
            <w:tcW w:w="1130" w:type="dxa"/>
            <w:tcBorders>
              <w:top w:val="single" w:sz="4" w:space="0" w:color="000000"/>
              <w:left w:val="single" w:sz="12" w:space="0" w:color="000000"/>
              <w:bottom w:val="single" w:sz="4" w:space="0" w:color="000000"/>
              <w:right w:val="single" w:sz="12" w:space="0" w:color="000000"/>
            </w:tcBorders>
          </w:tcPr>
          <w:p w14:paraId="1B004571" w14:textId="398A6CF8" w:rsidR="008A2D17" w:rsidRDefault="008A2D17" w:rsidP="00FC6809">
            <w:pPr>
              <w:spacing w:after="0" w:line="259" w:lineRule="auto"/>
              <w:ind w:left="0" w:right="44" w:firstLine="0"/>
              <w:jc w:val="center"/>
              <w:rPr>
                <w:sz w:val="18"/>
              </w:rPr>
            </w:pPr>
            <w:r>
              <w:rPr>
                <w:sz w:val="18"/>
              </w:rPr>
              <w:t>131-11-3</w:t>
            </w:r>
          </w:p>
        </w:tc>
        <w:tc>
          <w:tcPr>
            <w:tcW w:w="866" w:type="dxa"/>
            <w:tcBorders>
              <w:top w:val="single" w:sz="4" w:space="0" w:color="000000"/>
              <w:left w:val="single" w:sz="12" w:space="0" w:color="000000"/>
              <w:bottom w:val="single" w:sz="4" w:space="0" w:color="000000"/>
              <w:right w:val="single" w:sz="12" w:space="0" w:color="000000"/>
            </w:tcBorders>
          </w:tcPr>
          <w:p w14:paraId="7474B865" w14:textId="0E8327BC" w:rsidR="008A2D17" w:rsidRDefault="008A2D17" w:rsidP="00FC6809">
            <w:pPr>
              <w:spacing w:after="0" w:line="259" w:lineRule="auto"/>
              <w:ind w:left="0" w:right="46" w:firstLine="0"/>
              <w:jc w:val="center"/>
              <w:rPr>
                <w:sz w:val="18"/>
              </w:rPr>
            </w:pPr>
            <w:r>
              <w:rPr>
                <w:sz w:val="18"/>
              </w:rPr>
              <w:t>10</w:t>
            </w:r>
          </w:p>
        </w:tc>
        <w:tc>
          <w:tcPr>
            <w:tcW w:w="816" w:type="dxa"/>
            <w:tcBorders>
              <w:top w:val="single" w:sz="4" w:space="0" w:color="000000"/>
              <w:left w:val="single" w:sz="12" w:space="0" w:color="000000"/>
              <w:bottom w:val="single" w:sz="4" w:space="0" w:color="000000"/>
              <w:right w:val="single" w:sz="12" w:space="0" w:color="000000"/>
            </w:tcBorders>
          </w:tcPr>
          <w:p w14:paraId="3CD2EB4F" w14:textId="58980F44" w:rsidR="008A2D17" w:rsidRPr="00425989" w:rsidRDefault="008A2D17" w:rsidP="00FC6809">
            <w:pPr>
              <w:spacing w:after="0" w:line="259" w:lineRule="auto"/>
              <w:ind w:left="0" w:right="46" w:firstLine="0"/>
              <w:jc w:val="center"/>
              <w:rPr>
                <w:rFonts w:eastAsia="Segoe UI Symbol"/>
                <w:sz w:val="18"/>
              </w:rPr>
            </w:pPr>
            <w:r w:rsidRPr="005B46B1">
              <w:rPr>
                <w:rFonts w:eastAsia="Segoe UI Symbol"/>
                <w:sz w:val="18"/>
              </w:rPr>
              <w:t>u</w:t>
            </w:r>
            <w:r w:rsidRPr="007137E4">
              <w:rPr>
                <w:sz w:val="18"/>
              </w:rPr>
              <w:t>g/L</w:t>
            </w:r>
          </w:p>
        </w:tc>
        <w:tc>
          <w:tcPr>
            <w:tcW w:w="818" w:type="dxa"/>
            <w:tcBorders>
              <w:top w:val="single" w:sz="4" w:space="0" w:color="000000"/>
              <w:left w:val="single" w:sz="12" w:space="0" w:color="000000"/>
              <w:bottom w:val="single" w:sz="4" w:space="0" w:color="000000"/>
              <w:right w:val="single" w:sz="12" w:space="0" w:color="000000"/>
            </w:tcBorders>
          </w:tcPr>
          <w:p w14:paraId="029A0FD8" w14:textId="656401C6" w:rsidR="008A2D17" w:rsidRDefault="008A2D17" w:rsidP="00FC6809">
            <w:pPr>
              <w:spacing w:after="0" w:line="259" w:lineRule="auto"/>
              <w:ind w:left="0" w:right="44" w:firstLine="0"/>
              <w:jc w:val="center"/>
              <w:rPr>
                <w:sz w:val="18"/>
              </w:rPr>
            </w:pPr>
            <w:r>
              <w:rPr>
                <w:sz w:val="18"/>
              </w:rPr>
              <w:t>660</w:t>
            </w:r>
          </w:p>
        </w:tc>
        <w:tc>
          <w:tcPr>
            <w:tcW w:w="997" w:type="dxa"/>
            <w:tcBorders>
              <w:top w:val="single" w:sz="4" w:space="0" w:color="000000"/>
              <w:left w:val="single" w:sz="12" w:space="0" w:color="000000"/>
              <w:bottom w:val="single" w:sz="4" w:space="0" w:color="000000"/>
              <w:right w:val="single" w:sz="12" w:space="0" w:color="000000"/>
            </w:tcBorders>
          </w:tcPr>
          <w:p w14:paraId="6B5E7249" w14:textId="48A4EDA2" w:rsidR="008A2D17" w:rsidRDefault="008A2D17" w:rsidP="00FC6809">
            <w:pPr>
              <w:spacing w:after="0" w:line="259" w:lineRule="auto"/>
              <w:ind w:left="0" w:right="44" w:firstLine="0"/>
              <w:jc w:val="center"/>
              <w:rPr>
                <w:rFonts w:eastAsia="Segoe UI Symbol"/>
                <w:sz w:val="18"/>
              </w:rPr>
            </w:pPr>
            <w:r>
              <w:rPr>
                <w:rFonts w:eastAsia="Segoe UI Symbol"/>
                <w:sz w:val="18"/>
              </w:rPr>
              <w:t>u</w:t>
            </w:r>
            <w:r>
              <w:rPr>
                <w:sz w:val="18"/>
              </w:rPr>
              <w:t>g/kg</w:t>
            </w:r>
          </w:p>
        </w:tc>
        <w:tc>
          <w:tcPr>
            <w:tcW w:w="1029" w:type="dxa"/>
            <w:tcBorders>
              <w:top w:val="single" w:sz="4" w:space="0" w:color="000000"/>
              <w:left w:val="single" w:sz="12" w:space="0" w:color="000000"/>
              <w:bottom w:val="single" w:sz="4" w:space="0" w:color="000000"/>
              <w:right w:val="single" w:sz="12" w:space="0" w:color="000000"/>
            </w:tcBorders>
          </w:tcPr>
          <w:p w14:paraId="215349CB" w14:textId="7A3D3E7C" w:rsidR="008A2D17" w:rsidRDefault="008A2D17" w:rsidP="00FC6809">
            <w:pPr>
              <w:spacing w:after="0" w:line="259" w:lineRule="auto"/>
              <w:ind w:left="0" w:right="46" w:firstLine="0"/>
              <w:jc w:val="center"/>
              <w:rPr>
                <w:b/>
                <w:sz w:val="18"/>
              </w:rPr>
            </w:pPr>
            <w:r>
              <w:rPr>
                <w:b/>
                <w:sz w:val="18"/>
              </w:rPr>
              <w:t>8270</w:t>
            </w:r>
          </w:p>
        </w:tc>
        <w:tc>
          <w:tcPr>
            <w:tcW w:w="1592" w:type="dxa"/>
            <w:tcBorders>
              <w:top w:val="single" w:sz="4" w:space="0" w:color="000000"/>
              <w:left w:val="single" w:sz="12" w:space="0" w:color="000000"/>
              <w:bottom w:val="single" w:sz="4" w:space="0" w:color="000000"/>
              <w:right w:val="single" w:sz="12" w:space="0" w:color="000000"/>
            </w:tcBorders>
          </w:tcPr>
          <w:p w14:paraId="1342B11D" w14:textId="1E2CDA60" w:rsidR="008A2D17" w:rsidRPr="008468E1" w:rsidRDefault="008A2D17" w:rsidP="00FC6809">
            <w:pPr>
              <w:spacing w:after="0" w:line="259" w:lineRule="auto"/>
              <w:ind w:left="0" w:right="49" w:firstLine="0"/>
              <w:jc w:val="center"/>
              <w:rPr>
                <w:sz w:val="18"/>
                <w:szCs w:val="18"/>
              </w:rPr>
            </w:pPr>
            <w:r w:rsidRPr="006B4CE1">
              <w:rPr>
                <w:sz w:val="18"/>
                <w:szCs w:val="18"/>
              </w:rPr>
              <w:t>8270 SIM</w:t>
            </w:r>
          </w:p>
        </w:tc>
      </w:tr>
      <w:tr w:rsidR="008A2D17" w14:paraId="2B9965E8" w14:textId="77777777" w:rsidTr="00324798">
        <w:trPr>
          <w:trHeight w:val="259"/>
        </w:trPr>
        <w:tc>
          <w:tcPr>
            <w:tcW w:w="3372" w:type="dxa"/>
            <w:tcBorders>
              <w:top w:val="single" w:sz="4" w:space="0" w:color="000000"/>
              <w:left w:val="single" w:sz="12" w:space="0" w:color="000000"/>
              <w:bottom w:val="single" w:sz="4" w:space="0" w:color="000000"/>
              <w:right w:val="single" w:sz="12" w:space="0" w:color="000000"/>
            </w:tcBorders>
          </w:tcPr>
          <w:p w14:paraId="633BB7D2" w14:textId="39C26580" w:rsidR="008A2D17" w:rsidRDefault="008A2D17" w:rsidP="008A2D17">
            <w:pPr>
              <w:spacing w:after="0" w:line="259" w:lineRule="auto"/>
              <w:ind w:left="0" w:right="0" w:firstLine="0"/>
              <w:rPr>
                <w:sz w:val="18"/>
              </w:rPr>
            </w:pPr>
            <w:r>
              <w:rPr>
                <w:sz w:val="18"/>
              </w:rPr>
              <w:t xml:space="preserve">4,6-Dinitro-2-methylphenol </w:t>
            </w:r>
          </w:p>
        </w:tc>
        <w:tc>
          <w:tcPr>
            <w:tcW w:w="1130" w:type="dxa"/>
            <w:tcBorders>
              <w:top w:val="single" w:sz="4" w:space="0" w:color="000000"/>
              <w:left w:val="single" w:sz="12" w:space="0" w:color="000000"/>
              <w:bottom w:val="single" w:sz="4" w:space="0" w:color="000000"/>
              <w:right w:val="single" w:sz="12" w:space="0" w:color="000000"/>
            </w:tcBorders>
          </w:tcPr>
          <w:p w14:paraId="0507DB98" w14:textId="1A9304B3" w:rsidR="008A2D17" w:rsidRDefault="008A2D17" w:rsidP="00FC6809">
            <w:pPr>
              <w:spacing w:after="0" w:line="259" w:lineRule="auto"/>
              <w:ind w:left="0" w:right="44" w:firstLine="0"/>
              <w:jc w:val="center"/>
              <w:rPr>
                <w:sz w:val="18"/>
              </w:rPr>
            </w:pPr>
            <w:r>
              <w:rPr>
                <w:sz w:val="18"/>
              </w:rPr>
              <w:t>534-52-1</w:t>
            </w:r>
          </w:p>
        </w:tc>
        <w:tc>
          <w:tcPr>
            <w:tcW w:w="866" w:type="dxa"/>
            <w:tcBorders>
              <w:top w:val="single" w:sz="4" w:space="0" w:color="000000"/>
              <w:left w:val="single" w:sz="12" w:space="0" w:color="000000"/>
              <w:bottom w:val="single" w:sz="4" w:space="0" w:color="000000"/>
              <w:right w:val="single" w:sz="12" w:space="0" w:color="000000"/>
            </w:tcBorders>
          </w:tcPr>
          <w:p w14:paraId="19800F2B" w14:textId="1527FF00" w:rsidR="008A2D17" w:rsidRDefault="008A2D17" w:rsidP="00FC6809">
            <w:pPr>
              <w:spacing w:after="0" w:line="259" w:lineRule="auto"/>
              <w:ind w:left="0" w:right="46" w:firstLine="0"/>
              <w:jc w:val="center"/>
              <w:rPr>
                <w:sz w:val="18"/>
              </w:rPr>
            </w:pPr>
            <w:r>
              <w:rPr>
                <w:sz w:val="18"/>
              </w:rPr>
              <w:t>50</w:t>
            </w:r>
          </w:p>
        </w:tc>
        <w:tc>
          <w:tcPr>
            <w:tcW w:w="816" w:type="dxa"/>
            <w:tcBorders>
              <w:top w:val="single" w:sz="4" w:space="0" w:color="000000"/>
              <w:left w:val="single" w:sz="12" w:space="0" w:color="000000"/>
              <w:bottom w:val="single" w:sz="4" w:space="0" w:color="000000"/>
              <w:right w:val="single" w:sz="12" w:space="0" w:color="000000"/>
            </w:tcBorders>
          </w:tcPr>
          <w:p w14:paraId="60D299E5" w14:textId="3A6E70C7" w:rsidR="008A2D17" w:rsidRPr="00425989" w:rsidRDefault="008A2D17" w:rsidP="00FC6809">
            <w:pPr>
              <w:spacing w:after="0" w:line="259" w:lineRule="auto"/>
              <w:ind w:left="0" w:right="46" w:firstLine="0"/>
              <w:jc w:val="center"/>
              <w:rPr>
                <w:rFonts w:eastAsia="Segoe UI Symbol"/>
                <w:sz w:val="18"/>
              </w:rPr>
            </w:pPr>
            <w:r w:rsidRPr="005B46B1">
              <w:rPr>
                <w:rFonts w:eastAsia="Segoe UI Symbol"/>
                <w:sz w:val="18"/>
              </w:rPr>
              <w:t>u</w:t>
            </w:r>
            <w:r w:rsidRPr="007137E4">
              <w:rPr>
                <w:sz w:val="18"/>
              </w:rPr>
              <w:t>g/L</w:t>
            </w:r>
          </w:p>
        </w:tc>
        <w:tc>
          <w:tcPr>
            <w:tcW w:w="818" w:type="dxa"/>
            <w:tcBorders>
              <w:top w:val="single" w:sz="4" w:space="0" w:color="000000"/>
              <w:left w:val="single" w:sz="12" w:space="0" w:color="000000"/>
              <w:bottom w:val="single" w:sz="4" w:space="0" w:color="000000"/>
              <w:right w:val="single" w:sz="12" w:space="0" w:color="000000"/>
            </w:tcBorders>
          </w:tcPr>
          <w:p w14:paraId="0A66C5A7" w14:textId="39E94A99" w:rsidR="008A2D17" w:rsidRDefault="008A2D17" w:rsidP="00FC6809">
            <w:pPr>
              <w:spacing w:after="0" w:line="259" w:lineRule="auto"/>
              <w:ind w:left="0" w:right="44" w:firstLine="0"/>
              <w:jc w:val="center"/>
              <w:rPr>
                <w:sz w:val="18"/>
              </w:rPr>
            </w:pPr>
            <w:r>
              <w:rPr>
                <w:sz w:val="18"/>
              </w:rPr>
              <w:t>3300</w:t>
            </w:r>
          </w:p>
        </w:tc>
        <w:tc>
          <w:tcPr>
            <w:tcW w:w="997" w:type="dxa"/>
            <w:tcBorders>
              <w:top w:val="single" w:sz="4" w:space="0" w:color="000000"/>
              <w:left w:val="single" w:sz="12" w:space="0" w:color="000000"/>
              <w:bottom w:val="single" w:sz="4" w:space="0" w:color="000000"/>
              <w:right w:val="single" w:sz="12" w:space="0" w:color="000000"/>
            </w:tcBorders>
          </w:tcPr>
          <w:p w14:paraId="23B95AE1" w14:textId="45DFB449" w:rsidR="008A2D17" w:rsidRDefault="008A2D17" w:rsidP="00FC6809">
            <w:pPr>
              <w:spacing w:after="0" w:line="259" w:lineRule="auto"/>
              <w:ind w:left="0" w:right="44" w:firstLine="0"/>
              <w:jc w:val="center"/>
              <w:rPr>
                <w:rFonts w:eastAsia="Segoe UI Symbol"/>
                <w:sz w:val="18"/>
              </w:rPr>
            </w:pPr>
            <w:r>
              <w:rPr>
                <w:rFonts w:eastAsia="Segoe UI Symbol"/>
                <w:sz w:val="18"/>
              </w:rPr>
              <w:t>u</w:t>
            </w:r>
            <w:r>
              <w:rPr>
                <w:sz w:val="18"/>
              </w:rPr>
              <w:t>g/kg</w:t>
            </w:r>
          </w:p>
        </w:tc>
        <w:tc>
          <w:tcPr>
            <w:tcW w:w="1029" w:type="dxa"/>
            <w:tcBorders>
              <w:top w:val="single" w:sz="4" w:space="0" w:color="000000"/>
              <w:left w:val="single" w:sz="12" w:space="0" w:color="000000"/>
              <w:bottom w:val="single" w:sz="4" w:space="0" w:color="000000"/>
              <w:right w:val="single" w:sz="12" w:space="0" w:color="000000"/>
            </w:tcBorders>
          </w:tcPr>
          <w:p w14:paraId="18E040F5" w14:textId="32143328" w:rsidR="008A2D17" w:rsidRDefault="008A2D17" w:rsidP="00FC6809">
            <w:pPr>
              <w:spacing w:after="0" w:line="259" w:lineRule="auto"/>
              <w:ind w:left="0" w:right="46" w:firstLine="0"/>
              <w:jc w:val="center"/>
              <w:rPr>
                <w:b/>
                <w:sz w:val="18"/>
              </w:rPr>
            </w:pPr>
            <w:r>
              <w:rPr>
                <w:b/>
                <w:sz w:val="18"/>
              </w:rPr>
              <w:t>8270</w:t>
            </w:r>
          </w:p>
        </w:tc>
        <w:tc>
          <w:tcPr>
            <w:tcW w:w="1592" w:type="dxa"/>
            <w:tcBorders>
              <w:top w:val="single" w:sz="4" w:space="0" w:color="000000"/>
              <w:left w:val="single" w:sz="12" w:space="0" w:color="000000"/>
              <w:bottom w:val="single" w:sz="4" w:space="0" w:color="000000"/>
              <w:right w:val="single" w:sz="12" w:space="0" w:color="000000"/>
            </w:tcBorders>
          </w:tcPr>
          <w:p w14:paraId="6E28BAF6" w14:textId="4193A4D1" w:rsidR="008A2D17" w:rsidRPr="008468E1" w:rsidRDefault="008A2D17" w:rsidP="00FC6809">
            <w:pPr>
              <w:spacing w:after="0" w:line="259" w:lineRule="auto"/>
              <w:ind w:left="0" w:right="49" w:firstLine="0"/>
              <w:jc w:val="center"/>
              <w:rPr>
                <w:sz w:val="18"/>
                <w:szCs w:val="18"/>
              </w:rPr>
            </w:pPr>
            <w:r w:rsidRPr="006B4CE1">
              <w:rPr>
                <w:sz w:val="18"/>
                <w:szCs w:val="18"/>
              </w:rPr>
              <w:t>8270 SIM</w:t>
            </w:r>
          </w:p>
        </w:tc>
      </w:tr>
      <w:tr w:rsidR="008A2D17" w14:paraId="2C09211B" w14:textId="77777777" w:rsidTr="00324798">
        <w:trPr>
          <w:trHeight w:val="259"/>
        </w:trPr>
        <w:tc>
          <w:tcPr>
            <w:tcW w:w="3372" w:type="dxa"/>
            <w:tcBorders>
              <w:top w:val="single" w:sz="4" w:space="0" w:color="000000"/>
              <w:left w:val="single" w:sz="12" w:space="0" w:color="000000"/>
              <w:bottom w:val="single" w:sz="4" w:space="0" w:color="000000"/>
              <w:right w:val="single" w:sz="12" w:space="0" w:color="000000"/>
            </w:tcBorders>
          </w:tcPr>
          <w:p w14:paraId="36E7368B" w14:textId="5826C190" w:rsidR="008A2D17" w:rsidRDefault="008A2D17" w:rsidP="008A2D17">
            <w:pPr>
              <w:spacing w:after="0" w:line="259" w:lineRule="auto"/>
              <w:ind w:left="0" w:right="0" w:firstLine="0"/>
              <w:rPr>
                <w:sz w:val="18"/>
              </w:rPr>
            </w:pPr>
            <w:r>
              <w:rPr>
                <w:sz w:val="18"/>
              </w:rPr>
              <w:t xml:space="preserve">2,4-Dinitrophenol </w:t>
            </w:r>
          </w:p>
        </w:tc>
        <w:tc>
          <w:tcPr>
            <w:tcW w:w="1130" w:type="dxa"/>
            <w:tcBorders>
              <w:top w:val="single" w:sz="4" w:space="0" w:color="000000"/>
              <w:left w:val="single" w:sz="12" w:space="0" w:color="000000"/>
              <w:bottom w:val="single" w:sz="4" w:space="0" w:color="000000"/>
              <w:right w:val="single" w:sz="12" w:space="0" w:color="000000"/>
            </w:tcBorders>
          </w:tcPr>
          <w:p w14:paraId="5F24545A" w14:textId="4BFB48D1" w:rsidR="008A2D17" w:rsidRDefault="008A2D17" w:rsidP="00FC6809">
            <w:pPr>
              <w:spacing w:after="0" w:line="259" w:lineRule="auto"/>
              <w:ind w:left="0" w:right="44" w:firstLine="0"/>
              <w:jc w:val="center"/>
              <w:rPr>
                <w:sz w:val="18"/>
              </w:rPr>
            </w:pPr>
            <w:r>
              <w:rPr>
                <w:sz w:val="18"/>
              </w:rPr>
              <w:t>51-25-5</w:t>
            </w:r>
          </w:p>
        </w:tc>
        <w:tc>
          <w:tcPr>
            <w:tcW w:w="866" w:type="dxa"/>
            <w:tcBorders>
              <w:top w:val="single" w:sz="4" w:space="0" w:color="000000"/>
              <w:left w:val="single" w:sz="12" w:space="0" w:color="000000"/>
              <w:bottom w:val="single" w:sz="4" w:space="0" w:color="000000"/>
              <w:right w:val="single" w:sz="12" w:space="0" w:color="000000"/>
            </w:tcBorders>
          </w:tcPr>
          <w:p w14:paraId="0FC4E314" w14:textId="0225581D" w:rsidR="008A2D17" w:rsidRDefault="008A2D17" w:rsidP="00FC6809">
            <w:pPr>
              <w:spacing w:after="0" w:line="259" w:lineRule="auto"/>
              <w:ind w:left="0" w:right="46" w:firstLine="0"/>
              <w:jc w:val="center"/>
              <w:rPr>
                <w:sz w:val="18"/>
              </w:rPr>
            </w:pPr>
            <w:r>
              <w:rPr>
                <w:sz w:val="18"/>
              </w:rPr>
              <w:t>50</w:t>
            </w:r>
          </w:p>
        </w:tc>
        <w:tc>
          <w:tcPr>
            <w:tcW w:w="816" w:type="dxa"/>
            <w:tcBorders>
              <w:top w:val="single" w:sz="4" w:space="0" w:color="000000"/>
              <w:left w:val="single" w:sz="12" w:space="0" w:color="000000"/>
              <w:bottom w:val="single" w:sz="4" w:space="0" w:color="000000"/>
              <w:right w:val="single" w:sz="12" w:space="0" w:color="000000"/>
            </w:tcBorders>
          </w:tcPr>
          <w:p w14:paraId="0F483CB4" w14:textId="6DB2105F" w:rsidR="008A2D17" w:rsidRPr="00425989" w:rsidRDefault="008A2D17" w:rsidP="00FC6809">
            <w:pPr>
              <w:spacing w:after="0" w:line="259" w:lineRule="auto"/>
              <w:ind w:left="0" w:right="46" w:firstLine="0"/>
              <w:jc w:val="center"/>
              <w:rPr>
                <w:rFonts w:eastAsia="Segoe UI Symbol"/>
                <w:sz w:val="18"/>
              </w:rPr>
            </w:pPr>
            <w:r w:rsidRPr="005B46B1">
              <w:rPr>
                <w:rFonts w:eastAsia="Segoe UI Symbol"/>
                <w:sz w:val="18"/>
              </w:rPr>
              <w:t>u</w:t>
            </w:r>
            <w:r w:rsidRPr="007137E4">
              <w:rPr>
                <w:sz w:val="18"/>
              </w:rPr>
              <w:t>g/L</w:t>
            </w:r>
          </w:p>
        </w:tc>
        <w:tc>
          <w:tcPr>
            <w:tcW w:w="818" w:type="dxa"/>
            <w:tcBorders>
              <w:top w:val="single" w:sz="4" w:space="0" w:color="000000"/>
              <w:left w:val="single" w:sz="12" w:space="0" w:color="000000"/>
              <w:bottom w:val="single" w:sz="4" w:space="0" w:color="000000"/>
              <w:right w:val="single" w:sz="12" w:space="0" w:color="000000"/>
            </w:tcBorders>
          </w:tcPr>
          <w:p w14:paraId="614D6EF9" w14:textId="632B036C" w:rsidR="008A2D17" w:rsidRDefault="008A2D17" w:rsidP="00FC6809">
            <w:pPr>
              <w:spacing w:after="0" w:line="259" w:lineRule="auto"/>
              <w:ind w:left="0" w:right="44" w:firstLine="0"/>
              <w:jc w:val="center"/>
              <w:rPr>
                <w:sz w:val="18"/>
              </w:rPr>
            </w:pPr>
            <w:r>
              <w:rPr>
                <w:sz w:val="18"/>
              </w:rPr>
              <w:t>3300</w:t>
            </w:r>
          </w:p>
        </w:tc>
        <w:tc>
          <w:tcPr>
            <w:tcW w:w="997" w:type="dxa"/>
            <w:tcBorders>
              <w:top w:val="single" w:sz="4" w:space="0" w:color="000000"/>
              <w:left w:val="single" w:sz="12" w:space="0" w:color="000000"/>
              <w:bottom w:val="single" w:sz="4" w:space="0" w:color="000000"/>
              <w:right w:val="single" w:sz="12" w:space="0" w:color="000000"/>
            </w:tcBorders>
          </w:tcPr>
          <w:p w14:paraId="72A73F63" w14:textId="042F4132" w:rsidR="008A2D17" w:rsidRDefault="008A2D17" w:rsidP="00FC6809">
            <w:pPr>
              <w:spacing w:after="0" w:line="259" w:lineRule="auto"/>
              <w:ind w:left="0" w:right="44" w:firstLine="0"/>
              <w:jc w:val="center"/>
              <w:rPr>
                <w:rFonts w:eastAsia="Segoe UI Symbol"/>
                <w:sz w:val="18"/>
              </w:rPr>
            </w:pPr>
            <w:r>
              <w:rPr>
                <w:rFonts w:eastAsia="Segoe UI Symbol"/>
                <w:sz w:val="18"/>
              </w:rPr>
              <w:t>u</w:t>
            </w:r>
            <w:r>
              <w:rPr>
                <w:sz w:val="18"/>
              </w:rPr>
              <w:t>g/kg</w:t>
            </w:r>
          </w:p>
        </w:tc>
        <w:tc>
          <w:tcPr>
            <w:tcW w:w="1029" w:type="dxa"/>
            <w:tcBorders>
              <w:top w:val="single" w:sz="4" w:space="0" w:color="000000"/>
              <w:left w:val="single" w:sz="12" w:space="0" w:color="000000"/>
              <w:bottom w:val="single" w:sz="4" w:space="0" w:color="000000"/>
              <w:right w:val="single" w:sz="12" w:space="0" w:color="000000"/>
            </w:tcBorders>
          </w:tcPr>
          <w:p w14:paraId="1537BF9D" w14:textId="23E4D16A" w:rsidR="008A2D17" w:rsidRDefault="008A2D17" w:rsidP="00FC6809">
            <w:pPr>
              <w:spacing w:after="0" w:line="259" w:lineRule="auto"/>
              <w:ind w:left="0" w:right="46" w:firstLine="0"/>
              <w:jc w:val="center"/>
              <w:rPr>
                <w:b/>
                <w:sz w:val="18"/>
              </w:rPr>
            </w:pPr>
            <w:r>
              <w:rPr>
                <w:b/>
                <w:sz w:val="18"/>
              </w:rPr>
              <w:t>8270</w:t>
            </w:r>
          </w:p>
        </w:tc>
        <w:tc>
          <w:tcPr>
            <w:tcW w:w="1592" w:type="dxa"/>
            <w:tcBorders>
              <w:top w:val="single" w:sz="4" w:space="0" w:color="000000"/>
              <w:left w:val="single" w:sz="12" w:space="0" w:color="000000"/>
              <w:bottom w:val="single" w:sz="4" w:space="0" w:color="000000"/>
              <w:right w:val="single" w:sz="12" w:space="0" w:color="000000"/>
            </w:tcBorders>
          </w:tcPr>
          <w:p w14:paraId="16BEAD40" w14:textId="59C39AA3" w:rsidR="008A2D17" w:rsidRPr="008468E1" w:rsidRDefault="008A2D17" w:rsidP="00FC6809">
            <w:pPr>
              <w:spacing w:after="0" w:line="259" w:lineRule="auto"/>
              <w:ind w:left="0" w:right="49" w:firstLine="0"/>
              <w:jc w:val="center"/>
              <w:rPr>
                <w:sz w:val="18"/>
                <w:szCs w:val="18"/>
              </w:rPr>
            </w:pPr>
            <w:r w:rsidRPr="006B4CE1">
              <w:rPr>
                <w:sz w:val="18"/>
                <w:szCs w:val="18"/>
              </w:rPr>
              <w:t>8270 SIM</w:t>
            </w:r>
          </w:p>
        </w:tc>
      </w:tr>
      <w:tr w:rsidR="008A2D17" w14:paraId="6965C22A" w14:textId="77777777" w:rsidTr="00324798">
        <w:trPr>
          <w:trHeight w:val="259"/>
        </w:trPr>
        <w:tc>
          <w:tcPr>
            <w:tcW w:w="3372" w:type="dxa"/>
            <w:tcBorders>
              <w:top w:val="single" w:sz="4" w:space="0" w:color="000000"/>
              <w:left w:val="single" w:sz="12" w:space="0" w:color="000000"/>
              <w:bottom w:val="single" w:sz="4" w:space="0" w:color="000000"/>
              <w:right w:val="single" w:sz="12" w:space="0" w:color="000000"/>
            </w:tcBorders>
          </w:tcPr>
          <w:p w14:paraId="7547CCC4" w14:textId="401049D7" w:rsidR="008A2D17" w:rsidRDefault="008A2D17" w:rsidP="008A2D17">
            <w:pPr>
              <w:spacing w:after="0" w:line="259" w:lineRule="auto"/>
              <w:ind w:left="0" w:right="0" w:firstLine="0"/>
              <w:rPr>
                <w:sz w:val="18"/>
              </w:rPr>
            </w:pPr>
            <w:r>
              <w:rPr>
                <w:sz w:val="18"/>
              </w:rPr>
              <w:t>2,4-Dinitrotoluene</w:t>
            </w:r>
            <w:r>
              <w:rPr>
                <w:b/>
                <w:sz w:val="18"/>
                <w:vertAlign w:val="superscript"/>
              </w:rPr>
              <w:t xml:space="preserve"> </w:t>
            </w:r>
          </w:p>
        </w:tc>
        <w:tc>
          <w:tcPr>
            <w:tcW w:w="1130" w:type="dxa"/>
            <w:tcBorders>
              <w:top w:val="single" w:sz="4" w:space="0" w:color="000000"/>
              <w:left w:val="single" w:sz="12" w:space="0" w:color="000000"/>
              <w:bottom w:val="single" w:sz="4" w:space="0" w:color="000000"/>
              <w:right w:val="single" w:sz="12" w:space="0" w:color="000000"/>
            </w:tcBorders>
          </w:tcPr>
          <w:p w14:paraId="5E8771BD" w14:textId="778E3BFE" w:rsidR="008A2D17" w:rsidRDefault="008A2D17" w:rsidP="00FC6809">
            <w:pPr>
              <w:spacing w:after="0" w:line="259" w:lineRule="auto"/>
              <w:ind w:left="0" w:right="44" w:firstLine="0"/>
              <w:jc w:val="center"/>
              <w:rPr>
                <w:sz w:val="18"/>
              </w:rPr>
            </w:pPr>
            <w:r>
              <w:rPr>
                <w:sz w:val="18"/>
              </w:rPr>
              <w:t>121-</w:t>
            </w:r>
            <w:r w:rsidR="008C65E8">
              <w:rPr>
                <w:sz w:val="18"/>
              </w:rPr>
              <w:t>14</w:t>
            </w:r>
            <w:r>
              <w:rPr>
                <w:sz w:val="18"/>
              </w:rPr>
              <w:t>-2</w:t>
            </w:r>
          </w:p>
        </w:tc>
        <w:tc>
          <w:tcPr>
            <w:tcW w:w="866" w:type="dxa"/>
            <w:tcBorders>
              <w:top w:val="single" w:sz="4" w:space="0" w:color="000000"/>
              <w:left w:val="single" w:sz="12" w:space="0" w:color="000000"/>
              <w:bottom w:val="single" w:sz="4" w:space="0" w:color="000000"/>
              <w:right w:val="single" w:sz="12" w:space="0" w:color="000000"/>
            </w:tcBorders>
          </w:tcPr>
          <w:p w14:paraId="0D23474A" w14:textId="58A4E2A6" w:rsidR="008A2D17" w:rsidRDefault="008A2D17" w:rsidP="00FC6809">
            <w:pPr>
              <w:spacing w:after="0" w:line="259" w:lineRule="auto"/>
              <w:ind w:left="0" w:right="46" w:firstLine="0"/>
              <w:jc w:val="center"/>
              <w:rPr>
                <w:sz w:val="18"/>
              </w:rPr>
            </w:pPr>
            <w:r>
              <w:rPr>
                <w:sz w:val="18"/>
              </w:rPr>
              <w:t>10</w:t>
            </w:r>
          </w:p>
        </w:tc>
        <w:tc>
          <w:tcPr>
            <w:tcW w:w="816" w:type="dxa"/>
            <w:tcBorders>
              <w:top w:val="single" w:sz="4" w:space="0" w:color="000000"/>
              <w:left w:val="single" w:sz="12" w:space="0" w:color="000000"/>
              <w:bottom w:val="single" w:sz="4" w:space="0" w:color="000000"/>
              <w:right w:val="single" w:sz="12" w:space="0" w:color="000000"/>
            </w:tcBorders>
          </w:tcPr>
          <w:p w14:paraId="1D729D61" w14:textId="4897F1E4" w:rsidR="008A2D17" w:rsidRPr="00425989" w:rsidRDefault="008A2D17" w:rsidP="00FC6809">
            <w:pPr>
              <w:spacing w:after="0" w:line="259" w:lineRule="auto"/>
              <w:ind w:left="0" w:right="46" w:firstLine="0"/>
              <w:jc w:val="center"/>
              <w:rPr>
                <w:rFonts w:eastAsia="Segoe UI Symbol"/>
                <w:sz w:val="18"/>
              </w:rPr>
            </w:pPr>
            <w:r w:rsidRPr="005B46B1">
              <w:rPr>
                <w:rFonts w:eastAsia="Segoe UI Symbol"/>
                <w:sz w:val="18"/>
              </w:rPr>
              <w:t>u</w:t>
            </w:r>
            <w:r w:rsidRPr="007137E4">
              <w:rPr>
                <w:sz w:val="18"/>
              </w:rPr>
              <w:t>g/L</w:t>
            </w:r>
          </w:p>
        </w:tc>
        <w:tc>
          <w:tcPr>
            <w:tcW w:w="818" w:type="dxa"/>
            <w:tcBorders>
              <w:top w:val="single" w:sz="4" w:space="0" w:color="000000"/>
              <w:left w:val="single" w:sz="12" w:space="0" w:color="000000"/>
              <w:bottom w:val="single" w:sz="4" w:space="0" w:color="000000"/>
              <w:right w:val="single" w:sz="12" w:space="0" w:color="000000"/>
            </w:tcBorders>
          </w:tcPr>
          <w:p w14:paraId="510C4E41" w14:textId="7076A584" w:rsidR="008A2D17" w:rsidRDefault="008A2D17" w:rsidP="00FC6809">
            <w:pPr>
              <w:spacing w:after="0" w:line="259" w:lineRule="auto"/>
              <w:ind w:left="0" w:right="44" w:firstLine="0"/>
              <w:jc w:val="center"/>
              <w:rPr>
                <w:sz w:val="18"/>
              </w:rPr>
            </w:pPr>
            <w:r>
              <w:rPr>
                <w:sz w:val="18"/>
              </w:rPr>
              <w:t>660</w:t>
            </w:r>
          </w:p>
        </w:tc>
        <w:tc>
          <w:tcPr>
            <w:tcW w:w="997" w:type="dxa"/>
            <w:tcBorders>
              <w:top w:val="single" w:sz="4" w:space="0" w:color="000000"/>
              <w:left w:val="single" w:sz="12" w:space="0" w:color="000000"/>
              <w:bottom w:val="single" w:sz="4" w:space="0" w:color="000000"/>
              <w:right w:val="single" w:sz="12" w:space="0" w:color="000000"/>
            </w:tcBorders>
          </w:tcPr>
          <w:p w14:paraId="60230068" w14:textId="79009F2A" w:rsidR="008A2D17" w:rsidRDefault="008A2D17" w:rsidP="00FC6809">
            <w:pPr>
              <w:spacing w:after="0" w:line="259" w:lineRule="auto"/>
              <w:ind w:left="0" w:right="44" w:firstLine="0"/>
              <w:jc w:val="center"/>
              <w:rPr>
                <w:rFonts w:eastAsia="Segoe UI Symbol"/>
                <w:sz w:val="18"/>
              </w:rPr>
            </w:pPr>
            <w:r>
              <w:rPr>
                <w:rFonts w:eastAsia="Segoe UI Symbol"/>
                <w:sz w:val="18"/>
              </w:rPr>
              <w:t>u</w:t>
            </w:r>
            <w:r>
              <w:rPr>
                <w:sz w:val="18"/>
              </w:rPr>
              <w:t>g/kg</w:t>
            </w:r>
          </w:p>
        </w:tc>
        <w:tc>
          <w:tcPr>
            <w:tcW w:w="1029" w:type="dxa"/>
            <w:tcBorders>
              <w:top w:val="single" w:sz="4" w:space="0" w:color="000000"/>
              <w:left w:val="single" w:sz="12" w:space="0" w:color="000000"/>
              <w:bottom w:val="single" w:sz="4" w:space="0" w:color="000000"/>
              <w:right w:val="single" w:sz="12" w:space="0" w:color="000000"/>
            </w:tcBorders>
          </w:tcPr>
          <w:p w14:paraId="39D38C18" w14:textId="12B8A8D3" w:rsidR="008A2D17" w:rsidRDefault="008A2D17" w:rsidP="00FC6809">
            <w:pPr>
              <w:spacing w:after="0" w:line="259" w:lineRule="auto"/>
              <w:ind w:left="0" w:right="46" w:firstLine="0"/>
              <w:jc w:val="center"/>
              <w:rPr>
                <w:b/>
                <w:sz w:val="18"/>
              </w:rPr>
            </w:pPr>
            <w:r>
              <w:rPr>
                <w:b/>
                <w:sz w:val="18"/>
              </w:rPr>
              <w:t>8270</w:t>
            </w:r>
          </w:p>
        </w:tc>
        <w:tc>
          <w:tcPr>
            <w:tcW w:w="1592" w:type="dxa"/>
            <w:tcBorders>
              <w:top w:val="single" w:sz="4" w:space="0" w:color="000000"/>
              <w:left w:val="single" w:sz="12" w:space="0" w:color="000000"/>
              <w:bottom w:val="single" w:sz="4" w:space="0" w:color="000000"/>
              <w:right w:val="single" w:sz="12" w:space="0" w:color="000000"/>
            </w:tcBorders>
          </w:tcPr>
          <w:p w14:paraId="03B2474B" w14:textId="661FB6D1" w:rsidR="008A2D17" w:rsidRPr="008468E1" w:rsidRDefault="008A2D17" w:rsidP="00FC6809">
            <w:pPr>
              <w:spacing w:after="0" w:line="259" w:lineRule="auto"/>
              <w:ind w:left="0" w:right="49" w:firstLine="0"/>
              <w:jc w:val="center"/>
              <w:rPr>
                <w:sz w:val="18"/>
                <w:szCs w:val="18"/>
              </w:rPr>
            </w:pPr>
            <w:r w:rsidRPr="006B4CE1">
              <w:rPr>
                <w:sz w:val="18"/>
                <w:szCs w:val="18"/>
              </w:rPr>
              <w:t>8270 SIM</w:t>
            </w:r>
          </w:p>
        </w:tc>
      </w:tr>
      <w:tr w:rsidR="008A2D17" w14:paraId="763DDA14" w14:textId="77777777" w:rsidTr="00324798">
        <w:trPr>
          <w:trHeight w:val="259"/>
        </w:trPr>
        <w:tc>
          <w:tcPr>
            <w:tcW w:w="3372" w:type="dxa"/>
            <w:tcBorders>
              <w:top w:val="single" w:sz="4" w:space="0" w:color="000000"/>
              <w:left w:val="single" w:sz="12" w:space="0" w:color="000000"/>
              <w:bottom w:val="single" w:sz="4" w:space="0" w:color="000000"/>
              <w:right w:val="single" w:sz="12" w:space="0" w:color="000000"/>
            </w:tcBorders>
          </w:tcPr>
          <w:p w14:paraId="7FD6AEC1" w14:textId="69B55B5F" w:rsidR="008A2D17" w:rsidRDefault="008A2D17" w:rsidP="008A2D17">
            <w:pPr>
              <w:spacing w:after="0" w:line="259" w:lineRule="auto"/>
              <w:ind w:left="0" w:right="0" w:firstLine="0"/>
              <w:rPr>
                <w:sz w:val="18"/>
              </w:rPr>
            </w:pPr>
            <w:r>
              <w:rPr>
                <w:sz w:val="18"/>
              </w:rPr>
              <w:t xml:space="preserve">2,6-Dinitrotoluene </w:t>
            </w:r>
            <w:r w:rsidRPr="006670D3">
              <w:rPr>
                <w:b/>
                <w:sz w:val="18"/>
                <w:vertAlign w:val="superscript"/>
              </w:rPr>
              <w:t xml:space="preserve">19 </w:t>
            </w:r>
          </w:p>
        </w:tc>
        <w:tc>
          <w:tcPr>
            <w:tcW w:w="1130" w:type="dxa"/>
            <w:tcBorders>
              <w:top w:val="single" w:sz="4" w:space="0" w:color="000000"/>
              <w:left w:val="single" w:sz="12" w:space="0" w:color="000000"/>
              <w:bottom w:val="single" w:sz="4" w:space="0" w:color="000000"/>
              <w:right w:val="single" w:sz="12" w:space="0" w:color="000000"/>
            </w:tcBorders>
          </w:tcPr>
          <w:p w14:paraId="69FB18B9" w14:textId="51316178" w:rsidR="008A2D17" w:rsidRDefault="008A2D17" w:rsidP="00FC6809">
            <w:pPr>
              <w:spacing w:after="0" w:line="259" w:lineRule="auto"/>
              <w:ind w:left="0" w:right="44" w:firstLine="0"/>
              <w:jc w:val="center"/>
              <w:rPr>
                <w:sz w:val="18"/>
              </w:rPr>
            </w:pPr>
            <w:r>
              <w:rPr>
                <w:sz w:val="18"/>
              </w:rPr>
              <w:t>606-20-2</w:t>
            </w:r>
          </w:p>
        </w:tc>
        <w:tc>
          <w:tcPr>
            <w:tcW w:w="866" w:type="dxa"/>
            <w:tcBorders>
              <w:top w:val="single" w:sz="4" w:space="0" w:color="000000"/>
              <w:left w:val="single" w:sz="12" w:space="0" w:color="000000"/>
              <w:bottom w:val="single" w:sz="4" w:space="0" w:color="000000"/>
              <w:right w:val="single" w:sz="12" w:space="0" w:color="000000"/>
            </w:tcBorders>
          </w:tcPr>
          <w:p w14:paraId="60F05FB9" w14:textId="6E7528FC" w:rsidR="008A2D17" w:rsidRDefault="008A2D17" w:rsidP="00FC6809">
            <w:pPr>
              <w:spacing w:after="0" w:line="259" w:lineRule="auto"/>
              <w:ind w:left="0" w:right="46" w:firstLine="0"/>
              <w:jc w:val="center"/>
              <w:rPr>
                <w:sz w:val="18"/>
              </w:rPr>
            </w:pPr>
            <w:r>
              <w:rPr>
                <w:sz w:val="18"/>
              </w:rPr>
              <w:t>10</w:t>
            </w:r>
          </w:p>
        </w:tc>
        <w:tc>
          <w:tcPr>
            <w:tcW w:w="816" w:type="dxa"/>
            <w:tcBorders>
              <w:top w:val="single" w:sz="4" w:space="0" w:color="000000"/>
              <w:left w:val="single" w:sz="12" w:space="0" w:color="000000"/>
              <w:bottom w:val="single" w:sz="4" w:space="0" w:color="000000"/>
              <w:right w:val="single" w:sz="12" w:space="0" w:color="000000"/>
            </w:tcBorders>
          </w:tcPr>
          <w:p w14:paraId="00953957" w14:textId="1FB23712" w:rsidR="008A2D17" w:rsidRPr="00425989" w:rsidRDefault="008A2D17" w:rsidP="00FC6809">
            <w:pPr>
              <w:spacing w:after="0" w:line="259" w:lineRule="auto"/>
              <w:ind w:left="0" w:right="46" w:firstLine="0"/>
              <w:jc w:val="center"/>
              <w:rPr>
                <w:rFonts w:eastAsia="Segoe UI Symbol"/>
                <w:sz w:val="18"/>
              </w:rPr>
            </w:pPr>
            <w:r w:rsidRPr="0054195B">
              <w:rPr>
                <w:rFonts w:eastAsia="Segoe UI Symbol"/>
                <w:sz w:val="18"/>
              </w:rPr>
              <w:t>u</w:t>
            </w:r>
            <w:r w:rsidRPr="007137E4">
              <w:rPr>
                <w:sz w:val="18"/>
              </w:rPr>
              <w:t>g/L</w:t>
            </w:r>
          </w:p>
        </w:tc>
        <w:tc>
          <w:tcPr>
            <w:tcW w:w="818" w:type="dxa"/>
            <w:tcBorders>
              <w:top w:val="single" w:sz="4" w:space="0" w:color="000000"/>
              <w:left w:val="single" w:sz="12" w:space="0" w:color="000000"/>
              <w:bottom w:val="single" w:sz="4" w:space="0" w:color="000000"/>
              <w:right w:val="single" w:sz="12" w:space="0" w:color="000000"/>
            </w:tcBorders>
          </w:tcPr>
          <w:p w14:paraId="77C57F1E" w14:textId="3B177CAC" w:rsidR="008A2D17" w:rsidRDefault="008A2D17" w:rsidP="00FC6809">
            <w:pPr>
              <w:spacing w:after="0" w:line="259" w:lineRule="auto"/>
              <w:ind w:left="0" w:right="44" w:firstLine="0"/>
              <w:jc w:val="center"/>
              <w:rPr>
                <w:sz w:val="18"/>
              </w:rPr>
            </w:pPr>
            <w:r>
              <w:rPr>
                <w:sz w:val="18"/>
              </w:rPr>
              <w:t>660</w:t>
            </w:r>
          </w:p>
        </w:tc>
        <w:tc>
          <w:tcPr>
            <w:tcW w:w="997" w:type="dxa"/>
            <w:tcBorders>
              <w:top w:val="single" w:sz="4" w:space="0" w:color="000000"/>
              <w:left w:val="single" w:sz="12" w:space="0" w:color="000000"/>
              <w:bottom w:val="single" w:sz="4" w:space="0" w:color="000000"/>
              <w:right w:val="single" w:sz="12" w:space="0" w:color="000000"/>
            </w:tcBorders>
          </w:tcPr>
          <w:p w14:paraId="6EAA8ACC" w14:textId="39749A79" w:rsidR="008A2D17" w:rsidRDefault="008A2D17" w:rsidP="00FC6809">
            <w:pPr>
              <w:spacing w:after="0" w:line="259" w:lineRule="auto"/>
              <w:ind w:left="0" w:right="44" w:firstLine="0"/>
              <w:jc w:val="center"/>
              <w:rPr>
                <w:rFonts w:eastAsia="Segoe UI Symbol"/>
                <w:sz w:val="18"/>
              </w:rPr>
            </w:pPr>
            <w:r>
              <w:rPr>
                <w:rFonts w:eastAsia="Segoe UI Symbol"/>
                <w:sz w:val="18"/>
              </w:rPr>
              <w:t>u</w:t>
            </w:r>
            <w:r>
              <w:rPr>
                <w:sz w:val="18"/>
              </w:rPr>
              <w:t>g/kg</w:t>
            </w:r>
          </w:p>
        </w:tc>
        <w:tc>
          <w:tcPr>
            <w:tcW w:w="1029" w:type="dxa"/>
            <w:tcBorders>
              <w:top w:val="single" w:sz="4" w:space="0" w:color="000000"/>
              <w:left w:val="single" w:sz="12" w:space="0" w:color="000000"/>
              <w:bottom w:val="single" w:sz="4" w:space="0" w:color="000000"/>
              <w:right w:val="single" w:sz="12" w:space="0" w:color="000000"/>
            </w:tcBorders>
          </w:tcPr>
          <w:p w14:paraId="1F9BA4E1" w14:textId="0F16A848" w:rsidR="008A2D17" w:rsidRDefault="008A2D17" w:rsidP="00FC6809">
            <w:pPr>
              <w:spacing w:after="0" w:line="259" w:lineRule="auto"/>
              <w:ind w:left="0" w:right="46" w:firstLine="0"/>
              <w:jc w:val="center"/>
              <w:rPr>
                <w:b/>
                <w:sz w:val="18"/>
              </w:rPr>
            </w:pPr>
            <w:r>
              <w:rPr>
                <w:b/>
                <w:sz w:val="18"/>
              </w:rPr>
              <w:t>8270</w:t>
            </w:r>
          </w:p>
        </w:tc>
        <w:tc>
          <w:tcPr>
            <w:tcW w:w="1592" w:type="dxa"/>
            <w:tcBorders>
              <w:top w:val="single" w:sz="4" w:space="0" w:color="000000"/>
              <w:left w:val="single" w:sz="12" w:space="0" w:color="000000"/>
              <w:bottom w:val="single" w:sz="4" w:space="0" w:color="000000"/>
              <w:right w:val="single" w:sz="12" w:space="0" w:color="000000"/>
            </w:tcBorders>
          </w:tcPr>
          <w:p w14:paraId="31110D74" w14:textId="24F95349" w:rsidR="008A2D17" w:rsidRPr="008468E1" w:rsidRDefault="008A2D17" w:rsidP="00FC6809">
            <w:pPr>
              <w:spacing w:after="0" w:line="259" w:lineRule="auto"/>
              <w:ind w:left="0" w:right="49" w:firstLine="0"/>
              <w:jc w:val="center"/>
              <w:rPr>
                <w:sz w:val="18"/>
                <w:szCs w:val="18"/>
              </w:rPr>
            </w:pPr>
            <w:r w:rsidRPr="006B4CE1">
              <w:rPr>
                <w:sz w:val="18"/>
                <w:szCs w:val="18"/>
              </w:rPr>
              <w:t>8270 SIM</w:t>
            </w:r>
          </w:p>
        </w:tc>
      </w:tr>
      <w:tr w:rsidR="008A2D17" w14:paraId="6C7D6F4C" w14:textId="77777777" w:rsidTr="00324798">
        <w:trPr>
          <w:trHeight w:val="259"/>
        </w:trPr>
        <w:tc>
          <w:tcPr>
            <w:tcW w:w="3372" w:type="dxa"/>
            <w:tcBorders>
              <w:top w:val="single" w:sz="4" w:space="0" w:color="000000"/>
              <w:left w:val="single" w:sz="12" w:space="0" w:color="000000"/>
              <w:bottom w:val="single" w:sz="4" w:space="0" w:color="000000"/>
              <w:right w:val="single" w:sz="12" w:space="0" w:color="000000"/>
            </w:tcBorders>
          </w:tcPr>
          <w:p w14:paraId="3DE42149" w14:textId="0BFCE513" w:rsidR="008A2D17" w:rsidRDefault="008A2D17" w:rsidP="008A2D17">
            <w:pPr>
              <w:spacing w:after="0" w:line="259" w:lineRule="auto"/>
              <w:ind w:left="0" w:right="0" w:firstLine="0"/>
              <w:rPr>
                <w:sz w:val="18"/>
              </w:rPr>
            </w:pPr>
            <w:r>
              <w:rPr>
                <w:sz w:val="18"/>
              </w:rPr>
              <w:t xml:space="preserve">Di-n-octyl phthalate </w:t>
            </w:r>
            <w:r w:rsidRPr="006670D3">
              <w:rPr>
                <w:b/>
                <w:bCs/>
                <w:sz w:val="18"/>
                <w:vertAlign w:val="superscript"/>
              </w:rPr>
              <w:t>17</w:t>
            </w:r>
          </w:p>
        </w:tc>
        <w:tc>
          <w:tcPr>
            <w:tcW w:w="1130" w:type="dxa"/>
            <w:tcBorders>
              <w:top w:val="single" w:sz="4" w:space="0" w:color="000000"/>
              <w:left w:val="single" w:sz="12" w:space="0" w:color="000000"/>
              <w:bottom w:val="single" w:sz="4" w:space="0" w:color="000000"/>
              <w:right w:val="single" w:sz="12" w:space="0" w:color="000000"/>
            </w:tcBorders>
          </w:tcPr>
          <w:p w14:paraId="73DDB646" w14:textId="734284CE" w:rsidR="008A2D17" w:rsidRDefault="008A2D17" w:rsidP="00FC6809">
            <w:pPr>
              <w:spacing w:after="0" w:line="259" w:lineRule="auto"/>
              <w:ind w:left="0" w:right="44" w:firstLine="0"/>
              <w:jc w:val="center"/>
              <w:rPr>
                <w:sz w:val="18"/>
              </w:rPr>
            </w:pPr>
            <w:r>
              <w:rPr>
                <w:sz w:val="18"/>
              </w:rPr>
              <w:t>117-84-0</w:t>
            </w:r>
          </w:p>
        </w:tc>
        <w:tc>
          <w:tcPr>
            <w:tcW w:w="866" w:type="dxa"/>
            <w:tcBorders>
              <w:top w:val="single" w:sz="4" w:space="0" w:color="000000"/>
              <w:left w:val="single" w:sz="12" w:space="0" w:color="000000"/>
              <w:bottom w:val="single" w:sz="4" w:space="0" w:color="000000"/>
              <w:right w:val="single" w:sz="12" w:space="0" w:color="000000"/>
            </w:tcBorders>
          </w:tcPr>
          <w:p w14:paraId="1BA68395" w14:textId="59EDCAF2" w:rsidR="008A2D17" w:rsidRDefault="008A2D17" w:rsidP="00FC6809">
            <w:pPr>
              <w:spacing w:after="0" w:line="259" w:lineRule="auto"/>
              <w:ind w:left="0" w:right="46" w:firstLine="0"/>
              <w:jc w:val="center"/>
              <w:rPr>
                <w:sz w:val="18"/>
              </w:rPr>
            </w:pPr>
            <w:r>
              <w:rPr>
                <w:sz w:val="18"/>
              </w:rPr>
              <w:t>10</w:t>
            </w:r>
          </w:p>
        </w:tc>
        <w:tc>
          <w:tcPr>
            <w:tcW w:w="816" w:type="dxa"/>
            <w:tcBorders>
              <w:top w:val="single" w:sz="4" w:space="0" w:color="000000"/>
              <w:left w:val="single" w:sz="12" w:space="0" w:color="000000"/>
              <w:bottom w:val="single" w:sz="4" w:space="0" w:color="000000"/>
              <w:right w:val="single" w:sz="12" w:space="0" w:color="000000"/>
            </w:tcBorders>
          </w:tcPr>
          <w:p w14:paraId="5E12B12F" w14:textId="128F865A" w:rsidR="008A2D17" w:rsidRPr="00425989" w:rsidRDefault="008A2D17" w:rsidP="00FC6809">
            <w:pPr>
              <w:spacing w:after="0" w:line="259" w:lineRule="auto"/>
              <w:ind w:left="0" w:right="46" w:firstLine="0"/>
              <w:jc w:val="center"/>
              <w:rPr>
                <w:rFonts w:eastAsia="Segoe UI Symbol"/>
                <w:sz w:val="18"/>
              </w:rPr>
            </w:pPr>
            <w:r w:rsidRPr="0054195B">
              <w:rPr>
                <w:rFonts w:eastAsia="Segoe UI Symbol"/>
                <w:sz w:val="18"/>
              </w:rPr>
              <w:t>u</w:t>
            </w:r>
            <w:r w:rsidRPr="007137E4">
              <w:rPr>
                <w:sz w:val="18"/>
              </w:rPr>
              <w:t>g/L</w:t>
            </w:r>
          </w:p>
        </w:tc>
        <w:tc>
          <w:tcPr>
            <w:tcW w:w="818" w:type="dxa"/>
            <w:tcBorders>
              <w:top w:val="single" w:sz="4" w:space="0" w:color="000000"/>
              <w:left w:val="single" w:sz="12" w:space="0" w:color="000000"/>
              <w:bottom w:val="single" w:sz="4" w:space="0" w:color="000000"/>
              <w:right w:val="single" w:sz="12" w:space="0" w:color="000000"/>
            </w:tcBorders>
          </w:tcPr>
          <w:p w14:paraId="0E2451E9" w14:textId="5804BEC9" w:rsidR="008A2D17" w:rsidRDefault="008A2D17" w:rsidP="00FC6809">
            <w:pPr>
              <w:spacing w:after="0" w:line="259" w:lineRule="auto"/>
              <w:ind w:left="0" w:right="44" w:firstLine="0"/>
              <w:jc w:val="center"/>
              <w:rPr>
                <w:sz w:val="18"/>
              </w:rPr>
            </w:pPr>
            <w:r>
              <w:rPr>
                <w:sz w:val="18"/>
              </w:rPr>
              <w:t>660</w:t>
            </w:r>
          </w:p>
        </w:tc>
        <w:tc>
          <w:tcPr>
            <w:tcW w:w="997" w:type="dxa"/>
            <w:tcBorders>
              <w:top w:val="single" w:sz="4" w:space="0" w:color="000000"/>
              <w:left w:val="single" w:sz="12" w:space="0" w:color="000000"/>
              <w:bottom w:val="single" w:sz="4" w:space="0" w:color="000000"/>
              <w:right w:val="single" w:sz="12" w:space="0" w:color="000000"/>
            </w:tcBorders>
          </w:tcPr>
          <w:p w14:paraId="22671876" w14:textId="2D12846A" w:rsidR="008A2D17" w:rsidRDefault="008A2D17" w:rsidP="00FC6809">
            <w:pPr>
              <w:spacing w:after="0" w:line="259" w:lineRule="auto"/>
              <w:ind w:left="0" w:right="44" w:firstLine="0"/>
              <w:jc w:val="center"/>
              <w:rPr>
                <w:rFonts w:eastAsia="Segoe UI Symbol"/>
                <w:sz w:val="18"/>
              </w:rPr>
            </w:pPr>
            <w:r>
              <w:rPr>
                <w:rFonts w:eastAsia="Segoe UI Symbol"/>
                <w:sz w:val="18"/>
              </w:rPr>
              <w:t>u</w:t>
            </w:r>
            <w:r>
              <w:rPr>
                <w:sz w:val="18"/>
              </w:rPr>
              <w:t>g/kg</w:t>
            </w:r>
          </w:p>
        </w:tc>
        <w:tc>
          <w:tcPr>
            <w:tcW w:w="1029" w:type="dxa"/>
            <w:tcBorders>
              <w:top w:val="single" w:sz="4" w:space="0" w:color="000000"/>
              <w:left w:val="single" w:sz="12" w:space="0" w:color="000000"/>
              <w:bottom w:val="single" w:sz="4" w:space="0" w:color="000000"/>
              <w:right w:val="single" w:sz="12" w:space="0" w:color="000000"/>
            </w:tcBorders>
          </w:tcPr>
          <w:p w14:paraId="68221EE9" w14:textId="49181436" w:rsidR="008A2D17" w:rsidRDefault="008A2D17" w:rsidP="00FC6809">
            <w:pPr>
              <w:spacing w:after="0" w:line="259" w:lineRule="auto"/>
              <w:ind w:left="0" w:right="46" w:firstLine="0"/>
              <w:jc w:val="center"/>
              <w:rPr>
                <w:b/>
                <w:sz w:val="18"/>
              </w:rPr>
            </w:pPr>
            <w:r>
              <w:rPr>
                <w:b/>
                <w:sz w:val="18"/>
              </w:rPr>
              <w:t>8270</w:t>
            </w:r>
          </w:p>
        </w:tc>
        <w:tc>
          <w:tcPr>
            <w:tcW w:w="1592" w:type="dxa"/>
            <w:tcBorders>
              <w:top w:val="single" w:sz="4" w:space="0" w:color="000000"/>
              <w:left w:val="single" w:sz="12" w:space="0" w:color="000000"/>
              <w:bottom w:val="single" w:sz="4" w:space="0" w:color="000000"/>
              <w:right w:val="single" w:sz="12" w:space="0" w:color="000000"/>
            </w:tcBorders>
          </w:tcPr>
          <w:p w14:paraId="0008CBC2" w14:textId="3EC16DEF" w:rsidR="008A2D17" w:rsidRPr="008468E1" w:rsidRDefault="008A2D17" w:rsidP="00FC6809">
            <w:pPr>
              <w:spacing w:after="0" w:line="259" w:lineRule="auto"/>
              <w:ind w:left="0" w:right="49" w:firstLine="0"/>
              <w:jc w:val="center"/>
              <w:rPr>
                <w:sz w:val="18"/>
                <w:szCs w:val="18"/>
              </w:rPr>
            </w:pPr>
            <w:r w:rsidRPr="006B4CE1">
              <w:rPr>
                <w:sz w:val="18"/>
                <w:szCs w:val="18"/>
              </w:rPr>
              <w:t>8270 SIM</w:t>
            </w:r>
          </w:p>
        </w:tc>
      </w:tr>
      <w:tr w:rsidR="008A2D17" w14:paraId="0B2E513F" w14:textId="77777777" w:rsidTr="00324798">
        <w:trPr>
          <w:trHeight w:val="259"/>
        </w:trPr>
        <w:tc>
          <w:tcPr>
            <w:tcW w:w="3372" w:type="dxa"/>
            <w:tcBorders>
              <w:top w:val="single" w:sz="4" w:space="0" w:color="000000"/>
              <w:left w:val="single" w:sz="12" w:space="0" w:color="000000"/>
              <w:bottom w:val="single" w:sz="4" w:space="0" w:color="000000"/>
              <w:right w:val="single" w:sz="12" w:space="0" w:color="000000"/>
            </w:tcBorders>
          </w:tcPr>
          <w:p w14:paraId="23239BB1" w14:textId="1DA33B59" w:rsidR="008A2D17" w:rsidRDefault="008A2D17" w:rsidP="008A2D17">
            <w:pPr>
              <w:spacing w:after="0" w:line="259" w:lineRule="auto"/>
              <w:ind w:left="0" w:right="0" w:firstLine="0"/>
              <w:rPr>
                <w:sz w:val="18"/>
              </w:rPr>
            </w:pPr>
            <w:r>
              <w:rPr>
                <w:sz w:val="18"/>
              </w:rPr>
              <w:t xml:space="preserve">Fluoranthene </w:t>
            </w:r>
          </w:p>
        </w:tc>
        <w:tc>
          <w:tcPr>
            <w:tcW w:w="1130" w:type="dxa"/>
            <w:tcBorders>
              <w:top w:val="single" w:sz="4" w:space="0" w:color="000000"/>
              <w:left w:val="single" w:sz="12" w:space="0" w:color="000000"/>
              <w:bottom w:val="single" w:sz="4" w:space="0" w:color="000000"/>
              <w:right w:val="single" w:sz="12" w:space="0" w:color="000000"/>
            </w:tcBorders>
          </w:tcPr>
          <w:p w14:paraId="281897C4" w14:textId="3BCC4ABD" w:rsidR="008A2D17" w:rsidRDefault="008A2D17" w:rsidP="00FC6809">
            <w:pPr>
              <w:spacing w:after="0" w:line="259" w:lineRule="auto"/>
              <w:ind w:left="0" w:right="44" w:firstLine="0"/>
              <w:jc w:val="center"/>
              <w:rPr>
                <w:sz w:val="18"/>
              </w:rPr>
            </w:pPr>
            <w:r>
              <w:rPr>
                <w:sz w:val="18"/>
              </w:rPr>
              <w:t>206-44-0</w:t>
            </w:r>
          </w:p>
        </w:tc>
        <w:tc>
          <w:tcPr>
            <w:tcW w:w="866" w:type="dxa"/>
            <w:tcBorders>
              <w:top w:val="single" w:sz="4" w:space="0" w:color="000000"/>
              <w:left w:val="single" w:sz="12" w:space="0" w:color="000000"/>
              <w:bottom w:val="single" w:sz="4" w:space="0" w:color="000000"/>
              <w:right w:val="single" w:sz="12" w:space="0" w:color="000000"/>
            </w:tcBorders>
          </w:tcPr>
          <w:p w14:paraId="5282F219" w14:textId="275BF673" w:rsidR="008A2D17" w:rsidRDefault="008A2D17" w:rsidP="00FC6809">
            <w:pPr>
              <w:spacing w:after="0" w:line="259" w:lineRule="auto"/>
              <w:ind w:left="0" w:right="46" w:firstLine="0"/>
              <w:jc w:val="center"/>
              <w:rPr>
                <w:sz w:val="18"/>
              </w:rPr>
            </w:pPr>
            <w:r>
              <w:rPr>
                <w:sz w:val="18"/>
              </w:rPr>
              <w:t>10</w:t>
            </w:r>
          </w:p>
        </w:tc>
        <w:tc>
          <w:tcPr>
            <w:tcW w:w="816" w:type="dxa"/>
            <w:tcBorders>
              <w:top w:val="single" w:sz="4" w:space="0" w:color="000000"/>
              <w:left w:val="single" w:sz="12" w:space="0" w:color="000000"/>
              <w:bottom w:val="single" w:sz="4" w:space="0" w:color="000000"/>
              <w:right w:val="single" w:sz="12" w:space="0" w:color="000000"/>
            </w:tcBorders>
          </w:tcPr>
          <w:p w14:paraId="048E9642" w14:textId="0E0A5FB0" w:rsidR="008A2D17" w:rsidRPr="00425989" w:rsidRDefault="008A2D17" w:rsidP="00FC6809">
            <w:pPr>
              <w:spacing w:after="0" w:line="259" w:lineRule="auto"/>
              <w:ind w:left="0" w:right="46" w:firstLine="0"/>
              <w:jc w:val="center"/>
              <w:rPr>
                <w:rFonts w:eastAsia="Segoe UI Symbol"/>
                <w:sz w:val="18"/>
              </w:rPr>
            </w:pPr>
            <w:r w:rsidRPr="0054195B">
              <w:rPr>
                <w:rFonts w:eastAsia="Segoe UI Symbol"/>
                <w:sz w:val="18"/>
              </w:rPr>
              <w:t>u</w:t>
            </w:r>
            <w:r w:rsidRPr="007137E4">
              <w:rPr>
                <w:sz w:val="18"/>
              </w:rPr>
              <w:t>g/L</w:t>
            </w:r>
          </w:p>
        </w:tc>
        <w:tc>
          <w:tcPr>
            <w:tcW w:w="818" w:type="dxa"/>
            <w:tcBorders>
              <w:top w:val="single" w:sz="4" w:space="0" w:color="000000"/>
              <w:left w:val="single" w:sz="12" w:space="0" w:color="000000"/>
              <w:bottom w:val="single" w:sz="4" w:space="0" w:color="000000"/>
              <w:right w:val="single" w:sz="12" w:space="0" w:color="000000"/>
            </w:tcBorders>
          </w:tcPr>
          <w:p w14:paraId="6D27080A" w14:textId="571CF303" w:rsidR="008A2D17" w:rsidRDefault="008A2D17" w:rsidP="00FC6809">
            <w:pPr>
              <w:spacing w:after="0" w:line="259" w:lineRule="auto"/>
              <w:ind w:left="0" w:right="44" w:firstLine="0"/>
              <w:jc w:val="center"/>
              <w:rPr>
                <w:sz w:val="18"/>
              </w:rPr>
            </w:pPr>
            <w:r>
              <w:rPr>
                <w:sz w:val="18"/>
              </w:rPr>
              <w:t>660</w:t>
            </w:r>
          </w:p>
        </w:tc>
        <w:tc>
          <w:tcPr>
            <w:tcW w:w="997" w:type="dxa"/>
            <w:tcBorders>
              <w:top w:val="single" w:sz="4" w:space="0" w:color="000000"/>
              <w:left w:val="single" w:sz="12" w:space="0" w:color="000000"/>
              <w:bottom w:val="single" w:sz="4" w:space="0" w:color="000000"/>
              <w:right w:val="single" w:sz="12" w:space="0" w:color="000000"/>
            </w:tcBorders>
          </w:tcPr>
          <w:p w14:paraId="0D6C4BF7" w14:textId="0CA397C1" w:rsidR="008A2D17" w:rsidRDefault="008A2D17" w:rsidP="00FC6809">
            <w:pPr>
              <w:spacing w:after="0" w:line="259" w:lineRule="auto"/>
              <w:ind w:left="0" w:right="44" w:firstLine="0"/>
              <w:jc w:val="center"/>
              <w:rPr>
                <w:rFonts w:eastAsia="Segoe UI Symbol"/>
                <w:sz w:val="18"/>
              </w:rPr>
            </w:pPr>
            <w:r>
              <w:rPr>
                <w:rFonts w:eastAsia="Segoe UI Symbol"/>
                <w:sz w:val="18"/>
              </w:rPr>
              <w:t>u</w:t>
            </w:r>
            <w:r>
              <w:rPr>
                <w:sz w:val="18"/>
              </w:rPr>
              <w:t>g/kg</w:t>
            </w:r>
          </w:p>
        </w:tc>
        <w:tc>
          <w:tcPr>
            <w:tcW w:w="1029" w:type="dxa"/>
            <w:tcBorders>
              <w:top w:val="single" w:sz="4" w:space="0" w:color="000000"/>
              <w:left w:val="single" w:sz="12" w:space="0" w:color="000000"/>
              <w:bottom w:val="single" w:sz="4" w:space="0" w:color="000000"/>
              <w:right w:val="single" w:sz="12" w:space="0" w:color="000000"/>
            </w:tcBorders>
          </w:tcPr>
          <w:p w14:paraId="0EAAFE9A" w14:textId="7B017C89" w:rsidR="008A2D17" w:rsidRDefault="008A2D17" w:rsidP="00FC6809">
            <w:pPr>
              <w:spacing w:after="0" w:line="259" w:lineRule="auto"/>
              <w:ind w:left="0" w:right="46" w:firstLine="0"/>
              <w:jc w:val="center"/>
              <w:rPr>
                <w:b/>
                <w:sz w:val="18"/>
              </w:rPr>
            </w:pPr>
            <w:r>
              <w:rPr>
                <w:b/>
                <w:sz w:val="18"/>
              </w:rPr>
              <w:t>8270</w:t>
            </w:r>
          </w:p>
        </w:tc>
        <w:tc>
          <w:tcPr>
            <w:tcW w:w="1592" w:type="dxa"/>
            <w:tcBorders>
              <w:top w:val="single" w:sz="4" w:space="0" w:color="000000"/>
              <w:left w:val="single" w:sz="12" w:space="0" w:color="000000"/>
              <w:bottom w:val="single" w:sz="4" w:space="0" w:color="000000"/>
              <w:right w:val="single" w:sz="12" w:space="0" w:color="000000"/>
            </w:tcBorders>
          </w:tcPr>
          <w:p w14:paraId="50F61271" w14:textId="2D6A360A" w:rsidR="008A2D17" w:rsidRPr="008468E1" w:rsidRDefault="008A2D17" w:rsidP="00FC6809">
            <w:pPr>
              <w:spacing w:after="0" w:line="259" w:lineRule="auto"/>
              <w:ind w:left="0" w:right="49" w:firstLine="0"/>
              <w:jc w:val="center"/>
              <w:rPr>
                <w:sz w:val="18"/>
                <w:szCs w:val="18"/>
              </w:rPr>
            </w:pPr>
            <w:r>
              <w:rPr>
                <w:sz w:val="18"/>
                <w:szCs w:val="18"/>
              </w:rPr>
              <w:t>8310, 8270 SIM</w:t>
            </w:r>
          </w:p>
        </w:tc>
      </w:tr>
      <w:tr w:rsidR="008A2D17" w14:paraId="7D92BC2F" w14:textId="77777777" w:rsidTr="00324798">
        <w:trPr>
          <w:trHeight w:val="259"/>
        </w:trPr>
        <w:tc>
          <w:tcPr>
            <w:tcW w:w="3372" w:type="dxa"/>
            <w:tcBorders>
              <w:top w:val="single" w:sz="4" w:space="0" w:color="000000"/>
              <w:left w:val="single" w:sz="12" w:space="0" w:color="000000"/>
              <w:bottom w:val="single" w:sz="4" w:space="0" w:color="000000"/>
              <w:right w:val="single" w:sz="12" w:space="0" w:color="000000"/>
            </w:tcBorders>
          </w:tcPr>
          <w:p w14:paraId="0AEF8959" w14:textId="0E059E12" w:rsidR="008A2D17" w:rsidRDefault="008A2D17" w:rsidP="008A2D17">
            <w:pPr>
              <w:spacing w:after="0" w:line="259" w:lineRule="auto"/>
              <w:ind w:left="0" w:right="0" w:firstLine="0"/>
              <w:rPr>
                <w:sz w:val="18"/>
              </w:rPr>
            </w:pPr>
            <w:r>
              <w:rPr>
                <w:sz w:val="18"/>
              </w:rPr>
              <w:t xml:space="preserve">Fluorene </w:t>
            </w:r>
          </w:p>
        </w:tc>
        <w:tc>
          <w:tcPr>
            <w:tcW w:w="1130" w:type="dxa"/>
            <w:tcBorders>
              <w:top w:val="single" w:sz="4" w:space="0" w:color="000000"/>
              <w:left w:val="single" w:sz="12" w:space="0" w:color="000000"/>
              <w:bottom w:val="single" w:sz="4" w:space="0" w:color="000000"/>
              <w:right w:val="single" w:sz="12" w:space="0" w:color="000000"/>
            </w:tcBorders>
          </w:tcPr>
          <w:p w14:paraId="2274DC4C" w14:textId="0313812B" w:rsidR="008A2D17" w:rsidRDefault="008A2D17" w:rsidP="00FC6809">
            <w:pPr>
              <w:spacing w:after="0" w:line="259" w:lineRule="auto"/>
              <w:ind w:left="0" w:right="44" w:firstLine="0"/>
              <w:jc w:val="center"/>
              <w:rPr>
                <w:sz w:val="18"/>
              </w:rPr>
            </w:pPr>
            <w:r>
              <w:rPr>
                <w:sz w:val="18"/>
              </w:rPr>
              <w:t>86-73-7</w:t>
            </w:r>
          </w:p>
        </w:tc>
        <w:tc>
          <w:tcPr>
            <w:tcW w:w="866" w:type="dxa"/>
            <w:tcBorders>
              <w:top w:val="single" w:sz="4" w:space="0" w:color="000000"/>
              <w:left w:val="single" w:sz="12" w:space="0" w:color="000000"/>
              <w:bottom w:val="single" w:sz="4" w:space="0" w:color="000000"/>
              <w:right w:val="single" w:sz="12" w:space="0" w:color="000000"/>
            </w:tcBorders>
          </w:tcPr>
          <w:p w14:paraId="78341597" w14:textId="1E4F0998" w:rsidR="008A2D17" w:rsidRDefault="008A2D17" w:rsidP="00FC6809">
            <w:pPr>
              <w:spacing w:after="0" w:line="259" w:lineRule="auto"/>
              <w:ind w:left="0" w:right="46" w:firstLine="0"/>
              <w:jc w:val="center"/>
              <w:rPr>
                <w:sz w:val="18"/>
              </w:rPr>
            </w:pPr>
            <w:r>
              <w:rPr>
                <w:sz w:val="18"/>
              </w:rPr>
              <w:t>10</w:t>
            </w:r>
          </w:p>
        </w:tc>
        <w:tc>
          <w:tcPr>
            <w:tcW w:w="816" w:type="dxa"/>
            <w:tcBorders>
              <w:top w:val="single" w:sz="4" w:space="0" w:color="000000"/>
              <w:left w:val="single" w:sz="12" w:space="0" w:color="000000"/>
              <w:bottom w:val="single" w:sz="4" w:space="0" w:color="000000"/>
              <w:right w:val="single" w:sz="12" w:space="0" w:color="000000"/>
            </w:tcBorders>
          </w:tcPr>
          <w:p w14:paraId="012D34BA" w14:textId="592FBDD3" w:rsidR="008A2D17" w:rsidRPr="00425989" w:rsidRDefault="008A2D17" w:rsidP="00FC6809">
            <w:pPr>
              <w:spacing w:after="0" w:line="259" w:lineRule="auto"/>
              <w:ind w:left="0" w:right="46" w:firstLine="0"/>
              <w:jc w:val="center"/>
              <w:rPr>
                <w:rFonts w:eastAsia="Segoe UI Symbol"/>
                <w:sz w:val="18"/>
              </w:rPr>
            </w:pPr>
            <w:r w:rsidRPr="0054195B">
              <w:rPr>
                <w:rFonts w:eastAsia="Segoe UI Symbol"/>
                <w:sz w:val="18"/>
              </w:rPr>
              <w:t>u</w:t>
            </w:r>
            <w:r w:rsidRPr="007137E4">
              <w:rPr>
                <w:sz w:val="18"/>
              </w:rPr>
              <w:t>g/L</w:t>
            </w:r>
          </w:p>
        </w:tc>
        <w:tc>
          <w:tcPr>
            <w:tcW w:w="818" w:type="dxa"/>
            <w:tcBorders>
              <w:top w:val="single" w:sz="4" w:space="0" w:color="000000"/>
              <w:left w:val="single" w:sz="12" w:space="0" w:color="000000"/>
              <w:bottom w:val="single" w:sz="4" w:space="0" w:color="000000"/>
              <w:right w:val="single" w:sz="12" w:space="0" w:color="000000"/>
            </w:tcBorders>
          </w:tcPr>
          <w:p w14:paraId="3E4C6237" w14:textId="5B389AA9" w:rsidR="008A2D17" w:rsidRDefault="008A2D17" w:rsidP="00FC6809">
            <w:pPr>
              <w:spacing w:after="0" w:line="259" w:lineRule="auto"/>
              <w:ind w:left="0" w:right="44" w:firstLine="0"/>
              <w:jc w:val="center"/>
              <w:rPr>
                <w:sz w:val="18"/>
              </w:rPr>
            </w:pPr>
            <w:r>
              <w:rPr>
                <w:sz w:val="18"/>
              </w:rPr>
              <w:t>660</w:t>
            </w:r>
          </w:p>
        </w:tc>
        <w:tc>
          <w:tcPr>
            <w:tcW w:w="997" w:type="dxa"/>
            <w:tcBorders>
              <w:top w:val="single" w:sz="4" w:space="0" w:color="000000"/>
              <w:left w:val="single" w:sz="12" w:space="0" w:color="000000"/>
              <w:bottom w:val="single" w:sz="4" w:space="0" w:color="000000"/>
              <w:right w:val="single" w:sz="12" w:space="0" w:color="000000"/>
            </w:tcBorders>
          </w:tcPr>
          <w:p w14:paraId="1360BCFD" w14:textId="25923171" w:rsidR="008A2D17" w:rsidRDefault="008A2D17" w:rsidP="00FC6809">
            <w:pPr>
              <w:spacing w:after="0" w:line="259" w:lineRule="auto"/>
              <w:ind w:left="0" w:right="44" w:firstLine="0"/>
              <w:jc w:val="center"/>
              <w:rPr>
                <w:rFonts w:eastAsia="Segoe UI Symbol"/>
                <w:sz w:val="18"/>
              </w:rPr>
            </w:pPr>
            <w:r>
              <w:rPr>
                <w:rFonts w:eastAsia="Segoe UI Symbol"/>
                <w:sz w:val="18"/>
              </w:rPr>
              <w:t>u</w:t>
            </w:r>
            <w:r>
              <w:rPr>
                <w:sz w:val="18"/>
              </w:rPr>
              <w:t>g/kg</w:t>
            </w:r>
          </w:p>
        </w:tc>
        <w:tc>
          <w:tcPr>
            <w:tcW w:w="1029" w:type="dxa"/>
            <w:tcBorders>
              <w:top w:val="single" w:sz="4" w:space="0" w:color="000000"/>
              <w:left w:val="single" w:sz="12" w:space="0" w:color="000000"/>
              <w:bottom w:val="single" w:sz="4" w:space="0" w:color="000000"/>
              <w:right w:val="single" w:sz="12" w:space="0" w:color="000000"/>
            </w:tcBorders>
          </w:tcPr>
          <w:p w14:paraId="013EEF29" w14:textId="747F930A" w:rsidR="008A2D17" w:rsidRDefault="008A2D17" w:rsidP="00FC6809">
            <w:pPr>
              <w:spacing w:after="0" w:line="259" w:lineRule="auto"/>
              <w:ind w:left="0" w:right="46" w:firstLine="0"/>
              <w:jc w:val="center"/>
              <w:rPr>
                <w:b/>
                <w:sz w:val="18"/>
              </w:rPr>
            </w:pPr>
            <w:r>
              <w:rPr>
                <w:b/>
                <w:sz w:val="18"/>
              </w:rPr>
              <w:t>8270</w:t>
            </w:r>
          </w:p>
        </w:tc>
        <w:tc>
          <w:tcPr>
            <w:tcW w:w="1592" w:type="dxa"/>
            <w:tcBorders>
              <w:top w:val="single" w:sz="4" w:space="0" w:color="000000"/>
              <w:left w:val="single" w:sz="12" w:space="0" w:color="000000"/>
              <w:bottom w:val="single" w:sz="4" w:space="0" w:color="000000"/>
              <w:right w:val="single" w:sz="12" w:space="0" w:color="000000"/>
            </w:tcBorders>
          </w:tcPr>
          <w:p w14:paraId="6669A2AD" w14:textId="2F91B536" w:rsidR="008A2D17" w:rsidRPr="008468E1" w:rsidRDefault="008A2D17" w:rsidP="00FC6809">
            <w:pPr>
              <w:spacing w:after="0" w:line="259" w:lineRule="auto"/>
              <w:ind w:left="0" w:right="49" w:firstLine="0"/>
              <w:jc w:val="center"/>
              <w:rPr>
                <w:sz w:val="18"/>
                <w:szCs w:val="18"/>
              </w:rPr>
            </w:pPr>
            <w:r>
              <w:rPr>
                <w:sz w:val="18"/>
                <w:szCs w:val="18"/>
              </w:rPr>
              <w:t>8310, 8270 SIM</w:t>
            </w:r>
          </w:p>
        </w:tc>
      </w:tr>
      <w:tr w:rsidR="008A2D17" w14:paraId="5F19140A" w14:textId="77777777" w:rsidTr="00324798">
        <w:trPr>
          <w:trHeight w:val="259"/>
        </w:trPr>
        <w:tc>
          <w:tcPr>
            <w:tcW w:w="3372" w:type="dxa"/>
            <w:tcBorders>
              <w:top w:val="single" w:sz="4" w:space="0" w:color="000000"/>
              <w:left w:val="single" w:sz="12" w:space="0" w:color="000000"/>
              <w:bottom w:val="single" w:sz="4" w:space="0" w:color="000000"/>
              <w:right w:val="single" w:sz="12" w:space="0" w:color="000000"/>
            </w:tcBorders>
          </w:tcPr>
          <w:p w14:paraId="014A4D9D" w14:textId="03E1A9D8" w:rsidR="008A2D17" w:rsidRDefault="008A2D17" w:rsidP="008A2D17">
            <w:pPr>
              <w:spacing w:after="0" w:line="259" w:lineRule="auto"/>
              <w:ind w:left="0" w:right="0" w:firstLine="0"/>
              <w:rPr>
                <w:sz w:val="18"/>
              </w:rPr>
            </w:pPr>
            <w:r>
              <w:rPr>
                <w:sz w:val="18"/>
              </w:rPr>
              <w:t>Hexachlorobenzene</w:t>
            </w:r>
            <w:r>
              <w:rPr>
                <w:b/>
                <w:sz w:val="18"/>
                <w:vertAlign w:val="superscript"/>
              </w:rPr>
              <w:t xml:space="preserve"> </w:t>
            </w:r>
            <w:r w:rsidRPr="006670D3">
              <w:rPr>
                <w:b/>
                <w:sz w:val="18"/>
                <w:vertAlign w:val="superscript"/>
              </w:rPr>
              <w:t>20</w:t>
            </w:r>
          </w:p>
        </w:tc>
        <w:tc>
          <w:tcPr>
            <w:tcW w:w="1130" w:type="dxa"/>
            <w:tcBorders>
              <w:top w:val="single" w:sz="4" w:space="0" w:color="000000"/>
              <w:left w:val="single" w:sz="12" w:space="0" w:color="000000"/>
              <w:bottom w:val="single" w:sz="4" w:space="0" w:color="000000"/>
              <w:right w:val="single" w:sz="12" w:space="0" w:color="000000"/>
            </w:tcBorders>
          </w:tcPr>
          <w:p w14:paraId="1A90414D" w14:textId="5D38E26A" w:rsidR="008A2D17" w:rsidRDefault="008A2D17" w:rsidP="00FC6809">
            <w:pPr>
              <w:spacing w:after="0" w:line="259" w:lineRule="auto"/>
              <w:ind w:left="0" w:right="44" w:firstLine="0"/>
              <w:jc w:val="center"/>
              <w:rPr>
                <w:sz w:val="18"/>
              </w:rPr>
            </w:pPr>
            <w:r>
              <w:rPr>
                <w:sz w:val="18"/>
              </w:rPr>
              <w:t>118-74-1</w:t>
            </w:r>
          </w:p>
        </w:tc>
        <w:tc>
          <w:tcPr>
            <w:tcW w:w="866" w:type="dxa"/>
            <w:tcBorders>
              <w:top w:val="single" w:sz="4" w:space="0" w:color="000000"/>
              <w:left w:val="single" w:sz="12" w:space="0" w:color="000000"/>
              <w:bottom w:val="single" w:sz="4" w:space="0" w:color="000000"/>
              <w:right w:val="single" w:sz="12" w:space="0" w:color="000000"/>
            </w:tcBorders>
          </w:tcPr>
          <w:p w14:paraId="2B25E278" w14:textId="6A52D90B" w:rsidR="008A2D17" w:rsidRDefault="008A2D17" w:rsidP="00FC6809">
            <w:pPr>
              <w:spacing w:after="0" w:line="259" w:lineRule="auto"/>
              <w:ind w:left="0" w:right="46" w:firstLine="0"/>
              <w:jc w:val="center"/>
              <w:rPr>
                <w:sz w:val="18"/>
              </w:rPr>
            </w:pPr>
            <w:r>
              <w:rPr>
                <w:sz w:val="18"/>
              </w:rPr>
              <w:t>10</w:t>
            </w:r>
          </w:p>
        </w:tc>
        <w:tc>
          <w:tcPr>
            <w:tcW w:w="816" w:type="dxa"/>
            <w:tcBorders>
              <w:top w:val="single" w:sz="4" w:space="0" w:color="000000"/>
              <w:left w:val="single" w:sz="12" w:space="0" w:color="000000"/>
              <w:bottom w:val="single" w:sz="4" w:space="0" w:color="000000"/>
              <w:right w:val="single" w:sz="12" w:space="0" w:color="000000"/>
            </w:tcBorders>
          </w:tcPr>
          <w:p w14:paraId="676DDD1C" w14:textId="075D615A" w:rsidR="008A2D17" w:rsidRPr="00425989" w:rsidRDefault="008A2D17" w:rsidP="00FC6809">
            <w:pPr>
              <w:spacing w:after="0" w:line="259" w:lineRule="auto"/>
              <w:ind w:left="0" w:right="46" w:firstLine="0"/>
              <w:jc w:val="center"/>
              <w:rPr>
                <w:rFonts w:eastAsia="Segoe UI Symbol"/>
                <w:sz w:val="18"/>
              </w:rPr>
            </w:pPr>
            <w:r w:rsidRPr="0054195B">
              <w:rPr>
                <w:rFonts w:eastAsia="Segoe UI Symbol"/>
                <w:sz w:val="18"/>
              </w:rPr>
              <w:t>u</w:t>
            </w:r>
            <w:r w:rsidRPr="007137E4">
              <w:rPr>
                <w:sz w:val="18"/>
              </w:rPr>
              <w:t>g/L</w:t>
            </w:r>
          </w:p>
        </w:tc>
        <w:tc>
          <w:tcPr>
            <w:tcW w:w="818" w:type="dxa"/>
            <w:tcBorders>
              <w:top w:val="single" w:sz="4" w:space="0" w:color="000000"/>
              <w:left w:val="single" w:sz="12" w:space="0" w:color="000000"/>
              <w:bottom w:val="single" w:sz="4" w:space="0" w:color="000000"/>
              <w:right w:val="single" w:sz="12" w:space="0" w:color="000000"/>
            </w:tcBorders>
          </w:tcPr>
          <w:p w14:paraId="7CC8769D" w14:textId="6F573AA3" w:rsidR="008A2D17" w:rsidRDefault="008A2D17" w:rsidP="00FC6809">
            <w:pPr>
              <w:spacing w:after="0" w:line="259" w:lineRule="auto"/>
              <w:ind w:left="0" w:right="44" w:firstLine="0"/>
              <w:jc w:val="center"/>
              <w:rPr>
                <w:sz w:val="18"/>
              </w:rPr>
            </w:pPr>
            <w:r>
              <w:rPr>
                <w:sz w:val="18"/>
              </w:rPr>
              <w:t>660</w:t>
            </w:r>
          </w:p>
        </w:tc>
        <w:tc>
          <w:tcPr>
            <w:tcW w:w="997" w:type="dxa"/>
            <w:tcBorders>
              <w:top w:val="single" w:sz="4" w:space="0" w:color="000000"/>
              <w:left w:val="single" w:sz="12" w:space="0" w:color="000000"/>
              <w:bottom w:val="single" w:sz="4" w:space="0" w:color="000000"/>
              <w:right w:val="single" w:sz="12" w:space="0" w:color="000000"/>
            </w:tcBorders>
          </w:tcPr>
          <w:p w14:paraId="317B5BB9" w14:textId="007165A5" w:rsidR="008A2D17" w:rsidRDefault="008A2D17" w:rsidP="00FC6809">
            <w:pPr>
              <w:spacing w:after="0" w:line="259" w:lineRule="auto"/>
              <w:ind w:left="0" w:right="44" w:firstLine="0"/>
              <w:jc w:val="center"/>
              <w:rPr>
                <w:rFonts w:eastAsia="Segoe UI Symbol"/>
                <w:sz w:val="18"/>
              </w:rPr>
            </w:pPr>
            <w:r>
              <w:rPr>
                <w:rFonts w:eastAsia="Segoe UI Symbol"/>
                <w:sz w:val="18"/>
              </w:rPr>
              <w:t>u</w:t>
            </w:r>
            <w:r>
              <w:rPr>
                <w:sz w:val="18"/>
              </w:rPr>
              <w:t>g/kg</w:t>
            </w:r>
          </w:p>
        </w:tc>
        <w:tc>
          <w:tcPr>
            <w:tcW w:w="1029" w:type="dxa"/>
            <w:tcBorders>
              <w:top w:val="single" w:sz="4" w:space="0" w:color="000000"/>
              <w:left w:val="single" w:sz="12" w:space="0" w:color="000000"/>
              <w:bottom w:val="single" w:sz="4" w:space="0" w:color="000000"/>
              <w:right w:val="single" w:sz="12" w:space="0" w:color="000000"/>
            </w:tcBorders>
          </w:tcPr>
          <w:p w14:paraId="647A9741" w14:textId="19552A1C" w:rsidR="008A2D17" w:rsidRDefault="008A2D17" w:rsidP="00FC6809">
            <w:pPr>
              <w:spacing w:after="0" w:line="259" w:lineRule="auto"/>
              <w:ind w:left="0" w:right="46" w:firstLine="0"/>
              <w:jc w:val="center"/>
              <w:rPr>
                <w:b/>
                <w:sz w:val="18"/>
              </w:rPr>
            </w:pPr>
            <w:r>
              <w:rPr>
                <w:b/>
                <w:sz w:val="18"/>
              </w:rPr>
              <w:t>8270</w:t>
            </w:r>
          </w:p>
        </w:tc>
        <w:tc>
          <w:tcPr>
            <w:tcW w:w="1592" w:type="dxa"/>
            <w:tcBorders>
              <w:top w:val="single" w:sz="4" w:space="0" w:color="000000"/>
              <w:left w:val="single" w:sz="12" w:space="0" w:color="000000"/>
              <w:bottom w:val="single" w:sz="4" w:space="0" w:color="000000"/>
              <w:right w:val="single" w:sz="12" w:space="0" w:color="000000"/>
            </w:tcBorders>
          </w:tcPr>
          <w:p w14:paraId="4E098AA7" w14:textId="057F6C1A" w:rsidR="008A2D17" w:rsidRPr="008468E1" w:rsidRDefault="008A2D17" w:rsidP="00FC6809">
            <w:pPr>
              <w:spacing w:after="0" w:line="259" w:lineRule="auto"/>
              <w:ind w:left="0" w:right="49" w:firstLine="0"/>
              <w:jc w:val="center"/>
              <w:rPr>
                <w:sz w:val="18"/>
                <w:szCs w:val="18"/>
              </w:rPr>
            </w:pPr>
            <w:r>
              <w:rPr>
                <w:sz w:val="18"/>
                <w:szCs w:val="18"/>
              </w:rPr>
              <w:t>8270 SIM</w:t>
            </w:r>
          </w:p>
        </w:tc>
      </w:tr>
      <w:tr w:rsidR="008A2D17" w14:paraId="2CD0A566" w14:textId="77777777" w:rsidTr="00324798">
        <w:trPr>
          <w:trHeight w:val="259"/>
        </w:trPr>
        <w:tc>
          <w:tcPr>
            <w:tcW w:w="3372" w:type="dxa"/>
            <w:tcBorders>
              <w:top w:val="single" w:sz="4" w:space="0" w:color="000000"/>
              <w:left w:val="single" w:sz="12" w:space="0" w:color="000000"/>
              <w:bottom w:val="single" w:sz="4" w:space="0" w:color="000000"/>
              <w:right w:val="single" w:sz="12" w:space="0" w:color="000000"/>
            </w:tcBorders>
          </w:tcPr>
          <w:p w14:paraId="6022A8A2" w14:textId="0462C38B" w:rsidR="008A2D17" w:rsidRDefault="008A2D17" w:rsidP="008A2D17">
            <w:pPr>
              <w:spacing w:after="0" w:line="259" w:lineRule="auto"/>
              <w:ind w:left="0" w:right="0" w:firstLine="0"/>
              <w:rPr>
                <w:sz w:val="18"/>
              </w:rPr>
            </w:pPr>
            <w:r w:rsidRPr="00DB5634">
              <w:rPr>
                <w:sz w:val="18"/>
              </w:rPr>
              <w:t xml:space="preserve">Hexachlorobutadiene </w:t>
            </w:r>
            <w:r w:rsidRPr="006670D3">
              <w:rPr>
                <w:b/>
                <w:bCs/>
                <w:sz w:val="18"/>
                <w:vertAlign w:val="superscript"/>
              </w:rPr>
              <w:t xml:space="preserve">20 </w:t>
            </w:r>
          </w:p>
        </w:tc>
        <w:tc>
          <w:tcPr>
            <w:tcW w:w="1130" w:type="dxa"/>
            <w:tcBorders>
              <w:top w:val="single" w:sz="4" w:space="0" w:color="000000"/>
              <w:left w:val="single" w:sz="12" w:space="0" w:color="000000"/>
              <w:bottom w:val="single" w:sz="4" w:space="0" w:color="000000"/>
              <w:right w:val="single" w:sz="12" w:space="0" w:color="000000"/>
            </w:tcBorders>
          </w:tcPr>
          <w:p w14:paraId="2CAC495C" w14:textId="733D2C5E" w:rsidR="008A2D17" w:rsidRDefault="008A2D17" w:rsidP="00FC6809">
            <w:pPr>
              <w:spacing w:after="0" w:line="259" w:lineRule="auto"/>
              <w:ind w:left="0" w:right="44" w:firstLine="0"/>
              <w:jc w:val="center"/>
              <w:rPr>
                <w:sz w:val="18"/>
              </w:rPr>
            </w:pPr>
            <w:r>
              <w:rPr>
                <w:sz w:val="18"/>
              </w:rPr>
              <w:t>87-68-3</w:t>
            </w:r>
          </w:p>
        </w:tc>
        <w:tc>
          <w:tcPr>
            <w:tcW w:w="866" w:type="dxa"/>
            <w:tcBorders>
              <w:top w:val="single" w:sz="4" w:space="0" w:color="000000"/>
              <w:left w:val="single" w:sz="12" w:space="0" w:color="000000"/>
              <w:bottom w:val="single" w:sz="4" w:space="0" w:color="000000"/>
              <w:right w:val="single" w:sz="12" w:space="0" w:color="000000"/>
            </w:tcBorders>
          </w:tcPr>
          <w:p w14:paraId="68872796" w14:textId="0CDC0055" w:rsidR="008A2D17" w:rsidRDefault="008A2D17" w:rsidP="00FC6809">
            <w:pPr>
              <w:spacing w:after="0" w:line="259" w:lineRule="auto"/>
              <w:ind w:left="0" w:right="46" w:firstLine="0"/>
              <w:jc w:val="center"/>
              <w:rPr>
                <w:sz w:val="18"/>
              </w:rPr>
            </w:pPr>
            <w:r>
              <w:rPr>
                <w:sz w:val="18"/>
              </w:rPr>
              <w:t>10</w:t>
            </w:r>
          </w:p>
        </w:tc>
        <w:tc>
          <w:tcPr>
            <w:tcW w:w="816" w:type="dxa"/>
            <w:tcBorders>
              <w:top w:val="single" w:sz="4" w:space="0" w:color="000000"/>
              <w:left w:val="single" w:sz="12" w:space="0" w:color="000000"/>
              <w:bottom w:val="single" w:sz="4" w:space="0" w:color="000000"/>
              <w:right w:val="single" w:sz="12" w:space="0" w:color="000000"/>
            </w:tcBorders>
          </w:tcPr>
          <w:p w14:paraId="2406852D" w14:textId="6F058794" w:rsidR="008A2D17" w:rsidRPr="00425989" w:rsidRDefault="008A2D17" w:rsidP="00FC6809">
            <w:pPr>
              <w:spacing w:after="0" w:line="259" w:lineRule="auto"/>
              <w:ind w:left="0" w:right="46" w:firstLine="0"/>
              <w:jc w:val="center"/>
              <w:rPr>
                <w:rFonts w:eastAsia="Segoe UI Symbol"/>
                <w:sz w:val="18"/>
              </w:rPr>
            </w:pPr>
            <w:r w:rsidRPr="0054195B">
              <w:rPr>
                <w:rFonts w:eastAsia="Segoe UI Symbol"/>
                <w:sz w:val="18"/>
              </w:rPr>
              <w:t>u</w:t>
            </w:r>
            <w:r w:rsidRPr="007137E4">
              <w:rPr>
                <w:sz w:val="18"/>
              </w:rPr>
              <w:t>g/L</w:t>
            </w:r>
          </w:p>
        </w:tc>
        <w:tc>
          <w:tcPr>
            <w:tcW w:w="818" w:type="dxa"/>
            <w:tcBorders>
              <w:top w:val="single" w:sz="4" w:space="0" w:color="000000"/>
              <w:left w:val="single" w:sz="12" w:space="0" w:color="000000"/>
              <w:bottom w:val="single" w:sz="4" w:space="0" w:color="000000"/>
              <w:right w:val="single" w:sz="12" w:space="0" w:color="000000"/>
            </w:tcBorders>
          </w:tcPr>
          <w:p w14:paraId="292FE777" w14:textId="29362D6E" w:rsidR="008A2D17" w:rsidRDefault="008A2D17" w:rsidP="00FC6809">
            <w:pPr>
              <w:spacing w:after="0" w:line="259" w:lineRule="auto"/>
              <w:ind w:left="0" w:right="44" w:firstLine="0"/>
              <w:jc w:val="center"/>
              <w:rPr>
                <w:sz w:val="18"/>
              </w:rPr>
            </w:pPr>
            <w:r>
              <w:rPr>
                <w:sz w:val="18"/>
              </w:rPr>
              <w:t>660</w:t>
            </w:r>
          </w:p>
        </w:tc>
        <w:tc>
          <w:tcPr>
            <w:tcW w:w="997" w:type="dxa"/>
            <w:tcBorders>
              <w:top w:val="single" w:sz="4" w:space="0" w:color="000000"/>
              <w:left w:val="single" w:sz="12" w:space="0" w:color="000000"/>
              <w:bottom w:val="single" w:sz="4" w:space="0" w:color="000000"/>
              <w:right w:val="single" w:sz="12" w:space="0" w:color="000000"/>
            </w:tcBorders>
          </w:tcPr>
          <w:p w14:paraId="2DCF8B16" w14:textId="08F3C133" w:rsidR="008A2D17" w:rsidRDefault="008A2D17" w:rsidP="00FC6809">
            <w:pPr>
              <w:spacing w:after="0" w:line="259" w:lineRule="auto"/>
              <w:ind w:left="0" w:right="44" w:firstLine="0"/>
              <w:jc w:val="center"/>
              <w:rPr>
                <w:rFonts w:eastAsia="Segoe UI Symbol"/>
                <w:sz w:val="18"/>
              </w:rPr>
            </w:pPr>
            <w:r>
              <w:rPr>
                <w:rFonts w:eastAsia="Segoe UI Symbol"/>
                <w:sz w:val="18"/>
              </w:rPr>
              <w:t>u</w:t>
            </w:r>
            <w:r>
              <w:rPr>
                <w:sz w:val="18"/>
              </w:rPr>
              <w:t>g/kg</w:t>
            </w:r>
          </w:p>
        </w:tc>
        <w:tc>
          <w:tcPr>
            <w:tcW w:w="1029" w:type="dxa"/>
            <w:tcBorders>
              <w:top w:val="single" w:sz="4" w:space="0" w:color="000000"/>
              <w:left w:val="single" w:sz="12" w:space="0" w:color="000000"/>
              <w:bottom w:val="single" w:sz="4" w:space="0" w:color="000000"/>
              <w:right w:val="single" w:sz="12" w:space="0" w:color="000000"/>
            </w:tcBorders>
          </w:tcPr>
          <w:p w14:paraId="0E179014" w14:textId="1E79A43D" w:rsidR="008A2D17" w:rsidRDefault="008A2D17" w:rsidP="00FC6809">
            <w:pPr>
              <w:spacing w:after="0" w:line="259" w:lineRule="auto"/>
              <w:ind w:left="0" w:right="46" w:firstLine="0"/>
              <w:jc w:val="center"/>
              <w:rPr>
                <w:b/>
                <w:sz w:val="18"/>
              </w:rPr>
            </w:pPr>
            <w:r>
              <w:rPr>
                <w:b/>
                <w:sz w:val="18"/>
              </w:rPr>
              <w:t>8270</w:t>
            </w:r>
          </w:p>
        </w:tc>
        <w:tc>
          <w:tcPr>
            <w:tcW w:w="1592" w:type="dxa"/>
            <w:tcBorders>
              <w:top w:val="single" w:sz="4" w:space="0" w:color="000000"/>
              <w:left w:val="single" w:sz="12" w:space="0" w:color="000000"/>
              <w:bottom w:val="single" w:sz="4" w:space="0" w:color="000000"/>
              <w:right w:val="single" w:sz="12" w:space="0" w:color="000000"/>
            </w:tcBorders>
          </w:tcPr>
          <w:p w14:paraId="38FF14E0" w14:textId="718BC29A" w:rsidR="008A2D17" w:rsidRPr="008468E1" w:rsidRDefault="008A2D17" w:rsidP="00FC6809">
            <w:pPr>
              <w:spacing w:after="0" w:line="259" w:lineRule="auto"/>
              <w:ind w:left="0" w:right="49" w:firstLine="0"/>
              <w:jc w:val="center"/>
              <w:rPr>
                <w:sz w:val="18"/>
                <w:szCs w:val="18"/>
              </w:rPr>
            </w:pPr>
            <w:r>
              <w:rPr>
                <w:sz w:val="18"/>
                <w:szCs w:val="18"/>
              </w:rPr>
              <w:t>8270 SIM</w:t>
            </w:r>
          </w:p>
        </w:tc>
      </w:tr>
      <w:tr w:rsidR="008A2D17" w14:paraId="776D4902" w14:textId="77777777" w:rsidTr="00324798">
        <w:trPr>
          <w:trHeight w:val="259"/>
        </w:trPr>
        <w:tc>
          <w:tcPr>
            <w:tcW w:w="3372" w:type="dxa"/>
            <w:tcBorders>
              <w:top w:val="single" w:sz="4" w:space="0" w:color="000000"/>
              <w:left w:val="single" w:sz="12" w:space="0" w:color="000000"/>
              <w:bottom w:val="single" w:sz="4" w:space="0" w:color="000000"/>
              <w:right w:val="single" w:sz="12" w:space="0" w:color="000000"/>
            </w:tcBorders>
          </w:tcPr>
          <w:p w14:paraId="6BD101F3" w14:textId="3696D693" w:rsidR="008A2D17" w:rsidRDefault="008A2D17" w:rsidP="008A2D17">
            <w:pPr>
              <w:spacing w:after="0" w:line="259" w:lineRule="auto"/>
              <w:ind w:left="0" w:right="0" w:firstLine="0"/>
              <w:rPr>
                <w:sz w:val="18"/>
              </w:rPr>
            </w:pPr>
            <w:proofErr w:type="spellStart"/>
            <w:r>
              <w:rPr>
                <w:sz w:val="18"/>
              </w:rPr>
              <w:t>Hexachlorocyclopentadiene</w:t>
            </w:r>
            <w:proofErr w:type="spellEnd"/>
            <w:r>
              <w:rPr>
                <w:sz w:val="18"/>
              </w:rPr>
              <w:t xml:space="preserve"> </w:t>
            </w:r>
          </w:p>
        </w:tc>
        <w:tc>
          <w:tcPr>
            <w:tcW w:w="1130" w:type="dxa"/>
            <w:tcBorders>
              <w:top w:val="single" w:sz="4" w:space="0" w:color="000000"/>
              <w:left w:val="single" w:sz="12" w:space="0" w:color="000000"/>
              <w:bottom w:val="single" w:sz="4" w:space="0" w:color="000000"/>
              <w:right w:val="single" w:sz="12" w:space="0" w:color="000000"/>
            </w:tcBorders>
          </w:tcPr>
          <w:p w14:paraId="4C44AEE7" w14:textId="5C9A2E56" w:rsidR="008A2D17" w:rsidRDefault="008A2D17" w:rsidP="00FC6809">
            <w:pPr>
              <w:spacing w:after="0" w:line="259" w:lineRule="auto"/>
              <w:ind w:left="0" w:right="44" w:firstLine="0"/>
              <w:jc w:val="center"/>
              <w:rPr>
                <w:sz w:val="18"/>
              </w:rPr>
            </w:pPr>
            <w:r>
              <w:rPr>
                <w:sz w:val="18"/>
              </w:rPr>
              <w:t>77-47-4</w:t>
            </w:r>
          </w:p>
        </w:tc>
        <w:tc>
          <w:tcPr>
            <w:tcW w:w="866" w:type="dxa"/>
            <w:tcBorders>
              <w:top w:val="single" w:sz="4" w:space="0" w:color="000000"/>
              <w:left w:val="single" w:sz="12" w:space="0" w:color="000000"/>
              <w:bottom w:val="single" w:sz="4" w:space="0" w:color="000000"/>
              <w:right w:val="single" w:sz="12" w:space="0" w:color="000000"/>
            </w:tcBorders>
          </w:tcPr>
          <w:p w14:paraId="01F6B5DA" w14:textId="06DE9BD6" w:rsidR="008A2D17" w:rsidRDefault="008A2D17" w:rsidP="00FC6809">
            <w:pPr>
              <w:spacing w:after="0" w:line="259" w:lineRule="auto"/>
              <w:ind w:left="0" w:right="46" w:firstLine="0"/>
              <w:jc w:val="center"/>
              <w:rPr>
                <w:sz w:val="18"/>
              </w:rPr>
            </w:pPr>
            <w:r>
              <w:rPr>
                <w:sz w:val="18"/>
              </w:rPr>
              <w:t>10</w:t>
            </w:r>
          </w:p>
        </w:tc>
        <w:tc>
          <w:tcPr>
            <w:tcW w:w="816" w:type="dxa"/>
            <w:tcBorders>
              <w:top w:val="single" w:sz="4" w:space="0" w:color="000000"/>
              <w:left w:val="single" w:sz="12" w:space="0" w:color="000000"/>
              <w:bottom w:val="single" w:sz="4" w:space="0" w:color="000000"/>
              <w:right w:val="single" w:sz="12" w:space="0" w:color="000000"/>
            </w:tcBorders>
          </w:tcPr>
          <w:p w14:paraId="70AB2F2E" w14:textId="21F06FA3" w:rsidR="008A2D17" w:rsidRPr="0054195B" w:rsidRDefault="008A2D17" w:rsidP="00FC6809">
            <w:pPr>
              <w:spacing w:after="0" w:line="259" w:lineRule="auto"/>
              <w:ind w:left="0" w:right="46" w:firstLine="0"/>
              <w:jc w:val="center"/>
              <w:rPr>
                <w:rFonts w:eastAsia="Segoe UI Symbol"/>
                <w:sz w:val="18"/>
              </w:rPr>
            </w:pPr>
            <w:r>
              <w:rPr>
                <w:sz w:val="18"/>
              </w:rPr>
              <w:t>ug/L</w:t>
            </w:r>
          </w:p>
        </w:tc>
        <w:tc>
          <w:tcPr>
            <w:tcW w:w="818" w:type="dxa"/>
            <w:tcBorders>
              <w:top w:val="single" w:sz="4" w:space="0" w:color="000000"/>
              <w:left w:val="single" w:sz="12" w:space="0" w:color="000000"/>
              <w:bottom w:val="single" w:sz="4" w:space="0" w:color="000000"/>
              <w:right w:val="single" w:sz="12" w:space="0" w:color="000000"/>
            </w:tcBorders>
          </w:tcPr>
          <w:p w14:paraId="723DE063" w14:textId="75996263" w:rsidR="008A2D17" w:rsidRDefault="008A2D17" w:rsidP="00FC6809">
            <w:pPr>
              <w:spacing w:after="0" w:line="259" w:lineRule="auto"/>
              <w:ind w:left="0" w:right="44" w:firstLine="0"/>
              <w:jc w:val="center"/>
              <w:rPr>
                <w:sz w:val="18"/>
              </w:rPr>
            </w:pPr>
            <w:r>
              <w:rPr>
                <w:sz w:val="18"/>
              </w:rPr>
              <w:t>660</w:t>
            </w:r>
          </w:p>
        </w:tc>
        <w:tc>
          <w:tcPr>
            <w:tcW w:w="997" w:type="dxa"/>
            <w:tcBorders>
              <w:top w:val="single" w:sz="4" w:space="0" w:color="000000"/>
              <w:left w:val="single" w:sz="12" w:space="0" w:color="000000"/>
              <w:bottom w:val="single" w:sz="4" w:space="0" w:color="000000"/>
              <w:right w:val="single" w:sz="12" w:space="0" w:color="000000"/>
            </w:tcBorders>
          </w:tcPr>
          <w:p w14:paraId="4AD61D4A" w14:textId="565021E8" w:rsidR="008A2D17" w:rsidRDefault="008A2D17" w:rsidP="00FC6809">
            <w:pPr>
              <w:spacing w:after="0" w:line="259" w:lineRule="auto"/>
              <w:ind w:left="0" w:right="44" w:firstLine="0"/>
              <w:jc w:val="center"/>
              <w:rPr>
                <w:rFonts w:eastAsia="Segoe UI Symbol"/>
                <w:sz w:val="18"/>
              </w:rPr>
            </w:pPr>
            <w:r>
              <w:rPr>
                <w:rFonts w:eastAsia="Segoe UI Symbol"/>
                <w:sz w:val="18"/>
              </w:rPr>
              <w:t>u</w:t>
            </w:r>
            <w:r>
              <w:rPr>
                <w:sz w:val="18"/>
              </w:rPr>
              <w:t>g/kg</w:t>
            </w:r>
          </w:p>
        </w:tc>
        <w:tc>
          <w:tcPr>
            <w:tcW w:w="1029" w:type="dxa"/>
            <w:tcBorders>
              <w:top w:val="single" w:sz="4" w:space="0" w:color="000000"/>
              <w:left w:val="single" w:sz="12" w:space="0" w:color="000000"/>
              <w:bottom w:val="single" w:sz="4" w:space="0" w:color="000000"/>
              <w:right w:val="single" w:sz="12" w:space="0" w:color="000000"/>
            </w:tcBorders>
          </w:tcPr>
          <w:p w14:paraId="132E8C4F" w14:textId="5B31B4F9" w:rsidR="008A2D17" w:rsidRDefault="008A2D17" w:rsidP="00FC6809">
            <w:pPr>
              <w:spacing w:after="0" w:line="259" w:lineRule="auto"/>
              <w:ind w:left="0" w:right="46" w:firstLine="0"/>
              <w:jc w:val="center"/>
              <w:rPr>
                <w:b/>
                <w:sz w:val="18"/>
              </w:rPr>
            </w:pPr>
            <w:r>
              <w:rPr>
                <w:b/>
                <w:sz w:val="18"/>
              </w:rPr>
              <w:t>8270</w:t>
            </w:r>
          </w:p>
        </w:tc>
        <w:tc>
          <w:tcPr>
            <w:tcW w:w="1592" w:type="dxa"/>
            <w:tcBorders>
              <w:top w:val="single" w:sz="4" w:space="0" w:color="000000"/>
              <w:left w:val="single" w:sz="12" w:space="0" w:color="000000"/>
              <w:bottom w:val="single" w:sz="4" w:space="0" w:color="000000"/>
              <w:right w:val="single" w:sz="12" w:space="0" w:color="000000"/>
            </w:tcBorders>
          </w:tcPr>
          <w:p w14:paraId="7BC95FCD" w14:textId="186079B0" w:rsidR="008A2D17" w:rsidRDefault="008A2D17" w:rsidP="00FC6809">
            <w:pPr>
              <w:spacing w:after="0" w:line="259" w:lineRule="auto"/>
              <w:ind w:left="0" w:right="49" w:firstLine="0"/>
              <w:jc w:val="center"/>
              <w:rPr>
                <w:sz w:val="18"/>
                <w:szCs w:val="18"/>
              </w:rPr>
            </w:pPr>
            <w:r w:rsidRPr="00C509D2">
              <w:rPr>
                <w:sz w:val="18"/>
                <w:szCs w:val="18"/>
              </w:rPr>
              <w:t>8270 SIM</w:t>
            </w:r>
          </w:p>
        </w:tc>
      </w:tr>
      <w:tr w:rsidR="008A2D17" w14:paraId="29E700D6" w14:textId="77777777" w:rsidTr="00324798">
        <w:trPr>
          <w:trHeight w:val="259"/>
        </w:trPr>
        <w:tc>
          <w:tcPr>
            <w:tcW w:w="3372" w:type="dxa"/>
            <w:tcBorders>
              <w:top w:val="single" w:sz="4" w:space="0" w:color="000000"/>
              <w:left w:val="single" w:sz="12" w:space="0" w:color="000000"/>
              <w:bottom w:val="single" w:sz="4" w:space="0" w:color="000000"/>
              <w:right w:val="single" w:sz="12" w:space="0" w:color="000000"/>
            </w:tcBorders>
          </w:tcPr>
          <w:p w14:paraId="726E607D" w14:textId="1E17E25E" w:rsidR="008A2D17" w:rsidRDefault="008A2D17" w:rsidP="008A2D17">
            <w:pPr>
              <w:spacing w:after="0" w:line="259" w:lineRule="auto"/>
              <w:ind w:left="0" w:right="0" w:firstLine="0"/>
              <w:rPr>
                <w:sz w:val="18"/>
              </w:rPr>
            </w:pPr>
            <w:r>
              <w:rPr>
                <w:sz w:val="18"/>
              </w:rPr>
              <w:t xml:space="preserve">Hexachloroethane </w:t>
            </w:r>
          </w:p>
        </w:tc>
        <w:tc>
          <w:tcPr>
            <w:tcW w:w="1130" w:type="dxa"/>
            <w:tcBorders>
              <w:top w:val="single" w:sz="4" w:space="0" w:color="000000"/>
              <w:left w:val="single" w:sz="12" w:space="0" w:color="000000"/>
              <w:bottom w:val="single" w:sz="4" w:space="0" w:color="000000"/>
              <w:right w:val="single" w:sz="12" w:space="0" w:color="000000"/>
            </w:tcBorders>
          </w:tcPr>
          <w:p w14:paraId="0F789911" w14:textId="48290305" w:rsidR="008A2D17" w:rsidRDefault="008A2D17" w:rsidP="00FC6809">
            <w:pPr>
              <w:spacing w:after="0" w:line="259" w:lineRule="auto"/>
              <w:ind w:left="0" w:right="44" w:firstLine="0"/>
              <w:jc w:val="center"/>
              <w:rPr>
                <w:sz w:val="18"/>
              </w:rPr>
            </w:pPr>
            <w:r>
              <w:rPr>
                <w:sz w:val="18"/>
              </w:rPr>
              <w:t>67-72-1</w:t>
            </w:r>
          </w:p>
        </w:tc>
        <w:tc>
          <w:tcPr>
            <w:tcW w:w="866" w:type="dxa"/>
            <w:tcBorders>
              <w:top w:val="single" w:sz="4" w:space="0" w:color="000000"/>
              <w:left w:val="single" w:sz="12" w:space="0" w:color="000000"/>
              <w:bottom w:val="single" w:sz="4" w:space="0" w:color="000000"/>
              <w:right w:val="single" w:sz="12" w:space="0" w:color="000000"/>
            </w:tcBorders>
          </w:tcPr>
          <w:p w14:paraId="2094EC2E" w14:textId="50DFA54F" w:rsidR="008A2D17" w:rsidRDefault="008A2D17" w:rsidP="00FC6809">
            <w:pPr>
              <w:spacing w:after="0" w:line="259" w:lineRule="auto"/>
              <w:ind w:left="0" w:right="46" w:firstLine="0"/>
              <w:jc w:val="center"/>
              <w:rPr>
                <w:sz w:val="18"/>
              </w:rPr>
            </w:pPr>
            <w:r>
              <w:rPr>
                <w:sz w:val="18"/>
              </w:rPr>
              <w:t>10</w:t>
            </w:r>
          </w:p>
        </w:tc>
        <w:tc>
          <w:tcPr>
            <w:tcW w:w="816" w:type="dxa"/>
            <w:tcBorders>
              <w:top w:val="single" w:sz="4" w:space="0" w:color="000000"/>
              <w:left w:val="single" w:sz="12" w:space="0" w:color="000000"/>
              <w:bottom w:val="single" w:sz="4" w:space="0" w:color="000000"/>
              <w:right w:val="single" w:sz="12" w:space="0" w:color="000000"/>
            </w:tcBorders>
          </w:tcPr>
          <w:p w14:paraId="0C3573BC" w14:textId="6865A57D" w:rsidR="008A2D17" w:rsidRDefault="008A2D17" w:rsidP="00FC6809">
            <w:pPr>
              <w:spacing w:after="0" w:line="259" w:lineRule="auto"/>
              <w:ind w:left="0" w:right="46" w:firstLine="0"/>
              <w:jc w:val="center"/>
              <w:rPr>
                <w:sz w:val="18"/>
              </w:rPr>
            </w:pPr>
            <w:r>
              <w:rPr>
                <w:sz w:val="18"/>
              </w:rPr>
              <w:t>ug/L</w:t>
            </w:r>
          </w:p>
        </w:tc>
        <w:tc>
          <w:tcPr>
            <w:tcW w:w="818" w:type="dxa"/>
            <w:tcBorders>
              <w:top w:val="single" w:sz="4" w:space="0" w:color="000000"/>
              <w:left w:val="single" w:sz="12" w:space="0" w:color="000000"/>
              <w:bottom w:val="single" w:sz="4" w:space="0" w:color="000000"/>
              <w:right w:val="single" w:sz="12" w:space="0" w:color="000000"/>
            </w:tcBorders>
          </w:tcPr>
          <w:p w14:paraId="79A5B0A9" w14:textId="4774A712" w:rsidR="008A2D17" w:rsidRDefault="008A2D17" w:rsidP="00FC6809">
            <w:pPr>
              <w:spacing w:after="0" w:line="259" w:lineRule="auto"/>
              <w:ind w:left="0" w:right="44" w:firstLine="0"/>
              <w:jc w:val="center"/>
              <w:rPr>
                <w:sz w:val="18"/>
              </w:rPr>
            </w:pPr>
            <w:r>
              <w:rPr>
                <w:sz w:val="18"/>
              </w:rPr>
              <w:t>660</w:t>
            </w:r>
          </w:p>
        </w:tc>
        <w:tc>
          <w:tcPr>
            <w:tcW w:w="997" w:type="dxa"/>
            <w:tcBorders>
              <w:top w:val="single" w:sz="4" w:space="0" w:color="000000"/>
              <w:left w:val="single" w:sz="12" w:space="0" w:color="000000"/>
              <w:bottom w:val="single" w:sz="4" w:space="0" w:color="000000"/>
              <w:right w:val="single" w:sz="12" w:space="0" w:color="000000"/>
            </w:tcBorders>
          </w:tcPr>
          <w:p w14:paraId="64773A87" w14:textId="75A65473" w:rsidR="008A2D17" w:rsidRDefault="008A2D17" w:rsidP="00FC6809">
            <w:pPr>
              <w:spacing w:after="0" w:line="259" w:lineRule="auto"/>
              <w:ind w:left="0" w:right="44" w:firstLine="0"/>
              <w:jc w:val="center"/>
              <w:rPr>
                <w:rFonts w:eastAsia="Segoe UI Symbol"/>
                <w:sz w:val="18"/>
              </w:rPr>
            </w:pPr>
            <w:r>
              <w:rPr>
                <w:rFonts w:eastAsia="Segoe UI Symbol"/>
                <w:sz w:val="18"/>
              </w:rPr>
              <w:t>u</w:t>
            </w:r>
            <w:r>
              <w:rPr>
                <w:sz w:val="18"/>
              </w:rPr>
              <w:t>g/kg</w:t>
            </w:r>
          </w:p>
        </w:tc>
        <w:tc>
          <w:tcPr>
            <w:tcW w:w="1029" w:type="dxa"/>
            <w:tcBorders>
              <w:top w:val="single" w:sz="4" w:space="0" w:color="000000"/>
              <w:left w:val="single" w:sz="12" w:space="0" w:color="000000"/>
              <w:bottom w:val="single" w:sz="4" w:space="0" w:color="000000"/>
              <w:right w:val="single" w:sz="12" w:space="0" w:color="000000"/>
            </w:tcBorders>
          </w:tcPr>
          <w:p w14:paraId="4D0D460D" w14:textId="613A40AB" w:rsidR="008A2D17" w:rsidRDefault="008A2D17" w:rsidP="00FC6809">
            <w:pPr>
              <w:spacing w:after="0" w:line="259" w:lineRule="auto"/>
              <w:ind w:left="0" w:right="46" w:firstLine="0"/>
              <w:jc w:val="center"/>
              <w:rPr>
                <w:b/>
                <w:sz w:val="18"/>
              </w:rPr>
            </w:pPr>
            <w:r>
              <w:rPr>
                <w:b/>
                <w:sz w:val="18"/>
              </w:rPr>
              <w:t>8270</w:t>
            </w:r>
          </w:p>
        </w:tc>
        <w:tc>
          <w:tcPr>
            <w:tcW w:w="1592" w:type="dxa"/>
            <w:tcBorders>
              <w:top w:val="single" w:sz="4" w:space="0" w:color="000000"/>
              <w:left w:val="single" w:sz="12" w:space="0" w:color="000000"/>
              <w:bottom w:val="single" w:sz="4" w:space="0" w:color="000000"/>
              <w:right w:val="single" w:sz="12" w:space="0" w:color="000000"/>
            </w:tcBorders>
          </w:tcPr>
          <w:p w14:paraId="114547FA" w14:textId="4A91663C" w:rsidR="008A2D17" w:rsidRPr="00C509D2" w:rsidRDefault="008A2D17" w:rsidP="00FC6809">
            <w:pPr>
              <w:spacing w:after="0" w:line="259" w:lineRule="auto"/>
              <w:ind w:left="0" w:right="49" w:firstLine="0"/>
              <w:jc w:val="center"/>
              <w:rPr>
                <w:sz w:val="18"/>
                <w:szCs w:val="18"/>
              </w:rPr>
            </w:pPr>
            <w:r w:rsidRPr="002D0659">
              <w:rPr>
                <w:sz w:val="18"/>
                <w:szCs w:val="18"/>
              </w:rPr>
              <w:t>8270 SIM</w:t>
            </w:r>
          </w:p>
        </w:tc>
      </w:tr>
      <w:tr w:rsidR="008A2D17" w14:paraId="0C397305" w14:textId="77777777" w:rsidTr="00324798">
        <w:trPr>
          <w:trHeight w:val="259"/>
        </w:trPr>
        <w:tc>
          <w:tcPr>
            <w:tcW w:w="3372" w:type="dxa"/>
            <w:tcBorders>
              <w:top w:val="single" w:sz="4" w:space="0" w:color="000000"/>
              <w:left w:val="single" w:sz="12" w:space="0" w:color="000000"/>
              <w:bottom w:val="single" w:sz="4" w:space="0" w:color="000000"/>
              <w:right w:val="single" w:sz="12" w:space="0" w:color="000000"/>
            </w:tcBorders>
          </w:tcPr>
          <w:p w14:paraId="52A05DAA" w14:textId="12FE405D" w:rsidR="008A2D17" w:rsidRDefault="008A2D17" w:rsidP="008A2D17">
            <w:pPr>
              <w:spacing w:after="0" w:line="259" w:lineRule="auto"/>
              <w:ind w:left="0" w:right="0" w:firstLine="0"/>
              <w:rPr>
                <w:sz w:val="18"/>
              </w:rPr>
            </w:pPr>
            <w:proofErr w:type="spellStart"/>
            <w:r>
              <w:rPr>
                <w:sz w:val="18"/>
              </w:rPr>
              <w:t>Indeno</w:t>
            </w:r>
            <w:proofErr w:type="spellEnd"/>
            <w:r>
              <w:rPr>
                <w:sz w:val="18"/>
              </w:rPr>
              <w:t>[1,2,3-</w:t>
            </w:r>
            <w:proofErr w:type="gramStart"/>
            <w:r>
              <w:rPr>
                <w:sz w:val="18"/>
              </w:rPr>
              <w:t>cd]pyrene</w:t>
            </w:r>
            <w:proofErr w:type="gramEnd"/>
            <w:r>
              <w:rPr>
                <w:b/>
                <w:sz w:val="18"/>
                <w:vertAlign w:val="superscript"/>
              </w:rPr>
              <w:t xml:space="preserve"> </w:t>
            </w:r>
          </w:p>
        </w:tc>
        <w:tc>
          <w:tcPr>
            <w:tcW w:w="1130" w:type="dxa"/>
            <w:tcBorders>
              <w:top w:val="single" w:sz="4" w:space="0" w:color="000000"/>
              <w:left w:val="single" w:sz="12" w:space="0" w:color="000000"/>
              <w:bottom w:val="single" w:sz="4" w:space="0" w:color="000000"/>
              <w:right w:val="single" w:sz="12" w:space="0" w:color="000000"/>
            </w:tcBorders>
          </w:tcPr>
          <w:p w14:paraId="6D36206A" w14:textId="12CFC5E0" w:rsidR="008A2D17" w:rsidRDefault="008A2D17" w:rsidP="00FC6809">
            <w:pPr>
              <w:spacing w:after="0" w:line="259" w:lineRule="auto"/>
              <w:ind w:left="0" w:right="44" w:firstLine="0"/>
              <w:jc w:val="center"/>
              <w:rPr>
                <w:sz w:val="18"/>
              </w:rPr>
            </w:pPr>
            <w:r>
              <w:rPr>
                <w:sz w:val="18"/>
              </w:rPr>
              <w:t>193-39-5</w:t>
            </w:r>
          </w:p>
        </w:tc>
        <w:tc>
          <w:tcPr>
            <w:tcW w:w="866" w:type="dxa"/>
            <w:tcBorders>
              <w:top w:val="single" w:sz="4" w:space="0" w:color="000000"/>
              <w:left w:val="single" w:sz="12" w:space="0" w:color="000000"/>
              <w:bottom w:val="single" w:sz="4" w:space="0" w:color="000000"/>
              <w:right w:val="single" w:sz="12" w:space="0" w:color="000000"/>
            </w:tcBorders>
          </w:tcPr>
          <w:p w14:paraId="508684A8" w14:textId="49B631E7" w:rsidR="008A2D17" w:rsidRDefault="008A2D17" w:rsidP="00FC6809">
            <w:pPr>
              <w:spacing w:after="0" w:line="259" w:lineRule="auto"/>
              <w:ind w:left="0" w:right="46" w:firstLine="0"/>
              <w:jc w:val="center"/>
              <w:rPr>
                <w:sz w:val="18"/>
              </w:rPr>
            </w:pPr>
            <w:r>
              <w:rPr>
                <w:sz w:val="18"/>
              </w:rPr>
              <w:t>10</w:t>
            </w:r>
          </w:p>
        </w:tc>
        <w:tc>
          <w:tcPr>
            <w:tcW w:w="816" w:type="dxa"/>
            <w:tcBorders>
              <w:top w:val="single" w:sz="4" w:space="0" w:color="000000"/>
              <w:left w:val="single" w:sz="12" w:space="0" w:color="000000"/>
              <w:bottom w:val="single" w:sz="4" w:space="0" w:color="000000"/>
              <w:right w:val="single" w:sz="12" w:space="0" w:color="000000"/>
            </w:tcBorders>
          </w:tcPr>
          <w:p w14:paraId="539C0E80" w14:textId="47E6EF7A" w:rsidR="008A2D17" w:rsidRDefault="008A2D17" w:rsidP="00FC6809">
            <w:pPr>
              <w:spacing w:after="0" w:line="259" w:lineRule="auto"/>
              <w:ind w:left="0" w:right="46" w:firstLine="0"/>
              <w:jc w:val="center"/>
              <w:rPr>
                <w:sz w:val="18"/>
              </w:rPr>
            </w:pPr>
            <w:r>
              <w:rPr>
                <w:sz w:val="18"/>
              </w:rPr>
              <w:t>ug/L</w:t>
            </w:r>
          </w:p>
        </w:tc>
        <w:tc>
          <w:tcPr>
            <w:tcW w:w="818" w:type="dxa"/>
            <w:tcBorders>
              <w:top w:val="single" w:sz="4" w:space="0" w:color="000000"/>
              <w:left w:val="single" w:sz="12" w:space="0" w:color="000000"/>
              <w:bottom w:val="single" w:sz="4" w:space="0" w:color="000000"/>
              <w:right w:val="single" w:sz="12" w:space="0" w:color="000000"/>
            </w:tcBorders>
          </w:tcPr>
          <w:p w14:paraId="24E52CCD" w14:textId="57ABDDA5" w:rsidR="008A2D17" w:rsidRDefault="008A2D17" w:rsidP="00FC6809">
            <w:pPr>
              <w:spacing w:after="0" w:line="259" w:lineRule="auto"/>
              <w:ind w:left="0" w:right="44" w:firstLine="0"/>
              <w:jc w:val="center"/>
              <w:rPr>
                <w:sz w:val="18"/>
              </w:rPr>
            </w:pPr>
            <w:r>
              <w:rPr>
                <w:sz w:val="18"/>
              </w:rPr>
              <w:t>660</w:t>
            </w:r>
          </w:p>
        </w:tc>
        <w:tc>
          <w:tcPr>
            <w:tcW w:w="997" w:type="dxa"/>
            <w:tcBorders>
              <w:top w:val="single" w:sz="4" w:space="0" w:color="000000"/>
              <w:left w:val="single" w:sz="12" w:space="0" w:color="000000"/>
              <w:bottom w:val="single" w:sz="4" w:space="0" w:color="000000"/>
              <w:right w:val="single" w:sz="12" w:space="0" w:color="000000"/>
            </w:tcBorders>
          </w:tcPr>
          <w:p w14:paraId="06F48852" w14:textId="37DC2BDC" w:rsidR="008A2D17" w:rsidRDefault="008A2D17" w:rsidP="00FC6809">
            <w:pPr>
              <w:spacing w:after="0" w:line="259" w:lineRule="auto"/>
              <w:ind w:left="0" w:right="44" w:firstLine="0"/>
              <w:jc w:val="center"/>
              <w:rPr>
                <w:rFonts w:eastAsia="Segoe UI Symbol"/>
                <w:sz w:val="18"/>
              </w:rPr>
            </w:pPr>
            <w:r>
              <w:rPr>
                <w:rFonts w:eastAsia="Segoe UI Symbol"/>
                <w:sz w:val="18"/>
              </w:rPr>
              <w:t>u</w:t>
            </w:r>
            <w:r>
              <w:rPr>
                <w:sz w:val="18"/>
              </w:rPr>
              <w:t>g/kg</w:t>
            </w:r>
          </w:p>
        </w:tc>
        <w:tc>
          <w:tcPr>
            <w:tcW w:w="1029" w:type="dxa"/>
            <w:tcBorders>
              <w:top w:val="single" w:sz="4" w:space="0" w:color="000000"/>
              <w:left w:val="single" w:sz="12" w:space="0" w:color="000000"/>
              <w:bottom w:val="single" w:sz="4" w:space="0" w:color="000000"/>
              <w:right w:val="single" w:sz="12" w:space="0" w:color="000000"/>
            </w:tcBorders>
          </w:tcPr>
          <w:p w14:paraId="6E1E6F14" w14:textId="7762DE34" w:rsidR="008A2D17" w:rsidRDefault="008A2D17" w:rsidP="00FC6809">
            <w:pPr>
              <w:spacing w:after="0" w:line="259" w:lineRule="auto"/>
              <w:ind w:left="0" w:right="46" w:firstLine="0"/>
              <w:jc w:val="center"/>
              <w:rPr>
                <w:b/>
                <w:sz w:val="18"/>
              </w:rPr>
            </w:pPr>
            <w:r>
              <w:rPr>
                <w:b/>
                <w:sz w:val="18"/>
              </w:rPr>
              <w:t>8270</w:t>
            </w:r>
          </w:p>
        </w:tc>
        <w:tc>
          <w:tcPr>
            <w:tcW w:w="1592" w:type="dxa"/>
            <w:tcBorders>
              <w:top w:val="single" w:sz="4" w:space="0" w:color="000000"/>
              <w:left w:val="single" w:sz="12" w:space="0" w:color="000000"/>
              <w:bottom w:val="single" w:sz="4" w:space="0" w:color="000000"/>
              <w:right w:val="single" w:sz="12" w:space="0" w:color="000000"/>
            </w:tcBorders>
          </w:tcPr>
          <w:p w14:paraId="2098426F" w14:textId="4540B133" w:rsidR="008A2D17" w:rsidRPr="002D0659" w:rsidRDefault="008A2D17" w:rsidP="00FC6809">
            <w:pPr>
              <w:spacing w:after="0" w:line="259" w:lineRule="auto"/>
              <w:ind w:left="0" w:right="49" w:firstLine="0"/>
              <w:jc w:val="center"/>
              <w:rPr>
                <w:sz w:val="18"/>
                <w:szCs w:val="18"/>
              </w:rPr>
            </w:pPr>
            <w:r w:rsidRPr="00C509D2">
              <w:rPr>
                <w:sz w:val="18"/>
                <w:szCs w:val="18"/>
              </w:rPr>
              <w:t>8310</w:t>
            </w:r>
            <w:r>
              <w:rPr>
                <w:sz w:val="18"/>
                <w:szCs w:val="18"/>
              </w:rPr>
              <w:t xml:space="preserve">, </w:t>
            </w:r>
            <w:r w:rsidRPr="002D0659">
              <w:rPr>
                <w:sz w:val="18"/>
                <w:szCs w:val="18"/>
              </w:rPr>
              <w:t>8270 SIM</w:t>
            </w:r>
          </w:p>
        </w:tc>
      </w:tr>
      <w:tr w:rsidR="008A2D17" w14:paraId="788F89C6" w14:textId="77777777" w:rsidTr="00324798">
        <w:trPr>
          <w:trHeight w:val="259"/>
        </w:trPr>
        <w:tc>
          <w:tcPr>
            <w:tcW w:w="3372" w:type="dxa"/>
            <w:tcBorders>
              <w:top w:val="single" w:sz="4" w:space="0" w:color="000000"/>
              <w:left w:val="single" w:sz="12" w:space="0" w:color="000000"/>
              <w:bottom w:val="single" w:sz="4" w:space="0" w:color="000000"/>
              <w:right w:val="single" w:sz="12" w:space="0" w:color="000000"/>
            </w:tcBorders>
          </w:tcPr>
          <w:p w14:paraId="0516AC43" w14:textId="35A56093" w:rsidR="008A2D17" w:rsidRDefault="008A2D17" w:rsidP="008A2D17">
            <w:pPr>
              <w:spacing w:after="0" w:line="259" w:lineRule="auto"/>
              <w:ind w:left="0" w:right="0" w:firstLine="0"/>
              <w:rPr>
                <w:sz w:val="18"/>
              </w:rPr>
            </w:pPr>
            <w:proofErr w:type="spellStart"/>
            <w:r>
              <w:rPr>
                <w:sz w:val="18"/>
              </w:rPr>
              <w:t>Isophorone</w:t>
            </w:r>
            <w:proofErr w:type="spellEnd"/>
            <w:r>
              <w:rPr>
                <w:sz w:val="18"/>
              </w:rPr>
              <w:t xml:space="preserve"> </w:t>
            </w:r>
          </w:p>
        </w:tc>
        <w:tc>
          <w:tcPr>
            <w:tcW w:w="1130" w:type="dxa"/>
            <w:tcBorders>
              <w:top w:val="single" w:sz="4" w:space="0" w:color="000000"/>
              <w:left w:val="single" w:sz="12" w:space="0" w:color="000000"/>
              <w:bottom w:val="single" w:sz="4" w:space="0" w:color="000000"/>
              <w:right w:val="single" w:sz="12" w:space="0" w:color="000000"/>
            </w:tcBorders>
          </w:tcPr>
          <w:p w14:paraId="51DB4774" w14:textId="26F35F56" w:rsidR="008A2D17" w:rsidRDefault="008A2D17" w:rsidP="00FC6809">
            <w:pPr>
              <w:spacing w:after="0" w:line="259" w:lineRule="auto"/>
              <w:ind w:left="0" w:right="44" w:firstLine="0"/>
              <w:jc w:val="center"/>
              <w:rPr>
                <w:sz w:val="18"/>
              </w:rPr>
            </w:pPr>
            <w:r>
              <w:rPr>
                <w:sz w:val="18"/>
              </w:rPr>
              <w:t>78-59-1</w:t>
            </w:r>
          </w:p>
        </w:tc>
        <w:tc>
          <w:tcPr>
            <w:tcW w:w="866" w:type="dxa"/>
            <w:tcBorders>
              <w:top w:val="single" w:sz="4" w:space="0" w:color="000000"/>
              <w:left w:val="single" w:sz="12" w:space="0" w:color="000000"/>
              <w:bottom w:val="single" w:sz="4" w:space="0" w:color="000000"/>
              <w:right w:val="single" w:sz="12" w:space="0" w:color="000000"/>
            </w:tcBorders>
          </w:tcPr>
          <w:p w14:paraId="6451010F" w14:textId="78DAD079" w:rsidR="008A2D17" w:rsidRDefault="008A2D17" w:rsidP="00FC6809">
            <w:pPr>
              <w:spacing w:after="0" w:line="259" w:lineRule="auto"/>
              <w:ind w:left="0" w:right="46" w:firstLine="0"/>
              <w:jc w:val="center"/>
              <w:rPr>
                <w:sz w:val="18"/>
              </w:rPr>
            </w:pPr>
            <w:r>
              <w:rPr>
                <w:sz w:val="18"/>
              </w:rPr>
              <w:t>10</w:t>
            </w:r>
          </w:p>
        </w:tc>
        <w:tc>
          <w:tcPr>
            <w:tcW w:w="816" w:type="dxa"/>
            <w:tcBorders>
              <w:top w:val="single" w:sz="4" w:space="0" w:color="000000"/>
              <w:left w:val="single" w:sz="12" w:space="0" w:color="000000"/>
              <w:bottom w:val="single" w:sz="4" w:space="0" w:color="000000"/>
              <w:right w:val="single" w:sz="12" w:space="0" w:color="000000"/>
            </w:tcBorders>
          </w:tcPr>
          <w:p w14:paraId="12A28713" w14:textId="619D3630" w:rsidR="008A2D17" w:rsidRDefault="008A2D17" w:rsidP="00FC6809">
            <w:pPr>
              <w:spacing w:after="0" w:line="259" w:lineRule="auto"/>
              <w:ind w:left="0" w:right="46" w:firstLine="0"/>
              <w:jc w:val="center"/>
              <w:rPr>
                <w:sz w:val="18"/>
              </w:rPr>
            </w:pPr>
            <w:r>
              <w:rPr>
                <w:sz w:val="18"/>
              </w:rPr>
              <w:t>ug/L</w:t>
            </w:r>
          </w:p>
        </w:tc>
        <w:tc>
          <w:tcPr>
            <w:tcW w:w="818" w:type="dxa"/>
            <w:tcBorders>
              <w:top w:val="single" w:sz="4" w:space="0" w:color="000000"/>
              <w:left w:val="single" w:sz="12" w:space="0" w:color="000000"/>
              <w:bottom w:val="single" w:sz="4" w:space="0" w:color="000000"/>
              <w:right w:val="single" w:sz="12" w:space="0" w:color="000000"/>
            </w:tcBorders>
          </w:tcPr>
          <w:p w14:paraId="0024A997" w14:textId="6EF7C4CB" w:rsidR="008A2D17" w:rsidRDefault="008A2D17" w:rsidP="00FC6809">
            <w:pPr>
              <w:spacing w:after="0" w:line="259" w:lineRule="auto"/>
              <w:ind w:left="0" w:right="44" w:firstLine="0"/>
              <w:jc w:val="center"/>
              <w:rPr>
                <w:sz w:val="18"/>
              </w:rPr>
            </w:pPr>
            <w:r>
              <w:rPr>
                <w:sz w:val="18"/>
              </w:rPr>
              <w:t>660</w:t>
            </w:r>
          </w:p>
        </w:tc>
        <w:tc>
          <w:tcPr>
            <w:tcW w:w="997" w:type="dxa"/>
            <w:tcBorders>
              <w:top w:val="single" w:sz="4" w:space="0" w:color="000000"/>
              <w:left w:val="single" w:sz="12" w:space="0" w:color="000000"/>
              <w:bottom w:val="single" w:sz="4" w:space="0" w:color="000000"/>
              <w:right w:val="single" w:sz="12" w:space="0" w:color="000000"/>
            </w:tcBorders>
          </w:tcPr>
          <w:p w14:paraId="198AB67D" w14:textId="3245893F" w:rsidR="008A2D17" w:rsidRDefault="008A2D17" w:rsidP="00FC6809">
            <w:pPr>
              <w:spacing w:after="0" w:line="259" w:lineRule="auto"/>
              <w:ind w:left="0" w:right="44" w:firstLine="0"/>
              <w:jc w:val="center"/>
              <w:rPr>
                <w:rFonts w:eastAsia="Segoe UI Symbol"/>
                <w:sz w:val="18"/>
              </w:rPr>
            </w:pPr>
            <w:r>
              <w:rPr>
                <w:rFonts w:eastAsia="Segoe UI Symbol"/>
                <w:sz w:val="18"/>
              </w:rPr>
              <w:t>u</w:t>
            </w:r>
            <w:r>
              <w:rPr>
                <w:sz w:val="18"/>
              </w:rPr>
              <w:t>g/kg</w:t>
            </w:r>
          </w:p>
        </w:tc>
        <w:tc>
          <w:tcPr>
            <w:tcW w:w="1029" w:type="dxa"/>
            <w:tcBorders>
              <w:top w:val="single" w:sz="4" w:space="0" w:color="000000"/>
              <w:left w:val="single" w:sz="12" w:space="0" w:color="000000"/>
              <w:bottom w:val="single" w:sz="4" w:space="0" w:color="000000"/>
              <w:right w:val="single" w:sz="12" w:space="0" w:color="000000"/>
            </w:tcBorders>
          </w:tcPr>
          <w:p w14:paraId="79878877" w14:textId="30AF0623" w:rsidR="008A2D17" w:rsidRDefault="008A2D17" w:rsidP="00FC6809">
            <w:pPr>
              <w:spacing w:after="0" w:line="259" w:lineRule="auto"/>
              <w:ind w:left="0" w:right="46" w:firstLine="0"/>
              <w:jc w:val="center"/>
              <w:rPr>
                <w:b/>
                <w:sz w:val="18"/>
              </w:rPr>
            </w:pPr>
            <w:r>
              <w:rPr>
                <w:b/>
                <w:sz w:val="18"/>
              </w:rPr>
              <w:t>8270</w:t>
            </w:r>
          </w:p>
        </w:tc>
        <w:tc>
          <w:tcPr>
            <w:tcW w:w="1592" w:type="dxa"/>
            <w:tcBorders>
              <w:top w:val="single" w:sz="4" w:space="0" w:color="000000"/>
              <w:left w:val="single" w:sz="12" w:space="0" w:color="000000"/>
              <w:bottom w:val="single" w:sz="4" w:space="0" w:color="000000"/>
              <w:right w:val="single" w:sz="12" w:space="0" w:color="000000"/>
            </w:tcBorders>
          </w:tcPr>
          <w:p w14:paraId="5F8B2822" w14:textId="6C9FE597" w:rsidR="008A2D17" w:rsidRPr="00C509D2" w:rsidRDefault="008A2D17" w:rsidP="00FC6809">
            <w:pPr>
              <w:spacing w:after="0" w:line="259" w:lineRule="auto"/>
              <w:ind w:left="0" w:right="49" w:firstLine="0"/>
              <w:jc w:val="center"/>
              <w:rPr>
                <w:sz w:val="18"/>
                <w:szCs w:val="18"/>
              </w:rPr>
            </w:pPr>
            <w:r w:rsidRPr="002D0659">
              <w:rPr>
                <w:sz w:val="18"/>
                <w:szCs w:val="18"/>
              </w:rPr>
              <w:t>8270 SIM</w:t>
            </w:r>
          </w:p>
        </w:tc>
      </w:tr>
      <w:tr w:rsidR="003345F0" w14:paraId="6D24E6C9" w14:textId="77777777" w:rsidTr="00324798">
        <w:trPr>
          <w:trHeight w:val="259"/>
        </w:trPr>
        <w:tc>
          <w:tcPr>
            <w:tcW w:w="3372" w:type="dxa"/>
            <w:tcBorders>
              <w:top w:val="single" w:sz="4" w:space="0" w:color="000000"/>
              <w:left w:val="single" w:sz="12" w:space="0" w:color="000000"/>
              <w:bottom w:val="single" w:sz="4" w:space="0" w:color="000000"/>
              <w:right w:val="single" w:sz="12" w:space="0" w:color="000000"/>
            </w:tcBorders>
          </w:tcPr>
          <w:p w14:paraId="3F155520" w14:textId="6FA051B0" w:rsidR="003345F0" w:rsidRDefault="003345F0" w:rsidP="003345F0">
            <w:pPr>
              <w:spacing w:after="0" w:line="259" w:lineRule="auto"/>
              <w:ind w:left="0" w:right="0" w:firstLine="0"/>
              <w:rPr>
                <w:sz w:val="18"/>
              </w:rPr>
            </w:pPr>
            <w:r>
              <w:rPr>
                <w:sz w:val="18"/>
              </w:rPr>
              <w:t xml:space="preserve">1-Methylnaphthalene </w:t>
            </w:r>
          </w:p>
        </w:tc>
        <w:tc>
          <w:tcPr>
            <w:tcW w:w="1130" w:type="dxa"/>
            <w:tcBorders>
              <w:top w:val="single" w:sz="4" w:space="0" w:color="000000"/>
              <w:left w:val="single" w:sz="12" w:space="0" w:color="000000"/>
              <w:bottom w:val="single" w:sz="4" w:space="0" w:color="000000"/>
              <w:right w:val="single" w:sz="12" w:space="0" w:color="000000"/>
            </w:tcBorders>
          </w:tcPr>
          <w:p w14:paraId="306F918E" w14:textId="746AB576" w:rsidR="003345F0" w:rsidRDefault="003345F0" w:rsidP="003345F0">
            <w:pPr>
              <w:spacing w:after="0" w:line="259" w:lineRule="auto"/>
              <w:ind w:left="0" w:right="44" w:firstLine="0"/>
              <w:jc w:val="center"/>
              <w:rPr>
                <w:sz w:val="18"/>
              </w:rPr>
            </w:pPr>
            <w:r>
              <w:rPr>
                <w:sz w:val="18"/>
              </w:rPr>
              <w:t>90-12-0</w:t>
            </w:r>
          </w:p>
        </w:tc>
        <w:tc>
          <w:tcPr>
            <w:tcW w:w="866" w:type="dxa"/>
            <w:tcBorders>
              <w:top w:val="single" w:sz="4" w:space="0" w:color="000000"/>
              <w:left w:val="single" w:sz="12" w:space="0" w:color="000000"/>
              <w:bottom w:val="single" w:sz="4" w:space="0" w:color="000000"/>
              <w:right w:val="single" w:sz="12" w:space="0" w:color="000000"/>
            </w:tcBorders>
          </w:tcPr>
          <w:p w14:paraId="432FC1C3" w14:textId="3CC058B1" w:rsidR="003345F0" w:rsidRDefault="003345F0" w:rsidP="003345F0">
            <w:pPr>
              <w:spacing w:after="0" w:line="259" w:lineRule="auto"/>
              <w:ind w:left="0" w:right="46" w:firstLine="0"/>
              <w:jc w:val="center"/>
              <w:rPr>
                <w:sz w:val="18"/>
              </w:rPr>
            </w:pPr>
            <w:r>
              <w:rPr>
                <w:sz w:val="18"/>
              </w:rPr>
              <w:t>10</w:t>
            </w:r>
          </w:p>
        </w:tc>
        <w:tc>
          <w:tcPr>
            <w:tcW w:w="816" w:type="dxa"/>
            <w:tcBorders>
              <w:top w:val="single" w:sz="4" w:space="0" w:color="000000"/>
              <w:left w:val="single" w:sz="12" w:space="0" w:color="000000"/>
              <w:bottom w:val="single" w:sz="4" w:space="0" w:color="000000"/>
              <w:right w:val="single" w:sz="12" w:space="0" w:color="000000"/>
            </w:tcBorders>
          </w:tcPr>
          <w:p w14:paraId="1A293321" w14:textId="3A175CA3" w:rsidR="003345F0" w:rsidRDefault="003345F0" w:rsidP="003345F0">
            <w:pPr>
              <w:spacing w:after="0" w:line="259" w:lineRule="auto"/>
              <w:ind w:left="0" w:right="46" w:firstLine="0"/>
              <w:jc w:val="center"/>
              <w:rPr>
                <w:sz w:val="18"/>
              </w:rPr>
            </w:pPr>
            <w:r w:rsidRPr="0054195B">
              <w:rPr>
                <w:rFonts w:eastAsia="Segoe UI Symbol"/>
                <w:sz w:val="18"/>
              </w:rPr>
              <w:t>u</w:t>
            </w:r>
            <w:r w:rsidRPr="007137E4">
              <w:rPr>
                <w:sz w:val="18"/>
              </w:rPr>
              <w:t>g/L</w:t>
            </w:r>
          </w:p>
        </w:tc>
        <w:tc>
          <w:tcPr>
            <w:tcW w:w="818" w:type="dxa"/>
            <w:tcBorders>
              <w:top w:val="single" w:sz="4" w:space="0" w:color="000000"/>
              <w:left w:val="single" w:sz="12" w:space="0" w:color="000000"/>
              <w:bottom w:val="single" w:sz="4" w:space="0" w:color="000000"/>
              <w:right w:val="single" w:sz="12" w:space="0" w:color="000000"/>
            </w:tcBorders>
          </w:tcPr>
          <w:p w14:paraId="399B31EF" w14:textId="2D49A6FE" w:rsidR="003345F0" w:rsidRDefault="003345F0" w:rsidP="003345F0">
            <w:pPr>
              <w:spacing w:after="0" w:line="259" w:lineRule="auto"/>
              <w:ind w:left="0" w:right="44" w:firstLine="0"/>
              <w:jc w:val="center"/>
              <w:rPr>
                <w:sz w:val="18"/>
              </w:rPr>
            </w:pPr>
            <w:r>
              <w:rPr>
                <w:sz w:val="18"/>
              </w:rPr>
              <w:t>660</w:t>
            </w:r>
          </w:p>
        </w:tc>
        <w:tc>
          <w:tcPr>
            <w:tcW w:w="997" w:type="dxa"/>
            <w:tcBorders>
              <w:top w:val="single" w:sz="4" w:space="0" w:color="000000"/>
              <w:left w:val="single" w:sz="12" w:space="0" w:color="000000"/>
              <w:bottom w:val="single" w:sz="4" w:space="0" w:color="000000"/>
              <w:right w:val="single" w:sz="12" w:space="0" w:color="000000"/>
            </w:tcBorders>
          </w:tcPr>
          <w:p w14:paraId="11D77977" w14:textId="7D982693" w:rsidR="003345F0" w:rsidRDefault="003345F0" w:rsidP="003345F0">
            <w:pPr>
              <w:spacing w:after="0" w:line="259" w:lineRule="auto"/>
              <w:ind w:left="0" w:right="44" w:firstLine="0"/>
              <w:jc w:val="center"/>
              <w:rPr>
                <w:rFonts w:eastAsia="Segoe UI Symbol"/>
                <w:sz w:val="18"/>
              </w:rPr>
            </w:pPr>
            <w:r>
              <w:rPr>
                <w:rFonts w:eastAsia="Segoe UI Symbol"/>
                <w:sz w:val="18"/>
              </w:rPr>
              <w:t>u</w:t>
            </w:r>
            <w:r>
              <w:rPr>
                <w:sz w:val="18"/>
              </w:rPr>
              <w:t>g/kg</w:t>
            </w:r>
          </w:p>
        </w:tc>
        <w:tc>
          <w:tcPr>
            <w:tcW w:w="1029" w:type="dxa"/>
            <w:tcBorders>
              <w:top w:val="single" w:sz="4" w:space="0" w:color="000000"/>
              <w:left w:val="single" w:sz="12" w:space="0" w:color="000000"/>
              <w:bottom w:val="single" w:sz="4" w:space="0" w:color="000000"/>
              <w:right w:val="single" w:sz="12" w:space="0" w:color="000000"/>
            </w:tcBorders>
          </w:tcPr>
          <w:p w14:paraId="125B8354" w14:textId="510CE078" w:rsidR="003345F0" w:rsidRDefault="003345F0" w:rsidP="003345F0">
            <w:pPr>
              <w:spacing w:after="0" w:line="259" w:lineRule="auto"/>
              <w:ind w:left="0" w:right="46" w:firstLine="0"/>
              <w:jc w:val="center"/>
              <w:rPr>
                <w:b/>
                <w:sz w:val="18"/>
              </w:rPr>
            </w:pPr>
            <w:r>
              <w:rPr>
                <w:b/>
                <w:sz w:val="18"/>
              </w:rPr>
              <w:t>8270</w:t>
            </w:r>
          </w:p>
        </w:tc>
        <w:tc>
          <w:tcPr>
            <w:tcW w:w="1592" w:type="dxa"/>
            <w:tcBorders>
              <w:top w:val="single" w:sz="4" w:space="0" w:color="000000"/>
              <w:left w:val="single" w:sz="12" w:space="0" w:color="000000"/>
              <w:bottom w:val="single" w:sz="4" w:space="0" w:color="000000"/>
              <w:right w:val="single" w:sz="12" w:space="0" w:color="000000"/>
            </w:tcBorders>
          </w:tcPr>
          <w:p w14:paraId="5BC9F0BA" w14:textId="760C3A3A" w:rsidR="003345F0" w:rsidRPr="00C509D2" w:rsidRDefault="003345F0" w:rsidP="003345F0">
            <w:pPr>
              <w:spacing w:after="0" w:line="259" w:lineRule="auto"/>
              <w:ind w:left="0" w:right="49" w:firstLine="0"/>
              <w:jc w:val="center"/>
              <w:rPr>
                <w:sz w:val="18"/>
                <w:szCs w:val="18"/>
              </w:rPr>
            </w:pPr>
            <w:r>
              <w:rPr>
                <w:sz w:val="18"/>
                <w:szCs w:val="18"/>
              </w:rPr>
              <w:t>8310, 8270 SIM</w:t>
            </w:r>
          </w:p>
        </w:tc>
      </w:tr>
      <w:tr w:rsidR="003345F0" w14:paraId="53DDA100" w14:textId="77777777" w:rsidTr="00324798">
        <w:trPr>
          <w:trHeight w:val="259"/>
        </w:trPr>
        <w:tc>
          <w:tcPr>
            <w:tcW w:w="3372" w:type="dxa"/>
            <w:tcBorders>
              <w:top w:val="single" w:sz="4" w:space="0" w:color="000000"/>
              <w:left w:val="single" w:sz="12" w:space="0" w:color="000000"/>
              <w:bottom w:val="single" w:sz="4" w:space="0" w:color="000000"/>
              <w:right w:val="single" w:sz="12" w:space="0" w:color="000000"/>
            </w:tcBorders>
          </w:tcPr>
          <w:p w14:paraId="7BB140DC" w14:textId="7876623A" w:rsidR="003345F0" w:rsidRDefault="003345F0" w:rsidP="003345F0">
            <w:pPr>
              <w:spacing w:after="0" w:line="259" w:lineRule="auto"/>
              <w:ind w:left="0" w:right="0" w:firstLine="0"/>
              <w:rPr>
                <w:sz w:val="18"/>
              </w:rPr>
            </w:pPr>
            <w:r>
              <w:rPr>
                <w:sz w:val="18"/>
              </w:rPr>
              <w:t xml:space="preserve">2-Methylnaphthalene </w:t>
            </w:r>
          </w:p>
        </w:tc>
        <w:tc>
          <w:tcPr>
            <w:tcW w:w="1130" w:type="dxa"/>
            <w:tcBorders>
              <w:top w:val="single" w:sz="4" w:space="0" w:color="000000"/>
              <w:left w:val="single" w:sz="12" w:space="0" w:color="000000"/>
              <w:bottom w:val="single" w:sz="4" w:space="0" w:color="000000"/>
              <w:right w:val="single" w:sz="12" w:space="0" w:color="000000"/>
            </w:tcBorders>
          </w:tcPr>
          <w:p w14:paraId="5A1231AE" w14:textId="458B34CC" w:rsidR="003345F0" w:rsidRDefault="003345F0" w:rsidP="003345F0">
            <w:pPr>
              <w:spacing w:after="0" w:line="259" w:lineRule="auto"/>
              <w:ind w:left="0" w:right="44" w:firstLine="0"/>
              <w:jc w:val="center"/>
              <w:rPr>
                <w:sz w:val="18"/>
              </w:rPr>
            </w:pPr>
            <w:r>
              <w:rPr>
                <w:sz w:val="18"/>
              </w:rPr>
              <w:t>91-57-6</w:t>
            </w:r>
          </w:p>
        </w:tc>
        <w:tc>
          <w:tcPr>
            <w:tcW w:w="866" w:type="dxa"/>
            <w:tcBorders>
              <w:top w:val="single" w:sz="4" w:space="0" w:color="000000"/>
              <w:left w:val="single" w:sz="12" w:space="0" w:color="000000"/>
              <w:bottom w:val="single" w:sz="4" w:space="0" w:color="000000"/>
              <w:right w:val="single" w:sz="12" w:space="0" w:color="000000"/>
            </w:tcBorders>
          </w:tcPr>
          <w:p w14:paraId="0708C07F" w14:textId="40135637" w:rsidR="003345F0" w:rsidRDefault="003345F0" w:rsidP="003345F0">
            <w:pPr>
              <w:spacing w:after="0" w:line="259" w:lineRule="auto"/>
              <w:ind w:left="0" w:right="46" w:firstLine="0"/>
              <w:jc w:val="center"/>
              <w:rPr>
                <w:sz w:val="18"/>
              </w:rPr>
            </w:pPr>
            <w:r>
              <w:rPr>
                <w:sz w:val="18"/>
              </w:rPr>
              <w:t>10</w:t>
            </w:r>
          </w:p>
        </w:tc>
        <w:tc>
          <w:tcPr>
            <w:tcW w:w="816" w:type="dxa"/>
            <w:tcBorders>
              <w:top w:val="single" w:sz="4" w:space="0" w:color="000000"/>
              <w:left w:val="single" w:sz="12" w:space="0" w:color="000000"/>
              <w:bottom w:val="single" w:sz="4" w:space="0" w:color="000000"/>
              <w:right w:val="single" w:sz="12" w:space="0" w:color="000000"/>
            </w:tcBorders>
          </w:tcPr>
          <w:p w14:paraId="75CD8B45" w14:textId="087545E9" w:rsidR="003345F0" w:rsidRDefault="003345F0" w:rsidP="003345F0">
            <w:pPr>
              <w:spacing w:after="0" w:line="259" w:lineRule="auto"/>
              <w:ind w:left="0" w:right="46" w:firstLine="0"/>
              <w:jc w:val="center"/>
              <w:rPr>
                <w:sz w:val="18"/>
              </w:rPr>
            </w:pPr>
            <w:r>
              <w:rPr>
                <w:sz w:val="18"/>
              </w:rPr>
              <w:t>ug/L</w:t>
            </w:r>
          </w:p>
        </w:tc>
        <w:tc>
          <w:tcPr>
            <w:tcW w:w="818" w:type="dxa"/>
            <w:tcBorders>
              <w:top w:val="single" w:sz="4" w:space="0" w:color="000000"/>
              <w:left w:val="single" w:sz="12" w:space="0" w:color="000000"/>
              <w:bottom w:val="single" w:sz="4" w:space="0" w:color="000000"/>
              <w:right w:val="single" w:sz="12" w:space="0" w:color="000000"/>
            </w:tcBorders>
          </w:tcPr>
          <w:p w14:paraId="6964CCAD" w14:textId="42684C51" w:rsidR="003345F0" w:rsidRDefault="003345F0" w:rsidP="003345F0">
            <w:pPr>
              <w:spacing w:after="0" w:line="259" w:lineRule="auto"/>
              <w:ind w:left="0" w:right="44" w:firstLine="0"/>
              <w:jc w:val="center"/>
              <w:rPr>
                <w:sz w:val="18"/>
              </w:rPr>
            </w:pPr>
            <w:r>
              <w:rPr>
                <w:sz w:val="18"/>
              </w:rPr>
              <w:t>660</w:t>
            </w:r>
          </w:p>
        </w:tc>
        <w:tc>
          <w:tcPr>
            <w:tcW w:w="997" w:type="dxa"/>
            <w:tcBorders>
              <w:top w:val="single" w:sz="4" w:space="0" w:color="000000"/>
              <w:left w:val="single" w:sz="12" w:space="0" w:color="000000"/>
              <w:bottom w:val="single" w:sz="4" w:space="0" w:color="000000"/>
              <w:right w:val="single" w:sz="12" w:space="0" w:color="000000"/>
            </w:tcBorders>
          </w:tcPr>
          <w:p w14:paraId="5B0CF75E" w14:textId="3644A82D" w:rsidR="003345F0" w:rsidRDefault="003345F0" w:rsidP="003345F0">
            <w:pPr>
              <w:spacing w:after="0" w:line="259" w:lineRule="auto"/>
              <w:ind w:left="0" w:right="44" w:firstLine="0"/>
              <w:jc w:val="center"/>
              <w:rPr>
                <w:rFonts w:eastAsia="Segoe UI Symbol"/>
                <w:sz w:val="18"/>
              </w:rPr>
            </w:pPr>
            <w:r>
              <w:rPr>
                <w:rFonts w:eastAsia="Segoe UI Symbol"/>
                <w:sz w:val="18"/>
              </w:rPr>
              <w:t>u</w:t>
            </w:r>
            <w:r>
              <w:rPr>
                <w:sz w:val="18"/>
              </w:rPr>
              <w:t>g/kg</w:t>
            </w:r>
          </w:p>
        </w:tc>
        <w:tc>
          <w:tcPr>
            <w:tcW w:w="1029" w:type="dxa"/>
            <w:tcBorders>
              <w:top w:val="single" w:sz="4" w:space="0" w:color="000000"/>
              <w:left w:val="single" w:sz="12" w:space="0" w:color="000000"/>
              <w:bottom w:val="single" w:sz="4" w:space="0" w:color="000000"/>
              <w:right w:val="single" w:sz="12" w:space="0" w:color="000000"/>
            </w:tcBorders>
          </w:tcPr>
          <w:p w14:paraId="1B7AA7EB" w14:textId="02F49DA5" w:rsidR="003345F0" w:rsidRDefault="003345F0" w:rsidP="003345F0">
            <w:pPr>
              <w:spacing w:after="0" w:line="259" w:lineRule="auto"/>
              <w:ind w:left="0" w:right="46" w:firstLine="0"/>
              <w:jc w:val="center"/>
              <w:rPr>
                <w:b/>
                <w:sz w:val="18"/>
              </w:rPr>
            </w:pPr>
            <w:r>
              <w:rPr>
                <w:b/>
                <w:sz w:val="18"/>
              </w:rPr>
              <w:t>8270</w:t>
            </w:r>
          </w:p>
        </w:tc>
        <w:tc>
          <w:tcPr>
            <w:tcW w:w="1592" w:type="dxa"/>
            <w:tcBorders>
              <w:top w:val="single" w:sz="4" w:space="0" w:color="000000"/>
              <w:left w:val="single" w:sz="12" w:space="0" w:color="000000"/>
              <w:bottom w:val="single" w:sz="4" w:space="0" w:color="000000"/>
              <w:right w:val="single" w:sz="12" w:space="0" w:color="000000"/>
            </w:tcBorders>
          </w:tcPr>
          <w:p w14:paraId="4B88A2E2" w14:textId="43ADAF89" w:rsidR="003345F0" w:rsidRPr="002D0659" w:rsidRDefault="003345F0" w:rsidP="003345F0">
            <w:pPr>
              <w:spacing w:after="0" w:line="259" w:lineRule="auto"/>
              <w:ind w:left="0" w:right="49" w:firstLine="0"/>
              <w:jc w:val="center"/>
              <w:rPr>
                <w:sz w:val="18"/>
                <w:szCs w:val="18"/>
              </w:rPr>
            </w:pPr>
            <w:r w:rsidRPr="00C509D2">
              <w:rPr>
                <w:sz w:val="18"/>
                <w:szCs w:val="18"/>
              </w:rPr>
              <w:t>8310</w:t>
            </w:r>
            <w:r>
              <w:rPr>
                <w:sz w:val="18"/>
                <w:szCs w:val="18"/>
              </w:rPr>
              <w:t xml:space="preserve">, </w:t>
            </w:r>
            <w:r w:rsidRPr="002D0659">
              <w:rPr>
                <w:sz w:val="18"/>
                <w:szCs w:val="18"/>
              </w:rPr>
              <w:t>8270 SIM</w:t>
            </w:r>
          </w:p>
        </w:tc>
      </w:tr>
      <w:tr w:rsidR="003345F0" w14:paraId="33F09DC3" w14:textId="77777777" w:rsidTr="00324798">
        <w:trPr>
          <w:trHeight w:val="259"/>
        </w:trPr>
        <w:tc>
          <w:tcPr>
            <w:tcW w:w="3372" w:type="dxa"/>
            <w:tcBorders>
              <w:top w:val="single" w:sz="4" w:space="0" w:color="000000"/>
              <w:left w:val="single" w:sz="12" w:space="0" w:color="000000"/>
              <w:bottom w:val="single" w:sz="4" w:space="0" w:color="000000"/>
              <w:right w:val="single" w:sz="12" w:space="0" w:color="000000"/>
            </w:tcBorders>
          </w:tcPr>
          <w:p w14:paraId="7D81FB02" w14:textId="30E12053" w:rsidR="003345F0" w:rsidRDefault="003345F0" w:rsidP="003345F0">
            <w:pPr>
              <w:spacing w:after="0" w:line="259" w:lineRule="auto"/>
              <w:ind w:left="0" w:right="0" w:firstLine="0"/>
              <w:rPr>
                <w:sz w:val="18"/>
              </w:rPr>
            </w:pPr>
            <w:r>
              <w:rPr>
                <w:sz w:val="18"/>
              </w:rPr>
              <w:t>2-Methylphenol</w:t>
            </w:r>
            <w:r>
              <w:rPr>
                <w:i/>
                <w:sz w:val="18"/>
              </w:rPr>
              <w:t xml:space="preserve"> (o-cresol)</w:t>
            </w:r>
            <w:r>
              <w:rPr>
                <w:sz w:val="18"/>
              </w:rPr>
              <w:t xml:space="preserve"> </w:t>
            </w:r>
          </w:p>
        </w:tc>
        <w:tc>
          <w:tcPr>
            <w:tcW w:w="1130" w:type="dxa"/>
            <w:tcBorders>
              <w:top w:val="single" w:sz="4" w:space="0" w:color="000000"/>
              <w:left w:val="single" w:sz="12" w:space="0" w:color="000000"/>
              <w:bottom w:val="single" w:sz="4" w:space="0" w:color="000000"/>
              <w:right w:val="single" w:sz="12" w:space="0" w:color="000000"/>
            </w:tcBorders>
          </w:tcPr>
          <w:p w14:paraId="7E878225" w14:textId="7D506781" w:rsidR="003345F0" w:rsidRDefault="003345F0" w:rsidP="003345F0">
            <w:pPr>
              <w:spacing w:after="0" w:line="259" w:lineRule="auto"/>
              <w:ind w:left="0" w:right="44" w:firstLine="0"/>
              <w:jc w:val="center"/>
              <w:rPr>
                <w:sz w:val="18"/>
              </w:rPr>
            </w:pPr>
            <w:r>
              <w:rPr>
                <w:sz w:val="18"/>
              </w:rPr>
              <w:t>95-48-7</w:t>
            </w:r>
          </w:p>
        </w:tc>
        <w:tc>
          <w:tcPr>
            <w:tcW w:w="866" w:type="dxa"/>
            <w:tcBorders>
              <w:top w:val="single" w:sz="4" w:space="0" w:color="000000"/>
              <w:left w:val="single" w:sz="12" w:space="0" w:color="000000"/>
              <w:bottom w:val="single" w:sz="4" w:space="0" w:color="000000"/>
              <w:right w:val="single" w:sz="12" w:space="0" w:color="000000"/>
            </w:tcBorders>
          </w:tcPr>
          <w:p w14:paraId="2F98C08D" w14:textId="29E263B7" w:rsidR="003345F0" w:rsidRDefault="003345F0" w:rsidP="003345F0">
            <w:pPr>
              <w:spacing w:after="0" w:line="259" w:lineRule="auto"/>
              <w:ind w:left="0" w:right="46" w:firstLine="0"/>
              <w:jc w:val="center"/>
              <w:rPr>
                <w:sz w:val="18"/>
              </w:rPr>
            </w:pPr>
            <w:r>
              <w:rPr>
                <w:sz w:val="18"/>
              </w:rPr>
              <w:t>10</w:t>
            </w:r>
          </w:p>
        </w:tc>
        <w:tc>
          <w:tcPr>
            <w:tcW w:w="816" w:type="dxa"/>
            <w:tcBorders>
              <w:top w:val="single" w:sz="4" w:space="0" w:color="000000"/>
              <w:left w:val="single" w:sz="12" w:space="0" w:color="000000"/>
              <w:bottom w:val="single" w:sz="4" w:space="0" w:color="000000"/>
              <w:right w:val="single" w:sz="12" w:space="0" w:color="000000"/>
            </w:tcBorders>
          </w:tcPr>
          <w:p w14:paraId="121FA57C" w14:textId="109FB249" w:rsidR="003345F0" w:rsidRDefault="003345F0" w:rsidP="003345F0">
            <w:pPr>
              <w:spacing w:after="0" w:line="259" w:lineRule="auto"/>
              <w:ind w:left="0" w:right="46" w:firstLine="0"/>
              <w:jc w:val="center"/>
              <w:rPr>
                <w:sz w:val="18"/>
              </w:rPr>
            </w:pPr>
            <w:r>
              <w:rPr>
                <w:sz w:val="18"/>
              </w:rPr>
              <w:t>ug/L</w:t>
            </w:r>
          </w:p>
        </w:tc>
        <w:tc>
          <w:tcPr>
            <w:tcW w:w="818" w:type="dxa"/>
            <w:tcBorders>
              <w:top w:val="single" w:sz="4" w:space="0" w:color="000000"/>
              <w:left w:val="single" w:sz="12" w:space="0" w:color="000000"/>
              <w:bottom w:val="single" w:sz="4" w:space="0" w:color="000000"/>
              <w:right w:val="single" w:sz="12" w:space="0" w:color="000000"/>
            </w:tcBorders>
          </w:tcPr>
          <w:p w14:paraId="631C4BBA" w14:textId="369443A3" w:rsidR="003345F0" w:rsidRDefault="003345F0" w:rsidP="003345F0">
            <w:pPr>
              <w:spacing w:after="0" w:line="259" w:lineRule="auto"/>
              <w:ind w:left="0" w:right="44" w:firstLine="0"/>
              <w:jc w:val="center"/>
              <w:rPr>
                <w:sz w:val="18"/>
              </w:rPr>
            </w:pPr>
            <w:r>
              <w:rPr>
                <w:sz w:val="18"/>
              </w:rPr>
              <w:t>660</w:t>
            </w:r>
          </w:p>
        </w:tc>
        <w:tc>
          <w:tcPr>
            <w:tcW w:w="997" w:type="dxa"/>
            <w:tcBorders>
              <w:top w:val="single" w:sz="4" w:space="0" w:color="000000"/>
              <w:left w:val="single" w:sz="12" w:space="0" w:color="000000"/>
              <w:bottom w:val="single" w:sz="4" w:space="0" w:color="000000"/>
              <w:right w:val="single" w:sz="12" w:space="0" w:color="000000"/>
            </w:tcBorders>
          </w:tcPr>
          <w:p w14:paraId="4F921BED" w14:textId="70F39B0E" w:rsidR="003345F0" w:rsidRDefault="003345F0" w:rsidP="003345F0">
            <w:pPr>
              <w:spacing w:after="0" w:line="259" w:lineRule="auto"/>
              <w:ind w:left="0" w:right="44" w:firstLine="0"/>
              <w:jc w:val="center"/>
              <w:rPr>
                <w:rFonts w:eastAsia="Segoe UI Symbol"/>
                <w:sz w:val="18"/>
              </w:rPr>
            </w:pPr>
            <w:r>
              <w:rPr>
                <w:rFonts w:eastAsia="Segoe UI Symbol"/>
                <w:sz w:val="18"/>
              </w:rPr>
              <w:t>u</w:t>
            </w:r>
            <w:r>
              <w:rPr>
                <w:sz w:val="18"/>
              </w:rPr>
              <w:t>g/kg</w:t>
            </w:r>
          </w:p>
        </w:tc>
        <w:tc>
          <w:tcPr>
            <w:tcW w:w="1029" w:type="dxa"/>
            <w:tcBorders>
              <w:top w:val="single" w:sz="4" w:space="0" w:color="000000"/>
              <w:left w:val="single" w:sz="12" w:space="0" w:color="000000"/>
              <w:bottom w:val="single" w:sz="4" w:space="0" w:color="000000"/>
              <w:right w:val="single" w:sz="12" w:space="0" w:color="000000"/>
            </w:tcBorders>
          </w:tcPr>
          <w:p w14:paraId="33462884" w14:textId="4C9055EE" w:rsidR="003345F0" w:rsidRDefault="003345F0" w:rsidP="003345F0">
            <w:pPr>
              <w:spacing w:after="0" w:line="259" w:lineRule="auto"/>
              <w:ind w:left="0" w:right="46" w:firstLine="0"/>
              <w:jc w:val="center"/>
              <w:rPr>
                <w:b/>
                <w:sz w:val="18"/>
              </w:rPr>
            </w:pPr>
            <w:r>
              <w:rPr>
                <w:b/>
                <w:sz w:val="18"/>
              </w:rPr>
              <w:t>8270</w:t>
            </w:r>
          </w:p>
        </w:tc>
        <w:tc>
          <w:tcPr>
            <w:tcW w:w="1592" w:type="dxa"/>
            <w:tcBorders>
              <w:top w:val="single" w:sz="4" w:space="0" w:color="000000"/>
              <w:left w:val="single" w:sz="12" w:space="0" w:color="000000"/>
              <w:bottom w:val="single" w:sz="4" w:space="0" w:color="000000"/>
              <w:right w:val="single" w:sz="12" w:space="0" w:color="000000"/>
            </w:tcBorders>
          </w:tcPr>
          <w:p w14:paraId="258D2C7E" w14:textId="583D7063" w:rsidR="003345F0" w:rsidRPr="00C509D2" w:rsidRDefault="003345F0" w:rsidP="003345F0">
            <w:pPr>
              <w:spacing w:after="0" w:line="259" w:lineRule="auto"/>
              <w:ind w:left="0" w:right="49" w:firstLine="0"/>
              <w:jc w:val="center"/>
              <w:rPr>
                <w:sz w:val="18"/>
                <w:szCs w:val="18"/>
              </w:rPr>
            </w:pPr>
            <w:r w:rsidRPr="00324A58">
              <w:rPr>
                <w:sz w:val="18"/>
                <w:szCs w:val="18"/>
              </w:rPr>
              <w:t>8270 SIM</w:t>
            </w:r>
          </w:p>
        </w:tc>
      </w:tr>
      <w:tr w:rsidR="003345F0" w14:paraId="6DF1D965" w14:textId="77777777" w:rsidTr="00324798">
        <w:trPr>
          <w:trHeight w:val="259"/>
        </w:trPr>
        <w:tc>
          <w:tcPr>
            <w:tcW w:w="3372" w:type="dxa"/>
            <w:tcBorders>
              <w:top w:val="single" w:sz="4" w:space="0" w:color="000000"/>
              <w:left w:val="single" w:sz="12" w:space="0" w:color="000000"/>
              <w:bottom w:val="single" w:sz="4" w:space="0" w:color="000000"/>
              <w:right w:val="single" w:sz="12" w:space="0" w:color="000000"/>
            </w:tcBorders>
          </w:tcPr>
          <w:p w14:paraId="64E42D24" w14:textId="722DD799" w:rsidR="003345F0" w:rsidRDefault="003345F0" w:rsidP="003345F0">
            <w:pPr>
              <w:spacing w:after="0" w:line="259" w:lineRule="auto"/>
              <w:ind w:left="0" w:right="0" w:firstLine="0"/>
              <w:rPr>
                <w:sz w:val="18"/>
              </w:rPr>
            </w:pPr>
            <w:r>
              <w:rPr>
                <w:sz w:val="18"/>
              </w:rPr>
              <w:t xml:space="preserve">3-Methylphenol </w:t>
            </w:r>
            <w:r>
              <w:rPr>
                <w:i/>
                <w:sz w:val="18"/>
              </w:rPr>
              <w:t>(m-cresol)</w:t>
            </w:r>
            <w:r>
              <w:rPr>
                <w:sz w:val="18"/>
              </w:rPr>
              <w:t xml:space="preserve"> </w:t>
            </w:r>
          </w:p>
        </w:tc>
        <w:tc>
          <w:tcPr>
            <w:tcW w:w="1130" w:type="dxa"/>
            <w:tcBorders>
              <w:top w:val="single" w:sz="4" w:space="0" w:color="000000"/>
              <w:left w:val="single" w:sz="12" w:space="0" w:color="000000"/>
              <w:bottom w:val="single" w:sz="4" w:space="0" w:color="000000"/>
              <w:right w:val="single" w:sz="12" w:space="0" w:color="000000"/>
            </w:tcBorders>
          </w:tcPr>
          <w:p w14:paraId="20A4AD6C" w14:textId="480D7981" w:rsidR="003345F0" w:rsidRDefault="003345F0" w:rsidP="003345F0">
            <w:pPr>
              <w:spacing w:after="0" w:line="259" w:lineRule="auto"/>
              <w:ind w:left="0" w:right="44" w:firstLine="0"/>
              <w:jc w:val="center"/>
              <w:rPr>
                <w:sz w:val="18"/>
              </w:rPr>
            </w:pPr>
            <w:r>
              <w:rPr>
                <w:sz w:val="18"/>
              </w:rPr>
              <w:t>108-39-4</w:t>
            </w:r>
          </w:p>
        </w:tc>
        <w:tc>
          <w:tcPr>
            <w:tcW w:w="866" w:type="dxa"/>
            <w:tcBorders>
              <w:top w:val="single" w:sz="4" w:space="0" w:color="000000"/>
              <w:left w:val="single" w:sz="12" w:space="0" w:color="000000"/>
              <w:bottom w:val="single" w:sz="4" w:space="0" w:color="000000"/>
              <w:right w:val="single" w:sz="12" w:space="0" w:color="000000"/>
            </w:tcBorders>
          </w:tcPr>
          <w:p w14:paraId="689DDEED" w14:textId="303EF9E0" w:rsidR="003345F0" w:rsidRDefault="003345F0" w:rsidP="003345F0">
            <w:pPr>
              <w:spacing w:after="0" w:line="259" w:lineRule="auto"/>
              <w:ind w:left="0" w:right="46" w:firstLine="0"/>
              <w:jc w:val="center"/>
              <w:rPr>
                <w:sz w:val="18"/>
              </w:rPr>
            </w:pPr>
            <w:r>
              <w:rPr>
                <w:sz w:val="18"/>
              </w:rPr>
              <w:t>10</w:t>
            </w:r>
          </w:p>
        </w:tc>
        <w:tc>
          <w:tcPr>
            <w:tcW w:w="816" w:type="dxa"/>
            <w:tcBorders>
              <w:top w:val="single" w:sz="4" w:space="0" w:color="000000"/>
              <w:left w:val="single" w:sz="12" w:space="0" w:color="000000"/>
              <w:bottom w:val="single" w:sz="4" w:space="0" w:color="000000"/>
              <w:right w:val="single" w:sz="12" w:space="0" w:color="000000"/>
            </w:tcBorders>
          </w:tcPr>
          <w:p w14:paraId="0B7E0A02" w14:textId="47FB2726" w:rsidR="003345F0" w:rsidRDefault="003345F0" w:rsidP="003345F0">
            <w:pPr>
              <w:spacing w:after="0" w:line="259" w:lineRule="auto"/>
              <w:ind w:left="0" w:right="46" w:firstLine="0"/>
              <w:jc w:val="center"/>
              <w:rPr>
                <w:sz w:val="18"/>
              </w:rPr>
            </w:pPr>
            <w:r>
              <w:rPr>
                <w:sz w:val="18"/>
              </w:rPr>
              <w:t>ug/L</w:t>
            </w:r>
          </w:p>
        </w:tc>
        <w:tc>
          <w:tcPr>
            <w:tcW w:w="818" w:type="dxa"/>
            <w:tcBorders>
              <w:top w:val="single" w:sz="4" w:space="0" w:color="000000"/>
              <w:left w:val="single" w:sz="12" w:space="0" w:color="000000"/>
              <w:bottom w:val="single" w:sz="4" w:space="0" w:color="000000"/>
              <w:right w:val="single" w:sz="12" w:space="0" w:color="000000"/>
            </w:tcBorders>
          </w:tcPr>
          <w:p w14:paraId="7D52B561" w14:textId="3B52802C" w:rsidR="003345F0" w:rsidRDefault="003345F0" w:rsidP="003345F0">
            <w:pPr>
              <w:spacing w:after="0" w:line="259" w:lineRule="auto"/>
              <w:ind w:left="0" w:right="44" w:firstLine="0"/>
              <w:jc w:val="center"/>
              <w:rPr>
                <w:sz w:val="18"/>
              </w:rPr>
            </w:pPr>
            <w:r>
              <w:rPr>
                <w:sz w:val="18"/>
              </w:rPr>
              <w:t>660</w:t>
            </w:r>
          </w:p>
        </w:tc>
        <w:tc>
          <w:tcPr>
            <w:tcW w:w="997" w:type="dxa"/>
            <w:tcBorders>
              <w:top w:val="single" w:sz="4" w:space="0" w:color="000000"/>
              <w:left w:val="single" w:sz="12" w:space="0" w:color="000000"/>
              <w:bottom w:val="single" w:sz="4" w:space="0" w:color="000000"/>
              <w:right w:val="single" w:sz="12" w:space="0" w:color="000000"/>
            </w:tcBorders>
          </w:tcPr>
          <w:p w14:paraId="69055574" w14:textId="15BE4B9D" w:rsidR="003345F0" w:rsidRDefault="003345F0" w:rsidP="003345F0">
            <w:pPr>
              <w:spacing w:after="0" w:line="259" w:lineRule="auto"/>
              <w:ind w:left="0" w:right="44" w:firstLine="0"/>
              <w:jc w:val="center"/>
              <w:rPr>
                <w:rFonts w:eastAsia="Segoe UI Symbol"/>
                <w:sz w:val="18"/>
              </w:rPr>
            </w:pPr>
            <w:r>
              <w:rPr>
                <w:rFonts w:eastAsia="Segoe UI Symbol"/>
                <w:sz w:val="18"/>
              </w:rPr>
              <w:t>u</w:t>
            </w:r>
            <w:r>
              <w:rPr>
                <w:sz w:val="18"/>
              </w:rPr>
              <w:t>g/kg</w:t>
            </w:r>
          </w:p>
        </w:tc>
        <w:tc>
          <w:tcPr>
            <w:tcW w:w="1029" w:type="dxa"/>
            <w:tcBorders>
              <w:top w:val="single" w:sz="4" w:space="0" w:color="000000"/>
              <w:left w:val="single" w:sz="12" w:space="0" w:color="000000"/>
              <w:bottom w:val="single" w:sz="4" w:space="0" w:color="000000"/>
              <w:right w:val="single" w:sz="12" w:space="0" w:color="000000"/>
            </w:tcBorders>
          </w:tcPr>
          <w:p w14:paraId="0CAC2FDD" w14:textId="670BF771" w:rsidR="003345F0" w:rsidRDefault="003345F0" w:rsidP="003345F0">
            <w:pPr>
              <w:spacing w:after="0" w:line="259" w:lineRule="auto"/>
              <w:ind w:left="0" w:right="46" w:firstLine="0"/>
              <w:jc w:val="center"/>
              <w:rPr>
                <w:b/>
                <w:sz w:val="18"/>
              </w:rPr>
            </w:pPr>
            <w:r>
              <w:rPr>
                <w:b/>
                <w:sz w:val="18"/>
              </w:rPr>
              <w:t>8270</w:t>
            </w:r>
          </w:p>
        </w:tc>
        <w:tc>
          <w:tcPr>
            <w:tcW w:w="1592" w:type="dxa"/>
            <w:tcBorders>
              <w:top w:val="single" w:sz="4" w:space="0" w:color="000000"/>
              <w:left w:val="single" w:sz="12" w:space="0" w:color="000000"/>
              <w:bottom w:val="single" w:sz="4" w:space="0" w:color="000000"/>
              <w:right w:val="single" w:sz="12" w:space="0" w:color="000000"/>
            </w:tcBorders>
          </w:tcPr>
          <w:p w14:paraId="44B4FA44" w14:textId="512093A0" w:rsidR="003345F0" w:rsidRPr="00324A58" w:rsidRDefault="003345F0" w:rsidP="003345F0">
            <w:pPr>
              <w:spacing w:after="0" w:line="259" w:lineRule="auto"/>
              <w:ind w:left="0" w:right="49" w:firstLine="0"/>
              <w:jc w:val="center"/>
              <w:rPr>
                <w:sz w:val="18"/>
                <w:szCs w:val="18"/>
              </w:rPr>
            </w:pPr>
            <w:r w:rsidRPr="00324A58">
              <w:rPr>
                <w:sz w:val="18"/>
                <w:szCs w:val="18"/>
              </w:rPr>
              <w:t>8270 SIM</w:t>
            </w:r>
          </w:p>
        </w:tc>
      </w:tr>
      <w:tr w:rsidR="003345F0" w14:paraId="50A49614" w14:textId="77777777" w:rsidTr="00324798">
        <w:trPr>
          <w:trHeight w:val="259"/>
        </w:trPr>
        <w:tc>
          <w:tcPr>
            <w:tcW w:w="3372" w:type="dxa"/>
            <w:tcBorders>
              <w:top w:val="single" w:sz="4" w:space="0" w:color="000000"/>
              <w:left w:val="single" w:sz="12" w:space="0" w:color="000000"/>
              <w:bottom w:val="single" w:sz="4" w:space="0" w:color="000000"/>
              <w:right w:val="single" w:sz="12" w:space="0" w:color="000000"/>
            </w:tcBorders>
          </w:tcPr>
          <w:p w14:paraId="7DA7A124" w14:textId="551E6B69" w:rsidR="003345F0" w:rsidRDefault="003345F0" w:rsidP="003345F0">
            <w:pPr>
              <w:spacing w:after="0" w:line="259" w:lineRule="auto"/>
              <w:ind w:left="0" w:right="0" w:firstLine="0"/>
              <w:rPr>
                <w:sz w:val="18"/>
              </w:rPr>
            </w:pPr>
            <w:r>
              <w:rPr>
                <w:sz w:val="18"/>
              </w:rPr>
              <w:t>4-Methylphenol</w:t>
            </w:r>
            <w:r>
              <w:rPr>
                <w:i/>
                <w:sz w:val="18"/>
              </w:rPr>
              <w:t xml:space="preserve"> (p-cresol)</w:t>
            </w:r>
            <w:r>
              <w:rPr>
                <w:sz w:val="18"/>
              </w:rPr>
              <w:t xml:space="preserve"> </w:t>
            </w:r>
          </w:p>
        </w:tc>
        <w:tc>
          <w:tcPr>
            <w:tcW w:w="1130" w:type="dxa"/>
            <w:tcBorders>
              <w:top w:val="single" w:sz="4" w:space="0" w:color="000000"/>
              <w:left w:val="single" w:sz="12" w:space="0" w:color="000000"/>
              <w:bottom w:val="single" w:sz="4" w:space="0" w:color="000000"/>
              <w:right w:val="single" w:sz="12" w:space="0" w:color="000000"/>
            </w:tcBorders>
          </w:tcPr>
          <w:p w14:paraId="22DDEA73" w14:textId="69CC3857" w:rsidR="003345F0" w:rsidRDefault="003345F0" w:rsidP="003345F0">
            <w:pPr>
              <w:spacing w:after="0" w:line="259" w:lineRule="auto"/>
              <w:ind w:left="0" w:right="44" w:firstLine="0"/>
              <w:jc w:val="center"/>
              <w:rPr>
                <w:sz w:val="18"/>
              </w:rPr>
            </w:pPr>
            <w:r>
              <w:rPr>
                <w:sz w:val="18"/>
              </w:rPr>
              <w:t>106-44-5</w:t>
            </w:r>
          </w:p>
        </w:tc>
        <w:tc>
          <w:tcPr>
            <w:tcW w:w="866" w:type="dxa"/>
            <w:tcBorders>
              <w:top w:val="single" w:sz="4" w:space="0" w:color="000000"/>
              <w:left w:val="single" w:sz="12" w:space="0" w:color="000000"/>
              <w:bottom w:val="single" w:sz="4" w:space="0" w:color="000000"/>
              <w:right w:val="single" w:sz="12" w:space="0" w:color="000000"/>
            </w:tcBorders>
          </w:tcPr>
          <w:p w14:paraId="367807BC" w14:textId="51A4F871" w:rsidR="003345F0" w:rsidRDefault="003345F0" w:rsidP="003345F0">
            <w:pPr>
              <w:spacing w:after="0" w:line="259" w:lineRule="auto"/>
              <w:ind w:left="0" w:right="46" w:firstLine="0"/>
              <w:jc w:val="center"/>
              <w:rPr>
                <w:sz w:val="18"/>
              </w:rPr>
            </w:pPr>
            <w:r>
              <w:rPr>
                <w:sz w:val="18"/>
              </w:rPr>
              <w:t>10</w:t>
            </w:r>
          </w:p>
        </w:tc>
        <w:tc>
          <w:tcPr>
            <w:tcW w:w="816" w:type="dxa"/>
            <w:tcBorders>
              <w:top w:val="single" w:sz="4" w:space="0" w:color="000000"/>
              <w:left w:val="single" w:sz="12" w:space="0" w:color="000000"/>
              <w:bottom w:val="single" w:sz="4" w:space="0" w:color="000000"/>
              <w:right w:val="single" w:sz="12" w:space="0" w:color="000000"/>
            </w:tcBorders>
          </w:tcPr>
          <w:p w14:paraId="35CD757D" w14:textId="5A9A4BED" w:rsidR="003345F0" w:rsidRDefault="003345F0" w:rsidP="003345F0">
            <w:pPr>
              <w:spacing w:after="0" w:line="259" w:lineRule="auto"/>
              <w:ind w:left="0" w:right="46" w:firstLine="0"/>
              <w:jc w:val="center"/>
              <w:rPr>
                <w:sz w:val="18"/>
              </w:rPr>
            </w:pPr>
            <w:r>
              <w:rPr>
                <w:sz w:val="18"/>
              </w:rPr>
              <w:t>ug/L</w:t>
            </w:r>
          </w:p>
        </w:tc>
        <w:tc>
          <w:tcPr>
            <w:tcW w:w="818" w:type="dxa"/>
            <w:tcBorders>
              <w:top w:val="single" w:sz="4" w:space="0" w:color="000000"/>
              <w:left w:val="single" w:sz="12" w:space="0" w:color="000000"/>
              <w:bottom w:val="single" w:sz="4" w:space="0" w:color="000000"/>
              <w:right w:val="single" w:sz="12" w:space="0" w:color="000000"/>
            </w:tcBorders>
          </w:tcPr>
          <w:p w14:paraId="26210D1C" w14:textId="2F616354" w:rsidR="003345F0" w:rsidRDefault="003345F0" w:rsidP="003345F0">
            <w:pPr>
              <w:spacing w:after="0" w:line="259" w:lineRule="auto"/>
              <w:ind w:left="0" w:right="44" w:firstLine="0"/>
              <w:jc w:val="center"/>
              <w:rPr>
                <w:sz w:val="18"/>
              </w:rPr>
            </w:pPr>
            <w:r>
              <w:rPr>
                <w:sz w:val="18"/>
              </w:rPr>
              <w:t>660</w:t>
            </w:r>
          </w:p>
        </w:tc>
        <w:tc>
          <w:tcPr>
            <w:tcW w:w="997" w:type="dxa"/>
            <w:tcBorders>
              <w:top w:val="single" w:sz="4" w:space="0" w:color="000000"/>
              <w:left w:val="single" w:sz="12" w:space="0" w:color="000000"/>
              <w:bottom w:val="single" w:sz="4" w:space="0" w:color="000000"/>
              <w:right w:val="single" w:sz="12" w:space="0" w:color="000000"/>
            </w:tcBorders>
          </w:tcPr>
          <w:p w14:paraId="5D00B6B3" w14:textId="260540A6" w:rsidR="003345F0" w:rsidRDefault="003345F0" w:rsidP="003345F0">
            <w:pPr>
              <w:spacing w:after="0" w:line="259" w:lineRule="auto"/>
              <w:ind w:left="0" w:right="44" w:firstLine="0"/>
              <w:jc w:val="center"/>
              <w:rPr>
                <w:rFonts w:eastAsia="Segoe UI Symbol"/>
                <w:sz w:val="18"/>
              </w:rPr>
            </w:pPr>
            <w:r>
              <w:rPr>
                <w:rFonts w:eastAsia="Segoe UI Symbol"/>
                <w:sz w:val="18"/>
              </w:rPr>
              <w:t>u</w:t>
            </w:r>
            <w:r>
              <w:rPr>
                <w:sz w:val="18"/>
              </w:rPr>
              <w:t>g/kg</w:t>
            </w:r>
          </w:p>
        </w:tc>
        <w:tc>
          <w:tcPr>
            <w:tcW w:w="1029" w:type="dxa"/>
            <w:tcBorders>
              <w:top w:val="single" w:sz="4" w:space="0" w:color="000000"/>
              <w:left w:val="single" w:sz="12" w:space="0" w:color="000000"/>
              <w:bottom w:val="single" w:sz="4" w:space="0" w:color="000000"/>
              <w:right w:val="single" w:sz="12" w:space="0" w:color="000000"/>
            </w:tcBorders>
          </w:tcPr>
          <w:p w14:paraId="7F6DCE76" w14:textId="462C6183" w:rsidR="003345F0" w:rsidRDefault="003345F0" w:rsidP="003345F0">
            <w:pPr>
              <w:spacing w:after="0" w:line="259" w:lineRule="auto"/>
              <w:ind w:left="0" w:right="46" w:firstLine="0"/>
              <w:jc w:val="center"/>
              <w:rPr>
                <w:b/>
                <w:sz w:val="18"/>
              </w:rPr>
            </w:pPr>
            <w:r>
              <w:rPr>
                <w:b/>
                <w:sz w:val="18"/>
              </w:rPr>
              <w:t>8270</w:t>
            </w:r>
          </w:p>
        </w:tc>
        <w:tc>
          <w:tcPr>
            <w:tcW w:w="1592" w:type="dxa"/>
            <w:tcBorders>
              <w:top w:val="single" w:sz="4" w:space="0" w:color="000000"/>
              <w:left w:val="single" w:sz="12" w:space="0" w:color="000000"/>
              <w:bottom w:val="single" w:sz="4" w:space="0" w:color="000000"/>
              <w:right w:val="single" w:sz="12" w:space="0" w:color="000000"/>
            </w:tcBorders>
          </w:tcPr>
          <w:p w14:paraId="3296721D" w14:textId="2FA5A9D2" w:rsidR="003345F0" w:rsidRPr="00324A58" w:rsidRDefault="003345F0" w:rsidP="003345F0">
            <w:pPr>
              <w:spacing w:after="0" w:line="259" w:lineRule="auto"/>
              <w:ind w:left="0" w:right="49" w:firstLine="0"/>
              <w:jc w:val="center"/>
              <w:rPr>
                <w:sz w:val="18"/>
                <w:szCs w:val="18"/>
              </w:rPr>
            </w:pPr>
            <w:r w:rsidRPr="00324A58">
              <w:rPr>
                <w:sz w:val="18"/>
                <w:szCs w:val="18"/>
              </w:rPr>
              <w:t>8270 SIM</w:t>
            </w:r>
          </w:p>
        </w:tc>
      </w:tr>
      <w:tr w:rsidR="003345F0" w14:paraId="4E2F830B" w14:textId="77777777" w:rsidTr="00324798">
        <w:trPr>
          <w:trHeight w:val="259"/>
        </w:trPr>
        <w:tc>
          <w:tcPr>
            <w:tcW w:w="3372" w:type="dxa"/>
            <w:tcBorders>
              <w:top w:val="single" w:sz="4" w:space="0" w:color="000000"/>
              <w:left w:val="single" w:sz="12" w:space="0" w:color="000000"/>
              <w:bottom w:val="single" w:sz="4" w:space="0" w:color="000000"/>
              <w:right w:val="single" w:sz="12" w:space="0" w:color="000000"/>
            </w:tcBorders>
          </w:tcPr>
          <w:p w14:paraId="0D4F0E2F" w14:textId="0FC3241A" w:rsidR="003345F0" w:rsidRDefault="003345F0" w:rsidP="003345F0">
            <w:pPr>
              <w:spacing w:after="0" w:line="259" w:lineRule="auto"/>
              <w:ind w:left="0" w:right="0" w:firstLine="0"/>
              <w:rPr>
                <w:sz w:val="18"/>
              </w:rPr>
            </w:pPr>
            <w:r>
              <w:rPr>
                <w:sz w:val="18"/>
              </w:rPr>
              <w:t xml:space="preserve">Naphthalene </w:t>
            </w:r>
          </w:p>
        </w:tc>
        <w:tc>
          <w:tcPr>
            <w:tcW w:w="1130" w:type="dxa"/>
            <w:tcBorders>
              <w:top w:val="single" w:sz="4" w:space="0" w:color="000000"/>
              <w:left w:val="single" w:sz="12" w:space="0" w:color="000000"/>
              <w:bottom w:val="single" w:sz="4" w:space="0" w:color="000000"/>
              <w:right w:val="single" w:sz="12" w:space="0" w:color="000000"/>
            </w:tcBorders>
          </w:tcPr>
          <w:p w14:paraId="2CDFC6D7" w14:textId="01709EDB" w:rsidR="003345F0" w:rsidRDefault="003345F0" w:rsidP="003345F0">
            <w:pPr>
              <w:spacing w:after="0" w:line="259" w:lineRule="auto"/>
              <w:ind w:left="0" w:right="44" w:firstLine="0"/>
              <w:jc w:val="center"/>
              <w:rPr>
                <w:sz w:val="18"/>
              </w:rPr>
            </w:pPr>
            <w:r>
              <w:rPr>
                <w:sz w:val="18"/>
              </w:rPr>
              <w:t>91-20-3</w:t>
            </w:r>
          </w:p>
        </w:tc>
        <w:tc>
          <w:tcPr>
            <w:tcW w:w="866" w:type="dxa"/>
            <w:tcBorders>
              <w:top w:val="single" w:sz="4" w:space="0" w:color="000000"/>
              <w:left w:val="single" w:sz="12" w:space="0" w:color="000000"/>
              <w:bottom w:val="single" w:sz="4" w:space="0" w:color="000000"/>
              <w:right w:val="single" w:sz="12" w:space="0" w:color="000000"/>
            </w:tcBorders>
          </w:tcPr>
          <w:p w14:paraId="1FDBEE90" w14:textId="3436AF8C" w:rsidR="003345F0" w:rsidRDefault="003345F0" w:rsidP="003345F0">
            <w:pPr>
              <w:spacing w:after="0" w:line="259" w:lineRule="auto"/>
              <w:ind w:left="0" w:right="46" w:firstLine="0"/>
              <w:jc w:val="center"/>
              <w:rPr>
                <w:sz w:val="18"/>
              </w:rPr>
            </w:pPr>
            <w:r>
              <w:rPr>
                <w:sz w:val="18"/>
              </w:rPr>
              <w:t>18</w:t>
            </w:r>
          </w:p>
        </w:tc>
        <w:tc>
          <w:tcPr>
            <w:tcW w:w="816" w:type="dxa"/>
            <w:tcBorders>
              <w:top w:val="single" w:sz="4" w:space="0" w:color="000000"/>
              <w:left w:val="single" w:sz="12" w:space="0" w:color="000000"/>
              <w:bottom w:val="single" w:sz="4" w:space="0" w:color="000000"/>
              <w:right w:val="single" w:sz="12" w:space="0" w:color="000000"/>
            </w:tcBorders>
          </w:tcPr>
          <w:p w14:paraId="535BD697" w14:textId="588AE88F" w:rsidR="003345F0" w:rsidRDefault="003345F0" w:rsidP="003345F0">
            <w:pPr>
              <w:spacing w:after="0" w:line="259" w:lineRule="auto"/>
              <w:ind w:left="0" w:right="46" w:firstLine="0"/>
              <w:jc w:val="center"/>
              <w:rPr>
                <w:sz w:val="18"/>
              </w:rPr>
            </w:pPr>
            <w:r>
              <w:rPr>
                <w:sz w:val="18"/>
              </w:rPr>
              <w:t>ug/L</w:t>
            </w:r>
          </w:p>
        </w:tc>
        <w:tc>
          <w:tcPr>
            <w:tcW w:w="818" w:type="dxa"/>
            <w:tcBorders>
              <w:top w:val="single" w:sz="4" w:space="0" w:color="000000"/>
              <w:left w:val="single" w:sz="12" w:space="0" w:color="000000"/>
              <w:bottom w:val="single" w:sz="4" w:space="0" w:color="000000"/>
              <w:right w:val="single" w:sz="12" w:space="0" w:color="000000"/>
            </w:tcBorders>
          </w:tcPr>
          <w:p w14:paraId="05443540" w14:textId="6408AE35" w:rsidR="003345F0" w:rsidRDefault="003345F0" w:rsidP="003345F0">
            <w:pPr>
              <w:spacing w:after="0" w:line="259" w:lineRule="auto"/>
              <w:ind w:left="0" w:right="44" w:firstLine="0"/>
              <w:jc w:val="center"/>
              <w:rPr>
                <w:sz w:val="18"/>
              </w:rPr>
            </w:pPr>
            <w:r>
              <w:rPr>
                <w:sz w:val="18"/>
              </w:rPr>
              <w:t>18000</w:t>
            </w:r>
          </w:p>
        </w:tc>
        <w:tc>
          <w:tcPr>
            <w:tcW w:w="997" w:type="dxa"/>
            <w:tcBorders>
              <w:top w:val="single" w:sz="4" w:space="0" w:color="000000"/>
              <w:left w:val="single" w:sz="12" w:space="0" w:color="000000"/>
              <w:bottom w:val="single" w:sz="4" w:space="0" w:color="000000"/>
              <w:right w:val="single" w:sz="12" w:space="0" w:color="000000"/>
            </w:tcBorders>
          </w:tcPr>
          <w:p w14:paraId="24BB9C49" w14:textId="23E58390" w:rsidR="003345F0" w:rsidRDefault="003345F0" w:rsidP="003345F0">
            <w:pPr>
              <w:spacing w:after="0" w:line="259" w:lineRule="auto"/>
              <w:ind w:left="0" w:right="44" w:firstLine="0"/>
              <w:jc w:val="center"/>
              <w:rPr>
                <w:rFonts w:eastAsia="Segoe UI Symbol"/>
                <w:sz w:val="18"/>
              </w:rPr>
            </w:pPr>
            <w:r>
              <w:rPr>
                <w:rFonts w:eastAsia="Segoe UI Symbol"/>
                <w:sz w:val="18"/>
              </w:rPr>
              <w:t>u</w:t>
            </w:r>
            <w:r>
              <w:rPr>
                <w:sz w:val="18"/>
              </w:rPr>
              <w:t>g/kg</w:t>
            </w:r>
          </w:p>
        </w:tc>
        <w:tc>
          <w:tcPr>
            <w:tcW w:w="1029" w:type="dxa"/>
            <w:tcBorders>
              <w:top w:val="single" w:sz="4" w:space="0" w:color="000000"/>
              <w:left w:val="single" w:sz="12" w:space="0" w:color="000000"/>
              <w:bottom w:val="single" w:sz="4" w:space="0" w:color="000000"/>
              <w:right w:val="single" w:sz="12" w:space="0" w:color="000000"/>
            </w:tcBorders>
          </w:tcPr>
          <w:p w14:paraId="4C6773A9" w14:textId="3C102103" w:rsidR="003345F0" w:rsidRDefault="003345F0" w:rsidP="003345F0">
            <w:pPr>
              <w:spacing w:after="0" w:line="259" w:lineRule="auto"/>
              <w:ind w:left="0" w:right="46" w:firstLine="0"/>
              <w:jc w:val="center"/>
              <w:rPr>
                <w:b/>
                <w:sz w:val="18"/>
              </w:rPr>
            </w:pPr>
            <w:r>
              <w:rPr>
                <w:b/>
                <w:sz w:val="18"/>
              </w:rPr>
              <w:t>8270</w:t>
            </w:r>
          </w:p>
        </w:tc>
        <w:tc>
          <w:tcPr>
            <w:tcW w:w="1592" w:type="dxa"/>
            <w:tcBorders>
              <w:top w:val="single" w:sz="4" w:space="0" w:color="000000"/>
              <w:left w:val="single" w:sz="12" w:space="0" w:color="000000"/>
              <w:bottom w:val="single" w:sz="4" w:space="0" w:color="000000"/>
              <w:right w:val="single" w:sz="12" w:space="0" w:color="000000"/>
            </w:tcBorders>
          </w:tcPr>
          <w:p w14:paraId="37CCFDC0" w14:textId="6FD3A659" w:rsidR="003345F0" w:rsidRPr="00324A58" w:rsidRDefault="003345F0" w:rsidP="003345F0">
            <w:pPr>
              <w:spacing w:after="0" w:line="259" w:lineRule="auto"/>
              <w:ind w:left="0" w:right="49" w:firstLine="0"/>
              <w:jc w:val="center"/>
              <w:rPr>
                <w:sz w:val="18"/>
                <w:szCs w:val="18"/>
              </w:rPr>
            </w:pPr>
            <w:r w:rsidRPr="00C509D2">
              <w:rPr>
                <w:sz w:val="18"/>
                <w:szCs w:val="18"/>
              </w:rPr>
              <w:t>8310</w:t>
            </w:r>
            <w:r>
              <w:rPr>
                <w:sz w:val="18"/>
                <w:szCs w:val="18"/>
              </w:rPr>
              <w:t xml:space="preserve">, </w:t>
            </w:r>
            <w:r w:rsidRPr="002D0659">
              <w:rPr>
                <w:sz w:val="18"/>
                <w:szCs w:val="18"/>
              </w:rPr>
              <w:t>8270 SIM</w:t>
            </w:r>
          </w:p>
        </w:tc>
      </w:tr>
      <w:tr w:rsidR="003345F0" w14:paraId="7BBC04B5" w14:textId="77777777" w:rsidTr="00324798">
        <w:trPr>
          <w:trHeight w:val="259"/>
        </w:trPr>
        <w:tc>
          <w:tcPr>
            <w:tcW w:w="3372" w:type="dxa"/>
            <w:tcBorders>
              <w:top w:val="single" w:sz="4" w:space="0" w:color="000000"/>
              <w:left w:val="single" w:sz="12" w:space="0" w:color="000000"/>
              <w:bottom w:val="single" w:sz="4" w:space="0" w:color="000000"/>
              <w:right w:val="single" w:sz="12" w:space="0" w:color="000000"/>
            </w:tcBorders>
          </w:tcPr>
          <w:p w14:paraId="4A547B49" w14:textId="770D838B" w:rsidR="003345F0" w:rsidRDefault="003345F0" w:rsidP="003345F0">
            <w:pPr>
              <w:spacing w:after="0" w:line="259" w:lineRule="auto"/>
              <w:ind w:left="0" w:right="0" w:firstLine="0"/>
              <w:rPr>
                <w:sz w:val="18"/>
              </w:rPr>
            </w:pPr>
            <w:r>
              <w:rPr>
                <w:sz w:val="18"/>
              </w:rPr>
              <w:t>2-Nitroaniline</w:t>
            </w:r>
            <w:r>
              <w:rPr>
                <w:b/>
                <w:sz w:val="18"/>
                <w:vertAlign w:val="superscript"/>
              </w:rPr>
              <w:t xml:space="preserve"> </w:t>
            </w:r>
          </w:p>
        </w:tc>
        <w:tc>
          <w:tcPr>
            <w:tcW w:w="1130" w:type="dxa"/>
            <w:tcBorders>
              <w:top w:val="single" w:sz="4" w:space="0" w:color="000000"/>
              <w:left w:val="single" w:sz="12" w:space="0" w:color="000000"/>
              <w:bottom w:val="single" w:sz="4" w:space="0" w:color="000000"/>
              <w:right w:val="single" w:sz="12" w:space="0" w:color="000000"/>
            </w:tcBorders>
          </w:tcPr>
          <w:p w14:paraId="260A81C1" w14:textId="51CF504C" w:rsidR="003345F0" w:rsidRDefault="003345F0" w:rsidP="003345F0">
            <w:pPr>
              <w:spacing w:after="0" w:line="259" w:lineRule="auto"/>
              <w:ind w:left="0" w:right="44" w:firstLine="0"/>
              <w:jc w:val="center"/>
              <w:rPr>
                <w:sz w:val="18"/>
              </w:rPr>
            </w:pPr>
            <w:r>
              <w:rPr>
                <w:sz w:val="18"/>
              </w:rPr>
              <w:t>88-74-4</w:t>
            </w:r>
          </w:p>
        </w:tc>
        <w:tc>
          <w:tcPr>
            <w:tcW w:w="866" w:type="dxa"/>
            <w:tcBorders>
              <w:top w:val="single" w:sz="4" w:space="0" w:color="000000"/>
              <w:left w:val="single" w:sz="12" w:space="0" w:color="000000"/>
              <w:bottom w:val="single" w:sz="4" w:space="0" w:color="000000"/>
              <w:right w:val="single" w:sz="12" w:space="0" w:color="000000"/>
            </w:tcBorders>
          </w:tcPr>
          <w:p w14:paraId="7C20819B" w14:textId="2C480342" w:rsidR="003345F0" w:rsidRDefault="003345F0" w:rsidP="003345F0">
            <w:pPr>
              <w:spacing w:after="0" w:line="259" w:lineRule="auto"/>
              <w:ind w:left="0" w:right="46" w:firstLine="0"/>
              <w:jc w:val="center"/>
              <w:rPr>
                <w:sz w:val="18"/>
              </w:rPr>
            </w:pPr>
            <w:r>
              <w:rPr>
                <w:sz w:val="18"/>
              </w:rPr>
              <w:t>50</w:t>
            </w:r>
          </w:p>
        </w:tc>
        <w:tc>
          <w:tcPr>
            <w:tcW w:w="816" w:type="dxa"/>
            <w:tcBorders>
              <w:top w:val="single" w:sz="4" w:space="0" w:color="000000"/>
              <w:left w:val="single" w:sz="12" w:space="0" w:color="000000"/>
              <w:bottom w:val="single" w:sz="4" w:space="0" w:color="000000"/>
              <w:right w:val="single" w:sz="12" w:space="0" w:color="000000"/>
            </w:tcBorders>
          </w:tcPr>
          <w:p w14:paraId="061915DE" w14:textId="19485625" w:rsidR="003345F0" w:rsidRDefault="003345F0" w:rsidP="003345F0">
            <w:pPr>
              <w:spacing w:after="0" w:line="259" w:lineRule="auto"/>
              <w:ind w:left="0" w:right="46" w:firstLine="0"/>
              <w:jc w:val="center"/>
              <w:rPr>
                <w:sz w:val="18"/>
              </w:rPr>
            </w:pPr>
            <w:r>
              <w:rPr>
                <w:sz w:val="18"/>
              </w:rPr>
              <w:t>ug/L</w:t>
            </w:r>
          </w:p>
        </w:tc>
        <w:tc>
          <w:tcPr>
            <w:tcW w:w="818" w:type="dxa"/>
            <w:tcBorders>
              <w:top w:val="single" w:sz="4" w:space="0" w:color="000000"/>
              <w:left w:val="single" w:sz="12" w:space="0" w:color="000000"/>
              <w:bottom w:val="single" w:sz="4" w:space="0" w:color="000000"/>
              <w:right w:val="single" w:sz="12" w:space="0" w:color="000000"/>
            </w:tcBorders>
          </w:tcPr>
          <w:p w14:paraId="0B68912F" w14:textId="071D7774" w:rsidR="003345F0" w:rsidRDefault="003345F0" w:rsidP="003345F0">
            <w:pPr>
              <w:spacing w:after="0" w:line="259" w:lineRule="auto"/>
              <w:ind w:left="0" w:right="44" w:firstLine="0"/>
              <w:jc w:val="center"/>
              <w:rPr>
                <w:sz w:val="18"/>
              </w:rPr>
            </w:pPr>
            <w:r>
              <w:rPr>
                <w:sz w:val="18"/>
              </w:rPr>
              <w:t>3300</w:t>
            </w:r>
          </w:p>
        </w:tc>
        <w:tc>
          <w:tcPr>
            <w:tcW w:w="997" w:type="dxa"/>
            <w:tcBorders>
              <w:top w:val="single" w:sz="4" w:space="0" w:color="000000"/>
              <w:left w:val="single" w:sz="12" w:space="0" w:color="000000"/>
              <w:bottom w:val="single" w:sz="4" w:space="0" w:color="000000"/>
              <w:right w:val="single" w:sz="12" w:space="0" w:color="000000"/>
            </w:tcBorders>
          </w:tcPr>
          <w:p w14:paraId="45968001" w14:textId="107C3E7D" w:rsidR="003345F0" w:rsidRDefault="003345F0" w:rsidP="003345F0">
            <w:pPr>
              <w:spacing w:after="0" w:line="259" w:lineRule="auto"/>
              <w:ind w:left="0" w:right="44" w:firstLine="0"/>
              <w:jc w:val="center"/>
              <w:rPr>
                <w:rFonts w:eastAsia="Segoe UI Symbol"/>
                <w:sz w:val="18"/>
              </w:rPr>
            </w:pPr>
            <w:r>
              <w:rPr>
                <w:rFonts w:eastAsia="Segoe UI Symbol"/>
                <w:sz w:val="18"/>
              </w:rPr>
              <w:t>u</w:t>
            </w:r>
            <w:r>
              <w:rPr>
                <w:sz w:val="18"/>
              </w:rPr>
              <w:t>g/kg</w:t>
            </w:r>
          </w:p>
        </w:tc>
        <w:tc>
          <w:tcPr>
            <w:tcW w:w="1029" w:type="dxa"/>
            <w:tcBorders>
              <w:top w:val="single" w:sz="4" w:space="0" w:color="000000"/>
              <w:left w:val="single" w:sz="12" w:space="0" w:color="000000"/>
              <w:bottom w:val="single" w:sz="4" w:space="0" w:color="000000"/>
              <w:right w:val="single" w:sz="12" w:space="0" w:color="000000"/>
            </w:tcBorders>
          </w:tcPr>
          <w:p w14:paraId="39B98E97" w14:textId="0975EE5F" w:rsidR="003345F0" w:rsidRDefault="003345F0" w:rsidP="003345F0">
            <w:pPr>
              <w:spacing w:after="0" w:line="259" w:lineRule="auto"/>
              <w:ind w:left="0" w:right="46" w:firstLine="0"/>
              <w:jc w:val="center"/>
              <w:rPr>
                <w:b/>
                <w:sz w:val="18"/>
              </w:rPr>
            </w:pPr>
            <w:r>
              <w:rPr>
                <w:b/>
                <w:sz w:val="18"/>
              </w:rPr>
              <w:t>8270</w:t>
            </w:r>
          </w:p>
        </w:tc>
        <w:tc>
          <w:tcPr>
            <w:tcW w:w="1592" w:type="dxa"/>
            <w:tcBorders>
              <w:top w:val="single" w:sz="4" w:space="0" w:color="000000"/>
              <w:left w:val="single" w:sz="12" w:space="0" w:color="000000"/>
              <w:bottom w:val="single" w:sz="4" w:space="0" w:color="000000"/>
              <w:right w:val="single" w:sz="12" w:space="0" w:color="000000"/>
            </w:tcBorders>
          </w:tcPr>
          <w:p w14:paraId="1EA003BC" w14:textId="0C466564" w:rsidR="003345F0" w:rsidRPr="00C509D2" w:rsidRDefault="003345F0" w:rsidP="003345F0">
            <w:pPr>
              <w:spacing w:after="0" w:line="259" w:lineRule="auto"/>
              <w:ind w:left="0" w:right="49" w:firstLine="0"/>
              <w:jc w:val="center"/>
              <w:rPr>
                <w:sz w:val="18"/>
                <w:szCs w:val="18"/>
              </w:rPr>
            </w:pPr>
            <w:r w:rsidRPr="00313985">
              <w:rPr>
                <w:sz w:val="18"/>
                <w:szCs w:val="18"/>
              </w:rPr>
              <w:t>8270 SIM</w:t>
            </w:r>
          </w:p>
        </w:tc>
      </w:tr>
      <w:tr w:rsidR="003345F0" w14:paraId="60FFBC89" w14:textId="77777777" w:rsidTr="00324798">
        <w:trPr>
          <w:trHeight w:val="259"/>
        </w:trPr>
        <w:tc>
          <w:tcPr>
            <w:tcW w:w="3372" w:type="dxa"/>
            <w:tcBorders>
              <w:top w:val="single" w:sz="4" w:space="0" w:color="000000"/>
              <w:left w:val="single" w:sz="12" w:space="0" w:color="000000"/>
              <w:bottom w:val="single" w:sz="4" w:space="0" w:color="000000"/>
              <w:right w:val="single" w:sz="12" w:space="0" w:color="000000"/>
            </w:tcBorders>
          </w:tcPr>
          <w:p w14:paraId="6280A4E4" w14:textId="4DF0B51A" w:rsidR="003345F0" w:rsidRDefault="003345F0" w:rsidP="003345F0">
            <w:pPr>
              <w:spacing w:after="0" w:line="259" w:lineRule="auto"/>
              <w:ind w:left="0" w:right="0" w:firstLine="0"/>
              <w:rPr>
                <w:sz w:val="18"/>
              </w:rPr>
            </w:pPr>
            <w:r>
              <w:rPr>
                <w:sz w:val="18"/>
              </w:rPr>
              <w:lastRenderedPageBreak/>
              <w:t xml:space="preserve">3-Nitroaniline </w:t>
            </w:r>
          </w:p>
        </w:tc>
        <w:tc>
          <w:tcPr>
            <w:tcW w:w="1130" w:type="dxa"/>
            <w:tcBorders>
              <w:top w:val="single" w:sz="4" w:space="0" w:color="000000"/>
              <w:left w:val="single" w:sz="12" w:space="0" w:color="000000"/>
              <w:bottom w:val="single" w:sz="4" w:space="0" w:color="000000"/>
              <w:right w:val="single" w:sz="12" w:space="0" w:color="000000"/>
            </w:tcBorders>
          </w:tcPr>
          <w:p w14:paraId="7C42A69A" w14:textId="03AC6D9F" w:rsidR="003345F0" w:rsidRDefault="003345F0" w:rsidP="003345F0">
            <w:pPr>
              <w:spacing w:after="0" w:line="259" w:lineRule="auto"/>
              <w:ind w:left="0" w:right="44" w:firstLine="0"/>
              <w:jc w:val="center"/>
              <w:rPr>
                <w:sz w:val="18"/>
              </w:rPr>
            </w:pPr>
            <w:r>
              <w:rPr>
                <w:sz w:val="18"/>
              </w:rPr>
              <w:t>99-09-2</w:t>
            </w:r>
          </w:p>
        </w:tc>
        <w:tc>
          <w:tcPr>
            <w:tcW w:w="866" w:type="dxa"/>
            <w:tcBorders>
              <w:top w:val="single" w:sz="4" w:space="0" w:color="000000"/>
              <w:left w:val="single" w:sz="12" w:space="0" w:color="000000"/>
              <w:bottom w:val="single" w:sz="4" w:space="0" w:color="000000"/>
              <w:right w:val="single" w:sz="12" w:space="0" w:color="000000"/>
            </w:tcBorders>
          </w:tcPr>
          <w:p w14:paraId="23FE51BE" w14:textId="5EDE656C" w:rsidR="003345F0" w:rsidRDefault="003345F0" w:rsidP="003345F0">
            <w:pPr>
              <w:spacing w:after="0" w:line="259" w:lineRule="auto"/>
              <w:ind w:left="0" w:right="46" w:firstLine="0"/>
              <w:jc w:val="center"/>
              <w:rPr>
                <w:sz w:val="18"/>
              </w:rPr>
            </w:pPr>
            <w:r>
              <w:rPr>
                <w:sz w:val="18"/>
              </w:rPr>
              <w:t>50</w:t>
            </w:r>
          </w:p>
        </w:tc>
        <w:tc>
          <w:tcPr>
            <w:tcW w:w="816" w:type="dxa"/>
            <w:tcBorders>
              <w:top w:val="single" w:sz="4" w:space="0" w:color="000000"/>
              <w:left w:val="single" w:sz="12" w:space="0" w:color="000000"/>
              <w:bottom w:val="single" w:sz="4" w:space="0" w:color="000000"/>
              <w:right w:val="single" w:sz="12" w:space="0" w:color="000000"/>
            </w:tcBorders>
          </w:tcPr>
          <w:p w14:paraId="6E9299CC" w14:textId="08F61A66" w:rsidR="003345F0" w:rsidRDefault="003345F0" w:rsidP="003345F0">
            <w:pPr>
              <w:spacing w:after="0" w:line="259" w:lineRule="auto"/>
              <w:ind w:left="0" w:right="46" w:firstLine="0"/>
              <w:jc w:val="center"/>
              <w:rPr>
                <w:sz w:val="18"/>
              </w:rPr>
            </w:pPr>
            <w:r>
              <w:rPr>
                <w:sz w:val="18"/>
              </w:rPr>
              <w:t>ug/L</w:t>
            </w:r>
          </w:p>
        </w:tc>
        <w:tc>
          <w:tcPr>
            <w:tcW w:w="818" w:type="dxa"/>
            <w:tcBorders>
              <w:top w:val="single" w:sz="4" w:space="0" w:color="000000"/>
              <w:left w:val="single" w:sz="12" w:space="0" w:color="000000"/>
              <w:bottom w:val="single" w:sz="4" w:space="0" w:color="000000"/>
              <w:right w:val="single" w:sz="12" w:space="0" w:color="000000"/>
            </w:tcBorders>
          </w:tcPr>
          <w:p w14:paraId="092314A9" w14:textId="645F5FEB" w:rsidR="003345F0" w:rsidRDefault="003345F0" w:rsidP="003345F0">
            <w:pPr>
              <w:spacing w:after="0" w:line="259" w:lineRule="auto"/>
              <w:ind w:left="0" w:right="44" w:firstLine="0"/>
              <w:jc w:val="center"/>
              <w:rPr>
                <w:sz w:val="18"/>
              </w:rPr>
            </w:pPr>
            <w:r>
              <w:rPr>
                <w:sz w:val="18"/>
              </w:rPr>
              <w:t>3300</w:t>
            </w:r>
          </w:p>
        </w:tc>
        <w:tc>
          <w:tcPr>
            <w:tcW w:w="997" w:type="dxa"/>
            <w:tcBorders>
              <w:top w:val="single" w:sz="4" w:space="0" w:color="000000"/>
              <w:left w:val="single" w:sz="12" w:space="0" w:color="000000"/>
              <w:bottom w:val="single" w:sz="4" w:space="0" w:color="000000"/>
              <w:right w:val="single" w:sz="12" w:space="0" w:color="000000"/>
            </w:tcBorders>
          </w:tcPr>
          <w:p w14:paraId="21DC3A17" w14:textId="39EFA24C" w:rsidR="003345F0" w:rsidRDefault="003345F0" w:rsidP="003345F0">
            <w:pPr>
              <w:spacing w:after="0" w:line="259" w:lineRule="auto"/>
              <w:ind w:left="0" w:right="44" w:firstLine="0"/>
              <w:jc w:val="center"/>
              <w:rPr>
                <w:rFonts w:eastAsia="Segoe UI Symbol"/>
                <w:sz w:val="18"/>
              </w:rPr>
            </w:pPr>
            <w:r>
              <w:rPr>
                <w:rFonts w:eastAsia="Segoe UI Symbol"/>
                <w:sz w:val="18"/>
              </w:rPr>
              <w:t>u</w:t>
            </w:r>
            <w:r>
              <w:rPr>
                <w:sz w:val="18"/>
              </w:rPr>
              <w:t>g/kg</w:t>
            </w:r>
          </w:p>
        </w:tc>
        <w:tc>
          <w:tcPr>
            <w:tcW w:w="1029" w:type="dxa"/>
            <w:tcBorders>
              <w:top w:val="single" w:sz="4" w:space="0" w:color="000000"/>
              <w:left w:val="single" w:sz="12" w:space="0" w:color="000000"/>
              <w:bottom w:val="single" w:sz="4" w:space="0" w:color="000000"/>
              <w:right w:val="single" w:sz="12" w:space="0" w:color="000000"/>
            </w:tcBorders>
          </w:tcPr>
          <w:p w14:paraId="18AD3BA8" w14:textId="393214FA" w:rsidR="003345F0" w:rsidRDefault="003345F0" w:rsidP="003345F0">
            <w:pPr>
              <w:spacing w:after="0" w:line="259" w:lineRule="auto"/>
              <w:ind w:left="0" w:right="46" w:firstLine="0"/>
              <w:jc w:val="center"/>
              <w:rPr>
                <w:b/>
                <w:sz w:val="18"/>
              </w:rPr>
            </w:pPr>
            <w:r>
              <w:rPr>
                <w:b/>
                <w:sz w:val="18"/>
              </w:rPr>
              <w:t>8270</w:t>
            </w:r>
          </w:p>
        </w:tc>
        <w:tc>
          <w:tcPr>
            <w:tcW w:w="1592" w:type="dxa"/>
            <w:tcBorders>
              <w:top w:val="single" w:sz="4" w:space="0" w:color="000000"/>
              <w:left w:val="single" w:sz="12" w:space="0" w:color="000000"/>
              <w:bottom w:val="single" w:sz="4" w:space="0" w:color="000000"/>
              <w:right w:val="single" w:sz="12" w:space="0" w:color="000000"/>
            </w:tcBorders>
          </w:tcPr>
          <w:p w14:paraId="48D65174" w14:textId="515B8CB7" w:rsidR="003345F0" w:rsidRPr="00313985" w:rsidRDefault="003345F0" w:rsidP="003345F0">
            <w:pPr>
              <w:spacing w:after="0" w:line="259" w:lineRule="auto"/>
              <w:ind w:left="0" w:right="49" w:firstLine="0"/>
              <w:jc w:val="center"/>
              <w:rPr>
                <w:sz w:val="18"/>
                <w:szCs w:val="18"/>
              </w:rPr>
            </w:pPr>
            <w:r w:rsidRPr="00313985">
              <w:rPr>
                <w:sz w:val="18"/>
                <w:szCs w:val="18"/>
              </w:rPr>
              <w:t>8270 SIM</w:t>
            </w:r>
          </w:p>
        </w:tc>
      </w:tr>
      <w:tr w:rsidR="003345F0" w14:paraId="557EA574" w14:textId="77777777" w:rsidTr="00324798">
        <w:trPr>
          <w:trHeight w:val="259"/>
        </w:trPr>
        <w:tc>
          <w:tcPr>
            <w:tcW w:w="3372" w:type="dxa"/>
            <w:tcBorders>
              <w:top w:val="single" w:sz="4" w:space="0" w:color="000000"/>
              <w:left w:val="single" w:sz="12" w:space="0" w:color="000000"/>
              <w:bottom w:val="single" w:sz="4" w:space="0" w:color="000000"/>
              <w:right w:val="single" w:sz="12" w:space="0" w:color="000000"/>
            </w:tcBorders>
          </w:tcPr>
          <w:p w14:paraId="5FB7C8D4" w14:textId="769E4747" w:rsidR="003345F0" w:rsidRDefault="003345F0" w:rsidP="003345F0">
            <w:pPr>
              <w:spacing w:after="0" w:line="259" w:lineRule="auto"/>
              <w:ind w:left="0" w:right="0" w:firstLine="0"/>
              <w:rPr>
                <w:sz w:val="18"/>
              </w:rPr>
            </w:pPr>
            <w:r>
              <w:rPr>
                <w:sz w:val="18"/>
              </w:rPr>
              <w:t xml:space="preserve">4-Nitroaniline </w:t>
            </w:r>
          </w:p>
        </w:tc>
        <w:tc>
          <w:tcPr>
            <w:tcW w:w="1130" w:type="dxa"/>
            <w:tcBorders>
              <w:top w:val="single" w:sz="4" w:space="0" w:color="000000"/>
              <w:left w:val="single" w:sz="12" w:space="0" w:color="000000"/>
              <w:bottom w:val="single" w:sz="4" w:space="0" w:color="000000"/>
              <w:right w:val="single" w:sz="12" w:space="0" w:color="000000"/>
            </w:tcBorders>
          </w:tcPr>
          <w:p w14:paraId="28A05E29" w14:textId="160CAD43" w:rsidR="003345F0" w:rsidRDefault="003345F0" w:rsidP="003345F0">
            <w:pPr>
              <w:spacing w:after="0" w:line="259" w:lineRule="auto"/>
              <w:ind w:left="0" w:right="44" w:firstLine="0"/>
              <w:jc w:val="center"/>
              <w:rPr>
                <w:sz w:val="18"/>
              </w:rPr>
            </w:pPr>
            <w:r>
              <w:rPr>
                <w:sz w:val="18"/>
              </w:rPr>
              <w:t>100-01-6</w:t>
            </w:r>
          </w:p>
        </w:tc>
        <w:tc>
          <w:tcPr>
            <w:tcW w:w="866" w:type="dxa"/>
            <w:tcBorders>
              <w:top w:val="single" w:sz="4" w:space="0" w:color="000000"/>
              <w:left w:val="single" w:sz="12" w:space="0" w:color="000000"/>
              <w:bottom w:val="single" w:sz="4" w:space="0" w:color="000000"/>
              <w:right w:val="single" w:sz="12" w:space="0" w:color="000000"/>
            </w:tcBorders>
          </w:tcPr>
          <w:p w14:paraId="2B490903" w14:textId="680B5CA5" w:rsidR="003345F0" w:rsidRDefault="003345F0" w:rsidP="003345F0">
            <w:pPr>
              <w:spacing w:after="0" w:line="259" w:lineRule="auto"/>
              <w:ind w:left="0" w:right="46" w:firstLine="0"/>
              <w:jc w:val="center"/>
              <w:rPr>
                <w:sz w:val="18"/>
              </w:rPr>
            </w:pPr>
            <w:r>
              <w:rPr>
                <w:sz w:val="18"/>
              </w:rPr>
              <w:t>20</w:t>
            </w:r>
          </w:p>
        </w:tc>
        <w:tc>
          <w:tcPr>
            <w:tcW w:w="816" w:type="dxa"/>
            <w:tcBorders>
              <w:top w:val="single" w:sz="4" w:space="0" w:color="000000"/>
              <w:left w:val="single" w:sz="12" w:space="0" w:color="000000"/>
              <w:bottom w:val="single" w:sz="4" w:space="0" w:color="000000"/>
              <w:right w:val="single" w:sz="12" w:space="0" w:color="000000"/>
            </w:tcBorders>
          </w:tcPr>
          <w:p w14:paraId="2BEB81D2" w14:textId="7F5FB289" w:rsidR="003345F0" w:rsidRDefault="003345F0" w:rsidP="003345F0">
            <w:pPr>
              <w:spacing w:after="0" w:line="259" w:lineRule="auto"/>
              <w:ind w:left="0" w:right="46" w:firstLine="0"/>
              <w:jc w:val="center"/>
              <w:rPr>
                <w:sz w:val="18"/>
              </w:rPr>
            </w:pPr>
            <w:r>
              <w:rPr>
                <w:sz w:val="18"/>
              </w:rPr>
              <w:t>ug/L</w:t>
            </w:r>
          </w:p>
        </w:tc>
        <w:tc>
          <w:tcPr>
            <w:tcW w:w="818" w:type="dxa"/>
            <w:tcBorders>
              <w:top w:val="single" w:sz="4" w:space="0" w:color="000000"/>
              <w:left w:val="single" w:sz="12" w:space="0" w:color="000000"/>
              <w:bottom w:val="single" w:sz="4" w:space="0" w:color="000000"/>
              <w:right w:val="single" w:sz="12" w:space="0" w:color="000000"/>
            </w:tcBorders>
          </w:tcPr>
          <w:p w14:paraId="04E024F1" w14:textId="155131C0" w:rsidR="003345F0" w:rsidRDefault="003345F0" w:rsidP="003345F0">
            <w:pPr>
              <w:spacing w:after="0" w:line="259" w:lineRule="auto"/>
              <w:ind w:left="0" w:right="44" w:firstLine="0"/>
              <w:jc w:val="center"/>
              <w:rPr>
                <w:sz w:val="18"/>
              </w:rPr>
            </w:pPr>
            <w:r>
              <w:rPr>
                <w:sz w:val="18"/>
              </w:rPr>
              <w:t>1300</w:t>
            </w:r>
          </w:p>
        </w:tc>
        <w:tc>
          <w:tcPr>
            <w:tcW w:w="997" w:type="dxa"/>
            <w:tcBorders>
              <w:top w:val="single" w:sz="4" w:space="0" w:color="000000"/>
              <w:left w:val="single" w:sz="12" w:space="0" w:color="000000"/>
              <w:bottom w:val="single" w:sz="4" w:space="0" w:color="000000"/>
              <w:right w:val="single" w:sz="12" w:space="0" w:color="000000"/>
            </w:tcBorders>
          </w:tcPr>
          <w:p w14:paraId="25F5E840" w14:textId="66EE4F84" w:rsidR="003345F0" w:rsidRDefault="003345F0" w:rsidP="003345F0">
            <w:pPr>
              <w:spacing w:after="0" w:line="259" w:lineRule="auto"/>
              <w:ind w:left="0" w:right="44" w:firstLine="0"/>
              <w:jc w:val="center"/>
              <w:rPr>
                <w:rFonts w:eastAsia="Segoe UI Symbol"/>
                <w:sz w:val="18"/>
              </w:rPr>
            </w:pPr>
            <w:r>
              <w:rPr>
                <w:rFonts w:eastAsia="Segoe UI Symbol"/>
                <w:sz w:val="18"/>
              </w:rPr>
              <w:t>u</w:t>
            </w:r>
            <w:r>
              <w:rPr>
                <w:sz w:val="18"/>
              </w:rPr>
              <w:t>g/kg</w:t>
            </w:r>
          </w:p>
        </w:tc>
        <w:tc>
          <w:tcPr>
            <w:tcW w:w="1029" w:type="dxa"/>
            <w:tcBorders>
              <w:top w:val="single" w:sz="4" w:space="0" w:color="000000"/>
              <w:left w:val="single" w:sz="12" w:space="0" w:color="000000"/>
              <w:bottom w:val="single" w:sz="4" w:space="0" w:color="000000"/>
              <w:right w:val="single" w:sz="12" w:space="0" w:color="000000"/>
            </w:tcBorders>
          </w:tcPr>
          <w:p w14:paraId="65DBA9A7" w14:textId="5F6D60B4" w:rsidR="003345F0" w:rsidRDefault="003345F0" w:rsidP="003345F0">
            <w:pPr>
              <w:spacing w:after="0" w:line="259" w:lineRule="auto"/>
              <w:ind w:left="0" w:right="46" w:firstLine="0"/>
              <w:jc w:val="center"/>
              <w:rPr>
                <w:b/>
                <w:sz w:val="18"/>
              </w:rPr>
            </w:pPr>
            <w:r>
              <w:rPr>
                <w:b/>
                <w:sz w:val="18"/>
              </w:rPr>
              <w:t>8270</w:t>
            </w:r>
          </w:p>
        </w:tc>
        <w:tc>
          <w:tcPr>
            <w:tcW w:w="1592" w:type="dxa"/>
            <w:tcBorders>
              <w:top w:val="single" w:sz="4" w:space="0" w:color="000000"/>
              <w:left w:val="single" w:sz="12" w:space="0" w:color="000000"/>
              <w:bottom w:val="single" w:sz="4" w:space="0" w:color="000000"/>
              <w:right w:val="single" w:sz="12" w:space="0" w:color="000000"/>
            </w:tcBorders>
          </w:tcPr>
          <w:p w14:paraId="370853AB" w14:textId="0223CCDC" w:rsidR="003345F0" w:rsidRPr="00313985" w:rsidRDefault="003345F0" w:rsidP="003345F0">
            <w:pPr>
              <w:spacing w:after="0" w:line="259" w:lineRule="auto"/>
              <w:ind w:left="0" w:right="49" w:firstLine="0"/>
              <w:jc w:val="center"/>
              <w:rPr>
                <w:sz w:val="18"/>
                <w:szCs w:val="18"/>
              </w:rPr>
            </w:pPr>
            <w:r w:rsidRPr="00313985">
              <w:rPr>
                <w:sz w:val="18"/>
                <w:szCs w:val="18"/>
              </w:rPr>
              <w:t>8270 SIM</w:t>
            </w:r>
          </w:p>
        </w:tc>
      </w:tr>
      <w:tr w:rsidR="003345F0" w14:paraId="635A3ECC" w14:textId="77777777" w:rsidTr="00324798">
        <w:trPr>
          <w:trHeight w:val="259"/>
        </w:trPr>
        <w:tc>
          <w:tcPr>
            <w:tcW w:w="3372" w:type="dxa"/>
            <w:tcBorders>
              <w:top w:val="single" w:sz="4" w:space="0" w:color="000000"/>
              <w:left w:val="single" w:sz="12" w:space="0" w:color="000000"/>
              <w:bottom w:val="single" w:sz="4" w:space="0" w:color="000000"/>
              <w:right w:val="single" w:sz="12" w:space="0" w:color="000000"/>
            </w:tcBorders>
          </w:tcPr>
          <w:p w14:paraId="23A8043E" w14:textId="18280C7A" w:rsidR="003345F0" w:rsidRDefault="003345F0" w:rsidP="003345F0">
            <w:pPr>
              <w:spacing w:after="0" w:line="259" w:lineRule="auto"/>
              <w:ind w:left="0" w:right="0" w:firstLine="0"/>
              <w:rPr>
                <w:sz w:val="18"/>
              </w:rPr>
            </w:pPr>
            <w:r>
              <w:rPr>
                <w:sz w:val="18"/>
              </w:rPr>
              <w:t>Nitrobenzene</w:t>
            </w:r>
            <w:r>
              <w:rPr>
                <w:b/>
                <w:sz w:val="18"/>
                <w:vertAlign w:val="superscript"/>
              </w:rPr>
              <w:t xml:space="preserve"> </w:t>
            </w:r>
            <w:r w:rsidRPr="006670D3">
              <w:rPr>
                <w:b/>
                <w:sz w:val="18"/>
                <w:vertAlign w:val="superscript"/>
              </w:rPr>
              <w:t>21</w:t>
            </w:r>
          </w:p>
        </w:tc>
        <w:tc>
          <w:tcPr>
            <w:tcW w:w="1130" w:type="dxa"/>
            <w:tcBorders>
              <w:top w:val="single" w:sz="4" w:space="0" w:color="000000"/>
              <w:left w:val="single" w:sz="12" w:space="0" w:color="000000"/>
              <w:bottom w:val="single" w:sz="4" w:space="0" w:color="000000"/>
              <w:right w:val="single" w:sz="12" w:space="0" w:color="000000"/>
            </w:tcBorders>
          </w:tcPr>
          <w:p w14:paraId="7FB78BEC" w14:textId="3276C3E1" w:rsidR="003345F0" w:rsidRDefault="003345F0" w:rsidP="003345F0">
            <w:pPr>
              <w:spacing w:after="0" w:line="259" w:lineRule="auto"/>
              <w:ind w:left="0" w:right="44" w:firstLine="0"/>
              <w:jc w:val="center"/>
              <w:rPr>
                <w:sz w:val="18"/>
              </w:rPr>
            </w:pPr>
            <w:r>
              <w:rPr>
                <w:sz w:val="18"/>
              </w:rPr>
              <w:t>98-95-3</w:t>
            </w:r>
          </w:p>
        </w:tc>
        <w:tc>
          <w:tcPr>
            <w:tcW w:w="866" w:type="dxa"/>
            <w:tcBorders>
              <w:top w:val="single" w:sz="4" w:space="0" w:color="000000"/>
              <w:left w:val="single" w:sz="12" w:space="0" w:color="000000"/>
              <w:bottom w:val="single" w:sz="4" w:space="0" w:color="000000"/>
              <w:right w:val="single" w:sz="12" w:space="0" w:color="000000"/>
            </w:tcBorders>
          </w:tcPr>
          <w:p w14:paraId="3F7FCEED" w14:textId="0B7D58F7" w:rsidR="003345F0" w:rsidRDefault="003345F0" w:rsidP="003345F0">
            <w:pPr>
              <w:spacing w:after="0" w:line="259" w:lineRule="auto"/>
              <w:ind w:left="0" w:right="46" w:firstLine="0"/>
              <w:jc w:val="center"/>
              <w:rPr>
                <w:sz w:val="18"/>
              </w:rPr>
            </w:pPr>
            <w:r>
              <w:rPr>
                <w:sz w:val="18"/>
              </w:rPr>
              <w:t>10</w:t>
            </w:r>
          </w:p>
        </w:tc>
        <w:tc>
          <w:tcPr>
            <w:tcW w:w="816" w:type="dxa"/>
            <w:tcBorders>
              <w:top w:val="single" w:sz="4" w:space="0" w:color="000000"/>
              <w:left w:val="single" w:sz="12" w:space="0" w:color="000000"/>
              <w:bottom w:val="single" w:sz="4" w:space="0" w:color="000000"/>
              <w:right w:val="single" w:sz="12" w:space="0" w:color="000000"/>
            </w:tcBorders>
          </w:tcPr>
          <w:p w14:paraId="25322D0C" w14:textId="11454BCF" w:rsidR="003345F0" w:rsidRDefault="003345F0" w:rsidP="003345F0">
            <w:pPr>
              <w:spacing w:after="0" w:line="259" w:lineRule="auto"/>
              <w:ind w:left="0" w:right="46" w:firstLine="0"/>
              <w:jc w:val="center"/>
              <w:rPr>
                <w:sz w:val="18"/>
              </w:rPr>
            </w:pPr>
            <w:r>
              <w:rPr>
                <w:sz w:val="18"/>
              </w:rPr>
              <w:t>ug/L</w:t>
            </w:r>
          </w:p>
        </w:tc>
        <w:tc>
          <w:tcPr>
            <w:tcW w:w="818" w:type="dxa"/>
            <w:tcBorders>
              <w:top w:val="single" w:sz="4" w:space="0" w:color="000000"/>
              <w:left w:val="single" w:sz="12" w:space="0" w:color="000000"/>
              <w:bottom w:val="single" w:sz="4" w:space="0" w:color="000000"/>
              <w:right w:val="single" w:sz="12" w:space="0" w:color="000000"/>
            </w:tcBorders>
          </w:tcPr>
          <w:p w14:paraId="10F6DBC3" w14:textId="27C88F5C" w:rsidR="003345F0" w:rsidRDefault="003345F0" w:rsidP="003345F0">
            <w:pPr>
              <w:spacing w:after="0" w:line="259" w:lineRule="auto"/>
              <w:ind w:left="0" w:right="44" w:firstLine="0"/>
              <w:jc w:val="center"/>
              <w:rPr>
                <w:sz w:val="18"/>
              </w:rPr>
            </w:pPr>
            <w:r>
              <w:rPr>
                <w:sz w:val="18"/>
              </w:rPr>
              <w:t>660</w:t>
            </w:r>
          </w:p>
        </w:tc>
        <w:tc>
          <w:tcPr>
            <w:tcW w:w="997" w:type="dxa"/>
            <w:tcBorders>
              <w:top w:val="single" w:sz="4" w:space="0" w:color="000000"/>
              <w:left w:val="single" w:sz="12" w:space="0" w:color="000000"/>
              <w:bottom w:val="single" w:sz="4" w:space="0" w:color="000000"/>
              <w:right w:val="single" w:sz="12" w:space="0" w:color="000000"/>
            </w:tcBorders>
          </w:tcPr>
          <w:p w14:paraId="6959765E" w14:textId="5397EBD9" w:rsidR="003345F0" w:rsidRDefault="003345F0" w:rsidP="003345F0">
            <w:pPr>
              <w:spacing w:after="0" w:line="259" w:lineRule="auto"/>
              <w:ind w:left="0" w:right="44" w:firstLine="0"/>
              <w:jc w:val="center"/>
              <w:rPr>
                <w:rFonts w:eastAsia="Segoe UI Symbol"/>
                <w:sz w:val="18"/>
              </w:rPr>
            </w:pPr>
            <w:r>
              <w:rPr>
                <w:rFonts w:eastAsia="Segoe UI Symbol"/>
                <w:sz w:val="18"/>
              </w:rPr>
              <w:t>u</w:t>
            </w:r>
            <w:r>
              <w:rPr>
                <w:sz w:val="18"/>
              </w:rPr>
              <w:t>g/kg</w:t>
            </w:r>
          </w:p>
        </w:tc>
        <w:tc>
          <w:tcPr>
            <w:tcW w:w="1029" w:type="dxa"/>
            <w:tcBorders>
              <w:top w:val="single" w:sz="4" w:space="0" w:color="000000"/>
              <w:left w:val="single" w:sz="12" w:space="0" w:color="000000"/>
              <w:bottom w:val="single" w:sz="4" w:space="0" w:color="000000"/>
              <w:right w:val="single" w:sz="12" w:space="0" w:color="000000"/>
            </w:tcBorders>
          </w:tcPr>
          <w:p w14:paraId="281EECA3" w14:textId="54309510" w:rsidR="003345F0" w:rsidRDefault="003345F0" w:rsidP="003345F0">
            <w:pPr>
              <w:spacing w:after="0" w:line="259" w:lineRule="auto"/>
              <w:ind w:left="0" w:right="46" w:firstLine="0"/>
              <w:jc w:val="center"/>
              <w:rPr>
                <w:b/>
                <w:sz w:val="18"/>
              </w:rPr>
            </w:pPr>
            <w:r>
              <w:rPr>
                <w:b/>
                <w:sz w:val="18"/>
              </w:rPr>
              <w:t>8270</w:t>
            </w:r>
          </w:p>
        </w:tc>
        <w:tc>
          <w:tcPr>
            <w:tcW w:w="1592" w:type="dxa"/>
            <w:tcBorders>
              <w:top w:val="single" w:sz="4" w:space="0" w:color="000000"/>
              <w:left w:val="single" w:sz="12" w:space="0" w:color="000000"/>
              <w:bottom w:val="single" w:sz="4" w:space="0" w:color="000000"/>
              <w:right w:val="single" w:sz="12" w:space="0" w:color="000000"/>
            </w:tcBorders>
          </w:tcPr>
          <w:p w14:paraId="4568DFB0" w14:textId="66D35C14" w:rsidR="003345F0" w:rsidRPr="00313985" w:rsidRDefault="003345F0" w:rsidP="003345F0">
            <w:pPr>
              <w:spacing w:after="0" w:line="259" w:lineRule="auto"/>
              <w:ind w:left="0" w:right="49" w:firstLine="0"/>
              <w:jc w:val="center"/>
              <w:rPr>
                <w:sz w:val="18"/>
                <w:szCs w:val="18"/>
              </w:rPr>
            </w:pPr>
            <w:r w:rsidRPr="00313985">
              <w:rPr>
                <w:sz w:val="18"/>
                <w:szCs w:val="18"/>
              </w:rPr>
              <w:t>8270 SIM</w:t>
            </w:r>
          </w:p>
        </w:tc>
      </w:tr>
      <w:tr w:rsidR="003345F0" w14:paraId="04EBD8A4" w14:textId="77777777" w:rsidTr="00324798">
        <w:trPr>
          <w:trHeight w:val="259"/>
        </w:trPr>
        <w:tc>
          <w:tcPr>
            <w:tcW w:w="3372" w:type="dxa"/>
            <w:tcBorders>
              <w:top w:val="single" w:sz="4" w:space="0" w:color="000000"/>
              <w:left w:val="single" w:sz="12" w:space="0" w:color="000000"/>
              <w:bottom w:val="single" w:sz="4" w:space="0" w:color="000000"/>
              <w:right w:val="single" w:sz="12" w:space="0" w:color="000000"/>
            </w:tcBorders>
          </w:tcPr>
          <w:p w14:paraId="43621C0F" w14:textId="66E2B250" w:rsidR="003345F0" w:rsidRDefault="003345F0" w:rsidP="003345F0">
            <w:pPr>
              <w:spacing w:after="0" w:line="259" w:lineRule="auto"/>
              <w:ind w:left="0" w:right="0" w:firstLine="0"/>
              <w:rPr>
                <w:sz w:val="18"/>
              </w:rPr>
            </w:pPr>
            <w:r>
              <w:rPr>
                <w:sz w:val="18"/>
              </w:rPr>
              <w:t xml:space="preserve">2-Nitrophenol </w:t>
            </w:r>
          </w:p>
        </w:tc>
        <w:tc>
          <w:tcPr>
            <w:tcW w:w="1130" w:type="dxa"/>
            <w:tcBorders>
              <w:top w:val="single" w:sz="4" w:space="0" w:color="000000"/>
              <w:left w:val="single" w:sz="12" w:space="0" w:color="000000"/>
              <w:bottom w:val="single" w:sz="4" w:space="0" w:color="000000"/>
              <w:right w:val="single" w:sz="12" w:space="0" w:color="000000"/>
            </w:tcBorders>
          </w:tcPr>
          <w:p w14:paraId="25DB54BA" w14:textId="5580603A" w:rsidR="003345F0" w:rsidRDefault="003345F0" w:rsidP="003345F0">
            <w:pPr>
              <w:spacing w:after="0" w:line="259" w:lineRule="auto"/>
              <w:ind w:left="0" w:right="44" w:firstLine="0"/>
              <w:jc w:val="center"/>
              <w:rPr>
                <w:sz w:val="18"/>
              </w:rPr>
            </w:pPr>
            <w:r>
              <w:rPr>
                <w:sz w:val="18"/>
              </w:rPr>
              <w:t>88-75-5</w:t>
            </w:r>
          </w:p>
        </w:tc>
        <w:tc>
          <w:tcPr>
            <w:tcW w:w="866" w:type="dxa"/>
            <w:tcBorders>
              <w:top w:val="single" w:sz="4" w:space="0" w:color="000000"/>
              <w:left w:val="single" w:sz="12" w:space="0" w:color="000000"/>
              <w:bottom w:val="single" w:sz="4" w:space="0" w:color="000000"/>
              <w:right w:val="single" w:sz="12" w:space="0" w:color="000000"/>
            </w:tcBorders>
          </w:tcPr>
          <w:p w14:paraId="6A4E1EE9" w14:textId="1B999375" w:rsidR="003345F0" w:rsidRDefault="003345F0" w:rsidP="003345F0">
            <w:pPr>
              <w:spacing w:after="0" w:line="259" w:lineRule="auto"/>
              <w:ind w:left="0" w:right="46" w:firstLine="0"/>
              <w:jc w:val="center"/>
              <w:rPr>
                <w:sz w:val="18"/>
              </w:rPr>
            </w:pPr>
            <w:r>
              <w:rPr>
                <w:sz w:val="18"/>
              </w:rPr>
              <w:t>10</w:t>
            </w:r>
          </w:p>
        </w:tc>
        <w:tc>
          <w:tcPr>
            <w:tcW w:w="816" w:type="dxa"/>
            <w:tcBorders>
              <w:top w:val="single" w:sz="4" w:space="0" w:color="000000"/>
              <w:left w:val="single" w:sz="12" w:space="0" w:color="000000"/>
              <w:bottom w:val="single" w:sz="4" w:space="0" w:color="000000"/>
              <w:right w:val="single" w:sz="12" w:space="0" w:color="000000"/>
            </w:tcBorders>
          </w:tcPr>
          <w:p w14:paraId="5204CB74" w14:textId="38F87FAA" w:rsidR="003345F0" w:rsidRDefault="003345F0" w:rsidP="003345F0">
            <w:pPr>
              <w:spacing w:after="0" w:line="259" w:lineRule="auto"/>
              <w:ind w:left="0" w:right="46" w:firstLine="0"/>
              <w:jc w:val="center"/>
              <w:rPr>
                <w:sz w:val="18"/>
              </w:rPr>
            </w:pPr>
            <w:r>
              <w:rPr>
                <w:sz w:val="18"/>
              </w:rPr>
              <w:t>ug/L</w:t>
            </w:r>
          </w:p>
        </w:tc>
        <w:tc>
          <w:tcPr>
            <w:tcW w:w="818" w:type="dxa"/>
            <w:tcBorders>
              <w:top w:val="single" w:sz="4" w:space="0" w:color="000000"/>
              <w:left w:val="single" w:sz="12" w:space="0" w:color="000000"/>
              <w:bottom w:val="single" w:sz="4" w:space="0" w:color="000000"/>
              <w:right w:val="single" w:sz="12" w:space="0" w:color="000000"/>
            </w:tcBorders>
          </w:tcPr>
          <w:p w14:paraId="1CFDEFD1" w14:textId="1AD61688" w:rsidR="003345F0" w:rsidRDefault="003345F0" w:rsidP="003345F0">
            <w:pPr>
              <w:spacing w:after="0" w:line="259" w:lineRule="auto"/>
              <w:ind w:left="0" w:right="44" w:firstLine="0"/>
              <w:jc w:val="center"/>
              <w:rPr>
                <w:sz w:val="18"/>
              </w:rPr>
            </w:pPr>
            <w:r>
              <w:rPr>
                <w:sz w:val="18"/>
              </w:rPr>
              <w:t>660</w:t>
            </w:r>
          </w:p>
        </w:tc>
        <w:tc>
          <w:tcPr>
            <w:tcW w:w="997" w:type="dxa"/>
            <w:tcBorders>
              <w:top w:val="single" w:sz="4" w:space="0" w:color="000000"/>
              <w:left w:val="single" w:sz="12" w:space="0" w:color="000000"/>
              <w:bottom w:val="single" w:sz="4" w:space="0" w:color="000000"/>
              <w:right w:val="single" w:sz="12" w:space="0" w:color="000000"/>
            </w:tcBorders>
          </w:tcPr>
          <w:p w14:paraId="54E5F420" w14:textId="7730AEF1" w:rsidR="003345F0" w:rsidRDefault="003345F0" w:rsidP="003345F0">
            <w:pPr>
              <w:spacing w:after="0" w:line="259" w:lineRule="auto"/>
              <w:ind w:left="0" w:right="44" w:firstLine="0"/>
              <w:jc w:val="center"/>
              <w:rPr>
                <w:rFonts w:eastAsia="Segoe UI Symbol"/>
                <w:sz w:val="18"/>
              </w:rPr>
            </w:pPr>
            <w:r>
              <w:rPr>
                <w:rFonts w:eastAsia="Segoe UI Symbol"/>
                <w:sz w:val="18"/>
              </w:rPr>
              <w:t>u</w:t>
            </w:r>
            <w:r>
              <w:rPr>
                <w:sz w:val="18"/>
              </w:rPr>
              <w:t>g/kg</w:t>
            </w:r>
          </w:p>
        </w:tc>
        <w:tc>
          <w:tcPr>
            <w:tcW w:w="1029" w:type="dxa"/>
            <w:tcBorders>
              <w:top w:val="single" w:sz="4" w:space="0" w:color="000000"/>
              <w:left w:val="single" w:sz="12" w:space="0" w:color="000000"/>
              <w:bottom w:val="single" w:sz="4" w:space="0" w:color="000000"/>
              <w:right w:val="single" w:sz="12" w:space="0" w:color="000000"/>
            </w:tcBorders>
          </w:tcPr>
          <w:p w14:paraId="14D3493E" w14:textId="222B2252" w:rsidR="003345F0" w:rsidRDefault="003345F0" w:rsidP="003345F0">
            <w:pPr>
              <w:spacing w:after="0" w:line="259" w:lineRule="auto"/>
              <w:ind w:left="0" w:right="46" w:firstLine="0"/>
              <w:jc w:val="center"/>
              <w:rPr>
                <w:b/>
                <w:sz w:val="18"/>
              </w:rPr>
            </w:pPr>
            <w:r>
              <w:rPr>
                <w:b/>
                <w:sz w:val="18"/>
              </w:rPr>
              <w:t>8270</w:t>
            </w:r>
          </w:p>
        </w:tc>
        <w:tc>
          <w:tcPr>
            <w:tcW w:w="1592" w:type="dxa"/>
            <w:tcBorders>
              <w:top w:val="single" w:sz="4" w:space="0" w:color="000000"/>
              <w:left w:val="single" w:sz="12" w:space="0" w:color="000000"/>
              <w:bottom w:val="single" w:sz="4" w:space="0" w:color="000000"/>
              <w:right w:val="single" w:sz="12" w:space="0" w:color="000000"/>
            </w:tcBorders>
          </w:tcPr>
          <w:p w14:paraId="08AD8C4B" w14:textId="6BD05F21" w:rsidR="003345F0" w:rsidRPr="00313985" w:rsidRDefault="003345F0" w:rsidP="003345F0">
            <w:pPr>
              <w:spacing w:after="0" w:line="259" w:lineRule="auto"/>
              <w:ind w:left="0" w:right="49" w:firstLine="0"/>
              <w:jc w:val="center"/>
              <w:rPr>
                <w:sz w:val="18"/>
                <w:szCs w:val="18"/>
              </w:rPr>
            </w:pPr>
            <w:r w:rsidRPr="00313985">
              <w:rPr>
                <w:sz w:val="18"/>
                <w:szCs w:val="18"/>
              </w:rPr>
              <w:t>8270 SIM</w:t>
            </w:r>
          </w:p>
        </w:tc>
      </w:tr>
      <w:tr w:rsidR="003345F0" w14:paraId="03A27FA1" w14:textId="77777777" w:rsidTr="00324798">
        <w:trPr>
          <w:trHeight w:val="259"/>
        </w:trPr>
        <w:tc>
          <w:tcPr>
            <w:tcW w:w="3372" w:type="dxa"/>
            <w:tcBorders>
              <w:top w:val="single" w:sz="4" w:space="0" w:color="000000"/>
              <w:left w:val="single" w:sz="12" w:space="0" w:color="000000"/>
              <w:bottom w:val="single" w:sz="4" w:space="0" w:color="000000"/>
              <w:right w:val="single" w:sz="12" w:space="0" w:color="000000"/>
            </w:tcBorders>
          </w:tcPr>
          <w:p w14:paraId="20F12892" w14:textId="0C06F9F7" w:rsidR="003345F0" w:rsidRDefault="003345F0" w:rsidP="003345F0">
            <w:pPr>
              <w:spacing w:after="0" w:line="259" w:lineRule="auto"/>
              <w:ind w:left="0" w:right="0" w:firstLine="0"/>
              <w:rPr>
                <w:sz w:val="18"/>
              </w:rPr>
            </w:pPr>
            <w:r>
              <w:rPr>
                <w:sz w:val="18"/>
              </w:rPr>
              <w:t xml:space="preserve">4-Nitrophenol </w:t>
            </w:r>
          </w:p>
        </w:tc>
        <w:tc>
          <w:tcPr>
            <w:tcW w:w="1130" w:type="dxa"/>
            <w:tcBorders>
              <w:top w:val="single" w:sz="4" w:space="0" w:color="000000"/>
              <w:left w:val="single" w:sz="12" w:space="0" w:color="000000"/>
              <w:bottom w:val="single" w:sz="4" w:space="0" w:color="000000"/>
              <w:right w:val="single" w:sz="12" w:space="0" w:color="000000"/>
            </w:tcBorders>
          </w:tcPr>
          <w:p w14:paraId="5EAE2F9F" w14:textId="33DE6FCC" w:rsidR="003345F0" w:rsidRDefault="003345F0" w:rsidP="003345F0">
            <w:pPr>
              <w:spacing w:after="0" w:line="259" w:lineRule="auto"/>
              <w:ind w:left="0" w:right="44" w:firstLine="0"/>
              <w:jc w:val="center"/>
              <w:rPr>
                <w:sz w:val="18"/>
              </w:rPr>
            </w:pPr>
            <w:r>
              <w:rPr>
                <w:sz w:val="18"/>
              </w:rPr>
              <w:t>100-02-7</w:t>
            </w:r>
          </w:p>
        </w:tc>
        <w:tc>
          <w:tcPr>
            <w:tcW w:w="866" w:type="dxa"/>
            <w:tcBorders>
              <w:top w:val="single" w:sz="4" w:space="0" w:color="000000"/>
              <w:left w:val="single" w:sz="12" w:space="0" w:color="000000"/>
              <w:bottom w:val="single" w:sz="4" w:space="0" w:color="000000"/>
              <w:right w:val="single" w:sz="12" w:space="0" w:color="000000"/>
            </w:tcBorders>
          </w:tcPr>
          <w:p w14:paraId="5B65C4A5" w14:textId="3BEA5B6F" w:rsidR="003345F0" w:rsidRDefault="003345F0" w:rsidP="003345F0">
            <w:pPr>
              <w:spacing w:after="0" w:line="259" w:lineRule="auto"/>
              <w:ind w:left="0" w:right="46" w:firstLine="0"/>
              <w:jc w:val="center"/>
              <w:rPr>
                <w:sz w:val="18"/>
              </w:rPr>
            </w:pPr>
            <w:r>
              <w:rPr>
                <w:sz w:val="18"/>
              </w:rPr>
              <w:t>50</w:t>
            </w:r>
          </w:p>
        </w:tc>
        <w:tc>
          <w:tcPr>
            <w:tcW w:w="816" w:type="dxa"/>
            <w:tcBorders>
              <w:top w:val="single" w:sz="4" w:space="0" w:color="000000"/>
              <w:left w:val="single" w:sz="12" w:space="0" w:color="000000"/>
              <w:bottom w:val="single" w:sz="4" w:space="0" w:color="000000"/>
              <w:right w:val="single" w:sz="12" w:space="0" w:color="000000"/>
            </w:tcBorders>
          </w:tcPr>
          <w:p w14:paraId="6A35DEA2" w14:textId="7773B3DB" w:rsidR="003345F0" w:rsidRDefault="003345F0" w:rsidP="003345F0">
            <w:pPr>
              <w:spacing w:after="0" w:line="259" w:lineRule="auto"/>
              <w:ind w:left="0" w:right="46" w:firstLine="0"/>
              <w:jc w:val="center"/>
              <w:rPr>
                <w:sz w:val="18"/>
              </w:rPr>
            </w:pPr>
            <w:r>
              <w:rPr>
                <w:sz w:val="18"/>
              </w:rPr>
              <w:t>ug/L</w:t>
            </w:r>
          </w:p>
        </w:tc>
        <w:tc>
          <w:tcPr>
            <w:tcW w:w="818" w:type="dxa"/>
            <w:tcBorders>
              <w:top w:val="single" w:sz="4" w:space="0" w:color="000000"/>
              <w:left w:val="single" w:sz="12" w:space="0" w:color="000000"/>
              <w:bottom w:val="single" w:sz="4" w:space="0" w:color="000000"/>
              <w:right w:val="single" w:sz="12" w:space="0" w:color="000000"/>
            </w:tcBorders>
          </w:tcPr>
          <w:p w14:paraId="2FAACDE3" w14:textId="2CC7D517" w:rsidR="003345F0" w:rsidRDefault="003345F0" w:rsidP="003345F0">
            <w:pPr>
              <w:spacing w:after="0" w:line="259" w:lineRule="auto"/>
              <w:ind w:left="0" w:right="44" w:firstLine="0"/>
              <w:jc w:val="center"/>
              <w:rPr>
                <w:sz w:val="18"/>
              </w:rPr>
            </w:pPr>
            <w:r>
              <w:rPr>
                <w:sz w:val="18"/>
              </w:rPr>
              <w:t>3300</w:t>
            </w:r>
          </w:p>
        </w:tc>
        <w:tc>
          <w:tcPr>
            <w:tcW w:w="997" w:type="dxa"/>
            <w:tcBorders>
              <w:top w:val="single" w:sz="4" w:space="0" w:color="000000"/>
              <w:left w:val="single" w:sz="12" w:space="0" w:color="000000"/>
              <w:bottom w:val="single" w:sz="4" w:space="0" w:color="000000"/>
              <w:right w:val="single" w:sz="12" w:space="0" w:color="000000"/>
            </w:tcBorders>
          </w:tcPr>
          <w:p w14:paraId="46A9398F" w14:textId="037AE83B" w:rsidR="003345F0" w:rsidRDefault="003345F0" w:rsidP="003345F0">
            <w:pPr>
              <w:spacing w:after="0" w:line="259" w:lineRule="auto"/>
              <w:ind w:left="0" w:right="44" w:firstLine="0"/>
              <w:jc w:val="center"/>
              <w:rPr>
                <w:rFonts w:eastAsia="Segoe UI Symbol"/>
                <w:sz w:val="18"/>
              </w:rPr>
            </w:pPr>
            <w:r>
              <w:rPr>
                <w:rFonts w:eastAsia="Segoe UI Symbol"/>
                <w:sz w:val="18"/>
              </w:rPr>
              <w:t>u</w:t>
            </w:r>
            <w:r>
              <w:rPr>
                <w:sz w:val="18"/>
              </w:rPr>
              <w:t>g/kg</w:t>
            </w:r>
          </w:p>
        </w:tc>
        <w:tc>
          <w:tcPr>
            <w:tcW w:w="1029" w:type="dxa"/>
            <w:tcBorders>
              <w:top w:val="single" w:sz="4" w:space="0" w:color="000000"/>
              <w:left w:val="single" w:sz="12" w:space="0" w:color="000000"/>
              <w:bottom w:val="single" w:sz="4" w:space="0" w:color="000000"/>
              <w:right w:val="single" w:sz="12" w:space="0" w:color="000000"/>
            </w:tcBorders>
          </w:tcPr>
          <w:p w14:paraId="6511F059" w14:textId="0946A901" w:rsidR="003345F0" w:rsidRDefault="003345F0" w:rsidP="003345F0">
            <w:pPr>
              <w:spacing w:after="0" w:line="259" w:lineRule="auto"/>
              <w:ind w:left="0" w:right="46" w:firstLine="0"/>
              <w:jc w:val="center"/>
              <w:rPr>
                <w:b/>
                <w:sz w:val="18"/>
              </w:rPr>
            </w:pPr>
            <w:r>
              <w:rPr>
                <w:b/>
                <w:sz w:val="18"/>
              </w:rPr>
              <w:t>8270</w:t>
            </w:r>
          </w:p>
        </w:tc>
        <w:tc>
          <w:tcPr>
            <w:tcW w:w="1592" w:type="dxa"/>
            <w:tcBorders>
              <w:top w:val="single" w:sz="4" w:space="0" w:color="000000"/>
              <w:left w:val="single" w:sz="12" w:space="0" w:color="000000"/>
              <w:bottom w:val="single" w:sz="4" w:space="0" w:color="000000"/>
              <w:right w:val="single" w:sz="12" w:space="0" w:color="000000"/>
            </w:tcBorders>
          </w:tcPr>
          <w:p w14:paraId="7C3E7885" w14:textId="76CE3013" w:rsidR="003345F0" w:rsidRPr="00313985" w:rsidRDefault="003345F0" w:rsidP="003345F0">
            <w:pPr>
              <w:spacing w:after="0" w:line="259" w:lineRule="auto"/>
              <w:ind w:left="0" w:right="49" w:firstLine="0"/>
              <w:jc w:val="center"/>
              <w:rPr>
                <w:sz w:val="18"/>
                <w:szCs w:val="18"/>
              </w:rPr>
            </w:pPr>
            <w:r w:rsidRPr="00313985">
              <w:rPr>
                <w:sz w:val="18"/>
                <w:szCs w:val="18"/>
              </w:rPr>
              <w:t>8270 SIM</w:t>
            </w:r>
          </w:p>
        </w:tc>
      </w:tr>
      <w:tr w:rsidR="003345F0" w14:paraId="2A7BC47D" w14:textId="77777777" w:rsidTr="00324798">
        <w:trPr>
          <w:trHeight w:val="259"/>
        </w:trPr>
        <w:tc>
          <w:tcPr>
            <w:tcW w:w="3372" w:type="dxa"/>
            <w:tcBorders>
              <w:top w:val="single" w:sz="4" w:space="0" w:color="000000"/>
              <w:left w:val="single" w:sz="12" w:space="0" w:color="000000"/>
              <w:bottom w:val="single" w:sz="4" w:space="0" w:color="000000"/>
              <w:right w:val="single" w:sz="12" w:space="0" w:color="000000"/>
            </w:tcBorders>
          </w:tcPr>
          <w:p w14:paraId="23FFC162" w14:textId="692DBA69" w:rsidR="003345F0" w:rsidRDefault="003345F0" w:rsidP="003345F0">
            <w:pPr>
              <w:spacing w:after="0" w:line="259" w:lineRule="auto"/>
              <w:ind w:left="0" w:right="0" w:firstLine="0"/>
              <w:rPr>
                <w:sz w:val="18"/>
              </w:rPr>
            </w:pPr>
            <w:r>
              <w:rPr>
                <w:sz w:val="18"/>
              </w:rPr>
              <w:t>N-</w:t>
            </w:r>
            <w:proofErr w:type="spellStart"/>
            <w:r>
              <w:rPr>
                <w:sz w:val="18"/>
              </w:rPr>
              <w:t>Nitrosodiphenylamine</w:t>
            </w:r>
            <w:proofErr w:type="spellEnd"/>
            <w:r>
              <w:rPr>
                <w:sz w:val="18"/>
              </w:rPr>
              <w:t xml:space="preserve"> </w:t>
            </w:r>
          </w:p>
        </w:tc>
        <w:tc>
          <w:tcPr>
            <w:tcW w:w="1130" w:type="dxa"/>
            <w:tcBorders>
              <w:top w:val="single" w:sz="4" w:space="0" w:color="000000"/>
              <w:left w:val="single" w:sz="12" w:space="0" w:color="000000"/>
              <w:bottom w:val="single" w:sz="4" w:space="0" w:color="000000"/>
              <w:right w:val="single" w:sz="12" w:space="0" w:color="000000"/>
            </w:tcBorders>
          </w:tcPr>
          <w:p w14:paraId="25AA9356" w14:textId="5F174941" w:rsidR="003345F0" w:rsidRDefault="003345F0" w:rsidP="003345F0">
            <w:pPr>
              <w:spacing w:after="0" w:line="259" w:lineRule="auto"/>
              <w:ind w:left="0" w:right="44" w:firstLine="0"/>
              <w:jc w:val="center"/>
              <w:rPr>
                <w:sz w:val="18"/>
              </w:rPr>
            </w:pPr>
            <w:r>
              <w:rPr>
                <w:sz w:val="18"/>
              </w:rPr>
              <w:t>86-30-6</w:t>
            </w:r>
          </w:p>
        </w:tc>
        <w:tc>
          <w:tcPr>
            <w:tcW w:w="866" w:type="dxa"/>
            <w:tcBorders>
              <w:top w:val="single" w:sz="4" w:space="0" w:color="000000"/>
              <w:left w:val="single" w:sz="12" w:space="0" w:color="000000"/>
              <w:bottom w:val="single" w:sz="4" w:space="0" w:color="000000"/>
              <w:right w:val="single" w:sz="12" w:space="0" w:color="000000"/>
            </w:tcBorders>
          </w:tcPr>
          <w:p w14:paraId="1BE30FB4" w14:textId="54A5E9C6" w:rsidR="003345F0" w:rsidRDefault="003345F0" w:rsidP="003345F0">
            <w:pPr>
              <w:spacing w:after="0" w:line="259" w:lineRule="auto"/>
              <w:ind w:left="0" w:right="46" w:firstLine="0"/>
              <w:jc w:val="center"/>
              <w:rPr>
                <w:sz w:val="18"/>
              </w:rPr>
            </w:pPr>
            <w:r>
              <w:rPr>
                <w:sz w:val="18"/>
              </w:rPr>
              <w:t>10</w:t>
            </w:r>
          </w:p>
        </w:tc>
        <w:tc>
          <w:tcPr>
            <w:tcW w:w="816" w:type="dxa"/>
            <w:tcBorders>
              <w:top w:val="single" w:sz="4" w:space="0" w:color="000000"/>
              <w:left w:val="single" w:sz="12" w:space="0" w:color="000000"/>
              <w:bottom w:val="single" w:sz="4" w:space="0" w:color="000000"/>
              <w:right w:val="single" w:sz="12" w:space="0" w:color="000000"/>
            </w:tcBorders>
          </w:tcPr>
          <w:p w14:paraId="70DE2E7A" w14:textId="1B62224D" w:rsidR="003345F0" w:rsidRDefault="003345F0" w:rsidP="003345F0">
            <w:pPr>
              <w:spacing w:after="0" w:line="259" w:lineRule="auto"/>
              <w:ind w:left="0" w:right="46" w:firstLine="0"/>
              <w:jc w:val="center"/>
              <w:rPr>
                <w:sz w:val="18"/>
              </w:rPr>
            </w:pPr>
            <w:r>
              <w:rPr>
                <w:sz w:val="18"/>
              </w:rPr>
              <w:t>ug/L</w:t>
            </w:r>
          </w:p>
        </w:tc>
        <w:tc>
          <w:tcPr>
            <w:tcW w:w="818" w:type="dxa"/>
            <w:tcBorders>
              <w:top w:val="single" w:sz="4" w:space="0" w:color="000000"/>
              <w:left w:val="single" w:sz="12" w:space="0" w:color="000000"/>
              <w:bottom w:val="single" w:sz="4" w:space="0" w:color="000000"/>
              <w:right w:val="single" w:sz="12" w:space="0" w:color="000000"/>
            </w:tcBorders>
          </w:tcPr>
          <w:p w14:paraId="16A9E01B" w14:textId="5CDECB6C" w:rsidR="003345F0" w:rsidRDefault="003345F0" w:rsidP="003345F0">
            <w:pPr>
              <w:spacing w:after="0" w:line="259" w:lineRule="auto"/>
              <w:ind w:left="0" w:right="44" w:firstLine="0"/>
              <w:jc w:val="center"/>
              <w:rPr>
                <w:sz w:val="18"/>
              </w:rPr>
            </w:pPr>
            <w:r>
              <w:rPr>
                <w:sz w:val="18"/>
              </w:rPr>
              <w:t>660</w:t>
            </w:r>
          </w:p>
        </w:tc>
        <w:tc>
          <w:tcPr>
            <w:tcW w:w="997" w:type="dxa"/>
            <w:tcBorders>
              <w:top w:val="single" w:sz="4" w:space="0" w:color="000000"/>
              <w:left w:val="single" w:sz="12" w:space="0" w:color="000000"/>
              <w:bottom w:val="single" w:sz="4" w:space="0" w:color="000000"/>
              <w:right w:val="single" w:sz="12" w:space="0" w:color="000000"/>
            </w:tcBorders>
          </w:tcPr>
          <w:p w14:paraId="0E0720F0" w14:textId="6A2ED9AE" w:rsidR="003345F0" w:rsidRDefault="003345F0" w:rsidP="003345F0">
            <w:pPr>
              <w:spacing w:after="0" w:line="259" w:lineRule="auto"/>
              <w:ind w:left="0" w:right="44" w:firstLine="0"/>
              <w:jc w:val="center"/>
              <w:rPr>
                <w:rFonts w:eastAsia="Segoe UI Symbol"/>
                <w:sz w:val="18"/>
              </w:rPr>
            </w:pPr>
            <w:r>
              <w:rPr>
                <w:rFonts w:eastAsia="Segoe UI Symbol"/>
                <w:sz w:val="18"/>
              </w:rPr>
              <w:t>u</w:t>
            </w:r>
            <w:r>
              <w:rPr>
                <w:sz w:val="18"/>
              </w:rPr>
              <w:t>g/kg</w:t>
            </w:r>
          </w:p>
        </w:tc>
        <w:tc>
          <w:tcPr>
            <w:tcW w:w="1029" w:type="dxa"/>
            <w:tcBorders>
              <w:top w:val="single" w:sz="4" w:space="0" w:color="000000"/>
              <w:left w:val="single" w:sz="12" w:space="0" w:color="000000"/>
              <w:bottom w:val="single" w:sz="4" w:space="0" w:color="000000"/>
              <w:right w:val="single" w:sz="12" w:space="0" w:color="000000"/>
            </w:tcBorders>
          </w:tcPr>
          <w:p w14:paraId="42874259" w14:textId="2261D42F" w:rsidR="003345F0" w:rsidRDefault="003345F0" w:rsidP="003345F0">
            <w:pPr>
              <w:spacing w:after="0" w:line="259" w:lineRule="auto"/>
              <w:ind w:left="0" w:right="46" w:firstLine="0"/>
              <w:jc w:val="center"/>
              <w:rPr>
                <w:b/>
                <w:sz w:val="18"/>
              </w:rPr>
            </w:pPr>
            <w:r>
              <w:rPr>
                <w:b/>
                <w:sz w:val="18"/>
              </w:rPr>
              <w:t>8270</w:t>
            </w:r>
          </w:p>
        </w:tc>
        <w:tc>
          <w:tcPr>
            <w:tcW w:w="1592" w:type="dxa"/>
            <w:tcBorders>
              <w:top w:val="single" w:sz="4" w:space="0" w:color="000000"/>
              <w:left w:val="single" w:sz="12" w:space="0" w:color="000000"/>
              <w:bottom w:val="single" w:sz="4" w:space="0" w:color="000000"/>
              <w:right w:val="single" w:sz="12" w:space="0" w:color="000000"/>
            </w:tcBorders>
          </w:tcPr>
          <w:p w14:paraId="5A091BC9" w14:textId="1E15DF1A" w:rsidR="003345F0" w:rsidRPr="00313985" w:rsidRDefault="003345F0" w:rsidP="003345F0">
            <w:pPr>
              <w:spacing w:after="0" w:line="259" w:lineRule="auto"/>
              <w:ind w:left="0" w:right="49" w:firstLine="0"/>
              <w:jc w:val="center"/>
              <w:rPr>
                <w:sz w:val="18"/>
                <w:szCs w:val="18"/>
              </w:rPr>
            </w:pPr>
            <w:r w:rsidRPr="00313985">
              <w:rPr>
                <w:sz w:val="18"/>
                <w:szCs w:val="18"/>
              </w:rPr>
              <w:t>8270 SIM</w:t>
            </w:r>
          </w:p>
        </w:tc>
      </w:tr>
      <w:tr w:rsidR="003345F0" w14:paraId="4E7E68BB" w14:textId="77777777" w:rsidTr="00324798">
        <w:trPr>
          <w:trHeight w:val="259"/>
        </w:trPr>
        <w:tc>
          <w:tcPr>
            <w:tcW w:w="3372" w:type="dxa"/>
            <w:tcBorders>
              <w:top w:val="single" w:sz="4" w:space="0" w:color="000000"/>
              <w:left w:val="single" w:sz="12" w:space="0" w:color="000000"/>
              <w:bottom w:val="single" w:sz="4" w:space="0" w:color="000000"/>
              <w:right w:val="single" w:sz="12" w:space="0" w:color="000000"/>
            </w:tcBorders>
          </w:tcPr>
          <w:p w14:paraId="3A10EBBD" w14:textId="0E45F915" w:rsidR="003345F0" w:rsidRDefault="003345F0" w:rsidP="003345F0">
            <w:pPr>
              <w:spacing w:after="0" w:line="259" w:lineRule="auto"/>
              <w:ind w:left="0" w:right="0" w:firstLine="0"/>
              <w:rPr>
                <w:sz w:val="18"/>
              </w:rPr>
            </w:pPr>
            <w:r>
              <w:rPr>
                <w:sz w:val="18"/>
              </w:rPr>
              <w:t xml:space="preserve">N-Nitroso-di-n-propylamine </w:t>
            </w:r>
            <w:r>
              <w:rPr>
                <w:b/>
                <w:sz w:val="18"/>
                <w:vertAlign w:val="superscript"/>
              </w:rPr>
              <w:t>22</w:t>
            </w:r>
          </w:p>
        </w:tc>
        <w:tc>
          <w:tcPr>
            <w:tcW w:w="1130" w:type="dxa"/>
            <w:tcBorders>
              <w:top w:val="single" w:sz="4" w:space="0" w:color="000000"/>
              <w:left w:val="single" w:sz="12" w:space="0" w:color="000000"/>
              <w:bottom w:val="single" w:sz="4" w:space="0" w:color="000000"/>
              <w:right w:val="single" w:sz="12" w:space="0" w:color="000000"/>
            </w:tcBorders>
          </w:tcPr>
          <w:p w14:paraId="36307B77" w14:textId="481C9B9F" w:rsidR="003345F0" w:rsidRDefault="003345F0" w:rsidP="003345F0">
            <w:pPr>
              <w:spacing w:after="0" w:line="259" w:lineRule="auto"/>
              <w:ind w:left="0" w:right="44" w:firstLine="0"/>
              <w:jc w:val="center"/>
              <w:rPr>
                <w:sz w:val="18"/>
              </w:rPr>
            </w:pPr>
            <w:r>
              <w:rPr>
                <w:sz w:val="18"/>
              </w:rPr>
              <w:t>621-64-7</w:t>
            </w:r>
          </w:p>
        </w:tc>
        <w:tc>
          <w:tcPr>
            <w:tcW w:w="866" w:type="dxa"/>
            <w:tcBorders>
              <w:top w:val="single" w:sz="4" w:space="0" w:color="000000"/>
              <w:left w:val="single" w:sz="12" w:space="0" w:color="000000"/>
              <w:bottom w:val="single" w:sz="4" w:space="0" w:color="000000"/>
              <w:right w:val="single" w:sz="12" w:space="0" w:color="000000"/>
            </w:tcBorders>
          </w:tcPr>
          <w:p w14:paraId="7CFD5AD8" w14:textId="06D2142A" w:rsidR="003345F0" w:rsidRDefault="003345F0" w:rsidP="003345F0">
            <w:pPr>
              <w:spacing w:after="0" w:line="259" w:lineRule="auto"/>
              <w:ind w:left="0" w:right="46" w:firstLine="0"/>
              <w:jc w:val="center"/>
              <w:rPr>
                <w:sz w:val="18"/>
              </w:rPr>
            </w:pPr>
            <w:r>
              <w:rPr>
                <w:sz w:val="18"/>
              </w:rPr>
              <w:t>10</w:t>
            </w:r>
          </w:p>
        </w:tc>
        <w:tc>
          <w:tcPr>
            <w:tcW w:w="816" w:type="dxa"/>
            <w:tcBorders>
              <w:top w:val="single" w:sz="4" w:space="0" w:color="000000"/>
              <w:left w:val="single" w:sz="12" w:space="0" w:color="000000"/>
              <w:bottom w:val="single" w:sz="4" w:space="0" w:color="000000"/>
              <w:right w:val="single" w:sz="12" w:space="0" w:color="000000"/>
            </w:tcBorders>
          </w:tcPr>
          <w:p w14:paraId="1E930FC6" w14:textId="0C8AFEED" w:rsidR="003345F0" w:rsidRDefault="003345F0" w:rsidP="003345F0">
            <w:pPr>
              <w:spacing w:after="0" w:line="259" w:lineRule="auto"/>
              <w:ind w:left="0" w:right="46" w:firstLine="0"/>
              <w:jc w:val="center"/>
              <w:rPr>
                <w:sz w:val="18"/>
              </w:rPr>
            </w:pPr>
            <w:r>
              <w:rPr>
                <w:sz w:val="18"/>
              </w:rPr>
              <w:t>ug/L</w:t>
            </w:r>
          </w:p>
        </w:tc>
        <w:tc>
          <w:tcPr>
            <w:tcW w:w="818" w:type="dxa"/>
            <w:tcBorders>
              <w:top w:val="single" w:sz="4" w:space="0" w:color="000000"/>
              <w:left w:val="single" w:sz="12" w:space="0" w:color="000000"/>
              <w:bottom w:val="single" w:sz="4" w:space="0" w:color="000000"/>
              <w:right w:val="single" w:sz="12" w:space="0" w:color="000000"/>
            </w:tcBorders>
          </w:tcPr>
          <w:p w14:paraId="0AD0E9C9" w14:textId="1EDF6667" w:rsidR="003345F0" w:rsidRDefault="003345F0" w:rsidP="003345F0">
            <w:pPr>
              <w:spacing w:after="0" w:line="259" w:lineRule="auto"/>
              <w:ind w:left="0" w:right="44" w:firstLine="0"/>
              <w:jc w:val="center"/>
              <w:rPr>
                <w:sz w:val="18"/>
              </w:rPr>
            </w:pPr>
            <w:r>
              <w:rPr>
                <w:sz w:val="18"/>
              </w:rPr>
              <w:t>660</w:t>
            </w:r>
          </w:p>
        </w:tc>
        <w:tc>
          <w:tcPr>
            <w:tcW w:w="997" w:type="dxa"/>
            <w:tcBorders>
              <w:top w:val="single" w:sz="4" w:space="0" w:color="000000"/>
              <w:left w:val="single" w:sz="12" w:space="0" w:color="000000"/>
              <w:bottom w:val="single" w:sz="4" w:space="0" w:color="000000"/>
              <w:right w:val="single" w:sz="12" w:space="0" w:color="000000"/>
            </w:tcBorders>
          </w:tcPr>
          <w:p w14:paraId="0BA5891B" w14:textId="7B6830E4" w:rsidR="003345F0" w:rsidRDefault="003345F0" w:rsidP="003345F0">
            <w:pPr>
              <w:spacing w:after="0" w:line="259" w:lineRule="auto"/>
              <w:ind w:left="0" w:right="44" w:firstLine="0"/>
              <w:jc w:val="center"/>
              <w:rPr>
                <w:rFonts w:eastAsia="Segoe UI Symbol"/>
                <w:sz w:val="18"/>
              </w:rPr>
            </w:pPr>
            <w:r>
              <w:rPr>
                <w:rFonts w:eastAsia="Segoe UI Symbol"/>
                <w:sz w:val="18"/>
              </w:rPr>
              <w:t>u</w:t>
            </w:r>
            <w:r>
              <w:rPr>
                <w:sz w:val="18"/>
              </w:rPr>
              <w:t>g/kg</w:t>
            </w:r>
          </w:p>
        </w:tc>
        <w:tc>
          <w:tcPr>
            <w:tcW w:w="1029" w:type="dxa"/>
            <w:tcBorders>
              <w:top w:val="single" w:sz="4" w:space="0" w:color="000000"/>
              <w:left w:val="single" w:sz="12" w:space="0" w:color="000000"/>
              <w:bottom w:val="single" w:sz="4" w:space="0" w:color="000000"/>
              <w:right w:val="single" w:sz="12" w:space="0" w:color="000000"/>
            </w:tcBorders>
          </w:tcPr>
          <w:p w14:paraId="6889966A" w14:textId="672892DC" w:rsidR="003345F0" w:rsidRDefault="003345F0" w:rsidP="003345F0">
            <w:pPr>
              <w:spacing w:after="0" w:line="259" w:lineRule="auto"/>
              <w:ind w:left="0" w:right="46" w:firstLine="0"/>
              <w:jc w:val="center"/>
              <w:rPr>
                <w:b/>
                <w:sz w:val="18"/>
              </w:rPr>
            </w:pPr>
            <w:r>
              <w:rPr>
                <w:b/>
                <w:sz w:val="18"/>
              </w:rPr>
              <w:t>8270</w:t>
            </w:r>
          </w:p>
        </w:tc>
        <w:tc>
          <w:tcPr>
            <w:tcW w:w="1592" w:type="dxa"/>
            <w:tcBorders>
              <w:top w:val="single" w:sz="4" w:space="0" w:color="000000"/>
              <w:left w:val="single" w:sz="12" w:space="0" w:color="000000"/>
              <w:bottom w:val="single" w:sz="4" w:space="0" w:color="000000"/>
              <w:right w:val="single" w:sz="12" w:space="0" w:color="000000"/>
            </w:tcBorders>
          </w:tcPr>
          <w:p w14:paraId="015C56E6" w14:textId="1A9701D4" w:rsidR="003345F0" w:rsidRPr="00313985" w:rsidRDefault="003345F0" w:rsidP="003345F0">
            <w:pPr>
              <w:spacing w:after="0" w:line="259" w:lineRule="auto"/>
              <w:ind w:left="0" w:right="49" w:firstLine="0"/>
              <w:jc w:val="center"/>
              <w:rPr>
                <w:sz w:val="18"/>
                <w:szCs w:val="18"/>
              </w:rPr>
            </w:pPr>
            <w:r w:rsidRPr="00313985">
              <w:rPr>
                <w:sz w:val="18"/>
                <w:szCs w:val="18"/>
              </w:rPr>
              <w:t>8270 SIM</w:t>
            </w:r>
          </w:p>
        </w:tc>
      </w:tr>
      <w:tr w:rsidR="003345F0" w14:paraId="7E93FF49" w14:textId="77777777" w:rsidTr="00324798">
        <w:trPr>
          <w:trHeight w:val="259"/>
        </w:trPr>
        <w:tc>
          <w:tcPr>
            <w:tcW w:w="3372" w:type="dxa"/>
            <w:tcBorders>
              <w:top w:val="single" w:sz="4" w:space="0" w:color="000000"/>
              <w:left w:val="single" w:sz="12" w:space="0" w:color="000000"/>
              <w:bottom w:val="single" w:sz="4" w:space="0" w:color="000000"/>
              <w:right w:val="single" w:sz="12" w:space="0" w:color="000000"/>
            </w:tcBorders>
          </w:tcPr>
          <w:p w14:paraId="1DBEE86A" w14:textId="0EB59393" w:rsidR="003345F0" w:rsidRDefault="003345F0" w:rsidP="003345F0">
            <w:pPr>
              <w:spacing w:after="0" w:line="259" w:lineRule="auto"/>
              <w:ind w:left="0" w:right="0" w:firstLine="0"/>
              <w:rPr>
                <w:sz w:val="18"/>
              </w:rPr>
            </w:pPr>
            <w:r>
              <w:rPr>
                <w:sz w:val="18"/>
              </w:rPr>
              <w:t>Pentachlorophenol</w:t>
            </w:r>
            <w:r>
              <w:rPr>
                <w:b/>
                <w:sz w:val="18"/>
                <w:vertAlign w:val="superscript"/>
              </w:rPr>
              <w:t xml:space="preserve"> 23</w:t>
            </w:r>
          </w:p>
        </w:tc>
        <w:tc>
          <w:tcPr>
            <w:tcW w:w="1130" w:type="dxa"/>
            <w:tcBorders>
              <w:top w:val="single" w:sz="4" w:space="0" w:color="000000"/>
              <w:left w:val="single" w:sz="12" w:space="0" w:color="000000"/>
              <w:bottom w:val="single" w:sz="4" w:space="0" w:color="000000"/>
              <w:right w:val="single" w:sz="12" w:space="0" w:color="000000"/>
            </w:tcBorders>
          </w:tcPr>
          <w:p w14:paraId="3FE6F656" w14:textId="2E2DD7D1" w:rsidR="003345F0" w:rsidRDefault="003345F0" w:rsidP="003345F0">
            <w:pPr>
              <w:spacing w:after="0" w:line="259" w:lineRule="auto"/>
              <w:ind w:left="0" w:right="44" w:firstLine="0"/>
              <w:jc w:val="center"/>
              <w:rPr>
                <w:sz w:val="18"/>
              </w:rPr>
            </w:pPr>
            <w:r>
              <w:rPr>
                <w:sz w:val="18"/>
              </w:rPr>
              <w:t>87-86-5</w:t>
            </w:r>
          </w:p>
        </w:tc>
        <w:tc>
          <w:tcPr>
            <w:tcW w:w="866" w:type="dxa"/>
            <w:tcBorders>
              <w:top w:val="single" w:sz="4" w:space="0" w:color="000000"/>
              <w:left w:val="single" w:sz="12" w:space="0" w:color="000000"/>
              <w:bottom w:val="single" w:sz="4" w:space="0" w:color="000000"/>
              <w:right w:val="single" w:sz="12" w:space="0" w:color="000000"/>
            </w:tcBorders>
          </w:tcPr>
          <w:p w14:paraId="1A851431" w14:textId="67F22A37" w:rsidR="003345F0" w:rsidRDefault="003345F0" w:rsidP="003345F0">
            <w:pPr>
              <w:spacing w:after="0" w:line="259" w:lineRule="auto"/>
              <w:ind w:left="0" w:right="46" w:firstLine="0"/>
              <w:jc w:val="center"/>
              <w:rPr>
                <w:sz w:val="18"/>
              </w:rPr>
            </w:pPr>
            <w:r>
              <w:rPr>
                <w:sz w:val="18"/>
              </w:rPr>
              <w:t>50</w:t>
            </w:r>
          </w:p>
        </w:tc>
        <w:tc>
          <w:tcPr>
            <w:tcW w:w="816" w:type="dxa"/>
            <w:tcBorders>
              <w:top w:val="single" w:sz="4" w:space="0" w:color="000000"/>
              <w:left w:val="single" w:sz="12" w:space="0" w:color="000000"/>
              <w:bottom w:val="single" w:sz="4" w:space="0" w:color="000000"/>
              <w:right w:val="single" w:sz="12" w:space="0" w:color="000000"/>
            </w:tcBorders>
          </w:tcPr>
          <w:p w14:paraId="7E645232" w14:textId="2FBD3070" w:rsidR="003345F0" w:rsidRDefault="003345F0" w:rsidP="003345F0">
            <w:pPr>
              <w:spacing w:after="0" w:line="259" w:lineRule="auto"/>
              <w:ind w:left="0" w:right="46" w:firstLine="0"/>
              <w:jc w:val="center"/>
              <w:rPr>
                <w:sz w:val="18"/>
              </w:rPr>
            </w:pPr>
            <w:r>
              <w:rPr>
                <w:sz w:val="18"/>
              </w:rPr>
              <w:t>ug/L</w:t>
            </w:r>
          </w:p>
        </w:tc>
        <w:tc>
          <w:tcPr>
            <w:tcW w:w="818" w:type="dxa"/>
            <w:tcBorders>
              <w:top w:val="single" w:sz="4" w:space="0" w:color="000000"/>
              <w:left w:val="single" w:sz="12" w:space="0" w:color="000000"/>
              <w:bottom w:val="single" w:sz="4" w:space="0" w:color="000000"/>
              <w:right w:val="single" w:sz="12" w:space="0" w:color="000000"/>
            </w:tcBorders>
          </w:tcPr>
          <w:p w14:paraId="69B2436B" w14:textId="07F8056B" w:rsidR="003345F0" w:rsidRDefault="003345F0" w:rsidP="003345F0">
            <w:pPr>
              <w:spacing w:after="0" w:line="259" w:lineRule="auto"/>
              <w:ind w:left="0" w:right="44" w:firstLine="0"/>
              <w:jc w:val="center"/>
              <w:rPr>
                <w:sz w:val="18"/>
              </w:rPr>
            </w:pPr>
            <w:r>
              <w:rPr>
                <w:sz w:val="18"/>
              </w:rPr>
              <w:t>3300</w:t>
            </w:r>
          </w:p>
        </w:tc>
        <w:tc>
          <w:tcPr>
            <w:tcW w:w="997" w:type="dxa"/>
            <w:tcBorders>
              <w:top w:val="single" w:sz="4" w:space="0" w:color="000000"/>
              <w:left w:val="single" w:sz="12" w:space="0" w:color="000000"/>
              <w:bottom w:val="single" w:sz="4" w:space="0" w:color="000000"/>
              <w:right w:val="single" w:sz="12" w:space="0" w:color="000000"/>
            </w:tcBorders>
          </w:tcPr>
          <w:p w14:paraId="76D1586D" w14:textId="50F48D59" w:rsidR="003345F0" w:rsidRDefault="003345F0" w:rsidP="003345F0">
            <w:pPr>
              <w:spacing w:after="0" w:line="259" w:lineRule="auto"/>
              <w:ind w:left="0" w:right="44" w:firstLine="0"/>
              <w:jc w:val="center"/>
              <w:rPr>
                <w:rFonts w:eastAsia="Segoe UI Symbol"/>
                <w:sz w:val="18"/>
              </w:rPr>
            </w:pPr>
            <w:r>
              <w:rPr>
                <w:rFonts w:eastAsia="Segoe UI Symbol"/>
                <w:sz w:val="18"/>
              </w:rPr>
              <w:t>u</w:t>
            </w:r>
            <w:r>
              <w:rPr>
                <w:sz w:val="18"/>
              </w:rPr>
              <w:t>g/kg</w:t>
            </w:r>
          </w:p>
        </w:tc>
        <w:tc>
          <w:tcPr>
            <w:tcW w:w="1029" w:type="dxa"/>
            <w:tcBorders>
              <w:top w:val="single" w:sz="4" w:space="0" w:color="000000"/>
              <w:left w:val="single" w:sz="12" w:space="0" w:color="000000"/>
              <w:bottom w:val="single" w:sz="4" w:space="0" w:color="000000"/>
              <w:right w:val="single" w:sz="12" w:space="0" w:color="000000"/>
            </w:tcBorders>
          </w:tcPr>
          <w:p w14:paraId="583A57C4" w14:textId="50DF6101" w:rsidR="003345F0" w:rsidRDefault="003345F0" w:rsidP="003345F0">
            <w:pPr>
              <w:spacing w:after="0" w:line="259" w:lineRule="auto"/>
              <w:ind w:left="0" w:right="46" w:firstLine="0"/>
              <w:jc w:val="center"/>
              <w:rPr>
                <w:b/>
                <w:sz w:val="18"/>
              </w:rPr>
            </w:pPr>
            <w:r>
              <w:rPr>
                <w:b/>
                <w:sz w:val="18"/>
              </w:rPr>
              <w:t>8270</w:t>
            </w:r>
          </w:p>
        </w:tc>
        <w:tc>
          <w:tcPr>
            <w:tcW w:w="1592" w:type="dxa"/>
            <w:tcBorders>
              <w:top w:val="single" w:sz="4" w:space="0" w:color="000000"/>
              <w:left w:val="single" w:sz="12" w:space="0" w:color="000000"/>
              <w:bottom w:val="single" w:sz="4" w:space="0" w:color="000000"/>
              <w:right w:val="single" w:sz="12" w:space="0" w:color="000000"/>
            </w:tcBorders>
          </w:tcPr>
          <w:p w14:paraId="5145D1F2" w14:textId="24993CC1" w:rsidR="003345F0" w:rsidRPr="00313985" w:rsidRDefault="003345F0" w:rsidP="003345F0">
            <w:pPr>
              <w:spacing w:after="0" w:line="259" w:lineRule="auto"/>
              <w:ind w:left="0" w:right="49" w:firstLine="0"/>
              <w:jc w:val="center"/>
              <w:rPr>
                <w:sz w:val="18"/>
                <w:szCs w:val="18"/>
              </w:rPr>
            </w:pPr>
            <w:r w:rsidRPr="00313985">
              <w:rPr>
                <w:sz w:val="18"/>
                <w:szCs w:val="18"/>
              </w:rPr>
              <w:t>8270 SIM</w:t>
            </w:r>
          </w:p>
        </w:tc>
      </w:tr>
      <w:tr w:rsidR="003345F0" w14:paraId="7A5568EF" w14:textId="77777777" w:rsidTr="00324798">
        <w:trPr>
          <w:trHeight w:val="259"/>
        </w:trPr>
        <w:tc>
          <w:tcPr>
            <w:tcW w:w="3372" w:type="dxa"/>
            <w:tcBorders>
              <w:top w:val="single" w:sz="4" w:space="0" w:color="000000"/>
              <w:left w:val="single" w:sz="12" w:space="0" w:color="000000"/>
              <w:bottom w:val="single" w:sz="4" w:space="0" w:color="000000"/>
              <w:right w:val="single" w:sz="12" w:space="0" w:color="000000"/>
            </w:tcBorders>
          </w:tcPr>
          <w:p w14:paraId="0040BE21" w14:textId="39A785C5" w:rsidR="003345F0" w:rsidRDefault="003345F0" w:rsidP="003345F0">
            <w:pPr>
              <w:spacing w:after="0" w:line="259" w:lineRule="auto"/>
              <w:ind w:left="0" w:right="0" w:firstLine="0"/>
              <w:rPr>
                <w:sz w:val="18"/>
              </w:rPr>
            </w:pPr>
            <w:r>
              <w:rPr>
                <w:sz w:val="18"/>
              </w:rPr>
              <w:t xml:space="preserve">Phenanthrene </w:t>
            </w:r>
          </w:p>
        </w:tc>
        <w:tc>
          <w:tcPr>
            <w:tcW w:w="1130" w:type="dxa"/>
            <w:tcBorders>
              <w:top w:val="single" w:sz="4" w:space="0" w:color="000000"/>
              <w:left w:val="single" w:sz="12" w:space="0" w:color="000000"/>
              <w:bottom w:val="single" w:sz="4" w:space="0" w:color="000000"/>
              <w:right w:val="single" w:sz="12" w:space="0" w:color="000000"/>
            </w:tcBorders>
          </w:tcPr>
          <w:p w14:paraId="4ECA9C07" w14:textId="25BC8657" w:rsidR="003345F0" w:rsidRDefault="003345F0" w:rsidP="003345F0">
            <w:pPr>
              <w:spacing w:after="0" w:line="259" w:lineRule="auto"/>
              <w:ind w:left="0" w:right="44" w:firstLine="0"/>
              <w:jc w:val="center"/>
              <w:rPr>
                <w:sz w:val="18"/>
              </w:rPr>
            </w:pPr>
            <w:r>
              <w:rPr>
                <w:sz w:val="18"/>
              </w:rPr>
              <w:t>85-01-8</w:t>
            </w:r>
          </w:p>
        </w:tc>
        <w:tc>
          <w:tcPr>
            <w:tcW w:w="866" w:type="dxa"/>
            <w:tcBorders>
              <w:top w:val="single" w:sz="4" w:space="0" w:color="000000"/>
              <w:left w:val="single" w:sz="12" w:space="0" w:color="000000"/>
              <w:bottom w:val="single" w:sz="4" w:space="0" w:color="000000"/>
              <w:right w:val="single" w:sz="12" w:space="0" w:color="000000"/>
            </w:tcBorders>
          </w:tcPr>
          <w:p w14:paraId="4DD0A08B" w14:textId="70F45035" w:rsidR="003345F0" w:rsidRDefault="003345F0" w:rsidP="003345F0">
            <w:pPr>
              <w:spacing w:after="0" w:line="259" w:lineRule="auto"/>
              <w:ind w:left="0" w:right="46" w:firstLine="0"/>
              <w:jc w:val="center"/>
              <w:rPr>
                <w:sz w:val="18"/>
              </w:rPr>
            </w:pPr>
            <w:r>
              <w:rPr>
                <w:sz w:val="18"/>
              </w:rPr>
              <w:t>10</w:t>
            </w:r>
          </w:p>
        </w:tc>
        <w:tc>
          <w:tcPr>
            <w:tcW w:w="816" w:type="dxa"/>
            <w:tcBorders>
              <w:top w:val="single" w:sz="4" w:space="0" w:color="000000"/>
              <w:left w:val="single" w:sz="12" w:space="0" w:color="000000"/>
              <w:bottom w:val="single" w:sz="4" w:space="0" w:color="000000"/>
              <w:right w:val="single" w:sz="12" w:space="0" w:color="000000"/>
            </w:tcBorders>
          </w:tcPr>
          <w:p w14:paraId="57ABE137" w14:textId="4C7A835C" w:rsidR="003345F0" w:rsidRDefault="003345F0" w:rsidP="003345F0">
            <w:pPr>
              <w:spacing w:after="0" w:line="259" w:lineRule="auto"/>
              <w:ind w:left="0" w:right="46" w:firstLine="0"/>
              <w:jc w:val="center"/>
              <w:rPr>
                <w:sz w:val="18"/>
              </w:rPr>
            </w:pPr>
            <w:r>
              <w:rPr>
                <w:sz w:val="18"/>
              </w:rPr>
              <w:t>ug/L</w:t>
            </w:r>
          </w:p>
        </w:tc>
        <w:tc>
          <w:tcPr>
            <w:tcW w:w="818" w:type="dxa"/>
            <w:tcBorders>
              <w:top w:val="single" w:sz="4" w:space="0" w:color="000000"/>
              <w:left w:val="single" w:sz="12" w:space="0" w:color="000000"/>
              <w:bottom w:val="single" w:sz="4" w:space="0" w:color="000000"/>
              <w:right w:val="single" w:sz="12" w:space="0" w:color="000000"/>
            </w:tcBorders>
          </w:tcPr>
          <w:p w14:paraId="77EBEA52" w14:textId="21CA25F0" w:rsidR="003345F0" w:rsidRDefault="003345F0" w:rsidP="003345F0">
            <w:pPr>
              <w:spacing w:after="0" w:line="259" w:lineRule="auto"/>
              <w:ind w:left="0" w:right="44" w:firstLine="0"/>
              <w:jc w:val="center"/>
              <w:rPr>
                <w:sz w:val="18"/>
              </w:rPr>
            </w:pPr>
            <w:r>
              <w:rPr>
                <w:sz w:val="18"/>
              </w:rPr>
              <w:t>660</w:t>
            </w:r>
          </w:p>
        </w:tc>
        <w:tc>
          <w:tcPr>
            <w:tcW w:w="997" w:type="dxa"/>
            <w:tcBorders>
              <w:top w:val="single" w:sz="4" w:space="0" w:color="000000"/>
              <w:left w:val="single" w:sz="12" w:space="0" w:color="000000"/>
              <w:bottom w:val="single" w:sz="4" w:space="0" w:color="000000"/>
              <w:right w:val="single" w:sz="12" w:space="0" w:color="000000"/>
            </w:tcBorders>
          </w:tcPr>
          <w:p w14:paraId="308948D8" w14:textId="7A432823" w:rsidR="003345F0" w:rsidRDefault="003345F0" w:rsidP="003345F0">
            <w:pPr>
              <w:spacing w:after="0" w:line="259" w:lineRule="auto"/>
              <w:ind w:left="0" w:right="44" w:firstLine="0"/>
              <w:jc w:val="center"/>
              <w:rPr>
                <w:rFonts w:eastAsia="Segoe UI Symbol"/>
                <w:sz w:val="18"/>
              </w:rPr>
            </w:pPr>
            <w:r>
              <w:rPr>
                <w:rFonts w:eastAsia="Segoe UI Symbol"/>
                <w:sz w:val="18"/>
              </w:rPr>
              <w:t>u</w:t>
            </w:r>
            <w:r>
              <w:rPr>
                <w:sz w:val="18"/>
              </w:rPr>
              <w:t>g/kg</w:t>
            </w:r>
          </w:p>
        </w:tc>
        <w:tc>
          <w:tcPr>
            <w:tcW w:w="1029" w:type="dxa"/>
            <w:tcBorders>
              <w:top w:val="single" w:sz="4" w:space="0" w:color="000000"/>
              <w:left w:val="single" w:sz="12" w:space="0" w:color="000000"/>
              <w:bottom w:val="single" w:sz="4" w:space="0" w:color="000000"/>
              <w:right w:val="single" w:sz="12" w:space="0" w:color="000000"/>
            </w:tcBorders>
          </w:tcPr>
          <w:p w14:paraId="1DBC6674" w14:textId="631E3CB4" w:rsidR="003345F0" w:rsidRDefault="003345F0" w:rsidP="003345F0">
            <w:pPr>
              <w:spacing w:after="0" w:line="259" w:lineRule="auto"/>
              <w:ind w:left="0" w:right="46" w:firstLine="0"/>
              <w:jc w:val="center"/>
              <w:rPr>
                <w:b/>
                <w:sz w:val="18"/>
              </w:rPr>
            </w:pPr>
            <w:r>
              <w:rPr>
                <w:b/>
                <w:sz w:val="18"/>
              </w:rPr>
              <w:t>8270</w:t>
            </w:r>
          </w:p>
        </w:tc>
        <w:tc>
          <w:tcPr>
            <w:tcW w:w="1592" w:type="dxa"/>
            <w:tcBorders>
              <w:top w:val="single" w:sz="4" w:space="0" w:color="000000"/>
              <w:left w:val="single" w:sz="12" w:space="0" w:color="000000"/>
              <w:bottom w:val="single" w:sz="4" w:space="0" w:color="000000"/>
              <w:right w:val="single" w:sz="12" w:space="0" w:color="000000"/>
            </w:tcBorders>
          </w:tcPr>
          <w:p w14:paraId="5FB33DC4" w14:textId="0E221B55" w:rsidR="003345F0" w:rsidRPr="00313985" w:rsidRDefault="003345F0" w:rsidP="003345F0">
            <w:pPr>
              <w:spacing w:after="0" w:line="259" w:lineRule="auto"/>
              <w:ind w:left="0" w:right="49" w:firstLine="0"/>
              <w:jc w:val="center"/>
              <w:rPr>
                <w:sz w:val="18"/>
                <w:szCs w:val="18"/>
              </w:rPr>
            </w:pPr>
            <w:r w:rsidRPr="00BE29AB">
              <w:rPr>
                <w:sz w:val="18"/>
                <w:szCs w:val="18"/>
              </w:rPr>
              <w:t>8310</w:t>
            </w:r>
            <w:r>
              <w:rPr>
                <w:sz w:val="18"/>
                <w:szCs w:val="18"/>
              </w:rPr>
              <w:t xml:space="preserve">, </w:t>
            </w:r>
            <w:r w:rsidRPr="002D0659">
              <w:rPr>
                <w:sz w:val="18"/>
                <w:szCs w:val="18"/>
              </w:rPr>
              <w:t>8270 SIM</w:t>
            </w:r>
          </w:p>
        </w:tc>
      </w:tr>
      <w:tr w:rsidR="003345F0" w14:paraId="0C3D0039" w14:textId="77777777" w:rsidTr="00324798">
        <w:trPr>
          <w:trHeight w:val="259"/>
        </w:trPr>
        <w:tc>
          <w:tcPr>
            <w:tcW w:w="3372" w:type="dxa"/>
            <w:tcBorders>
              <w:top w:val="single" w:sz="4" w:space="0" w:color="000000"/>
              <w:left w:val="single" w:sz="12" w:space="0" w:color="000000"/>
              <w:bottom w:val="single" w:sz="4" w:space="0" w:color="000000"/>
              <w:right w:val="single" w:sz="12" w:space="0" w:color="000000"/>
            </w:tcBorders>
          </w:tcPr>
          <w:p w14:paraId="061233FF" w14:textId="4A1A01F6" w:rsidR="003345F0" w:rsidRDefault="003345F0" w:rsidP="003345F0">
            <w:pPr>
              <w:spacing w:after="0" w:line="259" w:lineRule="auto"/>
              <w:ind w:left="0" w:right="0" w:firstLine="0"/>
              <w:rPr>
                <w:sz w:val="18"/>
              </w:rPr>
            </w:pPr>
            <w:r>
              <w:rPr>
                <w:sz w:val="18"/>
              </w:rPr>
              <w:t xml:space="preserve">Phenol </w:t>
            </w:r>
          </w:p>
        </w:tc>
        <w:tc>
          <w:tcPr>
            <w:tcW w:w="1130" w:type="dxa"/>
            <w:tcBorders>
              <w:top w:val="single" w:sz="4" w:space="0" w:color="000000"/>
              <w:left w:val="single" w:sz="12" w:space="0" w:color="000000"/>
              <w:bottom w:val="single" w:sz="4" w:space="0" w:color="000000"/>
              <w:right w:val="single" w:sz="12" w:space="0" w:color="000000"/>
            </w:tcBorders>
          </w:tcPr>
          <w:p w14:paraId="0361784F" w14:textId="1A0BC166" w:rsidR="003345F0" w:rsidRDefault="003345F0" w:rsidP="003345F0">
            <w:pPr>
              <w:spacing w:after="0" w:line="259" w:lineRule="auto"/>
              <w:ind w:left="0" w:right="44" w:firstLine="0"/>
              <w:jc w:val="center"/>
              <w:rPr>
                <w:sz w:val="18"/>
              </w:rPr>
            </w:pPr>
            <w:r>
              <w:rPr>
                <w:sz w:val="18"/>
              </w:rPr>
              <w:t>108-95-2</w:t>
            </w:r>
          </w:p>
        </w:tc>
        <w:tc>
          <w:tcPr>
            <w:tcW w:w="866" w:type="dxa"/>
            <w:tcBorders>
              <w:top w:val="single" w:sz="4" w:space="0" w:color="000000"/>
              <w:left w:val="single" w:sz="12" w:space="0" w:color="000000"/>
              <w:bottom w:val="single" w:sz="4" w:space="0" w:color="000000"/>
              <w:right w:val="single" w:sz="12" w:space="0" w:color="000000"/>
            </w:tcBorders>
          </w:tcPr>
          <w:p w14:paraId="4D512ACB" w14:textId="7C6AB2F3" w:rsidR="003345F0" w:rsidRDefault="003345F0" w:rsidP="003345F0">
            <w:pPr>
              <w:spacing w:after="0" w:line="259" w:lineRule="auto"/>
              <w:ind w:left="0" w:right="46" w:firstLine="0"/>
              <w:jc w:val="center"/>
              <w:rPr>
                <w:sz w:val="18"/>
              </w:rPr>
            </w:pPr>
            <w:r>
              <w:rPr>
                <w:sz w:val="18"/>
              </w:rPr>
              <w:t>10</w:t>
            </w:r>
          </w:p>
        </w:tc>
        <w:tc>
          <w:tcPr>
            <w:tcW w:w="816" w:type="dxa"/>
            <w:tcBorders>
              <w:top w:val="single" w:sz="4" w:space="0" w:color="000000"/>
              <w:left w:val="single" w:sz="12" w:space="0" w:color="000000"/>
              <w:bottom w:val="single" w:sz="4" w:space="0" w:color="000000"/>
              <w:right w:val="single" w:sz="12" w:space="0" w:color="000000"/>
            </w:tcBorders>
          </w:tcPr>
          <w:p w14:paraId="3DE37B26" w14:textId="50073122" w:rsidR="003345F0" w:rsidRDefault="003345F0" w:rsidP="003345F0">
            <w:pPr>
              <w:spacing w:after="0" w:line="259" w:lineRule="auto"/>
              <w:ind w:left="0" w:right="46" w:firstLine="0"/>
              <w:jc w:val="center"/>
              <w:rPr>
                <w:sz w:val="18"/>
              </w:rPr>
            </w:pPr>
            <w:r>
              <w:rPr>
                <w:sz w:val="18"/>
              </w:rPr>
              <w:t>ug/L</w:t>
            </w:r>
          </w:p>
        </w:tc>
        <w:tc>
          <w:tcPr>
            <w:tcW w:w="818" w:type="dxa"/>
            <w:tcBorders>
              <w:top w:val="single" w:sz="4" w:space="0" w:color="000000"/>
              <w:left w:val="single" w:sz="12" w:space="0" w:color="000000"/>
              <w:bottom w:val="single" w:sz="4" w:space="0" w:color="000000"/>
              <w:right w:val="single" w:sz="12" w:space="0" w:color="000000"/>
            </w:tcBorders>
          </w:tcPr>
          <w:p w14:paraId="5AF82CA1" w14:textId="4E5D4C37" w:rsidR="003345F0" w:rsidRDefault="003345F0" w:rsidP="003345F0">
            <w:pPr>
              <w:spacing w:after="0" w:line="259" w:lineRule="auto"/>
              <w:ind w:left="0" w:right="44" w:firstLine="0"/>
              <w:jc w:val="center"/>
              <w:rPr>
                <w:sz w:val="18"/>
              </w:rPr>
            </w:pPr>
            <w:r>
              <w:rPr>
                <w:sz w:val="18"/>
              </w:rPr>
              <w:t>660</w:t>
            </w:r>
          </w:p>
        </w:tc>
        <w:tc>
          <w:tcPr>
            <w:tcW w:w="997" w:type="dxa"/>
            <w:tcBorders>
              <w:top w:val="single" w:sz="4" w:space="0" w:color="000000"/>
              <w:left w:val="single" w:sz="12" w:space="0" w:color="000000"/>
              <w:bottom w:val="single" w:sz="4" w:space="0" w:color="000000"/>
              <w:right w:val="single" w:sz="12" w:space="0" w:color="000000"/>
            </w:tcBorders>
          </w:tcPr>
          <w:p w14:paraId="7DD515CB" w14:textId="4621E3A7" w:rsidR="003345F0" w:rsidRDefault="003345F0" w:rsidP="003345F0">
            <w:pPr>
              <w:spacing w:after="0" w:line="259" w:lineRule="auto"/>
              <w:ind w:left="0" w:right="44" w:firstLine="0"/>
              <w:jc w:val="center"/>
              <w:rPr>
                <w:rFonts w:eastAsia="Segoe UI Symbol"/>
                <w:sz w:val="18"/>
              </w:rPr>
            </w:pPr>
            <w:r>
              <w:rPr>
                <w:rFonts w:eastAsia="Segoe UI Symbol"/>
                <w:sz w:val="18"/>
              </w:rPr>
              <w:t>u</w:t>
            </w:r>
            <w:r>
              <w:rPr>
                <w:sz w:val="18"/>
              </w:rPr>
              <w:t>g/kg</w:t>
            </w:r>
          </w:p>
        </w:tc>
        <w:tc>
          <w:tcPr>
            <w:tcW w:w="1029" w:type="dxa"/>
            <w:tcBorders>
              <w:top w:val="single" w:sz="4" w:space="0" w:color="000000"/>
              <w:left w:val="single" w:sz="12" w:space="0" w:color="000000"/>
              <w:bottom w:val="single" w:sz="4" w:space="0" w:color="000000"/>
              <w:right w:val="single" w:sz="12" w:space="0" w:color="000000"/>
            </w:tcBorders>
          </w:tcPr>
          <w:p w14:paraId="72B20FDE" w14:textId="6C41AB20" w:rsidR="003345F0" w:rsidRDefault="003345F0" w:rsidP="003345F0">
            <w:pPr>
              <w:spacing w:after="0" w:line="259" w:lineRule="auto"/>
              <w:ind w:left="0" w:right="46" w:firstLine="0"/>
              <w:jc w:val="center"/>
              <w:rPr>
                <w:b/>
                <w:sz w:val="18"/>
              </w:rPr>
            </w:pPr>
            <w:r>
              <w:rPr>
                <w:b/>
                <w:sz w:val="18"/>
              </w:rPr>
              <w:t>8270</w:t>
            </w:r>
          </w:p>
        </w:tc>
        <w:tc>
          <w:tcPr>
            <w:tcW w:w="1592" w:type="dxa"/>
            <w:tcBorders>
              <w:top w:val="single" w:sz="4" w:space="0" w:color="000000"/>
              <w:left w:val="single" w:sz="12" w:space="0" w:color="000000"/>
              <w:bottom w:val="single" w:sz="4" w:space="0" w:color="000000"/>
              <w:right w:val="single" w:sz="12" w:space="0" w:color="000000"/>
            </w:tcBorders>
          </w:tcPr>
          <w:p w14:paraId="3417B30E" w14:textId="06F94310" w:rsidR="003345F0" w:rsidRPr="00BE29AB" w:rsidRDefault="003345F0" w:rsidP="003345F0">
            <w:pPr>
              <w:spacing w:after="0" w:line="259" w:lineRule="auto"/>
              <w:ind w:left="0" w:right="49" w:firstLine="0"/>
              <w:jc w:val="center"/>
              <w:rPr>
                <w:sz w:val="18"/>
                <w:szCs w:val="18"/>
              </w:rPr>
            </w:pPr>
            <w:r w:rsidRPr="002D0659">
              <w:rPr>
                <w:sz w:val="18"/>
                <w:szCs w:val="18"/>
              </w:rPr>
              <w:t>8270 SIM</w:t>
            </w:r>
          </w:p>
        </w:tc>
      </w:tr>
      <w:tr w:rsidR="003345F0" w14:paraId="04CFA9AA" w14:textId="77777777" w:rsidTr="00324798">
        <w:trPr>
          <w:trHeight w:val="259"/>
        </w:trPr>
        <w:tc>
          <w:tcPr>
            <w:tcW w:w="3372" w:type="dxa"/>
            <w:tcBorders>
              <w:top w:val="single" w:sz="4" w:space="0" w:color="000000"/>
              <w:left w:val="single" w:sz="12" w:space="0" w:color="000000"/>
              <w:bottom w:val="single" w:sz="4" w:space="0" w:color="000000"/>
              <w:right w:val="single" w:sz="12" w:space="0" w:color="000000"/>
            </w:tcBorders>
          </w:tcPr>
          <w:p w14:paraId="64E791DD" w14:textId="2DAC8AAB" w:rsidR="003345F0" w:rsidRDefault="003345F0" w:rsidP="003345F0">
            <w:pPr>
              <w:spacing w:after="0" w:line="259" w:lineRule="auto"/>
              <w:ind w:left="0" w:right="0" w:firstLine="0"/>
              <w:rPr>
                <w:sz w:val="18"/>
              </w:rPr>
            </w:pPr>
            <w:r>
              <w:rPr>
                <w:sz w:val="18"/>
              </w:rPr>
              <w:t xml:space="preserve">Pyrene </w:t>
            </w:r>
          </w:p>
        </w:tc>
        <w:tc>
          <w:tcPr>
            <w:tcW w:w="1130" w:type="dxa"/>
            <w:tcBorders>
              <w:top w:val="single" w:sz="4" w:space="0" w:color="000000"/>
              <w:left w:val="single" w:sz="12" w:space="0" w:color="000000"/>
              <w:bottom w:val="single" w:sz="4" w:space="0" w:color="000000"/>
              <w:right w:val="single" w:sz="12" w:space="0" w:color="000000"/>
            </w:tcBorders>
          </w:tcPr>
          <w:p w14:paraId="22D3CA84" w14:textId="2E4EDFF7" w:rsidR="003345F0" w:rsidRDefault="003345F0" w:rsidP="003345F0">
            <w:pPr>
              <w:spacing w:after="0" w:line="259" w:lineRule="auto"/>
              <w:ind w:left="0" w:right="44" w:firstLine="0"/>
              <w:jc w:val="center"/>
              <w:rPr>
                <w:sz w:val="18"/>
              </w:rPr>
            </w:pPr>
            <w:r>
              <w:rPr>
                <w:sz w:val="18"/>
              </w:rPr>
              <w:t>129-00-0</w:t>
            </w:r>
          </w:p>
        </w:tc>
        <w:tc>
          <w:tcPr>
            <w:tcW w:w="866" w:type="dxa"/>
            <w:tcBorders>
              <w:top w:val="single" w:sz="4" w:space="0" w:color="000000"/>
              <w:left w:val="single" w:sz="12" w:space="0" w:color="000000"/>
              <w:bottom w:val="single" w:sz="4" w:space="0" w:color="000000"/>
              <w:right w:val="single" w:sz="12" w:space="0" w:color="000000"/>
            </w:tcBorders>
          </w:tcPr>
          <w:p w14:paraId="320CEDC4" w14:textId="5F45E306" w:rsidR="003345F0" w:rsidRDefault="003345F0" w:rsidP="003345F0">
            <w:pPr>
              <w:spacing w:after="0" w:line="259" w:lineRule="auto"/>
              <w:ind w:left="0" w:right="46" w:firstLine="0"/>
              <w:jc w:val="center"/>
              <w:rPr>
                <w:sz w:val="18"/>
              </w:rPr>
            </w:pPr>
            <w:r>
              <w:rPr>
                <w:sz w:val="18"/>
              </w:rPr>
              <w:t>10</w:t>
            </w:r>
          </w:p>
        </w:tc>
        <w:tc>
          <w:tcPr>
            <w:tcW w:w="816" w:type="dxa"/>
            <w:tcBorders>
              <w:top w:val="single" w:sz="4" w:space="0" w:color="000000"/>
              <w:left w:val="single" w:sz="12" w:space="0" w:color="000000"/>
              <w:bottom w:val="single" w:sz="4" w:space="0" w:color="000000"/>
              <w:right w:val="single" w:sz="12" w:space="0" w:color="000000"/>
            </w:tcBorders>
          </w:tcPr>
          <w:p w14:paraId="350A3A71" w14:textId="22F2CB97" w:rsidR="003345F0" w:rsidRDefault="003345F0" w:rsidP="003345F0">
            <w:pPr>
              <w:spacing w:after="0" w:line="259" w:lineRule="auto"/>
              <w:ind w:left="0" w:right="46" w:firstLine="0"/>
              <w:jc w:val="center"/>
              <w:rPr>
                <w:sz w:val="18"/>
              </w:rPr>
            </w:pPr>
            <w:r>
              <w:rPr>
                <w:sz w:val="18"/>
              </w:rPr>
              <w:t>ug/L</w:t>
            </w:r>
          </w:p>
        </w:tc>
        <w:tc>
          <w:tcPr>
            <w:tcW w:w="818" w:type="dxa"/>
            <w:tcBorders>
              <w:top w:val="single" w:sz="4" w:space="0" w:color="000000"/>
              <w:left w:val="single" w:sz="12" w:space="0" w:color="000000"/>
              <w:bottom w:val="single" w:sz="4" w:space="0" w:color="000000"/>
              <w:right w:val="single" w:sz="12" w:space="0" w:color="000000"/>
            </w:tcBorders>
          </w:tcPr>
          <w:p w14:paraId="6470CA67" w14:textId="603CD81F" w:rsidR="003345F0" w:rsidRDefault="003345F0" w:rsidP="003345F0">
            <w:pPr>
              <w:spacing w:after="0" w:line="259" w:lineRule="auto"/>
              <w:ind w:left="0" w:right="44" w:firstLine="0"/>
              <w:jc w:val="center"/>
              <w:rPr>
                <w:sz w:val="18"/>
              </w:rPr>
            </w:pPr>
            <w:r>
              <w:rPr>
                <w:sz w:val="18"/>
              </w:rPr>
              <w:t>660</w:t>
            </w:r>
          </w:p>
        </w:tc>
        <w:tc>
          <w:tcPr>
            <w:tcW w:w="997" w:type="dxa"/>
            <w:tcBorders>
              <w:top w:val="single" w:sz="4" w:space="0" w:color="000000"/>
              <w:left w:val="single" w:sz="12" w:space="0" w:color="000000"/>
              <w:bottom w:val="single" w:sz="4" w:space="0" w:color="000000"/>
              <w:right w:val="single" w:sz="12" w:space="0" w:color="000000"/>
            </w:tcBorders>
          </w:tcPr>
          <w:p w14:paraId="5611CAF3" w14:textId="71F30100" w:rsidR="003345F0" w:rsidRDefault="003345F0" w:rsidP="003345F0">
            <w:pPr>
              <w:spacing w:after="0" w:line="259" w:lineRule="auto"/>
              <w:ind w:left="0" w:right="44" w:firstLine="0"/>
              <w:jc w:val="center"/>
              <w:rPr>
                <w:rFonts w:eastAsia="Segoe UI Symbol"/>
                <w:sz w:val="18"/>
              </w:rPr>
            </w:pPr>
            <w:r>
              <w:rPr>
                <w:rFonts w:eastAsia="Segoe UI Symbol"/>
                <w:sz w:val="18"/>
              </w:rPr>
              <w:t>u</w:t>
            </w:r>
            <w:r>
              <w:rPr>
                <w:sz w:val="18"/>
              </w:rPr>
              <w:t>g/kg</w:t>
            </w:r>
          </w:p>
        </w:tc>
        <w:tc>
          <w:tcPr>
            <w:tcW w:w="1029" w:type="dxa"/>
            <w:tcBorders>
              <w:top w:val="single" w:sz="4" w:space="0" w:color="000000"/>
              <w:left w:val="single" w:sz="12" w:space="0" w:color="000000"/>
              <w:bottom w:val="single" w:sz="4" w:space="0" w:color="000000"/>
              <w:right w:val="single" w:sz="12" w:space="0" w:color="000000"/>
            </w:tcBorders>
          </w:tcPr>
          <w:p w14:paraId="03A3BDF3" w14:textId="193BF5AE" w:rsidR="003345F0" w:rsidRDefault="003345F0" w:rsidP="003345F0">
            <w:pPr>
              <w:spacing w:after="0" w:line="259" w:lineRule="auto"/>
              <w:ind w:left="0" w:right="46" w:firstLine="0"/>
              <w:jc w:val="center"/>
              <w:rPr>
                <w:b/>
                <w:sz w:val="18"/>
              </w:rPr>
            </w:pPr>
            <w:r>
              <w:rPr>
                <w:b/>
                <w:sz w:val="18"/>
              </w:rPr>
              <w:t>8270</w:t>
            </w:r>
          </w:p>
        </w:tc>
        <w:tc>
          <w:tcPr>
            <w:tcW w:w="1592" w:type="dxa"/>
            <w:tcBorders>
              <w:top w:val="single" w:sz="4" w:space="0" w:color="000000"/>
              <w:left w:val="single" w:sz="12" w:space="0" w:color="000000"/>
              <w:bottom w:val="single" w:sz="4" w:space="0" w:color="000000"/>
              <w:right w:val="single" w:sz="12" w:space="0" w:color="000000"/>
            </w:tcBorders>
          </w:tcPr>
          <w:p w14:paraId="3BBAB572" w14:textId="77097717" w:rsidR="003345F0" w:rsidRPr="002D0659" w:rsidRDefault="003345F0" w:rsidP="003345F0">
            <w:pPr>
              <w:spacing w:after="0" w:line="259" w:lineRule="auto"/>
              <w:ind w:left="0" w:right="49" w:firstLine="0"/>
              <w:jc w:val="center"/>
              <w:rPr>
                <w:sz w:val="18"/>
                <w:szCs w:val="18"/>
              </w:rPr>
            </w:pPr>
            <w:r w:rsidRPr="00BE29AB">
              <w:rPr>
                <w:sz w:val="18"/>
                <w:szCs w:val="18"/>
              </w:rPr>
              <w:t>8310</w:t>
            </w:r>
            <w:r>
              <w:rPr>
                <w:sz w:val="18"/>
                <w:szCs w:val="18"/>
              </w:rPr>
              <w:t>,</w:t>
            </w:r>
            <w:r w:rsidRPr="002D0659">
              <w:rPr>
                <w:sz w:val="18"/>
                <w:szCs w:val="18"/>
              </w:rPr>
              <w:t xml:space="preserve"> 8270 SIM</w:t>
            </w:r>
          </w:p>
        </w:tc>
      </w:tr>
      <w:tr w:rsidR="003345F0" w14:paraId="6B0B0BC1" w14:textId="77777777" w:rsidTr="00324798">
        <w:trPr>
          <w:trHeight w:val="259"/>
        </w:trPr>
        <w:tc>
          <w:tcPr>
            <w:tcW w:w="3372" w:type="dxa"/>
            <w:tcBorders>
              <w:top w:val="single" w:sz="4" w:space="0" w:color="000000"/>
              <w:left w:val="single" w:sz="12" w:space="0" w:color="000000"/>
              <w:bottom w:val="single" w:sz="4" w:space="0" w:color="000000"/>
              <w:right w:val="single" w:sz="12" w:space="0" w:color="000000"/>
            </w:tcBorders>
          </w:tcPr>
          <w:p w14:paraId="0A7911AA" w14:textId="21CED92F" w:rsidR="003345F0" w:rsidRDefault="003345F0" w:rsidP="003345F0">
            <w:pPr>
              <w:spacing w:after="0" w:line="259" w:lineRule="auto"/>
              <w:ind w:left="0" w:right="0" w:firstLine="0"/>
              <w:rPr>
                <w:sz w:val="18"/>
              </w:rPr>
            </w:pPr>
            <w:r>
              <w:rPr>
                <w:sz w:val="18"/>
              </w:rPr>
              <w:t xml:space="preserve">1,2,4-Trichlorobenzene </w:t>
            </w:r>
          </w:p>
        </w:tc>
        <w:tc>
          <w:tcPr>
            <w:tcW w:w="1130" w:type="dxa"/>
            <w:tcBorders>
              <w:top w:val="single" w:sz="4" w:space="0" w:color="000000"/>
              <w:left w:val="single" w:sz="12" w:space="0" w:color="000000"/>
              <w:bottom w:val="single" w:sz="4" w:space="0" w:color="000000"/>
              <w:right w:val="single" w:sz="12" w:space="0" w:color="000000"/>
            </w:tcBorders>
          </w:tcPr>
          <w:p w14:paraId="61A74AF2" w14:textId="2C4CD493" w:rsidR="003345F0" w:rsidRDefault="003345F0" w:rsidP="003345F0">
            <w:pPr>
              <w:spacing w:after="0" w:line="259" w:lineRule="auto"/>
              <w:ind w:left="0" w:right="44" w:firstLine="0"/>
              <w:jc w:val="center"/>
              <w:rPr>
                <w:sz w:val="18"/>
              </w:rPr>
            </w:pPr>
            <w:r>
              <w:rPr>
                <w:sz w:val="18"/>
              </w:rPr>
              <w:t>120-82-1</w:t>
            </w:r>
          </w:p>
        </w:tc>
        <w:tc>
          <w:tcPr>
            <w:tcW w:w="866" w:type="dxa"/>
            <w:tcBorders>
              <w:top w:val="single" w:sz="4" w:space="0" w:color="000000"/>
              <w:left w:val="single" w:sz="12" w:space="0" w:color="000000"/>
              <w:bottom w:val="single" w:sz="4" w:space="0" w:color="000000"/>
              <w:right w:val="single" w:sz="12" w:space="0" w:color="000000"/>
            </w:tcBorders>
          </w:tcPr>
          <w:p w14:paraId="69F31BD9" w14:textId="0CE7E2CE" w:rsidR="003345F0" w:rsidRDefault="003345F0" w:rsidP="003345F0">
            <w:pPr>
              <w:spacing w:after="0" w:line="259" w:lineRule="auto"/>
              <w:ind w:left="0" w:right="46" w:firstLine="0"/>
              <w:jc w:val="center"/>
              <w:rPr>
                <w:sz w:val="18"/>
              </w:rPr>
            </w:pPr>
            <w:r>
              <w:rPr>
                <w:sz w:val="18"/>
              </w:rPr>
              <w:t>10</w:t>
            </w:r>
          </w:p>
        </w:tc>
        <w:tc>
          <w:tcPr>
            <w:tcW w:w="816" w:type="dxa"/>
            <w:tcBorders>
              <w:top w:val="single" w:sz="4" w:space="0" w:color="000000"/>
              <w:left w:val="single" w:sz="12" w:space="0" w:color="000000"/>
              <w:bottom w:val="single" w:sz="4" w:space="0" w:color="000000"/>
              <w:right w:val="single" w:sz="12" w:space="0" w:color="000000"/>
            </w:tcBorders>
          </w:tcPr>
          <w:p w14:paraId="2E80504A" w14:textId="1A83E65E" w:rsidR="003345F0" w:rsidRDefault="003345F0" w:rsidP="003345F0">
            <w:pPr>
              <w:spacing w:after="0" w:line="259" w:lineRule="auto"/>
              <w:ind w:left="0" w:right="46" w:firstLine="0"/>
              <w:jc w:val="center"/>
              <w:rPr>
                <w:sz w:val="18"/>
              </w:rPr>
            </w:pPr>
            <w:r>
              <w:rPr>
                <w:sz w:val="18"/>
              </w:rPr>
              <w:t>ug/L</w:t>
            </w:r>
          </w:p>
        </w:tc>
        <w:tc>
          <w:tcPr>
            <w:tcW w:w="818" w:type="dxa"/>
            <w:tcBorders>
              <w:top w:val="single" w:sz="4" w:space="0" w:color="000000"/>
              <w:left w:val="single" w:sz="12" w:space="0" w:color="000000"/>
              <w:bottom w:val="single" w:sz="4" w:space="0" w:color="000000"/>
              <w:right w:val="single" w:sz="12" w:space="0" w:color="000000"/>
            </w:tcBorders>
          </w:tcPr>
          <w:p w14:paraId="0B94F569" w14:textId="3D0484EA" w:rsidR="003345F0" w:rsidRDefault="003345F0" w:rsidP="003345F0">
            <w:pPr>
              <w:spacing w:after="0" w:line="259" w:lineRule="auto"/>
              <w:ind w:left="0" w:right="44" w:firstLine="0"/>
              <w:jc w:val="center"/>
              <w:rPr>
                <w:sz w:val="18"/>
              </w:rPr>
            </w:pPr>
            <w:r>
              <w:rPr>
                <w:sz w:val="18"/>
              </w:rPr>
              <w:t>660</w:t>
            </w:r>
          </w:p>
        </w:tc>
        <w:tc>
          <w:tcPr>
            <w:tcW w:w="997" w:type="dxa"/>
            <w:tcBorders>
              <w:top w:val="single" w:sz="4" w:space="0" w:color="000000"/>
              <w:left w:val="single" w:sz="12" w:space="0" w:color="000000"/>
              <w:bottom w:val="single" w:sz="4" w:space="0" w:color="000000"/>
              <w:right w:val="single" w:sz="12" w:space="0" w:color="000000"/>
            </w:tcBorders>
          </w:tcPr>
          <w:p w14:paraId="6C977E68" w14:textId="716BD8DA" w:rsidR="003345F0" w:rsidRDefault="003345F0" w:rsidP="003345F0">
            <w:pPr>
              <w:spacing w:after="0" w:line="259" w:lineRule="auto"/>
              <w:ind w:left="0" w:right="44" w:firstLine="0"/>
              <w:jc w:val="center"/>
              <w:rPr>
                <w:rFonts w:eastAsia="Segoe UI Symbol"/>
                <w:sz w:val="18"/>
              </w:rPr>
            </w:pPr>
            <w:r>
              <w:rPr>
                <w:rFonts w:eastAsia="Segoe UI Symbol"/>
                <w:sz w:val="18"/>
              </w:rPr>
              <w:t>u</w:t>
            </w:r>
            <w:r>
              <w:rPr>
                <w:sz w:val="18"/>
              </w:rPr>
              <w:t>g/kg</w:t>
            </w:r>
          </w:p>
        </w:tc>
        <w:tc>
          <w:tcPr>
            <w:tcW w:w="1029" w:type="dxa"/>
            <w:tcBorders>
              <w:top w:val="single" w:sz="4" w:space="0" w:color="000000"/>
              <w:left w:val="single" w:sz="12" w:space="0" w:color="000000"/>
              <w:bottom w:val="single" w:sz="4" w:space="0" w:color="000000"/>
              <w:right w:val="single" w:sz="12" w:space="0" w:color="000000"/>
            </w:tcBorders>
          </w:tcPr>
          <w:p w14:paraId="0AD93DA4" w14:textId="516B06D9" w:rsidR="003345F0" w:rsidRDefault="003345F0" w:rsidP="003345F0">
            <w:pPr>
              <w:spacing w:after="0" w:line="259" w:lineRule="auto"/>
              <w:ind w:left="0" w:right="46" w:firstLine="0"/>
              <w:jc w:val="center"/>
              <w:rPr>
                <w:b/>
                <w:sz w:val="18"/>
              </w:rPr>
            </w:pPr>
            <w:r>
              <w:rPr>
                <w:b/>
                <w:sz w:val="18"/>
              </w:rPr>
              <w:t>8270</w:t>
            </w:r>
          </w:p>
        </w:tc>
        <w:tc>
          <w:tcPr>
            <w:tcW w:w="1592" w:type="dxa"/>
            <w:tcBorders>
              <w:top w:val="single" w:sz="4" w:space="0" w:color="000000"/>
              <w:left w:val="single" w:sz="12" w:space="0" w:color="000000"/>
              <w:bottom w:val="single" w:sz="4" w:space="0" w:color="000000"/>
              <w:right w:val="single" w:sz="12" w:space="0" w:color="000000"/>
            </w:tcBorders>
          </w:tcPr>
          <w:p w14:paraId="4B1E78BF" w14:textId="11F2A327" w:rsidR="003345F0" w:rsidRPr="00BE29AB" w:rsidRDefault="003345F0" w:rsidP="003345F0">
            <w:pPr>
              <w:spacing w:after="0" w:line="259" w:lineRule="auto"/>
              <w:ind w:left="0" w:right="49" w:firstLine="0"/>
              <w:jc w:val="center"/>
              <w:rPr>
                <w:sz w:val="18"/>
                <w:szCs w:val="18"/>
              </w:rPr>
            </w:pPr>
            <w:r w:rsidRPr="004556D0">
              <w:rPr>
                <w:sz w:val="18"/>
                <w:szCs w:val="18"/>
              </w:rPr>
              <w:t>8270 SIM</w:t>
            </w:r>
          </w:p>
        </w:tc>
      </w:tr>
      <w:tr w:rsidR="003345F0" w14:paraId="2B8976CC" w14:textId="77777777" w:rsidTr="00324798">
        <w:trPr>
          <w:trHeight w:val="259"/>
        </w:trPr>
        <w:tc>
          <w:tcPr>
            <w:tcW w:w="3372" w:type="dxa"/>
            <w:tcBorders>
              <w:top w:val="single" w:sz="4" w:space="0" w:color="000000"/>
              <w:left w:val="single" w:sz="12" w:space="0" w:color="000000"/>
              <w:bottom w:val="single" w:sz="4" w:space="0" w:color="000000"/>
              <w:right w:val="single" w:sz="12" w:space="0" w:color="000000"/>
            </w:tcBorders>
          </w:tcPr>
          <w:p w14:paraId="2F1CB586" w14:textId="539F4A52" w:rsidR="003345F0" w:rsidRDefault="003345F0" w:rsidP="003345F0">
            <w:pPr>
              <w:spacing w:after="0" w:line="259" w:lineRule="auto"/>
              <w:ind w:left="0" w:right="0" w:firstLine="0"/>
              <w:rPr>
                <w:sz w:val="18"/>
              </w:rPr>
            </w:pPr>
            <w:r>
              <w:rPr>
                <w:sz w:val="18"/>
              </w:rPr>
              <w:t xml:space="preserve">2,4,5-Trichlorophenol </w:t>
            </w:r>
          </w:p>
        </w:tc>
        <w:tc>
          <w:tcPr>
            <w:tcW w:w="1130" w:type="dxa"/>
            <w:tcBorders>
              <w:top w:val="single" w:sz="4" w:space="0" w:color="000000"/>
              <w:left w:val="single" w:sz="12" w:space="0" w:color="000000"/>
              <w:bottom w:val="single" w:sz="4" w:space="0" w:color="000000"/>
              <w:right w:val="single" w:sz="12" w:space="0" w:color="000000"/>
            </w:tcBorders>
          </w:tcPr>
          <w:p w14:paraId="7B6C9777" w14:textId="2469CD5C" w:rsidR="003345F0" w:rsidRDefault="003345F0" w:rsidP="003345F0">
            <w:pPr>
              <w:spacing w:after="0" w:line="259" w:lineRule="auto"/>
              <w:ind w:left="0" w:right="44" w:firstLine="0"/>
              <w:jc w:val="center"/>
              <w:rPr>
                <w:sz w:val="18"/>
              </w:rPr>
            </w:pPr>
            <w:r>
              <w:rPr>
                <w:sz w:val="18"/>
              </w:rPr>
              <w:t>95-95-4</w:t>
            </w:r>
          </w:p>
        </w:tc>
        <w:tc>
          <w:tcPr>
            <w:tcW w:w="866" w:type="dxa"/>
            <w:tcBorders>
              <w:top w:val="single" w:sz="4" w:space="0" w:color="000000"/>
              <w:left w:val="single" w:sz="12" w:space="0" w:color="000000"/>
              <w:bottom w:val="single" w:sz="4" w:space="0" w:color="000000"/>
              <w:right w:val="single" w:sz="12" w:space="0" w:color="000000"/>
            </w:tcBorders>
          </w:tcPr>
          <w:p w14:paraId="0FFB9C81" w14:textId="2A2B151F" w:rsidR="003345F0" w:rsidRDefault="003345F0" w:rsidP="003345F0">
            <w:pPr>
              <w:spacing w:after="0" w:line="259" w:lineRule="auto"/>
              <w:ind w:left="0" w:right="46" w:firstLine="0"/>
              <w:jc w:val="center"/>
              <w:rPr>
                <w:sz w:val="18"/>
              </w:rPr>
            </w:pPr>
            <w:r>
              <w:rPr>
                <w:sz w:val="18"/>
              </w:rPr>
              <w:t>10</w:t>
            </w:r>
          </w:p>
        </w:tc>
        <w:tc>
          <w:tcPr>
            <w:tcW w:w="816" w:type="dxa"/>
            <w:tcBorders>
              <w:top w:val="single" w:sz="4" w:space="0" w:color="000000"/>
              <w:left w:val="single" w:sz="12" w:space="0" w:color="000000"/>
              <w:bottom w:val="single" w:sz="4" w:space="0" w:color="000000"/>
              <w:right w:val="single" w:sz="12" w:space="0" w:color="000000"/>
            </w:tcBorders>
          </w:tcPr>
          <w:p w14:paraId="42AFC679" w14:textId="09F81320" w:rsidR="003345F0" w:rsidRDefault="003345F0" w:rsidP="003345F0">
            <w:pPr>
              <w:spacing w:after="0" w:line="259" w:lineRule="auto"/>
              <w:ind w:left="0" w:right="46" w:firstLine="0"/>
              <w:jc w:val="center"/>
              <w:rPr>
                <w:sz w:val="18"/>
              </w:rPr>
            </w:pPr>
            <w:r>
              <w:rPr>
                <w:sz w:val="18"/>
              </w:rPr>
              <w:t>ug/L</w:t>
            </w:r>
          </w:p>
        </w:tc>
        <w:tc>
          <w:tcPr>
            <w:tcW w:w="818" w:type="dxa"/>
            <w:tcBorders>
              <w:top w:val="single" w:sz="4" w:space="0" w:color="000000"/>
              <w:left w:val="single" w:sz="12" w:space="0" w:color="000000"/>
              <w:bottom w:val="single" w:sz="4" w:space="0" w:color="000000"/>
              <w:right w:val="single" w:sz="12" w:space="0" w:color="000000"/>
            </w:tcBorders>
          </w:tcPr>
          <w:p w14:paraId="6C5DDFFA" w14:textId="2DEEBDD2" w:rsidR="003345F0" w:rsidRDefault="003345F0" w:rsidP="003345F0">
            <w:pPr>
              <w:spacing w:after="0" w:line="259" w:lineRule="auto"/>
              <w:ind w:left="0" w:right="44" w:firstLine="0"/>
              <w:jc w:val="center"/>
              <w:rPr>
                <w:sz w:val="18"/>
              </w:rPr>
            </w:pPr>
            <w:r>
              <w:rPr>
                <w:sz w:val="18"/>
              </w:rPr>
              <w:t>660</w:t>
            </w:r>
          </w:p>
        </w:tc>
        <w:tc>
          <w:tcPr>
            <w:tcW w:w="997" w:type="dxa"/>
            <w:tcBorders>
              <w:top w:val="single" w:sz="4" w:space="0" w:color="000000"/>
              <w:left w:val="single" w:sz="12" w:space="0" w:color="000000"/>
              <w:bottom w:val="single" w:sz="4" w:space="0" w:color="000000"/>
              <w:right w:val="single" w:sz="12" w:space="0" w:color="000000"/>
            </w:tcBorders>
          </w:tcPr>
          <w:p w14:paraId="686679B9" w14:textId="3AF4E82C" w:rsidR="003345F0" w:rsidRDefault="003345F0" w:rsidP="003345F0">
            <w:pPr>
              <w:spacing w:after="0" w:line="259" w:lineRule="auto"/>
              <w:ind w:left="0" w:right="44" w:firstLine="0"/>
              <w:jc w:val="center"/>
              <w:rPr>
                <w:rFonts w:eastAsia="Segoe UI Symbol"/>
                <w:sz w:val="18"/>
              </w:rPr>
            </w:pPr>
            <w:r>
              <w:rPr>
                <w:rFonts w:eastAsia="Segoe UI Symbol"/>
                <w:sz w:val="18"/>
              </w:rPr>
              <w:t>u</w:t>
            </w:r>
            <w:r>
              <w:rPr>
                <w:sz w:val="18"/>
              </w:rPr>
              <w:t>g/kg</w:t>
            </w:r>
          </w:p>
        </w:tc>
        <w:tc>
          <w:tcPr>
            <w:tcW w:w="1029" w:type="dxa"/>
            <w:tcBorders>
              <w:top w:val="single" w:sz="4" w:space="0" w:color="000000"/>
              <w:left w:val="single" w:sz="12" w:space="0" w:color="000000"/>
              <w:bottom w:val="single" w:sz="4" w:space="0" w:color="000000"/>
              <w:right w:val="single" w:sz="12" w:space="0" w:color="000000"/>
            </w:tcBorders>
          </w:tcPr>
          <w:p w14:paraId="3E588A72" w14:textId="607BB361" w:rsidR="003345F0" w:rsidRDefault="003345F0" w:rsidP="003345F0">
            <w:pPr>
              <w:spacing w:after="0" w:line="259" w:lineRule="auto"/>
              <w:ind w:left="0" w:right="46" w:firstLine="0"/>
              <w:jc w:val="center"/>
              <w:rPr>
                <w:b/>
                <w:sz w:val="18"/>
              </w:rPr>
            </w:pPr>
            <w:r>
              <w:rPr>
                <w:b/>
                <w:sz w:val="18"/>
              </w:rPr>
              <w:t>8270</w:t>
            </w:r>
          </w:p>
        </w:tc>
        <w:tc>
          <w:tcPr>
            <w:tcW w:w="1592" w:type="dxa"/>
            <w:tcBorders>
              <w:top w:val="single" w:sz="4" w:space="0" w:color="000000"/>
              <w:left w:val="single" w:sz="12" w:space="0" w:color="000000"/>
              <w:bottom w:val="single" w:sz="4" w:space="0" w:color="000000"/>
              <w:right w:val="single" w:sz="12" w:space="0" w:color="000000"/>
            </w:tcBorders>
          </w:tcPr>
          <w:p w14:paraId="65C401E4" w14:textId="049D7073" w:rsidR="003345F0" w:rsidRPr="004556D0" w:rsidRDefault="003345F0" w:rsidP="003345F0">
            <w:pPr>
              <w:spacing w:after="0" w:line="259" w:lineRule="auto"/>
              <w:ind w:left="0" w:right="49" w:firstLine="0"/>
              <w:jc w:val="center"/>
              <w:rPr>
                <w:sz w:val="18"/>
                <w:szCs w:val="18"/>
              </w:rPr>
            </w:pPr>
            <w:r w:rsidRPr="004556D0">
              <w:rPr>
                <w:sz w:val="18"/>
                <w:szCs w:val="18"/>
              </w:rPr>
              <w:t>8270 SIM</w:t>
            </w:r>
          </w:p>
        </w:tc>
      </w:tr>
      <w:tr w:rsidR="003345F0" w14:paraId="070B9194" w14:textId="77777777" w:rsidTr="00324798">
        <w:trPr>
          <w:trHeight w:val="311"/>
        </w:trPr>
        <w:tc>
          <w:tcPr>
            <w:tcW w:w="3372" w:type="dxa"/>
            <w:tcBorders>
              <w:top w:val="single" w:sz="4" w:space="0" w:color="000000"/>
              <w:left w:val="single" w:sz="12" w:space="0" w:color="000000"/>
              <w:bottom w:val="single" w:sz="12" w:space="0" w:color="000000"/>
              <w:right w:val="single" w:sz="12" w:space="0" w:color="000000"/>
            </w:tcBorders>
          </w:tcPr>
          <w:p w14:paraId="1AC31A03" w14:textId="61DC89F8" w:rsidR="003345F0" w:rsidRDefault="003345F0" w:rsidP="003345F0">
            <w:pPr>
              <w:spacing w:after="0" w:line="259" w:lineRule="auto"/>
              <w:ind w:left="0" w:right="0" w:firstLine="0"/>
              <w:rPr>
                <w:sz w:val="18"/>
              </w:rPr>
            </w:pPr>
            <w:r>
              <w:rPr>
                <w:sz w:val="18"/>
              </w:rPr>
              <w:t xml:space="preserve">2,4,6-Trichlorophenol </w:t>
            </w:r>
          </w:p>
        </w:tc>
        <w:tc>
          <w:tcPr>
            <w:tcW w:w="1130" w:type="dxa"/>
            <w:tcBorders>
              <w:top w:val="single" w:sz="4" w:space="0" w:color="000000"/>
              <w:left w:val="single" w:sz="12" w:space="0" w:color="000000"/>
              <w:bottom w:val="single" w:sz="12" w:space="0" w:color="000000"/>
              <w:right w:val="single" w:sz="12" w:space="0" w:color="000000"/>
            </w:tcBorders>
          </w:tcPr>
          <w:p w14:paraId="49C99352" w14:textId="2FD4F65D" w:rsidR="003345F0" w:rsidRDefault="003345F0" w:rsidP="003345F0">
            <w:pPr>
              <w:spacing w:after="0" w:line="259" w:lineRule="auto"/>
              <w:ind w:left="0" w:right="44" w:firstLine="0"/>
              <w:jc w:val="center"/>
              <w:rPr>
                <w:sz w:val="18"/>
              </w:rPr>
            </w:pPr>
            <w:r>
              <w:rPr>
                <w:sz w:val="18"/>
              </w:rPr>
              <w:t>88-06-2</w:t>
            </w:r>
          </w:p>
        </w:tc>
        <w:tc>
          <w:tcPr>
            <w:tcW w:w="866" w:type="dxa"/>
            <w:tcBorders>
              <w:top w:val="single" w:sz="4" w:space="0" w:color="000000"/>
              <w:left w:val="single" w:sz="12" w:space="0" w:color="000000"/>
              <w:bottom w:val="single" w:sz="12" w:space="0" w:color="000000"/>
              <w:right w:val="single" w:sz="12" w:space="0" w:color="000000"/>
            </w:tcBorders>
          </w:tcPr>
          <w:p w14:paraId="55258D66" w14:textId="49986DC9" w:rsidR="003345F0" w:rsidRDefault="003345F0" w:rsidP="003345F0">
            <w:pPr>
              <w:spacing w:after="0" w:line="259" w:lineRule="auto"/>
              <w:ind w:left="0" w:right="46" w:firstLine="0"/>
              <w:jc w:val="center"/>
              <w:rPr>
                <w:sz w:val="18"/>
              </w:rPr>
            </w:pPr>
            <w:r>
              <w:rPr>
                <w:sz w:val="18"/>
              </w:rPr>
              <w:t>10</w:t>
            </w:r>
          </w:p>
        </w:tc>
        <w:tc>
          <w:tcPr>
            <w:tcW w:w="816" w:type="dxa"/>
            <w:tcBorders>
              <w:top w:val="single" w:sz="4" w:space="0" w:color="000000"/>
              <w:left w:val="single" w:sz="12" w:space="0" w:color="000000"/>
              <w:bottom w:val="single" w:sz="12" w:space="0" w:color="000000"/>
              <w:right w:val="single" w:sz="12" w:space="0" w:color="000000"/>
            </w:tcBorders>
          </w:tcPr>
          <w:p w14:paraId="1CAE6F61" w14:textId="17FC2AA0" w:rsidR="003345F0" w:rsidRDefault="003345F0" w:rsidP="003345F0">
            <w:pPr>
              <w:spacing w:after="0" w:line="259" w:lineRule="auto"/>
              <w:ind w:left="0" w:right="46" w:firstLine="0"/>
              <w:jc w:val="center"/>
              <w:rPr>
                <w:sz w:val="18"/>
              </w:rPr>
            </w:pPr>
            <w:r>
              <w:rPr>
                <w:sz w:val="18"/>
              </w:rPr>
              <w:t>ug/L</w:t>
            </w:r>
          </w:p>
        </w:tc>
        <w:tc>
          <w:tcPr>
            <w:tcW w:w="818" w:type="dxa"/>
            <w:tcBorders>
              <w:top w:val="single" w:sz="4" w:space="0" w:color="000000"/>
              <w:left w:val="single" w:sz="12" w:space="0" w:color="000000"/>
              <w:bottom w:val="single" w:sz="12" w:space="0" w:color="000000"/>
              <w:right w:val="single" w:sz="12" w:space="0" w:color="000000"/>
            </w:tcBorders>
          </w:tcPr>
          <w:p w14:paraId="6AF3903C" w14:textId="3F715520" w:rsidR="003345F0" w:rsidRDefault="003345F0" w:rsidP="003345F0">
            <w:pPr>
              <w:spacing w:after="0" w:line="259" w:lineRule="auto"/>
              <w:ind w:left="0" w:right="44" w:firstLine="0"/>
              <w:jc w:val="center"/>
              <w:rPr>
                <w:sz w:val="18"/>
              </w:rPr>
            </w:pPr>
            <w:r>
              <w:rPr>
                <w:sz w:val="18"/>
              </w:rPr>
              <w:t>660</w:t>
            </w:r>
          </w:p>
        </w:tc>
        <w:tc>
          <w:tcPr>
            <w:tcW w:w="997" w:type="dxa"/>
            <w:tcBorders>
              <w:top w:val="single" w:sz="4" w:space="0" w:color="000000"/>
              <w:left w:val="single" w:sz="12" w:space="0" w:color="000000"/>
              <w:bottom w:val="single" w:sz="12" w:space="0" w:color="000000"/>
              <w:right w:val="single" w:sz="12" w:space="0" w:color="000000"/>
            </w:tcBorders>
          </w:tcPr>
          <w:p w14:paraId="1CF15040" w14:textId="79DB89D5" w:rsidR="003345F0" w:rsidRDefault="003345F0" w:rsidP="003345F0">
            <w:pPr>
              <w:spacing w:after="0" w:line="259" w:lineRule="auto"/>
              <w:ind w:left="0" w:right="44" w:firstLine="0"/>
              <w:jc w:val="center"/>
              <w:rPr>
                <w:rFonts w:eastAsia="Segoe UI Symbol"/>
                <w:sz w:val="18"/>
              </w:rPr>
            </w:pPr>
            <w:r>
              <w:rPr>
                <w:rFonts w:eastAsia="Segoe UI Symbol"/>
                <w:sz w:val="18"/>
              </w:rPr>
              <w:t>u</w:t>
            </w:r>
            <w:r>
              <w:rPr>
                <w:sz w:val="18"/>
              </w:rPr>
              <w:t>g/kg</w:t>
            </w:r>
          </w:p>
        </w:tc>
        <w:tc>
          <w:tcPr>
            <w:tcW w:w="1029" w:type="dxa"/>
            <w:tcBorders>
              <w:top w:val="single" w:sz="4" w:space="0" w:color="000000"/>
              <w:left w:val="single" w:sz="12" w:space="0" w:color="000000"/>
              <w:bottom w:val="single" w:sz="12" w:space="0" w:color="000000"/>
              <w:right w:val="single" w:sz="12" w:space="0" w:color="000000"/>
            </w:tcBorders>
          </w:tcPr>
          <w:p w14:paraId="70A063DD" w14:textId="7643AF14" w:rsidR="003345F0" w:rsidRDefault="003345F0" w:rsidP="003345F0">
            <w:pPr>
              <w:spacing w:after="0" w:line="259" w:lineRule="auto"/>
              <w:ind w:left="0" w:right="46" w:firstLine="0"/>
              <w:jc w:val="center"/>
              <w:rPr>
                <w:b/>
                <w:sz w:val="18"/>
              </w:rPr>
            </w:pPr>
            <w:r>
              <w:rPr>
                <w:b/>
                <w:sz w:val="18"/>
              </w:rPr>
              <w:t>8270</w:t>
            </w:r>
          </w:p>
        </w:tc>
        <w:tc>
          <w:tcPr>
            <w:tcW w:w="1592" w:type="dxa"/>
            <w:tcBorders>
              <w:top w:val="single" w:sz="4" w:space="0" w:color="000000"/>
              <w:left w:val="single" w:sz="12" w:space="0" w:color="000000"/>
              <w:bottom w:val="single" w:sz="12" w:space="0" w:color="000000"/>
              <w:right w:val="single" w:sz="12" w:space="0" w:color="000000"/>
            </w:tcBorders>
          </w:tcPr>
          <w:p w14:paraId="54241377" w14:textId="1DA09877" w:rsidR="003345F0" w:rsidRPr="004556D0" w:rsidRDefault="003345F0" w:rsidP="003345F0">
            <w:pPr>
              <w:spacing w:after="0" w:line="259" w:lineRule="auto"/>
              <w:ind w:left="0" w:right="49" w:firstLine="0"/>
              <w:jc w:val="center"/>
              <w:rPr>
                <w:sz w:val="18"/>
                <w:szCs w:val="18"/>
              </w:rPr>
            </w:pPr>
            <w:r w:rsidRPr="004556D0">
              <w:rPr>
                <w:sz w:val="18"/>
                <w:szCs w:val="18"/>
              </w:rPr>
              <w:t>8270 SIM</w:t>
            </w:r>
          </w:p>
        </w:tc>
      </w:tr>
    </w:tbl>
    <w:p w14:paraId="28F107F3" w14:textId="0AB097D3" w:rsidR="00EC7FB1" w:rsidRDefault="00EC7FB1" w:rsidP="005466D4">
      <w:pPr>
        <w:spacing w:after="0" w:line="259" w:lineRule="auto"/>
        <w:ind w:left="0" w:right="0" w:firstLine="0"/>
      </w:pPr>
    </w:p>
    <w:tbl>
      <w:tblPr>
        <w:tblStyle w:val="TableGrid1"/>
        <w:tblW w:w="10620" w:type="dxa"/>
        <w:tblInd w:w="-375" w:type="dxa"/>
        <w:tblCellMar>
          <w:top w:w="24" w:type="dxa"/>
        </w:tblCellMar>
        <w:tblLook w:val="04A0" w:firstRow="1" w:lastRow="0" w:firstColumn="1" w:lastColumn="0" w:noHBand="0" w:noVBand="1"/>
      </w:tblPr>
      <w:tblGrid>
        <w:gridCol w:w="1907"/>
        <w:gridCol w:w="1234"/>
        <w:gridCol w:w="783"/>
        <w:gridCol w:w="869"/>
        <w:gridCol w:w="805"/>
        <w:gridCol w:w="1068"/>
        <w:gridCol w:w="784"/>
        <w:gridCol w:w="1212"/>
        <w:gridCol w:w="1958"/>
      </w:tblGrid>
      <w:tr w:rsidR="00904BC4" w:rsidRPr="00493698" w14:paraId="00AB922F" w14:textId="77777777" w:rsidTr="00F53F99">
        <w:trPr>
          <w:trHeight w:val="288"/>
        </w:trPr>
        <w:tc>
          <w:tcPr>
            <w:tcW w:w="10620" w:type="dxa"/>
            <w:gridSpan w:val="9"/>
            <w:tcBorders>
              <w:top w:val="single" w:sz="12" w:space="0" w:color="000000"/>
              <w:left w:val="single" w:sz="12" w:space="0" w:color="000000"/>
              <w:bottom w:val="single" w:sz="12" w:space="0" w:color="000000"/>
              <w:right w:val="single" w:sz="12" w:space="0" w:color="000000"/>
            </w:tcBorders>
            <w:vAlign w:val="center"/>
          </w:tcPr>
          <w:p w14:paraId="48A1C266" w14:textId="49B76D5A" w:rsidR="00904BC4" w:rsidRPr="0037168E" w:rsidRDefault="00741DD4" w:rsidP="00781638">
            <w:pPr>
              <w:spacing w:after="0" w:line="259" w:lineRule="auto"/>
              <w:ind w:left="0" w:right="0" w:firstLine="0"/>
              <w:rPr>
                <w:sz w:val="18"/>
                <w:szCs w:val="18"/>
              </w:rPr>
            </w:pPr>
            <w:r>
              <w:rPr>
                <w:b/>
                <w:sz w:val="18"/>
                <w:szCs w:val="18"/>
              </w:rPr>
              <w:t xml:space="preserve"> </w:t>
            </w:r>
            <w:r w:rsidR="00904BC4" w:rsidRPr="0037168E">
              <w:rPr>
                <w:b/>
                <w:sz w:val="18"/>
                <w:szCs w:val="18"/>
              </w:rPr>
              <w:t>SVOA – Group B:</w:t>
            </w:r>
            <w:r w:rsidR="00904BC4" w:rsidRPr="0037168E">
              <w:rPr>
                <w:sz w:val="18"/>
                <w:szCs w:val="18"/>
              </w:rPr>
              <w:t xml:space="preserve">  </w:t>
            </w:r>
            <w:r w:rsidR="00904BC4" w:rsidRPr="0037168E">
              <w:rPr>
                <w:b/>
                <w:sz w:val="18"/>
                <w:szCs w:val="18"/>
              </w:rPr>
              <w:t xml:space="preserve">Polychlorinated Biphenyl Compounds (PCBs) as </w:t>
            </w:r>
            <w:proofErr w:type="spellStart"/>
            <w:r w:rsidR="00904BC4" w:rsidRPr="0037168E">
              <w:rPr>
                <w:b/>
                <w:sz w:val="18"/>
                <w:szCs w:val="18"/>
              </w:rPr>
              <w:t>Aroclors</w:t>
            </w:r>
            <w:proofErr w:type="spellEnd"/>
          </w:p>
        </w:tc>
      </w:tr>
      <w:tr w:rsidR="0066319D" w14:paraId="2371F6C8" w14:textId="77777777" w:rsidTr="00F53F99">
        <w:trPr>
          <w:trHeight w:val="444"/>
        </w:trPr>
        <w:tc>
          <w:tcPr>
            <w:tcW w:w="1907" w:type="dxa"/>
            <w:vMerge w:val="restart"/>
            <w:tcBorders>
              <w:top w:val="single" w:sz="12" w:space="0" w:color="000000"/>
              <w:left w:val="single" w:sz="12" w:space="0" w:color="000000"/>
              <w:bottom w:val="single" w:sz="12" w:space="0" w:color="000000"/>
              <w:right w:val="single" w:sz="12" w:space="0" w:color="000000"/>
            </w:tcBorders>
            <w:vAlign w:val="center"/>
          </w:tcPr>
          <w:p w14:paraId="5113C15B" w14:textId="12C0658D" w:rsidR="0066319D" w:rsidRDefault="0066319D" w:rsidP="00781638">
            <w:pPr>
              <w:spacing w:after="0" w:line="259" w:lineRule="auto"/>
              <w:ind w:left="0" w:right="6" w:firstLine="0"/>
              <w:jc w:val="center"/>
            </w:pPr>
            <w:r>
              <w:rPr>
                <w:b/>
                <w:sz w:val="18"/>
              </w:rPr>
              <w:t>Analyte</w:t>
            </w:r>
          </w:p>
        </w:tc>
        <w:tc>
          <w:tcPr>
            <w:tcW w:w="1234" w:type="dxa"/>
            <w:vMerge w:val="restart"/>
            <w:tcBorders>
              <w:top w:val="single" w:sz="12" w:space="0" w:color="000000"/>
              <w:left w:val="single" w:sz="12" w:space="0" w:color="000000"/>
              <w:bottom w:val="single" w:sz="12" w:space="0" w:color="000000"/>
              <w:right w:val="single" w:sz="12" w:space="0" w:color="000000"/>
            </w:tcBorders>
            <w:vAlign w:val="center"/>
          </w:tcPr>
          <w:p w14:paraId="7DEDA74F" w14:textId="7A048AF1" w:rsidR="0066319D" w:rsidRDefault="0066319D" w:rsidP="00781638">
            <w:pPr>
              <w:spacing w:after="0" w:line="259" w:lineRule="auto"/>
              <w:ind w:left="127" w:right="90" w:firstLine="0"/>
              <w:jc w:val="center"/>
            </w:pPr>
            <w:r>
              <w:rPr>
                <w:b/>
                <w:sz w:val="18"/>
              </w:rPr>
              <w:t>CAS Number</w:t>
            </w:r>
          </w:p>
        </w:tc>
        <w:tc>
          <w:tcPr>
            <w:tcW w:w="1652" w:type="dxa"/>
            <w:gridSpan w:val="2"/>
            <w:tcBorders>
              <w:top w:val="single" w:sz="12" w:space="0" w:color="000000"/>
              <w:left w:val="single" w:sz="12" w:space="0" w:color="000000"/>
              <w:bottom w:val="single" w:sz="12" w:space="0" w:color="000000"/>
              <w:right w:val="single" w:sz="12" w:space="0" w:color="000000"/>
            </w:tcBorders>
            <w:vAlign w:val="center"/>
          </w:tcPr>
          <w:p w14:paraId="2138728B" w14:textId="1B532CA6" w:rsidR="0066319D" w:rsidRDefault="0066319D" w:rsidP="00781638">
            <w:pPr>
              <w:spacing w:after="0" w:line="259" w:lineRule="auto"/>
              <w:ind w:left="0" w:right="9" w:firstLine="0"/>
              <w:jc w:val="center"/>
            </w:pPr>
            <w:r>
              <w:rPr>
                <w:b/>
                <w:sz w:val="18"/>
              </w:rPr>
              <w:t>Aqueous</w:t>
            </w:r>
          </w:p>
        </w:tc>
        <w:tc>
          <w:tcPr>
            <w:tcW w:w="1873" w:type="dxa"/>
            <w:gridSpan w:val="2"/>
            <w:tcBorders>
              <w:top w:val="single" w:sz="12" w:space="0" w:color="000000"/>
              <w:left w:val="single" w:sz="12" w:space="0" w:color="000000"/>
              <w:bottom w:val="single" w:sz="12" w:space="0" w:color="000000"/>
              <w:right w:val="single" w:sz="12" w:space="0" w:color="000000"/>
            </w:tcBorders>
            <w:vAlign w:val="center"/>
          </w:tcPr>
          <w:p w14:paraId="0D8F0741" w14:textId="60E4A1C3" w:rsidR="0066319D" w:rsidRDefault="0066319D" w:rsidP="00781638">
            <w:pPr>
              <w:spacing w:after="0" w:line="259" w:lineRule="auto"/>
              <w:ind w:left="238" w:right="207" w:firstLine="0"/>
              <w:jc w:val="center"/>
            </w:pPr>
            <w:r>
              <w:rPr>
                <w:b/>
                <w:sz w:val="18"/>
              </w:rPr>
              <w:t xml:space="preserve">Soil/Sediment </w:t>
            </w:r>
            <w:r>
              <w:rPr>
                <w:sz w:val="18"/>
              </w:rPr>
              <w:t>(low concentration)</w:t>
            </w:r>
          </w:p>
        </w:tc>
        <w:tc>
          <w:tcPr>
            <w:tcW w:w="1996" w:type="dxa"/>
            <w:gridSpan w:val="2"/>
            <w:tcBorders>
              <w:top w:val="single" w:sz="12" w:space="0" w:color="000000"/>
              <w:left w:val="single" w:sz="12" w:space="0" w:color="000000"/>
              <w:bottom w:val="single" w:sz="12" w:space="0" w:color="000000"/>
              <w:right w:val="single" w:sz="12" w:space="0" w:color="000000"/>
            </w:tcBorders>
            <w:vAlign w:val="center"/>
          </w:tcPr>
          <w:p w14:paraId="3F99D754" w14:textId="3E1E9E4A" w:rsidR="0066319D" w:rsidRDefault="0066319D" w:rsidP="004A51A9">
            <w:pPr>
              <w:spacing w:after="0" w:line="259" w:lineRule="auto"/>
              <w:ind w:left="-17" w:right="0" w:firstLine="0"/>
              <w:jc w:val="center"/>
            </w:pPr>
            <w:r>
              <w:rPr>
                <w:b/>
                <w:sz w:val="18"/>
              </w:rPr>
              <w:t>Wipes</w:t>
            </w:r>
          </w:p>
        </w:tc>
        <w:tc>
          <w:tcPr>
            <w:tcW w:w="1958" w:type="dxa"/>
            <w:vMerge w:val="restart"/>
            <w:tcBorders>
              <w:top w:val="single" w:sz="12" w:space="0" w:color="000000"/>
              <w:left w:val="single" w:sz="12" w:space="0" w:color="000000"/>
              <w:bottom w:val="single" w:sz="12" w:space="0" w:color="000000"/>
              <w:right w:val="single" w:sz="12" w:space="0" w:color="000000"/>
            </w:tcBorders>
            <w:vAlign w:val="center"/>
          </w:tcPr>
          <w:p w14:paraId="0BE6770D" w14:textId="37AB5EAA" w:rsidR="0066319D" w:rsidRDefault="0066319D" w:rsidP="00781638">
            <w:pPr>
              <w:spacing w:after="0" w:line="259" w:lineRule="auto"/>
              <w:ind w:left="0" w:right="0" w:firstLine="0"/>
              <w:jc w:val="center"/>
            </w:pPr>
            <w:r>
              <w:rPr>
                <w:b/>
                <w:sz w:val="18"/>
              </w:rPr>
              <w:t>Required Method</w:t>
            </w:r>
          </w:p>
        </w:tc>
      </w:tr>
      <w:tr w:rsidR="0066319D" w14:paraId="44283386" w14:textId="77777777" w:rsidTr="00F53F99">
        <w:trPr>
          <w:trHeight w:val="271"/>
        </w:trPr>
        <w:tc>
          <w:tcPr>
            <w:tcW w:w="1907" w:type="dxa"/>
            <w:vMerge/>
            <w:tcBorders>
              <w:top w:val="nil"/>
              <w:left w:val="single" w:sz="12" w:space="0" w:color="000000"/>
              <w:bottom w:val="single" w:sz="12" w:space="0" w:color="000000"/>
              <w:right w:val="single" w:sz="12" w:space="0" w:color="000000"/>
            </w:tcBorders>
            <w:vAlign w:val="center"/>
          </w:tcPr>
          <w:p w14:paraId="66150DF4" w14:textId="77777777" w:rsidR="00B56D50" w:rsidRDefault="00B56D50" w:rsidP="00017AB4">
            <w:pPr>
              <w:spacing w:after="160" w:line="259" w:lineRule="auto"/>
              <w:ind w:left="0" w:right="0" w:firstLine="0"/>
              <w:jc w:val="center"/>
            </w:pPr>
          </w:p>
        </w:tc>
        <w:tc>
          <w:tcPr>
            <w:tcW w:w="1234" w:type="dxa"/>
            <w:vMerge/>
            <w:tcBorders>
              <w:top w:val="nil"/>
              <w:left w:val="single" w:sz="12" w:space="0" w:color="000000"/>
              <w:bottom w:val="single" w:sz="12" w:space="0" w:color="000000"/>
              <w:right w:val="single" w:sz="12" w:space="0" w:color="000000"/>
            </w:tcBorders>
            <w:vAlign w:val="center"/>
          </w:tcPr>
          <w:p w14:paraId="50C5256D" w14:textId="77777777" w:rsidR="00B56D50" w:rsidRDefault="00B56D50" w:rsidP="00017AB4">
            <w:pPr>
              <w:spacing w:after="160" w:line="259" w:lineRule="auto"/>
              <w:ind w:left="0" w:right="0" w:firstLine="0"/>
              <w:jc w:val="center"/>
            </w:pPr>
          </w:p>
        </w:tc>
        <w:tc>
          <w:tcPr>
            <w:tcW w:w="783" w:type="dxa"/>
            <w:tcBorders>
              <w:top w:val="single" w:sz="12" w:space="0" w:color="000000"/>
              <w:left w:val="single" w:sz="12" w:space="0" w:color="000000"/>
              <w:bottom w:val="single" w:sz="12" w:space="0" w:color="000000"/>
              <w:right w:val="single" w:sz="12" w:space="0" w:color="000000"/>
            </w:tcBorders>
            <w:vAlign w:val="center"/>
          </w:tcPr>
          <w:p w14:paraId="3639B3FE" w14:textId="445B7B2C" w:rsidR="00B56D50" w:rsidRDefault="001C3C42" w:rsidP="00781638">
            <w:pPr>
              <w:spacing w:after="0" w:line="259" w:lineRule="auto"/>
              <w:ind w:left="0" w:right="7" w:firstLine="0"/>
              <w:jc w:val="center"/>
            </w:pPr>
            <w:r>
              <w:rPr>
                <w:b/>
                <w:sz w:val="18"/>
              </w:rPr>
              <w:t>RL</w:t>
            </w:r>
          </w:p>
        </w:tc>
        <w:tc>
          <w:tcPr>
            <w:tcW w:w="869" w:type="dxa"/>
            <w:tcBorders>
              <w:top w:val="single" w:sz="12" w:space="0" w:color="000000"/>
              <w:left w:val="single" w:sz="12" w:space="0" w:color="000000"/>
              <w:bottom w:val="single" w:sz="12" w:space="0" w:color="000000"/>
              <w:right w:val="single" w:sz="12" w:space="0" w:color="000000"/>
            </w:tcBorders>
            <w:vAlign w:val="center"/>
          </w:tcPr>
          <w:p w14:paraId="5EBAF89B" w14:textId="0491118B" w:rsidR="00B56D50" w:rsidRDefault="001C3C42" w:rsidP="00781638">
            <w:pPr>
              <w:spacing w:after="0" w:line="259" w:lineRule="auto"/>
              <w:ind w:left="0" w:right="5" w:firstLine="0"/>
              <w:jc w:val="center"/>
            </w:pPr>
            <w:r>
              <w:rPr>
                <w:b/>
                <w:sz w:val="18"/>
              </w:rPr>
              <w:t>units</w:t>
            </w:r>
          </w:p>
        </w:tc>
        <w:tc>
          <w:tcPr>
            <w:tcW w:w="805" w:type="dxa"/>
            <w:tcBorders>
              <w:top w:val="single" w:sz="12" w:space="0" w:color="000000"/>
              <w:left w:val="single" w:sz="12" w:space="0" w:color="000000"/>
              <w:bottom w:val="single" w:sz="12" w:space="0" w:color="000000"/>
              <w:right w:val="single" w:sz="12" w:space="0" w:color="000000"/>
            </w:tcBorders>
            <w:vAlign w:val="center"/>
          </w:tcPr>
          <w:p w14:paraId="45E02A46" w14:textId="4C5AAAB5" w:rsidR="00B56D50" w:rsidRDefault="001C3C42" w:rsidP="00781638">
            <w:pPr>
              <w:spacing w:after="0" w:line="259" w:lineRule="auto"/>
              <w:ind w:left="0" w:right="5" w:firstLine="0"/>
              <w:jc w:val="center"/>
            </w:pPr>
            <w:r>
              <w:rPr>
                <w:b/>
                <w:sz w:val="18"/>
              </w:rPr>
              <w:t>RL</w:t>
            </w:r>
          </w:p>
        </w:tc>
        <w:tc>
          <w:tcPr>
            <w:tcW w:w="1068" w:type="dxa"/>
            <w:tcBorders>
              <w:top w:val="single" w:sz="12" w:space="0" w:color="000000"/>
              <w:left w:val="single" w:sz="12" w:space="0" w:color="000000"/>
              <w:bottom w:val="single" w:sz="12" w:space="0" w:color="000000"/>
              <w:right w:val="single" w:sz="12" w:space="0" w:color="000000"/>
            </w:tcBorders>
            <w:vAlign w:val="center"/>
          </w:tcPr>
          <w:p w14:paraId="43C2A2B6" w14:textId="4D53B7D9" w:rsidR="00B56D50" w:rsidRDefault="001C3C42" w:rsidP="00781638">
            <w:pPr>
              <w:spacing w:after="0" w:line="259" w:lineRule="auto"/>
              <w:ind w:left="0" w:right="7" w:firstLine="0"/>
              <w:jc w:val="center"/>
            </w:pPr>
            <w:r>
              <w:rPr>
                <w:b/>
                <w:sz w:val="18"/>
              </w:rPr>
              <w:t>units</w:t>
            </w:r>
          </w:p>
        </w:tc>
        <w:tc>
          <w:tcPr>
            <w:tcW w:w="784" w:type="dxa"/>
            <w:tcBorders>
              <w:top w:val="single" w:sz="12" w:space="0" w:color="000000"/>
              <w:left w:val="single" w:sz="12" w:space="0" w:color="000000"/>
              <w:bottom w:val="single" w:sz="12" w:space="0" w:color="000000"/>
              <w:right w:val="single" w:sz="12" w:space="0" w:color="000000"/>
            </w:tcBorders>
            <w:vAlign w:val="center"/>
          </w:tcPr>
          <w:p w14:paraId="1CE8ED72" w14:textId="1FC0CE5C" w:rsidR="00B56D50" w:rsidRDefault="001C3C42" w:rsidP="00781638">
            <w:pPr>
              <w:spacing w:after="0" w:line="259" w:lineRule="auto"/>
              <w:ind w:left="0" w:right="7" w:firstLine="0"/>
              <w:jc w:val="center"/>
            </w:pPr>
            <w:r>
              <w:rPr>
                <w:b/>
                <w:sz w:val="18"/>
              </w:rPr>
              <w:t>RL</w:t>
            </w:r>
          </w:p>
        </w:tc>
        <w:tc>
          <w:tcPr>
            <w:tcW w:w="1212" w:type="dxa"/>
            <w:tcBorders>
              <w:top w:val="single" w:sz="12" w:space="0" w:color="000000"/>
              <w:left w:val="single" w:sz="12" w:space="0" w:color="000000"/>
              <w:bottom w:val="single" w:sz="12" w:space="0" w:color="000000"/>
              <w:right w:val="single" w:sz="12" w:space="0" w:color="000000"/>
            </w:tcBorders>
            <w:vAlign w:val="center"/>
          </w:tcPr>
          <w:p w14:paraId="2EE9F346" w14:textId="42B960AF" w:rsidR="00B56D50" w:rsidRDefault="001C3C42" w:rsidP="00781638">
            <w:pPr>
              <w:spacing w:after="0" w:line="259" w:lineRule="auto"/>
              <w:ind w:left="0" w:right="5" w:firstLine="0"/>
              <w:jc w:val="center"/>
            </w:pPr>
            <w:r>
              <w:rPr>
                <w:b/>
                <w:sz w:val="18"/>
              </w:rPr>
              <w:t>units</w:t>
            </w:r>
          </w:p>
        </w:tc>
        <w:tc>
          <w:tcPr>
            <w:tcW w:w="1958" w:type="dxa"/>
            <w:vMerge/>
            <w:tcBorders>
              <w:top w:val="nil"/>
              <w:left w:val="single" w:sz="12" w:space="0" w:color="000000"/>
              <w:bottom w:val="single" w:sz="12" w:space="0" w:color="000000"/>
              <w:right w:val="single" w:sz="12" w:space="0" w:color="000000"/>
            </w:tcBorders>
            <w:vAlign w:val="center"/>
          </w:tcPr>
          <w:p w14:paraId="60269B7F" w14:textId="77777777" w:rsidR="00B56D50" w:rsidRDefault="00B56D50" w:rsidP="00017AB4">
            <w:pPr>
              <w:spacing w:after="160" w:line="259" w:lineRule="auto"/>
              <w:ind w:left="0" w:right="0" w:firstLine="0"/>
              <w:jc w:val="center"/>
            </w:pPr>
          </w:p>
        </w:tc>
      </w:tr>
      <w:tr w:rsidR="00300DB4" w14:paraId="536B555D" w14:textId="77777777" w:rsidTr="00F53F99">
        <w:trPr>
          <w:trHeight w:val="259"/>
        </w:trPr>
        <w:tc>
          <w:tcPr>
            <w:tcW w:w="1907" w:type="dxa"/>
            <w:tcBorders>
              <w:top w:val="single" w:sz="12" w:space="0" w:color="000000"/>
              <w:left w:val="single" w:sz="12" w:space="0" w:color="000000"/>
              <w:bottom w:val="single" w:sz="4" w:space="0" w:color="000000"/>
              <w:right w:val="single" w:sz="12" w:space="0" w:color="000000"/>
            </w:tcBorders>
            <w:vAlign w:val="center"/>
          </w:tcPr>
          <w:p w14:paraId="554D7418" w14:textId="77777777" w:rsidR="00300DB4" w:rsidRDefault="00300DB4" w:rsidP="00C161B3">
            <w:pPr>
              <w:spacing w:after="0" w:line="259" w:lineRule="auto"/>
              <w:ind w:left="65" w:right="0" w:firstLine="0"/>
            </w:pPr>
            <w:proofErr w:type="spellStart"/>
            <w:r>
              <w:rPr>
                <w:sz w:val="18"/>
              </w:rPr>
              <w:t>Aroclor</w:t>
            </w:r>
            <w:proofErr w:type="spellEnd"/>
            <w:r>
              <w:rPr>
                <w:sz w:val="18"/>
              </w:rPr>
              <w:t xml:space="preserve"> 1016 </w:t>
            </w:r>
          </w:p>
        </w:tc>
        <w:tc>
          <w:tcPr>
            <w:tcW w:w="1234" w:type="dxa"/>
            <w:tcBorders>
              <w:top w:val="single" w:sz="12" w:space="0" w:color="000000"/>
              <w:left w:val="single" w:sz="12" w:space="0" w:color="000000"/>
              <w:bottom w:val="single" w:sz="4" w:space="0" w:color="000000"/>
              <w:right w:val="single" w:sz="12" w:space="0" w:color="000000"/>
            </w:tcBorders>
            <w:vAlign w:val="center"/>
          </w:tcPr>
          <w:p w14:paraId="176BA373" w14:textId="51EA9BAB" w:rsidR="00300DB4" w:rsidRDefault="00300DB4" w:rsidP="004A51A9">
            <w:pPr>
              <w:spacing w:after="0" w:line="259" w:lineRule="auto"/>
              <w:ind w:left="0" w:right="2" w:firstLine="0"/>
              <w:jc w:val="center"/>
            </w:pPr>
            <w:r>
              <w:rPr>
                <w:sz w:val="18"/>
              </w:rPr>
              <w:t>12674-11-2</w:t>
            </w:r>
          </w:p>
        </w:tc>
        <w:tc>
          <w:tcPr>
            <w:tcW w:w="783" w:type="dxa"/>
            <w:tcBorders>
              <w:top w:val="single" w:sz="12" w:space="0" w:color="000000"/>
              <w:left w:val="single" w:sz="12" w:space="0" w:color="000000"/>
              <w:bottom w:val="single" w:sz="4" w:space="0" w:color="000000"/>
              <w:right w:val="single" w:sz="12" w:space="0" w:color="000000"/>
            </w:tcBorders>
            <w:vAlign w:val="center"/>
          </w:tcPr>
          <w:p w14:paraId="176A2761" w14:textId="3062E223" w:rsidR="00300DB4" w:rsidRDefault="00300DB4" w:rsidP="004A51A9">
            <w:pPr>
              <w:spacing w:after="0" w:line="259" w:lineRule="auto"/>
              <w:ind w:left="3" w:right="0" w:firstLine="0"/>
              <w:jc w:val="center"/>
            </w:pPr>
            <w:r>
              <w:rPr>
                <w:sz w:val="18"/>
              </w:rPr>
              <w:t>0.5</w:t>
            </w:r>
          </w:p>
        </w:tc>
        <w:tc>
          <w:tcPr>
            <w:tcW w:w="869" w:type="dxa"/>
            <w:tcBorders>
              <w:top w:val="single" w:sz="12" w:space="0" w:color="000000"/>
              <w:left w:val="single" w:sz="12" w:space="0" w:color="000000"/>
              <w:bottom w:val="single" w:sz="4" w:space="0" w:color="000000"/>
              <w:right w:val="single" w:sz="12" w:space="0" w:color="000000"/>
            </w:tcBorders>
            <w:vAlign w:val="center"/>
          </w:tcPr>
          <w:p w14:paraId="5E757B58" w14:textId="723095A1" w:rsidR="00300DB4" w:rsidRPr="00CD5619" w:rsidRDefault="00300DB4" w:rsidP="004A51A9">
            <w:pPr>
              <w:spacing w:after="0" w:line="259" w:lineRule="auto"/>
              <w:ind w:left="0" w:right="1" w:firstLine="0"/>
              <w:jc w:val="center"/>
            </w:pPr>
            <w:r w:rsidRPr="009A1C3E">
              <w:rPr>
                <w:rFonts w:eastAsia="Segoe UI Symbol"/>
                <w:sz w:val="18"/>
              </w:rPr>
              <w:t>ug/L</w:t>
            </w:r>
          </w:p>
        </w:tc>
        <w:tc>
          <w:tcPr>
            <w:tcW w:w="805" w:type="dxa"/>
            <w:tcBorders>
              <w:top w:val="single" w:sz="12" w:space="0" w:color="000000"/>
              <w:left w:val="single" w:sz="12" w:space="0" w:color="000000"/>
              <w:bottom w:val="single" w:sz="4" w:space="0" w:color="000000"/>
              <w:right w:val="single" w:sz="12" w:space="0" w:color="000000"/>
            </w:tcBorders>
            <w:vAlign w:val="center"/>
          </w:tcPr>
          <w:p w14:paraId="5C09C744" w14:textId="1632A296" w:rsidR="00300DB4" w:rsidRDefault="00300DB4" w:rsidP="004A51A9">
            <w:pPr>
              <w:spacing w:after="0" w:line="259" w:lineRule="auto"/>
              <w:ind w:left="0" w:right="2" w:firstLine="0"/>
              <w:jc w:val="center"/>
            </w:pPr>
            <w:r>
              <w:rPr>
                <w:sz w:val="18"/>
              </w:rPr>
              <w:t>1800</w:t>
            </w:r>
          </w:p>
        </w:tc>
        <w:tc>
          <w:tcPr>
            <w:tcW w:w="1068" w:type="dxa"/>
            <w:tcBorders>
              <w:top w:val="single" w:sz="12" w:space="0" w:color="000000"/>
              <w:left w:val="single" w:sz="12" w:space="0" w:color="000000"/>
              <w:bottom w:val="single" w:sz="4" w:space="0" w:color="000000"/>
              <w:right w:val="single" w:sz="12" w:space="0" w:color="000000"/>
            </w:tcBorders>
            <w:vAlign w:val="center"/>
          </w:tcPr>
          <w:p w14:paraId="7E2E75E8" w14:textId="391898C1" w:rsidR="00300DB4" w:rsidRDefault="00300DB4" w:rsidP="004A51A9">
            <w:pPr>
              <w:spacing w:after="0" w:line="259" w:lineRule="auto"/>
              <w:ind w:left="0" w:right="4" w:firstLine="0"/>
              <w:jc w:val="center"/>
            </w:pPr>
            <w:r>
              <w:rPr>
                <w:rFonts w:eastAsia="Segoe UI Symbol"/>
                <w:sz w:val="18"/>
              </w:rPr>
              <w:t>u</w:t>
            </w:r>
            <w:r>
              <w:rPr>
                <w:sz w:val="18"/>
              </w:rPr>
              <w:t>g/kg</w:t>
            </w:r>
          </w:p>
        </w:tc>
        <w:tc>
          <w:tcPr>
            <w:tcW w:w="784" w:type="dxa"/>
            <w:tcBorders>
              <w:top w:val="single" w:sz="12" w:space="0" w:color="000000"/>
              <w:left w:val="single" w:sz="12" w:space="0" w:color="000000"/>
              <w:bottom w:val="single" w:sz="4" w:space="0" w:color="000000"/>
              <w:right w:val="single" w:sz="12" w:space="0" w:color="000000"/>
            </w:tcBorders>
            <w:vAlign w:val="center"/>
          </w:tcPr>
          <w:p w14:paraId="576E4F4C" w14:textId="2109CFC9" w:rsidR="00300DB4" w:rsidRDefault="00300DB4" w:rsidP="004A51A9">
            <w:pPr>
              <w:spacing w:after="0" w:line="259" w:lineRule="auto"/>
              <w:ind w:left="4" w:right="0" w:firstLine="0"/>
              <w:jc w:val="center"/>
            </w:pPr>
            <w:r>
              <w:rPr>
                <w:sz w:val="18"/>
              </w:rPr>
              <w:t>10</w:t>
            </w:r>
          </w:p>
        </w:tc>
        <w:tc>
          <w:tcPr>
            <w:tcW w:w="1212" w:type="dxa"/>
            <w:tcBorders>
              <w:top w:val="single" w:sz="12" w:space="0" w:color="000000"/>
              <w:left w:val="single" w:sz="12" w:space="0" w:color="000000"/>
              <w:bottom w:val="single" w:sz="4" w:space="0" w:color="000000"/>
              <w:right w:val="single" w:sz="12" w:space="0" w:color="000000"/>
            </w:tcBorders>
            <w:vAlign w:val="center"/>
          </w:tcPr>
          <w:p w14:paraId="3DE506ED" w14:textId="5C8A2B96" w:rsidR="00300DB4" w:rsidRDefault="00300DB4" w:rsidP="004A51A9">
            <w:pPr>
              <w:spacing w:after="0" w:line="259" w:lineRule="auto"/>
              <w:ind w:left="0" w:right="2" w:firstLine="0"/>
              <w:jc w:val="center"/>
            </w:pPr>
            <w:r>
              <w:rPr>
                <w:sz w:val="18"/>
              </w:rPr>
              <w:t>ug/100 cm</w:t>
            </w:r>
            <w:r>
              <w:rPr>
                <w:sz w:val="18"/>
                <w:vertAlign w:val="superscript"/>
              </w:rPr>
              <w:t>2</w:t>
            </w:r>
          </w:p>
        </w:tc>
        <w:tc>
          <w:tcPr>
            <w:tcW w:w="1958" w:type="dxa"/>
            <w:tcBorders>
              <w:top w:val="single" w:sz="12" w:space="0" w:color="000000"/>
              <w:left w:val="single" w:sz="12" w:space="0" w:color="000000"/>
              <w:bottom w:val="single" w:sz="4" w:space="0" w:color="000000"/>
              <w:right w:val="single" w:sz="12" w:space="0" w:color="000000"/>
            </w:tcBorders>
            <w:vAlign w:val="center"/>
          </w:tcPr>
          <w:p w14:paraId="164796A7" w14:textId="3BB6EF49" w:rsidR="00300DB4" w:rsidRDefault="00300DB4" w:rsidP="004A51A9">
            <w:pPr>
              <w:spacing w:after="0" w:line="259" w:lineRule="auto"/>
              <w:ind w:left="2" w:right="0" w:firstLine="0"/>
              <w:jc w:val="center"/>
            </w:pPr>
            <w:r>
              <w:rPr>
                <w:sz w:val="18"/>
              </w:rPr>
              <w:t>8082</w:t>
            </w:r>
          </w:p>
        </w:tc>
      </w:tr>
      <w:tr w:rsidR="00300DB4" w14:paraId="5B1A0968" w14:textId="77777777" w:rsidTr="00F53F99">
        <w:trPr>
          <w:trHeight w:val="250"/>
        </w:trPr>
        <w:tc>
          <w:tcPr>
            <w:tcW w:w="1907" w:type="dxa"/>
            <w:tcBorders>
              <w:top w:val="single" w:sz="4" w:space="0" w:color="000000"/>
              <w:left w:val="single" w:sz="12" w:space="0" w:color="000000"/>
              <w:bottom w:val="single" w:sz="4" w:space="0" w:color="000000"/>
              <w:right w:val="single" w:sz="12" w:space="0" w:color="000000"/>
            </w:tcBorders>
            <w:vAlign w:val="center"/>
          </w:tcPr>
          <w:p w14:paraId="57B6C2AD" w14:textId="77777777" w:rsidR="00300DB4" w:rsidRDefault="00300DB4" w:rsidP="00C161B3">
            <w:pPr>
              <w:spacing w:after="0" w:line="259" w:lineRule="auto"/>
              <w:ind w:left="65" w:right="0" w:firstLine="0"/>
            </w:pPr>
            <w:proofErr w:type="spellStart"/>
            <w:r>
              <w:rPr>
                <w:sz w:val="18"/>
              </w:rPr>
              <w:t>Aroclor</w:t>
            </w:r>
            <w:proofErr w:type="spellEnd"/>
            <w:r>
              <w:rPr>
                <w:sz w:val="18"/>
              </w:rPr>
              <w:t xml:space="preserve"> 1221 </w:t>
            </w:r>
          </w:p>
        </w:tc>
        <w:tc>
          <w:tcPr>
            <w:tcW w:w="1234" w:type="dxa"/>
            <w:tcBorders>
              <w:top w:val="single" w:sz="4" w:space="0" w:color="000000"/>
              <w:left w:val="single" w:sz="12" w:space="0" w:color="000000"/>
              <w:bottom w:val="single" w:sz="4" w:space="0" w:color="000000"/>
              <w:right w:val="single" w:sz="12" w:space="0" w:color="000000"/>
            </w:tcBorders>
            <w:vAlign w:val="center"/>
          </w:tcPr>
          <w:p w14:paraId="19574449" w14:textId="74069C88" w:rsidR="00300DB4" w:rsidRDefault="00300DB4" w:rsidP="004A51A9">
            <w:pPr>
              <w:spacing w:after="0" w:line="259" w:lineRule="auto"/>
              <w:ind w:left="0" w:right="2" w:firstLine="0"/>
              <w:jc w:val="center"/>
            </w:pPr>
            <w:r>
              <w:rPr>
                <w:sz w:val="18"/>
              </w:rPr>
              <w:t>11104-28-2</w:t>
            </w:r>
          </w:p>
        </w:tc>
        <w:tc>
          <w:tcPr>
            <w:tcW w:w="783" w:type="dxa"/>
            <w:tcBorders>
              <w:top w:val="single" w:sz="4" w:space="0" w:color="000000"/>
              <w:left w:val="single" w:sz="12" w:space="0" w:color="000000"/>
              <w:bottom w:val="single" w:sz="4" w:space="0" w:color="000000"/>
              <w:right w:val="single" w:sz="12" w:space="0" w:color="000000"/>
            </w:tcBorders>
            <w:vAlign w:val="center"/>
          </w:tcPr>
          <w:p w14:paraId="43E36B67" w14:textId="3CB00584" w:rsidR="00300DB4" w:rsidRDefault="00300DB4" w:rsidP="004A51A9">
            <w:pPr>
              <w:spacing w:after="0" w:line="259" w:lineRule="auto"/>
              <w:ind w:left="3" w:right="0" w:firstLine="0"/>
              <w:jc w:val="center"/>
            </w:pPr>
            <w:r>
              <w:rPr>
                <w:sz w:val="18"/>
              </w:rPr>
              <w:t>0.5</w:t>
            </w:r>
          </w:p>
        </w:tc>
        <w:tc>
          <w:tcPr>
            <w:tcW w:w="869" w:type="dxa"/>
            <w:tcBorders>
              <w:top w:val="single" w:sz="4" w:space="0" w:color="000000"/>
              <w:left w:val="single" w:sz="12" w:space="0" w:color="000000"/>
              <w:bottom w:val="single" w:sz="4" w:space="0" w:color="000000"/>
              <w:right w:val="single" w:sz="12" w:space="0" w:color="000000"/>
            </w:tcBorders>
            <w:vAlign w:val="center"/>
          </w:tcPr>
          <w:p w14:paraId="069C21D1" w14:textId="47D07963" w:rsidR="00300DB4" w:rsidRPr="00EC7FB1" w:rsidRDefault="00300DB4" w:rsidP="004A51A9">
            <w:pPr>
              <w:spacing w:after="0" w:line="259" w:lineRule="auto"/>
              <w:ind w:left="0" w:right="1" w:firstLine="0"/>
              <w:jc w:val="center"/>
            </w:pPr>
            <w:r w:rsidRPr="00515BA4">
              <w:rPr>
                <w:sz w:val="18"/>
              </w:rPr>
              <w:t>ug/L</w:t>
            </w:r>
          </w:p>
        </w:tc>
        <w:tc>
          <w:tcPr>
            <w:tcW w:w="805" w:type="dxa"/>
            <w:tcBorders>
              <w:top w:val="single" w:sz="4" w:space="0" w:color="000000"/>
              <w:left w:val="single" w:sz="12" w:space="0" w:color="000000"/>
              <w:bottom w:val="single" w:sz="4" w:space="0" w:color="000000"/>
              <w:right w:val="single" w:sz="12" w:space="0" w:color="000000"/>
            </w:tcBorders>
            <w:vAlign w:val="center"/>
          </w:tcPr>
          <w:p w14:paraId="2ECA08C6" w14:textId="5C47AF2C" w:rsidR="00300DB4" w:rsidRDefault="00300DB4" w:rsidP="004A51A9">
            <w:pPr>
              <w:spacing w:after="0" w:line="259" w:lineRule="auto"/>
              <w:ind w:left="0" w:right="0" w:firstLine="0"/>
              <w:jc w:val="center"/>
            </w:pPr>
            <w:r>
              <w:rPr>
                <w:sz w:val="18"/>
              </w:rPr>
              <w:t>1800</w:t>
            </w:r>
          </w:p>
        </w:tc>
        <w:tc>
          <w:tcPr>
            <w:tcW w:w="1068" w:type="dxa"/>
            <w:tcBorders>
              <w:top w:val="single" w:sz="4" w:space="0" w:color="000000"/>
              <w:left w:val="single" w:sz="12" w:space="0" w:color="000000"/>
              <w:bottom w:val="single" w:sz="4" w:space="0" w:color="000000"/>
              <w:right w:val="single" w:sz="12" w:space="0" w:color="000000"/>
            </w:tcBorders>
            <w:vAlign w:val="center"/>
          </w:tcPr>
          <w:p w14:paraId="17BF501A" w14:textId="0DA273AA" w:rsidR="00300DB4" w:rsidRDefault="00300DB4" w:rsidP="004A51A9">
            <w:pPr>
              <w:spacing w:after="0" w:line="259" w:lineRule="auto"/>
              <w:ind w:left="0" w:right="4" w:firstLine="0"/>
              <w:jc w:val="center"/>
            </w:pPr>
            <w:r>
              <w:rPr>
                <w:rFonts w:eastAsia="Segoe UI Symbol"/>
                <w:sz w:val="18"/>
              </w:rPr>
              <w:t>u</w:t>
            </w:r>
            <w:r>
              <w:rPr>
                <w:sz w:val="18"/>
              </w:rPr>
              <w:t>g/kg</w:t>
            </w:r>
          </w:p>
        </w:tc>
        <w:tc>
          <w:tcPr>
            <w:tcW w:w="784" w:type="dxa"/>
            <w:tcBorders>
              <w:top w:val="single" w:sz="4" w:space="0" w:color="000000"/>
              <w:left w:val="single" w:sz="12" w:space="0" w:color="000000"/>
              <w:bottom w:val="single" w:sz="4" w:space="0" w:color="000000"/>
              <w:right w:val="single" w:sz="12" w:space="0" w:color="000000"/>
            </w:tcBorders>
            <w:vAlign w:val="center"/>
          </w:tcPr>
          <w:p w14:paraId="2170A374" w14:textId="10750D97" w:rsidR="00300DB4" w:rsidRDefault="00300DB4" w:rsidP="004A51A9">
            <w:pPr>
              <w:spacing w:after="0" w:line="259" w:lineRule="auto"/>
              <w:ind w:left="4" w:right="0" w:firstLine="0"/>
              <w:jc w:val="center"/>
            </w:pPr>
            <w:r>
              <w:rPr>
                <w:sz w:val="18"/>
              </w:rPr>
              <w:t>10</w:t>
            </w:r>
          </w:p>
        </w:tc>
        <w:tc>
          <w:tcPr>
            <w:tcW w:w="1212" w:type="dxa"/>
            <w:tcBorders>
              <w:top w:val="single" w:sz="4" w:space="0" w:color="000000"/>
              <w:left w:val="single" w:sz="12" w:space="0" w:color="000000"/>
              <w:bottom w:val="single" w:sz="4" w:space="0" w:color="000000"/>
              <w:right w:val="single" w:sz="12" w:space="0" w:color="000000"/>
            </w:tcBorders>
            <w:vAlign w:val="center"/>
          </w:tcPr>
          <w:p w14:paraId="793B60D8" w14:textId="23CD9C0A" w:rsidR="00300DB4" w:rsidRDefault="00300DB4" w:rsidP="004A51A9">
            <w:pPr>
              <w:spacing w:after="0" w:line="259" w:lineRule="auto"/>
              <w:ind w:left="0" w:right="2" w:firstLine="0"/>
              <w:jc w:val="center"/>
            </w:pPr>
            <w:r>
              <w:rPr>
                <w:sz w:val="18"/>
              </w:rPr>
              <w:t>ug/100 cm</w:t>
            </w:r>
            <w:r>
              <w:rPr>
                <w:sz w:val="18"/>
                <w:vertAlign w:val="superscript"/>
              </w:rPr>
              <w:t>2</w:t>
            </w:r>
          </w:p>
        </w:tc>
        <w:tc>
          <w:tcPr>
            <w:tcW w:w="1958" w:type="dxa"/>
            <w:tcBorders>
              <w:top w:val="single" w:sz="4" w:space="0" w:color="000000"/>
              <w:left w:val="single" w:sz="12" w:space="0" w:color="000000"/>
              <w:bottom w:val="single" w:sz="4" w:space="0" w:color="000000"/>
              <w:right w:val="single" w:sz="12" w:space="0" w:color="000000"/>
            </w:tcBorders>
            <w:vAlign w:val="center"/>
          </w:tcPr>
          <w:p w14:paraId="75FF3826" w14:textId="21E7F3A4" w:rsidR="00300DB4" w:rsidRDefault="00300DB4" w:rsidP="004A51A9">
            <w:pPr>
              <w:spacing w:after="0" w:line="259" w:lineRule="auto"/>
              <w:ind w:left="2" w:right="0" w:firstLine="0"/>
              <w:jc w:val="center"/>
            </w:pPr>
            <w:r>
              <w:rPr>
                <w:sz w:val="18"/>
              </w:rPr>
              <w:t>8082</w:t>
            </w:r>
          </w:p>
        </w:tc>
      </w:tr>
      <w:tr w:rsidR="00300DB4" w14:paraId="2988B9FA" w14:textId="77777777" w:rsidTr="00F53F99">
        <w:trPr>
          <w:trHeight w:val="250"/>
        </w:trPr>
        <w:tc>
          <w:tcPr>
            <w:tcW w:w="1907" w:type="dxa"/>
            <w:tcBorders>
              <w:top w:val="single" w:sz="4" w:space="0" w:color="000000"/>
              <w:left w:val="single" w:sz="12" w:space="0" w:color="000000"/>
              <w:bottom w:val="single" w:sz="4" w:space="0" w:color="000000"/>
              <w:right w:val="single" w:sz="12" w:space="0" w:color="000000"/>
            </w:tcBorders>
            <w:vAlign w:val="center"/>
          </w:tcPr>
          <w:p w14:paraId="10E7C183" w14:textId="77777777" w:rsidR="00300DB4" w:rsidRDefault="00300DB4" w:rsidP="00C161B3">
            <w:pPr>
              <w:spacing w:after="0" w:line="259" w:lineRule="auto"/>
              <w:ind w:left="65" w:right="0" w:firstLine="0"/>
            </w:pPr>
            <w:proofErr w:type="spellStart"/>
            <w:r>
              <w:rPr>
                <w:sz w:val="18"/>
              </w:rPr>
              <w:t>Aroclor</w:t>
            </w:r>
            <w:proofErr w:type="spellEnd"/>
            <w:r>
              <w:rPr>
                <w:sz w:val="18"/>
              </w:rPr>
              <w:t xml:space="preserve"> 1232 </w:t>
            </w:r>
          </w:p>
        </w:tc>
        <w:tc>
          <w:tcPr>
            <w:tcW w:w="1234" w:type="dxa"/>
            <w:tcBorders>
              <w:top w:val="single" w:sz="4" w:space="0" w:color="000000"/>
              <w:left w:val="single" w:sz="12" w:space="0" w:color="000000"/>
              <w:bottom w:val="single" w:sz="4" w:space="0" w:color="000000"/>
              <w:right w:val="single" w:sz="12" w:space="0" w:color="000000"/>
            </w:tcBorders>
            <w:vAlign w:val="center"/>
          </w:tcPr>
          <w:p w14:paraId="25F77331" w14:textId="5A7AA368" w:rsidR="00300DB4" w:rsidRDefault="00300DB4" w:rsidP="004A51A9">
            <w:pPr>
              <w:spacing w:after="0" w:line="259" w:lineRule="auto"/>
              <w:ind w:left="0" w:right="2" w:firstLine="0"/>
              <w:jc w:val="center"/>
            </w:pPr>
            <w:r>
              <w:rPr>
                <w:sz w:val="18"/>
              </w:rPr>
              <w:t>11141-16-5</w:t>
            </w:r>
          </w:p>
        </w:tc>
        <w:tc>
          <w:tcPr>
            <w:tcW w:w="783" w:type="dxa"/>
            <w:tcBorders>
              <w:top w:val="single" w:sz="4" w:space="0" w:color="000000"/>
              <w:left w:val="single" w:sz="12" w:space="0" w:color="000000"/>
              <w:bottom w:val="single" w:sz="4" w:space="0" w:color="000000"/>
              <w:right w:val="single" w:sz="12" w:space="0" w:color="000000"/>
            </w:tcBorders>
            <w:vAlign w:val="center"/>
          </w:tcPr>
          <w:p w14:paraId="210AE5E9" w14:textId="2DDBBBE7" w:rsidR="00300DB4" w:rsidRDefault="00300DB4" w:rsidP="004A51A9">
            <w:pPr>
              <w:spacing w:after="0" w:line="259" w:lineRule="auto"/>
              <w:ind w:left="3" w:right="0" w:firstLine="0"/>
              <w:jc w:val="center"/>
            </w:pPr>
            <w:r>
              <w:rPr>
                <w:sz w:val="18"/>
              </w:rPr>
              <w:t>0.5</w:t>
            </w:r>
          </w:p>
        </w:tc>
        <w:tc>
          <w:tcPr>
            <w:tcW w:w="869" w:type="dxa"/>
            <w:tcBorders>
              <w:top w:val="single" w:sz="4" w:space="0" w:color="000000"/>
              <w:left w:val="single" w:sz="12" w:space="0" w:color="000000"/>
              <w:bottom w:val="single" w:sz="4" w:space="0" w:color="000000"/>
              <w:right w:val="single" w:sz="12" w:space="0" w:color="000000"/>
            </w:tcBorders>
            <w:vAlign w:val="center"/>
          </w:tcPr>
          <w:p w14:paraId="3A22DD95" w14:textId="61C44EB4" w:rsidR="00300DB4" w:rsidRPr="00EC7FB1" w:rsidRDefault="00300DB4" w:rsidP="004A51A9">
            <w:pPr>
              <w:spacing w:after="0" w:line="259" w:lineRule="auto"/>
              <w:ind w:left="0" w:right="1" w:firstLine="0"/>
              <w:jc w:val="center"/>
            </w:pPr>
            <w:r w:rsidRPr="00515BA4">
              <w:rPr>
                <w:sz w:val="18"/>
              </w:rPr>
              <w:t>ug/L</w:t>
            </w:r>
          </w:p>
        </w:tc>
        <w:tc>
          <w:tcPr>
            <w:tcW w:w="805" w:type="dxa"/>
            <w:tcBorders>
              <w:top w:val="single" w:sz="4" w:space="0" w:color="000000"/>
              <w:left w:val="single" w:sz="12" w:space="0" w:color="000000"/>
              <w:bottom w:val="single" w:sz="4" w:space="0" w:color="000000"/>
              <w:right w:val="single" w:sz="12" w:space="0" w:color="000000"/>
            </w:tcBorders>
            <w:vAlign w:val="center"/>
          </w:tcPr>
          <w:p w14:paraId="669B70F9" w14:textId="4552C644" w:rsidR="00300DB4" w:rsidRDefault="00300DB4" w:rsidP="004A51A9">
            <w:pPr>
              <w:spacing w:after="0" w:line="259" w:lineRule="auto"/>
              <w:ind w:left="0" w:right="0" w:firstLine="0"/>
              <w:jc w:val="center"/>
            </w:pPr>
            <w:r>
              <w:rPr>
                <w:sz w:val="18"/>
              </w:rPr>
              <w:t>1800</w:t>
            </w:r>
          </w:p>
        </w:tc>
        <w:tc>
          <w:tcPr>
            <w:tcW w:w="1068" w:type="dxa"/>
            <w:tcBorders>
              <w:top w:val="single" w:sz="4" w:space="0" w:color="000000"/>
              <w:left w:val="single" w:sz="12" w:space="0" w:color="000000"/>
              <w:bottom w:val="single" w:sz="4" w:space="0" w:color="000000"/>
              <w:right w:val="single" w:sz="12" w:space="0" w:color="000000"/>
            </w:tcBorders>
            <w:vAlign w:val="center"/>
          </w:tcPr>
          <w:p w14:paraId="7449E41C" w14:textId="1600D1D9" w:rsidR="00300DB4" w:rsidRDefault="00300DB4" w:rsidP="004A51A9">
            <w:pPr>
              <w:spacing w:after="0" w:line="259" w:lineRule="auto"/>
              <w:ind w:left="0" w:right="4" w:firstLine="0"/>
              <w:jc w:val="center"/>
            </w:pPr>
            <w:r>
              <w:rPr>
                <w:rFonts w:eastAsia="Segoe UI Symbol"/>
                <w:sz w:val="18"/>
              </w:rPr>
              <w:t>u</w:t>
            </w:r>
            <w:r>
              <w:rPr>
                <w:sz w:val="18"/>
              </w:rPr>
              <w:t>g/kg</w:t>
            </w:r>
          </w:p>
        </w:tc>
        <w:tc>
          <w:tcPr>
            <w:tcW w:w="784" w:type="dxa"/>
            <w:tcBorders>
              <w:top w:val="single" w:sz="4" w:space="0" w:color="000000"/>
              <w:left w:val="single" w:sz="12" w:space="0" w:color="000000"/>
              <w:bottom w:val="single" w:sz="4" w:space="0" w:color="000000"/>
              <w:right w:val="single" w:sz="12" w:space="0" w:color="000000"/>
            </w:tcBorders>
            <w:vAlign w:val="center"/>
          </w:tcPr>
          <w:p w14:paraId="51C0F657" w14:textId="75971CD7" w:rsidR="00300DB4" w:rsidRDefault="00300DB4" w:rsidP="004A51A9">
            <w:pPr>
              <w:spacing w:after="0" w:line="259" w:lineRule="auto"/>
              <w:ind w:left="4" w:right="0" w:firstLine="0"/>
              <w:jc w:val="center"/>
            </w:pPr>
            <w:r>
              <w:rPr>
                <w:sz w:val="18"/>
              </w:rPr>
              <w:t>10</w:t>
            </w:r>
          </w:p>
        </w:tc>
        <w:tc>
          <w:tcPr>
            <w:tcW w:w="1212" w:type="dxa"/>
            <w:tcBorders>
              <w:top w:val="single" w:sz="4" w:space="0" w:color="000000"/>
              <w:left w:val="single" w:sz="12" w:space="0" w:color="000000"/>
              <w:bottom w:val="single" w:sz="4" w:space="0" w:color="000000"/>
              <w:right w:val="single" w:sz="12" w:space="0" w:color="000000"/>
            </w:tcBorders>
            <w:vAlign w:val="center"/>
          </w:tcPr>
          <w:p w14:paraId="72B73E4B" w14:textId="430C3BAA" w:rsidR="00300DB4" w:rsidRDefault="00300DB4" w:rsidP="004A51A9">
            <w:pPr>
              <w:spacing w:after="0" w:line="259" w:lineRule="auto"/>
              <w:ind w:left="0" w:right="2" w:firstLine="0"/>
              <w:jc w:val="center"/>
            </w:pPr>
            <w:r>
              <w:rPr>
                <w:sz w:val="18"/>
              </w:rPr>
              <w:t>ug/100 cm</w:t>
            </w:r>
            <w:r>
              <w:rPr>
                <w:sz w:val="18"/>
                <w:vertAlign w:val="superscript"/>
              </w:rPr>
              <w:t>2</w:t>
            </w:r>
          </w:p>
        </w:tc>
        <w:tc>
          <w:tcPr>
            <w:tcW w:w="1958" w:type="dxa"/>
            <w:tcBorders>
              <w:top w:val="single" w:sz="4" w:space="0" w:color="000000"/>
              <w:left w:val="single" w:sz="12" w:space="0" w:color="000000"/>
              <w:bottom w:val="single" w:sz="4" w:space="0" w:color="000000"/>
              <w:right w:val="single" w:sz="12" w:space="0" w:color="000000"/>
            </w:tcBorders>
            <w:vAlign w:val="center"/>
          </w:tcPr>
          <w:p w14:paraId="7ADDC984" w14:textId="4759AE4B" w:rsidR="00300DB4" w:rsidRDefault="00300DB4" w:rsidP="004A51A9">
            <w:pPr>
              <w:spacing w:after="0" w:line="259" w:lineRule="auto"/>
              <w:ind w:left="2" w:right="0" w:firstLine="0"/>
              <w:jc w:val="center"/>
            </w:pPr>
            <w:r>
              <w:rPr>
                <w:sz w:val="18"/>
              </w:rPr>
              <w:t>8082</w:t>
            </w:r>
          </w:p>
        </w:tc>
      </w:tr>
      <w:tr w:rsidR="00300DB4" w14:paraId="3582443C" w14:textId="77777777" w:rsidTr="00F53F99">
        <w:trPr>
          <w:trHeight w:val="252"/>
        </w:trPr>
        <w:tc>
          <w:tcPr>
            <w:tcW w:w="1907" w:type="dxa"/>
            <w:tcBorders>
              <w:top w:val="single" w:sz="4" w:space="0" w:color="000000"/>
              <w:left w:val="single" w:sz="12" w:space="0" w:color="000000"/>
              <w:bottom w:val="single" w:sz="4" w:space="0" w:color="000000"/>
              <w:right w:val="single" w:sz="12" w:space="0" w:color="000000"/>
            </w:tcBorders>
            <w:vAlign w:val="center"/>
          </w:tcPr>
          <w:p w14:paraId="7D536A62" w14:textId="77777777" w:rsidR="00300DB4" w:rsidRDefault="00300DB4" w:rsidP="00C161B3">
            <w:pPr>
              <w:spacing w:after="0" w:line="259" w:lineRule="auto"/>
              <w:ind w:left="65" w:right="0" w:firstLine="0"/>
            </w:pPr>
            <w:proofErr w:type="spellStart"/>
            <w:r>
              <w:rPr>
                <w:sz w:val="18"/>
              </w:rPr>
              <w:t>Aroclor</w:t>
            </w:r>
            <w:proofErr w:type="spellEnd"/>
            <w:r>
              <w:rPr>
                <w:sz w:val="18"/>
              </w:rPr>
              <w:t xml:space="preserve"> 1242 </w:t>
            </w:r>
          </w:p>
        </w:tc>
        <w:tc>
          <w:tcPr>
            <w:tcW w:w="1234" w:type="dxa"/>
            <w:tcBorders>
              <w:top w:val="single" w:sz="4" w:space="0" w:color="000000"/>
              <w:left w:val="single" w:sz="12" w:space="0" w:color="000000"/>
              <w:bottom w:val="single" w:sz="4" w:space="0" w:color="000000"/>
              <w:right w:val="single" w:sz="12" w:space="0" w:color="000000"/>
            </w:tcBorders>
            <w:vAlign w:val="center"/>
          </w:tcPr>
          <w:p w14:paraId="04252525" w14:textId="56803C4D" w:rsidR="00300DB4" w:rsidRDefault="00300DB4" w:rsidP="004A51A9">
            <w:pPr>
              <w:spacing w:after="0" w:line="259" w:lineRule="auto"/>
              <w:ind w:left="0" w:right="2" w:firstLine="0"/>
              <w:jc w:val="center"/>
            </w:pPr>
            <w:r>
              <w:rPr>
                <w:sz w:val="18"/>
              </w:rPr>
              <w:t>53469-21-9</w:t>
            </w:r>
          </w:p>
        </w:tc>
        <w:tc>
          <w:tcPr>
            <w:tcW w:w="783" w:type="dxa"/>
            <w:tcBorders>
              <w:top w:val="single" w:sz="4" w:space="0" w:color="000000"/>
              <w:left w:val="single" w:sz="12" w:space="0" w:color="000000"/>
              <w:bottom w:val="single" w:sz="4" w:space="0" w:color="000000"/>
              <w:right w:val="single" w:sz="12" w:space="0" w:color="000000"/>
            </w:tcBorders>
            <w:vAlign w:val="center"/>
          </w:tcPr>
          <w:p w14:paraId="200EB384" w14:textId="109633A3" w:rsidR="00300DB4" w:rsidRDefault="00300DB4" w:rsidP="004A51A9">
            <w:pPr>
              <w:spacing w:after="0" w:line="259" w:lineRule="auto"/>
              <w:ind w:left="3" w:right="0" w:firstLine="0"/>
              <w:jc w:val="center"/>
            </w:pPr>
            <w:r>
              <w:rPr>
                <w:sz w:val="18"/>
              </w:rPr>
              <w:t>0.5</w:t>
            </w:r>
          </w:p>
        </w:tc>
        <w:tc>
          <w:tcPr>
            <w:tcW w:w="869" w:type="dxa"/>
            <w:tcBorders>
              <w:top w:val="single" w:sz="4" w:space="0" w:color="000000"/>
              <w:left w:val="single" w:sz="12" w:space="0" w:color="000000"/>
              <w:bottom w:val="single" w:sz="4" w:space="0" w:color="000000"/>
              <w:right w:val="single" w:sz="12" w:space="0" w:color="000000"/>
            </w:tcBorders>
            <w:vAlign w:val="center"/>
          </w:tcPr>
          <w:p w14:paraId="6F0995D5" w14:textId="6D47A9A3" w:rsidR="00300DB4" w:rsidRPr="00EC7FB1" w:rsidRDefault="00300DB4" w:rsidP="004A51A9">
            <w:pPr>
              <w:spacing w:after="0" w:line="259" w:lineRule="auto"/>
              <w:ind w:left="0" w:right="1" w:firstLine="0"/>
              <w:jc w:val="center"/>
            </w:pPr>
            <w:r w:rsidRPr="00515BA4">
              <w:rPr>
                <w:sz w:val="18"/>
              </w:rPr>
              <w:t>ug/L</w:t>
            </w:r>
          </w:p>
        </w:tc>
        <w:tc>
          <w:tcPr>
            <w:tcW w:w="805" w:type="dxa"/>
            <w:tcBorders>
              <w:top w:val="single" w:sz="4" w:space="0" w:color="000000"/>
              <w:left w:val="single" w:sz="12" w:space="0" w:color="000000"/>
              <w:bottom w:val="single" w:sz="4" w:space="0" w:color="000000"/>
              <w:right w:val="single" w:sz="12" w:space="0" w:color="000000"/>
            </w:tcBorders>
            <w:vAlign w:val="center"/>
          </w:tcPr>
          <w:p w14:paraId="5DC60623" w14:textId="138CE92F" w:rsidR="00300DB4" w:rsidRDefault="00300DB4" w:rsidP="004A51A9">
            <w:pPr>
              <w:spacing w:after="0" w:line="259" w:lineRule="auto"/>
              <w:ind w:left="0" w:right="0" w:firstLine="0"/>
              <w:jc w:val="center"/>
            </w:pPr>
            <w:r>
              <w:rPr>
                <w:sz w:val="18"/>
              </w:rPr>
              <w:t>1800</w:t>
            </w:r>
          </w:p>
        </w:tc>
        <w:tc>
          <w:tcPr>
            <w:tcW w:w="1068" w:type="dxa"/>
            <w:tcBorders>
              <w:top w:val="single" w:sz="4" w:space="0" w:color="000000"/>
              <w:left w:val="single" w:sz="12" w:space="0" w:color="000000"/>
              <w:bottom w:val="single" w:sz="4" w:space="0" w:color="000000"/>
              <w:right w:val="single" w:sz="12" w:space="0" w:color="000000"/>
            </w:tcBorders>
            <w:vAlign w:val="center"/>
          </w:tcPr>
          <w:p w14:paraId="10E64D00" w14:textId="7143BF9C" w:rsidR="00300DB4" w:rsidRDefault="00300DB4" w:rsidP="004A51A9">
            <w:pPr>
              <w:spacing w:after="0" w:line="259" w:lineRule="auto"/>
              <w:ind w:left="0" w:right="4" w:firstLine="0"/>
              <w:jc w:val="center"/>
            </w:pPr>
            <w:r>
              <w:rPr>
                <w:rFonts w:eastAsia="Segoe UI Symbol"/>
                <w:sz w:val="18"/>
              </w:rPr>
              <w:t>u</w:t>
            </w:r>
            <w:r>
              <w:rPr>
                <w:sz w:val="18"/>
              </w:rPr>
              <w:t>g/kg</w:t>
            </w:r>
          </w:p>
        </w:tc>
        <w:tc>
          <w:tcPr>
            <w:tcW w:w="784" w:type="dxa"/>
            <w:tcBorders>
              <w:top w:val="single" w:sz="4" w:space="0" w:color="000000"/>
              <w:left w:val="single" w:sz="12" w:space="0" w:color="000000"/>
              <w:bottom w:val="single" w:sz="4" w:space="0" w:color="000000"/>
              <w:right w:val="single" w:sz="12" w:space="0" w:color="000000"/>
            </w:tcBorders>
            <w:vAlign w:val="center"/>
          </w:tcPr>
          <w:p w14:paraId="6E24BC22" w14:textId="413A4CC8" w:rsidR="00300DB4" w:rsidRDefault="00300DB4" w:rsidP="004A51A9">
            <w:pPr>
              <w:spacing w:after="0" w:line="259" w:lineRule="auto"/>
              <w:ind w:left="4" w:right="0" w:firstLine="0"/>
              <w:jc w:val="center"/>
            </w:pPr>
            <w:r>
              <w:rPr>
                <w:sz w:val="18"/>
              </w:rPr>
              <w:t>10</w:t>
            </w:r>
          </w:p>
        </w:tc>
        <w:tc>
          <w:tcPr>
            <w:tcW w:w="1212" w:type="dxa"/>
            <w:tcBorders>
              <w:top w:val="single" w:sz="4" w:space="0" w:color="000000"/>
              <w:left w:val="single" w:sz="12" w:space="0" w:color="000000"/>
              <w:bottom w:val="single" w:sz="4" w:space="0" w:color="000000"/>
              <w:right w:val="single" w:sz="12" w:space="0" w:color="000000"/>
            </w:tcBorders>
            <w:vAlign w:val="center"/>
          </w:tcPr>
          <w:p w14:paraId="12525AF7" w14:textId="4F1AA501" w:rsidR="00300DB4" w:rsidRDefault="00300DB4" w:rsidP="004A51A9">
            <w:pPr>
              <w:spacing w:after="0" w:line="259" w:lineRule="auto"/>
              <w:ind w:left="0" w:right="2" w:firstLine="0"/>
              <w:jc w:val="center"/>
            </w:pPr>
            <w:r>
              <w:rPr>
                <w:sz w:val="18"/>
              </w:rPr>
              <w:t>ug/100 cm</w:t>
            </w:r>
            <w:r>
              <w:rPr>
                <w:sz w:val="18"/>
                <w:vertAlign w:val="superscript"/>
              </w:rPr>
              <w:t>2</w:t>
            </w:r>
          </w:p>
        </w:tc>
        <w:tc>
          <w:tcPr>
            <w:tcW w:w="1958" w:type="dxa"/>
            <w:tcBorders>
              <w:top w:val="single" w:sz="4" w:space="0" w:color="000000"/>
              <w:left w:val="single" w:sz="12" w:space="0" w:color="000000"/>
              <w:bottom w:val="single" w:sz="4" w:space="0" w:color="000000"/>
              <w:right w:val="single" w:sz="12" w:space="0" w:color="000000"/>
            </w:tcBorders>
            <w:vAlign w:val="center"/>
          </w:tcPr>
          <w:p w14:paraId="7C787DE2" w14:textId="4C38EF67" w:rsidR="00300DB4" w:rsidRDefault="00300DB4" w:rsidP="004A51A9">
            <w:pPr>
              <w:spacing w:after="0" w:line="259" w:lineRule="auto"/>
              <w:ind w:left="2" w:right="0" w:firstLine="0"/>
              <w:jc w:val="center"/>
            </w:pPr>
            <w:r>
              <w:rPr>
                <w:sz w:val="18"/>
              </w:rPr>
              <w:t>8082</w:t>
            </w:r>
          </w:p>
        </w:tc>
      </w:tr>
      <w:tr w:rsidR="00300DB4" w14:paraId="118FEB9B" w14:textId="77777777" w:rsidTr="00F53F99">
        <w:trPr>
          <w:trHeight w:val="250"/>
        </w:trPr>
        <w:tc>
          <w:tcPr>
            <w:tcW w:w="1907" w:type="dxa"/>
            <w:tcBorders>
              <w:top w:val="single" w:sz="4" w:space="0" w:color="000000"/>
              <w:left w:val="single" w:sz="12" w:space="0" w:color="000000"/>
              <w:bottom w:val="single" w:sz="4" w:space="0" w:color="000000"/>
              <w:right w:val="single" w:sz="12" w:space="0" w:color="000000"/>
            </w:tcBorders>
            <w:vAlign w:val="center"/>
          </w:tcPr>
          <w:p w14:paraId="61807275" w14:textId="77777777" w:rsidR="00300DB4" w:rsidRDefault="00300DB4" w:rsidP="00C161B3">
            <w:pPr>
              <w:spacing w:after="0" w:line="259" w:lineRule="auto"/>
              <w:ind w:left="65" w:right="0" w:firstLine="0"/>
            </w:pPr>
            <w:proofErr w:type="spellStart"/>
            <w:r>
              <w:rPr>
                <w:sz w:val="18"/>
              </w:rPr>
              <w:t>Aroclor</w:t>
            </w:r>
            <w:proofErr w:type="spellEnd"/>
            <w:r>
              <w:rPr>
                <w:sz w:val="18"/>
              </w:rPr>
              <w:t xml:space="preserve"> 1248 </w:t>
            </w:r>
          </w:p>
        </w:tc>
        <w:tc>
          <w:tcPr>
            <w:tcW w:w="1234" w:type="dxa"/>
            <w:tcBorders>
              <w:top w:val="single" w:sz="4" w:space="0" w:color="000000"/>
              <w:left w:val="single" w:sz="12" w:space="0" w:color="000000"/>
              <w:bottom w:val="single" w:sz="4" w:space="0" w:color="000000"/>
              <w:right w:val="single" w:sz="12" w:space="0" w:color="000000"/>
            </w:tcBorders>
            <w:vAlign w:val="center"/>
          </w:tcPr>
          <w:p w14:paraId="17B3E958" w14:textId="3F452CAB" w:rsidR="00300DB4" w:rsidRDefault="00300DB4" w:rsidP="004A51A9">
            <w:pPr>
              <w:spacing w:after="0" w:line="259" w:lineRule="auto"/>
              <w:ind w:left="0" w:right="2" w:firstLine="0"/>
              <w:jc w:val="center"/>
            </w:pPr>
            <w:r>
              <w:rPr>
                <w:sz w:val="18"/>
              </w:rPr>
              <w:t>12672-29-6</w:t>
            </w:r>
          </w:p>
        </w:tc>
        <w:tc>
          <w:tcPr>
            <w:tcW w:w="783" w:type="dxa"/>
            <w:tcBorders>
              <w:top w:val="single" w:sz="4" w:space="0" w:color="000000"/>
              <w:left w:val="single" w:sz="12" w:space="0" w:color="000000"/>
              <w:bottom w:val="single" w:sz="4" w:space="0" w:color="000000"/>
              <w:right w:val="single" w:sz="12" w:space="0" w:color="000000"/>
            </w:tcBorders>
            <w:vAlign w:val="center"/>
          </w:tcPr>
          <w:p w14:paraId="6C0B8B97" w14:textId="5BCF6553" w:rsidR="00300DB4" w:rsidRDefault="00300DB4" w:rsidP="004A51A9">
            <w:pPr>
              <w:spacing w:after="0" w:line="259" w:lineRule="auto"/>
              <w:ind w:left="3" w:right="0" w:firstLine="0"/>
              <w:jc w:val="center"/>
            </w:pPr>
            <w:r>
              <w:rPr>
                <w:sz w:val="18"/>
              </w:rPr>
              <w:t>0.5</w:t>
            </w:r>
          </w:p>
        </w:tc>
        <w:tc>
          <w:tcPr>
            <w:tcW w:w="869" w:type="dxa"/>
            <w:tcBorders>
              <w:top w:val="single" w:sz="4" w:space="0" w:color="000000"/>
              <w:left w:val="single" w:sz="12" w:space="0" w:color="000000"/>
              <w:bottom w:val="single" w:sz="4" w:space="0" w:color="000000"/>
              <w:right w:val="single" w:sz="12" w:space="0" w:color="000000"/>
            </w:tcBorders>
            <w:vAlign w:val="center"/>
          </w:tcPr>
          <w:p w14:paraId="11F709A8" w14:textId="3E6F0CC0" w:rsidR="00300DB4" w:rsidRPr="00EC7FB1" w:rsidRDefault="00300DB4" w:rsidP="004A51A9">
            <w:pPr>
              <w:spacing w:after="0" w:line="259" w:lineRule="auto"/>
              <w:ind w:left="0" w:right="1" w:firstLine="0"/>
              <w:jc w:val="center"/>
            </w:pPr>
            <w:r w:rsidRPr="00515BA4">
              <w:rPr>
                <w:sz w:val="18"/>
              </w:rPr>
              <w:t>ug/L</w:t>
            </w:r>
          </w:p>
        </w:tc>
        <w:tc>
          <w:tcPr>
            <w:tcW w:w="805" w:type="dxa"/>
            <w:tcBorders>
              <w:top w:val="single" w:sz="4" w:space="0" w:color="000000"/>
              <w:left w:val="single" w:sz="12" w:space="0" w:color="000000"/>
              <w:bottom w:val="single" w:sz="4" w:space="0" w:color="000000"/>
              <w:right w:val="single" w:sz="12" w:space="0" w:color="000000"/>
            </w:tcBorders>
            <w:vAlign w:val="center"/>
          </w:tcPr>
          <w:p w14:paraId="4D3A37CA" w14:textId="74A0650D" w:rsidR="00300DB4" w:rsidRDefault="00300DB4" w:rsidP="004A51A9">
            <w:pPr>
              <w:spacing w:after="0" w:line="259" w:lineRule="auto"/>
              <w:ind w:left="0" w:right="1" w:firstLine="0"/>
              <w:jc w:val="center"/>
            </w:pPr>
            <w:r>
              <w:rPr>
                <w:sz w:val="18"/>
              </w:rPr>
              <w:t>1800</w:t>
            </w:r>
          </w:p>
        </w:tc>
        <w:tc>
          <w:tcPr>
            <w:tcW w:w="1068" w:type="dxa"/>
            <w:tcBorders>
              <w:top w:val="single" w:sz="4" w:space="0" w:color="000000"/>
              <w:left w:val="single" w:sz="12" w:space="0" w:color="000000"/>
              <w:bottom w:val="single" w:sz="4" w:space="0" w:color="000000"/>
              <w:right w:val="single" w:sz="12" w:space="0" w:color="000000"/>
            </w:tcBorders>
            <w:vAlign w:val="center"/>
          </w:tcPr>
          <w:p w14:paraId="4D7B1E58" w14:textId="4548F54C" w:rsidR="00300DB4" w:rsidRDefault="00300DB4" w:rsidP="004A51A9">
            <w:pPr>
              <w:spacing w:after="0" w:line="259" w:lineRule="auto"/>
              <w:ind w:left="0" w:right="4" w:firstLine="0"/>
              <w:jc w:val="center"/>
            </w:pPr>
            <w:r>
              <w:rPr>
                <w:rFonts w:eastAsia="Segoe UI Symbol"/>
                <w:sz w:val="18"/>
              </w:rPr>
              <w:t>u</w:t>
            </w:r>
            <w:r>
              <w:rPr>
                <w:sz w:val="18"/>
              </w:rPr>
              <w:t>g/kg</w:t>
            </w:r>
          </w:p>
        </w:tc>
        <w:tc>
          <w:tcPr>
            <w:tcW w:w="784" w:type="dxa"/>
            <w:tcBorders>
              <w:top w:val="single" w:sz="4" w:space="0" w:color="000000"/>
              <w:left w:val="single" w:sz="12" w:space="0" w:color="000000"/>
              <w:bottom w:val="single" w:sz="4" w:space="0" w:color="000000"/>
              <w:right w:val="single" w:sz="12" w:space="0" w:color="000000"/>
            </w:tcBorders>
            <w:vAlign w:val="center"/>
          </w:tcPr>
          <w:p w14:paraId="0747E745" w14:textId="4851A01A" w:rsidR="00300DB4" w:rsidRDefault="00300DB4" w:rsidP="004A51A9">
            <w:pPr>
              <w:spacing w:after="0" w:line="259" w:lineRule="auto"/>
              <w:ind w:left="4" w:right="0" w:firstLine="0"/>
              <w:jc w:val="center"/>
            </w:pPr>
            <w:r>
              <w:rPr>
                <w:sz w:val="18"/>
              </w:rPr>
              <w:t>10</w:t>
            </w:r>
          </w:p>
        </w:tc>
        <w:tc>
          <w:tcPr>
            <w:tcW w:w="1212" w:type="dxa"/>
            <w:tcBorders>
              <w:top w:val="single" w:sz="4" w:space="0" w:color="000000"/>
              <w:left w:val="single" w:sz="12" w:space="0" w:color="000000"/>
              <w:bottom w:val="single" w:sz="4" w:space="0" w:color="000000"/>
              <w:right w:val="single" w:sz="12" w:space="0" w:color="000000"/>
            </w:tcBorders>
            <w:vAlign w:val="center"/>
          </w:tcPr>
          <w:p w14:paraId="6C7FF89D" w14:textId="1AF72C65" w:rsidR="00300DB4" w:rsidRDefault="00300DB4" w:rsidP="004A51A9">
            <w:pPr>
              <w:spacing w:after="0" w:line="259" w:lineRule="auto"/>
              <w:ind w:left="0" w:right="2" w:firstLine="0"/>
              <w:jc w:val="center"/>
            </w:pPr>
            <w:r>
              <w:rPr>
                <w:sz w:val="18"/>
              </w:rPr>
              <w:t>ug/100 cm</w:t>
            </w:r>
            <w:r>
              <w:rPr>
                <w:sz w:val="18"/>
                <w:vertAlign w:val="superscript"/>
              </w:rPr>
              <w:t>2</w:t>
            </w:r>
          </w:p>
        </w:tc>
        <w:tc>
          <w:tcPr>
            <w:tcW w:w="1958" w:type="dxa"/>
            <w:tcBorders>
              <w:top w:val="single" w:sz="4" w:space="0" w:color="000000"/>
              <w:left w:val="single" w:sz="12" w:space="0" w:color="000000"/>
              <w:bottom w:val="single" w:sz="4" w:space="0" w:color="000000"/>
              <w:right w:val="single" w:sz="12" w:space="0" w:color="000000"/>
            </w:tcBorders>
            <w:vAlign w:val="center"/>
          </w:tcPr>
          <w:p w14:paraId="047181DF" w14:textId="176ED29F" w:rsidR="00300DB4" w:rsidRDefault="00300DB4" w:rsidP="004A51A9">
            <w:pPr>
              <w:spacing w:after="0" w:line="259" w:lineRule="auto"/>
              <w:ind w:left="2" w:right="0" w:firstLine="0"/>
              <w:jc w:val="center"/>
            </w:pPr>
            <w:r>
              <w:rPr>
                <w:sz w:val="18"/>
              </w:rPr>
              <w:t>8082</w:t>
            </w:r>
          </w:p>
        </w:tc>
      </w:tr>
      <w:tr w:rsidR="00300DB4" w14:paraId="731B62CD" w14:textId="77777777" w:rsidTr="00F53F99">
        <w:trPr>
          <w:trHeight w:val="250"/>
        </w:trPr>
        <w:tc>
          <w:tcPr>
            <w:tcW w:w="1907" w:type="dxa"/>
            <w:tcBorders>
              <w:top w:val="single" w:sz="4" w:space="0" w:color="000000"/>
              <w:left w:val="single" w:sz="12" w:space="0" w:color="000000"/>
              <w:bottom w:val="single" w:sz="4" w:space="0" w:color="000000"/>
              <w:right w:val="single" w:sz="12" w:space="0" w:color="000000"/>
            </w:tcBorders>
            <w:vAlign w:val="center"/>
          </w:tcPr>
          <w:p w14:paraId="594E577F" w14:textId="77777777" w:rsidR="00300DB4" w:rsidRDefault="00300DB4" w:rsidP="00C161B3">
            <w:pPr>
              <w:spacing w:after="0" w:line="259" w:lineRule="auto"/>
              <w:ind w:left="65" w:right="0" w:firstLine="0"/>
            </w:pPr>
            <w:proofErr w:type="spellStart"/>
            <w:r>
              <w:rPr>
                <w:sz w:val="18"/>
              </w:rPr>
              <w:t>Aroclor</w:t>
            </w:r>
            <w:proofErr w:type="spellEnd"/>
            <w:r>
              <w:rPr>
                <w:sz w:val="18"/>
              </w:rPr>
              <w:t xml:space="preserve"> 1254 </w:t>
            </w:r>
          </w:p>
        </w:tc>
        <w:tc>
          <w:tcPr>
            <w:tcW w:w="1234" w:type="dxa"/>
            <w:tcBorders>
              <w:top w:val="single" w:sz="4" w:space="0" w:color="000000"/>
              <w:left w:val="single" w:sz="12" w:space="0" w:color="000000"/>
              <w:bottom w:val="single" w:sz="4" w:space="0" w:color="000000"/>
              <w:right w:val="single" w:sz="12" w:space="0" w:color="000000"/>
            </w:tcBorders>
            <w:vAlign w:val="center"/>
          </w:tcPr>
          <w:p w14:paraId="2D7F9A33" w14:textId="1192CC85" w:rsidR="00300DB4" w:rsidRDefault="00300DB4" w:rsidP="004A51A9">
            <w:pPr>
              <w:spacing w:after="0" w:line="259" w:lineRule="auto"/>
              <w:ind w:left="0" w:right="2" w:firstLine="0"/>
              <w:jc w:val="center"/>
            </w:pPr>
            <w:r>
              <w:rPr>
                <w:sz w:val="18"/>
              </w:rPr>
              <w:t>11097-69-1</w:t>
            </w:r>
          </w:p>
        </w:tc>
        <w:tc>
          <w:tcPr>
            <w:tcW w:w="783" w:type="dxa"/>
            <w:tcBorders>
              <w:top w:val="single" w:sz="4" w:space="0" w:color="000000"/>
              <w:left w:val="single" w:sz="12" w:space="0" w:color="000000"/>
              <w:bottom w:val="single" w:sz="4" w:space="0" w:color="000000"/>
              <w:right w:val="single" w:sz="12" w:space="0" w:color="000000"/>
            </w:tcBorders>
            <w:vAlign w:val="center"/>
          </w:tcPr>
          <w:p w14:paraId="134B620F" w14:textId="47BCCAFB" w:rsidR="00300DB4" w:rsidRDefault="00300DB4" w:rsidP="004A51A9">
            <w:pPr>
              <w:spacing w:after="0" w:line="259" w:lineRule="auto"/>
              <w:ind w:left="3" w:right="0" w:firstLine="0"/>
              <w:jc w:val="center"/>
            </w:pPr>
            <w:r>
              <w:rPr>
                <w:b/>
                <w:sz w:val="18"/>
              </w:rPr>
              <w:t>0.5</w:t>
            </w:r>
          </w:p>
        </w:tc>
        <w:tc>
          <w:tcPr>
            <w:tcW w:w="869" w:type="dxa"/>
            <w:tcBorders>
              <w:top w:val="single" w:sz="4" w:space="0" w:color="000000"/>
              <w:left w:val="single" w:sz="12" w:space="0" w:color="000000"/>
              <w:bottom w:val="single" w:sz="4" w:space="0" w:color="000000"/>
              <w:right w:val="single" w:sz="12" w:space="0" w:color="000000"/>
            </w:tcBorders>
            <w:vAlign w:val="center"/>
          </w:tcPr>
          <w:p w14:paraId="4DFD9085" w14:textId="30C3CFA8" w:rsidR="00300DB4" w:rsidRPr="00EC7FB1" w:rsidRDefault="00300DB4" w:rsidP="004A51A9">
            <w:pPr>
              <w:spacing w:after="0" w:line="259" w:lineRule="auto"/>
              <w:ind w:left="0" w:right="1" w:firstLine="0"/>
              <w:jc w:val="center"/>
            </w:pPr>
            <w:r w:rsidRPr="00515BA4">
              <w:rPr>
                <w:sz w:val="18"/>
              </w:rPr>
              <w:t>ug/L</w:t>
            </w:r>
          </w:p>
        </w:tc>
        <w:tc>
          <w:tcPr>
            <w:tcW w:w="805" w:type="dxa"/>
            <w:tcBorders>
              <w:top w:val="single" w:sz="4" w:space="0" w:color="000000"/>
              <w:left w:val="single" w:sz="12" w:space="0" w:color="000000"/>
              <w:bottom w:val="single" w:sz="4" w:space="0" w:color="000000"/>
              <w:right w:val="single" w:sz="12" w:space="0" w:color="000000"/>
            </w:tcBorders>
            <w:vAlign w:val="center"/>
          </w:tcPr>
          <w:p w14:paraId="139E2B91" w14:textId="7E77F35D" w:rsidR="00300DB4" w:rsidRDefault="00300DB4" w:rsidP="004A51A9">
            <w:pPr>
              <w:spacing w:after="0" w:line="259" w:lineRule="auto"/>
              <w:ind w:left="0" w:right="1" w:firstLine="0"/>
              <w:jc w:val="center"/>
            </w:pPr>
            <w:r>
              <w:rPr>
                <w:sz w:val="18"/>
              </w:rPr>
              <w:t>1800</w:t>
            </w:r>
          </w:p>
        </w:tc>
        <w:tc>
          <w:tcPr>
            <w:tcW w:w="1068" w:type="dxa"/>
            <w:tcBorders>
              <w:top w:val="single" w:sz="4" w:space="0" w:color="000000"/>
              <w:left w:val="single" w:sz="12" w:space="0" w:color="000000"/>
              <w:bottom w:val="single" w:sz="4" w:space="0" w:color="000000"/>
              <w:right w:val="single" w:sz="12" w:space="0" w:color="000000"/>
            </w:tcBorders>
            <w:vAlign w:val="center"/>
          </w:tcPr>
          <w:p w14:paraId="35FA06B5" w14:textId="63023D04" w:rsidR="00300DB4" w:rsidRDefault="00300DB4" w:rsidP="004A51A9">
            <w:pPr>
              <w:spacing w:after="0" w:line="259" w:lineRule="auto"/>
              <w:ind w:left="0" w:right="4" w:firstLine="0"/>
              <w:jc w:val="center"/>
            </w:pPr>
            <w:r>
              <w:rPr>
                <w:rFonts w:eastAsia="Segoe UI Symbol"/>
                <w:sz w:val="18"/>
              </w:rPr>
              <w:t>u</w:t>
            </w:r>
            <w:r>
              <w:rPr>
                <w:sz w:val="18"/>
              </w:rPr>
              <w:t>g/kg</w:t>
            </w:r>
          </w:p>
        </w:tc>
        <w:tc>
          <w:tcPr>
            <w:tcW w:w="784" w:type="dxa"/>
            <w:tcBorders>
              <w:top w:val="single" w:sz="4" w:space="0" w:color="000000"/>
              <w:left w:val="single" w:sz="12" w:space="0" w:color="000000"/>
              <w:bottom w:val="single" w:sz="4" w:space="0" w:color="000000"/>
              <w:right w:val="single" w:sz="12" w:space="0" w:color="000000"/>
            </w:tcBorders>
            <w:vAlign w:val="center"/>
          </w:tcPr>
          <w:p w14:paraId="53E02DF6" w14:textId="5AC02288" w:rsidR="00300DB4" w:rsidRDefault="00300DB4" w:rsidP="004A51A9">
            <w:pPr>
              <w:spacing w:after="0" w:line="259" w:lineRule="auto"/>
              <w:ind w:left="4" w:right="0" w:firstLine="0"/>
              <w:jc w:val="center"/>
            </w:pPr>
            <w:r>
              <w:rPr>
                <w:sz w:val="18"/>
              </w:rPr>
              <w:t>10</w:t>
            </w:r>
          </w:p>
        </w:tc>
        <w:tc>
          <w:tcPr>
            <w:tcW w:w="1212" w:type="dxa"/>
            <w:tcBorders>
              <w:top w:val="single" w:sz="4" w:space="0" w:color="000000"/>
              <w:left w:val="single" w:sz="12" w:space="0" w:color="000000"/>
              <w:bottom w:val="single" w:sz="4" w:space="0" w:color="000000"/>
              <w:right w:val="single" w:sz="12" w:space="0" w:color="000000"/>
            </w:tcBorders>
            <w:vAlign w:val="center"/>
          </w:tcPr>
          <w:p w14:paraId="5A5018E6" w14:textId="67EBAC40" w:rsidR="00300DB4" w:rsidRDefault="00300DB4" w:rsidP="004A51A9">
            <w:pPr>
              <w:spacing w:after="0" w:line="259" w:lineRule="auto"/>
              <w:ind w:left="0" w:right="2" w:firstLine="0"/>
              <w:jc w:val="center"/>
            </w:pPr>
            <w:r>
              <w:rPr>
                <w:sz w:val="18"/>
              </w:rPr>
              <w:t>ug/100 cm</w:t>
            </w:r>
            <w:r>
              <w:rPr>
                <w:sz w:val="18"/>
                <w:vertAlign w:val="superscript"/>
              </w:rPr>
              <w:t>2</w:t>
            </w:r>
          </w:p>
        </w:tc>
        <w:tc>
          <w:tcPr>
            <w:tcW w:w="1958" w:type="dxa"/>
            <w:tcBorders>
              <w:top w:val="single" w:sz="4" w:space="0" w:color="000000"/>
              <w:left w:val="single" w:sz="12" w:space="0" w:color="000000"/>
              <w:bottom w:val="single" w:sz="4" w:space="0" w:color="000000"/>
              <w:right w:val="single" w:sz="12" w:space="0" w:color="000000"/>
            </w:tcBorders>
            <w:vAlign w:val="center"/>
          </w:tcPr>
          <w:p w14:paraId="4DD803EC" w14:textId="573BFF5F" w:rsidR="00300DB4" w:rsidRDefault="00300DB4" w:rsidP="004A51A9">
            <w:pPr>
              <w:spacing w:after="0" w:line="259" w:lineRule="auto"/>
              <w:ind w:left="2" w:right="0" w:firstLine="0"/>
              <w:jc w:val="center"/>
            </w:pPr>
            <w:r>
              <w:rPr>
                <w:sz w:val="18"/>
              </w:rPr>
              <w:t>8082</w:t>
            </w:r>
          </w:p>
        </w:tc>
      </w:tr>
      <w:tr w:rsidR="00300DB4" w14:paraId="195BDD17" w14:textId="77777777" w:rsidTr="00F53F99">
        <w:trPr>
          <w:trHeight w:val="250"/>
        </w:trPr>
        <w:tc>
          <w:tcPr>
            <w:tcW w:w="1907" w:type="dxa"/>
            <w:tcBorders>
              <w:top w:val="single" w:sz="4" w:space="0" w:color="000000"/>
              <w:left w:val="single" w:sz="12" w:space="0" w:color="000000"/>
              <w:bottom w:val="single" w:sz="4" w:space="0" w:color="000000"/>
              <w:right w:val="single" w:sz="12" w:space="0" w:color="000000"/>
            </w:tcBorders>
            <w:vAlign w:val="center"/>
          </w:tcPr>
          <w:p w14:paraId="7CAA4C27" w14:textId="77777777" w:rsidR="00300DB4" w:rsidRDefault="00300DB4" w:rsidP="00C161B3">
            <w:pPr>
              <w:spacing w:after="0" w:line="259" w:lineRule="auto"/>
              <w:ind w:left="65" w:right="0" w:firstLine="0"/>
            </w:pPr>
            <w:proofErr w:type="spellStart"/>
            <w:r>
              <w:rPr>
                <w:sz w:val="18"/>
              </w:rPr>
              <w:t>Aroclor</w:t>
            </w:r>
            <w:proofErr w:type="spellEnd"/>
            <w:r>
              <w:rPr>
                <w:sz w:val="18"/>
              </w:rPr>
              <w:t xml:space="preserve"> 1260 </w:t>
            </w:r>
          </w:p>
        </w:tc>
        <w:tc>
          <w:tcPr>
            <w:tcW w:w="1234" w:type="dxa"/>
            <w:tcBorders>
              <w:top w:val="single" w:sz="4" w:space="0" w:color="000000"/>
              <w:left w:val="single" w:sz="12" w:space="0" w:color="000000"/>
              <w:bottom w:val="single" w:sz="4" w:space="0" w:color="000000"/>
              <w:right w:val="single" w:sz="12" w:space="0" w:color="000000"/>
            </w:tcBorders>
            <w:vAlign w:val="center"/>
          </w:tcPr>
          <w:p w14:paraId="2C3873C6" w14:textId="33C0BD79" w:rsidR="00300DB4" w:rsidRDefault="00300DB4" w:rsidP="004A51A9">
            <w:pPr>
              <w:spacing w:after="0" w:line="259" w:lineRule="auto"/>
              <w:ind w:left="0" w:right="2" w:firstLine="0"/>
              <w:jc w:val="center"/>
            </w:pPr>
            <w:r>
              <w:rPr>
                <w:sz w:val="18"/>
              </w:rPr>
              <w:t>11096-82-5</w:t>
            </w:r>
          </w:p>
        </w:tc>
        <w:tc>
          <w:tcPr>
            <w:tcW w:w="783" w:type="dxa"/>
            <w:tcBorders>
              <w:top w:val="single" w:sz="4" w:space="0" w:color="000000"/>
              <w:left w:val="single" w:sz="12" w:space="0" w:color="000000"/>
              <w:bottom w:val="single" w:sz="4" w:space="0" w:color="000000"/>
              <w:right w:val="single" w:sz="12" w:space="0" w:color="000000"/>
            </w:tcBorders>
            <w:vAlign w:val="center"/>
          </w:tcPr>
          <w:p w14:paraId="0CBE334C" w14:textId="04319C42" w:rsidR="00300DB4" w:rsidRDefault="00300DB4" w:rsidP="004A51A9">
            <w:pPr>
              <w:spacing w:after="0" w:line="259" w:lineRule="auto"/>
              <w:ind w:left="3" w:right="0" w:firstLine="0"/>
              <w:jc w:val="center"/>
            </w:pPr>
            <w:r>
              <w:rPr>
                <w:b/>
                <w:sz w:val="18"/>
              </w:rPr>
              <w:t>0.5</w:t>
            </w:r>
          </w:p>
        </w:tc>
        <w:tc>
          <w:tcPr>
            <w:tcW w:w="869" w:type="dxa"/>
            <w:tcBorders>
              <w:top w:val="single" w:sz="4" w:space="0" w:color="000000"/>
              <w:left w:val="single" w:sz="12" w:space="0" w:color="000000"/>
              <w:bottom w:val="single" w:sz="4" w:space="0" w:color="000000"/>
              <w:right w:val="single" w:sz="12" w:space="0" w:color="000000"/>
            </w:tcBorders>
            <w:vAlign w:val="center"/>
          </w:tcPr>
          <w:p w14:paraId="77C29F35" w14:textId="7E444685" w:rsidR="00300DB4" w:rsidRPr="00EC7FB1" w:rsidRDefault="00300DB4" w:rsidP="004A51A9">
            <w:pPr>
              <w:spacing w:after="0" w:line="259" w:lineRule="auto"/>
              <w:ind w:left="0" w:right="1" w:firstLine="0"/>
              <w:jc w:val="center"/>
            </w:pPr>
            <w:r w:rsidRPr="00515BA4">
              <w:rPr>
                <w:sz w:val="18"/>
              </w:rPr>
              <w:t>ug/L</w:t>
            </w:r>
          </w:p>
        </w:tc>
        <w:tc>
          <w:tcPr>
            <w:tcW w:w="805" w:type="dxa"/>
            <w:tcBorders>
              <w:top w:val="single" w:sz="4" w:space="0" w:color="000000"/>
              <w:left w:val="single" w:sz="12" w:space="0" w:color="000000"/>
              <w:bottom w:val="single" w:sz="4" w:space="0" w:color="000000"/>
              <w:right w:val="single" w:sz="12" w:space="0" w:color="000000"/>
            </w:tcBorders>
            <w:vAlign w:val="center"/>
          </w:tcPr>
          <w:p w14:paraId="0062A1BA" w14:textId="17F99D0A" w:rsidR="00300DB4" w:rsidRDefault="00300DB4" w:rsidP="004A51A9">
            <w:pPr>
              <w:spacing w:after="0" w:line="259" w:lineRule="auto"/>
              <w:ind w:left="0" w:right="1" w:firstLine="0"/>
              <w:jc w:val="center"/>
            </w:pPr>
            <w:r>
              <w:rPr>
                <w:sz w:val="18"/>
              </w:rPr>
              <w:t>1800</w:t>
            </w:r>
          </w:p>
        </w:tc>
        <w:tc>
          <w:tcPr>
            <w:tcW w:w="1068" w:type="dxa"/>
            <w:tcBorders>
              <w:top w:val="single" w:sz="4" w:space="0" w:color="000000"/>
              <w:left w:val="single" w:sz="12" w:space="0" w:color="000000"/>
              <w:bottom w:val="single" w:sz="4" w:space="0" w:color="000000"/>
              <w:right w:val="single" w:sz="12" w:space="0" w:color="000000"/>
            </w:tcBorders>
            <w:vAlign w:val="center"/>
          </w:tcPr>
          <w:p w14:paraId="62E31E95" w14:textId="079FCB19" w:rsidR="00300DB4" w:rsidRDefault="00300DB4" w:rsidP="004A51A9">
            <w:pPr>
              <w:spacing w:after="0" w:line="259" w:lineRule="auto"/>
              <w:ind w:left="0" w:right="4" w:firstLine="0"/>
              <w:jc w:val="center"/>
            </w:pPr>
            <w:r>
              <w:rPr>
                <w:rFonts w:eastAsia="Segoe UI Symbol"/>
                <w:sz w:val="18"/>
              </w:rPr>
              <w:t>u</w:t>
            </w:r>
            <w:r>
              <w:rPr>
                <w:sz w:val="18"/>
              </w:rPr>
              <w:t>g/kg</w:t>
            </w:r>
          </w:p>
        </w:tc>
        <w:tc>
          <w:tcPr>
            <w:tcW w:w="784" w:type="dxa"/>
            <w:tcBorders>
              <w:top w:val="single" w:sz="4" w:space="0" w:color="000000"/>
              <w:left w:val="single" w:sz="12" w:space="0" w:color="000000"/>
              <w:bottom w:val="single" w:sz="4" w:space="0" w:color="000000"/>
              <w:right w:val="single" w:sz="12" w:space="0" w:color="000000"/>
            </w:tcBorders>
            <w:vAlign w:val="center"/>
          </w:tcPr>
          <w:p w14:paraId="3E1914F2" w14:textId="5E0A561B" w:rsidR="00300DB4" w:rsidRDefault="00300DB4" w:rsidP="004A51A9">
            <w:pPr>
              <w:spacing w:after="0" w:line="259" w:lineRule="auto"/>
              <w:ind w:left="4" w:right="0" w:firstLine="0"/>
              <w:jc w:val="center"/>
            </w:pPr>
            <w:r>
              <w:rPr>
                <w:sz w:val="18"/>
              </w:rPr>
              <w:t>10</w:t>
            </w:r>
          </w:p>
        </w:tc>
        <w:tc>
          <w:tcPr>
            <w:tcW w:w="1212" w:type="dxa"/>
            <w:tcBorders>
              <w:top w:val="single" w:sz="4" w:space="0" w:color="000000"/>
              <w:left w:val="single" w:sz="12" w:space="0" w:color="000000"/>
              <w:bottom w:val="single" w:sz="4" w:space="0" w:color="000000"/>
              <w:right w:val="single" w:sz="12" w:space="0" w:color="000000"/>
            </w:tcBorders>
            <w:vAlign w:val="center"/>
          </w:tcPr>
          <w:p w14:paraId="63454F78" w14:textId="1C526583" w:rsidR="00300DB4" w:rsidRDefault="00300DB4" w:rsidP="004A51A9">
            <w:pPr>
              <w:spacing w:after="0" w:line="259" w:lineRule="auto"/>
              <w:ind w:left="0" w:right="2" w:firstLine="0"/>
              <w:jc w:val="center"/>
            </w:pPr>
            <w:r>
              <w:rPr>
                <w:sz w:val="18"/>
              </w:rPr>
              <w:t>ug/100 cm</w:t>
            </w:r>
            <w:r>
              <w:rPr>
                <w:sz w:val="18"/>
                <w:vertAlign w:val="superscript"/>
              </w:rPr>
              <w:t>2</w:t>
            </w:r>
          </w:p>
        </w:tc>
        <w:tc>
          <w:tcPr>
            <w:tcW w:w="1958" w:type="dxa"/>
            <w:tcBorders>
              <w:top w:val="single" w:sz="4" w:space="0" w:color="000000"/>
              <w:left w:val="single" w:sz="12" w:space="0" w:color="000000"/>
              <w:bottom w:val="single" w:sz="4" w:space="0" w:color="000000"/>
              <w:right w:val="single" w:sz="12" w:space="0" w:color="000000"/>
            </w:tcBorders>
            <w:vAlign w:val="center"/>
          </w:tcPr>
          <w:p w14:paraId="75069A56" w14:textId="200D1C8C" w:rsidR="00300DB4" w:rsidRDefault="00300DB4" w:rsidP="004A51A9">
            <w:pPr>
              <w:spacing w:after="0" w:line="259" w:lineRule="auto"/>
              <w:ind w:left="2" w:right="0" w:firstLine="0"/>
              <w:jc w:val="center"/>
            </w:pPr>
            <w:r>
              <w:rPr>
                <w:sz w:val="18"/>
              </w:rPr>
              <w:t>8082</w:t>
            </w:r>
          </w:p>
        </w:tc>
      </w:tr>
      <w:tr w:rsidR="00300DB4" w14:paraId="65FF0FD9" w14:textId="77777777" w:rsidTr="00F53F99">
        <w:trPr>
          <w:trHeight w:val="259"/>
        </w:trPr>
        <w:tc>
          <w:tcPr>
            <w:tcW w:w="1907" w:type="dxa"/>
            <w:tcBorders>
              <w:top w:val="single" w:sz="4" w:space="0" w:color="000000"/>
              <w:left w:val="single" w:sz="12" w:space="0" w:color="000000"/>
              <w:bottom w:val="single" w:sz="12" w:space="0" w:color="000000"/>
              <w:right w:val="single" w:sz="12" w:space="0" w:color="000000"/>
            </w:tcBorders>
            <w:vAlign w:val="center"/>
          </w:tcPr>
          <w:p w14:paraId="743D7AF7" w14:textId="77777777" w:rsidR="00300DB4" w:rsidRDefault="00300DB4" w:rsidP="00C161B3">
            <w:pPr>
              <w:spacing w:after="0" w:line="259" w:lineRule="auto"/>
              <w:ind w:left="65" w:right="0" w:firstLine="0"/>
            </w:pPr>
            <w:proofErr w:type="spellStart"/>
            <w:r>
              <w:rPr>
                <w:sz w:val="18"/>
              </w:rPr>
              <w:t>Aroclor</w:t>
            </w:r>
            <w:proofErr w:type="spellEnd"/>
            <w:r>
              <w:rPr>
                <w:sz w:val="18"/>
              </w:rPr>
              <w:t xml:space="preserve"> 1262 </w:t>
            </w:r>
          </w:p>
        </w:tc>
        <w:tc>
          <w:tcPr>
            <w:tcW w:w="1234" w:type="dxa"/>
            <w:tcBorders>
              <w:top w:val="single" w:sz="4" w:space="0" w:color="000000"/>
              <w:left w:val="single" w:sz="12" w:space="0" w:color="000000"/>
              <w:bottom w:val="single" w:sz="12" w:space="0" w:color="000000"/>
              <w:right w:val="single" w:sz="12" w:space="0" w:color="000000"/>
            </w:tcBorders>
            <w:vAlign w:val="center"/>
          </w:tcPr>
          <w:p w14:paraId="75A35E19" w14:textId="320CE50D" w:rsidR="00300DB4" w:rsidRDefault="00300DB4" w:rsidP="00E272D9">
            <w:pPr>
              <w:spacing w:after="0" w:line="259" w:lineRule="auto"/>
              <w:ind w:left="0" w:right="0" w:firstLine="0"/>
              <w:jc w:val="center"/>
            </w:pPr>
            <w:r>
              <w:rPr>
                <w:sz w:val="18"/>
              </w:rPr>
              <w:t>37324-23-5</w:t>
            </w:r>
          </w:p>
        </w:tc>
        <w:tc>
          <w:tcPr>
            <w:tcW w:w="783" w:type="dxa"/>
            <w:tcBorders>
              <w:top w:val="single" w:sz="4" w:space="0" w:color="000000"/>
              <w:left w:val="single" w:sz="12" w:space="0" w:color="000000"/>
              <w:bottom w:val="single" w:sz="12" w:space="0" w:color="000000"/>
              <w:right w:val="single" w:sz="12" w:space="0" w:color="000000"/>
            </w:tcBorders>
            <w:vAlign w:val="center"/>
          </w:tcPr>
          <w:p w14:paraId="175DD567" w14:textId="33BBF46C" w:rsidR="00300DB4" w:rsidRDefault="00300DB4" w:rsidP="004A51A9">
            <w:pPr>
              <w:spacing w:after="0" w:line="259" w:lineRule="auto"/>
              <w:ind w:left="3" w:right="0" w:firstLine="0"/>
              <w:jc w:val="center"/>
            </w:pPr>
            <w:r>
              <w:rPr>
                <w:b/>
                <w:sz w:val="18"/>
              </w:rPr>
              <w:t>0.5</w:t>
            </w:r>
          </w:p>
        </w:tc>
        <w:tc>
          <w:tcPr>
            <w:tcW w:w="869" w:type="dxa"/>
            <w:tcBorders>
              <w:top w:val="single" w:sz="4" w:space="0" w:color="000000"/>
              <w:left w:val="single" w:sz="12" w:space="0" w:color="000000"/>
              <w:bottom w:val="single" w:sz="12" w:space="0" w:color="000000"/>
              <w:right w:val="single" w:sz="12" w:space="0" w:color="000000"/>
            </w:tcBorders>
            <w:vAlign w:val="center"/>
          </w:tcPr>
          <w:p w14:paraId="05D08EB0" w14:textId="4C9C9EC3" w:rsidR="00300DB4" w:rsidRPr="00EC7FB1" w:rsidRDefault="00300DB4" w:rsidP="004A51A9">
            <w:pPr>
              <w:spacing w:after="0" w:line="259" w:lineRule="auto"/>
              <w:ind w:left="0" w:right="1" w:firstLine="0"/>
              <w:jc w:val="center"/>
            </w:pPr>
            <w:r w:rsidRPr="00515BA4">
              <w:rPr>
                <w:sz w:val="18"/>
              </w:rPr>
              <w:t>ug/L</w:t>
            </w:r>
          </w:p>
        </w:tc>
        <w:tc>
          <w:tcPr>
            <w:tcW w:w="805" w:type="dxa"/>
            <w:tcBorders>
              <w:top w:val="single" w:sz="4" w:space="0" w:color="000000"/>
              <w:left w:val="single" w:sz="12" w:space="0" w:color="000000"/>
              <w:bottom w:val="single" w:sz="12" w:space="0" w:color="000000"/>
              <w:right w:val="single" w:sz="12" w:space="0" w:color="000000"/>
            </w:tcBorders>
            <w:vAlign w:val="center"/>
          </w:tcPr>
          <w:p w14:paraId="2CFEA73E" w14:textId="4D9642F8" w:rsidR="00300DB4" w:rsidRDefault="00300DB4" w:rsidP="004A51A9">
            <w:pPr>
              <w:spacing w:after="0" w:line="259" w:lineRule="auto"/>
              <w:ind w:left="0" w:right="1" w:firstLine="0"/>
              <w:jc w:val="center"/>
            </w:pPr>
            <w:r>
              <w:rPr>
                <w:sz w:val="18"/>
              </w:rPr>
              <w:t>1800</w:t>
            </w:r>
          </w:p>
        </w:tc>
        <w:tc>
          <w:tcPr>
            <w:tcW w:w="1068" w:type="dxa"/>
            <w:tcBorders>
              <w:top w:val="single" w:sz="4" w:space="0" w:color="000000"/>
              <w:left w:val="single" w:sz="12" w:space="0" w:color="000000"/>
              <w:bottom w:val="single" w:sz="12" w:space="0" w:color="000000"/>
              <w:right w:val="single" w:sz="12" w:space="0" w:color="000000"/>
            </w:tcBorders>
            <w:vAlign w:val="center"/>
          </w:tcPr>
          <w:p w14:paraId="4062BCEE" w14:textId="386EA43F" w:rsidR="00300DB4" w:rsidRDefault="00300DB4" w:rsidP="004A51A9">
            <w:pPr>
              <w:spacing w:after="0" w:line="259" w:lineRule="auto"/>
              <w:ind w:left="0" w:right="4" w:firstLine="0"/>
              <w:jc w:val="center"/>
            </w:pPr>
            <w:r>
              <w:rPr>
                <w:rFonts w:eastAsia="Segoe UI Symbol"/>
                <w:sz w:val="18"/>
              </w:rPr>
              <w:t>u</w:t>
            </w:r>
            <w:r>
              <w:rPr>
                <w:sz w:val="18"/>
              </w:rPr>
              <w:t>g/kg</w:t>
            </w:r>
          </w:p>
        </w:tc>
        <w:tc>
          <w:tcPr>
            <w:tcW w:w="784" w:type="dxa"/>
            <w:tcBorders>
              <w:top w:val="single" w:sz="4" w:space="0" w:color="000000"/>
              <w:left w:val="single" w:sz="12" w:space="0" w:color="000000"/>
              <w:bottom w:val="single" w:sz="12" w:space="0" w:color="000000"/>
              <w:right w:val="single" w:sz="12" w:space="0" w:color="000000"/>
            </w:tcBorders>
            <w:vAlign w:val="center"/>
          </w:tcPr>
          <w:p w14:paraId="26F6D446" w14:textId="1893F2EC" w:rsidR="00300DB4" w:rsidRDefault="00300DB4" w:rsidP="004A51A9">
            <w:pPr>
              <w:spacing w:after="0" w:line="259" w:lineRule="auto"/>
              <w:ind w:left="4" w:right="0" w:firstLine="0"/>
              <w:jc w:val="center"/>
            </w:pPr>
            <w:r>
              <w:rPr>
                <w:sz w:val="18"/>
              </w:rPr>
              <w:t>10</w:t>
            </w:r>
          </w:p>
        </w:tc>
        <w:tc>
          <w:tcPr>
            <w:tcW w:w="1212" w:type="dxa"/>
            <w:tcBorders>
              <w:top w:val="single" w:sz="4" w:space="0" w:color="000000"/>
              <w:left w:val="single" w:sz="12" w:space="0" w:color="000000"/>
              <w:bottom w:val="single" w:sz="12" w:space="0" w:color="000000"/>
              <w:right w:val="single" w:sz="12" w:space="0" w:color="000000"/>
            </w:tcBorders>
            <w:vAlign w:val="center"/>
          </w:tcPr>
          <w:p w14:paraId="663A44CA" w14:textId="2F837C47" w:rsidR="00300DB4" w:rsidRDefault="00300DB4" w:rsidP="004A51A9">
            <w:pPr>
              <w:spacing w:after="0" w:line="259" w:lineRule="auto"/>
              <w:ind w:left="0" w:right="2" w:firstLine="0"/>
              <w:jc w:val="center"/>
            </w:pPr>
            <w:r>
              <w:rPr>
                <w:sz w:val="18"/>
              </w:rPr>
              <w:t>ug/100 cm</w:t>
            </w:r>
            <w:r>
              <w:rPr>
                <w:sz w:val="18"/>
                <w:vertAlign w:val="superscript"/>
              </w:rPr>
              <w:t>2</w:t>
            </w:r>
          </w:p>
        </w:tc>
        <w:tc>
          <w:tcPr>
            <w:tcW w:w="1958" w:type="dxa"/>
            <w:tcBorders>
              <w:top w:val="single" w:sz="4" w:space="0" w:color="000000"/>
              <w:left w:val="single" w:sz="12" w:space="0" w:color="000000"/>
              <w:bottom w:val="single" w:sz="12" w:space="0" w:color="000000"/>
              <w:right w:val="single" w:sz="12" w:space="0" w:color="000000"/>
            </w:tcBorders>
            <w:vAlign w:val="center"/>
          </w:tcPr>
          <w:p w14:paraId="646DDE89" w14:textId="624376AC" w:rsidR="00300DB4" w:rsidRDefault="00300DB4" w:rsidP="004A51A9">
            <w:pPr>
              <w:spacing w:after="0" w:line="259" w:lineRule="auto"/>
              <w:ind w:left="2" w:right="0" w:firstLine="0"/>
              <w:jc w:val="center"/>
            </w:pPr>
            <w:r>
              <w:rPr>
                <w:sz w:val="18"/>
              </w:rPr>
              <w:t>8082</w:t>
            </w:r>
          </w:p>
        </w:tc>
      </w:tr>
    </w:tbl>
    <w:p w14:paraId="1278B7F4" w14:textId="2CA6CF32" w:rsidR="00B56D50" w:rsidRPr="008F7A41" w:rsidRDefault="00B56D50">
      <w:pPr>
        <w:spacing w:after="0" w:line="259" w:lineRule="auto"/>
        <w:ind w:left="0" w:right="0" w:firstLine="0"/>
      </w:pPr>
    </w:p>
    <w:tbl>
      <w:tblPr>
        <w:tblStyle w:val="TableGrid1"/>
        <w:tblW w:w="10620" w:type="dxa"/>
        <w:tblInd w:w="-375" w:type="dxa"/>
        <w:tblCellMar>
          <w:top w:w="13" w:type="dxa"/>
          <w:right w:w="12" w:type="dxa"/>
        </w:tblCellMar>
        <w:tblLook w:val="04A0" w:firstRow="1" w:lastRow="0" w:firstColumn="1" w:lastColumn="0" w:noHBand="0" w:noVBand="1"/>
      </w:tblPr>
      <w:tblGrid>
        <w:gridCol w:w="3046"/>
        <w:gridCol w:w="1182"/>
        <w:gridCol w:w="1636"/>
        <w:gridCol w:w="735"/>
        <w:gridCol w:w="887"/>
        <w:gridCol w:w="851"/>
        <w:gridCol w:w="1473"/>
        <w:gridCol w:w="810"/>
      </w:tblGrid>
      <w:tr w:rsidR="00E21C5A" w14:paraId="7EE01777" w14:textId="77777777" w:rsidTr="00687CAB">
        <w:trPr>
          <w:trHeight w:val="288"/>
          <w:tblHeader/>
        </w:trPr>
        <w:tc>
          <w:tcPr>
            <w:tcW w:w="10620" w:type="dxa"/>
            <w:gridSpan w:val="8"/>
            <w:tcBorders>
              <w:top w:val="single" w:sz="12" w:space="0" w:color="000000"/>
              <w:left w:val="single" w:sz="12" w:space="0" w:color="000000"/>
              <w:bottom w:val="single" w:sz="12" w:space="0" w:color="000000"/>
              <w:right w:val="single" w:sz="12" w:space="0" w:color="000000"/>
            </w:tcBorders>
            <w:vAlign w:val="center"/>
          </w:tcPr>
          <w:p w14:paraId="78055022" w14:textId="419FB2AE" w:rsidR="00DC7E9F" w:rsidRPr="00493698" w:rsidRDefault="00E21C5A" w:rsidP="00B662DA">
            <w:pPr>
              <w:spacing w:after="0" w:line="240" w:lineRule="auto"/>
              <w:ind w:left="63" w:right="0" w:firstLine="0"/>
              <w:rPr>
                <w:sz w:val="18"/>
                <w:szCs w:val="18"/>
              </w:rPr>
            </w:pPr>
            <w:r w:rsidRPr="00493698">
              <w:rPr>
                <w:b/>
                <w:sz w:val="18"/>
                <w:szCs w:val="18"/>
              </w:rPr>
              <w:t>SVOA – Group C:</w:t>
            </w:r>
            <w:r w:rsidRPr="00493698">
              <w:rPr>
                <w:sz w:val="18"/>
                <w:szCs w:val="18"/>
              </w:rPr>
              <w:t xml:space="preserve">  </w:t>
            </w:r>
            <w:r w:rsidRPr="00493698">
              <w:rPr>
                <w:b/>
                <w:sz w:val="18"/>
                <w:szCs w:val="18"/>
              </w:rPr>
              <w:t>Polynuclear Aromatic Hydrocarbons by HPLC (Meets RISC/RCG Levels)</w:t>
            </w:r>
          </w:p>
        </w:tc>
      </w:tr>
      <w:tr w:rsidR="00B56D50" w14:paraId="1E48A561" w14:textId="77777777" w:rsidTr="00687CAB">
        <w:trPr>
          <w:trHeight w:val="444"/>
          <w:tblHeader/>
        </w:trPr>
        <w:tc>
          <w:tcPr>
            <w:tcW w:w="3046" w:type="dxa"/>
            <w:vMerge w:val="restart"/>
            <w:tcBorders>
              <w:top w:val="single" w:sz="12" w:space="0" w:color="000000"/>
              <w:left w:val="single" w:sz="12" w:space="0" w:color="000000"/>
              <w:bottom w:val="single" w:sz="12" w:space="0" w:color="000000"/>
              <w:right w:val="single" w:sz="12" w:space="0" w:color="000000"/>
            </w:tcBorders>
            <w:vAlign w:val="center"/>
          </w:tcPr>
          <w:p w14:paraId="75F13ED1" w14:textId="4032DADE" w:rsidR="00B56D50" w:rsidRDefault="001C3C42" w:rsidP="00B662DA">
            <w:pPr>
              <w:spacing w:after="0" w:line="259" w:lineRule="auto"/>
              <w:ind w:left="5" w:right="0" w:firstLine="0"/>
              <w:jc w:val="center"/>
            </w:pPr>
            <w:r>
              <w:rPr>
                <w:b/>
                <w:sz w:val="18"/>
              </w:rPr>
              <w:t>Analyte</w:t>
            </w:r>
          </w:p>
        </w:tc>
        <w:tc>
          <w:tcPr>
            <w:tcW w:w="1182" w:type="dxa"/>
            <w:vMerge w:val="restart"/>
            <w:tcBorders>
              <w:top w:val="single" w:sz="12" w:space="0" w:color="000000"/>
              <w:left w:val="single" w:sz="12" w:space="0" w:color="000000"/>
              <w:bottom w:val="single" w:sz="12" w:space="0" w:color="000000"/>
              <w:right w:val="single" w:sz="12" w:space="0" w:color="000000"/>
            </w:tcBorders>
            <w:vAlign w:val="center"/>
          </w:tcPr>
          <w:p w14:paraId="4303CB3E" w14:textId="7A0342EC" w:rsidR="00B56D50" w:rsidRDefault="001C3C42" w:rsidP="00B662DA">
            <w:pPr>
              <w:spacing w:after="0" w:line="259" w:lineRule="auto"/>
              <w:ind w:left="127" w:right="70" w:firstLine="0"/>
              <w:jc w:val="center"/>
            </w:pPr>
            <w:r>
              <w:rPr>
                <w:b/>
                <w:sz w:val="18"/>
              </w:rPr>
              <w:t>CAS Number</w:t>
            </w:r>
          </w:p>
        </w:tc>
        <w:tc>
          <w:tcPr>
            <w:tcW w:w="2371" w:type="dxa"/>
            <w:gridSpan w:val="2"/>
            <w:tcBorders>
              <w:top w:val="single" w:sz="12" w:space="0" w:color="000000"/>
              <w:left w:val="single" w:sz="12" w:space="0" w:color="000000"/>
              <w:bottom w:val="single" w:sz="12" w:space="0" w:color="000000"/>
              <w:right w:val="single" w:sz="12" w:space="0" w:color="000000"/>
            </w:tcBorders>
            <w:vAlign w:val="center"/>
          </w:tcPr>
          <w:p w14:paraId="0398D1FC" w14:textId="6A2B547D" w:rsidR="00B56D50" w:rsidRDefault="001C3C42" w:rsidP="00B662DA">
            <w:pPr>
              <w:spacing w:after="0" w:line="259" w:lineRule="auto"/>
              <w:ind w:left="106" w:right="0" w:firstLine="0"/>
              <w:jc w:val="center"/>
            </w:pPr>
            <w:r>
              <w:rPr>
                <w:b/>
                <w:sz w:val="18"/>
              </w:rPr>
              <w:t>Aqueous</w:t>
            </w:r>
          </w:p>
        </w:tc>
        <w:tc>
          <w:tcPr>
            <w:tcW w:w="1738" w:type="dxa"/>
            <w:gridSpan w:val="2"/>
            <w:tcBorders>
              <w:top w:val="single" w:sz="12" w:space="0" w:color="000000"/>
              <w:left w:val="single" w:sz="12" w:space="0" w:color="000000"/>
              <w:bottom w:val="single" w:sz="12" w:space="0" w:color="000000"/>
              <w:right w:val="single" w:sz="12" w:space="0" w:color="000000"/>
            </w:tcBorders>
            <w:vAlign w:val="center"/>
          </w:tcPr>
          <w:p w14:paraId="765EDF0A" w14:textId="77777777" w:rsidR="00603AD9" w:rsidRDefault="001C3C42" w:rsidP="00B662DA">
            <w:pPr>
              <w:spacing w:after="0" w:line="259" w:lineRule="auto"/>
              <w:ind w:left="190" w:right="149" w:firstLine="0"/>
              <w:jc w:val="center"/>
              <w:rPr>
                <w:b/>
                <w:sz w:val="18"/>
              </w:rPr>
            </w:pPr>
            <w:r>
              <w:rPr>
                <w:b/>
                <w:sz w:val="18"/>
              </w:rPr>
              <w:t>Soil/Sediment</w:t>
            </w:r>
          </w:p>
          <w:p w14:paraId="18BC5677" w14:textId="1B5529E3" w:rsidR="00B56D50" w:rsidRDefault="001C3C42" w:rsidP="00B662DA">
            <w:pPr>
              <w:spacing w:after="0" w:line="259" w:lineRule="auto"/>
              <w:ind w:left="190" w:right="149" w:firstLine="0"/>
              <w:jc w:val="center"/>
            </w:pPr>
            <w:r w:rsidRPr="00603AD9">
              <w:rPr>
                <w:sz w:val="16"/>
                <w:szCs w:val="16"/>
              </w:rPr>
              <w:t xml:space="preserve">(low </w:t>
            </w:r>
            <w:r w:rsidR="00493698" w:rsidRPr="00603AD9">
              <w:rPr>
                <w:sz w:val="16"/>
                <w:szCs w:val="16"/>
              </w:rPr>
              <w:t>c</w:t>
            </w:r>
            <w:r w:rsidRPr="00603AD9">
              <w:rPr>
                <w:sz w:val="16"/>
                <w:szCs w:val="16"/>
              </w:rPr>
              <w:t>oncentration)</w:t>
            </w:r>
          </w:p>
        </w:tc>
        <w:tc>
          <w:tcPr>
            <w:tcW w:w="2283" w:type="dxa"/>
            <w:gridSpan w:val="2"/>
            <w:vMerge w:val="restart"/>
            <w:tcBorders>
              <w:top w:val="single" w:sz="12" w:space="0" w:color="000000"/>
              <w:left w:val="single" w:sz="12" w:space="0" w:color="000000"/>
              <w:bottom w:val="single" w:sz="12" w:space="0" w:color="000000"/>
              <w:right w:val="single" w:sz="12" w:space="0" w:color="000000"/>
            </w:tcBorders>
            <w:vAlign w:val="center"/>
          </w:tcPr>
          <w:p w14:paraId="0C4DC343" w14:textId="2D34A137" w:rsidR="00B56D50" w:rsidRDefault="001C3C42" w:rsidP="00B662DA">
            <w:pPr>
              <w:spacing w:after="0" w:line="259" w:lineRule="auto"/>
              <w:ind w:left="4" w:right="0" w:firstLine="0"/>
              <w:jc w:val="center"/>
            </w:pPr>
            <w:r>
              <w:rPr>
                <w:b/>
                <w:sz w:val="18"/>
              </w:rPr>
              <w:t>Required Method</w:t>
            </w:r>
          </w:p>
        </w:tc>
      </w:tr>
      <w:tr w:rsidR="00C84A5D" w14:paraId="42F25361" w14:textId="77777777" w:rsidTr="00687CAB">
        <w:trPr>
          <w:trHeight w:val="271"/>
          <w:tblHeader/>
        </w:trPr>
        <w:tc>
          <w:tcPr>
            <w:tcW w:w="3046" w:type="dxa"/>
            <w:vMerge/>
            <w:tcBorders>
              <w:top w:val="nil"/>
              <w:left w:val="single" w:sz="12" w:space="0" w:color="000000"/>
              <w:bottom w:val="single" w:sz="12" w:space="0" w:color="000000"/>
              <w:right w:val="single" w:sz="12" w:space="0" w:color="000000"/>
            </w:tcBorders>
            <w:vAlign w:val="center"/>
          </w:tcPr>
          <w:p w14:paraId="63FD2B04" w14:textId="77777777" w:rsidR="00B56D50" w:rsidRDefault="00B56D50" w:rsidP="00B662DA">
            <w:pPr>
              <w:spacing w:after="160" w:line="259" w:lineRule="auto"/>
              <w:ind w:left="0" w:right="0" w:firstLine="0"/>
              <w:jc w:val="center"/>
            </w:pPr>
          </w:p>
        </w:tc>
        <w:tc>
          <w:tcPr>
            <w:tcW w:w="0" w:type="auto"/>
            <w:vMerge/>
            <w:tcBorders>
              <w:top w:val="nil"/>
              <w:left w:val="single" w:sz="12" w:space="0" w:color="000000"/>
              <w:bottom w:val="single" w:sz="12" w:space="0" w:color="000000"/>
              <w:right w:val="single" w:sz="12" w:space="0" w:color="000000"/>
            </w:tcBorders>
            <w:vAlign w:val="center"/>
          </w:tcPr>
          <w:p w14:paraId="02681BD0" w14:textId="77777777" w:rsidR="00B56D50" w:rsidRDefault="00B56D50" w:rsidP="00B662DA">
            <w:pPr>
              <w:spacing w:after="160" w:line="259" w:lineRule="auto"/>
              <w:ind w:left="0" w:right="0" w:firstLine="0"/>
              <w:jc w:val="center"/>
            </w:pPr>
          </w:p>
        </w:tc>
        <w:tc>
          <w:tcPr>
            <w:tcW w:w="1636" w:type="dxa"/>
            <w:tcBorders>
              <w:top w:val="single" w:sz="12" w:space="0" w:color="000000"/>
              <w:left w:val="single" w:sz="12" w:space="0" w:color="000000"/>
              <w:bottom w:val="single" w:sz="12" w:space="0" w:color="000000"/>
              <w:right w:val="single" w:sz="12" w:space="0" w:color="000000"/>
            </w:tcBorders>
            <w:vAlign w:val="center"/>
          </w:tcPr>
          <w:p w14:paraId="6EFFA87E" w14:textId="1DC5A1FD" w:rsidR="00B56D50" w:rsidRPr="00060A9D" w:rsidRDefault="001C3C42" w:rsidP="00B662DA">
            <w:pPr>
              <w:spacing w:after="0" w:line="259" w:lineRule="auto"/>
              <w:ind w:left="106" w:right="0" w:firstLine="0"/>
              <w:jc w:val="center"/>
              <w:rPr>
                <w:vertAlign w:val="superscript"/>
              </w:rPr>
            </w:pPr>
            <w:r>
              <w:rPr>
                <w:b/>
                <w:sz w:val="18"/>
              </w:rPr>
              <w:t xml:space="preserve">RL </w:t>
            </w:r>
            <w:r w:rsidR="00061585">
              <w:rPr>
                <w:b/>
                <w:sz w:val="18"/>
                <w:vertAlign w:val="superscript"/>
              </w:rPr>
              <w:t>24</w:t>
            </w:r>
          </w:p>
        </w:tc>
        <w:tc>
          <w:tcPr>
            <w:tcW w:w="735" w:type="dxa"/>
            <w:tcBorders>
              <w:top w:val="single" w:sz="12" w:space="0" w:color="000000"/>
              <w:left w:val="single" w:sz="12" w:space="0" w:color="000000"/>
              <w:bottom w:val="single" w:sz="12" w:space="0" w:color="000000"/>
              <w:right w:val="single" w:sz="12" w:space="0" w:color="000000"/>
            </w:tcBorders>
            <w:vAlign w:val="center"/>
          </w:tcPr>
          <w:p w14:paraId="60EFD0E0" w14:textId="571973DA" w:rsidR="00B56D50" w:rsidRDefault="001C3C42" w:rsidP="00B662DA">
            <w:pPr>
              <w:spacing w:after="0" w:line="259" w:lineRule="auto"/>
              <w:ind w:left="5" w:right="0" w:firstLine="0"/>
              <w:jc w:val="center"/>
            </w:pPr>
            <w:r>
              <w:rPr>
                <w:b/>
                <w:sz w:val="18"/>
              </w:rPr>
              <w:t>units</w:t>
            </w:r>
          </w:p>
        </w:tc>
        <w:tc>
          <w:tcPr>
            <w:tcW w:w="887" w:type="dxa"/>
            <w:tcBorders>
              <w:top w:val="single" w:sz="12" w:space="0" w:color="000000"/>
              <w:left w:val="single" w:sz="12" w:space="0" w:color="000000"/>
              <w:bottom w:val="single" w:sz="12" w:space="0" w:color="000000"/>
              <w:right w:val="single" w:sz="12" w:space="0" w:color="000000"/>
            </w:tcBorders>
            <w:vAlign w:val="center"/>
          </w:tcPr>
          <w:p w14:paraId="6B2D0FE4" w14:textId="3A7356B2" w:rsidR="00B56D50" w:rsidRDefault="001C3C42" w:rsidP="00B662DA">
            <w:pPr>
              <w:spacing w:after="0" w:line="259" w:lineRule="auto"/>
              <w:ind w:left="5" w:right="0" w:firstLine="0"/>
              <w:jc w:val="center"/>
            </w:pPr>
            <w:r>
              <w:rPr>
                <w:b/>
                <w:sz w:val="18"/>
              </w:rPr>
              <w:t>RL</w:t>
            </w:r>
          </w:p>
        </w:tc>
        <w:tc>
          <w:tcPr>
            <w:tcW w:w="851" w:type="dxa"/>
            <w:tcBorders>
              <w:top w:val="single" w:sz="12" w:space="0" w:color="000000"/>
              <w:left w:val="single" w:sz="12" w:space="0" w:color="000000"/>
              <w:bottom w:val="single" w:sz="12" w:space="0" w:color="000000"/>
              <w:right w:val="single" w:sz="12" w:space="0" w:color="000000"/>
            </w:tcBorders>
            <w:vAlign w:val="center"/>
          </w:tcPr>
          <w:p w14:paraId="3AC79AF6" w14:textId="067E46DE" w:rsidR="00B56D50" w:rsidRDefault="001C3C42" w:rsidP="00B662DA">
            <w:pPr>
              <w:spacing w:after="0" w:line="259" w:lineRule="auto"/>
              <w:ind w:left="3" w:right="0" w:firstLine="0"/>
              <w:jc w:val="center"/>
            </w:pPr>
            <w:r>
              <w:rPr>
                <w:b/>
                <w:sz w:val="18"/>
              </w:rPr>
              <w:t>units</w:t>
            </w:r>
          </w:p>
        </w:tc>
        <w:tc>
          <w:tcPr>
            <w:tcW w:w="2283" w:type="dxa"/>
            <w:gridSpan w:val="2"/>
            <w:vMerge/>
            <w:tcBorders>
              <w:top w:val="nil"/>
              <w:left w:val="single" w:sz="12" w:space="0" w:color="000000"/>
              <w:bottom w:val="single" w:sz="12" w:space="0" w:color="000000"/>
              <w:right w:val="single" w:sz="12" w:space="0" w:color="000000"/>
            </w:tcBorders>
            <w:vAlign w:val="center"/>
          </w:tcPr>
          <w:p w14:paraId="16909008" w14:textId="77777777" w:rsidR="00B56D50" w:rsidRDefault="00B56D50" w:rsidP="00B662DA">
            <w:pPr>
              <w:spacing w:after="160" w:line="259" w:lineRule="auto"/>
              <w:ind w:left="0" w:right="0" w:firstLine="0"/>
              <w:jc w:val="center"/>
            </w:pPr>
          </w:p>
        </w:tc>
      </w:tr>
      <w:tr w:rsidR="00300DB4" w14:paraId="5C6AD6F5" w14:textId="77777777" w:rsidTr="00687CAB">
        <w:trPr>
          <w:trHeight w:val="259"/>
        </w:trPr>
        <w:tc>
          <w:tcPr>
            <w:tcW w:w="3046" w:type="dxa"/>
            <w:tcBorders>
              <w:top w:val="single" w:sz="12" w:space="0" w:color="000000"/>
              <w:left w:val="single" w:sz="12" w:space="0" w:color="000000"/>
              <w:bottom w:val="single" w:sz="4" w:space="0" w:color="000000"/>
              <w:right w:val="single" w:sz="12" w:space="0" w:color="000000"/>
            </w:tcBorders>
          </w:tcPr>
          <w:p w14:paraId="65758D39" w14:textId="77777777" w:rsidR="00300DB4" w:rsidRDefault="00300DB4" w:rsidP="00300DB4">
            <w:pPr>
              <w:spacing w:after="0" w:line="259" w:lineRule="auto"/>
              <w:ind w:left="74" w:right="0" w:firstLine="0"/>
            </w:pPr>
            <w:r>
              <w:rPr>
                <w:sz w:val="18"/>
              </w:rPr>
              <w:t xml:space="preserve">Acenaphthene </w:t>
            </w:r>
          </w:p>
        </w:tc>
        <w:tc>
          <w:tcPr>
            <w:tcW w:w="1182" w:type="dxa"/>
            <w:tcBorders>
              <w:top w:val="single" w:sz="12" w:space="0" w:color="000000"/>
              <w:left w:val="single" w:sz="12" w:space="0" w:color="000000"/>
              <w:bottom w:val="single" w:sz="4" w:space="0" w:color="000000"/>
              <w:right w:val="single" w:sz="12" w:space="0" w:color="000000"/>
            </w:tcBorders>
          </w:tcPr>
          <w:p w14:paraId="69B7AD81" w14:textId="14A061A9" w:rsidR="00300DB4" w:rsidRDefault="00300DB4" w:rsidP="004A6B8D">
            <w:pPr>
              <w:spacing w:after="0" w:line="259" w:lineRule="auto"/>
              <w:ind w:left="0" w:right="59" w:firstLine="0"/>
              <w:jc w:val="center"/>
            </w:pPr>
            <w:r>
              <w:rPr>
                <w:sz w:val="18"/>
              </w:rPr>
              <w:t>83-32-9</w:t>
            </w:r>
          </w:p>
        </w:tc>
        <w:tc>
          <w:tcPr>
            <w:tcW w:w="1636" w:type="dxa"/>
            <w:tcBorders>
              <w:top w:val="single" w:sz="12" w:space="0" w:color="000000"/>
              <w:left w:val="single" w:sz="12" w:space="0" w:color="000000"/>
              <w:bottom w:val="single" w:sz="4" w:space="0" w:color="000000"/>
              <w:right w:val="single" w:sz="12" w:space="0" w:color="000000"/>
            </w:tcBorders>
          </w:tcPr>
          <w:p w14:paraId="468819FC" w14:textId="36682E8F" w:rsidR="00300DB4" w:rsidRDefault="00300DB4" w:rsidP="004A6B8D">
            <w:pPr>
              <w:tabs>
                <w:tab w:val="center" w:pos="380"/>
              </w:tabs>
              <w:spacing w:after="0" w:line="259" w:lineRule="auto"/>
              <w:ind w:left="0" w:right="0" w:firstLine="0"/>
              <w:jc w:val="center"/>
            </w:pPr>
            <w:r>
              <w:rPr>
                <w:sz w:val="18"/>
              </w:rPr>
              <w:t>20</w:t>
            </w:r>
          </w:p>
        </w:tc>
        <w:tc>
          <w:tcPr>
            <w:tcW w:w="735" w:type="dxa"/>
            <w:tcBorders>
              <w:top w:val="single" w:sz="12" w:space="0" w:color="000000"/>
              <w:left w:val="single" w:sz="12" w:space="0" w:color="000000"/>
              <w:bottom w:val="single" w:sz="4" w:space="0" w:color="000000"/>
              <w:right w:val="single" w:sz="12" w:space="0" w:color="000000"/>
            </w:tcBorders>
          </w:tcPr>
          <w:p w14:paraId="6E59B681" w14:textId="67CF4E6F" w:rsidR="00300DB4" w:rsidRDefault="00300DB4" w:rsidP="004A6B8D">
            <w:pPr>
              <w:spacing w:after="0" w:line="259" w:lineRule="auto"/>
              <w:ind w:left="9" w:right="0" w:firstLine="0"/>
              <w:jc w:val="center"/>
            </w:pPr>
            <w:r>
              <w:rPr>
                <w:sz w:val="18"/>
              </w:rPr>
              <w:t>ug/L</w:t>
            </w:r>
          </w:p>
        </w:tc>
        <w:tc>
          <w:tcPr>
            <w:tcW w:w="887" w:type="dxa"/>
            <w:tcBorders>
              <w:top w:val="single" w:sz="12" w:space="0" w:color="000000"/>
              <w:left w:val="single" w:sz="12" w:space="0" w:color="000000"/>
              <w:bottom w:val="single" w:sz="4" w:space="0" w:color="000000"/>
              <w:right w:val="single" w:sz="12" w:space="0" w:color="000000"/>
            </w:tcBorders>
          </w:tcPr>
          <w:p w14:paraId="02BB6A87" w14:textId="7EDAFE81" w:rsidR="00300DB4" w:rsidRDefault="00300DB4" w:rsidP="004A6B8D">
            <w:pPr>
              <w:spacing w:after="0" w:line="259" w:lineRule="auto"/>
              <w:ind w:left="11" w:right="0" w:firstLine="0"/>
              <w:jc w:val="center"/>
            </w:pPr>
            <w:r>
              <w:rPr>
                <w:sz w:val="18"/>
              </w:rPr>
              <w:t>20000</w:t>
            </w:r>
          </w:p>
        </w:tc>
        <w:tc>
          <w:tcPr>
            <w:tcW w:w="851" w:type="dxa"/>
            <w:tcBorders>
              <w:top w:val="single" w:sz="12" w:space="0" w:color="000000"/>
              <w:left w:val="single" w:sz="12" w:space="0" w:color="000000"/>
              <w:bottom w:val="single" w:sz="4" w:space="0" w:color="000000"/>
              <w:right w:val="single" w:sz="12" w:space="0" w:color="000000"/>
            </w:tcBorders>
          </w:tcPr>
          <w:p w14:paraId="6AF273AA" w14:textId="7FC5CD3E" w:rsidR="00300DB4" w:rsidRDefault="00300DB4" w:rsidP="004A6B8D">
            <w:pPr>
              <w:spacing w:after="0" w:line="259" w:lineRule="auto"/>
              <w:ind w:left="11" w:right="0" w:firstLine="0"/>
              <w:jc w:val="center"/>
            </w:pPr>
            <w:r>
              <w:rPr>
                <w:rFonts w:eastAsia="Segoe UI Symbol"/>
                <w:sz w:val="18"/>
              </w:rPr>
              <w:t>u</w:t>
            </w:r>
            <w:r>
              <w:rPr>
                <w:sz w:val="18"/>
              </w:rPr>
              <w:t>g/kg</w:t>
            </w:r>
          </w:p>
        </w:tc>
        <w:tc>
          <w:tcPr>
            <w:tcW w:w="1473" w:type="dxa"/>
            <w:tcBorders>
              <w:top w:val="single" w:sz="12" w:space="0" w:color="000000"/>
              <w:left w:val="single" w:sz="12" w:space="0" w:color="000000"/>
              <w:bottom w:val="single" w:sz="4" w:space="0" w:color="000000"/>
              <w:right w:val="single" w:sz="12" w:space="0" w:color="000000"/>
            </w:tcBorders>
          </w:tcPr>
          <w:p w14:paraId="724C2A8E" w14:textId="2BD72191" w:rsidR="00300DB4" w:rsidRDefault="00300DB4" w:rsidP="004A6B8D">
            <w:pPr>
              <w:spacing w:after="0" w:line="259" w:lineRule="auto"/>
              <w:ind w:left="0" w:right="59" w:firstLine="0"/>
              <w:jc w:val="center"/>
            </w:pPr>
            <w:r>
              <w:rPr>
                <w:sz w:val="18"/>
              </w:rPr>
              <w:t>8310</w:t>
            </w:r>
            <w:r w:rsidR="00B45F04">
              <w:rPr>
                <w:sz w:val="18"/>
              </w:rPr>
              <w:t>, 8270 SIM</w:t>
            </w:r>
          </w:p>
        </w:tc>
        <w:tc>
          <w:tcPr>
            <w:tcW w:w="810" w:type="dxa"/>
            <w:tcBorders>
              <w:top w:val="single" w:sz="12" w:space="0" w:color="000000"/>
              <w:left w:val="single" w:sz="12" w:space="0" w:color="000000"/>
              <w:bottom w:val="single" w:sz="4" w:space="0" w:color="000000"/>
              <w:right w:val="single" w:sz="12" w:space="0" w:color="000000"/>
            </w:tcBorders>
          </w:tcPr>
          <w:p w14:paraId="6F098CC8" w14:textId="1700E174" w:rsidR="00300DB4" w:rsidRDefault="00300DB4" w:rsidP="004A6B8D">
            <w:pPr>
              <w:spacing w:after="0" w:line="259" w:lineRule="auto"/>
              <w:ind w:left="57" w:right="0" w:firstLine="0"/>
              <w:jc w:val="center"/>
            </w:pPr>
          </w:p>
        </w:tc>
      </w:tr>
      <w:tr w:rsidR="00B45F04" w14:paraId="4FEC6A1D" w14:textId="77777777" w:rsidTr="00687CAB">
        <w:trPr>
          <w:trHeight w:val="250"/>
        </w:trPr>
        <w:tc>
          <w:tcPr>
            <w:tcW w:w="3046" w:type="dxa"/>
            <w:tcBorders>
              <w:top w:val="single" w:sz="4" w:space="0" w:color="000000"/>
              <w:left w:val="single" w:sz="12" w:space="0" w:color="000000"/>
              <w:bottom w:val="single" w:sz="4" w:space="0" w:color="000000"/>
              <w:right w:val="single" w:sz="12" w:space="0" w:color="000000"/>
            </w:tcBorders>
          </w:tcPr>
          <w:p w14:paraId="09C54A0D" w14:textId="77777777" w:rsidR="00B45F04" w:rsidRDefault="00B45F04" w:rsidP="00B45F04">
            <w:pPr>
              <w:spacing w:after="0" w:line="259" w:lineRule="auto"/>
              <w:ind w:left="74" w:right="0" w:firstLine="0"/>
            </w:pPr>
            <w:r>
              <w:rPr>
                <w:sz w:val="18"/>
              </w:rPr>
              <w:t xml:space="preserve">Acenaphthylene </w:t>
            </w:r>
          </w:p>
        </w:tc>
        <w:tc>
          <w:tcPr>
            <w:tcW w:w="1182" w:type="dxa"/>
            <w:tcBorders>
              <w:top w:val="single" w:sz="4" w:space="0" w:color="000000"/>
              <w:left w:val="single" w:sz="12" w:space="0" w:color="000000"/>
              <w:bottom w:val="single" w:sz="4" w:space="0" w:color="000000"/>
              <w:right w:val="single" w:sz="12" w:space="0" w:color="000000"/>
            </w:tcBorders>
          </w:tcPr>
          <w:p w14:paraId="70B68E6A" w14:textId="17D5CC8D" w:rsidR="00B45F04" w:rsidRDefault="00B45F04" w:rsidP="00B45F04">
            <w:pPr>
              <w:spacing w:after="0" w:line="259" w:lineRule="auto"/>
              <w:ind w:left="0" w:right="59" w:firstLine="0"/>
              <w:jc w:val="center"/>
            </w:pPr>
            <w:r>
              <w:rPr>
                <w:sz w:val="18"/>
              </w:rPr>
              <w:t>208-96-8</w:t>
            </w:r>
          </w:p>
        </w:tc>
        <w:tc>
          <w:tcPr>
            <w:tcW w:w="1636" w:type="dxa"/>
            <w:tcBorders>
              <w:top w:val="single" w:sz="4" w:space="0" w:color="000000"/>
              <w:left w:val="single" w:sz="12" w:space="0" w:color="000000"/>
              <w:bottom w:val="single" w:sz="4" w:space="0" w:color="000000"/>
              <w:right w:val="single" w:sz="12" w:space="0" w:color="000000"/>
            </w:tcBorders>
          </w:tcPr>
          <w:p w14:paraId="26827378" w14:textId="5BAB2EA5" w:rsidR="00B45F04" w:rsidRDefault="00B45F04" w:rsidP="00B45F04">
            <w:pPr>
              <w:tabs>
                <w:tab w:val="center" w:pos="380"/>
              </w:tabs>
              <w:spacing w:after="0" w:line="259" w:lineRule="auto"/>
              <w:ind w:left="0" w:right="0" w:firstLine="0"/>
              <w:jc w:val="center"/>
            </w:pPr>
            <w:r>
              <w:rPr>
                <w:sz w:val="18"/>
              </w:rPr>
              <w:t>25</w:t>
            </w:r>
          </w:p>
        </w:tc>
        <w:tc>
          <w:tcPr>
            <w:tcW w:w="735" w:type="dxa"/>
            <w:tcBorders>
              <w:top w:val="single" w:sz="4" w:space="0" w:color="000000"/>
              <w:left w:val="single" w:sz="12" w:space="0" w:color="000000"/>
              <w:bottom w:val="single" w:sz="4" w:space="0" w:color="000000"/>
              <w:right w:val="single" w:sz="12" w:space="0" w:color="000000"/>
            </w:tcBorders>
          </w:tcPr>
          <w:p w14:paraId="759478EA" w14:textId="0014F38D" w:rsidR="00B45F04" w:rsidRDefault="00B45F04" w:rsidP="00B45F04">
            <w:pPr>
              <w:spacing w:after="0" w:line="259" w:lineRule="auto"/>
              <w:ind w:left="9" w:right="0" w:firstLine="0"/>
              <w:jc w:val="center"/>
            </w:pPr>
            <w:r>
              <w:rPr>
                <w:sz w:val="18"/>
              </w:rPr>
              <w:t>ug/L</w:t>
            </w:r>
          </w:p>
        </w:tc>
        <w:tc>
          <w:tcPr>
            <w:tcW w:w="887" w:type="dxa"/>
            <w:tcBorders>
              <w:top w:val="single" w:sz="4" w:space="0" w:color="000000"/>
              <w:left w:val="single" w:sz="12" w:space="0" w:color="000000"/>
              <w:bottom w:val="single" w:sz="4" w:space="0" w:color="000000"/>
              <w:right w:val="single" w:sz="12" w:space="0" w:color="000000"/>
            </w:tcBorders>
          </w:tcPr>
          <w:p w14:paraId="5BEF9D4C" w14:textId="3262929A" w:rsidR="00B45F04" w:rsidRDefault="00B45F04" w:rsidP="00B45F04">
            <w:pPr>
              <w:spacing w:after="0" w:line="259" w:lineRule="auto"/>
              <w:ind w:left="11" w:right="0" w:firstLine="0"/>
              <w:jc w:val="center"/>
            </w:pPr>
            <w:r>
              <w:rPr>
                <w:sz w:val="18"/>
              </w:rPr>
              <w:t>25000</w:t>
            </w:r>
          </w:p>
        </w:tc>
        <w:tc>
          <w:tcPr>
            <w:tcW w:w="851" w:type="dxa"/>
            <w:tcBorders>
              <w:top w:val="single" w:sz="4" w:space="0" w:color="000000"/>
              <w:left w:val="single" w:sz="12" w:space="0" w:color="000000"/>
              <w:bottom w:val="single" w:sz="4" w:space="0" w:color="000000"/>
              <w:right w:val="single" w:sz="12" w:space="0" w:color="000000"/>
            </w:tcBorders>
          </w:tcPr>
          <w:p w14:paraId="127242DB" w14:textId="2DEF60B3" w:rsidR="00B45F04" w:rsidRDefault="00B45F04" w:rsidP="00B45F04">
            <w:pPr>
              <w:spacing w:after="0" w:line="259" w:lineRule="auto"/>
              <w:ind w:left="11" w:right="0" w:firstLine="0"/>
              <w:jc w:val="center"/>
            </w:pPr>
            <w:r>
              <w:rPr>
                <w:rFonts w:eastAsia="Segoe UI Symbol"/>
                <w:sz w:val="18"/>
              </w:rPr>
              <w:t>u</w:t>
            </w:r>
            <w:r>
              <w:rPr>
                <w:sz w:val="18"/>
              </w:rPr>
              <w:t>g/kg</w:t>
            </w:r>
          </w:p>
        </w:tc>
        <w:tc>
          <w:tcPr>
            <w:tcW w:w="1473" w:type="dxa"/>
            <w:tcBorders>
              <w:top w:val="single" w:sz="4" w:space="0" w:color="000000"/>
              <w:left w:val="single" w:sz="12" w:space="0" w:color="000000"/>
              <w:bottom w:val="single" w:sz="4" w:space="0" w:color="000000"/>
              <w:right w:val="single" w:sz="12" w:space="0" w:color="000000"/>
            </w:tcBorders>
          </w:tcPr>
          <w:p w14:paraId="447B81A8" w14:textId="7DB913E5" w:rsidR="00B45F04" w:rsidRDefault="00B45F04" w:rsidP="00B45F04">
            <w:pPr>
              <w:spacing w:after="0" w:line="259" w:lineRule="auto"/>
              <w:ind w:left="0" w:right="59" w:firstLine="0"/>
              <w:jc w:val="center"/>
            </w:pPr>
            <w:r w:rsidRPr="001160A8">
              <w:rPr>
                <w:sz w:val="18"/>
              </w:rPr>
              <w:t>8310, 8270 SIM</w:t>
            </w:r>
          </w:p>
        </w:tc>
        <w:tc>
          <w:tcPr>
            <w:tcW w:w="810" w:type="dxa"/>
            <w:tcBorders>
              <w:top w:val="single" w:sz="4" w:space="0" w:color="000000"/>
              <w:left w:val="single" w:sz="12" w:space="0" w:color="000000"/>
              <w:bottom w:val="single" w:sz="4" w:space="0" w:color="000000"/>
              <w:right w:val="single" w:sz="12" w:space="0" w:color="000000"/>
            </w:tcBorders>
          </w:tcPr>
          <w:p w14:paraId="5129E96A" w14:textId="3ED00FC9" w:rsidR="00B45F04" w:rsidRDefault="00B45F04" w:rsidP="00B45F04">
            <w:pPr>
              <w:spacing w:after="0" w:line="259" w:lineRule="auto"/>
              <w:ind w:left="57" w:right="0" w:firstLine="0"/>
              <w:jc w:val="center"/>
            </w:pPr>
          </w:p>
        </w:tc>
      </w:tr>
      <w:tr w:rsidR="00B45F04" w14:paraId="745E28C1" w14:textId="77777777" w:rsidTr="00687CAB">
        <w:trPr>
          <w:trHeight w:val="252"/>
        </w:trPr>
        <w:tc>
          <w:tcPr>
            <w:tcW w:w="3046" w:type="dxa"/>
            <w:tcBorders>
              <w:top w:val="single" w:sz="4" w:space="0" w:color="000000"/>
              <w:left w:val="single" w:sz="12" w:space="0" w:color="000000"/>
              <w:bottom w:val="single" w:sz="4" w:space="0" w:color="000000"/>
              <w:right w:val="single" w:sz="12" w:space="0" w:color="000000"/>
            </w:tcBorders>
          </w:tcPr>
          <w:p w14:paraId="3BAFB5E0" w14:textId="77777777" w:rsidR="00B45F04" w:rsidRDefault="00B45F04" w:rsidP="00B45F04">
            <w:pPr>
              <w:spacing w:after="0" w:line="259" w:lineRule="auto"/>
              <w:ind w:left="74" w:right="0" w:firstLine="0"/>
            </w:pPr>
            <w:r>
              <w:rPr>
                <w:sz w:val="18"/>
              </w:rPr>
              <w:t xml:space="preserve">Anthracene </w:t>
            </w:r>
          </w:p>
        </w:tc>
        <w:tc>
          <w:tcPr>
            <w:tcW w:w="1182" w:type="dxa"/>
            <w:tcBorders>
              <w:top w:val="single" w:sz="4" w:space="0" w:color="000000"/>
              <w:left w:val="single" w:sz="12" w:space="0" w:color="000000"/>
              <w:bottom w:val="single" w:sz="4" w:space="0" w:color="000000"/>
              <w:right w:val="single" w:sz="12" w:space="0" w:color="000000"/>
            </w:tcBorders>
          </w:tcPr>
          <w:p w14:paraId="5EE115F5" w14:textId="4EFA6843" w:rsidR="00B45F04" w:rsidRDefault="00B45F04" w:rsidP="00B45F04">
            <w:pPr>
              <w:spacing w:after="0" w:line="259" w:lineRule="auto"/>
              <w:ind w:left="0" w:right="59" w:firstLine="0"/>
              <w:jc w:val="center"/>
            </w:pPr>
            <w:r>
              <w:rPr>
                <w:sz w:val="18"/>
              </w:rPr>
              <w:t>120-12-7</w:t>
            </w:r>
          </w:p>
        </w:tc>
        <w:tc>
          <w:tcPr>
            <w:tcW w:w="1636" w:type="dxa"/>
            <w:tcBorders>
              <w:top w:val="single" w:sz="4" w:space="0" w:color="000000"/>
              <w:left w:val="single" w:sz="12" w:space="0" w:color="000000"/>
              <w:bottom w:val="single" w:sz="4" w:space="0" w:color="000000"/>
              <w:right w:val="single" w:sz="12" w:space="0" w:color="000000"/>
            </w:tcBorders>
          </w:tcPr>
          <w:p w14:paraId="7C14520F" w14:textId="70D21AD2" w:rsidR="00B45F04" w:rsidRDefault="00B45F04" w:rsidP="00B45F04">
            <w:pPr>
              <w:tabs>
                <w:tab w:val="center" w:pos="471"/>
              </w:tabs>
              <w:spacing w:after="0" w:line="259" w:lineRule="auto"/>
              <w:ind w:left="0" w:right="0" w:firstLine="0"/>
              <w:jc w:val="center"/>
            </w:pPr>
            <w:r>
              <w:rPr>
                <w:sz w:val="18"/>
              </w:rPr>
              <w:t>6.6</w:t>
            </w:r>
          </w:p>
        </w:tc>
        <w:tc>
          <w:tcPr>
            <w:tcW w:w="735" w:type="dxa"/>
            <w:tcBorders>
              <w:top w:val="single" w:sz="4" w:space="0" w:color="000000"/>
              <w:left w:val="single" w:sz="12" w:space="0" w:color="000000"/>
              <w:bottom w:val="single" w:sz="4" w:space="0" w:color="000000"/>
              <w:right w:val="single" w:sz="12" w:space="0" w:color="000000"/>
            </w:tcBorders>
          </w:tcPr>
          <w:p w14:paraId="329D0588" w14:textId="777EBC6F" w:rsidR="00B45F04" w:rsidRDefault="00B45F04" w:rsidP="00B45F04">
            <w:pPr>
              <w:spacing w:after="0" w:line="259" w:lineRule="auto"/>
              <w:ind w:left="9" w:right="0" w:firstLine="0"/>
              <w:jc w:val="center"/>
            </w:pPr>
            <w:r>
              <w:rPr>
                <w:sz w:val="18"/>
              </w:rPr>
              <w:t>ug/L</w:t>
            </w:r>
          </w:p>
        </w:tc>
        <w:tc>
          <w:tcPr>
            <w:tcW w:w="887" w:type="dxa"/>
            <w:tcBorders>
              <w:top w:val="single" w:sz="4" w:space="0" w:color="000000"/>
              <w:left w:val="single" w:sz="12" w:space="0" w:color="000000"/>
              <w:bottom w:val="single" w:sz="4" w:space="0" w:color="000000"/>
              <w:right w:val="single" w:sz="12" w:space="0" w:color="000000"/>
            </w:tcBorders>
          </w:tcPr>
          <w:p w14:paraId="4CEA0474" w14:textId="540FF651" w:rsidR="00B45F04" w:rsidRDefault="00B45F04" w:rsidP="00B45F04">
            <w:pPr>
              <w:spacing w:after="0" w:line="259" w:lineRule="auto"/>
              <w:ind w:left="11" w:right="0" w:firstLine="0"/>
              <w:jc w:val="center"/>
            </w:pPr>
            <w:r>
              <w:rPr>
                <w:sz w:val="18"/>
              </w:rPr>
              <w:t>6600</w:t>
            </w:r>
          </w:p>
        </w:tc>
        <w:tc>
          <w:tcPr>
            <w:tcW w:w="851" w:type="dxa"/>
            <w:tcBorders>
              <w:top w:val="single" w:sz="4" w:space="0" w:color="000000"/>
              <w:left w:val="single" w:sz="12" w:space="0" w:color="000000"/>
              <w:bottom w:val="single" w:sz="4" w:space="0" w:color="000000"/>
              <w:right w:val="single" w:sz="12" w:space="0" w:color="000000"/>
            </w:tcBorders>
          </w:tcPr>
          <w:p w14:paraId="48B9AC02" w14:textId="7E4BB6BD" w:rsidR="00B45F04" w:rsidRDefault="00B45F04" w:rsidP="00B45F04">
            <w:pPr>
              <w:spacing w:after="0" w:line="259" w:lineRule="auto"/>
              <w:ind w:left="11" w:right="0" w:firstLine="0"/>
              <w:jc w:val="center"/>
            </w:pPr>
            <w:r>
              <w:rPr>
                <w:rFonts w:eastAsia="Segoe UI Symbol"/>
                <w:sz w:val="18"/>
              </w:rPr>
              <w:t>u</w:t>
            </w:r>
            <w:r>
              <w:rPr>
                <w:sz w:val="18"/>
              </w:rPr>
              <w:t>g/kg</w:t>
            </w:r>
          </w:p>
        </w:tc>
        <w:tc>
          <w:tcPr>
            <w:tcW w:w="1473" w:type="dxa"/>
            <w:tcBorders>
              <w:top w:val="single" w:sz="4" w:space="0" w:color="000000"/>
              <w:left w:val="single" w:sz="12" w:space="0" w:color="000000"/>
              <w:bottom w:val="single" w:sz="4" w:space="0" w:color="000000"/>
              <w:right w:val="single" w:sz="12" w:space="0" w:color="000000"/>
            </w:tcBorders>
          </w:tcPr>
          <w:p w14:paraId="1608A8B6" w14:textId="69B1BC36" w:rsidR="00B45F04" w:rsidRDefault="00B45F04" w:rsidP="00B45F04">
            <w:pPr>
              <w:spacing w:after="0" w:line="259" w:lineRule="auto"/>
              <w:ind w:left="0" w:right="59" w:firstLine="0"/>
              <w:jc w:val="center"/>
            </w:pPr>
            <w:r w:rsidRPr="001160A8">
              <w:rPr>
                <w:sz w:val="18"/>
              </w:rPr>
              <w:t>8310, 8270 SIM</w:t>
            </w:r>
          </w:p>
        </w:tc>
        <w:tc>
          <w:tcPr>
            <w:tcW w:w="810" w:type="dxa"/>
            <w:tcBorders>
              <w:top w:val="single" w:sz="4" w:space="0" w:color="000000"/>
              <w:left w:val="single" w:sz="12" w:space="0" w:color="000000"/>
              <w:bottom w:val="single" w:sz="4" w:space="0" w:color="000000"/>
              <w:right w:val="single" w:sz="12" w:space="0" w:color="000000"/>
            </w:tcBorders>
          </w:tcPr>
          <w:p w14:paraId="653D1BBE" w14:textId="03697558" w:rsidR="00B45F04" w:rsidRDefault="00B45F04" w:rsidP="00B45F04">
            <w:pPr>
              <w:spacing w:after="0" w:line="259" w:lineRule="auto"/>
              <w:ind w:left="57" w:right="0" w:firstLine="0"/>
              <w:jc w:val="center"/>
            </w:pPr>
          </w:p>
        </w:tc>
      </w:tr>
      <w:tr w:rsidR="00B45F04" w14:paraId="6C8BF6A2" w14:textId="77777777" w:rsidTr="00687CAB">
        <w:trPr>
          <w:trHeight w:val="250"/>
        </w:trPr>
        <w:tc>
          <w:tcPr>
            <w:tcW w:w="3046" w:type="dxa"/>
            <w:tcBorders>
              <w:top w:val="single" w:sz="4" w:space="0" w:color="000000"/>
              <w:left w:val="single" w:sz="12" w:space="0" w:color="000000"/>
              <w:bottom w:val="single" w:sz="4" w:space="0" w:color="000000"/>
              <w:right w:val="single" w:sz="12" w:space="0" w:color="000000"/>
            </w:tcBorders>
          </w:tcPr>
          <w:p w14:paraId="5B4E610F" w14:textId="77777777" w:rsidR="00B45F04" w:rsidRDefault="00B45F04" w:rsidP="00B45F04">
            <w:pPr>
              <w:spacing w:after="0" w:line="259" w:lineRule="auto"/>
              <w:ind w:left="74" w:right="0" w:firstLine="0"/>
            </w:pPr>
            <w:r>
              <w:rPr>
                <w:sz w:val="18"/>
              </w:rPr>
              <w:t xml:space="preserve">Benzo[a]anthracene </w:t>
            </w:r>
          </w:p>
        </w:tc>
        <w:tc>
          <w:tcPr>
            <w:tcW w:w="1182" w:type="dxa"/>
            <w:tcBorders>
              <w:top w:val="single" w:sz="4" w:space="0" w:color="000000"/>
              <w:left w:val="single" w:sz="12" w:space="0" w:color="000000"/>
              <w:bottom w:val="single" w:sz="4" w:space="0" w:color="000000"/>
              <w:right w:val="single" w:sz="12" w:space="0" w:color="000000"/>
            </w:tcBorders>
          </w:tcPr>
          <w:p w14:paraId="68EE5A7B" w14:textId="7FC7645E" w:rsidR="00B45F04" w:rsidRDefault="00B45F04" w:rsidP="00B45F04">
            <w:pPr>
              <w:spacing w:after="0" w:line="259" w:lineRule="auto"/>
              <w:ind w:left="0" w:right="59" w:firstLine="0"/>
              <w:jc w:val="center"/>
            </w:pPr>
            <w:r>
              <w:rPr>
                <w:sz w:val="18"/>
              </w:rPr>
              <w:t>56-55-3</w:t>
            </w:r>
          </w:p>
        </w:tc>
        <w:tc>
          <w:tcPr>
            <w:tcW w:w="1636" w:type="dxa"/>
            <w:tcBorders>
              <w:top w:val="single" w:sz="4" w:space="0" w:color="000000"/>
              <w:left w:val="single" w:sz="12" w:space="0" w:color="000000"/>
              <w:bottom w:val="single" w:sz="4" w:space="0" w:color="000000"/>
              <w:right w:val="single" w:sz="12" w:space="0" w:color="000000"/>
            </w:tcBorders>
          </w:tcPr>
          <w:p w14:paraId="1B121F51" w14:textId="2A290D94" w:rsidR="00B45F04" w:rsidRDefault="00B45F04" w:rsidP="00B45F04">
            <w:pPr>
              <w:tabs>
                <w:tab w:val="right" w:pos="797"/>
              </w:tabs>
              <w:spacing w:after="0" w:line="259" w:lineRule="auto"/>
              <w:ind w:left="0" w:right="0" w:firstLine="0"/>
              <w:jc w:val="center"/>
            </w:pPr>
            <w:r>
              <w:rPr>
                <w:sz w:val="18"/>
              </w:rPr>
              <w:t>0.13</w:t>
            </w:r>
          </w:p>
        </w:tc>
        <w:tc>
          <w:tcPr>
            <w:tcW w:w="735" w:type="dxa"/>
            <w:tcBorders>
              <w:top w:val="single" w:sz="4" w:space="0" w:color="000000"/>
              <w:left w:val="single" w:sz="12" w:space="0" w:color="000000"/>
              <w:bottom w:val="single" w:sz="4" w:space="0" w:color="000000"/>
              <w:right w:val="single" w:sz="12" w:space="0" w:color="000000"/>
            </w:tcBorders>
          </w:tcPr>
          <w:p w14:paraId="214818DB" w14:textId="1F625B38" w:rsidR="00B45F04" w:rsidRDefault="00B45F04" w:rsidP="00B45F04">
            <w:pPr>
              <w:spacing w:after="0" w:line="259" w:lineRule="auto"/>
              <w:ind w:left="9" w:right="0" w:firstLine="0"/>
              <w:jc w:val="center"/>
            </w:pPr>
            <w:r>
              <w:rPr>
                <w:sz w:val="18"/>
              </w:rPr>
              <w:t>ug/L</w:t>
            </w:r>
          </w:p>
        </w:tc>
        <w:tc>
          <w:tcPr>
            <w:tcW w:w="887" w:type="dxa"/>
            <w:tcBorders>
              <w:top w:val="single" w:sz="4" w:space="0" w:color="000000"/>
              <w:left w:val="single" w:sz="12" w:space="0" w:color="000000"/>
              <w:bottom w:val="single" w:sz="4" w:space="0" w:color="000000"/>
              <w:right w:val="single" w:sz="12" w:space="0" w:color="000000"/>
            </w:tcBorders>
          </w:tcPr>
          <w:p w14:paraId="65EE4666" w14:textId="1B522A92" w:rsidR="00B45F04" w:rsidRDefault="00B45F04" w:rsidP="00B45F04">
            <w:pPr>
              <w:spacing w:after="0" w:line="259" w:lineRule="auto"/>
              <w:ind w:left="11" w:right="0" w:firstLine="0"/>
              <w:jc w:val="center"/>
            </w:pPr>
            <w:r>
              <w:rPr>
                <w:sz w:val="18"/>
              </w:rPr>
              <w:t>200</w:t>
            </w:r>
          </w:p>
        </w:tc>
        <w:tc>
          <w:tcPr>
            <w:tcW w:w="851" w:type="dxa"/>
            <w:tcBorders>
              <w:top w:val="single" w:sz="4" w:space="0" w:color="000000"/>
              <w:left w:val="single" w:sz="12" w:space="0" w:color="000000"/>
              <w:bottom w:val="single" w:sz="4" w:space="0" w:color="000000"/>
              <w:right w:val="single" w:sz="12" w:space="0" w:color="000000"/>
            </w:tcBorders>
          </w:tcPr>
          <w:p w14:paraId="010FA3C8" w14:textId="3A37D17F" w:rsidR="00B45F04" w:rsidRDefault="00B45F04" w:rsidP="00B45F04">
            <w:pPr>
              <w:spacing w:after="0" w:line="259" w:lineRule="auto"/>
              <w:ind w:left="11" w:right="0" w:firstLine="0"/>
              <w:jc w:val="center"/>
            </w:pPr>
            <w:r>
              <w:rPr>
                <w:rFonts w:eastAsia="Segoe UI Symbol"/>
                <w:sz w:val="18"/>
              </w:rPr>
              <w:t>u</w:t>
            </w:r>
            <w:r>
              <w:rPr>
                <w:sz w:val="18"/>
              </w:rPr>
              <w:t>g/kg</w:t>
            </w:r>
          </w:p>
        </w:tc>
        <w:tc>
          <w:tcPr>
            <w:tcW w:w="1473" w:type="dxa"/>
            <w:tcBorders>
              <w:top w:val="single" w:sz="4" w:space="0" w:color="000000"/>
              <w:left w:val="single" w:sz="12" w:space="0" w:color="000000"/>
              <w:bottom w:val="single" w:sz="4" w:space="0" w:color="000000"/>
              <w:right w:val="single" w:sz="12" w:space="0" w:color="000000"/>
            </w:tcBorders>
          </w:tcPr>
          <w:p w14:paraId="500AD246" w14:textId="417011BA" w:rsidR="00B45F04" w:rsidRDefault="00B45F04" w:rsidP="00B45F04">
            <w:pPr>
              <w:spacing w:after="0" w:line="259" w:lineRule="auto"/>
              <w:ind w:left="0" w:right="59" w:firstLine="0"/>
              <w:jc w:val="center"/>
            </w:pPr>
            <w:r w:rsidRPr="001160A8">
              <w:rPr>
                <w:sz w:val="18"/>
              </w:rPr>
              <w:t>8310, 8270 SIM</w:t>
            </w:r>
          </w:p>
        </w:tc>
        <w:tc>
          <w:tcPr>
            <w:tcW w:w="810" w:type="dxa"/>
            <w:tcBorders>
              <w:top w:val="single" w:sz="4" w:space="0" w:color="000000"/>
              <w:left w:val="single" w:sz="12" w:space="0" w:color="000000"/>
              <w:bottom w:val="single" w:sz="4" w:space="0" w:color="000000"/>
              <w:right w:val="single" w:sz="12" w:space="0" w:color="000000"/>
            </w:tcBorders>
          </w:tcPr>
          <w:p w14:paraId="4A319E1F" w14:textId="0A6CC04B" w:rsidR="00B45F04" w:rsidRDefault="00B45F04" w:rsidP="00B45F04">
            <w:pPr>
              <w:spacing w:after="0" w:line="259" w:lineRule="auto"/>
              <w:ind w:left="57" w:right="0" w:firstLine="0"/>
              <w:jc w:val="center"/>
            </w:pPr>
          </w:p>
        </w:tc>
      </w:tr>
      <w:tr w:rsidR="00B45F04" w14:paraId="7AFB899D" w14:textId="77777777" w:rsidTr="00687CAB">
        <w:trPr>
          <w:trHeight w:val="250"/>
        </w:trPr>
        <w:tc>
          <w:tcPr>
            <w:tcW w:w="3046" w:type="dxa"/>
            <w:tcBorders>
              <w:top w:val="single" w:sz="4" w:space="0" w:color="000000"/>
              <w:left w:val="single" w:sz="12" w:space="0" w:color="000000"/>
              <w:bottom w:val="single" w:sz="4" w:space="0" w:color="000000"/>
              <w:right w:val="single" w:sz="12" w:space="0" w:color="000000"/>
            </w:tcBorders>
          </w:tcPr>
          <w:p w14:paraId="508189DB" w14:textId="77777777" w:rsidR="00B45F04" w:rsidRDefault="00B45F04" w:rsidP="00B45F04">
            <w:pPr>
              <w:spacing w:after="0" w:line="259" w:lineRule="auto"/>
              <w:ind w:left="74" w:right="0" w:firstLine="0"/>
            </w:pPr>
            <w:r>
              <w:rPr>
                <w:sz w:val="18"/>
              </w:rPr>
              <w:t xml:space="preserve">Benzo[b]fluoranthene </w:t>
            </w:r>
          </w:p>
        </w:tc>
        <w:tc>
          <w:tcPr>
            <w:tcW w:w="1182" w:type="dxa"/>
            <w:tcBorders>
              <w:top w:val="single" w:sz="4" w:space="0" w:color="000000"/>
              <w:left w:val="single" w:sz="12" w:space="0" w:color="000000"/>
              <w:bottom w:val="single" w:sz="4" w:space="0" w:color="000000"/>
              <w:right w:val="single" w:sz="12" w:space="0" w:color="000000"/>
            </w:tcBorders>
          </w:tcPr>
          <w:p w14:paraId="14926AB5" w14:textId="0919B7D8" w:rsidR="00B45F04" w:rsidRDefault="00B45F04" w:rsidP="00B45F04">
            <w:pPr>
              <w:spacing w:after="0" w:line="259" w:lineRule="auto"/>
              <w:ind w:left="0" w:right="59" w:firstLine="0"/>
              <w:jc w:val="center"/>
            </w:pPr>
            <w:r>
              <w:rPr>
                <w:sz w:val="18"/>
              </w:rPr>
              <w:t>205-99-2</w:t>
            </w:r>
          </w:p>
        </w:tc>
        <w:tc>
          <w:tcPr>
            <w:tcW w:w="1636" w:type="dxa"/>
            <w:tcBorders>
              <w:top w:val="single" w:sz="4" w:space="0" w:color="000000"/>
              <w:left w:val="single" w:sz="12" w:space="0" w:color="000000"/>
              <w:bottom w:val="single" w:sz="4" w:space="0" w:color="000000"/>
              <w:right w:val="single" w:sz="12" w:space="0" w:color="000000"/>
            </w:tcBorders>
          </w:tcPr>
          <w:p w14:paraId="5014548E" w14:textId="40D9643D" w:rsidR="00B45F04" w:rsidRDefault="00B45F04" w:rsidP="00B45F04">
            <w:pPr>
              <w:tabs>
                <w:tab w:val="right" w:pos="797"/>
              </w:tabs>
              <w:spacing w:after="0" w:line="259" w:lineRule="auto"/>
              <w:ind w:left="0" w:right="0" w:firstLine="0"/>
              <w:jc w:val="center"/>
            </w:pPr>
            <w:r>
              <w:rPr>
                <w:sz w:val="18"/>
              </w:rPr>
              <w:t>0.18</w:t>
            </w:r>
          </w:p>
        </w:tc>
        <w:tc>
          <w:tcPr>
            <w:tcW w:w="735" w:type="dxa"/>
            <w:tcBorders>
              <w:top w:val="single" w:sz="4" w:space="0" w:color="000000"/>
              <w:left w:val="single" w:sz="12" w:space="0" w:color="000000"/>
              <w:bottom w:val="single" w:sz="4" w:space="0" w:color="000000"/>
              <w:right w:val="single" w:sz="12" w:space="0" w:color="000000"/>
            </w:tcBorders>
          </w:tcPr>
          <w:p w14:paraId="36FCAB45" w14:textId="3AAE8E98" w:rsidR="00B45F04" w:rsidRDefault="00B45F04" w:rsidP="00B45F04">
            <w:pPr>
              <w:spacing w:after="0" w:line="259" w:lineRule="auto"/>
              <w:ind w:left="9" w:right="0" w:firstLine="0"/>
              <w:jc w:val="center"/>
            </w:pPr>
            <w:r>
              <w:rPr>
                <w:sz w:val="18"/>
              </w:rPr>
              <w:t>ug/L</w:t>
            </w:r>
          </w:p>
        </w:tc>
        <w:tc>
          <w:tcPr>
            <w:tcW w:w="887" w:type="dxa"/>
            <w:tcBorders>
              <w:top w:val="single" w:sz="4" w:space="0" w:color="000000"/>
              <w:left w:val="single" w:sz="12" w:space="0" w:color="000000"/>
              <w:bottom w:val="single" w:sz="4" w:space="0" w:color="000000"/>
              <w:right w:val="single" w:sz="12" w:space="0" w:color="000000"/>
            </w:tcBorders>
          </w:tcPr>
          <w:p w14:paraId="16434E2F" w14:textId="55A12EBD" w:rsidR="00B45F04" w:rsidRDefault="00B45F04" w:rsidP="00B45F04">
            <w:pPr>
              <w:spacing w:after="0" w:line="259" w:lineRule="auto"/>
              <w:ind w:left="11" w:right="0" w:firstLine="0"/>
              <w:jc w:val="center"/>
            </w:pPr>
            <w:r>
              <w:rPr>
                <w:sz w:val="18"/>
              </w:rPr>
              <w:t>200</w:t>
            </w:r>
          </w:p>
        </w:tc>
        <w:tc>
          <w:tcPr>
            <w:tcW w:w="851" w:type="dxa"/>
            <w:tcBorders>
              <w:top w:val="single" w:sz="4" w:space="0" w:color="000000"/>
              <w:left w:val="single" w:sz="12" w:space="0" w:color="000000"/>
              <w:bottom w:val="single" w:sz="4" w:space="0" w:color="000000"/>
              <w:right w:val="single" w:sz="12" w:space="0" w:color="000000"/>
            </w:tcBorders>
          </w:tcPr>
          <w:p w14:paraId="2F1B2BEE" w14:textId="238AFA7A" w:rsidR="00B45F04" w:rsidRDefault="00B45F04" w:rsidP="00B45F04">
            <w:pPr>
              <w:spacing w:after="0" w:line="259" w:lineRule="auto"/>
              <w:ind w:left="11" w:right="0" w:firstLine="0"/>
              <w:jc w:val="center"/>
            </w:pPr>
            <w:r>
              <w:rPr>
                <w:rFonts w:eastAsia="Segoe UI Symbol"/>
                <w:sz w:val="18"/>
              </w:rPr>
              <w:t>u</w:t>
            </w:r>
            <w:r>
              <w:rPr>
                <w:sz w:val="18"/>
              </w:rPr>
              <w:t>g/kg</w:t>
            </w:r>
          </w:p>
        </w:tc>
        <w:tc>
          <w:tcPr>
            <w:tcW w:w="1473" w:type="dxa"/>
            <w:tcBorders>
              <w:top w:val="single" w:sz="4" w:space="0" w:color="000000"/>
              <w:left w:val="single" w:sz="12" w:space="0" w:color="000000"/>
              <w:bottom w:val="single" w:sz="4" w:space="0" w:color="000000"/>
              <w:right w:val="single" w:sz="12" w:space="0" w:color="000000"/>
            </w:tcBorders>
          </w:tcPr>
          <w:p w14:paraId="40710E8C" w14:textId="0364D448" w:rsidR="00B45F04" w:rsidRDefault="00B45F04" w:rsidP="00B45F04">
            <w:pPr>
              <w:spacing w:after="0" w:line="259" w:lineRule="auto"/>
              <w:ind w:left="0" w:right="59" w:firstLine="0"/>
              <w:jc w:val="center"/>
            </w:pPr>
            <w:r w:rsidRPr="001160A8">
              <w:rPr>
                <w:sz w:val="18"/>
              </w:rPr>
              <w:t>8310, 8270 SIM</w:t>
            </w:r>
          </w:p>
        </w:tc>
        <w:tc>
          <w:tcPr>
            <w:tcW w:w="810" w:type="dxa"/>
            <w:tcBorders>
              <w:top w:val="single" w:sz="4" w:space="0" w:color="000000"/>
              <w:left w:val="single" w:sz="12" w:space="0" w:color="000000"/>
              <w:bottom w:val="single" w:sz="4" w:space="0" w:color="000000"/>
              <w:right w:val="single" w:sz="12" w:space="0" w:color="000000"/>
            </w:tcBorders>
          </w:tcPr>
          <w:p w14:paraId="4C47D678" w14:textId="25B7F0CA" w:rsidR="00B45F04" w:rsidRDefault="00B45F04" w:rsidP="00B45F04">
            <w:pPr>
              <w:spacing w:after="0" w:line="259" w:lineRule="auto"/>
              <w:ind w:left="57" w:right="0" w:firstLine="0"/>
              <w:jc w:val="center"/>
            </w:pPr>
          </w:p>
        </w:tc>
      </w:tr>
      <w:tr w:rsidR="00B45F04" w14:paraId="2C1A4499" w14:textId="77777777" w:rsidTr="00687CAB">
        <w:trPr>
          <w:trHeight w:val="250"/>
        </w:trPr>
        <w:tc>
          <w:tcPr>
            <w:tcW w:w="3046" w:type="dxa"/>
            <w:tcBorders>
              <w:top w:val="single" w:sz="4" w:space="0" w:color="000000"/>
              <w:left w:val="single" w:sz="12" w:space="0" w:color="000000"/>
              <w:bottom w:val="single" w:sz="4" w:space="0" w:color="000000"/>
              <w:right w:val="single" w:sz="12" w:space="0" w:color="000000"/>
            </w:tcBorders>
          </w:tcPr>
          <w:p w14:paraId="1EDB4BF1" w14:textId="77777777" w:rsidR="00B45F04" w:rsidRDefault="00B45F04" w:rsidP="00B45F04">
            <w:pPr>
              <w:spacing w:after="0" w:line="259" w:lineRule="auto"/>
              <w:ind w:left="74" w:right="0" w:firstLine="0"/>
            </w:pPr>
            <w:r>
              <w:rPr>
                <w:sz w:val="18"/>
              </w:rPr>
              <w:t xml:space="preserve">Benzo[k]fluoranthene </w:t>
            </w:r>
          </w:p>
        </w:tc>
        <w:tc>
          <w:tcPr>
            <w:tcW w:w="1182" w:type="dxa"/>
            <w:tcBorders>
              <w:top w:val="single" w:sz="4" w:space="0" w:color="000000"/>
              <w:left w:val="single" w:sz="12" w:space="0" w:color="000000"/>
              <w:bottom w:val="single" w:sz="4" w:space="0" w:color="000000"/>
              <w:right w:val="single" w:sz="12" w:space="0" w:color="000000"/>
            </w:tcBorders>
          </w:tcPr>
          <w:p w14:paraId="5DFD126C" w14:textId="1C9D4063" w:rsidR="00B45F04" w:rsidRDefault="00B45F04" w:rsidP="00B45F04">
            <w:pPr>
              <w:spacing w:after="0" w:line="259" w:lineRule="auto"/>
              <w:ind w:left="0" w:right="59" w:firstLine="0"/>
              <w:jc w:val="center"/>
            </w:pPr>
            <w:r>
              <w:rPr>
                <w:sz w:val="18"/>
              </w:rPr>
              <w:t>207-08-9</w:t>
            </w:r>
          </w:p>
        </w:tc>
        <w:tc>
          <w:tcPr>
            <w:tcW w:w="1636" w:type="dxa"/>
            <w:tcBorders>
              <w:top w:val="single" w:sz="4" w:space="0" w:color="000000"/>
              <w:left w:val="single" w:sz="12" w:space="0" w:color="000000"/>
              <w:bottom w:val="single" w:sz="4" w:space="0" w:color="000000"/>
              <w:right w:val="single" w:sz="12" w:space="0" w:color="000000"/>
            </w:tcBorders>
          </w:tcPr>
          <w:p w14:paraId="50B8AA13" w14:textId="39A0CE6D" w:rsidR="00B45F04" w:rsidRDefault="00B45F04" w:rsidP="00B45F04">
            <w:pPr>
              <w:tabs>
                <w:tab w:val="right" w:pos="797"/>
              </w:tabs>
              <w:spacing w:after="0" w:line="259" w:lineRule="auto"/>
              <w:ind w:left="0" w:right="0" w:firstLine="0"/>
              <w:jc w:val="center"/>
            </w:pPr>
            <w:r>
              <w:rPr>
                <w:sz w:val="18"/>
              </w:rPr>
              <w:t>0.17</w:t>
            </w:r>
          </w:p>
        </w:tc>
        <w:tc>
          <w:tcPr>
            <w:tcW w:w="735" w:type="dxa"/>
            <w:tcBorders>
              <w:top w:val="single" w:sz="4" w:space="0" w:color="000000"/>
              <w:left w:val="single" w:sz="12" w:space="0" w:color="000000"/>
              <w:bottom w:val="single" w:sz="4" w:space="0" w:color="000000"/>
              <w:right w:val="single" w:sz="12" w:space="0" w:color="000000"/>
            </w:tcBorders>
          </w:tcPr>
          <w:p w14:paraId="576189DF" w14:textId="57BBE8FC" w:rsidR="00B45F04" w:rsidRDefault="00B45F04" w:rsidP="00B45F04">
            <w:pPr>
              <w:spacing w:after="0" w:line="259" w:lineRule="auto"/>
              <w:ind w:left="9" w:right="0" w:firstLine="0"/>
              <w:jc w:val="center"/>
            </w:pPr>
            <w:r>
              <w:rPr>
                <w:sz w:val="18"/>
              </w:rPr>
              <w:t>ug/L</w:t>
            </w:r>
          </w:p>
        </w:tc>
        <w:tc>
          <w:tcPr>
            <w:tcW w:w="887" w:type="dxa"/>
            <w:tcBorders>
              <w:top w:val="single" w:sz="4" w:space="0" w:color="000000"/>
              <w:left w:val="single" w:sz="12" w:space="0" w:color="000000"/>
              <w:bottom w:val="single" w:sz="4" w:space="0" w:color="000000"/>
              <w:right w:val="single" w:sz="12" w:space="0" w:color="000000"/>
            </w:tcBorders>
          </w:tcPr>
          <w:p w14:paraId="53F30A39" w14:textId="5EE5EF46" w:rsidR="00B45F04" w:rsidRDefault="00B45F04" w:rsidP="00B45F04">
            <w:pPr>
              <w:spacing w:after="0" w:line="259" w:lineRule="auto"/>
              <w:ind w:left="11" w:right="0" w:firstLine="0"/>
              <w:jc w:val="center"/>
            </w:pPr>
            <w:r>
              <w:rPr>
                <w:sz w:val="18"/>
              </w:rPr>
              <w:t>200</w:t>
            </w:r>
          </w:p>
        </w:tc>
        <w:tc>
          <w:tcPr>
            <w:tcW w:w="851" w:type="dxa"/>
            <w:tcBorders>
              <w:top w:val="single" w:sz="4" w:space="0" w:color="000000"/>
              <w:left w:val="single" w:sz="12" w:space="0" w:color="000000"/>
              <w:bottom w:val="single" w:sz="4" w:space="0" w:color="000000"/>
              <w:right w:val="single" w:sz="12" w:space="0" w:color="000000"/>
            </w:tcBorders>
          </w:tcPr>
          <w:p w14:paraId="2DDC2139" w14:textId="36194791" w:rsidR="00B45F04" w:rsidRDefault="00B45F04" w:rsidP="00B45F04">
            <w:pPr>
              <w:spacing w:after="0" w:line="259" w:lineRule="auto"/>
              <w:ind w:left="11" w:right="0" w:firstLine="0"/>
              <w:jc w:val="center"/>
            </w:pPr>
            <w:r>
              <w:rPr>
                <w:rFonts w:eastAsia="Segoe UI Symbol"/>
                <w:sz w:val="18"/>
              </w:rPr>
              <w:t>u</w:t>
            </w:r>
            <w:r>
              <w:rPr>
                <w:sz w:val="18"/>
              </w:rPr>
              <w:t>g/kg</w:t>
            </w:r>
          </w:p>
        </w:tc>
        <w:tc>
          <w:tcPr>
            <w:tcW w:w="1473" w:type="dxa"/>
            <w:tcBorders>
              <w:top w:val="single" w:sz="4" w:space="0" w:color="000000"/>
              <w:left w:val="single" w:sz="12" w:space="0" w:color="000000"/>
              <w:bottom w:val="single" w:sz="4" w:space="0" w:color="000000"/>
              <w:right w:val="single" w:sz="12" w:space="0" w:color="000000"/>
            </w:tcBorders>
          </w:tcPr>
          <w:p w14:paraId="70F34C7D" w14:textId="4E307B1D" w:rsidR="00B45F04" w:rsidRDefault="00B45F04" w:rsidP="00B45F04">
            <w:pPr>
              <w:spacing w:after="0" w:line="259" w:lineRule="auto"/>
              <w:ind w:left="0" w:right="59" w:firstLine="0"/>
              <w:jc w:val="center"/>
            </w:pPr>
            <w:r w:rsidRPr="001160A8">
              <w:rPr>
                <w:sz w:val="18"/>
              </w:rPr>
              <w:t>8310, 8270 SIM</w:t>
            </w:r>
          </w:p>
        </w:tc>
        <w:tc>
          <w:tcPr>
            <w:tcW w:w="810" w:type="dxa"/>
            <w:tcBorders>
              <w:top w:val="single" w:sz="4" w:space="0" w:color="000000"/>
              <w:left w:val="single" w:sz="12" w:space="0" w:color="000000"/>
              <w:bottom w:val="single" w:sz="4" w:space="0" w:color="000000"/>
              <w:right w:val="single" w:sz="12" w:space="0" w:color="000000"/>
            </w:tcBorders>
          </w:tcPr>
          <w:p w14:paraId="40CA4DDF" w14:textId="02DB582D" w:rsidR="00B45F04" w:rsidRDefault="00B45F04" w:rsidP="00B45F04">
            <w:pPr>
              <w:spacing w:after="0" w:line="259" w:lineRule="auto"/>
              <w:ind w:left="57" w:right="0" w:firstLine="0"/>
              <w:jc w:val="center"/>
            </w:pPr>
          </w:p>
        </w:tc>
      </w:tr>
      <w:tr w:rsidR="00B45F04" w14:paraId="6FB1010F" w14:textId="77777777" w:rsidTr="00687CAB">
        <w:trPr>
          <w:trHeight w:val="250"/>
        </w:trPr>
        <w:tc>
          <w:tcPr>
            <w:tcW w:w="3046" w:type="dxa"/>
            <w:tcBorders>
              <w:top w:val="single" w:sz="4" w:space="0" w:color="000000"/>
              <w:left w:val="single" w:sz="12" w:space="0" w:color="000000"/>
              <w:bottom w:val="single" w:sz="4" w:space="0" w:color="000000"/>
              <w:right w:val="single" w:sz="12" w:space="0" w:color="000000"/>
            </w:tcBorders>
          </w:tcPr>
          <w:p w14:paraId="06C65A3B" w14:textId="77777777" w:rsidR="00B45F04" w:rsidRDefault="00B45F04" w:rsidP="00B45F04">
            <w:pPr>
              <w:spacing w:after="0" w:line="259" w:lineRule="auto"/>
              <w:ind w:left="74" w:right="0" w:firstLine="0"/>
            </w:pPr>
            <w:r>
              <w:rPr>
                <w:sz w:val="18"/>
              </w:rPr>
              <w:t>Benzo[</w:t>
            </w:r>
            <w:proofErr w:type="spellStart"/>
            <w:proofErr w:type="gramStart"/>
            <w:r>
              <w:rPr>
                <w:sz w:val="18"/>
              </w:rPr>
              <w:t>g,h</w:t>
            </w:r>
            <w:proofErr w:type="gramEnd"/>
            <w:r>
              <w:rPr>
                <w:sz w:val="18"/>
              </w:rPr>
              <w:t>,</w:t>
            </w:r>
            <w:proofErr w:type="gramStart"/>
            <w:r>
              <w:rPr>
                <w:sz w:val="18"/>
              </w:rPr>
              <w:t>i</w:t>
            </w:r>
            <w:proofErr w:type="spellEnd"/>
            <w:r>
              <w:rPr>
                <w:sz w:val="18"/>
              </w:rPr>
              <w:t>]perylene</w:t>
            </w:r>
            <w:proofErr w:type="gramEnd"/>
            <w:r>
              <w:rPr>
                <w:sz w:val="18"/>
              </w:rPr>
              <w:t xml:space="preserve"> </w:t>
            </w:r>
          </w:p>
        </w:tc>
        <w:tc>
          <w:tcPr>
            <w:tcW w:w="1182" w:type="dxa"/>
            <w:tcBorders>
              <w:top w:val="single" w:sz="4" w:space="0" w:color="000000"/>
              <w:left w:val="single" w:sz="12" w:space="0" w:color="000000"/>
              <w:bottom w:val="single" w:sz="4" w:space="0" w:color="000000"/>
              <w:right w:val="single" w:sz="12" w:space="0" w:color="000000"/>
            </w:tcBorders>
          </w:tcPr>
          <w:p w14:paraId="02804934" w14:textId="33D2694D" w:rsidR="00B45F04" w:rsidRDefault="00B45F04" w:rsidP="00B45F04">
            <w:pPr>
              <w:spacing w:after="0" w:line="259" w:lineRule="auto"/>
              <w:ind w:left="0" w:right="59" w:firstLine="0"/>
              <w:jc w:val="center"/>
            </w:pPr>
            <w:r>
              <w:rPr>
                <w:sz w:val="18"/>
              </w:rPr>
              <w:t>191-24-2</w:t>
            </w:r>
          </w:p>
        </w:tc>
        <w:tc>
          <w:tcPr>
            <w:tcW w:w="1636" w:type="dxa"/>
            <w:tcBorders>
              <w:top w:val="single" w:sz="4" w:space="0" w:color="000000"/>
              <w:left w:val="single" w:sz="12" w:space="0" w:color="000000"/>
              <w:bottom w:val="single" w:sz="4" w:space="0" w:color="000000"/>
              <w:right w:val="single" w:sz="12" w:space="0" w:color="000000"/>
            </w:tcBorders>
          </w:tcPr>
          <w:p w14:paraId="0E84F31C" w14:textId="708B4811" w:rsidR="00B45F04" w:rsidRDefault="00B45F04" w:rsidP="00B45F04">
            <w:pPr>
              <w:tabs>
                <w:tab w:val="center" w:pos="471"/>
              </w:tabs>
              <w:spacing w:after="0" w:line="259" w:lineRule="auto"/>
              <w:ind w:left="0" w:right="0" w:firstLine="0"/>
              <w:jc w:val="center"/>
            </w:pPr>
            <w:r>
              <w:rPr>
                <w:sz w:val="18"/>
              </w:rPr>
              <w:t>1.0</w:t>
            </w:r>
          </w:p>
        </w:tc>
        <w:tc>
          <w:tcPr>
            <w:tcW w:w="735" w:type="dxa"/>
            <w:tcBorders>
              <w:top w:val="single" w:sz="4" w:space="0" w:color="000000"/>
              <w:left w:val="single" w:sz="12" w:space="0" w:color="000000"/>
              <w:bottom w:val="single" w:sz="4" w:space="0" w:color="000000"/>
              <w:right w:val="single" w:sz="12" w:space="0" w:color="000000"/>
            </w:tcBorders>
          </w:tcPr>
          <w:p w14:paraId="1D6F3AE4" w14:textId="2A1E763C" w:rsidR="00B45F04" w:rsidRDefault="00B45F04" w:rsidP="00B45F04">
            <w:pPr>
              <w:spacing w:after="0" w:line="259" w:lineRule="auto"/>
              <w:ind w:left="9" w:right="0" w:firstLine="0"/>
              <w:jc w:val="center"/>
            </w:pPr>
            <w:r>
              <w:rPr>
                <w:sz w:val="18"/>
              </w:rPr>
              <w:t>ug/L</w:t>
            </w:r>
          </w:p>
        </w:tc>
        <w:tc>
          <w:tcPr>
            <w:tcW w:w="887" w:type="dxa"/>
            <w:tcBorders>
              <w:top w:val="single" w:sz="4" w:space="0" w:color="000000"/>
              <w:left w:val="single" w:sz="12" w:space="0" w:color="000000"/>
              <w:bottom w:val="single" w:sz="4" w:space="0" w:color="000000"/>
              <w:right w:val="single" w:sz="12" w:space="0" w:color="000000"/>
            </w:tcBorders>
          </w:tcPr>
          <w:p w14:paraId="4F32EC68" w14:textId="6DAA9C4F" w:rsidR="00B45F04" w:rsidRDefault="00B45F04" w:rsidP="00B45F04">
            <w:pPr>
              <w:spacing w:after="0" w:line="259" w:lineRule="auto"/>
              <w:ind w:left="11" w:right="0" w:firstLine="0"/>
              <w:jc w:val="center"/>
            </w:pPr>
            <w:r>
              <w:rPr>
                <w:sz w:val="18"/>
              </w:rPr>
              <w:t>1000</w:t>
            </w:r>
          </w:p>
        </w:tc>
        <w:tc>
          <w:tcPr>
            <w:tcW w:w="851" w:type="dxa"/>
            <w:tcBorders>
              <w:top w:val="single" w:sz="4" w:space="0" w:color="000000"/>
              <w:left w:val="single" w:sz="12" w:space="0" w:color="000000"/>
              <w:bottom w:val="single" w:sz="4" w:space="0" w:color="000000"/>
              <w:right w:val="single" w:sz="12" w:space="0" w:color="000000"/>
            </w:tcBorders>
          </w:tcPr>
          <w:p w14:paraId="6FA438BB" w14:textId="05805974" w:rsidR="00B45F04" w:rsidRDefault="00B45F04" w:rsidP="00B45F04">
            <w:pPr>
              <w:spacing w:after="0" w:line="259" w:lineRule="auto"/>
              <w:ind w:left="11" w:right="0" w:firstLine="0"/>
              <w:jc w:val="center"/>
            </w:pPr>
            <w:r>
              <w:rPr>
                <w:rFonts w:eastAsia="Segoe UI Symbol"/>
                <w:sz w:val="18"/>
              </w:rPr>
              <w:t>u</w:t>
            </w:r>
            <w:r>
              <w:rPr>
                <w:sz w:val="18"/>
              </w:rPr>
              <w:t>g/kg</w:t>
            </w:r>
          </w:p>
        </w:tc>
        <w:tc>
          <w:tcPr>
            <w:tcW w:w="1473" w:type="dxa"/>
            <w:tcBorders>
              <w:top w:val="single" w:sz="4" w:space="0" w:color="000000"/>
              <w:left w:val="single" w:sz="12" w:space="0" w:color="000000"/>
              <w:bottom w:val="single" w:sz="4" w:space="0" w:color="000000"/>
              <w:right w:val="single" w:sz="12" w:space="0" w:color="000000"/>
            </w:tcBorders>
          </w:tcPr>
          <w:p w14:paraId="0A214DCE" w14:textId="153ACF9C" w:rsidR="00B45F04" w:rsidRDefault="00B45F04" w:rsidP="00B45F04">
            <w:pPr>
              <w:spacing w:after="0" w:line="259" w:lineRule="auto"/>
              <w:ind w:left="0" w:right="59" w:firstLine="0"/>
              <w:jc w:val="center"/>
            </w:pPr>
            <w:r w:rsidRPr="001160A8">
              <w:rPr>
                <w:sz w:val="18"/>
              </w:rPr>
              <w:t>8310, 8270 SIM</w:t>
            </w:r>
          </w:p>
        </w:tc>
        <w:tc>
          <w:tcPr>
            <w:tcW w:w="810" w:type="dxa"/>
            <w:tcBorders>
              <w:top w:val="single" w:sz="4" w:space="0" w:color="000000"/>
              <w:left w:val="single" w:sz="12" w:space="0" w:color="000000"/>
              <w:bottom w:val="single" w:sz="4" w:space="0" w:color="000000"/>
              <w:right w:val="single" w:sz="12" w:space="0" w:color="000000"/>
            </w:tcBorders>
          </w:tcPr>
          <w:p w14:paraId="3AB292A8" w14:textId="453B6B99" w:rsidR="00B45F04" w:rsidRDefault="00B45F04" w:rsidP="00B45F04">
            <w:pPr>
              <w:spacing w:after="0" w:line="259" w:lineRule="auto"/>
              <w:ind w:left="57" w:right="0" w:firstLine="0"/>
              <w:jc w:val="center"/>
            </w:pPr>
          </w:p>
        </w:tc>
      </w:tr>
      <w:tr w:rsidR="00B45F04" w14:paraId="29F5E8C6" w14:textId="77777777" w:rsidTr="00687CAB">
        <w:trPr>
          <w:trHeight w:val="250"/>
        </w:trPr>
        <w:tc>
          <w:tcPr>
            <w:tcW w:w="3046" w:type="dxa"/>
            <w:tcBorders>
              <w:top w:val="single" w:sz="4" w:space="0" w:color="000000"/>
              <w:left w:val="single" w:sz="12" w:space="0" w:color="000000"/>
              <w:bottom w:val="single" w:sz="4" w:space="0" w:color="000000"/>
              <w:right w:val="single" w:sz="12" w:space="0" w:color="000000"/>
            </w:tcBorders>
          </w:tcPr>
          <w:p w14:paraId="748287F8" w14:textId="31AFC1F5" w:rsidR="00B45F04" w:rsidRDefault="00B45F04" w:rsidP="00B45F04">
            <w:pPr>
              <w:spacing w:after="0" w:line="259" w:lineRule="auto"/>
              <w:ind w:left="74" w:right="0" w:firstLine="0"/>
            </w:pPr>
            <w:r>
              <w:rPr>
                <w:sz w:val="18"/>
              </w:rPr>
              <w:lastRenderedPageBreak/>
              <w:t>Benzo[a]pyrene</w:t>
            </w:r>
          </w:p>
        </w:tc>
        <w:tc>
          <w:tcPr>
            <w:tcW w:w="1182" w:type="dxa"/>
            <w:tcBorders>
              <w:top w:val="single" w:sz="4" w:space="0" w:color="000000"/>
              <w:left w:val="single" w:sz="12" w:space="0" w:color="000000"/>
              <w:bottom w:val="single" w:sz="4" w:space="0" w:color="000000"/>
              <w:right w:val="single" w:sz="12" w:space="0" w:color="000000"/>
            </w:tcBorders>
          </w:tcPr>
          <w:p w14:paraId="4EA7281C" w14:textId="139BB1D0" w:rsidR="00B45F04" w:rsidRDefault="00B45F04" w:rsidP="00B45F04">
            <w:pPr>
              <w:spacing w:after="0" w:line="259" w:lineRule="auto"/>
              <w:ind w:left="0" w:right="59" w:firstLine="0"/>
              <w:jc w:val="center"/>
            </w:pPr>
            <w:r>
              <w:rPr>
                <w:sz w:val="18"/>
              </w:rPr>
              <w:t>50-32-8</w:t>
            </w:r>
          </w:p>
        </w:tc>
        <w:tc>
          <w:tcPr>
            <w:tcW w:w="1636" w:type="dxa"/>
            <w:tcBorders>
              <w:top w:val="single" w:sz="4" w:space="0" w:color="000000"/>
              <w:left w:val="single" w:sz="12" w:space="0" w:color="000000"/>
              <w:bottom w:val="single" w:sz="4" w:space="0" w:color="000000"/>
              <w:right w:val="single" w:sz="12" w:space="0" w:color="000000"/>
            </w:tcBorders>
          </w:tcPr>
          <w:p w14:paraId="7DBA8D1D" w14:textId="271B49DA" w:rsidR="00B45F04" w:rsidRDefault="00B45F04" w:rsidP="00B45F04">
            <w:pPr>
              <w:tabs>
                <w:tab w:val="right" w:pos="797"/>
              </w:tabs>
              <w:spacing w:after="0" w:line="259" w:lineRule="auto"/>
              <w:ind w:left="0" w:right="0" w:firstLine="0"/>
              <w:jc w:val="center"/>
            </w:pPr>
            <w:r>
              <w:rPr>
                <w:b/>
                <w:sz w:val="18"/>
              </w:rPr>
              <w:t>0.20</w:t>
            </w:r>
          </w:p>
        </w:tc>
        <w:tc>
          <w:tcPr>
            <w:tcW w:w="735" w:type="dxa"/>
            <w:tcBorders>
              <w:top w:val="single" w:sz="4" w:space="0" w:color="000000"/>
              <w:left w:val="single" w:sz="12" w:space="0" w:color="000000"/>
              <w:bottom w:val="single" w:sz="4" w:space="0" w:color="000000"/>
              <w:right w:val="single" w:sz="12" w:space="0" w:color="000000"/>
            </w:tcBorders>
          </w:tcPr>
          <w:p w14:paraId="78C494A8" w14:textId="57013B3F" w:rsidR="00B45F04" w:rsidRDefault="00B45F04" w:rsidP="00B45F04">
            <w:pPr>
              <w:spacing w:after="0" w:line="259" w:lineRule="auto"/>
              <w:ind w:left="9" w:right="0" w:firstLine="0"/>
              <w:jc w:val="center"/>
            </w:pPr>
            <w:r>
              <w:rPr>
                <w:sz w:val="18"/>
              </w:rPr>
              <w:t>ug/L</w:t>
            </w:r>
          </w:p>
        </w:tc>
        <w:tc>
          <w:tcPr>
            <w:tcW w:w="887" w:type="dxa"/>
            <w:tcBorders>
              <w:top w:val="single" w:sz="4" w:space="0" w:color="000000"/>
              <w:left w:val="single" w:sz="12" w:space="0" w:color="000000"/>
              <w:bottom w:val="single" w:sz="4" w:space="0" w:color="000000"/>
              <w:right w:val="single" w:sz="12" w:space="0" w:color="000000"/>
            </w:tcBorders>
          </w:tcPr>
          <w:p w14:paraId="2887EC71" w14:textId="654AD30D" w:rsidR="00B45F04" w:rsidRDefault="00B45F04" w:rsidP="00B45F04">
            <w:pPr>
              <w:spacing w:after="0" w:line="259" w:lineRule="auto"/>
              <w:ind w:left="11" w:right="0" w:firstLine="0"/>
              <w:jc w:val="center"/>
            </w:pPr>
            <w:r>
              <w:rPr>
                <w:sz w:val="18"/>
              </w:rPr>
              <w:t>230</w:t>
            </w:r>
          </w:p>
        </w:tc>
        <w:tc>
          <w:tcPr>
            <w:tcW w:w="851" w:type="dxa"/>
            <w:tcBorders>
              <w:top w:val="single" w:sz="4" w:space="0" w:color="000000"/>
              <w:left w:val="single" w:sz="12" w:space="0" w:color="000000"/>
              <w:bottom w:val="single" w:sz="4" w:space="0" w:color="000000"/>
              <w:right w:val="single" w:sz="12" w:space="0" w:color="000000"/>
            </w:tcBorders>
          </w:tcPr>
          <w:p w14:paraId="018664D3" w14:textId="6512D36F" w:rsidR="00B45F04" w:rsidRDefault="00B45F04" w:rsidP="00B45F04">
            <w:pPr>
              <w:spacing w:after="0" w:line="259" w:lineRule="auto"/>
              <w:ind w:left="11" w:right="0" w:firstLine="0"/>
              <w:jc w:val="center"/>
            </w:pPr>
            <w:r>
              <w:rPr>
                <w:rFonts w:eastAsia="Segoe UI Symbol"/>
                <w:sz w:val="18"/>
              </w:rPr>
              <w:t>u</w:t>
            </w:r>
            <w:r>
              <w:rPr>
                <w:sz w:val="18"/>
              </w:rPr>
              <w:t>g/kg</w:t>
            </w:r>
          </w:p>
        </w:tc>
        <w:tc>
          <w:tcPr>
            <w:tcW w:w="1473" w:type="dxa"/>
            <w:tcBorders>
              <w:top w:val="single" w:sz="4" w:space="0" w:color="000000"/>
              <w:left w:val="single" w:sz="12" w:space="0" w:color="000000"/>
              <w:bottom w:val="single" w:sz="4" w:space="0" w:color="000000"/>
              <w:right w:val="single" w:sz="12" w:space="0" w:color="000000"/>
            </w:tcBorders>
          </w:tcPr>
          <w:p w14:paraId="1BD6A7DB" w14:textId="2249BC0E" w:rsidR="00B45F04" w:rsidRDefault="00B45F04" w:rsidP="00B45F04">
            <w:pPr>
              <w:spacing w:after="0" w:line="259" w:lineRule="auto"/>
              <w:ind w:left="0" w:right="59" w:firstLine="0"/>
              <w:jc w:val="center"/>
            </w:pPr>
            <w:r w:rsidRPr="001160A8">
              <w:rPr>
                <w:sz w:val="18"/>
              </w:rPr>
              <w:t>8310, 8270 SIM</w:t>
            </w:r>
          </w:p>
        </w:tc>
        <w:tc>
          <w:tcPr>
            <w:tcW w:w="810" w:type="dxa"/>
            <w:tcBorders>
              <w:top w:val="single" w:sz="4" w:space="0" w:color="000000"/>
              <w:left w:val="single" w:sz="12" w:space="0" w:color="000000"/>
              <w:bottom w:val="single" w:sz="4" w:space="0" w:color="000000"/>
              <w:right w:val="single" w:sz="12" w:space="0" w:color="000000"/>
            </w:tcBorders>
          </w:tcPr>
          <w:p w14:paraId="14F22EB1" w14:textId="028F7A89" w:rsidR="00B45F04" w:rsidRDefault="00B45F04" w:rsidP="00B45F04">
            <w:pPr>
              <w:spacing w:after="0" w:line="259" w:lineRule="auto"/>
              <w:ind w:left="57" w:right="0" w:firstLine="0"/>
              <w:jc w:val="center"/>
            </w:pPr>
          </w:p>
        </w:tc>
      </w:tr>
      <w:tr w:rsidR="00B45F04" w14:paraId="13A6A2B9" w14:textId="77777777" w:rsidTr="00687CAB">
        <w:trPr>
          <w:trHeight w:val="252"/>
        </w:trPr>
        <w:tc>
          <w:tcPr>
            <w:tcW w:w="3046" w:type="dxa"/>
            <w:tcBorders>
              <w:top w:val="single" w:sz="4" w:space="0" w:color="000000"/>
              <w:left w:val="single" w:sz="12" w:space="0" w:color="000000"/>
              <w:bottom w:val="single" w:sz="4" w:space="0" w:color="000000"/>
              <w:right w:val="single" w:sz="12" w:space="0" w:color="000000"/>
            </w:tcBorders>
          </w:tcPr>
          <w:p w14:paraId="59EFB30E" w14:textId="77777777" w:rsidR="00B45F04" w:rsidRDefault="00B45F04" w:rsidP="00B45F04">
            <w:pPr>
              <w:spacing w:after="0" w:line="259" w:lineRule="auto"/>
              <w:ind w:left="74" w:right="0" w:firstLine="0"/>
            </w:pPr>
            <w:r>
              <w:rPr>
                <w:sz w:val="18"/>
              </w:rPr>
              <w:t xml:space="preserve">Chrysene </w:t>
            </w:r>
          </w:p>
        </w:tc>
        <w:tc>
          <w:tcPr>
            <w:tcW w:w="1182" w:type="dxa"/>
            <w:tcBorders>
              <w:top w:val="single" w:sz="4" w:space="0" w:color="000000"/>
              <w:left w:val="single" w:sz="12" w:space="0" w:color="000000"/>
              <w:bottom w:val="single" w:sz="4" w:space="0" w:color="000000"/>
              <w:right w:val="single" w:sz="12" w:space="0" w:color="000000"/>
            </w:tcBorders>
          </w:tcPr>
          <w:p w14:paraId="5BB50E57" w14:textId="555C80F5" w:rsidR="00B45F04" w:rsidRDefault="00B45F04" w:rsidP="00B45F04">
            <w:pPr>
              <w:spacing w:after="0" w:line="259" w:lineRule="auto"/>
              <w:ind w:left="0" w:right="59" w:firstLine="0"/>
              <w:jc w:val="center"/>
            </w:pPr>
            <w:r>
              <w:rPr>
                <w:sz w:val="18"/>
              </w:rPr>
              <w:t>218-01-9</w:t>
            </w:r>
          </w:p>
        </w:tc>
        <w:tc>
          <w:tcPr>
            <w:tcW w:w="1636" w:type="dxa"/>
            <w:tcBorders>
              <w:top w:val="single" w:sz="4" w:space="0" w:color="000000"/>
              <w:left w:val="single" w:sz="12" w:space="0" w:color="000000"/>
              <w:bottom w:val="single" w:sz="4" w:space="0" w:color="000000"/>
              <w:right w:val="single" w:sz="12" w:space="0" w:color="000000"/>
            </w:tcBorders>
          </w:tcPr>
          <w:p w14:paraId="4BF4177E" w14:textId="0803A25B" w:rsidR="00B45F04" w:rsidRDefault="00B45F04" w:rsidP="00B45F04">
            <w:pPr>
              <w:tabs>
                <w:tab w:val="center" w:pos="471"/>
              </w:tabs>
              <w:spacing w:after="0" w:line="259" w:lineRule="auto"/>
              <w:ind w:left="0" w:right="0" w:firstLine="0"/>
              <w:jc w:val="center"/>
            </w:pPr>
            <w:r>
              <w:rPr>
                <w:sz w:val="18"/>
              </w:rPr>
              <w:t>1.5</w:t>
            </w:r>
          </w:p>
        </w:tc>
        <w:tc>
          <w:tcPr>
            <w:tcW w:w="735" w:type="dxa"/>
            <w:tcBorders>
              <w:top w:val="single" w:sz="4" w:space="0" w:color="000000"/>
              <w:left w:val="single" w:sz="12" w:space="0" w:color="000000"/>
              <w:bottom w:val="single" w:sz="4" w:space="0" w:color="000000"/>
              <w:right w:val="single" w:sz="12" w:space="0" w:color="000000"/>
            </w:tcBorders>
          </w:tcPr>
          <w:p w14:paraId="6E360839" w14:textId="58CC10C5" w:rsidR="00B45F04" w:rsidRDefault="00B45F04" w:rsidP="00B45F04">
            <w:pPr>
              <w:spacing w:after="0" w:line="259" w:lineRule="auto"/>
              <w:ind w:left="9" w:right="0" w:firstLine="0"/>
              <w:jc w:val="center"/>
            </w:pPr>
            <w:r>
              <w:rPr>
                <w:sz w:val="18"/>
              </w:rPr>
              <w:t>ug/L</w:t>
            </w:r>
          </w:p>
        </w:tc>
        <w:tc>
          <w:tcPr>
            <w:tcW w:w="887" w:type="dxa"/>
            <w:tcBorders>
              <w:top w:val="single" w:sz="4" w:space="0" w:color="000000"/>
              <w:left w:val="single" w:sz="12" w:space="0" w:color="000000"/>
              <w:bottom w:val="single" w:sz="4" w:space="0" w:color="000000"/>
              <w:right w:val="single" w:sz="12" w:space="0" w:color="000000"/>
            </w:tcBorders>
          </w:tcPr>
          <w:p w14:paraId="29E66F8A" w14:textId="27AC3746" w:rsidR="00B45F04" w:rsidRDefault="00B45F04" w:rsidP="00B45F04">
            <w:pPr>
              <w:spacing w:after="0" w:line="259" w:lineRule="auto"/>
              <w:ind w:left="11" w:right="0" w:firstLine="0"/>
              <w:jc w:val="center"/>
            </w:pPr>
            <w:r>
              <w:rPr>
                <w:sz w:val="18"/>
              </w:rPr>
              <w:t>1500</w:t>
            </w:r>
          </w:p>
        </w:tc>
        <w:tc>
          <w:tcPr>
            <w:tcW w:w="851" w:type="dxa"/>
            <w:tcBorders>
              <w:top w:val="single" w:sz="4" w:space="0" w:color="000000"/>
              <w:left w:val="single" w:sz="12" w:space="0" w:color="000000"/>
              <w:bottom w:val="single" w:sz="4" w:space="0" w:color="000000"/>
              <w:right w:val="single" w:sz="12" w:space="0" w:color="000000"/>
            </w:tcBorders>
          </w:tcPr>
          <w:p w14:paraId="0851CC4A" w14:textId="052443E6" w:rsidR="00B45F04" w:rsidRDefault="00B45F04" w:rsidP="00B45F04">
            <w:pPr>
              <w:spacing w:after="0" w:line="259" w:lineRule="auto"/>
              <w:ind w:left="11" w:right="0" w:firstLine="0"/>
              <w:jc w:val="center"/>
            </w:pPr>
            <w:r>
              <w:rPr>
                <w:rFonts w:eastAsia="Segoe UI Symbol"/>
                <w:sz w:val="18"/>
              </w:rPr>
              <w:t>u</w:t>
            </w:r>
            <w:r>
              <w:rPr>
                <w:sz w:val="18"/>
              </w:rPr>
              <w:t>g/kg</w:t>
            </w:r>
          </w:p>
        </w:tc>
        <w:tc>
          <w:tcPr>
            <w:tcW w:w="1473" w:type="dxa"/>
            <w:tcBorders>
              <w:top w:val="single" w:sz="4" w:space="0" w:color="000000"/>
              <w:left w:val="single" w:sz="12" w:space="0" w:color="000000"/>
              <w:bottom w:val="single" w:sz="4" w:space="0" w:color="000000"/>
              <w:right w:val="single" w:sz="12" w:space="0" w:color="000000"/>
            </w:tcBorders>
          </w:tcPr>
          <w:p w14:paraId="4516ED7A" w14:textId="4D0557B2" w:rsidR="00B45F04" w:rsidRDefault="00B45F04" w:rsidP="00B45F04">
            <w:pPr>
              <w:spacing w:after="0" w:line="259" w:lineRule="auto"/>
              <w:ind w:left="0" w:right="59" w:firstLine="0"/>
              <w:jc w:val="center"/>
            </w:pPr>
            <w:r w:rsidRPr="001160A8">
              <w:rPr>
                <w:sz w:val="18"/>
              </w:rPr>
              <w:t>8310, 8270 SIM</w:t>
            </w:r>
          </w:p>
        </w:tc>
        <w:tc>
          <w:tcPr>
            <w:tcW w:w="810" w:type="dxa"/>
            <w:tcBorders>
              <w:top w:val="single" w:sz="4" w:space="0" w:color="000000"/>
              <w:left w:val="single" w:sz="12" w:space="0" w:color="000000"/>
              <w:bottom w:val="single" w:sz="4" w:space="0" w:color="000000"/>
              <w:right w:val="single" w:sz="12" w:space="0" w:color="000000"/>
            </w:tcBorders>
          </w:tcPr>
          <w:p w14:paraId="1BA13CCF" w14:textId="14D14CE0" w:rsidR="00B45F04" w:rsidRDefault="00B45F04" w:rsidP="00B45F04">
            <w:pPr>
              <w:spacing w:after="0" w:line="259" w:lineRule="auto"/>
              <w:ind w:left="57" w:right="0" w:firstLine="0"/>
              <w:jc w:val="center"/>
            </w:pPr>
          </w:p>
        </w:tc>
      </w:tr>
      <w:tr w:rsidR="00B45F04" w14:paraId="0E1C2EB6" w14:textId="77777777" w:rsidTr="00687CAB">
        <w:trPr>
          <w:trHeight w:val="250"/>
        </w:trPr>
        <w:tc>
          <w:tcPr>
            <w:tcW w:w="3046" w:type="dxa"/>
            <w:tcBorders>
              <w:top w:val="single" w:sz="4" w:space="0" w:color="000000"/>
              <w:left w:val="single" w:sz="12" w:space="0" w:color="000000"/>
              <w:bottom w:val="single" w:sz="4" w:space="0" w:color="000000"/>
              <w:right w:val="single" w:sz="12" w:space="0" w:color="000000"/>
            </w:tcBorders>
          </w:tcPr>
          <w:p w14:paraId="7ABD5EA8" w14:textId="3DED1A98" w:rsidR="00B45F04" w:rsidRDefault="00B45F04" w:rsidP="00B45F04">
            <w:pPr>
              <w:spacing w:after="0" w:line="259" w:lineRule="auto"/>
              <w:ind w:left="74" w:right="0" w:firstLine="0"/>
            </w:pPr>
            <w:r>
              <w:rPr>
                <w:sz w:val="18"/>
              </w:rPr>
              <w:t>Dibenz(</w:t>
            </w:r>
            <w:proofErr w:type="spellStart"/>
            <w:proofErr w:type="gramStart"/>
            <w:r>
              <w:rPr>
                <w:sz w:val="18"/>
              </w:rPr>
              <w:t>a,h</w:t>
            </w:r>
            <w:proofErr w:type="spellEnd"/>
            <w:proofErr w:type="gramEnd"/>
            <w:r>
              <w:rPr>
                <w:sz w:val="18"/>
              </w:rPr>
              <w:t>)anthracene</w:t>
            </w:r>
          </w:p>
        </w:tc>
        <w:tc>
          <w:tcPr>
            <w:tcW w:w="1182" w:type="dxa"/>
            <w:tcBorders>
              <w:top w:val="single" w:sz="4" w:space="0" w:color="000000"/>
              <w:left w:val="single" w:sz="12" w:space="0" w:color="000000"/>
              <w:bottom w:val="single" w:sz="4" w:space="0" w:color="000000"/>
              <w:right w:val="single" w:sz="12" w:space="0" w:color="000000"/>
            </w:tcBorders>
          </w:tcPr>
          <w:p w14:paraId="4DE54FDC" w14:textId="3C7EFC0D" w:rsidR="00B45F04" w:rsidRDefault="00B45F04" w:rsidP="00B45F04">
            <w:pPr>
              <w:spacing w:after="0" w:line="259" w:lineRule="auto"/>
              <w:ind w:left="0" w:right="59" w:firstLine="0"/>
              <w:jc w:val="center"/>
            </w:pPr>
            <w:r>
              <w:rPr>
                <w:sz w:val="18"/>
              </w:rPr>
              <w:t>53-70-3</w:t>
            </w:r>
          </w:p>
        </w:tc>
        <w:tc>
          <w:tcPr>
            <w:tcW w:w="1636" w:type="dxa"/>
            <w:tcBorders>
              <w:top w:val="single" w:sz="4" w:space="0" w:color="000000"/>
              <w:left w:val="single" w:sz="12" w:space="0" w:color="000000"/>
              <w:bottom w:val="single" w:sz="4" w:space="0" w:color="000000"/>
              <w:right w:val="single" w:sz="12" w:space="0" w:color="000000"/>
            </w:tcBorders>
          </w:tcPr>
          <w:p w14:paraId="71359C70" w14:textId="1DEB8CCF" w:rsidR="00B45F04" w:rsidRDefault="00B45F04" w:rsidP="00B45F04">
            <w:pPr>
              <w:tabs>
                <w:tab w:val="right" w:pos="797"/>
              </w:tabs>
              <w:spacing w:after="0" w:line="259" w:lineRule="auto"/>
              <w:ind w:left="0" w:right="0" w:firstLine="0"/>
              <w:jc w:val="center"/>
            </w:pPr>
            <w:r>
              <w:rPr>
                <w:b/>
                <w:sz w:val="18"/>
              </w:rPr>
              <w:t>0.25</w:t>
            </w:r>
          </w:p>
        </w:tc>
        <w:tc>
          <w:tcPr>
            <w:tcW w:w="735" w:type="dxa"/>
            <w:tcBorders>
              <w:top w:val="single" w:sz="4" w:space="0" w:color="000000"/>
              <w:left w:val="single" w:sz="12" w:space="0" w:color="000000"/>
              <w:bottom w:val="single" w:sz="4" w:space="0" w:color="000000"/>
              <w:right w:val="single" w:sz="12" w:space="0" w:color="000000"/>
            </w:tcBorders>
          </w:tcPr>
          <w:p w14:paraId="30BF55A5" w14:textId="6E984DEB" w:rsidR="00B45F04" w:rsidRDefault="00B45F04" w:rsidP="00B45F04">
            <w:pPr>
              <w:spacing w:after="0" w:line="259" w:lineRule="auto"/>
              <w:ind w:left="9" w:right="0" w:firstLine="0"/>
              <w:jc w:val="center"/>
            </w:pPr>
            <w:r>
              <w:rPr>
                <w:sz w:val="18"/>
              </w:rPr>
              <w:t>ug/L</w:t>
            </w:r>
          </w:p>
        </w:tc>
        <w:tc>
          <w:tcPr>
            <w:tcW w:w="887" w:type="dxa"/>
            <w:tcBorders>
              <w:top w:val="single" w:sz="4" w:space="0" w:color="000000"/>
              <w:left w:val="single" w:sz="12" w:space="0" w:color="000000"/>
              <w:bottom w:val="single" w:sz="4" w:space="0" w:color="000000"/>
              <w:right w:val="single" w:sz="12" w:space="0" w:color="000000"/>
            </w:tcBorders>
          </w:tcPr>
          <w:p w14:paraId="37457694" w14:textId="63F23059" w:rsidR="00B45F04" w:rsidRDefault="00B45F04" w:rsidP="00B45F04">
            <w:pPr>
              <w:spacing w:after="0" w:line="259" w:lineRule="auto"/>
              <w:ind w:left="11" w:right="0" w:firstLine="0"/>
              <w:jc w:val="center"/>
            </w:pPr>
            <w:r>
              <w:rPr>
                <w:sz w:val="18"/>
              </w:rPr>
              <w:t>300</w:t>
            </w:r>
          </w:p>
        </w:tc>
        <w:tc>
          <w:tcPr>
            <w:tcW w:w="851" w:type="dxa"/>
            <w:tcBorders>
              <w:top w:val="single" w:sz="4" w:space="0" w:color="000000"/>
              <w:left w:val="single" w:sz="12" w:space="0" w:color="000000"/>
              <w:bottom w:val="single" w:sz="4" w:space="0" w:color="000000"/>
              <w:right w:val="single" w:sz="12" w:space="0" w:color="000000"/>
            </w:tcBorders>
          </w:tcPr>
          <w:p w14:paraId="7EE2EB39" w14:textId="5D35A976" w:rsidR="00B45F04" w:rsidRDefault="00B45F04" w:rsidP="00B45F04">
            <w:pPr>
              <w:spacing w:after="0" w:line="259" w:lineRule="auto"/>
              <w:ind w:left="11" w:right="0" w:firstLine="0"/>
              <w:jc w:val="center"/>
            </w:pPr>
            <w:r>
              <w:rPr>
                <w:rFonts w:eastAsia="Segoe UI Symbol"/>
                <w:sz w:val="18"/>
              </w:rPr>
              <w:t>u</w:t>
            </w:r>
            <w:r>
              <w:rPr>
                <w:sz w:val="18"/>
              </w:rPr>
              <w:t>g/kg</w:t>
            </w:r>
          </w:p>
        </w:tc>
        <w:tc>
          <w:tcPr>
            <w:tcW w:w="1473" w:type="dxa"/>
            <w:tcBorders>
              <w:top w:val="single" w:sz="4" w:space="0" w:color="000000"/>
              <w:left w:val="single" w:sz="12" w:space="0" w:color="000000"/>
              <w:bottom w:val="single" w:sz="4" w:space="0" w:color="000000"/>
              <w:right w:val="single" w:sz="12" w:space="0" w:color="000000"/>
            </w:tcBorders>
          </w:tcPr>
          <w:p w14:paraId="6266D347" w14:textId="61022A6B" w:rsidR="00B45F04" w:rsidRDefault="00B45F04" w:rsidP="00B45F04">
            <w:pPr>
              <w:spacing w:after="0" w:line="259" w:lineRule="auto"/>
              <w:ind w:left="0" w:right="59" w:firstLine="0"/>
              <w:jc w:val="center"/>
            </w:pPr>
            <w:r w:rsidRPr="001160A8">
              <w:rPr>
                <w:sz w:val="18"/>
              </w:rPr>
              <w:t>8310, 8270 SIM</w:t>
            </w:r>
          </w:p>
        </w:tc>
        <w:tc>
          <w:tcPr>
            <w:tcW w:w="810" w:type="dxa"/>
            <w:tcBorders>
              <w:top w:val="single" w:sz="4" w:space="0" w:color="000000"/>
              <w:left w:val="single" w:sz="12" w:space="0" w:color="000000"/>
              <w:bottom w:val="single" w:sz="4" w:space="0" w:color="000000"/>
              <w:right w:val="single" w:sz="12" w:space="0" w:color="000000"/>
            </w:tcBorders>
          </w:tcPr>
          <w:p w14:paraId="1DC44873" w14:textId="6EB2F99E" w:rsidR="00B45F04" w:rsidRDefault="00B45F04" w:rsidP="00B45F04">
            <w:pPr>
              <w:spacing w:after="0" w:line="259" w:lineRule="auto"/>
              <w:ind w:left="57" w:right="0" w:firstLine="0"/>
              <w:jc w:val="center"/>
            </w:pPr>
          </w:p>
        </w:tc>
      </w:tr>
      <w:tr w:rsidR="00B45F04" w14:paraId="00EC4839" w14:textId="77777777" w:rsidTr="00687CAB">
        <w:trPr>
          <w:trHeight w:val="250"/>
        </w:trPr>
        <w:tc>
          <w:tcPr>
            <w:tcW w:w="3046" w:type="dxa"/>
            <w:tcBorders>
              <w:top w:val="single" w:sz="4" w:space="0" w:color="000000"/>
              <w:left w:val="single" w:sz="12" w:space="0" w:color="000000"/>
              <w:bottom w:val="single" w:sz="4" w:space="0" w:color="000000"/>
              <w:right w:val="single" w:sz="12" w:space="0" w:color="000000"/>
            </w:tcBorders>
          </w:tcPr>
          <w:p w14:paraId="6A38A1CE" w14:textId="77777777" w:rsidR="00B45F04" w:rsidRDefault="00B45F04" w:rsidP="00B45F04">
            <w:pPr>
              <w:spacing w:after="0" w:line="259" w:lineRule="auto"/>
              <w:ind w:left="74" w:right="0" w:firstLine="0"/>
            </w:pPr>
            <w:r>
              <w:rPr>
                <w:sz w:val="18"/>
              </w:rPr>
              <w:t xml:space="preserve">Fluoranthene </w:t>
            </w:r>
          </w:p>
        </w:tc>
        <w:tc>
          <w:tcPr>
            <w:tcW w:w="1182" w:type="dxa"/>
            <w:tcBorders>
              <w:top w:val="single" w:sz="4" w:space="0" w:color="000000"/>
              <w:left w:val="single" w:sz="12" w:space="0" w:color="000000"/>
              <w:bottom w:val="single" w:sz="4" w:space="0" w:color="000000"/>
              <w:right w:val="single" w:sz="12" w:space="0" w:color="000000"/>
            </w:tcBorders>
          </w:tcPr>
          <w:p w14:paraId="19A443B0" w14:textId="631F15DC" w:rsidR="00B45F04" w:rsidRDefault="00B45F04" w:rsidP="00B45F04">
            <w:pPr>
              <w:spacing w:after="0" w:line="259" w:lineRule="auto"/>
              <w:ind w:left="0" w:right="59" w:firstLine="0"/>
              <w:jc w:val="center"/>
            </w:pPr>
            <w:r>
              <w:rPr>
                <w:sz w:val="18"/>
              </w:rPr>
              <w:t>206-44-0</w:t>
            </w:r>
          </w:p>
        </w:tc>
        <w:tc>
          <w:tcPr>
            <w:tcW w:w="1636" w:type="dxa"/>
            <w:tcBorders>
              <w:top w:val="single" w:sz="4" w:space="0" w:color="000000"/>
              <w:left w:val="single" w:sz="12" w:space="0" w:color="000000"/>
              <w:bottom w:val="single" w:sz="4" w:space="0" w:color="000000"/>
              <w:right w:val="single" w:sz="12" w:space="0" w:color="000000"/>
            </w:tcBorders>
          </w:tcPr>
          <w:p w14:paraId="4DC58756" w14:textId="4650EAFA" w:rsidR="00B45F04" w:rsidRDefault="00B45F04" w:rsidP="00B45F04">
            <w:pPr>
              <w:tabs>
                <w:tab w:val="center" w:pos="471"/>
              </w:tabs>
              <w:spacing w:after="0" w:line="259" w:lineRule="auto"/>
              <w:ind w:left="0" w:right="0" w:firstLine="0"/>
              <w:jc w:val="center"/>
            </w:pPr>
            <w:r>
              <w:rPr>
                <w:sz w:val="18"/>
              </w:rPr>
              <w:t>2.1</w:t>
            </w:r>
          </w:p>
        </w:tc>
        <w:tc>
          <w:tcPr>
            <w:tcW w:w="735" w:type="dxa"/>
            <w:tcBorders>
              <w:top w:val="single" w:sz="4" w:space="0" w:color="000000"/>
              <w:left w:val="single" w:sz="12" w:space="0" w:color="000000"/>
              <w:bottom w:val="single" w:sz="4" w:space="0" w:color="000000"/>
              <w:right w:val="single" w:sz="12" w:space="0" w:color="000000"/>
            </w:tcBorders>
          </w:tcPr>
          <w:p w14:paraId="2DE5C443" w14:textId="3A9695AE" w:rsidR="00B45F04" w:rsidRDefault="00B45F04" w:rsidP="00B45F04">
            <w:pPr>
              <w:spacing w:after="0" w:line="259" w:lineRule="auto"/>
              <w:ind w:left="9" w:right="0" w:firstLine="0"/>
              <w:jc w:val="center"/>
            </w:pPr>
            <w:r>
              <w:rPr>
                <w:sz w:val="18"/>
              </w:rPr>
              <w:t>ug/L</w:t>
            </w:r>
          </w:p>
        </w:tc>
        <w:tc>
          <w:tcPr>
            <w:tcW w:w="887" w:type="dxa"/>
            <w:tcBorders>
              <w:top w:val="single" w:sz="4" w:space="0" w:color="000000"/>
              <w:left w:val="single" w:sz="12" w:space="0" w:color="000000"/>
              <w:bottom w:val="single" w:sz="4" w:space="0" w:color="000000"/>
              <w:right w:val="single" w:sz="12" w:space="0" w:color="000000"/>
            </w:tcBorders>
          </w:tcPr>
          <w:p w14:paraId="62A705E5" w14:textId="3DF8F83F" w:rsidR="00B45F04" w:rsidRDefault="00B45F04" w:rsidP="00B45F04">
            <w:pPr>
              <w:spacing w:after="0" w:line="259" w:lineRule="auto"/>
              <w:ind w:left="11" w:right="0" w:firstLine="0"/>
              <w:jc w:val="center"/>
            </w:pPr>
            <w:r>
              <w:rPr>
                <w:sz w:val="18"/>
              </w:rPr>
              <w:t>2500</w:t>
            </w:r>
          </w:p>
        </w:tc>
        <w:tc>
          <w:tcPr>
            <w:tcW w:w="851" w:type="dxa"/>
            <w:tcBorders>
              <w:top w:val="single" w:sz="4" w:space="0" w:color="000000"/>
              <w:left w:val="single" w:sz="12" w:space="0" w:color="000000"/>
              <w:bottom w:val="single" w:sz="4" w:space="0" w:color="000000"/>
              <w:right w:val="single" w:sz="12" w:space="0" w:color="000000"/>
            </w:tcBorders>
          </w:tcPr>
          <w:p w14:paraId="3C9A0DF0" w14:textId="13586008" w:rsidR="00B45F04" w:rsidRDefault="00B45F04" w:rsidP="00B45F04">
            <w:pPr>
              <w:spacing w:after="0" w:line="259" w:lineRule="auto"/>
              <w:ind w:left="11" w:right="0" w:firstLine="0"/>
              <w:jc w:val="center"/>
            </w:pPr>
            <w:r>
              <w:rPr>
                <w:rFonts w:eastAsia="Segoe UI Symbol"/>
                <w:sz w:val="18"/>
              </w:rPr>
              <w:t>u</w:t>
            </w:r>
            <w:r>
              <w:rPr>
                <w:sz w:val="18"/>
              </w:rPr>
              <w:t>g/kg</w:t>
            </w:r>
          </w:p>
        </w:tc>
        <w:tc>
          <w:tcPr>
            <w:tcW w:w="1473" w:type="dxa"/>
            <w:tcBorders>
              <w:top w:val="single" w:sz="4" w:space="0" w:color="000000"/>
              <w:left w:val="single" w:sz="12" w:space="0" w:color="000000"/>
              <w:bottom w:val="single" w:sz="4" w:space="0" w:color="000000"/>
              <w:right w:val="single" w:sz="12" w:space="0" w:color="000000"/>
            </w:tcBorders>
          </w:tcPr>
          <w:p w14:paraId="7D1591AA" w14:textId="2B223426" w:rsidR="00B45F04" w:rsidRDefault="00B45F04" w:rsidP="00B45F04">
            <w:pPr>
              <w:spacing w:after="0" w:line="259" w:lineRule="auto"/>
              <w:ind w:left="0" w:right="59" w:firstLine="0"/>
              <w:jc w:val="center"/>
            </w:pPr>
            <w:r w:rsidRPr="001160A8">
              <w:rPr>
                <w:sz w:val="18"/>
              </w:rPr>
              <w:t>8310, 8270 SIM</w:t>
            </w:r>
          </w:p>
        </w:tc>
        <w:tc>
          <w:tcPr>
            <w:tcW w:w="810" w:type="dxa"/>
            <w:tcBorders>
              <w:top w:val="single" w:sz="4" w:space="0" w:color="000000"/>
              <w:left w:val="single" w:sz="12" w:space="0" w:color="000000"/>
              <w:bottom w:val="single" w:sz="4" w:space="0" w:color="000000"/>
              <w:right w:val="single" w:sz="12" w:space="0" w:color="000000"/>
            </w:tcBorders>
          </w:tcPr>
          <w:p w14:paraId="3F823306" w14:textId="4068CFE6" w:rsidR="00B45F04" w:rsidRDefault="00B45F04" w:rsidP="00B45F04">
            <w:pPr>
              <w:spacing w:after="0" w:line="259" w:lineRule="auto"/>
              <w:ind w:left="57" w:right="0" w:firstLine="0"/>
              <w:jc w:val="center"/>
            </w:pPr>
          </w:p>
        </w:tc>
      </w:tr>
      <w:tr w:rsidR="00B45F04" w14:paraId="69DC79B3" w14:textId="77777777" w:rsidTr="00687CAB">
        <w:trPr>
          <w:trHeight w:val="250"/>
        </w:trPr>
        <w:tc>
          <w:tcPr>
            <w:tcW w:w="3046" w:type="dxa"/>
            <w:tcBorders>
              <w:top w:val="single" w:sz="4" w:space="0" w:color="000000"/>
              <w:left w:val="single" w:sz="12" w:space="0" w:color="000000"/>
              <w:bottom w:val="single" w:sz="4" w:space="0" w:color="000000"/>
              <w:right w:val="single" w:sz="12" w:space="0" w:color="000000"/>
            </w:tcBorders>
          </w:tcPr>
          <w:p w14:paraId="039B5A6C" w14:textId="77777777" w:rsidR="00B45F04" w:rsidRDefault="00B45F04" w:rsidP="00B45F04">
            <w:pPr>
              <w:spacing w:after="0" w:line="259" w:lineRule="auto"/>
              <w:ind w:left="74" w:right="0" w:firstLine="0"/>
            </w:pPr>
            <w:r>
              <w:rPr>
                <w:sz w:val="18"/>
              </w:rPr>
              <w:t xml:space="preserve">Fluorene </w:t>
            </w:r>
          </w:p>
        </w:tc>
        <w:tc>
          <w:tcPr>
            <w:tcW w:w="1182" w:type="dxa"/>
            <w:tcBorders>
              <w:top w:val="single" w:sz="4" w:space="0" w:color="000000"/>
              <w:left w:val="single" w:sz="12" w:space="0" w:color="000000"/>
              <w:bottom w:val="single" w:sz="4" w:space="0" w:color="000000"/>
              <w:right w:val="single" w:sz="12" w:space="0" w:color="000000"/>
            </w:tcBorders>
          </w:tcPr>
          <w:p w14:paraId="79E89F0C" w14:textId="0FFC7EDA" w:rsidR="00B45F04" w:rsidRDefault="00B45F04" w:rsidP="00B45F04">
            <w:pPr>
              <w:spacing w:after="0" w:line="259" w:lineRule="auto"/>
              <w:ind w:left="0" w:right="59" w:firstLine="0"/>
              <w:jc w:val="center"/>
            </w:pPr>
            <w:r>
              <w:rPr>
                <w:sz w:val="18"/>
              </w:rPr>
              <w:t>86-73-7</w:t>
            </w:r>
          </w:p>
        </w:tc>
        <w:tc>
          <w:tcPr>
            <w:tcW w:w="1636" w:type="dxa"/>
            <w:tcBorders>
              <w:top w:val="single" w:sz="4" w:space="0" w:color="000000"/>
              <w:left w:val="single" w:sz="12" w:space="0" w:color="000000"/>
              <w:bottom w:val="single" w:sz="4" w:space="0" w:color="000000"/>
              <w:right w:val="single" w:sz="12" w:space="0" w:color="000000"/>
            </w:tcBorders>
          </w:tcPr>
          <w:p w14:paraId="6C2A9570" w14:textId="7CB0CDE6" w:rsidR="00B45F04" w:rsidRDefault="00B45F04" w:rsidP="00B45F04">
            <w:pPr>
              <w:tabs>
                <w:tab w:val="center" w:pos="471"/>
              </w:tabs>
              <w:spacing w:after="0" w:line="259" w:lineRule="auto"/>
              <w:ind w:left="0" w:right="0" w:firstLine="0"/>
              <w:jc w:val="center"/>
            </w:pPr>
            <w:r>
              <w:rPr>
                <w:sz w:val="18"/>
              </w:rPr>
              <w:t>2.5</w:t>
            </w:r>
          </w:p>
        </w:tc>
        <w:tc>
          <w:tcPr>
            <w:tcW w:w="735" w:type="dxa"/>
            <w:tcBorders>
              <w:top w:val="single" w:sz="4" w:space="0" w:color="000000"/>
              <w:left w:val="single" w:sz="12" w:space="0" w:color="000000"/>
              <w:bottom w:val="single" w:sz="4" w:space="0" w:color="000000"/>
              <w:right w:val="single" w:sz="12" w:space="0" w:color="000000"/>
            </w:tcBorders>
          </w:tcPr>
          <w:p w14:paraId="38B3D0DD" w14:textId="649B31EE" w:rsidR="00B45F04" w:rsidRDefault="00B45F04" w:rsidP="00B45F04">
            <w:pPr>
              <w:spacing w:after="0" w:line="259" w:lineRule="auto"/>
              <w:ind w:left="9" w:right="0" w:firstLine="0"/>
              <w:jc w:val="center"/>
            </w:pPr>
            <w:r>
              <w:rPr>
                <w:sz w:val="18"/>
              </w:rPr>
              <w:t>ug/L</w:t>
            </w:r>
          </w:p>
        </w:tc>
        <w:tc>
          <w:tcPr>
            <w:tcW w:w="887" w:type="dxa"/>
            <w:tcBorders>
              <w:top w:val="single" w:sz="4" w:space="0" w:color="000000"/>
              <w:left w:val="single" w:sz="12" w:space="0" w:color="000000"/>
              <w:bottom w:val="single" w:sz="4" w:space="0" w:color="000000"/>
              <w:right w:val="single" w:sz="12" w:space="0" w:color="000000"/>
            </w:tcBorders>
          </w:tcPr>
          <w:p w14:paraId="65608CC5" w14:textId="30D77544" w:rsidR="00B45F04" w:rsidRDefault="00B45F04" w:rsidP="00B45F04">
            <w:pPr>
              <w:spacing w:after="0" w:line="259" w:lineRule="auto"/>
              <w:ind w:left="11" w:right="0" w:firstLine="0"/>
              <w:jc w:val="center"/>
            </w:pPr>
            <w:r>
              <w:rPr>
                <w:sz w:val="18"/>
              </w:rPr>
              <w:t>2500</w:t>
            </w:r>
          </w:p>
        </w:tc>
        <w:tc>
          <w:tcPr>
            <w:tcW w:w="851" w:type="dxa"/>
            <w:tcBorders>
              <w:top w:val="single" w:sz="4" w:space="0" w:color="000000"/>
              <w:left w:val="single" w:sz="12" w:space="0" w:color="000000"/>
              <w:bottom w:val="single" w:sz="4" w:space="0" w:color="000000"/>
              <w:right w:val="single" w:sz="12" w:space="0" w:color="000000"/>
            </w:tcBorders>
          </w:tcPr>
          <w:p w14:paraId="44053D47" w14:textId="54BA8A91" w:rsidR="00B45F04" w:rsidRDefault="00B45F04" w:rsidP="00B45F04">
            <w:pPr>
              <w:spacing w:after="0" w:line="259" w:lineRule="auto"/>
              <w:ind w:left="11" w:right="0" w:firstLine="0"/>
              <w:jc w:val="center"/>
            </w:pPr>
            <w:r>
              <w:rPr>
                <w:rFonts w:eastAsia="Segoe UI Symbol"/>
                <w:sz w:val="18"/>
              </w:rPr>
              <w:t>u</w:t>
            </w:r>
            <w:r>
              <w:rPr>
                <w:sz w:val="18"/>
              </w:rPr>
              <w:t>g/kg</w:t>
            </w:r>
          </w:p>
        </w:tc>
        <w:tc>
          <w:tcPr>
            <w:tcW w:w="1473" w:type="dxa"/>
            <w:tcBorders>
              <w:top w:val="single" w:sz="4" w:space="0" w:color="000000"/>
              <w:left w:val="single" w:sz="12" w:space="0" w:color="000000"/>
              <w:bottom w:val="single" w:sz="4" w:space="0" w:color="000000"/>
              <w:right w:val="single" w:sz="12" w:space="0" w:color="000000"/>
            </w:tcBorders>
          </w:tcPr>
          <w:p w14:paraId="180CB339" w14:textId="5A375126" w:rsidR="00B45F04" w:rsidRDefault="00B45F04" w:rsidP="00B45F04">
            <w:pPr>
              <w:spacing w:after="0" w:line="259" w:lineRule="auto"/>
              <w:ind w:left="0" w:right="59" w:firstLine="0"/>
              <w:jc w:val="center"/>
            </w:pPr>
            <w:r w:rsidRPr="001160A8">
              <w:rPr>
                <w:sz w:val="18"/>
              </w:rPr>
              <w:t>8310, 8270 SIM</w:t>
            </w:r>
          </w:p>
        </w:tc>
        <w:tc>
          <w:tcPr>
            <w:tcW w:w="810" w:type="dxa"/>
            <w:tcBorders>
              <w:top w:val="single" w:sz="4" w:space="0" w:color="000000"/>
              <w:left w:val="single" w:sz="12" w:space="0" w:color="000000"/>
              <w:bottom w:val="single" w:sz="4" w:space="0" w:color="000000"/>
              <w:right w:val="single" w:sz="12" w:space="0" w:color="000000"/>
            </w:tcBorders>
          </w:tcPr>
          <w:p w14:paraId="3A4450CC" w14:textId="1362C6DA" w:rsidR="00B45F04" w:rsidRDefault="00B45F04" w:rsidP="00B45F04">
            <w:pPr>
              <w:spacing w:after="0" w:line="259" w:lineRule="auto"/>
              <w:ind w:left="57" w:right="0" w:firstLine="0"/>
              <w:jc w:val="center"/>
            </w:pPr>
          </w:p>
        </w:tc>
      </w:tr>
      <w:tr w:rsidR="00B45F04" w14:paraId="794E2C10" w14:textId="77777777" w:rsidTr="00687CAB">
        <w:trPr>
          <w:trHeight w:val="250"/>
        </w:trPr>
        <w:tc>
          <w:tcPr>
            <w:tcW w:w="3046" w:type="dxa"/>
            <w:tcBorders>
              <w:top w:val="single" w:sz="4" w:space="0" w:color="000000"/>
              <w:left w:val="single" w:sz="12" w:space="0" w:color="000000"/>
              <w:bottom w:val="single" w:sz="4" w:space="0" w:color="000000"/>
              <w:right w:val="single" w:sz="12" w:space="0" w:color="000000"/>
            </w:tcBorders>
          </w:tcPr>
          <w:p w14:paraId="4A35AED4" w14:textId="0293DFAB" w:rsidR="00B45F04" w:rsidRDefault="00B45F04" w:rsidP="00B45F04">
            <w:pPr>
              <w:spacing w:after="0" w:line="259" w:lineRule="auto"/>
              <w:ind w:left="74" w:right="0" w:firstLine="0"/>
            </w:pPr>
            <w:proofErr w:type="spellStart"/>
            <w:r>
              <w:rPr>
                <w:sz w:val="18"/>
              </w:rPr>
              <w:t>Indeno</w:t>
            </w:r>
            <w:proofErr w:type="spellEnd"/>
            <w:r>
              <w:rPr>
                <w:sz w:val="18"/>
              </w:rPr>
              <w:t>(1,2,3-cd) pyrene</w:t>
            </w:r>
          </w:p>
        </w:tc>
        <w:tc>
          <w:tcPr>
            <w:tcW w:w="1182" w:type="dxa"/>
            <w:tcBorders>
              <w:top w:val="single" w:sz="4" w:space="0" w:color="000000"/>
              <w:left w:val="single" w:sz="12" w:space="0" w:color="000000"/>
              <w:bottom w:val="single" w:sz="4" w:space="0" w:color="000000"/>
              <w:right w:val="single" w:sz="12" w:space="0" w:color="000000"/>
            </w:tcBorders>
          </w:tcPr>
          <w:p w14:paraId="0880DCF3" w14:textId="4F735B6E" w:rsidR="00B45F04" w:rsidRDefault="00B45F04" w:rsidP="00B45F04">
            <w:pPr>
              <w:spacing w:after="0" w:line="259" w:lineRule="auto"/>
              <w:ind w:left="0" w:right="59" w:firstLine="0"/>
              <w:jc w:val="center"/>
            </w:pPr>
            <w:r>
              <w:rPr>
                <w:sz w:val="18"/>
              </w:rPr>
              <w:t>193-39-5</w:t>
            </w:r>
          </w:p>
        </w:tc>
        <w:tc>
          <w:tcPr>
            <w:tcW w:w="1636" w:type="dxa"/>
            <w:tcBorders>
              <w:top w:val="single" w:sz="4" w:space="0" w:color="000000"/>
              <w:left w:val="single" w:sz="12" w:space="0" w:color="000000"/>
              <w:bottom w:val="single" w:sz="4" w:space="0" w:color="000000"/>
              <w:right w:val="single" w:sz="12" w:space="0" w:color="000000"/>
            </w:tcBorders>
          </w:tcPr>
          <w:p w14:paraId="52A91943" w14:textId="121ABBC2" w:rsidR="00B45F04" w:rsidRPr="00F96510" w:rsidRDefault="00B45F04" w:rsidP="00B45F04">
            <w:pPr>
              <w:tabs>
                <w:tab w:val="right" w:pos="797"/>
              </w:tabs>
              <w:spacing w:after="0" w:line="259" w:lineRule="auto"/>
              <w:ind w:left="0" w:right="0" w:firstLine="0"/>
              <w:jc w:val="center"/>
              <w:rPr>
                <w:bCs/>
              </w:rPr>
            </w:pPr>
            <w:r w:rsidRPr="00F5311C">
              <w:rPr>
                <w:bCs/>
                <w:sz w:val="18"/>
              </w:rPr>
              <w:t>2.5</w:t>
            </w:r>
          </w:p>
        </w:tc>
        <w:tc>
          <w:tcPr>
            <w:tcW w:w="735" w:type="dxa"/>
            <w:tcBorders>
              <w:top w:val="single" w:sz="4" w:space="0" w:color="000000"/>
              <w:left w:val="single" w:sz="12" w:space="0" w:color="000000"/>
              <w:bottom w:val="single" w:sz="4" w:space="0" w:color="000000"/>
              <w:right w:val="single" w:sz="12" w:space="0" w:color="000000"/>
            </w:tcBorders>
          </w:tcPr>
          <w:p w14:paraId="3C3B0804" w14:textId="17877AAF" w:rsidR="00B45F04" w:rsidRDefault="00B45F04" w:rsidP="00B45F04">
            <w:pPr>
              <w:spacing w:after="0" w:line="259" w:lineRule="auto"/>
              <w:ind w:left="9" w:right="0" w:firstLine="0"/>
              <w:jc w:val="center"/>
            </w:pPr>
            <w:r>
              <w:rPr>
                <w:sz w:val="18"/>
              </w:rPr>
              <w:t>ug/L</w:t>
            </w:r>
          </w:p>
        </w:tc>
        <w:tc>
          <w:tcPr>
            <w:tcW w:w="887" w:type="dxa"/>
            <w:tcBorders>
              <w:top w:val="single" w:sz="4" w:space="0" w:color="000000"/>
              <w:left w:val="single" w:sz="12" w:space="0" w:color="000000"/>
              <w:bottom w:val="single" w:sz="4" w:space="0" w:color="000000"/>
              <w:right w:val="single" w:sz="12" w:space="0" w:color="000000"/>
            </w:tcBorders>
          </w:tcPr>
          <w:p w14:paraId="3FAF51C7" w14:textId="437A3862" w:rsidR="00B45F04" w:rsidRDefault="00B45F04" w:rsidP="00B45F04">
            <w:pPr>
              <w:spacing w:after="0" w:line="259" w:lineRule="auto"/>
              <w:ind w:left="11" w:right="0" w:firstLine="0"/>
              <w:jc w:val="center"/>
            </w:pPr>
            <w:r>
              <w:rPr>
                <w:sz w:val="18"/>
              </w:rPr>
              <w:t>430</w:t>
            </w:r>
          </w:p>
        </w:tc>
        <w:tc>
          <w:tcPr>
            <w:tcW w:w="851" w:type="dxa"/>
            <w:tcBorders>
              <w:top w:val="single" w:sz="4" w:space="0" w:color="000000"/>
              <w:left w:val="single" w:sz="12" w:space="0" w:color="000000"/>
              <w:bottom w:val="single" w:sz="4" w:space="0" w:color="000000"/>
              <w:right w:val="single" w:sz="12" w:space="0" w:color="000000"/>
            </w:tcBorders>
          </w:tcPr>
          <w:p w14:paraId="43E10E58" w14:textId="3533419B" w:rsidR="00B45F04" w:rsidRDefault="00B45F04" w:rsidP="00B45F04">
            <w:pPr>
              <w:spacing w:after="0" w:line="259" w:lineRule="auto"/>
              <w:ind w:left="11" w:right="0" w:firstLine="0"/>
              <w:jc w:val="center"/>
            </w:pPr>
            <w:r>
              <w:rPr>
                <w:rFonts w:eastAsia="Segoe UI Symbol"/>
                <w:sz w:val="18"/>
              </w:rPr>
              <w:t>u</w:t>
            </w:r>
            <w:r>
              <w:rPr>
                <w:sz w:val="18"/>
              </w:rPr>
              <w:t>g/kg</w:t>
            </w:r>
          </w:p>
        </w:tc>
        <w:tc>
          <w:tcPr>
            <w:tcW w:w="1473" w:type="dxa"/>
            <w:tcBorders>
              <w:top w:val="single" w:sz="4" w:space="0" w:color="000000"/>
              <w:left w:val="single" w:sz="12" w:space="0" w:color="000000"/>
              <w:bottom w:val="single" w:sz="4" w:space="0" w:color="000000"/>
              <w:right w:val="single" w:sz="12" w:space="0" w:color="000000"/>
            </w:tcBorders>
          </w:tcPr>
          <w:p w14:paraId="2BF011A6" w14:textId="1730F340" w:rsidR="00B45F04" w:rsidRDefault="00B45F04" w:rsidP="00B45F04">
            <w:pPr>
              <w:spacing w:after="0" w:line="259" w:lineRule="auto"/>
              <w:ind w:left="0" w:right="59" w:firstLine="0"/>
              <w:jc w:val="center"/>
            </w:pPr>
            <w:r w:rsidRPr="001160A8">
              <w:rPr>
                <w:sz w:val="18"/>
              </w:rPr>
              <w:t>8310, 8270 SIM</w:t>
            </w:r>
          </w:p>
        </w:tc>
        <w:tc>
          <w:tcPr>
            <w:tcW w:w="810" w:type="dxa"/>
            <w:tcBorders>
              <w:top w:val="single" w:sz="4" w:space="0" w:color="000000"/>
              <w:left w:val="single" w:sz="12" w:space="0" w:color="000000"/>
              <w:bottom w:val="single" w:sz="4" w:space="0" w:color="000000"/>
              <w:right w:val="single" w:sz="12" w:space="0" w:color="000000"/>
            </w:tcBorders>
          </w:tcPr>
          <w:p w14:paraId="33E1D251" w14:textId="42D1D2E8" w:rsidR="00B45F04" w:rsidRDefault="00B45F04" w:rsidP="00B45F04">
            <w:pPr>
              <w:spacing w:after="0" w:line="259" w:lineRule="auto"/>
              <w:ind w:left="57" w:right="0" w:firstLine="0"/>
              <w:jc w:val="center"/>
            </w:pPr>
          </w:p>
        </w:tc>
      </w:tr>
      <w:tr w:rsidR="00B45F04" w14:paraId="2D8C9564" w14:textId="77777777" w:rsidTr="00687CAB">
        <w:trPr>
          <w:trHeight w:val="250"/>
        </w:trPr>
        <w:tc>
          <w:tcPr>
            <w:tcW w:w="3046" w:type="dxa"/>
            <w:tcBorders>
              <w:top w:val="single" w:sz="4" w:space="0" w:color="000000"/>
              <w:left w:val="single" w:sz="12" w:space="0" w:color="000000"/>
              <w:bottom w:val="single" w:sz="4" w:space="0" w:color="000000"/>
              <w:right w:val="single" w:sz="12" w:space="0" w:color="000000"/>
            </w:tcBorders>
          </w:tcPr>
          <w:p w14:paraId="46FD5C52" w14:textId="114204B2" w:rsidR="00B45F04" w:rsidRDefault="00B45F04" w:rsidP="00B45F04">
            <w:pPr>
              <w:spacing w:after="0" w:line="259" w:lineRule="auto"/>
              <w:ind w:left="74" w:right="0" w:firstLine="0"/>
            </w:pPr>
            <w:r>
              <w:rPr>
                <w:sz w:val="18"/>
              </w:rPr>
              <w:t>1-Methylnaphthalene</w:t>
            </w:r>
            <w:r w:rsidR="009D06FB">
              <w:rPr>
                <w:sz w:val="18"/>
              </w:rPr>
              <w:t xml:space="preserve"> </w:t>
            </w:r>
            <w:r w:rsidR="009D06FB" w:rsidRPr="009D06FB">
              <w:rPr>
                <w:b/>
                <w:bCs/>
                <w:sz w:val="18"/>
                <w:vertAlign w:val="superscript"/>
              </w:rPr>
              <w:t>25</w:t>
            </w:r>
            <w:r>
              <w:rPr>
                <w:sz w:val="18"/>
              </w:rPr>
              <w:t xml:space="preserve"> </w:t>
            </w:r>
          </w:p>
        </w:tc>
        <w:tc>
          <w:tcPr>
            <w:tcW w:w="1182" w:type="dxa"/>
            <w:tcBorders>
              <w:top w:val="single" w:sz="4" w:space="0" w:color="000000"/>
              <w:left w:val="single" w:sz="12" w:space="0" w:color="000000"/>
              <w:bottom w:val="single" w:sz="4" w:space="0" w:color="000000"/>
              <w:right w:val="single" w:sz="12" w:space="0" w:color="000000"/>
            </w:tcBorders>
          </w:tcPr>
          <w:p w14:paraId="00CB8F08" w14:textId="0694D6D1" w:rsidR="00B45F04" w:rsidRDefault="00B45F04" w:rsidP="00B45F04">
            <w:pPr>
              <w:spacing w:after="0" w:line="259" w:lineRule="auto"/>
              <w:ind w:left="0" w:right="59" w:firstLine="0"/>
              <w:jc w:val="center"/>
            </w:pPr>
            <w:r>
              <w:rPr>
                <w:sz w:val="18"/>
              </w:rPr>
              <w:t>90-12-0</w:t>
            </w:r>
          </w:p>
        </w:tc>
        <w:tc>
          <w:tcPr>
            <w:tcW w:w="1636" w:type="dxa"/>
            <w:tcBorders>
              <w:top w:val="single" w:sz="4" w:space="0" w:color="000000"/>
              <w:left w:val="single" w:sz="12" w:space="0" w:color="000000"/>
              <w:bottom w:val="single" w:sz="4" w:space="0" w:color="000000"/>
              <w:right w:val="single" w:sz="12" w:space="0" w:color="000000"/>
            </w:tcBorders>
          </w:tcPr>
          <w:p w14:paraId="1C3AE632" w14:textId="10F7DBC7" w:rsidR="00B45F04" w:rsidRPr="009B2BBA" w:rsidRDefault="00B45F04" w:rsidP="00B45F04">
            <w:pPr>
              <w:spacing w:after="0" w:line="259" w:lineRule="auto"/>
              <w:ind w:left="0" w:right="56" w:firstLine="0"/>
              <w:jc w:val="center"/>
              <w:rPr>
                <w:b/>
                <w:bCs/>
              </w:rPr>
            </w:pPr>
            <w:r w:rsidRPr="009B2BBA">
              <w:rPr>
                <w:b/>
                <w:bCs/>
                <w:sz w:val="18"/>
              </w:rPr>
              <w:t>18</w:t>
            </w:r>
          </w:p>
        </w:tc>
        <w:tc>
          <w:tcPr>
            <w:tcW w:w="735" w:type="dxa"/>
            <w:tcBorders>
              <w:top w:val="single" w:sz="4" w:space="0" w:color="000000"/>
              <w:left w:val="single" w:sz="12" w:space="0" w:color="000000"/>
              <w:bottom w:val="single" w:sz="4" w:space="0" w:color="000000"/>
              <w:right w:val="single" w:sz="12" w:space="0" w:color="000000"/>
            </w:tcBorders>
          </w:tcPr>
          <w:p w14:paraId="1A9DE02A" w14:textId="1701BCD0" w:rsidR="00B45F04" w:rsidRDefault="00B45F04" w:rsidP="00B45F04">
            <w:pPr>
              <w:spacing w:after="0" w:line="259" w:lineRule="auto"/>
              <w:ind w:left="9" w:right="0" w:firstLine="0"/>
              <w:jc w:val="center"/>
            </w:pPr>
            <w:r>
              <w:rPr>
                <w:sz w:val="18"/>
              </w:rPr>
              <w:t>ug/L</w:t>
            </w:r>
          </w:p>
        </w:tc>
        <w:tc>
          <w:tcPr>
            <w:tcW w:w="887" w:type="dxa"/>
            <w:tcBorders>
              <w:top w:val="single" w:sz="4" w:space="0" w:color="000000"/>
              <w:left w:val="single" w:sz="12" w:space="0" w:color="000000"/>
              <w:bottom w:val="single" w:sz="4" w:space="0" w:color="000000"/>
              <w:right w:val="single" w:sz="12" w:space="0" w:color="000000"/>
            </w:tcBorders>
          </w:tcPr>
          <w:p w14:paraId="35AD5BA0" w14:textId="38B52379" w:rsidR="00B45F04" w:rsidRDefault="00B45F04" w:rsidP="00B45F04">
            <w:pPr>
              <w:spacing w:after="0" w:line="259" w:lineRule="auto"/>
              <w:ind w:left="11" w:right="0" w:firstLine="0"/>
              <w:jc w:val="center"/>
            </w:pPr>
            <w:r>
              <w:rPr>
                <w:sz w:val="18"/>
              </w:rPr>
              <w:t>18000</w:t>
            </w:r>
          </w:p>
        </w:tc>
        <w:tc>
          <w:tcPr>
            <w:tcW w:w="851" w:type="dxa"/>
            <w:tcBorders>
              <w:top w:val="single" w:sz="4" w:space="0" w:color="000000"/>
              <w:left w:val="single" w:sz="12" w:space="0" w:color="000000"/>
              <w:bottom w:val="single" w:sz="4" w:space="0" w:color="000000"/>
              <w:right w:val="single" w:sz="12" w:space="0" w:color="000000"/>
            </w:tcBorders>
          </w:tcPr>
          <w:p w14:paraId="56A0D956" w14:textId="02EB7552" w:rsidR="00B45F04" w:rsidRDefault="00B45F04" w:rsidP="00B45F04">
            <w:pPr>
              <w:spacing w:after="0" w:line="259" w:lineRule="auto"/>
              <w:ind w:left="11" w:right="0" w:firstLine="0"/>
              <w:jc w:val="center"/>
            </w:pPr>
            <w:r>
              <w:rPr>
                <w:rFonts w:eastAsia="Segoe UI Symbol"/>
                <w:sz w:val="18"/>
              </w:rPr>
              <w:t>u</w:t>
            </w:r>
            <w:r>
              <w:rPr>
                <w:sz w:val="18"/>
              </w:rPr>
              <w:t>g/kg</w:t>
            </w:r>
          </w:p>
        </w:tc>
        <w:tc>
          <w:tcPr>
            <w:tcW w:w="1473" w:type="dxa"/>
            <w:tcBorders>
              <w:top w:val="single" w:sz="4" w:space="0" w:color="000000"/>
              <w:left w:val="single" w:sz="12" w:space="0" w:color="000000"/>
              <w:bottom w:val="single" w:sz="4" w:space="0" w:color="000000"/>
              <w:right w:val="single" w:sz="12" w:space="0" w:color="000000"/>
            </w:tcBorders>
          </w:tcPr>
          <w:p w14:paraId="73BE900E" w14:textId="4BF0ACED" w:rsidR="00B45F04" w:rsidRDefault="00B45F04" w:rsidP="00B45F04">
            <w:pPr>
              <w:spacing w:after="0" w:line="259" w:lineRule="auto"/>
              <w:ind w:left="0" w:right="59" w:firstLine="0"/>
              <w:jc w:val="center"/>
            </w:pPr>
            <w:r w:rsidRPr="001160A8">
              <w:rPr>
                <w:sz w:val="18"/>
              </w:rPr>
              <w:t>8310, 8270 SIM</w:t>
            </w:r>
          </w:p>
        </w:tc>
        <w:tc>
          <w:tcPr>
            <w:tcW w:w="810" w:type="dxa"/>
            <w:tcBorders>
              <w:top w:val="single" w:sz="4" w:space="0" w:color="000000"/>
              <w:left w:val="single" w:sz="12" w:space="0" w:color="000000"/>
              <w:bottom w:val="single" w:sz="4" w:space="0" w:color="000000"/>
              <w:right w:val="single" w:sz="12" w:space="0" w:color="000000"/>
            </w:tcBorders>
          </w:tcPr>
          <w:p w14:paraId="70A964CA" w14:textId="2969A39C" w:rsidR="00B45F04" w:rsidRPr="009D49A8" w:rsidRDefault="00042FC1" w:rsidP="00B45F04">
            <w:pPr>
              <w:spacing w:after="0" w:line="259" w:lineRule="auto"/>
              <w:ind w:left="57" w:right="0" w:firstLine="0"/>
              <w:jc w:val="center"/>
              <w:rPr>
                <w:sz w:val="18"/>
                <w:szCs w:val="18"/>
              </w:rPr>
            </w:pPr>
            <w:r w:rsidRPr="009D49A8">
              <w:rPr>
                <w:sz w:val="18"/>
                <w:szCs w:val="18"/>
              </w:rPr>
              <w:t>8260</w:t>
            </w:r>
          </w:p>
        </w:tc>
      </w:tr>
      <w:tr w:rsidR="00B45F04" w14:paraId="48C34830" w14:textId="77777777" w:rsidTr="00687CAB">
        <w:trPr>
          <w:trHeight w:val="252"/>
        </w:trPr>
        <w:tc>
          <w:tcPr>
            <w:tcW w:w="3046" w:type="dxa"/>
            <w:tcBorders>
              <w:top w:val="single" w:sz="4" w:space="0" w:color="000000"/>
              <w:left w:val="single" w:sz="12" w:space="0" w:color="000000"/>
              <w:bottom w:val="single" w:sz="4" w:space="0" w:color="000000"/>
              <w:right w:val="single" w:sz="12" w:space="0" w:color="000000"/>
            </w:tcBorders>
          </w:tcPr>
          <w:p w14:paraId="054BE87C" w14:textId="4E1AFF06" w:rsidR="00B45F04" w:rsidRDefault="00B45F04" w:rsidP="00B45F04">
            <w:pPr>
              <w:spacing w:after="0" w:line="259" w:lineRule="auto"/>
              <w:ind w:left="74" w:right="0" w:firstLine="0"/>
            </w:pPr>
            <w:r>
              <w:rPr>
                <w:sz w:val="18"/>
              </w:rPr>
              <w:t xml:space="preserve">2-Methylnaphthalene </w:t>
            </w:r>
            <w:r w:rsidR="00796620" w:rsidRPr="009D06FB">
              <w:rPr>
                <w:b/>
                <w:bCs/>
                <w:sz w:val="18"/>
                <w:vertAlign w:val="superscript"/>
              </w:rPr>
              <w:t>25</w:t>
            </w:r>
          </w:p>
        </w:tc>
        <w:tc>
          <w:tcPr>
            <w:tcW w:w="1182" w:type="dxa"/>
            <w:tcBorders>
              <w:top w:val="single" w:sz="4" w:space="0" w:color="000000"/>
              <w:left w:val="single" w:sz="12" w:space="0" w:color="000000"/>
              <w:bottom w:val="single" w:sz="4" w:space="0" w:color="000000"/>
              <w:right w:val="single" w:sz="12" w:space="0" w:color="000000"/>
            </w:tcBorders>
          </w:tcPr>
          <w:p w14:paraId="4C2297A4" w14:textId="6987F2C4" w:rsidR="00B45F04" w:rsidRDefault="00B45F04" w:rsidP="00B45F04">
            <w:pPr>
              <w:spacing w:after="0" w:line="259" w:lineRule="auto"/>
              <w:ind w:left="0" w:right="59" w:firstLine="0"/>
              <w:jc w:val="center"/>
            </w:pPr>
            <w:r>
              <w:rPr>
                <w:sz w:val="18"/>
              </w:rPr>
              <w:t>91-57-6</w:t>
            </w:r>
          </w:p>
        </w:tc>
        <w:tc>
          <w:tcPr>
            <w:tcW w:w="1636" w:type="dxa"/>
            <w:tcBorders>
              <w:top w:val="single" w:sz="4" w:space="0" w:color="000000"/>
              <w:left w:val="single" w:sz="12" w:space="0" w:color="000000"/>
              <w:bottom w:val="single" w:sz="4" w:space="0" w:color="000000"/>
              <w:right w:val="single" w:sz="12" w:space="0" w:color="000000"/>
            </w:tcBorders>
          </w:tcPr>
          <w:p w14:paraId="66204A10" w14:textId="7C85F19D" w:rsidR="00B45F04" w:rsidRPr="009B2BBA" w:rsidRDefault="00B45F04" w:rsidP="00B45F04">
            <w:pPr>
              <w:spacing w:after="0" w:line="259" w:lineRule="auto"/>
              <w:ind w:left="0" w:right="56" w:firstLine="0"/>
              <w:jc w:val="center"/>
              <w:rPr>
                <w:b/>
                <w:bCs/>
              </w:rPr>
            </w:pPr>
            <w:r w:rsidRPr="009B2BBA">
              <w:rPr>
                <w:b/>
                <w:bCs/>
                <w:sz w:val="18"/>
              </w:rPr>
              <w:t>18</w:t>
            </w:r>
          </w:p>
        </w:tc>
        <w:tc>
          <w:tcPr>
            <w:tcW w:w="735" w:type="dxa"/>
            <w:tcBorders>
              <w:top w:val="single" w:sz="4" w:space="0" w:color="000000"/>
              <w:left w:val="single" w:sz="12" w:space="0" w:color="000000"/>
              <w:bottom w:val="single" w:sz="4" w:space="0" w:color="000000"/>
              <w:right w:val="single" w:sz="12" w:space="0" w:color="000000"/>
            </w:tcBorders>
          </w:tcPr>
          <w:p w14:paraId="7FC63FB2" w14:textId="1F793E51" w:rsidR="00B45F04" w:rsidRDefault="00B45F04" w:rsidP="00B45F04">
            <w:pPr>
              <w:spacing w:after="0" w:line="259" w:lineRule="auto"/>
              <w:ind w:left="9" w:right="0" w:firstLine="0"/>
              <w:jc w:val="center"/>
            </w:pPr>
            <w:r>
              <w:rPr>
                <w:sz w:val="18"/>
              </w:rPr>
              <w:t>ug/L</w:t>
            </w:r>
          </w:p>
        </w:tc>
        <w:tc>
          <w:tcPr>
            <w:tcW w:w="887" w:type="dxa"/>
            <w:tcBorders>
              <w:top w:val="single" w:sz="4" w:space="0" w:color="000000"/>
              <w:left w:val="single" w:sz="12" w:space="0" w:color="000000"/>
              <w:bottom w:val="single" w:sz="4" w:space="0" w:color="000000"/>
              <w:right w:val="single" w:sz="12" w:space="0" w:color="000000"/>
            </w:tcBorders>
          </w:tcPr>
          <w:p w14:paraId="7386817A" w14:textId="09587F99" w:rsidR="00B45F04" w:rsidRDefault="00B45F04" w:rsidP="00B45F04">
            <w:pPr>
              <w:spacing w:after="0" w:line="259" w:lineRule="auto"/>
              <w:ind w:left="11" w:right="0" w:firstLine="0"/>
              <w:jc w:val="center"/>
            </w:pPr>
            <w:r>
              <w:rPr>
                <w:sz w:val="18"/>
              </w:rPr>
              <w:t>18000</w:t>
            </w:r>
          </w:p>
        </w:tc>
        <w:tc>
          <w:tcPr>
            <w:tcW w:w="851" w:type="dxa"/>
            <w:tcBorders>
              <w:top w:val="single" w:sz="4" w:space="0" w:color="000000"/>
              <w:left w:val="single" w:sz="12" w:space="0" w:color="000000"/>
              <w:bottom w:val="single" w:sz="4" w:space="0" w:color="000000"/>
              <w:right w:val="single" w:sz="12" w:space="0" w:color="000000"/>
            </w:tcBorders>
          </w:tcPr>
          <w:p w14:paraId="0A22223B" w14:textId="610A5BFA" w:rsidR="00B45F04" w:rsidRDefault="00B45F04" w:rsidP="00B45F04">
            <w:pPr>
              <w:spacing w:after="0" w:line="259" w:lineRule="auto"/>
              <w:ind w:left="11" w:right="0" w:firstLine="0"/>
              <w:jc w:val="center"/>
            </w:pPr>
            <w:r>
              <w:rPr>
                <w:rFonts w:eastAsia="Segoe UI Symbol"/>
                <w:sz w:val="18"/>
              </w:rPr>
              <w:t>u</w:t>
            </w:r>
            <w:r>
              <w:rPr>
                <w:sz w:val="18"/>
              </w:rPr>
              <w:t>g/kg</w:t>
            </w:r>
          </w:p>
        </w:tc>
        <w:tc>
          <w:tcPr>
            <w:tcW w:w="1473" w:type="dxa"/>
            <w:tcBorders>
              <w:top w:val="single" w:sz="4" w:space="0" w:color="000000"/>
              <w:left w:val="single" w:sz="12" w:space="0" w:color="000000"/>
              <w:bottom w:val="single" w:sz="4" w:space="0" w:color="000000"/>
              <w:right w:val="single" w:sz="12" w:space="0" w:color="000000"/>
            </w:tcBorders>
          </w:tcPr>
          <w:p w14:paraId="5A87DD1E" w14:textId="3C479234" w:rsidR="00B45F04" w:rsidRDefault="00B45F04" w:rsidP="00B45F04">
            <w:pPr>
              <w:spacing w:after="0" w:line="259" w:lineRule="auto"/>
              <w:ind w:left="0" w:right="59" w:firstLine="0"/>
              <w:jc w:val="center"/>
            </w:pPr>
            <w:r w:rsidRPr="001160A8">
              <w:rPr>
                <w:sz w:val="18"/>
              </w:rPr>
              <w:t>8310, 8270 SIM</w:t>
            </w:r>
          </w:p>
        </w:tc>
        <w:tc>
          <w:tcPr>
            <w:tcW w:w="810" w:type="dxa"/>
            <w:tcBorders>
              <w:top w:val="single" w:sz="4" w:space="0" w:color="000000"/>
              <w:left w:val="single" w:sz="12" w:space="0" w:color="000000"/>
              <w:bottom w:val="single" w:sz="4" w:space="0" w:color="000000"/>
              <w:right w:val="single" w:sz="12" w:space="0" w:color="000000"/>
            </w:tcBorders>
          </w:tcPr>
          <w:p w14:paraId="293A9DC5" w14:textId="497A3A57" w:rsidR="00B45F04" w:rsidRPr="009D49A8" w:rsidRDefault="00042FC1" w:rsidP="00B45F04">
            <w:pPr>
              <w:spacing w:after="0" w:line="259" w:lineRule="auto"/>
              <w:ind w:left="57" w:right="0" w:firstLine="0"/>
              <w:jc w:val="center"/>
              <w:rPr>
                <w:sz w:val="18"/>
                <w:szCs w:val="18"/>
              </w:rPr>
            </w:pPr>
            <w:r w:rsidRPr="009D49A8">
              <w:rPr>
                <w:sz w:val="18"/>
                <w:szCs w:val="18"/>
              </w:rPr>
              <w:t>8260</w:t>
            </w:r>
          </w:p>
        </w:tc>
      </w:tr>
      <w:tr w:rsidR="00B45F04" w14:paraId="71DF8ABB" w14:textId="77777777" w:rsidTr="00687CAB">
        <w:trPr>
          <w:trHeight w:val="250"/>
        </w:trPr>
        <w:tc>
          <w:tcPr>
            <w:tcW w:w="3046" w:type="dxa"/>
            <w:tcBorders>
              <w:top w:val="single" w:sz="4" w:space="0" w:color="000000"/>
              <w:left w:val="single" w:sz="12" w:space="0" w:color="000000"/>
              <w:bottom w:val="single" w:sz="4" w:space="0" w:color="000000"/>
              <w:right w:val="single" w:sz="12" w:space="0" w:color="000000"/>
            </w:tcBorders>
          </w:tcPr>
          <w:p w14:paraId="06B52711" w14:textId="175B3390" w:rsidR="00B45F04" w:rsidRDefault="00B45F04" w:rsidP="00B45F04">
            <w:pPr>
              <w:spacing w:after="0" w:line="259" w:lineRule="auto"/>
              <w:ind w:left="74" w:right="0" w:firstLine="0"/>
            </w:pPr>
            <w:r>
              <w:rPr>
                <w:sz w:val="18"/>
              </w:rPr>
              <w:t>Naphthalene</w:t>
            </w:r>
            <w:r>
              <w:rPr>
                <w:sz w:val="18"/>
                <w:vertAlign w:val="superscript"/>
              </w:rPr>
              <w:t xml:space="preserve"> </w:t>
            </w:r>
            <w:r w:rsidRPr="0030626E">
              <w:rPr>
                <w:b/>
                <w:bCs/>
                <w:sz w:val="18"/>
                <w:vertAlign w:val="superscript"/>
              </w:rPr>
              <w:t>25</w:t>
            </w:r>
          </w:p>
        </w:tc>
        <w:tc>
          <w:tcPr>
            <w:tcW w:w="1182" w:type="dxa"/>
            <w:tcBorders>
              <w:top w:val="single" w:sz="4" w:space="0" w:color="000000"/>
              <w:left w:val="single" w:sz="12" w:space="0" w:color="000000"/>
              <w:bottom w:val="single" w:sz="4" w:space="0" w:color="000000"/>
              <w:right w:val="single" w:sz="12" w:space="0" w:color="000000"/>
            </w:tcBorders>
          </w:tcPr>
          <w:p w14:paraId="6EA8718B" w14:textId="2D7E8CA0" w:rsidR="00B45F04" w:rsidRDefault="00B45F04" w:rsidP="00B45F04">
            <w:pPr>
              <w:spacing w:after="0" w:line="259" w:lineRule="auto"/>
              <w:ind w:left="0" w:right="59" w:firstLine="0"/>
              <w:jc w:val="center"/>
            </w:pPr>
            <w:r>
              <w:rPr>
                <w:sz w:val="18"/>
              </w:rPr>
              <w:t>91-20-3</w:t>
            </w:r>
          </w:p>
        </w:tc>
        <w:tc>
          <w:tcPr>
            <w:tcW w:w="1636" w:type="dxa"/>
            <w:tcBorders>
              <w:top w:val="single" w:sz="4" w:space="0" w:color="000000"/>
              <w:left w:val="single" w:sz="12" w:space="0" w:color="000000"/>
              <w:bottom w:val="single" w:sz="4" w:space="0" w:color="000000"/>
              <w:right w:val="single" w:sz="12" w:space="0" w:color="000000"/>
            </w:tcBorders>
          </w:tcPr>
          <w:p w14:paraId="4F18CE71" w14:textId="27BC1960" w:rsidR="00B45F04" w:rsidRPr="009B2BBA" w:rsidRDefault="00B45F04" w:rsidP="00B45F04">
            <w:pPr>
              <w:tabs>
                <w:tab w:val="center" w:pos="380"/>
              </w:tabs>
              <w:spacing w:after="0" w:line="259" w:lineRule="auto"/>
              <w:ind w:left="0" w:right="0" w:firstLine="0"/>
              <w:jc w:val="center"/>
              <w:rPr>
                <w:b/>
                <w:bCs/>
              </w:rPr>
            </w:pPr>
            <w:r w:rsidRPr="009B2BBA">
              <w:rPr>
                <w:b/>
                <w:bCs/>
                <w:sz w:val="18"/>
              </w:rPr>
              <w:t>18</w:t>
            </w:r>
          </w:p>
        </w:tc>
        <w:tc>
          <w:tcPr>
            <w:tcW w:w="735" w:type="dxa"/>
            <w:tcBorders>
              <w:top w:val="single" w:sz="4" w:space="0" w:color="000000"/>
              <w:left w:val="single" w:sz="12" w:space="0" w:color="000000"/>
              <w:bottom w:val="single" w:sz="4" w:space="0" w:color="000000"/>
              <w:right w:val="single" w:sz="12" w:space="0" w:color="000000"/>
            </w:tcBorders>
          </w:tcPr>
          <w:p w14:paraId="05B4A317" w14:textId="6AE591FE" w:rsidR="00B45F04" w:rsidRDefault="00B45F04" w:rsidP="00B45F04">
            <w:pPr>
              <w:spacing w:after="0" w:line="259" w:lineRule="auto"/>
              <w:ind w:left="9" w:right="0" w:firstLine="0"/>
              <w:jc w:val="center"/>
            </w:pPr>
            <w:r>
              <w:rPr>
                <w:sz w:val="18"/>
              </w:rPr>
              <w:t>ug/L</w:t>
            </w:r>
          </w:p>
        </w:tc>
        <w:tc>
          <w:tcPr>
            <w:tcW w:w="887" w:type="dxa"/>
            <w:tcBorders>
              <w:top w:val="single" w:sz="4" w:space="0" w:color="000000"/>
              <w:left w:val="single" w:sz="12" w:space="0" w:color="000000"/>
              <w:bottom w:val="single" w:sz="4" w:space="0" w:color="000000"/>
              <w:right w:val="single" w:sz="12" w:space="0" w:color="000000"/>
            </w:tcBorders>
          </w:tcPr>
          <w:p w14:paraId="7DE15B41" w14:textId="5326D285" w:rsidR="00B45F04" w:rsidRDefault="00B45F04" w:rsidP="00B45F04">
            <w:pPr>
              <w:spacing w:after="0" w:line="259" w:lineRule="auto"/>
              <w:ind w:left="11" w:right="0" w:firstLine="0"/>
              <w:jc w:val="center"/>
            </w:pPr>
            <w:r>
              <w:rPr>
                <w:sz w:val="18"/>
              </w:rPr>
              <w:t>18000</w:t>
            </w:r>
          </w:p>
        </w:tc>
        <w:tc>
          <w:tcPr>
            <w:tcW w:w="851" w:type="dxa"/>
            <w:tcBorders>
              <w:top w:val="single" w:sz="4" w:space="0" w:color="000000"/>
              <w:left w:val="single" w:sz="12" w:space="0" w:color="000000"/>
              <w:bottom w:val="single" w:sz="4" w:space="0" w:color="000000"/>
              <w:right w:val="single" w:sz="12" w:space="0" w:color="000000"/>
            </w:tcBorders>
          </w:tcPr>
          <w:p w14:paraId="4976CBC4" w14:textId="041E9C23" w:rsidR="00B45F04" w:rsidRDefault="00B45F04" w:rsidP="00B45F04">
            <w:pPr>
              <w:spacing w:after="0" w:line="259" w:lineRule="auto"/>
              <w:ind w:left="11" w:right="0" w:firstLine="0"/>
              <w:jc w:val="center"/>
            </w:pPr>
            <w:r>
              <w:rPr>
                <w:rFonts w:eastAsia="Segoe UI Symbol"/>
                <w:sz w:val="18"/>
              </w:rPr>
              <w:t>u</w:t>
            </w:r>
            <w:r>
              <w:rPr>
                <w:sz w:val="18"/>
              </w:rPr>
              <w:t>g/kg</w:t>
            </w:r>
          </w:p>
        </w:tc>
        <w:tc>
          <w:tcPr>
            <w:tcW w:w="1473" w:type="dxa"/>
            <w:tcBorders>
              <w:top w:val="single" w:sz="4" w:space="0" w:color="000000"/>
              <w:left w:val="single" w:sz="12" w:space="0" w:color="000000"/>
              <w:bottom w:val="single" w:sz="4" w:space="0" w:color="000000"/>
              <w:right w:val="single" w:sz="12" w:space="0" w:color="000000"/>
            </w:tcBorders>
          </w:tcPr>
          <w:p w14:paraId="6D74017B" w14:textId="471FCF80" w:rsidR="00B45F04" w:rsidRDefault="00B45F04" w:rsidP="00B45F04">
            <w:pPr>
              <w:spacing w:after="0" w:line="259" w:lineRule="auto"/>
              <w:ind w:left="0" w:right="59" w:firstLine="0"/>
              <w:jc w:val="center"/>
            </w:pPr>
            <w:r w:rsidRPr="001160A8">
              <w:rPr>
                <w:sz w:val="18"/>
              </w:rPr>
              <w:t>8310, 8270 SIM</w:t>
            </w:r>
          </w:p>
        </w:tc>
        <w:tc>
          <w:tcPr>
            <w:tcW w:w="810" w:type="dxa"/>
            <w:tcBorders>
              <w:top w:val="single" w:sz="4" w:space="0" w:color="000000"/>
              <w:left w:val="single" w:sz="12" w:space="0" w:color="000000"/>
              <w:bottom w:val="single" w:sz="4" w:space="0" w:color="000000"/>
              <w:right w:val="single" w:sz="12" w:space="0" w:color="000000"/>
            </w:tcBorders>
          </w:tcPr>
          <w:p w14:paraId="1669BF60" w14:textId="7072DE73" w:rsidR="00B45F04" w:rsidRPr="009D49A8" w:rsidRDefault="00042FC1" w:rsidP="00B45F04">
            <w:pPr>
              <w:spacing w:after="0" w:line="259" w:lineRule="auto"/>
              <w:ind w:left="57" w:right="0" w:firstLine="0"/>
              <w:jc w:val="center"/>
              <w:rPr>
                <w:sz w:val="18"/>
                <w:szCs w:val="18"/>
              </w:rPr>
            </w:pPr>
            <w:r w:rsidRPr="009D49A8">
              <w:rPr>
                <w:sz w:val="18"/>
                <w:szCs w:val="18"/>
              </w:rPr>
              <w:t>8260</w:t>
            </w:r>
          </w:p>
        </w:tc>
      </w:tr>
      <w:tr w:rsidR="00B45F04" w14:paraId="62C53393" w14:textId="77777777" w:rsidTr="00687CAB">
        <w:trPr>
          <w:trHeight w:val="250"/>
        </w:trPr>
        <w:tc>
          <w:tcPr>
            <w:tcW w:w="3046" w:type="dxa"/>
            <w:tcBorders>
              <w:top w:val="single" w:sz="4" w:space="0" w:color="000000"/>
              <w:left w:val="single" w:sz="12" w:space="0" w:color="000000"/>
              <w:bottom w:val="single" w:sz="4" w:space="0" w:color="000000"/>
              <w:right w:val="single" w:sz="12" w:space="0" w:color="000000"/>
            </w:tcBorders>
          </w:tcPr>
          <w:p w14:paraId="27DA255E" w14:textId="77777777" w:rsidR="00B45F04" w:rsidRDefault="00B45F04" w:rsidP="00B45F04">
            <w:pPr>
              <w:spacing w:after="0" w:line="259" w:lineRule="auto"/>
              <w:ind w:left="74" w:right="0" w:firstLine="0"/>
            </w:pPr>
            <w:r>
              <w:rPr>
                <w:sz w:val="18"/>
              </w:rPr>
              <w:t xml:space="preserve">Phenanthrene </w:t>
            </w:r>
          </w:p>
        </w:tc>
        <w:tc>
          <w:tcPr>
            <w:tcW w:w="1182" w:type="dxa"/>
            <w:tcBorders>
              <w:top w:val="single" w:sz="4" w:space="0" w:color="000000"/>
              <w:left w:val="single" w:sz="12" w:space="0" w:color="000000"/>
              <w:bottom w:val="single" w:sz="4" w:space="0" w:color="000000"/>
              <w:right w:val="single" w:sz="12" w:space="0" w:color="000000"/>
            </w:tcBorders>
          </w:tcPr>
          <w:p w14:paraId="76D83D52" w14:textId="5380120F" w:rsidR="00B45F04" w:rsidRDefault="00B45F04" w:rsidP="00B45F04">
            <w:pPr>
              <w:spacing w:after="0" w:line="259" w:lineRule="auto"/>
              <w:ind w:left="0" w:right="59" w:firstLine="0"/>
              <w:jc w:val="center"/>
            </w:pPr>
            <w:r>
              <w:rPr>
                <w:sz w:val="18"/>
              </w:rPr>
              <w:t>85-01-8</w:t>
            </w:r>
          </w:p>
        </w:tc>
        <w:tc>
          <w:tcPr>
            <w:tcW w:w="1636" w:type="dxa"/>
            <w:tcBorders>
              <w:top w:val="single" w:sz="4" w:space="0" w:color="000000"/>
              <w:left w:val="single" w:sz="12" w:space="0" w:color="000000"/>
              <w:bottom w:val="single" w:sz="4" w:space="0" w:color="000000"/>
              <w:right w:val="single" w:sz="12" w:space="0" w:color="000000"/>
            </w:tcBorders>
          </w:tcPr>
          <w:p w14:paraId="60B55924" w14:textId="6F5CB94D" w:rsidR="00B45F04" w:rsidRDefault="00B45F04" w:rsidP="00B45F04">
            <w:pPr>
              <w:tabs>
                <w:tab w:val="center" w:pos="380"/>
              </w:tabs>
              <w:spacing w:after="0" w:line="259" w:lineRule="auto"/>
              <w:ind w:left="0" w:right="0" w:firstLine="0"/>
              <w:jc w:val="center"/>
            </w:pPr>
            <w:r>
              <w:rPr>
                <w:sz w:val="18"/>
              </w:rPr>
              <w:t>10</w:t>
            </w:r>
          </w:p>
        </w:tc>
        <w:tc>
          <w:tcPr>
            <w:tcW w:w="735" w:type="dxa"/>
            <w:tcBorders>
              <w:top w:val="single" w:sz="4" w:space="0" w:color="000000"/>
              <w:left w:val="single" w:sz="12" w:space="0" w:color="000000"/>
              <w:bottom w:val="single" w:sz="4" w:space="0" w:color="000000"/>
              <w:right w:val="single" w:sz="12" w:space="0" w:color="000000"/>
            </w:tcBorders>
          </w:tcPr>
          <w:p w14:paraId="282998B7" w14:textId="7341A888" w:rsidR="00B45F04" w:rsidRDefault="00B45F04" w:rsidP="00B45F04">
            <w:pPr>
              <w:spacing w:after="0" w:line="259" w:lineRule="auto"/>
              <w:ind w:left="9" w:right="0" w:firstLine="0"/>
              <w:jc w:val="center"/>
            </w:pPr>
            <w:r>
              <w:rPr>
                <w:sz w:val="18"/>
              </w:rPr>
              <w:t>ug/L</w:t>
            </w:r>
          </w:p>
        </w:tc>
        <w:tc>
          <w:tcPr>
            <w:tcW w:w="887" w:type="dxa"/>
            <w:tcBorders>
              <w:top w:val="single" w:sz="4" w:space="0" w:color="000000"/>
              <w:left w:val="single" w:sz="12" w:space="0" w:color="000000"/>
              <w:bottom w:val="single" w:sz="4" w:space="0" w:color="000000"/>
              <w:right w:val="single" w:sz="12" w:space="0" w:color="000000"/>
            </w:tcBorders>
          </w:tcPr>
          <w:p w14:paraId="5ED467C4" w14:textId="13671827" w:rsidR="00B45F04" w:rsidRDefault="00B45F04" w:rsidP="00B45F04">
            <w:pPr>
              <w:spacing w:after="0" w:line="259" w:lineRule="auto"/>
              <w:ind w:left="11" w:right="0" w:firstLine="0"/>
              <w:jc w:val="center"/>
            </w:pPr>
            <w:r>
              <w:rPr>
                <w:sz w:val="18"/>
              </w:rPr>
              <w:t>10000</w:t>
            </w:r>
          </w:p>
        </w:tc>
        <w:tc>
          <w:tcPr>
            <w:tcW w:w="851" w:type="dxa"/>
            <w:tcBorders>
              <w:top w:val="single" w:sz="4" w:space="0" w:color="000000"/>
              <w:left w:val="single" w:sz="12" w:space="0" w:color="000000"/>
              <w:bottom w:val="single" w:sz="4" w:space="0" w:color="000000"/>
              <w:right w:val="single" w:sz="12" w:space="0" w:color="000000"/>
            </w:tcBorders>
          </w:tcPr>
          <w:p w14:paraId="159DA864" w14:textId="38EB5681" w:rsidR="00B45F04" w:rsidRDefault="00B45F04" w:rsidP="00B45F04">
            <w:pPr>
              <w:spacing w:after="0" w:line="259" w:lineRule="auto"/>
              <w:ind w:left="11" w:right="0" w:firstLine="0"/>
              <w:jc w:val="center"/>
            </w:pPr>
            <w:r>
              <w:rPr>
                <w:rFonts w:eastAsia="Segoe UI Symbol"/>
                <w:sz w:val="18"/>
              </w:rPr>
              <w:t>u</w:t>
            </w:r>
            <w:r>
              <w:rPr>
                <w:sz w:val="18"/>
              </w:rPr>
              <w:t>g/kg</w:t>
            </w:r>
          </w:p>
        </w:tc>
        <w:tc>
          <w:tcPr>
            <w:tcW w:w="1473" w:type="dxa"/>
            <w:tcBorders>
              <w:top w:val="single" w:sz="4" w:space="0" w:color="000000"/>
              <w:left w:val="single" w:sz="12" w:space="0" w:color="000000"/>
              <w:bottom w:val="single" w:sz="4" w:space="0" w:color="000000"/>
              <w:right w:val="single" w:sz="12" w:space="0" w:color="000000"/>
            </w:tcBorders>
          </w:tcPr>
          <w:p w14:paraId="5C51C42A" w14:textId="20A0F17E" w:rsidR="00B45F04" w:rsidRDefault="00B45F04" w:rsidP="00B45F04">
            <w:pPr>
              <w:spacing w:after="0" w:line="259" w:lineRule="auto"/>
              <w:ind w:left="0" w:right="59" w:firstLine="0"/>
              <w:jc w:val="center"/>
            </w:pPr>
            <w:r w:rsidRPr="001160A8">
              <w:rPr>
                <w:sz w:val="18"/>
              </w:rPr>
              <w:t>8310, 8270 SIM</w:t>
            </w:r>
          </w:p>
        </w:tc>
        <w:tc>
          <w:tcPr>
            <w:tcW w:w="810" w:type="dxa"/>
            <w:tcBorders>
              <w:top w:val="single" w:sz="4" w:space="0" w:color="000000"/>
              <w:left w:val="single" w:sz="12" w:space="0" w:color="000000"/>
              <w:bottom w:val="single" w:sz="4" w:space="0" w:color="000000"/>
              <w:right w:val="single" w:sz="12" w:space="0" w:color="000000"/>
            </w:tcBorders>
          </w:tcPr>
          <w:p w14:paraId="47DF762B" w14:textId="37625853" w:rsidR="00B45F04" w:rsidRDefault="00B45F04" w:rsidP="00B45F04">
            <w:pPr>
              <w:spacing w:after="0" w:line="259" w:lineRule="auto"/>
              <w:ind w:left="57" w:right="0" w:firstLine="0"/>
              <w:jc w:val="center"/>
            </w:pPr>
          </w:p>
        </w:tc>
      </w:tr>
      <w:tr w:rsidR="00B45F04" w14:paraId="087F575A" w14:textId="77777777" w:rsidTr="00687CAB">
        <w:trPr>
          <w:trHeight w:val="259"/>
        </w:trPr>
        <w:tc>
          <w:tcPr>
            <w:tcW w:w="3046" w:type="dxa"/>
            <w:tcBorders>
              <w:top w:val="single" w:sz="4" w:space="0" w:color="000000"/>
              <w:left w:val="single" w:sz="12" w:space="0" w:color="000000"/>
              <w:bottom w:val="single" w:sz="12" w:space="0" w:color="000000"/>
              <w:right w:val="single" w:sz="12" w:space="0" w:color="000000"/>
            </w:tcBorders>
          </w:tcPr>
          <w:p w14:paraId="42587415" w14:textId="77777777" w:rsidR="00B45F04" w:rsidRDefault="00B45F04" w:rsidP="00B45F04">
            <w:pPr>
              <w:spacing w:after="0" w:line="259" w:lineRule="auto"/>
              <w:ind w:left="74" w:right="0" w:firstLine="0"/>
            </w:pPr>
            <w:r>
              <w:rPr>
                <w:sz w:val="18"/>
              </w:rPr>
              <w:t xml:space="preserve">Pyrene </w:t>
            </w:r>
          </w:p>
        </w:tc>
        <w:tc>
          <w:tcPr>
            <w:tcW w:w="1182" w:type="dxa"/>
            <w:tcBorders>
              <w:top w:val="single" w:sz="4" w:space="0" w:color="000000"/>
              <w:left w:val="single" w:sz="12" w:space="0" w:color="000000"/>
              <w:bottom w:val="single" w:sz="12" w:space="0" w:color="000000"/>
              <w:right w:val="single" w:sz="12" w:space="0" w:color="000000"/>
            </w:tcBorders>
          </w:tcPr>
          <w:p w14:paraId="566A0FC3" w14:textId="52E32A3D" w:rsidR="00B45F04" w:rsidRDefault="00B45F04" w:rsidP="00B45F04">
            <w:pPr>
              <w:spacing w:after="0" w:line="259" w:lineRule="auto"/>
              <w:ind w:left="0" w:right="59" w:firstLine="0"/>
              <w:jc w:val="center"/>
            </w:pPr>
            <w:r>
              <w:rPr>
                <w:sz w:val="18"/>
              </w:rPr>
              <w:t>129-00-0</w:t>
            </w:r>
          </w:p>
        </w:tc>
        <w:tc>
          <w:tcPr>
            <w:tcW w:w="1636" w:type="dxa"/>
            <w:tcBorders>
              <w:top w:val="single" w:sz="4" w:space="0" w:color="000000"/>
              <w:left w:val="single" w:sz="12" w:space="0" w:color="000000"/>
              <w:bottom w:val="single" w:sz="12" w:space="0" w:color="000000"/>
              <w:right w:val="single" w:sz="12" w:space="0" w:color="000000"/>
            </w:tcBorders>
          </w:tcPr>
          <w:p w14:paraId="3DEB8647" w14:textId="3683A83A" w:rsidR="00B45F04" w:rsidRDefault="00B45F04" w:rsidP="00B45F04">
            <w:pPr>
              <w:tabs>
                <w:tab w:val="center" w:pos="471"/>
              </w:tabs>
              <w:spacing w:after="0" w:line="259" w:lineRule="auto"/>
              <w:ind w:left="0" w:right="0" w:firstLine="0"/>
              <w:jc w:val="center"/>
            </w:pPr>
            <w:r>
              <w:rPr>
                <w:sz w:val="18"/>
              </w:rPr>
              <w:t>2.7</w:t>
            </w:r>
          </w:p>
        </w:tc>
        <w:tc>
          <w:tcPr>
            <w:tcW w:w="735" w:type="dxa"/>
            <w:tcBorders>
              <w:top w:val="single" w:sz="4" w:space="0" w:color="000000"/>
              <w:left w:val="single" w:sz="12" w:space="0" w:color="000000"/>
              <w:bottom w:val="single" w:sz="12" w:space="0" w:color="000000"/>
              <w:right w:val="single" w:sz="12" w:space="0" w:color="000000"/>
            </w:tcBorders>
          </w:tcPr>
          <w:p w14:paraId="0F8B34DA" w14:textId="6FD847F0" w:rsidR="00B45F04" w:rsidRDefault="00B45F04" w:rsidP="00B45F04">
            <w:pPr>
              <w:spacing w:after="0" w:line="259" w:lineRule="auto"/>
              <w:ind w:left="9" w:right="0" w:firstLine="0"/>
              <w:jc w:val="center"/>
            </w:pPr>
            <w:r>
              <w:rPr>
                <w:sz w:val="18"/>
              </w:rPr>
              <w:t>ug/L</w:t>
            </w:r>
          </w:p>
        </w:tc>
        <w:tc>
          <w:tcPr>
            <w:tcW w:w="887" w:type="dxa"/>
            <w:tcBorders>
              <w:top w:val="single" w:sz="4" w:space="0" w:color="000000"/>
              <w:left w:val="single" w:sz="12" w:space="0" w:color="000000"/>
              <w:bottom w:val="single" w:sz="12" w:space="0" w:color="000000"/>
              <w:right w:val="single" w:sz="12" w:space="0" w:color="000000"/>
            </w:tcBorders>
          </w:tcPr>
          <w:p w14:paraId="6A77479D" w14:textId="574CC3F6" w:rsidR="00B45F04" w:rsidRDefault="00B45F04" w:rsidP="00B45F04">
            <w:pPr>
              <w:spacing w:after="0" w:line="259" w:lineRule="auto"/>
              <w:ind w:left="11" w:right="0" w:firstLine="0"/>
              <w:jc w:val="center"/>
            </w:pPr>
            <w:r>
              <w:rPr>
                <w:sz w:val="18"/>
              </w:rPr>
              <w:t>2700</w:t>
            </w:r>
          </w:p>
        </w:tc>
        <w:tc>
          <w:tcPr>
            <w:tcW w:w="851" w:type="dxa"/>
            <w:tcBorders>
              <w:top w:val="single" w:sz="4" w:space="0" w:color="000000"/>
              <w:left w:val="single" w:sz="12" w:space="0" w:color="000000"/>
              <w:bottom w:val="single" w:sz="12" w:space="0" w:color="000000"/>
              <w:right w:val="single" w:sz="12" w:space="0" w:color="000000"/>
            </w:tcBorders>
          </w:tcPr>
          <w:p w14:paraId="7D03499E" w14:textId="3706A549" w:rsidR="00B45F04" w:rsidRDefault="00B45F04" w:rsidP="00B45F04">
            <w:pPr>
              <w:spacing w:after="0" w:line="259" w:lineRule="auto"/>
              <w:ind w:left="11" w:right="0" w:firstLine="0"/>
              <w:jc w:val="center"/>
            </w:pPr>
            <w:r>
              <w:rPr>
                <w:rFonts w:eastAsia="Segoe UI Symbol"/>
                <w:sz w:val="18"/>
              </w:rPr>
              <w:t>u</w:t>
            </w:r>
            <w:r>
              <w:rPr>
                <w:sz w:val="18"/>
              </w:rPr>
              <w:t>g/kg</w:t>
            </w:r>
          </w:p>
        </w:tc>
        <w:tc>
          <w:tcPr>
            <w:tcW w:w="1473" w:type="dxa"/>
            <w:tcBorders>
              <w:top w:val="single" w:sz="4" w:space="0" w:color="000000"/>
              <w:left w:val="single" w:sz="12" w:space="0" w:color="000000"/>
              <w:bottom w:val="single" w:sz="12" w:space="0" w:color="000000"/>
              <w:right w:val="single" w:sz="12" w:space="0" w:color="000000"/>
            </w:tcBorders>
          </w:tcPr>
          <w:p w14:paraId="022C2EB5" w14:textId="0EAB57C4" w:rsidR="00B45F04" w:rsidRDefault="00B45F04" w:rsidP="00B45F04">
            <w:pPr>
              <w:spacing w:after="0" w:line="259" w:lineRule="auto"/>
              <w:ind w:left="0" w:right="59" w:firstLine="0"/>
              <w:jc w:val="center"/>
            </w:pPr>
            <w:r w:rsidRPr="001160A8">
              <w:rPr>
                <w:sz w:val="18"/>
              </w:rPr>
              <w:t>8310, 8270 SIM</w:t>
            </w:r>
          </w:p>
        </w:tc>
        <w:tc>
          <w:tcPr>
            <w:tcW w:w="810" w:type="dxa"/>
            <w:tcBorders>
              <w:top w:val="single" w:sz="4" w:space="0" w:color="000000"/>
              <w:left w:val="single" w:sz="12" w:space="0" w:color="000000"/>
              <w:bottom w:val="single" w:sz="12" w:space="0" w:color="000000"/>
              <w:right w:val="single" w:sz="12" w:space="0" w:color="000000"/>
            </w:tcBorders>
          </w:tcPr>
          <w:p w14:paraId="7408966A" w14:textId="14FFB119" w:rsidR="00B45F04" w:rsidRDefault="00B45F04" w:rsidP="00B45F04">
            <w:pPr>
              <w:spacing w:after="0" w:line="259" w:lineRule="auto"/>
              <w:ind w:left="57" w:right="0" w:firstLine="0"/>
              <w:jc w:val="center"/>
            </w:pPr>
          </w:p>
        </w:tc>
      </w:tr>
    </w:tbl>
    <w:p w14:paraId="638BDEDE" w14:textId="7AB375CD" w:rsidR="00603AD9" w:rsidRDefault="00603AD9" w:rsidP="00856889">
      <w:pPr>
        <w:spacing w:after="0" w:line="259" w:lineRule="auto"/>
        <w:ind w:left="0" w:right="0" w:firstLine="0"/>
      </w:pPr>
    </w:p>
    <w:tbl>
      <w:tblPr>
        <w:tblStyle w:val="TableGrid1"/>
        <w:tblW w:w="10620" w:type="dxa"/>
        <w:tblInd w:w="-375" w:type="dxa"/>
        <w:tblCellMar>
          <w:top w:w="24" w:type="dxa"/>
          <w:left w:w="72" w:type="dxa"/>
          <w:right w:w="27" w:type="dxa"/>
        </w:tblCellMar>
        <w:tblLook w:val="04A0" w:firstRow="1" w:lastRow="0" w:firstColumn="1" w:lastColumn="0" w:noHBand="0" w:noVBand="1"/>
      </w:tblPr>
      <w:tblGrid>
        <w:gridCol w:w="3629"/>
        <w:gridCol w:w="1242"/>
        <w:gridCol w:w="721"/>
        <w:gridCol w:w="811"/>
        <w:gridCol w:w="902"/>
        <w:gridCol w:w="933"/>
        <w:gridCol w:w="796"/>
        <w:gridCol w:w="1586"/>
      </w:tblGrid>
      <w:tr w:rsidR="00E9414B" w14:paraId="41130834" w14:textId="77777777" w:rsidTr="00E04EFA">
        <w:trPr>
          <w:trHeight w:val="315"/>
        </w:trPr>
        <w:tc>
          <w:tcPr>
            <w:tcW w:w="10620" w:type="dxa"/>
            <w:gridSpan w:val="8"/>
            <w:tcBorders>
              <w:top w:val="single" w:sz="12" w:space="0" w:color="000000"/>
              <w:left w:val="single" w:sz="12" w:space="0" w:color="000000"/>
              <w:bottom w:val="single" w:sz="12" w:space="0" w:color="000000"/>
              <w:right w:val="single" w:sz="12" w:space="0" w:color="000000"/>
            </w:tcBorders>
            <w:vAlign w:val="center"/>
          </w:tcPr>
          <w:p w14:paraId="53355BE3" w14:textId="5E440B3F" w:rsidR="00E9414B" w:rsidRPr="00D61F4E" w:rsidRDefault="00E9414B" w:rsidP="00B40818">
            <w:pPr>
              <w:spacing w:after="0" w:line="259" w:lineRule="auto"/>
              <w:ind w:left="0" w:right="0" w:firstLine="0"/>
            </w:pPr>
            <w:r>
              <w:rPr>
                <w:b/>
                <w:sz w:val="18"/>
              </w:rPr>
              <w:t>SVOA – Group D:</w:t>
            </w:r>
            <w:r>
              <w:rPr>
                <w:sz w:val="18"/>
              </w:rPr>
              <w:t xml:space="preserve">  </w:t>
            </w:r>
            <w:r>
              <w:rPr>
                <w:b/>
                <w:sz w:val="18"/>
              </w:rPr>
              <w:t>Organochlorine Pesticides by GC/ECD (Meets RISC/RCG Levels)</w:t>
            </w:r>
          </w:p>
        </w:tc>
      </w:tr>
      <w:tr w:rsidR="00B56D50" w14:paraId="731B0C4F" w14:textId="77777777" w:rsidTr="00E04EFA">
        <w:trPr>
          <w:trHeight w:val="271"/>
        </w:trPr>
        <w:tc>
          <w:tcPr>
            <w:tcW w:w="3629" w:type="dxa"/>
            <w:vMerge w:val="restart"/>
            <w:tcBorders>
              <w:top w:val="single" w:sz="12" w:space="0" w:color="000000"/>
              <w:left w:val="single" w:sz="12" w:space="0" w:color="000000"/>
              <w:bottom w:val="single" w:sz="12" w:space="0" w:color="000000"/>
              <w:right w:val="single" w:sz="12" w:space="0" w:color="000000"/>
            </w:tcBorders>
          </w:tcPr>
          <w:p w14:paraId="122E8C95" w14:textId="10224FD1" w:rsidR="00B56D50" w:rsidRDefault="001C3C42" w:rsidP="00247BB6">
            <w:pPr>
              <w:spacing w:after="0" w:line="259" w:lineRule="auto"/>
              <w:ind w:left="0" w:right="52" w:firstLine="0"/>
              <w:jc w:val="center"/>
            </w:pPr>
            <w:r>
              <w:rPr>
                <w:b/>
                <w:sz w:val="18"/>
              </w:rPr>
              <w:t>Analyte</w:t>
            </w:r>
          </w:p>
        </w:tc>
        <w:tc>
          <w:tcPr>
            <w:tcW w:w="1242" w:type="dxa"/>
            <w:vMerge w:val="restart"/>
            <w:tcBorders>
              <w:top w:val="single" w:sz="12" w:space="0" w:color="000000"/>
              <w:left w:val="single" w:sz="12" w:space="0" w:color="000000"/>
              <w:bottom w:val="single" w:sz="12" w:space="0" w:color="000000"/>
              <w:right w:val="single" w:sz="12" w:space="0" w:color="000000"/>
            </w:tcBorders>
          </w:tcPr>
          <w:p w14:paraId="1ED3F3DE" w14:textId="48F6FD10" w:rsidR="00B56D50" w:rsidRDefault="001C3C42" w:rsidP="00247BB6">
            <w:pPr>
              <w:spacing w:after="0" w:line="259" w:lineRule="auto"/>
              <w:ind w:left="48" w:right="48" w:firstLine="0"/>
              <w:jc w:val="center"/>
            </w:pPr>
            <w:r>
              <w:rPr>
                <w:b/>
                <w:sz w:val="18"/>
              </w:rPr>
              <w:t>CAS Number</w:t>
            </w:r>
          </w:p>
        </w:tc>
        <w:tc>
          <w:tcPr>
            <w:tcW w:w="1532" w:type="dxa"/>
            <w:gridSpan w:val="2"/>
            <w:tcBorders>
              <w:top w:val="single" w:sz="12" w:space="0" w:color="000000"/>
              <w:left w:val="single" w:sz="12" w:space="0" w:color="000000"/>
              <w:bottom w:val="single" w:sz="12" w:space="0" w:color="000000"/>
              <w:right w:val="single" w:sz="12" w:space="0" w:color="000000"/>
            </w:tcBorders>
          </w:tcPr>
          <w:p w14:paraId="443F46EB" w14:textId="465738E9" w:rsidR="00B56D50" w:rsidRDefault="001C3C42" w:rsidP="00247BB6">
            <w:pPr>
              <w:spacing w:after="0" w:line="259" w:lineRule="auto"/>
              <w:ind w:left="0" w:right="52" w:firstLine="0"/>
              <w:jc w:val="center"/>
            </w:pPr>
            <w:r>
              <w:rPr>
                <w:b/>
                <w:sz w:val="18"/>
              </w:rPr>
              <w:t>Aqueous</w:t>
            </w:r>
          </w:p>
        </w:tc>
        <w:tc>
          <w:tcPr>
            <w:tcW w:w="1835" w:type="dxa"/>
            <w:gridSpan w:val="2"/>
            <w:tcBorders>
              <w:top w:val="single" w:sz="12" w:space="0" w:color="000000"/>
              <w:left w:val="single" w:sz="12" w:space="0" w:color="000000"/>
              <w:bottom w:val="single" w:sz="12" w:space="0" w:color="000000"/>
              <w:right w:val="single" w:sz="12" w:space="0" w:color="000000"/>
            </w:tcBorders>
          </w:tcPr>
          <w:p w14:paraId="4A9072D9" w14:textId="1B2F2447" w:rsidR="00B56D50" w:rsidRDefault="001C3C42" w:rsidP="00247BB6">
            <w:pPr>
              <w:spacing w:after="0" w:line="259" w:lineRule="auto"/>
              <w:ind w:left="0" w:right="49" w:firstLine="0"/>
              <w:jc w:val="center"/>
            </w:pPr>
            <w:r>
              <w:rPr>
                <w:b/>
                <w:sz w:val="18"/>
              </w:rPr>
              <w:t>Soil/Sediment</w:t>
            </w:r>
          </w:p>
        </w:tc>
        <w:tc>
          <w:tcPr>
            <w:tcW w:w="2382" w:type="dxa"/>
            <w:gridSpan w:val="2"/>
            <w:vMerge w:val="restart"/>
            <w:tcBorders>
              <w:top w:val="single" w:sz="12" w:space="0" w:color="000000"/>
              <w:left w:val="single" w:sz="12" w:space="0" w:color="000000"/>
              <w:bottom w:val="single" w:sz="12" w:space="0" w:color="000000"/>
              <w:right w:val="single" w:sz="12" w:space="0" w:color="000000"/>
            </w:tcBorders>
          </w:tcPr>
          <w:p w14:paraId="2292C1A1" w14:textId="3A6FE713" w:rsidR="00B56D50" w:rsidRDefault="001C3C42" w:rsidP="00247BB6">
            <w:pPr>
              <w:spacing w:after="0" w:line="259" w:lineRule="auto"/>
              <w:ind w:left="0" w:right="49" w:firstLine="0"/>
              <w:jc w:val="center"/>
            </w:pPr>
            <w:r>
              <w:rPr>
                <w:b/>
                <w:sz w:val="18"/>
              </w:rPr>
              <w:t>Required Method</w:t>
            </w:r>
          </w:p>
        </w:tc>
      </w:tr>
      <w:tr w:rsidR="00C84A5D" w14:paraId="42BB3667" w14:textId="77777777" w:rsidTr="00E04EFA">
        <w:trPr>
          <w:trHeight w:val="269"/>
        </w:trPr>
        <w:tc>
          <w:tcPr>
            <w:tcW w:w="3629" w:type="dxa"/>
            <w:vMerge/>
            <w:tcBorders>
              <w:top w:val="nil"/>
              <w:left w:val="single" w:sz="12" w:space="0" w:color="000000"/>
              <w:bottom w:val="single" w:sz="12" w:space="0" w:color="000000"/>
              <w:right w:val="single" w:sz="12" w:space="0" w:color="000000"/>
            </w:tcBorders>
          </w:tcPr>
          <w:p w14:paraId="6FB43632" w14:textId="77777777" w:rsidR="00B56D50" w:rsidRDefault="00B56D50">
            <w:pPr>
              <w:spacing w:after="160" w:line="259" w:lineRule="auto"/>
              <w:ind w:left="0" w:right="0" w:firstLine="0"/>
            </w:pPr>
          </w:p>
        </w:tc>
        <w:tc>
          <w:tcPr>
            <w:tcW w:w="0" w:type="auto"/>
            <w:vMerge/>
            <w:tcBorders>
              <w:top w:val="nil"/>
              <w:left w:val="single" w:sz="12" w:space="0" w:color="000000"/>
              <w:bottom w:val="single" w:sz="12" w:space="0" w:color="000000"/>
              <w:right w:val="single" w:sz="12" w:space="0" w:color="000000"/>
            </w:tcBorders>
          </w:tcPr>
          <w:p w14:paraId="6F9013F9" w14:textId="77777777" w:rsidR="00B56D50" w:rsidRDefault="00B56D50" w:rsidP="00017AB4">
            <w:pPr>
              <w:spacing w:after="160" w:line="259" w:lineRule="auto"/>
              <w:ind w:left="0" w:right="0" w:firstLine="0"/>
              <w:jc w:val="center"/>
            </w:pPr>
          </w:p>
        </w:tc>
        <w:tc>
          <w:tcPr>
            <w:tcW w:w="721" w:type="dxa"/>
            <w:tcBorders>
              <w:top w:val="single" w:sz="12" w:space="0" w:color="000000"/>
              <w:left w:val="single" w:sz="12" w:space="0" w:color="000000"/>
              <w:bottom w:val="single" w:sz="12" w:space="0" w:color="000000"/>
              <w:right w:val="single" w:sz="12" w:space="0" w:color="000000"/>
            </w:tcBorders>
          </w:tcPr>
          <w:p w14:paraId="055B2262" w14:textId="0FDE43A3" w:rsidR="00B56D50" w:rsidRPr="00D43156" w:rsidRDefault="001C3C42" w:rsidP="00247BB6">
            <w:pPr>
              <w:spacing w:after="0" w:line="259" w:lineRule="auto"/>
              <w:ind w:left="0" w:right="50" w:firstLine="0"/>
              <w:jc w:val="center"/>
              <w:rPr>
                <w:vertAlign w:val="superscript"/>
              </w:rPr>
            </w:pPr>
            <w:r>
              <w:rPr>
                <w:b/>
                <w:sz w:val="18"/>
              </w:rPr>
              <w:t>RL</w:t>
            </w:r>
            <w:r w:rsidR="00D61F4E">
              <w:rPr>
                <w:b/>
                <w:sz w:val="18"/>
              </w:rPr>
              <w:t xml:space="preserve"> </w:t>
            </w:r>
            <w:r w:rsidR="00D61F4E" w:rsidRPr="00D61F4E">
              <w:rPr>
                <w:b/>
                <w:sz w:val="18"/>
                <w:vertAlign w:val="superscript"/>
              </w:rPr>
              <w:t>26</w:t>
            </w:r>
          </w:p>
        </w:tc>
        <w:tc>
          <w:tcPr>
            <w:tcW w:w="811" w:type="dxa"/>
            <w:tcBorders>
              <w:top w:val="single" w:sz="12" w:space="0" w:color="000000"/>
              <w:left w:val="single" w:sz="12" w:space="0" w:color="000000"/>
              <w:bottom w:val="single" w:sz="12" w:space="0" w:color="000000"/>
              <w:right w:val="single" w:sz="12" w:space="0" w:color="000000"/>
            </w:tcBorders>
          </w:tcPr>
          <w:p w14:paraId="1442C4DF" w14:textId="7A8F8544" w:rsidR="00B56D50" w:rsidRDefault="001C3C42" w:rsidP="00247BB6">
            <w:pPr>
              <w:spacing w:after="0" w:line="259" w:lineRule="auto"/>
              <w:ind w:left="0" w:right="54" w:firstLine="0"/>
              <w:jc w:val="center"/>
            </w:pPr>
            <w:r>
              <w:rPr>
                <w:b/>
                <w:sz w:val="18"/>
              </w:rPr>
              <w:t>units</w:t>
            </w:r>
          </w:p>
        </w:tc>
        <w:tc>
          <w:tcPr>
            <w:tcW w:w="902" w:type="dxa"/>
            <w:tcBorders>
              <w:top w:val="single" w:sz="12" w:space="0" w:color="000000"/>
              <w:left w:val="single" w:sz="12" w:space="0" w:color="000000"/>
              <w:bottom w:val="single" w:sz="12" w:space="0" w:color="000000"/>
              <w:right w:val="single" w:sz="12" w:space="0" w:color="000000"/>
            </w:tcBorders>
          </w:tcPr>
          <w:p w14:paraId="60876C7C" w14:textId="1FB676E5" w:rsidR="00B56D50" w:rsidRDefault="001C3C42" w:rsidP="00247BB6">
            <w:pPr>
              <w:spacing w:after="0" w:line="259" w:lineRule="auto"/>
              <w:ind w:left="0" w:right="47" w:firstLine="0"/>
              <w:jc w:val="center"/>
            </w:pPr>
            <w:r>
              <w:rPr>
                <w:b/>
                <w:sz w:val="18"/>
              </w:rPr>
              <w:t>RL</w:t>
            </w:r>
            <w:r w:rsidR="00D61F4E">
              <w:rPr>
                <w:b/>
                <w:sz w:val="18"/>
              </w:rPr>
              <w:t xml:space="preserve"> </w:t>
            </w:r>
            <w:r w:rsidR="00D61F4E" w:rsidRPr="00D61F4E">
              <w:rPr>
                <w:b/>
                <w:sz w:val="18"/>
                <w:vertAlign w:val="superscript"/>
              </w:rPr>
              <w:t>26</w:t>
            </w:r>
          </w:p>
        </w:tc>
        <w:tc>
          <w:tcPr>
            <w:tcW w:w="933" w:type="dxa"/>
            <w:tcBorders>
              <w:top w:val="single" w:sz="12" w:space="0" w:color="000000"/>
              <w:left w:val="single" w:sz="12" w:space="0" w:color="000000"/>
              <w:bottom w:val="single" w:sz="12" w:space="0" w:color="000000"/>
              <w:right w:val="single" w:sz="12" w:space="0" w:color="000000"/>
            </w:tcBorders>
          </w:tcPr>
          <w:p w14:paraId="4659CA35" w14:textId="6EF87ADC" w:rsidR="00B56D50" w:rsidRDefault="001C3C42" w:rsidP="00247BB6">
            <w:pPr>
              <w:spacing w:after="0" w:line="259" w:lineRule="auto"/>
              <w:ind w:left="0" w:right="50" w:firstLine="0"/>
              <w:jc w:val="center"/>
            </w:pPr>
            <w:r>
              <w:rPr>
                <w:b/>
                <w:sz w:val="18"/>
              </w:rPr>
              <w:t>units</w:t>
            </w:r>
          </w:p>
        </w:tc>
        <w:tc>
          <w:tcPr>
            <w:tcW w:w="2382" w:type="dxa"/>
            <w:gridSpan w:val="2"/>
            <w:vMerge/>
            <w:tcBorders>
              <w:top w:val="nil"/>
              <w:left w:val="single" w:sz="12" w:space="0" w:color="000000"/>
              <w:bottom w:val="single" w:sz="12" w:space="0" w:color="000000"/>
              <w:right w:val="single" w:sz="12" w:space="0" w:color="000000"/>
            </w:tcBorders>
          </w:tcPr>
          <w:p w14:paraId="7DAF2213" w14:textId="77777777" w:rsidR="00B56D50" w:rsidRDefault="00B56D50">
            <w:pPr>
              <w:spacing w:after="160" w:line="259" w:lineRule="auto"/>
              <w:ind w:left="0" w:right="0" w:firstLine="0"/>
            </w:pPr>
          </w:p>
        </w:tc>
      </w:tr>
      <w:tr w:rsidR="00300DB4" w14:paraId="356B5B94" w14:textId="77777777" w:rsidTr="00E04EFA">
        <w:trPr>
          <w:trHeight w:val="262"/>
        </w:trPr>
        <w:tc>
          <w:tcPr>
            <w:tcW w:w="3629" w:type="dxa"/>
            <w:tcBorders>
              <w:top w:val="single" w:sz="12" w:space="0" w:color="000000"/>
              <w:left w:val="single" w:sz="12" w:space="0" w:color="000000"/>
              <w:bottom w:val="single" w:sz="4" w:space="0" w:color="000000"/>
              <w:right w:val="single" w:sz="12" w:space="0" w:color="000000"/>
            </w:tcBorders>
          </w:tcPr>
          <w:p w14:paraId="2322DEDE" w14:textId="77777777" w:rsidR="00300DB4" w:rsidRDefault="00300DB4" w:rsidP="00300DB4">
            <w:pPr>
              <w:spacing w:after="0" w:line="259" w:lineRule="auto"/>
              <w:ind w:left="2" w:right="0" w:firstLine="0"/>
            </w:pPr>
            <w:r>
              <w:rPr>
                <w:sz w:val="18"/>
              </w:rPr>
              <w:t xml:space="preserve">Aldrin </w:t>
            </w:r>
          </w:p>
        </w:tc>
        <w:tc>
          <w:tcPr>
            <w:tcW w:w="1242" w:type="dxa"/>
            <w:tcBorders>
              <w:top w:val="single" w:sz="12" w:space="0" w:color="000000"/>
              <w:left w:val="single" w:sz="12" w:space="0" w:color="000000"/>
              <w:bottom w:val="single" w:sz="4" w:space="0" w:color="000000"/>
              <w:right w:val="single" w:sz="12" w:space="0" w:color="000000"/>
            </w:tcBorders>
          </w:tcPr>
          <w:p w14:paraId="0BCCAF23" w14:textId="77777777" w:rsidR="00300DB4" w:rsidRDefault="00300DB4" w:rsidP="00300DB4">
            <w:pPr>
              <w:spacing w:after="0" w:line="259" w:lineRule="auto"/>
              <w:ind w:left="0" w:right="44" w:firstLine="0"/>
              <w:jc w:val="right"/>
            </w:pPr>
            <w:r>
              <w:rPr>
                <w:sz w:val="18"/>
              </w:rPr>
              <w:t xml:space="preserve">309-00-2 </w:t>
            </w:r>
          </w:p>
        </w:tc>
        <w:tc>
          <w:tcPr>
            <w:tcW w:w="721" w:type="dxa"/>
            <w:tcBorders>
              <w:top w:val="single" w:sz="12" w:space="0" w:color="000000"/>
              <w:left w:val="single" w:sz="12" w:space="0" w:color="000000"/>
              <w:bottom w:val="single" w:sz="4" w:space="0" w:color="000000"/>
              <w:right w:val="single" w:sz="12" w:space="0" w:color="000000"/>
            </w:tcBorders>
          </w:tcPr>
          <w:p w14:paraId="466785F1" w14:textId="715DFA40" w:rsidR="00300DB4" w:rsidRDefault="00300DB4" w:rsidP="005F34FE">
            <w:pPr>
              <w:spacing w:after="0" w:line="259" w:lineRule="auto"/>
              <w:ind w:left="0" w:right="0" w:firstLine="0"/>
              <w:jc w:val="center"/>
            </w:pPr>
            <w:r>
              <w:rPr>
                <w:b/>
                <w:sz w:val="18"/>
              </w:rPr>
              <w:t>0.04</w:t>
            </w:r>
          </w:p>
        </w:tc>
        <w:tc>
          <w:tcPr>
            <w:tcW w:w="811" w:type="dxa"/>
            <w:tcBorders>
              <w:top w:val="single" w:sz="12" w:space="0" w:color="000000"/>
              <w:left w:val="single" w:sz="12" w:space="0" w:color="000000"/>
              <w:bottom w:val="single" w:sz="4" w:space="0" w:color="000000"/>
              <w:right w:val="single" w:sz="12" w:space="0" w:color="000000"/>
            </w:tcBorders>
          </w:tcPr>
          <w:p w14:paraId="0C8A392F" w14:textId="69BEBEE7" w:rsidR="00300DB4" w:rsidRDefault="00300DB4" w:rsidP="00300DB4">
            <w:pPr>
              <w:spacing w:after="0" w:line="259" w:lineRule="auto"/>
              <w:ind w:left="0" w:right="46" w:firstLine="0"/>
              <w:jc w:val="center"/>
            </w:pPr>
            <w:r>
              <w:rPr>
                <w:sz w:val="18"/>
              </w:rPr>
              <w:t xml:space="preserve">ug/L </w:t>
            </w:r>
          </w:p>
        </w:tc>
        <w:tc>
          <w:tcPr>
            <w:tcW w:w="902" w:type="dxa"/>
            <w:tcBorders>
              <w:top w:val="single" w:sz="12" w:space="0" w:color="000000"/>
              <w:left w:val="single" w:sz="12" w:space="0" w:color="000000"/>
              <w:bottom w:val="single" w:sz="4" w:space="0" w:color="000000"/>
              <w:right w:val="single" w:sz="12" w:space="0" w:color="000000"/>
            </w:tcBorders>
          </w:tcPr>
          <w:p w14:paraId="2DC07041" w14:textId="239A84B4" w:rsidR="00300DB4" w:rsidRDefault="00300DB4" w:rsidP="00DA485B">
            <w:pPr>
              <w:tabs>
                <w:tab w:val="center" w:pos="379"/>
              </w:tabs>
              <w:spacing w:after="0" w:line="259" w:lineRule="auto"/>
              <w:ind w:left="0" w:right="0" w:firstLine="0"/>
              <w:jc w:val="center"/>
            </w:pPr>
            <w:r>
              <w:rPr>
                <w:b/>
                <w:sz w:val="18"/>
              </w:rPr>
              <w:t>50</w:t>
            </w:r>
          </w:p>
        </w:tc>
        <w:tc>
          <w:tcPr>
            <w:tcW w:w="933" w:type="dxa"/>
            <w:tcBorders>
              <w:top w:val="single" w:sz="12" w:space="0" w:color="000000"/>
              <w:left w:val="single" w:sz="12" w:space="0" w:color="000000"/>
              <w:bottom w:val="single" w:sz="4" w:space="0" w:color="000000"/>
              <w:right w:val="single" w:sz="12" w:space="0" w:color="000000"/>
            </w:tcBorders>
          </w:tcPr>
          <w:p w14:paraId="4A9F3F96" w14:textId="55AE9BE1" w:rsidR="00300DB4" w:rsidRDefault="00300DB4" w:rsidP="00300DB4">
            <w:pPr>
              <w:spacing w:after="0" w:line="259" w:lineRule="auto"/>
              <w:ind w:left="0" w:right="47" w:firstLine="0"/>
              <w:jc w:val="center"/>
            </w:pPr>
            <w:r>
              <w:rPr>
                <w:rFonts w:eastAsia="Segoe UI Symbol"/>
                <w:sz w:val="18"/>
              </w:rPr>
              <w:t>u</w:t>
            </w:r>
            <w:r>
              <w:rPr>
                <w:sz w:val="18"/>
              </w:rPr>
              <w:t>g/kg</w:t>
            </w:r>
          </w:p>
        </w:tc>
        <w:tc>
          <w:tcPr>
            <w:tcW w:w="796" w:type="dxa"/>
            <w:tcBorders>
              <w:top w:val="single" w:sz="12" w:space="0" w:color="000000"/>
              <w:left w:val="single" w:sz="12" w:space="0" w:color="000000"/>
              <w:bottom w:val="single" w:sz="4" w:space="0" w:color="000000"/>
              <w:right w:val="single" w:sz="12" w:space="0" w:color="000000"/>
            </w:tcBorders>
          </w:tcPr>
          <w:p w14:paraId="5A572C64" w14:textId="62E25130" w:rsidR="00300DB4" w:rsidRDefault="00300DB4" w:rsidP="00C9450A">
            <w:pPr>
              <w:spacing w:after="0" w:line="259" w:lineRule="auto"/>
              <w:ind w:left="0" w:right="43" w:firstLine="0"/>
              <w:jc w:val="center"/>
            </w:pPr>
            <w:r>
              <w:rPr>
                <w:sz w:val="18"/>
              </w:rPr>
              <w:t>8081</w:t>
            </w:r>
          </w:p>
        </w:tc>
        <w:tc>
          <w:tcPr>
            <w:tcW w:w="1586" w:type="dxa"/>
            <w:tcBorders>
              <w:top w:val="single" w:sz="12" w:space="0" w:color="000000"/>
              <w:left w:val="single" w:sz="12" w:space="0" w:color="000000"/>
              <w:bottom w:val="single" w:sz="4" w:space="0" w:color="000000"/>
              <w:right w:val="single" w:sz="12" w:space="0" w:color="000000"/>
            </w:tcBorders>
          </w:tcPr>
          <w:p w14:paraId="5D4EDC6E" w14:textId="03CA690F" w:rsidR="00911FA7" w:rsidRPr="008E3C3D" w:rsidRDefault="00300DB4" w:rsidP="008E3C3D">
            <w:pPr>
              <w:spacing w:after="0" w:line="259" w:lineRule="auto"/>
              <w:ind w:left="0" w:right="0" w:firstLine="0"/>
              <w:jc w:val="center"/>
              <w:rPr>
                <w:sz w:val="18"/>
              </w:rPr>
            </w:pPr>
            <w:r>
              <w:rPr>
                <w:sz w:val="18"/>
              </w:rPr>
              <w:t xml:space="preserve"> </w:t>
            </w:r>
          </w:p>
        </w:tc>
      </w:tr>
      <w:tr w:rsidR="00300DB4" w14:paraId="6F90916A" w14:textId="77777777" w:rsidTr="00E04EFA">
        <w:trPr>
          <w:trHeight w:val="250"/>
        </w:trPr>
        <w:tc>
          <w:tcPr>
            <w:tcW w:w="3629" w:type="dxa"/>
            <w:tcBorders>
              <w:top w:val="single" w:sz="4" w:space="0" w:color="000000"/>
              <w:left w:val="single" w:sz="12" w:space="0" w:color="000000"/>
              <w:bottom w:val="single" w:sz="4" w:space="0" w:color="000000"/>
              <w:right w:val="single" w:sz="12" w:space="0" w:color="000000"/>
            </w:tcBorders>
          </w:tcPr>
          <w:p w14:paraId="72A4FAA7" w14:textId="71C434B5" w:rsidR="00300DB4" w:rsidRDefault="00A728C3" w:rsidP="00B909C3">
            <w:pPr>
              <w:spacing w:after="0" w:line="259" w:lineRule="auto"/>
              <w:ind w:left="0" w:right="0" w:firstLine="0"/>
            </w:pPr>
            <w:r>
              <w:rPr>
                <w:rFonts w:ascii="Symbol" w:eastAsia="Symbol" w:hAnsi="Symbol" w:cs="Symbol"/>
                <w:sz w:val="18"/>
              </w:rPr>
              <w:t>a</w:t>
            </w:r>
            <w:r w:rsidR="00300DB4">
              <w:rPr>
                <w:sz w:val="18"/>
              </w:rPr>
              <w:t>-BHC (</w:t>
            </w:r>
            <w:r w:rsidR="00A23E42">
              <w:rPr>
                <w:rFonts w:ascii="Symbol" w:eastAsia="Symbol" w:hAnsi="Symbol" w:cs="Symbol"/>
                <w:sz w:val="18"/>
              </w:rPr>
              <w:t>a</w:t>
            </w:r>
            <w:r w:rsidR="00A23E42">
              <w:rPr>
                <w:sz w:val="18"/>
              </w:rPr>
              <w:t>-</w:t>
            </w:r>
            <w:r w:rsidR="00300DB4">
              <w:rPr>
                <w:sz w:val="18"/>
              </w:rPr>
              <w:t xml:space="preserve">HCH) </w:t>
            </w:r>
          </w:p>
        </w:tc>
        <w:tc>
          <w:tcPr>
            <w:tcW w:w="1242" w:type="dxa"/>
            <w:tcBorders>
              <w:top w:val="single" w:sz="4" w:space="0" w:color="000000"/>
              <w:left w:val="single" w:sz="12" w:space="0" w:color="000000"/>
              <w:bottom w:val="single" w:sz="4" w:space="0" w:color="000000"/>
              <w:right w:val="single" w:sz="12" w:space="0" w:color="000000"/>
            </w:tcBorders>
          </w:tcPr>
          <w:p w14:paraId="3E30DA38" w14:textId="77777777" w:rsidR="00300DB4" w:rsidRDefault="00300DB4" w:rsidP="00300DB4">
            <w:pPr>
              <w:spacing w:after="0" w:line="259" w:lineRule="auto"/>
              <w:ind w:left="0" w:right="44" w:firstLine="0"/>
              <w:jc w:val="right"/>
            </w:pPr>
            <w:r>
              <w:rPr>
                <w:sz w:val="18"/>
              </w:rPr>
              <w:t xml:space="preserve">319-84-6 </w:t>
            </w:r>
          </w:p>
        </w:tc>
        <w:tc>
          <w:tcPr>
            <w:tcW w:w="721" w:type="dxa"/>
            <w:tcBorders>
              <w:top w:val="single" w:sz="4" w:space="0" w:color="000000"/>
              <w:left w:val="single" w:sz="12" w:space="0" w:color="000000"/>
              <w:bottom w:val="single" w:sz="4" w:space="0" w:color="000000"/>
              <w:right w:val="single" w:sz="12" w:space="0" w:color="000000"/>
            </w:tcBorders>
          </w:tcPr>
          <w:p w14:paraId="7330726E" w14:textId="63434229" w:rsidR="00300DB4" w:rsidRDefault="00300DB4" w:rsidP="005F34FE">
            <w:pPr>
              <w:spacing w:after="0" w:line="259" w:lineRule="auto"/>
              <w:ind w:left="0" w:right="0" w:firstLine="0"/>
              <w:jc w:val="center"/>
            </w:pPr>
            <w:r>
              <w:rPr>
                <w:b/>
                <w:sz w:val="18"/>
              </w:rPr>
              <w:t>0.1</w:t>
            </w:r>
          </w:p>
        </w:tc>
        <w:tc>
          <w:tcPr>
            <w:tcW w:w="811" w:type="dxa"/>
            <w:tcBorders>
              <w:top w:val="single" w:sz="4" w:space="0" w:color="000000"/>
              <w:left w:val="single" w:sz="12" w:space="0" w:color="000000"/>
              <w:bottom w:val="single" w:sz="4" w:space="0" w:color="000000"/>
              <w:right w:val="single" w:sz="12" w:space="0" w:color="000000"/>
            </w:tcBorders>
          </w:tcPr>
          <w:p w14:paraId="24A2C8DE" w14:textId="269ED929" w:rsidR="00300DB4" w:rsidRDefault="00300DB4" w:rsidP="00300DB4">
            <w:pPr>
              <w:spacing w:after="0" w:line="259" w:lineRule="auto"/>
              <w:ind w:left="0" w:right="46" w:firstLine="0"/>
              <w:jc w:val="center"/>
            </w:pPr>
            <w:r>
              <w:rPr>
                <w:sz w:val="18"/>
              </w:rPr>
              <w:t xml:space="preserve">ug/L </w:t>
            </w:r>
          </w:p>
        </w:tc>
        <w:tc>
          <w:tcPr>
            <w:tcW w:w="902" w:type="dxa"/>
            <w:tcBorders>
              <w:top w:val="single" w:sz="4" w:space="0" w:color="000000"/>
              <w:left w:val="single" w:sz="12" w:space="0" w:color="000000"/>
              <w:bottom w:val="single" w:sz="4" w:space="0" w:color="000000"/>
              <w:right w:val="single" w:sz="12" w:space="0" w:color="000000"/>
            </w:tcBorders>
          </w:tcPr>
          <w:p w14:paraId="1400BD80" w14:textId="79E1A595" w:rsidR="00300DB4" w:rsidRDefault="00300DB4" w:rsidP="00DA485B">
            <w:pPr>
              <w:tabs>
                <w:tab w:val="center" w:pos="445"/>
              </w:tabs>
              <w:spacing w:after="0" w:line="259" w:lineRule="auto"/>
              <w:ind w:left="0" w:right="0" w:firstLine="0"/>
              <w:jc w:val="center"/>
            </w:pPr>
            <w:r>
              <w:rPr>
                <w:b/>
                <w:sz w:val="18"/>
              </w:rPr>
              <w:t>5</w:t>
            </w:r>
          </w:p>
        </w:tc>
        <w:tc>
          <w:tcPr>
            <w:tcW w:w="933" w:type="dxa"/>
            <w:tcBorders>
              <w:top w:val="single" w:sz="4" w:space="0" w:color="000000"/>
              <w:left w:val="single" w:sz="12" w:space="0" w:color="000000"/>
              <w:bottom w:val="single" w:sz="4" w:space="0" w:color="000000"/>
              <w:right w:val="single" w:sz="12" w:space="0" w:color="000000"/>
            </w:tcBorders>
          </w:tcPr>
          <w:p w14:paraId="7B728A99" w14:textId="36FDCC3E" w:rsidR="00300DB4" w:rsidRDefault="00300DB4" w:rsidP="00300DB4">
            <w:pPr>
              <w:spacing w:after="0" w:line="259" w:lineRule="auto"/>
              <w:ind w:left="0" w:right="47" w:firstLine="0"/>
              <w:jc w:val="center"/>
            </w:pPr>
            <w:r>
              <w:rPr>
                <w:rFonts w:eastAsia="Segoe UI Symbol"/>
                <w:sz w:val="18"/>
              </w:rPr>
              <w:t>u</w:t>
            </w:r>
            <w:r>
              <w:rPr>
                <w:sz w:val="18"/>
              </w:rPr>
              <w:t>g/kg</w:t>
            </w:r>
          </w:p>
        </w:tc>
        <w:tc>
          <w:tcPr>
            <w:tcW w:w="796" w:type="dxa"/>
            <w:tcBorders>
              <w:top w:val="single" w:sz="4" w:space="0" w:color="000000"/>
              <w:left w:val="single" w:sz="12" w:space="0" w:color="000000"/>
              <w:bottom w:val="single" w:sz="4" w:space="0" w:color="000000"/>
              <w:right w:val="single" w:sz="12" w:space="0" w:color="000000"/>
            </w:tcBorders>
          </w:tcPr>
          <w:p w14:paraId="743C0B23" w14:textId="1F5196C6" w:rsidR="00300DB4" w:rsidRDefault="00300DB4" w:rsidP="00C9450A">
            <w:pPr>
              <w:spacing w:after="0" w:line="259" w:lineRule="auto"/>
              <w:ind w:left="0" w:right="43" w:firstLine="0"/>
              <w:jc w:val="center"/>
            </w:pPr>
            <w:r>
              <w:rPr>
                <w:sz w:val="18"/>
              </w:rPr>
              <w:t>8081</w:t>
            </w:r>
          </w:p>
        </w:tc>
        <w:tc>
          <w:tcPr>
            <w:tcW w:w="1586" w:type="dxa"/>
            <w:tcBorders>
              <w:top w:val="single" w:sz="4" w:space="0" w:color="000000"/>
              <w:left w:val="single" w:sz="12" w:space="0" w:color="000000"/>
              <w:bottom w:val="single" w:sz="4" w:space="0" w:color="000000"/>
              <w:right w:val="single" w:sz="12" w:space="0" w:color="000000"/>
            </w:tcBorders>
          </w:tcPr>
          <w:p w14:paraId="3E842BC9" w14:textId="77777777" w:rsidR="00300DB4" w:rsidRDefault="00300DB4" w:rsidP="00300DB4">
            <w:pPr>
              <w:spacing w:after="0" w:line="259" w:lineRule="auto"/>
              <w:ind w:left="0" w:right="0" w:firstLine="0"/>
              <w:jc w:val="center"/>
            </w:pPr>
            <w:r>
              <w:rPr>
                <w:sz w:val="18"/>
              </w:rPr>
              <w:t xml:space="preserve"> </w:t>
            </w:r>
          </w:p>
        </w:tc>
      </w:tr>
      <w:tr w:rsidR="00300DB4" w14:paraId="5D806A36" w14:textId="77777777" w:rsidTr="00E04EFA">
        <w:trPr>
          <w:trHeight w:val="250"/>
        </w:trPr>
        <w:tc>
          <w:tcPr>
            <w:tcW w:w="3629" w:type="dxa"/>
            <w:tcBorders>
              <w:top w:val="single" w:sz="4" w:space="0" w:color="000000"/>
              <w:left w:val="single" w:sz="12" w:space="0" w:color="000000"/>
              <w:bottom w:val="single" w:sz="4" w:space="0" w:color="000000"/>
              <w:right w:val="single" w:sz="12" w:space="0" w:color="000000"/>
            </w:tcBorders>
          </w:tcPr>
          <w:p w14:paraId="18276FB8" w14:textId="4DEDF657" w:rsidR="00300DB4" w:rsidRDefault="00A728C3" w:rsidP="00300DB4">
            <w:pPr>
              <w:spacing w:after="0" w:line="259" w:lineRule="auto"/>
              <w:ind w:left="2" w:right="0" w:firstLine="0"/>
            </w:pPr>
            <w:r>
              <w:rPr>
                <w:rFonts w:ascii="Symbol" w:eastAsia="Symbol" w:hAnsi="Symbol" w:cs="Symbol"/>
                <w:sz w:val="18"/>
              </w:rPr>
              <w:t>b</w:t>
            </w:r>
            <w:r w:rsidR="00300DB4">
              <w:rPr>
                <w:sz w:val="18"/>
              </w:rPr>
              <w:t>-BHC (</w:t>
            </w:r>
            <w:r w:rsidR="00A23E42">
              <w:rPr>
                <w:rFonts w:ascii="Symbol" w:eastAsia="Symbol" w:hAnsi="Symbol" w:cs="Symbol"/>
                <w:sz w:val="18"/>
              </w:rPr>
              <w:t>b</w:t>
            </w:r>
            <w:r w:rsidR="00A23E42">
              <w:rPr>
                <w:sz w:val="18"/>
              </w:rPr>
              <w:t>-</w:t>
            </w:r>
            <w:r w:rsidR="00300DB4">
              <w:rPr>
                <w:sz w:val="18"/>
              </w:rPr>
              <w:t xml:space="preserve">HCH) </w:t>
            </w:r>
          </w:p>
        </w:tc>
        <w:tc>
          <w:tcPr>
            <w:tcW w:w="1242" w:type="dxa"/>
            <w:tcBorders>
              <w:top w:val="single" w:sz="4" w:space="0" w:color="000000"/>
              <w:left w:val="single" w:sz="12" w:space="0" w:color="000000"/>
              <w:bottom w:val="single" w:sz="4" w:space="0" w:color="000000"/>
              <w:right w:val="single" w:sz="12" w:space="0" w:color="000000"/>
            </w:tcBorders>
          </w:tcPr>
          <w:p w14:paraId="3BF5A203" w14:textId="77777777" w:rsidR="00300DB4" w:rsidRDefault="00300DB4" w:rsidP="00300DB4">
            <w:pPr>
              <w:spacing w:after="0" w:line="259" w:lineRule="auto"/>
              <w:ind w:left="0" w:right="44" w:firstLine="0"/>
              <w:jc w:val="right"/>
            </w:pPr>
            <w:r>
              <w:rPr>
                <w:sz w:val="18"/>
              </w:rPr>
              <w:t xml:space="preserve">319-85-7 </w:t>
            </w:r>
          </w:p>
        </w:tc>
        <w:tc>
          <w:tcPr>
            <w:tcW w:w="721" w:type="dxa"/>
            <w:tcBorders>
              <w:top w:val="single" w:sz="4" w:space="0" w:color="000000"/>
              <w:left w:val="single" w:sz="12" w:space="0" w:color="000000"/>
              <w:bottom w:val="single" w:sz="4" w:space="0" w:color="000000"/>
              <w:right w:val="single" w:sz="12" w:space="0" w:color="000000"/>
            </w:tcBorders>
          </w:tcPr>
          <w:p w14:paraId="59552175" w14:textId="3A164476" w:rsidR="00300DB4" w:rsidRDefault="00300DB4" w:rsidP="005F34FE">
            <w:pPr>
              <w:spacing w:after="0" w:line="259" w:lineRule="auto"/>
              <w:ind w:left="0" w:right="0" w:firstLine="0"/>
              <w:jc w:val="center"/>
            </w:pPr>
            <w:r>
              <w:rPr>
                <w:sz w:val="18"/>
              </w:rPr>
              <w:t>0.25</w:t>
            </w:r>
          </w:p>
        </w:tc>
        <w:tc>
          <w:tcPr>
            <w:tcW w:w="811" w:type="dxa"/>
            <w:tcBorders>
              <w:top w:val="single" w:sz="4" w:space="0" w:color="000000"/>
              <w:left w:val="single" w:sz="12" w:space="0" w:color="000000"/>
              <w:bottom w:val="single" w:sz="4" w:space="0" w:color="000000"/>
              <w:right w:val="single" w:sz="12" w:space="0" w:color="000000"/>
            </w:tcBorders>
          </w:tcPr>
          <w:p w14:paraId="31F17393" w14:textId="419131E7" w:rsidR="00300DB4" w:rsidRDefault="00300DB4" w:rsidP="00300DB4">
            <w:pPr>
              <w:spacing w:after="0" w:line="259" w:lineRule="auto"/>
              <w:ind w:left="0" w:right="46" w:firstLine="0"/>
              <w:jc w:val="center"/>
            </w:pPr>
            <w:r>
              <w:rPr>
                <w:sz w:val="18"/>
              </w:rPr>
              <w:t xml:space="preserve">ug/L </w:t>
            </w:r>
          </w:p>
        </w:tc>
        <w:tc>
          <w:tcPr>
            <w:tcW w:w="902" w:type="dxa"/>
            <w:tcBorders>
              <w:top w:val="single" w:sz="4" w:space="0" w:color="000000"/>
              <w:left w:val="single" w:sz="12" w:space="0" w:color="000000"/>
              <w:bottom w:val="single" w:sz="4" w:space="0" w:color="000000"/>
              <w:right w:val="single" w:sz="12" w:space="0" w:color="000000"/>
            </w:tcBorders>
          </w:tcPr>
          <w:p w14:paraId="16EBA1BA" w14:textId="609A4E2C" w:rsidR="00300DB4" w:rsidRDefault="00300DB4" w:rsidP="00DA485B">
            <w:pPr>
              <w:tabs>
                <w:tab w:val="center" w:pos="445"/>
              </w:tabs>
              <w:spacing w:after="0" w:line="259" w:lineRule="auto"/>
              <w:ind w:left="0" w:right="0" w:firstLine="0"/>
              <w:jc w:val="center"/>
            </w:pPr>
            <w:r>
              <w:rPr>
                <w:b/>
                <w:sz w:val="18"/>
              </w:rPr>
              <w:t>5</w:t>
            </w:r>
          </w:p>
        </w:tc>
        <w:tc>
          <w:tcPr>
            <w:tcW w:w="933" w:type="dxa"/>
            <w:tcBorders>
              <w:top w:val="single" w:sz="4" w:space="0" w:color="000000"/>
              <w:left w:val="single" w:sz="12" w:space="0" w:color="000000"/>
              <w:bottom w:val="single" w:sz="4" w:space="0" w:color="000000"/>
              <w:right w:val="single" w:sz="12" w:space="0" w:color="000000"/>
            </w:tcBorders>
          </w:tcPr>
          <w:p w14:paraId="68A80F72" w14:textId="7A343A6A" w:rsidR="00300DB4" w:rsidRDefault="00300DB4" w:rsidP="00300DB4">
            <w:pPr>
              <w:spacing w:after="0" w:line="259" w:lineRule="auto"/>
              <w:ind w:left="0" w:right="47" w:firstLine="0"/>
              <w:jc w:val="center"/>
            </w:pPr>
            <w:r>
              <w:rPr>
                <w:rFonts w:eastAsia="Segoe UI Symbol"/>
                <w:sz w:val="18"/>
              </w:rPr>
              <w:t>u</w:t>
            </w:r>
            <w:r>
              <w:rPr>
                <w:sz w:val="18"/>
              </w:rPr>
              <w:t>g/kg</w:t>
            </w:r>
          </w:p>
        </w:tc>
        <w:tc>
          <w:tcPr>
            <w:tcW w:w="796" w:type="dxa"/>
            <w:tcBorders>
              <w:top w:val="single" w:sz="4" w:space="0" w:color="000000"/>
              <w:left w:val="single" w:sz="12" w:space="0" w:color="000000"/>
              <w:bottom w:val="single" w:sz="4" w:space="0" w:color="000000"/>
              <w:right w:val="single" w:sz="12" w:space="0" w:color="000000"/>
            </w:tcBorders>
          </w:tcPr>
          <w:p w14:paraId="12656F12" w14:textId="1811F8D5" w:rsidR="00300DB4" w:rsidRDefault="00300DB4" w:rsidP="00C9450A">
            <w:pPr>
              <w:spacing w:after="0" w:line="259" w:lineRule="auto"/>
              <w:ind w:left="0" w:right="43" w:firstLine="0"/>
              <w:jc w:val="center"/>
            </w:pPr>
            <w:r>
              <w:rPr>
                <w:sz w:val="18"/>
              </w:rPr>
              <w:t>8081</w:t>
            </w:r>
          </w:p>
        </w:tc>
        <w:tc>
          <w:tcPr>
            <w:tcW w:w="1586" w:type="dxa"/>
            <w:tcBorders>
              <w:top w:val="single" w:sz="4" w:space="0" w:color="000000"/>
              <w:left w:val="single" w:sz="12" w:space="0" w:color="000000"/>
              <w:bottom w:val="single" w:sz="4" w:space="0" w:color="000000"/>
              <w:right w:val="single" w:sz="12" w:space="0" w:color="000000"/>
            </w:tcBorders>
          </w:tcPr>
          <w:p w14:paraId="5862B32B" w14:textId="77777777" w:rsidR="00300DB4" w:rsidRDefault="00300DB4" w:rsidP="00300DB4">
            <w:pPr>
              <w:spacing w:after="0" w:line="259" w:lineRule="auto"/>
              <w:ind w:left="0" w:right="0" w:firstLine="0"/>
              <w:jc w:val="center"/>
            </w:pPr>
            <w:r>
              <w:rPr>
                <w:sz w:val="18"/>
              </w:rPr>
              <w:t xml:space="preserve"> </w:t>
            </w:r>
          </w:p>
        </w:tc>
      </w:tr>
      <w:tr w:rsidR="00300DB4" w14:paraId="177ADB00" w14:textId="77777777" w:rsidTr="00E04EFA">
        <w:trPr>
          <w:trHeight w:val="250"/>
        </w:trPr>
        <w:tc>
          <w:tcPr>
            <w:tcW w:w="3629" w:type="dxa"/>
            <w:tcBorders>
              <w:top w:val="single" w:sz="4" w:space="0" w:color="000000"/>
              <w:left w:val="single" w:sz="12" w:space="0" w:color="000000"/>
              <w:bottom w:val="single" w:sz="4" w:space="0" w:color="000000"/>
              <w:right w:val="single" w:sz="12" w:space="0" w:color="000000"/>
            </w:tcBorders>
          </w:tcPr>
          <w:p w14:paraId="2277818B" w14:textId="35213346" w:rsidR="00300DB4" w:rsidRDefault="00C56EFE" w:rsidP="00300DB4">
            <w:pPr>
              <w:spacing w:after="0" w:line="259" w:lineRule="auto"/>
              <w:ind w:left="2" w:right="0" w:firstLine="0"/>
            </w:pPr>
            <w:r>
              <w:rPr>
                <w:rFonts w:ascii="Symbol" w:eastAsia="Symbol" w:hAnsi="Symbol" w:cs="Symbol"/>
                <w:sz w:val="18"/>
              </w:rPr>
              <w:t>g</w:t>
            </w:r>
            <w:r w:rsidR="00300DB4">
              <w:rPr>
                <w:sz w:val="18"/>
              </w:rPr>
              <w:t xml:space="preserve">-BHC (Lindane, </w:t>
            </w:r>
            <w:r w:rsidR="0071303F">
              <w:rPr>
                <w:rFonts w:ascii="Symbol" w:eastAsia="Symbol" w:hAnsi="Symbol" w:cs="Symbol"/>
                <w:sz w:val="18"/>
              </w:rPr>
              <w:t>g</w:t>
            </w:r>
            <w:r w:rsidR="00300DB4">
              <w:rPr>
                <w:sz w:val="18"/>
              </w:rPr>
              <w:t xml:space="preserve">-HCH) </w:t>
            </w:r>
          </w:p>
        </w:tc>
        <w:tc>
          <w:tcPr>
            <w:tcW w:w="1242" w:type="dxa"/>
            <w:tcBorders>
              <w:top w:val="single" w:sz="4" w:space="0" w:color="000000"/>
              <w:left w:val="single" w:sz="12" w:space="0" w:color="000000"/>
              <w:bottom w:val="single" w:sz="4" w:space="0" w:color="000000"/>
              <w:right w:val="single" w:sz="12" w:space="0" w:color="000000"/>
            </w:tcBorders>
          </w:tcPr>
          <w:p w14:paraId="5DB188DC" w14:textId="77777777" w:rsidR="00300DB4" w:rsidRDefault="00300DB4" w:rsidP="00300DB4">
            <w:pPr>
              <w:spacing w:after="0" w:line="259" w:lineRule="auto"/>
              <w:ind w:left="0" w:right="44" w:firstLine="0"/>
              <w:jc w:val="right"/>
            </w:pPr>
            <w:r>
              <w:rPr>
                <w:sz w:val="18"/>
              </w:rPr>
              <w:t xml:space="preserve">58-89-9 </w:t>
            </w:r>
          </w:p>
        </w:tc>
        <w:tc>
          <w:tcPr>
            <w:tcW w:w="721" w:type="dxa"/>
            <w:tcBorders>
              <w:top w:val="single" w:sz="4" w:space="0" w:color="000000"/>
              <w:left w:val="single" w:sz="12" w:space="0" w:color="000000"/>
              <w:bottom w:val="single" w:sz="4" w:space="0" w:color="000000"/>
              <w:right w:val="single" w:sz="12" w:space="0" w:color="000000"/>
            </w:tcBorders>
          </w:tcPr>
          <w:p w14:paraId="7EDC582E" w14:textId="45161DD0" w:rsidR="00300DB4" w:rsidRDefault="00300DB4" w:rsidP="005F34FE">
            <w:pPr>
              <w:spacing w:after="0" w:line="259" w:lineRule="auto"/>
              <w:ind w:left="0" w:right="0" w:firstLine="0"/>
              <w:jc w:val="center"/>
            </w:pPr>
            <w:r>
              <w:rPr>
                <w:b/>
                <w:sz w:val="18"/>
              </w:rPr>
              <w:t>0.05</w:t>
            </w:r>
          </w:p>
        </w:tc>
        <w:tc>
          <w:tcPr>
            <w:tcW w:w="811" w:type="dxa"/>
            <w:tcBorders>
              <w:top w:val="single" w:sz="4" w:space="0" w:color="000000"/>
              <w:left w:val="single" w:sz="12" w:space="0" w:color="000000"/>
              <w:bottom w:val="single" w:sz="4" w:space="0" w:color="000000"/>
              <w:right w:val="single" w:sz="12" w:space="0" w:color="000000"/>
            </w:tcBorders>
          </w:tcPr>
          <w:p w14:paraId="662FCB01" w14:textId="472A1ED6" w:rsidR="00300DB4" w:rsidRDefault="00300DB4" w:rsidP="00300DB4">
            <w:pPr>
              <w:spacing w:after="0" w:line="259" w:lineRule="auto"/>
              <w:ind w:left="0" w:right="46" w:firstLine="0"/>
              <w:jc w:val="center"/>
            </w:pPr>
            <w:r>
              <w:rPr>
                <w:sz w:val="18"/>
              </w:rPr>
              <w:t xml:space="preserve">ug/L </w:t>
            </w:r>
          </w:p>
        </w:tc>
        <w:tc>
          <w:tcPr>
            <w:tcW w:w="902" w:type="dxa"/>
            <w:tcBorders>
              <w:top w:val="single" w:sz="4" w:space="0" w:color="000000"/>
              <w:left w:val="single" w:sz="12" w:space="0" w:color="000000"/>
              <w:bottom w:val="single" w:sz="4" w:space="0" w:color="000000"/>
              <w:right w:val="single" w:sz="12" w:space="0" w:color="000000"/>
            </w:tcBorders>
          </w:tcPr>
          <w:p w14:paraId="528BCD96" w14:textId="1AB5D05E" w:rsidR="00300DB4" w:rsidRDefault="00300DB4" w:rsidP="00DA485B">
            <w:pPr>
              <w:tabs>
                <w:tab w:val="center" w:pos="445"/>
              </w:tabs>
              <w:spacing w:after="0" w:line="259" w:lineRule="auto"/>
              <w:ind w:left="0" w:right="0" w:firstLine="0"/>
              <w:jc w:val="center"/>
            </w:pPr>
            <w:r>
              <w:rPr>
                <w:b/>
                <w:sz w:val="18"/>
              </w:rPr>
              <w:t>5</w:t>
            </w:r>
          </w:p>
        </w:tc>
        <w:tc>
          <w:tcPr>
            <w:tcW w:w="933" w:type="dxa"/>
            <w:tcBorders>
              <w:top w:val="single" w:sz="4" w:space="0" w:color="000000"/>
              <w:left w:val="single" w:sz="12" w:space="0" w:color="000000"/>
              <w:bottom w:val="single" w:sz="4" w:space="0" w:color="000000"/>
              <w:right w:val="single" w:sz="12" w:space="0" w:color="000000"/>
            </w:tcBorders>
          </w:tcPr>
          <w:p w14:paraId="585AE6BB" w14:textId="35EDC046" w:rsidR="00300DB4" w:rsidRDefault="00300DB4" w:rsidP="00300DB4">
            <w:pPr>
              <w:spacing w:after="0" w:line="259" w:lineRule="auto"/>
              <w:ind w:left="0" w:right="47" w:firstLine="0"/>
              <w:jc w:val="center"/>
            </w:pPr>
            <w:r>
              <w:rPr>
                <w:rFonts w:eastAsia="Segoe UI Symbol"/>
                <w:sz w:val="18"/>
              </w:rPr>
              <w:t>u</w:t>
            </w:r>
            <w:r>
              <w:rPr>
                <w:sz w:val="18"/>
              </w:rPr>
              <w:t xml:space="preserve">g/kg </w:t>
            </w:r>
          </w:p>
        </w:tc>
        <w:tc>
          <w:tcPr>
            <w:tcW w:w="796" w:type="dxa"/>
            <w:tcBorders>
              <w:top w:val="single" w:sz="4" w:space="0" w:color="000000"/>
              <w:left w:val="single" w:sz="12" w:space="0" w:color="000000"/>
              <w:bottom w:val="single" w:sz="4" w:space="0" w:color="000000"/>
              <w:right w:val="single" w:sz="12" w:space="0" w:color="000000"/>
            </w:tcBorders>
          </w:tcPr>
          <w:p w14:paraId="32527BB6" w14:textId="0483C120" w:rsidR="00300DB4" w:rsidRDefault="00300DB4" w:rsidP="00C9450A">
            <w:pPr>
              <w:spacing w:after="0" w:line="259" w:lineRule="auto"/>
              <w:ind w:left="0" w:right="43" w:firstLine="0"/>
              <w:jc w:val="center"/>
            </w:pPr>
            <w:r>
              <w:rPr>
                <w:sz w:val="18"/>
              </w:rPr>
              <w:t>8081</w:t>
            </w:r>
          </w:p>
        </w:tc>
        <w:tc>
          <w:tcPr>
            <w:tcW w:w="1586" w:type="dxa"/>
            <w:tcBorders>
              <w:top w:val="single" w:sz="4" w:space="0" w:color="000000"/>
              <w:left w:val="single" w:sz="12" w:space="0" w:color="000000"/>
              <w:bottom w:val="single" w:sz="4" w:space="0" w:color="000000"/>
              <w:right w:val="single" w:sz="12" w:space="0" w:color="000000"/>
            </w:tcBorders>
          </w:tcPr>
          <w:p w14:paraId="2160BE8D" w14:textId="77777777" w:rsidR="00300DB4" w:rsidRDefault="00300DB4" w:rsidP="00300DB4">
            <w:pPr>
              <w:spacing w:after="0" w:line="259" w:lineRule="auto"/>
              <w:ind w:left="0" w:right="0" w:firstLine="0"/>
              <w:jc w:val="center"/>
            </w:pPr>
            <w:r>
              <w:rPr>
                <w:sz w:val="18"/>
              </w:rPr>
              <w:t xml:space="preserve"> </w:t>
            </w:r>
          </w:p>
        </w:tc>
      </w:tr>
      <w:tr w:rsidR="00300DB4" w14:paraId="73F94F37" w14:textId="77777777" w:rsidTr="00E04EFA">
        <w:trPr>
          <w:trHeight w:val="250"/>
        </w:trPr>
        <w:tc>
          <w:tcPr>
            <w:tcW w:w="3629" w:type="dxa"/>
            <w:tcBorders>
              <w:top w:val="single" w:sz="4" w:space="0" w:color="000000"/>
              <w:left w:val="single" w:sz="12" w:space="0" w:color="000000"/>
              <w:bottom w:val="single" w:sz="4" w:space="0" w:color="000000"/>
              <w:right w:val="single" w:sz="12" w:space="0" w:color="000000"/>
            </w:tcBorders>
          </w:tcPr>
          <w:p w14:paraId="5F30562E" w14:textId="30564D30" w:rsidR="00300DB4" w:rsidRDefault="00334690" w:rsidP="00300DB4">
            <w:pPr>
              <w:spacing w:after="0" w:line="259" w:lineRule="auto"/>
              <w:ind w:left="2" w:right="0" w:firstLine="0"/>
            </w:pPr>
            <w:r>
              <w:rPr>
                <w:rFonts w:ascii="Symbol" w:eastAsia="Symbol" w:hAnsi="Symbol" w:cs="Symbol"/>
                <w:sz w:val="18"/>
              </w:rPr>
              <w:t>d</w:t>
            </w:r>
            <w:r w:rsidR="00300DB4">
              <w:rPr>
                <w:sz w:val="18"/>
              </w:rPr>
              <w:t>-BHC (</w:t>
            </w:r>
            <w:r w:rsidR="0071303F">
              <w:rPr>
                <w:rFonts w:ascii="Symbol" w:eastAsia="Symbol" w:hAnsi="Symbol" w:cs="Symbol"/>
                <w:sz w:val="18"/>
              </w:rPr>
              <w:t>d</w:t>
            </w:r>
            <w:r w:rsidR="00300DB4">
              <w:rPr>
                <w:sz w:val="18"/>
              </w:rPr>
              <w:t xml:space="preserve">-HCH) </w:t>
            </w:r>
          </w:p>
        </w:tc>
        <w:tc>
          <w:tcPr>
            <w:tcW w:w="1242" w:type="dxa"/>
            <w:tcBorders>
              <w:top w:val="single" w:sz="4" w:space="0" w:color="000000"/>
              <w:left w:val="single" w:sz="12" w:space="0" w:color="000000"/>
              <w:bottom w:val="single" w:sz="4" w:space="0" w:color="000000"/>
              <w:right w:val="single" w:sz="12" w:space="0" w:color="000000"/>
            </w:tcBorders>
          </w:tcPr>
          <w:p w14:paraId="5C6711FA" w14:textId="77777777" w:rsidR="00300DB4" w:rsidRDefault="00300DB4" w:rsidP="00300DB4">
            <w:pPr>
              <w:spacing w:after="0" w:line="259" w:lineRule="auto"/>
              <w:ind w:left="0" w:right="44" w:firstLine="0"/>
              <w:jc w:val="right"/>
            </w:pPr>
            <w:r>
              <w:rPr>
                <w:sz w:val="18"/>
              </w:rPr>
              <w:t xml:space="preserve">319-86-8 </w:t>
            </w:r>
          </w:p>
        </w:tc>
        <w:tc>
          <w:tcPr>
            <w:tcW w:w="721" w:type="dxa"/>
            <w:tcBorders>
              <w:top w:val="single" w:sz="4" w:space="0" w:color="000000"/>
              <w:left w:val="single" w:sz="12" w:space="0" w:color="000000"/>
              <w:bottom w:val="single" w:sz="4" w:space="0" w:color="000000"/>
              <w:right w:val="single" w:sz="12" w:space="0" w:color="000000"/>
            </w:tcBorders>
          </w:tcPr>
          <w:p w14:paraId="792999E7" w14:textId="3966F988" w:rsidR="00300DB4" w:rsidRDefault="00300DB4" w:rsidP="005F34FE">
            <w:pPr>
              <w:spacing w:after="0" w:line="259" w:lineRule="auto"/>
              <w:ind w:left="0" w:right="0" w:firstLine="0"/>
              <w:jc w:val="center"/>
            </w:pPr>
            <w:r>
              <w:rPr>
                <w:sz w:val="18"/>
              </w:rPr>
              <w:t>0.25</w:t>
            </w:r>
          </w:p>
        </w:tc>
        <w:tc>
          <w:tcPr>
            <w:tcW w:w="811" w:type="dxa"/>
            <w:tcBorders>
              <w:top w:val="single" w:sz="4" w:space="0" w:color="000000"/>
              <w:left w:val="single" w:sz="12" w:space="0" w:color="000000"/>
              <w:bottom w:val="single" w:sz="4" w:space="0" w:color="000000"/>
              <w:right w:val="single" w:sz="12" w:space="0" w:color="000000"/>
            </w:tcBorders>
          </w:tcPr>
          <w:p w14:paraId="4C023D4F" w14:textId="4E728AA5" w:rsidR="00300DB4" w:rsidRDefault="00300DB4" w:rsidP="00300DB4">
            <w:pPr>
              <w:spacing w:after="0" w:line="259" w:lineRule="auto"/>
              <w:ind w:left="0" w:right="46" w:firstLine="0"/>
              <w:jc w:val="center"/>
            </w:pPr>
            <w:r>
              <w:rPr>
                <w:sz w:val="18"/>
              </w:rPr>
              <w:t xml:space="preserve">ug/L </w:t>
            </w:r>
          </w:p>
        </w:tc>
        <w:tc>
          <w:tcPr>
            <w:tcW w:w="902" w:type="dxa"/>
            <w:tcBorders>
              <w:top w:val="single" w:sz="4" w:space="0" w:color="000000"/>
              <w:left w:val="single" w:sz="12" w:space="0" w:color="000000"/>
              <w:bottom w:val="single" w:sz="4" w:space="0" w:color="000000"/>
              <w:right w:val="single" w:sz="12" w:space="0" w:color="000000"/>
            </w:tcBorders>
          </w:tcPr>
          <w:p w14:paraId="0CF6EC6C" w14:textId="4C076C95" w:rsidR="00300DB4" w:rsidRDefault="00300DB4" w:rsidP="00DA485B">
            <w:pPr>
              <w:tabs>
                <w:tab w:val="center" w:pos="399"/>
              </w:tabs>
              <w:spacing w:after="0" w:line="259" w:lineRule="auto"/>
              <w:ind w:left="0" w:right="0" w:firstLine="0"/>
              <w:jc w:val="center"/>
            </w:pPr>
            <w:r>
              <w:rPr>
                <w:sz w:val="18"/>
              </w:rPr>
              <w:t>20</w:t>
            </w:r>
          </w:p>
        </w:tc>
        <w:tc>
          <w:tcPr>
            <w:tcW w:w="933" w:type="dxa"/>
            <w:tcBorders>
              <w:top w:val="single" w:sz="4" w:space="0" w:color="000000"/>
              <w:left w:val="single" w:sz="12" w:space="0" w:color="000000"/>
              <w:bottom w:val="single" w:sz="4" w:space="0" w:color="000000"/>
              <w:right w:val="single" w:sz="12" w:space="0" w:color="000000"/>
            </w:tcBorders>
          </w:tcPr>
          <w:p w14:paraId="77D8B436" w14:textId="0A0CD0AF" w:rsidR="00300DB4" w:rsidRDefault="00300DB4" w:rsidP="00300DB4">
            <w:pPr>
              <w:spacing w:after="0" w:line="259" w:lineRule="auto"/>
              <w:ind w:left="0" w:right="47" w:firstLine="0"/>
              <w:jc w:val="center"/>
            </w:pPr>
            <w:r>
              <w:rPr>
                <w:rFonts w:eastAsia="Segoe UI Symbol"/>
                <w:sz w:val="18"/>
              </w:rPr>
              <w:t>u</w:t>
            </w:r>
            <w:r>
              <w:rPr>
                <w:sz w:val="18"/>
              </w:rPr>
              <w:t xml:space="preserve">g/kg </w:t>
            </w:r>
          </w:p>
        </w:tc>
        <w:tc>
          <w:tcPr>
            <w:tcW w:w="796" w:type="dxa"/>
            <w:tcBorders>
              <w:top w:val="single" w:sz="4" w:space="0" w:color="000000"/>
              <w:left w:val="single" w:sz="12" w:space="0" w:color="000000"/>
              <w:bottom w:val="single" w:sz="4" w:space="0" w:color="000000"/>
              <w:right w:val="single" w:sz="12" w:space="0" w:color="000000"/>
            </w:tcBorders>
          </w:tcPr>
          <w:p w14:paraId="4F8678AC" w14:textId="4D948F83" w:rsidR="00300DB4" w:rsidRDefault="00300DB4" w:rsidP="00C9450A">
            <w:pPr>
              <w:spacing w:after="0" w:line="259" w:lineRule="auto"/>
              <w:ind w:left="0" w:right="43" w:firstLine="0"/>
              <w:jc w:val="center"/>
            </w:pPr>
            <w:r>
              <w:rPr>
                <w:sz w:val="18"/>
              </w:rPr>
              <w:t>8081</w:t>
            </w:r>
          </w:p>
        </w:tc>
        <w:tc>
          <w:tcPr>
            <w:tcW w:w="1586" w:type="dxa"/>
            <w:tcBorders>
              <w:top w:val="single" w:sz="4" w:space="0" w:color="000000"/>
              <w:left w:val="single" w:sz="12" w:space="0" w:color="000000"/>
              <w:bottom w:val="single" w:sz="4" w:space="0" w:color="000000"/>
              <w:right w:val="single" w:sz="12" w:space="0" w:color="000000"/>
            </w:tcBorders>
          </w:tcPr>
          <w:p w14:paraId="74D03E77" w14:textId="77777777" w:rsidR="00300DB4" w:rsidRDefault="00300DB4" w:rsidP="00300DB4">
            <w:pPr>
              <w:spacing w:after="0" w:line="259" w:lineRule="auto"/>
              <w:ind w:left="0" w:right="0" w:firstLine="0"/>
              <w:jc w:val="center"/>
            </w:pPr>
            <w:r>
              <w:rPr>
                <w:i/>
                <w:sz w:val="18"/>
              </w:rPr>
              <w:t xml:space="preserve"> </w:t>
            </w:r>
          </w:p>
        </w:tc>
      </w:tr>
      <w:tr w:rsidR="00300DB4" w14:paraId="0B4B5D4F" w14:textId="77777777" w:rsidTr="00E04EFA">
        <w:trPr>
          <w:trHeight w:val="252"/>
        </w:trPr>
        <w:tc>
          <w:tcPr>
            <w:tcW w:w="3629" w:type="dxa"/>
            <w:tcBorders>
              <w:top w:val="single" w:sz="4" w:space="0" w:color="000000"/>
              <w:left w:val="single" w:sz="12" w:space="0" w:color="000000"/>
              <w:bottom w:val="single" w:sz="4" w:space="0" w:color="000000"/>
              <w:right w:val="single" w:sz="12" w:space="0" w:color="000000"/>
            </w:tcBorders>
          </w:tcPr>
          <w:p w14:paraId="3E60F814" w14:textId="79DBF8BC" w:rsidR="00300DB4" w:rsidRDefault="00334690" w:rsidP="00300DB4">
            <w:pPr>
              <w:spacing w:after="0" w:line="259" w:lineRule="auto"/>
              <w:ind w:left="2" w:right="0" w:firstLine="0"/>
            </w:pPr>
            <w:r>
              <w:rPr>
                <w:rFonts w:ascii="Symbol" w:eastAsia="Symbol" w:hAnsi="Symbol" w:cs="Symbol"/>
                <w:sz w:val="18"/>
              </w:rPr>
              <w:t>a</w:t>
            </w:r>
            <w:r w:rsidR="00300DB4">
              <w:rPr>
                <w:sz w:val="18"/>
              </w:rPr>
              <w:t xml:space="preserve">-Chlordane </w:t>
            </w:r>
          </w:p>
        </w:tc>
        <w:tc>
          <w:tcPr>
            <w:tcW w:w="1242" w:type="dxa"/>
            <w:tcBorders>
              <w:top w:val="single" w:sz="4" w:space="0" w:color="000000"/>
              <w:left w:val="single" w:sz="12" w:space="0" w:color="000000"/>
              <w:bottom w:val="single" w:sz="4" w:space="0" w:color="000000"/>
              <w:right w:val="single" w:sz="12" w:space="0" w:color="000000"/>
            </w:tcBorders>
          </w:tcPr>
          <w:p w14:paraId="2919DDED" w14:textId="77777777" w:rsidR="00300DB4" w:rsidRDefault="00300DB4" w:rsidP="00300DB4">
            <w:pPr>
              <w:spacing w:after="0" w:line="259" w:lineRule="auto"/>
              <w:ind w:left="0" w:right="44" w:firstLine="0"/>
              <w:jc w:val="right"/>
            </w:pPr>
            <w:r>
              <w:rPr>
                <w:sz w:val="18"/>
              </w:rPr>
              <w:t xml:space="preserve">5103-71-9 </w:t>
            </w:r>
          </w:p>
        </w:tc>
        <w:tc>
          <w:tcPr>
            <w:tcW w:w="721" w:type="dxa"/>
            <w:tcBorders>
              <w:top w:val="single" w:sz="4" w:space="0" w:color="000000"/>
              <w:left w:val="single" w:sz="12" w:space="0" w:color="000000"/>
              <w:bottom w:val="single" w:sz="4" w:space="0" w:color="000000"/>
              <w:right w:val="single" w:sz="12" w:space="0" w:color="000000"/>
            </w:tcBorders>
          </w:tcPr>
          <w:p w14:paraId="60638B96" w14:textId="264E173B" w:rsidR="00300DB4" w:rsidRDefault="00300DB4" w:rsidP="005F34FE">
            <w:pPr>
              <w:spacing w:after="0" w:line="259" w:lineRule="auto"/>
              <w:ind w:left="0" w:right="0" w:firstLine="0"/>
              <w:jc w:val="center"/>
            </w:pPr>
            <w:r>
              <w:rPr>
                <w:sz w:val="18"/>
              </w:rPr>
              <w:t>0.4</w:t>
            </w:r>
          </w:p>
        </w:tc>
        <w:tc>
          <w:tcPr>
            <w:tcW w:w="811" w:type="dxa"/>
            <w:tcBorders>
              <w:top w:val="single" w:sz="4" w:space="0" w:color="000000"/>
              <w:left w:val="single" w:sz="12" w:space="0" w:color="000000"/>
              <w:bottom w:val="single" w:sz="4" w:space="0" w:color="000000"/>
              <w:right w:val="single" w:sz="12" w:space="0" w:color="000000"/>
            </w:tcBorders>
          </w:tcPr>
          <w:p w14:paraId="65EEE610" w14:textId="6073AFF5" w:rsidR="00300DB4" w:rsidRDefault="00300DB4" w:rsidP="00300DB4">
            <w:pPr>
              <w:spacing w:after="0" w:line="259" w:lineRule="auto"/>
              <w:ind w:left="0" w:right="46" w:firstLine="0"/>
              <w:jc w:val="center"/>
            </w:pPr>
            <w:r>
              <w:rPr>
                <w:sz w:val="18"/>
              </w:rPr>
              <w:t xml:space="preserve">ug/L </w:t>
            </w:r>
          </w:p>
        </w:tc>
        <w:tc>
          <w:tcPr>
            <w:tcW w:w="902" w:type="dxa"/>
            <w:tcBorders>
              <w:top w:val="single" w:sz="4" w:space="0" w:color="000000"/>
              <w:left w:val="single" w:sz="12" w:space="0" w:color="000000"/>
              <w:bottom w:val="single" w:sz="4" w:space="0" w:color="000000"/>
              <w:right w:val="single" w:sz="12" w:space="0" w:color="000000"/>
            </w:tcBorders>
          </w:tcPr>
          <w:p w14:paraId="18FCD539" w14:textId="53DD6014" w:rsidR="00300DB4" w:rsidRDefault="00300DB4" w:rsidP="00DA485B">
            <w:pPr>
              <w:tabs>
                <w:tab w:val="center" w:pos="399"/>
              </w:tabs>
              <w:spacing w:after="0" w:line="259" w:lineRule="auto"/>
              <w:ind w:left="0" w:right="0" w:firstLine="0"/>
              <w:jc w:val="center"/>
            </w:pPr>
            <w:r>
              <w:rPr>
                <w:sz w:val="18"/>
              </w:rPr>
              <w:t>25</w:t>
            </w:r>
          </w:p>
        </w:tc>
        <w:tc>
          <w:tcPr>
            <w:tcW w:w="933" w:type="dxa"/>
            <w:tcBorders>
              <w:top w:val="single" w:sz="4" w:space="0" w:color="000000"/>
              <w:left w:val="single" w:sz="12" w:space="0" w:color="000000"/>
              <w:bottom w:val="single" w:sz="4" w:space="0" w:color="000000"/>
              <w:right w:val="single" w:sz="12" w:space="0" w:color="000000"/>
            </w:tcBorders>
          </w:tcPr>
          <w:p w14:paraId="368CA447" w14:textId="5E02B5C3" w:rsidR="00300DB4" w:rsidRDefault="00300DB4" w:rsidP="00300DB4">
            <w:pPr>
              <w:spacing w:after="0" w:line="259" w:lineRule="auto"/>
              <w:ind w:left="0" w:right="47" w:firstLine="0"/>
              <w:jc w:val="center"/>
            </w:pPr>
            <w:r>
              <w:rPr>
                <w:rFonts w:eastAsia="Segoe UI Symbol"/>
                <w:sz w:val="18"/>
              </w:rPr>
              <w:t>u</w:t>
            </w:r>
            <w:r>
              <w:rPr>
                <w:sz w:val="18"/>
              </w:rPr>
              <w:t xml:space="preserve">g/kg </w:t>
            </w:r>
          </w:p>
        </w:tc>
        <w:tc>
          <w:tcPr>
            <w:tcW w:w="796" w:type="dxa"/>
            <w:tcBorders>
              <w:top w:val="single" w:sz="4" w:space="0" w:color="000000"/>
              <w:left w:val="single" w:sz="12" w:space="0" w:color="000000"/>
              <w:bottom w:val="single" w:sz="4" w:space="0" w:color="000000"/>
              <w:right w:val="single" w:sz="12" w:space="0" w:color="000000"/>
            </w:tcBorders>
          </w:tcPr>
          <w:p w14:paraId="4C8716F4" w14:textId="575278D8" w:rsidR="00300DB4" w:rsidRDefault="00300DB4" w:rsidP="00C9450A">
            <w:pPr>
              <w:spacing w:after="0" w:line="259" w:lineRule="auto"/>
              <w:ind w:left="0" w:right="43" w:firstLine="0"/>
              <w:jc w:val="center"/>
            </w:pPr>
            <w:r>
              <w:rPr>
                <w:sz w:val="18"/>
              </w:rPr>
              <w:t>8081</w:t>
            </w:r>
          </w:p>
        </w:tc>
        <w:tc>
          <w:tcPr>
            <w:tcW w:w="1586" w:type="dxa"/>
            <w:tcBorders>
              <w:top w:val="single" w:sz="4" w:space="0" w:color="000000"/>
              <w:left w:val="single" w:sz="12" w:space="0" w:color="000000"/>
              <w:bottom w:val="single" w:sz="4" w:space="0" w:color="000000"/>
              <w:right w:val="single" w:sz="12" w:space="0" w:color="000000"/>
            </w:tcBorders>
          </w:tcPr>
          <w:p w14:paraId="75885C57" w14:textId="77777777" w:rsidR="00300DB4" w:rsidRDefault="00300DB4" w:rsidP="00300DB4">
            <w:pPr>
              <w:spacing w:after="0" w:line="259" w:lineRule="auto"/>
              <w:ind w:left="0" w:right="0" w:firstLine="0"/>
              <w:jc w:val="center"/>
            </w:pPr>
            <w:r>
              <w:rPr>
                <w:i/>
                <w:sz w:val="18"/>
              </w:rPr>
              <w:t xml:space="preserve"> </w:t>
            </w:r>
          </w:p>
        </w:tc>
      </w:tr>
      <w:tr w:rsidR="00300DB4" w14:paraId="7CB895EF" w14:textId="77777777" w:rsidTr="00E04EFA">
        <w:trPr>
          <w:trHeight w:val="250"/>
        </w:trPr>
        <w:tc>
          <w:tcPr>
            <w:tcW w:w="3629" w:type="dxa"/>
            <w:tcBorders>
              <w:top w:val="single" w:sz="4" w:space="0" w:color="000000"/>
              <w:left w:val="single" w:sz="12" w:space="0" w:color="000000"/>
              <w:bottom w:val="single" w:sz="4" w:space="0" w:color="000000"/>
              <w:right w:val="single" w:sz="12" w:space="0" w:color="000000"/>
            </w:tcBorders>
          </w:tcPr>
          <w:p w14:paraId="65476229" w14:textId="53BBE241" w:rsidR="00300DB4" w:rsidRDefault="00E73CD0" w:rsidP="00300DB4">
            <w:pPr>
              <w:spacing w:after="0" w:line="259" w:lineRule="auto"/>
              <w:ind w:left="2" w:right="0" w:firstLine="0"/>
            </w:pPr>
            <w:r>
              <w:rPr>
                <w:rFonts w:ascii="Symbol" w:eastAsia="Symbol" w:hAnsi="Symbol" w:cs="Symbol"/>
                <w:sz w:val="18"/>
              </w:rPr>
              <w:t>g</w:t>
            </w:r>
            <w:r w:rsidR="00300DB4">
              <w:rPr>
                <w:sz w:val="18"/>
              </w:rPr>
              <w:t xml:space="preserve">-Chlordane </w:t>
            </w:r>
          </w:p>
        </w:tc>
        <w:tc>
          <w:tcPr>
            <w:tcW w:w="1242" w:type="dxa"/>
            <w:tcBorders>
              <w:top w:val="single" w:sz="4" w:space="0" w:color="000000"/>
              <w:left w:val="single" w:sz="12" w:space="0" w:color="000000"/>
              <w:bottom w:val="single" w:sz="4" w:space="0" w:color="000000"/>
              <w:right w:val="single" w:sz="12" w:space="0" w:color="000000"/>
            </w:tcBorders>
          </w:tcPr>
          <w:p w14:paraId="7E8D9D27" w14:textId="77777777" w:rsidR="00300DB4" w:rsidRDefault="00300DB4" w:rsidP="00300DB4">
            <w:pPr>
              <w:spacing w:after="0" w:line="259" w:lineRule="auto"/>
              <w:ind w:left="0" w:right="44" w:firstLine="0"/>
              <w:jc w:val="right"/>
            </w:pPr>
            <w:r>
              <w:rPr>
                <w:sz w:val="18"/>
              </w:rPr>
              <w:t xml:space="preserve">5103-74-2 </w:t>
            </w:r>
          </w:p>
        </w:tc>
        <w:tc>
          <w:tcPr>
            <w:tcW w:w="721" w:type="dxa"/>
            <w:tcBorders>
              <w:top w:val="single" w:sz="4" w:space="0" w:color="000000"/>
              <w:left w:val="single" w:sz="12" w:space="0" w:color="000000"/>
              <w:bottom w:val="single" w:sz="4" w:space="0" w:color="000000"/>
              <w:right w:val="single" w:sz="12" w:space="0" w:color="000000"/>
            </w:tcBorders>
          </w:tcPr>
          <w:p w14:paraId="19D2CE57" w14:textId="1CDE0156" w:rsidR="00300DB4" w:rsidRDefault="00300DB4" w:rsidP="005F34FE">
            <w:pPr>
              <w:spacing w:after="0" w:line="259" w:lineRule="auto"/>
              <w:ind w:left="0" w:right="0" w:firstLine="0"/>
              <w:jc w:val="center"/>
            </w:pPr>
            <w:r>
              <w:rPr>
                <w:sz w:val="18"/>
              </w:rPr>
              <w:t>0.4</w:t>
            </w:r>
          </w:p>
        </w:tc>
        <w:tc>
          <w:tcPr>
            <w:tcW w:w="811" w:type="dxa"/>
            <w:tcBorders>
              <w:top w:val="single" w:sz="4" w:space="0" w:color="000000"/>
              <w:left w:val="single" w:sz="12" w:space="0" w:color="000000"/>
              <w:bottom w:val="single" w:sz="4" w:space="0" w:color="000000"/>
              <w:right w:val="single" w:sz="12" w:space="0" w:color="000000"/>
            </w:tcBorders>
          </w:tcPr>
          <w:p w14:paraId="4742AC1B" w14:textId="4D8159B6" w:rsidR="00300DB4" w:rsidRDefault="00300DB4" w:rsidP="00300DB4">
            <w:pPr>
              <w:spacing w:after="0" w:line="259" w:lineRule="auto"/>
              <w:ind w:left="0" w:right="46" w:firstLine="0"/>
              <w:jc w:val="center"/>
            </w:pPr>
            <w:r>
              <w:rPr>
                <w:sz w:val="18"/>
              </w:rPr>
              <w:t xml:space="preserve">ug/L </w:t>
            </w:r>
          </w:p>
        </w:tc>
        <w:tc>
          <w:tcPr>
            <w:tcW w:w="902" w:type="dxa"/>
            <w:tcBorders>
              <w:top w:val="single" w:sz="4" w:space="0" w:color="000000"/>
              <w:left w:val="single" w:sz="12" w:space="0" w:color="000000"/>
              <w:bottom w:val="single" w:sz="4" w:space="0" w:color="000000"/>
              <w:right w:val="single" w:sz="12" w:space="0" w:color="000000"/>
            </w:tcBorders>
          </w:tcPr>
          <w:p w14:paraId="63D1731B" w14:textId="6EBBB1D6" w:rsidR="00300DB4" w:rsidRDefault="00300DB4" w:rsidP="00DA485B">
            <w:pPr>
              <w:tabs>
                <w:tab w:val="center" w:pos="399"/>
              </w:tabs>
              <w:spacing w:after="0" w:line="259" w:lineRule="auto"/>
              <w:ind w:left="0" w:right="0" w:firstLine="0"/>
              <w:jc w:val="center"/>
            </w:pPr>
            <w:r>
              <w:rPr>
                <w:sz w:val="18"/>
              </w:rPr>
              <w:t>25</w:t>
            </w:r>
          </w:p>
        </w:tc>
        <w:tc>
          <w:tcPr>
            <w:tcW w:w="933" w:type="dxa"/>
            <w:tcBorders>
              <w:top w:val="single" w:sz="4" w:space="0" w:color="000000"/>
              <w:left w:val="single" w:sz="12" w:space="0" w:color="000000"/>
              <w:bottom w:val="single" w:sz="4" w:space="0" w:color="000000"/>
              <w:right w:val="single" w:sz="12" w:space="0" w:color="000000"/>
            </w:tcBorders>
          </w:tcPr>
          <w:p w14:paraId="7539B0D7" w14:textId="23C1646A" w:rsidR="00300DB4" w:rsidRDefault="00300DB4" w:rsidP="00300DB4">
            <w:pPr>
              <w:spacing w:after="0" w:line="259" w:lineRule="auto"/>
              <w:ind w:left="0" w:right="47" w:firstLine="0"/>
              <w:jc w:val="center"/>
            </w:pPr>
            <w:r>
              <w:rPr>
                <w:rFonts w:eastAsia="Segoe UI Symbol"/>
                <w:sz w:val="18"/>
              </w:rPr>
              <w:t>u</w:t>
            </w:r>
            <w:r>
              <w:rPr>
                <w:sz w:val="18"/>
              </w:rPr>
              <w:t>g/kg</w:t>
            </w:r>
          </w:p>
        </w:tc>
        <w:tc>
          <w:tcPr>
            <w:tcW w:w="796" w:type="dxa"/>
            <w:tcBorders>
              <w:top w:val="single" w:sz="4" w:space="0" w:color="000000"/>
              <w:left w:val="single" w:sz="12" w:space="0" w:color="000000"/>
              <w:bottom w:val="single" w:sz="4" w:space="0" w:color="000000"/>
              <w:right w:val="single" w:sz="12" w:space="0" w:color="000000"/>
            </w:tcBorders>
          </w:tcPr>
          <w:p w14:paraId="414226BC" w14:textId="11F2D1A9" w:rsidR="00300DB4" w:rsidRDefault="00300DB4" w:rsidP="00C9450A">
            <w:pPr>
              <w:spacing w:after="0" w:line="259" w:lineRule="auto"/>
              <w:ind w:left="0" w:right="43" w:firstLine="0"/>
              <w:jc w:val="center"/>
            </w:pPr>
            <w:r>
              <w:rPr>
                <w:sz w:val="18"/>
              </w:rPr>
              <w:t>8081</w:t>
            </w:r>
          </w:p>
        </w:tc>
        <w:tc>
          <w:tcPr>
            <w:tcW w:w="1586" w:type="dxa"/>
            <w:tcBorders>
              <w:top w:val="single" w:sz="4" w:space="0" w:color="000000"/>
              <w:left w:val="single" w:sz="12" w:space="0" w:color="000000"/>
              <w:bottom w:val="single" w:sz="4" w:space="0" w:color="000000"/>
              <w:right w:val="single" w:sz="12" w:space="0" w:color="000000"/>
            </w:tcBorders>
          </w:tcPr>
          <w:p w14:paraId="21D4D33D" w14:textId="77777777" w:rsidR="00300DB4" w:rsidRDefault="00300DB4" w:rsidP="00300DB4">
            <w:pPr>
              <w:spacing w:after="0" w:line="259" w:lineRule="auto"/>
              <w:ind w:left="0" w:right="0" w:firstLine="0"/>
              <w:jc w:val="center"/>
            </w:pPr>
            <w:r>
              <w:rPr>
                <w:sz w:val="18"/>
              </w:rPr>
              <w:t xml:space="preserve"> </w:t>
            </w:r>
          </w:p>
        </w:tc>
      </w:tr>
      <w:tr w:rsidR="00300DB4" w14:paraId="375EBE48" w14:textId="77777777" w:rsidTr="00E04EFA">
        <w:trPr>
          <w:trHeight w:val="250"/>
        </w:trPr>
        <w:tc>
          <w:tcPr>
            <w:tcW w:w="3629" w:type="dxa"/>
            <w:tcBorders>
              <w:top w:val="single" w:sz="4" w:space="0" w:color="000000"/>
              <w:left w:val="single" w:sz="12" w:space="0" w:color="000000"/>
              <w:bottom w:val="single" w:sz="4" w:space="0" w:color="000000"/>
              <w:right w:val="single" w:sz="12" w:space="0" w:color="000000"/>
            </w:tcBorders>
          </w:tcPr>
          <w:p w14:paraId="505CFCAA" w14:textId="77777777" w:rsidR="00300DB4" w:rsidRDefault="00300DB4" w:rsidP="00300DB4">
            <w:pPr>
              <w:spacing w:after="0" w:line="259" w:lineRule="auto"/>
              <w:ind w:left="2" w:right="0" w:firstLine="0"/>
            </w:pPr>
            <w:r>
              <w:rPr>
                <w:sz w:val="18"/>
              </w:rPr>
              <w:t>Chlordane</w:t>
            </w:r>
            <w:r>
              <w:rPr>
                <w:i/>
                <w:sz w:val="18"/>
              </w:rPr>
              <w:t>-not otherwise specified</w:t>
            </w:r>
            <w:r>
              <w:rPr>
                <w:sz w:val="18"/>
              </w:rPr>
              <w:t xml:space="preserve"> </w:t>
            </w:r>
          </w:p>
        </w:tc>
        <w:tc>
          <w:tcPr>
            <w:tcW w:w="1242" w:type="dxa"/>
            <w:tcBorders>
              <w:top w:val="single" w:sz="4" w:space="0" w:color="000000"/>
              <w:left w:val="single" w:sz="12" w:space="0" w:color="000000"/>
              <w:bottom w:val="single" w:sz="4" w:space="0" w:color="000000"/>
              <w:right w:val="single" w:sz="12" w:space="0" w:color="000000"/>
            </w:tcBorders>
          </w:tcPr>
          <w:p w14:paraId="1A55F5EE" w14:textId="77777777" w:rsidR="00300DB4" w:rsidRDefault="00300DB4" w:rsidP="00300DB4">
            <w:pPr>
              <w:spacing w:after="0" w:line="259" w:lineRule="auto"/>
              <w:ind w:left="0" w:right="44" w:firstLine="0"/>
              <w:jc w:val="right"/>
            </w:pPr>
            <w:r>
              <w:rPr>
                <w:sz w:val="18"/>
              </w:rPr>
              <w:t xml:space="preserve">57-74-9 </w:t>
            </w:r>
          </w:p>
        </w:tc>
        <w:tc>
          <w:tcPr>
            <w:tcW w:w="721" w:type="dxa"/>
            <w:tcBorders>
              <w:top w:val="single" w:sz="4" w:space="0" w:color="000000"/>
              <w:left w:val="single" w:sz="12" w:space="0" w:color="000000"/>
              <w:bottom w:val="single" w:sz="4" w:space="0" w:color="000000"/>
              <w:right w:val="single" w:sz="12" w:space="0" w:color="000000"/>
            </w:tcBorders>
          </w:tcPr>
          <w:p w14:paraId="6EC85BB6" w14:textId="0BE5FDFD" w:rsidR="00300DB4" w:rsidRDefault="00300DB4" w:rsidP="005F34FE">
            <w:pPr>
              <w:spacing w:after="0" w:line="259" w:lineRule="auto"/>
              <w:ind w:left="0" w:right="0" w:firstLine="0"/>
              <w:jc w:val="center"/>
            </w:pPr>
            <w:r>
              <w:rPr>
                <w:sz w:val="18"/>
              </w:rPr>
              <w:t>0.4</w:t>
            </w:r>
          </w:p>
        </w:tc>
        <w:tc>
          <w:tcPr>
            <w:tcW w:w="811" w:type="dxa"/>
            <w:tcBorders>
              <w:top w:val="single" w:sz="4" w:space="0" w:color="000000"/>
              <w:left w:val="single" w:sz="12" w:space="0" w:color="000000"/>
              <w:bottom w:val="single" w:sz="4" w:space="0" w:color="000000"/>
              <w:right w:val="single" w:sz="12" w:space="0" w:color="000000"/>
            </w:tcBorders>
          </w:tcPr>
          <w:p w14:paraId="1773546C" w14:textId="4D35F2F9" w:rsidR="00300DB4" w:rsidRDefault="00300DB4" w:rsidP="00300DB4">
            <w:pPr>
              <w:spacing w:after="0" w:line="259" w:lineRule="auto"/>
              <w:ind w:left="0" w:right="46" w:firstLine="0"/>
              <w:jc w:val="center"/>
            </w:pPr>
            <w:r>
              <w:rPr>
                <w:sz w:val="18"/>
              </w:rPr>
              <w:t xml:space="preserve">ug/L </w:t>
            </w:r>
          </w:p>
        </w:tc>
        <w:tc>
          <w:tcPr>
            <w:tcW w:w="902" w:type="dxa"/>
            <w:tcBorders>
              <w:top w:val="single" w:sz="4" w:space="0" w:color="000000"/>
              <w:left w:val="single" w:sz="12" w:space="0" w:color="000000"/>
              <w:bottom w:val="single" w:sz="4" w:space="0" w:color="000000"/>
              <w:right w:val="single" w:sz="12" w:space="0" w:color="000000"/>
            </w:tcBorders>
          </w:tcPr>
          <w:p w14:paraId="3E7A7E17" w14:textId="31A23F07" w:rsidR="00300DB4" w:rsidRDefault="00300DB4" w:rsidP="00DA485B">
            <w:pPr>
              <w:tabs>
                <w:tab w:val="center" w:pos="399"/>
              </w:tabs>
              <w:spacing w:after="0" w:line="259" w:lineRule="auto"/>
              <w:ind w:left="0" w:right="0" w:firstLine="0"/>
              <w:jc w:val="center"/>
            </w:pPr>
            <w:r>
              <w:rPr>
                <w:sz w:val="18"/>
              </w:rPr>
              <w:t>25</w:t>
            </w:r>
          </w:p>
        </w:tc>
        <w:tc>
          <w:tcPr>
            <w:tcW w:w="933" w:type="dxa"/>
            <w:tcBorders>
              <w:top w:val="single" w:sz="4" w:space="0" w:color="000000"/>
              <w:left w:val="single" w:sz="12" w:space="0" w:color="000000"/>
              <w:bottom w:val="single" w:sz="4" w:space="0" w:color="000000"/>
              <w:right w:val="single" w:sz="12" w:space="0" w:color="000000"/>
            </w:tcBorders>
          </w:tcPr>
          <w:p w14:paraId="7C43FD70" w14:textId="29B72AB4" w:rsidR="00300DB4" w:rsidRDefault="00300DB4" w:rsidP="00300DB4">
            <w:pPr>
              <w:spacing w:after="0" w:line="259" w:lineRule="auto"/>
              <w:ind w:left="0" w:right="47" w:firstLine="0"/>
              <w:jc w:val="center"/>
            </w:pPr>
            <w:r>
              <w:rPr>
                <w:rFonts w:eastAsia="Segoe UI Symbol"/>
                <w:sz w:val="18"/>
              </w:rPr>
              <w:t>u</w:t>
            </w:r>
            <w:r>
              <w:rPr>
                <w:sz w:val="18"/>
              </w:rPr>
              <w:t>g/kg</w:t>
            </w:r>
          </w:p>
        </w:tc>
        <w:tc>
          <w:tcPr>
            <w:tcW w:w="796" w:type="dxa"/>
            <w:tcBorders>
              <w:top w:val="single" w:sz="4" w:space="0" w:color="000000"/>
              <w:left w:val="single" w:sz="12" w:space="0" w:color="000000"/>
              <w:bottom w:val="single" w:sz="4" w:space="0" w:color="000000"/>
              <w:right w:val="single" w:sz="12" w:space="0" w:color="000000"/>
            </w:tcBorders>
          </w:tcPr>
          <w:p w14:paraId="575E9DA8" w14:textId="2B61F60B" w:rsidR="00300DB4" w:rsidRDefault="00300DB4" w:rsidP="00C9450A">
            <w:pPr>
              <w:spacing w:after="0" w:line="259" w:lineRule="auto"/>
              <w:ind w:left="0" w:right="43" w:firstLine="0"/>
              <w:jc w:val="center"/>
            </w:pPr>
            <w:r>
              <w:rPr>
                <w:sz w:val="18"/>
              </w:rPr>
              <w:t>8081</w:t>
            </w:r>
          </w:p>
        </w:tc>
        <w:tc>
          <w:tcPr>
            <w:tcW w:w="1586" w:type="dxa"/>
            <w:tcBorders>
              <w:top w:val="single" w:sz="4" w:space="0" w:color="000000"/>
              <w:left w:val="single" w:sz="12" w:space="0" w:color="000000"/>
              <w:bottom w:val="single" w:sz="4" w:space="0" w:color="000000"/>
              <w:right w:val="single" w:sz="12" w:space="0" w:color="000000"/>
            </w:tcBorders>
          </w:tcPr>
          <w:p w14:paraId="63D32C7E" w14:textId="77777777" w:rsidR="00300DB4" w:rsidRDefault="00300DB4" w:rsidP="00300DB4">
            <w:pPr>
              <w:spacing w:after="0" w:line="259" w:lineRule="auto"/>
              <w:ind w:left="0" w:right="0" w:firstLine="0"/>
              <w:jc w:val="center"/>
            </w:pPr>
            <w:r>
              <w:rPr>
                <w:sz w:val="18"/>
              </w:rPr>
              <w:t xml:space="preserve"> </w:t>
            </w:r>
          </w:p>
        </w:tc>
      </w:tr>
      <w:tr w:rsidR="00300DB4" w14:paraId="7A4C4AA5" w14:textId="77777777" w:rsidTr="00E04EFA">
        <w:trPr>
          <w:trHeight w:val="250"/>
        </w:trPr>
        <w:tc>
          <w:tcPr>
            <w:tcW w:w="3629" w:type="dxa"/>
            <w:tcBorders>
              <w:top w:val="single" w:sz="4" w:space="0" w:color="000000"/>
              <w:left w:val="single" w:sz="12" w:space="0" w:color="000000"/>
              <w:bottom w:val="single" w:sz="4" w:space="0" w:color="000000"/>
              <w:right w:val="single" w:sz="12" w:space="0" w:color="000000"/>
            </w:tcBorders>
          </w:tcPr>
          <w:p w14:paraId="48B6A832" w14:textId="77777777" w:rsidR="00300DB4" w:rsidRDefault="00300DB4" w:rsidP="00300DB4">
            <w:pPr>
              <w:spacing w:after="0" w:line="259" w:lineRule="auto"/>
              <w:ind w:left="2" w:right="0" w:firstLine="0"/>
            </w:pPr>
            <w:r>
              <w:rPr>
                <w:sz w:val="18"/>
              </w:rPr>
              <w:t xml:space="preserve">4,4'-DDD </w:t>
            </w:r>
          </w:p>
        </w:tc>
        <w:tc>
          <w:tcPr>
            <w:tcW w:w="1242" w:type="dxa"/>
            <w:tcBorders>
              <w:top w:val="single" w:sz="4" w:space="0" w:color="000000"/>
              <w:left w:val="single" w:sz="12" w:space="0" w:color="000000"/>
              <w:bottom w:val="single" w:sz="4" w:space="0" w:color="000000"/>
              <w:right w:val="single" w:sz="12" w:space="0" w:color="000000"/>
            </w:tcBorders>
          </w:tcPr>
          <w:p w14:paraId="225F706A" w14:textId="77777777" w:rsidR="00300DB4" w:rsidRDefault="00300DB4" w:rsidP="00300DB4">
            <w:pPr>
              <w:spacing w:after="0" w:line="259" w:lineRule="auto"/>
              <w:ind w:left="0" w:right="44" w:firstLine="0"/>
              <w:jc w:val="right"/>
            </w:pPr>
            <w:r>
              <w:rPr>
                <w:sz w:val="18"/>
              </w:rPr>
              <w:t xml:space="preserve"> 72-54-8 </w:t>
            </w:r>
          </w:p>
        </w:tc>
        <w:tc>
          <w:tcPr>
            <w:tcW w:w="721" w:type="dxa"/>
            <w:tcBorders>
              <w:top w:val="single" w:sz="4" w:space="0" w:color="000000"/>
              <w:left w:val="single" w:sz="12" w:space="0" w:color="000000"/>
              <w:bottom w:val="single" w:sz="4" w:space="0" w:color="000000"/>
              <w:right w:val="single" w:sz="12" w:space="0" w:color="000000"/>
            </w:tcBorders>
          </w:tcPr>
          <w:p w14:paraId="42685BB7" w14:textId="5603987E" w:rsidR="00300DB4" w:rsidRDefault="00300DB4" w:rsidP="005F34FE">
            <w:pPr>
              <w:spacing w:after="0" w:line="259" w:lineRule="auto"/>
              <w:ind w:left="0" w:right="0" w:firstLine="0"/>
              <w:jc w:val="center"/>
            </w:pPr>
            <w:r>
              <w:rPr>
                <w:sz w:val="18"/>
              </w:rPr>
              <w:t>0.35</w:t>
            </w:r>
          </w:p>
        </w:tc>
        <w:tc>
          <w:tcPr>
            <w:tcW w:w="811" w:type="dxa"/>
            <w:tcBorders>
              <w:top w:val="single" w:sz="4" w:space="0" w:color="000000"/>
              <w:left w:val="single" w:sz="12" w:space="0" w:color="000000"/>
              <w:bottom w:val="single" w:sz="4" w:space="0" w:color="000000"/>
              <w:right w:val="single" w:sz="12" w:space="0" w:color="000000"/>
            </w:tcBorders>
          </w:tcPr>
          <w:p w14:paraId="389340B7" w14:textId="72EDF29C" w:rsidR="00300DB4" w:rsidRDefault="00300DB4" w:rsidP="00300DB4">
            <w:pPr>
              <w:spacing w:after="0" w:line="259" w:lineRule="auto"/>
              <w:ind w:left="0" w:right="46" w:firstLine="0"/>
              <w:jc w:val="center"/>
            </w:pPr>
            <w:r>
              <w:rPr>
                <w:sz w:val="18"/>
              </w:rPr>
              <w:t xml:space="preserve">ug/L </w:t>
            </w:r>
          </w:p>
        </w:tc>
        <w:tc>
          <w:tcPr>
            <w:tcW w:w="902" w:type="dxa"/>
            <w:tcBorders>
              <w:top w:val="single" w:sz="4" w:space="0" w:color="000000"/>
              <w:left w:val="single" w:sz="12" w:space="0" w:color="000000"/>
              <w:bottom w:val="single" w:sz="4" w:space="0" w:color="000000"/>
              <w:right w:val="single" w:sz="12" w:space="0" w:color="000000"/>
            </w:tcBorders>
          </w:tcPr>
          <w:p w14:paraId="04268008" w14:textId="3858B2C1" w:rsidR="00300DB4" w:rsidRDefault="00300DB4" w:rsidP="00DA485B">
            <w:pPr>
              <w:tabs>
                <w:tab w:val="center" w:pos="399"/>
              </w:tabs>
              <w:spacing w:after="0" w:line="259" w:lineRule="auto"/>
              <w:ind w:left="0" w:right="0" w:firstLine="0"/>
              <w:jc w:val="center"/>
            </w:pPr>
            <w:r>
              <w:rPr>
                <w:sz w:val="18"/>
              </w:rPr>
              <w:t>50</w:t>
            </w:r>
          </w:p>
        </w:tc>
        <w:tc>
          <w:tcPr>
            <w:tcW w:w="933" w:type="dxa"/>
            <w:tcBorders>
              <w:top w:val="single" w:sz="4" w:space="0" w:color="000000"/>
              <w:left w:val="single" w:sz="12" w:space="0" w:color="000000"/>
              <w:bottom w:val="single" w:sz="4" w:space="0" w:color="000000"/>
              <w:right w:val="single" w:sz="12" w:space="0" w:color="000000"/>
            </w:tcBorders>
          </w:tcPr>
          <w:p w14:paraId="540A5453" w14:textId="426BF291" w:rsidR="00300DB4" w:rsidRDefault="00300DB4" w:rsidP="00300DB4">
            <w:pPr>
              <w:spacing w:after="0" w:line="259" w:lineRule="auto"/>
              <w:ind w:left="0" w:right="47" w:firstLine="0"/>
              <w:jc w:val="center"/>
            </w:pPr>
            <w:r>
              <w:rPr>
                <w:rFonts w:eastAsia="Segoe UI Symbol"/>
                <w:sz w:val="18"/>
              </w:rPr>
              <w:t>u</w:t>
            </w:r>
            <w:r>
              <w:rPr>
                <w:sz w:val="18"/>
              </w:rPr>
              <w:t>g/kg</w:t>
            </w:r>
          </w:p>
        </w:tc>
        <w:tc>
          <w:tcPr>
            <w:tcW w:w="796" w:type="dxa"/>
            <w:tcBorders>
              <w:top w:val="single" w:sz="4" w:space="0" w:color="000000"/>
              <w:left w:val="single" w:sz="12" w:space="0" w:color="000000"/>
              <w:bottom w:val="single" w:sz="4" w:space="0" w:color="000000"/>
              <w:right w:val="single" w:sz="12" w:space="0" w:color="000000"/>
            </w:tcBorders>
          </w:tcPr>
          <w:p w14:paraId="2B51CE71" w14:textId="6828DFEE" w:rsidR="00300DB4" w:rsidRDefault="00300DB4" w:rsidP="00C9450A">
            <w:pPr>
              <w:spacing w:after="0" w:line="259" w:lineRule="auto"/>
              <w:ind w:left="0" w:right="43" w:firstLine="0"/>
              <w:jc w:val="center"/>
            </w:pPr>
            <w:r>
              <w:rPr>
                <w:sz w:val="18"/>
              </w:rPr>
              <w:t>8081</w:t>
            </w:r>
          </w:p>
        </w:tc>
        <w:tc>
          <w:tcPr>
            <w:tcW w:w="1586" w:type="dxa"/>
            <w:tcBorders>
              <w:top w:val="single" w:sz="4" w:space="0" w:color="000000"/>
              <w:left w:val="single" w:sz="12" w:space="0" w:color="000000"/>
              <w:bottom w:val="single" w:sz="4" w:space="0" w:color="000000"/>
              <w:right w:val="single" w:sz="12" w:space="0" w:color="000000"/>
            </w:tcBorders>
          </w:tcPr>
          <w:p w14:paraId="7C699A2A" w14:textId="77777777" w:rsidR="00300DB4" w:rsidRDefault="00300DB4" w:rsidP="00300DB4">
            <w:pPr>
              <w:spacing w:after="0" w:line="259" w:lineRule="auto"/>
              <w:ind w:left="0" w:right="0" w:firstLine="0"/>
              <w:jc w:val="center"/>
            </w:pPr>
            <w:r>
              <w:rPr>
                <w:sz w:val="18"/>
              </w:rPr>
              <w:t xml:space="preserve"> </w:t>
            </w:r>
          </w:p>
        </w:tc>
      </w:tr>
      <w:tr w:rsidR="00300DB4" w14:paraId="36F74D6E" w14:textId="77777777" w:rsidTr="00E04EFA">
        <w:trPr>
          <w:trHeight w:val="250"/>
        </w:trPr>
        <w:tc>
          <w:tcPr>
            <w:tcW w:w="3629" w:type="dxa"/>
            <w:tcBorders>
              <w:top w:val="single" w:sz="4" w:space="0" w:color="000000"/>
              <w:left w:val="single" w:sz="12" w:space="0" w:color="000000"/>
              <w:bottom w:val="single" w:sz="4" w:space="0" w:color="000000"/>
              <w:right w:val="single" w:sz="12" w:space="0" w:color="000000"/>
            </w:tcBorders>
          </w:tcPr>
          <w:p w14:paraId="5BD892DA" w14:textId="77777777" w:rsidR="00300DB4" w:rsidRDefault="00300DB4" w:rsidP="00300DB4">
            <w:pPr>
              <w:spacing w:after="0" w:line="259" w:lineRule="auto"/>
              <w:ind w:left="2" w:right="0" w:firstLine="0"/>
            </w:pPr>
            <w:r>
              <w:rPr>
                <w:sz w:val="18"/>
              </w:rPr>
              <w:t xml:space="preserve">4,4'-DDE  </w:t>
            </w:r>
          </w:p>
        </w:tc>
        <w:tc>
          <w:tcPr>
            <w:tcW w:w="1242" w:type="dxa"/>
            <w:tcBorders>
              <w:top w:val="single" w:sz="4" w:space="0" w:color="000000"/>
              <w:left w:val="single" w:sz="12" w:space="0" w:color="000000"/>
              <w:bottom w:val="single" w:sz="4" w:space="0" w:color="000000"/>
              <w:right w:val="single" w:sz="12" w:space="0" w:color="000000"/>
            </w:tcBorders>
          </w:tcPr>
          <w:p w14:paraId="1E86993A" w14:textId="77777777" w:rsidR="00300DB4" w:rsidRDefault="00300DB4" w:rsidP="00300DB4">
            <w:pPr>
              <w:spacing w:after="0" w:line="259" w:lineRule="auto"/>
              <w:ind w:left="0" w:right="44" w:firstLine="0"/>
              <w:jc w:val="right"/>
            </w:pPr>
            <w:r>
              <w:rPr>
                <w:sz w:val="18"/>
              </w:rPr>
              <w:t xml:space="preserve">72-55-9 </w:t>
            </w:r>
          </w:p>
        </w:tc>
        <w:tc>
          <w:tcPr>
            <w:tcW w:w="721" w:type="dxa"/>
            <w:tcBorders>
              <w:top w:val="single" w:sz="4" w:space="0" w:color="000000"/>
              <w:left w:val="single" w:sz="12" w:space="0" w:color="000000"/>
              <w:bottom w:val="single" w:sz="4" w:space="0" w:color="000000"/>
              <w:right w:val="single" w:sz="12" w:space="0" w:color="000000"/>
            </w:tcBorders>
          </w:tcPr>
          <w:p w14:paraId="2CB10C5B" w14:textId="43D39B92" w:rsidR="00300DB4" w:rsidRDefault="00300DB4" w:rsidP="005F34FE">
            <w:pPr>
              <w:spacing w:after="0" w:line="259" w:lineRule="auto"/>
              <w:ind w:left="0" w:right="0" w:firstLine="0"/>
              <w:jc w:val="center"/>
            </w:pPr>
            <w:r>
              <w:rPr>
                <w:sz w:val="18"/>
              </w:rPr>
              <w:t>0.25</w:t>
            </w:r>
          </w:p>
        </w:tc>
        <w:tc>
          <w:tcPr>
            <w:tcW w:w="811" w:type="dxa"/>
            <w:tcBorders>
              <w:top w:val="single" w:sz="4" w:space="0" w:color="000000"/>
              <w:left w:val="single" w:sz="12" w:space="0" w:color="000000"/>
              <w:bottom w:val="single" w:sz="4" w:space="0" w:color="000000"/>
              <w:right w:val="single" w:sz="12" w:space="0" w:color="000000"/>
            </w:tcBorders>
          </w:tcPr>
          <w:p w14:paraId="1F33C113" w14:textId="07E72DD0" w:rsidR="00300DB4" w:rsidRDefault="00300DB4" w:rsidP="00300DB4">
            <w:pPr>
              <w:spacing w:after="0" w:line="259" w:lineRule="auto"/>
              <w:ind w:left="0" w:right="46" w:firstLine="0"/>
              <w:jc w:val="center"/>
            </w:pPr>
            <w:r>
              <w:rPr>
                <w:sz w:val="18"/>
              </w:rPr>
              <w:t xml:space="preserve">ug/L </w:t>
            </w:r>
          </w:p>
        </w:tc>
        <w:tc>
          <w:tcPr>
            <w:tcW w:w="902" w:type="dxa"/>
            <w:tcBorders>
              <w:top w:val="single" w:sz="4" w:space="0" w:color="000000"/>
              <w:left w:val="single" w:sz="12" w:space="0" w:color="000000"/>
              <w:bottom w:val="single" w:sz="4" w:space="0" w:color="000000"/>
              <w:right w:val="single" w:sz="12" w:space="0" w:color="000000"/>
            </w:tcBorders>
          </w:tcPr>
          <w:p w14:paraId="1F82AA5B" w14:textId="3DCE6D55" w:rsidR="00300DB4" w:rsidRDefault="00300DB4" w:rsidP="00DA485B">
            <w:pPr>
              <w:tabs>
                <w:tab w:val="center" w:pos="399"/>
              </w:tabs>
              <w:spacing w:after="0" w:line="259" w:lineRule="auto"/>
              <w:ind w:left="0" w:right="0" w:firstLine="0"/>
              <w:jc w:val="center"/>
            </w:pPr>
            <w:r>
              <w:rPr>
                <w:sz w:val="18"/>
              </w:rPr>
              <w:t>50</w:t>
            </w:r>
          </w:p>
        </w:tc>
        <w:tc>
          <w:tcPr>
            <w:tcW w:w="933" w:type="dxa"/>
            <w:tcBorders>
              <w:top w:val="single" w:sz="4" w:space="0" w:color="000000"/>
              <w:left w:val="single" w:sz="12" w:space="0" w:color="000000"/>
              <w:bottom w:val="single" w:sz="4" w:space="0" w:color="000000"/>
              <w:right w:val="single" w:sz="12" w:space="0" w:color="000000"/>
            </w:tcBorders>
          </w:tcPr>
          <w:p w14:paraId="72CE1E3A" w14:textId="4AD532F1" w:rsidR="00300DB4" w:rsidRDefault="00300DB4" w:rsidP="00300DB4">
            <w:pPr>
              <w:spacing w:after="0" w:line="259" w:lineRule="auto"/>
              <w:ind w:left="0" w:right="47" w:firstLine="0"/>
              <w:jc w:val="center"/>
            </w:pPr>
            <w:r>
              <w:rPr>
                <w:rFonts w:eastAsia="Segoe UI Symbol"/>
                <w:sz w:val="18"/>
              </w:rPr>
              <w:t>u</w:t>
            </w:r>
            <w:r>
              <w:rPr>
                <w:sz w:val="18"/>
              </w:rPr>
              <w:t xml:space="preserve">g/kg </w:t>
            </w:r>
          </w:p>
        </w:tc>
        <w:tc>
          <w:tcPr>
            <w:tcW w:w="796" w:type="dxa"/>
            <w:tcBorders>
              <w:top w:val="single" w:sz="4" w:space="0" w:color="000000"/>
              <w:left w:val="single" w:sz="12" w:space="0" w:color="000000"/>
              <w:bottom w:val="single" w:sz="4" w:space="0" w:color="000000"/>
              <w:right w:val="single" w:sz="12" w:space="0" w:color="000000"/>
            </w:tcBorders>
          </w:tcPr>
          <w:p w14:paraId="686A879C" w14:textId="0323A8CC" w:rsidR="00300DB4" w:rsidRDefault="00300DB4" w:rsidP="00C9450A">
            <w:pPr>
              <w:spacing w:after="0" w:line="259" w:lineRule="auto"/>
              <w:ind w:left="0" w:right="43" w:firstLine="0"/>
              <w:jc w:val="center"/>
            </w:pPr>
            <w:r>
              <w:rPr>
                <w:sz w:val="18"/>
              </w:rPr>
              <w:t>8081</w:t>
            </w:r>
          </w:p>
        </w:tc>
        <w:tc>
          <w:tcPr>
            <w:tcW w:w="1586" w:type="dxa"/>
            <w:tcBorders>
              <w:top w:val="single" w:sz="4" w:space="0" w:color="000000"/>
              <w:left w:val="single" w:sz="12" w:space="0" w:color="000000"/>
              <w:bottom w:val="single" w:sz="4" w:space="0" w:color="000000"/>
              <w:right w:val="single" w:sz="12" w:space="0" w:color="000000"/>
            </w:tcBorders>
          </w:tcPr>
          <w:p w14:paraId="59E16547" w14:textId="77777777" w:rsidR="00300DB4" w:rsidRDefault="00300DB4" w:rsidP="00300DB4">
            <w:pPr>
              <w:spacing w:after="0" w:line="259" w:lineRule="auto"/>
              <w:ind w:left="0" w:right="0" w:firstLine="0"/>
              <w:jc w:val="center"/>
            </w:pPr>
            <w:r>
              <w:rPr>
                <w:sz w:val="18"/>
              </w:rPr>
              <w:t xml:space="preserve"> </w:t>
            </w:r>
          </w:p>
        </w:tc>
      </w:tr>
      <w:tr w:rsidR="00300DB4" w14:paraId="35D6748F" w14:textId="77777777" w:rsidTr="00E04EFA">
        <w:trPr>
          <w:trHeight w:val="250"/>
        </w:trPr>
        <w:tc>
          <w:tcPr>
            <w:tcW w:w="3629" w:type="dxa"/>
            <w:tcBorders>
              <w:top w:val="single" w:sz="4" w:space="0" w:color="000000"/>
              <w:left w:val="single" w:sz="12" w:space="0" w:color="000000"/>
              <w:bottom w:val="single" w:sz="4" w:space="0" w:color="000000"/>
              <w:right w:val="single" w:sz="12" w:space="0" w:color="000000"/>
            </w:tcBorders>
          </w:tcPr>
          <w:p w14:paraId="4862395F" w14:textId="77777777" w:rsidR="00300DB4" w:rsidRDefault="00300DB4" w:rsidP="00300DB4">
            <w:pPr>
              <w:spacing w:after="0" w:line="259" w:lineRule="auto"/>
              <w:ind w:left="2" w:right="0" w:firstLine="0"/>
            </w:pPr>
            <w:r>
              <w:rPr>
                <w:sz w:val="18"/>
              </w:rPr>
              <w:t xml:space="preserve">4,4'-DDT </w:t>
            </w:r>
          </w:p>
        </w:tc>
        <w:tc>
          <w:tcPr>
            <w:tcW w:w="1242" w:type="dxa"/>
            <w:tcBorders>
              <w:top w:val="single" w:sz="4" w:space="0" w:color="000000"/>
              <w:left w:val="single" w:sz="12" w:space="0" w:color="000000"/>
              <w:bottom w:val="single" w:sz="4" w:space="0" w:color="000000"/>
              <w:right w:val="single" w:sz="12" w:space="0" w:color="000000"/>
            </w:tcBorders>
          </w:tcPr>
          <w:p w14:paraId="7B3FC521" w14:textId="77777777" w:rsidR="00300DB4" w:rsidRDefault="00300DB4" w:rsidP="00300DB4">
            <w:pPr>
              <w:spacing w:after="0" w:line="259" w:lineRule="auto"/>
              <w:ind w:left="0" w:right="44" w:firstLine="0"/>
              <w:jc w:val="right"/>
            </w:pPr>
            <w:r>
              <w:rPr>
                <w:sz w:val="18"/>
              </w:rPr>
              <w:t xml:space="preserve"> 50-29-3 </w:t>
            </w:r>
          </w:p>
        </w:tc>
        <w:tc>
          <w:tcPr>
            <w:tcW w:w="721" w:type="dxa"/>
            <w:tcBorders>
              <w:top w:val="single" w:sz="4" w:space="0" w:color="000000"/>
              <w:left w:val="single" w:sz="12" w:space="0" w:color="000000"/>
              <w:bottom w:val="single" w:sz="4" w:space="0" w:color="000000"/>
              <w:right w:val="single" w:sz="12" w:space="0" w:color="000000"/>
            </w:tcBorders>
          </w:tcPr>
          <w:p w14:paraId="587A781A" w14:textId="3B66AC28" w:rsidR="00300DB4" w:rsidRDefault="00300DB4" w:rsidP="005F34FE">
            <w:pPr>
              <w:spacing w:after="0" w:line="259" w:lineRule="auto"/>
              <w:ind w:left="0" w:right="0" w:firstLine="0"/>
              <w:jc w:val="center"/>
            </w:pPr>
            <w:r>
              <w:rPr>
                <w:sz w:val="18"/>
              </w:rPr>
              <w:t>0.25</w:t>
            </w:r>
          </w:p>
        </w:tc>
        <w:tc>
          <w:tcPr>
            <w:tcW w:w="811" w:type="dxa"/>
            <w:tcBorders>
              <w:top w:val="single" w:sz="4" w:space="0" w:color="000000"/>
              <w:left w:val="single" w:sz="12" w:space="0" w:color="000000"/>
              <w:bottom w:val="single" w:sz="4" w:space="0" w:color="000000"/>
              <w:right w:val="single" w:sz="12" w:space="0" w:color="000000"/>
            </w:tcBorders>
          </w:tcPr>
          <w:p w14:paraId="6D5E53AF" w14:textId="52DAA212" w:rsidR="00300DB4" w:rsidRDefault="00300DB4" w:rsidP="00300DB4">
            <w:pPr>
              <w:spacing w:after="0" w:line="259" w:lineRule="auto"/>
              <w:ind w:left="0" w:right="46" w:firstLine="0"/>
              <w:jc w:val="center"/>
            </w:pPr>
            <w:r>
              <w:rPr>
                <w:sz w:val="18"/>
              </w:rPr>
              <w:t xml:space="preserve">ug/L </w:t>
            </w:r>
          </w:p>
        </w:tc>
        <w:tc>
          <w:tcPr>
            <w:tcW w:w="902" w:type="dxa"/>
            <w:tcBorders>
              <w:top w:val="single" w:sz="4" w:space="0" w:color="000000"/>
              <w:left w:val="single" w:sz="12" w:space="0" w:color="000000"/>
              <w:bottom w:val="single" w:sz="4" w:space="0" w:color="000000"/>
              <w:right w:val="single" w:sz="12" w:space="0" w:color="000000"/>
            </w:tcBorders>
          </w:tcPr>
          <w:p w14:paraId="56BD6366" w14:textId="334519D7" w:rsidR="00300DB4" w:rsidRDefault="00300DB4" w:rsidP="00DA485B">
            <w:pPr>
              <w:tabs>
                <w:tab w:val="center" w:pos="399"/>
              </w:tabs>
              <w:spacing w:after="0" w:line="259" w:lineRule="auto"/>
              <w:ind w:left="0" w:right="0" w:firstLine="0"/>
              <w:jc w:val="center"/>
            </w:pPr>
            <w:r>
              <w:rPr>
                <w:sz w:val="18"/>
              </w:rPr>
              <w:t>50</w:t>
            </w:r>
          </w:p>
        </w:tc>
        <w:tc>
          <w:tcPr>
            <w:tcW w:w="933" w:type="dxa"/>
            <w:tcBorders>
              <w:top w:val="single" w:sz="4" w:space="0" w:color="000000"/>
              <w:left w:val="single" w:sz="12" w:space="0" w:color="000000"/>
              <w:bottom w:val="single" w:sz="4" w:space="0" w:color="000000"/>
              <w:right w:val="single" w:sz="12" w:space="0" w:color="000000"/>
            </w:tcBorders>
          </w:tcPr>
          <w:p w14:paraId="3A9B1F97" w14:textId="44A5EC73" w:rsidR="00300DB4" w:rsidRDefault="00300DB4" w:rsidP="00300DB4">
            <w:pPr>
              <w:spacing w:after="0" w:line="259" w:lineRule="auto"/>
              <w:ind w:left="0" w:right="47" w:firstLine="0"/>
              <w:jc w:val="center"/>
            </w:pPr>
            <w:r>
              <w:rPr>
                <w:rFonts w:eastAsia="Segoe UI Symbol"/>
                <w:sz w:val="18"/>
              </w:rPr>
              <w:t>u</w:t>
            </w:r>
            <w:r>
              <w:rPr>
                <w:sz w:val="18"/>
              </w:rPr>
              <w:t xml:space="preserve">g/kg </w:t>
            </w:r>
          </w:p>
        </w:tc>
        <w:tc>
          <w:tcPr>
            <w:tcW w:w="796" w:type="dxa"/>
            <w:tcBorders>
              <w:top w:val="single" w:sz="4" w:space="0" w:color="000000"/>
              <w:left w:val="single" w:sz="12" w:space="0" w:color="000000"/>
              <w:bottom w:val="single" w:sz="4" w:space="0" w:color="000000"/>
              <w:right w:val="single" w:sz="12" w:space="0" w:color="000000"/>
            </w:tcBorders>
          </w:tcPr>
          <w:p w14:paraId="6C17AE08" w14:textId="0A0F4CD7" w:rsidR="00300DB4" w:rsidRDefault="00300DB4" w:rsidP="00C9450A">
            <w:pPr>
              <w:spacing w:after="0" w:line="259" w:lineRule="auto"/>
              <w:ind w:left="0" w:right="43" w:firstLine="0"/>
              <w:jc w:val="center"/>
            </w:pPr>
            <w:r>
              <w:rPr>
                <w:sz w:val="18"/>
              </w:rPr>
              <w:t>8081</w:t>
            </w:r>
          </w:p>
        </w:tc>
        <w:tc>
          <w:tcPr>
            <w:tcW w:w="1586" w:type="dxa"/>
            <w:tcBorders>
              <w:top w:val="single" w:sz="4" w:space="0" w:color="000000"/>
              <w:left w:val="single" w:sz="12" w:space="0" w:color="000000"/>
              <w:bottom w:val="single" w:sz="4" w:space="0" w:color="000000"/>
              <w:right w:val="single" w:sz="12" w:space="0" w:color="000000"/>
            </w:tcBorders>
          </w:tcPr>
          <w:p w14:paraId="637C625D" w14:textId="77777777" w:rsidR="00300DB4" w:rsidRDefault="00300DB4" w:rsidP="00300DB4">
            <w:pPr>
              <w:spacing w:after="0" w:line="259" w:lineRule="auto"/>
              <w:ind w:left="0" w:right="0" w:firstLine="0"/>
              <w:jc w:val="center"/>
            </w:pPr>
            <w:r>
              <w:rPr>
                <w:sz w:val="18"/>
              </w:rPr>
              <w:t xml:space="preserve"> </w:t>
            </w:r>
          </w:p>
        </w:tc>
      </w:tr>
      <w:tr w:rsidR="00300DB4" w14:paraId="093F8D9B" w14:textId="77777777" w:rsidTr="00E04EFA">
        <w:trPr>
          <w:trHeight w:val="253"/>
        </w:trPr>
        <w:tc>
          <w:tcPr>
            <w:tcW w:w="3629" w:type="dxa"/>
            <w:tcBorders>
              <w:top w:val="single" w:sz="4" w:space="0" w:color="000000"/>
              <w:left w:val="single" w:sz="12" w:space="0" w:color="000000"/>
              <w:bottom w:val="single" w:sz="4" w:space="0" w:color="000000"/>
              <w:right w:val="single" w:sz="12" w:space="0" w:color="000000"/>
            </w:tcBorders>
          </w:tcPr>
          <w:p w14:paraId="7F426591" w14:textId="77777777" w:rsidR="00300DB4" w:rsidRDefault="00300DB4" w:rsidP="00300DB4">
            <w:pPr>
              <w:spacing w:after="0" w:line="259" w:lineRule="auto"/>
              <w:ind w:left="2" w:right="0" w:firstLine="0"/>
            </w:pPr>
            <w:r>
              <w:rPr>
                <w:sz w:val="18"/>
              </w:rPr>
              <w:t xml:space="preserve">Dieldrin </w:t>
            </w:r>
          </w:p>
        </w:tc>
        <w:tc>
          <w:tcPr>
            <w:tcW w:w="1242" w:type="dxa"/>
            <w:tcBorders>
              <w:top w:val="single" w:sz="4" w:space="0" w:color="000000"/>
              <w:left w:val="single" w:sz="12" w:space="0" w:color="000000"/>
              <w:bottom w:val="single" w:sz="4" w:space="0" w:color="000000"/>
              <w:right w:val="single" w:sz="12" w:space="0" w:color="000000"/>
            </w:tcBorders>
          </w:tcPr>
          <w:p w14:paraId="313F60CA" w14:textId="77777777" w:rsidR="00300DB4" w:rsidRDefault="00300DB4" w:rsidP="00300DB4">
            <w:pPr>
              <w:spacing w:after="0" w:line="259" w:lineRule="auto"/>
              <w:ind w:left="0" w:right="44" w:firstLine="0"/>
              <w:jc w:val="right"/>
            </w:pPr>
            <w:r>
              <w:rPr>
                <w:sz w:val="18"/>
              </w:rPr>
              <w:t xml:space="preserve">60-57-1 </w:t>
            </w:r>
          </w:p>
        </w:tc>
        <w:tc>
          <w:tcPr>
            <w:tcW w:w="721" w:type="dxa"/>
            <w:tcBorders>
              <w:top w:val="single" w:sz="4" w:space="0" w:color="000000"/>
              <w:left w:val="single" w:sz="12" w:space="0" w:color="000000"/>
              <w:bottom w:val="single" w:sz="4" w:space="0" w:color="000000"/>
              <w:right w:val="single" w:sz="12" w:space="0" w:color="000000"/>
            </w:tcBorders>
          </w:tcPr>
          <w:p w14:paraId="6770FBA0" w14:textId="7FDC265B" w:rsidR="00300DB4" w:rsidRDefault="00300DB4" w:rsidP="005F34FE">
            <w:pPr>
              <w:spacing w:after="0" w:line="259" w:lineRule="auto"/>
              <w:ind w:left="0" w:right="0" w:firstLine="0"/>
              <w:jc w:val="center"/>
            </w:pPr>
            <w:r>
              <w:rPr>
                <w:b/>
                <w:sz w:val="18"/>
              </w:rPr>
              <w:t>0.04</w:t>
            </w:r>
          </w:p>
        </w:tc>
        <w:tc>
          <w:tcPr>
            <w:tcW w:w="811" w:type="dxa"/>
            <w:tcBorders>
              <w:top w:val="single" w:sz="4" w:space="0" w:color="000000"/>
              <w:left w:val="single" w:sz="12" w:space="0" w:color="000000"/>
              <w:bottom w:val="single" w:sz="4" w:space="0" w:color="000000"/>
              <w:right w:val="single" w:sz="12" w:space="0" w:color="000000"/>
            </w:tcBorders>
          </w:tcPr>
          <w:p w14:paraId="74720595" w14:textId="440D3C2E" w:rsidR="00300DB4" w:rsidRDefault="00300DB4" w:rsidP="00300DB4">
            <w:pPr>
              <w:spacing w:after="0" w:line="259" w:lineRule="auto"/>
              <w:ind w:left="0" w:right="46" w:firstLine="0"/>
              <w:jc w:val="center"/>
            </w:pPr>
            <w:r>
              <w:rPr>
                <w:sz w:val="18"/>
              </w:rPr>
              <w:t xml:space="preserve">ug/L </w:t>
            </w:r>
          </w:p>
        </w:tc>
        <w:tc>
          <w:tcPr>
            <w:tcW w:w="902" w:type="dxa"/>
            <w:tcBorders>
              <w:top w:val="single" w:sz="4" w:space="0" w:color="000000"/>
              <w:left w:val="single" w:sz="12" w:space="0" w:color="000000"/>
              <w:bottom w:val="single" w:sz="4" w:space="0" w:color="000000"/>
              <w:right w:val="single" w:sz="12" w:space="0" w:color="000000"/>
            </w:tcBorders>
          </w:tcPr>
          <w:p w14:paraId="554D2AE0" w14:textId="7CFD1D46" w:rsidR="00300DB4" w:rsidRDefault="00300DB4" w:rsidP="00DA485B">
            <w:pPr>
              <w:tabs>
                <w:tab w:val="center" w:pos="445"/>
              </w:tabs>
              <w:spacing w:after="0" w:line="259" w:lineRule="auto"/>
              <w:ind w:left="0" w:right="0" w:firstLine="0"/>
              <w:jc w:val="center"/>
            </w:pPr>
            <w:r>
              <w:rPr>
                <w:b/>
                <w:sz w:val="18"/>
              </w:rPr>
              <w:t>2</w:t>
            </w:r>
          </w:p>
        </w:tc>
        <w:tc>
          <w:tcPr>
            <w:tcW w:w="933" w:type="dxa"/>
            <w:tcBorders>
              <w:top w:val="single" w:sz="4" w:space="0" w:color="000000"/>
              <w:left w:val="single" w:sz="12" w:space="0" w:color="000000"/>
              <w:bottom w:val="single" w:sz="4" w:space="0" w:color="000000"/>
              <w:right w:val="single" w:sz="12" w:space="0" w:color="000000"/>
            </w:tcBorders>
          </w:tcPr>
          <w:p w14:paraId="0C72B60F" w14:textId="694AB00C" w:rsidR="00300DB4" w:rsidRDefault="00300DB4" w:rsidP="00300DB4">
            <w:pPr>
              <w:spacing w:after="0" w:line="259" w:lineRule="auto"/>
              <w:ind w:left="0" w:right="47" w:firstLine="0"/>
              <w:jc w:val="center"/>
            </w:pPr>
            <w:r>
              <w:rPr>
                <w:rFonts w:eastAsia="Segoe UI Symbol"/>
                <w:sz w:val="18"/>
              </w:rPr>
              <w:t>u</w:t>
            </w:r>
            <w:r>
              <w:rPr>
                <w:sz w:val="18"/>
              </w:rPr>
              <w:t xml:space="preserve">g/kg </w:t>
            </w:r>
          </w:p>
        </w:tc>
        <w:tc>
          <w:tcPr>
            <w:tcW w:w="796" w:type="dxa"/>
            <w:tcBorders>
              <w:top w:val="single" w:sz="4" w:space="0" w:color="000000"/>
              <w:left w:val="single" w:sz="12" w:space="0" w:color="000000"/>
              <w:bottom w:val="single" w:sz="4" w:space="0" w:color="000000"/>
              <w:right w:val="single" w:sz="12" w:space="0" w:color="000000"/>
            </w:tcBorders>
          </w:tcPr>
          <w:p w14:paraId="27BF1965" w14:textId="08038677" w:rsidR="00300DB4" w:rsidRDefault="00300DB4" w:rsidP="00C9450A">
            <w:pPr>
              <w:spacing w:after="0" w:line="259" w:lineRule="auto"/>
              <w:ind w:left="0" w:right="43" w:firstLine="0"/>
              <w:jc w:val="center"/>
            </w:pPr>
            <w:r>
              <w:rPr>
                <w:sz w:val="18"/>
              </w:rPr>
              <w:t>8081</w:t>
            </w:r>
          </w:p>
        </w:tc>
        <w:tc>
          <w:tcPr>
            <w:tcW w:w="1586" w:type="dxa"/>
            <w:tcBorders>
              <w:top w:val="single" w:sz="4" w:space="0" w:color="000000"/>
              <w:left w:val="single" w:sz="12" w:space="0" w:color="000000"/>
              <w:bottom w:val="single" w:sz="4" w:space="0" w:color="000000"/>
              <w:right w:val="single" w:sz="12" w:space="0" w:color="000000"/>
            </w:tcBorders>
          </w:tcPr>
          <w:p w14:paraId="693DF727" w14:textId="77777777" w:rsidR="00300DB4" w:rsidRDefault="00300DB4" w:rsidP="00300DB4">
            <w:pPr>
              <w:spacing w:after="0" w:line="259" w:lineRule="auto"/>
              <w:ind w:left="0" w:right="0" w:firstLine="0"/>
              <w:jc w:val="center"/>
            </w:pPr>
            <w:r>
              <w:rPr>
                <w:sz w:val="18"/>
              </w:rPr>
              <w:t xml:space="preserve"> </w:t>
            </w:r>
          </w:p>
        </w:tc>
      </w:tr>
      <w:tr w:rsidR="00300DB4" w14:paraId="2BE51154" w14:textId="77777777" w:rsidTr="00E04EFA">
        <w:trPr>
          <w:trHeight w:val="250"/>
        </w:trPr>
        <w:tc>
          <w:tcPr>
            <w:tcW w:w="3629" w:type="dxa"/>
            <w:tcBorders>
              <w:top w:val="single" w:sz="4" w:space="0" w:color="000000"/>
              <w:left w:val="single" w:sz="12" w:space="0" w:color="000000"/>
              <w:bottom w:val="single" w:sz="4" w:space="0" w:color="000000"/>
              <w:right w:val="single" w:sz="12" w:space="0" w:color="000000"/>
            </w:tcBorders>
          </w:tcPr>
          <w:p w14:paraId="66281F24" w14:textId="2A6A7DCC" w:rsidR="00300DB4" w:rsidRDefault="00300DB4" w:rsidP="00300DB4">
            <w:pPr>
              <w:spacing w:after="0" w:line="259" w:lineRule="auto"/>
              <w:ind w:left="2" w:right="0" w:firstLine="0"/>
            </w:pPr>
            <w:r>
              <w:rPr>
                <w:sz w:val="18"/>
              </w:rPr>
              <w:t>Endosulfan I (</w:t>
            </w:r>
            <w:r w:rsidR="00C0781F">
              <w:rPr>
                <w:rFonts w:ascii="Symbol" w:eastAsia="Symbol" w:hAnsi="Symbol" w:cs="Symbol"/>
                <w:sz w:val="18"/>
              </w:rPr>
              <w:t>a</w:t>
            </w:r>
            <w:r w:rsidR="00C0781F">
              <w:rPr>
                <w:sz w:val="18"/>
              </w:rPr>
              <w:t>-Endosulfan</w:t>
            </w:r>
            <w:r>
              <w:rPr>
                <w:sz w:val="18"/>
              </w:rPr>
              <w:t xml:space="preserve">) </w:t>
            </w:r>
          </w:p>
        </w:tc>
        <w:tc>
          <w:tcPr>
            <w:tcW w:w="1242" w:type="dxa"/>
            <w:tcBorders>
              <w:top w:val="single" w:sz="4" w:space="0" w:color="000000"/>
              <w:left w:val="single" w:sz="12" w:space="0" w:color="000000"/>
              <w:bottom w:val="single" w:sz="4" w:space="0" w:color="000000"/>
              <w:right w:val="single" w:sz="12" w:space="0" w:color="000000"/>
            </w:tcBorders>
          </w:tcPr>
          <w:p w14:paraId="2C3F8BE2" w14:textId="77777777" w:rsidR="00300DB4" w:rsidRDefault="00300DB4" w:rsidP="00300DB4">
            <w:pPr>
              <w:spacing w:after="0" w:line="259" w:lineRule="auto"/>
              <w:ind w:left="0" w:right="44" w:firstLine="0"/>
              <w:jc w:val="right"/>
            </w:pPr>
            <w:r>
              <w:rPr>
                <w:sz w:val="18"/>
              </w:rPr>
              <w:t xml:space="preserve">959-98-8 </w:t>
            </w:r>
          </w:p>
        </w:tc>
        <w:tc>
          <w:tcPr>
            <w:tcW w:w="721" w:type="dxa"/>
            <w:tcBorders>
              <w:top w:val="single" w:sz="4" w:space="0" w:color="000000"/>
              <w:left w:val="single" w:sz="12" w:space="0" w:color="000000"/>
              <w:bottom w:val="single" w:sz="4" w:space="0" w:color="000000"/>
              <w:right w:val="single" w:sz="12" w:space="0" w:color="000000"/>
            </w:tcBorders>
          </w:tcPr>
          <w:p w14:paraId="1CE634D8" w14:textId="114D79CD" w:rsidR="00300DB4" w:rsidRDefault="00300DB4" w:rsidP="005F34FE">
            <w:pPr>
              <w:spacing w:after="0" w:line="259" w:lineRule="auto"/>
              <w:ind w:left="0" w:right="0" w:firstLine="0"/>
              <w:jc w:val="center"/>
            </w:pPr>
            <w:r>
              <w:rPr>
                <w:sz w:val="18"/>
              </w:rPr>
              <w:t>1</w:t>
            </w:r>
          </w:p>
        </w:tc>
        <w:tc>
          <w:tcPr>
            <w:tcW w:w="811" w:type="dxa"/>
            <w:tcBorders>
              <w:top w:val="single" w:sz="4" w:space="0" w:color="000000"/>
              <w:left w:val="single" w:sz="12" w:space="0" w:color="000000"/>
              <w:bottom w:val="single" w:sz="4" w:space="0" w:color="000000"/>
              <w:right w:val="single" w:sz="12" w:space="0" w:color="000000"/>
            </w:tcBorders>
          </w:tcPr>
          <w:p w14:paraId="468610D8" w14:textId="1B6C3168" w:rsidR="00300DB4" w:rsidRDefault="00300DB4" w:rsidP="00300DB4">
            <w:pPr>
              <w:spacing w:after="0" w:line="259" w:lineRule="auto"/>
              <w:ind w:left="0" w:right="46" w:firstLine="0"/>
              <w:jc w:val="center"/>
            </w:pPr>
            <w:r>
              <w:rPr>
                <w:sz w:val="18"/>
              </w:rPr>
              <w:t xml:space="preserve">ug/L </w:t>
            </w:r>
          </w:p>
        </w:tc>
        <w:tc>
          <w:tcPr>
            <w:tcW w:w="902" w:type="dxa"/>
            <w:tcBorders>
              <w:top w:val="single" w:sz="4" w:space="0" w:color="000000"/>
              <w:left w:val="single" w:sz="12" w:space="0" w:color="000000"/>
              <w:bottom w:val="single" w:sz="4" w:space="0" w:color="000000"/>
              <w:right w:val="single" w:sz="12" w:space="0" w:color="000000"/>
            </w:tcBorders>
          </w:tcPr>
          <w:p w14:paraId="20410829" w14:textId="15591446" w:rsidR="00300DB4" w:rsidRDefault="00300DB4" w:rsidP="00DA485B">
            <w:pPr>
              <w:tabs>
                <w:tab w:val="center" w:pos="399"/>
              </w:tabs>
              <w:spacing w:after="0" w:line="259" w:lineRule="auto"/>
              <w:ind w:left="0" w:right="0" w:firstLine="0"/>
              <w:jc w:val="center"/>
            </w:pPr>
            <w:r>
              <w:rPr>
                <w:sz w:val="18"/>
              </w:rPr>
              <w:t>50</w:t>
            </w:r>
          </w:p>
        </w:tc>
        <w:tc>
          <w:tcPr>
            <w:tcW w:w="933" w:type="dxa"/>
            <w:tcBorders>
              <w:top w:val="single" w:sz="4" w:space="0" w:color="000000"/>
              <w:left w:val="single" w:sz="12" w:space="0" w:color="000000"/>
              <w:bottom w:val="single" w:sz="4" w:space="0" w:color="000000"/>
              <w:right w:val="single" w:sz="12" w:space="0" w:color="000000"/>
            </w:tcBorders>
          </w:tcPr>
          <w:p w14:paraId="79E2D0A0" w14:textId="20B01117" w:rsidR="00300DB4" w:rsidRDefault="00300DB4" w:rsidP="00300DB4">
            <w:pPr>
              <w:spacing w:after="0" w:line="259" w:lineRule="auto"/>
              <w:ind w:left="0" w:right="47" w:firstLine="0"/>
              <w:jc w:val="center"/>
            </w:pPr>
            <w:r>
              <w:rPr>
                <w:rFonts w:eastAsia="Segoe UI Symbol"/>
                <w:sz w:val="18"/>
              </w:rPr>
              <w:t>u</w:t>
            </w:r>
            <w:r>
              <w:rPr>
                <w:sz w:val="18"/>
              </w:rPr>
              <w:t>g/kg</w:t>
            </w:r>
          </w:p>
        </w:tc>
        <w:tc>
          <w:tcPr>
            <w:tcW w:w="796" w:type="dxa"/>
            <w:tcBorders>
              <w:top w:val="single" w:sz="4" w:space="0" w:color="000000"/>
              <w:left w:val="single" w:sz="12" w:space="0" w:color="000000"/>
              <w:bottom w:val="single" w:sz="4" w:space="0" w:color="000000"/>
              <w:right w:val="single" w:sz="12" w:space="0" w:color="000000"/>
            </w:tcBorders>
          </w:tcPr>
          <w:p w14:paraId="0D6A9220" w14:textId="0A4A29BD" w:rsidR="00300DB4" w:rsidRDefault="00300DB4" w:rsidP="00C9450A">
            <w:pPr>
              <w:spacing w:after="0" w:line="259" w:lineRule="auto"/>
              <w:ind w:left="0" w:right="43" w:firstLine="0"/>
              <w:jc w:val="center"/>
            </w:pPr>
            <w:r>
              <w:rPr>
                <w:sz w:val="18"/>
              </w:rPr>
              <w:t>8081</w:t>
            </w:r>
          </w:p>
        </w:tc>
        <w:tc>
          <w:tcPr>
            <w:tcW w:w="1586" w:type="dxa"/>
            <w:tcBorders>
              <w:top w:val="single" w:sz="4" w:space="0" w:color="000000"/>
              <w:left w:val="single" w:sz="12" w:space="0" w:color="000000"/>
              <w:bottom w:val="single" w:sz="4" w:space="0" w:color="000000"/>
              <w:right w:val="single" w:sz="12" w:space="0" w:color="000000"/>
            </w:tcBorders>
          </w:tcPr>
          <w:p w14:paraId="4C747CD0" w14:textId="77777777" w:rsidR="00300DB4" w:rsidRDefault="00300DB4" w:rsidP="00300DB4">
            <w:pPr>
              <w:spacing w:after="0" w:line="259" w:lineRule="auto"/>
              <w:ind w:left="0" w:right="0" w:firstLine="0"/>
              <w:jc w:val="center"/>
            </w:pPr>
            <w:r>
              <w:rPr>
                <w:sz w:val="18"/>
              </w:rPr>
              <w:t xml:space="preserve"> </w:t>
            </w:r>
          </w:p>
        </w:tc>
      </w:tr>
      <w:tr w:rsidR="00300DB4" w14:paraId="6DCADC4A" w14:textId="77777777" w:rsidTr="00E04EFA">
        <w:trPr>
          <w:trHeight w:val="250"/>
        </w:trPr>
        <w:tc>
          <w:tcPr>
            <w:tcW w:w="3629" w:type="dxa"/>
            <w:tcBorders>
              <w:top w:val="single" w:sz="4" w:space="0" w:color="000000"/>
              <w:left w:val="single" w:sz="12" w:space="0" w:color="000000"/>
              <w:bottom w:val="single" w:sz="4" w:space="0" w:color="000000"/>
              <w:right w:val="single" w:sz="12" w:space="0" w:color="000000"/>
            </w:tcBorders>
          </w:tcPr>
          <w:p w14:paraId="0DD68E39" w14:textId="5268D240" w:rsidR="00300DB4" w:rsidRDefault="00300DB4" w:rsidP="00300DB4">
            <w:pPr>
              <w:spacing w:after="0" w:line="259" w:lineRule="auto"/>
              <w:ind w:left="2" w:right="0" w:firstLine="0"/>
            </w:pPr>
            <w:r>
              <w:rPr>
                <w:sz w:val="18"/>
              </w:rPr>
              <w:t>Endosulfan II (</w:t>
            </w:r>
            <w:r w:rsidR="00C0781F">
              <w:rPr>
                <w:rFonts w:ascii="Symbol" w:eastAsia="Symbol" w:hAnsi="Symbol" w:cs="Symbol"/>
                <w:sz w:val="18"/>
              </w:rPr>
              <w:t>b</w:t>
            </w:r>
            <w:r w:rsidR="00C0781F">
              <w:rPr>
                <w:sz w:val="18"/>
              </w:rPr>
              <w:t>-Endosulfan</w:t>
            </w:r>
            <w:r>
              <w:rPr>
                <w:sz w:val="18"/>
              </w:rPr>
              <w:t xml:space="preserve">) </w:t>
            </w:r>
          </w:p>
        </w:tc>
        <w:tc>
          <w:tcPr>
            <w:tcW w:w="1242" w:type="dxa"/>
            <w:tcBorders>
              <w:top w:val="single" w:sz="4" w:space="0" w:color="000000"/>
              <w:left w:val="single" w:sz="12" w:space="0" w:color="000000"/>
              <w:bottom w:val="single" w:sz="4" w:space="0" w:color="000000"/>
              <w:right w:val="single" w:sz="12" w:space="0" w:color="000000"/>
            </w:tcBorders>
          </w:tcPr>
          <w:p w14:paraId="7B1AD7DA" w14:textId="77777777" w:rsidR="00300DB4" w:rsidRDefault="00300DB4" w:rsidP="00300DB4">
            <w:pPr>
              <w:spacing w:after="0" w:line="259" w:lineRule="auto"/>
              <w:ind w:left="0" w:right="44" w:firstLine="0"/>
              <w:jc w:val="right"/>
            </w:pPr>
            <w:r>
              <w:rPr>
                <w:sz w:val="18"/>
              </w:rPr>
              <w:t xml:space="preserve">33213-65-9 </w:t>
            </w:r>
          </w:p>
        </w:tc>
        <w:tc>
          <w:tcPr>
            <w:tcW w:w="721" w:type="dxa"/>
            <w:tcBorders>
              <w:top w:val="single" w:sz="4" w:space="0" w:color="000000"/>
              <w:left w:val="single" w:sz="12" w:space="0" w:color="000000"/>
              <w:bottom w:val="single" w:sz="4" w:space="0" w:color="000000"/>
              <w:right w:val="single" w:sz="12" w:space="0" w:color="000000"/>
            </w:tcBorders>
          </w:tcPr>
          <w:p w14:paraId="4FD7BA69" w14:textId="032814D2" w:rsidR="00300DB4" w:rsidRDefault="00300DB4" w:rsidP="005F34FE">
            <w:pPr>
              <w:spacing w:after="0" w:line="259" w:lineRule="auto"/>
              <w:ind w:left="0" w:right="0" w:firstLine="0"/>
              <w:jc w:val="center"/>
            </w:pPr>
            <w:r>
              <w:rPr>
                <w:sz w:val="18"/>
              </w:rPr>
              <w:t>1</w:t>
            </w:r>
          </w:p>
        </w:tc>
        <w:tc>
          <w:tcPr>
            <w:tcW w:w="811" w:type="dxa"/>
            <w:tcBorders>
              <w:top w:val="single" w:sz="4" w:space="0" w:color="000000"/>
              <w:left w:val="single" w:sz="12" w:space="0" w:color="000000"/>
              <w:bottom w:val="single" w:sz="4" w:space="0" w:color="000000"/>
              <w:right w:val="single" w:sz="12" w:space="0" w:color="000000"/>
            </w:tcBorders>
          </w:tcPr>
          <w:p w14:paraId="22171D7F" w14:textId="752FCB60" w:rsidR="00300DB4" w:rsidRDefault="00300DB4" w:rsidP="00300DB4">
            <w:pPr>
              <w:spacing w:after="0" w:line="259" w:lineRule="auto"/>
              <w:ind w:left="0" w:right="46" w:firstLine="0"/>
              <w:jc w:val="center"/>
            </w:pPr>
            <w:r>
              <w:rPr>
                <w:sz w:val="18"/>
              </w:rPr>
              <w:t xml:space="preserve">ug/L </w:t>
            </w:r>
          </w:p>
        </w:tc>
        <w:tc>
          <w:tcPr>
            <w:tcW w:w="902" w:type="dxa"/>
            <w:tcBorders>
              <w:top w:val="single" w:sz="4" w:space="0" w:color="000000"/>
              <w:left w:val="single" w:sz="12" w:space="0" w:color="000000"/>
              <w:bottom w:val="single" w:sz="4" w:space="0" w:color="000000"/>
              <w:right w:val="single" w:sz="12" w:space="0" w:color="000000"/>
            </w:tcBorders>
          </w:tcPr>
          <w:p w14:paraId="6BD35252" w14:textId="156B6F10" w:rsidR="00300DB4" w:rsidRDefault="00300DB4" w:rsidP="00DA485B">
            <w:pPr>
              <w:tabs>
                <w:tab w:val="center" w:pos="399"/>
              </w:tabs>
              <w:spacing w:after="0" w:line="259" w:lineRule="auto"/>
              <w:ind w:left="0" w:right="0" w:firstLine="0"/>
              <w:jc w:val="center"/>
            </w:pPr>
            <w:r>
              <w:rPr>
                <w:sz w:val="18"/>
              </w:rPr>
              <w:t>50</w:t>
            </w:r>
          </w:p>
        </w:tc>
        <w:tc>
          <w:tcPr>
            <w:tcW w:w="933" w:type="dxa"/>
            <w:tcBorders>
              <w:top w:val="single" w:sz="4" w:space="0" w:color="000000"/>
              <w:left w:val="single" w:sz="12" w:space="0" w:color="000000"/>
              <w:bottom w:val="single" w:sz="4" w:space="0" w:color="000000"/>
              <w:right w:val="single" w:sz="12" w:space="0" w:color="000000"/>
            </w:tcBorders>
          </w:tcPr>
          <w:p w14:paraId="250A150B" w14:textId="5ADE2831" w:rsidR="00300DB4" w:rsidRDefault="00300DB4" w:rsidP="00300DB4">
            <w:pPr>
              <w:spacing w:after="0" w:line="259" w:lineRule="auto"/>
              <w:ind w:left="0" w:right="47" w:firstLine="0"/>
              <w:jc w:val="center"/>
            </w:pPr>
            <w:r>
              <w:rPr>
                <w:rFonts w:eastAsia="Segoe UI Symbol"/>
                <w:sz w:val="18"/>
              </w:rPr>
              <w:t>u</w:t>
            </w:r>
            <w:r>
              <w:rPr>
                <w:sz w:val="18"/>
              </w:rPr>
              <w:t>g/kg</w:t>
            </w:r>
          </w:p>
        </w:tc>
        <w:tc>
          <w:tcPr>
            <w:tcW w:w="796" w:type="dxa"/>
            <w:tcBorders>
              <w:top w:val="single" w:sz="4" w:space="0" w:color="000000"/>
              <w:left w:val="single" w:sz="12" w:space="0" w:color="000000"/>
              <w:bottom w:val="single" w:sz="4" w:space="0" w:color="000000"/>
              <w:right w:val="single" w:sz="12" w:space="0" w:color="000000"/>
            </w:tcBorders>
          </w:tcPr>
          <w:p w14:paraId="0ED60737" w14:textId="5A2FE9D0" w:rsidR="00300DB4" w:rsidRDefault="00300DB4" w:rsidP="00C9450A">
            <w:pPr>
              <w:spacing w:after="0" w:line="259" w:lineRule="auto"/>
              <w:ind w:left="0" w:right="43" w:firstLine="0"/>
              <w:jc w:val="center"/>
            </w:pPr>
            <w:r>
              <w:rPr>
                <w:sz w:val="18"/>
              </w:rPr>
              <w:t>8081</w:t>
            </w:r>
          </w:p>
        </w:tc>
        <w:tc>
          <w:tcPr>
            <w:tcW w:w="1586" w:type="dxa"/>
            <w:tcBorders>
              <w:top w:val="single" w:sz="4" w:space="0" w:color="000000"/>
              <w:left w:val="single" w:sz="12" w:space="0" w:color="000000"/>
              <w:bottom w:val="single" w:sz="4" w:space="0" w:color="000000"/>
              <w:right w:val="single" w:sz="12" w:space="0" w:color="000000"/>
            </w:tcBorders>
          </w:tcPr>
          <w:p w14:paraId="43DF6FA5" w14:textId="77777777" w:rsidR="00300DB4" w:rsidRDefault="00300DB4" w:rsidP="00300DB4">
            <w:pPr>
              <w:spacing w:after="0" w:line="259" w:lineRule="auto"/>
              <w:ind w:left="0" w:right="0" w:firstLine="0"/>
              <w:jc w:val="center"/>
            </w:pPr>
            <w:r>
              <w:rPr>
                <w:i/>
                <w:sz w:val="18"/>
              </w:rPr>
              <w:t xml:space="preserve"> </w:t>
            </w:r>
          </w:p>
        </w:tc>
      </w:tr>
      <w:tr w:rsidR="00300DB4" w14:paraId="45BB4B9F" w14:textId="77777777" w:rsidTr="00E04EFA">
        <w:trPr>
          <w:trHeight w:val="250"/>
        </w:trPr>
        <w:tc>
          <w:tcPr>
            <w:tcW w:w="3629" w:type="dxa"/>
            <w:tcBorders>
              <w:top w:val="single" w:sz="4" w:space="0" w:color="000000"/>
              <w:left w:val="single" w:sz="12" w:space="0" w:color="000000"/>
              <w:bottom w:val="single" w:sz="4" w:space="0" w:color="000000"/>
              <w:right w:val="single" w:sz="12" w:space="0" w:color="000000"/>
            </w:tcBorders>
          </w:tcPr>
          <w:p w14:paraId="1A71EA70" w14:textId="77777777" w:rsidR="00300DB4" w:rsidRDefault="00300DB4" w:rsidP="00300DB4">
            <w:pPr>
              <w:spacing w:after="0" w:line="259" w:lineRule="auto"/>
              <w:ind w:left="2" w:right="0" w:firstLine="0"/>
            </w:pPr>
            <w:r>
              <w:rPr>
                <w:sz w:val="18"/>
              </w:rPr>
              <w:t xml:space="preserve">Endosulfan sulfate </w:t>
            </w:r>
          </w:p>
        </w:tc>
        <w:tc>
          <w:tcPr>
            <w:tcW w:w="1242" w:type="dxa"/>
            <w:tcBorders>
              <w:top w:val="single" w:sz="4" w:space="0" w:color="000000"/>
              <w:left w:val="single" w:sz="12" w:space="0" w:color="000000"/>
              <w:bottom w:val="single" w:sz="4" w:space="0" w:color="000000"/>
              <w:right w:val="single" w:sz="12" w:space="0" w:color="000000"/>
            </w:tcBorders>
          </w:tcPr>
          <w:p w14:paraId="1F3B7F5D" w14:textId="77777777" w:rsidR="00300DB4" w:rsidRDefault="00300DB4" w:rsidP="00300DB4">
            <w:pPr>
              <w:spacing w:after="0" w:line="259" w:lineRule="auto"/>
              <w:ind w:left="0" w:right="44" w:firstLine="0"/>
              <w:jc w:val="right"/>
            </w:pPr>
            <w:r>
              <w:rPr>
                <w:sz w:val="18"/>
              </w:rPr>
              <w:t xml:space="preserve">1031-07-8 </w:t>
            </w:r>
          </w:p>
        </w:tc>
        <w:tc>
          <w:tcPr>
            <w:tcW w:w="721" w:type="dxa"/>
            <w:tcBorders>
              <w:top w:val="single" w:sz="4" w:space="0" w:color="000000"/>
              <w:left w:val="single" w:sz="12" w:space="0" w:color="000000"/>
              <w:bottom w:val="single" w:sz="4" w:space="0" w:color="000000"/>
              <w:right w:val="single" w:sz="12" w:space="0" w:color="000000"/>
            </w:tcBorders>
          </w:tcPr>
          <w:p w14:paraId="4891E0DC" w14:textId="33B3631A" w:rsidR="00300DB4" w:rsidRDefault="00300DB4" w:rsidP="005F34FE">
            <w:pPr>
              <w:spacing w:after="0" w:line="259" w:lineRule="auto"/>
              <w:ind w:left="0" w:right="0" w:firstLine="0"/>
              <w:jc w:val="center"/>
            </w:pPr>
            <w:r>
              <w:rPr>
                <w:sz w:val="18"/>
              </w:rPr>
              <w:t>1</w:t>
            </w:r>
          </w:p>
        </w:tc>
        <w:tc>
          <w:tcPr>
            <w:tcW w:w="811" w:type="dxa"/>
            <w:tcBorders>
              <w:top w:val="single" w:sz="4" w:space="0" w:color="000000"/>
              <w:left w:val="single" w:sz="12" w:space="0" w:color="000000"/>
              <w:bottom w:val="single" w:sz="4" w:space="0" w:color="000000"/>
              <w:right w:val="single" w:sz="12" w:space="0" w:color="000000"/>
            </w:tcBorders>
          </w:tcPr>
          <w:p w14:paraId="1F6C3C1A" w14:textId="20C31819" w:rsidR="00300DB4" w:rsidRDefault="00300DB4" w:rsidP="00300DB4">
            <w:pPr>
              <w:spacing w:after="0" w:line="259" w:lineRule="auto"/>
              <w:ind w:left="0" w:right="46" w:firstLine="0"/>
              <w:jc w:val="center"/>
            </w:pPr>
            <w:r>
              <w:rPr>
                <w:sz w:val="18"/>
              </w:rPr>
              <w:t xml:space="preserve">ug/L </w:t>
            </w:r>
          </w:p>
        </w:tc>
        <w:tc>
          <w:tcPr>
            <w:tcW w:w="902" w:type="dxa"/>
            <w:tcBorders>
              <w:top w:val="single" w:sz="4" w:space="0" w:color="000000"/>
              <w:left w:val="single" w:sz="12" w:space="0" w:color="000000"/>
              <w:bottom w:val="single" w:sz="4" w:space="0" w:color="000000"/>
              <w:right w:val="single" w:sz="12" w:space="0" w:color="000000"/>
            </w:tcBorders>
          </w:tcPr>
          <w:p w14:paraId="164A85AB" w14:textId="5590840A" w:rsidR="00300DB4" w:rsidRDefault="00300DB4" w:rsidP="00DA485B">
            <w:pPr>
              <w:tabs>
                <w:tab w:val="center" w:pos="399"/>
              </w:tabs>
              <w:spacing w:after="0" w:line="259" w:lineRule="auto"/>
              <w:ind w:left="0" w:right="0" w:firstLine="0"/>
              <w:jc w:val="center"/>
            </w:pPr>
            <w:r>
              <w:rPr>
                <w:sz w:val="18"/>
              </w:rPr>
              <w:t>25</w:t>
            </w:r>
          </w:p>
        </w:tc>
        <w:tc>
          <w:tcPr>
            <w:tcW w:w="933" w:type="dxa"/>
            <w:tcBorders>
              <w:top w:val="single" w:sz="4" w:space="0" w:color="000000"/>
              <w:left w:val="single" w:sz="12" w:space="0" w:color="000000"/>
              <w:bottom w:val="single" w:sz="4" w:space="0" w:color="000000"/>
              <w:right w:val="single" w:sz="12" w:space="0" w:color="000000"/>
            </w:tcBorders>
          </w:tcPr>
          <w:p w14:paraId="43F6AAE4" w14:textId="7B85670B" w:rsidR="00300DB4" w:rsidRDefault="00300DB4" w:rsidP="00300DB4">
            <w:pPr>
              <w:spacing w:after="0" w:line="259" w:lineRule="auto"/>
              <w:ind w:left="0" w:right="47" w:firstLine="0"/>
              <w:jc w:val="center"/>
            </w:pPr>
            <w:r>
              <w:rPr>
                <w:rFonts w:eastAsia="Segoe UI Symbol"/>
                <w:sz w:val="18"/>
              </w:rPr>
              <w:t>u</w:t>
            </w:r>
            <w:r>
              <w:rPr>
                <w:sz w:val="18"/>
              </w:rPr>
              <w:t>g/kg</w:t>
            </w:r>
          </w:p>
        </w:tc>
        <w:tc>
          <w:tcPr>
            <w:tcW w:w="796" w:type="dxa"/>
            <w:tcBorders>
              <w:top w:val="single" w:sz="4" w:space="0" w:color="000000"/>
              <w:left w:val="single" w:sz="12" w:space="0" w:color="000000"/>
              <w:bottom w:val="single" w:sz="4" w:space="0" w:color="000000"/>
              <w:right w:val="single" w:sz="12" w:space="0" w:color="000000"/>
            </w:tcBorders>
          </w:tcPr>
          <w:p w14:paraId="6906C863" w14:textId="7B29C5AA" w:rsidR="00300DB4" w:rsidRDefault="00300DB4" w:rsidP="00C9450A">
            <w:pPr>
              <w:spacing w:after="0" w:line="259" w:lineRule="auto"/>
              <w:ind w:left="0" w:right="43" w:firstLine="0"/>
              <w:jc w:val="center"/>
            </w:pPr>
            <w:r>
              <w:rPr>
                <w:sz w:val="18"/>
              </w:rPr>
              <w:t>8081</w:t>
            </w:r>
          </w:p>
        </w:tc>
        <w:tc>
          <w:tcPr>
            <w:tcW w:w="1586" w:type="dxa"/>
            <w:tcBorders>
              <w:top w:val="single" w:sz="4" w:space="0" w:color="000000"/>
              <w:left w:val="single" w:sz="12" w:space="0" w:color="000000"/>
              <w:bottom w:val="single" w:sz="4" w:space="0" w:color="000000"/>
              <w:right w:val="single" w:sz="12" w:space="0" w:color="000000"/>
            </w:tcBorders>
          </w:tcPr>
          <w:p w14:paraId="44427CD2" w14:textId="0D1C259B" w:rsidR="00300DB4" w:rsidRDefault="00300DB4" w:rsidP="00300DB4">
            <w:pPr>
              <w:spacing w:after="0" w:line="259" w:lineRule="auto"/>
              <w:ind w:left="0" w:right="0" w:firstLine="0"/>
              <w:jc w:val="center"/>
            </w:pPr>
            <w:r>
              <w:rPr>
                <w:sz w:val="18"/>
              </w:rPr>
              <w:t xml:space="preserve"> </w:t>
            </w:r>
          </w:p>
        </w:tc>
      </w:tr>
      <w:tr w:rsidR="00300DB4" w14:paraId="61E3E990" w14:textId="77777777" w:rsidTr="00E04EFA">
        <w:trPr>
          <w:trHeight w:val="250"/>
        </w:trPr>
        <w:tc>
          <w:tcPr>
            <w:tcW w:w="3629" w:type="dxa"/>
            <w:tcBorders>
              <w:top w:val="single" w:sz="4" w:space="0" w:color="000000"/>
              <w:left w:val="single" w:sz="12" w:space="0" w:color="000000"/>
              <w:bottom w:val="single" w:sz="4" w:space="0" w:color="000000"/>
              <w:right w:val="single" w:sz="12" w:space="0" w:color="000000"/>
            </w:tcBorders>
          </w:tcPr>
          <w:p w14:paraId="3D50E99B" w14:textId="77777777" w:rsidR="00300DB4" w:rsidRDefault="00300DB4" w:rsidP="00300DB4">
            <w:pPr>
              <w:spacing w:after="0" w:line="259" w:lineRule="auto"/>
              <w:ind w:left="2" w:right="0" w:firstLine="0"/>
            </w:pPr>
            <w:r>
              <w:rPr>
                <w:sz w:val="18"/>
              </w:rPr>
              <w:t xml:space="preserve">Endrin </w:t>
            </w:r>
          </w:p>
        </w:tc>
        <w:tc>
          <w:tcPr>
            <w:tcW w:w="1242" w:type="dxa"/>
            <w:tcBorders>
              <w:top w:val="single" w:sz="4" w:space="0" w:color="000000"/>
              <w:left w:val="single" w:sz="12" w:space="0" w:color="000000"/>
              <w:bottom w:val="single" w:sz="4" w:space="0" w:color="000000"/>
              <w:right w:val="single" w:sz="12" w:space="0" w:color="000000"/>
            </w:tcBorders>
          </w:tcPr>
          <w:p w14:paraId="641EA6CA" w14:textId="77777777" w:rsidR="00300DB4" w:rsidRDefault="00300DB4" w:rsidP="00300DB4">
            <w:pPr>
              <w:spacing w:after="0" w:line="259" w:lineRule="auto"/>
              <w:ind w:left="0" w:right="44" w:firstLine="0"/>
              <w:jc w:val="right"/>
            </w:pPr>
            <w:r>
              <w:rPr>
                <w:sz w:val="18"/>
              </w:rPr>
              <w:t xml:space="preserve">72-20-8 </w:t>
            </w:r>
          </w:p>
        </w:tc>
        <w:tc>
          <w:tcPr>
            <w:tcW w:w="721" w:type="dxa"/>
            <w:tcBorders>
              <w:top w:val="single" w:sz="4" w:space="0" w:color="000000"/>
              <w:left w:val="single" w:sz="12" w:space="0" w:color="000000"/>
              <w:bottom w:val="single" w:sz="4" w:space="0" w:color="000000"/>
              <w:right w:val="single" w:sz="12" w:space="0" w:color="000000"/>
            </w:tcBorders>
          </w:tcPr>
          <w:p w14:paraId="06F1782A" w14:textId="03EDB9BD" w:rsidR="00300DB4" w:rsidRDefault="00300DB4" w:rsidP="005F34FE">
            <w:pPr>
              <w:spacing w:after="0" w:line="259" w:lineRule="auto"/>
              <w:ind w:left="0" w:right="0" w:firstLine="0"/>
              <w:jc w:val="center"/>
            </w:pPr>
            <w:r>
              <w:rPr>
                <w:sz w:val="18"/>
              </w:rPr>
              <w:t>0.4</w:t>
            </w:r>
          </w:p>
        </w:tc>
        <w:tc>
          <w:tcPr>
            <w:tcW w:w="811" w:type="dxa"/>
            <w:tcBorders>
              <w:top w:val="single" w:sz="4" w:space="0" w:color="000000"/>
              <w:left w:val="single" w:sz="12" w:space="0" w:color="000000"/>
              <w:bottom w:val="single" w:sz="4" w:space="0" w:color="000000"/>
              <w:right w:val="single" w:sz="12" w:space="0" w:color="000000"/>
            </w:tcBorders>
          </w:tcPr>
          <w:p w14:paraId="789BA27F" w14:textId="3E1CDA30" w:rsidR="00300DB4" w:rsidRDefault="00300DB4" w:rsidP="00300DB4">
            <w:pPr>
              <w:spacing w:after="0" w:line="259" w:lineRule="auto"/>
              <w:ind w:left="0" w:right="46" w:firstLine="0"/>
              <w:jc w:val="center"/>
            </w:pPr>
            <w:r>
              <w:rPr>
                <w:sz w:val="18"/>
              </w:rPr>
              <w:t xml:space="preserve">ug/L </w:t>
            </w:r>
          </w:p>
        </w:tc>
        <w:tc>
          <w:tcPr>
            <w:tcW w:w="902" w:type="dxa"/>
            <w:tcBorders>
              <w:top w:val="single" w:sz="4" w:space="0" w:color="000000"/>
              <w:left w:val="single" w:sz="12" w:space="0" w:color="000000"/>
              <w:bottom w:val="single" w:sz="4" w:space="0" w:color="000000"/>
              <w:right w:val="single" w:sz="12" w:space="0" w:color="000000"/>
            </w:tcBorders>
          </w:tcPr>
          <w:p w14:paraId="05B5C7AB" w14:textId="24265B8F" w:rsidR="00300DB4" w:rsidRDefault="00300DB4" w:rsidP="00DA485B">
            <w:pPr>
              <w:tabs>
                <w:tab w:val="center" w:pos="399"/>
              </w:tabs>
              <w:spacing w:after="0" w:line="259" w:lineRule="auto"/>
              <w:ind w:left="0" w:right="0" w:firstLine="0"/>
              <w:jc w:val="center"/>
            </w:pPr>
            <w:r>
              <w:rPr>
                <w:sz w:val="18"/>
              </w:rPr>
              <w:t>10</w:t>
            </w:r>
          </w:p>
        </w:tc>
        <w:tc>
          <w:tcPr>
            <w:tcW w:w="933" w:type="dxa"/>
            <w:tcBorders>
              <w:top w:val="single" w:sz="4" w:space="0" w:color="000000"/>
              <w:left w:val="single" w:sz="12" w:space="0" w:color="000000"/>
              <w:bottom w:val="single" w:sz="4" w:space="0" w:color="000000"/>
              <w:right w:val="single" w:sz="12" w:space="0" w:color="000000"/>
            </w:tcBorders>
          </w:tcPr>
          <w:p w14:paraId="29B9A365" w14:textId="5A8F6A48" w:rsidR="00300DB4" w:rsidRDefault="00300DB4" w:rsidP="00300DB4">
            <w:pPr>
              <w:spacing w:after="0" w:line="259" w:lineRule="auto"/>
              <w:ind w:left="0" w:right="47" w:firstLine="0"/>
              <w:jc w:val="center"/>
            </w:pPr>
            <w:r>
              <w:rPr>
                <w:rFonts w:eastAsia="Segoe UI Symbol"/>
                <w:sz w:val="18"/>
              </w:rPr>
              <w:t>u</w:t>
            </w:r>
            <w:r>
              <w:rPr>
                <w:sz w:val="18"/>
              </w:rPr>
              <w:t xml:space="preserve">g/kg </w:t>
            </w:r>
          </w:p>
        </w:tc>
        <w:tc>
          <w:tcPr>
            <w:tcW w:w="796" w:type="dxa"/>
            <w:tcBorders>
              <w:top w:val="single" w:sz="4" w:space="0" w:color="000000"/>
              <w:left w:val="single" w:sz="12" w:space="0" w:color="000000"/>
              <w:bottom w:val="single" w:sz="4" w:space="0" w:color="000000"/>
              <w:right w:val="single" w:sz="12" w:space="0" w:color="000000"/>
            </w:tcBorders>
          </w:tcPr>
          <w:p w14:paraId="51BE1CFA" w14:textId="0C90F802" w:rsidR="00300DB4" w:rsidRDefault="00300DB4" w:rsidP="00C9450A">
            <w:pPr>
              <w:spacing w:after="0" w:line="259" w:lineRule="auto"/>
              <w:ind w:left="0" w:right="43" w:firstLine="0"/>
              <w:jc w:val="center"/>
            </w:pPr>
            <w:r>
              <w:rPr>
                <w:sz w:val="18"/>
              </w:rPr>
              <w:t>8081</w:t>
            </w:r>
          </w:p>
        </w:tc>
        <w:tc>
          <w:tcPr>
            <w:tcW w:w="1586" w:type="dxa"/>
            <w:tcBorders>
              <w:top w:val="single" w:sz="4" w:space="0" w:color="000000"/>
              <w:left w:val="single" w:sz="12" w:space="0" w:color="000000"/>
              <w:bottom w:val="single" w:sz="4" w:space="0" w:color="000000"/>
              <w:right w:val="single" w:sz="12" w:space="0" w:color="000000"/>
            </w:tcBorders>
          </w:tcPr>
          <w:p w14:paraId="056A8102" w14:textId="77777777" w:rsidR="00300DB4" w:rsidRDefault="00300DB4" w:rsidP="00300DB4">
            <w:pPr>
              <w:spacing w:after="0" w:line="259" w:lineRule="auto"/>
              <w:ind w:left="0" w:right="0" w:firstLine="0"/>
              <w:jc w:val="center"/>
            </w:pPr>
            <w:r>
              <w:rPr>
                <w:sz w:val="18"/>
              </w:rPr>
              <w:t xml:space="preserve"> </w:t>
            </w:r>
          </w:p>
        </w:tc>
      </w:tr>
      <w:tr w:rsidR="00300DB4" w14:paraId="54C881D1" w14:textId="77777777" w:rsidTr="00E04EFA">
        <w:trPr>
          <w:trHeight w:val="250"/>
        </w:trPr>
        <w:tc>
          <w:tcPr>
            <w:tcW w:w="3629" w:type="dxa"/>
            <w:tcBorders>
              <w:top w:val="single" w:sz="4" w:space="0" w:color="000000"/>
              <w:left w:val="single" w:sz="12" w:space="0" w:color="000000"/>
              <w:bottom w:val="single" w:sz="4" w:space="0" w:color="000000"/>
              <w:right w:val="single" w:sz="12" w:space="0" w:color="000000"/>
            </w:tcBorders>
          </w:tcPr>
          <w:p w14:paraId="7F843038" w14:textId="77777777" w:rsidR="00300DB4" w:rsidRDefault="00300DB4" w:rsidP="00300DB4">
            <w:pPr>
              <w:spacing w:after="0" w:line="259" w:lineRule="auto"/>
              <w:ind w:left="2" w:right="0" w:firstLine="0"/>
            </w:pPr>
            <w:r>
              <w:rPr>
                <w:sz w:val="18"/>
              </w:rPr>
              <w:t xml:space="preserve">Endrin aldehyde </w:t>
            </w:r>
          </w:p>
        </w:tc>
        <w:tc>
          <w:tcPr>
            <w:tcW w:w="1242" w:type="dxa"/>
            <w:tcBorders>
              <w:top w:val="single" w:sz="4" w:space="0" w:color="000000"/>
              <w:left w:val="single" w:sz="12" w:space="0" w:color="000000"/>
              <w:bottom w:val="single" w:sz="4" w:space="0" w:color="000000"/>
              <w:right w:val="single" w:sz="12" w:space="0" w:color="000000"/>
            </w:tcBorders>
          </w:tcPr>
          <w:p w14:paraId="0D3ADEAA" w14:textId="77777777" w:rsidR="00300DB4" w:rsidRDefault="00300DB4" w:rsidP="00300DB4">
            <w:pPr>
              <w:spacing w:after="0" w:line="259" w:lineRule="auto"/>
              <w:ind w:left="0" w:right="44" w:firstLine="0"/>
              <w:jc w:val="right"/>
            </w:pPr>
            <w:r>
              <w:rPr>
                <w:sz w:val="18"/>
              </w:rPr>
              <w:t xml:space="preserve">7421-93-4 </w:t>
            </w:r>
          </w:p>
        </w:tc>
        <w:tc>
          <w:tcPr>
            <w:tcW w:w="721" w:type="dxa"/>
            <w:tcBorders>
              <w:top w:val="single" w:sz="4" w:space="0" w:color="000000"/>
              <w:left w:val="single" w:sz="12" w:space="0" w:color="000000"/>
              <w:bottom w:val="single" w:sz="4" w:space="0" w:color="000000"/>
              <w:right w:val="single" w:sz="12" w:space="0" w:color="000000"/>
            </w:tcBorders>
          </w:tcPr>
          <w:p w14:paraId="267CDF39" w14:textId="51FB313F" w:rsidR="00300DB4" w:rsidRDefault="00300DB4" w:rsidP="005F34FE">
            <w:pPr>
              <w:spacing w:after="0" w:line="259" w:lineRule="auto"/>
              <w:ind w:left="0" w:right="0" w:firstLine="0"/>
              <w:jc w:val="center"/>
            </w:pPr>
            <w:r>
              <w:rPr>
                <w:sz w:val="18"/>
              </w:rPr>
              <w:t>0.5</w:t>
            </w:r>
          </w:p>
        </w:tc>
        <w:tc>
          <w:tcPr>
            <w:tcW w:w="811" w:type="dxa"/>
            <w:tcBorders>
              <w:top w:val="single" w:sz="4" w:space="0" w:color="000000"/>
              <w:left w:val="single" w:sz="12" w:space="0" w:color="000000"/>
              <w:bottom w:val="single" w:sz="4" w:space="0" w:color="000000"/>
              <w:right w:val="single" w:sz="12" w:space="0" w:color="000000"/>
            </w:tcBorders>
          </w:tcPr>
          <w:p w14:paraId="1F8C61C7" w14:textId="6CCEC2BC" w:rsidR="00300DB4" w:rsidRDefault="00300DB4" w:rsidP="00300DB4">
            <w:pPr>
              <w:spacing w:after="0" w:line="259" w:lineRule="auto"/>
              <w:ind w:left="0" w:right="46" w:firstLine="0"/>
              <w:jc w:val="center"/>
            </w:pPr>
            <w:r>
              <w:rPr>
                <w:sz w:val="18"/>
              </w:rPr>
              <w:t xml:space="preserve">ug/L </w:t>
            </w:r>
          </w:p>
        </w:tc>
        <w:tc>
          <w:tcPr>
            <w:tcW w:w="902" w:type="dxa"/>
            <w:tcBorders>
              <w:top w:val="single" w:sz="4" w:space="0" w:color="000000"/>
              <w:left w:val="single" w:sz="12" w:space="0" w:color="000000"/>
              <w:bottom w:val="single" w:sz="4" w:space="0" w:color="000000"/>
              <w:right w:val="single" w:sz="12" w:space="0" w:color="000000"/>
            </w:tcBorders>
          </w:tcPr>
          <w:p w14:paraId="678FE17D" w14:textId="6E935450" w:rsidR="00300DB4" w:rsidRDefault="00300DB4" w:rsidP="00DA485B">
            <w:pPr>
              <w:tabs>
                <w:tab w:val="center" w:pos="399"/>
              </w:tabs>
              <w:spacing w:after="0" w:line="259" w:lineRule="auto"/>
              <w:ind w:left="0" w:right="0" w:firstLine="0"/>
              <w:jc w:val="center"/>
            </w:pPr>
            <w:r>
              <w:rPr>
                <w:sz w:val="18"/>
              </w:rPr>
              <w:t>10</w:t>
            </w:r>
          </w:p>
        </w:tc>
        <w:tc>
          <w:tcPr>
            <w:tcW w:w="933" w:type="dxa"/>
            <w:tcBorders>
              <w:top w:val="single" w:sz="4" w:space="0" w:color="000000"/>
              <w:left w:val="single" w:sz="12" w:space="0" w:color="000000"/>
              <w:bottom w:val="single" w:sz="4" w:space="0" w:color="000000"/>
              <w:right w:val="single" w:sz="12" w:space="0" w:color="000000"/>
            </w:tcBorders>
          </w:tcPr>
          <w:p w14:paraId="15CA5C38" w14:textId="164E7673" w:rsidR="00300DB4" w:rsidRDefault="00300DB4" w:rsidP="00300DB4">
            <w:pPr>
              <w:spacing w:after="0" w:line="259" w:lineRule="auto"/>
              <w:ind w:left="0" w:right="47" w:firstLine="0"/>
              <w:jc w:val="center"/>
            </w:pPr>
            <w:r>
              <w:rPr>
                <w:rFonts w:eastAsia="Segoe UI Symbol"/>
                <w:sz w:val="18"/>
              </w:rPr>
              <w:t>u</w:t>
            </w:r>
            <w:r>
              <w:rPr>
                <w:sz w:val="18"/>
              </w:rPr>
              <w:t xml:space="preserve">g/kg </w:t>
            </w:r>
          </w:p>
        </w:tc>
        <w:tc>
          <w:tcPr>
            <w:tcW w:w="796" w:type="dxa"/>
            <w:tcBorders>
              <w:top w:val="single" w:sz="4" w:space="0" w:color="000000"/>
              <w:left w:val="single" w:sz="12" w:space="0" w:color="000000"/>
              <w:bottom w:val="single" w:sz="4" w:space="0" w:color="000000"/>
              <w:right w:val="single" w:sz="12" w:space="0" w:color="000000"/>
            </w:tcBorders>
          </w:tcPr>
          <w:p w14:paraId="0F4081BA" w14:textId="308711E9" w:rsidR="00300DB4" w:rsidRDefault="00300DB4" w:rsidP="00C9450A">
            <w:pPr>
              <w:spacing w:after="0" w:line="259" w:lineRule="auto"/>
              <w:ind w:left="0" w:right="43" w:firstLine="0"/>
              <w:jc w:val="center"/>
            </w:pPr>
            <w:r>
              <w:rPr>
                <w:sz w:val="18"/>
              </w:rPr>
              <w:t>8081</w:t>
            </w:r>
          </w:p>
        </w:tc>
        <w:tc>
          <w:tcPr>
            <w:tcW w:w="1586" w:type="dxa"/>
            <w:tcBorders>
              <w:top w:val="single" w:sz="4" w:space="0" w:color="000000"/>
              <w:left w:val="single" w:sz="12" w:space="0" w:color="000000"/>
              <w:bottom w:val="single" w:sz="4" w:space="0" w:color="000000"/>
              <w:right w:val="single" w:sz="12" w:space="0" w:color="000000"/>
            </w:tcBorders>
          </w:tcPr>
          <w:p w14:paraId="38BD6495" w14:textId="77777777" w:rsidR="00300DB4" w:rsidRDefault="00300DB4" w:rsidP="00300DB4">
            <w:pPr>
              <w:spacing w:after="0" w:line="259" w:lineRule="auto"/>
              <w:ind w:left="0" w:right="0" w:firstLine="0"/>
              <w:jc w:val="center"/>
            </w:pPr>
            <w:r>
              <w:rPr>
                <w:sz w:val="18"/>
              </w:rPr>
              <w:t xml:space="preserve"> </w:t>
            </w:r>
          </w:p>
        </w:tc>
      </w:tr>
      <w:tr w:rsidR="00300DB4" w14:paraId="212171D2" w14:textId="77777777" w:rsidTr="00E04EFA">
        <w:trPr>
          <w:trHeight w:val="252"/>
        </w:trPr>
        <w:tc>
          <w:tcPr>
            <w:tcW w:w="3629" w:type="dxa"/>
            <w:tcBorders>
              <w:top w:val="single" w:sz="4" w:space="0" w:color="000000"/>
              <w:left w:val="single" w:sz="12" w:space="0" w:color="000000"/>
              <w:bottom w:val="single" w:sz="4" w:space="0" w:color="000000"/>
              <w:right w:val="single" w:sz="12" w:space="0" w:color="000000"/>
            </w:tcBorders>
          </w:tcPr>
          <w:p w14:paraId="2B291907" w14:textId="77777777" w:rsidR="00300DB4" w:rsidRDefault="00300DB4" w:rsidP="00300DB4">
            <w:pPr>
              <w:spacing w:after="0" w:line="259" w:lineRule="auto"/>
              <w:ind w:left="2" w:right="0" w:firstLine="0"/>
            </w:pPr>
            <w:r>
              <w:rPr>
                <w:sz w:val="18"/>
              </w:rPr>
              <w:t xml:space="preserve">Endrin ketone </w:t>
            </w:r>
          </w:p>
        </w:tc>
        <w:tc>
          <w:tcPr>
            <w:tcW w:w="1242" w:type="dxa"/>
            <w:tcBorders>
              <w:top w:val="single" w:sz="4" w:space="0" w:color="000000"/>
              <w:left w:val="single" w:sz="12" w:space="0" w:color="000000"/>
              <w:bottom w:val="single" w:sz="4" w:space="0" w:color="000000"/>
              <w:right w:val="single" w:sz="12" w:space="0" w:color="000000"/>
            </w:tcBorders>
          </w:tcPr>
          <w:p w14:paraId="62B1DCCF" w14:textId="77777777" w:rsidR="00300DB4" w:rsidRDefault="00300DB4" w:rsidP="00300DB4">
            <w:pPr>
              <w:spacing w:after="0" w:line="259" w:lineRule="auto"/>
              <w:ind w:left="0" w:right="44" w:firstLine="0"/>
              <w:jc w:val="right"/>
            </w:pPr>
            <w:r>
              <w:rPr>
                <w:sz w:val="18"/>
              </w:rPr>
              <w:t xml:space="preserve">53494-70-5 </w:t>
            </w:r>
          </w:p>
        </w:tc>
        <w:tc>
          <w:tcPr>
            <w:tcW w:w="721" w:type="dxa"/>
            <w:tcBorders>
              <w:top w:val="single" w:sz="4" w:space="0" w:color="000000"/>
              <w:left w:val="single" w:sz="12" w:space="0" w:color="000000"/>
              <w:bottom w:val="single" w:sz="4" w:space="0" w:color="000000"/>
              <w:right w:val="single" w:sz="12" w:space="0" w:color="000000"/>
            </w:tcBorders>
          </w:tcPr>
          <w:p w14:paraId="5C70E509" w14:textId="2C9D1076" w:rsidR="00300DB4" w:rsidRDefault="00300DB4" w:rsidP="005F34FE">
            <w:pPr>
              <w:spacing w:after="0" w:line="259" w:lineRule="auto"/>
              <w:ind w:left="0" w:right="0" w:firstLine="0"/>
              <w:jc w:val="center"/>
            </w:pPr>
            <w:r>
              <w:rPr>
                <w:sz w:val="18"/>
              </w:rPr>
              <w:t>0.5</w:t>
            </w:r>
          </w:p>
        </w:tc>
        <w:tc>
          <w:tcPr>
            <w:tcW w:w="811" w:type="dxa"/>
            <w:tcBorders>
              <w:top w:val="single" w:sz="4" w:space="0" w:color="000000"/>
              <w:left w:val="single" w:sz="12" w:space="0" w:color="000000"/>
              <w:bottom w:val="single" w:sz="4" w:space="0" w:color="000000"/>
              <w:right w:val="single" w:sz="12" w:space="0" w:color="000000"/>
            </w:tcBorders>
          </w:tcPr>
          <w:p w14:paraId="720F836D" w14:textId="3B0E17C9" w:rsidR="00300DB4" w:rsidRDefault="00300DB4" w:rsidP="00300DB4">
            <w:pPr>
              <w:spacing w:after="0" w:line="259" w:lineRule="auto"/>
              <w:ind w:left="0" w:right="46" w:firstLine="0"/>
              <w:jc w:val="center"/>
            </w:pPr>
            <w:r>
              <w:rPr>
                <w:sz w:val="18"/>
              </w:rPr>
              <w:t xml:space="preserve">ug/L </w:t>
            </w:r>
          </w:p>
        </w:tc>
        <w:tc>
          <w:tcPr>
            <w:tcW w:w="902" w:type="dxa"/>
            <w:tcBorders>
              <w:top w:val="single" w:sz="4" w:space="0" w:color="000000"/>
              <w:left w:val="single" w:sz="12" w:space="0" w:color="000000"/>
              <w:bottom w:val="single" w:sz="4" w:space="0" w:color="000000"/>
              <w:right w:val="single" w:sz="12" w:space="0" w:color="000000"/>
            </w:tcBorders>
          </w:tcPr>
          <w:p w14:paraId="5831E1C9" w14:textId="25167953" w:rsidR="00300DB4" w:rsidRDefault="00300DB4" w:rsidP="00DA485B">
            <w:pPr>
              <w:tabs>
                <w:tab w:val="center" w:pos="399"/>
              </w:tabs>
              <w:spacing w:after="0" w:line="259" w:lineRule="auto"/>
              <w:ind w:left="0" w:right="0" w:firstLine="0"/>
              <w:jc w:val="center"/>
            </w:pPr>
            <w:r>
              <w:rPr>
                <w:sz w:val="18"/>
              </w:rPr>
              <w:t>10</w:t>
            </w:r>
          </w:p>
        </w:tc>
        <w:tc>
          <w:tcPr>
            <w:tcW w:w="933" w:type="dxa"/>
            <w:tcBorders>
              <w:top w:val="single" w:sz="4" w:space="0" w:color="000000"/>
              <w:left w:val="single" w:sz="12" w:space="0" w:color="000000"/>
              <w:bottom w:val="single" w:sz="4" w:space="0" w:color="000000"/>
              <w:right w:val="single" w:sz="12" w:space="0" w:color="000000"/>
            </w:tcBorders>
          </w:tcPr>
          <w:p w14:paraId="0CAFB929" w14:textId="2BEF71F4" w:rsidR="00300DB4" w:rsidRDefault="00300DB4" w:rsidP="00300DB4">
            <w:pPr>
              <w:spacing w:after="0" w:line="259" w:lineRule="auto"/>
              <w:ind w:left="0" w:right="47" w:firstLine="0"/>
              <w:jc w:val="center"/>
            </w:pPr>
            <w:r>
              <w:rPr>
                <w:rFonts w:eastAsia="Segoe UI Symbol"/>
                <w:sz w:val="18"/>
              </w:rPr>
              <w:t>u</w:t>
            </w:r>
            <w:r>
              <w:rPr>
                <w:sz w:val="18"/>
              </w:rPr>
              <w:t xml:space="preserve">g/kg </w:t>
            </w:r>
          </w:p>
        </w:tc>
        <w:tc>
          <w:tcPr>
            <w:tcW w:w="796" w:type="dxa"/>
            <w:tcBorders>
              <w:top w:val="single" w:sz="4" w:space="0" w:color="000000"/>
              <w:left w:val="single" w:sz="12" w:space="0" w:color="000000"/>
              <w:bottom w:val="single" w:sz="4" w:space="0" w:color="000000"/>
              <w:right w:val="single" w:sz="12" w:space="0" w:color="000000"/>
            </w:tcBorders>
          </w:tcPr>
          <w:p w14:paraId="4C5F04E7" w14:textId="48C6DF6D" w:rsidR="00300DB4" w:rsidRDefault="00300DB4" w:rsidP="00C9450A">
            <w:pPr>
              <w:spacing w:after="0" w:line="259" w:lineRule="auto"/>
              <w:ind w:left="0" w:right="43" w:firstLine="0"/>
              <w:jc w:val="center"/>
            </w:pPr>
            <w:r>
              <w:rPr>
                <w:sz w:val="18"/>
              </w:rPr>
              <w:t>8081</w:t>
            </w:r>
          </w:p>
        </w:tc>
        <w:tc>
          <w:tcPr>
            <w:tcW w:w="1586" w:type="dxa"/>
            <w:tcBorders>
              <w:top w:val="single" w:sz="4" w:space="0" w:color="000000"/>
              <w:left w:val="single" w:sz="12" w:space="0" w:color="000000"/>
              <w:bottom w:val="single" w:sz="4" w:space="0" w:color="000000"/>
              <w:right w:val="single" w:sz="12" w:space="0" w:color="000000"/>
            </w:tcBorders>
          </w:tcPr>
          <w:p w14:paraId="744BF5CB" w14:textId="77777777" w:rsidR="00300DB4" w:rsidRDefault="00300DB4" w:rsidP="00300DB4">
            <w:pPr>
              <w:spacing w:after="0" w:line="259" w:lineRule="auto"/>
              <w:ind w:left="0" w:right="0" w:firstLine="0"/>
              <w:jc w:val="center"/>
            </w:pPr>
            <w:r>
              <w:rPr>
                <w:sz w:val="18"/>
              </w:rPr>
              <w:t xml:space="preserve"> </w:t>
            </w:r>
          </w:p>
        </w:tc>
      </w:tr>
      <w:tr w:rsidR="00300DB4" w14:paraId="4EA0BA3B" w14:textId="77777777" w:rsidTr="00E04EFA">
        <w:trPr>
          <w:trHeight w:val="250"/>
        </w:trPr>
        <w:tc>
          <w:tcPr>
            <w:tcW w:w="3629" w:type="dxa"/>
            <w:tcBorders>
              <w:top w:val="single" w:sz="4" w:space="0" w:color="000000"/>
              <w:left w:val="single" w:sz="12" w:space="0" w:color="000000"/>
              <w:bottom w:val="single" w:sz="4" w:space="0" w:color="000000"/>
              <w:right w:val="single" w:sz="12" w:space="0" w:color="000000"/>
            </w:tcBorders>
          </w:tcPr>
          <w:p w14:paraId="1B184F8C" w14:textId="77777777" w:rsidR="00300DB4" w:rsidRDefault="00300DB4" w:rsidP="00300DB4">
            <w:pPr>
              <w:spacing w:after="0" w:line="259" w:lineRule="auto"/>
              <w:ind w:left="2" w:right="0" w:firstLine="0"/>
            </w:pPr>
            <w:r>
              <w:rPr>
                <w:sz w:val="18"/>
              </w:rPr>
              <w:t xml:space="preserve">Heptachlor </w:t>
            </w:r>
          </w:p>
        </w:tc>
        <w:tc>
          <w:tcPr>
            <w:tcW w:w="1242" w:type="dxa"/>
            <w:tcBorders>
              <w:top w:val="single" w:sz="4" w:space="0" w:color="000000"/>
              <w:left w:val="single" w:sz="12" w:space="0" w:color="000000"/>
              <w:bottom w:val="single" w:sz="4" w:space="0" w:color="000000"/>
              <w:right w:val="single" w:sz="12" w:space="0" w:color="000000"/>
            </w:tcBorders>
          </w:tcPr>
          <w:p w14:paraId="0EB06190" w14:textId="77777777" w:rsidR="00300DB4" w:rsidRDefault="00300DB4" w:rsidP="00300DB4">
            <w:pPr>
              <w:spacing w:after="0" w:line="259" w:lineRule="auto"/>
              <w:ind w:left="0" w:right="44" w:firstLine="0"/>
              <w:jc w:val="right"/>
            </w:pPr>
            <w:r>
              <w:rPr>
                <w:sz w:val="18"/>
              </w:rPr>
              <w:t xml:space="preserve">76-44-8 </w:t>
            </w:r>
          </w:p>
        </w:tc>
        <w:tc>
          <w:tcPr>
            <w:tcW w:w="721" w:type="dxa"/>
            <w:tcBorders>
              <w:top w:val="single" w:sz="4" w:space="0" w:color="000000"/>
              <w:left w:val="single" w:sz="12" w:space="0" w:color="000000"/>
              <w:bottom w:val="single" w:sz="4" w:space="0" w:color="000000"/>
              <w:right w:val="single" w:sz="12" w:space="0" w:color="000000"/>
            </w:tcBorders>
          </w:tcPr>
          <w:p w14:paraId="1F9B9187" w14:textId="2482FD6C" w:rsidR="00300DB4" w:rsidRDefault="00300DB4" w:rsidP="005F34FE">
            <w:pPr>
              <w:spacing w:after="0" w:line="259" w:lineRule="auto"/>
              <w:ind w:left="0" w:right="0" w:firstLine="0"/>
              <w:jc w:val="center"/>
            </w:pPr>
            <w:r>
              <w:rPr>
                <w:b/>
                <w:sz w:val="18"/>
              </w:rPr>
              <w:t>0.2</w:t>
            </w:r>
          </w:p>
        </w:tc>
        <w:tc>
          <w:tcPr>
            <w:tcW w:w="811" w:type="dxa"/>
            <w:tcBorders>
              <w:top w:val="single" w:sz="4" w:space="0" w:color="000000"/>
              <w:left w:val="single" w:sz="12" w:space="0" w:color="000000"/>
              <w:bottom w:val="single" w:sz="4" w:space="0" w:color="000000"/>
              <w:right w:val="single" w:sz="12" w:space="0" w:color="000000"/>
            </w:tcBorders>
          </w:tcPr>
          <w:p w14:paraId="2E2AB512" w14:textId="4ECC2DE4" w:rsidR="00300DB4" w:rsidRDefault="00300DB4" w:rsidP="00300DB4">
            <w:pPr>
              <w:spacing w:after="0" w:line="259" w:lineRule="auto"/>
              <w:ind w:left="0" w:right="46" w:firstLine="0"/>
              <w:jc w:val="center"/>
            </w:pPr>
            <w:r>
              <w:rPr>
                <w:sz w:val="18"/>
              </w:rPr>
              <w:t xml:space="preserve">ug/L </w:t>
            </w:r>
          </w:p>
        </w:tc>
        <w:tc>
          <w:tcPr>
            <w:tcW w:w="902" w:type="dxa"/>
            <w:tcBorders>
              <w:top w:val="single" w:sz="4" w:space="0" w:color="000000"/>
              <w:left w:val="single" w:sz="12" w:space="0" w:color="000000"/>
              <w:bottom w:val="single" w:sz="4" w:space="0" w:color="000000"/>
              <w:right w:val="single" w:sz="12" w:space="0" w:color="000000"/>
            </w:tcBorders>
          </w:tcPr>
          <w:p w14:paraId="377142E4" w14:textId="6A392D28" w:rsidR="00300DB4" w:rsidRDefault="00300DB4" w:rsidP="00DA485B">
            <w:pPr>
              <w:tabs>
                <w:tab w:val="center" w:pos="399"/>
              </w:tabs>
              <w:spacing w:after="0" w:line="259" w:lineRule="auto"/>
              <w:ind w:left="0" w:right="0" w:firstLine="0"/>
              <w:jc w:val="center"/>
            </w:pPr>
            <w:r>
              <w:rPr>
                <w:sz w:val="18"/>
              </w:rPr>
              <w:t>30</w:t>
            </w:r>
          </w:p>
        </w:tc>
        <w:tc>
          <w:tcPr>
            <w:tcW w:w="933" w:type="dxa"/>
            <w:tcBorders>
              <w:top w:val="single" w:sz="4" w:space="0" w:color="000000"/>
              <w:left w:val="single" w:sz="12" w:space="0" w:color="000000"/>
              <w:bottom w:val="single" w:sz="4" w:space="0" w:color="000000"/>
              <w:right w:val="single" w:sz="12" w:space="0" w:color="000000"/>
            </w:tcBorders>
          </w:tcPr>
          <w:p w14:paraId="0F1FE605" w14:textId="249B3815" w:rsidR="00300DB4" w:rsidRDefault="00300DB4" w:rsidP="00300DB4">
            <w:pPr>
              <w:spacing w:after="0" w:line="259" w:lineRule="auto"/>
              <w:ind w:left="0" w:right="47" w:firstLine="0"/>
              <w:jc w:val="center"/>
            </w:pPr>
            <w:r>
              <w:rPr>
                <w:rFonts w:eastAsia="Segoe UI Symbol"/>
                <w:sz w:val="18"/>
              </w:rPr>
              <w:t>u</w:t>
            </w:r>
            <w:r>
              <w:rPr>
                <w:sz w:val="18"/>
              </w:rPr>
              <w:t>g/kg</w:t>
            </w:r>
          </w:p>
        </w:tc>
        <w:tc>
          <w:tcPr>
            <w:tcW w:w="796" w:type="dxa"/>
            <w:tcBorders>
              <w:top w:val="single" w:sz="4" w:space="0" w:color="000000"/>
              <w:left w:val="single" w:sz="12" w:space="0" w:color="000000"/>
              <w:bottom w:val="single" w:sz="4" w:space="0" w:color="000000"/>
              <w:right w:val="single" w:sz="12" w:space="0" w:color="000000"/>
            </w:tcBorders>
          </w:tcPr>
          <w:p w14:paraId="55C80257" w14:textId="107632E4" w:rsidR="00300DB4" w:rsidRDefault="00300DB4" w:rsidP="00C9450A">
            <w:pPr>
              <w:spacing w:after="0" w:line="259" w:lineRule="auto"/>
              <w:ind w:left="0" w:right="43" w:firstLine="0"/>
              <w:jc w:val="center"/>
            </w:pPr>
            <w:r>
              <w:rPr>
                <w:sz w:val="18"/>
              </w:rPr>
              <w:t>8081</w:t>
            </w:r>
          </w:p>
        </w:tc>
        <w:tc>
          <w:tcPr>
            <w:tcW w:w="1586" w:type="dxa"/>
            <w:tcBorders>
              <w:top w:val="single" w:sz="4" w:space="0" w:color="000000"/>
              <w:left w:val="single" w:sz="12" w:space="0" w:color="000000"/>
              <w:bottom w:val="single" w:sz="4" w:space="0" w:color="000000"/>
              <w:right w:val="single" w:sz="12" w:space="0" w:color="000000"/>
            </w:tcBorders>
          </w:tcPr>
          <w:p w14:paraId="750EAA1B" w14:textId="77777777" w:rsidR="00300DB4" w:rsidRDefault="00300DB4" w:rsidP="00300DB4">
            <w:pPr>
              <w:spacing w:after="0" w:line="259" w:lineRule="auto"/>
              <w:ind w:left="0" w:right="0" w:firstLine="0"/>
              <w:jc w:val="center"/>
            </w:pPr>
            <w:r>
              <w:rPr>
                <w:sz w:val="18"/>
              </w:rPr>
              <w:t xml:space="preserve"> </w:t>
            </w:r>
          </w:p>
        </w:tc>
      </w:tr>
      <w:tr w:rsidR="00300DB4" w14:paraId="3207BC6E" w14:textId="77777777" w:rsidTr="00E04EFA">
        <w:trPr>
          <w:trHeight w:val="250"/>
        </w:trPr>
        <w:tc>
          <w:tcPr>
            <w:tcW w:w="3629" w:type="dxa"/>
            <w:tcBorders>
              <w:top w:val="single" w:sz="4" w:space="0" w:color="000000"/>
              <w:left w:val="single" w:sz="12" w:space="0" w:color="000000"/>
              <w:bottom w:val="single" w:sz="4" w:space="0" w:color="000000"/>
              <w:right w:val="single" w:sz="12" w:space="0" w:color="000000"/>
            </w:tcBorders>
          </w:tcPr>
          <w:p w14:paraId="07153CFC" w14:textId="77777777" w:rsidR="00300DB4" w:rsidRDefault="00300DB4" w:rsidP="00300DB4">
            <w:pPr>
              <w:spacing w:after="0" w:line="259" w:lineRule="auto"/>
              <w:ind w:left="2" w:right="0" w:firstLine="0"/>
            </w:pPr>
            <w:r>
              <w:rPr>
                <w:sz w:val="18"/>
              </w:rPr>
              <w:t xml:space="preserve">Methoxychlor </w:t>
            </w:r>
          </w:p>
        </w:tc>
        <w:tc>
          <w:tcPr>
            <w:tcW w:w="1242" w:type="dxa"/>
            <w:tcBorders>
              <w:top w:val="single" w:sz="4" w:space="0" w:color="000000"/>
              <w:left w:val="single" w:sz="12" w:space="0" w:color="000000"/>
              <w:bottom w:val="single" w:sz="4" w:space="0" w:color="000000"/>
              <w:right w:val="single" w:sz="12" w:space="0" w:color="000000"/>
            </w:tcBorders>
          </w:tcPr>
          <w:p w14:paraId="54D130F7" w14:textId="77777777" w:rsidR="00300DB4" w:rsidRDefault="00300DB4" w:rsidP="00300DB4">
            <w:pPr>
              <w:spacing w:after="0" w:line="259" w:lineRule="auto"/>
              <w:ind w:left="0" w:right="44" w:firstLine="0"/>
              <w:jc w:val="right"/>
            </w:pPr>
            <w:r>
              <w:rPr>
                <w:sz w:val="18"/>
              </w:rPr>
              <w:t xml:space="preserve">72-43-5 </w:t>
            </w:r>
          </w:p>
        </w:tc>
        <w:tc>
          <w:tcPr>
            <w:tcW w:w="721" w:type="dxa"/>
            <w:tcBorders>
              <w:top w:val="single" w:sz="4" w:space="0" w:color="000000"/>
              <w:left w:val="single" w:sz="12" w:space="0" w:color="000000"/>
              <w:bottom w:val="single" w:sz="4" w:space="0" w:color="000000"/>
              <w:right w:val="single" w:sz="12" w:space="0" w:color="000000"/>
            </w:tcBorders>
          </w:tcPr>
          <w:p w14:paraId="78504E04" w14:textId="5A000C50" w:rsidR="00300DB4" w:rsidRDefault="00300DB4" w:rsidP="005F34FE">
            <w:pPr>
              <w:spacing w:after="0" w:line="259" w:lineRule="auto"/>
              <w:ind w:left="0" w:right="0" w:firstLine="0"/>
              <w:jc w:val="center"/>
            </w:pPr>
            <w:r>
              <w:rPr>
                <w:sz w:val="18"/>
              </w:rPr>
              <w:t>0.9</w:t>
            </w:r>
          </w:p>
        </w:tc>
        <w:tc>
          <w:tcPr>
            <w:tcW w:w="811" w:type="dxa"/>
            <w:tcBorders>
              <w:top w:val="single" w:sz="4" w:space="0" w:color="000000"/>
              <w:left w:val="single" w:sz="12" w:space="0" w:color="000000"/>
              <w:bottom w:val="single" w:sz="4" w:space="0" w:color="000000"/>
              <w:right w:val="single" w:sz="12" w:space="0" w:color="000000"/>
            </w:tcBorders>
          </w:tcPr>
          <w:p w14:paraId="3BCDEAEF" w14:textId="39710ACC" w:rsidR="00300DB4" w:rsidRDefault="00300DB4" w:rsidP="00300DB4">
            <w:pPr>
              <w:spacing w:after="0" w:line="259" w:lineRule="auto"/>
              <w:ind w:left="0" w:right="46" w:firstLine="0"/>
              <w:jc w:val="center"/>
            </w:pPr>
            <w:r>
              <w:rPr>
                <w:sz w:val="18"/>
              </w:rPr>
              <w:t xml:space="preserve">ug/L </w:t>
            </w:r>
          </w:p>
        </w:tc>
        <w:tc>
          <w:tcPr>
            <w:tcW w:w="902" w:type="dxa"/>
            <w:tcBorders>
              <w:top w:val="single" w:sz="4" w:space="0" w:color="000000"/>
              <w:left w:val="single" w:sz="12" w:space="0" w:color="000000"/>
              <w:bottom w:val="single" w:sz="4" w:space="0" w:color="000000"/>
              <w:right w:val="single" w:sz="12" w:space="0" w:color="000000"/>
            </w:tcBorders>
          </w:tcPr>
          <w:p w14:paraId="65BAB9D9" w14:textId="2E8646BA" w:rsidR="00300DB4" w:rsidRDefault="00300DB4" w:rsidP="00DA485B">
            <w:pPr>
              <w:tabs>
                <w:tab w:val="center" w:pos="399"/>
              </w:tabs>
              <w:spacing w:after="0" w:line="259" w:lineRule="auto"/>
              <w:ind w:left="0" w:right="0" w:firstLine="0"/>
              <w:jc w:val="center"/>
            </w:pPr>
            <w:r>
              <w:rPr>
                <w:sz w:val="18"/>
              </w:rPr>
              <w:t>60</w:t>
            </w:r>
          </w:p>
        </w:tc>
        <w:tc>
          <w:tcPr>
            <w:tcW w:w="933" w:type="dxa"/>
            <w:tcBorders>
              <w:top w:val="single" w:sz="4" w:space="0" w:color="000000"/>
              <w:left w:val="single" w:sz="12" w:space="0" w:color="000000"/>
              <w:bottom w:val="single" w:sz="4" w:space="0" w:color="000000"/>
              <w:right w:val="single" w:sz="12" w:space="0" w:color="000000"/>
            </w:tcBorders>
          </w:tcPr>
          <w:p w14:paraId="4778B0AB" w14:textId="08D34FCF" w:rsidR="00300DB4" w:rsidRDefault="00300DB4" w:rsidP="00300DB4">
            <w:pPr>
              <w:spacing w:after="0" w:line="259" w:lineRule="auto"/>
              <w:ind w:left="0" w:right="47" w:firstLine="0"/>
              <w:jc w:val="center"/>
            </w:pPr>
            <w:r>
              <w:rPr>
                <w:rFonts w:eastAsia="Segoe UI Symbol"/>
                <w:sz w:val="18"/>
              </w:rPr>
              <w:t>u</w:t>
            </w:r>
            <w:r>
              <w:rPr>
                <w:sz w:val="18"/>
              </w:rPr>
              <w:t>g/kg</w:t>
            </w:r>
          </w:p>
        </w:tc>
        <w:tc>
          <w:tcPr>
            <w:tcW w:w="796" w:type="dxa"/>
            <w:tcBorders>
              <w:top w:val="single" w:sz="4" w:space="0" w:color="000000"/>
              <w:left w:val="single" w:sz="12" w:space="0" w:color="000000"/>
              <w:bottom w:val="single" w:sz="4" w:space="0" w:color="000000"/>
              <w:right w:val="single" w:sz="12" w:space="0" w:color="000000"/>
            </w:tcBorders>
          </w:tcPr>
          <w:p w14:paraId="7C1E6D1B" w14:textId="218B0396" w:rsidR="00300DB4" w:rsidRDefault="00300DB4" w:rsidP="00C9450A">
            <w:pPr>
              <w:spacing w:after="0" w:line="259" w:lineRule="auto"/>
              <w:ind w:left="0" w:right="43" w:firstLine="0"/>
              <w:jc w:val="center"/>
            </w:pPr>
            <w:r>
              <w:rPr>
                <w:sz w:val="18"/>
              </w:rPr>
              <w:t>8081</w:t>
            </w:r>
          </w:p>
        </w:tc>
        <w:tc>
          <w:tcPr>
            <w:tcW w:w="1586" w:type="dxa"/>
            <w:tcBorders>
              <w:top w:val="single" w:sz="4" w:space="0" w:color="000000"/>
              <w:left w:val="single" w:sz="12" w:space="0" w:color="000000"/>
              <w:bottom w:val="single" w:sz="4" w:space="0" w:color="000000"/>
              <w:right w:val="single" w:sz="12" w:space="0" w:color="000000"/>
            </w:tcBorders>
          </w:tcPr>
          <w:p w14:paraId="364C8E9C" w14:textId="77777777" w:rsidR="00300DB4" w:rsidRDefault="00300DB4" w:rsidP="009B302D">
            <w:pPr>
              <w:spacing w:after="0" w:line="259" w:lineRule="auto"/>
              <w:ind w:left="0" w:right="0" w:firstLine="0"/>
              <w:jc w:val="center"/>
            </w:pPr>
            <w:r>
              <w:rPr>
                <w:sz w:val="18"/>
              </w:rPr>
              <w:t xml:space="preserve"> </w:t>
            </w:r>
          </w:p>
        </w:tc>
      </w:tr>
      <w:tr w:rsidR="00300DB4" w14:paraId="33989D63" w14:textId="77777777" w:rsidTr="00E04EFA">
        <w:trPr>
          <w:trHeight w:val="218"/>
        </w:trPr>
        <w:tc>
          <w:tcPr>
            <w:tcW w:w="3629" w:type="dxa"/>
            <w:tcBorders>
              <w:top w:val="single" w:sz="4" w:space="0" w:color="000000"/>
              <w:left w:val="single" w:sz="12" w:space="0" w:color="000000"/>
              <w:bottom w:val="single" w:sz="12" w:space="0" w:color="000000"/>
              <w:right w:val="single" w:sz="12" w:space="0" w:color="000000"/>
            </w:tcBorders>
          </w:tcPr>
          <w:p w14:paraId="6DD4A5EB" w14:textId="77777777" w:rsidR="00300DB4" w:rsidRDefault="00300DB4" w:rsidP="00300DB4">
            <w:pPr>
              <w:spacing w:after="0" w:line="259" w:lineRule="auto"/>
              <w:ind w:left="2" w:right="0" w:firstLine="0"/>
            </w:pPr>
            <w:r>
              <w:rPr>
                <w:sz w:val="18"/>
              </w:rPr>
              <w:t xml:space="preserve">Toxaphene </w:t>
            </w:r>
          </w:p>
        </w:tc>
        <w:tc>
          <w:tcPr>
            <w:tcW w:w="1242" w:type="dxa"/>
            <w:tcBorders>
              <w:top w:val="single" w:sz="4" w:space="0" w:color="000000"/>
              <w:left w:val="single" w:sz="12" w:space="0" w:color="000000"/>
              <w:bottom w:val="single" w:sz="12" w:space="0" w:color="000000"/>
              <w:right w:val="single" w:sz="12" w:space="0" w:color="000000"/>
            </w:tcBorders>
          </w:tcPr>
          <w:p w14:paraId="11EE2009" w14:textId="77777777" w:rsidR="00300DB4" w:rsidRDefault="00300DB4" w:rsidP="00300DB4">
            <w:pPr>
              <w:spacing w:after="0" w:line="259" w:lineRule="auto"/>
              <w:ind w:left="0" w:right="44" w:firstLine="0"/>
              <w:jc w:val="right"/>
            </w:pPr>
            <w:r>
              <w:rPr>
                <w:sz w:val="18"/>
              </w:rPr>
              <w:t xml:space="preserve">8001-35-2 </w:t>
            </w:r>
          </w:p>
        </w:tc>
        <w:tc>
          <w:tcPr>
            <w:tcW w:w="721" w:type="dxa"/>
            <w:tcBorders>
              <w:top w:val="single" w:sz="4" w:space="0" w:color="000000"/>
              <w:left w:val="single" w:sz="12" w:space="0" w:color="000000"/>
              <w:bottom w:val="single" w:sz="12" w:space="0" w:color="000000"/>
              <w:right w:val="single" w:sz="12" w:space="0" w:color="000000"/>
            </w:tcBorders>
          </w:tcPr>
          <w:p w14:paraId="774FAFE4" w14:textId="4EE5512C" w:rsidR="00300DB4" w:rsidRDefault="00300DB4" w:rsidP="00613D2E">
            <w:pPr>
              <w:spacing w:after="0" w:line="259" w:lineRule="auto"/>
              <w:ind w:left="0" w:right="0" w:firstLine="0"/>
              <w:jc w:val="center"/>
            </w:pPr>
            <w:r>
              <w:rPr>
                <w:sz w:val="18"/>
              </w:rPr>
              <w:t>0.9</w:t>
            </w:r>
          </w:p>
        </w:tc>
        <w:tc>
          <w:tcPr>
            <w:tcW w:w="811" w:type="dxa"/>
            <w:tcBorders>
              <w:top w:val="single" w:sz="4" w:space="0" w:color="000000"/>
              <w:left w:val="single" w:sz="12" w:space="0" w:color="000000"/>
              <w:bottom w:val="single" w:sz="12" w:space="0" w:color="000000"/>
              <w:right w:val="single" w:sz="12" w:space="0" w:color="000000"/>
            </w:tcBorders>
          </w:tcPr>
          <w:p w14:paraId="471BA7A0" w14:textId="6EE06DAE" w:rsidR="00300DB4" w:rsidRDefault="00300DB4" w:rsidP="00300DB4">
            <w:pPr>
              <w:spacing w:after="0" w:line="259" w:lineRule="auto"/>
              <w:ind w:left="0" w:right="46" w:firstLine="0"/>
              <w:jc w:val="center"/>
            </w:pPr>
            <w:r>
              <w:rPr>
                <w:sz w:val="18"/>
              </w:rPr>
              <w:t xml:space="preserve">ug/L </w:t>
            </w:r>
          </w:p>
        </w:tc>
        <w:tc>
          <w:tcPr>
            <w:tcW w:w="902" w:type="dxa"/>
            <w:tcBorders>
              <w:top w:val="single" w:sz="4" w:space="0" w:color="000000"/>
              <w:left w:val="single" w:sz="12" w:space="0" w:color="000000"/>
              <w:bottom w:val="single" w:sz="12" w:space="0" w:color="000000"/>
              <w:right w:val="single" w:sz="12" w:space="0" w:color="000000"/>
            </w:tcBorders>
          </w:tcPr>
          <w:p w14:paraId="0AFA9140" w14:textId="70541653" w:rsidR="00300DB4" w:rsidRDefault="00300DB4" w:rsidP="00C9450A">
            <w:pPr>
              <w:tabs>
                <w:tab w:val="center" w:pos="399"/>
              </w:tabs>
              <w:spacing w:after="0" w:line="259" w:lineRule="auto"/>
              <w:ind w:left="0" w:right="0" w:firstLine="0"/>
              <w:jc w:val="center"/>
            </w:pPr>
            <w:r>
              <w:rPr>
                <w:sz w:val="18"/>
              </w:rPr>
              <w:t>60</w:t>
            </w:r>
          </w:p>
        </w:tc>
        <w:tc>
          <w:tcPr>
            <w:tcW w:w="933" w:type="dxa"/>
            <w:tcBorders>
              <w:top w:val="single" w:sz="4" w:space="0" w:color="000000"/>
              <w:left w:val="single" w:sz="12" w:space="0" w:color="000000"/>
              <w:bottom w:val="single" w:sz="12" w:space="0" w:color="000000"/>
              <w:right w:val="single" w:sz="12" w:space="0" w:color="000000"/>
            </w:tcBorders>
          </w:tcPr>
          <w:p w14:paraId="49A2FBD9" w14:textId="45424C66" w:rsidR="00300DB4" w:rsidRDefault="00300DB4" w:rsidP="00300DB4">
            <w:pPr>
              <w:spacing w:after="0" w:line="259" w:lineRule="auto"/>
              <w:ind w:left="0" w:right="47" w:firstLine="0"/>
              <w:jc w:val="center"/>
            </w:pPr>
            <w:r>
              <w:rPr>
                <w:rFonts w:eastAsia="Segoe UI Symbol"/>
                <w:sz w:val="18"/>
              </w:rPr>
              <w:t>u</w:t>
            </w:r>
            <w:r>
              <w:rPr>
                <w:sz w:val="18"/>
              </w:rPr>
              <w:t>g/kg</w:t>
            </w:r>
          </w:p>
        </w:tc>
        <w:tc>
          <w:tcPr>
            <w:tcW w:w="796" w:type="dxa"/>
            <w:tcBorders>
              <w:top w:val="single" w:sz="4" w:space="0" w:color="000000"/>
              <w:left w:val="single" w:sz="12" w:space="0" w:color="000000"/>
              <w:bottom w:val="single" w:sz="12" w:space="0" w:color="000000"/>
              <w:right w:val="single" w:sz="12" w:space="0" w:color="000000"/>
            </w:tcBorders>
          </w:tcPr>
          <w:p w14:paraId="0CA48522" w14:textId="6D155227" w:rsidR="00300DB4" w:rsidRDefault="00300DB4" w:rsidP="00C9450A">
            <w:pPr>
              <w:spacing w:after="0" w:line="259" w:lineRule="auto"/>
              <w:ind w:left="0" w:right="43" w:firstLine="0"/>
              <w:jc w:val="center"/>
            </w:pPr>
            <w:r>
              <w:rPr>
                <w:sz w:val="18"/>
              </w:rPr>
              <w:t>8081</w:t>
            </w:r>
          </w:p>
        </w:tc>
        <w:tc>
          <w:tcPr>
            <w:tcW w:w="1586" w:type="dxa"/>
            <w:tcBorders>
              <w:top w:val="single" w:sz="4" w:space="0" w:color="000000"/>
              <w:left w:val="single" w:sz="12" w:space="0" w:color="000000"/>
              <w:bottom w:val="single" w:sz="12" w:space="0" w:color="000000"/>
              <w:right w:val="single" w:sz="12" w:space="0" w:color="000000"/>
            </w:tcBorders>
          </w:tcPr>
          <w:p w14:paraId="1E941FE7" w14:textId="77777777" w:rsidR="00300DB4" w:rsidRDefault="00300DB4" w:rsidP="00300DB4">
            <w:pPr>
              <w:spacing w:after="0" w:line="259" w:lineRule="auto"/>
              <w:ind w:left="0" w:right="0" w:firstLine="0"/>
              <w:jc w:val="center"/>
            </w:pPr>
            <w:r>
              <w:rPr>
                <w:sz w:val="18"/>
              </w:rPr>
              <w:t xml:space="preserve"> </w:t>
            </w:r>
          </w:p>
        </w:tc>
      </w:tr>
    </w:tbl>
    <w:p w14:paraId="3B52AEFD" w14:textId="5B0E39CA" w:rsidR="00B56D50" w:rsidRDefault="00B56D50" w:rsidP="008F7A41">
      <w:pPr>
        <w:spacing w:after="0" w:line="240" w:lineRule="auto"/>
        <w:ind w:right="0"/>
      </w:pPr>
    </w:p>
    <w:p w14:paraId="2724F8F4" w14:textId="77777777" w:rsidR="007E6E9F" w:rsidRDefault="007E6E9F" w:rsidP="008F7A41">
      <w:pPr>
        <w:spacing w:after="0" w:line="240" w:lineRule="auto"/>
        <w:ind w:right="0"/>
      </w:pPr>
    </w:p>
    <w:p w14:paraId="583BF394" w14:textId="77777777" w:rsidR="0063773C" w:rsidRDefault="0063773C" w:rsidP="008F7A41">
      <w:pPr>
        <w:spacing w:after="0" w:line="240" w:lineRule="auto"/>
        <w:ind w:right="0"/>
      </w:pPr>
    </w:p>
    <w:p w14:paraId="75606C51" w14:textId="0CA94DBA" w:rsidR="000D52E4" w:rsidRPr="008604F7" w:rsidRDefault="001C3C42" w:rsidP="00D47889">
      <w:pPr>
        <w:jc w:val="center"/>
        <w:rPr>
          <w:b/>
          <w:bCs/>
        </w:rPr>
      </w:pPr>
      <w:r w:rsidRPr="008604F7">
        <w:rPr>
          <w:b/>
          <w:bCs/>
        </w:rPr>
        <w:lastRenderedPageBreak/>
        <w:t>SW-846 Petroleum Analysis</w:t>
      </w:r>
    </w:p>
    <w:p w14:paraId="1E72D6B6" w14:textId="00E2F74C" w:rsidR="00B56D50" w:rsidRPr="008F7A41" w:rsidRDefault="00B56D50" w:rsidP="008F7A41">
      <w:pPr>
        <w:pStyle w:val="Heading4"/>
        <w:spacing w:after="14" w:line="240" w:lineRule="auto"/>
        <w:ind w:right="353"/>
        <w:rPr>
          <w:b w:val="0"/>
          <w:bCs/>
        </w:rPr>
      </w:pPr>
    </w:p>
    <w:tbl>
      <w:tblPr>
        <w:tblStyle w:val="TableGrid1"/>
        <w:tblW w:w="10620" w:type="dxa"/>
        <w:tblInd w:w="-375" w:type="dxa"/>
        <w:tblCellMar>
          <w:top w:w="8" w:type="dxa"/>
          <w:left w:w="72" w:type="dxa"/>
          <w:right w:w="54" w:type="dxa"/>
        </w:tblCellMar>
        <w:tblLook w:val="04A0" w:firstRow="1" w:lastRow="0" w:firstColumn="1" w:lastColumn="0" w:noHBand="0" w:noVBand="1"/>
      </w:tblPr>
      <w:tblGrid>
        <w:gridCol w:w="4567"/>
        <w:gridCol w:w="2939"/>
        <w:gridCol w:w="3114"/>
      </w:tblGrid>
      <w:tr w:rsidR="004174F4" w14:paraId="4BA4CA8B" w14:textId="77777777" w:rsidTr="00E04EFA">
        <w:trPr>
          <w:trHeight w:val="271"/>
        </w:trPr>
        <w:tc>
          <w:tcPr>
            <w:tcW w:w="7506" w:type="dxa"/>
            <w:gridSpan w:val="2"/>
            <w:tcBorders>
              <w:top w:val="single" w:sz="12" w:space="0" w:color="000000"/>
              <w:left w:val="single" w:sz="12" w:space="0" w:color="000000"/>
              <w:bottom w:val="single" w:sz="12" w:space="0" w:color="000000"/>
              <w:right w:val="nil"/>
            </w:tcBorders>
            <w:vAlign w:val="center"/>
          </w:tcPr>
          <w:p w14:paraId="36A3D378" w14:textId="5BD7128C" w:rsidR="00B56D50" w:rsidRPr="00E97A39" w:rsidRDefault="001C3C42" w:rsidP="00681137">
            <w:pPr>
              <w:spacing w:after="0" w:line="240" w:lineRule="auto"/>
              <w:ind w:left="36" w:right="0" w:firstLine="0"/>
              <w:rPr>
                <w:b/>
              </w:rPr>
            </w:pPr>
            <w:r w:rsidRPr="00CD2677">
              <w:rPr>
                <w:b/>
                <w:sz w:val="18"/>
              </w:rPr>
              <w:t>Petroleum Analysis</w:t>
            </w:r>
            <w:proofErr w:type="gramStart"/>
            <w:r w:rsidRPr="00CD2677">
              <w:rPr>
                <w:b/>
                <w:sz w:val="18"/>
              </w:rPr>
              <w:t>:  Acceptable</w:t>
            </w:r>
            <w:proofErr w:type="gramEnd"/>
            <w:r w:rsidRPr="00CD2677">
              <w:rPr>
                <w:b/>
                <w:sz w:val="18"/>
              </w:rPr>
              <w:t xml:space="preserve"> Sample Preparation and Introduction Methods</w:t>
            </w:r>
          </w:p>
        </w:tc>
        <w:tc>
          <w:tcPr>
            <w:tcW w:w="3114" w:type="dxa"/>
            <w:tcBorders>
              <w:top w:val="single" w:sz="12" w:space="0" w:color="000000"/>
              <w:left w:val="nil"/>
              <w:bottom w:val="single" w:sz="12" w:space="0" w:color="000000"/>
              <w:right w:val="single" w:sz="12" w:space="0" w:color="000000"/>
            </w:tcBorders>
            <w:vAlign w:val="center"/>
          </w:tcPr>
          <w:p w14:paraId="45F463C8" w14:textId="77777777" w:rsidR="00B56D50" w:rsidRPr="004423A1" w:rsidRDefault="00B56D50" w:rsidP="00681137">
            <w:pPr>
              <w:spacing w:after="160" w:line="240" w:lineRule="auto"/>
              <w:ind w:left="0" w:right="0" w:firstLine="0"/>
              <w:rPr>
                <w:sz w:val="18"/>
                <w:szCs w:val="18"/>
              </w:rPr>
            </w:pPr>
          </w:p>
        </w:tc>
      </w:tr>
      <w:tr w:rsidR="00B56D50" w14:paraId="631AAF8C" w14:textId="77777777" w:rsidTr="00E04EFA">
        <w:trPr>
          <w:trHeight w:val="317"/>
        </w:trPr>
        <w:tc>
          <w:tcPr>
            <w:tcW w:w="4567" w:type="dxa"/>
            <w:tcBorders>
              <w:top w:val="single" w:sz="12" w:space="0" w:color="000000"/>
              <w:left w:val="single" w:sz="12" w:space="0" w:color="000000"/>
              <w:bottom w:val="single" w:sz="12" w:space="0" w:color="000000"/>
              <w:right w:val="single" w:sz="12" w:space="0" w:color="000000"/>
            </w:tcBorders>
            <w:vAlign w:val="center"/>
          </w:tcPr>
          <w:p w14:paraId="0BFB1D00" w14:textId="5BD491E3" w:rsidR="00B56D50" w:rsidRDefault="001C3C42" w:rsidP="00681137">
            <w:pPr>
              <w:spacing w:after="0" w:line="259" w:lineRule="auto"/>
              <w:ind w:left="0" w:right="23" w:firstLine="0"/>
              <w:jc w:val="center"/>
            </w:pPr>
            <w:r>
              <w:rPr>
                <w:b/>
                <w:sz w:val="18"/>
              </w:rPr>
              <w:t>Analyte</w:t>
            </w:r>
          </w:p>
        </w:tc>
        <w:tc>
          <w:tcPr>
            <w:tcW w:w="2939" w:type="dxa"/>
            <w:tcBorders>
              <w:top w:val="single" w:sz="12" w:space="0" w:color="000000"/>
              <w:left w:val="single" w:sz="12" w:space="0" w:color="000000"/>
              <w:bottom w:val="single" w:sz="12" w:space="0" w:color="000000"/>
              <w:right w:val="single" w:sz="12" w:space="0" w:color="000000"/>
            </w:tcBorders>
            <w:vAlign w:val="center"/>
          </w:tcPr>
          <w:p w14:paraId="3B944F0F" w14:textId="04ED859D" w:rsidR="00B56D50" w:rsidRDefault="001C3C42" w:rsidP="00681137">
            <w:pPr>
              <w:spacing w:after="0" w:line="259" w:lineRule="auto"/>
              <w:ind w:left="0" w:right="28" w:firstLine="0"/>
              <w:jc w:val="center"/>
            </w:pPr>
            <w:r>
              <w:rPr>
                <w:b/>
                <w:sz w:val="18"/>
              </w:rPr>
              <w:t>Acceptable Methods</w:t>
            </w:r>
          </w:p>
        </w:tc>
        <w:tc>
          <w:tcPr>
            <w:tcW w:w="3114" w:type="dxa"/>
            <w:tcBorders>
              <w:top w:val="single" w:sz="12" w:space="0" w:color="000000"/>
              <w:left w:val="single" w:sz="12" w:space="0" w:color="000000"/>
              <w:bottom w:val="single" w:sz="12" w:space="0" w:color="000000"/>
              <w:right w:val="single" w:sz="12" w:space="0" w:color="000000"/>
            </w:tcBorders>
            <w:vAlign w:val="center"/>
          </w:tcPr>
          <w:p w14:paraId="43A9C5EB" w14:textId="272B8AD7" w:rsidR="00B56D50" w:rsidRDefault="001C3C42" w:rsidP="00681137">
            <w:pPr>
              <w:spacing w:after="0" w:line="259" w:lineRule="auto"/>
              <w:ind w:left="0" w:right="23" w:firstLine="0"/>
              <w:jc w:val="center"/>
            </w:pPr>
            <w:r>
              <w:rPr>
                <w:b/>
                <w:sz w:val="18"/>
              </w:rPr>
              <w:t>Comments</w:t>
            </w:r>
          </w:p>
        </w:tc>
      </w:tr>
      <w:tr w:rsidR="00B56D50" w14:paraId="4DEC3677" w14:textId="77777777" w:rsidTr="00E04EFA">
        <w:trPr>
          <w:trHeight w:val="643"/>
        </w:trPr>
        <w:tc>
          <w:tcPr>
            <w:tcW w:w="4567" w:type="dxa"/>
            <w:tcBorders>
              <w:top w:val="single" w:sz="12" w:space="0" w:color="000000"/>
              <w:left w:val="single" w:sz="12" w:space="0" w:color="000000"/>
              <w:bottom w:val="single" w:sz="4" w:space="0" w:color="000000"/>
              <w:right w:val="single" w:sz="12" w:space="0" w:color="000000"/>
            </w:tcBorders>
            <w:vAlign w:val="center"/>
          </w:tcPr>
          <w:p w14:paraId="11CD6C46" w14:textId="77777777" w:rsidR="00B56D50" w:rsidRDefault="001C3C42" w:rsidP="00681137">
            <w:pPr>
              <w:spacing w:after="0" w:line="259" w:lineRule="auto"/>
              <w:ind w:right="0"/>
            </w:pPr>
            <w:r>
              <w:rPr>
                <w:sz w:val="18"/>
              </w:rPr>
              <w:t xml:space="preserve">TPH Gasoline Range Organics </w:t>
            </w:r>
          </w:p>
        </w:tc>
        <w:tc>
          <w:tcPr>
            <w:tcW w:w="2939" w:type="dxa"/>
            <w:tcBorders>
              <w:top w:val="single" w:sz="12" w:space="0" w:color="000000"/>
              <w:left w:val="single" w:sz="12" w:space="0" w:color="000000"/>
              <w:bottom w:val="single" w:sz="4" w:space="0" w:color="000000"/>
              <w:right w:val="single" w:sz="12" w:space="0" w:color="000000"/>
            </w:tcBorders>
            <w:vAlign w:val="center"/>
          </w:tcPr>
          <w:p w14:paraId="10BF67D0" w14:textId="2A32B76C" w:rsidR="00B56D50" w:rsidRDefault="001C3C42" w:rsidP="00681137">
            <w:pPr>
              <w:spacing w:after="0" w:line="259" w:lineRule="auto"/>
              <w:ind w:left="0" w:right="0" w:firstLine="0"/>
            </w:pPr>
            <w:r>
              <w:rPr>
                <w:sz w:val="18"/>
              </w:rPr>
              <w:t xml:space="preserve">5000 </w:t>
            </w:r>
            <w:r>
              <w:rPr>
                <w:b/>
                <w:sz w:val="18"/>
              </w:rPr>
              <w:t xml:space="preserve">(required) </w:t>
            </w:r>
            <w:r>
              <w:rPr>
                <w:sz w:val="18"/>
              </w:rPr>
              <w:t>plus one of: 5021, 5030, 5032, 3585, or other technique, as appropriate</w:t>
            </w:r>
          </w:p>
        </w:tc>
        <w:tc>
          <w:tcPr>
            <w:tcW w:w="3114" w:type="dxa"/>
            <w:tcBorders>
              <w:top w:val="single" w:sz="12" w:space="0" w:color="000000"/>
              <w:left w:val="single" w:sz="12" w:space="0" w:color="000000"/>
              <w:bottom w:val="single" w:sz="4" w:space="0" w:color="000000"/>
              <w:right w:val="single" w:sz="12" w:space="0" w:color="000000"/>
            </w:tcBorders>
            <w:vAlign w:val="center"/>
          </w:tcPr>
          <w:p w14:paraId="19FE5AC0" w14:textId="76B37B14" w:rsidR="00B56D50" w:rsidRDefault="001C3C42" w:rsidP="00681137">
            <w:pPr>
              <w:spacing w:after="0" w:line="259" w:lineRule="auto"/>
              <w:ind w:left="0" w:right="0" w:firstLine="0"/>
            </w:pPr>
            <w:r>
              <w:rPr>
                <w:sz w:val="18"/>
              </w:rPr>
              <w:t>See Acceptable Sample Preparation and Introduction Methods for VOA, above</w:t>
            </w:r>
          </w:p>
        </w:tc>
      </w:tr>
      <w:tr w:rsidR="00B56D50" w14:paraId="5009CC8E" w14:textId="77777777" w:rsidTr="00E04EFA">
        <w:trPr>
          <w:trHeight w:val="838"/>
        </w:trPr>
        <w:tc>
          <w:tcPr>
            <w:tcW w:w="4567" w:type="dxa"/>
            <w:tcBorders>
              <w:top w:val="single" w:sz="4" w:space="0" w:color="000000"/>
              <w:left w:val="single" w:sz="12" w:space="0" w:color="000000"/>
              <w:bottom w:val="single" w:sz="4" w:space="0" w:color="000000"/>
              <w:right w:val="single" w:sz="12" w:space="0" w:color="000000"/>
            </w:tcBorders>
            <w:vAlign w:val="center"/>
          </w:tcPr>
          <w:p w14:paraId="79F24E57" w14:textId="77777777" w:rsidR="00B56D50" w:rsidRDefault="001C3C42" w:rsidP="00681137">
            <w:pPr>
              <w:spacing w:after="0" w:line="259" w:lineRule="auto"/>
              <w:ind w:right="0"/>
            </w:pPr>
            <w:r>
              <w:rPr>
                <w:sz w:val="18"/>
              </w:rPr>
              <w:t xml:space="preserve">TPH Diesel Range Organics </w:t>
            </w:r>
          </w:p>
          <w:p w14:paraId="5FB45B03" w14:textId="6F4CAEA1" w:rsidR="00B56D50" w:rsidRDefault="001C3C42" w:rsidP="00681137">
            <w:pPr>
              <w:spacing w:after="0" w:line="259" w:lineRule="auto"/>
              <w:ind w:left="111" w:right="0" w:firstLine="0"/>
            </w:pPr>
            <w:r>
              <w:rPr>
                <w:sz w:val="18"/>
              </w:rPr>
              <w:t xml:space="preserve">                  and </w:t>
            </w:r>
          </w:p>
          <w:p w14:paraId="2514623A" w14:textId="77777777" w:rsidR="00B56D50" w:rsidRDefault="001C3C42" w:rsidP="00681137">
            <w:pPr>
              <w:spacing w:after="0" w:line="259" w:lineRule="auto"/>
              <w:ind w:left="0" w:right="51" w:firstLine="0"/>
            </w:pPr>
            <w:r>
              <w:rPr>
                <w:sz w:val="18"/>
              </w:rPr>
              <w:t xml:space="preserve">TPH Heavy Oil Range Organics/Extended Range </w:t>
            </w:r>
          </w:p>
          <w:p w14:paraId="1A090046" w14:textId="77777777" w:rsidR="00B56D50" w:rsidRDefault="001C3C42" w:rsidP="00681137">
            <w:pPr>
              <w:spacing w:after="0" w:line="259" w:lineRule="auto"/>
              <w:ind w:right="0"/>
            </w:pPr>
            <w:r>
              <w:rPr>
                <w:sz w:val="18"/>
              </w:rPr>
              <w:t xml:space="preserve">Organics (ERO) – GC/FID </w:t>
            </w:r>
          </w:p>
        </w:tc>
        <w:tc>
          <w:tcPr>
            <w:tcW w:w="2939" w:type="dxa"/>
            <w:tcBorders>
              <w:top w:val="single" w:sz="4" w:space="0" w:color="000000"/>
              <w:left w:val="single" w:sz="12" w:space="0" w:color="000000"/>
              <w:bottom w:val="single" w:sz="4" w:space="0" w:color="000000"/>
              <w:right w:val="single" w:sz="12" w:space="0" w:color="000000"/>
            </w:tcBorders>
            <w:vAlign w:val="center"/>
          </w:tcPr>
          <w:p w14:paraId="665C2F8E" w14:textId="5E85AE17" w:rsidR="00B56D50" w:rsidRDefault="001C3C42" w:rsidP="00681137">
            <w:pPr>
              <w:spacing w:after="0" w:line="259" w:lineRule="auto"/>
              <w:ind w:left="0" w:right="0" w:firstLine="0"/>
            </w:pPr>
            <w:r>
              <w:rPr>
                <w:sz w:val="18"/>
              </w:rPr>
              <w:t xml:space="preserve">3500 </w:t>
            </w:r>
            <w:r>
              <w:rPr>
                <w:b/>
                <w:sz w:val="18"/>
              </w:rPr>
              <w:t xml:space="preserve">(required) </w:t>
            </w:r>
            <w:r>
              <w:rPr>
                <w:sz w:val="18"/>
              </w:rPr>
              <w:t>plus one of: 3510,</w:t>
            </w:r>
          </w:p>
          <w:p w14:paraId="79994847" w14:textId="4974A410" w:rsidR="00B56D50" w:rsidRDefault="001C3C42" w:rsidP="00681137">
            <w:pPr>
              <w:spacing w:after="0" w:line="259" w:lineRule="auto"/>
              <w:ind w:left="0" w:right="0" w:firstLine="0"/>
            </w:pPr>
            <w:r>
              <w:rPr>
                <w:sz w:val="18"/>
              </w:rPr>
              <w:t>3520, 3535, 3540, 3541, 3545, 3546, 3550, 3580, or other technique, as appropriate</w:t>
            </w:r>
          </w:p>
        </w:tc>
        <w:tc>
          <w:tcPr>
            <w:tcW w:w="3114" w:type="dxa"/>
            <w:tcBorders>
              <w:top w:val="single" w:sz="4" w:space="0" w:color="000000"/>
              <w:left w:val="single" w:sz="12" w:space="0" w:color="000000"/>
              <w:bottom w:val="single" w:sz="4" w:space="0" w:color="000000"/>
              <w:right w:val="single" w:sz="12" w:space="0" w:color="000000"/>
            </w:tcBorders>
            <w:vAlign w:val="center"/>
          </w:tcPr>
          <w:p w14:paraId="0876C900" w14:textId="1AC6CF62" w:rsidR="00B56D50" w:rsidRDefault="001C3C42" w:rsidP="00681137">
            <w:pPr>
              <w:spacing w:after="0" w:line="259" w:lineRule="auto"/>
              <w:ind w:left="0" w:right="0" w:firstLine="0"/>
            </w:pPr>
            <w:r>
              <w:rPr>
                <w:sz w:val="18"/>
              </w:rPr>
              <w:t>See Acceptable Sample Preparation Methods for SVOA and NVOA, above</w:t>
            </w:r>
          </w:p>
        </w:tc>
      </w:tr>
      <w:tr w:rsidR="00B56D50" w14:paraId="0E1E7732" w14:textId="77777777" w:rsidTr="00E04EFA">
        <w:trPr>
          <w:trHeight w:val="250"/>
        </w:trPr>
        <w:tc>
          <w:tcPr>
            <w:tcW w:w="4567" w:type="dxa"/>
            <w:tcBorders>
              <w:top w:val="single" w:sz="4" w:space="0" w:color="000000"/>
              <w:left w:val="single" w:sz="12" w:space="0" w:color="000000"/>
              <w:bottom w:val="single" w:sz="4" w:space="0" w:color="000000"/>
              <w:right w:val="single" w:sz="12" w:space="0" w:color="000000"/>
            </w:tcBorders>
            <w:vAlign w:val="center"/>
          </w:tcPr>
          <w:p w14:paraId="22F94F56" w14:textId="77777777" w:rsidR="00B56D50" w:rsidRDefault="001C3C42" w:rsidP="00681137">
            <w:pPr>
              <w:spacing w:after="0" w:line="259" w:lineRule="auto"/>
              <w:ind w:right="0"/>
            </w:pPr>
            <w:r>
              <w:rPr>
                <w:sz w:val="18"/>
              </w:rPr>
              <w:t xml:space="preserve">TRPH in Water – Gravimetry </w:t>
            </w:r>
          </w:p>
        </w:tc>
        <w:tc>
          <w:tcPr>
            <w:tcW w:w="2939" w:type="dxa"/>
            <w:tcBorders>
              <w:top w:val="single" w:sz="4" w:space="0" w:color="000000"/>
              <w:left w:val="single" w:sz="12" w:space="0" w:color="000000"/>
              <w:bottom w:val="single" w:sz="4" w:space="0" w:color="000000"/>
              <w:right w:val="single" w:sz="12" w:space="0" w:color="000000"/>
            </w:tcBorders>
            <w:vAlign w:val="center"/>
          </w:tcPr>
          <w:p w14:paraId="5165515C" w14:textId="580EA6B6" w:rsidR="00B56D50" w:rsidRDefault="001C3C42" w:rsidP="00681137">
            <w:pPr>
              <w:spacing w:after="0" w:line="259" w:lineRule="auto"/>
              <w:ind w:left="0" w:right="0" w:firstLine="0"/>
            </w:pPr>
            <w:r>
              <w:rPr>
                <w:sz w:val="18"/>
              </w:rPr>
              <w:t>Extraction with n-hexane</w:t>
            </w:r>
          </w:p>
        </w:tc>
        <w:tc>
          <w:tcPr>
            <w:tcW w:w="3114" w:type="dxa"/>
            <w:tcBorders>
              <w:top w:val="single" w:sz="4" w:space="0" w:color="000000"/>
              <w:left w:val="single" w:sz="12" w:space="0" w:color="000000"/>
              <w:bottom w:val="single" w:sz="4" w:space="0" w:color="000000"/>
              <w:right w:val="single" w:sz="12" w:space="0" w:color="000000"/>
            </w:tcBorders>
            <w:vAlign w:val="center"/>
          </w:tcPr>
          <w:p w14:paraId="36EF1C53" w14:textId="451E723A" w:rsidR="00B56D50" w:rsidRDefault="001C3C42" w:rsidP="00681137">
            <w:pPr>
              <w:spacing w:after="0" w:line="259" w:lineRule="auto"/>
              <w:ind w:left="0" w:right="0" w:firstLine="0"/>
            </w:pPr>
            <w:r>
              <w:rPr>
                <w:sz w:val="18"/>
              </w:rPr>
              <w:t>Included in determinative method</w:t>
            </w:r>
          </w:p>
        </w:tc>
      </w:tr>
      <w:tr w:rsidR="00B56D50" w14:paraId="61794AF8" w14:textId="77777777" w:rsidTr="00E04EFA">
        <w:trPr>
          <w:trHeight w:val="260"/>
        </w:trPr>
        <w:tc>
          <w:tcPr>
            <w:tcW w:w="4567" w:type="dxa"/>
            <w:tcBorders>
              <w:top w:val="single" w:sz="4" w:space="0" w:color="000000"/>
              <w:left w:val="single" w:sz="12" w:space="0" w:color="000000"/>
              <w:bottom w:val="single" w:sz="12" w:space="0" w:color="000000"/>
              <w:right w:val="single" w:sz="12" w:space="0" w:color="000000"/>
            </w:tcBorders>
            <w:vAlign w:val="center"/>
          </w:tcPr>
          <w:p w14:paraId="41CF60E0" w14:textId="77777777" w:rsidR="00B56D50" w:rsidRDefault="001C3C42" w:rsidP="00681137">
            <w:pPr>
              <w:spacing w:after="0" w:line="259" w:lineRule="auto"/>
              <w:ind w:right="0"/>
            </w:pPr>
            <w:r>
              <w:rPr>
                <w:sz w:val="18"/>
              </w:rPr>
              <w:t xml:space="preserve">TRPH in Soils, Sediments, and Sludges – IR </w:t>
            </w:r>
          </w:p>
        </w:tc>
        <w:tc>
          <w:tcPr>
            <w:tcW w:w="2939" w:type="dxa"/>
            <w:tcBorders>
              <w:top w:val="single" w:sz="4" w:space="0" w:color="000000"/>
              <w:left w:val="single" w:sz="12" w:space="0" w:color="000000"/>
              <w:bottom w:val="single" w:sz="12" w:space="0" w:color="000000"/>
              <w:right w:val="single" w:sz="12" w:space="0" w:color="000000"/>
            </w:tcBorders>
            <w:vAlign w:val="center"/>
          </w:tcPr>
          <w:p w14:paraId="4BC4558E" w14:textId="3C10FA4E" w:rsidR="00B56D50" w:rsidRDefault="001C3C42" w:rsidP="00681137">
            <w:pPr>
              <w:spacing w:after="0" w:line="259" w:lineRule="auto"/>
              <w:ind w:left="0" w:right="0" w:firstLine="0"/>
            </w:pPr>
            <w:r>
              <w:rPr>
                <w:sz w:val="18"/>
              </w:rPr>
              <w:t>3560 or 9071</w:t>
            </w:r>
          </w:p>
        </w:tc>
        <w:tc>
          <w:tcPr>
            <w:tcW w:w="3114" w:type="dxa"/>
            <w:tcBorders>
              <w:top w:val="single" w:sz="4" w:space="0" w:color="000000"/>
              <w:left w:val="single" w:sz="12" w:space="0" w:color="000000"/>
              <w:bottom w:val="single" w:sz="12" w:space="0" w:color="000000"/>
              <w:right w:val="single" w:sz="12" w:space="0" w:color="000000"/>
            </w:tcBorders>
            <w:vAlign w:val="center"/>
          </w:tcPr>
          <w:p w14:paraId="4612FCCE" w14:textId="725F5701" w:rsidR="00B56D50" w:rsidRDefault="001C3C42" w:rsidP="00681137">
            <w:pPr>
              <w:spacing w:after="0" w:line="259" w:lineRule="auto"/>
              <w:ind w:left="0" w:right="0" w:firstLine="0"/>
            </w:pPr>
            <w:r>
              <w:rPr>
                <w:sz w:val="18"/>
              </w:rPr>
              <w:t>SFE or extraction with n-hexane</w:t>
            </w:r>
          </w:p>
        </w:tc>
      </w:tr>
    </w:tbl>
    <w:p w14:paraId="053DE7A9" w14:textId="69E2B501" w:rsidR="00B56D50" w:rsidRPr="00F908AC" w:rsidRDefault="00B56D50" w:rsidP="00E15FD0">
      <w:pPr>
        <w:spacing w:after="0" w:line="259" w:lineRule="auto"/>
        <w:ind w:right="0"/>
        <w:rPr>
          <w:rFonts w:eastAsia="Arial"/>
        </w:rPr>
      </w:pPr>
    </w:p>
    <w:tbl>
      <w:tblPr>
        <w:tblStyle w:val="TableGrid1"/>
        <w:tblW w:w="10620" w:type="dxa"/>
        <w:tblInd w:w="-375" w:type="dxa"/>
        <w:tblCellMar>
          <w:top w:w="8" w:type="dxa"/>
          <w:left w:w="74" w:type="dxa"/>
          <w:right w:w="27" w:type="dxa"/>
        </w:tblCellMar>
        <w:tblLook w:val="04A0" w:firstRow="1" w:lastRow="0" w:firstColumn="1" w:lastColumn="0" w:noHBand="0" w:noVBand="1"/>
      </w:tblPr>
      <w:tblGrid>
        <w:gridCol w:w="4061"/>
        <w:gridCol w:w="982"/>
        <w:gridCol w:w="624"/>
        <w:gridCol w:w="804"/>
        <w:gridCol w:w="714"/>
        <w:gridCol w:w="806"/>
        <w:gridCol w:w="889"/>
        <w:gridCol w:w="1740"/>
      </w:tblGrid>
      <w:tr w:rsidR="00B56D50" w14:paraId="4FDDA5EE" w14:textId="77777777" w:rsidTr="00E04EFA">
        <w:trPr>
          <w:trHeight w:val="331"/>
        </w:trPr>
        <w:tc>
          <w:tcPr>
            <w:tcW w:w="10620" w:type="dxa"/>
            <w:gridSpan w:val="8"/>
            <w:tcBorders>
              <w:top w:val="single" w:sz="12" w:space="0" w:color="000000"/>
              <w:left w:val="single" w:sz="12" w:space="0" w:color="000000"/>
              <w:bottom w:val="single" w:sz="12" w:space="0" w:color="000000"/>
              <w:right w:val="single" w:sz="12" w:space="0" w:color="000000"/>
            </w:tcBorders>
            <w:vAlign w:val="center"/>
          </w:tcPr>
          <w:p w14:paraId="46D40C03" w14:textId="69221C22" w:rsidR="002B6C8F" w:rsidRPr="00FC3EC4" w:rsidRDefault="001C3C42" w:rsidP="00B662DA">
            <w:pPr>
              <w:spacing w:after="0" w:line="259" w:lineRule="auto"/>
              <w:ind w:left="29" w:right="0" w:firstLine="0"/>
              <w:rPr>
                <w:sz w:val="18"/>
                <w:szCs w:val="18"/>
              </w:rPr>
            </w:pPr>
            <w:r>
              <w:rPr>
                <w:b/>
                <w:sz w:val="18"/>
              </w:rPr>
              <w:t>Petroleum – Group A:  Total Petroleum Hydrocarbons (TPH) or Total Recoverable Petroleum Hydrocarbons (TRPH) by GC/</w:t>
            </w:r>
            <w:r w:rsidR="002B6C8F">
              <w:rPr>
                <w:b/>
                <w:sz w:val="18"/>
              </w:rPr>
              <w:t>FID</w:t>
            </w:r>
          </w:p>
        </w:tc>
      </w:tr>
      <w:tr w:rsidR="00B56D50" w14:paraId="4224C12E" w14:textId="77777777" w:rsidTr="00E04EFA">
        <w:trPr>
          <w:trHeight w:val="271"/>
        </w:trPr>
        <w:tc>
          <w:tcPr>
            <w:tcW w:w="4061" w:type="dxa"/>
            <w:vMerge w:val="restart"/>
            <w:tcBorders>
              <w:top w:val="single" w:sz="12" w:space="0" w:color="000000"/>
              <w:left w:val="single" w:sz="12" w:space="0" w:color="000000"/>
              <w:bottom w:val="single" w:sz="12" w:space="0" w:color="000000"/>
              <w:right w:val="single" w:sz="12" w:space="0" w:color="000000"/>
            </w:tcBorders>
            <w:vAlign w:val="center"/>
          </w:tcPr>
          <w:p w14:paraId="0533894F" w14:textId="7BED5C9E" w:rsidR="00B56D50" w:rsidRDefault="001C3C42" w:rsidP="00B662DA">
            <w:pPr>
              <w:spacing w:after="0" w:line="259" w:lineRule="auto"/>
              <w:ind w:left="0" w:right="52" w:firstLine="0"/>
              <w:jc w:val="center"/>
            </w:pPr>
            <w:r>
              <w:rPr>
                <w:b/>
                <w:sz w:val="18"/>
              </w:rPr>
              <w:t>Analyte</w:t>
            </w:r>
          </w:p>
        </w:tc>
        <w:tc>
          <w:tcPr>
            <w:tcW w:w="982" w:type="dxa"/>
            <w:vMerge w:val="restart"/>
            <w:tcBorders>
              <w:top w:val="single" w:sz="12" w:space="0" w:color="000000"/>
              <w:left w:val="single" w:sz="12" w:space="0" w:color="000000"/>
              <w:bottom w:val="single" w:sz="12" w:space="0" w:color="000000"/>
              <w:right w:val="single" w:sz="12" w:space="0" w:color="000000"/>
            </w:tcBorders>
            <w:vAlign w:val="center"/>
          </w:tcPr>
          <w:p w14:paraId="25275A1E" w14:textId="5C0708F7" w:rsidR="00B56D50" w:rsidRDefault="001C3C42" w:rsidP="00B662DA">
            <w:pPr>
              <w:spacing w:after="0" w:line="259" w:lineRule="auto"/>
              <w:ind w:left="0" w:right="0" w:firstLine="0"/>
              <w:jc w:val="center"/>
            </w:pPr>
            <w:r>
              <w:rPr>
                <w:b/>
                <w:sz w:val="18"/>
              </w:rPr>
              <w:t>CAS Number</w:t>
            </w:r>
          </w:p>
        </w:tc>
        <w:tc>
          <w:tcPr>
            <w:tcW w:w="1428" w:type="dxa"/>
            <w:gridSpan w:val="2"/>
            <w:tcBorders>
              <w:top w:val="single" w:sz="12" w:space="0" w:color="000000"/>
              <w:left w:val="single" w:sz="12" w:space="0" w:color="000000"/>
              <w:bottom w:val="single" w:sz="12" w:space="0" w:color="000000"/>
              <w:right w:val="single" w:sz="12" w:space="0" w:color="000000"/>
            </w:tcBorders>
            <w:vAlign w:val="center"/>
          </w:tcPr>
          <w:p w14:paraId="71B8F023" w14:textId="14EFD768" w:rsidR="00B56D50" w:rsidRDefault="001C3C42" w:rsidP="00B662DA">
            <w:pPr>
              <w:spacing w:after="0" w:line="259" w:lineRule="auto"/>
              <w:ind w:left="0" w:right="57" w:firstLine="0"/>
              <w:jc w:val="center"/>
            </w:pPr>
            <w:r>
              <w:rPr>
                <w:b/>
                <w:sz w:val="18"/>
              </w:rPr>
              <w:t>Aqueous</w:t>
            </w:r>
          </w:p>
        </w:tc>
        <w:tc>
          <w:tcPr>
            <w:tcW w:w="1520" w:type="dxa"/>
            <w:gridSpan w:val="2"/>
            <w:tcBorders>
              <w:top w:val="single" w:sz="12" w:space="0" w:color="000000"/>
              <w:left w:val="single" w:sz="12" w:space="0" w:color="000000"/>
              <w:bottom w:val="single" w:sz="12" w:space="0" w:color="000000"/>
              <w:right w:val="single" w:sz="12" w:space="0" w:color="000000"/>
            </w:tcBorders>
            <w:vAlign w:val="center"/>
          </w:tcPr>
          <w:p w14:paraId="5EE1543E" w14:textId="502764EE" w:rsidR="00B56D50" w:rsidRDefault="001C3C42" w:rsidP="00B662DA">
            <w:pPr>
              <w:spacing w:after="0" w:line="259" w:lineRule="auto"/>
              <w:ind w:left="0" w:right="58" w:firstLine="0"/>
              <w:jc w:val="center"/>
            </w:pPr>
            <w:r>
              <w:rPr>
                <w:b/>
                <w:sz w:val="18"/>
              </w:rPr>
              <w:t>Soil/Sediment</w:t>
            </w:r>
          </w:p>
        </w:tc>
        <w:tc>
          <w:tcPr>
            <w:tcW w:w="2629" w:type="dxa"/>
            <w:gridSpan w:val="2"/>
            <w:vMerge w:val="restart"/>
            <w:tcBorders>
              <w:top w:val="single" w:sz="12" w:space="0" w:color="000000"/>
              <w:left w:val="single" w:sz="12" w:space="0" w:color="000000"/>
              <w:bottom w:val="single" w:sz="12" w:space="0" w:color="000000"/>
              <w:right w:val="single" w:sz="12" w:space="0" w:color="000000"/>
            </w:tcBorders>
            <w:vAlign w:val="center"/>
          </w:tcPr>
          <w:p w14:paraId="0569AD29" w14:textId="3F1FF461" w:rsidR="00B56D50" w:rsidRDefault="001C3C42" w:rsidP="00B662DA">
            <w:pPr>
              <w:spacing w:after="0" w:line="259" w:lineRule="auto"/>
              <w:ind w:left="0" w:right="50" w:firstLine="0"/>
              <w:jc w:val="center"/>
            </w:pPr>
            <w:r>
              <w:rPr>
                <w:b/>
                <w:sz w:val="18"/>
              </w:rPr>
              <w:t>Acceptable Method</w:t>
            </w:r>
            <w:r w:rsidR="004D2CBA">
              <w:rPr>
                <w:b/>
                <w:sz w:val="18"/>
              </w:rPr>
              <w:t xml:space="preserve">s </w:t>
            </w:r>
            <w:r w:rsidR="00E10601" w:rsidRPr="00DA1EE5">
              <w:rPr>
                <w:b/>
                <w:sz w:val="18"/>
                <w:vertAlign w:val="superscript"/>
              </w:rPr>
              <w:t>27</w:t>
            </w:r>
          </w:p>
        </w:tc>
      </w:tr>
      <w:tr w:rsidR="00C84A5D" w14:paraId="42FFB7E2" w14:textId="77777777" w:rsidTr="00E04EFA">
        <w:trPr>
          <w:trHeight w:val="269"/>
        </w:trPr>
        <w:tc>
          <w:tcPr>
            <w:tcW w:w="4061" w:type="dxa"/>
            <w:vMerge/>
            <w:tcBorders>
              <w:top w:val="nil"/>
              <w:left w:val="single" w:sz="12" w:space="0" w:color="000000"/>
              <w:bottom w:val="single" w:sz="12" w:space="0" w:color="000000"/>
              <w:right w:val="single" w:sz="12" w:space="0" w:color="000000"/>
            </w:tcBorders>
            <w:vAlign w:val="center"/>
          </w:tcPr>
          <w:p w14:paraId="1713DFE6" w14:textId="77777777" w:rsidR="00B56D50" w:rsidRDefault="00B56D50" w:rsidP="00B662DA">
            <w:pPr>
              <w:spacing w:after="160" w:line="259" w:lineRule="auto"/>
              <w:ind w:left="0" w:right="0" w:firstLine="0"/>
              <w:jc w:val="center"/>
            </w:pPr>
          </w:p>
        </w:tc>
        <w:tc>
          <w:tcPr>
            <w:tcW w:w="0" w:type="auto"/>
            <w:vMerge/>
            <w:tcBorders>
              <w:top w:val="nil"/>
              <w:left w:val="single" w:sz="12" w:space="0" w:color="000000"/>
              <w:bottom w:val="single" w:sz="12" w:space="0" w:color="000000"/>
              <w:right w:val="single" w:sz="12" w:space="0" w:color="000000"/>
            </w:tcBorders>
            <w:vAlign w:val="center"/>
          </w:tcPr>
          <w:p w14:paraId="70813A64" w14:textId="77777777" w:rsidR="00B56D50" w:rsidRDefault="00B56D50" w:rsidP="00B662DA">
            <w:pPr>
              <w:spacing w:after="160" w:line="259" w:lineRule="auto"/>
              <w:ind w:left="0" w:right="0" w:firstLine="0"/>
              <w:jc w:val="center"/>
            </w:pPr>
          </w:p>
        </w:tc>
        <w:tc>
          <w:tcPr>
            <w:tcW w:w="624" w:type="dxa"/>
            <w:tcBorders>
              <w:top w:val="single" w:sz="12" w:space="0" w:color="000000"/>
              <w:left w:val="single" w:sz="12" w:space="0" w:color="000000"/>
              <w:bottom w:val="single" w:sz="12" w:space="0" w:color="000000"/>
              <w:right w:val="single" w:sz="12" w:space="0" w:color="000000"/>
            </w:tcBorders>
            <w:vAlign w:val="center"/>
          </w:tcPr>
          <w:p w14:paraId="28AA053E" w14:textId="1257E87D" w:rsidR="00B56D50" w:rsidRDefault="001C3C42" w:rsidP="00B662DA">
            <w:pPr>
              <w:spacing w:after="0" w:line="259" w:lineRule="auto"/>
              <w:ind w:left="113" w:right="0" w:firstLine="0"/>
              <w:jc w:val="center"/>
            </w:pPr>
            <w:r>
              <w:rPr>
                <w:b/>
                <w:sz w:val="18"/>
              </w:rPr>
              <w:t>RL</w:t>
            </w:r>
          </w:p>
        </w:tc>
        <w:tc>
          <w:tcPr>
            <w:tcW w:w="804" w:type="dxa"/>
            <w:tcBorders>
              <w:top w:val="single" w:sz="12" w:space="0" w:color="000000"/>
              <w:left w:val="single" w:sz="12" w:space="0" w:color="000000"/>
              <w:bottom w:val="single" w:sz="12" w:space="0" w:color="000000"/>
              <w:right w:val="single" w:sz="12" w:space="0" w:color="000000"/>
            </w:tcBorders>
            <w:vAlign w:val="center"/>
          </w:tcPr>
          <w:p w14:paraId="1D97D931" w14:textId="517EB7B6" w:rsidR="00B56D50" w:rsidRDefault="001C3C42" w:rsidP="00B662DA">
            <w:pPr>
              <w:spacing w:after="0" w:line="259" w:lineRule="auto"/>
              <w:ind w:left="0" w:right="54" w:firstLine="0"/>
              <w:jc w:val="center"/>
            </w:pPr>
            <w:r>
              <w:rPr>
                <w:b/>
                <w:sz w:val="18"/>
              </w:rPr>
              <w:t>units</w:t>
            </w:r>
          </w:p>
        </w:tc>
        <w:tc>
          <w:tcPr>
            <w:tcW w:w="714" w:type="dxa"/>
            <w:tcBorders>
              <w:top w:val="single" w:sz="12" w:space="0" w:color="000000"/>
              <w:left w:val="single" w:sz="12" w:space="0" w:color="000000"/>
              <w:bottom w:val="single" w:sz="12" w:space="0" w:color="000000"/>
              <w:right w:val="single" w:sz="12" w:space="0" w:color="000000"/>
            </w:tcBorders>
            <w:vAlign w:val="center"/>
          </w:tcPr>
          <w:p w14:paraId="6573F315" w14:textId="055A92B8" w:rsidR="00B56D50" w:rsidRDefault="001C3C42" w:rsidP="00B662DA">
            <w:pPr>
              <w:spacing w:after="0" w:line="259" w:lineRule="auto"/>
              <w:ind w:left="0" w:right="52" w:firstLine="0"/>
              <w:jc w:val="center"/>
            </w:pPr>
            <w:r>
              <w:rPr>
                <w:b/>
                <w:sz w:val="18"/>
              </w:rPr>
              <w:t>RL</w:t>
            </w:r>
          </w:p>
        </w:tc>
        <w:tc>
          <w:tcPr>
            <w:tcW w:w="806" w:type="dxa"/>
            <w:tcBorders>
              <w:top w:val="single" w:sz="12" w:space="0" w:color="000000"/>
              <w:left w:val="single" w:sz="12" w:space="0" w:color="000000"/>
              <w:bottom w:val="single" w:sz="12" w:space="0" w:color="000000"/>
              <w:right w:val="single" w:sz="12" w:space="0" w:color="000000"/>
            </w:tcBorders>
            <w:vAlign w:val="center"/>
          </w:tcPr>
          <w:p w14:paraId="2C415501" w14:textId="1E51167A" w:rsidR="00B56D50" w:rsidRDefault="00083506" w:rsidP="00B662DA">
            <w:pPr>
              <w:spacing w:after="0" w:line="259" w:lineRule="auto"/>
              <w:ind w:left="0" w:right="57" w:firstLine="0"/>
              <w:jc w:val="center"/>
            </w:pPr>
            <w:r>
              <w:rPr>
                <w:b/>
                <w:sz w:val="18"/>
              </w:rPr>
              <w:t>U</w:t>
            </w:r>
            <w:r w:rsidR="001C3C42">
              <w:rPr>
                <w:b/>
                <w:sz w:val="18"/>
              </w:rPr>
              <w:t>nits</w:t>
            </w:r>
          </w:p>
        </w:tc>
        <w:tc>
          <w:tcPr>
            <w:tcW w:w="2629" w:type="dxa"/>
            <w:gridSpan w:val="2"/>
            <w:vMerge/>
            <w:tcBorders>
              <w:top w:val="nil"/>
              <w:left w:val="single" w:sz="12" w:space="0" w:color="000000"/>
              <w:bottom w:val="single" w:sz="12" w:space="0" w:color="000000"/>
              <w:right w:val="single" w:sz="12" w:space="0" w:color="000000"/>
            </w:tcBorders>
            <w:vAlign w:val="center"/>
          </w:tcPr>
          <w:p w14:paraId="6166E22D" w14:textId="77777777" w:rsidR="00B56D50" w:rsidRDefault="00B56D50" w:rsidP="00017AB4">
            <w:pPr>
              <w:spacing w:after="160" w:line="259" w:lineRule="auto"/>
              <w:ind w:left="0" w:right="0" w:firstLine="0"/>
              <w:jc w:val="center"/>
            </w:pPr>
          </w:p>
        </w:tc>
      </w:tr>
      <w:tr w:rsidR="00B56D50" w14:paraId="0BC8F884" w14:textId="77777777" w:rsidTr="00E04EFA">
        <w:trPr>
          <w:trHeight w:val="434"/>
        </w:trPr>
        <w:tc>
          <w:tcPr>
            <w:tcW w:w="4061" w:type="dxa"/>
            <w:tcBorders>
              <w:top w:val="single" w:sz="12" w:space="0" w:color="000000"/>
              <w:left w:val="single" w:sz="12" w:space="0" w:color="000000"/>
              <w:bottom w:val="single" w:sz="4" w:space="0" w:color="000000"/>
              <w:right w:val="single" w:sz="12" w:space="0" w:color="000000"/>
            </w:tcBorders>
          </w:tcPr>
          <w:p w14:paraId="673E2347" w14:textId="77777777" w:rsidR="00B56D50" w:rsidRDefault="001C3C42">
            <w:pPr>
              <w:spacing w:after="21" w:line="259" w:lineRule="auto"/>
              <w:ind w:left="0" w:right="0" w:firstLine="0"/>
            </w:pPr>
            <w:r>
              <w:rPr>
                <w:sz w:val="18"/>
              </w:rPr>
              <w:t xml:space="preserve">TPH Gasoline Range Organics (GRO) </w:t>
            </w:r>
          </w:p>
          <w:p w14:paraId="55DC5440" w14:textId="46A8BFD2" w:rsidR="00B56D50" w:rsidRDefault="001C3C42">
            <w:pPr>
              <w:spacing w:after="0" w:line="259" w:lineRule="auto"/>
              <w:ind w:left="0" w:right="0" w:firstLine="0"/>
            </w:pPr>
            <w:r>
              <w:rPr>
                <w:sz w:val="18"/>
              </w:rPr>
              <w:t>C</w:t>
            </w:r>
            <w:r>
              <w:rPr>
                <w:sz w:val="12"/>
              </w:rPr>
              <w:t>5</w:t>
            </w:r>
            <w:r>
              <w:rPr>
                <w:sz w:val="18"/>
              </w:rPr>
              <w:t>-C</w:t>
            </w:r>
            <w:r>
              <w:rPr>
                <w:sz w:val="12"/>
              </w:rPr>
              <w:t>1</w:t>
            </w:r>
            <w:r w:rsidR="005C50D5">
              <w:rPr>
                <w:sz w:val="12"/>
              </w:rPr>
              <w:t>2</w:t>
            </w:r>
            <w:r>
              <w:rPr>
                <w:sz w:val="18"/>
              </w:rPr>
              <w:t xml:space="preserve"> </w:t>
            </w:r>
          </w:p>
        </w:tc>
        <w:tc>
          <w:tcPr>
            <w:tcW w:w="982" w:type="dxa"/>
            <w:tcBorders>
              <w:top w:val="single" w:sz="12" w:space="0" w:color="000000"/>
              <w:left w:val="single" w:sz="12" w:space="0" w:color="000000"/>
              <w:bottom w:val="single" w:sz="4" w:space="0" w:color="000000"/>
              <w:right w:val="single" w:sz="12" w:space="0" w:color="000000"/>
            </w:tcBorders>
          </w:tcPr>
          <w:p w14:paraId="009905F4" w14:textId="77777777" w:rsidR="00B56D50" w:rsidRDefault="001C3C42">
            <w:pPr>
              <w:spacing w:after="0" w:line="259" w:lineRule="auto"/>
              <w:ind w:left="0" w:right="47" w:firstLine="0"/>
              <w:jc w:val="center"/>
            </w:pPr>
            <w:r>
              <w:rPr>
                <w:sz w:val="18"/>
              </w:rPr>
              <w:t xml:space="preserve">N/A </w:t>
            </w:r>
          </w:p>
        </w:tc>
        <w:tc>
          <w:tcPr>
            <w:tcW w:w="624" w:type="dxa"/>
            <w:tcBorders>
              <w:top w:val="single" w:sz="12" w:space="0" w:color="000000"/>
              <w:left w:val="single" w:sz="12" w:space="0" w:color="000000"/>
              <w:bottom w:val="single" w:sz="4" w:space="0" w:color="000000"/>
              <w:right w:val="single" w:sz="12" w:space="0" w:color="000000"/>
            </w:tcBorders>
          </w:tcPr>
          <w:p w14:paraId="098607EF" w14:textId="6D8471DC" w:rsidR="00B56D50" w:rsidRDefault="001C3C42">
            <w:pPr>
              <w:spacing w:after="0" w:line="259" w:lineRule="auto"/>
              <w:ind w:left="0" w:right="44" w:firstLine="0"/>
              <w:jc w:val="center"/>
            </w:pPr>
            <w:r>
              <w:rPr>
                <w:sz w:val="18"/>
              </w:rPr>
              <w:t>0.1</w:t>
            </w:r>
          </w:p>
        </w:tc>
        <w:tc>
          <w:tcPr>
            <w:tcW w:w="804" w:type="dxa"/>
            <w:tcBorders>
              <w:top w:val="single" w:sz="12" w:space="0" w:color="000000"/>
              <w:left w:val="single" w:sz="12" w:space="0" w:color="000000"/>
              <w:bottom w:val="single" w:sz="4" w:space="0" w:color="000000"/>
              <w:right w:val="single" w:sz="12" w:space="0" w:color="000000"/>
            </w:tcBorders>
          </w:tcPr>
          <w:p w14:paraId="75EB0854" w14:textId="77777777" w:rsidR="00B56D50" w:rsidRDefault="001C3C42">
            <w:pPr>
              <w:spacing w:after="0" w:line="259" w:lineRule="auto"/>
              <w:ind w:left="0" w:right="50" w:firstLine="0"/>
              <w:jc w:val="center"/>
            </w:pPr>
            <w:r>
              <w:rPr>
                <w:sz w:val="18"/>
              </w:rPr>
              <w:t xml:space="preserve">mg/L </w:t>
            </w:r>
          </w:p>
        </w:tc>
        <w:tc>
          <w:tcPr>
            <w:tcW w:w="714" w:type="dxa"/>
            <w:tcBorders>
              <w:top w:val="single" w:sz="12" w:space="0" w:color="000000"/>
              <w:left w:val="single" w:sz="12" w:space="0" w:color="000000"/>
              <w:bottom w:val="single" w:sz="4" w:space="0" w:color="000000"/>
              <w:right w:val="single" w:sz="12" w:space="0" w:color="000000"/>
            </w:tcBorders>
          </w:tcPr>
          <w:p w14:paraId="54AB862C" w14:textId="0EA0FD1C" w:rsidR="00B56D50" w:rsidRDefault="001C3C42">
            <w:pPr>
              <w:spacing w:after="0" w:line="259" w:lineRule="auto"/>
              <w:ind w:left="0" w:right="47" w:firstLine="0"/>
              <w:jc w:val="center"/>
            </w:pPr>
            <w:r>
              <w:rPr>
                <w:sz w:val="18"/>
              </w:rPr>
              <w:t>1</w:t>
            </w:r>
          </w:p>
        </w:tc>
        <w:tc>
          <w:tcPr>
            <w:tcW w:w="806" w:type="dxa"/>
            <w:tcBorders>
              <w:top w:val="single" w:sz="12" w:space="0" w:color="000000"/>
              <w:left w:val="single" w:sz="12" w:space="0" w:color="000000"/>
              <w:bottom w:val="single" w:sz="4" w:space="0" w:color="000000"/>
              <w:right w:val="single" w:sz="12" w:space="0" w:color="000000"/>
            </w:tcBorders>
          </w:tcPr>
          <w:p w14:paraId="53472DC2" w14:textId="77777777" w:rsidR="00B56D50" w:rsidRDefault="001C3C42">
            <w:pPr>
              <w:spacing w:after="0" w:line="259" w:lineRule="auto"/>
              <w:ind w:left="0" w:right="46" w:firstLine="0"/>
              <w:jc w:val="center"/>
            </w:pPr>
            <w:r>
              <w:rPr>
                <w:sz w:val="18"/>
              </w:rPr>
              <w:t xml:space="preserve">mg/kg </w:t>
            </w:r>
          </w:p>
        </w:tc>
        <w:tc>
          <w:tcPr>
            <w:tcW w:w="889" w:type="dxa"/>
            <w:tcBorders>
              <w:top w:val="single" w:sz="12" w:space="0" w:color="000000"/>
              <w:left w:val="single" w:sz="12" w:space="0" w:color="000000"/>
              <w:bottom w:val="single" w:sz="4" w:space="0" w:color="000000"/>
              <w:right w:val="single" w:sz="12" w:space="0" w:color="000000"/>
            </w:tcBorders>
          </w:tcPr>
          <w:p w14:paraId="6CB35B44" w14:textId="0A7588CC" w:rsidR="00B56D50" w:rsidRDefault="001C3C42" w:rsidP="000E29DA">
            <w:pPr>
              <w:spacing w:after="0" w:line="259" w:lineRule="auto"/>
              <w:ind w:left="0" w:right="43" w:firstLine="0"/>
              <w:jc w:val="center"/>
            </w:pPr>
            <w:r>
              <w:rPr>
                <w:sz w:val="18"/>
              </w:rPr>
              <w:t>8015</w:t>
            </w:r>
          </w:p>
        </w:tc>
        <w:tc>
          <w:tcPr>
            <w:tcW w:w="1740" w:type="dxa"/>
            <w:tcBorders>
              <w:top w:val="single" w:sz="12" w:space="0" w:color="000000"/>
              <w:left w:val="single" w:sz="12" w:space="0" w:color="000000"/>
              <w:bottom w:val="single" w:sz="4" w:space="0" w:color="000000"/>
              <w:right w:val="single" w:sz="12" w:space="0" w:color="000000"/>
            </w:tcBorders>
          </w:tcPr>
          <w:p w14:paraId="37C14035" w14:textId="271B0B4A" w:rsidR="00B56D50" w:rsidRDefault="001C3C42">
            <w:pPr>
              <w:spacing w:after="0" w:line="259" w:lineRule="auto"/>
              <w:ind w:left="0" w:right="48" w:firstLine="0"/>
              <w:jc w:val="center"/>
            </w:pPr>
            <w:r>
              <w:rPr>
                <w:sz w:val="18"/>
              </w:rPr>
              <w:t xml:space="preserve">8260 </w:t>
            </w:r>
          </w:p>
        </w:tc>
      </w:tr>
      <w:tr w:rsidR="00B56D50" w14:paraId="4C226628" w14:textId="77777777" w:rsidTr="00E04EFA">
        <w:trPr>
          <w:trHeight w:val="425"/>
        </w:trPr>
        <w:tc>
          <w:tcPr>
            <w:tcW w:w="4061" w:type="dxa"/>
            <w:tcBorders>
              <w:top w:val="single" w:sz="4" w:space="0" w:color="000000"/>
              <w:left w:val="single" w:sz="12" w:space="0" w:color="000000"/>
              <w:bottom w:val="single" w:sz="4" w:space="0" w:color="000000"/>
              <w:right w:val="single" w:sz="12" w:space="0" w:color="000000"/>
            </w:tcBorders>
          </w:tcPr>
          <w:p w14:paraId="37F28977" w14:textId="77777777" w:rsidR="00B56D50" w:rsidRDefault="001C3C42">
            <w:pPr>
              <w:spacing w:after="23" w:line="259" w:lineRule="auto"/>
              <w:ind w:left="0" w:right="0" w:firstLine="0"/>
            </w:pPr>
            <w:r>
              <w:rPr>
                <w:sz w:val="18"/>
              </w:rPr>
              <w:t xml:space="preserve">TPH Diesel Range Organics (DRO)  </w:t>
            </w:r>
          </w:p>
          <w:p w14:paraId="6E9065D5" w14:textId="772691E6" w:rsidR="00B56D50" w:rsidRDefault="001C3C42">
            <w:pPr>
              <w:spacing w:after="0" w:line="259" w:lineRule="auto"/>
              <w:ind w:left="0" w:right="0" w:firstLine="0"/>
            </w:pPr>
            <w:r>
              <w:rPr>
                <w:sz w:val="18"/>
              </w:rPr>
              <w:t>&gt;C</w:t>
            </w:r>
            <w:r w:rsidR="00787064">
              <w:rPr>
                <w:sz w:val="12"/>
              </w:rPr>
              <w:t>8</w:t>
            </w:r>
            <w:r>
              <w:rPr>
                <w:sz w:val="18"/>
              </w:rPr>
              <w:t>–C</w:t>
            </w:r>
            <w:r>
              <w:rPr>
                <w:sz w:val="12"/>
              </w:rPr>
              <w:t>28</w:t>
            </w:r>
            <w:r>
              <w:rPr>
                <w:sz w:val="18"/>
              </w:rPr>
              <w:t xml:space="preserve"> </w:t>
            </w:r>
          </w:p>
        </w:tc>
        <w:tc>
          <w:tcPr>
            <w:tcW w:w="982" w:type="dxa"/>
            <w:tcBorders>
              <w:top w:val="single" w:sz="4" w:space="0" w:color="000000"/>
              <w:left w:val="single" w:sz="12" w:space="0" w:color="000000"/>
              <w:bottom w:val="single" w:sz="4" w:space="0" w:color="000000"/>
              <w:right w:val="single" w:sz="12" w:space="0" w:color="000000"/>
            </w:tcBorders>
          </w:tcPr>
          <w:p w14:paraId="349F80C9" w14:textId="77777777" w:rsidR="00B56D50" w:rsidRDefault="001C3C42">
            <w:pPr>
              <w:spacing w:after="0" w:line="259" w:lineRule="auto"/>
              <w:ind w:left="0" w:right="47" w:firstLine="0"/>
              <w:jc w:val="center"/>
            </w:pPr>
            <w:r>
              <w:rPr>
                <w:sz w:val="18"/>
              </w:rPr>
              <w:t xml:space="preserve">N/A </w:t>
            </w:r>
          </w:p>
        </w:tc>
        <w:tc>
          <w:tcPr>
            <w:tcW w:w="624" w:type="dxa"/>
            <w:tcBorders>
              <w:top w:val="single" w:sz="4" w:space="0" w:color="000000"/>
              <w:left w:val="single" w:sz="12" w:space="0" w:color="000000"/>
              <w:bottom w:val="single" w:sz="4" w:space="0" w:color="000000"/>
              <w:right w:val="single" w:sz="12" w:space="0" w:color="000000"/>
            </w:tcBorders>
          </w:tcPr>
          <w:p w14:paraId="661C61C7" w14:textId="0D10F89D" w:rsidR="00B56D50" w:rsidRDefault="001C3C42">
            <w:pPr>
              <w:spacing w:after="0" w:line="259" w:lineRule="auto"/>
              <w:ind w:left="0" w:right="44" w:firstLine="0"/>
              <w:jc w:val="center"/>
            </w:pPr>
            <w:r>
              <w:rPr>
                <w:sz w:val="18"/>
              </w:rPr>
              <w:t>0.1</w:t>
            </w:r>
          </w:p>
        </w:tc>
        <w:tc>
          <w:tcPr>
            <w:tcW w:w="804" w:type="dxa"/>
            <w:tcBorders>
              <w:top w:val="single" w:sz="4" w:space="0" w:color="000000"/>
              <w:left w:val="single" w:sz="12" w:space="0" w:color="000000"/>
              <w:bottom w:val="single" w:sz="4" w:space="0" w:color="000000"/>
              <w:right w:val="single" w:sz="12" w:space="0" w:color="000000"/>
            </w:tcBorders>
          </w:tcPr>
          <w:p w14:paraId="69E0096D" w14:textId="77777777" w:rsidR="00B56D50" w:rsidRDefault="001C3C42">
            <w:pPr>
              <w:spacing w:after="0" w:line="259" w:lineRule="auto"/>
              <w:ind w:left="0" w:right="50" w:firstLine="0"/>
              <w:jc w:val="center"/>
            </w:pPr>
            <w:r>
              <w:rPr>
                <w:sz w:val="18"/>
              </w:rPr>
              <w:t xml:space="preserve">mg/L </w:t>
            </w:r>
          </w:p>
        </w:tc>
        <w:tc>
          <w:tcPr>
            <w:tcW w:w="714" w:type="dxa"/>
            <w:tcBorders>
              <w:top w:val="single" w:sz="4" w:space="0" w:color="000000"/>
              <w:left w:val="single" w:sz="12" w:space="0" w:color="000000"/>
              <w:bottom w:val="single" w:sz="4" w:space="0" w:color="000000"/>
              <w:right w:val="single" w:sz="12" w:space="0" w:color="000000"/>
            </w:tcBorders>
          </w:tcPr>
          <w:p w14:paraId="52D67748" w14:textId="07F7C24D" w:rsidR="00B56D50" w:rsidRDefault="001C3C42">
            <w:pPr>
              <w:spacing w:after="0" w:line="259" w:lineRule="auto"/>
              <w:ind w:left="0" w:right="47" w:firstLine="0"/>
              <w:jc w:val="center"/>
            </w:pPr>
            <w:r>
              <w:rPr>
                <w:sz w:val="18"/>
              </w:rPr>
              <w:t>3</w:t>
            </w:r>
          </w:p>
        </w:tc>
        <w:tc>
          <w:tcPr>
            <w:tcW w:w="806" w:type="dxa"/>
            <w:tcBorders>
              <w:top w:val="single" w:sz="4" w:space="0" w:color="000000"/>
              <w:left w:val="single" w:sz="12" w:space="0" w:color="000000"/>
              <w:bottom w:val="single" w:sz="4" w:space="0" w:color="000000"/>
              <w:right w:val="single" w:sz="12" w:space="0" w:color="000000"/>
            </w:tcBorders>
          </w:tcPr>
          <w:p w14:paraId="08AAF973" w14:textId="77777777" w:rsidR="00B56D50" w:rsidRDefault="001C3C42">
            <w:pPr>
              <w:spacing w:after="0" w:line="259" w:lineRule="auto"/>
              <w:ind w:left="0" w:right="46" w:firstLine="0"/>
              <w:jc w:val="center"/>
            </w:pPr>
            <w:r>
              <w:rPr>
                <w:sz w:val="18"/>
              </w:rPr>
              <w:t xml:space="preserve">mg/kg </w:t>
            </w:r>
          </w:p>
        </w:tc>
        <w:tc>
          <w:tcPr>
            <w:tcW w:w="889" w:type="dxa"/>
            <w:tcBorders>
              <w:top w:val="single" w:sz="4" w:space="0" w:color="000000"/>
              <w:left w:val="single" w:sz="12" w:space="0" w:color="000000"/>
              <w:bottom w:val="single" w:sz="4" w:space="0" w:color="000000"/>
              <w:right w:val="single" w:sz="12" w:space="0" w:color="000000"/>
            </w:tcBorders>
          </w:tcPr>
          <w:p w14:paraId="223060A9" w14:textId="5A0DAB90" w:rsidR="00B56D50" w:rsidRDefault="001C3C42" w:rsidP="000E29DA">
            <w:pPr>
              <w:spacing w:after="0" w:line="259" w:lineRule="auto"/>
              <w:ind w:left="0" w:right="43" w:firstLine="0"/>
              <w:jc w:val="center"/>
            </w:pPr>
            <w:r>
              <w:rPr>
                <w:sz w:val="18"/>
              </w:rPr>
              <w:t>8015</w:t>
            </w:r>
          </w:p>
        </w:tc>
        <w:tc>
          <w:tcPr>
            <w:tcW w:w="1740" w:type="dxa"/>
            <w:tcBorders>
              <w:top w:val="single" w:sz="4" w:space="0" w:color="000000"/>
              <w:left w:val="single" w:sz="12" w:space="0" w:color="000000"/>
              <w:bottom w:val="single" w:sz="4" w:space="0" w:color="000000"/>
              <w:right w:val="single" w:sz="12" w:space="0" w:color="000000"/>
            </w:tcBorders>
          </w:tcPr>
          <w:p w14:paraId="34F8E97E" w14:textId="5C37F308" w:rsidR="00B56D50" w:rsidRDefault="001C3C42">
            <w:pPr>
              <w:spacing w:after="0" w:line="259" w:lineRule="auto"/>
              <w:ind w:left="0" w:right="48" w:firstLine="0"/>
              <w:jc w:val="center"/>
            </w:pPr>
            <w:r>
              <w:rPr>
                <w:sz w:val="18"/>
              </w:rPr>
              <w:t xml:space="preserve">8270 </w:t>
            </w:r>
          </w:p>
        </w:tc>
      </w:tr>
      <w:tr w:rsidR="00B56D50" w14:paraId="020E809F" w14:textId="77777777" w:rsidTr="00E04EFA">
        <w:trPr>
          <w:trHeight w:val="422"/>
        </w:trPr>
        <w:tc>
          <w:tcPr>
            <w:tcW w:w="4061" w:type="dxa"/>
            <w:tcBorders>
              <w:top w:val="single" w:sz="4" w:space="0" w:color="000000"/>
              <w:left w:val="single" w:sz="12" w:space="0" w:color="000000"/>
              <w:bottom w:val="single" w:sz="4" w:space="0" w:color="000000"/>
              <w:right w:val="single" w:sz="12" w:space="0" w:color="000000"/>
            </w:tcBorders>
          </w:tcPr>
          <w:p w14:paraId="5EB5EF23" w14:textId="77777777" w:rsidR="00B56D50" w:rsidRDefault="001C3C42">
            <w:pPr>
              <w:spacing w:after="17" w:line="259" w:lineRule="auto"/>
              <w:ind w:left="0" w:right="0" w:firstLine="0"/>
            </w:pPr>
            <w:r>
              <w:rPr>
                <w:sz w:val="18"/>
              </w:rPr>
              <w:t xml:space="preserve">Extended Range Organics (ERO)  </w:t>
            </w:r>
          </w:p>
          <w:p w14:paraId="04A3ED0E" w14:textId="551EC104" w:rsidR="00B56D50" w:rsidRDefault="001C3C42">
            <w:pPr>
              <w:spacing w:after="0" w:line="259" w:lineRule="auto"/>
              <w:ind w:left="0" w:right="0" w:firstLine="0"/>
            </w:pPr>
            <w:r>
              <w:rPr>
                <w:sz w:val="18"/>
              </w:rPr>
              <w:t>&gt;</w:t>
            </w:r>
            <w:r w:rsidRPr="00A528E4">
              <w:rPr>
                <w:sz w:val="18"/>
              </w:rPr>
              <w:t>C</w:t>
            </w:r>
            <w:r w:rsidR="00E25321" w:rsidRPr="00E25321">
              <w:rPr>
                <w:sz w:val="18"/>
                <w:vertAlign w:val="subscript"/>
              </w:rPr>
              <w:t>8</w:t>
            </w:r>
            <w:r>
              <w:rPr>
                <w:sz w:val="18"/>
              </w:rPr>
              <w:t>-C</w:t>
            </w:r>
            <w:r>
              <w:rPr>
                <w:sz w:val="12"/>
              </w:rPr>
              <w:t>3</w:t>
            </w:r>
            <w:r w:rsidR="00E25321">
              <w:rPr>
                <w:sz w:val="12"/>
              </w:rPr>
              <w:t>4</w:t>
            </w:r>
            <w:r>
              <w:rPr>
                <w:sz w:val="18"/>
              </w:rPr>
              <w:t xml:space="preserve">  </w:t>
            </w:r>
          </w:p>
        </w:tc>
        <w:tc>
          <w:tcPr>
            <w:tcW w:w="982" w:type="dxa"/>
            <w:tcBorders>
              <w:top w:val="single" w:sz="4" w:space="0" w:color="000000"/>
              <w:left w:val="single" w:sz="12" w:space="0" w:color="000000"/>
              <w:bottom w:val="single" w:sz="4" w:space="0" w:color="000000"/>
              <w:right w:val="single" w:sz="12" w:space="0" w:color="000000"/>
            </w:tcBorders>
          </w:tcPr>
          <w:p w14:paraId="1FC9F5AC" w14:textId="77777777" w:rsidR="00B56D50" w:rsidRDefault="001C3C42">
            <w:pPr>
              <w:spacing w:after="0" w:line="259" w:lineRule="auto"/>
              <w:ind w:left="0" w:right="47" w:firstLine="0"/>
              <w:jc w:val="center"/>
            </w:pPr>
            <w:r>
              <w:rPr>
                <w:sz w:val="18"/>
              </w:rPr>
              <w:t xml:space="preserve">N/A </w:t>
            </w:r>
          </w:p>
        </w:tc>
        <w:tc>
          <w:tcPr>
            <w:tcW w:w="624" w:type="dxa"/>
            <w:tcBorders>
              <w:top w:val="single" w:sz="4" w:space="0" w:color="000000"/>
              <w:left w:val="single" w:sz="12" w:space="0" w:color="000000"/>
              <w:bottom w:val="single" w:sz="4" w:space="0" w:color="000000"/>
              <w:right w:val="single" w:sz="12" w:space="0" w:color="000000"/>
            </w:tcBorders>
          </w:tcPr>
          <w:p w14:paraId="21E29B2E" w14:textId="5F1E63E5" w:rsidR="00B56D50" w:rsidRDefault="001C3C42">
            <w:pPr>
              <w:spacing w:after="0" w:line="259" w:lineRule="auto"/>
              <w:ind w:left="0" w:right="44" w:firstLine="0"/>
              <w:jc w:val="center"/>
            </w:pPr>
            <w:r>
              <w:rPr>
                <w:sz w:val="18"/>
              </w:rPr>
              <w:t>0.1</w:t>
            </w:r>
          </w:p>
        </w:tc>
        <w:tc>
          <w:tcPr>
            <w:tcW w:w="804" w:type="dxa"/>
            <w:tcBorders>
              <w:top w:val="single" w:sz="4" w:space="0" w:color="000000"/>
              <w:left w:val="single" w:sz="12" w:space="0" w:color="000000"/>
              <w:bottom w:val="single" w:sz="4" w:space="0" w:color="000000"/>
              <w:right w:val="single" w:sz="12" w:space="0" w:color="000000"/>
            </w:tcBorders>
          </w:tcPr>
          <w:p w14:paraId="0D68096F" w14:textId="77777777" w:rsidR="00B56D50" w:rsidRDefault="001C3C42">
            <w:pPr>
              <w:spacing w:after="0" w:line="259" w:lineRule="auto"/>
              <w:ind w:left="0" w:right="50" w:firstLine="0"/>
              <w:jc w:val="center"/>
            </w:pPr>
            <w:r>
              <w:rPr>
                <w:sz w:val="18"/>
              </w:rPr>
              <w:t xml:space="preserve">mg/L </w:t>
            </w:r>
          </w:p>
        </w:tc>
        <w:tc>
          <w:tcPr>
            <w:tcW w:w="714" w:type="dxa"/>
            <w:tcBorders>
              <w:top w:val="single" w:sz="4" w:space="0" w:color="000000"/>
              <w:left w:val="single" w:sz="12" w:space="0" w:color="000000"/>
              <w:bottom w:val="single" w:sz="4" w:space="0" w:color="000000"/>
              <w:right w:val="single" w:sz="12" w:space="0" w:color="000000"/>
            </w:tcBorders>
          </w:tcPr>
          <w:p w14:paraId="6B3E9301" w14:textId="3CB89A0F" w:rsidR="00B56D50" w:rsidRDefault="001C3C42">
            <w:pPr>
              <w:spacing w:after="0" w:line="259" w:lineRule="auto"/>
              <w:ind w:left="0" w:right="47" w:firstLine="0"/>
              <w:jc w:val="center"/>
            </w:pPr>
            <w:r>
              <w:rPr>
                <w:sz w:val="18"/>
              </w:rPr>
              <w:t>3</w:t>
            </w:r>
          </w:p>
        </w:tc>
        <w:tc>
          <w:tcPr>
            <w:tcW w:w="806" w:type="dxa"/>
            <w:tcBorders>
              <w:top w:val="single" w:sz="4" w:space="0" w:color="000000"/>
              <w:left w:val="single" w:sz="12" w:space="0" w:color="000000"/>
              <w:bottom w:val="single" w:sz="4" w:space="0" w:color="000000"/>
              <w:right w:val="single" w:sz="12" w:space="0" w:color="000000"/>
            </w:tcBorders>
          </w:tcPr>
          <w:p w14:paraId="5A9A8998" w14:textId="77777777" w:rsidR="00B56D50" w:rsidRDefault="001C3C42">
            <w:pPr>
              <w:spacing w:after="0" w:line="259" w:lineRule="auto"/>
              <w:ind w:left="0" w:right="46" w:firstLine="0"/>
              <w:jc w:val="center"/>
            </w:pPr>
            <w:r>
              <w:rPr>
                <w:sz w:val="18"/>
              </w:rPr>
              <w:t xml:space="preserve">mg/kg </w:t>
            </w:r>
          </w:p>
        </w:tc>
        <w:tc>
          <w:tcPr>
            <w:tcW w:w="889" w:type="dxa"/>
            <w:tcBorders>
              <w:top w:val="single" w:sz="4" w:space="0" w:color="000000"/>
              <w:left w:val="single" w:sz="12" w:space="0" w:color="000000"/>
              <w:bottom w:val="single" w:sz="4" w:space="0" w:color="000000"/>
              <w:right w:val="single" w:sz="12" w:space="0" w:color="000000"/>
            </w:tcBorders>
          </w:tcPr>
          <w:p w14:paraId="759D6C59" w14:textId="597B88A8" w:rsidR="00B56D50" w:rsidRDefault="001C3C42" w:rsidP="000E29DA">
            <w:pPr>
              <w:spacing w:after="0" w:line="259" w:lineRule="auto"/>
              <w:ind w:left="0" w:right="43" w:firstLine="0"/>
              <w:jc w:val="center"/>
            </w:pPr>
            <w:r>
              <w:rPr>
                <w:sz w:val="18"/>
              </w:rPr>
              <w:t>8015</w:t>
            </w:r>
          </w:p>
        </w:tc>
        <w:tc>
          <w:tcPr>
            <w:tcW w:w="1740" w:type="dxa"/>
            <w:tcBorders>
              <w:top w:val="single" w:sz="4" w:space="0" w:color="000000"/>
              <w:left w:val="single" w:sz="12" w:space="0" w:color="000000"/>
              <w:bottom w:val="single" w:sz="4" w:space="0" w:color="000000"/>
              <w:right w:val="single" w:sz="12" w:space="0" w:color="000000"/>
            </w:tcBorders>
          </w:tcPr>
          <w:p w14:paraId="33529442" w14:textId="092CAEE1" w:rsidR="00B56D50" w:rsidRDefault="001C3C42">
            <w:pPr>
              <w:spacing w:after="0" w:line="259" w:lineRule="auto"/>
              <w:ind w:left="0" w:right="48" w:firstLine="0"/>
              <w:jc w:val="center"/>
            </w:pPr>
            <w:r>
              <w:rPr>
                <w:sz w:val="18"/>
              </w:rPr>
              <w:t xml:space="preserve">8270 </w:t>
            </w:r>
          </w:p>
        </w:tc>
      </w:tr>
      <w:tr w:rsidR="00B56D50" w14:paraId="16E34C88" w14:textId="77777777" w:rsidTr="00E04EFA">
        <w:trPr>
          <w:trHeight w:val="259"/>
        </w:trPr>
        <w:tc>
          <w:tcPr>
            <w:tcW w:w="4061" w:type="dxa"/>
            <w:tcBorders>
              <w:top w:val="single" w:sz="4" w:space="0" w:color="000000"/>
              <w:left w:val="single" w:sz="12" w:space="0" w:color="000000"/>
              <w:bottom w:val="single" w:sz="12" w:space="0" w:color="000000"/>
              <w:right w:val="single" w:sz="12" w:space="0" w:color="000000"/>
            </w:tcBorders>
          </w:tcPr>
          <w:p w14:paraId="016902AC" w14:textId="77777777" w:rsidR="00B56D50" w:rsidRDefault="001C3C42">
            <w:pPr>
              <w:spacing w:after="0" w:line="259" w:lineRule="auto"/>
              <w:ind w:left="0" w:right="0" w:firstLine="0"/>
            </w:pPr>
            <w:r>
              <w:rPr>
                <w:sz w:val="18"/>
              </w:rPr>
              <w:t xml:space="preserve">TPH Heavy Oil Range Organics (TRPH) </w:t>
            </w:r>
          </w:p>
        </w:tc>
        <w:tc>
          <w:tcPr>
            <w:tcW w:w="982" w:type="dxa"/>
            <w:tcBorders>
              <w:top w:val="single" w:sz="4" w:space="0" w:color="000000"/>
              <w:left w:val="single" w:sz="12" w:space="0" w:color="000000"/>
              <w:bottom w:val="single" w:sz="12" w:space="0" w:color="000000"/>
              <w:right w:val="single" w:sz="12" w:space="0" w:color="000000"/>
            </w:tcBorders>
          </w:tcPr>
          <w:p w14:paraId="349828B9" w14:textId="77777777" w:rsidR="00B56D50" w:rsidRDefault="001C3C42">
            <w:pPr>
              <w:spacing w:after="0" w:line="259" w:lineRule="auto"/>
              <w:ind w:left="0" w:right="47" w:firstLine="0"/>
              <w:jc w:val="center"/>
            </w:pPr>
            <w:r>
              <w:rPr>
                <w:sz w:val="18"/>
              </w:rPr>
              <w:t xml:space="preserve">N/A </w:t>
            </w:r>
          </w:p>
        </w:tc>
        <w:tc>
          <w:tcPr>
            <w:tcW w:w="624" w:type="dxa"/>
            <w:tcBorders>
              <w:top w:val="single" w:sz="4" w:space="0" w:color="000000"/>
              <w:left w:val="single" w:sz="12" w:space="0" w:color="000000"/>
              <w:bottom w:val="single" w:sz="12" w:space="0" w:color="000000"/>
              <w:right w:val="single" w:sz="12" w:space="0" w:color="000000"/>
            </w:tcBorders>
          </w:tcPr>
          <w:p w14:paraId="4C5F206F" w14:textId="58E235B6" w:rsidR="00B56D50" w:rsidRDefault="001C3C42">
            <w:pPr>
              <w:spacing w:after="0" w:line="259" w:lineRule="auto"/>
              <w:ind w:left="0" w:right="44" w:firstLine="0"/>
              <w:jc w:val="center"/>
            </w:pPr>
            <w:r>
              <w:rPr>
                <w:sz w:val="18"/>
              </w:rPr>
              <w:t>0.5</w:t>
            </w:r>
          </w:p>
        </w:tc>
        <w:tc>
          <w:tcPr>
            <w:tcW w:w="804" w:type="dxa"/>
            <w:tcBorders>
              <w:top w:val="single" w:sz="4" w:space="0" w:color="000000"/>
              <w:left w:val="single" w:sz="12" w:space="0" w:color="000000"/>
              <w:bottom w:val="single" w:sz="12" w:space="0" w:color="000000"/>
              <w:right w:val="single" w:sz="12" w:space="0" w:color="000000"/>
            </w:tcBorders>
          </w:tcPr>
          <w:p w14:paraId="786C2A36" w14:textId="77777777" w:rsidR="00B56D50" w:rsidRDefault="001C3C42">
            <w:pPr>
              <w:spacing w:after="0" w:line="259" w:lineRule="auto"/>
              <w:ind w:left="0" w:right="50" w:firstLine="0"/>
              <w:jc w:val="center"/>
            </w:pPr>
            <w:r>
              <w:rPr>
                <w:sz w:val="18"/>
              </w:rPr>
              <w:t xml:space="preserve">mg/L </w:t>
            </w:r>
          </w:p>
        </w:tc>
        <w:tc>
          <w:tcPr>
            <w:tcW w:w="714" w:type="dxa"/>
            <w:tcBorders>
              <w:top w:val="single" w:sz="4" w:space="0" w:color="000000"/>
              <w:left w:val="single" w:sz="12" w:space="0" w:color="000000"/>
              <w:bottom w:val="single" w:sz="12" w:space="0" w:color="000000"/>
              <w:right w:val="single" w:sz="12" w:space="0" w:color="000000"/>
            </w:tcBorders>
          </w:tcPr>
          <w:p w14:paraId="689C40B7" w14:textId="1193F3C9" w:rsidR="00B56D50" w:rsidRDefault="001C3C42">
            <w:pPr>
              <w:spacing w:after="0" w:line="259" w:lineRule="auto"/>
              <w:ind w:left="0" w:right="47" w:firstLine="0"/>
              <w:jc w:val="center"/>
            </w:pPr>
            <w:r>
              <w:rPr>
                <w:sz w:val="18"/>
              </w:rPr>
              <w:t>5</w:t>
            </w:r>
          </w:p>
        </w:tc>
        <w:tc>
          <w:tcPr>
            <w:tcW w:w="806" w:type="dxa"/>
            <w:tcBorders>
              <w:top w:val="single" w:sz="4" w:space="0" w:color="000000"/>
              <w:left w:val="single" w:sz="12" w:space="0" w:color="000000"/>
              <w:bottom w:val="single" w:sz="12" w:space="0" w:color="000000"/>
              <w:right w:val="single" w:sz="12" w:space="0" w:color="000000"/>
            </w:tcBorders>
          </w:tcPr>
          <w:p w14:paraId="4D6BAA49" w14:textId="77777777" w:rsidR="00B56D50" w:rsidRDefault="001C3C42">
            <w:pPr>
              <w:spacing w:after="0" w:line="259" w:lineRule="auto"/>
              <w:ind w:left="0" w:right="46" w:firstLine="0"/>
              <w:jc w:val="center"/>
            </w:pPr>
            <w:r>
              <w:rPr>
                <w:sz w:val="18"/>
              </w:rPr>
              <w:t xml:space="preserve">mg/kg </w:t>
            </w:r>
          </w:p>
        </w:tc>
        <w:tc>
          <w:tcPr>
            <w:tcW w:w="889" w:type="dxa"/>
            <w:tcBorders>
              <w:top w:val="single" w:sz="4" w:space="0" w:color="000000"/>
              <w:left w:val="single" w:sz="12" w:space="0" w:color="000000"/>
              <w:bottom w:val="single" w:sz="12" w:space="0" w:color="000000"/>
              <w:right w:val="single" w:sz="12" w:space="0" w:color="000000"/>
            </w:tcBorders>
          </w:tcPr>
          <w:p w14:paraId="36708B63" w14:textId="73366A99" w:rsidR="00B56D50" w:rsidRDefault="001C3C42" w:rsidP="000E29DA">
            <w:pPr>
              <w:spacing w:after="0" w:line="259" w:lineRule="auto"/>
              <w:ind w:left="0" w:right="43" w:firstLine="0"/>
              <w:jc w:val="center"/>
            </w:pPr>
            <w:r>
              <w:rPr>
                <w:sz w:val="18"/>
              </w:rPr>
              <w:t>8015</w:t>
            </w:r>
          </w:p>
        </w:tc>
        <w:tc>
          <w:tcPr>
            <w:tcW w:w="1740" w:type="dxa"/>
            <w:tcBorders>
              <w:top w:val="single" w:sz="4" w:space="0" w:color="000000"/>
              <w:left w:val="single" w:sz="12" w:space="0" w:color="000000"/>
              <w:bottom w:val="single" w:sz="12" w:space="0" w:color="000000"/>
              <w:right w:val="single" w:sz="12" w:space="0" w:color="000000"/>
            </w:tcBorders>
          </w:tcPr>
          <w:p w14:paraId="16A018C7" w14:textId="77777777" w:rsidR="00B56D50" w:rsidRDefault="001C3C42">
            <w:pPr>
              <w:spacing w:after="0" w:line="259" w:lineRule="auto"/>
              <w:ind w:left="0" w:right="5" w:firstLine="0"/>
              <w:jc w:val="center"/>
            </w:pPr>
            <w:r>
              <w:rPr>
                <w:sz w:val="18"/>
              </w:rPr>
              <w:t xml:space="preserve"> </w:t>
            </w:r>
          </w:p>
        </w:tc>
      </w:tr>
    </w:tbl>
    <w:p w14:paraId="5E04FA02" w14:textId="302E72DC" w:rsidR="00B56D50" w:rsidRDefault="00B56D50" w:rsidP="008F7A41">
      <w:pPr>
        <w:spacing w:after="0" w:line="240" w:lineRule="auto"/>
        <w:ind w:right="0"/>
      </w:pPr>
    </w:p>
    <w:tbl>
      <w:tblPr>
        <w:tblStyle w:val="TableGrid1"/>
        <w:tblW w:w="10620" w:type="dxa"/>
        <w:tblInd w:w="-375" w:type="dxa"/>
        <w:tblCellMar>
          <w:top w:w="17" w:type="dxa"/>
          <w:left w:w="74" w:type="dxa"/>
          <w:right w:w="87" w:type="dxa"/>
        </w:tblCellMar>
        <w:tblLook w:val="04A0" w:firstRow="1" w:lastRow="0" w:firstColumn="1" w:lastColumn="0" w:noHBand="0" w:noVBand="1"/>
      </w:tblPr>
      <w:tblGrid>
        <w:gridCol w:w="4056"/>
        <w:gridCol w:w="987"/>
        <w:gridCol w:w="628"/>
        <w:gridCol w:w="800"/>
        <w:gridCol w:w="714"/>
        <w:gridCol w:w="804"/>
        <w:gridCol w:w="1149"/>
        <w:gridCol w:w="1482"/>
      </w:tblGrid>
      <w:tr w:rsidR="00B56D50" w14:paraId="26B04CF4" w14:textId="77777777" w:rsidTr="00E04EFA">
        <w:trPr>
          <w:trHeight w:val="444"/>
        </w:trPr>
        <w:tc>
          <w:tcPr>
            <w:tcW w:w="10620" w:type="dxa"/>
            <w:gridSpan w:val="8"/>
            <w:tcBorders>
              <w:top w:val="single" w:sz="12" w:space="0" w:color="000000"/>
              <w:left w:val="single" w:sz="12" w:space="0" w:color="000000"/>
              <w:bottom w:val="single" w:sz="12" w:space="0" w:color="000000"/>
              <w:right w:val="single" w:sz="12" w:space="0" w:color="000000"/>
            </w:tcBorders>
            <w:vAlign w:val="center"/>
          </w:tcPr>
          <w:p w14:paraId="7FF81064" w14:textId="74511052" w:rsidR="00B56D50" w:rsidRDefault="001C3C42" w:rsidP="00B662DA">
            <w:pPr>
              <w:spacing w:after="0" w:line="259" w:lineRule="auto"/>
              <w:ind w:left="34" w:right="0" w:firstLine="0"/>
            </w:pPr>
            <w:r>
              <w:rPr>
                <w:b/>
                <w:sz w:val="18"/>
              </w:rPr>
              <w:t>Petroleum - Group B</w:t>
            </w:r>
            <w:proofErr w:type="gramStart"/>
            <w:r>
              <w:rPr>
                <w:b/>
                <w:sz w:val="18"/>
              </w:rPr>
              <w:t xml:space="preserve">: </w:t>
            </w:r>
            <w:r w:rsidR="00B60794">
              <w:rPr>
                <w:b/>
                <w:sz w:val="18"/>
              </w:rPr>
              <w:t xml:space="preserve"> </w:t>
            </w:r>
            <w:r>
              <w:rPr>
                <w:b/>
                <w:sz w:val="18"/>
              </w:rPr>
              <w:t>Total</w:t>
            </w:r>
            <w:proofErr w:type="gramEnd"/>
            <w:r>
              <w:rPr>
                <w:b/>
                <w:sz w:val="18"/>
              </w:rPr>
              <w:t xml:space="preserve"> Recoverable Petroleum Hydrocarbons (TRPH) by Infrared Spectrophotometry (soils and sediments) or </w:t>
            </w:r>
          </w:p>
          <w:p w14:paraId="6A99BB38" w14:textId="06FC1DAF" w:rsidR="00B56D50" w:rsidRPr="00F2294F" w:rsidRDefault="001C3C42" w:rsidP="00B662DA">
            <w:pPr>
              <w:spacing w:after="0" w:line="259" w:lineRule="auto"/>
              <w:ind w:left="34" w:right="0" w:firstLine="0"/>
            </w:pPr>
            <w:r>
              <w:rPr>
                <w:b/>
                <w:sz w:val="18"/>
              </w:rPr>
              <w:t>Gravimetry (water)</w:t>
            </w:r>
          </w:p>
        </w:tc>
      </w:tr>
      <w:tr w:rsidR="00B56D50" w14:paraId="5F86E353" w14:textId="77777777" w:rsidTr="00E04EFA">
        <w:trPr>
          <w:trHeight w:val="269"/>
        </w:trPr>
        <w:tc>
          <w:tcPr>
            <w:tcW w:w="4056" w:type="dxa"/>
            <w:vMerge w:val="restart"/>
            <w:tcBorders>
              <w:top w:val="single" w:sz="12" w:space="0" w:color="000000"/>
              <w:left w:val="single" w:sz="12" w:space="0" w:color="000000"/>
              <w:bottom w:val="single" w:sz="12" w:space="0" w:color="000000"/>
              <w:right w:val="single" w:sz="12" w:space="0" w:color="000000"/>
            </w:tcBorders>
            <w:vAlign w:val="center"/>
          </w:tcPr>
          <w:p w14:paraId="5484FEE9" w14:textId="42D7B772" w:rsidR="00B56D50" w:rsidRDefault="001C3C42" w:rsidP="00B662DA">
            <w:pPr>
              <w:spacing w:after="0" w:line="259" w:lineRule="auto"/>
              <w:ind w:left="8" w:right="0" w:firstLine="0"/>
              <w:jc w:val="center"/>
            </w:pPr>
            <w:r>
              <w:rPr>
                <w:b/>
                <w:sz w:val="18"/>
              </w:rPr>
              <w:t>Analyte</w:t>
            </w:r>
          </w:p>
        </w:tc>
        <w:tc>
          <w:tcPr>
            <w:tcW w:w="987" w:type="dxa"/>
            <w:vMerge w:val="restart"/>
            <w:tcBorders>
              <w:top w:val="single" w:sz="12" w:space="0" w:color="000000"/>
              <w:left w:val="single" w:sz="12" w:space="0" w:color="000000"/>
              <w:bottom w:val="single" w:sz="12" w:space="0" w:color="000000"/>
              <w:right w:val="single" w:sz="12" w:space="0" w:color="000000"/>
            </w:tcBorders>
            <w:vAlign w:val="center"/>
          </w:tcPr>
          <w:p w14:paraId="0D341B6C" w14:textId="68A55B57" w:rsidR="00B56D50" w:rsidRDefault="001C3C42" w:rsidP="00B662DA">
            <w:pPr>
              <w:spacing w:after="0" w:line="259" w:lineRule="auto"/>
              <w:ind w:left="0" w:right="0" w:firstLine="0"/>
              <w:jc w:val="center"/>
            </w:pPr>
            <w:r>
              <w:rPr>
                <w:b/>
                <w:sz w:val="18"/>
              </w:rPr>
              <w:t>CAS Number</w:t>
            </w:r>
          </w:p>
        </w:tc>
        <w:tc>
          <w:tcPr>
            <w:tcW w:w="1428" w:type="dxa"/>
            <w:gridSpan w:val="2"/>
            <w:tcBorders>
              <w:top w:val="single" w:sz="12" w:space="0" w:color="000000"/>
              <w:left w:val="single" w:sz="12" w:space="0" w:color="000000"/>
              <w:bottom w:val="single" w:sz="12" w:space="0" w:color="000000"/>
              <w:right w:val="single" w:sz="12" w:space="0" w:color="000000"/>
            </w:tcBorders>
            <w:vAlign w:val="center"/>
          </w:tcPr>
          <w:p w14:paraId="230CAB7E" w14:textId="2AAE0B06" w:rsidR="00B56D50" w:rsidRDefault="001C3C42" w:rsidP="00B662DA">
            <w:pPr>
              <w:spacing w:after="0" w:line="259" w:lineRule="auto"/>
              <w:ind w:left="7" w:right="0" w:firstLine="0"/>
              <w:jc w:val="center"/>
            </w:pPr>
            <w:r>
              <w:rPr>
                <w:b/>
                <w:sz w:val="18"/>
              </w:rPr>
              <w:t>Aqueous</w:t>
            </w:r>
          </w:p>
        </w:tc>
        <w:tc>
          <w:tcPr>
            <w:tcW w:w="1518" w:type="dxa"/>
            <w:gridSpan w:val="2"/>
            <w:tcBorders>
              <w:top w:val="single" w:sz="12" w:space="0" w:color="000000"/>
              <w:left w:val="single" w:sz="12" w:space="0" w:color="000000"/>
              <w:bottom w:val="single" w:sz="12" w:space="0" w:color="000000"/>
              <w:right w:val="single" w:sz="12" w:space="0" w:color="000000"/>
            </w:tcBorders>
            <w:vAlign w:val="center"/>
          </w:tcPr>
          <w:p w14:paraId="381BCF86" w14:textId="71E9A6AA" w:rsidR="00B56D50" w:rsidRDefault="001C3C42" w:rsidP="00B662DA">
            <w:pPr>
              <w:spacing w:after="0" w:line="259" w:lineRule="auto"/>
              <w:ind w:left="6" w:right="0" w:firstLine="0"/>
              <w:jc w:val="center"/>
            </w:pPr>
            <w:r>
              <w:rPr>
                <w:b/>
                <w:sz w:val="18"/>
              </w:rPr>
              <w:t>Soil/Sediment</w:t>
            </w:r>
          </w:p>
        </w:tc>
        <w:tc>
          <w:tcPr>
            <w:tcW w:w="2631" w:type="dxa"/>
            <w:gridSpan w:val="2"/>
            <w:tcBorders>
              <w:top w:val="single" w:sz="12" w:space="0" w:color="000000"/>
              <w:left w:val="single" w:sz="12" w:space="0" w:color="000000"/>
              <w:bottom w:val="single" w:sz="12" w:space="0" w:color="000000"/>
              <w:right w:val="single" w:sz="12" w:space="0" w:color="000000"/>
            </w:tcBorders>
            <w:vAlign w:val="center"/>
          </w:tcPr>
          <w:p w14:paraId="1DF51DDA" w14:textId="2BABBE85" w:rsidR="00B56D50" w:rsidRDefault="001C3C42" w:rsidP="00B662DA">
            <w:pPr>
              <w:spacing w:after="0" w:line="259" w:lineRule="auto"/>
              <w:ind w:left="7" w:right="0" w:firstLine="0"/>
              <w:jc w:val="center"/>
            </w:pPr>
            <w:r>
              <w:rPr>
                <w:b/>
                <w:sz w:val="18"/>
              </w:rPr>
              <w:t>Acceptable Methods</w:t>
            </w:r>
          </w:p>
        </w:tc>
      </w:tr>
      <w:tr w:rsidR="00C84A5D" w14:paraId="4E234016" w14:textId="77777777" w:rsidTr="00E04EFA">
        <w:trPr>
          <w:trHeight w:val="271"/>
        </w:trPr>
        <w:tc>
          <w:tcPr>
            <w:tcW w:w="4056" w:type="dxa"/>
            <w:vMerge/>
            <w:tcBorders>
              <w:top w:val="nil"/>
              <w:left w:val="single" w:sz="12" w:space="0" w:color="000000"/>
              <w:bottom w:val="single" w:sz="12" w:space="0" w:color="000000"/>
              <w:right w:val="single" w:sz="12" w:space="0" w:color="000000"/>
            </w:tcBorders>
            <w:vAlign w:val="center"/>
          </w:tcPr>
          <w:p w14:paraId="54CBCAA8" w14:textId="77777777" w:rsidR="00B56D50" w:rsidRDefault="00B56D50" w:rsidP="00017AB4">
            <w:pPr>
              <w:spacing w:after="160" w:line="259" w:lineRule="auto"/>
              <w:ind w:left="0" w:right="0" w:firstLine="0"/>
              <w:jc w:val="center"/>
            </w:pPr>
          </w:p>
        </w:tc>
        <w:tc>
          <w:tcPr>
            <w:tcW w:w="0" w:type="auto"/>
            <w:vMerge/>
            <w:tcBorders>
              <w:top w:val="nil"/>
              <w:left w:val="single" w:sz="12" w:space="0" w:color="000000"/>
              <w:bottom w:val="single" w:sz="12" w:space="0" w:color="000000"/>
              <w:right w:val="single" w:sz="12" w:space="0" w:color="000000"/>
            </w:tcBorders>
            <w:vAlign w:val="center"/>
          </w:tcPr>
          <w:p w14:paraId="292A7144" w14:textId="77777777" w:rsidR="00B56D50" w:rsidRDefault="00B56D50" w:rsidP="00017AB4">
            <w:pPr>
              <w:spacing w:after="160" w:line="259" w:lineRule="auto"/>
              <w:ind w:left="0" w:right="0" w:firstLine="0"/>
              <w:jc w:val="center"/>
            </w:pPr>
          </w:p>
        </w:tc>
        <w:tc>
          <w:tcPr>
            <w:tcW w:w="628" w:type="dxa"/>
            <w:tcBorders>
              <w:top w:val="single" w:sz="12" w:space="0" w:color="000000"/>
              <w:left w:val="single" w:sz="12" w:space="0" w:color="000000"/>
              <w:bottom w:val="single" w:sz="12" w:space="0" w:color="000000"/>
              <w:right w:val="single" w:sz="12" w:space="0" w:color="000000"/>
            </w:tcBorders>
            <w:vAlign w:val="center"/>
          </w:tcPr>
          <w:p w14:paraId="5C47F633" w14:textId="4E5174C3" w:rsidR="00B56D50" w:rsidRDefault="001C3C42" w:rsidP="00B662DA">
            <w:pPr>
              <w:spacing w:after="0" w:line="259" w:lineRule="auto"/>
              <w:ind w:left="115" w:right="0" w:firstLine="0"/>
              <w:jc w:val="center"/>
            </w:pPr>
            <w:r>
              <w:rPr>
                <w:b/>
                <w:sz w:val="18"/>
              </w:rPr>
              <w:t>RL</w:t>
            </w:r>
          </w:p>
        </w:tc>
        <w:tc>
          <w:tcPr>
            <w:tcW w:w="800" w:type="dxa"/>
            <w:tcBorders>
              <w:top w:val="single" w:sz="12" w:space="0" w:color="000000"/>
              <w:left w:val="single" w:sz="12" w:space="0" w:color="000000"/>
              <w:bottom w:val="single" w:sz="12" w:space="0" w:color="000000"/>
              <w:right w:val="single" w:sz="12" w:space="0" w:color="000000"/>
            </w:tcBorders>
            <w:vAlign w:val="center"/>
          </w:tcPr>
          <w:p w14:paraId="4FBCDAB8" w14:textId="25F92C1E" w:rsidR="00B56D50" w:rsidRDefault="001C3C42" w:rsidP="00B662DA">
            <w:pPr>
              <w:spacing w:after="0" w:line="259" w:lineRule="auto"/>
              <w:ind w:left="8" w:right="0" w:firstLine="0"/>
              <w:jc w:val="center"/>
            </w:pPr>
            <w:r>
              <w:rPr>
                <w:b/>
                <w:sz w:val="18"/>
              </w:rPr>
              <w:t>units</w:t>
            </w:r>
          </w:p>
        </w:tc>
        <w:tc>
          <w:tcPr>
            <w:tcW w:w="714" w:type="dxa"/>
            <w:tcBorders>
              <w:top w:val="single" w:sz="12" w:space="0" w:color="000000"/>
              <w:left w:val="single" w:sz="12" w:space="0" w:color="000000"/>
              <w:bottom w:val="single" w:sz="12" w:space="0" w:color="000000"/>
              <w:right w:val="single" w:sz="12" w:space="0" w:color="000000"/>
            </w:tcBorders>
            <w:vAlign w:val="center"/>
          </w:tcPr>
          <w:p w14:paraId="1B1F96AB" w14:textId="631E351E" w:rsidR="00B56D50" w:rsidRDefault="001C3C42" w:rsidP="00B662DA">
            <w:pPr>
              <w:spacing w:after="0" w:line="259" w:lineRule="auto"/>
              <w:ind w:left="12" w:right="0" w:firstLine="0"/>
              <w:jc w:val="center"/>
            </w:pPr>
            <w:r>
              <w:rPr>
                <w:b/>
                <w:sz w:val="18"/>
              </w:rPr>
              <w:t>RL</w:t>
            </w:r>
          </w:p>
        </w:tc>
        <w:tc>
          <w:tcPr>
            <w:tcW w:w="804" w:type="dxa"/>
            <w:tcBorders>
              <w:top w:val="single" w:sz="12" w:space="0" w:color="000000"/>
              <w:left w:val="single" w:sz="12" w:space="0" w:color="000000"/>
              <w:bottom w:val="single" w:sz="12" w:space="0" w:color="000000"/>
              <w:right w:val="single" w:sz="12" w:space="0" w:color="000000"/>
            </w:tcBorders>
            <w:vAlign w:val="center"/>
          </w:tcPr>
          <w:p w14:paraId="25E3DF16" w14:textId="18E89EE9" w:rsidR="00B56D50" w:rsidRDefault="001C3C42" w:rsidP="000E67B4">
            <w:pPr>
              <w:spacing w:after="0" w:line="259" w:lineRule="auto"/>
              <w:ind w:left="8" w:right="0" w:firstLine="0"/>
              <w:jc w:val="center"/>
            </w:pPr>
            <w:r>
              <w:rPr>
                <w:b/>
                <w:sz w:val="18"/>
              </w:rPr>
              <w:t>units</w:t>
            </w:r>
          </w:p>
        </w:tc>
        <w:tc>
          <w:tcPr>
            <w:tcW w:w="1149" w:type="dxa"/>
            <w:tcBorders>
              <w:top w:val="single" w:sz="12" w:space="0" w:color="000000"/>
              <w:left w:val="single" w:sz="12" w:space="0" w:color="000000"/>
              <w:bottom w:val="single" w:sz="12" w:space="0" w:color="000000"/>
              <w:right w:val="single" w:sz="12" w:space="0" w:color="000000"/>
            </w:tcBorders>
            <w:vAlign w:val="center"/>
          </w:tcPr>
          <w:p w14:paraId="31F214FA" w14:textId="2F251069" w:rsidR="00B56D50" w:rsidRDefault="001C3C42" w:rsidP="000E67B4">
            <w:pPr>
              <w:spacing w:after="0" w:line="259" w:lineRule="auto"/>
              <w:ind w:left="14" w:right="0" w:firstLine="0"/>
              <w:jc w:val="center"/>
            </w:pPr>
            <w:r>
              <w:rPr>
                <w:sz w:val="18"/>
              </w:rPr>
              <w:t>Prep</w:t>
            </w:r>
          </w:p>
        </w:tc>
        <w:tc>
          <w:tcPr>
            <w:tcW w:w="1482" w:type="dxa"/>
            <w:tcBorders>
              <w:top w:val="single" w:sz="12" w:space="0" w:color="000000"/>
              <w:left w:val="single" w:sz="12" w:space="0" w:color="000000"/>
              <w:bottom w:val="single" w:sz="12" w:space="0" w:color="000000"/>
              <w:right w:val="single" w:sz="12" w:space="0" w:color="000000"/>
            </w:tcBorders>
            <w:vAlign w:val="center"/>
          </w:tcPr>
          <w:p w14:paraId="2F1B8753" w14:textId="3BF355BA" w:rsidR="00B56D50" w:rsidRDefault="001C3C42" w:rsidP="000E67B4">
            <w:pPr>
              <w:spacing w:after="0" w:line="259" w:lineRule="auto"/>
              <w:ind w:left="7" w:right="0" w:firstLine="0"/>
              <w:jc w:val="center"/>
            </w:pPr>
            <w:r>
              <w:rPr>
                <w:sz w:val="18"/>
              </w:rPr>
              <w:t>Analysis</w:t>
            </w:r>
          </w:p>
        </w:tc>
      </w:tr>
      <w:tr w:rsidR="00B56D50" w14:paraId="7A8C8743" w14:textId="77777777" w:rsidTr="00E04EFA">
        <w:trPr>
          <w:trHeight w:val="641"/>
        </w:trPr>
        <w:tc>
          <w:tcPr>
            <w:tcW w:w="4056" w:type="dxa"/>
            <w:tcBorders>
              <w:top w:val="single" w:sz="12" w:space="0" w:color="000000"/>
              <w:left w:val="single" w:sz="12" w:space="0" w:color="000000"/>
              <w:bottom w:val="single" w:sz="4" w:space="0" w:color="000000"/>
              <w:right w:val="single" w:sz="12" w:space="0" w:color="000000"/>
            </w:tcBorders>
          </w:tcPr>
          <w:p w14:paraId="395E6A07" w14:textId="5B16C85F" w:rsidR="00B56D50" w:rsidRDefault="001C3C42">
            <w:pPr>
              <w:spacing w:after="0" w:line="259" w:lineRule="auto"/>
              <w:ind w:left="0" w:right="0" w:firstLine="0"/>
            </w:pPr>
            <w:r>
              <w:rPr>
                <w:sz w:val="18"/>
              </w:rPr>
              <w:t>TRPH in Sludge, Sediment, and Soil as n</w:t>
            </w:r>
            <w:r w:rsidR="007A0255">
              <w:rPr>
                <w:sz w:val="18"/>
              </w:rPr>
              <w:t>-</w:t>
            </w:r>
            <w:r>
              <w:rPr>
                <w:sz w:val="18"/>
              </w:rPr>
              <w:t xml:space="preserve">Hexane Extractable Material (HEM) </w:t>
            </w:r>
            <w:r>
              <w:rPr>
                <w:i/>
                <w:sz w:val="18"/>
              </w:rPr>
              <w:t>or</w:t>
            </w:r>
            <w:r>
              <w:rPr>
                <w:sz w:val="18"/>
              </w:rPr>
              <w:t xml:space="preserve"> by Supercritical Fluid Extraction (SFE) </w:t>
            </w:r>
          </w:p>
        </w:tc>
        <w:tc>
          <w:tcPr>
            <w:tcW w:w="987" w:type="dxa"/>
            <w:tcBorders>
              <w:top w:val="single" w:sz="12" w:space="0" w:color="000000"/>
              <w:left w:val="single" w:sz="12" w:space="0" w:color="000000"/>
              <w:bottom w:val="single" w:sz="4" w:space="0" w:color="000000"/>
              <w:right w:val="single" w:sz="12" w:space="0" w:color="000000"/>
            </w:tcBorders>
          </w:tcPr>
          <w:p w14:paraId="761666CE" w14:textId="63B06D59" w:rsidR="00B56D50" w:rsidRDefault="001C3C42" w:rsidP="00681137">
            <w:pPr>
              <w:spacing w:after="0" w:line="259" w:lineRule="auto"/>
              <w:ind w:right="0" w:firstLine="0"/>
              <w:jc w:val="center"/>
            </w:pPr>
            <w:r>
              <w:rPr>
                <w:sz w:val="18"/>
              </w:rPr>
              <w:t>N/A</w:t>
            </w:r>
          </w:p>
        </w:tc>
        <w:tc>
          <w:tcPr>
            <w:tcW w:w="628" w:type="dxa"/>
            <w:tcBorders>
              <w:top w:val="single" w:sz="12" w:space="0" w:color="000000"/>
              <w:left w:val="single" w:sz="12" w:space="0" w:color="000000"/>
              <w:bottom w:val="single" w:sz="4" w:space="0" w:color="000000"/>
              <w:right w:val="single" w:sz="12" w:space="0" w:color="000000"/>
            </w:tcBorders>
          </w:tcPr>
          <w:p w14:paraId="5472EBFD" w14:textId="012C8249" w:rsidR="00B56D50" w:rsidRDefault="001C3C42" w:rsidP="00681137">
            <w:pPr>
              <w:spacing w:after="0" w:line="259" w:lineRule="auto"/>
              <w:ind w:left="86" w:right="0" w:firstLine="0"/>
              <w:jc w:val="center"/>
            </w:pPr>
            <w:r>
              <w:rPr>
                <w:sz w:val="18"/>
              </w:rPr>
              <w:t>N/A</w:t>
            </w:r>
          </w:p>
        </w:tc>
        <w:tc>
          <w:tcPr>
            <w:tcW w:w="800" w:type="dxa"/>
            <w:tcBorders>
              <w:top w:val="single" w:sz="12" w:space="0" w:color="000000"/>
              <w:left w:val="single" w:sz="12" w:space="0" w:color="000000"/>
              <w:bottom w:val="single" w:sz="4" w:space="0" w:color="000000"/>
              <w:right w:val="single" w:sz="12" w:space="0" w:color="000000"/>
            </w:tcBorders>
          </w:tcPr>
          <w:p w14:paraId="57D42C30" w14:textId="238EE976" w:rsidR="00B56D50" w:rsidRDefault="001C3C42" w:rsidP="00681137">
            <w:pPr>
              <w:spacing w:after="0" w:line="259" w:lineRule="auto"/>
              <w:ind w:left="13" w:right="0" w:firstLine="0"/>
              <w:jc w:val="center"/>
            </w:pPr>
            <w:r>
              <w:rPr>
                <w:sz w:val="18"/>
              </w:rPr>
              <w:t>N/A</w:t>
            </w:r>
          </w:p>
        </w:tc>
        <w:tc>
          <w:tcPr>
            <w:tcW w:w="714" w:type="dxa"/>
            <w:tcBorders>
              <w:top w:val="single" w:sz="12" w:space="0" w:color="000000"/>
              <w:left w:val="single" w:sz="12" w:space="0" w:color="000000"/>
              <w:bottom w:val="single" w:sz="4" w:space="0" w:color="000000"/>
              <w:right w:val="single" w:sz="12" w:space="0" w:color="000000"/>
            </w:tcBorders>
          </w:tcPr>
          <w:p w14:paraId="01B02122" w14:textId="588B053C" w:rsidR="00B56D50" w:rsidRDefault="001C3C42" w:rsidP="00681137">
            <w:pPr>
              <w:spacing w:after="0" w:line="259" w:lineRule="auto"/>
              <w:ind w:left="14" w:right="0" w:firstLine="0"/>
              <w:jc w:val="center"/>
            </w:pPr>
            <w:r>
              <w:rPr>
                <w:sz w:val="18"/>
              </w:rPr>
              <w:t>10</w:t>
            </w:r>
          </w:p>
        </w:tc>
        <w:tc>
          <w:tcPr>
            <w:tcW w:w="804" w:type="dxa"/>
            <w:tcBorders>
              <w:top w:val="single" w:sz="12" w:space="0" w:color="000000"/>
              <w:left w:val="single" w:sz="12" w:space="0" w:color="000000"/>
              <w:bottom w:val="single" w:sz="4" w:space="0" w:color="000000"/>
              <w:right w:val="single" w:sz="12" w:space="0" w:color="000000"/>
            </w:tcBorders>
          </w:tcPr>
          <w:p w14:paraId="5CF3B3D9" w14:textId="3C9F1D86" w:rsidR="00B56D50" w:rsidRDefault="001C3C42" w:rsidP="00681137">
            <w:pPr>
              <w:spacing w:after="0" w:line="259" w:lineRule="auto"/>
              <w:ind w:left="8" w:right="0" w:firstLine="0"/>
              <w:jc w:val="center"/>
            </w:pPr>
            <w:r>
              <w:rPr>
                <w:sz w:val="18"/>
              </w:rPr>
              <w:t>mg/kg</w:t>
            </w:r>
          </w:p>
        </w:tc>
        <w:tc>
          <w:tcPr>
            <w:tcW w:w="1149" w:type="dxa"/>
            <w:tcBorders>
              <w:top w:val="single" w:sz="12" w:space="0" w:color="000000"/>
              <w:left w:val="single" w:sz="12" w:space="0" w:color="000000"/>
              <w:bottom w:val="single" w:sz="4" w:space="0" w:color="000000"/>
              <w:right w:val="single" w:sz="12" w:space="0" w:color="000000"/>
            </w:tcBorders>
          </w:tcPr>
          <w:p w14:paraId="0C4762E8" w14:textId="3F3C71DD" w:rsidR="00B56D50" w:rsidRDefault="001C3C42" w:rsidP="00681137">
            <w:pPr>
              <w:spacing w:after="0" w:line="259" w:lineRule="auto"/>
              <w:ind w:left="0" w:right="0" w:firstLine="0"/>
              <w:jc w:val="center"/>
            </w:pPr>
            <w:r>
              <w:rPr>
                <w:sz w:val="18"/>
              </w:rPr>
              <w:t>9071B or 3560</w:t>
            </w:r>
          </w:p>
        </w:tc>
        <w:tc>
          <w:tcPr>
            <w:tcW w:w="1482" w:type="dxa"/>
            <w:tcBorders>
              <w:top w:val="single" w:sz="12" w:space="0" w:color="000000"/>
              <w:left w:val="single" w:sz="12" w:space="0" w:color="000000"/>
              <w:bottom w:val="single" w:sz="4" w:space="0" w:color="000000"/>
              <w:right w:val="single" w:sz="12" w:space="0" w:color="000000"/>
            </w:tcBorders>
          </w:tcPr>
          <w:p w14:paraId="29AA04F2" w14:textId="0CE8F4B8" w:rsidR="00B56D50" w:rsidRDefault="001C3C42" w:rsidP="00681137">
            <w:pPr>
              <w:spacing w:after="0" w:line="259" w:lineRule="auto"/>
              <w:ind w:left="13" w:right="0" w:firstLine="0"/>
              <w:jc w:val="center"/>
            </w:pPr>
            <w:r>
              <w:rPr>
                <w:sz w:val="18"/>
              </w:rPr>
              <w:t>8440</w:t>
            </w:r>
          </w:p>
        </w:tc>
      </w:tr>
      <w:tr w:rsidR="00B56D50" w14:paraId="6725E206" w14:textId="77777777" w:rsidTr="00E04EFA">
        <w:trPr>
          <w:trHeight w:val="259"/>
        </w:trPr>
        <w:tc>
          <w:tcPr>
            <w:tcW w:w="4056" w:type="dxa"/>
            <w:tcBorders>
              <w:top w:val="single" w:sz="4" w:space="0" w:color="000000"/>
              <w:left w:val="single" w:sz="12" w:space="0" w:color="000000"/>
              <w:bottom w:val="single" w:sz="12" w:space="0" w:color="000000"/>
              <w:right w:val="single" w:sz="12" w:space="0" w:color="000000"/>
            </w:tcBorders>
          </w:tcPr>
          <w:p w14:paraId="7C2DFCE3" w14:textId="77777777" w:rsidR="00B56D50" w:rsidRDefault="001C3C42">
            <w:pPr>
              <w:spacing w:after="0" w:line="259" w:lineRule="auto"/>
              <w:ind w:left="0" w:right="0" w:firstLine="0"/>
            </w:pPr>
            <w:r>
              <w:rPr>
                <w:sz w:val="18"/>
              </w:rPr>
              <w:t xml:space="preserve">TRPH in Water as HEM </w:t>
            </w:r>
          </w:p>
        </w:tc>
        <w:tc>
          <w:tcPr>
            <w:tcW w:w="987" w:type="dxa"/>
            <w:tcBorders>
              <w:top w:val="single" w:sz="4" w:space="0" w:color="000000"/>
              <w:left w:val="single" w:sz="12" w:space="0" w:color="000000"/>
              <w:bottom w:val="single" w:sz="12" w:space="0" w:color="000000"/>
              <w:right w:val="single" w:sz="12" w:space="0" w:color="000000"/>
            </w:tcBorders>
          </w:tcPr>
          <w:p w14:paraId="0B4B91DF" w14:textId="025FECEA" w:rsidR="00B56D50" w:rsidRDefault="001C3C42" w:rsidP="00681137">
            <w:pPr>
              <w:spacing w:after="0" w:line="259" w:lineRule="auto"/>
              <w:ind w:right="0" w:firstLine="0"/>
              <w:jc w:val="center"/>
            </w:pPr>
            <w:r>
              <w:rPr>
                <w:sz w:val="18"/>
              </w:rPr>
              <w:t>N/A</w:t>
            </w:r>
          </w:p>
        </w:tc>
        <w:tc>
          <w:tcPr>
            <w:tcW w:w="628" w:type="dxa"/>
            <w:tcBorders>
              <w:top w:val="single" w:sz="4" w:space="0" w:color="000000"/>
              <w:left w:val="single" w:sz="12" w:space="0" w:color="000000"/>
              <w:bottom w:val="single" w:sz="12" w:space="0" w:color="000000"/>
              <w:right w:val="single" w:sz="12" w:space="0" w:color="000000"/>
            </w:tcBorders>
          </w:tcPr>
          <w:p w14:paraId="6D27BFCC" w14:textId="4FFD8766" w:rsidR="00B56D50" w:rsidRDefault="001C3C42" w:rsidP="00681137">
            <w:pPr>
              <w:spacing w:after="0" w:line="259" w:lineRule="auto"/>
              <w:ind w:left="11" w:right="0" w:firstLine="0"/>
              <w:jc w:val="center"/>
            </w:pPr>
            <w:r>
              <w:rPr>
                <w:sz w:val="18"/>
              </w:rPr>
              <w:t>5</w:t>
            </w:r>
          </w:p>
        </w:tc>
        <w:tc>
          <w:tcPr>
            <w:tcW w:w="800" w:type="dxa"/>
            <w:tcBorders>
              <w:top w:val="single" w:sz="4" w:space="0" w:color="000000"/>
              <w:left w:val="single" w:sz="12" w:space="0" w:color="000000"/>
              <w:bottom w:val="single" w:sz="12" w:space="0" w:color="000000"/>
              <w:right w:val="single" w:sz="12" w:space="0" w:color="000000"/>
            </w:tcBorders>
          </w:tcPr>
          <w:p w14:paraId="28F5E042" w14:textId="6000EA9E" w:rsidR="00B56D50" w:rsidRDefault="001C3C42" w:rsidP="00681137">
            <w:pPr>
              <w:spacing w:after="0" w:line="259" w:lineRule="auto"/>
              <w:ind w:left="12" w:right="0" w:firstLine="0"/>
              <w:jc w:val="center"/>
            </w:pPr>
            <w:r>
              <w:rPr>
                <w:sz w:val="18"/>
              </w:rPr>
              <w:t>mg/L</w:t>
            </w:r>
          </w:p>
        </w:tc>
        <w:tc>
          <w:tcPr>
            <w:tcW w:w="714" w:type="dxa"/>
            <w:tcBorders>
              <w:top w:val="single" w:sz="4" w:space="0" w:color="000000"/>
              <w:left w:val="single" w:sz="12" w:space="0" w:color="000000"/>
              <w:bottom w:val="single" w:sz="12" w:space="0" w:color="000000"/>
              <w:right w:val="single" w:sz="12" w:space="0" w:color="000000"/>
            </w:tcBorders>
          </w:tcPr>
          <w:p w14:paraId="7BA91439" w14:textId="1E359CF2" w:rsidR="00B56D50" w:rsidRDefault="001C3C42" w:rsidP="00681137">
            <w:pPr>
              <w:spacing w:after="0" w:line="259" w:lineRule="auto"/>
              <w:ind w:right="0" w:firstLine="0"/>
              <w:jc w:val="center"/>
            </w:pPr>
            <w:r>
              <w:rPr>
                <w:sz w:val="18"/>
              </w:rPr>
              <w:t>N/A</w:t>
            </w:r>
          </w:p>
        </w:tc>
        <w:tc>
          <w:tcPr>
            <w:tcW w:w="804" w:type="dxa"/>
            <w:tcBorders>
              <w:top w:val="single" w:sz="4" w:space="0" w:color="000000"/>
              <w:left w:val="single" w:sz="12" w:space="0" w:color="000000"/>
              <w:bottom w:val="single" w:sz="12" w:space="0" w:color="000000"/>
              <w:right w:val="single" w:sz="12" w:space="0" w:color="000000"/>
            </w:tcBorders>
          </w:tcPr>
          <w:p w14:paraId="2079BD27" w14:textId="09D2B8D3" w:rsidR="00B56D50" w:rsidRDefault="001C3C42" w:rsidP="00681137">
            <w:pPr>
              <w:spacing w:after="0" w:line="259" w:lineRule="auto"/>
              <w:ind w:left="13" w:right="0" w:firstLine="0"/>
              <w:jc w:val="center"/>
            </w:pPr>
            <w:r>
              <w:rPr>
                <w:sz w:val="18"/>
              </w:rPr>
              <w:t>N/A</w:t>
            </w:r>
          </w:p>
        </w:tc>
        <w:tc>
          <w:tcPr>
            <w:tcW w:w="1149" w:type="dxa"/>
            <w:tcBorders>
              <w:top w:val="single" w:sz="4" w:space="0" w:color="000000"/>
              <w:left w:val="single" w:sz="12" w:space="0" w:color="000000"/>
              <w:bottom w:val="single" w:sz="12" w:space="0" w:color="000000"/>
              <w:right w:val="single" w:sz="12" w:space="0" w:color="000000"/>
            </w:tcBorders>
          </w:tcPr>
          <w:p w14:paraId="795A511D" w14:textId="74092003" w:rsidR="00B56D50" w:rsidRDefault="001C3C42" w:rsidP="00681137">
            <w:pPr>
              <w:spacing w:after="0" w:line="259" w:lineRule="auto"/>
              <w:ind w:left="13" w:right="0" w:firstLine="0"/>
              <w:jc w:val="center"/>
            </w:pPr>
            <w:r>
              <w:rPr>
                <w:sz w:val="18"/>
              </w:rPr>
              <w:t>N/A</w:t>
            </w:r>
          </w:p>
        </w:tc>
        <w:tc>
          <w:tcPr>
            <w:tcW w:w="1482" w:type="dxa"/>
            <w:tcBorders>
              <w:top w:val="single" w:sz="4" w:space="0" w:color="000000"/>
              <w:left w:val="single" w:sz="12" w:space="0" w:color="000000"/>
              <w:bottom w:val="single" w:sz="12" w:space="0" w:color="000000"/>
              <w:right w:val="single" w:sz="12" w:space="0" w:color="000000"/>
            </w:tcBorders>
          </w:tcPr>
          <w:p w14:paraId="18E6BE79" w14:textId="511B834E" w:rsidR="00B56D50" w:rsidRDefault="001C3C42" w:rsidP="00681137">
            <w:pPr>
              <w:spacing w:after="0" w:line="259" w:lineRule="auto"/>
              <w:ind w:left="14" w:right="0" w:firstLine="0"/>
              <w:jc w:val="center"/>
            </w:pPr>
            <w:r>
              <w:rPr>
                <w:sz w:val="18"/>
              </w:rPr>
              <w:t>1664A</w:t>
            </w:r>
            <w:r w:rsidR="005D135D">
              <w:rPr>
                <w:sz w:val="18"/>
              </w:rPr>
              <w:t xml:space="preserve"> </w:t>
            </w:r>
            <w:r w:rsidR="00A95804" w:rsidRPr="005D135D">
              <w:rPr>
                <w:b/>
                <w:bCs/>
                <w:sz w:val="18"/>
                <w:vertAlign w:val="superscript"/>
              </w:rPr>
              <w:t>8</w:t>
            </w:r>
            <w:r w:rsidR="00985D98">
              <w:rPr>
                <w:sz w:val="18"/>
              </w:rPr>
              <w:t xml:space="preserve">, </w:t>
            </w:r>
            <w:r>
              <w:rPr>
                <w:sz w:val="18"/>
              </w:rPr>
              <w:t>9070</w:t>
            </w:r>
            <w:r w:rsidR="00A67EA8">
              <w:rPr>
                <w:sz w:val="18"/>
              </w:rPr>
              <w:t>A</w:t>
            </w:r>
          </w:p>
        </w:tc>
      </w:tr>
    </w:tbl>
    <w:p w14:paraId="58856B71" w14:textId="124CE042" w:rsidR="00B56D50" w:rsidRDefault="00B56D50" w:rsidP="00C50497">
      <w:pPr>
        <w:spacing w:after="0" w:line="240" w:lineRule="auto"/>
        <w:ind w:left="14" w:right="0" w:hanging="14"/>
      </w:pPr>
    </w:p>
    <w:p w14:paraId="3483B080" w14:textId="77777777" w:rsidR="00C50497" w:rsidRPr="00981B9E" w:rsidRDefault="00C50497" w:rsidP="000A501E">
      <w:pPr>
        <w:spacing w:line="240" w:lineRule="auto"/>
      </w:pPr>
    </w:p>
    <w:p w14:paraId="421F9D86" w14:textId="77777777" w:rsidR="00C50497" w:rsidRPr="00981B9E" w:rsidRDefault="00C50497" w:rsidP="000A501E">
      <w:pPr>
        <w:spacing w:line="240" w:lineRule="auto"/>
      </w:pPr>
    </w:p>
    <w:p w14:paraId="2D2B9182" w14:textId="77777777" w:rsidR="00C50497" w:rsidRPr="00981B9E" w:rsidRDefault="00C50497" w:rsidP="000A501E">
      <w:pPr>
        <w:spacing w:line="240" w:lineRule="auto"/>
      </w:pPr>
    </w:p>
    <w:p w14:paraId="31ED5711" w14:textId="77777777" w:rsidR="00C50497" w:rsidRPr="00981B9E" w:rsidRDefault="00C50497" w:rsidP="000A501E">
      <w:pPr>
        <w:spacing w:line="240" w:lineRule="auto"/>
      </w:pPr>
    </w:p>
    <w:p w14:paraId="39D34E68" w14:textId="77777777" w:rsidR="00C50497" w:rsidRDefault="00C50497" w:rsidP="00C50497">
      <w:pPr>
        <w:ind w:left="0" w:firstLine="0"/>
        <w:jc w:val="center"/>
      </w:pPr>
      <w:r>
        <w:rPr>
          <w:b/>
        </w:rPr>
        <w:t>THE REMAINDER OF THIS PAGE HAS BEEN LEFT BLANK INTENTIONALLY</w:t>
      </w:r>
    </w:p>
    <w:p w14:paraId="1E61BC37" w14:textId="77777777" w:rsidR="00C50497" w:rsidRPr="00981B9E" w:rsidRDefault="00C50497" w:rsidP="000A501E">
      <w:pPr>
        <w:spacing w:line="240" w:lineRule="auto"/>
      </w:pPr>
    </w:p>
    <w:p w14:paraId="3F6AB3E3" w14:textId="77777777" w:rsidR="00C50497" w:rsidRPr="00981B9E" w:rsidRDefault="00C50497" w:rsidP="000A501E">
      <w:pPr>
        <w:spacing w:line="240" w:lineRule="auto"/>
      </w:pPr>
    </w:p>
    <w:p w14:paraId="65114AD1" w14:textId="77777777" w:rsidR="00981B9E" w:rsidRPr="00981B9E" w:rsidRDefault="00981B9E" w:rsidP="000A501E">
      <w:pPr>
        <w:spacing w:line="240" w:lineRule="auto"/>
      </w:pPr>
    </w:p>
    <w:p w14:paraId="5B072925" w14:textId="77777777" w:rsidR="00C50497" w:rsidRPr="00981B9E" w:rsidRDefault="00C50497" w:rsidP="000A501E">
      <w:pPr>
        <w:spacing w:line="240" w:lineRule="auto"/>
      </w:pPr>
    </w:p>
    <w:p w14:paraId="6DAEA587" w14:textId="77777777" w:rsidR="002007EE" w:rsidRPr="00981B9E" w:rsidRDefault="002007EE" w:rsidP="000A501E">
      <w:pPr>
        <w:spacing w:line="240" w:lineRule="auto"/>
      </w:pPr>
    </w:p>
    <w:p w14:paraId="6F57C582" w14:textId="77777777" w:rsidR="00C50497" w:rsidRDefault="00C50497" w:rsidP="000A501E">
      <w:pPr>
        <w:spacing w:line="240" w:lineRule="auto"/>
      </w:pPr>
    </w:p>
    <w:p w14:paraId="6012AC8F" w14:textId="77777777" w:rsidR="00571FAF" w:rsidRPr="00981B9E" w:rsidRDefault="00571FAF" w:rsidP="000A501E">
      <w:pPr>
        <w:spacing w:line="240" w:lineRule="auto"/>
      </w:pPr>
    </w:p>
    <w:p w14:paraId="5935E886" w14:textId="77777777" w:rsidR="00690BC6" w:rsidRPr="00981B9E" w:rsidRDefault="00690BC6" w:rsidP="000A501E">
      <w:pPr>
        <w:spacing w:line="240" w:lineRule="auto"/>
      </w:pPr>
    </w:p>
    <w:p w14:paraId="212CD623" w14:textId="77777777" w:rsidR="00C50497" w:rsidRPr="00981B9E" w:rsidRDefault="00C50497" w:rsidP="000A501E">
      <w:pPr>
        <w:spacing w:line="240" w:lineRule="auto"/>
      </w:pPr>
    </w:p>
    <w:p w14:paraId="5EA3B7F3" w14:textId="785FA86A" w:rsidR="007172E7" w:rsidRPr="00CB4D4B" w:rsidRDefault="001C3C42" w:rsidP="00EE7494">
      <w:pPr>
        <w:spacing w:line="240" w:lineRule="auto"/>
        <w:jc w:val="center"/>
      </w:pPr>
      <w:r w:rsidRPr="00CB4D4B">
        <w:rPr>
          <w:b/>
          <w:bCs/>
        </w:rPr>
        <w:lastRenderedPageBreak/>
        <w:t>SW-846 RCRA Characteristics of Hazardous Waste</w:t>
      </w:r>
    </w:p>
    <w:p w14:paraId="05C9864F" w14:textId="0D947E05" w:rsidR="00D768A9" w:rsidRPr="008604F7" w:rsidRDefault="00D768A9" w:rsidP="00EE7494">
      <w:pPr>
        <w:pStyle w:val="Heading3"/>
        <w:spacing w:line="240" w:lineRule="auto"/>
        <w:ind w:right="350"/>
        <w:jc w:val="left"/>
      </w:pPr>
    </w:p>
    <w:tbl>
      <w:tblPr>
        <w:tblStyle w:val="TableGrid1"/>
        <w:tblW w:w="10620" w:type="dxa"/>
        <w:tblInd w:w="-375" w:type="dxa"/>
        <w:tblCellMar>
          <w:top w:w="24" w:type="dxa"/>
          <w:left w:w="72" w:type="dxa"/>
          <w:right w:w="92" w:type="dxa"/>
        </w:tblCellMar>
        <w:tblLook w:val="04A0" w:firstRow="1" w:lastRow="0" w:firstColumn="1" w:lastColumn="0" w:noHBand="0" w:noVBand="1"/>
      </w:tblPr>
      <w:tblGrid>
        <w:gridCol w:w="1421"/>
        <w:gridCol w:w="1439"/>
        <w:gridCol w:w="1738"/>
        <w:gridCol w:w="884"/>
        <w:gridCol w:w="884"/>
        <w:gridCol w:w="967"/>
        <w:gridCol w:w="967"/>
        <w:gridCol w:w="1056"/>
        <w:gridCol w:w="1264"/>
      </w:tblGrid>
      <w:tr w:rsidR="00B56D50" w14:paraId="55C5274F" w14:textId="77777777" w:rsidTr="005B6604">
        <w:trPr>
          <w:trHeight w:val="387"/>
        </w:trPr>
        <w:tc>
          <w:tcPr>
            <w:tcW w:w="10620" w:type="dxa"/>
            <w:gridSpan w:val="9"/>
            <w:tcBorders>
              <w:top w:val="single" w:sz="12" w:space="0" w:color="000000"/>
              <w:left w:val="single" w:sz="12" w:space="0" w:color="000000"/>
              <w:bottom w:val="single" w:sz="12" w:space="0" w:color="000000"/>
              <w:right w:val="single" w:sz="12" w:space="0" w:color="000000"/>
            </w:tcBorders>
            <w:vAlign w:val="center"/>
          </w:tcPr>
          <w:p w14:paraId="281C03A9" w14:textId="66E2E9A2" w:rsidR="00F2294F" w:rsidRPr="00806463" w:rsidRDefault="001C3C42" w:rsidP="000830B7">
            <w:pPr>
              <w:spacing w:after="0" w:line="240" w:lineRule="auto"/>
              <w:ind w:left="0" w:right="0" w:firstLine="0"/>
              <w:rPr>
                <w:sz w:val="18"/>
                <w:szCs w:val="18"/>
              </w:rPr>
            </w:pPr>
            <w:r>
              <w:rPr>
                <w:b/>
                <w:sz w:val="18"/>
              </w:rPr>
              <w:t>RCRA Characteristics Group A</w:t>
            </w:r>
            <w:r w:rsidR="00B60794">
              <w:rPr>
                <w:b/>
                <w:sz w:val="18"/>
              </w:rPr>
              <w:t xml:space="preserve"> </w:t>
            </w:r>
            <w:r>
              <w:rPr>
                <w:b/>
                <w:sz w:val="18"/>
              </w:rPr>
              <w:t>– 40 CFR 261 Characteristics:  Ignitability, Corrosivity, and Reactivity</w:t>
            </w:r>
          </w:p>
        </w:tc>
      </w:tr>
      <w:tr w:rsidR="002B672B" w14:paraId="1176D033" w14:textId="77777777" w:rsidTr="005B6604">
        <w:trPr>
          <w:trHeight w:val="269"/>
        </w:trPr>
        <w:tc>
          <w:tcPr>
            <w:tcW w:w="1421" w:type="dxa"/>
            <w:vMerge w:val="restart"/>
            <w:tcBorders>
              <w:top w:val="single" w:sz="12" w:space="0" w:color="000000"/>
              <w:left w:val="single" w:sz="12" w:space="0" w:color="000000"/>
              <w:bottom w:val="single" w:sz="12" w:space="0" w:color="000000"/>
              <w:right w:val="single" w:sz="12" w:space="0" w:color="000000"/>
            </w:tcBorders>
            <w:vAlign w:val="center"/>
          </w:tcPr>
          <w:p w14:paraId="0781F564" w14:textId="5743BBE4" w:rsidR="00B56D50" w:rsidRDefault="001C3C42" w:rsidP="000E67B4">
            <w:pPr>
              <w:spacing w:after="0" w:line="259" w:lineRule="auto"/>
              <w:ind w:left="0" w:right="0" w:firstLine="0"/>
              <w:jc w:val="center"/>
            </w:pPr>
            <w:r>
              <w:rPr>
                <w:b/>
                <w:sz w:val="18"/>
              </w:rPr>
              <w:t>Waste Code</w:t>
            </w:r>
          </w:p>
        </w:tc>
        <w:tc>
          <w:tcPr>
            <w:tcW w:w="1439" w:type="dxa"/>
            <w:vMerge w:val="restart"/>
            <w:tcBorders>
              <w:top w:val="single" w:sz="12" w:space="0" w:color="000000"/>
              <w:left w:val="single" w:sz="12" w:space="0" w:color="000000"/>
              <w:bottom w:val="single" w:sz="12" w:space="0" w:color="000000"/>
              <w:right w:val="single" w:sz="12" w:space="0" w:color="000000"/>
            </w:tcBorders>
            <w:vAlign w:val="center"/>
          </w:tcPr>
          <w:p w14:paraId="1FAFC231" w14:textId="02573E8B" w:rsidR="00B56D50" w:rsidRDefault="001C3C42" w:rsidP="000E67B4">
            <w:pPr>
              <w:spacing w:after="0" w:line="259" w:lineRule="auto"/>
              <w:ind w:left="18" w:right="0" w:firstLine="0"/>
              <w:jc w:val="center"/>
            </w:pPr>
            <w:r>
              <w:rPr>
                <w:b/>
                <w:sz w:val="18"/>
              </w:rPr>
              <w:t>RCRA</w:t>
            </w:r>
          </w:p>
          <w:p w14:paraId="34B98281" w14:textId="680714F0" w:rsidR="00B56D50" w:rsidRDefault="001C3C42" w:rsidP="000E67B4">
            <w:pPr>
              <w:spacing w:after="0" w:line="259" w:lineRule="auto"/>
              <w:ind w:left="24" w:right="0" w:firstLine="0"/>
              <w:jc w:val="center"/>
            </w:pPr>
            <w:proofErr w:type="gramStart"/>
            <w:r>
              <w:rPr>
                <w:b/>
                <w:sz w:val="18"/>
              </w:rPr>
              <w:t>Characteristic</w:t>
            </w:r>
            <w:proofErr w:type="gramEnd"/>
            <w:r>
              <w:rPr>
                <w:b/>
                <w:sz w:val="18"/>
              </w:rPr>
              <w:t xml:space="preserve"> of HW</w:t>
            </w:r>
          </w:p>
        </w:tc>
        <w:tc>
          <w:tcPr>
            <w:tcW w:w="1738" w:type="dxa"/>
            <w:vMerge w:val="restart"/>
            <w:tcBorders>
              <w:top w:val="single" w:sz="12" w:space="0" w:color="000000"/>
              <w:left w:val="single" w:sz="12" w:space="0" w:color="000000"/>
              <w:bottom w:val="single" w:sz="12" w:space="0" w:color="000000"/>
              <w:right w:val="single" w:sz="12" w:space="0" w:color="000000"/>
            </w:tcBorders>
            <w:vAlign w:val="center"/>
          </w:tcPr>
          <w:p w14:paraId="4BD06B40" w14:textId="72BB2F1A" w:rsidR="00B56D50" w:rsidRDefault="001C3C42" w:rsidP="000E67B4">
            <w:pPr>
              <w:spacing w:after="0" w:line="259" w:lineRule="auto"/>
              <w:ind w:left="0" w:right="0" w:firstLine="0"/>
              <w:jc w:val="center"/>
            </w:pPr>
            <w:r>
              <w:rPr>
                <w:b/>
                <w:sz w:val="18"/>
              </w:rPr>
              <w:t>Parameter to be Measured</w:t>
            </w:r>
          </w:p>
        </w:tc>
        <w:tc>
          <w:tcPr>
            <w:tcW w:w="1768" w:type="dxa"/>
            <w:gridSpan w:val="2"/>
            <w:tcBorders>
              <w:top w:val="single" w:sz="12" w:space="0" w:color="000000"/>
              <w:left w:val="single" w:sz="12" w:space="0" w:color="000000"/>
              <w:bottom w:val="single" w:sz="12" w:space="0" w:color="000000"/>
              <w:right w:val="single" w:sz="12" w:space="0" w:color="000000"/>
            </w:tcBorders>
            <w:vAlign w:val="center"/>
          </w:tcPr>
          <w:p w14:paraId="15AF4EAB" w14:textId="120AE937" w:rsidR="00B56D50" w:rsidRDefault="001C3C42" w:rsidP="000E67B4">
            <w:pPr>
              <w:spacing w:after="0" w:line="259" w:lineRule="auto"/>
              <w:ind w:left="16" w:right="0" w:firstLine="0"/>
              <w:jc w:val="center"/>
            </w:pPr>
            <w:r>
              <w:rPr>
                <w:b/>
                <w:sz w:val="18"/>
              </w:rPr>
              <w:t>Aqueous</w:t>
            </w:r>
          </w:p>
        </w:tc>
        <w:tc>
          <w:tcPr>
            <w:tcW w:w="1934" w:type="dxa"/>
            <w:gridSpan w:val="2"/>
            <w:tcBorders>
              <w:top w:val="single" w:sz="12" w:space="0" w:color="000000"/>
              <w:left w:val="single" w:sz="12" w:space="0" w:color="000000"/>
              <w:bottom w:val="single" w:sz="12" w:space="0" w:color="000000"/>
              <w:right w:val="single" w:sz="12" w:space="0" w:color="000000"/>
            </w:tcBorders>
            <w:vAlign w:val="center"/>
          </w:tcPr>
          <w:p w14:paraId="0169B67D" w14:textId="47A1A4B1" w:rsidR="00B56D50" w:rsidRDefault="001C3C42" w:rsidP="000E67B4">
            <w:pPr>
              <w:spacing w:after="0" w:line="259" w:lineRule="auto"/>
              <w:ind w:left="15" w:right="0" w:firstLine="0"/>
              <w:jc w:val="center"/>
            </w:pPr>
            <w:r>
              <w:rPr>
                <w:b/>
                <w:sz w:val="18"/>
              </w:rPr>
              <w:t>Other Matrices</w:t>
            </w:r>
          </w:p>
        </w:tc>
        <w:tc>
          <w:tcPr>
            <w:tcW w:w="2320" w:type="dxa"/>
            <w:gridSpan w:val="2"/>
            <w:vMerge w:val="restart"/>
            <w:tcBorders>
              <w:top w:val="single" w:sz="12" w:space="0" w:color="000000"/>
              <w:left w:val="single" w:sz="12" w:space="0" w:color="000000"/>
              <w:bottom w:val="single" w:sz="12" w:space="0" w:color="000000"/>
              <w:right w:val="single" w:sz="12" w:space="0" w:color="000000"/>
            </w:tcBorders>
            <w:vAlign w:val="center"/>
          </w:tcPr>
          <w:p w14:paraId="4F8A8E02" w14:textId="09B92CBF" w:rsidR="00B56D50" w:rsidRDefault="001C3C42" w:rsidP="000E67B4">
            <w:pPr>
              <w:spacing w:after="0" w:line="259" w:lineRule="auto"/>
              <w:ind w:left="50" w:right="0" w:firstLine="0"/>
              <w:jc w:val="center"/>
            </w:pPr>
            <w:r>
              <w:rPr>
                <w:b/>
                <w:sz w:val="18"/>
              </w:rPr>
              <w:t>Required Methods</w:t>
            </w:r>
          </w:p>
        </w:tc>
      </w:tr>
      <w:tr w:rsidR="00C84A5D" w14:paraId="54C3C9D7" w14:textId="77777777" w:rsidTr="005B6604">
        <w:trPr>
          <w:trHeight w:val="444"/>
        </w:trPr>
        <w:tc>
          <w:tcPr>
            <w:tcW w:w="1421" w:type="dxa"/>
            <w:vMerge/>
            <w:tcBorders>
              <w:top w:val="nil"/>
              <w:left w:val="single" w:sz="12" w:space="0" w:color="000000"/>
              <w:bottom w:val="single" w:sz="12" w:space="0" w:color="000000"/>
              <w:right w:val="single" w:sz="12" w:space="0" w:color="000000"/>
            </w:tcBorders>
            <w:vAlign w:val="center"/>
          </w:tcPr>
          <w:p w14:paraId="161E01EE" w14:textId="77777777" w:rsidR="00B56D50" w:rsidRDefault="00B56D50" w:rsidP="000E67B4">
            <w:pPr>
              <w:spacing w:after="160" w:line="259" w:lineRule="auto"/>
              <w:ind w:left="0" w:right="0" w:firstLine="0"/>
              <w:jc w:val="center"/>
            </w:pPr>
          </w:p>
        </w:tc>
        <w:tc>
          <w:tcPr>
            <w:tcW w:w="0" w:type="auto"/>
            <w:vMerge/>
            <w:tcBorders>
              <w:top w:val="nil"/>
              <w:left w:val="single" w:sz="12" w:space="0" w:color="000000"/>
              <w:bottom w:val="single" w:sz="12" w:space="0" w:color="000000"/>
              <w:right w:val="single" w:sz="12" w:space="0" w:color="000000"/>
            </w:tcBorders>
            <w:vAlign w:val="center"/>
          </w:tcPr>
          <w:p w14:paraId="183CD34B" w14:textId="77777777" w:rsidR="00B56D50" w:rsidRDefault="00B56D50" w:rsidP="000E67B4">
            <w:pPr>
              <w:spacing w:after="160" w:line="259" w:lineRule="auto"/>
              <w:ind w:left="0" w:right="0" w:firstLine="0"/>
              <w:jc w:val="center"/>
            </w:pPr>
          </w:p>
        </w:tc>
        <w:tc>
          <w:tcPr>
            <w:tcW w:w="0" w:type="auto"/>
            <w:vMerge/>
            <w:tcBorders>
              <w:top w:val="nil"/>
              <w:left w:val="single" w:sz="12" w:space="0" w:color="000000"/>
              <w:bottom w:val="single" w:sz="12" w:space="0" w:color="000000"/>
              <w:right w:val="single" w:sz="12" w:space="0" w:color="000000"/>
            </w:tcBorders>
            <w:vAlign w:val="center"/>
          </w:tcPr>
          <w:p w14:paraId="708290D3" w14:textId="77777777" w:rsidR="00B56D50" w:rsidRDefault="00B56D50" w:rsidP="000E67B4">
            <w:pPr>
              <w:spacing w:after="160" w:line="259" w:lineRule="auto"/>
              <w:ind w:left="0" w:right="0" w:firstLine="0"/>
              <w:jc w:val="center"/>
            </w:pPr>
          </w:p>
        </w:tc>
        <w:tc>
          <w:tcPr>
            <w:tcW w:w="884" w:type="dxa"/>
            <w:tcBorders>
              <w:top w:val="single" w:sz="12" w:space="0" w:color="000000"/>
              <w:left w:val="single" w:sz="12" w:space="0" w:color="000000"/>
              <w:bottom w:val="single" w:sz="12" w:space="0" w:color="000000"/>
              <w:right w:val="single" w:sz="12" w:space="0" w:color="000000"/>
            </w:tcBorders>
            <w:vAlign w:val="center"/>
          </w:tcPr>
          <w:p w14:paraId="5BFAF1C7" w14:textId="4496CF2F" w:rsidR="00B56D50" w:rsidRDefault="001C3C42" w:rsidP="000E67B4">
            <w:pPr>
              <w:spacing w:after="0" w:line="259" w:lineRule="auto"/>
              <w:ind w:left="0" w:right="0" w:firstLine="0"/>
              <w:jc w:val="center"/>
            </w:pPr>
            <w:r>
              <w:rPr>
                <w:b/>
                <w:sz w:val="18"/>
              </w:rPr>
              <w:t>RL or Range</w:t>
            </w:r>
          </w:p>
        </w:tc>
        <w:tc>
          <w:tcPr>
            <w:tcW w:w="884" w:type="dxa"/>
            <w:tcBorders>
              <w:top w:val="single" w:sz="12" w:space="0" w:color="000000"/>
              <w:left w:val="single" w:sz="12" w:space="0" w:color="000000"/>
              <w:bottom w:val="single" w:sz="12" w:space="0" w:color="000000"/>
              <w:right w:val="single" w:sz="12" w:space="0" w:color="000000"/>
            </w:tcBorders>
            <w:vAlign w:val="center"/>
          </w:tcPr>
          <w:p w14:paraId="451A3456" w14:textId="68971391" w:rsidR="00B56D50" w:rsidRDefault="001C3C42" w:rsidP="000E67B4">
            <w:pPr>
              <w:spacing w:after="0" w:line="259" w:lineRule="auto"/>
              <w:ind w:left="15" w:right="0" w:firstLine="0"/>
              <w:jc w:val="center"/>
            </w:pPr>
            <w:r>
              <w:rPr>
                <w:b/>
                <w:sz w:val="18"/>
              </w:rPr>
              <w:t>units</w:t>
            </w:r>
          </w:p>
        </w:tc>
        <w:tc>
          <w:tcPr>
            <w:tcW w:w="967" w:type="dxa"/>
            <w:tcBorders>
              <w:top w:val="single" w:sz="12" w:space="0" w:color="000000"/>
              <w:left w:val="single" w:sz="12" w:space="0" w:color="000000"/>
              <w:bottom w:val="single" w:sz="12" w:space="0" w:color="000000"/>
              <w:right w:val="single" w:sz="12" w:space="0" w:color="000000"/>
            </w:tcBorders>
            <w:vAlign w:val="center"/>
          </w:tcPr>
          <w:p w14:paraId="1956A74E" w14:textId="06D6852F" w:rsidR="00B56D50" w:rsidRDefault="001C3C42" w:rsidP="000E67B4">
            <w:pPr>
              <w:spacing w:after="0" w:line="259" w:lineRule="auto"/>
              <w:ind w:left="0" w:right="0" w:firstLine="0"/>
              <w:jc w:val="center"/>
            </w:pPr>
            <w:r>
              <w:rPr>
                <w:b/>
                <w:sz w:val="18"/>
              </w:rPr>
              <w:t>RL or Range</w:t>
            </w:r>
          </w:p>
        </w:tc>
        <w:tc>
          <w:tcPr>
            <w:tcW w:w="967" w:type="dxa"/>
            <w:tcBorders>
              <w:top w:val="single" w:sz="12" w:space="0" w:color="000000"/>
              <w:left w:val="single" w:sz="12" w:space="0" w:color="000000"/>
              <w:bottom w:val="single" w:sz="12" w:space="0" w:color="000000"/>
              <w:right w:val="single" w:sz="12" w:space="0" w:color="000000"/>
            </w:tcBorders>
            <w:vAlign w:val="center"/>
          </w:tcPr>
          <w:p w14:paraId="2C5D0991" w14:textId="6EC017F0" w:rsidR="00B56D50" w:rsidRDefault="001C3C42" w:rsidP="000E67B4">
            <w:pPr>
              <w:spacing w:after="0" w:line="259" w:lineRule="auto"/>
              <w:ind w:left="13" w:right="0" w:firstLine="0"/>
              <w:jc w:val="center"/>
            </w:pPr>
            <w:r>
              <w:rPr>
                <w:b/>
                <w:sz w:val="18"/>
              </w:rPr>
              <w:t>units</w:t>
            </w:r>
          </w:p>
        </w:tc>
        <w:tc>
          <w:tcPr>
            <w:tcW w:w="2320" w:type="dxa"/>
            <w:gridSpan w:val="2"/>
            <w:vMerge/>
            <w:tcBorders>
              <w:top w:val="nil"/>
              <w:left w:val="single" w:sz="12" w:space="0" w:color="000000"/>
              <w:bottom w:val="single" w:sz="12" w:space="0" w:color="000000"/>
              <w:right w:val="single" w:sz="12" w:space="0" w:color="000000"/>
            </w:tcBorders>
            <w:vAlign w:val="center"/>
          </w:tcPr>
          <w:p w14:paraId="0844DC4A" w14:textId="77777777" w:rsidR="00B56D50" w:rsidRDefault="00B56D50" w:rsidP="000E67B4">
            <w:pPr>
              <w:spacing w:after="160" w:line="259" w:lineRule="auto"/>
              <w:ind w:left="0" w:right="0" w:firstLine="0"/>
              <w:jc w:val="center"/>
            </w:pPr>
          </w:p>
        </w:tc>
      </w:tr>
      <w:tr w:rsidR="00A14C6A" w14:paraId="0CD87D2B" w14:textId="77777777" w:rsidTr="005B6604">
        <w:trPr>
          <w:trHeight w:val="262"/>
        </w:trPr>
        <w:tc>
          <w:tcPr>
            <w:tcW w:w="1421" w:type="dxa"/>
            <w:tcBorders>
              <w:top w:val="single" w:sz="12" w:space="0" w:color="000000"/>
              <w:left w:val="single" w:sz="12" w:space="0" w:color="000000"/>
              <w:bottom w:val="single" w:sz="4" w:space="0" w:color="000000"/>
              <w:right w:val="single" w:sz="12" w:space="0" w:color="000000"/>
            </w:tcBorders>
          </w:tcPr>
          <w:p w14:paraId="76231777" w14:textId="77777777" w:rsidR="00B56D50" w:rsidRDefault="001C3C42">
            <w:pPr>
              <w:spacing w:after="0" w:line="259" w:lineRule="auto"/>
              <w:ind w:left="24" w:right="0" w:firstLine="0"/>
              <w:jc w:val="center"/>
            </w:pPr>
            <w:r>
              <w:rPr>
                <w:sz w:val="18"/>
              </w:rPr>
              <w:t xml:space="preserve">D001 </w:t>
            </w:r>
          </w:p>
        </w:tc>
        <w:tc>
          <w:tcPr>
            <w:tcW w:w="1439" w:type="dxa"/>
            <w:tcBorders>
              <w:top w:val="single" w:sz="12" w:space="0" w:color="000000"/>
              <w:left w:val="single" w:sz="12" w:space="0" w:color="000000"/>
              <w:bottom w:val="single" w:sz="4" w:space="0" w:color="000000"/>
              <w:right w:val="single" w:sz="12" w:space="0" w:color="000000"/>
            </w:tcBorders>
          </w:tcPr>
          <w:p w14:paraId="3B4832AE" w14:textId="77777777" w:rsidR="00B56D50" w:rsidRDefault="001C3C42">
            <w:pPr>
              <w:spacing w:after="0" w:line="259" w:lineRule="auto"/>
              <w:ind w:left="21" w:right="0" w:firstLine="0"/>
              <w:jc w:val="center"/>
            </w:pPr>
            <w:r>
              <w:rPr>
                <w:sz w:val="18"/>
              </w:rPr>
              <w:t xml:space="preserve">Ignitability </w:t>
            </w:r>
          </w:p>
        </w:tc>
        <w:tc>
          <w:tcPr>
            <w:tcW w:w="1738" w:type="dxa"/>
            <w:tcBorders>
              <w:top w:val="single" w:sz="12" w:space="0" w:color="000000"/>
              <w:left w:val="single" w:sz="12" w:space="0" w:color="000000"/>
              <w:bottom w:val="single" w:sz="4" w:space="0" w:color="000000"/>
              <w:right w:val="single" w:sz="12" w:space="0" w:color="000000"/>
            </w:tcBorders>
          </w:tcPr>
          <w:p w14:paraId="5BCD2031" w14:textId="77777777" w:rsidR="00B56D50" w:rsidRDefault="001C3C42">
            <w:pPr>
              <w:spacing w:after="0" w:line="259" w:lineRule="auto"/>
              <w:ind w:left="0" w:right="0" w:firstLine="0"/>
            </w:pPr>
            <w:r>
              <w:rPr>
                <w:sz w:val="18"/>
              </w:rPr>
              <w:t xml:space="preserve">Flash Point </w:t>
            </w:r>
          </w:p>
        </w:tc>
        <w:tc>
          <w:tcPr>
            <w:tcW w:w="884" w:type="dxa"/>
            <w:tcBorders>
              <w:top w:val="single" w:sz="12" w:space="0" w:color="000000"/>
              <w:left w:val="single" w:sz="12" w:space="0" w:color="000000"/>
              <w:bottom w:val="single" w:sz="4" w:space="0" w:color="000000"/>
              <w:right w:val="single" w:sz="12" w:space="0" w:color="000000"/>
            </w:tcBorders>
          </w:tcPr>
          <w:p w14:paraId="6758CF9D" w14:textId="5A635769" w:rsidR="00B56D50" w:rsidRDefault="001C3C42" w:rsidP="003E4EAE">
            <w:pPr>
              <w:spacing w:after="0" w:line="259" w:lineRule="auto"/>
              <w:ind w:left="21" w:right="0" w:firstLine="0"/>
              <w:jc w:val="center"/>
            </w:pPr>
            <w:r>
              <w:rPr>
                <w:sz w:val="18"/>
              </w:rPr>
              <w:t>N/A</w:t>
            </w:r>
          </w:p>
        </w:tc>
        <w:tc>
          <w:tcPr>
            <w:tcW w:w="884" w:type="dxa"/>
            <w:tcBorders>
              <w:top w:val="single" w:sz="12" w:space="0" w:color="000000"/>
              <w:left w:val="single" w:sz="12" w:space="0" w:color="000000"/>
              <w:bottom w:val="single" w:sz="4" w:space="0" w:color="000000"/>
              <w:right w:val="single" w:sz="12" w:space="0" w:color="000000"/>
            </w:tcBorders>
          </w:tcPr>
          <w:p w14:paraId="5521B5BE" w14:textId="301D2F7C" w:rsidR="00B56D50" w:rsidRDefault="001C3C42" w:rsidP="003E4EAE">
            <w:pPr>
              <w:spacing w:after="0" w:line="259" w:lineRule="auto"/>
              <w:ind w:left="21" w:right="0" w:firstLine="0"/>
              <w:jc w:val="center"/>
            </w:pPr>
            <w:r>
              <w:rPr>
                <w:sz w:val="18"/>
              </w:rPr>
              <w:t>N/A</w:t>
            </w:r>
          </w:p>
        </w:tc>
        <w:tc>
          <w:tcPr>
            <w:tcW w:w="967" w:type="dxa"/>
            <w:tcBorders>
              <w:top w:val="single" w:sz="12" w:space="0" w:color="000000"/>
              <w:left w:val="single" w:sz="12" w:space="0" w:color="000000"/>
              <w:bottom w:val="single" w:sz="4" w:space="0" w:color="000000"/>
              <w:right w:val="single" w:sz="12" w:space="0" w:color="000000"/>
            </w:tcBorders>
          </w:tcPr>
          <w:p w14:paraId="09460F98" w14:textId="6AB387CE" w:rsidR="00B56D50" w:rsidRDefault="001C3C42" w:rsidP="003E4EAE">
            <w:pPr>
              <w:spacing w:after="0" w:line="259" w:lineRule="auto"/>
              <w:ind w:left="21" w:right="0" w:firstLine="0"/>
              <w:jc w:val="center"/>
            </w:pPr>
            <w:r>
              <w:rPr>
                <w:sz w:val="18"/>
              </w:rPr>
              <w:t>N/A</w:t>
            </w:r>
          </w:p>
        </w:tc>
        <w:tc>
          <w:tcPr>
            <w:tcW w:w="967" w:type="dxa"/>
            <w:tcBorders>
              <w:top w:val="single" w:sz="12" w:space="0" w:color="000000"/>
              <w:left w:val="single" w:sz="12" w:space="0" w:color="000000"/>
              <w:bottom w:val="single" w:sz="4" w:space="0" w:color="000000"/>
              <w:right w:val="single" w:sz="12" w:space="0" w:color="000000"/>
            </w:tcBorders>
          </w:tcPr>
          <w:p w14:paraId="5FD0FE54" w14:textId="046DC8ED" w:rsidR="00B56D50" w:rsidRDefault="001C3C42" w:rsidP="003E4EAE">
            <w:pPr>
              <w:spacing w:after="0" w:line="259" w:lineRule="auto"/>
              <w:ind w:left="19" w:right="0" w:firstLine="0"/>
              <w:jc w:val="center"/>
            </w:pPr>
            <w:r>
              <w:rPr>
                <w:sz w:val="18"/>
              </w:rPr>
              <w:t>Deg. F</w:t>
            </w:r>
          </w:p>
        </w:tc>
        <w:tc>
          <w:tcPr>
            <w:tcW w:w="1056" w:type="dxa"/>
            <w:tcBorders>
              <w:top w:val="single" w:sz="12" w:space="0" w:color="000000"/>
              <w:left w:val="single" w:sz="12" w:space="0" w:color="000000"/>
              <w:bottom w:val="single" w:sz="4" w:space="0" w:color="000000"/>
              <w:right w:val="single" w:sz="12" w:space="0" w:color="000000"/>
            </w:tcBorders>
          </w:tcPr>
          <w:p w14:paraId="6FB9BA9F" w14:textId="5EDF3DB8" w:rsidR="00B56D50" w:rsidRDefault="001C3C42" w:rsidP="00761791">
            <w:pPr>
              <w:spacing w:after="0" w:line="259" w:lineRule="auto"/>
              <w:ind w:left="0" w:right="0" w:firstLine="0"/>
              <w:jc w:val="center"/>
            </w:pPr>
            <w:r>
              <w:rPr>
                <w:sz w:val="18"/>
              </w:rPr>
              <w:t>1010</w:t>
            </w:r>
            <w:r w:rsidR="00071A5C">
              <w:rPr>
                <w:sz w:val="18"/>
              </w:rPr>
              <w:t>A</w:t>
            </w:r>
            <w:r w:rsidR="006F6A6C">
              <w:rPr>
                <w:sz w:val="18"/>
              </w:rPr>
              <w:t xml:space="preserve"> </w:t>
            </w:r>
            <w:r w:rsidR="0063253F" w:rsidRPr="00D14C32">
              <w:rPr>
                <w:b/>
                <w:bCs/>
                <w:sz w:val="18"/>
                <w:vertAlign w:val="superscript"/>
              </w:rPr>
              <w:t>28</w:t>
            </w:r>
          </w:p>
        </w:tc>
        <w:tc>
          <w:tcPr>
            <w:tcW w:w="1264" w:type="dxa"/>
            <w:tcBorders>
              <w:top w:val="single" w:sz="12" w:space="0" w:color="000000"/>
              <w:left w:val="single" w:sz="12" w:space="0" w:color="000000"/>
              <w:bottom w:val="single" w:sz="4" w:space="0" w:color="000000"/>
              <w:right w:val="single" w:sz="12" w:space="0" w:color="000000"/>
            </w:tcBorders>
          </w:tcPr>
          <w:p w14:paraId="43396B5C" w14:textId="173A4126" w:rsidR="00B56D50" w:rsidRDefault="001C3C42" w:rsidP="003E4EAE">
            <w:pPr>
              <w:spacing w:after="0" w:line="259" w:lineRule="auto"/>
              <w:ind w:left="0" w:right="0" w:firstLine="0"/>
              <w:jc w:val="center"/>
            </w:pPr>
            <w:r>
              <w:rPr>
                <w:sz w:val="18"/>
              </w:rPr>
              <w:t>1020</w:t>
            </w:r>
            <w:r w:rsidR="00071A5C">
              <w:rPr>
                <w:sz w:val="18"/>
              </w:rPr>
              <w:t>B</w:t>
            </w:r>
            <w:r w:rsidR="006F6A6C">
              <w:rPr>
                <w:sz w:val="18"/>
              </w:rPr>
              <w:t xml:space="preserve"> </w:t>
            </w:r>
            <w:r w:rsidR="0063253F" w:rsidRPr="00D14C32">
              <w:rPr>
                <w:b/>
                <w:bCs/>
                <w:sz w:val="18"/>
                <w:vertAlign w:val="superscript"/>
              </w:rPr>
              <w:t>28</w:t>
            </w:r>
          </w:p>
        </w:tc>
      </w:tr>
      <w:tr w:rsidR="00A14C6A" w14:paraId="783AACE5" w14:textId="77777777" w:rsidTr="005B6604">
        <w:trPr>
          <w:trHeight w:val="250"/>
        </w:trPr>
        <w:tc>
          <w:tcPr>
            <w:tcW w:w="1421" w:type="dxa"/>
            <w:tcBorders>
              <w:top w:val="single" w:sz="4" w:space="0" w:color="000000"/>
              <w:left w:val="single" w:sz="12" w:space="0" w:color="000000"/>
              <w:bottom w:val="single" w:sz="4" w:space="0" w:color="000000"/>
              <w:right w:val="single" w:sz="12" w:space="0" w:color="000000"/>
            </w:tcBorders>
          </w:tcPr>
          <w:p w14:paraId="68469ECE" w14:textId="77777777" w:rsidR="00B56D50" w:rsidRDefault="001C3C42">
            <w:pPr>
              <w:spacing w:after="0" w:line="259" w:lineRule="auto"/>
              <w:ind w:left="24" w:right="0" w:firstLine="0"/>
              <w:jc w:val="center"/>
            </w:pPr>
            <w:r>
              <w:rPr>
                <w:sz w:val="18"/>
              </w:rPr>
              <w:t xml:space="preserve">D002 </w:t>
            </w:r>
          </w:p>
        </w:tc>
        <w:tc>
          <w:tcPr>
            <w:tcW w:w="1439" w:type="dxa"/>
            <w:tcBorders>
              <w:top w:val="single" w:sz="4" w:space="0" w:color="000000"/>
              <w:left w:val="single" w:sz="12" w:space="0" w:color="000000"/>
              <w:bottom w:val="single" w:sz="4" w:space="0" w:color="000000"/>
              <w:right w:val="single" w:sz="12" w:space="0" w:color="000000"/>
            </w:tcBorders>
          </w:tcPr>
          <w:p w14:paraId="784729E9" w14:textId="77777777" w:rsidR="00B56D50" w:rsidRDefault="001C3C42">
            <w:pPr>
              <w:spacing w:after="0" w:line="259" w:lineRule="auto"/>
              <w:ind w:left="21" w:right="0" w:firstLine="0"/>
              <w:jc w:val="center"/>
            </w:pPr>
            <w:r>
              <w:rPr>
                <w:sz w:val="18"/>
              </w:rPr>
              <w:t xml:space="preserve">Corrosivity </w:t>
            </w:r>
          </w:p>
        </w:tc>
        <w:tc>
          <w:tcPr>
            <w:tcW w:w="1738" w:type="dxa"/>
            <w:tcBorders>
              <w:top w:val="single" w:sz="4" w:space="0" w:color="000000"/>
              <w:left w:val="single" w:sz="12" w:space="0" w:color="000000"/>
              <w:bottom w:val="single" w:sz="4" w:space="0" w:color="000000"/>
              <w:right w:val="single" w:sz="12" w:space="0" w:color="000000"/>
            </w:tcBorders>
          </w:tcPr>
          <w:p w14:paraId="5D1FD11F" w14:textId="77777777" w:rsidR="00B56D50" w:rsidRDefault="001C3C42">
            <w:pPr>
              <w:spacing w:after="0" w:line="259" w:lineRule="auto"/>
              <w:ind w:left="0" w:right="0" w:firstLine="0"/>
            </w:pPr>
            <w:r>
              <w:rPr>
                <w:sz w:val="18"/>
              </w:rPr>
              <w:t xml:space="preserve">pH </w:t>
            </w:r>
          </w:p>
        </w:tc>
        <w:tc>
          <w:tcPr>
            <w:tcW w:w="884" w:type="dxa"/>
            <w:tcBorders>
              <w:top w:val="single" w:sz="4" w:space="0" w:color="000000"/>
              <w:left w:val="single" w:sz="12" w:space="0" w:color="000000"/>
              <w:bottom w:val="single" w:sz="4" w:space="0" w:color="000000"/>
              <w:right w:val="single" w:sz="12" w:space="0" w:color="000000"/>
            </w:tcBorders>
          </w:tcPr>
          <w:p w14:paraId="28A6674F" w14:textId="77A6242C" w:rsidR="00B56D50" w:rsidRDefault="001C3C42" w:rsidP="003E4EAE">
            <w:pPr>
              <w:spacing w:after="0" w:line="259" w:lineRule="auto"/>
              <w:ind w:left="19" w:right="0" w:firstLine="0"/>
              <w:jc w:val="center"/>
            </w:pPr>
            <w:r>
              <w:rPr>
                <w:sz w:val="18"/>
              </w:rPr>
              <w:t>1-14</w:t>
            </w:r>
          </w:p>
        </w:tc>
        <w:tc>
          <w:tcPr>
            <w:tcW w:w="884" w:type="dxa"/>
            <w:tcBorders>
              <w:top w:val="single" w:sz="4" w:space="0" w:color="000000"/>
              <w:left w:val="single" w:sz="12" w:space="0" w:color="000000"/>
              <w:bottom w:val="single" w:sz="4" w:space="0" w:color="000000"/>
              <w:right w:val="single" w:sz="12" w:space="0" w:color="000000"/>
            </w:tcBorders>
          </w:tcPr>
          <w:p w14:paraId="12D5FB66" w14:textId="3BC6A4C5" w:rsidR="00B56D50" w:rsidRDefault="001C3C42" w:rsidP="003E4EAE">
            <w:pPr>
              <w:spacing w:after="0" w:line="259" w:lineRule="auto"/>
              <w:ind w:left="70" w:right="0" w:firstLine="0"/>
              <w:jc w:val="center"/>
            </w:pPr>
            <w:r>
              <w:rPr>
                <w:sz w:val="18"/>
              </w:rPr>
              <w:t>pH units</w:t>
            </w:r>
          </w:p>
        </w:tc>
        <w:tc>
          <w:tcPr>
            <w:tcW w:w="967" w:type="dxa"/>
            <w:tcBorders>
              <w:top w:val="single" w:sz="4" w:space="0" w:color="000000"/>
              <w:left w:val="single" w:sz="12" w:space="0" w:color="000000"/>
              <w:bottom w:val="single" w:sz="4" w:space="0" w:color="000000"/>
              <w:right w:val="single" w:sz="12" w:space="0" w:color="000000"/>
            </w:tcBorders>
          </w:tcPr>
          <w:p w14:paraId="361A2649" w14:textId="4EABEBE9" w:rsidR="00B56D50" w:rsidRDefault="001C3C42" w:rsidP="003E4EAE">
            <w:pPr>
              <w:spacing w:after="0" w:line="259" w:lineRule="auto"/>
              <w:ind w:left="19" w:right="0" w:firstLine="0"/>
              <w:jc w:val="center"/>
            </w:pPr>
            <w:r>
              <w:rPr>
                <w:sz w:val="18"/>
              </w:rPr>
              <w:t>1-14</w:t>
            </w:r>
          </w:p>
        </w:tc>
        <w:tc>
          <w:tcPr>
            <w:tcW w:w="967" w:type="dxa"/>
            <w:tcBorders>
              <w:top w:val="single" w:sz="4" w:space="0" w:color="000000"/>
              <w:left w:val="single" w:sz="12" w:space="0" w:color="000000"/>
              <w:bottom w:val="single" w:sz="4" w:space="0" w:color="000000"/>
              <w:right w:val="single" w:sz="12" w:space="0" w:color="000000"/>
            </w:tcBorders>
          </w:tcPr>
          <w:p w14:paraId="243B9B22" w14:textId="34863B63" w:rsidR="00B56D50" w:rsidRDefault="001C3C42" w:rsidP="003E4EAE">
            <w:pPr>
              <w:spacing w:after="0" w:line="259" w:lineRule="auto"/>
              <w:ind w:left="22" w:right="0" w:firstLine="0"/>
              <w:jc w:val="center"/>
            </w:pPr>
            <w:r>
              <w:rPr>
                <w:sz w:val="18"/>
              </w:rPr>
              <w:t>pH units</w:t>
            </w:r>
          </w:p>
        </w:tc>
        <w:tc>
          <w:tcPr>
            <w:tcW w:w="1056" w:type="dxa"/>
            <w:tcBorders>
              <w:top w:val="single" w:sz="4" w:space="0" w:color="000000"/>
              <w:left w:val="single" w:sz="12" w:space="0" w:color="000000"/>
              <w:bottom w:val="single" w:sz="4" w:space="0" w:color="000000"/>
              <w:right w:val="single" w:sz="12" w:space="0" w:color="000000"/>
            </w:tcBorders>
          </w:tcPr>
          <w:p w14:paraId="1DBB2E50" w14:textId="268DA727" w:rsidR="00B56D50" w:rsidRDefault="001C3C42" w:rsidP="00761791">
            <w:pPr>
              <w:spacing w:after="0" w:line="259" w:lineRule="auto"/>
              <w:ind w:left="0" w:right="0" w:firstLine="0"/>
              <w:jc w:val="center"/>
            </w:pPr>
            <w:r>
              <w:rPr>
                <w:sz w:val="18"/>
              </w:rPr>
              <w:t>9040</w:t>
            </w:r>
            <w:r w:rsidR="00071A5C">
              <w:rPr>
                <w:sz w:val="18"/>
              </w:rPr>
              <w:t>C</w:t>
            </w:r>
            <w:r w:rsidR="006F6A6C">
              <w:rPr>
                <w:sz w:val="18"/>
              </w:rPr>
              <w:t xml:space="preserve"> </w:t>
            </w:r>
            <w:r w:rsidR="0063253F" w:rsidRPr="00D14C32">
              <w:rPr>
                <w:b/>
                <w:bCs/>
                <w:sz w:val="18"/>
                <w:vertAlign w:val="superscript"/>
              </w:rPr>
              <w:t>28</w:t>
            </w:r>
          </w:p>
        </w:tc>
        <w:tc>
          <w:tcPr>
            <w:tcW w:w="1264" w:type="dxa"/>
            <w:tcBorders>
              <w:top w:val="single" w:sz="4" w:space="0" w:color="000000"/>
              <w:left w:val="single" w:sz="12" w:space="0" w:color="000000"/>
              <w:bottom w:val="single" w:sz="4" w:space="0" w:color="000000"/>
              <w:right w:val="single" w:sz="12" w:space="0" w:color="000000"/>
            </w:tcBorders>
          </w:tcPr>
          <w:p w14:paraId="30EC6710" w14:textId="1A2C5F46" w:rsidR="00B56D50" w:rsidRDefault="001C3C42" w:rsidP="003E4EAE">
            <w:pPr>
              <w:spacing w:after="0" w:line="259" w:lineRule="auto"/>
              <w:ind w:left="0" w:right="0" w:firstLine="0"/>
              <w:jc w:val="center"/>
            </w:pPr>
            <w:r>
              <w:rPr>
                <w:sz w:val="18"/>
              </w:rPr>
              <w:t>9045</w:t>
            </w:r>
            <w:r w:rsidR="00071A5C">
              <w:rPr>
                <w:sz w:val="18"/>
              </w:rPr>
              <w:t>D</w:t>
            </w:r>
            <w:r w:rsidR="006F6A6C">
              <w:rPr>
                <w:sz w:val="18"/>
              </w:rPr>
              <w:t xml:space="preserve"> </w:t>
            </w:r>
            <w:r w:rsidR="0063253F" w:rsidRPr="00D14C32">
              <w:rPr>
                <w:b/>
                <w:bCs/>
                <w:sz w:val="18"/>
                <w:vertAlign w:val="superscript"/>
              </w:rPr>
              <w:t>28</w:t>
            </w:r>
          </w:p>
        </w:tc>
      </w:tr>
      <w:tr w:rsidR="00A14C6A" w14:paraId="7A8CC0CE" w14:textId="77777777" w:rsidTr="005B6604">
        <w:trPr>
          <w:trHeight w:val="250"/>
        </w:trPr>
        <w:tc>
          <w:tcPr>
            <w:tcW w:w="1421" w:type="dxa"/>
            <w:tcBorders>
              <w:top w:val="single" w:sz="4" w:space="0" w:color="000000"/>
              <w:left w:val="single" w:sz="12" w:space="0" w:color="000000"/>
              <w:bottom w:val="single" w:sz="4" w:space="0" w:color="000000"/>
              <w:right w:val="single" w:sz="12" w:space="0" w:color="000000"/>
            </w:tcBorders>
          </w:tcPr>
          <w:p w14:paraId="7E07D675" w14:textId="77777777" w:rsidR="00B56D50" w:rsidRDefault="001C3C42">
            <w:pPr>
              <w:spacing w:after="0" w:line="259" w:lineRule="auto"/>
              <w:ind w:left="24" w:right="0" w:firstLine="0"/>
              <w:jc w:val="center"/>
            </w:pPr>
            <w:r>
              <w:rPr>
                <w:sz w:val="18"/>
              </w:rPr>
              <w:t xml:space="preserve">D002 </w:t>
            </w:r>
          </w:p>
        </w:tc>
        <w:tc>
          <w:tcPr>
            <w:tcW w:w="1439" w:type="dxa"/>
            <w:tcBorders>
              <w:top w:val="single" w:sz="4" w:space="0" w:color="000000"/>
              <w:left w:val="single" w:sz="12" w:space="0" w:color="000000"/>
              <w:bottom w:val="single" w:sz="4" w:space="0" w:color="000000"/>
              <w:right w:val="single" w:sz="12" w:space="0" w:color="000000"/>
            </w:tcBorders>
          </w:tcPr>
          <w:p w14:paraId="0DBB3DB8" w14:textId="77777777" w:rsidR="00B56D50" w:rsidRDefault="001C3C42">
            <w:pPr>
              <w:spacing w:after="0" w:line="259" w:lineRule="auto"/>
              <w:ind w:left="21" w:right="0" w:firstLine="0"/>
              <w:jc w:val="center"/>
            </w:pPr>
            <w:r>
              <w:rPr>
                <w:sz w:val="18"/>
              </w:rPr>
              <w:t xml:space="preserve">Corrosivity </w:t>
            </w:r>
          </w:p>
        </w:tc>
        <w:tc>
          <w:tcPr>
            <w:tcW w:w="1738" w:type="dxa"/>
            <w:tcBorders>
              <w:top w:val="single" w:sz="4" w:space="0" w:color="000000"/>
              <w:left w:val="single" w:sz="12" w:space="0" w:color="000000"/>
              <w:bottom w:val="single" w:sz="4" w:space="0" w:color="000000"/>
              <w:right w:val="single" w:sz="12" w:space="0" w:color="000000"/>
            </w:tcBorders>
          </w:tcPr>
          <w:p w14:paraId="633B6F05" w14:textId="77777777" w:rsidR="00B56D50" w:rsidRDefault="001C3C42">
            <w:pPr>
              <w:spacing w:after="0" w:line="259" w:lineRule="auto"/>
              <w:ind w:left="0" w:right="0" w:firstLine="0"/>
            </w:pPr>
            <w:r>
              <w:rPr>
                <w:sz w:val="18"/>
              </w:rPr>
              <w:t xml:space="preserve">Corrosivity to Steel </w:t>
            </w:r>
          </w:p>
        </w:tc>
        <w:tc>
          <w:tcPr>
            <w:tcW w:w="884" w:type="dxa"/>
            <w:tcBorders>
              <w:top w:val="single" w:sz="4" w:space="0" w:color="000000"/>
              <w:left w:val="single" w:sz="12" w:space="0" w:color="000000"/>
              <w:bottom w:val="single" w:sz="4" w:space="0" w:color="000000"/>
              <w:right w:val="single" w:sz="12" w:space="0" w:color="000000"/>
            </w:tcBorders>
          </w:tcPr>
          <w:p w14:paraId="7A1EEEFA" w14:textId="53D0BDB4" w:rsidR="00B56D50" w:rsidRDefault="001C3C42" w:rsidP="003E4EAE">
            <w:pPr>
              <w:spacing w:after="0" w:line="259" w:lineRule="auto"/>
              <w:ind w:left="21" w:right="0" w:firstLine="0"/>
              <w:jc w:val="center"/>
            </w:pPr>
            <w:r>
              <w:rPr>
                <w:sz w:val="18"/>
              </w:rPr>
              <w:t>N/A</w:t>
            </w:r>
          </w:p>
        </w:tc>
        <w:tc>
          <w:tcPr>
            <w:tcW w:w="884" w:type="dxa"/>
            <w:tcBorders>
              <w:top w:val="single" w:sz="4" w:space="0" w:color="000000"/>
              <w:left w:val="single" w:sz="12" w:space="0" w:color="000000"/>
              <w:bottom w:val="single" w:sz="4" w:space="0" w:color="000000"/>
              <w:right w:val="single" w:sz="12" w:space="0" w:color="000000"/>
            </w:tcBorders>
          </w:tcPr>
          <w:p w14:paraId="0FC2D6B2" w14:textId="0A0A89A5" w:rsidR="00B56D50" w:rsidRDefault="001C3C42" w:rsidP="003E4EAE">
            <w:pPr>
              <w:spacing w:after="0" w:line="259" w:lineRule="auto"/>
              <w:ind w:left="17" w:right="0" w:firstLine="0"/>
              <w:jc w:val="center"/>
            </w:pPr>
            <w:proofErr w:type="gramStart"/>
            <w:r>
              <w:rPr>
                <w:sz w:val="18"/>
              </w:rPr>
              <w:t>mm</w:t>
            </w:r>
            <w:proofErr w:type="gramEnd"/>
            <w:r>
              <w:rPr>
                <w:sz w:val="18"/>
              </w:rPr>
              <w:t>/yr</w:t>
            </w:r>
          </w:p>
        </w:tc>
        <w:tc>
          <w:tcPr>
            <w:tcW w:w="967" w:type="dxa"/>
            <w:tcBorders>
              <w:top w:val="single" w:sz="4" w:space="0" w:color="000000"/>
              <w:left w:val="single" w:sz="12" w:space="0" w:color="000000"/>
              <w:bottom w:val="single" w:sz="4" w:space="0" w:color="000000"/>
              <w:right w:val="single" w:sz="12" w:space="0" w:color="000000"/>
            </w:tcBorders>
          </w:tcPr>
          <w:p w14:paraId="40B33777" w14:textId="514F3DF5" w:rsidR="00B56D50" w:rsidRDefault="001C3C42" w:rsidP="003E4EAE">
            <w:pPr>
              <w:spacing w:after="0" w:line="259" w:lineRule="auto"/>
              <w:ind w:left="21" w:right="0" w:firstLine="0"/>
              <w:jc w:val="center"/>
            </w:pPr>
            <w:r>
              <w:rPr>
                <w:sz w:val="18"/>
              </w:rPr>
              <w:t>N/A</w:t>
            </w:r>
          </w:p>
        </w:tc>
        <w:tc>
          <w:tcPr>
            <w:tcW w:w="967" w:type="dxa"/>
            <w:tcBorders>
              <w:top w:val="single" w:sz="4" w:space="0" w:color="000000"/>
              <w:left w:val="single" w:sz="12" w:space="0" w:color="000000"/>
              <w:bottom w:val="single" w:sz="4" w:space="0" w:color="000000"/>
              <w:right w:val="single" w:sz="12" w:space="0" w:color="000000"/>
            </w:tcBorders>
          </w:tcPr>
          <w:p w14:paraId="3663B10A" w14:textId="6808B0A0" w:rsidR="00B56D50" w:rsidRDefault="001C3C42" w:rsidP="003E4EAE">
            <w:pPr>
              <w:spacing w:after="0" w:line="259" w:lineRule="auto"/>
              <w:ind w:left="19" w:right="0" w:firstLine="0"/>
              <w:jc w:val="center"/>
            </w:pPr>
            <w:proofErr w:type="gramStart"/>
            <w:r>
              <w:rPr>
                <w:sz w:val="18"/>
              </w:rPr>
              <w:t>mm</w:t>
            </w:r>
            <w:proofErr w:type="gramEnd"/>
            <w:r>
              <w:rPr>
                <w:sz w:val="18"/>
              </w:rPr>
              <w:t>/yr</w:t>
            </w:r>
          </w:p>
        </w:tc>
        <w:tc>
          <w:tcPr>
            <w:tcW w:w="1056" w:type="dxa"/>
            <w:tcBorders>
              <w:top w:val="single" w:sz="4" w:space="0" w:color="000000"/>
              <w:left w:val="single" w:sz="12" w:space="0" w:color="000000"/>
              <w:bottom w:val="single" w:sz="4" w:space="0" w:color="000000"/>
              <w:right w:val="single" w:sz="12" w:space="0" w:color="000000"/>
            </w:tcBorders>
          </w:tcPr>
          <w:p w14:paraId="298B9A2F" w14:textId="4D3CAA8B" w:rsidR="00B56D50" w:rsidRDefault="001C3C42" w:rsidP="00761791">
            <w:pPr>
              <w:spacing w:after="0" w:line="259" w:lineRule="auto"/>
              <w:ind w:left="0" w:right="0" w:firstLine="0"/>
              <w:jc w:val="center"/>
            </w:pPr>
            <w:r>
              <w:rPr>
                <w:sz w:val="18"/>
              </w:rPr>
              <w:t>1110</w:t>
            </w:r>
            <w:r w:rsidR="0085275E">
              <w:rPr>
                <w:sz w:val="18"/>
              </w:rPr>
              <w:t>A</w:t>
            </w:r>
            <w:r w:rsidR="006F6A6C">
              <w:rPr>
                <w:sz w:val="18"/>
              </w:rPr>
              <w:t xml:space="preserve"> </w:t>
            </w:r>
            <w:r w:rsidR="0063253F" w:rsidRPr="00D14C32">
              <w:rPr>
                <w:b/>
                <w:bCs/>
                <w:sz w:val="18"/>
                <w:vertAlign w:val="superscript"/>
              </w:rPr>
              <w:t>28</w:t>
            </w:r>
          </w:p>
        </w:tc>
        <w:tc>
          <w:tcPr>
            <w:tcW w:w="1264" w:type="dxa"/>
            <w:tcBorders>
              <w:top w:val="single" w:sz="4" w:space="0" w:color="000000"/>
              <w:left w:val="single" w:sz="12" w:space="0" w:color="000000"/>
              <w:bottom w:val="single" w:sz="4" w:space="0" w:color="000000"/>
              <w:right w:val="single" w:sz="12" w:space="0" w:color="000000"/>
            </w:tcBorders>
          </w:tcPr>
          <w:p w14:paraId="6BA6D6D6" w14:textId="5A360EEA" w:rsidR="00B56D50" w:rsidRDefault="00B56D50" w:rsidP="003E4EAE">
            <w:pPr>
              <w:spacing w:after="0" w:line="259" w:lineRule="auto"/>
              <w:ind w:left="0" w:right="0" w:firstLine="0"/>
              <w:jc w:val="center"/>
            </w:pPr>
          </w:p>
        </w:tc>
      </w:tr>
      <w:tr w:rsidR="00A14C6A" w14:paraId="6D81326B" w14:textId="77777777" w:rsidTr="005B6604">
        <w:trPr>
          <w:trHeight w:val="250"/>
        </w:trPr>
        <w:tc>
          <w:tcPr>
            <w:tcW w:w="1421" w:type="dxa"/>
            <w:tcBorders>
              <w:top w:val="single" w:sz="4" w:space="0" w:color="000000"/>
              <w:left w:val="single" w:sz="12" w:space="0" w:color="000000"/>
              <w:bottom w:val="single" w:sz="4" w:space="0" w:color="000000"/>
              <w:right w:val="single" w:sz="12" w:space="0" w:color="000000"/>
            </w:tcBorders>
          </w:tcPr>
          <w:p w14:paraId="04CDA2CA" w14:textId="77777777" w:rsidR="006A472D" w:rsidRDefault="006A472D">
            <w:pPr>
              <w:spacing w:after="0" w:line="259" w:lineRule="auto"/>
              <w:ind w:left="24" w:right="0" w:firstLine="0"/>
              <w:jc w:val="center"/>
            </w:pPr>
            <w:r>
              <w:rPr>
                <w:sz w:val="18"/>
              </w:rPr>
              <w:t xml:space="preserve">D003 </w:t>
            </w:r>
          </w:p>
        </w:tc>
        <w:tc>
          <w:tcPr>
            <w:tcW w:w="1439" w:type="dxa"/>
            <w:tcBorders>
              <w:top w:val="single" w:sz="4" w:space="0" w:color="000000"/>
              <w:left w:val="single" w:sz="12" w:space="0" w:color="000000"/>
              <w:bottom w:val="single" w:sz="4" w:space="0" w:color="000000"/>
              <w:right w:val="single" w:sz="12" w:space="0" w:color="000000"/>
            </w:tcBorders>
          </w:tcPr>
          <w:p w14:paraId="5FEACDE9" w14:textId="77777777" w:rsidR="006A472D" w:rsidRDefault="006A472D">
            <w:pPr>
              <w:spacing w:after="0" w:line="259" w:lineRule="auto"/>
              <w:ind w:left="21" w:right="0" w:firstLine="0"/>
              <w:jc w:val="center"/>
            </w:pPr>
            <w:r>
              <w:rPr>
                <w:sz w:val="18"/>
              </w:rPr>
              <w:t xml:space="preserve">Reactivity </w:t>
            </w:r>
          </w:p>
        </w:tc>
        <w:tc>
          <w:tcPr>
            <w:tcW w:w="1738" w:type="dxa"/>
            <w:tcBorders>
              <w:top w:val="single" w:sz="4" w:space="0" w:color="000000"/>
              <w:left w:val="single" w:sz="12" w:space="0" w:color="000000"/>
              <w:bottom w:val="single" w:sz="4" w:space="0" w:color="000000"/>
              <w:right w:val="single" w:sz="12" w:space="0" w:color="000000"/>
            </w:tcBorders>
          </w:tcPr>
          <w:p w14:paraId="4DEA5C21" w14:textId="77777777" w:rsidR="006A472D" w:rsidRDefault="006A472D">
            <w:pPr>
              <w:spacing w:after="0" w:line="259" w:lineRule="auto"/>
              <w:ind w:left="0" w:right="0" w:firstLine="0"/>
            </w:pPr>
            <w:r>
              <w:rPr>
                <w:sz w:val="18"/>
              </w:rPr>
              <w:t xml:space="preserve">Reactive Cyanide </w:t>
            </w:r>
          </w:p>
        </w:tc>
        <w:tc>
          <w:tcPr>
            <w:tcW w:w="884" w:type="dxa"/>
            <w:tcBorders>
              <w:top w:val="single" w:sz="4" w:space="0" w:color="000000"/>
              <w:left w:val="single" w:sz="12" w:space="0" w:color="000000"/>
              <w:bottom w:val="single" w:sz="4" w:space="0" w:color="000000"/>
              <w:right w:val="single" w:sz="12" w:space="0" w:color="000000"/>
            </w:tcBorders>
          </w:tcPr>
          <w:p w14:paraId="32DD3AD3" w14:textId="66E713E0" w:rsidR="006A472D" w:rsidRDefault="006A472D" w:rsidP="003E4EAE">
            <w:pPr>
              <w:spacing w:after="0" w:line="259" w:lineRule="auto"/>
              <w:ind w:left="20" w:right="0" w:firstLine="0"/>
              <w:jc w:val="center"/>
            </w:pPr>
            <w:r>
              <w:rPr>
                <w:sz w:val="18"/>
              </w:rPr>
              <w:t>N/A</w:t>
            </w:r>
          </w:p>
        </w:tc>
        <w:tc>
          <w:tcPr>
            <w:tcW w:w="884" w:type="dxa"/>
            <w:tcBorders>
              <w:top w:val="single" w:sz="4" w:space="0" w:color="000000"/>
              <w:left w:val="single" w:sz="12" w:space="0" w:color="000000"/>
              <w:bottom w:val="single" w:sz="4" w:space="0" w:color="000000"/>
              <w:right w:val="single" w:sz="12" w:space="0" w:color="000000"/>
            </w:tcBorders>
          </w:tcPr>
          <w:p w14:paraId="6C268C83" w14:textId="49F275A8" w:rsidR="006A472D" w:rsidRDefault="006A472D" w:rsidP="003E4EAE">
            <w:pPr>
              <w:spacing w:after="0" w:line="259" w:lineRule="auto"/>
              <w:ind w:left="19" w:right="0" w:firstLine="0"/>
              <w:jc w:val="center"/>
            </w:pPr>
            <w:r>
              <w:rPr>
                <w:sz w:val="18"/>
              </w:rPr>
              <w:t>N/A</w:t>
            </w:r>
          </w:p>
        </w:tc>
        <w:tc>
          <w:tcPr>
            <w:tcW w:w="967" w:type="dxa"/>
            <w:tcBorders>
              <w:top w:val="single" w:sz="4" w:space="0" w:color="000000"/>
              <w:left w:val="single" w:sz="12" w:space="0" w:color="000000"/>
              <w:bottom w:val="single" w:sz="4" w:space="0" w:color="000000"/>
              <w:right w:val="single" w:sz="12" w:space="0" w:color="000000"/>
            </w:tcBorders>
          </w:tcPr>
          <w:p w14:paraId="1DE971F5" w14:textId="75987C7A" w:rsidR="006A472D" w:rsidRDefault="006A472D" w:rsidP="003E4EAE">
            <w:pPr>
              <w:spacing w:after="0" w:line="259" w:lineRule="auto"/>
              <w:ind w:left="20" w:right="0" w:firstLine="0"/>
              <w:jc w:val="center"/>
            </w:pPr>
            <w:r>
              <w:rPr>
                <w:sz w:val="18"/>
              </w:rPr>
              <w:t>N/A</w:t>
            </w:r>
          </w:p>
        </w:tc>
        <w:tc>
          <w:tcPr>
            <w:tcW w:w="967" w:type="dxa"/>
            <w:tcBorders>
              <w:top w:val="single" w:sz="4" w:space="0" w:color="000000"/>
              <w:left w:val="single" w:sz="12" w:space="0" w:color="000000"/>
              <w:bottom w:val="single" w:sz="4" w:space="0" w:color="000000"/>
              <w:right w:val="single" w:sz="12" w:space="0" w:color="000000"/>
            </w:tcBorders>
          </w:tcPr>
          <w:p w14:paraId="1FC57AEE" w14:textId="75EC5B57" w:rsidR="006A472D" w:rsidRDefault="006A472D" w:rsidP="003E4EAE">
            <w:pPr>
              <w:spacing w:after="0" w:line="259" w:lineRule="auto"/>
              <w:ind w:left="18" w:right="0" w:firstLine="0"/>
              <w:jc w:val="center"/>
            </w:pPr>
            <w:r>
              <w:rPr>
                <w:sz w:val="18"/>
              </w:rPr>
              <w:t>N/A</w:t>
            </w:r>
          </w:p>
        </w:tc>
        <w:tc>
          <w:tcPr>
            <w:tcW w:w="1056" w:type="dxa"/>
            <w:tcBorders>
              <w:top w:val="single" w:sz="4" w:space="0" w:color="000000"/>
              <w:left w:val="single" w:sz="12" w:space="0" w:color="000000"/>
              <w:bottom w:val="single" w:sz="4" w:space="0" w:color="000000"/>
              <w:right w:val="single" w:sz="12" w:space="0" w:color="000000"/>
            </w:tcBorders>
          </w:tcPr>
          <w:p w14:paraId="1359BDF3" w14:textId="249B1E22" w:rsidR="006A472D" w:rsidRDefault="006A472D" w:rsidP="0063746D">
            <w:pPr>
              <w:spacing w:after="0" w:line="259" w:lineRule="auto"/>
              <w:ind w:left="0" w:right="0" w:firstLine="0"/>
              <w:jc w:val="center"/>
            </w:pPr>
            <w:r>
              <w:rPr>
                <w:sz w:val="18"/>
              </w:rPr>
              <w:t>7.3.1</w:t>
            </w:r>
            <w:r w:rsidR="006F6A6C">
              <w:rPr>
                <w:sz w:val="18"/>
              </w:rPr>
              <w:t xml:space="preserve"> </w:t>
            </w:r>
            <w:r w:rsidRPr="00D14C32">
              <w:rPr>
                <w:b/>
                <w:bCs/>
                <w:sz w:val="18"/>
                <w:vertAlign w:val="superscript"/>
              </w:rPr>
              <w:t>29</w:t>
            </w:r>
          </w:p>
        </w:tc>
        <w:tc>
          <w:tcPr>
            <w:tcW w:w="1264" w:type="dxa"/>
            <w:tcBorders>
              <w:top w:val="single" w:sz="4" w:space="0" w:color="000000"/>
              <w:left w:val="single" w:sz="12" w:space="0" w:color="000000"/>
              <w:bottom w:val="single" w:sz="4" w:space="0" w:color="000000"/>
              <w:right w:val="single" w:sz="12" w:space="0" w:color="000000"/>
            </w:tcBorders>
          </w:tcPr>
          <w:p w14:paraId="7609B567" w14:textId="322011DB" w:rsidR="006A472D" w:rsidRDefault="006A472D" w:rsidP="003E4EAE">
            <w:pPr>
              <w:spacing w:after="0" w:line="259" w:lineRule="auto"/>
              <w:ind w:left="-74" w:right="-277" w:firstLine="0"/>
              <w:jc w:val="center"/>
            </w:pPr>
          </w:p>
        </w:tc>
      </w:tr>
      <w:tr w:rsidR="00A14C6A" w14:paraId="102E3872" w14:textId="77777777" w:rsidTr="005B6604">
        <w:trPr>
          <w:trHeight w:val="259"/>
        </w:trPr>
        <w:tc>
          <w:tcPr>
            <w:tcW w:w="1421" w:type="dxa"/>
            <w:tcBorders>
              <w:top w:val="single" w:sz="4" w:space="0" w:color="000000"/>
              <w:left w:val="single" w:sz="12" w:space="0" w:color="000000"/>
              <w:bottom w:val="single" w:sz="12" w:space="0" w:color="000000"/>
              <w:right w:val="single" w:sz="12" w:space="0" w:color="000000"/>
            </w:tcBorders>
          </w:tcPr>
          <w:p w14:paraId="10781268" w14:textId="77777777" w:rsidR="00A263F7" w:rsidRDefault="00A263F7">
            <w:pPr>
              <w:spacing w:after="0" w:line="259" w:lineRule="auto"/>
              <w:ind w:left="24" w:right="0" w:firstLine="0"/>
              <w:jc w:val="center"/>
            </w:pPr>
            <w:r>
              <w:rPr>
                <w:sz w:val="18"/>
              </w:rPr>
              <w:t xml:space="preserve">D003 </w:t>
            </w:r>
          </w:p>
        </w:tc>
        <w:tc>
          <w:tcPr>
            <w:tcW w:w="1439" w:type="dxa"/>
            <w:tcBorders>
              <w:top w:val="single" w:sz="4" w:space="0" w:color="000000"/>
              <w:left w:val="single" w:sz="12" w:space="0" w:color="000000"/>
              <w:bottom w:val="single" w:sz="12" w:space="0" w:color="000000"/>
              <w:right w:val="single" w:sz="12" w:space="0" w:color="000000"/>
            </w:tcBorders>
          </w:tcPr>
          <w:p w14:paraId="6966EA08" w14:textId="77777777" w:rsidR="00A263F7" w:rsidRDefault="00A263F7">
            <w:pPr>
              <w:spacing w:after="0" w:line="259" w:lineRule="auto"/>
              <w:ind w:left="21" w:right="0" w:firstLine="0"/>
              <w:jc w:val="center"/>
            </w:pPr>
            <w:r>
              <w:rPr>
                <w:sz w:val="18"/>
              </w:rPr>
              <w:t xml:space="preserve">Reactivity </w:t>
            </w:r>
          </w:p>
        </w:tc>
        <w:tc>
          <w:tcPr>
            <w:tcW w:w="1738" w:type="dxa"/>
            <w:tcBorders>
              <w:top w:val="single" w:sz="4" w:space="0" w:color="000000"/>
              <w:left w:val="single" w:sz="12" w:space="0" w:color="000000"/>
              <w:bottom w:val="single" w:sz="12" w:space="0" w:color="000000"/>
              <w:right w:val="single" w:sz="12" w:space="0" w:color="000000"/>
            </w:tcBorders>
          </w:tcPr>
          <w:p w14:paraId="2C2D3556" w14:textId="77777777" w:rsidR="00A263F7" w:rsidRDefault="00A263F7">
            <w:pPr>
              <w:spacing w:after="0" w:line="259" w:lineRule="auto"/>
              <w:ind w:left="0" w:right="0" w:firstLine="0"/>
            </w:pPr>
            <w:r>
              <w:rPr>
                <w:sz w:val="18"/>
              </w:rPr>
              <w:t xml:space="preserve">Reactive Sulfide </w:t>
            </w:r>
          </w:p>
        </w:tc>
        <w:tc>
          <w:tcPr>
            <w:tcW w:w="884" w:type="dxa"/>
            <w:tcBorders>
              <w:top w:val="single" w:sz="4" w:space="0" w:color="000000"/>
              <w:left w:val="single" w:sz="12" w:space="0" w:color="000000"/>
              <w:bottom w:val="single" w:sz="12" w:space="0" w:color="000000"/>
              <w:right w:val="single" w:sz="12" w:space="0" w:color="000000"/>
            </w:tcBorders>
          </w:tcPr>
          <w:p w14:paraId="5D63E474" w14:textId="47D13BF4" w:rsidR="00A263F7" w:rsidRDefault="00A263F7" w:rsidP="003E4EAE">
            <w:pPr>
              <w:spacing w:after="0" w:line="259" w:lineRule="auto"/>
              <w:ind w:left="20" w:right="0" w:firstLine="0"/>
              <w:jc w:val="center"/>
            </w:pPr>
            <w:r>
              <w:rPr>
                <w:sz w:val="18"/>
              </w:rPr>
              <w:t>N/A</w:t>
            </w:r>
          </w:p>
        </w:tc>
        <w:tc>
          <w:tcPr>
            <w:tcW w:w="884" w:type="dxa"/>
            <w:tcBorders>
              <w:top w:val="single" w:sz="4" w:space="0" w:color="000000"/>
              <w:left w:val="single" w:sz="12" w:space="0" w:color="000000"/>
              <w:bottom w:val="single" w:sz="12" w:space="0" w:color="000000"/>
              <w:right w:val="single" w:sz="12" w:space="0" w:color="000000"/>
            </w:tcBorders>
          </w:tcPr>
          <w:p w14:paraId="5C402987" w14:textId="40F5C852" w:rsidR="00A263F7" w:rsidRDefault="00A263F7" w:rsidP="003E4EAE">
            <w:pPr>
              <w:spacing w:after="0" w:line="259" w:lineRule="auto"/>
              <w:ind w:left="19" w:right="0" w:firstLine="0"/>
              <w:jc w:val="center"/>
            </w:pPr>
            <w:r>
              <w:rPr>
                <w:sz w:val="18"/>
              </w:rPr>
              <w:t>N/A</w:t>
            </w:r>
          </w:p>
        </w:tc>
        <w:tc>
          <w:tcPr>
            <w:tcW w:w="967" w:type="dxa"/>
            <w:tcBorders>
              <w:top w:val="single" w:sz="4" w:space="0" w:color="000000"/>
              <w:left w:val="single" w:sz="12" w:space="0" w:color="000000"/>
              <w:bottom w:val="single" w:sz="12" w:space="0" w:color="000000"/>
              <w:right w:val="single" w:sz="12" w:space="0" w:color="000000"/>
            </w:tcBorders>
          </w:tcPr>
          <w:p w14:paraId="248615C2" w14:textId="3012D2F9" w:rsidR="00A263F7" w:rsidRDefault="00A263F7" w:rsidP="003E4EAE">
            <w:pPr>
              <w:spacing w:after="0" w:line="259" w:lineRule="auto"/>
              <w:ind w:left="22" w:right="0" w:firstLine="0"/>
              <w:jc w:val="center"/>
            </w:pPr>
            <w:r>
              <w:rPr>
                <w:sz w:val="18"/>
              </w:rPr>
              <w:t>N/A</w:t>
            </w:r>
          </w:p>
        </w:tc>
        <w:tc>
          <w:tcPr>
            <w:tcW w:w="967" w:type="dxa"/>
            <w:tcBorders>
              <w:top w:val="single" w:sz="4" w:space="0" w:color="000000"/>
              <w:left w:val="single" w:sz="12" w:space="0" w:color="000000"/>
              <w:bottom w:val="single" w:sz="12" w:space="0" w:color="000000"/>
              <w:right w:val="single" w:sz="12" w:space="0" w:color="000000"/>
            </w:tcBorders>
          </w:tcPr>
          <w:p w14:paraId="46FD74AA" w14:textId="5D34647C" w:rsidR="00A263F7" w:rsidRDefault="00A263F7" w:rsidP="003E4EAE">
            <w:pPr>
              <w:spacing w:after="0" w:line="259" w:lineRule="auto"/>
              <w:ind w:left="18" w:right="0" w:firstLine="0"/>
              <w:jc w:val="center"/>
            </w:pPr>
            <w:r>
              <w:rPr>
                <w:sz w:val="18"/>
              </w:rPr>
              <w:t>N/A</w:t>
            </w:r>
          </w:p>
        </w:tc>
        <w:tc>
          <w:tcPr>
            <w:tcW w:w="1056" w:type="dxa"/>
            <w:tcBorders>
              <w:top w:val="single" w:sz="4" w:space="0" w:color="000000"/>
              <w:left w:val="single" w:sz="12" w:space="0" w:color="000000"/>
              <w:bottom w:val="single" w:sz="12" w:space="0" w:color="000000"/>
              <w:right w:val="single" w:sz="12" w:space="0" w:color="000000"/>
            </w:tcBorders>
          </w:tcPr>
          <w:p w14:paraId="450A61FD" w14:textId="207805B9" w:rsidR="00A263F7" w:rsidRDefault="00A263F7" w:rsidP="00243C96">
            <w:pPr>
              <w:spacing w:after="0" w:line="259" w:lineRule="auto"/>
              <w:ind w:left="0" w:right="0" w:firstLine="0"/>
              <w:jc w:val="center"/>
            </w:pPr>
            <w:r>
              <w:rPr>
                <w:sz w:val="18"/>
              </w:rPr>
              <w:t>7.3.1</w:t>
            </w:r>
            <w:r w:rsidR="006F6A6C">
              <w:rPr>
                <w:sz w:val="18"/>
              </w:rPr>
              <w:t xml:space="preserve"> </w:t>
            </w:r>
            <w:r w:rsidRPr="00D14C32">
              <w:rPr>
                <w:b/>
                <w:bCs/>
                <w:sz w:val="18"/>
                <w:vertAlign w:val="superscript"/>
              </w:rPr>
              <w:t>29</w:t>
            </w:r>
          </w:p>
        </w:tc>
        <w:tc>
          <w:tcPr>
            <w:tcW w:w="1264" w:type="dxa"/>
            <w:tcBorders>
              <w:top w:val="single" w:sz="4" w:space="0" w:color="000000"/>
              <w:left w:val="single" w:sz="12" w:space="0" w:color="000000"/>
              <w:bottom w:val="single" w:sz="12" w:space="0" w:color="000000"/>
              <w:right w:val="single" w:sz="12" w:space="0" w:color="000000"/>
            </w:tcBorders>
          </w:tcPr>
          <w:p w14:paraId="047178A6" w14:textId="7E740C57" w:rsidR="00A263F7" w:rsidRDefault="00A263F7" w:rsidP="003E4EAE">
            <w:pPr>
              <w:spacing w:after="0" w:line="259" w:lineRule="auto"/>
              <w:ind w:left="0" w:right="0" w:firstLine="0"/>
              <w:jc w:val="center"/>
            </w:pPr>
          </w:p>
        </w:tc>
      </w:tr>
    </w:tbl>
    <w:p w14:paraId="58383379" w14:textId="77777777" w:rsidR="00B56D50" w:rsidRDefault="001C3C42">
      <w:pPr>
        <w:spacing w:after="0" w:line="259" w:lineRule="auto"/>
        <w:ind w:left="540" w:right="0" w:firstLine="0"/>
      </w:pPr>
      <w:r>
        <w:rPr>
          <w:rFonts w:ascii="Arial" w:eastAsia="Arial" w:hAnsi="Arial" w:cs="Arial"/>
          <w:sz w:val="24"/>
        </w:rPr>
        <w:t xml:space="preserve"> </w:t>
      </w:r>
    </w:p>
    <w:tbl>
      <w:tblPr>
        <w:tblStyle w:val="TableGrid1"/>
        <w:tblW w:w="10620" w:type="dxa"/>
        <w:tblInd w:w="-375" w:type="dxa"/>
        <w:tblCellMar>
          <w:top w:w="10" w:type="dxa"/>
          <w:left w:w="72" w:type="dxa"/>
          <w:right w:w="32" w:type="dxa"/>
        </w:tblCellMar>
        <w:tblLook w:val="04A0" w:firstRow="1" w:lastRow="0" w:firstColumn="1" w:lastColumn="0" w:noHBand="0" w:noVBand="1"/>
      </w:tblPr>
      <w:tblGrid>
        <w:gridCol w:w="1420"/>
        <w:gridCol w:w="1958"/>
        <w:gridCol w:w="1063"/>
        <w:gridCol w:w="879"/>
        <w:gridCol w:w="711"/>
        <w:gridCol w:w="1157"/>
        <w:gridCol w:w="792"/>
        <w:gridCol w:w="1452"/>
        <w:gridCol w:w="1188"/>
      </w:tblGrid>
      <w:tr w:rsidR="00B56D50" w14:paraId="66D1B26A" w14:textId="77777777" w:rsidTr="005B6604">
        <w:trPr>
          <w:trHeight w:val="444"/>
          <w:tblHeader/>
        </w:trPr>
        <w:tc>
          <w:tcPr>
            <w:tcW w:w="10620" w:type="dxa"/>
            <w:gridSpan w:val="9"/>
            <w:tcBorders>
              <w:top w:val="single" w:sz="12" w:space="0" w:color="000000"/>
              <w:left w:val="single" w:sz="12" w:space="0" w:color="000000"/>
              <w:bottom w:val="single" w:sz="12" w:space="0" w:color="000000"/>
              <w:right w:val="single" w:sz="12" w:space="0" w:color="000000"/>
            </w:tcBorders>
            <w:vAlign w:val="center"/>
          </w:tcPr>
          <w:p w14:paraId="7F1B7C6C" w14:textId="7474F1A4" w:rsidR="00B56D50" w:rsidRDefault="001C3C42" w:rsidP="00AE4723">
            <w:pPr>
              <w:spacing w:after="0" w:line="259" w:lineRule="auto"/>
              <w:ind w:left="2" w:right="0" w:firstLine="0"/>
            </w:pPr>
            <w:r>
              <w:rPr>
                <w:b/>
                <w:sz w:val="18"/>
              </w:rPr>
              <w:t>RCRA Characteristics Group B</w:t>
            </w:r>
            <w:r w:rsidR="00B37082">
              <w:rPr>
                <w:b/>
                <w:sz w:val="18"/>
              </w:rPr>
              <w:t xml:space="preserve"> </w:t>
            </w:r>
            <w:r>
              <w:rPr>
                <w:b/>
                <w:sz w:val="18"/>
              </w:rPr>
              <w:t xml:space="preserve">– 40 CFR 261 Characteristic of Toxicity:  Toxic Characteristic Leaching Procedure (TCLP) </w:t>
            </w:r>
          </w:p>
          <w:p w14:paraId="5C8148C6" w14:textId="77777777" w:rsidR="00B56D50" w:rsidRDefault="001C3C42" w:rsidP="00AE4723">
            <w:pPr>
              <w:spacing w:after="0" w:line="259" w:lineRule="auto"/>
              <w:ind w:left="2" w:right="0" w:firstLine="0"/>
            </w:pPr>
            <w:r>
              <w:rPr>
                <w:b/>
                <w:sz w:val="18"/>
              </w:rPr>
              <w:t xml:space="preserve">– SW-846 Method 1311 </w:t>
            </w:r>
          </w:p>
        </w:tc>
      </w:tr>
      <w:tr w:rsidR="00B56D50" w14:paraId="25DC9A10" w14:textId="77777777" w:rsidTr="005B6604">
        <w:trPr>
          <w:trHeight w:val="269"/>
          <w:tblHeader/>
        </w:trPr>
        <w:tc>
          <w:tcPr>
            <w:tcW w:w="1420" w:type="dxa"/>
            <w:vMerge w:val="restart"/>
            <w:tcBorders>
              <w:top w:val="single" w:sz="12" w:space="0" w:color="000000"/>
              <w:left w:val="single" w:sz="12" w:space="0" w:color="000000"/>
              <w:bottom w:val="single" w:sz="12" w:space="0" w:color="000000"/>
              <w:right w:val="single" w:sz="12" w:space="0" w:color="000000"/>
            </w:tcBorders>
            <w:vAlign w:val="center"/>
          </w:tcPr>
          <w:p w14:paraId="15B66839" w14:textId="73867B26" w:rsidR="00B56D50" w:rsidRDefault="001C3C42" w:rsidP="00AE4723">
            <w:pPr>
              <w:spacing w:after="0" w:line="259" w:lineRule="auto"/>
              <w:ind w:left="0" w:right="0" w:firstLine="0"/>
              <w:jc w:val="center"/>
            </w:pPr>
            <w:r>
              <w:rPr>
                <w:b/>
                <w:sz w:val="18"/>
              </w:rPr>
              <w:t>Waste Code</w:t>
            </w:r>
          </w:p>
        </w:tc>
        <w:tc>
          <w:tcPr>
            <w:tcW w:w="1958" w:type="dxa"/>
            <w:vMerge w:val="restart"/>
            <w:tcBorders>
              <w:top w:val="single" w:sz="12" w:space="0" w:color="000000"/>
              <w:left w:val="single" w:sz="12" w:space="0" w:color="000000"/>
              <w:bottom w:val="single" w:sz="12" w:space="0" w:color="000000"/>
              <w:right w:val="single" w:sz="12" w:space="0" w:color="000000"/>
            </w:tcBorders>
            <w:vAlign w:val="center"/>
          </w:tcPr>
          <w:p w14:paraId="11C912C6" w14:textId="092F64E8" w:rsidR="00B56D50" w:rsidRDefault="001C3C42" w:rsidP="00AE4723">
            <w:pPr>
              <w:spacing w:after="0" w:line="259" w:lineRule="auto"/>
              <w:ind w:left="0" w:right="0" w:firstLine="0"/>
              <w:jc w:val="center"/>
            </w:pPr>
            <w:r>
              <w:rPr>
                <w:b/>
                <w:sz w:val="18"/>
              </w:rPr>
              <w:t>Parameter to be Measured</w:t>
            </w:r>
          </w:p>
        </w:tc>
        <w:tc>
          <w:tcPr>
            <w:tcW w:w="1063" w:type="dxa"/>
            <w:vMerge w:val="restart"/>
            <w:tcBorders>
              <w:top w:val="single" w:sz="12" w:space="0" w:color="000000"/>
              <w:left w:val="single" w:sz="12" w:space="0" w:color="000000"/>
              <w:bottom w:val="single" w:sz="12" w:space="0" w:color="000000"/>
              <w:right w:val="single" w:sz="12" w:space="0" w:color="000000"/>
            </w:tcBorders>
            <w:vAlign w:val="center"/>
          </w:tcPr>
          <w:p w14:paraId="69E1F504" w14:textId="3AAFB6D4" w:rsidR="00B56D50" w:rsidRDefault="001C3C42" w:rsidP="00AE4723">
            <w:pPr>
              <w:spacing w:after="0" w:line="259" w:lineRule="auto"/>
              <w:ind w:left="0" w:right="0" w:firstLine="0"/>
              <w:jc w:val="center"/>
            </w:pPr>
            <w:r>
              <w:rPr>
                <w:b/>
                <w:sz w:val="18"/>
              </w:rPr>
              <w:t>Required Leaching Method</w:t>
            </w:r>
            <w:r w:rsidR="00185C83">
              <w:rPr>
                <w:b/>
                <w:sz w:val="18"/>
              </w:rPr>
              <w:t xml:space="preserve"> </w:t>
            </w:r>
            <w:r w:rsidR="00C25B3D">
              <w:rPr>
                <w:b/>
                <w:sz w:val="18"/>
                <w:vertAlign w:val="superscript"/>
              </w:rPr>
              <w:t>28</w:t>
            </w:r>
          </w:p>
        </w:tc>
        <w:tc>
          <w:tcPr>
            <w:tcW w:w="3539" w:type="dxa"/>
            <w:gridSpan w:val="4"/>
            <w:tcBorders>
              <w:top w:val="single" w:sz="12" w:space="0" w:color="000000"/>
              <w:left w:val="single" w:sz="12" w:space="0" w:color="000000"/>
              <w:bottom w:val="single" w:sz="12" w:space="0" w:color="000000"/>
              <w:right w:val="single" w:sz="12" w:space="0" w:color="000000"/>
            </w:tcBorders>
            <w:vAlign w:val="center"/>
          </w:tcPr>
          <w:p w14:paraId="1C819869" w14:textId="592F3FB6" w:rsidR="00B56D50" w:rsidRDefault="001C3C42">
            <w:pPr>
              <w:spacing w:after="0" w:line="259" w:lineRule="auto"/>
              <w:ind w:left="0" w:right="42" w:firstLine="0"/>
              <w:jc w:val="center"/>
            </w:pPr>
            <w:r>
              <w:rPr>
                <w:b/>
                <w:sz w:val="18"/>
              </w:rPr>
              <w:t>Leachate</w:t>
            </w:r>
          </w:p>
        </w:tc>
        <w:tc>
          <w:tcPr>
            <w:tcW w:w="2640" w:type="dxa"/>
            <w:gridSpan w:val="2"/>
            <w:vMerge w:val="restart"/>
            <w:tcBorders>
              <w:top w:val="single" w:sz="12" w:space="0" w:color="000000"/>
              <w:left w:val="single" w:sz="12" w:space="0" w:color="000000"/>
              <w:bottom w:val="single" w:sz="12" w:space="0" w:color="000000"/>
              <w:right w:val="single" w:sz="12" w:space="0" w:color="000000"/>
            </w:tcBorders>
            <w:vAlign w:val="center"/>
          </w:tcPr>
          <w:p w14:paraId="32C0B496" w14:textId="64266073" w:rsidR="00B56D50" w:rsidRDefault="001C3C42">
            <w:pPr>
              <w:spacing w:after="0" w:line="259" w:lineRule="auto"/>
              <w:ind w:left="0" w:right="0" w:firstLine="0"/>
              <w:jc w:val="center"/>
            </w:pPr>
            <w:r>
              <w:rPr>
                <w:b/>
                <w:sz w:val="18"/>
              </w:rPr>
              <w:t>Acceptable Determinative Methods</w:t>
            </w:r>
            <w:r>
              <w:rPr>
                <w:sz w:val="18"/>
              </w:rPr>
              <w:t xml:space="preserve"> (on Leachate)</w:t>
            </w:r>
          </w:p>
        </w:tc>
      </w:tr>
      <w:tr w:rsidR="00950E59" w14:paraId="39DF1E1D" w14:textId="77777777" w:rsidTr="00A36B15">
        <w:trPr>
          <w:trHeight w:val="445"/>
          <w:tblHeader/>
        </w:trPr>
        <w:tc>
          <w:tcPr>
            <w:tcW w:w="1420" w:type="dxa"/>
            <w:vMerge/>
            <w:tcBorders>
              <w:top w:val="nil"/>
              <w:left w:val="single" w:sz="12" w:space="0" w:color="000000"/>
              <w:bottom w:val="single" w:sz="12" w:space="0" w:color="000000"/>
              <w:right w:val="single" w:sz="12" w:space="0" w:color="000000"/>
            </w:tcBorders>
            <w:vAlign w:val="center"/>
          </w:tcPr>
          <w:p w14:paraId="1B0F1ACD" w14:textId="77777777" w:rsidR="00B56D50" w:rsidRDefault="00B56D50">
            <w:pPr>
              <w:spacing w:after="160" w:line="259" w:lineRule="auto"/>
              <w:ind w:left="0" w:right="0" w:firstLine="0"/>
              <w:jc w:val="center"/>
            </w:pPr>
          </w:p>
        </w:tc>
        <w:tc>
          <w:tcPr>
            <w:tcW w:w="0" w:type="auto"/>
            <w:vMerge/>
            <w:tcBorders>
              <w:top w:val="nil"/>
              <w:left w:val="single" w:sz="12" w:space="0" w:color="000000"/>
              <w:bottom w:val="single" w:sz="12" w:space="0" w:color="000000"/>
              <w:right w:val="single" w:sz="12" w:space="0" w:color="000000"/>
            </w:tcBorders>
            <w:vAlign w:val="center"/>
          </w:tcPr>
          <w:p w14:paraId="2D83ECC9" w14:textId="77777777" w:rsidR="00B56D50" w:rsidRDefault="00B56D50">
            <w:pPr>
              <w:spacing w:after="160" w:line="259" w:lineRule="auto"/>
              <w:ind w:left="0" w:right="0" w:firstLine="0"/>
              <w:jc w:val="center"/>
            </w:pPr>
          </w:p>
        </w:tc>
        <w:tc>
          <w:tcPr>
            <w:tcW w:w="0" w:type="auto"/>
            <w:vMerge/>
            <w:tcBorders>
              <w:top w:val="nil"/>
              <w:left w:val="single" w:sz="12" w:space="0" w:color="000000"/>
              <w:bottom w:val="single" w:sz="12" w:space="0" w:color="000000"/>
              <w:right w:val="single" w:sz="12" w:space="0" w:color="000000"/>
            </w:tcBorders>
            <w:vAlign w:val="center"/>
          </w:tcPr>
          <w:p w14:paraId="391FAB58" w14:textId="77777777" w:rsidR="00B56D50" w:rsidRDefault="00B56D50">
            <w:pPr>
              <w:spacing w:after="160" w:line="259" w:lineRule="auto"/>
              <w:ind w:left="0" w:right="0" w:firstLine="0"/>
              <w:jc w:val="center"/>
            </w:pPr>
          </w:p>
        </w:tc>
        <w:tc>
          <w:tcPr>
            <w:tcW w:w="879" w:type="dxa"/>
            <w:tcBorders>
              <w:top w:val="single" w:sz="12" w:space="0" w:color="000000"/>
              <w:left w:val="single" w:sz="12" w:space="0" w:color="000000"/>
              <w:bottom w:val="single" w:sz="12" w:space="0" w:color="000000"/>
              <w:right w:val="single" w:sz="12" w:space="0" w:color="000000"/>
            </w:tcBorders>
            <w:vAlign w:val="center"/>
          </w:tcPr>
          <w:p w14:paraId="0EFD1E05" w14:textId="04AC183D" w:rsidR="00B56D50" w:rsidRDefault="001C3C42">
            <w:pPr>
              <w:spacing w:after="0" w:line="259" w:lineRule="auto"/>
              <w:ind w:left="0" w:right="42" w:firstLine="0"/>
              <w:jc w:val="center"/>
            </w:pPr>
            <w:r>
              <w:rPr>
                <w:b/>
                <w:sz w:val="18"/>
              </w:rPr>
              <w:t>RL</w:t>
            </w:r>
          </w:p>
        </w:tc>
        <w:tc>
          <w:tcPr>
            <w:tcW w:w="711" w:type="dxa"/>
            <w:tcBorders>
              <w:top w:val="single" w:sz="12" w:space="0" w:color="000000"/>
              <w:left w:val="single" w:sz="12" w:space="0" w:color="000000"/>
              <w:bottom w:val="single" w:sz="12" w:space="0" w:color="000000"/>
              <w:right w:val="single" w:sz="12" w:space="0" w:color="000000"/>
            </w:tcBorders>
            <w:vAlign w:val="center"/>
          </w:tcPr>
          <w:p w14:paraId="1F75717F" w14:textId="592A9DF2" w:rsidR="00B56D50" w:rsidRDefault="001C3C42">
            <w:pPr>
              <w:spacing w:after="0" w:line="259" w:lineRule="auto"/>
              <w:ind w:left="0" w:right="43" w:firstLine="0"/>
              <w:jc w:val="center"/>
            </w:pPr>
            <w:r>
              <w:rPr>
                <w:b/>
                <w:sz w:val="18"/>
              </w:rPr>
              <w:t>units</w:t>
            </w:r>
          </w:p>
        </w:tc>
        <w:tc>
          <w:tcPr>
            <w:tcW w:w="1157" w:type="dxa"/>
            <w:tcBorders>
              <w:top w:val="single" w:sz="12" w:space="0" w:color="000000"/>
              <w:left w:val="single" w:sz="12" w:space="0" w:color="000000"/>
              <w:bottom w:val="single" w:sz="12" w:space="0" w:color="000000"/>
              <w:right w:val="single" w:sz="12" w:space="0" w:color="000000"/>
            </w:tcBorders>
            <w:vAlign w:val="center"/>
          </w:tcPr>
          <w:p w14:paraId="778FDA25" w14:textId="52FA392F" w:rsidR="00B56D50" w:rsidRDefault="001C3C42">
            <w:pPr>
              <w:spacing w:after="0" w:line="259" w:lineRule="auto"/>
              <w:ind w:left="0" w:right="0" w:firstLine="0"/>
              <w:jc w:val="center"/>
            </w:pPr>
            <w:r>
              <w:rPr>
                <w:b/>
                <w:sz w:val="18"/>
              </w:rPr>
              <w:t>Regulatory Limit</w:t>
            </w:r>
          </w:p>
        </w:tc>
        <w:tc>
          <w:tcPr>
            <w:tcW w:w="792" w:type="dxa"/>
            <w:tcBorders>
              <w:top w:val="single" w:sz="12" w:space="0" w:color="000000"/>
              <w:left w:val="single" w:sz="12" w:space="0" w:color="000000"/>
              <w:bottom w:val="single" w:sz="12" w:space="0" w:color="000000"/>
              <w:right w:val="single" w:sz="12" w:space="0" w:color="000000"/>
            </w:tcBorders>
            <w:vAlign w:val="center"/>
          </w:tcPr>
          <w:p w14:paraId="64B0A271" w14:textId="369BB0C3" w:rsidR="00B56D50" w:rsidRDefault="000F2EEA" w:rsidP="002F74C9">
            <w:pPr>
              <w:spacing w:after="0" w:line="259" w:lineRule="auto"/>
              <w:ind w:left="0" w:right="40" w:firstLine="0"/>
              <w:jc w:val="center"/>
            </w:pPr>
            <w:r>
              <w:rPr>
                <w:b/>
                <w:sz w:val="18"/>
              </w:rPr>
              <w:t>U</w:t>
            </w:r>
            <w:r w:rsidR="001C3C42">
              <w:rPr>
                <w:b/>
                <w:sz w:val="18"/>
              </w:rPr>
              <w:t>nits</w:t>
            </w:r>
          </w:p>
        </w:tc>
        <w:tc>
          <w:tcPr>
            <w:tcW w:w="2640" w:type="dxa"/>
            <w:gridSpan w:val="2"/>
            <w:vMerge/>
            <w:tcBorders>
              <w:top w:val="nil"/>
              <w:left w:val="single" w:sz="12" w:space="0" w:color="000000"/>
              <w:bottom w:val="single" w:sz="12" w:space="0" w:color="000000"/>
              <w:right w:val="single" w:sz="12" w:space="0" w:color="000000"/>
            </w:tcBorders>
            <w:vAlign w:val="center"/>
          </w:tcPr>
          <w:p w14:paraId="6754C38E" w14:textId="77777777" w:rsidR="00B56D50" w:rsidRDefault="00B56D50" w:rsidP="002F74C9">
            <w:pPr>
              <w:spacing w:after="160" w:line="259" w:lineRule="auto"/>
              <w:ind w:left="0" w:right="0" w:firstLine="0"/>
              <w:jc w:val="center"/>
            </w:pPr>
          </w:p>
        </w:tc>
      </w:tr>
      <w:tr w:rsidR="00B56D50" w14:paraId="26B11F1E" w14:textId="77777777" w:rsidTr="005B6604">
        <w:trPr>
          <w:trHeight w:val="262"/>
        </w:trPr>
        <w:tc>
          <w:tcPr>
            <w:tcW w:w="1420" w:type="dxa"/>
            <w:tcBorders>
              <w:top w:val="single" w:sz="12" w:space="0" w:color="000000"/>
              <w:left w:val="single" w:sz="12" w:space="0" w:color="000000"/>
              <w:bottom w:val="single" w:sz="4" w:space="0" w:color="000000"/>
              <w:right w:val="single" w:sz="12" w:space="0" w:color="000000"/>
            </w:tcBorders>
          </w:tcPr>
          <w:p w14:paraId="3F931E38" w14:textId="77777777" w:rsidR="00B56D50" w:rsidRDefault="001C3C42">
            <w:pPr>
              <w:spacing w:after="0" w:line="259" w:lineRule="auto"/>
              <w:ind w:left="0" w:right="36" w:firstLine="0"/>
              <w:jc w:val="center"/>
            </w:pPr>
            <w:r>
              <w:rPr>
                <w:sz w:val="18"/>
              </w:rPr>
              <w:t xml:space="preserve">D004 </w:t>
            </w:r>
          </w:p>
        </w:tc>
        <w:tc>
          <w:tcPr>
            <w:tcW w:w="1958" w:type="dxa"/>
            <w:tcBorders>
              <w:top w:val="single" w:sz="12" w:space="0" w:color="000000"/>
              <w:left w:val="single" w:sz="12" w:space="0" w:color="000000"/>
              <w:bottom w:val="single" w:sz="4" w:space="0" w:color="000000"/>
              <w:right w:val="single" w:sz="12" w:space="0" w:color="000000"/>
            </w:tcBorders>
          </w:tcPr>
          <w:p w14:paraId="09FB2277" w14:textId="0CE2225D" w:rsidR="00B56D50" w:rsidRDefault="001C3C42">
            <w:pPr>
              <w:spacing w:after="0" w:line="259" w:lineRule="auto"/>
              <w:ind w:left="0" w:right="0" w:firstLine="0"/>
            </w:pPr>
            <w:r>
              <w:rPr>
                <w:sz w:val="18"/>
              </w:rPr>
              <w:t>Arsenic</w:t>
            </w:r>
            <w:r w:rsidR="00185C83">
              <w:rPr>
                <w:sz w:val="18"/>
              </w:rPr>
              <w:t xml:space="preserve"> </w:t>
            </w:r>
            <w:r w:rsidR="00C25B3D" w:rsidRPr="006961E1">
              <w:rPr>
                <w:b/>
                <w:bCs/>
                <w:sz w:val="18"/>
                <w:vertAlign w:val="superscript"/>
              </w:rPr>
              <w:t>30</w:t>
            </w:r>
            <w:r>
              <w:rPr>
                <w:sz w:val="18"/>
              </w:rPr>
              <w:t xml:space="preserve"> </w:t>
            </w:r>
          </w:p>
        </w:tc>
        <w:tc>
          <w:tcPr>
            <w:tcW w:w="1063" w:type="dxa"/>
            <w:tcBorders>
              <w:top w:val="single" w:sz="12" w:space="0" w:color="000000"/>
              <w:left w:val="single" w:sz="12" w:space="0" w:color="000000"/>
              <w:bottom w:val="single" w:sz="4" w:space="0" w:color="000000"/>
              <w:right w:val="single" w:sz="12" w:space="0" w:color="000000"/>
            </w:tcBorders>
          </w:tcPr>
          <w:p w14:paraId="0265D3BA" w14:textId="77777777" w:rsidR="00B56D50" w:rsidRDefault="001C3C42">
            <w:pPr>
              <w:spacing w:after="0" w:line="259" w:lineRule="auto"/>
              <w:ind w:left="0" w:right="39" w:firstLine="0"/>
              <w:jc w:val="center"/>
            </w:pPr>
            <w:r>
              <w:rPr>
                <w:sz w:val="18"/>
              </w:rPr>
              <w:t xml:space="preserve">1311 </w:t>
            </w:r>
          </w:p>
        </w:tc>
        <w:tc>
          <w:tcPr>
            <w:tcW w:w="879" w:type="dxa"/>
            <w:tcBorders>
              <w:top w:val="single" w:sz="12" w:space="0" w:color="000000"/>
              <w:left w:val="single" w:sz="12" w:space="0" w:color="000000"/>
              <w:bottom w:val="single" w:sz="4" w:space="0" w:color="000000"/>
              <w:right w:val="single" w:sz="12" w:space="0" w:color="000000"/>
            </w:tcBorders>
          </w:tcPr>
          <w:p w14:paraId="1778254B" w14:textId="29EAF668" w:rsidR="00B56D50" w:rsidRDefault="001C3C42" w:rsidP="00985D98">
            <w:pPr>
              <w:spacing w:after="0" w:line="259" w:lineRule="auto"/>
              <w:ind w:left="0" w:right="0" w:firstLine="0"/>
              <w:jc w:val="center"/>
            </w:pPr>
            <w:r>
              <w:rPr>
                <w:sz w:val="18"/>
              </w:rPr>
              <w:t>0.5</w:t>
            </w:r>
          </w:p>
        </w:tc>
        <w:tc>
          <w:tcPr>
            <w:tcW w:w="711" w:type="dxa"/>
            <w:tcBorders>
              <w:top w:val="single" w:sz="12" w:space="0" w:color="000000"/>
              <w:left w:val="single" w:sz="12" w:space="0" w:color="000000"/>
              <w:bottom w:val="single" w:sz="4" w:space="0" w:color="000000"/>
              <w:right w:val="single" w:sz="12" w:space="0" w:color="000000"/>
            </w:tcBorders>
          </w:tcPr>
          <w:p w14:paraId="773B73DB" w14:textId="77777777" w:rsidR="00B56D50" w:rsidRDefault="001C3C42">
            <w:pPr>
              <w:spacing w:after="0" w:line="259" w:lineRule="auto"/>
              <w:ind w:left="91" w:right="0" w:firstLine="0"/>
            </w:pPr>
            <w:r>
              <w:rPr>
                <w:sz w:val="18"/>
              </w:rPr>
              <w:t xml:space="preserve">mg/L </w:t>
            </w:r>
          </w:p>
        </w:tc>
        <w:tc>
          <w:tcPr>
            <w:tcW w:w="1157" w:type="dxa"/>
            <w:tcBorders>
              <w:top w:val="single" w:sz="12" w:space="0" w:color="000000"/>
              <w:left w:val="single" w:sz="12" w:space="0" w:color="000000"/>
              <w:bottom w:val="single" w:sz="4" w:space="0" w:color="000000"/>
              <w:right w:val="single" w:sz="12" w:space="0" w:color="000000"/>
            </w:tcBorders>
            <w:vAlign w:val="center"/>
          </w:tcPr>
          <w:p w14:paraId="3ED87F96" w14:textId="09D21323" w:rsidR="00B56D50" w:rsidRDefault="001C3C42" w:rsidP="004349B8">
            <w:pPr>
              <w:tabs>
                <w:tab w:val="center" w:pos="579"/>
              </w:tabs>
              <w:spacing w:after="0" w:line="259" w:lineRule="auto"/>
              <w:ind w:left="0" w:right="0" w:firstLine="0"/>
              <w:jc w:val="center"/>
            </w:pPr>
            <w:r>
              <w:rPr>
                <w:sz w:val="18"/>
              </w:rPr>
              <w:t>5</w:t>
            </w:r>
          </w:p>
        </w:tc>
        <w:tc>
          <w:tcPr>
            <w:tcW w:w="792" w:type="dxa"/>
            <w:tcBorders>
              <w:top w:val="single" w:sz="12" w:space="0" w:color="000000"/>
              <w:left w:val="single" w:sz="12" w:space="0" w:color="000000"/>
              <w:bottom w:val="single" w:sz="4" w:space="0" w:color="000000"/>
              <w:right w:val="single" w:sz="12" w:space="0" w:color="000000"/>
            </w:tcBorders>
          </w:tcPr>
          <w:p w14:paraId="12A36E0B" w14:textId="77777777" w:rsidR="00B56D50" w:rsidRDefault="001C3C42">
            <w:pPr>
              <w:spacing w:after="0" w:line="259" w:lineRule="auto"/>
              <w:ind w:left="0" w:right="41" w:firstLine="0"/>
              <w:jc w:val="center"/>
            </w:pPr>
            <w:r>
              <w:rPr>
                <w:sz w:val="18"/>
              </w:rPr>
              <w:t xml:space="preserve">mg/L </w:t>
            </w:r>
          </w:p>
        </w:tc>
        <w:tc>
          <w:tcPr>
            <w:tcW w:w="1452" w:type="dxa"/>
            <w:tcBorders>
              <w:top w:val="single" w:sz="12" w:space="0" w:color="000000"/>
              <w:left w:val="single" w:sz="12" w:space="0" w:color="000000"/>
              <w:bottom w:val="single" w:sz="4" w:space="0" w:color="000000"/>
              <w:right w:val="single" w:sz="12" w:space="0" w:color="000000"/>
            </w:tcBorders>
          </w:tcPr>
          <w:p w14:paraId="22C15997" w14:textId="2F4F1264" w:rsidR="00B56D50" w:rsidRDefault="001C3C42" w:rsidP="003E4EAE">
            <w:pPr>
              <w:spacing w:after="0" w:line="259" w:lineRule="auto"/>
              <w:ind w:left="0" w:right="0" w:firstLine="0"/>
              <w:jc w:val="center"/>
            </w:pPr>
            <w:r>
              <w:rPr>
                <w:sz w:val="18"/>
              </w:rPr>
              <w:t>6010</w:t>
            </w:r>
          </w:p>
        </w:tc>
        <w:tc>
          <w:tcPr>
            <w:tcW w:w="1188" w:type="dxa"/>
            <w:tcBorders>
              <w:top w:val="single" w:sz="12" w:space="0" w:color="000000"/>
              <w:left w:val="single" w:sz="12" w:space="0" w:color="000000"/>
              <w:bottom w:val="single" w:sz="4" w:space="0" w:color="000000"/>
              <w:right w:val="single" w:sz="12" w:space="0" w:color="000000"/>
            </w:tcBorders>
          </w:tcPr>
          <w:p w14:paraId="6E96B52B" w14:textId="07814E6A" w:rsidR="00B56D50" w:rsidRDefault="001C3C42" w:rsidP="003E4EAE">
            <w:pPr>
              <w:spacing w:after="0" w:line="259" w:lineRule="auto"/>
              <w:ind w:left="0" w:right="0" w:firstLine="0"/>
              <w:jc w:val="center"/>
            </w:pPr>
            <w:r>
              <w:rPr>
                <w:sz w:val="18"/>
              </w:rPr>
              <w:t>6020</w:t>
            </w:r>
          </w:p>
        </w:tc>
      </w:tr>
      <w:tr w:rsidR="00B56D50" w14:paraId="5202DB6C" w14:textId="77777777" w:rsidTr="005B6604">
        <w:trPr>
          <w:trHeight w:val="250"/>
        </w:trPr>
        <w:tc>
          <w:tcPr>
            <w:tcW w:w="1420" w:type="dxa"/>
            <w:tcBorders>
              <w:top w:val="single" w:sz="4" w:space="0" w:color="000000"/>
              <w:left w:val="single" w:sz="12" w:space="0" w:color="000000"/>
              <w:bottom w:val="single" w:sz="4" w:space="0" w:color="000000"/>
              <w:right w:val="single" w:sz="12" w:space="0" w:color="000000"/>
            </w:tcBorders>
          </w:tcPr>
          <w:p w14:paraId="74039C56" w14:textId="77777777" w:rsidR="00B56D50" w:rsidRDefault="001C3C42">
            <w:pPr>
              <w:spacing w:after="0" w:line="259" w:lineRule="auto"/>
              <w:ind w:left="0" w:right="36" w:firstLine="0"/>
              <w:jc w:val="center"/>
            </w:pPr>
            <w:r>
              <w:rPr>
                <w:sz w:val="18"/>
              </w:rPr>
              <w:t xml:space="preserve">D005 </w:t>
            </w:r>
          </w:p>
        </w:tc>
        <w:tc>
          <w:tcPr>
            <w:tcW w:w="1958" w:type="dxa"/>
            <w:tcBorders>
              <w:top w:val="single" w:sz="4" w:space="0" w:color="000000"/>
              <w:left w:val="single" w:sz="12" w:space="0" w:color="000000"/>
              <w:bottom w:val="single" w:sz="4" w:space="0" w:color="000000"/>
              <w:right w:val="single" w:sz="12" w:space="0" w:color="000000"/>
            </w:tcBorders>
          </w:tcPr>
          <w:p w14:paraId="4991724C" w14:textId="77777777" w:rsidR="00B56D50" w:rsidRDefault="001C3C42">
            <w:pPr>
              <w:spacing w:after="0" w:line="259" w:lineRule="auto"/>
              <w:ind w:left="0" w:right="0" w:firstLine="0"/>
            </w:pPr>
            <w:r>
              <w:rPr>
                <w:sz w:val="18"/>
              </w:rPr>
              <w:t xml:space="preserve">Barium </w:t>
            </w:r>
          </w:p>
        </w:tc>
        <w:tc>
          <w:tcPr>
            <w:tcW w:w="1063" w:type="dxa"/>
            <w:tcBorders>
              <w:top w:val="single" w:sz="4" w:space="0" w:color="000000"/>
              <w:left w:val="single" w:sz="12" w:space="0" w:color="000000"/>
              <w:bottom w:val="single" w:sz="4" w:space="0" w:color="000000"/>
              <w:right w:val="single" w:sz="12" w:space="0" w:color="000000"/>
            </w:tcBorders>
          </w:tcPr>
          <w:p w14:paraId="6BDAAC8B" w14:textId="77777777" w:rsidR="00B56D50" w:rsidRDefault="001C3C42">
            <w:pPr>
              <w:spacing w:after="0" w:line="259" w:lineRule="auto"/>
              <w:ind w:left="0" w:right="39" w:firstLine="0"/>
              <w:jc w:val="center"/>
            </w:pPr>
            <w:r>
              <w:rPr>
                <w:sz w:val="18"/>
              </w:rPr>
              <w:t xml:space="preserve">1311 </w:t>
            </w:r>
          </w:p>
        </w:tc>
        <w:tc>
          <w:tcPr>
            <w:tcW w:w="879" w:type="dxa"/>
            <w:tcBorders>
              <w:top w:val="single" w:sz="4" w:space="0" w:color="000000"/>
              <w:left w:val="single" w:sz="12" w:space="0" w:color="000000"/>
              <w:bottom w:val="single" w:sz="4" w:space="0" w:color="000000"/>
              <w:right w:val="single" w:sz="12" w:space="0" w:color="000000"/>
            </w:tcBorders>
          </w:tcPr>
          <w:p w14:paraId="3F1A2FA8" w14:textId="336B5624" w:rsidR="00B56D50" w:rsidRDefault="001C3C42" w:rsidP="00985D98">
            <w:pPr>
              <w:spacing w:after="0" w:line="259" w:lineRule="auto"/>
              <w:ind w:left="0" w:right="0" w:firstLine="0"/>
              <w:jc w:val="center"/>
            </w:pPr>
            <w:r>
              <w:rPr>
                <w:sz w:val="18"/>
              </w:rPr>
              <w:t>10</w:t>
            </w:r>
          </w:p>
        </w:tc>
        <w:tc>
          <w:tcPr>
            <w:tcW w:w="711" w:type="dxa"/>
            <w:tcBorders>
              <w:top w:val="single" w:sz="4" w:space="0" w:color="000000"/>
              <w:left w:val="single" w:sz="12" w:space="0" w:color="000000"/>
              <w:bottom w:val="single" w:sz="4" w:space="0" w:color="000000"/>
              <w:right w:val="single" w:sz="12" w:space="0" w:color="000000"/>
            </w:tcBorders>
          </w:tcPr>
          <w:p w14:paraId="6AA30DE1" w14:textId="77777777" w:rsidR="00B56D50" w:rsidRDefault="001C3C42">
            <w:pPr>
              <w:spacing w:after="0" w:line="259" w:lineRule="auto"/>
              <w:ind w:left="91" w:right="0" w:firstLine="0"/>
            </w:pPr>
            <w:r>
              <w:rPr>
                <w:sz w:val="18"/>
              </w:rPr>
              <w:t xml:space="preserve">mg/L </w:t>
            </w:r>
          </w:p>
        </w:tc>
        <w:tc>
          <w:tcPr>
            <w:tcW w:w="1157" w:type="dxa"/>
            <w:tcBorders>
              <w:top w:val="single" w:sz="4" w:space="0" w:color="000000"/>
              <w:left w:val="single" w:sz="12" w:space="0" w:color="000000"/>
              <w:bottom w:val="single" w:sz="4" w:space="0" w:color="000000"/>
              <w:right w:val="single" w:sz="12" w:space="0" w:color="000000"/>
            </w:tcBorders>
            <w:vAlign w:val="center"/>
          </w:tcPr>
          <w:p w14:paraId="0C586661" w14:textId="5B34CBB4" w:rsidR="00B56D50" w:rsidRDefault="001C3C42" w:rsidP="004349B8">
            <w:pPr>
              <w:tabs>
                <w:tab w:val="center" w:pos="489"/>
              </w:tabs>
              <w:spacing w:after="0" w:line="259" w:lineRule="auto"/>
              <w:ind w:left="0" w:right="0" w:firstLine="0"/>
              <w:jc w:val="center"/>
            </w:pPr>
            <w:r>
              <w:rPr>
                <w:sz w:val="18"/>
              </w:rPr>
              <w:t>100</w:t>
            </w:r>
          </w:p>
        </w:tc>
        <w:tc>
          <w:tcPr>
            <w:tcW w:w="792" w:type="dxa"/>
            <w:tcBorders>
              <w:top w:val="single" w:sz="4" w:space="0" w:color="000000"/>
              <w:left w:val="single" w:sz="12" w:space="0" w:color="000000"/>
              <w:bottom w:val="single" w:sz="4" w:space="0" w:color="000000"/>
              <w:right w:val="single" w:sz="12" w:space="0" w:color="000000"/>
            </w:tcBorders>
          </w:tcPr>
          <w:p w14:paraId="365C5175" w14:textId="77777777" w:rsidR="00B56D50" w:rsidRDefault="001C3C42">
            <w:pPr>
              <w:spacing w:after="0" w:line="259" w:lineRule="auto"/>
              <w:ind w:left="0" w:right="41" w:firstLine="0"/>
              <w:jc w:val="center"/>
            </w:pPr>
            <w:r>
              <w:rPr>
                <w:sz w:val="18"/>
              </w:rPr>
              <w:t xml:space="preserve">mg/L </w:t>
            </w:r>
          </w:p>
        </w:tc>
        <w:tc>
          <w:tcPr>
            <w:tcW w:w="1452" w:type="dxa"/>
            <w:tcBorders>
              <w:top w:val="single" w:sz="4" w:space="0" w:color="000000"/>
              <w:left w:val="single" w:sz="12" w:space="0" w:color="000000"/>
              <w:bottom w:val="single" w:sz="4" w:space="0" w:color="000000"/>
              <w:right w:val="single" w:sz="12" w:space="0" w:color="000000"/>
            </w:tcBorders>
          </w:tcPr>
          <w:p w14:paraId="0EADD484" w14:textId="06A9E1F2" w:rsidR="00B56D50" w:rsidRDefault="001C3C42" w:rsidP="003E4EAE">
            <w:pPr>
              <w:spacing w:after="0" w:line="259" w:lineRule="auto"/>
              <w:ind w:left="0" w:right="0" w:firstLine="0"/>
              <w:jc w:val="center"/>
            </w:pPr>
            <w:r>
              <w:rPr>
                <w:sz w:val="18"/>
              </w:rPr>
              <w:t>6010</w:t>
            </w:r>
          </w:p>
        </w:tc>
        <w:tc>
          <w:tcPr>
            <w:tcW w:w="1188" w:type="dxa"/>
            <w:tcBorders>
              <w:top w:val="single" w:sz="4" w:space="0" w:color="000000"/>
              <w:left w:val="single" w:sz="12" w:space="0" w:color="000000"/>
              <w:bottom w:val="single" w:sz="4" w:space="0" w:color="000000"/>
              <w:right w:val="single" w:sz="12" w:space="0" w:color="000000"/>
            </w:tcBorders>
          </w:tcPr>
          <w:p w14:paraId="3DBE8BB8" w14:textId="3E4DC58C" w:rsidR="00B56D50" w:rsidRDefault="001C3C42" w:rsidP="003E4EAE">
            <w:pPr>
              <w:spacing w:after="0" w:line="259" w:lineRule="auto"/>
              <w:ind w:left="0" w:right="0" w:firstLine="0"/>
              <w:jc w:val="center"/>
            </w:pPr>
            <w:r>
              <w:rPr>
                <w:sz w:val="18"/>
              </w:rPr>
              <w:t>6020</w:t>
            </w:r>
          </w:p>
        </w:tc>
      </w:tr>
      <w:tr w:rsidR="00B56D50" w14:paraId="13EEA05C" w14:textId="77777777" w:rsidTr="005B6604">
        <w:trPr>
          <w:trHeight w:val="250"/>
        </w:trPr>
        <w:tc>
          <w:tcPr>
            <w:tcW w:w="1420" w:type="dxa"/>
            <w:tcBorders>
              <w:top w:val="single" w:sz="4" w:space="0" w:color="000000"/>
              <w:left w:val="single" w:sz="12" w:space="0" w:color="000000"/>
              <w:bottom w:val="single" w:sz="4" w:space="0" w:color="000000"/>
              <w:right w:val="single" w:sz="12" w:space="0" w:color="000000"/>
            </w:tcBorders>
          </w:tcPr>
          <w:p w14:paraId="52A8A64F" w14:textId="77777777" w:rsidR="00B56D50" w:rsidRDefault="001C3C42">
            <w:pPr>
              <w:spacing w:after="0" w:line="259" w:lineRule="auto"/>
              <w:ind w:left="0" w:right="36" w:firstLine="0"/>
              <w:jc w:val="center"/>
            </w:pPr>
            <w:r>
              <w:rPr>
                <w:sz w:val="18"/>
              </w:rPr>
              <w:t xml:space="preserve">D006 </w:t>
            </w:r>
          </w:p>
        </w:tc>
        <w:tc>
          <w:tcPr>
            <w:tcW w:w="1958" w:type="dxa"/>
            <w:tcBorders>
              <w:top w:val="single" w:sz="4" w:space="0" w:color="000000"/>
              <w:left w:val="single" w:sz="12" w:space="0" w:color="000000"/>
              <w:bottom w:val="single" w:sz="4" w:space="0" w:color="000000"/>
              <w:right w:val="single" w:sz="12" w:space="0" w:color="000000"/>
            </w:tcBorders>
          </w:tcPr>
          <w:p w14:paraId="2B010A01" w14:textId="3254F679" w:rsidR="00B56D50" w:rsidRDefault="001C3C42">
            <w:pPr>
              <w:spacing w:after="0" w:line="259" w:lineRule="auto"/>
              <w:ind w:left="0" w:right="0" w:firstLine="0"/>
            </w:pPr>
            <w:r>
              <w:rPr>
                <w:sz w:val="18"/>
              </w:rPr>
              <w:t>Cadmium</w:t>
            </w:r>
            <w:r w:rsidR="006961E1">
              <w:rPr>
                <w:sz w:val="18"/>
              </w:rPr>
              <w:t xml:space="preserve"> </w:t>
            </w:r>
            <w:r w:rsidR="00C25B3D">
              <w:rPr>
                <w:b/>
                <w:sz w:val="18"/>
                <w:vertAlign w:val="superscript"/>
              </w:rPr>
              <w:t>30</w:t>
            </w:r>
            <w:r>
              <w:rPr>
                <w:sz w:val="18"/>
              </w:rPr>
              <w:t xml:space="preserve"> </w:t>
            </w:r>
          </w:p>
        </w:tc>
        <w:tc>
          <w:tcPr>
            <w:tcW w:w="1063" w:type="dxa"/>
            <w:tcBorders>
              <w:top w:val="single" w:sz="4" w:space="0" w:color="000000"/>
              <w:left w:val="single" w:sz="12" w:space="0" w:color="000000"/>
              <w:bottom w:val="single" w:sz="4" w:space="0" w:color="000000"/>
              <w:right w:val="single" w:sz="12" w:space="0" w:color="000000"/>
            </w:tcBorders>
          </w:tcPr>
          <w:p w14:paraId="61E99204" w14:textId="77777777" w:rsidR="00B56D50" w:rsidRDefault="001C3C42">
            <w:pPr>
              <w:spacing w:after="0" w:line="259" w:lineRule="auto"/>
              <w:ind w:left="0" w:right="39" w:firstLine="0"/>
              <w:jc w:val="center"/>
            </w:pPr>
            <w:r>
              <w:rPr>
                <w:sz w:val="18"/>
              </w:rPr>
              <w:t xml:space="preserve">1311 </w:t>
            </w:r>
          </w:p>
        </w:tc>
        <w:tc>
          <w:tcPr>
            <w:tcW w:w="879" w:type="dxa"/>
            <w:tcBorders>
              <w:top w:val="single" w:sz="4" w:space="0" w:color="000000"/>
              <w:left w:val="single" w:sz="12" w:space="0" w:color="000000"/>
              <w:bottom w:val="single" w:sz="4" w:space="0" w:color="000000"/>
              <w:right w:val="single" w:sz="12" w:space="0" w:color="000000"/>
            </w:tcBorders>
          </w:tcPr>
          <w:p w14:paraId="5893927F" w14:textId="37D46CCF" w:rsidR="00B56D50" w:rsidRDefault="001C3C42" w:rsidP="00985D98">
            <w:pPr>
              <w:spacing w:after="0" w:line="259" w:lineRule="auto"/>
              <w:ind w:left="0" w:right="0" w:firstLine="0"/>
              <w:jc w:val="center"/>
            </w:pPr>
            <w:r>
              <w:rPr>
                <w:sz w:val="18"/>
              </w:rPr>
              <w:t>0.1</w:t>
            </w:r>
          </w:p>
        </w:tc>
        <w:tc>
          <w:tcPr>
            <w:tcW w:w="711" w:type="dxa"/>
            <w:tcBorders>
              <w:top w:val="single" w:sz="4" w:space="0" w:color="000000"/>
              <w:left w:val="single" w:sz="12" w:space="0" w:color="000000"/>
              <w:bottom w:val="single" w:sz="4" w:space="0" w:color="000000"/>
              <w:right w:val="single" w:sz="12" w:space="0" w:color="000000"/>
            </w:tcBorders>
          </w:tcPr>
          <w:p w14:paraId="3067F352" w14:textId="77777777" w:rsidR="00B56D50" w:rsidRDefault="001C3C42">
            <w:pPr>
              <w:spacing w:after="0" w:line="259" w:lineRule="auto"/>
              <w:ind w:left="91" w:right="0" w:firstLine="0"/>
            </w:pPr>
            <w:r>
              <w:rPr>
                <w:sz w:val="18"/>
              </w:rPr>
              <w:t xml:space="preserve">mg/L </w:t>
            </w:r>
          </w:p>
        </w:tc>
        <w:tc>
          <w:tcPr>
            <w:tcW w:w="1157" w:type="dxa"/>
            <w:tcBorders>
              <w:top w:val="single" w:sz="4" w:space="0" w:color="000000"/>
              <w:left w:val="single" w:sz="12" w:space="0" w:color="000000"/>
              <w:bottom w:val="single" w:sz="4" w:space="0" w:color="000000"/>
              <w:right w:val="single" w:sz="12" w:space="0" w:color="000000"/>
            </w:tcBorders>
            <w:vAlign w:val="center"/>
          </w:tcPr>
          <w:p w14:paraId="1EEE5AD2" w14:textId="137795C1" w:rsidR="00B56D50" w:rsidRDefault="001C3C42" w:rsidP="004349B8">
            <w:pPr>
              <w:tabs>
                <w:tab w:val="center" w:pos="579"/>
              </w:tabs>
              <w:spacing w:after="0" w:line="259" w:lineRule="auto"/>
              <w:ind w:left="0" w:right="0" w:firstLine="0"/>
              <w:jc w:val="center"/>
            </w:pPr>
            <w:r>
              <w:rPr>
                <w:sz w:val="18"/>
              </w:rPr>
              <w:t>1</w:t>
            </w:r>
          </w:p>
        </w:tc>
        <w:tc>
          <w:tcPr>
            <w:tcW w:w="792" w:type="dxa"/>
            <w:tcBorders>
              <w:top w:val="single" w:sz="4" w:space="0" w:color="000000"/>
              <w:left w:val="single" w:sz="12" w:space="0" w:color="000000"/>
              <w:bottom w:val="single" w:sz="4" w:space="0" w:color="000000"/>
              <w:right w:val="single" w:sz="12" w:space="0" w:color="000000"/>
            </w:tcBorders>
          </w:tcPr>
          <w:p w14:paraId="391EEF73" w14:textId="77777777" w:rsidR="00B56D50" w:rsidRDefault="001C3C42">
            <w:pPr>
              <w:spacing w:after="0" w:line="259" w:lineRule="auto"/>
              <w:ind w:left="0" w:right="41" w:firstLine="0"/>
              <w:jc w:val="center"/>
            </w:pPr>
            <w:r>
              <w:rPr>
                <w:sz w:val="18"/>
              </w:rPr>
              <w:t xml:space="preserve">mg/L </w:t>
            </w:r>
          </w:p>
        </w:tc>
        <w:tc>
          <w:tcPr>
            <w:tcW w:w="1452" w:type="dxa"/>
            <w:tcBorders>
              <w:top w:val="single" w:sz="4" w:space="0" w:color="000000"/>
              <w:left w:val="single" w:sz="12" w:space="0" w:color="000000"/>
              <w:bottom w:val="single" w:sz="4" w:space="0" w:color="000000"/>
              <w:right w:val="single" w:sz="12" w:space="0" w:color="000000"/>
            </w:tcBorders>
          </w:tcPr>
          <w:p w14:paraId="72D4DB5A" w14:textId="48A07462" w:rsidR="00B56D50" w:rsidRDefault="001C3C42" w:rsidP="003E4EAE">
            <w:pPr>
              <w:spacing w:after="0" w:line="259" w:lineRule="auto"/>
              <w:ind w:left="0" w:right="0" w:firstLine="0"/>
              <w:jc w:val="center"/>
            </w:pPr>
            <w:r>
              <w:rPr>
                <w:sz w:val="18"/>
              </w:rPr>
              <w:t>6010</w:t>
            </w:r>
          </w:p>
        </w:tc>
        <w:tc>
          <w:tcPr>
            <w:tcW w:w="1188" w:type="dxa"/>
            <w:tcBorders>
              <w:top w:val="single" w:sz="4" w:space="0" w:color="000000"/>
              <w:left w:val="single" w:sz="12" w:space="0" w:color="000000"/>
              <w:bottom w:val="single" w:sz="4" w:space="0" w:color="000000"/>
              <w:right w:val="single" w:sz="12" w:space="0" w:color="000000"/>
            </w:tcBorders>
          </w:tcPr>
          <w:p w14:paraId="6AEFFDF5" w14:textId="4E9DBC5A" w:rsidR="00B56D50" w:rsidRDefault="001C3C42" w:rsidP="003E4EAE">
            <w:pPr>
              <w:spacing w:after="0" w:line="259" w:lineRule="auto"/>
              <w:ind w:left="0" w:right="0" w:firstLine="0"/>
              <w:jc w:val="center"/>
            </w:pPr>
            <w:r>
              <w:rPr>
                <w:sz w:val="18"/>
              </w:rPr>
              <w:t>6020</w:t>
            </w:r>
          </w:p>
        </w:tc>
      </w:tr>
      <w:tr w:rsidR="00B56D50" w14:paraId="004FCE11" w14:textId="77777777" w:rsidTr="005B6604">
        <w:trPr>
          <w:trHeight w:val="250"/>
        </w:trPr>
        <w:tc>
          <w:tcPr>
            <w:tcW w:w="1420" w:type="dxa"/>
            <w:tcBorders>
              <w:top w:val="single" w:sz="4" w:space="0" w:color="000000"/>
              <w:left w:val="single" w:sz="12" w:space="0" w:color="000000"/>
              <w:bottom w:val="single" w:sz="4" w:space="0" w:color="000000"/>
              <w:right w:val="single" w:sz="12" w:space="0" w:color="000000"/>
            </w:tcBorders>
          </w:tcPr>
          <w:p w14:paraId="448AA2BE" w14:textId="77777777" w:rsidR="00B56D50" w:rsidRDefault="001C3C42">
            <w:pPr>
              <w:spacing w:after="0" w:line="259" w:lineRule="auto"/>
              <w:ind w:left="0" w:right="36" w:firstLine="0"/>
              <w:jc w:val="center"/>
            </w:pPr>
            <w:r>
              <w:rPr>
                <w:sz w:val="18"/>
              </w:rPr>
              <w:t xml:space="preserve">D007 </w:t>
            </w:r>
          </w:p>
        </w:tc>
        <w:tc>
          <w:tcPr>
            <w:tcW w:w="1958" w:type="dxa"/>
            <w:tcBorders>
              <w:top w:val="single" w:sz="4" w:space="0" w:color="000000"/>
              <w:left w:val="single" w:sz="12" w:space="0" w:color="000000"/>
              <w:bottom w:val="single" w:sz="4" w:space="0" w:color="000000"/>
              <w:right w:val="single" w:sz="12" w:space="0" w:color="000000"/>
            </w:tcBorders>
          </w:tcPr>
          <w:p w14:paraId="15922B24" w14:textId="77777777" w:rsidR="00B56D50" w:rsidRDefault="001C3C42">
            <w:pPr>
              <w:spacing w:after="0" w:line="259" w:lineRule="auto"/>
              <w:ind w:left="0" w:right="0" w:firstLine="0"/>
            </w:pPr>
            <w:r>
              <w:rPr>
                <w:sz w:val="18"/>
              </w:rPr>
              <w:t xml:space="preserve">Chromium </w:t>
            </w:r>
          </w:p>
        </w:tc>
        <w:tc>
          <w:tcPr>
            <w:tcW w:w="1063" w:type="dxa"/>
            <w:tcBorders>
              <w:top w:val="single" w:sz="4" w:space="0" w:color="000000"/>
              <w:left w:val="single" w:sz="12" w:space="0" w:color="000000"/>
              <w:bottom w:val="single" w:sz="4" w:space="0" w:color="000000"/>
              <w:right w:val="single" w:sz="12" w:space="0" w:color="000000"/>
            </w:tcBorders>
          </w:tcPr>
          <w:p w14:paraId="238DCEEF" w14:textId="77777777" w:rsidR="00B56D50" w:rsidRDefault="001C3C42">
            <w:pPr>
              <w:spacing w:after="0" w:line="259" w:lineRule="auto"/>
              <w:ind w:left="0" w:right="39" w:firstLine="0"/>
              <w:jc w:val="center"/>
            </w:pPr>
            <w:r>
              <w:rPr>
                <w:sz w:val="18"/>
              </w:rPr>
              <w:t xml:space="preserve">1311 </w:t>
            </w:r>
          </w:p>
        </w:tc>
        <w:tc>
          <w:tcPr>
            <w:tcW w:w="879" w:type="dxa"/>
            <w:tcBorders>
              <w:top w:val="single" w:sz="4" w:space="0" w:color="000000"/>
              <w:left w:val="single" w:sz="12" w:space="0" w:color="000000"/>
              <w:bottom w:val="single" w:sz="4" w:space="0" w:color="000000"/>
              <w:right w:val="single" w:sz="12" w:space="0" w:color="000000"/>
            </w:tcBorders>
          </w:tcPr>
          <w:p w14:paraId="12486BE9" w14:textId="6B5F10D8" w:rsidR="00B56D50" w:rsidRDefault="001C3C42" w:rsidP="00985D98">
            <w:pPr>
              <w:spacing w:after="0" w:line="259" w:lineRule="auto"/>
              <w:ind w:left="0" w:right="0" w:firstLine="0"/>
              <w:jc w:val="center"/>
            </w:pPr>
            <w:r>
              <w:rPr>
                <w:sz w:val="18"/>
              </w:rPr>
              <w:t>0.5</w:t>
            </w:r>
          </w:p>
        </w:tc>
        <w:tc>
          <w:tcPr>
            <w:tcW w:w="711" w:type="dxa"/>
            <w:tcBorders>
              <w:top w:val="single" w:sz="4" w:space="0" w:color="000000"/>
              <w:left w:val="single" w:sz="12" w:space="0" w:color="000000"/>
              <w:bottom w:val="single" w:sz="4" w:space="0" w:color="000000"/>
              <w:right w:val="single" w:sz="12" w:space="0" w:color="000000"/>
            </w:tcBorders>
          </w:tcPr>
          <w:p w14:paraId="7F608F40" w14:textId="77777777" w:rsidR="00B56D50" w:rsidRDefault="001C3C42">
            <w:pPr>
              <w:spacing w:after="0" w:line="259" w:lineRule="auto"/>
              <w:ind w:left="91" w:right="0" w:firstLine="0"/>
            </w:pPr>
            <w:r>
              <w:rPr>
                <w:sz w:val="18"/>
              </w:rPr>
              <w:t xml:space="preserve">mg/L </w:t>
            </w:r>
          </w:p>
        </w:tc>
        <w:tc>
          <w:tcPr>
            <w:tcW w:w="1157" w:type="dxa"/>
            <w:tcBorders>
              <w:top w:val="single" w:sz="4" w:space="0" w:color="000000"/>
              <w:left w:val="single" w:sz="12" w:space="0" w:color="000000"/>
              <w:bottom w:val="single" w:sz="4" w:space="0" w:color="000000"/>
              <w:right w:val="single" w:sz="12" w:space="0" w:color="000000"/>
            </w:tcBorders>
            <w:vAlign w:val="center"/>
          </w:tcPr>
          <w:p w14:paraId="366480A3" w14:textId="6DB8CD06" w:rsidR="00B56D50" w:rsidRDefault="001C3C42" w:rsidP="004349B8">
            <w:pPr>
              <w:tabs>
                <w:tab w:val="center" w:pos="579"/>
              </w:tabs>
              <w:spacing w:after="0" w:line="259" w:lineRule="auto"/>
              <w:ind w:left="0" w:right="0" w:firstLine="0"/>
              <w:jc w:val="center"/>
            </w:pPr>
            <w:r>
              <w:rPr>
                <w:sz w:val="18"/>
              </w:rPr>
              <w:t>5</w:t>
            </w:r>
          </w:p>
        </w:tc>
        <w:tc>
          <w:tcPr>
            <w:tcW w:w="792" w:type="dxa"/>
            <w:tcBorders>
              <w:top w:val="single" w:sz="4" w:space="0" w:color="000000"/>
              <w:left w:val="single" w:sz="12" w:space="0" w:color="000000"/>
              <w:bottom w:val="single" w:sz="4" w:space="0" w:color="000000"/>
              <w:right w:val="single" w:sz="12" w:space="0" w:color="000000"/>
            </w:tcBorders>
          </w:tcPr>
          <w:p w14:paraId="48A7C6C1" w14:textId="77777777" w:rsidR="00B56D50" w:rsidRDefault="001C3C42">
            <w:pPr>
              <w:spacing w:after="0" w:line="259" w:lineRule="auto"/>
              <w:ind w:left="0" w:right="41" w:firstLine="0"/>
              <w:jc w:val="center"/>
            </w:pPr>
            <w:r>
              <w:rPr>
                <w:sz w:val="18"/>
              </w:rPr>
              <w:t xml:space="preserve">mg/L </w:t>
            </w:r>
          </w:p>
        </w:tc>
        <w:tc>
          <w:tcPr>
            <w:tcW w:w="1452" w:type="dxa"/>
            <w:tcBorders>
              <w:top w:val="single" w:sz="4" w:space="0" w:color="000000"/>
              <w:left w:val="single" w:sz="12" w:space="0" w:color="000000"/>
              <w:bottom w:val="single" w:sz="4" w:space="0" w:color="000000"/>
              <w:right w:val="single" w:sz="12" w:space="0" w:color="000000"/>
            </w:tcBorders>
          </w:tcPr>
          <w:p w14:paraId="6780B646" w14:textId="144F9FFD" w:rsidR="00B56D50" w:rsidRDefault="001C3C42" w:rsidP="003E4EAE">
            <w:pPr>
              <w:spacing w:after="0" w:line="259" w:lineRule="auto"/>
              <w:ind w:left="0" w:right="0" w:firstLine="0"/>
              <w:jc w:val="center"/>
            </w:pPr>
            <w:r>
              <w:rPr>
                <w:sz w:val="18"/>
              </w:rPr>
              <w:t>6010</w:t>
            </w:r>
          </w:p>
        </w:tc>
        <w:tc>
          <w:tcPr>
            <w:tcW w:w="1188" w:type="dxa"/>
            <w:tcBorders>
              <w:top w:val="single" w:sz="4" w:space="0" w:color="000000"/>
              <w:left w:val="single" w:sz="12" w:space="0" w:color="000000"/>
              <w:bottom w:val="single" w:sz="4" w:space="0" w:color="000000"/>
              <w:right w:val="single" w:sz="12" w:space="0" w:color="000000"/>
            </w:tcBorders>
          </w:tcPr>
          <w:p w14:paraId="4FDD854D" w14:textId="4DB977D7" w:rsidR="00B56D50" w:rsidRDefault="001C3C42" w:rsidP="003E4EAE">
            <w:pPr>
              <w:spacing w:after="0" w:line="259" w:lineRule="auto"/>
              <w:ind w:left="0" w:right="0" w:firstLine="0"/>
              <w:jc w:val="center"/>
            </w:pPr>
            <w:r>
              <w:rPr>
                <w:sz w:val="18"/>
              </w:rPr>
              <w:t>6020</w:t>
            </w:r>
          </w:p>
        </w:tc>
      </w:tr>
      <w:tr w:rsidR="00B56D50" w14:paraId="772565F3" w14:textId="77777777" w:rsidTr="005B6604">
        <w:trPr>
          <w:trHeight w:val="250"/>
        </w:trPr>
        <w:tc>
          <w:tcPr>
            <w:tcW w:w="1420" w:type="dxa"/>
            <w:tcBorders>
              <w:top w:val="single" w:sz="4" w:space="0" w:color="000000"/>
              <w:left w:val="single" w:sz="12" w:space="0" w:color="000000"/>
              <w:bottom w:val="single" w:sz="4" w:space="0" w:color="000000"/>
              <w:right w:val="single" w:sz="12" w:space="0" w:color="000000"/>
            </w:tcBorders>
          </w:tcPr>
          <w:p w14:paraId="10A115A8" w14:textId="77777777" w:rsidR="00B56D50" w:rsidRDefault="001C3C42">
            <w:pPr>
              <w:spacing w:after="0" w:line="259" w:lineRule="auto"/>
              <w:ind w:left="0" w:right="36" w:firstLine="0"/>
              <w:jc w:val="center"/>
            </w:pPr>
            <w:r>
              <w:rPr>
                <w:sz w:val="18"/>
              </w:rPr>
              <w:t xml:space="preserve">D008 </w:t>
            </w:r>
          </w:p>
        </w:tc>
        <w:tc>
          <w:tcPr>
            <w:tcW w:w="1958" w:type="dxa"/>
            <w:tcBorders>
              <w:top w:val="single" w:sz="4" w:space="0" w:color="000000"/>
              <w:left w:val="single" w:sz="12" w:space="0" w:color="000000"/>
              <w:bottom w:val="single" w:sz="4" w:space="0" w:color="000000"/>
              <w:right w:val="single" w:sz="12" w:space="0" w:color="000000"/>
            </w:tcBorders>
          </w:tcPr>
          <w:p w14:paraId="0EC87958" w14:textId="42EC0AE6" w:rsidR="00B56D50" w:rsidRDefault="001C3C42">
            <w:pPr>
              <w:spacing w:after="0" w:line="259" w:lineRule="auto"/>
              <w:ind w:left="0" w:right="0" w:firstLine="0"/>
            </w:pPr>
            <w:r>
              <w:rPr>
                <w:sz w:val="18"/>
              </w:rPr>
              <w:t>Lead</w:t>
            </w:r>
            <w:r w:rsidR="00C25B3D">
              <w:rPr>
                <w:b/>
                <w:sz w:val="18"/>
                <w:vertAlign w:val="superscript"/>
              </w:rPr>
              <w:t>30</w:t>
            </w:r>
            <w:r>
              <w:rPr>
                <w:sz w:val="18"/>
              </w:rPr>
              <w:t xml:space="preserve"> </w:t>
            </w:r>
          </w:p>
        </w:tc>
        <w:tc>
          <w:tcPr>
            <w:tcW w:w="1063" w:type="dxa"/>
            <w:tcBorders>
              <w:top w:val="single" w:sz="4" w:space="0" w:color="000000"/>
              <w:left w:val="single" w:sz="12" w:space="0" w:color="000000"/>
              <w:bottom w:val="single" w:sz="4" w:space="0" w:color="000000"/>
              <w:right w:val="single" w:sz="12" w:space="0" w:color="000000"/>
            </w:tcBorders>
          </w:tcPr>
          <w:p w14:paraId="3BE3E65D" w14:textId="77777777" w:rsidR="00B56D50" w:rsidRDefault="001C3C42">
            <w:pPr>
              <w:spacing w:after="0" w:line="259" w:lineRule="auto"/>
              <w:ind w:left="0" w:right="39" w:firstLine="0"/>
              <w:jc w:val="center"/>
            </w:pPr>
            <w:r>
              <w:rPr>
                <w:sz w:val="18"/>
              </w:rPr>
              <w:t xml:space="preserve">1311 </w:t>
            </w:r>
          </w:p>
        </w:tc>
        <w:tc>
          <w:tcPr>
            <w:tcW w:w="879" w:type="dxa"/>
            <w:tcBorders>
              <w:top w:val="single" w:sz="4" w:space="0" w:color="000000"/>
              <w:left w:val="single" w:sz="12" w:space="0" w:color="000000"/>
              <w:bottom w:val="single" w:sz="4" w:space="0" w:color="000000"/>
              <w:right w:val="single" w:sz="12" w:space="0" w:color="000000"/>
            </w:tcBorders>
          </w:tcPr>
          <w:p w14:paraId="31094F11" w14:textId="391631E5" w:rsidR="00B56D50" w:rsidRDefault="001C3C42" w:rsidP="00985D98">
            <w:pPr>
              <w:spacing w:after="0" w:line="259" w:lineRule="auto"/>
              <w:ind w:left="0" w:right="0" w:firstLine="0"/>
              <w:jc w:val="center"/>
            </w:pPr>
            <w:r>
              <w:rPr>
                <w:sz w:val="18"/>
              </w:rPr>
              <w:t>0.5</w:t>
            </w:r>
          </w:p>
        </w:tc>
        <w:tc>
          <w:tcPr>
            <w:tcW w:w="711" w:type="dxa"/>
            <w:tcBorders>
              <w:top w:val="single" w:sz="4" w:space="0" w:color="000000"/>
              <w:left w:val="single" w:sz="12" w:space="0" w:color="000000"/>
              <w:bottom w:val="single" w:sz="4" w:space="0" w:color="000000"/>
              <w:right w:val="single" w:sz="12" w:space="0" w:color="000000"/>
            </w:tcBorders>
          </w:tcPr>
          <w:p w14:paraId="4D2AFD97" w14:textId="77777777" w:rsidR="00B56D50" w:rsidRDefault="001C3C42">
            <w:pPr>
              <w:spacing w:after="0" w:line="259" w:lineRule="auto"/>
              <w:ind w:left="91" w:right="0" w:firstLine="0"/>
            </w:pPr>
            <w:r>
              <w:rPr>
                <w:sz w:val="18"/>
              </w:rPr>
              <w:t xml:space="preserve">mg/L </w:t>
            </w:r>
          </w:p>
        </w:tc>
        <w:tc>
          <w:tcPr>
            <w:tcW w:w="1157" w:type="dxa"/>
            <w:tcBorders>
              <w:top w:val="single" w:sz="4" w:space="0" w:color="000000"/>
              <w:left w:val="single" w:sz="12" w:space="0" w:color="000000"/>
              <w:bottom w:val="single" w:sz="4" w:space="0" w:color="000000"/>
              <w:right w:val="single" w:sz="12" w:space="0" w:color="000000"/>
            </w:tcBorders>
            <w:vAlign w:val="center"/>
          </w:tcPr>
          <w:p w14:paraId="054F6F76" w14:textId="659E5D0F" w:rsidR="00B56D50" w:rsidRDefault="001C3C42" w:rsidP="004349B8">
            <w:pPr>
              <w:tabs>
                <w:tab w:val="center" w:pos="579"/>
              </w:tabs>
              <w:spacing w:after="0" w:line="259" w:lineRule="auto"/>
              <w:ind w:left="0" w:right="0" w:firstLine="0"/>
              <w:jc w:val="center"/>
            </w:pPr>
            <w:r>
              <w:rPr>
                <w:sz w:val="18"/>
              </w:rPr>
              <w:t>5</w:t>
            </w:r>
          </w:p>
        </w:tc>
        <w:tc>
          <w:tcPr>
            <w:tcW w:w="792" w:type="dxa"/>
            <w:tcBorders>
              <w:top w:val="single" w:sz="4" w:space="0" w:color="000000"/>
              <w:left w:val="single" w:sz="12" w:space="0" w:color="000000"/>
              <w:bottom w:val="single" w:sz="4" w:space="0" w:color="000000"/>
              <w:right w:val="single" w:sz="12" w:space="0" w:color="000000"/>
            </w:tcBorders>
          </w:tcPr>
          <w:p w14:paraId="5373C108" w14:textId="77777777" w:rsidR="00B56D50" w:rsidRDefault="001C3C42">
            <w:pPr>
              <w:spacing w:after="0" w:line="259" w:lineRule="auto"/>
              <w:ind w:left="0" w:right="41" w:firstLine="0"/>
              <w:jc w:val="center"/>
            </w:pPr>
            <w:r>
              <w:rPr>
                <w:sz w:val="18"/>
              </w:rPr>
              <w:t xml:space="preserve">mg/L </w:t>
            </w:r>
          </w:p>
        </w:tc>
        <w:tc>
          <w:tcPr>
            <w:tcW w:w="1452" w:type="dxa"/>
            <w:tcBorders>
              <w:top w:val="single" w:sz="4" w:space="0" w:color="000000"/>
              <w:left w:val="single" w:sz="12" w:space="0" w:color="000000"/>
              <w:bottom w:val="single" w:sz="4" w:space="0" w:color="000000"/>
              <w:right w:val="single" w:sz="12" w:space="0" w:color="000000"/>
            </w:tcBorders>
          </w:tcPr>
          <w:p w14:paraId="1AC12E78" w14:textId="5F373F28" w:rsidR="00B56D50" w:rsidRDefault="001C3C42" w:rsidP="003E4EAE">
            <w:pPr>
              <w:spacing w:after="0" w:line="259" w:lineRule="auto"/>
              <w:ind w:left="0" w:right="0" w:firstLine="0"/>
              <w:jc w:val="center"/>
            </w:pPr>
            <w:r>
              <w:rPr>
                <w:sz w:val="18"/>
              </w:rPr>
              <w:t>6010</w:t>
            </w:r>
          </w:p>
        </w:tc>
        <w:tc>
          <w:tcPr>
            <w:tcW w:w="1188" w:type="dxa"/>
            <w:tcBorders>
              <w:top w:val="single" w:sz="4" w:space="0" w:color="000000"/>
              <w:left w:val="single" w:sz="12" w:space="0" w:color="000000"/>
              <w:bottom w:val="single" w:sz="4" w:space="0" w:color="000000"/>
              <w:right w:val="single" w:sz="12" w:space="0" w:color="000000"/>
            </w:tcBorders>
          </w:tcPr>
          <w:p w14:paraId="00206DEA" w14:textId="657EC961" w:rsidR="00B56D50" w:rsidRDefault="001C3C42" w:rsidP="003E4EAE">
            <w:pPr>
              <w:spacing w:after="0" w:line="259" w:lineRule="auto"/>
              <w:ind w:left="0" w:right="0" w:firstLine="0"/>
              <w:jc w:val="center"/>
            </w:pPr>
            <w:r>
              <w:rPr>
                <w:sz w:val="18"/>
              </w:rPr>
              <w:t>6020</w:t>
            </w:r>
          </w:p>
        </w:tc>
      </w:tr>
      <w:tr w:rsidR="00B56D50" w14:paraId="0D8A689A" w14:textId="77777777" w:rsidTr="005B6604">
        <w:trPr>
          <w:trHeight w:val="252"/>
        </w:trPr>
        <w:tc>
          <w:tcPr>
            <w:tcW w:w="1420" w:type="dxa"/>
            <w:tcBorders>
              <w:top w:val="single" w:sz="4" w:space="0" w:color="000000"/>
              <w:left w:val="single" w:sz="12" w:space="0" w:color="000000"/>
              <w:bottom w:val="single" w:sz="4" w:space="0" w:color="000000"/>
              <w:right w:val="single" w:sz="12" w:space="0" w:color="000000"/>
            </w:tcBorders>
          </w:tcPr>
          <w:p w14:paraId="70C5011B" w14:textId="77777777" w:rsidR="00B56D50" w:rsidRDefault="001C3C42">
            <w:pPr>
              <w:spacing w:after="0" w:line="259" w:lineRule="auto"/>
              <w:ind w:left="0" w:right="36" w:firstLine="0"/>
              <w:jc w:val="center"/>
            </w:pPr>
            <w:r>
              <w:rPr>
                <w:sz w:val="18"/>
              </w:rPr>
              <w:t xml:space="preserve">D009 </w:t>
            </w:r>
          </w:p>
        </w:tc>
        <w:tc>
          <w:tcPr>
            <w:tcW w:w="1958" w:type="dxa"/>
            <w:tcBorders>
              <w:top w:val="single" w:sz="4" w:space="0" w:color="000000"/>
              <w:left w:val="single" w:sz="12" w:space="0" w:color="000000"/>
              <w:bottom w:val="single" w:sz="4" w:space="0" w:color="000000"/>
              <w:right w:val="single" w:sz="12" w:space="0" w:color="000000"/>
            </w:tcBorders>
          </w:tcPr>
          <w:p w14:paraId="50C84B57" w14:textId="77777777" w:rsidR="00B56D50" w:rsidRDefault="001C3C42">
            <w:pPr>
              <w:spacing w:after="0" w:line="259" w:lineRule="auto"/>
              <w:ind w:left="0" w:right="0" w:firstLine="0"/>
            </w:pPr>
            <w:r>
              <w:rPr>
                <w:sz w:val="18"/>
              </w:rPr>
              <w:t xml:space="preserve">Mercury </w:t>
            </w:r>
          </w:p>
        </w:tc>
        <w:tc>
          <w:tcPr>
            <w:tcW w:w="1063" w:type="dxa"/>
            <w:tcBorders>
              <w:top w:val="single" w:sz="4" w:space="0" w:color="000000"/>
              <w:left w:val="single" w:sz="12" w:space="0" w:color="000000"/>
              <w:bottom w:val="single" w:sz="4" w:space="0" w:color="000000"/>
              <w:right w:val="single" w:sz="12" w:space="0" w:color="000000"/>
            </w:tcBorders>
          </w:tcPr>
          <w:p w14:paraId="2EFF1D0D" w14:textId="77777777" w:rsidR="00B56D50" w:rsidRDefault="001C3C42">
            <w:pPr>
              <w:spacing w:after="0" w:line="259" w:lineRule="auto"/>
              <w:ind w:left="0" w:right="39" w:firstLine="0"/>
              <w:jc w:val="center"/>
            </w:pPr>
            <w:r>
              <w:rPr>
                <w:sz w:val="18"/>
              </w:rPr>
              <w:t xml:space="preserve">1311 </w:t>
            </w:r>
          </w:p>
        </w:tc>
        <w:tc>
          <w:tcPr>
            <w:tcW w:w="879" w:type="dxa"/>
            <w:tcBorders>
              <w:top w:val="single" w:sz="4" w:space="0" w:color="000000"/>
              <w:left w:val="single" w:sz="12" w:space="0" w:color="000000"/>
              <w:bottom w:val="single" w:sz="4" w:space="0" w:color="000000"/>
              <w:right w:val="single" w:sz="12" w:space="0" w:color="000000"/>
            </w:tcBorders>
          </w:tcPr>
          <w:p w14:paraId="0C0A4A67" w14:textId="330C6C59" w:rsidR="00B56D50" w:rsidRDefault="001C3C42" w:rsidP="00985D98">
            <w:pPr>
              <w:spacing w:after="0" w:line="259" w:lineRule="auto"/>
              <w:ind w:left="0" w:right="0" w:firstLine="0"/>
              <w:jc w:val="center"/>
            </w:pPr>
            <w:r>
              <w:rPr>
                <w:sz w:val="18"/>
              </w:rPr>
              <w:t>0.02</w:t>
            </w:r>
          </w:p>
        </w:tc>
        <w:tc>
          <w:tcPr>
            <w:tcW w:w="711" w:type="dxa"/>
            <w:tcBorders>
              <w:top w:val="single" w:sz="4" w:space="0" w:color="000000"/>
              <w:left w:val="single" w:sz="12" w:space="0" w:color="000000"/>
              <w:bottom w:val="single" w:sz="4" w:space="0" w:color="000000"/>
              <w:right w:val="single" w:sz="12" w:space="0" w:color="000000"/>
            </w:tcBorders>
          </w:tcPr>
          <w:p w14:paraId="01D4FA42" w14:textId="77777777" w:rsidR="00B56D50" w:rsidRDefault="001C3C42">
            <w:pPr>
              <w:spacing w:after="0" w:line="259" w:lineRule="auto"/>
              <w:ind w:left="91" w:right="0" w:firstLine="0"/>
            </w:pPr>
            <w:r>
              <w:rPr>
                <w:sz w:val="18"/>
              </w:rPr>
              <w:t xml:space="preserve">mg/L </w:t>
            </w:r>
          </w:p>
        </w:tc>
        <w:tc>
          <w:tcPr>
            <w:tcW w:w="1157" w:type="dxa"/>
            <w:tcBorders>
              <w:top w:val="single" w:sz="4" w:space="0" w:color="000000"/>
              <w:left w:val="single" w:sz="12" w:space="0" w:color="000000"/>
              <w:bottom w:val="single" w:sz="4" w:space="0" w:color="000000"/>
              <w:right w:val="single" w:sz="12" w:space="0" w:color="000000"/>
            </w:tcBorders>
            <w:vAlign w:val="center"/>
          </w:tcPr>
          <w:p w14:paraId="6291693A" w14:textId="0764E849" w:rsidR="00B56D50" w:rsidRDefault="001C3C42" w:rsidP="004349B8">
            <w:pPr>
              <w:tabs>
                <w:tab w:val="center" w:pos="579"/>
              </w:tabs>
              <w:spacing w:after="0" w:line="259" w:lineRule="auto"/>
              <w:ind w:left="0" w:right="0" w:firstLine="0"/>
              <w:jc w:val="center"/>
            </w:pPr>
            <w:r>
              <w:rPr>
                <w:sz w:val="18"/>
              </w:rPr>
              <w:t>0.2</w:t>
            </w:r>
          </w:p>
        </w:tc>
        <w:tc>
          <w:tcPr>
            <w:tcW w:w="792" w:type="dxa"/>
            <w:tcBorders>
              <w:top w:val="single" w:sz="4" w:space="0" w:color="000000"/>
              <w:left w:val="single" w:sz="12" w:space="0" w:color="000000"/>
              <w:bottom w:val="single" w:sz="4" w:space="0" w:color="000000"/>
              <w:right w:val="single" w:sz="12" w:space="0" w:color="000000"/>
            </w:tcBorders>
          </w:tcPr>
          <w:p w14:paraId="7F7EB933" w14:textId="77777777" w:rsidR="00B56D50" w:rsidRDefault="001C3C42">
            <w:pPr>
              <w:spacing w:after="0" w:line="259" w:lineRule="auto"/>
              <w:ind w:left="0" w:right="41" w:firstLine="0"/>
              <w:jc w:val="center"/>
            </w:pPr>
            <w:r>
              <w:rPr>
                <w:sz w:val="18"/>
              </w:rPr>
              <w:t xml:space="preserve">mg/L </w:t>
            </w:r>
          </w:p>
        </w:tc>
        <w:tc>
          <w:tcPr>
            <w:tcW w:w="1452" w:type="dxa"/>
            <w:tcBorders>
              <w:top w:val="single" w:sz="4" w:space="0" w:color="000000"/>
              <w:left w:val="single" w:sz="12" w:space="0" w:color="000000"/>
              <w:bottom w:val="single" w:sz="4" w:space="0" w:color="000000"/>
              <w:right w:val="single" w:sz="12" w:space="0" w:color="000000"/>
            </w:tcBorders>
          </w:tcPr>
          <w:p w14:paraId="3B93D649" w14:textId="4C008500" w:rsidR="00B56D50" w:rsidRDefault="001C3C42" w:rsidP="003E4EAE">
            <w:pPr>
              <w:spacing w:after="0" w:line="259" w:lineRule="auto"/>
              <w:ind w:left="0" w:right="0" w:firstLine="0"/>
              <w:jc w:val="center"/>
            </w:pPr>
            <w:r>
              <w:rPr>
                <w:sz w:val="18"/>
              </w:rPr>
              <w:t>6020</w:t>
            </w:r>
          </w:p>
        </w:tc>
        <w:tc>
          <w:tcPr>
            <w:tcW w:w="1188" w:type="dxa"/>
            <w:tcBorders>
              <w:top w:val="single" w:sz="4" w:space="0" w:color="000000"/>
              <w:left w:val="single" w:sz="12" w:space="0" w:color="000000"/>
              <w:bottom w:val="single" w:sz="4" w:space="0" w:color="000000"/>
              <w:right w:val="single" w:sz="12" w:space="0" w:color="000000"/>
            </w:tcBorders>
          </w:tcPr>
          <w:p w14:paraId="319072A1" w14:textId="4AFB2704" w:rsidR="00B56D50" w:rsidRDefault="001C3C42" w:rsidP="003E4EAE">
            <w:pPr>
              <w:spacing w:after="0" w:line="259" w:lineRule="auto"/>
              <w:ind w:left="0" w:right="0" w:firstLine="0"/>
              <w:jc w:val="center"/>
            </w:pPr>
            <w:r>
              <w:rPr>
                <w:sz w:val="18"/>
              </w:rPr>
              <w:t>7470</w:t>
            </w:r>
            <w:r w:rsidR="003204BC">
              <w:rPr>
                <w:sz w:val="18"/>
              </w:rPr>
              <w:t>,</w:t>
            </w:r>
            <w:r>
              <w:rPr>
                <w:sz w:val="18"/>
              </w:rPr>
              <w:t xml:space="preserve"> 7472</w:t>
            </w:r>
          </w:p>
        </w:tc>
      </w:tr>
      <w:tr w:rsidR="00B56D50" w14:paraId="2694B5E2" w14:textId="77777777" w:rsidTr="005B6604">
        <w:trPr>
          <w:trHeight w:val="250"/>
        </w:trPr>
        <w:tc>
          <w:tcPr>
            <w:tcW w:w="1420" w:type="dxa"/>
            <w:tcBorders>
              <w:top w:val="single" w:sz="4" w:space="0" w:color="000000"/>
              <w:left w:val="single" w:sz="12" w:space="0" w:color="000000"/>
              <w:bottom w:val="single" w:sz="4" w:space="0" w:color="000000"/>
              <w:right w:val="single" w:sz="12" w:space="0" w:color="000000"/>
            </w:tcBorders>
          </w:tcPr>
          <w:p w14:paraId="11DB94D2" w14:textId="77777777" w:rsidR="00B56D50" w:rsidRDefault="001C3C42">
            <w:pPr>
              <w:spacing w:after="0" w:line="259" w:lineRule="auto"/>
              <w:ind w:left="0" w:right="36" w:firstLine="0"/>
              <w:jc w:val="center"/>
            </w:pPr>
            <w:r>
              <w:rPr>
                <w:sz w:val="18"/>
              </w:rPr>
              <w:t xml:space="preserve">D010 </w:t>
            </w:r>
          </w:p>
        </w:tc>
        <w:tc>
          <w:tcPr>
            <w:tcW w:w="1958" w:type="dxa"/>
            <w:tcBorders>
              <w:top w:val="single" w:sz="4" w:space="0" w:color="000000"/>
              <w:left w:val="single" w:sz="12" w:space="0" w:color="000000"/>
              <w:bottom w:val="single" w:sz="4" w:space="0" w:color="000000"/>
              <w:right w:val="single" w:sz="12" w:space="0" w:color="000000"/>
            </w:tcBorders>
          </w:tcPr>
          <w:p w14:paraId="2FE8EA99" w14:textId="3A777452" w:rsidR="00B56D50" w:rsidRDefault="001C3C42">
            <w:pPr>
              <w:spacing w:after="0" w:line="259" w:lineRule="auto"/>
              <w:ind w:left="0" w:right="0" w:firstLine="0"/>
            </w:pPr>
            <w:r>
              <w:rPr>
                <w:sz w:val="18"/>
              </w:rPr>
              <w:t>Selenium</w:t>
            </w:r>
            <w:r w:rsidR="006961E1">
              <w:rPr>
                <w:sz w:val="18"/>
              </w:rPr>
              <w:t xml:space="preserve"> </w:t>
            </w:r>
            <w:r w:rsidR="00D51E2E">
              <w:rPr>
                <w:b/>
                <w:sz w:val="18"/>
                <w:vertAlign w:val="superscript"/>
              </w:rPr>
              <w:t>30</w:t>
            </w:r>
            <w:r>
              <w:rPr>
                <w:sz w:val="18"/>
              </w:rPr>
              <w:t xml:space="preserve"> </w:t>
            </w:r>
          </w:p>
        </w:tc>
        <w:tc>
          <w:tcPr>
            <w:tcW w:w="1063" w:type="dxa"/>
            <w:tcBorders>
              <w:top w:val="single" w:sz="4" w:space="0" w:color="000000"/>
              <w:left w:val="single" w:sz="12" w:space="0" w:color="000000"/>
              <w:bottom w:val="single" w:sz="4" w:space="0" w:color="000000"/>
              <w:right w:val="single" w:sz="12" w:space="0" w:color="000000"/>
            </w:tcBorders>
          </w:tcPr>
          <w:p w14:paraId="157CACCD" w14:textId="77777777" w:rsidR="00B56D50" w:rsidRDefault="001C3C42">
            <w:pPr>
              <w:spacing w:after="0" w:line="259" w:lineRule="auto"/>
              <w:ind w:left="0" w:right="39" w:firstLine="0"/>
              <w:jc w:val="center"/>
            </w:pPr>
            <w:r>
              <w:rPr>
                <w:sz w:val="18"/>
              </w:rPr>
              <w:t xml:space="preserve">1311 </w:t>
            </w:r>
          </w:p>
        </w:tc>
        <w:tc>
          <w:tcPr>
            <w:tcW w:w="879" w:type="dxa"/>
            <w:tcBorders>
              <w:top w:val="single" w:sz="4" w:space="0" w:color="000000"/>
              <w:left w:val="single" w:sz="12" w:space="0" w:color="000000"/>
              <w:bottom w:val="single" w:sz="4" w:space="0" w:color="000000"/>
              <w:right w:val="single" w:sz="12" w:space="0" w:color="000000"/>
            </w:tcBorders>
          </w:tcPr>
          <w:p w14:paraId="6AFDF74E" w14:textId="7EA56FC4" w:rsidR="00B56D50" w:rsidRDefault="001C3C42" w:rsidP="00985D98">
            <w:pPr>
              <w:spacing w:after="0" w:line="259" w:lineRule="auto"/>
              <w:ind w:left="0" w:right="0" w:firstLine="0"/>
              <w:jc w:val="center"/>
            </w:pPr>
            <w:r>
              <w:rPr>
                <w:sz w:val="18"/>
              </w:rPr>
              <w:t>0.1</w:t>
            </w:r>
          </w:p>
        </w:tc>
        <w:tc>
          <w:tcPr>
            <w:tcW w:w="711" w:type="dxa"/>
            <w:tcBorders>
              <w:top w:val="single" w:sz="4" w:space="0" w:color="000000"/>
              <w:left w:val="single" w:sz="12" w:space="0" w:color="000000"/>
              <w:bottom w:val="single" w:sz="4" w:space="0" w:color="000000"/>
              <w:right w:val="single" w:sz="12" w:space="0" w:color="000000"/>
            </w:tcBorders>
          </w:tcPr>
          <w:p w14:paraId="2C056C70" w14:textId="77777777" w:rsidR="00B56D50" w:rsidRDefault="001C3C42">
            <w:pPr>
              <w:spacing w:after="0" w:line="259" w:lineRule="auto"/>
              <w:ind w:left="91" w:right="0" w:firstLine="0"/>
            </w:pPr>
            <w:r>
              <w:rPr>
                <w:sz w:val="18"/>
              </w:rPr>
              <w:t xml:space="preserve">mg/L </w:t>
            </w:r>
          </w:p>
        </w:tc>
        <w:tc>
          <w:tcPr>
            <w:tcW w:w="1157" w:type="dxa"/>
            <w:tcBorders>
              <w:top w:val="single" w:sz="4" w:space="0" w:color="000000"/>
              <w:left w:val="single" w:sz="12" w:space="0" w:color="000000"/>
              <w:bottom w:val="single" w:sz="4" w:space="0" w:color="000000"/>
              <w:right w:val="single" w:sz="12" w:space="0" w:color="000000"/>
            </w:tcBorders>
            <w:vAlign w:val="center"/>
          </w:tcPr>
          <w:p w14:paraId="671DDD53" w14:textId="452FF835" w:rsidR="00B56D50" w:rsidRDefault="001C3C42" w:rsidP="004349B8">
            <w:pPr>
              <w:tabs>
                <w:tab w:val="center" w:pos="579"/>
              </w:tabs>
              <w:spacing w:after="0" w:line="259" w:lineRule="auto"/>
              <w:ind w:left="0" w:right="0" w:firstLine="0"/>
              <w:jc w:val="center"/>
            </w:pPr>
            <w:r>
              <w:rPr>
                <w:sz w:val="18"/>
              </w:rPr>
              <w:t>1</w:t>
            </w:r>
          </w:p>
        </w:tc>
        <w:tc>
          <w:tcPr>
            <w:tcW w:w="792" w:type="dxa"/>
            <w:tcBorders>
              <w:top w:val="single" w:sz="4" w:space="0" w:color="000000"/>
              <w:left w:val="single" w:sz="12" w:space="0" w:color="000000"/>
              <w:bottom w:val="single" w:sz="4" w:space="0" w:color="000000"/>
              <w:right w:val="single" w:sz="12" w:space="0" w:color="000000"/>
            </w:tcBorders>
          </w:tcPr>
          <w:p w14:paraId="7FC0B4C8" w14:textId="77777777" w:rsidR="00B56D50" w:rsidRDefault="001C3C42">
            <w:pPr>
              <w:spacing w:after="0" w:line="259" w:lineRule="auto"/>
              <w:ind w:left="0" w:right="41" w:firstLine="0"/>
              <w:jc w:val="center"/>
            </w:pPr>
            <w:r>
              <w:rPr>
                <w:sz w:val="18"/>
              </w:rPr>
              <w:t xml:space="preserve">mg/L </w:t>
            </w:r>
          </w:p>
        </w:tc>
        <w:tc>
          <w:tcPr>
            <w:tcW w:w="1452" w:type="dxa"/>
            <w:tcBorders>
              <w:top w:val="single" w:sz="4" w:space="0" w:color="000000"/>
              <w:left w:val="single" w:sz="12" w:space="0" w:color="000000"/>
              <w:bottom w:val="single" w:sz="4" w:space="0" w:color="000000"/>
              <w:right w:val="single" w:sz="12" w:space="0" w:color="000000"/>
            </w:tcBorders>
          </w:tcPr>
          <w:p w14:paraId="1EE4519F" w14:textId="2014B260" w:rsidR="00B56D50" w:rsidRDefault="001C3C42" w:rsidP="003E4EAE">
            <w:pPr>
              <w:spacing w:after="0" w:line="259" w:lineRule="auto"/>
              <w:ind w:left="0" w:right="0" w:firstLine="0"/>
              <w:jc w:val="center"/>
            </w:pPr>
            <w:r>
              <w:rPr>
                <w:sz w:val="18"/>
              </w:rPr>
              <w:t>6010</w:t>
            </w:r>
          </w:p>
        </w:tc>
        <w:tc>
          <w:tcPr>
            <w:tcW w:w="1188" w:type="dxa"/>
            <w:tcBorders>
              <w:top w:val="single" w:sz="4" w:space="0" w:color="000000"/>
              <w:left w:val="single" w:sz="12" w:space="0" w:color="000000"/>
              <w:bottom w:val="single" w:sz="4" w:space="0" w:color="000000"/>
              <w:right w:val="single" w:sz="12" w:space="0" w:color="000000"/>
            </w:tcBorders>
          </w:tcPr>
          <w:p w14:paraId="381C0911" w14:textId="550BD242" w:rsidR="00B56D50" w:rsidRDefault="001C3C42" w:rsidP="003E4EAE">
            <w:pPr>
              <w:spacing w:after="0" w:line="259" w:lineRule="auto"/>
              <w:ind w:left="0" w:right="0" w:firstLine="0"/>
              <w:jc w:val="center"/>
            </w:pPr>
            <w:r>
              <w:rPr>
                <w:sz w:val="18"/>
              </w:rPr>
              <w:t>6020</w:t>
            </w:r>
          </w:p>
        </w:tc>
      </w:tr>
      <w:tr w:rsidR="00B56D50" w14:paraId="4B955085" w14:textId="77777777" w:rsidTr="005B6604">
        <w:trPr>
          <w:trHeight w:val="250"/>
        </w:trPr>
        <w:tc>
          <w:tcPr>
            <w:tcW w:w="1420" w:type="dxa"/>
            <w:tcBorders>
              <w:top w:val="single" w:sz="4" w:space="0" w:color="000000"/>
              <w:left w:val="single" w:sz="12" w:space="0" w:color="000000"/>
              <w:bottom w:val="single" w:sz="4" w:space="0" w:color="000000"/>
              <w:right w:val="single" w:sz="12" w:space="0" w:color="000000"/>
            </w:tcBorders>
          </w:tcPr>
          <w:p w14:paraId="32125760" w14:textId="77777777" w:rsidR="00B56D50" w:rsidRDefault="001C3C42">
            <w:pPr>
              <w:spacing w:after="0" w:line="259" w:lineRule="auto"/>
              <w:ind w:left="0" w:right="36" w:firstLine="0"/>
              <w:jc w:val="center"/>
            </w:pPr>
            <w:r>
              <w:rPr>
                <w:sz w:val="18"/>
              </w:rPr>
              <w:t xml:space="preserve">D011 </w:t>
            </w:r>
          </w:p>
        </w:tc>
        <w:tc>
          <w:tcPr>
            <w:tcW w:w="1958" w:type="dxa"/>
            <w:tcBorders>
              <w:top w:val="single" w:sz="4" w:space="0" w:color="000000"/>
              <w:left w:val="single" w:sz="12" w:space="0" w:color="000000"/>
              <w:bottom w:val="single" w:sz="4" w:space="0" w:color="000000"/>
              <w:right w:val="single" w:sz="12" w:space="0" w:color="000000"/>
            </w:tcBorders>
          </w:tcPr>
          <w:p w14:paraId="04AEC12A" w14:textId="77777777" w:rsidR="00B56D50" w:rsidRDefault="001C3C42">
            <w:pPr>
              <w:spacing w:after="0" w:line="259" w:lineRule="auto"/>
              <w:ind w:left="0" w:right="0" w:firstLine="0"/>
            </w:pPr>
            <w:r>
              <w:rPr>
                <w:sz w:val="18"/>
              </w:rPr>
              <w:t xml:space="preserve">Silver </w:t>
            </w:r>
          </w:p>
        </w:tc>
        <w:tc>
          <w:tcPr>
            <w:tcW w:w="1063" w:type="dxa"/>
            <w:tcBorders>
              <w:top w:val="single" w:sz="4" w:space="0" w:color="000000"/>
              <w:left w:val="single" w:sz="12" w:space="0" w:color="000000"/>
              <w:bottom w:val="single" w:sz="4" w:space="0" w:color="000000"/>
              <w:right w:val="single" w:sz="12" w:space="0" w:color="000000"/>
            </w:tcBorders>
          </w:tcPr>
          <w:p w14:paraId="3F352014" w14:textId="77777777" w:rsidR="00B56D50" w:rsidRDefault="001C3C42">
            <w:pPr>
              <w:spacing w:after="0" w:line="259" w:lineRule="auto"/>
              <w:ind w:left="0" w:right="39" w:firstLine="0"/>
              <w:jc w:val="center"/>
            </w:pPr>
            <w:r>
              <w:rPr>
                <w:sz w:val="18"/>
              </w:rPr>
              <w:t xml:space="preserve">1311 </w:t>
            </w:r>
          </w:p>
        </w:tc>
        <w:tc>
          <w:tcPr>
            <w:tcW w:w="879" w:type="dxa"/>
            <w:tcBorders>
              <w:top w:val="single" w:sz="4" w:space="0" w:color="000000"/>
              <w:left w:val="single" w:sz="12" w:space="0" w:color="000000"/>
              <w:bottom w:val="single" w:sz="4" w:space="0" w:color="000000"/>
              <w:right w:val="single" w:sz="12" w:space="0" w:color="000000"/>
            </w:tcBorders>
          </w:tcPr>
          <w:p w14:paraId="741C8577" w14:textId="2BBD9F73" w:rsidR="00B56D50" w:rsidRDefault="001C3C42" w:rsidP="00985D98">
            <w:pPr>
              <w:spacing w:after="0" w:line="259" w:lineRule="auto"/>
              <w:ind w:left="0" w:right="0" w:firstLine="0"/>
              <w:jc w:val="center"/>
            </w:pPr>
            <w:r>
              <w:rPr>
                <w:sz w:val="18"/>
              </w:rPr>
              <w:t>0.5</w:t>
            </w:r>
          </w:p>
        </w:tc>
        <w:tc>
          <w:tcPr>
            <w:tcW w:w="711" w:type="dxa"/>
            <w:tcBorders>
              <w:top w:val="single" w:sz="4" w:space="0" w:color="000000"/>
              <w:left w:val="single" w:sz="12" w:space="0" w:color="000000"/>
              <w:bottom w:val="single" w:sz="4" w:space="0" w:color="000000"/>
              <w:right w:val="single" w:sz="12" w:space="0" w:color="000000"/>
            </w:tcBorders>
          </w:tcPr>
          <w:p w14:paraId="05391D25" w14:textId="77777777" w:rsidR="00B56D50" w:rsidRDefault="001C3C42">
            <w:pPr>
              <w:spacing w:after="0" w:line="259" w:lineRule="auto"/>
              <w:ind w:left="91" w:right="0" w:firstLine="0"/>
            </w:pPr>
            <w:r>
              <w:rPr>
                <w:sz w:val="18"/>
              </w:rPr>
              <w:t xml:space="preserve">mg/L </w:t>
            </w:r>
          </w:p>
        </w:tc>
        <w:tc>
          <w:tcPr>
            <w:tcW w:w="1157" w:type="dxa"/>
            <w:tcBorders>
              <w:top w:val="single" w:sz="4" w:space="0" w:color="000000"/>
              <w:left w:val="single" w:sz="12" w:space="0" w:color="000000"/>
              <w:bottom w:val="single" w:sz="4" w:space="0" w:color="000000"/>
              <w:right w:val="single" w:sz="12" w:space="0" w:color="000000"/>
            </w:tcBorders>
            <w:vAlign w:val="center"/>
          </w:tcPr>
          <w:p w14:paraId="7B1FD21B" w14:textId="5C51F23A" w:rsidR="00B56D50" w:rsidRDefault="001C3C42" w:rsidP="004349B8">
            <w:pPr>
              <w:tabs>
                <w:tab w:val="center" w:pos="579"/>
              </w:tabs>
              <w:spacing w:after="0" w:line="259" w:lineRule="auto"/>
              <w:ind w:left="0" w:right="0" w:firstLine="0"/>
              <w:jc w:val="center"/>
            </w:pPr>
            <w:r>
              <w:rPr>
                <w:sz w:val="18"/>
              </w:rPr>
              <w:t>5</w:t>
            </w:r>
          </w:p>
        </w:tc>
        <w:tc>
          <w:tcPr>
            <w:tcW w:w="792" w:type="dxa"/>
            <w:tcBorders>
              <w:top w:val="single" w:sz="4" w:space="0" w:color="000000"/>
              <w:left w:val="single" w:sz="12" w:space="0" w:color="000000"/>
              <w:bottom w:val="single" w:sz="4" w:space="0" w:color="000000"/>
              <w:right w:val="single" w:sz="12" w:space="0" w:color="000000"/>
            </w:tcBorders>
          </w:tcPr>
          <w:p w14:paraId="0ECC4275" w14:textId="77777777" w:rsidR="00B56D50" w:rsidRDefault="001C3C42">
            <w:pPr>
              <w:spacing w:after="0" w:line="259" w:lineRule="auto"/>
              <w:ind w:left="0" w:right="41" w:firstLine="0"/>
              <w:jc w:val="center"/>
            </w:pPr>
            <w:r>
              <w:rPr>
                <w:sz w:val="18"/>
              </w:rPr>
              <w:t xml:space="preserve">mg/L </w:t>
            </w:r>
          </w:p>
        </w:tc>
        <w:tc>
          <w:tcPr>
            <w:tcW w:w="1452" w:type="dxa"/>
            <w:tcBorders>
              <w:top w:val="single" w:sz="4" w:space="0" w:color="000000"/>
              <w:left w:val="single" w:sz="12" w:space="0" w:color="000000"/>
              <w:bottom w:val="single" w:sz="4" w:space="0" w:color="000000"/>
              <w:right w:val="single" w:sz="12" w:space="0" w:color="000000"/>
            </w:tcBorders>
          </w:tcPr>
          <w:p w14:paraId="4D1E44AA" w14:textId="418E0F75" w:rsidR="00B56D50" w:rsidRDefault="001C3C42" w:rsidP="003E4EAE">
            <w:pPr>
              <w:spacing w:after="0" w:line="259" w:lineRule="auto"/>
              <w:ind w:left="0" w:right="0" w:firstLine="0"/>
              <w:jc w:val="center"/>
            </w:pPr>
            <w:r>
              <w:rPr>
                <w:sz w:val="18"/>
              </w:rPr>
              <w:t>6010</w:t>
            </w:r>
          </w:p>
        </w:tc>
        <w:tc>
          <w:tcPr>
            <w:tcW w:w="1188" w:type="dxa"/>
            <w:tcBorders>
              <w:top w:val="single" w:sz="4" w:space="0" w:color="000000"/>
              <w:left w:val="single" w:sz="12" w:space="0" w:color="000000"/>
              <w:bottom w:val="single" w:sz="4" w:space="0" w:color="000000"/>
              <w:right w:val="single" w:sz="12" w:space="0" w:color="000000"/>
            </w:tcBorders>
          </w:tcPr>
          <w:p w14:paraId="1D3D1683" w14:textId="01F3E169" w:rsidR="00B56D50" w:rsidRDefault="001C3C42" w:rsidP="003E4EAE">
            <w:pPr>
              <w:spacing w:after="0" w:line="259" w:lineRule="auto"/>
              <w:ind w:left="0" w:right="0" w:firstLine="0"/>
              <w:jc w:val="center"/>
            </w:pPr>
            <w:r>
              <w:rPr>
                <w:sz w:val="18"/>
              </w:rPr>
              <w:t>6020</w:t>
            </w:r>
          </w:p>
        </w:tc>
      </w:tr>
      <w:tr w:rsidR="00B56D50" w14:paraId="5F048D78" w14:textId="77777777" w:rsidTr="005B6604">
        <w:trPr>
          <w:trHeight w:val="250"/>
        </w:trPr>
        <w:tc>
          <w:tcPr>
            <w:tcW w:w="1420" w:type="dxa"/>
            <w:tcBorders>
              <w:top w:val="single" w:sz="4" w:space="0" w:color="000000"/>
              <w:left w:val="single" w:sz="12" w:space="0" w:color="000000"/>
              <w:bottom w:val="single" w:sz="4" w:space="0" w:color="000000"/>
              <w:right w:val="single" w:sz="12" w:space="0" w:color="000000"/>
            </w:tcBorders>
          </w:tcPr>
          <w:p w14:paraId="3A3EC93F" w14:textId="77777777" w:rsidR="00B56D50" w:rsidRDefault="001C3C42">
            <w:pPr>
              <w:spacing w:after="0" w:line="259" w:lineRule="auto"/>
              <w:ind w:left="0" w:right="36" w:firstLine="0"/>
              <w:jc w:val="center"/>
            </w:pPr>
            <w:r>
              <w:rPr>
                <w:sz w:val="18"/>
              </w:rPr>
              <w:t xml:space="preserve">D012 </w:t>
            </w:r>
          </w:p>
        </w:tc>
        <w:tc>
          <w:tcPr>
            <w:tcW w:w="1958" w:type="dxa"/>
            <w:tcBorders>
              <w:top w:val="single" w:sz="4" w:space="0" w:color="000000"/>
              <w:left w:val="single" w:sz="12" w:space="0" w:color="000000"/>
              <w:bottom w:val="single" w:sz="4" w:space="0" w:color="000000"/>
              <w:right w:val="single" w:sz="12" w:space="0" w:color="000000"/>
            </w:tcBorders>
          </w:tcPr>
          <w:p w14:paraId="15BB41F1" w14:textId="77777777" w:rsidR="00B56D50" w:rsidRDefault="001C3C42">
            <w:pPr>
              <w:spacing w:after="0" w:line="259" w:lineRule="auto"/>
              <w:ind w:left="0" w:right="0" w:firstLine="0"/>
            </w:pPr>
            <w:r>
              <w:rPr>
                <w:sz w:val="18"/>
              </w:rPr>
              <w:t xml:space="preserve">Endrin </w:t>
            </w:r>
          </w:p>
        </w:tc>
        <w:tc>
          <w:tcPr>
            <w:tcW w:w="1063" w:type="dxa"/>
            <w:tcBorders>
              <w:top w:val="single" w:sz="4" w:space="0" w:color="000000"/>
              <w:left w:val="single" w:sz="12" w:space="0" w:color="000000"/>
              <w:bottom w:val="single" w:sz="4" w:space="0" w:color="000000"/>
              <w:right w:val="single" w:sz="12" w:space="0" w:color="000000"/>
            </w:tcBorders>
          </w:tcPr>
          <w:p w14:paraId="4BDD7C0A" w14:textId="77777777" w:rsidR="00B56D50" w:rsidRDefault="001C3C42">
            <w:pPr>
              <w:spacing w:after="0" w:line="259" w:lineRule="auto"/>
              <w:ind w:left="0" w:right="39" w:firstLine="0"/>
              <w:jc w:val="center"/>
            </w:pPr>
            <w:r>
              <w:rPr>
                <w:sz w:val="18"/>
              </w:rPr>
              <w:t xml:space="preserve">1311 </w:t>
            </w:r>
          </w:p>
        </w:tc>
        <w:tc>
          <w:tcPr>
            <w:tcW w:w="879" w:type="dxa"/>
            <w:tcBorders>
              <w:top w:val="single" w:sz="4" w:space="0" w:color="000000"/>
              <w:left w:val="single" w:sz="12" w:space="0" w:color="000000"/>
              <w:bottom w:val="single" w:sz="4" w:space="0" w:color="000000"/>
              <w:right w:val="single" w:sz="12" w:space="0" w:color="000000"/>
            </w:tcBorders>
          </w:tcPr>
          <w:p w14:paraId="0AEC5C09" w14:textId="249AD253" w:rsidR="00B56D50" w:rsidRDefault="001C3C42" w:rsidP="00985D98">
            <w:pPr>
              <w:spacing w:after="0" w:line="259" w:lineRule="auto"/>
              <w:ind w:left="0" w:right="0" w:firstLine="0"/>
              <w:jc w:val="center"/>
            </w:pPr>
            <w:r>
              <w:rPr>
                <w:sz w:val="18"/>
              </w:rPr>
              <w:t>0.002</w:t>
            </w:r>
          </w:p>
        </w:tc>
        <w:tc>
          <w:tcPr>
            <w:tcW w:w="711" w:type="dxa"/>
            <w:tcBorders>
              <w:top w:val="single" w:sz="4" w:space="0" w:color="000000"/>
              <w:left w:val="single" w:sz="12" w:space="0" w:color="000000"/>
              <w:bottom w:val="single" w:sz="4" w:space="0" w:color="000000"/>
              <w:right w:val="single" w:sz="12" w:space="0" w:color="000000"/>
            </w:tcBorders>
          </w:tcPr>
          <w:p w14:paraId="289374ED" w14:textId="77777777" w:rsidR="00B56D50" w:rsidRDefault="001C3C42">
            <w:pPr>
              <w:spacing w:after="0" w:line="259" w:lineRule="auto"/>
              <w:ind w:left="91" w:right="0" w:firstLine="0"/>
            </w:pPr>
            <w:r>
              <w:rPr>
                <w:sz w:val="18"/>
              </w:rPr>
              <w:t xml:space="preserve">mg/L </w:t>
            </w:r>
          </w:p>
        </w:tc>
        <w:tc>
          <w:tcPr>
            <w:tcW w:w="1157" w:type="dxa"/>
            <w:tcBorders>
              <w:top w:val="single" w:sz="4" w:space="0" w:color="000000"/>
              <w:left w:val="single" w:sz="12" w:space="0" w:color="000000"/>
              <w:bottom w:val="single" w:sz="4" w:space="0" w:color="000000"/>
              <w:right w:val="single" w:sz="12" w:space="0" w:color="000000"/>
            </w:tcBorders>
            <w:vAlign w:val="center"/>
          </w:tcPr>
          <w:p w14:paraId="3BF96FA8" w14:textId="4EC68744" w:rsidR="00B56D50" w:rsidRDefault="001C3C42" w:rsidP="004349B8">
            <w:pPr>
              <w:tabs>
                <w:tab w:val="center" w:pos="623"/>
              </w:tabs>
              <w:spacing w:after="0" w:line="259" w:lineRule="auto"/>
              <w:ind w:left="0" w:right="0" w:firstLine="0"/>
              <w:jc w:val="center"/>
            </w:pPr>
            <w:r>
              <w:rPr>
                <w:sz w:val="18"/>
              </w:rPr>
              <w:t>0.02</w:t>
            </w:r>
          </w:p>
        </w:tc>
        <w:tc>
          <w:tcPr>
            <w:tcW w:w="792" w:type="dxa"/>
            <w:tcBorders>
              <w:top w:val="single" w:sz="4" w:space="0" w:color="000000"/>
              <w:left w:val="single" w:sz="12" w:space="0" w:color="000000"/>
              <w:bottom w:val="single" w:sz="4" w:space="0" w:color="000000"/>
              <w:right w:val="single" w:sz="12" w:space="0" w:color="000000"/>
            </w:tcBorders>
          </w:tcPr>
          <w:p w14:paraId="6B3D456A" w14:textId="77777777" w:rsidR="00B56D50" w:rsidRDefault="001C3C42">
            <w:pPr>
              <w:spacing w:after="0" w:line="259" w:lineRule="auto"/>
              <w:ind w:left="0" w:right="41" w:firstLine="0"/>
              <w:jc w:val="center"/>
            </w:pPr>
            <w:r>
              <w:rPr>
                <w:sz w:val="18"/>
              </w:rPr>
              <w:t xml:space="preserve">mg/L </w:t>
            </w:r>
          </w:p>
        </w:tc>
        <w:tc>
          <w:tcPr>
            <w:tcW w:w="1452" w:type="dxa"/>
            <w:tcBorders>
              <w:top w:val="single" w:sz="4" w:space="0" w:color="000000"/>
              <w:left w:val="single" w:sz="12" w:space="0" w:color="000000"/>
              <w:bottom w:val="single" w:sz="4" w:space="0" w:color="000000"/>
              <w:right w:val="single" w:sz="12" w:space="0" w:color="000000"/>
            </w:tcBorders>
          </w:tcPr>
          <w:p w14:paraId="289CD4FE" w14:textId="041B2DD3" w:rsidR="00B56D50" w:rsidRDefault="001C3C42" w:rsidP="003E4EAE">
            <w:pPr>
              <w:spacing w:after="0" w:line="259" w:lineRule="auto"/>
              <w:ind w:left="0" w:right="0" w:firstLine="0"/>
              <w:jc w:val="center"/>
            </w:pPr>
            <w:r>
              <w:rPr>
                <w:sz w:val="18"/>
              </w:rPr>
              <w:t>8081</w:t>
            </w:r>
          </w:p>
        </w:tc>
        <w:tc>
          <w:tcPr>
            <w:tcW w:w="1188" w:type="dxa"/>
            <w:tcBorders>
              <w:top w:val="single" w:sz="4" w:space="0" w:color="000000"/>
              <w:left w:val="single" w:sz="12" w:space="0" w:color="000000"/>
              <w:bottom w:val="single" w:sz="4" w:space="0" w:color="000000"/>
              <w:right w:val="single" w:sz="12" w:space="0" w:color="000000"/>
            </w:tcBorders>
          </w:tcPr>
          <w:p w14:paraId="23A3D3E4" w14:textId="21B99F5E" w:rsidR="00B56D50" w:rsidRDefault="00B56D50" w:rsidP="003E4EAE">
            <w:pPr>
              <w:spacing w:after="0" w:line="259" w:lineRule="auto"/>
              <w:ind w:left="0" w:right="0" w:firstLine="0"/>
              <w:jc w:val="center"/>
            </w:pPr>
          </w:p>
        </w:tc>
      </w:tr>
      <w:tr w:rsidR="00B56D50" w14:paraId="1C6192A7" w14:textId="77777777" w:rsidTr="005B6604">
        <w:trPr>
          <w:trHeight w:val="250"/>
        </w:trPr>
        <w:tc>
          <w:tcPr>
            <w:tcW w:w="1420" w:type="dxa"/>
            <w:tcBorders>
              <w:top w:val="single" w:sz="4" w:space="0" w:color="000000"/>
              <w:left w:val="single" w:sz="12" w:space="0" w:color="000000"/>
              <w:bottom w:val="single" w:sz="4" w:space="0" w:color="000000"/>
              <w:right w:val="single" w:sz="12" w:space="0" w:color="000000"/>
            </w:tcBorders>
          </w:tcPr>
          <w:p w14:paraId="4CB424E9" w14:textId="77777777" w:rsidR="00B56D50" w:rsidRDefault="001C3C42">
            <w:pPr>
              <w:spacing w:after="0" w:line="259" w:lineRule="auto"/>
              <w:ind w:left="0" w:right="36" w:firstLine="0"/>
              <w:jc w:val="center"/>
            </w:pPr>
            <w:r>
              <w:rPr>
                <w:sz w:val="18"/>
              </w:rPr>
              <w:t xml:space="preserve">D013 </w:t>
            </w:r>
          </w:p>
        </w:tc>
        <w:tc>
          <w:tcPr>
            <w:tcW w:w="1958" w:type="dxa"/>
            <w:tcBorders>
              <w:top w:val="single" w:sz="4" w:space="0" w:color="000000"/>
              <w:left w:val="single" w:sz="12" w:space="0" w:color="000000"/>
              <w:bottom w:val="single" w:sz="4" w:space="0" w:color="000000"/>
              <w:right w:val="single" w:sz="12" w:space="0" w:color="000000"/>
            </w:tcBorders>
          </w:tcPr>
          <w:p w14:paraId="35F8E333" w14:textId="35A1CC1C" w:rsidR="00B56D50" w:rsidRDefault="001C3C42">
            <w:pPr>
              <w:spacing w:after="0" w:line="259" w:lineRule="auto"/>
              <w:ind w:left="0" w:right="0" w:firstLine="0"/>
            </w:pPr>
            <w:r>
              <w:rPr>
                <w:sz w:val="18"/>
              </w:rPr>
              <w:t xml:space="preserve">Lindane </w:t>
            </w:r>
            <w:r w:rsidR="001F4437">
              <w:rPr>
                <w:sz w:val="18"/>
              </w:rPr>
              <w:t>(</w:t>
            </w:r>
            <w:r w:rsidR="007F5696">
              <w:rPr>
                <w:rFonts w:ascii="Symbol" w:eastAsia="Symbol" w:hAnsi="Symbol" w:cs="Symbol"/>
                <w:sz w:val="18"/>
              </w:rPr>
              <w:t>d</w:t>
            </w:r>
            <w:r w:rsidR="001F4437">
              <w:rPr>
                <w:sz w:val="18"/>
              </w:rPr>
              <w:t>-</w:t>
            </w:r>
            <w:r>
              <w:rPr>
                <w:sz w:val="18"/>
              </w:rPr>
              <w:t xml:space="preserve">HCH) </w:t>
            </w:r>
          </w:p>
        </w:tc>
        <w:tc>
          <w:tcPr>
            <w:tcW w:w="1063" w:type="dxa"/>
            <w:tcBorders>
              <w:top w:val="single" w:sz="4" w:space="0" w:color="000000"/>
              <w:left w:val="single" w:sz="12" w:space="0" w:color="000000"/>
              <w:bottom w:val="single" w:sz="4" w:space="0" w:color="000000"/>
              <w:right w:val="single" w:sz="12" w:space="0" w:color="000000"/>
            </w:tcBorders>
          </w:tcPr>
          <w:p w14:paraId="2830EC3A" w14:textId="77777777" w:rsidR="00B56D50" w:rsidRDefault="001C3C42">
            <w:pPr>
              <w:spacing w:after="0" w:line="259" w:lineRule="auto"/>
              <w:ind w:left="0" w:right="39" w:firstLine="0"/>
              <w:jc w:val="center"/>
            </w:pPr>
            <w:r>
              <w:rPr>
                <w:sz w:val="18"/>
              </w:rPr>
              <w:t xml:space="preserve">1311 </w:t>
            </w:r>
          </w:p>
        </w:tc>
        <w:tc>
          <w:tcPr>
            <w:tcW w:w="879" w:type="dxa"/>
            <w:tcBorders>
              <w:top w:val="single" w:sz="4" w:space="0" w:color="000000"/>
              <w:left w:val="single" w:sz="12" w:space="0" w:color="000000"/>
              <w:bottom w:val="single" w:sz="4" w:space="0" w:color="000000"/>
              <w:right w:val="single" w:sz="12" w:space="0" w:color="000000"/>
            </w:tcBorders>
          </w:tcPr>
          <w:p w14:paraId="77E33898" w14:textId="628381EF" w:rsidR="00B56D50" w:rsidRDefault="001C3C42" w:rsidP="00985D98">
            <w:pPr>
              <w:spacing w:after="0" w:line="259" w:lineRule="auto"/>
              <w:ind w:left="0" w:right="0" w:firstLine="0"/>
              <w:jc w:val="center"/>
            </w:pPr>
            <w:r>
              <w:rPr>
                <w:sz w:val="18"/>
              </w:rPr>
              <w:t>0.04</w:t>
            </w:r>
          </w:p>
        </w:tc>
        <w:tc>
          <w:tcPr>
            <w:tcW w:w="711" w:type="dxa"/>
            <w:tcBorders>
              <w:top w:val="single" w:sz="4" w:space="0" w:color="000000"/>
              <w:left w:val="single" w:sz="12" w:space="0" w:color="000000"/>
              <w:bottom w:val="single" w:sz="4" w:space="0" w:color="000000"/>
              <w:right w:val="single" w:sz="12" w:space="0" w:color="000000"/>
            </w:tcBorders>
          </w:tcPr>
          <w:p w14:paraId="62FF2304" w14:textId="77777777" w:rsidR="00B56D50" w:rsidRDefault="001C3C42">
            <w:pPr>
              <w:spacing w:after="0" w:line="259" w:lineRule="auto"/>
              <w:ind w:left="91" w:right="0" w:firstLine="0"/>
            </w:pPr>
            <w:r>
              <w:rPr>
                <w:sz w:val="18"/>
              </w:rPr>
              <w:t xml:space="preserve">mg/L </w:t>
            </w:r>
          </w:p>
        </w:tc>
        <w:tc>
          <w:tcPr>
            <w:tcW w:w="1157" w:type="dxa"/>
            <w:tcBorders>
              <w:top w:val="single" w:sz="4" w:space="0" w:color="000000"/>
              <w:left w:val="single" w:sz="12" w:space="0" w:color="000000"/>
              <w:bottom w:val="single" w:sz="4" w:space="0" w:color="000000"/>
              <w:right w:val="single" w:sz="12" w:space="0" w:color="000000"/>
            </w:tcBorders>
            <w:vAlign w:val="center"/>
          </w:tcPr>
          <w:p w14:paraId="70EF3DC5" w14:textId="314020A2" w:rsidR="00B56D50" w:rsidRDefault="001C3C42" w:rsidP="004349B8">
            <w:pPr>
              <w:tabs>
                <w:tab w:val="center" w:pos="579"/>
              </w:tabs>
              <w:spacing w:after="0" w:line="259" w:lineRule="auto"/>
              <w:ind w:left="0" w:right="0" w:firstLine="0"/>
              <w:jc w:val="center"/>
            </w:pPr>
            <w:r>
              <w:rPr>
                <w:sz w:val="18"/>
              </w:rPr>
              <w:t>0.4</w:t>
            </w:r>
          </w:p>
        </w:tc>
        <w:tc>
          <w:tcPr>
            <w:tcW w:w="792" w:type="dxa"/>
            <w:tcBorders>
              <w:top w:val="single" w:sz="4" w:space="0" w:color="000000"/>
              <w:left w:val="single" w:sz="12" w:space="0" w:color="000000"/>
              <w:bottom w:val="single" w:sz="4" w:space="0" w:color="000000"/>
              <w:right w:val="single" w:sz="12" w:space="0" w:color="000000"/>
            </w:tcBorders>
          </w:tcPr>
          <w:p w14:paraId="2521AF4C" w14:textId="77777777" w:rsidR="00B56D50" w:rsidRDefault="001C3C42">
            <w:pPr>
              <w:spacing w:after="0" w:line="259" w:lineRule="auto"/>
              <w:ind w:left="0" w:right="41" w:firstLine="0"/>
              <w:jc w:val="center"/>
            </w:pPr>
            <w:r>
              <w:rPr>
                <w:sz w:val="18"/>
              </w:rPr>
              <w:t xml:space="preserve">mg/L </w:t>
            </w:r>
          </w:p>
        </w:tc>
        <w:tc>
          <w:tcPr>
            <w:tcW w:w="1452" w:type="dxa"/>
            <w:tcBorders>
              <w:top w:val="single" w:sz="4" w:space="0" w:color="000000"/>
              <w:left w:val="single" w:sz="12" w:space="0" w:color="000000"/>
              <w:bottom w:val="single" w:sz="4" w:space="0" w:color="000000"/>
              <w:right w:val="single" w:sz="12" w:space="0" w:color="000000"/>
            </w:tcBorders>
          </w:tcPr>
          <w:p w14:paraId="184EAC7C" w14:textId="6923ADF5" w:rsidR="00B56D50" w:rsidRDefault="001C3C42" w:rsidP="003E4EAE">
            <w:pPr>
              <w:spacing w:after="0" w:line="259" w:lineRule="auto"/>
              <w:ind w:left="0" w:right="0" w:firstLine="0"/>
              <w:jc w:val="center"/>
            </w:pPr>
            <w:r>
              <w:rPr>
                <w:sz w:val="18"/>
              </w:rPr>
              <w:t>8081</w:t>
            </w:r>
          </w:p>
        </w:tc>
        <w:tc>
          <w:tcPr>
            <w:tcW w:w="1188" w:type="dxa"/>
            <w:tcBorders>
              <w:top w:val="single" w:sz="4" w:space="0" w:color="000000"/>
              <w:left w:val="single" w:sz="12" w:space="0" w:color="000000"/>
              <w:bottom w:val="single" w:sz="4" w:space="0" w:color="000000"/>
              <w:right w:val="single" w:sz="12" w:space="0" w:color="000000"/>
            </w:tcBorders>
          </w:tcPr>
          <w:p w14:paraId="1D3BDB87" w14:textId="18D57246" w:rsidR="00B56D50" w:rsidRDefault="00B56D50" w:rsidP="003E4EAE">
            <w:pPr>
              <w:spacing w:after="0" w:line="259" w:lineRule="auto"/>
              <w:ind w:left="0" w:right="0" w:firstLine="0"/>
              <w:jc w:val="center"/>
            </w:pPr>
          </w:p>
        </w:tc>
      </w:tr>
      <w:tr w:rsidR="00B56D50" w14:paraId="2FD9FBE8" w14:textId="77777777" w:rsidTr="005B6604">
        <w:trPr>
          <w:trHeight w:val="250"/>
        </w:trPr>
        <w:tc>
          <w:tcPr>
            <w:tcW w:w="1420" w:type="dxa"/>
            <w:tcBorders>
              <w:top w:val="single" w:sz="4" w:space="0" w:color="000000"/>
              <w:left w:val="single" w:sz="12" w:space="0" w:color="000000"/>
              <w:bottom w:val="single" w:sz="4" w:space="0" w:color="000000"/>
              <w:right w:val="single" w:sz="12" w:space="0" w:color="000000"/>
            </w:tcBorders>
          </w:tcPr>
          <w:p w14:paraId="6643C484" w14:textId="77777777" w:rsidR="00B56D50" w:rsidRDefault="001C3C42">
            <w:pPr>
              <w:spacing w:after="0" w:line="259" w:lineRule="auto"/>
              <w:ind w:left="0" w:right="36" w:firstLine="0"/>
              <w:jc w:val="center"/>
            </w:pPr>
            <w:r>
              <w:rPr>
                <w:sz w:val="18"/>
              </w:rPr>
              <w:t xml:space="preserve">D014 </w:t>
            </w:r>
          </w:p>
        </w:tc>
        <w:tc>
          <w:tcPr>
            <w:tcW w:w="1958" w:type="dxa"/>
            <w:tcBorders>
              <w:top w:val="single" w:sz="4" w:space="0" w:color="000000"/>
              <w:left w:val="single" w:sz="12" w:space="0" w:color="000000"/>
              <w:bottom w:val="single" w:sz="4" w:space="0" w:color="000000"/>
              <w:right w:val="single" w:sz="12" w:space="0" w:color="000000"/>
            </w:tcBorders>
          </w:tcPr>
          <w:p w14:paraId="50D6F077" w14:textId="77777777" w:rsidR="00B56D50" w:rsidRDefault="001C3C42">
            <w:pPr>
              <w:spacing w:after="0" w:line="259" w:lineRule="auto"/>
              <w:ind w:left="0" w:right="0" w:firstLine="0"/>
            </w:pPr>
            <w:r>
              <w:rPr>
                <w:sz w:val="18"/>
              </w:rPr>
              <w:t xml:space="preserve">Methoxychlor </w:t>
            </w:r>
          </w:p>
        </w:tc>
        <w:tc>
          <w:tcPr>
            <w:tcW w:w="1063" w:type="dxa"/>
            <w:tcBorders>
              <w:top w:val="single" w:sz="4" w:space="0" w:color="000000"/>
              <w:left w:val="single" w:sz="12" w:space="0" w:color="000000"/>
              <w:bottom w:val="single" w:sz="4" w:space="0" w:color="000000"/>
              <w:right w:val="single" w:sz="12" w:space="0" w:color="000000"/>
            </w:tcBorders>
          </w:tcPr>
          <w:p w14:paraId="60D3F060" w14:textId="77777777" w:rsidR="00B56D50" w:rsidRDefault="001C3C42">
            <w:pPr>
              <w:spacing w:after="0" w:line="259" w:lineRule="auto"/>
              <w:ind w:left="0" w:right="39" w:firstLine="0"/>
              <w:jc w:val="center"/>
            </w:pPr>
            <w:r>
              <w:rPr>
                <w:sz w:val="18"/>
              </w:rPr>
              <w:t xml:space="preserve">1311 </w:t>
            </w:r>
          </w:p>
        </w:tc>
        <w:tc>
          <w:tcPr>
            <w:tcW w:w="879" w:type="dxa"/>
            <w:tcBorders>
              <w:top w:val="single" w:sz="4" w:space="0" w:color="000000"/>
              <w:left w:val="single" w:sz="12" w:space="0" w:color="000000"/>
              <w:bottom w:val="single" w:sz="4" w:space="0" w:color="000000"/>
              <w:right w:val="single" w:sz="12" w:space="0" w:color="000000"/>
            </w:tcBorders>
          </w:tcPr>
          <w:p w14:paraId="3DB98956" w14:textId="6A1C881C" w:rsidR="00B56D50" w:rsidRDefault="001C3C42" w:rsidP="003204BC">
            <w:pPr>
              <w:spacing w:after="0" w:line="259" w:lineRule="auto"/>
              <w:ind w:left="0" w:right="0" w:firstLine="0"/>
              <w:jc w:val="center"/>
            </w:pPr>
            <w:r>
              <w:rPr>
                <w:sz w:val="18"/>
              </w:rPr>
              <w:t>1</w:t>
            </w:r>
          </w:p>
        </w:tc>
        <w:tc>
          <w:tcPr>
            <w:tcW w:w="711" w:type="dxa"/>
            <w:tcBorders>
              <w:top w:val="single" w:sz="4" w:space="0" w:color="000000"/>
              <w:left w:val="single" w:sz="12" w:space="0" w:color="000000"/>
              <w:bottom w:val="single" w:sz="4" w:space="0" w:color="000000"/>
              <w:right w:val="single" w:sz="12" w:space="0" w:color="000000"/>
            </w:tcBorders>
          </w:tcPr>
          <w:p w14:paraId="11D688C1" w14:textId="77777777" w:rsidR="00B56D50" w:rsidRDefault="001C3C42">
            <w:pPr>
              <w:spacing w:after="0" w:line="259" w:lineRule="auto"/>
              <w:ind w:left="91" w:right="0" w:firstLine="0"/>
            </w:pPr>
            <w:r>
              <w:rPr>
                <w:sz w:val="18"/>
              </w:rPr>
              <w:t xml:space="preserve">mg/L </w:t>
            </w:r>
          </w:p>
        </w:tc>
        <w:tc>
          <w:tcPr>
            <w:tcW w:w="1157" w:type="dxa"/>
            <w:tcBorders>
              <w:top w:val="single" w:sz="4" w:space="0" w:color="000000"/>
              <w:left w:val="single" w:sz="12" w:space="0" w:color="000000"/>
              <w:bottom w:val="single" w:sz="4" w:space="0" w:color="000000"/>
              <w:right w:val="single" w:sz="12" w:space="0" w:color="000000"/>
            </w:tcBorders>
            <w:vAlign w:val="center"/>
          </w:tcPr>
          <w:p w14:paraId="6E4905CA" w14:textId="0430B408" w:rsidR="00B56D50" w:rsidRDefault="001C3C42" w:rsidP="004349B8">
            <w:pPr>
              <w:tabs>
                <w:tab w:val="center" w:pos="532"/>
              </w:tabs>
              <w:spacing w:after="0" w:line="259" w:lineRule="auto"/>
              <w:ind w:left="0" w:right="0" w:firstLine="0"/>
              <w:jc w:val="center"/>
            </w:pPr>
            <w:r>
              <w:rPr>
                <w:sz w:val="18"/>
              </w:rPr>
              <w:t>10</w:t>
            </w:r>
          </w:p>
        </w:tc>
        <w:tc>
          <w:tcPr>
            <w:tcW w:w="792" w:type="dxa"/>
            <w:tcBorders>
              <w:top w:val="single" w:sz="4" w:space="0" w:color="000000"/>
              <w:left w:val="single" w:sz="12" w:space="0" w:color="000000"/>
              <w:bottom w:val="single" w:sz="4" w:space="0" w:color="000000"/>
              <w:right w:val="single" w:sz="12" w:space="0" w:color="000000"/>
            </w:tcBorders>
          </w:tcPr>
          <w:p w14:paraId="027000A3" w14:textId="77777777" w:rsidR="00B56D50" w:rsidRDefault="001C3C42">
            <w:pPr>
              <w:spacing w:after="0" w:line="259" w:lineRule="auto"/>
              <w:ind w:left="0" w:right="41" w:firstLine="0"/>
              <w:jc w:val="center"/>
            </w:pPr>
            <w:r>
              <w:rPr>
                <w:sz w:val="18"/>
              </w:rPr>
              <w:t xml:space="preserve">mg/L </w:t>
            </w:r>
          </w:p>
        </w:tc>
        <w:tc>
          <w:tcPr>
            <w:tcW w:w="1452" w:type="dxa"/>
            <w:tcBorders>
              <w:top w:val="single" w:sz="4" w:space="0" w:color="000000"/>
              <w:left w:val="single" w:sz="12" w:space="0" w:color="000000"/>
              <w:bottom w:val="single" w:sz="4" w:space="0" w:color="000000"/>
              <w:right w:val="single" w:sz="12" w:space="0" w:color="000000"/>
            </w:tcBorders>
          </w:tcPr>
          <w:p w14:paraId="1DD51035" w14:textId="4F8DB68E" w:rsidR="00B56D50" w:rsidRDefault="001C3C42" w:rsidP="003E4EAE">
            <w:pPr>
              <w:spacing w:after="0" w:line="259" w:lineRule="auto"/>
              <w:ind w:left="0" w:right="0" w:firstLine="0"/>
              <w:jc w:val="center"/>
            </w:pPr>
            <w:r>
              <w:rPr>
                <w:sz w:val="18"/>
              </w:rPr>
              <w:t>8081</w:t>
            </w:r>
          </w:p>
        </w:tc>
        <w:tc>
          <w:tcPr>
            <w:tcW w:w="1188" w:type="dxa"/>
            <w:tcBorders>
              <w:top w:val="single" w:sz="4" w:space="0" w:color="000000"/>
              <w:left w:val="single" w:sz="12" w:space="0" w:color="000000"/>
              <w:bottom w:val="single" w:sz="4" w:space="0" w:color="000000"/>
              <w:right w:val="single" w:sz="12" w:space="0" w:color="000000"/>
            </w:tcBorders>
          </w:tcPr>
          <w:p w14:paraId="11DB946E" w14:textId="0AA1383C" w:rsidR="00B56D50" w:rsidRDefault="00B56D50" w:rsidP="003E4EAE">
            <w:pPr>
              <w:spacing w:after="0" w:line="259" w:lineRule="auto"/>
              <w:ind w:left="0" w:right="0" w:firstLine="0"/>
              <w:jc w:val="center"/>
            </w:pPr>
          </w:p>
        </w:tc>
      </w:tr>
      <w:tr w:rsidR="00B56D50" w14:paraId="2A73689F" w14:textId="77777777" w:rsidTr="005B6604">
        <w:trPr>
          <w:trHeight w:val="252"/>
        </w:trPr>
        <w:tc>
          <w:tcPr>
            <w:tcW w:w="1420" w:type="dxa"/>
            <w:tcBorders>
              <w:top w:val="single" w:sz="4" w:space="0" w:color="000000"/>
              <w:left w:val="single" w:sz="12" w:space="0" w:color="000000"/>
              <w:bottom w:val="single" w:sz="4" w:space="0" w:color="000000"/>
              <w:right w:val="single" w:sz="12" w:space="0" w:color="000000"/>
            </w:tcBorders>
          </w:tcPr>
          <w:p w14:paraId="58A1B2BF" w14:textId="77777777" w:rsidR="00B56D50" w:rsidRDefault="001C3C42">
            <w:pPr>
              <w:spacing w:after="0" w:line="259" w:lineRule="auto"/>
              <w:ind w:left="0" w:right="36" w:firstLine="0"/>
              <w:jc w:val="center"/>
            </w:pPr>
            <w:r>
              <w:rPr>
                <w:sz w:val="18"/>
              </w:rPr>
              <w:t xml:space="preserve">D015 </w:t>
            </w:r>
          </w:p>
        </w:tc>
        <w:tc>
          <w:tcPr>
            <w:tcW w:w="1958" w:type="dxa"/>
            <w:tcBorders>
              <w:top w:val="single" w:sz="4" w:space="0" w:color="000000"/>
              <w:left w:val="single" w:sz="12" w:space="0" w:color="000000"/>
              <w:bottom w:val="single" w:sz="4" w:space="0" w:color="000000"/>
              <w:right w:val="single" w:sz="12" w:space="0" w:color="000000"/>
            </w:tcBorders>
          </w:tcPr>
          <w:p w14:paraId="4E531D75" w14:textId="77777777" w:rsidR="00B56D50" w:rsidRDefault="001C3C42">
            <w:pPr>
              <w:spacing w:after="0" w:line="259" w:lineRule="auto"/>
              <w:ind w:left="0" w:right="0" w:firstLine="0"/>
            </w:pPr>
            <w:r>
              <w:rPr>
                <w:sz w:val="18"/>
              </w:rPr>
              <w:t xml:space="preserve">Toxaphene </w:t>
            </w:r>
          </w:p>
        </w:tc>
        <w:tc>
          <w:tcPr>
            <w:tcW w:w="1063" w:type="dxa"/>
            <w:tcBorders>
              <w:top w:val="single" w:sz="4" w:space="0" w:color="000000"/>
              <w:left w:val="single" w:sz="12" w:space="0" w:color="000000"/>
              <w:bottom w:val="single" w:sz="4" w:space="0" w:color="000000"/>
              <w:right w:val="single" w:sz="12" w:space="0" w:color="000000"/>
            </w:tcBorders>
          </w:tcPr>
          <w:p w14:paraId="659DE3B3" w14:textId="77777777" w:rsidR="00B56D50" w:rsidRDefault="001C3C42">
            <w:pPr>
              <w:spacing w:after="0" w:line="259" w:lineRule="auto"/>
              <w:ind w:left="0" w:right="39" w:firstLine="0"/>
              <w:jc w:val="center"/>
            </w:pPr>
            <w:r>
              <w:rPr>
                <w:sz w:val="18"/>
              </w:rPr>
              <w:t xml:space="preserve">1311 </w:t>
            </w:r>
          </w:p>
        </w:tc>
        <w:tc>
          <w:tcPr>
            <w:tcW w:w="879" w:type="dxa"/>
            <w:tcBorders>
              <w:top w:val="single" w:sz="4" w:space="0" w:color="000000"/>
              <w:left w:val="single" w:sz="12" w:space="0" w:color="000000"/>
              <w:bottom w:val="single" w:sz="4" w:space="0" w:color="000000"/>
              <w:right w:val="single" w:sz="12" w:space="0" w:color="000000"/>
            </w:tcBorders>
          </w:tcPr>
          <w:p w14:paraId="75352DD4" w14:textId="639E95A7" w:rsidR="00B56D50" w:rsidRDefault="001C3C42" w:rsidP="003204BC">
            <w:pPr>
              <w:spacing w:after="0" w:line="259" w:lineRule="auto"/>
              <w:ind w:left="0" w:right="0" w:firstLine="0"/>
              <w:jc w:val="center"/>
            </w:pPr>
            <w:r>
              <w:rPr>
                <w:sz w:val="18"/>
              </w:rPr>
              <w:t>0.05</w:t>
            </w:r>
          </w:p>
        </w:tc>
        <w:tc>
          <w:tcPr>
            <w:tcW w:w="711" w:type="dxa"/>
            <w:tcBorders>
              <w:top w:val="single" w:sz="4" w:space="0" w:color="000000"/>
              <w:left w:val="single" w:sz="12" w:space="0" w:color="000000"/>
              <w:bottom w:val="single" w:sz="4" w:space="0" w:color="000000"/>
              <w:right w:val="single" w:sz="12" w:space="0" w:color="000000"/>
            </w:tcBorders>
          </w:tcPr>
          <w:p w14:paraId="142C1C1F" w14:textId="77777777" w:rsidR="00B56D50" w:rsidRDefault="001C3C42">
            <w:pPr>
              <w:spacing w:after="0" w:line="259" w:lineRule="auto"/>
              <w:ind w:left="91" w:right="0" w:firstLine="0"/>
            </w:pPr>
            <w:r>
              <w:rPr>
                <w:sz w:val="18"/>
              </w:rPr>
              <w:t xml:space="preserve">mg/L </w:t>
            </w:r>
          </w:p>
        </w:tc>
        <w:tc>
          <w:tcPr>
            <w:tcW w:w="1157" w:type="dxa"/>
            <w:tcBorders>
              <w:top w:val="single" w:sz="4" w:space="0" w:color="000000"/>
              <w:left w:val="single" w:sz="12" w:space="0" w:color="000000"/>
              <w:bottom w:val="single" w:sz="4" w:space="0" w:color="000000"/>
              <w:right w:val="single" w:sz="12" w:space="0" w:color="000000"/>
            </w:tcBorders>
            <w:vAlign w:val="center"/>
          </w:tcPr>
          <w:p w14:paraId="7B3F9FB5" w14:textId="5B774DD4" w:rsidR="00B56D50" w:rsidRDefault="001C3C42" w:rsidP="004349B8">
            <w:pPr>
              <w:tabs>
                <w:tab w:val="center" w:pos="579"/>
              </w:tabs>
              <w:spacing w:after="0" w:line="259" w:lineRule="auto"/>
              <w:ind w:left="0" w:right="0" w:firstLine="0"/>
              <w:jc w:val="center"/>
            </w:pPr>
            <w:r>
              <w:rPr>
                <w:sz w:val="18"/>
              </w:rPr>
              <w:t>0.5</w:t>
            </w:r>
          </w:p>
        </w:tc>
        <w:tc>
          <w:tcPr>
            <w:tcW w:w="792" w:type="dxa"/>
            <w:tcBorders>
              <w:top w:val="single" w:sz="4" w:space="0" w:color="000000"/>
              <w:left w:val="single" w:sz="12" w:space="0" w:color="000000"/>
              <w:bottom w:val="single" w:sz="4" w:space="0" w:color="000000"/>
              <w:right w:val="single" w:sz="12" w:space="0" w:color="000000"/>
            </w:tcBorders>
            <w:vAlign w:val="center"/>
          </w:tcPr>
          <w:p w14:paraId="52DEE9C6" w14:textId="5C22BA1A" w:rsidR="00B56D50" w:rsidRDefault="001C3C42" w:rsidP="00492CC0">
            <w:pPr>
              <w:spacing w:after="0" w:line="259" w:lineRule="auto"/>
              <w:ind w:left="0" w:right="41" w:firstLine="0"/>
              <w:jc w:val="center"/>
            </w:pPr>
            <w:r>
              <w:rPr>
                <w:sz w:val="18"/>
              </w:rPr>
              <w:t>mg/L</w:t>
            </w:r>
          </w:p>
        </w:tc>
        <w:tc>
          <w:tcPr>
            <w:tcW w:w="1452" w:type="dxa"/>
            <w:tcBorders>
              <w:top w:val="single" w:sz="4" w:space="0" w:color="000000"/>
              <w:left w:val="single" w:sz="12" w:space="0" w:color="000000"/>
              <w:bottom w:val="single" w:sz="4" w:space="0" w:color="000000"/>
              <w:right w:val="single" w:sz="12" w:space="0" w:color="000000"/>
            </w:tcBorders>
            <w:vAlign w:val="center"/>
          </w:tcPr>
          <w:p w14:paraId="4CBB370E" w14:textId="65F716AF" w:rsidR="00B56D50" w:rsidRDefault="001C3C42" w:rsidP="00492CC0">
            <w:pPr>
              <w:spacing w:after="0" w:line="259" w:lineRule="auto"/>
              <w:ind w:left="0" w:right="0" w:firstLine="0"/>
              <w:jc w:val="center"/>
            </w:pPr>
            <w:r>
              <w:rPr>
                <w:sz w:val="18"/>
              </w:rPr>
              <w:t>8081</w:t>
            </w:r>
          </w:p>
        </w:tc>
        <w:tc>
          <w:tcPr>
            <w:tcW w:w="1188" w:type="dxa"/>
            <w:tcBorders>
              <w:top w:val="single" w:sz="4" w:space="0" w:color="000000"/>
              <w:left w:val="single" w:sz="12" w:space="0" w:color="000000"/>
              <w:bottom w:val="single" w:sz="4" w:space="0" w:color="000000"/>
              <w:right w:val="single" w:sz="12" w:space="0" w:color="000000"/>
            </w:tcBorders>
          </w:tcPr>
          <w:p w14:paraId="453C0407" w14:textId="532E1CF4" w:rsidR="00B56D50" w:rsidRDefault="00B56D50" w:rsidP="003E4EAE">
            <w:pPr>
              <w:spacing w:after="0" w:line="259" w:lineRule="auto"/>
              <w:ind w:left="0" w:right="0" w:firstLine="0"/>
              <w:jc w:val="center"/>
            </w:pPr>
          </w:p>
        </w:tc>
      </w:tr>
      <w:tr w:rsidR="00B56D50" w14:paraId="069D2C4C" w14:textId="77777777" w:rsidTr="005B6604">
        <w:trPr>
          <w:trHeight w:val="250"/>
        </w:trPr>
        <w:tc>
          <w:tcPr>
            <w:tcW w:w="1420" w:type="dxa"/>
            <w:tcBorders>
              <w:top w:val="single" w:sz="4" w:space="0" w:color="000000"/>
              <w:left w:val="single" w:sz="12" w:space="0" w:color="000000"/>
              <w:bottom w:val="single" w:sz="4" w:space="0" w:color="000000"/>
              <w:right w:val="single" w:sz="12" w:space="0" w:color="000000"/>
            </w:tcBorders>
          </w:tcPr>
          <w:p w14:paraId="28815AB4" w14:textId="77777777" w:rsidR="00B56D50" w:rsidRDefault="001C3C42">
            <w:pPr>
              <w:spacing w:after="0" w:line="259" w:lineRule="auto"/>
              <w:ind w:left="0" w:right="36" w:firstLine="0"/>
              <w:jc w:val="center"/>
            </w:pPr>
            <w:r>
              <w:rPr>
                <w:sz w:val="18"/>
              </w:rPr>
              <w:t xml:space="preserve">D016 </w:t>
            </w:r>
          </w:p>
        </w:tc>
        <w:tc>
          <w:tcPr>
            <w:tcW w:w="1958" w:type="dxa"/>
            <w:tcBorders>
              <w:top w:val="single" w:sz="4" w:space="0" w:color="000000"/>
              <w:left w:val="single" w:sz="12" w:space="0" w:color="000000"/>
              <w:bottom w:val="single" w:sz="4" w:space="0" w:color="000000"/>
              <w:right w:val="single" w:sz="12" w:space="0" w:color="000000"/>
            </w:tcBorders>
          </w:tcPr>
          <w:p w14:paraId="0581750D" w14:textId="77777777" w:rsidR="00B56D50" w:rsidRDefault="001C3C42">
            <w:pPr>
              <w:spacing w:after="0" w:line="259" w:lineRule="auto"/>
              <w:ind w:left="0" w:right="0" w:firstLine="0"/>
            </w:pPr>
            <w:r>
              <w:rPr>
                <w:sz w:val="18"/>
              </w:rPr>
              <w:t xml:space="preserve">2,4-D </w:t>
            </w:r>
          </w:p>
        </w:tc>
        <w:tc>
          <w:tcPr>
            <w:tcW w:w="1063" w:type="dxa"/>
            <w:tcBorders>
              <w:top w:val="single" w:sz="4" w:space="0" w:color="000000"/>
              <w:left w:val="single" w:sz="12" w:space="0" w:color="000000"/>
              <w:bottom w:val="single" w:sz="4" w:space="0" w:color="000000"/>
              <w:right w:val="single" w:sz="12" w:space="0" w:color="000000"/>
            </w:tcBorders>
          </w:tcPr>
          <w:p w14:paraId="5274160A" w14:textId="77777777" w:rsidR="00B56D50" w:rsidRDefault="001C3C42">
            <w:pPr>
              <w:spacing w:after="0" w:line="259" w:lineRule="auto"/>
              <w:ind w:left="0" w:right="39" w:firstLine="0"/>
              <w:jc w:val="center"/>
            </w:pPr>
            <w:r>
              <w:rPr>
                <w:sz w:val="18"/>
              </w:rPr>
              <w:t xml:space="preserve">1311 </w:t>
            </w:r>
          </w:p>
        </w:tc>
        <w:tc>
          <w:tcPr>
            <w:tcW w:w="879" w:type="dxa"/>
            <w:tcBorders>
              <w:top w:val="single" w:sz="4" w:space="0" w:color="000000"/>
              <w:left w:val="single" w:sz="12" w:space="0" w:color="000000"/>
              <w:bottom w:val="single" w:sz="4" w:space="0" w:color="000000"/>
              <w:right w:val="single" w:sz="12" w:space="0" w:color="000000"/>
            </w:tcBorders>
          </w:tcPr>
          <w:p w14:paraId="4A7E5ED1" w14:textId="55E00EB1" w:rsidR="00B56D50" w:rsidRDefault="001C3C42" w:rsidP="007F2709">
            <w:pPr>
              <w:spacing w:after="0" w:line="259" w:lineRule="auto"/>
              <w:ind w:left="0" w:right="0" w:firstLine="0"/>
              <w:jc w:val="center"/>
            </w:pPr>
            <w:r>
              <w:rPr>
                <w:sz w:val="18"/>
              </w:rPr>
              <w:t>1</w:t>
            </w:r>
          </w:p>
        </w:tc>
        <w:tc>
          <w:tcPr>
            <w:tcW w:w="711" w:type="dxa"/>
            <w:tcBorders>
              <w:top w:val="single" w:sz="4" w:space="0" w:color="000000"/>
              <w:left w:val="single" w:sz="12" w:space="0" w:color="000000"/>
              <w:bottom w:val="single" w:sz="4" w:space="0" w:color="000000"/>
              <w:right w:val="single" w:sz="12" w:space="0" w:color="000000"/>
            </w:tcBorders>
          </w:tcPr>
          <w:p w14:paraId="6D0841F4" w14:textId="664F4961" w:rsidR="00B56D50" w:rsidRDefault="001C3C42" w:rsidP="007F2709">
            <w:pPr>
              <w:spacing w:after="0" w:line="259" w:lineRule="auto"/>
              <w:ind w:left="91" w:right="0" w:firstLine="0"/>
              <w:jc w:val="center"/>
            </w:pPr>
            <w:r>
              <w:rPr>
                <w:sz w:val="18"/>
              </w:rPr>
              <w:t>mg/L</w:t>
            </w:r>
          </w:p>
        </w:tc>
        <w:tc>
          <w:tcPr>
            <w:tcW w:w="1157" w:type="dxa"/>
            <w:tcBorders>
              <w:top w:val="single" w:sz="4" w:space="0" w:color="000000"/>
              <w:left w:val="single" w:sz="12" w:space="0" w:color="000000"/>
              <w:bottom w:val="single" w:sz="4" w:space="0" w:color="000000"/>
              <w:right w:val="single" w:sz="12" w:space="0" w:color="000000"/>
            </w:tcBorders>
          </w:tcPr>
          <w:p w14:paraId="70D71929" w14:textId="0ABEF3D8" w:rsidR="00B56D50" w:rsidRDefault="001C3C42" w:rsidP="007F2709">
            <w:pPr>
              <w:tabs>
                <w:tab w:val="center" w:pos="532"/>
              </w:tabs>
              <w:spacing w:after="0" w:line="259" w:lineRule="auto"/>
              <w:ind w:left="0" w:right="0" w:firstLine="0"/>
              <w:jc w:val="center"/>
            </w:pPr>
            <w:r>
              <w:rPr>
                <w:sz w:val="18"/>
              </w:rPr>
              <w:t>10</w:t>
            </w:r>
          </w:p>
        </w:tc>
        <w:tc>
          <w:tcPr>
            <w:tcW w:w="792" w:type="dxa"/>
            <w:tcBorders>
              <w:top w:val="single" w:sz="4" w:space="0" w:color="000000"/>
              <w:left w:val="single" w:sz="12" w:space="0" w:color="000000"/>
              <w:bottom w:val="single" w:sz="4" w:space="0" w:color="000000"/>
              <w:right w:val="single" w:sz="12" w:space="0" w:color="000000"/>
            </w:tcBorders>
          </w:tcPr>
          <w:p w14:paraId="06ED2CEA" w14:textId="5A9D64A2" w:rsidR="00B56D50" w:rsidRDefault="001C3C42" w:rsidP="007F2709">
            <w:pPr>
              <w:spacing w:after="0" w:line="259" w:lineRule="auto"/>
              <w:ind w:left="0" w:right="41" w:firstLine="0"/>
              <w:jc w:val="center"/>
            </w:pPr>
            <w:r>
              <w:rPr>
                <w:sz w:val="18"/>
              </w:rPr>
              <w:t>mg/L</w:t>
            </w:r>
          </w:p>
        </w:tc>
        <w:tc>
          <w:tcPr>
            <w:tcW w:w="1452" w:type="dxa"/>
            <w:tcBorders>
              <w:top w:val="single" w:sz="4" w:space="0" w:color="000000"/>
              <w:left w:val="single" w:sz="12" w:space="0" w:color="000000"/>
              <w:bottom w:val="single" w:sz="4" w:space="0" w:color="000000"/>
              <w:right w:val="single" w:sz="12" w:space="0" w:color="000000"/>
            </w:tcBorders>
          </w:tcPr>
          <w:p w14:paraId="53E0B997" w14:textId="2B198D44" w:rsidR="00B56D50" w:rsidRDefault="001C3C42" w:rsidP="007F2709">
            <w:pPr>
              <w:spacing w:after="0" w:line="259" w:lineRule="auto"/>
              <w:ind w:left="0" w:right="0" w:firstLine="0"/>
              <w:jc w:val="center"/>
            </w:pPr>
            <w:r>
              <w:rPr>
                <w:sz w:val="18"/>
              </w:rPr>
              <w:t>8151</w:t>
            </w:r>
          </w:p>
        </w:tc>
        <w:tc>
          <w:tcPr>
            <w:tcW w:w="1188" w:type="dxa"/>
            <w:tcBorders>
              <w:top w:val="single" w:sz="4" w:space="0" w:color="000000"/>
              <w:left w:val="single" w:sz="12" w:space="0" w:color="000000"/>
              <w:bottom w:val="single" w:sz="4" w:space="0" w:color="000000"/>
              <w:right w:val="single" w:sz="12" w:space="0" w:color="000000"/>
            </w:tcBorders>
          </w:tcPr>
          <w:p w14:paraId="6F3CB29D" w14:textId="0E4D2E44" w:rsidR="00B56D50" w:rsidRDefault="001C3C42" w:rsidP="007F2709">
            <w:pPr>
              <w:spacing w:after="0" w:line="259" w:lineRule="auto"/>
              <w:ind w:left="0" w:right="0" w:firstLine="0"/>
              <w:jc w:val="center"/>
            </w:pPr>
            <w:r>
              <w:rPr>
                <w:sz w:val="18"/>
              </w:rPr>
              <w:t>8321</w:t>
            </w:r>
          </w:p>
        </w:tc>
      </w:tr>
      <w:tr w:rsidR="00B56D50" w14:paraId="28B5FDAB" w14:textId="77777777" w:rsidTr="005B6604">
        <w:trPr>
          <w:trHeight w:val="250"/>
        </w:trPr>
        <w:tc>
          <w:tcPr>
            <w:tcW w:w="1420" w:type="dxa"/>
            <w:tcBorders>
              <w:top w:val="single" w:sz="4" w:space="0" w:color="000000"/>
              <w:left w:val="single" w:sz="12" w:space="0" w:color="000000"/>
              <w:bottom w:val="single" w:sz="4" w:space="0" w:color="000000"/>
              <w:right w:val="single" w:sz="12" w:space="0" w:color="000000"/>
            </w:tcBorders>
          </w:tcPr>
          <w:p w14:paraId="56B90B71" w14:textId="77777777" w:rsidR="00B56D50" w:rsidRDefault="001C3C42">
            <w:pPr>
              <w:spacing w:after="0" w:line="259" w:lineRule="auto"/>
              <w:ind w:left="0" w:right="36" w:firstLine="0"/>
              <w:jc w:val="center"/>
            </w:pPr>
            <w:r>
              <w:rPr>
                <w:sz w:val="18"/>
              </w:rPr>
              <w:t xml:space="preserve">D017 </w:t>
            </w:r>
          </w:p>
        </w:tc>
        <w:tc>
          <w:tcPr>
            <w:tcW w:w="1958" w:type="dxa"/>
            <w:tcBorders>
              <w:top w:val="single" w:sz="4" w:space="0" w:color="000000"/>
              <w:left w:val="single" w:sz="12" w:space="0" w:color="000000"/>
              <w:bottom w:val="single" w:sz="4" w:space="0" w:color="000000"/>
              <w:right w:val="single" w:sz="12" w:space="0" w:color="000000"/>
            </w:tcBorders>
          </w:tcPr>
          <w:p w14:paraId="13F8D1DC" w14:textId="77777777" w:rsidR="00B56D50" w:rsidRDefault="001C3C42">
            <w:pPr>
              <w:spacing w:after="0" w:line="259" w:lineRule="auto"/>
              <w:ind w:left="0" w:right="0" w:firstLine="0"/>
            </w:pPr>
            <w:r>
              <w:rPr>
                <w:sz w:val="18"/>
              </w:rPr>
              <w:t xml:space="preserve">2,4,5-TP (Silvex) </w:t>
            </w:r>
          </w:p>
        </w:tc>
        <w:tc>
          <w:tcPr>
            <w:tcW w:w="1063" w:type="dxa"/>
            <w:tcBorders>
              <w:top w:val="single" w:sz="4" w:space="0" w:color="000000"/>
              <w:left w:val="single" w:sz="12" w:space="0" w:color="000000"/>
              <w:bottom w:val="single" w:sz="4" w:space="0" w:color="000000"/>
              <w:right w:val="single" w:sz="12" w:space="0" w:color="000000"/>
            </w:tcBorders>
          </w:tcPr>
          <w:p w14:paraId="4B97964D" w14:textId="77777777" w:rsidR="00B56D50" w:rsidRDefault="001C3C42">
            <w:pPr>
              <w:spacing w:after="0" w:line="259" w:lineRule="auto"/>
              <w:ind w:left="0" w:right="39" w:firstLine="0"/>
              <w:jc w:val="center"/>
            </w:pPr>
            <w:r>
              <w:rPr>
                <w:sz w:val="18"/>
              </w:rPr>
              <w:t xml:space="preserve">1311 </w:t>
            </w:r>
          </w:p>
        </w:tc>
        <w:tc>
          <w:tcPr>
            <w:tcW w:w="879" w:type="dxa"/>
            <w:tcBorders>
              <w:top w:val="single" w:sz="4" w:space="0" w:color="000000"/>
              <w:left w:val="single" w:sz="12" w:space="0" w:color="000000"/>
              <w:bottom w:val="single" w:sz="4" w:space="0" w:color="000000"/>
              <w:right w:val="single" w:sz="12" w:space="0" w:color="000000"/>
            </w:tcBorders>
          </w:tcPr>
          <w:p w14:paraId="116DD65A" w14:textId="0FA09324" w:rsidR="00B56D50" w:rsidRDefault="001C3C42" w:rsidP="007F2709">
            <w:pPr>
              <w:spacing w:after="0" w:line="259" w:lineRule="auto"/>
              <w:ind w:left="0" w:right="0" w:firstLine="0"/>
              <w:jc w:val="center"/>
            </w:pPr>
            <w:r>
              <w:rPr>
                <w:sz w:val="18"/>
              </w:rPr>
              <w:t>0.1</w:t>
            </w:r>
          </w:p>
        </w:tc>
        <w:tc>
          <w:tcPr>
            <w:tcW w:w="711" w:type="dxa"/>
            <w:tcBorders>
              <w:top w:val="single" w:sz="4" w:space="0" w:color="000000"/>
              <w:left w:val="single" w:sz="12" w:space="0" w:color="000000"/>
              <w:bottom w:val="single" w:sz="4" w:space="0" w:color="000000"/>
              <w:right w:val="single" w:sz="12" w:space="0" w:color="000000"/>
            </w:tcBorders>
          </w:tcPr>
          <w:p w14:paraId="3DC4EE06" w14:textId="632A7969" w:rsidR="00B56D50" w:rsidRDefault="001C3C42" w:rsidP="007F2709">
            <w:pPr>
              <w:spacing w:after="0" w:line="259" w:lineRule="auto"/>
              <w:ind w:left="91" w:right="0" w:firstLine="0"/>
              <w:jc w:val="center"/>
            </w:pPr>
            <w:r>
              <w:rPr>
                <w:sz w:val="18"/>
              </w:rPr>
              <w:t>mg/L</w:t>
            </w:r>
          </w:p>
        </w:tc>
        <w:tc>
          <w:tcPr>
            <w:tcW w:w="1157" w:type="dxa"/>
            <w:tcBorders>
              <w:top w:val="single" w:sz="4" w:space="0" w:color="000000"/>
              <w:left w:val="single" w:sz="12" w:space="0" w:color="000000"/>
              <w:bottom w:val="single" w:sz="4" w:space="0" w:color="000000"/>
              <w:right w:val="single" w:sz="12" w:space="0" w:color="000000"/>
            </w:tcBorders>
          </w:tcPr>
          <w:p w14:paraId="46EC1FEA" w14:textId="6F8093D3" w:rsidR="00B56D50" w:rsidRDefault="001C3C42" w:rsidP="007F2709">
            <w:pPr>
              <w:tabs>
                <w:tab w:val="center" w:pos="579"/>
              </w:tabs>
              <w:spacing w:after="0" w:line="259" w:lineRule="auto"/>
              <w:ind w:left="0" w:right="0" w:firstLine="0"/>
              <w:jc w:val="center"/>
            </w:pPr>
            <w:r>
              <w:rPr>
                <w:sz w:val="18"/>
              </w:rPr>
              <w:t>1</w:t>
            </w:r>
          </w:p>
        </w:tc>
        <w:tc>
          <w:tcPr>
            <w:tcW w:w="792" w:type="dxa"/>
            <w:tcBorders>
              <w:top w:val="single" w:sz="4" w:space="0" w:color="000000"/>
              <w:left w:val="single" w:sz="12" w:space="0" w:color="000000"/>
              <w:bottom w:val="single" w:sz="4" w:space="0" w:color="000000"/>
              <w:right w:val="single" w:sz="12" w:space="0" w:color="000000"/>
            </w:tcBorders>
          </w:tcPr>
          <w:p w14:paraId="6B9135A3" w14:textId="32B3E7F6" w:rsidR="00B56D50" w:rsidRDefault="001C3C42" w:rsidP="007F2709">
            <w:pPr>
              <w:spacing w:after="0" w:line="259" w:lineRule="auto"/>
              <w:ind w:left="0" w:right="41" w:firstLine="0"/>
              <w:jc w:val="center"/>
            </w:pPr>
            <w:r>
              <w:rPr>
                <w:sz w:val="18"/>
              </w:rPr>
              <w:t>mg/L</w:t>
            </w:r>
          </w:p>
        </w:tc>
        <w:tc>
          <w:tcPr>
            <w:tcW w:w="1452" w:type="dxa"/>
            <w:tcBorders>
              <w:top w:val="single" w:sz="4" w:space="0" w:color="000000"/>
              <w:left w:val="single" w:sz="12" w:space="0" w:color="000000"/>
              <w:bottom w:val="single" w:sz="4" w:space="0" w:color="000000"/>
              <w:right w:val="single" w:sz="12" w:space="0" w:color="000000"/>
            </w:tcBorders>
          </w:tcPr>
          <w:p w14:paraId="3CC3A20E" w14:textId="41F4A1E6" w:rsidR="00B56D50" w:rsidRDefault="001C3C42" w:rsidP="007F2709">
            <w:pPr>
              <w:spacing w:after="0" w:line="259" w:lineRule="auto"/>
              <w:ind w:left="0" w:right="0" w:firstLine="0"/>
              <w:jc w:val="center"/>
            </w:pPr>
            <w:r>
              <w:rPr>
                <w:sz w:val="18"/>
              </w:rPr>
              <w:t>8151</w:t>
            </w:r>
          </w:p>
        </w:tc>
        <w:tc>
          <w:tcPr>
            <w:tcW w:w="1188" w:type="dxa"/>
            <w:tcBorders>
              <w:top w:val="single" w:sz="4" w:space="0" w:color="000000"/>
              <w:left w:val="single" w:sz="12" w:space="0" w:color="000000"/>
              <w:bottom w:val="single" w:sz="4" w:space="0" w:color="000000"/>
              <w:right w:val="single" w:sz="12" w:space="0" w:color="000000"/>
            </w:tcBorders>
          </w:tcPr>
          <w:p w14:paraId="382CC608" w14:textId="60F3BB0F" w:rsidR="00B56D50" w:rsidRDefault="001C3C42" w:rsidP="007F2709">
            <w:pPr>
              <w:spacing w:after="0" w:line="259" w:lineRule="auto"/>
              <w:ind w:left="0" w:right="0" w:firstLine="0"/>
              <w:jc w:val="center"/>
            </w:pPr>
            <w:r>
              <w:rPr>
                <w:sz w:val="18"/>
              </w:rPr>
              <w:t>8321</w:t>
            </w:r>
          </w:p>
        </w:tc>
      </w:tr>
      <w:tr w:rsidR="00B56D50" w14:paraId="4051853B" w14:textId="77777777" w:rsidTr="005B6604">
        <w:trPr>
          <w:trHeight w:val="250"/>
        </w:trPr>
        <w:tc>
          <w:tcPr>
            <w:tcW w:w="1420" w:type="dxa"/>
            <w:tcBorders>
              <w:top w:val="single" w:sz="4" w:space="0" w:color="000000"/>
              <w:left w:val="single" w:sz="12" w:space="0" w:color="000000"/>
              <w:bottom w:val="single" w:sz="4" w:space="0" w:color="000000"/>
              <w:right w:val="single" w:sz="12" w:space="0" w:color="000000"/>
            </w:tcBorders>
          </w:tcPr>
          <w:p w14:paraId="68D15E03" w14:textId="77777777" w:rsidR="00B56D50" w:rsidRDefault="001C3C42">
            <w:pPr>
              <w:spacing w:after="0" w:line="259" w:lineRule="auto"/>
              <w:ind w:left="0" w:right="36" w:firstLine="0"/>
              <w:jc w:val="center"/>
            </w:pPr>
            <w:r>
              <w:rPr>
                <w:sz w:val="18"/>
              </w:rPr>
              <w:t xml:space="preserve">D018 </w:t>
            </w:r>
          </w:p>
        </w:tc>
        <w:tc>
          <w:tcPr>
            <w:tcW w:w="1958" w:type="dxa"/>
            <w:tcBorders>
              <w:top w:val="single" w:sz="4" w:space="0" w:color="000000"/>
              <w:left w:val="single" w:sz="12" w:space="0" w:color="000000"/>
              <w:bottom w:val="single" w:sz="4" w:space="0" w:color="000000"/>
              <w:right w:val="single" w:sz="12" w:space="0" w:color="000000"/>
            </w:tcBorders>
          </w:tcPr>
          <w:p w14:paraId="43109193" w14:textId="77777777" w:rsidR="00B56D50" w:rsidRDefault="001C3C42">
            <w:pPr>
              <w:spacing w:after="0" w:line="259" w:lineRule="auto"/>
              <w:ind w:left="0" w:right="0" w:firstLine="0"/>
            </w:pPr>
            <w:r>
              <w:rPr>
                <w:sz w:val="18"/>
              </w:rPr>
              <w:t xml:space="preserve">Benzene </w:t>
            </w:r>
          </w:p>
        </w:tc>
        <w:tc>
          <w:tcPr>
            <w:tcW w:w="1063" w:type="dxa"/>
            <w:tcBorders>
              <w:top w:val="single" w:sz="4" w:space="0" w:color="000000"/>
              <w:left w:val="single" w:sz="12" w:space="0" w:color="000000"/>
              <w:bottom w:val="single" w:sz="4" w:space="0" w:color="000000"/>
              <w:right w:val="single" w:sz="12" w:space="0" w:color="000000"/>
            </w:tcBorders>
          </w:tcPr>
          <w:p w14:paraId="6DAD913C" w14:textId="77777777" w:rsidR="00B56D50" w:rsidRDefault="001C3C42">
            <w:pPr>
              <w:spacing w:after="0" w:line="259" w:lineRule="auto"/>
              <w:ind w:left="0" w:right="39" w:firstLine="0"/>
              <w:jc w:val="center"/>
            </w:pPr>
            <w:r>
              <w:rPr>
                <w:sz w:val="18"/>
              </w:rPr>
              <w:t xml:space="preserve">1311 </w:t>
            </w:r>
          </w:p>
        </w:tc>
        <w:tc>
          <w:tcPr>
            <w:tcW w:w="879" w:type="dxa"/>
            <w:tcBorders>
              <w:top w:val="single" w:sz="4" w:space="0" w:color="000000"/>
              <w:left w:val="single" w:sz="12" w:space="0" w:color="000000"/>
              <w:bottom w:val="single" w:sz="4" w:space="0" w:color="000000"/>
              <w:right w:val="single" w:sz="12" w:space="0" w:color="000000"/>
            </w:tcBorders>
          </w:tcPr>
          <w:p w14:paraId="36A9AD06" w14:textId="1E3982B4" w:rsidR="00B56D50" w:rsidRDefault="001C3C42" w:rsidP="007F2709">
            <w:pPr>
              <w:spacing w:after="0" w:line="259" w:lineRule="auto"/>
              <w:ind w:left="0" w:right="0" w:firstLine="0"/>
              <w:jc w:val="center"/>
            </w:pPr>
            <w:r>
              <w:rPr>
                <w:sz w:val="18"/>
              </w:rPr>
              <w:t>0.05</w:t>
            </w:r>
          </w:p>
        </w:tc>
        <w:tc>
          <w:tcPr>
            <w:tcW w:w="711" w:type="dxa"/>
            <w:tcBorders>
              <w:top w:val="single" w:sz="4" w:space="0" w:color="000000"/>
              <w:left w:val="single" w:sz="12" w:space="0" w:color="000000"/>
              <w:bottom w:val="single" w:sz="4" w:space="0" w:color="000000"/>
              <w:right w:val="single" w:sz="12" w:space="0" w:color="000000"/>
            </w:tcBorders>
          </w:tcPr>
          <w:p w14:paraId="265F8D55" w14:textId="3AD687D5" w:rsidR="00B56D50" w:rsidRDefault="001C3C42" w:rsidP="007F2709">
            <w:pPr>
              <w:spacing w:after="0" w:line="259" w:lineRule="auto"/>
              <w:ind w:left="91" w:right="0" w:firstLine="0"/>
              <w:jc w:val="center"/>
            </w:pPr>
            <w:r>
              <w:rPr>
                <w:sz w:val="18"/>
              </w:rPr>
              <w:t>mg/L</w:t>
            </w:r>
          </w:p>
        </w:tc>
        <w:tc>
          <w:tcPr>
            <w:tcW w:w="1157" w:type="dxa"/>
            <w:tcBorders>
              <w:top w:val="single" w:sz="4" w:space="0" w:color="000000"/>
              <w:left w:val="single" w:sz="12" w:space="0" w:color="000000"/>
              <w:bottom w:val="single" w:sz="4" w:space="0" w:color="000000"/>
              <w:right w:val="single" w:sz="12" w:space="0" w:color="000000"/>
            </w:tcBorders>
          </w:tcPr>
          <w:p w14:paraId="3ABDBAAA" w14:textId="5325CA73" w:rsidR="00B56D50" w:rsidRDefault="001C3C42" w:rsidP="007F2709">
            <w:pPr>
              <w:tabs>
                <w:tab w:val="center" w:pos="579"/>
              </w:tabs>
              <w:spacing w:after="0" w:line="259" w:lineRule="auto"/>
              <w:ind w:left="0" w:right="0" w:firstLine="0"/>
              <w:jc w:val="center"/>
            </w:pPr>
            <w:r>
              <w:rPr>
                <w:sz w:val="18"/>
              </w:rPr>
              <w:t>0.5</w:t>
            </w:r>
          </w:p>
        </w:tc>
        <w:tc>
          <w:tcPr>
            <w:tcW w:w="792" w:type="dxa"/>
            <w:tcBorders>
              <w:top w:val="single" w:sz="4" w:space="0" w:color="000000"/>
              <w:left w:val="single" w:sz="12" w:space="0" w:color="000000"/>
              <w:bottom w:val="single" w:sz="4" w:space="0" w:color="000000"/>
              <w:right w:val="single" w:sz="12" w:space="0" w:color="000000"/>
            </w:tcBorders>
          </w:tcPr>
          <w:p w14:paraId="1BAEDBDC" w14:textId="6BD46FF9" w:rsidR="00B56D50" w:rsidRDefault="001C3C42" w:rsidP="007F2709">
            <w:pPr>
              <w:spacing w:after="0" w:line="259" w:lineRule="auto"/>
              <w:ind w:left="0" w:right="41" w:firstLine="0"/>
              <w:jc w:val="center"/>
            </w:pPr>
            <w:r>
              <w:rPr>
                <w:sz w:val="18"/>
              </w:rPr>
              <w:t>mg/L</w:t>
            </w:r>
          </w:p>
        </w:tc>
        <w:tc>
          <w:tcPr>
            <w:tcW w:w="1452" w:type="dxa"/>
            <w:tcBorders>
              <w:top w:val="single" w:sz="4" w:space="0" w:color="000000"/>
              <w:left w:val="single" w:sz="12" w:space="0" w:color="000000"/>
              <w:bottom w:val="single" w:sz="4" w:space="0" w:color="000000"/>
              <w:right w:val="single" w:sz="12" w:space="0" w:color="000000"/>
            </w:tcBorders>
          </w:tcPr>
          <w:p w14:paraId="1E354112" w14:textId="015C2BBC" w:rsidR="00B56D50" w:rsidRDefault="001C3C42" w:rsidP="007F2709">
            <w:pPr>
              <w:spacing w:after="0" w:line="259" w:lineRule="auto"/>
              <w:ind w:left="0" w:right="0" w:firstLine="0"/>
              <w:jc w:val="center"/>
            </w:pPr>
            <w:r>
              <w:rPr>
                <w:sz w:val="18"/>
              </w:rPr>
              <w:t>8260</w:t>
            </w:r>
          </w:p>
        </w:tc>
        <w:tc>
          <w:tcPr>
            <w:tcW w:w="1188" w:type="dxa"/>
            <w:tcBorders>
              <w:top w:val="single" w:sz="4" w:space="0" w:color="000000"/>
              <w:left w:val="single" w:sz="12" w:space="0" w:color="000000"/>
              <w:bottom w:val="single" w:sz="4" w:space="0" w:color="000000"/>
              <w:right w:val="single" w:sz="12" w:space="0" w:color="000000"/>
            </w:tcBorders>
          </w:tcPr>
          <w:p w14:paraId="7C0E0137" w14:textId="48067362" w:rsidR="00B56D50" w:rsidRDefault="001C3C42" w:rsidP="007F2709">
            <w:pPr>
              <w:spacing w:after="0" w:line="259" w:lineRule="auto"/>
              <w:ind w:left="0" w:right="0" w:firstLine="0"/>
              <w:jc w:val="center"/>
            </w:pPr>
            <w:r>
              <w:rPr>
                <w:sz w:val="18"/>
              </w:rPr>
              <w:t>8021</w:t>
            </w:r>
          </w:p>
        </w:tc>
      </w:tr>
      <w:tr w:rsidR="00B56D50" w14:paraId="61E2A869" w14:textId="77777777" w:rsidTr="005B6604">
        <w:trPr>
          <w:trHeight w:val="250"/>
        </w:trPr>
        <w:tc>
          <w:tcPr>
            <w:tcW w:w="1420" w:type="dxa"/>
            <w:tcBorders>
              <w:top w:val="single" w:sz="4" w:space="0" w:color="000000"/>
              <w:left w:val="single" w:sz="12" w:space="0" w:color="000000"/>
              <w:bottom w:val="single" w:sz="4" w:space="0" w:color="000000"/>
              <w:right w:val="single" w:sz="12" w:space="0" w:color="000000"/>
            </w:tcBorders>
          </w:tcPr>
          <w:p w14:paraId="1270F1CB" w14:textId="77777777" w:rsidR="00B56D50" w:rsidRDefault="001C3C42">
            <w:pPr>
              <w:spacing w:after="0" w:line="259" w:lineRule="auto"/>
              <w:ind w:left="0" w:right="36" w:firstLine="0"/>
              <w:jc w:val="center"/>
            </w:pPr>
            <w:r>
              <w:rPr>
                <w:sz w:val="18"/>
              </w:rPr>
              <w:t xml:space="preserve">D019 </w:t>
            </w:r>
          </w:p>
        </w:tc>
        <w:tc>
          <w:tcPr>
            <w:tcW w:w="1958" w:type="dxa"/>
            <w:tcBorders>
              <w:top w:val="single" w:sz="4" w:space="0" w:color="000000"/>
              <w:left w:val="single" w:sz="12" w:space="0" w:color="000000"/>
              <w:bottom w:val="single" w:sz="4" w:space="0" w:color="000000"/>
              <w:right w:val="single" w:sz="12" w:space="0" w:color="000000"/>
            </w:tcBorders>
          </w:tcPr>
          <w:p w14:paraId="11F8A58E" w14:textId="77777777" w:rsidR="00B56D50" w:rsidRDefault="001C3C42">
            <w:pPr>
              <w:spacing w:after="0" w:line="259" w:lineRule="auto"/>
              <w:ind w:left="0" w:right="0" w:firstLine="0"/>
            </w:pPr>
            <w:r>
              <w:rPr>
                <w:sz w:val="18"/>
              </w:rPr>
              <w:t xml:space="preserve">Carbon Tetrachloride </w:t>
            </w:r>
          </w:p>
        </w:tc>
        <w:tc>
          <w:tcPr>
            <w:tcW w:w="1063" w:type="dxa"/>
            <w:tcBorders>
              <w:top w:val="single" w:sz="4" w:space="0" w:color="000000"/>
              <w:left w:val="single" w:sz="12" w:space="0" w:color="000000"/>
              <w:bottom w:val="single" w:sz="4" w:space="0" w:color="000000"/>
              <w:right w:val="single" w:sz="12" w:space="0" w:color="000000"/>
            </w:tcBorders>
          </w:tcPr>
          <w:p w14:paraId="0AF403E4" w14:textId="77777777" w:rsidR="00B56D50" w:rsidRDefault="001C3C42">
            <w:pPr>
              <w:spacing w:after="0" w:line="259" w:lineRule="auto"/>
              <w:ind w:left="0" w:right="39" w:firstLine="0"/>
              <w:jc w:val="center"/>
            </w:pPr>
            <w:r>
              <w:rPr>
                <w:sz w:val="18"/>
              </w:rPr>
              <w:t xml:space="preserve">1311 </w:t>
            </w:r>
          </w:p>
        </w:tc>
        <w:tc>
          <w:tcPr>
            <w:tcW w:w="879" w:type="dxa"/>
            <w:tcBorders>
              <w:top w:val="single" w:sz="4" w:space="0" w:color="000000"/>
              <w:left w:val="single" w:sz="12" w:space="0" w:color="000000"/>
              <w:bottom w:val="single" w:sz="4" w:space="0" w:color="000000"/>
              <w:right w:val="single" w:sz="12" w:space="0" w:color="000000"/>
            </w:tcBorders>
          </w:tcPr>
          <w:p w14:paraId="4E460A5C" w14:textId="1F57F6D4" w:rsidR="00B56D50" w:rsidRDefault="001C3C42" w:rsidP="007F2709">
            <w:pPr>
              <w:spacing w:after="0" w:line="259" w:lineRule="auto"/>
              <w:ind w:left="0" w:right="0" w:firstLine="0"/>
              <w:jc w:val="center"/>
            </w:pPr>
            <w:r>
              <w:rPr>
                <w:sz w:val="18"/>
              </w:rPr>
              <w:t>0.05</w:t>
            </w:r>
          </w:p>
        </w:tc>
        <w:tc>
          <w:tcPr>
            <w:tcW w:w="711" w:type="dxa"/>
            <w:tcBorders>
              <w:top w:val="single" w:sz="4" w:space="0" w:color="000000"/>
              <w:left w:val="single" w:sz="12" w:space="0" w:color="000000"/>
              <w:bottom w:val="single" w:sz="4" w:space="0" w:color="000000"/>
              <w:right w:val="single" w:sz="12" w:space="0" w:color="000000"/>
            </w:tcBorders>
          </w:tcPr>
          <w:p w14:paraId="70083EAA" w14:textId="4FD88743" w:rsidR="00B56D50" w:rsidRDefault="001C3C42" w:rsidP="007F2709">
            <w:pPr>
              <w:spacing w:after="0" w:line="259" w:lineRule="auto"/>
              <w:ind w:left="91" w:right="0" w:firstLine="0"/>
              <w:jc w:val="center"/>
            </w:pPr>
            <w:r>
              <w:rPr>
                <w:sz w:val="18"/>
              </w:rPr>
              <w:t>mg/L</w:t>
            </w:r>
          </w:p>
        </w:tc>
        <w:tc>
          <w:tcPr>
            <w:tcW w:w="1157" w:type="dxa"/>
            <w:tcBorders>
              <w:top w:val="single" w:sz="4" w:space="0" w:color="000000"/>
              <w:left w:val="single" w:sz="12" w:space="0" w:color="000000"/>
              <w:bottom w:val="single" w:sz="4" w:space="0" w:color="000000"/>
              <w:right w:val="single" w:sz="12" w:space="0" w:color="000000"/>
            </w:tcBorders>
          </w:tcPr>
          <w:p w14:paraId="0758F865" w14:textId="40C9ED15" w:rsidR="00B56D50" w:rsidRDefault="001C3C42" w:rsidP="007F2709">
            <w:pPr>
              <w:tabs>
                <w:tab w:val="center" w:pos="579"/>
              </w:tabs>
              <w:spacing w:after="0" w:line="259" w:lineRule="auto"/>
              <w:ind w:left="0" w:right="0" w:firstLine="0"/>
              <w:jc w:val="center"/>
            </w:pPr>
            <w:r>
              <w:rPr>
                <w:sz w:val="18"/>
              </w:rPr>
              <w:t>0.5</w:t>
            </w:r>
          </w:p>
        </w:tc>
        <w:tc>
          <w:tcPr>
            <w:tcW w:w="792" w:type="dxa"/>
            <w:tcBorders>
              <w:top w:val="single" w:sz="4" w:space="0" w:color="000000"/>
              <w:left w:val="single" w:sz="12" w:space="0" w:color="000000"/>
              <w:bottom w:val="single" w:sz="4" w:space="0" w:color="000000"/>
              <w:right w:val="single" w:sz="12" w:space="0" w:color="000000"/>
            </w:tcBorders>
          </w:tcPr>
          <w:p w14:paraId="7B3DFF3F" w14:textId="1D990D02" w:rsidR="00B56D50" w:rsidRDefault="001C3C42" w:rsidP="007F2709">
            <w:pPr>
              <w:spacing w:after="0" w:line="259" w:lineRule="auto"/>
              <w:ind w:left="0" w:right="41" w:firstLine="0"/>
              <w:jc w:val="center"/>
            </w:pPr>
            <w:r>
              <w:rPr>
                <w:sz w:val="18"/>
              </w:rPr>
              <w:t>mg/L</w:t>
            </w:r>
          </w:p>
        </w:tc>
        <w:tc>
          <w:tcPr>
            <w:tcW w:w="1452" w:type="dxa"/>
            <w:tcBorders>
              <w:top w:val="single" w:sz="4" w:space="0" w:color="000000"/>
              <w:left w:val="single" w:sz="12" w:space="0" w:color="000000"/>
              <w:bottom w:val="single" w:sz="4" w:space="0" w:color="000000"/>
              <w:right w:val="single" w:sz="12" w:space="0" w:color="000000"/>
            </w:tcBorders>
          </w:tcPr>
          <w:p w14:paraId="14761BCF" w14:textId="3A855743" w:rsidR="00B56D50" w:rsidRDefault="001C3C42" w:rsidP="007F2709">
            <w:pPr>
              <w:spacing w:after="0" w:line="259" w:lineRule="auto"/>
              <w:ind w:left="0" w:right="0" w:firstLine="0"/>
              <w:jc w:val="center"/>
            </w:pPr>
            <w:r>
              <w:rPr>
                <w:sz w:val="18"/>
              </w:rPr>
              <w:t>8260</w:t>
            </w:r>
          </w:p>
        </w:tc>
        <w:tc>
          <w:tcPr>
            <w:tcW w:w="1188" w:type="dxa"/>
            <w:tcBorders>
              <w:top w:val="single" w:sz="4" w:space="0" w:color="000000"/>
              <w:left w:val="single" w:sz="12" w:space="0" w:color="000000"/>
              <w:bottom w:val="single" w:sz="4" w:space="0" w:color="000000"/>
              <w:right w:val="single" w:sz="12" w:space="0" w:color="000000"/>
            </w:tcBorders>
          </w:tcPr>
          <w:p w14:paraId="12159ADC" w14:textId="2871706B" w:rsidR="00B56D50" w:rsidRDefault="001C3C42" w:rsidP="007F2709">
            <w:pPr>
              <w:spacing w:after="0" w:line="259" w:lineRule="auto"/>
              <w:ind w:left="0" w:right="0" w:firstLine="0"/>
              <w:jc w:val="center"/>
            </w:pPr>
            <w:r>
              <w:rPr>
                <w:sz w:val="18"/>
              </w:rPr>
              <w:t>8021</w:t>
            </w:r>
          </w:p>
        </w:tc>
      </w:tr>
      <w:tr w:rsidR="00B56D50" w14:paraId="05AD7ED2" w14:textId="77777777" w:rsidTr="005B6604">
        <w:trPr>
          <w:trHeight w:val="250"/>
        </w:trPr>
        <w:tc>
          <w:tcPr>
            <w:tcW w:w="1420" w:type="dxa"/>
            <w:tcBorders>
              <w:top w:val="single" w:sz="4" w:space="0" w:color="000000"/>
              <w:left w:val="single" w:sz="12" w:space="0" w:color="000000"/>
              <w:bottom w:val="single" w:sz="4" w:space="0" w:color="000000"/>
              <w:right w:val="single" w:sz="12" w:space="0" w:color="000000"/>
            </w:tcBorders>
          </w:tcPr>
          <w:p w14:paraId="4F63B0B7" w14:textId="77777777" w:rsidR="00B56D50" w:rsidRDefault="001C3C42">
            <w:pPr>
              <w:spacing w:after="0" w:line="259" w:lineRule="auto"/>
              <w:ind w:left="0" w:right="36" w:firstLine="0"/>
              <w:jc w:val="center"/>
            </w:pPr>
            <w:r>
              <w:rPr>
                <w:sz w:val="18"/>
              </w:rPr>
              <w:t xml:space="preserve">D020 </w:t>
            </w:r>
          </w:p>
        </w:tc>
        <w:tc>
          <w:tcPr>
            <w:tcW w:w="1958" w:type="dxa"/>
            <w:tcBorders>
              <w:top w:val="single" w:sz="4" w:space="0" w:color="000000"/>
              <w:left w:val="single" w:sz="12" w:space="0" w:color="000000"/>
              <w:bottom w:val="single" w:sz="4" w:space="0" w:color="000000"/>
              <w:right w:val="single" w:sz="12" w:space="0" w:color="000000"/>
            </w:tcBorders>
          </w:tcPr>
          <w:p w14:paraId="3E7F3DE3" w14:textId="77777777" w:rsidR="00B56D50" w:rsidRDefault="001C3C42">
            <w:pPr>
              <w:spacing w:after="0" w:line="259" w:lineRule="auto"/>
              <w:ind w:left="0" w:right="0" w:firstLine="0"/>
            </w:pPr>
            <w:r>
              <w:rPr>
                <w:sz w:val="18"/>
              </w:rPr>
              <w:t xml:space="preserve">Chlordane </w:t>
            </w:r>
          </w:p>
        </w:tc>
        <w:tc>
          <w:tcPr>
            <w:tcW w:w="1063" w:type="dxa"/>
            <w:tcBorders>
              <w:top w:val="single" w:sz="4" w:space="0" w:color="000000"/>
              <w:left w:val="single" w:sz="12" w:space="0" w:color="000000"/>
              <w:bottom w:val="single" w:sz="4" w:space="0" w:color="000000"/>
              <w:right w:val="single" w:sz="12" w:space="0" w:color="000000"/>
            </w:tcBorders>
          </w:tcPr>
          <w:p w14:paraId="32760C66" w14:textId="77777777" w:rsidR="00B56D50" w:rsidRDefault="001C3C42">
            <w:pPr>
              <w:spacing w:after="0" w:line="259" w:lineRule="auto"/>
              <w:ind w:left="0" w:right="39" w:firstLine="0"/>
              <w:jc w:val="center"/>
            </w:pPr>
            <w:r>
              <w:rPr>
                <w:sz w:val="18"/>
              </w:rPr>
              <w:t xml:space="preserve">1311 </w:t>
            </w:r>
          </w:p>
        </w:tc>
        <w:tc>
          <w:tcPr>
            <w:tcW w:w="879" w:type="dxa"/>
            <w:tcBorders>
              <w:top w:val="single" w:sz="4" w:space="0" w:color="000000"/>
              <w:left w:val="single" w:sz="12" w:space="0" w:color="000000"/>
              <w:bottom w:val="single" w:sz="4" w:space="0" w:color="000000"/>
              <w:right w:val="single" w:sz="12" w:space="0" w:color="000000"/>
            </w:tcBorders>
          </w:tcPr>
          <w:p w14:paraId="75C68436" w14:textId="0CA4E8C7" w:rsidR="00B56D50" w:rsidRDefault="001C3C42" w:rsidP="007F2709">
            <w:pPr>
              <w:spacing w:after="0" w:line="259" w:lineRule="auto"/>
              <w:ind w:left="0" w:right="0" w:firstLine="0"/>
              <w:jc w:val="center"/>
            </w:pPr>
            <w:r>
              <w:rPr>
                <w:sz w:val="18"/>
              </w:rPr>
              <w:t>0.003</w:t>
            </w:r>
          </w:p>
        </w:tc>
        <w:tc>
          <w:tcPr>
            <w:tcW w:w="711" w:type="dxa"/>
            <w:tcBorders>
              <w:top w:val="single" w:sz="4" w:space="0" w:color="000000"/>
              <w:left w:val="single" w:sz="12" w:space="0" w:color="000000"/>
              <w:bottom w:val="single" w:sz="4" w:space="0" w:color="000000"/>
              <w:right w:val="single" w:sz="12" w:space="0" w:color="000000"/>
            </w:tcBorders>
          </w:tcPr>
          <w:p w14:paraId="5BCAFFAE" w14:textId="1394B90E" w:rsidR="00B56D50" w:rsidRDefault="001C3C42" w:rsidP="007F2709">
            <w:pPr>
              <w:spacing w:after="0" w:line="259" w:lineRule="auto"/>
              <w:ind w:left="91" w:right="0" w:firstLine="0"/>
              <w:jc w:val="center"/>
            </w:pPr>
            <w:r>
              <w:rPr>
                <w:sz w:val="18"/>
              </w:rPr>
              <w:t>mg/L</w:t>
            </w:r>
          </w:p>
        </w:tc>
        <w:tc>
          <w:tcPr>
            <w:tcW w:w="1157" w:type="dxa"/>
            <w:tcBorders>
              <w:top w:val="single" w:sz="4" w:space="0" w:color="000000"/>
              <w:left w:val="single" w:sz="12" w:space="0" w:color="000000"/>
              <w:bottom w:val="single" w:sz="4" w:space="0" w:color="000000"/>
              <w:right w:val="single" w:sz="12" w:space="0" w:color="000000"/>
            </w:tcBorders>
          </w:tcPr>
          <w:p w14:paraId="15BF9DFD" w14:textId="4B8C11D2" w:rsidR="00B56D50" w:rsidRDefault="001C3C42" w:rsidP="007F2709">
            <w:pPr>
              <w:tabs>
                <w:tab w:val="center" w:pos="623"/>
              </w:tabs>
              <w:spacing w:after="0" w:line="259" w:lineRule="auto"/>
              <w:ind w:left="0" w:right="0" w:firstLine="0"/>
              <w:jc w:val="center"/>
            </w:pPr>
            <w:r>
              <w:rPr>
                <w:sz w:val="18"/>
              </w:rPr>
              <w:t>0.03</w:t>
            </w:r>
          </w:p>
        </w:tc>
        <w:tc>
          <w:tcPr>
            <w:tcW w:w="792" w:type="dxa"/>
            <w:tcBorders>
              <w:top w:val="single" w:sz="4" w:space="0" w:color="000000"/>
              <w:left w:val="single" w:sz="12" w:space="0" w:color="000000"/>
              <w:bottom w:val="single" w:sz="4" w:space="0" w:color="000000"/>
              <w:right w:val="single" w:sz="12" w:space="0" w:color="000000"/>
            </w:tcBorders>
          </w:tcPr>
          <w:p w14:paraId="731CBC56" w14:textId="579486EB" w:rsidR="00B56D50" w:rsidRDefault="001C3C42" w:rsidP="007F2709">
            <w:pPr>
              <w:spacing w:after="0" w:line="259" w:lineRule="auto"/>
              <w:ind w:left="0" w:right="41" w:firstLine="0"/>
              <w:jc w:val="center"/>
            </w:pPr>
            <w:r>
              <w:rPr>
                <w:sz w:val="18"/>
              </w:rPr>
              <w:t>mg/L</w:t>
            </w:r>
          </w:p>
        </w:tc>
        <w:tc>
          <w:tcPr>
            <w:tcW w:w="1452" w:type="dxa"/>
            <w:tcBorders>
              <w:top w:val="single" w:sz="4" w:space="0" w:color="000000"/>
              <w:left w:val="single" w:sz="12" w:space="0" w:color="000000"/>
              <w:bottom w:val="single" w:sz="4" w:space="0" w:color="000000"/>
              <w:right w:val="single" w:sz="12" w:space="0" w:color="000000"/>
            </w:tcBorders>
          </w:tcPr>
          <w:p w14:paraId="30722FBF" w14:textId="22F292DD" w:rsidR="00B56D50" w:rsidRDefault="001C3C42" w:rsidP="007F2709">
            <w:pPr>
              <w:spacing w:after="0" w:line="259" w:lineRule="auto"/>
              <w:ind w:left="0" w:right="0" w:firstLine="0"/>
              <w:jc w:val="center"/>
            </w:pPr>
            <w:r>
              <w:rPr>
                <w:sz w:val="18"/>
              </w:rPr>
              <w:t>8081</w:t>
            </w:r>
          </w:p>
        </w:tc>
        <w:tc>
          <w:tcPr>
            <w:tcW w:w="1188" w:type="dxa"/>
            <w:tcBorders>
              <w:top w:val="single" w:sz="4" w:space="0" w:color="000000"/>
              <w:left w:val="single" w:sz="12" w:space="0" w:color="000000"/>
              <w:bottom w:val="single" w:sz="4" w:space="0" w:color="000000"/>
              <w:right w:val="single" w:sz="12" w:space="0" w:color="000000"/>
            </w:tcBorders>
          </w:tcPr>
          <w:p w14:paraId="279E79A5" w14:textId="4EF8E188" w:rsidR="00B56D50" w:rsidRDefault="00B56D50" w:rsidP="007F2709">
            <w:pPr>
              <w:spacing w:after="0" w:line="259" w:lineRule="auto"/>
              <w:ind w:left="0" w:right="0" w:firstLine="0"/>
              <w:jc w:val="center"/>
            </w:pPr>
          </w:p>
        </w:tc>
      </w:tr>
      <w:tr w:rsidR="00B56D50" w14:paraId="4B8584DD" w14:textId="77777777" w:rsidTr="005B6604">
        <w:trPr>
          <w:trHeight w:val="252"/>
        </w:trPr>
        <w:tc>
          <w:tcPr>
            <w:tcW w:w="1420" w:type="dxa"/>
            <w:tcBorders>
              <w:top w:val="single" w:sz="4" w:space="0" w:color="000000"/>
              <w:left w:val="single" w:sz="12" w:space="0" w:color="000000"/>
              <w:bottom w:val="single" w:sz="4" w:space="0" w:color="000000"/>
              <w:right w:val="single" w:sz="12" w:space="0" w:color="000000"/>
            </w:tcBorders>
          </w:tcPr>
          <w:p w14:paraId="6BE6E387" w14:textId="77777777" w:rsidR="00B56D50" w:rsidRDefault="001C3C42">
            <w:pPr>
              <w:spacing w:after="0" w:line="259" w:lineRule="auto"/>
              <w:ind w:left="0" w:right="36" w:firstLine="0"/>
              <w:jc w:val="center"/>
            </w:pPr>
            <w:r>
              <w:rPr>
                <w:sz w:val="18"/>
              </w:rPr>
              <w:t xml:space="preserve">D021 </w:t>
            </w:r>
          </w:p>
        </w:tc>
        <w:tc>
          <w:tcPr>
            <w:tcW w:w="1958" w:type="dxa"/>
            <w:tcBorders>
              <w:top w:val="single" w:sz="4" w:space="0" w:color="000000"/>
              <w:left w:val="single" w:sz="12" w:space="0" w:color="000000"/>
              <w:bottom w:val="single" w:sz="4" w:space="0" w:color="000000"/>
              <w:right w:val="single" w:sz="12" w:space="0" w:color="000000"/>
            </w:tcBorders>
          </w:tcPr>
          <w:p w14:paraId="13B39673" w14:textId="77777777" w:rsidR="00B56D50" w:rsidRDefault="001C3C42">
            <w:pPr>
              <w:spacing w:after="0" w:line="259" w:lineRule="auto"/>
              <w:ind w:left="0" w:right="0" w:firstLine="0"/>
            </w:pPr>
            <w:r>
              <w:rPr>
                <w:sz w:val="18"/>
              </w:rPr>
              <w:t xml:space="preserve">Chlorobenzene </w:t>
            </w:r>
          </w:p>
        </w:tc>
        <w:tc>
          <w:tcPr>
            <w:tcW w:w="1063" w:type="dxa"/>
            <w:tcBorders>
              <w:top w:val="single" w:sz="4" w:space="0" w:color="000000"/>
              <w:left w:val="single" w:sz="12" w:space="0" w:color="000000"/>
              <w:bottom w:val="single" w:sz="4" w:space="0" w:color="000000"/>
              <w:right w:val="single" w:sz="12" w:space="0" w:color="000000"/>
            </w:tcBorders>
          </w:tcPr>
          <w:p w14:paraId="6B9F7C89" w14:textId="77777777" w:rsidR="00B56D50" w:rsidRDefault="001C3C42">
            <w:pPr>
              <w:spacing w:after="0" w:line="259" w:lineRule="auto"/>
              <w:ind w:left="0" w:right="39" w:firstLine="0"/>
              <w:jc w:val="center"/>
            </w:pPr>
            <w:r>
              <w:rPr>
                <w:sz w:val="18"/>
              </w:rPr>
              <w:t xml:space="preserve">1311 </w:t>
            </w:r>
          </w:p>
        </w:tc>
        <w:tc>
          <w:tcPr>
            <w:tcW w:w="879" w:type="dxa"/>
            <w:tcBorders>
              <w:top w:val="single" w:sz="4" w:space="0" w:color="000000"/>
              <w:left w:val="single" w:sz="12" w:space="0" w:color="000000"/>
              <w:bottom w:val="single" w:sz="4" w:space="0" w:color="000000"/>
              <w:right w:val="single" w:sz="12" w:space="0" w:color="000000"/>
            </w:tcBorders>
          </w:tcPr>
          <w:p w14:paraId="60798DE7" w14:textId="2D82D1E4" w:rsidR="00B56D50" w:rsidRDefault="001C3C42" w:rsidP="007F2709">
            <w:pPr>
              <w:spacing w:after="0" w:line="259" w:lineRule="auto"/>
              <w:ind w:left="0" w:right="0" w:firstLine="0"/>
              <w:jc w:val="center"/>
            </w:pPr>
            <w:r>
              <w:rPr>
                <w:sz w:val="18"/>
              </w:rPr>
              <w:t>10</w:t>
            </w:r>
          </w:p>
        </w:tc>
        <w:tc>
          <w:tcPr>
            <w:tcW w:w="711" w:type="dxa"/>
            <w:tcBorders>
              <w:top w:val="single" w:sz="4" w:space="0" w:color="000000"/>
              <w:left w:val="single" w:sz="12" w:space="0" w:color="000000"/>
              <w:bottom w:val="single" w:sz="4" w:space="0" w:color="000000"/>
              <w:right w:val="single" w:sz="12" w:space="0" w:color="000000"/>
            </w:tcBorders>
          </w:tcPr>
          <w:p w14:paraId="3245B3C1" w14:textId="7808D935" w:rsidR="00B56D50" w:rsidRDefault="001C3C42" w:rsidP="007F2709">
            <w:pPr>
              <w:spacing w:after="0" w:line="259" w:lineRule="auto"/>
              <w:ind w:left="91" w:right="0" w:firstLine="0"/>
              <w:jc w:val="center"/>
            </w:pPr>
            <w:r>
              <w:rPr>
                <w:sz w:val="18"/>
              </w:rPr>
              <w:t>mg/L</w:t>
            </w:r>
          </w:p>
        </w:tc>
        <w:tc>
          <w:tcPr>
            <w:tcW w:w="1157" w:type="dxa"/>
            <w:tcBorders>
              <w:top w:val="single" w:sz="4" w:space="0" w:color="000000"/>
              <w:left w:val="single" w:sz="12" w:space="0" w:color="000000"/>
              <w:bottom w:val="single" w:sz="4" w:space="0" w:color="000000"/>
              <w:right w:val="single" w:sz="12" w:space="0" w:color="000000"/>
            </w:tcBorders>
          </w:tcPr>
          <w:p w14:paraId="370DCEFA" w14:textId="0681BF6B" w:rsidR="00B56D50" w:rsidRDefault="001C3C42" w:rsidP="007F2709">
            <w:pPr>
              <w:tabs>
                <w:tab w:val="center" w:pos="489"/>
              </w:tabs>
              <w:spacing w:after="0" w:line="259" w:lineRule="auto"/>
              <w:ind w:left="0" w:right="0" w:firstLine="0"/>
              <w:jc w:val="center"/>
            </w:pPr>
            <w:r>
              <w:rPr>
                <w:sz w:val="18"/>
              </w:rPr>
              <w:t>100</w:t>
            </w:r>
          </w:p>
        </w:tc>
        <w:tc>
          <w:tcPr>
            <w:tcW w:w="792" w:type="dxa"/>
            <w:tcBorders>
              <w:top w:val="single" w:sz="4" w:space="0" w:color="000000"/>
              <w:left w:val="single" w:sz="12" w:space="0" w:color="000000"/>
              <w:bottom w:val="single" w:sz="4" w:space="0" w:color="000000"/>
              <w:right w:val="single" w:sz="12" w:space="0" w:color="000000"/>
            </w:tcBorders>
          </w:tcPr>
          <w:p w14:paraId="27CA1AD3" w14:textId="3A991468" w:rsidR="00B56D50" w:rsidRDefault="001C3C42" w:rsidP="007F2709">
            <w:pPr>
              <w:spacing w:after="0" w:line="259" w:lineRule="auto"/>
              <w:ind w:left="0" w:right="41" w:firstLine="0"/>
              <w:jc w:val="center"/>
            </w:pPr>
            <w:r>
              <w:rPr>
                <w:sz w:val="18"/>
              </w:rPr>
              <w:t>mg/L</w:t>
            </w:r>
          </w:p>
        </w:tc>
        <w:tc>
          <w:tcPr>
            <w:tcW w:w="1452" w:type="dxa"/>
            <w:tcBorders>
              <w:top w:val="single" w:sz="4" w:space="0" w:color="000000"/>
              <w:left w:val="single" w:sz="12" w:space="0" w:color="000000"/>
              <w:bottom w:val="single" w:sz="4" w:space="0" w:color="000000"/>
              <w:right w:val="single" w:sz="12" w:space="0" w:color="000000"/>
            </w:tcBorders>
          </w:tcPr>
          <w:p w14:paraId="0F73C781" w14:textId="3CF0EF8E" w:rsidR="00B56D50" w:rsidRDefault="001C3C42" w:rsidP="007F2709">
            <w:pPr>
              <w:spacing w:after="0" w:line="259" w:lineRule="auto"/>
              <w:ind w:left="0" w:right="0" w:firstLine="0"/>
              <w:jc w:val="center"/>
            </w:pPr>
            <w:r>
              <w:rPr>
                <w:sz w:val="18"/>
              </w:rPr>
              <w:t>8260</w:t>
            </w:r>
          </w:p>
        </w:tc>
        <w:tc>
          <w:tcPr>
            <w:tcW w:w="1188" w:type="dxa"/>
            <w:tcBorders>
              <w:top w:val="single" w:sz="4" w:space="0" w:color="000000"/>
              <w:left w:val="single" w:sz="12" w:space="0" w:color="000000"/>
              <w:bottom w:val="single" w:sz="4" w:space="0" w:color="000000"/>
              <w:right w:val="single" w:sz="12" w:space="0" w:color="000000"/>
            </w:tcBorders>
          </w:tcPr>
          <w:p w14:paraId="67B951D7" w14:textId="0222E991" w:rsidR="00B56D50" w:rsidRDefault="001C3C42" w:rsidP="007F2709">
            <w:pPr>
              <w:spacing w:after="0" w:line="259" w:lineRule="auto"/>
              <w:ind w:left="0" w:right="0" w:firstLine="0"/>
              <w:jc w:val="center"/>
            </w:pPr>
            <w:r>
              <w:rPr>
                <w:sz w:val="18"/>
              </w:rPr>
              <w:t>8021</w:t>
            </w:r>
          </w:p>
        </w:tc>
      </w:tr>
      <w:tr w:rsidR="00B56D50" w14:paraId="046C8995" w14:textId="77777777" w:rsidTr="005B6604">
        <w:trPr>
          <w:trHeight w:val="250"/>
        </w:trPr>
        <w:tc>
          <w:tcPr>
            <w:tcW w:w="1420" w:type="dxa"/>
            <w:tcBorders>
              <w:top w:val="single" w:sz="4" w:space="0" w:color="000000"/>
              <w:left w:val="single" w:sz="12" w:space="0" w:color="000000"/>
              <w:bottom w:val="single" w:sz="4" w:space="0" w:color="000000"/>
              <w:right w:val="single" w:sz="12" w:space="0" w:color="000000"/>
            </w:tcBorders>
          </w:tcPr>
          <w:p w14:paraId="5C46F15E" w14:textId="77777777" w:rsidR="00B56D50" w:rsidRDefault="001C3C42">
            <w:pPr>
              <w:spacing w:after="0" w:line="259" w:lineRule="auto"/>
              <w:ind w:left="0" w:right="36" w:firstLine="0"/>
              <w:jc w:val="center"/>
            </w:pPr>
            <w:r>
              <w:rPr>
                <w:sz w:val="18"/>
              </w:rPr>
              <w:t xml:space="preserve">D022 </w:t>
            </w:r>
          </w:p>
        </w:tc>
        <w:tc>
          <w:tcPr>
            <w:tcW w:w="1958" w:type="dxa"/>
            <w:tcBorders>
              <w:top w:val="single" w:sz="4" w:space="0" w:color="000000"/>
              <w:left w:val="single" w:sz="12" w:space="0" w:color="000000"/>
              <w:bottom w:val="single" w:sz="4" w:space="0" w:color="000000"/>
              <w:right w:val="single" w:sz="12" w:space="0" w:color="000000"/>
            </w:tcBorders>
          </w:tcPr>
          <w:p w14:paraId="28A6903F" w14:textId="77777777" w:rsidR="00B56D50" w:rsidRDefault="001C3C42">
            <w:pPr>
              <w:spacing w:after="0" w:line="259" w:lineRule="auto"/>
              <w:ind w:left="0" w:right="0" w:firstLine="0"/>
            </w:pPr>
            <w:r>
              <w:rPr>
                <w:sz w:val="18"/>
              </w:rPr>
              <w:t xml:space="preserve">Chloroform </w:t>
            </w:r>
          </w:p>
        </w:tc>
        <w:tc>
          <w:tcPr>
            <w:tcW w:w="1063" w:type="dxa"/>
            <w:tcBorders>
              <w:top w:val="single" w:sz="4" w:space="0" w:color="000000"/>
              <w:left w:val="single" w:sz="12" w:space="0" w:color="000000"/>
              <w:bottom w:val="single" w:sz="4" w:space="0" w:color="000000"/>
              <w:right w:val="single" w:sz="12" w:space="0" w:color="000000"/>
            </w:tcBorders>
          </w:tcPr>
          <w:p w14:paraId="18F88659" w14:textId="77777777" w:rsidR="00B56D50" w:rsidRDefault="001C3C42">
            <w:pPr>
              <w:spacing w:after="0" w:line="259" w:lineRule="auto"/>
              <w:ind w:left="0" w:right="39" w:firstLine="0"/>
              <w:jc w:val="center"/>
            </w:pPr>
            <w:r>
              <w:rPr>
                <w:sz w:val="18"/>
              </w:rPr>
              <w:t xml:space="preserve">1311 </w:t>
            </w:r>
          </w:p>
        </w:tc>
        <w:tc>
          <w:tcPr>
            <w:tcW w:w="879" w:type="dxa"/>
            <w:tcBorders>
              <w:top w:val="single" w:sz="4" w:space="0" w:color="000000"/>
              <w:left w:val="single" w:sz="12" w:space="0" w:color="000000"/>
              <w:bottom w:val="single" w:sz="4" w:space="0" w:color="000000"/>
              <w:right w:val="single" w:sz="12" w:space="0" w:color="000000"/>
            </w:tcBorders>
          </w:tcPr>
          <w:p w14:paraId="1146C66C" w14:textId="3FD9564B" w:rsidR="00B56D50" w:rsidRDefault="001C3C42" w:rsidP="007F2709">
            <w:pPr>
              <w:spacing w:after="0" w:line="259" w:lineRule="auto"/>
              <w:ind w:left="0" w:right="0" w:firstLine="0"/>
              <w:jc w:val="center"/>
            </w:pPr>
            <w:r>
              <w:rPr>
                <w:sz w:val="18"/>
              </w:rPr>
              <w:t>0.06</w:t>
            </w:r>
          </w:p>
        </w:tc>
        <w:tc>
          <w:tcPr>
            <w:tcW w:w="711" w:type="dxa"/>
            <w:tcBorders>
              <w:top w:val="single" w:sz="4" w:space="0" w:color="000000"/>
              <w:left w:val="single" w:sz="12" w:space="0" w:color="000000"/>
              <w:bottom w:val="single" w:sz="4" w:space="0" w:color="000000"/>
              <w:right w:val="single" w:sz="12" w:space="0" w:color="000000"/>
            </w:tcBorders>
          </w:tcPr>
          <w:p w14:paraId="6336D8A7" w14:textId="1DB0BDE3" w:rsidR="00B56D50" w:rsidRDefault="001C3C42" w:rsidP="007F2709">
            <w:pPr>
              <w:spacing w:after="0" w:line="259" w:lineRule="auto"/>
              <w:ind w:left="91" w:right="0" w:firstLine="0"/>
              <w:jc w:val="center"/>
            </w:pPr>
            <w:r>
              <w:rPr>
                <w:sz w:val="18"/>
              </w:rPr>
              <w:t>mg/L</w:t>
            </w:r>
          </w:p>
        </w:tc>
        <w:tc>
          <w:tcPr>
            <w:tcW w:w="1157" w:type="dxa"/>
            <w:tcBorders>
              <w:top w:val="single" w:sz="4" w:space="0" w:color="000000"/>
              <w:left w:val="single" w:sz="12" w:space="0" w:color="000000"/>
              <w:bottom w:val="single" w:sz="4" w:space="0" w:color="000000"/>
              <w:right w:val="single" w:sz="12" w:space="0" w:color="000000"/>
            </w:tcBorders>
          </w:tcPr>
          <w:p w14:paraId="4A225A15" w14:textId="20717AB8" w:rsidR="00B56D50" w:rsidRDefault="001C3C42" w:rsidP="007F2709">
            <w:pPr>
              <w:tabs>
                <w:tab w:val="center" w:pos="579"/>
              </w:tabs>
              <w:spacing w:after="0" w:line="259" w:lineRule="auto"/>
              <w:ind w:left="0" w:right="0" w:firstLine="0"/>
              <w:jc w:val="center"/>
            </w:pPr>
            <w:r>
              <w:rPr>
                <w:sz w:val="18"/>
              </w:rPr>
              <w:t>6</w:t>
            </w:r>
          </w:p>
        </w:tc>
        <w:tc>
          <w:tcPr>
            <w:tcW w:w="792" w:type="dxa"/>
            <w:tcBorders>
              <w:top w:val="single" w:sz="4" w:space="0" w:color="000000"/>
              <w:left w:val="single" w:sz="12" w:space="0" w:color="000000"/>
              <w:bottom w:val="single" w:sz="4" w:space="0" w:color="000000"/>
              <w:right w:val="single" w:sz="12" w:space="0" w:color="000000"/>
            </w:tcBorders>
          </w:tcPr>
          <w:p w14:paraId="22E6A22F" w14:textId="3C7DA2BC" w:rsidR="00B56D50" w:rsidRDefault="001C3C42" w:rsidP="007F2709">
            <w:pPr>
              <w:spacing w:after="0" w:line="259" w:lineRule="auto"/>
              <w:ind w:left="0" w:right="41" w:firstLine="0"/>
              <w:jc w:val="center"/>
            </w:pPr>
            <w:r>
              <w:rPr>
                <w:sz w:val="18"/>
              </w:rPr>
              <w:t>mg/L</w:t>
            </w:r>
          </w:p>
        </w:tc>
        <w:tc>
          <w:tcPr>
            <w:tcW w:w="1452" w:type="dxa"/>
            <w:tcBorders>
              <w:top w:val="single" w:sz="4" w:space="0" w:color="000000"/>
              <w:left w:val="single" w:sz="12" w:space="0" w:color="000000"/>
              <w:bottom w:val="single" w:sz="4" w:space="0" w:color="000000"/>
              <w:right w:val="single" w:sz="12" w:space="0" w:color="000000"/>
            </w:tcBorders>
          </w:tcPr>
          <w:p w14:paraId="04E8B4A7" w14:textId="1066FE06" w:rsidR="00B56D50" w:rsidRDefault="001C3C42" w:rsidP="007F2709">
            <w:pPr>
              <w:spacing w:after="0" w:line="259" w:lineRule="auto"/>
              <w:ind w:left="0" w:right="0" w:firstLine="0"/>
              <w:jc w:val="center"/>
            </w:pPr>
            <w:r>
              <w:rPr>
                <w:sz w:val="18"/>
              </w:rPr>
              <w:t>8260</w:t>
            </w:r>
          </w:p>
        </w:tc>
        <w:tc>
          <w:tcPr>
            <w:tcW w:w="1188" w:type="dxa"/>
            <w:tcBorders>
              <w:top w:val="single" w:sz="4" w:space="0" w:color="000000"/>
              <w:left w:val="single" w:sz="12" w:space="0" w:color="000000"/>
              <w:bottom w:val="single" w:sz="4" w:space="0" w:color="000000"/>
              <w:right w:val="single" w:sz="12" w:space="0" w:color="000000"/>
            </w:tcBorders>
          </w:tcPr>
          <w:p w14:paraId="6E671A65" w14:textId="5A2BF550" w:rsidR="00B56D50" w:rsidRDefault="001C3C42" w:rsidP="007F2709">
            <w:pPr>
              <w:spacing w:after="0" w:line="259" w:lineRule="auto"/>
              <w:ind w:left="0" w:right="0" w:firstLine="0"/>
              <w:jc w:val="center"/>
            </w:pPr>
            <w:r>
              <w:rPr>
                <w:sz w:val="18"/>
              </w:rPr>
              <w:t>8021</w:t>
            </w:r>
          </w:p>
        </w:tc>
      </w:tr>
      <w:tr w:rsidR="00B56D50" w14:paraId="11D1CFEC" w14:textId="77777777" w:rsidTr="005B6604">
        <w:trPr>
          <w:trHeight w:val="250"/>
        </w:trPr>
        <w:tc>
          <w:tcPr>
            <w:tcW w:w="1420" w:type="dxa"/>
            <w:tcBorders>
              <w:top w:val="single" w:sz="4" w:space="0" w:color="000000"/>
              <w:left w:val="single" w:sz="12" w:space="0" w:color="000000"/>
              <w:bottom w:val="single" w:sz="4" w:space="0" w:color="000000"/>
              <w:right w:val="single" w:sz="12" w:space="0" w:color="000000"/>
            </w:tcBorders>
          </w:tcPr>
          <w:p w14:paraId="52E6DA64" w14:textId="77777777" w:rsidR="00B56D50" w:rsidRDefault="001C3C42">
            <w:pPr>
              <w:spacing w:after="0" w:line="259" w:lineRule="auto"/>
              <w:ind w:left="0" w:right="36" w:firstLine="0"/>
              <w:jc w:val="center"/>
            </w:pPr>
            <w:r>
              <w:rPr>
                <w:sz w:val="18"/>
              </w:rPr>
              <w:t xml:space="preserve">D023 </w:t>
            </w:r>
          </w:p>
        </w:tc>
        <w:tc>
          <w:tcPr>
            <w:tcW w:w="1958" w:type="dxa"/>
            <w:tcBorders>
              <w:top w:val="single" w:sz="4" w:space="0" w:color="000000"/>
              <w:left w:val="single" w:sz="12" w:space="0" w:color="000000"/>
              <w:bottom w:val="single" w:sz="4" w:space="0" w:color="000000"/>
              <w:right w:val="single" w:sz="12" w:space="0" w:color="000000"/>
            </w:tcBorders>
          </w:tcPr>
          <w:p w14:paraId="7D55102E" w14:textId="77777777" w:rsidR="00B56D50" w:rsidRDefault="001C3C42">
            <w:pPr>
              <w:spacing w:after="0" w:line="259" w:lineRule="auto"/>
              <w:ind w:left="0" w:right="0" w:firstLine="0"/>
            </w:pPr>
            <w:r>
              <w:rPr>
                <w:sz w:val="18"/>
              </w:rPr>
              <w:t xml:space="preserve">o-Cresol </w:t>
            </w:r>
          </w:p>
        </w:tc>
        <w:tc>
          <w:tcPr>
            <w:tcW w:w="1063" w:type="dxa"/>
            <w:tcBorders>
              <w:top w:val="single" w:sz="4" w:space="0" w:color="000000"/>
              <w:left w:val="single" w:sz="12" w:space="0" w:color="000000"/>
              <w:bottom w:val="single" w:sz="4" w:space="0" w:color="000000"/>
              <w:right w:val="single" w:sz="12" w:space="0" w:color="000000"/>
            </w:tcBorders>
          </w:tcPr>
          <w:p w14:paraId="435ABD75" w14:textId="77777777" w:rsidR="00B56D50" w:rsidRDefault="001C3C42">
            <w:pPr>
              <w:spacing w:after="0" w:line="259" w:lineRule="auto"/>
              <w:ind w:left="0" w:right="39" w:firstLine="0"/>
              <w:jc w:val="center"/>
            </w:pPr>
            <w:r>
              <w:rPr>
                <w:sz w:val="18"/>
              </w:rPr>
              <w:t xml:space="preserve">1311 </w:t>
            </w:r>
          </w:p>
        </w:tc>
        <w:tc>
          <w:tcPr>
            <w:tcW w:w="879" w:type="dxa"/>
            <w:tcBorders>
              <w:top w:val="single" w:sz="4" w:space="0" w:color="000000"/>
              <w:left w:val="single" w:sz="12" w:space="0" w:color="000000"/>
              <w:bottom w:val="single" w:sz="4" w:space="0" w:color="000000"/>
              <w:right w:val="single" w:sz="12" w:space="0" w:color="000000"/>
            </w:tcBorders>
          </w:tcPr>
          <w:p w14:paraId="0B22F804" w14:textId="0FD043DB" w:rsidR="00B56D50" w:rsidRDefault="001C3C42" w:rsidP="007F2709">
            <w:pPr>
              <w:spacing w:after="0" w:line="259" w:lineRule="auto"/>
              <w:ind w:left="0" w:right="0" w:firstLine="0"/>
              <w:jc w:val="center"/>
            </w:pPr>
            <w:r>
              <w:rPr>
                <w:sz w:val="18"/>
              </w:rPr>
              <w:t>5</w:t>
            </w:r>
          </w:p>
        </w:tc>
        <w:tc>
          <w:tcPr>
            <w:tcW w:w="711" w:type="dxa"/>
            <w:tcBorders>
              <w:top w:val="single" w:sz="4" w:space="0" w:color="000000"/>
              <w:left w:val="single" w:sz="12" w:space="0" w:color="000000"/>
              <w:bottom w:val="single" w:sz="4" w:space="0" w:color="000000"/>
              <w:right w:val="single" w:sz="12" w:space="0" w:color="000000"/>
            </w:tcBorders>
          </w:tcPr>
          <w:p w14:paraId="57916201" w14:textId="3AD8E17C" w:rsidR="00B56D50" w:rsidRDefault="001C3C42" w:rsidP="007F2709">
            <w:pPr>
              <w:spacing w:after="0" w:line="259" w:lineRule="auto"/>
              <w:ind w:left="91" w:right="0" w:firstLine="0"/>
              <w:jc w:val="center"/>
            </w:pPr>
            <w:r>
              <w:rPr>
                <w:sz w:val="18"/>
              </w:rPr>
              <w:t>mg/L</w:t>
            </w:r>
          </w:p>
        </w:tc>
        <w:tc>
          <w:tcPr>
            <w:tcW w:w="1157" w:type="dxa"/>
            <w:tcBorders>
              <w:top w:val="single" w:sz="4" w:space="0" w:color="000000"/>
              <w:left w:val="single" w:sz="12" w:space="0" w:color="000000"/>
              <w:bottom w:val="single" w:sz="4" w:space="0" w:color="000000"/>
              <w:right w:val="single" w:sz="12" w:space="0" w:color="000000"/>
            </w:tcBorders>
          </w:tcPr>
          <w:p w14:paraId="7F69B52C" w14:textId="2D4F2E0F" w:rsidR="00B56D50" w:rsidRDefault="001C3C42" w:rsidP="007F2709">
            <w:pPr>
              <w:tabs>
                <w:tab w:val="center" w:pos="489"/>
              </w:tabs>
              <w:spacing w:after="0" w:line="259" w:lineRule="auto"/>
              <w:ind w:left="0" w:right="0" w:firstLine="0"/>
              <w:jc w:val="center"/>
            </w:pPr>
            <w:r>
              <w:rPr>
                <w:sz w:val="18"/>
              </w:rPr>
              <w:t>200</w:t>
            </w:r>
          </w:p>
        </w:tc>
        <w:tc>
          <w:tcPr>
            <w:tcW w:w="792" w:type="dxa"/>
            <w:tcBorders>
              <w:top w:val="single" w:sz="4" w:space="0" w:color="000000"/>
              <w:left w:val="single" w:sz="12" w:space="0" w:color="000000"/>
              <w:bottom w:val="single" w:sz="4" w:space="0" w:color="000000"/>
              <w:right w:val="single" w:sz="12" w:space="0" w:color="000000"/>
            </w:tcBorders>
          </w:tcPr>
          <w:p w14:paraId="15586002" w14:textId="51A6D163" w:rsidR="00B56D50" w:rsidRDefault="001C3C42" w:rsidP="007F2709">
            <w:pPr>
              <w:spacing w:after="0" w:line="259" w:lineRule="auto"/>
              <w:ind w:left="0" w:right="41" w:firstLine="0"/>
              <w:jc w:val="center"/>
            </w:pPr>
            <w:r>
              <w:rPr>
                <w:sz w:val="18"/>
              </w:rPr>
              <w:t>mg/L</w:t>
            </w:r>
          </w:p>
        </w:tc>
        <w:tc>
          <w:tcPr>
            <w:tcW w:w="1452" w:type="dxa"/>
            <w:tcBorders>
              <w:top w:val="single" w:sz="4" w:space="0" w:color="000000"/>
              <w:left w:val="single" w:sz="12" w:space="0" w:color="000000"/>
              <w:bottom w:val="single" w:sz="4" w:space="0" w:color="000000"/>
              <w:right w:val="single" w:sz="12" w:space="0" w:color="000000"/>
            </w:tcBorders>
          </w:tcPr>
          <w:p w14:paraId="7A67EC7D" w14:textId="636ED354" w:rsidR="00B56D50" w:rsidRDefault="001C3C42" w:rsidP="007F2709">
            <w:pPr>
              <w:spacing w:after="0" w:line="259" w:lineRule="auto"/>
              <w:ind w:left="0" w:right="0" w:firstLine="0"/>
              <w:jc w:val="center"/>
            </w:pPr>
            <w:r>
              <w:rPr>
                <w:sz w:val="18"/>
              </w:rPr>
              <w:t>8270</w:t>
            </w:r>
          </w:p>
        </w:tc>
        <w:tc>
          <w:tcPr>
            <w:tcW w:w="1188" w:type="dxa"/>
            <w:tcBorders>
              <w:top w:val="single" w:sz="4" w:space="0" w:color="000000"/>
              <w:left w:val="single" w:sz="12" w:space="0" w:color="000000"/>
              <w:bottom w:val="single" w:sz="4" w:space="0" w:color="000000"/>
              <w:right w:val="single" w:sz="12" w:space="0" w:color="000000"/>
            </w:tcBorders>
          </w:tcPr>
          <w:p w14:paraId="7FE86759" w14:textId="2DAE327B" w:rsidR="00B56D50" w:rsidRDefault="001C3C42" w:rsidP="007F2709">
            <w:pPr>
              <w:spacing w:after="0" w:line="259" w:lineRule="auto"/>
              <w:ind w:left="0" w:right="0" w:firstLine="0"/>
              <w:jc w:val="center"/>
            </w:pPr>
            <w:r>
              <w:rPr>
                <w:sz w:val="18"/>
              </w:rPr>
              <w:t>8041</w:t>
            </w:r>
            <w:r w:rsidR="003204BC">
              <w:rPr>
                <w:sz w:val="18"/>
              </w:rPr>
              <w:t xml:space="preserve">, </w:t>
            </w:r>
            <w:r>
              <w:rPr>
                <w:sz w:val="18"/>
              </w:rPr>
              <w:t>8410</w:t>
            </w:r>
          </w:p>
        </w:tc>
      </w:tr>
      <w:tr w:rsidR="00B56D50" w14:paraId="242C04D7" w14:textId="77777777" w:rsidTr="005B6604">
        <w:trPr>
          <w:trHeight w:val="250"/>
        </w:trPr>
        <w:tc>
          <w:tcPr>
            <w:tcW w:w="1420" w:type="dxa"/>
            <w:tcBorders>
              <w:top w:val="single" w:sz="4" w:space="0" w:color="000000"/>
              <w:left w:val="single" w:sz="12" w:space="0" w:color="000000"/>
              <w:bottom w:val="single" w:sz="4" w:space="0" w:color="000000"/>
              <w:right w:val="single" w:sz="12" w:space="0" w:color="000000"/>
            </w:tcBorders>
          </w:tcPr>
          <w:p w14:paraId="39225DB0" w14:textId="77777777" w:rsidR="00B56D50" w:rsidRDefault="001C3C42">
            <w:pPr>
              <w:spacing w:after="0" w:line="259" w:lineRule="auto"/>
              <w:ind w:left="0" w:right="36" w:firstLine="0"/>
              <w:jc w:val="center"/>
            </w:pPr>
            <w:r>
              <w:rPr>
                <w:sz w:val="18"/>
              </w:rPr>
              <w:t xml:space="preserve">D024 </w:t>
            </w:r>
          </w:p>
        </w:tc>
        <w:tc>
          <w:tcPr>
            <w:tcW w:w="1958" w:type="dxa"/>
            <w:tcBorders>
              <w:top w:val="single" w:sz="4" w:space="0" w:color="000000"/>
              <w:left w:val="single" w:sz="12" w:space="0" w:color="000000"/>
              <w:bottom w:val="single" w:sz="4" w:space="0" w:color="000000"/>
              <w:right w:val="single" w:sz="12" w:space="0" w:color="000000"/>
            </w:tcBorders>
          </w:tcPr>
          <w:p w14:paraId="7670F151" w14:textId="77777777" w:rsidR="00B56D50" w:rsidRDefault="001C3C42">
            <w:pPr>
              <w:spacing w:after="0" w:line="259" w:lineRule="auto"/>
              <w:ind w:left="0" w:right="0" w:firstLine="0"/>
            </w:pPr>
            <w:r>
              <w:rPr>
                <w:sz w:val="18"/>
              </w:rPr>
              <w:t xml:space="preserve">m-Cresol </w:t>
            </w:r>
          </w:p>
        </w:tc>
        <w:tc>
          <w:tcPr>
            <w:tcW w:w="1063" w:type="dxa"/>
            <w:tcBorders>
              <w:top w:val="single" w:sz="4" w:space="0" w:color="000000"/>
              <w:left w:val="single" w:sz="12" w:space="0" w:color="000000"/>
              <w:bottom w:val="single" w:sz="4" w:space="0" w:color="000000"/>
              <w:right w:val="single" w:sz="12" w:space="0" w:color="000000"/>
            </w:tcBorders>
          </w:tcPr>
          <w:p w14:paraId="65E69C19" w14:textId="77777777" w:rsidR="00B56D50" w:rsidRDefault="001C3C42">
            <w:pPr>
              <w:spacing w:after="0" w:line="259" w:lineRule="auto"/>
              <w:ind w:left="0" w:right="39" w:firstLine="0"/>
              <w:jc w:val="center"/>
            </w:pPr>
            <w:r>
              <w:rPr>
                <w:sz w:val="18"/>
              </w:rPr>
              <w:t xml:space="preserve">1311 </w:t>
            </w:r>
          </w:p>
        </w:tc>
        <w:tc>
          <w:tcPr>
            <w:tcW w:w="879" w:type="dxa"/>
            <w:tcBorders>
              <w:top w:val="single" w:sz="4" w:space="0" w:color="000000"/>
              <w:left w:val="single" w:sz="12" w:space="0" w:color="000000"/>
              <w:bottom w:val="single" w:sz="4" w:space="0" w:color="000000"/>
              <w:right w:val="single" w:sz="12" w:space="0" w:color="000000"/>
            </w:tcBorders>
          </w:tcPr>
          <w:p w14:paraId="5AFF45AB" w14:textId="43C7DC69" w:rsidR="00B56D50" w:rsidRDefault="001C3C42" w:rsidP="007F2709">
            <w:pPr>
              <w:spacing w:after="0" w:line="259" w:lineRule="auto"/>
              <w:ind w:left="0" w:right="0" w:firstLine="0"/>
              <w:jc w:val="center"/>
            </w:pPr>
            <w:r>
              <w:rPr>
                <w:sz w:val="18"/>
              </w:rPr>
              <w:t>5</w:t>
            </w:r>
          </w:p>
        </w:tc>
        <w:tc>
          <w:tcPr>
            <w:tcW w:w="711" w:type="dxa"/>
            <w:tcBorders>
              <w:top w:val="single" w:sz="4" w:space="0" w:color="000000"/>
              <w:left w:val="single" w:sz="12" w:space="0" w:color="000000"/>
              <w:bottom w:val="single" w:sz="4" w:space="0" w:color="000000"/>
              <w:right w:val="single" w:sz="12" w:space="0" w:color="000000"/>
            </w:tcBorders>
          </w:tcPr>
          <w:p w14:paraId="0E20A21E" w14:textId="07BB97F0" w:rsidR="00B56D50" w:rsidRDefault="001C3C42" w:rsidP="007F2709">
            <w:pPr>
              <w:spacing w:after="0" w:line="259" w:lineRule="auto"/>
              <w:ind w:left="91" w:right="0" w:firstLine="0"/>
              <w:jc w:val="center"/>
            </w:pPr>
            <w:r>
              <w:rPr>
                <w:sz w:val="18"/>
              </w:rPr>
              <w:t>mg/L</w:t>
            </w:r>
          </w:p>
        </w:tc>
        <w:tc>
          <w:tcPr>
            <w:tcW w:w="1157" w:type="dxa"/>
            <w:tcBorders>
              <w:top w:val="single" w:sz="4" w:space="0" w:color="000000"/>
              <w:left w:val="single" w:sz="12" w:space="0" w:color="000000"/>
              <w:bottom w:val="single" w:sz="4" w:space="0" w:color="000000"/>
              <w:right w:val="single" w:sz="12" w:space="0" w:color="000000"/>
            </w:tcBorders>
          </w:tcPr>
          <w:p w14:paraId="14F80915" w14:textId="42C084EA" w:rsidR="00B56D50" w:rsidRDefault="001C3C42" w:rsidP="007F2709">
            <w:pPr>
              <w:tabs>
                <w:tab w:val="center" w:pos="489"/>
              </w:tabs>
              <w:spacing w:after="0" w:line="259" w:lineRule="auto"/>
              <w:ind w:left="0" w:right="0" w:firstLine="0"/>
              <w:jc w:val="center"/>
            </w:pPr>
            <w:r>
              <w:rPr>
                <w:sz w:val="18"/>
              </w:rPr>
              <w:t>200</w:t>
            </w:r>
          </w:p>
        </w:tc>
        <w:tc>
          <w:tcPr>
            <w:tcW w:w="792" w:type="dxa"/>
            <w:tcBorders>
              <w:top w:val="single" w:sz="4" w:space="0" w:color="000000"/>
              <w:left w:val="single" w:sz="12" w:space="0" w:color="000000"/>
              <w:bottom w:val="single" w:sz="4" w:space="0" w:color="000000"/>
              <w:right w:val="single" w:sz="12" w:space="0" w:color="000000"/>
            </w:tcBorders>
          </w:tcPr>
          <w:p w14:paraId="0A81163E" w14:textId="6EB7DDB8" w:rsidR="00B56D50" w:rsidRDefault="001C3C42" w:rsidP="007F2709">
            <w:pPr>
              <w:spacing w:after="0" w:line="259" w:lineRule="auto"/>
              <w:ind w:left="0" w:right="41" w:firstLine="0"/>
              <w:jc w:val="center"/>
            </w:pPr>
            <w:r>
              <w:rPr>
                <w:sz w:val="18"/>
              </w:rPr>
              <w:t>mg/L</w:t>
            </w:r>
          </w:p>
        </w:tc>
        <w:tc>
          <w:tcPr>
            <w:tcW w:w="1452" w:type="dxa"/>
            <w:tcBorders>
              <w:top w:val="single" w:sz="4" w:space="0" w:color="000000"/>
              <w:left w:val="single" w:sz="12" w:space="0" w:color="000000"/>
              <w:bottom w:val="single" w:sz="4" w:space="0" w:color="000000"/>
              <w:right w:val="single" w:sz="12" w:space="0" w:color="000000"/>
            </w:tcBorders>
          </w:tcPr>
          <w:p w14:paraId="153EF110" w14:textId="0ED360EB" w:rsidR="00B56D50" w:rsidRDefault="001C3C42" w:rsidP="007F2709">
            <w:pPr>
              <w:spacing w:after="0" w:line="259" w:lineRule="auto"/>
              <w:ind w:left="0" w:right="0" w:firstLine="0"/>
              <w:jc w:val="center"/>
            </w:pPr>
            <w:r>
              <w:rPr>
                <w:sz w:val="18"/>
              </w:rPr>
              <w:t>8270</w:t>
            </w:r>
          </w:p>
        </w:tc>
        <w:tc>
          <w:tcPr>
            <w:tcW w:w="1188" w:type="dxa"/>
            <w:tcBorders>
              <w:top w:val="single" w:sz="4" w:space="0" w:color="000000"/>
              <w:left w:val="single" w:sz="12" w:space="0" w:color="000000"/>
              <w:bottom w:val="single" w:sz="4" w:space="0" w:color="000000"/>
              <w:right w:val="single" w:sz="12" w:space="0" w:color="000000"/>
            </w:tcBorders>
          </w:tcPr>
          <w:p w14:paraId="2AB2B08E" w14:textId="5E39CEBE" w:rsidR="00B56D50" w:rsidRDefault="001C3C42" w:rsidP="007F2709">
            <w:pPr>
              <w:spacing w:after="0" w:line="259" w:lineRule="auto"/>
              <w:ind w:left="0" w:right="0" w:firstLine="0"/>
              <w:jc w:val="center"/>
            </w:pPr>
            <w:r>
              <w:rPr>
                <w:sz w:val="18"/>
              </w:rPr>
              <w:t>8041</w:t>
            </w:r>
            <w:r w:rsidR="003204BC">
              <w:rPr>
                <w:sz w:val="18"/>
              </w:rPr>
              <w:t>,</w:t>
            </w:r>
            <w:r>
              <w:rPr>
                <w:sz w:val="18"/>
              </w:rPr>
              <w:t xml:space="preserve"> </w:t>
            </w:r>
            <w:r w:rsidRPr="00BB30E7">
              <w:rPr>
                <w:iCs/>
                <w:sz w:val="18"/>
              </w:rPr>
              <w:t>8410</w:t>
            </w:r>
          </w:p>
        </w:tc>
      </w:tr>
      <w:tr w:rsidR="00B56D50" w14:paraId="11467E84" w14:textId="77777777" w:rsidTr="005B6604">
        <w:trPr>
          <w:trHeight w:val="250"/>
        </w:trPr>
        <w:tc>
          <w:tcPr>
            <w:tcW w:w="1420" w:type="dxa"/>
            <w:tcBorders>
              <w:top w:val="single" w:sz="4" w:space="0" w:color="000000"/>
              <w:left w:val="single" w:sz="12" w:space="0" w:color="000000"/>
              <w:bottom w:val="single" w:sz="4" w:space="0" w:color="000000"/>
              <w:right w:val="single" w:sz="12" w:space="0" w:color="000000"/>
            </w:tcBorders>
          </w:tcPr>
          <w:p w14:paraId="47C269FF" w14:textId="77777777" w:rsidR="00B56D50" w:rsidRDefault="001C3C42">
            <w:pPr>
              <w:spacing w:after="0" w:line="259" w:lineRule="auto"/>
              <w:ind w:left="0" w:right="36" w:firstLine="0"/>
              <w:jc w:val="center"/>
            </w:pPr>
            <w:r>
              <w:rPr>
                <w:sz w:val="18"/>
              </w:rPr>
              <w:t xml:space="preserve">D025 </w:t>
            </w:r>
          </w:p>
        </w:tc>
        <w:tc>
          <w:tcPr>
            <w:tcW w:w="1958" w:type="dxa"/>
            <w:tcBorders>
              <w:top w:val="single" w:sz="4" w:space="0" w:color="000000"/>
              <w:left w:val="single" w:sz="12" w:space="0" w:color="000000"/>
              <w:bottom w:val="single" w:sz="4" w:space="0" w:color="000000"/>
              <w:right w:val="single" w:sz="12" w:space="0" w:color="000000"/>
            </w:tcBorders>
          </w:tcPr>
          <w:p w14:paraId="086936D4" w14:textId="77777777" w:rsidR="00B56D50" w:rsidRDefault="001C3C42">
            <w:pPr>
              <w:spacing w:after="0" w:line="259" w:lineRule="auto"/>
              <w:ind w:left="0" w:right="0" w:firstLine="0"/>
            </w:pPr>
            <w:r>
              <w:rPr>
                <w:sz w:val="18"/>
              </w:rPr>
              <w:t xml:space="preserve">p-Cresol </w:t>
            </w:r>
          </w:p>
        </w:tc>
        <w:tc>
          <w:tcPr>
            <w:tcW w:w="1063" w:type="dxa"/>
            <w:tcBorders>
              <w:top w:val="single" w:sz="4" w:space="0" w:color="000000"/>
              <w:left w:val="single" w:sz="12" w:space="0" w:color="000000"/>
              <w:bottom w:val="single" w:sz="4" w:space="0" w:color="000000"/>
              <w:right w:val="single" w:sz="12" w:space="0" w:color="000000"/>
            </w:tcBorders>
          </w:tcPr>
          <w:p w14:paraId="476918AA" w14:textId="77777777" w:rsidR="00B56D50" w:rsidRDefault="001C3C42">
            <w:pPr>
              <w:spacing w:after="0" w:line="259" w:lineRule="auto"/>
              <w:ind w:left="0" w:right="39" w:firstLine="0"/>
              <w:jc w:val="center"/>
            </w:pPr>
            <w:r>
              <w:rPr>
                <w:sz w:val="18"/>
              </w:rPr>
              <w:t xml:space="preserve">1311 </w:t>
            </w:r>
          </w:p>
        </w:tc>
        <w:tc>
          <w:tcPr>
            <w:tcW w:w="879" w:type="dxa"/>
            <w:tcBorders>
              <w:top w:val="single" w:sz="4" w:space="0" w:color="000000"/>
              <w:left w:val="single" w:sz="12" w:space="0" w:color="000000"/>
              <w:bottom w:val="single" w:sz="4" w:space="0" w:color="000000"/>
              <w:right w:val="single" w:sz="12" w:space="0" w:color="000000"/>
            </w:tcBorders>
          </w:tcPr>
          <w:p w14:paraId="25E40DB2" w14:textId="655F764B" w:rsidR="00B56D50" w:rsidRDefault="001C3C42" w:rsidP="007F2709">
            <w:pPr>
              <w:spacing w:after="0" w:line="259" w:lineRule="auto"/>
              <w:ind w:left="0" w:right="0" w:firstLine="0"/>
              <w:jc w:val="center"/>
            </w:pPr>
            <w:r>
              <w:rPr>
                <w:sz w:val="18"/>
              </w:rPr>
              <w:t>5</w:t>
            </w:r>
          </w:p>
        </w:tc>
        <w:tc>
          <w:tcPr>
            <w:tcW w:w="711" w:type="dxa"/>
            <w:tcBorders>
              <w:top w:val="single" w:sz="4" w:space="0" w:color="000000"/>
              <w:left w:val="single" w:sz="12" w:space="0" w:color="000000"/>
              <w:bottom w:val="single" w:sz="4" w:space="0" w:color="000000"/>
              <w:right w:val="single" w:sz="12" w:space="0" w:color="000000"/>
            </w:tcBorders>
          </w:tcPr>
          <w:p w14:paraId="38EE3AA2" w14:textId="1EC1DE72" w:rsidR="00B56D50" w:rsidRDefault="001C3C42" w:rsidP="007F2709">
            <w:pPr>
              <w:spacing w:after="0" w:line="259" w:lineRule="auto"/>
              <w:ind w:left="91" w:right="0" w:firstLine="0"/>
              <w:jc w:val="center"/>
            </w:pPr>
            <w:r>
              <w:rPr>
                <w:sz w:val="18"/>
              </w:rPr>
              <w:t>mg/L</w:t>
            </w:r>
          </w:p>
        </w:tc>
        <w:tc>
          <w:tcPr>
            <w:tcW w:w="1157" w:type="dxa"/>
            <w:tcBorders>
              <w:top w:val="single" w:sz="4" w:space="0" w:color="000000"/>
              <w:left w:val="single" w:sz="12" w:space="0" w:color="000000"/>
              <w:bottom w:val="single" w:sz="4" w:space="0" w:color="000000"/>
              <w:right w:val="single" w:sz="12" w:space="0" w:color="000000"/>
            </w:tcBorders>
          </w:tcPr>
          <w:p w14:paraId="264C31F1" w14:textId="0E7F85F9" w:rsidR="00B56D50" w:rsidRDefault="001C3C42" w:rsidP="007F2709">
            <w:pPr>
              <w:tabs>
                <w:tab w:val="center" w:pos="489"/>
              </w:tabs>
              <w:spacing w:after="0" w:line="259" w:lineRule="auto"/>
              <w:ind w:left="0" w:right="0" w:firstLine="0"/>
              <w:jc w:val="center"/>
            </w:pPr>
            <w:r>
              <w:rPr>
                <w:sz w:val="18"/>
              </w:rPr>
              <w:t>200</w:t>
            </w:r>
          </w:p>
        </w:tc>
        <w:tc>
          <w:tcPr>
            <w:tcW w:w="792" w:type="dxa"/>
            <w:tcBorders>
              <w:top w:val="single" w:sz="4" w:space="0" w:color="000000"/>
              <w:left w:val="single" w:sz="12" w:space="0" w:color="000000"/>
              <w:bottom w:val="single" w:sz="4" w:space="0" w:color="000000"/>
              <w:right w:val="single" w:sz="12" w:space="0" w:color="000000"/>
            </w:tcBorders>
          </w:tcPr>
          <w:p w14:paraId="5424C344" w14:textId="4D434AAB" w:rsidR="00B56D50" w:rsidRDefault="001C3C42" w:rsidP="007F2709">
            <w:pPr>
              <w:spacing w:after="0" w:line="259" w:lineRule="auto"/>
              <w:ind w:left="0" w:right="41" w:firstLine="0"/>
              <w:jc w:val="center"/>
            </w:pPr>
            <w:r>
              <w:rPr>
                <w:sz w:val="18"/>
              </w:rPr>
              <w:t>mg/L</w:t>
            </w:r>
          </w:p>
        </w:tc>
        <w:tc>
          <w:tcPr>
            <w:tcW w:w="1452" w:type="dxa"/>
            <w:tcBorders>
              <w:top w:val="single" w:sz="4" w:space="0" w:color="000000"/>
              <w:left w:val="single" w:sz="12" w:space="0" w:color="000000"/>
              <w:bottom w:val="single" w:sz="4" w:space="0" w:color="000000"/>
              <w:right w:val="single" w:sz="12" w:space="0" w:color="000000"/>
            </w:tcBorders>
          </w:tcPr>
          <w:p w14:paraId="2163E3F1" w14:textId="6ABD31C7" w:rsidR="00B56D50" w:rsidRDefault="001C3C42" w:rsidP="007F2709">
            <w:pPr>
              <w:spacing w:after="0" w:line="259" w:lineRule="auto"/>
              <w:ind w:left="0" w:right="0" w:firstLine="0"/>
              <w:jc w:val="center"/>
            </w:pPr>
            <w:r>
              <w:rPr>
                <w:sz w:val="18"/>
              </w:rPr>
              <w:t>8270</w:t>
            </w:r>
          </w:p>
        </w:tc>
        <w:tc>
          <w:tcPr>
            <w:tcW w:w="1188" w:type="dxa"/>
            <w:tcBorders>
              <w:top w:val="single" w:sz="4" w:space="0" w:color="000000"/>
              <w:left w:val="single" w:sz="12" w:space="0" w:color="000000"/>
              <w:bottom w:val="single" w:sz="4" w:space="0" w:color="000000"/>
              <w:right w:val="single" w:sz="12" w:space="0" w:color="000000"/>
            </w:tcBorders>
          </w:tcPr>
          <w:p w14:paraId="102C5F08" w14:textId="772B8890" w:rsidR="00B56D50" w:rsidRDefault="001C3C42" w:rsidP="007F2709">
            <w:pPr>
              <w:spacing w:after="0" w:line="259" w:lineRule="auto"/>
              <w:ind w:left="0" w:right="0" w:firstLine="0"/>
              <w:jc w:val="center"/>
            </w:pPr>
            <w:r>
              <w:rPr>
                <w:sz w:val="18"/>
              </w:rPr>
              <w:t>8041</w:t>
            </w:r>
            <w:r w:rsidR="003204BC">
              <w:rPr>
                <w:sz w:val="18"/>
              </w:rPr>
              <w:t>,</w:t>
            </w:r>
            <w:r>
              <w:rPr>
                <w:sz w:val="18"/>
              </w:rPr>
              <w:t xml:space="preserve"> 8410</w:t>
            </w:r>
          </w:p>
        </w:tc>
      </w:tr>
      <w:tr w:rsidR="00B56D50" w14:paraId="73D9698B" w14:textId="77777777" w:rsidTr="005B6604">
        <w:trPr>
          <w:trHeight w:val="250"/>
        </w:trPr>
        <w:tc>
          <w:tcPr>
            <w:tcW w:w="1420" w:type="dxa"/>
            <w:tcBorders>
              <w:top w:val="single" w:sz="4" w:space="0" w:color="000000"/>
              <w:left w:val="single" w:sz="12" w:space="0" w:color="000000"/>
              <w:bottom w:val="single" w:sz="4" w:space="0" w:color="000000"/>
              <w:right w:val="single" w:sz="12" w:space="0" w:color="000000"/>
            </w:tcBorders>
          </w:tcPr>
          <w:p w14:paraId="587041CD" w14:textId="77777777" w:rsidR="00B56D50" w:rsidRDefault="001C3C42">
            <w:pPr>
              <w:spacing w:after="0" w:line="259" w:lineRule="auto"/>
              <w:ind w:left="0" w:right="36" w:firstLine="0"/>
              <w:jc w:val="center"/>
            </w:pPr>
            <w:r>
              <w:rPr>
                <w:sz w:val="18"/>
              </w:rPr>
              <w:t xml:space="preserve">D026 </w:t>
            </w:r>
          </w:p>
        </w:tc>
        <w:tc>
          <w:tcPr>
            <w:tcW w:w="1958" w:type="dxa"/>
            <w:tcBorders>
              <w:top w:val="single" w:sz="4" w:space="0" w:color="000000"/>
              <w:left w:val="single" w:sz="12" w:space="0" w:color="000000"/>
              <w:bottom w:val="single" w:sz="4" w:space="0" w:color="000000"/>
              <w:right w:val="single" w:sz="12" w:space="0" w:color="000000"/>
            </w:tcBorders>
          </w:tcPr>
          <w:p w14:paraId="659949FC" w14:textId="1187BD1A" w:rsidR="00B56D50" w:rsidRDefault="001C3C42">
            <w:pPr>
              <w:spacing w:after="0" w:line="259" w:lineRule="auto"/>
              <w:ind w:left="0" w:right="0" w:firstLine="0"/>
            </w:pPr>
            <w:r>
              <w:rPr>
                <w:sz w:val="18"/>
              </w:rPr>
              <w:t>Cresol (total o</w:t>
            </w:r>
            <w:r w:rsidR="00715460">
              <w:rPr>
                <w:sz w:val="18"/>
              </w:rPr>
              <w:t>-, m</w:t>
            </w:r>
            <w:r>
              <w:rPr>
                <w:sz w:val="18"/>
              </w:rPr>
              <w:t>-,</w:t>
            </w:r>
            <w:r w:rsidR="00445EC9">
              <w:rPr>
                <w:sz w:val="18"/>
              </w:rPr>
              <w:t xml:space="preserve"> </w:t>
            </w:r>
            <w:r>
              <w:rPr>
                <w:sz w:val="18"/>
              </w:rPr>
              <w:t xml:space="preserve">p-) </w:t>
            </w:r>
          </w:p>
        </w:tc>
        <w:tc>
          <w:tcPr>
            <w:tcW w:w="1063" w:type="dxa"/>
            <w:tcBorders>
              <w:top w:val="single" w:sz="4" w:space="0" w:color="000000"/>
              <w:left w:val="single" w:sz="12" w:space="0" w:color="000000"/>
              <w:bottom w:val="single" w:sz="4" w:space="0" w:color="000000"/>
              <w:right w:val="single" w:sz="12" w:space="0" w:color="000000"/>
            </w:tcBorders>
          </w:tcPr>
          <w:p w14:paraId="44B833B2" w14:textId="77777777" w:rsidR="00B56D50" w:rsidRDefault="001C3C42">
            <w:pPr>
              <w:spacing w:after="0" w:line="259" w:lineRule="auto"/>
              <w:ind w:left="0" w:right="39" w:firstLine="0"/>
              <w:jc w:val="center"/>
            </w:pPr>
            <w:r>
              <w:rPr>
                <w:sz w:val="18"/>
              </w:rPr>
              <w:t xml:space="preserve">1311 </w:t>
            </w:r>
          </w:p>
        </w:tc>
        <w:tc>
          <w:tcPr>
            <w:tcW w:w="879" w:type="dxa"/>
            <w:tcBorders>
              <w:top w:val="single" w:sz="4" w:space="0" w:color="000000"/>
              <w:left w:val="single" w:sz="12" w:space="0" w:color="000000"/>
              <w:bottom w:val="single" w:sz="4" w:space="0" w:color="000000"/>
              <w:right w:val="single" w:sz="12" w:space="0" w:color="000000"/>
            </w:tcBorders>
          </w:tcPr>
          <w:p w14:paraId="69A403C3" w14:textId="1A4A0665" w:rsidR="00B56D50" w:rsidRDefault="001C3C42" w:rsidP="007F2709">
            <w:pPr>
              <w:spacing w:after="0" w:line="259" w:lineRule="auto"/>
              <w:ind w:left="0" w:right="0" w:firstLine="0"/>
              <w:jc w:val="center"/>
            </w:pPr>
            <w:r>
              <w:rPr>
                <w:sz w:val="18"/>
              </w:rPr>
              <w:t>20</w:t>
            </w:r>
          </w:p>
        </w:tc>
        <w:tc>
          <w:tcPr>
            <w:tcW w:w="711" w:type="dxa"/>
            <w:tcBorders>
              <w:top w:val="single" w:sz="4" w:space="0" w:color="000000"/>
              <w:left w:val="single" w:sz="12" w:space="0" w:color="000000"/>
              <w:bottom w:val="single" w:sz="4" w:space="0" w:color="000000"/>
              <w:right w:val="single" w:sz="12" w:space="0" w:color="000000"/>
            </w:tcBorders>
          </w:tcPr>
          <w:p w14:paraId="54313059" w14:textId="29945837" w:rsidR="00B56D50" w:rsidRDefault="001C3C42" w:rsidP="007F2709">
            <w:pPr>
              <w:spacing w:after="0" w:line="259" w:lineRule="auto"/>
              <w:ind w:left="91" w:right="0" w:firstLine="0"/>
              <w:jc w:val="center"/>
            </w:pPr>
            <w:r>
              <w:rPr>
                <w:sz w:val="18"/>
              </w:rPr>
              <w:t>mg/L</w:t>
            </w:r>
          </w:p>
        </w:tc>
        <w:tc>
          <w:tcPr>
            <w:tcW w:w="1157" w:type="dxa"/>
            <w:tcBorders>
              <w:top w:val="single" w:sz="4" w:space="0" w:color="000000"/>
              <w:left w:val="single" w:sz="12" w:space="0" w:color="000000"/>
              <w:bottom w:val="single" w:sz="4" w:space="0" w:color="000000"/>
              <w:right w:val="single" w:sz="12" w:space="0" w:color="000000"/>
            </w:tcBorders>
          </w:tcPr>
          <w:p w14:paraId="7E189E5F" w14:textId="3B090482" w:rsidR="00B56D50" w:rsidRDefault="001C3C42" w:rsidP="007F2709">
            <w:pPr>
              <w:tabs>
                <w:tab w:val="center" w:pos="489"/>
              </w:tabs>
              <w:spacing w:after="0" w:line="259" w:lineRule="auto"/>
              <w:ind w:left="0" w:right="0" w:firstLine="0"/>
              <w:jc w:val="center"/>
            </w:pPr>
            <w:r>
              <w:rPr>
                <w:sz w:val="18"/>
              </w:rPr>
              <w:t>200</w:t>
            </w:r>
          </w:p>
        </w:tc>
        <w:tc>
          <w:tcPr>
            <w:tcW w:w="792" w:type="dxa"/>
            <w:tcBorders>
              <w:top w:val="single" w:sz="4" w:space="0" w:color="000000"/>
              <w:left w:val="single" w:sz="12" w:space="0" w:color="000000"/>
              <w:bottom w:val="single" w:sz="4" w:space="0" w:color="000000"/>
              <w:right w:val="single" w:sz="12" w:space="0" w:color="000000"/>
            </w:tcBorders>
          </w:tcPr>
          <w:p w14:paraId="11808CC3" w14:textId="63FEB07D" w:rsidR="00B56D50" w:rsidRDefault="001C3C42" w:rsidP="007F2709">
            <w:pPr>
              <w:spacing w:after="0" w:line="259" w:lineRule="auto"/>
              <w:ind w:left="0" w:right="41" w:firstLine="0"/>
              <w:jc w:val="center"/>
            </w:pPr>
            <w:r>
              <w:rPr>
                <w:sz w:val="18"/>
              </w:rPr>
              <w:t>mg/L</w:t>
            </w:r>
          </w:p>
        </w:tc>
        <w:tc>
          <w:tcPr>
            <w:tcW w:w="1452" w:type="dxa"/>
            <w:tcBorders>
              <w:top w:val="single" w:sz="4" w:space="0" w:color="000000"/>
              <w:left w:val="single" w:sz="12" w:space="0" w:color="000000"/>
              <w:bottom w:val="single" w:sz="4" w:space="0" w:color="000000"/>
              <w:right w:val="single" w:sz="12" w:space="0" w:color="000000"/>
            </w:tcBorders>
          </w:tcPr>
          <w:p w14:paraId="0BA4DE33" w14:textId="5C230462" w:rsidR="00B56D50" w:rsidRDefault="001C3C42" w:rsidP="007F2709">
            <w:pPr>
              <w:spacing w:after="0" w:line="259" w:lineRule="auto"/>
              <w:ind w:left="0" w:right="0" w:firstLine="0"/>
              <w:jc w:val="center"/>
            </w:pPr>
            <w:r>
              <w:rPr>
                <w:sz w:val="18"/>
              </w:rPr>
              <w:t>8270</w:t>
            </w:r>
          </w:p>
        </w:tc>
        <w:tc>
          <w:tcPr>
            <w:tcW w:w="1188" w:type="dxa"/>
            <w:tcBorders>
              <w:top w:val="single" w:sz="4" w:space="0" w:color="000000"/>
              <w:left w:val="single" w:sz="12" w:space="0" w:color="000000"/>
              <w:bottom w:val="single" w:sz="4" w:space="0" w:color="000000"/>
              <w:right w:val="single" w:sz="12" w:space="0" w:color="000000"/>
            </w:tcBorders>
          </w:tcPr>
          <w:p w14:paraId="4EECF755" w14:textId="466BF80C" w:rsidR="00B56D50" w:rsidRDefault="001C3C42" w:rsidP="007F2709">
            <w:pPr>
              <w:spacing w:after="0" w:line="259" w:lineRule="auto"/>
              <w:ind w:left="0" w:right="0" w:firstLine="0"/>
              <w:jc w:val="center"/>
            </w:pPr>
            <w:r>
              <w:rPr>
                <w:sz w:val="18"/>
              </w:rPr>
              <w:t>8041</w:t>
            </w:r>
            <w:r w:rsidR="003204BC">
              <w:rPr>
                <w:sz w:val="18"/>
              </w:rPr>
              <w:t>,</w:t>
            </w:r>
            <w:r>
              <w:rPr>
                <w:sz w:val="18"/>
              </w:rPr>
              <w:t xml:space="preserve"> 8410</w:t>
            </w:r>
          </w:p>
        </w:tc>
      </w:tr>
      <w:tr w:rsidR="00B56D50" w14:paraId="5589B3F1" w14:textId="77777777" w:rsidTr="005B6604">
        <w:trPr>
          <w:trHeight w:val="252"/>
        </w:trPr>
        <w:tc>
          <w:tcPr>
            <w:tcW w:w="1420" w:type="dxa"/>
            <w:tcBorders>
              <w:top w:val="single" w:sz="4" w:space="0" w:color="000000"/>
              <w:left w:val="single" w:sz="12" w:space="0" w:color="000000"/>
              <w:bottom w:val="single" w:sz="4" w:space="0" w:color="000000"/>
              <w:right w:val="single" w:sz="12" w:space="0" w:color="000000"/>
            </w:tcBorders>
          </w:tcPr>
          <w:p w14:paraId="76B2E863" w14:textId="77777777" w:rsidR="00B56D50" w:rsidRDefault="001C3C42">
            <w:pPr>
              <w:spacing w:after="0" w:line="259" w:lineRule="auto"/>
              <w:ind w:left="0" w:right="36" w:firstLine="0"/>
              <w:jc w:val="center"/>
            </w:pPr>
            <w:r>
              <w:rPr>
                <w:sz w:val="18"/>
              </w:rPr>
              <w:t xml:space="preserve">D027 </w:t>
            </w:r>
          </w:p>
        </w:tc>
        <w:tc>
          <w:tcPr>
            <w:tcW w:w="1958" w:type="dxa"/>
            <w:tcBorders>
              <w:top w:val="single" w:sz="4" w:space="0" w:color="000000"/>
              <w:left w:val="single" w:sz="12" w:space="0" w:color="000000"/>
              <w:bottom w:val="single" w:sz="4" w:space="0" w:color="000000"/>
              <w:right w:val="single" w:sz="12" w:space="0" w:color="000000"/>
            </w:tcBorders>
          </w:tcPr>
          <w:p w14:paraId="488A1793" w14:textId="77777777" w:rsidR="00B56D50" w:rsidRDefault="001C3C42">
            <w:pPr>
              <w:spacing w:after="0" w:line="259" w:lineRule="auto"/>
              <w:ind w:left="0" w:right="0" w:firstLine="0"/>
            </w:pPr>
            <w:r>
              <w:rPr>
                <w:sz w:val="18"/>
              </w:rPr>
              <w:t xml:space="preserve">1,4-Dichlorobenzene </w:t>
            </w:r>
          </w:p>
        </w:tc>
        <w:tc>
          <w:tcPr>
            <w:tcW w:w="1063" w:type="dxa"/>
            <w:tcBorders>
              <w:top w:val="single" w:sz="4" w:space="0" w:color="000000"/>
              <w:left w:val="single" w:sz="12" w:space="0" w:color="000000"/>
              <w:bottom w:val="single" w:sz="4" w:space="0" w:color="000000"/>
              <w:right w:val="single" w:sz="12" w:space="0" w:color="000000"/>
            </w:tcBorders>
          </w:tcPr>
          <w:p w14:paraId="74B734BF" w14:textId="77777777" w:rsidR="00B56D50" w:rsidRDefault="001C3C42">
            <w:pPr>
              <w:spacing w:after="0" w:line="259" w:lineRule="auto"/>
              <w:ind w:left="0" w:right="39" w:firstLine="0"/>
              <w:jc w:val="center"/>
            </w:pPr>
            <w:r>
              <w:rPr>
                <w:sz w:val="18"/>
              </w:rPr>
              <w:t xml:space="preserve">1311 </w:t>
            </w:r>
          </w:p>
        </w:tc>
        <w:tc>
          <w:tcPr>
            <w:tcW w:w="879" w:type="dxa"/>
            <w:tcBorders>
              <w:top w:val="single" w:sz="4" w:space="0" w:color="000000"/>
              <w:left w:val="single" w:sz="12" w:space="0" w:color="000000"/>
              <w:bottom w:val="single" w:sz="4" w:space="0" w:color="000000"/>
              <w:right w:val="single" w:sz="12" w:space="0" w:color="000000"/>
            </w:tcBorders>
          </w:tcPr>
          <w:p w14:paraId="336F7521" w14:textId="24E420CB" w:rsidR="00B56D50" w:rsidRDefault="001C3C42" w:rsidP="007F2709">
            <w:pPr>
              <w:spacing w:after="0" w:line="259" w:lineRule="auto"/>
              <w:ind w:left="0" w:right="0" w:firstLine="0"/>
              <w:jc w:val="center"/>
            </w:pPr>
            <w:r>
              <w:rPr>
                <w:sz w:val="18"/>
              </w:rPr>
              <w:t>0.75</w:t>
            </w:r>
          </w:p>
        </w:tc>
        <w:tc>
          <w:tcPr>
            <w:tcW w:w="711" w:type="dxa"/>
            <w:tcBorders>
              <w:top w:val="single" w:sz="4" w:space="0" w:color="000000"/>
              <w:left w:val="single" w:sz="12" w:space="0" w:color="000000"/>
              <w:bottom w:val="single" w:sz="4" w:space="0" w:color="000000"/>
              <w:right w:val="single" w:sz="12" w:space="0" w:color="000000"/>
            </w:tcBorders>
          </w:tcPr>
          <w:p w14:paraId="55ED42A3" w14:textId="3CC58D44" w:rsidR="00B56D50" w:rsidRDefault="001C3C42" w:rsidP="007F2709">
            <w:pPr>
              <w:spacing w:after="0" w:line="259" w:lineRule="auto"/>
              <w:ind w:left="91" w:right="0" w:firstLine="0"/>
              <w:jc w:val="center"/>
            </w:pPr>
            <w:r>
              <w:rPr>
                <w:sz w:val="18"/>
              </w:rPr>
              <w:t>mg/L</w:t>
            </w:r>
          </w:p>
        </w:tc>
        <w:tc>
          <w:tcPr>
            <w:tcW w:w="1157" w:type="dxa"/>
            <w:tcBorders>
              <w:top w:val="single" w:sz="4" w:space="0" w:color="000000"/>
              <w:left w:val="single" w:sz="12" w:space="0" w:color="000000"/>
              <w:bottom w:val="single" w:sz="4" w:space="0" w:color="000000"/>
              <w:right w:val="single" w:sz="12" w:space="0" w:color="000000"/>
            </w:tcBorders>
          </w:tcPr>
          <w:p w14:paraId="0A224448" w14:textId="01C94C17" w:rsidR="00B56D50" w:rsidRDefault="001C3C42" w:rsidP="007F2709">
            <w:pPr>
              <w:tabs>
                <w:tab w:val="center" w:pos="579"/>
              </w:tabs>
              <w:spacing w:after="0" w:line="259" w:lineRule="auto"/>
              <w:ind w:left="0" w:right="0" w:firstLine="0"/>
              <w:jc w:val="center"/>
            </w:pPr>
            <w:r>
              <w:rPr>
                <w:sz w:val="18"/>
              </w:rPr>
              <w:t>7.5</w:t>
            </w:r>
          </w:p>
        </w:tc>
        <w:tc>
          <w:tcPr>
            <w:tcW w:w="792" w:type="dxa"/>
            <w:tcBorders>
              <w:top w:val="single" w:sz="4" w:space="0" w:color="000000"/>
              <w:left w:val="single" w:sz="12" w:space="0" w:color="000000"/>
              <w:bottom w:val="single" w:sz="4" w:space="0" w:color="000000"/>
              <w:right w:val="single" w:sz="12" w:space="0" w:color="000000"/>
            </w:tcBorders>
          </w:tcPr>
          <w:p w14:paraId="5FA22232" w14:textId="2278AE6D" w:rsidR="00B56D50" w:rsidRDefault="001C3C42" w:rsidP="007F2709">
            <w:pPr>
              <w:spacing w:after="0" w:line="259" w:lineRule="auto"/>
              <w:ind w:left="0" w:right="41" w:firstLine="0"/>
              <w:jc w:val="center"/>
            </w:pPr>
            <w:r>
              <w:rPr>
                <w:sz w:val="18"/>
              </w:rPr>
              <w:t>mg/L</w:t>
            </w:r>
          </w:p>
        </w:tc>
        <w:tc>
          <w:tcPr>
            <w:tcW w:w="1452" w:type="dxa"/>
            <w:tcBorders>
              <w:top w:val="single" w:sz="4" w:space="0" w:color="000000"/>
              <w:left w:val="single" w:sz="12" w:space="0" w:color="000000"/>
              <w:bottom w:val="single" w:sz="4" w:space="0" w:color="000000"/>
              <w:right w:val="single" w:sz="12" w:space="0" w:color="000000"/>
            </w:tcBorders>
          </w:tcPr>
          <w:p w14:paraId="6A06C02A" w14:textId="3717B309" w:rsidR="00B56D50" w:rsidRDefault="001C3C42" w:rsidP="007F2709">
            <w:pPr>
              <w:spacing w:after="0" w:line="259" w:lineRule="auto"/>
              <w:ind w:left="0" w:right="0" w:firstLine="0"/>
              <w:jc w:val="center"/>
            </w:pPr>
            <w:r>
              <w:rPr>
                <w:sz w:val="18"/>
              </w:rPr>
              <w:t>8260</w:t>
            </w:r>
          </w:p>
        </w:tc>
        <w:tc>
          <w:tcPr>
            <w:tcW w:w="1188" w:type="dxa"/>
            <w:tcBorders>
              <w:top w:val="single" w:sz="4" w:space="0" w:color="000000"/>
              <w:left w:val="single" w:sz="12" w:space="0" w:color="000000"/>
              <w:bottom w:val="single" w:sz="4" w:space="0" w:color="000000"/>
              <w:right w:val="single" w:sz="12" w:space="0" w:color="000000"/>
            </w:tcBorders>
          </w:tcPr>
          <w:p w14:paraId="443C39FF" w14:textId="233C2F79" w:rsidR="00B56D50" w:rsidRDefault="001C3C42" w:rsidP="007F2709">
            <w:pPr>
              <w:spacing w:after="0" w:line="259" w:lineRule="auto"/>
              <w:ind w:left="0" w:right="0" w:firstLine="0"/>
              <w:jc w:val="center"/>
            </w:pPr>
            <w:r>
              <w:rPr>
                <w:sz w:val="18"/>
              </w:rPr>
              <w:t>8021</w:t>
            </w:r>
            <w:r w:rsidR="003204BC">
              <w:rPr>
                <w:sz w:val="18"/>
              </w:rPr>
              <w:t xml:space="preserve">, </w:t>
            </w:r>
            <w:r>
              <w:rPr>
                <w:sz w:val="18"/>
              </w:rPr>
              <w:t>8270</w:t>
            </w:r>
          </w:p>
        </w:tc>
      </w:tr>
      <w:tr w:rsidR="00B56D50" w14:paraId="5A18BC70" w14:textId="77777777" w:rsidTr="005B6604">
        <w:trPr>
          <w:trHeight w:val="250"/>
        </w:trPr>
        <w:tc>
          <w:tcPr>
            <w:tcW w:w="1420" w:type="dxa"/>
            <w:tcBorders>
              <w:top w:val="single" w:sz="4" w:space="0" w:color="000000"/>
              <w:left w:val="single" w:sz="12" w:space="0" w:color="000000"/>
              <w:bottom w:val="single" w:sz="4" w:space="0" w:color="000000"/>
              <w:right w:val="single" w:sz="12" w:space="0" w:color="000000"/>
            </w:tcBorders>
          </w:tcPr>
          <w:p w14:paraId="1EC90942" w14:textId="77777777" w:rsidR="00B56D50" w:rsidRDefault="001C3C42">
            <w:pPr>
              <w:spacing w:after="0" w:line="259" w:lineRule="auto"/>
              <w:ind w:left="0" w:right="36" w:firstLine="0"/>
              <w:jc w:val="center"/>
            </w:pPr>
            <w:r>
              <w:rPr>
                <w:sz w:val="18"/>
              </w:rPr>
              <w:t xml:space="preserve">D028 </w:t>
            </w:r>
          </w:p>
        </w:tc>
        <w:tc>
          <w:tcPr>
            <w:tcW w:w="1958" w:type="dxa"/>
            <w:tcBorders>
              <w:top w:val="single" w:sz="4" w:space="0" w:color="000000"/>
              <w:left w:val="single" w:sz="12" w:space="0" w:color="000000"/>
              <w:bottom w:val="single" w:sz="4" w:space="0" w:color="000000"/>
              <w:right w:val="single" w:sz="12" w:space="0" w:color="000000"/>
            </w:tcBorders>
          </w:tcPr>
          <w:p w14:paraId="2174E140" w14:textId="77777777" w:rsidR="00B56D50" w:rsidRDefault="001C3C42">
            <w:pPr>
              <w:spacing w:after="0" w:line="259" w:lineRule="auto"/>
              <w:ind w:left="0" w:right="0" w:firstLine="0"/>
            </w:pPr>
            <w:r>
              <w:rPr>
                <w:sz w:val="18"/>
              </w:rPr>
              <w:t xml:space="preserve">1,2-Dichloroethane </w:t>
            </w:r>
          </w:p>
        </w:tc>
        <w:tc>
          <w:tcPr>
            <w:tcW w:w="1063" w:type="dxa"/>
            <w:tcBorders>
              <w:top w:val="single" w:sz="4" w:space="0" w:color="000000"/>
              <w:left w:val="single" w:sz="12" w:space="0" w:color="000000"/>
              <w:bottom w:val="single" w:sz="4" w:space="0" w:color="000000"/>
              <w:right w:val="single" w:sz="12" w:space="0" w:color="000000"/>
            </w:tcBorders>
          </w:tcPr>
          <w:p w14:paraId="1BF2178A" w14:textId="77777777" w:rsidR="00B56D50" w:rsidRDefault="001C3C42">
            <w:pPr>
              <w:spacing w:after="0" w:line="259" w:lineRule="auto"/>
              <w:ind w:left="0" w:right="39" w:firstLine="0"/>
              <w:jc w:val="center"/>
            </w:pPr>
            <w:r>
              <w:rPr>
                <w:sz w:val="18"/>
              </w:rPr>
              <w:t xml:space="preserve">1311 </w:t>
            </w:r>
          </w:p>
        </w:tc>
        <w:tc>
          <w:tcPr>
            <w:tcW w:w="879" w:type="dxa"/>
            <w:tcBorders>
              <w:top w:val="single" w:sz="4" w:space="0" w:color="000000"/>
              <w:left w:val="single" w:sz="12" w:space="0" w:color="000000"/>
              <w:bottom w:val="single" w:sz="4" w:space="0" w:color="000000"/>
              <w:right w:val="single" w:sz="12" w:space="0" w:color="000000"/>
            </w:tcBorders>
          </w:tcPr>
          <w:p w14:paraId="317DC0F5" w14:textId="5ECAC5E4" w:rsidR="00B56D50" w:rsidRDefault="001C3C42" w:rsidP="007F2709">
            <w:pPr>
              <w:spacing w:after="0" w:line="259" w:lineRule="auto"/>
              <w:ind w:left="0" w:right="0" w:firstLine="0"/>
              <w:jc w:val="center"/>
            </w:pPr>
            <w:r>
              <w:rPr>
                <w:sz w:val="18"/>
              </w:rPr>
              <w:t>0.05</w:t>
            </w:r>
          </w:p>
        </w:tc>
        <w:tc>
          <w:tcPr>
            <w:tcW w:w="711" w:type="dxa"/>
            <w:tcBorders>
              <w:top w:val="single" w:sz="4" w:space="0" w:color="000000"/>
              <w:left w:val="single" w:sz="12" w:space="0" w:color="000000"/>
              <w:bottom w:val="single" w:sz="4" w:space="0" w:color="000000"/>
              <w:right w:val="single" w:sz="12" w:space="0" w:color="000000"/>
            </w:tcBorders>
          </w:tcPr>
          <w:p w14:paraId="406036D8" w14:textId="0AC85B8D" w:rsidR="00B56D50" w:rsidRDefault="001C3C42" w:rsidP="007F2709">
            <w:pPr>
              <w:spacing w:after="0" w:line="259" w:lineRule="auto"/>
              <w:ind w:left="91" w:right="0" w:firstLine="0"/>
              <w:jc w:val="center"/>
            </w:pPr>
            <w:r>
              <w:rPr>
                <w:sz w:val="18"/>
              </w:rPr>
              <w:t>mg/L</w:t>
            </w:r>
          </w:p>
        </w:tc>
        <w:tc>
          <w:tcPr>
            <w:tcW w:w="1157" w:type="dxa"/>
            <w:tcBorders>
              <w:top w:val="single" w:sz="4" w:space="0" w:color="000000"/>
              <w:left w:val="single" w:sz="12" w:space="0" w:color="000000"/>
              <w:bottom w:val="single" w:sz="4" w:space="0" w:color="000000"/>
              <w:right w:val="single" w:sz="12" w:space="0" w:color="000000"/>
            </w:tcBorders>
          </w:tcPr>
          <w:p w14:paraId="4624CD04" w14:textId="436CF36F" w:rsidR="00B56D50" w:rsidRDefault="001C3C42" w:rsidP="007F2709">
            <w:pPr>
              <w:tabs>
                <w:tab w:val="center" w:pos="579"/>
              </w:tabs>
              <w:spacing w:after="0" w:line="259" w:lineRule="auto"/>
              <w:ind w:left="0" w:right="0" w:firstLine="0"/>
              <w:jc w:val="center"/>
            </w:pPr>
            <w:r>
              <w:rPr>
                <w:sz w:val="18"/>
              </w:rPr>
              <w:t>0.5</w:t>
            </w:r>
          </w:p>
        </w:tc>
        <w:tc>
          <w:tcPr>
            <w:tcW w:w="792" w:type="dxa"/>
            <w:tcBorders>
              <w:top w:val="single" w:sz="4" w:space="0" w:color="000000"/>
              <w:left w:val="single" w:sz="12" w:space="0" w:color="000000"/>
              <w:bottom w:val="single" w:sz="4" w:space="0" w:color="000000"/>
              <w:right w:val="single" w:sz="12" w:space="0" w:color="000000"/>
            </w:tcBorders>
          </w:tcPr>
          <w:p w14:paraId="0CD9F669" w14:textId="45C3C08A" w:rsidR="00B56D50" w:rsidRDefault="001C3C42" w:rsidP="007F2709">
            <w:pPr>
              <w:spacing w:after="0" w:line="259" w:lineRule="auto"/>
              <w:ind w:left="0" w:right="41" w:firstLine="0"/>
              <w:jc w:val="center"/>
            </w:pPr>
            <w:r>
              <w:rPr>
                <w:sz w:val="18"/>
              </w:rPr>
              <w:t>mg/L</w:t>
            </w:r>
          </w:p>
        </w:tc>
        <w:tc>
          <w:tcPr>
            <w:tcW w:w="1452" w:type="dxa"/>
            <w:tcBorders>
              <w:top w:val="single" w:sz="4" w:space="0" w:color="000000"/>
              <w:left w:val="single" w:sz="12" w:space="0" w:color="000000"/>
              <w:bottom w:val="single" w:sz="4" w:space="0" w:color="000000"/>
              <w:right w:val="single" w:sz="12" w:space="0" w:color="000000"/>
            </w:tcBorders>
          </w:tcPr>
          <w:p w14:paraId="20CED976" w14:textId="56F5E835" w:rsidR="00B56D50" w:rsidRDefault="001C3C42" w:rsidP="007F2709">
            <w:pPr>
              <w:spacing w:after="0" w:line="259" w:lineRule="auto"/>
              <w:ind w:left="0" w:right="0" w:firstLine="0"/>
              <w:jc w:val="center"/>
            </w:pPr>
            <w:r>
              <w:rPr>
                <w:sz w:val="18"/>
              </w:rPr>
              <w:t>8260</w:t>
            </w:r>
          </w:p>
        </w:tc>
        <w:tc>
          <w:tcPr>
            <w:tcW w:w="1188" w:type="dxa"/>
            <w:tcBorders>
              <w:top w:val="single" w:sz="4" w:space="0" w:color="000000"/>
              <w:left w:val="single" w:sz="12" w:space="0" w:color="000000"/>
              <w:bottom w:val="single" w:sz="4" w:space="0" w:color="000000"/>
              <w:right w:val="single" w:sz="12" w:space="0" w:color="000000"/>
            </w:tcBorders>
          </w:tcPr>
          <w:p w14:paraId="3A794A00" w14:textId="32DA1C63" w:rsidR="00B56D50" w:rsidRDefault="001C3C42" w:rsidP="007F2709">
            <w:pPr>
              <w:spacing w:after="0" w:line="259" w:lineRule="auto"/>
              <w:ind w:left="0" w:right="0" w:firstLine="0"/>
              <w:jc w:val="center"/>
            </w:pPr>
            <w:r>
              <w:rPr>
                <w:sz w:val="18"/>
              </w:rPr>
              <w:t>8021</w:t>
            </w:r>
          </w:p>
        </w:tc>
      </w:tr>
      <w:tr w:rsidR="00B56D50" w14:paraId="6E9FC8B4" w14:textId="77777777" w:rsidTr="005B6604">
        <w:trPr>
          <w:trHeight w:val="250"/>
        </w:trPr>
        <w:tc>
          <w:tcPr>
            <w:tcW w:w="1420" w:type="dxa"/>
            <w:tcBorders>
              <w:top w:val="single" w:sz="4" w:space="0" w:color="000000"/>
              <w:left w:val="single" w:sz="12" w:space="0" w:color="000000"/>
              <w:bottom w:val="single" w:sz="4" w:space="0" w:color="000000"/>
              <w:right w:val="single" w:sz="12" w:space="0" w:color="000000"/>
            </w:tcBorders>
          </w:tcPr>
          <w:p w14:paraId="0201F7BF" w14:textId="77777777" w:rsidR="00B56D50" w:rsidRDefault="001C3C42">
            <w:pPr>
              <w:spacing w:after="0" w:line="259" w:lineRule="auto"/>
              <w:ind w:left="0" w:right="36" w:firstLine="0"/>
              <w:jc w:val="center"/>
            </w:pPr>
            <w:r>
              <w:rPr>
                <w:sz w:val="18"/>
              </w:rPr>
              <w:t xml:space="preserve">D029 </w:t>
            </w:r>
          </w:p>
        </w:tc>
        <w:tc>
          <w:tcPr>
            <w:tcW w:w="1958" w:type="dxa"/>
            <w:tcBorders>
              <w:top w:val="single" w:sz="4" w:space="0" w:color="000000"/>
              <w:left w:val="single" w:sz="12" w:space="0" w:color="000000"/>
              <w:bottom w:val="single" w:sz="4" w:space="0" w:color="000000"/>
              <w:right w:val="single" w:sz="12" w:space="0" w:color="000000"/>
            </w:tcBorders>
          </w:tcPr>
          <w:p w14:paraId="208A12CF" w14:textId="77777777" w:rsidR="00B56D50" w:rsidRDefault="001C3C42">
            <w:pPr>
              <w:spacing w:after="0" w:line="259" w:lineRule="auto"/>
              <w:ind w:left="0" w:right="0" w:firstLine="0"/>
            </w:pPr>
            <w:r>
              <w:rPr>
                <w:sz w:val="18"/>
              </w:rPr>
              <w:t xml:space="preserve">1,1-Dichloroethene </w:t>
            </w:r>
          </w:p>
        </w:tc>
        <w:tc>
          <w:tcPr>
            <w:tcW w:w="1063" w:type="dxa"/>
            <w:tcBorders>
              <w:top w:val="single" w:sz="4" w:space="0" w:color="000000"/>
              <w:left w:val="single" w:sz="12" w:space="0" w:color="000000"/>
              <w:bottom w:val="single" w:sz="4" w:space="0" w:color="000000"/>
              <w:right w:val="single" w:sz="12" w:space="0" w:color="000000"/>
            </w:tcBorders>
          </w:tcPr>
          <w:p w14:paraId="6C00606C" w14:textId="77777777" w:rsidR="00B56D50" w:rsidRDefault="001C3C42">
            <w:pPr>
              <w:spacing w:after="0" w:line="259" w:lineRule="auto"/>
              <w:ind w:left="0" w:right="39" w:firstLine="0"/>
              <w:jc w:val="center"/>
            </w:pPr>
            <w:r>
              <w:rPr>
                <w:sz w:val="18"/>
              </w:rPr>
              <w:t xml:space="preserve">1311 </w:t>
            </w:r>
          </w:p>
        </w:tc>
        <w:tc>
          <w:tcPr>
            <w:tcW w:w="879" w:type="dxa"/>
            <w:tcBorders>
              <w:top w:val="single" w:sz="4" w:space="0" w:color="000000"/>
              <w:left w:val="single" w:sz="12" w:space="0" w:color="000000"/>
              <w:bottom w:val="single" w:sz="4" w:space="0" w:color="000000"/>
              <w:right w:val="single" w:sz="12" w:space="0" w:color="000000"/>
            </w:tcBorders>
          </w:tcPr>
          <w:p w14:paraId="657FFC2E" w14:textId="241693DF" w:rsidR="00B56D50" w:rsidRDefault="001C3C42" w:rsidP="007F2709">
            <w:pPr>
              <w:spacing w:after="0" w:line="259" w:lineRule="auto"/>
              <w:ind w:left="0" w:right="0" w:firstLine="0"/>
              <w:jc w:val="center"/>
            </w:pPr>
            <w:r>
              <w:rPr>
                <w:sz w:val="18"/>
              </w:rPr>
              <w:t>0.07</w:t>
            </w:r>
          </w:p>
        </w:tc>
        <w:tc>
          <w:tcPr>
            <w:tcW w:w="711" w:type="dxa"/>
            <w:tcBorders>
              <w:top w:val="single" w:sz="4" w:space="0" w:color="000000"/>
              <w:left w:val="single" w:sz="12" w:space="0" w:color="000000"/>
              <w:bottom w:val="single" w:sz="4" w:space="0" w:color="000000"/>
              <w:right w:val="single" w:sz="12" w:space="0" w:color="000000"/>
            </w:tcBorders>
          </w:tcPr>
          <w:p w14:paraId="79FA4EBE" w14:textId="01BE5876" w:rsidR="00B56D50" w:rsidRDefault="001C3C42" w:rsidP="007F2709">
            <w:pPr>
              <w:spacing w:after="0" w:line="259" w:lineRule="auto"/>
              <w:ind w:left="91" w:right="0" w:firstLine="0"/>
              <w:jc w:val="center"/>
            </w:pPr>
            <w:r>
              <w:rPr>
                <w:sz w:val="18"/>
              </w:rPr>
              <w:t>mg/L</w:t>
            </w:r>
          </w:p>
        </w:tc>
        <w:tc>
          <w:tcPr>
            <w:tcW w:w="1157" w:type="dxa"/>
            <w:tcBorders>
              <w:top w:val="single" w:sz="4" w:space="0" w:color="000000"/>
              <w:left w:val="single" w:sz="12" w:space="0" w:color="000000"/>
              <w:bottom w:val="single" w:sz="4" w:space="0" w:color="000000"/>
              <w:right w:val="single" w:sz="12" w:space="0" w:color="000000"/>
            </w:tcBorders>
          </w:tcPr>
          <w:p w14:paraId="12ABCDA8" w14:textId="7E5450AC" w:rsidR="00B56D50" w:rsidRDefault="001C3C42" w:rsidP="007F2709">
            <w:pPr>
              <w:tabs>
                <w:tab w:val="center" w:pos="579"/>
              </w:tabs>
              <w:spacing w:after="0" w:line="259" w:lineRule="auto"/>
              <w:ind w:left="0" w:right="0" w:firstLine="0"/>
              <w:jc w:val="center"/>
            </w:pPr>
            <w:r>
              <w:rPr>
                <w:sz w:val="18"/>
              </w:rPr>
              <w:t>0.7</w:t>
            </w:r>
          </w:p>
        </w:tc>
        <w:tc>
          <w:tcPr>
            <w:tcW w:w="792" w:type="dxa"/>
            <w:tcBorders>
              <w:top w:val="single" w:sz="4" w:space="0" w:color="000000"/>
              <w:left w:val="single" w:sz="12" w:space="0" w:color="000000"/>
              <w:bottom w:val="single" w:sz="4" w:space="0" w:color="000000"/>
              <w:right w:val="single" w:sz="12" w:space="0" w:color="000000"/>
            </w:tcBorders>
          </w:tcPr>
          <w:p w14:paraId="63FD589B" w14:textId="03A7E454" w:rsidR="00B56D50" w:rsidRDefault="001C3C42" w:rsidP="007F2709">
            <w:pPr>
              <w:spacing w:after="0" w:line="259" w:lineRule="auto"/>
              <w:ind w:left="0" w:right="41" w:firstLine="0"/>
              <w:jc w:val="center"/>
            </w:pPr>
            <w:r>
              <w:rPr>
                <w:sz w:val="18"/>
              </w:rPr>
              <w:t>mg/L</w:t>
            </w:r>
          </w:p>
        </w:tc>
        <w:tc>
          <w:tcPr>
            <w:tcW w:w="1452" w:type="dxa"/>
            <w:tcBorders>
              <w:top w:val="single" w:sz="4" w:space="0" w:color="000000"/>
              <w:left w:val="single" w:sz="12" w:space="0" w:color="000000"/>
              <w:bottom w:val="single" w:sz="4" w:space="0" w:color="000000"/>
              <w:right w:val="single" w:sz="12" w:space="0" w:color="000000"/>
            </w:tcBorders>
          </w:tcPr>
          <w:p w14:paraId="093D2374" w14:textId="747FC15A" w:rsidR="00B56D50" w:rsidRDefault="001C3C42" w:rsidP="007F2709">
            <w:pPr>
              <w:spacing w:after="0" w:line="259" w:lineRule="auto"/>
              <w:ind w:left="0" w:right="0" w:firstLine="0"/>
              <w:jc w:val="center"/>
            </w:pPr>
            <w:r>
              <w:rPr>
                <w:sz w:val="18"/>
              </w:rPr>
              <w:t>8260</w:t>
            </w:r>
          </w:p>
        </w:tc>
        <w:tc>
          <w:tcPr>
            <w:tcW w:w="1188" w:type="dxa"/>
            <w:tcBorders>
              <w:top w:val="single" w:sz="4" w:space="0" w:color="000000"/>
              <w:left w:val="single" w:sz="12" w:space="0" w:color="000000"/>
              <w:bottom w:val="single" w:sz="4" w:space="0" w:color="000000"/>
              <w:right w:val="single" w:sz="12" w:space="0" w:color="000000"/>
            </w:tcBorders>
          </w:tcPr>
          <w:p w14:paraId="0985D743" w14:textId="64298D28" w:rsidR="00B56D50" w:rsidRDefault="001C3C42" w:rsidP="007F2709">
            <w:pPr>
              <w:spacing w:after="0" w:line="259" w:lineRule="auto"/>
              <w:ind w:left="0" w:right="0" w:firstLine="0"/>
              <w:jc w:val="center"/>
            </w:pPr>
            <w:r>
              <w:rPr>
                <w:sz w:val="18"/>
              </w:rPr>
              <w:t>8021</w:t>
            </w:r>
          </w:p>
        </w:tc>
      </w:tr>
      <w:tr w:rsidR="00B56D50" w14:paraId="58146A23" w14:textId="77777777" w:rsidTr="005B6604">
        <w:trPr>
          <w:trHeight w:val="252"/>
        </w:trPr>
        <w:tc>
          <w:tcPr>
            <w:tcW w:w="1420" w:type="dxa"/>
            <w:tcBorders>
              <w:top w:val="single" w:sz="4" w:space="0" w:color="000000"/>
              <w:left w:val="single" w:sz="12" w:space="0" w:color="000000"/>
              <w:bottom w:val="single" w:sz="4" w:space="0" w:color="000000"/>
              <w:right w:val="single" w:sz="12" w:space="0" w:color="000000"/>
            </w:tcBorders>
          </w:tcPr>
          <w:p w14:paraId="02E39768" w14:textId="77777777" w:rsidR="00B56D50" w:rsidRDefault="001C3C42">
            <w:pPr>
              <w:spacing w:after="0" w:line="259" w:lineRule="auto"/>
              <w:ind w:left="0" w:right="36" w:firstLine="0"/>
              <w:jc w:val="center"/>
            </w:pPr>
            <w:r>
              <w:rPr>
                <w:sz w:val="18"/>
              </w:rPr>
              <w:t xml:space="preserve">D030 </w:t>
            </w:r>
          </w:p>
        </w:tc>
        <w:tc>
          <w:tcPr>
            <w:tcW w:w="1958" w:type="dxa"/>
            <w:tcBorders>
              <w:top w:val="single" w:sz="4" w:space="0" w:color="000000"/>
              <w:left w:val="single" w:sz="12" w:space="0" w:color="000000"/>
              <w:bottom w:val="single" w:sz="4" w:space="0" w:color="000000"/>
              <w:right w:val="single" w:sz="12" w:space="0" w:color="000000"/>
            </w:tcBorders>
          </w:tcPr>
          <w:p w14:paraId="7034278D" w14:textId="77777777" w:rsidR="00B56D50" w:rsidRDefault="001C3C42">
            <w:pPr>
              <w:spacing w:after="0" w:line="259" w:lineRule="auto"/>
              <w:ind w:left="0" w:right="0" w:firstLine="0"/>
            </w:pPr>
            <w:r>
              <w:rPr>
                <w:sz w:val="18"/>
              </w:rPr>
              <w:t xml:space="preserve">2,4-Dinitrotoluene </w:t>
            </w:r>
          </w:p>
        </w:tc>
        <w:tc>
          <w:tcPr>
            <w:tcW w:w="1063" w:type="dxa"/>
            <w:tcBorders>
              <w:top w:val="single" w:sz="4" w:space="0" w:color="000000"/>
              <w:left w:val="single" w:sz="12" w:space="0" w:color="000000"/>
              <w:bottom w:val="single" w:sz="4" w:space="0" w:color="000000"/>
              <w:right w:val="single" w:sz="12" w:space="0" w:color="000000"/>
            </w:tcBorders>
          </w:tcPr>
          <w:p w14:paraId="1BDE43F7" w14:textId="77777777" w:rsidR="00B56D50" w:rsidRDefault="001C3C42">
            <w:pPr>
              <w:spacing w:after="0" w:line="259" w:lineRule="auto"/>
              <w:ind w:left="0" w:right="39" w:firstLine="0"/>
              <w:jc w:val="center"/>
            </w:pPr>
            <w:r>
              <w:rPr>
                <w:sz w:val="18"/>
              </w:rPr>
              <w:t xml:space="preserve">1311 </w:t>
            </w:r>
          </w:p>
        </w:tc>
        <w:tc>
          <w:tcPr>
            <w:tcW w:w="879" w:type="dxa"/>
            <w:tcBorders>
              <w:top w:val="single" w:sz="4" w:space="0" w:color="000000"/>
              <w:left w:val="single" w:sz="12" w:space="0" w:color="000000"/>
              <w:bottom w:val="single" w:sz="4" w:space="0" w:color="000000"/>
              <w:right w:val="single" w:sz="12" w:space="0" w:color="000000"/>
            </w:tcBorders>
          </w:tcPr>
          <w:p w14:paraId="38E208F6" w14:textId="0B5E3F1F" w:rsidR="00B56D50" w:rsidRDefault="001C3C42" w:rsidP="007F2709">
            <w:pPr>
              <w:spacing w:after="0" w:line="259" w:lineRule="auto"/>
              <w:ind w:left="0" w:right="0" w:firstLine="0"/>
              <w:jc w:val="center"/>
            </w:pPr>
            <w:r>
              <w:rPr>
                <w:sz w:val="18"/>
              </w:rPr>
              <w:t>0.01</w:t>
            </w:r>
          </w:p>
        </w:tc>
        <w:tc>
          <w:tcPr>
            <w:tcW w:w="711" w:type="dxa"/>
            <w:tcBorders>
              <w:top w:val="single" w:sz="4" w:space="0" w:color="000000"/>
              <w:left w:val="single" w:sz="12" w:space="0" w:color="000000"/>
              <w:bottom w:val="single" w:sz="4" w:space="0" w:color="000000"/>
              <w:right w:val="single" w:sz="12" w:space="0" w:color="000000"/>
            </w:tcBorders>
          </w:tcPr>
          <w:p w14:paraId="527EA1FA" w14:textId="5AEF2F13" w:rsidR="00B56D50" w:rsidRDefault="001C3C42" w:rsidP="007F2709">
            <w:pPr>
              <w:spacing w:after="0" w:line="259" w:lineRule="auto"/>
              <w:ind w:left="91" w:right="0" w:firstLine="0"/>
              <w:jc w:val="center"/>
            </w:pPr>
            <w:r>
              <w:rPr>
                <w:sz w:val="18"/>
              </w:rPr>
              <w:t>mg/L</w:t>
            </w:r>
          </w:p>
        </w:tc>
        <w:tc>
          <w:tcPr>
            <w:tcW w:w="1157" w:type="dxa"/>
            <w:tcBorders>
              <w:top w:val="single" w:sz="4" w:space="0" w:color="000000"/>
              <w:left w:val="single" w:sz="12" w:space="0" w:color="000000"/>
              <w:bottom w:val="single" w:sz="4" w:space="0" w:color="000000"/>
              <w:right w:val="single" w:sz="12" w:space="0" w:color="000000"/>
            </w:tcBorders>
          </w:tcPr>
          <w:p w14:paraId="5F18E124" w14:textId="24EDCD76" w:rsidR="00B56D50" w:rsidRDefault="001C3C42" w:rsidP="007F2709">
            <w:pPr>
              <w:tabs>
                <w:tab w:val="center" w:pos="623"/>
              </w:tabs>
              <w:spacing w:after="0" w:line="259" w:lineRule="auto"/>
              <w:ind w:left="0" w:right="0" w:firstLine="0"/>
              <w:jc w:val="center"/>
            </w:pPr>
            <w:r>
              <w:rPr>
                <w:sz w:val="18"/>
              </w:rPr>
              <w:t>0.13</w:t>
            </w:r>
          </w:p>
        </w:tc>
        <w:tc>
          <w:tcPr>
            <w:tcW w:w="792" w:type="dxa"/>
            <w:tcBorders>
              <w:top w:val="single" w:sz="4" w:space="0" w:color="000000"/>
              <w:left w:val="single" w:sz="12" w:space="0" w:color="000000"/>
              <w:bottom w:val="single" w:sz="4" w:space="0" w:color="000000"/>
              <w:right w:val="single" w:sz="12" w:space="0" w:color="000000"/>
            </w:tcBorders>
          </w:tcPr>
          <w:p w14:paraId="5881FC71" w14:textId="51EFEE60" w:rsidR="00B56D50" w:rsidRDefault="001C3C42" w:rsidP="007F2709">
            <w:pPr>
              <w:spacing w:after="0" w:line="259" w:lineRule="auto"/>
              <w:ind w:left="0" w:right="41" w:firstLine="0"/>
              <w:jc w:val="center"/>
            </w:pPr>
            <w:r>
              <w:rPr>
                <w:sz w:val="18"/>
              </w:rPr>
              <w:t>mg/L</w:t>
            </w:r>
          </w:p>
        </w:tc>
        <w:tc>
          <w:tcPr>
            <w:tcW w:w="1452" w:type="dxa"/>
            <w:tcBorders>
              <w:top w:val="single" w:sz="4" w:space="0" w:color="000000"/>
              <w:left w:val="single" w:sz="12" w:space="0" w:color="000000"/>
              <w:bottom w:val="single" w:sz="4" w:space="0" w:color="000000"/>
              <w:right w:val="single" w:sz="12" w:space="0" w:color="000000"/>
            </w:tcBorders>
          </w:tcPr>
          <w:p w14:paraId="0DBE5724" w14:textId="2919344A" w:rsidR="00B56D50" w:rsidRDefault="001C3C42" w:rsidP="007F2709">
            <w:pPr>
              <w:spacing w:after="0" w:line="259" w:lineRule="auto"/>
              <w:ind w:left="0" w:right="0" w:firstLine="0"/>
              <w:jc w:val="center"/>
            </w:pPr>
            <w:r>
              <w:rPr>
                <w:sz w:val="18"/>
              </w:rPr>
              <w:t>8270</w:t>
            </w:r>
          </w:p>
        </w:tc>
        <w:tc>
          <w:tcPr>
            <w:tcW w:w="1188" w:type="dxa"/>
            <w:tcBorders>
              <w:top w:val="single" w:sz="4" w:space="0" w:color="000000"/>
              <w:left w:val="single" w:sz="12" w:space="0" w:color="000000"/>
              <w:bottom w:val="single" w:sz="4" w:space="0" w:color="000000"/>
              <w:right w:val="single" w:sz="12" w:space="0" w:color="000000"/>
            </w:tcBorders>
          </w:tcPr>
          <w:p w14:paraId="5B4DF09C" w14:textId="46F7BEEB" w:rsidR="00B56D50" w:rsidRDefault="001C3C42" w:rsidP="007F2709">
            <w:pPr>
              <w:spacing w:after="0" w:line="259" w:lineRule="auto"/>
              <w:ind w:left="0" w:right="0" w:firstLine="0"/>
              <w:jc w:val="center"/>
            </w:pPr>
            <w:r>
              <w:rPr>
                <w:sz w:val="18"/>
              </w:rPr>
              <w:t>8091</w:t>
            </w:r>
            <w:r w:rsidR="003204BC">
              <w:rPr>
                <w:sz w:val="18"/>
              </w:rPr>
              <w:t xml:space="preserve">, </w:t>
            </w:r>
            <w:r>
              <w:rPr>
                <w:sz w:val="18"/>
              </w:rPr>
              <w:t>8410</w:t>
            </w:r>
          </w:p>
        </w:tc>
      </w:tr>
      <w:tr w:rsidR="00BC30D1" w14:paraId="336DC3D3" w14:textId="77777777" w:rsidTr="005B6604">
        <w:trPr>
          <w:trHeight w:val="252"/>
        </w:trPr>
        <w:tc>
          <w:tcPr>
            <w:tcW w:w="1420" w:type="dxa"/>
            <w:tcBorders>
              <w:top w:val="single" w:sz="4" w:space="0" w:color="000000"/>
              <w:left w:val="single" w:sz="12" w:space="0" w:color="000000"/>
              <w:bottom w:val="single" w:sz="4" w:space="0" w:color="000000"/>
              <w:right w:val="single" w:sz="12" w:space="0" w:color="000000"/>
            </w:tcBorders>
          </w:tcPr>
          <w:p w14:paraId="32B7DD0C" w14:textId="0D3CBF7D" w:rsidR="00BC30D1" w:rsidRDefault="00BC30D1" w:rsidP="00BC30D1">
            <w:pPr>
              <w:spacing w:after="0" w:line="259" w:lineRule="auto"/>
              <w:ind w:left="0" w:right="36" w:firstLine="0"/>
              <w:jc w:val="center"/>
              <w:rPr>
                <w:sz w:val="18"/>
              </w:rPr>
            </w:pPr>
            <w:r>
              <w:rPr>
                <w:sz w:val="18"/>
              </w:rPr>
              <w:t xml:space="preserve">D031 </w:t>
            </w:r>
          </w:p>
        </w:tc>
        <w:tc>
          <w:tcPr>
            <w:tcW w:w="1958" w:type="dxa"/>
            <w:tcBorders>
              <w:top w:val="single" w:sz="4" w:space="0" w:color="000000"/>
              <w:left w:val="single" w:sz="12" w:space="0" w:color="000000"/>
              <w:bottom w:val="single" w:sz="4" w:space="0" w:color="000000"/>
              <w:right w:val="single" w:sz="12" w:space="0" w:color="000000"/>
            </w:tcBorders>
          </w:tcPr>
          <w:p w14:paraId="52A7F4F8" w14:textId="6E8AE73D" w:rsidR="00BC30D1" w:rsidRDefault="00BC30D1" w:rsidP="00BC30D1">
            <w:pPr>
              <w:spacing w:after="0" w:line="259" w:lineRule="auto"/>
              <w:ind w:left="0" w:right="0" w:firstLine="0"/>
              <w:rPr>
                <w:sz w:val="18"/>
              </w:rPr>
            </w:pPr>
            <w:r>
              <w:rPr>
                <w:sz w:val="18"/>
              </w:rPr>
              <w:t xml:space="preserve">Heptachlor (and heptachlor epoxide) </w:t>
            </w:r>
          </w:p>
        </w:tc>
        <w:tc>
          <w:tcPr>
            <w:tcW w:w="1063" w:type="dxa"/>
            <w:tcBorders>
              <w:top w:val="single" w:sz="4" w:space="0" w:color="000000"/>
              <w:left w:val="single" w:sz="12" w:space="0" w:color="000000"/>
              <w:bottom w:val="single" w:sz="4" w:space="0" w:color="000000"/>
              <w:right w:val="single" w:sz="12" w:space="0" w:color="000000"/>
            </w:tcBorders>
          </w:tcPr>
          <w:p w14:paraId="106D9F3F" w14:textId="61D5FE47" w:rsidR="00BC30D1" w:rsidRDefault="00BC30D1" w:rsidP="00BC30D1">
            <w:pPr>
              <w:spacing w:after="0" w:line="259" w:lineRule="auto"/>
              <w:ind w:left="0" w:right="39" w:firstLine="0"/>
              <w:jc w:val="center"/>
              <w:rPr>
                <w:sz w:val="18"/>
              </w:rPr>
            </w:pPr>
            <w:r>
              <w:rPr>
                <w:sz w:val="18"/>
              </w:rPr>
              <w:t xml:space="preserve">1311 </w:t>
            </w:r>
          </w:p>
        </w:tc>
        <w:tc>
          <w:tcPr>
            <w:tcW w:w="879" w:type="dxa"/>
            <w:tcBorders>
              <w:top w:val="single" w:sz="4" w:space="0" w:color="000000"/>
              <w:left w:val="single" w:sz="12" w:space="0" w:color="000000"/>
              <w:bottom w:val="single" w:sz="4" w:space="0" w:color="000000"/>
              <w:right w:val="single" w:sz="12" w:space="0" w:color="000000"/>
            </w:tcBorders>
          </w:tcPr>
          <w:p w14:paraId="5882DC7F" w14:textId="6988D204" w:rsidR="00BC30D1" w:rsidRDefault="00BC30D1" w:rsidP="00BC30D1">
            <w:pPr>
              <w:spacing w:after="0" w:line="259" w:lineRule="auto"/>
              <w:ind w:left="0" w:right="0" w:firstLine="0"/>
              <w:jc w:val="center"/>
              <w:rPr>
                <w:sz w:val="18"/>
              </w:rPr>
            </w:pPr>
            <w:r>
              <w:rPr>
                <w:sz w:val="18"/>
              </w:rPr>
              <w:t>0.0008</w:t>
            </w:r>
          </w:p>
        </w:tc>
        <w:tc>
          <w:tcPr>
            <w:tcW w:w="711" w:type="dxa"/>
            <w:tcBorders>
              <w:top w:val="single" w:sz="4" w:space="0" w:color="000000"/>
              <w:left w:val="single" w:sz="12" w:space="0" w:color="000000"/>
              <w:bottom w:val="single" w:sz="4" w:space="0" w:color="000000"/>
              <w:right w:val="single" w:sz="12" w:space="0" w:color="000000"/>
            </w:tcBorders>
          </w:tcPr>
          <w:p w14:paraId="2F51DF36" w14:textId="40EDD6B1" w:rsidR="00BC30D1" w:rsidRDefault="00BC30D1" w:rsidP="00BC30D1">
            <w:pPr>
              <w:spacing w:after="0" w:line="259" w:lineRule="auto"/>
              <w:ind w:left="91" w:right="0" w:firstLine="0"/>
              <w:jc w:val="center"/>
              <w:rPr>
                <w:sz w:val="18"/>
              </w:rPr>
            </w:pPr>
            <w:r>
              <w:rPr>
                <w:sz w:val="18"/>
              </w:rPr>
              <w:t xml:space="preserve">mg/L </w:t>
            </w:r>
          </w:p>
        </w:tc>
        <w:tc>
          <w:tcPr>
            <w:tcW w:w="1157" w:type="dxa"/>
            <w:tcBorders>
              <w:top w:val="single" w:sz="4" w:space="0" w:color="000000"/>
              <w:left w:val="single" w:sz="12" w:space="0" w:color="000000"/>
              <w:bottom w:val="single" w:sz="4" w:space="0" w:color="000000"/>
              <w:right w:val="single" w:sz="12" w:space="0" w:color="000000"/>
            </w:tcBorders>
          </w:tcPr>
          <w:p w14:paraId="72ECE3BF" w14:textId="7F522C13" w:rsidR="00BC30D1" w:rsidRDefault="00BC30D1" w:rsidP="00BC30D1">
            <w:pPr>
              <w:tabs>
                <w:tab w:val="center" w:pos="623"/>
              </w:tabs>
              <w:spacing w:after="0" w:line="259" w:lineRule="auto"/>
              <w:ind w:left="0" w:right="0" w:firstLine="0"/>
              <w:jc w:val="center"/>
              <w:rPr>
                <w:sz w:val="18"/>
              </w:rPr>
            </w:pPr>
            <w:r>
              <w:rPr>
                <w:sz w:val="18"/>
              </w:rPr>
              <w:t>0.008</w:t>
            </w:r>
          </w:p>
        </w:tc>
        <w:tc>
          <w:tcPr>
            <w:tcW w:w="792" w:type="dxa"/>
            <w:tcBorders>
              <w:top w:val="single" w:sz="4" w:space="0" w:color="000000"/>
              <w:left w:val="single" w:sz="12" w:space="0" w:color="000000"/>
              <w:bottom w:val="single" w:sz="4" w:space="0" w:color="000000"/>
              <w:right w:val="single" w:sz="12" w:space="0" w:color="000000"/>
            </w:tcBorders>
          </w:tcPr>
          <w:p w14:paraId="04E9FB05" w14:textId="0E71C4B3" w:rsidR="00BC30D1" w:rsidRDefault="00BC30D1" w:rsidP="00BC30D1">
            <w:pPr>
              <w:spacing w:after="0" w:line="259" w:lineRule="auto"/>
              <w:ind w:left="0" w:right="41" w:firstLine="0"/>
              <w:jc w:val="center"/>
              <w:rPr>
                <w:sz w:val="18"/>
              </w:rPr>
            </w:pPr>
            <w:r>
              <w:rPr>
                <w:sz w:val="18"/>
              </w:rPr>
              <w:t xml:space="preserve">mg/L </w:t>
            </w:r>
          </w:p>
        </w:tc>
        <w:tc>
          <w:tcPr>
            <w:tcW w:w="1452" w:type="dxa"/>
            <w:tcBorders>
              <w:top w:val="single" w:sz="4" w:space="0" w:color="000000"/>
              <w:left w:val="single" w:sz="12" w:space="0" w:color="000000"/>
              <w:bottom w:val="single" w:sz="4" w:space="0" w:color="000000"/>
              <w:right w:val="single" w:sz="12" w:space="0" w:color="000000"/>
            </w:tcBorders>
          </w:tcPr>
          <w:p w14:paraId="1F4FA032" w14:textId="3D93BACE" w:rsidR="00BC30D1" w:rsidRDefault="00BC30D1" w:rsidP="00BC30D1">
            <w:pPr>
              <w:spacing w:after="0" w:line="259" w:lineRule="auto"/>
              <w:ind w:left="0" w:right="0" w:firstLine="0"/>
              <w:jc w:val="center"/>
              <w:rPr>
                <w:sz w:val="18"/>
              </w:rPr>
            </w:pPr>
            <w:r>
              <w:rPr>
                <w:sz w:val="18"/>
              </w:rPr>
              <w:t>8081</w:t>
            </w:r>
          </w:p>
        </w:tc>
        <w:tc>
          <w:tcPr>
            <w:tcW w:w="1188" w:type="dxa"/>
            <w:tcBorders>
              <w:top w:val="single" w:sz="4" w:space="0" w:color="000000"/>
              <w:left w:val="single" w:sz="12" w:space="0" w:color="000000"/>
              <w:bottom w:val="single" w:sz="4" w:space="0" w:color="000000"/>
              <w:right w:val="single" w:sz="12" w:space="0" w:color="000000"/>
            </w:tcBorders>
          </w:tcPr>
          <w:p w14:paraId="4CC16C8A" w14:textId="77777777" w:rsidR="00BC30D1" w:rsidRDefault="00BC30D1" w:rsidP="00BC30D1">
            <w:pPr>
              <w:spacing w:after="0" w:line="259" w:lineRule="auto"/>
              <w:ind w:left="0" w:right="0" w:firstLine="0"/>
              <w:jc w:val="center"/>
              <w:rPr>
                <w:sz w:val="18"/>
              </w:rPr>
            </w:pPr>
          </w:p>
        </w:tc>
      </w:tr>
      <w:tr w:rsidR="00BC30D1" w14:paraId="6809E1BE" w14:textId="77777777" w:rsidTr="005B6604">
        <w:trPr>
          <w:trHeight w:val="252"/>
        </w:trPr>
        <w:tc>
          <w:tcPr>
            <w:tcW w:w="1420" w:type="dxa"/>
            <w:tcBorders>
              <w:top w:val="single" w:sz="4" w:space="0" w:color="000000"/>
              <w:left w:val="single" w:sz="12" w:space="0" w:color="000000"/>
              <w:bottom w:val="single" w:sz="4" w:space="0" w:color="000000"/>
              <w:right w:val="single" w:sz="12" w:space="0" w:color="000000"/>
            </w:tcBorders>
          </w:tcPr>
          <w:p w14:paraId="27199D35" w14:textId="5E261B7A" w:rsidR="00BC30D1" w:rsidRDefault="00BC30D1" w:rsidP="00BC30D1">
            <w:pPr>
              <w:spacing w:after="0" w:line="259" w:lineRule="auto"/>
              <w:ind w:left="0" w:right="36" w:firstLine="0"/>
              <w:jc w:val="center"/>
              <w:rPr>
                <w:sz w:val="18"/>
              </w:rPr>
            </w:pPr>
            <w:r>
              <w:rPr>
                <w:sz w:val="18"/>
              </w:rPr>
              <w:lastRenderedPageBreak/>
              <w:t xml:space="preserve">D032 </w:t>
            </w:r>
          </w:p>
        </w:tc>
        <w:tc>
          <w:tcPr>
            <w:tcW w:w="1958" w:type="dxa"/>
            <w:tcBorders>
              <w:top w:val="single" w:sz="4" w:space="0" w:color="000000"/>
              <w:left w:val="single" w:sz="12" w:space="0" w:color="000000"/>
              <w:bottom w:val="single" w:sz="4" w:space="0" w:color="000000"/>
              <w:right w:val="single" w:sz="12" w:space="0" w:color="000000"/>
            </w:tcBorders>
          </w:tcPr>
          <w:p w14:paraId="1CB0BE84" w14:textId="76F8EEE9" w:rsidR="00BC30D1" w:rsidRDefault="00BC30D1" w:rsidP="00BC30D1">
            <w:pPr>
              <w:spacing w:after="0" w:line="259" w:lineRule="auto"/>
              <w:ind w:left="0" w:right="0" w:firstLine="0"/>
              <w:rPr>
                <w:sz w:val="18"/>
              </w:rPr>
            </w:pPr>
            <w:r>
              <w:rPr>
                <w:sz w:val="18"/>
              </w:rPr>
              <w:t xml:space="preserve">Hexachlorobenzene </w:t>
            </w:r>
          </w:p>
        </w:tc>
        <w:tc>
          <w:tcPr>
            <w:tcW w:w="1063" w:type="dxa"/>
            <w:tcBorders>
              <w:top w:val="single" w:sz="4" w:space="0" w:color="000000"/>
              <w:left w:val="single" w:sz="12" w:space="0" w:color="000000"/>
              <w:bottom w:val="single" w:sz="4" w:space="0" w:color="000000"/>
              <w:right w:val="single" w:sz="12" w:space="0" w:color="000000"/>
            </w:tcBorders>
          </w:tcPr>
          <w:p w14:paraId="438993A3" w14:textId="46F24772" w:rsidR="00BC30D1" w:rsidRDefault="00BC30D1" w:rsidP="00BC30D1">
            <w:pPr>
              <w:spacing w:after="0" w:line="259" w:lineRule="auto"/>
              <w:ind w:left="0" w:right="39" w:firstLine="0"/>
              <w:jc w:val="center"/>
              <w:rPr>
                <w:sz w:val="18"/>
              </w:rPr>
            </w:pPr>
            <w:r>
              <w:rPr>
                <w:sz w:val="18"/>
              </w:rPr>
              <w:t xml:space="preserve">1311 </w:t>
            </w:r>
          </w:p>
        </w:tc>
        <w:tc>
          <w:tcPr>
            <w:tcW w:w="879" w:type="dxa"/>
            <w:tcBorders>
              <w:top w:val="single" w:sz="4" w:space="0" w:color="000000"/>
              <w:left w:val="single" w:sz="12" w:space="0" w:color="000000"/>
              <w:bottom w:val="single" w:sz="4" w:space="0" w:color="000000"/>
              <w:right w:val="single" w:sz="12" w:space="0" w:color="000000"/>
            </w:tcBorders>
          </w:tcPr>
          <w:p w14:paraId="0FF1AB36" w14:textId="57ABC258" w:rsidR="00BC30D1" w:rsidRDefault="00BC30D1" w:rsidP="00BC30D1">
            <w:pPr>
              <w:spacing w:after="0" w:line="259" w:lineRule="auto"/>
              <w:ind w:left="0" w:right="0" w:firstLine="0"/>
              <w:jc w:val="center"/>
              <w:rPr>
                <w:sz w:val="18"/>
              </w:rPr>
            </w:pPr>
            <w:r>
              <w:rPr>
                <w:sz w:val="18"/>
              </w:rPr>
              <w:t>0.01</w:t>
            </w:r>
          </w:p>
        </w:tc>
        <w:tc>
          <w:tcPr>
            <w:tcW w:w="711" w:type="dxa"/>
            <w:tcBorders>
              <w:top w:val="single" w:sz="4" w:space="0" w:color="000000"/>
              <w:left w:val="single" w:sz="12" w:space="0" w:color="000000"/>
              <w:bottom w:val="single" w:sz="4" w:space="0" w:color="000000"/>
              <w:right w:val="single" w:sz="12" w:space="0" w:color="000000"/>
            </w:tcBorders>
          </w:tcPr>
          <w:p w14:paraId="4541E5AC" w14:textId="734B9351" w:rsidR="00BC30D1" w:rsidRDefault="00BC30D1" w:rsidP="00BC30D1">
            <w:pPr>
              <w:spacing w:after="0" w:line="259" w:lineRule="auto"/>
              <w:ind w:left="91" w:right="0" w:firstLine="0"/>
              <w:jc w:val="center"/>
              <w:rPr>
                <w:sz w:val="18"/>
              </w:rPr>
            </w:pPr>
            <w:r>
              <w:rPr>
                <w:sz w:val="18"/>
              </w:rPr>
              <w:t xml:space="preserve">mg/L </w:t>
            </w:r>
          </w:p>
        </w:tc>
        <w:tc>
          <w:tcPr>
            <w:tcW w:w="1157" w:type="dxa"/>
            <w:tcBorders>
              <w:top w:val="single" w:sz="4" w:space="0" w:color="000000"/>
              <w:left w:val="single" w:sz="12" w:space="0" w:color="000000"/>
              <w:bottom w:val="single" w:sz="4" w:space="0" w:color="000000"/>
              <w:right w:val="single" w:sz="12" w:space="0" w:color="000000"/>
            </w:tcBorders>
          </w:tcPr>
          <w:p w14:paraId="0C14D406" w14:textId="355F731A" w:rsidR="00BC30D1" w:rsidRDefault="00BC30D1" w:rsidP="00BC30D1">
            <w:pPr>
              <w:tabs>
                <w:tab w:val="center" w:pos="623"/>
              </w:tabs>
              <w:spacing w:after="0" w:line="259" w:lineRule="auto"/>
              <w:ind w:left="0" w:right="0" w:firstLine="0"/>
              <w:jc w:val="center"/>
              <w:rPr>
                <w:sz w:val="18"/>
              </w:rPr>
            </w:pPr>
            <w:r>
              <w:rPr>
                <w:sz w:val="18"/>
              </w:rPr>
              <w:t>0.13</w:t>
            </w:r>
          </w:p>
        </w:tc>
        <w:tc>
          <w:tcPr>
            <w:tcW w:w="792" w:type="dxa"/>
            <w:tcBorders>
              <w:top w:val="single" w:sz="4" w:space="0" w:color="000000"/>
              <w:left w:val="single" w:sz="12" w:space="0" w:color="000000"/>
              <w:bottom w:val="single" w:sz="4" w:space="0" w:color="000000"/>
              <w:right w:val="single" w:sz="12" w:space="0" w:color="000000"/>
            </w:tcBorders>
          </w:tcPr>
          <w:p w14:paraId="1616AA2C" w14:textId="29CF7CD8" w:rsidR="00BC30D1" w:rsidRDefault="00BC30D1" w:rsidP="00BC30D1">
            <w:pPr>
              <w:spacing w:after="0" w:line="259" w:lineRule="auto"/>
              <w:ind w:left="0" w:right="41" w:firstLine="0"/>
              <w:jc w:val="center"/>
              <w:rPr>
                <w:sz w:val="18"/>
              </w:rPr>
            </w:pPr>
            <w:r>
              <w:rPr>
                <w:sz w:val="18"/>
              </w:rPr>
              <w:t xml:space="preserve">mg/L </w:t>
            </w:r>
          </w:p>
        </w:tc>
        <w:tc>
          <w:tcPr>
            <w:tcW w:w="1452" w:type="dxa"/>
            <w:tcBorders>
              <w:top w:val="single" w:sz="4" w:space="0" w:color="000000"/>
              <w:left w:val="single" w:sz="12" w:space="0" w:color="000000"/>
              <w:bottom w:val="single" w:sz="4" w:space="0" w:color="000000"/>
              <w:right w:val="single" w:sz="12" w:space="0" w:color="000000"/>
            </w:tcBorders>
          </w:tcPr>
          <w:p w14:paraId="7E8B121A" w14:textId="17F5407D" w:rsidR="00BC30D1" w:rsidRDefault="00BC30D1" w:rsidP="00BC30D1">
            <w:pPr>
              <w:spacing w:after="0" w:line="259" w:lineRule="auto"/>
              <w:ind w:left="0" w:right="0" w:firstLine="0"/>
              <w:jc w:val="center"/>
              <w:rPr>
                <w:sz w:val="18"/>
              </w:rPr>
            </w:pPr>
            <w:r>
              <w:rPr>
                <w:sz w:val="18"/>
              </w:rPr>
              <w:t>8270</w:t>
            </w:r>
          </w:p>
        </w:tc>
        <w:tc>
          <w:tcPr>
            <w:tcW w:w="1188" w:type="dxa"/>
            <w:tcBorders>
              <w:top w:val="single" w:sz="4" w:space="0" w:color="000000"/>
              <w:left w:val="single" w:sz="12" w:space="0" w:color="000000"/>
              <w:bottom w:val="single" w:sz="4" w:space="0" w:color="000000"/>
              <w:right w:val="single" w:sz="12" w:space="0" w:color="000000"/>
            </w:tcBorders>
          </w:tcPr>
          <w:p w14:paraId="38427186" w14:textId="36B7C2F8" w:rsidR="00BC30D1" w:rsidRDefault="00BC30D1" w:rsidP="00BC30D1">
            <w:pPr>
              <w:spacing w:after="0" w:line="259" w:lineRule="auto"/>
              <w:ind w:left="0" w:right="0" w:firstLine="0"/>
              <w:jc w:val="center"/>
              <w:rPr>
                <w:sz w:val="18"/>
              </w:rPr>
            </w:pPr>
            <w:r>
              <w:rPr>
                <w:sz w:val="18"/>
              </w:rPr>
              <w:t>8081, 8410</w:t>
            </w:r>
          </w:p>
        </w:tc>
      </w:tr>
      <w:tr w:rsidR="00BC30D1" w14:paraId="2409624F" w14:textId="77777777" w:rsidTr="005B6604">
        <w:trPr>
          <w:trHeight w:val="252"/>
        </w:trPr>
        <w:tc>
          <w:tcPr>
            <w:tcW w:w="1420" w:type="dxa"/>
            <w:tcBorders>
              <w:top w:val="single" w:sz="4" w:space="0" w:color="000000"/>
              <w:left w:val="single" w:sz="12" w:space="0" w:color="000000"/>
              <w:bottom w:val="single" w:sz="4" w:space="0" w:color="000000"/>
              <w:right w:val="single" w:sz="12" w:space="0" w:color="000000"/>
            </w:tcBorders>
          </w:tcPr>
          <w:p w14:paraId="4E84AC96" w14:textId="170D302B" w:rsidR="00BC30D1" w:rsidRDefault="00BC30D1" w:rsidP="00BC30D1">
            <w:pPr>
              <w:spacing w:after="0" w:line="259" w:lineRule="auto"/>
              <w:ind w:left="0" w:right="36" w:firstLine="0"/>
              <w:jc w:val="center"/>
              <w:rPr>
                <w:sz w:val="18"/>
              </w:rPr>
            </w:pPr>
            <w:r>
              <w:rPr>
                <w:sz w:val="18"/>
              </w:rPr>
              <w:t xml:space="preserve">D033 </w:t>
            </w:r>
          </w:p>
        </w:tc>
        <w:tc>
          <w:tcPr>
            <w:tcW w:w="1958" w:type="dxa"/>
            <w:tcBorders>
              <w:top w:val="single" w:sz="4" w:space="0" w:color="000000"/>
              <w:left w:val="single" w:sz="12" w:space="0" w:color="000000"/>
              <w:bottom w:val="single" w:sz="4" w:space="0" w:color="000000"/>
              <w:right w:val="single" w:sz="12" w:space="0" w:color="000000"/>
            </w:tcBorders>
          </w:tcPr>
          <w:p w14:paraId="52DDE430" w14:textId="6FFD8F53" w:rsidR="00BC30D1" w:rsidRDefault="00BC30D1" w:rsidP="00BC30D1">
            <w:pPr>
              <w:spacing w:after="0" w:line="259" w:lineRule="auto"/>
              <w:ind w:left="0" w:right="0" w:firstLine="0"/>
              <w:rPr>
                <w:sz w:val="18"/>
              </w:rPr>
            </w:pPr>
            <w:r>
              <w:rPr>
                <w:sz w:val="18"/>
              </w:rPr>
              <w:t xml:space="preserve">Hexachlorobutadiene </w:t>
            </w:r>
          </w:p>
        </w:tc>
        <w:tc>
          <w:tcPr>
            <w:tcW w:w="1063" w:type="dxa"/>
            <w:tcBorders>
              <w:top w:val="single" w:sz="4" w:space="0" w:color="000000"/>
              <w:left w:val="single" w:sz="12" w:space="0" w:color="000000"/>
              <w:bottom w:val="single" w:sz="4" w:space="0" w:color="000000"/>
              <w:right w:val="single" w:sz="12" w:space="0" w:color="000000"/>
            </w:tcBorders>
          </w:tcPr>
          <w:p w14:paraId="2587DC48" w14:textId="6D705BB6" w:rsidR="00BC30D1" w:rsidRDefault="00BC30D1" w:rsidP="00BC30D1">
            <w:pPr>
              <w:spacing w:after="0" w:line="259" w:lineRule="auto"/>
              <w:ind w:left="0" w:right="39" w:firstLine="0"/>
              <w:jc w:val="center"/>
              <w:rPr>
                <w:sz w:val="18"/>
              </w:rPr>
            </w:pPr>
            <w:r>
              <w:rPr>
                <w:sz w:val="18"/>
              </w:rPr>
              <w:t xml:space="preserve">1311 </w:t>
            </w:r>
          </w:p>
        </w:tc>
        <w:tc>
          <w:tcPr>
            <w:tcW w:w="879" w:type="dxa"/>
            <w:tcBorders>
              <w:top w:val="single" w:sz="4" w:space="0" w:color="000000"/>
              <w:left w:val="single" w:sz="12" w:space="0" w:color="000000"/>
              <w:bottom w:val="single" w:sz="4" w:space="0" w:color="000000"/>
              <w:right w:val="single" w:sz="12" w:space="0" w:color="000000"/>
            </w:tcBorders>
          </w:tcPr>
          <w:p w14:paraId="681A7DA3" w14:textId="0A7B3900" w:rsidR="00BC30D1" w:rsidRDefault="00BC30D1" w:rsidP="00BC30D1">
            <w:pPr>
              <w:spacing w:after="0" w:line="259" w:lineRule="auto"/>
              <w:ind w:left="0" w:right="0" w:firstLine="0"/>
              <w:jc w:val="center"/>
              <w:rPr>
                <w:sz w:val="18"/>
              </w:rPr>
            </w:pPr>
            <w:r>
              <w:rPr>
                <w:sz w:val="18"/>
              </w:rPr>
              <w:t>0.05</w:t>
            </w:r>
          </w:p>
        </w:tc>
        <w:tc>
          <w:tcPr>
            <w:tcW w:w="711" w:type="dxa"/>
            <w:tcBorders>
              <w:top w:val="single" w:sz="4" w:space="0" w:color="000000"/>
              <w:left w:val="single" w:sz="12" w:space="0" w:color="000000"/>
              <w:bottom w:val="single" w:sz="4" w:space="0" w:color="000000"/>
              <w:right w:val="single" w:sz="12" w:space="0" w:color="000000"/>
            </w:tcBorders>
          </w:tcPr>
          <w:p w14:paraId="5B52BAFE" w14:textId="34466D6C" w:rsidR="00BC30D1" w:rsidRDefault="00BC30D1" w:rsidP="00BC30D1">
            <w:pPr>
              <w:spacing w:after="0" w:line="259" w:lineRule="auto"/>
              <w:ind w:left="91" w:right="0" w:firstLine="0"/>
              <w:jc w:val="center"/>
              <w:rPr>
                <w:sz w:val="18"/>
              </w:rPr>
            </w:pPr>
            <w:r>
              <w:rPr>
                <w:sz w:val="18"/>
              </w:rPr>
              <w:t xml:space="preserve">mg/L </w:t>
            </w:r>
          </w:p>
        </w:tc>
        <w:tc>
          <w:tcPr>
            <w:tcW w:w="1157" w:type="dxa"/>
            <w:tcBorders>
              <w:top w:val="single" w:sz="4" w:space="0" w:color="000000"/>
              <w:left w:val="single" w:sz="12" w:space="0" w:color="000000"/>
              <w:bottom w:val="single" w:sz="4" w:space="0" w:color="000000"/>
              <w:right w:val="single" w:sz="12" w:space="0" w:color="000000"/>
            </w:tcBorders>
          </w:tcPr>
          <w:p w14:paraId="0FDC87E1" w14:textId="0CE09976" w:rsidR="00BC30D1" w:rsidRDefault="00BC30D1" w:rsidP="00BC30D1">
            <w:pPr>
              <w:tabs>
                <w:tab w:val="center" w:pos="623"/>
              </w:tabs>
              <w:spacing w:after="0" w:line="259" w:lineRule="auto"/>
              <w:ind w:left="0" w:right="0" w:firstLine="0"/>
              <w:jc w:val="center"/>
              <w:rPr>
                <w:sz w:val="18"/>
              </w:rPr>
            </w:pPr>
            <w:r>
              <w:rPr>
                <w:sz w:val="18"/>
              </w:rPr>
              <w:t>0.5</w:t>
            </w:r>
          </w:p>
        </w:tc>
        <w:tc>
          <w:tcPr>
            <w:tcW w:w="792" w:type="dxa"/>
            <w:tcBorders>
              <w:top w:val="single" w:sz="4" w:space="0" w:color="000000"/>
              <w:left w:val="single" w:sz="12" w:space="0" w:color="000000"/>
              <w:bottom w:val="single" w:sz="4" w:space="0" w:color="000000"/>
              <w:right w:val="single" w:sz="12" w:space="0" w:color="000000"/>
            </w:tcBorders>
          </w:tcPr>
          <w:p w14:paraId="1A5581E8" w14:textId="1F6BF373" w:rsidR="00BC30D1" w:rsidRDefault="00BC30D1" w:rsidP="00BC30D1">
            <w:pPr>
              <w:spacing w:after="0" w:line="259" w:lineRule="auto"/>
              <w:ind w:left="0" w:right="41" w:firstLine="0"/>
              <w:jc w:val="center"/>
              <w:rPr>
                <w:sz w:val="18"/>
              </w:rPr>
            </w:pPr>
            <w:r>
              <w:rPr>
                <w:sz w:val="18"/>
              </w:rPr>
              <w:t xml:space="preserve">mg/L </w:t>
            </w:r>
          </w:p>
        </w:tc>
        <w:tc>
          <w:tcPr>
            <w:tcW w:w="1452" w:type="dxa"/>
            <w:tcBorders>
              <w:top w:val="single" w:sz="4" w:space="0" w:color="000000"/>
              <w:left w:val="single" w:sz="12" w:space="0" w:color="000000"/>
              <w:bottom w:val="single" w:sz="4" w:space="0" w:color="000000"/>
              <w:right w:val="single" w:sz="12" w:space="0" w:color="000000"/>
            </w:tcBorders>
          </w:tcPr>
          <w:p w14:paraId="5D65597A" w14:textId="0B67435E" w:rsidR="00BC30D1" w:rsidRDefault="00BC30D1" w:rsidP="00BC30D1">
            <w:pPr>
              <w:spacing w:after="0" w:line="259" w:lineRule="auto"/>
              <w:ind w:left="0" w:right="0" w:firstLine="0"/>
              <w:jc w:val="center"/>
              <w:rPr>
                <w:sz w:val="18"/>
              </w:rPr>
            </w:pPr>
            <w:r>
              <w:rPr>
                <w:sz w:val="18"/>
              </w:rPr>
              <w:t>8270</w:t>
            </w:r>
          </w:p>
        </w:tc>
        <w:tc>
          <w:tcPr>
            <w:tcW w:w="1188" w:type="dxa"/>
            <w:tcBorders>
              <w:top w:val="single" w:sz="4" w:space="0" w:color="000000"/>
              <w:left w:val="single" w:sz="12" w:space="0" w:color="000000"/>
              <w:bottom w:val="single" w:sz="4" w:space="0" w:color="000000"/>
              <w:right w:val="single" w:sz="12" w:space="0" w:color="000000"/>
            </w:tcBorders>
          </w:tcPr>
          <w:p w14:paraId="14268001" w14:textId="139036A8" w:rsidR="00BC30D1" w:rsidRDefault="00BC30D1" w:rsidP="00BC30D1">
            <w:pPr>
              <w:spacing w:after="0" w:line="259" w:lineRule="auto"/>
              <w:ind w:left="0" w:right="0" w:firstLine="0"/>
              <w:jc w:val="center"/>
              <w:rPr>
                <w:sz w:val="18"/>
              </w:rPr>
            </w:pPr>
            <w:r>
              <w:rPr>
                <w:sz w:val="18"/>
              </w:rPr>
              <w:t>8260, 8021</w:t>
            </w:r>
          </w:p>
        </w:tc>
      </w:tr>
      <w:tr w:rsidR="00BC30D1" w14:paraId="475BE713" w14:textId="77777777" w:rsidTr="005B6604">
        <w:trPr>
          <w:trHeight w:val="252"/>
        </w:trPr>
        <w:tc>
          <w:tcPr>
            <w:tcW w:w="1420" w:type="dxa"/>
            <w:tcBorders>
              <w:top w:val="single" w:sz="4" w:space="0" w:color="000000"/>
              <w:left w:val="single" w:sz="12" w:space="0" w:color="000000"/>
              <w:bottom w:val="single" w:sz="4" w:space="0" w:color="000000"/>
              <w:right w:val="single" w:sz="12" w:space="0" w:color="000000"/>
            </w:tcBorders>
          </w:tcPr>
          <w:p w14:paraId="2C5D7C91" w14:textId="2BBC97C0" w:rsidR="00BC30D1" w:rsidRDefault="00BC30D1" w:rsidP="00BC30D1">
            <w:pPr>
              <w:spacing w:after="0" w:line="259" w:lineRule="auto"/>
              <w:ind w:left="0" w:right="36" w:firstLine="0"/>
              <w:jc w:val="center"/>
              <w:rPr>
                <w:sz w:val="18"/>
              </w:rPr>
            </w:pPr>
            <w:r>
              <w:rPr>
                <w:sz w:val="18"/>
              </w:rPr>
              <w:t xml:space="preserve">D034 </w:t>
            </w:r>
          </w:p>
        </w:tc>
        <w:tc>
          <w:tcPr>
            <w:tcW w:w="1958" w:type="dxa"/>
            <w:tcBorders>
              <w:top w:val="single" w:sz="4" w:space="0" w:color="000000"/>
              <w:left w:val="single" w:sz="12" w:space="0" w:color="000000"/>
              <w:bottom w:val="single" w:sz="4" w:space="0" w:color="000000"/>
              <w:right w:val="single" w:sz="12" w:space="0" w:color="000000"/>
            </w:tcBorders>
          </w:tcPr>
          <w:p w14:paraId="19809A43" w14:textId="7D165E0A" w:rsidR="00BC30D1" w:rsidRDefault="00BC30D1" w:rsidP="00BC30D1">
            <w:pPr>
              <w:spacing w:after="0" w:line="259" w:lineRule="auto"/>
              <w:ind w:left="0" w:right="0" w:firstLine="0"/>
              <w:rPr>
                <w:sz w:val="18"/>
              </w:rPr>
            </w:pPr>
            <w:r>
              <w:rPr>
                <w:sz w:val="18"/>
              </w:rPr>
              <w:t xml:space="preserve">Hexachloroethane </w:t>
            </w:r>
          </w:p>
        </w:tc>
        <w:tc>
          <w:tcPr>
            <w:tcW w:w="1063" w:type="dxa"/>
            <w:tcBorders>
              <w:top w:val="single" w:sz="4" w:space="0" w:color="000000"/>
              <w:left w:val="single" w:sz="12" w:space="0" w:color="000000"/>
              <w:bottom w:val="single" w:sz="4" w:space="0" w:color="000000"/>
              <w:right w:val="single" w:sz="12" w:space="0" w:color="000000"/>
            </w:tcBorders>
          </w:tcPr>
          <w:p w14:paraId="75AACB6C" w14:textId="5E2295CD" w:rsidR="00BC30D1" w:rsidRDefault="00BC30D1" w:rsidP="00BC30D1">
            <w:pPr>
              <w:spacing w:after="0" w:line="259" w:lineRule="auto"/>
              <w:ind w:left="0" w:right="39" w:firstLine="0"/>
              <w:jc w:val="center"/>
              <w:rPr>
                <w:sz w:val="18"/>
              </w:rPr>
            </w:pPr>
            <w:r>
              <w:rPr>
                <w:sz w:val="18"/>
              </w:rPr>
              <w:t xml:space="preserve">1311 </w:t>
            </w:r>
          </w:p>
        </w:tc>
        <w:tc>
          <w:tcPr>
            <w:tcW w:w="879" w:type="dxa"/>
            <w:tcBorders>
              <w:top w:val="single" w:sz="4" w:space="0" w:color="000000"/>
              <w:left w:val="single" w:sz="12" w:space="0" w:color="000000"/>
              <w:bottom w:val="single" w:sz="4" w:space="0" w:color="000000"/>
              <w:right w:val="single" w:sz="12" w:space="0" w:color="000000"/>
            </w:tcBorders>
          </w:tcPr>
          <w:p w14:paraId="344AF6F1" w14:textId="6FD9B029" w:rsidR="00BC30D1" w:rsidRDefault="00BC30D1" w:rsidP="00BC30D1">
            <w:pPr>
              <w:spacing w:after="0" w:line="259" w:lineRule="auto"/>
              <w:ind w:left="0" w:right="0" w:firstLine="0"/>
              <w:jc w:val="center"/>
              <w:rPr>
                <w:sz w:val="18"/>
              </w:rPr>
            </w:pPr>
            <w:r>
              <w:rPr>
                <w:sz w:val="18"/>
              </w:rPr>
              <w:t>0.3</w:t>
            </w:r>
          </w:p>
        </w:tc>
        <w:tc>
          <w:tcPr>
            <w:tcW w:w="711" w:type="dxa"/>
            <w:tcBorders>
              <w:top w:val="single" w:sz="4" w:space="0" w:color="000000"/>
              <w:left w:val="single" w:sz="12" w:space="0" w:color="000000"/>
              <w:bottom w:val="single" w:sz="4" w:space="0" w:color="000000"/>
              <w:right w:val="single" w:sz="12" w:space="0" w:color="000000"/>
            </w:tcBorders>
          </w:tcPr>
          <w:p w14:paraId="3AF051CB" w14:textId="0D481B2B" w:rsidR="00BC30D1" w:rsidRDefault="00BC30D1" w:rsidP="00BC30D1">
            <w:pPr>
              <w:spacing w:after="0" w:line="259" w:lineRule="auto"/>
              <w:ind w:left="91" w:right="0" w:firstLine="0"/>
              <w:jc w:val="center"/>
              <w:rPr>
                <w:sz w:val="18"/>
              </w:rPr>
            </w:pPr>
            <w:r>
              <w:rPr>
                <w:sz w:val="18"/>
              </w:rPr>
              <w:t xml:space="preserve">mg/L </w:t>
            </w:r>
          </w:p>
        </w:tc>
        <w:tc>
          <w:tcPr>
            <w:tcW w:w="1157" w:type="dxa"/>
            <w:tcBorders>
              <w:top w:val="single" w:sz="4" w:space="0" w:color="000000"/>
              <w:left w:val="single" w:sz="12" w:space="0" w:color="000000"/>
              <w:bottom w:val="single" w:sz="4" w:space="0" w:color="000000"/>
              <w:right w:val="single" w:sz="12" w:space="0" w:color="000000"/>
            </w:tcBorders>
          </w:tcPr>
          <w:p w14:paraId="307EB535" w14:textId="22470748" w:rsidR="00BC30D1" w:rsidRDefault="00BC30D1" w:rsidP="00BC30D1">
            <w:pPr>
              <w:tabs>
                <w:tab w:val="center" w:pos="623"/>
              </w:tabs>
              <w:spacing w:after="0" w:line="259" w:lineRule="auto"/>
              <w:ind w:left="0" w:right="0" w:firstLine="0"/>
              <w:jc w:val="center"/>
              <w:rPr>
                <w:sz w:val="18"/>
              </w:rPr>
            </w:pPr>
            <w:r>
              <w:rPr>
                <w:sz w:val="18"/>
              </w:rPr>
              <w:t>3.0</w:t>
            </w:r>
          </w:p>
        </w:tc>
        <w:tc>
          <w:tcPr>
            <w:tcW w:w="792" w:type="dxa"/>
            <w:tcBorders>
              <w:top w:val="single" w:sz="4" w:space="0" w:color="000000"/>
              <w:left w:val="single" w:sz="12" w:space="0" w:color="000000"/>
              <w:bottom w:val="single" w:sz="4" w:space="0" w:color="000000"/>
              <w:right w:val="single" w:sz="12" w:space="0" w:color="000000"/>
            </w:tcBorders>
          </w:tcPr>
          <w:p w14:paraId="07FA91A4" w14:textId="19EF13A6" w:rsidR="00BC30D1" w:rsidRDefault="00BC30D1" w:rsidP="00BC30D1">
            <w:pPr>
              <w:spacing w:after="0" w:line="259" w:lineRule="auto"/>
              <w:ind w:left="0" w:right="41" w:firstLine="0"/>
              <w:jc w:val="center"/>
              <w:rPr>
                <w:sz w:val="18"/>
              </w:rPr>
            </w:pPr>
            <w:r>
              <w:rPr>
                <w:sz w:val="18"/>
              </w:rPr>
              <w:t xml:space="preserve">mg/L </w:t>
            </w:r>
          </w:p>
        </w:tc>
        <w:tc>
          <w:tcPr>
            <w:tcW w:w="1452" w:type="dxa"/>
            <w:tcBorders>
              <w:top w:val="single" w:sz="4" w:space="0" w:color="000000"/>
              <w:left w:val="single" w:sz="12" w:space="0" w:color="000000"/>
              <w:bottom w:val="single" w:sz="4" w:space="0" w:color="000000"/>
              <w:right w:val="single" w:sz="12" w:space="0" w:color="000000"/>
            </w:tcBorders>
          </w:tcPr>
          <w:p w14:paraId="32B1FCD2" w14:textId="03D18D84" w:rsidR="00BC30D1" w:rsidRDefault="00BC30D1" w:rsidP="00BC30D1">
            <w:pPr>
              <w:spacing w:after="0" w:line="259" w:lineRule="auto"/>
              <w:ind w:left="0" w:right="0" w:firstLine="0"/>
              <w:jc w:val="center"/>
              <w:rPr>
                <w:sz w:val="18"/>
              </w:rPr>
            </w:pPr>
            <w:r>
              <w:rPr>
                <w:sz w:val="18"/>
              </w:rPr>
              <w:t>8270</w:t>
            </w:r>
          </w:p>
        </w:tc>
        <w:tc>
          <w:tcPr>
            <w:tcW w:w="1188" w:type="dxa"/>
            <w:tcBorders>
              <w:top w:val="single" w:sz="4" w:space="0" w:color="000000"/>
              <w:left w:val="single" w:sz="12" w:space="0" w:color="000000"/>
              <w:bottom w:val="single" w:sz="4" w:space="0" w:color="000000"/>
              <w:right w:val="single" w:sz="12" w:space="0" w:color="000000"/>
            </w:tcBorders>
          </w:tcPr>
          <w:p w14:paraId="713CDFA0" w14:textId="192EBC00" w:rsidR="00BC30D1" w:rsidRDefault="00BC30D1" w:rsidP="00BC30D1">
            <w:pPr>
              <w:spacing w:after="0" w:line="259" w:lineRule="auto"/>
              <w:ind w:left="0" w:right="0" w:firstLine="0"/>
              <w:jc w:val="center"/>
              <w:rPr>
                <w:sz w:val="18"/>
              </w:rPr>
            </w:pPr>
            <w:r>
              <w:rPr>
                <w:sz w:val="18"/>
              </w:rPr>
              <w:t>8260, 8121</w:t>
            </w:r>
          </w:p>
        </w:tc>
      </w:tr>
      <w:tr w:rsidR="00BC30D1" w14:paraId="6A2B3844" w14:textId="77777777" w:rsidTr="005B6604">
        <w:trPr>
          <w:trHeight w:val="252"/>
        </w:trPr>
        <w:tc>
          <w:tcPr>
            <w:tcW w:w="1420" w:type="dxa"/>
            <w:tcBorders>
              <w:top w:val="single" w:sz="4" w:space="0" w:color="000000"/>
              <w:left w:val="single" w:sz="12" w:space="0" w:color="000000"/>
              <w:bottom w:val="single" w:sz="4" w:space="0" w:color="000000"/>
              <w:right w:val="single" w:sz="12" w:space="0" w:color="000000"/>
            </w:tcBorders>
          </w:tcPr>
          <w:p w14:paraId="40A1D393" w14:textId="171A7F8B" w:rsidR="00BC30D1" w:rsidRDefault="00BC30D1" w:rsidP="00BC30D1">
            <w:pPr>
              <w:spacing w:after="0" w:line="259" w:lineRule="auto"/>
              <w:ind w:left="0" w:right="36" w:firstLine="0"/>
              <w:jc w:val="center"/>
              <w:rPr>
                <w:sz w:val="18"/>
              </w:rPr>
            </w:pPr>
            <w:r>
              <w:rPr>
                <w:sz w:val="18"/>
              </w:rPr>
              <w:t xml:space="preserve">D035 </w:t>
            </w:r>
          </w:p>
        </w:tc>
        <w:tc>
          <w:tcPr>
            <w:tcW w:w="1958" w:type="dxa"/>
            <w:tcBorders>
              <w:top w:val="single" w:sz="4" w:space="0" w:color="000000"/>
              <w:left w:val="single" w:sz="12" w:space="0" w:color="000000"/>
              <w:bottom w:val="single" w:sz="4" w:space="0" w:color="000000"/>
              <w:right w:val="single" w:sz="12" w:space="0" w:color="000000"/>
            </w:tcBorders>
          </w:tcPr>
          <w:p w14:paraId="1B3E8672" w14:textId="6E9BAE1E" w:rsidR="00BC30D1" w:rsidRDefault="00BC30D1" w:rsidP="00BC30D1">
            <w:pPr>
              <w:spacing w:after="0" w:line="259" w:lineRule="auto"/>
              <w:ind w:left="0" w:right="0" w:firstLine="0"/>
              <w:rPr>
                <w:sz w:val="18"/>
              </w:rPr>
            </w:pPr>
            <w:r>
              <w:rPr>
                <w:sz w:val="18"/>
              </w:rPr>
              <w:t xml:space="preserve">Methyl ethyl ketone </w:t>
            </w:r>
          </w:p>
        </w:tc>
        <w:tc>
          <w:tcPr>
            <w:tcW w:w="1063" w:type="dxa"/>
            <w:tcBorders>
              <w:top w:val="single" w:sz="4" w:space="0" w:color="000000"/>
              <w:left w:val="single" w:sz="12" w:space="0" w:color="000000"/>
              <w:bottom w:val="single" w:sz="4" w:space="0" w:color="000000"/>
              <w:right w:val="single" w:sz="12" w:space="0" w:color="000000"/>
            </w:tcBorders>
          </w:tcPr>
          <w:p w14:paraId="48B8874D" w14:textId="65739EB2" w:rsidR="00BC30D1" w:rsidRDefault="00BC30D1" w:rsidP="00BC30D1">
            <w:pPr>
              <w:spacing w:after="0" w:line="259" w:lineRule="auto"/>
              <w:ind w:left="0" w:right="39" w:firstLine="0"/>
              <w:jc w:val="center"/>
              <w:rPr>
                <w:sz w:val="18"/>
              </w:rPr>
            </w:pPr>
            <w:r>
              <w:rPr>
                <w:sz w:val="18"/>
              </w:rPr>
              <w:t xml:space="preserve">1311 </w:t>
            </w:r>
          </w:p>
        </w:tc>
        <w:tc>
          <w:tcPr>
            <w:tcW w:w="879" w:type="dxa"/>
            <w:tcBorders>
              <w:top w:val="single" w:sz="4" w:space="0" w:color="000000"/>
              <w:left w:val="single" w:sz="12" w:space="0" w:color="000000"/>
              <w:bottom w:val="single" w:sz="4" w:space="0" w:color="000000"/>
              <w:right w:val="single" w:sz="12" w:space="0" w:color="000000"/>
            </w:tcBorders>
          </w:tcPr>
          <w:p w14:paraId="6A2B5E2D" w14:textId="1F9BFECA" w:rsidR="00BC30D1" w:rsidRDefault="00BC30D1" w:rsidP="00BC30D1">
            <w:pPr>
              <w:spacing w:after="0" w:line="259" w:lineRule="auto"/>
              <w:ind w:left="0" w:right="0" w:firstLine="0"/>
              <w:jc w:val="center"/>
              <w:rPr>
                <w:sz w:val="18"/>
              </w:rPr>
            </w:pPr>
            <w:r>
              <w:rPr>
                <w:sz w:val="18"/>
              </w:rPr>
              <w:t>20</w:t>
            </w:r>
          </w:p>
        </w:tc>
        <w:tc>
          <w:tcPr>
            <w:tcW w:w="711" w:type="dxa"/>
            <w:tcBorders>
              <w:top w:val="single" w:sz="4" w:space="0" w:color="000000"/>
              <w:left w:val="single" w:sz="12" w:space="0" w:color="000000"/>
              <w:bottom w:val="single" w:sz="4" w:space="0" w:color="000000"/>
              <w:right w:val="single" w:sz="12" w:space="0" w:color="000000"/>
            </w:tcBorders>
          </w:tcPr>
          <w:p w14:paraId="1CC8CFF2" w14:textId="3E8A42FB" w:rsidR="00BC30D1" w:rsidRDefault="00BC30D1" w:rsidP="00BC30D1">
            <w:pPr>
              <w:spacing w:after="0" w:line="259" w:lineRule="auto"/>
              <w:ind w:left="91" w:right="0" w:firstLine="0"/>
              <w:jc w:val="center"/>
              <w:rPr>
                <w:sz w:val="18"/>
              </w:rPr>
            </w:pPr>
            <w:r>
              <w:rPr>
                <w:sz w:val="18"/>
              </w:rPr>
              <w:t xml:space="preserve">mg/L </w:t>
            </w:r>
          </w:p>
        </w:tc>
        <w:tc>
          <w:tcPr>
            <w:tcW w:w="1157" w:type="dxa"/>
            <w:tcBorders>
              <w:top w:val="single" w:sz="4" w:space="0" w:color="000000"/>
              <w:left w:val="single" w:sz="12" w:space="0" w:color="000000"/>
              <w:bottom w:val="single" w:sz="4" w:space="0" w:color="000000"/>
              <w:right w:val="single" w:sz="12" w:space="0" w:color="000000"/>
            </w:tcBorders>
          </w:tcPr>
          <w:p w14:paraId="5EDE4A75" w14:textId="5938687B" w:rsidR="00BC30D1" w:rsidRDefault="00BC30D1" w:rsidP="00BC30D1">
            <w:pPr>
              <w:tabs>
                <w:tab w:val="center" w:pos="623"/>
              </w:tabs>
              <w:spacing w:after="0" w:line="259" w:lineRule="auto"/>
              <w:ind w:left="0" w:right="0" w:firstLine="0"/>
              <w:jc w:val="center"/>
              <w:rPr>
                <w:sz w:val="18"/>
              </w:rPr>
            </w:pPr>
            <w:r>
              <w:rPr>
                <w:sz w:val="18"/>
              </w:rPr>
              <w:t>200</w:t>
            </w:r>
          </w:p>
        </w:tc>
        <w:tc>
          <w:tcPr>
            <w:tcW w:w="792" w:type="dxa"/>
            <w:tcBorders>
              <w:top w:val="single" w:sz="4" w:space="0" w:color="000000"/>
              <w:left w:val="single" w:sz="12" w:space="0" w:color="000000"/>
              <w:bottom w:val="single" w:sz="4" w:space="0" w:color="000000"/>
              <w:right w:val="single" w:sz="12" w:space="0" w:color="000000"/>
            </w:tcBorders>
          </w:tcPr>
          <w:p w14:paraId="10DB58A7" w14:textId="640D1398" w:rsidR="00BC30D1" w:rsidRDefault="00BC30D1" w:rsidP="00BC30D1">
            <w:pPr>
              <w:spacing w:after="0" w:line="259" w:lineRule="auto"/>
              <w:ind w:left="0" w:right="41" w:firstLine="0"/>
              <w:jc w:val="center"/>
              <w:rPr>
                <w:sz w:val="18"/>
              </w:rPr>
            </w:pPr>
            <w:r>
              <w:rPr>
                <w:sz w:val="18"/>
              </w:rPr>
              <w:t xml:space="preserve">mg/L </w:t>
            </w:r>
          </w:p>
        </w:tc>
        <w:tc>
          <w:tcPr>
            <w:tcW w:w="1452" w:type="dxa"/>
            <w:tcBorders>
              <w:top w:val="single" w:sz="4" w:space="0" w:color="000000"/>
              <w:left w:val="single" w:sz="12" w:space="0" w:color="000000"/>
              <w:bottom w:val="single" w:sz="4" w:space="0" w:color="000000"/>
              <w:right w:val="single" w:sz="12" w:space="0" w:color="000000"/>
            </w:tcBorders>
          </w:tcPr>
          <w:p w14:paraId="49E4B298" w14:textId="64B5910C" w:rsidR="00BC30D1" w:rsidRDefault="00BC30D1" w:rsidP="00BC30D1">
            <w:pPr>
              <w:spacing w:after="0" w:line="259" w:lineRule="auto"/>
              <w:ind w:left="0" w:right="0" w:firstLine="0"/>
              <w:jc w:val="center"/>
              <w:rPr>
                <w:sz w:val="18"/>
              </w:rPr>
            </w:pPr>
            <w:r>
              <w:rPr>
                <w:sz w:val="18"/>
              </w:rPr>
              <w:t>8260</w:t>
            </w:r>
          </w:p>
        </w:tc>
        <w:tc>
          <w:tcPr>
            <w:tcW w:w="1188" w:type="dxa"/>
            <w:tcBorders>
              <w:top w:val="single" w:sz="4" w:space="0" w:color="000000"/>
              <w:left w:val="single" w:sz="12" w:space="0" w:color="000000"/>
              <w:bottom w:val="single" w:sz="4" w:space="0" w:color="000000"/>
              <w:right w:val="single" w:sz="12" w:space="0" w:color="000000"/>
            </w:tcBorders>
          </w:tcPr>
          <w:p w14:paraId="65A44656" w14:textId="248A699B" w:rsidR="00BC30D1" w:rsidRDefault="00BC30D1" w:rsidP="00BC30D1">
            <w:pPr>
              <w:spacing w:after="0" w:line="259" w:lineRule="auto"/>
              <w:ind w:left="0" w:right="0" w:firstLine="0"/>
              <w:jc w:val="center"/>
              <w:rPr>
                <w:sz w:val="18"/>
              </w:rPr>
            </w:pPr>
            <w:r>
              <w:rPr>
                <w:sz w:val="18"/>
              </w:rPr>
              <w:t>8015</w:t>
            </w:r>
          </w:p>
        </w:tc>
      </w:tr>
      <w:tr w:rsidR="00BC30D1" w14:paraId="59E5FC23" w14:textId="77777777" w:rsidTr="005B6604">
        <w:trPr>
          <w:trHeight w:val="252"/>
        </w:trPr>
        <w:tc>
          <w:tcPr>
            <w:tcW w:w="1420" w:type="dxa"/>
            <w:tcBorders>
              <w:top w:val="single" w:sz="4" w:space="0" w:color="000000"/>
              <w:left w:val="single" w:sz="12" w:space="0" w:color="000000"/>
              <w:bottom w:val="single" w:sz="4" w:space="0" w:color="000000"/>
              <w:right w:val="single" w:sz="12" w:space="0" w:color="000000"/>
            </w:tcBorders>
          </w:tcPr>
          <w:p w14:paraId="5B664E67" w14:textId="6706A66D" w:rsidR="00BC30D1" w:rsidRDefault="00BC30D1" w:rsidP="00BC30D1">
            <w:pPr>
              <w:spacing w:after="0" w:line="259" w:lineRule="auto"/>
              <w:ind w:left="0" w:right="36" w:firstLine="0"/>
              <w:jc w:val="center"/>
              <w:rPr>
                <w:sz w:val="18"/>
              </w:rPr>
            </w:pPr>
            <w:r>
              <w:rPr>
                <w:sz w:val="18"/>
              </w:rPr>
              <w:t xml:space="preserve">D036 </w:t>
            </w:r>
          </w:p>
        </w:tc>
        <w:tc>
          <w:tcPr>
            <w:tcW w:w="1958" w:type="dxa"/>
            <w:tcBorders>
              <w:top w:val="single" w:sz="4" w:space="0" w:color="000000"/>
              <w:left w:val="single" w:sz="12" w:space="0" w:color="000000"/>
              <w:bottom w:val="single" w:sz="4" w:space="0" w:color="000000"/>
              <w:right w:val="single" w:sz="12" w:space="0" w:color="000000"/>
            </w:tcBorders>
          </w:tcPr>
          <w:p w14:paraId="7EDAACE4" w14:textId="052B8A07" w:rsidR="00BC30D1" w:rsidRDefault="00BC30D1" w:rsidP="00BC30D1">
            <w:pPr>
              <w:spacing w:after="0" w:line="259" w:lineRule="auto"/>
              <w:ind w:left="0" w:right="0" w:firstLine="0"/>
              <w:rPr>
                <w:sz w:val="18"/>
              </w:rPr>
            </w:pPr>
            <w:r>
              <w:rPr>
                <w:sz w:val="18"/>
              </w:rPr>
              <w:t xml:space="preserve">Nitrobenzene </w:t>
            </w:r>
          </w:p>
        </w:tc>
        <w:tc>
          <w:tcPr>
            <w:tcW w:w="1063" w:type="dxa"/>
            <w:tcBorders>
              <w:top w:val="single" w:sz="4" w:space="0" w:color="000000"/>
              <w:left w:val="single" w:sz="12" w:space="0" w:color="000000"/>
              <w:bottom w:val="single" w:sz="4" w:space="0" w:color="000000"/>
              <w:right w:val="single" w:sz="12" w:space="0" w:color="000000"/>
            </w:tcBorders>
          </w:tcPr>
          <w:p w14:paraId="2627A11D" w14:textId="725AEDA1" w:rsidR="00BC30D1" w:rsidRDefault="00BC30D1" w:rsidP="00BC30D1">
            <w:pPr>
              <w:spacing w:after="0" w:line="259" w:lineRule="auto"/>
              <w:ind w:left="0" w:right="39" w:firstLine="0"/>
              <w:jc w:val="center"/>
              <w:rPr>
                <w:sz w:val="18"/>
              </w:rPr>
            </w:pPr>
            <w:r>
              <w:rPr>
                <w:sz w:val="18"/>
              </w:rPr>
              <w:t xml:space="preserve">1311 </w:t>
            </w:r>
          </w:p>
        </w:tc>
        <w:tc>
          <w:tcPr>
            <w:tcW w:w="879" w:type="dxa"/>
            <w:tcBorders>
              <w:top w:val="single" w:sz="4" w:space="0" w:color="000000"/>
              <w:left w:val="single" w:sz="12" w:space="0" w:color="000000"/>
              <w:bottom w:val="single" w:sz="4" w:space="0" w:color="000000"/>
              <w:right w:val="single" w:sz="12" w:space="0" w:color="000000"/>
            </w:tcBorders>
          </w:tcPr>
          <w:p w14:paraId="595C99CB" w14:textId="255B3772" w:rsidR="00BC30D1" w:rsidRDefault="00BC30D1" w:rsidP="00BC30D1">
            <w:pPr>
              <w:spacing w:after="0" w:line="259" w:lineRule="auto"/>
              <w:ind w:left="0" w:right="0" w:firstLine="0"/>
              <w:jc w:val="center"/>
              <w:rPr>
                <w:sz w:val="18"/>
              </w:rPr>
            </w:pPr>
            <w:r>
              <w:rPr>
                <w:sz w:val="18"/>
              </w:rPr>
              <w:t>0.2</w:t>
            </w:r>
          </w:p>
        </w:tc>
        <w:tc>
          <w:tcPr>
            <w:tcW w:w="711" w:type="dxa"/>
            <w:tcBorders>
              <w:top w:val="single" w:sz="4" w:space="0" w:color="000000"/>
              <w:left w:val="single" w:sz="12" w:space="0" w:color="000000"/>
              <w:bottom w:val="single" w:sz="4" w:space="0" w:color="000000"/>
              <w:right w:val="single" w:sz="12" w:space="0" w:color="000000"/>
            </w:tcBorders>
          </w:tcPr>
          <w:p w14:paraId="5084ECCB" w14:textId="376AD0EE" w:rsidR="00BC30D1" w:rsidRDefault="00BC30D1" w:rsidP="00BC30D1">
            <w:pPr>
              <w:spacing w:after="0" w:line="259" w:lineRule="auto"/>
              <w:ind w:left="91" w:right="0" w:firstLine="0"/>
              <w:jc w:val="center"/>
              <w:rPr>
                <w:sz w:val="18"/>
              </w:rPr>
            </w:pPr>
            <w:r>
              <w:rPr>
                <w:sz w:val="18"/>
              </w:rPr>
              <w:t xml:space="preserve">mg/L </w:t>
            </w:r>
          </w:p>
        </w:tc>
        <w:tc>
          <w:tcPr>
            <w:tcW w:w="1157" w:type="dxa"/>
            <w:tcBorders>
              <w:top w:val="single" w:sz="4" w:space="0" w:color="000000"/>
              <w:left w:val="single" w:sz="12" w:space="0" w:color="000000"/>
              <w:bottom w:val="single" w:sz="4" w:space="0" w:color="000000"/>
              <w:right w:val="single" w:sz="12" w:space="0" w:color="000000"/>
            </w:tcBorders>
          </w:tcPr>
          <w:p w14:paraId="167CFEBE" w14:textId="17DDFD00" w:rsidR="00BC30D1" w:rsidRDefault="00BC30D1" w:rsidP="00BC30D1">
            <w:pPr>
              <w:tabs>
                <w:tab w:val="center" w:pos="623"/>
              </w:tabs>
              <w:spacing w:after="0" w:line="259" w:lineRule="auto"/>
              <w:ind w:left="0" w:right="0" w:firstLine="0"/>
              <w:jc w:val="center"/>
              <w:rPr>
                <w:sz w:val="18"/>
              </w:rPr>
            </w:pPr>
            <w:r>
              <w:rPr>
                <w:sz w:val="18"/>
              </w:rPr>
              <w:t>2</w:t>
            </w:r>
          </w:p>
        </w:tc>
        <w:tc>
          <w:tcPr>
            <w:tcW w:w="792" w:type="dxa"/>
            <w:tcBorders>
              <w:top w:val="single" w:sz="4" w:space="0" w:color="000000"/>
              <w:left w:val="single" w:sz="12" w:space="0" w:color="000000"/>
              <w:bottom w:val="single" w:sz="4" w:space="0" w:color="000000"/>
              <w:right w:val="single" w:sz="12" w:space="0" w:color="000000"/>
            </w:tcBorders>
          </w:tcPr>
          <w:p w14:paraId="54456E14" w14:textId="3A3FA7DE" w:rsidR="00BC30D1" w:rsidRDefault="00BC30D1" w:rsidP="00BC30D1">
            <w:pPr>
              <w:spacing w:after="0" w:line="259" w:lineRule="auto"/>
              <w:ind w:left="0" w:right="41" w:firstLine="0"/>
              <w:jc w:val="center"/>
              <w:rPr>
                <w:sz w:val="18"/>
              </w:rPr>
            </w:pPr>
            <w:r>
              <w:rPr>
                <w:sz w:val="18"/>
              </w:rPr>
              <w:t xml:space="preserve">mg/L </w:t>
            </w:r>
          </w:p>
        </w:tc>
        <w:tc>
          <w:tcPr>
            <w:tcW w:w="1452" w:type="dxa"/>
            <w:tcBorders>
              <w:top w:val="single" w:sz="4" w:space="0" w:color="000000"/>
              <w:left w:val="single" w:sz="12" w:space="0" w:color="000000"/>
              <w:bottom w:val="single" w:sz="4" w:space="0" w:color="000000"/>
              <w:right w:val="single" w:sz="12" w:space="0" w:color="000000"/>
            </w:tcBorders>
          </w:tcPr>
          <w:p w14:paraId="069CD1CE" w14:textId="3717B256" w:rsidR="00BC30D1" w:rsidRDefault="00BC30D1" w:rsidP="00BC30D1">
            <w:pPr>
              <w:spacing w:after="0" w:line="259" w:lineRule="auto"/>
              <w:ind w:left="0" w:right="0" w:firstLine="0"/>
              <w:jc w:val="center"/>
              <w:rPr>
                <w:sz w:val="18"/>
              </w:rPr>
            </w:pPr>
            <w:r>
              <w:rPr>
                <w:sz w:val="18"/>
              </w:rPr>
              <w:t>8270</w:t>
            </w:r>
          </w:p>
        </w:tc>
        <w:tc>
          <w:tcPr>
            <w:tcW w:w="1188" w:type="dxa"/>
            <w:tcBorders>
              <w:top w:val="single" w:sz="4" w:space="0" w:color="000000"/>
              <w:left w:val="single" w:sz="12" w:space="0" w:color="000000"/>
              <w:bottom w:val="single" w:sz="4" w:space="0" w:color="000000"/>
              <w:right w:val="single" w:sz="12" w:space="0" w:color="000000"/>
            </w:tcBorders>
          </w:tcPr>
          <w:p w14:paraId="49298BD3" w14:textId="23215A0C" w:rsidR="00BC30D1" w:rsidRDefault="00BC30D1" w:rsidP="00BC30D1">
            <w:pPr>
              <w:spacing w:after="0" w:line="259" w:lineRule="auto"/>
              <w:ind w:left="0" w:right="0" w:firstLine="0"/>
              <w:jc w:val="center"/>
              <w:rPr>
                <w:sz w:val="18"/>
              </w:rPr>
            </w:pPr>
            <w:r>
              <w:rPr>
                <w:sz w:val="18"/>
              </w:rPr>
              <w:t>8091, 8410</w:t>
            </w:r>
          </w:p>
        </w:tc>
      </w:tr>
      <w:tr w:rsidR="00BC30D1" w14:paraId="5CB6C6F1" w14:textId="77777777" w:rsidTr="005B6604">
        <w:trPr>
          <w:trHeight w:val="252"/>
        </w:trPr>
        <w:tc>
          <w:tcPr>
            <w:tcW w:w="1420" w:type="dxa"/>
            <w:tcBorders>
              <w:top w:val="single" w:sz="4" w:space="0" w:color="000000"/>
              <w:left w:val="single" w:sz="12" w:space="0" w:color="000000"/>
              <w:bottom w:val="single" w:sz="4" w:space="0" w:color="000000"/>
              <w:right w:val="single" w:sz="12" w:space="0" w:color="000000"/>
            </w:tcBorders>
          </w:tcPr>
          <w:p w14:paraId="02ED6291" w14:textId="6AFB01A3" w:rsidR="00BC30D1" w:rsidRDefault="00BC30D1" w:rsidP="00BC30D1">
            <w:pPr>
              <w:spacing w:after="0" w:line="259" w:lineRule="auto"/>
              <w:ind w:left="0" w:right="36" w:firstLine="0"/>
              <w:jc w:val="center"/>
              <w:rPr>
                <w:sz w:val="18"/>
              </w:rPr>
            </w:pPr>
            <w:r>
              <w:rPr>
                <w:sz w:val="18"/>
              </w:rPr>
              <w:t xml:space="preserve">D037 </w:t>
            </w:r>
          </w:p>
        </w:tc>
        <w:tc>
          <w:tcPr>
            <w:tcW w:w="1958" w:type="dxa"/>
            <w:tcBorders>
              <w:top w:val="single" w:sz="4" w:space="0" w:color="000000"/>
              <w:left w:val="single" w:sz="12" w:space="0" w:color="000000"/>
              <w:bottom w:val="single" w:sz="4" w:space="0" w:color="000000"/>
              <w:right w:val="single" w:sz="12" w:space="0" w:color="000000"/>
            </w:tcBorders>
          </w:tcPr>
          <w:p w14:paraId="67EAF6EA" w14:textId="3A7AAE3F" w:rsidR="00BC30D1" w:rsidRDefault="00BC30D1" w:rsidP="00BC30D1">
            <w:pPr>
              <w:spacing w:after="0" w:line="259" w:lineRule="auto"/>
              <w:ind w:left="0" w:right="0" w:firstLine="0"/>
              <w:rPr>
                <w:sz w:val="18"/>
              </w:rPr>
            </w:pPr>
            <w:r>
              <w:rPr>
                <w:sz w:val="18"/>
              </w:rPr>
              <w:t xml:space="preserve">Pentachlorophenol </w:t>
            </w:r>
          </w:p>
        </w:tc>
        <w:tc>
          <w:tcPr>
            <w:tcW w:w="1063" w:type="dxa"/>
            <w:tcBorders>
              <w:top w:val="single" w:sz="4" w:space="0" w:color="000000"/>
              <w:left w:val="single" w:sz="12" w:space="0" w:color="000000"/>
              <w:bottom w:val="single" w:sz="4" w:space="0" w:color="000000"/>
              <w:right w:val="single" w:sz="12" w:space="0" w:color="000000"/>
            </w:tcBorders>
          </w:tcPr>
          <w:p w14:paraId="3C0F6F96" w14:textId="0F7B6D3F" w:rsidR="00BC30D1" w:rsidRDefault="00BC30D1" w:rsidP="00BC30D1">
            <w:pPr>
              <w:spacing w:after="0" w:line="259" w:lineRule="auto"/>
              <w:ind w:left="0" w:right="39" w:firstLine="0"/>
              <w:jc w:val="center"/>
              <w:rPr>
                <w:sz w:val="18"/>
              </w:rPr>
            </w:pPr>
            <w:r>
              <w:rPr>
                <w:sz w:val="18"/>
              </w:rPr>
              <w:t xml:space="preserve">1311 </w:t>
            </w:r>
          </w:p>
        </w:tc>
        <w:tc>
          <w:tcPr>
            <w:tcW w:w="879" w:type="dxa"/>
            <w:tcBorders>
              <w:top w:val="single" w:sz="4" w:space="0" w:color="000000"/>
              <w:left w:val="single" w:sz="12" w:space="0" w:color="000000"/>
              <w:bottom w:val="single" w:sz="4" w:space="0" w:color="000000"/>
              <w:right w:val="single" w:sz="12" w:space="0" w:color="000000"/>
            </w:tcBorders>
          </w:tcPr>
          <w:p w14:paraId="3738B2A5" w14:textId="0D1AD2DF" w:rsidR="00BC30D1" w:rsidRDefault="00BC30D1" w:rsidP="00BC30D1">
            <w:pPr>
              <w:spacing w:after="0" w:line="259" w:lineRule="auto"/>
              <w:ind w:left="0" w:right="0" w:firstLine="0"/>
              <w:jc w:val="center"/>
              <w:rPr>
                <w:sz w:val="18"/>
              </w:rPr>
            </w:pPr>
            <w:r>
              <w:rPr>
                <w:sz w:val="18"/>
              </w:rPr>
              <w:t>10</w:t>
            </w:r>
          </w:p>
        </w:tc>
        <w:tc>
          <w:tcPr>
            <w:tcW w:w="711" w:type="dxa"/>
            <w:tcBorders>
              <w:top w:val="single" w:sz="4" w:space="0" w:color="000000"/>
              <w:left w:val="single" w:sz="12" w:space="0" w:color="000000"/>
              <w:bottom w:val="single" w:sz="4" w:space="0" w:color="000000"/>
              <w:right w:val="single" w:sz="12" w:space="0" w:color="000000"/>
            </w:tcBorders>
          </w:tcPr>
          <w:p w14:paraId="152A4607" w14:textId="59186557" w:rsidR="00BC30D1" w:rsidRDefault="00BC30D1" w:rsidP="00BC30D1">
            <w:pPr>
              <w:spacing w:after="0" w:line="259" w:lineRule="auto"/>
              <w:ind w:left="91" w:right="0" w:firstLine="0"/>
              <w:jc w:val="center"/>
              <w:rPr>
                <w:sz w:val="18"/>
              </w:rPr>
            </w:pPr>
            <w:r>
              <w:rPr>
                <w:sz w:val="18"/>
              </w:rPr>
              <w:t xml:space="preserve">mg/L </w:t>
            </w:r>
          </w:p>
        </w:tc>
        <w:tc>
          <w:tcPr>
            <w:tcW w:w="1157" w:type="dxa"/>
            <w:tcBorders>
              <w:top w:val="single" w:sz="4" w:space="0" w:color="000000"/>
              <w:left w:val="single" w:sz="12" w:space="0" w:color="000000"/>
              <w:bottom w:val="single" w:sz="4" w:space="0" w:color="000000"/>
              <w:right w:val="single" w:sz="12" w:space="0" w:color="000000"/>
            </w:tcBorders>
          </w:tcPr>
          <w:p w14:paraId="11CD251B" w14:textId="17F49A84" w:rsidR="00BC30D1" w:rsidRDefault="00BC30D1" w:rsidP="00BC30D1">
            <w:pPr>
              <w:tabs>
                <w:tab w:val="center" w:pos="623"/>
              </w:tabs>
              <w:spacing w:after="0" w:line="259" w:lineRule="auto"/>
              <w:ind w:left="0" w:right="0" w:firstLine="0"/>
              <w:jc w:val="center"/>
              <w:rPr>
                <w:sz w:val="18"/>
              </w:rPr>
            </w:pPr>
            <w:r>
              <w:rPr>
                <w:sz w:val="18"/>
              </w:rPr>
              <w:t>100</w:t>
            </w:r>
          </w:p>
        </w:tc>
        <w:tc>
          <w:tcPr>
            <w:tcW w:w="792" w:type="dxa"/>
            <w:tcBorders>
              <w:top w:val="single" w:sz="4" w:space="0" w:color="000000"/>
              <w:left w:val="single" w:sz="12" w:space="0" w:color="000000"/>
              <w:bottom w:val="single" w:sz="4" w:space="0" w:color="000000"/>
              <w:right w:val="single" w:sz="12" w:space="0" w:color="000000"/>
            </w:tcBorders>
          </w:tcPr>
          <w:p w14:paraId="061536E2" w14:textId="1DD8809D" w:rsidR="00BC30D1" w:rsidRDefault="00BC30D1" w:rsidP="00BC30D1">
            <w:pPr>
              <w:spacing w:after="0" w:line="259" w:lineRule="auto"/>
              <w:ind w:left="0" w:right="41" w:firstLine="0"/>
              <w:jc w:val="center"/>
              <w:rPr>
                <w:sz w:val="18"/>
              </w:rPr>
            </w:pPr>
            <w:r>
              <w:rPr>
                <w:sz w:val="18"/>
              </w:rPr>
              <w:t xml:space="preserve">mg/L </w:t>
            </w:r>
          </w:p>
        </w:tc>
        <w:tc>
          <w:tcPr>
            <w:tcW w:w="1452" w:type="dxa"/>
            <w:tcBorders>
              <w:top w:val="single" w:sz="4" w:space="0" w:color="000000"/>
              <w:left w:val="single" w:sz="12" w:space="0" w:color="000000"/>
              <w:bottom w:val="single" w:sz="4" w:space="0" w:color="000000"/>
              <w:right w:val="single" w:sz="12" w:space="0" w:color="000000"/>
            </w:tcBorders>
          </w:tcPr>
          <w:p w14:paraId="76E726CF" w14:textId="15CAC587" w:rsidR="00BC30D1" w:rsidRDefault="00BC30D1" w:rsidP="00BC30D1">
            <w:pPr>
              <w:spacing w:after="0" w:line="259" w:lineRule="auto"/>
              <w:ind w:left="0" w:right="0" w:firstLine="0"/>
              <w:jc w:val="center"/>
              <w:rPr>
                <w:sz w:val="18"/>
              </w:rPr>
            </w:pPr>
            <w:r>
              <w:rPr>
                <w:sz w:val="18"/>
              </w:rPr>
              <w:t>8270</w:t>
            </w:r>
          </w:p>
        </w:tc>
        <w:tc>
          <w:tcPr>
            <w:tcW w:w="1188" w:type="dxa"/>
            <w:tcBorders>
              <w:top w:val="single" w:sz="4" w:space="0" w:color="000000"/>
              <w:left w:val="single" w:sz="12" w:space="0" w:color="000000"/>
              <w:bottom w:val="single" w:sz="4" w:space="0" w:color="000000"/>
              <w:right w:val="single" w:sz="12" w:space="0" w:color="000000"/>
            </w:tcBorders>
          </w:tcPr>
          <w:p w14:paraId="1CC8C192" w14:textId="1F089241" w:rsidR="00BC30D1" w:rsidRDefault="00BC30D1" w:rsidP="00BC30D1">
            <w:pPr>
              <w:spacing w:after="0" w:line="259" w:lineRule="auto"/>
              <w:ind w:left="0" w:right="0" w:firstLine="0"/>
              <w:jc w:val="center"/>
              <w:rPr>
                <w:sz w:val="18"/>
              </w:rPr>
            </w:pPr>
            <w:r>
              <w:rPr>
                <w:sz w:val="18"/>
              </w:rPr>
              <w:t>8041, 8151</w:t>
            </w:r>
          </w:p>
        </w:tc>
      </w:tr>
      <w:tr w:rsidR="00BC30D1" w14:paraId="569BA4E2" w14:textId="77777777" w:rsidTr="005B6604">
        <w:trPr>
          <w:trHeight w:val="252"/>
        </w:trPr>
        <w:tc>
          <w:tcPr>
            <w:tcW w:w="1420" w:type="dxa"/>
            <w:tcBorders>
              <w:top w:val="single" w:sz="4" w:space="0" w:color="000000"/>
              <w:left w:val="single" w:sz="12" w:space="0" w:color="000000"/>
              <w:bottom w:val="single" w:sz="4" w:space="0" w:color="000000"/>
              <w:right w:val="single" w:sz="12" w:space="0" w:color="000000"/>
            </w:tcBorders>
          </w:tcPr>
          <w:p w14:paraId="3D941320" w14:textId="2C115156" w:rsidR="00BC30D1" w:rsidRDefault="00BC30D1" w:rsidP="00BC30D1">
            <w:pPr>
              <w:spacing w:after="0" w:line="259" w:lineRule="auto"/>
              <w:ind w:left="0" w:right="36" w:firstLine="0"/>
              <w:jc w:val="center"/>
              <w:rPr>
                <w:sz w:val="18"/>
              </w:rPr>
            </w:pPr>
            <w:r>
              <w:rPr>
                <w:sz w:val="18"/>
              </w:rPr>
              <w:t xml:space="preserve">D038 </w:t>
            </w:r>
          </w:p>
        </w:tc>
        <w:tc>
          <w:tcPr>
            <w:tcW w:w="1958" w:type="dxa"/>
            <w:tcBorders>
              <w:top w:val="single" w:sz="4" w:space="0" w:color="000000"/>
              <w:left w:val="single" w:sz="12" w:space="0" w:color="000000"/>
              <w:bottom w:val="single" w:sz="4" w:space="0" w:color="000000"/>
              <w:right w:val="single" w:sz="12" w:space="0" w:color="000000"/>
            </w:tcBorders>
          </w:tcPr>
          <w:p w14:paraId="74AE9142" w14:textId="2F6A24EA" w:rsidR="00BC30D1" w:rsidRDefault="00BC30D1" w:rsidP="00BC30D1">
            <w:pPr>
              <w:spacing w:after="0" w:line="259" w:lineRule="auto"/>
              <w:ind w:left="0" w:right="0" w:firstLine="0"/>
              <w:rPr>
                <w:sz w:val="18"/>
              </w:rPr>
            </w:pPr>
            <w:r>
              <w:rPr>
                <w:sz w:val="18"/>
              </w:rPr>
              <w:t xml:space="preserve">Pyridine </w:t>
            </w:r>
          </w:p>
        </w:tc>
        <w:tc>
          <w:tcPr>
            <w:tcW w:w="1063" w:type="dxa"/>
            <w:tcBorders>
              <w:top w:val="single" w:sz="4" w:space="0" w:color="000000"/>
              <w:left w:val="single" w:sz="12" w:space="0" w:color="000000"/>
              <w:bottom w:val="single" w:sz="4" w:space="0" w:color="000000"/>
              <w:right w:val="single" w:sz="12" w:space="0" w:color="000000"/>
            </w:tcBorders>
          </w:tcPr>
          <w:p w14:paraId="68077AA0" w14:textId="1616E23A" w:rsidR="00BC30D1" w:rsidRDefault="00BC30D1" w:rsidP="00BC30D1">
            <w:pPr>
              <w:spacing w:after="0" w:line="259" w:lineRule="auto"/>
              <w:ind w:left="0" w:right="39" w:firstLine="0"/>
              <w:jc w:val="center"/>
              <w:rPr>
                <w:sz w:val="18"/>
              </w:rPr>
            </w:pPr>
            <w:r>
              <w:rPr>
                <w:sz w:val="18"/>
              </w:rPr>
              <w:t xml:space="preserve">1311 </w:t>
            </w:r>
          </w:p>
        </w:tc>
        <w:tc>
          <w:tcPr>
            <w:tcW w:w="879" w:type="dxa"/>
            <w:tcBorders>
              <w:top w:val="single" w:sz="4" w:space="0" w:color="000000"/>
              <w:left w:val="single" w:sz="12" w:space="0" w:color="000000"/>
              <w:bottom w:val="single" w:sz="4" w:space="0" w:color="000000"/>
              <w:right w:val="single" w:sz="12" w:space="0" w:color="000000"/>
            </w:tcBorders>
          </w:tcPr>
          <w:p w14:paraId="01F82A77" w14:textId="06F18DE9" w:rsidR="00BC30D1" w:rsidRDefault="00BC30D1" w:rsidP="00BC30D1">
            <w:pPr>
              <w:spacing w:after="0" w:line="259" w:lineRule="auto"/>
              <w:ind w:left="0" w:right="0" w:firstLine="0"/>
              <w:jc w:val="center"/>
              <w:rPr>
                <w:sz w:val="18"/>
              </w:rPr>
            </w:pPr>
            <w:r>
              <w:rPr>
                <w:sz w:val="18"/>
              </w:rPr>
              <w:t>0.5</w:t>
            </w:r>
          </w:p>
        </w:tc>
        <w:tc>
          <w:tcPr>
            <w:tcW w:w="711" w:type="dxa"/>
            <w:tcBorders>
              <w:top w:val="single" w:sz="4" w:space="0" w:color="000000"/>
              <w:left w:val="single" w:sz="12" w:space="0" w:color="000000"/>
              <w:bottom w:val="single" w:sz="4" w:space="0" w:color="000000"/>
              <w:right w:val="single" w:sz="12" w:space="0" w:color="000000"/>
            </w:tcBorders>
          </w:tcPr>
          <w:p w14:paraId="2881BEA5" w14:textId="7BDDD804" w:rsidR="00BC30D1" w:rsidRDefault="00BC30D1" w:rsidP="00BC30D1">
            <w:pPr>
              <w:spacing w:after="0" w:line="259" w:lineRule="auto"/>
              <w:ind w:left="91" w:right="0" w:firstLine="0"/>
              <w:jc w:val="center"/>
              <w:rPr>
                <w:sz w:val="18"/>
              </w:rPr>
            </w:pPr>
            <w:r>
              <w:rPr>
                <w:sz w:val="18"/>
              </w:rPr>
              <w:t xml:space="preserve">mg/L </w:t>
            </w:r>
          </w:p>
        </w:tc>
        <w:tc>
          <w:tcPr>
            <w:tcW w:w="1157" w:type="dxa"/>
            <w:tcBorders>
              <w:top w:val="single" w:sz="4" w:space="0" w:color="000000"/>
              <w:left w:val="single" w:sz="12" w:space="0" w:color="000000"/>
              <w:bottom w:val="single" w:sz="4" w:space="0" w:color="000000"/>
              <w:right w:val="single" w:sz="12" w:space="0" w:color="000000"/>
            </w:tcBorders>
          </w:tcPr>
          <w:p w14:paraId="147B8841" w14:textId="08B51063" w:rsidR="00BC30D1" w:rsidRDefault="00BC30D1" w:rsidP="00BC30D1">
            <w:pPr>
              <w:tabs>
                <w:tab w:val="center" w:pos="623"/>
              </w:tabs>
              <w:spacing w:after="0" w:line="259" w:lineRule="auto"/>
              <w:ind w:left="0" w:right="0" w:firstLine="0"/>
              <w:jc w:val="center"/>
              <w:rPr>
                <w:sz w:val="18"/>
              </w:rPr>
            </w:pPr>
            <w:r>
              <w:rPr>
                <w:sz w:val="18"/>
              </w:rPr>
              <w:t>5</w:t>
            </w:r>
          </w:p>
        </w:tc>
        <w:tc>
          <w:tcPr>
            <w:tcW w:w="792" w:type="dxa"/>
            <w:tcBorders>
              <w:top w:val="single" w:sz="4" w:space="0" w:color="000000"/>
              <w:left w:val="single" w:sz="12" w:space="0" w:color="000000"/>
              <w:bottom w:val="single" w:sz="4" w:space="0" w:color="000000"/>
              <w:right w:val="single" w:sz="12" w:space="0" w:color="000000"/>
            </w:tcBorders>
          </w:tcPr>
          <w:p w14:paraId="6226D497" w14:textId="25424E0E" w:rsidR="00BC30D1" w:rsidRDefault="00BC30D1" w:rsidP="00BC30D1">
            <w:pPr>
              <w:spacing w:after="0" w:line="259" w:lineRule="auto"/>
              <w:ind w:left="0" w:right="41" w:firstLine="0"/>
              <w:jc w:val="center"/>
              <w:rPr>
                <w:sz w:val="18"/>
              </w:rPr>
            </w:pPr>
            <w:r>
              <w:rPr>
                <w:sz w:val="18"/>
              </w:rPr>
              <w:t xml:space="preserve">mg/L </w:t>
            </w:r>
          </w:p>
        </w:tc>
        <w:tc>
          <w:tcPr>
            <w:tcW w:w="1452" w:type="dxa"/>
            <w:tcBorders>
              <w:top w:val="single" w:sz="4" w:space="0" w:color="000000"/>
              <w:left w:val="single" w:sz="12" w:space="0" w:color="000000"/>
              <w:bottom w:val="single" w:sz="4" w:space="0" w:color="000000"/>
              <w:right w:val="single" w:sz="12" w:space="0" w:color="000000"/>
            </w:tcBorders>
          </w:tcPr>
          <w:p w14:paraId="06B6A0CA" w14:textId="7BB92960" w:rsidR="00BC30D1" w:rsidRDefault="00BC30D1" w:rsidP="00BC30D1">
            <w:pPr>
              <w:spacing w:after="0" w:line="259" w:lineRule="auto"/>
              <w:ind w:left="0" w:right="0" w:firstLine="0"/>
              <w:jc w:val="center"/>
              <w:rPr>
                <w:sz w:val="18"/>
              </w:rPr>
            </w:pPr>
            <w:r>
              <w:rPr>
                <w:sz w:val="18"/>
              </w:rPr>
              <w:t>8270</w:t>
            </w:r>
          </w:p>
        </w:tc>
        <w:tc>
          <w:tcPr>
            <w:tcW w:w="1188" w:type="dxa"/>
            <w:tcBorders>
              <w:top w:val="single" w:sz="4" w:space="0" w:color="000000"/>
              <w:left w:val="single" w:sz="12" w:space="0" w:color="000000"/>
              <w:bottom w:val="single" w:sz="4" w:space="0" w:color="000000"/>
              <w:right w:val="single" w:sz="12" w:space="0" w:color="000000"/>
            </w:tcBorders>
          </w:tcPr>
          <w:p w14:paraId="2743297F" w14:textId="09755438" w:rsidR="00BC30D1" w:rsidRDefault="00BC30D1" w:rsidP="00BC30D1">
            <w:pPr>
              <w:spacing w:after="0" w:line="259" w:lineRule="auto"/>
              <w:ind w:left="0" w:right="0" w:firstLine="0"/>
              <w:jc w:val="center"/>
              <w:rPr>
                <w:sz w:val="18"/>
              </w:rPr>
            </w:pPr>
            <w:r>
              <w:rPr>
                <w:sz w:val="18"/>
              </w:rPr>
              <w:t>8260, 8015</w:t>
            </w:r>
          </w:p>
        </w:tc>
      </w:tr>
      <w:tr w:rsidR="00BC30D1" w14:paraId="2DF3D290" w14:textId="77777777" w:rsidTr="005B6604">
        <w:trPr>
          <w:trHeight w:val="252"/>
        </w:trPr>
        <w:tc>
          <w:tcPr>
            <w:tcW w:w="1420" w:type="dxa"/>
            <w:tcBorders>
              <w:top w:val="single" w:sz="4" w:space="0" w:color="000000"/>
              <w:left w:val="single" w:sz="12" w:space="0" w:color="000000"/>
              <w:bottom w:val="single" w:sz="4" w:space="0" w:color="000000"/>
              <w:right w:val="single" w:sz="12" w:space="0" w:color="000000"/>
            </w:tcBorders>
          </w:tcPr>
          <w:p w14:paraId="6AD21092" w14:textId="7DE1B05B" w:rsidR="00BC30D1" w:rsidRDefault="00BC30D1" w:rsidP="00BC30D1">
            <w:pPr>
              <w:spacing w:after="0" w:line="259" w:lineRule="auto"/>
              <w:ind w:left="0" w:right="36" w:firstLine="0"/>
              <w:jc w:val="center"/>
              <w:rPr>
                <w:sz w:val="18"/>
              </w:rPr>
            </w:pPr>
            <w:r>
              <w:rPr>
                <w:sz w:val="18"/>
              </w:rPr>
              <w:t xml:space="preserve">D039 </w:t>
            </w:r>
          </w:p>
        </w:tc>
        <w:tc>
          <w:tcPr>
            <w:tcW w:w="1958" w:type="dxa"/>
            <w:tcBorders>
              <w:top w:val="single" w:sz="4" w:space="0" w:color="000000"/>
              <w:left w:val="single" w:sz="12" w:space="0" w:color="000000"/>
              <w:bottom w:val="single" w:sz="4" w:space="0" w:color="000000"/>
              <w:right w:val="single" w:sz="12" w:space="0" w:color="000000"/>
            </w:tcBorders>
          </w:tcPr>
          <w:p w14:paraId="17D2A555" w14:textId="56378F4A" w:rsidR="00BC30D1" w:rsidRDefault="00BC30D1" w:rsidP="00BC30D1">
            <w:pPr>
              <w:spacing w:after="0" w:line="259" w:lineRule="auto"/>
              <w:ind w:left="0" w:right="0" w:firstLine="0"/>
              <w:rPr>
                <w:sz w:val="18"/>
              </w:rPr>
            </w:pPr>
            <w:r>
              <w:rPr>
                <w:sz w:val="18"/>
              </w:rPr>
              <w:t xml:space="preserve">Tetrachloroethylene </w:t>
            </w:r>
          </w:p>
        </w:tc>
        <w:tc>
          <w:tcPr>
            <w:tcW w:w="1063" w:type="dxa"/>
            <w:tcBorders>
              <w:top w:val="single" w:sz="4" w:space="0" w:color="000000"/>
              <w:left w:val="single" w:sz="12" w:space="0" w:color="000000"/>
              <w:bottom w:val="single" w:sz="4" w:space="0" w:color="000000"/>
              <w:right w:val="single" w:sz="12" w:space="0" w:color="000000"/>
            </w:tcBorders>
          </w:tcPr>
          <w:p w14:paraId="071D5DC3" w14:textId="2C80EA04" w:rsidR="00BC30D1" w:rsidRDefault="00BC30D1" w:rsidP="00BC30D1">
            <w:pPr>
              <w:spacing w:after="0" w:line="259" w:lineRule="auto"/>
              <w:ind w:left="0" w:right="39" w:firstLine="0"/>
              <w:jc w:val="center"/>
              <w:rPr>
                <w:sz w:val="18"/>
              </w:rPr>
            </w:pPr>
            <w:r>
              <w:rPr>
                <w:sz w:val="18"/>
              </w:rPr>
              <w:t xml:space="preserve">1311 </w:t>
            </w:r>
          </w:p>
        </w:tc>
        <w:tc>
          <w:tcPr>
            <w:tcW w:w="879" w:type="dxa"/>
            <w:tcBorders>
              <w:top w:val="single" w:sz="4" w:space="0" w:color="000000"/>
              <w:left w:val="single" w:sz="12" w:space="0" w:color="000000"/>
              <w:bottom w:val="single" w:sz="4" w:space="0" w:color="000000"/>
              <w:right w:val="single" w:sz="12" w:space="0" w:color="000000"/>
            </w:tcBorders>
          </w:tcPr>
          <w:p w14:paraId="0CA2B7F1" w14:textId="689E7703" w:rsidR="00BC30D1" w:rsidRDefault="00BC30D1" w:rsidP="00BC30D1">
            <w:pPr>
              <w:spacing w:after="0" w:line="259" w:lineRule="auto"/>
              <w:ind w:left="0" w:right="0" w:firstLine="0"/>
              <w:jc w:val="center"/>
              <w:rPr>
                <w:sz w:val="18"/>
              </w:rPr>
            </w:pPr>
            <w:r>
              <w:rPr>
                <w:sz w:val="18"/>
              </w:rPr>
              <w:t>0.07</w:t>
            </w:r>
          </w:p>
        </w:tc>
        <w:tc>
          <w:tcPr>
            <w:tcW w:w="711" w:type="dxa"/>
            <w:tcBorders>
              <w:top w:val="single" w:sz="4" w:space="0" w:color="000000"/>
              <w:left w:val="single" w:sz="12" w:space="0" w:color="000000"/>
              <w:bottom w:val="single" w:sz="4" w:space="0" w:color="000000"/>
              <w:right w:val="single" w:sz="12" w:space="0" w:color="000000"/>
            </w:tcBorders>
          </w:tcPr>
          <w:p w14:paraId="59775192" w14:textId="2248ACF2" w:rsidR="00BC30D1" w:rsidRDefault="00BC30D1" w:rsidP="00BC30D1">
            <w:pPr>
              <w:spacing w:after="0" w:line="259" w:lineRule="auto"/>
              <w:ind w:left="91" w:right="0" w:firstLine="0"/>
              <w:jc w:val="center"/>
              <w:rPr>
                <w:sz w:val="18"/>
              </w:rPr>
            </w:pPr>
            <w:r>
              <w:rPr>
                <w:sz w:val="18"/>
              </w:rPr>
              <w:t xml:space="preserve">mg/L </w:t>
            </w:r>
          </w:p>
        </w:tc>
        <w:tc>
          <w:tcPr>
            <w:tcW w:w="1157" w:type="dxa"/>
            <w:tcBorders>
              <w:top w:val="single" w:sz="4" w:space="0" w:color="000000"/>
              <w:left w:val="single" w:sz="12" w:space="0" w:color="000000"/>
              <w:bottom w:val="single" w:sz="4" w:space="0" w:color="000000"/>
              <w:right w:val="single" w:sz="12" w:space="0" w:color="000000"/>
            </w:tcBorders>
          </w:tcPr>
          <w:p w14:paraId="518130A5" w14:textId="591F873F" w:rsidR="00BC30D1" w:rsidRDefault="00BC30D1" w:rsidP="00BC30D1">
            <w:pPr>
              <w:tabs>
                <w:tab w:val="center" w:pos="623"/>
              </w:tabs>
              <w:spacing w:after="0" w:line="259" w:lineRule="auto"/>
              <w:ind w:left="0" w:right="0" w:firstLine="0"/>
              <w:jc w:val="center"/>
              <w:rPr>
                <w:sz w:val="18"/>
              </w:rPr>
            </w:pPr>
            <w:r>
              <w:rPr>
                <w:sz w:val="18"/>
              </w:rPr>
              <w:t>0.7</w:t>
            </w:r>
          </w:p>
        </w:tc>
        <w:tc>
          <w:tcPr>
            <w:tcW w:w="792" w:type="dxa"/>
            <w:tcBorders>
              <w:top w:val="single" w:sz="4" w:space="0" w:color="000000"/>
              <w:left w:val="single" w:sz="12" w:space="0" w:color="000000"/>
              <w:bottom w:val="single" w:sz="4" w:space="0" w:color="000000"/>
              <w:right w:val="single" w:sz="12" w:space="0" w:color="000000"/>
            </w:tcBorders>
          </w:tcPr>
          <w:p w14:paraId="64340547" w14:textId="299452BB" w:rsidR="00BC30D1" w:rsidRDefault="00BC30D1" w:rsidP="00BC30D1">
            <w:pPr>
              <w:spacing w:after="0" w:line="259" w:lineRule="auto"/>
              <w:ind w:left="0" w:right="41" w:firstLine="0"/>
              <w:jc w:val="center"/>
              <w:rPr>
                <w:sz w:val="18"/>
              </w:rPr>
            </w:pPr>
            <w:r>
              <w:rPr>
                <w:sz w:val="18"/>
              </w:rPr>
              <w:t xml:space="preserve">mg/L </w:t>
            </w:r>
          </w:p>
        </w:tc>
        <w:tc>
          <w:tcPr>
            <w:tcW w:w="1452" w:type="dxa"/>
            <w:tcBorders>
              <w:top w:val="single" w:sz="4" w:space="0" w:color="000000"/>
              <w:left w:val="single" w:sz="12" w:space="0" w:color="000000"/>
              <w:bottom w:val="single" w:sz="4" w:space="0" w:color="000000"/>
              <w:right w:val="single" w:sz="12" w:space="0" w:color="000000"/>
            </w:tcBorders>
          </w:tcPr>
          <w:p w14:paraId="3ABB5EBE" w14:textId="3A36976A" w:rsidR="00BC30D1" w:rsidRDefault="00BC30D1" w:rsidP="00BC30D1">
            <w:pPr>
              <w:spacing w:after="0" w:line="259" w:lineRule="auto"/>
              <w:ind w:left="0" w:right="0" w:firstLine="0"/>
              <w:jc w:val="center"/>
              <w:rPr>
                <w:sz w:val="18"/>
              </w:rPr>
            </w:pPr>
            <w:r>
              <w:rPr>
                <w:sz w:val="18"/>
              </w:rPr>
              <w:t>8260</w:t>
            </w:r>
          </w:p>
        </w:tc>
        <w:tc>
          <w:tcPr>
            <w:tcW w:w="1188" w:type="dxa"/>
            <w:tcBorders>
              <w:top w:val="single" w:sz="4" w:space="0" w:color="000000"/>
              <w:left w:val="single" w:sz="12" w:space="0" w:color="000000"/>
              <w:bottom w:val="single" w:sz="4" w:space="0" w:color="000000"/>
              <w:right w:val="single" w:sz="12" w:space="0" w:color="000000"/>
            </w:tcBorders>
          </w:tcPr>
          <w:p w14:paraId="412E72B8" w14:textId="5B5BA249" w:rsidR="00BC30D1" w:rsidRDefault="00BC30D1" w:rsidP="00BC30D1">
            <w:pPr>
              <w:spacing w:after="0" w:line="259" w:lineRule="auto"/>
              <w:ind w:left="0" w:right="0" w:firstLine="0"/>
              <w:jc w:val="center"/>
              <w:rPr>
                <w:sz w:val="18"/>
              </w:rPr>
            </w:pPr>
            <w:r>
              <w:rPr>
                <w:sz w:val="18"/>
              </w:rPr>
              <w:t>8021</w:t>
            </w:r>
          </w:p>
        </w:tc>
      </w:tr>
      <w:tr w:rsidR="00BC30D1" w14:paraId="3187E602" w14:textId="77777777" w:rsidTr="005B6604">
        <w:trPr>
          <w:trHeight w:val="252"/>
        </w:trPr>
        <w:tc>
          <w:tcPr>
            <w:tcW w:w="1420" w:type="dxa"/>
            <w:tcBorders>
              <w:top w:val="single" w:sz="4" w:space="0" w:color="000000"/>
              <w:left w:val="single" w:sz="12" w:space="0" w:color="000000"/>
              <w:bottom w:val="single" w:sz="4" w:space="0" w:color="000000"/>
              <w:right w:val="single" w:sz="12" w:space="0" w:color="000000"/>
            </w:tcBorders>
          </w:tcPr>
          <w:p w14:paraId="6564DF37" w14:textId="458FA834" w:rsidR="00BC30D1" w:rsidRDefault="00BC30D1" w:rsidP="00BC30D1">
            <w:pPr>
              <w:spacing w:after="0" w:line="259" w:lineRule="auto"/>
              <w:ind w:left="0" w:right="36" w:firstLine="0"/>
              <w:jc w:val="center"/>
              <w:rPr>
                <w:sz w:val="18"/>
              </w:rPr>
            </w:pPr>
            <w:r>
              <w:rPr>
                <w:sz w:val="18"/>
              </w:rPr>
              <w:t xml:space="preserve">D040 </w:t>
            </w:r>
          </w:p>
        </w:tc>
        <w:tc>
          <w:tcPr>
            <w:tcW w:w="1958" w:type="dxa"/>
            <w:tcBorders>
              <w:top w:val="single" w:sz="4" w:space="0" w:color="000000"/>
              <w:left w:val="single" w:sz="12" w:space="0" w:color="000000"/>
              <w:bottom w:val="single" w:sz="4" w:space="0" w:color="000000"/>
              <w:right w:val="single" w:sz="12" w:space="0" w:color="000000"/>
            </w:tcBorders>
          </w:tcPr>
          <w:p w14:paraId="69D43EA2" w14:textId="3334A5B0" w:rsidR="00BC30D1" w:rsidRDefault="00BC30D1" w:rsidP="00BC30D1">
            <w:pPr>
              <w:spacing w:after="0" w:line="259" w:lineRule="auto"/>
              <w:ind w:left="0" w:right="0" w:firstLine="0"/>
              <w:rPr>
                <w:sz w:val="18"/>
              </w:rPr>
            </w:pPr>
            <w:r>
              <w:rPr>
                <w:sz w:val="18"/>
              </w:rPr>
              <w:t xml:space="preserve">Trichloroethylene </w:t>
            </w:r>
          </w:p>
        </w:tc>
        <w:tc>
          <w:tcPr>
            <w:tcW w:w="1063" w:type="dxa"/>
            <w:tcBorders>
              <w:top w:val="single" w:sz="4" w:space="0" w:color="000000"/>
              <w:left w:val="single" w:sz="12" w:space="0" w:color="000000"/>
              <w:bottom w:val="single" w:sz="4" w:space="0" w:color="000000"/>
              <w:right w:val="single" w:sz="12" w:space="0" w:color="000000"/>
            </w:tcBorders>
          </w:tcPr>
          <w:p w14:paraId="0E73BE26" w14:textId="05C51FC4" w:rsidR="00BC30D1" w:rsidRDefault="00BC30D1" w:rsidP="00BC30D1">
            <w:pPr>
              <w:spacing w:after="0" w:line="259" w:lineRule="auto"/>
              <w:ind w:left="0" w:right="39" w:firstLine="0"/>
              <w:jc w:val="center"/>
              <w:rPr>
                <w:sz w:val="18"/>
              </w:rPr>
            </w:pPr>
            <w:r>
              <w:rPr>
                <w:sz w:val="18"/>
              </w:rPr>
              <w:t xml:space="preserve">1311 </w:t>
            </w:r>
          </w:p>
        </w:tc>
        <w:tc>
          <w:tcPr>
            <w:tcW w:w="879" w:type="dxa"/>
            <w:tcBorders>
              <w:top w:val="single" w:sz="4" w:space="0" w:color="000000"/>
              <w:left w:val="single" w:sz="12" w:space="0" w:color="000000"/>
              <w:bottom w:val="single" w:sz="4" w:space="0" w:color="000000"/>
              <w:right w:val="single" w:sz="12" w:space="0" w:color="000000"/>
            </w:tcBorders>
          </w:tcPr>
          <w:p w14:paraId="09525D7F" w14:textId="766058F9" w:rsidR="00BC30D1" w:rsidRDefault="00BC30D1" w:rsidP="00BC30D1">
            <w:pPr>
              <w:spacing w:after="0" w:line="259" w:lineRule="auto"/>
              <w:ind w:left="0" w:right="0" w:firstLine="0"/>
              <w:jc w:val="center"/>
              <w:rPr>
                <w:sz w:val="18"/>
              </w:rPr>
            </w:pPr>
            <w:r>
              <w:rPr>
                <w:sz w:val="18"/>
              </w:rPr>
              <w:t>0.05</w:t>
            </w:r>
          </w:p>
        </w:tc>
        <w:tc>
          <w:tcPr>
            <w:tcW w:w="711" w:type="dxa"/>
            <w:tcBorders>
              <w:top w:val="single" w:sz="4" w:space="0" w:color="000000"/>
              <w:left w:val="single" w:sz="12" w:space="0" w:color="000000"/>
              <w:bottom w:val="single" w:sz="4" w:space="0" w:color="000000"/>
              <w:right w:val="single" w:sz="12" w:space="0" w:color="000000"/>
            </w:tcBorders>
          </w:tcPr>
          <w:p w14:paraId="37D992A0" w14:textId="69424031" w:rsidR="00BC30D1" w:rsidRDefault="00BC30D1" w:rsidP="00BC30D1">
            <w:pPr>
              <w:spacing w:after="0" w:line="259" w:lineRule="auto"/>
              <w:ind w:left="91" w:right="0" w:firstLine="0"/>
              <w:jc w:val="center"/>
              <w:rPr>
                <w:sz w:val="18"/>
              </w:rPr>
            </w:pPr>
            <w:r>
              <w:rPr>
                <w:sz w:val="18"/>
              </w:rPr>
              <w:t xml:space="preserve">mg/L </w:t>
            </w:r>
          </w:p>
        </w:tc>
        <w:tc>
          <w:tcPr>
            <w:tcW w:w="1157" w:type="dxa"/>
            <w:tcBorders>
              <w:top w:val="single" w:sz="4" w:space="0" w:color="000000"/>
              <w:left w:val="single" w:sz="12" w:space="0" w:color="000000"/>
              <w:bottom w:val="single" w:sz="4" w:space="0" w:color="000000"/>
              <w:right w:val="single" w:sz="12" w:space="0" w:color="000000"/>
            </w:tcBorders>
          </w:tcPr>
          <w:p w14:paraId="30DAD486" w14:textId="2DA57BD5" w:rsidR="00BC30D1" w:rsidRDefault="00BC30D1" w:rsidP="00BC30D1">
            <w:pPr>
              <w:tabs>
                <w:tab w:val="center" w:pos="623"/>
              </w:tabs>
              <w:spacing w:after="0" w:line="259" w:lineRule="auto"/>
              <w:ind w:left="0" w:right="0" w:firstLine="0"/>
              <w:jc w:val="center"/>
              <w:rPr>
                <w:sz w:val="18"/>
              </w:rPr>
            </w:pPr>
            <w:r>
              <w:rPr>
                <w:sz w:val="18"/>
              </w:rPr>
              <w:t>0.5</w:t>
            </w:r>
          </w:p>
        </w:tc>
        <w:tc>
          <w:tcPr>
            <w:tcW w:w="792" w:type="dxa"/>
            <w:tcBorders>
              <w:top w:val="single" w:sz="4" w:space="0" w:color="000000"/>
              <w:left w:val="single" w:sz="12" w:space="0" w:color="000000"/>
              <w:bottom w:val="single" w:sz="4" w:space="0" w:color="000000"/>
              <w:right w:val="single" w:sz="12" w:space="0" w:color="000000"/>
            </w:tcBorders>
          </w:tcPr>
          <w:p w14:paraId="5617EEB2" w14:textId="408C60A9" w:rsidR="00BC30D1" w:rsidRDefault="00BC30D1" w:rsidP="00BC30D1">
            <w:pPr>
              <w:spacing w:after="0" w:line="259" w:lineRule="auto"/>
              <w:ind w:left="0" w:right="41" w:firstLine="0"/>
              <w:jc w:val="center"/>
              <w:rPr>
                <w:sz w:val="18"/>
              </w:rPr>
            </w:pPr>
            <w:r>
              <w:rPr>
                <w:sz w:val="18"/>
              </w:rPr>
              <w:t xml:space="preserve">mg/L </w:t>
            </w:r>
          </w:p>
        </w:tc>
        <w:tc>
          <w:tcPr>
            <w:tcW w:w="1452" w:type="dxa"/>
            <w:tcBorders>
              <w:top w:val="single" w:sz="4" w:space="0" w:color="000000"/>
              <w:left w:val="single" w:sz="12" w:space="0" w:color="000000"/>
              <w:bottom w:val="single" w:sz="4" w:space="0" w:color="000000"/>
              <w:right w:val="single" w:sz="12" w:space="0" w:color="000000"/>
            </w:tcBorders>
          </w:tcPr>
          <w:p w14:paraId="6F2D1095" w14:textId="64651BC5" w:rsidR="00BC30D1" w:rsidRDefault="00BC30D1" w:rsidP="00BC30D1">
            <w:pPr>
              <w:spacing w:after="0" w:line="259" w:lineRule="auto"/>
              <w:ind w:left="0" w:right="0" w:firstLine="0"/>
              <w:jc w:val="center"/>
              <w:rPr>
                <w:sz w:val="18"/>
              </w:rPr>
            </w:pPr>
            <w:r>
              <w:rPr>
                <w:sz w:val="18"/>
              </w:rPr>
              <w:t>8260</w:t>
            </w:r>
          </w:p>
        </w:tc>
        <w:tc>
          <w:tcPr>
            <w:tcW w:w="1188" w:type="dxa"/>
            <w:tcBorders>
              <w:top w:val="single" w:sz="4" w:space="0" w:color="000000"/>
              <w:left w:val="single" w:sz="12" w:space="0" w:color="000000"/>
              <w:bottom w:val="single" w:sz="4" w:space="0" w:color="000000"/>
              <w:right w:val="single" w:sz="12" w:space="0" w:color="000000"/>
            </w:tcBorders>
          </w:tcPr>
          <w:p w14:paraId="2EE20FE1" w14:textId="15E72F62" w:rsidR="00BC30D1" w:rsidRDefault="00BC30D1" w:rsidP="00BC30D1">
            <w:pPr>
              <w:spacing w:after="0" w:line="259" w:lineRule="auto"/>
              <w:ind w:left="0" w:right="0" w:firstLine="0"/>
              <w:jc w:val="center"/>
              <w:rPr>
                <w:sz w:val="18"/>
              </w:rPr>
            </w:pPr>
            <w:r>
              <w:rPr>
                <w:sz w:val="18"/>
              </w:rPr>
              <w:t>8021</w:t>
            </w:r>
          </w:p>
        </w:tc>
      </w:tr>
      <w:tr w:rsidR="00BC30D1" w14:paraId="1FE7D711" w14:textId="77777777" w:rsidTr="005B6604">
        <w:trPr>
          <w:trHeight w:val="252"/>
        </w:trPr>
        <w:tc>
          <w:tcPr>
            <w:tcW w:w="1420" w:type="dxa"/>
            <w:tcBorders>
              <w:top w:val="single" w:sz="4" w:space="0" w:color="000000"/>
              <w:left w:val="single" w:sz="12" w:space="0" w:color="000000"/>
              <w:bottom w:val="single" w:sz="4" w:space="0" w:color="000000"/>
              <w:right w:val="single" w:sz="12" w:space="0" w:color="000000"/>
            </w:tcBorders>
          </w:tcPr>
          <w:p w14:paraId="27F250BB" w14:textId="1C326C1D" w:rsidR="00BC30D1" w:rsidRDefault="00BC30D1" w:rsidP="00BC30D1">
            <w:pPr>
              <w:spacing w:after="0" w:line="259" w:lineRule="auto"/>
              <w:ind w:left="0" w:right="36" w:firstLine="0"/>
              <w:jc w:val="center"/>
              <w:rPr>
                <w:sz w:val="18"/>
              </w:rPr>
            </w:pPr>
            <w:r>
              <w:rPr>
                <w:sz w:val="18"/>
              </w:rPr>
              <w:t xml:space="preserve">D041 </w:t>
            </w:r>
          </w:p>
        </w:tc>
        <w:tc>
          <w:tcPr>
            <w:tcW w:w="1958" w:type="dxa"/>
            <w:tcBorders>
              <w:top w:val="single" w:sz="4" w:space="0" w:color="000000"/>
              <w:left w:val="single" w:sz="12" w:space="0" w:color="000000"/>
              <w:bottom w:val="single" w:sz="4" w:space="0" w:color="000000"/>
              <w:right w:val="single" w:sz="12" w:space="0" w:color="000000"/>
            </w:tcBorders>
          </w:tcPr>
          <w:p w14:paraId="160FCE6F" w14:textId="556A4C35" w:rsidR="00BC30D1" w:rsidRDefault="00BC30D1" w:rsidP="00BC30D1">
            <w:pPr>
              <w:spacing w:after="0" w:line="259" w:lineRule="auto"/>
              <w:ind w:left="0" w:right="0" w:firstLine="0"/>
              <w:rPr>
                <w:sz w:val="18"/>
              </w:rPr>
            </w:pPr>
            <w:r>
              <w:rPr>
                <w:sz w:val="18"/>
              </w:rPr>
              <w:t xml:space="preserve">2,4,5-Trichlorophenol </w:t>
            </w:r>
          </w:p>
        </w:tc>
        <w:tc>
          <w:tcPr>
            <w:tcW w:w="1063" w:type="dxa"/>
            <w:tcBorders>
              <w:top w:val="single" w:sz="4" w:space="0" w:color="000000"/>
              <w:left w:val="single" w:sz="12" w:space="0" w:color="000000"/>
              <w:bottom w:val="single" w:sz="4" w:space="0" w:color="000000"/>
              <w:right w:val="single" w:sz="12" w:space="0" w:color="000000"/>
            </w:tcBorders>
          </w:tcPr>
          <w:p w14:paraId="776F2A26" w14:textId="69FA6584" w:rsidR="00BC30D1" w:rsidRDefault="00BC30D1" w:rsidP="00BC30D1">
            <w:pPr>
              <w:spacing w:after="0" w:line="259" w:lineRule="auto"/>
              <w:ind w:left="0" w:right="39" w:firstLine="0"/>
              <w:jc w:val="center"/>
              <w:rPr>
                <w:sz w:val="18"/>
              </w:rPr>
            </w:pPr>
            <w:r>
              <w:rPr>
                <w:sz w:val="18"/>
              </w:rPr>
              <w:t xml:space="preserve">1311 </w:t>
            </w:r>
          </w:p>
        </w:tc>
        <w:tc>
          <w:tcPr>
            <w:tcW w:w="879" w:type="dxa"/>
            <w:tcBorders>
              <w:top w:val="single" w:sz="4" w:space="0" w:color="000000"/>
              <w:left w:val="single" w:sz="12" w:space="0" w:color="000000"/>
              <w:bottom w:val="single" w:sz="4" w:space="0" w:color="000000"/>
              <w:right w:val="single" w:sz="12" w:space="0" w:color="000000"/>
            </w:tcBorders>
          </w:tcPr>
          <w:p w14:paraId="7EB0EBFC" w14:textId="4615781B" w:rsidR="00BC30D1" w:rsidRDefault="00BC30D1" w:rsidP="00BC30D1">
            <w:pPr>
              <w:spacing w:after="0" w:line="259" w:lineRule="auto"/>
              <w:ind w:left="0" w:right="0" w:firstLine="0"/>
              <w:jc w:val="center"/>
              <w:rPr>
                <w:sz w:val="18"/>
              </w:rPr>
            </w:pPr>
            <w:r>
              <w:rPr>
                <w:sz w:val="18"/>
              </w:rPr>
              <w:t>40</w:t>
            </w:r>
          </w:p>
        </w:tc>
        <w:tc>
          <w:tcPr>
            <w:tcW w:w="711" w:type="dxa"/>
            <w:tcBorders>
              <w:top w:val="single" w:sz="4" w:space="0" w:color="000000"/>
              <w:left w:val="single" w:sz="12" w:space="0" w:color="000000"/>
              <w:bottom w:val="single" w:sz="4" w:space="0" w:color="000000"/>
              <w:right w:val="single" w:sz="12" w:space="0" w:color="000000"/>
            </w:tcBorders>
          </w:tcPr>
          <w:p w14:paraId="645A303C" w14:textId="40AD8704" w:rsidR="00BC30D1" w:rsidRDefault="00BC30D1" w:rsidP="00BC30D1">
            <w:pPr>
              <w:spacing w:after="0" w:line="259" w:lineRule="auto"/>
              <w:ind w:left="91" w:right="0" w:firstLine="0"/>
              <w:jc w:val="center"/>
              <w:rPr>
                <w:sz w:val="18"/>
              </w:rPr>
            </w:pPr>
            <w:r>
              <w:rPr>
                <w:sz w:val="18"/>
              </w:rPr>
              <w:t xml:space="preserve">mg/L </w:t>
            </w:r>
          </w:p>
        </w:tc>
        <w:tc>
          <w:tcPr>
            <w:tcW w:w="1157" w:type="dxa"/>
            <w:tcBorders>
              <w:top w:val="single" w:sz="4" w:space="0" w:color="000000"/>
              <w:left w:val="single" w:sz="12" w:space="0" w:color="000000"/>
              <w:bottom w:val="single" w:sz="4" w:space="0" w:color="000000"/>
              <w:right w:val="single" w:sz="12" w:space="0" w:color="000000"/>
            </w:tcBorders>
          </w:tcPr>
          <w:p w14:paraId="72F95A37" w14:textId="5C216ACF" w:rsidR="00BC30D1" w:rsidRDefault="00BC30D1" w:rsidP="00BC30D1">
            <w:pPr>
              <w:tabs>
                <w:tab w:val="center" w:pos="623"/>
              </w:tabs>
              <w:spacing w:after="0" w:line="259" w:lineRule="auto"/>
              <w:ind w:left="0" w:right="0" w:firstLine="0"/>
              <w:jc w:val="center"/>
              <w:rPr>
                <w:sz w:val="18"/>
              </w:rPr>
            </w:pPr>
            <w:r>
              <w:rPr>
                <w:sz w:val="18"/>
              </w:rPr>
              <w:t>400</w:t>
            </w:r>
          </w:p>
        </w:tc>
        <w:tc>
          <w:tcPr>
            <w:tcW w:w="792" w:type="dxa"/>
            <w:tcBorders>
              <w:top w:val="single" w:sz="4" w:space="0" w:color="000000"/>
              <w:left w:val="single" w:sz="12" w:space="0" w:color="000000"/>
              <w:bottom w:val="single" w:sz="4" w:space="0" w:color="000000"/>
              <w:right w:val="single" w:sz="12" w:space="0" w:color="000000"/>
            </w:tcBorders>
          </w:tcPr>
          <w:p w14:paraId="6306E9D0" w14:textId="090B768C" w:rsidR="00BC30D1" w:rsidRDefault="00BC30D1" w:rsidP="00BC30D1">
            <w:pPr>
              <w:spacing w:after="0" w:line="259" w:lineRule="auto"/>
              <w:ind w:left="0" w:right="41" w:firstLine="0"/>
              <w:jc w:val="center"/>
              <w:rPr>
                <w:sz w:val="18"/>
              </w:rPr>
            </w:pPr>
            <w:r>
              <w:rPr>
                <w:sz w:val="18"/>
              </w:rPr>
              <w:t xml:space="preserve">mg/L </w:t>
            </w:r>
          </w:p>
        </w:tc>
        <w:tc>
          <w:tcPr>
            <w:tcW w:w="1452" w:type="dxa"/>
            <w:tcBorders>
              <w:top w:val="single" w:sz="4" w:space="0" w:color="000000"/>
              <w:left w:val="single" w:sz="12" w:space="0" w:color="000000"/>
              <w:bottom w:val="single" w:sz="4" w:space="0" w:color="000000"/>
              <w:right w:val="single" w:sz="12" w:space="0" w:color="000000"/>
            </w:tcBorders>
          </w:tcPr>
          <w:p w14:paraId="1B44B7E4" w14:textId="17CF8931" w:rsidR="00BC30D1" w:rsidRDefault="00BC30D1" w:rsidP="00BC30D1">
            <w:pPr>
              <w:spacing w:after="0" w:line="259" w:lineRule="auto"/>
              <w:ind w:left="0" w:right="0" w:firstLine="0"/>
              <w:jc w:val="center"/>
              <w:rPr>
                <w:sz w:val="18"/>
              </w:rPr>
            </w:pPr>
            <w:r>
              <w:rPr>
                <w:sz w:val="18"/>
              </w:rPr>
              <w:t>8270</w:t>
            </w:r>
          </w:p>
        </w:tc>
        <w:tc>
          <w:tcPr>
            <w:tcW w:w="1188" w:type="dxa"/>
            <w:tcBorders>
              <w:top w:val="single" w:sz="4" w:space="0" w:color="000000"/>
              <w:left w:val="single" w:sz="12" w:space="0" w:color="000000"/>
              <w:bottom w:val="single" w:sz="4" w:space="0" w:color="000000"/>
              <w:right w:val="single" w:sz="12" w:space="0" w:color="000000"/>
            </w:tcBorders>
          </w:tcPr>
          <w:p w14:paraId="364F6BD0" w14:textId="0FCED659" w:rsidR="00BC30D1" w:rsidRDefault="00BC30D1" w:rsidP="00BC30D1">
            <w:pPr>
              <w:spacing w:after="0" w:line="259" w:lineRule="auto"/>
              <w:ind w:left="0" w:right="0" w:firstLine="0"/>
              <w:jc w:val="center"/>
              <w:rPr>
                <w:sz w:val="18"/>
              </w:rPr>
            </w:pPr>
            <w:r>
              <w:rPr>
                <w:sz w:val="18"/>
              </w:rPr>
              <w:t>8041, 8410</w:t>
            </w:r>
          </w:p>
        </w:tc>
      </w:tr>
      <w:tr w:rsidR="00BC30D1" w14:paraId="2147F5AD" w14:textId="77777777" w:rsidTr="005B6604">
        <w:trPr>
          <w:trHeight w:val="252"/>
        </w:trPr>
        <w:tc>
          <w:tcPr>
            <w:tcW w:w="1420" w:type="dxa"/>
            <w:tcBorders>
              <w:top w:val="single" w:sz="4" w:space="0" w:color="000000"/>
              <w:left w:val="single" w:sz="12" w:space="0" w:color="000000"/>
              <w:bottom w:val="single" w:sz="4" w:space="0" w:color="000000"/>
              <w:right w:val="single" w:sz="12" w:space="0" w:color="000000"/>
            </w:tcBorders>
          </w:tcPr>
          <w:p w14:paraId="68D7B058" w14:textId="60A89EED" w:rsidR="00BC30D1" w:rsidRDefault="00BC30D1" w:rsidP="00BC30D1">
            <w:pPr>
              <w:spacing w:after="0" w:line="259" w:lineRule="auto"/>
              <w:ind w:left="0" w:right="36" w:firstLine="0"/>
              <w:jc w:val="center"/>
              <w:rPr>
                <w:sz w:val="18"/>
              </w:rPr>
            </w:pPr>
            <w:r>
              <w:rPr>
                <w:sz w:val="18"/>
              </w:rPr>
              <w:t xml:space="preserve">D042 </w:t>
            </w:r>
          </w:p>
        </w:tc>
        <w:tc>
          <w:tcPr>
            <w:tcW w:w="1958" w:type="dxa"/>
            <w:tcBorders>
              <w:top w:val="single" w:sz="4" w:space="0" w:color="000000"/>
              <w:left w:val="single" w:sz="12" w:space="0" w:color="000000"/>
              <w:bottom w:val="single" w:sz="4" w:space="0" w:color="000000"/>
              <w:right w:val="single" w:sz="12" w:space="0" w:color="000000"/>
            </w:tcBorders>
          </w:tcPr>
          <w:p w14:paraId="35950D84" w14:textId="3FE5C2F7" w:rsidR="00BC30D1" w:rsidRDefault="00BC30D1" w:rsidP="00BC30D1">
            <w:pPr>
              <w:spacing w:after="0" w:line="259" w:lineRule="auto"/>
              <w:ind w:left="0" w:right="0" w:firstLine="0"/>
              <w:rPr>
                <w:sz w:val="18"/>
              </w:rPr>
            </w:pPr>
            <w:r>
              <w:rPr>
                <w:sz w:val="18"/>
              </w:rPr>
              <w:t xml:space="preserve">2,4,6-Trichlorophenol </w:t>
            </w:r>
          </w:p>
        </w:tc>
        <w:tc>
          <w:tcPr>
            <w:tcW w:w="1063" w:type="dxa"/>
            <w:tcBorders>
              <w:top w:val="single" w:sz="4" w:space="0" w:color="000000"/>
              <w:left w:val="single" w:sz="12" w:space="0" w:color="000000"/>
              <w:bottom w:val="single" w:sz="4" w:space="0" w:color="000000"/>
              <w:right w:val="single" w:sz="12" w:space="0" w:color="000000"/>
            </w:tcBorders>
          </w:tcPr>
          <w:p w14:paraId="32345553" w14:textId="6C75418A" w:rsidR="00BC30D1" w:rsidRDefault="00BC30D1" w:rsidP="00BC30D1">
            <w:pPr>
              <w:spacing w:after="0" w:line="259" w:lineRule="auto"/>
              <w:ind w:left="0" w:right="39" w:firstLine="0"/>
              <w:jc w:val="center"/>
              <w:rPr>
                <w:sz w:val="18"/>
              </w:rPr>
            </w:pPr>
            <w:r>
              <w:rPr>
                <w:sz w:val="18"/>
              </w:rPr>
              <w:t xml:space="preserve">1311 </w:t>
            </w:r>
          </w:p>
        </w:tc>
        <w:tc>
          <w:tcPr>
            <w:tcW w:w="879" w:type="dxa"/>
            <w:tcBorders>
              <w:top w:val="single" w:sz="4" w:space="0" w:color="000000"/>
              <w:left w:val="single" w:sz="12" w:space="0" w:color="000000"/>
              <w:bottom w:val="single" w:sz="4" w:space="0" w:color="000000"/>
              <w:right w:val="single" w:sz="12" w:space="0" w:color="000000"/>
            </w:tcBorders>
          </w:tcPr>
          <w:p w14:paraId="1CBA18DC" w14:textId="696033BB" w:rsidR="00BC30D1" w:rsidRDefault="00BC30D1" w:rsidP="00BC30D1">
            <w:pPr>
              <w:spacing w:after="0" w:line="259" w:lineRule="auto"/>
              <w:ind w:left="0" w:right="0" w:firstLine="0"/>
              <w:jc w:val="center"/>
              <w:rPr>
                <w:sz w:val="18"/>
              </w:rPr>
            </w:pPr>
            <w:r>
              <w:rPr>
                <w:sz w:val="18"/>
              </w:rPr>
              <w:t>0.2</w:t>
            </w:r>
          </w:p>
        </w:tc>
        <w:tc>
          <w:tcPr>
            <w:tcW w:w="711" w:type="dxa"/>
            <w:tcBorders>
              <w:top w:val="single" w:sz="4" w:space="0" w:color="000000"/>
              <w:left w:val="single" w:sz="12" w:space="0" w:color="000000"/>
              <w:bottom w:val="single" w:sz="4" w:space="0" w:color="000000"/>
              <w:right w:val="single" w:sz="12" w:space="0" w:color="000000"/>
            </w:tcBorders>
          </w:tcPr>
          <w:p w14:paraId="2A58833E" w14:textId="2AAD7CA7" w:rsidR="00BC30D1" w:rsidRDefault="00BC30D1" w:rsidP="00BC30D1">
            <w:pPr>
              <w:spacing w:after="0" w:line="259" w:lineRule="auto"/>
              <w:ind w:left="91" w:right="0" w:firstLine="0"/>
              <w:jc w:val="center"/>
              <w:rPr>
                <w:sz w:val="18"/>
              </w:rPr>
            </w:pPr>
            <w:r>
              <w:rPr>
                <w:sz w:val="18"/>
              </w:rPr>
              <w:t xml:space="preserve">mg/L </w:t>
            </w:r>
          </w:p>
        </w:tc>
        <w:tc>
          <w:tcPr>
            <w:tcW w:w="1157" w:type="dxa"/>
            <w:tcBorders>
              <w:top w:val="single" w:sz="4" w:space="0" w:color="000000"/>
              <w:left w:val="single" w:sz="12" w:space="0" w:color="000000"/>
              <w:bottom w:val="single" w:sz="4" w:space="0" w:color="000000"/>
              <w:right w:val="single" w:sz="12" w:space="0" w:color="000000"/>
            </w:tcBorders>
          </w:tcPr>
          <w:p w14:paraId="20AFBAC4" w14:textId="5C93E5D6" w:rsidR="00BC30D1" w:rsidRDefault="00BC30D1" w:rsidP="00BC30D1">
            <w:pPr>
              <w:tabs>
                <w:tab w:val="center" w:pos="623"/>
              </w:tabs>
              <w:spacing w:after="0" w:line="259" w:lineRule="auto"/>
              <w:ind w:left="0" w:right="0" w:firstLine="0"/>
              <w:jc w:val="center"/>
              <w:rPr>
                <w:sz w:val="18"/>
              </w:rPr>
            </w:pPr>
            <w:r>
              <w:rPr>
                <w:sz w:val="18"/>
              </w:rPr>
              <w:t>2</w:t>
            </w:r>
          </w:p>
        </w:tc>
        <w:tc>
          <w:tcPr>
            <w:tcW w:w="792" w:type="dxa"/>
            <w:tcBorders>
              <w:top w:val="single" w:sz="4" w:space="0" w:color="000000"/>
              <w:left w:val="single" w:sz="12" w:space="0" w:color="000000"/>
              <w:bottom w:val="single" w:sz="4" w:space="0" w:color="000000"/>
              <w:right w:val="single" w:sz="12" w:space="0" w:color="000000"/>
            </w:tcBorders>
          </w:tcPr>
          <w:p w14:paraId="109CB17F" w14:textId="30E53469" w:rsidR="00BC30D1" w:rsidRDefault="00BC30D1" w:rsidP="00BC30D1">
            <w:pPr>
              <w:spacing w:after="0" w:line="259" w:lineRule="auto"/>
              <w:ind w:left="0" w:right="41" w:firstLine="0"/>
              <w:jc w:val="center"/>
              <w:rPr>
                <w:sz w:val="18"/>
              </w:rPr>
            </w:pPr>
            <w:r>
              <w:rPr>
                <w:sz w:val="18"/>
              </w:rPr>
              <w:t xml:space="preserve">mg/L </w:t>
            </w:r>
          </w:p>
        </w:tc>
        <w:tc>
          <w:tcPr>
            <w:tcW w:w="1452" w:type="dxa"/>
            <w:tcBorders>
              <w:top w:val="single" w:sz="4" w:space="0" w:color="000000"/>
              <w:left w:val="single" w:sz="12" w:space="0" w:color="000000"/>
              <w:bottom w:val="single" w:sz="4" w:space="0" w:color="000000"/>
              <w:right w:val="single" w:sz="12" w:space="0" w:color="000000"/>
            </w:tcBorders>
          </w:tcPr>
          <w:p w14:paraId="665202C4" w14:textId="641868AC" w:rsidR="00BC30D1" w:rsidRDefault="00BC30D1" w:rsidP="00BC30D1">
            <w:pPr>
              <w:spacing w:after="0" w:line="259" w:lineRule="auto"/>
              <w:ind w:left="0" w:right="0" w:firstLine="0"/>
              <w:jc w:val="center"/>
              <w:rPr>
                <w:sz w:val="18"/>
              </w:rPr>
            </w:pPr>
            <w:r>
              <w:rPr>
                <w:sz w:val="18"/>
              </w:rPr>
              <w:t>8270</w:t>
            </w:r>
          </w:p>
        </w:tc>
        <w:tc>
          <w:tcPr>
            <w:tcW w:w="1188" w:type="dxa"/>
            <w:tcBorders>
              <w:top w:val="single" w:sz="4" w:space="0" w:color="000000"/>
              <w:left w:val="single" w:sz="12" w:space="0" w:color="000000"/>
              <w:bottom w:val="single" w:sz="4" w:space="0" w:color="000000"/>
              <w:right w:val="single" w:sz="12" w:space="0" w:color="000000"/>
            </w:tcBorders>
          </w:tcPr>
          <w:p w14:paraId="73410ACB" w14:textId="17748819" w:rsidR="00BC30D1" w:rsidRDefault="00BC30D1" w:rsidP="00BC30D1">
            <w:pPr>
              <w:spacing w:after="0" w:line="259" w:lineRule="auto"/>
              <w:ind w:left="0" w:right="0" w:firstLine="0"/>
              <w:jc w:val="center"/>
              <w:rPr>
                <w:sz w:val="18"/>
              </w:rPr>
            </w:pPr>
            <w:r>
              <w:rPr>
                <w:sz w:val="18"/>
              </w:rPr>
              <w:t>8041, 8410</w:t>
            </w:r>
          </w:p>
        </w:tc>
      </w:tr>
      <w:tr w:rsidR="00BC30D1" w14:paraId="47F7F0B9" w14:textId="77777777" w:rsidTr="005B6604">
        <w:trPr>
          <w:trHeight w:val="252"/>
        </w:trPr>
        <w:tc>
          <w:tcPr>
            <w:tcW w:w="1420" w:type="dxa"/>
            <w:tcBorders>
              <w:top w:val="single" w:sz="4" w:space="0" w:color="000000"/>
              <w:left w:val="single" w:sz="12" w:space="0" w:color="000000"/>
              <w:bottom w:val="single" w:sz="12" w:space="0" w:color="000000"/>
              <w:right w:val="single" w:sz="12" w:space="0" w:color="000000"/>
            </w:tcBorders>
          </w:tcPr>
          <w:p w14:paraId="78CBF567" w14:textId="0DDAC0BA" w:rsidR="00BC30D1" w:rsidRDefault="00BC30D1" w:rsidP="00BC30D1">
            <w:pPr>
              <w:spacing w:after="0" w:line="259" w:lineRule="auto"/>
              <w:ind w:left="0" w:right="36" w:firstLine="0"/>
              <w:jc w:val="center"/>
              <w:rPr>
                <w:sz w:val="18"/>
              </w:rPr>
            </w:pPr>
            <w:r>
              <w:rPr>
                <w:sz w:val="18"/>
              </w:rPr>
              <w:t xml:space="preserve">D043 </w:t>
            </w:r>
          </w:p>
        </w:tc>
        <w:tc>
          <w:tcPr>
            <w:tcW w:w="1958" w:type="dxa"/>
            <w:tcBorders>
              <w:top w:val="single" w:sz="4" w:space="0" w:color="000000"/>
              <w:left w:val="single" w:sz="12" w:space="0" w:color="000000"/>
              <w:bottom w:val="single" w:sz="12" w:space="0" w:color="000000"/>
              <w:right w:val="single" w:sz="12" w:space="0" w:color="000000"/>
            </w:tcBorders>
          </w:tcPr>
          <w:p w14:paraId="439274AB" w14:textId="1C20590B" w:rsidR="00BC30D1" w:rsidRDefault="00BC30D1" w:rsidP="00BC30D1">
            <w:pPr>
              <w:spacing w:after="0" w:line="259" w:lineRule="auto"/>
              <w:ind w:left="0" w:right="0" w:firstLine="0"/>
              <w:rPr>
                <w:sz w:val="18"/>
              </w:rPr>
            </w:pPr>
            <w:r>
              <w:rPr>
                <w:sz w:val="18"/>
              </w:rPr>
              <w:t xml:space="preserve">Vinyl chloride </w:t>
            </w:r>
          </w:p>
        </w:tc>
        <w:tc>
          <w:tcPr>
            <w:tcW w:w="1063" w:type="dxa"/>
            <w:tcBorders>
              <w:top w:val="single" w:sz="4" w:space="0" w:color="000000"/>
              <w:left w:val="single" w:sz="12" w:space="0" w:color="000000"/>
              <w:bottom w:val="single" w:sz="12" w:space="0" w:color="000000"/>
              <w:right w:val="single" w:sz="12" w:space="0" w:color="000000"/>
            </w:tcBorders>
          </w:tcPr>
          <w:p w14:paraId="64928E86" w14:textId="2004BAB0" w:rsidR="00BC30D1" w:rsidRDefault="00BC30D1" w:rsidP="00BC30D1">
            <w:pPr>
              <w:spacing w:after="0" w:line="259" w:lineRule="auto"/>
              <w:ind w:left="0" w:right="39" w:firstLine="0"/>
              <w:jc w:val="center"/>
              <w:rPr>
                <w:sz w:val="18"/>
              </w:rPr>
            </w:pPr>
            <w:r>
              <w:rPr>
                <w:sz w:val="18"/>
              </w:rPr>
              <w:t xml:space="preserve">1311 </w:t>
            </w:r>
          </w:p>
        </w:tc>
        <w:tc>
          <w:tcPr>
            <w:tcW w:w="879" w:type="dxa"/>
            <w:tcBorders>
              <w:top w:val="single" w:sz="4" w:space="0" w:color="000000"/>
              <w:left w:val="single" w:sz="12" w:space="0" w:color="000000"/>
              <w:bottom w:val="single" w:sz="12" w:space="0" w:color="000000"/>
              <w:right w:val="single" w:sz="12" w:space="0" w:color="000000"/>
            </w:tcBorders>
          </w:tcPr>
          <w:p w14:paraId="657292AE" w14:textId="707AB48C" w:rsidR="00BC30D1" w:rsidRDefault="00BC30D1" w:rsidP="00BC30D1">
            <w:pPr>
              <w:spacing w:after="0" w:line="259" w:lineRule="auto"/>
              <w:ind w:left="0" w:right="0" w:firstLine="0"/>
              <w:jc w:val="center"/>
              <w:rPr>
                <w:sz w:val="18"/>
              </w:rPr>
            </w:pPr>
            <w:r>
              <w:rPr>
                <w:sz w:val="18"/>
              </w:rPr>
              <w:t>0.02</w:t>
            </w:r>
          </w:p>
        </w:tc>
        <w:tc>
          <w:tcPr>
            <w:tcW w:w="711" w:type="dxa"/>
            <w:tcBorders>
              <w:top w:val="single" w:sz="4" w:space="0" w:color="000000"/>
              <w:left w:val="single" w:sz="12" w:space="0" w:color="000000"/>
              <w:bottom w:val="single" w:sz="12" w:space="0" w:color="000000"/>
              <w:right w:val="single" w:sz="12" w:space="0" w:color="000000"/>
            </w:tcBorders>
          </w:tcPr>
          <w:p w14:paraId="7771FB8B" w14:textId="2E6D4B0F" w:rsidR="00BC30D1" w:rsidRDefault="00BC30D1" w:rsidP="00BC30D1">
            <w:pPr>
              <w:spacing w:after="0" w:line="259" w:lineRule="auto"/>
              <w:ind w:left="91" w:right="0" w:firstLine="0"/>
              <w:jc w:val="center"/>
              <w:rPr>
                <w:sz w:val="18"/>
              </w:rPr>
            </w:pPr>
            <w:r>
              <w:rPr>
                <w:sz w:val="18"/>
              </w:rPr>
              <w:t xml:space="preserve">mg/L </w:t>
            </w:r>
          </w:p>
        </w:tc>
        <w:tc>
          <w:tcPr>
            <w:tcW w:w="1157" w:type="dxa"/>
            <w:tcBorders>
              <w:top w:val="single" w:sz="4" w:space="0" w:color="000000"/>
              <w:left w:val="single" w:sz="12" w:space="0" w:color="000000"/>
              <w:bottom w:val="single" w:sz="12" w:space="0" w:color="000000"/>
              <w:right w:val="single" w:sz="12" w:space="0" w:color="000000"/>
            </w:tcBorders>
          </w:tcPr>
          <w:p w14:paraId="6ACBF7A2" w14:textId="31E53D04" w:rsidR="00BC30D1" w:rsidRDefault="00BC30D1" w:rsidP="00BC30D1">
            <w:pPr>
              <w:tabs>
                <w:tab w:val="center" w:pos="623"/>
              </w:tabs>
              <w:spacing w:after="0" w:line="259" w:lineRule="auto"/>
              <w:ind w:left="0" w:right="0" w:firstLine="0"/>
              <w:jc w:val="center"/>
              <w:rPr>
                <w:sz w:val="18"/>
              </w:rPr>
            </w:pPr>
            <w:r>
              <w:rPr>
                <w:sz w:val="18"/>
              </w:rPr>
              <w:t>0.2</w:t>
            </w:r>
          </w:p>
        </w:tc>
        <w:tc>
          <w:tcPr>
            <w:tcW w:w="792" w:type="dxa"/>
            <w:tcBorders>
              <w:top w:val="single" w:sz="4" w:space="0" w:color="000000"/>
              <w:left w:val="single" w:sz="12" w:space="0" w:color="000000"/>
              <w:bottom w:val="single" w:sz="12" w:space="0" w:color="000000"/>
              <w:right w:val="single" w:sz="12" w:space="0" w:color="000000"/>
            </w:tcBorders>
          </w:tcPr>
          <w:p w14:paraId="2DE7F0AC" w14:textId="42628FA1" w:rsidR="00BC30D1" w:rsidRDefault="00BC30D1" w:rsidP="00BC30D1">
            <w:pPr>
              <w:spacing w:after="0" w:line="259" w:lineRule="auto"/>
              <w:ind w:left="0" w:right="41" w:firstLine="0"/>
              <w:jc w:val="center"/>
              <w:rPr>
                <w:sz w:val="18"/>
              </w:rPr>
            </w:pPr>
            <w:r>
              <w:rPr>
                <w:sz w:val="18"/>
              </w:rPr>
              <w:t xml:space="preserve">mg/L </w:t>
            </w:r>
          </w:p>
        </w:tc>
        <w:tc>
          <w:tcPr>
            <w:tcW w:w="1452" w:type="dxa"/>
            <w:tcBorders>
              <w:top w:val="single" w:sz="4" w:space="0" w:color="000000"/>
              <w:left w:val="single" w:sz="12" w:space="0" w:color="000000"/>
              <w:bottom w:val="single" w:sz="12" w:space="0" w:color="000000"/>
              <w:right w:val="single" w:sz="12" w:space="0" w:color="000000"/>
            </w:tcBorders>
          </w:tcPr>
          <w:p w14:paraId="3608C2D6" w14:textId="5A2CF0C6" w:rsidR="00BC30D1" w:rsidRDefault="00BC30D1" w:rsidP="00BC30D1">
            <w:pPr>
              <w:spacing w:after="0" w:line="259" w:lineRule="auto"/>
              <w:ind w:left="0" w:right="0" w:firstLine="0"/>
              <w:jc w:val="center"/>
              <w:rPr>
                <w:sz w:val="18"/>
              </w:rPr>
            </w:pPr>
            <w:r>
              <w:rPr>
                <w:sz w:val="18"/>
              </w:rPr>
              <w:t>8260</w:t>
            </w:r>
          </w:p>
        </w:tc>
        <w:tc>
          <w:tcPr>
            <w:tcW w:w="1188" w:type="dxa"/>
            <w:tcBorders>
              <w:top w:val="single" w:sz="4" w:space="0" w:color="000000"/>
              <w:left w:val="single" w:sz="12" w:space="0" w:color="000000"/>
              <w:bottom w:val="single" w:sz="12" w:space="0" w:color="000000"/>
              <w:right w:val="single" w:sz="12" w:space="0" w:color="000000"/>
            </w:tcBorders>
          </w:tcPr>
          <w:p w14:paraId="0927691B" w14:textId="091DBB3E" w:rsidR="00BC30D1" w:rsidRDefault="00BC30D1" w:rsidP="00BC30D1">
            <w:pPr>
              <w:spacing w:after="0" w:line="259" w:lineRule="auto"/>
              <w:ind w:left="0" w:right="0" w:firstLine="0"/>
              <w:jc w:val="center"/>
              <w:rPr>
                <w:sz w:val="18"/>
              </w:rPr>
            </w:pPr>
            <w:r>
              <w:rPr>
                <w:sz w:val="18"/>
              </w:rPr>
              <w:t>8021</w:t>
            </w:r>
          </w:p>
        </w:tc>
      </w:tr>
    </w:tbl>
    <w:p w14:paraId="44F22BA3" w14:textId="1980E9F4" w:rsidR="00BF7D49" w:rsidRDefault="00BF7D49" w:rsidP="00BF7D49">
      <w:pPr>
        <w:spacing w:after="0" w:line="259" w:lineRule="auto"/>
        <w:ind w:left="0" w:right="0" w:firstLine="0"/>
      </w:pPr>
    </w:p>
    <w:p w14:paraId="100CDA21" w14:textId="77777777" w:rsidR="007E6E9F" w:rsidRDefault="007E6E9F" w:rsidP="00BF7D49">
      <w:pPr>
        <w:spacing w:after="0" w:line="259" w:lineRule="auto"/>
        <w:ind w:left="0" w:right="0" w:firstLine="0"/>
      </w:pPr>
    </w:p>
    <w:p w14:paraId="35998053" w14:textId="77777777" w:rsidR="004C3823" w:rsidRDefault="004C3823" w:rsidP="00BF7D49">
      <w:pPr>
        <w:spacing w:after="0" w:line="259" w:lineRule="auto"/>
        <w:ind w:left="0" w:right="0" w:firstLine="0"/>
      </w:pPr>
    </w:p>
    <w:p w14:paraId="538805BE" w14:textId="77777777" w:rsidR="004C3823" w:rsidRDefault="004C3823" w:rsidP="00BF7D49">
      <w:pPr>
        <w:spacing w:after="0" w:line="259" w:lineRule="auto"/>
        <w:ind w:left="0" w:right="0" w:firstLine="0"/>
      </w:pPr>
    </w:p>
    <w:p w14:paraId="564A18EF" w14:textId="77777777" w:rsidR="004C3823" w:rsidRDefault="004C3823" w:rsidP="00BF7D49">
      <w:pPr>
        <w:spacing w:after="0" w:line="259" w:lineRule="auto"/>
        <w:ind w:left="0" w:right="0" w:firstLine="0"/>
      </w:pPr>
    </w:p>
    <w:p w14:paraId="324851BC" w14:textId="77777777" w:rsidR="004C3823" w:rsidRDefault="004C3823" w:rsidP="004C3823">
      <w:pPr>
        <w:ind w:left="0" w:firstLine="0"/>
        <w:jc w:val="center"/>
      </w:pPr>
      <w:r>
        <w:rPr>
          <w:b/>
        </w:rPr>
        <w:t>THE REMAINDER OF THIS PAGE HAS BEEN LEFT BLANK INTENTIONALLY</w:t>
      </w:r>
    </w:p>
    <w:p w14:paraId="107F0ABC" w14:textId="77777777" w:rsidR="004C3823" w:rsidRDefault="004C3823" w:rsidP="00BF7D49">
      <w:pPr>
        <w:spacing w:after="0" w:line="259" w:lineRule="auto"/>
        <w:ind w:left="0" w:right="0" w:firstLine="0"/>
      </w:pPr>
    </w:p>
    <w:p w14:paraId="4083007A" w14:textId="77777777" w:rsidR="004C3823" w:rsidRDefault="004C3823" w:rsidP="00BF7D49">
      <w:pPr>
        <w:spacing w:after="0" w:line="259" w:lineRule="auto"/>
        <w:ind w:left="0" w:right="0" w:firstLine="0"/>
      </w:pPr>
    </w:p>
    <w:p w14:paraId="73F2BD6C" w14:textId="77777777" w:rsidR="004C3823" w:rsidRDefault="004C3823" w:rsidP="00BF7D49">
      <w:pPr>
        <w:spacing w:after="0" w:line="259" w:lineRule="auto"/>
        <w:ind w:left="0" w:right="0" w:firstLine="0"/>
      </w:pPr>
    </w:p>
    <w:p w14:paraId="0C5B0C3B" w14:textId="77777777" w:rsidR="004C3823" w:rsidRDefault="004C3823" w:rsidP="00BF7D49">
      <w:pPr>
        <w:spacing w:after="0" w:line="259" w:lineRule="auto"/>
        <w:ind w:left="0" w:right="0" w:firstLine="0"/>
      </w:pPr>
    </w:p>
    <w:p w14:paraId="03EB696A" w14:textId="77777777" w:rsidR="004C3823" w:rsidRDefault="004C3823" w:rsidP="00BF7D49">
      <w:pPr>
        <w:spacing w:after="0" w:line="259" w:lineRule="auto"/>
        <w:ind w:left="0" w:right="0" w:firstLine="0"/>
      </w:pPr>
    </w:p>
    <w:p w14:paraId="6B68F791" w14:textId="77777777" w:rsidR="004C3823" w:rsidRDefault="004C3823" w:rsidP="00BF7D49">
      <w:pPr>
        <w:spacing w:after="0" w:line="259" w:lineRule="auto"/>
        <w:ind w:left="0" w:right="0" w:firstLine="0"/>
      </w:pPr>
    </w:p>
    <w:p w14:paraId="3B218B01" w14:textId="77777777" w:rsidR="004C3823" w:rsidRDefault="004C3823" w:rsidP="00BF7D49">
      <w:pPr>
        <w:spacing w:after="0" w:line="259" w:lineRule="auto"/>
        <w:ind w:left="0" w:right="0" w:firstLine="0"/>
      </w:pPr>
    </w:p>
    <w:p w14:paraId="40757A13" w14:textId="77777777" w:rsidR="004C3823" w:rsidRDefault="004C3823" w:rsidP="00BF7D49">
      <w:pPr>
        <w:spacing w:after="0" w:line="259" w:lineRule="auto"/>
        <w:ind w:left="0" w:right="0" w:firstLine="0"/>
      </w:pPr>
    </w:p>
    <w:p w14:paraId="21A61E0D" w14:textId="77777777" w:rsidR="004C3823" w:rsidRDefault="004C3823" w:rsidP="00BF7D49">
      <w:pPr>
        <w:spacing w:after="0" w:line="259" w:lineRule="auto"/>
        <w:ind w:left="0" w:right="0" w:firstLine="0"/>
      </w:pPr>
    </w:p>
    <w:p w14:paraId="10393433" w14:textId="77777777" w:rsidR="004C3823" w:rsidRDefault="004C3823" w:rsidP="00BF7D49">
      <w:pPr>
        <w:spacing w:after="0" w:line="259" w:lineRule="auto"/>
        <w:ind w:left="0" w:right="0" w:firstLine="0"/>
      </w:pPr>
    </w:p>
    <w:p w14:paraId="3B363F61" w14:textId="77777777" w:rsidR="004C3823" w:rsidRDefault="004C3823" w:rsidP="00BF7D49">
      <w:pPr>
        <w:spacing w:after="0" w:line="259" w:lineRule="auto"/>
        <w:ind w:left="0" w:right="0" w:firstLine="0"/>
      </w:pPr>
    </w:p>
    <w:p w14:paraId="108736AA" w14:textId="77777777" w:rsidR="004C3823" w:rsidRDefault="004C3823" w:rsidP="00BF7D49">
      <w:pPr>
        <w:spacing w:after="0" w:line="259" w:lineRule="auto"/>
        <w:ind w:left="0" w:right="0" w:firstLine="0"/>
      </w:pPr>
    </w:p>
    <w:p w14:paraId="3A5046F8" w14:textId="77777777" w:rsidR="004C3823" w:rsidRDefault="004C3823" w:rsidP="00BF7D49">
      <w:pPr>
        <w:spacing w:after="0" w:line="259" w:lineRule="auto"/>
        <w:ind w:left="0" w:right="0" w:firstLine="0"/>
      </w:pPr>
    </w:p>
    <w:p w14:paraId="2E1E3F89" w14:textId="77777777" w:rsidR="004C3823" w:rsidRDefault="004C3823" w:rsidP="00BF7D49">
      <w:pPr>
        <w:spacing w:after="0" w:line="259" w:lineRule="auto"/>
        <w:ind w:left="0" w:right="0" w:firstLine="0"/>
      </w:pPr>
    </w:p>
    <w:p w14:paraId="71F3541F" w14:textId="77777777" w:rsidR="004C3823" w:rsidRDefault="004C3823" w:rsidP="00BF7D49">
      <w:pPr>
        <w:spacing w:after="0" w:line="259" w:lineRule="auto"/>
        <w:ind w:left="0" w:right="0" w:firstLine="0"/>
      </w:pPr>
    </w:p>
    <w:p w14:paraId="582D8AF1" w14:textId="77777777" w:rsidR="004C3823" w:rsidRDefault="004C3823" w:rsidP="00BF7D49">
      <w:pPr>
        <w:spacing w:after="0" w:line="259" w:lineRule="auto"/>
        <w:ind w:left="0" w:right="0" w:firstLine="0"/>
      </w:pPr>
    </w:p>
    <w:p w14:paraId="12FBEE71" w14:textId="77777777" w:rsidR="004C3823" w:rsidRDefault="004C3823" w:rsidP="00BF7D49">
      <w:pPr>
        <w:spacing w:after="0" w:line="259" w:lineRule="auto"/>
        <w:ind w:left="0" w:right="0" w:firstLine="0"/>
      </w:pPr>
    </w:p>
    <w:p w14:paraId="2FBE88A6" w14:textId="77777777" w:rsidR="00D16269" w:rsidRDefault="00D16269" w:rsidP="00BF7D49">
      <w:pPr>
        <w:spacing w:after="0" w:line="259" w:lineRule="auto"/>
        <w:ind w:left="0" w:right="0" w:firstLine="0"/>
      </w:pPr>
    </w:p>
    <w:p w14:paraId="0D2D8B28" w14:textId="77777777" w:rsidR="00D16269" w:rsidRDefault="00D16269" w:rsidP="00BF7D49">
      <w:pPr>
        <w:spacing w:after="0" w:line="259" w:lineRule="auto"/>
        <w:ind w:left="0" w:right="0" w:firstLine="0"/>
      </w:pPr>
    </w:p>
    <w:p w14:paraId="52EDAACB" w14:textId="77777777" w:rsidR="004C3823" w:rsidRDefault="004C3823" w:rsidP="00BF7D49">
      <w:pPr>
        <w:spacing w:after="0" w:line="259" w:lineRule="auto"/>
        <w:ind w:left="0" w:right="0" w:firstLine="0"/>
      </w:pPr>
    </w:p>
    <w:p w14:paraId="4F6C74B5" w14:textId="77777777" w:rsidR="004C3823" w:rsidRDefault="004C3823" w:rsidP="00BF7D49">
      <w:pPr>
        <w:spacing w:after="0" w:line="259" w:lineRule="auto"/>
        <w:ind w:left="0" w:right="0" w:firstLine="0"/>
      </w:pPr>
    </w:p>
    <w:p w14:paraId="7B4F3EFA" w14:textId="77777777" w:rsidR="00690BC6" w:rsidRDefault="00690BC6" w:rsidP="00BF7D49">
      <w:pPr>
        <w:spacing w:after="0" w:line="259" w:lineRule="auto"/>
        <w:ind w:left="0" w:right="0" w:firstLine="0"/>
      </w:pPr>
    </w:p>
    <w:p w14:paraId="56A0BAB5" w14:textId="77777777" w:rsidR="00690BC6" w:rsidRDefault="00690BC6" w:rsidP="00BF7D49">
      <w:pPr>
        <w:spacing w:after="0" w:line="259" w:lineRule="auto"/>
        <w:ind w:left="0" w:right="0" w:firstLine="0"/>
      </w:pPr>
    </w:p>
    <w:p w14:paraId="611C9C62" w14:textId="77777777" w:rsidR="004C3823" w:rsidRDefault="004C3823" w:rsidP="00BF7D49">
      <w:pPr>
        <w:spacing w:after="0" w:line="259" w:lineRule="auto"/>
        <w:ind w:left="0" w:right="0" w:firstLine="0"/>
      </w:pPr>
    </w:p>
    <w:p w14:paraId="6E545B0F" w14:textId="4E92A614" w:rsidR="00B56D50" w:rsidRPr="00CB4D4B" w:rsidRDefault="00832841" w:rsidP="0070343A">
      <w:pPr>
        <w:spacing w:after="0" w:line="259" w:lineRule="auto"/>
        <w:ind w:right="0"/>
        <w:jc w:val="center"/>
        <w:rPr>
          <w:b/>
          <w:bCs/>
        </w:rPr>
      </w:pPr>
      <w:r w:rsidRPr="00CB4D4B">
        <w:rPr>
          <w:b/>
          <w:bCs/>
        </w:rPr>
        <w:lastRenderedPageBreak/>
        <w:t>SW</w:t>
      </w:r>
      <w:r w:rsidR="00D353D9" w:rsidRPr="00CB4D4B">
        <w:rPr>
          <w:b/>
          <w:bCs/>
        </w:rPr>
        <w:t>-</w:t>
      </w:r>
      <w:r w:rsidRPr="00CB4D4B">
        <w:rPr>
          <w:b/>
          <w:bCs/>
        </w:rPr>
        <w:t xml:space="preserve">846 </w:t>
      </w:r>
      <w:r w:rsidR="00CC00D8" w:rsidRPr="00CB4D4B">
        <w:rPr>
          <w:b/>
          <w:bCs/>
        </w:rPr>
        <w:t>Additional Analytical Services</w:t>
      </w:r>
    </w:p>
    <w:p w14:paraId="49E3A25A" w14:textId="77777777" w:rsidR="00424913" w:rsidRPr="00CB4D4B" w:rsidRDefault="00424913" w:rsidP="00C60F79">
      <w:pPr>
        <w:spacing w:after="0" w:line="259" w:lineRule="auto"/>
        <w:ind w:right="0"/>
      </w:pPr>
    </w:p>
    <w:tbl>
      <w:tblPr>
        <w:tblStyle w:val="TableGrid1"/>
        <w:tblW w:w="10620" w:type="dxa"/>
        <w:tblInd w:w="-375" w:type="dxa"/>
        <w:tblCellMar>
          <w:top w:w="8" w:type="dxa"/>
          <w:left w:w="74" w:type="dxa"/>
          <w:right w:w="65" w:type="dxa"/>
        </w:tblCellMar>
        <w:tblLook w:val="04A0" w:firstRow="1" w:lastRow="0" w:firstColumn="1" w:lastColumn="0" w:noHBand="0" w:noVBand="1"/>
      </w:tblPr>
      <w:tblGrid>
        <w:gridCol w:w="4064"/>
        <w:gridCol w:w="984"/>
        <w:gridCol w:w="625"/>
        <w:gridCol w:w="803"/>
        <w:gridCol w:w="713"/>
        <w:gridCol w:w="805"/>
        <w:gridCol w:w="2626"/>
      </w:tblGrid>
      <w:tr w:rsidR="00B56D50" w14:paraId="7FAACC07" w14:textId="77777777" w:rsidTr="005B6604">
        <w:trPr>
          <w:trHeight w:val="385"/>
        </w:trPr>
        <w:tc>
          <w:tcPr>
            <w:tcW w:w="10620" w:type="dxa"/>
            <w:gridSpan w:val="7"/>
            <w:tcBorders>
              <w:top w:val="single" w:sz="12" w:space="0" w:color="000000"/>
              <w:left w:val="single" w:sz="12" w:space="0" w:color="000000"/>
              <w:bottom w:val="single" w:sz="12" w:space="0" w:color="000000"/>
              <w:right w:val="single" w:sz="12" w:space="0" w:color="000000"/>
            </w:tcBorders>
            <w:vAlign w:val="center"/>
          </w:tcPr>
          <w:p w14:paraId="35365013" w14:textId="70BEF6B6" w:rsidR="00AE6A3D" w:rsidRPr="00AC0766" w:rsidRDefault="00A4682F" w:rsidP="007A1040">
            <w:pPr>
              <w:spacing w:after="0" w:line="240" w:lineRule="auto"/>
              <w:ind w:left="29" w:right="0" w:firstLine="0"/>
              <w:rPr>
                <w:sz w:val="18"/>
                <w:szCs w:val="18"/>
              </w:rPr>
            </w:pPr>
            <w:r>
              <w:rPr>
                <w:b/>
                <w:sz w:val="18"/>
              </w:rPr>
              <w:t xml:space="preserve">SW-846 </w:t>
            </w:r>
            <w:r w:rsidR="001C3C42">
              <w:rPr>
                <w:b/>
                <w:sz w:val="18"/>
              </w:rPr>
              <w:t>Additional Analytical Service – Petroleum: Total Petroleum Hydrocarbons (TPH) Fractionation</w:t>
            </w:r>
          </w:p>
        </w:tc>
      </w:tr>
      <w:tr w:rsidR="00B56D50" w14:paraId="21BF2EB1" w14:textId="77777777" w:rsidTr="005B6604">
        <w:trPr>
          <w:trHeight w:val="269"/>
        </w:trPr>
        <w:tc>
          <w:tcPr>
            <w:tcW w:w="4064" w:type="dxa"/>
            <w:vMerge w:val="restart"/>
            <w:tcBorders>
              <w:top w:val="single" w:sz="12" w:space="0" w:color="000000"/>
              <w:left w:val="single" w:sz="12" w:space="0" w:color="000000"/>
              <w:bottom w:val="single" w:sz="12" w:space="0" w:color="000000"/>
              <w:right w:val="single" w:sz="12" w:space="0" w:color="000000"/>
            </w:tcBorders>
            <w:vAlign w:val="center"/>
          </w:tcPr>
          <w:p w14:paraId="566234A8" w14:textId="155A70DA" w:rsidR="00B56D50" w:rsidRDefault="001C3C42" w:rsidP="003D3B2C">
            <w:pPr>
              <w:spacing w:after="0" w:line="259" w:lineRule="auto"/>
              <w:ind w:left="0" w:right="13" w:firstLine="0"/>
              <w:jc w:val="center"/>
            </w:pPr>
            <w:r>
              <w:rPr>
                <w:b/>
                <w:sz w:val="18"/>
              </w:rPr>
              <w:t>Analyte</w:t>
            </w:r>
          </w:p>
        </w:tc>
        <w:tc>
          <w:tcPr>
            <w:tcW w:w="984" w:type="dxa"/>
            <w:vMerge w:val="restart"/>
            <w:tcBorders>
              <w:top w:val="single" w:sz="12" w:space="0" w:color="000000"/>
              <w:left w:val="single" w:sz="12" w:space="0" w:color="000000"/>
              <w:bottom w:val="single" w:sz="12" w:space="0" w:color="000000"/>
              <w:right w:val="single" w:sz="12" w:space="0" w:color="000000"/>
            </w:tcBorders>
            <w:vAlign w:val="center"/>
          </w:tcPr>
          <w:p w14:paraId="108B04A6" w14:textId="49A82B38" w:rsidR="00B56D50" w:rsidRDefault="001C3C42" w:rsidP="003D3B2C">
            <w:pPr>
              <w:spacing w:after="0" w:line="259" w:lineRule="auto"/>
              <w:ind w:left="0" w:right="0" w:firstLine="0"/>
              <w:jc w:val="center"/>
            </w:pPr>
            <w:r>
              <w:rPr>
                <w:b/>
                <w:sz w:val="18"/>
              </w:rPr>
              <w:t>CAS Number</w:t>
            </w:r>
          </w:p>
        </w:tc>
        <w:tc>
          <w:tcPr>
            <w:tcW w:w="1428" w:type="dxa"/>
            <w:gridSpan w:val="2"/>
            <w:tcBorders>
              <w:top w:val="single" w:sz="12" w:space="0" w:color="000000"/>
              <w:left w:val="single" w:sz="12" w:space="0" w:color="000000"/>
              <w:bottom w:val="single" w:sz="12" w:space="0" w:color="000000"/>
              <w:right w:val="single" w:sz="12" w:space="0" w:color="000000"/>
            </w:tcBorders>
            <w:vAlign w:val="center"/>
          </w:tcPr>
          <w:p w14:paraId="403E1232" w14:textId="538EDCE2" w:rsidR="00B56D50" w:rsidRDefault="001C3C42" w:rsidP="003D3B2C">
            <w:pPr>
              <w:spacing w:after="0" w:line="259" w:lineRule="auto"/>
              <w:ind w:left="0" w:right="19" w:firstLine="0"/>
              <w:jc w:val="center"/>
            </w:pPr>
            <w:r>
              <w:rPr>
                <w:b/>
                <w:sz w:val="18"/>
              </w:rPr>
              <w:t>Aqueous</w:t>
            </w:r>
          </w:p>
        </w:tc>
        <w:tc>
          <w:tcPr>
            <w:tcW w:w="1518" w:type="dxa"/>
            <w:gridSpan w:val="2"/>
            <w:tcBorders>
              <w:top w:val="single" w:sz="12" w:space="0" w:color="000000"/>
              <w:left w:val="single" w:sz="12" w:space="0" w:color="000000"/>
              <w:bottom w:val="single" w:sz="12" w:space="0" w:color="000000"/>
              <w:right w:val="single" w:sz="12" w:space="0" w:color="000000"/>
            </w:tcBorders>
            <w:vAlign w:val="center"/>
          </w:tcPr>
          <w:p w14:paraId="284CE35B" w14:textId="2ABCA644" w:rsidR="00B56D50" w:rsidRDefault="001C3C42" w:rsidP="003D3B2C">
            <w:pPr>
              <w:spacing w:after="0" w:line="259" w:lineRule="auto"/>
              <w:ind w:left="0" w:right="20" w:firstLine="0"/>
              <w:jc w:val="center"/>
            </w:pPr>
            <w:r>
              <w:rPr>
                <w:b/>
                <w:sz w:val="18"/>
              </w:rPr>
              <w:t>Soil/Sediment</w:t>
            </w:r>
          </w:p>
        </w:tc>
        <w:tc>
          <w:tcPr>
            <w:tcW w:w="2626" w:type="dxa"/>
            <w:vMerge w:val="restart"/>
            <w:tcBorders>
              <w:top w:val="single" w:sz="12" w:space="0" w:color="000000"/>
              <w:left w:val="single" w:sz="12" w:space="0" w:color="000000"/>
              <w:bottom w:val="single" w:sz="12" w:space="0" w:color="000000"/>
              <w:right w:val="single" w:sz="12" w:space="0" w:color="000000"/>
            </w:tcBorders>
            <w:vAlign w:val="center"/>
          </w:tcPr>
          <w:p w14:paraId="28BACFB6" w14:textId="22434237" w:rsidR="00B56D50" w:rsidRDefault="001C3C42" w:rsidP="003D3B2C">
            <w:pPr>
              <w:spacing w:after="0" w:line="259" w:lineRule="auto"/>
              <w:ind w:left="0" w:right="11" w:firstLine="0"/>
              <w:jc w:val="center"/>
            </w:pPr>
            <w:r>
              <w:rPr>
                <w:b/>
                <w:sz w:val="18"/>
              </w:rPr>
              <w:t>Acceptable Methods</w:t>
            </w:r>
          </w:p>
        </w:tc>
      </w:tr>
      <w:tr w:rsidR="00950E59" w14:paraId="64740623" w14:textId="77777777" w:rsidTr="00A36B15">
        <w:trPr>
          <w:trHeight w:val="271"/>
        </w:trPr>
        <w:tc>
          <w:tcPr>
            <w:tcW w:w="4064" w:type="dxa"/>
            <w:vMerge/>
            <w:tcBorders>
              <w:top w:val="nil"/>
              <w:left w:val="single" w:sz="12" w:space="0" w:color="000000"/>
              <w:bottom w:val="single" w:sz="12" w:space="0" w:color="000000"/>
              <w:right w:val="single" w:sz="12" w:space="0" w:color="000000"/>
            </w:tcBorders>
            <w:vAlign w:val="center"/>
          </w:tcPr>
          <w:p w14:paraId="3E6F1145" w14:textId="77777777" w:rsidR="00B56D50" w:rsidRDefault="00B56D50" w:rsidP="003D3B2C">
            <w:pPr>
              <w:spacing w:after="160" w:line="259" w:lineRule="auto"/>
              <w:ind w:left="0" w:right="0" w:firstLine="0"/>
              <w:jc w:val="center"/>
            </w:pPr>
          </w:p>
        </w:tc>
        <w:tc>
          <w:tcPr>
            <w:tcW w:w="0" w:type="auto"/>
            <w:vMerge/>
            <w:tcBorders>
              <w:top w:val="nil"/>
              <w:left w:val="single" w:sz="12" w:space="0" w:color="000000"/>
              <w:bottom w:val="single" w:sz="12" w:space="0" w:color="000000"/>
              <w:right w:val="single" w:sz="12" w:space="0" w:color="000000"/>
            </w:tcBorders>
            <w:vAlign w:val="center"/>
          </w:tcPr>
          <w:p w14:paraId="45F65D28" w14:textId="77777777" w:rsidR="00B56D50" w:rsidRDefault="00B56D50" w:rsidP="003D3B2C">
            <w:pPr>
              <w:spacing w:after="160" w:line="259" w:lineRule="auto"/>
              <w:ind w:left="0" w:right="0" w:firstLine="0"/>
              <w:jc w:val="center"/>
            </w:pPr>
          </w:p>
        </w:tc>
        <w:tc>
          <w:tcPr>
            <w:tcW w:w="625" w:type="dxa"/>
            <w:tcBorders>
              <w:top w:val="single" w:sz="12" w:space="0" w:color="000000"/>
              <w:left w:val="single" w:sz="12" w:space="0" w:color="000000"/>
              <w:bottom w:val="single" w:sz="12" w:space="0" w:color="000000"/>
              <w:right w:val="single" w:sz="12" w:space="0" w:color="000000"/>
            </w:tcBorders>
            <w:vAlign w:val="center"/>
          </w:tcPr>
          <w:p w14:paraId="1760A040" w14:textId="095004B6" w:rsidR="00B56D50" w:rsidRDefault="001C3C42" w:rsidP="003D3B2C">
            <w:pPr>
              <w:spacing w:after="0" w:line="259" w:lineRule="auto"/>
              <w:ind w:left="113" w:right="0" w:firstLine="0"/>
              <w:jc w:val="center"/>
            </w:pPr>
            <w:r>
              <w:rPr>
                <w:b/>
                <w:sz w:val="18"/>
              </w:rPr>
              <w:t>RL</w:t>
            </w:r>
          </w:p>
        </w:tc>
        <w:tc>
          <w:tcPr>
            <w:tcW w:w="803" w:type="dxa"/>
            <w:tcBorders>
              <w:top w:val="single" w:sz="12" w:space="0" w:color="000000"/>
              <w:left w:val="single" w:sz="12" w:space="0" w:color="000000"/>
              <w:bottom w:val="single" w:sz="12" w:space="0" w:color="000000"/>
              <w:right w:val="single" w:sz="12" w:space="0" w:color="000000"/>
            </w:tcBorders>
            <w:vAlign w:val="center"/>
          </w:tcPr>
          <w:p w14:paraId="70F06D1F" w14:textId="5DD16D97" w:rsidR="00B56D50" w:rsidRDefault="001C3C42" w:rsidP="003D3B2C">
            <w:pPr>
              <w:spacing w:after="0" w:line="259" w:lineRule="auto"/>
              <w:ind w:left="0" w:right="16" w:firstLine="0"/>
              <w:jc w:val="center"/>
            </w:pPr>
            <w:r>
              <w:rPr>
                <w:b/>
                <w:sz w:val="18"/>
              </w:rPr>
              <w:t>units</w:t>
            </w:r>
          </w:p>
        </w:tc>
        <w:tc>
          <w:tcPr>
            <w:tcW w:w="713" w:type="dxa"/>
            <w:tcBorders>
              <w:top w:val="single" w:sz="12" w:space="0" w:color="000000"/>
              <w:left w:val="single" w:sz="12" w:space="0" w:color="000000"/>
              <w:bottom w:val="single" w:sz="12" w:space="0" w:color="000000"/>
              <w:right w:val="single" w:sz="12" w:space="0" w:color="000000"/>
            </w:tcBorders>
            <w:vAlign w:val="center"/>
          </w:tcPr>
          <w:p w14:paraId="52972F1A" w14:textId="466631E4" w:rsidR="00B56D50" w:rsidRDefault="001C3C42" w:rsidP="003D3B2C">
            <w:pPr>
              <w:spacing w:after="0" w:line="259" w:lineRule="auto"/>
              <w:ind w:left="0" w:right="14" w:firstLine="0"/>
              <w:jc w:val="center"/>
            </w:pPr>
            <w:r>
              <w:rPr>
                <w:b/>
                <w:sz w:val="18"/>
              </w:rPr>
              <w:t>RL</w:t>
            </w:r>
          </w:p>
        </w:tc>
        <w:tc>
          <w:tcPr>
            <w:tcW w:w="805" w:type="dxa"/>
            <w:tcBorders>
              <w:top w:val="single" w:sz="12" w:space="0" w:color="000000"/>
              <w:left w:val="single" w:sz="12" w:space="0" w:color="000000"/>
              <w:bottom w:val="single" w:sz="12" w:space="0" w:color="000000"/>
              <w:right w:val="single" w:sz="12" w:space="0" w:color="000000"/>
            </w:tcBorders>
            <w:vAlign w:val="center"/>
          </w:tcPr>
          <w:p w14:paraId="0CF6E791" w14:textId="5994D137" w:rsidR="00B56D50" w:rsidRDefault="001C3C42" w:rsidP="003D3B2C">
            <w:pPr>
              <w:spacing w:after="0" w:line="259" w:lineRule="auto"/>
              <w:ind w:left="0" w:right="18" w:firstLine="0"/>
              <w:jc w:val="center"/>
            </w:pPr>
            <w:r>
              <w:rPr>
                <w:b/>
                <w:sz w:val="18"/>
              </w:rPr>
              <w:t>units</w:t>
            </w:r>
          </w:p>
        </w:tc>
        <w:tc>
          <w:tcPr>
            <w:tcW w:w="2626" w:type="dxa"/>
            <w:vMerge/>
            <w:tcBorders>
              <w:top w:val="nil"/>
              <w:left w:val="single" w:sz="12" w:space="0" w:color="000000"/>
              <w:bottom w:val="single" w:sz="12" w:space="0" w:color="000000"/>
              <w:right w:val="single" w:sz="12" w:space="0" w:color="000000"/>
            </w:tcBorders>
            <w:vAlign w:val="center"/>
          </w:tcPr>
          <w:p w14:paraId="771E6776" w14:textId="77777777" w:rsidR="00B56D50" w:rsidRDefault="00B56D50" w:rsidP="003D3B2C">
            <w:pPr>
              <w:spacing w:after="160" w:line="259" w:lineRule="auto"/>
              <w:ind w:left="0" w:right="0" w:firstLine="0"/>
              <w:jc w:val="center"/>
            </w:pPr>
          </w:p>
        </w:tc>
      </w:tr>
      <w:tr w:rsidR="00B56D50" w14:paraId="31D67F02" w14:textId="77777777" w:rsidTr="005B6604">
        <w:trPr>
          <w:trHeight w:val="434"/>
        </w:trPr>
        <w:tc>
          <w:tcPr>
            <w:tcW w:w="4064" w:type="dxa"/>
            <w:tcBorders>
              <w:top w:val="single" w:sz="12" w:space="0" w:color="000000"/>
              <w:left w:val="single" w:sz="12" w:space="0" w:color="000000"/>
              <w:bottom w:val="single" w:sz="4" w:space="0" w:color="000000"/>
              <w:right w:val="single" w:sz="12" w:space="0" w:color="000000"/>
            </w:tcBorders>
            <w:vAlign w:val="center"/>
          </w:tcPr>
          <w:p w14:paraId="521C58B0" w14:textId="69873372" w:rsidR="00B56D50" w:rsidRDefault="001C3C42" w:rsidP="00482150">
            <w:pPr>
              <w:spacing w:after="0" w:line="259" w:lineRule="auto"/>
              <w:ind w:left="0" w:right="0" w:firstLine="0"/>
            </w:pPr>
            <w:r>
              <w:rPr>
                <w:sz w:val="18"/>
              </w:rPr>
              <w:t>Gasoline Range Organics (GRO) Fractionation</w:t>
            </w:r>
          </w:p>
        </w:tc>
        <w:tc>
          <w:tcPr>
            <w:tcW w:w="984" w:type="dxa"/>
            <w:tcBorders>
              <w:top w:val="single" w:sz="12" w:space="0" w:color="000000"/>
              <w:left w:val="single" w:sz="12" w:space="0" w:color="000000"/>
              <w:bottom w:val="single" w:sz="4" w:space="0" w:color="000000"/>
              <w:right w:val="single" w:sz="12" w:space="0" w:color="000000"/>
            </w:tcBorders>
            <w:vAlign w:val="center"/>
          </w:tcPr>
          <w:p w14:paraId="248327F7" w14:textId="02CD86E4" w:rsidR="00B56D50" w:rsidRDefault="001C3C42" w:rsidP="00C17E1B">
            <w:pPr>
              <w:spacing w:after="0" w:line="259" w:lineRule="auto"/>
              <w:ind w:left="0" w:right="9" w:firstLine="0"/>
              <w:jc w:val="center"/>
            </w:pPr>
            <w:r>
              <w:rPr>
                <w:sz w:val="18"/>
              </w:rPr>
              <w:t>N/A</w:t>
            </w:r>
          </w:p>
        </w:tc>
        <w:tc>
          <w:tcPr>
            <w:tcW w:w="625" w:type="dxa"/>
            <w:tcBorders>
              <w:top w:val="single" w:sz="12" w:space="0" w:color="000000"/>
              <w:left w:val="single" w:sz="12" w:space="0" w:color="000000"/>
              <w:bottom w:val="single" w:sz="4" w:space="0" w:color="000000"/>
              <w:right w:val="single" w:sz="12" w:space="0" w:color="000000"/>
            </w:tcBorders>
            <w:vAlign w:val="center"/>
          </w:tcPr>
          <w:p w14:paraId="56A0E1E8" w14:textId="435F51C3" w:rsidR="00B56D50" w:rsidRDefault="001C3C42" w:rsidP="00C17E1B">
            <w:pPr>
              <w:spacing w:after="0" w:line="259" w:lineRule="auto"/>
              <w:ind w:left="0" w:right="6" w:firstLine="0"/>
              <w:jc w:val="center"/>
            </w:pPr>
            <w:r>
              <w:rPr>
                <w:sz w:val="18"/>
              </w:rPr>
              <w:t>0.25</w:t>
            </w:r>
          </w:p>
        </w:tc>
        <w:tc>
          <w:tcPr>
            <w:tcW w:w="803" w:type="dxa"/>
            <w:tcBorders>
              <w:top w:val="single" w:sz="12" w:space="0" w:color="000000"/>
              <w:left w:val="single" w:sz="12" w:space="0" w:color="000000"/>
              <w:bottom w:val="single" w:sz="4" w:space="0" w:color="000000"/>
              <w:right w:val="single" w:sz="12" w:space="0" w:color="000000"/>
            </w:tcBorders>
            <w:vAlign w:val="center"/>
          </w:tcPr>
          <w:p w14:paraId="75075D71" w14:textId="21BC9094" w:rsidR="00B56D50" w:rsidRDefault="001C3C42" w:rsidP="00C17E1B">
            <w:pPr>
              <w:spacing w:after="0" w:line="259" w:lineRule="auto"/>
              <w:ind w:left="0" w:right="12" w:firstLine="0"/>
              <w:jc w:val="center"/>
            </w:pPr>
            <w:r>
              <w:rPr>
                <w:sz w:val="18"/>
              </w:rPr>
              <w:t>mg/L</w:t>
            </w:r>
          </w:p>
        </w:tc>
        <w:tc>
          <w:tcPr>
            <w:tcW w:w="713" w:type="dxa"/>
            <w:tcBorders>
              <w:top w:val="single" w:sz="12" w:space="0" w:color="000000"/>
              <w:left w:val="single" w:sz="12" w:space="0" w:color="000000"/>
              <w:bottom w:val="single" w:sz="4" w:space="0" w:color="000000"/>
              <w:right w:val="single" w:sz="12" w:space="0" w:color="000000"/>
            </w:tcBorders>
            <w:vAlign w:val="center"/>
          </w:tcPr>
          <w:p w14:paraId="3698A1ED" w14:textId="18ED2B48" w:rsidR="00B56D50" w:rsidRDefault="001C3C42" w:rsidP="00C17E1B">
            <w:pPr>
              <w:spacing w:after="0" w:line="259" w:lineRule="auto"/>
              <w:ind w:left="0" w:right="8" w:firstLine="0"/>
              <w:jc w:val="center"/>
            </w:pPr>
            <w:r>
              <w:rPr>
                <w:sz w:val="18"/>
              </w:rPr>
              <w:t>1</w:t>
            </w:r>
          </w:p>
        </w:tc>
        <w:tc>
          <w:tcPr>
            <w:tcW w:w="805" w:type="dxa"/>
            <w:tcBorders>
              <w:top w:val="single" w:sz="12" w:space="0" w:color="000000"/>
              <w:left w:val="single" w:sz="12" w:space="0" w:color="000000"/>
              <w:bottom w:val="single" w:sz="4" w:space="0" w:color="000000"/>
              <w:right w:val="single" w:sz="12" w:space="0" w:color="000000"/>
            </w:tcBorders>
            <w:vAlign w:val="center"/>
          </w:tcPr>
          <w:p w14:paraId="1888CDE7" w14:textId="5A0336A3" w:rsidR="00B56D50" w:rsidRDefault="001C3C42" w:rsidP="00C17E1B">
            <w:pPr>
              <w:spacing w:after="0" w:line="259" w:lineRule="auto"/>
              <w:ind w:left="0" w:right="8" w:firstLine="0"/>
              <w:jc w:val="center"/>
            </w:pPr>
            <w:r>
              <w:rPr>
                <w:sz w:val="18"/>
              </w:rPr>
              <w:t>mg/kg</w:t>
            </w:r>
          </w:p>
        </w:tc>
        <w:tc>
          <w:tcPr>
            <w:tcW w:w="2626" w:type="dxa"/>
            <w:tcBorders>
              <w:top w:val="single" w:sz="12" w:space="0" w:color="000000"/>
              <w:left w:val="single" w:sz="12" w:space="0" w:color="000000"/>
              <w:bottom w:val="single" w:sz="4" w:space="0" w:color="000000"/>
              <w:right w:val="single" w:sz="12" w:space="0" w:color="000000"/>
            </w:tcBorders>
            <w:vAlign w:val="center"/>
          </w:tcPr>
          <w:p w14:paraId="381FAA56" w14:textId="4853F6E3" w:rsidR="00B56D50" w:rsidRDefault="001C3C42" w:rsidP="00C17E1B">
            <w:pPr>
              <w:spacing w:after="0" w:line="259" w:lineRule="auto"/>
              <w:ind w:left="65" w:right="0" w:firstLine="0"/>
              <w:jc w:val="center"/>
            </w:pPr>
            <w:r>
              <w:rPr>
                <w:sz w:val="18"/>
              </w:rPr>
              <w:t>Washington Department of Ecology</w:t>
            </w:r>
            <w:r w:rsidR="00E749C2">
              <w:rPr>
                <w:sz w:val="18"/>
              </w:rPr>
              <w:t xml:space="preserve"> – </w:t>
            </w:r>
            <w:r>
              <w:rPr>
                <w:b/>
                <w:sz w:val="18"/>
              </w:rPr>
              <w:t>VPH</w:t>
            </w:r>
          </w:p>
        </w:tc>
      </w:tr>
      <w:tr w:rsidR="00B56D50" w14:paraId="1FACC78D" w14:textId="77777777" w:rsidTr="005B6604">
        <w:trPr>
          <w:trHeight w:val="432"/>
        </w:trPr>
        <w:tc>
          <w:tcPr>
            <w:tcW w:w="4064" w:type="dxa"/>
            <w:tcBorders>
              <w:top w:val="single" w:sz="4" w:space="0" w:color="000000"/>
              <w:left w:val="single" w:sz="12" w:space="0" w:color="000000"/>
              <w:bottom w:val="single" w:sz="12" w:space="0" w:color="000000"/>
              <w:right w:val="single" w:sz="12" w:space="0" w:color="000000"/>
            </w:tcBorders>
            <w:vAlign w:val="center"/>
          </w:tcPr>
          <w:p w14:paraId="0CD33A6F" w14:textId="58333CFA" w:rsidR="00B56D50" w:rsidRDefault="001C3C42" w:rsidP="00482150">
            <w:pPr>
              <w:spacing w:after="0" w:line="259" w:lineRule="auto"/>
              <w:ind w:left="0" w:right="0" w:firstLine="0"/>
            </w:pPr>
            <w:r>
              <w:rPr>
                <w:sz w:val="18"/>
              </w:rPr>
              <w:t>Diesel Range Organics (DRO) Fractionation</w:t>
            </w:r>
          </w:p>
        </w:tc>
        <w:tc>
          <w:tcPr>
            <w:tcW w:w="984" w:type="dxa"/>
            <w:tcBorders>
              <w:top w:val="single" w:sz="4" w:space="0" w:color="000000"/>
              <w:left w:val="single" w:sz="12" w:space="0" w:color="000000"/>
              <w:bottom w:val="single" w:sz="12" w:space="0" w:color="000000"/>
              <w:right w:val="single" w:sz="12" w:space="0" w:color="000000"/>
            </w:tcBorders>
            <w:vAlign w:val="center"/>
          </w:tcPr>
          <w:p w14:paraId="1E756B79" w14:textId="40B72CD8" w:rsidR="00B56D50" w:rsidRDefault="001C3C42" w:rsidP="00C17E1B">
            <w:pPr>
              <w:spacing w:after="0" w:line="259" w:lineRule="auto"/>
              <w:ind w:left="0" w:right="9" w:firstLine="0"/>
              <w:jc w:val="center"/>
            </w:pPr>
            <w:r>
              <w:rPr>
                <w:sz w:val="18"/>
              </w:rPr>
              <w:t>N/A</w:t>
            </w:r>
          </w:p>
        </w:tc>
        <w:tc>
          <w:tcPr>
            <w:tcW w:w="625" w:type="dxa"/>
            <w:tcBorders>
              <w:top w:val="single" w:sz="4" w:space="0" w:color="000000"/>
              <w:left w:val="single" w:sz="12" w:space="0" w:color="000000"/>
              <w:bottom w:val="single" w:sz="12" w:space="0" w:color="000000"/>
              <w:right w:val="single" w:sz="12" w:space="0" w:color="000000"/>
            </w:tcBorders>
            <w:vAlign w:val="center"/>
          </w:tcPr>
          <w:p w14:paraId="19A8CECF" w14:textId="172E5E40" w:rsidR="00B56D50" w:rsidRDefault="001C3C42" w:rsidP="00C17E1B">
            <w:pPr>
              <w:spacing w:after="0" w:line="259" w:lineRule="auto"/>
              <w:ind w:left="38" w:right="0" w:firstLine="0"/>
              <w:jc w:val="center"/>
            </w:pPr>
            <w:r>
              <w:rPr>
                <w:sz w:val="18"/>
              </w:rPr>
              <w:t>0.05</w:t>
            </w:r>
          </w:p>
        </w:tc>
        <w:tc>
          <w:tcPr>
            <w:tcW w:w="803" w:type="dxa"/>
            <w:tcBorders>
              <w:top w:val="single" w:sz="4" w:space="0" w:color="000000"/>
              <w:left w:val="single" w:sz="12" w:space="0" w:color="000000"/>
              <w:bottom w:val="single" w:sz="12" w:space="0" w:color="000000"/>
              <w:right w:val="single" w:sz="12" w:space="0" w:color="000000"/>
            </w:tcBorders>
            <w:vAlign w:val="center"/>
          </w:tcPr>
          <w:p w14:paraId="7C12AA78" w14:textId="4E403522" w:rsidR="00B56D50" w:rsidRDefault="001C3C42" w:rsidP="00C17E1B">
            <w:pPr>
              <w:spacing w:after="0" w:line="259" w:lineRule="auto"/>
              <w:ind w:left="0" w:right="12" w:firstLine="0"/>
              <w:jc w:val="center"/>
            </w:pPr>
            <w:r>
              <w:rPr>
                <w:sz w:val="18"/>
              </w:rPr>
              <w:t>mg/L</w:t>
            </w:r>
          </w:p>
        </w:tc>
        <w:tc>
          <w:tcPr>
            <w:tcW w:w="713" w:type="dxa"/>
            <w:tcBorders>
              <w:top w:val="single" w:sz="4" w:space="0" w:color="000000"/>
              <w:left w:val="single" w:sz="12" w:space="0" w:color="000000"/>
              <w:bottom w:val="single" w:sz="12" w:space="0" w:color="000000"/>
              <w:right w:val="single" w:sz="12" w:space="0" w:color="000000"/>
            </w:tcBorders>
            <w:vAlign w:val="center"/>
          </w:tcPr>
          <w:p w14:paraId="7322C489" w14:textId="398999AA" w:rsidR="00B56D50" w:rsidRDefault="001C3C42" w:rsidP="00C17E1B">
            <w:pPr>
              <w:spacing w:after="0" w:line="259" w:lineRule="auto"/>
              <w:ind w:left="0" w:right="8" w:firstLine="0"/>
              <w:jc w:val="center"/>
            </w:pPr>
            <w:r>
              <w:rPr>
                <w:sz w:val="18"/>
              </w:rPr>
              <w:t>5</w:t>
            </w:r>
          </w:p>
        </w:tc>
        <w:tc>
          <w:tcPr>
            <w:tcW w:w="805" w:type="dxa"/>
            <w:tcBorders>
              <w:top w:val="single" w:sz="4" w:space="0" w:color="000000"/>
              <w:left w:val="single" w:sz="12" w:space="0" w:color="000000"/>
              <w:bottom w:val="single" w:sz="12" w:space="0" w:color="000000"/>
              <w:right w:val="single" w:sz="12" w:space="0" w:color="000000"/>
            </w:tcBorders>
            <w:vAlign w:val="center"/>
          </w:tcPr>
          <w:p w14:paraId="17DAC138" w14:textId="10432AF4" w:rsidR="00B56D50" w:rsidRDefault="001C3C42" w:rsidP="00C17E1B">
            <w:pPr>
              <w:spacing w:after="0" w:line="259" w:lineRule="auto"/>
              <w:ind w:left="0" w:right="8" w:firstLine="0"/>
              <w:jc w:val="center"/>
            </w:pPr>
            <w:r>
              <w:rPr>
                <w:sz w:val="18"/>
              </w:rPr>
              <w:t>mg/kg</w:t>
            </w:r>
          </w:p>
        </w:tc>
        <w:tc>
          <w:tcPr>
            <w:tcW w:w="2626" w:type="dxa"/>
            <w:tcBorders>
              <w:top w:val="single" w:sz="4" w:space="0" w:color="000000"/>
              <w:left w:val="single" w:sz="12" w:space="0" w:color="000000"/>
              <w:bottom w:val="single" w:sz="12" w:space="0" w:color="000000"/>
              <w:right w:val="single" w:sz="12" w:space="0" w:color="000000"/>
            </w:tcBorders>
            <w:vAlign w:val="center"/>
          </w:tcPr>
          <w:p w14:paraId="5063CC98" w14:textId="7BD37EB2" w:rsidR="00B56D50" w:rsidRDefault="001C3C42" w:rsidP="00C17E1B">
            <w:pPr>
              <w:spacing w:after="0" w:line="259" w:lineRule="auto"/>
              <w:ind w:left="65" w:right="0" w:firstLine="0"/>
              <w:jc w:val="center"/>
            </w:pPr>
            <w:r>
              <w:rPr>
                <w:sz w:val="18"/>
              </w:rPr>
              <w:t>Washington Department of Ecology</w:t>
            </w:r>
            <w:r w:rsidR="00E749C2">
              <w:rPr>
                <w:sz w:val="18"/>
              </w:rPr>
              <w:t xml:space="preserve"> – </w:t>
            </w:r>
            <w:r>
              <w:rPr>
                <w:b/>
                <w:sz w:val="18"/>
              </w:rPr>
              <w:t>EPH</w:t>
            </w:r>
          </w:p>
        </w:tc>
      </w:tr>
    </w:tbl>
    <w:p w14:paraId="2B12C26C" w14:textId="370D77D6" w:rsidR="000C23F9" w:rsidRPr="00810C5D" w:rsidRDefault="000C23F9" w:rsidP="00FE3886">
      <w:pPr>
        <w:spacing w:after="0" w:line="240" w:lineRule="auto"/>
        <w:ind w:right="0"/>
        <w:rPr>
          <w:rFonts w:eastAsia="Arial"/>
        </w:rPr>
      </w:pPr>
    </w:p>
    <w:tbl>
      <w:tblPr>
        <w:tblStyle w:val="TableGrid1"/>
        <w:tblW w:w="10620" w:type="dxa"/>
        <w:tblInd w:w="-375" w:type="dxa"/>
        <w:tblCellMar>
          <w:top w:w="8" w:type="dxa"/>
          <w:left w:w="72" w:type="dxa"/>
          <w:right w:w="115" w:type="dxa"/>
        </w:tblCellMar>
        <w:tblLook w:val="04A0" w:firstRow="1" w:lastRow="0" w:firstColumn="1" w:lastColumn="0" w:noHBand="0" w:noVBand="1"/>
      </w:tblPr>
      <w:tblGrid>
        <w:gridCol w:w="4056"/>
        <w:gridCol w:w="988"/>
        <w:gridCol w:w="629"/>
        <w:gridCol w:w="802"/>
        <w:gridCol w:w="717"/>
        <w:gridCol w:w="804"/>
        <w:gridCol w:w="2624"/>
      </w:tblGrid>
      <w:tr w:rsidR="00B56D50" w14:paraId="18F44C02" w14:textId="77777777" w:rsidTr="005B6604">
        <w:trPr>
          <w:trHeight w:val="358"/>
        </w:trPr>
        <w:tc>
          <w:tcPr>
            <w:tcW w:w="10620" w:type="dxa"/>
            <w:gridSpan w:val="7"/>
            <w:tcBorders>
              <w:top w:val="single" w:sz="12" w:space="0" w:color="000000"/>
              <w:left w:val="single" w:sz="12" w:space="0" w:color="000000"/>
              <w:bottom w:val="single" w:sz="12" w:space="0" w:color="000000"/>
              <w:right w:val="single" w:sz="12" w:space="0" w:color="000000"/>
            </w:tcBorders>
            <w:vAlign w:val="center"/>
          </w:tcPr>
          <w:p w14:paraId="62DED092" w14:textId="1B890CC9" w:rsidR="008916FC" w:rsidRPr="00AC0766" w:rsidRDefault="00A4682F" w:rsidP="002F74C9">
            <w:pPr>
              <w:spacing w:after="0" w:line="240" w:lineRule="auto"/>
              <w:ind w:left="0" w:right="0" w:firstLine="0"/>
              <w:rPr>
                <w:sz w:val="18"/>
                <w:szCs w:val="18"/>
              </w:rPr>
            </w:pPr>
            <w:r>
              <w:rPr>
                <w:b/>
                <w:sz w:val="18"/>
              </w:rPr>
              <w:t xml:space="preserve">SW-846 </w:t>
            </w:r>
            <w:r w:rsidR="00D519CB">
              <w:rPr>
                <w:b/>
                <w:sz w:val="18"/>
              </w:rPr>
              <w:t xml:space="preserve">Additional Analytical Service – </w:t>
            </w:r>
            <w:r w:rsidR="001C3C42">
              <w:rPr>
                <w:b/>
                <w:sz w:val="18"/>
              </w:rPr>
              <w:t>Fraction of Organic Carbon – Soils/Sediments</w:t>
            </w:r>
          </w:p>
        </w:tc>
      </w:tr>
      <w:tr w:rsidR="00B56D50" w14:paraId="4A0BB76C" w14:textId="77777777" w:rsidTr="005B6604">
        <w:trPr>
          <w:trHeight w:val="269"/>
        </w:trPr>
        <w:tc>
          <w:tcPr>
            <w:tcW w:w="4056" w:type="dxa"/>
            <w:vMerge w:val="restart"/>
            <w:tcBorders>
              <w:top w:val="single" w:sz="12" w:space="0" w:color="000000"/>
              <w:left w:val="single" w:sz="12" w:space="0" w:color="000000"/>
              <w:bottom w:val="single" w:sz="12" w:space="0" w:color="000000"/>
              <w:right w:val="single" w:sz="12" w:space="0" w:color="000000"/>
            </w:tcBorders>
            <w:vAlign w:val="center"/>
          </w:tcPr>
          <w:p w14:paraId="6F1494EF" w14:textId="3EAD3EF2" w:rsidR="00B56D50" w:rsidRDefault="001C3C42" w:rsidP="000F7CAD">
            <w:pPr>
              <w:spacing w:after="0" w:line="259" w:lineRule="auto"/>
              <w:ind w:left="0" w:right="0" w:firstLine="0"/>
              <w:jc w:val="center"/>
            </w:pPr>
            <w:r>
              <w:rPr>
                <w:b/>
                <w:sz w:val="18"/>
              </w:rPr>
              <w:t>Analyte</w:t>
            </w:r>
          </w:p>
        </w:tc>
        <w:tc>
          <w:tcPr>
            <w:tcW w:w="988" w:type="dxa"/>
            <w:vMerge w:val="restart"/>
            <w:tcBorders>
              <w:top w:val="single" w:sz="12" w:space="0" w:color="000000"/>
              <w:left w:val="single" w:sz="12" w:space="0" w:color="000000"/>
              <w:bottom w:val="single" w:sz="12" w:space="0" w:color="000000"/>
              <w:right w:val="single" w:sz="12" w:space="0" w:color="000000"/>
            </w:tcBorders>
            <w:vAlign w:val="center"/>
          </w:tcPr>
          <w:p w14:paraId="03A2751C" w14:textId="1754A94D" w:rsidR="00B56D50" w:rsidRDefault="001C3C42" w:rsidP="000F7CAD">
            <w:pPr>
              <w:spacing w:after="0" w:line="259" w:lineRule="auto"/>
              <w:ind w:left="0" w:right="0" w:firstLine="0"/>
              <w:jc w:val="center"/>
            </w:pPr>
            <w:r>
              <w:rPr>
                <w:b/>
                <w:sz w:val="18"/>
              </w:rPr>
              <w:t>CAS Number</w:t>
            </w:r>
          </w:p>
        </w:tc>
        <w:tc>
          <w:tcPr>
            <w:tcW w:w="1431" w:type="dxa"/>
            <w:gridSpan w:val="2"/>
            <w:tcBorders>
              <w:top w:val="single" w:sz="12" w:space="0" w:color="000000"/>
              <w:left w:val="single" w:sz="12" w:space="0" w:color="000000"/>
              <w:bottom w:val="single" w:sz="12" w:space="0" w:color="000000"/>
              <w:right w:val="single" w:sz="12" w:space="0" w:color="000000"/>
            </w:tcBorders>
            <w:vAlign w:val="center"/>
          </w:tcPr>
          <w:p w14:paraId="0A737663" w14:textId="25EFAB38" w:rsidR="00B56D50" w:rsidRDefault="001C3C42" w:rsidP="000F7CAD">
            <w:pPr>
              <w:spacing w:after="0" w:line="259" w:lineRule="auto"/>
              <w:ind w:left="38" w:right="0" w:firstLine="0"/>
              <w:jc w:val="center"/>
            </w:pPr>
            <w:r>
              <w:rPr>
                <w:b/>
                <w:sz w:val="18"/>
              </w:rPr>
              <w:t>Aqueous</w:t>
            </w:r>
          </w:p>
        </w:tc>
        <w:tc>
          <w:tcPr>
            <w:tcW w:w="1521" w:type="dxa"/>
            <w:gridSpan w:val="2"/>
            <w:tcBorders>
              <w:top w:val="single" w:sz="12" w:space="0" w:color="000000"/>
              <w:left w:val="single" w:sz="12" w:space="0" w:color="000000"/>
              <w:bottom w:val="single" w:sz="12" w:space="0" w:color="000000"/>
              <w:right w:val="single" w:sz="12" w:space="0" w:color="000000"/>
            </w:tcBorders>
            <w:vAlign w:val="center"/>
          </w:tcPr>
          <w:p w14:paraId="0A9164D2" w14:textId="76883851" w:rsidR="00B56D50" w:rsidRDefault="001C3C42" w:rsidP="000F7CAD">
            <w:pPr>
              <w:spacing w:after="0" w:line="259" w:lineRule="auto"/>
              <w:ind w:left="37" w:right="0" w:firstLine="0"/>
              <w:jc w:val="center"/>
            </w:pPr>
            <w:r>
              <w:rPr>
                <w:b/>
                <w:sz w:val="18"/>
              </w:rPr>
              <w:t>Soil/Sediment</w:t>
            </w:r>
          </w:p>
        </w:tc>
        <w:tc>
          <w:tcPr>
            <w:tcW w:w="2624" w:type="dxa"/>
            <w:vMerge w:val="restart"/>
            <w:tcBorders>
              <w:top w:val="single" w:sz="12" w:space="0" w:color="000000"/>
              <w:left w:val="single" w:sz="12" w:space="0" w:color="000000"/>
              <w:bottom w:val="single" w:sz="12" w:space="0" w:color="000000"/>
              <w:right w:val="single" w:sz="12" w:space="0" w:color="000000"/>
            </w:tcBorders>
            <w:vAlign w:val="center"/>
          </w:tcPr>
          <w:p w14:paraId="06D59041" w14:textId="62E5655F" w:rsidR="00B56D50" w:rsidRDefault="001C3C42" w:rsidP="000F7CAD">
            <w:pPr>
              <w:spacing w:after="0" w:line="259" w:lineRule="auto"/>
              <w:ind w:left="39" w:right="0" w:firstLine="0"/>
              <w:jc w:val="center"/>
            </w:pPr>
            <w:r>
              <w:rPr>
                <w:b/>
                <w:sz w:val="18"/>
              </w:rPr>
              <w:t>Acceptable Methods</w:t>
            </w:r>
          </w:p>
        </w:tc>
      </w:tr>
      <w:tr w:rsidR="00C84A5D" w14:paraId="0D89CFF9" w14:textId="77777777" w:rsidTr="005B6604">
        <w:trPr>
          <w:trHeight w:val="271"/>
        </w:trPr>
        <w:tc>
          <w:tcPr>
            <w:tcW w:w="4056" w:type="dxa"/>
            <w:vMerge/>
            <w:tcBorders>
              <w:top w:val="nil"/>
              <w:left w:val="single" w:sz="12" w:space="0" w:color="000000"/>
              <w:bottom w:val="single" w:sz="12" w:space="0" w:color="000000"/>
              <w:right w:val="single" w:sz="12" w:space="0" w:color="000000"/>
            </w:tcBorders>
            <w:vAlign w:val="center"/>
          </w:tcPr>
          <w:p w14:paraId="3E8891B6" w14:textId="77777777" w:rsidR="00B56D50" w:rsidRDefault="00B56D50" w:rsidP="000F7CAD">
            <w:pPr>
              <w:spacing w:after="160" w:line="259" w:lineRule="auto"/>
              <w:ind w:left="0" w:right="0" w:firstLine="0"/>
              <w:jc w:val="center"/>
            </w:pPr>
          </w:p>
        </w:tc>
        <w:tc>
          <w:tcPr>
            <w:tcW w:w="0" w:type="auto"/>
            <w:vMerge/>
            <w:tcBorders>
              <w:top w:val="nil"/>
              <w:left w:val="single" w:sz="12" w:space="0" w:color="000000"/>
              <w:bottom w:val="single" w:sz="12" w:space="0" w:color="000000"/>
              <w:right w:val="single" w:sz="12" w:space="0" w:color="000000"/>
            </w:tcBorders>
            <w:vAlign w:val="center"/>
          </w:tcPr>
          <w:p w14:paraId="184AC70A" w14:textId="77777777" w:rsidR="00B56D50" w:rsidRDefault="00B56D50" w:rsidP="000F7CAD">
            <w:pPr>
              <w:spacing w:after="160" w:line="259" w:lineRule="auto"/>
              <w:ind w:left="0" w:right="0" w:firstLine="0"/>
              <w:jc w:val="center"/>
            </w:pPr>
          </w:p>
        </w:tc>
        <w:tc>
          <w:tcPr>
            <w:tcW w:w="629" w:type="dxa"/>
            <w:tcBorders>
              <w:top w:val="single" w:sz="12" w:space="0" w:color="000000"/>
              <w:left w:val="single" w:sz="12" w:space="0" w:color="000000"/>
              <w:bottom w:val="single" w:sz="12" w:space="0" w:color="000000"/>
              <w:right w:val="single" w:sz="12" w:space="0" w:color="000000"/>
            </w:tcBorders>
            <w:vAlign w:val="center"/>
          </w:tcPr>
          <w:p w14:paraId="07C28EE5" w14:textId="156EE7B9" w:rsidR="00B56D50" w:rsidRDefault="001C3C42" w:rsidP="000F7CAD">
            <w:pPr>
              <w:spacing w:after="0" w:line="259" w:lineRule="auto"/>
              <w:ind w:left="118" w:right="0" w:firstLine="0"/>
              <w:jc w:val="center"/>
            </w:pPr>
            <w:r>
              <w:rPr>
                <w:b/>
                <w:sz w:val="18"/>
              </w:rPr>
              <w:t>RL</w:t>
            </w:r>
          </w:p>
        </w:tc>
        <w:tc>
          <w:tcPr>
            <w:tcW w:w="802" w:type="dxa"/>
            <w:tcBorders>
              <w:top w:val="single" w:sz="12" w:space="0" w:color="000000"/>
              <w:left w:val="single" w:sz="12" w:space="0" w:color="000000"/>
              <w:bottom w:val="single" w:sz="12" w:space="0" w:color="000000"/>
              <w:right w:val="single" w:sz="12" w:space="0" w:color="000000"/>
            </w:tcBorders>
            <w:vAlign w:val="center"/>
          </w:tcPr>
          <w:p w14:paraId="4DF0ACE0" w14:textId="5ABC617F" w:rsidR="00B56D50" w:rsidRDefault="001C3C42" w:rsidP="000F7CAD">
            <w:pPr>
              <w:spacing w:after="0" w:line="259" w:lineRule="auto"/>
              <w:ind w:left="39" w:right="0" w:firstLine="0"/>
              <w:jc w:val="center"/>
            </w:pPr>
            <w:r>
              <w:rPr>
                <w:b/>
                <w:sz w:val="18"/>
              </w:rPr>
              <w:t>units</w:t>
            </w:r>
          </w:p>
        </w:tc>
        <w:tc>
          <w:tcPr>
            <w:tcW w:w="717" w:type="dxa"/>
            <w:tcBorders>
              <w:top w:val="single" w:sz="12" w:space="0" w:color="000000"/>
              <w:left w:val="single" w:sz="12" w:space="0" w:color="000000"/>
              <w:bottom w:val="single" w:sz="12" w:space="0" w:color="000000"/>
              <w:right w:val="single" w:sz="12" w:space="0" w:color="000000"/>
            </w:tcBorders>
            <w:vAlign w:val="center"/>
          </w:tcPr>
          <w:p w14:paraId="2524E45E" w14:textId="07F5354F" w:rsidR="00B56D50" w:rsidRDefault="001C3C42" w:rsidP="000F7CAD">
            <w:pPr>
              <w:spacing w:after="0" w:line="259" w:lineRule="auto"/>
              <w:ind w:left="43" w:right="0" w:firstLine="0"/>
              <w:jc w:val="center"/>
            </w:pPr>
            <w:r>
              <w:rPr>
                <w:b/>
                <w:sz w:val="18"/>
              </w:rPr>
              <w:t>RL</w:t>
            </w:r>
          </w:p>
        </w:tc>
        <w:tc>
          <w:tcPr>
            <w:tcW w:w="804" w:type="dxa"/>
            <w:tcBorders>
              <w:top w:val="single" w:sz="12" w:space="0" w:color="000000"/>
              <w:left w:val="single" w:sz="12" w:space="0" w:color="000000"/>
              <w:bottom w:val="single" w:sz="12" w:space="0" w:color="000000"/>
              <w:right w:val="single" w:sz="12" w:space="0" w:color="000000"/>
            </w:tcBorders>
            <w:vAlign w:val="center"/>
          </w:tcPr>
          <w:p w14:paraId="1359BF92" w14:textId="650AC7F3" w:rsidR="00B56D50" w:rsidRDefault="001C3C42" w:rsidP="000F7CAD">
            <w:pPr>
              <w:spacing w:after="0" w:line="259" w:lineRule="auto"/>
              <w:ind w:left="39" w:right="0" w:firstLine="0"/>
              <w:jc w:val="center"/>
            </w:pPr>
            <w:r>
              <w:rPr>
                <w:b/>
                <w:sz w:val="18"/>
              </w:rPr>
              <w:t>units</w:t>
            </w:r>
          </w:p>
        </w:tc>
        <w:tc>
          <w:tcPr>
            <w:tcW w:w="2624" w:type="dxa"/>
            <w:vMerge/>
            <w:tcBorders>
              <w:top w:val="nil"/>
              <w:left w:val="single" w:sz="12" w:space="0" w:color="000000"/>
              <w:bottom w:val="single" w:sz="12" w:space="0" w:color="000000"/>
              <w:right w:val="single" w:sz="12" w:space="0" w:color="000000"/>
            </w:tcBorders>
            <w:vAlign w:val="center"/>
          </w:tcPr>
          <w:p w14:paraId="7516FA36" w14:textId="77777777" w:rsidR="00B56D50" w:rsidRDefault="00B56D50" w:rsidP="000F7CAD">
            <w:pPr>
              <w:spacing w:after="160" w:line="259" w:lineRule="auto"/>
              <w:ind w:left="0" w:right="0" w:firstLine="0"/>
              <w:jc w:val="center"/>
            </w:pPr>
          </w:p>
        </w:tc>
      </w:tr>
      <w:tr w:rsidR="00B56D50" w14:paraId="58CC30E7" w14:textId="77777777" w:rsidTr="005B6604">
        <w:trPr>
          <w:trHeight w:val="259"/>
        </w:trPr>
        <w:tc>
          <w:tcPr>
            <w:tcW w:w="4056" w:type="dxa"/>
            <w:tcBorders>
              <w:top w:val="single" w:sz="12" w:space="0" w:color="000000"/>
              <w:left w:val="single" w:sz="12" w:space="0" w:color="000000"/>
              <w:bottom w:val="single" w:sz="4" w:space="0" w:color="000000"/>
              <w:right w:val="single" w:sz="12" w:space="0" w:color="000000"/>
            </w:tcBorders>
          </w:tcPr>
          <w:p w14:paraId="7AFC3BBA" w14:textId="77777777" w:rsidR="00B56D50" w:rsidRDefault="001C3C42">
            <w:pPr>
              <w:spacing w:after="0" w:line="259" w:lineRule="auto"/>
              <w:ind w:left="2" w:right="0" w:firstLine="0"/>
            </w:pPr>
            <w:r>
              <w:rPr>
                <w:sz w:val="18"/>
              </w:rPr>
              <w:t xml:space="preserve">Fraction Organic Carbon (prep) </w:t>
            </w:r>
          </w:p>
        </w:tc>
        <w:tc>
          <w:tcPr>
            <w:tcW w:w="988" w:type="dxa"/>
            <w:tcBorders>
              <w:top w:val="single" w:sz="12" w:space="0" w:color="000000"/>
              <w:left w:val="single" w:sz="12" w:space="0" w:color="000000"/>
              <w:bottom w:val="single" w:sz="4" w:space="0" w:color="000000"/>
              <w:right w:val="single" w:sz="12" w:space="0" w:color="000000"/>
            </w:tcBorders>
          </w:tcPr>
          <w:p w14:paraId="398C3838" w14:textId="77777777" w:rsidR="00B56D50" w:rsidRDefault="001C3C42">
            <w:pPr>
              <w:spacing w:after="0" w:line="259" w:lineRule="auto"/>
              <w:ind w:left="41" w:right="0" w:firstLine="0"/>
              <w:jc w:val="center"/>
            </w:pPr>
            <w:r>
              <w:rPr>
                <w:sz w:val="18"/>
              </w:rPr>
              <w:t xml:space="preserve">N/A </w:t>
            </w:r>
          </w:p>
        </w:tc>
        <w:tc>
          <w:tcPr>
            <w:tcW w:w="629" w:type="dxa"/>
            <w:tcBorders>
              <w:top w:val="single" w:sz="12" w:space="0" w:color="000000"/>
              <w:left w:val="single" w:sz="12" w:space="0" w:color="000000"/>
              <w:bottom w:val="single" w:sz="4" w:space="0" w:color="000000"/>
              <w:right w:val="single" w:sz="12" w:space="0" w:color="000000"/>
            </w:tcBorders>
          </w:tcPr>
          <w:p w14:paraId="53559AAD" w14:textId="77777777" w:rsidR="00B56D50" w:rsidRDefault="001C3C42">
            <w:pPr>
              <w:spacing w:after="0" w:line="259" w:lineRule="auto"/>
              <w:ind w:left="89" w:right="0" w:firstLine="0"/>
            </w:pPr>
            <w:r>
              <w:rPr>
                <w:sz w:val="18"/>
              </w:rPr>
              <w:t xml:space="preserve">N/A </w:t>
            </w:r>
          </w:p>
        </w:tc>
        <w:tc>
          <w:tcPr>
            <w:tcW w:w="802" w:type="dxa"/>
            <w:tcBorders>
              <w:top w:val="single" w:sz="12" w:space="0" w:color="000000"/>
              <w:left w:val="single" w:sz="12" w:space="0" w:color="000000"/>
              <w:bottom w:val="single" w:sz="4" w:space="0" w:color="000000"/>
              <w:right w:val="single" w:sz="12" w:space="0" w:color="000000"/>
            </w:tcBorders>
          </w:tcPr>
          <w:p w14:paraId="161BD2FD" w14:textId="77777777" w:rsidR="00B56D50" w:rsidRDefault="001C3C42">
            <w:pPr>
              <w:spacing w:after="0" w:line="259" w:lineRule="auto"/>
              <w:ind w:left="44" w:right="0" w:firstLine="0"/>
              <w:jc w:val="center"/>
            </w:pPr>
            <w:r>
              <w:rPr>
                <w:sz w:val="18"/>
              </w:rPr>
              <w:t xml:space="preserve">N/A </w:t>
            </w:r>
          </w:p>
        </w:tc>
        <w:tc>
          <w:tcPr>
            <w:tcW w:w="717" w:type="dxa"/>
            <w:tcBorders>
              <w:top w:val="single" w:sz="12" w:space="0" w:color="000000"/>
              <w:left w:val="single" w:sz="12" w:space="0" w:color="000000"/>
              <w:bottom w:val="single" w:sz="4" w:space="0" w:color="000000"/>
              <w:right w:val="single" w:sz="12" w:space="0" w:color="000000"/>
            </w:tcBorders>
          </w:tcPr>
          <w:p w14:paraId="4479FC37" w14:textId="77777777" w:rsidR="00B56D50" w:rsidRDefault="001C3C42">
            <w:pPr>
              <w:spacing w:after="0" w:line="259" w:lineRule="auto"/>
              <w:ind w:left="41" w:right="0" w:firstLine="0"/>
              <w:jc w:val="center"/>
            </w:pPr>
            <w:r>
              <w:rPr>
                <w:sz w:val="18"/>
              </w:rPr>
              <w:t xml:space="preserve">N/A </w:t>
            </w:r>
          </w:p>
        </w:tc>
        <w:tc>
          <w:tcPr>
            <w:tcW w:w="804" w:type="dxa"/>
            <w:tcBorders>
              <w:top w:val="single" w:sz="12" w:space="0" w:color="000000"/>
              <w:left w:val="single" w:sz="12" w:space="0" w:color="000000"/>
              <w:bottom w:val="single" w:sz="4" w:space="0" w:color="000000"/>
              <w:right w:val="single" w:sz="12" w:space="0" w:color="000000"/>
            </w:tcBorders>
          </w:tcPr>
          <w:p w14:paraId="16CDAEB0" w14:textId="77777777" w:rsidR="00B56D50" w:rsidRDefault="001C3C42">
            <w:pPr>
              <w:spacing w:after="0" w:line="259" w:lineRule="auto"/>
              <w:ind w:left="44" w:right="0" w:firstLine="0"/>
              <w:jc w:val="center"/>
            </w:pPr>
            <w:r>
              <w:rPr>
                <w:sz w:val="18"/>
              </w:rPr>
              <w:t xml:space="preserve">N/A </w:t>
            </w:r>
          </w:p>
        </w:tc>
        <w:tc>
          <w:tcPr>
            <w:tcW w:w="2624" w:type="dxa"/>
            <w:tcBorders>
              <w:top w:val="single" w:sz="12" w:space="0" w:color="000000"/>
              <w:left w:val="single" w:sz="12" w:space="0" w:color="000000"/>
              <w:bottom w:val="single" w:sz="4" w:space="0" w:color="000000"/>
              <w:right w:val="single" w:sz="12" w:space="0" w:color="000000"/>
            </w:tcBorders>
          </w:tcPr>
          <w:p w14:paraId="6BB34E35" w14:textId="77777777" w:rsidR="00B56D50" w:rsidRDefault="001C3C42">
            <w:pPr>
              <w:spacing w:after="0" w:line="259" w:lineRule="auto"/>
              <w:ind w:left="41" w:right="0" w:firstLine="0"/>
              <w:jc w:val="center"/>
            </w:pPr>
            <w:r>
              <w:rPr>
                <w:sz w:val="18"/>
              </w:rPr>
              <w:t xml:space="preserve">ASTM D421 </w:t>
            </w:r>
          </w:p>
        </w:tc>
      </w:tr>
      <w:tr w:rsidR="00B56D50" w14:paraId="166095B5" w14:textId="77777777" w:rsidTr="005B6604">
        <w:trPr>
          <w:trHeight w:val="252"/>
        </w:trPr>
        <w:tc>
          <w:tcPr>
            <w:tcW w:w="4056" w:type="dxa"/>
            <w:tcBorders>
              <w:top w:val="single" w:sz="4" w:space="0" w:color="000000"/>
              <w:left w:val="single" w:sz="12" w:space="0" w:color="000000"/>
              <w:bottom w:val="single" w:sz="4" w:space="0" w:color="000000"/>
              <w:right w:val="single" w:sz="12" w:space="0" w:color="000000"/>
            </w:tcBorders>
          </w:tcPr>
          <w:p w14:paraId="2C7CEC41" w14:textId="77777777" w:rsidR="00B56D50" w:rsidRDefault="001C3C42">
            <w:pPr>
              <w:spacing w:after="0" w:line="259" w:lineRule="auto"/>
              <w:ind w:left="2" w:right="0" w:firstLine="0"/>
            </w:pPr>
            <w:r>
              <w:rPr>
                <w:sz w:val="18"/>
              </w:rPr>
              <w:t xml:space="preserve">Fraction Organic Carbon </w:t>
            </w:r>
          </w:p>
        </w:tc>
        <w:tc>
          <w:tcPr>
            <w:tcW w:w="988" w:type="dxa"/>
            <w:tcBorders>
              <w:top w:val="single" w:sz="4" w:space="0" w:color="000000"/>
              <w:left w:val="single" w:sz="12" w:space="0" w:color="000000"/>
              <w:bottom w:val="single" w:sz="4" w:space="0" w:color="000000"/>
              <w:right w:val="single" w:sz="12" w:space="0" w:color="000000"/>
            </w:tcBorders>
          </w:tcPr>
          <w:p w14:paraId="4F804763" w14:textId="77777777" w:rsidR="00B56D50" w:rsidRDefault="001C3C42">
            <w:pPr>
              <w:spacing w:after="0" w:line="259" w:lineRule="auto"/>
              <w:ind w:left="41" w:right="0" w:firstLine="0"/>
              <w:jc w:val="center"/>
            </w:pPr>
            <w:r>
              <w:rPr>
                <w:sz w:val="18"/>
              </w:rPr>
              <w:t xml:space="preserve">N/A </w:t>
            </w:r>
          </w:p>
        </w:tc>
        <w:tc>
          <w:tcPr>
            <w:tcW w:w="629" w:type="dxa"/>
            <w:tcBorders>
              <w:top w:val="single" w:sz="4" w:space="0" w:color="000000"/>
              <w:left w:val="single" w:sz="12" w:space="0" w:color="000000"/>
              <w:bottom w:val="single" w:sz="4" w:space="0" w:color="000000"/>
              <w:right w:val="single" w:sz="12" w:space="0" w:color="000000"/>
            </w:tcBorders>
          </w:tcPr>
          <w:p w14:paraId="073F8FA3" w14:textId="77777777" w:rsidR="00B56D50" w:rsidRDefault="001C3C42">
            <w:pPr>
              <w:spacing w:after="0" w:line="259" w:lineRule="auto"/>
              <w:ind w:left="89" w:right="0" w:firstLine="0"/>
            </w:pPr>
            <w:r>
              <w:rPr>
                <w:sz w:val="18"/>
              </w:rPr>
              <w:t xml:space="preserve">N/A </w:t>
            </w:r>
          </w:p>
        </w:tc>
        <w:tc>
          <w:tcPr>
            <w:tcW w:w="802" w:type="dxa"/>
            <w:tcBorders>
              <w:top w:val="single" w:sz="4" w:space="0" w:color="000000"/>
              <w:left w:val="single" w:sz="12" w:space="0" w:color="000000"/>
              <w:bottom w:val="single" w:sz="4" w:space="0" w:color="000000"/>
              <w:right w:val="single" w:sz="12" w:space="0" w:color="000000"/>
            </w:tcBorders>
          </w:tcPr>
          <w:p w14:paraId="2C761E8F" w14:textId="77777777" w:rsidR="00B56D50" w:rsidRDefault="001C3C42">
            <w:pPr>
              <w:spacing w:after="0" w:line="259" w:lineRule="auto"/>
              <w:ind w:left="44" w:right="0" w:firstLine="0"/>
              <w:jc w:val="center"/>
            </w:pPr>
            <w:r>
              <w:rPr>
                <w:sz w:val="18"/>
              </w:rPr>
              <w:t xml:space="preserve">N/A </w:t>
            </w:r>
          </w:p>
        </w:tc>
        <w:tc>
          <w:tcPr>
            <w:tcW w:w="717" w:type="dxa"/>
            <w:tcBorders>
              <w:top w:val="single" w:sz="4" w:space="0" w:color="000000"/>
              <w:left w:val="single" w:sz="12" w:space="0" w:color="000000"/>
              <w:bottom w:val="single" w:sz="4" w:space="0" w:color="000000"/>
              <w:right w:val="single" w:sz="12" w:space="0" w:color="000000"/>
            </w:tcBorders>
          </w:tcPr>
          <w:p w14:paraId="4A7F0C38" w14:textId="77777777" w:rsidR="00B56D50" w:rsidRDefault="001C3C42">
            <w:pPr>
              <w:spacing w:after="0" w:line="259" w:lineRule="auto"/>
              <w:ind w:left="41" w:right="0" w:firstLine="0"/>
              <w:jc w:val="center"/>
            </w:pPr>
            <w:r>
              <w:rPr>
                <w:sz w:val="18"/>
              </w:rPr>
              <w:t xml:space="preserve">N/A </w:t>
            </w:r>
          </w:p>
        </w:tc>
        <w:tc>
          <w:tcPr>
            <w:tcW w:w="804" w:type="dxa"/>
            <w:tcBorders>
              <w:top w:val="single" w:sz="4" w:space="0" w:color="000000"/>
              <w:left w:val="single" w:sz="12" w:space="0" w:color="000000"/>
              <w:bottom w:val="single" w:sz="4" w:space="0" w:color="000000"/>
              <w:right w:val="single" w:sz="12" w:space="0" w:color="000000"/>
            </w:tcBorders>
          </w:tcPr>
          <w:p w14:paraId="0704A9FF" w14:textId="77777777" w:rsidR="00B56D50" w:rsidRDefault="001C3C42">
            <w:pPr>
              <w:spacing w:after="0" w:line="259" w:lineRule="auto"/>
              <w:ind w:left="42" w:right="0" w:firstLine="0"/>
              <w:jc w:val="center"/>
            </w:pPr>
            <w:r>
              <w:rPr>
                <w:sz w:val="18"/>
              </w:rPr>
              <w:t xml:space="preserve">% </w:t>
            </w:r>
          </w:p>
        </w:tc>
        <w:tc>
          <w:tcPr>
            <w:tcW w:w="2624" w:type="dxa"/>
            <w:tcBorders>
              <w:top w:val="single" w:sz="4" w:space="0" w:color="000000"/>
              <w:left w:val="single" w:sz="12" w:space="0" w:color="000000"/>
              <w:bottom w:val="single" w:sz="4" w:space="0" w:color="000000"/>
              <w:right w:val="single" w:sz="12" w:space="0" w:color="000000"/>
            </w:tcBorders>
          </w:tcPr>
          <w:p w14:paraId="58FA5375" w14:textId="77777777" w:rsidR="00B56D50" w:rsidRDefault="001C3C42">
            <w:pPr>
              <w:spacing w:after="0" w:line="259" w:lineRule="auto"/>
              <w:ind w:left="39" w:right="0" w:firstLine="0"/>
              <w:jc w:val="center"/>
            </w:pPr>
            <w:r>
              <w:rPr>
                <w:sz w:val="18"/>
              </w:rPr>
              <w:t xml:space="preserve">Walkley Black </w:t>
            </w:r>
          </w:p>
        </w:tc>
      </w:tr>
      <w:tr w:rsidR="00B56D50" w14:paraId="16BC58C8" w14:textId="77777777" w:rsidTr="005B6604">
        <w:trPr>
          <w:trHeight w:val="257"/>
        </w:trPr>
        <w:tc>
          <w:tcPr>
            <w:tcW w:w="4056" w:type="dxa"/>
            <w:tcBorders>
              <w:top w:val="single" w:sz="4" w:space="0" w:color="000000"/>
              <w:left w:val="single" w:sz="12" w:space="0" w:color="000000"/>
              <w:bottom w:val="single" w:sz="12" w:space="0" w:color="000000"/>
              <w:right w:val="single" w:sz="12" w:space="0" w:color="000000"/>
            </w:tcBorders>
          </w:tcPr>
          <w:p w14:paraId="125C114E" w14:textId="77777777" w:rsidR="00B56D50" w:rsidRDefault="001C3C42">
            <w:pPr>
              <w:spacing w:after="0" w:line="259" w:lineRule="auto"/>
              <w:ind w:left="2" w:right="0" w:firstLine="0"/>
            </w:pPr>
            <w:r>
              <w:rPr>
                <w:sz w:val="18"/>
              </w:rPr>
              <w:t xml:space="preserve"> Soil Drying and #10 Sieving  </w:t>
            </w:r>
          </w:p>
        </w:tc>
        <w:tc>
          <w:tcPr>
            <w:tcW w:w="988" w:type="dxa"/>
            <w:tcBorders>
              <w:top w:val="single" w:sz="4" w:space="0" w:color="000000"/>
              <w:left w:val="single" w:sz="12" w:space="0" w:color="000000"/>
              <w:bottom w:val="single" w:sz="12" w:space="0" w:color="000000"/>
              <w:right w:val="single" w:sz="12" w:space="0" w:color="000000"/>
            </w:tcBorders>
          </w:tcPr>
          <w:p w14:paraId="71109AED" w14:textId="77777777" w:rsidR="00B56D50" w:rsidRDefault="001C3C42">
            <w:pPr>
              <w:spacing w:after="0" w:line="259" w:lineRule="auto"/>
              <w:ind w:left="44" w:right="0" w:firstLine="0"/>
              <w:jc w:val="center"/>
            </w:pPr>
            <w:r>
              <w:rPr>
                <w:sz w:val="18"/>
              </w:rPr>
              <w:t xml:space="preserve">NA </w:t>
            </w:r>
          </w:p>
        </w:tc>
        <w:tc>
          <w:tcPr>
            <w:tcW w:w="629" w:type="dxa"/>
            <w:tcBorders>
              <w:top w:val="single" w:sz="4" w:space="0" w:color="000000"/>
              <w:left w:val="single" w:sz="12" w:space="0" w:color="000000"/>
              <w:bottom w:val="single" w:sz="12" w:space="0" w:color="000000"/>
              <w:right w:val="single" w:sz="12" w:space="0" w:color="000000"/>
            </w:tcBorders>
          </w:tcPr>
          <w:p w14:paraId="25145BC7" w14:textId="77777777" w:rsidR="00B56D50" w:rsidRDefault="001C3C42">
            <w:pPr>
              <w:spacing w:after="0" w:line="259" w:lineRule="auto"/>
              <w:ind w:left="113" w:right="0" w:firstLine="0"/>
            </w:pPr>
            <w:r>
              <w:rPr>
                <w:sz w:val="18"/>
              </w:rPr>
              <w:t xml:space="preserve">NA </w:t>
            </w:r>
          </w:p>
        </w:tc>
        <w:tc>
          <w:tcPr>
            <w:tcW w:w="802" w:type="dxa"/>
            <w:tcBorders>
              <w:top w:val="single" w:sz="4" w:space="0" w:color="000000"/>
              <w:left w:val="single" w:sz="12" w:space="0" w:color="000000"/>
              <w:bottom w:val="single" w:sz="12" w:space="0" w:color="000000"/>
              <w:right w:val="single" w:sz="12" w:space="0" w:color="000000"/>
            </w:tcBorders>
          </w:tcPr>
          <w:p w14:paraId="1911A781" w14:textId="77777777" w:rsidR="00B56D50" w:rsidRDefault="001C3C42">
            <w:pPr>
              <w:spacing w:after="0" w:line="259" w:lineRule="auto"/>
              <w:ind w:left="42" w:right="0" w:firstLine="0"/>
              <w:jc w:val="center"/>
            </w:pPr>
            <w:r>
              <w:rPr>
                <w:sz w:val="18"/>
              </w:rPr>
              <w:t xml:space="preserve">NA </w:t>
            </w:r>
          </w:p>
        </w:tc>
        <w:tc>
          <w:tcPr>
            <w:tcW w:w="717" w:type="dxa"/>
            <w:tcBorders>
              <w:top w:val="single" w:sz="4" w:space="0" w:color="000000"/>
              <w:left w:val="single" w:sz="12" w:space="0" w:color="000000"/>
              <w:bottom w:val="single" w:sz="12" w:space="0" w:color="000000"/>
              <w:right w:val="single" w:sz="12" w:space="0" w:color="000000"/>
            </w:tcBorders>
          </w:tcPr>
          <w:p w14:paraId="5553BAE8" w14:textId="77777777" w:rsidR="00B56D50" w:rsidRDefault="001C3C42">
            <w:pPr>
              <w:spacing w:after="0" w:line="259" w:lineRule="auto"/>
              <w:ind w:left="44" w:right="0" w:firstLine="0"/>
              <w:jc w:val="center"/>
            </w:pPr>
            <w:r>
              <w:rPr>
                <w:sz w:val="18"/>
              </w:rPr>
              <w:t xml:space="preserve">NA </w:t>
            </w:r>
          </w:p>
        </w:tc>
        <w:tc>
          <w:tcPr>
            <w:tcW w:w="804" w:type="dxa"/>
            <w:tcBorders>
              <w:top w:val="single" w:sz="4" w:space="0" w:color="000000"/>
              <w:left w:val="single" w:sz="12" w:space="0" w:color="000000"/>
              <w:bottom w:val="single" w:sz="12" w:space="0" w:color="000000"/>
              <w:right w:val="single" w:sz="12" w:space="0" w:color="000000"/>
            </w:tcBorders>
          </w:tcPr>
          <w:p w14:paraId="08363538" w14:textId="77777777" w:rsidR="00B56D50" w:rsidRDefault="001C3C42">
            <w:pPr>
              <w:spacing w:after="0" w:line="259" w:lineRule="auto"/>
              <w:ind w:left="41" w:right="0" w:firstLine="0"/>
              <w:jc w:val="center"/>
            </w:pPr>
            <w:r>
              <w:rPr>
                <w:sz w:val="18"/>
              </w:rPr>
              <w:t xml:space="preserve">NA </w:t>
            </w:r>
          </w:p>
        </w:tc>
        <w:tc>
          <w:tcPr>
            <w:tcW w:w="2624" w:type="dxa"/>
            <w:tcBorders>
              <w:top w:val="single" w:sz="4" w:space="0" w:color="000000"/>
              <w:left w:val="single" w:sz="12" w:space="0" w:color="000000"/>
              <w:bottom w:val="single" w:sz="12" w:space="0" w:color="000000"/>
              <w:right w:val="single" w:sz="12" w:space="0" w:color="000000"/>
            </w:tcBorders>
          </w:tcPr>
          <w:p w14:paraId="22A45E24" w14:textId="451A08C8" w:rsidR="00B56D50" w:rsidRDefault="001C3C42">
            <w:pPr>
              <w:spacing w:after="0" w:line="259" w:lineRule="auto"/>
              <w:ind w:left="40" w:right="0" w:firstLine="0"/>
              <w:jc w:val="center"/>
            </w:pPr>
            <w:r>
              <w:rPr>
                <w:sz w:val="18"/>
              </w:rPr>
              <w:t xml:space="preserve">As </w:t>
            </w:r>
            <w:proofErr w:type="gramStart"/>
            <w:r w:rsidR="00171BF3">
              <w:rPr>
                <w:sz w:val="18"/>
              </w:rPr>
              <w:t>Requested</w:t>
            </w:r>
            <w:proofErr w:type="gramEnd"/>
          </w:p>
        </w:tc>
      </w:tr>
    </w:tbl>
    <w:p w14:paraId="4BF8F30C" w14:textId="77777777" w:rsidR="002161AA" w:rsidRDefault="002161AA" w:rsidP="002161AA">
      <w:pPr>
        <w:spacing w:after="0" w:line="259" w:lineRule="auto"/>
        <w:ind w:right="0"/>
      </w:pPr>
    </w:p>
    <w:p w14:paraId="4BBF64EC" w14:textId="77777777" w:rsidR="00CC0BAC" w:rsidRDefault="00CC0BAC" w:rsidP="002161AA">
      <w:pPr>
        <w:spacing w:after="0" w:line="259" w:lineRule="auto"/>
        <w:ind w:right="0"/>
      </w:pPr>
    </w:p>
    <w:p w14:paraId="66E7C96D" w14:textId="77777777" w:rsidR="00CC0BAC" w:rsidRDefault="00CC0BAC" w:rsidP="002161AA">
      <w:pPr>
        <w:spacing w:after="0" w:line="259" w:lineRule="auto"/>
        <w:ind w:right="0"/>
      </w:pPr>
    </w:p>
    <w:p w14:paraId="2E246691" w14:textId="77777777" w:rsidR="00CC0BAC" w:rsidRDefault="00CC0BAC" w:rsidP="002161AA">
      <w:pPr>
        <w:spacing w:after="0" w:line="259" w:lineRule="auto"/>
        <w:ind w:right="0"/>
      </w:pPr>
    </w:p>
    <w:p w14:paraId="48126719" w14:textId="77777777" w:rsidR="00CC0BAC" w:rsidRDefault="00CC0BAC" w:rsidP="002161AA">
      <w:pPr>
        <w:spacing w:after="0" w:line="259" w:lineRule="auto"/>
        <w:ind w:right="0"/>
      </w:pPr>
    </w:p>
    <w:p w14:paraId="514B3DE5" w14:textId="77777777" w:rsidR="00CC0BAC" w:rsidRDefault="00CC0BAC" w:rsidP="00CC0BAC">
      <w:pPr>
        <w:ind w:left="0" w:firstLine="0"/>
        <w:jc w:val="center"/>
      </w:pPr>
      <w:r>
        <w:rPr>
          <w:b/>
        </w:rPr>
        <w:t>THE REMAINDER OF THIS PAGE HAS BEEN LEFT BLANK INTENTIONALLY</w:t>
      </w:r>
    </w:p>
    <w:p w14:paraId="6AC9D77A" w14:textId="77777777" w:rsidR="00CC0BAC" w:rsidRDefault="00CC0BAC" w:rsidP="002161AA">
      <w:pPr>
        <w:spacing w:after="0" w:line="259" w:lineRule="auto"/>
        <w:ind w:right="0"/>
      </w:pPr>
    </w:p>
    <w:p w14:paraId="5A9A5485" w14:textId="77777777" w:rsidR="00CC0BAC" w:rsidRDefault="00CC0BAC" w:rsidP="002161AA">
      <w:pPr>
        <w:spacing w:after="0" w:line="259" w:lineRule="auto"/>
        <w:ind w:right="0"/>
      </w:pPr>
    </w:p>
    <w:p w14:paraId="1276D0BC" w14:textId="77777777" w:rsidR="00CC0BAC" w:rsidRDefault="00CC0BAC" w:rsidP="002161AA">
      <w:pPr>
        <w:spacing w:after="0" w:line="259" w:lineRule="auto"/>
        <w:ind w:right="0"/>
      </w:pPr>
    </w:p>
    <w:p w14:paraId="6F86E127" w14:textId="77777777" w:rsidR="00CC0BAC" w:rsidRDefault="00CC0BAC" w:rsidP="002161AA">
      <w:pPr>
        <w:spacing w:after="0" w:line="259" w:lineRule="auto"/>
        <w:ind w:right="0"/>
      </w:pPr>
    </w:p>
    <w:p w14:paraId="3F8BC054" w14:textId="77777777" w:rsidR="00CC0BAC" w:rsidRDefault="00CC0BAC" w:rsidP="002161AA">
      <w:pPr>
        <w:spacing w:after="0" w:line="259" w:lineRule="auto"/>
        <w:ind w:right="0"/>
      </w:pPr>
    </w:p>
    <w:p w14:paraId="0D746D96" w14:textId="77777777" w:rsidR="00CC0BAC" w:rsidRDefault="00CC0BAC" w:rsidP="002161AA">
      <w:pPr>
        <w:spacing w:after="0" w:line="259" w:lineRule="auto"/>
        <w:ind w:right="0"/>
      </w:pPr>
    </w:p>
    <w:p w14:paraId="062B398C" w14:textId="77777777" w:rsidR="00CC0BAC" w:rsidRDefault="00CC0BAC" w:rsidP="002161AA">
      <w:pPr>
        <w:spacing w:after="0" w:line="259" w:lineRule="auto"/>
        <w:ind w:right="0"/>
      </w:pPr>
    </w:p>
    <w:p w14:paraId="3EB8A5B5" w14:textId="77777777" w:rsidR="00CC0BAC" w:rsidRDefault="00CC0BAC" w:rsidP="002161AA">
      <w:pPr>
        <w:spacing w:after="0" w:line="259" w:lineRule="auto"/>
        <w:ind w:right="0"/>
      </w:pPr>
    </w:p>
    <w:p w14:paraId="12726604" w14:textId="77777777" w:rsidR="00CC0BAC" w:rsidRDefault="00CC0BAC" w:rsidP="002161AA">
      <w:pPr>
        <w:spacing w:after="0" w:line="259" w:lineRule="auto"/>
        <w:ind w:right="0"/>
      </w:pPr>
    </w:p>
    <w:p w14:paraId="74BA9F21" w14:textId="77777777" w:rsidR="00CC0BAC" w:rsidRDefault="00CC0BAC" w:rsidP="002161AA">
      <w:pPr>
        <w:spacing w:after="0" w:line="259" w:lineRule="auto"/>
        <w:ind w:right="0"/>
      </w:pPr>
    </w:p>
    <w:p w14:paraId="26B749D9" w14:textId="77777777" w:rsidR="00CC0BAC" w:rsidRDefault="00CC0BAC" w:rsidP="002161AA">
      <w:pPr>
        <w:spacing w:after="0" w:line="259" w:lineRule="auto"/>
        <w:ind w:right="0"/>
      </w:pPr>
    </w:p>
    <w:p w14:paraId="5F97A660" w14:textId="77777777" w:rsidR="00CC0BAC" w:rsidRDefault="00CC0BAC" w:rsidP="002161AA">
      <w:pPr>
        <w:spacing w:after="0" w:line="259" w:lineRule="auto"/>
        <w:ind w:right="0"/>
      </w:pPr>
    </w:p>
    <w:p w14:paraId="61824760" w14:textId="77777777" w:rsidR="00CC0BAC" w:rsidRDefault="00CC0BAC" w:rsidP="002161AA">
      <w:pPr>
        <w:spacing w:after="0" w:line="259" w:lineRule="auto"/>
        <w:ind w:right="0"/>
      </w:pPr>
    </w:p>
    <w:p w14:paraId="3A6F7231" w14:textId="77777777" w:rsidR="00CC0BAC" w:rsidRDefault="00CC0BAC" w:rsidP="002161AA">
      <w:pPr>
        <w:spacing w:after="0" w:line="259" w:lineRule="auto"/>
        <w:ind w:right="0"/>
      </w:pPr>
    </w:p>
    <w:p w14:paraId="2397805A" w14:textId="77777777" w:rsidR="00CC0BAC" w:rsidRDefault="00CC0BAC" w:rsidP="002161AA">
      <w:pPr>
        <w:spacing w:after="0" w:line="259" w:lineRule="auto"/>
        <w:ind w:right="0"/>
      </w:pPr>
    </w:p>
    <w:p w14:paraId="7D541463" w14:textId="77777777" w:rsidR="00CC0BAC" w:rsidRDefault="00CC0BAC" w:rsidP="002161AA">
      <w:pPr>
        <w:spacing w:after="0" w:line="259" w:lineRule="auto"/>
        <w:ind w:right="0"/>
      </w:pPr>
    </w:p>
    <w:p w14:paraId="152B00D0" w14:textId="77777777" w:rsidR="00CC0BAC" w:rsidRDefault="00CC0BAC" w:rsidP="002161AA">
      <w:pPr>
        <w:spacing w:after="0" w:line="259" w:lineRule="auto"/>
        <w:ind w:right="0"/>
      </w:pPr>
    </w:p>
    <w:p w14:paraId="0E364BFD" w14:textId="77777777" w:rsidR="00D16269" w:rsidRDefault="00D16269" w:rsidP="002161AA">
      <w:pPr>
        <w:spacing w:after="0" w:line="259" w:lineRule="auto"/>
        <w:ind w:right="0"/>
      </w:pPr>
    </w:p>
    <w:p w14:paraId="183701C6" w14:textId="77777777" w:rsidR="00CC0BAC" w:rsidRDefault="00CC0BAC" w:rsidP="002161AA">
      <w:pPr>
        <w:spacing w:after="0" w:line="259" w:lineRule="auto"/>
        <w:ind w:right="0"/>
      </w:pPr>
    </w:p>
    <w:p w14:paraId="3C6B1BA4" w14:textId="77777777" w:rsidR="00CC0BAC" w:rsidRDefault="00CC0BAC" w:rsidP="002161AA">
      <w:pPr>
        <w:spacing w:after="0" w:line="259" w:lineRule="auto"/>
        <w:ind w:right="0"/>
      </w:pPr>
    </w:p>
    <w:p w14:paraId="2DDB96F5" w14:textId="77777777" w:rsidR="00690BC6" w:rsidRDefault="00690BC6" w:rsidP="002161AA">
      <w:pPr>
        <w:spacing w:after="0" w:line="259" w:lineRule="auto"/>
        <w:ind w:right="0"/>
      </w:pPr>
    </w:p>
    <w:p w14:paraId="3FC1A55A" w14:textId="77777777" w:rsidR="00CC0BAC" w:rsidRDefault="00CC0BAC" w:rsidP="002161AA">
      <w:pPr>
        <w:spacing w:after="0" w:line="259" w:lineRule="auto"/>
        <w:ind w:right="0"/>
      </w:pPr>
    </w:p>
    <w:p w14:paraId="358F4BEB" w14:textId="77777777" w:rsidR="00CC0BAC" w:rsidRDefault="00CC0BAC" w:rsidP="002161AA">
      <w:pPr>
        <w:spacing w:after="0" w:line="259" w:lineRule="auto"/>
        <w:ind w:right="0"/>
      </w:pPr>
    </w:p>
    <w:p w14:paraId="08E1F4F1" w14:textId="77777777" w:rsidR="00CC0BAC" w:rsidRDefault="00CC0BAC" w:rsidP="002161AA">
      <w:pPr>
        <w:spacing w:after="0" w:line="259" w:lineRule="auto"/>
        <w:ind w:right="0"/>
      </w:pPr>
    </w:p>
    <w:p w14:paraId="5972E003" w14:textId="63F1EDEF" w:rsidR="002161AA" w:rsidRPr="00894BBB" w:rsidRDefault="002161AA" w:rsidP="00B66CD3">
      <w:pPr>
        <w:jc w:val="center"/>
        <w:rPr>
          <w:b/>
          <w:bCs/>
        </w:rPr>
      </w:pPr>
      <w:r w:rsidRPr="00894BBB">
        <w:rPr>
          <w:b/>
          <w:bCs/>
        </w:rPr>
        <w:lastRenderedPageBreak/>
        <w:t>SW</w:t>
      </w:r>
      <w:r w:rsidR="006B3E37" w:rsidRPr="00894BBB">
        <w:rPr>
          <w:b/>
          <w:bCs/>
        </w:rPr>
        <w:t>-</w:t>
      </w:r>
      <w:r w:rsidRPr="00894BBB">
        <w:rPr>
          <w:b/>
          <w:bCs/>
        </w:rPr>
        <w:t xml:space="preserve">846 </w:t>
      </w:r>
      <w:r w:rsidR="004D6516" w:rsidRPr="00894BBB">
        <w:rPr>
          <w:b/>
          <w:bCs/>
        </w:rPr>
        <w:t>Special Analytical Services</w:t>
      </w:r>
      <w:r w:rsidR="007B233D" w:rsidRPr="00894BBB">
        <w:rPr>
          <w:b/>
          <w:bCs/>
        </w:rPr>
        <w:t xml:space="preserve"> </w:t>
      </w:r>
      <w:r w:rsidRPr="00894BBB">
        <w:rPr>
          <w:b/>
          <w:bCs/>
        </w:rPr>
        <w:t>(SAS)</w:t>
      </w:r>
      <w:r w:rsidR="008C5D98" w:rsidRPr="00894BBB">
        <w:rPr>
          <w:b/>
          <w:bCs/>
        </w:rPr>
        <w:t xml:space="preserve"> – G</w:t>
      </w:r>
      <w:r w:rsidR="004D6516" w:rsidRPr="00894BBB">
        <w:rPr>
          <w:b/>
          <w:bCs/>
        </w:rPr>
        <w:t>eneral</w:t>
      </w:r>
      <w:r w:rsidR="008C5D98" w:rsidRPr="00894BBB">
        <w:rPr>
          <w:b/>
          <w:bCs/>
        </w:rPr>
        <w:t xml:space="preserve"> C</w:t>
      </w:r>
      <w:r w:rsidR="004D6516" w:rsidRPr="00894BBB">
        <w:rPr>
          <w:b/>
          <w:bCs/>
        </w:rPr>
        <w:t>hemistry</w:t>
      </w:r>
    </w:p>
    <w:p w14:paraId="26E75CF5" w14:textId="14E5F667" w:rsidR="002161AA" w:rsidRPr="00894BBB" w:rsidRDefault="002161AA" w:rsidP="00C64E39">
      <w:pPr>
        <w:spacing w:after="0" w:line="259" w:lineRule="auto"/>
        <w:ind w:right="0"/>
      </w:pPr>
    </w:p>
    <w:tbl>
      <w:tblPr>
        <w:tblW w:w="10548" w:type="dxa"/>
        <w:tblInd w:w="-375" w:type="dxa"/>
        <w:tblCellMar>
          <w:top w:w="2" w:type="dxa"/>
          <w:left w:w="72" w:type="dxa"/>
          <w:right w:w="27" w:type="dxa"/>
        </w:tblCellMar>
        <w:tblLook w:val="04A0" w:firstRow="1" w:lastRow="0" w:firstColumn="1" w:lastColumn="0" w:noHBand="0" w:noVBand="1"/>
      </w:tblPr>
      <w:tblGrid>
        <w:gridCol w:w="3193"/>
        <w:gridCol w:w="1091"/>
        <w:gridCol w:w="909"/>
        <w:gridCol w:w="910"/>
        <w:gridCol w:w="635"/>
        <w:gridCol w:w="967"/>
        <w:gridCol w:w="907"/>
        <w:gridCol w:w="725"/>
        <w:gridCol w:w="725"/>
        <w:gridCol w:w="363"/>
        <w:gridCol w:w="123"/>
      </w:tblGrid>
      <w:tr w:rsidR="00B324B1" w14:paraId="5276FD41" w14:textId="77777777" w:rsidTr="005B6604">
        <w:trPr>
          <w:trHeight w:val="310"/>
        </w:trPr>
        <w:tc>
          <w:tcPr>
            <w:tcW w:w="10548" w:type="dxa"/>
            <w:gridSpan w:val="11"/>
            <w:tcBorders>
              <w:top w:val="single" w:sz="12" w:space="0" w:color="000000"/>
              <w:left w:val="single" w:sz="12" w:space="0" w:color="000000"/>
              <w:bottom w:val="single" w:sz="12" w:space="0" w:color="000000"/>
              <w:right w:val="single" w:sz="12" w:space="0" w:color="000000"/>
            </w:tcBorders>
            <w:vAlign w:val="center"/>
          </w:tcPr>
          <w:p w14:paraId="55525440" w14:textId="0BC5802B" w:rsidR="00B324B1" w:rsidRDefault="002F10D5" w:rsidP="002F10D5">
            <w:pPr>
              <w:spacing w:after="0" w:line="259" w:lineRule="auto"/>
              <w:ind w:left="0" w:right="0" w:firstLine="0"/>
            </w:pPr>
            <w:r>
              <w:t xml:space="preserve"> </w:t>
            </w:r>
            <w:r w:rsidRPr="002F10D5">
              <w:rPr>
                <w:b/>
                <w:sz w:val="18"/>
              </w:rPr>
              <w:t>SW-846 SAS Group A:  General Chemistry – Miscellaneous</w:t>
            </w:r>
          </w:p>
        </w:tc>
      </w:tr>
      <w:tr w:rsidR="00C84A5D" w14:paraId="0383E1C9" w14:textId="77777777" w:rsidTr="005B6604">
        <w:trPr>
          <w:trHeight w:val="277"/>
        </w:trPr>
        <w:tc>
          <w:tcPr>
            <w:tcW w:w="3193" w:type="dxa"/>
            <w:vMerge w:val="restart"/>
            <w:tcBorders>
              <w:top w:val="single" w:sz="12" w:space="0" w:color="000000"/>
              <w:left w:val="single" w:sz="12" w:space="0" w:color="000000"/>
              <w:bottom w:val="single" w:sz="12" w:space="0" w:color="000000"/>
              <w:right w:val="single" w:sz="12" w:space="0" w:color="000000"/>
            </w:tcBorders>
            <w:vAlign w:val="center"/>
          </w:tcPr>
          <w:p w14:paraId="2B510D04" w14:textId="3A66EFCB" w:rsidR="002A5BBE" w:rsidRDefault="002A5BBE" w:rsidP="00505DF4">
            <w:pPr>
              <w:spacing w:after="0" w:line="259" w:lineRule="auto"/>
              <w:ind w:left="0" w:right="49" w:firstLine="0"/>
              <w:jc w:val="center"/>
            </w:pPr>
            <w:r>
              <w:rPr>
                <w:b/>
                <w:sz w:val="18"/>
              </w:rPr>
              <w:t>Analyte</w:t>
            </w:r>
          </w:p>
        </w:tc>
        <w:tc>
          <w:tcPr>
            <w:tcW w:w="1091" w:type="dxa"/>
            <w:vMerge w:val="restart"/>
            <w:tcBorders>
              <w:top w:val="single" w:sz="12" w:space="0" w:color="000000"/>
              <w:left w:val="single" w:sz="12" w:space="0" w:color="000000"/>
              <w:bottom w:val="single" w:sz="12" w:space="0" w:color="000000"/>
              <w:right w:val="single" w:sz="12" w:space="0" w:color="000000"/>
            </w:tcBorders>
            <w:vAlign w:val="center"/>
          </w:tcPr>
          <w:p w14:paraId="5F6D2326" w14:textId="1A0A0ABA" w:rsidR="002A5BBE" w:rsidRDefault="002A5BBE" w:rsidP="00505DF4">
            <w:pPr>
              <w:spacing w:after="0" w:line="259" w:lineRule="auto"/>
              <w:ind w:left="0" w:right="0" w:firstLine="0"/>
              <w:jc w:val="center"/>
            </w:pPr>
            <w:r>
              <w:rPr>
                <w:b/>
                <w:sz w:val="18"/>
              </w:rPr>
              <w:t>CAS Number</w:t>
            </w:r>
          </w:p>
        </w:tc>
        <w:tc>
          <w:tcPr>
            <w:tcW w:w="1819" w:type="dxa"/>
            <w:gridSpan w:val="2"/>
            <w:tcBorders>
              <w:top w:val="single" w:sz="12" w:space="0" w:color="000000"/>
              <w:left w:val="single" w:sz="12" w:space="0" w:color="000000"/>
              <w:bottom w:val="single" w:sz="12" w:space="0" w:color="000000"/>
              <w:right w:val="single" w:sz="12" w:space="0" w:color="000000"/>
            </w:tcBorders>
            <w:vAlign w:val="center"/>
          </w:tcPr>
          <w:p w14:paraId="78EA5AB1" w14:textId="0E4A3C18" w:rsidR="002A5BBE" w:rsidRDefault="002A5BBE" w:rsidP="00505DF4">
            <w:pPr>
              <w:spacing w:after="0" w:line="259" w:lineRule="auto"/>
              <w:ind w:left="0" w:right="55" w:firstLine="0"/>
              <w:jc w:val="center"/>
            </w:pPr>
            <w:r>
              <w:rPr>
                <w:b/>
                <w:sz w:val="18"/>
              </w:rPr>
              <w:t>Aqueous</w:t>
            </w:r>
          </w:p>
        </w:tc>
        <w:tc>
          <w:tcPr>
            <w:tcW w:w="1602" w:type="dxa"/>
            <w:gridSpan w:val="2"/>
            <w:tcBorders>
              <w:top w:val="single" w:sz="12" w:space="0" w:color="000000"/>
              <w:left w:val="single" w:sz="12" w:space="0" w:color="000000"/>
              <w:bottom w:val="single" w:sz="12" w:space="0" w:color="000000"/>
              <w:right w:val="single" w:sz="12" w:space="0" w:color="000000"/>
            </w:tcBorders>
            <w:vAlign w:val="center"/>
          </w:tcPr>
          <w:p w14:paraId="51A63C19" w14:textId="34C78710" w:rsidR="002A5BBE" w:rsidRDefault="006B693C" w:rsidP="00505DF4">
            <w:pPr>
              <w:spacing w:after="0" w:line="259" w:lineRule="auto"/>
              <w:ind w:left="0" w:right="52" w:firstLine="0"/>
              <w:jc w:val="center"/>
            </w:pPr>
            <w:r>
              <w:rPr>
                <w:b/>
                <w:sz w:val="18"/>
              </w:rPr>
              <w:t>Soil/Sediment</w:t>
            </w:r>
          </w:p>
        </w:tc>
        <w:tc>
          <w:tcPr>
            <w:tcW w:w="2843" w:type="dxa"/>
            <w:gridSpan w:val="5"/>
            <w:vMerge w:val="restart"/>
            <w:tcBorders>
              <w:top w:val="single" w:sz="12" w:space="0" w:color="000000"/>
              <w:left w:val="single" w:sz="12" w:space="0" w:color="000000"/>
              <w:bottom w:val="single" w:sz="12" w:space="0" w:color="000000"/>
              <w:right w:val="single" w:sz="12" w:space="0" w:color="000000"/>
            </w:tcBorders>
            <w:vAlign w:val="center"/>
          </w:tcPr>
          <w:p w14:paraId="715C7866" w14:textId="2510F105" w:rsidR="002161AA" w:rsidRDefault="002A5BBE" w:rsidP="00505DF4">
            <w:pPr>
              <w:spacing w:after="0" w:line="259" w:lineRule="auto"/>
              <w:ind w:left="0" w:right="52" w:firstLine="0"/>
              <w:jc w:val="center"/>
            </w:pPr>
            <w:r>
              <w:rPr>
                <w:b/>
                <w:sz w:val="18"/>
              </w:rPr>
              <w:t>Acceptable Methods</w:t>
            </w:r>
          </w:p>
        </w:tc>
      </w:tr>
      <w:tr w:rsidR="00950E59" w14:paraId="0973472E" w14:textId="77777777" w:rsidTr="00331FF0">
        <w:trPr>
          <w:trHeight w:val="275"/>
        </w:trPr>
        <w:tc>
          <w:tcPr>
            <w:tcW w:w="3193" w:type="dxa"/>
            <w:vMerge/>
            <w:tcBorders>
              <w:top w:val="nil"/>
              <w:left w:val="single" w:sz="12" w:space="0" w:color="000000"/>
              <w:bottom w:val="single" w:sz="12" w:space="0" w:color="000000"/>
              <w:right w:val="single" w:sz="12" w:space="0" w:color="000000"/>
            </w:tcBorders>
            <w:vAlign w:val="center"/>
          </w:tcPr>
          <w:p w14:paraId="757991E4" w14:textId="77777777" w:rsidR="002161AA" w:rsidRDefault="002161AA" w:rsidP="00505DF4">
            <w:pPr>
              <w:spacing w:after="160" w:line="259" w:lineRule="auto"/>
              <w:ind w:left="0" w:right="0" w:firstLine="0"/>
              <w:jc w:val="center"/>
            </w:pPr>
          </w:p>
        </w:tc>
        <w:tc>
          <w:tcPr>
            <w:tcW w:w="0" w:type="auto"/>
            <w:vMerge/>
            <w:tcBorders>
              <w:top w:val="nil"/>
              <w:left w:val="single" w:sz="12" w:space="0" w:color="000000"/>
              <w:bottom w:val="single" w:sz="12" w:space="0" w:color="000000"/>
              <w:right w:val="single" w:sz="12" w:space="0" w:color="000000"/>
            </w:tcBorders>
            <w:vAlign w:val="center"/>
          </w:tcPr>
          <w:p w14:paraId="53DEC8AB" w14:textId="77777777" w:rsidR="002161AA" w:rsidRDefault="002161AA" w:rsidP="00505DF4">
            <w:pPr>
              <w:spacing w:after="160" w:line="259" w:lineRule="auto"/>
              <w:ind w:left="0" w:right="0" w:firstLine="0"/>
              <w:jc w:val="center"/>
            </w:pPr>
          </w:p>
        </w:tc>
        <w:tc>
          <w:tcPr>
            <w:tcW w:w="909" w:type="dxa"/>
            <w:tcBorders>
              <w:top w:val="single" w:sz="12" w:space="0" w:color="000000"/>
              <w:left w:val="single" w:sz="12" w:space="0" w:color="000000"/>
              <w:bottom w:val="single" w:sz="12" w:space="0" w:color="000000"/>
              <w:right w:val="single" w:sz="12" w:space="0" w:color="000000"/>
            </w:tcBorders>
            <w:vAlign w:val="center"/>
          </w:tcPr>
          <w:p w14:paraId="24C5373E" w14:textId="15FB17E6" w:rsidR="002161AA" w:rsidRDefault="002161AA" w:rsidP="00505DF4">
            <w:pPr>
              <w:spacing w:after="0" w:line="259" w:lineRule="auto"/>
              <w:ind w:left="0" w:right="52" w:firstLine="0"/>
              <w:jc w:val="center"/>
            </w:pPr>
            <w:r>
              <w:rPr>
                <w:b/>
                <w:sz w:val="18"/>
              </w:rPr>
              <w:t>RL</w:t>
            </w:r>
          </w:p>
        </w:tc>
        <w:tc>
          <w:tcPr>
            <w:tcW w:w="910" w:type="dxa"/>
            <w:tcBorders>
              <w:top w:val="single" w:sz="12" w:space="0" w:color="000000"/>
              <w:left w:val="single" w:sz="12" w:space="0" w:color="000000"/>
              <w:bottom w:val="single" w:sz="12" w:space="0" w:color="000000"/>
              <w:right w:val="single" w:sz="12" w:space="0" w:color="000000"/>
            </w:tcBorders>
            <w:vAlign w:val="center"/>
          </w:tcPr>
          <w:p w14:paraId="3CE50750" w14:textId="5CD0862E" w:rsidR="002161AA" w:rsidRDefault="002161AA" w:rsidP="00505DF4">
            <w:pPr>
              <w:spacing w:after="0" w:line="259" w:lineRule="auto"/>
              <w:ind w:left="0" w:right="55" w:firstLine="0"/>
              <w:jc w:val="center"/>
            </w:pPr>
            <w:r>
              <w:rPr>
                <w:b/>
                <w:sz w:val="18"/>
              </w:rPr>
              <w:t>units</w:t>
            </w:r>
          </w:p>
        </w:tc>
        <w:tc>
          <w:tcPr>
            <w:tcW w:w="635" w:type="dxa"/>
            <w:tcBorders>
              <w:top w:val="single" w:sz="12" w:space="0" w:color="000000"/>
              <w:left w:val="single" w:sz="12" w:space="0" w:color="000000"/>
              <w:bottom w:val="single" w:sz="12" w:space="0" w:color="000000"/>
              <w:right w:val="single" w:sz="12" w:space="0" w:color="000000"/>
            </w:tcBorders>
            <w:vAlign w:val="center"/>
          </w:tcPr>
          <w:p w14:paraId="39564DF9" w14:textId="46B87252" w:rsidR="002161AA" w:rsidRDefault="002161AA" w:rsidP="00505DF4">
            <w:pPr>
              <w:spacing w:after="0" w:line="259" w:lineRule="auto"/>
              <w:ind w:left="115" w:right="0" w:firstLine="0"/>
              <w:jc w:val="center"/>
            </w:pPr>
            <w:r>
              <w:rPr>
                <w:b/>
                <w:sz w:val="18"/>
              </w:rPr>
              <w:t>RL</w:t>
            </w:r>
          </w:p>
        </w:tc>
        <w:tc>
          <w:tcPr>
            <w:tcW w:w="967" w:type="dxa"/>
            <w:tcBorders>
              <w:top w:val="single" w:sz="12" w:space="0" w:color="000000"/>
              <w:left w:val="single" w:sz="12" w:space="0" w:color="000000"/>
              <w:bottom w:val="single" w:sz="12" w:space="0" w:color="000000"/>
              <w:right w:val="single" w:sz="12" w:space="0" w:color="000000"/>
            </w:tcBorders>
            <w:vAlign w:val="center"/>
          </w:tcPr>
          <w:p w14:paraId="3EFA0EFE" w14:textId="2D0684F0" w:rsidR="002161AA" w:rsidRDefault="002161AA" w:rsidP="00505DF4">
            <w:pPr>
              <w:spacing w:after="0" w:line="259" w:lineRule="auto"/>
              <w:ind w:left="0" w:right="52" w:firstLine="0"/>
              <w:jc w:val="center"/>
            </w:pPr>
            <w:r>
              <w:rPr>
                <w:b/>
                <w:sz w:val="18"/>
              </w:rPr>
              <w:t>units</w:t>
            </w:r>
          </w:p>
        </w:tc>
        <w:tc>
          <w:tcPr>
            <w:tcW w:w="2843" w:type="dxa"/>
            <w:gridSpan w:val="5"/>
            <w:vMerge/>
            <w:tcBorders>
              <w:top w:val="nil"/>
              <w:left w:val="single" w:sz="12" w:space="0" w:color="000000"/>
              <w:bottom w:val="single" w:sz="12" w:space="0" w:color="000000"/>
              <w:right w:val="single" w:sz="12" w:space="0" w:color="000000"/>
            </w:tcBorders>
            <w:vAlign w:val="center"/>
          </w:tcPr>
          <w:p w14:paraId="1A1DEF55" w14:textId="77777777" w:rsidR="002161AA" w:rsidRDefault="002161AA" w:rsidP="00505DF4">
            <w:pPr>
              <w:spacing w:after="160" w:line="259" w:lineRule="auto"/>
              <w:ind w:left="0" w:right="0" w:firstLine="0"/>
              <w:jc w:val="center"/>
            </w:pPr>
          </w:p>
        </w:tc>
      </w:tr>
      <w:tr w:rsidR="005B6604" w14:paraId="2AABF67F" w14:textId="77777777" w:rsidTr="005B6604">
        <w:trPr>
          <w:trHeight w:val="443"/>
        </w:trPr>
        <w:tc>
          <w:tcPr>
            <w:tcW w:w="3193" w:type="dxa"/>
            <w:tcBorders>
              <w:top w:val="single" w:sz="12" w:space="0" w:color="000000"/>
              <w:left w:val="single" w:sz="12" w:space="0" w:color="000000"/>
              <w:bottom w:val="single" w:sz="4" w:space="0" w:color="000000"/>
              <w:right w:val="single" w:sz="12" w:space="0" w:color="000000"/>
            </w:tcBorders>
            <w:vAlign w:val="center"/>
          </w:tcPr>
          <w:p w14:paraId="267E6523" w14:textId="3492ED2B" w:rsidR="00EA0EE3" w:rsidRDefault="00EA0EE3" w:rsidP="00505DF4">
            <w:pPr>
              <w:spacing w:after="0" w:line="259" w:lineRule="auto"/>
              <w:ind w:left="0" w:right="0" w:firstLine="0"/>
            </w:pPr>
            <w:r>
              <w:rPr>
                <w:sz w:val="18"/>
              </w:rPr>
              <w:t>Extractable Organic Halides in Solids</w:t>
            </w:r>
          </w:p>
        </w:tc>
        <w:tc>
          <w:tcPr>
            <w:tcW w:w="1091" w:type="dxa"/>
            <w:tcBorders>
              <w:top w:val="single" w:sz="12" w:space="0" w:color="000000"/>
              <w:left w:val="single" w:sz="12" w:space="0" w:color="000000"/>
              <w:bottom w:val="single" w:sz="4" w:space="0" w:color="000000"/>
              <w:right w:val="single" w:sz="12" w:space="0" w:color="000000"/>
            </w:tcBorders>
            <w:vAlign w:val="center"/>
          </w:tcPr>
          <w:p w14:paraId="59FAB6BF" w14:textId="686E02AC" w:rsidR="00EA0EE3" w:rsidRDefault="00EA0EE3" w:rsidP="00505DF4">
            <w:pPr>
              <w:spacing w:after="0" w:line="259" w:lineRule="auto"/>
              <w:ind w:left="0" w:right="46" w:firstLine="0"/>
              <w:jc w:val="center"/>
            </w:pPr>
            <w:r>
              <w:rPr>
                <w:sz w:val="18"/>
              </w:rPr>
              <w:t>N/A</w:t>
            </w:r>
          </w:p>
        </w:tc>
        <w:tc>
          <w:tcPr>
            <w:tcW w:w="909" w:type="dxa"/>
            <w:tcBorders>
              <w:top w:val="single" w:sz="12" w:space="0" w:color="000000"/>
              <w:left w:val="single" w:sz="12" w:space="0" w:color="000000"/>
              <w:bottom w:val="single" w:sz="4" w:space="0" w:color="000000"/>
              <w:right w:val="single" w:sz="12" w:space="0" w:color="000000"/>
            </w:tcBorders>
            <w:vAlign w:val="center"/>
          </w:tcPr>
          <w:p w14:paraId="02419EB9" w14:textId="3FD30956" w:rsidR="00EA0EE3" w:rsidRDefault="00EA0EE3" w:rsidP="00505DF4">
            <w:pPr>
              <w:spacing w:after="0" w:line="259" w:lineRule="auto"/>
              <w:ind w:left="0" w:right="45" w:firstLine="0"/>
              <w:jc w:val="center"/>
            </w:pPr>
            <w:r>
              <w:rPr>
                <w:sz w:val="18"/>
              </w:rPr>
              <w:t>N/A</w:t>
            </w:r>
          </w:p>
        </w:tc>
        <w:tc>
          <w:tcPr>
            <w:tcW w:w="910" w:type="dxa"/>
            <w:tcBorders>
              <w:top w:val="single" w:sz="12" w:space="0" w:color="000000"/>
              <w:left w:val="single" w:sz="12" w:space="0" w:color="000000"/>
              <w:bottom w:val="single" w:sz="4" w:space="0" w:color="000000"/>
              <w:right w:val="single" w:sz="12" w:space="0" w:color="000000"/>
            </w:tcBorders>
            <w:vAlign w:val="center"/>
          </w:tcPr>
          <w:p w14:paraId="2A72D0D0" w14:textId="1E19F6D8" w:rsidR="00EA0EE3" w:rsidRDefault="00EA0EE3" w:rsidP="00505DF4">
            <w:pPr>
              <w:spacing w:after="0" w:line="259" w:lineRule="auto"/>
              <w:ind w:left="0" w:right="45" w:firstLine="0"/>
              <w:jc w:val="center"/>
            </w:pPr>
            <w:r>
              <w:rPr>
                <w:sz w:val="18"/>
              </w:rPr>
              <w:t>N/A</w:t>
            </w:r>
          </w:p>
        </w:tc>
        <w:tc>
          <w:tcPr>
            <w:tcW w:w="635" w:type="dxa"/>
            <w:tcBorders>
              <w:top w:val="single" w:sz="12" w:space="0" w:color="000000"/>
              <w:left w:val="single" w:sz="12" w:space="0" w:color="000000"/>
              <w:bottom w:val="single" w:sz="4" w:space="0" w:color="000000"/>
              <w:right w:val="single" w:sz="12" w:space="0" w:color="000000"/>
            </w:tcBorders>
            <w:vAlign w:val="center"/>
          </w:tcPr>
          <w:p w14:paraId="11C1787C" w14:textId="32883EE7" w:rsidR="00EA0EE3" w:rsidRDefault="00EA0EE3" w:rsidP="00505DF4">
            <w:pPr>
              <w:spacing w:after="0" w:line="259" w:lineRule="auto"/>
              <w:ind w:left="0" w:right="0" w:firstLine="0"/>
              <w:jc w:val="center"/>
            </w:pPr>
            <w:r>
              <w:rPr>
                <w:sz w:val="18"/>
              </w:rPr>
              <w:t>10</w:t>
            </w:r>
          </w:p>
        </w:tc>
        <w:tc>
          <w:tcPr>
            <w:tcW w:w="967" w:type="dxa"/>
            <w:tcBorders>
              <w:top w:val="single" w:sz="12" w:space="0" w:color="000000"/>
              <w:left w:val="single" w:sz="12" w:space="0" w:color="000000"/>
              <w:bottom w:val="single" w:sz="4" w:space="0" w:color="000000"/>
              <w:right w:val="single" w:sz="12" w:space="0" w:color="000000"/>
            </w:tcBorders>
            <w:vAlign w:val="center"/>
          </w:tcPr>
          <w:p w14:paraId="4637EB03" w14:textId="02E7AF99" w:rsidR="00EA0EE3" w:rsidRDefault="00EA0EE3" w:rsidP="00505DF4">
            <w:pPr>
              <w:spacing w:after="0" w:line="259" w:lineRule="auto"/>
              <w:ind w:left="0" w:right="46" w:firstLine="0"/>
              <w:jc w:val="center"/>
            </w:pPr>
            <w:r>
              <w:rPr>
                <w:sz w:val="18"/>
              </w:rPr>
              <w:t>mg/kg</w:t>
            </w:r>
          </w:p>
        </w:tc>
        <w:tc>
          <w:tcPr>
            <w:tcW w:w="907" w:type="dxa"/>
            <w:tcBorders>
              <w:top w:val="single" w:sz="12" w:space="0" w:color="000000"/>
              <w:left w:val="single" w:sz="12" w:space="0" w:color="000000"/>
              <w:bottom w:val="single" w:sz="4" w:space="0" w:color="000000"/>
              <w:right w:val="single" w:sz="12" w:space="0" w:color="000000"/>
            </w:tcBorders>
            <w:vAlign w:val="center"/>
          </w:tcPr>
          <w:p w14:paraId="6A3FB43E" w14:textId="2CEF40F9" w:rsidR="00EA0EE3" w:rsidRDefault="00EA0EE3" w:rsidP="00505DF4">
            <w:pPr>
              <w:spacing w:after="0" w:line="259" w:lineRule="auto"/>
              <w:ind w:left="0" w:right="0" w:firstLine="0"/>
              <w:jc w:val="center"/>
            </w:pPr>
            <w:r>
              <w:rPr>
                <w:sz w:val="18"/>
              </w:rPr>
              <w:t>9023</w:t>
            </w:r>
          </w:p>
        </w:tc>
        <w:tc>
          <w:tcPr>
            <w:tcW w:w="725" w:type="dxa"/>
            <w:tcBorders>
              <w:top w:val="single" w:sz="12" w:space="0" w:color="000000"/>
              <w:left w:val="single" w:sz="12" w:space="0" w:color="000000"/>
              <w:bottom w:val="single" w:sz="4" w:space="0" w:color="000000"/>
              <w:right w:val="single" w:sz="12" w:space="0" w:color="000000"/>
            </w:tcBorders>
            <w:vAlign w:val="center"/>
          </w:tcPr>
          <w:p w14:paraId="28F2ACC8" w14:textId="719C6C2B" w:rsidR="00EA0EE3" w:rsidRDefault="00EA0EE3" w:rsidP="00505DF4">
            <w:pPr>
              <w:spacing w:after="0" w:line="259" w:lineRule="auto"/>
              <w:ind w:left="1" w:right="0" w:firstLine="0"/>
              <w:jc w:val="center"/>
            </w:pPr>
          </w:p>
        </w:tc>
        <w:tc>
          <w:tcPr>
            <w:tcW w:w="725" w:type="dxa"/>
            <w:tcBorders>
              <w:top w:val="single" w:sz="12" w:space="0" w:color="000000"/>
              <w:left w:val="single" w:sz="12" w:space="0" w:color="000000"/>
              <w:bottom w:val="single" w:sz="4" w:space="0" w:color="000000"/>
              <w:right w:val="single" w:sz="12" w:space="0" w:color="000000"/>
            </w:tcBorders>
            <w:vAlign w:val="center"/>
          </w:tcPr>
          <w:p w14:paraId="00DB2A9C" w14:textId="18EE940D" w:rsidR="00EA0EE3" w:rsidRDefault="00EA0EE3" w:rsidP="00505DF4">
            <w:pPr>
              <w:spacing w:after="0" w:line="259" w:lineRule="auto"/>
              <w:ind w:left="0" w:right="0" w:firstLine="0"/>
              <w:jc w:val="center"/>
            </w:pPr>
          </w:p>
        </w:tc>
        <w:tc>
          <w:tcPr>
            <w:tcW w:w="363" w:type="dxa"/>
            <w:tcBorders>
              <w:top w:val="single" w:sz="12" w:space="0" w:color="000000"/>
              <w:left w:val="single" w:sz="12" w:space="0" w:color="000000"/>
              <w:bottom w:val="single" w:sz="4" w:space="0" w:color="000000"/>
            </w:tcBorders>
            <w:vAlign w:val="center"/>
          </w:tcPr>
          <w:p w14:paraId="72FE4DC1" w14:textId="0D48437F" w:rsidR="00EA0EE3" w:rsidRDefault="00EA0EE3" w:rsidP="00505DF4">
            <w:pPr>
              <w:spacing w:after="0" w:line="259" w:lineRule="auto"/>
              <w:ind w:left="0" w:right="0" w:firstLine="0"/>
              <w:jc w:val="center"/>
            </w:pPr>
          </w:p>
        </w:tc>
        <w:tc>
          <w:tcPr>
            <w:tcW w:w="123" w:type="dxa"/>
            <w:tcBorders>
              <w:top w:val="single" w:sz="12" w:space="0" w:color="000000"/>
              <w:left w:val="nil"/>
              <w:bottom w:val="single" w:sz="4" w:space="0" w:color="000000"/>
              <w:right w:val="single" w:sz="12" w:space="0" w:color="000000"/>
            </w:tcBorders>
            <w:vAlign w:val="center"/>
          </w:tcPr>
          <w:p w14:paraId="20F9CFF7" w14:textId="28521A7C" w:rsidR="00EA0EE3" w:rsidRDefault="00EA0EE3" w:rsidP="00505DF4">
            <w:pPr>
              <w:spacing w:after="0" w:line="259" w:lineRule="auto"/>
              <w:ind w:left="0" w:right="0" w:firstLine="0"/>
              <w:jc w:val="center"/>
            </w:pPr>
          </w:p>
        </w:tc>
      </w:tr>
      <w:tr w:rsidR="00C84A5D" w14:paraId="2253D2A3" w14:textId="77777777" w:rsidTr="005B6604">
        <w:trPr>
          <w:trHeight w:val="255"/>
        </w:trPr>
        <w:tc>
          <w:tcPr>
            <w:tcW w:w="3193" w:type="dxa"/>
            <w:tcBorders>
              <w:top w:val="single" w:sz="4" w:space="0" w:color="000000"/>
              <w:left w:val="single" w:sz="12" w:space="0" w:color="000000"/>
              <w:bottom w:val="single" w:sz="4" w:space="0" w:color="000000"/>
              <w:right w:val="single" w:sz="12" w:space="0" w:color="000000"/>
            </w:tcBorders>
            <w:vAlign w:val="center"/>
          </w:tcPr>
          <w:p w14:paraId="221C2FB8" w14:textId="03A15002" w:rsidR="00EA0EE3" w:rsidRDefault="00EA0EE3" w:rsidP="00505DF4">
            <w:pPr>
              <w:spacing w:after="0" w:line="259" w:lineRule="auto"/>
              <w:ind w:left="0" w:right="0" w:firstLine="0"/>
            </w:pPr>
            <w:r>
              <w:rPr>
                <w:sz w:val="18"/>
              </w:rPr>
              <w:t>Purgeable Organic Halides (POX)</w:t>
            </w:r>
          </w:p>
        </w:tc>
        <w:tc>
          <w:tcPr>
            <w:tcW w:w="1091" w:type="dxa"/>
            <w:tcBorders>
              <w:top w:val="single" w:sz="4" w:space="0" w:color="000000"/>
              <w:left w:val="single" w:sz="12" w:space="0" w:color="000000"/>
              <w:bottom w:val="single" w:sz="4" w:space="0" w:color="000000"/>
              <w:right w:val="single" w:sz="12" w:space="0" w:color="000000"/>
            </w:tcBorders>
            <w:vAlign w:val="center"/>
          </w:tcPr>
          <w:p w14:paraId="2E5F678F" w14:textId="69ABCCF7" w:rsidR="00EA0EE3" w:rsidRDefault="00EA0EE3" w:rsidP="00505DF4">
            <w:pPr>
              <w:spacing w:after="0" w:line="259" w:lineRule="auto"/>
              <w:ind w:left="0" w:right="46" w:firstLine="0"/>
              <w:jc w:val="center"/>
            </w:pPr>
            <w:r>
              <w:rPr>
                <w:sz w:val="18"/>
              </w:rPr>
              <w:t>N/A</w:t>
            </w:r>
          </w:p>
        </w:tc>
        <w:tc>
          <w:tcPr>
            <w:tcW w:w="909" w:type="dxa"/>
            <w:tcBorders>
              <w:top w:val="single" w:sz="4" w:space="0" w:color="000000"/>
              <w:left w:val="single" w:sz="12" w:space="0" w:color="000000"/>
              <w:bottom w:val="single" w:sz="4" w:space="0" w:color="000000"/>
              <w:right w:val="single" w:sz="12" w:space="0" w:color="000000"/>
            </w:tcBorders>
            <w:vAlign w:val="center"/>
          </w:tcPr>
          <w:p w14:paraId="1D1497E4" w14:textId="48799DFC" w:rsidR="00EA0EE3" w:rsidRDefault="00EA0EE3" w:rsidP="00505DF4">
            <w:pPr>
              <w:tabs>
                <w:tab w:val="right" w:pos="801"/>
              </w:tabs>
              <w:spacing w:after="0" w:line="259" w:lineRule="auto"/>
              <w:ind w:left="0" w:right="0" w:firstLine="0"/>
              <w:jc w:val="center"/>
            </w:pPr>
            <w:r>
              <w:rPr>
                <w:sz w:val="18"/>
              </w:rPr>
              <w:t>0.005</w:t>
            </w:r>
          </w:p>
        </w:tc>
        <w:tc>
          <w:tcPr>
            <w:tcW w:w="910" w:type="dxa"/>
            <w:tcBorders>
              <w:top w:val="single" w:sz="4" w:space="0" w:color="000000"/>
              <w:left w:val="single" w:sz="12" w:space="0" w:color="000000"/>
              <w:bottom w:val="single" w:sz="4" w:space="0" w:color="000000"/>
              <w:right w:val="single" w:sz="12" w:space="0" w:color="000000"/>
            </w:tcBorders>
            <w:vAlign w:val="center"/>
          </w:tcPr>
          <w:p w14:paraId="3A13CF7C" w14:textId="7CAEB12C" w:rsidR="00EA0EE3" w:rsidRDefault="00EA0EE3" w:rsidP="00505DF4">
            <w:pPr>
              <w:spacing w:after="0" w:line="259" w:lineRule="auto"/>
              <w:ind w:left="0" w:right="46" w:firstLine="0"/>
              <w:jc w:val="center"/>
            </w:pPr>
            <w:r>
              <w:rPr>
                <w:sz w:val="18"/>
              </w:rPr>
              <w:t>mg/L</w:t>
            </w:r>
          </w:p>
        </w:tc>
        <w:tc>
          <w:tcPr>
            <w:tcW w:w="635" w:type="dxa"/>
            <w:tcBorders>
              <w:top w:val="single" w:sz="4" w:space="0" w:color="000000"/>
              <w:left w:val="single" w:sz="12" w:space="0" w:color="000000"/>
              <w:bottom w:val="single" w:sz="4" w:space="0" w:color="000000"/>
              <w:right w:val="single" w:sz="12" w:space="0" w:color="000000"/>
            </w:tcBorders>
            <w:vAlign w:val="center"/>
          </w:tcPr>
          <w:p w14:paraId="250B90BB" w14:textId="54CFE303" w:rsidR="00EA0EE3" w:rsidRDefault="00EA0EE3" w:rsidP="00505DF4">
            <w:pPr>
              <w:spacing w:after="0" w:line="259" w:lineRule="auto"/>
              <w:ind w:left="89" w:right="0" w:firstLine="0"/>
              <w:jc w:val="center"/>
            </w:pPr>
            <w:r>
              <w:rPr>
                <w:sz w:val="18"/>
              </w:rPr>
              <w:t>N/A</w:t>
            </w:r>
          </w:p>
        </w:tc>
        <w:tc>
          <w:tcPr>
            <w:tcW w:w="967" w:type="dxa"/>
            <w:tcBorders>
              <w:top w:val="single" w:sz="4" w:space="0" w:color="000000"/>
              <w:left w:val="single" w:sz="12" w:space="0" w:color="000000"/>
              <w:bottom w:val="single" w:sz="4" w:space="0" w:color="000000"/>
              <w:right w:val="single" w:sz="12" w:space="0" w:color="000000"/>
            </w:tcBorders>
            <w:vAlign w:val="center"/>
          </w:tcPr>
          <w:p w14:paraId="47BC10C1" w14:textId="4644D802" w:rsidR="00EA0EE3" w:rsidRDefault="00EA0EE3" w:rsidP="00505DF4">
            <w:pPr>
              <w:spacing w:after="0" w:line="259" w:lineRule="auto"/>
              <w:ind w:left="0" w:right="47" w:firstLine="0"/>
              <w:jc w:val="center"/>
            </w:pPr>
            <w:r>
              <w:rPr>
                <w:sz w:val="18"/>
              </w:rPr>
              <w:t>N/A</w:t>
            </w:r>
          </w:p>
        </w:tc>
        <w:tc>
          <w:tcPr>
            <w:tcW w:w="907" w:type="dxa"/>
            <w:tcBorders>
              <w:top w:val="single" w:sz="4" w:space="0" w:color="000000"/>
              <w:left w:val="single" w:sz="12" w:space="0" w:color="000000"/>
              <w:bottom w:val="single" w:sz="4" w:space="0" w:color="000000"/>
              <w:right w:val="single" w:sz="12" w:space="0" w:color="000000"/>
            </w:tcBorders>
            <w:vAlign w:val="center"/>
          </w:tcPr>
          <w:p w14:paraId="14DB8625" w14:textId="40616406" w:rsidR="00EA0EE3" w:rsidRDefault="00EA0EE3" w:rsidP="00505DF4">
            <w:pPr>
              <w:spacing w:after="0" w:line="259" w:lineRule="auto"/>
              <w:ind w:left="0" w:right="0" w:firstLine="0"/>
              <w:jc w:val="center"/>
            </w:pPr>
            <w:r>
              <w:rPr>
                <w:sz w:val="18"/>
              </w:rPr>
              <w:t>9021</w:t>
            </w:r>
          </w:p>
        </w:tc>
        <w:tc>
          <w:tcPr>
            <w:tcW w:w="725" w:type="dxa"/>
            <w:tcBorders>
              <w:top w:val="single" w:sz="4" w:space="0" w:color="000000"/>
              <w:left w:val="single" w:sz="12" w:space="0" w:color="000000"/>
              <w:bottom w:val="single" w:sz="4" w:space="0" w:color="000000"/>
              <w:right w:val="single" w:sz="12" w:space="0" w:color="000000"/>
            </w:tcBorders>
            <w:vAlign w:val="center"/>
          </w:tcPr>
          <w:p w14:paraId="44B5FE9A" w14:textId="73471CDC" w:rsidR="00EA0EE3" w:rsidRDefault="00EA0EE3" w:rsidP="00505DF4">
            <w:pPr>
              <w:spacing w:after="0" w:line="259" w:lineRule="auto"/>
              <w:ind w:left="1" w:right="0" w:firstLine="0"/>
              <w:jc w:val="center"/>
            </w:pPr>
          </w:p>
        </w:tc>
        <w:tc>
          <w:tcPr>
            <w:tcW w:w="725" w:type="dxa"/>
            <w:tcBorders>
              <w:top w:val="single" w:sz="4" w:space="0" w:color="000000"/>
              <w:left w:val="single" w:sz="12" w:space="0" w:color="000000"/>
              <w:bottom w:val="single" w:sz="4" w:space="0" w:color="000000"/>
              <w:right w:val="single" w:sz="12" w:space="0" w:color="000000"/>
            </w:tcBorders>
            <w:vAlign w:val="center"/>
          </w:tcPr>
          <w:p w14:paraId="14F52686" w14:textId="0A2B063B" w:rsidR="00EA0EE3" w:rsidRDefault="00EA0EE3" w:rsidP="00505DF4">
            <w:pPr>
              <w:spacing w:after="0" w:line="259" w:lineRule="auto"/>
              <w:ind w:left="0" w:right="0" w:firstLine="0"/>
              <w:jc w:val="center"/>
            </w:pPr>
          </w:p>
        </w:tc>
        <w:tc>
          <w:tcPr>
            <w:tcW w:w="363" w:type="dxa"/>
            <w:tcBorders>
              <w:top w:val="single" w:sz="4" w:space="0" w:color="000000"/>
              <w:left w:val="single" w:sz="12" w:space="0" w:color="000000"/>
              <w:bottom w:val="single" w:sz="4" w:space="0" w:color="000000"/>
            </w:tcBorders>
            <w:vAlign w:val="center"/>
          </w:tcPr>
          <w:p w14:paraId="1BD3AE96" w14:textId="5A1FB079" w:rsidR="00EA0EE3" w:rsidRDefault="00EA0EE3" w:rsidP="00505DF4">
            <w:pPr>
              <w:spacing w:after="0" w:line="259" w:lineRule="auto"/>
              <w:ind w:left="0" w:right="0" w:firstLine="0"/>
              <w:jc w:val="center"/>
            </w:pPr>
          </w:p>
        </w:tc>
        <w:tc>
          <w:tcPr>
            <w:tcW w:w="123" w:type="dxa"/>
            <w:tcBorders>
              <w:top w:val="single" w:sz="4" w:space="0" w:color="000000"/>
              <w:left w:val="nil"/>
              <w:bottom w:val="single" w:sz="4" w:space="0" w:color="000000"/>
              <w:right w:val="single" w:sz="12" w:space="0" w:color="000000"/>
            </w:tcBorders>
            <w:vAlign w:val="center"/>
          </w:tcPr>
          <w:p w14:paraId="22DD640C" w14:textId="0CC1F371" w:rsidR="00EA0EE3" w:rsidRDefault="00EA0EE3" w:rsidP="00505DF4">
            <w:pPr>
              <w:spacing w:after="0" w:line="259" w:lineRule="auto"/>
              <w:ind w:left="0" w:right="0" w:firstLine="0"/>
              <w:jc w:val="center"/>
            </w:pPr>
          </w:p>
        </w:tc>
      </w:tr>
      <w:tr w:rsidR="00C84A5D" w14:paraId="0B75FC39" w14:textId="77777777" w:rsidTr="005B6604">
        <w:trPr>
          <w:trHeight w:val="434"/>
        </w:trPr>
        <w:tc>
          <w:tcPr>
            <w:tcW w:w="3193" w:type="dxa"/>
            <w:tcBorders>
              <w:top w:val="single" w:sz="4" w:space="0" w:color="000000"/>
              <w:left w:val="single" w:sz="12" w:space="0" w:color="000000"/>
              <w:bottom w:val="single" w:sz="4" w:space="0" w:color="000000"/>
              <w:right w:val="single" w:sz="12" w:space="0" w:color="000000"/>
            </w:tcBorders>
            <w:vAlign w:val="center"/>
          </w:tcPr>
          <w:p w14:paraId="04C48C7D" w14:textId="5E8717D8" w:rsidR="00EA0EE3" w:rsidRDefault="00EA0EE3" w:rsidP="00505DF4">
            <w:pPr>
              <w:spacing w:after="0" w:line="259" w:lineRule="auto"/>
              <w:ind w:left="0" w:right="0" w:firstLine="0"/>
            </w:pPr>
            <w:r>
              <w:rPr>
                <w:sz w:val="18"/>
              </w:rPr>
              <w:t>Specific Oxygen Uptake Rate in</w:t>
            </w:r>
          </w:p>
          <w:p w14:paraId="034E3FA7" w14:textId="2020B446" w:rsidR="00EA0EE3" w:rsidRDefault="00EA0EE3" w:rsidP="00505DF4">
            <w:pPr>
              <w:spacing w:after="0" w:line="259" w:lineRule="auto"/>
              <w:ind w:left="0" w:right="0" w:firstLine="0"/>
            </w:pPr>
            <w:r>
              <w:rPr>
                <w:sz w:val="18"/>
              </w:rPr>
              <w:t>Biosolids (SOUR)</w:t>
            </w:r>
          </w:p>
        </w:tc>
        <w:tc>
          <w:tcPr>
            <w:tcW w:w="1091" w:type="dxa"/>
            <w:tcBorders>
              <w:top w:val="single" w:sz="4" w:space="0" w:color="000000"/>
              <w:left w:val="single" w:sz="12" w:space="0" w:color="000000"/>
              <w:bottom w:val="single" w:sz="4" w:space="0" w:color="000000"/>
              <w:right w:val="single" w:sz="12" w:space="0" w:color="000000"/>
            </w:tcBorders>
            <w:vAlign w:val="center"/>
          </w:tcPr>
          <w:p w14:paraId="6BEC8B89" w14:textId="7EE30B53" w:rsidR="00EA0EE3" w:rsidRDefault="00EA0EE3" w:rsidP="00505DF4">
            <w:pPr>
              <w:spacing w:after="0" w:line="259" w:lineRule="auto"/>
              <w:ind w:left="0" w:right="46" w:firstLine="0"/>
              <w:jc w:val="center"/>
            </w:pPr>
            <w:r>
              <w:rPr>
                <w:sz w:val="18"/>
              </w:rPr>
              <w:t>N/A</w:t>
            </w:r>
          </w:p>
        </w:tc>
        <w:tc>
          <w:tcPr>
            <w:tcW w:w="909" w:type="dxa"/>
            <w:tcBorders>
              <w:top w:val="single" w:sz="4" w:space="0" w:color="000000"/>
              <w:left w:val="single" w:sz="12" w:space="0" w:color="000000"/>
              <w:bottom w:val="single" w:sz="4" w:space="0" w:color="000000"/>
              <w:right w:val="single" w:sz="12" w:space="0" w:color="000000"/>
            </w:tcBorders>
            <w:vAlign w:val="center"/>
          </w:tcPr>
          <w:p w14:paraId="6CB1E481" w14:textId="07A4F598" w:rsidR="00EA0EE3" w:rsidRDefault="00EA0EE3" w:rsidP="00505DF4">
            <w:pPr>
              <w:spacing w:after="0" w:line="259" w:lineRule="auto"/>
              <w:ind w:left="0" w:right="45" w:firstLine="0"/>
              <w:jc w:val="center"/>
            </w:pPr>
            <w:r>
              <w:rPr>
                <w:sz w:val="18"/>
              </w:rPr>
              <w:t>N/A</w:t>
            </w:r>
          </w:p>
        </w:tc>
        <w:tc>
          <w:tcPr>
            <w:tcW w:w="910" w:type="dxa"/>
            <w:tcBorders>
              <w:top w:val="single" w:sz="4" w:space="0" w:color="000000"/>
              <w:left w:val="single" w:sz="12" w:space="0" w:color="000000"/>
              <w:bottom w:val="single" w:sz="4" w:space="0" w:color="000000"/>
              <w:right w:val="single" w:sz="12" w:space="0" w:color="000000"/>
            </w:tcBorders>
            <w:vAlign w:val="center"/>
          </w:tcPr>
          <w:p w14:paraId="7F98229E" w14:textId="5E6E7CE4" w:rsidR="00EA0EE3" w:rsidRDefault="00EA0EE3" w:rsidP="00505DF4">
            <w:pPr>
              <w:spacing w:after="0" w:line="259" w:lineRule="auto"/>
              <w:ind w:left="0" w:right="45" w:firstLine="0"/>
              <w:jc w:val="center"/>
            </w:pPr>
            <w:r>
              <w:rPr>
                <w:sz w:val="18"/>
              </w:rPr>
              <w:t>N/A</w:t>
            </w:r>
          </w:p>
        </w:tc>
        <w:tc>
          <w:tcPr>
            <w:tcW w:w="635" w:type="dxa"/>
            <w:tcBorders>
              <w:top w:val="single" w:sz="4" w:space="0" w:color="000000"/>
              <w:left w:val="single" w:sz="12" w:space="0" w:color="000000"/>
              <w:bottom w:val="single" w:sz="4" w:space="0" w:color="000000"/>
              <w:right w:val="single" w:sz="12" w:space="0" w:color="000000"/>
            </w:tcBorders>
            <w:vAlign w:val="center"/>
          </w:tcPr>
          <w:p w14:paraId="0A750E0C" w14:textId="341AB3E2" w:rsidR="00EA0EE3" w:rsidRDefault="00EA0EE3" w:rsidP="00505DF4">
            <w:pPr>
              <w:tabs>
                <w:tab w:val="right" w:pos="530"/>
              </w:tabs>
              <w:spacing w:after="0" w:line="259" w:lineRule="auto"/>
              <w:ind w:left="0" w:right="0" w:firstLine="0"/>
              <w:jc w:val="center"/>
            </w:pPr>
            <w:r>
              <w:rPr>
                <w:sz w:val="18"/>
              </w:rPr>
              <w:t>1.0</w:t>
            </w:r>
          </w:p>
        </w:tc>
        <w:tc>
          <w:tcPr>
            <w:tcW w:w="967" w:type="dxa"/>
            <w:tcBorders>
              <w:top w:val="single" w:sz="4" w:space="0" w:color="000000"/>
              <w:left w:val="single" w:sz="12" w:space="0" w:color="000000"/>
              <w:bottom w:val="single" w:sz="4" w:space="0" w:color="000000"/>
              <w:right w:val="single" w:sz="12" w:space="0" w:color="000000"/>
            </w:tcBorders>
            <w:vAlign w:val="center"/>
          </w:tcPr>
          <w:p w14:paraId="2BE4A942" w14:textId="7D0005DB" w:rsidR="00EA0EE3" w:rsidRDefault="00EA0EE3" w:rsidP="00505DF4">
            <w:pPr>
              <w:spacing w:after="0" w:line="259" w:lineRule="auto"/>
              <w:ind w:left="19" w:right="0" w:firstLine="0"/>
              <w:jc w:val="center"/>
            </w:pPr>
            <w:r>
              <w:rPr>
                <w:sz w:val="18"/>
              </w:rPr>
              <w:t>(mg/g)/hr.</w:t>
            </w:r>
          </w:p>
        </w:tc>
        <w:tc>
          <w:tcPr>
            <w:tcW w:w="907" w:type="dxa"/>
            <w:tcBorders>
              <w:top w:val="single" w:sz="4" w:space="0" w:color="000000"/>
              <w:left w:val="single" w:sz="12" w:space="0" w:color="000000"/>
              <w:bottom w:val="single" w:sz="4" w:space="0" w:color="000000"/>
              <w:right w:val="single" w:sz="12" w:space="0" w:color="000000"/>
            </w:tcBorders>
            <w:vAlign w:val="center"/>
          </w:tcPr>
          <w:p w14:paraId="7E3E0CEF" w14:textId="3AC80A76" w:rsidR="00EA0EE3" w:rsidRDefault="00EA0EE3" w:rsidP="00505DF4">
            <w:pPr>
              <w:spacing w:after="0" w:line="259" w:lineRule="auto"/>
              <w:ind w:left="0" w:right="0" w:firstLine="0"/>
              <w:jc w:val="center"/>
            </w:pPr>
            <w:r>
              <w:rPr>
                <w:sz w:val="18"/>
              </w:rPr>
              <w:t>1683</w:t>
            </w:r>
            <w:r w:rsidR="00D96DD2">
              <w:rPr>
                <w:sz w:val="18"/>
              </w:rPr>
              <w:t xml:space="preserve"> </w:t>
            </w:r>
            <w:r w:rsidRPr="00DF69D0">
              <w:rPr>
                <w:b/>
                <w:bCs/>
                <w:sz w:val="18"/>
                <w:vertAlign w:val="superscript"/>
              </w:rPr>
              <w:t>8</w:t>
            </w:r>
          </w:p>
        </w:tc>
        <w:tc>
          <w:tcPr>
            <w:tcW w:w="725" w:type="dxa"/>
            <w:tcBorders>
              <w:top w:val="single" w:sz="4" w:space="0" w:color="000000"/>
              <w:left w:val="single" w:sz="12" w:space="0" w:color="000000"/>
              <w:bottom w:val="single" w:sz="4" w:space="0" w:color="000000"/>
              <w:right w:val="single" w:sz="12" w:space="0" w:color="000000"/>
            </w:tcBorders>
            <w:vAlign w:val="center"/>
          </w:tcPr>
          <w:p w14:paraId="2D83235D" w14:textId="5FACEF52" w:rsidR="00EA0EE3" w:rsidRDefault="00EA0EE3" w:rsidP="00505DF4">
            <w:pPr>
              <w:spacing w:after="0" w:line="259" w:lineRule="auto"/>
              <w:ind w:left="1" w:right="0" w:firstLine="0"/>
              <w:jc w:val="center"/>
            </w:pPr>
          </w:p>
        </w:tc>
        <w:tc>
          <w:tcPr>
            <w:tcW w:w="725" w:type="dxa"/>
            <w:tcBorders>
              <w:top w:val="single" w:sz="4" w:space="0" w:color="000000"/>
              <w:left w:val="single" w:sz="12" w:space="0" w:color="000000"/>
              <w:bottom w:val="single" w:sz="4" w:space="0" w:color="000000"/>
              <w:right w:val="single" w:sz="12" w:space="0" w:color="000000"/>
            </w:tcBorders>
            <w:vAlign w:val="center"/>
          </w:tcPr>
          <w:p w14:paraId="1AF0680D" w14:textId="08660099" w:rsidR="00EA0EE3" w:rsidRDefault="00EA0EE3" w:rsidP="00505DF4">
            <w:pPr>
              <w:spacing w:after="0" w:line="259" w:lineRule="auto"/>
              <w:ind w:left="0" w:right="0" w:firstLine="0"/>
              <w:jc w:val="center"/>
            </w:pPr>
          </w:p>
        </w:tc>
        <w:tc>
          <w:tcPr>
            <w:tcW w:w="363" w:type="dxa"/>
            <w:tcBorders>
              <w:top w:val="single" w:sz="4" w:space="0" w:color="000000"/>
              <w:left w:val="single" w:sz="12" w:space="0" w:color="000000"/>
              <w:bottom w:val="single" w:sz="4" w:space="0" w:color="000000"/>
            </w:tcBorders>
            <w:vAlign w:val="center"/>
          </w:tcPr>
          <w:p w14:paraId="13D47638" w14:textId="15995EED" w:rsidR="00EA0EE3" w:rsidRDefault="00EA0EE3" w:rsidP="00505DF4">
            <w:pPr>
              <w:spacing w:after="0" w:line="259" w:lineRule="auto"/>
              <w:ind w:left="0" w:right="0" w:firstLine="0"/>
              <w:jc w:val="center"/>
            </w:pPr>
          </w:p>
        </w:tc>
        <w:tc>
          <w:tcPr>
            <w:tcW w:w="123" w:type="dxa"/>
            <w:tcBorders>
              <w:top w:val="single" w:sz="4" w:space="0" w:color="000000"/>
              <w:left w:val="nil"/>
              <w:bottom w:val="single" w:sz="4" w:space="0" w:color="000000"/>
              <w:right w:val="single" w:sz="12" w:space="0" w:color="000000"/>
            </w:tcBorders>
            <w:vAlign w:val="center"/>
          </w:tcPr>
          <w:p w14:paraId="58C7FE5C" w14:textId="37DB5F5F" w:rsidR="00EA0EE3" w:rsidRDefault="00EA0EE3" w:rsidP="00505DF4">
            <w:pPr>
              <w:spacing w:after="0" w:line="259" w:lineRule="auto"/>
              <w:ind w:left="0" w:right="0" w:firstLine="0"/>
              <w:jc w:val="center"/>
            </w:pPr>
          </w:p>
        </w:tc>
      </w:tr>
      <w:tr w:rsidR="00C84A5D" w14:paraId="6E42AB43" w14:textId="77777777" w:rsidTr="005B6604">
        <w:trPr>
          <w:trHeight w:val="255"/>
        </w:trPr>
        <w:tc>
          <w:tcPr>
            <w:tcW w:w="3193" w:type="dxa"/>
            <w:tcBorders>
              <w:top w:val="single" w:sz="4" w:space="0" w:color="000000"/>
              <w:left w:val="single" w:sz="12" w:space="0" w:color="000000"/>
              <w:bottom w:val="single" w:sz="4" w:space="0" w:color="000000"/>
              <w:right w:val="single" w:sz="12" w:space="0" w:color="000000"/>
            </w:tcBorders>
            <w:vAlign w:val="center"/>
          </w:tcPr>
          <w:p w14:paraId="4859C04B" w14:textId="7FAA9F5E" w:rsidR="00EA0EE3" w:rsidRDefault="00EA0EE3" w:rsidP="00505DF4">
            <w:pPr>
              <w:spacing w:after="0" w:line="259" w:lineRule="auto"/>
              <w:ind w:left="0" w:right="0" w:firstLine="0"/>
            </w:pPr>
            <w:r>
              <w:rPr>
                <w:sz w:val="18"/>
              </w:rPr>
              <w:t>Ignitability of Solids</w:t>
            </w:r>
          </w:p>
        </w:tc>
        <w:tc>
          <w:tcPr>
            <w:tcW w:w="1091" w:type="dxa"/>
            <w:tcBorders>
              <w:top w:val="single" w:sz="4" w:space="0" w:color="000000"/>
              <w:left w:val="single" w:sz="12" w:space="0" w:color="000000"/>
              <w:bottom w:val="single" w:sz="4" w:space="0" w:color="000000"/>
              <w:right w:val="single" w:sz="12" w:space="0" w:color="000000"/>
            </w:tcBorders>
            <w:vAlign w:val="center"/>
          </w:tcPr>
          <w:p w14:paraId="3632CFD1" w14:textId="6736690F" w:rsidR="00EA0EE3" w:rsidRDefault="00EA0EE3" w:rsidP="00505DF4">
            <w:pPr>
              <w:spacing w:after="0" w:line="259" w:lineRule="auto"/>
              <w:ind w:left="0" w:right="46" w:firstLine="0"/>
              <w:jc w:val="center"/>
            </w:pPr>
            <w:r>
              <w:rPr>
                <w:sz w:val="18"/>
              </w:rPr>
              <w:t>N/A</w:t>
            </w:r>
          </w:p>
        </w:tc>
        <w:tc>
          <w:tcPr>
            <w:tcW w:w="909" w:type="dxa"/>
            <w:tcBorders>
              <w:top w:val="single" w:sz="4" w:space="0" w:color="000000"/>
              <w:left w:val="single" w:sz="12" w:space="0" w:color="000000"/>
              <w:bottom w:val="single" w:sz="4" w:space="0" w:color="000000"/>
              <w:right w:val="single" w:sz="12" w:space="0" w:color="000000"/>
            </w:tcBorders>
            <w:vAlign w:val="center"/>
          </w:tcPr>
          <w:p w14:paraId="565B6535" w14:textId="75E69EF8" w:rsidR="00EA0EE3" w:rsidRDefault="00EA0EE3" w:rsidP="00505DF4">
            <w:pPr>
              <w:spacing w:after="0" w:line="259" w:lineRule="auto"/>
              <w:ind w:left="0" w:right="45" w:firstLine="0"/>
              <w:jc w:val="center"/>
            </w:pPr>
            <w:r>
              <w:rPr>
                <w:sz w:val="18"/>
              </w:rPr>
              <w:t>N/A</w:t>
            </w:r>
          </w:p>
        </w:tc>
        <w:tc>
          <w:tcPr>
            <w:tcW w:w="910" w:type="dxa"/>
            <w:tcBorders>
              <w:top w:val="single" w:sz="4" w:space="0" w:color="000000"/>
              <w:left w:val="single" w:sz="12" w:space="0" w:color="000000"/>
              <w:bottom w:val="single" w:sz="4" w:space="0" w:color="000000"/>
              <w:right w:val="single" w:sz="12" w:space="0" w:color="000000"/>
            </w:tcBorders>
            <w:vAlign w:val="center"/>
          </w:tcPr>
          <w:p w14:paraId="0B468BC2" w14:textId="2B6D79AB" w:rsidR="00EA0EE3" w:rsidRDefault="00EA0EE3" w:rsidP="00505DF4">
            <w:pPr>
              <w:spacing w:after="0" w:line="259" w:lineRule="auto"/>
              <w:ind w:left="0" w:right="45" w:firstLine="0"/>
              <w:jc w:val="center"/>
            </w:pPr>
            <w:r>
              <w:rPr>
                <w:sz w:val="18"/>
              </w:rPr>
              <w:t>N/A</w:t>
            </w:r>
          </w:p>
        </w:tc>
        <w:tc>
          <w:tcPr>
            <w:tcW w:w="635" w:type="dxa"/>
            <w:tcBorders>
              <w:top w:val="single" w:sz="4" w:space="0" w:color="000000"/>
              <w:left w:val="single" w:sz="12" w:space="0" w:color="000000"/>
              <w:bottom w:val="single" w:sz="4" w:space="0" w:color="000000"/>
              <w:right w:val="single" w:sz="12" w:space="0" w:color="000000"/>
            </w:tcBorders>
            <w:vAlign w:val="center"/>
          </w:tcPr>
          <w:p w14:paraId="2C6C3B5D" w14:textId="21E16C6A" w:rsidR="00EA0EE3" w:rsidRDefault="00EA0EE3" w:rsidP="00505DF4">
            <w:pPr>
              <w:spacing w:after="0" w:line="259" w:lineRule="auto"/>
              <w:ind w:left="89" w:right="0" w:firstLine="0"/>
              <w:jc w:val="center"/>
            </w:pPr>
            <w:r>
              <w:rPr>
                <w:sz w:val="18"/>
              </w:rPr>
              <w:t>N/A</w:t>
            </w:r>
          </w:p>
        </w:tc>
        <w:tc>
          <w:tcPr>
            <w:tcW w:w="967" w:type="dxa"/>
            <w:tcBorders>
              <w:top w:val="single" w:sz="4" w:space="0" w:color="000000"/>
              <w:left w:val="single" w:sz="12" w:space="0" w:color="000000"/>
              <w:bottom w:val="single" w:sz="4" w:space="0" w:color="000000"/>
              <w:right w:val="single" w:sz="12" w:space="0" w:color="000000"/>
            </w:tcBorders>
            <w:vAlign w:val="center"/>
          </w:tcPr>
          <w:p w14:paraId="4F2E26DE" w14:textId="6008E96F" w:rsidR="00EA0EE3" w:rsidRDefault="00EA0EE3" w:rsidP="00505DF4">
            <w:pPr>
              <w:spacing w:after="0" w:line="259" w:lineRule="auto"/>
              <w:ind w:left="53" w:right="0" w:firstLine="0"/>
              <w:jc w:val="center"/>
            </w:pPr>
            <w:r>
              <w:rPr>
                <w:sz w:val="18"/>
              </w:rPr>
              <w:t>mm/sec</w:t>
            </w:r>
          </w:p>
        </w:tc>
        <w:tc>
          <w:tcPr>
            <w:tcW w:w="907" w:type="dxa"/>
            <w:tcBorders>
              <w:top w:val="single" w:sz="4" w:space="0" w:color="000000"/>
              <w:left w:val="single" w:sz="12" w:space="0" w:color="000000"/>
              <w:bottom w:val="single" w:sz="4" w:space="0" w:color="000000"/>
              <w:right w:val="single" w:sz="12" w:space="0" w:color="000000"/>
            </w:tcBorders>
            <w:vAlign w:val="center"/>
          </w:tcPr>
          <w:p w14:paraId="3895E273" w14:textId="26AC11BE" w:rsidR="00EA0EE3" w:rsidRDefault="00EA0EE3" w:rsidP="00505DF4">
            <w:pPr>
              <w:spacing w:after="0" w:line="259" w:lineRule="auto"/>
              <w:ind w:left="0" w:right="0" w:firstLine="0"/>
              <w:jc w:val="center"/>
            </w:pPr>
            <w:r>
              <w:rPr>
                <w:sz w:val="18"/>
              </w:rPr>
              <w:t>1030</w:t>
            </w:r>
          </w:p>
        </w:tc>
        <w:tc>
          <w:tcPr>
            <w:tcW w:w="725" w:type="dxa"/>
            <w:tcBorders>
              <w:top w:val="single" w:sz="4" w:space="0" w:color="000000"/>
              <w:left w:val="single" w:sz="12" w:space="0" w:color="000000"/>
              <w:bottom w:val="single" w:sz="4" w:space="0" w:color="000000"/>
              <w:right w:val="single" w:sz="12" w:space="0" w:color="000000"/>
            </w:tcBorders>
            <w:vAlign w:val="center"/>
          </w:tcPr>
          <w:p w14:paraId="691D1A69" w14:textId="32317FB7" w:rsidR="00EA0EE3" w:rsidRDefault="00EA0EE3" w:rsidP="00505DF4">
            <w:pPr>
              <w:spacing w:after="0" w:line="259" w:lineRule="auto"/>
              <w:ind w:left="1" w:right="0" w:firstLine="0"/>
              <w:jc w:val="center"/>
            </w:pPr>
          </w:p>
        </w:tc>
        <w:tc>
          <w:tcPr>
            <w:tcW w:w="725" w:type="dxa"/>
            <w:tcBorders>
              <w:top w:val="single" w:sz="4" w:space="0" w:color="000000"/>
              <w:left w:val="single" w:sz="12" w:space="0" w:color="000000"/>
              <w:bottom w:val="single" w:sz="4" w:space="0" w:color="000000"/>
              <w:right w:val="single" w:sz="12" w:space="0" w:color="000000"/>
            </w:tcBorders>
            <w:vAlign w:val="center"/>
          </w:tcPr>
          <w:p w14:paraId="1C8B16AC" w14:textId="2FFD5338" w:rsidR="00EA0EE3" w:rsidRDefault="00EA0EE3" w:rsidP="00505DF4">
            <w:pPr>
              <w:spacing w:after="0" w:line="259" w:lineRule="auto"/>
              <w:ind w:left="0" w:right="0" w:firstLine="0"/>
              <w:jc w:val="center"/>
            </w:pPr>
          </w:p>
        </w:tc>
        <w:tc>
          <w:tcPr>
            <w:tcW w:w="363" w:type="dxa"/>
            <w:tcBorders>
              <w:top w:val="single" w:sz="4" w:space="0" w:color="000000"/>
              <w:left w:val="single" w:sz="12" w:space="0" w:color="000000"/>
              <w:bottom w:val="single" w:sz="4" w:space="0" w:color="000000"/>
            </w:tcBorders>
            <w:vAlign w:val="center"/>
          </w:tcPr>
          <w:p w14:paraId="1EF186E0" w14:textId="50F039BD" w:rsidR="00EA0EE3" w:rsidRDefault="00EA0EE3" w:rsidP="00505DF4">
            <w:pPr>
              <w:spacing w:after="0" w:line="259" w:lineRule="auto"/>
              <w:ind w:left="0" w:right="0" w:firstLine="0"/>
              <w:jc w:val="center"/>
            </w:pPr>
          </w:p>
        </w:tc>
        <w:tc>
          <w:tcPr>
            <w:tcW w:w="123" w:type="dxa"/>
            <w:tcBorders>
              <w:top w:val="single" w:sz="4" w:space="0" w:color="000000"/>
              <w:left w:val="nil"/>
              <w:bottom w:val="single" w:sz="4" w:space="0" w:color="000000"/>
              <w:right w:val="single" w:sz="12" w:space="0" w:color="000000"/>
            </w:tcBorders>
            <w:vAlign w:val="center"/>
          </w:tcPr>
          <w:p w14:paraId="32CFF04E" w14:textId="2AE3EF83" w:rsidR="00EA0EE3" w:rsidRDefault="00EA0EE3" w:rsidP="00505DF4">
            <w:pPr>
              <w:spacing w:after="0" w:line="259" w:lineRule="auto"/>
              <w:ind w:left="0" w:right="0" w:firstLine="0"/>
              <w:jc w:val="center"/>
            </w:pPr>
          </w:p>
        </w:tc>
      </w:tr>
      <w:tr w:rsidR="00C84A5D" w14:paraId="5F2B5C11" w14:textId="77777777" w:rsidTr="005B6604">
        <w:trPr>
          <w:trHeight w:val="255"/>
        </w:trPr>
        <w:tc>
          <w:tcPr>
            <w:tcW w:w="3193" w:type="dxa"/>
            <w:tcBorders>
              <w:top w:val="single" w:sz="4" w:space="0" w:color="000000"/>
              <w:left w:val="single" w:sz="12" w:space="0" w:color="000000"/>
              <w:bottom w:val="single" w:sz="4" w:space="0" w:color="000000"/>
              <w:right w:val="single" w:sz="12" w:space="0" w:color="000000"/>
            </w:tcBorders>
            <w:vAlign w:val="center"/>
          </w:tcPr>
          <w:p w14:paraId="0EB11BC2" w14:textId="4FB0DA8D" w:rsidR="00EA0EE3" w:rsidRDefault="00EA0EE3" w:rsidP="00505DF4">
            <w:pPr>
              <w:spacing w:after="0" w:line="259" w:lineRule="auto"/>
              <w:ind w:left="0" w:right="0" w:firstLine="0"/>
            </w:pPr>
            <w:r>
              <w:rPr>
                <w:sz w:val="18"/>
              </w:rPr>
              <w:t>Oxidizing Solids</w:t>
            </w:r>
          </w:p>
        </w:tc>
        <w:tc>
          <w:tcPr>
            <w:tcW w:w="1091" w:type="dxa"/>
            <w:tcBorders>
              <w:top w:val="single" w:sz="4" w:space="0" w:color="000000"/>
              <w:left w:val="single" w:sz="12" w:space="0" w:color="000000"/>
              <w:bottom w:val="single" w:sz="4" w:space="0" w:color="000000"/>
              <w:right w:val="single" w:sz="12" w:space="0" w:color="000000"/>
            </w:tcBorders>
            <w:vAlign w:val="center"/>
          </w:tcPr>
          <w:p w14:paraId="3B82A30A" w14:textId="2D6952AC" w:rsidR="00EA0EE3" w:rsidRDefault="00EA0EE3" w:rsidP="00505DF4">
            <w:pPr>
              <w:spacing w:after="0" w:line="259" w:lineRule="auto"/>
              <w:ind w:left="0" w:right="46" w:firstLine="0"/>
              <w:jc w:val="center"/>
            </w:pPr>
            <w:r>
              <w:rPr>
                <w:sz w:val="18"/>
              </w:rPr>
              <w:t>N/A</w:t>
            </w:r>
          </w:p>
        </w:tc>
        <w:tc>
          <w:tcPr>
            <w:tcW w:w="909" w:type="dxa"/>
            <w:tcBorders>
              <w:top w:val="single" w:sz="4" w:space="0" w:color="000000"/>
              <w:left w:val="single" w:sz="12" w:space="0" w:color="000000"/>
              <w:bottom w:val="single" w:sz="4" w:space="0" w:color="000000"/>
              <w:right w:val="single" w:sz="12" w:space="0" w:color="000000"/>
            </w:tcBorders>
            <w:vAlign w:val="center"/>
          </w:tcPr>
          <w:p w14:paraId="1DB58E00" w14:textId="056844FE" w:rsidR="00EA0EE3" w:rsidRDefault="00EA0EE3" w:rsidP="00505DF4">
            <w:pPr>
              <w:spacing w:after="0" w:line="259" w:lineRule="auto"/>
              <w:ind w:left="0" w:right="45" w:firstLine="0"/>
              <w:jc w:val="center"/>
            </w:pPr>
            <w:r>
              <w:rPr>
                <w:sz w:val="18"/>
              </w:rPr>
              <w:t>N/A</w:t>
            </w:r>
          </w:p>
        </w:tc>
        <w:tc>
          <w:tcPr>
            <w:tcW w:w="910" w:type="dxa"/>
            <w:tcBorders>
              <w:top w:val="single" w:sz="4" w:space="0" w:color="000000"/>
              <w:left w:val="single" w:sz="12" w:space="0" w:color="000000"/>
              <w:bottom w:val="single" w:sz="4" w:space="0" w:color="000000"/>
              <w:right w:val="single" w:sz="12" w:space="0" w:color="000000"/>
            </w:tcBorders>
            <w:vAlign w:val="center"/>
          </w:tcPr>
          <w:p w14:paraId="591567E5" w14:textId="0C2B73EE" w:rsidR="00EA0EE3" w:rsidRDefault="00EA0EE3" w:rsidP="00505DF4">
            <w:pPr>
              <w:spacing w:after="0" w:line="259" w:lineRule="auto"/>
              <w:ind w:left="0" w:right="45" w:firstLine="0"/>
              <w:jc w:val="center"/>
            </w:pPr>
            <w:r>
              <w:rPr>
                <w:sz w:val="18"/>
              </w:rPr>
              <w:t>N/A</w:t>
            </w:r>
          </w:p>
        </w:tc>
        <w:tc>
          <w:tcPr>
            <w:tcW w:w="635" w:type="dxa"/>
            <w:tcBorders>
              <w:top w:val="single" w:sz="4" w:space="0" w:color="000000"/>
              <w:left w:val="single" w:sz="12" w:space="0" w:color="000000"/>
              <w:bottom w:val="single" w:sz="4" w:space="0" w:color="000000"/>
              <w:right w:val="single" w:sz="12" w:space="0" w:color="000000"/>
            </w:tcBorders>
            <w:vAlign w:val="center"/>
          </w:tcPr>
          <w:p w14:paraId="253FAA7D" w14:textId="7A0B3904" w:rsidR="00EA0EE3" w:rsidRDefault="00EA0EE3" w:rsidP="00505DF4">
            <w:pPr>
              <w:spacing w:after="0" w:line="259" w:lineRule="auto"/>
              <w:ind w:left="89" w:right="0" w:firstLine="0"/>
              <w:jc w:val="center"/>
            </w:pPr>
            <w:r>
              <w:rPr>
                <w:sz w:val="18"/>
              </w:rPr>
              <w:t>N/A</w:t>
            </w:r>
          </w:p>
        </w:tc>
        <w:tc>
          <w:tcPr>
            <w:tcW w:w="967" w:type="dxa"/>
            <w:tcBorders>
              <w:top w:val="single" w:sz="4" w:space="0" w:color="000000"/>
              <w:left w:val="single" w:sz="12" w:space="0" w:color="000000"/>
              <w:bottom w:val="single" w:sz="4" w:space="0" w:color="000000"/>
              <w:right w:val="single" w:sz="12" w:space="0" w:color="000000"/>
            </w:tcBorders>
            <w:vAlign w:val="center"/>
          </w:tcPr>
          <w:p w14:paraId="167C3F46" w14:textId="1B973A34" w:rsidR="00EA0EE3" w:rsidRDefault="00EA0EE3" w:rsidP="00505DF4">
            <w:pPr>
              <w:spacing w:after="0" w:line="259" w:lineRule="auto"/>
              <w:ind w:left="0" w:right="50" w:firstLine="0"/>
              <w:jc w:val="center"/>
            </w:pPr>
            <w:r>
              <w:rPr>
                <w:sz w:val="18"/>
              </w:rPr>
              <w:t>sec.</w:t>
            </w:r>
          </w:p>
        </w:tc>
        <w:tc>
          <w:tcPr>
            <w:tcW w:w="907" w:type="dxa"/>
            <w:tcBorders>
              <w:top w:val="single" w:sz="4" w:space="0" w:color="000000"/>
              <w:left w:val="single" w:sz="12" w:space="0" w:color="000000"/>
              <w:bottom w:val="single" w:sz="4" w:space="0" w:color="000000"/>
              <w:right w:val="single" w:sz="12" w:space="0" w:color="000000"/>
            </w:tcBorders>
            <w:vAlign w:val="center"/>
          </w:tcPr>
          <w:p w14:paraId="37942D4F" w14:textId="3597C283" w:rsidR="00EA0EE3" w:rsidRDefault="00EA0EE3" w:rsidP="00505DF4">
            <w:pPr>
              <w:spacing w:after="0" w:line="259" w:lineRule="auto"/>
              <w:ind w:left="0" w:right="0" w:firstLine="0"/>
              <w:jc w:val="center"/>
            </w:pPr>
            <w:r>
              <w:rPr>
                <w:sz w:val="18"/>
              </w:rPr>
              <w:t>1040</w:t>
            </w:r>
          </w:p>
        </w:tc>
        <w:tc>
          <w:tcPr>
            <w:tcW w:w="725" w:type="dxa"/>
            <w:tcBorders>
              <w:top w:val="single" w:sz="4" w:space="0" w:color="000000"/>
              <w:left w:val="single" w:sz="12" w:space="0" w:color="000000"/>
              <w:bottom w:val="single" w:sz="4" w:space="0" w:color="000000"/>
              <w:right w:val="single" w:sz="12" w:space="0" w:color="000000"/>
            </w:tcBorders>
            <w:vAlign w:val="center"/>
          </w:tcPr>
          <w:p w14:paraId="4A9AF11C" w14:textId="1A0DEE63" w:rsidR="00EA0EE3" w:rsidRDefault="00EA0EE3" w:rsidP="00505DF4">
            <w:pPr>
              <w:spacing w:after="0" w:line="259" w:lineRule="auto"/>
              <w:ind w:left="1" w:right="0" w:firstLine="0"/>
              <w:jc w:val="center"/>
            </w:pPr>
          </w:p>
        </w:tc>
        <w:tc>
          <w:tcPr>
            <w:tcW w:w="725" w:type="dxa"/>
            <w:tcBorders>
              <w:top w:val="single" w:sz="4" w:space="0" w:color="000000"/>
              <w:left w:val="single" w:sz="12" w:space="0" w:color="000000"/>
              <w:bottom w:val="single" w:sz="4" w:space="0" w:color="000000"/>
              <w:right w:val="single" w:sz="12" w:space="0" w:color="000000"/>
            </w:tcBorders>
            <w:vAlign w:val="center"/>
          </w:tcPr>
          <w:p w14:paraId="3520AEF7" w14:textId="237F1ACB" w:rsidR="00EA0EE3" w:rsidRDefault="00EA0EE3" w:rsidP="00505DF4">
            <w:pPr>
              <w:spacing w:after="0" w:line="259" w:lineRule="auto"/>
              <w:ind w:left="0" w:right="0" w:firstLine="0"/>
              <w:jc w:val="center"/>
            </w:pPr>
          </w:p>
        </w:tc>
        <w:tc>
          <w:tcPr>
            <w:tcW w:w="363" w:type="dxa"/>
            <w:tcBorders>
              <w:top w:val="single" w:sz="4" w:space="0" w:color="000000"/>
              <w:left w:val="single" w:sz="12" w:space="0" w:color="000000"/>
              <w:bottom w:val="single" w:sz="4" w:space="0" w:color="000000"/>
            </w:tcBorders>
            <w:vAlign w:val="center"/>
          </w:tcPr>
          <w:p w14:paraId="41E513DF" w14:textId="13A09829" w:rsidR="00EA0EE3" w:rsidRDefault="00EA0EE3" w:rsidP="00505DF4">
            <w:pPr>
              <w:spacing w:after="0" w:line="259" w:lineRule="auto"/>
              <w:ind w:left="0" w:right="0" w:firstLine="0"/>
              <w:jc w:val="center"/>
            </w:pPr>
          </w:p>
        </w:tc>
        <w:tc>
          <w:tcPr>
            <w:tcW w:w="123" w:type="dxa"/>
            <w:tcBorders>
              <w:top w:val="single" w:sz="4" w:space="0" w:color="000000"/>
              <w:left w:val="nil"/>
              <w:bottom w:val="single" w:sz="4" w:space="0" w:color="000000"/>
              <w:right w:val="single" w:sz="12" w:space="0" w:color="000000"/>
            </w:tcBorders>
            <w:vAlign w:val="center"/>
          </w:tcPr>
          <w:p w14:paraId="0C381932" w14:textId="12FA2A60" w:rsidR="00EA0EE3" w:rsidRDefault="00EA0EE3" w:rsidP="00505DF4">
            <w:pPr>
              <w:spacing w:after="0" w:line="259" w:lineRule="auto"/>
              <w:ind w:left="0" w:right="0" w:firstLine="0"/>
              <w:jc w:val="center"/>
            </w:pPr>
          </w:p>
        </w:tc>
      </w:tr>
      <w:tr w:rsidR="00C84A5D" w14:paraId="7BEAD493" w14:textId="77777777" w:rsidTr="005B6604">
        <w:trPr>
          <w:trHeight w:val="434"/>
        </w:trPr>
        <w:tc>
          <w:tcPr>
            <w:tcW w:w="3193" w:type="dxa"/>
            <w:tcBorders>
              <w:top w:val="single" w:sz="4" w:space="0" w:color="000000"/>
              <w:left w:val="single" w:sz="12" w:space="0" w:color="000000"/>
              <w:bottom w:val="single" w:sz="4" w:space="0" w:color="000000"/>
              <w:right w:val="single" w:sz="12" w:space="0" w:color="000000"/>
            </w:tcBorders>
            <w:vAlign w:val="center"/>
          </w:tcPr>
          <w:p w14:paraId="1D77EE44" w14:textId="4EBD215F" w:rsidR="00EA0EE3" w:rsidRDefault="00EA0EE3" w:rsidP="00505DF4">
            <w:pPr>
              <w:spacing w:after="0" w:line="259" w:lineRule="auto"/>
              <w:ind w:left="0" w:right="0" w:firstLine="0"/>
            </w:pPr>
            <w:r>
              <w:rPr>
                <w:sz w:val="18"/>
              </w:rPr>
              <w:t>Substances Likely to Spontaneously Combust</w:t>
            </w:r>
          </w:p>
        </w:tc>
        <w:tc>
          <w:tcPr>
            <w:tcW w:w="1091" w:type="dxa"/>
            <w:tcBorders>
              <w:top w:val="single" w:sz="4" w:space="0" w:color="000000"/>
              <w:left w:val="single" w:sz="12" w:space="0" w:color="000000"/>
              <w:bottom w:val="single" w:sz="4" w:space="0" w:color="000000"/>
              <w:right w:val="single" w:sz="12" w:space="0" w:color="000000"/>
            </w:tcBorders>
            <w:vAlign w:val="center"/>
          </w:tcPr>
          <w:p w14:paraId="1CFC645F" w14:textId="3C954B61" w:rsidR="00EA0EE3" w:rsidRDefault="00EA0EE3" w:rsidP="00505DF4">
            <w:pPr>
              <w:spacing w:after="0" w:line="259" w:lineRule="auto"/>
              <w:ind w:left="0" w:right="46" w:firstLine="0"/>
              <w:jc w:val="center"/>
            </w:pPr>
            <w:r>
              <w:rPr>
                <w:sz w:val="18"/>
              </w:rPr>
              <w:t>N/A</w:t>
            </w:r>
          </w:p>
        </w:tc>
        <w:tc>
          <w:tcPr>
            <w:tcW w:w="909" w:type="dxa"/>
            <w:tcBorders>
              <w:top w:val="single" w:sz="4" w:space="0" w:color="000000"/>
              <w:left w:val="single" w:sz="12" w:space="0" w:color="000000"/>
              <w:bottom w:val="single" w:sz="4" w:space="0" w:color="000000"/>
              <w:right w:val="single" w:sz="12" w:space="0" w:color="000000"/>
            </w:tcBorders>
            <w:vAlign w:val="center"/>
          </w:tcPr>
          <w:p w14:paraId="19A356CC" w14:textId="2238514F" w:rsidR="00EA0EE3" w:rsidRDefault="00EA0EE3" w:rsidP="00505DF4">
            <w:pPr>
              <w:spacing w:after="0" w:line="259" w:lineRule="auto"/>
              <w:ind w:left="0" w:right="45" w:firstLine="0"/>
              <w:jc w:val="center"/>
            </w:pPr>
            <w:r>
              <w:rPr>
                <w:sz w:val="18"/>
              </w:rPr>
              <w:t>N/A</w:t>
            </w:r>
          </w:p>
        </w:tc>
        <w:tc>
          <w:tcPr>
            <w:tcW w:w="910" w:type="dxa"/>
            <w:tcBorders>
              <w:top w:val="single" w:sz="4" w:space="0" w:color="000000"/>
              <w:left w:val="single" w:sz="12" w:space="0" w:color="000000"/>
              <w:bottom w:val="single" w:sz="4" w:space="0" w:color="000000"/>
              <w:right w:val="single" w:sz="12" w:space="0" w:color="000000"/>
            </w:tcBorders>
            <w:vAlign w:val="center"/>
          </w:tcPr>
          <w:p w14:paraId="2A45921F" w14:textId="65941286" w:rsidR="00EA0EE3" w:rsidRDefault="00EA0EE3" w:rsidP="00505DF4">
            <w:pPr>
              <w:spacing w:after="0" w:line="259" w:lineRule="auto"/>
              <w:ind w:left="0" w:right="45" w:firstLine="0"/>
              <w:jc w:val="center"/>
            </w:pPr>
            <w:r>
              <w:rPr>
                <w:sz w:val="18"/>
              </w:rPr>
              <w:t>N/A</w:t>
            </w:r>
          </w:p>
        </w:tc>
        <w:tc>
          <w:tcPr>
            <w:tcW w:w="635" w:type="dxa"/>
            <w:tcBorders>
              <w:top w:val="single" w:sz="4" w:space="0" w:color="000000"/>
              <w:left w:val="single" w:sz="12" w:space="0" w:color="000000"/>
              <w:bottom w:val="single" w:sz="4" w:space="0" w:color="000000"/>
              <w:right w:val="single" w:sz="12" w:space="0" w:color="000000"/>
            </w:tcBorders>
            <w:vAlign w:val="center"/>
          </w:tcPr>
          <w:p w14:paraId="4A038A13" w14:textId="7C977BD0" w:rsidR="00EA0EE3" w:rsidRDefault="00EA0EE3" w:rsidP="00505DF4">
            <w:pPr>
              <w:spacing w:after="0" w:line="259" w:lineRule="auto"/>
              <w:ind w:left="89" w:right="0" w:firstLine="0"/>
              <w:jc w:val="center"/>
            </w:pPr>
            <w:r>
              <w:rPr>
                <w:sz w:val="18"/>
              </w:rPr>
              <w:t>N/A</w:t>
            </w:r>
          </w:p>
        </w:tc>
        <w:tc>
          <w:tcPr>
            <w:tcW w:w="967" w:type="dxa"/>
            <w:tcBorders>
              <w:top w:val="single" w:sz="4" w:space="0" w:color="000000"/>
              <w:left w:val="single" w:sz="12" w:space="0" w:color="000000"/>
              <w:bottom w:val="single" w:sz="4" w:space="0" w:color="000000"/>
              <w:right w:val="single" w:sz="12" w:space="0" w:color="000000"/>
            </w:tcBorders>
            <w:vAlign w:val="center"/>
          </w:tcPr>
          <w:p w14:paraId="04D4DA71" w14:textId="5A75D24C" w:rsidR="00EA0EE3" w:rsidRDefault="00EA0EE3" w:rsidP="00505DF4">
            <w:pPr>
              <w:spacing w:after="0" w:line="259" w:lineRule="auto"/>
              <w:ind w:left="0" w:right="47" w:firstLine="0"/>
              <w:jc w:val="center"/>
            </w:pPr>
            <w:r>
              <w:rPr>
                <w:sz w:val="18"/>
              </w:rPr>
              <w:t>N/A</w:t>
            </w:r>
          </w:p>
        </w:tc>
        <w:tc>
          <w:tcPr>
            <w:tcW w:w="907" w:type="dxa"/>
            <w:tcBorders>
              <w:top w:val="single" w:sz="4" w:space="0" w:color="000000"/>
              <w:left w:val="single" w:sz="12" w:space="0" w:color="000000"/>
              <w:bottom w:val="single" w:sz="4" w:space="0" w:color="000000"/>
              <w:right w:val="single" w:sz="12" w:space="0" w:color="000000"/>
            </w:tcBorders>
            <w:vAlign w:val="center"/>
          </w:tcPr>
          <w:p w14:paraId="74CCC4DD" w14:textId="7BD583AF" w:rsidR="00EA0EE3" w:rsidRDefault="00EA0EE3" w:rsidP="00505DF4">
            <w:pPr>
              <w:spacing w:after="0" w:line="259" w:lineRule="auto"/>
              <w:ind w:left="0" w:right="0" w:firstLine="0"/>
              <w:jc w:val="center"/>
            </w:pPr>
            <w:r>
              <w:rPr>
                <w:sz w:val="18"/>
              </w:rPr>
              <w:t>1050</w:t>
            </w:r>
          </w:p>
        </w:tc>
        <w:tc>
          <w:tcPr>
            <w:tcW w:w="725" w:type="dxa"/>
            <w:tcBorders>
              <w:top w:val="single" w:sz="4" w:space="0" w:color="000000"/>
              <w:left w:val="single" w:sz="12" w:space="0" w:color="000000"/>
              <w:bottom w:val="single" w:sz="4" w:space="0" w:color="000000"/>
              <w:right w:val="single" w:sz="12" w:space="0" w:color="000000"/>
            </w:tcBorders>
            <w:vAlign w:val="center"/>
          </w:tcPr>
          <w:p w14:paraId="6EA94BBE" w14:textId="4929DAD1" w:rsidR="00EA0EE3" w:rsidRDefault="00EA0EE3" w:rsidP="00505DF4">
            <w:pPr>
              <w:spacing w:after="0" w:line="259" w:lineRule="auto"/>
              <w:ind w:left="1" w:right="0" w:firstLine="0"/>
              <w:jc w:val="center"/>
            </w:pPr>
          </w:p>
        </w:tc>
        <w:tc>
          <w:tcPr>
            <w:tcW w:w="725" w:type="dxa"/>
            <w:tcBorders>
              <w:top w:val="single" w:sz="4" w:space="0" w:color="000000"/>
              <w:left w:val="single" w:sz="12" w:space="0" w:color="000000"/>
              <w:bottom w:val="single" w:sz="4" w:space="0" w:color="000000"/>
              <w:right w:val="single" w:sz="12" w:space="0" w:color="000000"/>
            </w:tcBorders>
            <w:vAlign w:val="center"/>
          </w:tcPr>
          <w:p w14:paraId="6FCBA2CB" w14:textId="65BC62B5" w:rsidR="00EA0EE3" w:rsidRDefault="00EA0EE3" w:rsidP="00505DF4">
            <w:pPr>
              <w:spacing w:after="0" w:line="259" w:lineRule="auto"/>
              <w:ind w:left="0" w:right="0" w:firstLine="0"/>
              <w:jc w:val="center"/>
            </w:pPr>
          </w:p>
        </w:tc>
        <w:tc>
          <w:tcPr>
            <w:tcW w:w="363" w:type="dxa"/>
            <w:tcBorders>
              <w:top w:val="single" w:sz="4" w:space="0" w:color="000000"/>
              <w:left w:val="single" w:sz="12" w:space="0" w:color="000000"/>
              <w:bottom w:val="single" w:sz="4" w:space="0" w:color="000000"/>
            </w:tcBorders>
            <w:vAlign w:val="center"/>
          </w:tcPr>
          <w:p w14:paraId="72313FCD" w14:textId="751191A3" w:rsidR="00EA0EE3" w:rsidRDefault="00EA0EE3" w:rsidP="00505DF4">
            <w:pPr>
              <w:spacing w:after="0" w:line="259" w:lineRule="auto"/>
              <w:ind w:left="0" w:right="0" w:firstLine="0"/>
              <w:jc w:val="center"/>
            </w:pPr>
          </w:p>
        </w:tc>
        <w:tc>
          <w:tcPr>
            <w:tcW w:w="123" w:type="dxa"/>
            <w:tcBorders>
              <w:top w:val="single" w:sz="4" w:space="0" w:color="000000"/>
              <w:left w:val="nil"/>
              <w:bottom w:val="single" w:sz="4" w:space="0" w:color="000000"/>
              <w:right w:val="single" w:sz="12" w:space="0" w:color="000000"/>
            </w:tcBorders>
            <w:vAlign w:val="center"/>
          </w:tcPr>
          <w:p w14:paraId="666997A0" w14:textId="3E0D06DC" w:rsidR="00EA0EE3" w:rsidRDefault="00EA0EE3" w:rsidP="00505DF4">
            <w:pPr>
              <w:spacing w:after="0" w:line="259" w:lineRule="auto"/>
              <w:ind w:left="0" w:right="0" w:firstLine="0"/>
              <w:jc w:val="center"/>
            </w:pPr>
          </w:p>
        </w:tc>
      </w:tr>
      <w:tr w:rsidR="00C84A5D" w14:paraId="6F7B9AB1" w14:textId="77777777" w:rsidTr="005B6604">
        <w:trPr>
          <w:trHeight w:val="255"/>
        </w:trPr>
        <w:tc>
          <w:tcPr>
            <w:tcW w:w="3193" w:type="dxa"/>
            <w:tcBorders>
              <w:top w:val="single" w:sz="4" w:space="0" w:color="000000"/>
              <w:left w:val="single" w:sz="12" w:space="0" w:color="000000"/>
              <w:bottom w:val="single" w:sz="4" w:space="0" w:color="000000"/>
              <w:right w:val="single" w:sz="12" w:space="0" w:color="000000"/>
            </w:tcBorders>
            <w:vAlign w:val="center"/>
          </w:tcPr>
          <w:p w14:paraId="7AEA0A7A" w14:textId="48B624A9" w:rsidR="00EA0EE3" w:rsidRDefault="00EA0EE3" w:rsidP="00505DF4">
            <w:pPr>
              <w:spacing w:after="0" w:line="259" w:lineRule="auto"/>
              <w:ind w:left="0" w:right="0" w:firstLine="0"/>
            </w:pPr>
            <w:r>
              <w:rPr>
                <w:sz w:val="18"/>
              </w:rPr>
              <w:t>Liquid Release Test</w:t>
            </w:r>
          </w:p>
        </w:tc>
        <w:tc>
          <w:tcPr>
            <w:tcW w:w="1091" w:type="dxa"/>
            <w:tcBorders>
              <w:top w:val="single" w:sz="4" w:space="0" w:color="000000"/>
              <w:left w:val="single" w:sz="12" w:space="0" w:color="000000"/>
              <w:bottom w:val="single" w:sz="4" w:space="0" w:color="000000"/>
              <w:right w:val="single" w:sz="12" w:space="0" w:color="000000"/>
            </w:tcBorders>
            <w:vAlign w:val="center"/>
          </w:tcPr>
          <w:p w14:paraId="7FA0ECEB" w14:textId="4679993C" w:rsidR="00EA0EE3" w:rsidRDefault="00EA0EE3" w:rsidP="00505DF4">
            <w:pPr>
              <w:spacing w:after="0" w:line="259" w:lineRule="auto"/>
              <w:ind w:left="0" w:right="46" w:firstLine="0"/>
              <w:jc w:val="center"/>
            </w:pPr>
            <w:r>
              <w:rPr>
                <w:sz w:val="18"/>
              </w:rPr>
              <w:t>N/A</w:t>
            </w:r>
          </w:p>
        </w:tc>
        <w:tc>
          <w:tcPr>
            <w:tcW w:w="909" w:type="dxa"/>
            <w:tcBorders>
              <w:top w:val="single" w:sz="4" w:space="0" w:color="000000"/>
              <w:left w:val="single" w:sz="12" w:space="0" w:color="000000"/>
              <w:bottom w:val="single" w:sz="4" w:space="0" w:color="000000"/>
              <w:right w:val="single" w:sz="12" w:space="0" w:color="000000"/>
            </w:tcBorders>
            <w:vAlign w:val="center"/>
          </w:tcPr>
          <w:p w14:paraId="5BADE449" w14:textId="14CD0E73" w:rsidR="00EA0EE3" w:rsidRDefault="00EA0EE3" w:rsidP="00505DF4">
            <w:pPr>
              <w:spacing w:after="0" w:line="259" w:lineRule="auto"/>
              <w:ind w:left="0" w:right="45" w:firstLine="0"/>
              <w:jc w:val="center"/>
            </w:pPr>
            <w:r>
              <w:rPr>
                <w:sz w:val="18"/>
              </w:rPr>
              <w:t>N/A</w:t>
            </w:r>
          </w:p>
        </w:tc>
        <w:tc>
          <w:tcPr>
            <w:tcW w:w="910" w:type="dxa"/>
            <w:tcBorders>
              <w:top w:val="single" w:sz="4" w:space="0" w:color="000000"/>
              <w:left w:val="single" w:sz="12" w:space="0" w:color="000000"/>
              <w:bottom w:val="single" w:sz="4" w:space="0" w:color="000000"/>
              <w:right w:val="single" w:sz="12" w:space="0" w:color="000000"/>
            </w:tcBorders>
            <w:vAlign w:val="center"/>
          </w:tcPr>
          <w:p w14:paraId="391BBA88" w14:textId="19B0142B" w:rsidR="00EA0EE3" w:rsidRDefault="00EA0EE3" w:rsidP="00505DF4">
            <w:pPr>
              <w:spacing w:after="0" w:line="259" w:lineRule="auto"/>
              <w:ind w:left="0" w:right="45" w:firstLine="0"/>
              <w:jc w:val="center"/>
            </w:pPr>
            <w:r>
              <w:rPr>
                <w:sz w:val="18"/>
              </w:rPr>
              <w:t>N/A</w:t>
            </w:r>
          </w:p>
        </w:tc>
        <w:tc>
          <w:tcPr>
            <w:tcW w:w="635" w:type="dxa"/>
            <w:tcBorders>
              <w:top w:val="single" w:sz="4" w:space="0" w:color="000000"/>
              <w:left w:val="single" w:sz="12" w:space="0" w:color="000000"/>
              <w:bottom w:val="single" w:sz="4" w:space="0" w:color="000000"/>
              <w:right w:val="single" w:sz="12" w:space="0" w:color="000000"/>
            </w:tcBorders>
            <w:vAlign w:val="center"/>
          </w:tcPr>
          <w:p w14:paraId="77CFD077" w14:textId="1302668D" w:rsidR="00EA0EE3" w:rsidRDefault="00EA0EE3" w:rsidP="00505DF4">
            <w:pPr>
              <w:spacing w:after="0" w:line="259" w:lineRule="auto"/>
              <w:ind w:left="89" w:right="0" w:firstLine="0"/>
              <w:jc w:val="center"/>
            </w:pPr>
            <w:r>
              <w:rPr>
                <w:sz w:val="18"/>
              </w:rPr>
              <w:t>N/A</w:t>
            </w:r>
          </w:p>
        </w:tc>
        <w:tc>
          <w:tcPr>
            <w:tcW w:w="967" w:type="dxa"/>
            <w:tcBorders>
              <w:top w:val="single" w:sz="4" w:space="0" w:color="000000"/>
              <w:left w:val="single" w:sz="12" w:space="0" w:color="000000"/>
              <w:bottom w:val="single" w:sz="4" w:space="0" w:color="000000"/>
              <w:right w:val="single" w:sz="12" w:space="0" w:color="000000"/>
            </w:tcBorders>
            <w:vAlign w:val="center"/>
          </w:tcPr>
          <w:p w14:paraId="7A7D55FF" w14:textId="5E24FA26" w:rsidR="00EA0EE3" w:rsidRDefault="00EA0EE3" w:rsidP="00505DF4">
            <w:pPr>
              <w:spacing w:after="0" w:line="259" w:lineRule="auto"/>
              <w:ind w:left="0" w:right="47" w:firstLine="0"/>
              <w:jc w:val="center"/>
            </w:pPr>
            <w:r>
              <w:rPr>
                <w:sz w:val="18"/>
              </w:rPr>
              <w:t>N/A</w:t>
            </w:r>
          </w:p>
        </w:tc>
        <w:tc>
          <w:tcPr>
            <w:tcW w:w="907" w:type="dxa"/>
            <w:tcBorders>
              <w:top w:val="single" w:sz="4" w:space="0" w:color="000000"/>
              <w:left w:val="single" w:sz="12" w:space="0" w:color="000000"/>
              <w:bottom w:val="single" w:sz="4" w:space="0" w:color="000000"/>
              <w:right w:val="single" w:sz="12" w:space="0" w:color="000000"/>
            </w:tcBorders>
            <w:vAlign w:val="center"/>
          </w:tcPr>
          <w:p w14:paraId="3558FFB7" w14:textId="4E54DDCF" w:rsidR="00EA0EE3" w:rsidRDefault="00EA0EE3" w:rsidP="00505DF4">
            <w:pPr>
              <w:spacing w:after="0" w:line="259" w:lineRule="auto"/>
              <w:ind w:left="0" w:right="0" w:firstLine="0"/>
              <w:jc w:val="center"/>
            </w:pPr>
            <w:r>
              <w:rPr>
                <w:sz w:val="18"/>
              </w:rPr>
              <w:t>9096</w:t>
            </w:r>
          </w:p>
        </w:tc>
        <w:tc>
          <w:tcPr>
            <w:tcW w:w="725" w:type="dxa"/>
            <w:tcBorders>
              <w:top w:val="single" w:sz="4" w:space="0" w:color="000000"/>
              <w:left w:val="single" w:sz="12" w:space="0" w:color="000000"/>
              <w:bottom w:val="single" w:sz="4" w:space="0" w:color="000000"/>
              <w:right w:val="single" w:sz="12" w:space="0" w:color="000000"/>
            </w:tcBorders>
            <w:vAlign w:val="center"/>
          </w:tcPr>
          <w:p w14:paraId="3256CE7F" w14:textId="28CE3E38" w:rsidR="00EA0EE3" w:rsidRDefault="00EA0EE3" w:rsidP="00505DF4">
            <w:pPr>
              <w:spacing w:after="0" w:line="259" w:lineRule="auto"/>
              <w:ind w:left="1" w:right="0" w:firstLine="0"/>
              <w:jc w:val="center"/>
            </w:pPr>
          </w:p>
        </w:tc>
        <w:tc>
          <w:tcPr>
            <w:tcW w:w="725" w:type="dxa"/>
            <w:tcBorders>
              <w:top w:val="single" w:sz="4" w:space="0" w:color="000000"/>
              <w:left w:val="single" w:sz="12" w:space="0" w:color="000000"/>
              <w:bottom w:val="single" w:sz="4" w:space="0" w:color="000000"/>
              <w:right w:val="single" w:sz="12" w:space="0" w:color="000000"/>
            </w:tcBorders>
            <w:vAlign w:val="center"/>
          </w:tcPr>
          <w:p w14:paraId="473CAEC2" w14:textId="0B35B307" w:rsidR="00EA0EE3" w:rsidRDefault="00EA0EE3" w:rsidP="00505DF4">
            <w:pPr>
              <w:spacing w:after="0" w:line="259" w:lineRule="auto"/>
              <w:ind w:left="0" w:right="0" w:firstLine="0"/>
              <w:jc w:val="center"/>
            </w:pPr>
          </w:p>
        </w:tc>
        <w:tc>
          <w:tcPr>
            <w:tcW w:w="363" w:type="dxa"/>
            <w:tcBorders>
              <w:top w:val="single" w:sz="4" w:space="0" w:color="000000"/>
              <w:left w:val="single" w:sz="12" w:space="0" w:color="000000"/>
              <w:bottom w:val="single" w:sz="4" w:space="0" w:color="000000"/>
            </w:tcBorders>
            <w:vAlign w:val="center"/>
          </w:tcPr>
          <w:p w14:paraId="7E093365" w14:textId="4B9D7638" w:rsidR="00EA0EE3" w:rsidRDefault="00EA0EE3" w:rsidP="00505DF4">
            <w:pPr>
              <w:spacing w:after="0" w:line="259" w:lineRule="auto"/>
              <w:ind w:left="0" w:right="0" w:firstLine="0"/>
              <w:jc w:val="center"/>
            </w:pPr>
          </w:p>
        </w:tc>
        <w:tc>
          <w:tcPr>
            <w:tcW w:w="123" w:type="dxa"/>
            <w:tcBorders>
              <w:top w:val="single" w:sz="4" w:space="0" w:color="000000"/>
              <w:left w:val="nil"/>
              <w:bottom w:val="single" w:sz="4" w:space="0" w:color="000000"/>
              <w:right w:val="single" w:sz="12" w:space="0" w:color="000000"/>
            </w:tcBorders>
            <w:vAlign w:val="center"/>
          </w:tcPr>
          <w:p w14:paraId="4205B19D" w14:textId="72CD2A31" w:rsidR="00EA0EE3" w:rsidRDefault="00EA0EE3" w:rsidP="00505DF4">
            <w:pPr>
              <w:spacing w:after="0" w:line="259" w:lineRule="auto"/>
              <w:ind w:left="0" w:right="0" w:firstLine="0"/>
              <w:jc w:val="center"/>
            </w:pPr>
          </w:p>
        </w:tc>
      </w:tr>
      <w:tr w:rsidR="00C84A5D" w14:paraId="39449E74" w14:textId="77777777" w:rsidTr="005B6604">
        <w:trPr>
          <w:trHeight w:val="255"/>
        </w:trPr>
        <w:tc>
          <w:tcPr>
            <w:tcW w:w="3193" w:type="dxa"/>
            <w:tcBorders>
              <w:top w:val="single" w:sz="4" w:space="0" w:color="000000"/>
              <w:left w:val="single" w:sz="12" w:space="0" w:color="000000"/>
              <w:bottom w:val="single" w:sz="4" w:space="0" w:color="000000"/>
              <w:right w:val="single" w:sz="12" w:space="0" w:color="000000"/>
            </w:tcBorders>
            <w:vAlign w:val="center"/>
          </w:tcPr>
          <w:p w14:paraId="73EA5D27" w14:textId="4E164E1D" w:rsidR="00EA0EE3" w:rsidRDefault="00EA0EE3" w:rsidP="00505DF4">
            <w:pPr>
              <w:spacing w:after="0" w:line="259" w:lineRule="auto"/>
              <w:ind w:left="0" w:right="0" w:firstLine="0"/>
            </w:pPr>
            <w:r>
              <w:rPr>
                <w:sz w:val="18"/>
              </w:rPr>
              <w:t>Settleable Matter (residue)</w:t>
            </w:r>
          </w:p>
        </w:tc>
        <w:tc>
          <w:tcPr>
            <w:tcW w:w="1091" w:type="dxa"/>
            <w:tcBorders>
              <w:top w:val="single" w:sz="4" w:space="0" w:color="000000"/>
              <w:left w:val="single" w:sz="12" w:space="0" w:color="000000"/>
              <w:bottom w:val="single" w:sz="4" w:space="0" w:color="000000"/>
              <w:right w:val="single" w:sz="12" w:space="0" w:color="000000"/>
            </w:tcBorders>
            <w:vAlign w:val="center"/>
          </w:tcPr>
          <w:p w14:paraId="01048DE5" w14:textId="41F87A33" w:rsidR="00EA0EE3" w:rsidRDefault="00EA0EE3" w:rsidP="00505DF4">
            <w:pPr>
              <w:spacing w:after="0" w:line="259" w:lineRule="auto"/>
              <w:ind w:left="0" w:right="46" w:firstLine="0"/>
              <w:jc w:val="center"/>
            </w:pPr>
            <w:r>
              <w:rPr>
                <w:sz w:val="18"/>
              </w:rPr>
              <w:t>N/A</w:t>
            </w:r>
          </w:p>
        </w:tc>
        <w:tc>
          <w:tcPr>
            <w:tcW w:w="909" w:type="dxa"/>
            <w:tcBorders>
              <w:top w:val="single" w:sz="4" w:space="0" w:color="000000"/>
              <w:left w:val="single" w:sz="12" w:space="0" w:color="000000"/>
              <w:bottom w:val="single" w:sz="4" w:space="0" w:color="000000"/>
              <w:right w:val="single" w:sz="12" w:space="0" w:color="000000"/>
            </w:tcBorders>
            <w:vAlign w:val="center"/>
          </w:tcPr>
          <w:p w14:paraId="26C42CE3" w14:textId="43D89090" w:rsidR="00EA0EE3" w:rsidRDefault="00EA0EE3" w:rsidP="00505DF4">
            <w:pPr>
              <w:spacing w:after="0" w:line="259" w:lineRule="auto"/>
              <w:ind w:left="0" w:right="47" w:firstLine="0"/>
              <w:jc w:val="center"/>
            </w:pPr>
            <w:r>
              <w:rPr>
                <w:sz w:val="18"/>
              </w:rPr>
              <w:t>0.2</w:t>
            </w:r>
          </w:p>
        </w:tc>
        <w:tc>
          <w:tcPr>
            <w:tcW w:w="910" w:type="dxa"/>
            <w:tcBorders>
              <w:top w:val="single" w:sz="4" w:space="0" w:color="000000"/>
              <w:left w:val="single" w:sz="12" w:space="0" w:color="000000"/>
              <w:bottom w:val="single" w:sz="4" w:space="0" w:color="000000"/>
              <w:right w:val="single" w:sz="12" w:space="0" w:color="000000"/>
            </w:tcBorders>
            <w:vAlign w:val="center"/>
          </w:tcPr>
          <w:p w14:paraId="4EFAB7C3" w14:textId="0A42DC25" w:rsidR="00EA0EE3" w:rsidRDefault="00DE59B7" w:rsidP="00505DF4">
            <w:pPr>
              <w:spacing w:after="0" w:line="259" w:lineRule="auto"/>
              <w:ind w:left="70" w:right="0" w:firstLine="0"/>
              <w:jc w:val="center"/>
            </w:pPr>
            <w:r>
              <w:rPr>
                <w:sz w:val="18"/>
              </w:rPr>
              <w:t>m</w:t>
            </w:r>
            <w:r w:rsidR="00EA0EE3">
              <w:rPr>
                <w:sz w:val="18"/>
              </w:rPr>
              <w:t>l/L/hr.</w:t>
            </w:r>
          </w:p>
        </w:tc>
        <w:tc>
          <w:tcPr>
            <w:tcW w:w="635" w:type="dxa"/>
            <w:tcBorders>
              <w:top w:val="single" w:sz="4" w:space="0" w:color="000000"/>
              <w:left w:val="single" w:sz="12" w:space="0" w:color="000000"/>
              <w:bottom w:val="single" w:sz="4" w:space="0" w:color="000000"/>
              <w:right w:val="single" w:sz="12" w:space="0" w:color="000000"/>
            </w:tcBorders>
            <w:vAlign w:val="center"/>
          </w:tcPr>
          <w:p w14:paraId="03689B22" w14:textId="29B1F64F" w:rsidR="00EA0EE3" w:rsidRDefault="00EA0EE3" w:rsidP="00505DF4">
            <w:pPr>
              <w:spacing w:after="0" w:line="259" w:lineRule="auto"/>
              <w:ind w:left="89" w:right="0" w:firstLine="0"/>
              <w:jc w:val="center"/>
            </w:pPr>
            <w:r>
              <w:rPr>
                <w:sz w:val="18"/>
              </w:rPr>
              <w:t>N/A</w:t>
            </w:r>
          </w:p>
        </w:tc>
        <w:tc>
          <w:tcPr>
            <w:tcW w:w="967" w:type="dxa"/>
            <w:tcBorders>
              <w:top w:val="single" w:sz="4" w:space="0" w:color="000000"/>
              <w:left w:val="single" w:sz="12" w:space="0" w:color="000000"/>
              <w:bottom w:val="single" w:sz="4" w:space="0" w:color="000000"/>
              <w:right w:val="single" w:sz="12" w:space="0" w:color="000000"/>
            </w:tcBorders>
            <w:vAlign w:val="center"/>
          </w:tcPr>
          <w:p w14:paraId="5F1416B4" w14:textId="2B42F5F7" w:rsidR="00EA0EE3" w:rsidRDefault="00EA0EE3" w:rsidP="00505DF4">
            <w:pPr>
              <w:spacing w:after="0" w:line="259" w:lineRule="auto"/>
              <w:ind w:left="0" w:right="47" w:firstLine="0"/>
              <w:jc w:val="center"/>
            </w:pPr>
            <w:r>
              <w:rPr>
                <w:sz w:val="18"/>
              </w:rPr>
              <w:t>N/A</w:t>
            </w:r>
          </w:p>
        </w:tc>
        <w:tc>
          <w:tcPr>
            <w:tcW w:w="907" w:type="dxa"/>
            <w:tcBorders>
              <w:top w:val="single" w:sz="4" w:space="0" w:color="000000"/>
              <w:left w:val="single" w:sz="12" w:space="0" w:color="000000"/>
              <w:bottom w:val="single" w:sz="4" w:space="0" w:color="000000"/>
              <w:right w:val="single" w:sz="12" w:space="0" w:color="000000"/>
            </w:tcBorders>
            <w:vAlign w:val="center"/>
          </w:tcPr>
          <w:p w14:paraId="20B7EFCD" w14:textId="20AFE04D" w:rsidR="00EA0EE3" w:rsidRDefault="00EA0EE3" w:rsidP="00505DF4">
            <w:pPr>
              <w:spacing w:after="0" w:line="259" w:lineRule="auto"/>
              <w:ind w:left="0" w:right="0" w:firstLine="0"/>
              <w:jc w:val="center"/>
            </w:pPr>
            <w:r>
              <w:rPr>
                <w:sz w:val="18"/>
              </w:rPr>
              <w:t>2540 F</w:t>
            </w:r>
            <w:r w:rsidR="00D96DD2">
              <w:rPr>
                <w:sz w:val="18"/>
              </w:rPr>
              <w:t xml:space="preserve"> </w:t>
            </w:r>
            <w:r w:rsidRPr="00DF69D0">
              <w:rPr>
                <w:b/>
                <w:bCs/>
                <w:sz w:val="18"/>
                <w:vertAlign w:val="superscript"/>
              </w:rPr>
              <w:t>9</w:t>
            </w:r>
          </w:p>
        </w:tc>
        <w:tc>
          <w:tcPr>
            <w:tcW w:w="725" w:type="dxa"/>
            <w:tcBorders>
              <w:top w:val="single" w:sz="4" w:space="0" w:color="000000"/>
              <w:left w:val="single" w:sz="12" w:space="0" w:color="000000"/>
              <w:bottom w:val="single" w:sz="4" w:space="0" w:color="000000"/>
              <w:right w:val="single" w:sz="12" w:space="0" w:color="000000"/>
            </w:tcBorders>
            <w:vAlign w:val="center"/>
          </w:tcPr>
          <w:p w14:paraId="4B776157" w14:textId="3DB01ED1" w:rsidR="00EA0EE3" w:rsidRDefault="00EA0EE3" w:rsidP="00505DF4">
            <w:pPr>
              <w:spacing w:after="0" w:line="259" w:lineRule="auto"/>
              <w:ind w:left="1" w:right="0" w:firstLine="0"/>
              <w:jc w:val="center"/>
            </w:pPr>
          </w:p>
        </w:tc>
        <w:tc>
          <w:tcPr>
            <w:tcW w:w="725" w:type="dxa"/>
            <w:tcBorders>
              <w:top w:val="single" w:sz="4" w:space="0" w:color="000000"/>
              <w:left w:val="single" w:sz="12" w:space="0" w:color="000000"/>
              <w:bottom w:val="single" w:sz="4" w:space="0" w:color="000000"/>
              <w:right w:val="single" w:sz="12" w:space="0" w:color="000000"/>
            </w:tcBorders>
            <w:vAlign w:val="center"/>
          </w:tcPr>
          <w:p w14:paraId="3DDE2697" w14:textId="289AFE5B" w:rsidR="00EA0EE3" w:rsidRDefault="00EA0EE3" w:rsidP="00505DF4">
            <w:pPr>
              <w:spacing w:after="0" w:line="259" w:lineRule="auto"/>
              <w:ind w:left="0" w:right="0" w:firstLine="0"/>
              <w:jc w:val="center"/>
            </w:pPr>
          </w:p>
        </w:tc>
        <w:tc>
          <w:tcPr>
            <w:tcW w:w="363" w:type="dxa"/>
            <w:tcBorders>
              <w:top w:val="single" w:sz="4" w:space="0" w:color="000000"/>
              <w:left w:val="single" w:sz="12" w:space="0" w:color="000000"/>
              <w:bottom w:val="single" w:sz="4" w:space="0" w:color="000000"/>
            </w:tcBorders>
            <w:vAlign w:val="center"/>
          </w:tcPr>
          <w:p w14:paraId="0E7B3C7C" w14:textId="42E2C039" w:rsidR="00EA0EE3" w:rsidRDefault="00EA0EE3" w:rsidP="00505DF4">
            <w:pPr>
              <w:spacing w:after="0" w:line="259" w:lineRule="auto"/>
              <w:ind w:left="0" w:right="0" w:firstLine="0"/>
              <w:jc w:val="center"/>
            </w:pPr>
          </w:p>
        </w:tc>
        <w:tc>
          <w:tcPr>
            <w:tcW w:w="123" w:type="dxa"/>
            <w:tcBorders>
              <w:top w:val="single" w:sz="4" w:space="0" w:color="000000"/>
              <w:left w:val="nil"/>
              <w:bottom w:val="single" w:sz="4" w:space="0" w:color="000000"/>
              <w:right w:val="single" w:sz="12" w:space="0" w:color="000000"/>
            </w:tcBorders>
            <w:vAlign w:val="center"/>
          </w:tcPr>
          <w:p w14:paraId="28CC1B6B" w14:textId="0FF52D17" w:rsidR="00EA0EE3" w:rsidRDefault="00EA0EE3" w:rsidP="00505DF4">
            <w:pPr>
              <w:spacing w:after="0" w:line="259" w:lineRule="auto"/>
              <w:ind w:left="0" w:right="0" w:firstLine="0"/>
              <w:jc w:val="center"/>
            </w:pPr>
          </w:p>
        </w:tc>
      </w:tr>
      <w:tr w:rsidR="00C84A5D" w14:paraId="509C3ADE" w14:textId="77777777" w:rsidTr="005B6604">
        <w:trPr>
          <w:trHeight w:val="257"/>
        </w:trPr>
        <w:tc>
          <w:tcPr>
            <w:tcW w:w="3193" w:type="dxa"/>
            <w:tcBorders>
              <w:top w:val="single" w:sz="4" w:space="0" w:color="000000"/>
              <w:left w:val="single" w:sz="12" w:space="0" w:color="000000"/>
              <w:bottom w:val="single" w:sz="4" w:space="0" w:color="000000"/>
              <w:right w:val="single" w:sz="12" w:space="0" w:color="000000"/>
            </w:tcBorders>
            <w:vAlign w:val="center"/>
          </w:tcPr>
          <w:p w14:paraId="187FA607" w14:textId="0EA9377F" w:rsidR="00EA0EE3" w:rsidRDefault="00EA0EE3" w:rsidP="00505DF4">
            <w:pPr>
              <w:spacing w:after="0" w:line="259" w:lineRule="auto"/>
              <w:ind w:left="0" w:right="0" w:firstLine="0"/>
            </w:pPr>
            <w:r>
              <w:rPr>
                <w:sz w:val="18"/>
              </w:rPr>
              <w:t>Bromide</w:t>
            </w:r>
          </w:p>
        </w:tc>
        <w:tc>
          <w:tcPr>
            <w:tcW w:w="1091" w:type="dxa"/>
            <w:tcBorders>
              <w:top w:val="single" w:sz="4" w:space="0" w:color="000000"/>
              <w:left w:val="single" w:sz="12" w:space="0" w:color="000000"/>
              <w:bottom w:val="single" w:sz="4" w:space="0" w:color="000000"/>
              <w:right w:val="single" w:sz="12" w:space="0" w:color="000000"/>
            </w:tcBorders>
            <w:vAlign w:val="center"/>
          </w:tcPr>
          <w:p w14:paraId="741124DE" w14:textId="7474C37A" w:rsidR="00EA0EE3" w:rsidRDefault="00EA0EE3" w:rsidP="00505DF4">
            <w:pPr>
              <w:spacing w:after="0" w:line="259" w:lineRule="auto"/>
              <w:ind w:left="0" w:right="44" w:firstLine="0"/>
              <w:jc w:val="center"/>
            </w:pPr>
            <w:r>
              <w:rPr>
                <w:sz w:val="18"/>
              </w:rPr>
              <w:t>24959-67-9</w:t>
            </w:r>
          </w:p>
        </w:tc>
        <w:tc>
          <w:tcPr>
            <w:tcW w:w="909" w:type="dxa"/>
            <w:tcBorders>
              <w:top w:val="single" w:sz="4" w:space="0" w:color="000000"/>
              <w:left w:val="single" w:sz="12" w:space="0" w:color="000000"/>
              <w:bottom w:val="single" w:sz="4" w:space="0" w:color="000000"/>
              <w:right w:val="single" w:sz="12" w:space="0" w:color="000000"/>
            </w:tcBorders>
            <w:vAlign w:val="center"/>
          </w:tcPr>
          <w:p w14:paraId="50C0600B" w14:textId="7518C254" w:rsidR="00EA0EE3" w:rsidRDefault="00EA0EE3" w:rsidP="00505DF4">
            <w:pPr>
              <w:tabs>
                <w:tab w:val="center" w:pos="399"/>
              </w:tabs>
              <w:spacing w:after="0" w:line="259" w:lineRule="auto"/>
              <w:ind w:left="0" w:right="0" w:firstLine="0"/>
              <w:jc w:val="center"/>
            </w:pPr>
            <w:r>
              <w:rPr>
                <w:sz w:val="18"/>
              </w:rPr>
              <w:t>0.1</w:t>
            </w:r>
          </w:p>
        </w:tc>
        <w:tc>
          <w:tcPr>
            <w:tcW w:w="910" w:type="dxa"/>
            <w:tcBorders>
              <w:top w:val="single" w:sz="4" w:space="0" w:color="000000"/>
              <w:left w:val="single" w:sz="12" w:space="0" w:color="000000"/>
              <w:bottom w:val="single" w:sz="4" w:space="0" w:color="000000"/>
              <w:right w:val="single" w:sz="12" w:space="0" w:color="000000"/>
            </w:tcBorders>
            <w:vAlign w:val="center"/>
          </w:tcPr>
          <w:p w14:paraId="7F316886" w14:textId="51E40973" w:rsidR="00EA0EE3" w:rsidRDefault="00EA0EE3" w:rsidP="00505DF4">
            <w:pPr>
              <w:spacing w:after="0" w:line="259" w:lineRule="auto"/>
              <w:ind w:left="0" w:right="46" w:firstLine="0"/>
              <w:jc w:val="center"/>
            </w:pPr>
            <w:r>
              <w:rPr>
                <w:sz w:val="18"/>
              </w:rPr>
              <w:t>mg/L</w:t>
            </w:r>
          </w:p>
        </w:tc>
        <w:tc>
          <w:tcPr>
            <w:tcW w:w="635" w:type="dxa"/>
            <w:tcBorders>
              <w:top w:val="single" w:sz="4" w:space="0" w:color="000000"/>
              <w:left w:val="single" w:sz="12" w:space="0" w:color="000000"/>
              <w:bottom w:val="single" w:sz="4" w:space="0" w:color="000000"/>
              <w:right w:val="single" w:sz="12" w:space="0" w:color="000000"/>
            </w:tcBorders>
            <w:vAlign w:val="center"/>
          </w:tcPr>
          <w:p w14:paraId="2583D76A" w14:textId="344B6136" w:rsidR="00EA0EE3" w:rsidRDefault="00EA0EE3" w:rsidP="00505DF4">
            <w:pPr>
              <w:spacing w:after="0" w:line="259" w:lineRule="auto"/>
              <w:ind w:left="89" w:right="0" w:firstLine="0"/>
              <w:jc w:val="center"/>
            </w:pPr>
            <w:r>
              <w:rPr>
                <w:sz w:val="18"/>
              </w:rPr>
              <w:t>N/A</w:t>
            </w:r>
          </w:p>
        </w:tc>
        <w:tc>
          <w:tcPr>
            <w:tcW w:w="967" w:type="dxa"/>
            <w:tcBorders>
              <w:top w:val="single" w:sz="4" w:space="0" w:color="000000"/>
              <w:left w:val="single" w:sz="12" w:space="0" w:color="000000"/>
              <w:bottom w:val="single" w:sz="4" w:space="0" w:color="000000"/>
              <w:right w:val="single" w:sz="12" w:space="0" w:color="000000"/>
            </w:tcBorders>
            <w:vAlign w:val="center"/>
          </w:tcPr>
          <w:p w14:paraId="4DEBC55D" w14:textId="4ADD25B0" w:rsidR="00EA0EE3" w:rsidRDefault="00EA0EE3" w:rsidP="00505DF4">
            <w:pPr>
              <w:spacing w:after="0" w:line="259" w:lineRule="auto"/>
              <w:ind w:left="0" w:right="47" w:firstLine="0"/>
              <w:jc w:val="center"/>
            </w:pPr>
            <w:r>
              <w:rPr>
                <w:sz w:val="18"/>
              </w:rPr>
              <w:t>N/A</w:t>
            </w:r>
          </w:p>
        </w:tc>
        <w:tc>
          <w:tcPr>
            <w:tcW w:w="907" w:type="dxa"/>
            <w:tcBorders>
              <w:top w:val="single" w:sz="4" w:space="0" w:color="000000"/>
              <w:left w:val="single" w:sz="12" w:space="0" w:color="000000"/>
              <w:bottom w:val="single" w:sz="4" w:space="0" w:color="000000"/>
              <w:right w:val="single" w:sz="12" w:space="0" w:color="000000"/>
            </w:tcBorders>
            <w:vAlign w:val="center"/>
          </w:tcPr>
          <w:p w14:paraId="68FF620A" w14:textId="2F155547" w:rsidR="00EA0EE3" w:rsidRDefault="00EA0EE3" w:rsidP="00505DF4">
            <w:pPr>
              <w:spacing w:after="0" w:line="259" w:lineRule="auto"/>
              <w:ind w:left="0" w:right="0" w:firstLine="0"/>
              <w:jc w:val="center"/>
            </w:pPr>
            <w:r>
              <w:rPr>
                <w:sz w:val="18"/>
              </w:rPr>
              <w:t>9056</w:t>
            </w:r>
          </w:p>
        </w:tc>
        <w:tc>
          <w:tcPr>
            <w:tcW w:w="725" w:type="dxa"/>
            <w:tcBorders>
              <w:top w:val="single" w:sz="4" w:space="0" w:color="000000"/>
              <w:left w:val="single" w:sz="12" w:space="0" w:color="000000"/>
              <w:bottom w:val="single" w:sz="4" w:space="0" w:color="000000"/>
              <w:right w:val="single" w:sz="12" w:space="0" w:color="000000"/>
            </w:tcBorders>
            <w:vAlign w:val="center"/>
          </w:tcPr>
          <w:p w14:paraId="286110FF" w14:textId="0F357BA0" w:rsidR="00EA0EE3" w:rsidRDefault="00EA0EE3" w:rsidP="00505DF4">
            <w:pPr>
              <w:spacing w:after="0" w:line="259" w:lineRule="auto"/>
              <w:ind w:left="1" w:right="0" w:firstLine="0"/>
              <w:jc w:val="center"/>
            </w:pPr>
            <w:r>
              <w:rPr>
                <w:sz w:val="18"/>
              </w:rPr>
              <w:t>9211</w:t>
            </w:r>
          </w:p>
        </w:tc>
        <w:tc>
          <w:tcPr>
            <w:tcW w:w="725" w:type="dxa"/>
            <w:tcBorders>
              <w:top w:val="single" w:sz="4" w:space="0" w:color="000000"/>
              <w:left w:val="single" w:sz="12" w:space="0" w:color="000000"/>
              <w:bottom w:val="single" w:sz="4" w:space="0" w:color="000000"/>
              <w:right w:val="single" w:sz="12" w:space="0" w:color="000000"/>
            </w:tcBorders>
            <w:vAlign w:val="center"/>
          </w:tcPr>
          <w:p w14:paraId="2ED5C7AD" w14:textId="11D462AC" w:rsidR="00EA0EE3" w:rsidRDefault="00EA0EE3" w:rsidP="00505DF4">
            <w:pPr>
              <w:spacing w:after="0" w:line="259" w:lineRule="auto"/>
              <w:ind w:left="0" w:right="0" w:firstLine="0"/>
              <w:jc w:val="center"/>
            </w:pPr>
          </w:p>
        </w:tc>
        <w:tc>
          <w:tcPr>
            <w:tcW w:w="363" w:type="dxa"/>
            <w:tcBorders>
              <w:top w:val="single" w:sz="4" w:space="0" w:color="000000"/>
              <w:left w:val="single" w:sz="12" w:space="0" w:color="000000"/>
              <w:bottom w:val="single" w:sz="4" w:space="0" w:color="000000"/>
            </w:tcBorders>
            <w:vAlign w:val="center"/>
          </w:tcPr>
          <w:p w14:paraId="5A5A04CC" w14:textId="20FBBF4F" w:rsidR="00EA0EE3" w:rsidRDefault="00EA0EE3" w:rsidP="00505DF4">
            <w:pPr>
              <w:spacing w:after="0" w:line="259" w:lineRule="auto"/>
              <w:ind w:left="0" w:right="0" w:firstLine="0"/>
              <w:jc w:val="center"/>
            </w:pPr>
          </w:p>
        </w:tc>
        <w:tc>
          <w:tcPr>
            <w:tcW w:w="123" w:type="dxa"/>
            <w:tcBorders>
              <w:top w:val="single" w:sz="4" w:space="0" w:color="000000"/>
              <w:left w:val="nil"/>
              <w:bottom w:val="single" w:sz="4" w:space="0" w:color="000000"/>
              <w:right w:val="single" w:sz="12" w:space="0" w:color="000000"/>
            </w:tcBorders>
            <w:vAlign w:val="center"/>
          </w:tcPr>
          <w:p w14:paraId="4A76F4DA" w14:textId="74E70287" w:rsidR="00EA0EE3" w:rsidRDefault="00EA0EE3" w:rsidP="00505DF4">
            <w:pPr>
              <w:spacing w:after="0" w:line="259" w:lineRule="auto"/>
              <w:ind w:left="0" w:right="0" w:firstLine="0"/>
              <w:jc w:val="center"/>
            </w:pPr>
          </w:p>
        </w:tc>
      </w:tr>
      <w:tr w:rsidR="00C84A5D" w14:paraId="61DE6845" w14:textId="77777777" w:rsidTr="005B6604">
        <w:trPr>
          <w:trHeight w:val="255"/>
        </w:trPr>
        <w:tc>
          <w:tcPr>
            <w:tcW w:w="3193" w:type="dxa"/>
            <w:tcBorders>
              <w:top w:val="single" w:sz="4" w:space="0" w:color="000000"/>
              <w:left w:val="single" w:sz="12" w:space="0" w:color="000000"/>
              <w:bottom w:val="single" w:sz="4" w:space="0" w:color="000000"/>
              <w:right w:val="single" w:sz="12" w:space="0" w:color="000000"/>
            </w:tcBorders>
            <w:vAlign w:val="center"/>
          </w:tcPr>
          <w:p w14:paraId="148B312A" w14:textId="45FB669A" w:rsidR="00EA0EE3" w:rsidRDefault="00EA0EE3" w:rsidP="00505DF4">
            <w:pPr>
              <w:spacing w:after="0" w:line="259" w:lineRule="auto"/>
              <w:ind w:left="0" w:right="0" w:firstLine="0"/>
            </w:pPr>
            <w:r>
              <w:rPr>
                <w:sz w:val="18"/>
              </w:rPr>
              <w:t>Chlorine, total residual</w:t>
            </w:r>
          </w:p>
        </w:tc>
        <w:tc>
          <w:tcPr>
            <w:tcW w:w="1091" w:type="dxa"/>
            <w:tcBorders>
              <w:top w:val="single" w:sz="4" w:space="0" w:color="000000"/>
              <w:left w:val="single" w:sz="12" w:space="0" w:color="000000"/>
              <w:bottom w:val="single" w:sz="4" w:space="0" w:color="000000"/>
              <w:right w:val="single" w:sz="12" w:space="0" w:color="000000"/>
            </w:tcBorders>
            <w:vAlign w:val="center"/>
          </w:tcPr>
          <w:p w14:paraId="3AE9DBEB" w14:textId="3E7C0E11" w:rsidR="00EA0EE3" w:rsidRDefault="00EA0EE3" w:rsidP="00505DF4">
            <w:pPr>
              <w:spacing w:after="0" w:line="259" w:lineRule="auto"/>
              <w:ind w:left="0" w:right="44" w:firstLine="0"/>
              <w:jc w:val="center"/>
            </w:pPr>
            <w:r>
              <w:rPr>
                <w:sz w:val="18"/>
              </w:rPr>
              <w:t>7782-50-5</w:t>
            </w:r>
          </w:p>
        </w:tc>
        <w:tc>
          <w:tcPr>
            <w:tcW w:w="909" w:type="dxa"/>
            <w:tcBorders>
              <w:top w:val="single" w:sz="4" w:space="0" w:color="000000"/>
              <w:left w:val="single" w:sz="12" w:space="0" w:color="000000"/>
              <w:bottom w:val="single" w:sz="4" w:space="0" w:color="000000"/>
              <w:right w:val="single" w:sz="12" w:space="0" w:color="000000"/>
            </w:tcBorders>
            <w:vAlign w:val="center"/>
          </w:tcPr>
          <w:p w14:paraId="38A6A109" w14:textId="3635E11F" w:rsidR="00EA0EE3" w:rsidRDefault="00EA0EE3" w:rsidP="00505DF4">
            <w:pPr>
              <w:tabs>
                <w:tab w:val="center" w:pos="399"/>
              </w:tabs>
              <w:spacing w:after="0" w:line="259" w:lineRule="auto"/>
              <w:ind w:left="0" w:right="0" w:firstLine="0"/>
              <w:jc w:val="center"/>
            </w:pPr>
            <w:r>
              <w:rPr>
                <w:sz w:val="18"/>
              </w:rPr>
              <w:t>0.2</w:t>
            </w:r>
          </w:p>
        </w:tc>
        <w:tc>
          <w:tcPr>
            <w:tcW w:w="910" w:type="dxa"/>
            <w:tcBorders>
              <w:top w:val="single" w:sz="4" w:space="0" w:color="000000"/>
              <w:left w:val="single" w:sz="12" w:space="0" w:color="000000"/>
              <w:bottom w:val="single" w:sz="4" w:space="0" w:color="000000"/>
              <w:right w:val="single" w:sz="12" w:space="0" w:color="000000"/>
            </w:tcBorders>
            <w:vAlign w:val="center"/>
          </w:tcPr>
          <w:p w14:paraId="6B7CA7DD" w14:textId="4C0A2F23" w:rsidR="00EA0EE3" w:rsidRDefault="00EA0EE3" w:rsidP="00505DF4">
            <w:pPr>
              <w:spacing w:after="0" w:line="259" w:lineRule="auto"/>
              <w:ind w:left="0" w:right="46" w:firstLine="0"/>
              <w:jc w:val="center"/>
            </w:pPr>
            <w:r>
              <w:rPr>
                <w:sz w:val="18"/>
              </w:rPr>
              <w:t>mg/L</w:t>
            </w:r>
          </w:p>
        </w:tc>
        <w:tc>
          <w:tcPr>
            <w:tcW w:w="635" w:type="dxa"/>
            <w:tcBorders>
              <w:top w:val="single" w:sz="4" w:space="0" w:color="000000"/>
              <w:left w:val="single" w:sz="12" w:space="0" w:color="000000"/>
              <w:bottom w:val="single" w:sz="4" w:space="0" w:color="000000"/>
              <w:right w:val="single" w:sz="12" w:space="0" w:color="000000"/>
            </w:tcBorders>
            <w:vAlign w:val="center"/>
          </w:tcPr>
          <w:p w14:paraId="2840C212" w14:textId="3DBF397E" w:rsidR="00EA0EE3" w:rsidRDefault="00EA0EE3" w:rsidP="00505DF4">
            <w:pPr>
              <w:spacing w:after="0" w:line="259" w:lineRule="auto"/>
              <w:ind w:left="89" w:right="0" w:firstLine="0"/>
              <w:jc w:val="center"/>
            </w:pPr>
            <w:r>
              <w:rPr>
                <w:sz w:val="18"/>
              </w:rPr>
              <w:t>N/A</w:t>
            </w:r>
          </w:p>
        </w:tc>
        <w:tc>
          <w:tcPr>
            <w:tcW w:w="967" w:type="dxa"/>
            <w:tcBorders>
              <w:top w:val="single" w:sz="4" w:space="0" w:color="000000"/>
              <w:left w:val="single" w:sz="12" w:space="0" w:color="000000"/>
              <w:bottom w:val="single" w:sz="4" w:space="0" w:color="000000"/>
              <w:right w:val="single" w:sz="12" w:space="0" w:color="000000"/>
            </w:tcBorders>
            <w:vAlign w:val="center"/>
          </w:tcPr>
          <w:p w14:paraId="5761FEE2" w14:textId="6C0D6033" w:rsidR="00EA0EE3" w:rsidRDefault="00EA0EE3" w:rsidP="00505DF4">
            <w:pPr>
              <w:spacing w:after="0" w:line="259" w:lineRule="auto"/>
              <w:ind w:left="0" w:right="47" w:firstLine="0"/>
              <w:jc w:val="center"/>
            </w:pPr>
            <w:r>
              <w:rPr>
                <w:sz w:val="18"/>
              </w:rPr>
              <w:t>N/A</w:t>
            </w:r>
          </w:p>
        </w:tc>
        <w:tc>
          <w:tcPr>
            <w:tcW w:w="907" w:type="dxa"/>
            <w:tcBorders>
              <w:top w:val="single" w:sz="4" w:space="0" w:color="000000"/>
              <w:left w:val="single" w:sz="12" w:space="0" w:color="000000"/>
              <w:bottom w:val="single" w:sz="4" w:space="0" w:color="000000"/>
              <w:right w:val="single" w:sz="12" w:space="0" w:color="000000"/>
            </w:tcBorders>
            <w:vAlign w:val="center"/>
          </w:tcPr>
          <w:p w14:paraId="657C15D7" w14:textId="7F7167D9" w:rsidR="00EA0EE3" w:rsidRDefault="00EA0EE3" w:rsidP="00505DF4">
            <w:pPr>
              <w:spacing w:after="0" w:line="259" w:lineRule="auto"/>
              <w:ind w:left="0" w:right="0" w:firstLine="0"/>
              <w:jc w:val="center"/>
            </w:pPr>
            <w:r>
              <w:rPr>
                <w:sz w:val="18"/>
              </w:rPr>
              <w:t>4500 CL</w:t>
            </w:r>
            <w:r w:rsidR="00D96DD2">
              <w:rPr>
                <w:sz w:val="18"/>
              </w:rPr>
              <w:t xml:space="preserve"> </w:t>
            </w:r>
            <w:r w:rsidRPr="00DF69D0">
              <w:rPr>
                <w:b/>
                <w:bCs/>
                <w:sz w:val="18"/>
                <w:vertAlign w:val="superscript"/>
              </w:rPr>
              <w:t>9</w:t>
            </w:r>
          </w:p>
        </w:tc>
        <w:tc>
          <w:tcPr>
            <w:tcW w:w="725" w:type="dxa"/>
            <w:tcBorders>
              <w:top w:val="single" w:sz="4" w:space="0" w:color="000000"/>
              <w:left w:val="single" w:sz="12" w:space="0" w:color="000000"/>
              <w:bottom w:val="single" w:sz="4" w:space="0" w:color="000000"/>
              <w:right w:val="single" w:sz="12" w:space="0" w:color="000000"/>
            </w:tcBorders>
            <w:vAlign w:val="center"/>
          </w:tcPr>
          <w:p w14:paraId="645ECEF7" w14:textId="091A0351" w:rsidR="00EA0EE3" w:rsidRDefault="00EA0EE3" w:rsidP="00505DF4">
            <w:pPr>
              <w:spacing w:after="0" w:line="259" w:lineRule="auto"/>
              <w:ind w:left="1" w:right="0" w:firstLine="0"/>
              <w:jc w:val="center"/>
            </w:pPr>
          </w:p>
        </w:tc>
        <w:tc>
          <w:tcPr>
            <w:tcW w:w="725" w:type="dxa"/>
            <w:tcBorders>
              <w:top w:val="single" w:sz="4" w:space="0" w:color="000000"/>
              <w:left w:val="single" w:sz="12" w:space="0" w:color="000000"/>
              <w:bottom w:val="single" w:sz="4" w:space="0" w:color="000000"/>
              <w:right w:val="single" w:sz="12" w:space="0" w:color="000000"/>
            </w:tcBorders>
            <w:vAlign w:val="center"/>
          </w:tcPr>
          <w:p w14:paraId="2436CF38" w14:textId="45FDF2FF" w:rsidR="00EA0EE3" w:rsidRDefault="00EA0EE3" w:rsidP="00505DF4">
            <w:pPr>
              <w:spacing w:after="0" w:line="259" w:lineRule="auto"/>
              <w:ind w:left="0" w:right="0" w:firstLine="0"/>
              <w:jc w:val="center"/>
            </w:pPr>
          </w:p>
        </w:tc>
        <w:tc>
          <w:tcPr>
            <w:tcW w:w="363" w:type="dxa"/>
            <w:tcBorders>
              <w:top w:val="single" w:sz="4" w:space="0" w:color="000000"/>
              <w:left w:val="single" w:sz="12" w:space="0" w:color="000000"/>
              <w:bottom w:val="single" w:sz="4" w:space="0" w:color="000000"/>
            </w:tcBorders>
            <w:vAlign w:val="center"/>
          </w:tcPr>
          <w:p w14:paraId="65B869FD" w14:textId="58308507" w:rsidR="00EA0EE3" w:rsidRDefault="00EA0EE3" w:rsidP="00505DF4">
            <w:pPr>
              <w:spacing w:after="0" w:line="259" w:lineRule="auto"/>
              <w:ind w:left="0" w:right="0" w:firstLine="0"/>
              <w:jc w:val="center"/>
            </w:pPr>
          </w:p>
        </w:tc>
        <w:tc>
          <w:tcPr>
            <w:tcW w:w="123" w:type="dxa"/>
            <w:tcBorders>
              <w:top w:val="single" w:sz="4" w:space="0" w:color="000000"/>
              <w:left w:val="nil"/>
              <w:bottom w:val="single" w:sz="4" w:space="0" w:color="000000"/>
              <w:right w:val="single" w:sz="12" w:space="0" w:color="000000"/>
            </w:tcBorders>
            <w:vAlign w:val="center"/>
          </w:tcPr>
          <w:p w14:paraId="6EC6F629" w14:textId="586C4B29" w:rsidR="00EA0EE3" w:rsidRDefault="00EA0EE3" w:rsidP="00505DF4">
            <w:pPr>
              <w:spacing w:after="0" w:line="259" w:lineRule="auto"/>
              <w:ind w:left="0" w:right="0" w:firstLine="0"/>
              <w:jc w:val="center"/>
            </w:pPr>
          </w:p>
        </w:tc>
      </w:tr>
      <w:tr w:rsidR="00C84A5D" w14:paraId="5B3EE69E" w14:textId="77777777" w:rsidTr="005B6604">
        <w:trPr>
          <w:trHeight w:val="255"/>
        </w:trPr>
        <w:tc>
          <w:tcPr>
            <w:tcW w:w="3193" w:type="dxa"/>
            <w:tcBorders>
              <w:top w:val="single" w:sz="4" w:space="0" w:color="000000"/>
              <w:left w:val="single" w:sz="12" w:space="0" w:color="000000"/>
              <w:bottom w:val="single" w:sz="4" w:space="0" w:color="000000"/>
              <w:right w:val="single" w:sz="12" w:space="0" w:color="000000"/>
            </w:tcBorders>
            <w:vAlign w:val="center"/>
          </w:tcPr>
          <w:p w14:paraId="2C531621" w14:textId="0CC2BD49" w:rsidR="00EA0EE3" w:rsidRDefault="00EA0EE3" w:rsidP="00505DF4">
            <w:pPr>
              <w:spacing w:after="0" w:line="259" w:lineRule="auto"/>
              <w:ind w:left="0" w:right="0" w:firstLine="0"/>
            </w:pPr>
            <w:r>
              <w:rPr>
                <w:sz w:val="18"/>
              </w:rPr>
              <w:t>Total Chlorine (new &amp; used oil)</w:t>
            </w:r>
          </w:p>
        </w:tc>
        <w:tc>
          <w:tcPr>
            <w:tcW w:w="1091" w:type="dxa"/>
            <w:tcBorders>
              <w:top w:val="single" w:sz="4" w:space="0" w:color="000000"/>
              <w:left w:val="single" w:sz="12" w:space="0" w:color="000000"/>
              <w:bottom w:val="single" w:sz="4" w:space="0" w:color="000000"/>
              <w:right w:val="single" w:sz="12" w:space="0" w:color="000000"/>
            </w:tcBorders>
            <w:vAlign w:val="center"/>
          </w:tcPr>
          <w:p w14:paraId="0A84BB85" w14:textId="383467A3" w:rsidR="00EA0EE3" w:rsidRDefault="00EA0EE3" w:rsidP="00505DF4">
            <w:pPr>
              <w:spacing w:after="0" w:line="259" w:lineRule="auto"/>
              <w:ind w:left="0" w:right="44" w:firstLine="0"/>
              <w:jc w:val="center"/>
            </w:pPr>
            <w:r>
              <w:rPr>
                <w:sz w:val="18"/>
              </w:rPr>
              <w:t>7782-50-5</w:t>
            </w:r>
          </w:p>
        </w:tc>
        <w:tc>
          <w:tcPr>
            <w:tcW w:w="909" w:type="dxa"/>
            <w:tcBorders>
              <w:top w:val="single" w:sz="4" w:space="0" w:color="000000"/>
              <w:left w:val="single" w:sz="12" w:space="0" w:color="000000"/>
              <w:bottom w:val="single" w:sz="4" w:space="0" w:color="000000"/>
              <w:right w:val="single" w:sz="12" w:space="0" w:color="000000"/>
            </w:tcBorders>
            <w:vAlign w:val="center"/>
          </w:tcPr>
          <w:p w14:paraId="211A9464" w14:textId="4D8C5A22" w:rsidR="00EA0EE3" w:rsidRDefault="00EA0EE3" w:rsidP="00505DF4">
            <w:pPr>
              <w:spacing w:after="0" w:line="259" w:lineRule="auto"/>
              <w:ind w:left="0" w:right="45" w:firstLine="0"/>
              <w:jc w:val="center"/>
            </w:pPr>
            <w:r>
              <w:rPr>
                <w:sz w:val="18"/>
              </w:rPr>
              <w:t>N/A</w:t>
            </w:r>
          </w:p>
        </w:tc>
        <w:tc>
          <w:tcPr>
            <w:tcW w:w="910" w:type="dxa"/>
            <w:tcBorders>
              <w:top w:val="single" w:sz="4" w:space="0" w:color="000000"/>
              <w:left w:val="single" w:sz="12" w:space="0" w:color="000000"/>
              <w:bottom w:val="single" w:sz="4" w:space="0" w:color="000000"/>
              <w:right w:val="single" w:sz="12" w:space="0" w:color="000000"/>
            </w:tcBorders>
            <w:vAlign w:val="center"/>
          </w:tcPr>
          <w:p w14:paraId="13BB8737" w14:textId="1C6A95F5" w:rsidR="00EA0EE3" w:rsidRDefault="00EA0EE3" w:rsidP="00505DF4">
            <w:pPr>
              <w:spacing w:after="0" w:line="259" w:lineRule="auto"/>
              <w:ind w:left="0" w:right="45" w:firstLine="0"/>
              <w:jc w:val="center"/>
            </w:pPr>
            <w:r>
              <w:rPr>
                <w:sz w:val="18"/>
              </w:rPr>
              <w:t>N/A</w:t>
            </w:r>
          </w:p>
        </w:tc>
        <w:tc>
          <w:tcPr>
            <w:tcW w:w="635" w:type="dxa"/>
            <w:tcBorders>
              <w:top w:val="single" w:sz="4" w:space="0" w:color="000000"/>
              <w:left w:val="single" w:sz="12" w:space="0" w:color="000000"/>
              <w:bottom w:val="single" w:sz="4" w:space="0" w:color="000000"/>
              <w:right w:val="single" w:sz="12" w:space="0" w:color="000000"/>
            </w:tcBorders>
            <w:vAlign w:val="center"/>
          </w:tcPr>
          <w:p w14:paraId="1C3EF604" w14:textId="6BEF1283" w:rsidR="00EA0EE3" w:rsidRDefault="00EA0EE3" w:rsidP="00505DF4">
            <w:pPr>
              <w:spacing w:after="0" w:line="259" w:lineRule="auto"/>
              <w:ind w:left="0" w:right="0" w:firstLine="0"/>
              <w:jc w:val="center"/>
            </w:pPr>
            <w:r>
              <w:rPr>
                <w:sz w:val="18"/>
              </w:rPr>
              <w:t>200</w:t>
            </w:r>
          </w:p>
        </w:tc>
        <w:tc>
          <w:tcPr>
            <w:tcW w:w="967" w:type="dxa"/>
            <w:tcBorders>
              <w:top w:val="single" w:sz="4" w:space="0" w:color="000000"/>
              <w:left w:val="single" w:sz="12" w:space="0" w:color="000000"/>
              <w:bottom w:val="single" w:sz="4" w:space="0" w:color="000000"/>
              <w:right w:val="single" w:sz="12" w:space="0" w:color="000000"/>
            </w:tcBorders>
            <w:vAlign w:val="center"/>
          </w:tcPr>
          <w:p w14:paraId="3670B14C" w14:textId="62483208" w:rsidR="00EA0EE3" w:rsidRDefault="00EA0EE3" w:rsidP="00505DF4">
            <w:pPr>
              <w:spacing w:after="0" w:line="259" w:lineRule="auto"/>
              <w:ind w:left="0" w:right="46" w:firstLine="0"/>
              <w:jc w:val="center"/>
            </w:pPr>
            <w:r>
              <w:rPr>
                <w:sz w:val="18"/>
              </w:rPr>
              <w:t>mg/kg</w:t>
            </w:r>
          </w:p>
        </w:tc>
        <w:tc>
          <w:tcPr>
            <w:tcW w:w="907" w:type="dxa"/>
            <w:tcBorders>
              <w:top w:val="single" w:sz="4" w:space="0" w:color="000000"/>
              <w:left w:val="single" w:sz="12" w:space="0" w:color="000000"/>
              <w:bottom w:val="single" w:sz="4" w:space="0" w:color="000000"/>
              <w:right w:val="single" w:sz="12" w:space="0" w:color="000000"/>
            </w:tcBorders>
            <w:vAlign w:val="center"/>
          </w:tcPr>
          <w:p w14:paraId="1C4E9325" w14:textId="0FE502D0" w:rsidR="00EA0EE3" w:rsidRDefault="00EA0EE3" w:rsidP="00505DF4">
            <w:pPr>
              <w:spacing w:after="0" w:line="259" w:lineRule="auto"/>
              <w:ind w:left="0" w:right="0" w:firstLine="0"/>
              <w:jc w:val="center"/>
            </w:pPr>
            <w:r>
              <w:rPr>
                <w:sz w:val="18"/>
              </w:rPr>
              <w:t>9075</w:t>
            </w:r>
          </w:p>
        </w:tc>
        <w:tc>
          <w:tcPr>
            <w:tcW w:w="725" w:type="dxa"/>
            <w:tcBorders>
              <w:top w:val="single" w:sz="4" w:space="0" w:color="000000"/>
              <w:left w:val="single" w:sz="12" w:space="0" w:color="000000"/>
              <w:bottom w:val="single" w:sz="4" w:space="0" w:color="000000"/>
              <w:right w:val="single" w:sz="12" w:space="0" w:color="000000"/>
            </w:tcBorders>
            <w:vAlign w:val="center"/>
          </w:tcPr>
          <w:p w14:paraId="0D6FA073" w14:textId="0A74AE62" w:rsidR="00EA0EE3" w:rsidRDefault="00EA0EE3" w:rsidP="00505DF4">
            <w:pPr>
              <w:spacing w:after="0" w:line="259" w:lineRule="auto"/>
              <w:ind w:left="1" w:right="0" w:firstLine="0"/>
              <w:jc w:val="center"/>
            </w:pPr>
            <w:r>
              <w:rPr>
                <w:sz w:val="18"/>
              </w:rPr>
              <w:t>9076</w:t>
            </w:r>
          </w:p>
        </w:tc>
        <w:tc>
          <w:tcPr>
            <w:tcW w:w="725" w:type="dxa"/>
            <w:tcBorders>
              <w:top w:val="single" w:sz="4" w:space="0" w:color="000000"/>
              <w:left w:val="single" w:sz="12" w:space="0" w:color="000000"/>
              <w:bottom w:val="single" w:sz="4" w:space="0" w:color="000000"/>
              <w:right w:val="single" w:sz="12" w:space="0" w:color="000000"/>
            </w:tcBorders>
            <w:vAlign w:val="center"/>
          </w:tcPr>
          <w:p w14:paraId="0E6B237D" w14:textId="39529D80" w:rsidR="00EA0EE3" w:rsidRDefault="00EA0EE3" w:rsidP="00505DF4">
            <w:pPr>
              <w:spacing w:after="0" w:line="259" w:lineRule="auto"/>
              <w:ind w:left="0" w:right="0" w:firstLine="0"/>
              <w:jc w:val="center"/>
            </w:pPr>
          </w:p>
        </w:tc>
        <w:tc>
          <w:tcPr>
            <w:tcW w:w="363" w:type="dxa"/>
            <w:tcBorders>
              <w:top w:val="single" w:sz="4" w:space="0" w:color="000000"/>
              <w:left w:val="single" w:sz="12" w:space="0" w:color="000000"/>
              <w:bottom w:val="single" w:sz="4" w:space="0" w:color="000000"/>
            </w:tcBorders>
            <w:vAlign w:val="center"/>
          </w:tcPr>
          <w:p w14:paraId="3F3D1F5E" w14:textId="06B439BF" w:rsidR="00EA0EE3" w:rsidRDefault="00EA0EE3" w:rsidP="00505DF4">
            <w:pPr>
              <w:spacing w:after="0" w:line="259" w:lineRule="auto"/>
              <w:ind w:left="0" w:right="0" w:firstLine="0"/>
              <w:jc w:val="center"/>
            </w:pPr>
          </w:p>
        </w:tc>
        <w:tc>
          <w:tcPr>
            <w:tcW w:w="123" w:type="dxa"/>
            <w:tcBorders>
              <w:top w:val="single" w:sz="4" w:space="0" w:color="000000"/>
              <w:left w:val="nil"/>
              <w:bottom w:val="single" w:sz="4" w:space="0" w:color="000000"/>
              <w:right w:val="single" w:sz="12" w:space="0" w:color="000000"/>
            </w:tcBorders>
            <w:vAlign w:val="center"/>
          </w:tcPr>
          <w:p w14:paraId="26E93264" w14:textId="4B1809E3" w:rsidR="00EA0EE3" w:rsidRDefault="00EA0EE3" w:rsidP="00505DF4">
            <w:pPr>
              <w:spacing w:after="0" w:line="259" w:lineRule="auto"/>
              <w:ind w:left="0" w:right="0" w:firstLine="0"/>
              <w:jc w:val="center"/>
            </w:pPr>
          </w:p>
        </w:tc>
      </w:tr>
      <w:tr w:rsidR="00C84A5D" w14:paraId="048F556D" w14:textId="77777777" w:rsidTr="005B6604">
        <w:trPr>
          <w:trHeight w:val="255"/>
        </w:trPr>
        <w:tc>
          <w:tcPr>
            <w:tcW w:w="3193" w:type="dxa"/>
            <w:tcBorders>
              <w:top w:val="single" w:sz="4" w:space="0" w:color="000000"/>
              <w:left w:val="single" w:sz="12" w:space="0" w:color="000000"/>
              <w:bottom w:val="single" w:sz="4" w:space="0" w:color="000000"/>
              <w:right w:val="single" w:sz="12" w:space="0" w:color="000000"/>
            </w:tcBorders>
            <w:vAlign w:val="center"/>
          </w:tcPr>
          <w:p w14:paraId="17220F65" w14:textId="5D71DF3E" w:rsidR="00EA0EE3" w:rsidRDefault="00EA0EE3" w:rsidP="00505DF4">
            <w:pPr>
              <w:spacing w:after="0" w:line="259" w:lineRule="auto"/>
              <w:ind w:left="0" w:right="0" w:firstLine="0"/>
            </w:pPr>
            <w:r>
              <w:rPr>
                <w:sz w:val="18"/>
              </w:rPr>
              <w:t>Orthophosphate</w:t>
            </w:r>
          </w:p>
        </w:tc>
        <w:tc>
          <w:tcPr>
            <w:tcW w:w="1091" w:type="dxa"/>
            <w:tcBorders>
              <w:top w:val="single" w:sz="4" w:space="0" w:color="000000"/>
              <w:left w:val="single" w:sz="12" w:space="0" w:color="000000"/>
              <w:bottom w:val="single" w:sz="4" w:space="0" w:color="000000"/>
              <w:right w:val="single" w:sz="12" w:space="0" w:color="000000"/>
            </w:tcBorders>
            <w:vAlign w:val="center"/>
          </w:tcPr>
          <w:p w14:paraId="10B560EC" w14:textId="4D789A4D" w:rsidR="00EA0EE3" w:rsidRDefault="00EA0EE3" w:rsidP="00505DF4">
            <w:pPr>
              <w:spacing w:after="0" w:line="259" w:lineRule="auto"/>
              <w:ind w:left="0" w:right="46" w:firstLine="0"/>
              <w:jc w:val="center"/>
            </w:pPr>
            <w:r>
              <w:rPr>
                <w:sz w:val="18"/>
              </w:rPr>
              <w:t>N/A</w:t>
            </w:r>
          </w:p>
        </w:tc>
        <w:tc>
          <w:tcPr>
            <w:tcW w:w="909" w:type="dxa"/>
            <w:tcBorders>
              <w:top w:val="single" w:sz="4" w:space="0" w:color="000000"/>
              <w:left w:val="single" w:sz="12" w:space="0" w:color="000000"/>
              <w:bottom w:val="single" w:sz="4" w:space="0" w:color="000000"/>
              <w:right w:val="single" w:sz="12" w:space="0" w:color="000000"/>
            </w:tcBorders>
            <w:vAlign w:val="center"/>
          </w:tcPr>
          <w:p w14:paraId="1953FF4D" w14:textId="59D10D71" w:rsidR="00EA0EE3" w:rsidRDefault="00EA0EE3" w:rsidP="00505DF4">
            <w:pPr>
              <w:tabs>
                <w:tab w:val="center" w:pos="399"/>
              </w:tabs>
              <w:spacing w:after="0" w:line="259" w:lineRule="auto"/>
              <w:ind w:left="0" w:right="0" w:firstLine="0"/>
              <w:jc w:val="center"/>
            </w:pPr>
            <w:r>
              <w:rPr>
                <w:sz w:val="18"/>
              </w:rPr>
              <w:t>5.0</w:t>
            </w:r>
          </w:p>
        </w:tc>
        <w:tc>
          <w:tcPr>
            <w:tcW w:w="910" w:type="dxa"/>
            <w:tcBorders>
              <w:top w:val="single" w:sz="4" w:space="0" w:color="000000"/>
              <w:left w:val="single" w:sz="12" w:space="0" w:color="000000"/>
              <w:bottom w:val="single" w:sz="4" w:space="0" w:color="000000"/>
              <w:right w:val="single" w:sz="12" w:space="0" w:color="000000"/>
            </w:tcBorders>
            <w:vAlign w:val="center"/>
          </w:tcPr>
          <w:p w14:paraId="4675DDFA" w14:textId="43FD8064" w:rsidR="00EA0EE3" w:rsidRDefault="00EA0EE3" w:rsidP="00505DF4">
            <w:pPr>
              <w:spacing w:after="0" w:line="259" w:lineRule="auto"/>
              <w:ind w:left="0" w:right="46" w:firstLine="0"/>
              <w:jc w:val="center"/>
            </w:pPr>
            <w:r>
              <w:rPr>
                <w:sz w:val="18"/>
              </w:rPr>
              <w:t>mg/L</w:t>
            </w:r>
          </w:p>
        </w:tc>
        <w:tc>
          <w:tcPr>
            <w:tcW w:w="635" w:type="dxa"/>
            <w:tcBorders>
              <w:top w:val="single" w:sz="4" w:space="0" w:color="000000"/>
              <w:left w:val="single" w:sz="12" w:space="0" w:color="000000"/>
              <w:bottom w:val="single" w:sz="4" w:space="0" w:color="000000"/>
              <w:right w:val="single" w:sz="12" w:space="0" w:color="000000"/>
            </w:tcBorders>
            <w:vAlign w:val="center"/>
          </w:tcPr>
          <w:p w14:paraId="32D191B8" w14:textId="3B379FE0" w:rsidR="00EA0EE3" w:rsidRDefault="00EA0EE3" w:rsidP="00505DF4">
            <w:pPr>
              <w:tabs>
                <w:tab w:val="right" w:pos="530"/>
              </w:tabs>
              <w:spacing w:after="0" w:line="259" w:lineRule="auto"/>
              <w:ind w:left="0" w:right="0" w:firstLine="0"/>
              <w:jc w:val="center"/>
            </w:pPr>
            <w:r>
              <w:rPr>
                <w:sz w:val="18"/>
              </w:rPr>
              <w:t>1</w:t>
            </w:r>
          </w:p>
        </w:tc>
        <w:tc>
          <w:tcPr>
            <w:tcW w:w="967" w:type="dxa"/>
            <w:tcBorders>
              <w:top w:val="single" w:sz="4" w:space="0" w:color="000000"/>
              <w:left w:val="single" w:sz="12" w:space="0" w:color="000000"/>
              <w:bottom w:val="single" w:sz="4" w:space="0" w:color="000000"/>
              <w:right w:val="single" w:sz="12" w:space="0" w:color="000000"/>
            </w:tcBorders>
            <w:vAlign w:val="center"/>
          </w:tcPr>
          <w:p w14:paraId="2CD007C7" w14:textId="3490A113" w:rsidR="00EA0EE3" w:rsidRDefault="00EA0EE3" w:rsidP="00505DF4">
            <w:pPr>
              <w:spacing w:after="0" w:line="259" w:lineRule="auto"/>
              <w:ind w:left="0" w:right="47" w:firstLine="0"/>
              <w:jc w:val="center"/>
            </w:pPr>
            <w:r>
              <w:rPr>
                <w:sz w:val="18"/>
              </w:rPr>
              <w:t>N/A</w:t>
            </w:r>
          </w:p>
        </w:tc>
        <w:tc>
          <w:tcPr>
            <w:tcW w:w="907" w:type="dxa"/>
            <w:tcBorders>
              <w:top w:val="single" w:sz="4" w:space="0" w:color="000000"/>
              <w:left w:val="single" w:sz="12" w:space="0" w:color="000000"/>
              <w:bottom w:val="single" w:sz="4" w:space="0" w:color="000000"/>
              <w:right w:val="single" w:sz="12" w:space="0" w:color="000000"/>
            </w:tcBorders>
            <w:vAlign w:val="center"/>
          </w:tcPr>
          <w:p w14:paraId="43C71F28" w14:textId="56D8E920" w:rsidR="00EA0EE3" w:rsidRDefault="00EA0EE3" w:rsidP="00505DF4">
            <w:pPr>
              <w:spacing w:after="0" w:line="259" w:lineRule="auto"/>
              <w:ind w:left="0" w:right="0" w:firstLine="0"/>
              <w:jc w:val="center"/>
            </w:pPr>
            <w:r>
              <w:rPr>
                <w:sz w:val="18"/>
              </w:rPr>
              <w:t>9056</w:t>
            </w:r>
          </w:p>
        </w:tc>
        <w:tc>
          <w:tcPr>
            <w:tcW w:w="725" w:type="dxa"/>
            <w:tcBorders>
              <w:top w:val="single" w:sz="4" w:space="0" w:color="000000"/>
              <w:left w:val="single" w:sz="12" w:space="0" w:color="000000"/>
              <w:bottom w:val="single" w:sz="4" w:space="0" w:color="000000"/>
              <w:right w:val="single" w:sz="12" w:space="0" w:color="000000"/>
            </w:tcBorders>
            <w:vAlign w:val="center"/>
          </w:tcPr>
          <w:p w14:paraId="49030E68" w14:textId="0F28B640" w:rsidR="00EA0EE3" w:rsidRDefault="00EA0EE3" w:rsidP="00505DF4">
            <w:pPr>
              <w:spacing w:after="0" w:line="259" w:lineRule="auto"/>
              <w:ind w:left="1" w:right="0" w:firstLine="0"/>
              <w:jc w:val="center"/>
            </w:pPr>
            <w:r>
              <w:rPr>
                <w:sz w:val="18"/>
              </w:rPr>
              <w:t>365.1</w:t>
            </w:r>
            <w:r w:rsidR="00D96DD2">
              <w:rPr>
                <w:sz w:val="18"/>
              </w:rPr>
              <w:t xml:space="preserve"> </w:t>
            </w:r>
            <w:r w:rsidRPr="00DF69D0">
              <w:rPr>
                <w:b/>
                <w:bCs/>
                <w:sz w:val="18"/>
                <w:vertAlign w:val="superscript"/>
              </w:rPr>
              <w:t>8</w:t>
            </w:r>
          </w:p>
        </w:tc>
        <w:tc>
          <w:tcPr>
            <w:tcW w:w="725" w:type="dxa"/>
            <w:tcBorders>
              <w:top w:val="single" w:sz="4" w:space="0" w:color="000000"/>
              <w:left w:val="single" w:sz="12" w:space="0" w:color="000000"/>
              <w:bottom w:val="single" w:sz="4" w:space="0" w:color="000000"/>
              <w:right w:val="single" w:sz="12" w:space="0" w:color="000000"/>
            </w:tcBorders>
            <w:vAlign w:val="center"/>
          </w:tcPr>
          <w:p w14:paraId="154C938F" w14:textId="3AF2507A" w:rsidR="00EA0EE3" w:rsidRDefault="00EA0EE3" w:rsidP="00505DF4">
            <w:pPr>
              <w:spacing w:after="0" w:line="259" w:lineRule="auto"/>
              <w:ind w:left="0" w:right="0" w:firstLine="0"/>
              <w:jc w:val="center"/>
            </w:pPr>
            <w:r>
              <w:rPr>
                <w:sz w:val="18"/>
              </w:rPr>
              <w:t>365.3</w:t>
            </w:r>
            <w:r w:rsidR="00D96DD2">
              <w:rPr>
                <w:sz w:val="18"/>
              </w:rPr>
              <w:t xml:space="preserve"> </w:t>
            </w:r>
            <w:r w:rsidRPr="00DF69D0">
              <w:rPr>
                <w:b/>
                <w:bCs/>
                <w:sz w:val="18"/>
                <w:vertAlign w:val="superscript"/>
              </w:rPr>
              <w:t>8</w:t>
            </w:r>
          </w:p>
        </w:tc>
        <w:tc>
          <w:tcPr>
            <w:tcW w:w="363" w:type="dxa"/>
            <w:tcBorders>
              <w:top w:val="single" w:sz="4" w:space="0" w:color="000000"/>
              <w:left w:val="single" w:sz="12" w:space="0" w:color="000000"/>
              <w:bottom w:val="single" w:sz="4" w:space="0" w:color="000000"/>
            </w:tcBorders>
            <w:vAlign w:val="center"/>
          </w:tcPr>
          <w:p w14:paraId="35C59E61" w14:textId="2B802255" w:rsidR="00EA0EE3" w:rsidRDefault="00EA0EE3" w:rsidP="00505DF4">
            <w:pPr>
              <w:spacing w:after="0" w:line="259" w:lineRule="auto"/>
              <w:ind w:left="0" w:right="0" w:firstLine="0"/>
              <w:jc w:val="center"/>
            </w:pPr>
          </w:p>
        </w:tc>
        <w:tc>
          <w:tcPr>
            <w:tcW w:w="123" w:type="dxa"/>
            <w:tcBorders>
              <w:top w:val="single" w:sz="4" w:space="0" w:color="000000"/>
              <w:left w:val="nil"/>
              <w:bottom w:val="single" w:sz="4" w:space="0" w:color="000000"/>
              <w:right w:val="single" w:sz="12" w:space="0" w:color="000000"/>
            </w:tcBorders>
            <w:vAlign w:val="center"/>
          </w:tcPr>
          <w:p w14:paraId="7959C960" w14:textId="6DB1D4D8" w:rsidR="00EA0EE3" w:rsidRDefault="00EA0EE3" w:rsidP="00505DF4">
            <w:pPr>
              <w:spacing w:after="0" w:line="259" w:lineRule="auto"/>
              <w:ind w:left="0" w:right="0" w:firstLine="0"/>
              <w:jc w:val="center"/>
            </w:pPr>
          </w:p>
        </w:tc>
      </w:tr>
      <w:tr w:rsidR="00C84A5D" w14:paraId="68CE9165" w14:textId="77777777" w:rsidTr="005B6604">
        <w:trPr>
          <w:trHeight w:val="255"/>
        </w:trPr>
        <w:tc>
          <w:tcPr>
            <w:tcW w:w="3193" w:type="dxa"/>
            <w:tcBorders>
              <w:top w:val="single" w:sz="4" w:space="0" w:color="000000"/>
              <w:left w:val="single" w:sz="12" w:space="0" w:color="000000"/>
              <w:bottom w:val="single" w:sz="4" w:space="0" w:color="000000"/>
              <w:right w:val="single" w:sz="12" w:space="0" w:color="000000"/>
            </w:tcBorders>
            <w:vAlign w:val="center"/>
          </w:tcPr>
          <w:p w14:paraId="09CCD94B" w14:textId="6176F191" w:rsidR="00EA0EE3" w:rsidRDefault="00EA0EE3" w:rsidP="00505DF4">
            <w:pPr>
              <w:spacing w:after="0" w:line="259" w:lineRule="auto"/>
              <w:ind w:left="0" w:right="0" w:firstLine="0"/>
            </w:pPr>
            <w:r>
              <w:rPr>
                <w:sz w:val="18"/>
              </w:rPr>
              <w:t>Silica (SiO</w:t>
            </w:r>
            <w:r>
              <w:rPr>
                <w:sz w:val="18"/>
                <w:vertAlign w:val="subscript"/>
              </w:rPr>
              <w:t>2</w:t>
            </w:r>
            <w:r>
              <w:rPr>
                <w:sz w:val="18"/>
              </w:rPr>
              <w:t>)</w:t>
            </w:r>
          </w:p>
        </w:tc>
        <w:tc>
          <w:tcPr>
            <w:tcW w:w="1091" w:type="dxa"/>
            <w:tcBorders>
              <w:top w:val="single" w:sz="4" w:space="0" w:color="000000"/>
              <w:left w:val="single" w:sz="12" w:space="0" w:color="000000"/>
              <w:bottom w:val="single" w:sz="4" w:space="0" w:color="000000"/>
              <w:right w:val="single" w:sz="12" w:space="0" w:color="000000"/>
            </w:tcBorders>
            <w:vAlign w:val="center"/>
          </w:tcPr>
          <w:p w14:paraId="12B8C98C" w14:textId="26C45DC2" w:rsidR="00EA0EE3" w:rsidRDefault="00EA0EE3" w:rsidP="00505DF4">
            <w:pPr>
              <w:spacing w:after="0" w:line="259" w:lineRule="auto"/>
              <w:ind w:left="0" w:right="44" w:firstLine="0"/>
              <w:jc w:val="center"/>
            </w:pPr>
            <w:r>
              <w:rPr>
                <w:sz w:val="18"/>
              </w:rPr>
              <w:t>7631-86-9</w:t>
            </w:r>
          </w:p>
        </w:tc>
        <w:tc>
          <w:tcPr>
            <w:tcW w:w="909" w:type="dxa"/>
            <w:tcBorders>
              <w:top w:val="single" w:sz="4" w:space="0" w:color="000000"/>
              <w:left w:val="single" w:sz="12" w:space="0" w:color="000000"/>
              <w:bottom w:val="single" w:sz="4" w:space="0" w:color="000000"/>
              <w:right w:val="single" w:sz="12" w:space="0" w:color="000000"/>
            </w:tcBorders>
            <w:vAlign w:val="center"/>
          </w:tcPr>
          <w:p w14:paraId="5618B548" w14:textId="4838862A" w:rsidR="00EA0EE3" w:rsidRDefault="00EA0EE3" w:rsidP="00505DF4">
            <w:pPr>
              <w:tabs>
                <w:tab w:val="center" w:pos="410"/>
              </w:tabs>
              <w:spacing w:after="0" w:line="259" w:lineRule="auto"/>
              <w:ind w:left="0" w:right="0" w:firstLine="0"/>
              <w:jc w:val="center"/>
            </w:pPr>
            <w:r>
              <w:rPr>
                <w:sz w:val="18"/>
              </w:rPr>
              <w:t>0.50</w:t>
            </w:r>
          </w:p>
        </w:tc>
        <w:tc>
          <w:tcPr>
            <w:tcW w:w="910" w:type="dxa"/>
            <w:tcBorders>
              <w:top w:val="single" w:sz="4" w:space="0" w:color="000000"/>
              <w:left w:val="single" w:sz="12" w:space="0" w:color="000000"/>
              <w:bottom w:val="single" w:sz="4" w:space="0" w:color="000000"/>
              <w:right w:val="single" w:sz="12" w:space="0" w:color="000000"/>
            </w:tcBorders>
            <w:vAlign w:val="center"/>
          </w:tcPr>
          <w:p w14:paraId="0CEF788E" w14:textId="3B7FE382" w:rsidR="00EA0EE3" w:rsidRDefault="00EA0EE3" w:rsidP="00505DF4">
            <w:pPr>
              <w:spacing w:after="0" w:line="259" w:lineRule="auto"/>
              <w:ind w:left="0" w:right="46" w:firstLine="0"/>
              <w:jc w:val="center"/>
            </w:pPr>
            <w:r>
              <w:rPr>
                <w:sz w:val="18"/>
              </w:rPr>
              <w:t>mg/L</w:t>
            </w:r>
          </w:p>
        </w:tc>
        <w:tc>
          <w:tcPr>
            <w:tcW w:w="635" w:type="dxa"/>
            <w:tcBorders>
              <w:top w:val="single" w:sz="4" w:space="0" w:color="000000"/>
              <w:left w:val="single" w:sz="12" w:space="0" w:color="000000"/>
              <w:bottom w:val="single" w:sz="4" w:space="0" w:color="000000"/>
              <w:right w:val="single" w:sz="12" w:space="0" w:color="000000"/>
            </w:tcBorders>
            <w:vAlign w:val="center"/>
          </w:tcPr>
          <w:p w14:paraId="59F09A8E" w14:textId="51D5535B" w:rsidR="00EA0EE3" w:rsidRDefault="00EA0EE3" w:rsidP="00505DF4">
            <w:pPr>
              <w:spacing w:after="0" w:line="259" w:lineRule="auto"/>
              <w:ind w:left="0" w:right="0" w:firstLine="0"/>
              <w:jc w:val="center"/>
            </w:pPr>
            <w:r>
              <w:rPr>
                <w:sz w:val="18"/>
              </w:rPr>
              <w:t>50</w:t>
            </w:r>
          </w:p>
        </w:tc>
        <w:tc>
          <w:tcPr>
            <w:tcW w:w="967" w:type="dxa"/>
            <w:tcBorders>
              <w:top w:val="single" w:sz="4" w:space="0" w:color="000000"/>
              <w:left w:val="single" w:sz="12" w:space="0" w:color="000000"/>
              <w:bottom w:val="single" w:sz="4" w:space="0" w:color="000000"/>
              <w:right w:val="single" w:sz="12" w:space="0" w:color="000000"/>
            </w:tcBorders>
            <w:vAlign w:val="center"/>
          </w:tcPr>
          <w:p w14:paraId="7E66118C" w14:textId="587B7F7E" w:rsidR="00EA0EE3" w:rsidRDefault="00EA0EE3" w:rsidP="00505DF4">
            <w:pPr>
              <w:spacing w:after="0" w:line="259" w:lineRule="auto"/>
              <w:ind w:left="0" w:right="46" w:firstLine="0"/>
              <w:jc w:val="center"/>
            </w:pPr>
            <w:r>
              <w:rPr>
                <w:sz w:val="18"/>
              </w:rPr>
              <w:t>mg/kg</w:t>
            </w:r>
          </w:p>
        </w:tc>
        <w:tc>
          <w:tcPr>
            <w:tcW w:w="907" w:type="dxa"/>
            <w:tcBorders>
              <w:top w:val="single" w:sz="4" w:space="0" w:color="000000"/>
              <w:left w:val="single" w:sz="12" w:space="0" w:color="000000"/>
              <w:bottom w:val="single" w:sz="4" w:space="0" w:color="000000"/>
              <w:right w:val="single" w:sz="12" w:space="0" w:color="000000"/>
            </w:tcBorders>
            <w:vAlign w:val="center"/>
          </w:tcPr>
          <w:p w14:paraId="2CBC3181" w14:textId="79168650" w:rsidR="00EA0EE3" w:rsidRDefault="00EA0EE3" w:rsidP="00505DF4">
            <w:pPr>
              <w:spacing w:after="0" w:line="259" w:lineRule="auto"/>
              <w:ind w:left="0" w:right="0" w:firstLine="0"/>
              <w:jc w:val="center"/>
            </w:pPr>
            <w:r>
              <w:rPr>
                <w:sz w:val="18"/>
              </w:rPr>
              <w:t>6010</w:t>
            </w:r>
          </w:p>
        </w:tc>
        <w:tc>
          <w:tcPr>
            <w:tcW w:w="725" w:type="dxa"/>
            <w:tcBorders>
              <w:top w:val="single" w:sz="4" w:space="0" w:color="000000"/>
              <w:left w:val="single" w:sz="12" w:space="0" w:color="000000"/>
              <w:bottom w:val="single" w:sz="4" w:space="0" w:color="000000"/>
              <w:right w:val="single" w:sz="12" w:space="0" w:color="000000"/>
            </w:tcBorders>
            <w:vAlign w:val="center"/>
          </w:tcPr>
          <w:p w14:paraId="4AC3EF44" w14:textId="50DB137D" w:rsidR="00EA0EE3" w:rsidRDefault="00EA0EE3" w:rsidP="00505DF4">
            <w:pPr>
              <w:spacing w:after="0" w:line="259" w:lineRule="auto"/>
              <w:ind w:left="1" w:right="0" w:firstLine="0"/>
              <w:jc w:val="center"/>
            </w:pPr>
          </w:p>
        </w:tc>
        <w:tc>
          <w:tcPr>
            <w:tcW w:w="725" w:type="dxa"/>
            <w:tcBorders>
              <w:top w:val="single" w:sz="4" w:space="0" w:color="000000"/>
              <w:left w:val="single" w:sz="12" w:space="0" w:color="000000"/>
              <w:bottom w:val="single" w:sz="4" w:space="0" w:color="000000"/>
              <w:right w:val="single" w:sz="12" w:space="0" w:color="000000"/>
            </w:tcBorders>
            <w:vAlign w:val="center"/>
          </w:tcPr>
          <w:p w14:paraId="59BECF88" w14:textId="7F879379" w:rsidR="00EA0EE3" w:rsidRDefault="00EA0EE3" w:rsidP="00505DF4">
            <w:pPr>
              <w:spacing w:after="0" w:line="259" w:lineRule="auto"/>
              <w:ind w:left="0" w:right="0" w:firstLine="0"/>
              <w:jc w:val="center"/>
            </w:pPr>
          </w:p>
        </w:tc>
        <w:tc>
          <w:tcPr>
            <w:tcW w:w="363" w:type="dxa"/>
            <w:tcBorders>
              <w:top w:val="single" w:sz="4" w:space="0" w:color="000000"/>
              <w:left w:val="single" w:sz="12" w:space="0" w:color="000000"/>
              <w:bottom w:val="single" w:sz="4" w:space="0" w:color="000000"/>
            </w:tcBorders>
            <w:vAlign w:val="center"/>
          </w:tcPr>
          <w:p w14:paraId="082C675B" w14:textId="14D6F2EC" w:rsidR="00EA0EE3" w:rsidRDefault="00EA0EE3" w:rsidP="00505DF4">
            <w:pPr>
              <w:spacing w:after="0" w:line="259" w:lineRule="auto"/>
              <w:ind w:left="0" w:right="0" w:firstLine="0"/>
              <w:jc w:val="center"/>
            </w:pPr>
          </w:p>
        </w:tc>
        <w:tc>
          <w:tcPr>
            <w:tcW w:w="123" w:type="dxa"/>
            <w:tcBorders>
              <w:top w:val="single" w:sz="4" w:space="0" w:color="000000"/>
              <w:left w:val="nil"/>
              <w:bottom w:val="single" w:sz="4" w:space="0" w:color="000000"/>
              <w:right w:val="single" w:sz="12" w:space="0" w:color="000000"/>
            </w:tcBorders>
            <w:vAlign w:val="center"/>
          </w:tcPr>
          <w:p w14:paraId="2A85C475" w14:textId="1531FBAA" w:rsidR="00EA0EE3" w:rsidRDefault="00EA0EE3" w:rsidP="00505DF4">
            <w:pPr>
              <w:spacing w:after="0" w:line="259" w:lineRule="auto"/>
              <w:ind w:left="0" w:right="0" w:firstLine="0"/>
              <w:jc w:val="center"/>
            </w:pPr>
          </w:p>
        </w:tc>
      </w:tr>
      <w:tr w:rsidR="005B6604" w14:paraId="6B08C3B1" w14:textId="77777777" w:rsidTr="005B6604">
        <w:trPr>
          <w:trHeight w:val="264"/>
        </w:trPr>
        <w:tc>
          <w:tcPr>
            <w:tcW w:w="3193" w:type="dxa"/>
            <w:tcBorders>
              <w:top w:val="single" w:sz="4" w:space="0" w:color="000000"/>
              <w:left w:val="single" w:sz="12" w:space="0" w:color="000000"/>
              <w:bottom w:val="single" w:sz="12" w:space="0" w:color="000000"/>
              <w:right w:val="single" w:sz="12" w:space="0" w:color="000000"/>
            </w:tcBorders>
            <w:vAlign w:val="center"/>
          </w:tcPr>
          <w:p w14:paraId="57ACC82D" w14:textId="6CB1CB4B" w:rsidR="00EA0EE3" w:rsidRDefault="00EA0EE3" w:rsidP="00505DF4">
            <w:pPr>
              <w:spacing w:after="0" w:line="259" w:lineRule="auto"/>
              <w:ind w:left="0" w:right="0" w:firstLine="0"/>
            </w:pPr>
            <w:r>
              <w:rPr>
                <w:sz w:val="18"/>
              </w:rPr>
              <w:t>Sulfite</w:t>
            </w:r>
          </w:p>
        </w:tc>
        <w:tc>
          <w:tcPr>
            <w:tcW w:w="1091" w:type="dxa"/>
            <w:tcBorders>
              <w:top w:val="single" w:sz="4" w:space="0" w:color="000000"/>
              <w:left w:val="single" w:sz="12" w:space="0" w:color="000000"/>
              <w:bottom w:val="single" w:sz="12" w:space="0" w:color="000000"/>
              <w:right w:val="single" w:sz="12" w:space="0" w:color="000000"/>
            </w:tcBorders>
            <w:vAlign w:val="center"/>
          </w:tcPr>
          <w:p w14:paraId="1A884330" w14:textId="564D9086" w:rsidR="00EA0EE3" w:rsidRDefault="00EA0EE3" w:rsidP="00505DF4">
            <w:pPr>
              <w:spacing w:after="0" w:line="259" w:lineRule="auto"/>
              <w:ind w:left="0" w:right="44" w:firstLine="0"/>
              <w:jc w:val="center"/>
            </w:pPr>
            <w:r>
              <w:rPr>
                <w:sz w:val="18"/>
              </w:rPr>
              <w:t>14265-45-3</w:t>
            </w:r>
          </w:p>
        </w:tc>
        <w:tc>
          <w:tcPr>
            <w:tcW w:w="909" w:type="dxa"/>
            <w:tcBorders>
              <w:top w:val="single" w:sz="4" w:space="0" w:color="000000"/>
              <w:left w:val="single" w:sz="12" w:space="0" w:color="000000"/>
              <w:bottom w:val="single" w:sz="12" w:space="0" w:color="000000"/>
              <w:right w:val="single" w:sz="12" w:space="0" w:color="000000"/>
            </w:tcBorders>
            <w:vAlign w:val="center"/>
          </w:tcPr>
          <w:p w14:paraId="78863DEF" w14:textId="717A239D" w:rsidR="00EA0EE3" w:rsidRDefault="00EA0EE3" w:rsidP="00505DF4">
            <w:pPr>
              <w:tabs>
                <w:tab w:val="center" w:pos="399"/>
              </w:tabs>
              <w:spacing w:after="0" w:line="259" w:lineRule="auto"/>
              <w:ind w:left="0" w:right="0" w:firstLine="0"/>
              <w:jc w:val="center"/>
            </w:pPr>
            <w:r>
              <w:rPr>
                <w:sz w:val="18"/>
              </w:rPr>
              <w:t>2.0</w:t>
            </w:r>
          </w:p>
        </w:tc>
        <w:tc>
          <w:tcPr>
            <w:tcW w:w="910" w:type="dxa"/>
            <w:tcBorders>
              <w:top w:val="single" w:sz="4" w:space="0" w:color="000000"/>
              <w:left w:val="single" w:sz="12" w:space="0" w:color="000000"/>
              <w:bottom w:val="single" w:sz="12" w:space="0" w:color="000000"/>
              <w:right w:val="single" w:sz="12" w:space="0" w:color="000000"/>
            </w:tcBorders>
            <w:vAlign w:val="center"/>
          </w:tcPr>
          <w:p w14:paraId="5102EE30" w14:textId="75B534DE" w:rsidR="00EA0EE3" w:rsidRDefault="00EA0EE3" w:rsidP="00505DF4">
            <w:pPr>
              <w:spacing w:after="0" w:line="259" w:lineRule="auto"/>
              <w:ind w:left="0" w:right="46" w:firstLine="0"/>
              <w:jc w:val="center"/>
            </w:pPr>
            <w:r>
              <w:rPr>
                <w:sz w:val="18"/>
              </w:rPr>
              <w:t>mg/L</w:t>
            </w:r>
          </w:p>
        </w:tc>
        <w:tc>
          <w:tcPr>
            <w:tcW w:w="635" w:type="dxa"/>
            <w:tcBorders>
              <w:top w:val="single" w:sz="4" w:space="0" w:color="000000"/>
              <w:left w:val="single" w:sz="12" w:space="0" w:color="000000"/>
              <w:bottom w:val="single" w:sz="12" w:space="0" w:color="000000"/>
              <w:right w:val="single" w:sz="12" w:space="0" w:color="000000"/>
            </w:tcBorders>
            <w:vAlign w:val="center"/>
          </w:tcPr>
          <w:p w14:paraId="787884B8" w14:textId="43BA2C26" w:rsidR="00EA0EE3" w:rsidRDefault="00EA0EE3" w:rsidP="00505DF4">
            <w:pPr>
              <w:spacing w:after="0" w:line="259" w:lineRule="auto"/>
              <w:ind w:left="89" w:right="0" w:firstLine="0"/>
              <w:jc w:val="center"/>
            </w:pPr>
            <w:r>
              <w:rPr>
                <w:sz w:val="18"/>
              </w:rPr>
              <w:t>N/A</w:t>
            </w:r>
          </w:p>
        </w:tc>
        <w:tc>
          <w:tcPr>
            <w:tcW w:w="967" w:type="dxa"/>
            <w:tcBorders>
              <w:top w:val="single" w:sz="4" w:space="0" w:color="000000"/>
              <w:left w:val="single" w:sz="12" w:space="0" w:color="000000"/>
              <w:bottom w:val="single" w:sz="12" w:space="0" w:color="000000"/>
              <w:right w:val="single" w:sz="12" w:space="0" w:color="000000"/>
            </w:tcBorders>
            <w:vAlign w:val="center"/>
          </w:tcPr>
          <w:p w14:paraId="42888C84" w14:textId="583C7F40" w:rsidR="00EA0EE3" w:rsidRDefault="00EA0EE3" w:rsidP="00505DF4">
            <w:pPr>
              <w:spacing w:after="0" w:line="259" w:lineRule="auto"/>
              <w:ind w:left="0" w:right="47" w:firstLine="0"/>
              <w:jc w:val="center"/>
            </w:pPr>
            <w:r>
              <w:rPr>
                <w:sz w:val="18"/>
              </w:rPr>
              <w:t>N/A</w:t>
            </w:r>
          </w:p>
        </w:tc>
        <w:tc>
          <w:tcPr>
            <w:tcW w:w="907" w:type="dxa"/>
            <w:tcBorders>
              <w:top w:val="single" w:sz="4" w:space="0" w:color="000000"/>
              <w:left w:val="single" w:sz="12" w:space="0" w:color="000000"/>
              <w:bottom w:val="single" w:sz="12" w:space="0" w:color="000000"/>
              <w:right w:val="single" w:sz="12" w:space="0" w:color="000000"/>
            </w:tcBorders>
            <w:vAlign w:val="center"/>
          </w:tcPr>
          <w:p w14:paraId="0B837F98" w14:textId="7AF4953A" w:rsidR="00EA0EE3" w:rsidRDefault="00EA0EE3" w:rsidP="00505DF4">
            <w:pPr>
              <w:spacing w:after="0" w:line="259" w:lineRule="auto"/>
              <w:ind w:left="0" w:right="0" w:firstLine="0"/>
              <w:jc w:val="center"/>
            </w:pPr>
            <w:r>
              <w:rPr>
                <w:sz w:val="18"/>
              </w:rPr>
              <w:t>377.1</w:t>
            </w:r>
          </w:p>
        </w:tc>
        <w:tc>
          <w:tcPr>
            <w:tcW w:w="725" w:type="dxa"/>
            <w:tcBorders>
              <w:top w:val="single" w:sz="4" w:space="0" w:color="000000"/>
              <w:left w:val="single" w:sz="12" w:space="0" w:color="000000"/>
              <w:bottom w:val="single" w:sz="12" w:space="0" w:color="000000"/>
              <w:right w:val="single" w:sz="12" w:space="0" w:color="000000"/>
            </w:tcBorders>
            <w:vAlign w:val="center"/>
          </w:tcPr>
          <w:p w14:paraId="4EC2A350" w14:textId="140DC7B6" w:rsidR="00EA0EE3" w:rsidRDefault="00EA0EE3" w:rsidP="00505DF4">
            <w:pPr>
              <w:spacing w:after="0" w:line="259" w:lineRule="auto"/>
              <w:ind w:left="1" w:right="0" w:firstLine="0"/>
              <w:jc w:val="center"/>
            </w:pPr>
          </w:p>
        </w:tc>
        <w:tc>
          <w:tcPr>
            <w:tcW w:w="725" w:type="dxa"/>
            <w:tcBorders>
              <w:top w:val="single" w:sz="4" w:space="0" w:color="000000"/>
              <w:left w:val="single" w:sz="12" w:space="0" w:color="000000"/>
              <w:bottom w:val="single" w:sz="12" w:space="0" w:color="000000"/>
              <w:right w:val="single" w:sz="12" w:space="0" w:color="000000"/>
            </w:tcBorders>
            <w:vAlign w:val="center"/>
          </w:tcPr>
          <w:p w14:paraId="1C001DA4" w14:textId="6FB34B7C" w:rsidR="00EA0EE3" w:rsidRDefault="00EA0EE3" w:rsidP="00505DF4">
            <w:pPr>
              <w:spacing w:after="0" w:line="259" w:lineRule="auto"/>
              <w:ind w:left="0" w:right="0" w:firstLine="0"/>
              <w:jc w:val="center"/>
            </w:pPr>
          </w:p>
        </w:tc>
        <w:tc>
          <w:tcPr>
            <w:tcW w:w="363" w:type="dxa"/>
            <w:tcBorders>
              <w:top w:val="single" w:sz="4" w:space="0" w:color="000000"/>
              <w:left w:val="single" w:sz="12" w:space="0" w:color="000000"/>
              <w:bottom w:val="single" w:sz="12" w:space="0" w:color="000000"/>
            </w:tcBorders>
            <w:vAlign w:val="center"/>
          </w:tcPr>
          <w:p w14:paraId="4B7DCD6E" w14:textId="23EAA51A" w:rsidR="00EA0EE3" w:rsidRDefault="00EA0EE3" w:rsidP="00505DF4">
            <w:pPr>
              <w:spacing w:after="0" w:line="259" w:lineRule="auto"/>
              <w:ind w:left="0" w:right="0" w:firstLine="0"/>
              <w:jc w:val="center"/>
            </w:pPr>
          </w:p>
        </w:tc>
        <w:tc>
          <w:tcPr>
            <w:tcW w:w="123" w:type="dxa"/>
            <w:tcBorders>
              <w:top w:val="single" w:sz="4" w:space="0" w:color="000000"/>
              <w:left w:val="nil"/>
              <w:bottom w:val="single" w:sz="12" w:space="0" w:color="000000"/>
              <w:right w:val="single" w:sz="12" w:space="0" w:color="000000"/>
            </w:tcBorders>
            <w:vAlign w:val="center"/>
          </w:tcPr>
          <w:p w14:paraId="343EDF49" w14:textId="7BCC8AAB" w:rsidR="00EA0EE3" w:rsidRDefault="00EA0EE3" w:rsidP="00505DF4">
            <w:pPr>
              <w:spacing w:after="0" w:line="259" w:lineRule="auto"/>
              <w:ind w:left="0" w:right="0" w:firstLine="0"/>
              <w:jc w:val="center"/>
            </w:pPr>
          </w:p>
        </w:tc>
      </w:tr>
    </w:tbl>
    <w:p w14:paraId="48C411AF" w14:textId="77777777" w:rsidR="00995EB9" w:rsidRDefault="00995EB9" w:rsidP="00471D96"/>
    <w:p w14:paraId="4E5647A6" w14:textId="77777777" w:rsidR="007E6E9F" w:rsidRDefault="007E6E9F" w:rsidP="00471D96"/>
    <w:p w14:paraId="298B1D2A" w14:textId="77777777" w:rsidR="007E29E8" w:rsidRDefault="007E29E8" w:rsidP="00471D96"/>
    <w:p w14:paraId="39407F24" w14:textId="77777777" w:rsidR="007E29E8" w:rsidRDefault="007E29E8" w:rsidP="00471D96"/>
    <w:p w14:paraId="3F970216" w14:textId="77777777" w:rsidR="007E6E9F" w:rsidRDefault="007E6E9F" w:rsidP="00471D96"/>
    <w:p w14:paraId="694502DA" w14:textId="77777777" w:rsidR="00CC0BAC" w:rsidRDefault="00CC0BAC" w:rsidP="00CC0BAC">
      <w:pPr>
        <w:ind w:left="0" w:firstLine="0"/>
        <w:jc w:val="center"/>
      </w:pPr>
      <w:r>
        <w:rPr>
          <w:b/>
        </w:rPr>
        <w:t>THE REMAINDER OF THIS PAGE HAS BEEN LEFT BLANK INTENTIONALLY</w:t>
      </w:r>
    </w:p>
    <w:p w14:paraId="0ABA8F9E" w14:textId="77777777" w:rsidR="00C94341" w:rsidRDefault="00C94341" w:rsidP="00471D96"/>
    <w:p w14:paraId="20B1239D" w14:textId="77777777" w:rsidR="00CC0BAC" w:rsidRDefault="00CC0BAC" w:rsidP="00471D96"/>
    <w:p w14:paraId="0FEFEF0B" w14:textId="77777777" w:rsidR="00CC0BAC" w:rsidRDefault="00CC0BAC" w:rsidP="00471D96"/>
    <w:p w14:paraId="003531F0" w14:textId="77777777" w:rsidR="00CC0BAC" w:rsidRDefault="00CC0BAC" w:rsidP="00471D96"/>
    <w:p w14:paraId="6370FCA1" w14:textId="77777777" w:rsidR="00CC0BAC" w:rsidRDefault="00CC0BAC" w:rsidP="00471D96"/>
    <w:p w14:paraId="4EB882B3" w14:textId="77777777" w:rsidR="00CC0BAC" w:rsidRDefault="00CC0BAC" w:rsidP="00471D96"/>
    <w:p w14:paraId="0DEA6098" w14:textId="77777777" w:rsidR="00CC0BAC" w:rsidRDefault="00CC0BAC" w:rsidP="00471D96"/>
    <w:p w14:paraId="2C2CCC15" w14:textId="77777777" w:rsidR="00CC0BAC" w:rsidRDefault="00CC0BAC" w:rsidP="00471D96"/>
    <w:p w14:paraId="23DFCF27" w14:textId="77777777" w:rsidR="00CC0BAC" w:rsidRDefault="00CC0BAC" w:rsidP="00471D96"/>
    <w:p w14:paraId="0C802A0B" w14:textId="77777777" w:rsidR="00CC0BAC" w:rsidRDefault="00CC0BAC" w:rsidP="00471D96"/>
    <w:p w14:paraId="15344103" w14:textId="77777777" w:rsidR="00CC0BAC" w:rsidRDefault="00CC0BAC" w:rsidP="00471D96"/>
    <w:p w14:paraId="2C2AFFB4" w14:textId="77777777" w:rsidR="009024DC" w:rsidRDefault="009024DC" w:rsidP="00471D96"/>
    <w:p w14:paraId="24A04127" w14:textId="77777777" w:rsidR="00690BC6" w:rsidRDefault="00690BC6" w:rsidP="00471D96"/>
    <w:p w14:paraId="61952C0C" w14:textId="77777777" w:rsidR="00CC0BAC" w:rsidRDefault="00CC0BAC" w:rsidP="00471D96"/>
    <w:p w14:paraId="1787B19E" w14:textId="77777777" w:rsidR="00CC0BAC" w:rsidRDefault="00CC0BAC" w:rsidP="00471D96"/>
    <w:p w14:paraId="3436CC83" w14:textId="77777777" w:rsidR="00CC0BAC" w:rsidRDefault="00CC0BAC" w:rsidP="00471D96"/>
    <w:p w14:paraId="0BB11659" w14:textId="77777777" w:rsidR="00564C6D" w:rsidRDefault="00564C6D" w:rsidP="00471D96"/>
    <w:p w14:paraId="70E4FC16" w14:textId="77777777" w:rsidR="00CC0BAC" w:rsidRDefault="00CC0BAC" w:rsidP="00471D96"/>
    <w:p w14:paraId="0A48670A" w14:textId="77777777" w:rsidR="00CC0BAC" w:rsidRDefault="00CC0BAC" w:rsidP="00471D96"/>
    <w:p w14:paraId="4833AFAE" w14:textId="77777777" w:rsidR="00CC0BAC" w:rsidRDefault="00CC0BAC" w:rsidP="00471D96"/>
    <w:p w14:paraId="22BD3A5F" w14:textId="4ED1E089" w:rsidR="00B56D50" w:rsidRPr="00564C6D" w:rsidRDefault="00C91815" w:rsidP="00471D96">
      <w:pPr>
        <w:jc w:val="center"/>
        <w:rPr>
          <w:b/>
          <w:bCs/>
        </w:rPr>
      </w:pPr>
      <w:r w:rsidRPr="00564C6D">
        <w:rPr>
          <w:b/>
          <w:bCs/>
        </w:rPr>
        <w:lastRenderedPageBreak/>
        <w:t xml:space="preserve">SW-846 </w:t>
      </w:r>
      <w:r w:rsidR="001C3C42" w:rsidRPr="00564C6D">
        <w:rPr>
          <w:b/>
          <w:bCs/>
        </w:rPr>
        <w:t>SAS</w:t>
      </w:r>
      <w:r w:rsidR="00000975" w:rsidRPr="00564C6D">
        <w:rPr>
          <w:b/>
          <w:bCs/>
        </w:rPr>
        <w:t xml:space="preserve"> – </w:t>
      </w:r>
      <w:r w:rsidRPr="00564C6D">
        <w:rPr>
          <w:b/>
          <w:bCs/>
        </w:rPr>
        <w:t>R</w:t>
      </w:r>
      <w:r w:rsidR="006C06E6" w:rsidRPr="00564C6D">
        <w:rPr>
          <w:b/>
          <w:bCs/>
        </w:rPr>
        <w:t>adionuclides</w:t>
      </w:r>
    </w:p>
    <w:p w14:paraId="76D7752B" w14:textId="77777777" w:rsidR="006B3E37" w:rsidRPr="00564C6D" w:rsidRDefault="006B3E37" w:rsidP="006B3E37"/>
    <w:tbl>
      <w:tblPr>
        <w:tblStyle w:val="TableGrid1"/>
        <w:tblW w:w="10620" w:type="dxa"/>
        <w:tblInd w:w="-375" w:type="dxa"/>
        <w:tblLayout w:type="fixed"/>
        <w:tblCellMar>
          <w:top w:w="24" w:type="dxa"/>
          <w:left w:w="72" w:type="dxa"/>
          <w:right w:w="25" w:type="dxa"/>
        </w:tblCellMar>
        <w:tblLook w:val="04A0" w:firstRow="1" w:lastRow="0" w:firstColumn="1" w:lastColumn="0" w:noHBand="0" w:noVBand="1"/>
      </w:tblPr>
      <w:tblGrid>
        <w:gridCol w:w="3600"/>
        <w:gridCol w:w="1710"/>
        <w:gridCol w:w="720"/>
        <w:gridCol w:w="810"/>
        <w:gridCol w:w="720"/>
        <w:gridCol w:w="720"/>
        <w:gridCol w:w="810"/>
        <w:gridCol w:w="810"/>
        <w:gridCol w:w="720"/>
      </w:tblGrid>
      <w:tr w:rsidR="008B3A5C" w14:paraId="5EBC2E5A" w14:textId="77777777" w:rsidTr="005B6604">
        <w:trPr>
          <w:trHeight w:val="387"/>
          <w:tblHeader/>
        </w:trPr>
        <w:tc>
          <w:tcPr>
            <w:tcW w:w="10620" w:type="dxa"/>
            <w:gridSpan w:val="9"/>
            <w:tcBorders>
              <w:top w:val="single" w:sz="12" w:space="0" w:color="000000"/>
              <w:left w:val="single" w:sz="12" w:space="0" w:color="000000"/>
              <w:bottom w:val="single" w:sz="12" w:space="0" w:color="000000"/>
              <w:right w:val="single" w:sz="12" w:space="0" w:color="000000"/>
            </w:tcBorders>
            <w:vAlign w:val="center"/>
          </w:tcPr>
          <w:p w14:paraId="0A078D16" w14:textId="639A4685" w:rsidR="008B3A5C" w:rsidRDefault="008B3A5C" w:rsidP="00370380">
            <w:pPr>
              <w:spacing w:after="0" w:line="240" w:lineRule="auto"/>
              <w:ind w:left="0" w:right="0" w:firstLine="0"/>
            </w:pPr>
            <w:r>
              <w:rPr>
                <w:b/>
                <w:sz w:val="18"/>
              </w:rPr>
              <w:t>SW-846 SAS Group B:  R</w:t>
            </w:r>
            <w:r w:rsidR="00D3250E">
              <w:rPr>
                <w:b/>
                <w:sz w:val="18"/>
              </w:rPr>
              <w:t>adionuclides</w:t>
            </w:r>
            <w:r>
              <w:rPr>
                <w:sz w:val="18"/>
              </w:rPr>
              <w:t xml:space="preserve"> </w:t>
            </w:r>
            <w:r>
              <w:rPr>
                <w:b/>
                <w:sz w:val="18"/>
              </w:rPr>
              <w:t>– Miscellaneous</w:t>
            </w:r>
          </w:p>
        </w:tc>
      </w:tr>
      <w:tr w:rsidR="003073DA" w14:paraId="2417A593" w14:textId="77777777" w:rsidTr="005B6604">
        <w:trPr>
          <w:trHeight w:val="269"/>
          <w:tblHeader/>
        </w:trPr>
        <w:tc>
          <w:tcPr>
            <w:tcW w:w="3600" w:type="dxa"/>
            <w:vMerge w:val="restart"/>
            <w:tcBorders>
              <w:top w:val="single" w:sz="12" w:space="0" w:color="000000"/>
              <w:left w:val="single" w:sz="12" w:space="0" w:color="000000"/>
              <w:bottom w:val="single" w:sz="12" w:space="0" w:color="000000"/>
              <w:right w:val="single" w:sz="12" w:space="0" w:color="000000"/>
            </w:tcBorders>
            <w:vAlign w:val="center"/>
          </w:tcPr>
          <w:p w14:paraId="7FB3A3D9" w14:textId="50439606" w:rsidR="00B56D50" w:rsidRDefault="001C3C42" w:rsidP="00370380">
            <w:pPr>
              <w:spacing w:after="0" w:line="259" w:lineRule="auto"/>
              <w:ind w:left="0" w:right="3" w:firstLine="0"/>
              <w:jc w:val="center"/>
            </w:pPr>
            <w:r>
              <w:rPr>
                <w:b/>
                <w:sz w:val="18"/>
              </w:rPr>
              <w:t>Analyte</w:t>
            </w:r>
          </w:p>
        </w:tc>
        <w:tc>
          <w:tcPr>
            <w:tcW w:w="1710" w:type="dxa"/>
            <w:vMerge w:val="restart"/>
            <w:tcBorders>
              <w:top w:val="single" w:sz="12" w:space="0" w:color="000000"/>
              <w:left w:val="single" w:sz="12" w:space="0" w:color="000000"/>
              <w:bottom w:val="single" w:sz="12" w:space="0" w:color="000000"/>
              <w:right w:val="single" w:sz="12" w:space="0" w:color="000000"/>
            </w:tcBorders>
            <w:vAlign w:val="center"/>
          </w:tcPr>
          <w:p w14:paraId="29A1CAB9" w14:textId="500A32D3" w:rsidR="00B56D50" w:rsidRDefault="001C3C42" w:rsidP="00370380">
            <w:pPr>
              <w:spacing w:after="0" w:line="259" w:lineRule="auto"/>
              <w:ind w:left="62" w:right="0" w:firstLine="0"/>
            </w:pPr>
            <w:r>
              <w:rPr>
                <w:b/>
                <w:sz w:val="18"/>
              </w:rPr>
              <w:t>CAS Number</w:t>
            </w:r>
          </w:p>
        </w:tc>
        <w:tc>
          <w:tcPr>
            <w:tcW w:w="1530" w:type="dxa"/>
            <w:gridSpan w:val="2"/>
            <w:tcBorders>
              <w:top w:val="single" w:sz="12" w:space="0" w:color="000000"/>
              <w:left w:val="single" w:sz="12" w:space="0" w:color="000000"/>
              <w:bottom w:val="single" w:sz="12" w:space="0" w:color="000000"/>
              <w:right w:val="single" w:sz="12" w:space="0" w:color="000000"/>
            </w:tcBorders>
            <w:vAlign w:val="center"/>
          </w:tcPr>
          <w:p w14:paraId="3EEADDAB" w14:textId="324C9801" w:rsidR="00B56D50" w:rsidRDefault="001C3C42" w:rsidP="00370380">
            <w:pPr>
              <w:spacing w:after="0" w:line="259" w:lineRule="auto"/>
              <w:ind w:left="0" w:right="51" w:firstLine="0"/>
              <w:jc w:val="center"/>
            </w:pPr>
            <w:r>
              <w:rPr>
                <w:b/>
                <w:sz w:val="18"/>
              </w:rPr>
              <w:t>Aqueous</w:t>
            </w:r>
          </w:p>
        </w:tc>
        <w:tc>
          <w:tcPr>
            <w:tcW w:w="1440" w:type="dxa"/>
            <w:gridSpan w:val="2"/>
            <w:tcBorders>
              <w:top w:val="single" w:sz="12" w:space="0" w:color="000000"/>
              <w:left w:val="single" w:sz="12" w:space="0" w:color="000000"/>
              <w:bottom w:val="single" w:sz="12" w:space="0" w:color="000000"/>
              <w:right w:val="single" w:sz="12" w:space="0" w:color="000000"/>
            </w:tcBorders>
            <w:vAlign w:val="center"/>
          </w:tcPr>
          <w:p w14:paraId="5346C761" w14:textId="1F675948" w:rsidR="00B56D50" w:rsidRDefault="006B693C" w:rsidP="00370380">
            <w:pPr>
              <w:spacing w:after="0" w:line="259" w:lineRule="auto"/>
              <w:ind w:left="0" w:right="50" w:firstLine="0"/>
              <w:jc w:val="center"/>
            </w:pPr>
            <w:r>
              <w:rPr>
                <w:b/>
                <w:sz w:val="18"/>
              </w:rPr>
              <w:t>Soil/Sediment</w:t>
            </w:r>
          </w:p>
        </w:tc>
        <w:tc>
          <w:tcPr>
            <w:tcW w:w="2340" w:type="dxa"/>
            <w:gridSpan w:val="3"/>
            <w:vMerge w:val="restart"/>
            <w:tcBorders>
              <w:top w:val="single" w:sz="12" w:space="0" w:color="000000"/>
              <w:left w:val="single" w:sz="12" w:space="0" w:color="000000"/>
              <w:bottom w:val="single" w:sz="12" w:space="0" w:color="000000"/>
              <w:right w:val="single" w:sz="12" w:space="0" w:color="000000"/>
            </w:tcBorders>
            <w:vAlign w:val="center"/>
          </w:tcPr>
          <w:p w14:paraId="5D5BC168" w14:textId="4B773F1C" w:rsidR="00B56D50" w:rsidRDefault="001C3C42" w:rsidP="00370380">
            <w:pPr>
              <w:spacing w:after="0" w:line="259" w:lineRule="auto"/>
              <w:ind w:left="0" w:right="50" w:firstLine="0"/>
              <w:jc w:val="center"/>
            </w:pPr>
            <w:r>
              <w:rPr>
                <w:b/>
                <w:sz w:val="18"/>
              </w:rPr>
              <w:t>Acceptable Methods</w:t>
            </w:r>
          </w:p>
        </w:tc>
      </w:tr>
      <w:tr w:rsidR="005F3A69" w14:paraId="42E4B0FD" w14:textId="77777777" w:rsidTr="003073DA">
        <w:trPr>
          <w:trHeight w:val="271"/>
          <w:tblHeader/>
        </w:trPr>
        <w:tc>
          <w:tcPr>
            <w:tcW w:w="3600" w:type="dxa"/>
            <w:vMerge/>
            <w:tcBorders>
              <w:top w:val="nil"/>
              <w:left w:val="single" w:sz="12" w:space="0" w:color="000000"/>
              <w:bottom w:val="single" w:sz="12" w:space="0" w:color="000000"/>
              <w:right w:val="single" w:sz="12" w:space="0" w:color="000000"/>
            </w:tcBorders>
            <w:vAlign w:val="center"/>
          </w:tcPr>
          <w:p w14:paraId="3A37B65E" w14:textId="77777777" w:rsidR="00B56D50" w:rsidRDefault="00B56D50" w:rsidP="00370380">
            <w:pPr>
              <w:spacing w:after="160" w:line="259" w:lineRule="auto"/>
              <w:ind w:left="0" w:right="0" w:firstLine="0"/>
              <w:jc w:val="center"/>
            </w:pPr>
          </w:p>
        </w:tc>
        <w:tc>
          <w:tcPr>
            <w:tcW w:w="1710" w:type="dxa"/>
            <w:vMerge/>
            <w:tcBorders>
              <w:top w:val="nil"/>
              <w:left w:val="single" w:sz="12" w:space="0" w:color="000000"/>
              <w:bottom w:val="single" w:sz="12" w:space="0" w:color="000000"/>
              <w:right w:val="single" w:sz="12" w:space="0" w:color="000000"/>
            </w:tcBorders>
            <w:vAlign w:val="center"/>
          </w:tcPr>
          <w:p w14:paraId="065C164F" w14:textId="77777777" w:rsidR="00B56D50" w:rsidRDefault="00B56D50" w:rsidP="00370380">
            <w:pPr>
              <w:spacing w:after="160" w:line="259" w:lineRule="auto"/>
              <w:ind w:left="0" w:right="0" w:firstLine="0"/>
              <w:jc w:val="center"/>
            </w:pPr>
          </w:p>
        </w:tc>
        <w:tc>
          <w:tcPr>
            <w:tcW w:w="720" w:type="dxa"/>
            <w:tcBorders>
              <w:top w:val="single" w:sz="12" w:space="0" w:color="000000"/>
              <w:left w:val="single" w:sz="12" w:space="0" w:color="000000"/>
              <w:bottom w:val="single" w:sz="12" w:space="0" w:color="000000"/>
              <w:right w:val="single" w:sz="12" w:space="0" w:color="000000"/>
            </w:tcBorders>
            <w:vAlign w:val="center"/>
          </w:tcPr>
          <w:p w14:paraId="15D0863B" w14:textId="38BCFBAD" w:rsidR="00B56D50" w:rsidRDefault="001C3C42" w:rsidP="005B6604">
            <w:pPr>
              <w:spacing w:after="0" w:line="259" w:lineRule="auto"/>
              <w:ind w:left="0" w:right="0" w:firstLine="0"/>
              <w:jc w:val="center"/>
            </w:pPr>
            <w:r>
              <w:rPr>
                <w:b/>
                <w:sz w:val="18"/>
              </w:rPr>
              <w:t>RL</w:t>
            </w:r>
          </w:p>
        </w:tc>
        <w:tc>
          <w:tcPr>
            <w:tcW w:w="810" w:type="dxa"/>
            <w:tcBorders>
              <w:top w:val="single" w:sz="12" w:space="0" w:color="000000"/>
              <w:left w:val="single" w:sz="12" w:space="0" w:color="000000"/>
              <w:bottom w:val="single" w:sz="12" w:space="0" w:color="000000"/>
              <w:right w:val="single" w:sz="12" w:space="0" w:color="000000"/>
            </w:tcBorders>
            <w:vAlign w:val="center"/>
          </w:tcPr>
          <w:p w14:paraId="7BBA3B61" w14:textId="450FE1E8" w:rsidR="00B56D50" w:rsidRDefault="001C3C42" w:rsidP="00370380">
            <w:pPr>
              <w:spacing w:after="0" w:line="259" w:lineRule="auto"/>
              <w:ind w:left="0" w:right="47" w:firstLine="0"/>
              <w:jc w:val="center"/>
            </w:pPr>
            <w:r>
              <w:rPr>
                <w:b/>
                <w:sz w:val="18"/>
              </w:rPr>
              <w:t>units</w:t>
            </w:r>
          </w:p>
        </w:tc>
        <w:tc>
          <w:tcPr>
            <w:tcW w:w="720" w:type="dxa"/>
            <w:tcBorders>
              <w:top w:val="single" w:sz="12" w:space="0" w:color="000000"/>
              <w:left w:val="single" w:sz="12" w:space="0" w:color="000000"/>
              <w:bottom w:val="single" w:sz="12" w:space="0" w:color="000000"/>
              <w:right w:val="single" w:sz="12" w:space="0" w:color="000000"/>
            </w:tcBorders>
            <w:vAlign w:val="center"/>
          </w:tcPr>
          <w:p w14:paraId="3284F00D" w14:textId="0D5A54C1" w:rsidR="00B56D50" w:rsidRDefault="001C3C42" w:rsidP="00370380">
            <w:pPr>
              <w:spacing w:after="0" w:line="259" w:lineRule="auto"/>
              <w:ind w:left="0" w:right="47" w:firstLine="0"/>
              <w:jc w:val="center"/>
            </w:pPr>
            <w:r>
              <w:rPr>
                <w:b/>
                <w:sz w:val="18"/>
              </w:rPr>
              <w:t>RL</w:t>
            </w:r>
          </w:p>
        </w:tc>
        <w:tc>
          <w:tcPr>
            <w:tcW w:w="720" w:type="dxa"/>
            <w:tcBorders>
              <w:top w:val="single" w:sz="12" w:space="0" w:color="000000"/>
              <w:left w:val="single" w:sz="12" w:space="0" w:color="000000"/>
              <w:bottom w:val="single" w:sz="12" w:space="0" w:color="000000"/>
              <w:right w:val="single" w:sz="12" w:space="0" w:color="000000"/>
            </w:tcBorders>
            <w:vAlign w:val="center"/>
          </w:tcPr>
          <w:p w14:paraId="30F9E749" w14:textId="5D7230ED" w:rsidR="00B56D50" w:rsidRDefault="001C3C42" w:rsidP="00370380">
            <w:pPr>
              <w:spacing w:after="0" w:line="259" w:lineRule="auto"/>
              <w:ind w:left="0" w:right="50" w:firstLine="0"/>
              <w:jc w:val="center"/>
            </w:pPr>
            <w:r>
              <w:rPr>
                <w:b/>
                <w:sz w:val="18"/>
              </w:rPr>
              <w:t>units</w:t>
            </w:r>
          </w:p>
        </w:tc>
        <w:tc>
          <w:tcPr>
            <w:tcW w:w="2340" w:type="dxa"/>
            <w:gridSpan w:val="3"/>
            <w:vMerge/>
            <w:tcBorders>
              <w:top w:val="nil"/>
              <w:left w:val="single" w:sz="12" w:space="0" w:color="000000"/>
              <w:bottom w:val="single" w:sz="12" w:space="0" w:color="000000"/>
              <w:right w:val="single" w:sz="12" w:space="0" w:color="000000"/>
            </w:tcBorders>
            <w:vAlign w:val="center"/>
          </w:tcPr>
          <w:p w14:paraId="7E2A96B6" w14:textId="77777777" w:rsidR="00B56D50" w:rsidRDefault="00B56D50" w:rsidP="00370380">
            <w:pPr>
              <w:spacing w:after="160" w:line="259" w:lineRule="auto"/>
              <w:ind w:left="0" w:right="0" w:firstLine="0"/>
              <w:jc w:val="center"/>
            </w:pPr>
          </w:p>
        </w:tc>
      </w:tr>
      <w:tr w:rsidR="003073DA" w14:paraId="7DDFD698" w14:textId="77777777" w:rsidTr="005B6604">
        <w:trPr>
          <w:trHeight w:val="260"/>
        </w:trPr>
        <w:tc>
          <w:tcPr>
            <w:tcW w:w="3600" w:type="dxa"/>
            <w:tcBorders>
              <w:top w:val="single" w:sz="12" w:space="0" w:color="000000"/>
              <w:left w:val="single" w:sz="12" w:space="0" w:color="000000"/>
              <w:bottom w:val="single" w:sz="4" w:space="0" w:color="000000"/>
              <w:right w:val="single" w:sz="12" w:space="0" w:color="000000"/>
            </w:tcBorders>
          </w:tcPr>
          <w:p w14:paraId="5A66B0E7" w14:textId="77777777" w:rsidR="00B56D50" w:rsidRDefault="001C3C42">
            <w:pPr>
              <w:spacing w:after="0" w:line="259" w:lineRule="auto"/>
              <w:ind w:left="0" w:right="0" w:firstLine="0"/>
            </w:pPr>
            <w:r>
              <w:rPr>
                <w:sz w:val="18"/>
              </w:rPr>
              <w:t xml:space="preserve">Gross Alpha Radiation </w:t>
            </w:r>
          </w:p>
        </w:tc>
        <w:tc>
          <w:tcPr>
            <w:tcW w:w="1710" w:type="dxa"/>
            <w:tcBorders>
              <w:top w:val="single" w:sz="12" w:space="0" w:color="000000"/>
              <w:left w:val="single" w:sz="12" w:space="0" w:color="000000"/>
              <w:bottom w:val="single" w:sz="4" w:space="0" w:color="000000"/>
              <w:right w:val="single" w:sz="12" w:space="0" w:color="000000"/>
            </w:tcBorders>
            <w:vAlign w:val="center"/>
          </w:tcPr>
          <w:p w14:paraId="309D6356" w14:textId="07116345" w:rsidR="00B56D50" w:rsidRDefault="001C3C42" w:rsidP="001A7489">
            <w:pPr>
              <w:spacing w:after="0" w:line="259" w:lineRule="auto"/>
              <w:ind w:left="0" w:right="44" w:firstLine="0"/>
              <w:jc w:val="center"/>
            </w:pPr>
            <w:r>
              <w:rPr>
                <w:sz w:val="18"/>
              </w:rPr>
              <w:t>12587-46-1</w:t>
            </w:r>
          </w:p>
        </w:tc>
        <w:tc>
          <w:tcPr>
            <w:tcW w:w="720" w:type="dxa"/>
            <w:tcBorders>
              <w:top w:val="single" w:sz="12" w:space="0" w:color="000000"/>
              <w:left w:val="single" w:sz="12" w:space="0" w:color="000000"/>
              <w:bottom w:val="single" w:sz="4" w:space="0" w:color="000000"/>
              <w:right w:val="single" w:sz="12" w:space="0" w:color="000000"/>
            </w:tcBorders>
            <w:vAlign w:val="center"/>
          </w:tcPr>
          <w:p w14:paraId="20F8B6C8" w14:textId="1C854C78" w:rsidR="00B56D50" w:rsidRDefault="001C3C42" w:rsidP="001A7489">
            <w:pPr>
              <w:spacing w:after="0" w:line="259" w:lineRule="auto"/>
              <w:ind w:left="0" w:right="46" w:firstLine="0"/>
              <w:jc w:val="center"/>
            </w:pPr>
            <w:r>
              <w:rPr>
                <w:sz w:val="18"/>
              </w:rPr>
              <w:t>1</w:t>
            </w:r>
          </w:p>
        </w:tc>
        <w:tc>
          <w:tcPr>
            <w:tcW w:w="810" w:type="dxa"/>
            <w:tcBorders>
              <w:top w:val="single" w:sz="12" w:space="0" w:color="000000"/>
              <w:left w:val="single" w:sz="12" w:space="0" w:color="000000"/>
              <w:bottom w:val="single" w:sz="4" w:space="0" w:color="000000"/>
              <w:right w:val="single" w:sz="12" w:space="0" w:color="000000"/>
            </w:tcBorders>
            <w:vAlign w:val="center"/>
          </w:tcPr>
          <w:p w14:paraId="0088D6A6" w14:textId="4119FFBE" w:rsidR="00B56D50" w:rsidRDefault="001C3C42" w:rsidP="001A7489">
            <w:pPr>
              <w:spacing w:after="0" w:line="259" w:lineRule="auto"/>
              <w:ind w:left="0" w:right="46" w:firstLine="0"/>
              <w:jc w:val="center"/>
            </w:pPr>
            <w:proofErr w:type="spellStart"/>
            <w:r>
              <w:rPr>
                <w:sz w:val="18"/>
              </w:rPr>
              <w:t>pCi</w:t>
            </w:r>
            <w:proofErr w:type="spellEnd"/>
            <w:r>
              <w:rPr>
                <w:sz w:val="18"/>
              </w:rPr>
              <w:t>/L</w:t>
            </w:r>
          </w:p>
        </w:tc>
        <w:tc>
          <w:tcPr>
            <w:tcW w:w="720" w:type="dxa"/>
            <w:tcBorders>
              <w:top w:val="single" w:sz="12" w:space="0" w:color="000000"/>
              <w:left w:val="single" w:sz="12" w:space="0" w:color="000000"/>
              <w:bottom w:val="single" w:sz="4" w:space="0" w:color="000000"/>
              <w:right w:val="single" w:sz="12" w:space="0" w:color="000000"/>
            </w:tcBorders>
            <w:vAlign w:val="center"/>
          </w:tcPr>
          <w:p w14:paraId="1C9F566E" w14:textId="1D750646" w:rsidR="00B56D50" w:rsidRDefault="001C3C42" w:rsidP="001A7489">
            <w:pPr>
              <w:spacing w:after="0" w:line="259" w:lineRule="auto"/>
              <w:ind w:left="0" w:right="49" w:firstLine="0"/>
              <w:jc w:val="center"/>
            </w:pPr>
            <w:r>
              <w:rPr>
                <w:sz w:val="18"/>
              </w:rPr>
              <w:t>N/A</w:t>
            </w:r>
          </w:p>
        </w:tc>
        <w:tc>
          <w:tcPr>
            <w:tcW w:w="720" w:type="dxa"/>
            <w:tcBorders>
              <w:top w:val="single" w:sz="12" w:space="0" w:color="000000"/>
              <w:left w:val="single" w:sz="12" w:space="0" w:color="000000"/>
              <w:bottom w:val="single" w:sz="4" w:space="0" w:color="000000"/>
              <w:right w:val="single" w:sz="12" w:space="0" w:color="000000"/>
            </w:tcBorders>
            <w:vAlign w:val="center"/>
          </w:tcPr>
          <w:p w14:paraId="27C36F50" w14:textId="2D7E74A3" w:rsidR="00B56D50" w:rsidRDefault="001C3C42" w:rsidP="001A7489">
            <w:pPr>
              <w:spacing w:after="0" w:line="259" w:lineRule="auto"/>
              <w:ind w:left="0" w:right="50" w:firstLine="0"/>
              <w:jc w:val="center"/>
            </w:pPr>
            <w:r>
              <w:rPr>
                <w:sz w:val="18"/>
              </w:rPr>
              <w:t>N/A</w:t>
            </w:r>
          </w:p>
        </w:tc>
        <w:tc>
          <w:tcPr>
            <w:tcW w:w="810" w:type="dxa"/>
            <w:tcBorders>
              <w:top w:val="single" w:sz="12" w:space="0" w:color="000000"/>
              <w:left w:val="single" w:sz="12" w:space="0" w:color="000000"/>
              <w:bottom w:val="single" w:sz="4" w:space="0" w:color="000000"/>
              <w:right w:val="single" w:sz="12" w:space="0" w:color="000000"/>
            </w:tcBorders>
            <w:vAlign w:val="center"/>
          </w:tcPr>
          <w:p w14:paraId="0F921BA2" w14:textId="674D5672" w:rsidR="00B56D50" w:rsidRDefault="001C3C42" w:rsidP="001A7489">
            <w:pPr>
              <w:spacing w:after="0" w:line="259" w:lineRule="auto"/>
              <w:ind w:left="0" w:right="49" w:firstLine="0"/>
              <w:jc w:val="center"/>
            </w:pPr>
            <w:r>
              <w:rPr>
                <w:sz w:val="18"/>
              </w:rPr>
              <w:t>9310</w:t>
            </w:r>
          </w:p>
        </w:tc>
        <w:tc>
          <w:tcPr>
            <w:tcW w:w="810" w:type="dxa"/>
            <w:tcBorders>
              <w:top w:val="single" w:sz="12" w:space="0" w:color="000000"/>
              <w:left w:val="single" w:sz="12" w:space="0" w:color="000000"/>
              <w:bottom w:val="single" w:sz="4" w:space="0" w:color="000000"/>
              <w:right w:val="single" w:sz="12" w:space="0" w:color="000000"/>
            </w:tcBorders>
            <w:vAlign w:val="center"/>
          </w:tcPr>
          <w:p w14:paraId="733ABD39" w14:textId="34F7E5C9" w:rsidR="00B56D50" w:rsidRDefault="001C3C42" w:rsidP="001A7489">
            <w:pPr>
              <w:spacing w:after="0" w:line="259" w:lineRule="auto"/>
              <w:ind w:left="0" w:right="44" w:firstLine="0"/>
              <w:jc w:val="center"/>
            </w:pPr>
            <w:r>
              <w:rPr>
                <w:sz w:val="18"/>
              </w:rPr>
              <w:t>900.0</w:t>
            </w:r>
            <w:r w:rsidR="00DE0120">
              <w:rPr>
                <w:sz w:val="18"/>
              </w:rPr>
              <w:t xml:space="preserve"> </w:t>
            </w:r>
            <w:r w:rsidR="00B92728" w:rsidRPr="00A235E7">
              <w:rPr>
                <w:b/>
                <w:bCs/>
                <w:sz w:val="18"/>
                <w:vertAlign w:val="superscript"/>
              </w:rPr>
              <w:t>8</w:t>
            </w:r>
          </w:p>
        </w:tc>
        <w:tc>
          <w:tcPr>
            <w:tcW w:w="720" w:type="dxa"/>
            <w:tcBorders>
              <w:top w:val="single" w:sz="12" w:space="0" w:color="000000"/>
              <w:left w:val="single" w:sz="12" w:space="0" w:color="000000"/>
              <w:bottom w:val="single" w:sz="4" w:space="0" w:color="000000"/>
              <w:right w:val="single" w:sz="12" w:space="0" w:color="000000"/>
            </w:tcBorders>
            <w:vAlign w:val="center"/>
          </w:tcPr>
          <w:p w14:paraId="2F7A3213" w14:textId="497530EF" w:rsidR="00B56D50" w:rsidRDefault="00B56D50" w:rsidP="001A7489">
            <w:pPr>
              <w:spacing w:after="0" w:line="259" w:lineRule="auto"/>
              <w:ind w:left="0" w:right="5" w:firstLine="0"/>
              <w:jc w:val="center"/>
            </w:pPr>
          </w:p>
        </w:tc>
      </w:tr>
      <w:tr w:rsidR="003073DA" w14:paraId="18C6AEFD" w14:textId="77777777" w:rsidTr="005B6604">
        <w:trPr>
          <w:trHeight w:val="250"/>
        </w:trPr>
        <w:tc>
          <w:tcPr>
            <w:tcW w:w="3600" w:type="dxa"/>
            <w:tcBorders>
              <w:top w:val="single" w:sz="4" w:space="0" w:color="000000"/>
              <w:left w:val="single" w:sz="12" w:space="0" w:color="000000"/>
              <w:bottom w:val="single" w:sz="4" w:space="0" w:color="000000"/>
              <w:right w:val="single" w:sz="12" w:space="0" w:color="000000"/>
            </w:tcBorders>
          </w:tcPr>
          <w:p w14:paraId="0F38814E" w14:textId="77777777" w:rsidR="00B56D50" w:rsidRDefault="001C3C42">
            <w:pPr>
              <w:spacing w:after="0" w:line="259" w:lineRule="auto"/>
              <w:ind w:left="0" w:right="0" w:firstLine="0"/>
            </w:pPr>
            <w:r>
              <w:rPr>
                <w:sz w:val="18"/>
              </w:rPr>
              <w:t xml:space="preserve">Gross Beta Radiation </w:t>
            </w:r>
          </w:p>
        </w:tc>
        <w:tc>
          <w:tcPr>
            <w:tcW w:w="1710" w:type="dxa"/>
            <w:tcBorders>
              <w:top w:val="single" w:sz="4" w:space="0" w:color="000000"/>
              <w:left w:val="single" w:sz="12" w:space="0" w:color="000000"/>
              <w:bottom w:val="single" w:sz="4" w:space="0" w:color="000000"/>
              <w:right w:val="single" w:sz="12" w:space="0" w:color="000000"/>
            </w:tcBorders>
            <w:vAlign w:val="center"/>
          </w:tcPr>
          <w:p w14:paraId="05C53906" w14:textId="2FE31B1D" w:rsidR="00B56D50" w:rsidRDefault="001C3C42" w:rsidP="001A7489">
            <w:pPr>
              <w:spacing w:after="0" w:line="259" w:lineRule="auto"/>
              <w:ind w:left="0" w:right="44" w:firstLine="0"/>
              <w:jc w:val="center"/>
            </w:pPr>
            <w:r>
              <w:rPr>
                <w:sz w:val="18"/>
              </w:rPr>
              <w:t>12587-47-2</w:t>
            </w:r>
          </w:p>
        </w:tc>
        <w:tc>
          <w:tcPr>
            <w:tcW w:w="720" w:type="dxa"/>
            <w:tcBorders>
              <w:top w:val="single" w:sz="4" w:space="0" w:color="000000"/>
              <w:left w:val="single" w:sz="12" w:space="0" w:color="000000"/>
              <w:bottom w:val="single" w:sz="4" w:space="0" w:color="000000"/>
              <w:right w:val="single" w:sz="12" w:space="0" w:color="000000"/>
            </w:tcBorders>
            <w:vAlign w:val="center"/>
          </w:tcPr>
          <w:p w14:paraId="7A294AAE" w14:textId="0D7697D5" w:rsidR="00B56D50" w:rsidRDefault="001C3C42" w:rsidP="001A7489">
            <w:pPr>
              <w:spacing w:after="0" w:line="259" w:lineRule="auto"/>
              <w:ind w:left="0" w:right="46" w:firstLine="0"/>
              <w:jc w:val="center"/>
            </w:pPr>
            <w:r>
              <w:rPr>
                <w:sz w:val="18"/>
              </w:rPr>
              <w:t>4</w:t>
            </w:r>
          </w:p>
        </w:tc>
        <w:tc>
          <w:tcPr>
            <w:tcW w:w="810" w:type="dxa"/>
            <w:tcBorders>
              <w:top w:val="single" w:sz="4" w:space="0" w:color="000000"/>
              <w:left w:val="single" w:sz="12" w:space="0" w:color="000000"/>
              <w:bottom w:val="single" w:sz="4" w:space="0" w:color="000000"/>
              <w:right w:val="single" w:sz="12" w:space="0" w:color="000000"/>
            </w:tcBorders>
            <w:vAlign w:val="center"/>
          </w:tcPr>
          <w:p w14:paraId="1D22FB8F" w14:textId="3693FCA8" w:rsidR="00B56D50" w:rsidRDefault="001C3C42" w:rsidP="001A7489">
            <w:pPr>
              <w:spacing w:after="0" w:line="259" w:lineRule="auto"/>
              <w:ind w:left="0" w:right="46" w:firstLine="0"/>
              <w:jc w:val="center"/>
            </w:pPr>
            <w:proofErr w:type="spellStart"/>
            <w:r>
              <w:rPr>
                <w:sz w:val="18"/>
              </w:rPr>
              <w:t>pCi</w:t>
            </w:r>
            <w:proofErr w:type="spellEnd"/>
            <w:r>
              <w:rPr>
                <w:sz w:val="18"/>
              </w:rPr>
              <w:t>/L</w:t>
            </w:r>
          </w:p>
        </w:tc>
        <w:tc>
          <w:tcPr>
            <w:tcW w:w="720" w:type="dxa"/>
            <w:tcBorders>
              <w:top w:val="single" w:sz="4" w:space="0" w:color="000000"/>
              <w:left w:val="single" w:sz="12" w:space="0" w:color="000000"/>
              <w:bottom w:val="single" w:sz="4" w:space="0" w:color="000000"/>
              <w:right w:val="single" w:sz="12" w:space="0" w:color="000000"/>
            </w:tcBorders>
            <w:vAlign w:val="center"/>
          </w:tcPr>
          <w:p w14:paraId="62196AA6" w14:textId="665079B1" w:rsidR="00B56D50" w:rsidRDefault="001C3C42" w:rsidP="001A7489">
            <w:pPr>
              <w:spacing w:after="0" w:line="259" w:lineRule="auto"/>
              <w:ind w:left="0" w:right="49" w:firstLine="0"/>
              <w:jc w:val="center"/>
            </w:pPr>
            <w:r>
              <w:rPr>
                <w:sz w:val="18"/>
              </w:rPr>
              <w:t>N/A</w:t>
            </w:r>
          </w:p>
        </w:tc>
        <w:tc>
          <w:tcPr>
            <w:tcW w:w="720" w:type="dxa"/>
            <w:tcBorders>
              <w:top w:val="single" w:sz="4" w:space="0" w:color="000000"/>
              <w:left w:val="single" w:sz="12" w:space="0" w:color="000000"/>
              <w:bottom w:val="single" w:sz="4" w:space="0" w:color="000000"/>
              <w:right w:val="single" w:sz="12" w:space="0" w:color="000000"/>
            </w:tcBorders>
            <w:vAlign w:val="center"/>
          </w:tcPr>
          <w:p w14:paraId="041D4A02" w14:textId="38597223" w:rsidR="00B56D50" w:rsidRDefault="001C3C42" w:rsidP="001A7489">
            <w:pPr>
              <w:spacing w:after="0" w:line="259" w:lineRule="auto"/>
              <w:ind w:left="0" w:right="50" w:firstLine="0"/>
              <w:jc w:val="center"/>
            </w:pPr>
            <w:r>
              <w:rPr>
                <w:sz w:val="18"/>
              </w:rPr>
              <w:t>N/A</w:t>
            </w:r>
          </w:p>
        </w:tc>
        <w:tc>
          <w:tcPr>
            <w:tcW w:w="810" w:type="dxa"/>
            <w:tcBorders>
              <w:top w:val="single" w:sz="4" w:space="0" w:color="000000"/>
              <w:left w:val="single" w:sz="12" w:space="0" w:color="000000"/>
              <w:bottom w:val="single" w:sz="4" w:space="0" w:color="000000"/>
              <w:right w:val="single" w:sz="12" w:space="0" w:color="000000"/>
            </w:tcBorders>
            <w:vAlign w:val="center"/>
          </w:tcPr>
          <w:p w14:paraId="72ACF12F" w14:textId="5A7C85B3" w:rsidR="00B56D50" w:rsidRDefault="001C3C42" w:rsidP="001A7489">
            <w:pPr>
              <w:spacing w:after="0" w:line="259" w:lineRule="auto"/>
              <w:ind w:left="0" w:right="49" w:firstLine="0"/>
              <w:jc w:val="center"/>
            </w:pPr>
            <w:r>
              <w:rPr>
                <w:sz w:val="18"/>
              </w:rPr>
              <w:t>9310</w:t>
            </w:r>
          </w:p>
        </w:tc>
        <w:tc>
          <w:tcPr>
            <w:tcW w:w="810" w:type="dxa"/>
            <w:tcBorders>
              <w:top w:val="single" w:sz="4" w:space="0" w:color="000000"/>
              <w:left w:val="single" w:sz="12" w:space="0" w:color="000000"/>
              <w:bottom w:val="single" w:sz="4" w:space="0" w:color="000000"/>
              <w:right w:val="single" w:sz="12" w:space="0" w:color="000000"/>
            </w:tcBorders>
            <w:vAlign w:val="center"/>
          </w:tcPr>
          <w:p w14:paraId="6FAD9CB2" w14:textId="53065D73" w:rsidR="00B56D50" w:rsidRDefault="001C3C42" w:rsidP="001A7489">
            <w:pPr>
              <w:spacing w:after="0" w:line="259" w:lineRule="auto"/>
              <w:ind w:left="0" w:right="44" w:firstLine="0"/>
              <w:jc w:val="center"/>
            </w:pPr>
            <w:r>
              <w:rPr>
                <w:sz w:val="18"/>
              </w:rPr>
              <w:t>900.0</w:t>
            </w:r>
            <w:r w:rsidR="00DE0120">
              <w:rPr>
                <w:sz w:val="18"/>
              </w:rPr>
              <w:t xml:space="preserve"> </w:t>
            </w:r>
            <w:r w:rsidR="004D3CEB" w:rsidRPr="00A235E7">
              <w:rPr>
                <w:b/>
                <w:bCs/>
                <w:sz w:val="18"/>
                <w:vertAlign w:val="superscript"/>
              </w:rPr>
              <w:t>8</w:t>
            </w:r>
          </w:p>
        </w:tc>
        <w:tc>
          <w:tcPr>
            <w:tcW w:w="720" w:type="dxa"/>
            <w:tcBorders>
              <w:top w:val="single" w:sz="4" w:space="0" w:color="000000"/>
              <w:left w:val="single" w:sz="12" w:space="0" w:color="000000"/>
              <w:bottom w:val="single" w:sz="4" w:space="0" w:color="000000"/>
              <w:right w:val="single" w:sz="12" w:space="0" w:color="000000"/>
            </w:tcBorders>
            <w:vAlign w:val="center"/>
          </w:tcPr>
          <w:p w14:paraId="726145FB" w14:textId="137943C7" w:rsidR="00B56D50" w:rsidRDefault="00B56D50" w:rsidP="001A7489">
            <w:pPr>
              <w:spacing w:after="0" w:line="259" w:lineRule="auto"/>
              <w:ind w:left="0" w:right="5" w:firstLine="0"/>
              <w:jc w:val="center"/>
            </w:pPr>
          </w:p>
        </w:tc>
      </w:tr>
      <w:tr w:rsidR="003073DA" w14:paraId="0E626208" w14:textId="77777777" w:rsidTr="005B6604">
        <w:trPr>
          <w:trHeight w:val="252"/>
        </w:trPr>
        <w:tc>
          <w:tcPr>
            <w:tcW w:w="3600" w:type="dxa"/>
            <w:tcBorders>
              <w:top w:val="single" w:sz="4" w:space="0" w:color="000000"/>
              <w:left w:val="single" w:sz="12" w:space="0" w:color="000000"/>
              <w:bottom w:val="single" w:sz="4" w:space="0" w:color="000000"/>
              <w:right w:val="single" w:sz="12" w:space="0" w:color="000000"/>
            </w:tcBorders>
          </w:tcPr>
          <w:p w14:paraId="1933DCAE" w14:textId="77777777" w:rsidR="00B56D50" w:rsidRDefault="001C3C42">
            <w:pPr>
              <w:spacing w:after="0" w:line="259" w:lineRule="auto"/>
              <w:ind w:left="0" w:right="0" w:firstLine="0"/>
            </w:pPr>
            <w:r>
              <w:rPr>
                <w:sz w:val="18"/>
              </w:rPr>
              <w:t xml:space="preserve">Radium-223 </w:t>
            </w:r>
          </w:p>
        </w:tc>
        <w:tc>
          <w:tcPr>
            <w:tcW w:w="1710" w:type="dxa"/>
            <w:tcBorders>
              <w:top w:val="single" w:sz="4" w:space="0" w:color="000000"/>
              <w:left w:val="single" w:sz="12" w:space="0" w:color="000000"/>
              <w:bottom w:val="single" w:sz="4" w:space="0" w:color="000000"/>
              <w:right w:val="single" w:sz="12" w:space="0" w:color="000000"/>
            </w:tcBorders>
            <w:vAlign w:val="center"/>
          </w:tcPr>
          <w:p w14:paraId="75A5BE99" w14:textId="2E29E0F7" w:rsidR="00B56D50" w:rsidRDefault="001C3C42" w:rsidP="001A7489">
            <w:pPr>
              <w:spacing w:after="0" w:line="259" w:lineRule="auto"/>
              <w:ind w:left="0" w:right="44" w:firstLine="0"/>
              <w:jc w:val="center"/>
            </w:pPr>
            <w:r>
              <w:rPr>
                <w:sz w:val="18"/>
              </w:rPr>
              <w:t>15623-45-7</w:t>
            </w:r>
          </w:p>
        </w:tc>
        <w:tc>
          <w:tcPr>
            <w:tcW w:w="720" w:type="dxa"/>
            <w:tcBorders>
              <w:top w:val="single" w:sz="4" w:space="0" w:color="000000"/>
              <w:left w:val="single" w:sz="12" w:space="0" w:color="000000"/>
              <w:bottom w:val="single" w:sz="4" w:space="0" w:color="000000"/>
              <w:right w:val="single" w:sz="12" w:space="0" w:color="000000"/>
            </w:tcBorders>
            <w:vAlign w:val="center"/>
          </w:tcPr>
          <w:p w14:paraId="728DE70B" w14:textId="22B712C2" w:rsidR="00B56D50" w:rsidRDefault="001C3C42" w:rsidP="001A7489">
            <w:pPr>
              <w:spacing w:after="0" w:line="259" w:lineRule="auto"/>
              <w:ind w:left="0" w:right="46" w:firstLine="0"/>
              <w:jc w:val="center"/>
            </w:pPr>
            <w:r>
              <w:rPr>
                <w:sz w:val="18"/>
              </w:rPr>
              <w:t>1</w:t>
            </w:r>
          </w:p>
        </w:tc>
        <w:tc>
          <w:tcPr>
            <w:tcW w:w="810" w:type="dxa"/>
            <w:tcBorders>
              <w:top w:val="single" w:sz="4" w:space="0" w:color="000000"/>
              <w:left w:val="single" w:sz="12" w:space="0" w:color="000000"/>
              <w:bottom w:val="single" w:sz="4" w:space="0" w:color="000000"/>
              <w:right w:val="single" w:sz="12" w:space="0" w:color="000000"/>
            </w:tcBorders>
            <w:vAlign w:val="center"/>
          </w:tcPr>
          <w:p w14:paraId="48E58DC0" w14:textId="17A83C00" w:rsidR="00B56D50" w:rsidRDefault="001C3C42" w:rsidP="001A7489">
            <w:pPr>
              <w:spacing w:after="0" w:line="259" w:lineRule="auto"/>
              <w:ind w:left="0" w:right="46" w:firstLine="0"/>
              <w:jc w:val="center"/>
            </w:pPr>
            <w:proofErr w:type="spellStart"/>
            <w:r>
              <w:rPr>
                <w:sz w:val="18"/>
              </w:rPr>
              <w:t>pCi</w:t>
            </w:r>
            <w:proofErr w:type="spellEnd"/>
            <w:r>
              <w:rPr>
                <w:sz w:val="18"/>
              </w:rPr>
              <w:t>/L</w:t>
            </w:r>
          </w:p>
        </w:tc>
        <w:tc>
          <w:tcPr>
            <w:tcW w:w="720" w:type="dxa"/>
            <w:tcBorders>
              <w:top w:val="single" w:sz="4" w:space="0" w:color="000000"/>
              <w:left w:val="single" w:sz="12" w:space="0" w:color="000000"/>
              <w:bottom w:val="single" w:sz="4" w:space="0" w:color="000000"/>
              <w:right w:val="single" w:sz="12" w:space="0" w:color="000000"/>
            </w:tcBorders>
            <w:vAlign w:val="center"/>
          </w:tcPr>
          <w:p w14:paraId="297BE93A" w14:textId="2C127E6E" w:rsidR="00B56D50" w:rsidRDefault="001C3C42" w:rsidP="001A7489">
            <w:pPr>
              <w:spacing w:after="0" w:line="259" w:lineRule="auto"/>
              <w:ind w:left="0" w:right="49" w:firstLine="0"/>
              <w:jc w:val="center"/>
            </w:pPr>
            <w:r>
              <w:rPr>
                <w:sz w:val="18"/>
              </w:rPr>
              <w:t>N/A</w:t>
            </w:r>
          </w:p>
        </w:tc>
        <w:tc>
          <w:tcPr>
            <w:tcW w:w="720" w:type="dxa"/>
            <w:tcBorders>
              <w:top w:val="single" w:sz="4" w:space="0" w:color="000000"/>
              <w:left w:val="single" w:sz="12" w:space="0" w:color="000000"/>
              <w:bottom w:val="single" w:sz="4" w:space="0" w:color="000000"/>
              <w:right w:val="single" w:sz="12" w:space="0" w:color="000000"/>
            </w:tcBorders>
            <w:vAlign w:val="center"/>
          </w:tcPr>
          <w:p w14:paraId="11AF0DD2" w14:textId="5C88FECD" w:rsidR="00B56D50" w:rsidRDefault="001C3C42" w:rsidP="001A7489">
            <w:pPr>
              <w:spacing w:after="0" w:line="259" w:lineRule="auto"/>
              <w:ind w:left="0" w:right="50" w:firstLine="0"/>
              <w:jc w:val="center"/>
            </w:pPr>
            <w:r>
              <w:rPr>
                <w:sz w:val="18"/>
              </w:rPr>
              <w:t>N/A</w:t>
            </w:r>
          </w:p>
        </w:tc>
        <w:tc>
          <w:tcPr>
            <w:tcW w:w="810" w:type="dxa"/>
            <w:tcBorders>
              <w:top w:val="single" w:sz="4" w:space="0" w:color="000000"/>
              <w:left w:val="single" w:sz="12" w:space="0" w:color="000000"/>
              <w:bottom w:val="single" w:sz="4" w:space="0" w:color="000000"/>
              <w:right w:val="single" w:sz="12" w:space="0" w:color="000000"/>
            </w:tcBorders>
            <w:vAlign w:val="center"/>
          </w:tcPr>
          <w:p w14:paraId="03B1EA2A" w14:textId="0EA3EB32" w:rsidR="00B56D50" w:rsidRDefault="001C3C42" w:rsidP="001A7489">
            <w:pPr>
              <w:spacing w:after="0" w:line="259" w:lineRule="auto"/>
              <w:ind w:left="0" w:right="49" w:firstLine="0"/>
              <w:jc w:val="center"/>
            </w:pPr>
            <w:r>
              <w:rPr>
                <w:sz w:val="18"/>
              </w:rPr>
              <w:t>9315</w:t>
            </w:r>
          </w:p>
        </w:tc>
        <w:tc>
          <w:tcPr>
            <w:tcW w:w="810" w:type="dxa"/>
            <w:tcBorders>
              <w:top w:val="single" w:sz="4" w:space="0" w:color="000000"/>
              <w:left w:val="single" w:sz="12" w:space="0" w:color="000000"/>
              <w:bottom w:val="single" w:sz="4" w:space="0" w:color="000000"/>
              <w:right w:val="single" w:sz="12" w:space="0" w:color="000000"/>
            </w:tcBorders>
            <w:vAlign w:val="center"/>
          </w:tcPr>
          <w:p w14:paraId="5B70FB90" w14:textId="363BEDD4" w:rsidR="00B56D50" w:rsidRDefault="001C3C42" w:rsidP="001A7489">
            <w:pPr>
              <w:spacing w:after="0" w:line="259" w:lineRule="auto"/>
              <w:ind w:left="0" w:right="44" w:firstLine="0"/>
              <w:jc w:val="center"/>
            </w:pPr>
            <w:r>
              <w:rPr>
                <w:sz w:val="18"/>
              </w:rPr>
              <w:t>903.0</w:t>
            </w:r>
            <w:r w:rsidR="00DE0120">
              <w:rPr>
                <w:sz w:val="18"/>
              </w:rPr>
              <w:t xml:space="preserve"> </w:t>
            </w:r>
            <w:r w:rsidR="00D20C4D" w:rsidRPr="00A235E7">
              <w:rPr>
                <w:b/>
                <w:bCs/>
                <w:sz w:val="18"/>
                <w:vertAlign w:val="superscript"/>
              </w:rPr>
              <w:t>8</w:t>
            </w:r>
          </w:p>
        </w:tc>
        <w:tc>
          <w:tcPr>
            <w:tcW w:w="720" w:type="dxa"/>
            <w:tcBorders>
              <w:top w:val="single" w:sz="4" w:space="0" w:color="000000"/>
              <w:left w:val="single" w:sz="12" w:space="0" w:color="000000"/>
              <w:bottom w:val="single" w:sz="4" w:space="0" w:color="000000"/>
              <w:right w:val="single" w:sz="12" w:space="0" w:color="000000"/>
            </w:tcBorders>
            <w:vAlign w:val="center"/>
          </w:tcPr>
          <w:p w14:paraId="186FA6E5" w14:textId="4C2CB022" w:rsidR="00B56D50" w:rsidRDefault="00B56D50" w:rsidP="001A7489">
            <w:pPr>
              <w:spacing w:after="0" w:line="259" w:lineRule="auto"/>
              <w:ind w:left="0" w:right="5" w:firstLine="0"/>
              <w:jc w:val="center"/>
            </w:pPr>
          </w:p>
        </w:tc>
      </w:tr>
      <w:tr w:rsidR="003073DA" w14:paraId="6AD5FB72" w14:textId="77777777" w:rsidTr="005B6604">
        <w:trPr>
          <w:trHeight w:val="250"/>
        </w:trPr>
        <w:tc>
          <w:tcPr>
            <w:tcW w:w="3600" w:type="dxa"/>
            <w:tcBorders>
              <w:top w:val="single" w:sz="4" w:space="0" w:color="000000"/>
              <w:left w:val="single" w:sz="12" w:space="0" w:color="000000"/>
              <w:bottom w:val="single" w:sz="4" w:space="0" w:color="000000"/>
              <w:right w:val="single" w:sz="12" w:space="0" w:color="000000"/>
            </w:tcBorders>
          </w:tcPr>
          <w:p w14:paraId="6F578147" w14:textId="77777777" w:rsidR="00B56D50" w:rsidRDefault="001C3C42">
            <w:pPr>
              <w:spacing w:after="0" w:line="259" w:lineRule="auto"/>
              <w:ind w:left="0" w:right="0" w:firstLine="0"/>
            </w:pPr>
            <w:r>
              <w:rPr>
                <w:sz w:val="18"/>
              </w:rPr>
              <w:t xml:space="preserve">Radium-224 </w:t>
            </w:r>
          </w:p>
        </w:tc>
        <w:tc>
          <w:tcPr>
            <w:tcW w:w="1710" w:type="dxa"/>
            <w:tcBorders>
              <w:top w:val="single" w:sz="4" w:space="0" w:color="000000"/>
              <w:left w:val="single" w:sz="12" w:space="0" w:color="000000"/>
              <w:bottom w:val="single" w:sz="4" w:space="0" w:color="000000"/>
              <w:right w:val="single" w:sz="12" w:space="0" w:color="000000"/>
            </w:tcBorders>
            <w:vAlign w:val="center"/>
          </w:tcPr>
          <w:p w14:paraId="0B077FBA" w14:textId="696DE842" w:rsidR="00B56D50" w:rsidRDefault="001C3C42" w:rsidP="001A7489">
            <w:pPr>
              <w:spacing w:after="0" w:line="259" w:lineRule="auto"/>
              <w:ind w:left="0" w:right="44" w:firstLine="0"/>
              <w:jc w:val="center"/>
            </w:pPr>
            <w:r>
              <w:rPr>
                <w:sz w:val="18"/>
              </w:rPr>
              <w:t>13233-32-4</w:t>
            </w:r>
          </w:p>
        </w:tc>
        <w:tc>
          <w:tcPr>
            <w:tcW w:w="720" w:type="dxa"/>
            <w:tcBorders>
              <w:top w:val="single" w:sz="4" w:space="0" w:color="000000"/>
              <w:left w:val="single" w:sz="12" w:space="0" w:color="000000"/>
              <w:bottom w:val="single" w:sz="4" w:space="0" w:color="000000"/>
              <w:right w:val="single" w:sz="12" w:space="0" w:color="000000"/>
            </w:tcBorders>
            <w:vAlign w:val="center"/>
          </w:tcPr>
          <w:p w14:paraId="39BBAAA8" w14:textId="6457539F" w:rsidR="00B56D50" w:rsidRDefault="001C3C42" w:rsidP="001A7489">
            <w:pPr>
              <w:spacing w:after="0" w:line="259" w:lineRule="auto"/>
              <w:ind w:left="0" w:right="46" w:firstLine="0"/>
              <w:jc w:val="center"/>
            </w:pPr>
            <w:r>
              <w:rPr>
                <w:sz w:val="18"/>
              </w:rPr>
              <w:t>1</w:t>
            </w:r>
          </w:p>
        </w:tc>
        <w:tc>
          <w:tcPr>
            <w:tcW w:w="810" w:type="dxa"/>
            <w:tcBorders>
              <w:top w:val="single" w:sz="4" w:space="0" w:color="000000"/>
              <w:left w:val="single" w:sz="12" w:space="0" w:color="000000"/>
              <w:bottom w:val="single" w:sz="4" w:space="0" w:color="000000"/>
              <w:right w:val="single" w:sz="12" w:space="0" w:color="000000"/>
            </w:tcBorders>
            <w:vAlign w:val="center"/>
          </w:tcPr>
          <w:p w14:paraId="6F8ECFB0" w14:textId="387418FF" w:rsidR="00B56D50" w:rsidRDefault="001C3C42" w:rsidP="001A7489">
            <w:pPr>
              <w:spacing w:after="0" w:line="259" w:lineRule="auto"/>
              <w:ind w:left="0" w:right="46" w:firstLine="0"/>
              <w:jc w:val="center"/>
            </w:pPr>
            <w:proofErr w:type="spellStart"/>
            <w:r>
              <w:rPr>
                <w:sz w:val="18"/>
              </w:rPr>
              <w:t>pCi</w:t>
            </w:r>
            <w:proofErr w:type="spellEnd"/>
            <w:r>
              <w:rPr>
                <w:sz w:val="18"/>
              </w:rPr>
              <w:t>/L</w:t>
            </w:r>
          </w:p>
        </w:tc>
        <w:tc>
          <w:tcPr>
            <w:tcW w:w="720" w:type="dxa"/>
            <w:tcBorders>
              <w:top w:val="single" w:sz="4" w:space="0" w:color="000000"/>
              <w:left w:val="single" w:sz="12" w:space="0" w:color="000000"/>
              <w:bottom w:val="single" w:sz="4" w:space="0" w:color="000000"/>
              <w:right w:val="single" w:sz="12" w:space="0" w:color="000000"/>
            </w:tcBorders>
            <w:vAlign w:val="center"/>
          </w:tcPr>
          <w:p w14:paraId="54C278EA" w14:textId="58EFD37D" w:rsidR="00B56D50" w:rsidRDefault="001C3C42" w:rsidP="001A7489">
            <w:pPr>
              <w:spacing w:after="0" w:line="259" w:lineRule="auto"/>
              <w:ind w:left="0" w:right="49" w:firstLine="0"/>
              <w:jc w:val="center"/>
            </w:pPr>
            <w:r>
              <w:rPr>
                <w:sz w:val="18"/>
              </w:rPr>
              <w:t>N/A</w:t>
            </w:r>
          </w:p>
        </w:tc>
        <w:tc>
          <w:tcPr>
            <w:tcW w:w="720" w:type="dxa"/>
            <w:tcBorders>
              <w:top w:val="single" w:sz="4" w:space="0" w:color="000000"/>
              <w:left w:val="single" w:sz="12" w:space="0" w:color="000000"/>
              <w:bottom w:val="single" w:sz="4" w:space="0" w:color="000000"/>
              <w:right w:val="single" w:sz="12" w:space="0" w:color="000000"/>
            </w:tcBorders>
            <w:vAlign w:val="center"/>
          </w:tcPr>
          <w:p w14:paraId="43A58B17" w14:textId="03914EFC" w:rsidR="00B56D50" w:rsidRDefault="001C3C42" w:rsidP="001A7489">
            <w:pPr>
              <w:spacing w:after="0" w:line="259" w:lineRule="auto"/>
              <w:ind w:left="0" w:right="50" w:firstLine="0"/>
              <w:jc w:val="center"/>
            </w:pPr>
            <w:r>
              <w:rPr>
                <w:sz w:val="18"/>
              </w:rPr>
              <w:t>N/A</w:t>
            </w:r>
          </w:p>
        </w:tc>
        <w:tc>
          <w:tcPr>
            <w:tcW w:w="810" w:type="dxa"/>
            <w:tcBorders>
              <w:top w:val="single" w:sz="4" w:space="0" w:color="000000"/>
              <w:left w:val="single" w:sz="12" w:space="0" w:color="000000"/>
              <w:bottom w:val="single" w:sz="4" w:space="0" w:color="000000"/>
              <w:right w:val="single" w:sz="12" w:space="0" w:color="000000"/>
            </w:tcBorders>
            <w:vAlign w:val="center"/>
          </w:tcPr>
          <w:p w14:paraId="40D5C247" w14:textId="788FD496" w:rsidR="00B56D50" w:rsidRDefault="001C3C42" w:rsidP="001A7489">
            <w:pPr>
              <w:spacing w:after="0" w:line="259" w:lineRule="auto"/>
              <w:ind w:left="0" w:right="49" w:firstLine="0"/>
              <w:jc w:val="center"/>
            </w:pPr>
            <w:r>
              <w:rPr>
                <w:sz w:val="18"/>
              </w:rPr>
              <w:t>9315</w:t>
            </w:r>
          </w:p>
        </w:tc>
        <w:tc>
          <w:tcPr>
            <w:tcW w:w="810" w:type="dxa"/>
            <w:tcBorders>
              <w:top w:val="single" w:sz="4" w:space="0" w:color="000000"/>
              <w:left w:val="single" w:sz="12" w:space="0" w:color="000000"/>
              <w:bottom w:val="single" w:sz="4" w:space="0" w:color="000000"/>
              <w:right w:val="single" w:sz="12" w:space="0" w:color="000000"/>
            </w:tcBorders>
            <w:vAlign w:val="center"/>
          </w:tcPr>
          <w:p w14:paraId="638AFE39" w14:textId="341FAAD1" w:rsidR="00B56D50" w:rsidRDefault="001C3C42" w:rsidP="001A7489">
            <w:pPr>
              <w:spacing w:after="0" w:line="259" w:lineRule="auto"/>
              <w:ind w:left="0" w:right="44" w:firstLine="0"/>
              <w:jc w:val="center"/>
            </w:pPr>
            <w:r>
              <w:rPr>
                <w:sz w:val="18"/>
              </w:rPr>
              <w:t>903.0</w:t>
            </w:r>
            <w:r w:rsidR="00DE0120">
              <w:rPr>
                <w:sz w:val="18"/>
              </w:rPr>
              <w:t xml:space="preserve"> </w:t>
            </w:r>
            <w:r w:rsidR="00710FC9">
              <w:rPr>
                <w:sz w:val="18"/>
                <w:vertAlign w:val="superscript"/>
              </w:rPr>
              <w:t>8</w:t>
            </w:r>
          </w:p>
        </w:tc>
        <w:tc>
          <w:tcPr>
            <w:tcW w:w="720" w:type="dxa"/>
            <w:tcBorders>
              <w:top w:val="single" w:sz="4" w:space="0" w:color="000000"/>
              <w:left w:val="single" w:sz="12" w:space="0" w:color="000000"/>
              <w:bottom w:val="single" w:sz="4" w:space="0" w:color="000000"/>
              <w:right w:val="single" w:sz="12" w:space="0" w:color="000000"/>
            </w:tcBorders>
            <w:vAlign w:val="center"/>
          </w:tcPr>
          <w:p w14:paraId="6647C824" w14:textId="405BBB9E" w:rsidR="00B56D50" w:rsidRDefault="00B56D50" w:rsidP="001A7489">
            <w:pPr>
              <w:spacing w:after="0" w:line="259" w:lineRule="auto"/>
              <w:ind w:left="0" w:right="5" w:firstLine="0"/>
              <w:jc w:val="center"/>
            </w:pPr>
          </w:p>
        </w:tc>
      </w:tr>
      <w:tr w:rsidR="003073DA" w14:paraId="4959A61C" w14:textId="77777777" w:rsidTr="005B6604">
        <w:trPr>
          <w:trHeight w:val="250"/>
        </w:trPr>
        <w:tc>
          <w:tcPr>
            <w:tcW w:w="3600" w:type="dxa"/>
            <w:tcBorders>
              <w:top w:val="single" w:sz="4" w:space="0" w:color="000000"/>
              <w:left w:val="single" w:sz="12" w:space="0" w:color="000000"/>
              <w:bottom w:val="single" w:sz="4" w:space="0" w:color="000000"/>
              <w:right w:val="single" w:sz="12" w:space="0" w:color="000000"/>
            </w:tcBorders>
          </w:tcPr>
          <w:p w14:paraId="2E1C339C" w14:textId="77777777" w:rsidR="00B56D50" w:rsidRDefault="001C3C42">
            <w:pPr>
              <w:spacing w:after="0" w:line="259" w:lineRule="auto"/>
              <w:ind w:left="0" w:right="0" w:firstLine="0"/>
            </w:pPr>
            <w:r>
              <w:rPr>
                <w:sz w:val="18"/>
              </w:rPr>
              <w:t xml:space="preserve">Radium-226 </w:t>
            </w:r>
          </w:p>
        </w:tc>
        <w:tc>
          <w:tcPr>
            <w:tcW w:w="1710" w:type="dxa"/>
            <w:tcBorders>
              <w:top w:val="single" w:sz="4" w:space="0" w:color="000000"/>
              <w:left w:val="single" w:sz="12" w:space="0" w:color="000000"/>
              <w:bottom w:val="single" w:sz="4" w:space="0" w:color="000000"/>
              <w:right w:val="single" w:sz="12" w:space="0" w:color="000000"/>
            </w:tcBorders>
            <w:vAlign w:val="center"/>
          </w:tcPr>
          <w:p w14:paraId="0AF4B06E" w14:textId="1A397112" w:rsidR="00B56D50" w:rsidRDefault="001C3C42" w:rsidP="001A7489">
            <w:pPr>
              <w:spacing w:after="0" w:line="259" w:lineRule="auto"/>
              <w:ind w:left="0" w:right="44" w:firstLine="0"/>
              <w:jc w:val="center"/>
            </w:pPr>
            <w:r>
              <w:rPr>
                <w:sz w:val="18"/>
              </w:rPr>
              <w:t>13982-63-3</w:t>
            </w:r>
          </w:p>
        </w:tc>
        <w:tc>
          <w:tcPr>
            <w:tcW w:w="720" w:type="dxa"/>
            <w:tcBorders>
              <w:top w:val="single" w:sz="4" w:space="0" w:color="000000"/>
              <w:left w:val="single" w:sz="12" w:space="0" w:color="000000"/>
              <w:bottom w:val="single" w:sz="4" w:space="0" w:color="000000"/>
              <w:right w:val="single" w:sz="12" w:space="0" w:color="000000"/>
            </w:tcBorders>
            <w:vAlign w:val="center"/>
          </w:tcPr>
          <w:p w14:paraId="68212DBF" w14:textId="1AEFBC19" w:rsidR="00B56D50" w:rsidRDefault="001C3C42" w:rsidP="001A7489">
            <w:pPr>
              <w:spacing w:after="0" w:line="259" w:lineRule="auto"/>
              <w:ind w:left="0" w:right="46" w:firstLine="0"/>
              <w:jc w:val="center"/>
            </w:pPr>
            <w:r>
              <w:rPr>
                <w:sz w:val="18"/>
              </w:rPr>
              <w:t>1</w:t>
            </w:r>
          </w:p>
        </w:tc>
        <w:tc>
          <w:tcPr>
            <w:tcW w:w="810" w:type="dxa"/>
            <w:tcBorders>
              <w:top w:val="single" w:sz="4" w:space="0" w:color="000000"/>
              <w:left w:val="single" w:sz="12" w:space="0" w:color="000000"/>
              <w:bottom w:val="single" w:sz="4" w:space="0" w:color="000000"/>
              <w:right w:val="single" w:sz="12" w:space="0" w:color="000000"/>
            </w:tcBorders>
            <w:vAlign w:val="center"/>
          </w:tcPr>
          <w:p w14:paraId="5BE4E4A8" w14:textId="28B37CC2" w:rsidR="00B56D50" w:rsidRDefault="001C3C42" w:rsidP="001A7489">
            <w:pPr>
              <w:spacing w:after="0" w:line="259" w:lineRule="auto"/>
              <w:ind w:left="0" w:right="46" w:firstLine="0"/>
              <w:jc w:val="center"/>
            </w:pPr>
            <w:proofErr w:type="spellStart"/>
            <w:r>
              <w:rPr>
                <w:sz w:val="18"/>
              </w:rPr>
              <w:t>pCi</w:t>
            </w:r>
            <w:proofErr w:type="spellEnd"/>
            <w:r>
              <w:rPr>
                <w:sz w:val="18"/>
              </w:rPr>
              <w:t>/L</w:t>
            </w:r>
          </w:p>
        </w:tc>
        <w:tc>
          <w:tcPr>
            <w:tcW w:w="720" w:type="dxa"/>
            <w:tcBorders>
              <w:top w:val="single" w:sz="4" w:space="0" w:color="000000"/>
              <w:left w:val="single" w:sz="12" w:space="0" w:color="000000"/>
              <w:bottom w:val="single" w:sz="4" w:space="0" w:color="000000"/>
              <w:right w:val="single" w:sz="12" w:space="0" w:color="000000"/>
            </w:tcBorders>
            <w:vAlign w:val="center"/>
          </w:tcPr>
          <w:p w14:paraId="7724ECED" w14:textId="08C5E151" w:rsidR="00B56D50" w:rsidRDefault="001C3C42" w:rsidP="001A7489">
            <w:pPr>
              <w:spacing w:after="0" w:line="259" w:lineRule="auto"/>
              <w:ind w:left="0" w:right="49" w:firstLine="0"/>
              <w:jc w:val="center"/>
            </w:pPr>
            <w:r>
              <w:rPr>
                <w:sz w:val="18"/>
              </w:rPr>
              <w:t>N/A</w:t>
            </w:r>
          </w:p>
        </w:tc>
        <w:tc>
          <w:tcPr>
            <w:tcW w:w="720" w:type="dxa"/>
            <w:tcBorders>
              <w:top w:val="single" w:sz="4" w:space="0" w:color="000000"/>
              <w:left w:val="single" w:sz="12" w:space="0" w:color="000000"/>
              <w:bottom w:val="single" w:sz="4" w:space="0" w:color="000000"/>
              <w:right w:val="single" w:sz="12" w:space="0" w:color="000000"/>
            </w:tcBorders>
            <w:vAlign w:val="center"/>
          </w:tcPr>
          <w:p w14:paraId="5EA22F84" w14:textId="2A6194CD" w:rsidR="00B56D50" w:rsidRDefault="001C3C42" w:rsidP="001A7489">
            <w:pPr>
              <w:spacing w:after="0" w:line="259" w:lineRule="auto"/>
              <w:ind w:left="0" w:right="50" w:firstLine="0"/>
              <w:jc w:val="center"/>
            </w:pPr>
            <w:r>
              <w:rPr>
                <w:sz w:val="18"/>
              </w:rPr>
              <w:t>N/A</w:t>
            </w:r>
          </w:p>
        </w:tc>
        <w:tc>
          <w:tcPr>
            <w:tcW w:w="810" w:type="dxa"/>
            <w:tcBorders>
              <w:top w:val="single" w:sz="4" w:space="0" w:color="000000"/>
              <w:left w:val="single" w:sz="12" w:space="0" w:color="000000"/>
              <w:bottom w:val="single" w:sz="4" w:space="0" w:color="000000"/>
              <w:right w:val="single" w:sz="12" w:space="0" w:color="000000"/>
            </w:tcBorders>
            <w:vAlign w:val="center"/>
          </w:tcPr>
          <w:p w14:paraId="0F05B8B1" w14:textId="7C965509" w:rsidR="00B56D50" w:rsidRDefault="001C3C42" w:rsidP="001A7489">
            <w:pPr>
              <w:spacing w:after="0" w:line="259" w:lineRule="auto"/>
              <w:ind w:left="0" w:right="49" w:firstLine="0"/>
              <w:jc w:val="center"/>
            </w:pPr>
            <w:r>
              <w:rPr>
                <w:sz w:val="18"/>
              </w:rPr>
              <w:t>9315</w:t>
            </w:r>
          </w:p>
        </w:tc>
        <w:tc>
          <w:tcPr>
            <w:tcW w:w="810" w:type="dxa"/>
            <w:tcBorders>
              <w:top w:val="single" w:sz="4" w:space="0" w:color="000000"/>
              <w:left w:val="single" w:sz="12" w:space="0" w:color="000000"/>
              <w:bottom w:val="single" w:sz="4" w:space="0" w:color="000000"/>
              <w:right w:val="single" w:sz="12" w:space="0" w:color="000000"/>
            </w:tcBorders>
            <w:vAlign w:val="center"/>
          </w:tcPr>
          <w:p w14:paraId="698B1AB1" w14:textId="32116799" w:rsidR="00B56D50" w:rsidRDefault="001C3C42" w:rsidP="001A7489">
            <w:pPr>
              <w:spacing w:after="0" w:line="259" w:lineRule="auto"/>
              <w:ind w:left="0" w:right="44" w:firstLine="0"/>
              <w:jc w:val="center"/>
            </w:pPr>
            <w:r>
              <w:rPr>
                <w:sz w:val="18"/>
              </w:rPr>
              <w:t>903.0</w:t>
            </w:r>
            <w:r w:rsidR="00DE0120">
              <w:rPr>
                <w:sz w:val="18"/>
              </w:rPr>
              <w:t xml:space="preserve"> </w:t>
            </w:r>
            <w:r w:rsidR="00710FC9" w:rsidRPr="00A235E7">
              <w:rPr>
                <w:b/>
                <w:bCs/>
                <w:sz w:val="18"/>
                <w:vertAlign w:val="superscript"/>
              </w:rPr>
              <w:t>8</w:t>
            </w:r>
          </w:p>
        </w:tc>
        <w:tc>
          <w:tcPr>
            <w:tcW w:w="720" w:type="dxa"/>
            <w:tcBorders>
              <w:top w:val="single" w:sz="4" w:space="0" w:color="000000"/>
              <w:left w:val="single" w:sz="12" w:space="0" w:color="000000"/>
              <w:bottom w:val="single" w:sz="4" w:space="0" w:color="000000"/>
              <w:right w:val="single" w:sz="12" w:space="0" w:color="000000"/>
            </w:tcBorders>
            <w:vAlign w:val="center"/>
          </w:tcPr>
          <w:p w14:paraId="188BE194" w14:textId="27A4E638" w:rsidR="00B56D50" w:rsidRDefault="001C3C42" w:rsidP="001A7489">
            <w:pPr>
              <w:spacing w:after="0" w:line="259" w:lineRule="auto"/>
              <w:ind w:left="0" w:right="47" w:firstLine="0"/>
              <w:jc w:val="center"/>
            </w:pPr>
            <w:r>
              <w:rPr>
                <w:sz w:val="18"/>
              </w:rPr>
              <w:t>903.1</w:t>
            </w:r>
            <w:r w:rsidR="00DE0120">
              <w:rPr>
                <w:sz w:val="18"/>
              </w:rPr>
              <w:t xml:space="preserve"> </w:t>
            </w:r>
            <w:r w:rsidR="00710FC9" w:rsidRPr="00A235E7">
              <w:rPr>
                <w:b/>
                <w:bCs/>
                <w:sz w:val="18"/>
                <w:vertAlign w:val="superscript"/>
              </w:rPr>
              <w:t>8</w:t>
            </w:r>
          </w:p>
        </w:tc>
      </w:tr>
      <w:tr w:rsidR="003073DA" w14:paraId="651A6547" w14:textId="77777777" w:rsidTr="005B6604">
        <w:trPr>
          <w:trHeight w:val="250"/>
        </w:trPr>
        <w:tc>
          <w:tcPr>
            <w:tcW w:w="3600" w:type="dxa"/>
            <w:tcBorders>
              <w:top w:val="single" w:sz="4" w:space="0" w:color="000000"/>
              <w:left w:val="single" w:sz="12" w:space="0" w:color="000000"/>
              <w:bottom w:val="single" w:sz="4" w:space="0" w:color="000000"/>
              <w:right w:val="single" w:sz="12" w:space="0" w:color="000000"/>
            </w:tcBorders>
          </w:tcPr>
          <w:p w14:paraId="0F46549F" w14:textId="77777777" w:rsidR="00B56D50" w:rsidRDefault="001C3C42">
            <w:pPr>
              <w:spacing w:after="0" w:line="259" w:lineRule="auto"/>
              <w:ind w:left="0" w:right="0" w:firstLine="0"/>
            </w:pPr>
            <w:r>
              <w:rPr>
                <w:sz w:val="18"/>
              </w:rPr>
              <w:t xml:space="preserve">Radium-228 </w:t>
            </w:r>
          </w:p>
        </w:tc>
        <w:tc>
          <w:tcPr>
            <w:tcW w:w="1710" w:type="dxa"/>
            <w:tcBorders>
              <w:top w:val="single" w:sz="4" w:space="0" w:color="000000"/>
              <w:left w:val="single" w:sz="12" w:space="0" w:color="000000"/>
              <w:bottom w:val="single" w:sz="4" w:space="0" w:color="000000"/>
              <w:right w:val="single" w:sz="12" w:space="0" w:color="000000"/>
            </w:tcBorders>
            <w:vAlign w:val="center"/>
          </w:tcPr>
          <w:p w14:paraId="18290013" w14:textId="646CF796" w:rsidR="00B56D50" w:rsidRDefault="001C3C42" w:rsidP="001A7489">
            <w:pPr>
              <w:spacing w:after="0" w:line="259" w:lineRule="auto"/>
              <w:ind w:left="0" w:right="44" w:firstLine="0"/>
              <w:jc w:val="center"/>
            </w:pPr>
            <w:r>
              <w:rPr>
                <w:sz w:val="18"/>
              </w:rPr>
              <w:t>15262-20-1</w:t>
            </w:r>
          </w:p>
        </w:tc>
        <w:tc>
          <w:tcPr>
            <w:tcW w:w="720" w:type="dxa"/>
            <w:tcBorders>
              <w:top w:val="single" w:sz="4" w:space="0" w:color="000000"/>
              <w:left w:val="single" w:sz="12" w:space="0" w:color="000000"/>
              <w:bottom w:val="single" w:sz="4" w:space="0" w:color="000000"/>
              <w:right w:val="single" w:sz="12" w:space="0" w:color="000000"/>
            </w:tcBorders>
            <w:vAlign w:val="center"/>
          </w:tcPr>
          <w:p w14:paraId="77F4A819" w14:textId="0852F851" w:rsidR="00B56D50" w:rsidRDefault="001C3C42" w:rsidP="001A7489">
            <w:pPr>
              <w:spacing w:after="0" w:line="259" w:lineRule="auto"/>
              <w:ind w:left="0" w:right="46" w:firstLine="0"/>
              <w:jc w:val="center"/>
            </w:pPr>
            <w:r>
              <w:rPr>
                <w:sz w:val="18"/>
              </w:rPr>
              <w:t>1</w:t>
            </w:r>
          </w:p>
        </w:tc>
        <w:tc>
          <w:tcPr>
            <w:tcW w:w="810" w:type="dxa"/>
            <w:tcBorders>
              <w:top w:val="single" w:sz="4" w:space="0" w:color="000000"/>
              <w:left w:val="single" w:sz="12" w:space="0" w:color="000000"/>
              <w:bottom w:val="single" w:sz="4" w:space="0" w:color="000000"/>
              <w:right w:val="single" w:sz="12" w:space="0" w:color="000000"/>
            </w:tcBorders>
            <w:vAlign w:val="center"/>
          </w:tcPr>
          <w:p w14:paraId="7FE1C70E" w14:textId="436312A1" w:rsidR="00B56D50" w:rsidRDefault="001C3C42" w:rsidP="001A7489">
            <w:pPr>
              <w:spacing w:after="0" w:line="259" w:lineRule="auto"/>
              <w:ind w:left="0" w:right="46" w:firstLine="0"/>
              <w:jc w:val="center"/>
            </w:pPr>
            <w:proofErr w:type="spellStart"/>
            <w:r>
              <w:rPr>
                <w:sz w:val="18"/>
              </w:rPr>
              <w:t>pCi</w:t>
            </w:r>
            <w:proofErr w:type="spellEnd"/>
            <w:r>
              <w:rPr>
                <w:sz w:val="18"/>
              </w:rPr>
              <w:t>/L</w:t>
            </w:r>
          </w:p>
        </w:tc>
        <w:tc>
          <w:tcPr>
            <w:tcW w:w="720" w:type="dxa"/>
            <w:tcBorders>
              <w:top w:val="single" w:sz="4" w:space="0" w:color="000000"/>
              <w:left w:val="single" w:sz="12" w:space="0" w:color="000000"/>
              <w:bottom w:val="single" w:sz="4" w:space="0" w:color="000000"/>
              <w:right w:val="single" w:sz="12" w:space="0" w:color="000000"/>
            </w:tcBorders>
            <w:vAlign w:val="center"/>
          </w:tcPr>
          <w:p w14:paraId="139E6D95" w14:textId="4ACE7BDC" w:rsidR="00B56D50" w:rsidRDefault="001C3C42" w:rsidP="001A7489">
            <w:pPr>
              <w:spacing w:after="0" w:line="259" w:lineRule="auto"/>
              <w:ind w:left="0" w:right="49" w:firstLine="0"/>
              <w:jc w:val="center"/>
            </w:pPr>
            <w:r>
              <w:rPr>
                <w:sz w:val="18"/>
              </w:rPr>
              <w:t>N/A</w:t>
            </w:r>
          </w:p>
        </w:tc>
        <w:tc>
          <w:tcPr>
            <w:tcW w:w="720" w:type="dxa"/>
            <w:tcBorders>
              <w:top w:val="single" w:sz="4" w:space="0" w:color="000000"/>
              <w:left w:val="single" w:sz="12" w:space="0" w:color="000000"/>
              <w:bottom w:val="single" w:sz="4" w:space="0" w:color="000000"/>
              <w:right w:val="single" w:sz="12" w:space="0" w:color="000000"/>
            </w:tcBorders>
            <w:vAlign w:val="center"/>
          </w:tcPr>
          <w:p w14:paraId="3FDEAC98" w14:textId="6E728ACC" w:rsidR="00B56D50" w:rsidRDefault="001C3C42" w:rsidP="001A7489">
            <w:pPr>
              <w:spacing w:after="0" w:line="259" w:lineRule="auto"/>
              <w:ind w:left="0" w:right="50" w:firstLine="0"/>
              <w:jc w:val="center"/>
            </w:pPr>
            <w:r>
              <w:rPr>
                <w:sz w:val="18"/>
              </w:rPr>
              <w:t>N/A</w:t>
            </w:r>
          </w:p>
        </w:tc>
        <w:tc>
          <w:tcPr>
            <w:tcW w:w="810" w:type="dxa"/>
            <w:tcBorders>
              <w:top w:val="single" w:sz="4" w:space="0" w:color="000000"/>
              <w:left w:val="single" w:sz="12" w:space="0" w:color="000000"/>
              <w:bottom w:val="single" w:sz="4" w:space="0" w:color="000000"/>
              <w:right w:val="single" w:sz="12" w:space="0" w:color="000000"/>
            </w:tcBorders>
            <w:vAlign w:val="center"/>
          </w:tcPr>
          <w:p w14:paraId="5C901749" w14:textId="3B43B92F" w:rsidR="00B56D50" w:rsidRDefault="001C3C42" w:rsidP="001A7489">
            <w:pPr>
              <w:spacing w:after="0" w:line="259" w:lineRule="auto"/>
              <w:ind w:left="0" w:right="49" w:firstLine="0"/>
              <w:jc w:val="center"/>
            </w:pPr>
            <w:r>
              <w:rPr>
                <w:sz w:val="18"/>
              </w:rPr>
              <w:t>9320</w:t>
            </w:r>
          </w:p>
        </w:tc>
        <w:tc>
          <w:tcPr>
            <w:tcW w:w="810" w:type="dxa"/>
            <w:tcBorders>
              <w:top w:val="single" w:sz="4" w:space="0" w:color="000000"/>
              <w:left w:val="single" w:sz="12" w:space="0" w:color="000000"/>
              <w:bottom w:val="single" w:sz="4" w:space="0" w:color="000000"/>
              <w:right w:val="single" w:sz="12" w:space="0" w:color="000000"/>
            </w:tcBorders>
            <w:vAlign w:val="center"/>
          </w:tcPr>
          <w:p w14:paraId="1EDA4415" w14:textId="737FF4BC" w:rsidR="00B56D50" w:rsidRDefault="001C3C42" w:rsidP="001A7489">
            <w:pPr>
              <w:spacing w:after="0" w:line="259" w:lineRule="auto"/>
              <w:ind w:left="0" w:right="44" w:firstLine="0"/>
              <w:jc w:val="center"/>
            </w:pPr>
            <w:r>
              <w:rPr>
                <w:sz w:val="18"/>
              </w:rPr>
              <w:t>904.0</w:t>
            </w:r>
            <w:r w:rsidR="00DE0120">
              <w:rPr>
                <w:sz w:val="18"/>
              </w:rPr>
              <w:t xml:space="preserve"> </w:t>
            </w:r>
            <w:r w:rsidR="00587DE6" w:rsidRPr="00A235E7">
              <w:rPr>
                <w:b/>
                <w:bCs/>
                <w:sz w:val="18"/>
                <w:vertAlign w:val="superscript"/>
              </w:rPr>
              <w:t>31</w:t>
            </w:r>
          </w:p>
        </w:tc>
        <w:tc>
          <w:tcPr>
            <w:tcW w:w="720" w:type="dxa"/>
            <w:tcBorders>
              <w:top w:val="single" w:sz="4" w:space="0" w:color="000000"/>
              <w:left w:val="single" w:sz="12" w:space="0" w:color="000000"/>
              <w:bottom w:val="single" w:sz="4" w:space="0" w:color="000000"/>
              <w:right w:val="single" w:sz="12" w:space="0" w:color="000000"/>
            </w:tcBorders>
            <w:vAlign w:val="center"/>
          </w:tcPr>
          <w:p w14:paraId="36729712" w14:textId="71AD1294" w:rsidR="00B56D50" w:rsidRDefault="00B56D50" w:rsidP="001A7489">
            <w:pPr>
              <w:spacing w:after="0" w:line="259" w:lineRule="auto"/>
              <w:ind w:left="0" w:right="5" w:firstLine="0"/>
              <w:jc w:val="center"/>
            </w:pPr>
          </w:p>
        </w:tc>
      </w:tr>
      <w:tr w:rsidR="003073DA" w14:paraId="53930873" w14:textId="77777777" w:rsidTr="005B6604">
        <w:trPr>
          <w:trHeight w:val="250"/>
        </w:trPr>
        <w:tc>
          <w:tcPr>
            <w:tcW w:w="3600" w:type="dxa"/>
            <w:tcBorders>
              <w:top w:val="single" w:sz="4" w:space="0" w:color="000000"/>
              <w:left w:val="single" w:sz="12" w:space="0" w:color="000000"/>
              <w:bottom w:val="single" w:sz="4" w:space="0" w:color="000000"/>
              <w:right w:val="single" w:sz="12" w:space="0" w:color="000000"/>
            </w:tcBorders>
          </w:tcPr>
          <w:p w14:paraId="40AC4988" w14:textId="77777777" w:rsidR="00B56D50" w:rsidRDefault="001C3C42">
            <w:pPr>
              <w:spacing w:after="0" w:line="259" w:lineRule="auto"/>
              <w:ind w:left="0" w:right="0" w:firstLine="0"/>
            </w:pPr>
            <w:r>
              <w:rPr>
                <w:sz w:val="18"/>
              </w:rPr>
              <w:t xml:space="preserve">Cesium-134 </w:t>
            </w:r>
          </w:p>
        </w:tc>
        <w:tc>
          <w:tcPr>
            <w:tcW w:w="1710" w:type="dxa"/>
            <w:tcBorders>
              <w:top w:val="single" w:sz="4" w:space="0" w:color="000000"/>
              <w:left w:val="single" w:sz="12" w:space="0" w:color="000000"/>
              <w:bottom w:val="single" w:sz="4" w:space="0" w:color="000000"/>
              <w:right w:val="single" w:sz="12" w:space="0" w:color="000000"/>
            </w:tcBorders>
            <w:vAlign w:val="center"/>
          </w:tcPr>
          <w:p w14:paraId="2C8DC019" w14:textId="17AE9E58" w:rsidR="00B56D50" w:rsidRDefault="001C3C42" w:rsidP="001A7489">
            <w:pPr>
              <w:spacing w:after="0" w:line="259" w:lineRule="auto"/>
              <w:ind w:left="0" w:right="44" w:firstLine="0"/>
              <w:jc w:val="center"/>
            </w:pPr>
            <w:r>
              <w:rPr>
                <w:sz w:val="18"/>
              </w:rPr>
              <w:t>13967-70-9</w:t>
            </w:r>
          </w:p>
        </w:tc>
        <w:tc>
          <w:tcPr>
            <w:tcW w:w="720" w:type="dxa"/>
            <w:tcBorders>
              <w:top w:val="single" w:sz="4" w:space="0" w:color="000000"/>
              <w:left w:val="single" w:sz="12" w:space="0" w:color="000000"/>
              <w:bottom w:val="single" w:sz="4" w:space="0" w:color="000000"/>
              <w:right w:val="single" w:sz="12" w:space="0" w:color="000000"/>
            </w:tcBorders>
            <w:vAlign w:val="center"/>
          </w:tcPr>
          <w:p w14:paraId="550F42D1" w14:textId="3605E90C" w:rsidR="00B56D50" w:rsidRDefault="001C3C42" w:rsidP="001A7489">
            <w:pPr>
              <w:spacing w:after="0" w:line="259" w:lineRule="auto"/>
              <w:ind w:left="0" w:right="46" w:firstLine="0"/>
              <w:jc w:val="center"/>
            </w:pPr>
            <w:r>
              <w:rPr>
                <w:sz w:val="18"/>
              </w:rPr>
              <w:t>10</w:t>
            </w:r>
          </w:p>
        </w:tc>
        <w:tc>
          <w:tcPr>
            <w:tcW w:w="810" w:type="dxa"/>
            <w:tcBorders>
              <w:top w:val="single" w:sz="4" w:space="0" w:color="000000"/>
              <w:left w:val="single" w:sz="12" w:space="0" w:color="000000"/>
              <w:bottom w:val="single" w:sz="4" w:space="0" w:color="000000"/>
              <w:right w:val="single" w:sz="12" w:space="0" w:color="000000"/>
            </w:tcBorders>
            <w:vAlign w:val="center"/>
          </w:tcPr>
          <w:p w14:paraId="45832D8F" w14:textId="20FD6312" w:rsidR="00B56D50" w:rsidRDefault="001C3C42" w:rsidP="001A7489">
            <w:pPr>
              <w:spacing w:after="0" w:line="259" w:lineRule="auto"/>
              <w:ind w:left="0" w:right="46" w:firstLine="0"/>
              <w:jc w:val="center"/>
            </w:pPr>
            <w:proofErr w:type="spellStart"/>
            <w:r>
              <w:rPr>
                <w:sz w:val="18"/>
              </w:rPr>
              <w:t>pCi</w:t>
            </w:r>
            <w:proofErr w:type="spellEnd"/>
            <w:r>
              <w:rPr>
                <w:sz w:val="18"/>
              </w:rPr>
              <w:t>/L</w:t>
            </w:r>
          </w:p>
        </w:tc>
        <w:tc>
          <w:tcPr>
            <w:tcW w:w="720" w:type="dxa"/>
            <w:tcBorders>
              <w:top w:val="single" w:sz="4" w:space="0" w:color="000000"/>
              <w:left w:val="single" w:sz="12" w:space="0" w:color="000000"/>
              <w:bottom w:val="single" w:sz="4" w:space="0" w:color="000000"/>
              <w:right w:val="single" w:sz="12" w:space="0" w:color="000000"/>
            </w:tcBorders>
            <w:vAlign w:val="center"/>
          </w:tcPr>
          <w:p w14:paraId="5477946D" w14:textId="33CE7FDC" w:rsidR="00B56D50" w:rsidRDefault="001C3C42" w:rsidP="001A7489">
            <w:pPr>
              <w:spacing w:after="0" w:line="259" w:lineRule="auto"/>
              <w:ind w:left="0" w:right="49" w:firstLine="0"/>
              <w:jc w:val="center"/>
            </w:pPr>
            <w:r>
              <w:rPr>
                <w:sz w:val="18"/>
              </w:rPr>
              <w:t>N/A</w:t>
            </w:r>
          </w:p>
        </w:tc>
        <w:tc>
          <w:tcPr>
            <w:tcW w:w="720" w:type="dxa"/>
            <w:tcBorders>
              <w:top w:val="single" w:sz="4" w:space="0" w:color="000000"/>
              <w:left w:val="single" w:sz="12" w:space="0" w:color="000000"/>
              <w:bottom w:val="single" w:sz="4" w:space="0" w:color="000000"/>
              <w:right w:val="single" w:sz="12" w:space="0" w:color="000000"/>
            </w:tcBorders>
            <w:vAlign w:val="center"/>
          </w:tcPr>
          <w:p w14:paraId="0A85EC66" w14:textId="140BD7FE" w:rsidR="00B56D50" w:rsidRDefault="001C3C42" w:rsidP="001A7489">
            <w:pPr>
              <w:spacing w:after="0" w:line="259" w:lineRule="auto"/>
              <w:ind w:left="0" w:right="50" w:firstLine="0"/>
              <w:jc w:val="center"/>
            </w:pPr>
            <w:r>
              <w:rPr>
                <w:sz w:val="18"/>
              </w:rPr>
              <w:t>N/A</w:t>
            </w:r>
          </w:p>
        </w:tc>
        <w:tc>
          <w:tcPr>
            <w:tcW w:w="810" w:type="dxa"/>
            <w:tcBorders>
              <w:top w:val="single" w:sz="4" w:space="0" w:color="000000"/>
              <w:left w:val="single" w:sz="12" w:space="0" w:color="000000"/>
              <w:bottom w:val="single" w:sz="4" w:space="0" w:color="000000"/>
              <w:right w:val="single" w:sz="12" w:space="0" w:color="000000"/>
            </w:tcBorders>
            <w:vAlign w:val="center"/>
          </w:tcPr>
          <w:p w14:paraId="4ECAAD84" w14:textId="44C2D468" w:rsidR="00B56D50" w:rsidRDefault="001C3C42" w:rsidP="001A7489">
            <w:pPr>
              <w:spacing w:after="0" w:line="259" w:lineRule="auto"/>
              <w:ind w:left="0" w:right="47" w:firstLine="0"/>
              <w:jc w:val="center"/>
            </w:pPr>
            <w:r>
              <w:rPr>
                <w:sz w:val="18"/>
              </w:rPr>
              <w:t>901.0</w:t>
            </w:r>
            <w:r w:rsidR="00DE0120">
              <w:rPr>
                <w:sz w:val="18"/>
              </w:rPr>
              <w:t xml:space="preserve"> </w:t>
            </w:r>
            <w:r w:rsidR="00587DE6" w:rsidRPr="00A235E7">
              <w:rPr>
                <w:b/>
                <w:bCs/>
                <w:sz w:val="18"/>
                <w:vertAlign w:val="superscript"/>
              </w:rPr>
              <w:t>31</w:t>
            </w:r>
          </w:p>
        </w:tc>
        <w:tc>
          <w:tcPr>
            <w:tcW w:w="810" w:type="dxa"/>
            <w:tcBorders>
              <w:top w:val="single" w:sz="4" w:space="0" w:color="000000"/>
              <w:left w:val="single" w:sz="12" w:space="0" w:color="000000"/>
              <w:bottom w:val="single" w:sz="4" w:space="0" w:color="000000"/>
              <w:right w:val="single" w:sz="12" w:space="0" w:color="000000"/>
            </w:tcBorders>
            <w:vAlign w:val="center"/>
          </w:tcPr>
          <w:p w14:paraId="506F7E17" w14:textId="69C9DAF6" w:rsidR="00B56D50" w:rsidRDefault="00B56D50" w:rsidP="001A7489">
            <w:pPr>
              <w:spacing w:after="0" w:line="259" w:lineRule="auto"/>
              <w:ind w:left="0" w:right="2" w:firstLine="0"/>
              <w:jc w:val="center"/>
            </w:pPr>
          </w:p>
        </w:tc>
        <w:tc>
          <w:tcPr>
            <w:tcW w:w="720" w:type="dxa"/>
            <w:tcBorders>
              <w:top w:val="single" w:sz="4" w:space="0" w:color="000000"/>
              <w:left w:val="single" w:sz="12" w:space="0" w:color="000000"/>
              <w:bottom w:val="single" w:sz="4" w:space="0" w:color="000000"/>
              <w:right w:val="single" w:sz="12" w:space="0" w:color="000000"/>
            </w:tcBorders>
            <w:vAlign w:val="center"/>
          </w:tcPr>
          <w:p w14:paraId="604509BA" w14:textId="7FE20D8B" w:rsidR="00B56D50" w:rsidRDefault="00B56D50" w:rsidP="001A7489">
            <w:pPr>
              <w:spacing w:after="0" w:line="259" w:lineRule="auto"/>
              <w:ind w:left="0" w:right="5" w:firstLine="0"/>
              <w:jc w:val="center"/>
            </w:pPr>
          </w:p>
        </w:tc>
      </w:tr>
      <w:tr w:rsidR="003073DA" w14:paraId="4DA3E5BA" w14:textId="77777777" w:rsidTr="005B6604">
        <w:trPr>
          <w:trHeight w:val="250"/>
        </w:trPr>
        <w:tc>
          <w:tcPr>
            <w:tcW w:w="3600" w:type="dxa"/>
            <w:tcBorders>
              <w:top w:val="single" w:sz="4" w:space="0" w:color="000000"/>
              <w:left w:val="single" w:sz="12" w:space="0" w:color="000000"/>
              <w:bottom w:val="single" w:sz="4" w:space="0" w:color="000000"/>
              <w:right w:val="single" w:sz="12" w:space="0" w:color="000000"/>
            </w:tcBorders>
          </w:tcPr>
          <w:p w14:paraId="4AB8027D" w14:textId="77777777" w:rsidR="00B56D50" w:rsidRDefault="001C3C42">
            <w:pPr>
              <w:spacing w:after="0" w:line="259" w:lineRule="auto"/>
              <w:ind w:left="0" w:right="0" w:firstLine="0"/>
            </w:pPr>
            <w:r>
              <w:rPr>
                <w:sz w:val="18"/>
              </w:rPr>
              <w:t xml:space="preserve">Cesium-137 </w:t>
            </w:r>
          </w:p>
        </w:tc>
        <w:tc>
          <w:tcPr>
            <w:tcW w:w="1710" w:type="dxa"/>
            <w:tcBorders>
              <w:top w:val="single" w:sz="4" w:space="0" w:color="000000"/>
              <w:left w:val="single" w:sz="12" w:space="0" w:color="000000"/>
              <w:bottom w:val="single" w:sz="4" w:space="0" w:color="000000"/>
              <w:right w:val="single" w:sz="12" w:space="0" w:color="000000"/>
            </w:tcBorders>
            <w:vAlign w:val="center"/>
          </w:tcPr>
          <w:p w14:paraId="10443FAB" w14:textId="1E2E8935" w:rsidR="00B56D50" w:rsidRDefault="001C3C42" w:rsidP="001A7489">
            <w:pPr>
              <w:spacing w:after="0" w:line="259" w:lineRule="auto"/>
              <w:ind w:left="0" w:right="44" w:firstLine="0"/>
              <w:jc w:val="center"/>
            </w:pPr>
            <w:r>
              <w:rPr>
                <w:sz w:val="18"/>
              </w:rPr>
              <w:t>10045-97-3</w:t>
            </w:r>
          </w:p>
        </w:tc>
        <w:tc>
          <w:tcPr>
            <w:tcW w:w="720" w:type="dxa"/>
            <w:tcBorders>
              <w:top w:val="single" w:sz="4" w:space="0" w:color="000000"/>
              <w:left w:val="single" w:sz="12" w:space="0" w:color="000000"/>
              <w:bottom w:val="single" w:sz="4" w:space="0" w:color="000000"/>
              <w:right w:val="single" w:sz="12" w:space="0" w:color="000000"/>
            </w:tcBorders>
            <w:vAlign w:val="center"/>
          </w:tcPr>
          <w:p w14:paraId="254B36D3" w14:textId="1B383CFB" w:rsidR="00B56D50" w:rsidRDefault="001C3C42" w:rsidP="001A7489">
            <w:pPr>
              <w:spacing w:after="0" w:line="259" w:lineRule="auto"/>
              <w:ind w:left="0" w:right="46" w:firstLine="0"/>
              <w:jc w:val="center"/>
            </w:pPr>
            <w:r>
              <w:rPr>
                <w:sz w:val="18"/>
              </w:rPr>
              <w:t>10</w:t>
            </w:r>
          </w:p>
        </w:tc>
        <w:tc>
          <w:tcPr>
            <w:tcW w:w="810" w:type="dxa"/>
            <w:tcBorders>
              <w:top w:val="single" w:sz="4" w:space="0" w:color="000000"/>
              <w:left w:val="single" w:sz="12" w:space="0" w:color="000000"/>
              <w:bottom w:val="single" w:sz="4" w:space="0" w:color="000000"/>
              <w:right w:val="single" w:sz="12" w:space="0" w:color="000000"/>
            </w:tcBorders>
            <w:vAlign w:val="center"/>
          </w:tcPr>
          <w:p w14:paraId="5182FCDD" w14:textId="7A526588" w:rsidR="00B56D50" w:rsidRDefault="001C3C42" w:rsidP="001A7489">
            <w:pPr>
              <w:spacing w:after="0" w:line="259" w:lineRule="auto"/>
              <w:ind w:left="0" w:right="46" w:firstLine="0"/>
              <w:jc w:val="center"/>
            </w:pPr>
            <w:proofErr w:type="spellStart"/>
            <w:r>
              <w:rPr>
                <w:sz w:val="18"/>
              </w:rPr>
              <w:t>pCi</w:t>
            </w:r>
            <w:proofErr w:type="spellEnd"/>
            <w:r>
              <w:rPr>
                <w:sz w:val="18"/>
              </w:rPr>
              <w:t>/L</w:t>
            </w:r>
          </w:p>
        </w:tc>
        <w:tc>
          <w:tcPr>
            <w:tcW w:w="720" w:type="dxa"/>
            <w:tcBorders>
              <w:top w:val="single" w:sz="4" w:space="0" w:color="000000"/>
              <w:left w:val="single" w:sz="12" w:space="0" w:color="000000"/>
              <w:bottom w:val="single" w:sz="4" w:space="0" w:color="000000"/>
              <w:right w:val="single" w:sz="12" w:space="0" w:color="000000"/>
            </w:tcBorders>
            <w:vAlign w:val="center"/>
          </w:tcPr>
          <w:p w14:paraId="292B9DAD" w14:textId="460E03D9" w:rsidR="00B56D50" w:rsidRDefault="001C3C42" w:rsidP="001A7489">
            <w:pPr>
              <w:spacing w:after="0" w:line="259" w:lineRule="auto"/>
              <w:ind w:left="0" w:right="49" w:firstLine="0"/>
              <w:jc w:val="center"/>
            </w:pPr>
            <w:r>
              <w:rPr>
                <w:sz w:val="18"/>
              </w:rPr>
              <w:t>N/A</w:t>
            </w:r>
          </w:p>
        </w:tc>
        <w:tc>
          <w:tcPr>
            <w:tcW w:w="720" w:type="dxa"/>
            <w:tcBorders>
              <w:top w:val="single" w:sz="4" w:space="0" w:color="000000"/>
              <w:left w:val="single" w:sz="12" w:space="0" w:color="000000"/>
              <w:bottom w:val="single" w:sz="4" w:space="0" w:color="000000"/>
              <w:right w:val="single" w:sz="12" w:space="0" w:color="000000"/>
            </w:tcBorders>
            <w:vAlign w:val="center"/>
          </w:tcPr>
          <w:p w14:paraId="094CC533" w14:textId="22B675F9" w:rsidR="00B56D50" w:rsidRDefault="001C3C42" w:rsidP="001A7489">
            <w:pPr>
              <w:spacing w:after="0" w:line="259" w:lineRule="auto"/>
              <w:ind w:left="0" w:right="50" w:firstLine="0"/>
              <w:jc w:val="center"/>
            </w:pPr>
            <w:r>
              <w:rPr>
                <w:sz w:val="18"/>
              </w:rPr>
              <w:t>N/A</w:t>
            </w:r>
          </w:p>
        </w:tc>
        <w:tc>
          <w:tcPr>
            <w:tcW w:w="810" w:type="dxa"/>
            <w:tcBorders>
              <w:top w:val="single" w:sz="4" w:space="0" w:color="000000"/>
              <w:left w:val="single" w:sz="12" w:space="0" w:color="000000"/>
              <w:bottom w:val="single" w:sz="4" w:space="0" w:color="000000"/>
              <w:right w:val="single" w:sz="12" w:space="0" w:color="000000"/>
            </w:tcBorders>
            <w:vAlign w:val="center"/>
          </w:tcPr>
          <w:p w14:paraId="6135F6B7" w14:textId="2FA19E87" w:rsidR="00B56D50" w:rsidRDefault="001C3C42" w:rsidP="001A7489">
            <w:pPr>
              <w:spacing w:after="0" w:line="259" w:lineRule="auto"/>
              <w:ind w:left="0" w:right="47" w:firstLine="0"/>
              <w:jc w:val="center"/>
            </w:pPr>
            <w:r>
              <w:rPr>
                <w:sz w:val="18"/>
              </w:rPr>
              <w:t>901.0</w:t>
            </w:r>
            <w:r w:rsidR="00DE0120">
              <w:rPr>
                <w:sz w:val="18"/>
              </w:rPr>
              <w:t xml:space="preserve"> </w:t>
            </w:r>
            <w:r w:rsidR="00587DE6" w:rsidRPr="00A235E7">
              <w:rPr>
                <w:b/>
                <w:bCs/>
                <w:sz w:val="18"/>
                <w:vertAlign w:val="superscript"/>
              </w:rPr>
              <w:t>31</w:t>
            </w:r>
          </w:p>
        </w:tc>
        <w:tc>
          <w:tcPr>
            <w:tcW w:w="810" w:type="dxa"/>
            <w:tcBorders>
              <w:top w:val="single" w:sz="4" w:space="0" w:color="000000"/>
              <w:left w:val="single" w:sz="12" w:space="0" w:color="000000"/>
              <w:bottom w:val="single" w:sz="4" w:space="0" w:color="000000"/>
              <w:right w:val="single" w:sz="12" w:space="0" w:color="000000"/>
            </w:tcBorders>
            <w:vAlign w:val="center"/>
          </w:tcPr>
          <w:p w14:paraId="6E46A55E" w14:textId="2C64947C" w:rsidR="00B56D50" w:rsidRDefault="00B56D50" w:rsidP="001A7489">
            <w:pPr>
              <w:spacing w:after="0" w:line="259" w:lineRule="auto"/>
              <w:ind w:left="0" w:right="2" w:firstLine="0"/>
              <w:jc w:val="center"/>
            </w:pPr>
          </w:p>
        </w:tc>
        <w:tc>
          <w:tcPr>
            <w:tcW w:w="720" w:type="dxa"/>
            <w:tcBorders>
              <w:top w:val="single" w:sz="4" w:space="0" w:color="000000"/>
              <w:left w:val="single" w:sz="12" w:space="0" w:color="000000"/>
              <w:bottom w:val="single" w:sz="4" w:space="0" w:color="000000"/>
              <w:right w:val="single" w:sz="12" w:space="0" w:color="000000"/>
            </w:tcBorders>
            <w:vAlign w:val="center"/>
          </w:tcPr>
          <w:p w14:paraId="2742EDA7" w14:textId="29A128C6" w:rsidR="00B56D50" w:rsidRDefault="00B56D50" w:rsidP="001A7489">
            <w:pPr>
              <w:spacing w:after="0" w:line="259" w:lineRule="auto"/>
              <w:ind w:left="0" w:right="5" w:firstLine="0"/>
              <w:jc w:val="center"/>
            </w:pPr>
          </w:p>
        </w:tc>
      </w:tr>
      <w:tr w:rsidR="003073DA" w14:paraId="00FA1D7C" w14:textId="77777777" w:rsidTr="005B6604">
        <w:trPr>
          <w:trHeight w:val="252"/>
        </w:trPr>
        <w:tc>
          <w:tcPr>
            <w:tcW w:w="3600" w:type="dxa"/>
            <w:tcBorders>
              <w:top w:val="single" w:sz="4" w:space="0" w:color="000000"/>
              <w:left w:val="single" w:sz="12" w:space="0" w:color="000000"/>
              <w:bottom w:val="single" w:sz="4" w:space="0" w:color="000000"/>
              <w:right w:val="single" w:sz="12" w:space="0" w:color="000000"/>
            </w:tcBorders>
          </w:tcPr>
          <w:p w14:paraId="23B0E40B" w14:textId="77777777" w:rsidR="00B56D50" w:rsidRDefault="001C3C42">
            <w:pPr>
              <w:spacing w:after="0" w:line="259" w:lineRule="auto"/>
              <w:ind w:left="0" w:right="0" w:firstLine="0"/>
            </w:pPr>
            <w:r>
              <w:rPr>
                <w:sz w:val="18"/>
              </w:rPr>
              <w:t xml:space="preserve">Iodine-131 </w:t>
            </w:r>
          </w:p>
        </w:tc>
        <w:tc>
          <w:tcPr>
            <w:tcW w:w="1710" w:type="dxa"/>
            <w:tcBorders>
              <w:top w:val="single" w:sz="4" w:space="0" w:color="000000"/>
              <w:left w:val="single" w:sz="12" w:space="0" w:color="000000"/>
              <w:bottom w:val="single" w:sz="4" w:space="0" w:color="000000"/>
              <w:right w:val="single" w:sz="12" w:space="0" w:color="000000"/>
            </w:tcBorders>
            <w:vAlign w:val="center"/>
          </w:tcPr>
          <w:p w14:paraId="54293ACF" w14:textId="26A5F199" w:rsidR="00B56D50" w:rsidRDefault="001C3C42" w:rsidP="001A7489">
            <w:pPr>
              <w:spacing w:after="0" w:line="259" w:lineRule="auto"/>
              <w:ind w:left="0" w:right="44" w:firstLine="0"/>
              <w:jc w:val="center"/>
            </w:pPr>
            <w:r>
              <w:rPr>
                <w:sz w:val="18"/>
              </w:rPr>
              <w:t>10043-66-0</w:t>
            </w:r>
          </w:p>
        </w:tc>
        <w:tc>
          <w:tcPr>
            <w:tcW w:w="720" w:type="dxa"/>
            <w:tcBorders>
              <w:top w:val="single" w:sz="4" w:space="0" w:color="000000"/>
              <w:left w:val="single" w:sz="12" w:space="0" w:color="000000"/>
              <w:bottom w:val="single" w:sz="4" w:space="0" w:color="000000"/>
              <w:right w:val="single" w:sz="12" w:space="0" w:color="000000"/>
            </w:tcBorders>
            <w:vAlign w:val="center"/>
          </w:tcPr>
          <w:p w14:paraId="4CC1F59C" w14:textId="24B03F17" w:rsidR="00B56D50" w:rsidRDefault="001C3C42" w:rsidP="001A7489">
            <w:pPr>
              <w:spacing w:after="0" w:line="259" w:lineRule="auto"/>
              <w:ind w:left="0" w:right="46" w:firstLine="0"/>
              <w:jc w:val="center"/>
            </w:pPr>
            <w:r>
              <w:rPr>
                <w:sz w:val="18"/>
              </w:rPr>
              <w:t>1</w:t>
            </w:r>
          </w:p>
        </w:tc>
        <w:tc>
          <w:tcPr>
            <w:tcW w:w="810" w:type="dxa"/>
            <w:tcBorders>
              <w:top w:val="single" w:sz="4" w:space="0" w:color="000000"/>
              <w:left w:val="single" w:sz="12" w:space="0" w:color="000000"/>
              <w:bottom w:val="single" w:sz="4" w:space="0" w:color="000000"/>
              <w:right w:val="single" w:sz="12" w:space="0" w:color="000000"/>
            </w:tcBorders>
            <w:vAlign w:val="center"/>
          </w:tcPr>
          <w:p w14:paraId="47F8366A" w14:textId="473240DD" w:rsidR="00B56D50" w:rsidRDefault="001C3C42" w:rsidP="001A7489">
            <w:pPr>
              <w:spacing w:after="0" w:line="259" w:lineRule="auto"/>
              <w:ind w:left="0" w:right="46" w:firstLine="0"/>
              <w:jc w:val="center"/>
            </w:pPr>
            <w:proofErr w:type="spellStart"/>
            <w:r>
              <w:rPr>
                <w:sz w:val="18"/>
              </w:rPr>
              <w:t>pCi</w:t>
            </w:r>
            <w:proofErr w:type="spellEnd"/>
            <w:r>
              <w:rPr>
                <w:sz w:val="18"/>
              </w:rPr>
              <w:t>/L</w:t>
            </w:r>
          </w:p>
        </w:tc>
        <w:tc>
          <w:tcPr>
            <w:tcW w:w="720" w:type="dxa"/>
            <w:tcBorders>
              <w:top w:val="single" w:sz="4" w:space="0" w:color="000000"/>
              <w:left w:val="single" w:sz="12" w:space="0" w:color="000000"/>
              <w:bottom w:val="single" w:sz="4" w:space="0" w:color="000000"/>
              <w:right w:val="single" w:sz="12" w:space="0" w:color="000000"/>
            </w:tcBorders>
            <w:vAlign w:val="center"/>
          </w:tcPr>
          <w:p w14:paraId="184C6B0F" w14:textId="6DEF46A8" w:rsidR="00B56D50" w:rsidRDefault="001C3C42" w:rsidP="001A7489">
            <w:pPr>
              <w:spacing w:after="0" w:line="259" w:lineRule="auto"/>
              <w:ind w:left="0" w:right="49" w:firstLine="0"/>
              <w:jc w:val="center"/>
            </w:pPr>
            <w:r>
              <w:rPr>
                <w:sz w:val="18"/>
              </w:rPr>
              <w:t>N/A</w:t>
            </w:r>
          </w:p>
        </w:tc>
        <w:tc>
          <w:tcPr>
            <w:tcW w:w="720" w:type="dxa"/>
            <w:tcBorders>
              <w:top w:val="single" w:sz="4" w:space="0" w:color="000000"/>
              <w:left w:val="single" w:sz="12" w:space="0" w:color="000000"/>
              <w:bottom w:val="single" w:sz="4" w:space="0" w:color="000000"/>
              <w:right w:val="single" w:sz="12" w:space="0" w:color="000000"/>
            </w:tcBorders>
            <w:vAlign w:val="center"/>
          </w:tcPr>
          <w:p w14:paraId="46B3DD2A" w14:textId="0F769C36" w:rsidR="00B56D50" w:rsidRDefault="001C3C42" w:rsidP="001A7489">
            <w:pPr>
              <w:spacing w:after="0" w:line="259" w:lineRule="auto"/>
              <w:ind w:left="0" w:right="50" w:firstLine="0"/>
              <w:jc w:val="center"/>
            </w:pPr>
            <w:r>
              <w:rPr>
                <w:sz w:val="18"/>
              </w:rPr>
              <w:t>N/A</w:t>
            </w:r>
          </w:p>
        </w:tc>
        <w:tc>
          <w:tcPr>
            <w:tcW w:w="810" w:type="dxa"/>
            <w:tcBorders>
              <w:top w:val="single" w:sz="4" w:space="0" w:color="000000"/>
              <w:left w:val="single" w:sz="12" w:space="0" w:color="000000"/>
              <w:bottom w:val="single" w:sz="4" w:space="0" w:color="000000"/>
              <w:right w:val="single" w:sz="12" w:space="0" w:color="000000"/>
            </w:tcBorders>
            <w:vAlign w:val="center"/>
          </w:tcPr>
          <w:p w14:paraId="7D386F5E" w14:textId="607869ED" w:rsidR="00B56D50" w:rsidRDefault="001C3C42" w:rsidP="001A7489">
            <w:pPr>
              <w:spacing w:after="0" w:line="259" w:lineRule="auto"/>
              <w:ind w:left="0" w:right="47" w:firstLine="0"/>
              <w:jc w:val="center"/>
            </w:pPr>
            <w:r>
              <w:rPr>
                <w:sz w:val="18"/>
              </w:rPr>
              <w:t>902.0</w:t>
            </w:r>
            <w:r w:rsidR="00DE0120">
              <w:rPr>
                <w:sz w:val="18"/>
              </w:rPr>
              <w:t xml:space="preserve"> </w:t>
            </w:r>
            <w:r w:rsidR="00587DE6" w:rsidRPr="00A235E7">
              <w:rPr>
                <w:b/>
                <w:bCs/>
                <w:sz w:val="18"/>
                <w:vertAlign w:val="superscript"/>
              </w:rPr>
              <w:t>31</w:t>
            </w:r>
          </w:p>
        </w:tc>
        <w:tc>
          <w:tcPr>
            <w:tcW w:w="810" w:type="dxa"/>
            <w:tcBorders>
              <w:top w:val="single" w:sz="4" w:space="0" w:color="000000"/>
              <w:left w:val="single" w:sz="12" w:space="0" w:color="000000"/>
              <w:bottom w:val="single" w:sz="4" w:space="0" w:color="000000"/>
              <w:right w:val="single" w:sz="12" w:space="0" w:color="000000"/>
            </w:tcBorders>
            <w:vAlign w:val="center"/>
          </w:tcPr>
          <w:p w14:paraId="7915648D" w14:textId="21E71B90" w:rsidR="00B56D50" w:rsidRDefault="00B56D50" w:rsidP="001A7489">
            <w:pPr>
              <w:spacing w:after="0" w:line="259" w:lineRule="auto"/>
              <w:ind w:left="0" w:right="2" w:firstLine="0"/>
              <w:jc w:val="center"/>
            </w:pPr>
          </w:p>
        </w:tc>
        <w:tc>
          <w:tcPr>
            <w:tcW w:w="720" w:type="dxa"/>
            <w:tcBorders>
              <w:top w:val="single" w:sz="4" w:space="0" w:color="000000"/>
              <w:left w:val="single" w:sz="12" w:space="0" w:color="000000"/>
              <w:bottom w:val="single" w:sz="4" w:space="0" w:color="000000"/>
              <w:right w:val="single" w:sz="12" w:space="0" w:color="000000"/>
            </w:tcBorders>
            <w:vAlign w:val="center"/>
          </w:tcPr>
          <w:p w14:paraId="44BF7BB8" w14:textId="3A193669" w:rsidR="00B56D50" w:rsidRDefault="00B56D50" w:rsidP="001A7489">
            <w:pPr>
              <w:spacing w:after="0" w:line="259" w:lineRule="auto"/>
              <w:ind w:left="0" w:right="5" w:firstLine="0"/>
              <w:jc w:val="center"/>
            </w:pPr>
          </w:p>
        </w:tc>
      </w:tr>
      <w:tr w:rsidR="003073DA" w14:paraId="1FD39E84" w14:textId="77777777" w:rsidTr="005B6604">
        <w:trPr>
          <w:trHeight w:val="250"/>
        </w:trPr>
        <w:tc>
          <w:tcPr>
            <w:tcW w:w="3600" w:type="dxa"/>
            <w:tcBorders>
              <w:top w:val="single" w:sz="4" w:space="0" w:color="000000"/>
              <w:left w:val="single" w:sz="12" w:space="0" w:color="000000"/>
              <w:bottom w:val="single" w:sz="4" w:space="0" w:color="000000"/>
              <w:right w:val="single" w:sz="12" w:space="0" w:color="000000"/>
            </w:tcBorders>
          </w:tcPr>
          <w:p w14:paraId="1649D725" w14:textId="77777777" w:rsidR="00B56D50" w:rsidRDefault="001C3C42">
            <w:pPr>
              <w:spacing w:after="0" w:line="259" w:lineRule="auto"/>
              <w:ind w:left="0" w:right="0" w:firstLine="0"/>
            </w:pPr>
            <w:r>
              <w:rPr>
                <w:sz w:val="18"/>
              </w:rPr>
              <w:t xml:space="preserve">Radon-222 </w:t>
            </w:r>
          </w:p>
        </w:tc>
        <w:tc>
          <w:tcPr>
            <w:tcW w:w="1710" w:type="dxa"/>
            <w:tcBorders>
              <w:top w:val="single" w:sz="4" w:space="0" w:color="000000"/>
              <w:left w:val="single" w:sz="12" w:space="0" w:color="000000"/>
              <w:bottom w:val="single" w:sz="4" w:space="0" w:color="000000"/>
              <w:right w:val="single" w:sz="12" w:space="0" w:color="000000"/>
            </w:tcBorders>
            <w:vAlign w:val="center"/>
          </w:tcPr>
          <w:p w14:paraId="29CF69A8" w14:textId="74491E7A" w:rsidR="00B56D50" w:rsidRDefault="001C3C42" w:rsidP="001A7489">
            <w:pPr>
              <w:spacing w:after="0" w:line="259" w:lineRule="auto"/>
              <w:ind w:left="0" w:right="44" w:firstLine="0"/>
              <w:jc w:val="center"/>
            </w:pPr>
            <w:r>
              <w:rPr>
                <w:sz w:val="18"/>
              </w:rPr>
              <w:t>14859-67-7</w:t>
            </w:r>
          </w:p>
        </w:tc>
        <w:tc>
          <w:tcPr>
            <w:tcW w:w="720" w:type="dxa"/>
            <w:tcBorders>
              <w:top w:val="single" w:sz="4" w:space="0" w:color="000000"/>
              <w:left w:val="single" w:sz="12" w:space="0" w:color="000000"/>
              <w:bottom w:val="single" w:sz="4" w:space="0" w:color="000000"/>
              <w:right w:val="single" w:sz="12" w:space="0" w:color="000000"/>
            </w:tcBorders>
            <w:vAlign w:val="center"/>
          </w:tcPr>
          <w:p w14:paraId="15150E64" w14:textId="77D27123" w:rsidR="00B56D50" w:rsidRDefault="001C3C42" w:rsidP="001A7489">
            <w:pPr>
              <w:spacing w:after="0" w:line="259" w:lineRule="auto"/>
              <w:ind w:left="0" w:right="46" w:firstLine="0"/>
              <w:jc w:val="center"/>
            </w:pPr>
            <w:r>
              <w:rPr>
                <w:sz w:val="18"/>
              </w:rPr>
              <w:t>60</w:t>
            </w:r>
          </w:p>
        </w:tc>
        <w:tc>
          <w:tcPr>
            <w:tcW w:w="810" w:type="dxa"/>
            <w:tcBorders>
              <w:top w:val="single" w:sz="4" w:space="0" w:color="000000"/>
              <w:left w:val="single" w:sz="12" w:space="0" w:color="000000"/>
              <w:bottom w:val="single" w:sz="4" w:space="0" w:color="000000"/>
              <w:right w:val="single" w:sz="12" w:space="0" w:color="000000"/>
            </w:tcBorders>
            <w:vAlign w:val="center"/>
          </w:tcPr>
          <w:p w14:paraId="63D5BE92" w14:textId="34232156" w:rsidR="00B56D50" w:rsidRDefault="001C3C42" w:rsidP="001A7489">
            <w:pPr>
              <w:spacing w:after="0" w:line="259" w:lineRule="auto"/>
              <w:ind w:left="0" w:right="46" w:firstLine="0"/>
              <w:jc w:val="center"/>
            </w:pPr>
            <w:proofErr w:type="spellStart"/>
            <w:r>
              <w:rPr>
                <w:sz w:val="18"/>
              </w:rPr>
              <w:t>pCi</w:t>
            </w:r>
            <w:proofErr w:type="spellEnd"/>
            <w:r>
              <w:rPr>
                <w:sz w:val="18"/>
              </w:rPr>
              <w:t>/L</w:t>
            </w:r>
          </w:p>
        </w:tc>
        <w:tc>
          <w:tcPr>
            <w:tcW w:w="720" w:type="dxa"/>
            <w:tcBorders>
              <w:top w:val="single" w:sz="4" w:space="0" w:color="000000"/>
              <w:left w:val="single" w:sz="12" w:space="0" w:color="000000"/>
              <w:bottom w:val="single" w:sz="4" w:space="0" w:color="000000"/>
              <w:right w:val="single" w:sz="12" w:space="0" w:color="000000"/>
            </w:tcBorders>
            <w:vAlign w:val="center"/>
          </w:tcPr>
          <w:p w14:paraId="19FCDDFE" w14:textId="42C2B330" w:rsidR="00B56D50" w:rsidRDefault="001C3C42" w:rsidP="001A7489">
            <w:pPr>
              <w:spacing w:after="0" w:line="259" w:lineRule="auto"/>
              <w:ind w:left="0" w:right="49" w:firstLine="0"/>
              <w:jc w:val="center"/>
            </w:pPr>
            <w:r>
              <w:rPr>
                <w:sz w:val="18"/>
              </w:rPr>
              <w:t>N/A</w:t>
            </w:r>
          </w:p>
        </w:tc>
        <w:tc>
          <w:tcPr>
            <w:tcW w:w="720" w:type="dxa"/>
            <w:tcBorders>
              <w:top w:val="single" w:sz="4" w:space="0" w:color="000000"/>
              <w:left w:val="single" w:sz="12" w:space="0" w:color="000000"/>
              <w:bottom w:val="single" w:sz="4" w:space="0" w:color="000000"/>
              <w:right w:val="single" w:sz="12" w:space="0" w:color="000000"/>
            </w:tcBorders>
            <w:vAlign w:val="center"/>
          </w:tcPr>
          <w:p w14:paraId="14DD0722" w14:textId="42611533" w:rsidR="00B56D50" w:rsidRDefault="001C3C42" w:rsidP="001A7489">
            <w:pPr>
              <w:spacing w:after="0" w:line="259" w:lineRule="auto"/>
              <w:ind w:left="0" w:right="50" w:firstLine="0"/>
              <w:jc w:val="center"/>
            </w:pPr>
            <w:r>
              <w:rPr>
                <w:sz w:val="18"/>
              </w:rPr>
              <w:t>N/A</w:t>
            </w:r>
          </w:p>
        </w:tc>
        <w:tc>
          <w:tcPr>
            <w:tcW w:w="810" w:type="dxa"/>
            <w:tcBorders>
              <w:top w:val="single" w:sz="4" w:space="0" w:color="000000"/>
              <w:left w:val="single" w:sz="12" w:space="0" w:color="000000"/>
              <w:bottom w:val="single" w:sz="4" w:space="0" w:color="000000"/>
              <w:right w:val="single" w:sz="12" w:space="0" w:color="000000"/>
            </w:tcBorders>
            <w:vAlign w:val="center"/>
          </w:tcPr>
          <w:p w14:paraId="7E675D1E" w14:textId="06848D5B" w:rsidR="00B56D50" w:rsidRDefault="001C3C42" w:rsidP="001A7489">
            <w:pPr>
              <w:spacing w:after="0" w:line="259" w:lineRule="auto"/>
              <w:ind w:left="0" w:right="47" w:firstLine="0"/>
              <w:jc w:val="center"/>
            </w:pPr>
            <w:r>
              <w:rPr>
                <w:sz w:val="18"/>
              </w:rPr>
              <w:t>903.1</w:t>
            </w:r>
            <w:r w:rsidR="00DE0120">
              <w:rPr>
                <w:sz w:val="18"/>
              </w:rPr>
              <w:t xml:space="preserve"> </w:t>
            </w:r>
            <w:r w:rsidR="00587DE6" w:rsidRPr="00A235E7">
              <w:rPr>
                <w:b/>
                <w:bCs/>
                <w:sz w:val="18"/>
                <w:vertAlign w:val="superscript"/>
              </w:rPr>
              <w:t>31</w:t>
            </w:r>
          </w:p>
        </w:tc>
        <w:tc>
          <w:tcPr>
            <w:tcW w:w="810" w:type="dxa"/>
            <w:tcBorders>
              <w:top w:val="single" w:sz="4" w:space="0" w:color="000000"/>
              <w:left w:val="single" w:sz="12" w:space="0" w:color="000000"/>
              <w:bottom w:val="single" w:sz="4" w:space="0" w:color="000000"/>
              <w:right w:val="single" w:sz="12" w:space="0" w:color="000000"/>
            </w:tcBorders>
            <w:vAlign w:val="center"/>
          </w:tcPr>
          <w:p w14:paraId="5E6C49D3" w14:textId="713D735A" w:rsidR="00B56D50" w:rsidRDefault="00B56D50" w:rsidP="001A7489">
            <w:pPr>
              <w:spacing w:after="0" w:line="259" w:lineRule="auto"/>
              <w:ind w:left="0" w:right="2" w:firstLine="0"/>
              <w:jc w:val="center"/>
            </w:pPr>
          </w:p>
        </w:tc>
        <w:tc>
          <w:tcPr>
            <w:tcW w:w="720" w:type="dxa"/>
            <w:tcBorders>
              <w:top w:val="single" w:sz="4" w:space="0" w:color="000000"/>
              <w:left w:val="single" w:sz="12" w:space="0" w:color="000000"/>
              <w:bottom w:val="single" w:sz="4" w:space="0" w:color="000000"/>
              <w:right w:val="single" w:sz="12" w:space="0" w:color="000000"/>
            </w:tcBorders>
            <w:vAlign w:val="center"/>
          </w:tcPr>
          <w:p w14:paraId="7B58FC4A" w14:textId="5D7F46E5" w:rsidR="00B56D50" w:rsidRDefault="00B56D50" w:rsidP="001A7489">
            <w:pPr>
              <w:spacing w:after="0" w:line="259" w:lineRule="auto"/>
              <w:ind w:left="0" w:right="5" w:firstLine="0"/>
              <w:jc w:val="center"/>
            </w:pPr>
          </w:p>
        </w:tc>
      </w:tr>
      <w:tr w:rsidR="003073DA" w14:paraId="546314D7" w14:textId="77777777" w:rsidTr="005B6604">
        <w:trPr>
          <w:trHeight w:val="250"/>
        </w:trPr>
        <w:tc>
          <w:tcPr>
            <w:tcW w:w="3600" w:type="dxa"/>
            <w:tcBorders>
              <w:top w:val="single" w:sz="4" w:space="0" w:color="000000"/>
              <w:left w:val="single" w:sz="12" w:space="0" w:color="000000"/>
              <w:bottom w:val="single" w:sz="4" w:space="0" w:color="000000"/>
              <w:right w:val="single" w:sz="12" w:space="0" w:color="000000"/>
            </w:tcBorders>
          </w:tcPr>
          <w:p w14:paraId="1474FCB5" w14:textId="77777777" w:rsidR="00B56D50" w:rsidRDefault="001C3C42">
            <w:pPr>
              <w:spacing w:after="0" w:line="259" w:lineRule="auto"/>
              <w:ind w:left="0" w:right="0" w:firstLine="0"/>
            </w:pPr>
            <w:r>
              <w:rPr>
                <w:sz w:val="18"/>
              </w:rPr>
              <w:t xml:space="preserve">Gamma Emitting Radionuclides </w:t>
            </w:r>
          </w:p>
        </w:tc>
        <w:tc>
          <w:tcPr>
            <w:tcW w:w="1710" w:type="dxa"/>
            <w:tcBorders>
              <w:top w:val="single" w:sz="4" w:space="0" w:color="000000"/>
              <w:left w:val="single" w:sz="12" w:space="0" w:color="000000"/>
              <w:bottom w:val="single" w:sz="4" w:space="0" w:color="000000"/>
              <w:right w:val="single" w:sz="12" w:space="0" w:color="000000"/>
            </w:tcBorders>
            <w:vAlign w:val="center"/>
          </w:tcPr>
          <w:p w14:paraId="670F5B8E" w14:textId="76CF9B20" w:rsidR="00B56D50" w:rsidRDefault="001C3C42" w:rsidP="001A7489">
            <w:pPr>
              <w:spacing w:after="0" w:line="259" w:lineRule="auto"/>
              <w:ind w:left="0" w:right="47" w:firstLine="0"/>
              <w:jc w:val="center"/>
            </w:pPr>
            <w:r>
              <w:rPr>
                <w:sz w:val="18"/>
              </w:rPr>
              <w:t>N/A</w:t>
            </w:r>
          </w:p>
        </w:tc>
        <w:tc>
          <w:tcPr>
            <w:tcW w:w="720" w:type="dxa"/>
            <w:tcBorders>
              <w:top w:val="single" w:sz="4" w:space="0" w:color="000000"/>
              <w:left w:val="single" w:sz="12" w:space="0" w:color="000000"/>
              <w:bottom w:val="single" w:sz="4" w:space="0" w:color="000000"/>
              <w:right w:val="single" w:sz="12" w:space="0" w:color="000000"/>
            </w:tcBorders>
            <w:vAlign w:val="center"/>
          </w:tcPr>
          <w:p w14:paraId="53385271" w14:textId="6339CFBF" w:rsidR="00B56D50" w:rsidRDefault="001C3C42" w:rsidP="001A7489">
            <w:pPr>
              <w:spacing w:after="0" w:line="259" w:lineRule="auto"/>
              <w:ind w:left="0" w:right="46" w:firstLine="0"/>
              <w:jc w:val="center"/>
            </w:pPr>
            <w:r>
              <w:rPr>
                <w:sz w:val="18"/>
              </w:rPr>
              <w:t>10</w:t>
            </w:r>
          </w:p>
        </w:tc>
        <w:tc>
          <w:tcPr>
            <w:tcW w:w="810" w:type="dxa"/>
            <w:tcBorders>
              <w:top w:val="single" w:sz="4" w:space="0" w:color="000000"/>
              <w:left w:val="single" w:sz="12" w:space="0" w:color="000000"/>
              <w:bottom w:val="single" w:sz="4" w:space="0" w:color="000000"/>
              <w:right w:val="single" w:sz="12" w:space="0" w:color="000000"/>
            </w:tcBorders>
            <w:vAlign w:val="center"/>
          </w:tcPr>
          <w:p w14:paraId="32BF9C8F" w14:textId="157F15F6" w:rsidR="00B56D50" w:rsidRDefault="001C3C42" w:rsidP="001A7489">
            <w:pPr>
              <w:spacing w:after="0" w:line="259" w:lineRule="auto"/>
              <w:ind w:left="0" w:right="46" w:firstLine="0"/>
              <w:jc w:val="center"/>
            </w:pPr>
            <w:proofErr w:type="spellStart"/>
            <w:r>
              <w:rPr>
                <w:sz w:val="18"/>
              </w:rPr>
              <w:t>pCi</w:t>
            </w:r>
            <w:proofErr w:type="spellEnd"/>
            <w:r>
              <w:rPr>
                <w:sz w:val="18"/>
              </w:rPr>
              <w:t>/L</w:t>
            </w:r>
          </w:p>
        </w:tc>
        <w:tc>
          <w:tcPr>
            <w:tcW w:w="720" w:type="dxa"/>
            <w:tcBorders>
              <w:top w:val="single" w:sz="4" w:space="0" w:color="000000"/>
              <w:left w:val="single" w:sz="12" w:space="0" w:color="000000"/>
              <w:bottom w:val="single" w:sz="4" w:space="0" w:color="000000"/>
              <w:right w:val="single" w:sz="12" w:space="0" w:color="000000"/>
            </w:tcBorders>
            <w:vAlign w:val="center"/>
          </w:tcPr>
          <w:p w14:paraId="7BE5D5D0" w14:textId="477A313E" w:rsidR="00B56D50" w:rsidRDefault="001C3C42" w:rsidP="001A7489">
            <w:pPr>
              <w:spacing w:after="0" w:line="259" w:lineRule="auto"/>
              <w:ind w:left="0" w:right="49" w:firstLine="0"/>
              <w:jc w:val="center"/>
            </w:pPr>
            <w:r>
              <w:rPr>
                <w:sz w:val="18"/>
              </w:rPr>
              <w:t>N/A</w:t>
            </w:r>
          </w:p>
        </w:tc>
        <w:tc>
          <w:tcPr>
            <w:tcW w:w="720" w:type="dxa"/>
            <w:tcBorders>
              <w:top w:val="single" w:sz="4" w:space="0" w:color="000000"/>
              <w:left w:val="single" w:sz="12" w:space="0" w:color="000000"/>
              <w:bottom w:val="single" w:sz="4" w:space="0" w:color="000000"/>
              <w:right w:val="single" w:sz="12" w:space="0" w:color="000000"/>
            </w:tcBorders>
            <w:vAlign w:val="center"/>
          </w:tcPr>
          <w:p w14:paraId="3B4891C9" w14:textId="35BFFE2D" w:rsidR="00B56D50" w:rsidRDefault="001C3C42" w:rsidP="001A7489">
            <w:pPr>
              <w:spacing w:after="0" w:line="259" w:lineRule="auto"/>
              <w:ind w:left="0" w:right="50" w:firstLine="0"/>
              <w:jc w:val="center"/>
            </w:pPr>
            <w:r>
              <w:rPr>
                <w:sz w:val="18"/>
              </w:rPr>
              <w:t>N/A</w:t>
            </w:r>
          </w:p>
        </w:tc>
        <w:tc>
          <w:tcPr>
            <w:tcW w:w="810" w:type="dxa"/>
            <w:tcBorders>
              <w:top w:val="single" w:sz="4" w:space="0" w:color="000000"/>
              <w:left w:val="single" w:sz="12" w:space="0" w:color="000000"/>
              <w:bottom w:val="single" w:sz="4" w:space="0" w:color="000000"/>
              <w:right w:val="single" w:sz="12" w:space="0" w:color="000000"/>
            </w:tcBorders>
            <w:vAlign w:val="center"/>
          </w:tcPr>
          <w:p w14:paraId="6A0DA45C" w14:textId="262F90E3" w:rsidR="00B56D50" w:rsidRDefault="001C3C42" w:rsidP="001A7489">
            <w:pPr>
              <w:spacing w:after="0" w:line="259" w:lineRule="auto"/>
              <w:ind w:left="0" w:right="47" w:firstLine="0"/>
              <w:jc w:val="center"/>
            </w:pPr>
            <w:r>
              <w:rPr>
                <w:sz w:val="18"/>
              </w:rPr>
              <w:t>901.1</w:t>
            </w:r>
            <w:r w:rsidR="00DE0120">
              <w:rPr>
                <w:sz w:val="18"/>
              </w:rPr>
              <w:t xml:space="preserve"> </w:t>
            </w:r>
            <w:r w:rsidR="00587DE6" w:rsidRPr="00A235E7">
              <w:rPr>
                <w:b/>
                <w:bCs/>
                <w:sz w:val="18"/>
                <w:vertAlign w:val="superscript"/>
              </w:rPr>
              <w:t>31</w:t>
            </w:r>
          </w:p>
        </w:tc>
        <w:tc>
          <w:tcPr>
            <w:tcW w:w="810" w:type="dxa"/>
            <w:tcBorders>
              <w:top w:val="single" w:sz="4" w:space="0" w:color="000000"/>
              <w:left w:val="single" w:sz="12" w:space="0" w:color="000000"/>
              <w:bottom w:val="single" w:sz="4" w:space="0" w:color="000000"/>
              <w:right w:val="single" w:sz="12" w:space="0" w:color="000000"/>
            </w:tcBorders>
            <w:vAlign w:val="center"/>
          </w:tcPr>
          <w:p w14:paraId="28673D2F" w14:textId="4D267332" w:rsidR="00B56D50" w:rsidRDefault="00B56D50" w:rsidP="001A7489">
            <w:pPr>
              <w:spacing w:after="0" w:line="259" w:lineRule="auto"/>
              <w:ind w:left="0" w:right="2" w:firstLine="0"/>
              <w:jc w:val="center"/>
            </w:pPr>
          </w:p>
        </w:tc>
        <w:tc>
          <w:tcPr>
            <w:tcW w:w="720" w:type="dxa"/>
            <w:tcBorders>
              <w:top w:val="single" w:sz="4" w:space="0" w:color="000000"/>
              <w:left w:val="single" w:sz="12" w:space="0" w:color="000000"/>
              <w:bottom w:val="single" w:sz="4" w:space="0" w:color="000000"/>
              <w:right w:val="single" w:sz="12" w:space="0" w:color="000000"/>
            </w:tcBorders>
            <w:vAlign w:val="center"/>
          </w:tcPr>
          <w:p w14:paraId="1BA2ECCC" w14:textId="571E2D17" w:rsidR="00B56D50" w:rsidRDefault="00B56D50" w:rsidP="001A7489">
            <w:pPr>
              <w:spacing w:after="0" w:line="259" w:lineRule="auto"/>
              <w:ind w:left="0" w:right="5" w:firstLine="0"/>
              <w:jc w:val="center"/>
            </w:pPr>
          </w:p>
        </w:tc>
      </w:tr>
      <w:tr w:rsidR="003073DA" w14:paraId="1D004761" w14:textId="77777777" w:rsidTr="005B6604">
        <w:trPr>
          <w:trHeight w:val="250"/>
        </w:trPr>
        <w:tc>
          <w:tcPr>
            <w:tcW w:w="3600" w:type="dxa"/>
            <w:tcBorders>
              <w:top w:val="single" w:sz="4" w:space="0" w:color="000000"/>
              <w:left w:val="single" w:sz="12" w:space="0" w:color="000000"/>
              <w:bottom w:val="single" w:sz="4" w:space="0" w:color="000000"/>
              <w:right w:val="single" w:sz="12" w:space="0" w:color="000000"/>
            </w:tcBorders>
          </w:tcPr>
          <w:p w14:paraId="782367ED" w14:textId="77777777" w:rsidR="00B56D50" w:rsidRDefault="001C3C42">
            <w:pPr>
              <w:spacing w:after="0" w:line="259" w:lineRule="auto"/>
              <w:ind w:left="0" w:right="0" w:firstLine="0"/>
            </w:pPr>
            <w:r>
              <w:rPr>
                <w:sz w:val="18"/>
              </w:rPr>
              <w:t xml:space="preserve">Strontium-89 </w:t>
            </w:r>
          </w:p>
        </w:tc>
        <w:tc>
          <w:tcPr>
            <w:tcW w:w="1710" w:type="dxa"/>
            <w:tcBorders>
              <w:top w:val="single" w:sz="4" w:space="0" w:color="000000"/>
              <w:left w:val="single" w:sz="12" w:space="0" w:color="000000"/>
              <w:bottom w:val="single" w:sz="4" w:space="0" w:color="000000"/>
              <w:right w:val="single" w:sz="12" w:space="0" w:color="000000"/>
            </w:tcBorders>
            <w:vAlign w:val="center"/>
          </w:tcPr>
          <w:p w14:paraId="0156D78D" w14:textId="3BB4A2B9" w:rsidR="00B56D50" w:rsidRDefault="001C3C42" w:rsidP="001A7489">
            <w:pPr>
              <w:spacing w:after="0" w:line="259" w:lineRule="auto"/>
              <w:ind w:left="0" w:right="44" w:firstLine="0"/>
              <w:jc w:val="center"/>
            </w:pPr>
            <w:r>
              <w:rPr>
                <w:sz w:val="18"/>
              </w:rPr>
              <w:t>14158-27-1</w:t>
            </w:r>
          </w:p>
        </w:tc>
        <w:tc>
          <w:tcPr>
            <w:tcW w:w="720" w:type="dxa"/>
            <w:tcBorders>
              <w:top w:val="single" w:sz="4" w:space="0" w:color="000000"/>
              <w:left w:val="single" w:sz="12" w:space="0" w:color="000000"/>
              <w:bottom w:val="single" w:sz="4" w:space="0" w:color="000000"/>
              <w:right w:val="single" w:sz="12" w:space="0" w:color="000000"/>
            </w:tcBorders>
            <w:vAlign w:val="center"/>
          </w:tcPr>
          <w:p w14:paraId="7B97F7CA" w14:textId="40569046" w:rsidR="00B56D50" w:rsidRDefault="001C3C42" w:rsidP="001A7489">
            <w:pPr>
              <w:spacing w:after="0" w:line="259" w:lineRule="auto"/>
              <w:ind w:left="0" w:right="46" w:firstLine="0"/>
              <w:jc w:val="center"/>
            </w:pPr>
            <w:r>
              <w:rPr>
                <w:sz w:val="18"/>
              </w:rPr>
              <w:t>10</w:t>
            </w:r>
          </w:p>
        </w:tc>
        <w:tc>
          <w:tcPr>
            <w:tcW w:w="810" w:type="dxa"/>
            <w:tcBorders>
              <w:top w:val="single" w:sz="4" w:space="0" w:color="000000"/>
              <w:left w:val="single" w:sz="12" w:space="0" w:color="000000"/>
              <w:bottom w:val="single" w:sz="4" w:space="0" w:color="000000"/>
              <w:right w:val="single" w:sz="12" w:space="0" w:color="000000"/>
            </w:tcBorders>
            <w:vAlign w:val="center"/>
          </w:tcPr>
          <w:p w14:paraId="1009E9BD" w14:textId="1BD3651B" w:rsidR="00B56D50" w:rsidRDefault="001C3C42" w:rsidP="001A7489">
            <w:pPr>
              <w:spacing w:after="0" w:line="259" w:lineRule="auto"/>
              <w:ind w:left="0" w:right="46" w:firstLine="0"/>
              <w:jc w:val="center"/>
            </w:pPr>
            <w:proofErr w:type="spellStart"/>
            <w:r>
              <w:rPr>
                <w:sz w:val="18"/>
              </w:rPr>
              <w:t>pCi</w:t>
            </w:r>
            <w:proofErr w:type="spellEnd"/>
            <w:r>
              <w:rPr>
                <w:sz w:val="18"/>
              </w:rPr>
              <w:t>/L</w:t>
            </w:r>
          </w:p>
        </w:tc>
        <w:tc>
          <w:tcPr>
            <w:tcW w:w="720" w:type="dxa"/>
            <w:tcBorders>
              <w:top w:val="single" w:sz="4" w:space="0" w:color="000000"/>
              <w:left w:val="single" w:sz="12" w:space="0" w:color="000000"/>
              <w:bottom w:val="single" w:sz="4" w:space="0" w:color="000000"/>
              <w:right w:val="single" w:sz="12" w:space="0" w:color="000000"/>
            </w:tcBorders>
            <w:vAlign w:val="center"/>
          </w:tcPr>
          <w:p w14:paraId="67589F25" w14:textId="17DA84BE" w:rsidR="00B56D50" w:rsidRDefault="001C3C42" w:rsidP="001A7489">
            <w:pPr>
              <w:spacing w:after="0" w:line="259" w:lineRule="auto"/>
              <w:ind w:left="0" w:right="49" w:firstLine="0"/>
              <w:jc w:val="center"/>
            </w:pPr>
            <w:r>
              <w:rPr>
                <w:sz w:val="18"/>
              </w:rPr>
              <w:t>N/A</w:t>
            </w:r>
          </w:p>
        </w:tc>
        <w:tc>
          <w:tcPr>
            <w:tcW w:w="720" w:type="dxa"/>
            <w:tcBorders>
              <w:top w:val="single" w:sz="4" w:space="0" w:color="000000"/>
              <w:left w:val="single" w:sz="12" w:space="0" w:color="000000"/>
              <w:bottom w:val="single" w:sz="4" w:space="0" w:color="000000"/>
              <w:right w:val="single" w:sz="12" w:space="0" w:color="000000"/>
            </w:tcBorders>
            <w:vAlign w:val="center"/>
          </w:tcPr>
          <w:p w14:paraId="4DDE4414" w14:textId="35232EE3" w:rsidR="00B56D50" w:rsidRDefault="001C3C42" w:rsidP="001A7489">
            <w:pPr>
              <w:spacing w:after="0" w:line="259" w:lineRule="auto"/>
              <w:ind w:left="0" w:right="50" w:firstLine="0"/>
              <w:jc w:val="center"/>
            </w:pPr>
            <w:r>
              <w:rPr>
                <w:sz w:val="18"/>
              </w:rPr>
              <w:t>N/A</w:t>
            </w:r>
          </w:p>
        </w:tc>
        <w:tc>
          <w:tcPr>
            <w:tcW w:w="810" w:type="dxa"/>
            <w:tcBorders>
              <w:top w:val="single" w:sz="4" w:space="0" w:color="000000"/>
              <w:left w:val="single" w:sz="12" w:space="0" w:color="000000"/>
              <w:bottom w:val="single" w:sz="4" w:space="0" w:color="000000"/>
              <w:right w:val="single" w:sz="12" w:space="0" w:color="000000"/>
            </w:tcBorders>
            <w:vAlign w:val="center"/>
          </w:tcPr>
          <w:p w14:paraId="62E693D9" w14:textId="09D60A1E" w:rsidR="00B56D50" w:rsidRDefault="001C3C42" w:rsidP="001A7489">
            <w:pPr>
              <w:spacing w:after="0" w:line="259" w:lineRule="auto"/>
              <w:ind w:left="0" w:right="47" w:firstLine="0"/>
              <w:jc w:val="center"/>
            </w:pPr>
            <w:r>
              <w:rPr>
                <w:sz w:val="18"/>
              </w:rPr>
              <w:t>905.0</w:t>
            </w:r>
            <w:r w:rsidR="00DE0120">
              <w:rPr>
                <w:sz w:val="18"/>
              </w:rPr>
              <w:t xml:space="preserve"> </w:t>
            </w:r>
            <w:r w:rsidR="00587DE6" w:rsidRPr="00A235E7">
              <w:rPr>
                <w:b/>
                <w:bCs/>
                <w:sz w:val="18"/>
                <w:vertAlign w:val="superscript"/>
              </w:rPr>
              <w:t>31</w:t>
            </w:r>
          </w:p>
        </w:tc>
        <w:tc>
          <w:tcPr>
            <w:tcW w:w="810" w:type="dxa"/>
            <w:tcBorders>
              <w:top w:val="single" w:sz="4" w:space="0" w:color="000000"/>
              <w:left w:val="single" w:sz="12" w:space="0" w:color="000000"/>
              <w:bottom w:val="single" w:sz="4" w:space="0" w:color="000000"/>
              <w:right w:val="single" w:sz="12" w:space="0" w:color="000000"/>
            </w:tcBorders>
            <w:vAlign w:val="center"/>
          </w:tcPr>
          <w:p w14:paraId="42C2CAD7" w14:textId="71B6FC61" w:rsidR="00B56D50" w:rsidRDefault="00B56D50" w:rsidP="001A7489">
            <w:pPr>
              <w:spacing w:after="0" w:line="259" w:lineRule="auto"/>
              <w:ind w:left="0" w:right="2" w:firstLine="0"/>
              <w:jc w:val="center"/>
            </w:pPr>
          </w:p>
        </w:tc>
        <w:tc>
          <w:tcPr>
            <w:tcW w:w="720" w:type="dxa"/>
            <w:tcBorders>
              <w:top w:val="single" w:sz="4" w:space="0" w:color="000000"/>
              <w:left w:val="single" w:sz="12" w:space="0" w:color="000000"/>
              <w:bottom w:val="single" w:sz="4" w:space="0" w:color="000000"/>
              <w:right w:val="single" w:sz="12" w:space="0" w:color="000000"/>
            </w:tcBorders>
            <w:vAlign w:val="center"/>
          </w:tcPr>
          <w:p w14:paraId="45EC803C" w14:textId="13FD0509" w:rsidR="00B56D50" w:rsidRDefault="00B56D50" w:rsidP="001A7489">
            <w:pPr>
              <w:spacing w:after="0" w:line="259" w:lineRule="auto"/>
              <w:ind w:left="0" w:right="5" w:firstLine="0"/>
              <w:jc w:val="center"/>
            </w:pPr>
          </w:p>
        </w:tc>
      </w:tr>
      <w:tr w:rsidR="003073DA" w14:paraId="634D4383" w14:textId="77777777" w:rsidTr="005B6604">
        <w:trPr>
          <w:trHeight w:val="250"/>
        </w:trPr>
        <w:tc>
          <w:tcPr>
            <w:tcW w:w="3600" w:type="dxa"/>
            <w:tcBorders>
              <w:top w:val="single" w:sz="4" w:space="0" w:color="000000"/>
              <w:left w:val="single" w:sz="12" w:space="0" w:color="000000"/>
              <w:bottom w:val="single" w:sz="4" w:space="0" w:color="000000"/>
              <w:right w:val="single" w:sz="12" w:space="0" w:color="000000"/>
            </w:tcBorders>
          </w:tcPr>
          <w:p w14:paraId="2EBF15F4" w14:textId="77777777" w:rsidR="00B56D50" w:rsidRDefault="001C3C42">
            <w:pPr>
              <w:spacing w:after="0" w:line="259" w:lineRule="auto"/>
              <w:ind w:left="0" w:right="0" w:firstLine="0"/>
            </w:pPr>
            <w:r>
              <w:rPr>
                <w:sz w:val="18"/>
              </w:rPr>
              <w:t xml:space="preserve">Strontium-90 </w:t>
            </w:r>
          </w:p>
        </w:tc>
        <w:tc>
          <w:tcPr>
            <w:tcW w:w="1710" w:type="dxa"/>
            <w:tcBorders>
              <w:top w:val="single" w:sz="4" w:space="0" w:color="000000"/>
              <w:left w:val="single" w:sz="12" w:space="0" w:color="000000"/>
              <w:bottom w:val="single" w:sz="4" w:space="0" w:color="000000"/>
              <w:right w:val="single" w:sz="12" w:space="0" w:color="000000"/>
            </w:tcBorders>
            <w:vAlign w:val="center"/>
          </w:tcPr>
          <w:p w14:paraId="73B9F094" w14:textId="6CB6DE0B" w:rsidR="00B56D50" w:rsidRDefault="001C3C42" w:rsidP="001A7489">
            <w:pPr>
              <w:spacing w:after="0" w:line="259" w:lineRule="auto"/>
              <w:ind w:left="0" w:right="44" w:firstLine="0"/>
              <w:jc w:val="center"/>
            </w:pPr>
            <w:r>
              <w:rPr>
                <w:sz w:val="18"/>
              </w:rPr>
              <w:t>10098-97-2</w:t>
            </w:r>
          </w:p>
        </w:tc>
        <w:tc>
          <w:tcPr>
            <w:tcW w:w="720" w:type="dxa"/>
            <w:tcBorders>
              <w:top w:val="single" w:sz="4" w:space="0" w:color="000000"/>
              <w:left w:val="single" w:sz="12" w:space="0" w:color="000000"/>
              <w:bottom w:val="single" w:sz="4" w:space="0" w:color="000000"/>
              <w:right w:val="single" w:sz="12" w:space="0" w:color="000000"/>
            </w:tcBorders>
            <w:vAlign w:val="center"/>
          </w:tcPr>
          <w:p w14:paraId="3F4F4DC9" w14:textId="4310F2C7" w:rsidR="00B56D50" w:rsidRDefault="001C3C42" w:rsidP="001A7489">
            <w:pPr>
              <w:spacing w:after="0" w:line="259" w:lineRule="auto"/>
              <w:ind w:left="0" w:right="46" w:firstLine="0"/>
              <w:jc w:val="center"/>
            </w:pPr>
            <w:r>
              <w:rPr>
                <w:sz w:val="18"/>
              </w:rPr>
              <w:t>2</w:t>
            </w:r>
          </w:p>
        </w:tc>
        <w:tc>
          <w:tcPr>
            <w:tcW w:w="810" w:type="dxa"/>
            <w:tcBorders>
              <w:top w:val="single" w:sz="4" w:space="0" w:color="000000"/>
              <w:left w:val="single" w:sz="12" w:space="0" w:color="000000"/>
              <w:bottom w:val="single" w:sz="4" w:space="0" w:color="000000"/>
              <w:right w:val="single" w:sz="12" w:space="0" w:color="000000"/>
            </w:tcBorders>
            <w:vAlign w:val="center"/>
          </w:tcPr>
          <w:p w14:paraId="6067E0C6" w14:textId="3E71398B" w:rsidR="00B56D50" w:rsidRDefault="001C3C42" w:rsidP="001A7489">
            <w:pPr>
              <w:spacing w:after="0" w:line="259" w:lineRule="auto"/>
              <w:ind w:left="0" w:right="46" w:firstLine="0"/>
              <w:jc w:val="center"/>
            </w:pPr>
            <w:proofErr w:type="spellStart"/>
            <w:r>
              <w:rPr>
                <w:sz w:val="18"/>
              </w:rPr>
              <w:t>pCi</w:t>
            </w:r>
            <w:proofErr w:type="spellEnd"/>
            <w:r>
              <w:rPr>
                <w:sz w:val="18"/>
              </w:rPr>
              <w:t>/L</w:t>
            </w:r>
          </w:p>
        </w:tc>
        <w:tc>
          <w:tcPr>
            <w:tcW w:w="720" w:type="dxa"/>
            <w:tcBorders>
              <w:top w:val="single" w:sz="4" w:space="0" w:color="000000"/>
              <w:left w:val="single" w:sz="12" w:space="0" w:color="000000"/>
              <w:bottom w:val="single" w:sz="4" w:space="0" w:color="000000"/>
              <w:right w:val="single" w:sz="12" w:space="0" w:color="000000"/>
            </w:tcBorders>
            <w:vAlign w:val="center"/>
          </w:tcPr>
          <w:p w14:paraId="0C26F415" w14:textId="18B9528E" w:rsidR="00B56D50" w:rsidRDefault="001C3C42" w:rsidP="001A7489">
            <w:pPr>
              <w:spacing w:after="0" w:line="259" w:lineRule="auto"/>
              <w:ind w:left="0" w:right="49" w:firstLine="0"/>
              <w:jc w:val="center"/>
            </w:pPr>
            <w:r>
              <w:rPr>
                <w:sz w:val="18"/>
              </w:rPr>
              <w:t>N/A</w:t>
            </w:r>
          </w:p>
        </w:tc>
        <w:tc>
          <w:tcPr>
            <w:tcW w:w="720" w:type="dxa"/>
            <w:tcBorders>
              <w:top w:val="single" w:sz="4" w:space="0" w:color="000000"/>
              <w:left w:val="single" w:sz="12" w:space="0" w:color="000000"/>
              <w:bottom w:val="single" w:sz="4" w:space="0" w:color="000000"/>
              <w:right w:val="single" w:sz="12" w:space="0" w:color="000000"/>
            </w:tcBorders>
            <w:vAlign w:val="center"/>
          </w:tcPr>
          <w:p w14:paraId="4D6E8F89" w14:textId="18A0C8E3" w:rsidR="00B56D50" w:rsidRDefault="001C3C42" w:rsidP="001A7489">
            <w:pPr>
              <w:spacing w:after="0" w:line="259" w:lineRule="auto"/>
              <w:ind w:left="0" w:right="50" w:firstLine="0"/>
              <w:jc w:val="center"/>
            </w:pPr>
            <w:r>
              <w:rPr>
                <w:sz w:val="18"/>
              </w:rPr>
              <w:t>N/A</w:t>
            </w:r>
          </w:p>
        </w:tc>
        <w:tc>
          <w:tcPr>
            <w:tcW w:w="810" w:type="dxa"/>
            <w:tcBorders>
              <w:top w:val="single" w:sz="4" w:space="0" w:color="000000"/>
              <w:left w:val="single" w:sz="12" w:space="0" w:color="000000"/>
              <w:bottom w:val="single" w:sz="4" w:space="0" w:color="000000"/>
              <w:right w:val="single" w:sz="12" w:space="0" w:color="000000"/>
            </w:tcBorders>
            <w:vAlign w:val="center"/>
          </w:tcPr>
          <w:p w14:paraId="258566AB" w14:textId="74D7C156" w:rsidR="00B56D50" w:rsidRDefault="001C3C42" w:rsidP="001A7489">
            <w:pPr>
              <w:spacing w:after="0" w:line="259" w:lineRule="auto"/>
              <w:ind w:left="0" w:right="47" w:firstLine="0"/>
              <w:jc w:val="center"/>
            </w:pPr>
            <w:r>
              <w:rPr>
                <w:sz w:val="18"/>
              </w:rPr>
              <w:t>905.0</w:t>
            </w:r>
            <w:r w:rsidR="00DE0120">
              <w:rPr>
                <w:sz w:val="18"/>
              </w:rPr>
              <w:t xml:space="preserve"> </w:t>
            </w:r>
            <w:r w:rsidR="00587DE6" w:rsidRPr="00A235E7">
              <w:rPr>
                <w:b/>
                <w:bCs/>
                <w:sz w:val="18"/>
                <w:vertAlign w:val="superscript"/>
              </w:rPr>
              <w:t>31</w:t>
            </w:r>
          </w:p>
        </w:tc>
        <w:tc>
          <w:tcPr>
            <w:tcW w:w="810" w:type="dxa"/>
            <w:tcBorders>
              <w:top w:val="single" w:sz="4" w:space="0" w:color="000000"/>
              <w:left w:val="single" w:sz="12" w:space="0" w:color="000000"/>
              <w:bottom w:val="single" w:sz="4" w:space="0" w:color="000000"/>
              <w:right w:val="single" w:sz="12" w:space="0" w:color="000000"/>
            </w:tcBorders>
            <w:vAlign w:val="center"/>
          </w:tcPr>
          <w:p w14:paraId="09C0772E" w14:textId="2C832EDD" w:rsidR="00B56D50" w:rsidRDefault="00B56D50" w:rsidP="001A7489">
            <w:pPr>
              <w:spacing w:after="0" w:line="259" w:lineRule="auto"/>
              <w:ind w:left="0" w:right="2" w:firstLine="0"/>
              <w:jc w:val="center"/>
            </w:pPr>
          </w:p>
        </w:tc>
        <w:tc>
          <w:tcPr>
            <w:tcW w:w="720" w:type="dxa"/>
            <w:tcBorders>
              <w:top w:val="single" w:sz="4" w:space="0" w:color="000000"/>
              <w:left w:val="single" w:sz="12" w:space="0" w:color="000000"/>
              <w:bottom w:val="single" w:sz="4" w:space="0" w:color="000000"/>
              <w:right w:val="single" w:sz="12" w:space="0" w:color="000000"/>
            </w:tcBorders>
            <w:vAlign w:val="center"/>
          </w:tcPr>
          <w:p w14:paraId="37A8D702" w14:textId="3FA98F41" w:rsidR="00B56D50" w:rsidRDefault="00B56D50" w:rsidP="001A7489">
            <w:pPr>
              <w:spacing w:after="0" w:line="259" w:lineRule="auto"/>
              <w:ind w:left="0" w:right="5" w:firstLine="0"/>
              <w:jc w:val="center"/>
            </w:pPr>
          </w:p>
        </w:tc>
      </w:tr>
      <w:tr w:rsidR="003073DA" w14:paraId="7CE1BC56" w14:textId="77777777" w:rsidTr="005B6604">
        <w:trPr>
          <w:trHeight w:val="250"/>
        </w:trPr>
        <w:tc>
          <w:tcPr>
            <w:tcW w:w="3600" w:type="dxa"/>
            <w:tcBorders>
              <w:top w:val="single" w:sz="4" w:space="0" w:color="000000"/>
              <w:left w:val="single" w:sz="12" w:space="0" w:color="000000"/>
              <w:bottom w:val="single" w:sz="4" w:space="0" w:color="000000"/>
              <w:right w:val="single" w:sz="12" w:space="0" w:color="000000"/>
            </w:tcBorders>
          </w:tcPr>
          <w:p w14:paraId="2623E5FD" w14:textId="77777777" w:rsidR="00B56D50" w:rsidRDefault="001C3C42">
            <w:pPr>
              <w:spacing w:after="0" w:line="259" w:lineRule="auto"/>
              <w:ind w:left="0" w:right="0" w:firstLine="0"/>
            </w:pPr>
            <w:r>
              <w:rPr>
                <w:sz w:val="18"/>
              </w:rPr>
              <w:t xml:space="preserve">Tritium </w:t>
            </w:r>
          </w:p>
        </w:tc>
        <w:tc>
          <w:tcPr>
            <w:tcW w:w="1710" w:type="dxa"/>
            <w:tcBorders>
              <w:top w:val="single" w:sz="4" w:space="0" w:color="000000"/>
              <w:left w:val="single" w:sz="12" w:space="0" w:color="000000"/>
              <w:bottom w:val="single" w:sz="4" w:space="0" w:color="000000"/>
              <w:right w:val="single" w:sz="12" w:space="0" w:color="000000"/>
            </w:tcBorders>
            <w:vAlign w:val="center"/>
          </w:tcPr>
          <w:p w14:paraId="4A3AD5E1" w14:textId="66E98894" w:rsidR="00B56D50" w:rsidRDefault="001C3C42" w:rsidP="001A7489">
            <w:pPr>
              <w:spacing w:after="0" w:line="259" w:lineRule="auto"/>
              <w:ind w:left="0" w:right="44" w:firstLine="0"/>
              <w:jc w:val="center"/>
            </w:pPr>
            <w:r>
              <w:rPr>
                <w:sz w:val="18"/>
              </w:rPr>
              <w:t>10028-17-8</w:t>
            </w:r>
          </w:p>
        </w:tc>
        <w:tc>
          <w:tcPr>
            <w:tcW w:w="720" w:type="dxa"/>
            <w:tcBorders>
              <w:top w:val="single" w:sz="4" w:space="0" w:color="000000"/>
              <w:left w:val="single" w:sz="12" w:space="0" w:color="000000"/>
              <w:bottom w:val="single" w:sz="4" w:space="0" w:color="000000"/>
              <w:right w:val="single" w:sz="12" w:space="0" w:color="000000"/>
            </w:tcBorders>
            <w:vAlign w:val="center"/>
          </w:tcPr>
          <w:p w14:paraId="4E2BF0B4" w14:textId="1422236D" w:rsidR="00B56D50" w:rsidRDefault="001C3C42" w:rsidP="001A7489">
            <w:pPr>
              <w:spacing w:after="0" w:line="259" w:lineRule="auto"/>
              <w:ind w:left="0" w:right="0" w:firstLine="0"/>
              <w:jc w:val="center"/>
            </w:pPr>
            <w:r>
              <w:rPr>
                <w:sz w:val="18"/>
              </w:rPr>
              <w:t>1000</w:t>
            </w:r>
          </w:p>
        </w:tc>
        <w:tc>
          <w:tcPr>
            <w:tcW w:w="810" w:type="dxa"/>
            <w:tcBorders>
              <w:top w:val="single" w:sz="4" w:space="0" w:color="000000"/>
              <w:left w:val="single" w:sz="12" w:space="0" w:color="000000"/>
              <w:bottom w:val="single" w:sz="4" w:space="0" w:color="000000"/>
              <w:right w:val="single" w:sz="12" w:space="0" w:color="000000"/>
            </w:tcBorders>
            <w:vAlign w:val="center"/>
          </w:tcPr>
          <w:p w14:paraId="06BE0CAD" w14:textId="2829790C" w:rsidR="00B56D50" w:rsidRDefault="001C3C42" w:rsidP="001A7489">
            <w:pPr>
              <w:spacing w:after="0" w:line="259" w:lineRule="auto"/>
              <w:ind w:left="0" w:right="46" w:firstLine="0"/>
              <w:jc w:val="center"/>
            </w:pPr>
            <w:proofErr w:type="spellStart"/>
            <w:r>
              <w:rPr>
                <w:sz w:val="18"/>
              </w:rPr>
              <w:t>pCi</w:t>
            </w:r>
            <w:proofErr w:type="spellEnd"/>
            <w:r>
              <w:rPr>
                <w:sz w:val="18"/>
              </w:rPr>
              <w:t>/L</w:t>
            </w:r>
          </w:p>
        </w:tc>
        <w:tc>
          <w:tcPr>
            <w:tcW w:w="720" w:type="dxa"/>
            <w:tcBorders>
              <w:top w:val="single" w:sz="4" w:space="0" w:color="000000"/>
              <w:left w:val="single" w:sz="12" w:space="0" w:color="000000"/>
              <w:bottom w:val="single" w:sz="4" w:space="0" w:color="000000"/>
              <w:right w:val="single" w:sz="12" w:space="0" w:color="000000"/>
            </w:tcBorders>
            <w:vAlign w:val="center"/>
          </w:tcPr>
          <w:p w14:paraId="43F8EFCF" w14:textId="5A158EAF" w:rsidR="00B56D50" w:rsidRDefault="001C3C42" w:rsidP="001A7489">
            <w:pPr>
              <w:spacing w:after="0" w:line="259" w:lineRule="auto"/>
              <w:ind w:left="0" w:right="49" w:firstLine="0"/>
              <w:jc w:val="center"/>
            </w:pPr>
            <w:r>
              <w:rPr>
                <w:sz w:val="18"/>
              </w:rPr>
              <w:t>N/A</w:t>
            </w:r>
          </w:p>
        </w:tc>
        <w:tc>
          <w:tcPr>
            <w:tcW w:w="720" w:type="dxa"/>
            <w:tcBorders>
              <w:top w:val="single" w:sz="4" w:space="0" w:color="000000"/>
              <w:left w:val="single" w:sz="12" w:space="0" w:color="000000"/>
              <w:bottom w:val="single" w:sz="4" w:space="0" w:color="000000"/>
              <w:right w:val="single" w:sz="12" w:space="0" w:color="000000"/>
            </w:tcBorders>
            <w:vAlign w:val="center"/>
          </w:tcPr>
          <w:p w14:paraId="4014C36C" w14:textId="080FBACD" w:rsidR="00B56D50" w:rsidRDefault="001C3C42" w:rsidP="001A7489">
            <w:pPr>
              <w:spacing w:after="0" w:line="259" w:lineRule="auto"/>
              <w:ind w:left="0" w:right="50" w:firstLine="0"/>
              <w:jc w:val="center"/>
            </w:pPr>
            <w:r>
              <w:rPr>
                <w:sz w:val="18"/>
              </w:rPr>
              <w:t>N/A</w:t>
            </w:r>
          </w:p>
        </w:tc>
        <w:tc>
          <w:tcPr>
            <w:tcW w:w="810" w:type="dxa"/>
            <w:tcBorders>
              <w:top w:val="single" w:sz="4" w:space="0" w:color="000000"/>
              <w:left w:val="single" w:sz="12" w:space="0" w:color="000000"/>
              <w:bottom w:val="single" w:sz="4" w:space="0" w:color="000000"/>
              <w:right w:val="single" w:sz="12" w:space="0" w:color="000000"/>
            </w:tcBorders>
            <w:vAlign w:val="center"/>
          </w:tcPr>
          <w:p w14:paraId="7799DD4C" w14:textId="1420E6E6" w:rsidR="00B56D50" w:rsidRDefault="001C3C42" w:rsidP="001A7489">
            <w:pPr>
              <w:spacing w:after="0" w:line="259" w:lineRule="auto"/>
              <w:ind w:left="0" w:right="47" w:firstLine="0"/>
              <w:jc w:val="center"/>
            </w:pPr>
            <w:r>
              <w:rPr>
                <w:sz w:val="18"/>
              </w:rPr>
              <w:t>906.0</w:t>
            </w:r>
            <w:r w:rsidR="00DE0120">
              <w:rPr>
                <w:sz w:val="18"/>
              </w:rPr>
              <w:t xml:space="preserve"> </w:t>
            </w:r>
            <w:r w:rsidR="00587DE6" w:rsidRPr="00A235E7">
              <w:rPr>
                <w:b/>
                <w:bCs/>
                <w:sz w:val="18"/>
                <w:vertAlign w:val="superscript"/>
              </w:rPr>
              <w:t>31</w:t>
            </w:r>
          </w:p>
        </w:tc>
        <w:tc>
          <w:tcPr>
            <w:tcW w:w="810" w:type="dxa"/>
            <w:tcBorders>
              <w:top w:val="single" w:sz="4" w:space="0" w:color="000000"/>
              <w:left w:val="single" w:sz="12" w:space="0" w:color="000000"/>
              <w:bottom w:val="single" w:sz="4" w:space="0" w:color="000000"/>
              <w:right w:val="single" w:sz="12" w:space="0" w:color="000000"/>
            </w:tcBorders>
            <w:vAlign w:val="center"/>
          </w:tcPr>
          <w:p w14:paraId="64CBAF5B" w14:textId="2219C9BD" w:rsidR="00B56D50" w:rsidRDefault="00B56D50" w:rsidP="001A7489">
            <w:pPr>
              <w:spacing w:after="0" w:line="259" w:lineRule="auto"/>
              <w:ind w:left="0" w:right="2" w:firstLine="0"/>
              <w:jc w:val="center"/>
            </w:pPr>
          </w:p>
        </w:tc>
        <w:tc>
          <w:tcPr>
            <w:tcW w:w="720" w:type="dxa"/>
            <w:tcBorders>
              <w:top w:val="single" w:sz="4" w:space="0" w:color="000000"/>
              <w:left w:val="single" w:sz="12" w:space="0" w:color="000000"/>
              <w:bottom w:val="single" w:sz="4" w:space="0" w:color="000000"/>
              <w:right w:val="single" w:sz="12" w:space="0" w:color="000000"/>
            </w:tcBorders>
            <w:vAlign w:val="center"/>
          </w:tcPr>
          <w:p w14:paraId="751334E9" w14:textId="525D09B6" w:rsidR="00B56D50" w:rsidRDefault="00B56D50" w:rsidP="001A7489">
            <w:pPr>
              <w:spacing w:after="0" w:line="259" w:lineRule="auto"/>
              <w:ind w:left="0" w:right="5" w:firstLine="0"/>
              <w:jc w:val="center"/>
            </w:pPr>
          </w:p>
        </w:tc>
      </w:tr>
      <w:tr w:rsidR="003073DA" w14:paraId="6F0A9B68" w14:textId="77777777" w:rsidTr="005B6604">
        <w:trPr>
          <w:trHeight w:val="252"/>
        </w:trPr>
        <w:tc>
          <w:tcPr>
            <w:tcW w:w="3600" w:type="dxa"/>
            <w:tcBorders>
              <w:top w:val="single" w:sz="4" w:space="0" w:color="000000"/>
              <w:left w:val="single" w:sz="12" w:space="0" w:color="000000"/>
              <w:bottom w:val="single" w:sz="4" w:space="0" w:color="000000"/>
              <w:right w:val="single" w:sz="12" w:space="0" w:color="000000"/>
            </w:tcBorders>
          </w:tcPr>
          <w:p w14:paraId="7B032C72" w14:textId="77777777" w:rsidR="00B56D50" w:rsidRDefault="001C3C42">
            <w:pPr>
              <w:spacing w:after="0" w:line="259" w:lineRule="auto"/>
              <w:ind w:left="0" w:right="0" w:firstLine="0"/>
            </w:pPr>
            <w:r>
              <w:rPr>
                <w:sz w:val="18"/>
              </w:rPr>
              <w:t xml:space="preserve">Uranium-234 </w:t>
            </w:r>
          </w:p>
        </w:tc>
        <w:tc>
          <w:tcPr>
            <w:tcW w:w="1710" w:type="dxa"/>
            <w:tcBorders>
              <w:top w:val="single" w:sz="4" w:space="0" w:color="000000"/>
              <w:left w:val="single" w:sz="12" w:space="0" w:color="000000"/>
              <w:bottom w:val="single" w:sz="4" w:space="0" w:color="000000"/>
              <w:right w:val="single" w:sz="12" w:space="0" w:color="000000"/>
            </w:tcBorders>
            <w:vAlign w:val="center"/>
          </w:tcPr>
          <w:p w14:paraId="43CCFF55" w14:textId="564A71D8" w:rsidR="00B56D50" w:rsidRDefault="001C3C42" w:rsidP="001A7489">
            <w:pPr>
              <w:spacing w:after="0" w:line="259" w:lineRule="auto"/>
              <w:ind w:left="0" w:right="44" w:firstLine="0"/>
              <w:jc w:val="center"/>
            </w:pPr>
            <w:r>
              <w:rPr>
                <w:sz w:val="18"/>
              </w:rPr>
              <w:t>13966-29-5</w:t>
            </w:r>
          </w:p>
        </w:tc>
        <w:tc>
          <w:tcPr>
            <w:tcW w:w="720" w:type="dxa"/>
            <w:tcBorders>
              <w:top w:val="single" w:sz="4" w:space="0" w:color="000000"/>
              <w:left w:val="single" w:sz="12" w:space="0" w:color="000000"/>
              <w:bottom w:val="single" w:sz="4" w:space="0" w:color="000000"/>
              <w:right w:val="single" w:sz="12" w:space="0" w:color="000000"/>
            </w:tcBorders>
            <w:vAlign w:val="center"/>
          </w:tcPr>
          <w:p w14:paraId="2A6C4BB4" w14:textId="7CB5CBC2" w:rsidR="00B56D50" w:rsidRDefault="00B56D50" w:rsidP="001A7489">
            <w:pPr>
              <w:spacing w:after="0" w:line="259" w:lineRule="auto"/>
              <w:ind w:left="0" w:right="0" w:firstLine="0"/>
              <w:jc w:val="center"/>
            </w:pPr>
          </w:p>
        </w:tc>
        <w:tc>
          <w:tcPr>
            <w:tcW w:w="810" w:type="dxa"/>
            <w:tcBorders>
              <w:top w:val="single" w:sz="4" w:space="0" w:color="000000"/>
              <w:left w:val="single" w:sz="12" w:space="0" w:color="000000"/>
              <w:bottom w:val="single" w:sz="4" w:space="0" w:color="000000"/>
              <w:right w:val="single" w:sz="12" w:space="0" w:color="000000"/>
            </w:tcBorders>
            <w:vAlign w:val="center"/>
          </w:tcPr>
          <w:p w14:paraId="17A0FA7B" w14:textId="00FE4670" w:rsidR="00B56D50" w:rsidRDefault="001C3C42" w:rsidP="001A7489">
            <w:pPr>
              <w:spacing w:after="0" w:line="259" w:lineRule="auto"/>
              <w:ind w:left="0" w:right="46" w:firstLine="0"/>
              <w:jc w:val="center"/>
            </w:pPr>
            <w:proofErr w:type="spellStart"/>
            <w:r>
              <w:rPr>
                <w:sz w:val="18"/>
              </w:rPr>
              <w:t>pCi</w:t>
            </w:r>
            <w:proofErr w:type="spellEnd"/>
            <w:r>
              <w:rPr>
                <w:sz w:val="18"/>
              </w:rPr>
              <w:t>/L</w:t>
            </w:r>
          </w:p>
        </w:tc>
        <w:tc>
          <w:tcPr>
            <w:tcW w:w="720" w:type="dxa"/>
            <w:tcBorders>
              <w:top w:val="single" w:sz="4" w:space="0" w:color="000000"/>
              <w:left w:val="single" w:sz="12" w:space="0" w:color="000000"/>
              <w:bottom w:val="single" w:sz="4" w:space="0" w:color="000000"/>
              <w:right w:val="single" w:sz="12" w:space="0" w:color="000000"/>
            </w:tcBorders>
            <w:vAlign w:val="center"/>
          </w:tcPr>
          <w:p w14:paraId="15B5FC1B" w14:textId="35E0D76F" w:rsidR="00B56D50" w:rsidRDefault="001C3C42" w:rsidP="001A7489">
            <w:pPr>
              <w:spacing w:after="0" w:line="259" w:lineRule="auto"/>
              <w:ind w:left="0" w:right="49" w:firstLine="0"/>
              <w:jc w:val="center"/>
            </w:pPr>
            <w:r>
              <w:rPr>
                <w:sz w:val="18"/>
              </w:rPr>
              <w:t>N/A</w:t>
            </w:r>
          </w:p>
        </w:tc>
        <w:tc>
          <w:tcPr>
            <w:tcW w:w="720" w:type="dxa"/>
            <w:tcBorders>
              <w:top w:val="single" w:sz="4" w:space="0" w:color="000000"/>
              <w:left w:val="single" w:sz="12" w:space="0" w:color="000000"/>
              <w:bottom w:val="single" w:sz="4" w:space="0" w:color="000000"/>
              <w:right w:val="single" w:sz="12" w:space="0" w:color="000000"/>
            </w:tcBorders>
            <w:vAlign w:val="center"/>
          </w:tcPr>
          <w:p w14:paraId="01954CDD" w14:textId="0DB57F44" w:rsidR="00B56D50" w:rsidRDefault="001C3C42" w:rsidP="001A7489">
            <w:pPr>
              <w:spacing w:after="0" w:line="259" w:lineRule="auto"/>
              <w:ind w:left="0" w:right="50" w:firstLine="0"/>
              <w:jc w:val="center"/>
            </w:pPr>
            <w:r>
              <w:rPr>
                <w:sz w:val="18"/>
              </w:rPr>
              <w:t>N/A</w:t>
            </w:r>
          </w:p>
        </w:tc>
        <w:tc>
          <w:tcPr>
            <w:tcW w:w="810" w:type="dxa"/>
            <w:tcBorders>
              <w:top w:val="single" w:sz="4" w:space="0" w:color="000000"/>
              <w:left w:val="single" w:sz="12" w:space="0" w:color="000000"/>
              <w:bottom w:val="single" w:sz="4" w:space="0" w:color="000000"/>
              <w:right w:val="single" w:sz="12" w:space="0" w:color="000000"/>
            </w:tcBorders>
            <w:vAlign w:val="center"/>
          </w:tcPr>
          <w:p w14:paraId="57B25E79" w14:textId="4D46B356" w:rsidR="00B56D50" w:rsidRDefault="001C3C42" w:rsidP="001A7489">
            <w:pPr>
              <w:spacing w:after="0" w:line="259" w:lineRule="auto"/>
              <w:ind w:left="0" w:right="47" w:firstLine="0"/>
              <w:jc w:val="center"/>
            </w:pPr>
            <w:r>
              <w:rPr>
                <w:sz w:val="18"/>
              </w:rPr>
              <w:t>908.0</w:t>
            </w:r>
            <w:r w:rsidR="00DE0120">
              <w:rPr>
                <w:sz w:val="18"/>
              </w:rPr>
              <w:t xml:space="preserve"> </w:t>
            </w:r>
            <w:r w:rsidR="00587DE6" w:rsidRPr="00A235E7">
              <w:rPr>
                <w:b/>
                <w:bCs/>
                <w:sz w:val="18"/>
                <w:vertAlign w:val="superscript"/>
              </w:rPr>
              <w:t>31</w:t>
            </w:r>
          </w:p>
        </w:tc>
        <w:tc>
          <w:tcPr>
            <w:tcW w:w="810" w:type="dxa"/>
            <w:tcBorders>
              <w:top w:val="single" w:sz="4" w:space="0" w:color="000000"/>
              <w:left w:val="single" w:sz="12" w:space="0" w:color="000000"/>
              <w:bottom w:val="single" w:sz="4" w:space="0" w:color="000000"/>
              <w:right w:val="single" w:sz="12" w:space="0" w:color="000000"/>
            </w:tcBorders>
            <w:vAlign w:val="center"/>
          </w:tcPr>
          <w:p w14:paraId="70DF3DE5" w14:textId="5C5217F1" w:rsidR="00B56D50" w:rsidRDefault="00B56D50" w:rsidP="001A7489">
            <w:pPr>
              <w:spacing w:after="0" w:line="259" w:lineRule="auto"/>
              <w:ind w:left="0" w:right="2" w:firstLine="0"/>
              <w:jc w:val="center"/>
            </w:pPr>
          </w:p>
        </w:tc>
        <w:tc>
          <w:tcPr>
            <w:tcW w:w="720" w:type="dxa"/>
            <w:tcBorders>
              <w:top w:val="single" w:sz="4" w:space="0" w:color="000000"/>
              <w:left w:val="single" w:sz="12" w:space="0" w:color="000000"/>
              <w:bottom w:val="single" w:sz="4" w:space="0" w:color="000000"/>
              <w:right w:val="single" w:sz="12" w:space="0" w:color="000000"/>
            </w:tcBorders>
            <w:vAlign w:val="center"/>
          </w:tcPr>
          <w:p w14:paraId="3F565BC0" w14:textId="546D5802" w:rsidR="00B56D50" w:rsidRDefault="00B56D50" w:rsidP="001A7489">
            <w:pPr>
              <w:spacing w:after="0" w:line="259" w:lineRule="auto"/>
              <w:ind w:left="0" w:right="5" w:firstLine="0"/>
              <w:jc w:val="center"/>
            </w:pPr>
          </w:p>
        </w:tc>
      </w:tr>
      <w:tr w:rsidR="003073DA" w14:paraId="23C705CC" w14:textId="77777777" w:rsidTr="005B6604">
        <w:trPr>
          <w:trHeight w:val="257"/>
        </w:trPr>
        <w:tc>
          <w:tcPr>
            <w:tcW w:w="3600" w:type="dxa"/>
            <w:tcBorders>
              <w:top w:val="single" w:sz="4" w:space="0" w:color="000000"/>
              <w:left w:val="single" w:sz="12" w:space="0" w:color="000000"/>
              <w:bottom w:val="single" w:sz="12" w:space="0" w:color="000000"/>
              <w:right w:val="single" w:sz="12" w:space="0" w:color="000000"/>
            </w:tcBorders>
          </w:tcPr>
          <w:p w14:paraId="04F8C9A4" w14:textId="77777777" w:rsidR="00B56D50" w:rsidRDefault="001C3C42">
            <w:pPr>
              <w:spacing w:after="0" w:line="259" w:lineRule="auto"/>
              <w:ind w:left="0" w:right="0" w:firstLine="0"/>
            </w:pPr>
            <w:r>
              <w:rPr>
                <w:sz w:val="18"/>
              </w:rPr>
              <w:t xml:space="preserve">Uranium-238 </w:t>
            </w:r>
          </w:p>
        </w:tc>
        <w:tc>
          <w:tcPr>
            <w:tcW w:w="1710" w:type="dxa"/>
            <w:tcBorders>
              <w:top w:val="single" w:sz="4" w:space="0" w:color="000000"/>
              <w:left w:val="single" w:sz="12" w:space="0" w:color="000000"/>
              <w:bottom w:val="single" w:sz="12" w:space="0" w:color="000000"/>
              <w:right w:val="single" w:sz="12" w:space="0" w:color="000000"/>
            </w:tcBorders>
            <w:vAlign w:val="center"/>
          </w:tcPr>
          <w:p w14:paraId="575C3892" w14:textId="01D62E4E" w:rsidR="00B56D50" w:rsidRDefault="001C3C42" w:rsidP="001A7489">
            <w:pPr>
              <w:spacing w:after="0" w:line="259" w:lineRule="auto"/>
              <w:ind w:left="0" w:right="44" w:firstLine="0"/>
              <w:jc w:val="center"/>
            </w:pPr>
            <w:r>
              <w:rPr>
                <w:sz w:val="18"/>
              </w:rPr>
              <w:t>7440-61-1</w:t>
            </w:r>
          </w:p>
        </w:tc>
        <w:tc>
          <w:tcPr>
            <w:tcW w:w="720" w:type="dxa"/>
            <w:tcBorders>
              <w:top w:val="single" w:sz="4" w:space="0" w:color="000000"/>
              <w:left w:val="single" w:sz="12" w:space="0" w:color="000000"/>
              <w:bottom w:val="single" w:sz="12" w:space="0" w:color="000000"/>
              <w:right w:val="single" w:sz="12" w:space="0" w:color="000000"/>
            </w:tcBorders>
            <w:vAlign w:val="center"/>
          </w:tcPr>
          <w:p w14:paraId="07F32863" w14:textId="6E990F69" w:rsidR="00B56D50" w:rsidRDefault="00B56D50" w:rsidP="001A7489">
            <w:pPr>
              <w:spacing w:after="0" w:line="259" w:lineRule="auto"/>
              <w:ind w:left="0" w:right="0" w:firstLine="0"/>
              <w:jc w:val="center"/>
            </w:pPr>
          </w:p>
        </w:tc>
        <w:tc>
          <w:tcPr>
            <w:tcW w:w="810" w:type="dxa"/>
            <w:tcBorders>
              <w:top w:val="single" w:sz="4" w:space="0" w:color="000000"/>
              <w:left w:val="single" w:sz="12" w:space="0" w:color="000000"/>
              <w:bottom w:val="single" w:sz="12" w:space="0" w:color="000000"/>
              <w:right w:val="single" w:sz="12" w:space="0" w:color="000000"/>
            </w:tcBorders>
            <w:vAlign w:val="center"/>
          </w:tcPr>
          <w:p w14:paraId="16610E4C" w14:textId="10BB1731" w:rsidR="00B56D50" w:rsidRDefault="001C3C42" w:rsidP="001A7489">
            <w:pPr>
              <w:spacing w:after="0" w:line="259" w:lineRule="auto"/>
              <w:ind w:left="0" w:right="46" w:firstLine="0"/>
              <w:jc w:val="center"/>
            </w:pPr>
            <w:proofErr w:type="spellStart"/>
            <w:r>
              <w:rPr>
                <w:sz w:val="18"/>
              </w:rPr>
              <w:t>pCi</w:t>
            </w:r>
            <w:proofErr w:type="spellEnd"/>
            <w:r>
              <w:rPr>
                <w:sz w:val="18"/>
              </w:rPr>
              <w:t>/L</w:t>
            </w:r>
          </w:p>
        </w:tc>
        <w:tc>
          <w:tcPr>
            <w:tcW w:w="720" w:type="dxa"/>
            <w:tcBorders>
              <w:top w:val="single" w:sz="4" w:space="0" w:color="000000"/>
              <w:left w:val="single" w:sz="12" w:space="0" w:color="000000"/>
              <w:bottom w:val="single" w:sz="12" w:space="0" w:color="000000"/>
              <w:right w:val="single" w:sz="12" w:space="0" w:color="000000"/>
            </w:tcBorders>
            <w:vAlign w:val="center"/>
          </w:tcPr>
          <w:p w14:paraId="246E3328" w14:textId="747576C3" w:rsidR="00B56D50" w:rsidRDefault="001C3C42" w:rsidP="001A7489">
            <w:pPr>
              <w:spacing w:after="0" w:line="259" w:lineRule="auto"/>
              <w:ind w:left="0" w:right="49" w:firstLine="0"/>
              <w:jc w:val="center"/>
            </w:pPr>
            <w:r>
              <w:rPr>
                <w:sz w:val="18"/>
              </w:rPr>
              <w:t>N/A</w:t>
            </w:r>
          </w:p>
        </w:tc>
        <w:tc>
          <w:tcPr>
            <w:tcW w:w="720" w:type="dxa"/>
            <w:tcBorders>
              <w:top w:val="single" w:sz="4" w:space="0" w:color="000000"/>
              <w:left w:val="single" w:sz="12" w:space="0" w:color="000000"/>
              <w:bottom w:val="single" w:sz="12" w:space="0" w:color="000000"/>
              <w:right w:val="single" w:sz="12" w:space="0" w:color="000000"/>
            </w:tcBorders>
            <w:vAlign w:val="center"/>
          </w:tcPr>
          <w:p w14:paraId="32AD4C31" w14:textId="5959FE04" w:rsidR="00B56D50" w:rsidRDefault="001C3C42" w:rsidP="001A7489">
            <w:pPr>
              <w:spacing w:after="0" w:line="259" w:lineRule="auto"/>
              <w:ind w:left="0" w:right="50" w:firstLine="0"/>
              <w:jc w:val="center"/>
            </w:pPr>
            <w:r>
              <w:rPr>
                <w:sz w:val="18"/>
              </w:rPr>
              <w:t>N/A</w:t>
            </w:r>
          </w:p>
        </w:tc>
        <w:tc>
          <w:tcPr>
            <w:tcW w:w="810" w:type="dxa"/>
            <w:tcBorders>
              <w:top w:val="single" w:sz="4" w:space="0" w:color="000000"/>
              <w:left w:val="single" w:sz="12" w:space="0" w:color="000000"/>
              <w:bottom w:val="single" w:sz="12" w:space="0" w:color="000000"/>
              <w:right w:val="single" w:sz="12" w:space="0" w:color="000000"/>
            </w:tcBorders>
            <w:vAlign w:val="center"/>
          </w:tcPr>
          <w:p w14:paraId="3D50B24B" w14:textId="1655ABF5" w:rsidR="00B56D50" w:rsidRDefault="001C3C42" w:rsidP="001A7489">
            <w:pPr>
              <w:spacing w:after="0" w:line="259" w:lineRule="auto"/>
              <w:ind w:left="0" w:right="47" w:firstLine="0"/>
              <w:jc w:val="center"/>
            </w:pPr>
            <w:r>
              <w:rPr>
                <w:sz w:val="18"/>
              </w:rPr>
              <w:t>908.0</w:t>
            </w:r>
            <w:r w:rsidR="00DE0120">
              <w:rPr>
                <w:sz w:val="18"/>
              </w:rPr>
              <w:t xml:space="preserve"> </w:t>
            </w:r>
            <w:r w:rsidR="00587DE6" w:rsidRPr="00A235E7">
              <w:rPr>
                <w:b/>
                <w:bCs/>
                <w:sz w:val="18"/>
                <w:vertAlign w:val="superscript"/>
              </w:rPr>
              <w:t>31</w:t>
            </w:r>
          </w:p>
        </w:tc>
        <w:tc>
          <w:tcPr>
            <w:tcW w:w="810" w:type="dxa"/>
            <w:tcBorders>
              <w:top w:val="single" w:sz="4" w:space="0" w:color="000000"/>
              <w:left w:val="single" w:sz="12" w:space="0" w:color="000000"/>
              <w:bottom w:val="single" w:sz="12" w:space="0" w:color="000000"/>
              <w:right w:val="single" w:sz="12" w:space="0" w:color="000000"/>
            </w:tcBorders>
            <w:vAlign w:val="center"/>
          </w:tcPr>
          <w:p w14:paraId="5BD4AD74" w14:textId="08ED7BE7" w:rsidR="00B56D50" w:rsidRDefault="00B56D50" w:rsidP="001A7489">
            <w:pPr>
              <w:spacing w:after="0" w:line="259" w:lineRule="auto"/>
              <w:ind w:left="0" w:right="2" w:firstLine="0"/>
              <w:jc w:val="center"/>
            </w:pPr>
          </w:p>
        </w:tc>
        <w:tc>
          <w:tcPr>
            <w:tcW w:w="720" w:type="dxa"/>
            <w:tcBorders>
              <w:top w:val="single" w:sz="4" w:space="0" w:color="000000"/>
              <w:left w:val="single" w:sz="12" w:space="0" w:color="000000"/>
              <w:bottom w:val="single" w:sz="12" w:space="0" w:color="000000"/>
              <w:right w:val="single" w:sz="12" w:space="0" w:color="000000"/>
            </w:tcBorders>
            <w:vAlign w:val="center"/>
          </w:tcPr>
          <w:p w14:paraId="090F1C8D" w14:textId="19B70CFC" w:rsidR="00B56D50" w:rsidRDefault="00B56D50" w:rsidP="001A7489">
            <w:pPr>
              <w:spacing w:after="0" w:line="259" w:lineRule="auto"/>
              <w:ind w:left="0" w:right="5" w:firstLine="0"/>
              <w:jc w:val="center"/>
            </w:pPr>
          </w:p>
        </w:tc>
      </w:tr>
    </w:tbl>
    <w:p w14:paraId="577E9BE3" w14:textId="77777777" w:rsidR="0070727D" w:rsidRDefault="0070727D" w:rsidP="00FC7B17">
      <w:pPr>
        <w:spacing w:after="2" w:line="259" w:lineRule="auto"/>
        <w:ind w:left="0" w:right="2998" w:firstLine="0"/>
        <w:rPr>
          <w:bCs/>
        </w:rPr>
      </w:pPr>
    </w:p>
    <w:p w14:paraId="35E45CD2" w14:textId="77777777" w:rsidR="00237C07" w:rsidRDefault="00237C07" w:rsidP="00FC7B17">
      <w:pPr>
        <w:spacing w:after="2" w:line="259" w:lineRule="auto"/>
        <w:ind w:left="0" w:right="2998" w:firstLine="0"/>
        <w:rPr>
          <w:bCs/>
        </w:rPr>
      </w:pPr>
    </w:p>
    <w:p w14:paraId="07BA3661" w14:textId="77777777" w:rsidR="00237C07" w:rsidRDefault="00237C07" w:rsidP="00FC7B17">
      <w:pPr>
        <w:spacing w:after="2" w:line="259" w:lineRule="auto"/>
        <w:ind w:left="0" w:right="2998" w:firstLine="0"/>
        <w:rPr>
          <w:bCs/>
        </w:rPr>
      </w:pPr>
    </w:p>
    <w:p w14:paraId="349FAA8F" w14:textId="77777777" w:rsidR="00237C07" w:rsidRDefault="00237C07" w:rsidP="00FC7B17">
      <w:pPr>
        <w:spacing w:after="2" w:line="259" w:lineRule="auto"/>
        <w:ind w:left="0" w:right="2998" w:firstLine="0"/>
        <w:rPr>
          <w:bCs/>
        </w:rPr>
      </w:pPr>
    </w:p>
    <w:p w14:paraId="01F56AFB" w14:textId="77777777" w:rsidR="00237C07" w:rsidRDefault="00237C07" w:rsidP="00FC7B17">
      <w:pPr>
        <w:spacing w:after="2" w:line="259" w:lineRule="auto"/>
        <w:ind w:left="0" w:right="2998" w:firstLine="0"/>
        <w:rPr>
          <w:bCs/>
        </w:rPr>
      </w:pPr>
    </w:p>
    <w:p w14:paraId="252E8CCB" w14:textId="77777777" w:rsidR="00237C07" w:rsidRDefault="00237C07" w:rsidP="00237C07">
      <w:pPr>
        <w:ind w:left="0" w:firstLine="0"/>
        <w:jc w:val="center"/>
      </w:pPr>
      <w:r>
        <w:rPr>
          <w:b/>
        </w:rPr>
        <w:t>THE REMAINDER OF THIS PAGE HAS BEEN LEFT BLANK INTENTIONALLY</w:t>
      </w:r>
    </w:p>
    <w:p w14:paraId="0C6FAB49" w14:textId="77777777" w:rsidR="00237C07" w:rsidRDefault="00237C07" w:rsidP="00FC7B17">
      <w:pPr>
        <w:spacing w:after="2" w:line="259" w:lineRule="auto"/>
        <w:ind w:left="0" w:right="2998" w:firstLine="0"/>
        <w:rPr>
          <w:bCs/>
        </w:rPr>
      </w:pPr>
    </w:p>
    <w:p w14:paraId="13EBEB29" w14:textId="77777777" w:rsidR="000D5252" w:rsidRDefault="000D5252" w:rsidP="00FC7B17">
      <w:pPr>
        <w:spacing w:after="2" w:line="259" w:lineRule="auto"/>
        <w:ind w:left="0" w:right="2998" w:firstLine="0"/>
        <w:rPr>
          <w:bCs/>
        </w:rPr>
      </w:pPr>
    </w:p>
    <w:p w14:paraId="63310402" w14:textId="77777777" w:rsidR="000D5252" w:rsidRDefault="000D5252" w:rsidP="00FC7B17">
      <w:pPr>
        <w:spacing w:after="2" w:line="259" w:lineRule="auto"/>
        <w:ind w:left="0" w:right="2998" w:firstLine="0"/>
        <w:rPr>
          <w:bCs/>
        </w:rPr>
      </w:pPr>
    </w:p>
    <w:p w14:paraId="73F71090" w14:textId="77777777" w:rsidR="000D5252" w:rsidRDefault="000D5252" w:rsidP="00FC7B17">
      <w:pPr>
        <w:spacing w:after="2" w:line="259" w:lineRule="auto"/>
        <w:ind w:left="0" w:right="2998" w:firstLine="0"/>
        <w:rPr>
          <w:bCs/>
        </w:rPr>
      </w:pPr>
    </w:p>
    <w:p w14:paraId="7C3A7048" w14:textId="77777777" w:rsidR="000D5252" w:rsidRDefault="000D5252" w:rsidP="00FC7B17">
      <w:pPr>
        <w:spacing w:after="2" w:line="259" w:lineRule="auto"/>
        <w:ind w:left="0" w:right="2998" w:firstLine="0"/>
        <w:rPr>
          <w:bCs/>
        </w:rPr>
      </w:pPr>
    </w:p>
    <w:p w14:paraId="3B21782A" w14:textId="77777777" w:rsidR="000D5252" w:rsidRDefault="000D5252" w:rsidP="00FC7B17">
      <w:pPr>
        <w:spacing w:after="2" w:line="259" w:lineRule="auto"/>
        <w:ind w:left="0" w:right="2998" w:firstLine="0"/>
        <w:rPr>
          <w:bCs/>
        </w:rPr>
      </w:pPr>
    </w:p>
    <w:p w14:paraId="7279643A" w14:textId="77777777" w:rsidR="000D5252" w:rsidRDefault="000D5252" w:rsidP="00FC7B17">
      <w:pPr>
        <w:spacing w:after="2" w:line="259" w:lineRule="auto"/>
        <w:ind w:left="0" w:right="2998" w:firstLine="0"/>
        <w:rPr>
          <w:bCs/>
        </w:rPr>
      </w:pPr>
    </w:p>
    <w:p w14:paraId="449914AA" w14:textId="77777777" w:rsidR="000D5252" w:rsidRDefault="000D5252" w:rsidP="00FC7B17">
      <w:pPr>
        <w:spacing w:after="2" w:line="259" w:lineRule="auto"/>
        <w:ind w:left="0" w:right="2998" w:firstLine="0"/>
        <w:rPr>
          <w:bCs/>
        </w:rPr>
      </w:pPr>
    </w:p>
    <w:p w14:paraId="74BB35B9" w14:textId="77777777" w:rsidR="000D5252" w:rsidRDefault="000D5252" w:rsidP="00FC7B17">
      <w:pPr>
        <w:spacing w:after="2" w:line="259" w:lineRule="auto"/>
        <w:ind w:left="0" w:right="2998" w:firstLine="0"/>
        <w:rPr>
          <w:bCs/>
        </w:rPr>
      </w:pPr>
    </w:p>
    <w:p w14:paraId="6DCBB0AF" w14:textId="77777777" w:rsidR="000D5252" w:rsidRDefault="000D5252" w:rsidP="00FC7B17">
      <w:pPr>
        <w:spacing w:after="2" w:line="259" w:lineRule="auto"/>
        <w:ind w:left="0" w:right="2998" w:firstLine="0"/>
        <w:rPr>
          <w:bCs/>
        </w:rPr>
      </w:pPr>
    </w:p>
    <w:p w14:paraId="2D67CF87" w14:textId="77777777" w:rsidR="000D5252" w:rsidRDefault="000D5252" w:rsidP="00FC7B17">
      <w:pPr>
        <w:spacing w:after="2" w:line="259" w:lineRule="auto"/>
        <w:ind w:left="0" w:right="2998" w:firstLine="0"/>
        <w:rPr>
          <w:bCs/>
        </w:rPr>
      </w:pPr>
    </w:p>
    <w:p w14:paraId="16384C0D" w14:textId="77777777" w:rsidR="000D5252" w:rsidRDefault="000D5252" w:rsidP="00FC7B17">
      <w:pPr>
        <w:spacing w:after="2" w:line="259" w:lineRule="auto"/>
        <w:ind w:left="0" w:right="2998" w:firstLine="0"/>
        <w:rPr>
          <w:bCs/>
        </w:rPr>
      </w:pPr>
    </w:p>
    <w:p w14:paraId="51DEECC3" w14:textId="77777777" w:rsidR="000D5252" w:rsidRDefault="000D5252" w:rsidP="00FC7B17">
      <w:pPr>
        <w:spacing w:after="2" w:line="259" w:lineRule="auto"/>
        <w:ind w:left="0" w:right="2998" w:firstLine="0"/>
        <w:rPr>
          <w:bCs/>
        </w:rPr>
      </w:pPr>
    </w:p>
    <w:p w14:paraId="5555AD58" w14:textId="77777777" w:rsidR="00010751" w:rsidRDefault="00010751" w:rsidP="00FC7B17">
      <w:pPr>
        <w:spacing w:after="2" w:line="259" w:lineRule="auto"/>
        <w:ind w:left="0" w:right="2998" w:firstLine="0"/>
        <w:rPr>
          <w:bCs/>
        </w:rPr>
      </w:pPr>
    </w:p>
    <w:p w14:paraId="394EF3AC" w14:textId="77777777" w:rsidR="00690BC6" w:rsidRDefault="00690BC6" w:rsidP="00FC7B17">
      <w:pPr>
        <w:spacing w:after="2" w:line="259" w:lineRule="auto"/>
        <w:ind w:left="0" w:right="2998" w:firstLine="0"/>
        <w:rPr>
          <w:bCs/>
        </w:rPr>
      </w:pPr>
    </w:p>
    <w:p w14:paraId="2A80E250" w14:textId="77777777" w:rsidR="000D5252" w:rsidRDefault="000D5252" w:rsidP="00FC7B17">
      <w:pPr>
        <w:spacing w:after="2" w:line="259" w:lineRule="auto"/>
        <w:ind w:left="0" w:right="2998" w:firstLine="0"/>
        <w:rPr>
          <w:bCs/>
        </w:rPr>
      </w:pPr>
    </w:p>
    <w:p w14:paraId="4497BB86" w14:textId="77777777" w:rsidR="000D5252" w:rsidRDefault="000D5252" w:rsidP="00FC7B17">
      <w:pPr>
        <w:spacing w:after="2" w:line="259" w:lineRule="auto"/>
        <w:ind w:left="0" w:right="2998" w:firstLine="0"/>
        <w:rPr>
          <w:bCs/>
        </w:rPr>
      </w:pPr>
    </w:p>
    <w:p w14:paraId="0D55943C" w14:textId="5675376C" w:rsidR="00B56D50" w:rsidRPr="00564C6D" w:rsidRDefault="001C3C42" w:rsidP="00735CD4">
      <w:pPr>
        <w:spacing w:after="2" w:line="259" w:lineRule="auto"/>
        <w:ind w:left="0" w:right="0" w:firstLine="0"/>
        <w:jc w:val="center"/>
      </w:pPr>
      <w:r w:rsidRPr="00564C6D">
        <w:rPr>
          <w:b/>
        </w:rPr>
        <w:lastRenderedPageBreak/>
        <w:t>SW-846 SAS</w:t>
      </w:r>
      <w:r w:rsidR="00747C80" w:rsidRPr="00564C6D">
        <w:rPr>
          <w:b/>
        </w:rPr>
        <w:t xml:space="preserve"> – </w:t>
      </w:r>
      <w:r w:rsidR="00C91A6A" w:rsidRPr="00564C6D">
        <w:rPr>
          <w:b/>
        </w:rPr>
        <w:t xml:space="preserve">Supplemental </w:t>
      </w:r>
      <w:r w:rsidR="00747C80" w:rsidRPr="00564C6D">
        <w:rPr>
          <w:b/>
        </w:rPr>
        <w:t>V</w:t>
      </w:r>
      <w:r w:rsidR="00E16A5E" w:rsidRPr="00564C6D">
        <w:rPr>
          <w:b/>
        </w:rPr>
        <w:t>olatile</w:t>
      </w:r>
      <w:r w:rsidRPr="00564C6D">
        <w:rPr>
          <w:b/>
          <w:bCs/>
        </w:rPr>
        <w:t xml:space="preserve"> O</w:t>
      </w:r>
      <w:r w:rsidR="00E16A5E" w:rsidRPr="00564C6D">
        <w:rPr>
          <w:b/>
          <w:bCs/>
        </w:rPr>
        <w:t>rganic</w:t>
      </w:r>
      <w:r w:rsidRPr="00564C6D">
        <w:rPr>
          <w:b/>
          <w:bCs/>
        </w:rPr>
        <w:t xml:space="preserve"> A</w:t>
      </w:r>
      <w:r w:rsidR="00E16A5E" w:rsidRPr="00564C6D">
        <w:rPr>
          <w:b/>
          <w:bCs/>
        </w:rPr>
        <w:t>nalysis</w:t>
      </w:r>
    </w:p>
    <w:p w14:paraId="272467DD" w14:textId="7C9901EA" w:rsidR="00B56D50" w:rsidRPr="00564C6D" w:rsidRDefault="00B56D50">
      <w:pPr>
        <w:spacing w:after="0" w:line="259" w:lineRule="auto"/>
        <w:ind w:left="0" w:right="0" w:firstLine="0"/>
      </w:pPr>
    </w:p>
    <w:tbl>
      <w:tblPr>
        <w:tblStyle w:val="TableGrid1"/>
        <w:tblW w:w="10620" w:type="dxa"/>
        <w:tblInd w:w="-375" w:type="dxa"/>
        <w:tblLayout w:type="fixed"/>
        <w:tblCellMar>
          <w:top w:w="24" w:type="dxa"/>
          <w:left w:w="72" w:type="dxa"/>
          <w:right w:w="22" w:type="dxa"/>
        </w:tblCellMar>
        <w:tblLook w:val="04A0" w:firstRow="1" w:lastRow="0" w:firstColumn="1" w:lastColumn="0" w:noHBand="0" w:noVBand="1"/>
      </w:tblPr>
      <w:tblGrid>
        <w:gridCol w:w="2948"/>
        <w:gridCol w:w="964"/>
        <w:gridCol w:w="623"/>
        <w:gridCol w:w="870"/>
        <w:gridCol w:w="810"/>
        <w:gridCol w:w="793"/>
        <w:gridCol w:w="642"/>
        <w:gridCol w:w="450"/>
        <w:gridCol w:w="900"/>
        <w:gridCol w:w="900"/>
        <w:gridCol w:w="720"/>
      </w:tblGrid>
      <w:tr w:rsidR="00806463" w14:paraId="37D821AC" w14:textId="77777777" w:rsidTr="005B6604">
        <w:trPr>
          <w:trHeight w:val="369"/>
          <w:tblHeader/>
        </w:trPr>
        <w:tc>
          <w:tcPr>
            <w:tcW w:w="10620" w:type="dxa"/>
            <w:gridSpan w:val="11"/>
            <w:tcBorders>
              <w:top w:val="single" w:sz="12" w:space="0" w:color="000000"/>
              <w:left w:val="single" w:sz="12" w:space="0" w:color="000000"/>
              <w:bottom w:val="single" w:sz="12" w:space="0" w:color="000000"/>
              <w:right w:val="single" w:sz="12" w:space="0" w:color="000000"/>
            </w:tcBorders>
            <w:vAlign w:val="center"/>
          </w:tcPr>
          <w:p w14:paraId="3E074468" w14:textId="59F98C91" w:rsidR="00806463" w:rsidRDefault="00806463" w:rsidP="000F7CAD">
            <w:pPr>
              <w:spacing w:after="0" w:line="259" w:lineRule="auto"/>
              <w:ind w:left="0" w:right="0" w:firstLine="0"/>
            </w:pPr>
            <w:r>
              <w:rPr>
                <w:b/>
                <w:sz w:val="18"/>
              </w:rPr>
              <w:t>SW-846 SAS Group C</w:t>
            </w:r>
            <w:proofErr w:type="gramStart"/>
            <w:r>
              <w:rPr>
                <w:b/>
                <w:sz w:val="18"/>
              </w:rPr>
              <w:t>:  Supplemental</w:t>
            </w:r>
            <w:proofErr w:type="gramEnd"/>
            <w:r>
              <w:rPr>
                <w:b/>
                <w:sz w:val="18"/>
              </w:rPr>
              <w:t xml:space="preserve"> V</w:t>
            </w:r>
            <w:r w:rsidR="00E16A5E">
              <w:rPr>
                <w:b/>
                <w:sz w:val="18"/>
              </w:rPr>
              <w:t>olatiles</w:t>
            </w:r>
            <w:r>
              <w:rPr>
                <w:b/>
                <w:sz w:val="18"/>
              </w:rPr>
              <w:t xml:space="preserve"> List for Attachment VIII, Attachment IX, and Table 2</w:t>
            </w:r>
          </w:p>
        </w:tc>
      </w:tr>
      <w:tr w:rsidR="0001496C" w14:paraId="4F3271D1" w14:textId="77777777" w:rsidTr="005B6604">
        <w:trPr>
          <w:trHeight w:val="269"/>
          <w:tblHeader/>
        </w:trPr>
        <w:tc>
          <w:tcPr>
            <w:tcW w:w="2948" w:type="dxa"/>
            <w:vMerge w:val="restart"/>
            <w:tcBorders>
              <w:top w:val="single" w:sz="12" w:space="0" w:color="000000"/>
              <w:left w:val="single" w:sz="12" w:space="0" w:color="000000"/>
              <w:bottom w:val="single" w:sz="12" w:space="0" w:color="000000"/>
              <w:right w:val="single" w:sz="12" w:space="0" w:color="000000"/>
            </w:tcBorders>
            <w:vAlign w:val="center"/>
          </w:tcPr>
          <w:p w14:paraId="79909FCB" w14:textId="630C6926" w:rsidR="00B56D50" w:rsidRDefault="001C3C42" w:rsidP="000F7CAD">
            <w:pPr>
              <w:spacing w:after="0" w:line="259" w:lineRule="auto"/>
              <w:ind w:left="0" w:right="52" w:firstLine="0"/>
              <w:jc w:val="center"/>
            </w:pPr>
            <w:r>
              <w:rPr>
                <w:b/>
                <w:sz w:val="18"/>
              </w:rPr>
              <w:t>Analyte</w:t>
            </w:r>
          </w:p>
        </w:tc>
        <w:tc>
          <w:tcPr>
            <w:tcW w:w="964" w:type="dxa"/>
            <w:vMerge w:val="restart"/>
            <w:tcBorders>
              <w:top w:val="single" w:sz="12" w:space="0" w:color="000000"/>
              <w:left w:val="single" w:sz="12" w:space="0" w:color="000000"/>
              <w:bottom w:val="single" w:sz="12" w:space="0" w:color="000000"/>
              <w:right w:val="single" w:sz="12" w:space="0" w:color="000000"/>
            </w:tcBorders>
            <w:vAlign w:val="center"/>
          </w:tcPr>
          <w:p w14:paraId="3C4F268F" w14:textId="6E2AC818" w:rsidR="00B56D50" w:rsidRDefault="001C3C42" w:rsidP="000F7CAD">
            <w:pPr>
              <w:spacing w:after="0" w:line="259" w:lineRule="auto"/>
              <w:ind w:left="0" w:right="0" w:firstLine="0"/>
              <w:jc w:val="center"/>
            </w:pPr>
            <w:r>
              <w:rPr>
                <w:b/>
                <w:sz w:val="18"/>
              </w:rPr>
              <w:t>CAS Number</w:t>
            </w:r>
          </w:p>
        </w:tc>
        <w:tc>
          <w:tcPr>
            <w:tcW w:w="1493" w:type="dxa"/>
            <w:gridSpan w:val="2"/>
            <w:tcBorders>
              <w:top w:val="single" w:sz="12" w:space="0" w:color="000000"/>
              <w:left w:val="single" w:sz="12" w:space="0" w:color="000000"/>
              <w:bottom w:val="single" w:sz="12" w:space="0" w:color="000000"/>
              <w:right w:val="single" w:sz="12" w:space="0" w:color="000000"/>
            </w:tcBorders>
            <w:vAlign w:val="center"/>
          </w:tcPr>
          <w:p w14:paraId="43870082" w14:textId="7A4B3322" w:rsidR="00B56D50" w:rsidRDefault="001C3C42" w:rsidP="000F7CAD">
            <w:pPr>
              <w:spacing w:after="0" w:line="259" w:lineRule="auto"/>
              <w:ind w:left="0" w:right="59" w:firstLine="0"/>
              <w:jc w:val="center"/>
            </w:pPr>
            <w:r>
              <w:rPr>
                <w:b/>
                <w:sz w:val="18"/>
              </w:rPr>
              <w:t>Aqueous</w:t>
            </w:r>
          </w:p>
        </w:tc>
        <w:tc>
          <w:tcPr>
            <w:tcW w:w="1603" w:type="dxa"/>
            <w:gridSpan w:val="2"/>
            <w:tcBorders>
              <w:top w:val="single" w:sz="12" w:space="0" w:color="000000"/>
              <w:left w:val="single" w:sz="12" w:space="0" w:color="000000"/>
              <w:bottom w:val="single" w:sz="12" w:space="0" w:color="000000"/>
              <w:right w:val="single" w:sz="12" w:space="0" w:color="000000"/>
            </w:tcBorders>
            <w:vAlign w:val="center"/>
          </w:tcPr>
          <w:p w14:paraId="2D2B5CC9" w14:textId="31F58747" w:rsidR="00B56D50" w:rsidRDefault="001C3C42" w:rsidP="000F7CAD">
            <w:pPr>
              <w:spacing w:after="0" w:line="259" w:lineRule="auto"/>
              <w:ind w:left="0" w:right="55" w:firstLine="0"/>
              <w:jc w:val="center"/>
            </w:pPr>
            <w:r>
              <w:rPr>
                <w:b/>
                <w:sz w:val="18"/>
              </w:rPr>
              <w:t>Soil/Sediment</w:t>
            </w:r>
          </w:p>
        </w:tc>
        <w:tc>
          <w:tcPr>
            <w:tcW w:w="1992" w:type="dxa"/>
            <w:gridSpan w:val="3"/>
            <w:tcBorders>
              <w:top w:val="single" w:sz="12" w:space="0" w:color="000000"/>
              <w:left w:val="single" w:sz="12" w:space="0" w:color="000000"/>
              <w:bottom w:val="single" w:sz="12" w:space="0" w:color="000000"/>
              <w:right w:val="single" w:sz="12" w:space="0" w:color="000000"/>
            </w:tcBorders>
            <w:vAlign w:val="center"/>
          </w:tcPr>
          <w:p w14:paraId="73935186" w14:textId="3353863C" w:rsidR="00B56D50" w:rsidRDefault="001C3C42" w:rsidP="000F7CAD">
            <w:pPr>
              <w:spacing w:after="0" w:line="259" w:lineRule="auto"/>
              <w:ind w:left="36" w:right="0" w:firstLine="0"/>
              <w:jc w:val="center"/>
            </w:pPr>
            <w:r>
              <w:rPr>
                <w:b/>
                <w:sz w:val="18"/>
              </w:rPr>
              <w:t>Attachment/Table</w:t>
            </w:r>
          </w:p>
        </w:tc>
        <w:tc>
          <w:tcPr>
            <w:tcW w:w="1620" w:type="dxa"/>
            <w:gridSpan w:val="2"/>
            <w:vMerge w:val="restart"/>
            <w:tcBorders>
              <w:top w:val="single" w:sz="12" w:space="0" w:color="000000"/>
              <w:left w:val="single" w:sz="12" w:space="0" w:color="000000"/>
              <w:bottom w:val="single" w:sz="12" w:space="0" w:color="000000"/>
              <w:right w:val="single" w:sz="12" w:space="0" w:color="000000"/>
            </w:tcBorders>
            <w:vAlign w:val="center"/>
          </w:tcPr>
          <w:p w14:paraId="75AB7EF5" w14:textId="265184AA" w:rsidR="00B56D50" w:rsidRDefault="001C3C42" w:rsidP="009B7A03">
            <w:pPr>
              <w:spacing w:after="0" w:line="259" w:lineRule="auto"/>
              <w:ind w:left="0" w:right="0" w:firstLine="0"/>
              <w:jc w:val="center"/>
            </w:pPr>
            <w:r>
              <w:rPr>
                <w:b/>
                <w:sz w:val="18"/>
              </w:rPr>
              <w:t>Suggested Methods</w:t>
            </w:r>
          </w:p>
        </w:tc>
      </w:tr>
      <w:tr w:rsidR="00C84A5D" w14:paraId="39BD9BCB" w14:textId="77777777" w:rsidTr="005B6604">
        <w:trPr>
          <w:trHeight w:val="271"/>
          <w:tblHeader/>
        </w:trPr>
        <w:tc>
          <w:tcPr>
            <w:tcW w:w="2948" w:type="dxa"/>
            <w:vMerge/>
            <w:tcBorders>
              <w:top w:val="nil"/>
              <w:left w:val="single" w:sz="12" w:space="0" w:color="000000"/>
              <w:bottom w:val="single" w:sz="12" w:space="0" w:color="000000"/>
              <w:right w:val="single" w:sz="12" w:space="0" w:color="000000"/>
            </w:tcBorders>
            <w:vAlign w:val="center"/>
          </w:tcPr>
          <w:p w14:paraId="5D453FA8" w14:textId="77777777" w:rsidR="00B56D50" w:rsidRDefault="00B56D50" w:rsidP="000F7CAD">
            <w:pPr>
              <w:spacing w:after="160" w:line="259" w:lineRule="auto"/>
              <w:ind w:left="0" w:right="0" w:firstLine="0"/>
              <w:jc w:val="center"/>
            </w:pPr>
          </w:p>
        </w:tc>
        <w:tc>
          <w:tcPr>
            <w:tcW w:w="964" w:type="dxa"/>
            <w:vMerge/>
            <w:tcBorders>
              <w:top w:val="nil"/>
              <w:left w:val="single" w:sz="12" w:space="0" w:color="000000"/>
              <w:bottom w:val="single" w:sz="12" w:space="0" w:color="000000"/>
              <w:right w:val="single" w:sz="12" w:space="0" w:color="000000"/>
            </w:tcBorders>
            <w:vAlign w:val="center"/>
          </w:tcPr>
          <w:p w14:paraId="44A7FCFA" w14:textId="77777777" w:rsidR="00B56D50" w:rsidRDefault="00B56D50" w:rsidP="000F7CAD">
            <w:pPr>
              <w:spacing w:after="160" w:line="259" w:lineRule="auto"/>
              <w:ind w:left="0" w:right="0" w:firstLine="0"/>
              <w:jc w:val="center"/>
            </w:pPr>
          </w:p>
        </w:tc>
        <w:tc>
          <w:tcPr>
            <w:tcW w:w="623" w:type="dxa"/>
            <w:tcBorders>
              <w:top w:val="single" w:sz="12" w:space="0" w:color="000000"/>
              <w:left w:val="single" w:sz="12" w:space="0" w:color="000000"/>
              <w:bottom w:val="single" w:sz="12" w:space="0" w:color="000000"/>
              <w:right w:val="single" w:sz="12" w:space="0" w:color="000000"/>
            </w:tcBorders>
            <w:vAlign w:val="center"/>
          </w:tcPr>
          <w:p w14:paraId="7BA0E0B4" w14:textId="22F55813" w:rsidR="00B56D50" w:rsidRDefault="001C3C42" w:rsidP="009B1A43">
            <w:pPr>
              <w:spacing w:after="0" w:line="259" w:lineRule="auto"/>
              <w:ind w:left="115" w:right="0" w:firstLine="0"/>
            </w:pPr>
            <w:r>
              <w:rPr>
                <w:b/>
                <w:sz w:val="18"/>
              </w:rPr>
              <w:t>RL</w:t>
            </w:r>
          </w:p>
        </w:tc>
        <w:tc>
          <w:tcPr>
            <w:tcW w:w="870" w:type="dxa"/>
            <w:tcBorders>
              <w:top w:val="single" w:sz="12" w:space="0" w:color="000000"/>
              <w:left w:val="single" w:sz="12" w:space="0" w:color="000000"/>
              <w:bottom w:val="single" w:sz="12" w:space="0" w:color="000000"/>
              <w:right w:val="single" w:sz="12" w:space="0" w:color="000000"/>
            </w:tcBorders>
            <w:vAlign w:val="center"/>
          </w:tcPr>
          <w:p w14:paraId="65D94A15" w14:textId="205B3192" w:rsidR="00B56D50" w:rsidRDefault="001C3C42" w:rsidP="000F7CAD">
            <w:pPr>
              <w:spacing w:after="0" w:line="259" w:lineRule="auto"/>
              <w:ind w:left="0" w:right="52" w:firstLine="0"/>
              <w:jc w:val="center"/>
            </w:pPr>
            <w:r>
              <w:rPr>
                <w:b/>
                <w:sz w:val="18"/>
              </w:rPr>
              <w:t>units</w:t>
            </w:r>
          </w:p>
        </w:tc>
        <w:tc>
          <w:tcPr>
            <w:tcW w:w="810" w:type="dxa"/>
            <w:tcBorders>
              <w:top w:val="single" w:sz="12" w:space="0" w:color="000000"/>
              <w:left w:val="single" w:sz="12" w:space="0" w:color="000000"/>
              <w:bottom w:val="single" w:sz="12" w:space="0" w:color="000000"/>
              <w:right w:val="single" w:sz="12" w:space="0" w:color="000000"/>
            </w:tcBorders>
            <w:vAlign w:val="center"/>
          </w:tcPr>
          <w:p w14:paraId="5BFBE8A9" w14:textId="2174F6F7" w:rsidR="00B56D50" w:rsidRDefault="001C3C42" w:rsidP="000F7CAD">
            <w:pPr>
              <w:spacing w:after="0" w:line="259" w:lineRule="auto"/>
              <w:ind w:left="0" w:right="54" w:firstLine="0"/>
              <w:jc w:val="center"/>
            </w:pPr>
            <w:r>
              <w:rPr>
                <w:b/>
                <w:sz w:val="18"/>
              </w:rPr>
              <w:t>RL</w:t>
            </w:r>
          </w:p>
        </w:tc>
        <w:tc>
          <w:tcPr>
            <w:tcW w:w="793" w:type="dxa"/>
            <w:tcBorders>
              <w:top w:val="single" w:sz="12" w:space="0" w:color="000000"/>
              <w:left w:val="single" w:sz="12" w:space="0" w:color="000000"/>
              <w:bottom w:val="single" w:sz="12" w:space="0" w:color="000000"/>
              <w:right w:val="single" w:sz="12" w:space="0" w:color="000000"/>
            </w:tcBorders>
            <w:vAlign w:val="center"/>
          </w:tcPr>
          <w:p w14:paraId="6A197DD9" w14:textId="65897046" w:rsidR="00B56D50" w:rsidRDefault="001C3C42" w:rsidP="000F7CAD">
            <w:pPr>
              <w:spacing w:after="0" w:line="259" w:lineRule="auto"/>
              <w:ind w:left="0" w:right="59" w:firstLine="0"/>
              <w:jc w:val="center"/>
            </w:pPr>
            <w:r>
              <w:rPr>
                <w:b/>
                <w:sz w:val="18"/>
              </w:rPr>
              <w:t>units</w:t>
            </w:r>
          </w:p>
        </w:tc>
        <w:tc>
          <w:tcPr>
            <w:tcW w:w="642" w:type="dxa"/>
            <w:tcBorders>
              <w:top w:val="single" w:sz="12" w:space="0" w:color="000000"/>
              <w:left w:val="single" w:sz="12" w:space="0" w:color="000000"/>
              <w:bottom w:val="single" w:sz="12" w:space="0" w:color="000000"/>
              <w:right w:val="single" w:sz="12" w:space="0" w:color="000000"/>
            </w:tcBorders>
            <w:vAlign w:val="center"/>
          </w:tcPr>
          <w:p w14:paraId="6EFDE198" w14:textId="64A51D25" w:rsidR="00B56D50" w:rsidRDefault="001C3C42" w:rsidP="009B1A43">
            <w:pPr>
              <w:spacing w:after="0" w:line="259" w:lineRule="auto"/>
              <w:ind w:left="70" w:right="0" w:firstLine="0"/>
            </w:pPr>
            <w:r>
              <w:rPr>
                <w:b/>
                <w:sz w:val="18"/>
              </w:rPr>
              <w:t>VIII</w:t>
            </w:r>
          </w:p>
        </w:tc>
        <w:tc>
          <w:tcPr>
            <w:tcW w:w="450" w:type="dxa"/>
            <w:tcBorders>
              <w:top w:val="single" w:sz="12" w:space="0" w:color="000000"/>
              <w:left w:val="single" w:sz="12" w:space="0" w:color="000000"/>
              <w:bottom w:val="single" w:sz="12" w:space="0" w:color="000000"/>
              <w:right w:val="single" w:sz="12" w:space="0" w:color="000000"/>
            </w:tcBorders>
            <w:vAlign w:val="center"/>
          </w:tcPr>
          <w:p w14:paraId="1CC47669" w14:textId="2D5C0DFA" w:rsidR="00B56D50" w:rsidRDefault="001C3C42" w:rsidP="009B1A43">
            <w:pPr>
              <w:spacing w:after="0" w:line="259" w:lineRule="auto"/>
              <w:ind w:left="74" w:right="0" w:firstLine="0"/>
            </w:pPr>
            <w:r>
              <w:rPr>
                <w:b/>
                <w:sz w:val="18"/>
              </w:rPr>
              <w:t>IX</w:t>
            </w:r>
          </w:p>
        </w:tc>
        <w:tc>
          <w:tcPr>
            <w:tcW w:w="900" w:type="dxa"/>
            <w:tcBorders>
              <w:top w:val="single" w:sz="12" w:space="0" w:color="000000"/>
              <w:left w:val="single" w:sz="12" w:space="0" w:color="000000"/>
              <w:bottom w:val="single" w:sz="12" w:space="0" w:color="000000"/>
              <w:right w:val="single" w:sz="12" w:space="0" w:color="000000"/>
            </w:tcBorders>
            <w:vAlign w:val="center"/>
          </w:tcPr>
          <w:p w14:paraId="37FF6D17" w14:textId="061BF548" w:rsidR="00B56D50" w:rsidRDefault="001C3C42" w:rsidP="000F7CAD">
            <w:pPr>
              <w:spacing w:after="0" w:line="259" w:lineRule="auto"/>
              <w:ind w:left="0" w:right="53" w:firstLine="0"/>
              <w:jc w:val="center"/>
            </w:pPr>
            <w:r>
              <w:rPr>
                <w:b/>
                <w:sz w:val="18"/>
              </w:rPr>
              <w:t>2</w:t>
            </w:r>
          </w:p>
        </w:tc>
        <w:tc>
          <w:tcPr>
            <w:tcW w:w="1620" w:type="dxa"/>
            <w:gridSpan w:val="2"/>
            <w:vMerge/>
            <w:tcBorders>
              <w:top w:val="nil"/>
              <w:left w:val="single" w:sz="12" w:space="0" w:color="000000"/>
              <w:bottom w:val="single" w:sz="12" w:space="0" w:color="000000"/>
              <w:right w:val="single" w:sz="12" w:space="0" w:color="000000"/>
            </w:tcBorders>
            <w:vAlign w:val="center"/>
          </w:tcPr>
          <w:p w14:paraId="5D08E81E" w14:textId="77777777" w:rsidR="00B56D50" w:rsidRDefault="00B56D50" w:rsidP="009B7A03">
            <w:pPr>
              <w:spacing w:after="160" w:line="259" w:lineRule="auto"/>
              <w:ind w:left="0" w:right="0" w:firstLine="0"/>
              <w:jc w:val="center"/>
            </w:pPr>
          </w:p>
        </w:tc>
      </w:tr>
      <w:tr w:rsidR="00014B37" w14:paraId="467A9780" w14:textId="77777777" w:rsidTr="005B6604">
        <w:trPr>
          <w:trHeight w:val="245"/>
        </w:trPr>
        <w:tc>
          <w:tcPr>
            <w:tcW w:w="2948" w:type="dxa"/>
            <w:tcBorders>
              <w:top w:val="single" w:sz="12" w:space="0" w:color="000000"/>
              <w:left w:val="single" w:sz="12" w:space="0" w:color="000000"/>
              <w:bottom w:val="single" w:sz="4" w:space="0" w:color="000000"/>
              <w:right w:val="single" w:sz="12" w:space="0" w:color="000000"/>
            </w:tcBorders>
          </w:tcPr>
          <w:p w14:paraId="3A0E8CDE" w14:textId="77777777" w:rsidR="00014B37" w:rsidRDefault="00014B37" w:rsidP="00014B37">
            <w:pPr>
              <w:spacing w:after="0" w:line="259" w:lineRule="auto"/>
              <w:ind w:left="0" w:right="0" w:firstLine="0"/>
            </w:pPr>
            <w:r>
              <w:rPr>
                <w:sz w:val="18"/>
              </w:rPr>
              <w:t xml:space="preserve">Acetonitrile </w:t>
            </w:r>
          </w:p>
        </w:tc>
        <w:tc>
          <w:tcPr>
            <w:tcW w:w="964" w:type="dxa"/>
            <w:tcBorders>
              <w:top w:val="single" w:sz="12" w:space="0" w:color="000000"/>
              <w:left w:val="single" w:sz="12" w:space="0" w:color="000000"/>
              <w:bottom w:val="single" w:sz="4" w:space="0" w:color="000000"/>
              <w:right w:val="single" w:sz="12" w:space="0" w:color="000000"/>
            </w:tcBorders>
          </w:tcPr>
          <w:p w14:paraId="5B3EFD7C" w14:textId="1FDA2438" w:rsidR="00014B37" w:rsidRDefault="00014B37" w:rsidP="006727F9">
            <w:pPr>
              <w:spacing w:after="0" w:line="259" w:lineRule="auto"/>
              <w:ind w:left="0" w:right="49" w:firstLine="0"/>
              <w:jc w:val="center"/>
            </w:pPr>
            <w:r>
              <w:rPr>
                <w:sz w:val="18"/>
              </w:rPr>
              <w:t>75-05-8</w:t>
            </w:r>
          </w:p>
        </w:tc>
        <w:tc>
          <w:tcPr>
            <w:tcW w:w="623" w:type="dxa"/>
            <w:tcBorders>
              <w:top w:val="single" w:sz="12" w:space="0" w:color="000000"/>
              <w:left w:val="single" w:sz="12" w:space="0" w:color="000000"/>
              <w:bottom w:val="single" w:sz="4" w:space="0" w:color="000000"/>
              <w:right w:val="single" w:sz="12" w:space="0" w:color="000000"/>
            </w:tcBorders>
          </w:tcPr>
          <w:p w14:paraId="1A8F59E9" w14:textId="245EAFF7" w:rsidR="00014B37" w:rsidRDefault="00014B37" w:rsidP="00CE1A8B">
            <w:pPr>
              <w:tabs>
                <w:tab w:val="right" w:pos="535"/>
              </w:tabs>
              <w:spacing w:after="0" w:line="259" w:lineRule="auto"/>
              <w:ind w:left="0" w:right="0" w:firstLine="0"/>
              <w:jc w:val="center"/>
            </w:pPr>
            <w:r>
              <w:rPr>
                <w:sz w:val="18"/>
              </w:rPr>
              <w:t>20</w:t>
            </w:r>
          </w:p>
        </w:tc>
        <w:tc>
          <w:tcPr>
            <w:tcW w:w="870" w:type="dxa"/>
            <w:tcBorders>
              <w:top w:val="single" w:sz="12" w:space="0" w:color="000000"/>
              <w:left w:val="single" w:sz="12" w:space="0" w:color="000000"/>
              <w:bottom w:val="single" w:sz="4" w:space="0" w:color="000000"/>
              <w:right w:val="single" w:sz="12" w:space="0" w:color="000000"/>
            </w:tcBorders>
          </w:tcPr>
          <w:p w14:paraId="08790DA6" w14:textId="0EAC436D" w:rsidR="00014B37" w:rsidRDefault="00014B37" w:rsidP="00CE1A8B">
            <w:pPr>
              <w:spacing w:after="0" w:line="259" w:lineRule="auto"/>
              <w:ind w:left="0" w:right="53" w:firstLine="0"/>
              <w:jc w:val="center"/>
            </w:pPr>
            <w:r>
              <w:rPr>
                <w:sz w:val="18"/>
              </w:rPr>
              <w:t>ug/L</w:t>
            </w:r>
          </w:p>
        </w:tc>
        <w:tc>
          <w:tcPr>
            <w:tcW w:w="810" w:type="dxa"/>
            <w:tcBorders>
              <w:top w:val="single" w:sz="12" w:space="0" w:color="000000"/>
              <w:left w:val="single" w:sz="12" w:space="0" w:color="000000"/>
              <w:bottom w:val="single" w:sz="4" w:space="0" w:color="000000"/>
              <w:right w:val="single" w:sz="12" w:space="0" w:color="000000"/>
            </w:tcBorders>
          </w:tcPr>
          <w:p w14:paraId="270D5027" w14:textId="5F915B70" w:rsidR="00014B37" w:rsidRDefault="00014B37" w:rsidP="00CE1A8B">
            <w:pPr>
              <w:tabs>
                <w:tab w:val="right" w:pos="717"/>
              </w:tabs>
              <w:spacing w:after="0" w:line="259" w:lineRule="auto"/>
              <w:ind w:left="0" w:right="0" w:firstLine="0"/>
              <w:jc w:val="center"/>
            </w:pPr>
            <w:r>
              <w:rPr>
                <w:sz w:val="18"/>
              </w:rPr>
              <w:t>50</w:t>
            </w:r>
          </w:p>
        </w:tc>
        <w:tc>
          <w:tcPr>
            <w:tcW w:w="793" w:type="dxa"/>
            <w:tcBorders>
              <w:top w:val="single" w:sz="12" w:space="0" w:color="000000"/>
              <w:left w:val="single" w:sz="12" w:space="0" w:color="000000"/>
              <w:bottom w:val="single" w:sz="4" w:space="0" w:color="000000"/>
              <w:right w:val="single" w:sz="12" w:space="0" w:color="000000"/>
            </w:tcBorders>
          </w:tcPr>
          <w:p w14:paraId="44C8C082" w14:textId="01A3603A" w:rsidR="00014B37" w:rsidRDefault="00014B37" w:rsidP="00CE1A8B">
            <w:pPr>
              <w:spacing w:after="0" w:line="259" w:lineRule="auto"/>
              <w:ind w:left="0" w:right="51" w:firstLine="0"/>
              <w:jc w:val="center"/>
            </w:pPr>
            <w:r>
              <w:rPr>
                <w:rFonts w:eastAsia="Segoe UI Symbol"/>
                <w:sz w:val="18"/>
              </w:rPr>
              <w:t>u</w:t>
            </w:r>
            <w:r>
              <w:rPr>
                <w:sz w:val="18"/>
              </w:rPr>
              <w:t>g/kg</w:t>
            </w:r>
          </w:p>
        </w:tc>
        <w:tc>
          <w:tcPr>
            <w:tcW w:w="642" w:type="dxa"/>
            <w:tcBorders>
              <w:top w:val="single" w:sz="12" w:space="0" w:color="000000"/>
              <w:left w:val="single" w:sz="12" w:space="0" w:color="000000"/>
              <w:bottom w:val="single" w:sz="4" w:space="0" w:color="000000"/>
              <w:right w:val="single" w:sz="12" w:space="0" w:color="000000"/>
            </w:tcBorders>
          </w:tcPr>
          <w:p w14:paraId="648E1AFC" w14:textId="73AF4A50" w:rsidR="00014B37" w:rsidRDefault="00014B37" w:rsidP="00CE1A8B">
            <w:pPr>
              <w:spacing w:after="0" w:line="259" w:lineRule="auto"/>
              <w:ind w:left="0" w:right="49" w:firstLine="0"/>
              <w:jc w:val="center"/>
            </w:pPr>
            <w:r>
              <w:rPr>
                <w:sz w:val="18"/>
              </w:rPr>
              <w:t>X</w:t>
            </w:r>
          </w:p>
        </w:tc>
        <w:tc>
          <w:tcPr>
            <w:tcW w:w="450" w:type="dxa"/>
            <w:tcBorders>
              <w:top w:val="single" w:sz="12" w:space="0" w:color="000000"/>
              <w:left w:val="single" w:sz="12" w:space="0" w:color="000000"/>
              <w:bottom w:val="single" w:sz="4" w:space="0" w:color="000000"/>
              <w:right w:val="single" w:sz="12" w:space="0" w:color="000000"/>
            </w:tcBorders>
          </w:tcPr>
          <w:p w14:paraId="3AAE14A2" w14:textId="26C2D693" w:rsidR="00014B37" w:rsidRDefault="00014B37" w:rsidP="00CE1A8B">
            <w:pPr>
              <w:spacing w:after="0" w:line="259" w:lineRule="auto"/>
              <w:ind w:left="0" w:right="50" w:firstLine="0"/>
              <w:jc w:val="center"/>
            </w:pPr>
            <w:r>
              <w:rPr>
                <w:sz w:val="18"/>
              </w:rPr>
              <w:t>X</w:t>
            </w:r>
          </w:p>
        </w:tc>
        <w:tc>
          <w:tcPr>
            <w:tcW w:w="900" w:type="dxa"/>
            <w:tcBorders>
              <w:top w:val="single" w:sz="12" w:space="0" w:color="000000"/>
              <w:left w:val="single" w:sz="12" w:space="0" w:color="000000"/>
              <w:bottom w:val="single" w:sz="4" w:space="0" w:color="000000"/>
              <w:right w:val="single" w:sz="12" w:space="0" w:color="000000"/>
            </w:tcBorders>
          </w:tcPr>
          <w:p w14:paraId="435A5196" w14:textId="1BAE9FFE" w:rsidR="00014B37" w:rsidRDefault="00014B37" w:rsidP="00CE1A8B">
            <w:pPr>
              <w:spacing w:after="0" w:line="259" w:lineRule="auto"/>
              <w:ind w:left="0" w:right="52" w:firstLine="0"/>
              <w:jc w:val="center"/>
            </w:pPr>
            <w:r>
              <w:rPr>
                <w:sz w:val="18"/>
              </w:rPr>
              <w:t>X</w:t>
            </w:r>
          </w:p>
        </w:tc>
        <w:tc>
          <w:tcPr>
            <w:tcW w:w="900" w:type="dxa"/>
            <w:tcBorders>
              <w:top w:val="single" w:sz="12" w:space="0" w:color="000000"/>
              <w:left w:val="single" w:sz="12" w:space="0" w:color="000000"/>
              <w:bottom w:val="single" w:sz="4" w:space="0" w:color="000000"/>
              <w:right w:val="single" w:sz="12" w:space="0" w:color="000000"/>
            </w:tcBorders>
            <w:vAlign w:val="center"/>
          </w:tcPr>
          <w:p w14:paraId="7AF8ACF3" w14:textId="153C9DE8" w:rsidR="00014B37" w:rsidRDefault="00014B37" w:rsidP="00724AC2">
            <w:pPr>
              <w:spacing w:after="0" w:line="259" w:lineRule="auto"/>
              <w:ind w:left="38" w:right="0" w:firstLine="0"/>
              <w:jc w:val="center"/>
            </w:pPr>
            <w:r>
              <w:rPr>
                <w:sz w:val="18"/>
              </w:rPr>
              <w:t>8260</w:t>
            </w:r>
          </w:p>
        </w:tc>
        <w:tc>
          <w:tcPr>
            <w:tcW w:w="720" w:type="dxa"/>
            <w:tcBorders>
              <w:top w:val="single" w:sz="12" w:space="0" w:color="000000"/>
              <w:left w:val="single" w:sz="12" w:space="0" w:color="000000"/>
              <w:bottom w:val="single" w:sz="4" w:space="0" w:color="000000"/>
              <w:right w:val="single" w:sz="12" w:space="0" w:color="000000"/>
            </w:tcBorders>
            <w:vAlign w:val="center"/>
          </w:tcPr>
          <w:p w14:paraId="310FCEBB" w14:textId="51827D76" w:rsidR="00014B37" w:rsidRDefault="00014B37" w:rsidP="00724AC2">
            <w:pPr>
              <w:spacing w:after="0" w:line="259" w:lineRule="auto"/>
              <w:ind w:left="0" w:right="0" w:firstLine="0"/>
              <w:jc w:val="center"/>
            </w:pPr>
            <w:r>
              <w:rPr>
                <w:sz w:val="18"/>
              </w:rPr>
              <w:t>8015</w:t>
            </w:r>
          </w:p>
        </w:tc>
      </w:tr>
      <w:tr w:rsidR="00014B37" w14:paraId="6195E185" w14:textId="77777777" w:rsidTr="005B6604">
        <w:trPr>
          <w:trHeight w:val="245"/>
        </w:trPr>
        <w:tc>
          <w:tcPr>
            <w:tcW w:w="2948" w:type="dxa"/>
            <w:tcBorders>
              <w:top w:val="single" w:sz="4" w:space="0" w:color="000000"/>
              <w:left w:val="single" w:sz="12" w:space="0" w:color="000000"/>
              <w:bottom w:val="single" w:sz="4" w:space="0" w:color="000000"/>
              <w:right w:val="single" w:sz="12" w:space="0" w:color="000000"/>
            </w:tcBorders>
          </w:tcPr>
          <w:p w14:paraId="6812F2D9" w14:textId="77777777" w:rsidR="00014B37" w:rsidRDefault="00014B37" w:rsidP="00014B37">
            <w:pPr>
              <w:spacing w:after="0" w:line="259" w:lineRule="auto"/>
              <w:ind w:left="0" w:right="0" w:firstLine="0"/>
            </w:pPr>
            <w:r>
              <w:rPr>
                <w:sz w:val="18"/>
              </w:rPr>
              <w:t xml:space="preserve">Acrylonitrile </w:t>
            </w:r>
          </w:p>
        </w:tc>
        <w:tc>
          <w:tcPr>
            <w:tcW w:w="964" w:type="dxa"/>
            <w:tcBorders>
              <w:top w:val="single" w:sz="4" w:space="0" w:color="000000"/>
              <w:left w:val="single" w:sz="12" w:space="0" w:color="000000"/>
              <w:bottom w:val="single" w:sz="4" w:space="0" w:color="000000"/>
              <w:right w:val="single" w:sz="12" w:space="0" w:color="000000"/>
            </w:tcBorders>
          </w:tcPr>
          <w:p w14:paraId="39FB5782" w14:textId="1613E9D7" w:rsidR="00014B37" w:rsidRDefault="00014B37" w:rsidP="006727F9">
            <w:pPr>
              <w:spacing w:after="0" w:line="259" w:lineRule="auto"/>
              <w:ind w:left="0" w:right="49" w:firstLine="0"/>
              <w:jc w:val="center"/>
            </w:pPr>
            <w:r>
              <w:rPr>
                <w:sz w:val="18"/>
              </w:rPr>
              <w:t>107-13-1</w:t>
            </w:r>
          </w:p>
        </w:tc>
        <w:tc>
          <w:tcPr>
            <w:tcW w:w="623" w:type="dxa"/>
            <w:tcBorders>
              <w:top w:val="single" w:sz="4" w:space="0" w:color="000000"/>
              <w:left w:val="single" w:sz="12" w:space="0" w:color="000000"/>
              <w:bottom w:val="single" w:sz="4" w:space="0" w:color="000000"/>
              <w:right w:val="single" w:sz="12" w:space="0" w:color="000000"/>
            </w:tcBorders>
          </w:tcPr>
          <w:p w14:paraId="7A58E68C" w14:textId="666DC72E" w:rsidR="00014B37" w:rsidRPr="00034C3A" w:rsidRDefault="00014B37" w:rsidP="00CE1A8B">
            <w:pPr>
              <w:tabs>
                <w:tab w:val="right" w:pos="535"/>
              </w:tabs>
              <w:spacing w:after="0" w:line="259" w:lineRule="auto"/>
              <w:ind w:left="0" w:right="0" w:firstLine="0"/>
              <w:jc w:val="center"/>
              <w:rPr>
                <w:bCs/>
              </w:rPr>
            </w:pPr>
            <w:r w:rsidRPr="00CB2740">
              <w:rPr>
                <w:bCs/>
                <w:sz w:val="18"/>
              </w:rPr>
              <w:t>1</w:t>
            </w:r>
          </w:p>
        </w:tc>
        <w:tc>
          <w:tcPr>
            <w:tcW w:w="870" w:type="dxa"/>
            <w:tcBorders>
              <w:top w:val="single" w:sz="4" w:space="0" w:color="000000"/>
              <w:left w:val="single" w:sz="12" w:space="0" w:color="000000"/>
              <w:bottom w:val="single" w:sz="4" w:space="0" w:color="000000"/>
              <w:right w:val="single" w:sz="12" w:space="0" w:color="000000"/>
            </w:tcBorders>
          </w:tcPr>
          <w:p w14:paraId="3F917E46" w14:textId="14FEAC02" w:rsidR="00014B37" w:rsidRDefault="00014B37" w:rsidP="00CE1A8B">
            <w:pPr>
              <w:spacing w:after="0" w:line="259" w:lineRule="auto"/>
              <w:ind w:left="0" w:right="53" w:firstLine="0"/>
              <w:jc w:val="center"/>
            </w:pPr>
            <w:r>
              <w:rPr>
                <w:sz w:val="18"/>
              </w:rPr>
              <w:t>ug/L</w:t>
            </w:r>
          </w:p>
        </w:tc>
        <w:tc>
          <w:tcPr>
            <w:tcW w:w="810" w:type="dxa"/>
            <w:tcBorders>
              <w:top w:val="single" w:sz="4" w:space="0" w:color="000000"/>
              <w:left w:val="single" w:sz="12" w:space="0" w:color="000000"/>
              <w:bottom w:val="single" w:sz="4" w:space="0" w:color="000000"/>
              <w:right w:val="single" w:sz="12" w:space="0" w:color="000000"/>
            </w:tcBorders>
          </w:tcPr>
          <w:p w14:paraId="4BA60F2F" w14:textId="1C7F1458" w:rsidR="00014B37" w:rsidRDefault="00014B37" w:rsidP="00CE1A8B">
            <w:pPr>
              <w:tabs>
                <w:tab w:val="right" w:pos="717"/>
              </w:tabs>
              <w:spacing w:after="0" w:line="259" w:lineRule="auto"/>
              <w:ind w:left="0" w:right="0" w:firstLine="0"/>
              <w:jc w:val="center"/>
            </w:pPr>
            <w:r>
              <w:rPr>
                <w:sz w:val="18"/>
              </w:rPr>
              <w:t>50</w:t>
            </w:r>
          </w:p>
        </w:tc>
        <w:tc>
          <w:tcPr>
            <w:tcW w:w="793" w:type="dxa"/>
            <w:tcBorders>
              <w:top w:val="single" w:sz="4" w:space="0" w:color="000000"/>
              <w:left w:val="single" w:sz="12" w:space="0" w:color="000000"/>
              <w:bottom w:val="single" w:sz="4" w:space="0" w:color="000000"/>
              <w:right w:val="single" w:sz="12" w:space="0" w:color="000000"/>
            </w:tcBorders>
          </w:tcPr>
          <w:p w14:paraId="3CA14A0D" w14:textId="09198679" w:rsidR="00014B37" w:rsidRDefault="00014B37" w:rsidP="00CE1A8B">
            <w:pPr>
              <w:spacing w:after="0" w:line="259" w:lineRule="auto"/>
              <w:ind w:left="0" w:right="51" w:firstLine="0"/>
              <w:jc w:val="center"/>
            </w:pPr>
            <w:r>
              <w:rPr>
                <w:rFonts w:eastAsia="Segoe UI Symbol"/>
                <w:sz w:val="18"/>
              </w:rPr>
              <w:t>u</w:t>
            </w:r>
            <w:r>
              <w:rPr>
                <w:sz w:val="18"/>
              </w:rPr>
              <w:t>g/kg</w:t>
            </w:r>
          </w:p>
        </w:tc>
        <w:tc>
          <w:tcPr>
            <w:tcW w:w="642" w:type="dxa"/>
            <w:tcBorders>
              <w:top w:val="single" w:sz="4" w:space="0" w:color="000000"/>
              <w:left w:val="single" w:sz="12" w:space="0" w:color="000000"/>
              <w:bottom w:val="single" w:sz="4" w:space="0" w:color="000000"/>
              <w:right w:val="single" w:sz="12" w:space="0" w:color="000000"/>
            </w:tcBorders>
          </w:tcPr>
          <w:p w14:paraId="12A2B59C" w14:textId="334876D9" w:rsidR="00014B37" w:rsidRDefault="00014B37" w:rsidP="00CE1A8B">
            <w:pPr>
              <w:spacing w:after="0" w:line="259" w:lineRule="auto"/>
              <w:ind w:left="0" w:right="49" w:firstLine="0"/>
              <w:jc w:val="center"/>
            </w:pPr>
            <w:r>
              <w:rPr>
                <w:sz w:val="18"/>
              </w:rPr>
              <w:t>X</w:t>
            </w:r>
          </w:p>
        </w:tc>
        <w:tc>
          <w:tcPr>
            <w:tcW w:w="450" w:type="dxa"/>
            <w:tcBorders>
              <w:top w:val="single" w:sz="4" w:space="0" w:color="000000"/>
              <w:left w:val="single" w:sz="12" w:space="0" w:color="000000"/>
              <w:bottom w:val="single" w:sz="4" w:space="0" w:color="000000"/>
              <w:right w:val="single" w:sz="12" w:space="0" w:color="000000"/>
            </w:tcBorders>
          </w:tcPr>
          <w:p w14:paraId="071DCFD5" w14:textId="7E0420B8" w:rsidR="00014B37" w:rsidRDefault="00014B37" w:rsidP="00CE1A8B">
            <w:pPr>
              <w:spacing w:after="0" w:line="259" w:lineRule="auto"/>
              <w:ind w:left="0" w:right="50" w:firstLine="0"/>
              <w:jc w:val="center"/>
            </w:pPr>
            <w:r>
              <w:rPr>
                <w:sz w:val="18"/>
              </w:rPr>
              <w:t>X</w:t>
            </w:r>
          </w:p>
        </w:tc>
        <w:tc>
          <w:tcPr>
            <w:tcW w:w="900" w:type="dxa"/>
            <w:tcBorders>
              <w:top w:val="single" w:sz="4" w:space="0" w:color="000000"/>
              <w:left w:val="single" w:sz="12" w:space="0" w:color="000000"/>
              <w:bottom w:val="single" w:sz="4" w:space="0" w:color="000000"/>
              <w:right w:val="single" w:sz="12" w:space="0" w:color="000000"/>
            </w:tcBorders>
          </w:tcPr>
          <w:p w14:paraId="1DBACDA9" w14:textId="7F683464" w:rsidR="00014B37" w:rsidRDefault="00014B37" w:rsidP="00CE1A8B">
            <w:pPr>
              <w:spacing w:after="0" w:line="259" w:lineRule="auto"/>
              <w:ind w:left="0" w:right="52" w:firstLine="0"/>
              <w:jc w:val="center"/>
            </w:pPr>
            <w:r>
              <w:rPr>
                <w:sz w:val="18"/>
              </w:rPr>
              <w:t>X</w:t>
            </w:r>
          </w:p>
        </w:tc>
        <w:tc>
          <w:tcPr>
            <w:tcW w:w="900" w:type="dxa"/>
            <w:tcBorders>
              <w:top w:val="single" w:sz="4" w:space="0" w:color="000000"/>
              <w:left w:val="single" w:sz="12" w:space="0" w:color="000000"/>
              <w:bottom w:val="single" w:sz="4" w:space="0" w:color="000000"/>
              <w:right w:val="single" w:sz="12" w:space="0" w:color="000000"/>
            </w:tcBorders>
            <w:vAlign w:val="center"/>
          </w:tcPr>
          <w:p w14:paraId="2270977A" w14:textId="5BAEE2C7" w:rsidR="00014B37" w:rsidRDefault="00014B37" w:rsidP="00724AC2">
            <w:pPr>
              <w:spacing w:after="0" w:line="259" w:lineRule="auto"/>
              <w:ind w:left="0" w:right="0" w:firstLine="0"/>
              <w:jc w:val="center"/>
            </w:pPr>
            <w:r>
              <w:rPr>
                <w:sz w:val="18"/>
              </w:rPr>
              <w:t>8260</w:t>
            </w:r>
          </w:p>
        </w:tc>
        <w:tc>
          <w:tcPr>
            <w:tcW w:w="720" w:type="dxa"/>
            <w:tcBorders>
              <w:top w:val="single" w:sz="4" w:space="0" w:color="000000"/>
              <w:left w:val="single" w:sz="12" w:space="0" w:color="000000"/>
              <w:bottom w:val="single" w:sz="4" w:space="0" w:color="000000"/>
              <w:right w:val="single" w:sz="12" w:space="0" w:color="000000"/>
            </w:tcBorders>
            <w:vAlign w:val="center"/>
          </w:tcPr>
          <w:p w14:paraId="546FD6F2" w14:textId="5F3ECF46" w:rsidR="00014B37" w:rsidRDefault="00014B37" w:rsidP="00724AC2">
            <w:pPr>
              <w:spacing w:after="0" w:line="259" w:lineRule="auto"/>
              <w:ind w:left="0" w:right="0" w:firstLine="0"/>
              <w:jc w:val="center"/>
            </w:pPr>
            <w:r>
              <w:rPr>
                <w:sz w:val="18"/>
              </w:rPr>
              <w:t>8015</w:t>
            </w:r>
          </w:p>
        </w:tc>
      </w:tr>
      <w:tr w:rsidR="00014B37" w14:paraId="4113E67E" w14:textId="77777777" w:rsidTr="005B6604">
        <w:trPr>
          <w:trHeight w:val="245"/>
        </w:trPr>
        <w:tc>
          <w:tcPr>
            <w:tcW w:w="2948" w:type="dxa"/>
            <w:tcBorders>
              <w:top w:val="single" w:sz="4" w:space="0" w:color="000000"/>
              <w:left w:val="single" w:sz="12" w:space="0" w:color="000000"/>
              <w:bottom w:val="single" w:sz="4" w:space="0" w:color="000000"/>
              <w:right w:val="single" w:sz="12" w:space="0" w:color="000000"/>
            </w:tcBorders>
          </w:tcPr>
          <w:p w14:paraId="4DF9A2D4" w14:textId="77777777" w:rsidR="00014B37" w:rsidRDefault="00014B37" w:rsidP="00014B37">
            <w:pPr>
              <w:spacing w:after="0" w:line="259" w:lineRule="auto"/>
              <w:ind w:left="0" w:right="0" w:firstLine="0"/>
            </w:pPr>
            <w:r>
              <w:rPr>
                <w:sz w:val="18"/>
              </w:rPr>
              <w:t xml:space="preserve">Allyl alcohol  </w:t>
            </w:r>
          </w:p>
        </w:tc>
        <w:tc>
          <w:tcPr>
            <w:tcW w:w="964" w:type="dxa"/>
            <w:tcBorders>
              <w:top w:val="single" w:sz="4" w:space="0" w:color="000000"/>
              <w:left w:val="single" w:sz="12" w:space="0" w:color="000000"/>
              <w:bottom w:val="single" w:sz="4" w:space="0" w:color="000000"/>
              <w:right w:val="single" w:sz="12" w:space="0" w:color="000000"/>
            </w:tcBorders>
          </w:tcPr>
          <w:p w14:paraId="7CE86DFD" w14:textId="07A28840" w:rsidR="00014B37" w:rsidRDefault="00014B37" w:rsidP="006727F9">
            <w:pPr>
              <w:spacing w:after="0" w:line="259" w:lineRule="auto"/>
              <w:ind w:left="0" w:right="49" w:firstLine="0"/>
              <w:jc w:val="center"/>
            </w:pPr>
            <w:r>
              <w:rPr>
                <w:sz w:val="18"/>
              </w:rPr>
              <w:t>107-18-6</w:t>
            </w:r>
          </w:p>
        </w:tc>
        <w:tc>
          <w:tcPr>
            <w:tcW w:w="623" w:type="dxa"/>
            <w:tcBorders>
              <w:top w:val="single" w:sz="4" w:space="0" w:color="000000"/>
              <w:left w:val="single" w:sz="12" w:space="0" w:color="000000"/>
              <w:bottom w:val="single" w:sz="4" w:space="0" w:color="000000"/>
              <w:right w:val="single" w:sz="12" w:space="0" w:color="000000"/>
            </w:tcBorders>
          </w:tcPr>
          <w:p w14:paraId="7BD06DFB" w14:textId="523C2545" w:rsidR="00014B37" w:rsidRDefault="00014B37" w:rsidP="00CE1A8B">
            <w:pPr>
              <w:tabs>
                <w:tab w:val="right" w:pos="535"/>
              </w:tabs>
              <w:spacing w:after="0" w:line="259" w:lineRule="auto"/>
              <w:ind w:left="0" w:right="0" w:firstLine="0"/>
              <w:jc w:val="center"/>
            </w:pPr>
            <w:r>
              <w:rPr>
                <w:sz w:val="18"/>
              </w:rPr>
              <w:t>20</w:t>
            </w:r>
          </w:p>
        </w:tc>
        <w:tc>
          <w:tcPr>
            <w:tcW w:w="870" w:type="dxa"/>
            <w:tcBorders>
              <w:top w:val="single" w:sz="4" w:space="0" w:color="000000"/>
              <w:left w:val="single" w:sz="12" w:space="0" w:color="000000"/>
              <w:bottom w:val="single" w:sz="4" w:space="0" w:color="000000"/>
              <w:right w:val="single" w:sz="12" w:space="0" w:color="000000"/>
            </w:tcBorders>
          </w:tcPr>
          <w:p w14:paraId="061825C1" w14:textId="0151AE3C" w:rsidR="00014B37" w:rsidRDefault="00014B37" w:rsidP="00CE1A8B">
            <w:pPr>
              <w:spacing w:after="0" w:line="259" w:lineRule="auto"/>
              <w:ind w:left="0" w:right="53" w:firstLine="0"/>
              <w:jc w:val="center"/>
            </w:pPr>
            <w:r>
              <w:rPr>
                <w:sz w:val="18"/>
              </w:rPr>
              <w:t>ug/L</w:t>
            </w:r>
          </w:p>
        </w:tc>
        <w:tc>
          <w:tcPr>
            <w:tcW w:w="810" w:type="dxa"/>
            <w:tcBorders>
              <w:top w:val="single" w:sz="4" w:space="0" w:color="000000"/>
              <w:left w:val="single" w:sz="12" w:space="0" w:color="000000"/>
              <w:bottom w:val="single" w:sz="4" w:space="0" w:color="000000"/>
              <w:right w:val="single" w:sz="12" w:space="0" w:color="000000"/>
            </w:tcBorders>
          </w:tcPr>
          <w:p w14:paraId="676D226B" w14:textId="686EB5D6" w:rsidR="00014B37" w:rsidRDefault="00014B37" w:rsidP="00CE1A8B">
            <w:pPr>
              <w:tabs>
                <w:tab w:val="right" w:pos="717"/>
              </w:tabs>
              <w:spacing w:after="0" w:line="259" w:lineRule="auto"/>
              <w:ind w:left="0" w:right="0" w:firstLine="0"/>
              <w:jc w:val="center"/>
            </w:pPr>
            <w:r>
              <w:rPr>
                <w:sz w:val="18"/>
              </w:rPr>
              <w:t>50</w:t>
            </w:r>
          </w:p>
        </w:tc>
        <w:tc>
          <w:tcPr>
            <w:tcW w:w="793" w:type="dxa"/>
            <w:tcBorders>
              <w:top w:val="single" w:sz="4" w:space="0" w:color="000000"/>
              <w:left w:val="single" w:sz="12" w:space="0" w:color="000000"/>
              <w:bottom w:val="single" w:sz="4" w:space="0" w:color="000000"/>
              <w:right w:val="single" w:sz="12" w:space="0" w:color="000000"/>
            </w:tcBorders>
          </w:tcPr>
          <w:p w14:paraId="60CE63BF" w14:textId="3595E301" w:rsidR="00014B37" w:rsidRDefault="00014B37" w:rsidP="00CE1A8B">
            <w:pPr>
              <w:spacing w:after="0" w:line="259" w:lineRule="auto"/>
              <w:ind w:left="0" w:right="51" w:firstLine="0"/>
              <w:jc w:val="center"/>
            </w:pPr>
            <w:r>
              <w:rPr>
                <w:rFonts w:eastAsia="Segoe UI Symbol"/>
                <w:sz w:val="18"/>
              </w:rPr>
              <w:t>u</w:t>
            </w:r>
            <w:r>
              <w:rPr>
                <w:sz w:val="18"/>
              </w:rPr>
              <w:t>g/kg</w:t>
            </w:r>
          </w:p>
        </w:tc>
        <w:tc>
          <w:tcPr>
            <w:tcW w:w="642" w:type="dxa"/>
            <w:tcBorders>
              <w:top w:val="single" w:sz="4" w:space="0" w:color="000000"/>
              <w:left w:val="single" w:sz="12" w:space="0" w:color="000000"/>
              <w:bottom w:val="single" w:sz="4" w:space="0" w:color="000000"/>
              <w:right w:val="single" w:sz="12" w:space="0" w:color="000000"/>
            </w:tcBorders>
          </w:tcPr>
          <w:p w14:paraId="68D58068" w14:textId="52326179" w:rsidR="00014B37" w:rsidRDefault="00014B37" w:rsidP="00CE1A8B">
            <w:pPr>
              <w:spacing w:after="0" w:line="259" w:lineRule="auto"/>
              <w:ind w:left="0" w:right="49" w:firstLine="0"/>
              <w:jc w:val="center"/>
            </w:pPr>
            <w:r>
              <w:rPr>
                <w:sz w:val="18"/>
              </w:rPr>
              <w:t>X</w:t>
            </w:r>
          </w:p>
        </w:tc>
        <w:tc>
          <w:tcPr>
            <w:tcW w:w="450" w:type="dxa"/>
            <w:tcBorders>
              <w:top w:val="single" w:sz="4" w:space="0" w:color="000000"/>
              <w:left w:val="single" w:sz="12" w:space="0" w:color="000000"/>
              <w:bottom w:val="single" w:sz="4" w:space="0" w:color="000000"/>
              <w:right w:val="single" w:sz="12" w:space="0" w:color="000000"/>
            </w:tcBorders>
          </w:tcPr>
          <w:p w14:paraId="61AC16CE" w14:textId="71D24887" w:rsidR="00014B37" w:rsidRDefault="00014B37" w:rsidP="00CE1A8B">
            <w:pPr>
              <w:spacing w:after="0" w:line="259" w:lineRule="auto"/>
              <w:ind w:left="0" w:right="5" w:firstLine="0"/>
              <w:jc w:val="center"/>
            </w:pPr>
          </w:p>
        </w:tc>
        <w:tc>
          <w:tcPr>
            <w:tcW w:w="900" w:type="dxa"/>
            <w:tcBorders>
              <w:top w:val="single" w:sz="4" w:space="0" w:color="000000"/>
              <w:left w:val="single" w:sz="12" w:space="0" w:color="000000"/>
              <w:bottom w:val="single" w:sz="4" w:space="0" w:color="000000"/>
              <w:right w:val="single" w:sz="12" w:space="0" w:color="000000"/>
            </w:tcBorders>
          </w:tcPr>
          <w:p w14:paraId="21F3D4CC" w14:textId="2B3560A0" w:rsidR="00014B37" w:rsidRDefault="00014B37" w:rsidP="00CE1A8B">
            <w:pPr>
              <w:spacing w:after="0" w:line="259" w:lineRule="auto"/>
              <w:ind w:left="0" w:right="7" w:firstLine="0"/>
              <w:jc w:val="center"/>
            </w:pPr>
          </w:p>
        </w:tc>
        <w:tc>
          <w:tcPr>
            <w:tcW w:w="900" w:type="dxa"/>
            <w:tcBorders>
              <w:top w:val="single" w:sz="4" w:space="0" w:color="000000"/>
              <w:left w:val="single" w:sz="12" w:space="0" w:color="000000"/>
              <w:bottom w:val="single" w:sz="4" w:space="0" w:color="000000"/>
              <w:right w:val="single" w:sz="12" w:space="0" w:color="000000"/>
            </w:tcBorders>
            <w:vAlign w:val="center"/>
          </w:tcPr>
          <w:p w14:paraId="22376888" w14:textId="39C89E16" w:rsidR="00014B37" w:rsidRDefault="00014B37" w:rsidP="00724AC2">
            <w:pPr>
              <w:spacing w:after="0" w:line="259" w:lineRule="auto"/>
              <w:ind w:left="0" w:right="0" w:firstLine="0"/>
              <w:jc w:val="center"/>
            </w:pPr>
            <w:r>
              <w:rPr>
                <w:sz w:val="18"/>
              </w:rPr>
              <w:t>8260</w:t>
            </w:r>
          </w:p>
        </w:tc>
        <w:tc>
          <w:tcPr>
            <w:tcW w:w="720" w:type="dxa"/>
            <w:tcBorders>
              <w:top w:val="single" w:sz="4" w:space="0" w:color="000000"/>
              <w:left w:val="single" w:sz="12" w:space="0" w:color="000000"/>
              <w:bottom w:val="single" w:sz="4" w:space="0" w:color="000000"/>
              <w:right w:val="single" w:sz="12" w:space="0" w:color="000000"/>
            </w:tcBorders>
            <w:vAlign w:val="center"/>
          </w:tcPr>
          <w:p w14:paraId="42B1FBC1" w14:textId="6065822A" w:rsidR="00014B37" w:rsidRDefault="00014B37" w:rsidP="00724AC2">
            <w:pPr>
              <w:spacing w:after="0" w:line="259" w:lineRule="auto"/>
              <w:ind w:left="0" w:right="0" w:firstLine="0"/>
              <w:jc w:val="center"/>
            </w:pPr>
            <w:r>
              <w:rPr>
                <w:sz w:val="18"/>
              </w:rPr>
              <w:t>8015</w:t>
            </w:r>
          </w:p>
        </w:tc>
      </w:tr>
      <w:tr w:rsidR="00014B37" w14:paraId="1951F843" w14:textId="77777777" w:rsidTr="005B6604">
        <w:trPr>
          <w:trHeight w:val="245"/>
        </w:trPr>
        <w:tc>
          <w:tcPr>
            <w:tcW w:w="2948" w:type="dxa"/>
            <w:tcBorders>
              <w:top w:val="single" w:sz="4" w:space="0" w:color="000000"/>
              <w:left w:val="single" w:sz="12" w:space="0" w:color="000000"/>
              <w:bottom w:val="single" w:sz="4" w:space="0" w:color="000000"/>
              <w:right w:val="single" w:sz="12" w:space="0" w:color="000000"/>
            </w:tcBorders>
          </w:tcPr>
          <w:p w14:paraId="337E3F46" w14:textId="77777777" w:rsidR="00014B37" w:rsidRDefault="00014B37" w:rsidP="00014B37">
            <w:pPr>
              <w:spacing w:after="0" w:line="259" w:lineRule="auto"/>
              <w:ind w:left="0" w:right="0" w:firstLine="0"/>
            </w:pPr>
            <w:r>
              <w:rPr>
                <w:sz w:val="18"/>
              </w:rPr>
              <w:t xml:space="preserve">Allyl chloride </w:t>
            </w:r>
          </w:p>
        </w:tc>
        <w:tc>
          <w:tcPr>
            <w:tcW w:w="964" w:type="dxa"/>
            <w:tcBorders>
              <w:top w:val="single" w:sz="4" w:space="0" w:color="000000"/>
              <w:left w:val="single" w:sz="12" w:space="0" w:color="000000"/>
              <w:bottom w:val="single" w:sz="4" w:space="0" w:color="000000"/>
              <w:right w:val="single" w:sz="12" w:space="0" w:color="000000"/>
            </w:tcBorders>
          </w:tcPr>
          <w:p w14:paraId="0D4E2F8F" w14:textId="313F6CBC" w:rsidR="00014B37" w:rsidRDefault="00014B37" w:rsidP="006727F9">
            <w:pPr>
              <w:spacing w:after="0" w:line="259" w:lineRule="auto"/>
              <w:ind w:left="0" w:right="49" w:firstLine="0"/>
              <w:jc w:val="center"/>
            </w:pPr>
            <w:r>
              <w:rPr>
                <w:sz w:val="18"/>
              </w:rPr>
              <w:t>107-05-1</w:t>
            </w:r>
          </w:p>
        </w:tc>
        <w:tc>
          <w:tcPr>
            <w:tcW w:w="623" w:type="dxa"/>
            <w:tcBorders>
              <w:top w:val="single" w:sz="4" w:space="0" w:color="000000"/>
              <w:left w:val="single" w:sz="12" w:space="0" w:color="000000"/>
              <w:bottom w:val="single" w:sz="4" w:space="0" w:color="000000"/>
              <w:right w:val="single" w:sz="12" w:space="0" w:color="000000"/>
            </w:tcBorders>
          </w:tcPr>
          <w:p w14:paraId="0B832D3C" w14:textId="7A42B08D" w:rsidR="00014B37" w:rsidRDefault="00014B37" w:rsidP="00CE1A8B">
            <w:pPr>
              <w:tabs>
                <w:tab w:val="right" w:pos="535"/>
              </w:tabs>
              <w:spacing w:after="0" w:line="259" w:lineRule="auto"/>
              <w:ind w:left="0" w:right="0" w:firstLine="0"/>
              <w:jc w:val="center"/>
            </w:pPr>
            <w:r>
              <w:rPr>
                <w:sz w:val="18"/>
              </w:rPr>
              <w:t>5</w:t>
            </w:r>
          </w:p>
        </w:tc>
        <w:tc>
          <w:tcPr>
            <w:tcW w:w="870" w:type="dxa"/>
            <w:tcBorders>
              <w:top w:val="single" w:sz="4" w:space="0" w:color="000000"/>
              <w:left w:val="single" w:sz="12" w:space="0" w:color="000000"/>
              <w:bottom w:val="single" w:sz="4" w:space="0" w:color="000000"/>
              <w:right w:val="single" w:sz="12" w:space="0" w:color="000000"/>
            </w:tcBorders>
          </w:tcPr>
          <w:p w14:paraId="426B17AF" w14:textId="693B3C37" w:rsidR="00014B37" w:rsidRDefault="00014B37" w:rsidP="00CE1A8B">
            <w:pPr>
              <w:spacing w:after="0" w:line="259" w:lineRule="auto"/>
              <w:ind w:left="0" w:right="53" w:firstLine="0"/>
              <w:jc w:val="center"/>
            </w:pPr>
            <w:r>
              <w:rPr>
                <w:sz w:val="18"/>
              </w:rPr>
              <w:t>ug/L</w:t>
            </w:r>
          </w:p>
        </w:tc>
        <w:tc>
          <w:tcPr>
            <w:tcW w:w="810" w:type="dxa"/>
            <w:tcBorders>
              <w:top w:val="single" w:sz="4" w:space="0" w:color="000000"/>
              <w:left w:val="single" w:sz="12" w:space="0" w:color="000000"/>
              <w:bottom w:val="single" w:sz="4" w:space="0" w:color="000000"/>
              <w:right w:val="single" w:sz="12" w:space="0" w:color="000000"/>
            </w:tcBorders>
          </w:tcPr>
          <w:p w14:paraId="217879F4" w14:textId="6B7BFAF2" w:rsidR="00014B37" w:rsidRDefault="00014B37" w:rsidP="00CE1A8B">
            <w:pPr>
              <w:tabs>
                <w:tab w:val="right" w:pos="717"/>
              </w:tabs>
              <w:spacing w:after="0" w:line="259" w:lineRule="auto"/>
              <w:ind w:left="0" w:right="0" w:firstLine="0"/>
              <w:jc w:val="center"/>
            </w:pPr>
            <w:r>
              <w:rPr>
                <w:sz w:val="18"/>
              </w:rPr>
              <w:t>5</w:t>
            </w:r>
          </w:p>
        </w:tc>
        <w:tc>
          <w:tcPr>
            <w:tcW w:w="793" w:type="dxa"/>
            <w:tcBorders>
              <w:top w:val="single" w:sz="4" w:space="0" w:color="000000"/>
              <w:left w:val="single" w:sz="12" w:space="0" w:color="000000"/>
              <w:bottom w:val="single" w:sz="4" w:space="0" w:color="000000"/>
              <w:right w:val="single" w:sz="12" w:space="0" w:color="000000"/>
            </w:tcBorders>
          </w:tcPr>
          <w:p w14:paraId="25EB5644" w14:textId="23C557C6" w:rsidR="00014B37" w:rsidRDefault="00014B37" w:rsidP="00CE1A8B">
            <w:pPr>
              <w:spacing w:after="0" w:line="259" w:lineRule="auto"/>
              <w:ind w:left="0" w:right="51" w:firstLine="0"/>
              <w:jc w:val="center"/>
            </w:pPr>
            <w:r>
              <w:rPr>
                <w:rFonts w:eastAsia="Segoe UI Symbol"/>
                <w:sz w:val="18"/>
              </w:rPr>
              <w:t>u</w:t>
            </w:r>
            <w:r>
              <w:rPr>
                <w:sz w:val="18"/>
              </w:rPr>
              <w:t>g/kg</w:t>
            </w:r>
          </w:p>
        </w:tc>
        <w:tc>
          <w:tcPr>
            <w:tcW w:w="642" w:type="dxa"/>
            <w:tcBorders>
              <w:top w:val="single" w:sz="4" w:space="0" w:color="000000"/>
              <w:left w:val="single" w:sz="12" w:space="0" w:color="000000"/>
              <w:bottom w:val="single" w:sz="4" w:space="0" w:color="000000"/>
              <w:right w:val="single" w:sz="12" w:space="0" w:color="000000"/>
            </w:tcBorders>
          </w:tcPr>
          <w:p w14:paraId="50593343" w14:textId="2081F49B" w:rsidR="00014B37" w:rsidRDefault="00014B37" w:rsidP="00CE1A8B">
            <w:pPr>
              <w:spacing w:after="0" w:line="259" w:lineRule="auto"/>
              <w:ind w:left="0" w:right="49" w:firstLine="0"/>
              <w:jc w:val="center"/>
            </w:pPr>
            <w:r>
              <w:rPr>
                <w:sz w:val="18"/>
              </w:rPr>
              <w:t>X</w:t>
            </w:r>
          </w:p>
        </w:tc>
        <w:tc>
          <w:tcPr>
            <w:tcW w:w="450" w:type="dxa"/>
            <w:tcBorders>
              <w:top w:val="single" w:sz="4" w:space="0" w:color="000000"/>
              <w:left w:val="single" w:sz="12" w:space="0" w:color="000000"/>
              <w:bottom w:val="single" w:sz="4" w:space="0" w:color="000000"/>
              <w:right w:val="single" w:sz="12" w:space="0" w:color="000000"/>
            </w:tcBorders>
          </w:tcPr>
          <w:p w14:paraId="091072E6" w14:textId="3491A3FE" w:rsidR="00014B37" w:rsidRDefault="00014B37" w:rsidP="00CE1A8B">
            <w:pPr>
              <w:spacing w:after="0" w:line="259" w:lineRule="auto"/>
              <w:ind w:left="0" w:right="50" w:firstLine="0"/>
              <w:jc w:val="center"/>
            </w:pPr>
            <w:r>
              <w:rPr>
                <w:sz w:val="18"/>
              </w:rPr>
              <w:t>X</w:t>
            </w:r>
          </w:p>
        </w:tc>
        <w:tc>
          <w:tcPr>
            <w:tcW w:w="900" w:type="dxa"/>
            <w:tcBorders>
              <w:top w:val="single" w:sz="4" w:space="0" w:color="000000"/>
              <w:left w:val="single" w:sz="12" w:space="0" w:color="000000"/>
              <w:bottom w:val="single" w:sz="4" w:space="0" w:color="000000"/>
              <w:right w:val="single" w:sz="12" w:space="0" w:color="000000"/>
            </w:tcBorders>
          </w:tcPr>
          <w:p w14:paraId="5714A810" w14:textId="524D1E44" w:rsidR="00014B37" w:rsidRDefault="00014B37" w:rsidP="00CE1A8B">
            <w:pPr>
              <w:spacing w:after="0" w:line="259" w:lineRule="auto"/>
              <w:ind w:left="0" w:right="52" w:firstLine="0"/>
              <w:jc w:val="center"/>
            </w:pPr>
            <w:r>
              <w:rPr>
                <w:sz w:val="18"/>
              </w:rPr>
              <w:t>X</w:t>
            </w:r>
          </w:p>
        </w:tc>
        <w:tc>
          <w:tcPr>
            <w:tcW w:w="900" w:type="dxa"/>
            <w:tcBorders>
              <w:top w:val="single" w:sz="4" w:space="0" w:color="000000"/>
              <w:left w:val="single" w:sz="12" w:space="0" w:color="000000"/>
              <w:bottom w:val="single" w:sz="4" w:space="0" w:color="000000"/>
              <w:right w:val="single" w:sz="12" w:space="0" w:color="000000"/>
            </w:tcBorders>
            <w:vAlign w:val="center"/>
          </w:tcPr>
          <w:p w14:paraId="4E8044BB" w14:textId="738EEC1E" w:rsidR="00014B37" w:rsidRDefault="00014B37" w:rsidP="00724AC2">
            <w:pPr>
              <w:spacing w:after="0" w:line="259" w:lineRule="auto"/>
              <w:ind w:left="38" w:right="0" w:firstLine="0"/>
              <w:jc w:val="center"/>
            </w:pPr>
            <w:r>
              <w:rPr>
                <w:sz w:val="18"/>
              </w:rPr>
              <w:t>8260</w:t>
            </w:r>
          </w:p>
        </w:tc>
        <w:tc>
          <w:tcPr>
            <w:tcW w:w="720" w:type="dxa"/>
            <w:tcBorders>
              <w:top w:val="single" w:sz="4" w:space="0" w:color="000000"/>
              <w:left w:val="single" w:sz="12" w:space="0" w:color="000000"/>
              <w:bottom w:val="single" w:sz="4" w:space="0" w:color="000000"/>
              <w:right w:val="single" w:sz="12" w:space="0" w:color="000000"/>
            </w:tcBorders>
            <w:vAlign w:val="center"/>
          </w:tcPr>
          <w:p w14:paraId="29D98863" w14:textId="4D053DCC" w:rsidR="00014B37" w:rsidRDefault="00014B37" w:rsidP="00724AC2">
            <w:pPr>
              <w:spacing w:after="0" w:line="259" w:lineRule="auto"/>
              <w:ind w:left="0" w:right="0" w:firstLine="0"/>
              <w:jc w:val="center"/>
            </w:pPr>
            <w:r>
              <w:rPr>
                <w:sz w:val="18"/>
              </w:rPr>
              <w:t>8021</w:t>
            </w:r>
          </w:p>
        </w:tc>
      </w:tr>
      <w:tr w:rsidR="00014B37" w14:paraId="3644FA53" w14:textId="77777777" w:rsidTr="005B6604">
        <w:trPr>
          <w:trHeight w:val="245"/>
        </w:trPr>
        <w:tc>
          <w:tcPr>
            <w:tcW w:w="2948" w:type="dxa"/>
            <w:tcBorders>
              <w:top w:val="single" w:sz="4" w:space="0" w:color="000000"/>
              <w:left w:val="single" w:sz="12" w:space="0" w:color="000000"/>
              <w:bottom w:val="single" w:sz="4" w:space="0" w:color="000000"/>
              <w:right w:val="single" w:sz="12" w:space="0" w:color="000000"/>
            </w:tcBorders>
          </w:tcPr>
          <w:p w14:paraId="78ADE1F3" w14:textId="77777777" w:rsidR="00014B37" w:rsidRDefault="00014B37" w:rsidP="00014B37">
            <w:pPr>
              <w:spacing w:after="0" w:line="259" w:lineRule="auto"/>
              <w:ind w:left="0" w:right="0" w:firstLine="0"/>
            </w:pPr>
            <w:r>
              <w:rPr>
                <w:sz w:val="18"/>
              </w:rPr>
              <w:t xml:space="preserve">Benzyl chloride </w:t>
            </w:r>
          </w:p>
        </w:tc>
        <w:tc>
          <w:tcPr>
            <w:tcW w:w="964" w:type="dxa"/>
            <w:tcBorders>
              <w:top w:val="single" w:sz="4" w:space="0" w:color="000000"/>
              <w:left w:val="single" w:sz="12" w:space="0" w:color="000000"/>
              <w:bottom w:val="single" w:sz="4" w:space="0" w:color="000000"/>
              <w:right w:val="single" w:sz="12" w:space="0" w:color="000000"/>
            </w:tcBorders>
          </w:tcPr>
          <w:p w14:paraId="41C22FA6" w14:textId="5D20A189" w:rsidR="00014B37" w:rsidRDefault="00014B37" w:rsidP="006727F9">
            <w:pPr>
              <w:spacing w:after="0" w:line="259" w:lineRule="auto"/>
              <w:ind w:left="0" w:right="49" w:firstLine="0"/>
              <w:jc w:val="center"/>
            </w:pPr>
            <w:r>
              <w:rPr>
                <w:sz w:val="18"/>
              </w:rPr>
              <w:t>100-44-7</w:t>
            </w:r>
          </w:p>
        </w:tc>
        <w:tc>
          <w:tcPr>
            <w:tcW w:w="623" w:type="dxa"/>
            <w:tcBorders>
              <w:top w:val="single" w:sz="4" w:space="0" w:color="000000"/>
              <w:left w:val="single" w:sz="12" w:space="0" w:color="000000"/>
              <w:bottom w:val="single" w:sz="4" w:space="0" w:color="000000"/>
              <w:right w:val="single" w:sz="12" w:space="0" w:color="000000"/>
            </w:tcBorders>
          </w:tcPr>
          <w:p w14:paraId="51AABD42" w14:textId="0E56FB25" w:rsidR="00014B37" w:rsidRDefault="00014B37" w:rsidP="00CE1A8B">
            <w:pPr>
              <w:tabs>
                <w:tab w:val="right" w:pos="535"/>
              </w:tabs>
              <w:spacing w:after="0" w:line="259" w:lineRule="auto"/>
              <w:ind w:left="0" w:right="0" w:firstLine="0"/>
              <w:jc w:val="center"/>
            </w:pPr>
            <w:r>
              <w:rPr>
                <w:sz w:val="18"/>
              </w:rPr>
              <w:t>5</w:t>
            </w:r>
          </w:p>
        </w:tc>
        <w:tc>
          <w:tcPr>
            <w:tcW w:w="870" w:type="dxa"/>
            <w:tcBorders>
              <w:top w:val="single" w:sz="4" w:space="0" w:color="000000"/>
              <w:left w:val="single" w:sz="12" w:space="0" w:color="000000"/>
              <w:bottom w:val="single" w:sz="4" w:space="0" w:color="000000"/>
              <w:right w:val="single" w:sz="12" w:space="0" w:color="000000"/>
            </w:tcBorders>
          </w:tcPr>
          <w:p w14:paraId="1E2B7188" w14:textId="47E1EA39" w:rsidR="00014B37" w:rsidRDefault="00014B37" w:rsidP="00CE1A8B">
            <w:pPr>
              <w:spacing w:after="0" w:line="259" w:lineRule="auto"/>
              <w:ind w:left="0" w:right="53" w:firstLine="0"/>
              <w:jc w:val="center"/>
            </w:pPr>
            <w:r>
              <w:rPr>
                <w:sz w:val="18"/>
              </w:rPr>
              <w:t>ug/L</w:t>
            </w:r>
          </w:p>
        </w:tc>
        <w:tc>
          <w:tcPr>
            <w:tcW w:w="810" w:type="dxa"/>
            <w:tcBorders>
              <w:top w:val="single" w:sz="4" w:space="0" w:color="000000"/>
              <w:left w:val="single" w:sz="12" w:space="0" w:color="000000"/>
              <w:bottom w:val="single" w:sz="4" w:space="0" w:color="000000"/>
              <w:right w:val="single" w:sz="12" w:space="0" w:color="000000"/>
            </w:tcBorders>
          </w:tcPr>
          <w:p w14:paraId="03AF3F1C" w14:textId="39ED7D34" w:rsidR="00014B37" w:rsidRDefault="00014B37" w:rsidP="00CE1A8B">
            <w:pPr>
              <w:tabs>
                <w:tab w:val="right" w:pos="717"/>
              </w:tabs>
              <w:spacing w:after="0" w:line="259" w:lineRule="auto"/>
              <w:ind w:left="0" w:right="0" w:firstLine="0"/>
              <w:jc w:val="center"/>
            </w:pPr>
            <w:r>
              <w:rPr>
                <w:sz w:val="18"/>
              </w:rPr>
              <w:t>5</w:t>
            </w:r>
          </w:p>
        </w:tc>
        <w:tc>
          <w:tcPr>
            <w:tcW w:w="793" w:type="dxa"/>
            <w:tcBorders>
              <w:top w:val="single" w:sz="4" w:space="0" w:color="000000"/>
              <w:left w:val="single" w:sz="12" w:space="0" w:color="000000"/>
              <w:bottom w:val="single" w:sz="4" w:space="0" w:color="000000"/>
              <w:right w:val="single" w:sz="12" w:space="0" w:color="000000"/>
            </w:tcBorders>
          </w:tcPr>
          <w:p w14:paraId="7514BA55" w14:textId="6EC6BF4C" w:rsidR="00014B37" w:rsidRDefault="00014B37" w:rsidP="00CE1A8B">
            <w:pPr>
              <w:spacing w:after="0" w:line="259" w:lineRule="auto"/>
              <w:ind w:left="0" w:right="51" w:firstLine="0"/>
              <w:jc w:val="center"/>
            </w:pPr>
            <w:r>
              <w:rPr>
                <w:rFonts w:eastAsia="Segoe UI Symbol"/>
                <w:sz w:val="18"/>
              </w:rPr>
              <w:t>u</w:t>
            </w:r>
            <w:r>
              <w:rPr>
                <w:sz w:val="18"/>
              </w:rPr>
              <w:t>g/kg</w:t>
            </w:r>
          </w:p>
        </w:tc>
        <w:tc>
          <w:tcPr>
            <w:tcW w:w="642" w:type="dxa"/>
            <w:tcBorders>
              <w:top w:val="single" w:sz="4" w:space="0" w:color="000000"/>
              <w:left w:val="single" w:sz="12" w:space="0" w:color="000000"/>
              <w:bottom w:val="single" w:sz="4" w:space="0" w:color="000000"/>
              <w:right w:val="single" w:sz="12" w:space="0" w:color="000000"/>
            </w:tcBorders>
          </w:tcPr>
          <w:p w14:paraId="373D52AE" w14:textId="40E3644C" w:rsidR="00014B37" w:rsidRDefault="00014B37" w:rsidP="00CE1A8B">
            <w:pPr>
              <w:spacing w:after="0" w:line="259" w:lineRule="auto"/>
              <w:ind w:left="0" w:right="49" w:firstLine="0"/>
              <w:jc w:val="center"/>
            </w:pPr>
            <w:r>
              <w:rPr>
                <w:sz w:val="18"/>
              </w:rPr>
              <w:t>X</w:t>
            </w:r>
          </w:p>
        </w:tc>
        <w:tc>
          <w:tcPr>
            <w:tcW w:w="450" w:type="dxa"/>
            <w:tcBorders>
              <w:top w:val="single" w:sz="4" w:space="0" w:color="000000"/>
              <w:left w:val="single" w:sz="12" w:space="0" w:color="000000"/>
              <w:bottom w:val="single" w:sz="4" w:space="0" w:color="000000"/>
              <w:right w:val="single" w:sz="12" w:space="0" w:color="000000"/>
            </w:tcBorders>
          </w:tcPr>
          <w:p w14:paraId="4699A42B" w14:textId="6E8B9E69" w:rsidR="00014B37" w:rsidRDefault="00014B37" w:rsidP="00CE1A8B">
            <w:pPr>
              <w:spacing w:after="0" w:line="259" w:lineRule="auto"/>
              <w:ind w:left="0" w:right="5" w:firstLine="0"/>
              <w:jc w:val="center"/>
            </w:pPr>
          </w:p>
        </w:tc>
        <w:tc>
          <w:tcPr>
            <w:tcW w:w="900" w:type="dxa"/>
            <w:tcBorders>
              <w:top w:val="single" w:sz="4" w:space="0" w:color="000000"/>
              <w:left w:val="single" w:sz="12" w:space="0" w:color="000000"/>
              <w:bottom w:val="single" w:sz="4" w:space="0" w:color="000000"/>
              <w:right w:val="single" w:sz="12" w:space="0" w:color="000000"/>
            </w:tcBorders>
          </w:tcPr>
          <w:p w14:paraId="0F3BDFFD" w14:textId="7D490413" w:rsidR="00014B37" w:rsidRDefault="00014B37" w:rsidP="00CE1A8B">
            <w:pPr>
              <w:spacing w:after="0" w:line="259" w:lineRule="auto"/>
              <w:ind w:left="0" w:right="7" w:firstLine="0"/>
              <w:jc w:val="center"/>
            </w:pPr>
          </w:p>
        </w:tc>
        <w:tc>
          <w:tcPr>
            <w:tcW w:w="900" w:type="dxa"/>
            <w:tcBorders>
              <w:top w:val="single" w:sz="4" w:space="0" w:color="000000"/>
              <w:left w:val="single" w:sz="12" w:space="0" w:color="000000"/>
              <w:bottom w:val="single" w:sz="4" w:space="0" w:color="000000"/>
              <w:right w:val="single" w:sz="12" w:space="0" w:color="000000"/>
            </w:tcBorders>
            <w:vAlign w:val="center"/>
          </w:tcPr>
          <w:p w14:paraId="070CA2A3" w14:textId="752E3653" w:rsidR="00014B37" w:rsidRDefault="00014B37" w:rsidP="00724AC2">
            <w:pPr>
              <w:spacing w:after="0" w:line="259" w:lineRule="auto"/>
              <w:ind w:left="38" w:right="0" w:firstLine="0"/>
              <w:jc w:val="center"/>
            </w:pPr>
            <w:r>
              <w:rPr>
                <w:sz w:val="18"/>
              </w:rPr>
              <w:t>8260</w:t>
            </w:r>
          </w:p>
        </w:tc>
        <w:tc>
          <w:tcPr>
            <w:tcW w:w="720" w:type="dxa"/>
            <w:tcBorders>
              <w:top w:val="single" w:sz="4" w:space="0" w:color="000000"/>
              <w:left w:val="single" w:sz="12" w:space="0" w:color="000000"/>
              <w:bottom w:val="single" w:sz="4" w:space="0" w:color="000000"/>
              <w:right w:val="single" w:sz="12" w:space="0" w:color="000000"/>
            </w:tcBorders>
            <w:vAlign w:val="center"/>
          </w:tcPr>
          <w:p w14:paraId="0AC803C3" w14:textId="08E6FDE0" w:rsidR="00014B37" w:rsidRDefault="00014B37" w:rsidP="00724AC2">
            <w:pPr>
              <w:spacing w:after="0" w:line="259" w:lineRule="auto"/>
              <w:ind w:left="0" w:right="0" w:firstLine="0"/>
              <w:jc w:val="center"/>
            </w:pPr>
            <w:r>
              <w:rPr>
                <w:sz w:val="18"/>
              </w:rPr>
              <w:t>8021</w:t>
            </w:r>
          </w:p>
        </w:tc>
      </w:tr>
      <w:tr w:rsidR="00014B37" w14:paraId="5AEF197A" w14:textId="77777777" w:rsidTr="005B6604">
        <w:trPr>
          <w:trHeight w:val="245"/>
        </w:trPr>
        <w:tc>
          <w:tcPr>
            <w:tcW w:w="2948" w:type="dxa"/>
            <w:tcBorders>
              <w:top w:val="single" w:sz="4" w:space="0" w:color="000000"/>
              <w:left w:val="single" w:sz="12" w:space="0" w:color="000000"/>
              <w:bottom w:val="single" w:sz="4" w:space="0" w:color="000000"/>
              <w:right w:val="single" w:sz="12" w:space="0" w:color="000000"/>
            </w:tcBorders>
          </w:tcPr>
          <w:p w14:paraId="0F441B9F" w14:textId="77777777" w:rsidR="00014B37" w:rsidRDefault="00014B37" w:rsidP="00014B37">
            <w:pPr>
              <w:spacing w:after="0" w:line="259" w:lineRule="auto"/>
              <w:ind w:left="0" w:right="0" w:firstLine="0"/>
            </w:pPr>
            <w:r>
              <w:rPr>
                <w:sz w:val="18"/>
              </w:rPr>
              <w:t xml:space="preserve">Bromoacetone </w:t>
            </w:r>
          </w:p>
        </w:tc>
        <w:tc>
          <w:tcPr>
            <w:tcW w:w="964" w:type="dxa"/>
            <w:tcBorders>
              <w:top w:val="single" w:sz="4" w:space="0" w:color="000000"/>
              <w:left w:val="single" w:sz="12" w:space="0" w:color="000000"/>
              <w:bottom w:val="single" w:sz="4" w:space="0" w:color="000000"/>
              <w:right w:val="single" w:sz="12" w:space="0" w:color="000000"/>
            </w:tcBorders>
          </w:tcPr>
          <w:p w14:paraId="42E45198" w14:textId="20A62742" w:rsidR="00014B37" w:rsidRDefault="00014B37" w:rsidP="006727F9">
            <w:pPr>
              <w:spacing w:after="0" w:line="259" w:lineRule="auto"/>
              <w:ind w:left="0" w:right="49" w:firstLine="0"/>
              <w:jc w:val="center"/>
            </w:pPr>
            <w:r>
              <w:rPr>
                <w:sz w:val="18"/>
              </w:rPr>
              <w:t>598-31-2</w:t>
            </w:r>
          </w:p>
        </w:tc>
        <w:tc>
          <w:tcPr>
            <w:tcW w:w="623" w:type="dxa"/>
            <w:tcBorders>
              <w:top w:val="single" w:sz="4" w:space="0" w:color="000000"/>
              <w:left w:val="single" w:sz="12" w:space="0" w:color="000000"/>
              <w:bottom w:val="single" w:sz="4" w:space="0" w:color="000000"/>
              <w:right w:val="single" w:sz="12" w:space="0" w:color="000000"/>
            </w:tcBorders>
          </w:tcPr>
          <w:p w14:paraId="4C1AFBDA" w14:textId="66E907A9" w:rsidR="00014B37" w:rsidRDefault="00014B37" w:rsidP="00CE1A8B">
            <w:pPr>
              <w:tabs>
                <w:tab w:val="right" w:pos="535"/>
              </w:tabs>
              <w:spacing w:after="0" w:line="259" w:lineRule="auto"/>
              <w:ind w:left="0" w:right="0" w:firstLine="0"/>
              <w:jc w:val="center"/>
            </w:pPr>
            <w:r>
              <w:rPr>
                <w:sz w:val="18"/>
              </w:rPr>
              <w:t>5</w:t>
            </w:r>
          </w:p>
        </w:tc>
        <w:tc>
          <w:tcPr>
            <w:tcW w:w="870" w:type="dxa"/>
            <w:tcBorders>
              <w:top w:val="single" w:sz="4" w:space="0" w:color="000000"/>
              <w:left w:val="single" w:sz="12" w:space="0" w:color="000000"/>
              <w:bottom w:val="single" w:sz="4" w:space="0" w:color="000000"/>
              <w:right w:val="single" w:sz="12" w:space="0" w:color="000000"/>
            </w:tcBorders>
          </w:tcPr>
          <w:p w14:paraId="423CA68C" w14:textId="213CE140" w:rsidR="00014B37" w:rsidRDefault="00014B37" w:rsidP="00CE1A8B">
            <w:pPr>
              <w:spacing w:after="0" w:line="259" w:lineRule="auto"/>
              <w:ind w:left="0" w:right="53" w:firstLine="0"/>
              <w:jc w:val="center"/>
            </w:pPr>
            <w:r>
              <w:rPr>
                <w:sz w:val="18"/>
              </w:rPr>
              <w:t>ug/L</w:t>
            </w:r>
          </w:p>
        </w:tc>
        <w:tc>
          <w:tcPr>
            <w:tcW w:w="810" w:type="dxa"/>
            <w:tcBorders>
              <w:top w:val="single" w:sz="4" w:space="0" w:color="000000"/>
              <w:left w:val="single" w:sz="12" w:space="0" w:color="000000"/>
              <w:bottom w:val="single" w:sz="4" w:space="0" w:color="000000"/>
              <w:right w:val="single" w:sz="12" w:space="0" w:color="000000"/>
            </w:tcBorders>
          </w:tcPr>
          <w:p w14:paraId="2BCE2639" w14:textId="14D7BB15" w:rsidR="00014B37" w:rsidRDefault="00014B37" w:rsidP="00CE1A8B">
            <w:pPr>
              <w:tabs>
                <w:tab w:val="right" w:pos="717"/>
              </w:tabs>
              <w:spacing w:after="0" w:line="259" w:lineRule="auto"/>
              <w:ind w:left="0" w:right="0" w:firstLine="0"/>
              <w:jc w:val="center"/>
            </w:pPr>
            <w:r>
              <w:rPr>
                <w:sz w:val="18"/>
              </w:rPr>
              <w:t>5</w:t>
            </w:r>
          </w:p>
        </w:tc>
        <w:tc>
          <w:tcPr>
            <w:tcW w:w="793" w:type="dxa"/>
            <w:tcBorders>
              <w:top w:val="single" w:sz="4" w:space="0" w:color="000000"/>
              <w:left w:val="single" w:sz="12" w:space="0" w:color="000000"/>
              <w:bottom w:val="single" w:sz="4" w:space="0" w:color="000000"/>
              <w:right w:val="single" w:sz="12" w:space="0" w:color="000000"/>
            </w:tcBorders>
          </w:tcPr>
          <w:p w14:paraId="1E9D18A0" w14:textId="106D213F" w:rsidR="00014B37" w:rsidRDefault="00014B37" w:rsidP="00CE1A8B">
            <w:pPr>
              <w:spacing w:after="0" w:line="259" w:lineRule="auto"/>
              <w:ind w:left="0" w:right="51" w:firstLine="0"/>
              <w:jc w:val="center"/>
            </w:pPr>
            <w:r>
              <w:rPr>
                <w:rFonts w:eastAsia="Segoe UI Symbol"/>
                <w:sz w:val="18"/>
              </w:rPr>
              <w:t>u</w:t>
            </w:r>
            <w:r>
              <w:rPr>
                <w:sz w:val="18"/>
              </w:rPr>
              <w:t>g/kg</w:t>
            </w:r>
          </w:p>
        </w:tc>
        <w:tc>
          <w:tcPr>
            <w:tcW w:w="642" w:type="dxa"/>
            <w:tcBorders>
              <w:top w:val="single" w:sz="4" w:space="0" w:color="000000"/>
              <w:left w:val="single" w:sz="12" w:space="0" w:color="000000"/>
              <w:bottom w:val="single" w:sz="4" w:space="0" w:color="000000"/>
              <w:right w:val="single" w:sz="12" w:space="0" w:color="000000"/>
            </w:tcBorders>
          </w:tcPr>
          <w:p w14:paraId="0BC66348" w14:textId="379A18A9" w:rsidR="00014B37" w:rsidRDefault="00014B37" w:rsidP="00CE1A8B">
            <w:pPr>
              <w:spacing w:after="0" w:line="259" w:lineRule="auto"/>
              <w:ind w:left="0" w:right="49" w:firstLine="0"/>
              <w:jc w:val="center"/>
            </w:pPr>
            <w:r>
              <w:rPr>
                <w:sz w:val="18"/>
              </w:rPr>
              <w:t>X</w:t>
            </w:r>
          </w:p>
        </w:tc>
        <w:tc>
          <w:tcPr>
            <w:tcW w:w="450" w:type="dxa"/>
            <w:tcBorders>
              <w:top w:val="single" w:sz="4" w:space="0" w:color="000000"/>
              <w:left w:val="single" w:sz="12" w:space="0" w:color="000000"/>
              <w:bottom w:val="single" w:sz="4" w:space="0" w:color="000000"/>
              <w:right w:val="single" w:sz="12" w:space="0" w:color="000000"/>
            </w:tcBorders>
          </w:tcPr>
          <w:p w14:paraId="54DB7AA0" w14:textId="2DB0DF04" w:rsidR="00014B37" w:rsidRDefault="00014B37" w:rsidP="00CE1A8B">
            <w:pPr>
              <w:spacing w:after="0" w:line="259" w:lineRule="auto"/>
              <w:ind w:left="0" w:right="5" w:firstLine="0"/>
              <w:jc w:val="center"/>
            </w:pPr>
          </w:p>
        </w:tc>
        <w:tc>
          <w:tcPr>
            <w:tcW w:w="900" w:type="dxa"/>
            <w:tcBorders>
              <w:top w:val="single" w:sz="4" w:space="0" w:color="000000"/>
              <w:left w:val="single" w:sz="12" w:space="0" w:color="000000"/>
              <w:bottom w:val="single" w:sz="4" w:space="0" w:color="000000"/>
              <w:right w:val="single" w:sz="12" w:space="0" w:color="000000"/>
            </w:tcBorders>
          </w:tcPr>
          <w:p w14:paraId="02FC322E" w14:textId="75686B33" w:rsidR="00014B37" w:rsidRDefault="00014B37" w:rsidP="00CE1A8B">
            <w:pPr>
              <w:spacing w:after="0" w:line="259" w:lineRule="auto"/>
              <w:ind w:left="0" w:right="7" w:firstLine="0"/>
              <w:jc w:val="center"/>
            </w:pPr>
          </w:p>
        </w:tc>
        <w:tc>
          <w:tcPr>
            <w:tcW w:w="900" w:type="dxa"/>
            <w:tcBorders>
              <w:top w:val="single" w:sz="4" w:space="0" w:color="000000"/>
              <w:left w:val="single" w:sz="12" w:space="0" w:color="000000"/>
              <w:bottom w:val="single" w:sz="4" w:space="0" w:color="000000"/>
              <w:right w:val="single" w:sz="12" w:space="0" w:color="000000"/>
            </w:tcBorders>
            <w:vAlign w:val="center"/>
          </w:tcPr>
          <w:p w14:paraId="201DD153" w14:textId="41E5800F" w:rsidR="00014B37" w:rsidRDefault="00014B37" w:rsidP="00724AC2">
            <w:pPr>
              <w:spacing w:after="0" w:line="259" w:lineRule="auto"/>
              <w:ind w:left="38" w:right="0" w:firstLine="0"/>
              <w:jc w:val="center"/>
            </w:pPr>
            <w:r>
              <w:rPr>
                <w:sz w:val="18"/>
              </w:rPr>
              <w:t>8260</w:t>
            </w:r>
          </w:p>
        </w:tc>
        <w:tc>
          <w:tcPr>
            <w:tcW w:w="720" w:type="dxa"/>
            <w:tcBorders>
              <w:top w:val="single" w:sz="4" w:space="0" w:color="000000"/>
              <w:left w:val="single" w:sz="12" w:space="0" w:color="000000"/>
              <w:bottom w:val="single" w:sz="4" w:space="0" w:color="000000"/>
              <w:right w:val="single" w:sz="12" w:space="0" w:color="000000"/>
            </w:tcBorders>
            <w:vAlign w:val="center"/>
          </w:tcPr>
          <w:p w14:paraId="32F422FD" w14:textId="1C6E9518" w:rsidR="00014B37" w:rsidRDefault="00014B37" w:rsidP="00724AC2">
            <w:pPr>
              <w:spacing w:after="0" w:line="259" w:lineRule="auto"/>
              <w:ind w:left="0" w:right="0" w:firstLine="0"/>
              <w:jc w:val="center"/>
            </w:pPr>
            <w:r>
              <w:rPr>
                <w:sz w:val="18"/>
              </w:rPr>
              <w:t>8021</w:t>
            </w:r>
          </w:p>
        </w:tc>
      </w:tr>
      <w:tr w:rsidR="00014B37" w14:paraId="53AECDAC" w14:textId="77777777" w:rsidTr="005B6604">
        <w:trPr>
          <w:trHeight w:val="245"/>
        </w:trPr>
        <w:tc>
          <w:tcPr>
            <w:tcW w:w="2948" w:type="dxa"/>
            <w:tcBorders>
              <w:top w:val="single" w:sz="4" w:space="0" w:color="000000"/>
              <w:left w:val="single" w:sz="12" w:space="0" w:color="000000"/>
              <w:bottom w:val="single" w:sz="4" w:space="0" w:color="000000"/>
              <w:right w:val="single" w:sz="12" w:space="0" w:color="000000"/>
            </w:tcBorders>
          </w:tcPr>
          <w:p w14:paraId="21B147CC" w14:textId="77777777" w:rsidR="00014B37" w:rsidRDefault="00014B37" w:rsidP="00014B37">
            <w:pPr>
              <w:spacing w:after="0" w:line="259" w:lineRule="auto"/>
              <w:ind w:left="0" w:right="0" w:firstLine="0"/>
            </w:pPr>
            <w:r>
              <w:rPr>
                <w:sz w:val="18"/>
              </w:rPr>
              <w:t xml:space="preserve">Bromochloromethane </w:t>
            </w:r>
          </w:p>
        </w:tc>
        <w:tc>
          <w:tcPr>
            <w:tcW w:w="964" w:type="dxa"/>
            <w:tcBorders>
              <w:top w:val="single" w:sz="4" w:space="0" w:color="000000"/>
              <w:left w:val="single" w:sz="12" w:space="0" w:color="000000"/>
              <w:bottom w:val="single" w:sz="4" w:space="0" w:color="000000"/>
              <w:right w:val="single" w:sz="12" w:space="0" w:color="000000"/>
            </w:tcBorders>
          </w:tcPr>
          <w:p w14:paraId="291C14DC" w14:textId="595A84CC" w:rsidR="00014B37" w:rsidRDefault="00014B37" w:rsidP="006727F9">
            <w:pPr>
              <w:spacing w:after="0" w:line="259" w:lineRule="auto"/>
              <w:ind w:left="0" w:right="49" w:firstLine="0"/>
              <w:jc w:val="center"/>
            </w:pPr>
            <w:r>
              <w:rPr>
                <w:sz w:val="18"/>
              </w:rPr>
              <w:t>74-97-5</w:t>
            </w:r>
          </w:p>
        </w:tc>
        <w:tc>
          <w:tcPr>
            <w:tcW w:w="623" w:type="dxa"/>
            <w:tcBorders>
              <w:top w:val="single" w:sz="4" w:space="0" w:color="000000"/>
              <w:left w:val="single" w:sz="12" w:space="0" w:color="000000"/>
              <w:bottom w:val="single" w:sz="4" w:space="0" w:color="000000"/>
              <w:right w:val="single" w:sz="12" w:space="0" w:color="000000"/>
            </w:tcBorders>
          </w:tcPr>
          <w:p w14:paraId="3558F4CB" w14:textId="3330E28E" w:rsidR="00014B37" w:rsidRDefault="00014B37" w:rsidP="00CE1A8B">
            <w:pPr>
              <w:tabs>
                <w:tab w:val="right" w:pos="535"/>
              </w:tabs>
              <w:spacing w:after="0" w:line="259" w:lineRule="auto"/>
              <w:ind w:left="0" w:right="0" w:firstLine="0"/>
              <w:jc w:val="center"/>
            </w:pPr>
            <w:r>
              <w:rPr>
                <w:sz w:val="18"/>
              </w:rPr>
              <w:t>5</w:t>
            </w:r>
          </w:p>
        </w:tc>
        <w:tc>
          <w:tcPr>
            <w:tcW w:w="870" w:type="dxa"/>
            <w:tcBorders>
              <w:top w:val="single" w:sz="4" w:space="0" w:color="000000"/>
              <w:left w:val="single" w:sz="12" w:space="0" w:color="000000"/>
              <w:bottom w:val="single" w:sz="4" w:space="0" w:color="000000"/>
              <w:right w:val="single" w:sz="12" w:space="0" w:color="000000"/>
            </w:tcBorders>
          </w:tcPr>
          <w:p w14:paraId="30B3E46B" w14:textId="00A5601A" w:rsidR="00014B37" w:rsidRDefault="00014B37" w:rsidP="00CE1A8B">
            <w:pPr>
              <w:spacing w:after="0" w:line="259" w:lineRule="auto"/>
              <w:ind w:left="0" w:right="53" w:firstLine="0"/>
              <w:jc w:val="center"/>
            </w:pPr>
            <w:r>
              <w:rPr>
                <w:sz w:val="18"/>
              </w:rPr>
              <w:t>ug/L</w:t>
            </w:r>
          </w:p>
        </w:tc>
        <w:tc>
          <w:tcPr>
            <w:tcW w:w="810" w:type="dxa"/>
            <w:tcBorders>
              <w:top w:val="single" w:sz="4" w:space="0" w:color="000000"/>
              <w:left w:val="single" w:sz="12" w:space="0" w:color="000000"/>
              <w:bottom w:val="single" w:sz="4" w:space="0" w:color="000000"/>
              <w:right w:val="single" w:sz="12" w:space="0" w:color="000000"/>
            </w:tcBorders>
          </w:tcPr>
          <w:p w14:paraId="004E9A17" w14:textId="757037D3" w:rsidR="00014B37" w:rsidRDefault="00014B37" w:rsidP="00CE1A8B">
            <w:pPr>
              <w:tabs>
                <w:tab w:val="right" w:pos="717"/>
              </w:tabs>
              <w:spacing w:after="0" w:line="259" w:lineRule="auto"/>
              <w:ind w:left="0" w:right="0" w:firstLine="0"/>
              <w:jc w:val="center"/>
            </w:pPr>
            <w:r>
              <w:rPr>
                <w:sz w:val="18"/>
              </w:rPr>
              <w:t>5</w:t>
            </w:r>
          </w:p>
        </w:tc>
        <w:tc>
          <w:tcPr>
            <w:tcW w:w="793" w:type="dxa"/>
            <w:tcBorders>
              <w:top w:val="single" w:sz="4" w:space="0" w:color="000000"/>
              <w:left w:val="single" w:sz="12" w:space="0" w:color="000000"/>
              <w:bottom w:val="single" w:sz="4" w:space="0" w:color="000000"/>
              <w:right w:val="single" w:sz="12" w:space="0" w:color="000000"/>
            </w:tcBorders>
          </w:tcPr>
          <w:p w14:paraId="627A2731" w14:textId="63647EB0" w:rsidR="00014B37" w:rsidRDefault="00014B37" w:rsidP="00CE1A8B">
            <w:pPr>
              <w:spacing w:after="0" w:line="259" w:lineRule="auto"/>
              <w:ind w:left="0" w:right="51" w:firstLine="0"/>
              <w:jc w:val="center"/>
            </w:pPr>
            <w:r>
              <w:rPr>
                <w:rFonts w:eastAsia="Segoe UI Symbol"/>
                <w:sz w:val="18"/>
              </w:rPr>
              <w:t>u</w:t>
            </w:r>
            <w:r>
              <w:rPr>
                <w:sz w:val="18"/>
              </w:rPr>
              <w:t>g/kg</w:t>
            </w:r>
          </w:p>
        </w:tc>
        <w:tc>
          <w:tcPr>
            <w:tcW w:w="642" w:type="dxa"/>
            <w:tcBorders>
              <w:top w:val="single" w:sz="4" w:space="0" w:color="000000"/>
              <w:left w:val="single" w:sz="12" w:space="0" w:color="000000"/>
              <w:bottom w:val="single" w:sz="4" w:space="0" w:color="000000"/>
              <w:right w:val="single" w:sz="12" w:space="0" w:color="000000"/>
            </w:tcBorders>
          </w:tcPr>
          <w:p w14:paraId="033E5D8B" w14:textId="215D1D74" w:rsidR="00014B37" w:rsidRDefault="00014B37" w:rsidP="00CE1A8B">
            <w:pPr>
              <w:spacing w:after="0" w:line="259" w:lineRule="auto"/>
              <w:ind w:left="0" w:right="5" w:firstLine="0"/>
              <w:jc w:val="center"/>
            </w:pPr>
          </w:p>
        </w:tc>
        <w:tc>
          <w:tcPr>
            <w:tcW w:w="450" w:type="dxa"/>
            <w:tcBorders>
              <w:top w:val="single" w:sz="4" w:space="0" w:color="000000"/>
              <w:left w:val="single" w:sz="12" w:space="0" w:color="000000"/>
              <w:bottom w:val="single" w:sz="4" w:space="0" w:color="000000"/>
              <w:right w:val="single" w:sz="12" w:space="0" w:color="000000"/>
            </w:tcBorders>
          </w:tcPr>
          <w:p w14:paraId="0A975E16" w14:textId="0C3F9F38" w:rsidR="00014B37" w:rsidRDefault="00014B37" w:rsidP="00CE1A8B">
            <w:pPr>
              <w:spacing w:after="0" w:line="259" w:lineRule="auto"/>
              <w:ind w:left="0" w:right="5" w:firstLine="0"/>
              <w:jc w:val="center"/>
            </w:pPr>
          </w:p>
        </w:tc>
        <w:tc>
          <w:tcPr>
            <w:tcW w:w="900" w:type="dxa"/>
            <w:tcBorders>
              <w:top w:val="single" w:sz="4" w:space="0" w:color="000000"/>
              <w:left w:val="single" w:sz="12" w:space="0" w:color="000000"/>
              <w:bottom w:val="single" w:sz="4" w:space="0" w:color="000000"/>
              <w:right w:val="single" w:sz="12" w:space="0" w:color="000000"/>
            </w:tcBorders>
          </w:tcPr>
          <w:p w14:paraId="6C013B7F" w14:textId="7FCBE408" w:rsidR="00014B37" w:rsidRDefault="00014B37" w:rsidP="00CE1A8B">
            <w:pPr>
              <w:spacing w:after="0" w:line="259" w:lineRule="auto"/>
              <w:ind w:left="0" w:right="52" w:firstLine="0"/>
              <w:jc w:val="center"/>
            </w:pPr>
            <w:r>
              <w:rPr>
                <w:sz w:val="18"/>
              </w:rPr>
              <w:t>X</w:t>
            </w:r>
          </w:p>
        </w:tc>
        <w:tc>
          <w:tcPr>
            <w:tcW w:w="900" w:type="dxa"/>
            <w:tcBorders>
              <w:top w:val="single" w:sz="4" w:space="0" w:color="000000"/>
              <w:left w:val="single" w:sz="12" w:space="0" w:color="000000"/>
              <w:bottom w:val="single" w:sz="4" w:space="0" w:color="000000"/>
              <w:right w:val="single" w:sz="12" w:space="0" w:color="000000"/>
            </w:tcBorders>
            <w:vAlign w:val="center"/>
          </w:tcPr>
          <w:p w14:paraId="06546F3E" w14:textId="4BF80C0E" w:rsidR="00014B37" w:rsidRDefault="00014B37" w:rsidP="00724AC2">
            <w:pPr>
              <w:spacing w:after="0" w:line="259" w:lineRule="auto"/>
              <w:ind w:left="38" w:right="0" w:firstLine="0"/>
              <w:jc w:val="center"/>
            </w:pPr>
            <w:r>
              <w:rPr>
                <w:sz w:val="18"/>
              </w:rPr>
              <w:t>8260</w:t>
            </w:r>
          </w:p>
        </w:tc>
        <w:tc>
          <w:tcPr>
            <w:tcW w:w="720" w:type="dxa"/>
            <w:tcBorders>
              <w:top w:val="single" w:sz="4" w:space="0" w:color="000000"/>
              <w:left w:val="single" w:sz="12" w:space="0" w:color="000000"/>
              <w:bottom w:val="single" w:sz="4" w:space="0" w:color="000000"/>
              <w:right w:val="single" w:sz="12" w:space="0" w:color="000000"/>
            </w:tcBorders>
            <w:vAlign w:val="center"/>
          </w:tcPr>
          <w:p w14:paraId="703C484E" w14:textId="05F34663" w:rsidR="00014B37" w:rsidRDefault="00014B37" w:rsidP="00724AC2">
            <w:pPr>
              <w:spacing w:after="0" w:line="259" w:lineRule="auto"/>
              <w:ind w:left="0" w:right="0" w:firstLine="0"/>
              <w:jc w:val="center"/>
            </w:pPr>
            <w:r>
              <w:rPr>
                <w:sz w:val="18"/>
              </w:rPr>
              <w:t>8021</w:t>
            </w:r>
          </w:p>
        </w:tc>
      </w:tr>
      <w:tr w:rsidR="00014B37" w14:paraId="564C1532" w14:textId="77777777" w:rsidTr="005B6604">
        <w:trPr>
          <w:trHeight w:val="245"/>
        </w:trPr>
        <w:tc>
          <w:tcPr>
            <w:tcW w:w="2948" w:type="dxa"/>
            <w:tcBorders>
              <w:top w:val="single" w:sz="4" w:space="0" w:color="000000"/>
              <w:left w:val="single" w:sz="12" w:space="0" w:color="000000"/>
              <w:bottom w:val="single" w:sz="4" w:space="0" w:color="000000"/>
              <w:right w:val="single" w:sz="12" w:space="0" w:color="000000"/>
            </w:tcBorders>
          </w:tcPr>
          <w:p w14:paraId="74152AB4" w14:textId="77777777" w:rsidR="00014B37" w:rsidRDefault="00014B37" w:rsidP="00014B37">
            <w:pPr>
              <w:spacing w:after="0" w:line="259" w:lineRule="auto"/>
              <w:ind w:left="0" w:right="0" w:firstLine="0"/>
            </w:pPr>
            <w:r>
              <w:rPr>
                <w:sz w:val="18"/>
              </w:rPr>
              <w:t xml:space="preserve">Chloral hydrate  </w:t>
            </w:r>
          </w:p>
        </w:tc>
        <w:tc>
          <w:tcPr>
            <w:tcW w:w="964" w:type="dxa"/>
            <w:tcBorders>
              <w:top w:val="single" w:sz="4" w:space="0" w:color="000000"/>
              <w:left w:val="single" w:sz="12" w:space="0" w:color="000000"/>
              <w:bottom w:val="single" w:sz="4" w:space="0" w:color="000000"/>
              <w:right w:val="single" w:sz="12" w:space="0" w:color="000000"/>
            </w:tcBorders>
          </w:tcPr>
          <w:p w14:paraId="6B1438D1" w14:textId="60DFFA83" w:rsidR="00014B37" w:rsidRDefault="00014B37" w:rsidP="006727F9">
            <w:pPr>
              <w:spacing w:after="0" w:line="259" w:lineRule="auto"/>
              <w:ind w:left="0" w:right="49" w:firstLine="0"/>
              <w:jc w:val="center"/>
            </w:pPr>
            <w:r>
              <w:rPr>
                <w:sz w:val="18"/>
              </w:rPr>
              <w:t>302-17-0</w:t>
            </w:r>
          </w:p>
        </w:tc>
        <w:tc>
          <w:tcPr>
            <w:tcW w:w="623" w:type="dxa"/>
            <w:tcBorders>
              <w:top w:val="single" w:sz="4" w:space="0" w:color="000000"/>
              <w:left w:val="single" w:sz="12" w:space="0" w:color="000000"/>
              <w:bottom w:val="single" w:sz="4" w:space="0" w:color="000000"/>
              <w:right w:val="single" w:sz="12" w:space="0" w:color="000000"/>
            </w:tcBorders>
          </w:tcPr>
          <w:p w14:paraId="01D4ACD4" w14:textId="6D1A9C7A" w:rsidR="00014B37" w:rsidRDefault="00014B37" w:rsidP="00CE1A8B">
            <w:pPr>
              <w:tabs>
                <w:tab w:val="right" w:pos="535"/>
              </w:tabs>
              <w:spacing w:after="0" w:line="259" w:lineRule="auto"/>
              <w:ind w:left="0" w:right="0" w:firstLine="0"/>
              <w:jc w:val="center"/>
            </w:pPr>
            <w:r>
              <w:rPr>
                <w:sz w:val="18"/>
              </w:rPr>
              <w:t>50</w:t>
            </w:r>
          </w:p>
        </w:tc>
        <w:tc>
          <w:tcPr>
            <w:tcW w:w="870" w:type="dxa"/>
            <w:tcBorders>
              <w:top w:val="single" w:sz="4" w:space="0" w:color="000000"/>
              <w:left w:val="single" w:sz="12" w:space="0" w:color="000000"/>
              <w:bottom w:val="single" w:sz="4" w:space="0" w:color="000000"/>
              <w:right w:val="single" w:sz="12" w:space="0" w:color="000000"/>
            </w:tcBorders>
          </w:tcPr>
          <w:p w14:paraId="56F70114" w14:textId="0B9A566C" w:rsidR="00014B37" w:rsidRDefault="00014B37" w:rsidP="00CE1A8B">
            <w:pPr>
              <w:spacing w:after="0" w:line="259" w:lineRule="auto"/>
              <w:ind w:left="0" w:right="53" w:firstLine="0"/>
              <w:jc w:val="center"/>
            </w:pPr>
            <w:r>
              <w:rPr>
                <w:sz w:val="18"/>
              </w:rPr>
              <w:t>ug/L</w:t>
            </w:r>
          </w:p>
        </w:tc>
        <w:tc>
          <w:tcPr>
            <w:tcW w:w="810" w:type="dxa"/>
            <w:tcBorders>
              <w:top w:val="single" w:sz="4" w:space="0" w:color="000000"/>
              <w:left w:val="single" w:sz="12" w:space="0" w:color="000000"/>
              <w:bottom w:val="single" w:sz="4" w:space="0" w:color="000000"/>
              <w:right w:val="single" w:sz="12" w:space="0" w:color="000000"/>
            </w:tcBorders>
          </w:tcPr>
          <w:p w14:paraId="5CF141B8" w14:textId="30F1D3DB" w:rsidR="00014B37" w:rsidRDefault="00014B37" w:rsidP="00CE1A8B">
            <w:pPr>
              <w:tabs>
                <w:tab w:val="right" w:pos="717"/>
              </w:tabs>
              <w:spacing w:after="0" w:line="259" w:lineRule="auto"/>
              <w:ind w:left="0" w:right="0" w:firstLine="0"/>
              <w:jc w:val="center"/>
            </w:pPr>
            <w:r>
              <w:rPr>
                <w:sz w:val="18"/>
              </w:rPr>
              <w:t>50</w:t>
            </w:r>
          </w:p>
        </w:tc>
        <w:tc>
          <w:tcPr>
            <w:tcW w:w="793" w:type="dxa"/>
            <w:tcBorders>
              <w:top w:val="single" w:sz="4" w:space="0" w:color="000000"/>
              <w:left w:val="single" w:sz="12" w:space="0" w:color="000000"/>
              <w:bottom w:val="single" w:sz="4" w:space="0" w:color="000000"/>
              <w:right w:val="single" w:sz="12" w:space="0" w:color="000000"/>
            </w:tcBorders>
          </w:tcPr>
          <w:p w14:paraId="2E731E70" w14:textId="3AF2371D" w:rsidR="00014B37" w:rsidRDefault="00014B37" w:rsidP="00CE1A8B">
            <w:pPr>
              <w:spacing w:after="0" w:line="259" w:lineRule="auto"/>
              <w:ind w:left="0" w:right="51" w:firstLine="0"/>
              <w:jc w:val="center"/>
            </w:pPr>
            <w:r>
              <w:rPr>
                <w:rFonts w:eastAsia="Segoe UI Symbol"/>
                <w:sz w:val="18"/>
              </w:rPr>
              <w:t>u</w:t>
            </w:r>
            <w:r>
              <w:rPr>
                <w:sz w:val="18"/>
              </w:rPr>
              <w:t>g/kg</w:t>
            </w:r>
          </w:p>
        </w:tc>
        <w:tc>
          <w:tcPr>
            <w:tcW w:w="642" w:type="dxa"/>
            <w:tcBorders>
              <w:top w:val="single" w:sz="4" w:space="0" w:color="000000"/>
              <w:left w:val="single" w:sz="12" w:space="0" w:color="000000"/>
              <w:bottom w:val="single" w:sz="4" w:space="0" w:color="000000"/>
              <w:right w:val="single" w:sz="12" w:space="0" w:color="000000"/>
            </w:tcBorders>
          </w:tcPr>
          <w:p w14:paraId="11638C6D" w14:textId="7939311E" w:rsidR="00014B37" w:rsidRDefault="00014B37" w:rsidP="00CE1A8B">
            <w:pPr>
              <w:spacing w:after="0" w:line="259" w:lineRule="auto"/>
              <w:ind w:left="0" w:right="49" w:firstLine="0"/>
              <w:jc w:val="center"/>
            </w:pPr>
            <w:r>
              <w:rPr>
                <w:sz w:val="18"/>
              </w:rPr>
              <w:t>X</w:t>
            </w:r>
          </w:p>
        </w:tc>
        <w:tc>
          <w:tcPr>
            <w:tcW w:w="450" w:type="dxa"/>
            <w:tcBorders>
              <w:top w:val="single" w:sz="4" w:space="0" w:color="000000"/>
              <w:left w:val="single" w:sz="12" w:space="0" w:color="000000"/>
              <w:bottom w:val="single" w:sz="4" w:space="0" w:color="000000"/>
              <w:right w:val="single" w:sz="12" w:space="0" w:color="000000"/>
            </w:tcBorders>
          </w:tcPr>
          <w:p w14:paraId="330EEDFE" w14:textId="221E4715" w:rsidR="00014B37" w:rsidRDefault="00014B37" w:rsidP="00CE1A8B">
            <w:pPr>
              <w:spacing w:after="0" w:line="259" w:lineRule="auto"/>
              <w:ind w:left="0" w:right="5" w:firstLine="0"/>
              <w:jc w:val="center"/>
            </w:pPr>
          </w:p>
        </w:tc>
        <w:tc>
          <w:tcPr>
            <w:tcW w:w="900" w:type="dxa"/>
            <w:tcBorders>
              <w:top w:val="single" w:sz="4" w:space="0" w:color="000000"/>
              <w:left w:val="single" w:sz="12" w:space="0" w:color="000000"/>
              <w:bottom w:val="single" w:sz="4" w:space="0" w:color="000000"/>
              <w:right w:val="single" w:sz="12" w:space="0" w:color="000000"/>
            </w:tcBorders>
          </w:tcPr>
          <w:p w14:paraId="5ECCEC2F" w14:textId="7E99BBC7" w:rsidR="00014B37" w:rsidRDefault="00014B37" w:rsidP="00CE1A8B">
            <w:pPr>
              <w:spacing w:after="0" w:line="259" w:lineRule="auto"/>
              <w:ind w:left="0" w:right="7" w:firstLine="0"/>
              <w:jc w:val="center"/>
            </w:pPr>
          </w:p>
        </w:tc>
        <w:tc>
          <w:tcPr>
            <w:tcW w:w="900" w:type="dxa"/>
            <w:tcBorders>
              <w:top w:val="single" w:sz="4" w:space="0" w:color="000000"/>
              <w:left w:val="single" w:sz="12" w:space="0" w:color="000000"/>
              <w:bottom w:val="single" w:sz="4" w:space="0" w:color="000000"/>
              <w:right w:val="single" w:sz="12" w:space="0" w:color="000000"/>
            </w:tcBorders>
            <w:vAlign w:val="center"/>
          </w:tcPr>
          <w:p w14:paraId="768DA8C7" w14:textId="6AC5C89C" w:rsidR="00014B37" w:rsidRDefault="00014B37" w:rsidP="00724AC2">
            <w:pPr>
              <w:spacing w:after="0" w:line="259" w:lineRule="auto"/>
              <w:ind w:left="38" w:right="0" w:firstLine="0"/>
              <w:jc w:val="center"/>
            </w:pPr>
            <w:r>
              <w:rPr>
                <w:sz w:val="18"/>
              </w:rPr>
              <w:t>8260</w:t>
            </w:r>
          </w:p>
        </w:tc>
        <w:tc>
          <w:tcPr>
            <w:tcW w:w="720" w:type="dxa"/>
            <w:tcBorders>
              <w:top w:val="single" w:sz="4" w:space="0" w:color="000000"/>
              <w:left w:val="single" w:sz="12" w:space="0" w:color="000000"/>
              <w:bottom w:val="single" w:sz="4" w:space="0" w:color="000000"/>
              <w:right w:val="single" w:sz="12" w:space="0" w:color="000000"/>
            </w:tcBorders>
            <w:vAlign w:val="center"/>
          </w:tcPr>
          <w:p w14:paraId="3390D51A" w14:textId="40AE0AAC" w:rsidR="00014B37" w:rsidRDefault="00014B37" w:rsidP="00724AC2">
            <w:pPr>
              <w:spacing w:after="0" w:line="259" w:lineRule="auto"/>
              <w:ind w:left="0" w:right="0" w:firstLine="0"/>
              <w:jc w:val="center"/>
            </w:pPr>
          </w:p>
        </w:tc>
      </w:tr>
      <w:tr w:rsidR="00014B37" w14:paraId="7D9C02F2" w14:textId="77777777" w:rsidTr="005B6604">
        <w:trPr>
          <w:trHeight w:val="245"/>
        </w:trPr>
        <w:tc>
          <w:tcPr>
            <w:tcW w:w="2948" w:type="dxa"/>
            <w:tcBorders>
              <w:top w:val="single" w:sz="4" w:space="0" w:color="000000"/>
              <w:left w:val="single" w:sz="12" w:space="0" w:color="000000"/>
              <w:bottom w:val="single" w:sz="4" w:space="0" w:color="000000"/>
              <w:right w:val="single" w:sz="12" w:space="0" w:color="000000"/>
            </w:tcBorders>
          </w:tcPr>
          <w:p w14:paraId="3FD5F555" w14:textId="77777777" w:rsidR="00014B37" w:rsidRDefault="00014B37" w:rsidP="00014B37">
            <w:pPr>
              <w:spacing w:after="0" w:line="259" w:lineRule="auto"/>
              <w:ind w:left="0" w:right="0" w:firstLine="0"/>
            </w:pPr>
            <w:proofErr w:type="spellStart"/>
            <w:r>
              <w:rPr>
                <w:sz w:val="18"/>
              </w:rPr>
              <w:t>Chloroacetaldehyde</w:t>
            </w:r>
            <w:proofErr w:type="spellEnd"/>
            <w:r>
              <w:rPr>
                <w:sz w:val="18"/>
              </w:rPr>
              <w:t xml:space="preserve"> </w:t>
            </w:r>
          </w:p>
        </w:tc>
        <w:tc>
          <w:tcPr>
            <w:tcW w:w="964" w:type="dxa"/>
            <w:tcBorders>
              <w:top w:val="single" w:sz="4" w:space="0" w:color="000000"/>
              <w:left w:val="single" w:sz="12" w:space="0" w:color="000000"/>
              <w:bottom w:val="single" w:sz="4" w:space="0" w:color="000000"/>
              <w:right w:val="single" w:sz="12" w:space="0" w:color="000000"/>
            </w:tcBorders>
          </w:tcPr>
          <w:p w14:paraId="0E319360" w14:textId="6FDC4804" w:rsidR="00014B37" w:rsidRDefault="00014B37" w:rsidP="006727F9">
            <w:pPr>
              <w:spacing w:after="0" w:line="259" w:lineRule="auto"/>
              <w:ind w:left="0" w:right="49" w:firstLine="0"/>
              <w:jc w:val="center"/>
            </w:pPr>
            <w:r>
              <w:rPr>
                <w:sz w:val="18"/>
              </w:rPr>
              <w:t>107-20-0</w:t>
            </w:r>
          </w:p>
        </w:tc>
        <w:tc>
          <w:tcPr>
            <w:tcW w:w="623" w:type="dxa"/>
            <w:tcBorders>
              <w:top w:val="single" w:sz="4" w:space="0" w:color="000000"/>
              <w:left w:val="single" w:sz="12" w:space="0" w:color="000000"/>
              <w:bottom w:val="single" w:sz="4" w:space="0" w:color="000000"/>
              <w:right w:val="single" w:sz="12" w:space="0" w:color="000000"/>
            </w:tcBorders>
          </w:tcPr>
          <w:p w14:paraId="1EEF8705" w14:textId="03B2EDD7" w:rsidR="00014B37" w:rsidRDefault="00014B37" w:rsidP="00CE1A8B">
            <w:pPr>
              <w:tabs>
                <w:tab w:val="right" w:pos="535"/>
              </w:tabs>
              <w:spacing w:after="0" w:line="259" w:lineRule="auto"/>
              <w:ind w:left="0" w:right="0" w:firstLine="0"/>
              <w:jc w:val="center"/>
            </w:pPr>
            <w:r>
              <w:rPr>
                <w:sz w:val="18"/>
              </w:rPr>
              <w:t>50</w:t>
            </w:r>
          </w:p>
        </w:tc>
        <w:tc>
          <w:tcPr>
            <w:tcW w:w="870" w:type="dxa"/>
            <w:tcBorders>
              <w:top w:val="single" w:sz="4" w:space="0" w:color="000000"/>
              <w:left w:val="single" w:sz="12" w:space="0" w:color="000000"/>
              <w:bottom w:val="single" w:sz="4" w:space="0" w:color="000000"/>
              <w:right w:val="single" w:sz="12" w:space="0" w:color="000000"/>
            </w:tcBorders>
          </w:tcPr>
          <w:p w14:paraId="661B86AF" w14:textId="1FFA6C7E" w:rsidR="00014B37" w:rsidRDefault="00014B37" w:rsidP="00CE1A8B">
            <w:pPr>
              <w:spacing w:after="0" w:line="259" w:lineRule="auto"/>
              <w:ind w:left="0" w:right="53" w:firstLine="0"/>
              <w:jc w:val="center"/>
            </w:pPr>
            <w:r>
              <w:rPr>
                <w:sz w:val="18"/>
              </w:rPr>
              <w:t>ug/L</w:t>
            </w:r>
          </w:p>
        </w:tc>
        <w:tc>
          <w:tcPr>
            <w:tcW w:w="810" w:type="dxa"/>
            <w:tcBorders>
              <w:top w:val="single" w:sz="4" w:space="0" w:color="000000"/>
              <w:left w:val="single" w:sz="12" w:space="0" w:color="000000"/>
              <w:bottom w:val="single" w:sz="4" w:space="0" w:color="000000"/>
              <w:right w:val="single" w:sz="12" w:space="0" w:color="000000"/>
            </w:tcBorders>
          </w:tcPr>
          <w:p w14:paraId="490AC66F" w14:textId="02D48662" w:rsidR="00014B37" w:rsidRDefault="00014B37" w:rsidP="00CE1A8B">
            <w:pPr>
              <w:tabs>
                <w:tab w:val="right" w:pos="717"/>
              </w:tabs>
              <w:spacing w:after="0" w:line="259" w:lineRule="auto"/>
              <w:ind w:left="0" w:right="0" w:firstLine="0"/>
              <w:jc w:val="center"/>
            </w:pPr>
            <w:r>
              <w:rPr>
                <w:sz w:val="18"/>
              </w:rPr>
              <w:t>50</w:t>
            </w:r>
          </w:p>
        </w:tc>
        <w:tc>
          <w:tcPr>
            <w:tcW w:w="793" w:type="dxa"/>
            <w:tcBorders>
              <w:top w:val="single" w:sz="4" w:space="0" w:color="000000"/>
              <w:left w:val="single" w:sz="12" w:space="0" w:color="000000"/>
              <w:bottom w:val="single" w:sz="4" w:space="0" w:color="000000"/>
              <w:right w:val="single" w:sz="12" w:space="0" w:color="000000"/>
            </w:tcBorders>
          </w:tcPr>
          <w:p w14:paraId="3D6B6884" w14:textId="70C3B1FE" w:rsidR="00014B37" w:rsidRDefault="00014B37" w:rsidP="00CE1A8B">
            <w:pPr>
              <w:spacing w:after="0" w:line="259" w:lineRule="auto"/>
              <w:ind w:left="0" w:right="51" w:firstLine="0"/>
              <w:jc w:val="center"/>
            </w:pPr>
            <w:r>
              <w:rPr>
                <w:rFonts w:eastAsia="Segoe UI Symbol"/>
                <w:sz w:val="18"/>
              </w:rPr>
              <w:t>u</w:t>
            </w:r>
            <w:r>
              <w:rPr>
                <w:sz w:val="18"/>
              </w:rPr>
              <w:t>g/kg</w:t>
            </w:r>
          </w:p>
        </w:tc>
        <w:tc>
          <w:tcPr>
            <w:tcW w:w="642" w:type="dxa"/>
            <w:tcBorders>
              <w:top w:val="single" w:sz="4" w:space="0" w:color="000000"/>
              <w:left w:val="single" w:sz="12" w:space="0" w:color="000000"/>
              <w:bottom w:val="single" w:sz="4" w:space="0" w:color="000000"/>
              <w:right w:val="single" w:sz="12" w:space="0" w:color="000000"/>
            </w:tcBorders>
          </w:tcPr>
          <w:p w14:paraId="5C9561C6" w14:textId="1E9056E2" w:rsidR="00014B37" w:rsidRDefault="00014B37" w:rsidP="00CE1A8B">
            <w:pPr>
              <w:spacing w:after="0" w:line="259" w:lineRule="auto"/>
              <w:ind w:left="0" w:right="49" w:firstLine="0"/>
              <w:jc w:val="center"/>
            </w:pPr>
            <w:r>
              <w:rPr>
                <w:sz w:val="18"/>
              </w:rPr>
              <w:t>X</w:t>
            </w:r>
          </w:p>
        </w:tc>
        <w:tc>
          <w:tcPr>
            <w:tcW w:w="450" w:type="dxa"/>
            <w:tcBorders>
              <w:top w:val="single" w:sz="4" w:space="0" w:color="000000"/>
              <w:left w:val="single" w:sz="12" w:space="0" w:color="000000"/>
              <w:bottom w:val="single" w:sz="4" w:space="0" w:color="000000"/>
              <w:right w:val="single" w:sz="12" w:space="0" w:color="000000"/>
            </w:tcBorders>
          </w:tcPr>
          <w:p w14:paraId="69D4D041" w14:textId="2261EE73" w:rsidR="00014B37" w:rsidRDefault="00014B37" w:rsidP="00CE1A8B">
            <w:pPr>
              <w:spacing w:after="0" w:line="259" w:lineRule="auto"/>
              <w:ind w:left="0" w:right="5" w:firstLine="0"/>
              <w:jc w:val="center"/>
            </w:pPr>
          </w:p>
        </w:tc>
        <w:tc>
          <w:tcPr>
            <w:tcW w:w="900" w:type="dxa"/>
            <w:tcBorders>
              <w:top w:val="single" w:sz="4" w:space="0" w:color="000000"/>
              <w:left w:val="single" w:sz="12" w:space="0" w:color="000000"/>
              <w:bottom w:val="single" w:sz="4" w:space="0" w:color="000000"/>
              <w:right w:val="single" w:sz="12" w:space="0" w:color="000000"/>
            </w:tcBorders>
          </w:tcPr>
          <w:p w14:paraId="244639F6" w14:textId="22057D28" w:rsidR="00014B37" w:rsidRDefault="00014B37" w:rsidP="00CE1A8B">
            <w:pPr>
              <w:spacing w:after="0" w:line="259" w:lineRule="auto"/>
              <w:ind w:left="0" w:right="7" w:firstLine="0"/>
              <w:jc w:val="center"/>
            </w:pPr>
          </w:p>
        </w:tc>
        <w:tc>
          <w:tcPr>
            <w:tcW w:w="900" w:type="dxa"/>
            <w:tcBorders>
              <w:top w:val="single" w:sz="4" w:space="0" w:color="000000"/>
              <w:left w:val="single" w:sz="12" w:space="0" w:color="000000"/>
              <w:bottom w:val="single" w:sz="4" w:space="0" w:color="000000"/>
              <w:right w:val="single" w:sz="12" w:space="0" w:color="000000"/>
            </w:tcBorders>
            <w:vAlign w:val="center"/>
          </w:tcPr>
          <w:p w14:paraId="352A5EDF" w14:textId="479F3708" w:rsidR="00014B37" w:rsidRPr="003B7476" w:rsidRDefault="00014B37" w:rsidP="00724AC2">
            <w:pPr>
              <w:spacing w:after="0" w:line="259" w:lineRule="auto"/>
              <w:ind w:left="43" w:right="0" w:firstLine="0"/>
              <w:jc w:val="center"/>
              <w:rPr>
                <w:iCs/>
              </w:rPr>
            </w:pPr>
            <w:r w:rsidRPr="00CB2740">
              <w:rPr>
                <w:iCs/>
                <w:sz w:val="18"/>
              </w:rPr>
              <w:t>8021</w:t>
            </w:r>
          </w:p>
        </w:tc>
        <w:tc>
          <w:tcPr>
            <w:tcW w:w="720" w:type="dxa"/>
            <w:tcBorders>
              <w:top w:val="single" w:sz="4" w:space="0" w:color="000000"/>
              <w:left w:val="single" w:sz="12" w:space="0" w:color="000000"/>
              <w:bottom w:val="single" w:sz="4" w:space="0" w:color="000000"/>
              <w:right w:val="single" w:sz="12" w:space="0" w:color="000000"/>
            </w:tcBorders>
            <w:vAlign w:val="center"/>
          </w:tcPr>
          <w:p w14:paraId="358655F2" w14:textId="420EFD08" w:rsidR="00014B37" w:rsidRPr="003B7476" w:rsidRDefault="00014B37" w:rsidP="00724AC2">
            <w:pPr>
              <w:spacing w:after="0" w:line="259" w:lineRule="auto"/>
              <w:ind w:left="0" w:right="0" w:firstLine="0"/>
              <w:jc w:val="center"/>
              <w:rPr>
                <w:iCs/>
              </w:rPr>
            </w:pPr>
            <w:r w:rsidRPr="00CB2740">
              <w:rPr>
                <w:iCs/>
                <w:sz w:val="18"/>
              </w:rPr>
              <w:t>8260</w:t>
            </w:r>
          </w:p>
        </w:tc>
      </w:tr>
      <w:tr w:rsidR="00014B37" w14:paraId="719CAE2F" w14:textId="77777777" w:rsidTr="005B6604">
        <w:trPr>
          <w:trHeight w:val="245"/>
        </w:trPr>
        <w:tc>
          <w:tcPr>
            <w:tcW w:w="2948" w:type="dxa"/>
            <w:tcBorders>
              <w:top w:val="single" w:sz="4" w:space="0" w:color="000000"/>
              <w:left w:val="single" w:sz="12" w:space="0" w:color="000000"/>
              <w:bottom w:val="single" w:sz="4" w:space="0" w:color="000000"/>
              <w:right w:val="single" w:sz="12" w:space="0" w:color="000000"/>
            </w:tcBorders>
          </w:tcPr>
          <w:p w14:paraId="6529FC8A" w14:textId="77777777" w:rsidR="00014B37" w:rsidRDefault="00014B37" w:rsidP="00014B37">
            <w:pPr>
              <w:spacing w:after="0" w:line="259" w:lineRule="auto"/>
              <w:ind w:left="0" w:right="0" w:firstLine="0"/>
            </w:pPr>
            <w:r>
              <w:rPr>
                <w:sz w:val="18"/>
              </w:rPr>
              <w:t xml:space="preserve">Chloromethyl methyl ether  </w:t>
            </w:r>
          </w:p>
        </w:tc>
        <w:tc>
          <w:tcPr>
            <w:tcW w:w="964" w:type="dxa"/>
            <w:tcBorders>
              <w:top w:val="single" w:sz="4" w:space="0" w:color="000000"/>
              <w:left w:val="single" w:sz="12" w:space="0" w:color="000000"/>
              <w:bottom w:val="single" w:sz="4" w:space="0" w:color="000000"/>
              <w:right w:val="single" w:sz="12" w:space="0" w:color="000000"/>
            </w:tcBorders>
          </w:tcPr>
          <w:p w14:paraId="16CA3970" w14:textId="540DEE8D" w:rsidR="00014B37" w:rsidRDefault="00014B37" w:rsidP="006727F9">
            <w:pPr>
              <w:spacing w:after="0" w:line="259" w:lineRule="auto"/>
              <w:ind w:left="0" w:right="49" w:firstLine="0"/>
              <w:jc w:val="center"/>
            </w:pPr>
            <w:r>
              <w:rPr>
                <w:sz w:val="18"/>
              </w:rPr>
              <w:t>107-30-2</w:t>
            </w:r>
          </w:p>
        </w:tc>
        <w:tc>
          <w:tcPr>
            <w:tcW w:w="623" w:type="dxa"/>
            <w:tcBorders>
              <w:top w:val="single" w:sz="4" w:space="0" w:color="000000"/>
              <w:left w:val="single" w:sz="12" w:space="0" w:color="000000"/>
              <w:bottom w:val="single" w:sz="4" w:space="0" w:color="000000"/>
              <w:right w:val="single" w:sz="12" w:space="0" w:color="000000"/>
            </w:tcBorders>
          </w:tcPr>
          <w:p w14:paraId="670A4877" w14:textId="2E340B89" w:rsidR="00014B37" w:rsidRDefault="00014B37" w:rsidP="00CE1A8B">
            <w:pPr>
              <w:tabs>
                <w:tab w:val="right" w:pos="535"/>
              </w:tabs>
              <w:spacing w:after="0" w:line="259" w:lineRule="auto"/>
              <w:ind w:left="0" w:right="0" w:firstLine="0"/>
              <w:jc w:val="center"/>
            </w:pPr>
            <w:r>
              <w:rPr>
                <w:sz w:val="18"/>
              </w:rPr>
              <w:t>50</w:t>
            </w:r>
          </w:p>
        </w:tc>
        <w:tc>
          <w:tcPr>
            <w:tcW w:w="870" w:type="dxa"/>
            <w:tcBorders>
              <w:top w:val="single" w:sz="4" w:space="0" w:color="000000"/>
              <w:left w:val="single" w:sz="12" w:space="0" w:color="000000"/>
              <w:bottom w:val="single" w:sz="4" w:space="0" w:color="000000"/>
              <w:right w:val="single" w:sz="12" w:space="0" w:color="000000"/>
            </w:tcBorders>
          </w:tcPr>
          <w:p w14:paraId="108AE1B6" w14:textId="35857E7A" w:rsidR="00014B37" w:rsidRDefault="00014B37" w:rsidP="00CE1A8B">
            <w:pPr>
              <w:spacing w:after="0" w:line="259" w:lineRule="auto"/>
              <w:ind w:left="0" w:right="53" w:firstLine="0"/>
              <w:jc w:val="center"/>
            </w:pPr>
            <w:r>
              <w:rPr>
                <w:sz w:val="18"/>
              </w:rPr>
              <w:t>ug/L</w:t>
            </w:r>
          </w:p>
        </w:tc>
        <w:tc>
          <w:tcPr>
            <w:tcW w:w="810" w:type="dxa"/>
            <w:tcBorders>
              <w:top w:val="single" w:sz="4" w:space="0" w:color="000000"/>
              <w:left w:val="single" w:sz="12" w:space="0" w:color="000000"/>
              <w:bottom w:val="single" w:sz="4" w:space="0" w:color="000000"/>
              <w:right w:val="single" w:sz="12" w:space="0" w:color="000000"/>
            </w:tcBorders>
          </w:tcPr>
          <w:p w14:paraId="3B01CCD9" w14:textId="1DAB4783" w:rsidR="00014B37" w:rsidRDefault="00014B37" w:rsidP="00CE1A8B">
            <w:pPr>
              <w:tabs>
                <w:tab w:val="right" w:pos="717"/>
              </w:tabs>
              <w:spacing w:after="0" w:line="259" w:lineRule="auto"/>
              <w:ind w:left="0" w:right="0" w:firstLine="0"/>
              <w:jc w:val="center"/>
            </w:pPr>
            <w:r>
              <w:rPr>
                <w:sz w:val="18"/>
              </w:rPr>
              <w:t>50</w:t>
            </w:r>
          </w:p>
        </w:tc>
        <w:tc>
          <w:tcPr>
            <w:tcW w:w="793" w:type="dxa"/>
            <w:tcBorders>
              <w:top w:val="single" w:sz="4" w:space="0" w:color="000000"/>
              <w:left w:val="single" w:sz="12" w:space="0" w:color="000000"/>
              <w:bottom w:val="single" w:sz="4" w:space="0" w:color="000000"/>
              <w:right w:val="single" w:sz="12" w:space="0" w:color="000000"/>
            </w:tcBorders>
          </w:tcPr>
          <w:p w14:paraId="4F1C707B" w14:textId="5D51CD55" w:rsidR="00014B37" w:rsidRDefault="00014B37" w:rsidP="00CE1A8B">
            <w:pPr>
              <w:spacing w:after="0" w:line="259" w:lineRule="auto"/>
              <w:ind w:left="0" w:right="51" w:firstLine="0"/>
              <w:jc w:val="center"/>
            </w:pPr>
            <w:r>
              <w:rPr>
                <w:rFonts w:eastAsia="Segoe UI Symbol"/>
                <w:sz w:val="18"/>
              </w:rPr>
              <w:t>u</w:t>
            </w:r>
            <w:r>
              <w:rPr>
                <w:sz w:val="18"/>
              </w:rPr>
              <w:t>g/kg</w:t>
            </w:r>
          </w:p>
        </w:tc>
        <w:tc>
          <w:tcPr>
            <w:tcW w:w="642" w:type="dxa"/>
            <w:tcBorders>
              <w:top w:val="single" w:sz="4" w:space="0" w:color="000000"/>
              <w:left w:val="single" w:sz="12" w:space="0" w:color="000000"/>
              <w:bottom w:val="single" w:sz="4" w:space="0" w:color="000000"/>
              <w:right w:val="single" w:sz="12" w:space="0" w:color="000000"/>
            </w:tcBorders>
          </w:tcPr>
          <w:p w14:paraId="1113FBBF" w14:textId="263F2CDE" w:rsidR="00014B37" w:rsidRDefault="00014B37" w:rsidP="00CE1A8B">
            <w:pPr>
              <w:spacing w:after="0" w:line="259" w:lineRule="auto"/>
              <w:ind w:left="0" w:right="49" w:firstLine="0"/>
              <w:jc w:val="center"/>
            </w:pPr>
            <w:r>
              <w:rPr>
                <w:sz w:val="18"/>
              </w:rPr>
              <w:t>X</w:t>
            </w:r>
          </w:p>
        </w:tc>
        <w:tc>
          <w:tcPr>
            <w:tcW w:w="450" w:type="dxa"/>
            <w:tcBorders>
              <w:top w:val="single" w:sz="4" w:space="0" w:color="000000"/>
              <w:left w:val="single" w:sz="12" w:space="0" w:color="000000"/>
              <w:bottom w:val="single" w:sz="4" w:space="0" w:color="000000"/>
              <w:right w:val="single" w:sz="12" w:space="0" w:color="000000"/>
            </w:tcBorders>
          </w:tcPr>
          <w:p w14:paraId="46AD98CA" w14:textId="60A90535" w:rsidR="00014B37" w:rsidRDefault="00014B37" w:rsidP="00CE1A8B">
            <w:pPr>
              <w:spacing w:after="0" w:line="259" w:lineRule="auto"/>
              <w:ind w:left="0" w:right="5" w:firstLine="0"/>
              <w:jc w:val="center"/>
            </w:pPr>
          </w:p>
        </w:tc>
        <w:tc>
          <w:tcPr>
            <w:tcW w:w="900" w:type="dxa"/>
            <w:tcBorders>
              <w:top w:val="single" w:sz="4" w:space="0" w:color="000000"/>
              <w:left w:val="single" w:sz="12" w:space="0" w:color="000000"/>
              <w:bottom w:val="single" w:sz="4" w:space="0" w:color="000000"/>
              <w:right w:val="single" w:sz="12" w:space="0" w:color="000000"/>
            </w:tcBorders>
          </w:tcPr>
          <w:p w14:paraId="0CCB6563" w14:textId="4F39A3CF" w:rsidR="00014B37" w:rsidRDefault="00014B37" w:rsidP="00CE1A8B">
            <w:pPr>
              <w:spacing w:after="0" w:line="259" w:lineRule="auto"/>
              <w:ind w:left="0" w:right="7" w:firstLine="0"/>
              <w:jc w:val="center"/>
            </w:pPr>
          </w:p>
        </w:tc>
        <w:tc>
          <w:tcPr>
            <w:tcW w:w="900" w:type="dxa"/>
            <w:tcBorders>
              <w:top w:val="single" w:sz="4" w:space="0" w:color="000000"/>
              <w:left w:val="single" w:sz="12" w:space="0" w:color="000000"/>
              <w:bottom w:val="single" w:sz="4" w:space="0" w:color="000000"/>
              <w:right w:val="single" w:sz="12" w:space="0" w:color="000000"/>
            </w:tcBorders>
            <w:vAlign w:val="center"/>
          </w:tcPr>
          <w:p w14:paraId="71FD3EEF" w14:textId="714E2911" w:rsidR="00014B37" w:rsidRDefault="00014B37" w:rsidP="00724AC2">
            <w:pPr>
              <w:spacing w:after="0" w:line="259" w:lineRule="auto"/>
              <w:ind w:left="38" w:right="0" w:firstLine="0"/>
              <w:jc w:val="center"/>
            </w:pPr>
            <w:r>
              <w:rPr>
                <w:sz w:val="18"/>
              </w:rPr>
              <w:t>8021</w:t>
            </w:r>
          </w:p>
        </w:tc>
        <w:tc>
          <w:tcPr>
            <w:tcW w:w="720" w:type="dxa"/>
            <w:tcBorders>
              <w:top w:val="single" w:sz="4" w:space="0" w:color="000000"/>
              <w:left w:val="single" w:sz="12" w:space="0" w:color="000000"/>
              <w:bottom w:val="single" w:sz="4" w:space="0" w:color="000000"/>
              <w:right w:val="single" w:sz="12" w:space="0" w:color="000000"/>
            </w:tcBorders>
            <w:vAlign w:val="center"/>
          </w:tcPr>
          <w:p w14:paraId="1B644AF7" w14:textId="5E8A6E74" w:rsidR="00014B37" w:rsidRDefault="00014B37" w:rsidP="00724AC2">
            <w:pPr>
              <w:spacing w:after="0" w:line="259" w:lineRule="auto"/>
              <w:ind w:left="0" w:right="0" w:firstLine="0"/>
              <w:jc w:val="center"/>
            </w:pPr>
          </w:p>
        </w:tc>
      </w:tr>
      <w:tr w:rsidR="00014B37" w14:paraId="4D7FFA39" w14:textId="77777777" w:rsidTr="005B6604">
        <w:trPr>
          <w:trHeight w:val="245"/>
        </w:trPr>
        <w:tc>
          <w:tcPr>
            <w:tcW w:w="2948" w:type="dxa"/>
            <w:tcBorders>
              <w:top w:val="single" w:sz="4" w:space="0" w:color="000000"/>
              <w:left w:val="single" w:sz="12" w:space="0" w:color="000000"/>
              <w:bottom w:val="single" w:sz="4" w:space="0" w:color="000000"/>
              <w:right w:val="single" w:sz="12" w:space="0" w:color="000000"/>
            </w:tcBorders>
          </w:tcPr>
          <w:p w14:paraId="22D333B7" w14:textId="77777777" w:rsidR="00014B37" w:rsidRDefault="00014B37" w:rsidP="00014B37">
            <w:pPr>
              <w:spacing w:after="0" w:line="259" w:lineRule="auto"/>
              <w:ind w:left="0" w:right="0" w:firstLine="0"/>
            </w:pPr>
            <w:r>
              <w:rPr>
                <w:sz w:val="18"/>
              </w:rPr>
              <w:t xml:space="preserve">Chloroprene </w:t>
            </w:r>
          </w:p>
        </w:tc>
        <w:tc>
          <w:tcPr>
            <w:tcW w:w="964" w:type="dxa"/>
            <w:tcBorders>
              <w:top w:val="single" w:sz="4" w:space="0" w:color="000000"/>
              <w:left w:val="single" w:sz="12" w:space="0" w:color="000000"/>
              <w:bottom w:val="single" w:sz="4" w:space="0" w:color="000000"/>
              <w:right w:val="single" w:sz="12" w:space="0" w:color="000000"/>
            </w:tcBorders>
          </w:tcPr>
          <w:p w14:paraId="1B73CA06" w14:textId="7FBC4CF3" w:rsidR="00014B37" w:rsidRDefault="00014B37" w:rsidP="006727F9">
            <w:pPr>
              <w:spacing w:after="0" w:line="259" w:lineRule="auto"/>
              <w:ind w:left="0" w:right="49" w:firstLine="0"/>
              <w:jc w:val="center"/>
            </w:pPr>
            <w:r>
              <w:rPr>
                <w:sz w:val="18"/>
              </w:rPr>
              <w:t>126-99-8</w:t>
            </w:r>
          </w:p>
        </w:tc>
        <w:tc>
          <w:tcPr>
            <w:tcW w:w="623" w:type="dxa"/>
            <w:tcBorders>
              <w:top w:val="single" w:sz="4" w:space="0" w:color="000000"/>
              <w:left w:val="single" w:sz="12" w:space="0" w:color="000000"/>
              <w:bottom w:val="single" w:sz="4" w:space="0" w:color="000000"/>
              <w:right w:val="single" w:sz="12" w:space="0" w:color="000000"/>
            </w:tcBorders>
          </w:tcPr>
          <w:p w14:paraId="441A1A27" w14:textId="4EE334AC" w:rsidR="00014B37" w:rsidRDefault="00014B37" w:rsidP="00CE1A8B">
            <w:pPr>
              <w:tabs>
                <w:tab w:val="right" w:pos="535"/>
              </w:tabs>
              <w:spacing w:after="0" w:line="259" w:lineRule="auto"/>
              <w:ind w:left="0" w:right="0" w:firstLine="0"/>
              <w:jc w:val="center"/>
            </w:pPr>
            <w:r>
              <w:rPr>
                <w:sz w:val="18"/>
              </w:rPr>
              <w:t>5</w:t>
            </w:r>
          </w:p>
        </w:tc>
        <w:tc>
          <w:tcPr>
            <w:tcW w:w="870" w:type="dxa"/>
            <w:tcBorders>
              <w:top w:val="single" w:sz="4" w:space="0" w:color="000000"/>
              <w:left w:val="single" w:sz="12" w:space="0" w:color="000000"/>
              <w:bottom w:val="single" w:sz="4" w:space="0" w:color="000000"/>
              <w:right w:val="single" w:sz="12" w:space="0" w:color="000000"/>
            </w:tcBorders>
          </w:tcPr>
          <w:p w14:paraId="386A1911" w14:textId="75E10D4C" w:rsidR="00014B37" w:rsidRDefault="00014B37" w:rsidP="00CE1A8B">
            <w:pPr>
              <w:spacing w:after="0" w:line="259" w:lineRule="auto"/>
              <w:ind w:left="0" w:right="53" w:firstLine="0"/>
              <w:jc w:val="center"/>
            </w:pPr>
            <w:r>
              <w:rPr>
                <w:sz w:val="18"/>
              </w:rPr>
              <w:t>ug/L</w:t>
            </w:r>
          </w:p>
        </w:tc>
        <w:tc>
          <w:tcPr>
            <w:tcW w:w="810" w:type="dxa"/>
            <w:tcBorders>
              <w:top w:val="single" w:sz="4" w:space="0" w:color="000000"/>
              <w:left w:val="single" w:sz="12" w:space="0" w:color="000000"/>
              <w:bottom w:val="single" w:sz="4" w:space="0" w:color="000000"/>
              <w:right w:val="single" w:sz="12" w:space="0" w:color="000000"/>
            </w:tcBorders>
          </w:tcPr>
          <w:p w14:paraId="59508547" w14:textId="7D687A48" w:rsidR="00014B37" w:rsidRDefault="00014B37" w:rsidP="00CE1A8B">
            <w:pPr>
              <w:tabs>
                <w:tab w:val="right" w:pos="717"/>
              </w:tabs>
              <w:spacing w:after="0" w:line="259" w:lineRule="auto"/>
              <w:ind w:left="0" w:right="0" w:firstLine="0"/>
              <w:jc w:val="center"/>
            </w:pPr>
            <w:r>
              <w:rPr>
                <w:sz w:val="18"/>
              </w:rPr>
              <w:t>5</w:t>
            </w:r>
          </w:p>
        </w:tc>
        <w:tc>
          <w:tcPr>
            <w:tcW w:w="793" w:type="dxa"/>
            <w:tcBorders>
              <w:top w:val="single" w:sz="4" w:space="0" w:color="000000"/>
              <w:left w:val="single" w:sz="12" w:space="0" w:color="000000"/>
              <w:bottom w:val="single" w:sz="4" w:space="0" w:color="000000"/>
              <w:right w:val="single" w:sz="12" w:space="0" w:color="000000"/>
            </w:tcBorders>
          </w:tcPr>
          <w:p w14:paraId="0115E869" w14:textId="55C802BC" w:rsidR="00014B37" w:rsidRDefault="00014B37" w:rsidP="00CE1A8B">
            <w:pPr>
              <w:spacing w:after="0" w:line="259" w:lineRule="auto"/>
              <w:ind w:left="0" w:right="51" w:firstLine="0"/>
              <w:jc w:val="center"/>
            </w:pPr>
            <w:r>
              <w:rPr>
                <w:rFonts w:eastAsia="Segoe UI Symbol"/>
                <w:sz w:val="18"/>
              </w:rPr>
              <w:t>u</w:t>
            </w:r>
            <w:r>
              <w:rPr>
                <w:sz w:val="18"/>
              </w:rPr>
              <w:t>g/kg</w:t>
            </w:r>
          </w:p>
        </w:tc>
        <w:tc>
          <w:tcPr>
            <w:tcW w:w="642" w:type="dxa"/>
            <w:tcBorders>
              <w:top w:val="single" w:sz="4" w:space="0" w:color="000000"/>
              <w:left w:val="single" w:sz="12" w:space="0" w:color="000000"/>
              <w:bottom w:val="single" w:sz="4" w:space="0" w:color="000000"/>
              <w:right w:val="single" w:sz="12" w:space="0" w:color="000000"/>
            </w:tcBorders>
          </w:tcPr>
          <w:p w14:paraId="4081C209" w14:textId="751DD650" w:rsidR="00014B37" w:rsidRDefault="00014B37" w:rsidP="00CE1A8B">
            <w:pPr>
              <w:spacing w:after="0" w:line="259" w:lineRule="auto"/>
              <w:ind w:left="0" w:right="49" w:firstLine="0"/>
              <w:jc w:val="center"/>
            </w:pPr>
            <w:r>
              <w:rPr>
                <w:sz w:val="18"/>
              </w:rPr>
              <w:t>X</w:t>
            </w:r>
          </w:p>
        </w:tc>
        <w:tc>
          <w:tcPr>
            <w:tcW w:w="450" w:type="dxa"/>
            <w:tcBorders>
              <w:top w:val="single" w:sz="4" w:space="0" w:color="000000"/>
              <w:left w:val="single" w:sz="12" w:space="0" w:color="000000"/>
              <w:bottom w:val="single" w:sz="4" w:space="0" w:color="000000"/>
              <w:right w:val="single" w:sz="12" w:space="0" w:color="000000"/>
            </w:tcBorders>
          </w:tcPr>
          <w:p w14:paraId="4CFDAE75" w14:textId="14B3AA1C" w:rsidR="00014B37" w:rsidRDefault="00014B37" w:rsidP="00CE1A8B">
            <w:pPr>
              <w:spacing w:after="0" w:line="259" w:lineRule="auto"/>
              <w:ind w:left="0" w:right="50" w:firstLine="0"/>
              <w:jc w:val="center"/>
            </w:pPr>
            <w:r>
              <w:rPr>
                <w:sz w:val="18"/>
              </w:rPr>
              <w:t>X</w:t>
            </w:r>
          </w:p>
        </w:tc>
        <w:tc>
          <w:tcPr>
            <w:tcW w:w="900" w:type="dxa"/>
            <w:tcBorders>
              <w:top w:val="single" w:sz="4" w:space="0" w:color="000000"/>
              <w:left w:val="single" w:sz="12" w:space="0" w:color="000000"/>
              <w:bottom w:val="single" w:sz="4" w:space="0" w:color="000000"/>
              <w:right w:val="single" w:sz="12" w:space="0" w:color="000000"/>
            </w:tcBorders>
          </w:tcPr>
          <w:p w14:paraId="3B1AA5FB" w14:textId="4B91AF24" w:rsidR="00014B37" w:rsidRDefault="00014B37" w:rsidP="00CE1A8B">
            <w:pPr>
              <w:spacing w:after="0" w:line="259" w:lineRule="auto"/>
              <w:ind w:left="0" w:right="52" w:firstLine="0"/>
              <w:jc w:val="center"/>
            </w:pPr>
            <w:r>
              <w:rPr>
                <w:sz w:val="18"/>
              </w:rPr>
              <w:t>X</w:t>
            </w:r>
          </w:p>
        </w:tc>
        <w:tc>
          <w:tcPr>
            <w:tcW w:w="900" w:type="dxa"/>
            <w:tcBorders>
              <w:top w:val="single" w:sz="4" w:space="0" w:color="000000"/>
              <w:left w:val="single" w:sz="12" w:space="0" w:color="000000"/>
              <w:bottom w:val="single" w:sz="4" w:space="0" w:color="000000"/>
              <w:right w:val="single" w:sz="12" w:space="0" w:color="000000"/>
            </w:tcBorders>
            <w:vAlign w:val="center"/>
          </w:tcPr>
          <w:p w14:paraId="085E621B" w14:textId="2EF8D00C" w:rsidR="00014B37" w:rsidRDefault="00014B37" w:rsidP="00724AC2">
            <w:pPr>
              <w:spacing w:after="0" w:line="259" w:lineRule="auto"/>
              <w:ind w:left="38" w:right="0" w:firstLine="0"/>
              <w:jc w:val="center"/>
            </w:pPr>
            <w:r>
              <w:rPr>
                <w:sz w:val="18"/>
              </w:rPr>
              <w:t>8260</w:t>
            </w:r>
          </w:p>
        </w:tc>
        <w:tc>
          <w:tcPr>
            <w:tcW w:w="720" w:type="dxa"/>
            <w:tcBorders>
              <w:top w:val="single" w:sz="4" w:space="0" w:color="000000"/>
              <w:left w:val="single" w:sz="12" w:space="0" w:color="000000"/>
              <w:bottom w:val="single" w:sz="4" w:space="0" w:color="000000"/>
              <w:right w:val="single" w:sz="12" w:space="0" w:color="000000"/>
            </w:tcBorders>
            <w:vAlign w:val="center"/>
          </w:tcPr>
          <w:p w14:paraId="27E66A12" w14:textId="1A521947" w:rsidR="00014B37" w:rsidRDefault="00014B37" w:rsidP="00724AC2">
            <w:pPr>
              <w:spacing w:after="0" w:line="259" w:lineRule="auto"/>
              <w:ind w:left="0" w:right="0" w:firstLine="0"/>
              <w:jc w:val="center"/>
            </w:pPr>
            <w:r>
              <w:rPr>
                <w:sz w:val="18"/>
              </w:rPr>
              <w:t>8021</w:t>
            </w:r>
          </w:p>
        </w:tc>
      </w:tr>
      <w:tr w:rsidR="00014B37" w14:paraId="58A8F03B" w14:textId="77777777" w:rsidTr="005B6604">
        <w:trPr>
          <w:trHeight w:val="245"/>
        </w:trPr>
        <w:tc>
          <w:tcPr>
            <w:tcW w:w="2948" w:type="dxa"/>
            <w:tcBorders>
              <w:top w:val="single" w:sz="4" w:space="0" w:color="000000"/>
              <w:left w:val="single" w:sz="12" w:space="0" w:color="000000"/>
              <w:bottom w:val="single" w:sz="4" w:space="0" w:color="000000"/>
              <w:right w:val="single" w:sz="12" w:space="0" w:color="000000"/>
            </w:tcBorders>
          </w:tcPr>
          <w:p w14:paraId="41AF33B3" w14:textId="77777777" w:rsidR="00014B37" w:rsidRDefault="00014B37" w:rsidP="00014B37">
            <w:pPr>
              <w:spacing w:after="0" w:line="259" w:lineRule="auto"/>
              <w:ind w:left="0" w:right="0" w:firstLine="0"/>
            </w:pPr>
            <w:r>
              <w:rPr>
                <w:sz w:val="18"/>
              </w:rPr>
              <w:t xml:space="preserve">3-Chloropropionitrile </w:t>
            </w:r>
          </w:p>
        </w:tc>
        <w:tc>
          <w:tcPr>
            <w:tcW w:w="964" w:type="dxa"/>
            <w:tcBorders>
              <w:top w:val="single" w:sz="4" w:space="0" w:color="000000"/>
              <w:left w:val="single" w:sz="12" w:space="0" w:color="000000"/>
              <w:bottom w:val="single" w:sz="4" w:space="0" w:color="000000"/>
              <w:right w:val="single" w:sz="12" w:space="0" w:color="000000"/>
            </w:tcBorders>
          </w:tcPr>
          <w:p w14:paraId="795F2F71" w14:textId="5AA0861E" w:rsidR="00014B37" w:rsidRDefault="00014B37" w:rsidP="006727F9">
            <w:pPr>
              <w:spacing w:after="0" w:line="259" w:lineRule="auto"/>
              <w:ind w:left="0" w:right="49" w:firstLine="0"/>
              <w:jc w:val="center"/>
            </w:pPr>
            <w:r>
              <w:rPr>
                <w:sz w:val="18"/>
              </w:rPr>
              <w:t>542-76-7</w:t>
            </w:r>
          </w:p>
        </w:tc>
        <w:tc>
          <w:tcPr>
            <w:tcW w:w="623" w:type="dxa"/>
            <w:tcBorders>
              <w:top w:val="single" w:sz="4" w:space="0" w:color="000000"/>
              <w:left w:val="single" w:sz="12" w:space="0" w:color="000000"/>
              <w:bottom w:val="single" w:sz="4" w:space="0" w:color="000000"/>
              <w:right w:val="single" w:sz="12" w:space="0" w:color="000000"/>
            </w:tcBorders>
          </w:tcPr>
          <w:p w14:paraId="53AC04F3" w14:textId="2C280728" w:rsidR="00014B37" w:rsidRDefault="00014B37" w:rsidP="00CE1A8B">
            <w:pPr>
              <w:tabs>
                <w:tab w:val="right" w:pos="535"/>
              </w:tabs>
              <w:spacing w:after="0" w:line="259" w:lineRule="auto"/>
              <w:ind w:left="0" w:right="0" w:firstLine="0"/>
              <w:jc w:val="center"/>
            </w:pPr>
            <w:r>
              <w:rPr>
                <w:sz w:val="18"/>
              </w:rPr>
              <w:t>5</w:t>
            </w:r>
          </w:p>
        </w:tc>
        <w:tc>
          <w:tcPr>
            <w:tcW w:w="870" w:type="dxa"/>
            <w:tcBorders>
              <w:top w:val="single" w:sz="4" w:space="0" w:color="000000"/>
              <w:left w:val="single" w:sz="12" w:space="0" w:color="000000"/>
              <w:bottom w:val="single" w:sz="4" w:space="0" w:color="000000"/>
              <w:right w:val="single" w:sz="12" w:space="0" w:color="000000"/>
            </w:tcBorders>
          </w:tcPr>
          <w:p w14:paraId="0946C4B5" w14:textId="5B46181F" w:rsidR="00014B37" w:rsidRDefault="00014B37" w:rsidP="00CE1A8B">
            <w:pPr>
              <w:spacing w:after="0" w:line="259" w:lineRule="auto"/>
              <w:ind w:left="0" w:right="53" w:firstLine="0"/>
              <w:jc w:val="center"/>
            </w:pPr>
            <w:r>
              <w:rPr>
                <w:sz w:val="18"/>
              </w:rPr>
              <w:t>ug/L</w:t>
            </w:r>
          </w:p>
        </w:tc>
        <w:tc>
          <w:tcPr>
            <w:tcW w:w="810" w:type="dxa"/>
            <w:tcBorders>
              <w:top w:val="single" w:sz="4" w:space="0" w:color="000000"/>
              <w:left w:val="single" w:sz="12" w:space="0" w:color="000000"/>
              <w:bottom w:val="single" w:sz="4" w:space="0" w:color="000000"/>
              <w:right w:val="single" w:sz="12" w:space="0" w:color="000000"/>
            </w:tcBorders>
          </w:tcPr>
          <w:p w14:paraId="7AF512D7" w14:textId="16A74BB2" w:rsidR="00014B37" w:rsidRDefault="00014B37" w:rsidP="00CE1A8B">
            <w:pPr>
              <w:tabs>
                <w:tab w:val="right" w:pos="717"/>
              </w:tabs>
              <w:spacing w:after="0" w:line="259" w:lineRule="auto"/>
              <w:ind w:left="0" w:right="0" w:firstLine="0"/>
              <w:jc w:val="center"/>
            </w:pPr>
            <w:r>
              <w:rPr>
                <w:sz w:val="18"/>
              </w:rPr>
              <w:t>5</w:t>
            </w:r>
          </w:p>
        </w:tc>
        <w:tc>
          <w:tcPr>
            <w:tcW w:w="793" w:type="dxa"/>
            <w:tcBorders>
              <w:top w:val="single" w:sz="4" w:space="0" w:color="000000"/>
              <w:left w:val="single" w:sz="12" w:space="0" w:color="000000"/>
              <w:bottom w:val="single" w:sz="4" w:space="0" w:color="000000"/>
              <w:right w:val="single" w:sz="12" w:space="0" w:color="000000"/>
            </w:tcBorders>
          </w:tcPr>
          <w:p w14:paraId="26E0C010" w14:textId="2B183454" w:rsidR="00014B37" w:rsidRDefault="00014B37" w:rsidP="00CE1A8B">
            <w:pPr>
              <w:spacing w:after="0" w:line="259" w:lineRule="auto"/>
              <w:ind w:left="0" w:right="51" w:firstLine="0"/>
              <w:jc w:val="center"/>
            </w:pPr>
            <w:r>
              <w:rPr>
                <w:rFonts w:eastAsia="Segoe UI Symbol"/>
                <w:sz w:val="18"/>
              </w:rPr>
              <w:t>u</w:t>
            </w:r>
            <w:r>
              <w:rPr>
                <w:sz w:val="18"/>
              </w:rPr>
              <w:t>g/kg</w:t>
            </w:r>
          </w:p>
        </w:tc>
        <w:tc>
          <w:tcPr>
            <w:tcW w:w="642" w:type="dxa"/>
            <w:tcBorders>
              <w:top w:val="single" w:sz="4" w:space="0" w:color="000000"/>
              <w:left w:val="single" w:sz="12" w:space="0" w:color="000000"/>
              <w:bottom w:val="single" w:sz="4" w:space="0" w:color="000000"/>
              <w:right w:val="single" w:sz="12" w:space="0" w:color="000000"/>
            </w:tcBorders>
          </w:tcPr>
          <w:p w14:paraId="1734E654" w14:textId="5A9C56E7" w:rsidR="00014B37" w:rsidRDefault="00014B37" w:rsidP="00CE1A8B">
            <w:pPr>
              <w:spacing w:after="0" w:line="259" w:lineRule="auto"/>
              <w:ind w:left="0" w:right="49" w:firstLine="0"/>
              <w:jc w:val="center"/>
            </w:pPr>
            <w:r>
              <w:rPr>
                <w:sz w:val="18"/>
              </w:rPr>
              <w:t>X</w:t>
            </w:r>
          </w:p>
        </w:tc>
        <w:tc>
          <w:tcPr>
            <w:tcW w:w="450" w:type="dxa"/>
            <w:tcBorders>
              <w:top w:val="single" w:sz="4" w:space="0" w:color="000000"/>
              <w:left w:val="single" w:sz="12" w:space="0" w:color="000000"/>
              <w:bottom w:val="single" w:sz="4" w:space="0" w:color="000000"/>
              <w:right w:val="single" w:sz="12" w:space="0" w:color="000000"/>
            </w:tcBorders>
          </w:tcPr>
          <w:p w14:paraId="6374E70D" w14:textId="3ABEB456" w:rsidR="00014B37" w:rsidRDefault="00014B37" w:rsidP="00CE1A8B">
            <w:pPr>
              <w:spacing w:after="0" w:line="259" w:lineRule="auto"/>
              <w:ind w:left="0" w:right="5" w:firstLine="0"/>
              <w:jc w:val="center"/>
            </w:pPr>
          </w:p>
        </w:tc>
        <w:tc>
          <w:tcPr>
            <w:tcW w:w="900" w:type="dxa"/>
            <w:tcBorders>
              <w:top w:val="single" w:sz="4" w:space="0" w:color="000000"/>
              <w:left w:val="single" w:sz="12" w:space="0" w:color="000000"/>
              <w:bottom w:val="single" w:sz="4" w:space="0" w:color="000000"/>
              <w:right w:val="single" w:sz="12" w:space="0" w:color="000000"/>
            </w:tcBorders>
          </w:tcPr>
          <w:p w14:paraId="16D0C2F4" w14:textId="4119079B" w:rsidR="00014B37" w:rsidRDefault="00014B37" w:rsidP="00CE1A8B">
            <w:pPr>
              <w:spacing w:after="0" w:line="259" w:lineRule="auto"/>
              <w:ind w:left="0" w:right="7" w:firstLine="0"/>
              <w:jc w:val="center"/>
            </w:pPr>
          </w:p>
        </w:tc>
        <w:tc>
          <w:tcPr>
            <w:tcW w:w="900" w:type="dxa"/>
            <w:tcBorders>
              <w:top w:val="single" w:sz="4" w:space="0" w:color="000000"/>
              <w:left w:val="single" w:sz="12" w:space="0" w:color="000000"/>
              <w:bottom w:val="single" w:sz="4" w:space="0" w:color="000000"/>
              <w:right w:val="single" w:sz="12" w:space="0" w:color="000000"/>
            </w:tcBorders>
            <w:vAlign w:val="center"/>
          </w:tcPr>
          <w:p w14:paraId="61D3CD53" w14:textId="7845A045" w:rsidR="00014B37" w:rsidRDefault="00014B37" w:rsidP="00724AC2">
            <w:pPr>
              <w:spacing w:after="0" w:line="259" w:lineRule="auto"/>
              <w:ind w:left="38" w:right="0" w:firstLine="0"/>
              <w:jc w:val="center"/>
            </w:pPr>
            <w:r>
              <w:rPr>
                <w:sz w:val="18"/>
              </w:rPr>
              <w:t>8260</w:t>
            </w:r>
          </w:p>
        </w:tc>
        <w:tc>
          <w:tcPr>
            <w:tcW w:w="720" w:type="dxa"/>
            <w:tcBorders>
              <w:top w:val="single" w:sz="4" w:space="0" w:color="000000"/>
              <w:left w:val="single" w:sz="12" w:space="0" w:color="000000"/>
              <w:bottom w:val="single" w:sz="4" w:space="0" w:color="000000"/>
              <w:right w:val="single" w:sz="12" w:space="0" w:color="000000"/>
            </w:tcBorders>
            <w:vAlign w:val="center"/>
          </w:tcPr>
          <w:p w14:paraId="1578DC52" w14:textId="2222648A" w:rsidR="00014B37" w:rsidRDefault="00014B37" w:rsidP="00724AC2">
            <w:pPr>
              <w:spacing w:after="0" w:line="259" w:lineRule="auto"/>
              <w:ind w:left="0" w:right="0" w:firstLine="0"/>
              <w:jc w:val="center"/>
            </w:pPr>
          </w:p>
        </w:tc>
      </w:tr>
      <w:tr w:rsidR="00014B37" w14:paraId="7900BEE0" w14:textId="77777777" w:rsidTr="005B6604">
        <w:trPr>
          <w:trHeight w:val="245"/>
        </w:trPr>
        <w:tc>
          <w:tcPr>
            <w:tcW w:w="2948" w:type="dxa"/>
            <w:tcBorders>
              <w:top w:val="single" w:sz="4" w:space="0" w:color="000000"/>
              <w:left w:val="single" w:sz="12" w:space="0" w:color="000000"/>
              <w:bottom w:val="single" w:sz="4" w:space="0" w:color="000000"/>
              <w:right w:val="single" w:sz="12" w:space="0" w:color="000000"/>
            </w:tcBorders>
          </w:tcPr>
          <w:p w14:paraId="6414FB59" w14:textId="77777777" w:rsidR="00014B37" w:rsidRDefault="00014B37" w:rsidP="00014B37">
            <w:pPr>
              <w:spacing w:after="0" w:line="259" w:lineRule="auto"/>
              <w:ind w:left="0" w:right="0" w:firstLine="0"/>
            </w:pPr>
            <w:r>
              <w:rPr>
                <w:sz w:val="18"/>
              </w:rPr>
              <w:t xml:space="preserve">Crotonaldehyde </w:t>
            </w:r>
          </w:p>
        </w:tc>
        <w:tc>
          <w:tcPr>
            <w:tcW w:w="964" w:type="dxa"/>
            <w:tcBorders>
              <w:top w:val="single" w:sz="4" w:space="0" w:color="000000"/>
              <w:left w:val="single" w:sz="12" w:space="0" w:color="000000"/>
              <w:bottom w:val="single" w:sz="4" w:space="0" w:color="000000"/>
              <w:right w:val="single" w:sz="12" w:space="0" w:color="000000"/>
            </w:tcBorders>
          </w:tcPr>
          <w:p w14:paraId="13FB5F19" w14:textId="1C77C426" w:rsidR="00014B37" w:rsidRDefault="00014B37" w:rsidP="006727F9">
            <w:pPr>
              <w:spacing w:after="0" w:line="259" w:lineRule="auto"/>
              <w:ind w:left="0" w:right="49" w:firstLine="0"/>
              <w:jc w:val="center"/>
            </w:pPr>
            <w:r>
              <w:rPr>
                <w:sz w:val="18"/>
              </w:rPr>
              <w:t>123-73-9</w:t>
            </w:r>
          </w:p>
        </w:tc>
        <w:tc>
          <w:tcPr>
            <w:tcW w:w="623" w:type="dxa"/>
            <w:tcBorders>
              <w:top w:val="single" w:sz="4" w:space="0" w:color="000000"/>
              <w:left w:val="single" w:sz="12" w:space="0" w:color="000000"/>
              <w:bottom w:val="single" w:sz="4" w:space="0" w:color="000000"/>
              <w:right w:val="single" w:sz="12" w:space="0" w:color="000000"/>
            </w:tcBorders>
          </w:tcPr>
          <w:p w14:paraId="2D7C0CC9" w14:textId="2B0FAE0D" w:rsidR="00014B37" w:rsidRDefault="00014B37" w:rsidP="00CE1A8B">
            <w:pPr>
              <w:tabs>
                <w:tab w:val="right" w:pos="535"/>
              </w:tabs>
              <w:spacing w:after="0" w:line="259" w:lineRule="auto"/>
              <w:ind w:left="0" w:right="0" w:firstLine="0"/>
              <w:jc w:val="center"/>
            </w:pPr>
            <w:r>
              <w:rPr>
                <w:sz w:val="18"/>
              </w:rPr>
              <w:t>20</w:t>
            </w:r>
          </w:p>
        </w:tc>
        <w:tc>
          <w:tcPr>
            <w:tcW w:w="870" w:type="dxa"/>
            <w:tcBorders>
              <w:top w:val="single" w:sz="4" w:space="0" w:color="000000"/>
              <w:left w:val="single" w:sz="12" w:space="0" w:color="000000"/>
              <w:bottom w:val="single" w:sz="4" w:space="0" w:color="000000"/>
              <w:right w:val="single" w:sz="12" w:space="0" w:color="000000"/>
            </w:tcBorders>
          </w:tcPr>
          <w:p w14:paraId="0B035889" w14:textId="39AC9A41" w:rsidR="00014B37" w:rsidRDefault="00014B37" w:rsidP="00CE1A8B">
            <w:pPr>
              <w:spacing w:after="0" w:line="259" w:lineRule="auto"/>
              <w:ind w:left="0" w:right="53" w:firstLine="0"/>
              <w:jc w:val="center"/>
            </w:pPr>
            <w:r>
              <w:rPr>
                <w:sz w:val="18"/>
              </w:rPr>
              <w:t>ug/L</w:t>
            </w:r>
          </w:p>
        </w:tc>
        <w:tc>
          <w:tcPr>
            <w:tcW w:w="810" w:type="dxa"/>
            <w:tcBorders>
              <w:top w:val="single" w:sz="4" w:space="0" w:color="000000"/>
              <w:left w:val="single" w:sz="12" w:space="0" w:color="000000"/>
              <w:bottom w:val="single" w:sz="4" w:space="0" w:color="000000"/>
              <w:right w:val="single" w:sz="12" w:space="0" w:color="000000"/>
            </w:tcBorders>
          </w:tcPr>
          <w:p w14:paraId="1A682742" w14:textId="13950004" w:rsidR="00014B37" w:rsidRDefault="00014B37" w:rsidP="00CE1A8B">
            <w:pPr>
              <w:tabs>
                <w:tab w:val="right" w:pos="717"/>
              </w:tabs>
              <w:spacing w:after="0" w:line="259" w:lineRule="auto"/>
              <w:ind w:left="0" w:right="0" w:firstLine="0"/>
              <w:jc w:val="center"/>
            </w:pPr>
            <w:r>
              <w:rPr>
                <w:sz w:val="18"/>
              </w:rPr>
              <w:t>50</w:t>
            </w:r>
          </w:p>
        </w:tc>
        <w:tc>
          <w:tcPr>
            <w:tcW w:w="793" w:type="dxa"/>
            <w:tcBorders>
              <w:top w:val="single" w:sz="4" w:space="0" w:color="000000"/>
              <w:left w:val="single" w:sz="12" w:space="0" w:color="000000"/>
              <w:bottom w:val="single" w:sz="4" w:space="0" w:color="000000"/>
              <w:right w:val="single" w:sz="12" w:space="0" w:color="000000"/>
            </w:tcBorders>
          </w:tcPr>
          <w:p w14:paraId="28B6DE41" w14:textId="6B8702F8" w:rsidR="00014B37" w:rsidRDefault="00014B37" w:rsidP="00CE1A8B">
            <w:pPr>
              <w:spacing w:after="0" w:line="259" w:lineRule="auto"/>
              <w:ind w:left="0" w:right="51" w:firstLine="0"/>
              <w:jc w:val="center"/>
            </w:pPr>
            <w:r>
              <w:rPr>
                <w:rFonts w:eastAsia="Segoe UI Symbol"/>
                <w:sz w:val="18"/>
              </w:rPr>
              <w:t>u</w:t>
            </w:r>
            <w:r>
              <w:rPr>
                <w:sz w:val="18"/>
              </w:rPr>
              <w:t>g/kg</w:t>
            </w:r>
          </w:p>
        </w:tc>
        <w:tc>
          <w:tcPr>
            <w:tcW w:w="642" w:type="dxa"/>
            <w:tcBorders>
              <w:top w:val="single" w:sz="4" w:space="0" w:color="000000"/>
              <w:left w:val="single" w:sz="12" w:space="0" w:color="000000"/>
              <w:bottom w:val="single" w:sz="4" w:space="0" w:color="000000"/>
              <w:right w:val="single" w:sz="12" w:space="0" w:color="000000"/>
            </w:tcBorders>
          </w:tcPr>
          <w:p w14:paraId="0A791DD6" w14:textId="2DA68F26" w:rsidR="00014B37" w:rsidRDefault="00014B37" w:rsidP="00CE1A8B">
            <w:pPr>
              <w:spacing w:after="0" w:line="259" w:lineRule="auto"/>
              <w:ind w:left="0" w:right="49" w:firstLine="0"/>
              <w:jc w:val="center"/>
            </w:pPr>
            <w:r>
              <w:rPr>
                <w:sz w:val="18"/>
              </w:rPr>
              <w:t>X</w:t>
            </w:r>
          </w:p>
        </w:tc>
        <w:tc>
          <w:tcPr>
            <w:tcW w:w="450" w:type="dxa"/>
            <w:tcBorders>
              <w:top w:val="single" w:sz="4" w:space="0" w:color="000000"/>
              <w:left w:val="single" w:sz="12" w:space="0" w:color="000000"/>
              <w:bottom w:val="single" w:sz="4" w:space="0" w:color="000000"/>
              <w:right w:val="single" w:sz="12" w:space="0" w:color="000000"/>
            </w:tcBorders>
          </w:tcPr>
          <w:p w14:paraId="637A5363" w14:textId="69CE6EFB" w:rsidR="00014B37" w:rsidRDefault="00014B37" w:rsidP="00CE1A8B">
            <w:pPr>
              <w:spacing w:after="0" w:line="259" w:lineRule="auto"/>
              <w:ind w:left="0" w:right="5" w:firstLine="0"/>
              <w:jc w:val="center"/>
            </w:pPr>
          </w:p>
        </w:tc>
        <w:tc>
          <w:tcPr>
            <w:tcW w:w="900" w:type="dxa"/>
            <w:tcBorders>
              <w:top w:val="single" w:sz="4" w:space="0" w:color="000000"/>
              <w:left w:val="single" w:sz="12" w:space="0" w:color="000000"/>
              <w:bottom w:val="single" w:sz="4" w:space="0" w:color="000000"/>
              <w:right w:val="single" w:sz="12" w:space="0" w:color="000000"/>
            </w:tcBorders>
          </w:tcPr>
          <w:p w14:paraId="66DDE317" w14:textId="2F848CA5" w:rsidR="00014B37" w:rsidRDefault="00014B37" w:rsidP="00CE1A8B">
            <w:pPr>
              <w:spacing w:after="0" w:line="259" w:lineRule="auto"/>
              <w:ind w:left="0" w:right="7" w:firstLine="0"/>
              <w:jc w:val="center"/>
            </w:pPr>
          </w:p>
        </w:tc>
        <w:tc>
          <w:tcPr>
            <w:tcW w:w="900" w:type="dxa"/>
            <w:tcBorders>
              <w:top w:val="single" w:sz="4" w:space="0" w:color="000000"/>
              <w:left w:val="single" w:sz="12" w:space="0" w:color="000000"/>
              <w:bottom w:val="single" w:sz="4" w:space="0" w:color="000000"/>
              <w:right w:val="single" w:sz="12" w:space="0" w:color="000000"/>
            </w:tcBorders>
            <w:vAlign w:val="center"/>
          </w:tcPr>
          <w:p w14:paraId="695DD94C" w14:textId="0B145A48" w:rsidR="00014B37" w:rsidRDefault="00014B37" w:rsidP="00724AC2">
            <w:pPr>
              <w:spacing w:after="0" w:line="259" w:lineRule="auto"/>
              <w:ind w:left="38" w:right="0" w:firstLine="0"/>
              <w:jc w:val="center"/>
            </w:pPr>
            <w:r>
              <w:rPr>
                <w:sz w:val="18"/>
              </w:rPr>
              <w:t>8260</w:t>
            </w:r>
          </w:p>
        </w:tc>
        <w:tc>
          <w:tcPr>
            <w:tcW w:w="720" w:type="dxa"/>
            <w:tcBorders>
              <w:top w:val="single" w:sz="4" w:space="0" w:color="000000"/>
              <w:left w:val="single" w:sz="12" w:space="0" w:color="000000"/>
              <w:bottom w:val="single" w:sz="4" w:space="0" w:color="000000"/>
              <w:right w:val="single" w:sz="12" w:space="0" w:color="000000"/>
            </w:tcBorders>
            <w:vAlign w:val="center"/>
          </w:tcPr>
          <w:p w14:paraId="506620AF" w14:textId="26D82272" w:rsidR="00014B37" w:rsidRDefault="00014B37" w:rsidP="00724AC2">
            <w:pPr>
              <w:spacing w:after="0" w:line="259" w:lineRule="auto"/>
              <w:ind w:left="0" w:right="0" w:firstLine="0"/>
              <w:jc w:val="center"/>
            </w:pPr>
            <w:r>
              <w:rPr>
                <w:sz w:val="18"/>
              </w:rPr>
              <w:t>8015</w:t>
            </w:r>
          </w:p>
        </w:tc>
      </w:tr>
      <w:tr w:rsidR="00014B37" w14:paraId="13A3345F" w14:textId="77777777" w:rsidTr="005B6604">
        <w:trPr>
          <w:trHeight w:val="245"/>
        </w:trPr>
        <w:tc>
          <w:tcPr>
            <w:tcW w:w="2948" w:type="dxa"/>
            <w:tcBorders>
              <w:top w:val="single" w:sz="4" w:space="0" w:color="000000"/>
              <w:left w:val="single" w:sz="12" w:space="0" w:color="000000"/>
              <w:bottom w:val="single" w:sz="4" w:space="0" w:color="000000"/>
              <w:right w:val="single" w:sz="12" w:space="0" w:color="000000"/>
            </w:tcBorders>
          </w:tcPr>
          <w:p w14:paraId="2CA78765" w14:textId="77777777" w:rsidR="00014B37" w:rsidRDefault="00014B37" w:rsidP="00014B37">
            <w:pPr>
              <w:spacing w:after="0" w:line="259" w:lineRule="auto"/>
              <w:ind w:left="0" w:right="0" w:firstLine="0"/>
            </w:pPr>
            <w:r>
              <w:rPr>
                <w:sz w:val="18"/>
              </w:rPr>
              <w:t xml:space="preserve">Dibromochloromethane </w:t>
            </w:r>
          </w:p>
        </w:tc>
        <w:tc>
          <w:tcPr>
            <w:tcW w:w="964" w:type="dxa"/>
            <w:tcBorders>
              <w:top w:val="single" w:sz="4" w:space="0" w:color="000000"/>
              <w:left w:val="single" w:sz="12" w:space="0" w:color="000000"/>
              <w:bottom w:val="single" w:sz="4" w:space="0" w:color="000000"/>
              <w:right w:val="single" w:sz="12" w:space="0" w:color="000000"/>
            </w:tcBorders>
          </w:tcPr>
          <w:p w14:paraId="3201F673" w14:textId="4CAE4249" w:rsidR="00014B37" w:rsidRDefault="00014B37" w:rsidP="006727F9">
            <w:pPr>
              <w:spacing w:after="0" w:line="259" w:lineRule="auto"/>
              <w:ind w:left="0" w:right="49" w:firstLine="0"/>
              <w:jc w:val="center"/>
            </w:pPr>
            <w:r>
              <w:rPr>
                <w:sz w:val="18"/>
              </w:rPr>
              <w:t>124-48-1</w:t>
            </w:r>
          </w:p>
        </w:tc>
        <w:tc>
          <w:tcPr>
            <w:tcW w:w="623" w:type="dxa"/>
            <w:tcBorders>
              <w:top w:val="single" w:sz="4" w:space="0" w:color="000000"/>
              <w:left w:val="single" w:sz="12" w:space="0" w:color="000000"/>
              <w:bottom w:val="single" w:sz="4" w:space="0" w:color="000000"/>
              <w:right w:val="single" w:sz="12" w:space="0" w:color="000000"/>
            </w:tcBorders>
          </w:tcPr>
          <w:p w14:paraId="10585B91" w14:textId="29FE3445" w:rsidR="00014B37" w:rsidRPr="00034C3A" w:rsidRDefault="00014B37" w:rsidP="00CE1A8B">
            <w:pPr>
              <w:tabs>
                <w:tab w:val="right" w:pos="535"/>
              </w:tabs>
              <w:spacing w:after="0" w:line="259" w:lineRule="auto"/>
              <w:ind w:left="0" w:right="0" w:firstLine="0"/>
              <w:jc w:val="center"/>
              <w:rPr>
                <w:bCs/>
              </w:rPr>
            </w:pPr>
            <w:r w:rsidRPr="00CB2740">
              <w:rPr>
                <w:bCs/>
                <w:sz w:val="18"/>
              </w:rPr>
              <w:t>1</w:t>
            </w:r>
          </w:p>
        </w:tc>
        <w:tc>
          <w:tcPr>
            <w:tcW w:w="870" w:type="dxa"/>
            <w:tcBorders>
              <w:top w:val="single" w:sz="4" w:space="0" w:color="000000"/>
              <w:left w:val="single" w:sz="12" w:space="0" w:color="000000"/>
              <w:bottom w:val="single" w:sz="4" w:space="0" w:color="000000"/>
              <w:right w:val="single" w:sz="12" w:space="0" w:color="000000"/>
            </w:tcBorders>
          </w:tcPr>
          <w:p w14:paraId="28BD8F96" w14:textId="5431C050" w:rsidR="00014B37" w:rsidRDefault="00014B37" w:rsidP="00CE1A8B">
            <w:pPr>
              <w:spacing w:after="0" w:line="259" w:lineRule="auto"/>
              <w:ind w:left="0" w:right="53" w:firstLine="0"/>
              <w:jc w:val="center"/>
            </w:pPr>
            <w:r>
              <w:rPr>
                <w:sz w:val="18"/>
              </w:rPr>
              <w:t>ug/L</w:t>
            </w:r>
          </w:p>
        </w:tc>
        <w:tc>
          <w:tcPr>
            <w:tcW w:w="810" w:type="dxa"/>
            <w:tcBorders>
              <w:top w:val="single" w:sz="4" w:space="0" w:color="000000"/>
              <w:left w:val="single" w:sz="12" w:space="0" w:color="000000"/>
              <w:bottom w:val="single" w:sz="4" w:space="0" w:color="000000"/>
              <w:right w:val="single" w:sz="12" w:space="0" w:color="000000"/>
            </w:tcBorders>
          </w:tcPr>
          <w:p w14:paraId="0B3A3307" w14:textId="1827FBF5" w:rsidR="00014B37" w:rsidRDefault="00014B37" w:rsidP="00CE1A8B">
            <w:pPr>
              <w:tabs>
                <w:tab w:val="right" w:pos="717"/>
              </w:tabs>
              <w:spacing w:after="0" w:line="259" w:lineRule="auto"/>
              <w:ind w:left="0" w:right="0" w:firstLine="0"/>
              <w:jc w:val="center"/>
            </w:pPr>
            <w:r>
              <w:rPr>
                <w:sz w:val="18"/>
              </w:rPr>
              <w:t>5</w:t>
            </w:r>
          </w:p>
        </w:tc>
        <w:tc>
          <w:tcPr>
            <w:tcW w:w="793" w:type="dxa"/>
            <w:tcBorders>
              <w:top w:val="single" w:sz="4" w:space="0" w:color="000000"/>
              <w:left w:val="single" w:sz="12" w:space="0" w:color="000000"/>
              <w:bottom w:val="single" w:sz="4" w:space="0" w:color="000000"/>
              <w:right w:val="single" w:sz="12" w:space="0" w:color="000000"/>
            </w:tcBorders>
          </w:tcPr>
          <w:p w14:paraId="52C45C99" w14:textId="345D2362" w:rsidR="00014B37" w:rsidRDefault="00014B37" w:rsidP="00CE1A8B">
            <w:pPr>
              <w:spacing w:after="0" w:line="259" w:lineRule="auto"/>
              <w:ind w:left="0" w:right="51" w:firstLine="0"/>
              <w:jc w:val="center"/>
            </w:pPr>
            <w:r>
              <w:rPr>
                <w:rFonts w:eastAsia="Segoe UI Symbol"/>
                <w:sz w:val="18"/>
              </w:rPr>
              <w:t>u</w:t>
            </w:r>
            <w:r>
              <w:rPr>
                <w:sz w:val="18"/>
              </w:rPr>
              <w:t>g/kg</w:t>
            </w:r>
          </w:p>
        </w:tc>
        <w:tc>
          <w:tcPr>
            <w:tcW w:w="642" w:type="dxa"/>
            <w:tcBorders>
              <w:top w:val="single" w:sz="4" w:space="0" w:color="000000"/>
              <w:left w:val="single" w:sz="12" w:space="0" w:color="000000"/>
              <w:bottom w:val="single" w:sz="4" w:space="0" w:color="000000"/>
              <w:right w:val="single" w:sz="12" w:space="0" w:color="000000"/>
            </w:tcBorders>
          </w:tcPr>
          <w:p w14:paraId="5221373E" w14:textId="13AB9615" w:rsidR="00014B37" w:rsidRDefault="00014B37" w:rsidP="00CE1A8B">
            <w:pPr>
              <w:spacing w:after="0" w:line="259" w:lineRule="auto"/>
              <w:ind w:left="0" w:right="5" w:firstLine="0"/>
              <w:jc w:val="center"/>
            </w:pPr>
          </w:p>
        </w:tc>
        <w:tc>
          <w:tcPr>
            <w:tcW w:w="450" w:type="dxa"/>
            <w:tcBorders>
              <w:top w:val="single" w:sz="4" w:space="0" w:color="000000"/>
              <w:left w:val="single" w:sz="12" w:space="0" w:color="000000"/>
              <w:bottom w:val="single" w:sz="4" w:space="0" w:color="000000"/>
              <w:right w:val="single" w:sz="12" w:space="0" w:color="000000"/>
            </w:tcBorders>
          </w:tcPr>
          <w:p w14:paraId="5F51214F" w14:textId="38A94F03" w:rsidR="00014B37" w:rsidRDefault="00014B37" w:rsidP="00CE1A8B">
            <w:pPr>
              <w:spacing w:after="0" w:line="259" w:lineRule="auto"/>
              <w:ind w:left="0" w:right="50" w:firstLine="0"/>
              <w:jc w:val="center"/>
            </w:pPr>
            <w:r>
              <w:rPr>
                <w:sz w:val="18"/>
              </w:rPr>
              <w:t>X</w:t>
            </w:r>
          </w:p>
        </w:tc>
        <w:tc>
          <w:tcPr>
            <w:tcW w:w="900" w:type="dxa"/>
            <w:tcBorders>
              <w:top w:val="single" w:sz="4" w:space="0" w:color="000000"/>
              <w:left w:val="single" w:sz="12" w:space="0" w:color="000000"/>
              <w:bottom w:val="single" w:sz="4" w:space="0" w:color="000000"/>
              <w:right w:val="single" w:sz="12" w:space="0" w:color="000000"/>
            </w:tcBorders>
          </w:tcPr>
          <w:p w14:paraId="4677C118" w14:textId="52490672" w:rsidR="00014B37" w:rsidRDefault="00014B37" w:rsidP="00CE1A8B">
            <w:pPr>
              <w:spacing w:after="0" w:line="259" w:lineRule="auto"/>
              <w:ind w:left="0" w:right="52" w:firstLine="0"/>
              <w:jc w:val="center"/>
            </w:pPr>
            <w:r>
              <w:rPr>
                <w:sz w:val="18"/>
              </w:rPr>
              <w:t>X</w:t>
            </w:r>
          </w:p>
        </w:tc>
        <w:tc>
          <w:tcPr>
            <w:tcW w:w="900" w:type="dxa"/>
            <w:tcBorders>
              <w:top w:val="single" w:sz="4" w:space="0" w:color="000000"/>
              <w:left w:val="single" w:sz="12" w:space="0" w:color="000000"/>
              <w:bottom w:val="single" w:sz="4" w:space="0" w:color="000000"/>
              <w:right w:val="single" w:sz="12" w:space="0" w:color="000000"/>
            </w:tcBorders>
            <w:vAlign w:val="center"/>
          </w:tcPr>
          <w:p w14:paraId="7B37970C" w14:textId="568933E1" w:rsidR="00014B37" w:rsidRDefault="00014B37" w:rsidP="00724AC2">
            <w:pPr>
              <w:spacing w:after="0" w:line="259" w:lineRule="auto"/>
              <w:ind w:left="38" w:right="0" w:firstLine="0"/>
              <w:jc w:val="center"/>
            </w:pPr>
            <w:r>
              <w:rPr>
                <w:sz w:val="18"/>
              </w:rPr>
              <w:t>8260</w:t>
            </w:r>
          </w:p>
        </w:tc>
        <w:tc>
          <w:tcPr>
            <w:tcW w:w="720" w:type="dxa"/>
            <w:tcBorders>
              <w:top w:val="single" w:sz="4" w:space="0" w:color="000000"/>
              <w:left w:val="single" w:sz="12" w:space="0" w:color="000000"/>
              <w:bottom w:val="single" w:sz="4" w:space="0" w:color="000000"/>
              <w:right w:val="single" w:sz="12" w:space="0" w:color="000000"/>
            </w:tcBorders>
            <w:vAlign w:val="center"/>
          </w:tcPr>
          <w:p w14:paraId="1EAAA5B1" w14:textId="6898313A" w:rsidR="00014B37" w:rsidRDefault="00014B37" w:rsidP="00724AC2">
            <w:pPr>
              <w:spacing w:after="0" w:line="259" w:lineRule="auto"/>
              <w:ind w:left="0" w:right="0" w:firstLine="0"/>
              <w:jc w:val="center"/>
            </w:pPr>
            <w:r>
              <w:rPr>
                <w:sz w:val="18"/>
              </w:rPr>
              <w:t>8021</w:t>
            </w:r>
          </w:p>
        </w:tc>
      </w:tr>
      <w:tr w:rsidR="00014B37" w14:paraId="4959036C" w14:textId="77777777" w:rsidTr="005B6604">
        <w:trPr>
          <w:trHeight w:val="245"/>
        </w:trPr>
        <w:tc>
          <w:tcPr>
            <w:tcW w:w="2948" w:type="dxa"/>
            <w:tcBorders>
              <w:top w:val="single" w:sz="4" w:space="0" w:color="000000"/>
              <w:left w:val="single" w:sz="12" w:space="0" w:color="000000"/>
              <w:bottom w:val="single" w:sz="4" w:space="0" w:color="000000"/>
              <w:right w:val="single" w:sz="12" w:space="0" w:color="000000"/>
            </w:tcBorders>
          </w:tcPr>
          <w:p w14:paraId="771CD568" w14:textId="77777777" w:rsidR="00014B37" w:rsidRDefault="00014B37" w:rsidP="00014B37">
            <w:pPr>
              <w:spacing w:after="0" w:line="259" w:lineRule="auto"/>
              <w:ind w:left="0" w:right="0" w:firstLine="0"/>
            </w:pPr>
            <w:r>
              <w:rPr>
                <w:sz w:val="18"/>
              </w:rPr>
              <w:t xml:space="preserve">trans-1,4-Dichloro-2-butene </w:t>
            </w:r>
          </w:p>
        </w:tc>
        <w:tc>
          <w:tcPr>
            <w:tcW w:w="964" w:type="dxa"/>
            <w:tcBorders>
              <w:top w:val="single" w:sz="4" w:space="0" w:color="000000"/>
              <w:left w:val="single" w:sz="12" w:space="0" w:color="000000"/>
              <w:bottom w:val="single" w:sz="4" w:space="0" w:color="000000"/>
              <w:right w:val="single" w:sz="12" w:space="0" w:color="000000"/>
            </w:tcBorders>
          </w:tcPr>
          <w:p w14:paraId="28340020" w14:textId="31A56CE4" w:rsidR="00014B37" w:rsidRDefault="00014B37" w:rsidP="006727F9">
            <w:pPr>
              <w:spacing w:after="0" w:line="259" w:lineRule="auto"/>
              <w:ind w:left="0" w:right="49" w:firstLine="0"/>
              <w:jc w:val="center"/>
            </w:pPr>
            <w:r>
              <w:rPr>
                <w:sz w:val="18"/>
              </w:rPr>
              <w:t>110-57-6</w:t>
            </w:r>
          </w:p>
        </w:tc>
        <w:tc>
          <w:tcPr>
            <w:tcW w:w="623" w:type="dxa"/>
            <w:tcBorders>
              <w:top w:val="single" w:sz="4" w:space="0" w:color="000000"/>
              <w:left w:val="single" w:sz="12" w:space="0" w:color="000000"/>
              <w:bottom w:val="single" w:sz="4" w:space="0" w:color="000000"/>
              <w:right w:val="single" w:sz="12" w:space="0" w:color="000000"/>
            </w:tcBorders>
          </w:tcPr>
          <w:p w14:paraId="6DF5A383" w14:textId="50F9A505" w:rsidR="00014B37" w:rsidRPr="00034C3A" w:rsidRDefault="00014B37" w:rsidP="00CE1A8B">
            <w:pPr>
              <w:tabs>
                <w:tab w:val="right" w:pos="535"/>
              </w:tabs>
              <w:spacing w:after="0" w:line="259" w:lineRule="auto"/>
              <w:ind w:left="0" w:right="0" w:firstLine="0"/>
              <w:jc w:val="center"/>
              <w:rPr>
                <w:bCs/>
              </w:rPr>
            </w:pPr>
            <w:r w:rsidRPr="00CB2740">
              <w:rPr>
                <w:bCs/>
                <w:sz w:val="18"/>
              </w:rPr>
              <w:t>1</w:t>
            </w:r>
          </w:p>
        </w:tc>
        <w:tc>
          <w:tcPr>
            <w:tcW w:w="870" w:type="dxa"/>
            <w:tcBorders>
              <w:top w:val="single" w:sz="4" w:space="0" w:color="000000"/>
              <w:left w:val="single" w:sz="12" w:space="0" w:color="000000"/>
              <w:bottom w:val="single" w:sz="4" w:space="0" w:color="000000"/>
              <w:right w:val="single" w:sz="12" w:space="0" w:color="000000"/>
            </w:tcBorders>
          </w:tcPr>
          <w:p w14:paraId="038EDB45" w14:textId="324F331B" w:rsidR="00014B37" w:rsidRDefault="00014B37" w:rsidP="00CE1A8B">
            <w:pPr>
              <w:spacing w:after="0" w:line="259" w:lineRule="auto"/>
              <w:ind w:left="0" w:right="53" w:firstLine="0"/>
              <w:jc w:val="center"/>
            </w:pPr>
            <w:r>
              <w:rPr>
                <w:sz w:val="18"/>
              </w:rPr>
              <w:t>ug/L</w:t>
            </w:r>
          </w:p>
        </w:tc>
        <w:tc>
          <w:tcPr>
            <w:tcW w:w="810" w:type="dxa"/>
            <w:tcBorders>
              <w:top w:val="single" w:sz="4" w:space="0" w:color="000000"/>
              <w:left w:val="single" w:sz="12" w:space="0" w:color="000000"/>
              <w:bottom w:val="single" w:sz="4" w:space="0" w:color="000000"/>
              <w:right w:val="single" w:sz="12" w:space="0" w:color="000000"/>
            </w:tcBorders>
          </w:tcPr>
          <w:p w14:paraId="1A7E9127" w14:textId="143C8171" w:rsidR="00014B37" w:rsidRDefault="00014B37" w:rsidP="00CE1A8B">
            <w:pPr>
              <w:tabs>
                <w:tab w:val="right" w:pos="717"/>
              </w:tabs>
              <w:spacing w:after="0" w:line="259" w:lineRule="auto"/>
              <w:ind w:left="0" w:right="0" w:firstLine="0"/>
              <w:jc w:val="center"/>
            </w:pPr>
            <w:r>
              <w:rPr>
                <w:b/>
                <w:sz w:val="18"/>
              </w:rPr>
              <w:t>5</w:t>
            </w:r>
          </w:p>
        </w:tc>
        <w:tc>
          <w:tcPr>
            <w:tcW w:w="793" w:type="dxa"/>
            <w:tcBorders>
              <w:top w:val="single" w:sz="4" w:space="0" w:color="000000"/>
              <w:left w:val="single" w:sz="12" w:space="0" w:color="000000"/>
              <w:bottom w:val="single" w:sz="4" w:space="0" w:color="000000"/>
              <w:right w:val="single" w:sz="12" w:space="0" w:color="000000"/>
            </w:tcBorders>
          </w:tcPr>
          <w:p w14:paraId="049349A8" w14:textId="66F03C09" w:rsidR="00014B37" w:rsidRDefault="00014B37" w:rsidP="00CE1A8B">
            <w:pPr>
              <w:spacing w:after="0" w:line="259" w:lineRule="auto"/>
              <w:ind w:left="0" w:right="51" w:firstLine="0"/>
              <w:jc w:val="center"/>
            </w:pPr>
            <w:r>
              <w:rPr>
                <w:rFonts w:eastAsia="Segoe UI Symbol"/>
                <w:sz w:val="18"/>
              </w:rPr>
              <w:t>u</w:t>
            </w:r>
            <w:r>
              <w:rPr>
                <w:sz w:val="18"/>
              </w:rPr>
              <w:t>g/kg</w:t>
            </w:r>
          </w:p>
        </w:tc>
        <w:tc>
          <w:tcPr>
            <w:tcW w:w="642" w:type="dxa"/>
            <w:tcBorders>
              <w:top w:val="single" w:sz="4" w:space="0" w:color="000000"/>
              <w:left w:val="single" w:sz="12" w:space="0" w:color="000000"/>
              <w:bottom w:val="single" w:sz="4" w:space="0" w:color="000000"/>
              <w:right w:val="single" w:sz="12" w:space="0" w:color="000000"/>
            </w:tcBorders>
          </w:tcPr>
          <w:p w14:paraId="217D6642" w14:textId="23686934" w:rsidR="00014B37" w:rsidRDefault="00014B37" w:rsidP="00CE1A8B">
            <w:pPr>
              <w:spacing w:after="0" w:line="259" w:lineRule="auto"/>
              <w:ind w:left="0" w:right="49" w:firstLine="0"/>
              <w:jc w:val="center"/>
            </w:pPr>
            <w:r>
              <w:rPr>
                <w:sz w:val="18"/>
              </w:rPr>
              <w:t>X</w:t>
            </w:r>
          </w:p>
        </w:tc>
        <w:tc>
          <w:tcPr>
            <w:tcW w:w="450" w:type="dxa"/>
            <w:tcBorders>
              <w:top w:val="single" w:sz="4" w:space="0" w:color="000000"/>
              <w:left w:val="single" w:sz="12" w:space="0" w:color="000000"/>
              <w:bottom w:val="single" w:sz="4" w:space="0" w:color="000000"/>
              <w:right w:val="single" w:sz="12" w:space="0" w:color="000000"/>
            </w:tcBorders>
          </w:tcPr>
          <w:p w14:paraId="62C8BC9A" w14:textId="7798B3EC" w:rsidR="00014B37" w:rsidRDefault="00014B37" w:rsidP="00CE1A8B">
            <w:pPr>
              <w:spacing w:after="0" w:line="259" w:lineRule="auto"/>
              <w:ind w:left="0" w:right="50" w:firstLine="0"/>
              <w:jc w:val="center"/>
            </w:pPr>
            <w:r>
              <w:rPr>
                <w:sz w:val="18"/>
              </w:rPr>
              <w:t>X</w:t>
            </w:r>
          </w:p>
        </w:tc>
        <w:tc>
          <w:tcPr>
            <w:tcW w:w="900" w:type="dxa"/>
            <w:tcBorders>
              <w:top w:val="single" w:sz="4" w:space="0" w:color="000000"/>
              <w:left w:val="single" w:sz="12" w:space="0" w:color="000000"/>
              <w:bottom w:val="single" w:sz="4" w:space="0" w:color="000000"/>
              <w:right w:val="single" w:sz="12" w:space="0" w:color="000000"/>
            </w:tcBorders>
          </w:tcPr>
          <w:p w14:paraId="49F85CDA" w14:textId="383B623D" w:rsidR="00014B37" w:rsidRDefault="00014B37" w:rsidP="00CE1A8B">
            <w:pPr>
              <w:spacing w:after="0" w:line="259" w:lineRule="auto"/>
              <w:ind w:left="0" w:right="52" w:firstLine="0"/>
              <w:jc w:val="center"/>
            </w:pPr>
            <w:r>
              <w:rPr>
                <w:sz w:val="18"/>
              </w:rPr>
              <w:t>X</w:t>
            </w:r>
          </w:p>
        </w:tc>
        <w:tc>
          <w:tcPr>
            <w:tcW w:w="900" w:type="dxa"/>
            <w:tcBorders>
              <w:top w:val="single" w:sz="4" w:space="0" w:color="000000"/>
              <w:left w:val="single" w:sz="12" w:space="0" w:color="000000"/>
              <w:bottom w:val="single" w:sz="4" w:space="0" w:color="000000"/>
              <w:right w:val="single" w:sz="12" w:space="0" w:color="000000"/>
            </w:tcBorders>
            <w:vAlign w:val="center"/>
          </w:tcPr>
          <w:p w14:paraId="580EE92A" w14:textId="5934A197" w:rsidR="00014B37" w:rsidRDefault="00014B37" w:rsidP="00724AC2">
            <w:pPr>
              <w:spacing w:after="0" w:line="259" w:lineRule="auto"/>
              <w:ind w:left="38" w:right="0" w:firstLine="0"/>
              <w:jc w:val="center"/>
            </w:pPr>
            <w:r>
              <w:rPr>
                <w:sz w:val="18"/>
              </w:rPr>
              <w:t>8260</w:t>
            </w:r>
          </w:p>
        </w:tc>
        <w:tc>
          <w:tcPr>
            <w:tcW w:w="720" w:type="dxa"/>
            <w:tcBorders>
              <w:top w:val="single" w:sz="4" w:space="0" w:color="000000"/>
              <w:left w:val="single" w:sz="12" w:space="0" w:color="000000"/>
              <w:bottom w:val="single" w:sz="4" w:space="0" w:color="000000"/>
              <w:right w:val="single" w:sz="12" w:space="0" w:color="000000"/>
            </w:tcBorders>
            <w:vAlign w:val="center"/>
          </w:tcPr>
          <w:p w14:paraId="4F13E585" w14:textId="5327F91E" w:rsidR="00014B37" w:rsidRDefault="00014B37" w:rsidP="00724AC2">
            <w:pPr>
              <w:spacing w:after="0" w:line="259" w:lineRule="auto"/>
              <w:ind w:left="0" w:right="0" w:firstLine="0"/>
              <w:jc w:val="center"/>
            </w:pPr>
          </w:p>
        </w:tc>
      </w:tr>
      <w:tr w:rsidR="00014B37" w14:paraId="137EEAD3" w14:textId="77777777" w:rsidTr="005B6604">
        <w:trPr>
          <w:trHeight w:val="245"/>
        </w:trPr>
        <w:tc>
          <w:tcPr>
            <w:tcW w:w="2948" w:type="dxa"/>
            <w:tcBorders>
              <w:top w:val="single" w:sz="4" w:space="0" w:color="000000"/>
              <w:left w:val="single" w:sz="12" w:space="0" w:color="000000"/>
              <w:bottom w:val="single" w:sz="4" w:space="0" w:color="000000"/>
              <w:right w:val="single" w:sz="12" w:space="0" w:color="000000"/>
            </w:tcBorders>
          </w:tcPr>
          <w:p w14:paraId="76E5137B" w14:textId="77777777" w:rsidR="00014B37" w:rsidRDefault="00014B37" w:rsidP="00014B37">
            <w:pPr>
              <w:spacing w:after="0" w:line="259" w:lineRule="auto"/>
              <w:ind w:left="0" w:right="0" w:firstLine="0"/>
            </w:pPr>
            <w:r>
              <w:rPr>
                <w:sz w:val="18"/>
              </w:rPr>
              <w:t xml:space="preserve">1,3-Dichloropropane </w:t>
            </w:r>
          </w:p>
        </w:tc>
        <w:tc>
          <w:tcPr>
            <w:tcW w:w="964" w:type="dxa"/>
            <w:tcBorders>
              <w:top w:val="single" w:sz="4" w:space="0" w:color="000000"/>
              <w:left w:val="single" w:sz="12" w:space="0" w:color="000000"/>
              <w:bottom w:val="single" w:sz="4" w:space="0" w:color="000000"/>
              <w:right w:val="single" w:sz="12" w:space="0" w:color="000000"/>
            </w:tcBorders>
          </w:tcPr>
          <w:p w14:paraId="4D29604D" w14:textId="3F8CD6E1" w:rsidR="00014B37" w:rsidRDefault="00014B37" w:rsidP="006727F9">
            <w:pPr>
              <w:spacing w:after="0" w:line="259" w:lineRule="auto"/>
              <w:ind w:left="0" w:right="49" w:firstLine="0"/>
              <w:jc w:val="center"/>
            </w:pPr>
            <w:r>
              <w:rPr>
                <w:sz w:val="18"/>
              </w:rPr>
              <w:t>142-28-9</w:t>
            </w:r>
          </w:p>
        </w:tc>
        <w:tc>
          <w:tcPr>
            <w:tcW w:w="623" w:type="dxa"/>
            <w:tcBorders>
              <w:top w:val="single" w:sz="4" w:space="0" w:color="000000"/>
              <w:left w:val="single" w:sz="12" w:space="0" w:color="000000"/>
              <w:bottom w:val="single" w:sz="4" w:space="0" w:color="000000"/>
              <w:right w:val="single" w:sz="12" w:space="0" w:color="000000"/>
            </w:tcBorders>
          </w:tcPr>
          <w:p w14:paraId="4760454F" w14:textId="703E909C" w:rsidR="00014B37" w:rsidRDefault="00014B37" w:rsidP="00CE1A8B">
            <w:pPr>
              <w:tabs>
                <w:tab w:val="right" w:pos="535"/>
              </w:tabs>
              <w:spacing w:after="0" w:line="259" w:lineRule="auto"/>
              <w:ind w:left="0" w:right="0" w:firstLine="0"/>
              <w:jc w:val="center"/>
            </w:pPr>
            <w:r>
              <w:rPr>
                <w:sz w:val="18"/>
              </w:rPr>
              <w:t>5</w:t>
            </w:r>
          </w:p>
        </w:tc>
        <w:tc>
          <w:tcPr>
            <w:tcW w:w="870" w:type="dxa"/>
            <w:tcBorders>
              <w:top w:val="single" w:sz="4" w:space="0" w:color="000000"/>
              <w:left w:val="single" w:sz="12" w:space="0" w:color="000000"/>
              <w:bottom w:val="single" w:sz="4" w:space="0" w:color="000000"/>
              <w:right w:val="single" w:sz="12" w:space="0" w:color="000000"/>
            </w:tcBorders>
          </w:tcPr>
          <w:p w14:paraId="534FD1A6" w14:textId="191C4D8F" w:rsidR="00014B37" w:rsidRDefault="00014B37" w:rsidP="00CE1A8B">
            <w:pPr>
              <w:spacing w:after="0" w:line="259" w:lineRule="auto"/>
              <w:ind w:left="0" w:right="53" w:firstLine="0"/>
              <w:jc w:val="center"/>
            </w:pPr>
            <w:r>
              <w:rPr>
                <w:sz w:val="18"/>
              </w:rPr>
              <w:t>ug/L</w:t>
            </w:r>
          </w:p>
        </w:tc>
        <w:tc>
          <w:tcPr>
            <w:tcW w:w="810" w:type="dxa"/>
            <w:tcBorders>
              <w:top w:val="single" w:sz="4" w:space="0" w:color="000000"/>
              <w:left w:val="single" w:sz="12" w:space="0" w:color="000000"/>
              <w:bottom w:val="single" w:sz="4" w:space="0" w:color="000000"/>
              <w:right w:val="single" w:sz="12" w:space="0" w:color="000000"/>
            </w:tcBorders>
          </w:tcPr>
          <w:p w14:paraId="382AA100" w14:textId="2B3E923B" w:rsidR="00014B37" w:rsidRDefault="00014B37" w:rsidP="00CE1A8B">
            <w:pPr>
              <w:tabs>
                <w:tab w:val="right" w:pos="717"/>
              </w:tabs>
              <w:spacing w:after="0" w:line="259" w:lineRule="auto"/>
              <w:ind w:left="0" w:right="0" w:firstLine="0"/>
              <w:jc w:val="center"/>
            </w:pPr>
            <w:r>
              <w:rPr>
                <w:sz w:val="18"/>
              </w:rPr>
              <w:t>5</w:t>
            </w:r>
          </w:p>
        </w:tc>
        <w:tc>
          <w:tcPr>
            <w:tcW w:w="793" w:type="dxa"/>
            <w:tcBorders>
              <w:top w:val="single" w:sz="4" w:space="0" w:color="000000"/>
              <w:left w:val="single" w:sz="12" w:space="0" w:color="000000"/>
              <w:bottom w:val="single" w:sz="4" w:space="0" w:color="000000"/>
              <w:right w:val="single" w:sz="12" w:space="0" w:color="000000"/>
            </w:tcBorders>
          </w:tcPr>
          <w:p w14:paraId="566F52B8" w14:textId="6DD815ED" w:rsidR="00014B37" w:rsidRDefault="00014B37" w:rsidP="00CE1A8B">
            <w:pPr>
              <w:spacing w:after="0" w:line="259" w:lineRule="auto"/>
              <w:ind w:left="0" w:right="51" w:firstLine="0"/>
              <w:jc w:val="center"/>
            </w:pPr>
            <w:r>
              <w:rPr>
                <w:rFonts w:eastAsia="Segoe UI Symbol"/>
                <w:sz w:val="18"/>
              </w:rPr>
              <w:t>u</w:t>
            </w:r>
            <w:r>
              <w:rPr>
                <w:sz w:val="18"/>
              </w:rPr>
              <w:t>g/kg</w:t>
            </w:r>
          </w:p>
        </w:tc>
        <w:tc>
          <w:tcPr>
            <w:tcW w:w="642" w:type="dxa"/>
            <w:tcBorders>
              <w:top w:val="single" w:sz="4" w:space="0" w:color="000000"/>
              <w:left w:val="single" w:sz="12" w:space="0" w:color="000000"/>
              <w:bottom w:val="single" w:sz="4" w:space="0" w:color="000000"/>
              <w:right w:val="single" w:sz="12" w:space="0" w:color="000000"/>
            </w:tcBorders>
          </w:tcPr>
          <w:p w14:paraId="07C52EE5" w14:textId="15CE2108" w:rsidR="00014B37" w:rsidRDefault="00014B37" w:rsidP="00CE1A8B">
            <w:pPr>
              <w:spacing w:after="0" w:line="259" w:lineRule="auto"/>
              <w:ind w:left="0" w:right="49" w:firstLine="0"/>
              <w:jc w:val="center"/>
            </w:pPr>
            <w:r>
              <w:rPr>
                <w:sz w:val="18"/>
              </w:rPr>
              <w:t>X</w:t>
            </w:r>
          </w:p>
        </w:tc>
        <w:tc>
          <w:tcPr>
            <w:tcW w:w="450" w:type="dxa"/>
            <w:tcBorders>
              <w:top w:val="single" w:sz="4" w:space="0" w:color="000000"/>
              <w:left w:val="single" w:sz="12" w:space="0" w:color="000000"/>
              <w:bottom w:val="single" w:sz="4" w:space="0" w:color="000000"/>
              <w:right w:val="single" w:sz="12" w:space="0" w:color="000000"/>
            </w:tcBorders>
          </w:tcPr>
          <w:p w14:paraId="32A4B6B2" w14:textId="1FD5F42B" w:rsidR="00014B37" w:rsidRDefault="00014B37" w:rsidP="00CE1A8B">
            <w:pPr>
              <w:spacing w:after="0" w:line="259" w:lineRule="auto"/>
              <w:ind w:left="0" w:right="5" w:firstLine="0"/>
              <w:jc w:val="center"/>
            </w:pPr>
          </w:p>
        </w:tc>
        <w:tc>
          <w:tcPr>
            <w:tcW w:w="900" w:type="dxa"/>
            <w:tcBorders>
              <w:top w:val="single" w:sz="4" w:space="0" w:color="000000"/>
              <w:left w:val="single" w:sz="12" w:space="0" w:color="000000"/>
              <w:bottom w:val="single" w:sz="4" w:space="0" w:color="000000"/>
              <w:right w:val="single" w:sz="12" w:space="0" w:color="000000"/>
            </w:tcBorders>
          </w:tcPr>
          <w:p w14:paraId="7401AAA5" w14:textId="6E04DB4D" w:rsidR="00014B37" w:rsidRDefault="00014B37" w:rsidP="00CE1A8B">
            <w:pPr>
              <w:spacing w:after="0" w:line="259" w:lineRule="auto"/>
              <w:ind w:left="0" w:right="52" w:firstLine="0"/>
              <w:jc w:val="center"/>
            </w:pPr>
            <w:r>
              <w:rPr>
                <w:sz w:val="18"/>
              </w:rPr>
              <w:t>X</w:t>
            </w:r>
          </w:p>
        </w:tc>
        <w:tc>
          <w:tcPr>
            <w:tcW w:w="900" w:type="dxa"/>
            <w:tcBorders>
              <w:top w:val="single" w:sz="4" w:space="0" w:color="000000"/>
              <w:left w:val="single" w:sz="12" w:space="0" w:color="000000"/>
              <w:bottom w:val="single" w:sz="4" w:space="0" w:color="000000"/>
              <w:right w:val="single" w:sz="12" w:space="0" w:color="000000"/>
            </w:tcBorders>
            <w:vAlign w:val="center"/>
          </w:tcPr>
          <w:p w14:paraId="7EFC6FED" w14:textId="4B5E1654" w:rsidR="00014B37" w:rsidRDefault="00014B37" w:rsidP="00724AC2">
            <w:pPr>
              <w:spacing w:after="0" w:line="259" w:lineRule="auto"/>
              <w:ind w:left="38" w:right="0" w:firstLine="0"/>
              <w:jc w:val="center"/>
            </w:pPr>
            <w:r>
              <w:rPr>
                <w:sz w:val="18"/>
              </w:rPr>
              <w:t>8260</w:t>
            </w:r>
          </w:p>
        </w:tc>
        <w:tc>
          <w:tcPr>
            <w:tcW w:w="720" w:type="dxa"/>
            <w:tcBorders>
              <w:top w:val="single" w:sz="4" w:space="0" w:color="000000"/>
              <w:left w:val="single" w:sz="12" w:space="0" w:color="000000"/>
              <w:bottom w:val="single" w:sz="4" w:space="0" w:color="000000"/>
              <w:right w:val="single" w:sz="12" w:space="0" w:color="000000"/>
            </w:tcBorders>
            <w:vAlign w:val="center"/>
          </w:tcPr>
          <w:p w14:paraId="355EDE32" w14:textId="738B6A02" w:rsidR="00014B37" w:rsidRDefault="00014B37" w:rsidP="00724AC2">
            <w:pPr>
              <w:spacing w:after="0" w:line="259" w:lineRule="auto"/>
              <w:ind w:left="0" w:right="0" w:firstLine="0"/>
              <w:jc w:val="center"/>
            </w:pPr>
            <w:r>
              <w:rPr>
                <w:sz w:val="18"/>
              </w:rPr>
              <w:t>8021</w:t>
            </w:r>
          </w:p>
        </w:tc>
      </w:tr>
      <w:tr w:rsidR="00014B37" w14:paraId="051ED0C3" w14:textId="77777777" w:rsidTr="005B6604">
        <w:trPr>
          <w:trHeight w:val="245"/>
        </w:trPr>
        <w:tc>
          <w:tcPr>
            <w:tcW w:w="2948" w:type="dxa"/>
            <w:tcBorders>
              <w:top w:val="single" w:sz="4" w:space="0" w:color="000000"/>
              <w:left w:val="single" w:sz="12" w:space="0" w:color="000000"/>
              <w:bottom w:val="single" w:sz="4" w:space="0" w:color="000000"/>
              <w:right w:val="single" w:sz="12" w:space="0" w:color="000000"/>
            </w:tcBorders>
          </w:tcPr>
          <w:p w14:paraId="07035F25" w14:textId="77777777" w:rsidR="00014B37" w:rsidRDefault="00014B37" w:rsidP="00014B37">
            <w:pPr>
              <w:spacing w:after="0" w:line="259" w:lineRule="auto"/>
              <w:ind w:left="0" w:right="0" w:firstLine="0"/>
            </w:pPr>
            <w:r>
              <w:rPr>
                <w:sz w:val="18"/>
              </w:rPr>
              <w:t xml:space="preserve">2,2-Dichloropropane </w:t>
            </w:r>
          </w:p>
        </w:tc>
        <w:tc>
          <w:tcPr>
            <w:tcW w:w="964" w:type="dxa"/>
            <w:tcBorders>
              <w:top w:val="single" w:sz="4" w:space="0" w:color="000000"/>
              <w:left w:val="single" w:sz="12" w:space="0" w:color="000000"/>
              <w:bottom w:val="single" w:sz="4" w:space="0" w:color="000000"/>
              <w:right w:val="single" w:sz="12" w:space="0" w:color="000000"/>
            </w:tcBorders>
          </w:tcPr>
          <w:p w14:paraId="2765D4A7" w14:textId="466EB23B" w:rsidR="00014B37" w:rsidRDefault="00014B37" w:rsidP="006727F9">
            <w:pPr>
              <w:spacing w:after="0" w:line="259" w:lineRule="auto"/>
              <w:ind w:left="0" w:right="49" w:firstLine="0"/>
              <w:jc w:val="center"/>
            </w:pPr>
            <w:r>
              <w:rPr>
                <w:sz w:val="18"/>
              </w:rPr>
              <w:t>590-20-7</w:t>
            </w:r>
          </w:p>
        </w:tc>
        <w:tc>
          <w:tcPr>
            <w:tcW w:w="623" w:type="dxa"/>
            <w:tcBorders>
              <w:top w:val="single" w:sz="4" w:space="0" w:color="000000"/>
              <w:left w:val="single" w:sz="12" w:space="0" w:color="000000"/>
              <w:bottom w:val="single" w:sz="4" w:space="0" w:color="000000"/>
              <w:right w:val="single" w:sz="12" w:space="0" w:color="000000"/>
            </w:tcBorders>
          </w:tcPr>
          <w:p w14:paraId="089BC5B7" w14:textId="1A7CA818" w:rsidR="00014B37" w:rsidRDefault="00014B37" w:rsidP="00CE1A8B">
            <w:pPr>
              <w:tabs>
                <w:tab w:val="right" w:pos="535"/>
              </w:tabs>
              <w:spacing w:after="0" w:line="259" w:lineRule="auto"/>
              <w:ind w:left="0" w:right="0" w:firstLine="0"/>
              <w:jc w:val="center"/>
            </w:pPr>
            <w:r>
              <w:rPr>
                <w:sz w:val="18"/>
              </w:rPr>
              <w:t>5</w:t>
            </w:r>
          </w:p>
        </w:tc>
        <w:tc>
          <w:tcPr>
            <w:tcW w:w="870" w:type="dxa"/>
            <w:tcBorders>
              <w:top w:val="single" w:sz="4" w:space="0" w:color="000000"/>
              <w:left w:val="single" w:sz="12" w:space="0" w:color="000000"/>
              <w:bottom w:val="single" w:sz="4" w:space="0" w:color="000000"/>
              <w:right w:val="single" w:sz="12" w:space="0" w:color="000000"/>
            </w:tcBorders>
          </w:tcPr>
          <w:p w14:paraId="5AFCB60D" w14:textId="1FB863AB" w:rsidR="00014B37" w:rsidRDefault="00014B37" w:rsidP="00CE1A8B">
            <w:pPr>
              <w:spacing w:after="0" w:line="259" w:lineRule="auto"/>
              <w:ind w:left="0" w:right="53" w:firstLine="0"/>
              <w:jc w:val="center"/>
            </w:pPr>
            <w:r>
              <w:rPr>
                <w:sz w:val="18"/>
              </w:rPr>
              <w:t>ug/L</w:t>
            </w:r>
          </w:p>
        </w:tc>
        <w:tc>
          <w:tcPr>
            <w:tcW w:w="810" w:type="dxa"/>
            <w:tcBorders>
              <w:top w:val="single" w:sz="4" w:space="0" w:color="000000"/>
              <w:left w:val="single" w:sz="12" w:space="0" w:color="000000"/>
              <w:bottom w:val="single" w:sz="4" w:space="0" w:color="000000"/>
              <w:right w:val="single" w:sz="12" w:space="0" w:color="000000"/>
            </w:tcBorders>
          </w:tcPr>
          <w:p w14:paraId="2BE0EFE2" w14:textId="3B495F36" w:rsidR="00014B37" w:rsidRDefault="00014B37" w:rsidP="00CE1A8B">
            <w:pPr>
              <w:tabs>
                <w:tab w:val="right" w:pos="717"/>
              </w:tabs>
              <w:spacing w:after="0" w:line="259" w:lineRule="auto"/>
              <w:ind w:left="0" w:right="0" w:firstLine="0"/>
              <w:jc w:val="center"/>
            </w:pPr>
            <w:r>
              <w:rPr>
                <w:sz w:val="18"/>
              </w:rPr>
              <w:t>5</w:t>
            </w:r>
          </w:p>
        </w:tc>
        <w:tc>
          <w:tcPr>
            <w:tcW w:w="793" w:type="dxa"/>
            <w:tcBorders>
              <w:top w:val="single" w:sz="4" w:space="0" w:color="000000"/>
              <w:left w:val="single" w:sz="12" w:space="0" w:color="000000"/>
              <w:bottom w:val="single" w:sz="4" w:space="0" w:color="000000"/>
              <w:right w:val="single" w:sz="12" w:space="0" w:color="000000"/>
            </w:tcBorders>
          </w:tcPr>
          <w:p w14:paraId="6F5F7ECD" w14:textId="7FD44F9D" w:rsidR="00014B37" w:rsidRDefault="00014B37" w:rsidP="00CE1A8B">
            <w:pPr>
              <w:spacing w:after="0" w:line="259" w:lineRule="auto"/>
              <w:ind w:left="0" w:right="51" w:firstLine="0"/>
              <w:jc w:val="center"/>
            </w:pPr>
            <w:r>
              <w:rPr>
                <w:rFonts w:eastAsia="Segoe UI Symbol"/>
                <w:sz w:val="18"/>
              </w:rPr>
              <w:t>u</w:t>
            </w:r>
            <w:r>
              <w:rPr>
                <w:sz w:val="18"/>
              </w:rPr>
              <w:t>g/kg</w:t>
            </w:r>
          </w:p>
        </w:tc>
        <w:tc>
          <w:tcPr>
            <w:tcW w:w="642" w:type="dxa"/>
            <w:tcBorders>
              <w:top w:val="single" w:sz="4" w:space="0" w:color="000000"/>
              <w:left w:val="single" w:sz="12" w:space="0" w:color="000000"/>
              <w:bottom w:val="single" w:sz="4" w:space="0" w:color="000000"/>
              <w:right w:val="single" w:sz="12" w:space="0" w:color="000000"/>
            </w:tcBorders>
          </w:tcPr>
          <w:p w14:paraId="3D90662D" w14:textId="0EFF3898" w:rsidR="00014B37" w:rsidRDefault="00014B37" w:rsidP="00CE1A8B">
            <w:pPr>
              <w:spacing w:after="0" w:line="259" w:lineRule="auto"/>
              <w:ind w:left="0" w:right="49" w:firstLine="0"/>
              <w:jc w:val="center"/>
            </w:pPr>
            <w:r>
              <w:rPr>
                <w:sz w:val="18"/>
              </w:rPr>
              <w:t>X</w:t>
            </w:r>
          </w:p>
        </w:tc>
        <w:tc>
          <w:tcPr>
            <w:tcW w:w="450" w:type="dxa"/>
            <w:tcBorders>
              <w:top w:val="single" w:sz="4" w:space="0" w:color="000000"/>
              <w:left w:val="single" w:sz="12" w:space="0" w:color="000000"/>
              <w:bottom w:val="single" w:sz="4" w:space="0" w:color="000000"/>
              <w:right w:val="single" w:sz="12" w:space="0" w:color="000000"/>
            </w:tcBorders>
          </w:tcPr>
          <w:p w14:paraId="67AC8ECF" w14:textId="702ACAC0" w:rsidR="00014B37" w:rsidRDefault="00014B37" w:rsidP="00CE1A8B">
            <w:pPr>
              <w:spacing w:after="0" w:line="259" w:lineRule="auto"/>
              <w:ind w:left="0" w:right="5" w:firstLine="0"/>
              <w:jc w:val="center"/>
            </w:pPr>
          </w:p>
        </w:tc>
        <w:tc>
          <w:tcPr>
            <w:tcW w:w="900" w:type="dxa"/>
            <w:tcBorders>
              <w:top w:val="single" w:sz="4" w:space="0" w:color="000000"/>
              <w:left w:val="single" w:sz="12" w:space="0" w:color="000000"/>
              <w:bottom w:val="single" w:sz="4" w:space="0" w:color="000000"/>
              <w:right w:val="single" w:sz="12" w:space="0" w:color="000000"/>
            </w:tcBorders>
          </w:tcPr>
          <w:p w14:paraId="61EF7975" w14:textId="34B1160C" w:rsidR="00014B37" w:rsidRDefault="00014B37" w:rsidP="00CE1A8B">
            <w:pPr>
              <w:spacing w:after="0" w:line="259" w:lineRule="auto"/>
              <w:ind w:left="0" w:right="52" w:firstLine="0"/>
              <w:jc w:val="center"/>
            </w:pPr>
            <w:r>
              <w:rPr>
                <w:sz w:val="18"/>
              </w:rPr>
              <w:t>X</w:t>
            </w:r>
          </w:p>
        </w:tc>
        <w:tc>
          <w:tcPr>
            <w:tcW w:w="900" w:type="dxa"/>
            <w:tcBorders>
              <w:top w:val="single" w:sz="4" w:space="0" w:color="000000"/>
              <w:left w:val="single" w:sz="12" w:space="0" w:color="000000"/>
              <w:bottom w:val="single" w:sz="4" w:space="0" w:color="000000"/>
              <w:right w:val="single" w:sz="12" w:space="0" w:color="000000"/>
            </w:tcBorders>
            <w:vAlign w:val="center"/>
          </w:tcPr>
          <w:p w14:paraId="3B136AAD" w14:textId="08A78C3A" w:rsidR="00014B37" w:rsidRDefault="00014B37" w:rsidP="00724AC2">
            <w:pPr>
              <w:spacing w:after="0" w:line="259" w:lineRule="auto"/>
              <w:ind w:left="38" w:right="0" w:firstLine="0"/>
              <w:jc w:val="center"/>
            </w:pPr>
            <w:r>
              <w:rPr>
                <w:sz w:val="18"/>
              </w:rPr>
              <w:t>8260</w:t>
            </w:r>
          </w:p>
        </w:tc>
        <w:tc>
          <w:tcPr>
            <w:tcW w:w="720" w:type="dxa"/>
            <w:tcBorders>
              <w:top w:val="single" w:sz="4" w:space="0" w:color="000000"/>
              <w:left w:val="single" w:sz="12" w:space="0" w:color="000000"/>
              <w:bottom w:val="single" w:sz="4" w:space="0" w:color="000000"/>
              <w:right w:val="single" w:sz="12" w:space="0" w:color="000000"/>
            </w:tcBorders>
            <w:vAlign w:val="center"/>
          </w:tcPr>
          <w:p w14:paraId="72F03B46" w14:textId="1EBB3396" w:rsidR="00014B37" w:rsidRDefault="00014B37" w:rsidP="00724AC2">
            <w:pPr>
              <w:spacing w:after="0" w:line="259" w:lineRule="auto"/>
              <w:ind w:left="0" w:right="0" w:firstLine="0"/>
              <w:jc w:val="center"/>
            </w:pPr>
            <w:r>
              <w:rPr>
                <w:sz w:val="18"/>
              </w:rPr>
              <w:t>8021</w:t>
            </w:r>
          </w:p>
        </w:tc>
      </w:tr>
      <w:tr w:rsidR="00014B37" w14:paraId="03CA5199" w14:textId="77777777" w:rsidTr="005B6604">
        <w:trPr>
          <w:trHeight w:val="245"/>
        </w:trPr>
        <w:tc>
          <w:tcPr>
            <w:tcW w:w="2948" w:type="dxa"/>
            <w:tcBorders>
              <w:top w:val="single" w:sz="4" w:space="0" w:color="000000"/>
              <w:left w:val="single" w:sz="12" w:space="0" w:color="000000"/>
              <w:bottom w:val="single" w:sz="4" w:space="0" w:color="000000"/>
              <w:right w:val="single" w:sz="12" w:space="0" w:color="000000"/>
            </w:tcBorders>
          </w:tcPr>
          <w:p w14:paraId="0A3B84B6" w14:textId="77777777" w:rsidR="00014B37" w:rsidRDefault="00014B37" w:rsidP="00014B37">
            <w:pPr>
              <w:spacing w:after="0" w:line="259" w:lineRule="auto"/>
              <w:ind w:left="0" w:right="0" w:firstLine="0"/>
            </w:pPr>
            <w:r>
              <w:rPr>
                <w:sz w:val="18"/>
              </w:rPr>
              <w:t xml:space="preserve">1,3-Dichloro-2-propanol </w:t>
            </w:r>
          </w:p>
        </w:tc>
        <w:tc>
          <w:tcPr>
            <w:tcW w:w="964" w:type="dxa"/>
            <w:tcBorders>
              <w:top w:val="single" w:sz="4" w:space="0" w:color="000000"/>
              <w:left w:val="single" w:sz="12" w:space="0" w:color="000000"/>
              <w:bottom w:val="single" w:sz="4" w:space="0" w:color="000000"/>
              <w:right w:val="single" w:sz="12" w:space="0" w:color="000000"/>
            </w:tcBorders>
          </w:tcPr>
          <w:p w14:paraId="285EF29D" w14:textId="0EB6C2E8" w:rsidR="00014B37" w:rsidRDefault="00014B37" w:rsidP="006727F9">
            <w:pPr>
              <w:spacing w:after="0" w:line="259" w:lineRule="auto"/>
              <w:ind w:left="0" w:right="49" w:firstLine="0"/>
              <w:jc w:val="center"/>
            </w:pPr>
            <w:r>
              <w:rPr>
                <w:sz w:val="18"/>
              </w:rPr>
              <w:t>96-23-1</w:t>
            </w:r>
          </w:p>
        </w:tc>
        <w:tc>
          <w:tcPr>
            <w:tcW w:w="623" w:type="dxa"/>
            <w:tcBorders>
              <w:top w:val="single" w:sz="4" w:space="0" w:color="000000"/>
              <w:left w:val="single" w:sz="12" w:space="0" w:color="000000"/>
              <w:bottom w:val="single" w:sz="4" w:space="0" w:color="000000"/>
              <w:right w:val="single" w:sz="12" w:space="0" w:color="000000"/>
            </w:tcBorders>
          </w:tcPr>
          <w:p w14:paraId="5D8E4939" w14:textId="08D660D4" w:rsidR="00014B37" w:rsidRDefault="00014B37" w:rsidP="00CE1A8B">
            <w:pPr>
              <w:tabs>
                <w:tab w:val="right" w:pos="535"/>
              </w:tabs>
              <w:spacing w:after="0" w:line="259" w:lineRule="auto"/>
              <w:ind w:left="0" w:right="0" w:firstLine="0"/>
              <w:jc w:val="center"/>
            </w:pPr>
            <w:r>
              <w:rPr>
                <w:sz w:val="18"/>
              </w:rPr>
              <w:t>50</w:t>
            </w:r>
          </w:p>
        </w:tc>
        <w:tc>
          <w:tcPr>
            <w:tcW w:w="870" w:type="dxa"/>
            <w:tcBorders>
              <w:top w:val="single" w:sz="4" w:space="0" w:color="000000"/>
              <w:left w:val="single" w:sz="12" w:space="0" w:color="000000"/>
              <w:bottom w:val="single" w:sz="4" w:space="0" w:color="000000"/>
              <w:right w:val="single" w:sz="12" w:space="0" w:color="000000"/>
            </w:tcBorders>
          </w:tcPr>
          <w:p w14:paraId="369C07E5" w14:textId="146007B7" w:rsidR="00014B37" w:rsidRDefault="00014B37" w:rsidP="00CE1A8B">
            <w:pPr>
              <w:spacing w:after="0" w:line="259" w:lineRule="auto"/>
              <w:ind w:left="0" w:right="53" w:firstLine="0"/>
              <w:jc w:val="center"/>
            </w:pPr>
            <w:r>
              <w:rPr>
                <w:sz w:val="18"/>
              </w:rPr>
              <w:t>ug/L</w:t>
            </w:r>
          </w:p>
        </w:tc>
        <w:tc>
          <w:tcPr>
            <w:tcW w:w="810" w:type="dxa"/>
            <w:tcBorders>
              <w:top w:val="single" w:sz="4" w:space="0" w:color="000000"/>
              <w:left w:val="single" w:sz="12" w:space="0" w:color="000000"/>
              <w:bottom w:val="single" w:sz="4" w:space="0" w:color="000000"/>
              <w:right w:val="single" w:sz="12" w:space="0" w:color="000000"/>
            </w:tcBorders>
          </w:tcPr>
          <w:p w14:paraId="1AE79D28" w14:textId="234D6010" w:rsidR="00014B37" w:rsidRDefault="00014B37" w:rsidP="00CE1A8B">
            <w:pPr>
              <w:tabs>
                <w:tab w:val="right" w:pos="717"/>
              </w:tabs>
              <w:spacing w:after="0" w:line="259" w:lineRule="auto"/>
              <w:ind w:left="0" w:right="0" w:firstLine="0"/>
              <w:jc w:val="center"/>
            </w:pPr>
            <w:r>
              <w:rPr>
                <w:sz w:val="18"/>
              </w:rPr>
              <w:t>50</w:t>
            </w:r>
          </w:p>
        </w:tc>
        <w:tc>
          <w:tcPr>
            <w:tcW w:w="793" w:type="dxa"/>
            <w:tcBorders>
              <w:top w:val="single" w:sz="4" w:space="0" w:color="000000"/>
              <w:left w:val="single" w:sz="12" w:space="0" w:color="000000"/>
              <w:bottom w:val="single" w:sz="4" w:space="0" w:color="000000"/>
              <w:right w:val="single" w:sz="12" w:space="0" w:color="000000"/>
            </w:tcBorders>
          </w:tcPr>
          <w:p w14:paraId="4284CD84" w14:textId="4314AB42" w:rsidR="00014B37" w:rsidRDefault="00014B37" w:rsidP="00CE1A8B">
            <w:pPr>
              <w:spacing w:after="0" w:line="259" w:lineRule="auto"/>
              <w:ind w:left="0" w:right="51" w:firstLine="0"/>
              <w:jc w:val="center"/>
            </w:pPr>
            <w:r>
              <w:rPr>
                <w:rFonts w:eastAsia="Segoe UI Symbol"/>
                <w:sz w:val="18"/>
              </w:rPr>
              <w:t>u</w:t>
            </w:r>
            <w:r>
              <w:rPr>
                <w:sz w:val="18"/>
              </w:rPr>
              <w:t>g/kg</w:t>
            </w:r>
          </w:p>
        </w:tc>
        <w:tc>
          <w:tcPr>
            <w:tcW w:w="642" w:type="dxa"/>
            <w:tcBorders>
              <w:top w:val="single" w:sz="4" w:space="0" w:color="000000"/>
              <w:left w:val="single" w:sz="12" w:space="0" w:color="000000"/>
              <w:bottom w:val="single" w:sz="4" w:space="0" w:color="000000"/>
              <w:right w:val="single" w:sz="12" w:space="0" w:color="000000"/>
            </w:tcBorders>
          </w:tcPr>
          <w:p w14:paraId="7BCD0D74" w14:textId="0AFACA29" w:rsidR="00014B37" w:rsidRDefault="00014B37" w:rsidP="00CE1A8B">
            <w:pPr>
              <w:spacing w:after="0" w:line="259" w:lineRule="auto"/>
              <w:ind w:left="0" w:right="49" w:firstLine="0"/>
              <w:jc w:val="center"/>
            </w:pPr>
            <w:r>
              <w:rPr>
                <w:sz w:val="18"/>
              </w:rPr>
              <w:t>X</w:t>
            </w:r>
          </w:p>
        </w:tc>
        <w:tc>
          <w:tcPr>
            <w:tcW w:w="450" w:type="dxa"/>
            <w:tcBorders>
              <w:top w:val="single" w:sz="4" w:space="0" w:color="000000"/>
              <w:left w:val="single" w:sz="12" w:space="0" w:color="000000"/>
              <w:bottom w:val="single" w:sz="4" w:space="0" w:color="000000"/>
              <w:right w:val="single" w:sz="12" w:space="0" w:color="000000"/>
            </w:tcBorders>
          </w:tcPr>
          <w:p w14:paraId="048A0671" w14:textId="522A4FCD" w:rsidR="00014B37" w:rsidRDefault="00014B37" w:rsidP="00CE1A8B">
            <w:pPr>
              <w:spacing w:after="0" w:line="259" w:lineRule="auto"/>
              <w:ind w:left="0" w:right="5" w:firstLine="0"/>
              <w:jc w:val="center"/>
            </w:pPr>
          </w:p>
        </w:tc>
        <w:tc>
          <w:tcPr>
            <w:tcW w:w="900" w:type="dxa"/>
            <w:tcBorders>
              <w:top w:val="single" w:sz="4" w:space="0" w:color="000000"/>
              <w:left w:val="single" w:sz="12" w:space="0" w:color="000000"/>
              <w:bottom w:val="single" w:sz="4" w:space="0" w:color="000000"/>
              <w:right w:val="single" w:sz="12" w:space="0" w:color="000000"/>
            </w:tcBorders>
          </w:tcPr>
          <w:p w14:paraId="3E25D4B9" w14:textId="3C443B32" w:rsidR="00014B37" w:rsidRDefault="00014B37" w:rsidP="00CE1A8B">
            <w:pPr>
              <w:spacing w:after="0" w:line="259" w:lineRule="auto"/>
              <w:ind w:left="0" w:right="7" w:firstLine="0"/>
              <w:jc w:val="center"/>
            </w:pPr>
          </w:p>
        </w:tc>
        <w:tc>
          <w:tcPr>
            <w:tcW w:w="900" w:type="dxa"/>
            <w:tcBorders>
              <w:top w:val="single" w:sz="4" w:space="0" w:color="000000"/>
              <w:left w:val="single" w:sz="12" w:space="0" w:color="000000"/>
              <w:bottom w:val="single" w:sz="4" w:space="0" w:color="000000"/>
              <w:right w:val="single" w:sz="12" w:space="0" w:color="000000"/>
            </w:tcBorders>
            <w:vAlign w:val="center"/>
          </w:tcPr>
          <w:p w14:paraId="4C5E9579" w14:textId="209FD132" w:rsidR="00014B37" w:rsidRDefault="00014B37" w:rsidP="00724AC2">
            <w:pPr>
              <w:spacing w:after="0" w:line="259" w:lineRule="auto"/>
              <w:ind w:left="38" w:right="0" w:firstLine="0"/>
              <w:jc w:val="center"/>
            </w:pPr>
            <w:r>
              <w:rPr>
                <w:sz w:val="18"/>
              </w:rPr>
              <w:t>8260</w:t>
            </w:r>
          </w:p>
        </w:tc>
        <w:tc>
          <w:tcPr>
            <w:tcW w:w="720" w:type="dxa"/>
            <w:tcBorders>
              <w:top w:val="single" w:sz="4" w:space="0" w:color="000000"/>
              <w:left w:val="single" w:sz="12" w:space="0" w:color="000000"/>
              <w:bottom w:val="single" w:sz="4" w:space="0" w:color="000000"/>
              <w:right w:val="single" w:sz="12" w:space="0" w:color="000000"/>
            </w:tcBorders>
            <w:vAlign w:val="center"/>
          </w:tcPr>
          <w:p w14:paraId="63991BBF" w14:textId="2E293173" w:rsidR="00014B37" w:rsidRDefault="00014B37" w:rsidP="00724AC2">
            <w:pPr>
              <w:spacing w:after="0" w:line="259" w:lineRule="auto"/>
              <w:ind w:left="0" w:right="0" w:firstLine="0"/>
              <w:jc w:val="center"/>
            </w:pPr>
            <w:r>
              <w:rPr>
                <w:sz w:val="18"/>
              </w:rPr>
              <w:t>8021</w:t>
            </w:r>
          </w:p>
        </w:tc>
      </w:tr>
      <w:tr w:rsidR="00014B37" w14:paraId="6C8F3255" w14:textId="77777777" w:rsidTr="005B6604">
        <w:trPr>
          <w:trHeight w:val="245"/>
        </w:trPr>
        <w:tc>
          <w:tcPr>
            <w:tcW w:w="2948" w:type="dxa"/>
            <w:tcBorders>
              <w:top w:val="single" w:sz="4" w:space="0" w:color="000000"/>
              <w:left w:val="single" w:sz="12" w:space="0" w:color="000000"/>
              <w:bottom w:val="single" w:sz="4" w:space="0" w:color="000000"/>
              <w:right w:val="single" w:sz="12" w:space="0" w:color="000000"/>
            </w:tcBorders>
          </w:tcPr>
          <w:p w14:paraId="03A8FA95" w14:textId="77777777" w:rsidR="00014B37" w:rsidRDefault="00014B37" w:rsidP="00014B37">
            <w:pPr>
              <w:spacing w:after="0" w:line="259" w:lineRule="auto"/>
              <w:ind w:left="0" w:right="0" w:firstLine="0"/>
            </w:pPr>
            <w:r>
              <w:rPr>
                <w:sz w:val="18"/>
              </w:rPr>
              <w:t xml:space="preserve">1,1-Dichloropropene </w:t>
            </w:r>
          </w:p>
        </w:tc>
        <w:tc>
          <w:tcPr>
            <w:tcW w:w="964" w:type="dxa"/>
            <w:tcBorders>
              <w:top w:val="single" w:sz="4" w:space="0" w:color="000000"/>
              <w:left w:val="single" w:sz="12" w:space="0" w:color="000000"/>
              <w:bottom w:val="single" w:sz="4" w:space="0" w:color="000000"/>
              <w:right w:val="single" w:sz="12" w:space="0" w:color="000000"/>
            </w:tcBorders>
          </w:tcPr>
          <w:p w14:paraId="04A1C8C0" w14:textId="7D5ACAC9" w:rsidR="00014B37" w:rsidRDefault="00014B37" w:rsidP="006727F9">
            <w:pPr>
              <w:spacing w:after="0" w:line="259" w:lineRule="auto"/>
              <w:ind w:left="0" w:right="49" w:firstLine="0"/>
              <w:jc w:val="center"/>
            </w:pPr>
            <w:r>
              <w:rPr>
                <w:sz w:val="18"/>
              </w:rPr>
              <w:t>563-58-6</w:t>
            </w:r>
          </w:p>
        </w:tc>
        <w:tc>
          <w:tcPr>
            <w:tcW w:w="623" w:type="dxa"/>
            <w:tcBorders>
              <w:top w:val="single" w:sz="4" w:space="0" w:color="000000"/>
              <w:left w:val="single" w:sz="12" w:space="0" w:color="000000"/>
              <w:bottom w:val="single" w:sz="4" w:space="0" w:color="000000"/>
              <w:right w:val="single" w:sz="12" w:space="0" w:color="000000"/>
            </w:tcBorders>
          </w:tcPr>
          <w:p w14:paraId="4D9F1E14" w14:textId="538523C7" w:rsidR="00014B37" w:rsidRDefault="00014B37" w:rsidP="00CE1A8B">
            <w:pPr>
              <w:tabs>
                <w:tab w:val="right" w:pos="535"/>
              </w:tabs>
              <w:spacing w:after="0" w:line="259" w:lineRule="auto"/>
              <w:ind w:left="0" w:right="0" w:firstLine="0"/>
              <w:jc w:val="center"/>
            </w:pPr>
            <w:r>
              <w:rPr>
                <w:sz w:val="18"/>
              </w:rPr>
              <w:t>5</w:t>
            </w:r>
          </w:p>
        </w:tc>
        <w:tc>
          <w:tcPr>
            <w:tcW w:w="870" w:type="dxa"/>
            <w:tcBorders>
              <w:top w:val="single" w:sz="4" w:space="0" w:color="000000"/>
              <w:left w:val="single" w:sz="12" w:space="0" w:color="000000"/>
              <w:bottom w:val="single" w:sz="4" w:space="0" w:color="000000"/>
              <w:right w:val="single" w:sz="12" w:space="0" w:color="000000"/>
            </w:tcBorders>
          </w:tcPr>
          <w:p w14:paraId="6C51C52C" w14:textId="1F228233" w:rsidR="00014B37" w:rsidRDefault="00014B37" w:rsidP="00CE1A8B">
            <w:pPr>
              <w:spacing w:after="0" w:line="259" w:lineRule="auto"/>
              <w:ind w:left="0" w:right="53" w:firstLine="0"/>
              <w:jc w:val="center"/>
            </w:pPr>
            <w:r>
              <w:rPr>
                <w:sz w:val="18"/>
              </w:rPr>
              <w:t>ug/L</w:t>
            </w:r>
          </w:p>
        </w:tc>
        <w:tc>
          <w:tcPr>
            <w:tcW w:w="810" w:type="dxa"/>
            <w:tcBorders>
              <w:top w:val="single" w:sz="4" w:space="0" w:color="000000"/>
              <w:left w:val="single" w:sz="12" w:space="0" w:color="000000"/>
              <w:bottom w:val="single" w:sz="4" w:space="0" w:color="000000"/>
              <w:right w:val="single" w:sz="12" w:space="0" w:color="000000"/>
            </w:tcBorders>
          </w:tcPr>
          <w:p w14:paraId="18061602" w14:textId="35BA63F5" w:rsidR="00014B37" w:rsidRDefault="00014B37" w:rsidP="00CE1A8B">
            <w:pPr>
              <w:tabs>
                <w:tab w:val="right" w:pos="717"/>
              </w:tabs>
              <w:spacing w:after="0" w:line="259" w:lineRule="auto"/>
              <w:ind w:left="0" w:right="0" w:firstLine="0"/>
              <w:jc w:val="center"/>
            </w:pPr>
            <w:r>
              <w:rPr>
                <w:sz w:val="18"/>
              </w:rPr>
              <w:t>5</w:t>
            </w:r>
          </w:p>
        </w:tc>
        <w:tc>
          <w:tcPr>
            <w:tcW w:w="793" w:type="dxa"/>
            <w:tcBorders>
              <w:top w:val="single" w:sz="4" w:space="0" w:color="000000"/>
              <w:left w:val="single" w:sz="12" w:space="0" w:color="000000"/>
              <w:bottom w:val="single" w:sz="4" w:space="0" w:color="000000"/>
              <w:right w:val="single" w:sz="12" w:space="0" w:color="000000"/>
            </w:tcBorders>
          </w:tcPr>
          <w:p w14:paraId="3C87094B" w14:textId="09E997B4" w:rsidR="00014B37" w:rsidRDefault="00014B37" w:rsidP="00CE1A8B">
            <w:pPr>
              <w:spacing w:after="0" w:line="259" w:lineRule="auto"/>
              <w:ind w:left="0" w:right="51" w:firstLine="0"/>
              <w:jc w:val="center"/>
            </w:pPr>
            <w:r>
              <w:rPr>
                <w:rFonts w:eastAsia="Segoe UI Symbol"/>
                <w:sz w:val="18"/>
              </w:rPr>
              <w:t>u</w:t>
            </w:r>
            <w:r>
              <w:rPr>
                <w:sz w:val="18"/>
              </w:rPr>
              <w:t>g/kg</w:t>
            </w:r>
          </w:p>
        </w:tc>
        <w:tc>
          <w:tcPr>
            <w:tcW w:w="642" w:type="dxa"/>
            <w:tcBorders>
              <w:top w:val="single" w:sz="4" w:space="0" w:color="000000"/>
              <w:left w:val="single" w:sz="12" w:space="0" w:color="000000"/>
              <w:bottom w:val="single" w:sz="4" w:space="0" w:color="000000"/>
              <w:right w:val="single" w:sz="12" w:space="0" w:color="000000"/>
            </w:tcBorders>
          </w:tcPr>
          <w:p w14:paraId="237C4F6D" w14:textId="616D7834" w:rsidR="00014B37" w:rsidRDefault="00014B37" w:rsidP="00CE1A8B">
            <w:pPr>
              <w:spacing w:after="0" w:line="259" w:lineRule="auto"/>
              <w:ind w:left="0" w:right="49" w:firstLine="0"/>
              <w:jc w:val="center"/>
            </w:pPr>
            <w:r>
              <w:rPr>
                <w:sz w:val="18"/>
              </w:rPr>
              <w:t>X</w:t>
            </w:r>
          </w:p>
        </w:tc>
        <w:tc>
          <w:tcPr>
            <w:tcW w:w="450" w:type="dxa"/>
            <w:tcBorders>
              <w:top w:val="single" w:sz="4" w:space="0" w:color="000000"/>
              <w:left w:val="single" w:sz="12" w:space="0" w:color="000000"/>
              <w:bottom w:val="single" w:sz="4" w:space="0" w:color="000000"/>
              <w:right w:val="single" w:sz="12" w:space="0" w:color="000000"/>
            </w:tcBorders>
          </w:tcPr>
          <w:p w14:paraId="72FFBF84" w14:textId="3FA95C5A" w:rsidR="00014B37" w:rsidRDefault="00014B37" w:rsidP="00CE1A8B">
            <w:pPr>
              <w:spacing w:after="0" w:line="259" w:lineRule="auto"/>
              <w:ind w:left="0" w:right="5" w:firstLine="0"/>
              <w:jc w:val="center"/>
            </w:pPr>
          </w:p>
        </w:tc>
        <w:tc>
          <w:tcPr>
            <w:tcW w:w="900" w:type="dxa"/>
            <w:tcBorders>
              <w:top w:val="single" w:sz="4" w:space="0" w:color="000000"/>
              <w:left w:val="single" w:sz="12" w:space="0" w:color="000000"/>
              <w:bottom w:val="single" w:sz="4" w:space="0" w:color="000000"/>
              <w:right w:val="single" w:sz="12" w:space="0" w:color="000000"/>
            </w:tcBorders>
          </w:tcPr>
          <w:p w14:paraId="586330A0" w14:textId="5F48AD07" w:rsidR="00014B37" w:rsidRDefault="00014B37" w:rsidP="00CE1A8B">
            <w:pPr>
              <w:spacing w:after="0" w:line="259" w:lineRule="auto"/>
              <w:ind w:left="0" w:right="52" w:firstLine="0"/>
              <w:jc w:val="center"/>
            </w:pPr>
            <w:r>
              <w:rPr>
                <w:sz w:val="18"/>
              </w:rPr>
              <w:t>X</w:t>
            </w:r>
          </w:p>
        </w:tc>
        <w:tc>
          <w:tcPr>
            <w:tcW w:w="900" w:type="dxa"/>
            <w:tcBorders>
              <w:top w:val="single" w:sz="4" w:space="0" w:color="000000"/>
              <w:left w:val="single" w:sz="12" w:space="0" w:color="000000"/>
              <w:bottom w:val="single" w:sz="4" w:space="0" w:color="000000"/>
              <w:right w:val="single" w:sz="12" w:space="0" w:color="000000"/>
            </w:tcBorders>
            <w:vAlign w:val="center"/>
          </w:tcPr>
          <w:p w14:paraId="704D45C2" w14:textId="0222D890" w:rsidR="00014B37" w:rsidRDefault="00014B37" w:rsidP="00724AC2">
            <w:pPr>
              <w:spacing w:after="0" w:line="259" w:lineRule="auto"/>
              <w:ind w:left="38" w:right="0" w:firstLine="0"/>
              <w:jc w:val="center"/>
            </w:pPr>
            <w:r>
              <w:rPr>
                <w:sz w:val="18"/>
              </w:rPr>
              <w:t>8260</w:t>
            </w:r>
          </w:p>
        </w:tc>
        <w:tc>
          <w:tcPr>
            <w:tcW w:w="720" w:type="dxa"/>
            <w:tcBorders>
              <w:top w:val="single" w:sz="4" w:space="0" w:color="000000"/>
              <w:left w:val="single" w:sz="12" w:space="0" w:color="000000"/>
              <w:bottom w:val="single" w:sz="4" w:space="0" w:color="000000"/>
              <w:right w:val="single" w:sz="12" w:space="0" w:color="000000"/>
            </w:tcBorders>
            <w:vAlign w:val="center"/>
          </w:tcPr>
          <w:p w14:paraId="5F7A294C" w14:textId="0DDAB8D3" w:rsidR="00014B37" w:rsidRDefault="00014B37" w:rsidP="00724AC2">
            <w:pPr>
              <w:spacing w:after="0" w:line="259" w:lineRule="auto"/>
              <w:ind w:left="0" w:right="0" w:firstLine="0"/>
              <w:jc w:val="center"/>
            </w:pPr>
            <w:r>
              <w:rPr>
                <w:sz w:val="18"/>
              </w:rPr>
              <w:t>8021</w:t>
            </w:r>
          </w:p>
        </w:tc>
      </w:tr>
      <w:tr w:rsidR="00014B37" w14:paraId="67747B24" w14:textId="77777777" w:rsidTr="005B6604">
        <w:trPr>
          <w:trHeight w:val="245"/>
        </w:trPr>
        <w:tc>
          <w:tcPr>
            <w:tcW w:w="2948" w:type="dxa"/>
            <w:tcBorders>
              <w:top w:val="single" w:sz="4" w:space="0" w:color="000000"/>
              <w:left w:val="single" w:sz="12" w:space="0" w:color="000000"/>
              <w:bottom w:val="single" w:sz="4" w:space="0" w:color="000000"/>
              <w:right w:val="single" w:sz="12" w:space="0" w:color="000000"/>
            </w:tcBorders>
          </w:tcPr>
          <w:p w14:paraId="4C8ACC08" w14:textId="77777777" w:rsidR="00014B37" w:rsidRDefault="00014B37" w:rsidP="00014B37">
            <w:pPr>
              <w:spacing w:after="0" w:line="259" w:lineRule="auto"/>
              <w:ind w:left="0" w:right="0" w:firstLine="0"/>
            </w:pPr>
            <w:r>
              <w:rPr>
                <w:sz w:val="18"/>
              </w:rPr>
              <w:t xml:space="preserve">1,4-Dioxane </w:t>
            </w:r>
          </w:p>
        </w:tc>
        <w:tc>
          <w:tcPr>
            <w:tcW w:w="964" w:type="dxa"/>
            <w:tcBorders>
              <w:top w:val="single" w:sz="4" w:space="0" w:color="000000"/>
              <w:left w:val="single" w:sz="12" w:space="0" w:color="000000"/>
              <w:bottom w:val="single" w:sz="4" w:space="0" w:color="000000"/>
              <w:right w:val="single" w:sz="12" w:space="0" w:color="000000"/>
            </w:tcBorders>
          </w:tcPr>
          <w:p w14:paraId="03C23124" w14:textId="1AF12616" w:rsidR="00014B37" w:rsidRDefault="00014B37" w:rsidP="006727F9">
            <w:pPr>
              <w:spacing w:after="0" w:line="259" w:lineRule="auto"/>
              <w:ind w:left="0" w:right="49" w:firstLine="0"/>
              <w:jc w:val="center"/>
            </w:pPr>
            <w:r>
              <w:rPr>
                <w:sz w:val="18"/>
              </w:rPr>
              <w:t>123-91-1</w:t>
            </w:r>
          </w:p>
        </w:tc>
        <w:tc>
          <w:tcPr>
            <w:tcW w:w="623" w:type="dxa"/>
            <w:tcBorders>
              <w:top w:val="single" w:sz="4" w:space="0" w:color="000000"/>
              <w:left w:val="single" w:sz="12" w:space="0" w:color="000000"/>
              <w:bottom w:val="single" w:sz="4" w:space="0" w:color="000000"/>
              <w:right w:val="single" w:sz="12" w:space="0" w:color="000000"/>
            </w:tcBorders>
          </w:tcPr>
          <w:p w14:paraId="4BE3EA93" w14:textId="4A997F9A" w:rsidR="00014B37" w:rsidRPr="00034C3A" w:rsidRDefault="00014B37" w:rsidP="00CE1A8B">
            <w:pPr>
              <w:tabs>
                <w:tab w:val="right" w:pos="535"/>
              </w:tabs>
              <w:spacing w:after="0" w:line="259" w:lineRule="auto"/>
              <w:ind w:left="0" w:right="0" w:firstLine="0"/>
              <w:jc w:val="center"/>
              <w:rPr>
                <w:bCs/>
              </w:rPr>
            </w:pPr>
            <w:r w:rsidRPr="00CB2740">
              <w:rPr>
                <w:bCs/>
                <w:sz w:val="18"/>
              </w:rPr>
              <w:t>5</w:t>
            </w:r>
          </w:p>
        </w:tc>
        <w:tc>
          <w:tcPr>
            <w:tcW w:w="870" w:type="dxa"/>
            <w:tcBorders>
              <w:top w:val="single" w:sz="4" w:space="0" w:color="000000"/>
              <w:left w:val="single" w:sz="12" w:space="0" w:color="000000"/>
              <w:bottom w:val="single" w:sz="4" w:space="0" w:color="000000"/>
              <w:right w:val="single" w:sz="12" w:space="0" w:color="000000"/>
            </w:tcBorders>
          </w:tcPr>
          <w:p w14:paraId="01AAE199" w14:textId="304EE3A6" w:rsidR="00014B37" w:rsidRDefault="00014B37" w:rsidP="00CE1A8B">
            <w:pPr>
              <w:spacing w:after="0" w:line="259" w:lineRule="auto"/>
              <w:ind w:left="0" w:right="53" w:firstLine="0"/>
              <w:jc w:val="center"/>
            </w:pPr>
            <w:r>
              <w:rPr>
                <w:sz w:val="18"/>
              </w:rPr>
              <w:t>ug/L</w:t>
            </w:r>
          </w:p>
        </w:tc>
        <w:tc>
          <w:tcPr>
            <w:tcW w:w="810" w:type="dxa"/>
            <w:tcBorders>
              <w:top w:val="single" w:sz="4" w:space="0" w:color="000000"/>
              <w:left w:val="single" w:sz="12" w:space="0" w:color="000000"/>
              <w:bottom w:val="single" w:sz="4" w:space="0" w:color="000000"/>
              <w:right w:val="single" w:sz="12" w:space="0" w:color="000000"/>
            </w:tcBorders>
          </w:tcPr>
          <w:p w14:paraId="139D560B" w14:textId="7DC1095D" w:rsidR="00014B37" w:rsidRDefault="00014B37" w:rsidP="00CE1A8B">
            <w:pPr>
              <w:tabs>
                <w:tab w:val="right" w:pos="717"/>
              </w:tabs>
              <w:spacing w:after="0" w:line="259" w:lineRule="auto"/>
              <w:ind w:left="0" w:right="0" w:firstLine="0"/>
              <w:jc w:val="center"/>
            </w:pPr>
            <w:r>
              <w:rPr>
                <w:sz w:val="18"/>
              </w:rPr>
              <w:t>50</w:t>
            </w:r>
          </w:p>
        </w:tc>
        <w:tc>
          <w:tcPr>
            <w:tcW w:w="793" w:type="dxa"/>
            <w:tcBorders>
              <w:top w:val="single" w:sz="4" w:space="0" w:color="000000"/>
              <w:left w:val="single" w:sz="12" w:space="0" w:color="000000"/>
              <w:bottom w:val="single" w:sz="4" w:space="0" w:color="000000"/>
              <w:right w:val="single" w:sz="12" w:space="0" w:color="000000"/>
            </w:tcBorders>
          </w:tcPr>
          <w:p w14:paraId="15FAA4F7" w14:textId="5D801FFC" w:rsidR="00014B37" w:rsidRDefault="00014B37" w:rsidP="00CE1A8B">
            <w:pPr>
              <w:spacing w:after="0" w:line="259" w:lineRule="auto"/>
              <w:ind w:left="0" w:right="51" w:firstLine="0"/>
              <w:jc w:val="center"/>
            </w:pPr>
            <w:r>
              <w:rPr>
                <w:rFonts w:eastAsia="Segoe UI Symbol"/>
                <w:sz w:val="18"/>
              </w:rPr>
              <w:t>u</w:t>
            </w:r>
            <w:r>
              <w:rPr>
                <w:sz w:val="18"/>
              </w:rPr>
              <w:t>g/kg</w:t>
            </w:r>
          </w:p>
        </w:tc>
        <w:tc>
          <w:tcPr>
            <w:tcW w:w="642" w:type="dxa"/>
            <w:tcBorders>
              <w:top w:val="single" w:sz="4" w:space="0" w:color="000000"/>
              <w:left w:val="single" w:sz="12" w:space="0" w:color="000000"/>
              <w:bottom w:val="single" w:sz="4" w:space="0" w:color="000000"/>
              <w:right w:val="single" w:sz="12" w:space="0" w:color="000000"/>
            </w:tcBorders>
          </w:tcPr>
          <w:p w14:paraId="4B974E5A" w14:textId="1757E7BB" w:rsidR="00014B37" w:rsidRDefault="00014B37" w:rsidP="00CE1A8B">
            <w:pPr>
              <w:spacing w:after="0" w:line="259" w:lineRule="auto"/>
              <w:ind w:left="0" w:right="5" w:firstLine="0"/>
              <w:jc w:val="center"/>
            </w:pPr>
          </w:p>
        </w:tc>
        <w:tc>
          <w:tcPr>
            <w:tcW w:w="450" w:type="dxa"/>
            <w:tcBorders>
              <w:top w:val="single" w:sz="4" w:space="0" w:color="000000"/>
              <w:left w:val="single" w:sz="12" w:space="0" w:color="000000"/>
              <w:bottom w:val="single" w:sz="4" w:space="0" w:color="000000"/>
              <w:right w:val="single" w:sz="12" w:space="0" w:color="000000"/>
            </w:tcBorders>
          </w:tcPr>
          <w:p w14:paraId="06A5BC7F" w14:textId="2261BAF7" w:rsidR="00014B37" w:rsidRDefault="00014B37" w:rsidP="00CE1A8B">
            <w:pPr>
              <w:spacing w:after="0" w:line="259" w:lineRule="auto"/>
              <w:ind w:left="0" w:right="50" w:firstLine="0"/>
              <w:jc w:val="center"/>
            </w:pPr>
            <w:r>
              <w:rPr>
                <w:sz w:val="18"/>
              </w:rPr>
              <w:t>X</w:t>
            </w:r>
          </w:p>
        </w:tc>
        <w:tc>
          <w:tcPr>
            <w:tcW w:w="900" w:type="dxa"/>
            <w:tcBorders>
              <w:top w:val="single" w:sz="4" w:space="0" w:color="000000"/>
              <w:left w:val="single" w:sz="12" w:space="0" w:color="000000"/>
              <w:bottom w:val="single" w:sz="4" w:space="0" w:color="000000"/>
              <w:right w:val="single" w:sz="12" w:space="0" w:color="000000"/>
            </w:tcBorders>
          </w:tcPr>
          <w:p w14:paraId="1F3D19E6" w14:textId="1A4E5AE4" w:rsidR="00014B37" w:rsidRDefault="00014B37" w:rsidP="00CE1A8B">
            <w:pPr>
              <w:spacing w:after="0" w:line="259" w:lineRule="auto"/>
              <w:ind w:left="0" w:right="7" w:firstLine="0"/>
              <w:jc w:val="center"/>
            </w:pPr>
          </w:p>
        </w:tc>
        <w:tc>
          <w:tcPr>
            <w:tcW w:w="900" w:type="dxa"/>
            <w:tcBorders>
              <w:top w:val="single" w:sz="4" w:space="0" w:color="000000"/>
              <w:left w:val="single" w:sz="12" w:space="0" w:color="000000"/>
              <w:bottom w:val="single" w:sz="4" w:space="0" w:color="000000"/>
              <w:right w:val="single" w:sz="12" w:space="0" w:color="000000"/>
            </w:tcBorders>
            <w:vAlign w:val="center"/>
          </w:tcPr>
          <w:p w14:paraId="06174428" w14:textId="4B01A968" w:rsidR="00014B37" w:rsidRDefault="00014B37" w:rsidP="00724AC2">
            <w:pPr>
              <w:spacing w:after="0" w:line="259" w:lineRule="auto"/>
              <w:ind w:left="38" w:right="0" w:firstLine="0"/>
              <w:jc w:val="center"/>
            </w:pPr>
            <w:r>
              <w:rPr>
                <w:sz w:val="18"/>
              </w:rPr>
              <w:t>8260</w:t>
            </w:r>
          </w:p>
        </w:tc>
        <w:tc>
          <w:tcPr>
            <w:tcW w:w="720" w:type="dxa"/>
            <w:tcBorders>
              <w:top w:val="single" w:sz="4" w:space="0" w:color="000000"/>
              <w:left w:val="single" w:sz="12" w:space="0" w:color="000000"/>
              <w:bottom w:val="single" w:sz="4" w:space="0" w:color="000000"/>
              <w:right w:val="single" w:sz="12" w:space="0" w:color="000000"/>
            </w:tcBorders>
            <w:vAlign w:val="center"/>
          </w:tcPr>
          <w:p w14:paraId="459E5D77" w14:textId="19CCC6B0" w:rsidR="00014B37" w:rsidRDefault="00014B37" w:rsidP="00724AC2">
            <w:pPr>
              <w:spacing w:after="0" w:line="259" w:lineRule="auto"/>
              <w:ind w:left="0" w:right="0" w:firstLine="0"/>
              <w:jc w:val="center"/>
            </w:pPr>
            <w:r>
              <w:rPr>
                <w:sz w:val="18"/>
              </w:rPr>
              <w:t>8015</w:t>
            </w:r>
          </w:p>
        </w:tc>
      </w:tr>
      <w:tr w:rsidR="00014B37" w14:paraId="0714AE58" w14:textId="77777777" w:rsidTr="005B6604">
        <w:trPr>
          <w:trHeight w:val="245"/>
        </w:trPr>
        <w:tc>
          <w:tcPr>
            <w:tcW w:w="2948" w:type="dxa"/>
            <w:tcBorders>
              <w:top w:val="single" w:sz="4" w:space="0" w:color="000000"/>
              <w:left w:val="single" w:sz="12" w:space="0" w:color="000000"/>
              <w:bottom w:val="single" w:sz="4" w:space="0" w:color="000000"/>
              <w:right w:val="single" w:sz="12" w:space="0" w:color="000000"/>
            </w:tcBorders>
          </w:tcPr>
          <w:p w14:paraId="7AA4F6E8" w14:textId="77777777" w:rsidR="00014B37" w:rsidRDefault="00014B37" w:rsidP="00014B37">
            <w:pPr>
              <w:spacing w:after="0" w:line="259" w:lineRule="auto"/>
              <w:ind w:left="0" w:right="0" w:firstLine="0"/>
            </w:pPr>
            <w:r>
              <w:rPr>
                <w:sz w:val="18"/>
              </w:rPr>
              <w:t xml:space="preserve">Ethyl methacrylate </w:t>
            </w:r>
          </w:p>
        </w:tc>
        <w:tc>
          <w:tcPr>
            <w:tcW w:w="964" w:type="dxa"/>
            <w:tcBorders>
              <w:top w:val="single" w:sz="4" w:space="0" w:color="000000"/>
              <w:left w:val="single" w:sz="12" w:space="0" w:color="000000"/>
              <w:bottom w:val="single" w:sz="4" w:space="0" w:color="000000"/>
              <w:right w:val="single" w:sz="12" w:space="0" w:color="000000"/>
            </w:tcBorders>
          </w:tcPr>
          <w:p w14:paraId="25A11287" w14:textId="5FEF017D" w:rsidR="00014B37" w:rsidRDefault="00014B37" w:rsidP="006727F9">
            <w:pPr>
              <w:spacing w:after="0" w:line="259" w:lineRule="auto"/>
              <w:ind w:left="0" w:right="49" w:firstLine="0"/>
              <w:jc w:val="center"/>
            </w:pPr>
            <w:r>
              <w:rPr>
                <w:sz w:val="18"/>
              </w:rPr>
              <w:t>97-63-2</w:t>
            </w:r>
          </w:p>
        </w:tc>
        <w:tc>
          <w:tcPr>
            <w:tcW w:w="623" w:type="dxa"/>
            <w:tcBorders>
              <w:top w:val="single" w:sz="4" w:space="0" w:color="000000"/>
              <w:left w:val="single" w:sz="12" w:space="0" w:color="000000"/>
              <w:bottom w:val="single" w:sz="4" w:space="0" w:color="000000"/>
              <w:right w:val="single" w:sz="12" w:space="0" w:color="000000"/>
            </w:tcBorders>
          </w:tcPr>
          <w:p w14:paraId="2F507C6B" w14:textId="71912D7E" w:rsidR="00014B37" w:rsidRDefault="00014B37" w:rsidP="00CE1A8B">
            <w:pPr>
              <w:tabs>
                <w:tab w:val="right" w:pos="535"/>
              </w:tabs>
              <w:spacing w:after="0" w:line="259" w:lineRule="auto"/>
              <w:ind w:left="0" w:right="0" w:firstLine="0"/>
              <w:jc w:val="center"/>
            </w:pPr>
            <w:r>
              <w:rPr>
                <w:sz w:val="18"/>
              </w:rPr>
              <w:t>5</w:t>
            </w:r>
          </w:p>
        </w:tc>
        <w:tc>
          <w:tcPr>
            <w:tcW w:w="870" w:type="dxa"/>
            <w:tcBorders>
              <w:top w:val="single" w:sz="4" w:space="0" w:color="000000"/>
              <w:left w:val="single" w:sz="12" w:space="0" w:color="000000"/>
              <w:bottom w:val="single" w:sz="4" w:space="0" w:color="000000"/>
              <w:right w:val="single" w:sz="12" w:space="0" w:color="000000"/>
            </w:tcBorders>
          </w:tcPr>
          <w:p w14:paraId="3DC1D144" w14:textId="6F18F10C" w:rsidR="00014B37" w:rsidRDefault="00014B37" w:rsidP="00CE1A8B">
            <w:pPr>
              <w:spacing w:after="0" w:line="259" w:lineRule="auto"/>
              <w:ind w:left="0" w:right="53" w:firstLine="0"/>
              <w:jc w:val="center"/>
            </w:pPr>
            <w:r>
              <w:rPr>
                <w:sz w:val="18"/>
              </w:rPr>
              <w:t>ug/L</w:t>
            </w:r>
          </w:p>
        </w:tc>
        <w:tc>
          <w:tcPr>
            <w:tcW w:w="810" w:type="dxa"/>
            <w:tcBorders>
              <w:top w:val="single" w:sz="4" w:space="0" w:color="000000"/>
              <w:left w:val="single" w:sz="12" w:space="0" w:color="000000"/>
              <w:bottom w:val="single" w:sz="4" w:space="0" w:color="000000"/>
              <w:right w:val="single" w:sz="12" w:space="0" w:color="000000"/>
            </w:tcBorders>
          </w:tcPr>
          <w:p w14:paraId="4F85E09D" w14:textId="698B2C96" w:rsidR="00014B37" w:rsidRDefault="00014B37" w:rsidP="00CE1A8B">
            <w:pPr>
              <w:tabs>
                <w:tab w:val="right" w:pos="717"/>
              </w:tabs>
              <w:spacing w:after="0" w:line="259" w:lineRule="auto"/>
              <w:ind w:left="0" w:right="0" w:firstLine="0"/>
              <w:jc w:val="center"/>
            </w:pPr>
            <w:r>
              <w:rPr>
                <w:sz w:val="18"/>
              </w:rPr>
              <w:t>5</w:t>
            </w:r>
          </w:p>
        </w:tc>
        <w:tc>
          <w:tcPr>
            <w:tcW w:w="793" w:type="dxa"/>
            <w:tcBorders>
              <w:top w:val="single" w:sz="4" w:space="0" w:color="000000"/>
              <w:left w:val="single" w:sz="12" w:space="0" w:color="000000"/>
              <w:bottom w:val="single" w:sz="4" w:space="0" w:color="000000"/>
              <w:right w:val="single" w:sz="12" w:space="0" w:color="000000"/>
            </w:tcBorders>
          </w:tcPr>
          <w:p w14:paraId="5E06C8BD" w14:textId="2AE454FE" w:rsidR="00014B37" w:rsidRDefault="00014B37" w:rsidP="00CE1A8B">
            <w:pPr>
              <w:spacing w:after="0" w:line="259" w:lineRule="auto"/>
              <w:ind w:left="0" w:right="51" w:firstLine="0"/>
              <w:jc w:val="center"/>
            </w:pPr>
            <w:r>
              <w:rPr>
                <w:rFonts w:eastAsia="Segoe UI Symbol"/>
                <w:sz w:val="18"/>
              </w:rPr>
              <w:t>u</w:t>
            </w:r>
            <w:r>
              <w:rPr>
                <w:sz w:val="18"/>
              </w:rPr>
              <w:t>g/kg</w:t>
            </w:r>
          </w:p>
        </w:tc>
        <w:tc>
          <w:tcPr>
            <w:tcW w:w="642" w:type="dxa"/>
            <w:tcBorders>
              <w:top w:val="single" w:sz="4" w:space="0" w:color="000000"/>
              <w:left w:val="single" w:sz="12" w:space="0" w:color="000000"/>
              <w:bottom w:val="single" w:sz="4" w:space="0" w:color="000000"/>
              <w:right w:val="single" w:sz="12" w:space="0" w:color="000000"/>
            </w:tcBorders>
          </w:tcPr>
          <w:p w14:paraId="454FF578" w14:textId="149D6307" w:rsidR="00014B37" w:rsidRDefault="00014B37" w:rsidP="00CE1A8B">
            <w:pPr>
              <w:spacing w:after="0" w:line="259" w:lineRule="auto"/>
              <w:ind w:left="0" w:right="49" w:firstLine="0"/>
              <w:jc w:val="center"/>
            </w:pPr>
            <w:r>
              <w:rPr>
                <w:sz w:val="18"/>
              </w:rPr>
              <w:t>X</w:t>
            </w:r>
          </w:p>
        </w:tc>
        <w:tc>
          <w:tcPr>
            <w:tcW w:w="450" w:type="dxa"/>
            <w:tcBorders>
              <w:top w:val="single" w:sz="4" w:space="0" w:color="000000"/>
              <w:left w:val="single" w:sz="12" w:space="0" w:color="000000"/>
              <w:bottom w:val="single" w:sz="4" w:space="0" w:color="000000"/>
              <w:right w:val="single" w:sz="12" w:space="0" w:color="000000"/>
            </w:tcBorders>
          </w:tcPr>
          <w:p w14:paraId="2788CB45" w14:textId="74ECB358" w:rsidR="00014B37" w:rsidRDefault="00014B37" w:rsidP="00CE1A8B">
            <w:pPr>
              <w:spacing w:after="0" w:line="259" w:lineRule="auto"/>
              <w:ind w:left="0" w:right="50" w:firstLine="0"/>
              <w:jc w:val="center"/>
            </w:pPr>
            <w:r>
              <w:rPr>
                <w:sz w:val="18"/>
              </w:rPr>
              <w:t>X</w:t>
            </w:r>
          </w:p>
        </w:tc>
        <w:tc>
          <w:tcPr>
            <w:tcW w:w="900" w:type="dxa"/>
            <w:tcBorders>
              <w:top w:val="single" w:sz="4" w:space="0" w:color="000000"/>
              <w:left w:val="single" w:sz="12" w:space="0" w:color="000000"/>
              <w:bottom w:val="single" w:sz="4" w:space="0" w:color="000000"/>
              <w:right w:val="single" w:sz="12" w:space="0" w:color="000000"/>
            </w:tcBorders>
          </w:tcPr>
          <w:p w14:paraId="45EAE544" w14:textId="37A932D3" w:rsidR="00014B37" w:rsidRDefault="00014B37" w:rsidP="00CE1A8B">
            <w:pPr>
              <w:spacing w:after="0" w:line="259" w:lineRule="auto"/>
              <w:ind w:left="0" w:right="52" w:firstLine="0"/>
              <w:jc w:val="center"/>
            </w:pPr>
            <w:r>
              <w:rPr>
                <w:sz w:val="18"/>
              </w:rPr>
              <w:t>X</w:t>
            </w:r>
          </w:p>
        </w:tc>
        <w:tc>
          <w:tcPr>
            <w:tcW w:w="900" w:type="dxa"/>
            <w:tcBorders>
              <w:top w:val="single" w:sz="4" w:space="0" w:color="000000"/>
              <w:left w:val="single" w:sz="12" w:space="0" w:color="000000"/>
              <w:bottom w:val="single" w:sz="4" w:space="0" w:color="000000"/>
              <w:right w:val="single" w:sz="12" w:space="0" w:color="000000"/>
            </w:tcBorders>
            <w:vAlign w:val="center"/>
          </w:tcPr>
          <w:p w14:paraId="5F6A3B51" w14:textId="710FAC3B" w:rsidR="00014B37" w:rsidRDefault="00014B37" w:rsidP="00724AC2">
            <w:pPr>
              <w:spacing w:after="0" w:line="259" w:lineRule="auto"/>
              <w:ind w:left="38" w:right="0" w:firstLine="0"/>
              <w:jc w:val="center"/>
            </w:pPr>
            <w:r>
              <w:rPr>
                <w:sz w:val="18"/>
              </w:rPr>
              <w:t>8260</w:t>
            </w:r>
          </w:p>
        </w:tc>
        <w:tc>
          <w:tcPr>
            <w:tcW w:w="720" w:type="dxa"/>
            <w:tcBorders>
              <w:top w:val="single" w:sz="4" w:space="0" w:color="000000"/>
              <w:left w:val="single" w:sz="12" w:space="0" w:color="000000"/>
              <w:bottom w:val="single" w:sz="4" w:space="0" w:color="000000"/>
              <w:right w:val="single" w:sz="12" w:space="0" w:color="000000"/>
            </w:tcBorders>
            <w:vAlign w:val="center"/>
          </w:tcPr>
          <w:p w14:paraId="0972758F" w14:textId="014F3CA3" w:rsidR="00014B37" w:rsidRPr="009C59CE" w:rsidRDefault="00014B37" w:rsidP="00724AC2">
            <w:pPr>
              <w:spacing w:after="0" w:line="259" w:lineRule="auto"/>
              <w:ind w:left="0" w:right="0" w:firstLine="0"/>
              <w:jc w:val="center"/>
              <w:rPr>
                <w:iCs/>
              </w:rPr>
            </w:pPr>
          </w:p>
        </w:tc>
      </w:tr>
      <w:tr w:rsidR="00014B37" w14:paraId="089E53B0" w14:textId="77777777" w:rsidTr="005B6604">
        <w:trPr>
          <w:trHeight w:val="245"/>
        </w:trPr>
        <w:tc>
          <w:tcPr>
            <w:tcW w:w="2948" w:type="dxa"/>
            <w:tcBorders>
              <w:top w:val="single" w:sz="4" w:space="0" w:color="000000"/>
              <w:left w:val="single" w:sz="12" w:space="0" w:color="000000"/>
              <w:bottom w:val="single" w:sz="4" w:space="0" w:color="000000"/>
              <w:right w:val="single" w:sz="12" w:space="0" w:color="000000"/>
            </w:tcBorders>
          </w:tcPr>
          <w:p w14:paraId="3F710CB5" w14:textId="77777777" w:rsidR="00014B37" w:rsidRDefault="00014B37" w:rsidP="00014B37">
            <w:pPr>
              <w:spacing w:after="0" w:line="259" w:lineRule="auto"/>
              <w:ind w:left="0" w:right="0" w:firstLine="0"/>
            </w:pPr>
            <w:r>
              <w:rPr>
                <w:sz w:val="18"/>
              </w:rPr>
              <w:t xml:space="preserve">Iodomethane </w:t>
            </w:r>
          </w:p>
        </w:tc>
        <w:tc>
          <w:tcPr>
            <w:tcW w:w="964" w:type="dxa"/>
            <w:tcBorders>
              <w:top w:val="single" w:sz="4" w:space="0" w:color="000000"/>
              <w:left w:val="single" w:sz="12" w:space="0" w:color="000000"/>
              <w:bottom w:val="single" w:sz="4" w:space="0" w:color="000000"/>
              <w:right w:val="single" w:sz="12" w:space="0" w:color="000000"/>
            </w:tcBorders>
          </w:tcPr>
          <w:p w14:paraId="6F015212" w14:textId="57D5ED97" w:rsidR="00014B37" w:rsidRDefault="00014B37" w:rsidP="006727F9">
            <w:pPr>
              <w:spacing w:after="0" w:line="259" w:lineRule="auto"/>
              <w:ind w:left="0" w:right="49" w:firstLine="0"/>
              <w:jc w:val="center"/>
            </w:pPr>
            <w:r>
              <w:rPr>
                <w:sz w:val="18"/>
              </w:rPr>
              <w:t>74-88-4</w:t>
            </w:r>
          </w:p>
        </w:tc>
        <w:tc>
          <w:tcPr>
            <w:tcW w:w="623" w:type="dxa"/>
            <w:tcBorders>
              <w:top w:val="single" w:sz="4" w:space="0" w:color="000000"/>
              <w:left w:val="single" w:sz="12" w:space="0" w:color="000000"/>
              <w:bottom w:val="single" w:sz="4" w:space="0" w:color="000000"/>
              <w:right w:val="single" w:sz="12" w:space="0" w:color="000000"/>
            </w:tcBorders>
          </w:tcPr>
          <w:p w14:paraId="20B65FF9" w14:textId="1B3A7366" w:rsidR="00014B37" w:rsidRDefault="00014B37" w:rsidP="00CE1A8B">
            <w:pPr>
              <w:tabs>
                <w:tab w:val="right" w:pos="535"/>
              </w:tabs>
              <w:spacing w:after="0" w:line="259" w:lineRule="auto"/>
              <w:ind w:left="0" w:right="0" w:firstLine="0"/>
              <w:jc w:val="center"/>
            </w:pPr>
            <w:r>
              <w:rPr>
                <w:sz w:val="18"/>
              </w:rPr>
              <w:t>5</w:t>
            </w:r>
          </w:p>
        </w:tc>
        <w:tc>
          <w:tcPr>
            <w:tcW w:w="870" w:type="dxa"/>
            <w:tcBorders>
              <w:top w:val="single" w:sz="4" w:space="0" w:color="000000"/>
              <w:left w:val="single" w:sz="12" w:space="0" w:color="000000"/>
              <w:bottom w:val="single" w:sz="4" w:space="0" w:color="000000"/>
              <w:right w:val="single" w:sz="12" w:space="0" w:color="000000"/>
            </w:tcBorders>
          </w:tcPr>
          <w:p w14:paraId="0F8C886F" w14:textId="4508926C" w:rsidR="00014B37" w:rsidRDefault="00014B37" w:rsidP="00CE1A8B">
            <w:pPr>
              <w:spacing w:after="0" w:line="259" w:lineRule="auto"/>
              <w:ind w:left="0" w:right="53" w:firstLine="0"/>
              <w:jc w:val="center"/>
            </w:pPr>
            <w:r>
              <w:rPr>
                <w:sz w:val="18"/>
              </w:rPr>
              <w:t>ug/L</w:t>
            </w:r>
          </w:p>
        </w:tc>
        <w:tc>
          <w:tcPr>
            <w:tcW w:w="810" w:type="dxa"/>
            <w:tcBorders>
              <w:top w:val="single" w:sz="4" w:space="0" w:color="000000"/>
              <w:left w:val="single" w:sz="12" w:space="0" w:color="000000"/>
              <w:bottom w:val="single" w:sz="4" w:space="0" w:color="000000"/>
              <w:right w:val="single" w:sz="12" w:space="0" w:color="000000"/>
            </w:tcBorders>
          </w:tcPr>
          <w:p w14:paraId="1D5ACDE9" w14:textId="2C69E207" w:rsidR="00014B37" w:rsidRDefault="00014B37" w:rsidP="00CE1A8B">
            <w:pPr>
              <w:tabs>
                <w:tab w:val="right" w:pos="717"/>
              </w:tabs>
              <w:spacing w:after="0" w:line="259" w:lineRule="auto"/>
              <w:ind w:left="0" w:right="0" w:firstLine="0"/>
              <w:jc w:val="center"/>
            </w:pPr>
            <w:r>
              <w:rPr>
                <w:sz w:val="18"/>
              </w:rPr>
              <w:t>5</w:t>
            </w:r>
          </w:p>
        </w:tc>
        <w:tc>
          <w:tcPr>
            <w:tcW w:w="793" w:type="dxa"/>
            <w:tcBorders>
              <w:top w:val="single" w:sz="4" w:space="0" w:color="000000"/>
              <w:left w:val="single" w:sz="12" w:space="0" w:color="000000"/>
              <w:bottom w:val="single" w:sz="4" w:space="0" w:color="000000"/>
              <w:right w:val="single" w:sz="12" w:space="0" w:color="000000"/>
            </w:tcBorders>
          </w:tcPr>
          <w:p w14:paraId="3F9A3757" w14:textId="09EE9A8C" w:rsidR="00014B37" w:rsidRDefault="00014B37" w:rsidP="00CE1A8B">
            <w:pPr>
              <w:spacing w:after="0" w:line="259" w:lineRule="auto"/>
              <w:ind w:left="0" w:right="51" w:firstLine="0"/>
              <w:jc w:val="center"/>
            </w:pPr>
            <w:r>
              <w:rPr>
                <w:rFonts w:eastAsia="Segoe UI Symbol"/>
                <w:sz w:val="18"/>
              </w:rPr>
              <w:t>u</w:t>
            </w:r>
            <w:r>
              <w:rPr>
                <w:sz w:val="18"/>
              </w:rPr>
              <w:t>g/kg</w:t>
            </w:r>
          </w:p>
        </w:tc>
        <w:tc>
          <w:tcPr>
            <w:tcW w:w="642" w:type="dxa"/>
            <w:tcBorders>
              <w:top w:val="single" w:sz="4" w:space="0" w:color="000000"/>
              <w:left w:val="single" w:sz="12" w:space="0" w:color="000000"/>
              <w:bottom w:val="single" w:sz="4" w:space="0" w:color="000000"/>
              <w:right w:val="single" w:sz="12" w:space="0" w:color="000000"/>
            </w:tcBorders>
          </w:tcPr>
          <w:p w14:paraId="1A49DA53" w14:textId="74E612FF" w:rsidR="00014B37" w:rsidRDefault="00014B37" w:rsidP="00CE1A8B">
            <w:pPr>
              <w:spacing w:after="0" w:line="259" w:lineRule="auto"/>
              <w:ind w:left="0" w:right="49" w:firstLine="0"/>
              <w:jc w:val="center"/>
            </w:pPr>
            <w:r>
              <w:rPr>
                <w:sz w:val="18"/>
              </w:rPr>
              <w:t>X</w:t>
            </w:r>
          </w:p>
        </w:tc>
        <w:tc>
          <w:tcPr>
            <w:tcW w:w="450" w:type="dxa"/>
            <w:tcBorders>
              <w:top w:val="single" w:sz="4" w:space="0" w:color="000000"/>
              <w:left w:val="single" w:sz="12" w:space="0" w:color="000000"/>
              <w:bottom w:val="single" w:sz="4" w:space="0" w:color="000000"/>
              <w:right w:val="single" w:sz="12" w:space="0" w:color="000000"/>
            </w:tcBorders>
          </w:tcPr>
          <w:p w14:paraId="1E497434" w14:textId="3973B1B4" w:rsidR="00014B37" w:rsidRDefault="00014B37" w:rsidP="00CE1A8B">
            <w:pPr>
              <w:spacing w:after="0" w:line="259" w:lineRule="auto"/>
              <w:ind w:left="0" w:right="50" w:firstLine="0"/>
              <w:jc w:val="center"/>
            </w:pPr>
            <w:r>
              <w:rPr>
                <w:sz w:val="18"/>
              </w:rPr>
              <w:t>X</w:t>
            </w:r>
          </w:p>
        </w:tc>
        <w:tc>
          <w:tcPr>
            <w:tcW w:w="900" w:type="dxa"/>
            <w:tcBorders>
              <w:top w:val="single" w:sz="4" w:space="0" w:color="000000"/>
              <w:left w:val="single" w:sz="12" w:space="0" w:color="000000"/>
              <w:bottom w:val="single" w:sz="4" w:space="0" w:color="000000"/>
              <w:right w:val="single" w:sz="12" w:space="0" w:color="000000"/>
            </w:tcBorders>
          </w:tcPr>
          <w:p w14:paraId="02FB9E66" w14:textId="267523FA" w:rsidR="00014B37" w:rsidRDefault="00014B37" w:rsidP="00CE1A8B">
            <w:pPr>
              <w:spacing w:after="0" w:line="259" w:lineRule="auto"/>
              <w:ind w:left="0" w:right="52" w:firstLine="0"/>
              <w:jc w:val="center"/>
            </w:pPr>
            <w:r>
              <w:rPr>
                <w:sz w:val="18"/>
              </w:rPr>
              <w:t>X</w:t>
            </w:r>
          </w:p>
        </w:tc>
        <w:tc>
          <w:tcPr>
            <w:tcW w:w="900" w:type="dxa"/>
            <w:tcBorders>
              <w:top w:val="single" w:sz="4" w:space="0" w:color="000000"/>
              <w:left w:val="single" w:sz="12" w:space="0" w:color="000000"/>
              <w:bottom w:val="single" w:sz="4" w:space="0" w:color="000000"/>
              <w:right w:val="single" w:sz="12" w:space="0" w:color="000000"/>
            </w:tcBorders>
            <w:vAlign w:val="center"/>
          </w:tcPr>
          <w:p w14:paraId="09F868AE" w14:textId="76F202A3" w:rsidR="00014B37" w:rsidRDefault="00014B37" w:rsidP="00724AC2">
            <w:pPr>
              <w:spacing w:after="0" w:line="259" w:lineRule="auto"/>
              <w:ind w:left="38" w:right="0" w:firstLine="0"/>
              <w:jc w:val="center"/>
            </w:pPr>
            <w:r>
              <w:rPr>
                <w:sz w:val="18"/>
              </w:rPr>
              <w:t>8260</w:t>
            </w:r>
          </w:p>
        </w:tc>
        <w:tc>
          <w:tcPr>
            <w:tcW w:w="720" w:type="dxa"/>
            <w:tcBorders>
              <w:top w:val="single" w:sz="4" w:space="0" w:color="000000"/>
              <w:left w:val="single" w:sz="12" w:space="0" w:color="000000"/>
              <w:bottom w:val="single" w:sz="4" w:space="0" w:color="000000"/>
              <w:right w:val="single" w:sz="12" w:space="0" w:color="000000"/>
            </w:tcBorders>
            <w:vAlign w:val="center"/>
          </w:tcPr>
          <w:p w14:paraId="19D4827A" w14:textId="3D5C18BB" w:rsidR="00014B37" w:rsidRPr="009C59CE" w:rsidRDefault="00014B37" w:rsidP="00724AC2">
            <w:pPr>
              <w:spacing w:after="0" w:line="259" w:lineRule="auto"/>
              <w:ind w:left="0" w:right="0" w:firstLine="0"/>
              <w:jc w:val="center"/>
              <w:rPr>
                <w:iCs/>
              </w:rPr>
            </w:pPr>
            <w:r w:rsidRPr="00CB2740">
              <w:rPr>
                <w:iCs/>
                <w:sz w:val="18"/>
              </w:rPr>
              <w:t>8021</w:t>
            </w:r>
          </w:p>
        </w:tc>
      </w:tr>
      <w:tr w:rsidR="00014B37" w14:paraId="71C2A39B" w14:textId="77777777" w:rsidTr="005B6604">
        <w:trPr>
          <w:trHeight w:val="245"/>
        </w:trPr>
        <w:tc>
          <w:tcPr>
            <w:tcW w:w="2948" w:type="dxa"/>
            <w:tcBorders>
              <w:top w:val="single" w:sz="4" w:space="0" w:color="000000"/>
              <w:left w:val="single" w:sz="12" w:space="0" w:color="000000"/>
              <w:bottom w:val="single" w:sz="4" w:space="0" w:color="000000"/>
              <w:right w:val="single" w:sz="12" w:space="0" w:color="000000"/>
            </w:tcBorders>
          </w:tcPr>
          <w:p w14:paraId="3CFD3535" w14:textId="77777777" w:rsidR="00014B37" w:rsidRDefault="00014B37" w:rsidP="00014B37">
            <w:pPr>
              <w:spacing w:after="0" w:line="259" w:lineRule="auto"/>
              <w:ind w:left="0" w:right="0" w:firstLine="0"/>
            </w:pPr>
            <w:r>
              <w:rPr>
                <w:sz w:val="18"/>
              </w:rPr>
              <w:t xml:space="preserve">Isobutyl alcohol </w:t>
            </w:r>
          </w:p>
        </w:tc>
        <w:tc>
          <w:tcPr>
            <w:tcW w:w="964" w:type="dxa"/>
            <w:tcBorders>
              <w:top w:val="single" w:sz="4" w:space="0" w:color="000000"/>
              <w:left w:val="single" w:sz="12" w:space="0" w:color="000000"/>
              <w:bottom w:val="single" w:sz="4" w:space="0" w:color="000000"/>
              <w:right w:val="single" w:sz="12" w:space="0" w:color="000000"/>
            </w:tcBorders>
          </w:tcPr>
          <w:p w14:paraId="58EEFF2B" w14:textId="112D9EF8" w:rsidR="00014B37" w:rsidRDefault="00014B37" w:rsidP="006727F9">
            <w:pPr>
              <w:spacing w:after="0" w:line="259" w:lineRule="auto"/>
              <w:ind w:left="0" w:right="49" w:firstLine="0"/>
              <w:jc w:val="center"/>
            </w:pPr>
            <w:r>
              <w:rPr>
                <w:sz w:val="18"/>
              </w:rPr>
              <w:t>78-83-1</w:t>
            </w:r>
          </w:p>
        </w:tc>
        <w:tc>
          <w:tcPr>
            <w:tcW w:w="623" w:type="dxa"/>
            <w:tcBorders>
              <w:top w:val="single" w:sz="4" w:space="0" w:color="000000"/>
              <w:left w:val="single" w:sz="12" w:space="0" w:color="000000"/>
              <w:bottom w:val="single" w:sz="4" w:space="0" w:color="000000"/>
              <w:right w:val="single" w:sz="12" w:space="0" w:color="000000"/>
            </w:tcBorders>
          </w:tcPr>
          <w:p w14:paraId="63BFECBC" w14:textId="2266BD9E" w:rsidR="00014B37" w:rsidRDefault="00014B37" w:rsidP="00CE1A8B">
            <w:pPr>
              <w:tabs>
                <w:tab w:val="right" w:pos="535"/>
              </w:tabs>
              <w:spacing w:after="0" w:line="259" w:lineRule="auto"/>
              <w:ind w:left="0" w:right="0" w:firstLine="0"/>
              <w:jc w:val="center"/>
            </w:pPr>
            <w:r>
              <w:rPr>
                <w:sz w:val="18"/>
              </w:rPr>
              <w:t>20</w:t>
            </w:r>
          </w:p>
        </w:tc>
        <w:tc>
          <w:tcPr>
            <w:tcW w:w="870" w:type="dxa"/>
            <w:tcBorders>
              <w:top w:val="single" w:sz="4" w:space="0" w:color="000000"/>
              <w:left w:val="single" w:sz="12" w:space="0" w:color="000000"/>
              <w:bottom w:val="single" w:sz="4" w:space="0" w:color="000000"/>
              <w:right w:val="single" w:sz="12" w:space="0" w:color="000000"/>
            </w:tcBorders>
          </w:tcPr>
          <w:p w14:paraId="54E9D983" w14:textId="1E384C30" w:rsidR="00014B37" w:rsidRDefault="00014B37" w:rsidP="00CE1A8B">
            <w:pPr>
              <w:spacing w:after="0" w:line="259" w:lineRule="auto"/>
              <w:ind w:left="0" w:right="53" w:firstLine="0"/>
              <w:jc w:val="center"/>
            </w:pPr>
            <w:r>
              <w:rPr>
                <w:sz w:val="18"/>
              </w:rPr>
              <w:t>ug/L</w:t>
            </w:r>
          </w:p>
        </w:tc>
        <w:tc>
          <w:tcPr>
            <w:tcW w:w="810" w:type="dxa"/>
            <w:tcBorders>
              <w:top w:val="single" w:sz="4" w:space="0" w:color="000000"/>
              <w:left w:val="single" w:sz="12" w:space="0" w:color="000000"/>
              <w:bottom w:val="single" w:sz="4" w:space="0" w:color="000000"/>
              <w:right w:val="single" w:sz="12" w:space="0" w:color="000000"/>
            </w:tcBorders>
          </w:tcPr>
          <w:p w14:paraId="2A4A620A" w14:textId="5A852658" w:rsidR="00014B37" w:rsidRDefault="00014B37" w:rsidP="00CE1A8B">
            <w:pPr>
              <w:tabs>
                <w:tab w:val="right" w:pos="717"/>
              </w:tabs>
              <w:spacing w:after="0" w:line="259" w:lineRule="auto"/>
              <w:ind w:left="0" w:right="0" w:firstLine="0"/>
              <w:jc w:val="center"/>
            </w:pPr>
            <w:r>
              <w:rPr>
                <w:sz w:val="18"/>
              </w:rPr>
              <w:t>50</w:t>
            </w:r>
          </w:p>
        </w:tc>
        <w:tc>
          <w:tcPr>
            <w:tcW w:w="793" w:type="dxa"/>
            <w:tcBorders>
              <w:top w:val="single" w:sz="4" w:space="0" w:color="000000"/>
              <w:left w:val="single" w:sz="12" w:space="0" w:color="000000"/>
              <w:bottom w:val="single" w:sz="4" w:space="0" w:color="000000"/>
              <w:right w:val="single" w:sz="12" w:space="0" w:color="000000"/>
            </w:tcBorders>
          </w:tcPr>
          <w:p w14:paraId="029FDF3F" w14:textId="21863297" w:rsidR="00014B37" w:rsidRDefault="00014B37" w:rsidP="00CE1A8B">
            <w:pPr>
              <w:spacing w:after="0" w:line="259" w:lineRule="auto"/>
              <w:ind w:left="0" w:right="51" w:firstLine="0"/>
              <w:jc w:val="center"/>
            </w:pPr>
            <w:r>
              <w:rPr>
                <w:rFonts w:eastAsia="Segoe UI Symbol"/>
                <w:sz w:val="18"/>
              </w:rPr>
              <w:t>u</w:t>
            </w:r>
            <w:r>
              <w:rPr>
                <w:sz w:val="18"/>
              </w:rPr>
              <w:t>g/kg</w:t>
            </w:r>
          </w:p>
        </w:tc>
        <w:tc>
          <w:tcPr>
            <w:tcW w:w="642" w:type="dxa"/>
            <w:tcBorders>
              <w:top w:val="single" w:sz="4" w:space="0" w:color="000000"/>
              <w:left w:val="single" w:sz="12" w:space="0" w:color="000000"/>
              <w:bottom w:val="single" w:sz="4" w:space="0" w:color="000000"/>
              <w:right w:val="single" w:sz="12" w:space="0" w:color="000000"/>
            </w:tcBorders>
          </w:tcPr>
          <w:p w14:paraId="4A441D8C" w14:textId="70CF9AD6" w:rsidR="00014B37" w:rsidRDefault="00014B37" w:rsidP="00CE1A8B">
            <w:pPr>
              <w:spacing w:after="0" w:line="259" w:lineRule="auto"/>
              <w:ind w:left="0" w:right="49" w:firstLine="0"/>
              <w:jc w:val="center"/>
            </w:pPr>
            <w:r>
              <w:rPr>
                <w:sz w:val="18"/>
              </w:rPr>
              <w:t>X</w:t>
            </w:r>
          </w:p>
        </w:tc>
        <w:tc>
          <w:tcPr>
            <w:tcW w:w="450" w:type="dxa"/>
            <w:tcBorders>
              <w:top w:val="single" w:sz="4" w:space="0" w:color="000000"/>
              <w:left w:val="single" w:sz="12" w:space="0" w:color="000000"/>
              <w:bottom w:val="single" w:sz="4" w:space="0" w:color="000000"/>
              <w:right w:val="single" w:sz="12" w:space="0" w:color="000000"/>
            </w:tcBorders>
          </w:tcPr>
          <w:p w14:paraId="322E5D67" w14:textId="6773F5EE" w:rsidR="00014B37" w:rsidRDefault="00014B37" w:rsidP="00CE1A8B">
            <w:pPr>
              <w:spacing w:after="0" w:line="259" w:lineRule="auto"/>
              <w:ind w:left="0" w:right="50" w:firstLine="0"/>
              <w:jc w:val="center"/>
            </w:pPr>
            <w:r>
              <w:rPr>
                <w:sz w:val="18"/>
              </w:rPr>
              <w:t>X</w:t>
            </w:r>
          </w:p>
        </w:tc>
        <w:tc>
          <w:tcPr>
            <w:tcW w:w="900" w:type="dxa"/>
            <w:tcBorders>
              <w:top w:val="single" w:sz="4" w:space="0" w:color="000000"/>
              <w:left w:val="single" w:sz="12" w:space="0" w:color="000000"/>
              <w:bottom w:val="single" w:sz="4" w:space="0" w:color="000000"/>
              <w:right w:val="single" w:sz="12" w:space="0" w:color="000000"/>
            </w:tcBorders>
          </w:tcPr>
          <w:p w14:paraId="37C20538" w14:textId="66AEA4C5" w:rsidR="00014B37" w:rsidRDefault="00014B37" w:rsidP="00CE1A8B">
            <w:pPr>
              <w:spacing w:after="0" w:line="259" w:lineRule="auto"/>
              <w:ind w:left="0" w:right="52" w:firstLine="0"/>
              <w:jc w:val="center"/>
            </w:pPr>
            <w:r>
              <w:rPr>
                <w:sz w:val="18"/>
              </w:rPr>
              <w:t>X</w:t>
            </w:r>
          </w:p>
        </w:tc>
        <w:tc>
          <w:tcPr>
            <w:tcW w:w="900" w:type="dxa"/>
            <w:tcBorders>
              <w:top w:val="single" w:sz="4" w:space="0" w:color="000000"/>
              <w:left w:val="single" w:sz="12" w:space="0" w:color="000000"/>
              <w:bottom w:val="single" w:sz="4" w:space="0" w:color="000000"/>
              <w:right w:val="single" w:sz="12" w:space="0" w:color="000000"/>
            </w:tcBorders>
            <w:vAlign w:val="center"/>
          </w:tcPr>
          <w:p w14:paraId="294F1627" w14:textId="54F3F654" w:rsidR="00014B37" w:rsidRDefault="00014B37" w:rsidP="00724AC2">
            <w:pPr>
              <w:spacing w:after="0" w:line="259" w:lineRule="auto"/>
              <w:ind w:left="38" w:right="0" w:firstLine="0"/>
              <w:jc w:val="center"/>
            </w:pPr>
            <w:r>
              <w:rPr>
                <w:sz w:val="18"/>
              </w:rPr>
              <w:t>8260</w:t>
            </w:r>
          </w:p>
        </w:tc>
        <w:tc>
          <w:tcPr>
            <w:tcW w:w="720" w:type="dxa"/>
            <w:tcBorders>
              <w:top w:val="single" w:sz="4" w:space="0" w:color="000000"/>
              <w:left w:val="single" w:sz="12" w:space="0" w:color="000000"/>
              <w:bottom w:val="single" w:sz="4" w:space="0" w:color="000000"/>
              <w:right w:val="single" w:sz="12" w:space="0" w:color="000000"/>
            </w:tcBorders>
            <w:vAlign w:val="center"/>
          </w:tcPr>
          <w:p w14:paraId="5A11A3B8" w14:textId="2E3DC969" w:rsidR="00014B37" w:rsidRDefault="00014B37" w:rsidP="00724AC2">
            <w:pPr>
              <w:spacing w:after="0" w:line="259" w:lineRule="auto"/>
              <w:ind w:left="0" w:right="0" w:firstLine="0"/>
              <w:jc w:val="center"/>
            </w:pPr>
            <w:r>
              <w:rPr>
                <w:sz w:val="18"/>
              </w:rPr>
              <w:t>8015</w:t>
            </w:r>
          </w:p>
        </w:tc>
      </w:tr>
      <w:tr w:rsidR="00014B37" w14:paraId="2556A240" w14:textId="77777777" w:rsidTr="005B6604">
        <w:trPr>
          <w:trHeight w:val="245"/>
        </w:trPr>
        <w:tc>
          <w:tcPr>
            <w:tcW w:w="2948" w:type="dxa"/>
            <w:tcBorders>
              <w:top w:val="single" w:sz="4" w:space="0" w:color="000000"/>
              <w:left w:val="single" w:sz="12" w:space="0" w:color="000000"/>
              <w:bottom w:val="single" w:sz="4" w:space="0" w:color="000000"/>
              <w:right w:val="single" w:sz="12" w:space="0" w:color="000000"/>
            </w:tcBorders>
          </w:tcPr>
          <w:p w14:paraId="530B6260" w14:textId="77777777" w:rsidR="00014B37" w:rsidRDefault="00014B37" w:rsidP="00014B37">
            <w:pPr>
              <w:spacing w:after="0" w:line="259" w:lineRule="auto"/>
              <w:ind w:left="0" w:right="0" w:firstLine="0"/>
            </w:pPr>
            <w:proofErr w:type="spellStart"/>
            <w:r>
              <w:rPr>
                <w:sz w:val="18"/>
              </w:rPr>
              <w:t>Methacrylonitrile</w:t>
            </w:r>
            <w:proofErr w:type="spellEnd"/>
            <w:r>
              <w:rPr>
                <w:sz w:val="18"/>
              </w:rPr>
              <w:t xml:space="preserve"> </w:t>
            </w:r>
          </w:p>
        </w:tc>
        <w:tc>
          <w:tcPr>
            <w:tcW w:w="964" w:type="dxa"/>
            <w:tcBorders>
              <w:top w:val="single" w:sz="4" w:space="0" w:color="000000"/>
              <w:left w:val="single" w:sz="12" w:space="0" w:color="000000"/>
              <w:bottom w:val="single" w:sz="4" w:space="0" w:color="000000"/>
              <w:right w:val="single" w:sz="12" w:space="0" w:color="000000"/>
            </w:tcBorders>
          </w:tcPr>
          <w:p w14:paraId="76C9DA75" w14:textId="13649345" w:rsidR="00014B37" w:rsidRDefault="00014B37" w:rsidP="006727F9">
            <w:pPr>
              <w:spacing w:after="0" w:line="259" w:lineRule="auto"/>
              <w:ind w:left="0" w:right="49" w:firstLine="0"/>
              <w:jc w:val="center"/>
            </w:pPr>
            <w:r>
              <w:rPr>
                <w:sz w:val="18"/>
              </w:rPr>
              <w:t>126-98-7</w:t>
            </w:r>
          </w:p>
        </w:tc>
        <w:tc>
          <w:tcPr>
            <w:tcW w:w="623" w:type="dxa"/>
            <w:tcBorders>
              <w:top w:val="single" w:sz="4" w:space="0" w:color="000000"/>
              <w:left w:val="single" w:sz="12" w:space="0" w:color="000000"/>
              <w:bottom w:val="single" w:sz="4" w:space="0" w:color="000000"/>
              <w:right w:val="single" w:sz="12" w:space="0" w:color="000000"/>
            </w:tcBorders>
          </w:tcPr>
          <w:p w14:paraId="38CEB5B0" w14:textId="0B96DBC2" w:rsidR="00014B37" w:rsidRPr="00034C3A" w:rsidRDefault="00014B37" w:rsidP="00CE1A8B">
            <w:pPr>
              <w:tabs>
                <w:tab w:val="right" w:pos="535"/>
              </w:tabs>
              <w:spacing w:after="0" w:line="259" w:lineRule="auto"/>
              <w:ind w:left="0" w:right="0" w:firstLine="0"/>
              <w:jc w:val="center"/>
              <w:rPr>
                <w:bCs/>
              </w:rPr>
            </w:pPr>
            <w:r w:rsidRPr="00CB2740">
              <w:rPr>
                <w:bCs/>
                <w:sz w:val="18"/>
              </w:rPr>
              <w:t>1</w:t>
            </w:r>
          </w:p>
        </w:tc>
        <w:tc>
          <w:tcPr>
            <w:tcW w:w="870" w:type="dxa"/>
            <w:tcBorders>
              <w:top w:val="single" w:sz="4" w:space="0" w:color="000000"/>
              <w:left w:val="single" w:sz="12" w:space="0" w:color="000000"/>
              <w:bottom w:val="single" w:sz="4" w:space="0" w:color="000000"/>
              <w:right w:val="single" w:sz="12" w:space="0" w:color="000000"/>
            </w:tcBorders>
          </w:tcPr>
          <w:p w14:paraId="6D1CEC17" w14:textId="1472748B" w:rsidR="00014B37" w:rsidRDefault="00014B37" w:rsidP="00CE1A8B">
            <w:pPr>
              <w:spacing w:after="0" w:line="259" w:lineRule="auto"/>
              <w:ind w:left="0" w:right="53" w:firstLine="0"/>
              <w:jc w:val="center"/>
            </w:pPr>
            <w:r>
              <w:rPr>
                <w:sz w:val="18"/>
              </w:rPr>
              <w:t>ug/L</w:t>
            </w:r>
          </w:p>
        </w:tc>
        <w:tc>
          <w:tcPr>
            <w:tcW w:w="810" w:type="dxa"/>
            <w:tcBorders>
              <w:top w:val="single" w:sz="4" w:space="0" w:color="000000"/>
              <w:left w:val="single" w:sz="12" w:space="0" w:color="000000"/>
              <w:bottom w:val="single" w:sz="4" w:space="0" w:color="000000"/>
              <w:right w:val="single" w:sz="12" w:space="0" w:color="000000"/>
            </w:tcBorders>
          </w:tcPr>
          <w:p w14:paraId="099A0F51" w14:textId="35794D9C" w:rsidR="00014B37" w:rsidRDefault="00014B37" w:rsidP="00CE1A8B">
            <w:pPr>
              <w:tabs>
                <w:tab w:val="right" w:pos="717"/>
              </w:tabs>
              <w:spacing w:after="0" w:line="259" w:lineRule="auto"/>
              <w:ind w:left="0" w:right="0" w:firstLine="0"/>
              <w:jc w:val="center"/>
            </w:pPr>
            <w:r>
              <w:rPr>
                <w:sz w:val="18"/>
              </w:rPr>
              <w:t>50</w:t>
            </w:r>
          </w:p>
        </w:tc>
        <w:tc>
          <w:tcPr>
            <w:tcW w:w="793" w:type="dxa"/>
            <w:tcBorders>
              <w:top w:val="single" w:sz="4" w:space="0" w:color="000000"/>
              <w:left w:val="single" w:sz="12" w:space="0" w:color="000000"/>
              <w:bottom w:val="single" w:sz="4" w:space="0" w:color="000000"/>
              <w:right w:val="single" w:sz="12" w:space="0" w:color="000000"/>
            </w:tcBorders>
          </w:tcPr>
          <w:p w14:paraId="764A4BB2" w14:textId="77C32862" w:rsidR="00014B37" w:rsidRDefault="00014B37" w:rsidP="00CE1A8B">
            <w:pPr>
              <w:spacing w:after="0" w:line="259" w:lineRule="auto"/>
              <w:ind w:left="0" w:right="51" w:firstLine="0"/>
              <w:jc w:val="center"/>
            </w:pPr>
            <w:r>
              <w:rPr>
                <w:rFonts w:eastAsia="Segoe UI Symbol"/>
                <w:sz w:val="18"/>
              </w:rPr>
              <w:t>u</w:t>
            </w:r>
            <w:r>
              <w:rPr>
                <w:sz w:val="18"/>
              </w:rPr>
              <w:t>g/kg</w:t>
            </w:r>
          </w:p>
        </w:tc>
        <w:tc>
          <w:tcPr>
            <w:tcW w:w="642" w:type="dxa"/>
            <w:tcBorders>
              <w:top w:val="single" w:sz="4" w:space="0" w:color="000000"/>
              <w:left w:val="single" w:sz="12" w:space="0" w:color="000000"/>
              <w:bottom w:val="single" w:sz="4" w:space="0" w:color="000000"/>
              <w:right w:val="single" w:sz="12" w:space="0" w:color="000000"/>
            </w:tcBorders>
          </w:tcPr>
          <w:p w14:paraId="1B46F17D" w14:textId="05EDAE00" w:rsidR="00014B37" w:rsidRDefault="00014B37" w:rsidP="00CE1A8B">
            <w:pPr>
              <w:spacing w:after="0" w:line="259" w:lineRule="auto"/>
              <w:ind w:left="0" w:right="49" w:firstLine="0"/>
              <w:jc w:val="center"/>
            </w:pPr>
            <w:r>
              <w:rPr>
                <w:sz w:val="18"/>
              </w:rPr>
              <w:t>X</w:t>
            </w:r>
          </w:p>
        </w:tc>
        <w:tc>
          <w:tcPr>
            <w:tcW w:w="450" w:type="dxa"/>
            <w:tcBorders>
              <w:top w:val="single" w:sz="4" w:space="0" w:color="000000"/>
              <w:left w:val="single" w:sz="12" w:space="0" w:color="000000"/>
              <w:bottom w:val="single" w:sz="4" w:space="0" w:color="000000"/>
              <w:right w:val="single" w:sz="12" w:space="0" w:color="000000"/>
            </w:tcBorders>
          </w:tcPr>
          <w:p w14:paraId="0BAB0BC6" w14:textId="0A38DDA4" w:rsidR="00014B37" w:rsidRDefault="00014B37" w:rsidP="00CE1A8B">
            <w:pPr>
              <w:spacing w:after="0" w:line="259" w:lineRule="auto"/>
              <w:ind w:left="0" w:right="50" w:firstLine="0"/>
              <w:jc w:val="center"/>
            </w:pPr>
            <w:r>
              <w:rPr>
                <w:sz w:val="18"/>
              </w:rPr>
              <w:t>X</w:t>
            </w:r>
          </w:p>
        </w:tc>
        <w:tc>
          <w:tcPr>
            <w:tcW w:w="900" w:type="dxa"/>
            <w:tcBorders>
              <w:top w:val="single" w:sz="4" w:space="0" w:color="000000"/>
              <w:left w:val="single" w:sz="12" w:space="0" w:color="000000"/>
              <w:bottom w:val="single" w:sz="4" w:space="0" w:color="000000"/>
              <w:right w:val="single" w:sz="12" w:space="0" w:color="000000"/>
            </w:tcBorders>
          </w:tcPr>
          <w:p w14:paraId="3BEF69B8" w14:textId="429B936D" w:rsidR="00014B37" w:rsidRDefault="00014B37" w:rsidP="00CE1A8B">
            <w:pPr>
              <w:spacing w:after="0" w:line="259" w:lineRule="auto"/>
              <w:ind w:left="0" w:right="52" w:firstLine="0"/>
              <w:jc w:val="center"/>
            </w:pPr>
            <w:r>
              <w:rPr>
                <w:sz w:val="18"/>
              </w:rPr>
              <w:t>X</w:t>
            </w:r>
          </w:p>
        </w:tc>
        <w:tc>
          <w:tcPr>
            <w:tcW w:w="900" w:type="dxa"/>
            <w:tcBorders>
              <w:top w:val="single" w:sz="4" w:space="0" w:color="000000"/>
              <w:left w:val="single" w:sz="12" w:space="0" w:color="000000"/>
              <w:bottom w:val="single" w:sz="4" w:space="0" w:color="000000"/>
              <w:right w:val="single" w:sz="12" w:space="0" w:color="000000"/>
            </w:tcBorders>
            <w:vAlign w:val="center"/>
          </w:tcPr>
          <w:p w14:paraId="6AB799EC" w14:textId="657394F0" w:rsidR="00014B37" w:rsidRDefault="00014B37" w:rsidP="00724AC2">
            <w:pPr>
              <w:spacing w:after="0" w:line="259" w:lineRule="auto"/>
              <w:ind w:left="38" w:right="0" w:firstLine="0"/>
              <w:jc w:val="center"/>
            </w:pPr>
            <w:r>
              <w:rPr>
                <w:sz w:val="18"/>
              </w:rPr>
              <w:t>8260</w:t>
            </w:r>
          </w:p>
        </w:tc>
        <w:tc>
          <w:tcPr>
            <w:tcW w:w="720" w:type="dxa"/>
            <w:tcBorders>
              <w:top w:val="single" w:sz="4" w:space="0" w:color="000000"/>
              <w:left w:val="single" w:sz="12" w:space="0" w:color="000000"/>
              <w:bottom w:val="single" w:sz="4" w:space="0" w:color="000000"/>
              <w:right w:val="single" w:sz="12" w:space="0" w:color="000000"/>
            </w:tcBorders>
            <w:vAlign w:val="center"/>
          </w:tcPr>
          <w:p w14:paraId="2098EA06" w14:textId="1E259AF3" w:rsidR="00014B37" w:rsidRPr="009C59CE" w:rsidRDefault="00014B37" w:rsidP="00724AC2">
            <w:pPr>
              <w:spacing w:after="0" w:line="259" w:lineRule="auto"/>
              <w:ind w:left="0" w:right="0" w:firstLine="0"/>
              <w:jc w:val="center"/>
              <w:rPr>
                <w:iCs/>
              </w:rPr>
            </w:pPr>
          </w:p>
        </w:tc>
      </w:tr>
      <w:tr w:rsidR="00014B37" w14:paraId="598B686D" w14:textId="77777777" w:rsidTr="005B6604">
        <w:trPr>
          <w:trHeight w:val="245"/>
        </w:trPr>
        <w:tc>
          <w:tcPr>
            <w:tcW w:w="2948" w:type="dxa"/>
            <w:tcBorders>
              <w:top w:val="single" w:sz="4" w:space="0" w:color="000000"/>
              <w:left w:val="single" w:sz="12" w:space="0" w:color="000000"/>
              <w:bottom w:val="single" w:sz="4" w:space="0" w:color="000000"/>
              <w:right w:val="single" w:sz="12" w:space="0" w:color="000000"/>
            </w:tcBorders>
          </w:tcPr>
          <w:p w14:paraId="079B4254" w14:textId="77777777" w:rsidR="00014B37" w:rsidRDefault="00014B37" w:rsidP="00014B37">
            <w:pPr>
              <w:spacing w:after="0" w:line="259" w:lineRule="auto"/>
              <w:ind w:left="0" w:right="0" w:firstLine="0"/>
            </w:pPr>
            <w:r>
              <w:rPr>
                <w:sz w:val="18"/>
              </w:rPr>
              <w:t xml:space="preserve">Methyl methacrylate </w:t>
            </w:r>
          </w:p>
        </w:tc>
        <w:tc>
          <w:tcPr>
            <w:tcW w:w="964" w:type="dxa"/>
            <w:tcBorders>
              <w:top w:val="single" w:sz="4" w:space="0" w:color="000000"/>
              <w:left w:val="single" w:sz="12" w:space="0" w:color="000000"/>
              <w:bottom w:val="single" w:sz="4" w:space="0" w:color="000000"/>
              <w:right w:val="single" w:sz="12" w:space="0" w:color="000000"/>
            </w:tcBorders>
          </w:tcPr>
          <w:p w14:paraId="6A4C3228" w14:textId="23B61500" w:rsidR="00014B37" w:rsidRDefault="00014B37" w:rsidP="006727F9">
            <w:pPr>
              <w:spacing w:after="0" w:line="259" w:lineRule="auto"/>
              <w:ind w:left="0" w:right="49" w:firstLine="0"/>
              <w:jc w:val="center"/>
            </w:pPr>
            <w:r>
              <w:rPr>
                <w:sz w:val="18"/>
              </w:rPr>
              <w:t>80-62-6</w:t>
            </w:r>
          </w:p>
        </w:tc>
        <w:tc>
          <w:tcPr>
            <w:tcW w:w="623" w:type="dxa"/>
            <w:tcBorders>
              <w:top w:val="single" w:sz="4" w:space="0" w:color="000000"/>
              <w:left w:val="single" w:sz="12" w:space="0" w:color="000000"/>
              <w:bottom w:val="single" w:sz="4" w:space="0" w:color="000000"/>
              <w:right w:val="single" w:sz="12" w:space="0" w:color="000000"/>
            </w:tcBorders>
          </w:tcPr>
          <w:p w14:paraId="082D17BB" w14:textId="09A332FD" w:rsidR="00014B37" w:rsidRDefault="00014B37" w:rsidP="00CE1A8B">
            <w:pPr>
              <w:tabs>
                <w:tab w:val="right" w:pos="535"/>
              </w:tabs>
              <w:spacing w:after="0" w:line="259" w:lineRule="auto"/>
              <w:ind w:left="0" w:right="0" w:firstLine="0"/>
              <w:jc w:val="center"/>
            </w:pPr>
            <w:r>
              <w:rPr>
                <w:sz w:val="18"/>
              </w:rPr>
              <w:t>5</w:t>
            </w:r>
          </w:p>
        </w:tc>
        <w:tc>
          <w:tcPr>
            <w:tcW w:w="870" w:type="dxa"/>
            <w:tcBorders>
              <w:top w:val="single" w:sz="4" w:space="0" w:color="000000"/>
              <w:left w:val="single" w:sz="12" w:space="0" w:color="000000"/>
              <w:bottom w:val="single" w:sz="4" w:space="0" w:color="000000"/>
              <w:right w:val="single" w:sz="12" w:space="0" w:color="000000"/>
            </w:tcBorders>
          </w:tcPr>
          <w:p w14:paraId="44F40353" w14:textId="1B5067BC" w:rsidR="00014B37" w:rsidRDefault="00014B37" w:rsidP="00CE1A8B">
            <w:pPr>
              <w:spacing w:after="0" w:line="259" w:lineRule="auto"/>
              <w:ind w:left="0" w:right="53" w:firstLine="0"/>
              <w:jc w:val="center"/>
            </w:pPr>
            <w:r>
              <w:rPr>
                <w:sz w:val="18"/>
              </w:rPr>
              <w:t>ug/L</w:t>
            </w:r>
          </w:p>
        </w:tc>
        <w:tc>
          <w:tcPr>
            <w:tcW w:w="810" w:type="dxa"/>
            <w:tcBorders>
              <w:top w:val="single" w:sz="4" w:space="0" w:color="000000"/>
              <w:left w:val="single" w:sz="12" w:space="0" w:color="000000"/>
              <w:bottom w:val="single" w:sz="4" w:space="0" w:color="000000"/>
              <w:right w:val="single" w:sz="12" w:space="0" w:color="000000"/>
            </w:tcBorders>
          </w:tcPr>
          <w:p w14:paraId="60306F4D" w14:textId="54E7DB2A" w:rsidR="00014B37" w:rsidRDefault="00014B37" w:rsidP="00CE1A8B">
            <w:pPr>
              <w:tabs>
                <w:tab w:val="right" w:pos="717"/>
              </w:tabs>
              <w:spacing w:after="0" w:line="259" w:lineRule="auto"/>
              <w:ind w:left="0" w:right="0" w:firstLine="0"/>
              <w:jc w:val="center"/>
            </w:pPr>
            <w:r>
              <w:rPr>
                <w:sz w:val="18"/>
              </w:rPr>
              <w:t>5</w:t>
            </w:r>
          </w:p>
        </w:tc>
        <w:tc>
          <w:tcPr>
            <w:tcW w:w="793" w:type="dxa"/>
            <w:tcBorders>
              <w:top w:val="single" w:sz="4" w:space="0" w:color="000000"/>
              <w:left w:val="single" w:sz="12" w:space="0" w:color="000000"/>
              <w:bottom w:val="single" w:sz="4" w:space="0" w:color="000000"/>
              <w:right w:val="single" w:sz="12" w:space="0" w:color="000000"/>
            </w:tcBorders>
          </w:tcPr>
          <w:p w14:paraId="3D2AC93F" w14:textId="76A85CC1" w:rsidR="00014B37" w:rsidRDefault="00014B37" w:rsidP="00CE1A8B">
            <w:pPr>
              <w:spacing w:after="0" w:line="259" w:lineRule="auto"/>
              <w:ind w:left="0" w:right="51" w:firstLine="0"/>
              <w:jc w:val="center"/>
            </w:pPr>
            <w:r>
              <w:rPr>
                <w:rFonts w:eastAsia="Segoe UI Symbol"/>
                <w:sz w:val="18"/>
              </w:rPr>
              <w:t>u</w:t>
            </w:r>
            <w:r>
              <w:rPr>
                <w:sz w:val="18"/>
              </w:rPr>
              <w:t>g/kg</w:t>
            </w:r>
          </w:p>
        </w:tc>
        <w:tc>
          <w:tcPr>
            <w:tcW w:w="642" w:type="dxa"/>
            <w:tcBorders>
              <w:top w:val="single" w:sz="4" w:space="0" w:color="000000"/>
              <w:left w:val="single" w:sz="12" w:space="0" w:color="000000"/>
              <w:bottom w:val="single" w:sz="4" w:space="0" w:color="000000"/>
              <w:right w:val="single" w:sz="12" w:space="0" w:color="000000"/>
            </w:tcBorders>
          </w:tcPr>
          <w:p w14:paraId="2D773B6C" w14:textId="33FB4090" w:rsidR="00014B37" w:rsidRDefault="00014B37" w:rsidP="00CE1A8B">
            <w:pPr>
              <w:spacing w:after="0" w:line="259" w:lineRule="auto"/>
              <w:ind w:left="0" w:right="49" w:firstLine="0"/>
              <w:jc w:val="center"/>
            </w:pPr>
            <w:r>
              <w:rPr>
                <w:sz w:val="18"/>
              </w:rPr>
              <w:t>X</w:t>
            </w:r>
          </w:p>
        </w:tc>
        <w:tc>
          <w:tcPr>
            <w:tcW w:w="450" w:type="dxa"/>
            <w:tcBorders>
              <w:top w:val="single" w:sz="4" w:space="0" w:color="000000"/>
              <w:left w:val="single" w:sz="12" w:space="0" w:color="000000"/>
              <w:bottom w:val="single" w:sz="4" w:space="0" w:color="000000"/>
              <w:right w:val="single" w:sz="12" w:space="0" w:color="000000"/>
            </w:tcBorders>
          </w:tcPr>
          <w:p w14:paraId="522F674A" w14:textId="48E8B63E" w:rsidR="00014B37" w:rsidRDefault="00014B37" w:rsidP="00CE1A8B">
            <w:pPr>
              <w:spacing w:after="0" w:line="259" w:lineRule="auto"/>
              <w:ind w:left="0" w:right="50" w:firstLine="0"/>
              <w:jc w:val="center"/>
            </w:pPr>
            <w:r>
              <w:rPr>
                <w:sz w:val="18"/>
              </w:rPr>
              <w:t>X</w:t>
            </w:r>
          </w:p>
        </w:tc>
        <w:tc>
          <w:tcPr>
            <w:tcW w:w="900" w:type="dxa"/>
            <w:tcBorders>
              <w:top w:val="single" w:sz="4" w:space="0" w:color="000000"/>
              <w:left w:val="single" w:sz="12" w:space="0" w:color="000000"/>
              <w:bottom w:val="single" w:sz="4" w:space="0" w:color="000000"/>
              <w:right w:val="single" w:sz="12" w:space="0" w:color="000000"/>
            </w:tcBorders>
          </w:tcPr>
          <w:p w14:paraId="7F9A5F8A" w14:textId="22A451E0" w:rsidR="00014B37" w:rsidRDefault="00014B37" w:rsidP="00CE1A8B">
            <w:pPr>
              <w:spacing w:after="0" w:line="259" w:lineRule="auto"/>
              <w:ind w:left="0" w:right="52" w:firstLine="0"/>
              <w:jc w:val="center"/>
            </w:pPr>
            <w:r>
              <w:rPr>
                <w:sz w:val="18"/>
              </w:rPr>
              <w:t>X</w:t>
            </w:r>
          </w:p>
        </w:tc>
        <w:tc>
          <w:tcPr>
            <w:tcW w:w="900" w:type="dxa"/>
            <w:tcBorders>
              <w:top w:val="single" w:sz="4" w:space="0" w:color="000000"/>
              <w:left w:val="single" w:sz="12" w:space="0" w:color="000000"/>
              <w:bottom w:val="single" w:sz="4" w:space="0" w:color="000000"/>
              <w:right w:val="single" w:sz="12" w:space="0" w:color="000000"/>
            </w:tcBorders>
            <w:vAlign w:val="center"/>
          </w:tcPr>
          <w:p w14:paraId="60503348" w14:textId="14E5C0B1" w:rsidR="00014B37" w:rsidRDefault="00014B37" w:rsidP="00724AC2">
            <w:pPr>
              <w:spacing w:after="0" w:line="259" w:lineRule="auto"/>
              <w:ind w:left="38" w:right="0" w:firstLine="0"/>
              <w:jc w:val="center"/>
            </w:pPr>
            <w:r>
              <w:rPr>
                <w:sz w:val="18"/>
              </w:rPr>
              <w:t>8260</w:t>
            </w:r>
          </w:p>
        </w:tc>
        <w:tc>
          <w:tcPr>
            <w:tcW w:w="720" w:type="dxa"/>
            <w:tcBorders>
              <w:top w:val="single" w:sz="4" w:space="0" w:color="000000"/>
              <w:left w:val="single" w:sz="12" w:space="0" w:color="000000"/>
              <w:bottom w:val="single" w:sz="4" w:space="0" w:color="000000"/>
              <w:right w:val="single" w:sz="12" w:space="0" w:color="000000"/>
            </w:tcBorders>
            <w:vAlign w:val="center"/>
          </w:tcPr>
          <w:p w14:paraId="7FCC3E9F" w14:textId="18AF01DE" w:rsidR="00014B37" w:rsidRPr="00222068" w:rsidRDefault="00014B37" w:rsidP="00724AC2">
            <w:pPr>
              <w:spacing w:after="0" w:line="259" w:lineRule="auto"/>
              <w:ind w:left="0" w:right="0" w:firstLine="0"/>
              <w:jc w:val="center"/>
              <w:rPr>
                <w:iCs/>
              </w:rPr>
            </w:pPr>
          </w:p>
        </w:tc>
      </w:tr>
      <w:tr w:rsidR="00014B37" w14:paraId="6DDD6B87" w14:textId="77777777" w:rsidTr="005B6604">
        <w:trPr>
          <w:trHeight w:val="245"/>
        </w:trPr>
        <w:tc>
          <w:tcPr>
            <w:tcW w:w="2948" w:type="dxa"/>
            <w:tcBorders>
              <w:top w:val="single" w:sz="4" w:space="0" w:color="000000"/>
              <w:left w:val="single" w:sz="12" w:space="0" w:color="000000"/>
              <w:bottom w:val="single" w:sz="4" w:space="0" w:color="000000"/>
              <w:right w:val="single" w:sz="12" w:space="0" w:color="000000"/>
            </w:tcBorders>
          </w:tcPr>
          <w:p w14:paraId="5431F171" w14:textId="77777777" w:rsidR="00014B37" w:rsidRDefault="00014B37" w:rsidP="00014B37">
            <w:pPr>
              <w:spacing w:after="0" w:line="259" w:lineRule="auto"/>
              <w:ind w:left="0" w:right="0" w:firstLine="0"/>
            </w:pPr>
            <w:r>
              <w:rPr>
                <w:sz w:val="18"/>
              </w:rPr>
              <w:t xml:space="preserve">Paraldehyde </w:t>
            </w:r>
          </w:p>
        </w:tc>
        <w:tc>
          <w:tcPr>
            <w:tcW w:w="964" w:type="dxa"/>
            <w:tcBorders>
              <w:top w:val="single" w:sz="4" w:space="0" w:color="000000"/>
              <w:left w:val="single" w:sz="12" w:space="0" w:color="000000"/>
              <w:bottom w:val="single" w:sz="4" w:space="0" w:color="000000"/>
              <w:right w:val="single" w:sz="12" w:space="0" w:color="000000"/>
            </w:tcBorders>
          </w:tcPr>
          <w:p w14:paraId="1B085FB5" w14:textId="4D1DF043" w:rsidR="00014B37" w:rsidRDefault="00014B37" w:rsidP="006727F9">
            <w:pPr>
              <w:spacing w:after="0" w:line="259" w:lineRule="auto"/>
              <w:ind w:left="0" w:right="49" w:firstLine="0"/>
              <w:jc w:val="center"/>
            </w:pPr>
            <w:r>
              <w:rPr>
                <w:sz w:val="18"/>
              </w:rPr>
              <w:t>123-63-7</w:t>
            </w:r>
          </w:p>
        </w:tc>
        <w:tc>
          <w:tcPr>
            <w:tcW w:w="623" w:type="dxa"/>
            <w:tcBorders>
              <w:top w:val="single" w:sz="4" w:space="0" w:color="000000"/>
              <w:left w:val="single" w:sz="12" w:space="0" w:color="000000"/>
              <w:bottom w:val="single" w:sz="4" w:space="0" w:color="000000"/>
              <w:right w:val="single" w:sz="12" w:space="0" w:color="000000"/>
            </w:tcBorders>
          </w:tcPr>
          <w:p w14:paraId="2B4C6C8F" w14:textId="5DCFD07E" w:rsidR="00014B37" w:rsidRDefault="00014B37" w:rsidP="00CE1A8B">
            <w:pPr>
              <w:tabs>
                <w:tab w:val="right" w:pos="535"/>
              </w:tabs>
              <w:spacing w:after="0" w:line="259" w:lineRule="auto"/>
              <w:ind w:left="0" w:right="0" w:firstLine="0"/>
              <w:jc w:val="center"/>
            </w:pPr>
            <w:r>
              <w:rPr>
                <w:sz w:val="18"/>
              </w:rPr>
              <w:t>50</w:t>
            </w:r>
          </w:p>
        </w:tc>
        <w:tc>
          <w:tcPr>
            <w:tcW w:w="870" w:type="dxa"/>
            <w:tcBorders>
              <w:top w:val="single" w:sz="4" w:space="0" w:color="000000"/>
              <w:left w:val="single" w:sz="12" w:space="0" w:color="000000"/>
              <w:bottom w:val="single" w:sz="4" w:space="0" w:color="000000"/>
              <w:right w:val="single" w:sz="12" w:space="0" w:color="000000"/>
            </w:tcBorders>
          </w:tcPr>
          <w:p w14:paraId="2DED8091" w14:textId="10970964" w:rsidR="00014B37" w:rsidRDefault="00014B37" w:rsidP="00CE1A8B">
            <w:pPr>
              <w:spacing w:after="0" w:line="259" w:lineRule="auto"/>
              <w:ind w:left="0" w:right="53" w:firstLine="0"/>
              <w:jc w:val="center"/>
            </w:pPr>
            <w:r>
              <w:rPr>
                <w:sz w:val="18"/>
              </w:rPr>
              <w:t>ug/L</w:t>
            </w:r>
          </w:p>
        </w:tc>
        <w:tc>
          <w:tcPr>
            <w:tcW w:w="810" w:type="dxa"/>
            <w:tcBorders>
              <w:top w:val="single" w:sz="4" w:space="0" w:color="000000"/>
              <w:left w:val="single" w:sz="12" w:space="0" w:color="000000"/>
              <w:bottom w:val="single" w:sz="4" w:space="0" w:color="000000"/>
              <w:right w:val="single" w:sz="12" w:space="0" w:color="000000"/>
            </w:tcBorders>
          </w:tcPr>
          <w:p w14:paraId="0B6A139F" w14:textId="087E63BE" w:rsidR="00014B37" w:rsidRDefault="00014B37" w:rsidP="00CE1A8B">
            <w:pPr>
              <w:tabs>
                <w:tab w:val="right" w:pos="717"/>
              </w:tabs>
              <w:spacing w:after="0" w:line="259" w:lineRule="auto"/>
              <w:ind w:left="0" w:right="0" w:firstLine="0"/>
              <w:jc w:val="center"/>
            </w:pPr>
            <w:r>
              <w:rPr>
                <w:sz w:val="18"/>
              </w:rPr>
              <w:t>50</w:t>
            </w:r>
          </w:p>
        </w:tc>
        <w:tc>
          <w:tcPr>
            <w:tcW w:w="793" w:type="dxa"/>
            <w:tcBorders>
              <w:top w:val="single" w:sz="4" w:space="0" w:color="000000"/>
              <w:left w:val="single" w:sz="12" w:space="0" w:color="000000"/>
              <w:bottom w:val="single" w:sz="4" w:space="0" w:color="000000"/>
              <w:right w:val="single" w:sz="12" w:space="0" w:color="000000"/>
            </w:tcBorders>
          </w:tcPr>
          <w:p w14:paraId="7F7F5F2C" w14:textId="0D500D02" w:rsidR="00014B37" w:rsidRDefault="00014B37" w:rsidP="00CE1A8B">
            <w:pPr>
              <w:spacing w:after="0" w:line="259" w:lineRule="auto"/>
              <w:ind w:left="0" w:right="51" w:firstLine="0"/>
              <w:jc w:val="center"/>
            </w:pPr>
            <w:r>
              <w:rPr>
                <w:rFonts w:eastAsia="Segoe UI Symbol"/>
                <w:sz w:val="18"/>
              </w:rPr>
              <w:t>u</w:t>
            </w:r>
            <w:r>
              <w:rPr>
                <w:sz w:val="18"/>
              </w:rPr>
              <w:t>g/kg</w:t>
            </w:r>
          </w:p>
        </w:tc>
        <w:tc>
          <w:tcPr>
            <w:tcW w:w="642" w:type="dxa"/>
            <w:tcBorders>
              <w:top w:val="single" w:sz="4" w:space="0" w:color="000000"/>
              <w:left w:val="single" w:sz="12" w:space="0" w:color="000000"/>
              <w:bottom w:val="single" w:sz="4" w:space="0" w:color="000000"/>
              <w:right w:val="single" w:sz="12" w:space="0" w:color="000000"/>
            </w:tcBorders>
          </w:tcPr>
          <w:p w14:paraId="547325D3" w14:textId="530FCABC" w:rsidR="00014B37" w:rsidRDefault="00014B37" w:rsidP="00CE1A8B">
            <w:pPr>
              <w:spacing w:after="0" w:line="259" w:lineRule="auto"/>
              <w:ind w:left="0" w:right="49" w:firstLine="0"/>
              <w:jc w:val="center"/>
            </w:pPr>
            <w:r>
              <w:rPr>
                <w:sz w:val="18"/>
              </w:rPr>
              <w:t>X</w:t>
            </w:r>
          </w:p>
        </w:tc>
        <w:tc>
          <w:tcPr>
            <w:tcW w:w="450" w:type="dxa"/>
            <w:tcBorders>
              <w:top w:val="single" w:sz="4" w:space="0" w:color="000000"/>
              <w:left w:val="single" w:sz="12" w:space="0" w:color="000000"/>
              <w:bottom w:val="single" w:sz="4" w:space="0" w:color="000000"/>
              <w:right w:val="single" w:sz="12" w:space="0" w:color="000000"/>
            </w:tcBorders>
          </w:tcPr>
          <w:p w14:paraId="607EFFD1" w14:textId="1FE1734D" w:rsidR="00014B37" w:rsidRDefault="00014B37" w:rsidP="006727F9">
            <w:pPr>
              <w:spacing w:after="0" w:line="259" w:lineRule="auto"/>
              <w:ind w:left="0" w:right="0" w:firstLine="0"/>
              <w:jc w:val="center"/>
            </w:pPr>
          </w:p>
        </w:tc>
        <w:tc>
          <w:tcPr>
            <w:tcW w:w="900" w:type="dxa"/>
            <w:tcBorders>
              <w:top w:val="single" w:sz="4" w:space="0" w:color="000000"/>
              <w:left w:val="single" w:sz="12" w:space="0" w:color="000000"/>
              <w:bottom w:val="single" w:sz="4" w:space="0" w:color="000000"/>
              <w:right w:val="single" w:sz="12" w:space="0" w:color="000000"/>
            </w:tcBorders>
          </w:tcPr>
          <w:p w14:paraId="0328F1E9" w14:textId="2711251E" w:rsidR="00014B37" w:rsidRDefault="00014B37" w:rsidP="00CE1A8B">
            <w:pPr>
              <w:spacing w:after="0" w:line="259" w:lineRule="auto"/>
              <w:ind w:left="0" w:right="7" w:firstLine="0"/>
              <w:jc w:val="center"/>
            </w:pPr>
          </w:p>
        </w:tc>
        <w:tc>
          <w:tcPr>
            <w:tcW w:w="900" w:type="dxa"/>
            <w:tcBorders>
              <w:top w:val="single" w:sz="4" w:space="0" w:color="000000"/>
              <w:left w:val="single" w:sz="12" w:space="0" w:color="000000"/>
              <w:bottom w:val="single" w:sz="4" w:space="0" w:color="000000"/>
              <w:right w:val="single" w:sz="12" w:space="0" w:color="000000"/>
            </w:tcBorders>
            <w:vAlign w:val="center"/>
          </w:tcPr>
          <w:p w14:paraId="54D52A38" w14:textId="57C9C910" w:rsidR="00014B37" w:rsidRDefault="00014B37" w:rsidP="00724AC2">
            <w:pPr>
              <w:spacing w:after="0" w:line="259" w:lineRule="auto"/>
              <w:ind w:left="0" w:right="0" w:firstLine="0"/>
              <w:jc w:val="center"/>
            </w:pPr>
            <w:r>
              <w:rPr>
                <w:sz w:val="18"/>
              </w:rPr>
              <w:t>8260</w:t>
            </w:r>
          </w:p>
        </w:tc>
        <w:tc>
          <w:tcPr>
            <w:tcW w:w="720" w:type="dxa"/>
            <w:tcBorders>
              <w:top w:val="single" w:sz="4" w:space="0" w:color="000000"/>
              <w:left w:val="single" w:sz="12" w:space="0" w:color="000000"/>
              <w:bottom w:val="single" w:sz="4" w:space="0" w:color="000000"/>
              <w:right w:val="single" w:sz="12" w:space="0" w:color="000000"/>
            </w:tcBorders>
            <w:vAlign w:val="center"/>
          </w:tcPr>
          <w:p w14:paraId="10C1977E" w14:textId="185EBEE5" w:rsidR="00014B37" w:rsidRDefault="00014B37" w:rsidP="00724AC2">
            <w:pPr>
              <w:spacing w:after="0" w:line="259" w:lineRule="auto"/>
              <w:ind w:left="0" w:right="0" w:firstLine="0"/>
              <w:jc w:val="center"/>
            </w:pPr>
            <w:r>
              <w:rPr>
                <w:sz w:val="18"/>
              </w:rPr>
              <w:t>8015</w:t>
            </w:r>
          </w:p>
        </w:tc>
      </w:tr>
      <w:tr w:rsidR="00014B37" w14:paraId="2ABF0870" w14:textId="77777777" w:rsidTr="005B6604">
        <w:trPr>
          <w:trHeight w:val="245"/>
        </w:trPr>
        <w:tc>
          <w:tcPr>
            <w:tcW w:w="2948" w:type="dxa"/>
            <w:tcBorders>
              <w:top w:val="single" w:sz="4" w:space="0" w:color="000000"/>
              <w:left w:val="single" w:sz="12" w:space="0" w:color="000000"/>
              <w:bottom w:val="single" w:sz="4" w:space="0" w:color="000000"/>
              <w:right w:val="single" w:sz="12" w:space="0" w:color="000000"/>
            </w:tcBorders>
          </w:tcPr>
          <w:p w14:paraId="62730111" w14:textId="77777777" w:rsidR="00014B37" w:rsidRDefault="00014B37" w:rsidP="00014B37">
            <w:pPr>
              <w:spacing w:after="0" w:line="259" w:lineRule="auto"/>
              <w:ind w:left="0" w:right="0" w:firstLine="0"/>
            </w:pPr>
            <w:proofErr w:type="spellStart"/>
            <w:r>
              <w:rPr>
                <w:sz w:val="18"/>
              </w:rPr>
              <w:t>Pentachloroethane</w:t>
            </w:r>
            <w:proofErr w:type="spellEnd"/>
            <w:r>
              <w:rPr>
                <w:sz w:val="18"/>
              </w:rPr>
              <w:t xml:space="preserve">  </w:t>
            </w:r>
          </w:p>
        </w:tc>
        <w:tc>
          <w:tcPr>
            <w:tcW w:w="964" w:type="dxa"/>
            <w:tcBorders>
              <w:top w:val="single" w:sz="4" w:space="0" w:color="000000"/>
              <w:left w:val="single" w:sz="12" w:space="0" w:color="000000"/>
              <w:bottom w:val="single" w:sz="4" w:space="0" w:color="000000"/>
              <w:right w:val="single" w:sz="12" w:space="0" w:color="000000"/>
            </w:tcBorders>
          </w:tcPr>
          <w:p w14:paraId="70FCE016" w14:textId="73334A7E" w:rsidR="00014B37" w:rsidRDefault="00014B37" w:rsidP="006727F9">
            <w:pPr>
              <w:spacing w:after="0" w:line="259" w:lineRule="auto"/>
              <w:ind w:left="0" w:right="49" w:firstLine="0"/>
              <w:jc w:val="center"/>
            </w:pPr>
            <w:r>
              <w:rPr>
                <w:sz w:val="18"/>
              </w:rPr>
              <w:t>76-01-7</w:t>
            </w:r>
          </w:p>
        </w:tc>
        <w:tc>
          <w:tcPr>
            <w:tcW w:w="623" w:type="dxa"/>
            <w:tcBorders>
              <w:top w:val="single" w:sz="4" w:space="0" w:color="000000"/>
              <w:left w:val="single" w:sz="12" w:space="0" w:color="000000"/>
              <w:bottom w:val="single" w:sz="4" w:space="0" w:color="000000"/>
              <w:right w:val="single" w:sz="12" w:space="0" w:color="000000"/>
            </w:tcBorders>
          </w:tcPr>
          <w:p w14:paraId="302D8FF3" w14:textId="73C52E10" w:rsidR="00014B37" w:rsidRDefault="00014B37" w:rsidP="00CE1A8B">
            <w:pPr>
              <w:tabs>
                <w:tab w:val="right" w:pos="535"/>
              </w:tabs>
              <w:spacing w:after="0" w:line="259" w:lineRule="auto"/>
              <w:ind w:left="0" w:right="0" w:firstLine="0"/>
              <w:jc w:val="center"/>
            </w:pPr>
            <w:r>
              <w:rPr>
                <w:sz w:val="18"/>
              </w:rPr>
              <w:t>5</w:t>
            </w:r>
          </w:p>
        </w:tc>
        <w:tc>
          <w:tcPr>
            <w:tcW w:w="870" w:type="dxa"/>
            <w:tcBorders>
              <w:top w:val="single" w:sz="4" w:space="0" w:color="000000"/>
              <w:left w:val="single" w:sz="12" w:space="0" w:color="000000"/>
              <w:bottom w:val="single" w:sz="4" w:space="0" w:color="000000"/>
              <w:right w:val="single" w:sz="12" w:space="0" w:color="000000"/>
            </w:tcBorders>
          </w:tcPr>
          <w:p w14:paraId="5EF81CBD" w14:textId="11BDC241" w:rsidR="00014B37" w:rsidRDefault="00014B37" w:rsidP="00CE1A8B">
            <w:pPr>
              <w:spacing w:after="0" w:line="259" w:lineRule="auto"/>
              <w:ind w:left="0" w:right="53" w:firstLine="0"/>
              <w:jc w:val="center"/>
            </w:pPr>
            <w:r>
              <w:rPr>
                <w:sz w:val="18"/>
              </w:rPr>
              <w:t>ug/L</w:t>
            </w:r>
          </w:p>
        </w:tc>
        <w:tc>
          <w:tcPr>
            <w:tcW w:w="810" w:type="dxa"/>
            <w:tcBorders>
              <w:top w:val="single" w:sz="4" w:space="0" w:color="000000"/>
              <w:left w:val="single" w:sz="12" w:space="0" w:color="000000"/>
              <w:bottom w:val="single" w:sz="4" w:space="0" w:color="000000"/>
              <w:right w:val="single" w:sz="12" w:space="0" w:color="000000"/>
            </w:tcBorders>
          </w:tcPr>
          <w:p w14:paraId="6F737917" w14:textId="7E0222E9" w:rsidR="00014B37" w:rsidRDefault="00014B37" w:rsidP="00CE1A8B">
            <w:pPr>
              <w:tabs>
                <w:tab w:val="right" w:pos="717"/>
              </w:tabs>
              <w:spacing w:after="0" w:line="259" w:lineRule="auto"/>
              <w:ind w:left="0" w:right="0" w:firstLine="0"/>
              <w:jc w:val="center"/>
            </w:pPr>
            <w:r>
              <w:rPr>
                <w:sz w:val="18"/>
              </w:rPr>
              <w:t>5</w:t>
            </w:r>
          </w:p>
        </w:tc>
        <w:tc>
          <w:tcPr>
            <w:tcW w:w="793" w:type="dxa"/>
            <w:tcBorders>
              <w:top w:val="single" w:sz="4" w:space="0" w:color="000000"/>
              <w:left w:val="single" w:sz="12" w:space="0" w:color="000000"/>
              <w:bottom w:val="single" w:sz="4" w:space="0" w:color="000000"/>
              <w:right w:val="single" w:sz="12" w:space="0" w:color="000000"/>
            </w:tcBorders>
          </w:tcPr>
          <w:p w14:paraId="3BF95FEA" w14:textId="37D20278" w:rsidR="00014B37" w:rsidRDefault="00014B37" w:rsidP="00CE1A8B">
            <w:pPr>
              <w:spacing w:after="0" w:line="259" w:lineRule="auto"/>
              <w:ind w:left="0" w:right="51" w:firstLine="0"/>
              <w:jc w:val="center"/>
            </w:pPr>
            <w:r>
              <w:rPr>
                <w:rFonts w:eastAsia="Segoe UI Symbol"/>
                <w:sz w:val="18"/>
              </w:rPr>
              <w:t>u</w:t>
            </w:r>
            <w:r>
              <w:rPr>
                <w:sz w:val="18"/>
              </w:rPr>
              <w:t>g/kg</w:t>
            </w:r>
          </w:p>
        </w:tc>
        <w:tc>
          <w:tcPr>
            <w:tcW w:w="642" w:type="dxa"/>
            <w:tcBorders>
              <w:top w:val="single" w:sz="4" w:space="0" w:color="000000"/>
              <w:left w:val="single" w:sz="12" w:space="0" w:color="000000"/>
              <w:bottom w:val="single" w:sz="4" w:space="0" w:color="000000"/>
              <w:right w:val="single" w:sz="12" w:space="0" w:color="000000"/>
            </w:tcBorders>
          </w:tcPr>
          <w:p w14:paraId="68E177E3" w14:textId="0EB57AAE" w:rsidR="00014B37" w:rsidRDefault="00014B37" w:rsidP="00CE1A8B">
            <w:pPr>
              <w:spacing w:after="0" w:line="259" w:lineRule="auto"/>
              <w:ind w:left="0" w:right="49" w:firstLine="0"/>
              <w:jc w:val="center"/>
            </w:pPr>
            <w:r>
              <w:rPr>
                <w:sz w:val="18"/>
              </w:rPr>
              <w:t>X</w:t>
            </w:r>
          </w:p>
        </w:tc>
        <w:tc>
          <w:tcPr>
            <w:tcW w:w="450" w:type="dxa"/>
            <w:tcBorders>
              <w:top w:val="single" w:sz="4" w:space="0" w:color="000000"/>
              <w:left w:val="single" w:sz="12" w:space="0" w:color="000000"/>
              <w:bottom w:val="single" w:sz="4" w:space="0" w:color="000000"/>
              <w:right w:val="single" w:sz="12" w:space="0" w:color="000000"/>
            </w:tcBorders>
          </w:tcPr>
          <w:p w14:paraId="2CC11E2D" w14:textId="63302AD1" w:rsidR="00014B37" w:rsidRDefault="00014B37" w:rsidP="00CE1A8B">
            <w:pPr>
              <w:spacing w:after="0" w:line="259" w:lineRule="auto"/>
              <w:ind w:left="0" w:right="50" w:firstLine="0"/>
              <w:jc w:val="center"/>
            </w:pPr>
            <w:r>
              <w:rPr>
                <w:sz w:val="18"/>
              </w:rPr>
              <w:t>X</w:t>
            </w:r>
          </w:p>
        </w:tc>
        <w:tc>
          <w:tcPr>
            <w:tcW w:w="900" w:type="dxa"/>
            <w:tcBorders>
              <w:top w:val="single" w:sz="4" w:space="0" w:color="000000"/>
              <w:left w:val="single" w:sz="12" w:space="0" w:color="000000"/>
              <w:bottom w:val="single" w:sz="4" w:space="0" w:color="000000"/>
              <w:right w:val="single" w:sz="12" w:space="0" w:color="000000"/>
            </w:tcBorders>
          </w:tcPr>
          <w:p w14:paraId="07AF6E9B" w14:textId="49E78A50" w:rsidR="00014B37" w:rsidRDefault="00014B37" w:rsidP="00CE1A8B">
            <w:pPr>
              <w:spacing w:after="0" w:line="259" w:lineRule="auto"/>
              <w:ind w:left="0" w:right="7" w:firstLine="0"/>
              <w:jc w:val="center"/>
            </w:pPr>
          </w:p>
        </w:tc>
        <w:tc>
          <w:tcPr>
            <w:tcW w:w="900" w:type="dxa"/>
            <w:tcBorders>
              <w:top w:val="single" w:sz="4" w:space="0" w:color="000000"/>
              <w:left w:val="single" w:sz="12" w:space="0" w:color="000000"/>
              <w:bottom w:val="single" w:sz="4" w:space="0" w:color="000000"/>
              <w:right w:val="single" w:sz="12" w:space="0" w:color="000000"/>
            </w:tcBorders>
            <w:vAlign w:val="center"/>
          </w:tcPr>
          <w:p w14:paraId="7032E402" w14:textId="52B1F89A" w:rsidR="00014B37" w:rsidRDefault="00014B37" w:rsidP="00724AC2">
            <w:pPr>
              <w:spacing w:after="0" w:line="259" w:lineRule="auto"/>
              <w:ind w:left="0" w:right="0" w:firstLine="0"/>
              <w:jc w:val="center"/>
            </w:pPr>
            <w:r>
              <w:rPr>
                <w:sz w:val="18"/>
              </w:rPr>
              <w:t>8260</w:t>
            </w:r>
          </w:p>
        </w:tc>
        <w:tc>
          <w:tcPr>
            <w:tcW w:w="720" w:type="dxa"/>
            <w:tcBorders>
              <w:top w:val="single" w:sz="4" w:space="0" w:color="000000"/>
              <w:left w:val="single" w:sz="12" w:space="0" w:color="000000"/>
              <w:bottom w:val="single" w:sz="4" w:space="0" w:color="000000"/>
              <w:right w:val="single" w:sz="12" w:space="0" w:color="000000"/>
            </w:tcBorders>
            <w:vAlign w:val="center"/>
          </w:tcPr>
          <w:p w14:paraId="6B62074D" w14:textId="4115E94D" w:rsidR="00014B37" w:rsidRDefault="00014B37" w:rsidP="00724AC2">
            <w:pPr>
              <w:spacing w:after="0" w:line="259" w:lineRule="auto"/>
              <w:ind w:left="0" w:right="0" w:firstLine="0"/>
              <w:jc w:val="center"/>
            </w:pPr>
          </w:p>
        </w:tc>
      </w:tr>
      <w:tr w:rsidR="00014B37" w14:paraId="4CE3661D" w14:textId="77777777" w:rsidTr="005B6604">
        <w:trPr>
          <w:trHeight w:val="245"/>
        </w:trPr>
        <w:tc>
          <w:tcPr>
            <w:tcW w:w="2948" w:type="dxa"/>
            <w:tcBorders>
              <w:top w:val="single" w:sz="4" w:space="0" w:color="000000"/>
              <w:left w:val="single" w:sz="12" w:space="0" w:color="000000"/>
              <w:bottom w:val="single" w:sz="4" w:space="0" w:color="000000"/>
              <w:right w:val="single" w:sz="12" w:space="0" w:color="000000"/>
            </w:tcBorders>
          </w:tcPr>
          <w:p w14:paraId="7DB38714" w14:textId="67D14EA7" w:rsidR="00014B37" w:rsidRDefault="00014B37" w:rsidP="00014B37">
            <w:pPr>
              <w:spacing w:after="0" w:line="259" w:lineRule="auto"/>
              <w:ind w:left="0" w:right="0" w:firstLine="0"/>
            </w:pPr>
            <w:r>
              <w:rPr>
                <w:sz w:val="18"/>
              </w:rPr>
              <w:t xml:space="preserve">Propionitrile (ethyl cyanide) </w:t>
            </w:r>
          </w:p>
        </w:tc>
        <w:tc>
          <w:tcPr>
            <w:tcW w:w="964" w:type="dxa"/>
            <w:tcBorders>
              <w:top w:val="single" w:sz="4" w:space="0" w:color="000000"/>
              <w:left w:val="single" w:sz="12" w:space="0" w:color="000000"/>
              <w:bottom w:val="single" w:sz="4" w:space="0" w:color="000000"/>
              <w:right w:val="single" w:sz="12" w:space="0" w:color="000000"/>
            </w:tcBorders>
          </w:tcPr>
          <w:p w14:paraId="6B51F4A9" w14:textId="109B081C" w:rsidR="00014B37" w:rsidRDefault="00014B37" w:rsidP="006727F9">
            <w:pPr>
              <w:spacing w:after="0" w:line="259" w:lineRule="auto"/>
              <w:ind w:left="0" w:right="49" w:firstLine="0"/>
              <w:jc w:val="center"/>
            </w:pPr>
            <w:r>
              <w:rPr>
                <w:sz w:val="18"/>
              </w:rPr>
              <w:t>107-12-0</w:t>
            </w:r>
          </w:p>
        </w:tc>
        <w:tc>
          <w:tcPr>
            <w:tcW w:w="623" w:type="dxa"/>
            <w:tcBorders>
              <w:top w:val="single" w:sz="4" w:space="0" w:color="000000"/>
              <w:left w:val="single" w:sz="12" w:space="0" w:color="000000"/>
              <w:bottom w:val="single" w:sz="4" w:space="0" w:color="000000"/>
              <w:right w:val="single" w:sz="12" w:space="0" w:color="000000"/>
            </w:tcBorders>
          </w:tcPr>
          <w:p w14:paraId="4223F4E6" w14:textId="33023364" w:rsidR="00014B37" w:rsidRDefault="00014B37" w:rsidP="00CE1A8B">
            <w:pPr>
              <w:tabs>
                <w:tab w:val="right" w:pos="535"/>
              </w:tabs>
              <w:spacing w:after="0" w:line="259" w:lineRule="auto"/>
              <w:ind w:left="0" w:right="0" w:firstLine="0"/>
              <w:jc w:val="center"/>
            </w:pPr>
            <w:r>
              <w:rPr>
                <w:sz w:val="18"/>
              </w:rPr>
              <w:t>20</w:t>
            </w:r>
          </w:p>
        </w:tc>
        <w:tc>
          <w:tcPr>
            <w:tcW w:w="870" w:type="dxa"/>
            <w:tcBorders>
              <w:top w:val="single" w:sz="4" w:space="0" w:color="000000"/>
              <w:left w:val="single" w:sz="12" w:space="0" w:color="000000"/>
              <w:bottom w:val="single" w:sz="4" w:space="0" w:color="000000"/>
              <w:right w:val="single" w:sz="12" w:space="0" w:color="000000"/>
            </w:tcBorders>
          </w:tcPr>
          <w:p w14:paraId="7876FEFB" w14:textId="2692DDAF" w:rsidR="00014B37" w:rsidRDefault="00014B37" w:rsidP="00CE1A8B">
            <w:pPr>
              <w:spacing w:after="0" w:line="259" w:lineRule="auto"/>
              <w:ind w:left="0" w:right="53" w:firstLine="0"/>
              <w:jc w:val="center"/>
            </w:pPr>
            <w:r>
              <w:rPr>
                <w:sz w:val="18"/>
              </w:rPr>
              <w:t>ug/L</w:t>
            </w:r>
          </w:p>
        </w:tc>
        <w:tc>
          <w:tcPr>
            <w:tcW w:w="810" w:type="dxa"/>
            <w:tcBorders>
              <w:top w:val="single" w:sz="4" w:space="0" w:color="000000"/>
              <w:left w:val="single" w:sz="12" w:space="0" w:color="000000"/>
              <w:bottom w:val="single" w:sz="4" w:space="0" w:color="000000"/>
              <w:right w:val="single" w:sz="12" w:space="0" w:color="000000"/>
            </w:tcBorders>
          </w:tcPr>
          <w:p w14:paraId="0820E4D0" w14:textId="767A48C9" w:rsidR="00014B37" w:rsidRDefault="00014B37" w:rsidP="00CE1A8B">
            <w:pPr>
              <w:tabs>
                <w:tab w:val="right" w:pos="717"/>
              </w:tabs>
              <w:spacing w:after="0" w:line="259" w:lineRule="auto"/>
              <w:ind w:left="0" w:right="0" w:firstLine="0"/>
              <w:jc w:val="center"/>
            </w:pPr>
            <w:r>
              <w:rPr>
                <w:sz w:val="18"/>
              </w:rPr>
              <w:t>50</w:t>
            </w:r>
          </w:p>
        </w:tc>
        <w:tc>
          <w:tcPr>
            <w:tcW w:w="793" w:type="dxa"/>
            <w:tcBorders>
              <w:top w:val="single" w:sz="4" w:space="0" w:color="000000"/>
              <w:left w:val="single" w:sz="12" w:space="0" w:color="000000"/>
              <w:bottom w:val="single" w:sz="4" w:space="0" w:color="000000"/>
              <w:right w:val="single" w:sz="12" w:space="0" w:color="000000"/>
            </w:tcBorders>
          </w:tcPr>
          <w:p w14:paraId="70F6BC54" w14:textId="6B4F4F4C" w:rsidR="00014B37" w:rsidRDefault="00014B37" w:rsidP="00CE1A8B">
            <w:pPr>
              <w:spacing w:after="0" w:line="259" w:lineRule="auto"/>
              <w:ind w:left="0" w:right="51" w:firstLine="0"/>
              <w:jc w:val="center"/>
            </w:pPr>
            <w:r>
              <w:rPr>
                <w:rFonts w:eastAsia="Segoe UI Symbol"/>
                <w:sz w:val="18"/>
              </w:rPr>
              <w:t>u</w:t>
            </w:r>
            <w:r>
              <w:rPr>
                <w:sz w:val="18"/>
              </w:rPr>
              <w:t>g/kg</w:t>
            </w:r>
          </w:p>
        </w:tc>
        <w:tc>
          <w:tcPr>
            <w:tcW w:w="642" w:type="dxa"/>
            <w:tcBorders>
              <w:top w:val="single" w:sz="4" w:space="0" w:color="000000"/>
              <w:left w:val="single" w:sz="12" w:space="0" w:color="000000"/>
              <w:bottom w:val="single" w:sz="4" w:space="0" w:color="000000"/>
              <w:right w:val="single" w:sz="12" w:space="0" w:color="000000"/>
            </w:tcBorders>
          </w:tcPr>
          <w:p w14:paraId="44A3C845" w14:textId="5CA216CF" w:rsidR="00014B37" w:rsidRDefault="00014B37" w:rsidP="00CE1A8B">
            <w:pPr>
              <w:spacing w:after="0" w:line="259" w:lineRule="auto"/>
              <w:ind w:left="0" w:right="49" w:firstLine="0"/>
              <w:jc w:val="center"/>
            </w:pPr>
            <w:r>
              <w:rPr>
                <w:sz w:val="18"/>
              </w:rPr>
              <w:t>X</w:t>
            </w:r>
          </w:p>
        </w:tc>
        <w:tc>
          <w:tcPr>
            <w:tcW w:w="450" w:type="dxa"/>
            <w:tcBorders>
              <w:top w:val="single" w:sz="4" w:space="0" w:color="000000"/>
              <w:left w:val="single" w:sz="12" w:space="0" w:color="000000"/>
              <w:bottom w:val="single" w:sz="4" w:space="0" w:color="000000"/>
              <w:right w:val="single" w:sz="12" w:space="0" w:color="000000"/>
            </w:tcBorders>
          </w:tcPr>
          <w:p w14:paraId="5A46CC51" w14:textId="5151FB4F" w:rsidR="00014B37" w:rsidRDefault="00014B37" w:rsidP="00CE1A8B">
            <w:pPr>
              <w:spacing w:after="0" w:line="259" w:lineRule="auto"/>
              <w:ind w:left="0" w:right="50" w:firstLine="0"/>
              <w:jc w:val="center"/>
            </w:pPr>
            <w:r>
              <w:rPr>
                <w:sz w:val="18"/>
              </w:rPr>
              <w:t>X</w:t>
            </w:r>
          </w:p>
        </w:tc>
        <w:tc>
          <w:tcPr>
            <w:tcW w:w="900" w:type="dxa"/>
            <w:tcBorders>
              <w:top w:val="single" w:sz="4" w:space="0" w:color="000000"/>
              <w:left w:val="single" w:sz="12" w:space="0" w:color="000000"/>
              <w:bottom w:val="single" w:sz="4" w:space="0" w:color="000000"/>
              <w:right w:val="single" w:sz="12" w:space="0" w:color="000000"/>
            </w:tcBorders>
          </w:tcPr>
          <w:p w14:paraId="691923AD" w14:textId="5122E60E" w:rsidR="00014B37" w:rsidRDefault="00014B37" w:rsidP="00CE1A8B">
            <w:pPr>
              <w:spacing w:after="0" w:line="259" w:lineRule="auto"/>
              <w:ind w:left="0" w:right="52" w:firstLine="0"/>
              <w:jc w:val="center"/>
            </w:pPr>
            <w:r>
              <w:rPr>
                <w:sz w:val="18"/>
              </w:rPr>
              <w:t>X</w:t>
            </w:r>
          </w:p>
        </w:tc>
        <w:tc>
          <w:tcPr>
            <w:tcW w:w="900" w:type="dxa"/>
            <w:tcBorders>
              <w:top w:val="single" w:sz="4" w:space="0" w:color="000000"/>
              <w:left w:val="single" w:sz="12" w:space="0" w:color="000000"/>
              <w:bottom w:val="single" w:sz="4" w:space="0" w:color="000000"/>
              <w:right w:val="single" w:sz="12" w:space="0" w:color="000000"/>
            </w:tcBorders>
            <w:vAlign w:val="center"/>
          </w:tcPr>
          <w:p w14:paraId="047AA567" w14:textId="42E0978E" w:rsidR="00014B37" w:rsidRDefault="00014B37" w:rsidP="00724AC2">
            <w:pPr>
              <w:spacing w:after="0" w:line="259" w:lineRule="auto"/>
              <w:ind w:left="38" w:right="0" w:firstLine="0"/>
              <w:jc w:val="center"/>
            </w:pPr>
            <w:r>
              <w:rPr>
                <w:sz w:val="18"/>
              </w:rPr>
              <w:t>8260</w:t>
            </w:r>
          </w:p>
        </w:tc>
        <w:tc>
          <w:tcPr>
            <w:tcW w:w="720" w:type="dxa"/>
            <w:tcBorders>
              <w:top w:val="single" w:sz="4" w:space="0" w:color="000000"/>
              <w:left w:val="single" w:sz="12" w:space="0" w:color="000000"/>
              <w:bottom w:val="single" w:sz="4" w:space="0" w:color="000000"/>
              <w:right w:val="single" w:sz="12" w:space="0" w:color="000000"/>
            </w:tcBorders>
            <w:vAlign w:val="center"/>
          </w:tcPr>
          <w:p w14:paraId="70281610" w14:textId="3D22EEB7" w:rsidR="00014B37" w:rsidRDefault="00014B37" w:rsidP="00724AC2">
            <w:pPr>
              <w:spacing w:after="0" w:line="259" w:lineRule="auto"/>
              <w:ind w:left="0" w:right="0" w:firstLine="0"/>
              <w:jc w:val="center"/>
            </w:pPr>
            <w:r>
              <w:rPr>
                <w:sz w:val="18"/>
              </w:rPr>
              <w:t>8015</w:t>
            </w:r>
          </w:p>
        </w:tc>
      </w:tr>
      <w:tr w:rsidR="00014B37" w14:paraId="29DE6C1B" w14:textId="77777777" w:rsidTr="005B6604">
        <w:trPr>
          <w:trHeight w:val="245"/>
        </w:trPr>
        <w:tc>
          <w:tcPr>
            <w:tcW w:w="2948" w:type="dxa"/>
            <w:tcBorders>
              <w:top w:val="single" w:sz="4" w:space="0" w:color="000000"/>
              <w:left w:val="single" w:sz="12" w:space="0" w:color="000000"/>
              <w:bottom w:val="single" w:sz="12" w:space="0" w:color="000000"/>
              <w:right w:val="single" w:sz="12" w:space="0" w:color="000000"/>
            </w:tcBorders>
          </w:tcPr>
          <w:p w14:paraId="4AD13B94" w14:textId="77777777" w:rsidR="00014B37" w:rsidRDefault="00014B37" w:rsidP="00014B37">
            <w:pPr>
              <w:spacing w:after="0" w:line="259" w:lineRule="auto"/>
              <w:ind w:left="0" w:right="0" w:firstLine="0"/>
            </w:pPr>
            <w:r>
              <w:rPr>
                <w:sz w:val="18"/>
              </w:rPr>
              <w:t xml:space="preserve">1,2,3-Trichloropropane </w:t>
            </w:r>
          </w:p>
        </w:tc>
        <w:tc>
          <w:tcPr>
            <w:tcW w:w="964" w:type="dxa"/>
            <w:tcBorders>
              <w:top w:val="single" w:sz="4" w:space="0" w:color="000000"/>
              <w:left w:val="single" w:sz="12" w:space="0" w:color="000000"/>
              <w:bottom w:val="single" w:sz="12" w:space="0" w:color="000000"/>
              <w:right w:val="single" w:sz="12" w:space="0" w:color="000000"/>
            </w:tcBorders>
          </w:tcPr>
          <w:p w14:paraId="57E77CD3" w14:textId="002CAAF1" w:rsidR="00014B37" w:rsidRDefault="00014B37" w:rsidP="006727F9">
            <w:pPr>
              <w:spacing w:after="0" w:line="259" w:lineRule="auto"/>
              <w:ind w:left="0" w:right="49" w:firstLine="0"/>
              <w:jc w:val="center"/>
            </w:pPr>
            <w:r>
              <w:rPr>
                <w:sz w:val="18"/>
              </w:rPr>
              <w:t>96-18-4</w:t>
            </w:r>
          </w:p>
        </w:tc>
        <w:tc>
          <w:tcPr>
            <w:tcW w:w="623" w:type="dxa"/>
            <w:tcBorders>
              <w:top w:val="single" w:sz="4" w:space="0" w:color="000000"/>
              <w:left w:val="single" w:sz="12" w:space="0" w:color="000000"/>
              <w:bottom w:val="single" w:sz="12" w:space="0" w:color="000000"/>
              <w:right w:val="single" w:sz="12" w:space="0" w:color="000000"/>
            </w:tcBorders>
          </w:tcPr>
          <w:p w14:paraId="66AC7F3F" w14:textId="68190100" w:rsidR="00014B37" w:rsidRPr="00034C3A" w:rsidRDefault="00014B37" w:rsidP="00CE1A8B">
            <w:pPr>
              <w:tabs>
                <w:tab w:val="right" w:pos="535"/>
              </w:tabs>
              <w:spacing w:after="0" w:line="259" w:lineRule="auto"/>
              <w:ind w:left="0" w:right="0" w:firstLine="0"/>
              <w:jc w:val="center"/>
              <w:rPr>
                <w:bCs/>
              </w:rPr>
            </w:pPr>
            <w:r w:rsidRPr="00CB2740">
              <w:rPr>
                <w:bCs/>
                <w:sz w:val="18"/>
              </w:rPr>
              <w:t>1</w:t>
            </w:r>
          </w:p>
        </w:tc>
        <w:tc>
          <w:tcPr>
            <w:tcW w:w="870" w:type="dxa"/>
            <w:tcBorders>
              <w:top w:val="single" w:sz="4" w:space="0" w:color="000000"/>
              <w:left w:val="single" w:sz="12" w:space="0" w:color="000000"/>
              <w:bottom w:val="single" w:sz="12" w:space="0" w:color="000000"/>
              <w:right w:val="single" w:sz="12" w:space="0" w:color="000000"/>
            </w:tcBorders>
          </w:tcPr>
          <w:p w14:paraId="029A7081" w14:textId="4CA68577" w:rsidR="00014B37" w:rsidRDefault="00014B37" w:rsidP="00CE1A8B">
            <w:pPr>
              <w:spacing w:after="0" w:line="259" w:lineRule="auto"/>
              <w:ind w:left="0" w:right="53" w:firstLine="0"/>
              <w:jc w:val="center"/>
            </w:pPr>
            <w:r>
              <w:rPr>
                <w:sz w:val="18"/>
              </w:rPr>
              <w:t>ug/L</w:t>
            </w:r>
          </w:p>
        </w:tc>
        <w:tc>
          <w:tcPr>
            <w:tcW w:w="810" w:type="dxa"/>
            <w:tcBorders>
              <w:top w:val="single" w:sz="4" w:space="0" w:color="000000"/>
              <w:left w:val="single" w:sz="12" w:space="0" w:color="000000"/>
              <w:bottom w:val="single" w:sz="12" w:space="0" w:color="000000"/>
              <w:right w:val="single" w:sz="12" w:space="0" w:color="000000"/>
            </w:tcBorders>
          </w:tcPr>
          <w:p w14:paraId="79DAA574" w14:textId="2423F01B" w:rsidR="00014B37" w:rsidRPr="00034C3A" w:rsidRDefault="00014B37" w:rsidP="00CE1A8B">
            <w:pPr>
              <w:tabs>
                <w:tab w:val="center" w:pos="354"/>
              </w:tabs>
              <w:spacing w:after="0" w:line="259" w:lineRule="auto"/>
              <w:ind w:left="0" w:right="0" w:firstLine="0"/>
              <w:jc w:val="center"/>
              <w:rPr>
                <w:bCs/>
              </w:rPr>
            </w:pPr>
            <w:r w:rsidRPr="00CB2740">
              <w:rPr>
                <w:bCs/>
                <w:sz w:val="18"/>
              </w:rPr>
              <w:t>5</w:t>
            </w:r>
          </w:p>
        </w:tc>
        <w:tc>
          <w:tcPr>
            <w:tcW w:w="793" w:type="dxa"/>
            <w:tcBorders>
              <w:top w:val="single" w:sz="4" w:space="0" w:color="000000"/>
              <w:left w:val="single" w:sz="12" w:space="0" w:color="000000"/>
              <w:bottom w:val="single" w:sz="12" w:space="0" w:color="000000"/>
              <w:right w:val="single" w:sz="12" w:space="0" w:color="000000"/>
            </w:tcBorders>
          </w:tcPr>
          <w:p w14:paraId="540A53DE" w14:textId="2B5AFCA0" w:rsidR="00014B37" w:rsidRDefault="00014B37" w:rsidP="00CE1A8B">
            <w:pPr>
              <w:spacing w:after="0" w:line="259" w:lineRule="auto"/>
              <w:ind w:left="0" w:right="51" w:firstLine="0"/>
              <w:jc w:val="center"/>
            </w:pPr>
            <w:r>
              <w:rPr>
                <w:rFonts w:eastAsia="Segoe UI Symbol"/>
                <w:sz w:val="18"/>
              </w:rPr>
              <w:t>u</w:t>
            </w:r>
            <w:r>
              <w:rPr>
                <w:sz w:val="18"/>
              </w:rPr>
              <w:t>g/kg</w:t>
            </w:r>
          </w:p>
        </w:tc>
        <w:tc>
          <w:tcPr>
            <w:tcW w:w="642" w:type="dxa"/>
            <w:tcBorders>
              <w:top w:val="single" w:sz="4" w:space="0" w:color="000000"/>
              <w:left w:val="single" w:sz="12" w:space="0" w:color="000000"/>
              <w:bottom w:val="single" w:sz="12" w:space="0" w:color="000000"/>
              <w:right w:val="single" w:sz="12" w:space="0" w:color="000000"/>
            </w:tcBorders>
          </w:tcPr>
          <w:p w14:paraId="2B405ED1" w14:textId="5C9A588B" w:rsidR="00014B37" w:rsidRDefault="00014B37" w:rsidP="00CE1A8B">
            <w:pPr>
              <w:spacing w:after="0" w:line="259" w:lineRule="auto"/>
              <w:ind w:left="0" w:right="49" w:firstLine="0"/>
              <w:jc w:val="center"/>
            </w:pPr>
            <w:r>
              <w:rPr>
                <w:sz w:val="18"/>
              </w:rPr>
              <w:t>X</w:t>
            </w:r>
          </w:p>
        </w:tc>
        <w:tc>
          <w:tcPr>
            <w:tcW w:w="450" w:type="dxa"/>
            <w:tcBorders>
              <w:top w:val="single" w:sz="4" w:space="0" w:color="000000"/>
              <w:left w:val="single" w:sz="12" w:space="0" w:color="000000"/>
              <w:bottom w:val="single" w:sz="12" w:space="0" w:color="000000"/>
              <w:right w:val="single" w:sz="12" w:space="0" w:color="000000"/>
            </w:tcBorders>
          </w:tcPr>
          <w:p w14:paraId="5F82325E" w14:textId="2843C535" w:rsidR="00014B37" w:rsidRDefault="00014B37" w:rsidP="00CE1A8B">
            <w:pPr>
              <w:spacing w:after="0" w:line="259" w:lineRule="auto"/>
              <w:ind w:left="0" w:right="50" w:firstLine="0"/>
              <w:jc w:val="center"/>
            </w:pPr>
            <w:r>
              <w:rPr>
                <w:sz w:val="18"/>
              </w:rPr>
              <w:t>X</w:t>
            </w:r>
          </w:p>
        </w:tc>
        <w:tc>
          <w:tcPr>
            <w:tcW w:w="900" w:type="dxa"/>
            <w:tcBorders>
              <w:top w:val="single" w:sz="4" w:space="0" w:color="000000"/>
              <w:left w:val="single" w:sz="12" w:space="0" w:color="000000"/>
              <w:bottom w:val="single" w:sz="12" w:space="0" w:color="000000"/>
              <w:right w:val="single" w:sz="12" w:space="0" w:color="000000"/>
            </w:tcBorders>
          </w:tcPr>
          <w:p w14:paraId="20D33411" w14:textId="4AF14DA2" w:rsidR="00014B37" w:rsidRDefault="00014B37" w:rsidP="00CE1A8B">
            <w:pPr>
              <w:spacing w:after="0" w:line="259" w:lineRule="auto"/>
              <w:ind w:left="0" w:right="52" w:firstLine="0"/>
              <w:jc w:val="center"/>
            </w:pPr>
            <w:r>
              <w:rPr>
                <w:sz w:val="18"/>
              </w:rPr>
              <w:t>X</w:t>
            </w:r>
          </w:p>
        </w:tc>
        <w:tc>
          <w:tcPr>
            <w:tcW w:w="900" w:type="dxa"/>
            <w:tcBorders>
              <w:top w:val="single" w:sz="4" w:space="0" w:color="000000"/>
              <w:left w:val="single" w:sz="12" w:space="0" w:color="000000"/>
              <w:bottom w:val="single" w:sz="12" w:space="0" w:color="000000"/>
              <w:right w:val="single" w:sz="12" w:space="0" w:color="000000"/>
            </w:tcBorders>
            <w:vAlign w:val="center"/>
          </w:tcPr>
          <w:p w14:paraId="61812393" w14:textId="263C0F5A" w:rsidR="00014B37" w:rsidRDefault="00014B37" w:rsidP="00724AC2">
            <w:pPr>
              <w:spacing w:after="0" w:line="259" w:lineRule="auto"/>
              <w:ind w:left="38" w:right="0" w:firstLine="0"/>
              <w:jc w:val="center"/>
            </w:pPr>
            <w:r>
              <w:rPr>
                <w:sz w:val="18"/>
              </w:rPr>
              <w:t>8260</w:t>
            </w:r>
          </w:p>
        </w:tc>
        <w:tc>
          <w:tcPr>
            <w:tcW w:w="720" w:type="dxa"/>
            <w:tcBorders>
              <w:top w:val="single" w:sz="4" w:space="0" w:color="000000"/>
              <w:left w:val="single" w:sz="12" w:space="0" w:color="000000"/>
              <w:bottom w:val="single" w:sz="12" w:space="0" w:color="000000"/>
              <w:right w:val="single" w:sz="12" w:space="0" w:color="000000"/>
            </w:tcBorders>
            <w:vAlign w:val="center"/>
          </w:tcPr>
          <w:p w14:paraId="323EAF78" w14:textId="6925BED1" w:rsidR="00014B37" w:rsidRDefault="00014B37" w:rsidP="00724AC2">
            <w:pPr>
              <w:spacing w:after="0" w:line="259" w:lineRule="auto"/>
              <w:ind w:left="0" w:right="0" w:firstLine="0"/>
              <w:jc w:val="center"/>
            </w:pPr>
            <w:r>
              <w:rPr>
                <w:sz w:val="18"/>
              </w:rPr>
              <w:t>8021</w:t>
            </w:r>
          </w:p>
        </w:tc>
      </w:tr>
    </w:tbl>
    <w:p w14:paraId="54E615A8" w14:textId="73B703E7" w:rsidR="00B56D50" w:rsidRDefault="00B56D50" w:rsidP="00172DC8">
      <w:pPr>
        <w:spacing w:after="0" w:line="259" w:lineRule="auto"/>
        <w:ind w:right="0"/>
        <w:rPr>
          <w:rFonts w:eastAsia="Arial"/>
        </w:rPr>
      </w:pPr>
    </w:p>
    <w:p w14:paraId="4E79F2BB" w14:textId="77777777" w:rsidR="000D5252" w:rsidRDefault="000D5252" w:rsidP="00172DC8">
      <w:pPr>
        <w:spacing w:after="0" w:line="259" w:lineRule="auto"/>
        <w:ind w:right="0"/>
        <w:rPr>
          <w:rFonts w:eastAsia="Arial"/>
        </w:rPr>
      </w:pPr>
    </w:p>
    <w:p w14:paraId="6CC30DEA" w14:textId="77777777" w:rsidR="000D5252" w:rsidRDefault="000D5252" w:rsidP="00172DC8">
      <w:pPr>
        <w:spacing w:after="0" w:line="259" w:lineRule="auto"/>
        <w:ind w:right="0"/>
        <w:rPr>
          <w:rFonts w:eastAsia="Arial"/>
        </w:rPr>
      </w:pPr>
    </w:p>
    <w:p w14:paraId="4948D573" w14:textId="77777777" w:rsidR="000D5252" w:rsidRDefault="000D5252" w:rsidP="00172DC8">
      <w:pPr>
        <w:spacing w:after="0" w:line="259" w:lineRule="auto"/>
        <w:ind w:right="0"/>
        <w:rPr>
          <w:rFonts w:eastAsia="Arial"/>
        </w:rPr>
      </w:pPr>
    </w:p>
    <w:p w14:paraId="51C22005" w14:textId="77777777" w:rsidR="00993A5C" w:rsidRDefault="00993A5C" w:rsidP="00172DC8">
      <w:pPr>
        <w:spacing w:after="0" w:line="259" w:lineRule="auto"/>
        <w:ind w:right="0"/>
        <w:rPr>
          <w:rFonts w:eastAsia="Arial"/>
        </w:rPr>
      </w:pPr>
    </w:p>
    <w:p w14:paraId="1B94CBD4" w14:textId="77777777" w:rsidR="00010751" w:rsidRDefault="00010751" w:rsidP="00010751">
      <w:pPr>
        <w:ind w:left="0" w:firstLine="0"/>
        <w:jc w:val="center"/>
      </w:pPr>
      <w:r>
        <w:rPr>
          <w:b/>
        </w:rPr>
        <w:t>THE REMAINDER OF THIS PAGE HAS BEEN LEFT BLANK INTENTIONALLY</w:t>
      </w:r>
    </w:p>
    <w:p w14:paraId="103F59E3" w14:textId="77777777" w:rsidR="000D5252" w:rsidRDefault="000D5252" w:rsidP="00172DC8">
      <w:pPr>
        <w:spacing w:after="0" w:line="259" w:lineRule="auto"/>
        <w:ind w:right="0"/>
        <w:rPr>
          <w:rFonts w:eastAsia="Arial"/>
        </w:rPr>
      </w:pPr>
    </w:p>
    <w:p w14:paraId="63864B28" w14:textId="77777777" w:rsidR="000D5252" w:rsidRDefault="000D5252" w:rsidP="00172DC8">
      <w:pPr>
        <w:spacing w:after="0" w:line="259" w:lineRule="auto"/>
        <w:ind w:right="0"/>
        <w:rPr>
          <w:rFonts w:eastAsia="Arial"/>
        </w:rPr>
      </w:pPr>
    </w:p>
    <w:p w14:paraId="5F7469B0" w14:textId="77777777" w:rsidR="000D5252" w:rsidRDefault="000D5252" w:rsidP="00172DC8">
      <w:pPr>
        <w:spacing w:after="0" w:line="259" w:lineRule="auto"/>
        <w:ind w:right="0"/>
        <w:rPr>
          <w:rFonts w:eastAsia="Arial"/>
        </w:rPr>
      </w:pPr>
    </w:p>
    <w:p w14:paraId="6E5D31F3" w14:textId="363BEA83" w:rsidR="00B56D50" w:rsidRPr="00564C6D" w:rsidRDefault="00735CD4" w:rsidP="0063253F">
      <w:pPr>
        <w:pStyle w:val="Heading3"/>
        <w:spacing w:after="16" w:line="247" w:lineRule="auto"/>
        <w:ind w:left="-5" w:right="186"/>
      </w:pPr>
      <w:r w:rsidRPr="00564C6D">
        <w:lastRenderedPageBreak/>
        <w:t xml:space="preserve">SW-846 </w:t>
      </w:r>
      <w:r w:rsidR="001C3C42" w:rsidRPr="00564C6D">
        <w:t xml:space="preserve">SAS – </w:t>
      </w:r>
      <w:r w:rsidR="00E16A5E" w:rsidRPr="00564C6D">
        <w:t>Se</w:t>
      </w:r>
      <w:r w:rsidR="00813133" w:rsidRPr="00564C6D">
        <w:t>mi</w:t>
      </w:r>
      <w:r w:rsidR="009423B8" w:rsidRPr="00564C6D">
        <w:t>-</w:t>
      </w:r>
      <w:r w:rsidR="00813133" w:rsidRPr="00564C6D">
        <w:t>volatile</w:t>
      </w:r>
      <w:r w:rsidR="001C3C42" w:rsidRPr="00564C6D">
        <w:t xml:space="preserve"> O</w:t>
      </w:r>
      <w:r w:rsidR="00813133" w:rsidRPr="00564C6D">
        <w:t>rganic</w:t>
      </w:r>
      <w:r w:rsidR="001C3C42" w:rsidRPr="00564C6D">
        <w:t xml:space="preserve"> A</w:t>
      </w:r>
      <w:r w:rsidR="00813133" w:rsidRPr="00564C6D">
        <w:t>nalysis</w:t>
      </w:r>
    </w:p>
    <w:p w14:paraId="7C79396E" w14:textId="0130A82A" w:rsidR="00956759" w:rsidRPr="00564C6D" w:rsidRDefault="00956759"/>
    <w:tbl>
      <w:tblPr>
        <w:tblStyle w:val="TableGrid1"/>
        <w:tblW w:w="10620" w:type="dxa"/>
        <w:tblInd w:w="-375" w:type="dxa"/>
        <w:tblCellMar>
          <w:top w:w="15" w:type="dxa"/>
          <w:left w:w="72" w:type="dxa"/>
          <w:right w:w="27" w:type="dxa"/>
        </w:tblCellMar>
        <w:tblLook w:val="04A0" w:firstRow="1" w:lastRow="0" w:firstColumn="1" w:lastColumn="0" w:noHBand="0" w:noVBand="1"/>
      </w:tblPr>
      <w:tblGrid>
        <w:gridCol w:w="3167"/>
        <w:gridCol w:w="1195"/>
        <w:gridCol w:w="588"/>
        <w:gridCol w:w="714"/>
        <w:gridCol w:w="811"/>
        <w:gridCol w:w="711"/>
        <w:gridCol w:w="639"/>
        <w:gridCol w:w="545"/>
        <w:gridCol w:w="454"/>
        <w:gridCol w:w="1003"/>
        <w:gridCol w:w="793"/>
      </w:tblGrid>
      <w:tr w:rsidR="004E044C" w14:paraId="2AD18025" w14:textId="77777777" w:rsidTr="005B6604">
        <w:trPr>
          <w:trHeight w:val="378"/>
          <w:tblHeader/>
        </w:trPr>
        <w:tc>
          <w:tcPr>
            <w:tcW w:w="10620" w:type="dxa"/>
            <w:gridSpan w:val="11"/>
            <w:tcBorders>
              <w:top w:val="single" w:sz="12" w:space="0" w:color="000000"/>
              <w:left w:val="single" w:sz="12" w:space="0" w:color="000000"/>
              <w:bottom w:val="single" w:sz="12" w:space="0" w:color="000000"/>
              <w:right w:val="single" w:sz="12" w:space="0" w:color="000000"/>
            </w:tcBorders>
            <w:vAlign w:val="center"/>
          </w:tcPr>
          <w:p w14:paraId="19FD707F" w14:textId="5CE24609" w:rsidR="004E044C" w:rsidRDefault="004E044C" w:rsidP="00BF78EF">
            <w:pPr>
              <w:spacing w:after="0" w:line="259" w:lineRule="auto"/>
              <w:ind w:left="0" w:right="0" w:firstLine="0"/>
            </w:pPr>
            <w:r>
              <w:rPr>
                <w:b/>
                <w:sz w:val="18"/>
              </w:rPr>
              <w:t>SW-846 SAS Group D</w:t>
            </w:r>
            <w:proofErr w:type="gramStart"/>
            <w:r>
              <w:rPr>
                <w:b/>
                <w:sz w:val="18"/>
              </w:rPr>
              <w:t>:  Organophosphorus</w:t>
            </w:r>
            <w:proofErr w:type="gramEnd"/>
            <w:r>
              <w:rPr>
                <w:b/>
                <w:sz w:val="18"/>
              </w:rPr>
              <w:t xml:space="preserve"> Pesticides and Herbicides for Attachment VIII, Attachment IX, and Table 2</w:t>
            </w:r>
          </w:p>
        </w:tc>
      </w:tr>
      <w:tr w:rsidR="004E044C" w14:paraId="4E33299F" w14:textId="77777777" w:rsidTr="005B6604">
        <w:trPr>
          <w:trHeight w:val="271"/>
          <w:tblHeader/>
        </w:trPr>
        <w:tc>
          <w:tcPr>
            <w:tcW w:w="3167" w:type="dxa"/>
            <w:vMerge w:val="restart"/>
            <w:tcBorders>
              <w:top w:val="single" w:sz="12" w:space="0" w:color="000000"/>
              <w:left w:val="single" w:sz="12" w:space="0" w:color="000000"/>
              <w:bottom w:val="single" w:sz="12" w:space="0" w:color="000000"/>
              <w:right w:val="single" w:sz="12" w:space="0" w:color="000000"/>
            </w:tcBorders>
          </w:tcPr>
          <w:p w14:paraId="422DD446" w14:textId="31B35684" w:rsidR="004E044C" w:rsidRDefault="004E044C" w:rsidP="004E044C">
            <w:pPr>
              <w:spacing w:after="0" w:line="259" w:lineRule="auto"/>
              <w:ind w:left="0" w:right="46" w:firstLine="0"/>
              <w:jc w:val="center"/>
            </w:pPr>
            <w:r>
              <w:rPr>
                <w:b/>
                <w:sz w:val="18"/>
              </w:rPr>
              <w:t>Analyte</w:t>
            </w:r>
          </w:p>
        </w:tc>
        <w:tc>
          <w:tcPr>
            <w:tcW w:w="1195" w:type="dxa"/>
            <w:vMerge w:val="restart"/>
            <w:tcBorders>
              <w:top w:val="single" w:sz="12" w:space="0" w:color="000000"/>
              <w:left w:val="single" w:sz="12" w:space="0" w:color="000000"/>
              <w:bottom w:val="single" w:sz="12" w:space="0" w:color="000000"/>
              <w:right w:val="single" w:sz="12" w:space="0" w:color="000000"/>
            </w:tcBorders>
          </w:tcPr>
          <w:p w14:paraId="73354A2F" w14:textId="480AE051" w:rsidR="004E044C" w:rsidRDefault="004E044C" w:rsidP="004E044C">
            <w:pPr>
              <w:spacing w:after="0" w:line="259" w:lineRule="auto"/>
              <w:ind w:left="34" w:right="36" w:firstLine="0"/>
              <w:jc w:val="center"/>
            </w:pPr>
            <w:r>
              <w:rPr>
                <w:b/>
                <w:sz w:val="18"/>
              </w:rPr>
              <w:t>CAS Number</w:t>
            </w:r>
          </w:p>
        </w:tc>
        <w:tc>
          <w:tcPr>
            <w:tcW w:w="1302" w:type="dxa"/>
            <w:gridSpan w:val="2"/>
            <w:tcBorders>
              <w:top w:val="single" w:sz="12" w:space="0" w:color="000000"/>
              <w:left w:val="single" w:sz="12" w:space="0" w:color="000000"/>
              <w:bottom w:val="single" w:sz="12" w:space="0" w:color="000000"/>
              <w:right w:val="single" w:sz="12" w:space="0" w:color="000000"/>
            </w:tcBorders>
          </w:tcPr>
          <w:p w14:paraId="5E6BD539" w14:textId="644C6B03" w:rsidR="004E044C" w:rsidRDefault="004E044C" w:rsidP="004E044C">
            <w:pPr>
              <w:spacing w:after="0" w:line="259" w:lineRule="auto"/>
              <w:ind w:left="0" w:right="47" w:firstLine="0"/>
              <w:jc w:val="center"/>
            </w:pPr>
            <w:r>
              <w:rPr>
                <w:b/>
                <w:sz w:val="18"/>
              </w:rPr>
              <w:t>Aqueous</w:t>
            </w:r>
          </w:p>
        </w:tc>
        <w:tc>
          <w:tcPr>
            <w:tcW w:w="1522" w:type="dxa"/>
            <w:gridSpan w:val="2"/>
            <w:tcBorders>
              <w:top w:val="single" w:sz="12" w:space="0" w:color="000000"/>
              <w:left w:val="single" w:sz="12" w:space="0" w:color="000000"/>
              <w:bottom w:val="single" w:sz="12" w:space="0" w:color="000000"/>
              <w:right w:val="single" w:sz="12" w:space="0" w:color="000000"/>
            </w:tcBorders>
          </w:tcPr>
          <w:p w14:paraId="69DFD820" w14:textId="62B243AE" w:rsidR="004E044C" w:rsidRDefault="004E044C" w:rsidP="004E044C">
            <w:pPr>
              <w:spacing w:after="0" w:line="259" w:lineRule="auto"/>
              <w:ind w:left="0" w:right="48" w:firstLine="0"/>
              <w:jc w:val="center"/>
            </w:pPr>
            <w:r>
              <w:rPr>
                <w:b/>
                <w:sz w:val="18"/>
              </w:rPr>
              <w:t>Soil/Sediment</w:t>
            </w:r>
          </w:p>
        </w:tc>
        <w:tc>
          <w:tcPr>
            <w:tcW w:w="1638" w:type="dxa"/>
            <w:gridSpan w:val="3"/>
            <w:tcBorders>
              <w:top w:val="single" w:sz="12" w:space="0" w:color="000000"/>
              <w:left w:val="single" w:sz="12" w:space="0" w:color="000000"/>
              <w:bottom w:val="single" w:sz="12" w:space="0" w:color="000000"/>
              <w:right w:val="single" w:sz="12" w:space="0" w:color="000000"/>
            </w:tcBorders>
          </w:tcPr>
          <w:p w14:paraId="4B733D75" w14:textId="6BDB5222" w:rsidR="004E044C" w:rsidRDefault="004E044C" w:rsidP="004E044C">
            <w:pPr>
              <w:spacing w:after="0" w:line="259" w:lineRule="auto"/>
              <w:ind w:left="50" w:right="0" w:firstLine="0"/>
            </w:pPr>
            <w:r>
              <w:rPr>
                <w:b/>
                <w:sz w:val="18"/>
              </w:rPr>
              <w:t>Attachment/Table</w:t>
            </w:r>
          </w:p>
        </w:tc>
        <w:tc>
          <w:tcPr>
            <w:tcW w:w="1796" w:type="dxa"/>
            <w:gridSpan w:val="2"/>
            <w:vMerge w:val="restart"/>
            <w:tcBorders>
              <w:top w:val="single" w:sz="12" w:space="0" w:color="000000"/>
              <w:left w:val="single" w:sz="12" w:space="0" w:color="000000"/>
              <w:bottom w:val="single" w:sz="12" w:space="0" w:color="000000"/>
              <w:right w:val="single" w:sz="12" w:space="0" w:color="000000"/>
            </w:tcBorders>
            <w:vAlign w:val="center"/>
          </w:tcPr>
          <w:p w14:paraId="1F0998AF" w14:textId="57EAE015" w:rsidR="004E044C" w:rsidRDefault="004E044C" w:rsidP="00C236EA">
            <w:pPr>
              <w:spacing w:after="0" w:line="259" w:lineRule="auto"/>
              <w:ind w:left="43" w:right="0" w:firstLine="0"/>
              <w:jc w:val="center"/>
            </w:pPr>
            <w:r>
              <w:rPr>
                <w:b/>
                <w:sz w:val="18"/>
              </w:rPr>
              <w:t>Suggested Methods</w:t>
            </w:r>
          </w:p>
        </w:tc>
      </w:tr>
      <w:tr w:rsidR="00C84A5D" w14:paraId="333B40D4" w14:textId="77777777" w:rsidTr="005B6604">
        <w:trPr>
          <w:trHeight w:val="269"/>
          <w:tblHeader/>
        </w:trPr>
        <w:tc>
          <w:tcPr>
            <w:tcW w:w="3167" w:type="dxa"/>
            <w:vMerge/>
            <w:tcBorders>
              <w:top w:val="nil"/>
              <w:left w:val="single" w:sz="12" w:space="0" w:color="000000"/>
              <w:bottom w:val="single" w:sz="12" w:space="0" w:color="000000"/>
              <w:right w:val="single" w:sz="12" w:space="0" w:color="000000"/>
            </w:tcBorders>
          </w:tcPr>
          <w:p w14:paraId="1BD08D82" w14:textId="77777777" w:rsidR="004E044C" w:rsidRDefault="004E044C" w:rsidP="004E044C">
            <w:pPr>
              <w:spacing w:after="160" w:line="259" w:lineRule="auto"/>
              <w:ind w:left="0" w:right="0" w:firstLine="0"/>
              <w:jc w:val="center"/>
            </w:pPr>
          </w:p>
        </w:tc>
        <w:tc>
          <w:tcPr>
            <w:tcW w:w="0" w:type="auto"/>
            <w:vMerge/>
            <w:tcBorders>
              <w:top w:val="nil"/>
              <w:left w:val="single" w:sz="12" w:space="0" w:color="000000"/>
              <w:bottom w:val="single" w:sz="12" w:space="0" w:color="000000"/>
              <w:right w:val="single" w:sz="12" w:space="0" w:color="000000"/>
            </w:tcBorders>
          </w:tcPr>
          <w:p w14:paraId="2AD1786A" w14:textId="77777777" w:rsidR="004E044C" w:rsidRDefault="004E044C" w:rsidP="004E044C">
            <w:pPr>
              <w:spacing w:after="160" w:line="259" w:lineRule="auto"/>
              <w:ind w:left="0" w:right="0" w:firstLine="0"/>
              <w:jc w:val="center"/>
            </w:pPr>
          </w:p>
        </w:tc>
        <w:tc>
          <w:tcPr>
            <w:tcW w:w="588" w:type="dxa"/>
            <w:tcBorders>
              <w:top w:val="single" w:sz="12" w:space="0" w:color="000000"/>
              <w:left w:val="single" w:sz="12" w:space="0" w:color="000000"/>
              <w:bottom w:val="single" w:sz="12" w:space="0" w:color="000000"/>
              <w:right w:val="single" w:sz="12" w:space="0" w:color="000000"/>
            </w:tcBorders>
          </w:tcPr>
          <w:p w14:paraId="41053939" w14:textId="68A357AC" w:rsidR="004E044C" w:rsidRDefault="004E044C" w:rsidP="004E044C">
            <w:pPr>
              <w:spacing w:after="0" w:line="259" w:lineRule="auto"/>
              <w:ind w:left="96" w:right="0" w:firstLine="0"/>
              <w:jc w:val="center"/>
            </w:pPr>
            <w:r>
              <w:rPr>
                <w:b/>
                <w:sz w:val="18"/>
              </w:rPr>
              <w:t>RL</w:t>
            </w:r>
          </w:p>
        </w:tc>
        <w:tc>
          <w:tcPr>
            <w:tcW w:w="714" w:type="dxa"/>
            <w:tcBorders>
              <w:top w:val="single" w:sz="12" w:space="0" w:color="000000"/>
              <w:left w:val="single" w:sz="12" w:space="0" w:color="000000"/>
              <w:bottom w:val="single" w:sz="12" w:space="0" w:color="000000"/>
              <w:right w:val="single" w:sz="12" w:space="0" w:color="000000"/>
            </w:tcBorders>
          </w:tcPr>
          <w:p w14:paraId="00711AD3" w14:textId="5D675DB7" w:rsidR="004E044C" w:rsidRDefault="004E044C" w:rsidP="004E044C">
            <w:pPr>
              <w:spacing w:after="0" w:line="259" w:lineRule="auto"/>
              <w:ind w:left="0" w:right="47" w:firstLine="0"/>
              <w:jc w:val="center"/>
            </w:pPr>
            <w:r>
              <w:rPr>
                <w:b/>
                <w:sz w:val="18"/>
              </w:rPr>
              <w:t>units</w:t>
            </w:r>
          </w:p>
        </w:tc>
        <w:tc>
          <w:tcPr>
            <w:tcW w:w="811" w:type="dxa"/>
            <w:tcBorders>
              <w:top w:val="single" w:sz="12" w:space="0" w:color="000000"/>
              <w:left w:val="single" w:sz="12" w:space="0" w:color="000000"/>
              <w:bottom w:val="single" w:sz="12" w:space="0" w:color="000000"/>
              <w:right w:val="single" w:sz="12" w:space="0" w:color="000000"/>
            </w:tcBorders>
          </w:tcPr>
          <w:p w14:paraId="0E1EBF56" w14:textId="61831576" w:rsidR="004E044C" w:rsidRDefault="004E044C" w:rsidP="004E044C">
            <w:pPr>
              <w:spacing w:after="0" w:line="259" w:lineRule="auto"/>
              <w:ind w:left="0" w:right="49" w:firstLine="0"/>
              <w:jc w:val="center"/>
            </w:pPr>
            <w:r>
              <w:rPr>
                <w:b/>
                <w:sz w:val="18"/>
              </w:rPr>
              <w:t>RL</w:t>
            </w:r>
          </w:p>
        </w:tc>
        <w:tc>
          <w:tcPr>
            <w:tcW w:w="711" w:type="dxa"/>
            <w:tcBorders>
              <w:top w:val="single" w:sz="12" w:space="0" w:color="000000"/>
              <w:left w:val="single" w:sz="12" w:space="0" w:color="000000"/>
              <w:bottom w:val="single" w:sz="12" w:space="0" w:color="000000"/>
              <w:right w:val="single" w:sz="12" w:space="0" w:color="000000"/>
            </w:tcBorders>
          </w:tcPr>
          <w:p w14:paraId="4C9EFFF0" w14:textId="7CDB43DA" w:rsidR="004E044C" w:rsidRDefault="004E044C" w:rsidP="004E044C">
            <w:pPr>
              <w:spacing w:after="0" w:line="259" w:lineRule="auto"/>
              <w:ind w:left="0" w:right="52" w:firstLine="0"/>
              <w:jc w:val="center"/>
            </w:pPr>
            <w:r>
              <w:rPr>
                <w:b/>
                <w:sz w:val="18"/>
              </w:rPr>
              <w:t>units</w:t>
            </w:r>
          </w:p>
        </w:tc>
        <w:tc>
          <w:tcPr>
            <w:tcW w:w="639" w:type="dxa"/>
            <w:tcBorders>
              <w:top w:val="single" w:sz="12" w:space="0" w:color="000000"/>
              <w:left w:val="single" w:sz="12" w:space="0" w:color="000000"/>
              <w:bottom w:val="single" w:sz="12" w:space="0" w:color="000000"/>
              <w:right w:val="single" w:sz="12" w:space="0" w:color="000000"/>
            </w:tcBorders>
          </w:tcPr>
          <w:p w14:paraId="0ACD7A49" w14:textId="02C7094C" w:rsidR="004E044C" w:rsidRDefault="004E044C" w:rsidP="004E044C">
            <w:pPr>
              <w:spacing w:after="0" w:line="259" w:lineRule="auto"/>
              <w:ind w:left="36" w:right="0" w:firstLine="0"/>
              <w:jc w:val="center"/>
            </w:pPr>
            <w:r>
              <w:rPr>
                <w:b/>
                <w:sz w:val="18"/>
              </w:rPr>
              <w:t>VIII</w:t>
            </w:r>
          </w:p>
        </w:tc>
        <w:tc>
          <w:tcPr>
            <w:tcW w:w="545" w:type="dxa"/>
            <w:tcBorders>
              <w:top w:val="single" w:sz="12" w:space="0" w:color="000000"/>
              <w:left w:val="single" w:sz="12" w:space="0" w:color="000000"/>
              <w:bottom w:val="single" w:sz="12" w:space="0" w:color="000000"/>
              <w:right w:val="single" w:sz="12" w:space="0" w:color="000000"/>
            </w:tcBorders>
          </w:tcPr>
          <w:p w14:paraId="07D90775" w14:textId="28BC48E8" w:rsidR="004E044C" w:rsidRDefault="004E044C" w:rsidP="004E044C">
            <w:pPr>
              <w:spacing w:after="0" w:line="259" w:lineRule="auto"/>
              <w:ind w:left="0" w:right="48" w:firstLine="0"/>
              <w:jc w:val="center"/>
            </w:pPr>
            <w:r>
              <w:rPr>
                <w:b/>
                <w:sz w:val="18"/>
              </w:rPr>
              <w:t>IX</w:t>
            </w:r>
          </w:p>
        </w:tc>
        <w:tc>
          <w:tcPr>
            <w:tcW w:w="454" w:type="dxa"/>
            <w:tcBorders>
              <w:top w:val="single" w:sz="12" w:space="0" w:color="000000"/>
              <w:left w:val="single" w:sz="12" w:space="0" w:color="000000"/>
              <w:bottom w:val="single" w:sz="12" w:space="0" w:color="000000"/>
              <w:right w:val="single" w:sz="12" w:space="0" w:color="000000"/>
            </w:tcBorders>
          </w:tcPr>
          <w:p w14:paraId="2BFFCB2D" w14:textId="5A45AAC6" w:rsidR="004E044C" w:rsidRDefault="004E044C" w:rsidP="004E044C">
            <w:pPr>
              <w:spacing w:after="0" w:line="259" w:lineRule="auto"/>
              <w:ind w:left="0" w:right="46" w:firstLine="0"/>
              <w:jc w:val="center"/>
            </w:pPr>
            <w:r>
              <w:rPr>
                <w:b/>
                <w:sz w:val="18"/>
              </w:rPr>
              <w:t>2</w:t>
            </w:r>
          </w:p>
        </w:tc>
        <w:tc>
          <w:tcPr>
            <w:tcW w:w="1796" w:type="dxa"/>
            <w:gridSpan w:val="2"/>
            <w:vMerge/>
            <w:tcBorders>
              <w:top w:val="nil"/>
              <w:left w:val="single" w:sz="12" w:space="0" w:color="000000"/>
              <w:bottom w:val="single" w:sz="12" w:space="0" w:color="000000"/>
              <w:right w:val="single" w:sz="12" w:space="0" w:color="000000"/>
            </w:tcBorders>
            <w:vAlign w:val="center"/>
          </w:tcPr>
          <w:p w14:paraId="0F22559E" w14:textId="77777777" w:rsidR="004E044C" w:rsidRDefault="004E044C" w:rsidP="00C236EA">
            <w:pPr>
              <w:spacing w:after="160" w:line="259" w:lineRule="auto"/>
              <w:ind w:left="0" w:right="0" w:firstLine="0"/>
              <w:jc w:val="center"/>
            </w:pPr>
          </w:p>
        </w:tc>
      </w:tr>
      <w:tr w:rsidR="004E044C" w14:paraId="0141C96E" w14:textId="77777777" w:rsidTr="005B6604">
        <w:trPr>
          <w:trHeight w:val="262"/>
        </w:trPr>
        <w:tc>
          <w:tcPr>
            <w:tcW w:w="3167" w:type="dxa"/>
            <w:tcBorders>
              <w:top w:val="single" w:sz="12" w:space="0" w:color="000000"/>
              <w:left w:val="single" w:sz="12" w:space="0" w:color="000000"/>
              <w:bottom w:val="single" w:sz="4" w:space="0" w:color="000000"/>
              <w:right w:val="single" w:sz="12" w:space="0" w:color="000000"/>
            </w:tcBorders>
          </w:tcPr>
          <w:p w14:paraId="0332C1DD" w14:textId="51906496" w:rsidR="004E044C" w:rsidRDefault="004E044C" w:rsidP="004E044C">
            <w:pPr>
              <w:spacing w:after="0" w:line="259" w:lineRule="auto"/>
              <w:ind w:left="0" w:right="0" w:firstLine="0"/>
            </w:pPr>
            <w:r>
              <w:rPr>
                <w:sz w:val="18"/>
              </w:rPr>
              <w:t>Dimethoate</w:t>
            </w:r>
          </w:p>
        </w:tc>
        <w:tc>
          <w:tcPr>
            <w:tcW w:w="1195" w:type="dxa"/>
            <w:tcBorders>
              <w:top w:val="single" w:sz="12" w:space="0" w:color="000000"/>
              <w:left w:val="single" w:sz="12" w:space="0" w:color="000000"/>
              <w:bottom w:val="single" w:sz="4" w:space="0" w:color="000000"/>
              <w:right w:val="single" w:sz="12" w:space="0" w:color="000000"/>
            </w:tcBorders>
          </w:tcPr>
          <w:p w14:paraId="4D43DB47" w14:textId="2B6FB73E" w:rsidR="004E044C" w:rsidRDefault="004E044C" w:rsidP="004E044C">
            <w:pPr>
              <w:spacing w:after="0" w:line="259" w:lineRule="auto"/>
              <w:ind w:left="0" w:right="44" w:firstLine="0"/>
              <w:jc w:val="center"/>
            </w:pPr>
            <w:r>
              <w:rPr>
                <w:sz w:val="18"/>
              </w:rPr>
              <w:t>60-51-5</w:t>
            </w:r>
          </w:p>
        </w:tc>
        <w:tc>
          <w:tcPr>
            <w:tcW w:w="588" w:type="dxa"/>
            <w:tcBorders>
              <w:top w:val="single" w:sz="12" w:space="0" w:color="000000"/>
              <w:left w:val="single" w:sz="12" w:space="0" w:color="000000"/>
              <w:bottom w:val="single" w:sz="4" w:space="0" w:color="000000"/>
              <w:right w:val="single" w:sz="12" w:space="0" w:color="000000"/>
            </w:tcBorders>
          </w:tcPr>
          <w:p w14:paraId="3F402224" w14:textId="77D59CD0" w:rsidR="004E044C" w:rsidRDefault="004E044C" w:rsidP="004E044C">
            <w:pPr>
              <w:tabs>
                <w:tab w:val="right" w:pos="489"/>
              </w:tabs>
              <w:spacing w:after="0" w:line="259" w:lineRule="auto"/>
              <w:ind w:left="0" w:right="0" w:firstLine="0"/>
              <w:jc w:val="center"/>
            </w:pPr>
            <w:r>
              <w:rPr>
                <w:sz w:val="18"/>
              </w:rPr>
              <w:t>20</w:t>
            </w:r>
          </w:p>
        </w:tc>
        <w:tc>
          <w:tcPr>
            <w:tcW w:w="714" w:type="dxa"/>
            <w:tcBorders>
              <w:top w:val="single" w:sz="12" w:space="0" w:color="000000"/>
              <w:left w:val="single" w:sz="12" w:space="0" w:color="000000"/>
              <w:bottom w:val="single" w:sz="4" w:space="0" w:color="000000"/>
              <w:right w:val="single" w:sz="12" w:space="0" w:color="000000"/>
            </w:tcBorders>
          </w:tcPr>
          <w:p w14:paraId="1A6A866A" w14:textId="58EDC8DA" w:rsidR="004E044C" w:rsidRDefault="004E044C" w:rsidP="004E044C">
            <w:pPr>
              <w:spacing w:after="0" w:line="259" w:lineRule="auto"/>
              <w:ind w:left="0" w:right="48" w:firstLine="0"/>
              <w:jc w:val="center"/>
            </w:pPr>
            <w:r>
              <w:rPr>
                <w:sz w:val="18"/>
              </w:rPr>
              <w:t>ug/L</w:t>
            </w:r>
          </w:p>
        </w:tc>
        <w:tc>
          <w:tcPr>
            <w:tcW w:w="811" w:type="dxa"/>
            <w:tcBorders>
              <w:top w:val="single" w:sz="12" w:space="0" w:color="000000"/>
              <w:left w:val="single" w:sz="12" w:space="0" w:color="000000"/>
              <w:bottom w:val="single" w:sz="4" w:space="0" w:color="000000"/>
              <w:right w:val="single" w:sz="12" w:space="0" w:color="000000"/>
            </w:tcBorders>
          </w:tcPr>
          <w:p w14:paraId="03B340FE" w14:textId="353F459D" w:rsidR="004E044C" w:rsidRDefault="004E044C" w:rsidP="004E044C">
            <w:pPr>
              <w:tabs>
                <w:tab w:val="right" w:pos="713"/>
              </w:tabs>
              <w:spacing w:after="0" w:line="259" w:lineRule="auto"/>
              <w:ind w:left="0" w:right="0" w:firstLine="0"/>
              <w:jc w:val="center"/>
            </w:pPr>
            <w:r>
              <w:rPr>
                <w:sz w:val="18"/>
              </w:rPr>
              <w:t>1300</w:t>
            </w:r>
          </w:p>
        </w:tc>
        <w:tc>
          <w:tcPr>
            <w:tcW w:w="711" w:type="dxa"/>
            <w:tcBorders>
              <w:top w:val="single" w:sz="12" w:space="0" w:color="000000"/>
              <w:left w:val="single" w:sz="12" w:space="0" w:color="000000"/>
              <w:bottom w:val="single" w:sz="4" w:space="0" w:color="000000"/>
              <w:right w:val="single" w:sz="12" w:space="0" w:color="000000"/>
            </w:tcBorders>
          </w:tcPr>
          <w:p w14:paraId="0ED0F165" w14:textId="575E5985" w:rsidR="004E044C" w:rsidRDefault="004E044C" w:rsidP="004E044C">
            <w:pPr>
              <w:spacing w:after="0" w:line="259" w:lineRule="auto"/>
              <w:ind w:left="0" w:right="44" w:firstLine="0"/>
              <w:jc w:val="center"/>
            </w:pPr>
            <w:r>
              <w:rPr>
                <w:rFonts w:eastAsia="Segoe UI Symbol"/>
                <w:sz w:val="18"/>
              </w:rPr>
              <w:t>u</w:t>
            </w:r>
            <w:r>
              <w:rPr>
                <w:sz w:val="18"/>
              </w:rPr>
              <w:t>g/kg</w:t>
            </w:r>
          </w:p>
        </w:tc>
        <w:tc>
          <w:tcPr>
            <w:tcW w:w="639" w:type="dxa"/>
            <w:tcBorders>
              <w:top w:val="single" w:sz="12" w:space="0" w:color="000000"/>
              <w:left w:val="single" w:sz="12" w:space="0" w:color="000000"/>
              <w:bottom w:val="single" w:sz="4" w:space="0" w:color="000000"/>
              <w:right w:val="single" w:sz="12" w:space="0" w:color="000000"/>
            </w:tcBorders>
          </w:tcPr>
          <w:p w14:paraId="00C96E1C" w14:textId="599D3A14" w:rsidR="004E044C" w:rsidRDefault="004E044C" w:rsidP="004E044C">
            <w:pPr>
              <w:spacing w:after="0" w:line="259" w:lineRule="auto"/>
              <w:ind w:left="0" w:right="0" w:firstLine="0"/>
              <w:jc w:val="center"/>
            </w:pPr>
            <w:r>
              <w:rPr>
                <w:sz w:val="18"/>
              </w:rPr>
              <w:t>X</w:t>
            </w:r>
          </w:p>
        </w:tc>
        <w:tc>
          <w:tcPr>
            <w:tcW w:w="545" w:type="dxa"/>
            <w:tcBorders>
              <w:top w:val="single" w:sz="12" w:space="0" w:color="000000"/>
              <w:left w:val="single" w:sz="12" w:space="0" w:color="000000"/>
              <w:bottom w:val="single" w:sz="4" w:space="0" w:color="000000"/>
              <w:right w:val="single" w:sz="12" w:space="0" w:color="000000"/>
            </w:tcBorders>
          </w:tcPr>
          <w:p w14:paraId="4A91E769" w14:textId="7FC9E748" w:rsidR="004E044C" w:rsidRDefault="004E044C" w:rsidP="004E044C">
            <w:pPr>
              <w:spacing w:after="0" w:line="259" w:lineRule="auto"/>
              <w:ind w:left="0" w:right="1" w:firstLine="0"/>
              <w:jc w:val="center"/>
            </w:pPr>
            <w:r>
              <w:rPr>
                <w:sz w:val="18"/>
              </w:rPr>
              <w:t>X</w:t>
            </w:r>
          </w:p>
        </w:tc>
        <w:tc>
          <w:tcPr>
            <w:tcW w:w="454" w:type="dxa"/>
            <w:tcBorders>
              <w:top w:val="single" w:sz="12" w:space="0" w:color="000000"/>
              <w:left w:val="single" w:sz="12" w:space="0" w:color="000000"/>
              <w:bottom w:val="single" w:sz="4" w:space="0" w:color="000000"/>
              <w:right w:val="single" w:sz="12" w:space="0" w:color="000000"/>
            </w:tcBorders>
          </w:tcPr>
          <w:p w14:paraId="5A678CAC" w14:textId="7FBAA313" w:rsidR="004E044C" w:rsidRDefault="004E044C" w:rsidP="004E044C">
            <w:pPr>
              <w:spacing w:after="0" w:line="259" w:lineRule="auto"/>
              <w:ind w:left="0" w:right="0" w:firstLine="0"/>
              <w:jc w:val="center"/>
            </w:pPr>
            <w:r>
              <w:rPr>
                <w:sz w:val="18"/>
              </w:rPr>
              <w:t>X</w:t>
            </w:r>
          </w:p>
        </w:tc>
        <w:tc>
          <w:tcPr>
            <w:tcW w:w="1003" w:type="dxa"/>
            <w:tcBorders>
              <w:top w:val="single" w:sz="12" w:space="0" w:color="000000"/>
              <w:left w:val="single" w:sz="12" w:space="0" w:color="000000"/>
              <w:bottom w:val="single" w:sz="4" w:space="0" w:color="000000"/>
              <w:right w:val="single" w:sz="12" w:space="0" w:color="000000"/>
            </w:tcBorders>
          </w:tcPr>
          <w:p w14:paraId="518C8C82" w14:textId="360EFBBA" w:rsidR="004E044C" w:rsidRDefault="004E044C" w:rsidP="004E044C">
            <w:pPr>
              <w:spacing w:after="0" w:line="259" w:lineRule="auto"/>
              <w:ind w:left="38" w:right="0" w:firstLine="0"/>
              <w:jc w:val="center"/>
            </w:pPr>
            <w:r>
              <w:rPr>
                <w:sz w:val="18"/>
              </w:rPr>
              <w:t>8141</w:t>
            </w:r>
          </w:p>
        </w:tc>
        <w:tc>
          <w:tcPr>
            <w:tcW w:w="793" w:type="dxa"/>
            <w:tcBorders>
              <w:top w:val="single" w:sz="12" w:space="0" w:color="000000"/>
              <w:left w:val="single" w:sz="12" w:space="0" w:color="000000"/>
              <w:bottom w:val="single" w:sz="4" w:space="0" w:color="000000"/>
              <w:right w:val="single" w:sz="12" w:space="0" w:color="000000"/>
            </w:tcBorders>
          </w:tcPr>
          <w:p w14:paraId="17F731E4" w14:textId="77DBD0BB" w:rsidR="004E044C" w:rsidRDefault="004E044C" w:rsidP="004E044C">
            <w:pPr>
              <w:spacing w:after="0" w:line="259" w:lineRule="auto"/>
              <w:ind w:left="0" w:right="2" w:firstLine="0"/>
              <w:jc w:val="center"/>
            </w:pPr>
            <w:r>
              <w:rPr>
                <w:sz w:val="18"/>
              </w:rPr>
              <w:t>8270, 8321</w:t>
            </w:r>
          </w:p>
        </w:tc>
      </w:tr>
      <w:tr w:rsidR="004E044C" w14:paraId="440AB9DE" w14:textId="77777777" w:rsidTr="005B6604">
        <w:trPr>
          <w:trHeight w:val="250"/>
        </w:trPr>
        <w:tc>
          <w:tcPr>
            <w:tcW w:w="3167" w:type="dxa"/>
            <w:tcBorders>
              <w:top w:val="single" w:sz="4" w:space="0" w:color="000000"/>
              <w:left w:val="single" w:sz="12" w:space="0" w:color="000000"/>
              <w:bottom w:val="single" w:sz="4" w:space="0" w:color="000000"/>
              <w:right w:val="single" w:sz="12" w:space="0" w:color="000000"/>
            </w:tcBorders>
          </w:tcPr>
          <w:p w14:paraId="53D92D05" w14:textId="46E37EAF" w:rsidR="004E044C" w:rsidRDefault="004E044C" w:rsidP="004E044C">
            <w:pPr>
              <w:spacing w:after="0" w:line="259" w:lineRule="auto"/>
              <w:ind w:left="0" w:right="0" w:firstLine="0"/>
            </w:pPr>
            <w:proofErr w:type="spellStart"/>
            <w:r>
              <w:rPr>
                <w:sz w:val="18"/>
              </w:rPr>
              <w:t>Disulfoton</w:t>
            </w:r>
            <w:proofErr w:type="spellEnd"/>
            <w:r>
              <w:rPr>
                <w:sz w:val="18"/>
              </w:rPr>
              <w:t xml:space="preserve"> </w:t>
            </w:r>
          </w:p>
        </w:tc>
        <w:tc>
          <w:tcPr>
            <w:tcW w:w="1195" w:type="dxa"/>
            <w:tcBorders>
              <w:top w:val="single" w:sz="4" w:space="0" w:color="000000"/>
              <w:left w:val="single" w:sz="12" w:space="0" w:color="000000"/>
              <w:bottom w:val="single" w:sz="4" w:space="0" w:color="000000"/>
              <w:right w:val="single" w:sz="12" w:space="0" w:color="000000"/>
            </w:tcBorders>
          </w:tcPr>
          <w:p w14:paraId="4DA0EB2A" w14:textId="207FD705" w:rsidR="004E044C" w:rsidRDefault="004E044C" w:rsidP="004E044C">
            <w:pPr>
              <w:spacing w:after="0" w:line="259" w:lineRule="auto"/>
              <w:ind w:left="0" w:right="44" w:firstLine="0"/>
              <w:jc w:val="center"/>
            </w:pPr>
            <w:r>
              <w:rPr>
                <w:sz w:val="18"/>
              </w:rPr>
              <w:t>298-04-4</w:t>
            </w:r>
          </w:p>
        </w:tc>
        <w:tc>
          <w:tcPr>
            <w:tcW w:w="588" w:type="dxa"/>
            <w:tcBorders>
              <w:top w:val="single" w:sz="4" w:space="0" w:color="000000"/>
              <w:left w:val="single" w:sz="12" w:space="0" w:color="000000"/>
              <w:bottom w:val="single" w:sz="4" w:space="0" w:color="000000"/>
              <w:right w:val="single" w:sz="12" w:space="0" w:color="000000"/>
            </w:tcBorders>
          </w:tcPr>
          <w:p w14:paraId="316A811A" w14:textId="63688D51" w:rsidR="004E044C" w:rsidRDefault="004E044C" w:rsidP="004E044C">
            <w:pPr>
              <w:spacing w:after="0" w:line="259" w:lineRule="auto"/>
              <w:ind w:left="0" w:right="0" w:firstLine="0"/>
              <w:jc w:val="center"/>
            </w:pPr>
            <w:r>
              <w:rPr>
                <w:sz w:val="18"/>
              </w:rPr>
              <w:t>1.5</w:t>
            </w:r>
          </w:p>
        </w:tc>
        <w:tc>
          <w:tcPr>
            <w:tcW w:w="714" w:type="dxa"/>
            <w:tcBorders>
              <w:top w:val="single" w:sz="4" w:space="0" w:color="000000"/>
              <w:left w:val="single" w:sz="12" w:space="0" w:color="000000"/>
              <w:bottom w:val="single" w:sz="4" w:space="0" w:color="000000"/>
              <w:right w:val="single" w:sz="12" w:space="0" w:color="000000"/>
            </w:tcBorders>
          </w:tcPr>
          <w:p w14:paraId="5DE789ED" w14:textId="3D02469A" w:rsidR="004E044C" w:rsidRDefault="004E044C" w:rsidP="004E044C">
            <w:pPr>
              <w:spacing w:after="0" w:line="259" w:lineRule="auto"/>
              <w:ind w:left="0" w:right="48" w:firstLine="0"/>
              <w:jc w:val="center"/>
            </w:pPr>
            <w:r>
              <w:rPr>
                <w:sz w:val="18"/>
              </w:rPr>
              <w:t>ug/L</w:t>
            </w:r>
          </w:p>
        </w:tc>
        <w:tc>
          <w:tcPr>
            <w:tcW w:w="811" w:type="dxa"/>
            <w:tcBorders>
              <w:top w:val="single" w:sz="4" w:space="0" w:color="000000"/>
              <w:left w:val="single" w:sz="12" w:space="0" w:color="000000"/>
              <w:bottom w:val="single" w:sz="4" w:space="0" w:color="000000"/>
              <w:right w:val="single" w:sz="12" w:space="0" w:color="000000"/>
            </w:tcBorders>
          </w:tcPr>
          <w:p w14:paraId="16A32DE1" w14:textId="1B5B442F" w:rsidR="004E044C" w:rsidRDefault="004E044C" w:rsidP="004E044C">
            <w:pPr>
              <w:spacing w:after="0" w:line="259" w:lineRule="auto"/>
              <w:ind w:left="0" w:right="0" w:firstLine="0"/>
              <w:jc w:val="center"/>
            </w:pPr>
            <w:r>
              <w:rPr>
                <w:sz w:val="18"/>
              </w:rPr>
              <w:t>1000</w:t>
            </w:r>
          </w:p>
        </w:tc>
        <w:tc>
          <w:tcPr>
            <w:tcW w:w="711" w:type="dxa"/>
            <w:tcBorders>
              <w:top w:val="single" w:sz="4" w:space="0" w:color="000000"/>
              <w:left w:val="single" w:sz="12" w:space="0" w:color="000000"/>
              <w:bottom w:val="single" w:sz="4" w:space="0" w:color="000000"/>
              <w:right w:val="single" w:sz="12" w:space="0" w:color="000000"/>
            </w:tcBorders>
          </w:tcPr>
          <w:p w14:paraId="0D23CFFB" w14:textId="1753886F" w:rsidR="004E044C" w:rsidRDefault="004E044C" w:rsidP="004E044C">
            <w:pPr>
              <w:spacing w:after="0" w:line="259" w:lineRule="auto"/>
              <w:ind w:left="0" w:right="44" w:firstLine="0"/>
              <w:jc w:val="center"/>
            </w:pPr>
            <w:r>
              <w:rPr>
                <w:rFonts w:eastAsia="Segoe UI Symbol"/>
                <w:sz w:val="18"/>
              </w:rPr>
              <w:t>u</w:t>
            </w:r>
            <w:r>
              <w:rPr>
                <w:sz w:val="18"/>
              </w:rPr>
              <w:t>g/kg</w:t>
            </w:r>
          </w:p>
        </w:tc>
        <w:tc>
          <w:tcPr>
            <w:tcW w:w="639" w:type="dxa"/>
            <w:tcBorders>
              <w:top w:val="single" w:sz="4" w:space="0" w:color="000000"/>
              <w:left w:val="single" w:sz="12" w:space="0" w:color="000000"/>
              <w:bottom w:val="single" w:sz="4" w:space="0" w:color="000000"/>
              <w:right w:val="single" w:sz="12" w:space="0" w:color="000000"/>
            </w:tcBorders>
          </w:tcPr>
          <w:p w14:paraId="31EE8F59" w14:textId="7AA5B721" w:rsidR="004E044C" w:rsidRDefault="004E044C" w:rsidP="004E044C">
            <w:pPr>
              <w:spacing w:after="0" w:line="259" w:lineRule="auto"/>
              <w:ind w:left="0" w:right="0" w:firstLine="0"/>
              <w:jc w:val="center"/>
            </w:pPr>
            <w:r>
              <w:rPr>
                <w:sz w:val="18"/>
              </w:rPr>
              <w:t>X</w:t>
            </w:r>
          </w:p>
        </w:tc>
        <w:tc>
          <w:tcPr>
            <w:tcW w:w="545" w:type="dxa"/>
            <w:tcBorders>
              <w:top w:val="single" w:sz="4" w:space="0" w:color="000000"/>
              <w:left w:val="single" w:sz="12" w:space="0" w:color="000000"/>
              <w:bottom w:val="single" w:sz="4" w:space="0" w:color="000000"/>
              <w:right w:val="single" w:sz="12" w:space="0" w:color="000000"/>
            </w:tcBorders>
          </w:tcPr>
          <w:p w14:paraId="27FE27E5" w14:textId="426F5EA8" w:rsidR="004E044C" w:rsidRDefault="004E044C" w:rsidP="004E044C">
            <w:pPr>
              <w:spacing w:after="0" w:line="259" w:lineRule="auto"/>
              <w:ind w:left="0" w:right="1" w:firstLine="0"/>
              <w:jc w:val="center"/>
            </w:pPr>
            <w:r>
              <w:rPr>
                <w:sz w:val="18"/>
              </w:rPr>
              <w:t>X</w:t>
            </w:r>
          </w:p>
        </w:tc>
        <w:tc>
          <w:tcPr>
            <w:tcW w:w="454" w:type="dxa"/>
            <w:tcBorders>
              <w:top w:val="single" w:sz="4" w:space="0" w:color="000000"/>
              <w:left w:val="single" w:sz="12" w:space="0" w:color="000000"/>
              <w:bottom w:val="single" w:sz="4" w:space="0" w:color="000000"/>
              <w:right w:val="single" w:sz="12" w:space="0" w:color="000000"/>
            </w:tcBorders>
          </w:tcPr>
          <w:p w14:paraId="5C4D3882" w14:textId="458F1BA3" w:rsidR="004E044C" w:rsidRDefault="004E044C" w:rsidP="004E044C">
            <w:pPr>
              <w:spacing w:after="0" w:line="259" w:lineRule="auto"/>
              <w:ind w:left="0" w:right="0" w:firstLine="0"/>
              <w:jc w:val="center"/>
            </w:pPr>
            <w:r>
              <w:rPr>
                <w:sz w:val="18"/>
              </w:rPr>
              <w:t>X</w:t>
            </w:r>
          </w:p>
        </w:tc>
        <w:tc>
          <w:tcPr>
            <w:tcW w:w="1003" w:type="dxa"/>
            <w:tcBorders>
              <w:top w:val="single" w:sz="4" w:space="0" w:color="000000"/>
              <w:left w:val="single" w:sz="12" w:space="0" w:color="000000"/>
              <w:bottom w:val="single" w:sz="4" w:space="0" w:color="000000"/>
              <w:right w:val="single" w:sz="12" w:space="0" w:color="000000"/>
            </w:tcBorders>
          </w:tcPr>
          <w:p w14:paraId="197DB589" w14:textId="1E24166E" w:rsidR="004E044C" w:rsidRDefault="004E044C" w:rsidP="004E044C">
            <w:pPr>
              <w:spacing w:after="0" w:line="259" w:lineRule="auto"/>
              <w:ind w:left="0" w:right="0" w:firstLine="0"/>
              <w:jc w:val="center"/>
            </w:pPr>
            <w:r>
              <w:rPr>
                <w:sz w:val="18"/>
              </w:rPr>
              <w:t>8141</w:t>
            </w:r>
          </w:p>
        </w:tc>
        <w:tc>
          <w:tcPr>
            <w:tcW w:w="793" w:type="dxa"/>
            <w:tcBorders>
              <w:top w:val="single" w:sz="4" w:space="0" w:color="000000"/>
              <w:left w:val="single" w:sz="12" w:space="0" w:color="000000"/>
              <w:bottom w:val="single" w:sz="4" w:space="0" w:color="000000"/>
              <w:right w:val="single" w:sz="12" w:space="0" w:color="000000"/>
            </w:tcBorders>
          </w:tcPr>
          <w:p w14:paraId="06AA083D" w14:textId="697D481C" w:rsidR="004E044C" w:rsidRDefault="004E044C" w:rsidP="004E044C">
            <w:pPr>
              <w:spacing w:after="0" w:line="259" w:lineRule="auto"/>
              <w:ind w:left="0" w:right="45" w:firstLine="0"/>
              <w:jc w:val="center"/>
            </w:pPr>
            <w:r>
              <w:rPr>
                <w:sz w:val="18"/>
              </w:rPr>
              <w:t>8321</w:t>
            </w:r>
          </w:p>
        </w:tc>
      </w:tr>
      <w:tr w:rsidR="004E044C" w14:paraId="62914C6C" w14:textId="77777777" w:rsidTr="005B6604">
        <w:trPr>
          <w:trHeight w:val="250"/>
        </w:trPr>
        <w:tc>
          <w:tcPr>
            <w:tcW w:w="3167" w:type="dxa"/>
            <w:tcBorders>
              <w:top w:val="single" w:sz="4" w:space="0" w:color="000000"/>
              <w:left w:val="single" w:sz="12" w:space="0" w:color="000000"/>
              <w:bottom w:val="single" w:sz="4" w:space="0" w:color="000000"/>
              <w:right w:val="single" w:sz="12" w:space="0" w:color="000000"/>
            </w:tcBorders>
          </w:tcPr>
          <w:p w14:paraId="6A894BD8" w14:textId="06444553" w:rsidR="004E044C" w:rsidRDefault="004E044C" w:rsidP="004E044C">
            <w:pPr>
              <w:spacing w:after="0" w:line="259" w:lineRule="auto"/>
              <w:ind w:left="0" w:right="0" w:firstLine="0"/>
            </w:pPr>
            <w:proofErr w:type="spellStart"/>
            <w:r>
              <w:rPr>
                <w:sz w:val="18"/>
              </w:rPr>
              <w:t>Famphur</w:t>
            </w:r>
            <w:proofErr w:type="spellEnd"/>
            <w:r>
              <w:rPr>
                <w:sz w:val="18"/>
              </w:rPr>
              <w:t xml:space="preserve"> </w:t>
            </w:r>
          </w:p>
        </w:tc>
        <w:tc>
          <w:tcPr>
            <w:tcW w:w="1195" w:type="dxa"/>
            <w:tcBorders>
              <w:top w:val="single" w:sz="4" w:space="0" w:color="000000"/>
              <w:left w:val="single" w:sz="12" w:space="0" w:color="000000"/>
              <w:bottom w:val="single" w:sz="4" w:space="0" w:color="000000"/>
              <w:right w:val="single" w:sz="12" w:space="0" w:color="000000"/>
            </w:tcBorders>
          </w:tcPr>
          <w:p w14:paraId="302F8146" w14:textId="04242AE4" w:rsidR="004E044C" w:rsidRDefault="004E044C" w:rsidP="004E044C">
            <w:pPr>
              <w:spacing w:after="0" w:line="259" w:lineRule="auto"/>
              <w:ind w:left="0" w:right="44" w:firstLine="0"/>
              <w:jc w:val="center"/>
            </w:pPr>
            <w:r>
              <w:rPr>
                <w:sz w:val="18"/>
              </w:rPr>
              <w:t>52-85-7</w:t>
            </w:r>
          </w:p>
        </w:tc>
        <w:tc>
          <w:tcPr>
            <w:tcW w:w="588" w:type="dxa"/>
            <w:tcBorders>
              <w:top w:val="single" w:sz="4" w:space="0" w:color="000000"/>
              <w:left w:val="single" w:sz="12" w:space="0" w:color="000000"/>
              <w:bottom w:val="single" w:sz="4" w:space="0" w:color="000000"/>
              <w:right w:val="single" w:sz="12" w:space="0" w:color="000000"/>
            </w:tcBorders>
          </w:tcPr>
          <w:p w14:paraId="297F322C" w14:textId="7A8E26F8" w:rsidR="004E044C" w:rsidRDefault="004E044C" w:rsidP="004E044C">
            <w:pPr>
              <w:spacing w:after="0" w:line="259" w:lineRule="auto"/>
              <w:ind w:left="0" w:right="0" w:firstLine="0"/>
              <w:jc w:val="center"/>
            </w:pPr>
            <w:r>
              <w:rPr>
                <w:sz w:val="18"/>
              </w:rPr>
              <w:t>20</w:t>
            </w:r>
          </w:p>
        </w:tc>
        <w:tc>
          <w:tcPr>
            <w:tcW w:w="714" w:type="dxa"/>
            <w:tcBorders>
              <w:top w:val="single" w:sz="4" w:space="0" w:color="000000"/>
              <w:left w:val="single" w:sz="12" w:space="0" w:color="000000"/>
              <w:bottom w:val="single" w:sz="4" w:space="0" w:color="000000"/>
              <w:right w:val="single" w:sz="12" w:space="0" w:color="000000"/>
            </w:tcBorders>
          </w:tcPr>
          <w:p w14:paraId="0FB4905D" w14:textId="3A79F680" w:rsidR="004E044C" w:rsidRDefault="004E044C" w:rsidP="004E044C">
            <w:pPr>
              <w:spacing w:after="0" w:line="259" w:lineRule="auto"/>
              <w:ind w:left="0" w:right="48" w:firstLine="0"/>
              <w:jc w:val="center"/>
            </w:pPr>
            <w:r>
              <w:rPr>
                <w:sz w:val="18"/>
              </w:rPr>
              <w:t>ug/L</w:t>
            </w:r>
          </w:p>
        </w:tc>
        <w:tc>
          <w:tcPr>
            <w:tcW w:w="811" w:type="dxa"/>
            <w:tcBorders>
              <w:top w:val="single" w:sz="4" w:space="0" w:color="000000"/>
              <w:left w:val="single" w:sz="12" w:space="0" w:color="000000"/>
              <w:bottom w:val="single" w:sz="4" w:space="0" w:color="000000"/>
              <w:right w:val="single" w:sz="12" w:space="0" w:color="000000"/>
            </w:tcBorders>
          </w:tcPr>
          <w:p w14:paraId="1D12F31D" w14:textId="73F25075" w:rsidR="004E044C" w:rsidRDefault="004E044C" w:rsidP="004E044C">
            <w:pPr>
              <w:tabs>
                <w:tab w:val="right" w:pos="713"/>
              </w:tabs>
              <w:spacing w:after="0" w:line="259" w:lineRule="auto"/>
              <w:ind w:left="0" w:right="0" w:firstLine="0"/>
              <w:jc w:val="center"/>
            </w:pPr>
            <w:r>
              <w:rPr>
                <w:sz w:val="18"/>
              </w:rPr>
              <w:t>1300</w:t>
            </w:r>
          </w:p>
        </w:tc>
        <w:tc>
          <w:tcPr>
            <w:tcW w:w="711" w:type="dxa"/>
            <w:tcBorders>
              <w:top w:val="single" w:sz="4" w:space="0" w:color="000000"/>
              <w:left w:val="single" w:sz="12" w:space="0" w:color="000000"/>
              <w:bottom w:val="single" w:sz="4" w:space="0" w:color="000000"/>
              <w:right w:val="single" w:sz="12" w:space="0" w:color="000000"/>
            </w:tcBorders>
          </w:tcPr>
          <w:p w14:paraId="7B056344" w14:textId="32058F0B" w:rsidR="004E044C" w:rsidRDefault="004E044C" w:rsidP="004E044C">
            <w:pPr>
              <w:spacing w:after="0" w:line="259" w:lineRule="auto"/>
              <w:ind w:left="0" w:right="44" w:firstLine="0"/>
              <w:jc w:val="center"/>
            </w:pPr>
            <w:r>
              <w:rPr>
                <w:rFonts w:eastAsia="Segoe UI Symbol"/>
                <w:sz w:val="18"/>
              </w:rPr>
              <w:t>u</w:t>
            </w:r>
            <w:r>
              <w:rPr>
                <w:sz w:val="18"/>
              </w:rPr>
              <w:t>g/kg</w:t>
            </w:r>
          </w:p>
        </w:tc>
        <w:tc>
          <w:tcPr>
            <w:tcW w:w="639" w:type="dxa"/>
            <w:tcBorders>
              <w:top w:val="single" w:sz="4" w:space="0" w:color="000000"/>
              <w:left w:val="single" w:sz="12" w:space="0" w:color="000000"/>
              <w:bottom w:val="single" w:sz="4" w:space="0" w:color="000000"/>
              <w:right w:val="single" w:sz="12" w:space="0" w:color="000000"/>
            </w:tcBorders>
          </w:tcPr>
          <w:p w14:paraId="18BE2FB3" w14:textId="1A4D5A43" w:rsidR="004E044C" w:rsidRDefault="004E044C" w:rsidP="004E044C">
            <w:pPr>
              <w:spacing w:after="0" w:line="259" w:lineRule="auto"/>
              <w:ind w:left="0" w:right="0" w:firstLine="0"/>
              <w:jc w:val="center"/>
            </w:pPr>
            <w:r>
              <w:rPr>
                <w:sz w:val="18"/>
              </w:rPr>
              <w:t>X</w:t>
            </w:r>
          </w:p>
        </w:tc>
        <w:tc>
          <w:tcPr>
            <w:tcW w:w="545" w:type="dxa"/>
            <w:tcBorders>
              <w:top w:val="single" w:sz="4" w:space="0" w:color="000000"/>
              <w:left w:val="single" w:sz="12" w:space="0" w:color="000000"/>
              <w:bottom w:val="single" w:sz="4" w:space="0" w:color="000000"/>
              <w:right w:val="single" w:sz="12" w:space="0" w:color="000000"/>
            </w:tcBorders>
          </w:tcPr>
          <w:p w14:paraId="5338B394" w14:textId="248C77D6" w:rsidR="004E044C" w:rsidRDefault="004E044C" w:rsidP="004E044C">
            <w:pPr>
              <w:spacing w:after="0" w:line="259" w:lineRule="auto"/>
              <w:ind w:left="0" w:right="1" w:firstLine="0"/>
              <w:jc w:val="center"/>
            </w:pPr>
            <w:r>
              <w:rPr>
                <w:sz w:val="18"/>
              </w:rPr>
              <w:t>X</w:t>
            </w:r>
          </w:p>
        </w:tc>
        <w:tc>
          <w:tcPr>
            <w:tcW w:w="454" w:type="dxa"/>
            <w:tcBorders>
              <w:top w:val="single" w:sz="4" w:space="0" w:color="000000"/>
              <w:left w:val="single" w:sz="12" w:space="0" w:color="000000"/>
              <w:bottom w:val="single" w:sz="4" w:space="0" w:color="000000"/>
              <w:right w:val="single" w:sz="12" w:space="0" w:color="000000"/>
            </w:tcBorders>
          </w:tcPr>
          <w:p w14:paraId="414E0E88" w14:textId="3BDE08C3" w:rsidR="004E044C" w:rsidRDefault="004E044C" w:rsidP="004E044C">
            <w:pPr>
              <w:spacing w:after="0" w:line="259" w:lineRule="auto"/>
              <w:ind w:left="0" w:right="0" w:firstLine="0"/>
              <w:jc w:val="center"/>
            </w:pPr>
            <w:r>
              <w:rPr>
                <w:sz w:val="18"/>
              </w:rPr>
              <w:t>X</w:t>
            </w:r>
          </w:p>
        </w:tc>
        <w:tc>
          <w:tcPr>
            <w:tcW w:w="1003" w:type="dxa"/>
            <w:tcBorders>
              <w:top w:val="single" w:sz="4" w:space="0" w:color="000000"/>
              <w:left w:val="single" w:sz="12" w:space="0" w:color="000000"/>
              <w:bottom w:val="single" w:sz="4" w:space="0" w:color="000000"/>
              <w:right w:val="single" w:sz="12" w:space="0" w:color="000000"/>
            </w:tcBorders>
          </w:tcPr>
          <w:p w14:paraId="6A90421C" w14:textId="5002E746" w:rsidR="004E044C" w:rsidRDefault="004E044C" w:rsidP="004E044C">
            <w:pPr>
              <w:spacing w:after="0" w:line="259" w:lineRule="auto"/>
              <w:ind w:left="0" w:right="0" w:firstLine="0"/>
              <w:jc w:val="center"/>
            </w:pPr>
            <w:r>
              <w:rPr>
                <w:sz w:val="18"/>
              </w:rPr>
              <w:t>8141</w:t>
            </w:r>
          </w:p>
        </w:tc>
        <w:tc>
          <w:tcPr>
            <w:tcW w:w="793" w:type="dxa"/>
            <w:tcBorders>
              <w:top w:val="single" w:sz="4" w:space="0" w:color="000000"/>
              <w:left w:val="single" w:sz="12" w:space="0" w:color="000000"/>
              <w:bottom w:val="single" w:sz="4" w:space="0" w:color="000000"/>
              <w:right w:val="single" w:sz="12" w:space="0" w:color="000000"/>
            </w:tcBorders>
          </w:tcPr>
          <w:p w14:paraId="3B4509AF" w14:textId="1A6F3861" w:rsidR="004E044C" w:rsidRDefault="004E044C" w:rsidP="004E044C">
            <w:pPr>
              <w:spacing w:after="0" w:line="259" w:lineRule="auto"/>
              <w:ind w:left="0" w:right="45" w:firstLine="0"/>
              <w:jc w:val="center"/>
            </w:pPr>
            <w:r>
              <w:rPr>
                <w:sz w:val="18"/>
              </w:rPr>
              <w:t>8321</w:t>
            </w:r>
          </w:p>
        </w:tc>
      </w:tr>
      <w:tr w:rsidR="004E044C" w14:paraId="682E4D47" w14:textId="77777777" w:rsidTr="005B6604">
        <w:trPr>
          <w:trHeight w:val="250"/>
        </w:trPr>
        <w:tc>
          <w:tcPr>
            <w:tcW w:w="3167" w:type="dxa"/>
            <w:tcBorders>
              <w:top w:val="single" w:sz="4" w:space="0" w:color="000000"/>
              <w:left w:val="single" w:sz="12" w:space="0" w:color="000000"/>
              <w:bottom w:val="single" w:sz="4" w:space="0" w:color="000000"/>
              <w:right w:val="single" w:sz="12" w:space="0" w:color="000000"/>
            </w:tcBorders>
          </w:tcPr>
          <w:p w14:paraId="7B2DC0DE" w14:textId="37D2B3CF" w:rsidR="004E044C" w:rsidRDefault="004E044C" w:rsidP="004E044C">
            <w:pPr>
              <w:spacing w:after="0" w:line="259" w:lineRule="auto"/>
              <w:ind w:left="0" w:right="0" w:firstLine="0"/>
            </w:pPr>
            <w:r>
              <w:rPr>
                <w:sz w:val="18"/>
              </w:rPr>
              <w:t xml:space="preserve">Parathion, ethyl  </w:t>
            </w:r>
          </w:p>
        </w:tc>
        <w:tc>
          <w:tcPr>
            <w:tcW w:w="1195" w:type="dxa"/>
            <w:tcBorders>
              <w:top w:val="single" w:sz="4" w:space="0" w:color="000000"/>
              <w:left w:val="single" w:sz="12" w:space="0" w:color="000000"/>
              <w:bottom w:val="single" w:sz="4" w:space="0" w:color="000000"/>
              <w:right w:val="single" w:sz="12" w:space="0" w:color="000000"/>
            </w:tcBorders>
          </w:tcPr>
          <w:p w14:paraId="254D0B99" w14:textId="2948EC7C" w:rsidR="004E044C" w:rsidRDefault="004E044C" w:rsidP="004E044C">
            <w:pPr>
              <w:spacing w:after="0" w:line="259" w:lineRule="auto"/>
              <w:ind w:left="0" w:right="44" w:firstLine="0"/>
              <w:jc w:val="center"/>
            </w:pPr>
            <w:r>
              <w:rPr>
                <w:sz w:val="18"/>
              </w:rPr>
              <w:t>56-38-2</w:t>
            </w:r>
          </w:p>
        </w:tc>
        <w:tc>
          <w:tcPr>
            <w:tcW w:w="588" w:type="dxa"/>
            <w:tcBorders>
              <w:top w:val="single" w:sz="4" w:space="0" w:color="000000"/>
              <w:left w:val="single" w:sz="12" w:space="0" w:color="000000"/>
              <w:bottom w:val="single" w:sz="4" w:space="0" w:color="000000"/>
              <w:right w:val="single" w:sz="12" w:space="0" w:color="000000"/>
            </w:tcBorders>
          </w:tcPr>
          <w:p w14:paraId="17C2A54E" w14:textId="6DA5142E" w:rsidR="004E044C" w:rsidRDefault="004E044C" w:rsidP="004E044C">
            <w:pPr>
              <w:tabs>
                <w:tab w:val="right" w:pos="489"/>
              </w:tabs>
              <w:spacing w:after="0" w:line="259" w:lineRule="auto"/>
              <w:ind w:left="0" w:right="0" w:firstLine="0"/>
              <w:jc w:val="center"/>
            </w:pPr>
            <w:r>
              <w:rPr>
                <w:sz w:val="18"/>
              </w:rPr>
              <w:t>20</w:t>
            </w:r>
          </w:p>
        </w:tc>
        <w:tc>
          <w:tcPr>
            <w:tcW w:w="714" w:type="dxa"/>
            <w:tcBorders>
              <w:top w:val="single" w:sz="4" w:space="0" w:color="000000"/>
              <w:left w:val="single" w:sz="12" w:space="0" w:color="000000"/>
              <w:bottom w:val="single" w:sz="4" w:space="0" w:color="000000"/>
              <w:right w:val="single" w:sz="12" w:space="0" w:color="000000"/>
            </w:tcBorders>
          </w:tcPr>
          <w:p w14:paraId="214C6812" w14:textId="71041F52" w:rsidR="004E044C" w:rsidRDefault="004E044C" w:rsidP="004E044C">
            <w:pPr>
              <w:spacing w:after="0" w:line="259" w:lineRule="auto"/>
              <w:ind w:left="0" w:right="48" w:firstLine="0"/>
              <w:jc w:val="center"/>
            </w:pPr>
            <w:r>
              <w:rPr>
                <w:sz w:val="18"/>
              </w:rPr>
              <w:t>ug/L</w:t>
            </w:r>
          </w:p>
        </w:tc>
        <w:tc>
          <w:tcPr>
            <w:tcW w:w="811" w:type="dxa"/>
            <w:tcBorders>
              <w:top w:val="single" w:sz="4" w:space="0" w:color="000000"/>
              <w:left w:val="single" w:sz="12" w:space="0" w:color="000000"/>
              <w:bottom w:val="single" w:sz="4" w:space="0" w:color="000000"/>
              <w:right w:val="single" w:sz="12" w:space="0" w:color="000000"/>
            </w:tcBorders>
          </w:tcPr>
          <w:p w14:paraId="0B414000" w14:textId="46327B4F" w:rsidR="004E044C" w:rsidRDefault="004E044C" w:rsidP="004E044C">
            <w:pPr>
              <w:tabs>
                <w:tab w:val="right" w:pos="713"/>
              </w:tabs>
              <w:spacing w:after="0" w:line="259" w:lineRule="auto"/>
              <w:ind w:left="0" w:right="0" w:firstLine="0"/>
              <w:jc w:val="center"/>
            </w:pPr>
            <w:r>
              <w:rPr>
                <w:sz w:val="18"/>
              </w:rPr>
              <w:t>1300</w:t>
            </w:r>
          </w:p>
        </w:tc>
        <w:tc>
          <w:tcPr>
            <w:tcW w:w="711" w:type="dxa"/>
            <w:tcBorders>
              <w:top w:val="single" w:sz="4" w:space="0" w:color="000000"/>
              <w:left w:val="single" w:sz="12" w:space="0" w:color="000000"/>
              <w:bottom w:val="single" w:sz="4" w:space="0" w:color="000000"/>
              <w:right w:val="single" w:sz="12" w:space="0" w:color="000000"/>
            </w:tcBorders>
          </w:tcPr>
          <w:p w14:paraId="61410216" w14:textId="19B15C8B" w:rsidR="004E044C" w:rsidRDefault="004E044C" w:rsidP="004E044C">
            <w:pPr>
              <w:spacing w:after="0" w:line="259" w:lineRule="auto"/>
              <w:ind w:left="0" w:right="44" w:firstLine="0"/>
              <w:jc w:val="center"/>
            </w:pPr>
            <w:r>
              <w:rPr>
                <w:rFonts w:eastAsia="Segoe UI Symbol"/>
                <w:sz w:val="18"/>
              </w:rPr>
              <w:t>u</w:t>
            </w:r>
            <w:r>
              <w:rPr>
                <w:sz w:val="18"/>
              </w:rPr>
              <w:t>g/kg</w:t>
            </w:r>
          </w:p>
        </w:tc>
        <w:tc>
          <w:tcPr>
            <w:tcW w:w="639" w:type="dxa"/>
            <w:tcBorders>
              <w:top w:val="single" w:sz="4" w:space="0" w:color="000000"/>
              <w:left w:val="single" w:sz="12" w:space="0" w:color="000000"/>
              <w:bottom w:val="single" w:sz="4" w:space="0" w:color="000000"/>
              <w:right w:val="single" w:sz="12" w:space="0" w:color="000000"/>
            </w:tcBorders>
          </w:tcPr>
          <w:p w14:paraId="15F9E7C7" w14:textId="443807FA" w:rsidR="004E044C" w:rsidRDefault="004E044C" w:rsidP="004E044C">
            <w:pPr>
              <w:spacing w:after="0" w:line="259" w:lineRule="auto"/>
              <w:ind w:left="0" w:right="0" w:firstLine="0"/>
              <w:jc w:val="center"/>
            </w:pPr>
            <w:r>
              <w:rPr>
                <w:sz w:val="18"/>
              </w:rPr>
              <w:t>X</w:t>
            </w:r>
          </w:p>
        </w:tc>
        <w:tc>
          <w:tcPr>
            <w:tcW w:w="545" w:type="dxa"/>
            <w:tcBorders>
              <w:top w:val="single" w:sz="4" w:space="0" w:color="000000"/>
              <w:left w:val="single" w:sz="12" w:space="0" w:color="000000"/>
              <w:bottom w:val="single" w:sz="4" w:space="0" w:color="000000"/>
              <w:right w:val="single" w:sz="12" w:space="0" w:color="000000"/>
            </w:tcBorders>
          </w:tcPr>
          <w:p w14:paraId="2F3D7258" w14:textId="3496E69A" w:rsidR="004E044C" w:rsidRDefault="004E044C" w:rsidP="004E044C">
            <w:pPr>
              <w:spacing w:after="0" w:line="259" w:lineRule="auto"/>
              <w:ind w:left="0" w:right="1" w:firstLine="0"/>
              <w:jc w:val="center"/>
            </w:pPr>
            <w:r>
              <w:rPr>
                <w:sz w:val="18"/>
              </w:rPr>
              <w:t>X</w:t>
            </w:r>
          </w:p>
        </w:tc>
        <w:tc>
          <w:tcPr>
            <w:tcW w:w="454" w:type="dxa"/>
            <w:tcBorders>
              <w:top w:val="single" w:sz="4" w:space="0" w:color="000000"/>
              <w:left w:val="single" w:sz="12" w:space="0" w:color="000000"/>
              <w:bottom w:val="single" w:sz="4" w:space="0" w:color="000000"/>
              <w:right w:val="single" w:sz="12" w:space="0" w:color="000000"/>
            </w:tcBorders>
          </w:tcPr>
          <w:p w14:paraId="63586485" w14:textId="1C196130" w:rsidR="004E044C" w:rsidRDefault="004E044C" w:rsidP="004E044C">
            <w:pPr>
              <w:spacing w:after="0" w:line="259" w:lineRule="auto"/>
              <w:ind w:left="0" w:right="0" w:firstLine="0"/>
              <w:jc w:val="center"/>
            </w:pPr>
            <w:r>
              <w:rPr>
                <w:sz w:val="18"/>
              </w:rPr>
              <w:t>X</w:t>
            </w:r>
          </w:p>
        </w:tc>
        <w:tc>
          <w:tcPr>
            <w:tcW w:w="1003" w:type="dxa"/>
            <w:tcBorders>
              <w:top w:val="single" w:sz="4" w:space="0" w:color="000000"/>
              <w:left w:val="single" w:sz="12" w:space="0" w:color="000000"/>
              <w:bottom w:val="single" w:sz="4" w:space="0" w:color="000000"/>
              <w:right w:val="single" w:sz="12" w:space="0" w:color="000000"/>
            </w:tcBorders>
          </w:tcPr>
          <w:p w14:paraId="51153841" w14:textId="14B22D9B" w:rsidR="004E044C" w:rsidRDefault="004E044C" w:rsidP="004E044C">
            <w:pPr>
              <w:spacing w:after="0" w:line="259" w:lineRule="auto"/>
              <w:ind w:left="38" w:right="0" w:firstLine="0"/>
              <w:jc w:val="center"/>
            </w:pPr>
            <w:r>
              <w:rPr>
                <w:sz w:val="18"/>
              </w:rPr>
              <w:t>8141</w:t>
            </w:r>
          </w:p>
        </w:tc>
        <w:tc>
          <w:tcPr>
            <w:tcW w:w="793" w:type="dxa"/>
            <w:tcBorders>
              <w:top w:val="single" w:sz="4" w:space="0" w:color="000000"/>
              <w:left w:val="single" w:sz="12" w:space="0" w:color="000000"/>
              <w:bottom w:val="single" w:sz="4" w:space="0" w:color="000000"/>
              <w:right w:val="single" w:sz="12" w:space="0" w:color="000000"/>
            </w:tcBorders>
          </w:tcPr>
          <w:p w14:paraId="361BEBB5" w14:textId="128C4B82" w:rsidR="004E044C" w:rsidRDefault="004E044C" w:rsidP="004E044C">
            <w:pPr>
              <w:spacing w:after="0" w:line="259" w:lineRule="auto"/>
              <w:ind w:left="0" w:right="2" w:firstLine="0"/>
              <w:jc w:val="center"/>
            </w:pPr>
            <w:r>
              <w:rPr>
                <w:sz w:val="18"/>
              </w:rPr>
              <w:t>8270</w:t>
            </w:r>
          </w:p>
        </w:tc>
      </w:tr>
      <w:tr w:rsidR="004E044C" w14:paraId="6A33D6F4" w14:textId="77777777" w:rsidTr="005B6604">
        <w:trPr>
          <w:trHeight w:val="230"/>
        </w:trPr>
        <w:tc>
          <w:tcPr>
            <w:tcW w:w="3167" w:type="dxa"/>
            <w:tcBorders>
              <w:top w:val="single" w:sz="4" w:space="0" w:color="000000"/>
              <w:left w:val="single" w:sz="12" w:space="0" w:color="000000"/>
              <w:bottom w:val="single" w:sz="4" w:space="0" w:color="000000"/>
              <w:right w:val="single" w:sz="12" w:space="0" w:color="000000"/>
            </w:tcBorders>
          </w:tcPr>
          <w:p w14:paraId="5357846B" w14:textId="2B39768C" w:rsidR="004E044C" w:rsidRDefault="004E044C" w:rsidP="004E044C">
            <w:pPr>
              <w:spacing w:after="0" w:line="259" w:lineRule="auto"/>
              <w:ind w:left="0" w:right="0" w:firstLine="0"/>
            </w:pPr>
            <w:r>
              <w:rPr>
                <w:sz w:val="18"/>
              </w:rPr>
              <w:t xml:space="preserve">Parathion, methyl  </w:t>
            </w:r>
          </w:p>
        </w:tc>
        <w:tc>
          <w:tcPr>
            <w:tcW w:w="1195" w:type="dxa"/>
            <w:tcBorders>
              <w:top w:val="single" w:sz="4" w:space="0" w:color="000000"/>
              <w:left w:val="single" w:sz="12" w:space="0" w:color="000000"/>
              <w:bottom w:val="single" w:sz="4" w:space="0" w:color="000000"/>
              <w:right w:val="single" w:sz="12" w:space="0" w:color="000000"/>
            </w:tcBorders>
          </w:tcPr>
          <w:p w14:paraId="5F7FDEBA" w14:textId="568594CD" w:rsidR="004E044C" w:rsidRDefault="004E044C" w:rsidP="004E044C">
            <w:pPr>
              <w:spacing w:after="0" w:line="259" w:lineRule="auto"/>
              <w:ind w:left="0" w:right="44" w:firstLine="0"/>
              <w:jc w:val="center"/>
            </w:pPr>
            <w:r>
              <w:rPr>
                <w:sz w:val="18"/>
              </w:rPr>
              <w:t>298-00-0</w:t>
            </w:r>
          </w:p>
        </w:tc>
        <w:tc>
          <w:tcPr>
            <w:tcW w:w="588" w:type="dxa"/>
            <w:tcBorders>
              <w:top w:val="single" w:sz="4" w:space="0" w:color="000000"/>
              <w:left w:val="single" w:sz="12" w:space="0" w:color="000000"/>
              <w:bottom w:val="single" w:sz="4" w:space="0" w:color="000000"/>
              <w:right w:val="single" w:sz="12" w:space="0" w:color="000000"/>
            </w:tcBorders>
          </w:tcPr>
          <w:p w14:paraId="479067F3" w14:textId="5DAA624C" w:rsidR="004E044C" w:rsidRDefault="004E044C" w:rsidP="004E044C">
            <w:pPr>
              <w:tabs>
                <w:tab w:val="right" w:pos="489"/>
              </w:tabs>
              <w:spacing w:after="0" w:line="259" w:lineRule="auto"/>
              <w:ind w:left="0" w:right="0" w:firstLine="0"/>
              <w:jc w:val="center"/>
            </w:pPr>
            <w:r>
              <w:rPr>
                <w:sz w:val="18"/>
              </w:rPr>
              <w:t>10</w:t>
            </w:r>
          </w:p>
        </w:tc>
        <w:tc>
          <w:tcPr>
            <w:tcW w:w="714" w:type="dxa"/>
            <w:tcBorders>
              <w:top w:val="single" w:sz="4" w:space="0" w:color="000000"/>
              <w:left w:val="single" w:sz="12" w:space="0" w:color="000000"/>
              <w:bottom w:val="single" w:sz="4" w:space="0" w:color="000000"/>
              <w:right w:val="single" w:sz="12" w:space="0" w:color="000000"/>
            </w:tcBorders>
          </w:tcPr>
          <w:p w14:paraId="09F0C214" w14:textId="6C89F80A" w:rsidR="004E044C" w:rsidRDefault="004E044C" w:rsidP="004E044C">
            <w:pPr>
              <w:spacing w:after="0" w:line="259" w:lineRule="auto"/>
              <w:ind w:left="0" w:right="48" w:firstLine="0"/>
              <w:jc w:val="center"/>
            </w:pPr>
            <w:r>
              <w:rPr>
                <w:sz w:val="18"/>
              </w:rPr>
              <w:t>ug/L</w:t>
            </w:r>
          </w:p>
        </w:tc>
        <w:tc>
          <w:tcPr>
            <w:tcW w:w="811" w:type="dxa"/>
            <w:tcBorders>
              <w:top w:val="single" w:sz="4" w:space="0" w:color="000000"/>
              <w:left w:val="single" w:sz="12" w:space="0" w:color="000000"/>
              <w:bottom w:val="single" w:sz="4" w:space="0" w:color="000000"/>
              <w:right w:val="single" w:sz="12" w:space="0" w:color="000000"/>
            </w:tcBorders>
          </w:tcPr>
          <w:p w14:paraId="745222D9" w14:textId="03FD9032" w:rsidR="004E044C" w:rsidRDefault="004E044C" w:rsidP="004E044C">
            <w:pPr>
              <w:tabs>
                <w:tab w:val="right" w:pos="713"/>
              </w:tabs>
              <w:spacing w:after="0" w:line="259" w:lineRule="auto"/>
              <w:ind w:left="0" w:right="0" w:firstLine="0"/>
              <w:jc w:val="center"/>
            </w:pPr>
            <w:r>
              <w:rPr>
                <w:sz w:val="18"/>
              </w:rPr>
              <w:t>660</w:t>
            </w:r>
          </w:p>
        </w:tc>
        <w:tc>
          <w:tcPr>
            <w:tcW w:w="711" w:type="dxa"/>
            <w:tcBorders>
              <w:top w:val="single" w:sz="4" w:space="0" w:color="000000"/>
              <w:left w:val="single" w:sz="12" w:space="0" w:color="000000"/>
              <w:bottom w:val="single" w:sz="4" w:space="0" w:color="000000"/>
              <w:right w:val="single" w:sz="12" w:space="0" w:color="000000"/>
            </w:tcBorders>
          </w:tcPr>
          <w:p w14:paraId="0E0FD7C5" w14:textId="31918BAE" w:rsidR="004E044C" w:rsidRDefault="004E044C" w:rsidP="004E044C">
            <w:pPr>
              <w:spacing w:after="0" w:line="259" w:lineRule="auto"/>
              <w:ind w:left="0" w:right="44" w:firstLine="0"/>
              <w:jc w:val="center"/>
            </w:pPr>
            <w:r>
              <w:rPr>
                <w:rFonts w:eastAsia="Segoe UI Symbol"/>
                <w:sz w:val="18"/>
              </w:rPr>
              <w:t>u</w:t>
            </w:r>
            <w:r>
              <w:rPr>
                <w:sz w:val="18"/>
              </w:rPr>
              <w:t>g/kg</w:t>
            </w:r>
          </w:p>
        </w:tc>
        <w:tc>
          <w:tcPr>
            <w:tcW w:w="639" w:type="dxa"/>
            <w:tcBorders>
              <w:top w:val="single" w:sz="4" w:space="0" w:color="000000"/>
              <w:left w:val="single" w:sz="12" w:space="0" w:color="000000"/>
              <w:bottom w:val="single" w:sz="4" w:space="0" w:color="000000"/>
              <w:right w:val="single" w:sz="12" w:space="0" w:color="000000"/>
            </w:tcBorders>
          </w:tcPr>
          <w:p w14:paraId="10D55AA4" w14:textId="37A870EC" w:rsidR="004E044C" w:rsidRDefault="004E044C" w:rsidP="004E044C">
            <w:pPr>
              <w:spacing w:after="0" w:line="259" w:lineRule="auto"/>
              <w:ind w:left="0" w:right="0" w:firstLine="0"/>
              <w:jc w:val="center"/>
            </w:pPr>
            <w:r>
              <w:rPr>
                <w:sz w:val="18"/>
              </w:rPr>
              <w:t>X</w:t>
            </w:r>
          </w:p>
        </w:tc>
        <w:tc>
          <w:tcPr>
            <w:tcW w:w="545" w:type="dxa"/>
            <w:tcBorders>
              <w:top w:val="single" w:sz="4" w:space="0" w:color="000000"/>
              <w:left w:val="single" w:sz="12" w:space="0" w:color="000000"/>
              <w:bottom w:val="single" w:sz="4" w:space="0" w:color="000000"/>
              <w:right w:val="single" w:sz="12" w:space="0" w:color="000000"/>
            </w:tcBorders>
          </w:tcPr>
          <w:p w14:paraId="6402F049" w14:textId="5400D7FD" w:rsidR="004E044C" w:rsidRDefault="004E044C" w:rsidP="004E044C">
            <w:pPr>
              <w:spacing w:after="0" w:line="259" w:lineRule="auto"/>
              <w:ind w:left="0" w:right="1" w:firstLine="0"/>
              <w:jc w:val="center"/>
            </w:pPr>
            <w:r>
              <w:rPr>
                <w:sz w:val="18"/>
              </w:rPr>
              <w:t>X</w:t>
            </w:r>
          </w:p>
        </w:tc>
        <w:tc>
          <w:tcPr>
            <w:tcW w:w="454" w:type="dxa"/>
            <w:tcBorders>
              <w:top w:val="single" w:sz="4" w:space="0" w:color="000000"/>
              <w:left w:val="single" w:sz="12" w:space="0" w:color="000000"/>
              <w:bottom w:val="single" w:sz="4" w:space="0" w:color="000000"/>
              <w:right w:val="single" w:sz="12" w:space="0" w:color="000000"/>
            </w:tcBorders>
          </w:tcPr>
          <w:p w14:paraId="5FC90EE3" w14:textId="3F6ADEF9" w:rsidR="004E044C" w:rsidRDefault="004E044C" w:rsidP="004E044C">
            <w:pPr>
              <w:spacing w:after="0" w:line="259" w:lineRule="auto"/>
              <w:ind w:left="0" w:right="0" w:firstLine="0"/>
              <w:jc w:val="center"/>
            </w:pPr>
            <w:r>
              <w:rPr>
                <w:sz w:val="18"/>
              </w:rPr>
              <w:t>X</w:t>
            </w:r>
          </w:p>
        </w:tc>
        <w:tc>
          <w:tcPr>
            <w:tcW w:w="1003" w:type="dxa"/>
            <w:tcBorders>
              <w:top w:val="single" w:sz="4" w:space="0" w:color="000000"/>
              <w:left w:val="single" w:sz="12" w:space="0" w:color="000000"/>
              <w:bottom w:val="single" w:sz="4" w:space="0" w:color="000000"/>
              <w:right w:val="single" w:sz="12" w:space="0" w:color="000000"/>
            </w:tcBorders>
          </w:tcPr>
          <w:p w14:paraId="3F4D09A9" w14:textId="01F8DD0A" w:rsidR="004E044C" w:rsidRDefault="004E044C" w:rsidP="004E044C">
            <w:pPr>
              <w:spacing w:after="0" w:line="259" w:lineRule="auto"/>
              <w:ind w:left="38" w:right="0" w:firstLine="0"/>
              <w:jc w:val="center"/>
            </w:pPr>
            <w:r>
              <w:rPr>
                <w:sz w:val="18"/>
              </w:rPr>
              <w:t>8141</w:t>
            </w:r>
          </w:p>
        </w:tc>
        <w:tc>
          <w:tcPr>
            <w:tcW w:w="793" w:type="dxa"/>
            <w:tcBorders>
              <w:top w:val="single" w:sz="4" w:space="0" w:color="000000"/>
              <w:left w:val="single" w:sz="12" w:space="0" w:color="000000"/>
              <w:bottom w:val="single" w:sz="4" w:space="0" w:color="000000"/>
              <w:right w:val="single" w:sz="12" w:space="0" w:color="000000"/>
            </w:tcBorders>
          </w:tcPr>
          <w:p w14:paraId="09786127" w14:textId="43446F4C" w:rsidR="004E044C" w:rsidRDefault="004E044C" w:rsidP="004E044C">
            <w:pPr>
              <w:spacing w:after="0" w:line="259" w:lineRule="auto"/>
              <w:ind w:left="0" w:right="2" w:firstLine="0"/>
              <w:jc w:val="center"/>
            </w:pPr>
            <w:r>
              <w:rPr>
                <w:sz w:val="18"/>
              </w:rPr>
              <w:t>8321</w:t>
            </w:r>
          </w:p>
        </w:tc>
      </w:tr>
      <w:tr w:rsidR="004E044C" w14:paraId="2C2BD935" w14:textId="77777777" w:rsidTr="005B6604">
        <w:trPr>
          <w:trHeight w:val="250"/>
        </w:trPr>
        <w:tc>
          <w:tcPr>
            <w:tcW w:w="3167" w:type="dxa"/>
            <w:tcBorders>
              <w:top w:val="single" w:sz="4" w:space="0" w:color="000000"/>
              <w:left w:val="single" w:sz="12" w:space="0" w:color="000000"/>
              <w:bottom w:val="single" w:sz="4" w:space="0" w:color="000000"/>
              <w:right w:val="single" w:sz="12" w:space="0" w:color="000000"/>
            </w:tcBorders>
          </w:tcPr>
          <w:p w14:paraId="61CA3AE9" w14:textId="336E85F6" w:rsidR="004E044C" w:rsidRDefault="004E044C" w:rsidP="004E044C">
            <w:pPr>
              <w:spacing w:after="0" w:line="259" w:lineRule="auto"/>
              <w:ind w:left="0" w:right="0" w:firstLine="0"/>
            </w:pPr>
            <w:r>
              <w:rPr>
                <w:sz w:val="18"/>
              </w:rPr>
              <w:t xml:space="preserve">Phorate  </w:t>
            </w:r>
          </w:p>
        </w:tc>
        <w:tc>
          <w:tcPr>
            <w:tcW w:w="1195" w:type="dxa"/>
            <w:tcBorders>
              <w:top w:val="single" w:sz="4" w:space="0" w:color="000000"/>
              <w:left w:val="single" w:sz="12" w:space="0" w:color="000000"/>
              <w:bottom w:val="single" w:sz="4" w:space="0" w:color="000000"/>
              <w:right w:val="single" w:sz="12" w:space="0" w:color="000000"/>
            </w:tcBorders>
          </w:tcPr>
          <w:p w14:paraId="2642E88B" w14:textId="3216068F" w:rsidR="004E044C" w:rsidRDefault="004E044C" w:rsidP="004E044C">
            <w:pPr>
              <w:spacing w:after="0" w:line="259" w:lineRule="auto"/>
              <w:ind w:left="0" w:right="44" w:firstLine="0"/>
              <w:jc w:val="center"/>
            </w:pPr>
            <w:r>
              <w:rPr>
                <w:sz w:val="18"/>
              </w:rPr>
              <w:t>298-02-2</w:t>
            </w:r>
          </w:p>
        </w:tc>
        <w:tc>
          <w:tcPr>
            <w:tcW w:w="588" w:type="dxa"/>
            <w:tcBorders>
              <w:top w:val="single" w:sz="4" w:space="0" w:color="000000"/>
              <w:left w:val="single" w:sz="12" w:space="0" w:color="000000"/>
              <w:bottom w:val="single" w:sz="4" w:space="0" w:color="000000"/>
              <w:right w:val="single" w:sz="12" w:space="0" w:color="000000"/>
            </w:tcBorders>
          </w:tcPr>
          <w:p w14:paraId="6FDFE58C" w14:textId="12066DC6" w:rsidR="004E044C" w:rsidRDefault="004E044C" w:rsidP="004E044C">
            <w:pPr>
              <w:tabs>
                <w:tab w:val="right" w:pos="489"/>
              </w:tabs>
              <w:spacing w:after="0" w:line="259" w:lineRule="auto"/>
              <w:ind w:left="0" w:right="0" w:firstLine="0"/>
              <w:jc w:val="center"/>
            </w:pPr>
            <w:r>
              <w:rPr>
                <w:sz w:val="18"/>
              </w:rPr>
              <w:t>6</w:t>
            </w:r>
          </w:p>
        </w:tc>
        <w:tc>
          <w:tcPr>
            <w:tcW w:w="714" w:type="dxa"/>
            <w:tcBorders>
              <w:top w:val="single" w:sz="4" w:space="0" w:color="000000"/>
              <w:left w:val="single" w:sz="12" w:space="0" w:color="000000"/>
              <w:bottom w:val="single" w:sz="4" w:space="0" w:color="000000"/>
              <w:right w:val="single" w:sz="12" w:space="0" w:color="000000"/>
            </w:tcBorders>
          </w:tcPr>
          <w:p w14:paraId="7B762FE1" w14:textId="1BAE05E5" w:rsidR="004E044C" w:rsidRDefault="004E044C" w:rsidP="004E044C">
            <w:pPr>
              <w:spacing w:after="0" w:line="259" w:lineRule="auto"/>
              <w:ind w:left="0" w:right="48" w:firstLine="0"/>
              <w:jc w:val="center"/>
            </w:pPr>
            <w:r>
              <w:rPr>
                <w:sz w:val="18"/>
              </w:rPr>
              <w:t>ug/L</w:t>
            </w:r>
          </w:p>
        </w:tc>
        <w:tc>
          <w:tcPr>
            <w:tcW w:w="811" w:type="dxa"/>
            <w:tcBorders>
              <w:top w:val="single" w:sz="4" w:space="0" w:color="000000"/>
              <w:left w:val="single" w:sz="12" w:space="0" w:color="000000"/>
              <w:bottom w:val="single" w:sz="4" w:space="0" w:color="000000"/>
              <w:right w:val="single" w:sz="12" w:space="0" w:color="000000"/>
            </w:tcBorders>
          </w:tcPr>
          <w:p w14:paraId="0017CD0B" w14:textId="7E24E82C" w:rsidR="004E044C" w:rsidRDefault="004E044C" w:rsidP="004E044C">
            <w:pPr>
              <w:tabs>
                <w:tab w:val="right" w:pos="713"/>
              </w:tabs>
              <w:spacing w:after="0" w:line="259" w:lineRule="auto"/>
              <w:ind w:left="0" w:right="0" w:firstLine="0"/>
              <w:jc w:val="center"/>
            </w:pPr>
            <w:r>
              <w:rPr>
                <w:sz w:val="18"/>
              </w:rPr>
              <w:t>400</w:t>
            </w:r>
          </w:p>
        </w:tc>
        <w:tc>
          <w:tcPr>
            <w:tcW w:w="711" w:type="dxa"/>
            <w:tcBorders>
              <w:top w:val="single" w:sz="4" w:space="0" w:color="000000"/>
              <w:left w:val="single" w:sz="12" w:space="0" w:color="000000"/>
              <w:bottom w:val="single" w:sz="4" w:space="0" w:color="000000"/>
              <w:right w:val="single" w:sz="12" w:space="0" w:color="000000"/>
            </w:tcBorders>
          </w:tcPr>
          <w:p w14:paraId="2C21CDAE" w14:textId="68EBD2D9" w:rsidR="004E044C" w:rsidRDefault="004E044C" w:rsidP="004E044C">
            <w:pPr>
              <w:spacing w:after="0" w:line="259" w:lineRule="auto"/>
              <w:ind w:left="0" w:right="44" w:firstLine="0"/>
              <w:jc w:val="center"/>
            </w:pPr>
            <w:r>
              <w:rPr>
                <w:rFonts w:eastAsia="Segoe UI Symbol"/>
                <w:sz w:val="18"/>
              </w:rPr>
              <w:t>u</w:t>
            </w:r>
            <w:r>
              <w:rPr>
                <w:sz w:val="18"/>
              </w:rPr>
              <w:t>g/kg</w:t>
            </w:r>
          </w:p>
        </w:tc>
        <w:tc>
          <w:tcPr>
            <w:tcW w:w="639" w:type="dxa"/>
            <w:tcBorders>
              <w:top w:val="single" w:sz="4" w:space="0" w:color="000000"/>
              <w:left w:val="single" w:sz="12" w:space="0" w:color="000000"/>
              <w:bottom w:val="single" w:sz="4" w:space="0" w:color="000000"/>
              <w:right w:val="single" w:sz="12" w:space="0" w:color="000000"/>
            </w:tcBorders>
          </w:tcPr>
          <w:p w14:paraId="27DC45E9" w14:textId="3A04BA34" w:rsidR="004E044C" w:rsidRDefault="004E044C" w:rsidP="004E044C">
            <w:pPr>
              <w:spacing w:after="0" w:line="259" w:lineRule="auto"/>
              <w:ind w:left="0" w:right="0" w:firstLine="0"/>
              <w:jc w:val="center"/>
            </w:pPr>
            <w:r>
              <w:rPr>
                <w:sz w:val="18"/>
              </w:rPr>
              <w:t>X</w:t>
            </w:r>
          </w:p>
        </w:tc>
        <w:tc>
          <w:tcPr>
            <w:tcW w:w="545" w:type="dxa"/>
            <w:tcBorders>
              <w:top w:val="single" w:sz="4" w:space="0" w:color="000000"/>
              <w:left w:val="single" w:sz="12" w:space="0" w:color="000000"/>
              <w:bottom w:val="single" w:sz="4" w:space="0" w:color="000000"/>
              <w:right w:val="single" w:sz="12" w:space="0" w:color="000000"/>
            </w:tcBorders>
          </w:tcPr>
          <w:p w14:paraId="4872B783" w14:textId="626841E4" w:rsidR="004E044C" w:rsidRDefault="004E044C" w:rsidP="004E044C">
            <w:pPr>
              <w:spacing w:after="0" w:line="259" w:lineRule="auto"/>
              <w:ind w:left="0" w:right="1" w:firstLine="0"/>
              <w:jc w:val="center"/>
            </w:pPr>
            <w:r>
              <w:rPr>
                <w:sz w:val="18"/>
              </w:rPr>
              <w:t>X</w:t>
            </w:r>
          </w:p>
        </w:tc>
        <w:tc>
          <w:tcPr>
            <w:tcW w:w="454" w:type="dxa"/>
            <w:tcBorders>
              <w:top w:val="single" w:sz="4" w:space="0" w:color="000000"/>
              <w:left w:val="single" w:sz="12" w:space="0" w:color="000000"/>
              <w:bottom w:val="single" w:sz="4" w:space="0" w:color="000000"/>
              <w:right w:val="single" w:sz="12" w:space="0" w:color="000000"/>
            </w:tcBorders>
          </w:tcPr>
          <w:p w14:paraId="73F6FB72" w14:textId="54B4C256" w:rsidR="004E044C" w:rsidRDefault="004E044C" w:rsidP="004E044C">
            <w:pPr>
              <w:spacing w:after="0" w:line="259" w:lineRule="auto"/>
              <w:ind w:left="0" w:right="0" w:firstLine="0"/>
              <w:jc w:val="center"/>
            </w:pPr>
            <w:r>
              <w:rPr>
                <w:sz w:val="18"/>
              </w:rPr>
              <w:t>X</w:t>
            </w:r>
          </w:p>
        </w:tc>
        <w:tc>
          <w:tcPr>
            <w:tcW w:w="1003" w:type="dxa"/>
            <w:tcBorders>
              <w:top w:val="single" w:sz="4" w:space="0" w:color="000000"/>
              <w:left w:val="single" w:sz="12" w:space="0" w:color="000000"/>
              <w:bottom w:val="single" w:sz="4" w:space="0" w:color="000000"/>
              <w:right w:val="single" w:sz="12" w:space="0" w:color="000000"/>
            </w:tcBorders>
          </w:tcPr>
          <w:p w14:paraId="651942F7" w14:textId="35903668" w:rsidR="004E044C" w:rsidRDefault="004E044C" w:rsidP="004E044C">
            <w:pPr>
              <w:spacing w:after="0" w:line="259" w:lineRule="auto"/>
              <w:ind w:left="38" w:right="0" w:firstLine="0"/>
              <w:jc w:val="center"/>
            </w:pPr>
            <w:r>
              <w:rPr>
                <w:sz w:val="18"/>
              </w:rPr>
              <w:t>8141</w:t>
            </w:r>
          </w:p>
        </w:tc>
        <w:tc>
          <w:tcPr>
            <w:tcW w:w="793" w:type="dxa"/>
            <w:tcBorders>
              <w:top w:val="single" w:sz="4" w:space="0" w:color="000000"/>
              <w:left w:val="single" w:sz="12" w:space="0" w:color="000000"/>
              <w:bottom w:val="single" w:sz="4" w:space="0" w:color="000000"/>
              <w:right w:val="single" w:sz="12" w:space="0" w:color="000000"/>
            </w:tcBorders>
          </w:tcPr>
          <w:p w14:paraId="152AF5FE" w14:textId="78841376" w:rsidR="004E044C" w:rsidRDefault="004E044C" w:rsidP="004E044C">
            <w:pPr>
              <w:spacing w:after="0" w:line="259" w:lineRule="auto"/>
              <w:ind w:left="0" w:right="2" w:firstLine="0"/>
              <w:jc w:val="center"/>
            </w:pPr>
            <w:r>
              <w:rPr>
                <w:sz w:val="18"/>
              </w:rPr>
              <w:t>8321</w:t>
            </w:r>
          </w:p>
        </w:tc>
      </w:tr>
      <w:tr w:rsidR="004E044C" w14:paraId="0FE32DD5" w14:textId="77777777" w:rsidTr="005B6604">
        <w:trPr>
          <w:trHeight w:val="250"/>
        </w:trPr>
        <w:tc>
          <w:tcPr>
            <w:tcW w:w="3167" w:type="dxa"/>
            <w:tcBorders>
              <w:top w:val="single" w:sz="4" w:space="0" w:color="000000"/>
              <w:left w:val="single" w:sz="12" w:space="0" w:color="000000"/>
              <w:bottom w:val="single" w:sz="4" w:space="0" w:color="000000"/>
              <w:right w:val="single" w:sz="12" w:space="0" w:color="000000"/>
            </w:tcBorders>
          </w:tcPr>
          <w:p w14:paraId="2938881E" w14:textId="7DEB9458" w:rsidR="004E044C" w:rsidRDefault="004E044C" w:rsidP="004E044C">
            <w:pPr>
              <w:spacing w:after="0" w:line="259" w:lineRule="auto"/>
              <w:ind w:left="0" w:right="0" w:firstLine="0"/>
            </w:pPr>
            <w:r>
              <w:rPr>
                <w:sz w:val="18"/>
              </w:rPr>
              <w:t xml:space="preserve">Tetraethyl </w:t>
            </w:r>
            <w:proofErr w:type="spellStart"/>
            <w:r>
              <w:rPr>
                <w:sz w:val="18"/>
              </w:rPr>
              <w:t>dithiopyrophosphate</w:t>
            </w:r>
            <w:proofErr w:type="spellEnd"/>
            <w:r>
              <w:rPr>
                <w:sz w:val="18"/>
              </w:rPr>
              <w:t xml:space="preserve"> </w:t>
            </w:r>
            <w:r>
              <w:rPr>
                <w:i/>
                <w:sz w:val="18"/>
              </w:rPr>
              <w:t>(</w:t>
            </w:r>
            <w:proofErr w:type="spellStart"/>
            <w:r>
              <w:rPr>
                <w:i/>
                <w:sz w:val="18"/>
              </w:rPr>
              <w:t>Sulfotepp</w:t>
            </w:r>
            <w:proofErr w:type="spellEnd"/>
            <w:r>
              <w:rPr>
                <w:i/>
                <w:sz w:val="18"/>
              </w:rPr>
              <w:t>)</w:t>
            </w:r>
            <w:r>
              <w:rPr>
                <w:sz w:val="18"/>
              </w:rPr>
              <w:t xml:space="preserve"> </w:t>
            </w:r>
          </w:p>
        </w:tc>
        <w:tc>
          <w:tcPr>
            <w:tcW w:w="1195" w:type="dxa"/>
            <w:tcBorders>
              <w:top w:val="single" w:sz="4" w:space="0" w:color="000000"/>
              <w:left w:val="single" w:sz="12" w:space="0" w:color="000000"/>
              <w:bottom w:val="single" w:sz="4" w:space="0" w:color="000000"/>
              <w:right w:val="single" w:sz="12" w:space="0" w:color="000000"/>
            </w:tcBorders>
          </w:tcPr>
          <w:p w14:paraId="78CAB3C6" w14:textId="51A6E52F" w:rsidR="004E044C" w:rsidRDefault="004E044C" w:rsidP="004E044C">
            <w:pPr>
              <w:spacing w:after="0" w:line="259" w:lineRule="auto"/>
              <w:ind w:left="0" w:right="44" w:firstLine="0"/>
              <w:jc w:val="center"/>
            </w:pPr>
            <w:r>
              <w:rPr>
                <w:sz w:val="18"/>
              </w:rPr>
              <w:t>3689-24-5</w:t>
            </w:r>
          </w:p>
        </w:tc>
        <w:tc>
          <w:tcPr>
            <w:tcW w:w="588" w:type="dxa"/>
            <w:tcBorders>
              <w:top w:val="single" w:sz="4" w:space="0" w:color="000000"/>
              <w:left w:val="single" w:sz="12" w:space="0" w:color="000000"/>
              <w:bottom w:val="single" w:sz="4" w:space="0" w:color="000000"/>
              <w:right w:val="single" w:sz="12" w:space="0" w:color="000000"/>
            </w:tcBorders>
          </w:tcPr>
          <w:p w14:paraId="135F9AB5" w14:textId="0AB3279A" w:rsidR="004E044C" w:rsidRDefault="004E044C" w:rsidP="004E044C">
            <w:pPr>
              <w:spacing w:after="0" w:line="259" w:lineRule="auto"/>
              <w:ind w:left="0" w:right="0" w:firstLine="0"/>
              <w:jc w:val="center"/>
            </w:pPr>
            <w:r>
              <w:rPr>
                <w:sz w:val="18"/>
              </w:rPr>
              <w:t>20</w:t>
            </w:r>
          </w:p>
        </w:tc>
        <w:tc>
          <w:tcPr>
            <w:tcW w:w="714" w:type="dxa"/>
            <w:tcBorders>
              <w:top w:val="single" w:sz="4" w:space="0" w:color="000000"/>
              <w:left w:val="single" w:sz="12" w:space="0" w:color="000000"/>
              <w:bottom w:val="single" w:sz="4" w:space="0" w:color="000000"/>
              <w:right w:val="single" w:sz="12" w:space="0" w:color="000000"/>
            </w:tcBorders>
          </w:tcPr>
          <w:p w14:paraId="55BEDB42" w14:textId="1602E529" w:rsidR="004E044C" w:rsidRDefault="004E044C" w:rsidP="004E044C">
            <w:pPr>
              <w:spacing w:after="0" w:line="259" w:lineRule="auto"/>
              <w:ind w:left="0" w:right="48" w:firstLine="0"/>
              <w:jc w:val="center"/>
            </w:pPr>
            <w:r>
              <w:rPr>
                <w:sz w:val="18"/>
              </w:rPr>
              <w:t>ug/L</w:t>
            </w:r>
          </w:p>
        </w:tc>
        <w:tc>
          <w:tcPr>
            <w:tcW w:w="811" w:type="dxa"/>
            <w:tcBorders>
              <w:top w:val="single" w:sz="4" w:space="0" w:color="000000"/>
              <w:left w:val="single" w:sz="12" w:space="0" w:color="000000"/>
              <w:bottom w:val="single" w:sz="4" w:space="0" w:color="000000"/>
              <w:right w:val="single" w:sz="12" w:space="0" w:color="000000"/>
            </w:tcBorders>
          </w:tcPr>
          <w:p w14:paraId="15EE5416" w14:textId="081E21CD" w:rsidR="004E044C" w:rsidRDefault="004E044C" w:rsidP="004E044C">
            <w:pPr>
              <w:tabs>
                <w:tab w:val="right" w:pos="713"/>
              </w:tabs>
              <w:spacing w:after="0" w:line="259" w:lineRule="auto"/>
              <w:ind w:left="0" w:right="0" w:firstLine="0"/>
              <w:jc w:val="center"/>
            </w:pPr>
            <w:r>
              <w:rPr>
                <w:sz w:val="18"/>
              </w:rPr>
              <w:t>1300</w:t>
            </w:r>
          </w:p>
        </w:tc>
        <w:tc>
          <w:tcPr>
            <w:tcW w:w="711" w:type="dxa"/>
            <w:tcBorders>
              <w:top w:val="single" w:sz="4" w:space="0" w:color="000000"/>
              <w:left w:val="single" w:sz="12" w:space="0" w:color="000000"/>
              <w:bottom w:val="single" w:sz="4" w:space="0" w:color="000000"/>
              <w:right w:val="single" w:sz="12" w:space="0" w:color="000000"/>
            </w:tcBorders>
          </w:tcPr>
          <w:p w14:paraId="731C930D" w14:textId="07036907" w:rsidR="004E044C" w:rsidRDefault="004E044C" w:rsidP="004E044C">
            <w:pPr>
              <w:spacing w:after="0" w:line="259" w:lineRule="auto"/>
              <w:ind w:left="0" w:right="44" w:firstLine="0"/>
              <w:jc w:val="center"/>
            </w:pPr>
            <w:r>
              <w:rPr>
                <w:rFonts w:eastAsia="Segoe UI Symbol"/>
                <w:sz w:val="18"/>
              </w:rPr>
              <w:t>u</w:t>
            </w:r>
            <w:r>
              <w:rPr>
                <w:sz w:val="18"/>
              </w:rPr>
              <w:t>g/kg</w:t>
            </w:r>
          </w:p>
        </w:tc>
        <w:tc>
          <w:tcPr>
            <w:tcW w:w="639" w:type="dxa"/>
            <w:tcBorders>
              <w:top w:val="single" w:sz="4" w:space="0" w:color="000000"/>
              <w:left w:val="single" w:sz="12" w:space="0" w:color="000000"/>
              <w:bottom w:val="single" w:sz="4" w:space="0" w:color="000000"/>
              <w:right w:val="single" w:sz="12" w:space="0" w:color="000000"/>
            </w:tcBorders>
          </w:tcPr>
          <w:p w14:paraId="2A42495E" w14:textId="28E0E3D2" w:rsidR="004E044C" w:rsidRDefault="004E044C" w:rsidP="004E044C">
            <w:pPr>
              <w:spacing w:after="0" w:line="259" w:lineRule="auto"/>
              <w:ind w:left="0" w:right="0" w:firstLine="0"/>
              <w:jc w:val="center"/>
            </w:pPr>
            <w:r>
              <w:rPr>
                <w:sz w:val="18"/>
              </w:rPr>
              <w:t>X</w:t>
            </w:r>
          </w:p>
        </w:tc>
        <w:tc>
          <w:tcPr>
            <w:tcW w:w="545" w:type="dxa"/>
            <w:tcBorders>
              <w:top w:val="single" w:sz="4" w:space="0" w:color="000000"/>
              <w:left w:val="single" w:sz="12" w:space="0" w:color="000000"/>
              <w:bottom w:val="single" w:sz="4" w:space="0" w:color="000000"/>
              <w:right w:val="single" w:sz="12" w:space="0" w:color="000000"/>
            </w:tcBorders>
          </w:tcPr>
          <w:p w14:paraId="4C056780" w14:textId="5690C48E" w:rsidR="004E044C" w:rsidRDefault="004E044C" w:rsidP="004E044C">
            <w:pPr>
              <w:spacing w:after="0" w:line="259" w:lineRule="auto"/>
              <w:ind w:left="0" w:right="1" w:firstLine="0"/>
              <w:jc w:val="center"/>
            </w:pPr>
            <w:r>
              <w:rPr>
                <w:sz w:val="18"/>
              </w:rPr>
              <w:t>X</w:t>
            </w:r>
          </w:p>
        </w:tc>
        <w:tc>
          <w:tcPr>
            <w:tcW w:w="454" w:type="dxa"/>
            <w:tcBorders>
              <w:top w:val="single" w:sz="4" w:space="0" w:color="000000"/>
              <w:left w:val="single" w:sz="12" w:space="0" w:color="000000"/>
              <w:bottom w:val="single" w:sz="4" w:space="0" w:color="000000"/>
              <w:right w:val="single" w:sz="12" w:space="0" w:color="000000"/>
            </w:tcBorders>
          </w:tcPr>
          <w:p w14:paraId="066076DD" w14:textId="77777777" w:rsidR="004E044C" w:rsidRDefault="004E044C" w:rsidP="004E044C">
            <w:pPr>
              <w:spacing w:after="0" w:line="259" w:lineRule="auto"/>
              <w:ind w:left="0" w:right="0" w:firstLine="0"/>
              <w:jc w:val="center"/>
            </w:pPr>
          </w:p>
        </w:tc>
        <w:tc>
          <w:tcPr>
            <w:tcW w:w="1003" w:type="dxa"/>
            <w:tcBorders>
              <w:top w:val="single" w:sz="4" w:space="0" w:color="000000"/>
              <w:left w:val="single" w:sz="12" w:space="0" w:color="000000"/>
              <w:bottom w:val="single" w:sz="4" w:space="0" w:color="000000"/>
              <w:right w:val="single" w:sz="12" w:space="0" w:color="000000"/>
            </w:tcBorders>
          </w:tcPr>
          <w:p w14:paraId="3DBCBC33" w14:textId="0AD1708D" w:rsidR="004E044C" w:rsidRDefault="004E044C" w:rsidP="004E044C">
            <w:pPr>
              <w:spacing w:after="0" w:line="259" w:lineRule="auto"/>
              <w:ind w:left="38" w:right="0" w:firstLine="0"/>
              <w:jc w:val="center"/>
            </w:pPr>
            <w:r>
              <w:rPr>
                <w:sz w:val="18"/>
              </w:rPr>
              <w:t>8141</w:t>
            </w:r>
          </w:p>
        </w:tc>
        <w:tc>
          <w:tcPr>
            <w:tcW w:w="793" w:type="dxa"/>
            <w:tcBorders>
              <w:top w:val="single" w:sz="4" w:space="0" w:color="000000"/>
              <w:left w:val="single" w:sz="12" w:space="0" w:color="000000"/>
              <w:bottom w:val="single" w:sz="4" w:space="0" w:color="000000"/>
              <w:right w:val="single" w:sz="12" w:space="0" w:color="000000"/>
            </w:tcBorders>
          </w:tcPr>
          <w:p w14:paraId="0C8CC80C" w14:textId="1FD79975" w:rsidR="004E044C" w:rsidRDefault="004E044C" w:rsidP="004E044C">
            <w:pPr>
              <w:spacing w:after="0" w:line="259" w:lineRule="auto"/>
              <w:ind w:left="0" w:right="2" w:firstLine="0"/>
              <w:jc w:val="center"/>
            </w:pPr>
            <w:r>
              <w:rPr>
                <w:sz w:val="18"/>
              </w:rPr>
              <w:t>8270</w:t>
            </w:r>
          </w:p>
        </w:tc>
      </w:tr>
      <w:tr w:rsidR="00CB1C74" w14:paraId="77C8AEEF" w14:textId="77777777" w:rsidTr="005B6604">
        <w:trPr>
          <w:trHeight w:val="250"/>
        </w:trPr>
        <w:tc>
          <w:tcPr>
            <w:tcW w:w="3167" w:type="dxa"/>
            <w:tcBorders>
              <w:top w:val="single" w:sz="4" w:space="0" w:color="000000"/>
              <w:left w:val="single" w:sz="12" w:space="0" w:color="000000"/>
              <w:bottom w:val="single" w:sz="12" w:space="0" w:color="000000"/>
              <w:right w:val="single" w:sz="12" w:space="0" w:color="000000"/>
            </w:tcBorders>
          </w:tcPr>
          <w:p w14:paraId="022730B2" w14:textId="47250B84" w:rsidR="00CB1C74" w:rsidRDefault="00CB1C74" w:rsidP="00CB1C74">
            <w:pPr>
              <w:spacing w:after="0" w:line="259" w:lineRule="auto"/>
              <w:ind w:left="0" w:right="0" w:firstLine="0"/>
            </w:pPr>
            <w:r>
              <w:rPr>
                <w:sz w:val="18"/>
              </w:rPr>
              <w:t xml:space="preserve">Tetraethyl pyrophosphate </w:t>
            </w:r>
            <w:r>
              <w:rPr>
                <w:i/>
                <w:sz w:val="18"/>
              </w:rPr>
              <w:t>(TEPP)</w:t>
            </w:r>
            <w:r>
              <w:rPr>
                <w:sz w:val="18"/>
              </w:rPr>
              <w:t xml:space="preserve"> </w:t>
            </w:r>
          </w:p>
        </w:tc>
        <w:tc>
          <w:tcPr>
            <w:tcW w:w="1195" w:type="dxa"/>
            <w:tcBorders>
              <w:top w:val="single" w:sz="4" w:space="0" w:color="000000"/>
              <w:left w:val="single" w:sz="12" w:space="0" w:color="000000"/>
              <w:bottom w:val="single" w:sz="12" w:space="0" w:color="000000"/>
              <w:right w:val="single" w:sz="12" w:space="0" w:color="000000"/>
            </w:tcBorders>
          </w:tcPr>
          <w:p w14:paraId="3483E139" w14:textId="7337B2FF" w:rsidR="00CB1C74" w:rsidRDefault="00CB1C74" w:rsidP="00CB1C74">
            <w:pPr>
              <w:spacing w:after="0" w:line="259" w:lineRule="auto"/>
              <w:ind w:left="0" w:right="44" w:firstLine="0"/>
              <w:jc w:val="center"/>
            </w:pPr>
            <w:r>
              <w:rPr>
                <w:sz w:val="18"/>
              </w:rPr>
              <w:t>107-49-3</w:t>
            </w:r>
          </w:p>
        </w:tc>
        <w:tc>
          <w:tcPr>
            <w:tcW w:w="588" w:type="dxa"/>
            <w:tcBorders>
              <w:top w:val="single" w:sz="4" w:space="0" w:color="000000"/>
              <w:left w:val="single" w:sz="12" w:space="0" w:color="000000"/>
              <w:bottom w:val="single" w:sz="12" w:space="0" w:color="000000"/>
              <w:right w:val="single" w:sz="12" w:space="0" w:color="000000"/>
            </w:tcBorders>
          </w:tcPr>
          <w:p w14:paraId="42642944" w14:textId="3ADADDFE" w:rsidR="00CB1C74" w:rsidRDefault="00CB1C74" w:rsidP="00CB1C74">
            <w:pPr>
              <w:tabs>
                <w:tab w:val="right" w:pos="489"/>
              </w:tabs>
              <w:spacing w:after="0" w:line="259" w:lineRule="auto"/>
              <w:ind w:left="0" w:right="0" w:firstLine="0"/>
              <w:jc w:val="center"/>
            </w:pPr>
            <w:r>
              <w:rPr>
                <w:sz w:val="18"/>
              </w:rPr>
              <w:t>40</w:t>
            </w:r>
          </w:p>
        </w:tc>
        <w:tc>
          <w:tcPr>
            <w:tcW w:w="714" w:type="dxa"/>
            <w:tcBorders>
              <w:top w:val="single" w:sz="4" w:space="0" w:color="000000"/>
              <w:left w:val="single" w:sz="12" w:space="0" w:color="000000"/>
              <w:bottom w:val="single" w:sz="12" w:space="0" w:color="000000"/>
              <w:right w:val="single" w:sz="12" w:space="0" w:color="000000"/>
            </w:tcBorders>
          </w:tcPr>
          <w:p w14:paraId="178FF337" w14:textId="79832EC3" w:rsidR="00CB1C74" w:rsidRDefault="00CB1C74" w:rsidP="00CB1C74">
            <w:pPr>
              <w:spacing w:after="0" w:line="259" w:lineRule="auto"/>
              <w:ind w:left="0" w:right="48" w:firstLine="0"/>
              <w:jc w:val="center"/>
            </w:pPr>
            <w:r>
              <w:rPr>
                <w:sz w:val="18"/>
              </w:rPr>
              <w:t>ug/L</w:t>
            </w:r>
          </w:p>
        </w:tc>
        <w:tc>
          <w:tcPr>
            <w:tcW w:w="811" w:type="dxa"/>
            <w:tcBorders>
              <w:top w:val="single" w:sz="4" w:space="0" w:color="000000"/>
              <w:left w:val="single" w:sz="12" w:space="0" w:color="000000"/>
              <w:bottom w:val="single" w:sz="12" w:space="0" w:color="000000"/>
              <w:right w:val="single" w:sz="12" w:space="0" w:color="000000"/>
            </w:tcBorders>
          </w:tcPr>
          <w:p w14:paraId="087252D6" w14:textId="38A5F8B5" w:rsidR="00CB1C74" w:rsidRDefault="00CB1C74" w:rsidP="00CB1C74">
            <w:pPr>
              <w:tabs>
                <w:tab w:val="right" w:pos="713"/>
              </w:tabs>
              <w:spacing w:after="0" w:line="259" w:lineRule="auto"/>
              <w:ind w:left="0" w:right="0" w:firstLine="0"/>
              <w:jc w:val="center"/>
            </w:pPr>
            <w:r>
              <w:rPr>
                <w:sz w:val="18"/>
              </w:rPr>
              <w:t>2600</w:t>
            </w:r>
          </w:p>
        </w:tc>
        <w:tc>
          <w:tcPr>
            <w:tcW w:w="711" w:type="dxa"/>
            <w:tcBorders>
              <w:top w:val="single" w:sz="4" w:space="0" w:color="000000"/>
              <w:left w:val="single" w:sz="12" w:space="0" w:color="000000"/>
              <w:bottom w:val="single" w:sz="12" w:space="0" w:color="000000"/>
              <w:right w:val="single" w:sz="12" w:space="0" w:color="000000"/>
            </w:tcBorders>
          </w:tcPr>
          <w:p w14:paraId="24E084A8" w14:textId="524319FC" w:rsidR="00CB1C74" w:rsidRDefault="00CB1C74" w:rsidP="00CB1C74">
            <w:pPr>
              <w:spacing w:after="0" w:line="259" w:lineRule="auto"/>
              <w:ind w:left="0" w:right="44" w:firstLine="0"/>
              <w:jc w:val="center"/>
            </w:pPr>
            <w:r>
              <w:rPr>
                <w:rFonts w:eastAsia="Segoe UI Symbol"/>
                <w:sz w:val="18"/>
              </w:rPr>
              <w:t>u</w:t>
            </w:r>
            <w:r>
              <w:rPr>
                <w:sz w:val="18"/>
              </w:rPr>
              <w:t>g/kg</w:t>
            </w:r>
          </w:p>
        </w:tc>
        <w:tc>
          <w:tcPr>
            <w:tcW w:w="639" w:type="dxa"/>
            <w:tcBorders>
              <w:top w:val="single" w:sz="4" w:space="0" w:color="000000"/>
              <w:left w:val="single" w:sz="12" w:space="0" w:color="000000"/>
              <w:bottom w:val="single" w:sz="12" w:space="0" w:color="000000"/>
              <w:right w:val="single" w:sz="12" w:space="0" w:color="000000"/>
            </w:tcBorders>
          </w:tcPr>
          <w:p w14:paraId="544DDB40" w14:textId="7348B767" w:rsidR="00CB1C74" w:rsidRDefault="00CB1C74" w:rsidP="00CB1C74">
            <w:pPr>
              <w:spacing w:after="0" w:line="259" w:lineRule="auto"/>
              <w:ind w:left="0" w:right="0" w:firstLine="0"/>
              <w:jc w:val="center"/>
            </w:pPr>
            <w:r>
              <w:rPr>
                <w:sz w:val="18"/>
              </w:rPr>
              <w:t>X</w:t>
            </w:r>
          </w:p>
        </w:tc>
        <w:tc>
          <w:tcPr>
            <w:tcW w:w="545" w:type="dxa"/>
            <w:tcBorders>
              <w:top w:val="single" w:sz="4" w:space="0" w:color="000000"/>
              <w:left w:val="single" w:sz="12" w:space="0" w:color="000000"/>
              <w:bottom w:val="single" w:sz="12" w:space="0" w:color="000000"/>
              <w:right w:val="single" w:sz="12" w:space="0" w:color="000000"/>
            </w:tcBorders>
          </w:tcPr>
          <w:p w14:paraId="49E10542" w14:textId="77777777" w:rsidR="00CB1C74" w:rsidRDefault="00CB1C74" w:rsidP="00CB1C74">
            <w:pPr>
              <w:spacing w:after="0" w:line="259" w:lineRule="auto"/>
              <w:ind w:left="0" w:right="1" w:firstLine="0"/>
              <w:jc w:val="center"/>
            </w:pPr>
          </w:p>
        </w:tc>
        <w:tc>
          <w:tcPr>
            <w:tcW w:w="454" w:type="dxa"/>
            <w:tcBorders>
              <w:top w:val="single" w:sz="4" w:space="0" w:color="000000"/>
              <w:left w:val="single" w:sz="12" w:space="0" w:color="000000"/>
              <w:bottom w:val="single" w:sz="12" w:space="0" w:color="000000"/>
              <w:right w:val="single" w:sz="12" w:space="0" w:color="000000"/>
            </w:tcBorders>
          </w:tcPr>
          <w:p w14:paraId="58939B1A" w14:textId="77777777" w:rsidR="00CB1C74" w:rsidRDefault="00CB1C74" w:rsidP="00CB1C74">
            <w:pPr>
              <w:spacing w:after="0" w:line="259" w:lineRule="auto"/>
              <w:ind w:left="0" w:right="0" w:firstLine="0"/>
              <w:jc w:val="center"/>
            </w:pPr>
          </w:p>
        </w:tc>
        <w:tc>
          <w:tcPr>
            <w:tcW w:w="1003" w:type="dxa"/>
            <w:tcBorders>
              <w:top w:val="single" w:sz="4" w:space="0" w:color="000000"/>
              <w:left w:val="single" w:sz="12" w:space="0" w:color="000000"/>
              <w:bottom w:val="single" w:sz="12" w:space="0" w:color="000000"/>
              <w:right w:val="single" w:sz="12" w:space="0" w:color="000000"/>
            </w:tcBorders>
          </w:tcPr>
          <w:p w14:paraId="31B22464" w14:textId="47B0E8F9" w:rsidR="00CB1C74" w:rsidRDefault="00CB1C74" w:rsidP="00CB1C74">
            <w:pPr>
              <w:spacing w:after="0" w:line="259" w:lineRule="auto"/>
              <w:ind w:left="38" w:right="0" w:firstLine="0"/>
              <w:jc w:val="center"/>
            </w:pPr>
            <w:r>
              <w:rPr>
                <w:sz w:val="18"/>
              </w:rPr>
              <w:t>8141</w:t>
            </w:r>
          </w:p>
        </w:tc>
        <w:tc>
          <w:tcPr>
            <w:tcW w:w="793" w:type="dxa"/>
            <w:tcBorders>
              <w:top w:val="single" w:sz="4" w:space="0" w:color="000000"/>
              <w:left w:val="single" w:sz="12" w:space="0" w:color="000000"/>
              <w:bottom w:val="single" w:sz="12" w:space="0" w:color="000000"/>
              <w:right w:val="single" w:sz="12" w:space="0" w:color="000000"/>
            </w:tcBorders>
          </w:tcPr>
          <w:p w14:paraId="1A2AD20B" w14:textId="68E66A5A" w:rsidR="00CB1C74" w:rsidRDefault="00CB1C74" w:rsidP="00CB1C74">
            <w:pPr>
              <w:spacing w:after="0" w:line="259" w:lineRule="auto"/>
              <w:ind w:left="0" w:right="2" w:firstLine="0"/>
              <w:jc w:val="center"/>
            </w:pPr>
            <w:r>
              <w:rPr>
                <w:sz w:val="18"/>
              </w:rPr>
              <w:t>8270</w:t>
            </w:r>
          </w:p>
        </w:tc>
      </w:tr>
    </w:tbl>
    <w:p w14:paraId="42B00130" w14:textId="7FA079E6" w:rsidR="00936AFF" w:rsidRDefault="00936AFF"/>
    <w:tbl>
      <w:tblPr>
        <w:tblStyle w:val="TableGrid1"/>
        <w:tblW w:w="10620" w:type="dxa"/>
        <w:tblInd w:w="-375" w:type="dxa"/>
        <w:tblCellMar>
          <w:top w:w="15" w:type="dxa"/>
          <w:left w:w="72" w:type="dxa"/>
          <w:right w:w="27" w:type="dxa"/>
        </w:tblCellMar>
        <w:tblLook w:val="04A0" w:firstRow="1" w:lastRow="0" w:firstColumn="1" w:lastColumn="0" w:noHBand="0" w:noVBand="1"/>
      </w:tblPr>
      <w:tblGrid>
        <w:gridCol w:w="3165"/>
        <w:gridCol w:w="1194"/>
        <w:gridCol w:w="588"/>
        <w:gridCol w:w="714"/>
        <w:gridCol w:w="811"/>
        <w:gridCol w:w="711"/>
        <w:gridCol w:w="647"/>
        <w:gridCol w:w="540"/>
        <w:gridCol w:w="540"/>
        <w:gridCol w:w="917"/>
        <w:gridCol w:w="793"/>
      </w:tblGrid>
      <w:tr w:rsidR="00741DF9" w14:paraId="17265A48" w14:textId="77777777" w:rsidTr="005B6604">
        <w:trPr>
          <w:trHeight w:val="378"/>
          <w:tblHeader/>
        </w:trPr>
        <w:tc>
          <w:tcPr>
            <w:tcW w:w="10620" w:type="dxa"/>
            <w:gridSpan w:val="11"/>
            <w:tcBorders>
              <w:top w:val="single" w:sz="12" w:space="0" w:color="000000"/>
              <w:left w:val="single" w:sz="12" w:space="0" w:color="000000"/>
              <w:bottom w:val="single" w:sz="12" w:space="0" w:color="000000"/>
              <w:right w:val="single" w:sz="12" w:space="0" w:color="000000"/>
            </w:tcBorders>
            <w:vAlign w:val="center"/>
          </w:tcPr>
          <w:p w14:paraId="6F3D20F5" w14:textId="531E0516" w:rsidR="00741DF9" w:rsidRDefault="0094090C" w:rsidP="0058687A">
            <w:pPr>
              <w:spacing w:after="0" w:line="259" w:lineRule="auto"/>
              <w:ind w:left="0" w:right="0" w:firstLine="0"/>
            </w:pPr>
            <w:r>
              <w:rPr>
                <w:b/>
                <w:sz w:val="18"/>
              </w:rPr>
              <w:t>SW-846 SAS Group E</w:t>
            </w:r>
            <w:proofErr w:type="gramStart"/>
            <w:r>
              <w:rPr>
                <w:b/>
                <w:sz w:val="18"/>
              </w:rPr>
              <w:t>:  Additional</w:t>
            </w:r>
            <w:proofErr w:type="gramEnd"/>
            <w:r>
              <w:rPr>
                <w:b/>
                <w:sz w:val="18"/>
              </w:rPr>
              <w:t xml:space="preserve"> Organophosphorus Pesticides, Herbicides, and Industrial Chemicals </w:t>
            </w:r>
          </w:p>
        </w:tc>
      </w:tr>
      <w:tr w:rsidR="0094090C" w14:paraId="32044179" w14:textId="77777777" w:rsidTr="005B6604">
        <w:trPr>
          <w:trHeight w:val="271"/>
          <w:tblHeader/>
        </w:trPr>
        <w:tc>
          <w:tcPr>
            <w:tcW w:w="3165" w:type="dxa"/>
            <w:vMerge w:val="restart"/>
            <w:tcBorders>
              <w:top w:val="single" w:sz="12" w:space="0" w:color="000000"/>
              <w:left w:val="single" w:sz="12" w:space="0" w:color="000000"/>
              <w:bottom w:val="single" w:sz="12" w:space="0" w:color="000000"/>
              <w:right w:val="single" w:sz="12" w:space="0" w:color="000000"/>
            </w:tcBorders>
            <w:vAlign w:val="center"/>
          </w:tcPr>
          <w:p w14:paraId="356238A0" w14:textId="1FB3F119" w:rsidR="0094090C" w:rsidRDefault="0094090C" w:rsidP="005B6604">
            <w:pPr>
              <w:spacing w:after="0" w:line="259" w:lineRule="auto"/>
              <w:ind w:left="0" w:right="0" w:firstLine="0"/>
              <w:jc w:val="center"/>
            </w:pPr>
            <w:r>
              <w:rPr>
                <w:b/>
                <w:sz w:val="18"/>
              </w:rPr>
              <w:t>Analyte</w:t>
            </w:r>
          </w:p>
        </w:tc>
        <w:tc>
          <w:tcPr>
            <w:tcW w:w="1194" w:type="dxa"/>
            <w:vMerge w:val="restart"/>
            <w:tcBorders>
              <w:top w:val="single" w:sz="12" w:space="0" w:color="000000"/>
              <w:left w:val="single" w:sz="12" w:space="0" w:color="000000"/>
              <w:bottom w:val="single" w:sz="12" w:space="0" w:color="000000"/>
              <w:right w:val="single" w:sz="12" w:space="0" w:color="000000"/>
            </w:tcBorders>
            <w:vAlign w:val="center"/>
          </w:tcPr>
          <w:p w14:paraId="14231C02" w14:textId="553504CD" w:rsidR="0094090C" w:rsidRDefault="0094090C" w:rsidP="00B57614">
            <w:pPr>
              <w:spacing w:after="0" w:line="259" w:lineRule="auto"/>
              <w:ind w:left="34" w:right="36" w:firstLine="0"/>
              <w:jc w:val="center"/>
            </w:pPr>
            <w:r>
              <w:rPr>
                <w:b/>
                <w:sz w:val="18"/>
              </w:rPr>
              <w:t>CAS Number</w:t>
            </w:r>
          </w:p>
        </w:tc>
        <w:tc>
          <w:tcPr>
            <w:tcW w:w="1302" w:type="dxa"/>
            <w:gridSpan w:val="2"/>
            <w:tcBorders>
              <w:top w:val="single" w:sz="12" w:space="0" w:color="000000"/>
              <w:left w:val="single" w:sz="12" w:space="0" w:color="000000"/>
              <w:bottom w:val="single" w:sz="12" w:space="0" w:color="000000"/>
              <w:right w:val="single" w:sz="12" w:space="0" w:color="000000"/>
            </w:tcBorders>
            <w:vAlign w:val="center"/>
          </w:tcPr>
          <w:p w14:paraId="21F62FF3" w14:textId="6E061991" w:rsidR="0094090C" w:rsidRDefault="0094090C" w:rsidP="00B57614">
            <w:pPr>
              <w:spacing w:after="0" w:line="259" w:lineRule="auto"/>
              <w:ind w:left="0" w:right="47" w:firstLine="0"/>
              <w:jc w:val="center"/>
            </w:pPr>
            <w:r>
              <w:rPr>
                <w:b/>
                <w:sz w:val="18"/>
              </w:rPr>
              <w:t>Aqueous</w:t>
            </w:r>
          </w:p>
        </w:tc>
        <w:tc>
          <w:tcPr>
            <w:tcW w:w="1522" w:type="dxa"/>
            <w:gridSpan w:val="2"/>
            <w:tcBorders>
              <w:top w:val="single" w:sz="12" w:space="0" w:color="000000"/>
              <w:left w:val="single" w:sz="12" w:space="0" w:color="000000"/>
              <w:bottom w:val="single" w:sz="12" w:space="0" w:color="000000"/>
              <w:right w:val="single" w:sz="12" w:space="0" w:color="000000"/>
            </w:tcBorders>
            <w:vAlign w:val="center"/>
          </w:tcPr>
          <w:p w14:paraId="7C9A5218" w14:textId="7B0FBB7F" w:rsidR="0094090C" w:rsidRDefault="0094090C" w:rsidP="00B57614">
            <w:pPr>
              <w:spacing w:after="0" w:line="259" w:lineRule="auto"/>
              <w:ind w:left="0" w:right="48" w:firstLine="0"/>
              <w:jc w:val="center"/>
            </w:pPr>
            <w:r>
              <w:rPr>
                <w:b/>
                <w:sz w:val="18"/>
              </w:rPr>
              <w:t>Soil/Sediment</w:t>
            </w:r>
          </w:p>
        </w:tc>
        <w:tc>
          <w:tcPr>
            <w:tcW w:w="1727" w:type="dxa"/>
            <w:gridSpan w:val="3"/>
            <w:tcBorders>
              <w:top w:val="single" w:sz="12" w:space="0" w:color="000000"/>
              <w:left w:val="single" w:sz="12" w:space="0" w:color="000000"/>
              <w:bottom w:val="single" w:sz="12" w:space="0" w:color="000000"/>
              <w:right w:val="single" w:sz="12" w:space="0" w:color="000000"/>
            </w:tcBorders>
            <w:vAlign w:val="center"/>
          </w:tcPr>
          <w:p w14:paraId="474C543C" w14:textId="2598DFAA" w:rsidR="0094090C" w:rsidRDefault="0094090C" w:rsidP="00156964">
            <w:pPr>
              <w:spacing w:after="0" w:line="259" w:lineRule="auto"/>
              <w:ind w:left="50" w:right="0" w:firstLine="0"/>
              <w:jc w:val="center"/>
            </w:pPr>
            <w:r>
              <w:rPr>
                <w:b/>
                <w:sz w:val="18"/>
              </w:rPr>
              <w:t>Attachment/Table</w:t>
            </w:r>
          </w:p>
        </w:tc>
        <w:tc>
          <w:tcPr>
            <w:tcW w:w="1710" w:type="dxa"/>
            <w:gridSpan w:val="2"/>
            <w:vMerge w:val="restart"/>
            <w:tcBorders>
              <w:top w:val="single" w:sz="12" w:space="0" w:color="000000"/>
              <w:left w:val="single" w:sz="12" w:space="0" w:color="000000"/>
              <w:bottom w:val="single" w:sz="12" w:space="0" w:color="000000"/>
              <w:right w:val="single" w:sz="12" w:space="0" w:color="000000"/>
            </w:tcBorders>
            <w:vAlign w:val="center"/>
          </w:tcPr>
          <w:p w14:paraId="564862D4" w14:textId="74C93F37" w:rsidR="0094090C" w:rsidRDefault="0094090C" w:rsidP="00156964">
            <w:pPr>
              <w:spacing w:after="0" w:line="259" w:lineRule="auto"/>
              <w:ind w:left="43" w:right="0" w:firstLine="0"/>
              <w:jc w:val="center"/>
            </w:pPr>
            <w:r>
              <w:rPr>
                <w:b/>
                <w:sz w:val="18"/>
              </w:rPr>
              <w:t>Suggested Methods</w:t>
            </w:r>
          </w:p>
        </w:tc>
      </w:tr>
      <w:tr w:rsidR="00C84A5D" w14:paraId="01E5FA4F" w14:textId="77777777" w:rsidTr="005B6604">
        <w:trPr>
          <w:trHeight w:val="269"/>
          <w:tblHeader/>
        </w:trPr>
        <w:tc>
          <w:tcPr>
            <w:tcW w:w="3165" w:type="dxa"/>
            <w:vMerge/>
            <w:tcBorders>
              <w:top w:val="nil"/>
              <w:left w:val="single" w:sz="12" w:space="0" w:color="000000"/>
              <w:bottom w:val="single" w:sz="12" w:space="0" w:color="000000"/>
              <w:right w:val="single" w:sz="12" w:space="0" w:color="000000"/>
            </w:tcBorders>
            <w:vAlign w:val="center"/>
          </w:tcPr>
          <w:p w14:paraId="68508C5B" w14:textId="77777777" w:rsidR="0094090C" w:rsidRDefault="0094090C" w:rsidP="00B57614">
            <w:pPr>
              <w:spacing w:after="160" w:line="259" w:lineRule="auto"/>
              <w:ind w:left="0" w:right="0" w:firstLine="0"/>
              <w:jc w:val="center"/>
            </w:pPr>
          </w:p>
        </w:tc>
        <w:tc>
          <w:tcPr>
            <w:tcW w:w="0" w:type="auto"/>
            <w:vMerge/>
            <w:tcBorders>
              <w:top w:val="nil"/>
              <w:left w:val="single" w:sz="12" w:space="0" w:color="000000"/>
              <w:bottom w:val="single" w:sz="12" w:space="0" w:color="000000"/>
              <w:right w:val="single" w:sz="12" w:space="0" w:color="000000"/>
            </w:tcBorders>
            <w:vAlign w:val="center"/>
          </w:tcPr>
          <w:p w14:paraId="7525713F" w14:textId="77777777" w:rsidR="0094090C" w:rsidRDefault="0094090C" w:rsidP="00B57614">
            <w:pPr>
              <w:spacing w:after="160" w:line="259" w:lineRule="auto"/>
              <w:ind w:left="0" w:right="0" w:firstLine="0"/>
              <w:jc w:val="center"/>
            </w:pPr>
          </w:p>
        </w:tc>
        <w:tc>
          <w:tcPr>
            <w:tcW w:w="588" w:type="dxa"/>
            <w:tcBorders>
              <w:top w:val="single" w:sz="12" w:space="0" w:color="000000"/>
              <w:left w:val="single" w:sz="12" w:space="0" w:color="000000"/>
              <w:bottom w:val="single" w:sz="12" w:space="0" w:color="000000"/>
              <w:right w:val="single" w:sz="12" w:space="0" w:color="000000"/>
            </w:tcBorders>
            <w:vAlign w:val="center"/>
          </w:tcPr>
          <w:p w14:paraId="38767732" w14:textId="678B259A" w:rsidR="0094090C" w:rsidRDefault="0094090C" w:rsidP="00B57614">
            <w:pPr>
              <w:spacing w:after="0" w:line="259" w:lineRule="auto"/>
              <w:ind w:left="96" w:right="0" w:firstLine="0"/>
              <w:jc w:val="center"/>
            </w:pPr>
            <w:r>
              <w:rPr>
                <w:b/>
                <w:sz w:val="18"/>
              </w:rPr>
              <w:t>RL</w:t>
            </w:r>
          </w:p>
        </w:tc>
        <w:tc>
          <w:tcPr>
            <w:tcW w:w="714" w:type="dxa"/>
            <w:tcBorders>
              <w:top w:val="single" w:sz="12" w:space="0" w:color="000000"/>
              <w:left w:val="single" w:sz="12" w:space="0" w:color="000000"/>
              <w:bottom w:val="single" w:sz="12" w:space="0" w:color="000000"/>
              <w:right w:val="single" w:sz="12" w:space="0" w:color="000000"/>
            </w:tcBorders>
            <w:vAlign w:val="center"/>
          </w:tcPr>
          <w:p w14:paraId="33C79600" w14:textId="602E7244" w:rsidR="0094090C" w:rsidRDefault="0094090C" w:rsidP="00B57614">
            <w:pPr>
              <w:spacing w:after="0" w:line="259" w:lineRule="auto"/>
              <w:ind w:left="0" w:right="47" w:firstLine="0"/>
              <w:jc w:val="center"/>
            </w:pPr>
            <w:r>
              <w:rPr>
                <w:b/>
                <w:sz w:val="18"/>
              </w:rPr>
              <w:t>units</w:t>
            </w:r>
          </w:p>
        </w:tc>
        <w:tc>
          <w:tcPr>
            <w:tcW w:w="811" w:type="dxa"/>
            <w:tcBorders>
              <w:top w:val="single" w:sz="12" w:space="0" w:color="000000"/>
              <w:left w:val="single" w:sz="12" w:space="0" w:color="000000"/>
              <w:bottom w:val="single" w:sz="12" w:space="0" w:color="000000"/>
              <w:right w:val="single" w:sz="12" w:space="0" w:color="000000"/>
            </w:tcBorders>
            <w:vAlign w:val="center"/>
          </w:tcPr>
          <w:p w14:paraId="0AD259DE" w14:textId="70E27510" w:rsidR="0094090C" w:rsidRDefault="0094090C" w:rsidP="00B57614">
            <w:pPr>
              <w:spacing w:after="0" w:line="259" w:lineRule="auto"/>
              <w:ind w:left="0" w:right="49" w:firstLine="0"/>
              <w:jc w:val="center"/>
            </w:pPr>
            <w:r>
              <w:rPr>
                <w:b/>
                <w:sz w:val="18"/>
              </w:rPr>
              <w:t>RL</w:t>
            </w:r>
          </w:p>
        </w:tc>
        <w:tc>
          <w:tcPr>
            <w:tcW w:w="711" w:type="dxa"/>
            <w:tcBorders>
              <w:top w:val="single" w:sz="12" w:space="0" w:color="000000"/>
              <w:left w:val="single" w:sz="12" w:space="0" w:color="000000"/>
              <w:bottom w:val="single" w:sz="12" w:space="0" w:color="000000"/>
              <w:right w:val="single" w:sz="12" w:space="0" w:color="000000"/>
            </w:tcBorders>
            <w:vAlign w:val="center"/>
          </w:tcPr>
          <w:p w14:paraId="42CE4149" w14:textId="3AB1E943" w:rsidR="0094090C" w:rsidRDefault="0094090C" w:rsidP="00B57614">
            <w:pPr>
              <w:spacing w:after="0" w:line="259" w:lineRule="auto"/>
              <w:ind w:left="0" w:right="52" w:firstLine="0"/>
              <w:jc w:val="center"/>
            </w:pPr>
            <w:r>
              <w:rPr>
                <w:b/>
                <w:sz w:val="18"/>
              </w:rPr>
              <w:t>units</w:t>
            </w:r>
          </w:p>
        </w:tc>
        <w:tc>
          <w:tcPr>
            <w:tcW w:w="647" w:type="dxa"/>
            <w:tcBorders>
              <w:top w:val="single" w:sz="12" w:space="0" w:color="000000"/>
              <w:left w:val="single" w:sz="12" w:space="0" w:color="000000"/>
              <w:bottom w:val="single" w:sz="12" w:space="0" w:color="000000"/>
              <w:right w:val="single" w:sz="12" w:space="0" w:color="000000"/>
            </w:tcBorders>
            <w:vAlign w:val="center"/>
          </w:tcPr>
          <w:p w14:paraId="7DAB6ABA" w14:textId="564E9252" w:rsidR="0094090C" w:rsidRDefault="0094090C" w:rsidP="009E644E">
            <w:pPr>
              <w:spacing w:after="0" w:line="259" w:lineRule="auto"/>
              <w:ind w:left="36" w:right="0" w:firstLine="0"/>
              <w:jc w:val="center"/>
            </w:pPr>
            <w:r>
              <w:rPr>
                <w:b/>
                <w:sz w:val="18"/>
              </w:rPr>
              <w:t>VIII</w:t>
            </w:r>
          </w:p>
        </w:tc>
        <w:tc>
          <w:tcPr>
            <w:tcW w:w="540" w:type="dxa"/>
            <w:tcBorders>
              <w:top w:val="single" w:sz="12" w:space="0" w:color="000000"/>
              <w:left w:val="single" w:sz="12" w:space="0" w:color="000000"/>
              <w:bottom w:val="single" w:sz="12" w:space="0" w:color="000000"/>
              <w:right w:val="single" w:sz="12" w:space="0" w:color="000000"/>
            </w:tcBorders>
            <w:vAlign w:val="center"/>
          </w:tcPr>
          <w:p w14:paraId="342A6046" w14:textId="1F502B9B" w:rsidR="0094090C" w:rsidRDefault="0094090C" w:rsidP="009E644E">
            <w:pPr>
              <w:spacing w:after="0" w:line="259" w:lineRule="auto"/>
              <w:ind w:left="0" w:right="48" w:firstLine="0"/>
              <w:jc w:val="center"/>
            </w:pPr>
            <w:r>
              <w:rPr>
                <w:b/>
                <w:sz w:val="18"/>
              </w:rPr>
              <w:t>IX</w:t>
            </w:r>
          </w:p>
        </w:tc>
        <w:tc>
          <w:tcPr>
            <w:tcW w:w="540" w:type="dxa"/>
            <w:tcBorders>
              <w:top w:val="single" w:sz="12" w:space="0" w:color="000000"/>
              <w:left w:val="single" w:sz="12" w:space="0" w:color="000000"/>
              <w:bottom w:val="single" w:sz="12" w:space="0" w:color="000000"/>
              <w:right w:val="single" w:sz="12" w:space="0" w:color="000000"/>
            </w:tcBorders>
            <w:vAlign w:val="center"/>
          </w:tcPr>
          <w:p w14:paraId="58BC3D43" w14:textId="61A5AEA6" w:rsidR="0094090C" w:rsidRDefault="0094090C" w:rsidP="009E644E">
            <w:pPr>
              <w:spacing w:after="0" w:line="259" w:lineRule="auto"/>
              <w:ind w:left="0" w:right="46" w:firstLine="0"/>
              <w:jc w:val="center"/>
            </w:pPr>
            <w:r>
              <w:rPr>
                <w:b/>
                <w:sz w:val="18"/>
              </w:rPr>
              <w:t>2</w:t>
            </w:r>
          </w:p>
        </w:tc>
        <w:tc>
          <w:tcPr>
            <w:tcW w:w="1710" w:type="dxa"/>
            <w:gridSpan w:val="2"/>
            <w:vMerge/>
            <w:tcBorders>
              <w:top w:val="nil"/>
              <w:left w:val="single" w:sz="12" w:space="0" w:color="000000"/>
              <w:bottom w:val="single" w:sz="12" w:space="0" w:color="000000"/>
              <w:right w:val="single" w:sz="12" w:space="0" w:color="000000"/>
            </w:tcBorders>
            <w:vAlign w:val="center"/>
          </w:tcPr>
          <w:p w14:paraId="48871964" w14:textId="77777777" w:rsidR="0094090C" w:rsidRDefault="0094090C" w:rsidP="009E644E">
            <w:pPr>
              <w:spacing w:after="160" w:line="259" w:lineRule="auto"/>
              <w:ind w:left="0" w:right="0" w:firstLine="0"/>
              <w:jc w:val="center"/>
            </w:pPr>
          </w:p>
        </w:tc>
      </w:tr>
      <w:tr w:rsidR="0094090C" w14:paraId="683B133F" w14:textId="77777777" w:rsidTr="005B6604">
        <w:trPr>
          <w:trHeight w:val="262"/>
        </w:trPr>
        <w:tc>
          <w:tcPr>
            <w:tcW w:w="3165" w:type="dxa"/>
            <w:tcBorders>
              <w:top w:val="single" w:sz="12" w:space="0" w:color="000000"/>
              <w:left w:val="single" w:sz="12" w:space="0" w:color="000000"/>
              <w:bottom w:val="single" w:sz="4" w:space="0" w:color="000000"/>
              <w:right w:val="single" w:sz="12" w:space="0" w:color="000000"/>
            </w:tcBorders>
          </w:tcPr>
          <w:p w14:paraId="6EC0482B" w14:textId="165FEB50" w:rsidR="0094090C" w:rsidRDefault="0094090C" w:rsidP="0094090C">
            <w:pPr>
              <w:spacing w:after="0" w:line="259" w:lineRule="auto"/>
              <w:ind w:left="0" w:right="0" w:firstLine="0"/>
            </w:pPr>
            <w:proofErr w:type="spellStart"/>
            <w:r>
              <w:rPr>
                <w:sz w:val="18"/>
              </w:rPr>
              <w:t>Aspon</w:t>
            </w:r>
            <w:proofErr w:type="spellEnd"/>
            <w:r>
              <w:rPr>
                <w:sz w:val="18"/>
              </w:rPr>
              <w:t xml:space="preserve">  </w:t>
            </w:r>
          </w:p>
        </w:tc>
        <w:tc>
          <w:tcPr>
            <w:tcW w:w="1194" w:type="dxa"/>
            <w:tcBorders>
              <w:top w:val="single" w:sz="12" w:space="0" w:color="000000"/>
              <w:left w:val="single" w:sz="12" w:space="0" w:color="000000"/>
              <w:bottom w:val="single" w:sz="4" w:space="0" w:color="000000"/>
              <w:right w:val="single" w:sz="12" w:space="0" w:color="000000"/>
            </w:tcBorders>
          </w:tcPr>
          <w:p w14:paraId="619D7E8D" w14:textId="78D3294F" w:rsidR="0094090C" w:rsidRDefault="0094090C" w:rsidP="0094090C">
            <w:pPr>
              <w:spacing w:after="0" w:line="259" w:lineRule="auto"/>
              <w:ind w:left="0" w:right="44" w:firstLine="0"/>
              <w:jc w:val="center"/>
            </w:pPr>
            <w:r>
              <w:rPr>
                <w:sz w:val="18"/>
              </w:rPr>
              <w:t>3244-90-4</w:t>
            </w:r>
          </w:p>
        </w:tc>
        <w:tc>
          <w:tcPr>
            <w:tcW w:w="588" w:type="dxa"/>
            <w:tcBorders>
              <w:top w:val="single" w:sz="12" w:space="0" w:color="000000"/>
              <w:left w:val="single" w:sz="12" w:space="0" w:color="000000"/>
              <w:bottom w:val="single" w:sz="4" w:space="0" w:color="000000"/>
              <w:right w:val="single" w:sz="12" w:space="0" w:color="000000"/>
            </w:tcBorders>
          </w:tcPr>
          <w:p w14:paraId="720CCB66" w14:textId="57E4C651" w:rsidR="0094090C" w:rsidRDefault="0094090C" w:rsidP="0094090C">
            <w:pPr>
              <w:tabs>
                <w:tab w:val="right" w:pos="489"/>
              </w:tabs>
              <w:spacing w:after="0" w:line="259" w:lineRule="auto"/>
              <w:ind w:left="0" w:right="0" w:firstLine="0"/>
              <w:jc w:val="center"/>
            </w:pPr>
            <w:r>
              <w:rPr>
                <w:sz w:val="18"/>
              </w:rPr>
              <w:t>20</w:t>
            </w:r>
          </w:p>
        </w:tc>
        <w:tc>
          <w:tcPr>
            <w:tcW w:w="714" w:type="dxa"/>
            <w:tcBorders>
              <w:top w:val="single" w:sz="12" w:space="0" w:color="000000"/>
              <w:left w:val="single" w:sz="12" w:space="0" w:color="000000"/>
              <w:bottom w:val="single" w:sz="4" w:space="0" w:color="000000"/>
              <w:right w:val="single" w:sz="12" w:space="0" w:color="000000"/>
            </w:tcBorders>
          </w:tcPr>
          <w:p w14:paraId="6FE402A3" w14:textId="7E98ECC3" w:rsidR="0094090C" w:rsidRDefault="0094090C" w:rsidP="0094090C">
            <w:pPr>
              <w:spacing w:after="0" w:line="259" w:lineRule="auto"/>
              <w:ind w:left="0" w:right="48" w:firstLine="0"/>
              <w:jc w:val="center"/>
            </w:pPr>
            <w:r>
              <w:rPr>
                <w:sz w:val="18"/>
              </w:rPr>
              <w:t>ug/L</w:t>
            </w:r>
          </w:p>
        </w:tc>
        <w:tc>
          <w:tcPr>
            <w:tcW w:w="811" w:type="dxa"/>
            <w:tcBorders>
              <w:top w:val="single" w:sz="12" w:space="0" w:color="000000"/>
              <w:left w:val="single" w:sz="12" w:space="0" w:color="000000"/>
              <w:bottom w:val="single" w:sz="4" w:space="0" w:color="000000"/>
              <w:right w:val="single" w:sz="12" w:space="0" w:color="000000"/>
            </w:tcBorders>
          </w:tcPr>
          <w:p w14:paraId="1946075A" w14:textId="4BBFDECA" w:rsidR="0094090C" w:rsidRDefault="0094090C" w:rsidP="0094090C">
            <w:pPr>
              <w:tabs>
                <w:tab w:val="right" w:pos="713"/>
              </w:tabs>
              <w:spacing w:after="0" w:line="259" w:lineRule="auto"/>
              <w:ind w:left="0" w:right="0" w:firstLine="0"/>
              <w:jc w:val="center"/>
            </w:pPr>
            <w:r>
              <w:rPr>
                <w:sz w:val="18"/>
              </w:rPr>
              <w:t>1300</w:t>
            </w:r>
          </w:p>
        </w:tc>
        <w:tc>
          <w:tcPr>
            <w:tcW w:w="711" w:type="dxa"/>
            <w:tcBorders>
              <w:top w:val="single" w:sz="12" w:space="0" w:color="000000"/>
              <w:left w:val="single" w:sz="12" w:space="0" w:color="000000"/>
              <w:bottom w:val="single" w:sz="4" w:space="0" w:color="000000"/>
              <w:right w:val="single" w:sz="12" w:space="0" w:color="000000"/>
            </w:tcBorders>
          </w:tcPr>
          <w:p w14:paraId="2E94BCF9" w14:textId="1AD2BF3B" w:rsidR="0094090C" w:rsidRDefault="0094090C" w:rsidP="0094090C">
            <w:pPr>
              <w:spacing w:after="0" w:line="259" w:lineRule="auto"/>
              <w:ind w:left="0" w:right="44" w:firstLine="0"/>
              <w:jc w:val="center"/>
            </w:pPr>
            <w:r>
              <w:rPr>
                <w:rFonts w:eastAsia="Segoe UI Symbol"/>
                <w:sz w:val="18"/>
              </w:rPr>
              <w:t>u</w:t>
            </w:r>
            <w:r>
              <w:rPr>
                <w:sz w:val="18"/>
              </w:rPr>
              <w:t>g/kg</w:t>
            </w:r>
          </w:p>
        </w:tc>
        <w:tc>
          <w:tcPr>
            <w:tcW w:w="647" w:type="dxa"/>
            <w:tcBorders>
              <w:top w:val="single" w:sz="12" w:space="0" w:color="000000"/>
              <w:left w:val="single" w:sz="12" w:space="0" w:color="000000"/>
              <w:bottom w:val="single" w:sz="4" w:space="0" w:color="000000"/>
              <w:right w:val="single" w:sz="12" w:space="0" w:color="000000"/>
            </w:tcBorders>
          </w:tcPr>
          <w:p w14:paraId="1B22558E" w14:textId="77777777" w:rsidR="0094090C" w:rsidRDefault="0094090C" w:rsidP="0094090C">
            <w:pPr>
              <w:spacing w:after="0" w:line="259" w:lineRule="auto"/>
              <w:ind w:left="0" w:right="0" w:firstLine="0"/>
              <w:jc w:val="center"/>
            </w:pPr>
          </w:p>
        </w:tc>
        <w:tc>
          <w:tcPr>
            <w:tcW w:w="540" w:type="dxa"/>
            <w:tcBorders>
              <w:top w:val="single" w:sz="12" w:space="0" w:color="000000"/>
              <w:left w:val="single" w:sz="12" w:space="0" w:color="000000"/>
              <w:bottom w:val="single" w:sz="4" w:space="0" w:color="000000"/>
              <w:right w:val="single" w:sz="12" w:space="0" w:color="000000"/>
            </w:tcBorders>
          </w:tcPr>
          <w:p w14:paraId="0F38EBCD" w14:textId="77777777" w:rsidR="0094090C" w:rsidRDefault="0094090C" w:rsidP="0094090C">
            <w:pPr>
              <w:spacing w:after="0" w:line="259" w:lineRule="auto"/>
              <w:ind w:left="0" w:right="1" w:firstLine="0"/>
              <w:jc w:val="center"/>
            </w:pPr>
          </w:p>
        </w:tc>
        <w:tc>
          <w:tcPr>
            <w:tcW w:w="540" w:type="dxa"/>
            <w:tcBorders>
              <w:top w:val="single" w:sz="12" w:space="0" w:color="000000"/>
              <w:left w:val="single" w:sz="12" w:space="0" w:color="000000"/>
              <w:bottom w:val="single" w:sz="4" w:space="0" w:color="000000"/>
              <w:right w:val="single" w:sz="12" w:space="0" w:color="000000"/>
            </w:tcBorders>
          </w:tcPr>
          <w:p w14:paraId="15BAC854" w14:textId="77777777" w:rsidR="0094090C" w:rsidRDefault="0094090C" w:rsidP="0094090C">
            <w:pPr>
              <w:spacing w:after="0" w:line="259" w:lineRule="auto"/>
              <w:ind w:left="0" w:right="0" w:firstLine="0"/>
              <w:jc w:val="center"/>
            </w:pPr>
          </w:p>
        </w:tc>
        <w:tc>
          <w:tcPr>
            <w:tcW w:w="917" w:type="dxa"/>
            <w:tcBorders>
              <w:top w:val="single" w:sz="12" w:space="0" w:color="000000"/>
              <w:left w:val="single" w:sz="12" w:space="0" w:color="000000"/>
              <w:bottom w:val="single" w:sz="4" w:space="0" w:color="000000"/>
              <w:right w:val="single" w:sz="12" w:space="0" w:color="000000"/>
            </w:tcBorders>
          </w:tcPr>
          <w:p w14:paraId="39A4027A" w14:textId="21FEF7BA" w:rsidR="0094090C" w:rsidRDefault="0094090C" w:rsidP="0094090C">
            <w:pPr>
              <w:spacing w:after="0" w:line="259" w:lineRule="auto"/>
              <w:ind w:left="38" w:right="0" w:firstLine="0"/>
              <w:jc w:val="center"/>
            </w:pPr>
            <w:r>
              <w:rPr>
                <w:sz w:val="18"/>
              </w:rPr>
              <w:t>8141B</w:t>
            </w:r>
          </w:p>
        </w:tc>
        <w:tc>
          <w:tcPr>
            <w:tcW w:w="793" w:type="dxa"/>
            <w:tcBorders>
              <w:top w:val="single" w:sz="12" w:space="0" w:color="000000"/>
              <w:left w:val="single" w:sz="12" w:space="0" w:color="000000"/>
              <w:bottom w:val="single" w:sz="4" w:space="0" w:color="000000"/>
              <w:right w:val="single" w:sz="12" w:space="0" w:color="000000"/>
            </w:tcBorders>
          </w:tcPr>
          <w:p w14:paraId="63FFD27E" w14:textId="77777777" w:rsidR="0094090C" w:rsidRDefault="0094090C" w:rsidP="0094090C">
            <w:pPr>
              <w:spacing w:after="0" w:line="259" w:lineRule="auto"/>
              <w:ind w:left="0" w:right="2" w:firstLine="0"/>
              <w:jc w:val="center"/>
            </w:pPr>
          </w:p>
        </w:tc>
      </w:tr>
      <w:tr w:rsidR="0094090C" w14:paraId="3E104BD0" w14:textId="77777777" w:rsidTr="005B6604">
        <w:trPr>
          <w:trHeight w:val="250"/>
        </w:trPr>
        <w:tc>
          <w:tcPr>
            <w:tcW w:w="3165" w:type="dxa"/>
            <w:tcBorders>
              <w:top w:val="single" w:sz="4" w:space="0" w:color="000000"/>
              <w:left w:val="single" w:sz="12" w:space="0" w:color="000000"/>
              <w:bottom w:val="single" w:sz="4" w:space="0" w:color="000000"/>
              <w:right w:val="single" w:sz="12" w:space="0" w:color="000000"/>
            </w:tcBorders>
          </w:tcPr>
          <w:p w14:paraId="3D5E522C" w14:textId="4D726460" w:rsidR="0094090C" w:rsidRDefault="0094090C" w:rsidP="0094090C">
            <w:pPr>
              <w:spacing w:after="0" w:line="259" w:lineRule="auto"/>
              <w:ind w:left="0" w:right="0" w:firstLine="0"/>
            </w:pPr>
            <w:r>
              <w:rPr>
                <w:sz w:val="18"/>
              </w:rPr>
              <w:t>Atrazine (</w:t>
            </w:r>
            <w:proofErr w:type="spellStart"/>
            <w:r>
              <w:rPr>
                <w:i/>
                <w:sz w:val="18"/>
              </w:rPr>
              <w:t>Aatrex</w:t>
            </w:r>
            <w:proofErr w:type="spellEnd"/>
            <w:r>
              <w:rPr>
                <w:i/>
                <w:sz w:val="18"/>
              </w:rPr>
              <w:t xml:space="preserve">) </w:t>
            </w:r>
          </w:p>
        </w:tc>
        <w:tc>
          <w:tcPr>
            <w:tcW w:w="1194" w:type="dxa"/>
            <w:tcBorders>
              <w:top w:val="single" w:sz="4" w:space="0" w:color="000000"/>
              <w:left w:val="single" w:sz="12" w:space="0" w:color="000000"/>
              <w:bottom w:val="single" w:sz="4" w:space="0" w:color="000000"/>
              <w:right w:val="single" w:sz="12" w:space="0" w:color="000000"/>
            </w:tcBorders>
          </w:tcPr>
          <w:p w14:paraId="6683263E" w14:textId="38818D7E" w:rsidR="0094090C" w:rsidRDefault="0094090C" w:rsidP="0094090C">
            <w:pPr>
              <w:spacing w:after="0" w:line="259" w:lineRule="auto"/>
              <w:ind w:left="0" w:right="44" w:firstLine="0"/>
              <w:jc w:val="center"/>
            </w:pPr>
            <w:r>
              <w:rPr>
                <w:sz w:val="18"/>
              </w:rPr>
              <w:t>1912-24-9</w:t>
            </w:r>
          </w:p>
        </w:tc>
        <w:tc>
          <w:tcPr>
            <w:tcW w:w="588" w:type="dxa"/>
            <w:tcBorders>
              <w:top w:val="single" w:sz="4" w:space="0" w:color="000000"/>
              <w:left w:val="single" w:sz="12" w:space="0" w:color="000000"/>
              <w:bottom w:val="single" w:sz="4" w:space="0" w:color="000000"/>
              <w:right w:val="single" w:sz="12" w:space="0" w:color="000000"/>
            </w:tcBorders>
          </w:tcPr>
          <w:p w14:paraId="505F0492" w14:textId="5D1DF3B6" w:rsidR="0094090C" w:rsidRDefault="0094090C" w:rsidP="0094090C">
            <w:pPr>
              <w:spacing w:after="0" w:line="259" w:lineRule="auto"/>
              <w:ind w:left="0" w:right="0" w:firstLine="0"/>
              <w:jc w:val="center"/>
            </w:pPr>
            <w:r>
              <w:rPr>
                <w:sz w:val="18"/>
              </w:rPr>
              <w:t>0.3</w:t>
            </w:r>
          </w:p>
        </w:tc>
        <w:tc>
          <w:tcPr>
            <w:tcW w:w="714" w:type="dxa"/>
            <w:tcBorders>
              <w:top w:val="single" w:sz="4" w:space="0" w:color="000000"/>
              <w:left w:val="single" w:sz="12" w:space="0" w:color="000000"/>
              <w:bottom w:val="single" w:sz="4" w:space="0" w:color="000000"/>
              <w:right w:val="single" w:sz="12" w:space="0" w:color="000000"/>
            </w:tcBorders>
          </w:tcPr>
          <w:p w14:paraId="683F2C07" w14:textId="611B7E42" w:rsidR="0094090C" w:rsidRDefault="0094090C" w:rsidP="0094090C">
            <w:pPr>
              <w:spacing w:after="0" w:line="259" w:lineRule="auto"/>
              <w:ind w:left="0" w:right="48" w:firstLine="0"/>
              <w:jc w:val="center"/>
            </w:pPr>
            <w:r>
              <w:rPr>
                <w:sz w:val="18"/>
              </w:rPr>
              <w:t>ug/L</w:t>
            </w:r>
          </w:p>
        </w:tc>
        <w:tc>
          <w:tcPr>
            <w:tcW w:w="811" w:type="dxa"/>
            <w:tcBorders>
              <w:top w:val="single" w:sz="4" w:space="0" w:color="000000"/>
              <w:left w:val="single" w:sz="12" w:space="0" w:color="000000"/>
              <w:bottom w:val="single" w:sz="4" w:space="0" w:color="000000"/>
              <w:right w:val="single" w:sz="12" w:space="0" w:color="000000"/>
            </w:tcBorders>
          </w:tcPr>
          <w:p w14:paraId="5A890453" w14:textId="76C78E74" w:rsidR="0094090C" w:rsidRDefault="0094090C" w:rsidP="0094090C">
            <w:pPr>
              <w:spacing w:after="0" w:line="259" w:lineRule="auto"/>
              <w:ind w:left="0" w:right="0" w:firstLine="0"/>
              <w:jc w:val="center"/>
            </w:pPr>
            <w:r>
              <w:rPr>
                <w:sz w:val="18"/>
              </w:rPr>
              <w:t>200</w:t>
            </w:r>
          </w:p>
        </w:tc>
        <w:tc>
          <w:tcPr>
            <w:tcW w:w="711" w:type="dxa"/>
            <w:tcBorders>
              <w:top w:val="single" w:sz="4" w:space="0" w:color="000000"/>
              <w:left w:val="single" w:sz="12" w:space="0" w:color="000000"/>
              <w:bottom w:val="single" w:sz="4" w:space="0" w:color="000000"/>
              <w:right w:val="single" w:sz="12" w:space="0" w:color="000000"/>
            </w:tcBorders>
          </w:tcPr>
          <w:p w14:paraId="5577C0B0" w14:textId="60B0E83B" w:rsidR="0094090C" w:rsidRDefault="0094090C" w:rsidP="0094090C">
            <w:pPr>
              <w:spacing w:after="0" w:line="259" w:lineRule="auto"/>
              <w:ind w:left="0" w:right="44" w:firstLine="0"/>
              <w:jc w:val="center"/>
            </w:pPr>
            <w:r>
              <w:rPr>
                <w:rFonts w:eastAsia="Segoe UI Symbol"/>
                <w:sz w:val="18"/>
              </w:rPr>
              <w:t>u</w:t>
            </w:r>
            <w:r>
              <w:rPr>
                <w:sz w:val="18"/>
              </w:rPr>
              <w:t>g/kg</w:t>
            </w:r>
          </w:p>
        </w:tc>
        <w:tc>
          <w:tcPr>
            <w:tcW w:w="647" w:type="dxa"/>
            <w:tcBorders>
              <w:top w:val="single" w:sz="4" w:space="0" w:color="000000"/>
              <w:left w:val="single" w:sz="12" w:space="0" w:color="000000"/>
              <w:bottom w:val="single" w:sz="4" w:space="0" w:color="000000"/>
              <w:right w:val="single" w:sz="12" w:space="0" w:color="000000"/>
            </w:tcBorders>
          </w:tcPr>
          <w:p w14:paraId="6E280649" w14:textId="77777777" w:rsidR="0094090C" w:rsidRDefault="0094090C" w:rsidP="0094090C">
            <w:pPr>
              <w:spacing w:after="0" w:line="259" w:lineRule="auto"/>
              <w:ind w:left="0" w:right="0" w:firstLine="0"/>
              <w:jc w:val="center"/>
            </w:pPr>
          </w:p>
        </w:tc>
        <w:tc>
          <w:tcPr>
            <w:tcW w:w="540" w:type="dxa"/>
            <w:tcBorders>
              <w:top w:val="single" w:sz="4" w:space="0" w:color="000000"/>
              <w:left w:val="single" w:sz="12" w:space="0" w:color="000000"/>
              <w:bottom w:val="single" w:sz="4" w:space="0" w:color="000000"/>
              <w:right w:val="single" w:sz="12" w:space="0" w:color="000000"/>
            </w:tcBorders>
          </w:tcPr>
          <w:p w14:paraId="1086235F" w14:textId="77777777" w:rsidR="0094090C" w:rsidRDefault="0094090C" w:rsidP="0094090C">
            <w:pPr>
              <w:spacing w:after="0" w:line="259" w:lineRule="auto"/>
              <w:ind w:left="0" w:right="1" w:firstLine="0"/>
              <w:jc w:val="center"/>
            </w:pPr>
          </w:p>
        </w:tc>
        <w:tc>
          <w:tcPr>
            <w:tcW w:w="540" w:type="dxa"/>
            <w:tcBorders>
              <w:top w:val="single" w:sz="4" w:space="0" w:color="000000"/>
              <w:left w:val="single" w:sz="12" w:space="0" w:color="000000"/>
              <w:bottom w:val="single" w:sz="4" w:space="0" w:color="000000"/>
              <w:right w:val="single" w:sz="12" w:space="0" w:color="000000"/>
            </w:tcBorders>
          </w:tcPr>
          <w:p w14:paraId="0507A8F1" w14:textId="77777777" w:rsidR="0094090C" w:rsidRDefault="0094090C" w:rsidP="0094090C">
            <w:pPr>
              <w:spacing w:after="0" w:line="259" w:lineRule="auto"/>
              <w:ind w:left="0" w:right="0" w:firstLine="0"/>
              <w:jc w:val="center"/>
            </w:pPr>
          </w:p>
        </w:tc>
        <w:tc>
          <w:tcPr>
            <w:tcW w:w="917" w:type="dxa"/>
            <w:tcBorders>
              <w:top w:val="single" w:sz="4" w:space="0" w:color="000000"/>
              <w:left w:val="single" w:sz="12" w:space="0" w:color="000000"/>
              <w:bottom w:val="single" w:sz="4" w:space="0" w:color="000000"/>
              <w:right w:val="single" w:sz="12" w:space="0" w:color="000000"/>
            </w:tcBorders>
          </w:tcPr>
          <w:p w14:paraId="11E8C639" w14:textId="7DCA1571" w:rsidR="0094090C" w:rsidRDefault="0094090C" w:rsidP="0094090C">
            <w:pPr>
              <w:spacing w:after="0" w:line="259" w:lineRule="auto"/>
              <w:ind w:left="0" w:right="0" w:firstLine="0"/>
              <w:jc w:val="center"/>
            </w:pPr>
            <w:r>
              <w:rPr>
                <w:sz w:val="18"/>
              </w:rPr>
              <w:t>8141B</w:t>
            </w:r>
          </w:p>
        </w:tc>
        <w:tc>
          <w:tcPr>
            <w:tcW w:w="793" w:type="dxa"/>
            <w:tcBorders>
              <w:top w:val="single" w:sz="4" w:space="0" w:color="000000"/>
              <w:left w:val="single" w:sz="12" w:space="0" w:color="000000"/>
              <w:bottom w:val="single" w:sz="4" w:space="0" w:color="000000"/>
              <w:right w:val="single" w:sz="12" w:space="0" w:color="000000"/>
            </w:tcBorders>
          </w:tcPr>
          <w:p w14:paraId="2A0933AD" w14:textId="584A9F7A" w:rsidR="0094090C" w:rsidRDefault="0094090C" w:rsidP="0094090C">
            <w:pPr>
              <w:spacing w:after="0" w:line="259" w:lineRule="auto"/>
              <w:ind w:left="0" w:right="45" w:firstLine="0"/>
              <w:jc w:val="center"/>
            </w:pPr>
          </w:p>
        </w:tc>
      </w:tr>
      <w:tr w:rsidR="0094090C" w14:paraId="1C3A7137" w14:textId="77777777" w:rsidTr="005B6604">
        <w:trPr>
          <w:trHeight w:val="250"/>
        </w:trPr>
        <w:tc>
          <w:tcPr>
            <w:tcW w:w="3165" w:type="dxa"/>
            <w:tcBorders>
              <w:top w:val="single" w:sz="4" w:space="0" w:color="000000"/>
              <w:left w:val="single" w:sz="12" w:space="0" w:color="000000"/>
              <w:bottom w:val="single" w:sz="4" w:space="0" w:color="000000"/>
              <w:right w:val="single" w:sz="12" w:space="0" w:color="000000"/>
            </w:tcBorders>
          </w:tcPr>
          <w:p w14:paraId="12394DD8" w14:textId="4CA59379" w:rsidR="0094090C" w:rsidRDefault="0094090C" w:rsidP="0094090C">
            <w:pPr>
              <w:spacing w:after="0" w:line="259" w:lineRule="auto"/>
              <w:ind w:left="0" w:right="0" w:firstLine="0"/>
            </w:pPr>
            <w:proofErr w:type="spellStart"/>
            <w:r>
              <w:rPr>
                <w:sz w:val="18"/>
              </w:rPr>
              <w:t>Azinphos</w:t>
            </w:r>
            <w:proofErr w:type="spellEnd"/>
            <w:r>
              <w:rPr>
                <w:sz w:val="18"/>
              </w:rPr>
              <w:t xml:space="preserve">-methyl  </w:t>
            </w:r>
          </w:p>
        </w:tc>
        <w:tc>
          <w:tcPr>
            <w:tcW w:w="1194" w:type="dxa"/>
            <w:tcBorders>
              <w:top w:val="single" w:sz="4" w:space="0" w:color="000000"/>
              <w:left w:val="single" w:sz="12" w:space="0" w:color="000000"/>
              <w:bottom w:val="single" w:sz="4" w:space="0" w:color="000000"/>
              <w:right w:val="single" w:sz="12" w:space="0" w:color="000000"/>
            </w:tcBorders>
          </w:tcPr>
          <w:p w14:paraId="3B6C24CC" w14:textId="071779E1" w:rsidR="0094090C" w:rsidRDefault="0094090C" w:rsidP="0094090C">
            <w:pPr>
              <w:spacing w:after="0" w:line="259" w:lineRule="auto"/>
              <w:ind w:left="0" w:right="44" w:firstLine="0"/>
              <w:jc w:val="center"/>
            </w:pPr>
            <w:r>
              <w:rPr>
                <w:sz w:val="18"/>
              </w:rPr>
              <w:t>86-50-0</w:t>
            </w:r>
          </w:p>
        </w:tc>
        <w:tc>
          <w:tcPr>
            <w:tcW w:w="588" w:type="dxa"/>
            <w:tcBorders>
              <w:top w:val="single" w:sz="4" w:space="0" w:color="000000"/>
              <w:left w:val="single" w:sz="12" w:space="0" w:color="000000"/>
              <w:bottom w:val="single" w:sz="4" w:space="0" w:color="000000"/>
              <w:right w:val="single" w:sz="12" w:space="0" w:color="000000"/>
            </w:tcBorders>
          </w:tcPr>
          <w:p w14:paraId="3ECC6AF8" w14:textId="2AAB55F3" w:rsidR="0094090C" w:rsidRDefault="0094090C" w:rsidP="0094090C">
            <w:pPr>
              <w:spacing w:after="0" w:line="259" w:lineRule="auto"/>
              <w:ind w:left="0" w:right="0" w:firstLine="0"/>
              <w:jc w:val="center"/>
            </w:pPr>
            <w:r>
              <w:rPr>
                <w:sz w:val="18"/>
              </w:rPr>
              <w:t>50</w:t>
            </w:r>
          </w:p>
        </w:tc>
        <w:tc>
          <w:tcPr>
            <w:tcW w:w="714" w:type="dxa"/>
            <w:tcBorders>
              <w:top w:val="single" w:sz="4" w:space="0" w:color="000000"/>
              <w:left w:val="single" w:sz="12" w:space="0" w:color="000000"/>
              <w:bottom w:val="single" w:sz="4" w:space="0" w:color="000000"/>
              <w:right w:val="single" w:sz="12" w:space="0" w:color="000000"/>
            </w:tcBorders>
          </w:tcPr>
          <w:p w14:paraId="43308329" w14:textId="0A0D2160" w:rsidR="0094090C" w:rsidRDefault="0094090C" w:rsidP="0094090C">
            <w:pPr>
              <w:spacing w:after="0" w:line="259" w:lineRule="auto"/>
              <w:ind w:left="0" w:right="48" w:firstLine="0"/>
              <w:jc w:val="center"/>
            </w:pPr>
            <w:r>
              <w:rPr>
                <w:sz w:val="18"/>
              </w:rPr>
              <w:t>ug/L</w:t>
            </w:r>
          </w:p>
        </w:tc>
        <w:tc>
          <w:tcPr>
            <w:tcW w:w="811" w:type="dxa"/>
            <w:tcBorders>
              <w:top w:val="single" w:sz="4" w:space="0" w:color="000000"/>
              <w:left w:val="single" w:sz="12" w:space="0" w:color="000000"/>
              <w:bottom w:val="single" w:sz="4" w:space="0" w:color="000000"/>
              <w:right w:val="single" w:sz="12" w:space="0" w:color="000000"/>
            </w:tcBorders>
          </w:tcPr>
          <w:p w14:paraId="37249848" w14:textId="34C6080A" w:rsidR="0094090C" w:rsidRDefault="0094090C" w:rsidP="0094090C">
            <w:pPr>
              <w:tabs>
                <w:tab w:val="right" w:pos="713"/>
              </w:tabs>
              <w:spacing w:after="0" w:line="259" w:lineRule="auto"/>
              <w:ind w:left="0" w:right="0" w:firstLine="0"/>
              <w:jc w:val="center"/>
            </w:pPr>
            <w:r>
              <w:rPr>
                <w:sz w:val="18"/>
              </w:rPr>
              <w:t>3300</w:t>
            </w:r>
          </w:p>
        </w:tc>
        <w:tc>
          <w:tcPr>
            <w:tcW w:w="711" w:type="dxa"/>
            <w:tcBorders>
              <w:top w:val="single" w:sz="4" w:space="0" w:color="000000"/>
              <w:left w:val="single" w:sz="12" w:space="0" w:color="000000"/>
              <w:bottom w:val="single" w:sz="4" w:space="0" w:color="000000"/>
              <w:right w:val="single" w:sz="12" w:space="0" w:color="000000"/>
            </w:tcBorders>
          </w:tcPr>
          <w:p w14:paraId="11F2DA93" w14:textId="2C2F28E6" w:rsidR="0094090C" w:rsidRDefault="0094090C" w:rsidP="0094090C">
            <w:pPr>
              <w:spacing w:after="0" w:line="259" w:lineRule="auto"/>
              <w:ind w:left="0" w:right="44" w:firstLine="0"/>
              <w:jc w:val="center"/>
            </w:pPr>
            <w:r>
              <w:rPr>
                <w:rFonts w:eastAsia="Segoe UI Symbol"/>
                <w:sz w:val="18"/>
              </w:rPr>
              <w:t>u</w:t>
            </w:r>
            <w:r>
              <w:rPr>
                <w:sz w:val="18"/>
              </w:rPr>
              <w:t>g/kg</w:t>
            </w:r>
          </w:p>
        </w:tc>
        <w:tc>
          <w:tcPr>
            <w:tcW w:w="647" w:type="dxa"/>
            <w:tcBorders>
              <w:top w:val="single" w:sz="4" w:space="0" w:color="000000"/>
              <w:left w:val="single" w:sz="12" w:space="0" w:color="000000"/>
              <w:bottom w:val="single" w:sz="4" w:space="0" w:color="000000"/>
              <w:right w:val="single" w:sz="12" w:space="0" w:color="000000"/>
            </w:tcBorders>
          </w:tcPr>
          <w:p w14:paraId="2CB7F9C4" w14:textId="77777777" w:rsidR="0094090C" w:rsidRDefault="0094090C" w:rsidP="0094090C">
            <w:pPr>
              <w:spacing w:after="0" w:line="259" w:lineRule="auto"/>
              <w:ind w:left="0" w:right="0" w:firstLine="0"/>
              <w:jc w:val="center"/>
            </w:pPr>
          </w:p>
        </w:tc>
        <w:tc>
          <w:tcPr>
            <w:tcW w:w="540" w:type="dxa"/>
            <w:tcBorders>
              <w:top w:val="single" w:sz="4" w:space="0" w:color="000000"/>
              <w:left w:val="single" w:sz="12" w:space="0" w:color="000000"/>
              <w:bottom w:val="single" w:sz="4" w:space="0" w:color="000000"/>
              <w:right w:val="single" w:sz="12" w:space="0" w:color="000000"/>
            </w:tcBorders>
          </w:tcPr>
          <w:p w14:paraId="28F5AF2B" w14:textId="77777777" w:rsidR="0094090C" w:rsidRDefault="0094090C" w:rsidP="0094090C">
            <w:pPr>
              <w:spacing w:after="0" w:line="259" w:lineRule="auto"/>
              <w:ind w:left="0" w:right="1" w:firstLine="0"/>
              <w:jc w:val="center"/>
            </w:pPr>
          </w:p>
        </w:tc>
        <w:tc>
          <w:tcPr>
            <w:tcW w:w="540" w:type="dxa"/>
            <w:tcBorders>
              <w:top w:val="single" w:sz="4" w:space="0" w:color="000000"/>
              <w:left w:val="single" w:sz="12" w:space="0" w:color="000000"/>
              <w:bottom w:val="single" w:sz="4" w:space="0" w:color="000000"/>
              <w:right w:val="single" w:sz="12" w:space="0" w:color="000000"/>
            </w:tcBorders>
          </w:tcPr>
          <w:p w14:paraId="744DCBBA" w14:textId="77777777" w:rsidR="0094090C" w:rsidRDefault="0094090C" w:rsidP="0094090C">
            <w:pPr>
              <w:spacing w:after="0" w:line="259" w:lineRule="auto"/>
              <w:ind w:left="0" w:right="0" w:firstLine="0"/>
              <w:jc w:val="center"/>
            </w:pPr>
          </w:p>
        </w:tc>
        <w:tc>
          <w:tcPr>
            <w:tcW w:w="917" w:type="dxa"/>
            <w:tcBorders>
              <w:top w:val="single" w:sz="4" w:space="0" w:color="000000"/>
              <w:left w:val="single" w:sz="12" w:space="0" w:color="000000"/>
              <w:bottom w:val="single" w:sz="4" w:space="0" w:color="000000"/>
              <w:right w:val="single" w:sz="12" w:space="0" w:color="000000"/>
            </w:tcBorders>
          </w:tcPr>
          <w:p w14:paraId="678D86DE" w14:textId="2840BB0D" w:rsidR="0094090C" w:rsidRDefault="0094090C" w:rsidP="0094090C">
            <w:pPr>
              <w:spacing w:after="0" w:line="259" w:lineRule="auto"/>
              <w:ind w:left="0" w:right="0" w:firstLine="0"/>
              <w:jc w:val="center"/>
            </w:pPr>
            <w:r>
              <w:rPr>
                <w:sz w:val="18"/>
              </w:rPr>
              <w:t>8141B</w:t>
            </w:r>
          </w:p>
        </w:tc>
        <w:tc>
          <w:tcPr>
            <w:tcW w:w="793" w:type="dxa"/>
            <w:tcBorders>
              <w:top w:val="single" w:sz="4" w:space="0" w:color="000000"/>
              <w:left w:val="single" w:sz="12" w:space="0" w:color="000000"/>
              <w:bottom w:val="single" w:sz="4" w:space="0" w:color="000000"/>
              <w:right w:val="single" w:sz="12" w:space="0" w:color="000000"/>
            </w:tcBorders>
          </w:tcPr>
          <w:p w14:paraId="3B7BECDB" w14:textId="56549DBD" w:rsidR="0094090C" w:rsidRDefault="0094090C" w:rsidP="0094090C">
            <w:pPr>
              <w:spacing w:after="0" w:line="259" w:lineRule="auto"/>
              <w:ind w:left="0" w:right="45" w:firstLine="0"/>
              <w:jc w:val="center"/>
            </w:pPr>
            <w:r>
              <w:rPr>
                <w:sz w:val="18"/>
              </w:rPr>
              <w:t>8270D</w:t>
            </w:r>
          </w:p>
        </w:tc>
      </w:tr>
      <w:tr w:rsidR="0094090C" w14:paraId="36E921CF" w14:textId="77777777" w:rsidTr="005B6604">
        <w:trPr>
          <w:trHeight w:val="250"/>
        </w:trPr>
        <w:tc>
          <w:tcPr>
            <w:tcW w:w="3165" w:type="dxa"/>
            <w:tcBorders>
              <w:top w:val="single" w:sz="4" w:space="0" w:color="000000"/>
              <w:left w:val="single" w:sz="12" w:space="0" w:color="000000"/>
              <w:bottom w:val="single" w:sz="4" w:space="0" w:color="000000"/>
              <w:right w:val="single" w:sz="12" w:space="0" w:color="000000"/>
            </w:tcBorders>
          </w:tcPr>
          <w:p w14:paraId="091614CA" w14:textId="07344876" w:rsidR="0094090C" w:rsidRDefault="0094090C" w:rsidP="0094090C">
            <w:pPr>
              <w:spacing w:after="0" w:line="259" w:lineRule="auto"/>
              <w:ind w:left="0" w:right="0" w:firstLine="0"/>
            </w:pPr>
            <w:proofErr w:type="spellStart"/>
            <w:r>
              <w:rPr>
                <w:sz w:val="18"/>
              </w:rPr>
              <w:t>Azinphos</w:t>
            </w:r>
            <w:proofErr w:type="spellEnd"/>
            <w:r>
              <w:rPr>
                <w:sz w:val="18"/>
              </w:rPr>
              <w:t xml:space="preserve">-ethyl </w:t>
            </w:r>
          </w:p>
        </w:tc>
        <w:tc>
          <w:tcPr>
            <w:tcW w:w="1194" w:type="dxa"/>
            <w:tcBorders>
              <w:top w:val="single" w:sz="4" w:space="0" w:color="000000"/>
              <w:left w:val="single" w:sz="12" w:space="0" w:color="000000"/>
              <w:bottom w:val="single" w:sz="4" w:space="0" w:color="000000"/>
              <w:right w:val="single" w:sz="12" w:space="0" w:color="000000"/>
            </w:tcBorders>
          </w:tcPr>
          <w:p w14:paraId="2F2839A3" w14:textId="7BCC8073" w:rsidR="0094090C" w:rsidRDefault="0094090C" w:rsidP="0094090C">
            <w:pPr>
              <w:spacing w:after="0" w:line="259" w:lineRule="auto"/>
              <w:ind w:left="0" w:right="44" w:firstLine="0"/>
              <w:jc w:val="center"/>
            </w:pPr>
            <w:r>
              <w:rPr>
                <w:sz w:val="18"/>
              </w:rPr>
              <w:t>2642-71-9</w:t>
            </w:r>
          </w:p>
        </w:tc>
        <w:tc>
          <w:tcPr>
            <w:tcW w:w="588" w:type="dxa"/>
            <w:tcBorders>
              <w:top w:val="single" w:sz="4" w:space="0" w:color="000000"/>
              <w:left w:val="single" w:sz="12" w:space="0" w:color="000000"/>
              <w:bottom w:val="single" w:sz="4" w:space="0" w:color="000000"/>
              <w:right w:val="single" w:sz="12" w:space="0" w:color="000000"/>
            </w:tcBorders>
          </w:tcPr>
          <w:p w14:paraId="3537FB28" w14:textId="6F68B4B6" w:rsidR="0094090C" w:rsidRDefault="0094090C" w:rsidP="0094090C">
            <w:pPr>
              <w:tabs>
                <w:tab w:val="right" w:pos="489"/>
              </w:tabs>
              <w:spacing w:after="0" w:line="259" w:lineRule="auto"/>
              <w:ind w:left="0" w:right="0" w:firstLine="0"/>
              <w:jc w:val="center"/>
            </w:pPr>
            <w:r>
              <w:rPr>
                <w:sz w:val="18"/>
              </w:rPr>
              <w:t>20</w:t>
            </w:r>
          </w:p>
        </w:tc>
        <w:tc>
          <w:tcPr>
            <w:tcW w:w="714" w:type="dxa"/>
            <w:tcBorders>
              <w:top w:val="single" w:sz="4" w:space="0" w:color="000000"/>
              <w:left w:val="single" w:sz="12" w:space="0" w:color="000000"/>
              <w:bottom w:val="single" w:sz="4" w:space="0" w:color="000000"/>
              <w:right w:val="single" w:sz="12" w:space="0" w:color="000000"/>
            </w:tcBorders>
          </w:tcPr>
          <w:p w14:paraId="3FAAF84F" w14:textId="1EE98A8D" w:rsidR="0094090C" w:rsidRDefault="0094090C" w:rsidP="0094090C">
            <w:pPr>
              <w:spacing w:after="0" w:line="259" w:lineRule="auto"/>
              <w:ind w:left="0" w:right="48" w:firstLine="0"/>
              <w:jc w:val="center"/>
            </w:pPr>
            <w:r>
              <w:rPr>
                <w:sz w:val="18"/>
              </w:rPr>
              <w:t>ug/L</w:t>
            </w:r>
          </w:p>
        </w:tc>
        <w:tc>
          <w:tcPr>
            <w:tcW w:w="811" w:type="dxa"/>
            <w:tcBorders>
              <w:top w:val="single" w:sz="4" w:space="0" w:color="000000"/>
              <w:left w:val="single" w:sz="12" w:space="0" w:color="000000"/>
              <w:bottom w:val="single" w:sz="4" w:space="0" w:color="000000"/>
              <w:right w:val="single" w:sz="12" w:space="0" w:color="000000"/>
            </w:tcBorders>
          </w:tcPr>
          <w:p w14:paraId="1D04D32E" w14:textId="00751460" w:rsidR="0094090C" w:rsidRDefault="0094090C" w:rsidP="0094090C">
            <w:pPr>
              <w:tabs>
                <w:tab w:val="right" w:pos="713"/>
              </w:tabs>
              <w:spacing w:after="0" w:line="259" w:lineRule="auto"/>
              <w:ind w:left="0" w:right="0" w:firstLine="0"/>
              <w:jc w:val="center"/>
            </w:pPr>
            <w:r>
              <w:rPr>
                <w:sz w:val="18"/>
              </w:rPr>
              <w:t>1300</w:t>
            </w:r>
          </w:p>
        </w:tc>
        <w:tc>
          <w:tcPr>
            <w:tcW w:w="711" w:type="dxa"/>
            <w:tcBorders>
              <w:top w:val="single" w:sz="4" w:space="0" w:color="000000"/>
              <w:left w:val="single" w:sz="12" w:space="0" w:color="000000"/>
              <w:bottom w:val="single" w:sz="4" w:space="0" w:color="000000"/>
              <w:right w:val="single" w:sz="12" w:space="0" w:color="000000"/>
            </w:tcBorders>
          </w:tcPr>
          <w:p w14:paraId="5D265570" w14:textId="269B4F7D" w:rsidR="0094090C" w:rsidRDefault="0094090C" w:rsidP="0094090C">
            <w:pPr>
              <w:spacing w:after="0" w:line="259" w:lineRule="auto"/>
              <w:ind w:left="0" w:right="44" w:firstLine="0"/>
              <w:jc w:val="center"/>
            </w:pPr>
            <w:r>
              <w:rPr>
                <w:rFonts w:eastAsia="Segoe UI Symbol"/>
                <w:sz w:val="18"/>
              </w:rPr>
              <w:t>u</w:t>
            </w:r>
            <w:r>
              <w:rPr>
                <w:sz w:val="18"/>
              </w:rPr>
              <w:t>g/kg</w:t>
            </w:r>
          </w:p>
        </w:tc>
        <w:tc>
          <w:tcPr>
            <w:tcW w:w="647" w:type="dxa"/>
            <w:tcBorders>
              <w:top w:val="single" w:sz="4" w:space="0" w:color="000000"/>
              <w:left w:val="single" w:sz="12" w:space="0" w:color="000000"/>
              <w:bottom w:val="single" w:sz="4" w:space="0" w:color="000000"/>
              <w:right w:val="single" w:sz="12" w:space="0" w:color="000000"/>
            </w:tcBorders>
          </w:tcPr>
          <w:p w14:paraId="22A89FB4" w14:textId="77777777" w:rsidR="0094090C" w:rsidRDefault="0094090C" w:rsidP="0094090C">
            <w:pPr>
              <w:spacing w:after="0" w:line="259" w:lineRule="auto"/>
              <w:ind w:left="0" w:right="0" w:firstLine="0"/>
              <w:jc w:val="center"/>
            </w:pPr>
          </w:p>
        </w:tc>
        <w:tc>
          <w:tcPr>
            <w:tcW w:w="540" w:type="dxa"/>
            <w:tcBorders>
              <w:top w:val="single" w:sz="4" w:space="0" w:color="000000"/>
              <w:left w:val="single" w:sz="12" w:space="0" w:color="000000"/>
              <w:bottom w:val="single" w:sz="4" w:space="0" w:color="000000"/>
              <w:right w:val="single" w:sz="12" w:space="0" w:color="000000"/>
            </w:tcBorders>
          </w:tcPr>
          <w:p w14:paraId="3A037317" w14:textId="77777777" w:rsidR="0094090C" w:rsidRDefault="0094090C" w:rsidP="0094090C">
            <w:pPr>
              <w:spacing w:after="0" w:line="259" w:lineRule="auto"/>
              <w:ind w:left="0" w:right="1" w:firstLine="0"/>
              <w:jc w:val="center"/>
            </w:pPr>
          </w:p>
        </w:tc>
        <w:tc>
          <w:tcPr>
            <w:tcW w:w="540" w:type="dxa"/>
            <w:tcBorders>
              <w:top w:val="single" w:sz="4" w:space="0" w:color="000000"/>
              <w:left w:val="single" w:sz="12" w:space="0" w:color="000000"/>
              <w:bottom w:val="single" w:sz="4" w:space="0" w:color="000000"/>
              <w:right w:val="single" w:sz="12" w:space="0" w:color="000000"/>
            </w:tcBorders>
          </w:tcPr>
          <w:p w14:paraId="316303C3" w14:textId="77777777" w:rsidR="0094090C" w:rsidRDefault="0094090C" w:rsidP="0094090C">
            <w:pPr>
              <w:spacing w:after="0" w:line="259" w:lineRule="auto"/>
              <w:ind w:left="0" w:right="0" w:firstLine="0"/>
              <w:jc w:val="center"/>
            </w:pPr>
          </w:p>
        </w:tc>
        <w:tc>
          <w:tcPr>
            <w:tcW w:w="917" w:type="dxa"/>
            <w:tcBorders>
              <w:top w:val="single" w:sz="4" w:space="0" w:color="000000"/>
              <w:left w:val="single" w:sz="12" w:space="0" w:color="000000"/>
              <w:bottom w:val="single" w:sz="4" w:space="0" w:color="000000"/>
              <w:right w:val="single" w:sz="12" w:space="0" w:color="000000"/>
            </w:tcBorders>
          </w:tcPr>
          <w:p w14:paraId="3E94117A" w14:textId="2F45331F" w:rsidR="0094090C" w:rsidRDefault="0094090C" w:rsidP="0094090C">
            <w:pPr>
              <w:spacing w:after="0" w:line="259" w:lineRule="auto"/>
              <w:ind w:left="38" w:right="0" w:firstLine="0"/>
              <w:jc w:val="center"/>
            </w:pPr>
            <w:r>
              <w:rPr>
                <w:sz w:val="18"/>
              </w:rPr>
              <w:t>8141B</w:t>
            </w:r>
          </w:p>
        </w:tc>
        <w:tc>
          <w:tcPr>
            <w:tcW w:w="793" w:type="dxa"/>
            <w:tcBorders>
              <w:top w:val="single" w:sz="4" w:space="0" w:color="000000"/>
              <w:left w:val="single" w:sz="12" w:space="0" w:color="000000"/>
              <w:bottom w:val="single" w:sz="4" w:space="0" w:color="000000"/>
              <w:right w:val="single" w:sz="12" w:space="0" w:color="000000"/>
            </w:tcBorders>
          </w:tcPr>
          <w:p w14:paraId="516F53A7" w14:textId="77777777" w:rsidR="0094090C" w:rsidRDefault="0094090C" w:rsidP="0094090C">
            <w:pPr>
              <w:spacing w:after="0" w:line="259" w:lineRule="auto"/>
              <w:ind w:left="0" w:right="2" w:firstLine="0"/>
              <w:jc w:val="center"/>
            </w:pPr>
          </w:p>
        </w:tc>
      </w:tr>
      <w:tr w:rsidR="0094090C" w14:paraId="44A5EA8E" w14:textId="77777777" w:rsidTr="005B6604">
        <w:trPr>
          <w:trHeight w:val="230"/>
        </w:trPr>
        <w:tc>
          <w:tcPr>
            <w:tcW w:w="3165" w:type="dxa"/>
            <w:tcBorders>
              <w:top w:val="single" w:sz="4" w:space="0" w:color="000000"/>
              <w:left w:val="single" w:sz="12" w:space="0" w:color="000000"/>
              <w:bottom w:val="single" w:sz="4" w:space="0" w:color="000000"/>
              <w:right w:val="single" w:sz="12" w:space="0" w:color="000000"/>
            </w:tcBorders>
          </w:tcPr>
          <w:p w14:paraId="28C2CA82" w14:textId="0CC700E6" w:rsidR="0094090C" w:rsidRDefault="0094090C" w:rsidP="0094090C">
            <w:pPr>
              <w:spacing w:after="0" w:line="259" w:lineRule="auto"/>
              <w:ind w:left="0" w:right="0" w:firstLine="0"/>
            </w:pPr>
            <w:proofErr w:type="spellStart"/>
            <w:r>
              <w:rPr>
                <w:sz w:val="18"/>
              </w:rPr>
              <w:t>Bolstar</w:t>
            </w:r>
            <w:proofErr w:type="spellEnd"/>
            <w:r>
              <w:rPr>
                <w:sz w:val="18"/>
              </w:rPr>
              <w:t xml:space="preserve"> </w:t>
            </w:r>
            <w:r>
              <w:rPr>
                <w:i/>
                <w:sz w:val="18"/>
              </w:rPr>
              <w:t>(</w:t>
            </w:r>
            <w:proofErr w:type="spellStart"/>
            <w:r>
              <w:rPr>
                <w:i/>
                <w:sz w:val="18"/>
              </w:rPr>
              <w:t>Sulprofos</w:t>
            </w:r>
            <w:proofErr w:type="spellEnd"/>
            <w:r>
              <w:rPr>
                <w:i/>
                <w:sz w:val="18"/>
              </w:rPr>
              <w:t>)</w:t>
            </w:r>
            <w:r>
              <w:rPr>
                <w:sz w:val="18"/>
              </w:rPr>
              <w:t xml:space="preserve">  </w:t>
            </w:r>
          </w:p>
        </w:tc>
        <w:tc>
          <w:tcPr>
            <w:tcW w:w="1194" w:type="dxa"/>
            <w:tcBorders>
              <w:top w:val="single" w:sz="4" w:space="0" w:color="000000"/>
              <w:left w:val="single" w:sz="12" w:space="0" w:color="000000"/>
              <w:bottom w:val="single" w:sz="4" w:space="0" w:color="000000"/>
              <w:right w:val="single" w:sz="12" w:space="0" w:color="000000"/>
            </w:tcBorders>
          </w:tcPr>
          <w:p w14:paraId="53DF9B91" w14:textId="497A1E1B" w:rsidR="0094090C" w:rsidRDefault="0094090C" w:rsidP="0094090C">
            <w:pPr>
              <w:spacing w:after="0" w:line="259" w:lineRule="auto"/>
              <w:ind w:left="0" w:right="44" w:firstLine="0"/>
              <w:jc w:val="center"/>
            </w:pPr>
            <w:r>
              <w:rPr>
                <w:sz w:val="18"/>
              </w:rPr>
              <w:t>35400-43-2</w:t>
            </w:r>
          </w:p>
        </w:tc>
        <w:tc>
          <w:tcPr>
            <w:tcW w:w="588" w:type="dxa"/>
            <w:tcBorders>
              <w:top w:val="single" w:sz="4" w:space="0" w:color="000000"/>
              <w:left w:val="single" w:sz="12" w:space="0" w:color="000000"/>
              <w:bottom w:val="single" w:sz="4" w:space="0" w:color="000000"/>
              <w:right w:val="single" w:sz="12" w:space="0" w:color="000000"/>
            </w:tcBorders>
          </w:tcPr>
          <w:p w14:paraId="445FE84F" w14:textId="6CE1C9E2" w:rsidR="0094090C" w:rsidRDefault="0094090C" w:rsidP="0094090C">
            <w:pPr>
              <w:tabs>
                <w:tab w:val="right" w:pos="489"/>
              </w:tabs>
              <w:spacing w:after="0" w:line="259" w:lineRule="auto"/>
              <w:ind w:left="0" w:right="0" w:firstLine="0"/>
              <w:jc w:val="center"/>
            </w:pPr>
            <w:r>
              <w:rPr>
                <w:sz w:val="18"/>
              </w:rPr>
              <w:t>4</w:t>
            </w:r>
          </w:p>
        </w:tc>
        <w:tc>
          <w:tcPr>
            <w:tcW w:w="714" w:type="dxa"/>
            <w:tcBorders>
              <w:top w:val="single" w:sz="4" w:space="0" w:color="000000"/>
              <w:left w:val="single" w:sz="12" w:space="0" w:color="000000"/>
              <w:bottom w:val="single" w:sz="4" w:space="0" w:color="000000"/>
              <w:right w:val="single" w:sz="12" w:space="0" w:color="000000"/>
            </w:tcBorders>
          </w:tcPr>
          <w:p w14:paraId="2E600859" w14:textId="2D0AE3FB" w:rsidR="0094090C" w:rsidRDefault="0094090C" w:rsidP="0094090C">
            <w:pPr>
              <w:spacing w:after="0" w:line="259" w:lineRule="auto"/>
              <w:ind w:left="0" w:right="48" w:firstLine="0"/>
              <w:jc w:val="center"/>
            </w:pPr>
            <w:r>
              <w:rPr>
                <w:sz w:val="18"/>
              </w:rPr>
              <w:t>ug/L</w:t>
            </w:r>
          </w:p>
        </w:tc>
        <w:tc>
          <w:tcPr>
            <w:tcW w:w="811" w:type="dxa"/>
            <w:tcBorders>
              <w:top w:val="single" w:sz="4" w:space="0" w:color="000000"/>
              <w:left w:val="single" w:sz="12" w:space="0" w:color="000000"/>
              <w:bottom w:val="single" w:sz="4" w:space="0" w:color="000000"/>
              <w:right w:val="single" w:sz="12" w:space="0" w:color="000000"/>
            </w:tcBorders>
          </w:tcPr>
          <w:p w14:paraId="352D1C85" w14:textId="15D8D7D9" w:rsidR="0094090C" w:rsidRDefault="0094090C" w:rsidP="0094090C">
            <w:pPr>
              <w:tabs>
                <w:tab w:val="right" w:pos="713"/>
              </w:tabs>
              <w:spacing w:after="0" w:line="259" w:lineRule="auto"/>
              <w:ind w:left="0" w:right="0" w:firstLine="0"/>
              <w:jc w:val="center"/>
            </w:pPr>
            <w:r>
              <w:rPr>
                <w:sz w:val="18"/>
              </w:rPr>
              <w:t>300</w:t>
            </w:r>
          </w:p>
        </w:tc>
        <w:tc>
          <w:tcPr>
            <w:tcW w:w="711" w:type="dxa"/>
            <w:tcBorders>
              <w:top w:val="single" w:sz="4" w:space="0" w:color="000000"/>
              <w:left w:val="single" w:sz="12" w:space="0" w:color="000000"/>
              <w:bottom w:val="single" w:sz="4" w:space="0" w:color="000000"/>
              <w:right w:val="single" w:sz="12" w:space="0" w:color="000000"/>
            </w:tcBorders>
          </w:tcPr>
          <w:p w14:paraId="1EABDA28" w14:textId="3ADD5422" w:rsidR="0094090C" w:rsidRDefault="0094090C" w:rsidP="0094090C">
            <w:pPr>
              <w:spacing w:after="0" w:line="259" w:lineRule="auto"/>
              <w:ind w:left="0" w:right="44" w:firstLine="0"/>
              <w:jc w:val="center"/>
            </w:pPr>
            <w:r>
              <w:rPr>
                <w:rFonts w:eastAsia="Segoe UI Symbol"/>
                <w:sz w:val="18"/>
              </w:rPr>
              <w:t>u</w:t>
            </w:r>
            <w:r>
              <w:rPr>
                <w:sz w:val="18"/>
              </w:rPr>
              <w:t>g/kg</w:t>
            </w:r>
          </w:p>
        </w:tc>
        <w:tc>
          <w:tcPr>
            <w:tcW w:w="647" w:type="dxa"/>
            <w:tcBorders>
              <w:top w:val="single" w:sz="4" w:space="0" w:color="000000"/>
              <w:left w:val="single" w:sz="12" w:space="0" w:color="000000"/>
              <w:bottom w:val="single" w:sz="4" w:space="0" w:color="000000"/>
              <w:right w:val="single" w:sz="12" w:space="0" w:color="000000"/>
            </w:tcBorders>
          </w:tcPr>
          <w:p w14:paraId="41DD0114" w14:textId="77777777" w:rsidR="0094090C" w:rsidRDefault="0094090C" w:rsidP="0094090C">
            <w:pPr>
              <w:spacing w:after="0" w:line="259" w:lineRule="auto"/>
              <w:ind w:left="0" w:right="0" w:firstLine="0"/>
              <w:jc w:val="center"/>
            </w:pPr>
          </w:p>
        </w:tc>
        <w:tc>
          <w:tcPr>
            <w:tcW w:w="540" w:type="dxa"/>
            <w:tcBorders>
              <w:top w:val="single" w:sz="4" w:space="0" w:color="000000"/>
              <w:left w:val="single" w:sz="12" w:space="0" w:color="000000"/>
              <w:bottom w:val="single" w:sz="4" w:space="0" w:color="000000"/>
              <w:right w:val="single" w:sz="12" w:space="0" w:color="000000"/>
            </w:tcBorders>
          </w:tcPr>
          <w:p w14:paraId="567F4038" w14:textId="77777777" w:rsidR="0094090C" w:rsidRDefault="0094090C" w:rsidP="0094090C">
            <w:pPr>
              <w:spacing w:after="0" w:line="259" w:lineRule="auto"/>
              <w:ind w:left="0" w:right="1" w:firstLine="0"/>
              <w:jc w:val="center"/>
            </w:pPr>
          </w:p>
        </w:tc>
        <w:tc>
          <w:tcPr>
            <w:tcW w:w="540" w:type="dxa"/>
            <w:tcBorders>
              <w:top w:val="single" w:sz="4" w:space="0" w:color="000000"/>
              <w:left w:val="single" w:sz="12" w:space="0" w:color="000000"/>
              <w:bottom w:val="single" w:sz="4" w:space="0" w:color="000000"/>
              <w:right w:val="single" w:sz="12" w:space="0" w:color="000000"/>
            </w:tcBorders>
          </w:tcPr>
          <w:p w14:paraId="6ACF8A05" w14:textId="77777777" w:rsidR="0094090C" w:rsidRDefault="0094090C" w:rsidP="0094090C">
            <w:pPr>
              <w:spacing w:after="0" w:line="259" w:lineRule="auto"/>
              <w:ind w:left="0" w:right="0" w:firstLine="0"/>
              <w:jc w:val="center"/>
            </w:pPr>
          </w:p>
        </w:tc>
        <w:tc>
          <w:tcPr>
            <w:tcW w:w="917" w:type="dxa"/>
            <w:tcBorders>
              <w:top w:val="single" w:sz="4" w:space="0" w:color="000000"/>
              <w:left w:val="single" w:sz="12" w:space="0" w:color="000000"/>
              <w:bottom w:val="single" w:sz="4" w:space="0" w:color="000000"/>
              <w:right w:val="single" w:sz="12" w:space="0" w:color="000000"/>
            </w:tcBorders>
          </w:tcPr>
          <w:p w14:paraId="36EECE50" w14:textId="57F16DF3" w:rsidR="0094090C" w:rsidRDefault="0094090C" w:rsidP="0094090C">
            <w:pPr>
              <w:spacing w:after="0" w:line="259" w:lineRule="auto"/>
              <w:ind w:left="38" w:right="0" w:firstLine="0"/>
              <w:jc w:val="center"/>
            </w:pPr>
            <w:r>
              <w:rPr>
                <w:sz w:val="18"/>
              </w:rPr>
              <w:t>8141B</w:t>
            </w:r>
          </w:p>
        </w:tc>
        <w:tc>
          <w:tcPr>
            <w:tcW w:w="793" w:type="dxa"/>
            <w:tcBorders>
              <w:top w:val="single" w:sz="4" w:space="0" w:color="000000"/>
              <w:left w:val="single" w:sz="12" w:space="0" w:color="000000"/>
              <w:bottom w:val="single" w:sz="4" w:space="0" w:color="000000"/>
              <w:right w:val="single" w:sz="12" w:space="0" w:color="000000"/>
            </w:tcBorders>
          </w:tcPr>
          <w:p w14:paraId="026DAD81" w14:textId="77777777" w:rsidR="0094090C" w:rsidRDefault="0094090C" w:rsidP="0094090C">
            <w:pPr>
              <w:spacing w:after="0" w:line="259" w:lineRule="auto"/>
              <w:ind w:left="0" w:right="2" w:firstLine="0"/>
              <w:jc w:val="center"/>
            </w:pPr>
          </w:p>
        </w:tc>
      </w:tr>
      <w:tr w:rsidR="0094090C" w14:paraId="546D8C10" w14:textId="77777777" w:rsidTr="005B6604">
        <w:trPr>
          <w:trHeight w:val="250"/>
        </w:trPr>
        <w:tc>
          <w:tcPr>
            <w:tcW w:w="3165" w:type="dxa"/>
            <w:tcBorders>
              <w:top w:val="single" w:sz="4" w:space="0" w:color="000000"/>
              <w:left w:val="single" w:sz="12" w:space="0" w:color="000000"/>
              <w:bottom w:val="single" w:sz="4" w:space="0" w:color="000000"/>
              <w:right w:val="single" w:sz="12" w:space="0" w:color="000000"/>
            </w:tcBorders>
          </w:tcPr>
          <w:p w14:paraId="2C242860" w14:textId="6413D5B2" w:rsidR="0094090C" w:rsidRDefault="0094090C" w:rsidP="0094090C">
            <w:pPr>
              <w:spacing w:after="0" w:line="259" w:lineRule="auto"/>
              <w:ind w:left="0" w:right="0" w:firstLine="0"/>
            </w:pPr>
            <w:r>
              <w:rPr>
                <w:sz w:val="18"/>
              </w:rPr>
              <w:t xml:space="preserve">Carbophenothion </w:t>
            </w:r>
          </w:p>
        </w:tc>
        <w:tc>
          <w:tcPr>
            <w:tcW w:w="1194" w:type="dxa"/>
            <w:tcBorders>
              <w:top w:val="single" w:sz="4" w:space="0" w:color="000000"/>
              <w:left w:val="single" w:sz="12" w:space="0" w:color="000000"/>
              <w:bottom w:val="single" w:sz="4" w:space="0" w:color="000000"/>
              <w:right w:val="single" w:sz="12" w:space="0" w:color="000000"/>
            </w:tcBorders>
          </w:tcPr>
          <w:p w14:paraId="022DACBE" w14:textId="67FA065F" w:rsidR="0094090C" w:rsidRDefault="0094090C" w:rsidP="0094090C">
            <w:pPr>
              <w:spacing w:after="0" w:line="259" w:lineRule="auto"/>
              <w:ind w:left="0" w:right="44" w:firstLine="0"/>
              <w:jc w:val="center"/>
            </w:pPr>
            <w:r>
              <w:rPr>
                <w:sz w:val="18"/>
              </w:rPr>
              <w:t>786-19-6</w:t>
            </w:r>
          </w:p>
        </w:tc>
        <w:tc>
          <w:tcPr>
            <w:tcW w:w="588" w:type="dxa"/>
            <w:tcBorders>
              <w:top w:val="single" w:sz="4" w:space="0" w:color="000000"/>
              <w:left w:val="single" w:sz="12" w:space="0" w:color="000000"/>
              <w:bottom w:val="single" w:sz="4" w:space="0" w:color="000000"/>
              <w:right w:val="single" w:sz="12" w:space="0" w:color="000000"/>
            </w:tcBorders>
          </w:tcPr>
          <w:p w14:paraId="2D489B8A" w14:textId="7DD35C40" w:rsidR="0094090C" w:rsidRDefault="0094090C" w:rsidP="0094090C">
            <w:pPr>
              <w:tabs>
                <w:tab w:val="right" w:pos="489"/>
              </w:tabs>
              <w:spacing w:after="0" w:line="259" w:lineRule="auto"/>
              <w:ind w:left="0" w:right="0" w:firstLine="0"/>
              <w:jc w:val="center"/>
            </w:pPr>
            <w:r>
              <w:rPr>
                <w:sz w:val="18"/>
              </w:rPr>
              <w:t>20</w:t>
            </w:r>
          </w:p>
        </w:tc>
        <w:tc>
          <w:tcPr>
            <w:tcW w:w="714" w:type="dxa"/>
            <w:tcBorders>
              <w:top w:val="single" w:sz="4" w:space="0" w:color="000000"/>
              <w:left w:val="single" w:sz="12" w:space="0" w:color="000000"/>
              <w:bottom w:val="single" w:sz="4" w:space="0" w:color="000000"/>
              <w:right w:val="single" w:sz="12" w:space="0" w:color="000000"/>
            </w:tcBorders>
          </w:tcPr>
          <w:p w14:paraId="5583BE8C" w14:textId="3086F91D" w:rsidR="0094090C" w:rsidRDefault="0094090C" w:rsidP="0094090C">
            <w:pPr>
              <w:spacing w:after="0" w:line="259" w:lineRule="auto"/>
              <w:ind w:left="0" w:right="48" w:firstLine="0"/>
              <w:jc w:val="center"/>
            </w:pPr>
            <w:r>
              <w:rPr>
                <w:sz w:val="18"/>
              </w:rPr>
              <w:t>ug/L</w:t>
            </w:r>
          </w:p>
        </w:tc>
        <w:tc>
          <w:tcPr>
            <w:tcW w:w="811" w:type="dxa"/>
            <w:tcBorders>
              <w:top w:val="single" w:sz="4" w:space="0" w:color="000000"/>
              <w:left w:val="single" w:sz="12" w:space="0" w:color="000000"/>
              <w:bottom w:val="single" w:sz="4" w:space="0" w:color="000000"/>
              <w:right w:val="single" w:sz="12" w:space="0" w:color="000000"/>
            </w:tcBorders>
          </w:tcPr>
          <w:p w14:paraId="3A31E14B" w14:textId="450F9CBC" w:rsidR="0094090C" w:rsidRDefault="0094090C" w:rsidP="0094090C">
            <w:pPr>
              <w:tabs>
                <w:tab w:val="right" w:pos="713"/>
              </w:tabs>
              <w:spacing w:after="0" w:line="259" w:lineRule="auto"/>
              <w:ind w:left="0" w:right="0" w:firstLine="0"/>
              <w:jc w:val="center"/>
            </w:pPr>
            <w:r>
              <w:rPr>
                <w:sz w:val="18"/>
              </w:rPr>
              <w:t>1300</w:t>
            </w:r>
          </w:p>
        </w:tc>
        <w:tc>
          <w:tcPr>
            <w:tcW w:w="711" w:type="dxa"/>
            <w:tcBorders>
              <w:top w:val="single" w:sz="4" w:space="0" w:color="000000"/>
              <w:left w:val="single" w:sz="12" w:space="0" w:color="000000"/>
              <w:bottom w:val="single" w:sz="4" w:space="0" w:color="000000"/>
              <w:right w:val="single" w:sz="12" w:space="0" w:color="000000"/>
            </w:tcBorders>
          </w:tcPr>
          <w:p w14:paraId="269CCB52" w14:textId="02FCB1EA" w:rsidR="0094090C" w:rsidRDefault="0094090C" w:rsidP="0094090C">
            <w:pPr>
              <w:spacing w:after="0" w:line="259" w:lineRule="auto"/>
              <w:ind w:left="0" w:right="44" w:firstLine="0"/>
              <w:jc w:val="center"/>
            </w:pPr>
            <w:r>
              <w:rPr>
                <w:rFonts w:eastAsia="Segoe UI Symbol"/>
                <w:sz w:val="18"/>
              </w:rPr>
              <w:t>u</w:t>
            </w:r>
            <w:r>
              <w:rPr>
                <w:sz w:val="18"/>
              </w:rPr>
              <w:t>g/kg</w:t>
            </w:r>
          </w:p>
        </w:tc>
        <w:tc>
          <w:tcPr>
            <w:tcW w:w="647" w:type="dxa"/>
            <w:tcBorders>
              <w:top w:val="single" w:sz="4" w:space="0" w:color="000000"/>
              <w:left w:val="single" w:sz="12" w:space="0" w:color="000000"/>
              <w:bottom w:val="single" w:sz="4" w:space="0" w:color="000000"/>
              <w:right w:val="single" w:sz="12" w:space="0" w:color="000000"/>
            </w:tcBorders>
          </w:tcPr>
          <w:p w14:paraId="6830D0CB" w14:textId="77777777" w:rsidR="0094090C" w:rsidRDefault="0094090C" w:rsidP="0094090C">
            <w:pPr>
              <w:spacing w:after="0" w:line="259" w:lineRule="auto"/>
              <w:ind w:left="0" w:right="0" w:firstLine="0"/>
              <w:jc w:val="center"/>
            </w:pPr>
          </w:p>
        </w:tc>
        <w:tc>
          <w:tcPr>
            <w:tcW w:w="540" w:type="dxa"/>
            <w:tcBorders>
              <w:top w:val="single" w:sz="4" w:space="0" w:color="000000"/>
              <w:left w:val="single" w:sz="12" w:space="0" w:color="000000"/>
              <w:bottom w:val="single" w:sz="4" w:space="0" w:color="000000"/>
              <w:right w:val="single" w:sz="12" w:space="0" w:color="000000"/>
            </w:tcBorders>
          </w:tcPr>
          <w:p w14:paraId="33C6EAF1" w14:textId="77777777" w:rsidR="0094090C" w:rsidRDefault="0094090C" w:rsidP="0094090C">
            <w:pPr>
              <w:spacing w:after="0" w:line="259" w:lineRule="auto"/>
              <w:ind w:left="0" w:right="1" w:firstLine="0"/>
              <w:jc w:val="center"/>
            </w:pPr>
          </w:p>
        </w:tc>
        <w:tc>
          <w:tcPr>
            <w:tcW w:w="540" w:type="dxa"/>
            <w:tcBorders>
              <w:top w:val="single" w:sz="4" w:space="0" w:color="000000"/>
              <w:left w:val="single" w:sz="12" w:space="0" w:color="000000"/>
              <w:bottom w:val="single" w:sz="4" w:space="0" w:color="000000"/>
              <w:right w:val="single" w:sz="12" w:space="0" w:color="000000"/>
            </w:tcBorders>
          </w:tcPr>
          <w:p w14:paraId="712FE84E" w14:textId="77777777" w:rsidR="0094090C" w:rsidRDefault="0094090C" w:rsidP="0094090C">
            <w:pPr>
              <w:spacing w:after="0" w:line="259" w:lineRule="auto"/>
              <w:ind w:left="0" w:right="0" w:firstLine="0"/>
              <w:jc w:val="center"/>
            </w:pPr>
          </w:p>
        </w:tc>
        <w:tc>
          <w:tcPr>
            <w:tcW w:w="917" w:type="dxa"/>
            <w:tcBorders>
              <w:top w:val="single" w:sz="4" w:space="0" w:color="000000"/>
              <w:left w:val="single" w:sz="12" w:space="0" w:color="000000"/>
              <w:bottom w:val="single" w:sz="4" w:space="0" w:color="000000"/>
              <w:right w:val="single" w:sz="12" w:space="0" w:color="000000"/>
            </w:tcBorders>
          </w:tcPr>
          <w:p w14:paraId="55EFE07C" w14:textId="33421AC7" w:rsidR="0094090C" w:rsidRDefault="0094090C" w:rsidP="0094090C">
            <w:pPr>
              <w:spacing w:after="0" w:line="259" w:lineRule="auto"/>
              <w:ind w:left="38" w:right="0" w:firstLine="0"/>
              <w:jc w:val="center"/>
            </w:pPr>
            <w:r>
              <w:rPr>
                <w:sz w:val="18"/>
              </w:rPr>
              <w:t>8141B</w:t>
            </w:r>
          </w:p>
        </w:tc>
        <w:tc>
          <w:tcPr>
            <w:tcW w:w="793" w:type="dxa"/>
            <w:tcBorders>
              <w:top w:val="single" w:sz="4" w:space="0" w:color="000000"/>
              <w:left w:val="single" w:sz="12" w:space="0" w:color="000000"/>
              <w:bottom w:val="single" w:sz="4" w:space="0" w:color="000000"/>
              <w:right w:val="single" w:sz="12" w:space="0" w:color="000000"/>
            </w:tcBorders>
          </w:tcPr>
          <w:p w14:paraId="6E83E177" w14:textId="0A0A03B0" w:rsidR="0094090C" w:rsidRDefault="0094090C" w:rsidP="0094090C">
            <w:pPr>
              <w:spacing w:after="0" w:line="259" w:lineRule="auto"/>
              <w:ind w:left="0" w:right="2" w:firstLine="0"/>
              <w:jc w:val="center"/>
            </w:pPr>
            <w:r>
              <w:rPr>
                <w:sz w:val="18"/>
              </w:rPr>
              <w:t>8270D</w:t>
            </w:r>
          </w:p>
        </w:tc>
      </w:tr>
      <w:tr w:rsidR="0094090C" w14:paraId="5D48F498" w14:textId="77777777" w:rsidTr="005B6604">
        <w:trPr>
          <w:trHeight w:val="250"/>
        </w:trPr>
        <w:tc>
          <w:tcPr>
            <w:tcW w:w="3165" w:type="dxa"/>
            <w:tcBorders>
              <w:top w:val="single" w:sz="4" w:space="0" w:color="000000"/>
              <w:left w:val="single" w:sz="12" w:space="0" w:color="000000"/>
              <w:bottom w:val="single" w:sz="4" w:space="0" w:color="000000"/>
              <w:right w:val="single" w:sz="12" w:space="0" w:color="000000"/>
            </w:tcBorders>
          </w:tcPr>
          <w:p w14:paraId="09A32924" w14:textId="3D3C34AE" w:rsidR="0094090C" w:rsidRDefault="0094090C" w:rsidP="0094090C">
            <w:pPr>
              <w:spacing w:after="0" w:line="259" w:lineRule="auto"/>
              <w:ind w:left="0" w:right="0" w:firstLine="0"/>
            </w:pPr>
            <w:proofErr w:type="spellStart"/>
            <w:r>
              <w:rPr>
                <w:sz w:val="18"/>
              </w:rPr>
              <w:t>Chlorfenvinphos</w:t>
            </w:r>
            <w:proofErr w:type="spellEnd"/>
            <w:r>
              <w:rPr>
                <w:sz w:val="18"/>
              </w:rPr>
              <w:t xml:space="preserve"> </w:t>
            </w:r>
          </w:p>
        </w:tc>
        <w:tc>
          <w:tcPr>
            <w:tcW w:w="1194" w:type="dxa"/>
            <w:tcBorders>
              <w:top w:val="single" w:sz="4" w:space="0" w:color="000000"/>
              <w:left w:val="single" w:sz="12" w:space="0" w:color="000000"/>
              <w:bottom w:val="single" w:sz="4" w:space="0" w:color="000000"/>
              <w:right w:val="single" w:sz="12" w:space="0" w:color="000000"/>
            </w:tcBorders>
          </w:tcPr>
          <w:p w14:paraId="536E100F" w14:textId="49BDC476" w:rsidR="0094090C" w:rsidRDefault="0094090C" w:rsidP="0094090C">
            <w:pPr>
              <w:spacing w:after="0" w:line="259" w:lineRule="auto"/>
              <w:ind w:left="0" w:right="44" w:firstLine="0"/>
              <w:jc w:val="center"/>
            </w:pPr>
            <w:r>
              <w:rPr>
                <w:sz w:val="18"/>
              </w:rPr>
              <w:t>470-90-6</w:t>
            </w:r>
          </w:p>
        </w:tc>
        <w:tc>
          <w:tcPr>
            <w:tcW w:w="588" w:type="dxa"/>
            <w:tcBorders>
              <w:top w:val="single" w:sz="4" w:space="0" w:color="000000"/>
              <w:left w:val="single" w:sz="12" w:space="0" w:color="000000"/>
              <w:bottom w:val="single" w:sz="4" w:space="0" w:color="000000"/>
              <w:right w:val="single" w:sz="12" w:space="0" w:color="000000"/>
            </w:tcBorders>
          </w:tcPr>
          <w:p w14:paraId="406B0251" w14:textId="1026C720" w:rsidR="0094090C" w:rsidRDefault="0094090C" w:rsidP="0094090C">
            <w:pPr>
              <w:spacing w:after="0" w:line="259" w:lineRule="auto"/>
              <w:ind w:left="0" w:right="0" w:firstLine="0"/>
              <w:jc w:val="center"/>
            </w:pPr>
            <w:r>
              <w:rPr>
                <w:sz w:val="18"/>
              </w:rPr>
              <w:t>20</w:t>
            </w:r>
          </w:p>
        </w:tc>
        <w:tc>
          <w:tcPr>
            <w:tcW w:w="714" w:type="dxa"/>
            <w:tcBorders>
              <w:top w:val="single" w:sz="4" w:space="0" w:color="000000"/>
              <w:left w:val="single" w:sz="12" w:space="0" w:color="000000"/>
              <w:bottom w:val="single" w:sz="4" w:space="0" w:color="000000"/>
              <w:right w:val="single" w:sz="12" w:space="0" w:color="000000"/>
            </w:tcBorders>
          </w:tcPr>
          <w:p w14:paraId="6444A25C" w14:textId="3AB1CB73" w:rsidR="0094090C" w:rsidRDefault="0094090C" w:rsidP="0094090C">
            <w:pPr>
              <w:spacing w:after="0" w:line="259" w:lineRule="auto"/>
              <w:ind w:left="0" w:right="48" w:firstLine="0"/>
              <w:jc w:val="center"/>
            </w:pPr>
            <w:r>
              <w:rPr>
                <w:sz w:val="18"/>
              </w:rPr>
              <w:t>ug/L</w:t>
            </w:r>
          </w:p>
        </w:tc>
        <w:tc>
          <w:tcPr>
            <w:tcW w:w="811" w:type="dxa"/>
            <w:tcBorders>
              <w:top w:val="single" w:sz="4" w:space="0" w:color="000000"/>
              <w:left w:val="single" w:sz="12" w:space="0" w:color="000000"/>
              <w:bottom w:val="single" w:sz="4" w:space="0" w:color="000000"/>
              <w:right w:val="single" w:sz="12" w:space="0" w:color="000000"/>
            </w:tcBorders>
          </w:tcPr>
          <w:p w14:paraId="38158175" w14:textId="51D6D6CA" w:rsidR="0094090C" w:rsidRDefault="0094090C" w:rsidP="0094090C">
            <w:pPr>
              <w:tabs>
                <w:tab w:val="right" w:pos="713"/>
              </w:tabs>
              <w:spacing w:after="0" w:line="259" w:lineRule="auto"/>
              <w:ind w:left="0" w:right="0" w:firstLine="0"/>
              <w:jc w:val="center"/>
            </w:pPr>
            <w:r>
              <w:rPr>
                <w:sz w:val="18"/>
              </w:rPr>
              <w:t>1300</w:t>
            </w:r>
          </w:p>
        </w:tc>
        <w:tc>
          <w:tcPr>
            <w:tcW w:w="711" w:type="dxa"/>
            <w:tcBorders>
              <w:top w:val="single" w:sz="4" w:space="0" w:color="000000"/>
              <w:left w:val="single" w:sz="12" w:space="0" w:color="000000"/>
              <w:bottom w:val="single" w:sz="4" w:space="0" w:color="000000"/>
              <w:right w:val="single" w:sz="12" w:space="0" w:color="000000"/>
            </w:tcBorders>
          </w:tcPr>
          <w:p w14:paraId="2C143DC5" w14:textId="39FADF52" w:rsidR="0094090C" w:rsidRDefault="0094090C" w:rsidP="0094090C">
            <w:pPr>
              <w:spacing w:after="0" w:line="259" w:lineRule="auto"/>
              <w:ind w:left="0" w:right="44" w:firstLine="0"/>
              <w:jc w:val="center"/>
            </w:pPr>
            <w:r>
              <w:rPr>
                <w:rFonts w:eastAsia="Segoe UI Symbol"/>
                <w:sz w:val="18"/>
              </w:rPr>
              <w:t>u</w:t>
            </w:r>
            <w:r>
              <w:rPr>
                <w:sz w:val="18"/>
              </w:rPr>
              <w:t>g/kg</w:t>
            </w:r>
          </w:p>
        </w:tc>
        <w:tc>
          <w:tcPr>
            <w:tcW w:w="647" w:type="dxa"/>
            <w:tcBorders>
              <w:top w:val="single" w:sz="4" w:space="0" w:color="000000"/>
              <w:left w:val="single" w:sz="12" w:space="0" w:color="000000"/>
              <w:bottom w:val="single" w:sz="4" w:space="0" w:color="000000"/>
              <w:right w:val="single" w:sz="12" w:space="0" w:color="000000"/>
            </w:tcBorders>
          </w:tcPr>
          <w:p w14:paraId="1F92875C" w14:textId="77777777" w:rsidR="0094090C" w:rsidRDefault="0094090C" w:rsidP="0094090C">
            <w:pPr>
              <w:spacing w:after="0" w:line="259" w:lineRule="auto"/>
              <w:ind w:left="0" w:right="0" w:firstLine="0"/>
              <w:jc w:val="center"/>
            </w:pPr>
          </w:p>
        </w:tc>
        <w:tc>
          <w:tcPr>
            <w:tcW w:w="540" w:type="dxa"/>
            <w:tcBorders>
              <w:top w:val="single" w:sz="4" w:space="0" w:color="000000"/>
              <w:left w:val="single" w:sz="12" w:space="0" w:color="000000"/>
              <w:bottom w:val="single" w:sz="4" w:space="0" w:color="000000"/>
              <w:right w:val="single" w:sz="12" w:space="0" w:color="000000"/>
            </w:tcBorders>
          </w:tcPr>
          <w:p w14:paraId="535F9143" w14:textId="77777777" w:rsidR="0094090C" w:rsidRDefault="0094090C" w:rsidP="0094090C">
            <w:pPr>
              <w:spacing w:after="0" w:line="259" w:lineRule="auto"/>
              <w:ind w:left="0" w:right="1" w:firstLine="0"/>
              <w:jc w:val="center"/>
            </w:pPr>
          </w:p>
        </w:tc>
        <w:tc>
          <w:tcPr>
            <w:tcW w:w="540" w:type="dxa"/>
            <w:tcBorders>
              <w:top w:val="single" w:sz="4" w:space="0" w:color="000000"/>
              <w:left w:val="single" w:sz="12" w:space="0" w:color="000000"/>
              <w:bottom w:val="single" w:sz="4" w:space="0" w:color="000000"/>
              <w:right w:val="single" w:sz="12" w:space="0" w:color="000000"/>
            </w:tcBorders>
          </w:tcPr>
          <w:p w14:paraId="1454A410" w14:textId="77777777" w:rsidR="0094090C" w:rsidRDefault="0094090C" w:rsidP="0094090C">
            <w:pPr>
              <w:spacing w:after="0" w:line="259" w:lineRule="auto"/>
              <w:ind w:left="0" w:right="0" w:firstLine="0"/>
              <w:jc w:val="center"/>
            </w:pPr>
          </w:p>
        </w:tc>
        <w:tc>
          <w:tcPr>
            <w:tcW w:w="917" w:type="dxa"/>
            <w:tcBorders>
              <w:top w:val="single" w:sz="4" w:space="0" w:color="000000"/>
              <w:left w:val="single" w:sz="12" w:space="0" w:color="000000"/>
              <w:bottom w:val="single" w:sz="4" w:space="0" w:color="000000"/>
              <w:right w:val="single" w:sz="12" w:space="0" w:color="000000"/>
            </w:tcBorders>
          </w:tcPr>
          <w:p w14:paraId="0E26C2CC" w14:textId="685621C1" w:rsidR="0094090C" w:rsidRDefault="0094090C" w:rsidP="0094090C">
            <w:pPr>
              <w:spacing w:after="0" w:line="259" w:lineRule="auto"/>
              <w:ind w:left="38" w:right="0" w:firstLine="0"/>
              <w:jc w:val="center"/>
            </w:pPr>
            <w:r>
              <w:rPr>
                <w:sz w:val="18"/>
              </w:rPr>
              <w:t>8141B</w:t>
            </w:r>
          </w:p>
        </w:tc>
        <w:tc>
          <w:tcPr>
            <w:tcW w:w="793" w:type="dxa"/>
            <w:tcBorders>
              <w:top w:val="single" w:sz="4" w:space="0" w:color="000000"/>
              <w:left w:val="single" w:sz="12" w:space="0" w:color="000000"/>
              <w:bottom w:val="single" w:sz="4" w:space="0" w:color="000000"/>
              <w:right w:val="single" w:sz="12" w:space="0" w:color="000000"/>
            </w:tcBorders>
          </w:tcPr>
          <w:p w14:paraId="000BBC71" w14:textId="4B59E891" w:rsidR="0094090C" w:rsidRDefault="0094090C" w:rsidP="0094090C">
            <w:pPr>
              <w:spacing w:after="0" w:line="259" w:lineRule="auto"/>
              <w:ind w:left="0" w:right="2" w:firstLine="0"/>
              <w:jc w:val="center"/>
            </w:pPr>
            <w:r>
              <w:rPr>
                <w:sz w:val="18"/>
              </w:rPr>
              <w:t>8270D</w:t>
            </w:r>
          </w:p>
        </w:tc>
      </w:tr>
      <w:tr w:rsidR="0094090C" w14:paraId="48A093DB" w14:textId="77777777" w:rsidTr="005B6604">
        <w:trPr>
          <w:trHeight w:val="252"/>
        </w:trPr>
        <w:tc>
          <w:tcPr>
            <w:tcW w:w="3165" w:type="dxa"/>
            <w:tcBorders>
              <w:top w:val="single" w:sz="4" w:space="0" w:color="000000"/>
              <w:left w:val="single" w:sz="12" w:space="0" w:color="000000"/>
              <w:bottom w:val="single" w:sz="4" w:space="0" w:color="000000"/>
              <w:right w:val="single" w:sz="12" w:space="0" w:color="000000"/>
            </w:tcBorders>
          </w:tcPr>
          <w:p w14:paraId="52DC583D" w14:textId="533BDB64" w:rsidR="0094090C" w:rsidRDefault="0094090C" w:rsidP="0094090C">
            <w:pPr>
              <w:spacing w:after="0" w:line="259" w:lineRule="auto"/>
              <w:ind w:left="0" w:right="0" w:firstLine="0"/>
            </w:pPr>
            <w:r>
              <w:rPr>
                <w:sz w:val="18"/>
              </w:rPr>
              <w:t>Chlorpyrifos (</w:t>
            </w:r>
            <w:proofErr w:type="spellStart"/>
            <w:r>
              <w:rPr>
                <w:i/>
                <w:sz w:val="18"/>
              </w:rPr>
              <w:t>Dursban</w:t>
            </w:r>
            <w:proofErr w:type="spellEnd"/>
            <w:r>
              <w:rPr>
                <w:i/>
                <w:sz w:val="18"/>
              </w:rPr>
              <w:t xml:space="preserve">) </w:t>
            </w:r>
          </w:p>
        </w:tc>
        <w:tc>
          <w:tcPr>
            <w:tcW w:w="1194" w:type="dxa"/>
            <w:tcBorders>
              <w:top w:val="single" w:sz="4" w:space="0" w:color="000000"/>
              <w:left w:val="single" w:sz="12" w:space="0" w:color="000000"/>
              <w:bottom w:val="single" w:sz="4" w:space="0" w:color="000000"/>
              <w:right w:val="single" w:sz="12" w:space="0" w:color="000000"/>
            </w:tcBorders>
          </w:tcPr>
          <w:p w14:paraId="6A320EA6" w14:textId="3A5C6791" w:rsidR="0094090C" w:rsidRDefault="0094090C" w:rsidP="0094090C">
            <w:pPr>
              <w:spacing w:after="0" w:line="259" w:lineRule="auto"/>
              <w:ind w:left="0" w:right="44" w:firstLine="0"/>
              <w:jc w:val="center"/>
            </w:pPr>
            <w:r>
              <w:rPr>
                <w:sz w:val="18"/>
              </w:rPr>
              <w:t>2921-88-2</w:t>
            </w:r>
          </w:p>
        </w:tc>
        <w:tc>
          <w:tcPr>
            <w:tcW w:w="588" w:type="dxa"/>
            <w:tcBorders>
              <w:top w:val="single" w:sz="4" w:space="0" w:color="000000"/>
              <w:left w:val="single" w:sz="12" w:space="0" w:color="000000"/>
              <w:bottom w:val="single" w:sz="4" w:space="0" w:color="000000"/>
              <w:right w:val="single" w:sz="12" w:space="0" w:color="000000"/>
            </w:tcBorders>
          </w:tcPr>
          <w:p w14:paraId="1D68E520" w14:textId="05FDF029" w:rsidR="0094090C" w:rsidRDefault="0094090C" w:rsidP="0094090C">
            <w:pPr>
              <w:spacing w:after="0" w:line="259" w:lineRule="auto"/>
              <w:ind w:left="0" w:right="0" w:firstLine="0"/>
              <w:jc w:val="center"/>
            </w:pPr>
            <w:r>
              <w:rPr>
                <w:sz w:val="18"/>
              </w:rPr>
              <w:t>10</w:t>
            </w:r>
          </w:p>
        </w:tc>
        <w:tc>
          <w:tcPr>
            <w:tcW w:w="714" w:type="dxa"/>
            <w:tcBorders>
              <w:top w:val="single" w:sz="4" w:space="0" w:color="000000"/>
              <w:left w:val="single" w:sz="12" w:space="0" w:color="000000"/>
              <w:bottom w:val="single" w:sz="4" w:space="0" w:color="000000"/>
              <w:right w:val="single" w:sz="12" w:space="0" w:color="000000"/>
            </w:tcBorders>
          </w:tcPr>
          <w:p w14:paraId="5C2AC8E7" w14:textId="79F2F722" w:rsidR="0094090C" w:rsidRDefault="0094090C" w:rsidP="0094090C">
            <w:pPr>
              <w:spacing w:after="0" w:line="259" w:lineRule="auto"/>
              <w:ind w:left="0" w:right="48" w:firstLine="0"/>
              <w:jc w:val="center"/>
            </w:pPr>
            <w:r>
              <w:rPr>
                <w:sz w:val="18"/>
              </w:rPr>
              <w:t>ug/L</w:t>
            </w:r>
          </w:p>
        </w:tc>
        <w:tc>
          <w:tcPr>
            <w:tcW w:w="811" w:type="dxa"/>
            <w:tcBorders>
              <w:top w:val="single" w:sz="4" w:space="0" w:color="000000"/>
              <w:left w:val="single" w:sz="12" w:space="0" w:color="000000"/>
              <w:bottom w:val="single" w:sz="4" w:space="0" w:color="000000"/>
              <w:right w:val="single" w:sz="12" w:space="0" w:color="000000"/>
            </w:tcBorders>
          </w:tcPr>
          <w:p w14:paraId="706A1C4F" w14:textId="78FFD3ED" w:rsidR="0094090C" w:rsidRDefault="0094090C" w:rsidP="0094090C">
            <w:pPr>
              <w:spacing w:after="0" w:line="259" w:lineRule="auto"/>
              <w:ind w:left="0" w:right="0" w:firstLine="0"/>
              <w:jc w:val="center"/>
            </w:pPr>
            <w:r>
              <w:rPr>
                <w:sz w:val="18"/>
              </w:rPr>
              <w:t>660</w:t>
            </w:r>
          </w:p>
        </w:tc>
        <w:tc>
          <w:tcPr>
            <w:tcW w:w="711" w:type="dxa"/>
            <w:tcBorders>
              <w:top w:val="single" w:sz="4" w:space="0" w:color="000000"/>
              <w:left w:val="single" w:sz="12" w:space="0" w:color="000000"/>
              <w:bottom w:val="single" w:sz="4" w:space="0" w:color="000000"/>
              <w:right w:val="single" w:sz="12" w:space="0" w:color="000000"/>
            </w:tcBorders>
          </w:tcPr>
          <w:p w14:paraId="31CCED19" w14:textId="09721F9D" w:rsidR="0094090C" w:rsidRDefault="0094090C" w:rsidP="0094090C">
            <w:pPr>
              <w:spacing w:after="0" w:line="259" w:lineRule="auto"/>
              <w:ind w:left="0" w:right="44" w:firstLine="0"/>
              <w:jc w:val="center"/>
            </w:pPr>
            <w:r>
              <w:rPr>
                <w:rFonts w:eastAsia="Segoe UI Symbol"/>
                <w:sz w:val="18"/>
              </w:rPr>
              <w:t>u</w:t>
            </w:r>
            <w:r>
              <w:rPr>
                <w:sz w:val="18"/>
              </w:rPr>
              <w:t>g/kg</w:t>
            </w:r>
          </w:p>
        </w:tc>
        <w:tc>
          <w:tcPr>
            <w:tcW w:w="647" w:type="dxa"/>
            <w:tcBorders>
              <w:top w:val="single" w:sz="4" w:space="0" w:color="000000"/>
              <w:left w:val="single" w:sz="12" w:space="0" w:color="000000"/>
              <w:bottom w:val="single" w:sz="4" w:space="0" w:color="000000"/>
              <w:right w:val="single" w:sz="12" w:space="0" w:color="000000"/>
            </w:tcBorders>
          </w:tcPr>
          <w:p w14:paraId="1DB0AF3A" w14:textId="77777777" w:rsidR="0094090C" w:rsidRDefault="0094090C" w:rsidP="0094090C">
            <w:pPr>
              <w:spacing w:after="0" w:line="259" w:lineRule="auto"/>
              <w:ind w:left="0" w:right="0" w:firstLine="0"/>
              <w:jc w:val="center"/>
            </w:pPr>
          </w:p>
        </w:tc>
        <w:tc>
          <w:tcPr>
            <w:tcW w:w="540" w:type="dxa"/>
            <w:tcBorders>
              <w:top w:val="single" w:sz="4" w:space="0" w:color="000000"/>
              <w:left w:val="single" w:sz="12" w:space="0" w:color="000000"/>
              <w:bottom w:val="single" w:sz="4" w:space="0" w:color="000000"/>
              <w:right w:val="single" w:sz="12" w:space="0" w:color="000000"/>
            </w:tcBorders>
          </w:tcPr>
          <w:p w14:paraId="1E3F0110" w14:textId="77777777" w:rsidR="0094090C" w:rsidRDefault="0094090C" w:rsidP="0094090C">
            <w:pPr>
              <w:spacing w:after="0" w:line="259" w:lineRule="auto"/>
              <w:ind w:left="0" w:right="1" w:firstLine="0"/>
              <w:jc w:val="center"/>
            </w:pPr>
          </w:p>
        </w:tc>
        <w:tc>
          <w:tcPr>
            <w:tcW w:w="540" w:type="dxa"/>
            <w:tcBorders>
              <w:top w:val="single" w:sz="4" w:space="0" w:color="000000"/>
              <w:left w:val="single" w:sz="12" w:space="0" w:color="000000"/>
              <w:bottom w:val="single" w:sz="4" w:space="0" w:color="000000"/>
              <w:right w:val="single" w:sz="12" w:space="0" w:color="000000"/>
            </w:tcBorders>
          </w:tcPr>
          <w:p w14:paraId="7218971B" w14:textId="77777777" w:rsidR="0094090C" w:rsidRDefault="0094090C" w:rsidP="0094090C">
            <w:pPr>
              <w:spacing w:after="0" w:line="259" w:lineRule="auto"/>
              <w:ind w:left="0" w:right="0" w:firstLine="0"/>
              <w:jc w:val="center"/>
            </w:pPr>
          </w:p>
        </w:tc>
        <w:tc>
          <w:tcPr>
            <w:tcW w:w="917" w:type="dxa"/>
            <w:tcBorders>
              <w:top w:val="single" w:sz="4" w:space="0" w:color="000000"/>
              <w:left w:val="single" w:sz="12" w:space="0" w:color="000000"/>
              <w:bottom w:val="single" w:sz="4" w:space="0" w:color="000000"/>
              <w:right w:val="single" w:sz="12" w:space="0" w:color="000000"/>
            </w:tcBorders>
          </w:tcPr>
          <w:p w14:paraId="3469CDE9" w14:textId="7A338EE4" w:rsidR="0094090C" w:rsidRDefault="0094090C" w:rsidP="0094090C">
            <w:pPr>
              <w:spacing w:after="0" w:line="259" w:lineRule="auto"/>
              <w:ind w:left="38" w:right="0" w:firstLine="0"/>
              <w:jc w:val="center"/>
            </w:pPr>
            <w:r>
              <w:rPr>
                <w:sz w:val="18"/>
              </w:rPr>
              <w:t>8141B</w:t>
            </w:r>
          </w:p>
        </w:tc>
        <w:tc>
          <w:tcPr>
            <w:tcW w:w="793" w:type="dxa"/>
            <w:tcBorders>
              <w:top w:val="single" w:sz="4" w:space="0" w:color="000000"/>
              <w:left w:val="single" w:sz="12" w:space="0" w:color="000000"/>
              <w:bottom w:val="single" w:sz="4" w:space="0" w:color="000000"/>
              <w:right w:val="single" w:sz="12" w:space="0" w:color="000000"/>
            </w:tcBorders>
          </w:tcPr>
          <w:p w14:paraId="5A0D3B16" w14:textId="0D275E34" w:rsidR="0094090C" w:rsidRDefault="0094090C" w:rsidP="0094090C">
            <w:pPr>
              <w:spacing w:after="0" w:line="259" w:lineRule="auto"/>
              <w:ind w:left="0" w:right="45" w:firstLine="0"/>
              <w:jc w:val="center"/>
            </w:pPr>
          </w:p>
        </w:tc>
      </w:tr>
      <w:tr w:rsidR="0094090C" w14:paraId="0D976D43" w14:textId="77777777" w:rsidTr="005B6604">
        <w:trPr>
          <w:trHeight w:val="250"/>
        </w:trPr>
        <w:tc>
          <w:tcPr>
            <w:tcW w:w="3165" w:type="dxa"/>
            <w:tcBorders>
              <w:top w:val="single" w:sz="4" w:space="0" w:color="000000"/>
              <w:left w:val="single" w:sz="12" w:space="0" w:color="000000"/>
              <w:bottom w:val="single" w:sz="4" w:space="0" w:color="000000"/>
              <w:right w:val="single" w:sz="12" w:space="0" w:color="000000"/>
            </w:tcBorders>
          </w:tcPr>
          <w:p w14:paraId="535522BB" w14:textId="26FDBE43" w:rsidR="0094090C" w:rsidRDefault="0094090C" w:rsidP="0094090C">
            <w:pPr>
              <w:spacing w:after="0" w:line="259" w:lineRule="auto"/>
              <w:ind w:left="0" w:right="0" w:firstLine="0"/>
            </w:pPr>
            <w:r>
              <w:rPr>
                <w:sz w:val="18"/>
              </w:rPr>
              <w:t xml:space="preserve">Chlorpyrifos methyl </w:t>
            </w:r>
          </w:p>
        </w:tc>
        <w:tc>
          <w:tcPr>
            <w:tcW w:w="1194" w:type="dxa"/>
            <w:tcBorders>
              <w:top w:val="single" w:sz="4" w:space="0" w:color="000000"/>
              <w:left w:val="single" w:sz="12" w:space="0" w:color="000000"/>
              <w:bottom w:val="single" w:sz="4" w:space="0" w:color="000000"/>
              <w:right w:val="single" w:sz="12" w:space="0" w:color="000000"/>
            </w:tcBorders>
          </w:tcPr>
          <w:p w14:paraId="0422488A" w14:textId="6F78C683" w:rsidR="0094090C" w:rsidRDefault="0094090C" w:rsidP="0094090C">
            <w:pPr>
              <w:spacing w:after="0" w:line="259" w:lineRule="auto"/>
              <w:ind w:left="0" w:right="44" w:firstLine="0"/>
              <w:jc w:val="center"/>
            </w:pPr>
            <w:r>
              <w:rPr>
                <w:sz w:val="18"/>
              </w:rPr>
              <w:t>5598-13-0</w:t>
            </w:r>
          </w:p>
        </w:tc>
        <w:tc>
          <w:tcPr>
            <w:tcW w:w="588" w:type="dxa"/>
            <w:tcBorders>
              <w:top w:val="single" w:sz="4" w:space="0" w:color="000000"/>
              <w:left w:val="single" w:sz="12" w:space="0" w:color="000000"/>
              <w:bottom w:val="single" w:sz="4" w:space="0" w:color="000000"/>
              <w:right w:val="single" w:sz="12" w:space="0" w:color="000000"/>
            </w:tcBorders>
          </w:tcPr>
          <w:p w14:paraId="32457920" w14:textId="076475F2" w:rsidR="0094090C" w:rsidRDefault="0094090C" w:rsidP="0094090C">
            <w:pPr>
              <w:tabs>
                <w:tab w:val="right" w:pos="489"/>
              </w:tabs>
              <w:spacing w:after="0" w:line="259" w:lineRule="auto"/>
              <w:ind w:left="0" w:right="0" w:firstLine="0"/>
              <w:jc w:val="center"/>
            </w:pPr>
            <w:r>
              <w:rPr>
                <w:sz w:val="18"/>
              </w:rPr>
              <w:t>20</w:t>
            </w:r>
          </w:p>
        </w:tc>
        <w:tc>
          <w:tcPr>
            <w:tcW w:w="714" w:type="dxa"/>
            <w:tcBorders>
              <w:top w:val="single" w:sz="4" w:space="0" w:color="000000"/>
              <w:left w:val="single" w:sz="12" w:space="0" w:color="000000"/>
              <w:bottom w:val="single" w:sz="4" w:space="0" w:color="000000"/>
              <w:right w:val="single" w:sz="12" w:space="0" w:color="000000"/>
            </w:tcBorders>
          </w:tcPr>
          <w:p w14:paraId="2E4493CC" w14:textId="340D7D30" w:rsidR="0094090C" w:rsidRDefault="0094090C" w:rsidP="0094090C">
            <w:pPr>
              <w:spacing w:after="0" w:line="259" w:lineRule="auto"/>
              <w:ind w:left="0" w:right="48" w:firstLine="0"/>
              <w:jc w:val="center"/>
            </w:pPr>
            <w:r>
              <w:rPr>
                <w:sz w:val="18"/>
              </w:rPr>
              <w:t>ug/L</w:t>
            </w:r>
          </w:p>
        </w:tc>
        <w:tc>
          <w:tcPr>
            <w:tcW w:w="811" w:type="dxa"/>
            <w:tcBorders>
              <w:top w:val="single" w:sz="4" w:space="0" w:color="000000"/>
              <w:left w:val="single" w:sz="12" w:space="0" w:color="000000"/>
              <w:bottom w:val="single" w:sz="4" w:space="0" w:color="000000"/>
              <w:right w:val="single" w:sz="12" w:space="0" w:color="000000"/>
            </w:tcBorders>
          </w:tcPr>
          <w:p w14:paraId="17E6C46A" w14:textId="04885DBA" w:rsidR="0094090C" w:rsidRDefault="0094090C" w:rsidP="0094090C">
            <w:pPr>
              <w:tabs>
                <w:tab w:val="right" w:pos="713"/>
              </w:tabs>
              <w:spacing w:after="0" w:line="259" w:lineRule="auto"/>
              <w:ind w:left="0" w:right="0" w:firstLine="0"/>
              <w:jc w:val="center"/>
            </w:pPr>
            <w:r>
              <w:rPr>
                <w:sz w:val="18"/>
              </w:rPr>
              <w:t>1300</w:t>
            </w:r>
          </w:p>
        </w:tc>
        <w:tc>
          <w:tcPr>
            <w:tcW w:w="711" w:type="dxa"/>
            <w:tcBorders>
              <w:top w:val="single" w:sz="4" w:space="0" w:color="000000"/>
              <w:left w:val="single" w:sz="12" w:space="0" w:color="000000"/>
              <w:bottom w:val="single" w:sz="4" w:space="0" w:color="000000"/>
              <w:right w:val="single" w:sz="12" w:space="0" w:color="000000"/>
            </w:tcBorders>
          </w:tcPr>
          <w:p w14:paraId="0B09DF0B" w14:textId="7E806063" w:rsidR="0094090C" w:rsidRDefault="0094090C" w:rsidP="0094090C">
            <w:pPr>
              <w:spacing w:after="0" w:line="259" w:lineRule="auto"/>
              <w:ind w:left="0" w:right="44" w:firstLine="0"/>
              <w:jc w:val="center"/>
            </w:pPr>
            <w:r>
              <w:rPr>
                <w:rFonts w:eastAsia="Segoe UI Symbol"/>
                <w:sz w:val="18"/>
              </w:rPr>
              <w:t>u</w:t>
            </w:r>
            <w:r>
              <w:rPr>
                <w:sz w:val="18"/>
              </w:rPr>
              <w:t>g/kg</w:t>
            </w:r>
          </w:p>
        </w:tc>
        <w:tc>
          <w:tcPr>
            <w:tcW w:w="647" w:type="dxa"/>
            <w:tcBorders>
              <w:top w:val="single" w:sz="4" w:space="0" w:color="000000"/>
              <w:left w:val="single" w:sz="12" w:space="0" w:color="000000"/>
              <w:bottom w:val="single" w:sz="4" w:space="0" w:color="000000"/>
              <w:right w:val="single" w:sz="12" w:space="0" w:color="000000"/>
            </w:tcBorders>
          </w:tcPr>
          <w:p w14:paraId="14BE55E2" w14:textId="77777777" w:rsidR="0094090C" w:rsidRDefault="0094090C" w:rsidP="0094090C">
            <w:pPr>
              <w:spacing w:after="0" w:line="259" w:lineRule="auto"/>
              <w:ind w:left="0" w:right="0" w:firstLine="0"/>
              <w:jc w:val="center"/>
            </w:pPr>
          </w:p>
        </w:tc>
        <w:tc>
          <w:tcPr>
            <w:tcW w:w="540" w:type="dxa"/>
            <w:tcBorders>
              <w:top w:val="single" w:sz="4" w:space="0" w:color="000000"/>
              <w:left w:val="single" w:sz="12" w:space="0" w:color="000000"/>
              <w:bottom w:val="single" w:sz="4" w:space="0" w:color="000000"/>
              <w:right w:val="single" w:sz="12" w:space="0" w:color="000000"/>
            </w:tcBorders>
          </w:tcPr>
          <w:p w14:paraId="64F16B02" w14:textId="77777777" w:rsidR="0094090C" w:rsidRDefault="0094090C" w:rsidP="0094090C">
            <w:pPr>
              <w:spacing w:after="0" w:line="259" w:lineRule="auto"/>
              <w:ind w:left="0" w:right="1" w:firstLine="0"/>
              <w:jc w:val="center"/>
            </w:pPr>
          </w:p>
        </w:tc>
        <w:tc>
          <w:tcPr>
            <w:tcW w:w="540" w:type="dxa"/>
            <w:tcBorders>
              <w:top w:val="single" w:sz="4" w:space="0" w:color="000000"/>
              <w:left w:val="single" w:sz="12" w:space="0" w:color="000000"/>
              <w:bottom w:val="single" w:sz="4" w:space="0" w:color="000000"/>
              <w:right w:val="single" w:sz="12" w:space="0" w:color="000000"/>
            </w:tcBorders>
          </w:tcPr>
          <w:p w14:paraId="1CA31680" w14:textId="77777777" w:rsidR="0094090C" w:rsidRDefault="0094090C" w:rsidP="0094090C">
            <w:pPr>
              <w:spacing w:after="0" w:line="259" w:lineRule="auto"/>
              <w:ind w:left="0" w:right="0" w:firstLine="0"/>
              <w:jc w:val="center"/>
            </w:pPr>
          </w:p>
        </w:tc>
        <w:tc>
          <w:tcPr>
            <w:tcW w:w="917" w:type="dxa"/>
            <w:tcBorders>
              <w:top w:val="single" w:sz="4" w:space="0" w:color="000000"/>
              <w:left w:val="single" w:sz="12" w:space="0" w:color="000000"/>
              <w:bottom w:val="single" w:sz="4" w:space="0" w:color="000000"/>
              <w:right w:val="single" w:sz="12" w:space="0" w:color="000000"/>
            </w:tcBorders>
          </w:tcPr>
          <w:p w14:paraId="37A3001F" w14:textId="1DFEC288" w:rsidR="0094090C" w:rsidRDefault="0094090C" w:rsidP="0094090C">
            <w:pPr>
              <w:spacing w:after="0" w:line="259" w:lineRule="auto"/>
              <w:ind w:left="38" w:right="0" w:firstLine="0"/>
              <w:jc w:val="center"/>
            </w:pPr>
            <w:r>
              <w:rPr>
                <w:sz w:val="18"/>
              </w:rPr>
              <w:t>8141B</w:t>
            </w:r>
          </w:p>
        </w:tc>
        <w:tc>
          <w:tcPr>
            <w:tcW w:w="793" w:type="dxa"/>
            <w:tcBorders>
              <w:top w:val="single" w:sz="4" w:space="0" w:color="000000"/>
              <w:left w:val="single" w:sz="12" w:space="0" w:color="000000"/>
              <w:bottom w:val="single" w:sz="4" w:space="0" w:color="000000"/>
              <w:right w:val="single" w:sz="12" w:space="0" w:color="000000"/>
            </w:tcBorders>
          </w:tcPr>
          <w:p w14:paraId="03487404" w14:textId="77777777" w:rsidR="0094090C" w:rsidRDefault="0094090C" w:rsidP="0094090C">
            <w:pPr>
              <w:spacing w:after="0" w:line="259" w:lineRule="auto"/>
              <w:ind w:left="0" w:right="2" w:firstLine="0"/>
              <w:jc w:val="center"/>
            </w:pPr>
          </w:p>
        </w:tc>
      </w:tr>
      <w:tr w:rsidR="0094090C" w14:paraId="7CE7E5F2" w14:textId="77777777" w:rsidTr="005B6604">
        <w:trPr>
          <w:trHeight w:val="250"/>
        </w:trPr>
        <w:tc>
          <w:tcPr>
            <w:tcW w:w="3165" w:type="dxa"/>
            <w:tcBorders>
              <w:top w:val="single" w:sz="4" w:space="0" w:color="000000"/>
              <w:left w:val="single" w:sz="12" w:space="0" w:color="000000"/>
              <w:bottom w:val="single" w:sz="4" w:space="0" w:color="000000"/>
              <w:right w:val="single" w:sz="12" w:space="0" w:color="000000"/>
            </w:tcBorders>
          </w:tcPr>
          <w:p w14:paraId="0547527A" w14:textId="5179ABF4" w:rsidR="0094090C" w:rsidRDefault="0094090C" w:rsidP="0094090C">
            <w:pPr>
              <w:spacing w:after="0" w:line="259" w:lineRule="auto"/>
              <w:ind w:left="0" w:right="0" w:firstLine="0"/>
            </w:pPr>
            <w:proofErr w:type="spellStart"/>
            <w:r>
              <w:rPr>
                <w:sz w:val="18"/>
              </w:rPr>
              <w:t>Coumaphos</w:t>
            </w:r>
            <w:proofErr w:type="spellEnd"/>
            <w:r>
              <w:rPr>
                <w:sz w:val="18"/>
              </w:rPr>
              <w:t xml:space="preserve"> </w:t>
            </w:r>
          </w:p>
        </w:tc>
        <w:tc>
          <w:tcPr>
            <w:tcW w:w="1194" w:type="dxa"/>
            <w:tcBorders>
              <w:top w:val="single" w:sz="4" w:space="0" w:color="000000"/>
              <w:left w:val="single" w:sz="12" w:space="0" w:color="000000"/>
              <w:bottom w:val="single" w:sz="4" w:space="0" w:color="000000"/>
              <w:right w:val="single" w:sz="12" w:space="0" w:color="000000"/>
            </w:tcBorders>
          </w:tcPr>
          <w:p w14:paraId="1C33C01B" w14:textId="43C69398" w:rsidR="0094090C" w:rsidRDefault="0094090C" w:rsidP="0094090C">
            <w:pPr>
              <w:spacing w:after="0" w:line="259" w:lineRule="auto"/>
              <w:ind w:left="0" w:right="44" w:firstLine="0"/>
              <w:jc w:val="center"/>
            </w:pPr>
            <w:r>
              <w:rPr>
                <w:sz w:val="18"/>
              </w:rPr>
              <w:t>56-72-4</w:t>
            </w:r>
          </w:p>
        </w:tc>
        <w:tc>
          <w:tcPr>
            <w:tcW w:w="588" w:type="dxa"/>
            <w:tcBorders>
              <w:top w:val="single" w:sz="4" w:space="0" w:color="000000"/>
              <w:left w:val="single" w:sz="12" w:space="0" w:color="000000"/>
              <w:bottom w:val="single" w:sz="4" w:space="0" w:color="000000"/>
              <w:right w:val="single" w:sz="12" w:space="0" w:color="000000"/>
            </w:tcBorders>
          </w:tcPr>
          <w:p w14:paraId="085D7E9D" w14:textId="341913E6" w:rsidR="0094090C" w:rsidRDefault="0094090C" w:rsidP="0094090C">
            <w:pPr>
              <w:tabs>
                <w:tab w:val="right" w:pos="489"/>
              </w:tabs>
              <w:spacing w:after="0" w:line="259" w:lineRule="auto"/>
              <w:ind w:left="0" w:right="0" w:firstLine="0"/>
              <w:jc w:val="center"/>
            </w:pPr>
            <w:r>
              <w:rPr>
                <w:sz w:val="18"/>
              </w:rPr>
              <w:t>30</w:t>
            </w:r>
          </w:p>
        </w:tc>
        <w:tc>
          <w:tcPr>
            <w:tcW w:w="714" w:type="dxa"/>
            <w:tcBorders>
              <w:top w:val="single" w:sz="4" w:space="0" w:color="000000"/>
              <w:left w:val="single" w:sz="12" w:space="0" w:color="000000"/>
              <w:bottom w:val="single" w:sz="4" w:space="0" w:color="000000"/>
              <w:right w:val="single" w:sz="12" w:space="0" w:color="000000"/>
            </w:tcBorders>
          </w:tcPr>
          <w:p w14:paraId="05CF065C" w14:textId="411D24B0" w:rsidR="0094090C" w:rsidRDefault="0094090C" w:rsidP="0094090C">
            <w:pPr>
              <w:spacing w:after="0" w:line="259" w:lineRule="auto"/>
              <w:ind w:left="0" w:right="48" w:firstLine="0"/>
              <w:jc w:val="center"/>
            </w:pPr>
            <w:r>
              <w:rPr>
                <w:sz w:val="18"/>
              </w:rPr>
              <w:t>ug/L</w:t>
            </w:r>
          </w:p>
        </w:tc>
        <w:tc>
          <w:tcPr>
            <w:tcW w:w="811" w:type="dxa"/>
            <w:tcBorders>
              <w:top w:val="single" w:sz="4" w:space="0" w:color="000000"/>
              <w:left w:val="single" w:sz="12" w:space="0" w:color="000000"/>
              <w:bottom w:val="single" w:sz="4" w:space="0" w:color="000000"/>
              <w:right w:val="single" w:sz="12" w:space="0" w:color="000000"/>
            </w:tcBorders>
          </w:tcPr>
          <w:p w14:paraId="7233A92C" w14:textId="16154E61" w:rsidR="0094090C" w:rsidRDefault="0094090C" w:rsidP="0094090C">
            <w:pPr>
              <w:tabs>
                <w:tab w:val="right" w:pos="713"/>
              </w:tabs>
              <w:spacing w:after="0" w:line="259" w:lineRule="auto"/>
              <w:ind w:left="0" w:right="0" w:firstLine="0"/>
              <w:jc w:val="center"/>
            </w:pPr>
            <w:r>
              <w:rPr>
                <w:sz w:val="18"/>
              </w:rPr>
              <w:t>2000</w:t>
            </w:r>
          </w:p>
        </w:tc>
        <w:tc>
          <w:tcPr>
            <w:tcW w:w="711" w:type="dxa"/>
            <w:tcBorders>
              <w:top w:val="single" w:sz="4" w:space="0" w:color="000000"/>
              <w:left w:val="single" w:sz="12" w:space="0" w:color="000000"/>
              <w:bottom w:val="single" w:sz="4" w:space="0" w:color="000000"/>
              <w:right w:val="single" w:sz="12" w:space="0" w:color="000000"/>
            </w:tcBorders>
          </w:tcPr>
          <w:p w14:paraId="42EDEE34" w14:textId="4A6C9BEE" w:rsidR="0094090C" w:rsidRDefault="0094090C" w:rsidP="0094090C">
            <w:pPr>
              <w:spacing w:after="0" w:line="259" w:lineRule="auto"/>
              <w:ind w:left="0" w:right="44" w:firstLine="0"/>
              <w:jc w:val="center"/>
            </w:pPr>
            <w:r>
              <w:rPr>
                <w:rFonts w:eastAsia="Segoe UI Symbol"/>
                <w:sz w:val="18"/>
              </w:rPr>
              <w:t>u</w:t>
            </w:r>
            <w:r>
              <w:rPr>
                <w:sz w:val="18"/>
              </w:rPr>
              <w:t>g/kg</w:t>
            </w:r>
          </w:p>
        </w:tc>
        <w:tc>
          <w:tcPr>
            <w:tcW w:w="647" w:type="dxa"/>
            <w:tcBorders>
              <w:top w:val="single" w:sz="4" w:space="0" w:color="000000"/>
              <w:left w:val="single" w:sz="12" w:space="0" w:color="000000"/>
              <w:bottom w:val="single" w:sz="4" w:space="0" w:color="000000"/>
              <w:right w:val="single" w:sz="12" w:space="0" w:color="000000"/>
            </w:tcBorders>
          </w:tcPr>
          <w:p w14:paraId="3CD8060D" w14:textId="77777777" w:rsidR="0094090C" w:rsidRDefault="0094090C" w:rsidP="0094090C">
            <w:pPr>
              <w:spacing w:after="0" w:line="259" w:lineRule="auto"/>
              <w:ind w:left="0" w:right="0" w:firstLine="0"/>
              <w:jc w:val="center"/>
            </w:pPr>
          </w:p>
        </w:tc>
        <w:tc>
          <w:tcPr>
            <w:tcW w:w="540" w:type="dxa"/>
            <w:tcBorders>
              <w:top w:val="single" w:sz="4" w:space="0" w:color="000000"/>
              <w:left w:val="single" w:sz="12" w:space="0" w:color="000000"/>
              <w:bottom w:val="single" w:sz="4" w:space="0" w:color="000000"/>
              <w:right w:val="single" w:sz="12" w:space="0" w:color="000000"/>
            </w:tcBorders>
          </w:tcPr>
          <w:p w14:paraId="466CED4D" w14:textId="77777777" w:rsidR="0094090C" w:rsidRDefault="0094090C" w:rsidP="0094090C">
            <w:pPr>
              <w:spacing w:after="0" w:line="259" w:lineRule="auto"/>
              <w:ind w:left="0" w:right="1" w:firstLine="0"/>
              <w:jc w:val="center"/>
            </w:pPr>
          </w:p>
        </w:tc>
        <w:tc>
          <w:tcPr>
            <w:tcW w:w="540" w:type="dxa"/>
            <w:tcBorders>
              <w:top w:val="single" w:sz="4" w:space="0" w:color="000000"/>
              <w:left w:val="single" w:sz="12" w:space="0" w:color="000000"/>
              <w:bottom w:val="single" w:sz="4" w:space="0" w:color="000000"/>
              <w:right w:val="single" w:sz="12" w:space="0" w:color="000000"/>
            </w:tcBorders>
          </w:tcPr>
          <w:p w14:paraId="5BD86EE0" w14:textId="77777777" w:rsidR="0094090C" w:rsidRDefault="0094090C" w:rsidP="0094090C">
            <w:pPr>
              <w:spacing w:after="0" w:line="259" w:lineRule="auto"/>
              <w:ind w:left="0" w:right="0" w:firstLine="0"/>
              <w:jc w:val="center"/>
            </w:pPr>
          </w:p>
        </w:tc>
        <w:tc>
          <w:tcPr>
            <w:tcW w:w="917" w:type="dxa"/>
            <w:tcBorders>
              <w:top w:val="single" w:sz="4" w:space="0" w:color="000000"/>
              <w:left w:val="single" w:sz="12" w:space="0" w:color="000000"/>
              <w:bottom w:val="single" w:sz="4" w:space="0" w:color="000000"/>
              <w:right w:val="single" w:sz="12" w:space="0" w:color="000000"/>
            </w:tcBorders>
          </w:tcPr>
          <w:p w14:paraId="1922614B" w14:textId="43A6D83F" w:rsidR="0094090C" w:rsidRDefault="0094090C" w:rsidP="0094090C">
            <w:pPr>
              <w:spacing w:after="0" w:line="259" w:lineRule="auto"/>
              <w:ind w:left="38" w:right="0" w:firstLine="0"/>
              <w:jc w:val="center"/>
            </w:pPr>
            <w:r>
              <w:rPr>
                <w:sz w:val="18"/>
              </w:rPr>
              <w:t>8141B</w:t>
            </w:r>
          </w:p>
        </w:tc>
        <w:tc>
          <w:tcPr>
            <w:tcW w:w="793" w:type="dxa"/>
            <w:tcBorders>
              <w:top w:val="single" w:sz="4" w:space="0" w:color="000000"/>
              <w:left w:val="single" w:sz="12" w:space="0" w:color="000000"/>
              <w:bottom w:val="single" w:sz="4" w:space="0" w:color="000000"/>
              <w:right w:val="single" w:sz="12" w:space="0" w:color="000000"/>
            </w:tcBorders>
          </w:tcPr>
          <w:p w14:paraId="56FB2C86" w14:textId="72C2BA1B" w:rsidR="0094090C" w:rsidRDefault="0094090C" w:rsidP="0094090C">
            <w:pPr>
              <w:spacing w:after="0" w:line="259" w:lineRule="auto"/>
              <w:ind w:left="0" w:right="2" w:firstLine="0"/>
              <w:jc w:val="center"/>
            </w:pPr>
            <w:r>
              <w:rPr>
                <w:sz w:val="18"/>
              </w:rPr>
              <w:t>8270D</w:t>
            </w:r>
          </w:p>
        </w:tc>
      </w:tr>
      <w:tr w:rsidR="0094090C" w14:paraId="377521E2" w14:textId="77777777" w:rsidTr="005B6604">
        <w:trPr>
          <w:trHeight w:val="250"/>
        </w:trPr>
        <w:tc>
          <w:tcPr>
            <w:tcW w:w="3165" w:type="dxa"/>
            <w:tcBorders>
              <w:top w:val="single" w:sz="4" w:space="0" w:color="000000"/>
              <w:left w:val="single" w:sz="12" w:space="0" w:color="000000"/>
              <w:bottom w:val="single" w:sz="4" w:space="0" w:color="000000"/>
              <w:right w:val="single" w:sz="12" w:space="0" w:color="000000"/>
            </w:tcBorders>
          </w:tcPr>
          <w:p w14:paraId="676D69E0" w14:textId="336A9A1E" w:rsidR="0094090C" w:rsidRDefault="0094090C" w:rsidP="0094090C">
            <w:pPr>
              <w:spacing w:after="0" w:line="259" w:lineRule="auto"/>
              <w:ind w:left="0" w:right="0" w:firstLine="0"/>
            </w:pPr>
            <w:proofErr w:type="spellStart"/>
            <w:r>
              <w:rPr>
                <w:sz w:val="18"/>
              </w:rPr>
              <w:t>Crotoxyphos</w:t>
            </w:r>
            <w:proofErr w:type="spellEnd"/>
            <w:r>
              <w:rPr>
                <w:sz w:val="18"/>
              </w:rPr>
              <w:t xml:space="preserve"> </w:t>
            </w:r>
          </w:p>
        </w:tc>
        <w:tc>
          <w:tcPr>
            <w:tcW w:w="1194" w:type="dxa"/>
            <w:tcBorders>
              <w:top w:val="single" w:sz="4" w:space="0" w:color="000000"/>
              <w:left w:val="single" w:sz="12" w:space="0" w:color="000000"/>
              <w:bottom w:val="single" w:sz="4" w:space="0" w:color="000000"/>
              <w:right w:val="single" w:sz="12" w:space="0" w:color="000000"/>
            </w:tcBorders>
          </w:tcPr>
          <w:p w14:paraId="6B83A50B" w14:textId="1BA73190" w:rsidR="0094090C" w:rsidRDefault="0094090C" w:rsidP="0094090C">
            <w:pPr>
              <w:spacing w:after="0" w:line="259" w:lineRule="auto"/>
              <w:ind w:left="0" w:right="44" w:firstLine="0"/>
              <w:jc w:val="center"/>
            </w:pPr>
            <w:r>
              <w:rPr>
                <w:sz w:val="18"/>
              </w:rPr>
              <w:t>7700-17-6</w:t>
            </w:r>
          </w:p>
        </w:tc>
        <w:tc>
          <w:tcPr>
            <w:tcW w:w="588" w:type="dxa"/>
            <w:tcBorders>
              <w:top w:val="single" w:sz="4" w:space="0" w:color="000000"/>
              <w:left w:val="single" w:sz="12" w:space="0" w:color="000000"/>
              <w:bottom w:val="single" w:sz="4" w:space="0" w:color="000000"/>
              <w:right w:val="single" w:sz="12" w:space="0" w:color="000000"/>
            </w:tcBorders>
          </w:tcPr>
          <w:p w14:paraId="345F7BB3" w14:textId="782531C8" w:rsidR="0094090C" w:rsidRDefault="0094090C" w:rsidP="0094090C">
            <w:pPr>
              <w:tabs>
                <w:tab w:val="right" w:pos="489"/>
              </w:tabs>
              <w:spacing w:after="0" w:line="259" w:lineRule="auto"/>
              <w:ind w:left="0" w:right="0" w:firstLine="0"/>
              <w:jc w:val="center"/>
            </w:pPr>
            <w:r>
              <w:rPr>
                <w:sz w:val="18"/>
              </w:rPr>
              <w:t>20</w:t>
            </w:r>
          </w:p>
        </w:tc>
        <w:tc>
          <w:tcPr>
            <w:tcW w:w="714" w:type="dxa"/>
            <w:tcBorders>
              <w:top w:val="single" w:sz="4" w:space="0" w:color="000000"/>
              <w:left w:val="single" w:sz="12" w:space="0" w:color="000000"/>
              <w:bottom w:val="single" w:sz="4" w:space="0" w:color="000000"/>
              <w:right w:val="single" w:sz="12" w:space="0" w:color="000000"/>
            </w:tcBorders>
          </w:tcPr>
          <w:p w14:paraId="4E1960A9" w14:textId="45F3C901" w:rsidR="0094090C" w:rsidRDefault="0094090C" w:rsidP="0094090C">
            <w:pPr>
              <w:spacing w:after="0" w:line="259" w:lineRule="auto"/>
              <w:ind w:left="0" w:right="48" w:firstLine="0"/>
              <w:jc w:val="center"/>
            </w:pPr>
            <w:r>
              <w:rPr>
                <w:sz w:val="18"/>
              </w:rPr>
              <w:t>ug/L</w:t>
            </w:r>
          </w:p>
        </w:tc>
        <w:tc>
          <w:tcPr>
            <w:tcW w:w="811" w:type="dxa"/>
            <w:tcBorders>
              <w:top w:val="single" w:sz="4" w:space="0" w:color="000000"/>
              <w:left w:val="single" w:sz="12" w:space="0" w:color="000000"/>
              <w:bottom w:val="single" w:sz="4" w:space="0" w:color="000000"/>
              <w:right w:val="single" w:sz="12" w:space="0" w:color="000000"/>
            </w:tcBorders>
          </w:tcPr>
          <w:p w14:paraId="3E9E1D0B" w14:textId="3473153D" w:rsidR="0094090C" w:rsidRDefault="0094090C" w:rsidP="0094090C">
            <w:pPr>
              <w:tabs>
                <w:tab w:val="right" w:pos="713"/>
              </w:tabs>
              <w:spacing w:after="0" w:line="259" w:lineRule="auto"/>
              <w:ind w:left="0" w:right="0" w:firstLine="0"/>
              <w:jc w:val="center"/>
            </w:pPr>
            <w:r>
              <w:rPr>
                <w:sz w:val="18"/>
              </w:rPr>
              <w:t>1300</w:t>
            </w:r>
          </w:p>
        </w:tc>
        <w:tc>
          <w:tcPr>
            <w:tcW w:w="711" w:type="dxa"/>
            <w:tcBorders>
              <w:top w:val="single" w:sz="4" w:space="0" w:color="000000"/>
              <w:left w:val="single" w:sz="12" w:space="0" w:color="000000"/>
              <w:bottom w:val="single" w:sz="4" w:space="0" w:color="000000"/>
              <w:right w:val="single" w:sz="12" w:space="0" w:color="000000"/>
            </w:tcBorders>
          </w:tcPr>
          <w:p w14:paraId="52CD0D2E" w14:textId="3E0291E3" w:rsidR="0094090C" w:rsidRDefault="0094090C" w:rsidP="0094090C">
            <w:pPr>
              <w:spacing w:after="0" w:line="259" w:lineRule="auto"/>
              <w:ind w:left="0" w:right="44" w:firstLine="0"/>
              <w:jc w:val="center"/>
            </w:pPr>
            <w:r>
              <w:rPr>
                <w:rFonts w:eastAsia="Segoe UI Symbol"/>
                <w:sz w:val="18"/>
              </w:rPr>
              <w:t>u</w:t>
            </w:r>
            <w:r>
              <w:rPr>
                <w:sz w:val="18"/>
              </w:rPr>
              <w:t>g/kg</w:t>
            </w:r>
          </w:p>
        </w:tc>
        <w:tc>
          <w:tcPr>
            <w:tcW w:w="647" w:type="dxa"/>
            <w:tcBorders>
              <w:top w:val="single" w:sz="4" w:space="0" w:color="000000"/>
              <w:left w:val="single" w:sz="12" w:space="0" w:color="000000"/>
              <w:bottom w:val="single" w:sz="4" w:space="0" w:color="000000"/>
              <w:right w:val="single" w:sz="12" w:space="0" w:color="000000"/>
            </w:tcBorders>
          </w:tcPr>
          <w:p w14:paraId="1F7F83EA" w14:textId="77777777" w:rsidR="0094090C" w:rsidRDefault="0094090C" w:rsidP="0094090C">
            <w:pPr>
              <w:spacing w:after="0" w:line="259" w:lineRule="auto"/>
              <w:ind w:left="0" w:right="0" w:firstLine="0"/>
              <w:jc w:val="center"/>
            </w:pPr>
          </w:p>
        </w:tc>
        <w:tc>
          <w:tcPr>
            <w:tcW w:w="540" w:type="dxa"/>
            <w:tcBorders>
              <w:top w:val="single" w:sz="4" w:space="0" w:color="000000"/>
              <w:left w:val="single" w:sz="12" w:space="0" w:color="000000"/>
              <w:bottom w:val="single" w:sz="4" w:space="0" w:color="000000"/>
              <w:right w:val="single" w:sz="12" w:space="0" w:color="000000"/>
            </w:tcBorders>
          </w:tcPr>
          <w:p w14:paraId="79F4788D" w14:textId="77777777" w:rsidR="0094090C" w:rsidRDefault="0094090C" w:rsidP="0094090C">
            <w:pPr>
              <w:spacing w:after="0" w:line="259" w:lineRule="auto"/>
              <w:ind w:left="0" w:right="1" w:firstLine="0"/>
              <w:jc w:val="center"/>
            </w:pPr>
          </w:p>
        </w:tc>
        <w:tc>
          <w:tcPr>
            <w:tcW w:w="540" w:type="dxa"/>
            <w:tcBorders>
              <w:top w:val="single" w:sz="4" w:space="0" w:color="000000"/>
              <w:left w:val="single" w:sz="12" w:space="0" w:color="000000"/>
              <w:bottom w:val="single" w:sz="4" w:space="0" w:color="000000"/>
              <w:right w:val="single" w:sz="12" w:space="0" w:color="000000"/>
            </w:tcBorders>
          </w:tcPr>
          <w:p w14:paraId="32C1C38B" w14:textId="77777777" w:rsidR="0094090C" w:rsidRDefault="0094090C" w:rsidP="0094090C">
            <w:pPr>
              <w:spacing w:after="0" w:line="259" w:lineRule="auto"/>
              <w:ind w:left="0" w:right="0" w:firstLine="0"/>
              <w:jc w:val="center"/>
            </w:pPr>
          </w:p>
        </w:tc>
        <w:tc>
          <w:tcPr>
            <w:tcW w:w="917" w:type="dxa"/>
            <w:tcBorders>
              <w:top w:val="single" w:sz="4" w:space="0" w:color="000000"/>
              <w:left w:val="single" w:sz="12" w:space="0" w:color="000000"/>
              <w:bottom w:val="single" w:sz="4" w:space="0" w:color="000000"/>
              <w:right w:val="single" w:sz="12" w:space="0" w:color="000000"/>
            </w:tcBorders>
          </w:tcPr>
          <w:p w14:paraId="4E776AF6" w14:textId="03A38B4F" w:rsidR="0094090C" w:rsidRDefault="0094090C" w:rsidP="0094090C">
            <w:pPr>
              <w:spacing w:after="0" w:line="259" w:lineRule="auto"/>
              <w:ind w:left="38" w:right="0" w:firstLine="0"/>
              <w:jc w:val="center"/>
            </w:pPr>
            <w:r>
              <w:rPr>
                <w:sz w:val="18"/>
              </w:rPr>
              <w:t>8141B</w:t>
            </w:r>
          </w:p>
        </w:tc>
        <w:tc>
          <w:tcPr>
            <w:tcW w:w="793" w:type="dxa"/>
            <w:tcBorders>
              <w:top w:val="single" w:sz="4" w:space="0" w:color="000000"/>
              <w:left w:val="single" w:sz="12" w:space="0" w:color="000000"/>
              <w:bottom w:val="single" w:sz="4" w:space="0" w:color="000000"/>
              <w:right w:val="single" w:sz="12" w:space="0" w:color="000000"/>
            </w:tcBorders>
          </w:tcPr>
          <w:p w14:paraId="564F3370" w14:textId="34240102" w:rsidR="0094090C" w:rsidRDefault="0094090C" w:rsidP="0094090C">
            <w:pPr>
              <w:spacing w:after="0" w:line="259" w:lineRule="auto"/>
              <w:ind w:left="0" w:right="2" w:firstLine="0"/>
              <w:jc w:val="center"/>
            </w:pPr>
            <w:r>
              <w:rPr>
                <w:sz w:val="18"/>
              </w:rPr>
              <w:t>8270D</w:t>
            </w:r>
          </w:p>
        </w:tc>
      </w:tr>
      <w:tr w:rsidR="0094090C" w14:paraId="724988A7" w14:textId="77777777" w:rsidTr="005B6604">
        <w:trPr>
          <w:trHeight w:val="250"/>
        </w:trPr>
        <w:tc>
          <w:tcPr>
            <w:tcW w:w="3165" w:type="dxa"/>
            <w:tcBorders>
              <w:top w:val="single" w:sz="4" w:space="0" w:color="000000"/>
              <w:left w:val="single" w:sz="12" w:space="0" w:color="000000"/>
              <w:bottom w:val="single" w:sz="4" w:space="0" w:color="000000"/>
              <w:right w:val="single" w:sz="12" w:space="0" w:color="000000"/>
            </w:tcBorders>
          </w:tcPr>
          <w:p w14:paraId="23A1BEE8" w14:textId="6447831D" w:rsidR="0094090C" w:rsidRDefault="0094090C" w:rsidP="0094090C">
            <w:pPr>
              <w:spacing w:after="0" w:line="259" w:lineRule="auto"/>
              <w:ind w:left="0" w:right="0" w:firstLine="0"/>
            </w:pPr>
            <w:r>
              <w:rPr>
                <w:sz w:val="18"/>
              </w:rPr>
              <w:t xml:space="preserve">Demeton-O </w:t>
            </w:r>
          </w:p>
        </w:tc>
        <w:tc>
          <w:tcPr>
            <w:tcW w:w="1194" w:type="dxa"/>
            <w:tcBorders>
              <w:top w:val="single" w:sz="4" w:space="0" w:color="000000"/>
              <w:left w:val="single" w:sz="12" w:space="0" w:color="000000"/>
              <w:bottom w:val="single" w:sz="4" w:space="0" w:color="000000"/>
              <w:right w:val="single" w:sz="12" w:space="0" w:color="000000"/>
            </w:tcBorders>
          </w:tcPr>
          <w:p w14:paraId="0F25A207" w14:textId="267DE420" w:rsidR="0094090C" w:rsidRDefault="0094090C" w:rsidP="0094090C">
            <w:pPr>
              <w:spacing w:after="0" w:line="259" w:lineRule="auto"/>
              <w:ind w:left="0" w:right="44" w:firstLine="0"/>
              <w:jc w:val="center"/>
            </w:pPr>
            <w:r>
              <w:rPr>
                <w:sz w:val="18"/>
              </w:rPr>
              <w:t>8065-48-3</w:t>
            </w:r>
          </w:p>
        </w:tc>
        <w:tc>
          <w:tcPr>
            <w:tcW w:w="588" w:type="dxa"/>
            <w:tcBorders>
              <w:top w:val="single" w:sz="4" w:space="0" w:color="000000"/>
              <w:left w:val="single" w:sz="12" w:space="0" w:color="000000"/>
              <w:bottom w:val="single" w:sz="4" w:space="0" w:color="000000"/>
              <w:right w:val="single" w:sz="12" w:space="0" w:color="000000"/>
            </w:tcBorders>
          </w:tcPr>
          <w:p w14:paraId="31C58E8E" w14:textId="46A56B61" w:rsidR="0094090C" w:rsidRDefault="0094090C" w:rsidP="0094090C">
            <w:pPr>
              <w:spacing w:after="0" w:line="259" w:lineRule="auto"/>
              <w:ind w:left="0" w:right="0" w:firstLine="0"/>
              <w:jc w:val="center"/>
            </w:pPr>
            <w:r>
              <w:rPr>
                <w:sz w:val="18"/>
              </w:rPr>
              <w:t>1.2</w:t>
            </w:r>
          </w:p>
        </w:tc>
        <w:tc>
          <w:tcPr>
            <w:tcW w:w="714" w:type="dxa"/>
            <w:tcBorders>
              <w:top w:val="single" w:sz="4" w:space="0" w:color="000000"/>
              <w:left w:val="single" w:sz="12" w:space="0" w:color="000000"/>
              <w:bottom w:val="single" w:sz="4" w:space="0" w:color="000000"/>
              <w:right w:val="single" w:sz="12" w:space="0" w:color="000000"/>
            </w:tcBorders>
          </w:tcPr>
          <w:p w14:paraId="02FAB747" w14:textId="53153437" w:rsidR="0094090C" w:rsidRDefault="0094090C" w:rsidP="0094090C">
            <w:pPr>
              <w:spacing w:after="0" w:line="259" w:lineRule="auto"/>
              <w:ind w:left="0" w:right="48" w:firstLine="0"/>
              <w:jc w:val="center"/>
            </w:pPr>
            <w:r>
              <w:rPr>
                <w:sz w:val="18"/>
              </w:rPr>
              <w:t>ug/L</w:t>
            </w:r>
          </w:p>
        </w:tc>
        <w:tc>
          <w:tcPr>
            <w:tcW w:w="811" w:type="dxa"/>
            <w:tcBorders>
              <w:top w:val="single" w:sz="4" w:space="0" w:color="000000"/>
              <w:left w:val="single" w:sz="12" w:space="0" w:color="000000"/>
              <w:bottom w:val="single" w:sz="4" w:space="0" w:color="000000"/>
              <w:right w:val="single" w:sz="12" w:space="0" w:color="000000"/>
            </w:tcBorders>
          </w:tcPr>
          <w:p w14:paraId="6755E287" w14:textId="6F8102DC" w:rsidR="0094090C" w:rsidRDefault="0094090C" w:rsidP="0094090C">
            <w:pPr>
              <w:spacing w:after="0" w:line="259" w:lineRule="auto"/>
              <w:ind w:left="0" w:right="0" w:firstLine="0"/>
              <w:jc w:val="center"/>
            </w:pPr>
            <w:r>
              <w:rPr>
                <w:sz w:val="18"/>
              </w:rPr>
              <w:t>1000</w:t>
            </w:r>
          </w:p>
        </w:tc>
        <w:tc>
          <w:tcPr>
            <w:tcW w:w="711" w:type="dxa"/>
            <w:tcBorders>
              <w:top w:val="single" w:sz="4" w:space="0" w:color="000000"/>
              <w:left w:val="single" w:sz="12" w:space="0" w:color="000000"/>
              <w:bottom w:val="single" w:sz="4" w:space="0" w:color="000000"/>
              <w:right w:val="single" w:sz="12" w:space="0" w:color="000000"/>
            </w:tcBorders>
          </w:tcPr>
          <w:p w14:paraId="64E036AD" w14:textId="4357ACCE" w:rsidR="0094090C" w:rsidRDefault="0094090C" w:rsidP="0094090C">
            <w:pPr>
              <w:spacing w:after="0" w:line="259" w:lineRule="auto"/>
              <w:ind w:left="0" w:right="44" w:firstLine="0"/>
              <w:jc w:val="center"/>
            </w:pPr>
            <w:r>
              <w:rPr>
                <w:rFonts w:eastAsia="Segoe UI Symbol"/>
                <w:sz w:val="18"/>
              </w:rPr>
              <w:t>u</w:t>
            </w:r>
            <w:r>
              <w:rPr>
                <w:sz w:val="18"/>
              </w:rPr>
              <w:t>g/kg</w:t>
            </w:r>
          </w:p>
        </w:tc>
        <w:tc>
          <w:tcPr>
            <w:tcW w:w="647" w:type="dxa"/>
            <w:tcBorders>
              <w:top w:val="single" w:sz="4" w:space="0" w:color="000000"/>
              <w:left w:val="single" w:sz="12" w:space="0" w:color="000000"/>
              <w:bottom w:val="single" w:sz="4" w:space="0" w:color="000000"/>
              <w:right w:val="single" w:sz="12" w:space="0" w:color="000000"/>
            </w:tcBorders>
          </w:tcPr>
          <w:p w14:paraId="089E6F55" w14:textId="77777777" w:rsidR="0094090C" w:rsidRDefault="0094090C" w:rsidP="0094090C">
            <w:pPr>
              <w:spacing w:after="0" w:line="259" w:lineRule="auto"/>
              <w:ind w:left="0" w:right="0" w:firstLine="0"/>
              <w:jc w:val="center"/>
            </w:pPr>
          </w:p>
        </w:tc>
        <w:tc>
          <w:tcPr>
            <w:tcW w:w="540" w:type="dxa"/>
            <w:tcBorders>
              <w:top w:val="single" w:sz="4" w:space="0" w:color="000000"/>
              <w:left w:val="single" w:sz="12" w:space="0" w:color="000000"/>
              <w:bottom w:val="single" w:sz="4" w:space="0" w:color="000000"/>
              <w:right w:val="single" w:sz="12" w:space="0" w:color="000000"/>
            </w:tcBorders>
          </w:tcPr>
          <w:p w14:paraId="4121B33F" w14:textId="77777777" w:rsidR="0094090C" w:rsidRDefault="0094090C" w:rsidP="0094090C">
            <w:pPr>
              <w:spacing w:after="0" w:line="259" w:lineRule="auto"/>
              <w:ind w:left="0" w:right="1" w:firstLine="0"/>
              <w:jc w:val="center"/>
            </w:pPr>
          </w:p>
        </w:tc>
        <w:tc>
          <w:tcPr>
            <w:tcW w:w="540" w:type="dxa"/>
            <w:tcBorders>
              <w:top w:val="single" w:sz="4" w:space="0" w:color="000000"/>
              <w:left w:val="single" w:sz="12" w:space="0" w:color="000000"/>
              <w:bottom w:val="single" w:sz="4" w:space="0" w:color="000000"/>
              <w:right w:val="single" w:sz="12" w:space="0" w:color="000000"/>
            </w:tcBorders>
          </w:tcPr>
          <w:p w14:paraId="44E64789" w14:textId="77777777" w:rsidR="0094090C" w:rsidRDefault="0094090C" w:rsidP="0094090C">
            <w:pPr>
              <w:spacing w:after="0" w:line="259" w:lineRule="auto"/>
              <w:ind w:left="0" w:right="0" w:firstLine="0"/>
              <w:jc w:val="center"/>
            </w:pPr>
          </w:p>
        </w:tc>
        <w:tc>
          <w:tcPr>
            <w:tcW w:w="917" w:type="dxa"/>
            <w:tcBorders>
              <w:top w:val="single" w:sz="4" w:space="0" w:color="000000"/>
              <w:left w:val="single" w:sz="12" w:space="0" w:color="000000"/>
              <w:bottom w:val="single" w:sz="4" w:space="0" w:color="000000"/>
              <w:right w:val="single" w:sz="12" w:space="0" w:color="000000"/>
            </w:tcBorders>
          </w:tcPr>
          <w:p w14:paraId="51532FD4" w14:textId="158D307B" w:rsidR="0094090C" w:rsidRDefault="0094090C" w:rsidP="0094090C">
            <w:pPr>
              <w:spacing w:after="0" w:line="259" w:lineRule="auto"/>
              <w:ind w:left="38" w:right="0" w:firstLine="0"/>
              <w:jc w:val="center"/>
            </w:pPr>
            <w:r>
              <w:rPr>
                <w:sz w:val="18"/>
              </w:rPr>
              <w:t>8141B</w:t>
            </w:r>
          </w:p>
        </w:tc>
        <w:tc>
          <w:tcPr>
            <w:tcW w:w="793" w:type="dxa"/>
            <w:tcBorders>
              <w:top w:val="single" w:sz="4" w:space="0" w:color="000000"/>
              <w:left w:val="single" w:sz="12" w:space="0" w:color="000000"/>
              <w:bottom w:val="single" w:sz="4" w:space="0" w:color="000000"/>
              <w:right w:val="single" w:sz="12" w:space="0" w:color="000000"/>
            </w:tcBorders>
          </w:tcPr>
          <w:p w14:paraId="7F5EC8C7" w14:textId="6489A9C3" w:rsidR="0094090C" w:rsidRDefault="0094090C" w:rsidP="0094090C">
            <w:pPr>
              <w:spacing w:after="0" w:line="259" w:lineRule="auto"/>
              <w:ind w:left="0" w:right="45" w:firstLine="0"/>
              <w:jc w:val="center"/>
            </w:pPr>
            <w:r>
              <w:rPr>
                <w:sz w:val="18"/>
              </w:rPr>
              <w:t>8270D</w:t>
            </w:r>
          </w:p>
        </w:tc>
      </w:tr>
      <w:tr w:rsidR="0094090C" w14:paraId="74C2DE9F" w14:textId="77777777" w:rsidTr="005B6604">
        <w:trPr>
          <w:trHeight w:val="262"/>
        </w:trPr>
        <w:tc>
          <w:tcPr>
            <w:tcW w:w="3165" w:type="dxa"/>
            <w:tcBorders>
              <w:top w:val="single" w:sz="4" w:space="0" w:color="000000"/>
              <w:left w:val="single" w:sz="12" w:space="0" w:color="000000"/>
              <w:bottom w:val="single" w:sz="4" w:space="0" w:color="000000"/>
              <w:right w:val="single" w:sz="12" w:space="0" w:color="000000"/>
            </w:tcBorders>
          </w:tcPr>
          <w:p w14:paraId="0A0C735F" w14:textId="104277D5" w:rsidR="0094090C" w:rsidRDefault="0094090C" w:rsidP="0094090C">
            <w:pPr>
              <w:spacing w:after="0" w:line="259" w:lineRule="auto"/>
              <w:ind w:left="0" w:right="0" w:firstLine="0"/>
            </w:pPr>
            <w:r>
              <w:rPr>
                <w:sz w:val="18"/>
              </w:rPr>
              <w:t xml:space="preserve">Demeton-S </w:t>
            </w:r>
          </w:p>
        </w:tc>
        <w:tc>
          <w:tcPr>
            <w:tcW w:w="1194" w:type="dxa"/>
            <w:tcBorders>
              <w:top w:val="single" w:sz="4" w:space="0" w:color="000000"/>
              <w:left w:val="single" w:sz="12" w:space="0" w:color="000000"/>
              <w:bottom w:val="single" w:sz="4" w:space="0" w:color="000000"/>
              <w:right w:val="single" w:sz="12" w:space="0" w:color="000000"/>
            </w:tcBorders>
          </w:tcPr>
          <w:p w14:paraId="1AB2AB00" w14:textId="60FBDF9F" w:rsidR="0094090C" w:rsidRDefault="0094090C" w:rsidP="0094090C">
            <w:pPr>
              <w:spacing w:after="0" w:line="259" w:lineRule="auto"/>
              <w:ind w:left="0" w:right="44" w:firstLine="0"/>
              <w:jc w:val="center"/>
            </w:pPr>
            <w:r>
              <w:rPr>
                <w:sz w:val="18"/>
              </w:rPr>
              <w:t>8065-48-3</w:t>
            </w:r>
          </w:p>
        </w:tc>
        <w:tc>
          <w:tcPr>
            <w:tcW w:w="588" w:type="dxa"/>
            <w:tcBorders>
              <w:top w:val="single" w:sz="4" w:space="0" w:color="000000"/>
              <w:left w:val="single" w:sz="12" w:space="0" w:color="000000"/>
              <w:bottom w:val="single" w:sz="4" w:space="0" w:color="000000"/>
              <w:right w:val="single" w:sz="12" w:space="0" w:color="000000"/>
            </w:tcBorders>
          </w:tcPr>
          <w:p w14:paraId="5356EE46" w14:textId="39BECE46" w:rsidR="0094090C" w:rsidRDefault="0094090C" w:rsidP="0094090C">
            <w:pPr>
              <w:tabs>
                <w:tab w:val="right" w:pos="489"/>
              </w:tabs>
              <w:spacing w:after="0" w:line="259" w:lineRule="auto"/>
              <w:ind w:left="0" w:right="0" w:firstLine="0"/>
              <w:jc w:val="center"/>
            </w:pPr>
            <w:r>
              <w:rPr>
                <w:sz w:val="18"/>
              </w:rPr>
              <w:t>1.2</w:t>
            </w:r>
          </w:p>
        </w:tc>
        <w:tc>
          <w:tcPr>
            <w:tcW w:w="714" w:type="dxa"/>
            <w:tcBorders>
              <w:top w:val="single" w:sz="4" w:space="0" w:color="000000"/>
              <w:left w:val="single" w:sz="12" w:space="0" w:color="000000"/>
              <w:bottom w:val="single" w:sz="4" w:space="0" w:color="000000"/>
              <w:right w:val="single" w:sz="12" w:space="0" w:color="000000"/>
            </w:tcBorders>
          </w:tcPr>
          <w:p w14:paraId="48FFD403" w14:textId="67FC2267" w:rsidR="0094090C" w:rsidRDefault="0094090C" w:rsidP="0094090C">
            <w:pPr>
              <w:spacing w:after="0" w:line="259" w:lineRule="auto"/>
              <w:ind w:left="0" w:right="48" w:firstLine="0"/>
              <w:jc w:val="center"/>
            </w:pPr>
            <w:r>
              <w:rPr>
                <w:sz w:val="18"/>
              </w:rPr>
              <w:t>ug/L</w:t>
            </w:r>
          </w:p>
        </w:tc>
        <w:tc>
          <w:tcPr>
            <w:tcW w:w="811" w:type="dxa"/>
            <w:tcBorders>
              <w:top w:val="single" w:sz="4" w:space="0" w:color="000000"/>
              <w:left w:val="single" w:sz="12" w:space="0" w:color="000000"/>
              <w:bottom w:val="single" w:sz="4" w:space="0" w:color="000000"/>
              <w:right w:val="single" w:sz="12" w:space="0" w:color="000000"/>
            </w:tcBorders>
          </w:tcPr>
          <w:p w14:paraId="1975561A" w14:textId="4EC0B47D" w:rsidR="0094090C" w:rsidRDefault="0094090C" w:rsidP="0094090C">
            <w:pPr>
              <w:spacing w:after="0" w:line="259" w:lineRule="auto"/>
              <w:ind w:left="0" w:right="0" w:firstLine="0"/>
              <w:jc w:val="center"/>
            </w:pPr>
            <w:r>
              <w:rPr>
                <w:sz w:val="18"/>
              </w:rPr>
              <w:t>1000</w:t>
            </w:r>
          </w:p>
        </w:tc>
        <w:tc>
          <w:tcPr>
            <w:tcW w:w="711" w:type="dxa"/>
            <w:tcBorders>
              <w:top w:val="single" w:sz="4" w:space="0" w:color="000000"/>
              <w:left w:val="single" w:sz="12" w:space="0" w:color="000000"/>
              <w:bottom w:val="single" w:sz="4" w:space="0" w:color="000000"/>
              <w:right w:val="single" w:sz="12" w:space="0" w:color="000000"/>
            </w:tcBorders>
          </w:tcPr>
          <w:p w14:paraId="4574E336" w14:textId="51D90EE7" w:rsidR="0094090C" w:rsidRDefault="0094090C" w:rsidP="0094090C">
            <w:pPr>
              <w:spacing w:after="0" w:line="259" w:lineRule="auto"/>
              <w:ind w:left="0" w:right="44" w:firstLine="0"/>
              <w:jc w:val="center"/>
            </w:pPr>
            <w:r>
              <w:rPr>
                <w:rFonts w:eastAsia="Segoe UI Symbol"/>
                <w:sz w:val="18"/>
              </w:rPr>
              <w:t>u</w:t>
            </w:r>
            <w:r>
              <w:rPr>
                <w:sz w:val="18"/>
              </w:rPr>
              <w:t>g/kg</w:t>
            </w:r>
          </w:p>
        </w:tc>
        <w:tc>
          <w:tcPr>
            <w:tcW w:w="647" w:type="dxa"/>
            <w:tcBorders>
              <w:top w:val="single" w:sz="4" w:space="0" w:color="000000"/>
              <w:left w:val="single" w:sz="12" w:space="0" w:color="000000"/>
              <w:bottom w:val="single" w:sz="4" w:space="0" w:color="000000"/>
              <w:right w:val="single" w:sz="12" w:space="0" w:color="000000"/>
            </w:tcBorders>
          </w:tcPr>
          <w:p w14:paraId="303D5833" w14:textId="77777777" w:rsidR="0094090C" w:rsidRDefault="0094090C" w:rsidP="0094090C">
            <w:pPr>
              <w:spacing w:after="0" w:line="259" w:lineRule="auto"/>
              <w:ind w:left="0" w:right="0" w:firstLine="0"/>
              <w:jc w:val="center"/>
            </w:pPr>
          </w:p>
        </w:tc>
        <w:tc>
          <w:tcPr>
            <w:tcW w:w="540" w:type="dxa"/>
            <w:tcBorders>
              <w:top w:val="single" w:sz="4" w:space="0" w:color="000000"/>
              <w:left w:val="single" w:sz="12" w:space="0" w:color="000000"/>
              <w:bottom w:val="single" w:sz="4" w:space="0" w:color="000000"/>
              <w:right w:val="single" w:sz="12" w:space="0" w:color="000000"/>
            </w:tcBorders>
          </w:tcPr>
          <w:p w14:paraId="3C6D5E3D" w14:textId="77777777" w:rsidR="0094090C" w:rsidRDefault="0094090C" w:rsidP="0094090C">
            <w:pPr>
              <w:spacing w:after="0" w:line="259" w:lineRule="auto"/>
              <w:ind w:left="0" w:right="1" w:firstLine="0"/>
              <w:jc w:val="center"/>
            </w:pPr>
          </w:p>
        </w:tc>
        <w:tc>
          <w:tcPr>
            <w:tcW w:w="540" w:type="dxa"/>
            <w:tcBorders>
              <w:top w:val="single" w:sz="4" w:space="0" w:color="000000"/>
              <w:left w:val="single" w:sz="12" w:space="0" w:color="000000"/>
              <w:bottom w:val="single" w:sz="4" w:space="0" w:color="000000"/>
              <w:right w:val="single" w:sz="12" w:space="0" w:color="000000"/>
            </w:tcBorders>
          </w:tcPr>
          <w:p w14:paraId="4AC52F76" w14:textId="77777777" w:rsidR="0094090C" w:rsidRDefault="0094090C" w:rsidP="0094090C">
            <w:pPr>
              <w:spacing w:after="0" w:line="259" w:lineRule="auto"/>
              <w:ind w:left="0" w:right="0" w:firstLine="0"/>
              <w:jc w:val="center"/>
            </w:pPr>
          </w:p>
        </w:tc>
        <w:tc>
          <w:tcPr>
            <w:tcW w:w="917" w:type="dxa"/>
            <w:tcBorders>
              <w:top w:val="single" w:sz="4" w:space="0" w:color="000000"/>
              <w:left w:val="single" w:sz="12" w:space="0" w:color="000000"/>
              <w:bottom w:val="single" w:sz="4" w:space="0" w:color="000000"/>
              <w:right w:val="single" w:sz="12" w:space="0" w:color="000000"/>
            </w:tcBorders>
          </w:tcPr>
          <w:p w14:paraId="09BAB1E3" w14:textId="0F1D988D" w:rsidR="0094090C" w:rsidRDefault="0094090C" w:rsidP="0094090C">
            <w:pPr>
              <w:spacing w:after="0" w:line="259" w:lineRule="auto"/>
              <w:ind w:left="38" w:right="0" w:firstLine="0"/>
              <w:jc w:val="center"/>
            </w:pPr>
            <w:r>
              <w:rPr>
                <w:sz w:val="18"/>
              </w:rPr>
              <w:t>8141B</w:t>
            </w:r>
          </w:p>
        </w:tc>
        <w:tc>
          <w:tcPr>
            <w:tcW w:w="793" w:type="dxa"/>
            <w:tcBorders>
              <w:top w:val="single" w:sz="4" w:space="0" w:color="000000"/>
              <w:left w:val="single" w:sz="12" w:space="0" w:color="000000"/>
              <w:bottom w:val="single" w:sz="4" w:space="0" w:color="000000"/>
              <w:right w:val="single" w:sz="12" w:space="0" w:color="000000"/>
            </w:tcBorders>
          </w:tcPr>
          <w:p w14:paraId="5A471A25" w14:textId="7D720A86" w:rsidR="0094090C" w:rsidRDefault="0094090C" w:rsidP="0094090C">
            <w:pPr>
              <w:spacing w:after="0" w:line="259" w:lineRule="auto"/>
              <w:ind w:left="0" w:right="2" w:firstLine="0"/>
              <w:jc w:val="center"/>
            </w:pPr>
            <w:r>
              <w:rPr>
                <w:sz w:val="18"/>
              </w:rPr>
              <w:t>8270D</w:t>
            </w:r>
          </w:p>
        </w:tc>
      </w:tr>
      <w:tr w:rsidR="0094090C" w14:paraId="4204DA10" w14:textId="77777777" w:rsidTr="005B6604">
        <w:trPr>
          <w:trHeight w:val="262"/>
        </w:trPr>
        <w:tc>
          <w:tcPr>
            <w:tcW w:w="3165" w:type="dxa"/>
            <w:tcBorders>
              <w:top w:val="single" w:sz="4" w:space="0" w:color="000000"/>
              <w:left w:val="single" w:sz="12" w:space="0" w:color="000000"/>
              <w:bottom w:val="single" w:sz="4" w:space="0" w:color="000000"/>
              <w:right w:val="single" w:sz="12" w:space="0" w:color="000000"/>
            </w:tcBorders>
          </w:tcPr>
          <w:p w14:paraId="3206D3BC" w14:textId="4F2E667D" w:rsidR="0094090C" w:rsidRDefault="0094090C" w:rsidP="0094090C">
            <w:pPr>
              <w:spacing w:after="0" w:line="259" w:lineRule="auto"/>
              <w:ind w:left="0" w:right="0" w:firstLine="0"/>
              <w:rPr>
                <w:sz w:val="18"/>
              </w:rPr>
            </w:pPr>
            <w:r>
              <w:rPr>
                <w:sz w:val="18"/>
              </w:rPr>
              <w:t xml:space="preserve">Diazinon </w:t>
            </w:r>
          </w:p>
        </w:tc>
        <w:tc>
          <w:tcPr>
            <w:tcW w:w="1194" w:type="dxa"/>
            <w:tcBorders>
              <w:top w:val="single" w:sz="4" w:space="0" w:color="000000"/>
              <w:left w:val="single" w:sz="12" w:space="0" w:color="000000"/>
              <w:bottom w:val="single" w:sz="4" w:space="0" w:color="000000"/>
              <w:right w:val="single" w:sz="12" w:space="0" w:color="000000"/>
            </w:tcBorders>
          </w:tcPr>
          <w:p w14:paraId="4AF5AF29" w14:textId="421E989C" w:rsidR="0094090C" w:rsidRDefault="0094090C" w:rsidP="0094090C">
            <w:pPr>
              <w:spacing w:after="0" w:line="259" w:lineRule="auto"/>
              <w:ind w:left="0" w:right="44" w:firstLine="0"/>
              <w:jc w:val="center"/>
              <w:rPr>
                <w:sz w:val="18"/>
              </w:rPr>
            </w:pPr>
            <w:r>
              <w:rPr>
                <w:sz w:val="18"/>
              </w:rPr>
              <w:t>333-41-5</w:t>
            </w:r>
          </w:p>
        </w:tc>
        <w:tc>
          <w:tcPr>
            <w:tcW w:w="588" w:type="dxa"/>
            <w:tcBorders>
              <w:top w:val="single" w:sz="4" w:space="0" w:color="000000"/>
              <w:left w:val="single" w:sz="12" w:space="0" w:color="000000"/>
              <w:bottom w:val="single" w:sz="4" w:space="0" w:color="000000"/>
              <w:right w:val="single" w:sz="12" w:space="0" w:color="000000"/>
            </w:tcBorders>
          </w:tcPr>
          <w:p w14:paraId="4E4D85E5" w14:textId="2AD1724A" w:rsidR="0094090C" w:rsidRDefault="0094090C" w:rsidP="0094090C">
            <w:pPr>
              <w:tabs>
                <w:tab w:val="right" w:pos="489"/>
              </w:tabs>
              <w:spacing w:after="0" w:line="259" w:lineRule="auto"/>
              <w:ind w:left="0" w:right="0" w:firstLine="0"/>
              <w:jc w:val="center"/>
              <w:rPr>
                <w:sz w:val="18"/>
              </w:rPr>
            </w:pPr>
            <w:r>
              <w:rPr>
                <w:sz w:val="18"/>
              </w:rPr>
              <w:t>10</w:t>
            </w:r>
          </w:p>
        </w:tc>
        <w:tc>
          <w:tcPr>
            <w:tcW w:w="714" w:type="dxa"/>
            <w:tcBorders>
              <w:top w:val="single" w:sz="4" w:space="0" w:color="000000"/>
              <w:left w:val="single" w:sz="12" w:space="0" w:color="000000"/>
              <w:bottom w:val="single" w:sz="4" w:space="0" w:color="000000"/>
              <w:right w:val="single" w:sz="12" w:space="0" w:color="000000"/>
            </w:tcBorders>
          </w:tcPr>
          <w:p w14:paraId="0F167F68" w14:textId="401A3DA6" w:rsidR="0094090C" w:rsidRDefault="0094090C" w:rsidP="0094090C">
            <w:pPr>
              <w:spacing w:after="0" w:line="259" w:lineRule="auto"/>
              <w:ind w:left="0" w:right="48" w:firstLine="0"/>
              <w:jc w:val="center"/>
              <w:rPr>
                <w:sz w:val="18"/>
              </w:rPr>
            </w:pPr>
            <w:r>
              <w:rPr>
                <w:sz w:val="18"/>
              </w:rPr>
              <w:t>ug/L</w:t>
            </w:r>
          </w:p>
        </w:tc>
        <w:tc>
          <w:tcPr>
            <w:tcW w:w="811" w:type="dxa"/>
            <w:tcBorders>
              <w:top w:val="single" w:sz="4" w:space="0" w:color="000000"/>
              <w:left w:val="single" w:sz="12" w:space="0" w:color="000000"/>
              <w:bottom w:val="single" w:sz="4" w:space="0" w:color="000000"/>
              <w:right w:val="single" w:sz="12" w:space="0" w:color="000000"/>
            </w:tcBorders>
          </w:tcPr>
          <w:p w14:paraId="6D226AC2" w14:textId="49BBEF0F" w:rsidR="0094090C" w:rsidRDefault="0094090C" w:rsidP="0094090C">
            <w:pPr>
              <w:spacing w:after="0" w:line="259" w:lineRule="auto"/>
              <w:ind w:left="0" w:right="0" w:firstLine="0"/>
              <w:jc w:val="center"/>
              <w:rPr>
                <w:sz w:val="18"/>
              </w:rPr>
            </w:pPr>
            <w:r>
              <w:rPr>
                <w:sz w:val="18"/>
              </w:rPr>
              <w:t>660</w:t>
            </w:r>
          </w:p>
        </w:tc>
        <w:tc>
          <w:tcPr>
            <w:tcW w:w="711" w:type="dxa"/>
            <w:tcBorders>
              <w:top w:val="single" w:sz="4" w:space="0" w:color="000000"/>
              <w:left w:val="single" w:sz="12" w:space="0" w:color="000000"/>
              <w:bottom w:val="single" w:sz="4" w:space="0" w:color="000000"/>
              <w:right w:val="single" w:sz="12" w:space="0" w:color="000000"/>
            </w:tcBorders>
          </w:tcPr>
          <w:p w14:paraId="5C66743C" w14:textId="49CEDF8D" w:rsidR="0094090C" w:rsidRDefault="0094090C" w:rsidP="0094090C">
            <w:pPr>
              <w:spacing w:after="0" w:line="259" w:lineRule="auto"/>
              <w:ind w:left="0" w:right="44" w:firstLine="0"/>
              <w:jc w:val="center"/>
              <w:rPr>
                <w:rFonts w:eastAsia="Segoe UI Symbol"/>
                <w:sz w:val="18"/>
              </w:rPr>
            </w:pPr>
            <w:r>
              <w:rPr>
                <w:rFonts w:eastAsia="Segoe UI Symbol"/>
                <w:sz w:val="18"/>
              </w:rPr>
              <w:t>u</w:t>
            </w:r>
            <w:r>
              <w:rPr>
                <w:sz w:val="18"/>
              </w:rPr>
              <w:t>g/kg</w:t>
            </w:r>
          </w:p>
        </w:tc>
        <w:tc>
          <w:tcPr>
            <w:tcW w:w="647" w:type="dxa"/>
            <w:tcBorders>
              <w:top w:val="single" w:sz="4" w:space="0" w:color="000000"/>
              <w:left w:val="single" w:sz="12" w:space="0" w:color="000000"/>
              <w:bottom w:val="single" w:sz="4" w:space="0" w:color="000000"/>
              <w:right w:val="single" w:sz="12" w:space="0" w:color="000000"/>
            </w:tcBorders>
          </w:tcPr>
          <w:p w14:paraId="61860107" w14:textId="77777777" w:rsidR="0094090C" w:rsidRDefault="0094090C" w:rsidP="0094090C">
            <w:pPr>
              <w:spacing w:after="0" w:line="259" w:lineRule="auto"/>
              <w:ind w:left="0" w:right="0" w:firstLine="0"/>
              <w:jc w:val="center"/>
            </w:pPr>
          </w:p>
        </w:tc>
        <w:tc>
          <w:tcPr>
            <w:tcW w:w="540" w:type="dxa"/>
            <w:tcBorders>
              <w:top w:val="single" w:sz="4" w:space="0" w:color="000000"/>
              <w:left w:val="single" w:sz="12" w:space="0" w:color="000000"/>
              <w:bottom w:val="single" w:sz="4" w:space="0" w:color="000000"/>
              <w:right w:val="single" w:sz="12" w:space="0" w:color="000000"/>
            </w:tcBorders>
          </w:tcPr>
          <w:p w14:paraId="6CE26493" w14:textId="77777777" w:rsidR="0094090C" w:rsidRDefault="0094090C" w:rsidP="0094090C">
            <w:pPr>
              <w:spacing w:after="0" w:line="259" w:lineRule="auto"/>
              <w:ind w:left="0" w:right="1" w:firstLine="0"/>
              <w:jc w:val="center"/>
            </w:pPr>
          </w:p>
        </w:tc>
        <w:tc>
          <w:tcPr>
            <w:tcW w:w="540" w:type="dxa"/>
            <w:tcBorders>
              <w:top w:val="single" w:sz="4" w:space="0" w:color="000000"/>
              <w:left w:val="single" w:sz="12" w:space="0" w:color="000000"/>
              <w:bottom w:val="single" w:sz="4" w:space="0" w:color="000000"/>
              <w:right w:val="single" w:sz="12" w:space="0" w:color="000000"/>
            </w:tcBorders>
          </w:tcPr>
          <w:p w14:paraId="44393EFB" w14:textId="77777777" w:rsidR="0094090C" w:rsidRDefault="0094090C" w:rsidP="0094090C">
            <w:pPr>
              <w:spacing w:after="0" w:line="259" w:lineRule="auto"/>
              <w:ind w:left="0" w:right="0" w:firstLine="0"/>
              <w:jc w:val="center"/>
            </w:pPr>
          </w:p>
        </w:tc>
        <w:tc>
          <w:tcPr>
            <w:tcW w:w="917" w:type="dxa"/>
            <w:tcBorders>
              <w:top w:val="single" w:sz="4" w:space="0" w:color="000000"/>
              <w:left w:val="single" w:sz="12" w:space="0" w:color="000000"/>
              <w:bottom w:val="single" w:sz="4" w:space="0" w:color="000000"/>
              <w:right w:val="single" w:sz="12" w:space="0" w:color="000000"/>
            </w:tcBorders>
          </w:tcPr>
          <w:p w14:paraId="63320C75" w14:textId="2062FA8B" w:rsidR="0094090C" w:rsidRDefault="0094090C" w:rsidP="0094090C">
            <w:pPr>
              <w:spacing w:after="0" w:line="259" w:lineRule="auto"/>
              <w:ind w:left="38" w:right="0" w:firstLine="0"/>
              <w:jc w:val="center"/>
              <w:rPr>
                <w:sz w:val="18"/>
              </w:rPr>
            </w:pPr>
            <w:r>
              <w:rPr>
                <w:sz w:val="18"/>
              </w:rPr>
              <w:t>8141B</w:t>
            </w:r>
          </w:p>
        </w:tc>
        <w:tc>
          <w:tcPr>
            <w:tcW w:w="793" w:type="dxa"/>
            <w:tcBorders>
              <w:top w:val="single" w:sz="4" w:space="0" w:color="000000"/>
              <w:left w:val="single" w:sz="12" w:space="0" w:color="000000"/>
              <w:bottom w:val="single" w:sz="4" w:space="0" w:color="000000"/>
              <w:right w:val="single" w:sz="12" w:space="0" w:color="000000"/>
            </w:tcBorders>
          </w:tcPr>
          <w:p w14:paraId="1214C637" w14:textId="77777777" w:rsidR="0094090C" w:rsidRDefault="0094090C" w:rsidP="0094090C">
            <w:pPr>
              <w:spacing w:after="0" w:line="259" w:lineRule="auto"/>
              <w:ind w:left="0" w:right="2" w:firstLine="0"/>
              <w:jc w:val="center"/>
              <w:rPr>
                <w:sz w:val="18"/>
              </w:rPr>
            </w:pPr>
          </w:p>
        </w:tc>
      </w:tr>
      <w:tr w:rsidR="0094090C" w14:paraId="29337D16" w14:textId="77777777" w:rsidTr="005B6604">
        <w:trPr>
          <w:trHeight w:val="262"/>
        </w:trPr>
        <w:tc>
          <w:tcPr>
            <w:tcW w:w="3165" w:type="dxa"/>
            <w:tcBorders>
              <w:top w:val="single" w:sz="4" w:space="0" w:color="000000"/>
              <w:left w:val="single" w:sz="12" w:space="0" w:color="000000"/>
              <w:bottom w:val="single" w:sz="4" w:space="0" w:color="000000"/>
              <w:right w:val="single" w:sz="12" w:space="0" w:color="000000"/>
            </w:tcBorders>
          </w:tcPr>
          <w:p w14:paraId="027D90A8" w14:textId="3752877D" w:rsidR="0094090C" w:rsidRDefault="0094090C" w:rsidP="0094090C">
            <w:pPr>
              <w:spacing w:after="0" w:line="259" w:lineRule="auto"/>
              <w:ind w:left="0" w:right="0" w:firstLine="0"/>
              <w:rPr>
                <w:sz w:val="18"/>
              </w:rPr>
            </w:pPr>
            <w:proofErr w:type="spellStart"/>
            <w:r>
              <w:rPr>
                <w:sz w:val="18"/>
              </w:rPr>
              <w:t>Dichlorofenthion</w:t>
            </w:r>
            <w:proofErr w:type="spellEnd"/>
            <w:r>
              <w:rPr>
                <w:sz w:val="18"/>
              </w:rPr>
              <w:t xml:space="preserve"> </w:t>
            </w:r>
          </w:p>
        </w:tc>
        <w:tc>
          <w:tcPr>
            <w:tcW w:w="1194" w:type="dxa"/>
            <w:tcBorders>
              <w:top w:val="single" w:sz="4" w:space="0" w:color="000000"/>
              <w:left w:val="single" w:sz="12" w:space="0" w:color="000000"/>
              <w:bottom w:val="single" w:sz="4" w:space="0" w:color="000000"/>
              <w:right w:val="single" w:sz="12" w:space="0" w:color="000000"/>
            </w:tcBorders>
          </w:tcPr>
          <w:p w14:paraId="26233CA6" w14:textId="74249FB9" w:rsidR="0094090C" w:rsidRDefault="0094090C" w:rsidP="0094090C">
            <w:pPr>
              <w:spacing w:after="0" w:line="259" w:lineRule="auto"/>
              <w:ind w:left="0" w:right="44" w:firstLine="0"/>
              <w:jc w:val="center"/>
              <w:rPr>
                <w:sz w:val="18"/>
              </w:rPr>
            </w:pPr>
            <w:r>
              <w:rPr>
                <w:sz w:val="18"/>
              </w:rPr>
              <w:t>97-17-6</w:t>
            </w:r>
          </w:p>
        </w:tc>
        <w:tc>
          <w:tcPr>
            <w:tcW w:w="588" w:type="dxa"/>
            <w:tcBorders>
              <w:top w:val="single" w:sz="4" w:space="0" w:color="000000"/>
              <w:left w:val="single" w:sz="12" w:space="0" w:color="000000"/>
              <w:bottom w:val="single" w:sz="4" w:space="0" w:color="000000"/>
              <w:right w:val="single" w:sz="12" w:space="0" w:color="000000"/>
            </w:tcBorders>
          </w:tcPr>
          <w:p w14:paraId="30DA67F4" w14:textId="3C1069D4" w:rsidR="0094090C" w:rsidRDefault="0094090C" w:rsidP="0094090C">
            <w:pPr>
              <w:tabs>
                <w:tab w:val="right" w:pos="489"/>
              </w:tabs>
              <w:spacing w:after="0" w:line="259" w:lineRule="auto"/>
              <w:ind w:left="0" w:right="0" w:firstLine="0"/>
              <w:jc w:val="center"/>
              <w:rPr>
                <w:sz w:val="18"/>
              </w:rPr>
            </w:pPr>
            <w:r>
              <w:rPr>
                <w:sz w:val="18"/>
              </w:rPr>
              <w:t>20</w:t>
            </w:r>
          </w:p>
        </w:tc>
        <w:tc>
          <w:tcPr>
            <w:tcW w:w="714" w:type="dxa"/>
            <w:tcBorders>
              <w:top w:val="single" w:sz="4" w:space="0" w:color="000000"/>
              <w:left w:val="single" w:sz="12" w:space="0" w:color="000000"/>
              <w:bottom w:val="single" w:sz="4" w:space="0" w:color="000000"/>
              <w:right w:val="single" w:sz="12" w:space="0" w:color="000000"/>
            </w:tcBorders>
          </w:tcPr>
          <w:p w14:paraId="45D2B63C" w14:textId="5CB8B9F6" w:rsidR="0094090C" w:rsidRDefault="0094090C" w:rsidP="0094090C">
            <w:pPr>
              <w:spacing w:after="0" w:line="259" w:lineRule="auto"/>
              <w:ind w:left="0" w:right="48" w:firstLine="0"/>
              <w:jc w:val="center"/>
              <w:rPr>
                <w:sz w:val="18"/>
              </w:rPr>
            </w:pPr>
            <w:r>
              <w:rPr>
                <w:sz w:val="18"/>
              </w:rPr>
              <w:t>ug/L</w:t>
            </w:r>
          </w:p>
        </w:tc>
        <w:tc>
          <w:tcPr>
            <w:tcW w:w="811" w:type="dxa"/>
            <w:tcBorders>
              <w:top w:val="single" w:sz="4" w:space="0" w:color="000000"/>
              <w:left w:val="single" w:sz="12" w:space="0" w:color="000000"/>
              <w:bottom w:val="single" w:sz="4" w:space="0" w:color="000000"/>
              <w:right w:val="single" w:sz="12" w:space="0" w:color="000000"/>
            </w:tcBorders>
          </w:tcPr>
          <w:p w14:paraId="3FA5F749" w14:textId="35C30B4D" w:rsidR="0094090C" w:rsidRDefault="0094090C" w:rsidP="0094090C">
            <w:pPr>
              <w:spacing w:after="0" w:line="259" w:lineRule="auto"/>
              <w:ind w:left="0" w:right="0" w:firstLine="0"/>
              <w:jc w:val="center"/>
              <w:rPr>
                <w:sz w:val="18"/>
              </w:rPr>
            </w:pPr>
            <w:r>
              <w:rPr>
                <w:sz w:val="18"/>
              </w:rPr>
              <w:t>1300</w:t>
            </w:r>
          </w:p>
        </w:tc>
        <w:tc>
          <w:tcPr>
            <w:tcW w:w="711" w:type="dxa"/>
            <w:tcBorders>
              <w:top w:val="single" w:sz="4" w:space="0" w:color="000000"/>
              <w:left w:val="single" w:sz="12" w:space="0" w:color="000000"/>
              <w:bottom w:val="single" w:sz="4" w:space="0" w:color="000000"/>
              <w:right w:val="single" w:sz="12" w:space="0" w:color="000000"/>
            </w:tcBorders>
          </w:tcPr>
          <w:p w14:paraId="5D0C7D0A" w14:textId="16956942" w:rsidR="0094090C" w:rsidRDefault="0094090C" w:rsidP="0094090C">
            <w:pPr>
              <w:spacing w:after="0" w:line="259" w:lineRule="auto"/>
              <w:ind w:left="0" w:right="44" w:firstLine="0"/>
              <w:jc w:val="center"/>
              <w:rPr>
                <w:rFonts w:eastAsia="Segoe UI Symbol"/>
                <w:sz w:val="18"/>
              </w:rPr>
            </w:pPr>
            <w:r>
              <w:rPr>
                <w:rFonts w:eastAsia="Segoe UI Symbol"/>
                <w:sz w:val="18"/>
              </w:rPr>
              <w:t>u</w:t>
            </w:r>
            <w:r>
              <w:rPr>
                <w:sz w:val="18"/>
              </w:rPr>
              <w:t>g/kg</w:t>
            </w:r>
          </w:p>
        </w:tc>
        <w:tc>
          <w:tcPr>
            <w:tcW w:w="647" w:type="dxa"/>
            <w:tcBorders>
              <w:top w:val="single" w:sz="4" w:space="0" w:color="000000"/>
              <w:left w:val="single" w:sz="12" w:space="0" w:color="000000"/>
              <w:bottom w:val="single" w:sz="4" w:space="0" w:color="000000"/>
              <w:right w:val="single" w:sz="12" w:space="0" w:color="000000"/>
            </w:tcBorders>
          </w:tcPr>
          <w:p w14:paraId="4325DA73" w14:textId="77777777" w:rsidR="0094090C" w:rsidRDefault="0094090C" w:rsidP="0094090C">
            <w:pPr>
              <w:spacing w:after="0" w:line="259" w:lineRule="auto"/>
              <w:ind w:left="0" w:right="0" w:firstLine="0"/>
              <w:jc w:val="center"/>
            </w:pPr>
          </w:p>
        </w:tc>
        <w:tc>
          <w:tcPr>
            <w:tcW w:w="540" w:type="dxa"/>
            <w:tcBorders>
              <w:top w:val="single" w:sz="4" w:space="0" w:color="000000"/>
              <w:left w:val="single" w:sz="12" w:space="0" w:color="000000"/>
              <w:bottom w:val="single" w:sz="4" w:space="0" w:color="000000"/>
              <w:right w:val="single" w:sz="12" w:space="0" w:color="000000"/>
            </w:tcBorders>
          </w:tcPr>
          <w:p w14:paraId="1E3A443F" w14:textId="77777777" w:rsidR="0094090C" w:rsidRDefault="0094090C" w:rsidP="0094090C">
            <w:pPr>
              <w:spacing w:after="0" w:line="259" w:lineRule="auto"/>
              <w:ind w:left="0" w:right="1" w:firstLine="0"/>
              <w:jc w:val="center"/>
            </w:pPr>
          </w:p>
        </w:tc>
        <w:tc>
          <w:tcPr>
            <w:tcW w:w="540" w:type="dxa"/>
            <w:tcBorders>
              <w:top w:val="single" w:sz="4" w:space="0" w:color="000000"/>
              <w:left w:val="single" w:sz="12" w:space="0" w:color="000000"/>
              <w:bottom w:val="single" w:sz="4" w:space="0" w:color="000000"/>
              <w:right w:val="single" w:sz="12" w:space="0" w:color="000000"/>
            </w:tcBorders>
          </w:tcPr>
          <w:p w14:paraId="3C58EFE4" w14:textId="77777777" w:rsidR="0094090C" w:rsidRDefault="0094090C" w:rsidP="0094090C">
            <w:pPr>
              <w:spacing w:after="0" w:line="259" w:lineRule="auto"/>
              <w:ind w:left="0" w:right="0" w:firstLine="0"/>
              <w:jc w:val="center"/>
            </w:pPr>
          </w:p>
        </w:tc>
        <w:tc>
          <w:tcPr>
            <w:tcW w:w="917" w:type="dxa"/>
            <w:tcBorders>
              <w:top w:val="single" w:sz="4" w:space="0" w:color="000000"/>
              <w:left w:val="single" w:sz="12" w:space="0" w:color="000000"/>
              <w:bottom w:val="single" w:sz="4" w:space="0" w:color="000000"/>
              <w:right w:val="single" w:sz="12" w:space="0" w:color="000000"/>
            </w:tcBorders>
          </w:tcPr>
          <w:p w14:paraId="3AF7D0D9" w14:textId="7CF3CC1C" w:rsidR="0094090C" w:rsidRDefault="0094090C" w:rsidP="0094090C">
            <w:pPr>
              <w:spacing w:after="0" w:line="259" w:lineRule="auto"/>
              <w:ind w:left="38" w:right="0" w:firstLine="0"/>
              <w:jc w:val="center"/>
              <w:rPr>
                <w:sz w:val="18"/>
              </w:rPr>
            </w:pPr>
            <w:r>
              <w:rPr>
                <w:sz w:val="18"/>
              </w:rPr>
              <w:t>8141B</w:t>
            </w:r>
          </w:p>
        </w:tc>
        <w:tc>
          <w:tcPr>
            <w:tcW w:w="793" w:type="dxa"/>
            <w:tcBorders>
              <w:top w:val="single" w:sz="4" w:space="0" w:color="000000"/>
              <w:left w:val="single" w:sz="12" w:space="0" w:color="000000"/>
              <w:bottom w:val="single" w:sz="4" w:space="0" w:color="000000"/>
              <w:right w:val="single" w:sz="12" w:space="0" w:color="000000"/>
            </w:tcBorders>
          </w:tcPr>
          <w:p w14:paraId="5013F890" w14:textId="77777777" w:rsidR="0094090C" w:rsidRDefault="0094090C" w:rsidP="0094090C">
            <w:pPr>
              <w:spacing w:after="0" w:line="259" w:lineRule="auto"/>
              <w:ind w:left="0" w:right="2" w:firstLine="0"/>
              <w:jc w:val="center"/>
              <w:rPr>
                <w:sz w:val="18"/>
              </w:rPr>
            </w:pPr>
          </w:p>
        </w:tc>
      </w:tr>
      <w:tr w:rsidR="0094090C" w14:paraId="172E9F4E" w14:textId="77777777" w:rsidTr="005B6604">
        <w:trPr>
          <w:trHeight w:val="262"/>
        </w:trPr>
        <w:tc>
          <w:tcPr>
            <w:tcW w:w="3165" w:type="dxa"/>
            <w:tcBorders>
              <w:top w:val="single" w:sz="4" w:space="0" w:color="000000"/>
              <w:left w:val="single" w:sz="12" w:space="0" w:color="000000"/>
              <w:bottom w:val="single" w:sz="4" w:space="0" w:color="000000"/>
              <w:right w:val="single" w:sz="12" w:space="0" w:color="000000"/>
            </w:tcBorders>
          </w:tcPr>
          <w:p w14:paraId="226DF7A0" w14:textId="72A233FF" w:rsidR="0094090C" w:rsidRDefault="0094090C" w:rsidP="0094090C">
            <w:pPr>
              <w:spacing w:after="0" w:line="259" w:lineRule="auto"/>
              <w:ind w:left="0" w:right="0" w:firstLine="0"/>
              <w:rPr>
                <w:sz w:val="18"/>
              </w:rPr>
            </w:pPr>
            <w:r>
              <w:rPr>
                <w:sz w:val="18"/>
              </w:rPr>
              <w:t xml:space="preserve">Dichlorvos (DDVP) </w:t>
            </w:r>
          </w:p>
        </w:tc>
        <w:tc>
          <w:tcPr>
            <w:tcW w:w="1194" w:type="dxa"/>
            <w:tcBorders>
              <w:top w:val="single" w:sz="4" w:space="0" w:color="000000"/>
              <w:left w:val="single" w:sz="12" w:space="0" w:color="000000"/>
              <w:bottom w:val="single" w:sz="4" w:space="0" w:color="000000"/>
              <w:right w:val="single" w:sz="12" w:space="0" w:color="000000"/>
            </w:tcBorders>
          </w:tcPr>
          <w:p w14:paraId="6FC16C45" w14:textId="53B1B479" w:rsidR="0094090C" w:rsidRDefault="0094090C" w:rsidP="0094090C">
            <w:pPr>
              <w:spacing w:after="0" w:line="259" w:lineRule="auto"/>
              <w:ind w:left="0" w:right="44" w:firstLine="0"/>
              <w:jc w:val="center"/>
              <w:rPr>
                <w:sz w:val="18"/>
              </w:rPr>
            </w:pPr>
            <w:r>
              <w:rPr>
                <w:sz w:val="18"/>
              </w:rPr>
              <w:t>62-73-7</w:t>
            </w:r>
          </w:p>
        </w:tc>
        <w:tc>
          <w:tcPr>
            <w:tcW w:w="588" w:type="dxa"/>
            <w:tcBorders>
              <w:top w:val="single" w:sz="4" w:space="0" w:color="000000"/>
              <w:left w:val="single" w:sz="12" w:space="0" w:color="000000"/>
              <w:bottom w:val="single" w:sz="4" w:space="0" w:color="000000"/>
              <w:right w:val="single" w:sz="12" w:space="0" w:color="000000"/>
            </w:tcBorders>
          </w:tcPr>
          <w:p w14:paraId="6A638747" w14:textId="63656317" w:rsidR="0094090C" w:rsidRDefault="0094090C" w:rsidP="0094090C">
            <w:pPr>
              <w:tabs>
                <w:tab w:val="right" w:pos="489"/>
              </w:tabs>
              <w:spacing w:after="0" w:line="259" w:lineRule="auto"/>
              <w:ind w:left="0" w:right="0" w:firstLine="0"/>
              <w:jc w:val="center"/>
              <w:rPr>
                <w:sz w:val="18"/>
              </w:rPr>
            </w:pPr>
            <w:r>
              <w:rPr>
                <w:sz w:val="18"/>
              </w:rPr>
              <w:t>2</w:t>
            </w:r>
          </w:p>
        </w:tc>
        <w:tc>
          <w:tcPr>
            <w:tcW w:w="714" w:type="dxa"/>
            <w:tcBorders>
              <w:top w:val="single" w:sz="4" w:space="0" w:color="000000"/>
              <w:left w:val="single" w:sz="12" w:space="0" w:color="000000"/>
              <w:bottom w:val="single" w:sz="4" w:space="0" w:color="000000"/>
              <w:right w:val="single" w:sz="12" w:space="0" w:color="000000"/>
            </w:tcBorders>
          </w:tcPr>
          <w:p w14:paraId="0749A482" w14:textId="43976117" w:rsidR="0094090C" w:rsidRDefault="0094090C" w:rsidP="0094090C">
            <w:pPr>
              <w:spacing w:after="0" w:line="259" w:lineRule="auto"/>
              <w:ind w:left="0" w:right="48" w:firstLine="0"/>
              <w:jc w:val="center"/>
              <w:rPr>
                <w:sz w:val="18"/>
              </w:rPr>
            </w:pPr>
            <w:r>
              <w:rPr>
                <w:sz w:val="18"/>
              </w:rPr>
              <w:t>ug/L</w:t>
            </w:r>
          </w:p>
        </w:tc>
        <w:tc>
          <w:tcPr>
            <w:tcW w:w="811" w:type="dxa"/>
            <w:tcBorders>
              <w:top w:val="single" w:sz="4" w:space="0" w:color="000000"/>
              <w:left w:val="single" w:sz="12" w:space="0" w:color="000000"/>
              <w:bottom w:val="single" w:sz="4" w:space="0" w:color="000000"/>
              <w:right w:val="single" w:sz="12" w:space="0" w:color="000000"/>
            </w:tcBorders>
          </w:tcPr>
          <w:p w14:paraId="2F38D06A" w14:textId="2174933D" w:rsidR="0094090C" w:rsidRDefault="0094090C" w:rsidP="0094090C">
            <w:pPr>
              <w:spacing w:after="0" w:line="259" w:lineRule="auto"/>
              <w:ind w:left="0" w:right="0" w:firstLine="0"/>
              <w:jc w:val="center"/>
              <w:rPr>
                <w:sz w:val="18"/>
              </w:rPr>
            </w:pPr>
            <w:r>
              <w:rPr>
                <w:sz w:val="18"/>
              </w:rPr>
              <w:t>1300</w:t>
            </w:r>
          </w:p>
        </w:tc>
        <w:tc>
          <w:tcPr>
            <w:tcW w:w="711" w:type="dxa"/>
            <w:tcBorders>
              <w:top w:val="single" w:sz="4" w:space="0" w:color="000000"/>
              <w:left w:val="single" w:sz="12" w:space="0" w:color="000000"/>
              <w:bottom w:val="single" w:sz="4" w:space="0" w:color="000000"/>
              <w:right w:val="single" w:sz="12" w:space="0" w:color="000000"/>
            </w:tcBorders>
          </w:tcPr>
          <w:p w14:paraId="31A04D66" w14:textId="10414382" w:rsidR="0094090C" w:rsidRDefault="0094090C" w:rsidP="0094090C">
            <w:pPr>
              <w:spacing w:after="0" w:line="259" w:lineRule="auto"/>
              <w:ind w:left="0" w:right="44" w:firstLine="0"/>
              <w:jc w:val="center"/>
              <w:rPr>
                <w:rFonts w:eastAsia="Segoe UI Symbol"/>
                <w:sz w:val="18"/>
              </w:rPr>
            </w:pPr>
            <w:r>
              <w:rPr>
                <w:rFonts w:eastAsia="Segoe UI Symbol"/>
                <w:sz w:val="18"/>
              </w:rPr>
              <w:t>u</w:t>
            </w:r>
            <w:r>
              <w:rPr>
                <w:sz w:val="18"/>
              </w:rPr>
              <w:t>g/kg</w:t>
            </w:r>
          </w:p>
        </w:tc>
        <w:tc>
          <w:tcPr>
            <w:tcW w:w="647" w:type="dxa"/>
            <w:tcBorders>
              <w:top w:val="single" w:sz="4" w:space="0" w:color="000000"/>
              <w:left w:val="single" w:sz="12" w:space="0" w:color="000000"/>
              <w:bottom w:val="single" w:sz="4" w:space="0" w:color="000000"/>
              <w:right w:val="single" w:sz="12" w:space="0" w:color="000000"/>
            </w:tcBorders>
          </w:tcPr>
          <w:p w14:paraId="6DC60231" w14:textId="77777777" w:rsidR="0094090C" w:rsidRDefault="0094090C" w:rsidP="0094090C">
            <w:pPr>
              <w:spacing w:after="0" w:line="259" w:lineRule="auto"/>
              <w:ind w:left="0" w:right="0" w:firstLine="0"/>
              <w:jc w:val="center"/>
            </w:pPr>
          </w:p>
        </w:tc>
        <w:tc>
          <w:tcPr>
            <w:tcW w:w="540" w:type="dxa"/>
            <w:tcBorders>
              <w:top w:val="single" w:sz="4" w:space="0" w:color="000000"/>
              <w:left w:val="single" w:sz="12" w:space="0" w:color="000000"/>
              <w:bottom w:val="single" w:sz="4" w:space="0" w:color="000000"/>
              <w:right w:val="single" w:sz="12" w:space="0" w:color="000000"/>
            </w:tcBorders>
          </w:tcPr>
          <w:p w14:paraId="604EFE38" w14:textId="77777777" w:rsidR="0094090C" w:rsidRDefault="0094090C" w:rsidP="0094090C">
            <w:pPr>
              <w:spacing w:after="0" w:line="259" w:lineRule="auto"/>
              <w:ind w:left="0" w:right="1" w:firstLine="0"/>
              <w:jc w:val="center"/>
            </w:pPr>
          </w:p>
        </w:tc>
        <w:tc>
          <w:tcPr>
            <w:tcW w:w="540" w:type="dxa"/>
            <w:tcBorders>
              <w:top w:val="single" w:sz="4" w:space="0" w:color="000000"/>
              <w:left w:val="single" w:sz="12" w:space="0" w:color="000000"/>
              <w:bottom w:val="single" w:sz="4" w:space="0" w:color="000000"/>
              <w:right w:val="single" w:sz="12" w:space="0" w:color="000000"/>
            </w:tcBorders>
          </w:tcPr>
          <w:p w14:paraId="517BA440" w14:textId="77777777" w:rsidR="0094090C" w:rsidRDefault="0094090C" w:rsidP="0094090C">
            <w:pPr>
              <w:spacing w:after="0" w:line="259" w:lineRule="auto"/>
              <w:ind w:left="0" w:right="0" w:firstLine="0"/>
              <w:jc w:val="center"/>
            </w:pPr>
          </w:p>
        </w:tc>
        <w:tc>
          <w:tcPr>
            <w:tcW w:w="917" w:type="dxa"/>
            <w:tcBorders>
              <w:top w:val="single" w:sz="4" w:space="0" w:color="000000"/>
              <w:left w:val="single" w:sz="12" w:space="0" w:color="000000"/>
              <w:bottom w:val="single" w:sz="4" w:space="0" w:color="000000"/>
              <w:right w:val="single" w:sz="12" w:space="0" w:color="000000"/>
            </w:tcBorders>
          </w:tcPr>
          <w:p w14:paraId="0F591966" w14:textId="32C79C7B" w:rsidR="0094090C" w:rsidRDefault="0094090C" w:rsidP="0094090C">
            <w:pPr>
              <w:spacing w:after="0" w:line="259" w:lineRule="auto"/>
              <w:ind w:left="38" w:right="0" w:firstLine="0"/>
              <w:jc w:val="center"/>
              <w:rPr>
                <w:sz w:val="18"/>
              </w:rPr>
            </w:pPr>
            <w:r>
              <w:rPr>
                <w:sz w:val="18"/>
              </w:rPr>
              <w:t>8141B</w:t>
            </w:r>
          </w:p>
        </w:tc>
        <w:tc>
          <w:tcPr>
            <w:tcW w:w="793" w:type="dxa"/>
            <w:tcBorders>
              <w:top w:val="single" w:sz="4" w:space="0" w:color="000000"/>
              <w:left w:val="single" w:sz="12" w:space="0" w:color="000000"/>
              <w:bottom w:val="single" w:sz="4" w:space="0" w:color="000000"/>
              <w:right w:val="single" w:sz="12" w:space="0" w:color="000000"/>
            </w:tcBorders>
          </w:tcPr>
          <w:p w14:paraId="683011FA" w14:textId="2ECAF4C0" w:rsidR="0094090C" w:rsidRDefault="0094090C" w:rsidP="0094090C">
            <w:pPr>
              <w:spacing w:after="0" w:line="259" w:lineRule="auto"/>
              <w:ind w:left="0" w:right="2" w:firstLine="0"/>
              <w:jc w:val="center"/>
              <w:rPr>
                <w:sz w:val="18"/>
              </w:rPr>
            </w:pPr>
            <w:r>
              <w:rPr>
                <w:sz w:val="18"/>
              </w:rPr>
              <w:t>8321B</w:t>
            </w:r>
          </w:p>
        </w:tc>
      </w:tr>
      <w:tr w:rsidR="0094090C" w14:paraId="657D2DCB" w14:textId="77777777" w:rsidTr="005B6604">
        <w:trPr>
          <w:trHeight w:val="262"/>
        </w:trPr>
        <w:tc>
          <w:tcPr>
            <w:tcW w:w="3165" w:type="dxa"/>
            <w:tcBorders>
              <w:top w:val="single" w:sz="4" w:space="0" w:color="000000"/>
              <w:left w:val="single" w:sz="12" w:space="0" w:color="000000"/>
              <w:bottom w:val="single" w:sz="4" w:space="0" w:color="000000"/>
              <w:right w:val="single" w:sz="12" w:space="0" w:color="000000"/>
            </w:tcBorders>
          </w:tcPr>
          <w:p w14:paraId="76BA4B06" w14:textId="0E52C254" w:rsidR="0094090C" w:rsidRDefault="0094090C" w:rsidP="0094090C">
            <w:pPr>
              <w:spacing w:after="0" w:line="259" w:lineRule="auto"/>
              <w:ind w:left="0" w:right="0" w:firstLine="0"/>
              <w:rPr>
                <w:sz w:val="18"/>
              </w:rPr>
            </w:pPr>
            <w:proofErr w:type="spellStart"/>
            <w:r>
              <w:rPr>
                <w:sz w:val="18"/>
              </w:rPr>
              <w:t>Dicrotophos</w:t>
            </w:r>
            <w:proofErr w:type="spellEnd"/>
            <w:r>
              <w:rPr>
                <w:sz w:val="18"/>
              </w:rPr>
              <w:t xml:space="preserve"> </w:t>
            </w:r>
          </w:p>
        </w:tc>
        <w:tc>
          <w:tcPr>
            <w:tcW w:w="1194" w:type="dxa"/>
            <w:tcBorders>
              <w:top w:val="single" w:sz="4" w:space="0" w:color="000000"/>
              <w:left w:val="single" w:sz="12" w:space="0" w:color="000000"/>
              <w:bottom w:val="single" w:sz="4" w:space="0" w:color="000000"/>
              <w:right w:val="single" w:sz="12" w:space="0" w:color="000000"/>
            </w:tcBorders>
          </w:tcPr>
          <w:p w14:paraId="63DD1B7D" w14:textId="17F5D47A" w:rsidR="0094090C" w:rsidRDefault="0094090C" w:rsidP="0094090C">
            <w:pPr>
              <w:spacing w:after="0" w:line="259" w:lineRule="auto"/>
              <w:ind w:left="0" w:right="44" w:firstLine="0"/>
              <w:jc w:val="center"/>
              <w:rPr>
                <w:sz w:val="18"/>
              </w:rPr>
            </w:pPr>
            <w:r>
              <w:rPr>
                <w:sz w:val="18"/>
              </w:rPr>
              <w:t>141-66-2</w:t>
            </w:r>
          </w:p>
        </w:tc>
        <w:tc>
          <w:tcPr>
            <w:tcW w:w="588" w:type="dxa"/>
            <w:tcBorders>
              <w:top w:val="single" w:sz="4" w:space="0" w:color="000000"/>
              <w:left w:val="single" w:sz="12" w:space="0" w:color="000000"/>
              <w:bottom w:val="single" w:sz="4" w:space="0" w:color="000000"/>
              <w:right w:val="single" w:sz="12" w:space="0" w:color="000000"/>
            </w:tcBorders>
          </w:tcPr>
          <w:p w14:paraId="3474836C" w14:textId="4CE51C7E" w:rsidR="0094090C" w:rsidRDefault="0094090C" w:rsidP="0094090C">
            <w:pPr>
              <w:tabs>
                <w:tab w:val="right" w:pos="489"/>
              </w:tabs>
              <w:spacing w:after="0" w:line="259" w:lineRule="auto"/>
              <w:ind w:left="0" w:right="0" w:firstLine="0"/>
              <w:jc w:val="center"/>
              <w:rPr>
                <w:sz w:val="18"/>
              </w:rPr>
            </w:pPr>
            <w:r>
              <w:rPr>
                <w:sz w:val="18"/>
              </w:rPr>
              <w:t>20</w:t>
            </w:r>
          </w:p>
        </w:tc>
        <w:tc>
          <w:tcPr>
            <w:tcW w:w="714" w:type="dxa"/>
            <w:tcBorders>
              <w:top w:val="single" w:sz="4" w:space="0" w:color="000000"/>
              <w:left w:val="single" w:sz="12" w:space="0" w:color="000000"/>
              <w:bottom w:val="single" w:sz="4" w:space="0" w:color="000000"/>
              <w:right w:val="single" w:sz="12" w:space="0" w:color="000000"/>
            </w:tcBorders>
          </w:tcPr>
          <w:p w14:paraId="74E2871F" w14:textId="0C82F541" w:rsidR="0094090C" w:rsidRDefault="0094090C" w:rsidP="0094090C">
            <w:pPr>
              <w:spacing w:after="0" w:line="259" w:lineRule="auto"/>
              <w:ind w:left="0" w:right="48" w:firstLine="0"/>
              <w:jc w:val="center"/>
              <w:rPr>
                <w:sz w:val="18"/>
              </w:rPr>
            </w:pPr>
            <w:r>
              <w:rPr>
                <w:sz w:val="18"/>
              </w:rPr>
              <w:t>ug/L</w:t>
            </w:r>
          </w:p>
        </w:tc>
        <w:tc>
          <w:tcPr>
            <w:tcW w:w="811" w:type="dxa"/>
            <w:tcBorders>
              <w:top w:val="single" w:sz="4" w:space="0" w:color="000000"/>
              <w:left w:val="single" w:sz="12" w:space="0" w:color="000000"/>
              <w:bottom w:val="single" w:sz="4" w:space="0" w:color="000000"/>
              <w:right w:val="single" w:sz="12" w:space="0" w:color="000000"/>
            </w:tcBorders>
          </w:tcPr>
          <w:p w14:paraId="316695A4" w14:textId="17076C2C" w:rsidR="0094090C" w:rsidRDefault="0094090C" w:rsidP="0094090C">
            <w:pPr>
              <w:spacing w:after="0" w:line="259" w:lineRule="auto"/>
              <w:ind w:left="0" w:right="0" w:firstLine="0"/>
              <w:jc w:val="center"/>
              <w:rPr>
                <w:sz w:val="18"/>
              </w:rPr>
            </w:pPr>
            <w:r>
              <w:rPr>
                <w:sz w:val="18"/>
              </w:rPr>
              <w:t>1300</w:t>
            </w:r>
          </w:p>
        </w:tc>
        <w:tc>
          <w:tcPr>
            <w:tcW w:w="711" w:type="dxa"/>
            <w:tcBorders>
              <w:top w:val="single" w:sz="4" w:space="0" w:color="000000"/>
              <w:left w:val="single" w:sz="12" w:space="0" w:color="000000"/>
              <w:bottom w:val="single" w:sz="4" w:space="0" w:color="000000"/>
              <w:right w:val="single" w:sz="12" w:space="0" w:color="000000"/>
            </w:tcBorders>
          </w:tcPr>
          <w:p w14:paraId="47878547" w14:textId="12CD983F" w:rsidR="0094090C" w:rsidRDefault="0094090C" w:rsidP="0094090C">
            <w:pPr>
              <w:spacing w:after="0" w:line="259" w:lineRule="auto"/>
              <w:ind w:left="0" w:right="44" w:firstLine="0"/>
              <w:jc w:val="center"/>
              <w:rPr>
                <w:rFonts w:eastAsia="Segoe UI Symbol"/>
                <w:sz w:val="18"/>
              </w:rPr>
            </w:pPr>
            <w:r>
              <w:rPr>
                <w:rFonts w:eastAsia="Segoe UI Symbol"/>
                <w:sz w:val="18"/>
              </w:rPr>
              <w:t>u</w:t>
            </w:r>
            <w:r>
              <w:rPr>
                <w:sz w:val="18"/>
              </w:rPr>
              <w:t>g/kg</w:t>
            </w:r>
          </w:p>
        </w:tc>
        <w:tc>
          <w:tcPr>
            <w:tcW w:w="647" w:type="dxa"/>
            <w:tcBorders>
              <w:top w:val="single" w:sz="4" w:space="0" w:color="000000"/>
              <w:left w:val="single" w:sz="12" w:space="0" w:color="000000"/>
              <w:bottom w:val="single" w:sz="4" w:space="0" w:color="000000"/>
              <w:right w:val="single" w:sz="12" w:space="0" w:color="000000"/>
            </w:tcBorders>
          </w:tcPr>
          <w:p w14:paraId="3510C052" w14:textId="77777777" w:rsidR="0094090C" w:rsidRDefault="0094090C" w:rsidP="0094090C">
            <w:pPr>
              <w:spacing w:after="0" w:line="259" w:lineRule="auto"/>
              <w:ind w:left="0" w:right="0" w:firstLine="0"/>
              <w:jc w:val="center"/>
            </w:pPr>
          </w:p>
        </w:tc>
        <w:tc>
          <w:tcPr>
            <w:tcW w:w="540" w:type="dxa"/>
            <w:tcBorders>
              <w:top w:val="single" w:sz="4" w:space="0" w:color="000000"/>
              <w:left w:val="single" w:sz="12" w:space="0" w:color="000000"/>
              <w:bottom w:val="single" w:sz="4" w:space="0" w:color="000000"/>
              <w:right w:val="single" w:sz="12" w:space="0" w:color="000000"/>
            </w:tcBorders>
          </w:tcPr>
          <w:p w14:paraId="5EAEE739" w14:textId="77777777" w:rsidR="0094090C" w:rsidRDefault="0094090C" w:rsidP="0094090C">
            <w:pPr>
              <w:spacing w:after="0" w:line="259" w:lineRule="auto"/>
              <w:ind w:left="0" w:right="1" w:firstLine="0"/>
              <w:jc w:val="center"/>
            </w:pPr>
          </w:p>
        </w:tc>
        <w:tc>
          <w:tcPr>
            <w:tcW w:w="540" w:type="dxa"/>
            <w:tcBorders>
              <w:top w:val="single" w:sz="4" w:space="0" w:color="000000"/>
              <w:left w:val="single" w:sz="12" w:space="0" w:color="000000"/>
              <w:bottom w:val="single" w:sz="4" w:space="0" w:color="000000"/>
              <w:right w:val="single" w:sz="12" w:space="0" w:color="000000"/>
            </w:tcBorders>
          </w:tcPr>
          <w:p w14:paraId="76E962F3" w14:textId="77777777" w:rsidR="0094090C" w:rsidRDefault="0094090C" w:rsidP="0094090C">
            <w:pPr>
              <w:spacing w:after="0" w:line="259" w:lineRule="auto"/>
              <w:ind w:left="0" w:right="0" w:firstLine="0"/>
              <w:jc w:val="center"/>
            </w:pPr>
          </w:p>
        </w:tc>
        <w:tc>
          <w:tcPr>
            <w:tcW w:w="917" w:type="dxa"/>
            <w:tcBorders>
              <w:top w:val="single" w:sz="4" w:space="0" w:color="000000"/>
              <w:left w:val="single" w:sz="12" w:space="0" w:color="000000"/>
              <w:bottom w:val="single" w:sz="4" w:space="0" w:color="000000"/>
              <w:right w:val="single" w:sz="12" w:space="0" w:color="000000"/>
            </w:tcBorders>
          </w:tcPr>
          <w:p w14:paraId="7285FE08" w14:textId="74566E91" w:rsidR="0094090C" w:rsidRDefault="0094090C" w:rsidP="0094090C">
            <w:pPr>
              <w:spacing w:after="0" w:line="259" w:lineRule="auto"/>
              <w:ind w:left="38" w:right="0" w:firstLine="0"/>
              <w:jc w:val="center"/>
              <w:rPr>
                <w:sz w:val="18"/>
              </w:rPr>
            </w:pPr>
            <w:r>
              <w:rPr>
                <w:sz w:val="18"/>
              </w:rPr>
              <w:t>8141B</w:t>
            </w:r>
          </w:p>
        </w:tc>
        <w:tc>
          <w:tcPr>
            <w:tcW w:w="793" w:type="dxa"/>
            <w:tcBorders>
              <w:top w:val="single" w:sz="4" w:space="0" w:color="000000"/>
              <w:left w:val="single" w:sz="12" w:space="0" w:color="000000"/>
              <w:bottom w:val="single" w:sz="4" w:space="0" w:color="000000"/>
              <w:right w:val="single" w:sz="12" w:space="0" w:color="000000"/>
            </w:tcBorders>
          </w:tcPr>
          <w:p w14:paraId="196F7F8E" w14:textId="32DCAE08" w:rsidR="0094090C" w:rsidRDefault="0094090C" w:rsidP="0094090C">
            <w:pPr>
              <w:spacing w:after="0" w:line="259" w:lineRule="auto"/>
              <w:ind w:left="0" w:right="2" w:firstLine="0"/>
              <w:jc w:val="center"/>
              <w:rPr>
                <w:sz w:val="18"/>
              </w:rPr>
            </w:pPr>
            <w:r>
              <w:rPr>
                <w:sz w:val="18"/>
              </w:rPr>
              <w:t>8270D</w:t>
            </w:r>
          </w:p>
        </w:tc>
      </w:tr>
      <w:tr w:rsidR="0094090C" w14:paraId="1458AF1E" w14:textId="77777777" w:rsidTr="005B6604">
        <w:trPr>
          <w:trHeight w:val="262"/>
        </w:trPr>
        <w:tc>
          <w:tcPr>
            <w:tcW w:w="3165" w:type="dxa"/>
            <w:tcBorders>
              <w:top w:val="single" w:sz="4" w:space="0" w:color="000000"/>
              <w:left w:val="single" w:sz="12" w:space="0" w:color="000000"/>
              <w:bottom w:val="single" w:sz="4" w:space="0" w:color="000000"/>
              <w:right w:val="single" w:sz="12" w:space="0" w:color="000000"/>
            </w:tcBorders>
          </w:tcPr>
          <w:p w14:paraId="3B6169F6" w14:textId="2942CF1E" w:rsidR="0094090C" w:rsidRDefault="0094090C" w:rsidP="0094090C">
            <w:pPr>
              <w:spacing w:after="0" w:line="259" w:lineRule="auto"/>
              <w:ind w:left="0" w:right="0" w:firstLine="0"/>
              <w:rPr>
                <w:sz w:val="18"/>
              </w:rPr>
            </w:pPr>
            <w:r>
              <w:rPr>
                <w:sz w:val="18"/>
              </w:rPr>
              <w:t xml:space="preserve">Dioxathion </w:t>
            </w:r>
          </w:p>
        </w:tc>
        <w:tc>
          <w:tcPr>
            <w:tcW w:w="1194" w:type="dxa"/>
            <w:tcBorders>
              <w:top w:val="single" w:sz="4" w:space="0" w:color="000000"/>
              <w:left w:val="single" w:sz="12" w:space="0" w:color="000000"/>
              <w:bottom w:val="single" w:sz="4" w:space="0" w:color="000000"/>
              <w:right w:val="single" w:sz="12" w:space="0" w:color="000000"/>
            </w:tcBorders>
          </w:tcPr>
          <w:p w14:paraId="232AD41E" w14:textId="031074BD" w:rsidR="0094090C" w:rsidRDefault="0094090C" w:rsidP="0094090C">
            <w:pPr>
              <w:spacing w:after="0" w:line="259" w:lineRule="auto"/>
              <w:ind w:left="0" w:right="44" w:firstLine="0"/>
              <w:jc w:val="center"/>
              <w:rPr>
                <w:sz w:val="18"/>
              </w:rPr>
            </w:pPr>
            <w:r>
              <w:rPr>
                <w:sz w:val="18"/>
              </w:rPr>
              <w:t>78-34-2</w:t>
            </w:r>
          </w:p>
        </w:tc>
        <w:tc>
          <w:tcPr>
            <w:tcW w:w="588" w:type="dxa"/>
            <w:tcBorders>
              <w:top w:val="single" w:sz="4" w:space="0" w:color="000000"/>
              <w:left w:val="single" w:sz="12" w:space="0" w:color="000000"/>
              <w:bottom w:val="single" w:sz="4" w:space="0" w:color="000000"/>
              <w:right w:val="single" w:sz="12" w:space="0" w:color="000000"/>
            </w:tcBorders>
          </w:tcPr>
          <w:p w14:paraId="3D183CE5" w14:textId="295B2B09" w:rsidR="0094090C" w:rsidRDefault="0094090C" w:rsidP="0094090C">
            <w:pPr>
              <w:tabs>
                <w:tab w:val="right" w:pos="489"/>
              </w:tabs>
              <w:spacing w:after="0" w:line="259" w:lineRule="auto"/>
              <w:ind w:left="0" w:right="0" w:firstLine="0"/>
              <w:jc w:val="center"/>
              <w:rPr>
                <w:sz w:val="18"/>
              </w:rPr>
            </w:pPr>
            <w:r>
              <w:rPr>
                <w:sz w:val="18"/>
              </w:rPr>
              <w:t>30</w:t>
            </w:r>
          </w:p>
        </w:tc>
        <w:tc>
          <w:tcPr>
            <w:tcW w:w="714" w:type="dxa"/>
            <w:tcBorders>
              <w:top w:val="single" w:sz="4" w:space="0" w:color="000000"/>
              <w:left w:val="single" w:sz="12" w:space="0" w:color="000000"/>
              <w:bottom w:val="single" w:sz="4" w:space="0" w:color="000000"/>
              <w:right w:val="single" w:sz="12" w:space="0" w:color="000000"/>
            </w:tcBorders>
          </w:tcPr>
          <w:p w14:paraId="65E4E74B" w14:textId="298ED0D7" w:rsidR="0094090C" w:rsidRDefault="0094090C" w:rsidP="0094090C">
            <w:pPr>
              <w:spacing w:after="0" w:line="259" w:lineRule="auto"/>
              <w:ind w:left="0" w:right="48" w:firstLine="0"/>
              <w:jc w:val="center"/>
              <w:rPr>
                <w:sz w:val="18"/>
              </w:rPr>
            </w:pPr>
            <w:r>
              <w:rPr>
                <w:sz w:val="18"/>
              </w:rPr>
              <w:t>ug/L</w:t>
            </w:r>
          </w:p>
        </w:tc>
        <w:tc>
          <w:tcPr>
            <w:tcW w:w="811" w:type="dxa"/>
            <w:tcBorders>
              <w:top w:val="single" w:sz="4" w:space="0" w:color="000000"/>
              <w:left w:val="single" w:sz="12" w:space="0" w:color="000000"/>
              <w:bottom w:val="single" w:sz="4" w:space="0" w:color="000000"/>
              <w:right w:val="single" w:sz="12" w:space="0" w:color="000000"/>
            </w:tcBorders>
          </w:tcPr>
          <w:p w14:paraId="198A1ABD" w14:textId="66EE870B" w:rsidR="0094090C" w:rsidRDefault="0094090C" w:rsidP="0094090C">
            <w:pPr>
              <w:spacing w:after="0" w:line="259" w:lineRule="auto"/>
              <w:ind w:left="0" w:right="0" w:firstLine="0"/>
              <w:jc w:val="center"/>
              <w:rPr>
                <w:sz w:val="18"/>
              </w:rPr>
            </w:pPr>
            <w:r>
              <w:rPr>
                <w:sz w:val="18"/>
              </w:rPr>
              <w:t>2000</w:t>
            </w:r>
          </w:p>
        </w:tc>
        <w:tc>
          <w:tcPr>
            <w:tcW w:w="711" w:type="dxa"/>
            <w:tcBorders>
              <w:top w:val="single" w:sz="4" w:space="0" w:color="000000"/>
              <w:left w:val="single" w:sz="12" w:space="0" w:color="000000"/>
              <w:bottom w:val="single" w:sz="4" w:space="0" w:color="000000"/>
              <w:right w:val="single" w:sz="12" w:space="0" w:color="000000"/>
            </w:tcBorders>
          </w:tcPr>
          <w:p w14:paraId="62308D1D" w14:textId="67BFA103" w:rsidR="0094090C" w:rsidRDefault="0094090C" w:rsidP="0094090C">
            <w:pPr>
              <w:spacing w:after="0" w:line="259" w:lineRule="auto"/>
              <w:ind w:left="0" w:right="44" w:firstLine="0"/>
              <w:jc w:val="center"/>
              <w:rPr>
                <w:rFonts w:eastAsia="Segoe UI Symbol"/>
                <w:sz w:val="18"/>
              </w:rPr>
            </w:pPr>
            <w:r>
              <w:rPr>
                <w:rFonts w:eastAsia="Segoe UI Symbol"/>
                <w:sz w:val="18"/>
              </w:rPr>
              <w:t>u</w:t>
            </w:r>
            <w:r>
              <w:rPr>
                <w:sz w:val="18"/>
              </w:rPr>
              <w:t>g/kg</w:t>
            </w:r>
          </w:p>
        </w:tc>
        <w:tc>
          <w:tcPr>
            <w:tcW w:w="647" w:type="dxa"/>
            <w:tcBorders>
              <w:top w:val="single" w:sz="4" w:space="0" w:color="000000"/>
              <w:left w:val="single" w:sz="12" w:space="0" w:color="000000"/>
              <w:bottom w:val="single" w:sz="4" w:space="0" w:color="000000"/>
              <w:right w:val="single" w:sz="12" w:space="0" w:color="000000"/>
            </w:tcBorders>
          </w:tcPr>
          <w:p w14:paraId="7BA2842C" w14:textId="77777777" w:rsidR="0094090C" w:rsidRDefault="0094090C" w:rsidP="0094090C">
            <w:pPr>
              <w:spacing w:after="0" w:line="259" w:lineRule="auto"/>
              <w:ind w:left="0" w:right="0" w:firstLine="0"/>
              <w:jc w:val="center"/>
            </w:pPr>
          </w:p>
        </w:tc>
        <w:tc>
          <w:tcPr>
            <w:tcW w:w="540" w:type="dxa"/>
            <w:tcBorders>
              <w:top w:val="single" w:sz="4" w:space="0" w:color="000000"/>
              <w:left w:val="single" w:sz="12" w:space="0" w:color="000000"/>
              <w:bottom w:val="single" w:sz="4" w:space="0" w:color="000000"/>
              <w:right w:val="single" w:sz="12" w:space="0" w:color="000000"/>
            </w:tcBorders>
          </w:tcPr>
          <w:p w14:paraId="24B588BE" w14:textId="77777777" w:rsidR="0094090C" w:rsidRDefault="0094090C" w:rsidP="0094090C">
            <w:pPr>
              <w:spacing w:after="0" w:line="259" w:lineRule="auto"/>
              <w:ind w:left="0" w:right="1" w:firstLine="0"/>
              <w:jc w:val="center"/>
            </w:pPr>
          </w:p>
        </w:tc>
        <w:tc>
          <w:tcPr>
            <w:tcW w:w="540" w:type="dxa"/>
            <w:tcBorders>
              <w:top w:val="single" w:sz="4" w:space="0" w:color="000000"/>
              <w:left w:val="single" w:sz="12" w:space="0" w:color="000000"/>
              <w:bottom w:val="single" w:sz="4" w:space="0" w:color="000000"/>
              <w:right w:val="single" w:sz="12" w:space="0" w:color="000000"/>
            </w:tcBorders>
          </w:tcPr>
          <w:p w14:paraId="634BA522" w14:textId="77777777" w:rsidR="0094090C" w:rsidRDefault="0094090C" w:rsidP="0094090C">
            <w:pPr>
              <w:spacing w:after="0" w:line="259" w:lineRule="auto"/>
              <w:ind w:left="0" w:right="0" w:firstLine="0"/>
              <w:jc w:val="center"/>
            </w:pPr>
          </w:p>
        </w:tc>
        <w:tc>
          <w:tcPr>
            <w:tcW w:w="917" w:type="dxa"/>
            <w:tcBorders>
              <w:top w:val="single" w:sz="4" w:space="0" w:color="000000"/>
              <w:left w:val="single" w:sz="12" w:space="0" w:color="000000"/>
              <w:bottom w:val="single" w:sz="4" w:space="0" w:color="000000"/>
              <w:right w:val="single" w:sz="12" w:space="0" w:color="000000"/>
            </w:tcBorders>
          </w:tcPr>
          <w:p w14:paraId="680AE776" w14:textId="3D90DF22" w:rsidR="0094090C" w:rsidRDefault="0094090C" w:rsidP="0094090C">
            <w:pPr>
              <w:spacing w:after="0" w:line="259" w:lineRule="auto"/>
              <w:ind w:left="38" w:right="0" w:firstLine="0"/>
              <w:jc w:val="center"/>
              <w:rPr>
                <w:sz w:val="18"/>
              </w:rPr>
            </w:pPr>
            <w:r>
              <w:rPr>
                <w:sz w:val="18"/>
              </w:rPr>
              <w:t>8141B</w:t>
            </w:r>
          </w:p>
        </w:tc>
        <w:tc>
          <w:tcPr>
            <w:tcW w:w="793" w:type="dxa"/>
            <w:tcBorders>
              <w:top w:val="single" w:sz="4" w:space="0" w:color="000000"/>
              <w:left w:val="single" w:sz="12" w:space="0" w:color="000000"/>
              <w:bottom w:val="single" w:sz="4" w:space="0" w:color="000000"/>
              <w:right w:val="single" w:sz="12" w:space="0" w:color="000000"/>
            </w:tcBorders>
          </w:tcPr>
          <w:p w14:paraId="055E791B" w14:textId="79CCFC88" w:rsidR="0094090C" w:rsidRDefault="0094090C" w:rsidP="0094090C">
            <w:pPr>
              <w:spacing w:after="0" w:line="259" w:lineRule="auto"/>
              <w:ind w:left="0" w:right="2" w:firstLine="0"/>
              <w:jc w:val="center"/>
              <w:rPr>
                <w:sz w:val="18"/>
              </w:rPr>
            </w:pPr>
            <w:r>
              <w:rPr>
                <w:sz w:val="18"/>
              </w:rPr>
              <w:t>8270D</w:t>
            </w:r>
          </w:p>
        </w:tc>
      </w:tr>
      <w:tr w:rsidR="0094090C" w14:paraId="057F2A8A" w14:textId="77777777" w:rsidTr="005B6604">
        <w:trPr>
          <w:trHeight w:val="262"/>
        </w:trPr>
        <w:tc>
          <w:tcPr>
            <w:tcW w:w="3165" w:type="dxa"/>
            <w:tcBorders>
              <w:top w:val="single" w:sz="4" w:space="0" w:color="000000"/>
              <w:left w:val="single" w:sz="12" w:space="0" w:color="000000"/>
              <w:bottom w:val="single" w:sz="4" w:space="0" w:color="000000"/>
              <w:right w:val="single" w:sz="12" w:space="0" w:color="000000"/>
            </w:tcBorders>
          </w:tcPr>
          <w:p w14:paraId="77982FA3" w14:textId="7A8FA3D5" w:rsidR="0094090C" w:rsidRDefault="0094090C" w:rsidP="0094090C">
            <w:pPr>
              <w:spacing w:after="0" w:line="259" w:lineRule="auto"/>
              <w:ind w:left="0" w:right="0" w:firstLine="0"/>
              <w:rPr>
                <w:sz w:val="18"/>
              </w:rPr>
            </w:pPr>
            <w:r>
              <w:rPr>
                <w:sz w:val="18"/>
              </w:rPr>
              <w:t xml:space="preserve">EPN </w:t>
            </w:r>
          </w:p>
        </w:tc>
        <w:tc>
          <w:tcPr>
            <w:tcW w:w="1194" w:type="dxa"/>
            <w:tcBorders>
              <w:top w:val="single" w:sz="4" w:space="0" w:color="000000"/>
              <w:left w:val="single" w:sz="12" w:space="0" w:color="000000"/>
              <w:bottom w:val="single" w:sz="4" w:space="0" w:color="000000"/>
              <w:right w:val="single" w:sz="12" w:space="0" w:color="000000"/>
            </w:tcBorders>
          </w:tcPr>
          <w:p w14:paraId="24686A3E" w14:textId="738D08F4" w:rsidR="0094090C" w:rsidRDefault="0094090C" w:rsidP="0094090C">
            <w:pPr>
              <w:spacing w:after="0" w:line="259" w:lineRule="auto"/>
              <w:ind w:left="0" w:right="44" w:firstLine="0"/>
              <w:jc w:val="center"/>
              <w:rPr>
                <w:sz w:val="18"/>
              </w:rPr>
            </w:pPr>
            <w:r>
              <w:rPr>
                <w:sz w:val="18"/>
              </w:rPr>
              <w:t>2104-64-5</w:t>
            </w:r>
          </w:p>
        </w:tc>
        <w:tc>
          <w:tcPr>
            <w:tcW w:w="588" w:type="dxa"/>
            <w:tcBorders>
              <w:top w:val="single" w:sz="4" w:space="0" w:color="000000"/>
              <w:left w:val="single" w:sz="12" w:space="0" w:color="000000"/>
              <w:bottom w:val="single" w:sz="4" w:space="0" w:color="000000"/>
              <w:right w:val="single" w:sz="12" w:space="0" w:color="000000"/>
            </w:tcBorders>
          </w:tcPr>
          <w:p w14:paraId="54C080E6" w14:textId="049D6C1C" w:rsidR="0094090C" w:rsidRDefault="0094090C" w:rsidP="0094090C">
            <w:pPr>
              <w:tabs>
                <w:tab w:val="right" w:pos="489"/>
              </w:tabs>
              <w:spacing w:after="0" w:line="259" w:lineRule="auto"/>
              <w:ind w:left="0" w:right="0" w:firstLine="0"/>
              <w:jc w:val="center"/>
              <w:rPr>
                <w:sz w:val="18"/>
              </w:rPr>
            </w:pPr>
            <w:r>
              <w:rPr>
                <w:sz w:val="18"/>
              </w:rPr>
              <w:t>20</w:t>
            </w:r>
          </w:p>
        </w:tc>
        <w:tc>
          <w:tcPr>
            <w:tcW w:w="714" w:type="dxa"/>
            <w:tcBorders>
              <w:top w:val="single" w:sz="4" w:space="0" w:color="000000"/>
              <w:left w:val="single" w:sz="12" w:space="0" w:color="000000"/>
              <w:bottom w:val="single" w:sz="4" w:space="0" w:color="000000"/>
              <w:right w:val="single" w:sz="12" w:space="0" w:color="000000"/>
            </w:tcBorders>
          </w:tcPr>
          <w:p w14:paraId="781DD01E" w14:textId="26491E34" w:rsidR="0094090C" w:rsidRDefault="0094090C" w:rsidP="0094090C">
            <w:pPr>
              <w:spacing w:after="0" w:line="259" w:lineRule="auto"/>
              <w:ind w:left="0" w:right="48" w:firstLine="0"/>
              <w:jc w:val="center"/>
              <w:rPr>
                <w:sz w:val="18"/>
              </w:rPr>
            </w:pPr>
            <w:r>
              <w:rPr>
                <w:sz w:val="18"/>
              </w:rPr>
              <w:t>ug/L</w:t>
            </w:r>
          </w:p>
        </w:tc>
        <w:tc>
          <w:tcPr>
            <w:tcW w:w="811" w:type="dxa"/>
            <w:tcBorders>
              <w:top w:val="single" w:sz="4" w:space="0" w:color="000000"/>
              <w:left w:val="single" w:sz="12" w:space="0" w:color="000000"/>
              <w:bottom w:val="single" w:sz="4" w:space="0" w:color="000000"/>
              <w:right w:val="single" w:sz="12" w:space="0" w:color="000000"/>
            </w:tcBorders>
          </w:tcPr>
          <w:p w14:paraId="2AC60390" w14:textId="5E1874ED" w:rsidR="0094090C" w:rsidRDefault="0094090C" w:rsidP="0094090C">
            <w:pPr>
              <w:spacing w:after="0" w:line="259" w:lineRule="auto"/>
              <w:ind w:left="0" w:right="0" w:firstLine="0"/>
              <w:jc w:val="center"/>
              <w:rPr>
                <w:sz w:val="18"/>
              </w:rPr>
            </w:pPr>
            <w:r>
              <w:rPr>
                <w:sz w:val="18"/>
              </w:rPr>
              <w:t>1300</w:t>
            </w:r>
          </w:p>
        </w:tc>
        <w:tc>
          <w:tcPr>
            <w:tcW w:w="711" w:type="dxa"/>
            <w:tcBorders>
              <w:top w:val="single" w:sz="4" w:space="0" w:color="000000"/>
              <w:left w:val="single" w:sz="12" w:space="0" w:color="000000"/>
              <w:bottom w:val="single" w:sz="4" w:space="0" w:color="000000"/>
              <w:right w:val="single" w:sz="12" w:space="0" w:color="000000"/>
            </w:tcBorders>
          </w:tcPr>
          <w:p w14:paraId="09837E1D" w14:textId="6B4A7F3D" w:rsidR="0094090C" w:rsidRDefault="0094090C" w:rsidP="0094090C">
            <w:pPr>
              <w:spacing w:after="0" w:line="259" w:lineRule="auto"/>
              <w:ind w:left="0" w:right="44" w:firstLine="0"/>
              <w:jc w:val="center"/>
              <w:rPr>
                <w:rFonts w:eastAsia="Segoe UI Symbol"/>
                <w:sz w:val="18"/>
              </w:rPr>
            </w:pPr>
            <w:r>
              <w:rPr>
                <w:rFonts w:eastAsia="Segoe UI Symbol"/>
                <w:sz w:val="18"/>
              </w:rPr>
              <w:t>u</w:t>
            </w:r>
            <w:r>
              <w:rPr>
                <w:sz w:val="18"/>
              </w:rPr>
              <w:t>g/kg</w:t>
            </w:r>
          </w:p>
        </w:tc>
        <w:tc>
          <w:tcPr>
            <w:tcW w:w="647" w:type="dxa"/>
            <w:tcBorders>
              <w:top w:val="single" w:sz="4" w:space="0" w:color="000000"/>
              <w:left w:val="single" w:sz="12" w:space="0" w:color="000000"/>
              <w:bottom w:val="single" w:sz="4" w:space="0" w:color="000000"/>
              <w:right w:val="single" w:sz="12" w:space="0" w:color="000000"/>
            </w:tcBorders>
          </w:tcPr>
          <w:p w14:paraId="1489C700" w14:textId="77777777" w:rsidR="0094090C" w:rsidRDefault="0094090C" w:rsidP="0094090C">
            <w:pPr>
              <w:spacing w:after="0" w:line="259" w:lineRule="auto"/>
              <w:ind w:left="0" w:right="0" w:firstLine="0"/>
              <w:jc w:val="center"/>
            </w:pPr>
          </w:p>
        </w:tc>
        <w:tc>
          <w:tcPr>
            <w:tcW w:w="540" w:type="dxa"/>
            <w:tcBorders>
              <w:top w:val="single" w:sz="4" w:space="0" w:color="000000"/>
              <w:left w:val="single" w:sz="12" w:space="0" w:color="000000"/>
              <w:bottom w:val="single" w:sz="4" w:space="0" w:color="000000"/>
              <w:right w:val="single" w:sz="12" w:space="0" w:color="000000"/>
            </w:tcBorders>
          </w:tcPr>
          <w:p w14:paraId="04A401C7" w14:textId="77777777" w:rsidR="0094090C" w:rsidRDefault="0094090C" w:rsidP="0094090C">
            <w:pPr>
              <w:spacing w:after="0" w:line="259" w:lineRule="auto"/>
              <w:ind w:left="0" w:right="1" w:firstLine="0"/>
              <w:jc w:val="center"/>
            </w:pPr>
          </w:p>
        </w:tc>
        <w:tc>
          <w:tcPr>
            <w:tcW w:w="540" w:type="dxa"/>
            <w:tcBorders>
              <w:top w:val="single" w:sz="4" w:space="0" w:color="000000"/>
              <w:left w:val="single" w:sz="12" w:space="0" w:color="000000"/>
              <w:bottom w:val="single" w:sz="4" w:space="0" w:color="000000"/>
              <w:right w:val="single" w:sz="12" w:space="0" w:color="000000"/>
            </w:tcBorders>
          </w:tcPr>
          <w:p w14:paraId="22E4DA4E" w14:textId="77777777" w:rsidR="0094090C" w:rsidRDefault="0094090C" w:rsidP="0094090C">
            <w:pPr>
              <w:spacing w:after="0" w:line="259" w:lineRule="auto"/>
              <w:ind w:left="0" w:right="0" w:firstLine="0"/>
              <w:jc w:val="center"/>
            </w:pPr>
          </w:p>
        </w:tc>
        <w:tc>
          <w:tcPr>
            <w:tcW w:w="917" w:type="dxa"/>
            <w:tcBorders>
              <w:top w:val="single" w:sz="4" w:space="0" w:color="000000"/>
              <w:left w:val="single" w:sz="12" w:space="0" w:color="000000"/>
              <w:bottom w:val="single" w:sz="4" w:space="0" w:color="000000"/>
              <w:right w:val="single" w:sz="12" w:space="0" w:color="000000"/>
            </w:tcBorders>
          </w:tcPr>
          <w:p w14:paraId="40979FDA" w14:textId="24002A84" w:rsidR="0094090C" w:rsidRDefault="0094090C" w:rsidP="0094090C">
            <w:pPr>
              <w:spacing w:after="0" w:line="259" w:lineRule="auto"/>
              <w:ind w:left="38" w:right="0" w:firstLine="0"/>
              <w:jc w:val="center"/>
              <w:rPr>
                <w:sz w:val="18"/>
              </w:rPr>
            </w:pPr>
            <w:r>
              <w:rPr>
                <w:sz w:val="18"/>
              </w:rPr>
              <w:t>8141B</w:t>
            </w:r>
          </w:p>
        </w:tc>
        <w:tc>
          <w:tcPr>
            <w:tcW w:w="793" w:type="dxa"/>
            <w:tcBorders>
              <w:top w:val="single" w:sz="4" w:space="0" w:color="000000"/>
              <w:left w:val="single" w:sz="12" w:space="0" w:color="000000"/>
              <w:bottom w:val="single" w:sz="4" w:space="0" w:color="000000"/>
              <w:right w:val="single" w:sz="12" w:space="0" w:color="000000"/>
            </w:tcBorders>
          </w:tcPr>
          <w:p w14:paraId="13DC4CE8" w14:textId="356BDE66" w:rsidR="0094090C" w:rsidRDefault="0094090C" w:rsidP="0094090C">
            <w:pPr>
              <w:spacing w:after="0" w:line="259" w:lineRule="auto"/>
              <w:ind w:left="0" w:right="2" w:firstLine="0"/>
              <w:jc w:val="center"/>
              <w:rPr>
                <w:sz w:val="18"/>
              </w:rPr>
            </w:pPr>
            <w:r>
              <w:rPr>
                <w:sz w:val="18"/>
              </w:rPr>
              <w:t>8270D</w:t>
            </w:r>
          </w:p>
        </w:tc>
      </w:tr>
      <w:tr w:rsidR="0094090C" w14:paraId="56DDC540" w14:textId="77777777" w:rsidTr="005B6604">
        <w:trPr>
          <w:trHeight w:val="262"/>
        </w:trPr>
        <w:tc>
          <w:tcPr>
            <w:tcW w:w="3165" w:type="dxa"/>
            <w:tcBorders>
              <w:top w:val="single" w:sz="4" w:space="0" w:color="000000"/>
              <w:left w:val="single" w:sz="12" w:space="0" w:color="000000"/>
              <w:bottom w:val="single" w:sz="4" w:space="0" w:color="000000"/>
              <w:right w:val="single" w:sz="12" w:space="0" w:color="000000"/>
            </w:tcBorders>
          </w:tcPr>
          <w:p w14:paraId="203466AC" w14:textId="14E50A8F" w:rsidR="0094090C" w:rsidRDefault="0094090C" w:rsidP="0094090C">
            <w:pPr>
              <w:spacing w:after="0" w:line="259" w:lineRule="auto"/>
              <w:ind w:left="0" w:right="0" w:firstLine="0"/>
              <w:rPr>
                <w:sz w:val="18"/>
              </w:rPr>
            </w:pPr>
            <w:r>
              <w:rPr>
                <w:sz w:val="18"/>
              </w:rPr>
              <w:t xml:space="preserve">Ethion </w:t>
            </w:r>
          </w:p>
        </w:tc>
        <w:tc>
          <w:tcPr>
            <w:tcW w:w="1194" w:type="dxa"/>
            <w:tcBorders>
              <w:top w:val="single" w:sz="4" w:space="0" w:color="000000"/>
              <w:left w:val="single" w:sz="12" w:space="0" w:color="000000"/>
              <w:bottom w:val="single" w:sz="4" w:space="0" w:color="000000"/>
              <w:right w:val="single" w:sz="12" w:space="0" w:color="000000"/>
            </w:tcBorders>
          </w:tcPr>
          <w:p w14:paraId="15538E42" w14:textId="31D2CF6A" w:rsidR="0094090C" w:rsidRDefault="0094090C" w:rsidP="0094090C">
            <w:pPr>
              <w:spacing w:after="0" w:line="259" w:lineRule="auto"/>
              <w:ind w:left="0" w:right="44" w:firstLine="0"/>
              <w:jc w:val="center"/>
              <w:rPr>
                <w:sz w:val="18"/>
              </w:rPr>
            </w:pPr>
            <w:r>
              <w:rPr>
                <w:sz w:val="18"/>
              </w:rPr>
              <w:t>563-12-2</w:t>
            </w:r>
          </w:p>
        </w:tc>
        <w:tc>
          <w:tcPr>
            <w:tcW w:w="588" w:type="dxa"/>
            <w:tcBorders>
              <w:top w:val="single" w:sz="4" w:space="0" w:color="000000"/>
              <w:left w:val="single" w:sz="12" w:space="0" w:color="000000"/>
              <w:bottom w:val="single" w:sz="4" w:space="0" w:color="000000"/>
              <w:right w:val="single" w:sz="12" w:space="0" w:color="000000"/>
            </w:tcBorders>
          </w:tcPr>
          <w:p w14:paraId="41852F2D" w14:textId="7F6BE993" w:rsidR="0094090C" w:rsidRDefault="0094090C" w:rsidP="0094090C">
            <w:pPr>
              <w:tabs>
                <w:tab w:val="right" w:pos="489"/>
              </w:tabs>
              <w:spacing w:after="0" w:line="259" w:lineRule="auto"/>
              <w:ind w:left="0" w:right="0" w:firstLine="0"/>
              <w:jc w:val="center"/>
              <w:rPr>
                <w:sz w:val="18"/>
              </w:rPr>
            </w:pPr>
            <w:r>
              <w:rPr>
                <w:sz w:val="18"/>
              </w:rPr>
              <w:t>20</w:t>
            </w:r>
          </w:p>
        </w:tc>
        <w:tc>
          <w:tcPr>
            <w:tcW w:w="714" w:type="dxa"/>
            <w:tcBorders>
              <w:top w:val="single" w:sz="4" w:space="0" w:color="000000"/>
              <w:left w:val="single" w:sz="12" w:space="0" w:color="000000"/>
              <w:bottom w:val="single" w:sz="4" w:space="0" w:color="000000"/>
              <w:right w:val="single" w:sz="12" w:space="0" w:color="000000"/>
            </w:tcBorders>
          </w:tcPr>
          <w:p w14:paraId="2D6FA9D7" w14:textId="69ECA4F6" w:rsidR="0094090C" w:rsidRDefault="0094090C" w:rsidP="0094090C">
            <w:pPr>
              <w:spacing w:after="0" w:line="259" w:lineRule="auto"/>
              <w:ind w:left="0" w:right="48" w:firstLine="0"/>
              <w:jc w:val="center"/>
              <w:rPr>
                <w:sz w:val="18"/>
              </w:rPr>
            </w:pPr>
            <w:r>
              <w:rPr>
                <w:sz w:val="18"/>
              </w:rPr>
              <w:t>ug/L</w:t>
            </w:r>
          </w:p>
        </w:tc>
        <w:tc>
          <w:tcPr>
            <w:tcW w:w="811" w:type="dxa"/>
            <w:tcBorders>
              <w:top w:val="single" w:sz="4" w:space="0" w:color="000000"/>
              <w:left w:val="single" w:sz="12" w:space="0" w:color="000000"/>
              <w:bottom w:val="single" w:sz="4" w:space="0" w:color="000000"/>
              <w:right w:val="single" w:sz="12" w:space="0" w:color="000000"/>
            </w:tcBorders>
          </w:tcPr>
          <w:p w14:paraId="2FD36470" w14:textId="3681553F" w:rsidR="0094090C" w:rsidRDefault="0094090C" w:rsidP="0094090C">
            <w:pPr>
              <w:spacing w:after="0" w:line="259" w:lineRule="auto"/>
              <w:ind w:left="0" w:right="0" w:firstLine="0"/>
              <w:jc w:val="center"/>
              <w:rPr>
                <w:sz w:val="18"/>
              </w:rPr>
            </w:pPr>
            <w:r>
              <w:rPr>
                <w:sz w:val="18"/>
              </w:rPr>
              <w:t>1300</w:t>
            </w:r>
          </w:p>
        </w:tc>
        <w:tc>
          <w:tcPr>
            <w:tcW w:w="711" w:type="dxa"/>
            <w:tcBorders>
              <w:top w:val="single" w:sz="4" w:space="0" w:color="000000"/>
              <w:left w:val="single" w:sz="12" w:space="0" w:color="000000"/>
              <w:bottom w:val="single" w:sz="4" w:space="0" w:color="000000"/>
              <w:right w:val="single" w:sz="12" w:space="0" w:color="000000"/>
            </w:tcBorders>
          </w:tcPr>
          <w:p w14:paraId="5BC0F387" w14:textId="1AB03099" w:rsidR="0094090C" w:rsidRDefault="0094090C" w:rsidP="0094090C">
            <w:pPr>
              <w:spacing w:after="0" w:line="259" w:lineRule="auto"/>
              <w:ind w:left="0" w:right="44" w:firstLine="0"/>
              <w:jc w:val="center"/>
              <w:rPr>
                <w:rFonts w:eastAsia="Segoe UI Symbol"/>
                <w:sz w:val="18"/>
              </w:rPr>
            </w:pPr>
            <w:r>
              <w:rPr>
                <w:rFonts w:eastAsia="Segoe UI Symbol"/>
                <w:sz w:val="18"/>
              </w:rPr>
              <w:t>u</w:t>
            </w:r>
            <w:r>
              <w:rPr>
                <w:sz w:val="18"/>
              </w:rPr>
              <w:t>g/kg</w:t>
            </w:r>
          </w:p>
        </w:tc>
        <w:tc>
          <w:tcPr>
            <w:tcW w:w="647" w:type="dxa"/>
            <w:tcBorders>
              <w:top w:val="single" w:sz="4" w:space="0" w:color="000000"/>
              <w:left w:val="single" w:sz="12" w:space="0" w:color="000000"/>
              <w:bottom w:val="single" w:sz="4" w:space="0" w:color="000000"/>
              <w:right w:val="single" w:sz="12" w:space="0" w:color="000000"/>
            </w:tcBorders>
          </w:tcPr>
          <w:p w14:paraId="144B6FE4" w14:textId="77777777" w:rsidR="0094090C" w:rsidRDefault="0094090C" w:rsidP="0094090C">
            <w:pPr>
              <w:spacing w:after="0" w:line="259" w:lineRule="auto"/>
              <w:ind w:left="0" w:right="0" w:firstLine="0"/>
              <w:jc w:val="center"/>
            </w:pPr>
          </w:p>
        </w:tc>
        <w:tc>
          <w:tcPr>
            <w:tcW w:w="540" w:type="dxa"/>
            <w:tcBorders>
              <w:top w:val="single" w:sz="4" w:space="0" w:color="000000"/>
              <w:left w:val="single" w:sz="12" w:space="0" w:color="000000"/>
              <w:bottom w:val="single" w:sz="4" w:space="0" w:color="000000"/>
              <w:right w:val="single" w:sz="12" w:space="0" w:color="000000"/>
            </w:tcBorders>
          </w:tcPr>
          <w:p w14:paraId="2D103C3F" w14:textId="77777777" w:rsidR="0094090C" w:rsidRDefault="0094090C" w:rsidP="0094090C">
            <w:pPr>
              <w:spacing w:after="0" w:line="259" w:lineRule="auto"/>
              <w:ind w:left="0" w:right="1" w:firstLine="0"/>
              <w:jc w:val="center"/>
            </w:pPr>
          </w:p>
        </w:tc>
        <w:tc>
          <w:tcPr>
            <w:tcW w:w="540" w:type="dxa"/>
            <w:tcBorders>
              <w:top w:val="single" w:sz="4" w:space="0" w:color="000000"/>
              <w:left w:val="single" w:sz="12" w:space="0" w:color="000000"/>
              <w:bottom w:val="single" w:sz="4" w:space="0" w:color="000000"/>
              <w:right w:val="single" w:sz="12" w:space="0" w:color="000000"/>
            </w:tcBorders>
          </w:tcPr>
          <w:p w14:paraId="62E3FC20" w14:textId="77777777" w:rsidR="0094090C" w:rsidRDefault="0094090C" w:rsidP="0094090C">
            <w:pPr>
              <w:spacing w:after="0" w:line="259" w:lineRule="auto"/>
              <w:ind w:left="0" w:right="0" w:firstLine="0"/>
              <w:jc w:val="center"/>
            </w:pPr>
          </w:p>
        </w:tc>
        <w:tc>
          <w:tcPr>
            <w:tcW w:w="917" w:type="dxa"/>
            <w:tcBorders>
              <w:top w:val="single" w:sz="4" w:space="0" w:color="000000"/>
              <w:left w:val="single" w:sz="12" w:space="0" w:color="000000"/>
              <w:bottom w:val="single" w:sz="4" w:space="0" w:color="000000"/>
              <w:right w:val="single" w:sz="12" w:space="0" w:color="000000"/>
            </w:tcBorders>
          </w:tcPr>
          <w:p w14:paraId="5F4C3D27" w14:textId="744527D5" w:rsidR="0094090C" w:rsidRDefault="0094090C" w:rsidP="0094090C">
            <w:pPr>
              <w:spacing w:after="0" w:line="259" w:lineRule="auto"/>
              <w:ind w:left="38" w:right="0" w:firstLine="0"/>
              <w:jc w:val="center"/>
              <w:rPr>
                <w:sz w:val="18"/>
              </w:rPr>
            </w:pPr>
            <w:r>
              <w:rPr>
                <w:sz w:val="18"/>
              </w:rPr>
              <w:t>8141B</w:t>
            </w:r>
          </w:p>
        </w:tc>
        <w:tc>
          <w:tcPr>
            <w:tcW w:w="793" w:type="dxa"/>
            <w:tcBorders>
              <w:top w:val="single" w:sz="4" w:space="0" w:color="000000"/>
              <w:left w:val="single" w:sz="12" w:space="0" w:color="000000"/>
              <w:bottom w:val="single" w:sz="4" w:space="0" w:color="000000"/>
              <w:right w:val="single" w:sz="12" w:space="0" w:color="000000"/>
            </w:tcBorders>
          </w:tcPr>
          <w:p w14:paraId="0AD2DFBB" w14:textId="1C1616CF" w:rsidR="0094090C" w:rsidRDefault="0094090C" w:rsidP="0094090C">
            <w:pPr>
              <w:spacing w:after="0" w:line="259" w:lineRule="auto"/>
              <w:ind w:left="0" w:right="2" w:firstLine="0"/>
              <w:jc w:val="center"/>
              <w:rPr>
                <w:sz w:val="18"/>
              </w:rPr>
            </w:pPr>
            <w:r>
              <w:rPr>
                <w:sz w:val="18"/>
              </w:rPr>
              <w:t>8270D</w:t>
            </w:r>
          </w:p>
        </w:tc>
      </w:tr>
      <w:tr w:rsidR="0094090C" w14:paraId="513B9C4F" w14:textId="77777777" w:rsidTr="005B6604">
        <w:trPr>
          <w:trHeight w:val="262"/>
        </w:trPr>
        <w:tc>
          <w:tcPr>
            <w:tcW w:w="3165" w:type="dxa"/>
            <w:tcBorders>
              <w:top w:val="single" w:sz="4" w:space="0" w:color="000000"/>
              <w:left w:val="single" w:sz="12" w:space="0" w:color="000000"/>
              <w:bottom w:val="single" w:sz="4" w:space="0" w:color="000000"/>
              <w:right w:val="single" w:sz="12" w:space="0" w:color="000000"/>
            </w:tcBorders>
          </w:tcPr>
          <w:p w14:paraId="65104DD1" w14:textId="76E85784" w:rsidR="0094090C" w:rsidRDefault="0094090C" w:rsidP="0094090C">
            <w:pPr>
              <w:spacing w:after="0" w:line="259" w:lineRule="auto"/>
              <w:ind w:left="0" w:right="0" w:firstLine="0"/>
              <w:rPr>
                <w:sz w:val="18"/>
              </w:rPr>
            </w:pPr>
            <w:proofErr w:type="spellStart"/>
            <w:r>
              <w:rPr>
                <w:sz w:val="18"/>
              </w:rPr>
              <w:t>Ethoprop</w:t>
            </w:r>
            <w:proofErr w:type="spellEnd"/>
            <w:r>
              <w:rPr>
                <w:sz w:val="18"/>
              </w:rPr>
              <w:t xml:space="preserve">  </w:t>
            </w:r>
          </w:p>
        </w:tc>
        <w:tc>
          <w:tcPr>
            <w:tcW w:w="1194" w:type="dxa"/>
            <w:tcBorders>
              <w:top w:val="single" w:sz="4" w:space="0" w:color="000000"/>
              <w:left w:val="single" w:sz="12" w:space="0" w:color="000000"/>
              <w:bottom w:val="single" w:sz="4" w:space="0" w:color="000000"/>
              <w:right w:val="single" w:sz="12" w:space="0" w:color="000000"/>
            </w:tcBorders>
          </w:tcPr>
          <w:p w14:paraId="3D8631F4" w14:textId="4A725478" w:rsidR="0094090C" w:rsidRDefault="0094090C" w:rsidP="0094090C">
            <w:pPr>
              <w:spacing w:after="0" w:line="259" w:lineRule="auto"/>
              <w:ind w:left="0" w:right="44" w:firstLine="0"/>
              <w:jc w:val="center"/>
              <w:rPr>
                <w:sz w:val="18"/>
              </w:rPr>
            </w:pPr>
            <w:r>
              <w:rPr>
                <w:sz w:val="18"/>
              </w:rPr>
              <w:t>13194-48-4</w:t>
            </w:r>
          </w:p>
        </w:tc>
        <w:tc>
          <w:tcPr>
            <w:tcW w:w="588" w:type="dxa"/>
            <w:tcBorders>
              <w:top w:val="single" w:sz="4" w:space="0" w:color="000000"/>
              <w:left w:val="single" w:sz="12" w:space="0" w:color="000000"/>
              <w:bottom w:val="single" w:sz="4" w:space="0" w:color="000000"/>
              <w:right w:val="single" w:sz="12" w:space="0" w:color="000000"/>
            </w:tcBorders>
          </w:tcPr>
          <w:p w14:paraId="60372E1D" w14:textId="1F1F60A1" w:rsidR="0094090C" w:rsidRDefault="0094090C" w:rsidP="0094090C">
            <w:pPr>
              <w:tabs>
                <w:tab w:val="right" w:pos="489"/>
              </w:tabs>
              <w:spacing w:after="0" w:line="259" w:lineRule="auto"/>
              <w:ind w:left="0" w:right="0" w:firstLine="0"/>
              <w:jc w:val="center"/>
              <w:rPr>
                <w:sz w:val="18"/>
              </w:rPr>
            </w:pPr>
            <w:r>
              <w:rPr>
                <w:sz w:val="18"/>
              </w:rPr>
              <w:t>10</w:t>
            </w:r>
          </w:p>
        </w:tc>
        <w:tc>
          <w:tcPr>
            <w:tcW w:w="714" w:type="dxa"/>
            <w:tcBorders>
              <w:top w:val="single" w:sz="4" w:space="0" w:color="000000"/>
              <w:left w:val="single" w:sz="12" w:space="0" w:color="000000"/>
              <w:bottom w:val="single" w:sz="4" w:space="0" w:color="000000"/>
              <w:right w:val="single" w:sz="12" w:space="0" w:color="000000"/>
            </w:tcBorders>
          </w:tcPr>
          <w:p w14:paraId="3FF0EB86" w14:textId="11CABC95" w:rsidR="0094090C" w:rsidRDefault="0094090C" w:rsidP="0094090C">
            <w:pPr>
              <w:spacing w:after="0" w:line="259" w:lineRule="auto"/>
              <w:ind w:left="0" w:right="48" w:firstLine="0"/>
              <w:jc w:val="center"/>
              <w:rPr>
                <w:sz w:val="18"/>
              </w:rPr>
            </w:pPr>
            <w:r>
              <w:rPr>
                <w:sz w:val="18"/>
              </w:rPr>
              <w:t>ug/L</w:t>
            </w:r>
          </w:p>
        </w:tc>
        <w:tc>
          <w:tcPr>
            <w:tcW w:w="811" w:type="dxa"/>
            <w:tcBorders>
              <w:top w:val="single" w:sz="4" w:space="0" w:color="000000"/>
              <w:left w:val="single" w:sz="12" w:space="0" w:color="000000"/>
              <w:bottom w:val="single" w:sz="4" w:space="0" w:color="000000"/>
              <w:right w:val="single" w:sz="12" w:space="0" w:color="000000"/>
            </w:tcBorders>
          </w:tcPr>
          <w:p w14:paraId="1888371E" w14:textId="29B16D88" w:rsidR="0094090C" w:rsidRDefault="0094090C" w:rsidP="0094090C">
            <w:pPr>
              <w:spacing w:after="0" w:line="259" w:lineRule="auto"/>
              <w:ind w:left="0" w:right="0" w:firstLine="0"/>
              <w:jc w:val="center"/>
              <w:rPr>
                <w:sz w:val="18"/>
              </w:rPr>
            </w:pPr>
            <w:r>
              <w:rPr>
                <w:sz w:val="18"/>
              </w:rPr>
              <w:t>660</w:t>
            </w:r>
          </w:p>
        </w:tc>
        <w:tc>
          <w:tcPr>
            <w:tcW w:w="711" w:type="dxa"/>
            <w:tcBorders>
              <w:top w:val="single" w:sz="4" w:space="0" w:color="000000"/>
              <w:left w:val="single" w:sz="12" w:space="0" w:color="000000"/>
              <w:bottom w:val="single" w:sz="4" w:space="0" w:color="000000"/>
              <w:right w:val="single" w:sz="12" w:space="0" w:color="000000"/>
            </w:tcBorders>
          </w:tcPr>
          <w:p w14:paraId="3CB73FA8" w14:textId="16C3C63D" w:rsidR="0094090C" w:rsidRDefault="0094090C" w:rsidP="0094090C">
            <w:pPr>
              <w:spacing w:after="0" w:line="259" w:lineRule="auto"/>
              <w:ind w:left="0" w:right="44" w:firstLine="0"/>
              <w:jc w:val="center"/>
              <w:rPr>
                <w:rFonts w:eastAsia="Segoe UI Symbol"/>
                <w:sz w:val="18"/>
              </w:rPr>
            </w:pPr>
            <w:r>
              <w:rPr>
                <w:rFonts w:eastAsia="Segoe UI Symbol"/>
                <w:sz w:val="18"/>
              </w:rPr>
              <w:t>u</w:t>
            </w:r>
            <w:r>
              <w:rPr>
                <w:sz w:val="18"/>
              </w:rPr>
              <w:t>g/kg</w:t>
            </w:r>
          </w:p>
        </w:tc>
        <w:tc>
          <w:tcPr>
            <w:tcW w:w="647" w:type="dxa"/>
            <w:tcBorders>
              <w:top w:val="single" w:sz="4" w:space="0" w:color="000000"/>
              <w:left w:val="single" w:sz="12" w:space="0" w:color="000000"/>
              <w:bottom w:val="single" w:sz="4" w:space="0" w:color="000000"/>
              <w:right w:val="single" w:sz="12" w:space="0" w:color="000000"/>
            </w:tcBorders>
          </w:tcPr>
          <w:p w14:paraId="5D11EDFD" w14:textId="77777777" w:rsidR="0094090C" w:rsidRDefault="0094090C" w:rsidP="0094090C">
            <w:pPr>
              <w:spacing w:after="0" w:line="259" w:lineRule="auto"/>
              <w:ind w:left="0" w:right="0" w:firstLine="0"/>
              <w:jc w:val="center"/>
            </w:pPr>
          </w:p>
        </w:tc>
        <w:tc>
          <w:tcPr>
            <w:tcW w:w="540" w:type="dxa"/>
            <w:tcBorders>
              <w:top w:val="single" w:sz="4" w:space="0" w:color="000000"/>
              <w:left w:val="single" w:sz="12" w:space="0" w:color="000000"/>
              <w:bottom w:val="single" w:sz="4" w:space="0" w:color="000000"/>
              <w:right w:val="single" w:sz="12" w:space="0" w:color="000000"/>
            </w:tcBorders>
          </w:tcPr>
          <w:p w14:paraId="13E3FA93" w14:textId="77777777" w:rsidR="0094090C" w:rsidRDefault="0094090C" w:rsidP="0094090C">
            <w:pPr>
              <w:spacing w:after="0" w:line="259" w:lineRule="auto"/>
              <w:ind w:left="0" w:right="1" w:firstLine="0"/>
              <w:jc w:val="center"/>
            </w:pPr>
          </w:p>
        </w:tc>
        <w:tc>
          <w:tcPr>
            <w:tcW w:w="540" w:type="dxa"/>
            <w:tcBorders>
              <w:top w:val="single" w:sz="4" w:space="0" w:color="000000"/>
              <w:left w:val="single" w:sz="12" w:space="0" w:color="000000"/>
              <w:bottom w:val="single" w:sz="4" w:space="0" w:color="000000"/>
              <w:right w:val="single" w:sz="12" w:space="0" w:color="000000"/>
            </w:tcBorders>
          </w:tcPr>
          <w:p w14:paraId="2C108FF4" w14:textId="77777777" w:rsidR="0094090C" w:rsidRDefault="0094090C" w:rsidP="0094090C">
            <w:pPr>
              <w:spacing w:after="0" w:line="259" w:lineRule="auto"/>
              <w:ind w:left="0" w:right="0" w:firstLine="0"/>
              <w:jc w:val="center"/>
            </w:pPr>
          </w:p>
        </w:tc>
        <w:tc>
          <w:tcPr>
            <w:tcW w:w="917" w:type="dxa"/>
            <w:tcBorders>
              <w:top w:val="single" w:sz="4" w:space="0" w:color="000000"/>
              <w:left w:val="single" w:sz="12" w:space="0" w:color="000000"/>
              <w:bottom w:val="single" w:sz="4" w:space="0" w:color="000000"/>
              <w:right w:val="single" w:sz="12" w:space="0" w:color="000000"/>
            </w:tcBorders>
          </w:tcPr>
          <w:p w14:paraId="126F401C" w14:textId="6F98BEBD" w:rsidR="0094090C" w:rsidRDefault="0094090C" w:rsidP="0094090C">
            <w:pPr>
              <w:spacing w:after="0" w:line="259" w:lineRule="auto"/>
              <w:ind w:left="38" w:right="0" w:firstLine="0"/>
              <w:jc w:val="center"/>
              <w:rPr>
                <w:sz w:val="18"/>
              </w:rPr>
            </w:pPr>
            <w:r>
              <w:rPr>
                <w:sz w:val="18"/>
              </w:rPr>
              <w:t>8141B</w:t>
            </w:r>
          </w:p>
        </w:tc>
        <w:tc>
          <w:tcPr>
            <w:tcW w:w="793" w:type="dxa"/>
            <w:tcBorders>
              <w:top w:val="single" w:sz="4" w:space="0" w:color="000000"/>
              <w:left w:val="single" w:sz="12" w:space="0" w:color="000000"/>
              <w:bottom w:val="single" w:sz="4" w:space="0" w:color="000000"/>
              <w:right w:val="single" w:sz="12" w:space="0" w:color="000000"/>
            </w:tcBorders>
          </w:tcPr>
          <w:p w14:paraId="50FB3C0D" w14:textId="77777777" w:rsidR="0094090C" w:rsidRDefault="0094090C" w:rsidP="0094090C">
            <w:pPr>
              <w:spacing w:after="0" w:line="259" w:lineRule="auto"/>
              <w:ind w:left="0" w:right="2" w:firstLine="0"/>
              <w:jc w:val="center"/>
              <w:rPr>
                <w:sz w:val="18"/>
              </w:rPr>
            </w:pPr>
          </w:p>
        </w:tc>
      </w:tr>
      <w:tr w:rsidR="0094090C" w14:paraId="3A3372D5" w14:textId="77777777" w:rsidTr="005B6604">
        <w:trPr>
          <w:trHeight w:val="262"/>
        </w:trPr>
        <w:tc>
          <w:tcPr>
            <w:tcW w:w="3165" w:type="dxa"/>
            <w:tcBorders>
              <w:top w:val="single" w:sz="4" w:space="0" w:color="000000"/>
              <w:left w:val="single" w:sz="12" w:space="0" w:color="000000"/>
              <w:bottom w:val="single" w:sz="4" w:space="0" w:color="000000"/>
              <w:right w:val="single" w:sz="12" w:space="0" w:color="000000"/>
            </w:tcBorders>
          </w:tcPr>
          <w:p w14:paraId="2EE617AE" w14:textId="62C92121" w:rsidR="0094090C" w:rsidRDefault="0094090C" w:rsidP="0094090C">
            <w:pPr>
              <w:spacing w:after="0" w:line="259" w:lineRule="auto"/>
              <w:ind w:left="0" w:right="0" w:firstLine="0"/>
              <w:rPr>
                <w:sz w:val="18"/>
              </w:rPr>
            </w:pPr>
            <w:r>
              <w:rPr>
                <w:sz w:val="18"/>
              </w:rPr>
              <w:t xml:space="preserve">Fenitrothion </w:t>
            </w:r>
          </w:p>
        </w:tc>
        <w:tc>
          <w:tcPr>
            <w:tcW w:w="1194" w:type="dxa"/>
            <w:tcBorders>
              <w:top w:val="single" w:sz="4" w:space="0" w:color="000000"/>
              <w:left w:val="single" w:sz="12" w:space="0" w:color="000000"/>
              <w:bottom w:val="single" w:sz="4" w:space="0" w:color="000000"/>
              <w:right w:val="single" w:sz="12" w:space="0" w:color="000000"/>
            </w:tcBorders>
          </w:tcPr>
          <w:p w14:paraId="4C2735D8" w14:textId="5908E154" w:rsidR="0094090C" w:rsidRDefault="0094090C" w:rsidP="0094090C">
            <w:pPr>
              <w:spacing w:after="0" w:line="259" w:lineRule="auto"/>
              <w:ind w:left="0" w:right="44" w:firstLine="0"/>
              <w:jc w:val="center"/>
              <w:rPr>
                <w:sz w:val="18"/>
              </w:rPr>
            </w:pPr>
            <w:r>
              <w:rPr>
                <w:sz w:val="18"/>
              </w:rPr>
              <w:t>122-14-5</w:t>
            </w:r>
          </w:p>
        </w:tc>
        <w:tc>
          <w:tcPr>
            <w:tcW w:w="588" w:type="dxa"/>
            <w:tcBorders>
              <w:top w:val="single" w:sz="4" w:space="0" w:color="000000"/>
              <w:left w:val="single" w:sz="12" w:space="0" w:color="000000"/>
              <w:bottom w:val="single" w:sz="4" w:space="0" w:color="000000"/>
              <w:right w:val="single" w:sz="12" w:space="0" w:color="000000"/>
            </w:tcBorders>
          </w:tcPr>
          <w:p w14:paraId="17496BD3" w14:textId="44B93466" w:rsidR="0094090C" w:rsidRDefault="0094090C" w:rsidP="0094090C">
            <w:pPr>
              <w:tabs>
                <w:tab w:val="right" w:pos="489"/>
              </w:tabs>
              <w:spacing w:after="0" w:line="259" w:lineRule="auto"/>
              <w:ind w:left="0" w:right="0" w:firstLine="0"/>
              <w:jc w:val="center"/>
              <w:rPr>
                <w:sz w:val="18"/>
              </w:rPr>
            </w:pPr>
            <w:r>
              <w:rPr>
                <w:sz w:val="18"/>
              </w:rPr>
              <w:t>20</w:t>
            </w:r>
          </w:p>
        </w:tc>
        <w:tc>
          <w:tcPr>
            <w:tcW w:w="714" w:type="dxa"/>
            <w:tcBorders>
              <w:top w:val="single" w:sz="4" w:space="0" w:color="000000"/>
              <w:left w:val="single" w:sz="12" w:space="0" w:color="000000"/>
              <w:bottom w:val="single" w:sz="4" w:space="0" w:color="000000"/>
              <w:right w:val="single" w:sz="12" w:space="0" w:color="000000"/>
            </w:tcBorders>
          </w:tcPr>
          <w:p w14:paraId="76BA34A6" w14:textId="101C0194" w:rsidR="0094090C" w:rsidRDefault="0094090C" w:rsidP="0094090C">
            <w:pPr>
              <w:spacing w:after="0" w:line="259" w:lineRule="auto"/>
              <w:ind w:left="0" w:right="48" w:firstLine="0"/>
              <w:jc w:val="center"/>
              <w:rPr>
                <w:sz w:val="18"/>
              </w:rPr>
            </w:pPr>
            <w:r>
              <w:rPr>
                <w:sz w:val="18"/>
              </w:rPr>
              <w:t>ug/L</w:t>
            </w:r>
          </w:p>
        </w:tc>
        <w:tc>
          <w:tcPr>
            <w:tcW w:w="811" w:type="dxa"/>
            <w:tcBorders>
              <w:top w:val="single" w:sz="4" w:space="0" w:color="000000"/>
              <w:left w:val="single" w:sz="12" w:space="0" w:color="000000"/>
              <w:bottom w:val="single" w:sz="4" w:space="0" w:color="000000"/>
              <w:right w:val="single" w:sz="12" w:space="0" w:color="000000"/>
            </w:tcBorders>
          </w:tcPr>
          <w:p w14:paraId="6082AA95" w14:textId="1D753A0C" w:rsidR="0094090C" w:rsidRDefault="0094090C" w:rsidP="0094090C">
            <w:pPr>
              <w:spacing w:after="0" w:line="259" w:lineRule="auto"/>
              <w:ind w:left="0" w:right="0" w:firstLine="0"/>
              <w:jc w:val="center"/>
              <w:rPr>
                <w:sz w:val="18"/>
              </w:rPr>
            </w:pPr>
            <w:r>
              <w:rPr>
                <w:sz w:val="18"/>
              </w:rPr>
              <w:t>1300</w:t>
            </w:r>
          </w:p>
        </w:tc>
        <w:tc>
          <w:tcPr>
            <w:tcW w:w="711" w:type="dxa"/>
            <w:tcBorders>
              <w:top w:val="single" w:sz="4" w:space="0" w:color="000000"/>
              <w:left w:val="single" w:sz="12" w:space="0" w:color="000000"/>
              <w:bottom w:val="single" w:sz="4" w:space="0" w:color="000000"/>
              <w:right w:val="single" w:sz="12" w:space="0" w:color="000000"/>
            </w:tcBorders>
          </w:tcPr>
          <w:p w14:paraId="0FD6EDB9" w14:textId="3540A970" w:rsidR="0094090C" w:rsidRDefault="0094090C" w:rsidP="0094090C">
            <w:pPr>
              <w:spacing w:after="0" w:line="259" w:lineRule="auto"/>
              <w:ind w:left="0" w:right="44" w:firstLine="0"/>
              <w:jc w:val="center"/>
              <w:rPr>
                <w:rFonts w:eastAsia="Segoe UI Symbol"/>
                <w:sz w:val="18"/>
              </w:rPr>
            </w:pPr>
            <w:r>
              <w:rPr>
                <w:rFonts w:eastAsia="Segoe UI Symbol"/>
                <w:sz w:val="18"/>
              </w:rPr>
              <w:t>u</w:t>
            </w:r>
            <w:r>
              <w:rPr>
                <w:sz w:val="18"/>
              </w:rPr>
              <w:t>g/kg</w:t>
            </w:r>
          </w:p>
        </w:tc>
        <w:tc>
          <w:tcPr>
            <w:tcW w:w="647" w:type="dxa"/>
            <w:tcBorders>
              <w:top w:val="single" w:sz="4" w:space="0" w:color="000000"/>
              <w:left w:val="single" w:sz="12" w:space="0" w:color="000000"/>
              <w:bottom w:val="single" w:sz="4" w:space="0" w:color="000000"/>
              <w:right w:val="single" w:sz="12" w:space="0" w:color="000000"/>
            </w:tcBorders>
          </w:tcPr>
          <w:p w14:paraId="436A92A5" w14:textId="77777777" w:rsidR="0094090C" w:rsidRDefault="0094090C" w:rsidP="0094090C">
            <w:pPr>
              <w:spacing w:after="0" w:line="259" w:lineRule="auto"/>
              <w:ind w:left="0" w:right="0" w:firstLine="0"/>
              <w:jc w:val="center"/>
            </w:pPr>
          </w:p>
        </w:tc>
        <w:tc>
          <w:tcPr>
            <w:tcW w:w="540" w:type="dxa"/>
            <w:tcBorders>
              <w:top w:val="single" w:sz="4" w:space="0" w:color="000000"/>
              <w:left w:val="single" w:sz="12" w:space="0" w:color="000000"/>
              <w:bottom w:val="single" w:sz="4" w:space="0" w:color="000000"/>
              <w:right w:val="single" w:sz="12" w:space="0" w:color="000000"/>
            </w:tcBorders>
          </w:tcPr>
          <w:p w14:paraId="6A88A5DF" w14:textId="77777777" w:rsidR="0094090C" w:rsidRDefault="0094090C" w:rsidP="0094090C">
            <w:pPr>
              <w:spacing w:after="0" w:line="259" w:lineRule="auto"/>
              <w:ind w:left="0" w:right="1" w:firstLine="0"/>
              <w:jc w:val="center"/>
            </w:pPr>
          </w:p>
        </w:tc>
        <w:tc>
          <w:tcPr>
            <w:tcW w:w="540" w:type="dxa"/>
            <w:tcBorders>
              <w:top w:val="single" w:sz="4" w:space="0" w:color="000000"/>
              <w:left w:val="single" w:sz="12" w:space="0" w:color="000000"/>
              <w:bottom w:val="single" w:sz="4" w:space="0" w:color="000000"/>
              <w:right w:val="single" w:sz="12" w:space="0" w:color="000000"/>
            </w:tcBorders>
          </w:tcPr>
          <w:p w14:paraId="1750455D" w14:textId="77777777" w:rsidR="0094090C" w:rsidRDefault="0094090C" w:rsidP="0094090C">
            <w:pPr>
              <w:spacing w:after="0" w:line="259" w:lineRule="auto"/>
              <w:ind w:left="0" w:right="0" w:firstLine="0"/>
              <w:jc w:val="center"/>
            </w:pPr>
          </w:p>
        </w:tc>
        <w:tc>
          <w:tcPr>
            <w:tcW w:w="917" w:type="dxa"/>
            <w:tcBorders>
              <w:top w:val="single" w:sz="4" w:space="0" w:color="000000"/>
              <w:left w:val="single" w:sz="12" w:space="0" w:color="000000"/>
              <w:bottom w:val="single" w:sz="4" w:space="0" w:color="000000"/>
              <w:right w:val="single" w:sz="12" w:space="0" w:color="000000"/>
            </w:tcBorders>
          </w:tcPr>
          <w:p w14:paraId="7D81C318" w14:textId="0CB107AE" w:rsidR="0094090C" w:rsidRDefault="0094090C" w:rsidP="0094090C">
            <w:pPr>
              <w:spacing w:after="0" w:line="259" w:lineRule="auto"/>
              <w:ind w:left="38" w:right="0" w:firstLine="0"/>
              <w:jc w:val="center"/>
              <w:rPr>
                <w:sz w:val="18"/>
              </w:rPr>
            </w:pPr>
            <w:r>
              <w:rPr>
                <w:sz w:val="18"/>
              </w:rPr>
              <w:t>8141B</w:t>
            </w:r>
          </w:p>
        </w:tc>
        <w:tc>
          <w:tcPr>
            <w:tcW w:w="793" w:type="dxa"/>
            <w:tcBorders>
              <w:top w:val="single" w:sz="4" w:space="0" w:color="000000"/>
              <w:left w:val="single" w:sz="12" w:space="0" w:color="000000"/>
              <w:bottom w:val="single" w:sz="4" w:space="0" w:color="000000"/>
              <w:right w:val="single" w:sz="12" w:space="0" w:color="000000"/>
            </w:tcBorders>
          </w:tcPr>
          <w:p w14:paraId="76266667" w14:textId="77777777" w:rsidR="0094090C" w:rsidRDefault="0094090C" w:rsidP="0094090C">
            <w:pPr>
              <w:spacing w:after="0" w:line="259" w:lineRule="auto"/>
              <w:ind w:left="0" w:right="2" w:firstLine="0"/>
              <w:jc w:val="center"/>
              <w:rPr>
                <w:sz w:val="18"/>
              </w:rPr>
            </w:pPr>
          </w:p>
        </w:tc>
      </w:tr>
      <w:tr w:rsidR="0094090C" w14:paraId="505D0007" w14:textId="77777777" w:rsidTr="005B6604">
        <w:trPr>
          <w:trHeight w:val="262"/>
        </w:trPr>
        <w:tc>
          <w:tcPr>
            <w:tcW w:w="3165" w:type="dxa"/>
            <w:tcBorders>
              <w:top w:val="single" w:sz="4" w:space="0" w:color="000000"/>
              <w:left w:val="single" w:sz="12" w:space="0" w:color="000000"/>
              <w:bottom w:val="single" w:sz="4" w:space="0" w:color="000000"/>
              <w:right w:val="single" w:sz="12" w:space="0" w:color="000000"/>
            </w:tcBorders>
          </w:tcPr>
          <w:p w14:paraId="50DDD3D2" w14:textId="1AD6F512" w:rsidR="0094090C" w:rsidRDefault="0094090C" w:rsidP="0094090C">
            <w:pPr>
              <w:spacing w:after="0" w:line="259" w:lineRule="auto"/>
              <w:ind w:left="0" w:right="0" w:firstLine="0"/>
              <w:rPr>
                <w:sz w:val="18"/>
              </w:rPr>
            </w:pPr>
            <w:proofErr w:type="spellStart"/>
            <w:r>
              <w:rPr>
                <w:sz w:val="18"/>
              </w:rPr>
              <w:t>Fensulfothion</w:t>
            </w:r>
            <w:proofErr w:type="spellEnd"/>
            <w:r>
              <w:rPr>
                <w:sz w:val="18"/>
              </w:rPr>
              <w:t xml:space="preserve"> </w:t>
            </w:r>
          </w:p>
        </w:tc>
        <w:tc>
          <w:tcPr>
            <w:tcW w:w="1194" w:type="dxa"/>
            <w:tcBorders>
              <w:top w:val="single" w:sz="4" w:space="0" w:color="000000"/>
              <w:left w:val="single" w:sz="12" w:space="0" w:color="000000"/>
              <w:bottom w:val="single" w:sz="4" w:space="0" w:color="000000"/>
              <w:right w:val="single" w:sz="12" w:space="0" w:color="000000"/>
            </w:tcBorders>
          </w:tcPr>
          <w:p w14:paraId="69140125" w14:textId="438475ED" w:rsidR="0094090C" w:rsidRDefault="0094090C" w:rsidP="0094090C">
            <w:pPr>
              <w:spacing w:after="0" w:line="259" w:lineRule="auto"/>
              <w:ind w:left="0" w:right="44" w:firstLine="0"/>
              <w:jc w:val="center"/>
              <w:rPr>
                <w:sz w:val="18"/>
              </w:rPr>
            </w:pPr>
            <w:r>
              <w:rPr>
                <w:sz w:val="18"/>
              </w:rPr>
              <w:t>115-90-2</w:t>
            </w:r>
          </w:p>
        </w:tc>
        <w:tc>
          <w:tcPr>
            <w:tcW w:w="588" w:type="dxa"/>
            <w:tcBorders>
              <w:top w:val="single" w:sz="4" w:space="0" w:color="000000"/>
              <w:left w:val="single" w:sz="12" w:space="0" w:color="000000"/>
              <w:bottom w:val="single" w:sz="4" w:space="0" w:color="000000"/>
              <w:right w:val="single" w:sz="12" w:space="0" w:color="000000"/>
            </w:tcBorders>
          </w:tcPr>
          <w:p w14:paraId="3F7CCAD3" w14:textId="4BACDC64" w:rsidR="0094090C" w:rsidRDefault="0094090C" w:rsidP="0094090C">
            <w:pPr>
              <w:tabs>
                <w:tab w:val="right" w:pos="489"/>
              </w:tabs>
              <w:spacing w:after="0" w:line="259" w:lineRule="auto"/>
              <w:ind w:left="0" w:right="0" w:firstLine="0"/>
              <w:jc w:val="center"/>
              <w:rPr>
                <w:sz w:val="18"/>
              </w:rPr>
            </w:pPr>
            <w:r>
              <w:rPr>
                <w:sz w:val="18"/>
              </w:rPr>
              <w:t>20</w:t>
            </w:r>
          </w:p>
        </w:tc>
        <w:tc>
          <w:tcPr>
            <w:tcW w:w="714" w:type="dxa"/>
            <w:tcBorders>
              <w:top w:val="single" w:sz="4" w:space="0" w:color="000000"/>
              <w:left w:val="single" w:sz="12" w:space="0" w:color="000000"/>
              <w:bottom w:val="single" w:sz="4" w:space="0" w:color="000000"/>
              <w:right w:val="single" w:sz="12" w:space="0" w:color="000000"/>
            </w:tcBorders>
          </w:tcPr>
          <w:p w14:paraId="317DC716" w14:textId="418FB342" w:rsidR="0094090C" w:rsidRDefault="0094090C" w:rsidP="0094090C">
            <w:pPr>
              <w:spacing w:after="0" w:line="259" w:lineRule="auto"/>
              <w:ind w:left="0" w:right="48" w:firstLine="0"/>
              <w:jc w:val="center"/>
              <w:rPr>
                <w:sz w:val="18"/>
              </w:rPr>
            </w:pPr>
            <w:r>
              <w:rPr>
                <w:sz w:val="18"/>
              </w:rPr>
              <w:t>ug/L</w:t>
            </w:r>
          </w:p>
        </w:tc>
        <w:tc>
          <w:tcPr>
            <w:tcW w:w="811" w:type="dxa"/>
            <w:tcBorders>
              <w:top w:val="single" w:sz="4" w:space="0" w:color="000000"/>
              <w:left w:val="single" w:sz="12" w:space="0" w:color="000000"/>
              <w:bottom w:val="single" w:sz="4" w:space="0" w:color="000000"/>
              <w:right w:val="single" w:sz="12" w:space="0" w:color="000000"/>
            </w:tcBorders>
          </w:tcPr>
          <w:p w14:paraId="414B66F1" w14:textId="40DCB707" w:rsidR="0094090C" w:rsidRDefault="0094090C" w:rsidP="0094090C">
            <w:pPr>
              <w:spacing w:after="0" w:line="259" w:lineRule="auto"/>
              <w:ind w:left="0" w:right="0" w:firstLine="0"/>
              <w:jc w:val="center"/>
              <w:rPr>
                <w:sz w:val="18"/>
              </w:rPr>
            </w:pPr>
            <w:r>
              <w:rPr>
                <w:sz w:val="18"/>
              </w:rPr>
              <w:t>1300</w:t>
            </w:r>
          </w:p>
        </w:tc>
        <w:tc>
          <w:tcPr>
            <w:tcW w:w="711" w:type="dxa"/>
            <w:tcBorders>
              <w:top w:val="single" w:sz="4" w:space="0" w:color="000000"/>
              <w:left w:val="single" w:sz="12" w:space="0" w:color="000000"/>
              <w:bottom w:val="single" w:sz="4" w:space="0" w:color="000000"/>
              <w:right w:val="single" w:sz="12" w:space="0" w:color="000000"/>
            </w:tcBorders>
          </w:tcPr>
          <w:p w14:paraId="04B8FE20" w14:textId="6E666F64" w:rsidR="0094090C" w:rsidRDefault="0094090C" w:rsidP="0094090C">
            <w:pPr>
              <w:spacing w:after="0" w:line="259" w:lineRule="auto"/>
              <w:ind w:left="0" w:right="44" w:firstLine="0"/>
              <w:jc w:val="center"/>
              <w:rPr>
                <w:rFonts w:eastAsia="Segoe UI Symbol"/>
                <w:sz w:val="18"/>
              </w:rPr>
            </w:pPr>
            <w:r>
              <w:rPr>
                <w:rFonts w:eastAsia="Segoe UI Symbol"/>
                <w:sz w:val="18"/>
              </w:rPr>
              <w:t>u</w:t>
            </w:r>
            <w:r>
              <w:rPr>
                <w:sz w:val="18"/>
              </w:rPr>
              <w:t>g/kg</w:t>
            </w:r>
          </w:p>
        </w:tc>
        <w:tc>
          <w:tcPr>
            <w:tcW w:w="647" w:type="dxa"/>
            <w:tcBorders>
              <w:top w:val="single" w:sz="4" w:space="0" w:color="000000"/>
              <w:left w:val="single" w:sz="12" w:space="0" w:color="000000"/>
              <w:bottom w:val="single" w:sz="4" w:space="0" w:color="000000"/>
              <w:right w:val="single" w:sz="12" w:space="0" w:color="000000"/>
            </w:tcBorders>
          </w:tcPr>
          <w:p w14:paraId="47F9CB8B" w14:textId="77777777" w:rsidR="0094090C" w:rsidRDefault="0094090C" w:rsidP="0094090C">
            <w:pPr>
              <w:spacing w:after="0" w:line="259" w:lineRule="auto"/>
              <w:ind w:left="0" w:right="0" w:firstLine="0"/>
              <w:jc w:val="center"/>
            </w:pPr>
          </w:p>
        </w:tc>
        <w:tc>
          <w:tcPr>
            <w:tcW w:w="540" w:type="dxa"/>
            <w:tcBorders>
              <w:top w:val="single" w:sz="4" w:space="0" w:color="000000"/>
              <w:left w:val="single" w:sz="12" w:space="0" w:color="000000"/>
              <w:bottom w:val="single" w:sz="4" w:space="0" w:color="000000"/>
              <w:right w:val="single" w:sz="12" w:space="0" w:color="000000"/>
            </w:tcBorders>
          </w:tcPr>
          <w:p w14:paraId="55027CFF" w14:textId="77777777" w:rsidR="0094090C" w:rsidRDefault="0094090C" w:rsidP="0094090C">
            <w:pPr>
              <w:spacing w:after="0" w:line="259" w:lineRule="auto"/>
              <w:ind w:left="0" w:right="1" w:firstLine="0"/>
              <w:jc w:val="center"/>
            </w:pPr>
          </w:p>
        </w:tc>
        <w:tc>
          <w:tcPr>
            <w:tcW w:w="540" w:type="dxa"/>
            <w:tcBorders>
              <w:top w:val="single" w:sz="4" w:space="0" w:color="000000"/>
              <w:left w:val="single" w:sz="12" w:space="0" w:color="000000"/>
              <w:bottom w:val="single" w:sz="4" w:space="0" w:color="000000"/>
              <w:right w:val="single" w:sz="12" w:space="0" w:color="000000"/>
            </w:tcBorders>
          </w:tcPr>
          <w:p w14:paraId="5B8212E2" w14:textId="77777777" w:rsidR="0094090C" w:rsidRDefault="0094090C" w:rsidP="0094090C">
            <w:pPr>
              <w:spacing w:after="0" w:line="259" w:lineRule="auto"/>
              <w:ind w:left="0" w:right="0" w:firstLine="0"/>
              <w:jc w:val="center"/>
            </w:pPr>
          </w:p>
        </w:tc>
        <w:tc>
          <w:tcPr>
            <w:tcW w:w="917" w:type="dxa"/>
            <w:tcBorders>
              <w:top w:val="single" w:sz="4" w:space="0" w:color="000000"/>
              <w:left w:val="single" w:sz="12" w:space="0" w:color="000000"/>
              <w:bottom w:val="single" w:sz="4" w:space="0" w:color="000000"/>
              <w:right w:val="single" w:sz="12" w:space="0" w:color="000000"/>
            </w:tcBorders>
          </w:tcPr>
          <w:p w14:paraId="281B568C" w14:textId="6ACC4616" w:rsidR="0094090C" w:rsidRDefault="0094090C" w:rsidP="0094090C">
            <w:pPr>
              <w:spacing w:after="0" w:line="259" w:lineRule="auto"/>
              <w:ind w:left="38" w:right="0" w:firstLine="0"/>
              <w:jc w:val="center"/>
              <w:rPr>
                <w:sz w:val="18"/>
              </w:rPr>
            </w:pPr>
            <w:r>
              <w:rPr>
                <w:sz w:val="18"/>
              </w:rPr>
              <w:t>8141B</w:t>
            </w:r>
          </w:p>
        </w:tc>
        <w:tc>
          <w:tcPr>
            <w:tcW w:w="793" w:type="dxa"/>
            <w:tcBorders>
              <w:top w:val="single" w:sz="4" w:space="0" w:color="000000"/>
              <w:left w:val="single" w:sz="12" w:space="0" w:color="000000"/>
              <w:bottom w:val="single" w:sz="4" w:space="0" w:color="000000"/>
              <w:right w:val="single" w:sz="12" w:space="0" w:color="000000"/>
            </w:tcBorders>
          </w:tcPr>
          <w:p w14:paraId="3BD408A9" w14:textId="39A9B673" w:rsidR="0094090C" w:rsidRDefault="0094090C" w:rsidP="0094090C">
            <w:pPr>
              <w:spacing w:after="0" w:line="259" w:lineRule="auto"/>
              <w:ind w:left="0" w:right="2" w:firstLine="0"/>
              <w:jc w:val="center"/>
              <w:rPr>
                <w:sz w:val="18"/>
              </w:rPr>
            </w:pPr>
            <w:r>
              <w:rPr>
                <w:sz w:val="18"/>
              </w:rPr>
              <w:t>8321B</w:t>
            </w:r>
          </w:p>
        </w:tc>
      </w:tr>
      <w:tr w:rsidR="0094090C" w14:paraId="275E52FF" w14:textId="77777777" w:rsidTr="005B6604">
        <w:trPr>
          <w:trHeight w:val="262"/>
        </w:trPr>
        <w:tc>
          <w:tcPr>
            <w:tcW w:w="3165" w:type="dxa"/>
            <w:tcBorders>
              <w:top w:val="single" w:sz="4" w:space="0" w:color="000000"/>
              <w:left w:val="single" w:sz="12" w:space="0" w:color="000000"/>
              <w:bottom w:val="single" w:sz="4" w:space="0" w:color="000000"/>
              <w:right w:val="single" w:sz="12" w:space="0" w:color="000000"/>
            </w:tcBorders>
          </w:tcPr>
          <w:p w14:paraId="5C32FD98" w14:textId="68A2D72E" w:rsidR="0094090C" w:rsidRDefault="0094090C" w:rsidP="0094090C">
            <w:pPr>
              <w:spacing w:after="0" w:line="259" w:lineRule="auto"/>
              <w:ind w:left="0" w:right="0" w:firstLine="0"/>
              <w:rPr>
                <w:sz w:val="18"/>
              </w:rPr>
            </w:pPr>
            <w:r>
              <w:rPr>
                <w:sz w:val="18"/>
              </w:rPr>
              <w:t xml:space="preserve">Fenthion  </w:t>
            </w:r>
          </w:p>
        </w:tc>
        <w:tc>
          <w:tcPr>
            <w:tcW w:w="1194" w:type="dxa"/>
            <w:tcBorders>
              <w:top w:val="single" w:sz="4" w:space="0" w:color="000000"/>
              <w:left w:val="single" w:sz="12" w:space="0" w:color="000000"/>
              <w:bottom w:val="single" w:sz="4" w:space="0" w:color="000000"/>
              <w:right w:val="single" w:sz="12" w:space="0" w:color="000000"/>
            </w:tcBorders>
          </w:tcPr>
          <w:p w14:paraId="2B37A3AF" w14:textId="4A25DD2F" w:rsidR="0094090C" w:rsidRDefault="0094090C" w:rsidP="0094090C">
            <w:pPr>
              <w:spacing w:after="0" w:line="259" w:lineRule="auto"/>
              <w:ind w:left="0" w:right="44" w:firstLine="0"/>
              <w:jc w:val="center"/>
              <w:rPr>
                <w:sz w:val="18"/>
              </w:rPr>
            </w:pPr>
            <w:r>
              <w:rPr>
                <w:sz w:val="18"/>
              </w:rPr>
              <w:t>55-38-9</w:t>
            </w:r>
          </w:p>
        </w:tc>
        <w:tc>
          <w:tcPr>
            <w:tcW w:w="588" w:type="dxa"/>
            <w:tcBorders>
              <w:top w:val="single" w:sz="4" w:space="0" w:color="000000"/>
              <w:left w:val="single" w:sz="12" w:space="0" w:color="000000"/>
              <w:bottom w:val="single" w:sz="4" w:space="0" w:color="000000"/>
              <w:right w:val="single" w:sz="12" w:space="0" w:color="000000"/>
            </w:tcBorders>
          </w:tcPr>
          <w:p w14:paraId="108F46E5" w14:textId="29A33196" w:rsidR="0094090C" w:rsidRDefault="0094090C" w:rsidP="0094090C">
            <w:pPr>
              <w:tabs>
                <w:tab w:val="right" w:pos="489"/>
              </w:tabs>
              <w:spacing w:after="0" w:line="259" w:lineRule="auto"/>
              <w:ind w:left="0" w:right="0" w:firstLine="0"/>
              <w:jc w:val="center"/>
              <w:rPr>
                <w:sz w:val="18"/>
              </w:rPr>
            </w:pPr>
            <w:r>
              <w:rPr>
                <w:sz w:val="18"/>
              </w:rPr>
              <w:t>20</w:t>
            </w:r>
          </w:p>
        </w:tc>
        <w:tc>
          <w:tcPr>
            <w:tcW w:w="714" w:type="dxa"/>
            <w:tcBorders>
              <w:top w:val="single" w:sz="4" w:space="0" w:color="000000"/>
              <w:left w:val="single" w:sz="12" w:space="0" w:color="000000"/>
              <w:bottom w:val="single" w:sz="4" w:space="0" w:color="000000"/>
              <w:right w:val="single" w:sz="12" w:space="0" w:color="000000"/>
            </w:tcBorders>
          </w:tcPr>
          <w:p w14:paraId="639F7C42" w14:textId="74B21557" w:rsidR="0094090C" w:rsidRDefault="0094090C" w:rsidP="0094090C">
            <w:pPr>
              <w:spacing w:after="0" w:line="259" w:lineRule="auto"/>
              <w:ind w:left="0" w:right="48" w:firstLine="0"/>
              <w:jc w:val="center"/>
              <w:rPr>
                <w:sz w:val="18"/>
              </w:rPr>
            </w:pPr>
            <w:r>
              <w:rPr>
                <w:sz w:val="18"/>
              </w:rPr>
              <w:t>ug/L</w:t>
            </w:r>
          </w:p>
        </w:tc>
        <w:tc>
          <w:tcPr>
            <w:tcW w:w="811" w:type="dxa"/>
            <w:tcBorders>
              <w:top w:val="single" w:sz="4" w:space="0" w:color="000000"/>
              <w:left w:val="single" w:sz="12" w:space="0" w:color="000000"/>
              <w:bottom w:val="single" w:sz="4" w:space="0" w:color="000000"/>
              <w:right w:val="single" w:sz="12" w:space="0" w:color="000000"/>
            </w:tcBorders>
          </w:tcPr>
          <w:p w14:paraId="786ECB3C" w14:textId="6EE9A03E" w:rsidR="0094090C" w:rsidRDefault="0094090C" w:rsidP="0094090C">
            <w:pPr>
              <w:spacing w:after="0" w:line="259" w:lineRule="auto"/>
              <w:ind w:left="0" w:right="0" w:firstLine="0"/>
              <w:jc w:val="center"/>
              <w:rPr>
                <w:sz w:val="18"/>
              </w:rPr>
            </w:pPr>
            <w:r>
              <w:rPr>
                <w:sz w:val="18"/>
              </w:rPr>
              <w:t>1300</w:t>
            </w:r>
          </w:p>
        </w:tc>
        <w:tc>
          <w:tcPr>
            <w:tcW w:w="711" w:type="dxa"/>
            <w:tcBorders>
              <w:top w:val="single" w:sz="4" w:space="0" w:color="000000"/>
              <w:left w:val="single" w:sz="12" w:space="0" w:color="000000"/>
              <w:bottom w:val="single" w:sz="4" w:space="0" w:color="000000"/>
              <w:right w:val="single" w:sz="12" w:space="0" w:color="000000"/>
            </w:tcBorders>
          </w:tcPr>
          <w:p w14:paraId="4D77C624" w14:textId="13B54B42" w:rsidR="0094090C" w:rsidRDefault="0094090C" w:rsidP="0094090C">
            <w:pPr>
              <w:spacing w:after="0" w:line="259" w:lineRule="auto"/>
              <w:ind w:left="0" w:right="44" w:firstLine="0"/>
              <w:jc w:val="center"/>
              <w:rPr>
                <w:rFonts w:eastAsia="Segoe UI Symbol"/>
                <w:sz w:val="18"/>
              </w:rPr>
            </w:pPr>
            <w:r>
              <w:rPr>
                <w:rFonts w:eastAsia="Segoe UI Symbol"/>
                <w:sz w:val="18"/>
              </w:rPr>
              <w:t>u</w:t>
            </w:r>
            <w:r>
              <w:rPr>
                <w:sz w:val="18"/>
              </w:rPr>
              <w:t>g/kg</w:t>
            </w:r>
          </w:p>
        </w:tc>
        <w:tc>
          <w:tcPr>
            <w:tcW w:w="647" w:type="dxa"/>
            <w:tcBorders>
              <w:top w:val="single" w:sz="4" w:space="0" w:color="000000"/>
              <w:left w:val="single" w:sz="12" w:space="0" w:color="000000"/>
              <w:bottom w:val="single" w:sz="4" w:space="0" w:color="000000"/>
              <w:right w:val="single" w:sz="12" w:space="0" w:color="000000"/>
            </w:tcBorders>
          </w:tcPr>
          <w:p w14:paraId="06F92AF9" w14:textId="77777777" w:rsidR="0094090C" w:rsidRDefault="0094090C" w:rsidP="0094090C">
            <w:pPr>
              <w:spacing w:after="0" w:line="259" w:lineRule="auto"/>
              <w:ind w:left="0" w:right="0" w:firstLine="0"/>
              <w:jc w:val="center"/>
            </w:pPr>
          </w:p>
        </w:tc>
        <w:tc>
          <w:tcPr>
            <w:tcW w:w="540" w:type="dxa"/>
            <w:tcBorders>
              <w:top w:val="single" w:sz="4" w:space="0" w:color="000000"/>
              <w:left w:val="single" w:sz="12" w:space="0" w:color="000000"/>
              <w:bottom w:val="single" w:sz="4" w:space="0" w:color="000000"/>
              <w:right w:val="single" w:sz="12" w:space="0" w:color="000000"/>
            </w:tcBorders>
          </w:tcPr>
          <w:p w14:paraId="1FF24868" w14:textId="77777777" w:rsidR="0094090C" w:rsidRDefault="0094090C" w:rsidP="0094090C">
            <w:pPr>
              <w:spacing w:after="0" w:line="259" w:lineRule="auto"/>
              <w:ind w:left="0" w:right="1" w:firstLine="0"/>
              <w:jc w:val="center"/>
            </w:pPr>
          </w:p>
        </w:tc>
        <w:tc>
          <w:tcPr>
            <w:tcW w:w="540" w:type="dxa"/>
            <w:tcBorders>
              <w:top w:val="single" w:sz="4" w:space="0" w:color="000000"/>
              <w:left w:val="single" w:sz="12" w:space="0" w:color="000000"/>
              <w:bottom w:val="single" w:sz="4" w:space="0" w:color="000000"/>
              <w:right w:val="single" w:sz="12" w:space="0" w:color="000000"/>
            </w:tcBorders>
          </w:tcPr>
          <w:p w14:paraId="2CD08F3B" w14:textId="77777777" w:rsidR="0094090C" w:rsidRDefault="0094090C" w:rsidP="0094090C">
            <w:pPr>
              <w:spacing w:after="0" w:line="259" w:lineRule="auto"/>
              <w:ind w:left="0" w:right="0" w:firstLine="0"/>
              <w:jc w:val="center"/>
            </w:pPr>
          </w:p>
        </w:tc>
        <w:tc>
          <w:tcPr>
            <w:tcW w:w="917" w:type="dxa"/>
            <w:tcBorders>
              <w:top w:val="single" w:sz="4" w:space="0" w:color="000000"/>
              <w:left w:val="single" w:sz="12" w:space="0" w:color="000000"/>
              <w:bottom w:val="single" w:sz="4" w:space="0" w:color="000000"/>
              <w:right w:val="single" w:sz="12" w:space="0" w:color="000000"/>
            </w:tcBorders>
          </w:tcPr>
          <w:p w14:paraId="58138EEB" w14:textId="2D14E9A3" w:rsidR="0094090C" w:rsidRDefault="0094090C" w:rsidP="0094090C">
            <w:pPr>
              <w:spacing w:after="0" w:line="259" w:lineRule="auto"/>
              <w:ind w:left="38" w:right="0" w:firstLine="0"/>
              <w:jc w:val="center"/>
              <w:rPr>
                <w:sz w:val="18"/>
              </w:rPr>
            </w:pPr>
            <w:r>
              <w:rPr>
                <w:sz w:val="18"/>
              </w:rPr>
              <w:t>8141B</w:t>
            </w:r>
          </w:p>
        </w:tc>
        <w:tc>
          <w:tcPr>
            <w:tcW w:w="793" w:type="dxa"/>
            <w:tcBorders>
              <w:top w:val="single" w:sz="4" w:space="0" w:color="000000"/>
              <w:left w:val="single" w:sz="12" w:space="0" w:color="000000"/>
              <w:bottom w:val="single" w:sz="4" w:space="0" w:color="000000"/>
              <w:right w:val="single" w:sz="12" w:space="0" w:color="000000"/>
            </w:tcBorders>
          </w:tcPr>
          <w:p w14:paraId="015EA7F7" w14:textId="1653D0B5" w:rsidR="0094090C" w:rsidRDefault="0094090C" w:rsidP="0094090C">
            <w:pPr>
              <w:spacing w:after="0" w:line="259" w:lineRule="auto"/>
              <w:ind w:left="0" w:right="2" w:firstLine="0"/>
              <w:jc w:val="center"/>
              <w:rPr>
                <w:sz w:val="18"/>
              </w:rPr>
            </w:pPr>
            <w:r>
              <w:rPr>
                <w:sz w:val="18"/>
              </w:rPr>
              <w:t>8270D</w:t>
            </w:r>
          </w:p>
        </w:tc>
      </w:tr>
      <w:tr w:rsidR="0094090C" w14:paraId="25FD7B58" w14:textId="77777777" w:rsidTr="005B6604">
        <w:trPr>
          <w:trHeight w:val="262"/>
        </w:trPr>
        <w:tc>
          <w:tcPr>
            <w:tcW w:w="3165" w:type="dxa"/>
            <w:tcBorders>
              <w:top w:val="single" w:sz="4" w:space="0" w:color="000000"/>
              <w:left w:val="single" w:sz="12" w:space="0" w:color="000000"/>
              <w:bottom w:val="single" w:sz="4" w:space="0" w:color="000000"/>
              <w:right w:val="single" w:sz="12" w:space="0" w:color="000000"/>
            </w:tcBorders>
          </w:tcPr>
          <w:p w14:paraId="5A7DEDF9" w14:textId="08719F56" w:rsidR="0094090C" w:rsidRDefault="0094090C" w:rsidP="0094090C">
            <w:pPr>
              <w:spacing w:after="0" w:line="259" w:lineRule="auto"/>
              <w:ind w:left="0" w:right="0" w:firstLine="0"/>
              <w:rPr>
                <w:sz w:val="18"/>
              </w:rPr>
            </w:pPr>
            <w:proofErr w:type="spellStart"/>
            <w:r>
              <w:rPr>
                <w:sz w:val="18"/>
              </w:rPr>
              <w:lastRenderedPageBreak/>
              <w:t>Fonophos</w:t>
            </w:r>
            <w:proofErr w:type="spellEnd"/>
            <w:r>
              <w:rPr>
                <w:sz w:val="18"/>
              </w:rPr>
              <w:t xml:space="preserve"> </w:t>
            </w:r>
          </w:p>
        </w:tc>
        <w:tc>
          <w:tcPr>
            <w:tcW w:w="1194" w:type="dxa"/>
            <w:tcBorders>
              <w:top w:val="single" w:sz="4" w:space="0" w:color="000000"/>
              <w:left w:val="single" w:sz="12" w:space="0" w:color="000000"/>
              <w:bottom w:val="single" w:sz="4" w:space="0" w:color="000000"/>
              <w:right w:val="single" w:sz="12" w:space="0" w:color="000000"/>
            </w:tcBorders>
          </w:tcPr>
          <w:p w14:paraId="2C1F538F" w14:textId="09FA5AD8" w:rsidR="0094090C" w:rsidRDefault="0094090C" w:rsidP="0094090C">
            <w:pPr>
              <w:spacing w:after="0" w:line="259" w:lineRule="auto"/>
              <w:ind w:left="0" w:right="44" w:firstLine="0"/>
              <w:jc w:val="center"/>
              <w:rPr>
                <w:sz w:val="18"/>
              </w:rPr>
            </w:pPr>
            <w:r>
              <w:rPr>
                <w:sz w:val="18"/>
              </w:rPr>
              <w:t>944-22-9</w:t>
            </w:r>
          </w:p>
        </w:tc>
        <w:tc>
          <w:tcPr>
            <w:tcW w:w="588" w:type="dxa"/>
            <w:tcBorders>
              <w:top w:val="single" w:sz="4" w:space="0" w:color="000000"/>
              <w:left w:val="single" w:sz="12" w:space="0" w:color="000000"/>
              <w:bottom w:val="single" w:sz="4" w:space="0" w:color="000000"/>
              <w:right w:val="single" w:sz="12" w:space="0" w:color="000000"/>
            </w:tcBorders>
          </w:tcPr>
          <w:p w14:paraId="48D55038" w14:textId="647BD793" w:rsidR="0094090C" w:rsidRDefault="0094090C" w:rsidP="0094090C">
            <w:pPr>
              <w:tabs>
                <w:tab w:val="right" w:pos="489"/>
              </w:tabs>
              <w:spacing w:after="0" w:line="259" w:lineRule="auto"/>
              <w:ind w:left="0" w:right="0" w:firstLine="0"/>
              <w:jc w:val="center"/>
              <w:rPr>
                <w:sz w:val="18"/>
              </w:rPr>
            </w:pPr>
            <w:r>
              <w:rPr>
                <w:sz w:val="18"/>
              </w:rPr>
              <w:t>10</w:t>
            </w:r>
          </w:p>
        </w:tc>
        <w:tc>
          <w:tcPr>
            <w:tcW w:w="714" w:type="dxa"/>
            <w:tcBorders>
              <w:top w:val="single" w:sz="4" w:space="0" w:color="000000"/>
              <w:left w:val="single" w:sz="12" w:space="0" w:color="000000"/>
              <w:bottom w:val="single" w:sz="4" w:space="0" w:color="000000"/>
              <w:right w:val="single" w:sz="12" w:space="0" w:color="000000"/>
            </w:tcBorders>
          </w:tcPr>
          <w:p w14:paraId="3A7341D2" w14:textId="7E0A0AB3" w:rsidR="0094090C" w:rsidRDefault="0094090C" w:rsidP="0094090C">
            <w:pPr>
              <w:spacing w:after="0" w:line="259" w:lineRule="auto"/>
              <w:ind w:left="0" w:right="48" w:firstLine="0"/>
              <w:jc w:val="center"/>
              <w:rPr>
                <w:sz w:val="18"/>
              </w:rPr>
            </w:pPr>
            <w:r>
              <w:rPr>
                <w:sz w:val="18"/>
              </w:rPr>
              <w:t>ug/L</w:t>
            </w:r>
          </w:p>
        </w:tc>
        <w:tc>
          <w:tcPr>
            <w:tcW w:w="811" w:type="dxa"/>
            <w:tcBorders>
              <w:top w:val="single" w:sz="4" w:space="0" w:color="000000"/>
              <w:left w:val="single" w:sz="12" w:space="0" w:color="000000"/>
              <w:bottom w:val="single" w:sz="4" w:space="0" w:color="000000"/>
              <w:right w:val="single" w:sz="12" w:space="0" w:color="000000"/>
            </w:tcBorders>
          </w:tcPr>
          <w:p w14:paraId="72B0E815" w14:textId="62496F3C" w:rsidR="0094090C" w:rsidRDefault="0094090C" w:rsidP="0094090C">
            <w:pPr>
              <w:spacing w:after="0" w:line="259" w:lineRule="auto"/>
              <w:ind w:left="0" w:right="0" w:firstLine="0"/>
              <w:jc w:val="center"/>
              <w:rPr>
                <w:sz w:val="18"/>
              </w:rPr>
            </w:pPr>
            <w:r>
              <w:rPr>
                <w:sz w:val="18"/>
              </w:rPr>
              <w:t>660</w:t>
            </w:r>
          </w:p>
        </w:tc>
        <w:tc>
          <w:tcPr>
            <w:tcW w:w="711" w:type="dxa"/>
            <w:tcBorders>
              <w:top w:val="single" w:sz="4" w:space="0" w:color="000000"/>
              <w:left w:val="single" w:sz="12" w:space="0" w:color="000000"/>
              <w:bottom w:val="single" w:sz="4" w:space="0" w:color="000000"/>
              <w:right w:val="single" w:sz="12" w:space="0" w:color="000000"/>
            </w:tcBorders>
          </w:tcPr>
          <w:p w14:paraId="07C462D2" w14:textId="363D3487" w:rsidR="0094090C" w:rsidRDefault="0094090C" w:rsidP="0094090C">
            <w:pPr>
              <w:spacing w:after="0" w:line="259" w:lineRule="auto"/>
              <w:ind w:left="0" w:right="44" w:firstLine="0"/>
              <w:jc w:val="center"/>
              <w:rPr>
                <w:rFonts w:eastAsia="Segoe UI Symbol"/>
                <w:sz w:val="18"/>
              </w:rPr>
            </w:pPr>
            <w:r>
              <w:rPr>
                <w:rFonts w:eastAsia="Segoe UI Symbol"/>
                <w:sz w:val="18"/>
              </w:rPr>
              <w:t>u</w:t>
            </w:r>
            <w:r>
              <w:rPr>
                <w:sz w:val="18"/>
              </w:rPr>
              <w:t>g/kg</w:t>
            </w:r>
          </w:p>
        </w:tc>
        <w:tc>
          <w:tcPr>
            <w:tcW w:w="647" w:type="dxa"/>
            <w:tcBorders>
              <w:top w:val="single" w:sz="4" w:space="0" w:color="000000"/>
              <w:left w:val="single" w:sz="12" w:space="0" w:color="000000"/>
              <w:bottom w:val="single" w:sz="4" w:space="0" w:color="000000"/>
              <w:right w:val="single" w:sz="12" w:space="0" w:color="000000"/>
            </w:tcBorders>
          </w:tcPr>
          <w:p w14:paraId="140FC911" w14:textId="77777777" w:rsidR="0094090C" w:rsidRDefault="0094090C" w:rsidP="0094090C">
            <w:pPr>
              <w:spacing w:after="0" w:line="259" w:lineRule="auto"/>
              <w:ind w:left="0" w:right="0" w:firstLine="0"/>
              <w:jc w:val="center"/>
            </w:pPr>
          </w:p>
        </w:tc>
        <w:tc>
          <w:tcPr>
            <w:tcW w:w="540" w:type="dxa"/>
            <w:tcBorders>
              <w:top w:val="single" w:sz="4" w:space="0" w:color="000000"/>
              <w:left w:val="single" w:sz="12" w:space="0" w:color="000000"/>
              <w:bottom w:val="single" w:sz="4" w:space="0" w:color="000000"/>
              <w:right w:val="single" w:sz="12" w:space="0" w:color="000000"/>
            </w:tcBorders>
          </w:tcPr>
          <w:p w14:paraId="3CA13C2F" w14:textId="77777777" w:rsidR="0094090C" w:rsidRDefault="0094090C" w:rsidP="0094090C">
            <w:pPr>
              <w:spacing w:after="0" w:line="259" w:lineRule="auto"/>
              <w:ind w:left="0" w:right="1" w:firstLine="0"/>
              <w:jc w:val="center"/>
            </w:pPr>
          </w:p>
        </w:tc>
        <w:tc>
          <w:tcPr>
            <w:tcW w:w="540" w:type="dxa"/>
            <w:tcBorders>
              <w:top w:val="single" w:sz="4" w:space="0" w:color="000000"/>
              <w:left w:val="single" w:sz="12" w:space="0" w:color="000000"/>
              <w:bottom w:val="single" w:sz="4" w:space="0" w:color="000000"/>
              <w:right w:val="single" w:sz="12" w:space="0" w:color="000000"/>
            </w:tcBorders>
          </w:tcPr>
          <w:p w14:paraId="108EBAF5" w14:textId="77777777" w:rsidR="0094090C" w:rsidRDefault="0094090C" w:rsidP="0094090C">
            <w:pPr>
              <w:spacing w:after="0" w:line="259" w:lineRule="auto"/>
              <w:ind w:left="0" w:right="0" w:firstLine="0"/>
              <w:jc w:val="center"/>
            </w:pPr>
          </w:p>
        </w:tc>
        <w:tc>
          <w:tcPr>
            <w:tcW w:w="917" w:type="dxa"/>
            <w:tcBorders>
              <w:top w:val="single" w:sz="4" w:space="0" w:color="000000"/>
              <w:left w:val="single" w:sz="12" w:space="0" w:color="000000"/>
              <w:bottom w:val="single" w:sz="4" w:space="0" w:color="000000"/>
              <w:right w:val="single" w:sz="12" w:space="0" w:color="000000"/>
            </w:tcBorders>
          </w:tcPr>
          <w:p w14:paraId="4EA70159" w14:textId="6514EFD0" w:rsidR="0094090C" w:rsidRDefault="0094090C" w:rsidP="0094090C">
            <w:pPr>
              <w:spacing w:after="0" w:line="259" w:lineRule="auto"/>
              <w:ind w:left="38" w:right="0" w:firstLine="0"/>
              <w:jc w:val="center"/>
              <w:rPr>
                <w:sz w:val="18"/>
              </w:rPr>
            </w:pPr>
            <w:r>
              <w:rPr>
                <w:sz w:val="18"/>
              </w:rPr>
              <w:t>8141B</w:t>
            </w:r>
          </w:p>
        </w:tc>
        <w:tc>
          <w:tcPr>
            <w:tcW w:w="793" w:type="dxa"/>
            <w:tcBorders>
              <w:top w:val="single" w:sz="4" w:space="0" w:color="000000"/>
              <w:left w:val="single" w:sz="12" w:space="0" w:color="000000"/>
              <w:bottom w:val="single" w:sz="4" w:space="0" w:color="000000"/>
              <w:right w:val="single" w:sz="12" w:space="0" w:color="000000"/>
            </w:tcBorders>
          </w:tcPr>
          <w:p w14:paraId="77EBA3F2" w14:textId="77777777" w:rsidR="0094090C" w:rsidRDefault="0094090C" w:rsidP="0094090C">
            <w:pPr>
              <w:spacing w:after="0" w:line="259" w:lineRule="auto"/>
              <w:ind w:left="0" w:right="2" w:firstLine="0"/>
              <w:jc w:val="center"/>
              <w:rPr>
                <w:sz w:val="18"/>
              </w:rPr>
            </w:pPr>
          </w:p>
        </w:tc>
      </w:tr>
      <w:tr w:rsidR="0094090C" w14:paraId="3252DB28" w14:textId="77777777" w:rsidTr="005B6604">
        <w:trPr>
          <w:trHeight w:val="262"/>
        </w:trPr>
        <w:tc>
          <w:tcPr>
            <w:tcW w:w="3165" w:type="dxa"/>
            <w:tcBorders>
              <w:top w:val="single" w:sz="4" w:space="0" w:color="000000"/>
              <w:left w:val="single" w:sz="12" w:space="0" w:color="000000"/>
              <w:bottom w:val="single" w:sz="4" w:space="0" w:color="000000"/>
              <w:right w:val="single" w:sz="12" w:space="0" w:color="000000"/>
            </w:tcBorders>
          </w:tcPr>
          <w:p w14:paraId="06525097" w14:textId="2FAE541D" w:rsidR="0094090C" w:rsidRDefault="0094090C" w:rsidP="0094090C">
            <w:pPr>
              <w:spacing w:after="0" w:line="259" w:lineRule="auto"/>
              <w:ind w:left="0" w:right="0" w:firstLine="0"/>
              <w:rPr>
                <w:sz w:val="18"/>
              </w:rPr>
            </w:pPr>
            <w:proofErr w:type="spellStart"/>
            <w:r>
              <w:rPr>
                <w:sz w:val="18"/>
              </w:rPr>
              <w:t>Hexamethylphosphoramide</w:t>
            </w:r>
            <w:proofErr w:type="spellEnd"/>
            <w:r>
              <w:rPr>
                <w:sz w:val="18"/>
              </w:rPr>
              <w:t xml:space="preserve"> </w:t>
            </w:r>
            <w:r>
              <w:rPr>
                <w:i/>
                <w:sz w:val="18"/>
              </w:rPr>
              <w:t>(HMPA</w:t>
            </w:r>
            <w:r>
              <w:rPr>
                <w:sz w:val="18"/>
              </w:rPr>
              <w:t xml:space="preserve">)  </w:t>
            </w:r>
          </w:p>
        </w:tc>
        <w:tc>
          <w:tcPr>
            <w:tcW w:w="1194" w:type="dxa"/>
            <w:tcBorders>
              <w:top w:val="single" w:sz="4" w:space="0" w:color="000000"/>
              <w:left w:val="single" w:sz="12" w:space="0" w:color="000000"/>
              <w:bottom w:val="single" w:sz="4" w:space="0" w:color="000000"/>
              <w:right w:val="single" w:sz="12" w:space="0" w:color="000000"/>
            </w:tcBorders>
          </w:tcPr>
          <w:p w14:paraId="1EEA69E1" w14:textId="4DDDBA6B" w:rsidR="0094090C" w:rsidRDefault="0094090C" w:rsidP="0094090C">
            <w:pPr>
              <w:spacing w:after="0" w:line="259" w:lineRule="auto"/>
              <w:ind w:left="0" w:right="44" w:firstLine="0"/>
              <w:jc w:val="center"/>
              <w:rPr>
                <w:sz w:val="18"/>
              </w:rPr>
            </w:pPr>
            <w:r>
              <w:rPr>
                <w:sz w:val="18"/>
              </w:rPr>
              <w:t>680-31-9</w:t>
            </w:r>
          </w:p>
        </w:tc>
        <w:tc>
          <w:tcPr>
            <w:tcW w:w="588" w:type="dxa"/>
            <w:tcBorders>
              <w:top w:val="single" w:sz="4" w:space="0" w:color="000000"/>
              <w:left w:val="single" w:sz="12" w:space="0" w:color="000000"/>
              <w:bottom w:val="single" w:sz="4" w:space="0" w:color="000000"/>
              <w:right w:val="single" w:sz="12" w:space="0" w:color="000000"/>
            </w:tcBorders>
          </w:tcPr>
          <w:p w14:paraId="21EC98FC" w14:textId="4E458B90" w:rsidR="0094090C" w:rsidRDefault="0094090C" w:rsidP="0094090C">
            <w:pPr>
              <w:tabs>
                <w:tab w:val="right" w:pos="489"/>
              </w:tabs>
              <w:spacing w:after="0" w:line="259" w:lineRule="auto"/>
              <w:ind w:left="0" w:right="0" w:firstLine="0"/>
              <w:jc w:val="center"/>
              <w:rPr>
                <w:sz w:val="18"/>
              </w:rPr>
            </w:pPr>
            <w:r>
              <w:rPr>
                <w:sz w:val="18"/>
              </w:rPr>
              <w:t>20</w:t>
            </w:r>
          </w:p>
        </w:tc>
        <w:tc>
          <w:tcPr>
            <w:tcW w:w="714" w:type="dxa"/>
            <w:tcBorders>
              <w:top w:val="single" w:sz="4" w:space="0" w:color="000000"/>
              <w:left w:val="single" w:sz="12" w:space="0" w:color="000000"/>
              <w:bottom w:val="single" w:sz="4" w:space="0" w:color="000000"/>
              <w:right w:val="single" w:sz="12" w:space="0" w:color="000000"/>
            </w:tcBorders>
          </w:tcPr>
          <w:p w14:paraId="0CB5B086" w14:textId="5D07F458" w:rsidR="0094090C" w:rsidRDefault="0094090C" w:rsidP="0094090C">
            <w:pPr>
              <w:spacing w:after="0" w:line="259" w:lineRule="auto"/>
              <w:ind w:left="0" w:right="48" w:firstLine="0"/>
              <w:jc w:val="center"/>
              <w:rPr>
                <w:sz w:val="18"/>
              </w:rPr>
            </w:pPr>
            <w:r>
              <w:rPr>
                <w:sz w:val="18"/>
              </w:rPr>
              <w:t>ug/L</w:t>
            </w:r>
          </w:p>
        </w:tc>
        <w:tc>
          <w:tcPr>
            <w:tcW w:w="811" w:type="dxa"/>
            <w:tcBorders>
              <w:top w:val="single" w:sz="4" w:space="0" w:color="000000"/>
              <w:left w:val="single" w:sz="12" w:space="0" w:color="000000"/>
              <w:bottom w:val="single" w:sz="4" w:space="0" w:color="000000"/>
              <w:right w:val="single" w:sz="12" w:space="0" w:color="000000"/>
            </w:tcBorders>
          </w:tcPr>
          <w:p w14:paraId="3141C844" w14:textId="1535B66D" w:rsidR="0094090C" w:rsidRDefault="0094090C" w:rsidP="0094090C">
            <w:pPr>
              <w:spacing w:after="0" w:line="259" w:lineRule="auto"/>
              <w:ind w:left="0" w:right="0" w:firstLine="0"/>
              <w:jc w:val="center"/>
              <w:rPr>
                <w:sz w:val="18"/>
              </w:rPr>
            </w:pPr>
            <w:r>
              <w:rPr>
                <w:sz w:val="18"/>
              </w:rPr>
              <w:t>1300</w:t>
            </w:r>
          </w:p>
        </w:tc>
        <w:tc>
          <w:tcPr>
            <w:tcW w:w="711" w:type="dxa"/>
            <w:tcBorders>
              <w:top w:val="single" w:sz="4" w:space="0" w:color="000000"/>
              <w:left w:val="single" w:sz="12" w:space="0" w:color="000000"/>
              <w:bottom w:val="single" w:sz="4" w:space="0" w:color="000000"/>
              <w:right w:val="single" w:sz="12" w:space="0" w:color="000000"/>
            </w:tcBorders>
          </w:tcPr>
          <w:p w14:paraId="43ACAC66" w14:textId="48A44100" w:rsidR="0094090C" w:rsidRDefault="0094090C" w:rsidP="0094090C">
            <w:pPr>
              <w:spacing w:after="0" w:line="259" w:lineRule="auto"/>
              <w:ind w:left="0" w:right="44" w:firstLine="0"/>
              <w:jc w:val="center"/>
              <w:rPr>
                <w:rFonts w:eastAsia="Segoe UI Symbol"/>
                <w:sz w:val="18"/>
              </w:rPr>
            </w:pPr>
            <w:r>
              <w:rPr>
                <w:rFonts w:eastAsia="Segoe UI Symbol"/>
                <w:sz w:val="18"/>
              </w:rPr>
              <w:t>u</w:t>
            </w:r>
            <w:r>
              <w:rPr>
                <w:sz w:val="18"/>
              </w:rPr>
              <w:t>g/kg</w:t>
            </w:r>
          </w:p>
        </w:tc>
        <w:tc>
          <w:tcPr>
            <w:tcW w:w="647" w:type="dxa"/>
            <w:tcBorders>
              <w:top w:val="single" w:sz="4" w:space="0" w:color="000000"/>
              <w:left w:val="single" w:sz="12" w:space="0" w:color="000000"/>
              <w:bottom w:val="single" w:sz="4" w:space="0" w:color="000000"/>
              <w:right w:val="single" w:sz="12" w:space="0" w:color="000000"/>
            </w:tcBorders>
          </w:tcPr>
          <w:p w14:paraId="525E9AC6" w14:textId="77777777" w:rsidR="0094090C" w:rsidRDefault="0094090C" w:rsidP="0094090C">
            <w:pPr>
              <w:spacing w:after="0" w:line="259" w:lineRule="auto"/>
              <w:ind w:left="0" w:right="0" w:firstLine="0"/>
              <w:jc w:val="center"/>
            </w:pPr>
          </w:p>
        </w:tc>
        <w:tc>
          <w:tcPr>
            <w:tcW w:w="540" w:type="dxa"/>
            <w:tcBorders>
              <w:top w:val="single" w:sz="4" w:space="0" w:color="000000"/>
              <w:left w:val="single" w:sz="12" w:space="0" w:color="000000"/>
              <w:bottom w:val="single" w:sz="4" w:space="0" w:color="000000"/>
              <w:right w:val="single" w:sz="12" w:space="0" w:color="000000"/>
            </w:tcBorders>
          </w:tcPr>
          <w:p w14:paraId="12646FFB" w14:textId="77777777" w:rsidR="0094090C" w:rsidRDefault="0094090C" w:rsidP="0094090C">
            <w:pPr>
              <w:spacing w:after="0" w:line="259" w:lineRule="auto"/>
              <w:ind w:left="0" w:right="1" w:firstLine="0"/>
              <w:jc w:val="center"/>
            </w:pPr>
          </w:p>
        </w:tc>
        <w:tc>
          <w:tcPr>
            <w:tcW w:w="540" w:type="dxa"/>
            <w:tcBorders>
              <w:top w:val="single" w:sz="4" w:space="0" w:color="000000"/>
              <w:left w:val="single" w:sz="12" w:space="0" w:color="000000"/>
              <w:bottom w:val="single" w:sz="4" w:space="0" w:color="000000"/>
              <w:right w:val="single" w:sz="12" w:space="0" w:color="000000"/>
            </w:tcBorders>
          </w:tcPr>
          <w:p w14:paraId="32289FB0" w14:textId="77777777" w:rsidR="0094090C" w:rsidRDefault="0094090C" w:rsidP="0094090C">
            <w:pPr>
              <w:spacing w:after="0" w:line="259" w:lineRule="auto"/>
              <w:ind w:left="0" w:right="0" w:firstLine="0"/>
              <w:jc w:val="center"/>
            </w:pPr>
          </w:p>
        </w:tc>
        <w:tc>
          <w:tcPr>
            <w:tcW w:w="917" w:type="dxa"/>
            <w:tcBorders>
              <w:top w:val="single" w:sz="4" w:space="0" w:color="000000"/>
              <w:left w:val="single" w:sz="12" w:space="0" w:color="000000"/>
              <w:bottom w:val="single" w:sz="4" w:space="0" w:color="000000"/>
              <w:right w:val="single" w:sz="12" w:space="0" w:color="000000"/>
            </w:tcBorders>
          </w:tcPr>
          <w:p w14:paraId="5B8302EB" w14:textId="605E68D3" w:rsidR="0094090C" w:rsidRDefault="0094090C" w:rsidP="0094090C">
            <w:pPr>
              <w:spacing w:after="0" w:line="259" w:lineRule="auto"/>
              <w:ind w:left="38" w:right="0" w:firstLine="0"/>
              <w:jc w:val="center"/>
              <w:rPr>
                <w:sz w:val="18"/>
              </w:rPr>
            </w:pPr>
            <w:r>
              <w:rPr>
                <w:sz w:val="18"/>
              </w:rPr>
              <w:t>8141B</w:t>
            </w:r>
          </w:p>
        </w:tc>
        <w:tc>
          <w:tcPr>
            <w:tcW w:w="793" w:type="dxa"/>
            <w:tcBorders>
              <w:top w:val="single" w:sz="4" w:space="0" w:color="000000"/>
              <w:left w:val="single" w:sz="12" w:space="0" w:color="000000"/>
              <w:bottom w:val="single" w:sz="4" w:space="0" w:color="000000"/>
              <w:right w:val="single" w:sz="12" w:space="0" w:color="000000"/>
            </w:tcBorders>
          </w:tcPr>
          <w:p w14:paraId="4C13E55C" w14:textId="20E85FF7" w:rsidR="0094090C" w:rsidRDefault="0094090C" w:rsidP="0094090C">
            <w:pPr>
              <w:spacing w:after="0" w:line="259" w:lineRule="auto"/>
              <w:ind w:left="0" w:right="2" w:firstLine="0"/>
              <w:jc w:val="center"/>
              <w:rPr>
                <w:sz w:val="18"/>
              </w:rPr>
            </w:pPr>
            <w:r>
              <w:rPr>
                <w:sz w:val="18"/>
              </w:rPr>
              <w:t>8270D</w:t>
            </w:r>
          </w:p>
        </w:tc>
      </w:tr>
      <w:tr w:rsidR="0094090C" w14:paraId="72CE19F3" w14:textId="77777777" w:rsidTr="005B6604">
        <w:trPr>
          <w:trHeight w:val="262"/>
        </w:trPr>
        <w:tc>
          <w:tcPr>
            <w:tcW w:w="3165" w:type="dxa"/>
            <w:tcBorders>
              <w:top w:val="single" w:sz="4" w:space="0" w:color="000000"/>
              <w:left w:val="single" w:sz="12" w:space="0" w:color="000000"/>
              <w:bottom w:val="single" w:sz="4" w:space="0" w:color="000000"/>
              <w:right w:val="single" w:sz="12" w:space="0" w:color="000000"/>
            </w:tcBorders>
          </w:tcPr>
          <w:p w14:paraId="1F4B99F9" w14:textId="67C67DAE" w:rsidR="0094090C" w:rsidRDefault="0094090C" w:rsidP="0094090C">
            <w:pPr>
              <w:spacing w:after="0" w:line="259" w:lineRule="auto"/>
              <w:ind w:left="0" w:right="0" w:firstLine="0"/>
              <w:rPr>
                <w:sz w:val="18"/>
              </w:rPr>
            </w:pPr>
            <w:r>
              <w:rPr>
                <w:sz w:val="18"/>
              </w:rPr>
              <w:t xml:space="preserve">Leptophos </w:t>
            </w:r>
          </w:p>
        </w:tc>
        <w:tc>
          <w:tcPr>
            <w:tcW w:w="1194" w:type="dxa"/>
            <w:tcBorders>
              <w:top w:val="single" w:sz="4" w:space="0" w:color="000000"/>
              <w:left w:val="single" w:sz="12" w:space="0" w:color="000000"/>
              <w:bottom w:val="single" w:sz="4" w:space="0" w:color="000000"/>
              <w:right w:val="single" w:sz="12" w:space="0" w:color="000000"/>
            </w:tcBorders>
          </w:tcPr>
          <w:p w14:paraId="325E9809" w14:textId="44D06689" w:rsidR="0094090C" w:rsidRDefault="0094090C" w:rsidP="0094090C">
            <w:pPr>
              <w:spacing w:after="0" w:line="259" w:lineRule="auto"/>
              <w:ind w:left="0" w:right="44" w:firstLine="0"/>
              <w:jc w:val="center"/>
              <w:rPr>
                <w:sz w:val="18"/>
              </w:rPr>
            </w:pPr>
            <w:r>
              <w:rPr>
                <w:sz w:val="18"/>
              </w:rPr>
              <w:t>21609-90-5</w:t>
            </w:r>
          </w:p>
        </w:tc>
        <w:tc>
          <w:tcPr>
            <w:tcW w:w="588" w:type="dxa"/>
            <w:tcBorders>
              <w:top w:val="single" w:sz="4" w:space="0" w:color="000000"/>
              <w:left w:val="single" w:sz="12" w:space="0" w:color="000000"/>
              <w:bottom w:val="single" w:sz="4" w:space="0" w:color="000000"/>
              <w:right w:val="single" w:sz="12" w:space="0" w:color="000000"/>
            </w:tcBorders>
          </w:tcPr>
          <w:p w14:paraId="71FB5C0C" w14:textId="09FA65F2" w:rsidR="0094090C" w:rsidRDefault="0094090C" w:rsidP="0094090C">
            <w:pPr>
              <w:tabs>
                <w:tab w:val="right" w:pos="489"/>
              </w:tabs>
              <w:spacing w:after="0" w:line="259" w:lineRule="auto"/>
              <w:ind w:left="0" w:right="0" w:firstLine="0"/>
              <w:jc w:val="center"/>
              <w:rPr>
                <w:sz w:val="18"/>
              </w:rPr>
            </w:pPr>
            <w:r>
              <w:rPr>
                <w:sz w:val="18"/>
              </w:rPr>
              <w:t>20</w:t>
            </w:r>
          </w:p>
        </w:tc>
        <w:tc>
          <w:tcPr>
            <w:tcW w:w="714" w:type="dxa"/>
            <w:tcBorders>
              <w:top w:val="single" w:sz="4" w:space="0" w:color="000000"/>
              <w:left w:val="single" w:sz="12" w:space="0" w:color="000000"/>
              <w:bottom w:val="single" w:sz="4" w:space="0" w:color="000000"/>
              <w:right w:val="single" w:sz="12" w:space="0" w:color="000000"/>
            </w:tcBorders>
          </w:tcPr>
          <w:p w14:paraId="53071CD6" w14:textId="6625B606" w:rsidR="0094090C" w:rsidRDefault="0094090C" w:rsidP="0094090C">
            <w:pPr>
              <w:spacing w:after="0" w:line="259" w:lineRule="auto"/>
              <w:ind w:left="0" w:right="48" w:firstLine="0"/>
              <w:jc w:val="center"/>
              <w:rPr>
                <w:sz w:val="18"/>
              </w:rPr>
            </w:pPr>
            <w:r>
              <w:rPr>
                <w:sz w:val="18"/>
              </w:rPr>
              <w:t>ug/L</w:t>
            </w:r>
          </w:p>
        </w:tc>
        <w:tc>
          <w:tcPr>
            <w:tcW w:w="811" w:type="dxa"/>
            <w:tcBorders>
              <w:top w:val="single" w:sz="4" w:space="0" w:color="000000"/>
              <w:left w:val="single" w:sz="12" w:space="0" w:color="000000"/>
              <w:bottom w:val="single" w:sz="4" w:space="0" w:color="000000"/>
              <w:right w:val="single" w:sz="12" w:space="0" w:color="000000"/>
            </w:tcBorders>
          </w:tcPr>
          <w:p w14:paraId="52EA2DE9" w14:textId="4FC4FE76" w:rsidR="0094090C" w:rsidRDefault="0094090C" w:rsidP="0094090C">
            <w:pPr>
              <w:spacing w:after="0" w:line="259" w:lineRule="auto"/>
              <w:ind w:left="0" w:right="0" w:firstLine="0"/>
              <w:jc w:val="center"/>
              <w:rPr>
                <w:sz w:val="18"/>
              </w:rPr>
            </w:pPr>
            <w:r>
              <w:rPr>
                <w:sz w:val="18"/>
              </w:rPr>
              <w:t>1300</w:t>
            </w:r>
          </w:p>
        </w:tc>
        <w:tc>
          <w:tcPr>
            <w:tcW w:w="711" w:type="dxa"/>
            <w:tcBorders>
              <w:top w:val="single" w:sz="4" w:space="0" w:color="000000"/>
              <w:left w:val="single" w:sz="12" w:space="0" w:color="000000"/>
              <w:bottom w:val="single" w:sz="4" w:space="0" w:color="000000"/>
              <w:right w:val="single" w:sz="12" w:space="0" w:color="000000"/>
            </w:tcBorders>
          </w:tcPr>
          <w:p w14:paraId="7CF01A42" w14:textId="5362DF7D" w:rsidR="0094090C" w:rsidRDefault="0094090C" w:rsidP="0094090C">
            <w:pPr>
              <w:spacing w:after="0" w:line="259" w:lineRule="auto"/>
              <w:ind w:left="0" w:right="44" w:firstLine="0"/>
              <w:jc w:val="center"/>
              <w:rPr>
                <w:rFonts w:eastAsia="Segoe UI Symbol"/>
                <w:sz w:val="18"/>
              </w:rPr>
            </w:pPr>
            <w:r>
              <w:rPr>
                <w:rFonts w:eastAsia="Segoe UI Symbol"/>
                <w:sz w:val="18"/>
              </w:rPr>
              <w:t>u</w:t>
            </w:r>
            <w:r>
              <w:rPr>
                <w:sz w:val="18"/>
              </w:rPr>
              <w:t>g/kg</w:t>
            </w:r>
          </w:p>
        </w:tc>
        <w:tc>
          <w:tcPr>
            <w:tcW w:w="647" w:type="dxa"/>
            <w:tcBorders>
              <w:top w:val="single" w:sz="4" w:space="0" w:color="000000"/>
              <w:left w:val="single" w:sz="12" w:space="0" w:color="000000"/>
              <w:bottom w:val="single" w:sz="4" w:space="0" w:color="000000"/>
              <w:right w:val="single" w:sz="12" w:space="0" w:color="000000"/>
            </w:tcBorders>
          </w:tcPr>
          <w:p w14:paraId="222C5548" w14:textId="77777777" w:rsidR="0094090C" w:rsidRDefault="0094090C" w:rsidP="0094090C">
            <w:pPr>
              <w:spacing w:after="0" w:line="259" w:lineRule="auto"/>
              <w:ind w:left="0" w:right="0" w:firstLine="0"/>
              <w:jc w:val="center"/>
            </w:pPr>
          </w:p>
        </w:tc>
        <w:tc>
          <w:tcPr>
            <w:tcW w:w="540" w:type="dxa"/>
            <w:tcBorders>
              <w:top w:val="single" w:sz="4" w:space="0" w:color="000000"/>
              <w:left w:val="single" w:sz="12" w:space="0" w:color="000000"/>
              <w:bottom w:val="single" w:sz="4" w:space="0" w:color="000000"/>
              <w:right w:val="single" w:sz="12" w:space="0" w:color="000000"/>
            </w:tcBorders>
          </w:tcPr>
          <w:p w14:paraId="19D07603" w14:textId="77777777" w:rsidR="0094090C" w:rsidRDefault="0094090C" w:rsidP="0094090C">
            <w:pPr>
              <w:spacing w:after="0" w:line="259" w:lineRule="auto"/>
              <w:ind w:left="0" w:right="1" w:firstLine="0"/>
              <w:jc w:val="center"/>
            </w:pPr>
          </w:p>
        </w:tc>
        <w:tc>
          <w:tcPr>
            <w:tcW w:w="540" w:type="dxa"/>
            <w:tcBorders>
              <w:top w:val="single" w:sz="4" w:space="0" w:color="000000"/>
              <w:left w:val="single" w:sz="12" w:space="0" w:color="000000"/>
              <w:bottom w:val="single" w:sz="4" w:space="0" w:color="000000"/>
              <w:right w:val="single" w:sz="12" w:space="0" w:color="000000"/>
            </w:tcBorders>
          </w:tcPr>
          <w:p w14:paraId="6D4C162C" w14:textId="77777777" w:rsidR="0094090C" w:rsidRDefault="0094090C" w:rsidP="0094090C">
            <w:pPr>
              <w:spacing w:after="0" w:line="259" w:lineRule="auto"/>
              <w:ind w:left="0" w:right="0" w:firstLine="0"/>
              <w:jc w:val="center"/>
            </w:pPr>
          </w:p>
        </w:tc>
        <w:tc>
          <w:tcPr>
            <w:tcW w:w="917" w:type="dxa"/>
            <w:tcBorders>
              <w:top w:val="single" w:sz="4" w:space="0" w:color="000000"/>
              <w:left w:val="single" w:sz="12" w:space="0" w:color="000000"/>
              <w:bottom w:val="single" w:sz="4" w:space="0" w:color="000000"/>
              <w:right w:val="single" w:sz="12" w:space="0" w:color="000000"/>
            </w:tcBorders>
          </w:tcPr>
          <w:p w14:paraId="1AFB81F5" w14:textId="1324AA76" w:rsidR="0094090C" w:rsidRDefault="0094090C" w:rsidP="0094090C">
            <w:pPr>
              <w:spacing w:after="0" w:line="259" w:lineRule="auto"/>
              <w:ind w:left="38" w:right="0" w:firstLine="0"/>
              <w:jc w:val="center"/>
              <w:rPr>
                <w:sz w:val="18"/>
              </w:rPr>
            </w:pPr>
            <w:r>
              <w:rPr>
                <w:sz w:val="18"/>
              </w:rPr>
              <w:t>8141B</w:t>
            </w:r>
          </w:p>
        </w:tc>
        <w:tc>
          <w:tcPr>
            <w:tcW w:w="793" w:type="dxa"/>
            <w:tcBorders>
              <w:top w:val="single" w:sz="4" w:space="0" w:color="000000"/>
              <w:left w:val="single" w:sz="12" w:space="0" w:color="000000"/>
              <w:bottom w:val="single" w:sz="4" w:space="0" w:color="000000"/>
              <w:right w:val="single" w:sz="12" w:space="0" w:color="000000"/>
            </w:tcBorders>
          </w:tcPr>
          <w:p w14:paraId="3DB5641A" w14:textId="00AC2180" w:rsidR="0094090C" w:rsidRDefault="0094090C" w:rsidP="0094090C">
            <w:pPr>
              <w:spacing w:after="0" w:line="259" w:lineRule="auto"/>
              <w:ind w:left="0" w:right="2" w:firstLine="0"/>
              <w:jc w:val="center"/>
              <w:rPr>
                <w:sz w:val="18"/>
              </w:rPr>
            </w:pPr>
            <w:r>
              <w:rPr>
                <w:sz w:val="18"/>
              </w:rPr>
              <w:t>8270D</w:t>
            </w:r>
          </w:p>
        </w:tc>
      </w:tr>
      <w:tr w:rsidR="0094090C" w14:paraId="3A154469" w14:textId="77777777" w:rsidTr="005B6604">
        <w:trPr>
          <w:trHeight w:val="262"/>
        </w:trPr>
        <w:tc>
          <w:tcPr>
            <w:tcW w:w="3165" w:type="dxa"/>
            <w:tcBorders>
              <w:top w:val="single" w:sz="4" w:space="0" w:color="000000"/>
              <w:left w:val="single" w:sz="12" w:space="0" w:color="000000"/>
              <w:bottom w:val="single" w:sz="4" w:space="0" w:color="000000"/>
              <w:right w:val="single" w:sz="12" w:space="0" w:color="000000"/>
            </w:tcBorders>
          </w:tcPr>
          <w:p w14:paraId="0AAD7DAE" w14:textId="5CEE4B42" w:rsidR="0094090C" w:rsidRDefault="0094090C" w:rsidP="0094090C">
            <w:pPr>
              <w:spacing w:after="0" w:line="259" w:lineRule="auto"/>
              <w:ind w:left="0" w:right="0" w:firstLine="0"/>
              <w:rPr>
                <w:sz w:val="18"/>
              </w:rPr>
            </w:pPr>
            <w:r>
              <w:rPr>
                <w:sz w:val="18"/>
              </w:rPr>
              <w:t xml:space="preserve">Malathion </w:t>
            </w:r>
          </w:p>
        </w:tc>
        <w:tc>
          <w:tcPr>
            <w:tcW w:w="1194" w:type="dxa"/>
            <w:tcBorders>
              <w:top w:val="single" w:sz="4" w:space="0" w:color="000000"/>
              <w:left w:val="single" w:sz="12" w:space="0" w:color="000000"/>
              <w:bottom w:val="single" w:sz="4" w:space="0" w:color="000000"/>
              <w:right w:val="single" w:sz="12" w:space="0" w:color="000000"/>
            </w:tcBorders>
          </w:tcPr>
          <w:p w14:paraId="3CBB2619" w14:textId="3CC9F805" w:rsidR="0094090C" w:rsidRDefault="0094090C" w:rsidP="0094090C">
            <w:pPr>
              <w:spacing w:after="0" w:line="259" w:lineRule="auto"/>
              <w:ind w:left="0" w:right="44" w:firstLine="0"/>
              <w:jc w:val="center"/>
              <w:rPr>
                <w:sz w:val="18"/>
              </w:rPr>
            </w:pPr>
            <w:r>
              <w:rPr>
                <w:sz w:val="18"/>
              </w:rPr>
              <w:t>121-75-5</w:t>
            </w:r>
          </w:p>
        </w:tc>
        <w:tc>
          <w:tcPr>
            <w:tcW w:w="588" w:type="dxa"/>
            <w:tcBorders>
              <w:top w:val="single" w:sz="4" w:space="0" w:color="000000"/>
              <w:left w:val="single" w:sz="12" w:space="0" w:color="000000"/>
              <w:bottom w:val="single" w:sz="4" w:space="0" w:color="000000"/>
              <w:right w:val="single" w:sz="12" w:space="0" w:color="000000"/>
            </w:tcBorders>
          </w:tcPr>
          <w:p w14:paraId="72B15529" w14:textId="2B3CB7E0" w:rsidR="0094090C" w:rsidRDefault="0094090C" w:rsidP="0094090C">
            <w:pPr>
              <w:tabs>
                <w:tab w:val="right" w:pos="489"/>
              </w:tabs>
              <w:spacing w:after="0" w:line="259" w:lineRule="auto"/>
              <w:ind w:left="0" w:right="0" w:firstLine="0"/>
              <w:jc w:val="center"/>
              <w:rPr>
                <w:sz w:val="18"/>
              </w:rPr>
            </w:pPr>
            <w:r>
              <w:rPr>
                <w:sz w:val="18"/>
              </w:rPr>
              <w:t>20</w:t>
            </w:r>
          </w:p>
        </w:tc>
        <w:tc>
          <w:tcPr>
            <w:tcW w:w="714" w:type="dxa"/>
            <w:tcBorders>
              <w:top w:val="single" w:sz="4" w:space="0" w:color="000000"/>
              <w:left w:val="single" w:sz="12" w:space="0" w:color="000000"/>
              <w:bottom w:val="single" w:sz="4" w:space="0" w:color="000000"/>
              <w:right w:val="single" w:sz="12" w:space="0" w:color="000000"/>
            </w:tcBorders>
          </w:tcPr>
          <w:p w14:paraId="181CFC0F" w14:textId="5366E0F8" w:rsidR="0094090C" w:rsidRDefault="0094090C" w:rsidP="0094090C">
            <w:pPr>
              <w:spacing w:after="0" w:line="259" w:lineRule="auto"/>
              <w:ind w:left="0" w:right="48" w:firstLine="0"/>
              <w:jc w:val="center"/>
              <w:rPr>
                <w:sz w:val="18"/>
              </w:rPr>
            </w:pPr>
            <w:r>
              <w:rPr>
                <w:sz w:val="18"/>
              </w:rPr>
              <w:t>ug/L</w:t>
            </w:r>
          </w:p>
        </w:tc>
        <w:tc>
          <w:tcPr>
            <w:tcW w:w="811" w:type="dxa"/>
            <w:tcBorders>
              <w:top w:val="single" w:sz="4" w:space="0" w:color="000000"/>
              <w:left w:val="single" w:sz="12" w:space="0" w:color="000000"/>
              <w:bottom w:val="single" w:sz="4" w:space="0" w:color="000000"/>
              <w:right w:val="single" w:sz="12" w:space="0" w:color="000000"/>
            </w:tcBorders>
          </w:tcPr>
          <w:p w14:paraId="2AFE9029" w14:textId="2CD166B5" w:rsidR="0094090C" w:rsidRDefault="0094090C" w:rsidP="0094090C">
            <w:pPr>
              <w:spacing w:after="0" w:line="259" w:lineRule="auto"/>
              <w:ind w:left="0" w:right="0" w:firstLine="0"/>
              <w:jc w:val="center"/>
              <w:rPr>
                <w:sz w:val="18"/>
              </w:rPr>
            </w:pPr>
            <w:r>
              <w:rPr>
                <w:sz w:val="18"/>
              </w:rPr>
              <w:t>1300</w:t>
            </w:r>
          </w:p>
        </w:tc>
        <w:tc>
          <w:tcPr>
            <w:tcW w:w="711" w:type="dxa"/>
            <w:tcBorders>
              <w:top w:val="single" w:sz="4" w:space="0" w:color="000000"/>
              <w:left w:val="single" w:sz="12" w:space="0" w:color="000000"/>
              <w:bottom w:val="single" w:sz="4" w:space="0" w:color="000000"/>
              <w:right w:val="single" w:sz="12" w:space="0" w:color="000000"/>
            </w:tcBorders>
          </w:tcPr>
          <w:p w14:paraId="02ED3E07" w14:textId="785DF4B5" w:rsidR="0094090C" w:rsidRDefault="0094090C" w:rsidP="0094090C">
            <w:pPr>
              <w:spacing w:after="0" w:line="259" w:lineRule="auto"/>
              <w:ind w:left="0" w:right="44" w:firstLine="0"/>
              <w:jc w:val="center"/>
              <w:rPr>
                <w:rFonts w:eastAsia="Segoe UI Symbol"/>
                <w:sz w:val="18"/>
              </w:rPr>
            </w:pPr>
            <w:r>
              <w:rPr>
                <w:rFonts w:eastAsia="Segoe UI Symbol"/>
                <w:sz w:val="18"/>
              </w:rPr>
              <w:t>u</w:t>
            </w:r>
            <w:r>
              <w:rPr>
                <w:sz w:val="18"/>
              </w:rPr>
              <w:t>g/kg</w:t>
            </w:r>
          </w:p>
        </w:tc>
        <w:tc>
          <w:tcPr>
            <w:tcW w:w="647" w:type="dxa"/>
            <w:tcBorders>
              <w:top w:val="single" w:sz="4" w:space="0" w:color="000000"/>
              <w:left w:val="single" w:sz="12" w:space="0" w:color="000000"/>
              <w:bottom w:val="single" w:sz="4" w:space="0" w:color="000000"/>
              <w:right w:val="single" w:sz="12" w:space="0" w:color="000000"/>
            </w:tcBorders>
          </w:tcPr>
          <w:p w14:paraId="627150CE" w14:textId="77777777" w:rsidR="0094090C" w:rsidRDefault="0094090C" w:rsidP="0094090C">
            <w:pPr>
              <w:spacing w:after="0" w:line="259" w:lineRule="auto"/>
              <w:ind w:left="0" w:right="0" w:firstLine="0"/>
              <w:jc w:val="center"/>
            </w:pPr>
          </w:p>
        </w:tc>
        <w:tc>
          <w:tcPr>
            <w:tcW w:w="540" w:type="dxa"/>
            <w:tcBorders>
              <w:top w:val="single" w:sz="4" w:space="0" w:color="000000"/>
              <w:left w:val="single" w:sz="12" w:space="0" w:color="000000"/>
              <w:bottom w:val="single" w:sz="4" w:space="0" w:color="000000"/>
              <w:right w:val="single" w:sz="12" w:space="0" w:color="000000"/>
            </w:tcBorders>
          </w:tcPr>
          <w:p w14:paraId="3035ECDE" w14:textId="77777777" w:rsidR="0094090C" w:rsidRDefault="0094090C" w:rsidP="0094090C">
            <w:pPr>
              <w:spacing w:after="0" w:line="259" w:lineRule="auto"/>
              <w:ind w:left="0" w:right="1" w:firstLine="0"/>
              <w:jc w:val="center"/>
            </w:pPr>
          </w:p>
        </w:tc>
        <w:tc>
          <w:tcPr>
            <w:tcW w:w="540" w:type="dxa"/>
            <w:tcBorders>
              <w:top w:val="single" w:sz="4" w:space="0" w:color="000000"/>
              <w:left w:val="single" w:sz="12" w:space="0" w:color="000000"/>
              <w:bottom w:val="single" w:sz="4" w:space="0" w:color="000000"/>
              <w:right w:val="single" w:sz="12" w:space="0" w:color="000000"/>
            </w:tcBorders>
          </w:tcPr>
          <w:p w14:paraId="1FCCDF0F" w14:textId="77777777" w:rsidR="0094090C" w:rsidRDefault="0094090C" w:rsidP="0094090C">
            <w:pPr>
              <w:spacing w:after="0" w:line="259" w:lineRule="auto"/>
              <w:ind w:left="0" w:right="0" w:firstLine="0"/>
              <w:jc w:val="center"/>
            </w:pPr>
          </w:p>
        </w:tc>
        <w:tc>
          <w:tcPr>
            <w:tcW w:w="917" w:type="dxa"/>
            <w:tcBorders>
              <w:top w:val="single" w:sz="4" w:space="0" w:color="000000"/>
              <w:left w:val="single" w:sz="12" w:space="0" w:color="000000"/>
              <w:bottom w:val="single" w:sz="4" w:space="0" w:color="000000"/>
              <w:right w:val="single" w:sz="12" w:space="0" w:color="000000"/>
            </w:tcBorders>
          </w:tcPr>
          <w:p w14:paraId="11961732" w14:textId="4781C47B" w:rsidR="0094090C" w:rsidRDefault="0094090C" w:rsidP="0094090C">
            <w:pPr>
              <w:spacing w:after="0" w:line="259" w:lineRule="auto"/>
              <w:ind w:left="38" w:right="0" w:firstLine="0"/>
              <w:jc w:val="center"/>
              <w:rPr>
                <w:sz w:val="18"/>
              </w:rPr>
            </w:pPr>
            <w:r>
              <w:rPr>
                <w:sz w:val="18"/>
              </w:rPr>
              <w:t>8141B</w:t>
            </w:r>
          </w:p>
        </w:tc>
        <w:tc>
          <w:tcPr>
            <w:tcW w:w="793" w:type="dxa"/>
            <w:tcBorders>
              <w:top w:val="single" w:sz="4" w:space="0" w:color="000000"/>
              <w:left w:val="single" w:sz="12" w:space="0" w:color="000000"/>
              <w:bottom w:val="single" w:sz="4" w:space="0" w:color="000000"/>
              <w:right w:val="single" w:sz="12" w:space="0" w:color="000000"/>
            </w:tcBorders>
          </w:tcPr>
          <w:p w14:paraId="46049D59" w14:textId="585B7EEB" w:rsidR="0094090C" w:rsidRDefault="0094090C" w:rsidP="0094090C">
            <w:pPr>
              <w:spacing w:after="0" w:line="259" w:lineRule="auto"/>
              <w:ind w:left="0" w:right="2" w:firstLine="0"/>
              <w:jc w:val="center"/>
              <w:rPr>
                <w:sz w:val="18"/>
              </w:rPr>
            </w:pPr>
            <w:r>
              <w:rPr>
                <w:sz w:val="18"/>
              </w:rPr>
              <w:t>8270D</w:t>
            </w:r>
          </w:p>
        </w:tc>
      </w:tr>
      <w:tr w:rsidR="0094090C" w14:paraId="613AD447" w14:textId="77777777" w:rsidTr="005B6604">
        <w:trPr>
          <w:trHeight w:val="262"/>
        </w:trPr>
        <w:tc>
          <w:tcPr>
            <w:tcW w:w="3165" w:type="dxa"/>
            <w:tcBorders>
              <w:top w:val="single" w:sz="4" w:space="0" w:color="000000"/>
              <w:left w:val="single" w:sz="12" w:space="0" w:color="000000"/>
              <w:bottom w:val="single" w:sz="4" w:space="0" w:color="000000"/>
              <w:right w:val="single" w:sz="12" w:space="0" w:color="000000"/>
            </w:tcBorders>
          </w:tcPr>
          <w:p w14:paraId="7C4D24C2" w14:textId="28EE950A" w:rsidR="0094090C" w:rsidRDefault="0094090C" w:rsidP="0094090C">
            <w:pPr>
              <w:spacing w:after="0" w:line="259" w:lineRule="auto"/>
              <w:ind w:left="0" w:right="0" w:firstLine="0"/>
              <w:rPr>
                <w:sz w:val="18"/>
              </w:rPr>
            </w:pPr>
            <w:proofErr w:type="spellStart"/>
            <w:r>
              <w:rPr>
                <w:sz w:val="18"/>
              </w:rPr>
              <w:t>Merphos</w:t>
            </w:r>
            <w:proofErr w:type="spellEnd"/>
            <w:r>
              <w:rPr>
                <w:sz w:val="18"/>
              </w:rPr>
              <w:t xml:space="preserve"> </w:t>
            </w:r>
          </w:p>
        </w:tc>
        <w:tc>
          <w:tcPr>
            <w:tcW w:w="1194" w:type="dxa"/>
            <w:tcBorders>
              <w:top w:val="single" w:sz="4" w:space="0" w:color="000000"/>
              <w:left w:val="single" w:sz="12" w:space="0" w:color="000000"/>
              <w:bottom w:val="single" w:sz="4" w:space="0" w:color="000000"/>
              <w:right w:val="single" w:sz="12" w:space="0" w:color="000000"/>
            </w:tcBorders>
          </w:tcPr>
          <w:p w14:paraId="3688111A" w14:textId="63D87407" w:rsidR="0094090C" w:rsidRDefault="0094090C" w:rsidP="0094090C">
            <w:pPr>
              <w:spacing w:after="0" w:line="259" w:lineRule="auto"/>
              <w:ind w:left="0" w:right="44" w:firstLine="0"/>
              <w:jc w:val="center"/>
              <w:rPr>
                <w:sz w:val="18"/>
              </w:rPr>
            </w:pPr>
            <w:r>
              <w:rPr>
                <w:sz w:val="18"/>
              </w:rPr>
              <w:t>150-50-5</w:t>
            </w:r>
          </w:p>
        </w:tc>
        <w:tc>
          <w:tcPr>
            <w:tcW w:w="588" w:type="dxa"/>
            <w:tcBorders>
              <w:top w:val="single" w:sz="4" w:space="0" w:color="000000"/>
              <w:left w:val="single" w:sz="12" w:space="0" w:color="000000"/>
              <w:bottom w:val="single" w:sz="4" w:space="0" w:color="000000"/>
              <w:right w:val="single" w:sz="12" w:space="0" w:color="000000"/>
            </w:tcBorders>
          </w:tcPr>
          <w:p w14:paraId="1D04D835" w14:textId="01E810C1" w:rsidR="0094090C" w:rsidRDefault="0094090C" w:rsidP="0094090C">
            <w:pPr>
              <w:tabs>
                <w:tab w:val="right" w:pos="489"/>
              </w:tabs>
              <w:spacing w:after="0" w:line="259" w:lineRule="auto"/>
              <w:ind w:left="0" w:right="0" w:firstLine="0"/>
              <w:jc w:val="center"/>
              <w:rPr>
                <w:sz w:val="18"/>
              </w:rPr>
            </w:pPr>
            <w:r>
              <w:rPr>
                <w:sz w:val="18"/>
              </w:rPr>
              <w:t>1.2</w:t>
            </w:r>
          </w:p>
        </w:tc>
        <w:tc>
          <w:tcPr>
            <w:tcW w:w="714" w:type="dxa"/>
            <w:tcBorders>
              <w:top w:val="single" w:sz="4" w:space="0" w:color="000000"/>
              <w:left w:val="single" w:sz="12" w:space="0" w:color="000000"/>
              <w:bottom w:val="single" w:sz="4" w:space="0" w:color="000000"/>
              <w:right w:val="single" w:sz="12" w:space="0" w:color="000000"/>
            </w:tcBorders>
          </w:tcPr>
          <w:p w14:paraId="5DE720D9" w14:textId="3ED77848" w:rsidR="0094090C" w:rsidRDefault="0094090C" w:rsidP="0094090C">
            <w:pPr>
              <w:spacing w:after="0" w:line="259" w:lineRule="auto"/>
              <w:ind w:left="0" w:right="48" w:firstLine="0"/>
              <w:jc w:val="center"/>
              <w:rPr>
                <w:sz w:val="18"/>
              </w:rPr>
            </w:pPr>
            <w:r>
              <w:rPr>
                <w:sz w:val="18"/>
              </w:rPr>
              <w:t>ug/L</w:t>
            </w:r>
          </w:p>
        </w:tc>
        <w:tc>
          <w:tcPr>
            <w:tcW w:w="811" w:type="dxa"/>
            <w:tcBorders>
              <w:top w:val="single" w:sz="4" w:space="0" w:color="000000"/>
              <w:left w:val="single" w:sz="12" w:space="0" w:color="000000"/>
              <w:bottom w:val="single" w:sz="4" w:space="0" w:color="000000"/>
              <w:right w:val="single" w:sz="12" w:space="0" w:color="000000"/>
            </w:tcBorders>
          </w:tcPr>
          <w:p w14:paraId="06E41C7F" w14:textId="6B2E3687" w:rsidR="0094090C" w:rsidRDefault="0094090C" w:rsidP="0094090C">
            <w:pPr>
              <w:spacing w:after="0" w:line="259" w:lineRule="auto"/>
              <w:ind w:left="0" w:right="0" w:firstLine="0"/>
              <w:jc w:val="center"/>
              <w:rPr>
                <w:sz w:val="18"/>
              </w:rPr>
            </w:pPr>
            <w:r>
              <w:rPr>
                <w:sz w:val="18"/>
              </w:rPr>
              <w:t>660</w:t>
            </w:r>
          </w:p>
        </w:tc>
        <w:tc>
          <w:tcPr>
            <w:tcW w:w="711" w:type="dxa"/>
            <w:tcBorders>
              <w:top w:val="single" w:sz="4" w:space="0" w:color="000000"/>
              <w:left w:val="single" w:sz="12" w:space="0" w:color="000000"/>
              <w:bottom w:val="single" w:sz="4" w:space="0" w:color="000000"/>
              <w:right w:val="single" w:sz="12" w:space="0" w:color="000000"/>
            </w:tcBorders>
          </w:tcPr>
          <w:p w14:paraId="7825EAAE" w14:textId="66EEB7C0" w:rsidR="0094090C" w:rsidRDefault="0094090C" w:rsidP="0094090C">
            <w:pPr>
              <w:spacing w:after="0" w:line="259" w:lineRule="auto"/>
              <w:ind w:left="0" w:right="44" w:firstLine="0"/>
              <w:jc w:val="center"/>
              <w:rPr>
                <w:rFonts w:eastAsia="Segoe UI Symbol"/>
                <w:sz w:val="18"/>
              </w:rPr>
            </w:pPr>
            <w:r>
              <w:rPr>
                <w:rFonts w:eastAsia="Segoe UI Symbol"/>
                <w:sz w:val="18"/>
              </w:rPr>
              <w:t>u</w:t>
            </w:r>
            <w:r>
              <w:rPr>
                <w:sz w:val="18"/>
              </w:rPr>
              <w:t>g/kg</w:t>
            </w:r>
          </w:p>
        </w:tc>
        <w:tc>
          <w:tcPr>
            <w:tcW w:w="647" w:type="dxa"/>
            <w:tcBorders>
              <w:top w:val="single" w:sz="4" w:space="0" w:color="000000"/>
              <w:left w:val="single" w:sz="12" w:space="0" w:color="000000"/>
              <w:bottom w:val="single" w:sz="4" w:space="0" w:color="000000"/>
              <w:right w:val="single" w:sz="12" w:space="0" w:color="000000"/>
            </w:tcBorders>
          </w:tcPr>
          <w:p w14:paraId="61A91E67" w14:textId="77777777" w:rsidR="0094090C" w:rsidRDefault="0094090C" w:rsidP="0094090C">
            <w:pPr>
              <w:spacing w:after="0" w:line="259" w:lineRule="auto"/>
              <w:ind w:left="0" w:right="0" w:firstLine="0"/>
              <w:jc w:val="center"/>
            </w:pPr>
          </w:p>
        </w:tc>
        <w:tc>
          <w:tcPr>
            <w:tcW w:w="540" w:type="dxa"/>
            <w:tcBorders>
              <w:top w:val="single" w:sz="4" w:space="0" w:color="000000"/>
              <w:left w:val="single" w:sz="12" w:space="0" w:color="000000"/>
              <w:bottom w:val="single" w:sz="4" w:space="0" w:color="000000"/>
              <w:right w:val="single" w:sz="12" w:space="0" w:color="000000"/>
            </w:tcBorders>
          </w:tcPr>
          <w:p w14:paraId="300045BD" w14:textId="77777777" w:rsidR="0094090C" w:rsidRDefault="0094090C" w:rsidP="0094090C">
            <w:pPr>
              <w:spacing w:after="0" w:line="259" w:lineRule="auto"/>
              <w:ind w:left="0" w:right="1" w:firstLine="0"/>
              <w:jc w:val="center"/>
            </w:pPr>
          </w:p>
        </w:tc>
        <w:tc>
          <w:tcPr>
            <w:tcW w:w="540" w:type="dxa"/>
            <w:tcBorders>
              <w:top w:val="single" w:sz="4" w:space="0" w:color="000000"/>
              <w:left w:val="single" w:sz="12" w:space="0" w:color="000000"/>
              <w:bottom w:val="single" w:sz="4" w:space="0" w:color="000000"/>
              <w:right w:val="single" w:sz="12" w:space="0" w:color="000000"/>
            </w:tcBorders>
          </w:tcPr>
          <w:p w14:paraId="158021DB" w14:textId="77777777" w:rsidR="0094090C" w:rsidRDefault="0094090C" w:rsidP="0094090C">
            <w:pPr>
              <w:spacing w:after="0" w:line="259" w:lineRule="auto"/>
              <w:ind w:left="0" w:right="0" w:firstLine="0"/>
              <w:jc w:val="center"/>
            </w:pPr>
          </w:p>
        </w:tc>
        <w:tc>
          <w:tcPr>
            <w:tcW w:w="917" w:type="dxa"/>
            <w:tcBorders>
              <w:top w:val="single" w:sz="4" w:space="0" w:color="000000"/>
              <w:left w:val="single" w:sz="12" w:space="0" w:color="000000"/>
              <w:bottom w:val="single" w:sz="4" w:space="0" w:color="000000"/>
              <w:right w:val="single" w:sz="12" w:space="0" w:color="000000"/>
            </w:tcBorders>
          </w:tcPr>
          <w:p w14:paraId="6F9F78E4" w14:textId="6F0C315D" w:rsidR="0094090C" w:rsidRDefault="0094090C" w:rsidP="0094090C">
            <w:pPr>
              <w:spacing w:after="0" w:line="259" w:lineRule="auto"/>
              <w:ind w:left="38" w:right="0" w:firstLine="0"/>
              <w:jc w:val="center"/>
              <w:rPr>
                <w:sz w:val="18"/>
              </w:rPr>
            </w:pPr>
            <w:r>
              <w:rPr>
                <w:sz w:val="18"/>
              </w:rPr>
              <w:t>8141B</w:t>
            </w:r>
          </w:p>
        </w:tc>
        <w:tc>
          <w:tcPr>
            <w:tcW w:w="793" w:type="dxa"/>
            <w:tcBorders>
              <w:top w:val="single" w:sz="4" w:space="0" w:color="000000"/>
              <w:left w:val="single" w:sz="12" w:space="0" w:color="000000"/>
              <w:bottom w:val="single" w:sz="4" w:space="0" w:color="000000"/>
              <w:right w:val="single" w:sz="12" w:space="0" w:color="000000"/>
            </w:tcBorders>
          </w:tcPr>
          <w:p w14:paraId="53EDB4B8" w14:textId="41CEBD36" w:rsidR="0094090C" w:rsidRDefault="0094090C" w:rsidP="0094090C">
            <w:pPr>
              <w:spacing w:after="0" w:line="259" w:lineRule="auto"/>
              <w:ind w:left="0" w:right="2" w:firstLine="0"/>
              <w:jc w:val="center"/>
              <w:rPr>
                <w:sz w:val="18"/>
              </w:rPr>
            </w:pPr>
            <w:r>
              <w:rPr>
                <w:sz w:val="18"/>
              </w:rPr>
              <w:t>8321B</w:t>
            </w:r>
          </w:p>
        </w:tc>
      </w:tr>
      <w:tr w:rsidR="0094090C" w14:paraId="385A5A34" w14:textId="77777777" w:rsidTr="005B6604">
        <w:trPr>
          <w:trHeight w:val="262"/>
        </w:trPr>
        <w:tc>
          <w:tcPr>
            <w:tcW w:w="3165" w:type="dxa"/>
            <w:tcBorders>
              <w:top w:val="single" w:sz="4" w:space="0" w:color="000000"/>
              <w:left w:val="single" w:sz="12" w:space="0" w:color="000000"/>
              <w:bottom w:val="single" w:sz="4" w:space="0" w:color="000000"/>
              <w:right w:val="single" w:sz="12" w:space="0" w:color="000000"/>
            </w:tcBorders>
          </w:tcPr>
          <w:p w14:paraId="037DE824" w14:textId="7D434EC9" w:rsidR="0094090C" w:rsidRDefault="0094090C" w:rsidP="0094090C">
            <w:pPr>
              <w:spacing w:after="0" w:line="259" w:lineRule="auto"/>
              <w:ind w:left="0" w:right="0" w:firstLine="0"/>
              <w:rPr>
                <w:sz w:val="18"/>
              </w:rPr>
            </w:pPr>
            <w:proofErr w:type="spellStart"/>
            <w:r>
              <w:rPr>
                <w:sz w:val="18"/>
              </w:rPr>
              <w:t>Mevinphos</w:t>
            </w:r>
            <w:proofErr w:type="spellEnd"/>
            <w:r>
              <w:rPr>
                <w:sz w:val="18"/>
              </w:rPr>
              <w:t xml:space="preserve"> </w:t>
            </w:r>
          </w:p>
        </w:tc>
        <w:tc>
          <w:tcPr>
            <w:tcW w:w="1194" w:type="dxa"/>
            <w:tcBorders>
              <w:top w:val="single" w:sz="4" w:space="0" w:color="000000"/>
              <w:left w:val="single" w:sz="12" w:space="0" w:color="000000"/>
              <w:bottom w:val="single" w:sz="4" w:space="0" w:color="000000"/>
              <w:right w:val="single" w:sz="12" w:space="0" w:color="000000"/>
            </w:tcBorders>
          </w:tcPr>
          <w:p w14:paraId="103F52B2" w14:textId="1A326351" w:rsidR="0094090C" w:rsidRDefault="0094090C" w:rsidP="0094090C">
            <w:pPr>
              <w:spacing w:after="0" w:line="259" w:lineRule="auto"/>
              <w:ind w:left="0" w:right="44" w:firstLine="0"/>
              <w:jc w:val="center"/>
              <w:rPr>
                <w:sz w:val="18"/>
              </w:rPr>
            </w:pPr>
            <w:r>
              <w:rPr>
                <w:sz w:val="18"/>
              </w:rPr>
              <w:t>7786-34-7</w:t>
            </w:r>
          </w:p>
        </w:tc>
        <w:tc>
          <w:tcPr>
            <w:tcW w:w="588" w:type="dxa"/>
            <w:tcBorders>
              <w:top w:val="single" w:sz="4" w:space="0" w:color="000000"/>
              <w:left w:val="single" w:sz="12" w:space="0" w:color="000000"/>
              <w:bottom w:val="single" w:sz="4" w:space="0" w:color="000000"/>
              <w:right w:val="single" w:sz="12" w:space="0" w:color="000000"/>
            </w:tcBorders>
          </w:tcPr>
          <w:p w14:paraId="6854312E" w14:textId="1A18DC4A" w:rsidR="0094090C" w:rsidRDefault="0094090C" w:rsidP="0094090C">
            <w:pPr>
              <w:tabs>
                <w:tab w:val="right" w:pos="489"/>
              </w:tabs>
              <w:spacing w:after="0" w:line="259" w:lineRule="auto"/>
              <w:ind w:left="0" w:right="0" w:firstLine="0"/>
              <w:jc w:val="center"/>
              <w:rPr>
                <w:sz w:val="18"/>
              </w:rPr>
            </w:pPr>
            <w:r>
              <w:rPr>
                <w:sz w:val="18"/>
              </w:rPr>
              <w:t>20</w:t>
            </w:r>
          </w:p>
        </w:tc>
        <w:tc>
          <w:tcPr>
            <w:tcW w:w="714" w:type="dxa"/>
            <w:tcBorders>
              <w:top w:val="single" w:sz="4" w:space="0" w:color="000000"/>
              <w:left w:val="single" w:sz="12" w:space="0" w:color="000000"/>
              <w:bottom w:val="single" w:sz="4" w:space="0" w:color="000000"/>
              <w:right w:val="single" w:sz="12" w:space="0" w:color="000000"/>
            </w:tcBorders>
          </w:tcPr>
          <w:p w14:paraId="00EFAC99" w14:textId="46C7CFC2" w:rsidR="0094090C" w:rsidRDefault="0094090C" w:rsidP="0094090C">
            <w:pPr>
              <w:spacing w:after="0" w:line="259" w:lineRule="auto"/>
              <w:ind w:left="0" w:right="48" w:firstLine="0"/>
              <w:jc w:val="center"/>
              <w:rPr>
                <w:sz w:val="18"/>
              </w:rPr>
            </w:pPr>
            <w:r>
              <w:rPr>
                <w:sz w:val="18"/>
              </w:rPr>
              <w:t>ug/L</w:t>
            </w:r>
          </w:p>
        </w:tc>
        <w:tc>
          <w:tcPr>
            <w:tcW w:w="811" w:type="dxa"/>
            <w:tcBorders>
              <w:top w:val="single" w:sz="4" w:space="0" w:color="000000"/>
              <w:left w:val="single" w:sz="12" w:space="0" w:color="000000"/>
              <w:bottom w:val="single" w:sz="4" w:space="0" w:color="000000"/>
              <w:right w:val="single" w:sz="12" w:space="0" w:color="000000"/>
            </w:tcBorders>
          </w:tcPr>
          <w:p w14:paraId="05BD18DE" w14:textId="7A7A2D40" w:rsidR="0094090C" w:rsidRDefault="0094090C" w:rsidP="0094090C">
            <w:pPr>
              <w:spacing w:after="0" w:line="259" w:lineRule="auto"/>
              <w:ind w:left="0" w:right="0" w:firstLine="0"/>
              <w:jc w:val="center"/>
              <w:rPr>
                <w:sz w:val="18"/>
              </w:rPr>
            </w:pPr>
            <w:r>
              <w:rPr>
                <w:sz w:val="18"/>
              </w:rPr>
              <w:t>1300</w:t>
            </w:r>
          </w:p>
        </w:tc>
        <w:tc>
          <w:tcPr>
            <w:tcW w:w="711" w:type="dxa"/>
            <w:tcBorders>
              <w:top w:val="single" w:sz="4" w:space="0" w:color="000000"/>
              <w:left w:val="single" w:sz="12" w:space="0" w:color="000000"/>
              <w:bottom w:val="single" w:sz="4" w:space="0" w:color="000000"/>
              <w:right w:val="single" w:sz="12" w:space="0" w:color="000000"/>
            </w:tcBorders>
          </w:tcPr>
          <w:p w14:paraId="426FA15D" w14:textId="3C26E00B" w:rsidR="0094090C" w:rsidRDefault="0094090C" w:rsidP="0094090C">
            <w:pPr>
              <w:spacing w:after="0" w:line="259" w:lineRule="auto"/>
              <w:ind w:left="0" w:right="44" w:firstLine="0"/>
              <w:jc w:val="center"/>
              <w:rPr>
                <w:rFonts w:eastAsia="Segoe UI Symbol"/>
                <w:sz w:val="18"/>
              </w:rPr>
            </w:pPr>
            <w:r>
              <w:rPr>
                <w:rFonts w:eastAsia="Segoe UI Symbol"/>
                <w:sz w:val="18"/>
              </w:rPr>
              <w:t>u</w:t>
            </w:r>
            <w:r>
              <w:rPr>
                <w:sz w:val="18"/>
              </w:rPr>
              <w:t>g/kg</w:t>
            </w:r>
          </w:p>
        </w:tc>
        <w:tc>
          <w:tcPr>
            <w:tcW w:w="647" w:type="dxa"/>
            <w:tcBorders>
              <w:top w:val="single" w:sz="4" w:space="0" w:color="000000"/>
              <w:left w:val="single" w:sz="12" w:space="0" w:color="000000"/>
              <w:bottom w:val="single" w:sz="4" w:space="0" w:color="000000"/>
              <w:right w:val="single" w:sz="12" w:space="0" w:color="000000"/>
            </w:tcBorders>
          </w:tcPr>
          <w:p w14:paraId="4F8E5245" w14:textId="77777777" w:rsidR="0094090C" w:rsidRDefault="0094090C" w:rsidP="0094090C">
            <w:pPr>
              <w:spacing w:after="0" w:line="259" w:lineRule="auto"/>
              <w:ind w:left="0" w:right="0" w:firstLine="0"/>
              <w:jc w:val="center"/>
            </w:pPr>
          </w:p>
        </w:tc>
        <w:tc>
          <w:tcPr>
            <w:tcW w:w="540" w:type="dxa"/>
            <w:tcBorders>
              <w:top w:val="single" w:sz="4" w:space="0" w:color="000000"/>
              <w:left w:val="single" w:sz="12" w:space="0" w:color="000000"/>
              <w:bottom w:val="single" w:sz="4" w:space="0" w:color="000000"/>
              <w:right w:val="single" w:sz="12" w:space="0" w:color="000000"/>
            </w:tcBorders>
          </w:tcPr>
          <w:p w14:paraId="21F707B8" w14:textId="77777777" w:rsidR="0094090C" w:rsidRDefault="0094090C" w:rsidP="0094090C">
            <w:pPr>
              <w:spacing w:after="0" w:line="259" w:lineRule="auto"/>
              <w:ind w:left="0" w:right="1" w:firstLine="0"/>
              <w:jc w:val="center"/>
            </w:pPr>
          </w:p>
        </w:tc>
        <w:tc>
          <w:tcPr>
            <w:tcW w:w="540" w:type="dxa"/>
            <w:tcBorders>
              <w:top w:val="single" w:sz="4" w:space="0" w:color="000000"/>
              <w:left w:val="single" w:sz="12" w:space="0" w:color="000000"/>
              <w:bottom w:val="single" w:sz="4" w:space="0" w:color="000000"/>
              <w:right w:val="single" w:sz="12" w:space="0" w:color="000000"/>
            </w:tcBorders>
          </w:tcPr>
          <w:p w14:paraId="1CEFF1D7" w14:textId="77777777" w:rsidR="0094090C" w:rsidRDefault="0094090C" w:rsidP="0094090C">
            <w:pPr>
              <w:spacing w:after="0" w:line="259" w:lineRule="auto"/>
              <w:ind w:left="0" w:right="0" w:firstLine="0"/>
              <w:jc w:val="center"/>
            </w:pPr>
          </w:p>
        </w:tc>
        <w:tc>
          <w:tcPr>
            <w:tcW w:w="917" w:type="dxa"/>
            <w:tcBorders>
              <w:top w:val="single" w:sz="4" w:space="0" w:color="000000"/>
              <w:left w:val="single" w:sz="12" w:space="0" w:color="000000"/>
              <w:bottom w:val="single" w:sz="4" w:space="0" w:color="000000"/>
              <w:right w:val="single" w:sz="12" w:space="0" w:color="000000"/>
            </w:tcBorders>
          </w:tcPr>
          <w:p w14:paraId="3C1D9056" w14:textId="3A6DE023" w:rsidR="0094090C" w:rsidRDefault="0094090C" w:rsidP="0094090C">
            <w:pPr>
              <w:spacing w:after="0" w:line="259" w:lineRule="auto"/>
              <w:ind w:left="38" w:right="0" w:firstLine="0"/>
              <w:jc w:val="center"/>
              <w:rPr>
                <w:sz w:val="18"/>
              </w:rPr>
            </w:pPr>
            <w:r>
              <w:rPr>
                <w:sz w:val="18"/>
              </w:rPr>
              <w:t>8141B</w:t>
            </w:r>
          </w:p>
        </w:tc>
        <w:tc>
          <w:tcPr>
            <w:tcW w:w="793" w:type="dxa"/>
            <w:tcBorders>
              <w:top w:val="single" w:sz="4" w:space="0" w:color="000000"/>
              <w:left w:val="single" w:sz="12" w:space="0" w:color="000000"/>
              <w:bottom w:val="single" w:sz="4" w:space="0" w:color="000000"/>
              <w:right w:val="single" w:sz="12" w:space="0" w:color="000000"/>
            </w:tcBorders>
          </w:tcPr>
          <w:p w14:paraId="5536F4CE" w14:textId="243C65E6" w:rsidR="0094090C" w:rsidRDefault="0094090C" w:rsidP="0094090C">
            <w:pPr>
              <w:spacing w:after="0" w:line="259" w:lineRule="auto"/>
              <w:ind w:left="0" w:right="2" w:firstLine="0"/>
              <w:jc w:val="center"/>
              <w:rPr>
                <w:sz w:val="18"/>
              </w:rPr>
            </w:pPr>
            <w:r>
              <w:rPr>
                <w:sz w:val="18"/>
              </w:rPr>
              <w:t>8270D</w:t>
            </w:r>
          </w:p>
        </w:tc>
      </w:tr>
      <w:tr w:rsidR="0094090C" w14:paraId="0020B2BA" w14:textId="77777777" w:rsidTr="005B6604">
        <w:trPr>
          <w:trHeight w:val="262"/>
        </w:trPr>
        <w:tc>
          <w:tcPr>
            <w:tcW w:w="3165" w:type="dxa"/>
            <w:tcBorders>
              <w:top w:val="single" w:sz="4" w:space="0" w:color="000000"/>
              <w:left w:val="single" w:sz="12" w:space="0" w:color="000000"/>
              <w:bottom w:val="single" w:sz="4" w:space="0" w:color="000000"/>
              <w:right w:val="single" w:sz="12" w:space="0" w:color="000000"/>
            </w:tcBorders>
          </w:tcPr>
          <w:p w14:paraId="7D10B1A6" w14:textId="01754358" w:rsidR="0094090C" w:rsidRDefault="0094090C" w:rsidP="0094090C">
            <w:pPr>
              <w:spacing w:after="0" w:line="259" w:lineRule="auto"/>
              <w:ind w:left="0" w:right="0" w:firstLine="0"/>
              <w:rPr>
                <w:sz w:val="18"/>
              </w:rPr>
            </w:pPr>
            <w:proofErr w:type="spellStart"/>
            <w:r>
              <w:rPr>
                <w:sz w:val="18"/>
              </w:rPr>
              <w:t>Phosmet</w:t>
            </w:r>
            <w:proofErr w:type="spellEnd"/>
            <w:r>
              <w:rPr>
                <w:sz w:val="18"/>
              </w:rPr>
              <w:t xml:space="preserve"> </w:t>
            </w:r>
          </w:p>
        </w:tc>
        <w:tc>
          <w:tcPr>
            <w:tcW w:w="1194" w:type="dxa"/>
            <w:tcBorders>
              <w:top w:val="single" w:sz="4" w:space="0" w:color="000000"/>
              <w:left w:val="single" w:sz="12" w:space="0" w:color="000000"/>
              <w:bottom w:val="single" w:sz="4" w:space="0" w:color="000000"/>
              <w:right w:val="single" w:sz="12" w:space="0" w:color="000000"/>
            </w:tcBorders>
          </w:tcPr>
          <w:p w14:paraId="047C226C" w14:textId="0AA53C2C" w:rsidR="0094090C" w:rsidRDefault="0094090C" w:rsidP="0094090C">
            <w:pPr>
              <w:spacing w:after="0" w:line="259" w:lineRule="auto"/>
              <w:ind w:left="0" w:right="44" w:firstLine="0"/>
              <w:jc w:val="center"/>
              <w:rPr>
                <w:sz w:val="18"/>
              </w:rPr>
            </w:pPr>
            <w:r>
              <w:rPr>
                <w:sz w:val="18"/>
              </w:rPr>
              <w:t>732-11-6</w:t>
            </w:r>
          </w:p>
        </w:tc>
        <w:tc>
          <w:tcPr>
            <w:tcW w:w="588" w:type="dxa"/>
            <w:tcBorders>
              <w:top w:val="single" w:sz="4" w:space="0" w:color="000000"/>
              <w:left w:val="single" w:sz="12" w:space="0" w:color="000000"/>
              <w:bottom w:val="single" w:sz="4" w:space="0" w:color="000000"/>
              <w:right w:val="single" w:sz="12" w:space="0" w:color="000000"/>
            </w:tcBorders>
          </w:tcPr>
          <w:p w14:paraId="2941391E" w14:textId="0002247D" w:rsidR="0094090C" w:rsidRDefault="0094090C" w:rsidP="0094090C">
            <w:pPr>
              <w:tabs>
                <w:tab w:val="right" w:pos="489"/>
              </w:tabs>
              <w:spacing w:after="0" w:line="259" w:lineRule="auto"/>
              <w:ind w:left="0" w:right="0" w:firstLine="0"/>
              <w:jc w:val="center"/>
              <w:rPr>
                <w:sz w:val="18"/>
              </w:rPr>
            </w:pPr>
            <w:r>
              <w:rPr>
                <w:sz w:val="18"/>
              </w:rPr>
              <w:t>30</w:t>
            </w:r>
          </w:p>
        </w:tc>
        <w:tc>
          <w:tcPr>
            <w:tcW w:w="714" w:type="dxa"/>
            <w:tcBorders>
              <w:top w:val="single" w:sz="4" w:space="0" w:color="000000"/>
              <w:left w:val="single" w:sz="12" w:space="0" w:color="000000"/>
              <w:bottom w:val="single" w:sz="4" w:space="0" w:color="000000"/>
              <w:right w:val="single" w:sz="12" w:space="0" w:color="000000"/>
            </w:tcBorders>
          </w:tcPr>
          <w:p w14:paraId="4638E9FF" w14:textId="6D3E868E" w:rsidR="0094090C" w:rsidRDefault="0094090C" w:rsidP="0094090C">
            <w:pPr>
              <w:spacing w:after="0" w:line="259" w:lineRule="auto"/>
              <w:ind w:left="0" w:right="48" w:firstLine="0"/>
              <w:jc w:val="center"/>
              <w:rPr>
                <w:sz w:val="18"/>
              </w:rPr>
            </w:pPr>
            <w:r>
              <w:rPr>
                <w:sz w:val="18"/>
              </w:rPr>
              <w:t>ug/L</w:t>
            </w:r>
          </w:p>
        </w:tc>
        <w:tc>
          <w:tcPr>
            <w:tcW w:w="811" w:type="dxa"/>
            <w:tcBorders>
              <w:top w:val="single" w:sz="4" w:space="0" w:color="000000"/>
              <w:left w:val="single" w:sz="12" w:space="0" w:color="000000"/>
              <w:bottom w:val="single" w:sz="4" w:space="0" w:color="000000"/>
              <w:right w:val="single" w:sz="12" w:space="0" w:color="000000"/>
            </w:tcBorders>
          </w:tcPr>
          <w:p w14:paraId="1075BB06" w14:textId="12BCE9CE" w:rsidR="0094090C" w:rsidRDefault="0094090C" w:rsidP="0094090C">
            <w:pPr>
              <w:spacing w:after="0" w:line="259" w:lineRule="auto"/>
              <w:ind w:left="0" w:right="0" w:firstLine="0"/>
              <w:jc w:val="center"/>
              <w:rPr>
                <w:sz w:val="18"/>
              </w:rPr>
            </w:pPr>
            <w:r>
              <w:rPr>
                <w:sz w:val="18"/>
              </w:rPr>
              <w:t>2000</w:t>
            </w:r>
          </w:p>
        </w:tc>
        <w:tc>
          <w:tcPr>
            <w:tcW w:w="711" w:type="dxa"/>
            <w:tcBorders>
              <w:top w:val="single" w:sz="4" w:space="0" w:color="000000"/>
              <w:left w:val="single" w:sz="12" w:space="0" w:color="000000"/>
              <w:bottom w:val="single" w:sz="4" w:space="0" w:color="000000"/>
              <w:right w:val="single" w:sz="12" w:space="0" w:color="000000"/>
            </w:tcBorders>
          </w:tcPr>
          <w:p w14:paraId="0F94916D" w14:textId="74623A9B" w:rsidR="0094090C" w:rsidRDefault="0094090C" w:rsidP="0094090C">
            <w:pPr>
              <w:spacing w:after="0" w:line="259" w:lineRule="auto"/>
              <w:ind w:left="0" w:right="44" w:firstLine="0"/>
              <w:jc w:val="center"/>
              <w:rPr>
                <w:rFonts w:eastAsia="Segoe UI Symbol"/>
                <w:sz w:val="18"/>
              </w:rPr>
            </w:pPr>
            <w:r>
              <w:rPr>
                <w:rFonts w:eastAsia="Segoe UI Symbol"/>
                <w:sz w:val="18"/>
              </w:rPr>
              <w:t>u</w:t>
            </w:r>
            <w:r>
              <w:rPr>
                <w:sz w:val="18"/>
              </w:rPr>
              <w:t>g/kg</w:t>
            </w:r>
          </w:p>
        </w:tc>
        <w:tc>
          <w:tcPr>
            <w:tcW w:w="647" w:type="dxa"/>
            <w:tcBorders>
              <w:top w:val="single" w:sz="4" w:space="0" w:color="000000"/>
              <w:left w:val="single" w:sz="12" w:space="0" w:color="000000"/>
              <w:bottom w:val="single" w:sz="4" w:space="0" w:color="000000"/>
              <w:right w:val="single" w:sz="12" w:space="0" w:color="000000"/>
            </w:tcBorders>
          </w:tcPr>
          <w:p w14:paraId="519BB792" w14:textId="77777777" w:rsidR="0094090C" w:rsidRDefault="0094090C" w:rsidP="0094090C">
            <w:pPr>
              <w:spacing w:after="0" w:line="259" w:lineRule="auto"/>
              <w:ind w:left="0" w:right="0" w:firstLine="0"/>
              <w:jc w:val="center"/>
            </w:pPr>
          </w:p>
        </w:tc>
        <w:tc>
          <w:tcPr>
            <w:tcW w:w="540" w:type="dxa"/>
            <w:tcBorders>
              <w:top w:val="single" w:sz="4" w:space="0" w:color="000000"/>
              <w:left w:val="single" w:sz="12" w:space="0" w:color="000000"/>
              <w:bottom w:val="single" w:sz="4" w:space="0" w:color="000000"/>
              <w:right w:val="single" w:sz="12" w:space="0" w:color="000000"/>
            </w:tcBorders>
          </w:tcPr>
          <w:p w14:paraId="5DDE45FC" w14:textId="77777777" w:rsidR="0094090C" w:rsidRDefault="0094090C" w:rsidP="0094090C">
            <w:pPr>
              <w:spacing w:after="0" w:line="259" w:lineRule="auto"/>
              <w:ind w:left="0" w:right="1" w:firstLine="0"/>
              <w:jc w:val="center"/>
            </w:pPr>
          </w:p>
        </w:tc>
        <w:tc>
          <w:tcPr>
            <w:tcW w:w="540" w:type="dxa"/>
            <w:tcBorders>
              <w:top w:val="single" w:sz="4" w:space="0" w:color="000000"/>
              <w:left w:val="single" w:sz="12" w:space="0" w:color="000000"/>
              <w:bottom w:val="single" w:sz="4" w:space="0" w:color="000000"/>
              <w:right w:val="single" w:sz="12" w:space="0" w:color="000000"/>
            </w:tcBorders>
          </w:tcPr>
          <w:p w14:paraId="332FCE9B" w14:textId="77777777" w:rsidR="0094090C" w:rsidRDefault="0094090C" w:rsidP="0094090C">
            <w:pPr>
              <w:spacing w:after="0" w:line="259" w:lineRule="auto"/>
              <w:ind w:left="0" w:right="0" w:firstLine="0"/>
              <w:jc w:val="center"/>
            </w:pPr>
          </w:p>
        </w:tc>
        <w:tc>
          <w:tcPr>
            <w:tcW w:w="917" w:type="dxa"/>
            <w:tcBorders>
              <w:top w:val="single" w:sz="4" w:space="0" w:color="000000"/>
              <w:left w:val="single" w:sz="12" w:space="0" w:color="000000"/>
              <w:bottom w:val="single" w:sz="4" w:space="0" w:color="000000"/>
              <w:right w:val="single" w:sz="12" w:space="0" w:color="000000"/>
            </w:tcBorders>
          </w:tcPr>
          <w:p w14:paraId="4C15E607" w14:textId="776F440A" w:rsidR="0094090C" w:rsidRDefault="0094090C" w:rsidP="0094090C">
            <w:pPr>
              <w:spacing w:after="0" w:line="259" w:lineRule="auto"/>
              <w:ind w:left="38" w:right="0" w:firstLine="0"/>
              <w:jc w:val="center"/>
              <w:rPr>
                <w:sz w:val="18"/>
              </w:rPr>
            </w:pPr>
            <w:r>
              <w:rPr>
                <w:sz w:val="18"/>
              </w:rPr>
              <w:t>8141B</w:t>
            </w:r>
          </w:p>
        </w:tc>
        <w:tc>
          <w:tcPr>
            <w:tcW w:w="793" w:type="dxa"/>
            <w:tcBorders>
              <w:top w:val="single" w:sz="4" w:space="0" w:color="000000"/>
              <w:left w:val="single" w:sz="12" w:space="0" w:color="000000"/>
              <w:bottom w:val="single" w:sz="4" w:space="0" w:color="000000"/>
              <w:right w:val="single" w:sz="12" w:space="0" w:color="000000"/>
            </w:tcBorders>
          </w:tcPr>
          <w:p w14:paraId="7F266C96" w14:textId="02923E08" w:rsidR="0094090C" w:rsidRDefault="0094090C" w:rsidP="0094090C">
            <w:pPr>
              <w:spacing w:after="0" w:line="259" w:lineRule="auto"/>
              <w:ind w:left="0" w:right="2" w:firstLine="0"/>
              <w:jc w:val="center"/>
              <w:rPr>
                <w:sz w:val="18"/>
              </w:rPr>
            </w:pPr>
            <w:r>
              <w:rPr>
                <w:sz w:val="18"/>
              </w:rPr>
              <w:t>8270D</w:t>
            </w:r>
          </w:p>
        </w:tc>
      </w:tr>
      <w:tr w:rsidR="0094090C" w14:paraId="02AEF993" w14:textId="77777777" w:rsidTr="005B6604">
        <w:trPr>
          <w:trHeight w:val="262"/>
        </w:trPr>
        <w:tc>
          <w:tcPr>
            <w:tcW w:w="3165" w:type="dxa"/>
            <w:tcBorders>
              <w:top w:val="single" w:sz="4" w:space="0" w:color="000000"/>
              <w:left w:val="single" w:sz="12" w:space="0" w:color="000000"/>
              <w:bottom w:val="single" w:sz="4" w:space="0" w:color="000000"/>
              <w:right w:val="single" w:sz="12" w:space="0" w:color="000000"/>
            </w:tcBorders>
          </w:tcPr>
          <w:p w14:paraId="67AC42F9" w14:textId="0DA9338E" w:rsidR="0094090C" w:rsidRDefault="0094090C" w:rsidP="0094090C">
            <w:pPr>
              <w:spacing w:after="0" w:line="259" w:lineRule="auto"/>
              <w:ind w:left="0" w:right="0" w:firstLine="0"/>
              <w:rPr>
                <w:sz w:val="18"/>
              </w:rPr>
            </w:pPr>
            <w:proofErr w:type="spellStart"/>
            <w:r>
              <w:rPr>
                <w:sz w:val="18"/>
              </w:rPr>
              <w:t>Phosphamidon</w:t>
            </w:r>
            <w:proofErr w:type="spellEnd"/>
            <w:r>
              <w:rPr>
                <w:sz w:val="18"/>
              </w:rPr>
              <w:t xml:space="preserve"> </w:t>
            </w:r>
          </w:p>
        </w:tc>
        <w:tc>
          <w:tcPr>
            <w:tcW w:w="1194" w:type="dxa"/>
            <w:tcBorders>
              <w:top w:val="single" w:sz="4" w:space="0" w:color="000000"/>
              <w:left w:val="single" w:sz="12" w:space="0" w:color="000000"/>
              <w:bottom w:val="single" w:sz="4" w:space="0" w:color="000000"/>
              <w:right w:val="single" w:sz="12" w:space="0" w:color="000000"/>
            </w:tcBorders>
          </w:tcPr>
          <w:p w14:paraId="569244E4" w14:textId="2F2B7614" w:rsidR="0094090C" w:rsidRDefault="0094090C" w:rsidP="0094090C">
            <w:pPr>
              <w:spacing w:after="0" w:line="259" w:lineRule="auto"/>
              <w:ind w:left="0" w:right="44" w:firstLine="0"/>
              <w:jc w:val="center"/>
              <w:rPr>
                <w:sz w:val="18"/>
              </w:rPr>
            </w:pPr>
            <w:r>
              <w:rPr>
                <w:sz w:val="18"/>
              </w:rPr>
              <w:t>13171-21-6</w:t>
            </w:r>
          </w:p>
        </w:tc>
        <w:tc>
          <w:tcPr>
            <w:tcW w:w="588" w:type="dxa"/>
            <w:tcBorders>
              <w:top w:val="single" w:sz="4" w:space="0" w:color="000000"/>
              <w:left w:val="single" w:sz="12" w:space="0" w:color="000000"/>
              <w:bottom w:val="single" w:sz="4" w:space="0" w:color="000000"/>
              <w:right w:val="single" w:sz="12" w:space="0" w:color="000000"/>
            </w:tcBorders>
          </w:tcPr>
          <w:p w14:paraId="4469B106" w14:textId="315D9D2E" w:rsidR="0094090C" w:rsidRDefault="0094090C" w:rsidP="0094090C">
            <w:pPr>
              <w:tabs>
                <w:tab w:val="right" w:pos="489"/>
              </w:tabs>
              <w:spacing w:after="0" w:line="259" w:lineRule="auto"/>
              <w:ind w:left="0" w:right="0" w:firstLine="0"/>
              <w:jc w:val="center"/>
              <w:rPr>
                <w:sz w:val="18"/>
              </w:rPr>
            </w:pPr>
            <w:r>
              <w:rPr>
                <w:sz w:val="18"/>
              </w:rPr>
              <w:t>20</w:t>
            </w:r>
          </w:p>
        </w:tc>
        <w:tc>
          <w:tcPr>
            <w:tcW w:w="714" w:type="dxa"/>
            <w:tcBorders>
              <w:top w:val="single" w:sz="4" w:space="0" w:color="000000"/>
              <w:left w:val="single" w:sz="12" w:space="0" w:color="000000"/>
              <w:bottom w:val="single" w:sz="4" w:space="0" w:color="000000"/>
              <w:right w:val="single" w:sz="12" w:space="0" w:color="000000"/>
            </w:tcBorders>
          </w:tcPr>
          <w:p w14:paraId="25B916FC" w14:textId="6F63C53A" w:rsidR="0094090C" w:rsidRDefault="0094090C" w:rsidP="0094090C">
            <w:pPr>
              <w:spacing w:after="0" w:line="259" w:lineRule="auto"/>
              <w:ind w:left="0" w:right="48" w:firstLine="0"/>
              <w:jc w:val="center"/>
              <w:rPr>
                <w:sz w:val="18"/>
              </w:rPr>
            </w:pPr>
            <w:r>
              <w:rPr>
                <w:sz w:val="18"/>
              </w:rPr>
              <w:t>ug/L</w:t>
            </w:r>
          </w:p>
        </w:tc>
        <w:tc>
          <w:tcPr>
            <w:tcW w:w="811" w:type="dxa"/>
            <w:tcBorders>
              <w:top w:val="single" w:sz="4" w:space="0" w:color="000000"/>
              <w:left w:val="single" w:sz="12" w:space="0" w:color="000000"/>
              <w:bottom w:val="single" w:sz="4" w:space="0" w:color="000000"/>
              <w:right w:val="single" w:sz="12" w:space="0" w:color="000000"/>
            </w:tcBorders>
          </w:tcPr>
          <w:p w14:paraId="48B3994A" w14:textId="619221E7" w:rsidR="0094090C" w:rsidRDefault="0094090C" w:rsidP="0094090C">
            <w:pPr>
              <w:spacing w:after="0" w:line="259" w:lineRule="auto"/>
              <w:ind w:left="0" w:right="0" w:firstLine="0"/>
              <w:jc w:val="center"/>
              <w:rPr>
                <w:sz w:val="18"/>
              </w:rPr>
            </w:pPr>
            <w:r>
              <w:rPr>
                <w:sz w:val="18"/>
              </w:rPr>
              <w:t>1300</w:t>
            </w:r>
          </w:p>
        </w:tc>
        <w:tc>
          <w:tcPr>
            <w:tcW w:w="711" w:type="dxa"/>
            <w:tcBorders>
              <w:top w:val="single" w:sz="4" w:space="0" w:color="000000"/>
              <w:left w:val="single" w:sz="12" w:space="0" w:color="000000"/>
              <w:bottom w:val="single" w:sz="4" w:space="0" w:color="000000"/>
              <w:right w:val="single" w:sz="12" w:space="0" w:color="000000"/>
            </w:tcBorders>
          </w:tcPr>
          <w:p w14:paraId="2D0C7A42" w14:textId="3E2B810C" w:rsidR="0094090C" w:rsidRDefault="0094090C" w:rsidP="0094090C">
            <w:pPr>
              <w:spacing w:after="0" w:line="259" w:lineRule="auto"/>
              <w:ind w:left="0" w:right="44" w:firstLine="0"/>
              <w:jc w:val="center"/>
              <w:rPr>
                <w:rFonts w:eastAsia="Segoe UI Symbol"/>
                <w:sz w:val="18"/>
              </w:rPr>
            </w:pPr>
            <w:r>
              <w:rPr>
                <w:rFonts w:eastAsia="Segoe UI Symbol"/>
                <w:sz w:val="18"/>
              </w:rPr>
              <w:t>u</w:t>
            </w:r>
            <w:r>
              <w:rPr>
                <w:sz w:val="18"/>
              </w:rPr>
              <w:t>g/kg</w:t>
            </w:r>
          </w:p>
        </w:tc>
        <w:tc>
          <w:tcPr>
            <w:tcW w:w="647" w:type="dxa"/>
            <w:tcBorders>
              <w:top w:val="single" w:sz="4" w:space="0" w:color="000000"/>
              <w:left w:val="single" w:sz="12" w:space="0" w:color="000000"/>
              <w:bottom w:val="single" w:sz="4" w:space="0" w:color="000000"/>
              <w:right w:val="single" w:sz="12" w:space="0" w:color="000000"/>
            </w:tcBorders>
          </w:tcPr>
          <w:p w14:paraId="52BB0FAA" w14:textId="77777777" w:rsidR="0094090C" w:rsidRDefault="0094090C" w:rsidP="0094090C">
            <w:pPr>
              <w:spacing w:after="0" w:line="259" w:lineRule="auto"/>
              <w:ind w:left="0" w:right="0" w:firstLine="0"/>
              <w:jc w:val="center"/>
            </w:pPr>
          </w:p>
        </w:tc>
        <w:tc>
          <w:tcPr>
            <w:tcW w:w="540" w:type="dxa"/>
            <w:tcBorders>
              <w:top w:val="single" w:sz="4" w:space="0" w:color="000000"/>
              <w:left w:val="single" w:sz="12" w:space="0" w:color="000000"/>
              <w:bottom w:val="single" w:sz="4" w:space="0" w:color="000000"/>
              <w:right w:val="single" w:sz="12" w:space="0" w:color="000000"/>
            </w:tcBorders>
          </w:tcPr>
          <w:p w14:paraId="6D54D6DB" w14:textId="77777777" w:rsidR="0094090C" w:rsidRDefault="0094090C" w:rsidP="0094090C">
            <w:pPr>
              <w:spacing w:after="0" w:line="259" w:lineRule="auto"/>
              <w:ind w:left="0" w:right="1" w:firstLine="0"/>
              <w:jc w:val="center"/>
            </w:pPr>
          </w:p>
        </w:tc>
        <w:tc>
          <w:tcPr>
            <w:tcW w:w="540" w:type="dxa"/>
            <w:tcBorders>
              <w:top w:val="single" w:sz="4" w:space="0" w:color="000000"/>
              <w:left w:val="single" w:sz="12" w:space="0" w:color="000000"/>
              <w:bottom w:val="single" w:sz="4" w:space="0" w:color="000000"/>
              <w:right w:val="single" w:sz="12" w:space="0" w:color="000000"/>
            </w:tcBorders>
          </w:tcPr>
          <w:p w14:paraId="6AC37130" w14:textId="77777777" w:rsidR="0094090C" w:rsidRDefault="0094090C" w:rsidP="0094090C">
            <w:pPr>
              <w:spacing w:after="0" w:line="259" w:lineRule="auto"/>
              <w:ind w:left="0" w:right="0" w:firstLine="0"/>
              <w:jc w:val="center"/>
            </w:pPr>
          </w:p>
        </w:tc>
        <w:tc>
          <w:tcPr>
            <w:tcW w:w="917" w:type="dxa"/>
            <w:tcBorders>
              <w:top w:val="single" w:sz="4" w:space="0" w:color="000000"/>
              <w:left w:val="single" w:sz="12" w:space="0" w:color="000000"/>
              <w:bottom w:val="single" w:sz="4" w:space="0" w:color="000000"/>
              <w:right w:val="single" w:sz="12" w:space="0" w:color="000000"/>
            </w:tcBorders>
          </w:tcPr>
          <w:p w14:paraId="66DA3259" w14:textId="260272F1" w:rsidR="0094090C" w:rsidRDefault="0094090C" w:rsidP="0094090C">
            <w:pPr>
              <w:spacing w:after="0" w:line="259" w:lineRule="auto"/>
              <w:ind w:left="38" w:right="0" w:firstLine="0"/>
              <w:jc w:val="center"/>
              <w:rPr>
                <w:sz w:val="18"/>
              </w:rPr>
            </w:pPr>
            <w:r>
              <w:rPr>
                <w:sz w:val="18"/>
              </w:rPr>
              <w:t>8141B</w:t>
            </w:r>
          </w:p>
        </w:tc>
        <w:tc>
          <w:tcPr>
            <w:tcW w:w="793" w:type="dxa"/>
            <w:tcBorders>
              <w:top w:val="single" w:sz="4" w:space="0" w:color="000000"/>
              <w:left w:val="single" w:sz="12" w:space="0" w:color="000000"/>
              <w:bottom w:val="single" w:sz="4" w:space="0" w:color="000000"/>
              <w:right w:val="single" w:sz="12" w:space="0" w:color="000000"/>
            </w:tcBorders>
          </w:tcPr>
          <w:p w14:paraId="5BCA8075" w14:textId="47004943" w:rsidR="0094090C" w:rsidRDefault="0094090C" w:rsidP="0094090C">
            <w:pPr>
              <w:spacing w:after="0" w:line="259" w:lineRule="auto"/>
              <w:ind w:left="0" w:right="2" w:firstLine="0"/>
              <w:jc w:val="center"/>
              <w:rPr>
                <w:sz w:val="18"/>
              </w:rPr>
            </w:pPr>
            <w:r>
              <w:rPr>
                <w:sz w:val="18"/>
              </w:rPr>
              <w:t>8270D</w:t>
            </w:r>
          </w:p>
        </w:tc>
      </w:tr>
      <w:tr w:rsidR="0094090C" w14:paraId="6063A8A4" w14:textId="77777777" w:rsidTr="005B6604">
        <w:trPr>
          <w:trHeight w:val="262"/>
        </w:trPr>
        <w:tc>
          <w:tcPr>
            <w:tcW w:w="3165" w:type="dxa"/>
            <w:tcBorders>
              <w:top w:val="single" w:sz="4" w:space="0" w:color="000000"/>
              <w:left w:val="single" w:sz="12" w:space="0" w:color="000000"/>
              <w:bottom w:val="single" w:sz="4" w:space="0" w:color="000000"/>
              <w:right w:val="single" w:sz="12" w:space="0" w:color="000000"/>
            </w:tcBorders>
          </w:tcPr>
          <w:p w14:paraId="09818F30" w14:textId="6A497856" w:rsidR="0094090C" w:rsidRDefault="0094090C" w:rsidP="0094090C">
            <w:pPr>
              <w:spacing w:after="0" w:line="259" w:lineRule="auto"/>
              <w:ind w:left="0" w:right="0" w:firstLine="0"/>
              <w:rPr>
                <w:sz w:val="18"/>
              </w:rPr>
            </w:pPr>
            <w:r>
              <w:rPr>
                <w:sz w:val="18"/>
              </w:rPr>
              <w:t xml:space="preserve">Ronnel  </w:t>
            </w:r>
          </w:p>
        </w:tc>
        <w:tc>
          <w:tcPr>
            <w:tcW w:w="1194" w:type="dxa"/>
            <w:tcBorders>
              <w:top w:val="single" w:sz="4" w:space="0" w:color="000000"/>
              <w:left w:val="single" w:sz="12" w:space="0" w:color="000000"/>
              <w:bottom w:val="single" w:sz="4" w:space="0" w:color="000000"/>
              <w:right w:val="single" w:sz="12" w:space="0" w:color="000000"/>
            </w:tcBorders>
          </w:tcPr>
          <w:p w14:paraId="4A5EDE0F" w14:textId="1F9A7680" w:rsidR="0094090C" w:rsidRDefault="0094090C" w:rsidP="0094090C">
            <w:pPr>
              <w:spacing w:after="0" w:line="259" w:lineRule="auto"/>
              <w:ind w:left="0" w:right="44" w:firstLine="0"/>
              <w:jc w:val="center"/>
              <w:rPr>
                <w:sz w:val="18"/>
              </w:rPr>
            </w:pPr>
            <w:r>
              <w:rPr>
                <w:sz w:val="18"/>
              </w:rPr>
              <w:t>299-84-3</w:t>
            </w:r>
          </w:p>
        </w:tc>
        <w:tc>
          <w:tcPr>
            <w:tcW w:w="588" w:type="dxa"/>
            <w:tcBorders>
              <w:top w:val="single" w:sz="4" w:space="0" w:color="000000"/>
              <w:left w:val="single" w:sz="12" w:space="0" w:color="000000"/>
              <w:bottom w:val="single" w:sz="4" w:space="0" w:color="000000"/>
              <w:right w:val="single" w:sz="12" w:space="0" w:color="000000"/>
            </w:tcBorders>
          </w:tcPr>
          <w:p w14:paraId="3479B313" w14:textId="03C0DEA0" w:rsidR="0094090C" w:rsidRDefault="0094090C" w:rsidP="0094090C">
            <w:pPr>
              <w:tabs>
                <w:tab w:val="right" w:pos="489"/>
              </w:tabs>
              <w:spacing w:after="0" w:line="259" w:lineRule="auto"/>
              <w:ind w:left="0" w:right="0" w:firstLine="0"/>
              <w:jc w:val="center"/>
              <w:rPr>
                <w:sz w:val="18"/>
              </w:rPr>
            </w:pPr>
            <w:r>
              <w:rPr>
                <w:sz w:val="18"/>
              </w:rPr>
              <w:t>20</w:t>
            </w:r>
          </w:p>
        </w:tc>
        <w:tc>
          <w:tcPr>
            <w:tcW w:w="714" w:type="dxa"/>
            <w:tcBorders>
              <w:top w:val="single" w:sz="4" w:space="0" w:color="000000"/>
              <w:left w:val="single" w:sz="12" w:space="0" w:color="000000"/>
              <w:bottom w:val="single" w:sz="4" w:space="0" w:color="000000"/>
              <w:right w:val="single" w:sz="12" w:space="0" w:color="000000"/>
            </w:tcBorders>
          </w:tcPr>
          <w:p w14:paraId="3BD7C0A3" w14:textId="1929569A" w:rsidR="0094090C" w:rsidRDefault="0094090C" w:rsidP="0094090C">
            <w:pPr>
              <w:spacing w:after="0" w:line="259" w:lineRule="auto"/>
              <w:ind w:left="0" w:right="48" w:firstLine="0"/>
              <w:jc w:val="center"/>
              <w:rPr>
                <w:sz w:val="18"/>
              </w:rPr>
            </w:pPr>
            <w:r>
              <w:rPr>
                <w:sz w:val="18"/>
              </w:rPr>
              <w:t>ug/L</w:t>
            </w:r>
          </w:p>
        </w:tc>
        <w:tc>
          <w:tcPr>
            <w:tcW w:w="811" w:type="dxa"/>
            <w:tcBorders>
              <w:top w:val="single" w:sz="4" w:space="0" w:color="000000"/>
              <w:left w:val="single" w:sz="12" w:space="0" w:color="000000"/>
              <w:bottom w:val="single" w:sz="4" w:space="0" w:color="000000"/>
              <w:right w:val="single" w:sz="12" w:space="0" w:color="000000"/>
            </w:tcBorders>
          </w:tcPr>
          <w:p w14:paraId="5F05F3CC" w14:textId="61EC0771" w:rsidR="0094090C" w:rsidRDefault="0094090C" w:rsidP="0094090C">
            <w:pPr>
              <w:spacing w:after="0" w:line="259" w:lineRule="auto"/>
              <w:ind w:left="0" w:right="0" w:firstLine="0"/>
              <w:jc w:val="center"/>
              <w:rPr>
                <w:sz w:val="18"/>
              </w:rPr>
            </w:pPr>
            <w:r>
              <w:rPr>
                <w:sz w:val="18"/>
              </w:rPr>
              <w:t>1300</w:t>
            </w:r>
          </w:p>
        </w:tc>
        <w:tc>
          <w:tcPr>
            <w:tcW w:w="711" w:type="dxa"/>
            <w:tcBorders>
              <w:top w:val="single" w:sz="4" w:space="0" w:color="000000"/>
              <w:left w:val="single" w:sz="12" w:space="0" w:color="000000"/>
              <w:bottom w:val="single" w:sz="4" w:space="0" w:color="000000"/>
              <w:right w:val="single" w:sz="12" w:space="0" w:color="000000"/>
            </w:tcBorders>
          </w:tcPr>
          <w:p w14:paraId="0266B700" w14:textId="36E66E6A" w:rsidR="0094090C" w:rsidRDefault="0094090C" w:rsidP="0094090C">
            <w:pPr>
              <w:spacing w:after="0" w:line="259" w:lineRule="auto"/>
              <w:ind w:left="0" w:right="44" w:firstLine="0"/>
              <w:jc w:val="center"/>
              <w:rPr>
                <w:rFonts w:eastAsia="Segoe UI Symbol"/>
                <w:sz w:val="18"/>
              </w:rPr>
            </w:pPr>
            <w:r>
              <w:rPr>
                <w:rFonts w:eastAsia="Segoe UI Symbol"/>
                <w:sz w:val="18"/>
              </w:rPr>
              <w:t>u</w:t>
            </w:r>
            <w:r>
              <w:rPr>
                <w:sz w:val="18"/>
              </w:rPr>
              <w:t>g/kg</w:t>
            </w:r>
          </w:p>
        </w:tc>
        <w:tc>
          <w:tcPr>
            <w:tcW w:w="647" w:type="dxa"/>
            <w:tcBorders>
              <w:top w:val="single" w:sz="4" w:space="0" w:color="000000"/>
              <w:left w:val="single" w:sz="12" w:space="0" w:color="000000"/>
              <w:bottom w:val="single" w:sz="4" w:space="0" w:color="000000"/>
              <w:right w:val="single" w:sz="12" w:space="0" w:color="000000"/>
            </w:tcBorders>
          </w:tcPr>
          <w:p w14:paraId="39871EF7" w14:textId="77777777" w:rsidR="0094090C" w:rsidRDefault="0094090C" w:rsidP="0094090C">
            <w:pPr>
              <w:spacing w:after="0" w:line="259" w:lineRule="auto"/>
              <w:ind w:left="0" w:right="0" w:firstLine="0"/>
              <w:jc w:val="center"/>
            </w:pPr>
          </w:p>
        </w:tc>
        <w:tc>
          <w:tcPr>
            <w:tcW w:w="540" w:type="dxa"/>
            <w:tcBorders>
              <w:top w:val="single" w:sz="4" w:space="0" w:color="000000"/>
              <w:left w:val="single" w:sz="12" w:space="0" w:color="000000"/>
              <w:bottom w:val="single" w:sz="4" w:space="0" w:color="000000"/>
              <w:right w:val="single" w:sz="12" w:space="0" w:color="000000"/>
            </w:tcBorders>
          </w:tcPr>
          <w:p w14:paraId="0FBBCAC5" w14:textId="77777777" w:rsidR="0094090C" w:rsidRDefault="0094090C" w:rsidP="0094090C">
            <w:pPr>
              <w:spacing w:after="0" w:line="259" w:lineRule="auto"/>
              <w:ind w:left="0" w:right="1" w:firstLine="0"/>
              <w:jc w:val="center"/>
            </w:pPr>
          </w:p>
        </w:tc>
        <w:tc>
          <w:tcPr>
            <w:tcW w:w="540" w:type="dxa"/>
            <w:tcBorders>
              <w:top w:val="single" w:sz="4" w:space="0" w:color="000000"/>
              <w:left w:val="single" w:sz="12" w:space="0" w:color="000000"/>
              <w:bottom w:val="single" w:sz="4" w:space="0" w:color="000000"/>
              <w:right w:val="single" w:sz="12" w:space="0" w:color="000000"/>
            </w:tcBorders>
          </w:tcPr>
          <w:p w14:paraId="325E944D" w14:textId="77777777" w:rsidR="0094090C" w:rsidRDefault="0094090C" w:rsidP="0094090C">
            <w:pPr>
              <w:spacing w:after="0" w:line="259" w:lineRule="auto"/>
              <w:ind w:left="0" w:right="0" w:firstLine="0"/>
              <w:jc w:val="center"/>
            </w:pPr>
          </w:p>
        </w:tc>
        <w:tc>
          <w:tcPr>
            <w:tcW w:w="917" w:type="dxa"/>
            <w:tcBorders>
              <w:top w:val="single" w:sz="4" w:space="0" w:color="000000"/>
              <w:left w:val="single" w:sz="12" w:space="0" w:color="000000"/>
              <w:bottom w:val="single" w:sz="4" w:space="0" w:color="000000"/>
              <w:right w:val="single" w:sz="12" w:space="0" w:color="000000"/>
            </w:tcBorders>
          </w:tcPr>
          <w:p w14:paraId="716C124E" w14:textId="4126B5B8" w:rsidR="0094090C" w:rsidRDefault="0094090C" w:rsidP="0094090C">
            <w:pPr>
              <w:spacing w:after="0" w:line="259" w:lineRule="auto"/>
              <w:ind w:left="38" w:right="0" w:firstLine="0"/>
              <w:jc w:val="center"/>
              <w:rPr>
                <w:sz w:val="18"/>
              </w:rPr>
            </w:pPr>
            <w:r>
              <w:rPr>
                <w:sz w:val="18"/>
              </w:rPr>
              <w:t>8141B</w:t>
            </w:r>
          </w:p>
        </w:tc>
        <w:tc>
          <w:tcPr>
            <w:tcW w:w="793" w:type="dxa"/>
            <w:tcBorders>
              <w:top w:val="single" w:sz="4" w:space="0" w:color="000000"/>
              <w:left w:val="single" w:sz="12" w:space="0" w:color="000000"/>
              <w:bottom w:val="single" w:sz="4" w:space="0" w:color="000000"/>
              <w:right w:val="single" w:sz="12" w:space="0" w:color="000000"/>
            </w:tcBorders>
          </w:tcPr>
          <w:p w14:paraId="5A072D59" w14:textId="77777777" w:rsidR="0094090C" w:rsidRDefault="0094090C" w:rsidP="0094090C">
            <w:pPr>
              <w:spacing w:after="0" w:line="259" w:lineRule="auto"/>
              <w:ind w:left="0" w:right="2" w:firstLine="0"/>
              <w:jc w:val="center"/>
              <w:rPr>
                <w:sz w:val="18"/>
              </w:rPr>
            </w:pPr>
          </w:p>
        </w:tc>
      </w:tr>
      <w:tr w:rsidR="0094090C" w14:paraId="234BEF94" w14:textId="77777777" w:rsidTr="005B6604">
        <w:trPr>
          <w:trHeight w:val="262"/>
        </w:trPr>
        <w:tc>
          <w:tcPr>
            <w:tcW w:w="3165" w:type="dxa"/>
            <w:tcBorders>
              <w:top w:val="single" w:sz="4" w:space="0" w:color="000000"/>
              <w:left w:val="single" w:sz="12" w:space="0" w:color="000000"/>
              <w:bottom w:val="single" w:sz="4" w:space="0" w:color="000000"/>
              <w:right w:val="single" w:sz="12" w:space="0" w:color="000000"/>
            </w:tcBorders>
          </w:tcPr>
          <w:p w14:paraId="3A97374D" w14:textId="3332CA59" w:rsidR="0094090C" w:rsidRDefault="0094090C" w:rsidP="0094090C">
            <w:pPr>
              <w:spacing w:after="0" w:line="259" w:lineRule="auto"/>
              <w:ind w:left="0" w:right="0" w:firstLine="0"/>
              <w:rPr>
                <w:sz w:val="18"/>
              </w:rPr>
            </w:pPr>
            <w:r>
              <w:rPr>
                <w:sz w:val="18"/>
              </w:rPr>
              <w:t>Simazine (</w:t>
            </w:r>
            <w:proofErr w:type="spellStart"/>
            <w:r>
              <w:rPr>
                <w:i/>
                <w:sz w:val="18"/>
              </w:rPr>
              <w:t>Princep</w:t>
            </w:r>
            <w:proofErr w:type="spellEnd"/>
            <w:r>
              <w:rPr>
                <w:i/>
                <w:sz w:val="18"/>
              </w:rPr>
              <w:t xml:space="preserve">) </w:t>
            </w:r>
          </w:p>
        </w:tc>
        <w:tc>
          <w:tcPr>
            <w:tcW w:w="1194" w:type="dxa"/>
            <w:tcBorders>
              <w:top w:val="single" w:sz="4" w:space="0" w:color="000000"/>
              <w:left w:val="single" w:sz="12" w:space="0" w:color="000000"/>
              <w:bottom w:val="single" w:sz="4" w:space="0" w:color="000000"/>
              <w:right w:val="single" w:sz="12" w:space="0" w:color="000000"/>
            </w:tcBorders>
          </w:tcPr>
          <w:p w14:paraId="56316388" w14:textId="3E897A0B" w:rsidR="0094090C" w:rsidRDefault="0094090C" w:rsidP="0094090C">
            <w:pPr>
              <w:spacing w:after="0" w:line="259" w:lineRule="auto"/>
              <w:ind w:left="0" w:right="44" w:firstLine="0"/>
              <w:jc w:val="center"/>
              <w:rPr>
                <w:sz w:val="18"/>
              </w:rPr>
            </w:pPr>
            <w:r>
              <w:rPr>
                <w:sz w:val="18"/>
              </w:rPr>
              <w:t>122-34-9</w:t>
            </w:r>
          </w:p>
        </w:tc>
        <w:tc>
          <w:tcPr>
            <w:tcW w:w="588" w:type="dxa"/>
            <w:tcBorders>
              <w:top w:val="single" w:sz="4" w:space="0" w:color="000000"/>
              <w:left w:val="single" w:sz="12" w:space="0" w:color="000000"/>
              <w:bottom w:val="single" w:sz="4" w:space="0" w:color="000000"/>
              <w:right w:val="single" w:sz="12" w:space="0" w:color="000000"/>
            </w:tcBorders>
          </w:tcPr>
          <w:p w14:paraId="3FC43B16" w14:textId="3B1BDD4D" w:rsidR="0094090C" w:rsidRDefault="0094090C" w:rsidP="0094090C">
            <w:pPr>
              <w:tabs>
                <w:tab w:val="right" w:pos="489"/>
              </w:tabs>
              <w:spacing w:after="0" w:line="259" w:lineRule="auto"/>
              <w:ind w:left="0" w:right="0" w:firstLine="0"/>
              <w:jc w:val="center"/>
              <w:rPr>
                <w:sz w:val="18"/>
              </w:rPr>
            </w:pPr>
            <w:r>
              <w:rPr>
                <w:sz w:val="18"/>
              </w:rPr>
              <w:t>5</w:t>
            </w:r>
          </w:p>
        </w:tc>
        <w:tc>
          <w:tcPr>
            <w:tcW w:w="714" w:type="dxa"/>
            <w:tcBorders>
              <w:top w:val="single" w:sz="4" w:space="0" w:color="000000"/>
              <w:left w:val="single" w:sz="12" w:space="0" w:color="000000"/>
              <w:bottom w:val="single" w:sz="4" w:space="0" w:color="000000"/>
              <w:right w:val="single" w:sz="12" w:space="0" w:color="000000"/>
            </w:tcBorders>
          </w:tcPr>
          <w:p w14:paraId="661B9D4C" w14:textId="37059CA1" w:rsidR="0094090C" w:rsidRDefault="0094090C" w:rsidP="0094090C">
            <w:pPr>
              <w:spacing w:after="0" w:line="259" w:lineRule="auto"/>
              <w:ind w:left="0" w:right="48" w:firstLine="0"/>
              <w:jc w:val="center"/>
              <w:rPr>
                <w:sz w:val="18"/>
              </w:rPr>
            </w:pPr>
            <w:r>
              <w:rPr>
                <w:sz w:val="18"/>
              </w:rPr>
              <w:t>ug/L</w:t>
            </w:r>
          </w:p>
        </w:tc>
        <w:tc>
          <w:tcPr>
            <w:tcW w:w="811" w:type="dxa"/>
            <w:tcBorders>
              <w:top w:val="single" w:sz="4" w:space="0" w:color="000000"/>
              <w:left w:val="single" w:sz="12" w:space="0" w:color="000000"/>
              <w:bottom w:val="single" w:sz="4" w:space="0" w:color="000000"/>
              <w:right w:val="single" w:sz="12" w:space="0" w:color="000000"/>
            </w:tcBorders>
          </w:tcPr>
          <w:p w14:paraId="4C6E5270" w14:textId="6D56952B" w:rsidR="0094090C" w:rsidRDefault="0094090C" w:rsidP="0094090C">
            <w:pPr>
              <w:spacing w:after="0" w:line="259" w:lineRule="auto"/>
              <w:ind w:left="0" w:right="0" w:firstLine="0"/>
              <w:jc w:val="center"/>
              <w:rPr>
                <w:sz w:val="18"/>
              </w:rPr>
            </w:pPr>
            <w:r>
              <w:rPr>
                <w:sz w:val="18"/>
              </w:rPr>
              <w:t>330</w:t>
            </w:r>
          </w:p>
        </w:tc>
        <w:tc>
          <w:tcPr>
            <w:tcW w:w="711" w:type="dxa"/>
            <w:tcBorders>
              <w:top w:val="single" w:sz="4" w:space="0" w:color="000000"/>
              <w:left w:val="single" w:sz="12" w:space="0" w:color="000000"/>
              <w:bottom w:val="single" w:sz="4" w:space="0" w:color="000000"/>
              <w:right w:val="single" w:sz="12" w:space="0" w:color="000000"/>
            </w:tcBorders>
          </w:tcPr>
          <w:p w14:paraId="3F5D66C2" w14:textId="2DA573CE" w:rsidR="0094090C" w:rsidRDefault="0094090C" w:rsidP="0094090C">
            <w:pPr>
              <w:spacing w:after="0" w:line="259" w:lineRule="auto"/>
              <w:ind w:left="0" w:right="44" w:firstLine="0"/>
              <w:jc w:val="center"/>
              <w:rPr>
                <w:rFonts w:eastAsia="Segoe UI Symbol"/>
                <w:sz w:val="18"/>
              </w:rPr>
            </w:pPr>
            <w:r>
              <w:rPr>
                <w:rFonts w:eastAsia="Segoe UI Symbol"/>
                <w:sz w:val="18"/>
              </w:rPr>
              <w:t>u</w:t>
            </w:r>
            <w:r>
              <w:rPr>
                <w:sz w:val="18"/>
              </w:rPr>
              <w:t>g/kg</w:t>
            </w:r>
          </w:p>
        </w:tc>
        <w:tc>
          <w:tcPr>
            <w:tcW w:w="647" w:type="dxa"/>
            <w:tcBorders>
              <w:top w:val="single" w:sz="4" w:space="0" w:color="000000"/>
              <w:left w:val="single" w:sz="12" w:space="0" w:color="000000"/>
              <w:bottom w:val="single" w:sz="4" w:space="0" w:color="000000"/>
              <w:right w:val="single" w:sz="12" w:space="0" w:color="000000"/>
            </w:tcBorders>
          </w:tcPr>
          <w:p w14:paraId="7D3BF2AB" w14:textId="77777777" w:rsidR="0094090C" w:rsidRDefault="0094090C" w:rsidP="0094090C">
            <w:pPr>
              <w:spacing w:after="0" w:line="259" w:lineRule="auto"/>
              <w:ind w:left="0" w:right="0" w:firstLine="0"/>
              <w:jc w:val="center"/>
            </w:pPr>
          </w:p>
        </w:tc>
        <w:tc>
          <w:tcPr>
            <w:tcW w:w="540" w:type="dxa"/>
            <w:tcBorders>
              <w:top w:val="single" w:sz="4" w:space="0" w:color="000000"/>
              <w:left w:val="single" w:sz="12" w:space="0" w:color="000000"/>
              <w:bottom w:val="single" w:sz="4" w:space="0" w:color="000000"/>
              <w:right w:val="single" w:sz="12" w:space="0" w:color="000000"/>
            </w:tcBorders>
          </w:tcPr>
          <w:p w14:paraId="7FD99449" w14:textId="77777777" w:rsidR="0094090C" w:rsidRDefault="0094090C" w:rsidP="0094090C">
            <w:pPr>
              <w:spacing w:after="0" w:line="259" w:lineRule="auto"/>
              <w:ind w:left="0" w:right="1" w:firstLine="0"/>
              <w:jc w:val="center"/>
            </w:pPr>
          </w:p>
        </w:tc>
        <w:tc>
          <w:tcPr>
            <w:tcW w:w="540" w:type="dxa"/>
            <w:tcBorders>
              <w:top w:val="single" w:sz="4" w:space="0" w:color="000000"/>
              <w:left w:val="single" w:sz="12" w:space="0" w:color="000000"/>
              <w:bottom w:val="single" w:sz="4" w:space="0" w:color="000000"/>
              <w:right w:val="single" w:sz="12" w:space="0" w:color="000000"/>
            </w:tcBorders>
          </w:tcPr>
          <w:p w14:paraId="591AB29F" w14:textId="77777777" w:rsidR="0094090C" w:rsidRDefault="0094090C" w:rsidP="0094090C">
            <w:pPr>
              <w:spacing w:after="0" w:line="259" w:lineRule="auto"/>
              <w:ind w:left="0" w:right="0" w:firstLine="0"/>
              <w:jc w:val="center"/>
            </w:pPr>
          </w:p>
        </w:tc>
        <w:tc>
          <w:tcPr>
            <w:tcW w:w="917" w:type="dxa"/>
            <w:tcBorders>
              <w:top w:val="single" w:sz="4" w:space="0" w:color="000000"/>
              <w:left w:val="single" w:sz="12" w:space="0" w:color="000000"/>
              <w:bottom w:val="single" w:sz="4" w:space="0" w:color="000000"/>
              <w:right w:val="single" w:sz="12" w:space="0" w:color="000000"/>
            </w:tcBorders>
          </w:tcPr>
          <w:p w14:paraId="70437293" w14:textId="3F586FF1" w:rsidR="0094090C" w:rsidRDefault="0094090C" w:rsidP="0094090C">
            <w:pPr>
              <w:spacing w:after="0" w:line="259" w:lineRule="auto"/>
              <w:ind w:left="38" w:right="0" w:firstLine="0"/>
              <w:jc w:val="center"/>
              <w:rPr>
                <w:sz w:val="18"/>
              </w:rPr>
            </w:pPr>
            <w:r>
              <w:rPr>
                <w:sz w:val="18"/>
              </w:rPr>
              <w:t>8141B</w:t>
            </w:r>
          </w:p>
        </w:tc>
        <w:tc>
          <w:tcPr>
            <w:tcW w:w="793" w:type="dxa"/>
            <w:tcBorders>
              <w:top w:val="single" w:sz="4" w:space="0" w:color="000000"/>
              <w:left w:val="single" w:sz="12" w:space="0" w:color="000000"/>
              <w:bottom w:val="single" w:sz="4" w:space="0" w:color="000000"/>
              <w:right w:val="single" w:sz="12" w:space="0" w:color="000000"/>
            </w:tcBorders>
          </w:tcPr>
          <w:p w14:paraId="668F520F" w14:textId="77777777" w:rsidR="0094090C" w:rsidRDefault="0094090C" w:rsidP="0094090C">
            <w:pPr>
              <w:spacing w:after="0" w:line="259" w:lineRule="auto"/>
              <w:ind w:left="0" w:right="2" w:firstLine="0"/>
              <w:jc w:val="center"/>
              <w:rPr>
                <w:sz w:val="18"/>
              </w:rPr>
            </w:pPr>
          </w:p>
        </w:tc>
      </w:tr>
      <w:tr w:rsidR="0094090C" w14:paraId="757E0AFE" w14:textId="77777777" w:rsidTr="005B6604">
        <w:trPr>
          <w:trHeight w:val="262"/>
        </w:trPr>
        <w:tc>
          <w:tcPr>
            <w:tcW w:w="3165" w:type="dxa"/>
            <w:tcBorders>
              <w:top w:val="single" w:sz="4" w:space="0" w:color="000000"/>
              <w:left w:val="single" w:sz="12" w:space="0" w:color="000000"/>
              <w:bottom w:val="single" w:sz="4" w:space="0" w:color="000000"/>
              <w:right w:val="single" w:sz="12" w:space="0" w:color="000000"/>
            </w:tcBorders>
          </w:tcPr>
          <w:p w14:paraId="312298FC" w14:textId="7F78B77E" w:rsidR="0094090C" w:rsidRDefault="0094090C" w:rsidP="0094090C">
            <w:pPr>
              <w:spacing w:after="0" w:line="259" w:lineRule="auto"/>
              <w:ind w:left="0" w:right="0" w:firstLine="0"/>
              <w:rPr>
                <w:sz w:val="18"/>
              </w:rPr>
            </w:pPr>
            <w:proofErr w:type="spellStart"/>
            <w:r>
              <w:rPr>
                <w:sz w:val="18"/>
              </w:rPr>
              <w:t>Stirophos</w:t>
            </w:r>
            <w:proofErr w:type="spellEnd"/>
            <w:r>
              <w:rPr>
                <w:sz w:val="18"/>
              </w:rPr>
              <w:t xml:space="preserve"> </w:t>
            </w:r>
            <w:r>
              <w:rPr>
                <w:i/>
                <w:sz w:val="18"/>
              </w:rPr>
              <w:t>(</w:t>
            </w:r>
            <w:proofErr w:type="spellStart"/>
            <w:r>
              <w:rPr>
                <w:i/>
                <w:sz w:val="18"/>
              </w:rPr>
              <w:t>Tetrachlorvinphos</w:t>
            </w:r>
            <w:proofErr w:type="spellEnd"/>
            <w:r>
              <w:rPr>
                <w:i/>
                <w:sz w:val="18"/>
              </w:rPr>
              <w:t>)</w:t>
            </w:r>
            <w:r>
              <w:rPr>
                <w:sz w:val="18"/>
              </w:rPr>
              <w:t xml:space="preserve"> </w:t>
            </w:r>
          </w:p>
        </w:tc>
        <w:tc>
          <w:tcPr>
            <w:tcW w:w="1194" w:type="dxa"/>
            <w:tcBorders>
              <w:top w:val="single" w:sz="4" w:space="0" w:color="000000"/>
              <w:left w:val="single" w:sz="12" w:space="0" w:color="000000"/>
              <w:bottom w:val="single" w:sz="4" w:space="0" w:color="000000"/>
              <w:right w:val="single" w:sz="12" w:space="0" w:color="000000"/>
            </w:tcBorders>
          </w:tcPr>
          <w:p w14:paraId="1753C9A0" w14:textId="55245B7A" w:rsidR="0094090C" w:rsidRDefault="0094090C" w:rsidP="0094090C">
            <w:pPr>
              <w:spacing w:after="0" w:line="259" w:lineRule="auto"/>
              <w:ind w:left="0" w:right="44" w:firstLine="0"/>
              <w:jc w:val="center"/>
              <w:rPr>
                <w:sz w:val="18"/>
              </w:rPr>
            </w:pPr>
            <w:r>
              <w:rPr>
                <w:sz w:val="18"/>
              </w:rPr>
              <w:t>22248-79-9</w:t>
            </w:r>
          </w:p>
        </w:tc>
        <w:tc>
          <w:tcPr>
            <w:tcW w:w="588" w:type="dxa"/>
            <w:tcBorders>
              <w:top w:val="single" w:sz="4" w:space="0" w:color="000000"/>
              <w:left w:val="single" w:sz="12" w:space="0" w:color="000000"/>
              <w:bottom w:val="single" w:sz="4" w:space="0" w:color="000000"/>
              <w:right w:val="single" w:sz="12" w:space="0" w:color="000000"/>
            </w:tcBorders>
          </w:tcPr>
          <w:p w14:paraId="046ABCF2" w14:textId="6ED63727" w:rsidR="0094090C" w:rsidRDefault="0094090C" w:rsidP="0094090C">
            <w:pPr>
              <w:tabs>
                <w:tab w:val="right" w:pos="489"/>
              </w:tabs>
              <w:spacing w:after="0" w:line="259" w:lineRule="auto"/>
              <w:ind w:left="0" w:right="0" w:firstLine="0"/>
              <w:jc w:val="center"/>
              <w:rPr>
                <w:sz w:val="18"/>
              </w:rPr>
            </w:pPr>
            <w:r>
              <w:rPr>
                <w:sz w:val="18"/>
              </w:rPr>
              <w:t>2</w:t>
            </w:r>
          </w:p>
        </w:tc>
        <w:tc>
          <w:tcPr>
            <w:tcW w:w="714" w:type="dxa"/>
            <w:tcBorders>
              <w:top w:val="single" w:sz="4" w:space="0" w:color="000000"/>
              <w:left w:val="single" w:sz="12" w:space="0" w:color="000000"/>
              <w:bottom w:val="single" w:sz="4" w:space="0" w:color="000000"/>
              <w:right w:val="single" w:sz="12" w:space="0" w:color="000000"/>
            </w:tcBorders>
          </w:tcPr>
          <w:p w14:paraId="0DDF3DC6" w14:textId="2B0EB939" w:rsidR="0094090C" w:rsidRDefault="0094090C" w:rsidP="0094090C">
            <w:pPr>
              <w:spacing w:after="0" w:line="259" w:lineRule="auto"/>
              <w:ind w:left="0" w:right="48" w:firstLine="0"/>
              <w:jc w:val="center"/>
              <w:rPr>
                <w:sz w:val="18"/>
              </w:rPr>
            </w:pPr>
            <w:r>
              <w:rPr>
                <w:sz w:val="18"/>
              </w:rPr>
              <w:t>ug/L</w:t>
            </w:r>
          </w:p>
        </w:tc>
        <w:tc>
          <w:tcPr>
            <w:tcW w:w="811" w:type="dxa"/>
            <w:tcBorders>
              <w:top w:val="single" w:sz="4" w:space="0" w:color="000000"/>
              <w:left w:val="single" w:sz="12" w:space="0" w:color="000000"/>
              <w:bottom w:val="single" w:sz="4" w:space="0" w:color="000000"/>
              <w:right w:val="single" w:sz="12" w:space="0" w:color="000000"/>
            </w:tcBorders>
          </w:tcPr>
          <w:p w14:paraId="48518EB3" w14:textId="6EE48277" w:rsidR="0094090C" w:rsidRDefault="0094090C" w:rsidP="0094090C">
            <w:pPr>
              <w:spacing w:after="0" w:line="259" w:lineRule="auto"/>
              <w:ind w:left="0" w:right="0" w:firstLine="0"/>
              <w:jc w:val="center"/>
              <w:rPr>
                <w:sz w:val="18"/>
              </w:rPr>
            </w:pPr>
            <w:r>
              <w:rPr>
                <w:sz w:val="18"/>
              </w:rPr>
              <w:t>1300</w:t>
            </w:r>
          </w:p>
        </w:tc>
        <w:tc>
          <w:tcPr>
            <w:tcW w:w="711" w:type="dxa"/>
            <w:tcBorders>
              <w:top w:val="single" w:sz="4" w:space="0" w:color="000000"/>
              <w:left w:val="single" w:sz="12" w:space="0" w:color="000000"/>
              <w:bottom w:val="single" w:sz="4" w:space="0" w:color="000000"/>
              <w:right w:val="single" w:sz="12" w:space="0" w:color="000000"/>
            </w:tcBorders>
          </w:tcPr>
          <w:p w14:paraId="7BDC4496" w14:textId="4F6E095D" w:rsidR="0094090C" w:rsidRDefault="0094090C" w:rsidP="0094090C">
            <w:pPr>
              <w:spacing w:after="0" w:line="259" w:lineRule="auto"/>
              <w:ind w:left="0" w:right="44" w:firstLine="0"/>
              <w:jc w:val="center"/>
              <w:rPr>
                <w:rFonts w:eastAsia="Segoe UI Symbol"/>
                <w:sz w:val="18"/>
              </w:rPr>
            </w:pPr>
            <w:r>
              <w:rPr>
                <w:rFonts w:eastAsia="Segoe UI Symbol"/>
                <w:sz w:val="18"/>
              </w:rPr>
              <w:t>u</w:t>
            </w:r>
            <w:r>
              <w:rPr>
                <w:sz w:val="18"/>
              </w:rPr>
              <w:t>g/kg</w:t>
            </w:r>
          </w:p>
        </w:tc>
        <w:tc>
          <w:tcPr>
            <w:tcW w:w="647" w:type="dxa"/>
            <w:tcBorders>
              <w:top w:val="single" w:sz="4" w:space="0" w:color="000000"/>
              <w:left w:val="single" w:sz="12" w:space="0" w:color="000000"/>
              <w:bottom w:val="single" w:sz="4" w:space="0" w:color="000000"/>
              <w:right w:val="single" w:sz="12" w:space="0" w:color="000000"/>
            </w:tcBorders>
          </w:tcPr>
          <w:p w14:paraId="4C402D58" w14:textId="77777777" w:rsidR="0094090C" w:rsidRDefault="0094090C" w:rsidP="0094090C">
            <w:pPr>
              <w:spacing w:after="0" w:line="259" w:lineRule="auto"/>
              <w:ind w:left="0" w:right="0" w:firstLine="0"/>
              <w:jc w:val="center"/>
            </w:pPr>
          </w:p>
        </w:tc>
        <w:tc>
          <w:tcPr>
            <w:tcW w:w="540" w:type="dxa"/>
            <w:tcBorders>
              <w:top w:val="single" w:sz="4" w:space="0" w:color="000000"/>
              <w:left w:val="single" w:sz="12" w:space="0" w:color="000000"/>
              <w:bottom w:val="single" w:sz="4" w:space="0" w:color="000000"/>
              <w:right w:val="single" w:sz="12" w:space="0" w:color="000000"/>
            </w:tcBorders>
          </w:tcPr>
          <w:p w14:paraId="551876BD" w14:textId="77777777" w:rsidR="0094090C" w:rsidRDefault="0094090C" w:rsidP="0094090C">
            <w:pPr>
              <w:spacing w:after="0" w:line="259" w:lineRule="auto"/>
              <w:ind w:left="0" w:right="1" w:firstLine="0"/>
              <w:jc w:val="center"/>
            </w:pPr>
          </w:p>
        </w:tc>
        <w:tc>
          <w:tcPr>
            <w:tcW w:w="540" w:type="dxa"/>
            <w:tcBorders>
              <w:top w:val="single" w:sz="4" w:space="0" w:color="000000"/>
              <w:left w:val="single" w:sz="12" w:space="0" w:color="000000"/>
              <w:bottom w:val="single" w:sz="4" w:space="0" w:color="000000"/>
              <w:right w:val="single" w:sz="12" w:space="0" w:color="000000"/>
            </w:tcBorders>
          </w:tcPr>
          <w:p w14:paraId="26900E79" w14:textId="77777777" w:rsidR="0094090C" w:rsidRDefault="0094090C" w:rsidP="0094090C">
            <w:pPr>
              <w:spacing w:after="0" w:line="259" w:lineRule="auto"/>
              <w:ind w:left="0" w:right="0" w:firstLine="0"/>
              <w:jc w:val="center"/>
            </w:pPr>
          </w:p>
        </w:tc>
        <w:tc>
          <w:tcPr>
            <w:tcW w:w="917" w:type="dxa"/>
            <w:tcBorders>
              <w:top w:val="single" w:sz="4" w:space="0" w:color="000000"/>
              <w:left w:val="single" w:sz="12" w:space="0" w:color="000000"/>
              <w:bottom w:val="single" w:sz="4" w:space="0" w:color="000000"/>
              <w:right w:val="single" w:sz="12" w:space="0" w:color="000000"/>
            </w:tcBorders>
          </w:tcPr>
          <w:p w14:paraId="7F87FB50" w14:textId="4B6A119F" w:rsidR="0094090C" w:rsidRDefault="0094090C" w:rsidP="0094090C">
            <w:pPr>
              <w:spacing w:after="0" w:line="259" w:lineRule="auto"/>
              <w:ind w:left="38" w:right="0" w:firstLine="0"/>
              <w:jc w:val="center"/>
              <w:rPr>
                <w:sz w:val="18"/>
              </w:rPr>
            </w:pPr>
            <w:r>
              <w:rPr>
                <w:sz w:val="18"/>
              </w:rPr>
              <w:t>8141B</w:t>
            </w:r>
          </w:p>
        </w:tc>
        <w:tc>
          <w:tcPr>
            <w:tcW w:w="793" w:type="dxa"/>
            <w:tcBorders>
              <w:top w:val="single" w:sz="4" w:space="0" w:color="000000"/>
              <w:left w:val="single" w:sz="12" w:space="0" w:color="000000"/>
              <w:bottom w:val="single" w:sz="4" w:space="0" w:color="000000"/>
              <w:right w:val="single" w:sz="12" w:space="0" w:color="000000"/>
            </w:tcBorders>
          </w:tcPr>
          <w:p w14:paraId="1EC13795" w14:textId="3F32DCA0" w:rsidR="0094090C" w:rsidRDefault="0094090C" w:rsidP="0094090C">
            <w:pPr>
              <w:spacing w:after="0" w:line="259" w:lineRule="auto"/>
              <w:ind w:left="0" w:right="2" w:firstLine="0"/>
              <w:jc w:val="center"/>
              <w:rPr>
                <w:sz w:val="18"/>
              </w:rPr>
            </w:pPr>
            <w:r>
              <w:rPr>
                <w:sz w:val="18"/>
              </w:rPr>
              <w:t>8270D</w:t>
            </w:r>
          </w:p>
        </w:tc>
      </w:tr>
      <w:tr w:rsidR="0094090C" w14:paraId="38C16429" w14:textId="77777777" w:rsidTr="005B6604">
        <w:trPr>
          <w:trHeight w:val="262"/>
        </w:trPr>
        <w:tc>
          <w:tcPr>
            <w:tcW w:w="3165" w:type="dxa"/>
            <w:tcBorders>
              <w:top w:val="single" w:sz="4" w:space="0" w:color="000000"/>
              <w:left w:val="single" w:sz="12" w:space="0" w:color="000000"/>
              <w:bottom w:val="single" w:sz="4" w:space="0" w:color="000000"/>
              <w:right w:val="single" w:sz="12" w:space="0" w:color="000000"/>
            </w:tcBorders>
          </w:tcPr>
          <w:p w14:paraId="1D078714" w14:textId="6E2C54D4" w:rsidR="0094090C" w:rsidRDefault="0094090C" w:rsidP="0094090C">
            <w:pPr>
              <w:spacing w:after="0" w:line="259" w:lineRule="auto"/>
              <w:ind w:left="0" w:right="0" w:firstLine="0"/>
              <w:rPr>
                <w:sz w:val="18"/>
              </w:rPr>
            </w:pPr>
            <w:proofErr w:type="spellStart"/>
            <w:proofErr w:type="gramStart"/>
            <w:r>
              <w:rPr>
                <w:sz w:val="18"/>
              </w:rPr>
              <w:t>Terbufos</w:t>
            </w:r>
            <w:proofErr w:type="spellEnd"/>
            <w:r>
              <w:rPr>
                <w:sz w:val="18"/>
              </w:rPr>
              <w:t xml:space="preserve">  (</w:t>
            </w:r>
            <w:proofErr w:type="gramEnd"/>
            <w:r>
              <w:rPr>
                <w:i/>
                <w:sz w:val="18"/>
              </w:rPr>
              <w:t xml:space="preserve">Counter) </w:t>
            </w:r>
          </w:p>
        </w:tc>
        <w:tc>
          <w:tcPr>
            <w:tcW w:w="1194" w:type="dxa"/>
            <w:tcBorders>
              <w:top w:val="single" w:sz="4" w:space="0" w:color="000000"/>
              <w:left w:val="single" w:sz="12" w:space="0" w:color="000000"/>
              <w:bottom w:val="single" w:sz="4" w:space="0" w:color="000000"/>
              <w:right w:val="single" w:sz="12" w:space="0" w:color="000000"/>
            </w:tcBorders>
          </w:tcPr>
          <w:p w14:paraId="44D5CEC0" w14:textId="35BF4459" w:rsidR="0094090C" w:rsidRDefault="0094090C" w:rsidP="0094090C">
            <w:pPr>
              <w:spacing w:after="0" w:line="259" w:lineRule="auto"/>
              <w:ind w:left="0" w:right="44" w:firstLine="0"/>
              <w:jc w:val="center"/>
              <w:rPr>
                <w:sz w:val="18"/>
              </w:rPr>
            </w:pPr>
            <w:r>
              <w:rPr>
                <w:sz w:val="18"/>
              </w:rPr>
              <w:t>13071-79-9</w:t>
            </w:r>
          </w:p>
        </w:tc>
        <w:tc>
          <w:tcPr>
            <w:tcW w:w="588" w:type="dxa"/>
            <w:tcBorders>
              <w:top w:val="single" w:sz="4" w:space="0" w:color="000000"/>
              <w:left w:val="single" w:sz="12" w:space="0" w:color="000000"/>
              <w:bottom w:val="single" w:sz="4" w:space="0" w:color="000000"/>
              <w:right w:val="single" w:sz="12" w:space="0" w:color="000000"/>
            </w:tcBorders>
          </w:tcPr>
          <w:p w14:paraId="59697656" w14:textId="05ADE393" w:rsidR="0094090C" w:rsidRDefault="0094090C" w:rsidP="0094090C">
            <w:pPr>
              <w:tabs>
                <w:tab w:val="right" w:pos="489"/>
              </w:tabs>
              <w:spacing w:after="0" w:line="259" w:lineRule="auto"/>
              <w:ind w:left="0" w:right="0" w:firstLine="0"/>
              <w:jc w:val="center"/>
              <w:rPr>
                <w:sz w:val="18"/>
              </w:rPr>
            </w:pPr>
            <w:r>
              <w:rPr>
                <w:sz w:val="18"/>
              </w:rPr>
              <w:t>0.9</w:t>
            </w:r>
          </w:p>
        </w:tc>
        <w:tc>
          <w:tcPr>
            <w:tcW w:w="714" w:type="dxa"/>
            <w:tcBorders>
              <w:top w:val="single" w:sz="4" w:space="0" w:color="000000"/>
              <w:left w:val="single" w:sz="12" w:space="0" w:color="000000"/>
              <w:bottom w:val="single" w:sz="4" w:space="0" w:color="000000"/>
              <w:right w:val="single" w:sz="12" w:space="0" w:color="000000"/>
            </w:tcBorders>
          </w:tcPr>
          <w:p w14:paraId="3DEDB23C" w14:textId="7B003EB0" w:rsidR="0094090C" w:rsidRDefault="0094090C" w:rsidP="0094090C">
            <w:pPr>
              <w:spacing w:after="0" w:line="259" w:lineRule="auto"/>
              <w:ind w:left="0" w:right="48" w:firstLine="0"/>
              <w:jc w:val="center"/>
              <w:rPr>
                <w:sz w:val="18"/>
              </w:rPr>
            </w:pPr>
            <w:r>
              <w:rPr>
                <w:sz w:val="18"/>
              </w:rPr>
              <w:t>ug/L</w:t>
            </w:r>
          </w:p>
        </w:tc>
        <w:tc>
          <w:tcPr>
            <w:tcW w:w="811" w:type="dxa"/>
            <w:tcBorders>
              <w:top w:val="single" w:sz="4" w:space="0" w:color="000000"/>
              <w:left w:val="single" w:sz="12" w:space="0" w:color="000000"/>
              <w:bottom w:val="single" w:sz="4" w:space="0" w:color="000000"/>
              <w:right w:val="single" w:sz="12" w:space="0" w:color="000000"/>
            </w:tcBorders>
          </w:tcPr>
          <w:p w14:paraId="62DB7E56" w14:textId="5371E04B" w:rsidR="0094090C" w:rsidRDefault="0094090C" w:rsidP="0094090C">
            <w:pPr>
              <w:spacing w:after="0" w:line="259" w:lineRule="auto"/>
              <w:ind w:left="0" w:right="0" w:firstLine="0"/>
              <w:jc w:val="center"/>
              <w:rPr>
                <w:sz w:val="18"/>
              </w:rPr>
            </w:pPr>
            <w:r>
              <w:rPr>
                <w:sz w:val="18"/>
              </w:rPr>
              <w:t>660</w:t>
            </w:r>
          </w:p>
        </w:tc>
        <w:tc>
          <w:tcPr>
            <w:tcW w:w="711" w:type="dxa"/>
            <w:tcBorders>
              <w:top w:val="single" w:sz="4" w:space="0" w:color="000000"/>
              <w:left w:val="single" w:sz="12" w:space="0" w:color="000000"/>
              <w:bottom w:val="single" w:sz="4" w:space="0" w:color="000000"/>
              <w:right w:val="single" w:sz="12" w:space="0" w:color="000000"/>
            </w:tcBorders>
          </w:tcPr>
          <w:p w14:paraId="198AA194" w14:textId="52B68EE9" w:rsidR="0094090C" w:rsidRDefault="0094090C" w:rsidP="0094090C">
            <w:pPr>
              <w:spacing w:after="0" w:line="259" w:lineRule="auto"/>
              <w:ind w:left="0" w:right="44" w:firstLine="0"/>
              <w:jc w:val="center"/>
              <w:rPr>
                <w:rFonts w:eastAsia="Segoe UI Symbol"/>
                <w:sz w:val="18"/>
              </w:rPr>
            </w:pPr>
            <w:r>
              <w:rPr>
                <w:rFonts w:eastAsia="Segoe UI Symbol"/>
                <w:sz w:val="18"/>
              </w:rPr>
              <w:t>u</w:t>
            </w:r>
            <w:r>
              <w:rPr>
                <w:sz w:val="18"/>
              </w:rPr>
              <w:t>g/kg</w:t>
            </w:r>
          </w:p>
        </w:tc>
        <w:tc>
          <w:tcPr>
            <w:tcW w:w="647" w:type="dxa"/>
            <w:tcBorders>
              <w:top w:val="single" w:sz="4" w:space="0" w:color="000000"/>
              <w:left w:val="single" w:sz="12" w:space="0" w:color="000000"/>
              <w:bottom w:val="single" w:sz="4" w:space="0" w:color="000000"/>
              <w:right w:val="single" w:sz="12" w:space="0" w:color="000000"/>
            </w:tcBorders>
          </w:tcPr>
          <w:p w14:paraId="766579AA" w14:textId="77777777" w:rsidR="0094090C" w:rsidRDefault="0094090C" w:rsidP="0094090C">
            <w:pPr>
              <w:spacing w:after="0" w:line="259" w:lineRule="auto"/>
              <w:ind w:left="0" w:right="0" w:firstLine="0"/>
              <w:jc w:val="center"/>
            </w:pPr>
          </w:p>
        </w:tc>
        <w:tc>
          <w:tcPr>
            <w:tcW w:w="540" w:type="dxa"/>
            <w:tcBorders>
              <w:top w:val="single" w:sz="4" w:space="0" w:color="000000"/>
              <w:left w:val="single" w:sz="12" w:space="0" w:color="000000"/>
              <w:bottom w:val="single" w:sz="4" w:space="0" w:color="000000"/>
              <w:right w:val="single" w:sz="12" w:space="0" w:color="000000"/>
            </w:tcBorders>
          </w:tcPr>
          <w:p w14:paraId="2DF952DD" w14:textId="77777777" w:rsidR="0094090C" w:rsidRDefault="0094090C" w:rsidP="0094090C">
            <w:pPr>
              <w:spacing w:after="0" w:line="259" w:lineRule="auto"/>
              <w:ind w:left="0" w:right="1" w:firstLine="0"/>
              <w:jc w:val="center"/>
            </w:pPr>
          </w:p>
        </w:tc>
        <w:tc>
          <w:tcPr>
            <w:tcW w:w="540" w:type="dxa"/>
            <w:tcBorders>
              <w:top w:val="single" w:sz="4" w:space="0" w:color="000000"/>
              <w:left w:val="single" w:sz="12" w:space="0" w:color="000000"/>
              <w:bottom w:val="single" w:sz="4" w:space="0" w:color="000000"/>
              <w:right w:val="single" w:sz="12" w:space="0" w:color="000000"/>
            </w:tcBorders>
          </w:tcPr>
          <w:p w14:paraId="50ECB589" w14:textId="77777777" w:rsidR="0094090C" w:rsidRDefault="0094090C" w:rsidP="0094090C">
            <w:pPr>
              <w:spacing w:after="0" w:line="259" w:lineRule="auto"/>
              <w:ind w:left="0" w:right="0" w:firstLine="0"/>
              <w:jc w:val="center"/>
            </w:pPr>
          </w:p>
        </w:tc>
        <w:tc>
          <w:tcPr>
            <w:tcW w:w="917" w:type="dxa"/>
            <w:tcBorders>
              <w:top w:val="single" w:sz="4" w:space="0" w:color="000000"/>
              <w:left w:val="single" w:sz="12" w:space="0" w:color="000000"/>
              <w:bottom w:val="single" w:sz="4" w:space="0" w:color="000000"/>
              <w:right w:val="single" w:sz="12" w:space="0" w:color="000000"/>
            </w:tcBorders>
          </w:tcPr>
          <w:p w14:paraId="23FD2D07" w14:textId="40956F8A" w:rsidR="0094090C" w:rsidRDefault="0094090C" w:rsidP="0094090C">
            <w:pPr>
              <w:spacing w:after="0" w:line="259" w:lineRule="auto"/>
              <w:ind w:left="38" w:right="0" w:firstLine="0"/>
              <w:jc w:val="center"/>
              <w:rPr>
                <w:sz w:val="18"/>
              </w:rPr>
            </w:pPr>
            <w:r>
              <w:rPr>
                <w:sz w:val="18"/>
              </w:rPr>
              <w:t>8141B</w:t>
            </w:r>
          </w:p>
        </w:tc>
        <w:tc>
          <w:tcPr>
            <w:tcW w:w="793" w:type="dxa"/>
            <w:tcBorders>
              <w:top w:val="single" w:sz="4" w:space="0" w:color="000000"/>
              <w:left w:val="single" w:sz="12" w:space="0" w:color="000000"/>
              <w:bottom w:val="single" w:sz="4" w:space="0" w:color="000000"/>
              <w:right w:val="single" w:sz="12" w:space="0" w:color="000000"/>
            </w:tcBorders>
          </w:tcPr>
          <w:p w14:paraId="42B51A5E" w14:textId="3FE4D461" w:rsidR="0094090C" w:rsidRDefault="0094090C" w:rsidP="0094090C">
            <w:pPr>
              <w:spacing w:after="0" w:line="259" w:lineRule="auto"/>
              <w:ind w:left="0" w:right="2" w:firstLine="0"/>
              <w:jc w:val="center"/>
              <w:rPr>
                <w:sz w:val="18"/>
              </w:rPr>
            </w:pPr>
            <w:r>
              <w:rPr>
                <w:sz w:val="18"/>
              </w:rPr>
              <w:t>8270D</w:t>
            </w:r>
          </w:p>
        </w:tc>
      </w:tr>
      <w:tr w:rsidR="0094090C" w14:paraId="3F11AFEC" w14:textId="77777777" w:rsidTr="005B6604">
        <w:trPr>
          <w:trHeight w:val="262"/>
        </w:trPr>
        <w:tc>
          <w:tcPr>
            <w:tcW w:w="3165" w:type="dxa"/>
            <w:tcBorders>
              <w:top w:val="single" w:sz="4" w:space="0" w:color="000000"/>
              <w:left w:val="single" w:sz="12" w:space="0" w:color="000000"/>
              <w:bottom w:val="single" w:sz="4" w:space="0" w:color="000000"/>
              <w:right w:val="single" w:sz="12" w:space="0" w:color="000000"/>
            </w:tcBorders>
          </w:tcPr>
          <w:p w14:paraId="1F40A033" w14:textId="2496B4EC" w:rsidR="0094090C" w:rsidRDefault="0094090C" w:rsidP="0094090C">
            <w:pPr>
              <w:spacing w:after="0" w:line="259" w:lineRule="auto"/>
              <w:ind w:left="0" w:right="0" w:firstLine="0"/>
              <w:rPr>
                <w:sz w:val="18"/>
              </w:rPr>
            </w:pPr>
            <w:proofErr w:type="spellStart"/>
            <w:r>
              <w:rPr>
                <w:sz w:val="18"/>
              </w:rPr>
              <w:t>Thionazine</w:t>
            </w:r>
            <w:proofErr w:type="spellEnd"/>
            <w:r>
              <w:rPr>
                <w:sz w:val="18"/>
              </w:rPr>
              <w:t xml:space="preserve"> </w:t>
            </w:r>
            <w:r>
              <w:rPr>
                <w:i/>
                <w:sz w:val="18"/>
              </w:rPr>
              <w:t>(</w:t>
            </w:r>
            <w:proofErr w:type="spellStart"/>
            <w:r>
              <w:rPr>
                <w:i/>
                <w:sz w:val="18"/>
              </w:rPr>
              <w:t>Zinophos</w:t>
            </w:r>
            <w:proofErr w:type="spellEnd"/>
            <w:r>
              <w:rPr>
                <w:i/>
                <w:sz w:val="18"/>
              </w:rPr>
              <w:t xml:space="preserve">) </w:t>
            </w:r>
            <w:r>
              <w:rPr>
                <w:sz w:val="18"/>
              </w:rPr>
              <w:t xml:space="preserve"> </w:t>
            </w:r>
          </w:p>
        </w:tc>
        <w:tc>
          <w:tcPr>
            <w:tcW w:w="1194" w:type="dxa"/>
            <w:tcBorders>
              <w:top w:val="single" w:sz="4" w:space="0" w:color="000000"/>
              <w:left w:val="single" w:sz="12" w:space="0" w:color="000000"/>
              <w:bottom w:val="single" w:sz="4" w:space="0" w:color="000000"/>
              <w:right w:val="single" w:sz="12" w:space="0" w:color="000000"/>
            </w:tcBorders>
          </w:tcPr>
          <w:p w14:paraId="0D4E8A97" w14:textId="44A78073" w:rsidR="0094090C" w:rsidRDefault="0094090C" w:rsidP="0094090C">
            <w:pPr>
              <w:spacing w:after="0" w:line="259" w:lineRule="auto"/>
              <w:ind w:left="0" w:right="44" w:firstLine="0"/>
              <w:jc w:val="center"/>
              <w:rPr>
                <w:sz w:val="18"/>
              </w:rPr>
            </w:pPr>
            <w:r>
              <w:rPr>
                <w:sz w:val="18"/>
              </w:rPr>
              <w:t>297-97-2</w:t>
            </w:r>
          </w:p>
        </w:tc>
        <w:tc>
          <w:tcPr>
            <w:tcW w:w="588" w:type="dxa"/>
            <w:tcBorders>
              <w:top w:val="single" w:sz="4" w:space="0" w:color="000000"/>
              <w:left w:val="single" w:sz="12" w:space="0" w:color="000000"/>
              <w:bottom w:val="single" w:sz="4" w:space="0" w:color="000000"/>
              <w:right w:val="single" w:sz="12" w:space="0" w:color="000000"/>
            </w:tcBorders>
          </w:tcPr>
          <w:p w14:paraId="19276FF7" w14:textId="68F796E3" w:rsidR="0094090C" w:rsidRDefault="0094090C" w:rsidP="0094090C">
            <w:pPr>
              <w:tabs>
                <w:tab w:val="right" w:pos="489"/>
              </w:tabs>
              <w:spacing w:after="0" w:line="259" w:lineRule="auto"/>
              <w:ind w:left="0" w:right="0" w:firstLine="0"/>
              <w:jc w:val="center"/>
              <w:rPr>
                <w:sz w:val="18"/>
              </w:rPr>
            </w:pPr>
            <w:r>
              <w:rPr>
                <w:sz w:val="18"/>
              </w:rPr>
              <w:t>20</w:t>
            </w:r>
          </w:p>
        </w:tc>
        <w:tc>
          <w:tcPr>
            <w:tcW w:w="714" w:type="dxa"/>
            <w:tcBorders>
              <w:top w:val="single" w:sz="4" w:space="0" w:color="000000"/>
              <w:left w:val="single" w:sz="12" w:space="0" w:color="000000"/>
              <w:bottom w:val="single" w:sz="4" w:space="0" w:color="000000"/>
              <w:right w:val="single" w:sz="12" w:space="0" w:color="000000"/>
            </w:tcBorders>
          </w:tcPr>
          <w:p w14:paraId="18FF178C" w14:textId="7D647DDE" w:rsidR="0094090C" w:rsidRDefault="0094090C" w:rsidP="0094090C">
            <w:pPr>
              <w:spacing w:after="0" w:line="259" w:lineRule="auto"/>
              <w:ind w:left="0" w:right="48" w:firstLine="0"/>
              <w:jc w:val="center"/>
              <w:rPr>
                <w:sz w:val="18"/>
              </w:rPr>
            </w:pPr>
            <w:r>
              <w:rPr>
                <w:sz w:val="18"/>
              </w:rPr>
              <w:t>ug/L</w:t>
            </w:r>
          </w:p>
        </w:tc>
        <w:tc>
          <w:tcPr>
            <w:tcW w:w="811" w:type="dxa"/>
            <w:tcBorders>
              <w:top w:val="single" w:sz="4" w:space="0" w:color="000000"/>
              <w:left w:val="single" w:sz="12" w:space="0" w:color="000000"/>
              <w:bottom w:val="single" w:sz="4" w:space="0" w:color="000000"/>
              <w:right w:val="single" w:sz="12" w:space="0" w:color="000000"/>
            </w:tcBorders>
          </w:tcPr>
          <w:p w14:paraId="0D370DE9" w14:textId="133DB413" w:rsidR="0094090C" w:rsidRDefault="0094090C" w:rsidP="0094090C">
            <w:pPr>
              <w:spacing w:after="0" w:line="259" w:lineRule="auto"/>
              <w:ind w:left="0" w:right="0" w:firstLine="0"/>
              <w:jc w:val="center"/>
              <w:rPr>
                <w:sz w:val="18"/>
              </w:rPr>
            </w:pPr>
            <w:r>
              <w:rPr>
                <w:sz w:val="18"/>
              </w:rPr>
              <w:t>1300</w:t>
            </w:r>
          </w:p>
        </w:tc>
        <w:tc>
          <w:tcPr>
            <w:tcW w:w="711" w:type="dxa"/>
            <w:tcBorders>
              <w:top w:val="single" w:sz="4" w:space="0" w:color="000000"/>
              <w:left w:val="single" w:sz="12" w:space="0" w:color="000000"/>
              <w:bottom w:val="single" w:sz="4" w:space="0" w:color="000000"/>
              <w:right w:val="single" w:sz="12" w:space="0" w:color="000000"/>
            </w:tcBorders>
          </w:tcPr>
          <w:p w14:paraId="141D5207" w14:textId="4131EB49" w:rsidR="0094090C" w:rsidRDefault="0094090C" w:rsidP="0094090C">
            <w:pPr>
              <w:spacing w:after="0" w:line="259" w:lineRule="auto"/>
              <w:ind w:left="0" w:right="44" w:firstLine="0"/>
              <w:jc w:val="center"/>
              <w:rPr>
                <w:rFonts w:eastAsia="Segoe UI Symbol"/>
                <w:sz w:val="18"/>
              </w:rPr>
            </w:pPr>
            <w:r>
              <w:rPr>
                <w:rFonts w:eastAsia="Segoe UI Symbol"/>
                <w:sz w:val="18"/>
              </w:rPr>
              <w:t>u</w:t>
            </w:r>
            <w:r>
              <w:rPr>
                <w:sz w:val="18"/>
              </w:rPr>
              <w:t>g/kg</w:t>
            </w:r>
          </w:p>
        </w:tc>
        <w:tc>
          <w:tcPr>
            <w:tcW w:w="647" w:type="dxa"/>
            <w:tcBorders>
              <w:top w:val="single" w:sz="4" w:space="0" w:color="000000"/>
              <w:left w:val="single" w:sz="12" w:space="0" w:color="000000"/>
              <w:bottom w:val="single" w:sz="4" w:space="0" w:color="000000"/>
              <w:right w:val="single" w:sz="12" w:space="0" w:color="000000"/>
            </w:tcBorders>
          </w:tcPr>
          <w:p w14:paraId="43E09ABA" w14:textId="77777777" w:rsidR="0094090C" w:rsidRDefault="0094090C" w:rsidP="0094090C">
            <w:pPr>
              <w:spacing w:after="0" w:line="259" w:lineRule="auto"/>
              <w:ind w:left="0" w:right="0" w:firstLine="0"/>
              <w:jc w:val="center"/>
            </w:pPr>
          </w:p>
        </w:tc>
        <w:tc>
          <w:tcPr>
            <w:tcW w:w="540" w:type="dxa"/>
            <w:tcBorders>
              <w:top w:val="single" w:sz="4" w:space="0" w:color="000000"/>
              <w:left w:val="single" w:sz="12" w:space="0" w:color="000000"/>
              <w:bottom w:val="single" w:sz="4" w:space="0" w:color="000000"/>
              <w:right w:val="single" w:sz="12" w:space="0" w:color="000000"/>
            </w:tcBorders>
          </w:tcPr>
          <w:p w14:paraId="1A9CB6A7" w14:textId="77777777" w:rsidR="0094090C" w:rsidRDefault="0094090C" w:rsidP="0094090C">
            <w:pPr>
              <w:spacing w:after="0" w:line="259" w:lineRule="auto"/>
              <w:ind w:left="0" w:right="1" w:firstLine="0"/>
              <w:jc w:val="center"/>
            </w:pPr>
          </w:p>
        </w:tc>
        <w:tc>
          <w:tcPr>
            <w:tcW w:w="540" w:type="dxa"/>
            <w:tcBorders>
              <w:top w:val="single" w:sz="4" w:space="0" w:color="000000"/>
              <w:left w:val="single" w:sz="12" w:space="0" w:color="000000"/>
              <w:bottom w:val="single" w:sz="4" w:space="0" w:color="000000"/>
              <w:right w:val="single" w:sz="12" w:space="0" w:color="000000"/>
            </w:tcBorders>
          </w:tcPr>
          <w:p w14:paraId="0917D96C" w14:textId="77777777" w:rsidR="0094090C" w:rsidRDefault="0094090C" w:rsidP="0094090C">
            <w:pPr>
              <w:spacing w:after="0" w:line="259" w:lineRule="auto"/>
              <w:ind w:left="0" w:right="0" w:firstLine="0"/>
              <w:jc w:val="center"/>
            </w:pPr>
          </w:p>
        </w:tc>
        <w:tc>
          <w:tcPr>
            <w:tcW w:w="917" w:type="dxa"/>
            <w:tcBorders>
              <w:top w:val="single" w:sz="4" w:space="0" w:color="000000"/>
              <w:left w:val="single" w:sz="12" w:space="0" w:color="000000"/>
              <w:bottom w:val="single" w:sz="4" w:space="0" w:color="000000"/>
              <w:right w:val="single" w:sz="12" w:space="0" w:color="000000"/>
            </w:tcBorders>
          </w:tcPr>
          <w:p w14:paraId="72FCB2E9" w14:textId="331C13B5" w:rsidR="0094090C" w:rsidRDefault="0094090C" w:rsidP="0094090C">
            <w:pPr>
              <w:spacing w:after="0" w:line="259" w:lineRule="auto"/>
              <w:ind w:left="38" w:right="0" w:firstLine="0"/>
              <w:jc w:val="center"/>
              <w:rPr>
                <w:sz w:val="18"/>
              </w:rPr>
            </w:pPr>
            <w:r>
              <w:rPr>
                <w:sz w:val="18"/>
              </w:rPr>
              <w:t>8141B</w:t>
            </w:r>
          </w:p>
        </w:tc>
        <w:tc>
          <w:tcPr>
            <w:tcW w:w="793" w:type="dxa"/>
            <w:tcBorders>
              <w:top w:val="single" w:sz="4" w:space="0" w:color="000000"/>
              <w:left w:val="single" w:sz="12" w:space="0" w:color="000000"/>
              <w:bottom w:val="single" w:sz="4" w:space="0" w:color="000000"/>
              <w:right w:val="single" w:sz="12" w:space="0" w:color="000000"/>
            </w:tcBorders>
          </w:tcPr>
          <w:p w14:paraId="63689B10" w14:textId="572CC578" w:rsidR="0094090C" w:rsidRDefault="0094090C" w:rsidP="0094090C">
            <w:pPr>
              <w:spacing w:after="0" w:line="259" w:lineRule="auto"/>
              <w:ind w:left="0" w:right="2" w:firstLine="0"/>
              <w:jc w:val="center"/>
              <w:rPr>
                <w:sz w:val="18"/>
              </w:rPr>
            </w:pPr>
            <w:r>
              <w:rPr>
                <w:sz w:val="18"/>
              </w:rPr>
              <w:t>8270D</w:t>
            </w:r>
          </w:p>
        </w:tc>
      </w:tr>
      <w:tr w:rsidR="0094090C" w14:paraId="616D6C1B" w14:textId="77777777" w:rsidTr="005B6604">
        <w:trPr>
          <w:trHeight w:val="262"/>
        </w:trPr>
        <w:tc>
          <w:tcPr>
            <w:tcW w:w="3165" w:type="dxa"/>
            <w:tcBorders>
              <w:top w:val="single" w:sz="4" w:space="0" w:color="000000"/>
              <w:left w:val="single" w:sz="12" w:space="0" w:color="000000"/>
              <w:bottom w:val="single" w:sz="4" w:space="0" w:color="000000"/>
              <w:right w:val="single" w:sz="12" w:space="0" w:color="000000"/>
            </w:tcBorders>
          </w:tcPr>
          <w:p w14:paraId="13CB0C6A" w14:textId="3DD927F1" w:rsidR="0094090C" w:rsidRDefault="0094090C" w:rsidP="0094090C">
            <w:pPr>
              <w:spacing w:after="0" w:line="259" w:lineRule="auto"/>
              <w:ind w:left="0" w:right="0" w:firstLine="0"/>
              <w:rPr>
                <w:sz w:val="18"/>
              </w:rPr>
            </w:pPr>
            <w:proofErr w:type="spellStart"/>
            <w:r>
              <w:rPr>
                <w:sz w:val="18"/>
              </w:rPr>
              <w:t>Tokuthion</w:t>
            </w:r>
            <w:proofErr w:type="spellEnd"/>
            <w:r>
              <w:rPr>
                <w:sz w:val="18"/>
              </w:rPr>
              <w:t xml:space="preserve"> </w:t>
            </w:r>
            <w:r>
              <w:rPr>
                <w:i/>
                <w:sz w:val="18"/>
              </w:rPr>
              <w:t>(</w:t>
            </w:r>
            <w:proofErr w:type="spellStart"/>
            <w:r>
              <w:rPr>
                <w:i/>
                <w:sz w:val="18"/>
              </w:rPr>
              <w:t>Prothiofos</w:t>
            </w:r>
            <w:proofErr w:type="spellEnd"/>
            <w:r>
              <w:rPr>
                <w:i/>
                <w:sz w:val="18"/>
              </w:rPr>
              <w:t xml:space="preserve">) </w:t>
            </w:r>
            <w:r>
              <w:rPr>
                <w:sz w:val="18"/>
              </w:rPr>
              <w:t xml:space="preserve"> </w:t>
            </w:r>
          </w:p>
        </w:tc>
        <w:tc>
          <w:tcPr>
            <w:tcW w:w="1194" w:type="dxa"/>
            <w:tcBorders>
              <w:top w:val="single" w:sz="4" w:space="0" w:color="000000"/>
              <w:left w:val="single" w:sz="12" w:space="0" w:color="000000"/>
              <w:bottom w:val="single" w:sz="4" w:space="0" w:color="000000"/>
              <w:right w:val="single" w:sz="12" w:space="0" w:color="000000"/>
            </w:tcBorders>
          </w:tcPr>
          <w:p w14:paraId="6FA80D54" w14:textId="4EDE241D" w:rsidR="0094090C" w:rsidRDefault="0094090C" w:rsidP="0094090C">
            <w:pPr>
              <w:spacing w:after="0" w:line="259" w:lineRule="auto"/>
              <w:ind w:left="0" w:right="44" w:firstLine="0"/>
              <w:jc w:val="center"/>
              <w:rPr>
                <w:sz w:val="18"/>
              </w:rPr>
            </w:pPr>
            <w:r>
              <w:rPr>
                <w:sz w:val="18"/>
              </w:rPr>
              <w:t>34643-46-4</w:t>
            </w:r>
          </w:p>
        </w:tc>
        <w:tc>
          <w:tcPr>
            <w:tcW w:w="588" w:type="dxa"/>
            <w:tcBorders>
              <w:top w:val="single" w:sz="4" w:space="0" w:color="000000"/>
              <w:left w:val="single" w:sz="12" w:space="0" w:color="000000"/>
              <w:bottom w:val="single" w:sz="4" w:space="0" w:color="000000"/>
              <w:right w:val="single" w:sz="12" w:space="0" w:color="000000"/>
            </w:tcBorders>
          </w:tcPr>
          <w:p w14:paraId="1D145304" w14:textId="3B1C4507" w:rsidR="0094090C" w:rsidRDefault="0094090C" w:rsidP="0094090C">
            <w:pPr>
              <w:tabs>
                <w:tab w:val="right" w:pos="489"/>
              </w:tabs>
              <w:spacing w:after="0" w:line="259" w:lineRule="auto"/>
              <w:ind w:left="0" w:right="0" w:firstLine="0"/>
              <w:jc w:val="center"/>
              <w:rPr>
                <w:sz w:val="18"/>
              </w:rPr>
            </w:pPr>
            <w:r>
              <w:rPr>
                <w:sz w:val="18"/>
              </w:rPr>
              <w:t>5</w:t>
            </w:r>
          </w:p>
        </w:tc>
        <w:tc>
          <w:tcPr>
            <w:tcW w:w="714" w:type="dxa"/>
            <w:tcBorders>
              <w:top w:val="single" w:sz="4" w:space="0" w:color="000000"/>
              <w:left w:val="single" w:sz="12" w:space="0" w:color="000000"/>
              <w:bottom w:val="single" w:sz="4" w:space="0" w:color="000000"/>
              <w:right w:val="single" w:sz="12" w:space="0" w:color="000000"/>
            </w:tcBorders>
          </w:tcPr>
          <w:p w14:paraId="2FC191E7" w14:textId="4690E4E0" w:rsidR="0094090C" w:rsidRDefault="0094090C" w:rsidP="0094090C">
            <w:pPr>
              <w:spacing w:after="0" w:line="259" w:lineRule="auto"/>
              <w:ind w:left="0" w:right="48" w:firstLine="0"/>
              <w:jc w:val="center"/>
              <w:rPr>
                <w:sz w:val="18"/>
              </w:rPr>
            </w:pPr>
            <w:r>
              <w:rPr>
                <w:sz w:val="18"/>
              </w:rPr>
              <w:t>ug/L</w:t>
            </w:r>
          </w:p>
        </w:tc>
        <w:tc>
          <w:tcPr>
            <w:tcW w:w="811" w:type="dxa"/>
            <w:tcBorders>
              <w:top w:val="single" w:sz="4" w:space="0" w:color="000000"/>
              <w:left w:val="single" w:sz="12" w:space="0" w:color="000000"/>
              <w:bottom w:val="single" w:sz="4" w:space="0" w:color="000000"/>
              <w:right w:val="single" w:sz="12" w:space="0" w:color="000000"/>
            </w:tcBorders>
          </w:tcPr>
          <w:p w14:paraId="30070F67" w14:textId="3FA93C38" w:rsidR="0094090C" w:rsidRDefault="0094090C" w:rsidP="0094090C">
            <w:pPr>
              <w:spacing w:after="0" w:line="259" w:lineRule="auto"/>
              <w:ind w:left="0" w:right="0" w:firstLine="0"/>
              <w:jc w:val="center"/>
              <w:rPr>
                <w:sz w:val="18"/>
              </w:rPr>
            </w:pPr>
            <w:r>
              <w:rPr>
                <w:sz w:val="18"/>
              </w:rPr>
              <w:t>330</w:t>
            </w:r>
          </w:p>
        </w:tc>
        <w:tc>
          <w:tcPr>
            <w:tcW w:w="711" w:type="dxa"/>
            <w:tcBorders>
              <w:top w:val="single" w:sz="4" w:space="0" w:color="000000"/>
              <w:left w:val="single" w:sz="12" w:space="0" w:color="000000"/>
              <w:bottom w:val="single" w:sz="4" w:space="0" w:color="000000"/>
              <w:right w:val="single" w:sz="12" w:space="0" w:color="000000"/>
            </w:tcBorders>
          </w:tcPr>
          <w:p w14:paraId="19E6BD02" w14:textId="5A77F7D3" w:rsidR="0094090C" w:rsidRDefault="0094090C" w:rsidP="0094090C">
            <w:pPr>
              <w:spacing w:after="0" w:line="259" w:lineRule="auto"/>
              <w:ind w:left="0" w:right="44" w:firstLine="0"/>
              <w:jc w:val="center"/>
              <w:rPr>
                <w:rFonts w:eastAsia="Segoe UI Symbol"/>
                <w:sz w:val="18"/>
              </w:rPr>
            </w:pPr>
            <w:r>
              <w:rPr>
                <w:rFonts w:eastAsia="Segoe UI Symbol"/>
                <w:sz w:val="18"/>
              </w:rPr>
              <w:t>u</w:t>
            </w:r>
            <w:r>
              <w:rPr>
                <w:sz w:val="18"/>
              </w:rPr>
              <w:t>g/kg</w:t>
            </w:r>
          </w:p>
        </w:tc>
        <w:tc>
          <w:tcPr>
            <w:tcW w:w="647" w:type="dxa"/>
            <w:tcBorders>
              <w:top w:val="single" w:sz="4" w:space="0" w:color="000000"/>
              <w:left w:val="single" w:sz="12" w:space="0" w:color="000000"/>
              <w:bottom w:val="single" w:sz="4" w:space="0" w:color="000000"/>
              <w:right w:val="single" w:sz="12" w:space="0" w:color="000000"/>
            </w:tcBorders>
          </w:tcPr>
          <w:p w14:paraId="43EDC05B" w14:textId="77777777" w:rsidR="0094090C" w:rsidRDefault="0094090C" w:rsidP="0094090C">
            <w:pPr>
              <w:spacing w:after="0" w:line="259" w:lineRule="auto"/>
              <w:ind w:left="0" w:right="0" w:firstLine="0"/>
              <w:jc w:val="center"/>
            </w:pPr>
          </w:p>
        </w:tc>
        <w:tc>
          <w:tcPr>
            <w:tcW w:w="540" w:type="dxa"/>
            <w:tcBorders>
              <w:top w:val="single" w:sz="4" w:space="0" w:color="000000"/>
              <w:left w:val="single" w:sz="12" w:space="0" w:color="000000"/>
              <w:bottom w:val="single" w:sz="4" w:space="0" w:color="000000"/>
              <w:right w:val="single" w:sz="12" w:space="0" w:color="000000"/>
            </w:tcBorders>
          </w:tcPr>
          <w:p w14:paraId="12F9399B" w14:textId="77777777" w:rsidR="0094090C" w:rsidRDefault="0094090C" w:rsidP="0094090C">
            <w:pPr>
              <w:spacing w:after="0" w:line="259" w:lineRule="auto"/>
              <w:ind w:left="0" w:right="1" w:firstLine="0"/>
              <w:jc w:val="center"/>
            </w:pPr>
          </w:p>
        </w:tc>
        <w:tc>
          <w:tcPr>
            <w:tcW w:w="540" w:type="dxa"/>
            <w:tcBorders>
              <w:top w:val="single" w:sz="4" w:space="0" w:color="000000"/>
              <w:left w:val="single" w:sz="12" w:space="0" w:color="000000"/>
              <w:bottom w:val="single" w:sz="4" w:space="0" w:color="000000"/>
              <w:right w:val="single" w:sz="12" w:space="0" w:color="000000"/>
            </w:tcBorders>
          </w:tcPr>
          <w:p w14:paraId="7E239AEA" w14:textId="77777777" w:rsidR="0094090C" w:rsidRDefault="0094090C" w:rsidP="0094090C">
            <w:pPr>
              <w:spacing w:after="0" w:line="259" w:lineRule="auto"/>
              <w:ind w:left="0" w:right="0" w:firstLine="0"/>
              <w:jc w:val="center"/>
            </w:pPr>
          </w:p>
        </w:tc>
        <w:tc>
          <w:tcPr>
            <w:tcW w:w="917" w:type="dxa"/>
            <w:tcBorders>
              <w:top w:val="single" w:sz="4" w:space="0" w:color="000000"/>
              <w:left w:val="single" w:sz="12" w:space="0" w:color="000000"/>
              <w:bottom w:val="single" w:sz="4" w:space="0" w:color="000000"/>
              <w:right w:val="single" w:sz="12" w:space="0" w:color="000000"/>
            </w:tcBorders>
          </w:tcPr>
          <w:p w14:paraId="36FAF845" w14:textId="476B3E6E" w:rsidR="0094090C" w:rsidRDefault="0094090C" w:rsidP="0094090C">
            <w:pPr>
              <w:spacing w:after="0" w:line="259" w:lineRule="auto"/>
              <w:ind w:left="38" w:right="0" w:firstLine="0"/>
              <w:jc w:val="center"/>
              <w:rPr>
                <w:sz w:val="18"/>
              </w:rPr>
            </w:pPr>
            <w:r>
              <w:rPr>
                <w:sz w:val="18"/>
              </w:rPr>
              <w:t>8141B</w:t>
            </w:r>
          </w:p>
        </w:tc>
        <w:tc>
          <w:tcPr>
            <w:tcW w:w="793" w:type="dxa"/>
            <w:tcBorders>
              <w:top w:val="single" w:sz="4" w:space="0" w:color="000000"/>
              <w:left w:val="single" w:sz="12" w:space="0" w:color="000000"/>
              <w:bottom w:val="single" w:sz="4" w:space="0" w:color="000000"/>
              <w:right w:val="single" w:sz="12" w:space="0" w:color="000000"/>
            </w:tcBorders>
          </w:tcPr>
          <w:p w14:paraId="5513533F" w14:textId="77777777" w:rsidR="0094090C" w:rsidRDefault="0094090C" w:rsidP="0094090C">
            <w:pPr>
              <w:spacing w:after="0" w:line="259" w:lineRule="auto"/>
              <w:ind w:left="0" w:right="2" w:firstLine="0"/>
              <w:jc w:val="center"/>
              <w:rPr>
                <w:sz w:val="18"/>
              </w:rPr>
            </w:pPr>
          </w:p>
        </w:tc>
      </w:tr>
      <w:tr w:rsidR="0094090C" w14:paraId="03D885FE" w14:textId="77777777" w:rsidTr="005B6604">
        <w:trPr>
          <w:trHeight w:val="262"/>
        </w:trPr>
        <w:tc>
          <w:tcPr>
            <w:tcW w:w="3165" w:type="dxa"/>
            <w:tcBorders>
              <w:top w:val="single" w:sz="4" w:space="0" w:color="000000"/>
              <w:left w:val="single" w:sz="12" w:space="0" w:color="000000"/>
              <w:bottom w:val="single" w:sz="4" w:space="0" w:color="000000"/>
              <w:right w:val="single" w:sz="12" w:space="0" w:color="000000"/>
            </w:tcBorders>
          </w:tcPr>
          <w:p w14:paraId="5093EA44" w14:textId="2499217D" w:rsidR="0094090C" w:rsidRDefault="0094090C" w:rsidP="0094090C">
            <w:pPr>
              <w:spacing w:after="0" w:line="259" w:lineRule="auto"/>
              <w:ind w:left="0" w:right="0" w:firstLine="0"/>
              <w:rPr>
                <w:sz w:val="18"/>
              </w:rPr>
            </w:pPr>
            <w:r>
              <w:rPr>
                <w:sz w:val="18"/>
              </w:rPr>
              <w:t xml:space="preserve">Trichlorfon  </w:t>
            </w:r>
          </w:p>
        </w:tc>
        <w:tc>
          <w:tcPr>
            <w:tcW w:w="1194" w:type="dxa"/>
            <w:tcBorders>
              <w:top w:val="single" w:sz="4" w:space="0" w:color="000000"/>
              <w:left w:val="single" w:sz="12" w:space="0" w:color="000000"/>
              <w:bottom w:val="single" w:sz="4" w:space="0" w:color="000000"/>
              <w:right w:val="single" w:sz="12" w:space="0" w:color="000000"/>
            </w:tcBorders>
          </w:tcPr>
          <w:p w14:paraId="558F117D" w14:textId="21A68570" w:rsidR="0094090C" w:rsidRDefault="0094090C" w:rsidP="0094090C">
            <w:pPr>
              <w:spacing w:after="0" w:line="259" w:lineRule="auto"/>
              <w:ind w:left="0" w:right="44" w:firstLine="0"/>
              <w:jc w:val="center"/>
              <w:rPr>
                <w:sz w:val="18"/>
              </w:rPr>
            </w:pPr>
            <w:r>
              <w:rPr>
                <w:sz w:val="18"/>
              </w:rPr>
              <w:t>52-68-6</w:t>
            </w:r>
          </w:p>
        </w:tc>
        <w:tc>
          <w:tcPr>
            <w:tcW w:w="588" w:type="dxa"/>
            <w:tcBorders>
              <w:top w:val="single" w:sz="4" w:space="0" w:color="000000"/>
              <w:left w:val="single" w:sz="12" w:space="0" w:color="000000"/>
              <w:bottom w:val="single" w:sz="4" w:space="0" w:color="000000"/>
              <w:right w:val="single" w:sz="12" w:space="0" w:color="000000"/>
            </w:tcBorders>
          </w:tcPr>
          <w:p w14:paraId="6C9EB9A1" w14:textId="0C59E90A" w:rsidR="0094090C" w:rsidRDefault="0094090C" w:rsidP="0094090C">
            <w:pPr>
              <w:tabs>
                <w:tab w:val="right" w:pos="489"/>
              </w:tabs>
              <w:spacing w:after="0" w:line="259" w:lineRule="auto"/>
              <w:ind w:left="0" w:right="0" w:firstLine="0"/>
              <w:jc w:val="center"/>
              <w:rPr>
                <w:sz w:val="18"/>
              </w:rPr>
            </w:pPr>
            <w:r>
              <w:rPr>
                <w:sz w:val="18"/>
              </w:rPr>
              <w:t>20</w:t>
            </w:r>
          </w:p>
        </w:tc>
        <w:tc>
          <w:tcPr>
            <w:tcW w:w="714" w:type="dxa"/>
            <w:tcBorders>
              <w:top w:val="single" w:sz="4" w:space="0" w:color="000000"/>
              <w:left w:val="single" w:sz="12" w:space="0" w:color="000000"/>
              <w:bottom w:val="single" w:sz="4" w:space="0" w:color="000000"/>
              <w:right w:val="single" w:sz="12" w:space="0" w:color="000000"/>
            </w:tcBorders>
          </w:tcPr>
          <w:p w14:paraId="204451CC" w14:textId="704DE5D1" w:rsidR="0094090C" w:rsidRDefault="0094090C" w:rsidP="0094090C">
            <w:pPr>
              <w:spacing w:after="0" w:line="259" w:lineRule="auto"/>
              <w:ind w:left="0" w:right="48" w:firstLine="0"/>
              <w:jc w:val="center"/>
              <w:rPr>
                <w:sz w:val="18"/>
              </w:rPr>
            </w:pPr>
            <w:r>
              <w:rPr>
                <w:sz w:val="18"/>
              </w:rPr>
              <w:t>ug/L</w:t>
            </w:r>
          </w:p>
        </w:tc>
        <w:tc>
          <w:tcPr>
            <w:tcW w:w="811" w:type="dxa"/>
            <w:tcBorders>
              <w:top w:val="single" w:sz="4" w:space="0" w:color="000000"/>
              <w:left w:val="single" w:sz="12" w:space="0" w:color="000000"/>
              <w:bottom w:val="single" w:sz="4" w:space="0" w:color="000000"/>
              <w:right w:val="single" w:sz="12" w:space="0" w:color="000000"/>
            </w:tcBorders>
          </w:tcPr>
          <w:p w14:paraId="7802BFC5" w14:textId="7776842D" w:rsidR="0094090C" w:rsidRDefault="0094090C" w:rsidP="0094090C">
            <w:pPr>
              <w:spacing w:after="0" w:line="259" w:lineRule="auto"/>
              <w:ind w:left="0" w:right="0" w:firstLine="0"/>
              <w:jc w:val="center"/>
              <w:rPr>
                <w:sz w:val="18"/>
              </w:rPr>
            </w:pPr>
            <w:r>
              <w:rPr>
                <w:sz w:val="18"/>
              </w:rPr>
              <w:t>1300</w:t>
            </w:r>
          </w:p>
        </w:tc>
        <w:tc>
          <w:tcPr>
            <w:tcW w:w="711" w:type="dxa"/>
            <w:tcBorders>
              <w:top w:val="single" w:sz="4" w:space="0" w:color="000000"/>
              <w:left w:val="single" w:sz="12" w:space="0" w:color="000000"/>
              <w:bottom w:val="single" w:sz="4" w:space="0" w:color="000000"/>
              <w:right w:val="single" w:sz="12" w:space="0" w:color="000000"/>
            </w:tcBorders>
          </w:tcPr>
          <w:p w14:paraId="1C83DF68" w14:textId="18B998ED" w:rsidR="0094090C" w:rsidRDefault="0094090C" w:rsidP="0094090C">
            <w:pPr>
              <w:spacing w:after="0" w:line="259" w:lineRule="auto"/>
              <w:ind w:left="0" w:right="44" w:firstLine="0"/>
              <w:jc w:val="center"/>
              <w:rPr>
                <w:rFonts w:eastAsia="Segoe UI Symbol"/>
                <w:sz w:val="18"/>
              </w:rPr>
            </w:pPr>
            <w:r>
              <w:rPr>
                <w:rFonts w:eastAsia="Segoe UI Symbol"/>
                <w:sz w:val="18"/>
              </w:rPr>
              <w:t>u</w:t>
            </w:r>
            <w:r>
              <w:rPr>
                <w:sz w:val="18"/>
              </w:rPr>
              <w:t>g/kg</w:t>
            </w:r>
          </w:p>
        </w:tc>
        <w:tc>
          <w:tcPr>
            <w:tcW w:w="647" w:type="dxa"/>
            <w:tcBorders>
              <w:top w:val="single" w:sz="4" w:space="0" w:color="000000"/>
              <w:left w:val="single" w:sz="12" w:space="0" w:color="000000"/>
              <w:bottom w:val="single" w:sz="4" w:space="0" w:color="000000"/>
              <w:right w:val="single" w:sz="12" w:space="0" w:color="000000"/>
            </w:tcBorders>
          </w:tcPr>
          <w:p w14:paraId="0A1E4F8F" w14:textId="77777777" w:rsidR="0094090C" w:rsidRDefault="0094090C" w:rsidP="0094090C">
            <w:pPr>
              <w:spacing w:after="0" w:line="259" w:lineRule="auto"/>
              <w:ind w:left="0" w:right="0" w:firstLine="0"/>
              <w:jc w:val="center"/>
            </w:pPr>
          </w:p>
        </w:tc>
        <w:tc>
          <w:tcPr>
            <w:tcW w:w="540" w:type="dxa"/>
            <w:tcBorders>
              <w:top w:val="single" w:sz="4" w:space="0" w:color="000000"/>
              <w:left w:val="single" w:sz="12" w:space="0" w:color="000000"/>
              <w:bottom w:val="single" w:sz="4" w:space="0" w:color="000000"/>
              <w:right w:val="single" w:sz="12" w:space="0" w:color="000000"/>
            </w:tcBorders>
          </w:tcPr>
          <w:p w14:paraId="47DECBF5" w14:textId="77777777" w:rsidR="0094090C" w:rsidRDefault="0094090C" w:rsidP="0094090C">
            <w:pPr>
              <w:spacing w:after="0" w:line="259" w:lineRule="auto"/>
              <w:ind w:left="0" w:right="1" w:firstLine="0"/>
              <w:jc w:val="center"/>
            </w:pPr>
          </w:p>
        </w:tc>
        <w:tc>
          <w:tcPr>
            <w:tcW w:w="540" w:type="dxa"/>
            <w:tcBorders>
              <w:top w:val="single" w:sz="4" w:space="0" w:color="000000"/>
              <w:left w:val="single" w:sz="12" w:space="0" w:color="000000"/>
              <w:bottom w:val="single" w:sz="4" w:space="0" w:color="000000"/>
              <w:right w:val="single" w:sz="12" w:space="0" w:color="000000"/>
            </w:tcBorders>
          </w:tcPr>
          <w:p w14:paraId="494359E2" w14:textId="77777777" w:rsidR="0094090C" w:rsidRDefault="0094090C" w:rsidP="0094090C">
            <w:pPr>
              <w:spacing w:after="0" w:line="259" w:lineRule="auto"/>
              <w:ind w:left="0" w:right="0" w:firstLine="0"/>
              <w:jc w:val="center"/>
            </w:pPr>
          </w:p>
        </w:tc>
        <w:tc>
          <w:tcPr>
            <w:tcW w:w="917" w:type="dxa"/>
            <w:tcBorders>
              <w:top w:val="single" w:sz="4" w:space="0" w:color="000000"/>
              <w:left w:val="single" w:sz="12" w:space="0" w:color="000000"/>
              <w:bottom w:val="single" w:sz="4" w:space="0" w:color="000000"/>
              <w:right w:val="single" w:sz="12" w:space="0" w:color="000000"/>
            </w:tcBorders>
          </w:tcPr>
          <w:p w14:paraId="37DC11D0" w14:textId="232C8933" w:rsidR="0094090C" w:rsidRDefault="0094090C" w:rsidP="0094090C">
            <w:pPr>
              <w:spacing w:after="0" w:line="259" w:lineRule="auto"/>
              <w:ind w:left="38" w:right="0" w:firstLine="0"/>
              <w:jc w:val="center"/>
              <w:rPr>
                <w:sz w:val="18"/>
              </w:rPr>
            </w:pPr>
            <w:r>
              <w:rPr>
                <w:sz w:val="18"/>
              </w:rPr>
              <w:t>8141B</w:t>
            </w:r>
          </w:p>
        </w:tc>
        <w:tc>
          <w:tcPr>
            <w:tcW w:w="793" w:type="dxa"/>
            <w:tcBorders>
              <w:top w:val="single" w:sz="4" w:space="0" w:color="000000"/>
              <w:left w:val="single" w:sz="12" w:space="0" w:color="000000"/>
              <w:bottom w:val="single" w:sz="4" w:space="0" w:color="000000"/>
              <w:right w:val="single" w:sz="12" w:space="0" w:color="000000"/>
            </w:tcBorders>
          </w:tcPr>
          <w:p w14:paraId="10A422D2" w14:textId="7E983FD7" w:rsidR="0094090C" w:rsidRDefault="0094090C" w:rsidP="0094090C">
            <w:pPr>
              <w:spacing w:after="0" w:line="259" w:lineRule="auto"/>
              <w:ind w:left="0" w:right="2" w:firstLine="0"/>
              <w:jc w:val="center"/>
              <w:rPr>
                <w:sz w:val="18"/>
              </w:rPr>
            </w:pPr>
            <w:r>
              <w:rPr>
                <w:sz w:val="18"/>
              </w:rPr>
              <w:t>8321B</w:t>
            </w:r>
          </w:p>
        </w:tc>
      </w:tr>
      <w:tr w:rsidR="0094090C" w14:paraId="540F2F27" w14:textId="77777777" w:rsidTr="005B6604">
        <w:trPr>
          <w:trHeight w:val="262"/>
        </w:trPr>
        <w:tc>
          <w:tcPr>
            <w:tcW w:w="3165" w:type="dxa"/>
            <w:tcBorders>
              <w:top w:val="single" w:sz="4" w:space="0" w:color="000000"/>
              <w:left w:val="single" w:sz="12" w:space="0" w:color="000000"/>
              <w:bottom w:val="single" w:sz="4" w:space="0" w:color="000000"/>
              <w:right w:val="single" w:sz="12" w:space="0" w:color="000000"/>
            </w:tcBorders>
          </w:tcPr>
          <w:p w14:paraId="76AED02E" w14:textId="6590DB2F" w:rsidR="0094090C" w:rsidRDefault="0094090C" w:rsidP="0094090C">
            <w:pPr>
              <w:spacing w:after="0" w:line="259" w:lineRule="auto"/>
              <w:ind w:left="0" w:right="0" w:firstLine="0"/>
              <w:rPr>
                <w:sz w:val="18"/>
              </w:rPr>
            </w:pPr>
            <w:proofErr w:type="spellStart"/>
            <w:r>
              <w:rPr>
                <w:sz w:val="18"/>
              </w:rPr>
              <w:t>Trichloronate</w:t>
            </w:r>
            <w:proofErr w:type="spellEnd"/>
            <w:r>
              <w:rPr>
                <w:sz w:val="18"/>
              </w:rPr>
              <w:t xml:space="preserve"> </w:t>
            </w:r>
          </w:p>
        </w:tc>
        <w:tc>
          <w:tcPr>
            <w:tcW w:w="1194" w:type="dxa"/>
            <w:tcBorders>
              <w:top w:val="single" w:sz="4" w:space="0" w:color="000000"/>
              <w:left w:val="single" w:sz="12" w:space="0" w:color="000000"/>
              <w:bottom w:val="single" w:sz="4" w:space="0" w:color="000000"/>
              <w:right w:val="single" w:sz="12" w:space="0" w:color="000000"/>
            </w:tcBorders>
          </w:tcPr>
          <w:p w14:paraId="2B75749D" w14:textId="0135891F" w:rsidR="0094090C" w:rsidRDefault="0094090C" w:rsidP="0094090C">
            <w:pPr>
              <w:spacing w:after="0" w:line="259" w:lineRule="auto"/>
              <w:ind w:left="0" w:right="44" w:firstLine="0"/>
              <w:jc w:val="center"/>
              <w:rPr>
                <w:sz w:val="18"/>
              </w:rPr>
            </w:pPr>
            <w:r>
              <w:rPr>
                <w:sz w:val="18"/>
              </w:rPr>
              <w:t>327-98-0</w:t>
            </w:r>
          </w:p>
        </w:tc>
        <w:tc>
          <w:tcPr>
            <w:tcW w:w="588" w:type="dxa"/>
            <w:tcBorders>
              <w:top w:val="single" w:sz="4" w:space="0" w:color="000000"/>
              <w:left w:val="single" w:sz="12" w:space="0" w:color="000000"/>
              <w:bottom w:val="single" w:sz="4" w:space="0" w:color="000000"/>
              <w:right w:val="single" w:sz="12" w:space="0" w:color="000000"/>
            </w:tcBorders>
          </w:tcPr>
          <w:p w14:paraId="54078745" w14:textId="7DDA2514" w:rsidR="0094090C" w:rsidRDefault="0094090C" w:rsidP="0094090C">
            <w:pPr>
              <w:tabs>
                <w:tab w:val="right" w:pos="489"/>
              </w:tabs>
              <w:spacing w:after="0" w:line="259" w:lineRule="auto"/>
              <w:ind w:left="0" w:right="0" w:firstLine="0"/>
              <w:jc w:val="center"/>
              <w:rPr>
                <w:sz w:val="18"/>
              </w:rPr>
            </w:pPr>
            <w:r>
              <w:rPr>
                <w:sz w:val="18"/>
              </w:rPr>
              <w:t>5</w:t>
            </w:r>
          </w:p>
        </w:tc>
        <w:tc>
          <w:tcPr>
            <w:tcW w:w="714" w:type="dxa"/>
            <w:tcBorders>
              <w:top w:val="single" w:sz="4" w:space="0" w:color="000000"/>
              <w:left w:val="single" w:sz="12" w:space="0" w:color="000000"/>
              <w:bottom w:val="single" w:sz="4" w:space="0" w:color="000000"/>
              <w:right w:val="single" w:sz="12" w:space="0" w:color="000000"/>
            </w:tcBorders>
          </w:tcPr>
          <w:p w14:paraId="3FDD52E9" w14:textId="34CD60A9" w:rsidR="0094090C" w:rsidRDefault="0094090C" w:rsidP="0094090C">
            <w:pPr>
              <w:spacing w:after="0" w:line="259" w:lineRule="auto"/>
              <w:ind w:left="0" w:right="48" w:firstLine="0"/>
              <w:jc w:val="center"/>
              <w:rPr>
                <w:sz w:val="18"/>
              </w:rPr>
            </w:pPr>
            <w:r>
              <w:rPr>
                <w:sz w:val="18"/>
              </w:rPr>
              <w:t>ug/L</w:t>
            </w:r>
          </w:p>
        </w:tc>
        <w:tc>
          <w:tcPr>
            <w:tcW w:w="811" w:type="dxa"/>
            <w:tcBorders>
              <w:top w:val="single" w:sz="4" w:space="0" w:color="000000"/>
              <w:left w:val="single" w:sz="12" w:space="0" w:color="000000"/>
              <w:bottom w:val="single" w:sz="4" w:space="0" w:color="000000"/>
              <w:right w:val="single" w:sz="12" w:space="0" w:color="000000"/>
            </w:tcBorders>
          </w:tcPr>
          <w:p w14:paraId="28C27D40" w14:textId="46020418" w:rsidR="0094090C" w:rsidRDefault="0094090C" w:rsidP="0094090C">
            <w:pPr>
              <w:spacing w:after="0" w:line="259" w:lineRule="auto"/>
              <w:ind w:left="0" w:right="0" w:firstLine="0"/>
              <w:jc w:val="center"/>
              <w:rPr>
                <w:sz w:val="18"/>
              </w:rPr>
            </w:pPr>
            <w:r>
              <w:rPr>
                <w:sz w:val="18"/>
              </w:rPr>
              <w:t>330</w:t>
            </w:r>
          </w:p>
        </w:tc>
        <w:tc>
          <w:tcPr>
            <w:tcW w:w="711" w:type="dxa"/>
            <w:tcBorders>
              <w:top w:val="single" w:sz="4" w:space="0" w:color="000000"/>
              <w:left w:val="single" w:sz="12" w:space="0" w:color="000000"/>
              <w:bottom w:val="single" w:sz="4" w:space="0" w:color="000000"/>
              <w:right w:val="single" w:sz="12" w:space="0" w:color="000000"/>
            </w:tcBorders>
          </w:tcPr>
          <w:p w14:paraId="484BDA77" w14:textId="5663D83F" w:rsidR="0094090C" w:rsidRDefault="0094090C" w:rsidP="0094090C">
            <w:pPr>
              <w:spacing w:after="0" w:line="259" w:lineRule="auto"/>
              <w:ind w:left="0" w:right="44" w:firstLine="0"/>
              <w:jc w:val="center"/>
              <w:rPr>
                <w:rFonts w:eastAsia="Segoe UI Symbol"/>
                <w:sz w:val="18"/>
              </w:rPr>
            </w:pPr>
            <w:r>
              <w:rPr>
                <w:rFonts w:eastAsia="Segoe UI Symbol"/>
                <w:sz w:val="18"/>
              </w:rPr>
              <w:t>u</w:t>
            </w:r>
            <w:r>
              <w:rPr>
                <w:sz w:val="18"/>
              </w:rPr>
              <w:t>g/kg</w:t>
            </w:r>
          </w:p>
        </w:tc>
        <w:tc>
          <w:tcPr>
            <w:tcW w:w="647" w:type="dxa"/>
            <w:tcBorders>
              <w:top w:val="single" w:sz="4" w:space="0" w:color="000000"/>
              <w:left w:val="single" w:sz="12" w:space="0" w:color="000000"/>
              <w:bottom w:val="single" w:sz="4" w:space="0" w:color="000000"/>
              <w:right w:val="single" w:sz="12" w:space="0" w:color="000000"/>
            </w:tcBorders>
          </w:tcPr>
          <w:p w14:paraId="2108D562" w14:textId="77777777" w:rsidR="0094090C" w:rsidRDefault="0094090C" w:rsidP="0094090C">
            <w:pPr>
              <w:spacing w:after="0" w:line="259" w:lineRule="auto"/>
              <w:ind w:left="0" w:right="0" w:firstLine="0"/>
              <w:jc w:val="center"/>
            </w:pPr>
          </w:p>
        </w:tc>
        <w:tc>
          <w:tcPr>
            <w:tcW w:w="540" w:type="dxa"/>
            <w:tcBorders>
              <w:top w:val="single" w:sz="4" w:space="0" w:color="000000"/>
              <w:left w:val="single" w:sz="12" w:space="0" w:color="000000"/>
              <w:bottom w:val="single" w:sz="4" w:space="0" w:color="000000"/>
              <w:right w:val="single" w:sz="12" w:space="0" w:color="000000"/>
            </w:tcBorders>
          </w:tcPr>
          <w:p w14:paraId="6AEED562" w14:textId="77777777" w:rsidR="0094090C" w:rsidRDefault="0094090C" w:rsidP="0094090C">
            <w:pPr>
              <w:spacing w:after="0" w:line="259" w:lineRule="auto"/>
              <w:ind w:left="0" w:right="1" w:firstLine="0"/>
              <w:jc w:val="center"/>
            </w:pPr>
          </w:p>
        </w:tc>
        <w:tc>
          <w:tcPr>
            <w:tcW w:w="540" w:type="dxa"/>
            <w:tcBorders>
              <w:top w:val="single" w:sz="4" w:space="0" w:color="000000"/>
              <w:left w:val="single" w:sz="12" w:space="0" w:color="000000"/>
              <w:bottom w:val="single" w:sz="4" w:space="0" w:color="000000"/>
              <w:right w:val="single" w:sz="12" w:space="0" w:color="000000"/>
            </w:tcBorders>
          </w:tcPr>
          <w:p w14:paraId="677D0710" w14:textId="77777777" w:rsidR="0094090C" w:rsidRDefault="0094090C" w:rsidP="0094090C">
            <w:pPr>
              <w:spacing w:after="0" w:line="259" w:lineRule="auto"/>
              <w:ind w:left="0" w:right="0" w:firstLine="0"/>
              <w:jc w:val="center"/>
            </w:pPr>
          </w:p>
        </w:tc>
        <w:tc>
          <w:tcPr>
            <w:tcW w:w="917" w:type="dxa"/>
            <w:tcBorders>
              <w:top w:val="single" w:sz="4" w:space="0" w:color="000000"/>
              <w:left w:val="single" w:sz="12" w:space="0" w:color="000000"/>
              <w:bottom w:val="single" w:sz="4" w:space="0" w:color="000000"/>
              <w:right w:val="single" w:sz="12" w:space="0" w:color="000000"/>
            </w:tcBorders>
          </w:tcPr>
          <w:p w14:paraId="4284D165" w14:textId="4F6BC652" w:rsidR="0094090C" w:rsidRDefault="0094090C" w:rsidP="0094090C">
            <w:pPr>
              <w:spacing w:after="0" w:line="259" w:lineRule="auto"/>
              <w:ind w:left="38" w:right="0" w:firstLine="0"/>
              <w:jc w:val="center"/>
              <w:rPr>
                <w:sz w:val="18"/>
              </w:rPr>
            </w:pPr>
            <w:r>
              <w:rPr>
                <w:sz w:val="18"/>
              </w:rPr>
              <w:t>8141B</w:t>
            </w:r>
          </w:p>
        </w:tc>
        <w:tc>
          <w:tcPr>
            <w:tcW w:w="793" w:type="dxa"/>
            <w:tcBorders>
              <w:top w:val="single" w:sz="4" w:space="0" w:color="000000"/>
              <w:left w:val="single" w:sz="12" w:space="0" w:color="000000"/>
              <w:bottom w:val="single" w:sz="4" w:space="0" w:color="000000"/>
              <w:right w:val="single" w:sz="12" w:space="0" w:color="000000"/>
            </w:tcBorders>
          </w:tcPr>
          <w:p w14:paraId="7C61EEB2" w14:textId="77777777" w:rsidR="0094090C" w:rsidRDefault="0094090C" w:rsidP="0094090C">
            <w:pPr>
              <w:spacing w:after="0" w:line="259" w:lineRule="auto"/>
              <w:ind w:left="0" w:right="2" w:firstLine="0"/>
              <w:jc w:val="center"/>
              <w:rPr>
                <w:sz w:val="18"/>
              </w:rPr>
            </w:pPr>
          </w:p>
        </w:tc>
      </w:tr>
      <w:tr w:rsidR="0094090C" w14:paraId="523AFBB3" w14:textId="77777777" w:rsidTr="005B6604">
        <w:trPr>
          <w:trHeight w:val="262"/>
        </w:trPr>
        <w:tc>
          <w:tcPr>
            <w:tcW w:w="3165" w:type="dxa"/>
            <w:tcBorders>
              <w:top w:val="single" w:sz="4" w:space="0" w:color="000000"/>
              <w:left w:val="single" w:sz="12" w:space="0" w:color="000000"/>
              <w:bottom w:val="single" w:sz="12" w:space="0" w:color="000000"/>
              <w:right w:val="single" w:sz="12" w:space="0" w:color="000000"/>
            </w:tcBorders>
          </w:tcPr>
          <w:p w14:paraId="4E01CB82" w14:textId="3BD6E755" w:rsidR="0094090C" w:rsidRDefault="0094090C" w:rsidP="0094090C">
            <w:pPr>
              <w:spacing w:after="0" w:line="259" w:lineRule="auto"/>
              <w:ind w:left="0" w:right="0" w:firstLine="0"/>
              <w:rPr>
                <w:sz w:val="18"/>
              </w:rPr>
            </w:pPr>
            <w:r>
              <w:rPr>
                <w:sz w:val="18"/>
              </w:rPr>
              <w:t xml:space="preserve">Tri-o-cresyl phosphate </w:t>
            </w:r>
            <w:r>
              <w:rPr>
                <w:i/>
                <w:sz w:val="18"/>
              </w:rPr>
              <w:t>(TOCP</w:t>
            </w:r>
            <w:r>
              <w:rPr>
                <w:sz w:val="18"/>
              </w:rPr>
              <w:t xml:space="preserve">)  </w:t>
            </w:r>
          </w:p>
        </w:tc>
        <w:tc>
          <w:tcPr>
            <w:tcW w:w="1194" w:type="dxa"/>
            <w:tcBorders>
              <w:top w:val="single" w:sz="4" w:space="0" w:color="000000"/>
              <w:left w:val="single" w:sz="12" w:space="0" w:color="000000"/>
              <w:bottom w:val="single" w:sz="12" w:space="0" w:color="000000"/>
              <w:right w:val="single" w:sz="12" w:space="0" w:color="000000"/>
            </w:tcBorders>
          </w:tcPr>
          <w:p w14:paraId="35E913EB" w14:textId="3E757189" w:rsidR="0094090C" w:rsidRDefault="0094090C" w:rsidP="0094090C">
            <w:pPr>
              <w:spacing w:after="0" w:line="259" w:lineRule="auto"/>
              <w:ind w:left="0" w:right="44" w:firstLine="0"/>
              <w:jc w:val="center"/>
              <w:rPr>
                <w:sz w:val="18"/>
              </w:rPr>
            </w:pPr>
            <w:r>
              <w:rPr>
                <w:sz w:val="18"/>
              </w:rPr>
              <w:t>78-30-8</w:t>
            </w:r>
          </w:p>
        </w:tc>
        <w:tc>
          <w:tcPr>
            <w:tcW w:w="588" w:type="dxa"/>
            <w:tcBorders>
              <w:top w:val="single" w:sz="4" w:space="0" w:color="000000"/>
              <w:left w:val="single" w:sz="12" w:space="0" w:color="000000"/>
              <w:bottom w:val="single" w:sz="12" w:space="0" w:color="000000"/>
              <w:right w:val="single" w:sz="12" w:space="0" w:color="000000"/>
            </w:tcBorders>
          </w:tcPr>
          <w:p w14:paraId="49ADE21B" w14:textId="3A915D73" w:rsidR="0094090C" w:rsidRDefault="0094090C" w:rsidP="0094090C">
            <w:pPr>
              <w:tabs>
                <w:tab w:val="right" w:pos="489"/>
              </w:tabs>
              <w:spacing w:after="0" w:line="259" w:lineRule="auto"/>
              <w:ind w:left="0" w:right="0" w:firstLine="0"/>
              <w:jc w:val="center"/>
              <w:rPr>
                <w:sz w:val="18"/>
              </w:rPr>
            </w:pPr>
            <w:r>
              <w:rPr>
                <w:sz w:val="18"/>
              </w:rPr>
              <w:t>20</w:t>
            </w:r>
          </w:p>
        </w:tc>
        <w:tc>
          <w:tcPr>
            <w:tcW w:w="714" w:type="dxa"/>
            <w:tcBorders>
              <w:top w:val="single" w:sz="4" w:space="0" w:color="000000"/>
              <w:left w:val="single" w:sz="12" w:space="0" w:color="000000"/>
              <w:bottom w:val="single" w:sz="12" w:space="0" w:color="000000"/>
              <w:right w:val="single" w:sz="12" w:space="0" w:color="000000"/>
            </w:tcBorders>
          </w:tcPr>
          <w:p w14:paraId="2EC80771" w14:textId="75BAE5F5" w:rsidR="0094090C" w:rsidRDefault="0094090C" w:rsidP="0094090C">
            <w:pPr>
              <w:spacing w:after="0" w:line="259" w:lineRule="auto"/>
              <w:ind w:left="0" w:right="48" w:firstLine="0"/>
              <w:jc w:val="center"/>
              <w:rPr>
                <w:sz w:val="18"/>
              </w:rPr>
            </w:pPr>
            <w:r>
              <w:rPr>
                <w:sz w:val="18"/>
              </w:rPr>
              <w:t>ug/L</w:t>
            </w:r>
          </w:p>
        </w:tc>
        <w:tc>
          <w:tcPr>
            <w:tcW w:w="811" w:type="dxa"/>
            <w:tcBorders>
              <w:top w:val="single" w:sz="4" w:space="0" w:color="000000"/>
              <w:left w:val="single" w:sz="12" w:space="0" w:color="000000"/>
              <w:bottom w:val="single" w:sz="12" w:space="0" w:color="000000"/>
              <w:right w:val="single" w:sz="12" w:space="0" w:color="000000"/>
            </w:tcBorders>
          </w:tcPr>
          <w:p w14:paraId="4AD24787" w14:textId="1E14D866" w:rsidR="0094090C" w:rsidRDefault="0094090C" w:rsidP="0094090C">
            <w:pPr>
              <w:spacing w:after="0" w:line="259" w:lineRule="auto"/>
              <w:ind w:left="0" w:right="0" w:firstLine="0"/>
              <w:jc w:val="center"/>
              <w:rPr>
                <w:sz w:val="18"/>
              </w:rPr>
            </w:pPr>
            <w:r>
              <w:rPr>
                <w:sz w:val="18"/>
              </w:rPr>
              <w:t>1300</w:t>
            </w:r>
          </w:p>
        </w:tc>
        <w:tc>
          <w:tcPr>
            <w:tcW w:w="711" w:type="dxa"/>
            <w:tcBorders>
              <w:top w:val="single" w:sz="4" w:space="0" w:color="000000"/>
              <w:left w:val="single" w:sz="12" w:space="0" w:color="000000"/>
              <w:bottom w:val="single" w:sz="12" w:space="0" w:color="000000"/>
              <w:right w:val="single" w:sz="12" w:space="0" w:color="000000"/>
            </w:tcBorders>
          </w:tcPr>
          <w:p w14:paraId="000ED8D8" w14:textId="20BE8637" w:rsidR="0094090C" w:rsidRDefault="0094090C" w:rsidP="0094090C">
            <w:pPr>
              <w:spacing w:after="0" w:line="259" w:lineRule="auto"/>
              <w:ind w:left="0" w:right="44" w:firstLine="0"/>
              <w:jc w:val="center"/>
              <w:rPr>
                <w:rFonts w:eastAsia="Segoe UI Symbol"/>
                <w:sz w:val="18"/>
              </w:rPr>
            </w:pPr>
            <w:r>
              <w:rPr>
                <w:rFonts w:eastAsia="Segoe UI Symbol"/>
                <w:sz w:val="18"/>
              </w:rPr>
              <w:t>u</w:t>
            </w:r>
            <w:r>
              <w:rPr>
                <w:sz w:val="18"/>
              </w:rPr>
              <w:t>g/kg</w:t>
            </w:r>
          </w:p>
        </w:tc>
        <w:tc>
          <w:tcPr>
            <w:tcW w:w="647" w:type="dxa"/>
            <w:tcBorders>
              <w:top w:val="single" w:sz="4" w:space="0" w:color="000000"/>
              <w:left w:val="single" w:sz="12" w:space="0" w:color="000000"/>
              <w:bottom w:val="single" w:sz="12" w:space="0" w:color="000000"/>
              <w:right w:val="single" w:sz="12" w:space="0" w:color="000000"/>
            </w:tcBorders>
          </w:tcPr>
          <w:p w14:paraId="54A17EEE" w14:textId="77777777" w:rsidR="0094090C" w:rsidRDefault="0094090C" w:rsidP="0094090C">
            <w:pPr>
              <w:spacing w:after="0" w:line="259" w:lineRule="auto"/>
              <w:ind w:left="0" w:right="0" w:firstLine="0"/>
              <w:jc w:val="center"/>
            </w:pPr>
          </w:p>
        </w:tc>
        <w:tc>
          <w:tcPr>
            <w:tcW w:w="540" w:type="dxa"/>
            <w:tcBorders>
              <w:top w:val="single" w:sz="4" w:space="0" w:color="000000"/>
              <w:left w:val="single" w:sz="12" w:space="0" w:color="000000"/>
              <w:bottom w:val="single" w:sz="12" w:space="0" w:color="000000"/>
              <w:right w:val="single" w:sz="12" w:space="0" w:color="000000"/>
            </w:tcBorders>
          </w:tcPr>
          <w:p w14:paraId="528F4D99" w14:textId="77777777" w:rsidR="0094090C" w:rsidRDefault="0094090C" w:rsidP="0094090C">
            <w:pPr>
              <w:spacing w:after="0" w:line="259" w:lineRule="auto"/>
              <w:ind w:left="0" w:right="1" w:firstLine="0"/>
              <w:jc w:val="center"/>
            </w:pPr>
          </w:p>
        </w:tc>
        <w:tc>
          <w:tcPr>
            <w:tcW w:w="540" w:type="dxa"/>
            <w:tcBorders>
              <w:top w:val="single" w:sz="4" w:space="0" w:color="000000"/>
              <w:left w:val="single" w:sz="12" w:space="0" w:color="000000"/>
              <w:bottom w:val="single" w:sz="12" w:space="0" w:color="000000"/>
              <w:right w:val="single" w:sz="12" w:space="0" w:color="000000"/>
            </w:tcBorders>
          </w:tcPr>
          <w:p w14:paraId="5EA0C597" w14:textId="77777777" w:rsidR="0094090C" w:rsidRDefault="0094090C" w:rsidP="0094090C">
            <w:pPr>
              <w:spacing w:after="0" w:line="259" w:lineRule="auto"/>
              <w:ind w:left="0" w:right="0" w:firstLine="0"/>
              <w:jc w:val="center"/>
            </w:pPr>
          </w:p>
        </w:tc>
        <w:tc>
          <w:tcPr>
            <w:tcW w:w="917" w:type="dxa"/>
            <w:tcBorders>
              <w:top w:val="single" w:sz="4" w:space="0" w:color="000000"/>
              <w:left w:val="single" w:sz="12" w:space="0" w:color="000000"/>
              <w:bottom w:val="single" w:sz="12" w:space="0" w:color="000000"/>
              <w:right w:val="single" w:sz="12" w:space="0" w:color="000000"/>
            </w:tcBorders>
          </w:tcPr>
          <w:p w14:paraId="58C917FB" w14:textId="482FB88F" w:rsidR="0094090C" w:rsidRDefault="0094090C" w:rsidP="0094090C">
            <w:pPr>
              <w:spacing w:after="0" w:line="259" w:lineRule="auto"/>
              <w:ind w:left="38" w:right="0" w:firstLine="0"/>
              <w:jc w:val="center"/>
              <w:rPr>
                <w:sz w:val="18"/>
              </w:rPr>
            </w:pPr>
            <w:r>
              <w:rPr>
                <w:sz w:val="18"/>
              </w:rPr>
              <w:t>8141B</w:t>
            </w:r>
          </w:p>
        </w:tc>
        <w:tc>
          <w:tcPr>
            <w:tcW w:w="793" w:type="dxa"/>
            <w:tcBorders>
              <w:top w:val="single" w:sz="4" w:space="0" w:color="000000"/>
              <w:left w:val="single" w:sz="12" w:space="0" w:color="000000"/>
              <w:bottom w:val="single" w:sz="12" w:space="0" w:color="000000"/>
              <w:right w:val="single" w:sz="12" w:space="0" w:color="000000"/>
            </w:tcBorders>
          </w:tcPr>
          <w:p w14:paraId="35A9E821" w14:textId="77777777" w:rsidR="0094090C" w:rsidRDefault="0094090C" w:rsidP="0094090C">
            <w:pPr>
              <w:spacing w:after="0" w:line="259" w:lineRule="auto"/>
              <w:ind w:left="0" w:right="2" w:firstLine="0"/>
              <w:jc w:val="center"/>
              <w:rPr>
                <w:sz w:val="18"/>
              </w:rPr>
            </w:pPr>
          </w:p>
        </w:tc>
      </w:tr>
    </w:tbl>
    <w:p w14:paraId="60190C2D" w14:textId="77777777" w:rsidR="00AF6D5A" w:rsidRPr="003D53BF" w:rsidRDefault="00AF6D5A" w:rsidP="007E29E8">
      <w:pPr>
        <w:spacing w:after="0" w:line="240" w:lineRule="auto"/>
        <w:ind w:left="0" w:right="0" w:firstLine="0"/>
      </w:pPr>
    </w:p>
    <w:tbl>
      <w:tblPr>
        <w:tblStyle w:val="TableGrid1"/>
        <w:tblW w:w="10620" w:type="dxa"/>
        <w:tblInd w:w="-375" w:type="dxa"/>
        <w:tblCellMar>
          <w:top w:w="15" w:type="dxa"/>
          <w:left w:w="72" w:type="dxa"/>
          <w:right w:w="27" w:type="dxa"/>
        </w:tblCellMar>
        <w:tblLook w:val="04A0" w:firstRow="1" w:lastRow="0" w:firstColumn="1" w:lastColumn="0" w:noHBand="0" w:noVBand="1"/>
      </w:tblPr>
      <w:tblGrid>
        <w:gridCol w:w="3167"/>
        <w:gridCol w:w="1195"/>
        <w:gridCol w:w="588"/>
        <w:gridCol w:w="714"/>
        <w:gridCol w:w="811"/>
        <w:gridCol w:w="711"/>
        <w:gridCol w:w="639"/>
        <w:gridCol w:w="545"/>
        <w:gridCol w:w="454"/>
        <w:gridCol w:w="1003"/>
        <w:gridCol w:w="793"/>
      </w:tblGrid>
      <w:tr w:rsidR="00437E83" w14:paraId="7DEB0D6E" w14:textId="77777777" w:rsidTr="005B6604">
        <w:trPr>
          <w:trHeight w:val="306"/>
          <w:tblHeader/>
        </w:trPr>
        <w:tc>
          <w:tcPr>
            <w:tcW w:w="10620" w:type="dxa"/>
            <w:gridSpan w:val="11"/>
            <w:tcBorders>
              <w:top w:val="single" w:sz="12" w:space="0" w:color="000000"/>
              <w:left w:val="single" w:sz="12" w:space="0" w:color="000000"/>
              <w:bottom w:val="single" w:sz="12" w:space="0" w:color="000000"/>
              <w:right w:val="single" w:sz="12" w:space="0" w:color="000000"/>
            </w:tcBorders>
            <w:vAlign w:val="center"/>
          </w:tcPr>
          <w:p w14:paraId="1B5DF0C9" w14:textId="72B9FFF2" w:rsidR="00437E83" w:rsidRDefault="00437E83" w:rsidP="00240D54">
            <w:pPr>
              <w:spacing w:after="0" w:line="259" w:lineRule="auto"/>
              <w:ind w:left="0" w:right="0" w:firstLine="0"/>
            </w:pPr>
            <w:r>
              <w:rPr>
                <w:b/>
                <w:sz w:val="18"/>
              </w:rPr>
              <w:t>SW-846 SAS Group F</w:t>
            </w:r>
            <w:proofErr w:type="gramStart"/>
            <w:r>
              <w:rPr>
                <w:b/>
                <w:sz w:val="18"/>
              </w:rPr>
              <w:t>:  Additional</w:t>
            </w:r>
            <w:proofErr w:type="gramEnd"/>
            <w:r>
              <w:rPr>
                <w:b/>
                <w:sz w:val="18"/>
              </w:rPr>
              <w:t xml:space="preserve"> Organochlorine Pesticides </w:t>
            </w:r>
          </w:p>
        </w:tc>
      </w:tr>
      <w:tr w:rsidR="00B56D50" w14:paraId="2005D201" w14:textId="77777777" w:rsidTr="005B6604">
        <w:trPr>
          <w:trHeight w:val="271"/>
          <w:tblHeader/>
        </w:trPr>
        <w:tc>
          <w:tcPr>
            <w:tcW w:w="3167" w:type="dxa"/>
            <w:vMerge w:val="restart"/>
            <w:tcBorders>
              <w:top w:val="single" w:sz="12" w:space="0" w:color="000000"/>
              <w:left w:val="single" w:sz="12" w:space="0" w:color="000000"/>
              <w:bottom w:val="single" w:sz="12" w:space="0" w:color="000000"/>
              <w:right w:val="single" w:sz="12" w:space="0" w:color="000000"/>
            </w:tcBorders>
            <w:vAlign w:val="center"/>
          </w:tcPr>
          <w:p w14:paraId="3D6F40ED" w14:textId="0CDE3B52" w:rsidR="00B56D50" w:rsidRDefault="001C3C42" w:rsidP="00240D54">
            <w:pPr>
              <w:spacing w:after="0" w:line="259" w:lineRule="auto"/>
              <w:ind w:left="0" w:right="46" w:firstLine="0"/>
              <w:jc w:val="center"/>
            </w:pPr>
            <w:r>
              <w:rPr>
                <w:b/>
                <w:sz w:val="18"/>
              </w:rPr>
              <w:t>Analyte</w:t>
            </w:r>
          </w:p>
        </w:tc>
        <w:tc>
          <w:tcPr>
            <w:tcW w:w="1195" w:type="dxa"/>
            <w:vMerge w:val="restart"/>
            <w:tcBorders>
              <w:top w:val="single" w:sz="12" w:space="0" w:color="000000"/>
              <w:left w:val="single" w:sz="12" w:space="0" w:color="000000"/>
              <w:bottom w:val="single" w:sz="12" w:space="0" w:color="000000"/>
              <w:right w:val="single" w:sz="12" w:space="0" w:color="000000"/>
            </w:tcBorders>
            <w:vAlign w:val="center"/>
          </w:tcPr>
          <w:p w14:paraId="701AA99F" w14:textId="44967302" w:rsidR="00B56D50" w:rsidRDefault="001C3C42" w:rsidP="00240D54">
            <w:pPr>
              <w:spacing w:after="0" w:line="259" w:lineRule="auto"/>
              <w:ind w:left="34" w:right="36" w:firstLine="0"/>
              <w:jc w:val="center"/>
            </w:pPr>
            <w:r>
              <w:rPr>
                <w:b/>
                <w:sz w:val="18"/>
              </w:rPr>
              <w:t>CAS Number</w:t>
            </w:r>
          </w:p>
        </w:tc>
        <w:tc>
          <w:tcPr>
            <w:tcW w:w="1302" w:type="dxa"/>
            <w:gridSpan w:val="2"/>
            <w:tcBorders>
              <w:top w:val="single" w:sz="12" w:space="0" w:color="000000"/>
              <w:left w:val="single" w:sz="12" w:space="0" w:color="000000"/>
              <w:bottom w:val="single" w:sz="12" w:space="0" w:color="000000"/>
              <w:right w:val="single" w:sz="12" w:space="0" w:color="000000"/>
            </w:tcBorders>
            <w:vAlign w:val="center"/>
          </w:tcPr>
          <w:p w14:paraId="49EA3DAF" w14:textId="5AC6F2BC" w:rsidR="00B56D50" w:rsidRDefault="001C3C42" w:rsidP="00240D54">
            <w:pPr>
              <w:spacing w:after="0" w:line="259" w:lineRule="auto"/>
              <w:ind w:left="0" w:right="47" w:firstLine="0"/>
              <w:jc w:val="center"/>
            </w:pPr>
            <w:r>
              <w:rPr>
                <w:b/>
                <w:sz w:val="18"/>
              </w:rPr>
              <w:t>Aqueous</w:t>
            </w:r>
          </w:p>
        </w:tc>
        <w:tc>
          <w:tcPr>
            <w:tcW w:w="1522" w:type="dxa"/>
            <w:gridSpan w:val="2"/>
            <w:tcBorders>
              <w:top w:val="single" w:sz="12" w:space="0" w:color="000000"/>
              <w:left w:val="single" w:sz="12" w:space="0" w:color="000000"/>
              <w:bottom w:val="single" w:sz="12" w:space="0" w:color="000000"/>
              <w:right w:val="single" w:sz="12" w:space="0" w:color="000000"/>
            </w:tcBorders>
            <w:vAlign w:val="center"/>
          </w:tcPr>
          <w:p w14:paraId="3A4D4568" w14:textId="1D5AFC6D" w:rsidR="00B56D50" w:rsidRDefault="001C3C42" w:rsidP="00240D54">
            <w:pPr>
              <w:spacing w:after="0" w:line="259" w:lineRule="auto"/>
              <w:ind w:left="0" w:right="48" w:firstLine="0"/>
              <w:jc w:val="center"/>
            </w:pPr>
            <w:r>
              <w:rPr>
                <w:b/>
                <w:sz w:val="18"/>
              </w:rPr>
              <w:t>Soil/Sediment</w:t>
            </w:r>
          </w:p>
        </w:tc>
        <w:tc>
          <w:tcPr>
            <w:tcW w:w="1638" w:type="dxa"/>
            <w:gridSpan w:val="3"/>
            <w:tcBorders>
              <w:top w:val="single" w:sz="12" w:space="0" w:color="000000"/>
              <w:left w:val="single" w:sz="12" w:space="0" w:color="000000"/>
              <w:bottom w:val="single" w:sz="12" w:space="0" w:color="000000"/>
              <w:right w:val="single" w:sz="12" w:space="0" w:color="000000"/>
            </w:tcBorders>
            <w:vAlign w:val="center"/>
          </w:tcPr>
          <w:p w14:paraId="416C70A9" w14:textId="4692AB2D" w:rsidR="00B56D50" w:rsidRDefault="001C3C42" w:rsidP="008C20AF">
            <w:pPr>
              <w:spacing w:after="0" w:line="259" w:lineRule="auto"/>
              <w:ind w:left="50" w:right="0" w:firstLine="0"/>
            </w:pPr>
            <w:r>
              <w:rPr>
                <w:b/>
                <w:sz w:val="18"/>
              </w:rPr>
              <w:t>Attachment/Table</w:t>
            </w:r>
          </w:p>
        </w:tc>
        <w:tc>
          <w:tcPr>
            <w:tcW w:w="1796" w:type="dxa"/>
            <w:gridSpan w:val="2"/>
            <w:vMerge w:val="restart"/>
            <w:tcBorders>
              <w:top w:val="single" w:sz="12" w:space="0" w:color="000000"/>
              <w:left w:val="single" w:sz="12" w:space="0" w:color="000000"/>
              <w:bottom w:val="single" w:sz="12" w:space="0" w:color="000000"/>
              <w:right w:val="single" w:sz="12" w:space="0" w:color="000000"/>
            </w:tcBorders>
            <w:vAlign w:val="center"/>
          </w:tcPr>
          <w:p w14:paraId="782AE0FA" w14:textId="03BDC56D" w:rsidR="00B56D50" w:rsidRDefault="001C3C42" w:rsidP="00240D54">
            <w:pPr>
              <w:spacing w:after="0" w:line="259" w:lineRule="auto"/>
              <w:ind w:left="43" w:right="0" w:firstLine="0"/>
              <w:jc w:val="center"/>
            </w:pPr>
            <w:r>
              <w:rPr>
                <w:b/>
                <w:sz w:val="18"/>
              </w:rPr>
              <w:t>Suggested Methods</w:t>
            </w:r>
          </w:p>
        </w:tc>
      </w:tr>
      <w:tr w:rsidR="005B6604" w14:paraId="15169DE3" w14:textId="77777777" w:rsidTr="005B6604">
        <w:trPr>
          <w:trHeight w:val="269"/>
          <w:tblHeader/>
        </w:trPr>
        <w:tc>
          <w:tcPr>
            <w:tcW w:w="3167" w:type="dxa"/>
            <w:vMerge/>
            <w:tcBorders>
              <w:top w:val="nil"/>
              <w:left w:val="single" w:sz="12" w:space="0" w:color="000000"/>
              <w:bottom w:val="single" w:sz="12" w:space="0" w:color="000000"/>
              <w:right w:val="single" w:sz="12" w:space="0" w:color="000000"/>
            </w:tcBorders>
            <w:vAlign w:val="center"/>
          </w:tcPr>
          <w:p w14:paraId="1A563B85" w14:textId="77777777" w:rsidR="00B56D50" w:rsidRDefault="00B56D50" w:rsidP="00240D54">
            <w:pPr>
              <w:spacing w:after="160" w:line="259" w:lineRule="auto"/>
              <w:ind w:left="0" w:right="0" w:firstLine="0"/>
              <w:jc w:val="center"/>
            </w:pPr>
          </w:p>
        </w:tc>
        <w:tc>
          <w:tcPr>
            <w:tcW w:w="0" w:type="auto"/>
            <w:vMerge/>
            <w:tcBorders>
              <w:top w:val="nil"/>
              <w:left w:val="single" w:sz="12" w:space="0" w:color="000000"/>
              <w:bottom w:val="single" w:sz="12" w:space="0" w:color="000000"/>
              <w:right w:val="single" w:sz="12" w:space="0" w:color="000000"/>
            </w:tcBorders>
            <w:vAlign w:val="center"/>
          </w:tcPr>
          <w:p w14:paraId="793617E8" w14:textId="77777777" w:rsidR="00B56D50" w:rsidRDefault="00B56D50" w:rsidP="00240D54">
            <w:pPr>
              <w:spacing w:after="160" w:line="259" w:lineRule="auto"/>
              <w:ind w:left="0" w:right="0" w:firstLine="0"/>
              <w:jc w:val="center"/>
            </w:pPr>
          </w:p>
        </w:tc>
        <w:tc>
          <w:tcPr>
            <w:tcW w:w="588" w:type="dxa"/>
            <w:tcBorders>
              <w:top w:val="single" w:sz="12" w:space="0" w:color="000000"/>
              <w:left w:val="single" w:sz="12" w:space="0" w:color="000000"/>
              <w:bottom w:val="single" w:sz="12" w:space="0" w:color="000000"/>
              <w:right w:val="single" w:sz="12" w:space="0" w:color="000000"/>
            </w:tcBorders>
            <w:vAlign w:val="center"/>
          </w:tcPr>
          <w:p w14:paraId="2B402122" w14:textId="224BA58A" w:rsidR="00B56D50" w:rsidRDefault="001C3C42" w:rsidP="00240D54">
            <w:pPr>
              <w:spacing w:after="0" w:line="259" w:lineRule="auto"/>
              <w:ind w:left="96" w:right="0" w:firstLine="0"/>
              <w:jc w:val="center"/>
            </w:pPr>
            <w:r>
              <w:rPr>
                <w:b/>
                <w:sz w:val="18"/>
              </w:rPr>
              <w:t>RL</w:t>
            </w:r>
          </w:p>
        </w:tc>
        <w:tc>
          <w:tcPr>
            <w:tcW w:w="714" w:type="dxa"/>
            <w:tcBorders>
              <w:top w:val="single" w:sz="12" w:space="0" w:color="000000"/>
              <w:left w:val="single" w:sz="12" w:space="0" w:color="000000"/>
              <w:bottom w:val="single" w:sz="12" w:space="0" w:color="000000"/>
              <w:right w:val="single" w:sz="12" w:space="0" w:color="000000"/>
            </w:tcBorders>
            <w:vAlign w:val="center"/>
          </w:tcPr>
          <w:p w14:paraId="5643E6F3" w14:textId="4B1A68C9" w:rsidR="00B56D50" w:rsidRDefault="001C3C42" w:rsidP="00240D54">
            <w:pPr>
              <w:spacing w:after="0" w:line="259" w:lineRule="auto"/>
              <w:ind w:left="0" w:right="47" w:firstLine="0"/>
              <w:jc w:val="center"/>
            </w:pPr>
            <w:r>
              <w:rPr>
                <w:b/>
                <w:sz w:val="18"/>
              </w:rPr>
              <w:t>units</w:t>
            </w:r>
          </w:p>
        </w:tc>
        <w:tc>
          <w:tcPr>
            <w:tcW w:w="811" w:type="dxa"/>
            <w:tcBorders>
              <w:top w:val="single" w:sz="12" w:space="0" w:color="000000"/>
              <w:left w:val="single" w:sz="12" w:space="0" w:color="000000"/>
              <w:bottom w:val="single" w:sz="12" w:space="0" w:color="000000"/>
              <w:right w:val="single" w:sz="12" w:space="0" w:color="000000"/>
            </w:tcBorders>
            <w:vAlign w:val="center"/>
          </w:tcPr>
          <w:p w14:paraId="05FFCAB4" w14:textId="4F32D610" w:rsidR="00B56D50" w:rsidRDefault="001C3C42" w:rsidP="00240D54">
            <w:pPr>
              <w:spacing w:after="0" w:line="259" w:lineRule="auto"/>
              <w:ind w:left="0" w:right="49" w:firstLine="0"/>
              <w:jc w:val="center"/>
            </w:pPr>
            <w:r>
              <w:rPr>
                <w:b/>
                <w:sz w:val="18"/>
              </w:rPr>
              <w:t>RL</w:t>
            </w:r>
          </w:p>
        </w:tc>
        <w:tc>
          <w:tcPr>
            <w:tcW w:w="711" w:type="dxa"/>
            <w:tcBorders>
              <w:top w:val="single" w:sz="12" w:space="0" w:color="000000"/>
              <w:left w:val="single" w:sz="12" w:space="0" w:color="000000"/>
              <w:bottom w:val="single" w:sz="12" w:space="0" w:color="000000"/>
              <w:right w:val="single" w:sz="12" w:space="0" w:color="000000"/>
            </w:tcBorders>
            <w:vAlign w:val="center"/>
          </w:tcPr>
          <w:p w14:paraId="41100760" w14:textId="6C4B04FE" w:rsidR="00B56D50" w:rsidRDefault="001C3C42" w:rsidP="00240D54">
            <w:pPr>
              <w:spacing w:after="0" w:line="259" w:lineRule="auto"/>
              <w:ind w:left="0" w:right="52" w:firstLine="0"/>
              <w:jc w:val="center"/>
            </w:pPr>
            <w:r>
              <w:rPr>
                <w:b/>
                <w:sz w:val="18"/>
              </w:rPr>
              <w:t>units</w:t>
            </w:r>
          </w:p>
        </w:tc>
        <w:tc>
          <w:tcPr>
            <w:tcW w:w="639" w:type="dxa"/>
            <w:tcBorders>
              <w:top w:val="single" w:sz="12" w:space="0" w:color="000000"/>
              <w:left w:val="single" w:sz="12" w:space="0" w:color="000000"/>
              <w:bottom w:val="single" w:sz="12" w:space="0" w:color="000000"/>
              <w:right w:val="single" w:sz="12" w:space="0" w:color="000000"/>
            </w:tcBorders>
            <w:vAlign w:val="center"/>
          </w:tcPr>
          <w:p w14:paraId="1EF7B941" w14:textId="150B74AB" w:rsidR="00B56D50" w:rsidRDefault="001C3C42" w:rsidP="00240D54">
            <w:pPr>
              <w:spacing w:after="0" w:line="259" w:lineRule="auto"/>
              <w:ind w:left="36" w:right="0" w:firstLine="0"/>
              <w:jc w:val="center"/>
            </w:pPr>
            <w:r>
              <w:rPr>
                <w:b/>
                <w:sz w:val="18"/>
              </w:rPr>
              <w:t>VIII</w:t>
            </w:r>
          </w:p>
        </w:tc>
        <w:tc>
          <w:tcPr>
            <w:tcW w:w="545" w:type="dxa"/>
            <w:tcBorders>
              <w:top w:val="single" w:sz="12" w:space="0" w:color="000000"/>
              <w:left w:val="single" w:sz="12" w:space="0" w:color="000000"/>
              <w:bottom w:val="single" w:sz="12" w:space="0" w:color="000000"/>
              <w:right w:val="single" w:sz="12" w:space="0" w:color="000000"/>
            </w:tcBorders>
            <w:vAlign w:val="center"/>
          </w:tcPr>
          <w:p w14:paraId="208AC21D" w14:textId="1979D106" w:rsidR="00B56D50" w:rsidRDefault="001C3C42" w:rsidP="00240D54">
            <w:pPr>
              <w:spacing w:after="0" w:line="259" w:lineRule="auto"/>
              <w:ind w:left="0" w:right="48" w:firstLine="0"/>
              <w:jc w:val="center"/>
            </w:pPr>
            <w:r>
              <w:rPr>
                <w:b/>
                <w:sz w:val="18"/>
              </w:rPr>
              <w:t>IX</w:t>
            </w:r>
          </w:p>
        </w:tc>
        <w:tc>
          <w:tcPr>
            <w:tcW w:w="454" w:type="dxa"/>
            <w:tcBorders>
              <w:top w:val="single" w:sz="12" w:space="0" w:color="000000"/>
              <w:left w:val="single" w:sz="12" w:space="0" w:color="000000"/>
              <w:bottom w:val="single" w:sz="12" w:space="0" w:color="000000"/>
              <w:right w:val="single" w:sz="12" w:space="0" w:color="000000"/>
            </w:tcBorders>
            <w:vAlign w:val="center"/>
          </w:tcPr>
          <w:p w14:paraId="0645A1AA" w14:textId="73878947" w:rsidR="00B56D50" w:rsidRDefault="001C3C42" w:rsidP="00240D54">
            <w:pPr>
              <w:spacing w:after="0" w:line="259" w:lineRule="auto"/>
              <w:ind w:left="0" w:right="46" w:firstLine="0"/>
              <w:jc w:val="center"/>
            </w:pPr>
            <w:r>
              <w:rPr>
                <w:b/>
                <w:sz w:val="18"/>
              </w:rPr>
              <w:t>2</w:t>
            </w:r>
          </w:p>
        </w:tc>
        <w:tc>
          <w:tcPr>
            <w:tcW w:w="1796" w:type="dxa"/>
            <w:gridSpan w:val="2"/>
            <w:vMerge/>
            <w:tcBorders>
              <w:top w:val="nil"/>
              <w:left w:val="single" w:sz="12" w:space="0" w:color="000000"/>
              <w:bottom w:val="single" w:sz="12" w:space="0" w:color="000000"/>
              <w:right w:val="single" w:sz="12" w:space="0" w:color="000000"/>
            </w:tcBorders>
            <w:vAlign w:val="center"/>
          </w:tcPr>
          <w:p w14:paraId="3857A30B" w14:textId="77777777" w:rsidR="00B56D50" w:rsidRDefault="00B56D50" w:rsidP="00240D54">
            <w:pPr>
              <w:spacing w:after="160" w:line="259" w:lineRule="auto"/>
              <w:ind w:left="0" w:right="0" w:firstLine="0"/>
              <w:jc w:val="center"/>
            </w:pPr>
          </w:p>
        </w:tc>
      </w:tr>
      <w:tr w:rsidR="00FC0D61" w14:paraId="26450044" w14:textId="77777777" w:rsidTr="005B6604">
        <w:trPr>
          <w:trHeight w:val="262"/>
        </w:trPr>
        <w:tc>
          <w:tcPr>
            <w:tcW w:w="3167" w:type="dxa"/>
            <w:tcBorders>
              <w:top w:val="single" w:sz="12" w:space="0" w:color="000000"/>
              <w:left w:val="single" w:sz="12" w:space="0" w:color="000000"/>
              <w:bottom w:val="single" w:sz="4" w:space="0" w:color="000000"/>
              <w:right w:val="single" w:sz="12" w:space="0" w:color="000000"/>
            </w:tcBorders>
            <w:vAlign w:val="center"/>
          </w:tcPr>
          <w:p w14:paraId="1FB3CC7B" w14:textId="1C08AAC0" w:rsidR="00FC0D61" w:rsidRDefault="00FC0D61" w:rsidP="00240D54">
            <w:pPr>
              <w:spacing w:after="0" w:line="259" w:lineRule="auto"/>
              <w:ind w:left="0" w:right="0" w:firstLine="0"/>
            </w:pPr>
            <w:r>
              <w:rPr>
                <w:sz w:val="18"/>
              </w:rPr>
              <w:t xml:space="preserve">Alachlor </w:t>
            </w:r>
            <w:r>
              <w:rPr>
                <w:i/>
                <w:sz w:val="18"/>
              </w:rPr>
              <w:t xml:space="preserve">(Lasso) </w:t>
            </w:r>
          </w:p>
        </w:tc>
        <w:tc>
          <w:tcPr>
            <w:tcW w:w="1195" w:type="dxa"/>
            <w:tcBorders>
              <w:top w:val="single" w:sz="12" w:space="0" w:color="000000"/>
              <w:left w:val="single" w:sz="12" w:space="0" w:color="000000"/>
              <w:bottom w:val="single" w:sz="4" w:space="0" w:color="000000"/>
              <w:right w:val="single" w:sz="12" w:space="0" w:color="000000"/>
            </w:tcBorders>
            <w:vAlign w:val="center"/>
          </w:tcPr>
          <w:p w14:paraId="4FB85B4E" w14:textId="09D2295E" w:rsidR="00FC0D61" w:rsidRDefault="00FC0D61" w:rsidP="00240D54">
            <w:pPr>
              <w:spacing w:after="0" w:line="259" w:lineRule="auto"/>
              <w:ind w:left="0" w:right="44" w:firstLine="0"/>
              <w:jc w:val="center"/>
            </w:pPr>
            <w:r>
              <w:rPr>
                <w:sz w:val="18"/>
              </w:rPr>
              <w:t>15972-60-8</w:t>
            </w:r>
          </w:p>
        </w:tc>
        <w:tc>
          <w:tcPr>
            <w:tcW w:w="588" w:type="dxa"/>
            <w:tcBorders>
              <w:top w:val="single" w:sz="12" w:space="0" w:color="000000"/>
              <w:left w:val="single" w:sz="12" w:space="0" w:color="000000"/>
              <w:bottom w:val="single" w:sz="4" w:space="0" w:color="000000"/>
              <w:right w:val="single" w:sz="12" w:space="0" w:color="000000"/>
            </w:tcBorders>
            <w:vAlign w:val="center"/>
          </w:tcPr>
          <w:p w14:paraId="6E93AA42" w14:textId="615954AD" w:rsidR="00FC0D61" w:rsidRDefault="00FC0D61" w:rsidP="00240D54">
            <w:pPr>
              <w:tabs>
                <w:tab w:val="right" w:pos="489"/>
              </w:tabs>
              <w:spacing w:after="0" w:line="259" w:lineRule="auto"/>
              <w:ind w:left="0" w:right="0" w:firstLine="0"/>
              <w:jc w:val="center"/>
            </w:pPr>
            <w:r>
              <w:rPr>
                <w:sz w:val="18"/>
              </w:rPr>
              <w:t>0.8</w:t>
            </w:r>
          </w:p>
        </w:tc>
        <w:tc>
          <w:tcPr>
            <w:tcW w:w="714" w:type="dxa"/>
            <w:tcBorders>
              <w:top w:val="single" w:sz="12" w:space="0" w:color="000000"/>
              <w:left w:val="single" w:sz="12" w:space="0" w:color="000000"/>
              <w:bottom w:val="single" w:sz="4" w:space="0" w:color="000000"/>
              <w:right w:val="single" w:sz="12" w:space="0" w:color="000000"/>
            </w:tcBorders>
            <w:vAlign w:val="center"/>
          </w:tcPr>
          <w:p w14:paraId="31F78789" w14:textId="3B126476" w:rsidR="00FC0D61" w:rsidRDefault="00FC0D61" w:rsidP="00240D54">
            <w:pPr>
              <w:spacing w:after="0" w:line="259" w:lineRule="auto"/>
              <w:ind w:left="0" w:right="48" w:firstLine="0"/>
              <w:jc w:val="center"/>
            </w:pPr>
            <w:r>
              <w:rPr>
                <w:sz w:val="18"/>
              </w:rPr>
              <w:t>ug/L</w:t>
            </w:r>
          </w:p>
        </w:tc>
        <w:tc>
          <w:tcPr>
            <w:tcW w:w="811" w:type="dxa"/>
            <w:tcBorders>
              <w:top w:val="single" w:sz="12" w:space="0" w:color="000000"/>
              <w:left w:val="single" w:sz="12" w:space="0" w:color="000000"/>
              <w:bottom w:val="single" w:sz="4" w:space="0" w:color="000000"/>
              <w:right w:val="single" w:sz="12" w:space="0" w:color="000000"/>
            </w:tcBorders>
            <w:vAlign w:val="center"/>
          </w:tcPr>
          <w:p w14:paraId="0017596E" w14:textId="7F9B5C43" w:rsidR="00FC0D61" w:rsidRDefault="00FC0D61" w:rsidP="00240D54">
            <w:pPr>
              <w:tabs>
                <w:tab w:val="right" w:pos="713"/>
              </w:tabs>
              <w:spacing w:after="0" w:line="259" w:lineRule="auto"/>
              <w:ind w:left="0" w:right="0" w:firstLine="0"/>
              <w:jc w:val="center"/>
            </w:pPr>
            <w:r>
              <w:rPr>
                <w:sz w:val="18"/>
              </w:rPr>
              <w:t>50</w:t>
            </w:r>
          </w:p>
        </w:tc>
        <w:tc>
          <w:tcPr>
            <w:tcW w:w="711" w:type="dxa"/>
            <w:tcBorders>
              <w:top w:val="single" w:sz="12" w:space="0" w:color="000000"/>
              <w:left w:val="single" w:sz="12" w:space="0" w:color="000000"/>
              <w:bottom w:val="single" w:sz="4" w:space="0" w:color="000000"/>
              <w:right w:val="single" w:sz="12" w:space="0" w:color="000000"/>
            </w:tcBorders>
            <w:vAlign w:val="center"/>
          </w:tcPr>
          <w:p w14:paraId="1ACE8F74" w14:textId="057DF6CB" w:rsidR="00FC0D61" w:rsidRDefault="00FC0D61" w:rsidP="00240D54">
            <w:pPr>
              <w:spacing w:after="0" w:line="259" w:lineRule="auto"/>
              <w:ind w:left="0" w:right="44" w:firstLine="0"/>
              <w:jc w:val="center"/>
            </w:pPr>
            <w:r>
              <w:rPr>
                <w:rFonts w:eastAsia="Segoe UI Symbol"/>
                <w:sz w:val="18"/>
              </w:rPr>
              <w:t>u</w:t>
            </w:r>
            <w:r>
              <w:rPr>
                <w:sz w:val="18"/>
              </w:rPr>
              <w:t>g/kg</w:t>
            </w:r>
          </w:p>
        </w:tc>
        <w:tc>
          <w:tcPr>
            <w:tcW w:w="639" w:type="dxa"/>
            <w:tcBorders>
              <w:top w:val="single" w:sz="12" w:space="0" w:color="000000"/>
              <w:left w:val="single" w:sz="12" w:space="0" w:color="000000"/>
              <w:bottom w:val="single" w:sz="4" w:space="0" w:color="000000"/>
              <w:right w:val="single" w:sz="12" w:space="0" w:color="000000"/>
            </w:tcBorders>
            <w:vAlign w:val="center"/>
          </w:tcPr>
          <w:p w14:paraId="01621B5B" w14:textId="4C717F52" w:rsidR="00FC0D61" w:rsidRDefault="00FC0D61" w:rsidP="00240D54">
            <w:pPr>
              <w:spacing w:after="0" w:line="259" w:lineRule="auto"/>
              <w:ind w:left="0" w:right="0" w:firstLine="0"/>
              <w:jc w:val="center"/>
            </w:pPr>
          </w:p>
        </w:tc>
        <w:tc>
          <w:tcPr>
            <w:tcW w:w="545" w:type="dxa"/>
            <w:tcBorders>
              <w:top w:val="single" w:sz="12" w:space="0" w:color="000000"/>
              <w:left w:val="single" w:sz="12" w:space="0" w:color="000000"/>
              <w:bottom w:val="single" w:sz="4" w:space="0" w:color="000000"/>
              <w:right w:val="single" w:sz="12" w:space="0" w:color="000000"/>
            </w:tcBorders>
            <w:vAlign w:val="center"/>
          </w:tcPr>
          <w:p w14:paraId="2BC01461" w14:textId="392E41C2" w:rsidR="00FC0D61" w:rsidRDefault="00FC0D61" w:rsidP="00240D54">
            <w:pPr>
              <w:spacing w:after="0" w:line="259" w:lineRule="auto"/>
              <w:ind w:left="0" w:right="1" w:firstLine="0"/>
              <w:jc w:val="center"/>
            </w:pPr>
          </w:p>
        </w:tc>
        <w:tc>
          <w:tcPr>
            <w:tcW w:w="454" w:type="dxa"/>
            <w:tcBorders>
              <w:top w:val="single" w:sz="12" w:space="0" w:color="000000"/>
              <w:left w:val="single" w:sz="12" w:space="0" w:color="000000"/>
              <w:bottom w:val="single" w:sz="4" w:space="0" w:color="000000"/>
              <w:right w:val="single" w:sz="12" w:space="0" w:color="000000"/>
            </w:tcBorders>
            <w:vAlign w:val="center"/>
          </w:tcPr>
          <w:p w14:paraId="02DA8810" w14:textId="3E9D8891" w:rsidR="00FC0D61" w:rsidRDefault="00FC0D61" w:rsidP="00240D54">
            <w:pPr>
              <w:spacing w:after="0" w:line="259" w:lineRule="auto"/>
              <w:ind w:left="0" w:right="0" w:firstLine="0"/>
              <w:jc w:val="center"/>
            </w:pPr>
          </w:p>
        </w:tc>
        <w:tc>
          <w:tcPr>
            <w:tcW w:w="1003" w:type="dxa"/>
            <w:tcBorders>
              <w:top w:val="single" w:sz="12" w:space="0" w:color="000000"/>
              <w:left w:val="single" w:sz="12" w:space="0" w:color="000000"/>
              <w:bottom w:val="single" w:sz="4" w:space="0" w:color="000000"/>
              <w:right w:val="single" w:sz="12" w:space="0" w:color="000000"/>
            </w:tcBorders>
            <w:vAlign w:val="center"/>
          </w:tcPr>
          <w:p w14:paraId="14A27CFC" w14:textId="3C8CFB64" w:rsidR="00FC0D61" w:rsidRDefault="00FC0D61" w:rsidP="00240D54">
            <w:pPr>
              <w:spacing w:after="0" w:line="259" w:lineRule="auto"/>
              <w:ind w:left="38" w:right="0" w:firstLine="0"/>
              <w:jc w:val="center"/>
            </w:pPr>
            <w:r>
              <w:rPr>
                <w:sz w:val="18"/>
              </w:rPr>
              <w:t>8081B</w:t>
            </w:r>
          </w:p>
        </w:tc>
        <w:tc>
          <w:tcPr>
            <w:tcW w:w="793" w:type="dxa"/>
            <w:tcBorders>
              <w:top w:val="single" w:sz="12" w:space="0" w:color="000000"/>
              <w:left w:val="single" w:sz="12" w:space="0" w:color="000000"/>
              <w:bottom w:val="single" w:sz="4" w:space="0" w:color="000000"/>
              <w:right w:val="single" w:sz="12" w:space="0" w:color="000000"/>
            </w:tcBorders>
            <w:vAlign w:val="center"/>
          </w:tcPr>
          <w:p w14:paraId="38A17CFE" w14:textId="07950792" w:rsidR="00FC0D61" w:rsidRDefault="00FC0D61" w:rsidP="00240D54">
            <w:pPr>
              <w:spacing w:after="0" w:line="259" w:lineRule="auto"/>
              <w:ind w:left="0" w:right="2" w:firstLine="0"/>
              <w:jc w:val="center"/>
            </w:pPr>
          </w:p>
        </w:tc>
      </w:tr>
      <w:tr w:rsidR="00FC0D61" w14:paraId="73E60768" w14:textId="77777777" w:rsidTr="005B6604">
        <w:trPr>
          <w:trHeight w:val="250"/>
        </w:trPr>
        <w:tc>
          <w:tcPr>
            <w:tcW w:w="3167" w:type="dxa"/>
            <w:tcBorders>
              <w:top w:val="single" w:sz="4" w:space="0" w:color="000000"/>
              <w:left w:val="single" w:sz="12" w:space="0" w:color="000000"/>
              <w:bottom w:val="single" w:sz="4" w:space="0" w:color="000000"/>
              <w:right w:val="single" w:sz="12" w:space="0" w:color="000000"/>
            </w:tcBorders>
            <w:vAlign w:val="center"/>
          </w:tcPr>
          <w:p w14:paraId="402806B9" w14:textId="77777777" w:rsidR="00FC0D61" w:rsidRDefault="00FC0D61" w:rsidP="00240D54">
            <w:pPr>
              <w:spacing w:after="0" w:line="259" w:lineRule="auto"/>
              <w:ind w:left="0" w:right="0" w:firstLine="0"/>
            </w:pPr>
            <w:r>
              <w:rPr>
                <w:sz w:val="18"/>
              </w:rPr>
              <w:t xml:space="preserve">Captafol  </w:t>
            </w:r>
          </w:p>
        </w:tc>
        <w:tc>
          <w:tcPr>
            <w:tcW w:w="1195" w:type="dxa"/>
            <w:tcBorders>
              <w:top w:val="single" w:sz="4" w:space="0" w:color="000000"/>
              <w:left w:val="single" w:sz="12" w:space="0" w:color="000000"/>
              <w:bottom w:val="single" w:sz="4" w:space="0" w:color="000000"/>
              <w:right w:val="single" w:sz="12" w:space="0" w:color="000000"/>
            </w:tcBorders>
            <w:vAlign w:val="center"/>
          </w:tcPr>
          <w:p w14:paraId="5A96AEC3" w14:textId="7B501027" w:rsidR="00FC0D61" w:rsidRDefault="00FC0D61" w:rsidP="00240D54">
            <w:pPr>
              <w:spacing w:after="0" w:line="259" w:lineRule="auto"/>
              <w:ind w:left="0" w:right="44" w:firstLine="0"/>
              <w:jc w:val="center"/>
            </w:pPr>
            <w:r>
              <w:rPr>
                <w:sz w:val="18"/>
              </w:rPr>
              <w:t>2425-06-1</w:t>
            </w:r>
          </w:p>
        </w:tc>
        <w:tc>
          <w:tcPr>
            <w:tcW w:w="588" w:type="dxa"/>
            <w:tcBorders>
              <w:top w:val="single" w:sz="4" w:space="0" w:color="000000"/>
              <w:left w:val="single" w:sz="12" w:space="0" w:color="000000"/>
              <w:bottom w:val="single" w:sz="4" w:space="0" w:color="000000"/>
              <w:right w:val="single" w:sz="12" w:space="0" w:color="000000"/>
            </w:tcBorders>
            <w:vAlign w:val="center"/>
          </w:tcPr>
          <w:p w14:paraId="61BB5A96" w14:textId="062F7460" w:rsidR="00FC0D61" w:rsidRDefault="00FC0D61" w:rsidP="00240D54">
            <w:pPr>
              <w:spacing w:after="0" w:line="259" w:lineRule="auto"/>
              <w:ind w:left="0" w:right="0" w:firstLine="0"/>
              <w:jc w:val="center"/>
            </w:pPr>
            <w:r>
              <w:rPr>
                <w:sz w:val="18"/>
              </w:rPr>
              <w:t>20</w:t>
            </w:r>
          </w:p>
        </w:tc>
        <w:tc>
          <w:tcPr>
            <w:tcW w:w="714" w:type="dxa"/>
            <w:tcBorders>
              <w:top w:val="single" w:sz="4" w:space="0" w:color="000000"/>
              <w:left w:val="single" w:sz="12" w:space="0" w:color="000000"/>
              <w:bottom w:val="single" w:sz="4" w:space="0" w:color="000000"/>
              <w:right w:val="single" w:sz="12" w:space="0" w:color="000000"/>
            </w:tcBorders>
            <w:vAlign w:val="center"/>
          </w:tcPr>
          <w:p w14:paraId="6B8F0DF9" w14:textId="5D0F9F7B" w:rsidR="00FC0D61" w:rsidRDefault="00FC0D61" w:rsidP="00240D54">
            <w:pPr>
              <w:spacing w:after="0" w:line="259" w:lineRule="auto"/>
              <w:ind w:left="0" w:right="48" w:firstLine="0"/>
              <w:jc w:val="center"/>
            </w:pPr>
            <w:r>
              <w:rPr>
                <w:sz w:val="18"/>
              </w:rPr>
              <w:t>ug/L</w:t>
            </w:r>
          </w:p>
        </w:tc>
        <w:tc>
          <w:tcPr>
            <w:tcW w:w="811" w:type="dxa"/>
            <w:tcBorders>
              <w:top w:val="single" w:sz="4" w:space="0" w:color="000000"/>
              <w:left w:val="single" w:sz="12" w:space="0" w:color="000000"/>
              <w:bottom w:val="single" w:sz="4" w:space="0" w:color="000000"/>
              <w:right w:val="single" w:sz="12" w:space="0" w:color="000000"/>
            </w:tcBorders>
            <w:vAlign w:val="center"/>
          </w:tcPr>
          <w:p w14:paraId="6A17EF5B" w14:textId="65902811" w:rsidR="00FC0D61" w:rsidRDefault="00FC0D61" w:rsidP="00240D54">
            <w:pPr>
              <w:spacing w:after="0" w:line="259" w:lineRule="auto"/>
              <w:ind w:left="0" w:right="0" w:firstLine="0"/>
              <w:jc w:val="center"/>
            </w:pPr>
            <w:r>
              <w:rPr>
                <w:sz w:val="18"/>
              </w:rPr>
              <w:t>1300</w:t>
            </w:r>
          </w:p>
        </w:tc>
        <w:tc>
          <w:tcPr>
            <w:tcW w:w="711" w:type="dxa"/>
            <w:tcBorders>
              <w:top w:val="single" w:sz="4" w:space="0" w:color="000000"/>
              <w:left w:val="single" w:sz="12" w:space="0" w:color="000000"/>
              <w:bottom w:val="single" w:sz="4" w:space="0" w:color="000000"/>
              <w:right w:val="single" w:sz="12" w:space="0" w:color="000000"/>
            </w:tcBorders>
            <w:vAlign w:val="center"/>
          </w:tcPr>
          <w:p w14:paraId="33467776" w14:textId="56D853D7" w:rsidR="00FC0D61" w:rsidRDefault="00FC0D61" w:rsidP="00240D54">
            <w:pPr>
              <w:spacing w:after="0" w:line="259" w:lineRule="auto"/>
              <w:ind w:left="0" w:right="44" w:firstLine="0"/>
              <w:jc w:val="center"/>
            </w:pPr>
            <w:r>
              <w:rPr>
                <w:rFonts w:eastAsia="Segoe UI Symbol"/>
                <w:sz w:val="18"/>
              </w:rPr>
              <w:t>u</w:t>
            </w:r>
            <w:r>
              <w:rPr>
                <w:sz w:val="18"/>
              </w:rPr>
              <w:t>g/kg</w:t>
            </w:r>
          </w:p>
        </w:tc>
        <w:tc>
          <w:tcPr>
            <w:tcW w:w="639" w:type="dxa"/>
            <w:tcBorders>
              <w:top w:val="single" w:sz="4" w:space="0" w:color="000000"/>
              <w:left w:val="single" w:sz="12" w:space="0" w:color="000000"/>
              <w:bottom w:val="single" w:sz="4" w:space="0" w:color="000000"/>
              <w:right w:val="single" w:sz="12" w:space="0" w:color="000000"/>
            </w:tcBorders>
            <w:vAlign w:val="center"/>
          </w:tcPr>
          <w:p w14:paraId="3161B7F2" w14:textId="441548E7" w:rsidR="00FC0D61" w:rsidRDefault="00FC0D61" w:rsidP="00240D54">
            <w:pPr>
              <w:spacing w:after="0" w:line="259" w:lineRule="auto"/>
              <w:ind w:left="0" w:right="0" w:firstLine="0"/>
              <w:jc w:val="center"/>
            </w:pPr>
          </w:p>
        </w:tc>
        <w:tc>
          <w:tcPr>
            <w:tcW w:w="545" w:type="dxa"/>
            <w:tcBorders>
              <w:top w:val="single" w:sz="4" w:space="0" w:color="000000"/>
              <w:left w:val="single" w:sz="12" w:space="0" w:color="000000"/>
              <w:bottom w:val="single" w:sz="4" w:space="0" w:color="000000"/>
              <w:right w:val="single" w:sz="12" w:space="0" w:color="000000"/>
            </w:tcBorders>
            <w:vAlign w:val="center"/>
          </w:tcPr>
          <w:p w14:paraId="0CDA7CBC" w14:textId="7F9AB209" w:rsidR="00FC0D61" w:rsidRDefault="00FC0D61" w:rsidP="00240D54">
            <w:pPr>
              <w:spacing w:after="0" w:line="259" w:lineRule="auto"/>
              <w:ind w:left="0" w:right="1" w:firstLine="0"/>
              <w:jc w:val="center"/>
            </w:pPr>
          </w:p>
        </w:tc>
        <w:tc>
          <w:tcPr>
            <w:tcW w:w="454" w:type="dxa"/>
            <w:tcBorders>
              <w:top w:val="single" w:sz="4" w:space="0" w:color="000000"/>
              <w:left w:val="single" w:sz="12" w:space="0" w:color="000000"/>
              <w:bottom w:val="single" w:sz="4" w:space="0" w:color="000000"/>
              <w:right w:val="single" w:sz="12" w:space="0" w:color="000000"/>
            </w:tcBorders>
            <w:vAlign w:val="center"/>
          </w:tcPr>
          <w:p w14:paraId="34EFE627" w14:textId="6CAD0797" w:rsidR="00FC0D61" w:rsidRDefault="00FC0D61" w:rsidP="00240D54">
            <w:pPr>
              <w:spacing w:after="0" w:line="259" w:lineRule="auto"/>
              <w:ind w:left="0" w:right="0" w:firstLine="0"/>
              <w:jc w:val="center"/>
            </w:pPr>
          </w:p>
        </w:tc>
        <w:tc>
          <w:tcPr>
            <w:tcW w:w="1003" w:type="dxa"/>
            <w:tcBorders>
              <w:top w:val="single" w:sz="4" w:space="0" w:color="000000"/>
              <w:left w:val="single" w:sz="12" w:space="0" w:color="000000"/>
              <w:bottom w:val="single" w:sz="4" w:space="0" w:color="000000"/>
              <w:right w:val="single" w:sz="12" w:space="0" w:color="000000"/>
            </w:tcBorders>
            <w:vAlign w:val="center"/>
          </w:tcPr>
          <w:p w14:paraId="725D464C" w14:textId="450923AA" w:rsidR="00FC0D61" w:rsidRDefault="00FC0D61" w:rsidP="00240D54">
            <w:pPr>
              <w:spacing w:after="0" w:line="259" w:lineRule="auto"/>
              <w:ind w:left="0" w:right="0" w:firstLine="0"/>
              <w:jc w:val="center"/>
            </w:pPr>
            <w:r>
              <w:rPr>
                <w:sz w:val="18"/>
              </w:rPr>
              <w:t>8081B</w:t>
            </w:r>
          </w:p>
        </w:tc>
        <w:tc>
          <w:tcPr>
            <w:tcW w:w="793" w:type="dxa"/>
            <w:tcBorders>
              <w:top w:val="single" w:sz="4" w:space="0" w:color="000000"/>
              <w:left w:val="single" w:sz="12" w:space="0" w:color="000000"/>
              <w:bottom w:val="single" w:sz="4" w:space="0" w:color="000000"/>
              <w:right w:val="single" w:sz="12" w:space="0" w:color="000000"/>
            </w:tcBorders>
            <w:vAlign w:val="center"/>
          </w:tcPr>
          <w:p w14:paraId="7F5ED388" w14:textId="0AAA1BAF" w:rsidR="00FC0D61" w:rsidRDefault="00FC0D61" w:rsidP="00240D54">
            <w:pPr>
              <w:spacing w:after="0" w:line="259" w:lineRule="auto"/>
              <w:ind w:left="0" w:right="45" w:firstLine="0"/>
              <w:jc w:val="center"/>
            </w:pPr>
            <w:r>
              <w:rPr>
                <w:sz w:val="18"/>
              </w:rPr>
              <w:t>8270D</w:t>
            </w:r>
          </w:p>
        </w:tc>
      </w:tr>
      <w:tr w:rsidR="00FC0D61" w14:paraId="46E282BE" w14:textId="77777777" w:rsidTr="005B6604">
        <w:trPr>
          <w:trHeight w:val="250"/>
        </w:trPr>
        <w:tc>
          <w:tcPr>
            <w:tcW w:w="3167" w:type="dxa"/>
            <w:tcBorders>
              <w:top w:val="single" w:sz="4" w:space="0" w:color="000000"/>
              <w:left w:val="single" w:sz="12" w:space="0" w:color="000000"/>
              <w:bottom w:val="single" w:sz="4" w:space="0" w:color="000000"/>
              <w:right w:val="single" w:sz="12" w:space="0" w:color="000000"/>
            </w:tcBorders>
            <w:vAlign w:val="center"/>
          </w:tcPr>
          <w:p w14:paraId="5AB71C7D" w14:textId="77777777" w:rsidR="00FC0D61" w:rsidRDefault="00FC0D61" w:rsidP="00240D54">
            <w:pPr>
              <w:spacing w:after="0" w:line="259" w:lineRule="auto"/>
              <w:ind w:left="0" w:right="0" w:firstLine="0"/>
            </w:pPr>
            <w:proofErr w:type="spellStart"/>
            <w:r>
              <w:rPr>
                <w:sz w:val="18"/>
              </w:rPr>
              <w:t>Carbophenthion</w:t>
            </w:r>
            <w:proofErr w:type="spellEnd"/>
            <w:r>
              <w:rPr>
                <w:sz w:val="18"/>
              </w:rPr>
              <w:t xml:space="preserve">  </w:t>
            </w:r>
          </w:p>
        </w:tc>
        <w:tc>
          <w:tcPr>
            <w:tcW w:w="1195" w:type="dxa"/>
            <w:tcBorders>
              <w:top w:val="single" w:sz="4" w:space="0" w:color="000000"/>
              <w:left w:val="single" w:sz="12" w:space="0" w:color="000000"/>
              <w:bottom w:val="single" w:sz="4" w:space="0" w:color="000000"/>
              <w:right w:val="single" w:sz="12" w:space="0" w:color="000000"/>
            </w:tcBorders>
            <w:vAlign w:val="center"/>
          </w:tcPr>
          <w:p w14:paraId="3DCCBD0E" w14:textId="3AF4C3C5" w:rsidR="00FC0D61" w:rsidRDefault="00FC0D61" w:rsidP="00240D54">
            <w:pPr>
              <w:spacing w:after="0" w:line="259" w:lineRule="auto"/>
              <w:ind w:left="0" w:right="44" w:firstLine="0"/>
              <w:jc w:val="center"/>
            </w:pPr>
            <w:r>
              <w:rPr>
                <w:sz w:val="18"/>
              </w:rPr>
              <w:t>786-19-6</w:t>
            </w:r>
          </w:p>
        </w:tc>
        <w:tc>
          <w:tcPr>
            <w:tcW w:w="588" w:type="dxa"/>
            <w:tcBorders>
              <w:top w:val="single" w:sz="4" w:space="0" w:color="000000"/>
              <w:left w:val="single" w:sz="12" w:space="0" w:color="000000"/>
              <w:bottom w:val="single" w:sz="4" w:space="0" w:color="000000"/>
              <w:right w:val="single" w:sz="12" w:space="0" w:color="000000"/>
            </w:tcBorders>
            <w:vAlign w:val="center"/>
          </w:tcPr>
          <w:p w14:paraId="727D8D29" w14:textId="665DFFEC" w:rsidR="00FC0D61" w:rsidRDefault="00FC0D61" w:rsidP="00240D54">
            <w:pPr>
              <w:spacing w:after="0" w:line="259" w:lineRule="auto"/>
              <w:ind w:left="0" w:right="0" w:firstLine="0"/>
              <w:jc w:val="center"/>
            </w:pPr>
            <w:r>
              <w:rPr>
                <w:sz w:val="18"/>
              </w:rPr>
              <w:t>10</w:t>
            </w:r>
          </w:p>
        </w:tc>
        <w:tc>
          <w:tcPr>
            <w:tcW w:w="714" w:type="dxa"/>
            <w:tcBorders>
              <w:top w:val="single" w:sz="4" w:space="0" w:color="000000"/>
              <w:left w:val="single" w:sz="12" w:space="0" w:color="000000"/>
              <w:bottom w:val="single" w:sz="4" w:space="0" w:color="000000"/>
              <w:right w:val="single" w:sz="12" w:space="0" w:color="000000"/>
            </w:tcBorders>
            <w:vAlign w:val="center"/>
          </w:tcPr>
          <w:p w14:paraId="559D5E3F" w14:textId="1E4A54BE" w:rsidR="00FC0D61" w:rsidRDefault="00FC0D61" w:rsidP="00240D54">
            <w:pPr>
              <w:spacing w:after="0" w:line="259" w:lineRule="auto"/>
              <w:ind w:left="0" w:right="48" w:firstLine="0"/>
              <w:jc w:val="center"/>
            </w:pPr>
            <w:r>
              <w:rPr>
                <w:sz w:val="18"/>
              </w:rPr>
              <w:t>ug/L</w:t>
            </w:r>
          </w:p>
        </w:tc>
        <w:tc>
          <w:tcPr>
            <w:tcW w:w="811" w:type="dxa"/>
            <w:tcBorders>
              <w:top w:val="single" w:sz="4" w:space="0" w:color="000000"/>
              <w:left w:val="single" w:sz="12" w:space="0" w:color="000000"/>
              <w:bottom w:val="single" w:sz="4" w:space="0" w:color="000000"/>
              <w:right w:val="single" w:sz="12" w:space="0" w:color="000000"/>
            </w:tcBorders>
            <w:vAlign w:val="center"/>
          </w:tcPr>
          <w:p w14:paraId="11357693" w14:textId="00135404" w:rsidR="00FC0D61" w:rsidRDefault="00FC0D61" w:rsidP="00240D54">
            <w:pPr>
              <w:tabs>
                <w:tab w:val="right" w:pos="713"/>
              </w:tabs>
              <w:spacing w:after="0" w:line="259" w:lineRule="auto"/>
              <w:ind w:left="0" w:right="0" w:firstLine="0"/>
              <w:jc w:val="center"/>
            </w:pPr>
            <w:r>
              <w:rPr>
                <w:sz w:val="18"/>
              </w:rPr>
              <w:t>660</w:t>
            </w:r>
          </w:p>
        </w:tc>
        <w:tc>
          <w:tcPr>
            <w:tcW w:w="711" w:type="dxa"/>
            <w:tcBorders>
              <w:top w:val="single" w:sz="4" w:space="0" w:color="000000"/>
              <w:left w:val="single" w:sz="12" w:space="0" w:color="000000"/>
              <w:bottom w:val="single" w:sz="4" w:space="0" w:color="000000"/>
              <w:right w:val="single" w:sz="12" w:space="0" w:color="000000"/>
            </w:tcBorders>
            <w:vAlign w:val="center"/>
          </w:tcPr>
          <w:p w14:paraId="4B129728" w14:textId="5A9E456C" w:rsidR="00FC0D61" w:rsidRDefault="00FC0D61" w:rsidP="00240D54">
            <w:pPr>
              <w:spacing w:after="0" w:line="259" w:lineRule="auto"/>
              <w:ind w:left="0" w:right="44" w:firstLine="0"/>
              <w:jc w:val="center"/>
            </w:pPr>
            <w:r>
              <w:rPr>
                <w:rFonts w:eastAsia="Segoe UI Symbol"/>
                <w:sz w:val="18"/>
              </w:rPr>
              <w:t>u</w:t>
            </w:r>
            <w:r>
              <w:rPr>
                <w:sz w:val="18"/>
              </w:rPr>
              <w:t>g/kg</w:t>
            </w:r>
          </w:p>
        </w:tc>
        <w:tc>
          <w:tcPr>
            <w:tcW w:w="639" w:type="dxa"/>
            <w:tcBorders>
              <w:top w:val="single" w:sz="4" w:space="0" w:color="000000"/>
              <w:left w:val="single" w:sz="12" w:space="0" w:color="000000"/>
              <w:bottom w:val="single" w:sz="4" w:space="0" w:color="000000"/>
              <w:right w:val="single" w:sz="12" w:space="0" w:color="000000"/>
            </w:tcBorders>
            <w:vAlign w:val="center"/>
          </w:tcPr>
          <w:p w14:paraId="233DA463" w14:textId="04DA308E" w:rsidR="00FC0D61" w:rsidRDefault="00FC0D61" w:rsidP="00240D54">
            <w:pPr>
              <w:spacing w:after="0" w:line="259" w:lineRule="auto"/>
              <w:ind w:left="0" w:right="0" w:firstLine="0"/>
              <w:jc w:val="center"/>
            </w:pPr>
          </w:p>
        </w:tc>
        <w:tc>
          <w:tcPr>
            <w:tcW w:w="545" w:type="dxa"/>
            <w:tcBorders>
              <w:top w:val="single" w:sz="4" w:space="0" w:color="000000"/>
              <w:left w:val="single" w:sz="12" w:space="0" w:color="000000"/>
              <w:bottom w:val="single" w:sz="4" w:space="0" w:color="000000"/>
              <w:right w:val="single" w:sz="12" w:space="0" w:color="000000"/>
            </w:tcBorders>
            <w:vAlign w:val="center"/>
          </w:tcPr>
          <w:p w14:paraId="0ED82F0D" w14:textId="418575C7" w:rsidR="00FC0D61" w:rsidRDefault="00FC0D61" w:rsidP="00240D54">
            <w:pPr>
              <w:spacing w:after="0" w:line="259" w:lineRule="auto"/>
              <w:ind w:left="0" w:right="1" w:firstLine="0"/>
              <w:jc w:val="center"/>
            </w:pPr>
          </w:p>
        </w:tc>
        <w:tc>
          <w:tcPr>
            <w:tcW w:w="454" w:type="dxa"/>
            <w:tcBorders>
              <w:top w:val="single" w:sz="4" w:space="0" w:color="000000"/>
              <w:left w:val="single" w:sz="12" w:space="0" w:color="000000"/>
              <w:bottom w:val="single" w:sz="4" w:space="0" w:color="000000"/>
              <w:right w:val="single" w:sz="12" w:space="0" w:color="000000"/>
            </w:tcBorders>
            <w:vAlign w:val="center"/>
          </w:tcPr>
          <w:p w14:paraId="1691CB55" w14:textId="380423FE" w:rsidR="00FC0D61" w:rsidRDefault="00FC0D61" w:rsidP="00240D54">
            <w:pPr>
              <w:spacing w:after="0" w:line="259" w:lineRule="auto"/>
              <w:ind w:left="0" w:right="0" w:firstLine="0"/>
              <w:jc w:val="center"/>
            </w:pPr>
          </w:p>
        </w:tc>
        <w:tc>
          <w:tcPr>
            <w:tcW w:w="1003" w:type="dxa"/>
            <w:tcBorders>
              <w:top w:val="single" w:sz="4" w:space="0" w:color="000000"/>
              <w:left w:val="single" w:sz="12" w:space="0" w:color="000000"/>
              <w:bottom w:val="single" w:sz="4" w:space="0" w:color="000000"/>
              <w:right w:val="single" w:sz="12" w:space="0" w:color="000000"/>
            </w:tcBorders>
            <w:vAlign w:val="center"/>
          </w:tcPr>
          <w:p w14:paraId="72324BE6" w14:textId="11E592CE" w:rsidR="00FC0D61" w:rsidRDefault="00FC0D61" w:rsidP="00240D54">
            <w:pPr>
              <w:spacing w:after="0" w:line="259" w:lineRule="auto"/>
              <w:ind w:left="0" w:right="0" w:firstLine="0"/>
              <w:jc w:val="center"/>
            </w:pPr>
            <w:r>
              <w:rPr>
                <w:sz w:val="18"/>
              </w:rPr>
              <w:t>8081B</w:t>
            </w:r>
          </w:p>
        </w:tc>
        <w:tc>
          <w:tcPr>
            <w:tcW w:w="793" w:type="dxa"/>
            <w:tcBorders>
              <w:top w:val="single" w:sz="4" w:space="0" w:color="000000"/>
              <w:left w:val="single" w:sz="12" w:space="0" w:color="000000"/>
              <w:bottom w:val="single" w:sz="4" w:space="0" w:color="000000"/>
              <w:right w:val="single" w:sz="12" w:space="0" w:color="000000"/>
            </w:tcBorders>
            <w:vAlign w:val="center"/>
          </w:tcPr>
          <w:p w14:paraId="0E96B676" w14:textId="2F3D9FE9" w:rsidR="00FC0D61" w:rsidRDefault="00FC0D61" w:rsidP="00240D54">
            <w:pPr>
              <w:spacing w:after="0" w:line="259" w:lineRule="auto"/>
              <w:ind w:left="0" w:right="45" w:firstLine="0"/>
              <w:jc w:val="center"/>
            </w:pPr>
            <w:r>
              <w:rPr>
                <w:sz w:val="18"/>
              </w:rPr>
              <w:t>8270D</w:t>
            </w:r>
          </w:p>
        </w:tc>
      </w:tr>
      <w:tr w:rsidR="00FC0D61" w14:paraId="1D48677A" w14:textId="77777777" w:rsidTr="005B6604">
        <w:trPr>
          <w:trHeight w:val="250"/>
        </w:trPr>
        <w:tc>
          <w:tcPr>
            <w:tcW w:w="3167" w:type="dxa"/>
            <w:tcBorders>
              <w:top w:val="single" w:sz="4" w:space="0" w:color="000000"/>
              <w:left w:val="single" w:sz="12" w:space="0" w:color="000000"/>
              <w:bottom w:val="single" w:sz="4" w:space="0" w:color="000000"/>
              <w:right w:val="single" w:sz="12" w:space="0" w:color="000000"/>
            </w:tcBorders>
            <w:vAlign w:val="center"/>
          </w:tcPr>
          <w:p w14:paraId="7ABE7D80" w14:textId="77777777" w:rsidR="00FC0D61" w:rsidRDefault="00FC0D61" w:rsidP="00240D54">
            <w:pPr>
              <w:spacing w:after="0" w:line="259" w:lineRule="auto"/>
              <w:ind w:left="0" w:right="0" w:firstLine="0"/>
            </w:pPr>
            <w:r>
              <w:rPr>
                <w:sz w:val="18"/>
              </w:rPr>
              <w:t xml:space="preserve">Chloroneb  </w:t>
            </w:r>
          </w:p>
        </w:tc>
        <w:tc>
          <w:tcPr>
            <w:tcW w:w="1195" w:type="dxa"/>
            <w:tcBorders>
              <w:top w:val="single" w:sz="4" w:space="0" w:color="000000"/>
              <w:left w:val="single" w:sz="12" w:space="0" w:color="000000"/>
              <w:bottom w:val="single" w:sz="4" w:space="0" w:color="000000"/>
              <w:right w:val="single" w:sz="12" w:space="0" w:color="000000"/>
            </w:tcBorders>
            <w:vAlign w:val="center"/>
          </w:tcPr>
          <w:p w14:paraId="78E18677" w14:textId="6A2C7486" w:rsidR="00FC0D61" w:rsidRDefault="00FC0D61" w:rsidP="00240D54">
            <w:pPr>
              <w:spacing w:after="0" w:line="259" w:lineRule="auto"/>
              <w:ind w:left="0" w:right="44" w:firstLine="0"/>
              <w:jc w:val="center"/>
            </w:pPr>
            <w:r>
              <w:rPr>
                <w:sz w:val="18"/>
              </w:rPr>
              <w:t>2675-77-6</w:t>
            </w:r>
          </w:p>
        </w:tc>
        <w:tc>
          <w:tcPr>
            <w:tcW w:w="588" w:type="dxa"/>
            <w:tcBorders>
              <w:top w:val="single" w:sz="4" w:space="0" w:color="000000"/>
              <w:left w:val="single" w:sz="12" w:space="0" w:color="000000"/>
              <w:bottom w:val="single" w:sz="4" w:space="0" w:color="000000"/>
              <w:right w:val="single" w:sz="12" w:space="0" w:color="000000"/>
            </w:tcBorders>
            <w:vAlign w:val="center"/>
          </w:tcPr>
          <w:p w14:paraId="7EF083E1" w14:textId="008ABF7A" w:rsidR="00FC0D61" w:rsidRDefault="00FC0D61" w:rsidP="00240D54">
            <w:pPr>
              <w:tabs>
                <w:tab w:val="right" w:pos="489"/>
              </w:tabs>
              <w:spacing w:after="0" w:line="259" w:lineRule="auto"/>
              <w:ind w:left="0" w:right="0" w:firstLine="0"/>
              <w:jc w:val="center"/>
            </w:pPr>
            <w:r>
              <w:rPr>
                <w:sz w:val="18"/>
              </w:rPr>
              <w:t>1</w:t>
            </w:r>
          </w:p>
        </w:tc>
        <w:tc>
          <w:tcPr>
            <w:tcW w:w="714" w:type="dxa"/>
            <w:tcBorders>
              <w:top w:val="single" w:sz="4" w:space="0" w:color="000000"/>
              <w:left w:val="single" w:sz="12" w:space="0" w:color="000000"/>
              <w:bottom w:val="single" w:sz="4" w:space="0" w:color="000000"/>
              <w:right w:val="single" w:sz="12" w:space="0" w:color="000000"/>
            </w:tcBorders>
            <w:vAlign w:val="center"/>
          </w:tcPr>
          <w:p w14:paraId="6C004A4B" w14:textId="6BAD7DB8" w:rsidR="00FC0D61" w:rsidRDefault="00FC0D61" w:rsidP="00240D54">
            <w:pPr>
              <w:spacing w:after="0" w:line="259" w:lineRule="auto"/>
              <w:ind w:left="0" w:right="48" w:firstLine="0"/>
              <w:jc w:val="center"/>
            </w:pPr>
            <w:r>
              <w:rPr>
                <w:sz w:val="18"/>
              </w:rPr>
              <w:t>ug/L</w:t>
            </w:r>
          </w:p>
        </w:tc>
        <w:tc>
          <w:tcPr>
            <w:tcW w:w="811" w:type="dxa"/>
            <w:tcBorders>
              <w:top w:val="single" w:sz="4" w:space="0" w:color="000000"/>
              <w:left w:val="single" w:sz="12" w:space="0" w:color="000000"/>
              <w:bottom w:val="single" w:sz="4" w:space="0" w:color="000000"/>
              <w:right w:val="single" w:sz="12" w:space="0" w:color="000000"/>
            </w:tcBorders>
            <w:vAlign w:val="center"/>
          </w:tcPr>
          <w:p w14:paraId="622F0D50" w14:textId="65E04A44" w:rsidR="00FC0D61" w:rsidRDefault="00FC0D61" w:rsidP="00240D54">
            <w:pPr>
              <w:tabs>
                <w:tab w:val="right" w:pos="713"/>
              </w:tabs>
              <w:spacing w:after="0" w:line="259" w:lineRule="auto"/>
              <w:ind w:left="0" w:right="0" w:firstLine="0"/>
              <w:jc w:val="center"/>
            </w:pPr>
            <w:r>
              <w:rPr>
                <w:sz w:val="18"/>
              </w:rPr>
              <w:t>50</w:t>
            </w:r>
          </w:p>
        </w:tc>
        <w:tc>
          <w:tcPr>
            <w:tcW w:w="711" w:type="dxa"/>
            <w:tcBorders>
              <w:top w:val="single" w:sz="4" w:space="0" w:color="000000"/>
              <w:left w:val="single" w:sz="12" w:space="0" w:color="000000"/>
              <w:bottom w:val="single" w:sz="4" w:space="0" w:color="000000"/>
              <w:right w:val="single" w:sz="12" w:space="0" w:color="000000"/>
            </w:tcBorders>
            <w:vAlign w:val="center"/>
          </w:tcPr>
          <w:p w14:paraId="421EAFD2" w14:textId="3372DC7B" w:rsidR="00FC0D61" w:rsidRDefault="00FC0D61" w:rsidP="00240D54">
            <w:pPr>
              <w:spacing w:after="0" w:line="259" w:lineRule="auto"/>
              <w:ind w:left="0" w:right="44" w:firstLine="0"/>
              <w:jc w:val="center"/>
            </w:pPr>
            <w:r>
              <w:rPr>
                <w:rFonts w:eastAsia="Segoe UI Symbol"/>
                <w:sz w:val="18"/>
              </w:rPr>
              <w:t>u</w:t>
            </w:r>
            <w:r>
              <w:rPr>
                <w:sz w:val="18"/>
              </w:rPr>
              <w:t>g/kg</w:t>
            </w:r>
          </w:p>
        </w:tc>
        <w:tc>
          <w:tcPr>
            <w:tcW w:w="639" w:type="dxa"/>
            <w:tcBorders>
              <w:top w:val="single" w:sz="4" w:space="0" w:color="000000"/>
              <w:left w:val="single" w:sz="12" w:space="0" w:color="000000"/>
              <w:bottom w:val="single" w:sz="4" w:space="0" w:color="000000"/>
              <w:right w:val="single" w:sz="12" w:space="0" w:color="000000"/>
            </w:tcBorders>
            <w:vAlign w:val="center"/>
          </w:tcPr>
          <w:p w14:paraId="2E4BEB80" w14:textId="4830DC18" w:rsidR="00FC0D61" w:rsidRDefault="00FC0D61" w:rsidP="00240D54">
            <w:pPr>
              <w:spacing w:after="0" w:line="259" w:lineRule="auto"/>
              <w:ind w:left="0" w:right="0" w:firstLine="0"/>
              <w:jc w:val="center"/>
            </w:pPr>
          </w:p>
        </w:tc>
        <w:tc>
          <w:tcPr>
            <w:tcW w:w="545" w:type="dxa"/>
            <w:tcBorders>
              <w:top w:val="single" w:sz="4" w:space="0" w:color="000000"/>
              <w:left w:val="single" w:sz="12" w:space="0" w:color="000000"/>
              <w:bottom w:val="single" w:sz="4" w:space="0" w:color="000000"/>
              <w:right w:val="single" w:sz="12" w:space="0" w:color="000000"/>
            </w:tcBorders>
            <w:vAlign w:val="center"/>
          </w:tcPr>
          <w:p w14:paraId="319649AB" w14:textId="15785CB0" w:rsidR="00FC0D61" w:rsidRDefault="00FC0D61" w:rsidP="00240D54">
            <w:pPr>
              <w:spacing w:after="0" w:line="259" w:lineRule="auto"/>
              <w:ind w:left="0" w:right="1" w:firstLine="0"/>
              <w:jc w:val="center"/>
            </w:pPr>
          </w:p>
        </w:tc>
        <w:tc>
          <w:tcPr>
            <w:tcW w:w="454" w:type="dxa"/>
            <w:tcBorders>
              <w:top w:val="single" w:sz="4" w:space="0" w:color="000000"/>
              <w:left w:val="single" w:sz="12" w:space="0" w:color="000000"/>
              <w:bottom w:val="single" w:sz="4" w:space="0" w:color="000000"/>
              <w:right w:val="single" w:sz="12" w:space="0" w:color="000000"/>
            </w:tcBorders>
            <w:vAlign w:val="center"/>
          </w:tcPr>
          <w:p w14:paraId="6D94F97D" w14:textId="458888DB" w:rsidR="00FC0D61" w:rsidRDefault="00FC0D61" w:rsidP="00240D54">
            <w:pPr>
              <w:spacing w:after="0" w:line="259" w:lineRule="auto"/>
              <w:ind w:left="0" w:right="0" w:firstLine="0"/>
              <w:jc w:val="center"/>
            </w:pPr>
          </w:p>
        </w:tc>
        <w:tc>
          <w:tcPr>
            <w:tcW w:w="1003" w:type="dxa"/>
            <w:tcBorders>
              <w:top w:val="single" w:sz="4" w:space="0" w:color="000000"/>
              <w:left w:val="single" w:sz="12" w:space="0" w:color="000000"/>
              <w:bottom w:val="single" w:sz="4" w:space="0" w:color="000000"/>
              <w:right w:val="single" w:sz="12" w:space="0" w:color="000000"/>
            </w:tcBorders>
            <w:vAlign w:val="center"/>
          </w:tcPr>
          <w:p w14:paraId="07341E7C" w14:textId="21F706E3" w:rsidR="00FC0D61" w:rsidRDefault="00FC0D61" w:rsidP="00240D54">
            <w:pPr>
              <w:spacing w:after="0" w:line="259" w:lineRule="auto"/>
              <w:ind w:left="38" w:right="0" w:firstLine="0"/>
              <w:jc w:val="center"/>
            </w:pPr>
            <w:r>
              <w:rPr>
                <w:sz w:val="18"/>
              </w:rPr>
              <w:t>8081B</w:t>
            </w:r>
          </w:p>
        </w:tc>
        <w:tc>
          <w:tcPr>
            <w:tcW w:w="793" w:type="dxa"/>
            <w:tcBorders>
              <w:top w:val="single" w:sz="4" w:space="0" w:color="000000"/>
              <w:left w:val="single" w:sz="12" w:space="0" w:color="000000"/>
              <w:bottom w:val="single" w:sz="4" w:space="0" w:color="000000"/>
              <w:right w:val="single" w:sz="12" w:space="0" w:color="000000"/>
            </w:tcBorders>
            <w:vAlign w:val="center"/>
          </w:tcPr>
          <w:p w14:paraId="75822813" w14:textId="1CCFF754" w:rsidR="00FC0D61" w:rsidRDefault="00FC0D61" w:rsidP="00240D54">
            <w:pPr>
              <w:spacing w:after="0" w:line="259" w:lineRule="auto"/>
              <w:ind w:left="0" w:right="2" w:firstLine="0"/>
              <w:jc w:val="center"/>
            </w:pPr>
          </w:p>
        </w:tc>
      </w:tr>
      <w:tr w:rsidR="00FC0D61" w14:paraId="729A24FE" w14:textId="77777777" w:rsidTr="005B6604">
        <w:trPr>
          <w:trHeight w:val="230"/>
        </w:trPr>
        <w:tc>
          <w:tcPr>
            <w:tcW w:w="3167" w:type="dxa"/>
            <w:tcBorders>
              <w:top w:val="single" w:sz="4" w:space="0" w:color="000000"/>
              <w:left w:val="single" w:sz="12" w:space="0" w:color="000000"/>
              <w:bottom w:val="single" w:sz="4" w:space="0" w:color="000000"/>
              <w:right w:val="single" w:sz="12" w:space="0" w:color="000000"/>
            </w:tcBorders>
            <w:vAlign w:val="center"/>
          </w:tcPr>
          <w:p w14:paraId="7DB66F7C" w14:textId="77777777" w:rsidR="00FC0D61" w:rsidRDefault="00FC0D61" w:rsidP="00240D54">
            <w:pPr>
              <w:spacing w:after="0" w:line="259" w:lineRule="auto"/>
              <w:ind w:left="0" w:right="0" w:firstLine="0"/>
            </w:pPr>
            <w:proofErr w:type="spellStart"/>
            <w:r>
              <w:rPr>
                <w:sz w:val="18"/>
              </w:rPr>
              <w:t>Chloropropylate</w:t>
            </w:r>
            <w:proofErr w:type="spellEnd"/>
            <w:r>
              <w:rPr>
                <w:sz w:val="18"/>
              </w:rPr>
              <w:t xml:space="preserve">  </w:t>
            </w:r>
          </w:p>
        </w:tc>
        <w:tc>
          <w:tcPr>
            <w:tcW w:w="1195" w:type="dxa"/>
            <w:tcBorders>
              <w:top w:val="single" w:sz="4" w:space="0" w:color="000000"/>
              <w:left w:val="single" w:sz="12" w:space="0" w:color="000000"/>
              <w:bottom w:val="single" w:sz="4" w:space="0" w:color="000000"/>
              <w:right w:val="single" w:sz="12" w:space="0" w:color="000000"/>
            </w:tcBorders>
            <w:vAlign w:val="center"/>
          </w:tcPr>
          <w:p w14:paraId="5ADFE2C7" w14:textId="71500237" w:rsidR="00FC0D61" w:rsidRDefault="00FC0D61" w:rsidP="00240D54">
            <w:pPr>
              <w:spacing w:after="0" w:line="259" w:lineRule="auto"/>
              <w:ind w:left="0" w:right="44" w:firstLine="0"/>
              <w:jc w:val="center"/>
            </w:pPr>
            <w:r>
              <w:rPr>
                <w:sz w:val="18"/>
              </w:rPr>
              <w:t>5836-10-2</w:t>
            </w:r>
          </w:p>
        </w:tc>
        <w:tc>
          <w:tcPr>
            <w:tcW w:w="588" w:type="dxa"/>
            <w:tcBorders>
              <w:top w:val="single" w:sz="4" w:space="0" w:color="000000"/>
              <w:left w:val="single" w:sz="12" w:space="0" w:color="000000"/>
              <w:bottom w:val="single" w:sz="4" w:space="0" w:color="000000"/>
              <w:right w:val="single" w:sz="12" w:space="0" w:color="000000"/>
            </w:tcBorders>
            <w:vAlign w:val="center"/>
          </w:tcPr>
          <w:p w14:paraId="5A0BDA83" w14:textId="688DFADF" w:rsidR="00FC0D61" w:rsidRDefault="00FC0D61" w:rsidP="00240D54">
            <w:pPr>
              <w:tabs>
                <w:tab w:val="right" w:pos="489"/>
              </w:tabs>
              <w:spacing w:after="0" w:line="259" w:lineRule="auto"/>
              <w:ind w:left="0" w:right="0" w:firstLine="0"/>
              <w:jc w:val="center"/>
            </w:pPr>
            <w:r>
              <w:rPr>
                <w:sz w:val="18"/>
              </w:rPr>
              <w:t>1</w:t>
            </w:r>
          </w:p>
        </w:tc>
        <w:tc>
          <w:tcPr>
            <w:tcW w:w="714" w:type="dxa"/>
            <w:tcBorders>
              <w:top w:val="single" w:sz="4" w:space="0" w:color="000000"/>
              <w:left w:val="single" w:sz="12" w:space="0" w:color="000000"/>
              <w:bottom w:val="single" w:sz="4" w:space="0" w:color="000000"/>
              <w:right w:val="single" w:sz="12" w:space="0" w:color="000000"/>
            </w:tcBorders>
            <w:vAlign w:val="center"/>
          </w:tcPr>
          <w:p w14:paraId="13CAB4DA" w14:textId="1BF90CEF" w:rsidR="00FC0D61" w:rsidRDefault="00FC0D61" w:rsidP="00240D54">
            <w:pPr>
              <w:spacing w:after="0" w:line="259" w:lineRule="auto"/>
              <w:ind w:left="0" w:right="48" w:firstLine="0"/>
              <w:jc w:val="center"/>
            </w:pPr>
            <w:r>
              <w:rPr>
                <w:sz w:val="18"/>
              </w:rPr>
              <w:t>ug/L</w:t>
            </w:r>
          </w:p>
        </w:tc>
        <w:tc>
          <w:tcPr>
            <w:tcW w:w="811" w:type="dxa"/>
            <w:tcBorders>
              <w:top w:val="single" w:sz="4" w:space="0" w:color="000000"/>
              <w:left w:val="single" w:sz="12" w:space="0" w:color="000000"/>
              <w:bottom w:val="single" w:sz="4" w:space="0" w:color="000000"/>
              <w:right w:val="single" w:sz="12" w:space="0" w:color="000000"/>
            </w:tcBorders>
            <w:vAlign w:val="center"/>
          </w:tcPr>
          <w:p w14:paraId="6288B9D4" w14:textId="73FDFEBF" w:rsidR="00FC0D61" w:rsidRDefault="00FC0D61" w:rsidP="00240D54">
            <w:pPr>
              <w:tabs>
                <w:tab w:val="right" w:pos="713"/>
              </w:tabs>
              <w:spacing w:after="0" w:line="259" w:lineRule="auto"/>
              <w:ind w:left="0" w:right="0" w:firstLine="0"/>
              <w:jc w:val="center"/>
            </w:pPr>
            <w:r>
              <w:rPr>
                <w:sz w:val="18"/>
              </w:rPr>
              <w:t>50</w:t>
            </w:r>
          </w:p>
        </w:tc>
        <w:tc>
          <w:tcPr>
            <w:tcW w:w="711" w:type="dxa"/>
            <w:tcBorders>
              <w:top w:val="single" w:sz="4" w:space="0" w:color="000000"/>
              <w:left w:val="single" w:sz="12" w:space="0" w:color="000000"/>
              <w:bottom w:val="single" w:sz="4" w:space="0" w:color="000000"/>
              <w:right w:val="single" w:sz="12" w:space="0" w:color="000000"/>
            </w:tcBorders>
            <w:vAlign w:val="center"/>
          </w:tcPr>
          <w:p w14:paraId="324DE16B" w14:textId="01A480E5" w:rsidR="00FC0D61" w:rsidRDefault="00FC0D61" w:rsidP="00240D54">
            <w:pPr>
              <w:spacing w:after="0" w:line="259" w:lineRule="auto"/>
              <w:ind w:left="0" w:right="44" w:firstLine="0"/>
              <w:jc w:val="center"/>
            </w:pPr>
            <w:r>
              <w:rPr>
                <w:rFonts w:eastAsia="Segoe UI Symbol"/>
                <w:sz w:val="18"/>
              </w:rPr>
              <w:t>u</w:t>
            </w:r>
            <w:r>
              <w:rPr>
                <w:sz w:val="18"/>
              </w:rPr>
              <w:t>g/kg</w:t>
            </w:r>
          </w:p>
        </w:tc>
        <w:tc>
          <w:tcPr>
            <w:tcW w:w="639" w:type="dxa"/>
            <w:tcBorders>
              <w:top w:val="single" w:sz="4" w:space="0" w:color="000000"/>
              <w:left w:val="single" w:sz="12" w:space="0" w:color="000000"/>
              <w:bottom w:val="single" w:sz="4" w:space="0" w:color="000000"/>
              <w:right w:val="single" w:sz="12" w:space="0" w:color="000000"/>
            </w:tcBorders>
            <w:vAlign w:val="center"/>
          </w:tcPr>
          <w:p w14:paraId="70CD92D2" w14:textId="7D48F6B3" w:rsidR="00FC0D61" w:rsidRDefault="00FC0D61" w:rsidP="00240D54">
            <w:pPr>
              <w:spacing w:after="0" w:line="259" w:lineRule="auto"/>
              <w:ind w:left="0" w:right="0" w:firstLine="0"/>
              <w:jc w:val="center"/>
            </w:pPr>
          </w:p>
        </w:tc>
        <w:tc>
          <w:tcPr>
            <w:tcW w:w="545" w:type="dxa"/>
            <w:tcBorders>
              <w:top w:val="single" w:sz="4" w:space="0" w:color="000000"/>
              <w:left w:val="single" w:sz="12" w:space="0" w:color="000000"/>
              <w:bottom w:val="single" w:sz="4" w:space="0" w:color="000000"/>
              <w:right w:val="single" w:sz="12" w:space="0" w:color="000000"/>
            </w:tcBorders>
            <w:vAlign w:val="center"/>
          </w:tcPr>
          <w:p w14:paraId="19867109" w14:textId="732D3D11" w:rsidR="00FC0D61" w:rsidRDefault="00FC0D61" w:rsidP="00240D54">
            <w:pPr>
              <w:spacing w:after="0" w:line="259" w:lineRule="auto"/>
              <w:ind w:left="0" w:right="1" w:firstLine="0"/>
              <w:jc w:val="center"/>
            </w:pPr>
          </w:p>
        </w:tc>
        <w:tc>
          <w:tcPr>
            <w:tcW w:w="454" w:type="dxa"/>
            <w:tcBorders>
              <w:top w:val="single" w:sz="4" w:space="0" w:color="000000"/>
              <w:left w:val="single" w:sz="12" w:space="0" w:color="000000"/>
              <w:bottom w:val="single" w:sz="4" w:space="0" w:color="000000"/>
              <w:right w:val="single" w:sz="12" w:space="0" w:color="000000"/>
            </w:tcBorders>
            <w:vAlign w:val="center"/>
          </w:tcPr>
          <w:p w14:paraId="55AB2BBA" w14:textId="298CA1C0" w:rsidR="00FC0D61" w:rsidRDefault="00FC0D61" w:rsidP="00240D54">
            <w:pPr>
              <w:spacing w:after="0" w:line="259" w:lineRule="auto"/>
              <w:ind w:left="0" w:right="0" w:firstLine="0"/>
              <w:jc w:val="center"/>
            </w:pPr>
          </w:p>
        </w:tc>
        <w:tc>
          <w:tcPr>
            <w:tcW w:w="1003" w:type="dxa"/>
            <w:tcBorders>
              <w:top w:val="single" w:sz="4" w:space="0" w:color="000000"/>
              <w:left w:val="single" w:sz="12" w:space="0" w:color="000000"/>
              <w:bottom w:val="single" w:sz="4" w:space="0" w:color="000000"/>
              <w:right w:val="single" w:sz="12" w:space="0" w:color="000000"/>
            </w:tcBorders>
            <w:vAlign w:val="center"/>
          </w:tcPr>
          <w:p w14:paraId="22B96706" w14:textId="1325FDDF" w:rsidR="00FC0D61" w:rsidRDefault="00FC0D61" w:rsidP="00240D54">
            <w:pPr>
              <w:spacing w:after="0" w:line="259" w:lineRule="auto"/>
              <w:ind w:left="38" w:right="0" w:firstLine="0"/>
              <w:jc w:val="center"/>
            </w:pPr>
            <w:r>
              <w:rPr>
                <w:sz w:val="18"/>
              </w:rPr>
              <w:t>8081B</w:t>
            </w:r>
          </w:p>
        </w:tc>
        <w:tc>
          <w:tcPr>
            <w:tcW w:w="793" w:type="dxa"/>
            <w:tcBorders>
              <w:top w:val="single" w:sz="4" w:space="0" w:color="000000"/>
              <w:left w:val="single" w:sz="12" w:space="0" w:color="000000"/>
              <w:bottom w:val="single" w:sz="4" w:space="0" w:color="000000"/>
              <w:right w:val="single" w:sz="12" w:space="0" w:color="000000"/>
            </w:tcBorders>
            <w:vAlign w:val="center"/>
          </w:tcPr>
          <w:p w14:paraId="3DB20C99" w14:textId="3389138D" w:rsidR="00FC0D61" w:rsidRDefault="00FC0D61" w:rsidP="00240D54">
            <w:pPr>
              <w:spacing w:after="0" w:line="259" w:lineRule="auto"/>
              <w:ind w:left="0" w:right="2" w:firstLine="0"/>
              <w:jc w:val="center"/>
            </w:pPr>
          </w:p>
        </w:tc>
      </w:tr>
      <w:tr w:rsidR="00FC0D61" w14:paraId="27571345" w14:textId="77777777" w:rsidTr="005B6604">
        <w:trPr>
          <w:trHeight w:val="250"/>
        </w:trPr>
        <w:tc>
          <w:tcPr>
            <w:tcW w:w="3167" w:type="dxa"/>
            <w:tcBorders>
              <w:top w:val="single" w:sz="4" w:space="0" w:color="000000"/>
              <w:left w:val="single" w:sz="12" w:space="0" w:color="000000"/>
              <w:bottom w:val="single" w:sz="4" w:space="0" w:color="000000"/>
              <w:right w:val="single" w:sz="12" w:space="0" w:color="000000"/>
            </w:tcBorders>
            <w:vAlign w:val="center"/>
          </w:tcPr>
          <w:p w14:paraId="1E8A1531" w14:textId="77777777" w:rsidR="00FC0D61" w:rsidRDefault="00FC0D61" w:rsidP="00240D54">
            <w:pPr>
              <w:spacing w:after="0" w:line="259" w:lineRule="auto"/>
              <w:ind w:left="0" w:right="0" w:firstLine="0"/>
            </w:pPr>
            <w:r>
              <w:rPr>
                <w:sz w:val="18"/>
              </w:rPr>
              <w:t xml:space="preserve">Chlorothalonil  </w:t>
            </w:r>
          </w:p>
        </w:tc>
        <w:tc>
          <w:tcPr>
            <w:tcW w:w="1195" w:type="dxa"/>
            <w:tcBorders>
              <w:top w:val="single" w:sz="4" w:space="0" w:color="000000"/>
              <w:left w:val="single" w:sz="12" w:space="0" w:color="000000"/>
              <w:bottom w:val="single" w:sz="4" w:space="0" w:color="000000"/>
              <w:right w:val="single" w:sz="12" w:space="0" w:color="000000"/>
            </w:tcBorders>
            <w:vAlign w:val="center"/>
          </w:tcPr>
          <w:p w14:paraId="325BC873" w14:textId="2CBFE343" w:rsidR="00FC0D61" w:rsidRDefault="00FC0D61" w:rsidP="00240D54">
            <w:pPr>
              <w:spacing w:after="0" w:line="259" w:lineRule="auto"/>
              <w:ind w:left="0" w:right="44" w:firstLine="0"/>
              <w:jc w:val="center"/>
            </w:pPr>
            <w:r>
              <w:rPr>
                <w:sz w:val="18"/>
              </w:rPr>
              <w:t>1897-45-6</w:t>
            </w:r>
          </w:p>
        </w:tc>
        <w:tc>
          <w:tcPr>
            <w:tcW w:w="588" w:type="dxa"/>
            <w:tcBorders>
              <w:top w:val="single" w:sz="4" w:space="0" w:color="000000"/>
              <w:left w:val="single" w:sz="12" w:space="0" w:color="000000"/>
              <w:bottom w:val="single" w:sz="4" w:space="0" w:color="000000"/>
              <w:right w:val="single" w:sz="12" w:space="0" w:color="000000"/>
            </w:tcBorders>
            <w:vAlign w:val="center"/>
          </w:tcPr>
          <w:p w14:paraId="0625C0D8" w14:textId="660E0DE3" w:rsidR="00FC0D61" w:rsidRDefault="00FC0D61" w:rsidP="00240D54">
            <w:pPr>
              <w:tabs>
                <w:tab w:val="right" w:pos="489"/>
              </w:tabs>
              <w:spacing w:after="0" w:line="259" w:lineRule="auto"/>
              <w:ind w:left="0" w:right="0" w:firstLine="0"/>
              <w:jc w:val="center"/>
            </w:pPr>
            <w:r>
              <w:rPr>
                <w:sz w:val="18"/>
              </w:rPr>
              <w:t>1</w:t>
            </w:r>
          </w:p>
        </w:tc>
        <w:tc>
          <w:tcPr>
            <w:tcW w:w="714" w:type="dxa"/>
            <w:tcBorders>
              <w:top w:val="single" w:sz="4" w:space="0" w:color="000000"/>
              <w:left w:val="single" w:sz="12" w:space="0" w:color="000000"/>
              <w:bottom w:val="single" w:sz="4" w:space="0" w:color="000000"/>
              <w:right w:val="single" w:sz="12" w:space="0" w:color="000000"/>
            </w:tcBorders>
            <w:vAlign w:val="center"/>
          </w:tcPr>
          <w:p w14:paraId="7163C282" w14:textId="667E2928" w:rsidR="00FC0D61" w:rsidRDefault="00FC0D61" w:rsidP="00240D54">
            <w:pPr>
              <w:spacing w:after="0" w:line="259" w:lineRule="auto"/>
              <w:ind w:left="0" w:right="48" w:firstLine="0"/>
              <w:jc w:val="center"/>
            </w:pPr>
            <w:r>
              <w:rPr>
                <w:sz w:val="18"/>
              </w:rPr>
              <w:t>ug/L</w:t>
            </w:r>
          </w:p>
        </w:tc>
        <w:tc>
          <w:tcPr>
            <w:tcW w:w="811" w:type="dxa"/>
            <w:tcBorders>
              <w:top w:val="single" w:sz="4" w:space="0" w:color="000000"/>
              <w:left w:val="single" w:sz="12" w:space="0" w:color="000000"/>
              <w:bottom w:val="single" w:sz="4" w:space="0" w:color="000000"/>
              <w:right w:val="single" w:sz="12" w:space="0" w:color="000000"/>
            </w:tcBorders>
            <w:vAlign w:val="center"/>
          </w:tcPr>
          <w:p w14:paraId="1B29DD3B" w14:textId="4437B234" w:rsidR="00FC0D61" w:rsidRDefault="00FC0D61" w:rsidP="00240D54">
            <w:pPr>
              <w:tabs>
                <w:tab w:val="right" w:pos="713"/>
              </w:tabs>
              <w:spacing w:after="0" w:line="259" w:lineRule="auto"/>
              <w:ind w:left="0" w:right="0" w:firstLine="0"/>
              <w:jc w:val="center"/>
            </w:pPr>
            <w:r>
              <w:rPr>
                <w:sz w:val="18"/>
              </w:rPr>
              <w:t>50</w:t>
            </w:r>
          </w:p>
        </w:tc>
        <w:tc>
          <w:tcPr>
            <w:tcW w:w="711" w:type="dxa"/>
            <w:tcBorders>
              <w:top w:val="single" w:sz="4" w:space="0" w:color="000000"/>
              <w:left w:val="single" w:sz="12" w:space="0" w:color="000000"/>
              <w:bottom w:val="single" w:sz="4" w:space="0" w:color="000000"/>
              <w:right w:val="single" w:sz="12" w:space="0" w:color="000000"/>
            </w:tcBorders>
            <w:vAlign w:val="center"/>
          </w:tcPr>
          <w:p w14:paraId="3018D868" w14:textId="59818C61" w:rsidR="00FC0D61" w:rsidRDefault="00FC0D61" w:rsidP="00240D54">
            <w:pPr>
              <w:spacing w:after="0" w:line="259" w:lineRule="auto"/>
              <w:ind w:left="0" w:right="44" w:firstLine="0"/>
              <w:jc w:val="center"/>
            </w:pPr>
            <w:r>
              <w:rPr>
                <w:rFonts w:eastAsia="Segoe UI Symbol"/>
                <w:sz w:val="18"/>
              </w:rPr>
              <w:t>u</w:t>
            </w:r>
            <w:r>
              <w:rPr>
                <w:sz w:val="18"/>
              </w:rPr>
              <w:t>g/kg</w:t>
            </w:r>
          </w:p>
        </w:tc>
        <w:tc>
          <w:tcPr>
            <w:tcW w:w="639" w:type="dxa"/>
            <w:tcBorders>
              <w:top w:val="single" w:sz="4" w:space="0" w:color="000000"/>
              <w:left w:val="single" w:sz="12" w:space="0" w:color="000000"/>
              <w:bottom w:val="single" w:sz="4" w:space="0" w:color="000000"/>
              <w:right w:val="single" w:sz="12" w:space="0" w:color="000000"/>
            </w:tcBorders>
            <w:vAlign w:val="center"/>
          </w:tcPr>
          <w:p w14:paraId="4432DB8F" w14:textId="5790EA7E" w:rsidR="00FC0D61" w:rsidRDefault="00FC0D61" w:rsidP="00240D54">
            <w:pPr>
              <w:spacing w:after="0" w:line="259" w:lineRule="auto"/>
              <w:ind w:left="0" w:right="0" w:firstLine="0"/>
              <w:jc w:val="center"/>
            </w:pPr>
          </w:p>
        </w:tc>
        <w:tc>
          <w:tcPr>
            <w:tcW w:w="545" w:type="dxa"/>
            <w:tcBorders>
              <w:top w:val="single" w:sz="4" w:space="0" w:color="000000"/>
              <w:left w:val="single" w:sz="12" w:space="0" w:color="000000"/>
              <w:bottom w:val="single" w:sz="4" w:space="0" w:color="000000"/>
              <w:right w:val="single" w:sz="12" w:space="0" w:color="000000"/>
            </w:tcBorders>
            <w:vAlign w:val="center"/>
          </w:tcPr>
          <w:p w14:paraId="6E1DC541" w14:textId="6D80C0E8" w:rsidR="00FC0D61" w:rsidRDefault="00FC0D61" w:rsidP="00240D54">
            <w:pPr>
              <w:spacing w:after="0" w:line="259" w:lineRule="auto"/>
              <w:ind w:left="0" w:right="1" w:firstLine="0"/>
              <w:jc w:val="center"/>
            </w:pPr>
          </w:p>
        </w:tc>
        <w:tc>
          <w:tcPr>
            <w:tcW w:w="454" w:type="dxa"/>
            <w:tcBorders>
              <w:top w:val="single" w:sz="4" w:space="0" w:color="000000"/>
              <w:left w:val="single" w:sz="12" w:space="0" w:color="000000"/>
              <w:bottom w:val="single" w:sz="4" w:space="0" w:color="000000"/>
              <w:right w:val="single" w:sz="12" w:space="0" w:color="000000"/>
            </w:tcBorders>
            <w:vAlign w:val="center"/>
          </w:tcPr>
          <w:p w14:paraId="07253352" w14:textId="7F757C03" w:rsidR="00FC0D61" w:rsidRDefault="00FC0D61" w:rsidP="00240D54">
            <w:pPr>
              <w:spacing w:after="0" w:line="259" w:lineRule="auto"/>
              <w:ind w:left="0" w:right="0" w:firstLine="0"/>
              <w:jc w:val="center"/>
            </w:pPr>
          </w:p>
        </w:tc>
        <w:tc>
          <w:tcPr>
            <w:tcW w:w="1003" w:type="dxa"/>
            <w:tcBorders>
              <w:top w:val="single" w:sz="4" w:space="0" w:color="000000"/>
              <w:left w:val="single" w:sz="12" w:space="0" w:color="000000"/>
              <w:bottom w:val="single" w:sz="4" w:space="0" w:color="000000"/>
              <w:right w:val="single" w:sz="12" w:space="0" w:color="000000"/>
            </w:tcBorders>
            <w:vAlign w:val="center"/>
          </w:tcPr>
          <w:p w14:paraId="392E8910" w14:textId="5923897B" w:rsidR="00FC0D61" w:rsidRDefault="00FC0D61" w:rsidP="00240D54">
            <w:pPr>
              <w:spacing w:after="0" w:line="259" w:lineRule="auto"/>
              <w:ind w:left="38" w:right="0" w:firstLine="0"/>
              <w:jc w:val="center"/>
            </w:pPr>
            <w:r>
              <w:rPr>
                <w:sz w:val="18"/>
              </w:rPr>
              <w:t>8081B</w:t>
            </w:r>
          </w:p>
        </w:tc>
        <w:tc>
          <w:tcPr>
            <w:tcW w:w="793" w:type="dxa"/>
            <w:tcBorders>
              <w:top w:val="single" w:sz="4" w:space="0" w:color="000000"/>
              <w:left w:val="single" w:sz="12" w:space="0" w:color="000000"/>
              <w:bottom w:val="single" w:sz="4" w:space="0" w:color="000000"/>
              <w:right w:val="single" w:sz="12" w:space="0" w:color="000000"/>
            </w:tcBorders>
            <w:vAlign w:val="center"/>
          </w:tcPr>
          <w:p w14:paraId="494CEE19" w14:textId="435E2068" w:rsidR="00FC0D61" w:rsidRDefault="00FC0D61" w:rsidP="00240D54">
            <w:pPr>
              <w:spacing w:after="0" w:line="259" w:lineRule="auto"/>
              <w:ind w:left="0" w:right="2" w:firstLine="0"/>
              <w:jc w:val="center"/>
            </w:pPr>
          </w:p>
        </w:tc>
      </w:tr>
      <w:tr w:rsidR="00FC0D61" w14:paraId="4B1AB587" w14:textId="77777777" w:rsidTr="005B6604">
        <w:trPr>
          <w:trHeight w:val="250"/>
        </w:trPr>
        <w:tc>
          <w:tcPr>
            <w:tcW w:w="3167" w:type="dxa"/>
            <w:tcBorders>
              <w:top w:val="single" w:sz="4" w:space="0" w:color="000000"/>
              <w:left w:val="single" w:sz="12" w:space="0" w:color="000000"/>
              <w:bottom w:val="single" w:sz="4" w:space="0" w:color="000000"/>
              <w:right w:val="single" w:sz="12" w:space="0" w:color="000000"/>
            </w:tcBorders>
            <w:vAlign w:val="center"/>
          </w:tcPr>
          <w:p w14:paraId="528AFDE8" w14:textId="77777777" w:rsidR="00FC0D61" w:rsidRDefault="00FC0D61" w:rsidP="00240D54">
            <w:pPr>
              <w:spacing w:after="0" w:line="259" w:lineRule="auto"/>
              <w:ind w:left="0" w:right="0" w:firstLine="0"/>
            </w:pPr>
            <w:r>
              <w:rPr>
                <w:sz w:val="18"/>
              </w:rPr>
              <w:t xml:space="preserve">DCPA </w:t>
            </w:r>
            <w:r>
              <w:rPr>
                <w:i/>
                <w:sz w:val="18"/>
              </w:rPr>
              <w:t>(</w:t>
            </w:r>
            <w:proofErr w:type="spellStart"/>
            <w:r>
              <w:rPr>
                <w:i/>
                <w:sz w:val="18"/>
              </w:rPr>
              <w:t>Dacthal</w:t>
            </w:r>
            <w:proofErr w:type="spellEnd"/>
            <w:r>
              <w:rPr>
                <w:i/>
                <w:sz w:val="18"/>
              </w:rPr>
              <w:t xml:space="preserve">) </w:t>
            </w:r>
            <w:r>
              <w:rPr>
                <w:sz w:val="18"/>
              </w:rPr>
              <w:t xml:space="preserve"> </w:t>
            </w:r>
          </w:p>
        </w:tc>
        <w:tc>
          <w:tcPr>
            <w:tcW w:w="1195" w:type="dxa"/>
            <w:tcBorders>
              <w:top w:val="single" w:sz="4" w:space="0" w:color="000000"/>
              <w:left w:val="single" w:sz="12" w:space="0" w:color="000000"/>
              <w:bottom w:val="single" w:sz="4" w:space="0" w:color="000000"/>
              <w:right w:val="single" w:sz="12" w:space="0" w:color="000000"/>
            </w:tcBorders>
            <w:vAlign w:val="center"/>
          </w:tcPr>
          <w:p w14:paraId="393B7DD4" w14:textId="0D0DFEC4" w:rsidR="00FC0D61" w:rsidRDefault="00FC0D61" w:rsidP="00240D54">
            <w:pPr>
              <w:spacing w:after="0" w:line="259" w:lineRule="auto"/>
              <w:ind w:left="0" w:right="44" w:firstLine="0"/>
              <w:jc w:val="center"/>
            </w:pPr>
            <w:r>
              <w:rPr>
                <w:sz w:val="18"/>
              </w:rPr>
              <w:t>1861-32-1</w:t>
            </w:r>
          </w:p>
        </w:tc>
        <w:tc>
          <w:tcPr>
            <w:tcW w:w="588" w:type="dxa"/>
            <w:tcBorders>
              <w:top w:val="single" w:sz="4" w:space="0" w:color="000000"/>
              <w:left w:val="single" w:sz="12" w:space="0" w:color="000000"/>
              <w:bottom w:val="single" w:sz="4" w:space="0" w:color="000000"/>
              <w:right w:val="single" w:sz="12" w:space="0" w:color="000000"/>
            </w:tcBorders>
            <w:vAlign w:val="center"/>
          </w:tcPr>
          <w:p w14:paraId="3A5711F8" w14:textId="27BC4E95" w:rsidR="00FC0D61" w:rsidRDefault="00FC0D61" w:rsidP="00240D54">
            <w:pPr>
              <w:spacing w:after="0" w:line="259" w:lineRule="auto"/>
              <w:ind w:left="0" w:right="0" w:firstLine="0"/>
              <w:jc w:val="center"/>
            </w:pPr>
            <w:r>
              <w:rPr>
                <w:sz w:val="18"/>
              </w:rPr>
              <w:t>10</w:t>
            </w:r>
          </w:p>
        </w:tc>
        <w:tc>
          <w:tcPr>
            <w:tcW w:w="714" w:type="dxa"/>
            <w:tcBorders>
              <w:top w:val="single" w:sz="4" w:space="0" w:color="000000"/>
              <w:left w:val="single" w:sz="12" w:space="0" w:color="000000"/>
              <w:bottom w:val="single" w:sz="4" w:space="0" w:color="000000"/>
              <w:right w:val="single" w:sz="12" w:space="0" w:color="000000"/>
            </w:tcBorders>
            <w:vAlign w:val="center"/>
          </w:tcPr>
          <w:p w14:paraId="39593CC6" w14:textId="01A24416" w:rsidR="00FC0D61" w:rsidRDefault="00FC0D61" w:rsidP="00240D54">
            <w:pPr>
              <w:spacing w:after="0" w:line="259" w:lineRule="auto"/>
              <w:ind w:left="0" w:right="48" w:firstLine="0"/>
              <w:jc w:val="center"/>
            </w:pPr>
            <w:r>
              <w:rPr>
                <w:sz w:val="18"/>
              </w:rPr>
              <w:t>ug/L</w:t>
            </w:r>
          </w:p>
        </w:tc>
        <w:tc>
          <w:tcPr>
            <w:tcW w:w="811" w:type="dxa"/>
            <w:tcBorders>
              <w:top w:val="single" w:sz="4" w:space="0" w:color="000000"/>
              <w:left w:val="single" w:sz="12" w:space="0" w:color="000000"/>
              <w:bottom w:val="single" w:sz="4" w:space="0" w:color="000000"/>
              <w:right w:val="single" w:sz="12" w:space="0" w:color="000000"/>
            </w:tcBorders>
            <w:vAlign w:val="center"/>
          </w:tcPr>
          <w:p w14:paraId="2F7D3E10" w14:textId="7E1F6DDC" w:rsidR="00FC0D61" w:rsidRDefault="00FC0D61" w:rsidP="00240D54">
            <w:pPr>
              <w:tabs>
                <w:tab w:val="right" w:pos="713"/>
              </w:tabs>
              <w:spacing w:after="0" w:line="259" w:lineRule="auto"/>
              <w:ind w:left="0" w:right="0" w:firstLine="0"/>
              <w:jc w:val="center"/>
            </w:pPr>
            <w:r>
              <w:rPr>
                <w:sz w:val="18"/>
              </w:rPr>
              <w:t>660</w:t>
            </w:r>
          </w:p>
        </w:tc>
        <w:tc>
          <w:tcPr>
            <w:tcW w:w="711" w:type="dxa"/>
            <w:tcBorders>
              <w:top w:val="single" w:sz="4" w:space="0" w:color="000000"/>
              <w:left w:val="single" w:sz="12" w:space="0" w:color="000000"/>
              <w:bottom w:val="single" w:sz="4" w:space="0" w:color="000000"/>
              <w:right w:val="single" w:sz="12" w:space="0" w:color="000000"/>
            </w:tcBorders>
            <w:vAlign w:val="center"/>
          </w:tcPr>
          <w:p w14:paraId="72C2C640" w14:textId="0341E77D" w:rsidR="00FC0D61" w:rsidRDefault="00FC0D61" w:rsidP="00240D54">
            <w:pPr>
              <w:spacing w:after="0" w:line="259" w:lineRule="auto"/>
              <w:ind w:left="0" w:right="44" w:firstLine="0"/>
              <w:jc w:val="center"/>
            </w:pPr>
            <w:r>
              <w:rPr>
                <w:rFonts w:eastAsia="Segoe UI Symbol"/>
                <w:sz w:val="18"/>
              </w:rPr>
              <w:t>u</w:t>
            </w:r>
            <w:r>
              <w:rPr>
                <w:sz w:val="18"/>
              </w:rPr>
              <w:t>g/kg</w:t>
            </w:r>
          </w:p>
        </w:tc>
        <w:tc>
          <w:tcPr>
            <w:tcW w:w="639" w:type="dxa"/>
            <w:tcBorders>
              <w:top w:val="single" w:sz="4" w:space="0" w:color="000000"/>
              <w:left w:val="single" w:sz="12" w:space="0" w:color="000000"/>
              <w:bottom w:val="single" w:sz="4" w:space="0" w:color="000000"/>
              <w:right w:val="single" w:sz="12" w:space="0" w:color="000000"/>
            </w:tcBorders>
            <w:vAlign w:val="center"/>
          </w:tcPr>
          <w:p w14:paraId="353C684E" w14:textId="125A56F8" w:rsidR="00FC0D61" w:rsidRDefault="00FC0D61" w:rsidP="00240D54">
            <w:pPr>
              <w:spacing w:after="0" w:line="259" w:lineRule="auto"/>
              <w:ind w:left="0" w:right="0" w:firstLine="0"/>
              <w:jc w:val="center"/>
            </w:pPr>
          </w:p>
        </w:tc>
        <w:tc>
          <w:tcPr>
            <w:tcW w:w="545" w:type="dxa"/>
            <w:tcBorders>
              <w:top w:val="single" w:sz="4" w:space="0" w:color="000000"/>
              <w:left w:val="single" w:sz="12" w:space="0" w:color="000000"/>
              <w:bottom w:val="single" w:sz="4" w:space="0" w:color="000000"/>
              <w:right w:val="single" w:sz="12" w:space="0" w:color="000000"/>
            </w:tcBorders>
            <w:vAlign w:val="center"/>
          </w:tcPr>
          <w:p w14:paraId="697A5745" w14:textId="2EC7102F" w:rsidR="00FC0D61" w:rsidRDefault="00FC0D61" w:rsidP="00240D54">
            <w:pPr>
              <w:spacing w:after="0" w:line="259" w:lineRule="auto"/>
              <w:ind w:left="0" w:right="1" w:firstLine="0"/>
              <w:jc w:val="center"/>
            </w:pPr>
          </w:p>
        </w:tc>
        <w:tc>
          <w:tcPr>
            <w:tcW w:w="454" w:type="dxa"/>
            <w:tcBorders>
              <w:top w:val="single" w:sz="4" w:space="0" w:color="000000"/>
              <w:left w:val="single" w:sz="12" w:space="0" w:color="000000"/>
              <w:bottom w:val="single" w:sz="4" w:space="0" w:color="000000"/>
              <w:right w:val="single" w:sz="12" w:space="0" w:color="000000"/>
            </w:tcBorders>
            <w:vAlign w:val="center"/>
          </w:tcPr>
          <w:p w14:paraId="1572D13A" w14:textId="25C4AC60" w:rsidR="00FC0D61" w:rsidRDefault="00FC0D61" w:rsidP="00240D54">
            <w:pPr>
              <w:spacing w:after="0" w:line="259" w:lineRule="auto"/>
              <w:ind w:left="0" w:right="0" w:firstLine="0"/>
              <w:jc w:val="center"/>
            </w:pPr>
          </w:p>
        </w:tc>
        <w:tc>
          <w:tcPr>
            <w:tcW w:w="1003" w:type="dxa"/>
            <w:tcBorders>
              <w:top w:val="single" w:sz="4" w:space="0" w:color="000000"/>
              <w:left w:val="single" w:sz="12" w:space="0" w:color="000000"/>
              <w:bottom w:val="single" w:sz="4" w:space="0" w:color="000000"/>
              <w:right w:val="single" w:sz="12" w:space="0" w:color="000000"/>
            </w:tcBorders>
            <w:vAlign w:val="center"/>
          </w:tcPr>
          <w:p w14:paraId="70D16BC5" w14:textId="0515956D" w:rsidR="00FC0D61" w:rsidRDefault="00FC0D61" w:rsidP="00240D54">
            <w:pPr>
              <w:spacing w:after="0" w:line="259" w:lineRule="auto"/>
              <w:ind w:left="38" w:right="0" w:firstLine="0"/>
              <w:jc w:val="center"/>
            </w:pPr>
            <w:r>
              <w:rPr>
                <w:sz w:val="18"/>
              </w:rPr>
              <w:t>8081B</w:t>
            </w:r>
          </w:p>
        </w:tc>
        <w:tc>
          <w:tcPr>
            <w:tcW w:w="793" w:type="dxa"/>
            <w:tcBorders>
              <w:top w:val="single" w:sz="4" w:space="0" w:color="000000"/>
              <w:left w:val="single" w:sz="12" w:space="0" w:color="000000"/>
              <w:bottom w:val="single" w:sz="4" w:space="0" w:color="000000"/>
              <w:right w:val="single" w:sz="12" w:space="0" w:color="000000"/>
            </w:tcBorders>
            <w:vAlign w:val="center"/>
          </w:tcPr>
          <w:p w14:paraId="2D204C45" w14:textId="28123311" w:rsidR="00FC0D61" w:rsidRDefault="00FC0D61" w:rsidP="00240D54">
            <w:pPr>
              <w:spacing w:after="0" w:line="259" w:lineRule="auto"/>
              <w:ind w:left="0" w:right="2" w:firstLine="0"/>
              <w:jc w:val="center"/>
            </w:pPr>
          </w:p>
        </w:tc>
      </w:tr>
      <w:tr w:rsidR="00FC0D61" w14:paraId="242E4DD0" w14:textId="77777777" w:rsidTr="005B6604">
        <w:trPr>
          <w:trHeight w:val="252"/>
        </w:trPr>
        <w:tc>
          <w:tcPr>
            <w:tcW w:w="3167" w:type="dxa"/>
            <w:tcBorders>
              <w:top w:val="single" w:sz="4" w:space="0" w:color="000000"/>
              <w:left w:val="single" w:sz="12" w:space="0" w:color="000000"/>
              <w:bottom w:val="single" w:sz="4" w:space="0" w:color="000000"/>
              <w:right w:val="single" w:sz="12" w:space="0" w:color="000000"/>
            </w:tcBorders>
            <w:vAlign w:val="center"/>
          </w:tcPr>
          <w:p w14:paraId="5AB2DA4D" w14:textId="77777777" w:rsidR="00FC0D61" w:rsidRDefault="00FC0D61" w:rsidP="00240D54">
            <w:pPr>
              <w:spacing w:after="0" w:line="259" w:lineRule="auto"/>
              <w:ind w:left="0" w:right="0" w:firstLine="0"/>
            </w:pPr>
            <w:r>
              <w:rPr>
                <w:sz w:val="18"/>
              </w:rPr>
              <w:t xml:space="preserve">Dichlone  </w:t>
            </w:r>
          </w:p>
        </w:tc>
        <w:tc>
          <w:tcPr>
            <w:tcW w:w="1195" w:type="dxa"/>
            <w:tcBorders>
              <w:top w:val="single" w:sz="4" w:space="0" w:color="000000"/>
              <w:left w:val="single" w:sz="12" w:space="0" w:color="000000"/>
              <w:bottom w:val="single" w:sz="4" w:space="0" w:color="000000"/>
              <w:right w:val="single" w:sz="12" w:space="0" w:color="000000"/>
            </w:tcBorders>
            <w:vAlign w:val="center"/>
          </w:tcPr>
          <w:p w14:paraId="1A6DA925" w14:textId="5D3DDD0E" w:rsidR="00FC0D61" w:rsidRDefault="00FC0D61" w:rsidP="00240D54">
            <w:pPr>
              <w:spacing w:after="0" w:line="259" w:lineRule="auto"/>
              <w:ind w:left="0" w:right="44" w:firstLine="0"/>
              <w:jc w:val="center"/>
            </w:pPr>
            <w:r>
              <w:rPr>
                <w:sz w:val="18"/>
              </w:rPr>
              <w:t>117-80-6</w:t>
            </w:r>
          </w:p>
        </w:tc>
        <w:tc>
          <w:tcPr>
            <w:tcW w:w="588" w:type="dxa"/>
            <w:tcBorders>
              <w:top w:val="single" w:sz="4" w:space="0" w:color="000000"/>
              <w:left w:val="single" w:sz="12" w:space="0" w:color="000000"/>
              <w:bottom w:val="single" w:sz="4" w:space="0" w:color="000000"/>
              <w:right w:val="single" w:sz="12" w:space="0" w:color="000000"/>
            </w:tcBorders>
            <w:vAlign w:val="center"/>
          </w:tcPr>
          <w:p w14:paraId="7BFEBCDD" w14:textId="29563FAC" w:rsidR="00FC0D61" w:rsidRDefault="00FC0D61" w:rsidP="00240D54">
            <w:pPr>
              <w:spacing w:after="0" w:line="259" w:lineRule="auto"/>
              <w:ind w:left="0" w:right="0" w:firstLine="0"/>
              <w:jc w:val="center"/>
            </w:pPr>
            <w:r>
              <w:rPr>
                <w:sz w:val="18"/>
              </w:rPr>
              <w:t>N/A</w:t>
            </w:r>
          </w:p>
        </w:tc>
        <w:tc>
          <w:tcPr>
            <w:tcW w:w="714" w:type="dxa"/>
            <w:tcBorders>
              <w:top w:val="single" w:sz="4" w:space="0" w:color="000000"/>
              <w:left w:val="single" w:sz="12" w:space="0" w:color="000000"/>
              <w:bottom w:val="single" w:sz="4" w:space="0" w:color="000000"/>
              <w:right w:val="single" w:sz="12" w:space="0" w:color="000000"/>
            </w:tcBorders>
            <w:vAlign w:val="center"/>
          </w:tcPr>
          <w:p w14:paraId="76A074F9" w14:textId="6CD57E4D" w:rsidR="00FC0D61" w:rsidRDefault="00FC0D61" w:rsidP="00240D54">
            <w:pPr>
              <w:spacing w:after="0" w:line="259" w:lineRule="auto"/>
              <w:ind w:left="0" w:right="48" w:firstLine="0"/>
              <w:jc w:val="center"/>
            </w:pPr>
            <w:r>
              <w:rPr>
                <w:sz w:val="18"/>
              </w:rPr>
              <w:t>ug/L</w:t>
            </w:r>
          </w:p>
        </w:tc>
        <w:tc>
          <w:tcPr>
            <w:tcW w:w="811" w:type="dxa"/>
            <w:tcBorders>
              <w:top w:val="single" w:sz="4" w:space="0" w:color="000000"/>
              <w:left w:val="single" w:sz="12" w:space="0" w:color="000000"/>
              <w:bottom w:val="single" w:sz="4" w:space="0" w:color="000000"/>
              <w:right w:val="single" w:sz="12" w:space="0" w:color="000000"/>
            </w:tcBorders>
            <w:vAlign w:val="center"/>
          </w:tcPr>
          <w:p w14:paraId="04B47D0E" w14:textId="382F611C" w:rsidR="00FC0D61" w:rsidRDefault="00FC0D61" w:rsidP="00240D54">
            <w:pPr>
              <w:spacing w:after="0" w:line="259" w:lineRule="auto"/>
              <w:ind w:left="0" w:right="0" w:firstLine="0"/>
              <w:jc w:val="center"/>
            </w:pPr>
            <w:r>
              <w:rPr>
                <w:sz w:val="18"/>
              </w:rPr>
              <w:t>1300</w:t>
            </w:r>
          </w:p>
        </w:tc>
        <w:tc>
          <w:tcPr>
            <w:tcW w:w="711" w:type="dxa"/>
            <w:tcBorders>
              <w:top w:val="single" w:sz="4" w:space="0" w:color="000000"/>
              <w:left w:val="single" w:sz="12" w:space="0" w:color="000000"/>
              <w:bottom w:val="single" w:sz="4" w:space="0" w:color="000000"/>
              <w:right w:val="single" w:sz="12" w:space="0" w:color="000000"/>
            </w:tcBorders>
            <w:vAlign w:val="center"/>
          </w:tcPr>
          <w:p w14:paraId="1B2E3AA9" w14:textId="09648683" w:rsidR="00FC0D61" w:rsidRDefault="00FC0D61" w:rsidP="00240D54">
            <w:pPr>
              <w:spacing w:after="0" w:line="259" w:lineRule="auto"/>
              <w:ind w:left="0" w:right="44" w:firstLine="0"/>
              <w:jc w:val="center"/>
            </w:pPr>
            <w:r>
              <w:rPr>
                <w:rFonts w:eastAsia="Segoe UI Symbol"/>
                <w:sz w:val="18"/>
              </w:rPr>
              <w:t>u</w:t>
            </w:r>
            <w:r>
              <w:rPr>
                <w:sz w:val="18"/>
              </w:rPr>
              <w:t>g/kg</w:t>
            </w:r>
          </w:p>
        </w:tc>
        <w:tc>
          <w:tcPr>
            <w:tcW w:w="639" w:type="dxa"/>
            <w:tcBorders>
              <w:top w:val="single" w:sz="4" w:space="0" w:color="000000"/>
              <w:left w:val="single" w:sz="12" w:space="0" w:color="000000"/>
              <w:bottom w:val="single" w:sz="4" w:space="0" w:color="000000"/>
              <w:right w:val="single" w:sz="12" w:space="0" w:color="000000"/>
            </w:tcBorders>
            <w:vAlign w:val="center"/>
          </w:tcPr>
          <w:p w14:paraId="578D1E30" w14:textId="7088F6A0" w:rsidR="00FC0D61" w:rsidRDefault="00FC0D61" w:rsidP="00240D54">
            <w:pPr>
              <w:spacing w:after="0" w:line="259" w:lineRule="auto"/>
              <w:ind w:left="0" w:right="0" w:firstLine="0"/>
              <w:jc w:val="center"/>
            </w:pPr>
          </w:p>
        </w:tc>
        <w:tc>
          <w:tcPr>
            <w:tcW w:w="545" w:type="dxa"/>
            <w:tcBorders>
              <w:top w:val="single" w:sz="4" w:space="0" w:color="000000"/>
              <w:left w:val="single" w:sz="12" w:space="0" w:color="000000"/>
              <w:bottom w:val="single" w:sz="4" w:space="0" w:color="000000"/>
              <w:right w:val="single" w:sz="12" w:space="0" w:color="000000"/>
            </w:tcBorders>
            <w:vAlign w:val="center"/>
          </w:tcPr>
          <w:p w14:paraId="5BCC0B80" w14:textId="516A4A51" w:rsidR="00FC0D61" w:rsidRDefault="00FC0D61" w:rsidP="00240D54">
            <w:pPr>
              <w:spacing w:after="0" w:line="259" w:lineRule="auto"/>
              <w:ind w:left="0" w:right="1" w:firstLine="0"/>
              <w:jc w:val="center"/>
            </w:pPr>
          </w:p>
        </w:tc>
        <w:tc>
          <w:tcPr>
            <w:tcW w:w="454" w:type="dxa"/>
            <w:tcBorders>
              <w:top w:val="single" w:sz="4" w:space="0" w:color="000000"/>
              <w:left w:val="single" w:sz="12" w:space="0" w:color="000000"/>
              <w:bottom w:val="single" w:sz="4" w:space="0" w:color="000000"/>
              <w:right w:val="single" w:sz="12" w:space="0" w:color="000000"/>
            </w:tcBorders>
            <w:vAlign w:val="center"/>
          </w:tcPr>
          <w:p w14:paraId="3DE21534" w14:textId="75B1D85E" w:rsidR="00FC0D61" w:rsidRDefault="00FC0D61" w:rsidP="00240D54">
            <w:pPr>
              <w:spacing w:after="0" w:line="259" w:lineRule="auto"/>
              <w:ind w:left="0" w:right="0" w:firstLine="0"/>
              <w:jc w:val="center"/>
            </w:pPr>
          </w:p>
        </w:tc>
        <w:tc>
          <w:tcPr>
            <w:tcW w:w="1003" w:type="dxa"/>
            <w:tcBorders>
              <w:top w:val="single" w:sz="4" w:space="0" w:color="000000"/>
              <w:left w:val="single" w:sz="12" w:space="0" w:color="000000"/>
              <w:bottom w:val="single" w:sz="4" w:space="0" w:color="000000"/>
              <w:right w:val="single" w:sz="12" w:space="0" w:color="000000"/>
            </w:tcBorders>
            <w:vAlign w:val="center"/>
          </w:tcPr>
          <w:p w14:paraId="25542E5B" w14:textId="42C69146" w:rsidR="00FC0D61" w:rsidRDefault="00FC0D61" w:rsidP="00240D54">
            <w:pPr>
              <w:spacing w:after="0" w:line="259" w:lineRule="auto"/>
              <w:ind w:left="38" w:right="0" w:firstLine="0"/>
              <w:jc w:val="center"/>
            </w:pPr>
            <w:r>
              <w:rPr>
                <w:sz w:val="18"/>
              </w:rPr>
              <w:t>8081B</w:t>
            </w:r>
          </w:p>
        </w:tc>
        <w:tc>
          <w:tcPr>
            <w:tcW w:w="793" w:type="dxa"/>
            <w:tcBorders>
              <w:top w:val="single" w:sz="4" w:space="0" w:color="000000"/>
              <w:left w:val="single" w:sz="12" w:space="0" w:color="000000"/>
              <w:bottom w:val="single" w:sz="4" w:space="0" w:color="000000"/>
              <w:right w:val="single" w:sz="12" w:space="0" w:color="000000"/>
            </w:tcBorders>
            <w:vAlign w:val="center"/>
          </w:tcPr>
          <w:p w14:paraId="298310F5" w14:textId="56BFFF79" w:rsidR="00FC0D61" w:rsidRDefault="00FC0D61" w:rsidP="00240D54">
            <w:pPr>
              <w:spacing w:after="0" w:line="259" w:lineRule="auto"/>
              <w:ind w:left="0" w:right="45" w:firstLine="0"/>
              <w:jc w:val="center"/>
            </w:pPr>
            <w:r>
              <w:rPr>
                <w:sz w:val="18"/>
              </w:rPr>
              <w:t>8270D</w:t>
            </w:r>
          </w:p>
        </w:tc>
      </w:tr>
      <w:tr w:rsidR="00FC0D61" w14:paraId="06194844" w14:textId="77777777" w:rsidTr="005B6604">
        <w:trPr>
          <w:trHeight w:val="250"/>
        </w:trPr>
        <w:tc>
          <w:tcPr>
            <w:tcW w:w="3167" w:type="dxa"/>
            <w:tcBorders>
              <w:top w:val="single" w:sz="4" w:space="0" w:color="000000"/>
              <w:left w:val="single" w:sz="12" w:space="0" w:color="000000"/>
              <w:bottom w:val="single" w:sz="4" w:space="0" w:color="000000"/>
              <w:right w:val="single" w:sz="12" w:space="0" w:color="000000"/>
            </w:tcBorders>
            <w:vAlign w:val="center"/>
          </w:tcPr>
          <w:p w14:paraId="1F6BF0FE" w14:textId="77777777" w:rsidR="00FC0D61" w:rsidRDefault="00FC0D61" w:rsidP="00240D54">
            <w:pPr>
              <w:spacing w:after="0" w:line="259" w:lineRule="auto"/>
              <w:ind w:left="0" w:right="0" w:firstLine="0"/>
            </w:pPr>
            <w:r>
              <w:rPr>
                <w:sz w:val="18"/>
              </w:rPr>
              <w:t xml:space="preserve">Dicofol  </w:t>
            </w:r>
          </w:p>
        </w:tc>
        <w:tc>
          <w:tcPr>
            <w:tcW w:w="1195" w:type="dxa"/>
            <w:tcBorders>
              <w:top w:val="single" w:sz="4" w:space="0" w:color="000000"/>
              <w:left w:val="single" w:sz="12" w:space="0" w:color="000000"/>
              <w:bottom w:val="single" w:sz="4" w:space="0" w:color="000000"/>
              <w:right w:val="single" w:sz="12" w:space="0" w:color="000000"/>
            </w:tcBorders>
            <w:vAlign w:val="center"/>
          </w:tcPr>
          <w:p w14:paraId="0B08FE3E" w14:textId="1EB8A504" w:rsidR="00FC0D61" w:rsidRDefault="00FC0D61" w:rsidP="00240D54">
            <w:pPr>
              <w:spacing w:after="0" w:line="259" w:lineRule="auto"/>
              <w:ind w:left="0" w:right="44" w:firstLine="0"/>
              <w:jc w:val="center"/>
            </w:pPr>
            <w:r>
              <w:rPr>
                <w:sz w:val="18"/>
              </w:rPr>
              <w:t>115-32-2</w:t>
            </w:r>
          </w:p>
        </w:tc>
        <w:tc>
          <w:tcPr>
            <w:tcW w:w="588" w:type="dxa"/>
            <w:tcBorders>
              <w:top w:val="single" w:sz="4" w:space="0" w:color="000000"/>
              <w:left w:val="single" w:sz="12" w:space="0" w:color="000000"/>
              <w:bottom w:val="single" w:sz="4" w:space="0" w:color="000000"/>
              <w:right w:val="single" w:sz="12" w:space="0" w:color="000000"/>
            </w:tcBorders>
            <w:vAlign w:val="center"/>
          </w:tcPr>
          <w:p w14:paraId="730E4C50" w14:textId="790E2BF8" w:rsidR="00FC0D61" w:rsidRDefault="00FC0D61" w:rsidP="00240D54">
            <w:pPr>
              <w:tabs>
                <w:tab w:val="right" w:pos="489"/>
              </w:tabs>
              <w:spacing w:after="0" w:line="259" w:lineRule="auto"/>
              <w:ind w:left="0" w:right="0" w:firstLine="0"/>
              <w:jc w:val="center"/>
            </w:pPr>
            <w:r>
              <w:rPr>
                <w:sz w:val="18"/>
              </w:rPr>
              <w:t>0.1</w:t>
            </w:r>
          </w:p>
        </w:tc>
        <w:tc>
          <w:tcPr>
            <w:tcW w:w="714" w:type="dxa"/>
            <w:tcBorders>
              <w:top w:val="single" w:sz="4" w:space="0" w:color="000000"/>
              <w:left w:val="single" w:sz="12" w:space="0" w:color="000000"/>
              <w:bottom w:val="single" w:sz="4" w:space="0" w:color="000000"/>
              <w:right w:val="single" w:sz="12" w:space="0" w:color="000000"/>
            </w:tcBorders>
            <w:vAlign w:val="center"/>
          </w:tcPr>
          <w:p w14:paraId="06929752" w14:textId="2FB9B66A" w:rsidR="00FC0D61" w:rsidRDefault="00FC0D61" w:rsidP="00240D54">
            <w:pPr>
              <w:spacing w:after="0" w:line="259" w:lineRule="auto"/>
              <w:ind w:left="0" w:right="48" w:firstLine="0"/>
              <w:jc w:val="center"/>
            </w:pPr>
            <w:r>
              <w:rPr>
                <w:sz w:val="18"/>
              </w:rPr>
              <w:t>ug/L</w:t>
            </w:r>
          </w:p>
        </w:tc>
        <w:tc>
          <w:tcPr>
            <w:tcW w:w="811" w:type="dxa"/>
            <w:tcBorders>
              <w:top w:val="single" w:sz="4" w:space="0" w:color="000000"/>
              <w:left w:val="single" w:sz="12" w:space="0" w:color="000000"/>
              <w:bottom w:val="single" w:sz="4" w:space="0" w:color="000000"/>
              <w:right w:val="single" w:sz="12" w:space="0" w:color="000000"/>
            </w:tcBorders>
            <w:vAlign w:val="center"/>
          </w:tcPr>
          <w:p w14:paraId="40C3DAD0" w14:textId="0CAD4259" w:rsidR="00FC0D61" w:rsidRDefault="00FC0D61" w:rsidP="00240D54">
            <w:pPr>
              <w:tabs>
                <w:tab w:val="right" w:pos="713"/>
              </w:tabs>
              <w:spacing w:after="0" w:line="259" w:lineRule="auto"/>
              <w:ind w:left="0" w:right="0" w:firstLine="0"/>
              <w:jc w:val="center"/>
            </w:pPr>
            <w:r>
              <w:rPr>
                <w:sz w:val="18"/>
              </w:rPr>
              <w:t>50</w:t>
            </w:r>
          </w:p>
        </w:tc>
        <w:tc>
          <w:tcPr>
            <w:tcW w:w="711" w:type="dxa"/>
            <w:tcBorders>
              <w:top w:val="single" w:sz="4" w:space="0" w:color="000000"/>
              <w:left w:val="single" w:sz="12" w:space="0" w:color="000000"/>
              <w:bottom w:val="single" w:sz="4" w:space="0" w:color="000000"/>
              <w:right w:val="single" w:sz="12" w:space="0" w:color="000000"/>
            </w:tcBorders>
            <w:vAlign w:val="center"/>
          </w:tcPr>
          <w:p w14:paraId="34AE35FB" w14:textId="12DD00E2" w:rsidR="00FC0D61" w:rsidRDefault="00FC0D61" w:rsidP="00240D54">
            <w:pPr>
              <w:spacing w:after="0" w:line="259" w:lineRule="auto"/>
              <w:ind w:left="0" w:right="44" w:firstLine="0"/>
              <w:jc w:val="center"/>
            </w:pPr>
            <w:r>
              <w:rPr>
                <w:rFonts w:eastAsia="Segoe UI Symbol"/>
                <w:sz w:val="18"/>
              </w:rPr>
              <w:t>u</w:t>
            </w:r>
            <w:r>
              <w:rPr>
                <w:sz w:val="18"/>
              </w:rPr>
              <w:t>g/kg</w:t>
            </w:r>
          </w:p>
        </w:tc>
        <w:tc>
          <w:tcPr>
            <w:tcW w:w="639" w:type="dxa"/>
            <w:tcBorders>
              <w:top w:val="single" w:sz="4" w:space="0" w:color="000000"/>
              <w:left w:val="single" w:sz="12" w:space="0" w:color="000000"/>
              <w:bottom w:val="single" w:sz="4" w:space="0" w:color="000000"/>
              <w:right w:val="single" w:sz="12" w:space="0" w:color="000000"/>
            </w:tcBorders>
            <w:vAlign w:val="center"/>
          </w:tcPr>
          <w:p w14:paraId="1A599E8D" w14:textId="43779FF7" w:rsidR="00FC0D61" w:rsidRDefault="00FC0D61" w:rsidP="00240D54">
            <w:pPr>
              <w:spacing w:after="0" w:line="259" w:lineRule="auto"/>
              <w:ind w:left="0" w:right="0" w:firstLine="0"/>
              <w:jc w:val="center"/>
            </w:pPr>
          </w:p>
        </w:tc>
        <w:tc>
          <w:tcPr>
            <w:tcW w:w="545" w:type="dxa"/>
            <w:tcBorders>
              <w:top w:val="single" w:sz="4" w:space="0" w:color="000000"/>
              <w:left w:val="single" w:sz="12" w:space="0" w:color="000000"/>
              <w:bottom w:val="single" w:sz="4" w:space="0" w:color="000000"/>
              <w:right w:val="single" w:sz="12" w:space="0" w:color="000000"/>
            </w:tcBorders>
            <w:vAlign w:val="center"/>
          </w:tcPr>
          <w:p w14:paraId="7B243BD2" w14:textId="5F40939B" w:rsidR="00FC0D61" w:rsidRDefault="00FC0D61" w:rsidP="00240D54">
            <w:pPr>
              <w:spacing w:after="0" w:line="259" w:lineRule="auto"/>
              <w:ind w:left="0" w:right="1" w:firstLine="0"/>
              <w:jc w:val="center"/>
            </w:pPr>
          </w:p>
        </w:tc>
        <w:tc>
          <w:tcPr>
            <w:tcW w:w="454" w:type="dxa"/>
            <w:tcBorders>
              <w:top w:val="single" w:sz="4" w:space="0" w:color="000000"/>
              <w:left w:val="single" w:sz="12" w:space="0" w:color="000000"/>
              <w:bottom w:val="single" w:sz="4" w:space="0" w:color="000000"/>
              <w:right w:val="single" w:sz="12" w:space="0" w:color="000000"/>
            </w:tcBorders>
            <w:vAlign w:val="center"/>
          </w:tcPr>
          <w:p w14:paraId="3817D4C3" w14:textId="4B6B8915" w:rsidR="00FC0D61" w:rsidRDefault="00FC0D61" w:rsidP="00240D54">
            <w:pPr>
              <w:spacing w:after="0" w:line="259" w:lineRule="auto"/>
              <w:ind w:left="0" w:right="0" w:firstLine="0"/>
              <w:jc w:val="center"/>
            </w:pPr>
          </w:p>
        </w:tc>
        <w:tc>
          <w:tcPr>
            <w:tcW w:w="1003" w:type="dxa"/>
            <w:tcBorders>
              <w:top w:val="single" w:sz="4" w:space="0" w:color="000000"/>
              <w:left w:val="single" w:sz="12" w:space="0" w:color="000000"/>
              <w:bottom w:val="single" w:sz="4" w:space="0" w:color="000000"/>
              <w:right w:val="single" w:sz="12" w:space="0" w:color="000000"/>
            </w:tcBorders>
            <w:vAlign w:val="center"/>
          </w:tcPr>
          <w:p w14:paraId="0549FEDB" w14:textId="7776DA6B" w:rsidR="00FC0D61" w:rsidRDefault="00FC0D61" w:rsidP="00240D54">
            <w:pPr>
              <w:spacing w:after="0" w:line="259" w:lineRule="auto"/>
              <w:ind w:left="38" w:right="0" w:firstLine="0"/>
              <w:jc w:val="center"/>
            </w:pPr>
            <w:r>
              <w:rPr>
                <w:sz w:val="18"/>
              </w:rPr>
              <w:t>8081B</w:t>
            </w:r>
          </w:p>
        </w:tc>
        <w:tc>
          <w:tcPr>
            <w:tcW w:w="793" w:type="dxa"/>
            <w:tcBorders>
              <w:top w:val="single" w:sz="4" w:space="0" w:color="000000"/>
              <w:left w:val="single" w:sz="12" w:space="0" w:color="000000"/>
              <w:bottom w:val="single" w:sz="4" w:space="0" w:color="000000"/>
              <w:right w:val="single" w:sz="12" w:space="0" w:color="000000"/>
            </w:tcBorders>
            <w:vAlign w:val="center"/>
          </w:tcPr>
          <w:p w14:paraId="02C2CC03" w14:textId="25A63B60" w:rsidR="00FC0D61" w:rsidRDefault="00FC0D61" w:rsidP="00240D54">
            <w:pPr>
              <w:spacing w:after="0" w:line="259" w:lineRule="auto"/>
              <w:ind w:left="0" w:right="2" w:firstLine="0"/>
              <w:jc w:val="center"/>
            </w:pPr>
          </w:p>
        </w:tc>
      </w:tr>
      <w:tr w:rsidR="00FC0D61" w14:paraId="29ED4F1F" w14:textId="77777777" w:rsidTr="005B6604">
        <w:trPr>
          <w:trHeight w:val="250"/>
        </w:trPr>
        <w:tc>
          <w:tcPr>
            <w:tcW w:w="3167" w:type="dxa"/>
            <w:tcBorders>
              <w:top w:val="single" w:sz="4" w:space="0" w:color="000000"/>
              <w:left w:val="single" w:sz="12" w:space="0" w:color="000000"/>
              <w:bottom w:val="single" w:sz="4" w:space="0" w:color="000000"/>
              <w:right w:val="single" w:sz="12" w:space="0" w:color="000000"/>
            </w:tcBorders>
            <w:vAlign w:val="center"/>
          </w:tcPr>
          <w:p w14:paraId="12F5FC86" w14:textId="77777777" w:rsidR="00FC0D61" w:rsidRDefault="00FC0D61" w:rsidP="00240D54">
            <w:pPr>
              <w:spacing w:after="0" w:line="259" w:lineRule="auto"/>
              <w:ind w:left="0" w:right="0" w:firstLine="0"/>
            </w:pPr>
            <w:r>
              <w:rPr>
                <w:sz w:val="18"/>
              </w:rPr>
              <w:t xml:space="preserve">Etridiazole  </w:t>
            </w:r>
          </w:p>
        </w:tc>
        <w:tc>
          <w:tcPr>
            <w:tcW w:w="1195" w:type="dxa"/>
            <w:tcBorders>
              <w:top w:val="single" w:sz="4" w:space="0" w:color="000000"/>
              <w:left w:val="single" w:sz="12" w:space="0" w:color="000000"/>
              <w:bottom w:val="single" w:sz="4" w:space="0" w:color="000000"/>
              <w:right w:val="single" w:sz="12" w:space="0" w:color="000000"/>
            </w:tcBorders>
            <w:vAlign w:val="center"/>
          </w:tcPr>
          <w:p w14:paraId="01E56469" w14:textId="75409921" w:rsidR="00FC0D61" w:rsidRDefault="00FC0D61" w:rsidP="00240D54">
            <w:pPr>
              <w:spacing w:after="0" w:line="259" w:lineRule="auto"/>
              <w:ind w:left="0" w:right="44" w:firstLine="0"/>
              <w:jc w:val="center"/>
            </w:pPr>
            <w:r>
              <w:rPr>
                <w:sz w:val="18"/>
              </w:rPr>
              <w:t>2593-15-9</w:t>
            </w:r>
          </w:p>
        </w:tc>
        <w:tc>
          <w:tcPr>
            <w:tcW w:w="588" w:type="dxa"/>
            <w:tcBorders>
              <w:top w:val="single" w:sz="4" w:space="0" w:color="000000"/>
              <w:left w:val="single" w:sz="12" w:space="0" w:color="000000"/>
              <w:bottom w:val="single" w:sz="4" w:space="0" w:color="000000"/>
              <w:right w:val="single" w:sz="12" w:space="0" w:color="000000"/>
            </w:tcBorders>
            <w:vAlign w:val="center"/>
          </w:tcPr>
          <w:p w14:paraId="5849BC2A" w14:textId="6DD6F545" w:rsidR="00FC0D61" w:rsidRDefault="00FC0D61" w:rsidP="00240D54">
            <w:pPr>
              <w:tabs>
                <w:tab w:val="right" w:pos="489"/>
              </w:tabs>
              <w:spacing w:after="0" w:line="259" w:lineRule="auto"/>
              <w:ind w:left="0" w:right="0" w:firstLine="0"/>
              <w:jc w:val="center"/>
            </w:pPr>
            <w:r>
              <w:rPr>
                <w:sz w:val="18"/>
              </w:rPr>
              <w:t>1</w:t>
            </w:r>
          </w:p>
        </w:tc>
        <w:tc>
          <w:tcPr>
            <w:tcW w:w="714" w:type="dxa"/>
            <w:tcBorders>
              <w:top w:val="single" w:sz="4" w:space="0" w:color="000000"/>
              <w:left w:val="single" w:sz="12" w:space="0" w:color="000000"/>
              <w:bottom w:val="single" w:sz="4" w:space="0" w:color="000000"/>
              <w:right w:val="single" w:sz="12" w:space="0" w:color="000000"/>
            </w:tcBorders>
            <w:vAlign w:val="center"/>
          </w:tcPr>
          <w:p w14:paraId="1FC4794E" w14:textId="10849BA2" w:rsidR="00FC0D61" w:rsidRDefault="00FC0D61" w:rsidP="00240D54">
            <w:pPr>
              <w:spacing w:after="0" w:line="259" w:lineRule="auto"/>
              <w:ind w:left="0" w:right="48" w:firstLine="0"/>
              <w:jc w:val="center"/>
            </w:pPr>
            <w:r>
              <w:rPr>
                <w:sz w:val="18"/>
              </w:rPr>
              <w:t>ug/L</w:t>
            </w:r>
          </w:p>
        </w:tc>
        <w:tc>
          <w:tcPr>
            <w:tcW w:w="811" w:type="dxa"/>
            <w:tcBorders>
              <w:top w:val="single" w:sz="4" w:space="0" w:color="000000"/>
              <w:left w:val="single" w:sz="12" w:space="0" w:color="000000"/>
              <w:bottom w:val="single" w:sz="4" w:space="0" w:color="000000"/>
              <w:right w:val="single" w:sz="12" w:space="0" w:color="000000"/>
            </w:tcBorders>
            <w:vAlign w:val="center"/>
          </w:tcPr>
          <w:p w14:paraId="4F6E768F" w14:textId="6A8C46F5" w:rsidR="00FC0D61" w:rsidRDefault="00FC0D61" w:rsidP="00240D54">
            <w:pPr>
              <w:tabs>
                <w:tab w:val="right" w:pos="713"/>
              </w:tabs>
              <w:spacing w:after="0" w:line="259" w:lineRule="auto"/>
              <w:ind w:left="0" w:right="0" w:firstLine="0"/>
              <w:jc w:val="center"/>
            </w:pPr>
            <w:r>
              <w:rPr>
                <w:sz w:val="18"/>
              </w:rPr>
              <w:t>50</w:t>
            </w:r>
          </w:p>
        </w:tc>
        <w:tc>
          <w:tcPr>
            <w:tcW w:w="711" w:type="dxa"/>
            <w:tcBorders>
              <w:top w:val="single" w:sz="4" w:space="0" w:color="000000"/>
              <w:left w:val="single" w:sz="12" w:space="0" w:color="000000"/>
              <w:bottom w:val="single" w:sz="4" w:space="0" w:color="000000"/>
              <w:right w:val="single" w:sz="12" w:space="0" w:color="000000"/>
            </w:tcBorders>
            <w:vAlign w:val="center"/>
          </w:tcPr>
          <w:p w14:paraId="5BC721E4" w14:textId="079C41AA" w:rsidR="00FC0D61" w:rsidRDefault="00FC0D61" w:rsidP="00240D54">
            <w:pPr>
              <w:spacing w:after="0" w:line="259" w:lineRule="auto"/>
              <w:ind w:left="0" w:right="44" w:firstLine="0"/>
              <w:jc w:val="center"/>
            </w:pPr>
            <w:r>
              <w:rPr>
                <w:rFonts w:eastAsia="Segoe UI Symbol"/>
                <w:sz w:val="18"/>
              </w:rPr>
              <w:t>u</w:t>
            </w:r>
            <w:r>
              <w:rPr>
                <w:sz w:val="18"/>
              </w:rPr>
              <w:t>g/kg</w:t>
            </w:r>
          </w:p>
        </w:tc>
        <w:tc>
          <w:tcPr>
            <w:tcW w:w="639" w:type="dxa"/>
            <w:tcBorders>
              <w:top w:val="single" w:sz="4" w:space="0" w:color="000000"/>
              <w:left w:val="single" w:sz="12" w:space="0" w:color="000000"/>
              <w:bottom w:val="single" w:sz="4" w:space="0" w:color="000000"/>
              <w:right w:val="single" w:sz="12" w:space="0" w:color="000000"/>
            </w:tcBorders>
            <w:vAlign w:val="center"/>
          </w:tcPr>
          <w:p w14:paraId="016C0EC9" w14:textId="108FCBBC" w:rsidR="00FC0D61" w:rsidRDefault="00FC0D61" w:rsidP="00240D54">
            <w:pPr>
              <w:spacing w:after="0" w:line="259" w:lineRule="auto"/>
              <w:ind w:left="0" w:right="0" w:firstLine="0"/>
              <w:jc w:val="center"/>
            </w:pPr>
          </w:p>
        </w:tc>
        <w:tc>
          <w:tcPr>
            <w:tcW w:w="545" w:type="dxa"/>
            <w:tcBorders>
              <w:top w:val="single" w:sz="4" w:space="0" w:color="000000"/>
              <w:left w:val="single" w:sz="12" w:space="0" w:color="000000"/>
              <w:bottom w:val="single" w:sz="4" w:space="0" w:color="000000"/>
              <w:right w:val="single" w:sz="12" w:space="0" w:color="000000"/>
            </w:tcBorders>
            <w:vAlign w:val="center"/>
          </w:tcPr>
          <w:p w14:paraId="297FD82A" w14:textId="7787AEE1" w:rsidR="00FC0D61" w:rsidRDefault="00FC0D61" w:rsidP="00240D54">
            <w:pPr>
              <w:spacing w:after="0" w:line="259" w:lineRule="auto"/>
              <w:ind w:left="0" w:right="1" w:firstLine="0"/>
              <w:jc w:val="center"/>
            </w:pPr>
          </w:p>
        </w:tc>
        <w:tc>
          <w:tcPr>
            <w:tcW w:w="454" w:type="dxa"/>
            <w:tcBorders>
              <w:top w:val="single" w:sz="4" w:space="0" w:color="000000"/>
              <w:left w:val="single" w:sz="12" w:space="0" w:color="000000"/>
              <w:bottom w:val="single" w:sz="4" w:space="0" w:color="000000"/>
              <w:right w:val="single" w:sz="12" w:space="0" w:color="000000"/>
            </w:tcBorders>
            <w:vAlign w:val="center"/>
          </w:tcPr>
          <w:p w14:paraId="28947E01" w14:textId="2B4CE7CC" w:rsidR="00FC0D61" w:rsidRDefault="00FC0D61" w:rsidP="00240D54">
            <w:pPr>
              <w:spacing w:after="0" w:line="259" w:lineRule="auto"/>
              <w:ind w:left="0" w:right="0" w:firstLine="0"/>
              <w:jc w:val="center"/>
            </w:pPr>
          </w:p>
        </w:tc>
        <w:tc>
          <w:tcPr>
            <w:tcW w:w="1003" w:type="dxa"/>
            <w:tcBorders>
              <w:top w:val="single" w:sz="4" w:space="0" w:color="000000"/>
              <w:left w:val="single" w:sz="12" w:space="0" w:color="000000"/>
              <w:bottom w:val="single" w:sz="4" w:space="0" w:color="000000"/>
              <w:right w:val="single" w:sz="12" w:space="0" w:color="000000"/>
            </w:tcBorders>
            <w:vAlign w:val="center"/>
          </w:tcPr>
          <w:p w14:paraId="63B2BAEC" w14:textId="406552E7" w:rsidR="00FC0D61" w:rsidRDefault="00FC0D61" w:rsidP="00240D54">
            <w:pPr>
              <w:spacing w:after="0" w:line="259" w:lineRule="auto"/>
              <w:ind w:left="38" w:right="0" w:firstLine="0"/>
              <w:jc w:val="center"/>
            </w:pPr>
            <w:r>
              <w:rPr>
                <w:sz w:val="18"/>
              </w:rPr>
              <w:t>8081B</w:t>
            </w:r>
          </w:p>
        </w:tc>
        <w:tc>
          <w:tcPr>
            <w:tcW w:w="793" w:type="dxa"/>
            <w:tcBorders>
              <w:top w:val="single" w:sz="4" w:space="0" w:color="000000"/>
              <w:left w:val="single" w:sz="12" w:space="0" w:color="000000"/>
              <w:bottom w:val="single" w:sz="4" w:space="0" w:color="000000"/>
              <w:right w:val="single" w:sz="12" w:space="0" w:color="000000"/>
            </w:tcBorders>
            <w:vAlign w:val="center"/>
          </w:tcPr>
          <w:p w14:paraId="5AB9EE06" w14:textId="0A2A40F0" w:rsidR="00FC0D61" w:rsidRDefault="00FC0D61" w:rsidP="00240D54">
            <w:pPr>
              <w:spacing w:after="0" w:line="259" w:lineRule="auto"/>
              <w:ind w:left="0" w:right="2" w:firstLine="0"/>
              <w:jc w:val="center"/>
            </w:pPr>
          </w:p>
        </w:tc>
      </w:tr>
      <w:tr w:rsidR="00FC0D61" w14:paraId="0C55CA1A" w14:textId="77777777" w:rsidTr="005B6604">
        <w:trPr>
          <w:trHeight w:val="250"/>
        </w:trPr>
        <w:tc>
          <w:tcPr>
            <w:tcW w:w="3167" w:type="dxa"/>
            <w:tcBorders>
              <w:top w:val="single" w:sz="4" w:space="0" w:color="000000"/>
              <w:left w:val="single" w:sz="12" w:space="0" w:color="000000"/>
              <w:bottom w:val="single" w:sz="4" w:space="0" w:color="000000"/>
              <w:right w:val="single" w:sz="12" w:space="0" w:color="000000"/>
            </w:tcBorders>
            <w:vAlign w:val="center"/>
          </w:tcPr>
          <w:p w14:paraId="1001242B" w14:textId="77777777" w:rsidR="00FC0D61" w:rsidRDefault="00FC0D61" w:rsidP="00240D54">
            <w:pPr>
              <w:spacing w:after="0" w:line="259" w:lineRule="auto"/>
              <w:ind w:left="0" w:right="0" w:firstLine="0"/>
            </w:pPr>
            <w:proofErr w:type="spellStart"/>
            <w:r>
              <w:rPr>
                <w:sz w:val="18"/>
              </w:rPr>
              <w:t>Mirex</w:t>
            </w:r>
            <w:proofErr w:type="spellEnd"/>
            <w:r>
              <w:rPr>
                <w:sz w:val="18"/>
              </w:rPr>
              <w:t xml:space="preserve">  </w:t>
            </w:r>
          </w:p>
        </w:tc>
        <w:tc>
          <w:tcPr>
            <w:tcW w:w="1195" w:type="dxa"/>
            <w:tcBorders>
              <w:top w:val="single" w:sz="4" w:space="0" w:color="000000"/>
              <w:left w:val="single" w:sz="12" w:space="0" w:color="000000"/>
              <w:bottom w:val="single" w:sz="4" w:space="0" w:color="000000"/>
              <w:right w:val="single" w:sz="12" w:space="0" w:color="000000"/>
            </w:tcBorders>
            <w:vAlign w:val="center"/>
          </w:tcPr>
          <w:p w14:paraId="16D5392D" w14:textId="1209E293" w:rsidR="00FC0D61" w:rsidRDefault="00FC0D61" w:rsidP="00240D54">
            <w:pPr>
              <w:spacing w:after="0" w:line="259" w:lineRule="auto"/>
              <w:ind w:left="0" w:right="44" w:firstLine="0"/>
              <w:jc w:val="center"/>
            </w:pPr>
            <w:r>
              <w:rPr>
                <w:sz w:val="18"/>
              </w:rPr>
              <w:t>2385-85-5</w:t>
            </w:r>
          </w:p>
        </w:tc>
        <w:tc>
          <w:tcPr>
            <w:tcW w:w="588" w:type="dxa"/>
            <w:tcBorders>
              <w:top w:val="single" w:sz="4" w:space="0" w:color="000000"/>
              <w:left w:val="single" w:sz="12" w:space="0" w:color="000000"/>
              <w:bottom w:val="single" w:sz="4" w:space="0" w:color="000000"/>
              <w:right w:val="single" w:sz="12" w:space="0" w:color="000000"/>
            </w:tcBorders>
            <w:vAlign w:val="center"/>
          </w:tcPr>
          <w:p w14:paraId="0CFF25A1" w14:textId="32FEA229" w:rsidR="00FC0D61" w:rsidRDefault="00FC0D61" w:rsidP="00240D54">
            <w:pPr>
              <w:tabs>
                <w:tab w:val="right" w:pos="489"/>
              </w:tabs>
              <w:spacing w:after="0" w:line="259" w:lineRule="auto"/>
              <w:ind w:left="0" w:right="0" w:firstLine="0"/>
              <w:jc w:val="center"/>
            </w:pPr>
            <w:r>
              <w:rPr>
                <w:sz w:val="18"/>
              </w:rPr>
              <w:t>0.3</w:t>
            </w:r>
          </w:p>
        </w:tc>
        <w:tc>
          <w:tcPr>
            <w:tcW w:w="714" w:type="dxa"/>
            <w:tcBorders>
              <w:top w:val="single" w:sz="4" w:space="0" w:color="000000"/>
              <w:left w:val="single" w:sz="12" w:space="0" w:color="000000"/>
              <w:bottom w:val="single" w:sz="4" w:space="0" w:color="000000"/>
              <w:right w:val="single" w:sz="12" w:space="0" w:color="000000"/>
            </w:tcBorders>
            <w:vAlign w:val="center"/>
          </w:tcPr>
          <w:p w14:paraId="33534065" w14:textId="6D9FCB05" w:rsidR="00FC0D61" w:rsidRDefault="00FC0D61" w:rsidP="00240D54">
            <w:pPr>
              <w:spacing w:after="0" w:line="259" w:lineRule="auto"/>
              <w:ind w:left="0" w:right="48" w:firstLine="0"/>
              <w:jc w:val="center"/>
            </w:pPr>
            <w:r>
              <w:rPr>
                <w:sz w:val="18"/>
              </w:rPr>
              <w:t>ug/L</w:t>
            </w:r>
          </w:p>
        </w:tc>
        <w:tc>
          <w:tcPr>
            <w:tcW w:w="811" w:type="dxa"/>
            <w:tcBorders>
              <w:top w:val="single" w:sz="4" w:space="0" w:color="000000"/>
              <w:left w:val="single" w:sz="12" w:space="0" w:color="000000"/>
              <w:bottom w:val="single" w:sz="4" w:space="0" w:color="000000"/>
              <w:right w:val="single" w:sz="12" w:space="0" w:color="000000"/>
            </w:tcBorders>
            <w:vAlign w:val="center"/>
          </w:tcPr>
          <w:p w14:paraId="1BDA314B" w14:textId="4991B127" w:rsidR="00FC0D61" w:rsidRDefault="00FC0D61" w:rsidP="00240D54">
            <w:pPr>
              <w:tabs>
                <w:tab w:val="right" w:pos="713"/>
              </w:tabs>
              <w:spacing w:after="0" w:line="259" w:lineRule="auto"/>
              <w:ind w:left="0" w:right="0" w:firstLine="0"/>
              <w:jc w:val="center"/>
            </w:pPr>
            <w:r>
              <w:rPr>
                <w:sz w:val="18"/>
              </w:rPr>
              <w:t>20</w:t>
            </w:r>
          </w:p>
        </w:tc>
        <w:tc>
          <w:tcPr>
            <w:tcW w:w="711" w:type="dxa"/>
            <w:tcBorders>
              <w:top w:val="single" w:sz="4" w:space="0" w:color="000000"/>
              <w:left w:val="single" w:sz="12" w:space="0" w:color="000000"/>
              <w:bottom w:val="single" w:sz="4" w:space="0" w:color="000000"/>
              <w:right w:val="single" w:sz="12" w:space="0" w:color="000000"/>
            </w:tcBorders>
            <w:vAlign w:val="center"/>
          </w:tcPr>
          <w:p w14:paraId="1CA1D27B" w14:textId="7308E209" w:rsidR="00FC0D61" w:rsidRDefault="00FC0D61" w:rsidP="00240D54">
            <w:pPr>
              <w:spacing w:after="0" w:line="259" w:lineRule="auto"/>
              <w:ind w:left="0" w:right="44" w:firstLine="0"/>
              <w:jc w:val="center"/>
            </w:pPr>
            <w:r>
              <w:rPr>
                <w:rFonts w:eastAsia="Segoe UI Symbol"/>
                <w:sz w:val="18"/>
              </w:rPr>
              <w:t>u</w:t>
            </w:r>
            <w:r>
              <w:rPr>
                <w:sz w:val="18"/>
              </w:rPr>
              <w:t>g/kg</w:t>
            </w:r>
          </w:p>
        </w:tc>
        <w:tc>
          <w:tcPr>
            <w:tcW w:w="639" w:type="dxa"/>
            <w:tcBorders>
              <w:top w:val="single" w:sz="4" w:space="0" w:color="000000"/>
              <w:left w:val="single" w:sz="12" w:space="0" w:color="000000"/>
              <w:bottom w:val="single" w:sz="4" w:space="0" w:color="000000"/>
              <w:right w:val="single" w:sz="12" w:space="0" w:color="000000"/>
            </w:tcBorders>
            <w:vAlign w:val="center"/>
          </w:tcPr>
          <w:p w14:paraId="0714700F" w14:textId="36D459B3" w:rsidR="00FC0D61" w:rsidRDefault="00FC0D61" w:rsidP="00240D54">
            <w:pPr>
              <w:spacing w:after="0" w:line="259" w:lineRule="auto"/>
              <w:ind w:left="0" w:right="0" w:firstLine="0"/>
              <w:jc w:val="center"/>
            </w:pPr>
          </w:p>
        </w:tc>
        <w:tc>
          <w:tcPr>
            <w:tcW w:w="545" w:type="dxa"/>
            <w:tcBorders>
              <w:top w:val="single" w:sz="4" w:space="0" w:color="000000"/>
              <w:left w:val="single" w:sz="12" w:space="0" w:color="000000"/>
              <w:bottom w:val="single" w:sz="4" w:space="0" w:color="000000"/>
              <w:right w:val="single" w:sz="12" w:space="0" w:color="000000"/>
            </w:tcBorders>
            <w:vAlign w:val="center"/>
          </w:tcPr>
          <w:p w14:paraId="361BABD8" w14:textId="0B81E732" w:rsidR="00FC0D61" w:rsidRDefault="00FC0D61" w:rsidP="00240D54">
            <w:pPr>
              <w:spacing w:after="0" w:line="259" w:lineRule="auto"/>
              <w:ind w:left="0" w:right="1" w:firstLine="0"/>
              <w:jc w:val="center"/>
            </w:pPr>
          </w:p>
        </w:tc>
        <w:tc>
          <w:tcPr>
            <w:tcW w:w="454" w:type="dxa"/>
            <w:tcBorders>
              <w:top w:val="single" w:sz="4" w:space="0" w:color="000000"/>
              <w:left w:val="single" w:sz="12" w:space="0" w:color="000000"/>
              <w:bottom w:val="single" w:sz="4" w:space="0" w:color="000000"/>
              <w:right w:val="single" w:sz="12" w:space="0" w:color="000000"/>
            </w:tcBorders>
            <w:vAlign w:val="center"/>
          </w:tcPr>
          <w:p w14:paraId="5E9C4061" w14:textId="118F215D" w:rsidR="00FC0D61" w:rsidRDefault="00FC0D61" w:rsidP="00240D54">
            <w:pPr>
              <w:spacing w:after="0" w:line="259" w:lineRule="auto"/>
              <w:ind w:left="0" w:right="0" w:firstLine="0"/>
              <w:jc w:val="center"/>
            </w:pPr>
          </w:p>
        </w:tc>
        <w:tc>
          <w:tcPr>
            <w:tcW w:w="1003" w:type="dxa"/>
            <w:tcBorders>
              <w:top w:val="single" w:sz="4" w:space="0" w:color="000000"/>
              <w:left w:val="single" w:sz="12" w:space="0" w:color="000000"/>
              <w:bottom w:val="single" w:sz="4" w:space="0" w:color="000000"/>
              <w:right w:val="single" w:sz="12" w:space="0" w:color="000000"/>
            </w:tcBorders>
            <w:vAlign w:val="center"/>
          </w:tcPr>
          <w:p w14:paraId="2B5EAAF2" w14:textId="3AFFA91A" w:rsidR="00FC0D61" w:rsidRDefault="00FC0D61" w:rsidP="00240D54">
            <w:pPr>
              <w:spacing w:after="0" w:line="259" w:lineRule="auto"/>
              <w:ind w:left="38" w:right="0" w:firstLine="0"/>
              <w:jc w:val="center"/>
            </w:pPr>
            <w:r>
              <w:rPr>
                <w:sz w:val="18"/>
              </w:rPr>
              <w:t>8081B</w:t>
            </w:r>
          </w:p>
        </w:tc>
        <w:tc>
          <w:tcPr>
            <w:tcW w:w="793" w:type="dxa"/>
            <w:tcBorders>
              <w:top w:val="single" w:sz="4" w:space="0" w:color="000000"/>
              <w:left w:val="single" w:sz="12" w:space="0" w:color="000000"/>
              <w:bottom w:val="single" w:sz="4" w:space="0" w:color="000000"/>
              <w:right w:val="single" w:sz="12" w:space="0" w:color="000000"/>
            </w:tcBorders>
            <w:vAlign w:val="center"/>
          </w:tcPr>
          <w:p w14:paraId="69D0DA5B" w14:textId="7D072CBF" w:rsidR="00FC0D61" w:rsidRDefault="00FC0D61" w:rsidP="00240D54">
            <w:pPr>
              <w:spacing w:after="0" w:line="259" w:lineRule="auto"/>
              <w:ind w:left="0" w:right="2" w:firstLine="0"/>
              <w:jc w:val="center"/>
            </w:pPr>
          </w:p>
        </w:tc>
      </w:tr>
      <w:tr w:rsidR="00FC0D61" w14:paraId="7EA4008F" w14:textId="77777777" w:rsidTr="005B6604">
        <w:trPr>
          <w:trHeight w:val="250"/>
        </w:trPr>
        <w:tc>
          <w:tcPr>
            <w:tcW w:w="3167" w:type="dxa"/>
            <w:tcBorders>
              <w:top w:val="single" w:sz="4" w:space="0" w:color="000000"/>
              <w:left w:val="single" w:sz="12" w:space="0" w:color="000000"/>
              <w:bottom w:val="single" w:sz="4" w:space="0" w:color="000000"/>
              <w:right w:val="single" w:sz="12" w:space="0" w:color="000000"/>
            </w:tcBorders>
            <w:vAlign w:val="center"/>
          </w:tcPr>
          <w:p w14:paraId="5236F048" w14:textId="77777777" w:rsidR="00FC0D61" w:rsidRDefault="00FC0D61" w:rsidP="00240D54">
            <w:pPr>
              <w:spacing w:after="0" w:line="259" w:lineRule="auto"/>
              <w:ind w:left="0" w:right="0" w:firstLine="0"/>
            </w:pPr>
            <w:proofErr w:type="spellStart"/>
            <w:r>
              <w:rPr>
                <w:sz w:val="18"/>
              </w:rPr>
              <w:t>Nitrofen</w:t>
            </w:r>
            <w:proofErr w:type="spellEnd"/>
            <w:r>
              <w:rPr>
                <w:sz w:val="18"/>
              </w:rPr>
              <w:t xml:space="preserve">  </w:t>
            </w:r>
          </w:p>
        </w:tc>
        <w:tc>
          <w:tcPr>
            <w:tcW w:w="1195" w:type="dxa"/>
            <w:tcBorders>
              <w:top w:val="single" w:sz="4" w:space="0" w:color="000000"/>
              <w:left w:val="single" w:sz="12" w:space="0" w:color="000000"/>
              <w:bottom w:val="single" w:sz="4" w:space="0" w:color="000000"/>
              <w:right w:val="single" w:sz="12" w:space="0" w:color="000000"/>
            </w:tcBorders>
            <w:vAlign w:val="center"/>
          </w:tcPr>
          <w:p w14:paraId="20ACD3C6" w14:textId="174CA795" w:rsidR="00FC0D61" w:rsidRDefault="00FC0D61" w:rsidP="00240D54">
            <w:pPr>
              <w:spacing w:after="0" w:line="259" w:lineRule="auto"/>
              <w:ind w:left="0" w:right="44" w:firstLine="0"/>
              <w:jc w:val="center"/>
            </w:pPr>
            <w:r>
              <w:rPr>
                <w:sz w:val="18"/>
              </w:rPr>
              <w:t>1836-75-5</w:t>
            </w:r>
          </w:p>
        </w:tc>
        <w:tc>
          <w:tcPr>
            <w:tcW w:w="588" w:type="dxa"/>
            <w:tcBorders>
              <w:top w:val="single" w:sz="4" w:space="0" w:color="000000"/>
              <w:left w:val="single" w:sz="12" w:space="0" w:color="000000"/>
              <w:bottom w:val="single" w:sz="4" w:space="0" w:color="000000"/>
              <w:right w:val="single" w:sz="12" w:space="0" w:color="000000"/>
            </w:tcBorders>
            <w:vAlign w:val="center"/>
          </w:tcPr>
          <w:p w14:paraId="21450FB3" w14:textId="25A956D2" w:rsidR="00FC0D61" w:rsidRDefault="00FC0D61" w:rsidP="00240D54">
            <w:pPr>
              <w:spacing w:after="0" w:line="259" w:lineRule="auto"/>
              <w:ind w:left="0" w:right="0" w:firstLine="0"/>
              <w:jc w:val="center"/>
            </w:pPr>
            <w:r>
              <w:rPr>
                <w:sz w:val="18"/>
              </w:rPr>
              <w:t>20</w:t>
            </w:r>
          </w:p>
        </w:tc>
        <w:tc>
          <w:tcPr>
            <w:tcW w:w="714" w:type="dxa"/>
            <w:tcBorders>
              <w:top w:val="single" w:sz="4" w:space="0" w:color="000000"/>
              <w:left w:val="single" w:sz="12" w:space="0" w:color="000000"/>
              <w:bottom w:val="single" w:sz="4" w:space="0" w:color="000000"/>
              <w:right w:val="single" w:sz="12" w:space="0" w:color="000000"/>
            </w:tcBorders>
            <w:vAlign w:val="center"/>
          </w:tcPr>
          <w:p w14:paraId="7178056A" w14:textId="73A7C808" w:rsidR="00FC0D61" w:rsidRDefault="00FC0D61" w:rsidP="00240D54">
            <w:pPr>
              <w:spacing w:after="0" w:line="259" w:lineRule="auto"/>
              <w:ind w:left="0" w:right="48" w:firstLine="0"/>
              <w:jc w:val="center"/>
            </w:pPr>
            <w:r>
              <w:rPr>
                <w:sz w:val="18"/>
              </w:rPr>
              <w:t>ug/L</w:t>
            </w:r>
          </w:p>
        </w:tc>
        <w:tc>
          <w:tcPr>
            <w:tcW w:w="811" w:type="dxa"/>
            <w:tcBorders>
              <w:top w:val="single" w:sz="4" w:space="0" w:color="000000"/>
              <w:left w:val="single" w:sz="12" w:space="0" w:color="000000"/>
              <w:bottom w:val="single" w:sz="4" w:space="0" w:color="000000"/>
              <w:right w:val="single" w:sz="12" w:space="0" w:color="000000"/>
            </w:tcBorders>
            <w:vAlign w:val="center"/>
          </w:tcPr>
          <w:p w14:paraId="2474A6F9" w14:textId="776211F5" w:rsidR="00FC0D61" w:rsidRDefault="00FC0D61" w:rsidP="00240D54">
            <w:pPr>
              <w:spacing w:after="0" w:line="259" w:lineRule="auto"/>
              <w:ind w:left="0" w:right="0" w:firstLine="0"/>
              <w:jc w:val="center"/>
            </w:pPr>
            <w:r>
              <w:rPr>
                <w:sz w:val="18"/>
              </w:rPr>
              <w:t>1300</w:t>
            </w:r>
          </w:p>
        </w:tc>
        <w:tc>
          <w:tcPr>
            <w:tcW w:w="711" w:type="dxa"/>
            <w:tcBorders>
              <w:top w:val="single" w:sz="4" w:space="0" w:color="000000"/>
              <w:left w:val="single" w:sz="12" w:space="0" w:color="000000"/>
              <w:bottom w:val="single" w:sz="4" w:space="0" w:color="000000"/>
              <w:right w:val="single" w:sz="12" w:space="0" w:color="000000"/>
            </w:tcBorders>
            <w:vAlign w:val="center"/>
          </w:tcPr>
          <w:p w14:paraId="2A3674DA" w14:textId="1628A5C3" w:rsidR="00FC0D61" w:rsidRDefault="00FC0D61" w:rsidP="00240D54">
            <w:pPr>
              <w:spacing w:after="0" w:line="259" w:lineRule="auto"/>
              <w:ind w:left="0" w:right="44" w:firstLine="0"/>
              <w:jc w:val="center"/>
            </w:pPr>
            <w:r>
              <w:rPr>
                <w:rFonts w:eastAsia="Segoe UI Symbol"/>
                <w:sz w:val="18"/>
              </w:rPr>
              <w:t>u</w:t>
            </w:r>
            <w:r>
              <w:rPr>
                <w:sz w:val="18"/>
              </w:rPr>
              <w:t>g/kg</w:t>
            </w:r>
          </w:p>
        </w:tc>
        <w:tc>
          <w:tcPr>
            <w:tcW w:w="639" w:type="dxa"/>
            <w:tcBorders>
              <w:top w:val="single" w:sz="4" w:space="0" w:color="000000"/>
              <w:left w:val="single" w:sz="12" w:space="0" w:color="000000"/>
              <w:bottom w:val="single" w:sz="4" w:space="0" w:color="000000"/>
              <w:right w:val="single" w:sz="12" w:space="0" w:color="000000"/>
            </w:tcBorders>
            <w:vAlign w:val="center"/>
          </w:tcPr>
          <w:p w14:paraId="062D933C" w14:textId="306BE050" w:rsidR="00FC0D61" w:rsidRDefault="00FC0D61" w:rsidP="00240D54">
            <w:pPr>
              <w:spacing w:after="0" w:line="259" w:lineRule="auto"/>
              <w:ind w:left="0" w:right="0" w:firstLine="0"/>
              <w:jc w:val="center"/>
            </w:pPr>
          </w:p>
        </w:tc>
        <w:tc>
          <w:tcPr>
            <w:tcW w:w="545" w:type="dxa"/>
            <w:tcBorders>
              <w:top w:val="single" w:sz="4" w:space="0" w:color="000000"/>
              <w:left w:val="single" w:sz="12" w:space="0" w:color="000000"/>
              <w:bottom w:val="single" w:sz="4" w:space="0" w:color="000000"/>
              <w:right w:val="single" w:sz="12" w:space="0" w:color="000000"/>
            </w:tcBorders>
            <w:vAlign w:val="center"/>
          </w:tcPr>
          <w:p w14:paraId="1D761594" w14:textId="358938ED" w:rsidR="00FC0D61" w:rsidRDefault="00FC0D61" w:rsidP="00240D54">
            <w:pPr>
              <w:spacing w:after="0" w:line="259" w:lineRule="auto"/>
              <w:ind w:left="0" w:right="1" w:firstLine="0"/>
              <w:jc w:val="center"/>
            </w:pPr>
          </w:p>
        </w:tc>
        <w:tc>
          <w:tcPr>
            <w:tcW w:w="454" w:type="dxa"/>
            <w:tcBorders>
              <w:top w:val="single" w:sz="4" w:space="0" w:color="000000"/>
              <w:left w:val="single" w:sz="12" w:space="0" w:color="000000"/>
              <w:bottom w:val="single" w:sz="4" w:space="0" w:color="000000"/>
              <w:right w:val="single" w:sz="12" w:space="0" w:color="000000"/>
            </w:tcBorders>
            <w:vAlign w:val="center"/>
          </w:tcPr>
          <w:p w14:paraId="56268BC2" w14:textId="6C59AA18" w:rsidR="00FC0D61" w:rsidRDefault="00FC0D61" w:rsidP="00240D54">
            <w:pPr>
              <w:spacing w:after="0" w:line="259" w:lineRule="auto"/>
              <w:ind w:left="0" w:right="0" w:firstLine="0"/>
              <w:jc w:val="center"/>
            </w:pPr>
          </w:p>
        </w:tc>
        <w:tc>
          <w:tcPr>
            <w:tcW w:w="1003" w:type="dxa"/>
            <w:tcBorders>
              <w:top w:val="single" w:sz="4" w:space="0" w:color="000000"/>
              <w:left w:val="single" w:sz="12" w:space="0" w:color="000000"/>
              <w:bottom w:val="single" w:sz="4" w:space="0" w:color="000000"/>
              <w:right w:val="single" w:sz="12" w:space="0" w:color="000000"/>
            </w:tcBorders>
            <w:vAlign w:val="center"/>
          </w:tcPr>
          <w:p w14:paraId="1FCC65C6" w14:textId="46DF5E4B" w:rsidR="00FC0D61" w:rsidRDefault="00FC0D61" w:rsidP="00240D54">
            <w:pPr>
              <w:spacing w:after="0" w:line="259" w:lineRule="auto"/>
              <w:ind w:left="38" w:right="0" w:firstLine="0"/>
              <w:jc w:val="center"/>
            </w:pPr>
            <w:r>
              <w:rPr>
                <w:sz w:val="18"/>
              </w:rPr>
              <w:t>8081B</w:t>
            </w:r>
          </w:p>
        </w:tc>
        <w:tc>
          <w:tcPr>
            <w:tcW w:w="793" w:type="dxa"/>
            <w:tcBorders>
              <w:top w:val="single" w:sz="4" w:space="0" w:color="000000"/>
              <w:left w:val="single" w:sz="12" w:space="0" w:color="000000"/>
              <w:bottom w:val="single" w:sz="4" w:space="0" w:color="000000"/>
              <w:right w:val="single" w:sz="12" w:space="0" w:color="000000"/>
            </w:tcBorders>
            <w:vAlign w:val="center"/>
          </w:tcPr>
          <w:p w14:paraId="7F691DAA" w14:textId="02313B97" w:rsidR="00FC0D61" w:rsidRDefault="00FC0D61" w:rsidP="00240D54">
            <w:pPr>
              <w:spacing w:after="0" w:line="259" w:lineRule="auto"/>
              <w:ind w:left="0" w:right="45" w:firstLine="0"/>
              <w:jc w:val="center"/>
            </w:pPr>
            <w:r>
              <w:rPr>
                <w:sz w:val="18"/>
              </w:rPr>
              <w:t>8270D</w:t>
            </w:r>
          </w:p>
        </w:tc>
      </w:tr>
      <w:tr w:rsidR="00FC0D61" w14:paraId="6ABBEF17" w14:textId="77777777" w:rsidTr="005B6604">
        <w:trPr>
          <w:trHeight w:val="262"/>
        </w:trPr>
        <w:tc>
          <w:tcPr>
            <w:tcW w:w="3167" w:type="dxa"/>
            <w:tcBorders>
              <w:top w:val="single" w:sz="4" w:space="0" w:color="000000"/>
              <w:left w:val="single" w:sz="12" w:space="0" w:color="000000"/>
              <w:bottom w:val="single" w:sz="12" w:space="0" w:color="000000"/>
              <w:right w:val="single" w:sz="12" w:space="0" w:color="000000"/>
            </w:tcBorders>
            <w:vAlign w:val="center"/>
          </w:tcPr>
          <w:p w14:paraId="74B66D40" w14:textId="77777777" w:rsidR="00FC0D61" w:rsidRDefault="00FC0D61" w:rsidP="00240D54">
            <w:pPr>
              <w:spacing w:after="0" w:line="259" w:lineRule="auto"/>
              <w:ind w:left="0" w:right="0" w:firstLine="0"/>
            </w:pPr>
            <w:r>
              <w:rPr>
                <w:sz w:val="18"/>
              </w:rPr>
              <w:t xml:space="preserve">Permethrin (cis + trans) </w:t>
            </w:r>
          </w:p>
        </w:tc>
        <w:tc>
          <w:tcPr>
            <w:tcW w:w="1195" w:type="dxa"/>
            <w:tcBorders>
              <w:top w:val="single" w:sz="4" w:space="0" w:color="000000"/>
              <w:left w:val="single" w:sz="12" w:space="0" w:color="000000"/>
              <w:bottom w:val="single" w:sz="12" w:space="0" w:color="000000"/>
              <w:right w:val="single" w:sz="12" w:space="0" w:color="000000"/>
            </w:tcBorders>
            <w:vAlign w:val="center"/>
          </w:tcPr>
          <w:p w14:paraId="158A2178" w14:textId="35C7C940" w:rsidR="00FC0D61" w:rsidRDefault="00FC0D61" w:rsidP="00240D54">
            <w:pPr>
              <w:spacing w:after="0" w:line="259" w:lineRule="auto"/>
              <w:ind w:left="0" w:right="44" w:firstLine="0"/>
              <w:jc w:val="center"/>
            </w:pPr>
            <w:r>
              <w:rPr>
                <w:sz w:val="18"/>
              </w:rPr>
              <w:t>52645-53-1</w:t>
            </w:r>
          </w:p>
        </w:tc>
        <w:tc>
          <w:tcPr>
            <w:tcW w:w="588" w:type="dxa"/>
            <w:tcBorders>
              <w:top w:val="single" w:sz="4" w:space="0" w:color="000000"/>
              <w:left w:val="single" w:sz="12" w:space="0" w:color="000000"/>
              <w:bottom w:val="single" w:sz="12" w:space="0" w:color="000000"/>
              <w:right w:val="single" w:sz="12" w:space="0" w:color="000000"/>
            </w:tcBorders>
            <w:vAlign w:val="center"/>
          </w:tcPr>
          <w:p w14:paraId="6F32BDC0" w14:textId="70A0BF39" w:rsidR="00FC0D61" w:rsidRDefault="00FC0D61" w:rsidP="00240D54">
            <w:pPr>
              <w:tabs>
                <w:tab w:val="right" w:pos="489"/>
              </w:tabs>
              <w:spacing w:after="0" w:line="259" w:lineRule="auto"/>
              <w:ind w:left="0" w:right="0" w:firstLine="0"/>
              <w:jc w:val="center"/>
            </w:pPr>
            <w:r>
              <w:rPr>
                <w:sz w:val="18"/>
              </w:rPr>
              <w:t>10</w:t>
            </w:r>
          </w:p>
        </w:tc>
        <w:tc>
          <w:tcPr>
            <w:tcW w:w="714" w:type="dxa"/>
            <w:tcBorders>
              <w:top w:val="single" w:sz="4" w:space="0" w:color="000000"/>
              <w:left w:val="single" w:sz="12" w:space="0" w:color="000000"/>
              <w:bottom w:val="single" w:sz="12" w:space="0" w:color="000000"/>
              <w:right w:val="single" w:sz="12" w:space="0" w:color="000000"/>
            </w:tcBorders>
            <w:vAlign w:val="center"/>
          </w:tcPr>
          <w:p w14:paraId="08A661B2" w14:textId="76BCAC93" w:rsidR="00FC0D61" w:rsidRDefault="00FC0D61" w:rsidP="00240D54">
            <w:pPr>
              <w:spacing w:after="0" w:line="259" w:lineRule="auto"/>
              <w:ind w:left="0" w:right="48" w:firstLine="0"/>
              <w:jc w:val="center"/>
            </w:pPr>
            <w:r>
              <w:rPr>
                <w:sz w:val="18"/>
              </w:rPr>
              <w:t>ug/L</w:t>
            </w:r>
          </w:p>
        </w:tc>
        <w:tc>
          <w:tcPr>
            <w:tcW w:w="811" w:type="dxa"/>
            <w:tcBorders>
              <w:top w:val="single" w:sz="4" w:space="0" w:color="000000"/>
              <w:left w:val="single" w:sz="12" w:space="0" w:color="000000"/>
              <w:bottom w:val="single" w:sz="12" w:space="0" w:color="000000"/>
              <w:right w:val="single" w:sz="12" w:space="0" w:color="000000"/>
            </w:tcBorders>
            <w:vAlign w:val="center"/>
          </w:tcPr>
          <w:p w14:paraId="71FE8F5A" w14:textId="48A49C2D" w:rsidR="00FC0D61" w:rsidRDefault="00FC0D61" w:rsidP="00240D54">
            <w:pPr>
              <w:spacing w:after="0" w:line="259" w:lineRule="auto"/>
              <w:ind w:left="0" w:right="0" w:firstLine="0"/>
              <w:jc w:val="center"/>
            </w:pPr>
            <w:r>
              <w:rPr>
                <w:sz w:val="18"/>
              </w:rPr>
              <w:t>6600</w:t>
            </w:r>
          </w:p>
        </w:tc>
        <w:tc>
          <w:tcPr>
            <w:tcW w:w="711" w:type="dxa"/>
            <w:tcBorders>
              <w:top w:val="single" w:sz="4" w:space="0" w:color="000000"/>
              <w:left w:val="single" w:sz="12" w:space="0" w:color="000000"/>
              <w:bottom w:val="single" w:sz="12" w:space="0" w:color="000000"/>
              <w:right w:val="single" w:sz="12" w:space="0" w:color="000000"/>
            </w:tcBorders>
            <w:vAlign w:val="center"/>
          </w:tcPr>
          <w:p w14:paraId="4DCE578C" w14:textId="7A5C67AA" w:rsidR="00FC0D61" w:rsidRDefault="00FC0D61" w:rsidP="00240D54">
            <w:pPr>
              <w:spacing w:after="0" w:line="259" w:lineRule="auto"/>
              <w:ind w:left="0" w:right="44" w:firstLine="0"/>
              <w:jc w:val="center"/>
            </w:pPr>
            <w:r>
              <w:rPr>
                <w:rFonts w:eastAsia="Segoe UI Symbol"/>
                <w:sz w:val="18"/>
              </w:rPr>
              <w:t>u</w:t>
            </w:r>
            <w:r>
              <w:rPr>
                <w:sz w:val="18"/>
              </w:rPr>
              <w:t>g/kg</w:t>
            </w:r>
          </w:p>
        </w:tc>
        <w:tc>
          <w:tcPr>
            <w:tcW w:w="639" w:type="dxa"/>
            <w:tcBorders>
              <w:top w:val="single" w:sz="4" w:space="0" w:color="000000"/>
              <w:left w:val="single" w:sz="12" w:space="0" w:color="000000"/>
              <w:bottom w:val="single" w:sz="12" w:space="0" w:color="000000"/>
              <w:right w:val="single" w:sz="12" w:space="0" w:color="000000"/>
            </w:tcBorders>
            <w:vAlign w:val="center"/>
          </w:tcPr>
          <w:p w14:paraId="00016669" w14:textId="3D0C71AF" w:rsidR="00FC0D61" w:rsidRDefault="00FC0D61" w:rsidP="00240D54">
            <w:pPr>
              <w:spacing w:after="0" w:line="259" w:lineRule="auto"/>
              <w:ind w:left="0" w:right="0" w:firstLine="0"/>
              <w:jc w:val="center"/>
            </w:pPr>
          </w:p>
        </w:tc>
        <w:tc>
          <w:tcPr>
            <w:tcW w:w="545" w:type="dxa"/>
            <w:tcBorders>
              <w:top w:val="single" w:sz="4" w:space="0" w:color="000000"/>
              <w:left w:val="single" w:sz="12" w:space="0" w:color="000000"/>
              <w:bottom w:val="single" w:sz="12" w:space="0" w:color="000000"/>
              <w:right w:val="single" w:sz="12" w:space="0" w:color="000000"/>
            </w:tcBorders>
            <w:vAlign w:val="center"/>
          </w:tcPr>
          <w:p w14:paraId="50C287BC" w14:textId="21721207" w:rsidR="00FC0D61" w:rsidRDefault="00FC0D61" w:rsidP="00240D54">
            <w:pPr>
              <w:spacing w:after="0" w:line="259" w:lineRule="auto"/>
              <w:ind w:left="0" w:right="1" w:firstLine="0"/>
              <w:jc w:val="center"/>
            </w:pPr>
          </w:p>
        </w:tc>
        <w:tc>
          <w:tcPr>
            <w:tcW w:w="454" w:type="dxa"/>
            <w:tcBorders>
              <w:top w:val="single" w:sz="4" w:space="0" w:color="000000"/>
              <w:left w:val="single" w:sz="12" w:space="0" w:color="000000"/>
              <w:bottom w:val="single" w:sz="12" w:space="0" w:color="000000"/>
              <w:right w:val="single" w:sz="12" w:space="0" w:color="000000"/>
            </w:tcBorders>
            <w:vAlign w:val="center"/>
          </w:tcPr>
          <w:p w14:paraId="51DE1CFA" w14:textId="302A6D03" w:rsidR="00FC0D61" w:rsidRDefault="00FC0D61" w:rsidP="00240D54">
            <w:pPr>
              <w:spacing w:after="0" w:line="259" w:lineRule="auto"/>
              <w:ind w:left="0" w:right="0" w:firstLine="0"/>
              <w:jc w:val="center"/>
            </w:pPr>
          </w:p>
        </w:tc>
        <w:tc>
          <w:tcPr>
            <w:tcW w:w="1003" w:type="dxa"/>
            <w:tcBorders>
              <w:top w:val="single" w:sz="4" w:space="0" w:color="000000"/>
              <w:left w:val="single" w:sz="12" w:space="0" w:color="000000"/>
              <w:bottom w:val="single" w:sz="12" w:space="0" w:color="000000"/>
              <w:right w:val="single" w:sz="12" w:space="0" w:color="000000"/>
            </w:tcBorders>
            <w:vAlign w:val="center"/>
          </w:tcPr>
          <w:p w14:paraId="510A76D0" w14:textId="66A4D717" w:rsidR="00FC0D61" w:rsidRDefault="00FC0D61" w:rsidP="00240D54">
            <w:pPr>
              <w:spacing w:after="0" w:line="259" w:lineRule="auto"/>
              <w:ind w:left="38" w:right="0" w:firstLine="0"/>
              <w:jc w:val="center"/>
            </w:pPr>
            <w:r>
              <w:rPr>
                <w:sz w:val="18"/>
              </w:rPr>
              <w:t>8081B</w:t>
            </w:r>
          </w:p>
        </w:tc>
        <w:tc>
          <w:tcPr>
            <w:tcW w:w="793" w:type="dxa"/>
            <w:tcBorders>
              <w:top w:val="single" w:sz="4" w:space="0" w:color="000000"/>
              <w:left w:val="single" w:sz="12" w:space="0" w:color="000000"/>
              <w:bottom w:val="single" w:sz="12" w:space="0" w:color="000000"/>
              <w:right w:val="single" w:sz="12" w:space="0" w:color="000000"/>
            </w:tcBorders>
            <w:vAlign w:val="center"/>
          </w:tcPr>
          <w:p w14:paraId="197CFB28" w14:textId="5CDC86BD" w:rsidR="00FC0D61" w:rsidRDefault="00FC0D61" w:rsidP="00240D54">
            <w:pPr>
              <w:spacing w:after="0" w:line="259" w:lineRule="auto"/>
              <w:ind w:left="0" w:right="2" w:firstLine="0"/>
              <w:jc w:val="center"/>
            </w:pPr>
          </w:p>
        </w:tc>
      </w:tr>
    </w:tbl>
    <w:p w14:paraId="0A9CF8B5" w14:textId="2D486BCB" w:rsidR="00B56D50" w:rsidRDefault="00B56D50">
      <w:pPr>
        <w:spacing w:after="0" w:line="259" w:lineRule="auto"/>
        <w:ind w:left="0" w:right="0" w:firstLine="0"/>
      </w:pPr>
    </w:p>
    <w:p w14:paraId="5DE7659E" w14:textId="77777777" w:rsidR="00DA7C82" w:rsidRDefault="00DA7C82">
      <w:pPr>
        <w:spacing w:after="0" w:line="259" w:lineRule="auto"/>
        <w:ind w:left="0" w:right="0" w:firstLine="0"/>
      </w:pPr>
    </w:p>
    <w:p w14:paraId="4A0BF5D3" w14:textId="77777777" w:rsidR="0095300F" w:rsidRDefault="0095300F">
      <w:pPr>
        <w:spacing w:after="0" w:line="259" w:lineRule="auto"/>
        <w:ind w:left="0" w:right="0" w:firstLine="0"/>
      </w:pPr>
    </w:p>
    <w:tbl>
      <w:tblPr>
        <w:tblStyle w:val="TableGrid1"/>
        <w:tblW w:w="10620" w:type="dxa"/>
        <w:tblInd w:w="-375" w:type="dxa"/>
        <w:tblLayout w:type="fixed"/>
        <w:tblCellMar>
          <w:top w:w="8" w:type="dxa"/>
          <w:left w:w="72" w:type="dxa"/>
          <w:right w:w="27" w:type="dxa"/>
        </w:tblCellMar>
        <w:tblLook w:val="04A0" w:firstRow="1" w:lastRow="0" w:firstColumn="1" w:lastColumn="0" w:noHBand="0" w:noVBand="1"/>
      </w:tblPr>
      <w:tblGrid>
        <w:gridCol w:w="3022"/>
        <w:gridCol w:w="1106"/>
        <w:gridCol w:w="616"/>
        <w:gridCol w:w="689"/>
        <w:gridCol w:w="913"/>
        <w:gridCol w:w="854"/>
        <w:gridCol w:w="630"/>
        <w:gridCol w:w="540"/>
        <w:gridCol w:w="540"/>
        <w:gridCol w:w="720"/>
        <w:gridCol w:w="990"/>
      </w:tblGrid>
      <w:tr w:rsidR="00B56D50" w14:paraId="0D748C08" w14:textId="77777777" w:rsidTr="005B6604">
        <w:trPr>
          <w:trHeight w:val="288"/>
          <w:tblHeader/>
        </w:trPr>
        <w:tc>
          <w:tcPr>
            <w:tcW w:w="5433" w:type="dxa"/>
            <w:gridSpan w:val="4"/>
            <w:tcBorders>
              <w:top w:val="single" w:sz="12" w:space="0" w:color="000000"/>
              <w:left w:val="single" w:sz="12" w:space="0" w:color="000000"/>
              <w:bottom w:val="single" w:sz="12" w:space="0" w:color="000000"/>
              <w:right w:val="nil"/>
            </w:tcBorders>
            <w:vAlign w:val="center"/>
          </w:tcPr>
          <w:p w14:paraId="42FDDE44" w14:textId="4356810C" w:rsidR="00B56D50" w:rsidRDefault="001C3C42" w:rsidP="00A64FD0">
            <w:pPr>
              <w:spacing w:after="0" w:line="259" w:lineRule="auto"/>
              <w:ind w:left="36" w:right="0" w:firstLine="0"/>
            </w:pPr>
            <w:r>
              <w:rPr>
                <w:b/>
                <w:sz w:val="18"/>
              </w:rPr>
              <w:lastRenderedPageBreak/>
              <w:t>SW-846 SAS Group G:  Chlorinated Herbicides</w:t>
            </w:r>
          </w:p>
        </w:tc>
        <w:tc>
          <w:tcPr>
            <w:tcW w:w="1767" w:type="dxa"/>
            <w:gridSpan w:val="2"/>
            <w:tcBorders>
              <w:top w:val="single" w:sz="12" w:space="0" w:color="000000"/>
              <w:left w:val="nil"/>
              <w:bottom w:val="single" w:sz="12" w:space="0" w:color="000000"/>
              <w:right w:val="nil"/>
            </w:tcBorders>
            <w:vAlign w:val="center"/>
          </w:tcPr>
          <w:p w14:paraId="2044BE7B" w14:textId="77777777" w:rsidR="00B56D50" w:rsidRDefault="00B56D50" w:rsidP="00A64FD0">
            <w:pPr>
              <w:spacing w:after="0" w:line="259" w:lineRule="auto"/>
              <w:ind w:left="0" w:right="0" w:firstLine="0"/>
            </w:pPr>
          </w:p>
        </w:tc>
        <w:tc>
          <w:tcPr>
            <w:tcW w:w="1710" w:type="dxa"/>
            <w:gridSpan w:val="3"/>
            <w:tcBorders>
              <w:top w:val="single" w:sz="12" w:space="0" w:color="000000"/>
              <w:left w:val="nil"/>
              <w:bottom w:val="single" w:sz="12" w:space="0" w:color="000000"/>
              <w:right w:val="nil"/>
            </w:tcBorders>
            <w:vAlign w:val="center"/>
          </w:tcPr>
          <w:p w14:paraId="084C3E1E" w14:textId="77777777" w:rsidR="00B56D50" w:rsidRDefault="00B56D50" w:rsidP="00A64FD0">
            <w:pPr>
              <w:spacing w:after="0" w:line="259" w:lineRule="auto"/>
              <w:ind w:left="0" w:right="0" w:firstLine="0"/>
            </w:pPr>
          </w:p>
        </w:tc>
        <w:tc>
          <w:tcPr>
            <w:tcW w:w="1710" w:type="dxa"/>
            <w:gridSpan w:val="2"/>
            <w:tcBorders>
              <w:top w:val="single" w:sz="12" w:space="0" w:color="000000"/>
              <w:left w:val="nil"/>
              <w:bottom w:val="single" w:sz="12" w:space="0" w:color="000000"/>
              <w:right w:val="single" w:sz="12" w:space="0" w:color="000000"/>
            </w:tcBorders>
            <w:vAlign w:val="center"/>
          </w:tcPr>
          <w:p w14:paraId="6FF7B8AC" w14:textId="77777777" w:rsidR="00B56D50" w:rsidRDefault="00B56D50" w:rsidP="00A64FD0">
            <w:pPr>
              <w:spacing w:after="0" w:line="259" w:lineRule="auto"/>
              <w:ind w:left="0" w:right="0" w:firstLine="0"/>
            </w:pPr>
          </w:p>
        </w:tc>
      </w:tr>
      <w:tr w:rsidR="00B56D50" w14:paraId="6D63D04C" w14:textId="77777777" w:rsidTr="005B6604">
        <w:trPr>
          <w:trHeight w:val="271"/>
          <w:tblHeader/>
        </w:trPr>
        <w:tc>
          <w:tcPr>
            <w:tcW w:w="3022" w:type="dxa"/>
            <w:vMerge w:val="restart"/>
            <w:tcBorders>
              <w:top w:val="single" w:sz="12" w:space="0" w:color="000000"/>
              <w:left w:val="single" w:sz="12" w:space="0" w:color="000000"/>
              <w:bottom w:val="single" w:sz="12" w:space="0" w:color="000000"/>
              <w:right w:val="single" w:sz="12" w:space="0" w:color="000000"/>
            </w:tcBorders>
            <w:vAlign w:val="center"/>
          </w:tcPr>
          <w:p w14:paraId="4B2CD7F6" w14:textId="1DA06FBA" w:rsidR="00B56D50" w:rsidRDefault="001C3C42" w:rsidP="00A64FD0">
            <w:pPr>
              <w:spacing w:after="0" w:line="259" w:lineRule="auto"/>
              <w:ind w:left="0" w:right="46" w:firstLine="0"/>
              <w:jc w:val="center"/>
            </w:pPr>
            <w:r>
              <w:rPr>
                <w:b/>
                <w:sz w:val="18"/>
              </w:rPr>
              <w:t>Analyte</w:t>
            </w:r>
          </w:p>
        </w:tc>
        <w:tc>
          <w:tcPr>
            <w:tcW w:w="1106" w:type="dxa"/>
            <w:vMerge w:val="restart"/>
            <w:tcBorders>
              <w:top w:val="single" w:sz="12" w:space="0" w:color="000000"/>
              <w:left w:val="single" w:sz="12" w:space="0" w:color="000000"/>
              <w:bottom w:val="single" w:sz="12" w:space="0" w:color="000000"/>
              <w:right w:val="single" w:sz="12" w:space="0" w:color="000000"/>
            </w:tcBorders>
            <w:vAlign w:val="center"/>
          </w:tcPr>
          <w:p w14:paraId="1265D608" w14:textId="2EEAF52F" w:rsidR="00B56D50" w:rsidRDefault="001C3C42" w:rsidP="00A64FD0">
            <w:pPr>
              <w:spacing w:after="0" w:line="259" w:lineRule="auto"/>
              <w:ind w:left="12" w:right="17" w:firstLine="0"/>
              <w:jc w:val="center"/>
            </w:pPr>
            <w:r>
              <w:rPr>
                <w:b/>
                <w:sz w:val="18"/>
              </w:rPr>
              <w:t>CAS Number</w:t>
            </w:r>
          </w:p>
        </w:tc>
        <w:tc>
          <w:tcPr>
            <w:tcW w:w="1305" w:type="dxa"/>
            <w:gridSpan w:val="2"/>
            <w:tcBorders>
              <w:top w:val="single" w:sz="12" w:space="0" w:color="000000"/>
              <w:left w:val="single" w:sz="12" w:space="0" w:color="000000"/>
              <w:bottom w:val="single" w:sz="12" w:space="0" w:color="000000"/>
              <w:right w:val="single" w:sz="12" w:space="0" w:color="000000"/>
            </w:tcBorders>
            <w:vAlign w:val="center"/>
          </w:tcPr>
          <w:p w14:paraId="67D0A654" w14:textId="06CCD1E9" w:rsidR="00B56D50" w:rsidRDefault="001C3C42" w:rsidP="00A64FD0">
            <w:pPr>
              <w:spacing w:after="0" w:line="259" w:lineRule="auto"/>
              <w:ind w:left="0" w:right="54" w:firstLine="0"/>
              <w:jc w:val="center"/>
            </w:pPr>
            <w:r>
              <w:rPr>
                <w:b/>
                <w:sz w:val="18"/>
              </w:rPr>
              <w:t>Aqueous</w:t>
            </w:r>
          </w:p>
        </w:tc>
        <w:tc>
          <w:tcPr>
            <w:tcW w:w="1767" w:type="dxa"/>
            <w:gridSpan w:val="2"/>
            <w:tcBorders>
              <w:top w:val="single" w:sz="12" w:space="0" w:color="000000"/>
              <w:left w:val="single" w:sz="12" w:space="0" w:color="000000"/>
              <w:bottom w:val="single" w:sz="12" w:space="0" w:color="000000"/>
              <w:right w:val="single" w:sz="12" w:space="0" w:color="000000"/>
            </w:tcBorders>
            <w:vAlign w:val="center"/>
          </w:tcPr>
          <w:p w14:paraId="4A89D1E9" w14:textId="7A9D9635" w:rsidR="00B56D50" w:rsidRDefault="001C3C42" w:rsidP="00A64FD0">
            <w:pPr>
              <w:spacing w:after="0" w:line="259" w:lineRule="auto"/>
              <w:ind w:left="0" w:right="50" w:firstLine="0"/>
              <w:jc w:val="center"/>
            </w:pPr>
            <w:r>
              <w:rPr>
                <w:b/>
                <w:sz w:val="18"/>
              </w:rPr>
              <w:t>Soil/Sediment</w:t>
            </w:r>
          </w:p>
        </w:tc>
        <w:tc>
          <w:tcPr>
            <w:tcW w:w="1710" w:type="dxa"/>
            <w:gridSpan w:val="3"/>
            <w:tcBorders>
              <w:top w:val="single" w:sz="12" w:space="0" w:color="000000"/>
              <w:left w:val="single" w:sz="12" w:space="0" w:color="000000"/>
              <w:bottom w:val="single" w:sz="12" w:space="0" w:color="000000"/>
              <w:right w:val="single" w:sz="12" w:space="0" w:color="000000"/>
            </w:tcBorders>
            <w:vAlign w:val="center"/>
          </w:tcPr>
          <w:p w14:paraId="2446B8FA" w14:textId="0A9862CC" w:rsidR="00B56D50" w:rsidRDefault="001C3C42" w:rsidP="00F80889">
            <w:pPr>
              <w:spacing w:after="0" w:line="259" w:lineRule="auto"/>
              <w:ind w:left="0" w:right="53" w:firstLine="0"/>
              <w:jc w:val="center"/>
            </w:pPr>
            <w:r>
              <w:rPr>
                <w:b/>
                <w:sz w:val="18"/>
              </w:rPr>
              <w:t>Attachment/Table</w:t>
            </w:r>
          </w:p>
        </w:tc>
        <w:tc>
          <w:tcPr>
            <w:tcW w:w="1710" w:type="dxa"/>
            <w:gridSpan w:val="2"/>
            <w:vMerge w:val="restart"/>
            <w:tcBorders>
              <w:top w:val="single" w:sz="12" w:space="0" w:color="000000"/>
              <w:left w:val="single" w:sz="12" w:space="0" w:color="000000"/>
              <w:bottom w:val="single" w:sz="12" w:space="0" w:color="000000"/>
              <w:right w:val="single" w:sz="12" w:space="0" w:color="000000"/>
            </w:tcBorders>
            <w:vAlign w:val="center"/>
          </w:tcPr>
          <w:p w14:paraId="483326C9" w14:textId="1312E32F" w:rsidR="00B56D50" w:rsidRDefault="001C3C42" w:rsidP="00F80889">
            <w:pPr>
              <w:spacing w:after="0" w:line="259" w:lineRule="auto"/>
              <w:ind w:left="7" w:right="10" w:firstLine="0"/>
              <w:jc w:val="center"/>
            </w:pPr>
            <w:r>
              <w:rPr>
                <w:b/>
                <w:sz w:val="18"/>
              </w:rPr>
              <w:t>Suggested Methods</w:t>
            </w:r>
          </w:p>
        </w:tc>
      </w:tr>
      <w:tr w:rsidR="00C84A5D" w14:paraId="1C40AB20" w14:textId="77777777" w:rsidTr="005B6604">
        <w:trPr>
          <w:trHeight w:val="269"/>
          <w:tblHeader/>
        </w:trPr>
        <w:tc>
          <w:tcPr>
            <w:tcW w:w="3022" w:type="dxa"/>
            <w:vMerge/>
            <w:tcBorders>
              <w:top w:val="nil"/>
              <w:left w:val="single" w:sz="12" w:space="0" w:color="000000"/>
              <w:bottom w:val="single" w:sz="12" w:space="0" w:color="000000"/>
              <w:right w:val="single" w:sz="12" w:space="0" w:color="000000"/>
            </w:tcBorders>
            <w:vAlign w:val="center"/>
          </w:tcPr>
          <w:p w14:paraId="293AE74D" w14:textId="77777777" w:rsidR="00B56D50" w:rsidRDefault="00B56D50" w:rsidP="00A64FD0">
            <w:pPr>
              <w:spacing w:after="160" w:line="259" w:lineRule="auto"/>
              <w:ind w:left="0" w:right="0" w:firstLine="0"/>
              <w:jc w:val="center"/>
            </w:pPr>
          </w:p>
        </w:tc>
        <w:tc>
          <w:tcPr>
            <w:tcW w:w="1106" w:type="dxa"/>
            <w:vMerge/>
            <w:tcBorders>
              <w:top w:val="nil"/>
              <w:left w:val="single" w:sz="12" w:space="0" w:color="000000"/>
              <w:bottom w:val="single" w:sz="12" w:space="0" w:color="000000"/>
              <w:right w:val="single" w:sz="12" w:space="0" w:color="000000"/>
            </w:tcBorders>
            <w:vAlign w:val="center"/>
          </w:tcPr>
          <w:p w14:paraId="53C839D5" w14:textId="77777777" w:rsidR="00B56D50" w:rsidRDefault="00B56D50" w:rsidP="00A64FD0">
            <w:pPr>
              <w:spacing w:after="160" w:line="259" w:lineRule="auto"/>
              <w:ind w:left="0" w:right="0" w:firstLine="0"/>
              <w:jc w:val="center"/>
            </w:pPr>
          </w:p>
        </w:tc>
        <w:tc>
          <w:tcPr>
            <w:tcW w:w="616" w:type="dxa"/>
            <w:tcBorders>
              <w:top w:val="single" w:sz="12" w:space="0" w:color="000000"/>
              <w:left w:val="single" w:sz="12" w:space="0" w:color="000000"/>
              <w:bottom w:val="single" w:sz="12" w:space="0" w:color="000000"/>
              <w:right w:val="single" w:sz="12" w:space="0" w:color="000000"/>
            </w:tcBorders>
            <w:vAlign w:val="center"/>
          </w:tcPr>
          <w:p w14:paraId="435F7772" w14:textId="56A248F5" w:rsidR="00B56D50" w:rsidRDefault="001C3C42" w:rsidP="00A64FD0">
            <w:pPr>
              <w:spacing w:after="0" w:line="259" w:lineRule="auto"/>
              <w:ind w:left="115" w:right="0" w:firstLine="0"/>
              <w:jc w:val="center"/>
            </w:pPr>
            <w:r>
              <w:rPr>
                <w:b/>
                <w:sz w:val="18"/>
              </w:rPr>
              <w:t>RL</w:t>
            </w:r>
          </w:p>
        </w:tc>
        <w:tc>
          <w:tcPr>
            <w:tcW w:w="689" w:type="dxa"/>
            <w:tcBorders>
              <w:top w:val="single" w:sz="12" w:space="0" w:color="000000"/>
              <w:left w:val="single" w:sz="12" w:space="0" w:color="000000"/>
              <w:bottom w:val="single" w:sz="12" w:space="0" w:color="000000"/>
              <w:right w:val="single" w:sz="12" w:space="0" w:color="000000"/>
            </w:tcBorders>
            <w:vAlign w:val="center"/>
          </w:tcPr>
          <w:p w14:paraId="40762CCD" w14:textId="2AD5B267" w:rsidR="00B56D50" w:rsidRDefault="001C3C42" w:rsidP="00A64FD0">
            <w:pPr>
              <w:spacing w:after="0" w:line="259" w:lineRule="auto"/>
              <w:ind w:left="0" w:right="47" w:firstLine="0"/>
              <w:jc w:val="center"/>
            </w:pPr>
            <w:r>
              <w:rPr>
                <w:b/>
                <w:sz w:val="18"/>
              </w:rPr>
              <w:t>units</w:t>
            </w:r>
          </w:p>
        </w:tc>
        <w:tc>
          <w:tcPr>
            <w:tcW w:w="913" w:type="dxa"/>
            <w:tcBorders>
              <w:top w:val="single" w:sz="12" w:space="0" w:color="000000"/>
              <w:left w:val="single" w:sz="12" w:space="0" w:color="000000"/>
              <w:bottom w:val="single" w:sz="12" w:space="0" w:color="000000"/>
              <w:right w:val="single" w:sz="12" w:space="0" w:color="000000"/>
            </w:tcBorders>
            <w:vAlign w:val="center"/>
          </w:tcPr>
          <w:p w14:paraId="10A18CE4" w14:textId="6329D343" w:rsidR="00B56D50" w:rsidRDefault="001C3C42" w:rsidP="00A64FD0">
            <w:pPr>
              <w:spacing w:after="0" w:line="259" w:lineRule="auto"/>
              <w:ind w:left="0" w:right="49" w:firstLine="0"/>
              <w:jc w:val="center"/>
            </w:pPr>
            <w:r>
              <w:rPr>
                <w:b/>
                <w:sz w:val="18"/>
              </w:rPr>
              <w:t>RL</w:t>
            </w:r>
          </w:p>
        </w:tc>
        <w:tc>
          <w:tcPr>
            <w:tcW w:w="854" w:type="dxa"/>
            <w:tcBorders>
              <w:top w:val="single" w:sz="12" w:space="0" w:color="000000"/>
              <w:left w:val="single" w:sz="12" w:space="0" w:color="000000"/>
              <w:bottom w:val="single" w:sz="12" w:space="0" w:color="000000"/>
              <w:right w:val="single" w:sz="12" w:space="0" w:color="000000"/>
            </w:tcBorders>
            <w:vAlign w:val="center"/>
          </w:tcPr>
          <w:p w14:paraId="20A6C732" w14:textId="569A93DF" w:rsidR="00B56D50" w:rsidRDefault="001C3C42" w:rsidP="00A64FD0">
            <w:pPr>
              <w:spacing w:after="0" w:line="259" w:lineRule="auto"/>
              <w:ind w:left="0" w:right="54" w:firstLine="0"/>
              <w:jc w:val="center"/>
            </w:pPr>
            <w:r>
              <w:rPr>
                <w:b/>
                <w:sz w:val="18"/>
              </w:rPr>
              <w:t>units</w:t>
            </w:r>
          </w:p>
        </w:tc>
        <w:tc>
          <w:tcPr>
            <w:tcW w:w="630" w:type="dxa"/>
            <w:tcBorders>
              <w:top w:val="single" w:sz="12" w:space="0" w:color="000000"/>
              <w:left w:val="single" w:sz="12" w:space="0" w:color="000000"/>
              <w:bottom w:val="single" w:sz="12" w:space="0" w:color="000000"/>
              <w:right w:val="single" w:sz="12" w:space="0" w:color="000000"/>
            </w:tcBorders>
            <w:vAlign w:val="center"/>
          </w:tcPr>
          <w:p w14:paraId="39347DC4" w14:textId="0327A663" w:rsidR="00B56D50" w:rsidRDefault="001C3C42" w:rsidP="00F80889">
            <w:pPr>
              <w:spacing w:after="0" w:line="259" w:lineRule="auto"/>
              <w:ind w:left="70" w:right="0" w:firstLine="0"/>
              <w:jc w:val="center"/>
            </w:pPr>
            <w:r>
              <w:rPr>
                <w:b/>
                <w:sz w:val="18"/>
              </w:rPr>
              <w:t>VIII</w:t>
            </w:r>
          </w:p>
        </w:tc>
        <w:tc>
          <w:tcPr>
            <w:tcW w:w="540" w:type="dxa"/>
            <w:tcBorders>
              <w:top w:val="single" w:sz="12" w:space="0" w:color="000000"/>
              <w:left w:val="single" w:sz="12" w:space="0" w:color="000000"/>
              <w:bottom w:val="single" w:sz="12" w:space="0" w:color="000000"/>
              <w:right w:val="single" w:sz="12" w:space="0" w:color="000000"/>
            </w:tcBorders>
            <w:vAlign w:val="center"/>
          </w:tcPr>
          <w:p w14:paraId="2DC98F50" w14:textId="2326C54F" w:rsidR="00B56D50" w:rsidRDefault="001C3C42" w:rsidP="00F80889">
            <w:pPr>
              <w:spacing w:after="0" w:line="259" w:lineRule="auto"/>
              <w:ind w:left="0" w:right="48" w:firstLine="0"/>
              <w:jc w:val="center"/>
            </w:pPr>
            <w:r>
              <w:rPr>
                <w:b/>
                <w:sz w:val="18"/>
              </w:rPr>
              <w:t>IX</w:t>
            </w:r>
          </w:p>
        </w:tc>
        <w:tc>
          <w:tcPr>
            <w:tcW w:w="540" w:type="dxa"/>
            <w:tcBorders>
              <w:top w:val="single" w:sz="12" w:space="0" w:color="000000"/>
              <w:left w:val="single" w:sz="12" w:space="0" w:color="000000"/>
              <w:bottom w:val="single" w:sz="12" w:space="0" w:color="000000"/>
              <w:right w:val="single" w:sz="12" w:space="0" w:color="000000"/>
            </w:tcBorders>
            <w:vAlign w:val="center"/>
          </w:tcPr>
          <w:p w14:paraId="288BB200" w14:textId="216C3B06" w:rsidR="00B56D50" w:rsidRDefault="001C3C42" w:rsidP="00F80889">
            <w:pPr>
              <w:spacing w:after="0" w:line="259" w:lineRule="auto"/>
              <w:ind w:left="0" w:right="49" w:firstLine="0"/>
              <w:jc w:val="center"/>
            </w:pPr>
            <w:r>
              <w:rPr>
                <w:b/>
                <w:sz w:val="18"/>
              </w:rPr>
              <w:t>2</w:t>
            </w:r>
          </w:p>
        </w:tc>
        <w:tc>
          <w:tcPr>
            <w:tcW w:w="1710" w:type="dxa"/>
            <w:gridSpan w:val="2"/>
            <w:vMerge/>
            <w:tcBorders>
              <w:top w:val="nil"/>
              <w:left w:val="single" w:sz="12" w:space="0" w:color="000000"/>
              <w:bottom w:val="single" w:sz="12" w:space="0" w:color="000000"/>
              <w:right w:val="single" w:sz="12" w:space="0" w:color="000000"/>
            </w:tcBorders>
            <w:vAlign w:val="center"/>
          </w:tcPr>
          <w:p w14:paraId="12387DD9" w14:textId="77777777" w:rsidR="00B56D50" w:rsidRDefault="00B56D50" w:rsidP="00F80889">
            <w:pPr>
              <w:spacing w:after="160" w:line="259" w:lineRule="auto"/>
              <w:ind w:left="0" w:right="0" w:firstLine="0"/>
              <w:jc w:val="center"/>
            </w:pPr>
          </w:p>
        </w:tc>
      </w:tr>
      <w:tr w:rsidR="00624776" w14:paraId="0E4023A8" w14:textId="77777777" w:rsidTr="005B6604">
        <w:trPr>
          <w:trHeight w:val="262"/>
        </w:trPr>
        <w:tc>
          <w:tcPr>
            <w:tcW w:w="3022" w:type="dxa"/>
            <w:tcBorders>
              <w:top w:val="single" w:sz="12" w:space="0" w:color="000000"/>
              <w:left w:val="single" w:sz="12" w:space="0" w:color="000000"/>
              <w:bottom w:val="single" w:sz="4" w:space="0" w:color="000000"/>
              <w:right w:val="single" w:sz="12" w:space="0" w:color="000000"/>
            </w:tcBorders>
            <w:vAlign w:val="center"/>
          </w:tcPr>
          <w:p w14:paraId="77F1B46D" w14:textId="77777777" w:rsidR="00FC0D61" w:rsidRDefault="00FC0D61" w:rsidP="00F942E8">
            <w:pPr>
              <w:spacing w:after="0" w:line="259" w:lineRule="auto"/>
              <w:ind w:left="0" w:right="0" w:firstLine="0"/>
            </w:pPr>
            <w:r>
              <w:rPr>
                <w:sz w:val="18"/>
              </w:rPr>
              <w:t xml:space="preserve">Acifluorfen </w:t>
            </w:r>
          </w:p>
        </w:tc>
        <w:tc>
          <w:tcPr>
            <w:tcW w:w="1106" w:type="dxa"/>
            <w:tcBorders>
              <w:top w:val="single" w:sz="12" w:space="0" w:color="000000"/>
              <w:left w:val="single" w:sz="12" w:space="0" w:color="000000"/>
              <w:bottom w:val="single" w:sz="4" w:space="0" w:color="000000"/>
              <w:right w:val="single" w:sz="12" w:space="0" w:color="000000"/>
            </w:tcBorders>
            <w:vAlign w:val="center"/>
          </w:tcPr>
          <w:p w14:paraId="0EA3B695" w14:textId="7744F153" w:rsidR="00FC0D61" w:rsidRDefault="00FC0D61" w:rsidP="00F942E8">
            <w:pPr>
              <w:spacing w:after="0" w:line="259" w:lineRule="auto"/>
              <w:ind w:left="0" w:right="44" w:firstLine="0"/>
              <w:jc w:val="center"/>
            </w:pPr>
            <w:r>
              <w:rPr>
                <w:sz w:val="18"/>
              </w:rPr>
              <w:t>50594-66-6</w:t>
            </w:r>
          </w:p>
        </w:tc>
        <w:tc>
          <w:tcPr>
            <w:tcW w:w="616" w:type="dxa"/>
            <w:tcBorders>
              <w:top w:val="single" w:sz="12" w:space="0" w:color="000000"/>
              <w:left w:val="single" w:sz="12" w:space="0" w:color="000000"/>
              <w:bottom w:val="single" w:sz="4" w:space="0" w:color="000000"/>
              <w:right w:val="single" w:sz="12" w:space="0" w:color="000000"/>
            </w:tcBorders>
            <w:vAlign w:val="center"/>
          </w:tcPr>
          <w:p w14:paraId="39A024B5" w14:textId="2AEB012D" w:rsidR="00FC0D61" w:rsidRDefault="00FC0D61" w:rsidP="00F942E8">
            <w:pPr>
              <w:tabs>
                <w:tab w:val="right" w:pos="530"/>
              </w:tabs>
              <w:spacing w:after="0" w:line="259" w:lineRule="auto"/>
              <w:ind w:left="0" w:right="0" w:firstLine="0"/>
              <w:jc w:val="center"/>
            </w:pPr>
            <w:r>
              <w:rPr>
                <w:sz w:val="18"/>
              </w:rPr>
              <w:t>1</w:t>
            </w:r>
          </w:p>
        </w:tc>
        <w:tc>
          <w:tcPr>
            <w:tcW w:w="689" w:type="dxa"/>
            <w:tcBorders>
              <w:top w:val="single" w:sz="12" w:space="0" w:color="000000"/>
              <w:left w:val="single" w:sz="12" w:space="0" w:color="000000"/>
              <w:bottom w:val="single" w:sz="4" w:space="0" w:color="000000"/>
              <w:right w:val="single" w:sz="12" w:space="0" w:color="000000"/>
            </w:tcBorders>
            <w:vAlign w:val="center"/>
          </w:tcPr>
          <w:p w14:paraId="4FACFE88" w14:textId="1498F74A" w:rsidR="00FC0D61" w:rsidRDefault="00FC0D61" w:rsidP="00F942E8">
            <w:pPr>
              <w:spacing w:after="0" w:line="259" w:lineRule="auto"/>
              <w:ind w:left="0" w:right="48" w:firstLine="0"/>
              <w:jc w:val="center"/>
            </w:pPr>
            <w:r>
              <w:rPr>
                <w:sz w:val="18"/>
              </w:rPr>
              <w:t>ug/L</w:t>
            </w:r>
          </w:p>
        </w:tc>
        <w:tc>
          <w:tcPr>
            <w:tcW w:w="913" w:type="dxa"/>
            <w:tcBorders>
              <w:top w:val="single" w:sz="12" w:space="0" w:color="000000"/>
              <w:left w:val="single" w:sz="12" w:space="0" w:color="000000"/>
              <w:bottom w:val="single" w:sz="4" w:space="0" w:color="000000"/>
              <w:right w:val="single" w:sz="12" w:space="0" w:color="000000"/>
            </w:tcBorders>
            <w:vAlign w:val="center"/>
          </w:tcPr>
          <w:p w14:paraId="3AAD8BE3" w14:textId="4B53807D" w:rsidR="00FC0D61" w:rsidRDefault="00FC0D61" w:rsidP="00F942E8">
            <w:pPr>
              <w:tabs>
                <w:tab w:val="right" w:pos="713"/>
              </w:tabs>
              <w:spacing w:after="0" w:line="259" w:lineRule="auto"/>
              <w:ind w:left="0" w:right="0" w:firstLine="0"/>
              <w:jc w:val="center"/>
            </w:pPr>
            <w:r>
              <w:rPr>
                <w:sz w:val="18"/>
              </w:rPr>
              <w:t>100</w:t>
            </w:r>
          </w:p>
        </w:tc>
        <w:tc>
          <w:tcPr>
            <w:tcW w:w="854" w:type="dxa"/>
            <w:tcBorders>
              <w:top w:val="single" w:sz="12" w:space="0" w:color="000000"/>
              <w:left w:val="single" w:sz="12" w:space="0" w:color="000000"/>
              <w:bottom w:val="single" w:sz="4" w:space="0" w:color="000000"/>
              <w:right w:val="single" w:sz="12" w:space="0" w:color="000000"/>
            </w:tcBorders>
            <w:vAlign w:val="center"/>
          </w:tcPr>
          <w:p w14:paraId="2EDC4D32" w14:textId="5D751480" w:rsidR="00FC0D61" w:rsidRDefault="00FC0D61" w:rsidP="00F942E8">
            <w:pPr>
              <w:spacing w:after="0" w:line="259" w:lineRule="auto"/>
              <w:ind w:left="0" w:right="46" w:firstLine="0"/>
              <w:jc w:val="center"/>
            </w:pPr>
            <w:r>
              <w:rPr>
                <w:rFonts w:eastAsia="Segoe UI Symbol"/>
                <w:sz w:val="18"/>
              </w:rPr>
              <w:t>u</w:t>
            </w:r>
            <w:r>
              <w:rPr>
                <w:sz w:val="18"/>
              </w:rPr>
              <w:t>g/kg</w:t>
            </w:r>
          </w:p>
        </w:tc>
        <w:tc>
          <w:tcPr>
            <w:tcW w:w="630" w:type="dxa"/>
            <w:tcBorders>
              <w:top w:val="single" w:sz="12" w:space="0" w:color="000000"/>
              <w:left w:val="single" w:sz="12" w:space="0" w:color="000000"/>
              <w:bottom w:val="single" w:sz="4" w:space="0" w:color="000000"/>
              <w:right w:val="single" w:sz="12" w:space="0" w:color="000000"/>
            </w:tcBorders>
            <w:vAlign w:val="center"/>
          </w:tcPr>
          <w:p w14:paraId="548A46D0" w14:textId="6FA04B36" w:rsidR="00FC0D61" w:rsidRDefault="00FC0D61" w:rsidP="00F942E8">
            <w:pPr>
              <w:spacing w:after="0" w:line="259" w:lineRule="auto"/>
              <w:ind w:left="0" w:right="0" w:firstLine="0"/>
              <w:jc w:val="center"/>
            </w:pPr>
          </w:p>
        </w:tc>
        <w:tc>
          <w:tcPr>
            <w:tcW w:w="540" w:type="dxa"/>
            <w:tcBorders>
              <w:top w:val="single" w:sz="12" w:space="0" w:color="000000"/>
              <w:left w:val="single" w:sz="12" w:space="0" w:color="000000"/>
              <w:bottom w:val="single" w:sz="4" w:space="0" w:color="000000"/>
              <w:right w:val="single" w:sz="12" w:space="0" w:color="000000"/>
            </w:tcBorders>
            <w:vAlign w:val="center"/>
          </w:tcPr>
          <w:p w14:paraId="57CB769F" w14:textId="73725937" w:rsidR="00FC0D61" w:rsidRDefault="00FC0D61" w:rsidP="00F942E8">
            <w:pPr>
              <w:spacing w:after="0" w:line="259" w:lineRule="auto"/>
              <w:ind w:left="0" w:right="1" w:firstLine="0"/>
              <w:jc w:val="center"/>
            </w:pPr>
          </w:p>
        </w:tc>
        <w:tc>
          <w:tcPr>
            <w:tcW w:w="540" w:type="dxa"/>
            <w:tcBorders>
              <w:top w:val="single" w:sz="12" w:space="0" w:color="000000"/>
              <w:left w:val="single" w:sz="12" w:space="0" w:color="000000"/>
              <w:bottom w:val="single" w:sz="4" w:space="0" w:color="000000"/>
              <w:right w:val="single" w:sz="12" w:space="0" w:color="000000"/>
            </w:tcBorders>
            <w:vAlign w:val="center"/>
          </w:tcPr>
          <w:p w14:paraId="3392A288" w14:textId="04D583E7" w:rsidR="00FC0D61" w:rsidRDefault="00FC0D61" w:rsidP="00F942E8">
            <w:pPr>
              <w:spacing w:after="0" w:line="259" w:lineRule="auto"/>
              <w:ind w:left="0" w:right="2" w:firstLine="0"/>
              <w:jc w:val="center"/>
            </w:pPr>
          </w:p>
        </w:tc>
        <w:tc>
          <w:tcPr>
            <w:tcW w:w="720" w:type="dxa"/>
            <w:tcBorders>
              <w:top w:val="single" w:sz="12" w:space="0" w:color="000000"/>
              <w:left w:val="single" w:sz="12" w:space="0" w:color="000000"/>
              <w:bottom w:val="single" w:sz="4" w:space="0" w:color="000000"/>
              <w:right w:val="single" w:sz="12" w:space="0" w:color="000000"/>
            </w:tcBorders>
            <w:vAlign w:val="center"/>
          </w:tcPr>
          <w:p w14:paraId="1B71FD0C" w14:textId="0E31DE35" w:rsidR="00FC0D61" w:rsidRDefault="00FC0D61" w:rsidP="00DB6303">
            <w:pPr>
              <w:spacing w:after="0" w:line="259" w:lineRule="auto"/>
              <w:ind w:left="82" w:right="0" w:firstLine="0"/>
            </w:pPr>
            <w:r>
              <w:rPr>
                <w:sz w:val="18"/>
              </w:rPr>
              <w:t>8151A</w:t>
            </w:r>
          </w:p>
        </w:tc>
        <w:tc>
          <w:tcPr>
            <w:tcW w:w="990" w:type="dxa"/>
            <w:tcBorders>
              <w:top w:val="single" w:sz="12" w:space="0" w:color="000000"/>
              <w:left w:val="single" w:sz="12" w:space="0" w:color="000000"/>
              <w:bottom w:val="single" w:sz="4" w:space="0" w:color="000000"/>
              <w:right w:val="single" w:sz="12" w:space="0" w:color="000000"/>
            </w:tcBorders>
            <w:vAlign w:val="center"/>
          </w:tcPr>
          <w:p w14:paraId="7F056D54" w14:textId="2A264DF4" w:rsidR="00FC0D61" w:rsidRDefault="00FC0D61" w:rsidP="00F942E8">
            <w:pPr>
              <w:spacing w:after="0" w:line="259" w:lineRule="auto"/>
              <w:ind w:left="0" w:right="2" w:firstLine="0"/>
              <w:jc w:val="center"/>
            </w:pPr>
          </w:p>
        </w:tc>
      </w:tr>
      <w:tr w:rsidR="00624776" w14:paraId="2F3EB111" w14:textId="77777777" w:rsidTr="005B6604">
        <w:trPr>
          <w:trHeight w:val="250"/>
        </w:trPr>
        <w:tc>
          <w:tcPr>
            <w:tcW w:w="3022" w:type="dxa"/>
            <w:tcBorders>
              <w:top w:val="single" w:sz="4" w:space="0" w:color="000000"/>
              <w:left w:val="single" w:sz="12" w:space="0" w:color="000000"/>
              <w:bottom w:val="single" w:sz="4" w:space="0" w:color="000000"/>
              <w:right w:val="single" w:sz="12" w:space="0" w:color="000000"/>
            </w:tcBorders>
            <w:vAlign w:val="center"/>
          </w:tcPr>
          <w:p w14:paraId="4DA4AC7D" w14:textId="77777777" w:rsidR="00FC0D61" w:rsidRDefault="00FC0D61" w:rsidP="00F942E8">
            <w:pPr>
              <w:spacing w:after="0" w:line="259" w:lineRule="auto"/>
              <w:ind w:left="0" w:right="0" w:firstLine="0"/>
            </w:pPr>
            <w:proofErr w:type="spellStart"/>
            <w:r>
              <w:rPr>
                <w:sz w:val="18"/>
              </w:rPr>
              <w:t>Bentazon</w:t>
            </w:r>
            <w:proofErr w:type="spellEnd"/>
            <w:r>
              <w:rPr>
                <w:sz w:val="18"/>
              </w:rPr>
              <w:t xml:space="preserve"> </w:t>
            </w:r>
          </w:p>
        </w:tc>
        <w:tc>
          <w:tcPr>
            <w:tcW w:w="1106" w:type="dxa"/>
            <w:tcBorders>
              <w:top w:val="single" w:sz="4" w:space="0" w:color="000000"/>
              <w:left w:val="single" w:sz="12" w:space="0" w:color="000000"/>
              <w:bottom w:val="single" w:sz="4" w:space="0" w:color="000000"/>
              <w:right w:val="single" w:sz="12" w:space="0" w:color="000000"/>
            </w:tcBorders>
            <w:vAlign w:val="center"/>
          </w:tcPr>
          <w:p w14:paraId="417A03B0" w14:textId="67F2F2F1" w:rsidR="00FC0D61" w:rsidRDefault="00FC0D61" w:rsidP="00F942E8">
            <w:pPr>
              <w:spacing w:after="0" w:line="259" w:lineRule="auto"/>
              <w:ind w:left="0" w:right="43" w:firstLine="0"/>
              <w:jc w:val="center"/>
            </w:pPr>
            <w:r>
              <w:rPr>
                <w:sz w:val="18"/>
              </w:rPr>
              <w:t>25057-89-0</w:t>
            </w:r>
          </w:p>
        </w:tc>
        <w:tc>
          <w:tcPr>
            <w:tcW w:w="616" w:type="dxa"/>
            <w:tcBorders>
              <w:top w:val="single" w:sz="4" w:space="0" w:color="000000"/>
              <w:left w:val="single" w:sz="12" w:space="0" w:color="000000"/>
              <w:bottom w:val="single" w:sz="4" w:space="0" w:color="000000"/>
              <w:right w:val="single" w:sz="12" w:space="0" w:color="000000"/>
            </w:tcBorders>
            <w:vAlign w:val="center"/>
          </w:tcPr>
          <w:p w14:paraId="00EC4D56" w14:textId="216A1200" w:rsidR="00FC0D61" w:rsidRDefault="00FC0D61" w:rsidP="00F942E8">
            <w:pPr>
              <w:spacing w:after="0" w:line="259" w:lineRule="auto"/>
              <w:ind w:left="0" w:right="0" w:firstLine="0"/>
              <w:jc w:val="center"/>
            </w:pPr>
            <w:r>
              <w:rPr>
                <w:sz w:val="18"/>
              </w:rPr>
              <w:t>10</w:t>
            </w:r>
          </w:p>
        </w:tc>
        <w:tc>
          <w:tcPr>
            <w:tcW w:w="689" w:type="dxa"/>
            <w:tcBorders>
              <w:top w:val="single" w:sz="4" w:space="0" w:color="000000"/>
              <w:left w:val="single" w:sz="12" w:space="0" w:color="000000"/>
              <w:bottom w:val="single" w:sz="4" w:space="0" w:color="000000"/>
              <w:right w:val="single" w:sz="12" w:space="0" w:color="000000"/>
            </w:tcBorders>
            <w:vAlign w:val="center"/>
          </w:tcPr>
          <w:p w14:paraId="045F79EB" w14:textId="7D4141F8" w:rsidR="00FC0D61" w:rsidRDefault="00FC0D61" w:rsidP="00F942E8">
            <w:pPr>
              <w:spacing w:after="0" w:line="259" w:lineRule="auto"/>
              <w:ind w:left="0" w:right="48" w:firstLine="0"/>
              <w:jc w:val="center"/>
            </w:pPr>
            <w:r>
              <w:rPr>
                <w:sz w:val="18"/>
              </w:rPr>
              <w:t>ug/L</w:t>
            </w:r>
          </w:p>
        </w:tc>
        <w:tc>
          <w:tcPr>
            <w:tcW w:w="913" w:type="dxa"/>
            <w:tcBorders>
              <w:top w:val="single" w:sz="4" w:space="0" w:color="000000"/>
              <w:left w:val="single" w:sz="12" w:space="0" w:color="000000"/>
              <w:bottom w:val="single" w:sz="4" w:space="0" w:color="000000"/>
              <w:right w:val="single" w:sz="12" w:space="0" w:color="000000"/>
            </w:tcBorders>
            <w:vAlign w:val="center"/>
          </w:tcPr>
          <w:p w14:paraId="5DD4DD26" w14:textId="4B8CBB3B" w:rsidR="00FC0D61" w:rsidRDefault="00FC0D61" w:rsidP="00F942E8">
            <w:pPr>
              <w:spacing w:after="0" w:line="259" w:lineRule="auto"/>
              <w:ind w:left="0" w:right="0" w:firstLine="0"/>
              <w:jc w:val="center"/>
            </w:pPr>
            <w:r>
              <w:rPr>
                <w:sz w:val="18"/>
              </w:rPr>
              <w:t>1000</w:t>
            </w:r>
          </w:p>
        </w:tc>
        <w:tc>
          <w:tcPr>
            <w:tcW w:w="854" w:type="dxa"/>
            <w:tcBorders>
              <w:top w:val="single" w:sz="4" w:space="0" w:color="000000"/>
              <w:left w:val="single" w:sz="12" w:space="0" w:color="000000"/>
              <w:bottom w:val="single" w:sz="4" w:space="0" w:color="000000"/>
              <w:right w:val="single" w:sz="12" w:space="0" w:color="000000"/>
            </w:tcBorders>
            <w:vAlign w:val="center"/>
          </w:tcPr>
          <w:p w14:paraId="4A34E9A8" w14:textId="70F7B540" w:rsidR="00FC0D61" w:rsidRDefault="00FC0D61" w:rsidP="00F942E8">
            <w:pPr>
              <w:spacing w:after="0" w:line="259" w:lineRule="auto"/>
              <w:ind w:left="0" w:right="46" w:firstLine="0"/>
              <w:jc w:val="center"/>
            </w:pPr>
            <w:r>
              <w:rPr>
                <w:rFonts w:eastAsia="Segoe UI Symbol"/>
                <w:sz w:val="18"/>
              </w:rPr>
              <w:t>u</w:t>
            </w:r>
            <w:r>
              <w:rPr>
                <w:sz w:val="18"/>
              </w:rPr>
              <w:t>g/kg</w:t>
            </w:r>
          </w:p>
        </w:tc>
        <w:tc>
          <w:tcPr>
            <w:tcW w:w="630" w:type="dxa"/>
            <w:tcBorders>
              <w:top w:val="single" w:sz="4" w:space="0" w:color="000000"/>
              <w:left w:val="single" w:sz="12" w:space="0" w:color="000000"/>
              <w:bottom w:val="single" w:sz="4" w:space="0" w:color="000000"/>
              <w:right w:val="single" w:sz="12" w:space="0" w:color="000000"/>
            </w:tcBorders>
            <w:vAlign w:val="center"/>
          </w:tcPr>
          <w:p w14:paraId="6AF4AD5E" w14:textId="69F14AE3" w:rsidR="00FC0D61" w:rsidRDefault="00FC0D61" w:rsidP="00F942E8">
            <w:pPr>
              <w:spacing w:after="0" w:line="259" w:lineRule="auto"/>
              <w:ind w:left="0" w:right="0" w:firstLine="0"/>
              <w:jc w:val="center"/>
            </w:pPr>
          </w:p>
        </w:tc>
        <w:tc>
          <w:tcPr>
            <w:tcW w:w="540" w:type="dxa"/>
            <w:tcBorders>
              <w:top w:val="single" w:sz="4" w:space="0" w:color="000000"/>
              <w:left w:val="single" w:sz="12" w:space="0" w:color="000000"/>
              <w:bottom w:val="single" w:sz="4" w:space="0" w:color="000000"/>
              <w:right w:val="single" w:sz="12" w:space="0" w:color="000000"/>
            </w:tcBorders>
            <w:vAlign w:val="center"/>
          </w:tcPr>
          <w:p w14:paraId="47ABD919" w14:textId="68D2E35E" w:rsidR="00FC0D61" w:rsidRDefault="00FC0D61" w:rsidP="00F942E8">
            <w:pPr>
              <w:spacing w:after="0" w:line="259" w:lineRule="auto"/>
              <w:ind w:left="0" w:right="1" w:firstLine="0"/>
              <w:jc w:val="center"/>
            </w:pPr>
          </w:p>
        </w:tc>
        <w:tc>
          <w:tcPr>
            <w:tcW w:w="540" w:type="dxa"/>
            <w:tcBorders>
              <w:top w:val="single" w:sz="4" w:space="0" w:color="000000"/>
              <w:left w:val="single" w:sz="12" w:space="0" w:color="000000"/>
              <w:bottom w:val="single" w:sz="4" w:space="0" w:color="000000"/>
              <w:right w:val="single" w:sz="12" w:space="0" w:color="000000"/>
            </w:tcBorders>
            <w:vAlign w:val="center"/>
          </w:tcPr>
          <w:p w14:paraId="26B467EE" w14:textId="7D69857B" w:rsidR="00FC0D61" w:rsidRDefault="00FC0D61" w:rsidP="00F942E8">
            <w:pPr>
              <w:spacing w:after="0" w:line="259" w:lineRule="auto"/>
              <w:ind w:left="0" w:right="2" w:firstLine="0"/>
              <w:jc w:val="center"/>
            </w:pPr>
          </w:p>
        </w:tc>
        <w:tc>
          <w:tcPr>
            <w:tcW w:w="720" w:type="dxa"/>
            <w:tcBorders>
              <w:top w:val="single" w:sz="4" w:space="0" w:color="000000"/>
              <w:left w:val="single" w:sz="12" w:space="0" w:color="000000"/>
              <w:bottom w:val="single" w:sz="4" w:space="0" w:color="000000"/>
              <w:right w:val="single" w:sz="12" w:space="0" w:color="000000"/>
            </w:tcBorders>
            <w:vAlign w:val="center"/>
          </w:tcPr>
          <w:p w14:paraId="7203D2C0" w14:textId="5432B4F2" w:rsidR="00FC0D61" w:rsidRDefault="00FC0D61" w:rsidP="00DB6303">
            <w:pPr>
              <w:spacing w:after="0" w:line="259" w:lineRule="auto"/>
              <w:ind w:left="82" w:right="0" w:firstLine="0"/>
            </w:pPr>
            <w:r>
              <w:rPr>
                <w:sz w:val="18"/>
              </w:rPr>
              <w:t>8151A</w:t>
            </w:r>
          </w:p>
        </w:tc>
        <w:tc>
          <w:tcPr>
            <w:tcW w:w="990" w:type="dxa"/>
            <w:tcBorders>
              <w:top w:val="single" w:sz="4" w:space="0" w:color="000000"/>
              <w:left w:val="single" w:sz="12" w:space="0" w:color="000000"/>
              <w:bottom w:val="single" w:sz="4" w:space="0" w:color="000000"/>
              <w:right w:val="single" w:sz="12" w:space="0" w:color="000000"/>
            </w:tcBorders>
            <w:vAlign w:val="center"/>
          </w:tcPr>
          <w:p w14:paraId="17B8FFEC" w14:textId="38548C18" w:rsidR="00FC0D61" w:rsidRDefault="00FC0D61" w:rsidP="00F942E8">
            <w:pPr>
              <w:spacing w:after="0" w:line="259" w:lineRule="auto"/>
              <w:ind w:left="0" w:right="2" w:firstLine="0"/>
              <w:jc w:val="center"/>
            </w:pPr>
          </w:p>
        </w:tc>
      </w:tr>
      <w:tr w:rsidR="00624776" w14:paraId="15BB5A2C" w14:textId="77777777" w:rsidTr="005B6604">
        <w:trPr>
          <w:trHeight w:val="250"/>
        </w:trPr>
        <w:tc>
          <w:tcPr>
            <w:tcW w:w="3022" w:type="dxa"/>
            <w:tcBorders>
              <w:top w:val="single" w:sz="4" w:space="0" w:color="000000"/>
              <w:left w:val="single" w:sz="12" w:space="0" w:color="000000"/>
              <w:bottom w:val="single" w:sz="4" w:space="0" w:color="000000"/>
              <w:right w:val="single" w:sz="12" w:space="0" w:color="000000"/>
            </w:tcBorders>
            <w:vAlign w:val="center"/>
          </w:tcPr>
          <w:p w14:paraId="131B92B9" w14:textId="77777777" w:rsidR="00FC0D61" w:rsidRDefault="00FC0D61" w:rsidP="00F942E8">
            <w:pPr>
              <w:spacing w:after="0" w:line="259" w:lineRule="auto"/>
              <w:ind w:left="0" w:right="0" w:firstLine="0"/>
            </w:pPr>
            <w:proofErr w:type="spellStart"/>
            <w:r>
              <w:rPr>
                <w:sz w:val="18"/>
              </w:rPr>
              <w:t>Chloramben</w:t>
            </w:r>
            <w:proofErr w:type="spellEnd"/>
            <w:r>
              <w:rPr>
                <w:sz w:val="18"/>
              </w:rPr>
              <w:t xml:space="preserve"> </w:t>
            </w:r>
          </w:p>
        </w:tc>
        <w:tc>
          <w:tcPr>
            <w:tcW w:w="1106" w:type="dxa"/>
            <w:tcBorders>
              <w:top w:val="single" w:sz="4" w:space="0" w:color="000000"/>
              <w:left w:val="single" w:sz="12" w:space="0" w:color="000000"/>
              <w:bottom w:val="single" w:sz="4" w:space="0" w:color="000000"/>
              <w:right w:val="single" w:sz="12" w:space="0" w:color="000000"/>
            </w:tcBorders>
            <w:vAlign w:val="center"/>
          </w:tcPr>
          <w:p w14:paraId="23D889DE" w14:textId="1E8F48F1" w:rsidR="00FC0D61" w:rsidRDefault="00FC0D61" w:rsidP="00F942E8">
            <w:pPr>
              <w:spacing w:after="0" w:line="259" w:lineRule="auto"/>
              <w:ind w:left="0" w:right="44" w:firstLine="0"/>
              <w:jc w:val="center"/>
            </w:pPr>
            <w:r>
              <w:rPr>
                <w:sz w:val="18"/>
              </w:rPr>
              <w:t>133-90-4</w:t>
            </w:r>
          </w:p>
        </w:tc>
        <w:tc>
          <w:tcPr>
            <w:tcW w:w="616" w:type="dxa"/>
            <w:tcBorders>
              <w:top w:val="single" w:sz="4" w:space="0" w:color="000000"/>
              <w:left w:val="single" w:sz="12" w:space="0" w:color="000000"/>
              <w:bottom w:val="single" w:sz="4" w:space="0" w:color="000000"/>
              <w:right w:val="single" w:sz="12" w:space="0" w:color="000000"/>
            </w:tcBorders>
            <w:vAlign w:val="center"/>
          </w:tcPr>
          <w:p w14:paraId="452DC823" w14:textId="79EDFF51" w:rsidR="00FC0D61" w:rsidRDefault="00FC0D61" w:rsidP="00F942E8">
            <w:pPr>
              <w:spacing w:after="0" w:line="259" w:lineRule="auto"/>
              <w:ind w:left="0" w:right="0" w:firstLine="0"/>
              <w:jc w:val="center"/>
            </w:pPr>
            <w:r>
              <w:rPr>
                <w:sz w:val="18"/>
              </w:rPr>
              <w:t>10</w:t>
            </w:r>
          </w:p>
        </w:tc>
        <w:tc>
          <w:tcPr>
            <w:tcW w:w="689" w:type="dxa"/>
            <w:tcBorders>
              <w:top w:val="single" w:sz="4" w:space="0" w:color="000000"/>
              <w:left w:val="single" w:sz="12" w:space="0" w:color="000000"/>
              <w:bottom w:val="single" w:sz="4" w:space="0" w:color="000000"/>
              <w:right w:val="single" w:sz="12" w:space="0" w:color="000000"/>
            </w:tcBorders>
            <w:vAlign w:val="center"/>
          </w:tcPr>
          <w:p w14:paraId="0863D34A" w14:textId="3A68C85A" w:rsidR="00FC0D61" w:rsidRDefault="00FC0D61" w:rsidP="00F942E8">
            <w:pPr>
              <w:spacing w:after="0" w:line="259" w:lineRule="auto"/>
              <w:ind w:left="0" w:right="48" w:firstLine="0"/>
              <w:jc w:val="center"/>
            </w:pPr>
            <w:r>
              <w:rPr>
                <w:sz w:val="18"/>
              </w:rPr>
              <w:t>ug/L</w:t>
            </w:r>
          </w:p>
        </w:tc>
        <w:tc>
          <w:tcPr>
            <w:tcW w:w="913" w:type="dxa"/>
            <w:tcBorders>
              <w:top w:val="single" w:sz="4" w:space="0" w:color="000000"/>
              <w:left w:val="single" w:sz="12" w:space="0" w:color="000000"/>
              <w:bottom w:val="single" w:sz="4" w:space="0" w:color="000000"/>
              <w:right w:val="single" w:sz="12" w:space="0" w:color="000000"/>
            </w:tcBorders>
            <w:vAlign w:val="center"/>
          </w:tcPr>
          <w:p w14:paraId="78AD78EC" w14:textId="60DAFD55" w:rsidR="00FC0D61" w:rsidRDefault="00FC0D61" w:rsidP="00F942E8">
            <w:pPr>
              <w:spacing w:after="0" w:line="259" w:lineRule="auto"/>
              <w:ind w:left="0" w:right="0" w:firstLine="0"/>
              <w:jc w:val="center"/>
            </w:pPr>
            <w:r>
              <w:rPr>
                <w:sz w:val="18"/>
              </w:rPr>
              <w:t>1000</w:t>
            </w:r>
          </w:p>
        </w:tc>
        <w:tc>
          <w:tcPr>
            <w:tcW w:w="854" w:type="dxa"/>
            <w:tcBorders>
              <w:top w:val="single" w:sz="4" w:space="0" w:color="000000"/>
              <w:left w:val="single" w:sz="12" w:space="0" w:color="000000"/>
              <w:bottom w:val="single" w:sz="4" w:space="0" w:color="000000"/>
              <w:right w:val="single" w:sz="12" w:space="0" w:color="000000"/>
            </w:tcBorders>
            <w:vAlign w:val="center"/>
          </w:tcPr>
          <w:p w14:paraId="3204FB08" w14:textId="4C35A183" w:rsidR="00FC0D61" w:rsidRDefault="00FC0D61" w:rsidP="00F942E8">
            <w:pPr>
              <w:spacing w:after="0" w:line="259" w:lineRule="auto"/>
              <w:ind w:left="0" w:right="46" w:firstLine="0"/>
              <w:jc w:val="center"/>
            </w:pPr>
            <w:r>
              <w:rPr>
                <w:rFonts w:eastAsia="Segoe UI Symbol"/>
                <w:sz w:val="18"/>
              </w:rPr>
              <w:t>u</w:t>
            </w:r>
            <w:r>
              <w:rPr>
                <w:sz w:val="18"/>
              </w:rPr>
              <w:t>g/kg</w:t>
            </w:r>
          </w:p>
        </w:tc>
        <w:tc>
          <w:tcPr>
            <w:tcW w:w="630" w:type="dxa"/>
            <w:tcBorders>
              <w:top w:val="single" w:sz="4" w:space="0" w:color="000000"/>
              <w:left w:val="single" w:sz="12" w:space="0" w:color="000000"/>
              <w:bottom w:val="single" w:sz="4" w:space="0" w:color="000000"/>
              <w:right w:val="single" w:sz="12" w:space="0" w:color="000000"/>
            </w:tcBorders>
            <w:vAlign w:val="center"/>
          </w:tcPr>
          <w:p w14:paraId="041F4125" w14:textId="4081ED31" w:rsidR="00FC0D61" w:rsidRDefault="00FC0D61" w:rsidP="00F942E8">
            <w:pPr>
              <w:spacing w:after="0" w:line="259" w:lineRule="auto"/>
              <w:ind w:left="0" w:right="0" w:firstLine="0"/>
              <w:jc w:val="center"/>
            </w:pPr>
          </w:p>
        </w:tc>
        <w:tc>
          <w:tcPr>
            <w:tcW w:w="540" w:type="dxa"/>
            <w:tcBorders>
              <w:top w:val="single" w:sz="4" w:space="0" w:color="000000"/>
              <w:left w:val="single" w:sz="12" w:space="0" w:color="000000"/>
              <w:bottom w:val="single" w:sz="4" w:space="0" w:color="000000"/>
              <w:right w:val="single" w:sz="12" w:space="0" w:color="000000"/>
            </w:tcBorders>
            <w:vAlign w:val="center"/>
          </w:tcPr>
          <w:p w14:paraId="3E12D6BF" w14:textId="53753908" w:rsidR="00FC0D61" w:rsidRDefault="00FC0D61" w:rsidP="00F942E8">
            <w:pPr>
              <w:spacing w:after="0" w:line="259" w:lineRule="auto"/>
              <w:ind w:left="0" w:right="1" w:firstLine="0"/>
              <w:jc w:val="center"/>
            </w:pPr>
          </w:p>
        </w:tc>
        <w:tc>
          <w:tcPr>
            <w:tcW w:w="540" w:type="dxa"/>
            <w:tcBorders>
              <w:top w:val="single" w:sz="4" w:space="0" w:color="000000"/>
              <w:left w:val="single" w:sz="12" w:space="0" w:color="000000"/>
              <w:bottom w:val="single" w:sz="4" w:space="0" w:color="000000"/>
              <w:right w:val="single" w:sz="12" w:space="0" w:color="000000"/>
            </w:tcBorders>
            <w:vAlign w:val="center"/>
          </w:tcPr>
          <w:p w14:paraId="73C540F7" w14:textId="5319C5A4" w:rsidR="00FC0D61" w:rsidRDefault="00FC0D61" w:rsidP="00F942E8">
            <w:pPr>
              <w:spacing w:after="0" w:line="259" w:lineRule="auto"/>
              <w:ind w:left="0" w:right="2" w:firstLine="0"/>
              <w:jc w:val="center"/>
            </w:pPr>
          </w:p>
        </w:tc>
        <w:tc>
          <w:tcPr>
            <w:tcW w:w="720" w:type="dxa"/>
            <w:tcBorders>
              <w:top w:val="single" w:sz="4" w:space="0" w:color="000000"/>
              <w:left w:val="single" w:sz="12" w:space="0" w:color="000000"/>
              <w:bottom w:val="single" w:sz="4" w:space="0" w:color="000000"/>
              <w:right w:val="single" w:sz="12" w:space="0" w:color="000000"/>
            </w:tcBorders>
            <w:vAlign w:val="center"/>
          </w:tcPr>
          <w:p w14:paraId="715A2CED" w14:textId="1EC00756" w:rsidR="00FC0D61" w:rsidRDefault="00FC0D61" w:rsidP="00DB6303">
            <w:pPr>
              <w:spacing w:after="0" w:line="259" w:lineRule="auto"/>
              <w:ind w:left="82" w:right="0" w:firstLine="0"/>
            </w:pPr>
            <w:r>
              <w:rPr>
                <w:sz w:val="18"/>
              </w:rPr>
              <w:t>8151A</w:t>
            </w:r>
          </w:p>
        </w:tc>
        <w:tc>
          <w:tcPr>
            <w:tcW w:w="990" w:type="dxa"/>
            <w:tcBorders>
              <w:top w:val="single" w:sz="4" w:space="0" w:color="000000"/>
              <w:left w:val="single" w:sz="12" w:space="0" w:color="000000"/>
              <w:bottom w:val="single" w:sz="4" w:space="0" w:color="000000"/>
              <w:right w:val="single" w:sz="12" w:space="0" w:color="000000"/>
            </w:tcBorders>
            <w:vAlign w:val="center"/>
          </w:tcPr>
          <w:p w14:paraId="2B7A8133" w14:textId="47E63127" w:rsidR="00FC0D61" w:rsidRDefault="00FC0D61" w:rsidP="00F942E8">
            <w:pPr>
              <w:spacing w:after="0" w:line="259" w:lineRule="auto"/>
              <w:ind w:left="0" w:right="2" w:firstLine="0"/>
              <w:jc w:val="center"/>
            </w:pPr>
          </w:p>
        </w:tc>
      </w:tr>
      <w:tr w:rsidR="00624776" w14:paraId="1C5A8742" w14:textId="77777777" w:rsidTr="005B6604">
        <w:trPr>
          <w:trHeight w:val="250"/>
        </w:trPr>
        <w:tc>
          <w:tcPr>
            <w:tcW w:w="3022" w:type="dxa"/>
            <w:tcBorders>
              <w:top w:val="single" w:sz="4" w:space="0" w:color="000000"/>
              <w:left w:val="single" w:sz="12" w:space="0" w:color="000000"/>
              <w:bottom w:val="single" w:sz="4" w:space="0" w:color="000000"/>
              <w:right w:val="single" w:sz="12" w:space="0" w:color="000000"/>
            </w:tcBorders>
            <w:vAlign w:val="center"/>
          </w:tcPr>
          <w:p w14:paraId="4F7EF8E4" w14:textId="77777777" w:rsidR="00FC0D61" w:rsidRDefault="00FC0D61" w:rsidP="00F942E8">
            <w:pPr>
              <w:spacing w:after="0" w:line="259" w:lineRule="auto"/>
              <w:ind w:left="0" w:right="0" w:firstLine="0"/>
            </w:pPr>
            <w:r>
              <w:rPr>
                <w:sz w:val="18"/>
              </w:rPr>
              <w:t xml:space="preserve">2,4-D </w:t>
            </w:r>
          </w:p>
        </w:tc>
        <w:tc>
          <w:tcPr>
            <w:tcW w:w="1106" w:type="dxa"/>
            <w:tcBorders>
              <w:top w:val="single" w:sz="4" w:space="0" w:color="000000"/>
              <w:left w:val="single" w:sz="12" w:space="0" w:color="000000"/>
              <w:bottom w:val="single" w:sz="4" w:space="0" w:color="000000"/>
              <w:right w:val="single" w:sz="12" w:space="0" w:color="000000"/>
            </w:tcBorders>
            <w:vAlign w:val="center"/>
          </w:tcPr>
          <w:p w14:paraId="551F116D" w14:textId="64F886DF" w:rsidR="00FC0D61" w:rsidRDefault="00FC0D61" w:rsidP="00F942E8">
            <w:pPr>
              <w:spacing w:after="0" w:line="259" w:lineRule="auto"/>
              <w:ind w:left="0" w:right="44" w:firstLine="0"/>
              <w:jc w:val="center"/>
            </w:pPr>
            <w:r>
              <w:rPr>
                <w:sz w:val="18"/>
              </w:rPr>
              <w:t>94-75-7</w:t>
            </w:r>
          </w:p>
        </w:tc>
        <w:tc>
          <w:tcPr>
            <w:tcW w:w="616" w:type="dxa"/>
            <w:tcBorders>
              <w:top w:val="single" w:sz="4" w:space="0" w:color="000000"/>
              <w:left w:val="single" w:sz="12" w:space="0" w:color="000000"/>
              <w:bottom w:val="single" w:sz="4" w:space="0" w:color="000000"/>
              <w:right w:val="single" w:sz="12" w:space="0" w:color="000000"/>
            </w:tcBorders>
            <w:vAlign w:val="center"/>
          </w:tcPr>
          <w:p w14:paraId="23EC7132" w14:textId="2D5B13D2" w:rsidR="00FC0D61" w:rsidRDefault="00FC0D61" w:rsidP="00F942E8">
            <w:pPr>
              <w:spacing w:after="0" w:line="259" w:lineRule="auto"/>
              <w:ind w:left="0" w:right="0" w:firstLine="0"/>
              <w:jc w:val="center"/>
            </w:pPr>
            <w:r>
              <w:rPr>
                <w:sz w:val="18"/>
              </w:rPr>
              <w:t>10</w:t>
            </w:r>
          </w:p>
        </w:tc>
        <w:tc>
          <w:tcPr>
            <w:tcW w:w="689" w:type="dxa"/>
            <w:tcBorders>
              <w:top w:val="single" w:sz="4" w:space="0" w:color="000000"/>
              <w:left w:val="single" w:sz="12" w:space="0" w:color="000000"/>
              <w:bottom w:val="single" w:sz="4" w:space="0" w:color="000000"/>
              <w:right w:val="single" w:sz="12" w:space="0" w:color="000000"/>
            </w:tcBorders>
            <w:vAlign w:val="center"/>
          </w:tcPr>
          <w:p w14:paraId="40BF4289" w14:textId="1A142DF7" w:rsidR="00FC0D61" w:rsidRDefault="00FC0D61" w:rsidP="00F942E8">
            <w:pPr>
              <w:spacing w:after="0" w:line="259" w:lineRule="auto"/>
              <w:ind w:left="0" w:right="48" w:firstLine="0"/>
              <w:jc w:val="center"/>
            </w:pPr>
            <w:r>
              <w:rPr>
                <w:sz w:val="18"/>
              </w:rPr>
              <w:t>ug/L</w:t>
            </w:r>
          </w:p>
        </w:tc>
        <w:tc>
          <w:tcPr>
            <w:tcW w:w="913" w:type="dxa"/>
            <w:tcBorders>
              <w:top w:val="single" w:sz="4" w:space="0" w:color="000000"/>
              <w:left w:val="single" w:sz="12" w:space="0" w:color="000000"/>
              <w:bottom w:val="single" w:sz="4" w:space="0" w:color="000000"/>
              <w:right w:val="single" w:sz="12" w:space="0" w:color="000000"/>
            </w:tcBorders>
            <w:vAlign w:val="center"/>
          </w:tcPr>
          <w:p w14:paraId="04686487" w14:textId="13342BEF" w:rsidR="00FC0D61" w:rsidRDefault="00FC0D61" w:rsidP="00F942E8">
            <w:pPr>
              <w:spacing w:after="0" w:line="259" w:lineRule="auto"/>
              <w:ind w:left="0" w:right="0" w:firstLine="0"/>
              <w:jc w:val="center"/>
            </w:pPr>
            <w:r>
              <w:rPr>
                <w:sz w:val="18"/>
              </w:rPr>
              <w:t>1000</w:t>
            </w:r>
          </w:p>
        </w:tc>
        <w:tc>
          <w:tcPr>
            <w:tcW w:w="854" w:type="dxa"/>
            <w:tcBorders>
              <w:top w:val="single" w:sz="4" w:space="0" w:color="000000"/>
              <w:left w:val="single" w:sz="12" w:space="0" w:color="000000"/>
              <w:bottom w:val="single" w:sz="4" w:space="0" w:color="000000"/>
              <w:right w:val="single" w:sz="12" w:space="0" w:color="000000"/>
            </w:tcBorders>
            <w:vAlign w:val="center"/>
          </w:tcPr>
          <w:p w14:paraId="33E551F4" w14:textId="3242C241" w:rsidR="00FC0D61" w:rsidRDefault="00FC0D61" w:rsidP="00F942E8">
            <w:pPr>
              <w:spacing w:after="0" w:line="259" w:lineRule="auto"/>
              <w:ind w:left="0" w:right="46" w:firstLine="0"/>
              <w:jc w:val="center"/>
            </w:pPr>
            <w:r>
              <w:rPr>
                <w:rFonts w:eastAsia="Segoe UI Symbol"/>
                <w:sz w:val="18"/>
              </w:rPr>
              <w:t>u</w:t>
            </w:r>
            <w:r>
              <w:rPr>
                <w:sz w:val="18"/>
              </w:rPr>
              <w:t>g/kg</w:t>
            </w:r>
          </w:p>
        </w:tc>
        <w:tc>
          <w:tcPr>
            <w:tcW w:w="630" w:type="dxa"/>
            <w:tcBorders>
              <w:top w:val="single" w:sz="4" w:space="0" w:color="000000"/>
              <w:left w:val="single" w:sz="12" w:space="0" w:color="000000"/>
              <w:bottom w:val="single" w:sz="4" w:space="0" w:color="000000"/>
              <w:right w:val="single" w:sz="12" w:space="0" w:color="000000"/>
            </w:tcBorders>
            <w:vAlign w:val="center"/>
          </w:tcPr>
          <w:p w14:paraId="7F85DF58" w14:textId="53862313" w:rsidR="00FC0D61" w:rsidRDefault="00FC0D61" w:rsidP="00F942E8">
            <w:pPr>
              <w:spacing w:after="0" w:line="259" w:lineRule="auto"/>
              <w:ind w:left="0" w:right="45" w:firstLine="0"/>
              <w:jc w:val="center"/>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4DD62DC7" w14:textId="5BFC7308" w:rsidR="00FC0D61" w:rsidRDefault="00FC0D61" w:rsidP="00F942E8">
            <w:pPr>
              <w:spacing w:after="0" w:line="259" w:lineRule="auto"/>
              <w:ind w:left="0" w:right="45" w:firstLine="0"/>
              <w:jc w:val="center"/>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2CA6FA0B" w14:textId="7ED5DFA8" w:rsidR="00FC0D61" w:rsidRDefault="00FC0D61" w:rsidP="00F942E8">
            <w:pPr>
              <w:spacing w:after="0" w:line="259" w:lineRule="auto"/>
              <w:ind w:left="0" w:right="47" w:firstLine="0"/>
              <w:jc w:val="center"/>
            </w:pPr>
            <w:r>
              <w:rPr>
                <w:sz w:val="18"/>
              </w:rPr>
              <w:t>X</w:t>
            </w:r>
          </w:p>
        </w:tc>
        <w:tc>
          <w:tcPr>
            <w:tcW w:w="720" w:type="dxa"/>
            <w:tcBorders>
              <w:top w:val="single" w:sz="4" w:space="0" w:color="000000"/>
              <w:left w:val="single" w:sz="12" w:space="0" w:color="000000"/>
              <w:bottom w:val="single" w:sz="4" w:space="0" w:color="000000"/>
              <w:right w:val="single" w:sz="12" w:space="0" w:color="000000"/>
            </w:tcBorders>
            <w:vAlign w:val="center"/>
          </w:tcPr>
          <w:p w14:paraId="1CD34E2B" w14:textId="6DF2237E" w:rsidR="00FC0D61" w:rsidRDefault="00FC0D61" w:rsidP="00DB6303">
            <w:pPr>
              <w:spacing w:after="0" w:line="259" w:lineRule="auto"/>
              <w:ind w:left="82" w:right="0" w:firstLine="0"/>
            </w:pPr>
            <w:r>
              <w:rPr>
                <w:sz w:val="18"/>
              </w:rPr>
              <w:t>8151A</w:t>
            </w:r>
          </w:p>
        </w:tc>
        <w:tc>
          <w:tcPr>
            <w:tcW w:w="990" w:type="dxa"/>
            <w:tcBorders>
              <w:top w:val="single" w:sz="4" w:space="0" w:color="000000"/>
              <w:left w:val="single" w:sz="12" w:space="0" w:color="000000"/>
              <w:bottom w:val="single" w:sz="4" w:space="0" w:color="000000"/>
              <w:right w:val="single" w:sz="12" w:space="0" w:color="000000"/>
            </w:tcBorders>
            <w:vAlign w:val="center"/>
          </w:tcPr>
          <w:p w14:paraId="716A76C0" w14:textId="7D489587" w:rsidR="00FC0D61" w:rsidRDefault="00FC0D61" w:rsidP="00F942E8">
            <w:pPr>
              <w:spacing w:after="0" w:line="259" w:lineRule="auto"/>
              <w:ind w:left="86" w:right="0" w:firstLine="0"/>
              <w:jc w:val="center"/>
            </w:pPr>
            <w:r>
              <w:rPr>
                <w:sz w:val="18"/>
              </w:rPr>
              <w:t>8321B</w:t>
            </w:r>
          </w:p>
        </w:tc>
      </w:tr>
      <w:tr w:rsidR="00624776" w14:paraId="10803DA7" w14:textId="77777777" w:rsidTr="005B6604">
        <w:trPr>
          <w:trHeight w:val="252"/>
        </w:trPr>
        <w:tc>
          <w:tcPr>
            <w:tcW w:w="3022" w:type="dxa"/>
            <w:tcBorders>
              <w:top w:val="single" w:sz="4" w:space="0" w:color="000000"/>
              <w:left w:val="single" w:sz="12" w:space="0" w:color="000000"/>
              <w:bottom w:val="single" w:sz="4" w:space="0" w:color="000000"/>
              <w:right w:val="single" w:sz="12" w:space="0" w:color="000000"/>
            </w:tcBorders>
            <w:vAlign w:val="center"/>
          </w:tcPr>
          <w:p w14:paraId="5803AAD8" w14:textId="77777777" w:rsidR="00FC0D61" w:rsidRDefault="00FC0D61" w:rsidP="00F942E8">
            <w:pPr>
              <w:spacing w:after="0" w:line="259" w:lineRule="auto"/>
              <w:ind w:left="0" w:right="0" w:firstLine="0"/>
            </w:pPr>
            <w:r>
              <w:rPr>
                <w:sz w:val="18"/>
              </w:rPr>
              <w:t xml:space="preserve">2,4-DB </w:t>
            </w:r>
          </w:p>
        </w:tc>
        <w:tc>
          <w:tcPr>
            <w:tcW w:w="1106" w:type="dxa"/>
            <w:tcBorders>
              <w:top w:val="single" w:sz="4" w:space="0" w:color="000000"/>
              <w:left w:val="single" w:sz="12" w:space="0" w:color="000000"/>
              <w:bottom w:val="single" w:sz="4" w:space="0" w:color="000000"/>
              <w:right w:val="single" w:sz="12" w:space="0" w:color="000000"/>
            </w:tcBorders>
            <w:vAlign w:val="center"/>
          </w:tcPr>
          <w:p w14:paraId="1FBDFF55" w14:textId="649D4684" w:rsidR="00FC0D61" w:rsidRDefault="00FC0D61" w:rsidP="00F942E8">
            <w:pPr>
              <w:spacing w:after="0" w:line="259" w:lineRule="auto"/>
              <w:ind w:left="0" w:right="44" w:firstLine="0"/>
              <w:jc w:val="center"/>
            </w:pPr>
            <w:r>
              <w:rPr>
                <w:sz w:val="18"/>
              </w:rPr>
              <w:t>94-82-6</w:t>
            </w:r>
          </w:p>
        </w:tc>
        <w:tc>
          <w:tcPr>
            <w:tcW w:w="616" w:type="dxa"/>
            <w:tcBorders>
              <w:top w:val="single" w:sz="4" w:space="0" w:color="000000"/>
              <w:left w:val="single" w:sz="12" w:space="0" w:color="000000"/>
              <w:bottom w:val="single" w:sz="4" w:space="0" w:color="000000"/>
              <w:right w:val="single" w:sz="12" w:space="0" w:color="000000"/>
            </w:tcBorders>
            <w:vAlign w:val="center"/>
          </w:tcPr>
          <w:p w14:paraId="56F911B5" w14:textId="00A71424" w:rsidR="00FC0D61" w:rsidRDefault="00FC0D61" w:rsidP="00F942E8">
            <w:pPr>
              <w:spacing w:after="0" w:line="259" w:lineRule="auto"/>
              <w:ind w:left="0" w:right="0" w:firstLine="0"/>
              <w:jc w:val="center"/>
            </w:pPr>
            <w:r>
              <w:rPr>
                <w:sz w:val="18"/>
              </w:rPr>
              <w:t>10</w:t>
            </w:r>
          </w:p>
        </w:tc>
        <w:tc>
          <w:tcPr>
            <w:tcW w:w="689" w:type="dxa"/>
            <w:tcBorders>
              <w:top w:val="single" w:sz="4" w:space="0" w:color="000000"/>
              <w:left w:val="single" w:sz="12" w:space="0" w:color="000000"/>
              <w:bottom w:val="single" w:sz="4" w:space="0" w:color="000000"/>
              <w:right w:val="single" w:sz="12" w:space="0" w:color="000000"/>
            </w:tcBorders>
            <w:vAlign w:val="center"/>
          </w:tcPr>
          <w:p w14:paraId="2C291E94" w14:textId="24BC68EB" w:rsidR="00FC0D61" w:rsidRDefault="00FC0D61" w:rsidP="00F942E8">
            <w:pPr>
              <w:spacing w:after="0" w:line="259" w:lineRule="auto"/>
              <w:ind w:left="0" w:right="48" w:firstLine="0"/>
              <w:jc w:val="center"/>
            </w:pPr>
            <w:r>
              <w:rPr>
                <w:sz w:val="18"/>
              </w:rPr>
              <w:t>ug/L</w:t>
            </w:r>
          </w:p>
        </w:tc>
        <w:tc>
          <w:tcPr>
            <w:tcW w:w="913" w:type="dxa"/>
            <w:tcBorders>
              <w:top w:val="single" w:sz="4" w:space="0" w:color="000000"/>
              <w:left w:val="single" w:sz="12" w:space="0" w:color="000000"/>
              <w:bottom w:val="single" w:sz="4" w:space="0" w:color="000000"/>
              <w:right w:val="single" w:sz="12" w:space="0" w:color="000000"/>
            </w:tcBorders>
            <w:vAlign w:val="center"/>
          </w:tcPr>
          <w:p w14:paraId="4086D4BB" w14:textId="6B11CFEB" w:rsidR="00FC0D61" w:rsidRDefault="00FC0D61" w:rsidP="00F942E8">
            <w:pPr>
              <w:spacing w:after="0" w:line="259" w:lineRule="auto"/>
              <w:ind w:left="0" w:right="0" w:firstLine="0"/>
              <w:jc w:val="center"/>
            </w:pPr>
            <w:r>
              <w:rPr>
                <w:sz w:val="18"/>
              </w:rPr>
              <w:t>1000</w:t>
            </w:r>
          </w:p>
        </w:tc>
        <w:tc>
          <w:tcPr>
            <w:tcW w:w="854" w:type="dxa"/>
            <w:tcBorders>
              <w:top w:val="single" w:sz="4" w:space="0" w:color="000000"/>
              <w:left w:val="single" w:sz="12" w:space="0" w:color="000000"/>
              <w:bottom w:val="single" w:sz="4" w:space="0" w:color="000000"/>
              <w:right w:val="single" w:sz="12" w:space="0" w:color="000000"/>
            </w:tcBorders>
            <w:vAlign w:val="center"/>
          </w:tcPr>
          <w:p w14:paraId="0F9BCFEB" w14:textId="2A1F0D7B" w:rsidR="00FC0D61" w:rsidRDefault="00FC0D61" w:rsidP="00F942E8">
            <w:pPr>
              <w:spacing w:after="0" w:line="259" w:lineRule="auto"/>
              <w:ind w:left="0" w:right="46" w:firstLine="0"/>
              <w:jc w:val="center"/>
            </w:pPr>
            <w:r>
              <w:rPr>
                <w:rFonts w:eastAsia="Segoe UI Symbol"/>
                <w:sz w:val="18"/>
              </w:rPr>
              <w:t>u</w:t>
            </w:r>
            <w:r>
              <w:rPr>
                <w:sz w:val="18"/>
              </w:rPr>
              <w:t>g/kg</w:t>
            </w:r>
          </w:p>
        </w:tc>
        <w:tc>
          <w:tcPr>
            <w:tcW w:w="630" w:type="dxa"/>
            <w:tcBorders>
              <w:top w:val="single" w:sz="4" w:space="0" w:color="000000"/>
              <w:left w:val="single" w:sz="12" w:space="0" w:color="000000"/>
              <w:bottom w:val="single" w:sz="4" w:space="0" w:color="000000"/>
              <w:right w:val="single" w:sz="12" w:space="0" w:color="000000"/>
            </w:tcBorders>
            <w:vAlign w:val="center"/>
          </w:tcPr>
          <w:p w14:paraId="678436DF" w14:textId="256259D4" w:rsidR="00FC0D61" w:rsidRDefault="00FC0D61" w:rsidP="00F942E8">
            <w:pPr>
              <w:spacing w:after="0" w:line="259" w:lineRule="auto"/>
              <w:ind w:left="0" w:right="0" w:firstLine="0"/>
              <w:jc w:val="center"/>
            </w:pPr>
          </w:p>
        </w:tc>
        <w:tc>
          <w:tcPr>
            <w:tcW w:w="540" w:type="dxa"/>
            <w:tcBorders>
              <w:top w:val="single" w:sz="4" w:space="0" w:color="000000"/>
              <w:left w:val="single" w:sz="12" w:space="0" w:color="000000"/>
              <w:bottom w:val="single" w:sz="4" w:space="0" w:color="000000"/>
              <w:right w:val="single" w:sz="12" w:space="0" w:color="000000"/>
            </w:tcBorders>
            <w:vAlign w:val="center"/>
          </w:tcPr>
          <w:p w14:paraId="5639F44F" w14:textId="491CE804" w:rsidR="00FC0D61" w:rsidRDefault="00FC0D61" w:rsidP="00F942E8">
            <w:pPr>
              <w:spacing w:after="0" w:line="259" w:lineRule="auto"/>
              <w:ind w:left="0" w:right="1" w:firstLine="0"/>
              <w:jc w:val="center"/>
            </w:pPr>
          </w:p>
        </w:tc>
        <w:tc>
          <w:tcPr>
            <w:tcW w:w="540" w:type="dxa"/>
            <w:tcBorders>
              <w:top w:val="single" w:sz="4" w:space="0" w:color="000000"/>
              <w:left w:val="single" w:sz="12" w:space="0" w:color="000000"/>
              <w:bottom w:val="single" w:sz="4" w:space="0" w:color="000000"/>
              <w:right w:val="single" w:sz="12" w:space="0" w:color="000000"/>
            </w:tcBorders>
            <w:vAlign w:val="center"/>
          </w:tcPr>
          <w:p w14:paraId="085E58BD" w14:textId="74FDBEA9" w:rsidR="00FC0D61" w:rsidRDefault="00FC0D61" w:rsidP="00F942E8">
            <w:pPr>
              <w:spacing w:after="0" w:line="259" w:lineRule="auto"/>
              <w:ind w:left="0" w:right="2" w:firstLine="0"/>
              <w:jc w:val="center"/>
            </w:pPr>
          </w:p>
        </w:tc>
        <w:tc>
          <w:tcPr>
            <w:tcW w:w="720" w:type="dxa"/>
            <w:tcBorders>
              <w:top w:val="single" w:sz="4" w:space="0" w:color="000000"/>
              <w:left w:val="single" w:sz="12" w:space="0" w:color="000000"/>
              <w:bottom w:val="single" w:sz="4" w:space="0" w:color="000000"/>
              <w:right w:val="single" w:sz="12" w:space="0" w:color="000000"/>
            </w:tcBorders>
            <w:vAlign w:val="center"/>
          </w:tcPr>
          <w:p w14:paraId="267EFC90" w14:textId="45885819" w:rsidR="00FC0D61" w:rsidRDefault="00FC0D61" w:rsidP="00DB6303">
            <w:pPr>
              <w:spacing w:after="0" w:line="259" w:lineRule="auto"/>
              <w:ind w:left="82" w:right="0" w:firstLine="0"/>
            </w:pPr>
            <w:r>
              <w:rPr>
                <w:sz w:val="18"/>
              </w:rPr>
              <w:t>8151A</w:t>
            </w:r>
          </w:p>
        </w:tc>
        <w:tc>
          <w:tcPr>
            <w:tcW w:w="990" w:type="dxa"/>
            <w:tcBorders>
              <w:top w:val="single" w:sz="4" w:space="0" w:color="000000"/>
              <w:left w:val="single" w:sz="12" w:space="0" w:color="000000"/>
              <w:bottom w:val="single" w:sz="4" w:space="0" w:color="000000"/>
              <w:right w:val="single" w:sz="12" w:space="0" w:color="000000"/>
            </w:tcBorders>
            <w:vAlign w:val="center"/>
          </w:tcPr>
          <w:p w14:paraId="70ABF91A" w14:textId="1AA896EB" w:rsidR="00FC0D61" w:rsidRDefault="00FC0D61" w:rsidP="00F942E8">
            <w:pPr>
              <w:spacing w:after="0" w:line="259" w:lineRule="auto"/>
              <w:ind w:left="86" w:right="0" w:firstLine="0"/>
              <w:jc w:val="center"/>
            </w:pPr>
            <w:r>
              <w:rPr>
                <w:sz w:val="18"/>
              </w:rPr>
              <w:t>8321B</w:t>
            </w:r>
          </w:p>
        </w:tc>
      </w:tr>
      <w:tr w:rsidR="00624776" w14:paraId="773BE2CD" w14:textId="77777777" w:rsidTr="005B6604">
        <w:trPr>
          <w:trHeight w:val="250"/>
        </w:trPr>
        <w:tc>
          <w:tcPr>
            <w:tcW w:w="3022" w:type="dxa"/>
            <w:tcBorders>
              <w:top w:val="single" w:sz="4" w:space="0" w:color="000000"/>
              <w:left w:val="single" w:sz="12" w:space="0" w:color="000000"/>
              <w:bottom w:val="single" w:sz="4" w:space="0" w:color="000000"/>
              <w:right w:val="single" w:sz="12" w:space="0" w:color="000000"/>
            </w:tcBorders>
            <w:vAlign w:val="center"/>
          </w:tcPr>
          <w:p w14:paraId="22C9F607" w14:textId="6AB3EE32" w:rsidR="00FC0D61" w:rsidRDefault="00FC0D61" w:rsidP="00F942E8">
            <w:pPr>
              <w:spacing w:after="0" w:line="259" w:lineRule="auto"/>
              <w:ind w:left="0" w:right="0" w:firstLine="0"/>
            </w:pPr>
            <w:r>
              <w:rPr>
                <w:sz w:val="18"/>
              </w:rPr>
              <w:t>DCPA diacid (</w:t>
            </w:r>
            <w:proofErr w:type="spellStart"/>
            <w:r>
              <w:rPr>
                <w:i/>
                <w:sz w:val="18"/>
              </w:rPr>
              <w:t>Dacthal</w:t>
            </w:r>
            <w:proofErr w:type="spellEnd"/>
            <w:r>
              <w:rPr>
                <w:i/>
                <w:sz w:val="18"/>
              </w:rPr>
              <w:t xml:space="preserve"> diacid) </w:t>
            </w:r>
          </w:p>
        </w:tc>
        <w:tc>
          <w:tcPr>
            <w:tcW w:w="1106" w:type="dxa"/>
            <w:tcBorders>
              <w:top w:val="single" w:sz="4" w:space="0" w:color="000000"/>
              <w:left w:val="single" w:sz="12" w:space="0" w:color="000000"/>
              <w:bottom w:val="single" w:sz="4" w:space="0" w:color="000000"/>
              <w:right w:val="single" w:sz="12" w:space="0" w:color="000000"/>
            </w:tcBorders>
            <w:vAlign w:val="center"/>
          </w:tcPr>
          <w:p w14:paraId="38F03386" w14:textId="50B2750F" w:rsidR="00FC0D61" w:rsidRDefault="00FC0D61" w:rsidP="00F942E8">
            <w:pPr>
              <w:spacing w:after="0" w:line="259" w:lineRule="auto"/>
              <w:ind w:left="0" w:right="44" w:firstLine="0"/>
              <w:jc w:val="center"/>
            </w:pPr>
            <w:r>
              <w:rPr>
                <w:sz w:val="18"/>
              </w:rPr>
              <w:t>2136-79-0</w:t>
            </w:r>
          </w:p>
        </w:tc>
        <w:tc>
          <w:tcPr>
            <w:tcW w:w="616" w:type="dxa"/>
            <w:tcBorders>
              <w:top w:val="single" w:sz="4" w:space="0" w:color="000000"/>
              <w:left w:val="single" w:sz="12" w:space="0" w:color="000000"/>
              <w:bottom w:val="single" w:sz="4" w:space="0" w:color="000000"/>
              <w:right w:val="single" w:sz="12" w:space="0" w:color="000000"/>
            </w:tcBorders>
            <w:vAlign w:val="center"/>
          </w:tcPr>
          <w:p w14:paraId="71F5725E" w14:textId="6941A96C" w:rsidR="00FC0D61" w:rsidRDefault="00FC0D61" w:rsidP="00F942E8">
            <w:pPr>
              <w:spacing w:after="0" w:line="259" w:lineRule="auto"/>
              <w:ind w:left="0" w:right="0" w:firstLine="0"/>
              <w:jc w:val="center"/>
            </w:pPr>
            <w:r>
              <w:rPr>
                <w:sz w:val="18"/>
              </w:rPr>
              <w:t>10</w:t>
            </w:r>
          </w:p>
        </w:tc>
        <w:tc>
          <w:tcPr>
            <w:tcW w:w="689" w:type="dxa"/>
            <w:tcBorders>
              <w:top w:val="single" w:sz="4" w:space="0" w:color="000000"/>
              <w:left w:val="single" w:sz="12" w:space="0" w:color="000000"/>
              <w:bottom w:val="single" w:sz="4" w:space="0" w:color="000000"/>
              <w:right w:val="single" w:sz="12" w:space="0" w:color="000000"/>
            </w:tcBorders>
            <w:vAlign w:val="center"/>
          </w:tcPr>
          <w:p w14:paraId="7031866B" w14:textId="170D806F" w:rsidR="00FC0D61" w:rsidRDefault="00FC0D61" w:rsidP="00F942E8">
            <w:pPr>
              <w:spacing w:after="0" w:line="259" w:lineRule="auto"/>
              <w:ind w:left="0" w:right="48" w:firstLine="0"/>
              <w:jc w:val="center"/>
            </w:pPr>
            <w:r>
              <w:rPr>
                <w:sz w:val="18"/>
              </w:rPr>
              <w:t>ug/L</w:t>
            </w:r>
          </w:p>
        </w:tc>
        <w:tc>
          <w:tcPr>
            <w:tcW w:w="913" w:type="dxa"/>
            <w:tcBorders>
              <w:top w:val="single" w:sz="4" w:space="0" w:color="000000"/>
              <w:left w:val="single" w:sz="12" w:space="0" w:color="000000"/>
              <w:bottom w:val="single" w:sz="4" w:space="0" w:color="000000"/>
              <w:right w:val="single" w:sz="12" w:space="0" w:color="000000"/>
            </w:tcBorders>
            <w:vAlign w:val="center"/>
          </w:tcPr>
          <w:p w14:paraId="36FEA3E5" w14:textId="7C04E0E3" w:rsidR="00FC0D61" w:rsidRDefault="00FC0D61" w:rsidP="00F942E8">
            <w:pPr>
              <w:spacing w:after="0" w:line="259" w:lineRule="auto"/>
              <w:ind w:left="0" w:right="0" w:firstLine="0"/>
              <w:jc w:val="center"/>
            </w:pPr>
            <w:r>
              <w:rPr>
                <w:sz w:val="18"/>
              </w:rPr>
              <w:t>1000</w:t>
            </w:r>
          </w:p>
        </w:tc>
        <w:tc>
          <w:tcPr>
            <w:tcW w:w="854" w:type="dxa"/>
            <w:tcBorders>
              <w:top w:val="single" w:sz="4" w:space="0" w:color="000000"/>
              <w:left w:val="single" w:sz="12" w:space="0" w:color="000000"/>
              <w:bottom w:val="single" w:sz="4" w:space="0" w:color="000000"/>
              <w:right w:val="single" w:sz="12" w:space="0" w:color="000000"/>
            </w:tcBorders>
            <w:vAlign w:val="center"/>
          </w:tcPr>
          <w:p w14:paraId="61E246C1" w14:textId="765A9534" w:rsidR="00FC0D61" w:rsidRDefault="00FC0D61" w:rsidP="00F942E8">
            <w:pPr>
              <w:spacing w:after="0" w:line="259" w:lineRule="auto"/>
              <w:ind w:left="0" w:right="46" w:firstLine="0"/>
              <w:jc w:val="center"/>
            </w:pPr>
            <w:r>
              <w:rPr>
                <w:rFonts w:eastAsia="Segoe UI Symbol"/>
                <w:sz w:val="18"/>
              </w:rPr>
              <w:t>u</w:t>
            </w:r>
            <w:r>
              <w:rPr>
                <w:sz w:val="18"/>
              </w:rPr>
              <w:t>g/kg</w:t>
            </w:r>
          </w:p>
        </w:tc>
        <w:tc>
          <w:tcPr>
            <w:tcW w:w="630" w:type="dxa"/>
            <w:tcBorders>
              <w:top w:val="single" w:sz="4" w:space="0" w:color="000000"/>
              <w:left w:val="single" w:sz="12" w:space="0" w:color="000000"/>
              <w:bottom w:val="single" w:sz="4" w:space="0" w:color="000000"/>
              <w:right w:val="single" w:sz="12" w:space="0" w:color="000000"/>
            </w:tcBorders>
            <w:vAlign w:val="center"/>
          </w:tcPr>
          <w:p w14:paraId="40C14DA7" w14:textId="62345801" w:rsidR="00FC0D61" w:rsidRDefault="00FC0D61" w:rsidP="00F942E8">
            <w:pPr>
              <w:spacing w:after="0" w:line="259" w:lineRule="auto"/>
              <w:ind w:left="0" w:right="0" w:firstLine="0"/>
              <w:jc w:val="center"/>
            </w:pPr>
          </w:p>
        </w:tc>
        <w:tc>
          <w:tcPr>
            <w:tcW w:w="540" w:type="dxa"/>
            <w:tcBorders>
              <w:top w:val="single" w:sz="4" w:space="0" w:color="000000"/>
              <w:left w:val="single" w:sz="12" w:space="0" w:color="000000"/>
              <w:bottom w:val="single" w:sz="4" w:space="0" w:color="000000"/>
              <w:right w:val="single" w:sz="12" w:space="0" w:color="000000"/>
            </w:tcBorders>
            <w:vAlign w:val="center"/>
          </w:tcPr>
          <w:p w14:paraId="52CCDCF4" w14:textId="0D20FBCD" w:rsidR="00FC0D61" w:rsidRDefault="00FC0D61" w:rsidP="00F942E8">
            <w:pPr>
              <w:spacing w:after="0" w:line="259" w:lineRule="auto"/>
              <w:ind w:left="0" w:right="1" w:firstLine="0"/>
              <w:jc w:val="center"/>
            </w:pPr>
          </w:p>
        </w:tc>
        <w:tc>
          <w:tcPr>
            <w:tcW w:w="540" w:type="dxa"/>
            <w:tcBorders>
              <w:top w:val="single" w:sz="4" w:space="0" w:color="000000"/>
              <w:left w:val="single" w:sz="12" w:space="0" w:color="000000"/>
              <w:bottom w:val="single" w:sz="4" w:space="0" w:color="000000"/>
              <w:right w:val="single" w:sz="12" w:space="0" w:color="000000"/>
            </w:tcBorders>
            <w:vAlign w:val="center"/>
          </w:tcPr>
          <w:p w14:paraId="18455BF4" w14:textId="4568AE5B" w:rsidR="00FC0D61" w:rsidRDefault="00FC0D61" w:rsidP="00F942E8">
            <w:pPr>
              <w:spacing w:after="0" w:line="259" w:lineRule="auto"/>
              <w:ind w:left="0" w:right="2" w:firstLine="0"/>
              <w:jc w:val="center"/>
            </w:pPr>
          </w:p>
        </w:tc>
        <w:tc>
          <w:tcPr>
            <w:tcW w:w="720" w:type="dxa"/>
            <w:tcBorders>
              <w:top w:val="single" w:sz="4" w:space="0" w:color="000000"/>
              <w:left w:val="single" w:sz="12" w:space="0" w:color="000000"/>
              <w:bottom w:val="single" w:sz="4" w:space="0" w:color="000000"/>
              <w:right w:val="single" w:sz="12" w:space="0" w:color="000000"/>
            </w:tcBorders>
            <w:vAlign w:val="center"/>
          </w:tcPr>
          <w:p w14:paraId="37E554EA" w14:textId="5BF5AC74" w:rsidR="00FC0D61" w:rsidRDefault="00FC0D61" w:rsidP="00DB6303">
            <w:pPr>
              <w:spacing w:after="0" w:line="259" w:lineRule="auto"/>
              <w:ind w:left="82" w:right="0" w:firstLine="0"/>
            </w:pPr>
            <w:r>
              <w:rPr>
                <w:sz w:val="18"/>
              </w:rPr>
              <w:t>8151A</w:t>
            </w:r>
          </w:p>
        </w:tc>
        <w:tc>
          <w:tcPr>
            <w:tcW w:w="990" w:type="dxa"/>
            <w:tcBorders>
              <w:top w:val="single" w:sz="4" w:space="0" w:color="000000"/>
              <w:left w:val="single" w:sz="12" w:space="0" w:color="000000"/>
              <w:bottom w:val="single" w:sz="4" w:space="0" w:color="000000"/>
              <w:right w:val="single" w:sz="12" w:space="0" w:color="000000"/>
            </w:tcBorders>
            <w:vAlign w:val="center"/>
          </w:tcPr>
          <w:p w14:paraId="73F77477" w14:textId="7AE5BE58" w:rsidR="00FC0D61" w:rsidRDefault="00FC0D61" w:rsidP="00F942E8">
            <w:pPr>
              <w:spacing w:after="0" w:line="259" w:lineRule="auto"/>
              <w:ind w:left="0" w:right="2" w:firstLine="0"/>
              <w:jc w:val="center"/>
            </w:pPr>
          </w:p>
        </w:tc>
      </w:tr>
      <w:tr w:rsidR="00624776" w14:paraId="22795993" w14:textId="77777777" w:rsidTr="005B6604">
        <w:trPr>
          <w:trHeight w:val="250"/>
        </w:trPr>
        <w:tc>
          <w:tcPr>
            <w:tcW w:w="3022" w:type="dxa"/>
            <w:tcBorders>
              <w:top w:val="single" w:sz="4" w:space="0" w:color="000000"/>
              <w:left w:val="single" w:sz="12" w:space="0" w:color="000000"/>
              <w:bottom w:val="single" w:sz="4" w:space="0" w:color="000000"/>
              <w:right w:val="single" w:sz="12" w:space="0" w:color="000000"/>
            </w:tcBorders>
            <w:vAlign w:val="center"/>
          </w:tcPr>
          <w:p w14:paraId="4F78D020" w14:textId="77777777" w:rsidR="00FC0D61" w:rsidRDefault="00FC0D61" w:rsidP="00F942E8">
            <w:pPr>
              <w:spacing w:after="0" w:line="259" w:lineRule="auto"/>
              <w:ind w:left="0" w:right="0" w:firstLine="0"/>
            </w:pPr>
            <w:r>
              <w:rPr>
                <w:sz w:val="18"/>
              </w:rPr>
              <w:t xml:space="preserve">Dalapon </w:t>
            </w:r>
          </w:p>
        </w:tc>
        <w:tc>
          <w:tcPr>
            <w:tcW w:w="1106" w:type="dxa"/>
            <w:tcBorders>
              <w:top w:val="single" w:sz="4" w:space="0" w:color="000000"/>
              <w:left w:val="single" w:sz="12" w:space="0" w:color="000000"/>
              <w:bottom w:val="single" w:sz="4" w:space="0" w:color="000000"/>
              <w:right w:val="single" w:sz="12" w:space="0" w:color="000000"/>
            </w:tcBorders>
            <w:vAlign w:val="center"/>
          </w:tcPr>
          <w:p w14:paraId="68D54CFD" w14:textId="5AC43EDD" w:rsidR="00FC0D61" w:rsidRDefault="00FC0D61" w:rsidP="00F942E8">
            <w:pPr>
              <w:spacing w:after="0" w:line="259" w:lineRule="auto"/>
              <w:ind w:left="0" w:right="44" w:firstLine="0"/>
              <w:jc w:val="center"/>
            </w:pPr>
            <w:r>
              <w:rPr>
                <w:sz w:val="18"/>
              </w:rPr>
              <w:t>75-99-0</w:t>
            </w:r>
          </w:p>
        </w:tc>
        <w:tc>
          <w:tcPr>
            <w:tcW w:w="616" w:type="dxa"/>
            <w:tcBorders>
              <w:top w:val="single" w:sz="4" w:space="0" w:color="000000"/>
              <w:left w:val="single" w:sz="12" w:space="0" w:color="000000"/>
              <w:bottom w:val="single" w:sz="4" w:space="0" w:color="000000"/>
              <w:right w:val="single" w:sz="12" w:space="0" w:color="000000"/>
            </w:tcBorders>
            <w:vAlign w:val="center"/>
          </w:tcPr>
          <w:p w14:paraId="59F77F4B" w14:textId="35AC78BB" w:rsidR="00FC0D61" w:rsidRDefault="00FC0D61" w:rsidP="00F942E8">
            <w:pPr>
              <w:spacing w:after="0" w:line="259" w:lineRule="auto"/>
              <w:ind w:left="0" w:right="0" w:firstLine="0"/>
              <w:jc w:val="center"/>
            </w:pPr>
            <w:r>
              <w:rPr>
                <w:sz w:val="18"/>
              </w:rPr>
              <w:t>20</w:t>
            </w:r>
          </w:p>
        </w:tc>
        <w:tc>
          <w:tcPr>
            <w:tcW w:w="689" w:type="dxa"/>
            <w:tcBorders>
              <w:top w:val="single" w:sz="4" w:space="0" w:color="000000"/>
              <w:left w:val="single" w:sz="12" w:space="0" w:color="000000"/>
              <w:bottom w:val="single" w:sz="4" w:space="0" w:color="000000"/>
              <w:right w:val="single" w:sz="12" w:space="0" w:color="000000"/>
            </w:tcBorders>
            <w:vAlign w:val="center"/>
          </w:tcPr>
          <w:p w14:paraId="06DB43FB" w14:textId="34A06C9C" w:rsidR="00FC0D61" w:rsidRDefault="00FC0D61" w:rsidP="00F942E8">
            <w:pPr>
              <w:spacing w:after="0" w:line="259" w:lineRule="auto"/>
              <w:ind w:left="0" w:right="48" w:firstLine="0"/>
              <w:jc w:val="center"/>
            </w:pPr>
            <w:r>
              <w:rPr>
                <w:sz w:val="18"/>
              </w:rPr>
              <w:t>ug/L</w:t>
            </w:r>
          </w:p>
        </w:tc>
        <w:tc>
          <w:tcPr>
            <w:tcW w:w="913" w:type="dxa"/>
            <w:tcBorders>
              <w:top w:val="single" w:sz="4" w:space="0" w:color="000000"/>
              <w:left w:val="single" w:sz="12" w:space="0" w:color="000000"/>
              <w:bottom w:val="single" w:sz="4" w:space="0" w:color="000000"/>
              <w:right w:val="single" w:sz="12" w:space="0" w:color="000000"/>
            </w:tcBorders>
            <w:vAlign w:val="center"/>
          </w:tcPr>
          <w:p w14:paraId="24CB9E98" w14:textId="09736BE0" w:rsidR="00FC0D61" w:rsidRDefault="00FC0D61" w:rsidP="00F942E8">
            <w:pPr>
              <w:spacing w:after="0" w:line="259" w:lineRule="auto"/>
              <w:ind w:left="0" w:right="0" w:firstLine="0"/>
              <w:jc w:val="center"/>
            </w:pPr>
            <w:r>
              <w:rPr>
                <w:sz w:val="18"/>
              </w:rPr>
              <w:t>2000</w:t>
            </w:r>
          </w:p>
        </w:tc>
        <w:tc>
          <w:tcPr>
            <w:tcW w:w="854" w:type="dxa"/>
            <w:tcBorders>
              <w:top w:val="single" w:sz="4" w:space="0" w:color="000000"/>
              <w:left w:val="single" w:sz="12" w:space="0" w:color="000000"/>
              <w:bottom w:val="single" w:sz="4" w:space="0" w:color="000000"/>
              <w:right w:val="single" w:sz="12" w:space="0" w:color="000000"/>
            </w:tcBorders>
            <w:vAlign w:val="center"/>
          </w:tcPr>
          <w:p w14:paraId="328FFFB7" w14:textId="2BFE23A1" w:rsidR="00FC0D61" w:rsidRDefault="00FC0D61" w:rsidP="00F942E8">
            <w:pPr>
              <w:spacing w:after="0" w:line="259" w:lineRule="auto"/>
              <w:ind w:left="0" w:right="46" w:firstLine="0"/>
              <w:jc w:val="center"/>
            </w:pPr>
            <w:r>
              <w:rPr>
                <w:rFonts w:eastAsia="Segoe UI Symbol"/>
                <w:sz w:val="18"/>
              </w:rPr>
              <w:t>u</w:t>
            </w:r>
            <w:r>
              <w:rPr>
                <w:sz w:val="18"/>
              </w:rPr>
              <w:t>g/kg</w:t>
            </w:r>
          </w:p>
        </w:tc>
        <w:tc>
          <w:tcPr>
            <w:tcW w:w="630" w:type="dxa"/>
            <w:tcBorders>
              <w:top w:val="single" w:sz="4" w:space="0" w:color="000000"/>
              <w:left w:val="single" w:sz="12" w:space="0" w:color="000000"/>
              <w:bottom w:val="single" w:sz="4" w:space="0" w:color="000000"/>
              <w:right w:val="single" w:sz="12" w:space="0" w:color="000000"/>
            </w:tcBorders>
            <w:vAlign w:val="center"/>
          </w:tcPr>
          <w:p w14:paraId="5951E8CB" w14:textId="4FA99441" w:rsidR="00FC0D61" w:rsidRDefault="00FC0D61" w:rsidP="00F942E8">
            <w:pPr>
              <w:spacing w:after="0" w:line="259" w:lineRule="auto"/>
              <w:ind w:left="0" w:right="0" w:firstLine="0"/>
              <w:jc w:val="center"/>
            </w:pPr>
          </w:p>
        </w:tc>
        <w:tc>
          <w:tcPr>
            <w:tcW w:w="540" w:type="dxa"/>
            <w:tcBorders>
              <w:top w:val="single" w:sz="4" w:space="0" w:color="000000"/>
              <w:left w:val="single" w:sz="12" w:space="0" w:color="000000"/>
              <w:bottom w:val="single" w:sz="4" w:space="0" w:color="000000"/>
              <w:right w:val="single" w:sz="12" w:space="0" w:color="000000"/>
            </w:tcBorders>
            <w:vAlign w:val="center"/>
          </w:tcPr>
          <w:p w14:paraId="365CA15E" w14:textId="37A9675E" w:rsidR="00FC0D61" w:rsidRDefault="00FC0D61" w:rsidP="00F942E8">
            <w:pPr>
              <w:spacing w:after="0" w:line="259" w:lineRule="auto"/>
              <w:ind w:left="0" w:right="1" w:firstLine="0"/>
              <w:jc w:val="center"/>
            </w:pPr>
          </w:p>
        </w:tc>
        <w:tc>
          <w:tcPr>
            <w:tcW w:w="540" w:type="dxa"/>
            <w:tcBorders>
              <w:top w:val="single" w:sz="4" w:space="0" w:color="000000"/>
              <w:left w:val="single" w:sz="12" w:space="0" w:color="000000"/>
              <w:bottom w:val="single" w:sz="4" w:space="0" w:color="000000"/>
              <w:right w:val="single" w:sz="12" w:space="0" w:color="000000"/>
            </w:tcBorders>
            <w:vAlign w:val="center"/>
          </w:tcPr>
          <w:p w14:paraId="1AA76306" w14:textId="78EF4E3F" w:rsidR="00FC0D61" w:rsidRDefault="00FC0D61" w:rsidP="00F942E8">
            <w:pPr>
              <w:spacing w:after="0" w:line="259" w:lineRule="auto"/>
              <w:ind w:left="0" w:right="2" w:firstLine="0"/>
              <w:jc w:val="center"/>
            </w:pPr>
          </w:p>
        </w:tc>
        <w:tc>
          <w:tcPr>
            <w:tcW w:w="720" w:type="dxa"/>
            <w:tcBorders>
              <w:top w:val="single" w:sz="4" w:space="0" w:color="000000"/>
              <w:left w:val="single" w:sz="12" w:space="0" w:color="000000"/>
              <w:bottom w:val="single" w:sz="4" w:space="0" w:color="000000"/>
              <w:right w:val="single" w:sz="12" w:space="0" w:color="000000"/>
            </w:tcBorders>
            <w:vAlign w:val="center"/>
          </w:tcPr>
          <w:p w14:paraId="228EA8C9" w14:textId="0F99C392" w:rsidR="00FC0D61" w:rsidRDefault="00FC0D61" w:rsidP="00DB6303">
            <w:pPr>
              <w:spacing w:after="0" w:line="259" w:lineRule="auto"/>
              <w:ind w:left="82" w:right="0" w:firstLine="0"/>
            </w:pPr>
            <w:r>
              <w:rPr>
                <w:sz w:val="18"/>
              </w:rPr>
              <w:t>8151A</w:t>
            </w:r>
          </w:p>
        </w:tc>
        <w:tc>
          <w:tcPr>
            <w:tcW w:w="990" w:type="dxa"/>
            <w:tcBorders>
              <w:top w:val="single" w:sz="4" w:space="0" w:color="000000"/>
              <w:left w:val="single" w:sz="12" w:space="0" w:color="000000"/>
              <w:bottom w:val="single" w:sz="4" w:space="0" w:color="000000"/>
              <w:right w:val="single" w:sz="12" w:space="0" w:color="000000"/>
            </w:tcBorders>
            <w:vAlign w:val="center"/>
          </w:tcPr>
          <w:p w14:paraId="55EDE50F" w14:textId="18F0751C" w:rsidR="00FC0D61" w:rsidRDefault="00FC0D61" w:rsidP="00F942E8">
            <w:pPr>
              <w:spacing w:after="0" w:line="259" w:lineRule="auto"/>
              <w:ind w:left="86" w:right="0" w:firstLine="0"/>
              <w:jc w:val="center"/>
            </w:pPr>
            <w:r>
              <w:rPr>
                <w:sz w:val="18"/>
              </w:rPr>
              <w:t>8321B</w:t>
            </w:r>
          </w:p>
        </w:tc>
      </w:tr>
      <w:tr w:rsidR="00624776" w14:paraId="1A5E798F" w14:textId="77777777" w:rsidTr="005B6604">
        <w:trPr>
          <w:trHeight w:val="250"/>
        </w:trPr>
        <w:tc>
          <w:tcPr>
            <w:tcW w:w="3022" w:type="dxa"/>
            <w:tcBorders>
              <w:top w:val="single" w:sz="4" w:space="0" w:color="000000"/>
              <w:left w:val="single" w:sz="12" w:space="0" w:color="000000"/>
              <w:bottom w:val="single" w:sz="4" w:space="0" w:color="000000"/>
              <w:right w:val="single" w:sz="12" w:space="0" w:color="000000"/>
            </w:tcBorders>
            <w:vAlign w:val="center"/>
          </w:tcPr>
          <w:p w14:paraId="246E302D" w14:textId="77777777" w:rsidR="00FC0D61" w:rsidRDefault="00FC0D61" w:rsidP="00F942E8">
            <w:pPr>
              <w:spacing w:after="0" w:line="259" w:lineRule="auto"/>
              <w:ind w:left="0" w:right="0" w:firstLine="0"/>
            </w:pPr>
            <w:r>
              <w:rPr>
                <w:sz w:val="18"/>
              </w:rPr>
              <w:t xml:space="preserve">Dicamba </w:t>
            </w:r>
          </w:p>
        </w:tc>
        <w:tc>
          <w:tcPr>
            <w:tcW w:w="1106" w:type="dxa"/>
            <w:tcBorders>
              <w:top w:val="single" w:sz="4" w:space="0" w:color="000000"/>
              <w:left w:val="single" w:sz="12" w:space="0" w:color="000000"/>
              <w:bottom w:val="single" w:sz="4" w:space="0" w:color="000000"/>
              <w:right w:val="single" w:sz="12" w:space="0" w:color="000000"/>
            </w:tcBorders>
            <w:vAlign w:val="center"/>
          </w:tcPr>
          <w:p w14:paraId="323AE4AC" w14:textId="5BC96812" w:rsidR="00FC0D61" w:rsidRDefault="00FC0D61" w:rsidP="00F942E8">
            <w:pPr>
              <w:spacing w:after="0" w:line="259" w:lineRule="auto"/>
              <w:ind w:left="0" w:right="44" w:firstLine="0"/>
              <w:jc w:val="center"/>
            </w:pPr>
            <w:r>
              <w:rPr>
                <w:sz w:val="18"/>
              </w:rPr>
              <w:t>1918-00-9</w:t>
            </w:r>
          </w:p>
        </w:tc>
        <w:tc>
          <w:tcPr>
            <w:tcW w:w="616" w:type="dxa"/>
            <w:tcBorders>
              <w:top w:val="single" w:sz="4" w:space="0" w:color="000000"/>
              <w:left w:val="single" w:sz="12" w:space="0" w:color="000000"/>
              <w:bottom w:val="single" w:sz="4" w:space="0" w:color="000000"/>
              <w:right w:val="single" w:sz="12" w:space="0" w:color="000000"/>
            </w:tcBorders>
            <w:vAlign w:val="center"/>
          </w:tcPr>
          <w:p w14:paraId="1863686A" w14:textId="58AA5D85" w:rsidR="00FC0D61" w:rsidRDefault="00FC0D61" w:rsidP="00F942E8">
            <w:pPr>
              <w:spacing w:after="0" w:line="259" w:lineRule="auto"/>
              <w:ind w:left="0" w:right="0" w:firstLine="0"/>
              <w:jc w:val="center"/>
            </w:pPr>
            <w:r>
              <w:rPr>
                <w:sz w:val="18"/>
              </w:rPr>
              <w:t>10</w:t>
            </w:r>
          </w:p>
        </w:tc>
        <w:tc>
          <w:tcPr>
            <w:tcW w:w="689" w:type="dxa"/>
            <w:tcBorders>
              <w:top w:val="single" w:sz="4" w:space="0" w:color="000000"/>
              <w:left w:val="single" w:sz="12" w:space="0" w:color="000000"/>
              <w:bottom w:val="single" w:sz="4" w:space="0" w:color="000000"/>
              <w:right w:val="single" w:sz="12" w:space="0" w:color="000000"/>
            </w:tcBorders>
            <w:vAlign w:val="center"/>
          </w:tcPr>
          <w:p w14:paraId="38A95A63" w14:textId="1AD28F23" w:rsidR="00FC0D61" w:rsidRDefault="00FC0D61" w:rsidP="00F942E8">
            <w:pPr>
              <w:spacing w:after="0" w:line="259" w:lineRule="auto"/>
              <w:ind w:left="0" w:right="48" w:firstLine="0"/>
              <w:jc w:val="center"/>
            </w:pPr>
            <w:r>
              <w:rPr>
                <w:sz w:val="18"/>
              </w:rPr>
              <w:t>ug/L</w:t>
            </w:r>
          </w:p>
        </w:tc>
        <w:tc>
          <w:tcPr>
            <w:tcW w:w="913" w:type="dxa"/>
            <w:tcBorders>
              <w:top w:val="single" w:sz="4" w:space="0" w:color="000000"/>
              <w:left w:val="single" w:sz="12" w:space="0" w:color="000000"/>
              <w:bottom w:val="single" w:sz="4" w:space="0" w:color="000000"/>
              <w:right w:val="single" w:sz="12" w:space="0" w:color="000000"/>
            </w:tcBorders>
            <w:vAlign w:val="center"/>
          </w:tcPr>
          <w:p w14:paraId="53FD646D" w14:textId="1AC9E0B3" w:rsidR="00FC0D61" w:rsidRDefault="00FC0D61" w:rsidP="00F942E8">
            <w:pPr>
              <w:spacing w:after="0" w:line="259" w:lineRule="auto"/>
              <w:ind w:left="0" w:right="0" w:firstLine="0"/>
              <w:jc w:val="center"/>
            </w:pPr>
            <w:r>
              <w:rPr>
                <w:sz w:val="18"/>
              </w:rPr>
              <w:t>1000</w:t>
            </w:r>
          </w:p>
        </w:tc>
        <w:tc>
          <w:tcPr>
            <w:tcW w:w="854" w:type="dxa"/>
            <w:tcBorders>
              <w:top w:val="single" w:sz="4" w:space="0" w:color="000000"/>
              <w:left w:val="single" w:sz="12" w:space="0" w:color="000000"/>
              <w:bottom w:val="single" w:sz="4" w:space="0" w:color="000000"/>
              <w:right w:val="single" w:sz="12" w:space="0" w:color="000000"/>
            </w:tcBorders>
            <w:vAlign w:val="center"/>
          </w:tcPr>
          <w:p w14:paraId="3B0288FB" w14:textId="4DBDE23B" w:rsidR="00FC0D61" w:rsidRDefault="00FC0D61" w:rsidP="00F942E8">
            <w:pPr>
              <w:spacing w:after="0" w:line="259" w:lineRule="auto"/>
              <w:ind w:left="0" w:right="46" w:firstLine="0"/>
              <w:jc w:val="center"/>
            </w:pPr>
            <w:r>
              <w:rPr>
                <w:rFonts w:eastAsia="Segoe UI Symbol"/>
                <w:sz w:val="18"/>
              </w:rPr>
              <w:t>u</w:t>
            </w:r>
            <w:r>
              <w:rPr>
                <w:sz w:val="18"/>
              </w:rPr>
              <w:t>g/kg</w:t>
            </w:r>
          </w:p>
        </w:tc>
        <w:tc>
          <w:tcPr>
            <w:tcW w:w="630" w:type="dxa"/>
            <w:tcBorders>
              <w:top w:val="single" w:sz="4" w:space="0" w:color="000000"/>
              <w:left w:val="single" w:sz="12" w:space="0" w:color="000000"/>
              <w:bottom w:val="single" w:sz="4" w:space="0" w:color="000000"/>
              <w:right w:val="single" w:sz="12" w:space="0" w:color="000000"/>
            </w:tcBorders>
            <w:vAlign w:val="center"/>
          </w:tcPr>
          <w:p w14:paraId="6B4DE7C9" w14:textId="089CDBE9" w:rsidR="00FC0D61" w:rsidRDefault="00FC0D61" w:rsidP="00F942E8">
            <w:pPr>
              <w:spacing w:after="0" w:line="259" w:lineRule="auto"/>
              <w:ind w:left="0" w:right="0" w:firstLine="0"/>
              <w:jc w:val="center"/>
            </w:pPr>
          </w:p>
        </w:tc>
        <w:tc>
          <w:tcPr>
            <w:tcW w:w="540" w:type="dxa"/>
            <w:tcBorders>
              <w:top w:val="single" w:sz="4" w:space="0" w:color="000000"/>
              <w:left w:val="single" w:sz="12" w:space="0" w:color="000000"/>
              <w:bottom w:val="single" w:sz="4" w:space="0" w:color="000000"/>
              <w:right w:val="single" w:sz="12" w:space="0" w:color="000000"/>
            </w:tcBorders>
            <w:vAlign w:val="center"/>
          </w:tcPr>
          <w:p w14:paraId="26C20BB9" w14:textId="04AD3165" w:rsidR="00FC0D61" w:rsidRDefault="00FC0D61" w:rsidP="00F942E8">
            <w:pPr>
              <w:spacing w:after="0" w:line="259" w:lineRule="auto"/>
              <w:ind w:left="0" w:right="1" w:firstLine="0"/>
              <w:jc w:val="center"/>
            </w:pPr>
          </w:p>
        </w:tc>
        <w:tc>
          <w:tcPr>
            <w:tcW w:w="540" w:type="dxa"/>
            <w:tcBorders>
              <w:top w:val="single" w:sz="4" w:space="0" w:color="000000"/>
              <w:left w:val="single" w:sz="12" w:space="0" w:color="000000"/>
              <w:bottom w:val="single" w:sz="4" w:space="0" w:color="000000"/>
              <w:right w:val="single" w:sz="12" w:space="0" w:color="000000"/>
            </w:tcBorders>
            <w:vAlign w:val="center"/>
          </w:tcPr>
          <w:p w14:paraId="7D487BDD" w14:textId="034CA891" w:rsidR="00FC0D61" w:rsidRDefault="00FC0D61" w:rsidP="00F942E8">
            <w:pPr>
              <w:spacing w:after="0" w:line="259" w:lineRule="auto"/>
              <w:ind w:left="0" w:right="2" w:firstLine="0"/>
              <w:jc w:val="center"/>
            </w:pPr>
          </w:p>
        </w:tc>
        <w:tc>
          <w:tcPr>
            <w:tcW w:w="720" w:type="dxa"/>
            <w:tcBorders>
              <w:top w:val="single" w:sz="4" w:space="0" w:color="000000"/>
              <w:left w:val="single" w:sz="12" w:space="0" w:color="000000"/>
              <w:bottom w:val="single" w:sz="4" w:space="0" w:color="000000"/>
              <w:right w:val="single" w:sz="12" w:space="0" w:color="000000"/>
            </w:tcBorders>
            <w:vAlign w:val="center"/>
          </w:tcPr>
          <w:p w14:paraId="60C4CE4F" w14:textId="2EEB70FC" w:rsidR="00FC0D61" w:rsidRDefault="00FC0D61" w:rsidP="00DB6303">
            <w:pPr>
              <w:spacing w:after="0" w:line="259" w:lineRule="auto"/>
              <w:ind w:left="82" w:right="0" w:firstLine="0"/>
            </w:pPr>
            <w:r>
              <w:rPr>
                <w:sz w:val="18"/>
              </w:rPr>
              <w:t>8151A</w:t>
            </w:r>
          </w:p>
        </w:tc>
        <w:tc>
          <w:tcPr>
            <w:tcW w:w="990" w:type="dxa"/>
            <w:tcBorders>
              <w:top w:val="single" w:sz="4" w:space="0" w:color="000000"/>
              <w:left w:val="single" w:sz="12" w:space="0" w:color="000000"/>
              <w:bottom w:val="single" w:sz="4" w:space="0" w:color="000000"/>
              <w:right w:val="single" w:sz="12" w:space="0" w:color="000000"/>
            </w:tcBorders>
            <w:vAlign w:val="center"/>
          </w:tcPr>
          <w:p w14:paraId="792BA4CE" w14:textId="195A30C5" w:rsidR="00FC0D61" w:rsidRDefault="00FC0D61" w:rsidP="00F942E8">
            <w:pPr>
              <w:spacing w:after="0" w:line="259" w:lineRule="auto"/>
              <w:ind w:left="86" w:right="0" w:firstLine="0"/>
              <w:jc w:val="center"/>
            </w:pPr>
            <w:r>
              <w:rPr>
                <w:sz w:val="18"/>
              </w:rPr>
              <w:t>8321B</w:t>
            </w:r>
          </w:p>
        </w:tc>
      </w:tr>
      <w:tr w:rsidR="00624776" w14:paraId="42FFA84C" w14:textId="77777777" w:rsidTr="005B6604">
        <w:trPr>
          <w:trHeight w:val="250"/>
        </w:trPr>
        <w:tc>
          <w:tcPr>
            <w:tcW w:w="3022" w:type="dxa"/>
            <w:tcBorders>
              <w:top w:val="single" w:sz="4" w:space="0" w:color="000000"/>
              <w:left w:val="single" w:sz="12" w:space="0" w:color="000000"/>
              <w:bottom w:val="single" w:sz="4" w:space="0" w:color="000000"/>
              <w:right w:val="single" w:sz="12" w:space="0" w:color="000000"/>
            </w:tcBorders>
            <w:vAlign w:val="center"/>
          </w:tcPr>
          <w:p w14:paraId="356A2D34" w14:textId="77777777" w:rsidR="00FC0D61" w:rsidRDefault="00FC0D61" w:rsidP="00F942E8">
            <w:pPr>
              <w:spacing w:after="0" w:line="259" w:lineRule="auto"/>
              <w:ind w:left="0" w:right="0" w:firstLine="0"/>
            </w:pPr>
            <w:r>
              <w:rPr>
                <w:sz w:val="18"/>
              </w:rPr>
              <w:t xml:space="preserve">3,5-Dichlorobenzoic acid </w:t>
            </w:r>
          </w:p>
        </w:tc>
        <w:tc>
          <w:tcPr>
            <w:tcW w:w="1106" w:type="dxa"/>
            <w:tcBorders>
              <w:top w:val="single" w:sz="4" w:space="0" w:color="000000"/>
              <w:left w:val="single" w:sz="12" w:space="0" w:color="000000"/>
              <w:bottom w:val="single" w:sz="4" w:space="0" w:color="000000"/>
              <w:right w:val="single" w:sz="12" w:space="0" w:color="000000"/>
            </w:tcBorders>
            <w:vAlign w:val="center"/>
          </w:tcPr>
          <w:p w14:paraId="4554FDF4" w14:textId="340DA90B" w:rsidR="00FC0D61" w:rsidRDefault="00FC0D61" w:rsidP="00F942E8">
            <w:pPr>
              <w:spacing w:after="0" w:line="259" w:lineRule="auto"/>
              <w:ind w:left="0" w:right="44" w:firstLine="0"/>
              <w:jc w:val="center"/>
            </w:pPr>
            <w:r>
              <w:rPr>
                <w:sz w:val="18"/>
              </w:rPr>
              <w:t>51-36-5</w:t>
            </w:r>
          </w:p>
        </w:tc>
        <w:tc>
          <w:tcPr>
            <w:tcW w:w="616" w:type="dxa"/>
            <w:tcBorders>
              <w:top w:val="single" w:sz="4" w:space="0" w:color="000000"/>
              <w:left w:val="single" w:sz="12" w:space="0" w:color="000000"/>
              <w:bottom w:val="single" w:sz="4" w:space="0" w:color="000000"/>
              <w:right w:val="single" w:sz="12" w:space="0" w:color="000000"/>
            </w:tcBorders>
            <w:vAlign w:val="center"/>
          </w:tcPr>
          <w:p w14:paraId="689F6037" w14:textId="0B1ADCAC" w:rsidR="00FC0D61" w:rsidRDefault="00FC0D61" w:rsidP="00F942E8">
            <w:pPr>
              <w:spacing w:after="0" w:line="259" w:lineRule="auto"/>
              <w:ind w:left="0" w:right="0" w:firstLine="0"/>
              <w:jc w:val="center"/>
            </w:pPr>
            <w:r>
              <w:rPr>
                <w:sz w:val="18"/>
              </w:rPr>
              <w:t>10</w:t>
            </w:r>
          </w:p>
        </w:tc>
        <w:tc>
          <w:tcPr>
            <w:tcW w:w="689" w:type="dxa"/>
            <w:tcBorders>
              <w:top w:val="single" w:sz="4" w:space="0" w:color="000000"/>
              <w:left w:val="single" w:sz="12" w:space="0" w:color="000000"/>
              <w:bottom w:val="single" w:sz="4" w:space="0" w:color="000000"/>
              <w:right w:val="single" w:sz="12" w:space="0" w:color="000000"/>
            </w:tcBorders>
            <w:vAlign w:val="center"/>
          </w:tcPr>
          <w:p w14:paraId="453B115F" w14:textId="20906583" w:rsidR="00FC0D61" w:rsidRDefault="00FC0D61" w:rsidP="00F942E8">
            <w:pPr>
              <w:spacing w:after="0" w:line="259" w:lineRule="auto"/>
              <w:ind w:left="0" w:right="48" w:firstLine="0"/>
              <w:jc w:val="center"/>
            </w:pPr>
            <w:r>
              <w:rPr>
                <w:sz w:val="18"/>
              </w:rPr>
              <w:t>ug/L</w:t>
            </w:r>
          </w:p>
        </w:tc>
        <w:tc>
          <w:tcPr>
            <w:tcW w:w="913" w:type="dxa"/>
            <w:tcBorders>
              <w:top w:val="single" w:sz="4" w:space="0" w:color="000000"/>
              <w:left w:val="single" w:sz="12" w:space="0" w:color="000000"/>
              <w:bottom w:val="single" w:sz="4" w:space="0" w:color="000000"/>
              <w:right w:val="single" w:sz="12" w:space="0" w:color="000000"/>
            </w:tcBorders>
            <w:vAlign w:val="center"/>
          </w:tcPr>
          <w:p w14:paraId="061638DD" w14:textId="5E9320D0" w:rsidR="00FC0D61" w:rsidRDefault="00FC0D61" w:rsidP="00F942E8">
            <w:pPr>
              <w:spacing w:after="0" w:line="259" w:lineRule="auto"/>
              <w:ind w:left="0" w:right="0" w:firstLine="0"/>
              <w:jc w:val="center"/>
            </w:pPr>
            <w:r>
              <w:rPr>
                <w:sz w:val="18"/>
              </w:rPr>
              <w:t>1000</w:t>
            </w:r>
          </w:p>
        </w:tc>
        <w:tc>
          <w:tcPr>
            <w:tcW w:w="854" w:type="dxa"/>
            <w:tcBorders>
              <w:top w:val="single" w:sz="4" w:space="0" w:color="000000"/>
              <w:left w:val="single" w:sz="12" w:space="0" w:color="000000"/>
              <w:bottom w:val="single" w:sz="4" w:space="0" w:color="000000"/>
              <w:right w:val="single" w:sz="12" w:space="0" w:color="000000"/>
            </w:tcBorders>
            <w:vAlign w:val="center"/>
          </w:tcPr>
          <w:p w14:paraId="1D90377A" w14:textId="4D5EBDAE" w:rsidR="00FC0D61" w:rsidRDefault="00FC0D61" w:rsidP="00F942E8">
            <w:pPr>
              <w:spacing w:after="0" w:line="259" w:lineRule="auto"/>
              <w:ind w:left="0" w:right="46" w:firstLine="0"/>
              <w:jc w:val="center"/>
            </w:pPr>
            <w:r>
              <w:rPr>
                <w:rFonts w:eastAsia="Segoe UI Symbol"/>
                <w:sz w:val="18"/>
              </w:rPr>
              <w:t>u</w:t>
            </w:r>
            <w:r>
              <w:rPr>
                <w:sz w:val="18"/>
              </w:rPr>
              <w:t>g/kg</w:t>
            </w:r>
          </w:p>
        </w:tc>
        <w:tc>
          <w:tcPr>
            <w:tcW w:w="630" w:type="dxa"/>
            <w:tcBorders>
              <w:top w:val="single" w:sz="4" w:space="0" w:color="000000"/>
              <w:left w:val="single" w:sz="12" w:space="0" w:color="000000"/>
              <w:bottom w:val="single" w:sz="4" w:space="0" w:color="000000"/>
              <w:right w:val="single" w:sz="12" w:space="0" w:color="000000"/>
            </w:tcBorders>
            <w:vAlign w:val="center"/>
          </w:tcPr>
          <w:p w14:paraId="40ACF7D8" w14:textId="469F8830" w:rsidR="00FC0D61" w:rsidRDefault="00FC0D61" w:rsidP="00F942E8">
            <w:pPr>
              <w:spacing w:after="0" w:line="259" w:lineRule="auto"/>
              <w:ind w:left="0" w:right="0" w:firstLine="0"/>
              <w:jc w:val="center"/>
            </w:pPr>
          </w:p>
        </w:tc>
        <w:tc>
          <w:tcPr>
            <w:tcW w:w="540" w:type="dxa"/>
            <w:tcBorders>
              <w:top w:val="single" w:sz="4" w:space="0" w:color="000000"/>
              <w:left w:val="single" w:sz="12" w:space="0" w:color="000000"/>
              <w:bottom w:val="single" w:sz="4" w:space="0" w:color="000000"/>
              <w:right w:val="single" w:sz="12" w:space="0" w:color="000000"/>
            </w:tcBorders>
            <w:vAlign w:val="center"/>
          </w:tcPr>
          <w:p w14:paraId="46ACFFF8" w14:textId="71387A51" w:rsidR="00FC0D61" w:rsidRDefault="00FC0D61" w:rsidP="00F942E8">
            <w:pPr>
              <w:spacing w:after="0" w:line="259" w:lineRule="auto"/>
              <w:ind w:left="0" w:right="1" w:firstLine="0"/>
              <w:jc w:val="center"/>
            </w:pPr>
          </w:p>
        </w:tc>
        <w:tc>
          <w:tcPr>
            <w:tcW w:w="540" w:type="dxa"/>
            <w:tcBorders>
              <w:top w:val="single" w:sz="4" w:space="0" w:color="000000"/>
              <w:left w:val="single" w:sz="12" w:space="0" w:color="000000"/>
              <w:bottom w:val="single" w:sz="4" w:space="0" w:color="000000"/>
              <w:right w:val="single" w:sz="12" w:space="0" w:color="000000"/>
            </w:tcBorders>
            <w:vAlign w:val="center"/>
          </w:tcPr>
          <w:p w14:paraId="75E4B983" w14:textId="1EB9704F" w:rsidR="00FC0D61" w:rsidRDefault="00FC0D61" w:rsidP="00F942E8">
            <w:pPr>
              <w:spacing w:after="0" w:line="259" w:lineRule="auto"/>
              <w:ind w:left="0" w:right="2" w:firstLine="0"/>
              <w:jc w:val="center"/>
            </w:pPr>
          </w:p>
        </w:tc>
        <w:tc>
          <w:tcPr>
            <w:tcW w:w="720" w:type="dxa"/>
            <w:tcBorders>
              <w:top w:val="single" w:sz="4" w:space="0" w:color="000000"/>
              <w:left w:val="single" w:sz="12" w:space="0" w:color="000000"/>
              <w:bottom w:val="single" w:sz="4" w:space="0" w:color="000000"/>
              <w:right w:val="single" w:sz="12" w:space="0" w:color="000000"/>
            </w:tcBorders>
            <w:vAlign w:val="center"/>
          </w:tcPr>
          <w:p w14:paraId="62ADD06C" w14:textId="4B165C58" w:rsidR="00FC0D61" w:rsidRDefault="00FC0D61" w:rsidP="00DB6303">
            <w:pPr>
              <w:spacing w:after="0" w:line="259" w:lineRule="auto"/>
              <w:ind w:left="82" w:right="0" w:firstLine="0"/>
            </w:pPr>
            <w:r>
              <w:rPr>
                <w:sz w:val="18"/>
              </w:rPr>
              <w:t>8151A</w:t>
            </w:r>
          </w:p>
        </w:tc>
        <w:tc>
          <w:tcPr>
            <w:tcW w:w="990" w:type="dxa"/>
            <w:tcBorders>
              <w:top w:val="single" w:sz="4" w:space="0" w:color="000000"/>
              <w:left w:val="single" w:sz="12" w:space="0" w:color="000000"/>
              <w:bottom w:val="single" w:sz="4" w:space="0" w:color="000000"/>
              <w:right w:val="single" w:sz="12" w:space="0" w:color="000000"/>
            </w:tcBorders>
            <w:vAlign w:val="center"/>
          </w:tcPr>
          <w:p w14:paraId="4121A690" w14:textId="33E1670C" w:rsidR="00FC0D61" w:rsidRDefault="00FC0D61" w:rsidP="00F942E8">
            <w:pPr>
              <w:spacing w:after="0" w:line="259" w:lineRule="auto"/>
              <w:ind w:left="0" w:right="2" w:firstLine="0"/>
              <w:jc w:val="center"/>
            </w:pPr>
          </w:p>
        </w:tc>
      </w:tr>
      <w:tr w:rsidR="00624776" w14:paraId="74845CB6" w14:textId="77777777" w:rsidTr="005B6604">
        <w:trPr>
          <w:trHeight w:val="250"/>
        </w:trPr>
        <w:tc>
          <w:tcPr>
            <w:tcW w:w="3022" w:type="dxa"/>
            <w:tcBorders>
              <w:top w:val="single" w:sz="4" w:space="0" w:color="000000"/>
              <w:left w:val="single" w:sz="12" w:space="0" w:color="000000"/>
              <w:bottom w:val="single" w:sz="4" w:space="0" w:color="000000"/>
              <w:right w:val="single" w:sz="12" w:space="0" w:color="000000"/>
            </w:tcBorders>
            <w:vAlign w:val="center"/>
          </w:tcPr>
          <w:p w14:paraId="64E8381C" w14:textId="77777777" w:rsidR="00FC0D61" w:rsidRDefault="00FC0D61" w:rsidP="00F942E8">
            <w:pPr>
              <w:spacing w:after="0" w:line="259" w:lineRule="auto"/>
              <w:ind w:left="0" w:right="0" w:firstLine="0"/>
            </w:pPr>
            <w:proofErr w:type="spellStart"/>
            <w:r>
              <w:rPr>
                <w:sz w:val="18"/>
              </w:rPr>
              <w:t>Dichloroprop</w:t>
            </w:r>
            <w:proofErr w:type="spellEnd"/>
            <w:r>
              <w:rPr>
                <w:sz w:val="18"/>
              </w:rPr>
              <w:t xml:space="preserve"> </w:t>
            </w:r>
          </w:p>
        </w:tc>
        <w:tc>
          <w:tcPr>
            <w:tcW w:w="1106" w:type="dxa"/>
            <w:tcBorders>
              <w:top w:val="single" w:sz="4" w:space="0" w:color="000000"/>
              <w:left w:val="single" w:sz="12" w:space="0" w:color="000000"/>
              <w:bottom w:val="single" w:sz="4" w:space="0" w:color="000000"/>
              <w:right w:val="single" w:sz="12" w:space="0" w:color="000000"/>
            </w:tcBorders>
            <w:vAlign w:val="center"/>
          </w:tcPr>
          <w:p w14:paraId="3BBD7578" w14:textId="693B1159" w:rsidR="00FC0D61" w:rsidRDefault="00FC0D61" w:rsidP="00F942E8">
            <w:pPr>
              <w:spacing w:after="0" w:line="259" w:lineRule="auto"/>
              <w:ind w:left="0" w:right="44" w:firstLine="0"/>
              <w:jc w:val="center"/>
            </w:pPr>
            <w:r>
              <w:rPr>
                <w:sz w:val="18"/>
              </w:rPr>
              <w:t>120-36-5</w:t>
            </w:r>
          </w:p>
        </w:tc>
        <w:tc>
          <w:tcPr>
            <w:tcW w:w="616" w:type="dxa"/>
            <w:tcBorders>
              <w:top w:val="single" w:sz="4" w:space="0" w:color="000000"/>
              <w:left w:val="single" w:sz="12" w:space="0" w:color="000000"/>
              <w:bottom w:val="single" w:sz="4" w:space="0" w:color="000000"/>
              <w:right w:val="single" w:sz="12" w:space="0" w:color="000000"/>
            </w:tcBorders>
            <w:vAlign w:val="center"/>
          </w:tcPr>
          <w:p w14:paraId="6E505AA0" w14:textId="1A1562F1" w:rsidR="00FC0D61" w:rsidRDefault="00FC0D61" w:rsidP="00F942E8">
            <w:pPr>
              <w:spacing w:after="0" w:line="259" w:lineRule="auto"/>
              <w:ind w:left="0" w:right="0" w:firstLine="0"/>
              <w:jc w:val="center"/>
            </w:pPr>
            <w:r>
              <w:rPr>
                <w:sz w:val="18"/>
              </w:rPr>
              <w:t>10</w:t>
            </w:r>
          </w:p>
        </w:tc>
        <w:tc>
          <w:tcPr>
            <w:tcW w:w="689" w:type="dxa"/>
            <w:tcBorders>
              <w:top w:val="single" w:sz="4" w:space="0" w:color="000000"/>
              <w:left w:val="single" w:sz="12" w:space="0" w:color="000000"/>
              <w:bottom w:val="single" w:sz="4" w:space="0" w:color="000000"/>
              <w:right w:val="single" w:sz="12" w:space="0" w:color="000000"/>
            </w:tcBorders>
            <w:vAlign w:val="center"/>
          </w:tcPr>
          <w:p w14:paraId="1BB1AAC2" w14:textId="418188B3" w:rsidR="00FC0D61" w:rsidRDefault="00FC0D61" w:rsidP="00F942E8">
            <w:pPr>
              <w:spacing w:after="0" w:line="259" w:lineRule="auto"/>
              <w:ind w:left="0" w:right="48" w:firstLine="0"/>
              <w:jc w:val="center"/>
            </w:pPr>
            <w:r>
              <w:rPr>
                <w:sz w:val="18"/>
              </w:rPr>
              <w:t>ug/L</w:t>
            </w:r>
          </w:p>
        </w:tc>
        <w:tc>
          <w:tcPr>
            <w:tcW w:w="913" w:type="dxa"/>
            <w:tcBorders>
              <w:top w:val="single" w:sz="4" w:space="0" w:color="000000"/>
              <w:left w:val="single" w:sz="12" w:space="0" w:color="000000"/>
              <w:bottom w:val="single" w:sz="4" w:space="0" w:color="000000"/>
              <w:right w:val="single" w:sz="12" w:space="0" w:color="000000"/>
            </w:tcBorders>
            <w:vAlign w:val="center"/>
          </w:tcPr>
          <w:p w14:paraId="09F0870F" w14:textId="21660A01" w:rsidR="00FC0D61" w:rsidRDefault="00FC0D61" w:rsidP="00F942E8">
            <w:pPr>
              <w:spacing w:after="0" w:line="259" w:lineRule="auto"/>
              <w:ind w:left="0" w:right="0" w:firstLine="0"/>
              <w:jc w:val="center"/>
            </w:pPr>
            <w:r>
              <w:rPr>
                <w:sz w:val="18"/>
              </w:rPr>
              <w:t>1000</w:t>
            </w:r>
          </w:p>
        </w:tc>
        <w:tc>
          <w:tcPr>
            <w:tcW w:w="854" w:type="dxa"/>
            <w:tcBorders>
              <w:top w:val="single" w:sz="4" w:space="0" w:color="000000"/>
              <w:left w:val="single" w:sz="12" w:space="0" w:color="000000"/>
              <w:bottom w:val="single" w:sz="4" w:space="0" w:color="000000"/>
              <w:right w:val="single" w:sz="12" w:space="0" w:color="000000"/>
            </w:tcBorders>
            <w:vAlign w:val="center"/>
          </w:tcPr>
          <w:p w14:paraId="6B79EEDD" w14:textId="629A8D12" w:rsidR="00FC0D61" w:rsidRDefault="00FC0D61" w:rsidP="00F942E8">
            <w:pPr>
              <w:spacing w:after="0" w:line="259" w:lineRule="auto"/>
              <w:ind w:left="0" w:right="46" w:firstLine="0"/>
              <w:jc w:val="center"/>
            </w:pPr>
            <w:r>
              <w:rPr>
                <w:rFonts w:eastAsia="Segoe UI Symbol"/>
                <w:sz w:val="18"/>
              </w:rPr>
              <w:t>u</w:t>
            </w:r>
            <w:r>
              <w:rPr>
                <w:sz w:val="18"/>
              </w:rPr>
              <w:t>g/kg</w:t>
            </w:r>
          </w:p>
        </w:tc>
        <w:tc>
          <w:tcPr>
            <w:tcW w:w="630" w:type="dxa"/>
            <w:tcBorders>
              <w:top w:val="single" w:sz="4" w:space="0" w:color="000000"/>
              <w:left w:val="single" w:sz="12" w:space="0" w:color="000000"/>
              <w:bottom w:val="single" w:sz="4" w:space="0" w:color="000000"/>
              <w:right w:val="single" w:sz="12" w:space="0" w:color="000000"/>
            </w:tcBorders>
            <w:vAlign w:val="center"/>
          </w:tcPr>
          <w:p w14:paraId="3FCD78C4" w14:textId="5E22DB08" w:rsidR="00FC0D61" w:rsidRDefault="00FC0D61" w:rsidP="00F942E8">
            <w:pPr>
              <w:spacing w:after="0" w:line="259" w:lineRule="auto"/>
              <w:ind w:left="0" w:right="0" w:firstLine="0"/>
              <w:jc w:val="center"/>
            </w:pPr>
          </w:p>
        </w:tc>
        <w:tc>
          <w:tcPr>
            <w:tcW w:w="540" w:type="dxa"/>
            <w:tcBorders>
              <w:top w:val="single" w:sz="4" w:space="0" w:color="000000"/>
              <w:left w:val="single" w:sz="12" w:space="0" w:color="000000"/>
              <w:bottom w:val="single" w:sz="4" w:space="0" w:color="000000"/>
              <w:right w:val="single" w:sz="12" w:space="0" w:color="000000"/>
            </w:tcBorders>
            <w:vAlign w:val="center"/>
          </w:tcPr>
          <w:p w14:paraId="489EC102" w14:textId="7A39A688" w:rsidR="00FC0D61" w:rsidRDefault="00FC0D61" w:rsidP="00F942E8">
            <w:pPr>
              <w:spacing w:after="0" w:line="259" w:lineRule="auto"/>
              <w:ind w:left="0" w:right="1" w:firstLine="0"/>
              <w:jc w:val="center"/>
            </w:pPr>
          </w:p>
        </w:tc>
        <w:tc>
          <w:tcPr>
            <w:tcW w:w="540" w:type="dxa"/>
            <w:tcBorders>
              <w:top w:val="single" w:sz="4" w:space="0" w:color="000000"/>
              <w:left w:val="single" w:sz="12" w:space="0" w:color="000000"/>
              <w:bottom w:val="single" w:sz="4" w:space="0" w:color="000000"/>
              <w:right w:val="single" w:sz="12" w:space="0" w:color="000000"/>
            </w:tcBorders>
            <w:vAlign w:val="center"/>
          </w:tcPr>
          <w:p w14:paraId="0D5F4059" w14:textId="10B6AD70" w:rsidR="00FC0D61" w:rsidRDefault="00FC0D61" w:rsidP="00F942E8">
            <w:pPr>
              <w:spacing w:after="0" w:line="259" w:lineRule="auto"/>
              <w:ind w:left="0" w:right="2" w:firstLine="0"/>
              <w:jc w:val="center"/>
            </w:pPr>
          </w:p>
        </w:tc>
        <w:tc>
          <w:tcPr>
            <w:tcW w:w="720" w:type="dxa"/>
            <w:tcBorders>
              <w:top w:val="single" w:sz="4" w:space="0" w:color="000000"/>
              <w:left w:val="single" w:sz="12" w:space="0" w:color="000000"/>
              <w:bottom w:val="single" w:sz="4" w:space="0" w:color="000000"/>
              <w:right w:val="single" w:sz="12" w:space="0" w:color="000000"/>
            </w:tcBorders>
            <w:vAlign w:val="center"/>
          </w:tcPr>
          <w:p w14:paraId="1A3448E9" w14:textId="4B28693E" w:rsidR="00FC0D61" w:rsidRDefault="00FC0D61" w:rsidP="00DB6303">
            <w:pPr>
              <w:spacing w:after="0" w:line="259" w:lineRule="auto"/>
              <w:ind w:left="82" w:right="0" w:firstLine="0"/>
            </w:pPr>
            <w:r>
              <w:rPr>
                <w:sz w:val="18"/>
              </w:rPr>
              <w:t>8151A</w:t>
            </w:r>
          </w:p>
        </w:tc>
        <w:tc>
          <w:tcPr>
            <w:tcW w:w="990" w:type="dxa"/>
            <w:tcBorders>
              <w:top w:val="single" w:sz="4" w:space="0" w:color="000000"/>
              <w:left w:val="single" w:sz="12" w:space="0" w:color="000000"/>
              <w:bottom w:val="single" w:sz="4" w:space="0" w:color="000000"/>
              <w:right w:val="single" w:sz="12" w:space="0" w:color="000000"/>
            </w:tcBorders>
            <w:vAlign w:val="center"/>
          </w:tcPr>
          <w:p w14:paraId="62DDDD6C" w14:textId="685A5B45" w:rsidR="00FC0D61" w:rsidRDefault="00FC0D61" w:rsidP="00F942E8">
            <w:pPr>
              <w:spacing w:after="0" w:line="259" w:lineRule="auto"/>
              <w:ind w:left="86" w:right="0" w:firstLine="0"/>
              <w:jc w:val="center"/>
            </w:pPr>
            <w:r>
              <w:rPr>
                <w:sz w:val="18"/>
              </w:rPr>
              <w:t>8321B</w:t>
            </w:r>
          </w:p>
        </w:tc>
      </w:tr>
      <w:tr w:rsidR="00624776" w14:paraId="687C3EA1" w14:textId="77777777" w:rsidTr="005B6604">
        <w:trPr>
          <w:trHeight w:val="425"/>
        </w:trPr>
        <w:tc>
          <w:tcPr>
            <w:tcW w:w="3022" w:type="dxa"/>
            <w:tcBorders>
              <w:top w:val="single" w:sz="4" w:space="0" w:color="000000"/>
              <w:left w:val="single" w:sz="12" w:space="0" w:color="000000"/>
              <w:bottom w:val="single" w:sz="4" w:space="0" w:color="000000"/>
              <w:right w:val="single" w:sz="12" w:space="0" w:color="000000"/>
            </w:tcBorders>
            <w:vAlign w:val="center"/>
          </w:tcPr>
          <w:p w14:paraId="14E5A236" w14:textId="77777777" w:rsidR="00FC0D61" w:rsidRDefault="00FC0D61" w:rsidP="00F942E8">
            <w:pPr>
              <w:spacing w:after="0" w:line="259" w:lineRule="auto"/>
              <w:ind w:left="0" w:right="0" w:firstLine="0"/>
            </w:pPr>
            <w:proofErr w:type="spellStart"/>
            <w:r>
              <w:rPr>
                <w:sz w:val="18"/>
              </w:rPr>
              <w:t>Dinoseb</w:t>
            </w:r>
            <w:proofErr w:type="spellEnd"/>
            <w:r>
              <w:rPr>
                <w:sz w:val="18"/>
              </w:rPr>
              <w:t xml:space="preserve"> </w:t>
            </w:r>
          </w:p>
        </w:tc>
        <w:tc>
          <w:tcPr>
            <w:tcW w:w="1106" w:type="dxa"/>
            <w:tcBorders>
              <w:top w:val="single" w:sz="4" w:space="0" w:color="000000"/>
              <w:left w:val="single" w:sz="12" w:space="0" w:color="000000"/>
              <w:bottom w:val="single" w:sz="4" w:space="0" w:color="000000"/>
              <w:right w:val="single" w:sz="12" w:space="0" w:color="000000"/>
            </w:tcBorders>
            <w:vAlign w:val="center"/>
          </w:tcPr>
          <w:p w14:paraId="488CC144" w14:textId="6E01ABC2" w:rsidR="00FC0D61" w:rsidRDefault="00FC0D61" w:rsidP="00F942E8">
            <w:pPr>
              <w:spacing w:after="0" w:line="259" w:lineRule="auto"/>
              <w:ind w:left="0" w:right="44" w:firstLine="0"/>
              <w:jc w:val="center"/>
            </w:pPr>
            <w:r>
              <w:rPr>
                <w:sz w:val="18"/>
              </w:rPr>
              <w:t>88-85-7</w:t>
            </w:r>
          </w:p>
        </w:tc>
        <w:tc>
          <w:tcPr>
            <w:tcW w:w="616" w:type="dxa"/>
            <w:tcBorders>
              <w:top w:val="single" w:sz="4" w:space="0" w:color="000000"/>
              <w:left w:val="single" w:sz="12" w:space="0" w:color="000000"/>
              <w:bottom w:val="single" w:sz="4" w:space="0" w:color="000000"/>
              <w:right w:val="single" w:sz="12" w:space="0" w:color="000000"/>
            </w:tcBorders>
            <w:vAlign w:val="center"/>
          </w:tcPr>
          <w:p w14:paraId="5ADF2AC3" w14:textId="512732E1" w:rsidR="00FC0D61" w:rsidRDefault="00FC0D61" w:rsidP="00F942E8">
            <w:pPr>
              <w:tabs>
                <w:tab w:val="right" w:pos="530"/>
              </w:tabs>
              <w:spacing w:after="0" w:line="259" w:lineRule="auto"/>
              <w:ind w:left="0" w:right="0" w:firstLine="0"/>
              <w:jc w:val="center"/>
            </w:pPr>
            <w:r>
              <w:rPr>
                <w:sz w:val="18"/>
              </w:rPr>
              <w:t>2</w:t>
            </w:r>
          </w:p>
        </w:tc>
        <w:tc>
          <w:tcPr>
            <w:tcW w:w="689" w:type="dxa"/>
            <w:tcBorders>
              <w:top w:val="single" w:sz="4" w:space="0" w:color="000000"/>
              <w:left w:val="single" w:sz="12" w:space="0" w:color="000000"/>
              <w:bottom w:val="single" w:sz="4" w:space="0" w:color="000000"/>
              <w:right w:val="single" w:sz="12" w:space="0" w:color="000000"/>
            </w:tcBorders>
            <w:vAlign w:val="center"/>
          </w:tcPr>
          <w:p w14:paraId="3E786B9B" w14:textId="67D7AFE3" w:rsidR="00FC0D61" w:rsidRDefault="00FC0D61" w:rsidP="00F942E8">
            <w:pPr>
              <w:spacing w:after="0" w:line="259" w:lineRule="auto"/>
              <w:ind w:left="0" w:right="48" w:firstLine="0"/>
              <w:jc w:val="center"/>
            </w:pPr>
            <w:r>
              <w:rPr>
                <w:sz w:val="18"/>
              </w:rPr>
              <w:t>ug/L</w:t>
            </w:r>
          </w:p>
        </w:tc>
        <w:tc>
          <w:tcPr>
            <w:tcW w:w="913" w:type="dxa"/>
            <w:tcBorders>
              <w:top w:val="single" w:sz="4" w:space="0" w:color="000000"/>
              <w:left w:val="single" w:sz="12" w:space="0" w:color="000000"/>
              <w:bottom w:val="single" w:sz="4" w:space="0" w:color="000000"/>
              <w:right w:val="single" w:sz="12" w:space="0" w:color="000000"/>
            </w:tcBorders>
            <w:vAlign w:val="center"/>
          </w:tcPr>
          <w:p w14:paraId="2CC50150" w14:textId="5883829C" w:rsidR="00FC0D61" w:rsidRDefault="00FC0D61" w:rsidP="00F942E8">
            <w:pPr>
              <w:spacing w:after="0" w:line="259" w:lineRule="auto"/>
              <w:ind w:left="0" w:right="0" w:firstLine="0"/>
              <w:jc w:val="center"/>
            </w:pPr>
            <w:r>
              <w:rPr>
                <w:sz w:val="18"/>
              </w:rPr>
              <w:t>1000</w:t>
            </w:r>
          </w:p>
        </w:tc>
        <w:tc>
          <w:tcPr>
            <w:tcW w:w="854" w:type="dxa"/>
            <w:tcBorders>
              <w:top w:val="single" w:sz="4" w:space="0" w:color="000000"/>
              <w:left w:val="single" w:sz="12" w:space="0" w:color="000000"/>
              <w:bottom w:val="single" w:sz="4" w:space="0" w:color="000000"/>
              <w:right w:val="single" w:sz="12" w:space="0" w:color="000000"/>
            </w:tcBorders>
            <w:vAlign w:val="center"/>
          </w:tcPr>
          <w:p w14:paraId="1CD01209" w14:textId="48369122" w:rsidR="00FC0D61" w:rsidRDefault="00FC0D61" w:rsidP="00F942E8">
            <w:pPr>
              <w:spacing w:after="0" w:line="259" w:lineRule="auto"/>
              <w:ind w:left="0" w:right="46" w:firstLine="0"/>
              <w:jc w:val="center"/>
            </w:pPr>
            <w:r>
              <w:rPr>
                <w:rFonts w:eastAsia="Segoe UI Symbol"/>
                <w:sz w:val="18"/>
              </w:rPr>
              <w:t>u</w:t>
            </w:r>
            <w:r>
              <w:rPr>
                <w:sz w:val="18"/>
              </w:rPr>
              <w:t>g/kg</w:t>
            </w:r>
          </w:p>
        </w:tc>
        <w:tc>
          <w:tcPr>
            <w:tcW w:w="630" w:type="dxa"/>
            <w:tcBorders>
              <w:top w:val="single" w:sz="4" w:space="0" w:color="000000"/>
              <w:left w:val="single" w:sz="12" w:space="0" w:color="000000"/>
              <w:bottom w:val="single" w:sz="4" w:space="0" w:color="000000"/>
              <w:right w:val="single" w:sz="12" w:space="0" w:color="000000"/>
            </w:tcBorders>
            <w:vAlign w:val="center"/>
          </w:tcPr>
          <w:p w14:paraId="7550B10B" w14:textId="706AA5DB" w:rsidR="00FC0D61" w:rsidRDefault="00FC0D61" w:rsidP="00F942E8">
            <w:pPr>
              <w:spacing w:after="0" w:line="259" w:lineRule="auto"/>
              <w:ind w:left="0" w:right="45" w:firstLine="0"/>
              <w:jc w:val="center"/>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33A4E1AB" w14:textId="4669C0F6" w:rsidR="00FC0D61" w:rsidRDefault="00FC0D61" w:rsidP="00F942E8">
            <w:pPr>
              <w:spacing w:after="0" w:line="259" w:lineRule="auto"/>
              <w:ind w:left="0" w:right="45" w:firstLine="0"/>
              <w:jc w:val="center"/>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57721B89" w14:textId="621C87B0" w:rsidR="00FC0D61" w:rsidRDefault="00FC0D61" w:rsidP="00F942E8">
            <w:pPr>
              <w:spacing w:after="0" w:line="259" w:lineRule="auto"/>
              <w:ind w:left="0" w:right="47" w:firstLine="0"/>
              <w:jc w:val="center"/>
            </w:pPr>
            <w:r>
              <w:rPr>
                <w:sz w:val="18"/>
              </w:rPr>
              <w:t>X</w:t>
            </w:r>
          </w:p>
        </w:tc>
        <w:tc>
          <w:tcPr>
            <w:tcW w:w="720" w:type="dxa"/>
            <w:tcBorders>
              <w:top w:val="single" w:sz="4" w:space="0" w:color="000000"/>
              <w:left w:val="single" w:sz="12" w:space="0" w:color="000000"/>
              <w:bottom w:val="single" w:sz="4" w:space="0" w:color="000000"/>
              <w:right w:val="single" w:sz="12" w:space="0" w:color="000000"/>
            </w:tcBorders>
            <w:vAlign w:val="center"/>
          </w:tcPr>
          <w:p w14:paraId="4F973C5F" w14:textId="7B8E6179" w:rsidR="00FC0D61" w:rsidRDefault="00FC0D61" w:rsidP="00DB6303">
            <w:pPr>
              <w:spacing w:after="0" w:line="259" w:lineRule="auto"/>
              <w:ind w:left="82" w:right="0" w:firstLine="0"/>
            </w:pPr>
            <w:r>
              <w:rPr>
                <w:sz w:val="18"/>
              </w:rPr>
              <w:t>8151A</w:t>
            </w:r>
          </w:p>
        </w:tc>
        <w:tc>
          <w:tcPr>
            <w:tcW w:w="990" w:type="dxa"/>
            <w:tcBorders>
              <w:top w:val="single" w:sz="4" w:space="0" w:color="000000"/>
              <w:left w:val="single" w:sz="12" w:space="0" w:color="000000"/>
              <w:bottom w:val="single" w:sz="4" w:space="0" w:color="000000"/>
              <w:right w:val="single" w:sz="12" w:space="0" w:color="000000"/>
            </w:tcBorders>
            <w:vAlign w:val="center"/>
          </w:tcPr>
          <w:p w14:paraId="77F3EE09" w14:textId="203E466F" w:rsidR="00FC0D61" w:rsidRDefault="00FC0D61" w:rsidP="00F942E8">
            <w:pPr>
              <w:spacing w:after="0" w:line="259" w:lineRule="auto"/>
              <w:ind w:left="86" w:right="0" w:firstLine="0"/>
              <w:jc w:val="center"/>
            </w:pPr>
            <w:r>
              <w:rPr>
                <w:sz w:val="18"/>
              </w:rPr>
              <w:t>8321B</w:t>
            </w:r>
          </w:p>
          <w:p w14:paraId="63FFD431" w14:textId="1020E452" w:rsidR="00FC0D61" w:rsidRDefault="00FC0D61" w:rsidP="00F942E8">
            <w:pPr>
              <w:spacing w:after="0" w:line="259" w:lineRule="auto"/>
              <w:ind w:left="82" w:right="0" w:firstLine="0"/>
              <w:jc w:val="center"/>
            </w:pPr>
            <w:r>
              <w:rPr>
                <w:sz w:val="18"/>
              </w:rPr>
              <w:t>8041A</w:t>
            </w:r>
          </w:p>
        </w:tc>
      </w:tr>
      <w:tr w:rsidR="00624776" w14:paraId="38594EA8" w14:textId="77777777" w:rsidTr="005B6604">
        <w:trPr>
          <w:trHeight w:val="250"/>
        </w:trPr>
        <w:tc>
          <w:tcPr>
            <w:tcW w:w="3022" w:type="dxa"/>
            <w:tcBorders>
              <w:top w:val="single" w:sz="4" w:space="0" w:color="000000"/>
              <w:left w:val="single" w:sz="12" w:space="0" w:color="000000"/>
              <w:bottom w:val="single" w:sz="4" w:space="0" w:color="000000"/>
              <w:right w:val="single" w:sz="12" w:space="0" w:color="000000"/>
            </w:tcBorders>
            <w:vAlign w:val="center"/>
          </w:tcPr>
          <w:p w14:paraId="017B96BC" w14:textId="77777777" w:rsidR="00FC0D61" w:rsidRDefault="00FC0D61" w:rsidP="00F942E8">
            <w:pPr>
              <w:spacing w:after="0" w:line="259" w:lineRule="auto"/>
              <w:ind w:left="0" w:right="0" w:firstLine="0"/>
            </w:pPr>
            <w:r>
              <w:rPr>
                <w:sz w:val="18"/>
              </w:rPr>
              <w:t xml:space="preserve">5-Hydroxydicamba </w:t>
            </w:r>
          </w:p>
        </w:tc>
        <w:tc>
          <w:tcPr>
            <w:tcW w:w="1106" w:type="dxa"/>
            <w:tcBorders>
              <w:top w:val="single" w:sz="4" w:space="0" w:color="000000"/>
              <w:left w:val="single" w:sz="12" w:space="0" w:color="000000"/>
              <w:bottom w:val="single" w:sz="4" w:space="0" w:color="000000"/>
              <w:right w:val="single" w:sz="12" w:space="0" w:color="000000"/>
            </w:tcBorders>
            <w:vAlign w:val="center"/>
          </w:tcPr>
          <w:p w14:paraId="7D526184" w14:textId="58E3E904" w:rsidR="00FC0D61" w:rsidRDefault="00FC0D61" w:rsidP="00F942E8">
            <w:pPr>
              <w:spacing w:after="0" w:line="259" w:lineRule="auto"/>
              <w:ind w:left="0" w:right="44" w:firstLine="0"/>
              <w:jc w:val="center"/>
            </w:pPr>
            <w:r>
              <w:rPr>
                <w:sz w:val="18"/>
              </w:rPr>
              <w:t>7600-50-2</w:t>
            </w:r>
          </w:p>
        </w:tc>
        <w:tc>
          <w:tcPr>
            <w:tcW w:w="616" w:type="dxa"/>
            <w:tcBorders>
              <w:top w:val="single" w:sz="4" w:space="0" w:color="000000"/>
              <w:left w:val="single" w:sz="12" w:space="0" w:color="000000"/>
              <w:bottom w:val="single" w:sz="4" w:space="0" w:color="000000"/>
              <w:right w:val="single" w:sz="12" w:space="0" w:color="000000"/>
            </w:tcBorders>
            <w:vAlign w:val="center"/>
          </w:tcPr>
          <w:p w14:paraId="5C740023" w14:textId="3A6F2661" w:rsidR="00FC0D61" w:rsidRDefault="00FC0D61" w:rsidP="00F942E8">
            <w:pPr>
              <w:spacing w:after="0" w:line="259" w:lineRule="auto"/>
              <w:ind w:left="0" w:right="0" w:firstLine="0"/>
              <w:jc w:val="center"/>
            </w:pPr>
            <w:r>
              <w:rPr>
                <w:sz w:val="18"/>
              </w:rPr>
              <w:t>10</w:t>
            </w:r>
          </w:p>
        </w:tc>
        <w:tc>
          <w:tcPr>
            <w:tcW w:w="689" w:type="dxa"/>
            <w:tcBorders>
              <w:top w:val="single" w:sz="4" w:space="0" w:color="000000"/>
              <w:left w:val="single" w:sz="12" w:space="0" w:color="000000"/>
              <w:bottom w:val="single" w:sz="4" w:space="0" w:color="000000"/>
              <w:right w:val="single" w:sz="12" w:space="0" w:color="000000"/>
            </w:tcBorders>
            <w:vAlign w:val="center"/>
          </w:tcPr>
          <w:p w14:paraId="69361568" w14:textId="55202E9B" w:rsidR="00FC0D61" w:rsidRDefault="00FC0D61" w:rsidP="00F942E8">
            <w:pPr>
              <w:spacing w:after="0" w:line="259" w:lineRule="auto"/>
              <w:ind w:left="0" w:right="48" w:firstLine="0"/>
              <w:jc w:val="center"/>
            </w:pPr>
            <w:r>
              <w:rPr>
                <w:sz w:val="18"/>
              </w:rPr>
              <w:t>ug/L</w:t>
            </w:r>
          </w:p>
        </w:tc>
        <w:tc>
          <w:tcPr>
            <w:tcW w:w="913" w:type="dxa"/>
            <w:tcBorders>
              <w:top w:val="single" w:sz="4" w:space="0" w:color="000000"/>
              <w:left w:val="single" w:sz="12" w:space="0" w:color="000000"/>
              <w:bottom w:val="single" w:sz="4" w:space="0" w:color="000000"/>
              <w:right w:val="single" w:sz="12" w:space="0" w:color="000000"/>
            </w:tcBorders>
            <w:vAlign w:val="center"/>
          </w:tcPr>
          <w:p w14:paraId="5AE016B0" w14:textId="4EA8C234" w:rsidR="00FC0D61" w:rsidRDefault="00FC0D61" w:rsidP="00F942E8">
            <w:pPr>
              <w:spacing w:after="0" w:line="259" w:lineRule="auto"/>
              <w:ind w:left="0" w:right="0" w:firstLine="0"/>
              <w:jc w:val="center"/>
            </w:pPr>
            <w:r>
              <w:rPr>
                <w:sz w:val="18"/>
              </w:rPr>
              <w:t>1000</w:t>
            </w:r>
          </w:p>
        </w:tc>
        <w:tc>
          <w:tcPr>
            <w:tcW w:w="854" w:type="dxa"/>
            <w:tcBorders>
              <w:top w:val="single" w:sz="4" w:space="0" w:color="000000"/>
              <w:left w:val="single" w:sz="12" w:space="0" w:color="000000"/>
              <w:bottom w:val="single" w:sz="4" w:space="0" w:color="000000"/>
              <w:right w:val="single" w:sz="12" w:space="0" w:color="000000"/>
            </w:tcBorders>
            <w:vAlign w:val="center"/>
          </w:tcPr>
          <w:p w14:paraId="61D34AF5" w14:textId="3B2F3330" w:rsidR="00FC0D61" w:rsidRDefault="00FC0D61" w:rsidP="00F942E8">
            <w:pPr>
              <w:spacing w:after="0" w:line="259" w:lineRule="auto"/>
              <w:ind w:left="0" w:right="46" w:firstLine="0"/>
              <w:jc w:val="center"/>
            </w:pPr>
            <w:r>
              <w:rPr>
                <w:rFonts w:eastAsia="Segoe UI Symbol"/>
                <w:sz w:val="18"/>
              </w:rPr>
              <w:t>u</w:t>
            </w:r>
            <w:r>
              <w:rPr>
                <w:sz w:val="18"/>
              </w:rPr>
              <w:t>g/kg</w:t>
            </w:r>
          </w:p>
        </w:tc>
        <w:tc>
          <w:tcPr>
            <w:tcW w:w="630" w:type="dxa"/>
            <w:tcBorders>
              <w:top w:val="single" w:sz="4" w:space="0" w:color="000000"/>
              <w:left w:val="single" w:sz="12" w:space="0" w:color="000000"/>
              <w:bottom w:val="single" w:sz="4" w:space="0" w:color="000000"/>
              <w:right w:val="single" w:sz="12" w:space="0" w:color="000000"/>
            </w:tcBorders>
            <w:vAlign w:val="center"/>
          </w:tcPr>
          <w:p w14:paraId="01EF7DDD" w14:textId="1CCB7A4D" w:rsidR="00FC0D61" w:rsidRDefault="00FC0D61" w:rsidP="00F942E8">
            <w:pPr>
              <w:spacing w:after="0" w:line="259" w:lineRule="auto"/>
              <w:ind w:left="0" w:right="0" w:firstLine="0"/>
              <w:jc w:val="center"/>
            </w:pPr>
          </w:p>
        </w:tc>
        <w:tc>
          <w:tcPr>
            <w:tcW w:w="540" w:type="dxa"/>
            <w:tcBorders>
              <w:top w:val="single" w:sz="4" w:space="0" w:color="000000"/>
              <w:left w:val="single" w:sz="12" w:space="0" w:color="000000"/>
              <w:bottom w:val="single" w:sz="4" w:space="0" w:color="000000"/>
              <w:right w:val="single" w:sz="12" w:space="0" w:color="000000"/>
            </w:tcBorders>
            <w:vAlign w:val="center"/>
          </w:tcPr>
          <w:p w14:paraId="5BBC2721" w14:textId="451FA8D9" w:rsidR="00FC0D61" w:rsidRDefault="00FC0D61" w:rsidP="00F942E8">
            <w:pPr>
              <w:spacing w:after="0" w:line="259" w:lineRule="auto"/>
              <w:ind w:left="0" w:right="1" w:firstLine="0"/>
              <w:jc w:val="center"/>
            </w:pPr>
          </w:p>
        </w:tc>
        <w:tc>
          <w:tcPr>
            <w:tcW w:w="540" w:type="dxa"/>
            <w:tcBorders>
              <w:top w:val="single" w:sz="4" w:space="0" w:color="000000"/>
              <w:left w:val="single" w:sz="12" w:space="0" w:color="000000"/>
              <w:bottom w:val="single" w:sz="4" w:space="0" w:color="000000"/>
              <w:right w:val="single" w:sz="12" w:space="0" w:color="000000"/>
            </w:tcBorders>
            <w:vAlign w:val="center"/>
          </w:tcPr>
          <w:p w14:paraId="5C35FE65" w14:textId="6A9D749B" w:rsidR="00FC0D61" w:rsidRDefault="00FC0D61" w:rsidP="00F942E8">
            <w:pPr>
              <w:spacing w:after="0" w:line="259" w:lineRule="auto"/>
              <w:ind w:left="0" w:right="2" w:firstLine="0"/>
              <w:jc w:val="center"/>
            </w:pPr>
          </w:p>
        </w:tc>
        <w:tc>
          <w:tcPr>
            <w:tcW w:w="720" w:type="dxa"/>
            <w:tcBorders>
              <w:top w:val="single" w:sz="4" w:space="0" w:color="000000"/>
              <w:left w:val="single" w:sz="12" w:space="0" w:color="000000"/>
              <w:bottom w:val="single" w:sz="4" w:space="0" w:color="000000"/>
              <w:right w:val="single" w:sz="12" w:space="0" w:color="000000"/>
            </w:tcBorders>
            <w:vAlign w:val="center"/>
          </w:tcPr>
          <w:p w14:paraId="1E6D5EA2" w14:textId="358F4E1A" w:rsidR="00FC0D61" w:rsidRDefault="00FC0D61" w:rsidP="00DB6303">
            <w:pPr>
              <w:spacing w:after="0" w:line="259" w:lineRule="auto"/>
              <w:ind w:left="82" w:right="0" w:firstLine="0"/>
            </w:pPr>
            <w:r>
              <w:rPr>
                <w:sz w:val="18"/>
              </w:rPr>
              <w:t>8151A</w:t>
            </w:r>
          </w:p>
        </w:tc>
        <w:tc>
          <w:tcPr>
            <w:tcW w:w="990" w:type="dxa"/>
            <w:tcBorders>
              <w:top w:val="single" w:sz="4" w:space="0" w:color="000000"/>
              <w:left w:val="single" w:sz="12" w:space="0" w:color="000000"/>
              <w:bottom w:val="single" w:sz="4" w:space="0" w:color="000000"/>
              <w:right w:val="single" w:sz="12" w:space="0" w:color="000000"/>
            </w:tcBorders>
            <w:vAlign w:val="center"/>
          </w:tcPr>
          <w:p w14:paraId="64D41C94" w14:textId="55B41595" w:rsidR="00FC0D61" w:rsidRDefault="00FC0D61" w:rsidP="00F942E8">
            <w:pPr>
              <w:spacing w:after="0" w:line="259" w:lineRule="auto"/>
              <w:ind w:left="0" w:right="2" w:firstLine="0"/>
              <w:jc w:val="center"/>
            </w:pPr>
          </w:p>
        </w:tc>
      </w:tr>
      <w:tr w:rsidR="00624776" w14:paraId="6D1A29EA" w14:textId="77777777" w:rsidTr="005B6604">
        <w:trPr>
          <w:trHeight w:val="425"/>
        </w:trPr>
        <w:tc>
          <w:tcPr>
            <w:tcW w:w="3022" w:type="dxa"/>
            <w:tcBorders>
              <w:top w:val="single" w:sz="4" w:space="0" w:color="000000"/>
              <w:left w:val="single" w:sz="12" w:space="0" w:color="000000"/>
              <w:bottom w:val="single" w:sz="4" w:space="0" w:color="000000"/>
              <w:right w:val="single" w:sz="12" w:space="0" w:color="000000"/>
            </w:tcBorders>
            <w:vAlign w:val="center"/>
          </w:tcPr>
          <w:p w14:paraId="77E7D319" w14:textId="692C9D92" w:rsidR="00FC0D61" w:rsidRDefault="00FC0D61" w:rsidP="00F942E8">
            <w:pPr>
              <w:spacing w:after="0" w:line="259" w:lineRule="auto"/>
              <w:ind w:left="0" w:right="0" w:firstLine="0"/>
            </w:pPr>
            <w:r>
              <w:rPr>
                <w:sz w:val="18"/>
              </w:rPr>
              <w:t xml:space="preserve">2-Methyl-4-chlophenoxyacetic </w:t>
            </w:r>
            <w:proofErr w:type="gramStart"/>
            <w:r>
              <w:rPr>
                <w:sz w:val="18"/>
              </w:rPr>
              <w:t xml:space="preserve">acid  </w:t>
            </w:r>
            <w:r>
              <w:rPr>
                <w:i/>
                <w:sz w:val="18"/>
              </w:rPr>
              <w:t>(</w:t>
            </w:r>
            <w:proofErr w:type="gramEnd"/>
            <w:r>
              <w:rPr>
                <w:i/>
                <w:sz w:val="18"/>
              </w:rPr>
              <w:t>MCPA)</w:t>
            </w:r>
            <w:r>
              <w:rPr>
                <w:sz w:val="18"/>
              </w:rPr>
              <w:t xml:space="preserve"> </w:t>
            </w:r>
          </w:p>
        </w:tc>
        <w:tc>
          <w:tcPr>
            <w:tcW w:w="1106" w:type="dxa"/>
            <w:tcBorders>
              <w:top w:val="single" w:sz="4" w:space="0" w:color="000000"/>
              <w:left w:val="single" w:sz="12" w:space="0" w:color="000000"/>
              <w:bottom w:val="single" w:sz="4" w:space="0" w:color="000000"/>
              <w:right w:val="single" w:sz="12" w:space="0" w:color="000000"/>
            </w:tcBorders>
            <w:vAlign w:val="center"/>
          </w:tcPr>
          <w:p w14:paraId="139A6ED4" w14:textId="78ACE2AC" w:rsidR="00FC0D61" w:rsidRDefault="00FC0D61" w:rsidP="00F942E8">
            <w:pPr>
              <w:spacing w:after="0" w:line="259" w:lineRule="auto"/>
              <w:ind w:left="0" w:right="44" w:firstLine="0"/>
              <w:jc w:val="center"/>
            </w:pPr>
            <w:r>
              <w:rPr>
                <w:sz w:val="18"/>
              </w:rPr>
              <w:t>94-74-6</w:t>
            </w:r>
          </w:p>
        </w:tc>
        <w:tc>
          <w:tcPr>
            <w:tcW w:w="616" w:type="dxa"/>
            <w:tcBorders>
              <w:top w:val="single" w:sz="4" w:space="0" w:color="000000"/>
              <w:left w:val="single" w:sz="12" w:space="0" w:color="000000"/>
              <w:bottom w:val="single" w:sz="4" w:space="0" w:color="000000"/>
              <w:right w:val="single" w:sz="12" w:space="0" w:color="000000"/>
            </w:tcBorders>
            <w:vAlign w:val="center"/>
          </w:tcPr>
          <w:p w14:paraId="269A8186" w14:textId="1B80CFC1" w:rsidR="00FC0D61" w:rsidRDefault="00FC0D61" w:rsidP="00F942E8">
            <w:pPr>
              <w:tabs>
                <w:tab w:val="right" w:pos="530"/>
              </w:tabs>
              <w:spacing w:after="0" w:line="259" w:lineRule="auto"/>
              <w:ind w:left="0" w:right="0" w:firstLine="0"/>
              <w:jc w:val="center"/>
            </w:pPr>
            <w:r>
              <w:rPr>
                <w:sz w:val="18"/>
              </w:rPr>
              <w:t>2</w:t>
            </w:r>
          </w:p>
        </w:tc>
        <w:tc>
          <w:tcPr>
            <w:tcW w:w="689" w:type="dxa"/>
            <w:tcBorders>
              <w:top w:val="single" w:sz="4" w:space="0" w:color="000000"/>
              <w:left w:val="single" w:sz="12" w:space="0" w:color="000000"/>
              <w:bottom w:val="single" w:sz="4" w:space="0" w:color="000000"/>
              <w:right w:val="single" w:sz="12" w:space="0" w:color="000000"/>
            </w:tcBorders>
            <w:vAlign w:val="center"/>
          </w:tcPr>
          <w:p w14:paraId="1067C89A" w14:textId="37AEEEEA" w:rsidR="00FC0D61" w:rsidRDefault="00FC0D61" w:rsidP="00F942E8">
            <w:pPr>
              <w:spacing w:after="0" w:line="259" w:lineRule="auto"/>
              <w:ind w:left="0" w:right="48" w:firstLine="0"/>
              <w:jc w:val="center"/>
            </w:pPr>
            <w:r>
              <w:rPr>
                <w:sz w:val="18"/>
              </w:rPr>
              <w:t>ug/L</w:t>
            </w:r>
          </w:p>
        </w:tc>
        <w:tc>
          <w:tcPr>
            <w:tcW w:w="913" w:type="dxa"/>
            <w:tcBorders>
              <w:top w:val="single" w:sz="4" w:space="0" w:color="000000"/>
              <w:left w:val="single" w:sz="12" w:space="0" w:color="000000"/>
              <w:bottom w:val="single" w:sz="4" w:space="0" w:color="000000"/>
              <w:right w:val="single" w:sz="12" w:space="0" w:color="000000"/>
            </w:tcBorders>
            <w:vAlign w:val="center"/>
          </w:tcPr>
          <w:p w14:paraId="78876407" w14:textId="4D104BA4" w:rsidR="00FC0D61" w:rsidRDefault="00FC0D61" w:rsidP="00F942E8">
            <w:pPr>
              <w:spacing w:after="0" w:line="259" w:lineRule="auto"/>
              <w:ind w:left="0" w:right="0" w:firstLine="0"/>
              <w:jc w:val="center"/>
            </w:pPr>
            <w:r>
              <w:rPr>
                <w:sz w:val="18"/>
              </w:rPr>
              <w:t>1000</w:t>
            </w:r>
          </w:p>
        </w:tc>
        <w:tc>
          <w:tcPr>
            <w:tcW w:w="854" w:type="dxa"/>
            <w:tcBorders>
              <w:top w:val="single" w:sz="4" w:space="0" w:color="000000"/>
              <w:left w:val="single" w:sz="12" w:space="0" w:color="000000"/>
              <w:bottom w:val="single" w:sz="4" w:space="0" w:color="000000"/>
              <w:right w:val="single" w:sz="12" w:space="0" w:color="000000"/>
            </w:tcBorders>
            <w:vAlign w:val="center"/>
          </w:tcPr>
          <w:p w14:paraId="7D15678F" w14:textId="3BC4BA08" w:rsidR="00FC0D61" w:rsidRDefault="00FC0D61" w:rsidP="00F942E8">
            <w:pPr>
              <w:spacing w:after="0" w:line="259" w:lineRule="auto"/>
              <w:ind w:left="0" w:right="46" w:firstLine="0"/>
              <w:jc w:val="center"/>
            </w:pPr>
            <w:r>
              <w:rPr>
                <w:rFonts w:eastAsia="Segoe UI Symbol"/>
                <w:sz w:val="18"/>
              </w:rPr>
              <w:t>u</w:t>
            </w:r>
            <w:r>
              <w:rPr>
                <w:sz w:val="18"/>
              </w:rPr>
              <w:t>g/kg</w:t>
            </w:r>
          </w:p>
        </w:tc>
        <w:tc>
          <w:tcPr>
            <w:tcW w:w="630" w:type="dxa"/>
            <w:tcBorders>
              <w:top w:val="single" w:sz="4" w:space="0" w:color="000000"/>
              <w:left w:val="single" w:sz="12" w:space="0" w:color="000000"/>
              <w:bottom w:val="single" w:sz="4" w:space="0" w:color="000000"/>
              <w:right w:val="single" w:sz="12" w:space="0" w:color="000000"/>
            </w:tcBorders>
            <w:vAlign w:val="center"/>
          </w:tcPr>
          <w:p w14:paraId="3932E571" w14:textId="0532BB1B" w:rsidR="00FC0D61" w:rsidRDefault="00FC0D61" w:rsidP="00F942E8">
            <w:pPr>
              <w:spacing w:after="0" w:line="259" w:lineRule="auto"/>
              <w:ind w:left="0" w:right="0" w:firstLine="0"/>
              <w:jc w:val="center"/>
            </w:pPr>
          </w:p>
        </w:tc>
        <w:tc>
          <w:tcPr>
            <w:tcW w:w="540" w:type="dxa"/>
            <w:tcBorders>
              <w:top w:val="single" w:sz="4" w:space="0" w:color="000000"/>
              <w:left w:val="single" w:sz="12" w:space="0" w:color="000000"/>
              <w:bottom w:val="single" w:sz="4" w:space="0" w:color="000000"/>
              <w:right w:val="single" w:sz="12" w:space="0" w:color="000000"/>
            </w:tcBorders>
            <w:vAlign w:val="center"/>
          </w:tcPr>
          <w:p w14:paraId="7098E9B4" w14:textId="0640BD33" w:rsidR="00FC0D61" w:rsidRDefault="00FC0D61" w:rsidP="00F942E8">
            <w:pPr>
              <w:spacing w:after="0" w:line="259" w:lineRule="auto"/>
              <w:ind w:left="0" w:right="1" w:firstLine="0"/>
              <w:jc w:val="center"/>
            </w:pPr>
          </w:p>
        </w:tc>
        <w:tc>
          <w:tcPr>
            <w:tcW w:w="540" w:type="dxa"/>
            <w:tcBorders>
              <w:top w:val="single" w:sz="4" w:space="0" w:color="000000"/>
              <w:left w:val="single" w:sz="12" w:space="0" w:color="000000"/>
              <w:bottom w:val="single" w:sz="4" w:space="0" w:color="000000"/>
              <w:right w:val="single" w:sz="12" w:space="0" w:color="000000"/>
            </w:tcBorders>
            <w:vAlign w:val="center"/>
          </w:tcPr>
          <w:p w14:paraId="354A8D6F" w14:textId="7CA6FE74" w:rsidR="00FC0D61" w:rsidRDefault="00FC0D61" w:rsidP="00F942E8">
            <w:pPr>
              <w:spacing w:after="0" w:line="259" w:lineRule="auto"/>
              <w:ind w:left="0" w:right="2" w:firstLine="0"/>
              <w:jc w:val="center"/>
            </w:pPr>
          </w:p>
        </w:tc>
        <w:tc>
          <w:tcPr>
            <w:tcW w:w="720" w:type="dxa"/>
            <w:tcBorders>
              <w:top w:val="single" w:sz="4" w:space="0" w:color="000000"/>
              <w:left w:val="single" w:sz="12" w:space="0" w:color="000000"/>
              <w:bottom w:val="single" w:sz="4" w:space="0" w:color="000000"/>
              <w:right w:val="single" w:sz="12" w:space="0" w:color="000000"/>
            </w:tcBorders>
            <w:vAlign w:val="center"/>
          </w:tcPr>
          <w:p w14:paraId="0820BCA9" w14:textId="2D7C996F" w:rsidR="00FC0D61" w:rsidRDefault="00FC0D61" w:rsidP="00DB6303">
            <w:pPr>
              <w:spacing w:after="0" w:line="259" w:lineRule="auto"/>
              <w:ind w:left="82" w:right="0" w:firstLine="0"/>
            </w:pPr>
            <w:r>
              <w:rPr>
                <w:sz w:val="18"/>
              </w:rPr>
              <w:t>8151A</w:t>
            </w:r>
          </w:p>
        </w:tc>
        <w:tc>
          <w:tcPr>
            <w:tcW w:w="990" w:type="dxa"/>
            <w:tcBorders>
              <w:top w:val="single" w:sz="4" w:space="0" w:color="000000"/>
              <w:left w:val="single" w:sz="12" w:space="0" w:color="000000"/>
              <w:bottom w:val="single" w:sz="4" w:space="0" w:color="000000"/>
              <w:right w:val="single" w:sz="12" w:space="0" w:color="000000"/>
            </w:tcBorders>
            <w:vAlign w:val="center"/>
          </w:tcPr>
          <w:p w14:paraId="6AF250FF" w14:textId="20170361" w:rsidR="00FC0D61" w:rsidRDefault="00FC0D61" w:rsidP="00F942E8">
            <w:pPr>
              <w:spacing w:after="0" w:line="259" w:lineRule="auto"/>
              <w:ind w:left="86" w:right="0" w:firstLine="0"/>
              <w:jc w:val="center"/>
            </w:pPr>
            <w:r>
              <w:rPr>
                <w:sz w:val="18"/>
              </w:rPr>
              <w:t>8321B</w:t>
            </w:r>
          </w:p>
        </w:tc>
      </w:tr>
      <w:tr w:rsidR="00624776" w14:paraId="4A8B202E" w14:textId="77777777" w:rsidTr="005B6604">
        <w:trPr>
          <w:trHeight w:val="425"/>
        </w:trPr>
        <w:tc>
          <w:tcPr>
            <w:tcW w:w="3022" w:type="dxa"/>
            <w:tcBorders>
              <w:top w:val="single" w:sz="4" w:space="0" w:color="000000"/>
              <w:left w:val="single" w:sz="12" w:space="0" w:color="000000"/>
              <w:bottom w:val="single" w:sz="4" w:space="0" w:color="000000"/>
              <w:right w:val="single" w:sz="12" w:space="0" w:color="000000"/>
            </w:tcBorders>
            <w:vAlign w:val="center"/>
          </w:tcPr>
          <w:p w14:paraId="1FC6E9C6" w14:textId="274975A5" w:rsidR="00FC0D61" w:rsidRDefault="00FC0D61" w:rsidP="00F942E8">
            <w:pPr>
              <w:spacing w:after="0" w:line="259" w:lineRule="auto"/>
              <w:ind w:left="0" w:right="0" w:firstLine="0"/>
            </w:pPr>
            <w:r>
              <w:rPr>
                <w:sz w:val="18"/>
              </w:rPr>
              <w:t>2-(2-Methyl-4-chlophenoxy) propionic acid (</w:t>
            </w:r>
            <w:r>
              <w:rPr>
                <w:i/>
                <w:sz w:val="18"/>
              </w:rPr>
              <w:t>MCPP)</w:t>
            </w:r>
            <w:r>
              <w:rPr>
                <w:sz w:val="18"/>
              </w:rPr>
              <w:t xml:space="preserve"> </w:t>
            </w:r>
          </w:p>
        </w:tc>
        <w:tc>
          <w:tcPr>
            <w:tcW w:w="1106" w:type="dxa"/>
            <w:tcBorders>
              <w:top w:val="single" w:sz="4" w:space="0" w:color="000000"/>
              <w:left w:val="single" w:sz="12" w:space="0" w:color="000000"/>
              <w:bottom w:val="single" w:sz="4" w:space="0" w:color="000000"/>
              <w:right w:val="single" w:sz="12" w:space="0" w:color="000000"/>
            </w:tcBorders>
            <w:vAlign w:val="center"/>
          </w:tcPr>
          <w:p w14:paraId="2D031CD5" w14:textId="2DE961BA" w:rsidR="00FC0D61" w:rsidRDefault="00FC0D61" w:rsidP="00F942E8">
            <w:pPr>
              <w:spacing w:after="0" w:line="259" w:lineRule="auto"/>
              <w:ind w:left="0" w:right="44" w:firstLine="0"/>
              <w:jc w:val="center"/>
            </w:pPr>
            <w:r>
              <w:rPr>
                <w:sz w:val="18"/>
              </w:rPr>
              <w:t>93-65-2</w:t>
            </w:r>
          </w:p>
        </w:tc>
        <w:tc>
          <w:tcPr>
            <w:tcW w:w="616" w:type="dxa"/>
            <w:tcBorders>
              <w:top w:val="single" w:sz="4" w:space="0" w:color="000000"/>
              <w:left w:val="single" w:sz="12" w:space="0" w:color="000000"/>
              <w:bottom w:val="single" w:sz="4" w:space="0" w:color="000000"/>
              <w:right w:val="single" w:sz="12" w:space="0" w:color="000000"/>
            </w:tcBorders>
            <w:vAlign w:val="center"/>
          </w:tcPr>
          <w:p w14:paraId="6B75F14A" w14:textId="6D56ECF7" w:rsidR="00FC0D61" w:rsidRDefault="00FC0D61" w:rsidP="00F942E8">
            <w:pPr>
              <w:tabs>
                <w:tab w:val="right" w:pos="530"/>
              </w:tabs>
              <w:spacing w:after="0" w:line="259" w:lineRule="auto"/>
              <w:ind w:left="0" w:right="0" w:firstLine="0"/>
              <w:jc w:val="center"/>
            </w:pPr>
            <w:r>
              <w:rPr>
                <w:sz w:val="18"/>
              </w:rPr>
              <w:t>4</w:t>
            </w:r>
          </w:p>
        </w:tc>
        <w:tc>
          <w:tcPr>
            <w:tcW w:w="689" w:type="dxa"/>
            <w:tcBorders>
              <w:top w:val="single" w:sz="4" w:space="0" w:color="000000"/>
              <w:left w:val="single" w:sz="12" w:space="0" w:color="000000"/>
              <w:bottom w:val="single" w:sz="4" w:space="0" w:color="000000"/>
              <w:right w:val="single" w:sz="12" w:space="0" w:color="000000"/>
            </w:tcBorders>
            <w:vAlign w:val="center"/>
          </w:tcPr>
          <w:p w14:paraId="26B6A2E3" w14:textId="3ACDBC1D" w:rsidR="00FC0D61" w:rsidRDefault="00FC0D61" w:rsidP="00F942E8">
            <w:pPr>
              <w:spacing w:after="0" w:line="259" w:lineRule="auto"/>
              <w:ind w:left="0" w:right="48" w:firstLine="0"/>
              <w:jc w:val="center"/>
            </w:pPr>
            <w:r>
              <w:rPr>
                <w:sz w:val="18"/>
              </w:rPr>
              <w:t>ug/L</w:t>
            </w:r>
          </w:p>
        </w:tc>
        <w:tc>
          <w:tcPr>
            <w:tcW w:w="913" w:type="dxa"/>
            <w:tcBorders>
              <w:top w:val="single" w:sz="4" w:space="0" w:color="000000"/>
              <w:left w:val="single" w:sz="12" w:space="0" w:color="000000"/>
              <w:bottom w:val="single" w:sz="4" w:space="0" w:color="000000"/>
              <w:right w:val="single" w:sz="12" w:space="0" w:color="000000"/>
            </w:tcBorders>
            <w:vAlign w:val="center"/>
          </w:tcPr>
          <w:p w14:paraId="4793B3CF" w14:textId="01B66C19" w:rsidR="00FC0D61" w:rsidRDefault="00FC0D61" w:rsidP="00F942E8">
            <w:pPr>
              <w:spacing w:after="0" w:line="259" w:lineRule="auto"/>
              <w:ind w:left="0" w:right="0" w:firstLine="0"/>
              <w:jc w:val="center"/>
            </w:pPr>
            <w:r>
              <w:rPr>
                <w:sz w:val="18"/>
              </w:rPr>
              <w:t>1000</w:t>
            </w:r>
          </w:p>
        </w:tc>
        <w:tc>
          <w:tcPr>
            <w:tcW w:w="854" w:type="dxa"/>
            <w:tcBorders>
              <w:top w:val="single" w:sz="4" w:space="0" w:color="000000"/>
              <w:left w:val="single" w:sz="12" w:space="0" w:color="000000"/>
              <w:bottom w:val="single" w:sz="4" w:space="0" w:color="000000"/>
              <w:right w:val="single" w:sz="12" w:space="0" w:color="000000"/>
            </w:tcBorders>
            <w:vAlign w:val="center"/>
          </w:tcPr>
          <w:p w14:paraId="0865E1C5" w14:textId="5385644D" w:rsidR="00FC0D61" w:rsidRDefault="00FC0D61" w:rsidP="00F942E8">
            <w:pPr>
              <w:spacing w:after="0" w:line="259" w:lineRule="auto"/>
              <w:ind w:left="0" w:right="46" w:firstLine="0"/>
              <w:jc w:val="center"/>
            </w:pPr>
            <w:r>
              <w:rPr>
                <w:rFonts w:eastAsia="Segoe UI Symbol"/>
                <w:sz w:val="18"/>
              </w:rPr>
              <w:t>u</w:t>
            </w:r>
            <w:r>
              <w:rPr>
                <w:sz w:val="18"/>
              </w:rPr>
              <w:t>g/kg</w:t>
            </w:r>
          </w:p>
        </w:tc>
        <w:tc>
          <w:tcPr>
            <w:tcW w:w="630" w:type="dxa"/>
            <w:tcBorders>
              <w:top w:val="single" w:sz="4" w:space="0" w:color="000000"/>
              <w:left w:val="single" w:sz="12" w:space="0" w:color="000000"/>
              <w:bottom w:val="single" w:sz="4" w:space="0" w:color="000000"/>
              <w:right w:val="single" w:sz="12" w:space="0" w:color="000000"/>
            </w:tcBorders>
            <w:vAlign w:val="center"/>
          </w:tcPr>
          <w:p w14:paraId="479306AD" w14:textId="4E5D9A1A" w:rsidR="00FC0D61" w:rsidRDefault="00FC0D61" w:rsidP="00F942E8">
            <w:pPr>
              <w:spacing w:after="0" w:line="259" w:lineRule="auto"/>
              <w:ind w:left="0" w:right="0" w:firstLine="0"/>
              <w:jc w:val="center"/>
            </w:pPr>
          </w:p>
        </w:tc>
        <w:tc>
          <w:tcPr>
            <w:tcW w:w="540" w:type="dxa"/>
            <w:tcBorders>
              <w:top w:val="single" w:sz="4" w:space="0" w:color="000000"/>
              <w:left w:val="single" w:sz="12" w:space="0" w:color="000000"/>
              <w:bottom w:val="single" w:sz="4" w:space="0" w:color="000000"/>
              <w:right w:val="single" w:sz="12" w:space="0" w:color="000000"/>
            </w:tcBorders>
            <w:vAlign w:val="center"/>
          </w:tcPr>
          <w:p w14:paraId="6E73F8F5" w14:textId="77EDB8ED" w:rsidR="00FC0D61" w:rsidRDefault="00FC0D61" w:rsidP="00F942E8">
            <w:pPr>
              <w:spacing w:after="0" w:line="259" w:lineRule="auto"/>
              <w:ind w:left="0" w:right="1" w:firstLine="0"/>
              <w:jc w:val="center"/>
            </w:pPr>
          </w:p>
        </w:tc>
        <w:tc>
          <w:tcPr>
            <w:tcW w:w="540" w:type="dxa"/>
            <w:tcBorders>
              <w:top w:val="single" w:sz="4" w:space="0" w:color="000000"/>
              <w:left w:val="single" w:sz="12" w:space="0" w:color="000000"/>
              <w:bottom w:val="single" w:sz="4" w:space="0" w:color="000000"/>
              <w:right w:val="single" w:sz="12" w:space="0" w:color="000000"/>
            </w:tcBorders>
            <w:vAlign w:val="center"/>
          </w:tcPr>
          <w:p w14:paraId="7222AE3C" w14:textId="75DC5900" w:rsidR="00FC0D61" w:rsidRDefault="00FC0D61" w:rsidP="00F942E8">
            <w:pPr>
              <w:spacing w:after="0" w:line="259" w:lineRule="auto"/>
              <w:ind w:left="0" w:right="2" w:firstLine="0"/>
              <w:jc w:val="center"/>
            </w:pPr>
          </w:p>
        </w:tc>
        <w:tc>
          <w:tcPr>
            <w:tcW w:w="720" w:type="dxa"/>
            <w:tcBorders>
              <w:top w:val="single" w:sz="4" w:space="0" w:color="000000"/>
              <w:left w:val="single" w:sz="12" w:space="0" w:color="000000"/>
              <w:bottom w:val="single" w:sz="4" w:space="0" w:color="000000"/>
              <w:right w:val="single" w:sz="12" w:space="0" w:color="000000"/>
            </w:tcBorders>
            <w:vAlign w:val="center"/>
          </w:tcPr>
          <w:p w14:paraId="37832EE8" w14:textId="214F4D69" w:rsidR="00FC0D61" w:rsidRDefault="00FC0D61" w:rsidP="00DB6303">
            <w:pPr>
              <w:spacing w:after="0" w:line="259" w:lineRule="auto"/>
              <w:ind w:left="82" w:right="0" w:firstLine="0"/>
            </w:pPr>
            <w:r>
              <w:rPr>
                <w:sz w:val="18"/>
              </w:rPr>
              <w:t>8151A</w:t>
            </w:r>
          </w:p>
        </w:tc>
        <w:tc>
          <w:tcPr>
            <w:tcW w:w="990" w:type="dxa"/>
            <w:tcBorders>
              <w:top w:val="single" w:sz="4" w:space="0" w:color="000000"/>
              <w:left w:val="single" w:sz="12" w:space="0" w:color="000000"/>
              <w:bottom w:val="single" w:sz="4" w:space="0" w:color="000000"/>
              <w:right w:val="single" w:sz="12" w:space="0" w:color="000000"/>
            </w:tcBorders>
            <w:vAlign w:val="center"/>
          </w:tcPr>
          <w:p w14:paraId="3EAB3E8B" w14:textId="7A598B16" w:rsidR="00FC0D61" w:rsidRDefault="00FC0D61" w:rsidP="00F942E8">
            <w:pPr>
              <w:spacing w:after="0" w:line="259" w:lineRule="auto"/>
              <w:ind w:left="86" w:right="0" w:firstLine="0"/>
              <w:jc w:val="center"/>
            </w:pPr>
            <w:r>
              <w:rPr>
                <w:sz w:val="18"/>
              </w:rPr>
              <w:t>8321B</w:t>
            </w:r>
          </w:p>
        </w:tc>
      </w:tr>
      <w:tr w:rsidR="00624776" w14:paraId="023904CE" w14:textId="77777777" w:rsidTr="005B6604">
        <w:trPr>
          <w:trHeight w:val="288"/>
        </w:trPr>
        <w:tc>
          <w:tcPr>
            <w:tcW w:w="3022" w:type="dxa"/>
            <w:tcBorders>
              <w:top w:val="single" w:sz="4" w:space="0" w:color="000000"/>
              <w:left w:val="single" w:sz="12" w:space="0" w:color="000000"/>
              <w:bottom w:val="single" w:sz="4" w:space="0" w:color="000000"/>
              <w:right w:val="single" w:sz="12" w:space="0" w:color="000000"/>
            </w:tcBorders>
            <w:vAlign w:val="center"/>
          </w:tcPr>
          <w:p w14:paraId="565E5BB4" w14:textId="1AE221F0" w:rsidR="00FC0D61" w:rsidRDefault="00FC0D61" w:rsidP="00F942E8">
            <w:pPr>
              <w:spacing w:after="0" w:line="259" w:lineRule="auto"/>
              <w:ind w:left="0" w:right="0" w:firstLine="0"/>
            </w:pPr>
            <w:r>
              <w:rPr>
                <w:sz w:val="18"/>
              </w:rPr>
              <w:t>Pentachlorophenol (</w:t>
            </w:r>
            <w:r>
              <w:rPr>
                <w:i/>
                <w:sz w:val="18"/>
              </w:rPr>
              <w:t>PCP)</w:t>
            </w:r>
          </w:p>
        </w:tc>
        <w:tc>
          <w:tcPr>
            <w:tcW w:w="1106" w:type="dxa"/>
            <w:tcBorders>
              <w:top w:val="single" w:sz="4" w:space="0" w:color="000000"/>
              <w:left w:val="single" w:sz="12" w:space="0" w:color="000000"/>
              <w:bottom w:val="single" w:sz="4" w:space="0" w:color="000000"/>
              <w:right w:val="single" w:sz="12" w:space="0" w:color="000000"/>
            </w:tcBorders>
            <w:vAlign w:val="center"/>
          </w:tcPr>
          <w:p w14:paraId="7CF0DDCE" w14:textId="4C84D459" w:rsidR="00FC0D61" w:rsidRDefault="00FC0D61" w:rsidP="00F942E8">
            <w:pPr>
              <w:spacing w:after="0" w:line="259" w:lineRule="auto"/>
              <w:ind w:left="0" w:right="44" w:firstLine="0"/>
              <w:jc w:val="center"/>
            </w:pPr>
            <w:r>
              <w:rPr>
                <w:sz w:val="18"/>
              </w:rPr>
              <w:t>87-86-5</w:t>
            </w:r>
          </w:p>
        </w:tc>
        <w:tc>
          <w:tcPr>
            <w:tcW w:w="616" w:type="dxa"/>
            <w:tcBorders>
              <w:top w:val="single" w:sz="4" w:space="0" w:color="000000"/>
              <w:left w:val="single" w:sz="12" w:space="0" w:color="000000"/>
              <w:bottom w:val="single" w:sz="4" w:space="0" w:color="000000"/>
              <w:right w:val="single" w:sz="12" w:space="0" w:color="000000"/>
            </w:tcBorders>
            <w:vAlign w:val="center"/>
          </w:tcPr>
          <w:p w14:paraId="3F7A2ABC" w14:textId="1ED34B1A" w:rsidR="00FC0D61" w:rsidRDefault="00FC0D61" w:rsidP="00F942E8">
            <w:pPr>
              <w:tabs>
                <w:tab w:val="right" w:pos="530"/>
              </w:tabs>
              <w:spacing w:after="0" w:line="259" w:lineRule="auto"/>
              <w:ind w:left="0" w:right="0" w:firstLine="0"/>
              <w:jc w:val="center"/>
            </w:pPr>
            <w:r>
              <w:rPr>
                <w:sz w:val="18"/>
              </w:rPr>
              <w:t>0.5</w:t>
            </w:r>
          </w:p>
        </w:tc>
        <w:tc>
          <w:tcPr>
            <w:tcW w:w="689" w:type="dxa"/>
            <w:tcBorders>
              <w:top w:val="single" w:sz="4" w:space="0" w:color="000000"/>
              <w:left w:val="single" w:sz="12" w:space="0" w:color="000000"/>
              <w:bottom w:val="single" w:sz="4" w:space="0" w:color="000000"/>
              <w:right w:val="single" w:sz="12" w:space="0" w:color="000000"/>
            </w:tcBorders>
            <w:vAlign w:val="center"/>
          </w:tcPr>
          <w:p w14:paraId="4CC654B9" w14:textId="2AF4E616" w:rsidR="00FC0D61" w:rsidRDefault="00FC0D61" w:rsidP="00F942E8">
            <w:pPr>
              <w:spacing w:after="0" w:line="259" w:lineRule="auto"/>
              <w:ind w:left="0" w:right="48" w:firstLine="0"/>
              <w:jc w:val="center"/>
            </w:pPr>
            <w:r>
              <w:rPr>
                <w:sz w:val="18"/>
              </w:rPr>
              <w:t>ug/L</w:t>
            </w:r>
          </w:p>
        </w:tc>
        <w:tc>
          <w:tcPr>
            <w:tcW w:w="913" w:type="dxa"/>
            <w:tcBorders>
              <w:top w:val="single" w:sz="4" w:space="0" w:color="000000"/>
              <w:left w:val="single" w:sz="12" w:space="0" w:color="000000"/>
              <w:bottom w:val="single" w:sz="4" w:space="0" w:color="000000"/>
              <w:right w:val="single" w:sz="12" w:space="0" w:color="000000"/>
            </w:tcBorders>
            <w:vAlign w:val="center"/>
          </w:tcPr>
          <w:p w14:paraId="6FAD22A8" w14:textId="102B91F8" w:rsidR="00FC0D61" w:rsidRDefault="00FC0D61" w:rsidP="00F942E8">
            <w:pPr>
              <w:tabs>
                <w:tab w:val="right" w:pos="713"/>
              </w:tabs>
              <w:spacing w:after="0" w:line="259" w:lineRule="auto"/>
              <w:ind w:left="0" w:right="0" w:firstLine="0"/>
              <w:jc w:val="center"/>
            </w:pPr>
            <w:r>
              <w:rPr>
                <w:sz w:val="18"/>
              </w:rPr>
              <w:t>100</w:t>
            </w:r>
          </w:p>
        </w:tc>
        <w:tc>
          <w:tcPr>
            <w:tcW w:w="854" w:type="dxa"/>
            <w:tcBorders>
              <w:top w:val="single" w:sz="4" w:space="0" w:color="000000"/>
              <w:left w:val="single" w:sz="12" w:space="0" w:color="000000"/>
              <w:bottom w:val="single" w:sz="4" w:space="0" w:color="000000"/>
              <w:right w:val="single" w:sz="12" w:space="0" w:color="000000"/>
            </w:tcBorders>
            <w:vAlign w:val="center"/>
          </w:tcPr>
          <w:p w14:paraId="601784FC" w14:textId="728B7E81" w:rsidR="00FC0D61" w:rsidRDefault="00FC0D61" w:rsidP="00F942E8">
            <w:pPr>
              <w:spacing w:after="0" w:line="259" w:lineRule="auto"/>
              <w:ind w:left="0" w:right="46" w:firstLine="0"/>
              <w:jc w:val="center"/>
            </w:pPr>
            <w:r>
              <w:rPr>
                <w:rFonts w:eastAsia="Segoe UI Symbol"/>
                <w:sz w:val="18"/>
              </w:rPr>
              <w:t>u</w:t>
            </w:r>
            <w:r>
              <w:rPr>
                <w:sz w:val="18"/>
              </w:rPr>
              <w:t>g/kg</w:t>
            </w:r>
          </w:p>
        </w:tc>
        <w:tc>
          <w:tcPr>
            <w:tcW w:w="630" w:type="dxa"/>
            <w:tcBorders>
              <w:top w:val="single" w:sz="4" w:space="0" w:color="000000"/>
              <w:left w:val="single" w:sz="12" w:space="0" w:color="000000"/>
              <w:bottom w:val="single" w:sz="4" w:space="0" w:color="000000"/>
              <w:right w:val="single" w:sz="12" w:space="0" w:color="000000"/>
            </w:tcBorders>
            <w:vAlign w:val="center"/>
          </w:tcPr>
          <w:p w14:paraId="01559E6D" w14:textId="6C810988" w:rsidR="00FC0D61" w:rsidRDefault="00FC0D61" w:rsidP="00F942E8">
            <w:pPr>
              <w:spacing w:after="0" w:line="259" w:lineRule="auto"/>
              <w:ind w:left="0" w:right="45" w:firstLine="0"/>
              <w:jc w:val="center"/>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4CAB7E22" w14:textId="2D578B30" w:rsidR="00FC0D61" w:rsidRDefault="00FC0D61" w:rsidP="00F942E8">
            <w:pPr>
              <w:spacing w:after="0" w:line="259" w:lineRule="auto"/>
              <w:ind w:left="0" w:right="45" w:firstLine="0"/>
              <w:jc w:val="center"/>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6A12C394" w14:textId="12836FC1" w:rsidR="00FC0D61" w:rsidRDefault="00FC0D61" w:rsidP="00F942E8">
            <w:pPr>
              <w:spacing w:after="0" w:line="259" w:lineRule="auto"/>
              <w:ind w:left="0" w:right="47" w:firstLine="0"/>
              <w:jc w:val="center"/>
            </w:pPr>
            <w:r>
              <w:rPr>
                <w:sz w:val="18"/>
              </w:rPr>
              <w:t>X</w:t>
            </w:r>
          </w:p>
        </w:tc>
        <w:tc>
          <w:tcPr>
            <w:tcW w:w="720" w:type="dxa"/>
            <w:tcBorders>
              <w:top w:val="single" w:sz="4" w:space="0" w:color="000000"/>
              <w:left w:val="single" w:sz="12" w:space="0" w:color="000000"/>
              <w:bottom w:val="single" w:sz="4" w:space="0" w:color="000000"/>
              <w:right w:val="single" w:sz="12" w:space="0" w:color="000000"/>
            </w:tcBorders>
            <w:vAlign w:val="center"/>
          </w:tcPr>
          <w:p w14:paraId="6CE5F947" w14:textId="5763053F" w:rsidR="00FC0D61" w:rsidRDefault="00FC0D61" w:rsidP="00DB6303">
            <w:pPr>
              <w:spacing w:after="0" w:line="259" w:lineRule="auto"/>
              <w:ind w:left="82" w:right="0" w:firstLine="0"/>
            </w:pPr>
            <w:r>
              <w:rPr>
                <w:sz w:val="18"/>
              </w:rPr>
              <w:t>8151A</w:t>
            </w:r>
          </w:p>
        </w:tc>
        <w:tc>
          <w:tcPr>
            <w:tcW w:w="990" w:type="dxa"/>
            <w:tcBorders>
              <w:top w:val="single" w:sz="4" w:space="0" w:color="000000"/>
              <w:left w:val="single" w:sz="12" w:space="0" w:color="000000"/>
              <w:bottom w:val="single" w:sz="4" w:space="0" w:color="000000"/>
              <w:right w:val="single" w:sz="12" w:space="0" w:color="000000"/>
            </w:tcBorders>
            <w:vAlign w:val="center"/>
          </w:tcPr>
          <w:p w14:paraId="4D9903F1" w14:textId="40995E48" w:rsidR="00FC0D61" w:rsidRDefault="00FC0D61" w:rsidP="00F942E8">
            <w:pPr>
              <w:spacing w:after="0" w:line="259" w:lineRule="auto"/>
              <w:ind w:left="82" w:right="0" w:hanging="82"/>
              <w:jc w:val="center"/>
            </w:pPr>
            <w:r>
              <w:rPr>
                <w:sz w:val="18"/>
              </w:rPr>
              <w:t>8410</w:t>
            </w:r>
            <w:r w:rsidR="00624776">
              <w:rPr>
                <w:sz w:val="18"/>
              </w:rPr>
              <w:t>,</w:t>
            </w:r>
            <w:r>
              <w:rPr>
                <w:sz w:val="18"/>
              </w:rPr>
              <w:t xml:space="preserve"> 8041A</w:t>
            </w:r>
          </w:p>
        </w:tc>
      </w:tr>
      <w:tr w:rsidR="00624776" w14:paraId="255C264B" w14:textId="77777777" w:rsidTr="005B6604">
        <w:trPr>
          <w:trHeight w:val="250"/>
        </w:trPr>
        <w:tc>
          <w:tcPr>
            <w:tcW w:w="3022" w:type="dxa"/>
            <w:tcBorders>
              <w:top w:val="single" w:sz="4" w:space="0" w:color="000000"/>
              <w:left w:val="single" w:sz="12" w:space="0" w:color="000000"/>
              <w:bottom w:val="single" w:sz="4" w:space="0" w:color="000000"/>
              <w:right w:val="single" w:sz="12" w:space="0" w:color="000000"/>
            </w:tcBorders>
            <w:vAlign w:val="center"/>
          </w:tcPr>
          <w:p w14:paraId="6079F48D" w14:textId="77777777" w:rsidR="00FC0D61" w:rsidRDefault="00FC0D61" w:rsidP="00F942E8">
            <w:pPr>
              <w:spacing w:after="0" w:line="259" w:lineRule="auto"/>
              <w:ind w:left="0" w:right="0" w:firstLine="0"/>
            </w:pPr>
            <w:r>
              <w:rPr>
                <w:sz w:val="18"/>
              </w:rPr>
              <w:t xml:space="preserve">Picloram </w:t>
            </w:r>
          </w:p>
        </w:tc>
        <w:tc>
          <w:tcPr>
            <w:tcW w:w="1106" w:type="dxa"/>
            <w:tcBorders>
              <w:top w:val="single" w:sz="4" w:space="0" w:color="000000"/>
              <w:left w:val="single" w:sz="12" w:space="0" w:color="000000"/>
              <w:bottom w:val="single" w:sz="4" w:space="0" w:color="000000"/>
              <w:right w:val="single" w:sz="12" w:space="0" w:color="000000"/>
            </w:tcBorders>
            <w:vAlign w:val="center"/>
          </w:tcPr>
          <w:p w14:paraId="41A7BB63" w14:textId="1450F30B" w:rsidR="00FC0D61" w:rsidRDefault="00FC0D61" w:rsidP="00F942E8">
            <w:pPr>
              <w:spacing w:after="0" w:line="259" w:lineRule="auto"/>
              <w:ind w:left="0" w:right="44" w:firstLine="0"/>
              <w:jc w:val="center"/>
            </w:pPr>
            <w:r>
              <w:rPr>
                <w:sz w:val="18"/>
              </w:rPr>
              <w:t>1918-02-1</w:t>
            </w:r>
          </w:p>
        </w:tc>
        <w:tc>
          <w:tcPr>
            <w:tcW w:w="616" w:type="dxa"/>
            <w:tcBorders>
              <w:top w:val="single" w:sz="4" w:space="0" w:color="000000"/>
              <w:left w:val="single" w:sz="12" w:space="0" w:color="000000"/>
              <w:bottom w:val="single" w:sz="4" w:space="0" w:color="000000"/>
              <w:right w:val="single" w:sz="12" w:space="0" w:color="000000"/>
            </w:tcBorders>
            <w:vAlign w:val="center"/>
          </w:tcPr>
          <w:p w14:paraId="5ACCA09A" w14:textId="008897DC" w:rsidR="00FC0D61" w:rsidRDefault="00FC0D61" w:rsidP="00F942E8">
            <w:pPr>
              <w:spacing w:after="0" w:line="259" w:lineRule="auto"/>
              <w:ind w:left="0" w:right="0" w:firstLine="0"/>
              <w:jc w:val="center"/>
            </w:pPr>
            <w:r>
              <w:rPr>
                <w:sz w:val="18"/>
              </w:rPr>
              <w:t>10</w:t>
            </w:r>
          </w:p>
        </w:tc>
        <w:tc>
          <w:tcPr>
            <w:tcW w:w="689" w:type="dxa"/>
            <w:tcBorders>
              <w:top w:val="single" w:sz="4" w:space="0" w:color="000000"/>
              <w:left w:val="single" w:sz="12" w:space="0" w:color="000000"/>
              <w:bottom w:val="single" w:sz="4" w:space="0" w:color="000000"/>
              <w:right w:val="single" w:sz="12" w:space="0" w:color="000000"/>
            </w:tcBorders>
            <w:vAlign w:val="center"/>
          </w:tcPr>
          <w:p w14:paraId="773A1367" w14:textId="13368281" w:rsidR="00FC0D61" w:rsidRDefault="00FC0D61" w:rsidP="00F942E8">
            <w:pPr>
              <w:spacing w:after="0" w:line="259" w:lineRule="auto"/>
              <w:ind w:left="0" w:right="48" w:firstLine="0"/>
              <w:jc w:val="center"/>
            </w:pPr>
            <w:r>
              <w:rPr>
                <w:sz w:val="18"/>
              </w:rPr>
              <w:t>ug/L</w:t>
            </w:r>
          </w:p>
        </w:tc>
        <w:tc>
          <w:tcPr>
            <w:tcW w:w="913" w:type="dxa"/>
            <w:tcBorders>
              <w:top w:val="single" w:sz="4" w:space="0" w:color="000000"/>
              <w:left w:val="single" w:sz="12" w:space="0" w:color="000000"/>
              <w:bottom w:val="single" w:sz="4" w:space="0" w:color="000000"/>
              <w:right w:val="single" w:sz="12" w:space="0" w:color="000000"/>
            </w:tcBorders>
            <w:vAlign w:val="center"/>
          </w:tcPr>
          <w:p w14:paraId="0A073FFF" w14:textId="2D394F74" w:rsidR="00FC0D61" w:rsidRDefault="00FC0D61" w:rsidP="00F942E8">
            <w:pPr>
              <w:spacing w:after="0" w:line="259" w:lineRule="auto"/>
              <w:ind w:left="0" w:right="0" w:firstLine="0"/>
              <w:jc w:val="center"/>
            </w:pPr>
            <w:r>
              <w:rPr>
                <w:sz w:val="18"/>
              </w:rPr>
              <w:t>1000</w:t>
            </w:r>
          </w:p>
        </w:tc>
        <w:tc>
          <w:tcPr>
            <w:tcW w:w="854" w:type="dxa"/>
            <w:tcBorders>
              <w:top w:val="single" w:sz="4" w:space="0" w:color="000000"/>
              <w:left w:val="single" w:sz="12" w:space="0" w:color="000000"/>
              <w:bottom w:val="single" w:sz="4" w:space="0" w:color="000000"/>
              <w:right w:val="single" w:sz="12" w:space="0" w:color="000000"/>
            </w:tcBorders>
            <w:vAlign w:val="center"/>
          </w:tcPr>
          <w:p w14:paraId="532ECA90" w14:textId="0AA9EA26" w:rsidR="00FC0D61" w:rsidRDefault="00FC0D61" w:rsidP="00F942E8">
            <w:pPr>
              <w:spacing w:after="0" w:line="259" w:lineRule="auto"/>
              <w:ind w:left="0" w:right="46" w:firstLine="0"/>
              <w:jc w:val="center"/>
            </w:pPr>
            <w:r>
              <w:rPr>
                <w:rFonts w:eastAsia="Segoe UI Symbol"/>
                <w:sz w:val="18"/>
              </w:rPr>
              <w:t>u</w:t>
            </w:r>
            <w:r>
              <w:rPr>
                <w:sz w:val="18"/>
              </w:rPr>
              <w:t>g/kg</w:t>
            </w:r>
          </w:p>
        </w:tc>
        <w:tc>
          <w:tcPr>
            <w:tcW w:w="630" w:type="dxa"/>
            <w:tcBorders>
              <w:top w:val="single" w:sz="4" w:space="0" w:color="000000"/>
              <w:left w:val="single" w:sz="12" w:space="0" w:color="000000"/>
              <w:bottom w:val="single" w:sz="4" w:space="0" w:color="000000"/>
              <w:right w:val="single" w:sz="12" w:space="0" w:color="000000"/>
            </w:tcBorders>
            <w:vAlign w:val="center"/>
          </w:tcPr>
          <w:p w14:paraId="451DE79B" w14:textId="33887D33" w:rsidR="00FC0D61" w:rsidRDefault="00FC0D61" w:rsidP="00F942E8">
            <w:pPr>
              <w:spacing w:after="0" w:line="259" w:lineRule="auto"/>
              <w:ind w:left="0" w:right="0" w:firstLine="0"/>
              <w:jc w:val="center"/>
            </w:pPr>
          </w:p>
        </w:tc>
        <w:tc>
          <w:tcPr>
            <w:tcW w:w="540" w:type="dxa"/>
            <w:tcBorders>
              <w:top w:val="single" w:sz="4" w:space="0" w:color="000000"/>
              <w:left w:val="single" w:sz="12" w:space="0" w:color="000000"/>
              <w:bottom w:val="single" w:sz="4" w:space="0" w:color="000000"/>
              <w:right w:val="single" w:sz="12" w:space="0" w:color="000000"/>
            </w:tcBorders>
            <w:vAlign w:val="center"/>
          </w:tcPr>
          <w:p w14:paraId="274AF15D" w14:textId="1637D101" w:rsidR="00FC0D61" w:rsidRDefault="00FC0D61" w:rsidP="00F942E8">
            <w:pPr>
              <w:spacing w:after="0" w:line="259" w:lineRule="auto"/>
              <w:ind w:left="0" w:right="1" w:firstLine="0"/>
              <w:jc w:val="center"/>
            </w:pPr>
          </w:p>
        </w:tc>
        <w:tc>
          <w:tcPr>
            <w:tcW w:w="540" w:type="dxa"/>
            <w:tcBorders>
              <w:top w:val="single" w:sz="4" w:space="0" w:color="000000"/>
              <w:left w:val="single" w:sz="12" w:space="0" w:color="000000"/>
              <w:bottom w:val="single" w:sz="4" w:space="0" w:color="000000"/>
              <w:right w:val="single" w:sz="12" w:space="0" w:color="000000"/>
            </w:tcBorders>
            <w:vAlign w:val="center"/>
          </w:tcPr>
          <w:p w14:paraId="011A3E47" w14:textId="7659C96C" w:rsidR="00FC0D61" w:rsidRDefault="00FC0D61" w:rsidP="00F942E8">
            <w:pPr>
              <w:spacing w:after="0" w:line="259" w:lineRule="auto"/>
              <w:ind w:left="0" w:right="2" w:firstLine="0"/>
              <w:jc w:val="center"/>
            </w:pPr>
          </w:p>
        </w:tc>
        <w:tc>
          <w:tcPr>
            <w:tcW w:w="720" w:type="dxa"/>
            <w:tcBorders>
              <w:top w:val="single" w:sz="4" w:space="0" w:color="000000"/>
              <w:left w:val="single" w:sz="12" w:space="0" w:color="000000"/>
              <w:bottom w:val="single" w:sz="4" w:space="0" w:color="000000"/>
              <w:right w:val="single" w:sz="12" w:space="0" w:color="000000"/>
            </w:tcBorders>
            <w:vAlign w:val="center"/>
          </w:tcPr>
          <w:p w14:paraId="66D3D3D3" w14:textId="6D912350" w:rsidR="00FC0D61" w:rsidRDefault="00FC0D61" w:rsidP="00DB6303">
            <w:pPr>
              <w:spacing w:after="0" w:line="259" w:lineRule="auto"/>
              <w:ind w:left="82" w:right="0" w:firstLine="0"/>
            </w:pPr>
            <w:r>
              <w:rPr>
                <w:sz w:val="18"/>
              </w:rPr>
              <w:t>8151A</w:t>
            </w:r>
          </w:p>
        </w:tc>
        <w:tc>
          <w:tcPr>
            <w:tcW w:w="990" w:type="dxa"/>
            <w:tcBorders>
              <w:top w:val="single" w:sz="4" w:space="0" w:color="000000"/>
              <w:left w:val="single" w:sz="12" w:space="0" w:color="000000"/>
              <w:bottom w:val="single" w:sz="4" w:space="0" w:color="000000"/>
              <w:right w:val="single" w:sz="12" w:space="0" w:color="000000"/>
            </w:tcBorders>
            <w:vAlign w:val="center"/>
          </w:tcPr>
          <w:p w14:paraId="67724208" w14:textId="7404AC05" w:rsidR="00FC0D61" w:rsidRDefault="00FC0D61" w:rsidP="00F942E8">
            <w:pPr>
              <w:spacing w:after="0" w:line="259" w:lineRule="auto"/>
              <w:ind w:left="0" w:right="2" w:firstLine="0"/>
              <w:jc w:val="center"/>
            </w:pPr>
          </w:p>
        </w:tc>
      </w:tr>
      <w:tr w:rsidR="00624776" w14:paraId="045C7CF9" w14:textId="77777777" w:rsidTr="005B6604">
        <w:trPr>
          <w:trHeight w:val="252"/>
        </w:trPr>
        <w:tc>
          <w:tcPr>
            <w:tcW w:w="3022" w:type="dxa"/>
            <w:tcBorders>
              <w:top w:val="single" w:sz="4" w:space="0" w:color="000000"/>
              <w:left w:val="single" w:sz="12" w:space="0" w:color="000000"/>
              <w:bottom w:val="single" w:sz="4" w:space="0" w:color="000000"/>
              <w:right w:val="single" w:sz="12" w:space="0" w:color="000000"/>
            </w:tcBorders>
            <w:vAlign w:val="center"/>
          </w:tcPr>
          <w:p w14:paraId="5B35C89C" w14:textId="77777777" w:rsidR="00FC0D61" w:rsidRDefault="00FC0D61" w:rsidP="00F942E8">
            <w:pPr>
              <w:spacing w:after="0" w:line="259" w:lineRule="auto"/>
              <w:ind w:left="0" w:right="0" w:firstLine="0"/>
            </w:pPr>
            <w:r>
              <w:rPr>
                <w:sz w:val="18"/>
              </w:rPr>
              <w:t xml:space="preserve">2,4,5-T </w:t>
            </w:r>
          </w:p>
        </w:tc>
        <w:tc>
          <w:tcPr>
            <w:tcW w:w="1106" w:type="dxa"/>
            <w:tcBorders>
              <w:top w:val="single" w:sz="4" w:space="0" w:color="000000"/>
              <w:left w:val="single" w:sz="12" w:space="0" w:color="000000"/>
              <w:bottom w:val="single" w:sz="4" w:space="0" w:color="000000"/>
              <w:right w:val="single" w:sz="12" w:space="0" w:color="000000"/>
            </w:tcBorders>
            <w:vAlign w:val="center"/>
          </w:tcPr>
          <w:p w14:paraId="395DFFCF" w14:textId="724834AC" w:rsidR="00FC0D61" w:rsidRDefault="00FC0D61" w:rsidP="00F942E8">
            <w:pPr>
              <w:spacing w:after="0" w:line="259" w:lineRule="auto"/>
              <w:ind w:left="0" w:right="44" w:firstLine="0"/>
              <w:jc w:val="center"/>
            </w:pPr>
            <w:r>
              <w:rPr>
                <w:sz w:val="18"/>
              </w:rPr>
              <w:t>93-76-5</w:t>
            </w:r>
          </w:p>
        </w:tc>
        <w:tc>
          <w:tcPr>
            <w:tcW w:w="616" w:type="dxa"/>
            <w:tcBorders>
              <w:top w:val="single" w:sz="4" w:space="0" w:color="000000"/>
              <w:left w:val="single" w:sz="12" w:space="0" w:color="000000"/>
              <w:bottom w:val="single" w:sz="4" w:space="0" w:color="000000"/>
              <w:right w:val="single" w:sz="12" w:space="0" w:color="000000"/>
            </w:tcBorders>
            <w:vAlign w:val="center"/>
          </w:tcPr>
          <w:p w14:paraId="662B7AB1" w14:textId="5719AA3C" w:rsidR="00FC0D61" w:rsidRDefault="00FC0D61" w:rsidP="00F942E8">
            <w:pPr>
              <w:spacing w:after="0" w:line="259" w:lineRule="auto"/>
              <w:ind w:left="0" w:right="0" w:firstLine="0"/>
              <w:jc w:val="center"/>
            </w:pPr>
            <w:r>
              <w:rPr>
                <w:sz w:val="18"/>
              </w:rPr>
              <w:t>10</w:t>
            </w:r>
          </w:p>
        </w:tc>
        <w:tc>
          <w:tcPr>
            <w:tcW w:w="689" w:type="dxa"/>
            <w:tcBorders>
              <w:top w:val="single" w:sz="4" w:space="0" w:color="000000"/>
              <w:left w:val="single" w:sz="12" w:space="0" w:color="000000"/>
              <w:bottom w:val="single" w:sz="4" w:space="0" w:color="000000"/>
              <w:right w:val="single" w:sz="12" w:space="0" w:color="000000"/>
            </w:tcBorders>
            <w:vAlign w:val="center"/>
          </w:tcPr>
          <w:p w14:paraId="2D0ED7FB" w14:textId="0EA4B477" w:rsidR="00FC0D61" w:rsidRDefault="00FC0D61" w:rsidP="00F942E8">
            <w:pPr>
              <w:spacing w:after="0" w:line="259" w:lineRule="auto"/>
              <w:ind w:left="0" w:right="48" w:firstLine="0"/>
              <w:jc w:val="center"/>
            </w:pPr>
            <w:r>
              <w:rPr>
                <w:sz w:val="18"/>
              </w:rPr>
              <w:t>ug/L</w:t>
            </w:r>
          </w:p>
        </w:tc>
        <w:tc>
          <w:tcPr>
            <w:tcW w:w="913" w:type="dxa"/>
            <w:tcBorders>
              <w:top w:val="single" w:sz="4" w:space="0" w:color="000000"/>
              <w:left w:val="single" w:sz="12" w:space="0" w:color="000000"/>
              <w:bottom w:val="single" w:sz="4" w:space="0" w:color="000000"/>
              <w:right w:val="single" w:sz="12" w:space="0" w:color="000000"/>
            </w:tcBorders>
            <w:vAlign w:val="center"/>
          </w:tcPr>
          <w:p w14:paraId="2D807F71" w14:textId="5FABE596" w:rsidR="00FC0D61" w:rsidRDefault="00FC0D61" w:rsidP="00F942E8">
            <w:pPr>
              <w:spacing w:after="0" w:line="259" w:lineRule="auto"/>
              <w:ind w:left="0" w:right="0" w:firstLine="0"/>
              <w:jc w:val="center"/>
            </w:pPr>
            <w:r>
              <w:rPr>
                <w:sz w:val="18"/>
              </w:rPr>
              <w:t>1000</w:t>
            </w:r>
          </w:p>
        </w:tc>
        <w:tc>
          <w:tcPr>
            <w:tcW w:w="854" w:type="dxa"/>
            <w:tcBorders>
              <w:top w:val="single" w:sz="4" w:space="0" w:color="000000"/>
              <w:left w:val="single" w:sz="12" w:space="0" w:color="000000"/>
              <w:bottom w:val="single" w:sz="4" w:space="0" w:color="000000"/>
              <w:right w:val="single" w:sz="12" w:space="0" w:color="000000"/>
            </w:tcBorders>
            <w:vAlign w:val="center"/>
          </w:tcPr>
          <w:p w14:paraId="35A5E1ED" w14:textId="609399B6" w:rsidR="00FC0D61" w:rsidRDefault="00FC0D61" w:rsidP="00F942E8">
            <w:pPr>
              <w:spacing w:after="0" w:line="259" w:lineRule="auto"/>
              <w:ind w:left="0" w:right="46" w:firstLine="0"/>
              <w:jc w:val="center"/>
            </w:pPr>
            <w:r>
              <w:rPr>
                <w:rFonts w:eastAsia="Segoe UI Symbol"/>
                <w:sz w:val="18"/>
              </w:rPr>
              <w:t>u</w:t>
            </w:r>
            <w:r>
              <w:rPr>
                <w:sz w:val="18"/>
              </w:rPr>
              <w:t>g/kg</w:t>
            </w:r>
          </w:p>
        </w:tc>
        <w:tc>
          <w:tcPr>
            <w:tcW w:w="630" w:type="dxa"/>
            <w:tcBorders>
              <w:top w:val="single" w:sz="4" w:space="0" w:color="000000"/>
              <w:left w:val="single" w:sz="12" w:space="0" w:color="000000"/>
              <w:bottom w:val="single" w:sz="4" w:space="0" w:color="000000"/>
              <w:right w:val="single" w:sz="12" w:space="0" w:color="000000"/>
            </w:tcBorders>
            <w:vAlign w:val="center"/>
          </w:tcPr>
          <w:p w14:paraId="37D90CB3" w14:textId="197CBC60" w:rsidR="00FC0D61" w:rsidRDefault="00FC0D61" w:rsidP="00F942E8">
            <w:pPr>
              <w:spacing w:after="0" w:line="259" w:lineRule="auto"/>
              <w:ind w:left="0" w:right="45" w:firstLine="0"/>
              <w:jc w:val="center"/>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1CC9136F" w14:textId="61537FDF" w:rsidR="00FC0D61" w:rsidRDefault="00FC0D61" w:rsidP="00F942E8">
            <w:pPr>
              <w:spacing w:after="0" w:line="259" w:lineRule="auto"/>
              <w:ind w:left="0" w:right="45" w:firstLine="0"/>
              <w:jc w:val="center"/>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68FB4C15" w14:textId="5B5D7569" w:rsidR="00FC0D61" w:rsidRDefault="00FC0D61" w:rsidP="00F942E8">
            <w:pPr>
              <w:spacing w:after="0" w:line="259" w:lineRule="auto"/>
              <w:ind w:left="0" w:right="47" w:firstLine="0"/>
              <w:jc w:val="center"/>
            </w:pPr>
            <w:r>
              <w:rPr>
                <w:sz w:val="18"/>
              </w:rPr>
              <w:t>X</w:t>
            </w:r>
          </w:p>
        </w:tc>
        <w:tc>
          <w:tcPr>
            <w:tcW w:w="720" w:type="dxa"/>
            <w:tcBorders>
              <w:top w:val="single" w:sz="4" w:space="0" w:color="000000"/>
              <w:left w:val="single" w:sz="12" w:space="0" w:color="000000"/>
              <w:bottom w:val="single" w:sz="4" w:space="0" w:color="000000"/>
              <w:right w:val="single" w:sz="12" w:space="0" w:color="000000"/>
            </w:tcBorders>
            <w:vAlign w:val="center"/>
          </w:tcPr>
          <w:p w14:paraId="0BA2BBC4" w14:textId="2B6E3076" w:rsidR="00FC0D61" w:rsidRDefault="00FC0D61" w:rsidP="00DB6303">
            <w:pPr>
              <w:spacing w:after="0" w:line="259" w:lineRule="auto"/>
              <w:ind w:left="82" w:right="0" w:firstLine="0"/>
            </w:pPr>
            <w:r>
              <w:rPr>
                <w:sz w:val="18"/>
              </w:rPr>
              <w:t>8151A</w:t>
            </w:r>
          </w:p>
        </w:tc>
        <w:tc>
          <w:tcPr>
            <w:tcW w:w="990" w:type="dxa"/>
            <w:tcBorders>
              <w:top w:val="single" w:sz="4" w:space="0" w:color="000000"/>
              <w:left w:val="single" w:sz="12" w:space="0" w:color="000000"/>
              <w:bottom w:val="single" w:sz="4" w:space="0" w:color="000000"/>
              <w:right w:val="single" w:sz="12" w:space="0" w:color="000000"/>
            </w:tcBorders>
            <w:vAlign w:val="center"/>
          </w:tcPr>
          <w:p w14:paraId="7D0A0486" w14:textId="3D45E740" w:rsidR="00FC0D61" w:rsidRDefault="00FC0D61" w:rsidP="00F942E8">
            <w:pPr>
              <w:spacing w:after="0" w:line="259" w:lineRule="auto"/>
              <w:ind w:left="86" w:right="0" w:firstLine="0"/>
              <w:jc w:val="center"/>
            </w:pPr>
            <w:r>
              <w:rPr>
                <w:sz w:val="18"/>
              </w:rPr>
              <w:t>8321B</w:t>
            </w:r>
          </w:p>
        </w:tc>
      </w:tr>
      <w:tr w:rsidR="00624776" w14:paraId="4366479E" w14:textId="77777777" w:rsidTr="005B6604">
        <w:trPr>
          <w:trHeight w:val="257"/>
        </w:trPr>
        <w:tc>
          <w:tcPr>
            <w:tcW w:w="3022" w:type="dxa"/>
            <w:tcBorders>
              <w:top w:val="single" w:sz="4" w:space="0" w:color="000000"/>
              <w:left w:val="single" w:sz="12" w:space="0" w:color="000000"/>
              <w:bottom w:val="single" w:sz="12" w:space="0" w:color="000000"/>
              <w:right w:val="single" w:sz="12" w:space="0" w:color="000000"/>
            </w:tcBorders>
            <w:vAlign w:val="center"/>
          </w:tcPr>
          <w:p w14:paraId="6B330C55" w14:textId="60AF4FEE" w:rsidR="00FC0D61" w:rsidRDefault="00FC0D61" w:rsidP="00F942E8">
            <w:pPr>
              <w:spacing w:after="0" w:line="259" w:lineRule="auto"/>
              <w:ind w:left="0" w:right="0" w:firstLine="0"/>
            </w:pPr>
            <w:r>
              <w:rPr>
                <w:sz w:val="18"/>
              </w:rPr>
              <w:t xml:space="preserve">2,4,5-TP </w:t>
            </w:r>
            <w:r>
              <w:rPr>
                <w:i/>
                <w:sz w:val="18"/>
              </w:rPr>
              <w:t>(Silvex)</w:t>
            </w:r>
            <w:r>
              <w:rPr>
                <w:sz w:val="18"/>
              </w:rPr>
              <w:t xml:space="preserve"> </w:t>
            </w:r>
          </w:p>
        </w:tc>
        <w:tc>
          <w:tcPr>
            <w:tcW w:w="1106" w:type="dxa"/>
            <w:tcBorders>
              <w:top w:val="single" w:sz="4" w:space="0" w:color="000000"/>
              <w:left w:val="single" w:sz="12" w:space="0" w:color="000000"/>
              <w:bottom w:val="single" w:sz="12" w:space="0" w:color="000000"/>
              <w:right w:val="single" w:sz="12" w:space="0" w:color="000000"/>
            </w:tcBorders>
            <w:vAlign w:val="center"/>
          </w:tcPr>
          <w:p w14:paraId="206D1BB5" w14:textId="3DC5478F" w:rsidR="00FC0D61" w:rsidRDefault="00FC0D61" w:rsidP="00F942E8">
            <w:pPr>
              <w:spacing w:after="0" w:line="259" w:lineRule="auto"/>
              <w:ind w:left="0" w:right="44" w:firstLine="0"/>
              <w:jc w:val="center"/>
            </w:pPr>
            <w:r>
              <w:rPr>
                <w:sz w:val="18"/>
              </w:rPr>
              <w:t>93-72-1</w:t>
            </w:r>
          </w:p>
        </w:tc>
        <w:tc>
          <w:tcPr>
            <w:tcW w:w="616" w:type="dxa"/>
            <w:tcBorders>
              <w:top w:val="single" w:sz="4" w:space="0" w:color="000000"/>
              <w:left w:val="single" w:sz="12" w:space="0" w:color="000000"/>
              <w:bottom w:val="single" w:sz="12" w:space="0" w:color="000000"/>
              <w:right w:val="single" w:sz="12" w:space="0" w:color="000000"/>
            </w:tcBorders>
            <w:vAlign w:val="center"/>
          </w:tcPr>
          <w:p w14:paraId="14CCA7ED" w14:textId="54571376" w:rsidR="00FC0D61" w:rsidRDefault="00FC0D61" w:rsidP="00F942E8">
            <w:pPr>
              <w:spacing w:after="0" w:line="259" w:lineRule="auto"/>
              <w:ind w:left="0" w:right="0" w:firstLine="0"/>
              <w:jc w:val="center"/>
            </w:pPr>
            <w:r>
              <w:rPr>
                <w:sz w:val="18"/>
              </w:rPr>
              <w:t>10</w:t>
            </w:r>
          </w:p>
        </w:tc>
        <w:tc>
          <w:tcPr>
            <w:tcW w:w="689" w:type="dxa"/>
            <w:tcBorders>
              <w:top w:val="single" w:sz="4" w:space="0" w:color="000000"/>
              <w:left w:val="single" w:sz="12" w:space="0" w:color="000000"/>
              <w:bottom w:val="single" w:sz="12" w:space="0" w:color="000000"/>
              <w:right w:val="single" w:sz="12" w:space="0" w:color="000000"/>
            </w:tcBorders>
            <w:vAlign w:val="center"/>
          </w:tcPr>
          <w:p w14:paraId="0A52F948" w14:textId="2B927FE4" w:rsidR="00FC0D61" w:rsidRDefault="00FC0D61" w:rsidP="00F942E8">
            <w:pPr>
              <w:spacing w:after="0" w:line="259" w:lineRule="auto"/>
              <w:ind w:left="0" w:right="48" w:firstLine="0"/>
              <w:jc w:val="center"/>
            </w:pPr>
            <w:r>
              <w:rPr>
                <w:sz w:val="18"/>
              </w:rPr>
              <w:t>ug/L</w:t>
            </w:r>
          </w:p>
        </w:tc>
        <w:tc>
          <w:tcPr>
            <w:tcW w:w="913" w:type="dxa"/>
            <w:tcBorders>
              <w:top w:val="single" w:sz="4" w:space="0" w:color="000000"/>
              <w:left w:val="single" w:sz="12" w:space="0" w:color="000000"/>
              <w:bottom w:val="single" w:sz="12" w:space="0" w:color="000000"/>
              <w:right w:val="single" w:sz="12" w:space="0" w:color="000000"/>
            </w:tcBorders>
            <w:vAlign w:val="center"/>
          </w:tcPr>
          <w:p w14:paraId="2C31EBE4" w14:textId="2E41287E" w:rsidR="00FC0D61" w:rsidRDefault="00FC0D61" w:rsidP="00F942E8">
            <w:pPr>
              <w:spacing w:after="0" w:line="259" w:lineRule="auto"/>
              <w:ind w:left="0" w:right="0" w:firstLine="0"/>
              <w:jc w:val="center"/>
            </w:pPr>
            <w:r>
              <w:rPr>
                <w:sz w:val="18"/>
              </w:rPr>
              <w:t>1000</w:t>
            </w:r>
          </w:p>
        </w:tc>
        <w:tc>
          <w:tcPr>
            <w:tcW w:w="854" w:type="dxa"/>
            <w:tcBorders>
              <w:top w:val="single" w:sz="4" w:space="0" w:color="000000"/>
              <w:left w:val="single" w:sz="12" w:space="0" w:color="000000"/>
              <w:bottom w:val="single" w:sz="12" w:space="0" w:color="000000"/>
              <w:right w:val="single" w:sz="12" w:space="0" w:color="000000"/>
            </w:tcBorders>
            <w:vAlign w:val="center"/>
          </w:tcPr>
          <w:p w14:paraId="12334E2A" w14:textId="0DC7CAB1" w:rsidR="00FC0D61" w:rsidRDefault="00FC0D61" w:rsidP="00F942E8">
            <w:pPr>
              <w:spacing w:after="0" w:line="259" w:lineRule="auto"/>
              <w:ind w:left="0" w:right="46" w:firstLine="0"/>
              <w:jc w:val="center"/>
            </w:pPr>
            <w:r>
              <w:rPr>
                <w:rFonts w:eastAsia="Segoe UI Symbol"/>
                <w:sz w:val="18"/>
              </w:rPr>
              <w:t>u</w:t>
            </w:r>
            <w:r>
              <w:rPr>
                <w:sz w:val="18"/>
              </w:rPr>
              <w:t>g/kg</w:t>
            </w:r>
          </w:p>
        </w:tc>
        <w:tc>
          <w:tcPr>
            <w:tcW w:w="630" w:type="dxa"/>
            <w:tcBorders>
              <w:top w:val="single" w:sz="4" w:space="0" w:color="000000"/>
              <w:left w:val="single" w:sz="12" w:space="0" w:color="000000"/>
              <w:bottom w:val="single" w:sz="12" w:space="0" w:color="000000"/>
              <w:right w:val="single" w:sz="12" w:space="0" w:color="000000"/>
            </w:tcBorders>
            <w:vAlign w:val="center"/>
          </w:tcPr>
          <w:p w14:paraId="554A6DE9" w14:textId="14BB3B60" w:rsidR="00FC0D61" w:rsidRDefault="00FC0D61" w:rsidP="00F942E8">
            <w:pPr>
              <w:spacing w:after="0" w:line="259" w:lineRule="auto"/>
              <w:ind w:left="0" w:right="45" w:firstLine="0"/>
              <w:jc w:val="center"/>
            </w:pPr>
            <w:r>
              <w:rPr>
                <w:sz w:val="18"/>
              </w:rPr>
              <w:t>X</w:t>
            </w:r>
          </w:p>
        </w:tc>
        <w:tc>
          <w:tcPr>
            <w:tcW w:w="540" w:type="dxa"/>
            <w:tcBorders>
              <w:top w:val="single" w:sz="4" w:space="0" w:color="000000"/>
              <w:left w:val="single" w:sz="12" w:space="0" w:color="000000"/>
              <w:bottom w:val="single" w:sz="12" w:space="0" w:color="000000"/>
              <w:right w:val="single" w:sz="12" w:space="0" w:color="000000"/>
            </w:tcBorders>
            <w:vAlign w:val="center"/>
          </w:tcPr>
          <w:p w14:paraId="23675684" w14:textId="6DE17DEE" w:rsidR="00FC0D61" w:rsidRDefault="00FC0D61" w:rsidP="00F942E8">
            <w:pPr>
              <w:spacing w:after="0" w:line="259" w:lineRule="auto"/>
              <w:ind w:left="0" w:right="45" w:firstLine="0"/>
              <w:jc w:val="center"/>
            </w:pPr>
            <w:r>
              <w:rPr>
                <w:sz w:val="18"/>
              </w:rPr>
              <w:t>X</w:t>
            </w:r>
          </w:p>
        </w:tc>
        <w:tc>
          <w:tcPr>
            <w:tcW w:w="540" w:type="dxa"/>
            <w:tcBorders>
              <w:top w:val="single" w:sz="4" w:space="0" w:color="000000"/>
              <w:left w:val="single" w:sz="12" w:space="0" w:color="000000"/>
              <w:bottom w:val="single" w:sz="12" w:space="0" w:color="000000"/>
              <w:right w:val="single" w:sz="12" w:space="0" w:color="000000"/>
            </w:tcBorders>
            <w:vAlign w:val="center"/>
          </w:tcPr>
          <w:p w14:paraId="4E6EDBBF" w14:textId="7EA90C2B" w:rsidR="00FC0D61" w:rsidRDefault="00FC0D61" w:rsidP="00F942E8">
            <w:pPr>
              <w:spacing w:after="0" w:line="259" w:lineRule="auto"/>
              <w:ind w:left="0" w:right="47" w:firstLine="0"/>
              <w:jc w:val="center"/>
            </w:pPr>
            <w:r>
              <w:rPr>
                <w:sz w:val="18"/>
              </w:rPr>
              <w:t>X</w:t>
            </w:r>
          </w:p>
        </w:tc>
        <w:tc>
          <w:tcPr>
            <w:tcW w:w="720" w:type="dxa"/>
            <w:tcBorders>
              <w:top w:val="single" w:sz="4" w:space="0" w:color="000000"/>
              <w:left w:val="single" w:sz="12" w:space="0" w:color="000000"/>
              <w:bottom w:val="single" w:sz="12" w:space="0" w:color="000000"/>
              <w:right w:val="single" w:sz="12" w:space="0" w:color="000000"/>
            </w:tcBorders>
            <w:vAlign w:val="center"/>
          </w:tcPr>
          <w:p w14:paraId="0DF10768" w14:textId="3644BF70" w:rsidR="00FC0D61" w:rsidRDefault="00FC0D61" w:rsidP="00DB6303">
            <w:pPr>
              <w:spacing w:after="0" w:line="259" w:lineRule="auto"/>
              <w:ind w:left="82" w:right="0" w:firstLine="0"/>
            </w:pPr>
            <w:r>
              <w:rPr>
                <w:sz w:val="18"/>
              </w:rPr>
              <w:t>8151A</w:t>
            </w:r>
          </w:p>
        </w:tc>
        <w:tc>
          <w:tcPr>
            <w:tcW w:w="990" w:type="dxa"/>
            <w:tcBorders>
              <w:top w:val="single" w:sz="4" w:space="0" w:color="000000"/>
              <w:left w:val="single" w:sz="12" w:space="0" w:color="000000"/>
              <w:bottom w:val="single" w:sz="12" w:space="0" w:color="000000"/>
              <w:right w:val="single" w:sz="12" w:space="0" w:color="000000"/>
            </w:tcBorders>
            <w:vAlign w:val="center"/>
          </w:tcPr>
          <w:p w14:paraId="72B5CC29" w14:textId="0671023C" w:rsidR="00FC0D61" w:rsidRDefault="00FC0D61" w:rsidP="00F942E8">
            <w:pPr>
              <w:spacing w:after="0" w:line="259" w:lineRule="auto"/>
              <w:ind w:left="86" w:right="0" w:firstLine="0"/>
              <w:jc w:val="center"/>
            </w:pPr>
            <w:r>
              <w:rPr>
                <w:sz w:val="18"/>
              </w:rPr>
              <w:t>8321B</w:t>
            </w:r>
          </w:p>
        </w:tc>
      </w:tr>
    </w:tbl>
    <w:p w14:paraId="591F1E82" w14:textId="67A7394C" w:rsidR="00B56D50" w:rsidRDefault="00B56D50" w:rsidP="00A6555D">
      <w:pPr>
        <w:spacing w:after="0" w:line="259" w:lineRule="auto"/>
        <w:ind w:left="0" w:right="0" w:firstLine="0"/>
        <w:jc w:val="both"/>
      </w:pPr>
    </w:p>
    <w:tbl>
      <w:tblPr>
        <w:tblStyle w:val="TableGrid1"/>
        <w:tblW w:w="10620" w:type="dxa"/>
        <w:tblInd w:w="-375" w:type="dxa"/>
        <w:tblCellMar>
          <w:top w:w="8" w:type="dxa"/>
          <w:left w:w="72" w:type="dxa"/>
          <w:right w:w="27" w:type="dxa"/>
        </w:tblCellMar>
        <w:tblLook w:val="04A0" w:firstRow="1" w:lastRow="0" w:firstColumn="1" w:lastColumn="0" w:noHBand="0" w:noVBand="1"/>
      </w:tblPr>
      <w:tblGrid>
        <w:gridCol w:w="2952"/>
        <w:gridCol w:w="1155"/>
        <w:gridCol w:w="643"/>
        <w:gridCol w:w="726"/>
        <w:gridCol w:w="773"/>
        <w:gridCol w:w="951"/>
        <w:gridCol w:w="630"/>
        <w:gridCol w:w="540"/>
        <w:gridCol w:w="540"/>
        <w:gridCol w:w="810"/>
        <w:gridCol w:w="900"/>
      </w:tblGrid>
      <w:tr w:rsidR="00B56D50" w14:paraId="1AD500C0" w14:textId="77777777" w:rsidTr="005B6604">
        <w:trPr>
          <w:trHeight w:val="269"/>
          <w:tblHeader/>
        </w:trPr>
        <w:tc>
          <w:tcPr>
            <w:tcW w:w="10620" w:type="dxa"/>
            <w:gridSpan w:val="11"/>
            <w:tcBorders>
              <w:top w:val="single" w:sz="12" w:space="0" w:color="000000"/>
              <w:left w:val="single" w:sz="12" w:space="0" w:color="000000"/>
              <w:bottom w:val="single" w:sz="12" w:space="0" w:color="000000"/>
              <w:right w:val="single" w:sz="12" w:space="0" w:color="000000"/>
            </w:tcBorders>
            <w:vAlign w:val="center"/>
          </w:tcPr>
          <w:p w14:paraId="19E2549E" w14:textId="6BDB0914" w:rsidR="00B56D50" w:rsidRPr="00676444" w:rsidRDefault="001C3C42" w:rsidP="00E72B39">
            <w:pPr>
              <w:spacing w:after="0" w:line="259" w:lineRule="auto"/>
              <w:ind w:left="36" w:right="0" w:firstLine="0"/>
              <w:rPr>
                <w:b/>
              </w:rPr>
            </w:pPr>
            <w:r w:rsidRPr="00211B75">
              <w:rPr>
                <w:b/>
                <w:sz w:val="18"/>
              </w:rPr>
              <w:t>SW-846 SAS Group H</w:t>
            </w:r>
            <w:proofErr w:type="gramStart"/>
            <w:r w:rsidRPr="00211B75">
              <w:rPr>
                <w:b/>
                <w:sz w:val="18"/>
              </w:rPr>
              <w:t>:</w:t>
            </w:r>
            <w:r w:rsidRPr="00676444">
              <w:rPr>
                <w:b/>
                <w:sz w:val="18"/>
              </w:rPr>
              <w:t xml:space="preserve"> </w:t>
            </w:r>
            <w:r w:rsidRPr="00211B75">
              <w:rPr>
                <w:b/>
                <w:sz w:val="18"/>
              </w:rPr>
              <w:t xml:space="preserve"> </w:t>
            </w:r>
            <w:r w:rsidRPr="00676444">
              <w:rPr>
                <w:b/>
                <w:sz w:val="18"/>
              </w:rPr>
              <w:t>Supplemental</w:t>
            </w:r>
            <w:proofErr w:type="gramEnd"/>
            <w:r w:rsidRPr="00676444">
              <w:rPr>
                <w:b/>
                <w:sz w:val="18"/>
              </w:rPr>
              <w:t xml:space="preserve"> </w:t>
            </w:r>
            <w:r w:rsidRPr="00211B75">
              <w:rPr>
                <w:b/>
                <w:sz w:val="18"/>
              </w:rPr>
              <w:t>SEMI</w:t>
            </w:r>
            <w:r w:rsidR="005E04AB" w:rsidRPr="00211B75">
              <w:rPr>
                <w:b/>
                <w:sz w:val="18"/>
              </w:rPr>
              <w:t>-</w:t>
            </w:r>
            <w:r w:rsidRPr="00211B75">
              <w:rPr>
                <w:b/>
                <w:sz w:val="18"/>
              </w:rPr>
              <w:t>VOLATILES</w:t>
            </w:r>
            <w:r w:rsidRPr="00676444">
              <w:rPr>
                <w:b/>
                <w:sz w:val="18"/>
              </w:rPr>
              <w:t xml:space="preserve"> List </w:t>
            </w:r>
            <w:r w:rsidR="00E57F4D" w:rsidRPr="00676444">
              <w:rPr>
                <w:b/>
                <w:sz w:val="18"/>
              </w:rPr>
              <w:t>for</w:t>
            </w:r>
            <w:r w:rsidRPr="00676444">
              <w:rPr>
                <w:b/>
                <w:sz w:val="18"/>
              </w:rPr>
              <w:t xml:space="preserve"> Attachment VIII, Attachment IX, and Table 2 </w:t>
            </w:r>
          </w:p>
        </w:tc>
      </w:tr>
      <w:tr w:rsidR="00273539" w14:paraId="2CBC82C0" w14:textId="77777777" w:rsidTr="005B6604">
        <w:trPr>
          <w:trHeight w:val="271"/>
          <w:tblHeader/>
        </w:trPr>
        <w:tc>
          <w:tcPr>
            <w:tcW w:w="2952" w:type="dxa"/>
            <w:vMerge w:val="restart"/>
            <w:tcBorders>
              <w:top w:val="single" w:sz="12" w:space="0" w:color="000000"/>
              <w:left w:val="single" w:sz="12" w:space="0" w:color="000000"/>
              <w:bottom w:val="single" w:sz="12" w:space="0" w:color="000000"/>
              <w:right w:val="single" w:sz="12" w:space="0" w:color="000000"/>
            </w:tcBorders>
            <w:vAlign w:val="center"/>
          </w:tcPr>
          <w:p w14:paraId="788A86EF" w14:textId="42A91892" w:rsidR="00B56D50" w:rsidRDefault="001C3C42" w:rsidP="00E72B39">
            <w:pPr>
              <w:spacing w:after="0" w:line="259" w:lineRule="auto"/>
              <w:ind w:left="36" w:right="0" w:firstLine="0"/>
              <w:jc w:val="center"/>
            </w:pPr>
            <w:r>
              <w:rPr>
                <w:b/>
                <w:sz w:val="18"/>
              </w:rPr>
              <w:t>Analyte</w:t>
            </w:r>
          </w:p>
        </w:tc>
        <w:tc>
          <w:tcPr>
            <w:tcW w:w="1155" w:type="dxa"/>
            <w:vMerge w:val="restart"/>
            <w:tcBorders>
              <w:top w:val="single" w:sz="12" w:space="0" w:color="000000"/>
              <w:left w:val="single" w:sz="12" w:space="0" w:color="000000"/>
              <w:bottom w:val="single" w:sz="12" w:space="0" w:color="000000"/>
              <w:right w:val="single" w:sz="12" w:space="0" w:color="000000"/>
            </w:tcBorders>
            <w:vAlign w:val="center"/>
          </w:tcPr>
          <w:p w14:paraId="75678013" w14:textId="6C205E32" w:rsidR="00B56D50" w:rsidRDefault="001C3C42" w:rsidP="00DB6303">
            <w:pPr>
              <w:spacing w:after="0" w:line="259" w:lineRule="auto"/>
              <w:ind w:left="0" w:right="0" w:firstLine="0"/>
            </w:pPr>
            <w:r>
              <w:rPr>
                <w:b/>
                <w:sz w:val="18"/>
              </w:rPr>
              <w:t>CAS Number</w:t>
            </w:r>
          </w:p>
        </w:tc>
        <w:tc>
          <w:tcPr>
            <w:tcW w:w="1369" w:type="dxa"/>
            <w:gridSpan w:val="2"/>
            <w:tcBorders>
              <w:top w:val="single" w:sz="12" w:space="0" w:color="000000"/>
              <w:left w:val="single" w:sz="12" w:space="0" w:color="000000"/>
              <w:bottom w:val="single" w:sz="12" w:space="0" w:color="000000"/>
              <w:right w:val="single" w:sz="12" w:space="0" w:color="000000"/>
            </w:tcBorders>
            <w:vAlign w:val="center"/>
          </w:tcPr>
          <w:p w14:paraId="1EA93F7B" w14:textId="30CA971B" w:rsidR="00B56D50" w:rsidRDefault="001C3C42" w:rsidP="00E72B39">
            <w:pPr>
              <w:spacing w:after="0" w:line="259" w:lineRule="auto"/>
              <w:ind w:left="36" w:right="0" w:firstLine="0"/>
              <w:jc w:val="center"/>
            </w:pPr>
            <w:r>
              <w:rPr>
                <w:b/>
                <w:sz w:val="18"/>
              </w:rPr>
              <w:t>Aqueous</w:t>
            </w:r>
          </w:p>
        </w:tc>
        <w:tc>
          <w:tcPr>
            <w:tcW w:w="1724" w:type="dxa"/>
            <w:gridSpan w:val="2"/>
            <w:tcBorders>
              <w:top w:val="single" w:sz="12" w:space="0" w:color="000000"/>
              <w:left w:val="single" w:sz="12" w:space="0" w:color="000000"/>
              <w:bottom w:val="single" w:sz="12" w:space="0" w:color="000000"/>
              <w:right w:val="single" w:sz="12" w:space="0" w:color="000000"/>
            </w:tcBorders>
            <w:vAlign w:val="center"/>
          </w:tcPr>
          <w:p w14:paraId="5DF51EC9" w14:textId="6713B2DC" w:rsidR="00B56D50" w:rsidRDefault="001C3C42" w:rsidP="00E72B39">
            <w:pPr>
              <w:spacing w:after="0" w:line="259" w:lineRule="auto"/>
              <w:ind w:left="34" w:right="0" w:firstLine="0"/>
              <w:jc w:val="center"/>
            </w:pPr>
            <w:r>
              <w:rPr>
                <w:b/>
                <w:sz w:val="18"/>
              </w:rPr>
              <w:t>Soil/Sediment</w:t>
            </w:r>
          </w:p>
        </w:tc>
        <w:tc>
          <w:tcPr>
            <w:tcW w:w="1710" w:type="dxa"/>
            <w:gridSpan w:val="3"/>
            <w:tcBorders>
              <w:top w:val="single" w:sz="12" w:space="0" w:color="000000"/>
              <w:left w:val="single" w:sz="12" w:space="0" w:color="000000"/>
              <w:bottom w:val="single" w:sz="12" w:space="0" w:color="000000"/>
              <w:right w:val="single" w:sz="12" w:space="0" w:color="000000"/>
            </w:tcBorders>
            <w:vAlign w:val="center"/>
          </w:tcPr>
          <w:p w14:paraId="1FAADB57" w14:textId="79C189C5" w:rsidR="00B56D50" w:rsidRDefault="001C3C42" w:rsidP="00E72B39">
            <w:pPr>
              <w:spacing w:after="0" w:line="259" w:lineRule="auto"/>
              <w:ind w:left="36" w:right="0" w:firstLine="0"/>
              <w:jc w:val="center"/>
            </w:pPr>
            <w:r>
              <w:rPr>
                <w:b/>
                <w:sz w:val="18"/>
              </w:rPr>
              <w:t>Attachment/Table</w:t>
            </w:r>
          </w:p>
        </w:tc>
        <w:tc>
          <w:tcPr>
            <w:tcW w:w="1710" w:type="dxa"/>
            <w:gridSpan w:val="2"/>
            <w:vMerge w:val="restart"/>
            <w:tcBorders>
              <w:top w:val="single" w:sz="12" w:space="0" w:color="000000"/>
              <w:left w:val="single" w:sz="12" w:space="0" w:color="000000"/>
              <w:bottom w:val="single" w:sz="12" w:space="0" w:color="000000"/>
              <w:right w:val="single" w:sz="12" w:space="0" w:color="000000"/>
            </w:tcBorders>
            <w:vAlign w:val="center"/>
          </w:tcPr>
          <w:p w14:paraId="78AD55AB" w14:textId="10CF4155" w:rsidR="00B56D50" w:rsidRDefault="001C3C42" w:rsidP="00E72B39">
            <w:pPr>
              <w:spacing w:after="0" w:line="259" w:lineRule="auto"/>
              <w:ind w:left="0" w:right="0" w:firstLine="0"/>
              <w:jc w:val="center"/>
            </w:pPr>
            <w:r>
              <w:rPr>
                <w:b/>
                <w:sz w:val="18"/>
              </w:rPr>
              <w:t>Suggested Methods</w:t>
            </w:r>
          </w:p>
        </w:tc>
      </w:tr>
      <w:tr w:rsidR="005B6604" w14:paraId="27DBA550" w14:textId="77777777" w:rsidTr="005B6604">
        <w:trPr>
          <w:trHeight w:val="269"/>
          <w:tblHeader/>
        </w:trPr>
        <w:tc>
          <w:tcPr>
            <w:tcW w:w="2952" w:type="dxa"/>
            <w:vMerge/>
            <w:tcBorders>
              <w:top w:val="nil"/>
              <w:left w:val="single" w:sz="12" w:space="0" w:color="000000"/>
              <w:bottom w:val="single" w:sz="12" w:space="0" w:color="000000"/>
              <w:right w:val="single" w:sz="12" w:space="0" w:color="000000"/>
            </w:tcBorders>
            <w:vAlign w:val="center"/>
          </w:tcPr>
          <w:p w14:paraId="56F0BC84" w14:textId="77777777" w:rsidR="00B56D50" w:rsidRDefault="00B56D50" w:rsidP="003E7140">
            <w:pPr>
              <w:spacing w:after="160" w:line="259" w:lineRule="auto"/>
              <w:ind w:left="0" w:right="0" w:firstLine="0"/>
              <w:jc w:val="center"/>
            </w:pPr>
          </w:p>
        </w:tc>
        <w:tc>
          <w:tcPr>
            <w:tcW w:w="1155" w:type="dxa"/>
            <w:vMerge/>
            <w:tcBorders>
              <w:top w:val="nil"/>
              <w:left w:val="single" w:sz="12" w:space="0" w:color="000000"/>
              <w:bottom w:val="single" w:sz="12" w:space="0" w:color="000000"/>
              <w:right w:val="single" w:sz="12" w:space="0" w:color="000000"/>
            </w:tcBorders>
            <w:vAlign w:val="center"/>
          </w:tcPr>
          <w:p w14:paraId="6C7CF9B4" w14:textId="77777777" w:rsidR="00B56D50" w:rsidRDefault="00B56D50" w:rsidP="003E7140">
            <w:pPr>
              <w:spacing w:after="160" w:line="259" w:lineRule="auto"/>
              <w:ind w:left="0" w:right="0" w:firstLine="0"/>
              <w:jc w:val="center"/>
            </w:pPr>
          </w:p>
        </w:tc>
        <w:tc>
          <w:tcPr>
            <w:tcW w:w="643" w:type="dxa"/>
            <w:tcBorders>
              <w:top w:val="single" w:sz="12" w:space="0" w:color="000000"/>
              <w:left w:val="single" w:sz="12" w:space="0" w:color="000000"/>
              <w:bottom w:val="single" w:sz="12" w:space="0" w:color="000000"/>
              <w:right w:val="single" w:sz="12" w:space="0" w:color="000000"/>
            </w:tcBorders>
            <w:vAlign w:val="center"/>
          </w:tcPr>
          <w:p w14:paraId="118461DC" w14:textId="7A0A099B" w:rsidR="00B56D50" w:rsidRDefault="001C3C42" w:rsidP="003E7140">
            <w:pPr>
              <w:spacing w:after="0" w:line="259" w:lineRule="auto"/>
              <w:ind w:left="118" w:right="0" w:firstLine="0"/>
              <w:jc w:val="center"/>
            </w:pPr>
            <w:r>
              <w:rPr>
                <w:b/>
                <w:sz w:val="18"/>
              </w:rPr>
              <w:t>RL</w:t>
            </w:r>
          </w:p>
        </w:tc>
        <w:tc>
          <w:tcPr>
            <w:tcW w:w="726" w:type="dxa"/>
            <w:tcBorders>
              <w:top w:val="single" w:sz="12" w:space="0" w:color="000000"/>
              <w:left w:val="single" w:sz="12" w:space="0" w:color="000000"/>
              <w:bottom w:val="single" w:sz="12" w:space="0" w:color="000000"/>
              <w:right w:val="single" w:sz="12" w:space="0" w:color="000000"/>
            </w:tcBorders>
            <w:vAlign w:val="center"/>
          </w:tcPr>
          <w:p w14:paraId="1EAAE4F4" w14:textId="6E1F7432" w:rsidR="00B56D50" w:rsidRDefault="001C3C42" w:rsidP="00E72B39">
            <w:pPr>
              <w:spacing w:after="0" w:line="259" w:lineRule="auto"/>
              <w:ind w:left="0" w:right="52" w:firstLine="0"/>
              <w:jc w:val="center"/>
            </w:pPr>
            <w:r>
              <w:rPr>
                <w:b/>
                <w:sz w:val="18"/>
              </w:rPr>
              <w:t>units</w:t>
            </w:r>
          </w:p>
        </w:tc>
        <w:tc>
          <w:tcPr>
            <w:tcW w:w="773" w:type="dxa"/>
            <w:tcBorders>
              <w:top w:val="single" w:sz="12" w:space="0" w:color="000000"/>
              <w:left w:val="single" w:sz="12" w:space="0" w:color="000000"/>
              <w:bottom w:val="single" w:sz="12" w:space="0" w:color="000000"/>
              <w:right w:val="single" w:sz="12" w:space="0" w:color="000000"/>
            </w:tcBorders>
            <w:vAlign w:val="center"/>
          </w:tcPr>
          <w:p w14:paraId="1D1E28AE" w14:textId="47B989CA" w:rsidR="00B56D50" w:rsidRDefault="001C3C42" w:rsidP="00E72B39">
            <w:pPr>
              <w:spacing w:after="0" w:line="259" w:lineRule="auto"/>
              <w:ind w:left="0" w:right="52" w:firstLine="0"/>
              <w:jc w:val="center"/>
            </w:pPr>
            <w:r>
              <w:rPr>
                <w:b/>
                <w:sz w:val="18"/>
              </w:rPr>
              <w:t>RL</w:t>
            </w:r>
          </w:p>
        </w:tc>
        <w:tc>
          <w:tcPr>
            <w:tcW w:w="951" w:type="dxa"/>
            <w:tcBorders>
              <w:top w:val="single" w:sz="12" w:space="0" w:color="000000"/>
              <w:left w:val="single" w:sz="12" w:space="0" w:color="000000"/>
              <w:bottom w:val="single" w:sz="12" w:space="0" w:color="000000"/>
              <w:right w:val="single" w:sz="12" w:space="0" w:color="000000"/>
            </w:tcBorders>
            <w:vAlign w:val="center"/>
          </w:tcPr>
          <w:p w14:paraId="290B4BFE" w14:textId="33E7EC51" w:rsidR="00B56D50" w:rsidRDefault="001C3C42" w:rsidP="00E72B39">
            <w:pPr>
              <w:spacing w:after="0" w:line="259" w:lineRule="auto"/>
              <w:ind w:left="0" w:right="50" w:firstLine="0"/>
              <w:jc w:val="center"/>
            </w:pPr>
            <w:r>
              <w:rPr>
                <w:b/>
                <w:sz w:val="18"/>
              </w:rPr>
              <w:t>units</w:t>
            </w:r>
          </w:p>
        </w:tc>
        <w:tc>
          <w:tcPr>
            <w:tcW w:w="630" w:type="dxa"/>
            <w:tcBorders>
              <w:top w:val="single" w:sz="12" w:space="0" w:color="000000"/>
              <w:left w:val="single" w:sz="12" w:space="0" w:color="000000"/>
              <w:bottom w:val="single" w:sz="12" w:space="0" w:color="000000"/>
              <w:right w:val="single" w:sz="12" w:space="0" w:color="000000"/>
            </w:tcBorders>
            <w:vAlign w:val="center"/>
          </w:tcPr>
          <w:p w14:paraId="316F0C44" w14:textId="6361A269" w:rsidR="00B56D50" w:rsidRDefault="001C3C42" w:rsidP="007C35E0">
            <w:pPr>
              <w:spacing w:after="0" w:line="259" w:lineRule="auto"/>
              <w:ind w:left="72" w:right="0" w:firstLine="0"/>
            </w:pPr>
            <w:r>
              <w:rPr>
                <w:b/>
                <w:sz w:val="18"/>
              </w:rPr>
              <w:t>VIII</w:t>
            </w:r>
          </w:p>
        </w:tc>
        <w:tc>
          <w:tcPr>
            <w:tcW w:w="540" w:type="dxa"/>
            <w:tcBorders>
              <w:top w:val="single" w:sz="12" w:space="0" w:color="000000"/>
              <w:left w:val="single" w:sz="12" w:space="0" w:color="000000"/>
              <w:bottom w:val="single" w:sz="12" w:space="0" w:color="000000"/>
              <w:right w:val="single" w:sz="12" w:space="0" w:color="000000"/>
            </w:tcBorders>
            <w:vAlign w:val="center"/>
          </w:tcPr>
          <w:p w14:paraId="0C366100" w14:textId="33A07ED2" w:rsidR="00B56D50" w:rsidRDefault="001C3C42" w:rsidP="007C35E0">
            <w:pPr>
              <w:spacing w:after="0" w:line="259" w:lineRule="auto"/>
              <w:ind w:left="60" w:right="0" w:firstLine="0"/>
            </w:pPr>
            <w:r>
              <w:rPr>
                <w:b/>
                <w:sz w:val="18"/>
              </w:rPr>
              <w:t>IX</w:t>
            </w:r>
          </w:p>
        </w:tc>
        <w:tc>
          <w:tcPr>
            <w:tcW w:w="540" w:type="dxa"/>
            <w:tcBorders>
              <w:top w:val="single" w:sz="12" w:space="0" w:color="000000"/>
              <w:left w:val="single" w:sz="12" w:space="0" w:color="000000"/>
              <w:bottom w:val="single" w:sz="12" w:space="0" w:color="000000"/>
              <w:right w:val="single" w:sz="12" w:space="0" w:color="000000"/>
            </w:tcBorders>
            <w:vAlign w:val="center"/>
          </w:tcPr>
          <w:p w14:paraId="1D33FDBE" w14:textId="2F2E0E9D" w:rsidR="00B56D50" w:rsidRDefault="001C3C42" w:rsidP="00E72B39">
            <w:pPr>
              <w:spacing w:after="0" w:line="259" w:lineRule="auto"/>
              <w:ind w:left="0" w:right="49" w:firstLine="0"/>
              <w:jc w:val="center"/>
            </w:pPr>
            <w:r>
              <w:rPr>
                <w:b/>
                <w:sz w:val="18"/>
              </w:rPr>
              <w:t>2</w:t>
            </w:r>
          </w:p>
        </w:tc>
        <w:tc>
          <w:tcPr>
            <w:tcW w:w="1710" w:type="dxa"/>
            <w:gridSpan w:val="2"/>
            <w:vMerge/>
            <w:tcBorders>
              <w:top w:val="nil"/>
              <w:left w:val="single" w:sz="12" w:space="0" w:color="000000"/>
              <w:bottom w:val="single" w:sz="12" w:space="0" w:color="000000"/>
              <w:right w:val="single" w:sz="12" w:space="0" w:color="000000"/>
            </w:tcBorders>
            <w:vAlign w:val="center"/>
          </w:tcPr>
          <w:p w14:paraId="6E9A1319" w14:textId="77777777" w:rsidR="00B56D50" w:rsidRDefault="00B56D50" w:rsidP="003E7140">
            <w:pPr>
              <w:spacing w:after="160" w:line="259" w:lineRule="auto"/>
              <w:ind w:left="0" w:right="0" w:firstLine="0"/>
              <w:jc w:val="center"/>
            </w:pPr>
          </w:p>
        </w:tc>
      </w:tr>
      <w:tr w:rsidR="00E8392B" w14:paraId="3897EFA3" w14:textId="77777777" w:rsidTr="005B6604">
        <w:trPr>
          <w:trHeight w:val="262"/>
        </w:trPr>
        <w:tc>
          <w:tcPr>
            <w:tcW w:w="2952" w:type="dxa"/>
            <w:tcBorders>
              <w:top w:val="single" w:sz="12" w:space="0" w:color="000000"/>
              <w:left w:val="single" w:sz="12" w:space="0" w:color="000000"/>
              <w:bottom w:val="single" w:sz="4" w:space="0" w:color="000000"/>
              <w:right w:val="single" w:sz="12" w:space="0" w:color="000000"/>
            </w:tcBorders>
          </w:tcPr>
          <w:p w14:paraId="3061B206" w14:textId="77777777" w:rsidR="00FC0D61" w:rsidRDefault="00FC0D61" w:rsidP="00FC0D61">
            <w:pPr>
              <w:spacing w:after="0" w:line="259" w:lineRule="auto"/>
              <w:ind w:left="0" w:right="0" w:firstLine="0"/>
            </w:pPr>
            <w:r>
              <w:rPr>
                <w:sz w:val="18"/>
              </w:rPr>
              <w:t xml:space="preserve">Acetophenone </w:t>
            </w:r>
          </w:p>
        </w:tc>
        <w:tc>
          <w:tcPr>
            <w:tcW w:w="1155" w:type="dxa"/>
            <w:tcBorders>
              <w:top w:val="single" w:sz="12" w:space="0" w:color="000000"/>
              <w:left w:val="single" w:sz="12" w:space="0" w:color="000000"/>
              <w:bottom w:val="single" w:sz="4" w:space="0" w:color="000000"/>
              <w:right w:val="single" w:sz="12" w:space="0" w:color="000000"/>
            </w:tcBorders>
            <w:vAlign w:val="center"/>
          </w:tcPr>
          <w:p w14:paraId="2EF7605B" w14:textId="41151996" w:rsidR="00FC0D61" w:rsidRDefault="00FC0D61" w:rsidP="00E61546">
            <w:pPr>
              <w:spacing w:after="0" w:line="259" w:lineRule="auto"/>
              <w:ind w:left="0" w:right="44" w:firstLine="0"/>
              <w:jc w:val="center"/>
            </w:pPr>
            <w:r>
              <w:rPr>
                <w:sz w:val="18"/>
              </w:rPr>
              <w:t>98-86-2</w:t>
            </w:r>
          </w:p>
        </w:tc>
        <w:tc>
          <w:tcPr>
            <w:tcW w:w="643" w:type="dxa"/>
            <w:tcBorders>
              <w:top w:val="single" w:sz="12" w:space="0" w:color="000000"/>
              <w:left w:val="single" w:sz="12" w:space="0" w:color="000000"/>
              <w:bottom w:val="single" w:sz="4" w:space="0" w:color="000000"/>
              <w:right w:val="single" w:sz="12" w:space="0" w:color="000000"/>
            </w:tcBorders>
            <w:vAlign w:val="center"/>
          </w:tcPr>
          <w:p w14:paraId="6338442B" w14:textId="0784098A" w:rsidR="00FC0D61" w:rsidRDefault="00FC0D61" w:rsidP="00796C4B">
            <w:pPr>
              <w:spacing w:after="0" w:line="259" w:lineRule="auto"/>
              <w:ind w:left="0" w:right="0" w:firstLine="0"/>
              <w:jc w:val="center"/>
            </w:pPr>
            <w:r>
              <w:rPr>
                <w:sz w:val="18"/>
              </w:rPr>
              <w:t>10</w:t>
            </w:r>
          </w:p>
        </w:tc>
        <w:tc>
          <w:tcPr>
            <w:tcW w:w="726" w:type="dxa"/>
            <w:tcBorders>
              <w:top w:val="single" w:sz="12" w:space="0" w:color="000000"/>
              <w:left w:val="single" w:sz="12" w:space="0" w:color="000000"/>
              <w:bottom w:val="single" w:sz="4" w:space="0" w:color="000000"/>
              <w:right w:val="single" w:sz="12" w:space="0" w:color="000000"/>
            </w:tcBorders>
            <w:vAlign w:val="center"/>
          </w:tcPr>
          <w:p w14:paraId="009C1FE9" w14:textId="6F6EB032" w:rsidR="00FC0D61" w:rsidRDefault="00FC0D61" w:rsidP="00796C4B">
            <w:pPr>
              <w:spacing w:after="0" w:line="259" w:lineRule="auto"/>
              <w:ind w:left="0" w:right="49" w:firstLine="0"/>
              <w:jc w:val="center"/>
            </w:pPr>
            <w:r>
              <w:rPr>
                <w:sz w:val="18"/>
              </w:rPr>
              <w:t>ug/L</w:t>
            </w:r>
          </w:p>
        </w:tc>
        <w:tc>
          <w:tcPr>
            <w:tcW w:w="773" w:type="dxa"/>
            <w:tcBorders>
              <w:top w:val="single" w:sz="12" w:space="0" w:color="000000"/>
              <w:left w:val="single" w:sz="12" w:space="0" w:color="000000"/>
              <w:bottom w:val="single" w:sz="4" w:space="0" w:color="000000"/>
              <w:right w:val="single" w:sz="12" w:space="0" w:color="000000"/>
            </w:tcBorders>
            <w:vAlign w:val="center"/>
          </w:tcPr>
          <w:p w14:paraId="0080CB8C" w14:textId="024F7B84" w:rsidR="00FC0D61" w:rsidRDefault="00FC0D61" w:rsidP="00796C4B">
            <w:pPr>
              <w:spacing w:after="0" w:line="259" w:lineRule="auto"/>
              <w:ind w:left="0" w:right="41" w:firstLine="0"/>
              <w:jc w:val="center"/>
            </w:pPr>
            <w:r>
              <w:rPr>
                <w:sz w:val="18"/>
              </w:rPr>
              <w:t>660</w:t>
            </w:r>
          </w:p>
        </w:tc>
        <w:tc>
          <w:tcPr>
            <w:tcW w:w="951" w:type="dxa"/>
            <w:tcBorders>
              <w:top w:val="single" w:sz="12" w:space="0" w:color="000000"/>
              <w:left w:val="single" w:sz="12" w:space="0" w:color="000000"/>
              <w:bottom w:val="single" w:sz="4" w:space="0" w:color="000000"/>
              <w:right w:val="single" w:sz="12" w:space="0" w:color="000000"/>
            </w:tcBorders>
            <w:vAlign w:val="center"/>
          </w:tcPr>
          <w:p w14:paraId="680D592E" w14:textId="3E423658" w:rsidR="00FC0D61" w:rsidRDefault="00FC0D61" w:rsidP="00796C4B">
            <w:pPr>
              <w:spacing w:after="0" w:line="259" w:lineRule="auto"/>
              <w:ind w:left="0" w:right="46" w:firstLine="0"/>
              <w:jc w:val="center"/>
            </w:pPr>
            <w:r>
              <w:rPr>
                <w:rFonts w:eastAsia="Segoe UI Symbol"/>
                <w:sz w:val="18"/>
              </w:rPr>
              <w:t>u</w:t>
            </w:r>
            <w:r>
              <w:rPr>
                <w:sz w:val="18"/>
              </w:rPr>
              <w:t>g/kg</w:t>
            </w:r>
          </w:p>
        </w:tc>
        <w:tc>
          <w:tcPr>
            <w:tcW w:w="630" w:type="dxa"/>
            <w:tcBorders>
              <w:top w:val="single" w:sz="12" w:space="0" w:color="000000"/>
              <w:left w:val="single" w:sz="12" w:space="0" w:color="000000"/>
              <w:bottom w:val="single" w:sz="4" w:space="0" w:color="000000"/>
              <w:right w:val="single" w:sz="12" w:space="0" w:color="000000"/>
            </w:tcBorders>
            <w:vAlign w:val="center"/>
          </w:tcPr>
          <w:p w14:paraId="63231C33" w14:textId="0D2B9B13" w:rsidR="00FC0D61" w:rsidRDefault="00FC0D61" w:rsidP="00DB6303">
            <w:pPr>
              <w:spacing w:after="0" w:line="259" w:lineRule="auto"/>
              <w:ind w:left="0" w:right="47" w:firstLine="0"/>
              <w:jc w:val="center"/>
            </w:pPr>
            <w:r>
              <w:rPr>
                <w:sz w:val="18"/>
              </w:rPr>
              <w:t>X</w:t>
            </w:r>
          </w:p>
        </w:tc>
        <w:tc>
          <w:tcPr>
            <w:tcW w:w="540" w:type="dxa"/>
            <w:tcBorders>
              <w:top w:val="single" w:sz="12" w:space="0" w:color="000000"/>
              <w:left w:val="single" w:sz="12" w:space="0" w:color="000000"/>
              <w:bottom w:val="single" w:sz="4" w:space="0" w:color="000000"/>
              <w:right w:val="single" w:sz="12" w:space="0" w:color="000000"/>
            </w:tcBorders>
            <w:vAlign w:val="center"/>
          </w:tcPr>
          <w:p w14:paraId="54FDC3FE" w14:textId="5CE8EEDC" w:rsidR="00FC0D61" w:rsidRDefault="00FC0D61" w:rsidP="00154D5F">
            <w:pPr>
              <w:spacing w:after="0" w:line="259" w:lineRule="auto"/>
              <w:ind w:left="96" w:right="0" w:firstLine="0"/>
            </w:pPr>
            <w:r>
              <w:rPr>
                <w:sz w:val="18"/>
              </w:rPr>
              <w:t>X</w:t>
            </w:r>
          </w:p>
        </w:tc>
        <w:tc>
          <w:tcPr>
            <w:tcW w:w="540" w:type="dxa"/>
            <w:tcBorders>
              <w:top w:val="single" w:sz="12" w:space="0" w:color="000000"/>
              <w:left w:val="single" w:sz="12" w:space="0" w:color="000000"/>
              <w:bottom w:val="single" w:sz="4" w:space="0" w:color="000000"/>
              <w:right w:val="single" w:sz="12" w:space="0" w:color="000000"/>
            </w:tcBorders>
            <w:vAlign w:val="center"/>
          </w:tcPr>
          <w:p w14:paraId="2654BD98" w14:textId="6F204848" w:rsidR="00FC0D61" w:rsidRDefault="00FC0D61" w:rsidP="00DB6303">
            <w:pPr>
              <w:spacing w:after="0" w:line="259" w:lineRule="auto"/>
              <w:ind w:left="0" w:right="47" w:firstLine="0"/>
              <w:jc w:val="center"/>
            </w:pPr>
            <w:r>
              <w:rPr>
                <w:sz w:val="18"/>
              </w:rPr>
              <w:t>X</w:t>
            </w:r>
          </w:p>
        </w:tc>
        <w:tc>
          <w:tcPr>
            <w:tcW w:w="810" w:type="dxa"/>
            <w:tcBorders>
              <w:top w:val="single" w:sz="12" w:space="0" w:color="000000"/>
              <w:left w:val="single" w:sz="12" w:space="0" w:color="000000"/>
              <w:bottom w:val="single" w:sz="4" w:space="0" w:color="000000"/>
              <w:right w:val="single" w:sz="12" w:space="0" w:color="000000"/>
            </w:tcBorders>
            <w:vAlign w:val="center"/>
          </w:tcPr>
          <w:p w14:paraId="1BFA2D4A" w14:textId="4481F49B" w:rsidR="00FC0D61" w:rsidRDefault="00FC0D61" w:rsidP="00796C4B">
            <w:pPr>
              <w:spacing w:after="0" w:line="259" w:lineRule="auto"/>
              <w:ind w:left="0" w:right="0" w:firstLine="0"/>
              <w:jc w:val="center"/>
            </w:pPr>
            <w:r>
              <w:rPr>
                <w:sz w:val="18"/>
              </w:rPr>
              <w:t>8270</w:t>
            </w:r>
          </w:p>
        </w:tc>
        <w:tc>
          <w:tcPr>
            <w:tcW w:w="900" w:type="dxa"/>
            <w:tcBorders>
              <w:top w:val="single" w:sz="12" w:space="0" w:color="000000"/>
              <w:left w:val="single" w:sz="12" w:space="0" w:color="000000"/>
              <w:bottom w:val="single" w:sz="4" w:space="0" w:color="000000"/>
              <w:right w:val="single" w:sz="12" w:space="0" w:color="000000"/>
            </w:tcBorders>
            <w:vAlign w:val="center"/>
          </w:tcPr>
          <w:p w14:paraId="67A824C8" w14:textId="4891C14A" w:rsidR="00FC0D61" w:rsidRDefault="00FC0D61" w:rsidP="00796C4B">
            <w:pPr>
              <w:spacing w:after="0" w:line="259" w:lineRule="auto"/>
              <w:ind w:left="0" w:right="0" w:firstLine="0"/>
              <w:jc w:val="center"/>
            </w:pPr>
          </w:p>
        </w:tc>
      </w:tr>
      <w:tr w:rsidR="00E8392B" w14:paraId="1B193968" w14:textId="77777777" w:rsidTr="005B6604">
        <w:trPr>
          <w:trHeight w:val="250"/>
        </w:trPr>
        <w:tc>
          <w:tcPr>
            <w:tcW w:w="2952" w:type="dxa"/>
            <w:tcBorders>
              <w:top w:val="single" w:sz="4" w:space="0" w:color="000000"/>
              <w:left w:val="single" w:sz="12" w:space="0" w:color="000000"/>
              <w:bottom w:val="single" w:sz="4" w:space="0" w:color="000000"/>
              <w:right w:val="single" w:sz="12" w:space="0" w:color="000000"/>
            </w:tcBorders>
          </w:tcPr>
          <w:p w14:paraId="37D11808" w14:textId="77777777" w:rsidR="00FC0D61" w:rsidRDefault="00FC0D61" w:rsidP="00FC0D61">
            <w:pPr>
              <w:spacing w:after="0" w:line="259" w:lineRule="auto"/>
              <w:ind w:left="0" w:right="0" w:firstLine="0"/>
            </w:pPr>
            <w:r>
              <w:rPr>
                <w:sz w:val="18"/>
              </w:rPr>
              <w:t xml:space="preserve">2-Acetylaminofluorene (2-AAF) </w:t>
            </w:r>
          </w:p>
        </w:tc>
        <w:tc>
          <w:tcPr>
            <w:tcW w:w="1155" w:type="dxa"/>
            <w:tcBorders>
              <w:top w:val="single" w:sz="4" w:space="0" w:color="000000"/>
              <w:left w:val="single" w:sz="12" w:space="0" w:color="000000"/>
              <w:bottom w:val="single" w:sz="4" w:space="0" w:color="000000"/>
              <w:right w:val="single" w:sz="12" w:space="0" w:color="000000"/>
            </w:tcBorders>
            <w:vAlign w:val="center"/>
          </w:tcPr>
          <w:p w14:paraId="6B93C03F" w14:textId="1AB10BB4" w:rsidR="00FC0D61" w:rsidRDefault="00FC0D61" w:rsidP="00E61546">
            <w:pPr>
              <w:spacing w:after="0" w:line="259" w:lineRule="auto"/>
              <w:ind w:left="0" w:right="44" w:firstLine="0"/>
              <w:jc w:val="center"/>
            </w:pPr>
            <w:r>
              <w:rPr>
                <w:sz w:val="18"/>
              </w:rPr>
              <w:t>53-96-3</w:t>
            </w:r>
          </w:p>
        </w:tc>
        <w:tc>
          <w:tcPr>
            <w:tcW w:w="643" w:type="dxa"/>
            <w:tcBorders>
              <w:top w:val="single" w:sz="4" w:space="0" w:color="000000"/>
              <w:left w:val="single" w:sz="12" w:space="0" w:color="000000"/>
              <w:bottom w:val="single" w:sz="4" w:space="0" w:color="000000"/>
              <w:right w:val="single" w:sz="12" w:space="0" w:color="000000"/>
            </w:tcBorders>
            <w:vAlign w:val="center"/>
          </w:tcPr>
          <w:p w14:paraId="1E432CD2" w14:textId="3A93BD15" w:rsidR="00FC0D61" w:rsidRDefault="00FC0D61" w:rsidP="00796C4B">
            <w:pPr>
              <w:spacing w:after="0" w:line="259" w:lineRule="auto"/>
              <w:ind w:left="0" w:right="0" w:firstLine="0"/>
              <w:jc w:val="center"/>
            </w:pPr>
            <w:r>
              <w:rPr>
                <w:sz w:val="18"/>
              </w:rPr>
              <w:t>20</w:t>
            </w:r>
          </w:p>
        </w:tc>
        <w:tc>
          <w:tcPr>
            <w:tcW w:w="726" w:type="dxa"/>
            <w:tcBorders>
              <w:top w:val="single" w:sz="4" w:space="0" w:color="000000"/>
              <w:left w:val="single" w:sz="12" w:space="0" w:color="000000"/>
              <w:bottom w:val="single" w:sz="4" w:space="0" w:color="000000"/>
              <w:right w:val="single" w:sz="12" w:space="0" w:color="000000"/>
            </w:tcBorders>
            <w:vAlign w:val="center"/>
          </w:tcPr>
          <w:p w14:paraId="121B388D" w14:textId="50C992BD" w:rsidR="00FC0D61" w:rsidRDefault="00FC0D61" w:rsidP="00796C4B">
            <w:pPr>
              <w:spacing w:after="0" w:line="259" w:lineRule="auto"/>
              <w:ind w:left="0" w:right="49" w:firstLine="0"/>
              <w:jc w:val="center"/>
            </w:pPr>
            <w:r>
              <w:rPr>
                <w:sz w:val="18"/>
              </w:rPr>
              <w:t>ug/L</w:t>
            </w:r>
          </w:p>
        </w:tc>
        <w:tc>
          <w:tcPr>
            <w:tcW w:w="773" w:type="dxa"/>
            <w:tcBorders>
              <w:top w:val="single" w:sz="4" w:space="0" w:color="000000"/>
              <w:left w:val="single" w:sz="12" w:space="0" w:color="000000"/>
              <w:bottom w:val="single" w:sz="4" w:space="0" w:color="000000"/>
              <w:right w:val="single" w:sz="12" w:space="0" w:color="000000"/>
            </w:tcBorders>
            <w:vAlign w:val="center"/>
          </w:tcPr>
          <w:p w14:paraId="39553EE8" w14:textId="600F3AC5" w:rsidR="00FC0D61" w:rsidRDefault="00FC0D61" w:rsidP="00796C4B">
            <w:pPr>
              <w:spacing w:after="0" w:line="259" w:lineRule="auto"/>
              <w:ind w:left="0" w:right="42" w:firstLine="0"/>
              <w:jc w:val="center"/>
            </w:pPr>
            <w:r>
              <w:rPr>
                <w:sz w:val="18"/>
              </w:rPr>
              <w:t>1300</w:t>
            </w:r>
          </w:p>
        </w:tc>
        <w:tc>
          <w:tcPr>
            <w:tcW w:w="951" w:type="dxa"/>
            <w:tcBorders>
              <w:top w:val="single" w:sz="4" w:space="0" w:color="000000"/>
              <w:left w:val="single" w:sz="12" w:space="0" w:color="000000"/>
              <w:bottom w:val="single" w:sz="4" w:space="0" w:color="000000"/>
              <w:right w:val="single" w:sz="12" w:space="0" w:color="000000"/>
            </w:tcBorders>
            <w:vAlign w:val="center"/>
          </w:tcPr>
          <w:p w14:paraId="165B2147" w14:textId="434E76CD" w:rsidR="00FC0D61" w:rsidRDefault="00FC0D61" w:rsidP="00796C4B">
            <w:pPr>
              <w:spacing w:after="0" w:line="259" w:lineRule="auto"/>
              <w:ind w:left="0" w:right="46" w:firstLine="0"/>
              <w:jc w:val="center"/>
            </w:pPr>
            <w:r>
              <w:rPr>
                <w:rFonts w:eastAsia="Segoe UI Symbol"/>
                <w:sz w:val="18"/>
              </w:rPr>
              <w:t>u</w:t>
            </w:r>
            <w:r>
              <w:rPr>
                <w:sz w:val="18"/>
              </w:rPr>
              <w:t>g/kg</w:t>
            </w:r>
          </w:p>
        </w:tc>
        <w:tc>
          <w:tcPr>
            <w:tcW w:w="630" w:type="dxa"/>
            <w:tcBorders>
              <w:top w:val="single" w:sz="4" w:space="0" w:color="000000"/>
              <w:left w:val="single" w:sz="12" w:space="0" w:color="000000"/>
              <w:bottom w:val="single" w:sz="4" w:space="0" w:color="000000"/>
              <w:right w:val="single" w:sz="12" w:space="0" w:color="000000"/>
            </w:tcBorders>
            <w:vAlign w:val="center"/>
          </w:tcPr>
          <w:p w14:paraId="41184FD9" w14:textId="34306B25" w:rsidR="00FC0D61" w:rsidRDefault="00FC0D61" w:rsidP="00DB6303">
            <w:pPr>
              <w:spacing w:after="0" w:line="259" w:lineRule="auto"/>
              <w:ind w:left="0" w:right="47" w:firstLine="0"/>
              <w:jc w:val="center"/>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5CBC145E" w14:textId="408B27A8" w:rsidR="00FC0D61" w:rsidRDefault="00FC0D61" w:rsidP="00154D5F">
            <w:pPr>
              <w:spacing w:after="0" w:line="259" w:lineRule="auto"/>
              <w:ind w:left="96" w:right="0" w:firstLine="0"/>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36664080" w14:textId="357D413B" w:rsidR="00FC0D61" w:rsidRDefault="00FC0D61" w:rsidP="00DB6303">
            <w:pPr>
              <w:spacing w:after="0" w:line="259" w:lineRule="auto"/>
              <w:ind w:left="0" w:right="47" w:firstLine="0"/>
              <w:jc w:val="center"/>
            </w:pPr>
            <w:r>
              <w:rPr>
                <w:sz w:val="18"/>
              </w:rPr>
              <w:t>X</w:t>
            </w:r>
          </w:p>
        </w:tc>
        <w:tc>
          <w:tcPr>
            <w:tcW w:w="810" w:type="dxa"/>
            <w:tcBorders>
              <w:top w:val="single" w:sz="4" w:space="0" w:color="000000"/>
              <w:left w:val="single" w:sz="12" w:space="0" w:color="000000"/>
              <w:bottom w:val="single" w:sz="4" w:space="0" w:color="000000"/>
              <w:right w:val="single" w:sz="12" w:space="0" w:color="000000"/>
            </w:tcBorders>
            <w:vAlign w:val="center"/>
          </w:tcPr>
          <w:p w14:paraId="0BC54CFD" w14:textId="213C4F2D" w:rsidR="00FC0D61" w:rsidRDefault="00FC0D61" w:rsidP="00796C4B">
            <w:pPr>
              <w:spacing w:after="0" w:line="259" w:lineRule="auto"/>
              <w:ind w:left="0" w:right="0" w:firstLine="0"/>
              <w:jc w:val="center"/>
            </w:pPr>
            <w:r>
              <w:rPr>
                <w:sz w:val="18"/>
              </w:rPr>
              <w:t>8270</w:t>
            </w:r>
          </w:p>
        </w:tc>
        <w:tc>
          <w:tcPr>
            <w:tcW w:w="900" w:type="dxa"/>
            <w:tcBorders>
              <w:top w:val="single" w:sz="4" w:space="0" w:color="000000"/>
              <w:left w:val="single" w:sz="12" w:space="0" w:color="000000"/>
              <w:bottom w:val="single" w:sz="4" w:space="0" w:color="000000"/>
              <w:right w:val="single" w:sz="12" w:space="0" w:color="000000"/>
            </w:tcBorders>
            <w:vAlign w:val="center"/>
          </w:tcPr>
          <w:p w14:paraId="2B273B43" w14:textId="21B6238D" w:rsidR="00FC0D61" w:rsidRDefault="00FC0D61" w:rsidP="00796C4B">
            <w:pPr>
              <w:spacing w:after="0" w:line="259" w:lineRule="auto"/>
              <w:ind w:left="0" w:right="0" w:firstLine="0"/>
              <w:jc w:val="center"/>
            </w:pPr>
          </w:p>
        </w:tc>
      </w:tr>
      <w:tr w:rsidR="00E8392B" w14:paraId="0F8887E1" w14:textId="77777777" w:rsidTr="005B6604">
        <w:trPr>
          <w:trHeight w:val="250"/>
        </w:trPr>
        <w:tc>
          <w:tcPr>
            <w:tcW w:w="2952" w:type="dxa"/>
            <w:tcBorders>
              <w:top w:val="single" w:sz="4" w:space="0" w:color="000000"/>
              <w:left w:val="single" w:sz="12" w:space="0" w:color="000000"/>
              <w:bottom w:val="single" w:sz="4" w:space="0" w:color="000000"/>
              <w:right w:val="single" w:sz="12" w:space="0" w:color="000000"/>
            </w:tcBorders>
          </w:tcPr>
          <w:p w14:paraId="31BC09DF" w14:textId="77777777" w:rsidR="00FC0D61" w:rsidRDefault="00FC0D61" w:rsidP="00FC0D61">
            <w:pPr>
              <w:spacing w:after="0" w:line="259" w:lineRule="auto"/>
              <w:ind w:left="0" w:right="0" w:firstLine="0"/>
            </w:pPr>
            <w:r>
              <w:rPr>
                <w:sz w:val="18"/>
              </w:rPr>
              <w:t xml:space="preserve">1-Acetyl-2-thiourea </w:t>
            </w:r>
          </w:p>
        </w:tc>
        <w:tc>
          <w:tcPr>
            <w:tcW w:w="1155" w:type="dxa"/>
            <w:tcBorders>
              <w:top w:val="single" w:sz="4" w:space="0" w:color="000000"/>
              <w:left w:val="single" w:sz="12" w:space="0" w:color="000000"/>
              <w:bottom w:val="single" w:sz="4" w:space="0" w:color="000000"/>
              <w:right w:val="single" w:sz="12" w:space="0" w:color="000000"/>
            </w:tcBorders>
            <w:vAlign w:val="center"/>
          </w:tcPr>
          <w:p w14:paraId="15D3879B" w14:textId="637EA685" w:rsidR="00FC0D61" w:rsidRDefault="00FC0D61" w:rsidP="00E61546">
            <w:pPr>
              <w:spacing w:after="0" w:line="259" w:lineRule="auto"/>
              <w:ind w:left="0" w:right="44" w:firstLine="0"/>
              <w:jc w:val="center"/>
            </w:pPr>
            <w:r>
              <w:rPr>
                <w:sz w:val="18"/>
              </w:rPr>
              <w:t>591-08-2</w:t>
            </w:r>
          </w:p>
        </w:tc>
        <w:tc>
          <w:tcPr>
            <w:tcW w:w="643" w:type="dxa"/>
            <w:tcBorders>
              <w:top w:val="single" w:sz="4" w:space="0" w:color="000000"/>
              <w:left w:val="single" w:sz="12" w:space="0" w:color="000000"/>
              <w:bottom w:val="single" w:sz="4" w:space="0" w:color="000000"/>
              <w:right w:val="single" w:sz="12" w:space="0" w:color="000000"/>
            </w:tcBorders>
            <w:vAlign w:val="center"/>
          </w:tcPr>
          <w:p w14:paraId="6F0605BF" w14:textId="0CC73567" w:rsidR="00FC0D61" w:rsidRDefault="00FC0D61" w:rsidP="00796C4B">
            <w:pPr>
              <w:spacing w:after="0" w:line="259" w:lineRule="auto"/>
              <w:ind w:left="0" w:right="0" w:firstLine="0"/>
              <w:jc w:val="center"/>
            </w:pPr>
            <w:r>
              <w:rPr>
                <w:sz w:val="18"/>
              </w:rPr>
              <w:t>1000</w:t>
            </w:r>
          </w:p>
        </w:tc>
        <w:tc>
          <w:tcPr>
            <w:tcW w:w="726" w:type="dxa"/>
            <w:tcBorders>
              <w:top w:val="single" w:sz="4" w:space="0" w:color="000000"/>
              <w:left w:val="single" w:sz="12" w:space="0" w:color="000000"/>
              <w:bottom w:val="single" w:sz="4" w:space="0" w:color="000000"/>
              <w:right w:val="single" w:sz="12" w:space="0" w:color="000000"/>
            </w:tcBorders>
            <w:vAlign w:val="center"/>
          </w:tcPr>
          <w:p w14:paraId="55175251" w14:textId="51587846" w:rsidR="00FC0D61" w:rsidRDefault="00FC0D61" w:rsidP="00796C4B">
            <w:pPr>
              <w:spacing w:after="0" w:line="259" w:lineRule="auto"/>
              <w:ind w:left="0" w:right="49" w:firstLine="0"/>
              <w:jc w:val="center"/>
            </w:pPr>
            <w:r>
              <w:rPr>
                <w:sz w:val="18"/>
              </w:rPr>
              <w:t>ug/L</w:t>
            </w:r>
          </w:p>
        </w:tc>
        <w:tc>
          <w:tcPr>
            <w:tcW w:w="773" w:type="dxa"/>
            <w:tcBorders>
              <w:top w:val="single" w:sz="4" w:space="0" w:color="000000"/>
              <w:left w:val="single" w:sz="12" w:space="0" w:color="000000"/>
              <w:bottom w:val="single" w:sz="4" w:space="0" w:color="000000"/>
              <w:right w:val="single" w:sz="12" w:space="0" w:color="000000"/>
            </w:tcBorders>
            <w:vAlign w:val="center"/>
          </w:tcPr>
          <w:p w14:paraId="7ABDD6D9" w14:textId="21A68EF0" w:rsidR="00FC0D61" w:rsidRDefault="00FC0D61" w:rsidP="00796C4B">
            <w:pPr>
              <w:spacing w:after="0" w:line="259" w:lineRule="auto"/>
              <w:ind w:left="0" w:right="0" w:firstLine="0"/>
              <w:jc w:val="center"/>
            </w:pPr>
            <w:r>
              <w:rPr>
                <w:sz w:val="18"/>
              </w:rPr>
              <w:t>66000</w:t>
            </w:r>
          </w:p>
        </w:tc>
        <w:tc>
          <w:tcPr>
            <w:tcW w:w="951" w:type="dxa"/>
            <w:tcBorders>
              <w:top w:val="single" w:sz="4" w:space="0" w:color="000000"/>
              <w:left w:val="single" w:sz="12" w:space="0" w:color="000000"/>
              <w:bottom w:val="single" w:sz="4" w:space="0" w:color="000000"/>
              <w:right w:val="single" w:sz="12" w:space="0" w:color="000000"/>
            </w:tcBorders>
            <w:vAlign w:val="center"/>
          </w:tcPr>
          <w:p w14:paraId="5FE83279" w14:textId="0DC64E3B" w:rsidR="00FC0D61" w:rsidRDefault="00FC0D61" w:rsidP="00796C4B">
            <w:pPr>
              <w:spacing w:after="0" w:line="259" w:lineRule="auto"/>
              <w:ind w:left="0" w:right="46" w:firstLine="0"/>
              <w:jc w:val="center"/>
            </w:pPr>
            <w:r>
              <w:rPr>
                <w:rFonts w:eastAsia="Segoe UI Symbol"/>
                <w:sz w:val="18"/>
              </w:rPr>
              <w:t>u</w:t>
            </w:r>
            <w:r>
              <w:rPr>
                <w:sz w:val="18"/>
              </w:rPr>
              <w:t>g/kg</w:t>
            </w:r>
          </w:p>
        </w:tc>
        <w:tc>
          <w:tcPr>
            <w:tcW w:w="630" w:type="dxa"/>
            <w:tcBorders>
              <w:top w:val="single" w:sz="4" w:space="0" w:color="000000"/>
              <w:left w:val="single" w:sz="12" w:space="0" w:color="000000"/>
              <w:bottom w:val="single" w:sz="4" w:space="0" w:color="000000"/>
              <w:right w:val="single" w:sz="12" w:space="0" w:color="000000"/>
            </w:tcBorders>
            <w:vAlign w:val="center"/>
          </w:tcPr>
          <w:p w14:paraId="69E53EAC" w14:textId="0BB3D406" w:rsidR="00FC0D61" w:rsidRDefault="00FC0D61" w:rsidP="00DB6303">
            <w:pPr>
              <w:spacing w:after="0" w:line="259" w:lineRule="auto"/>
              <w:ind w:left="0" w:right="47" w:firstLine="0"/>
              <w:jc w:val="center"/>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1AA229D9" w14:textId="0CD9B290" w:rsidR="00FC0D61" w:rsidRDefault="00FC0D61" w:rsidP="00331CB0">
            <w:pPr>
              <w:spacing w:after="0" w:line="259" w:lineRule="auto"/>
              <w:ind w:left="0" w:right="2" w:firstLine="0"/>
              <w:jc w:val="center"/>
            </w:pPr>
          </w:p>
        </w:tc>
        <w:tc>
          <w:tcPr>
            <w:tcW w:w="540" w:type="dxa"/>
            <w:tcBorders>
              <w:top w:val="single" w:sz="4" w:space="0" w:color="000000"/>
              <w:left w:val="single" w:sz="12" w:space="0" w:color="000000"/>
              <w:bottom w:val="single" w:sz="4" w:space="0" w:color="000000"/>
              <w:right w:val="single" w:sz="12" w:space="0" w:color="000000"/>
            </w:tcBorders>
            <w:vAlign w:val="center"/>
          </w:tcPr>
          <w:p w14:paraId="5A2C29BF" w14:textId="16A403A0" w:rsidR="00FC0D61" w:rsidRDefault="00FC0D61" w:rsidP="00DB6303">
            <w:pPr>
              <w:spacing w:after="0" w:line="259" w:lineRule="auto"/>
              <w:ind w:left="0" w:right="2" w:firstLine="0"/>
              <w:jc w:val="center"/>
            </w:pPr>
          </w:p>
        </w:tc>
        <w:tc>
          <w:tcPr>
            <w:tcW w:w="810" w:type="dxa"/>
            <w:tcBorders>
              <w:top w:val="single" w:sz="4" w:space="0" w:color="000000"/>
              <w:left w:val="single" w:sz="12" w:space="0" w:color="000000"/>
              <w:bottom w:val="single" w:sz="4" w:space="0" w:color="000000"/>
              <w:right w:val="single" w:sz="12" w:space="0" w:color="000000"/>
            </w:tcBorders>
            <w:vAlign w:val="center"/>
          </w:tcPr>
          <w:p w14:paraId="6B4A5BE7" w14:textId="2D2BC547" w:rsidR="00FC0D61" w:rsidRDefault="00FC0D61" w:rsidP="00796C4B">
            <w:pPr>
              <w:spacing w:after="0" w:line="259" w:lineRule="auto"/>
              <w:ind w:left="0" w:right="0" w:firstLine="0"/>
              <w:jc w:val="center"/>
            </w:pPr>
            <w:r>
              <w:rPr>
                <w:sz w:val="18"/>
              </w:rPr>
              <w:t>8270</w:t>
            </w:r>
          </w:p>
        </w:tc>
        <w:tc>
          <w:tcPr>
            <w:tcW w:w="900" w:type="dxa"/>
            <w:tcBorders>
              <w:top w:val="single" w:sz="4" w:space="0" w:color="000000"/>
              <w:left w:val="single" w:sz="12" w:space="0" w:color="000000"/>
              <w:bottom w:val="single" w:sz="4" w:space="0" w:color="000000"/>
              <w:right w:val="single" w:sz="12" w:space="0" w:color="000000"/>
            </w:tcBorders>
            <w:vAlign w:val="center"/>
          </w:tcPr>
          <w:p w14:paraId="1EB48CC1" w14:textId="033BF875" w:rsidR="00FC0D61" w:rsidRDefault="00FC0D61" w:rsidP="00796C4B">
            <w:pPr>
              <w:spacing w:after="0" w:line="259" w:lineRule="auto"/>
              <w:ind w:left="0" w:right="0" w:firstLine="0"/>
              <w:jc w:val="center"/>
            </w:pPr>
          </w:p>
        </w:tc>
      </w:tr>
      <w:tr w:rsidR="00E8392B" w14:paraId="20B402E5" w14:textId="77777777" w:rsidTr="005B6604">
        <w:trPr>
          <w:trHeight w:val="250"/>
        </w:trPr>
        <w:tc>
          <w:tcPr>
            <w:tcW w:w="2952" w:type="dxa"/>
            <w:tcBorders>
              <w:top w:val="single" w:sz="4" w:space="0" w:color="000000"/>
              <w:left w:val="single" w:sz="12" w:space="0" w:color="000000"/>
              <w:bottom w:val="single" w:sz="4" w:space="0" w:color="000000"/>
              <w:right w:val="single" w:sz="12" w:space="0" w:color="000000"/>
            </w:tcBorders>
          </w:tcPr>
          <w:p w14:paraId="03D18C52" w14:textId="77777777" w:rsidR="00FC0D61" w:rsidRDefault="00FC0D61" w:rsidP="00FC0D61">
            <w:pPr>
              <w:spacing w:after="0" w:line="259" w:lineRule="auto"/>
              <w:ind w:left="0" w:right="0" w:firstLine="0"/>
            </w:pPr>
            <w:r>
              <w:rPr>
                <w:sz w:val="18"/>
              </w:rPr>
              <w:t xml:space="preserve">Acrylamide </w:t>
            </w:r>
          </w:p>
        </w:tc>
        <w:tc>
          <w:tcPr>
            <w:tcW w:w="1155" w:type="dxa"/>
            <w:tcBorders>
              <w:top w:val="single" w:sz="4" w:space="0" w:color="000000"/>
              <w:left w:val="single" w:sz="12" w:space="0" w:color="000000"/>
              <w:bottom w:val="single" w:sz="4" w:space="0" w:color="000000"/>
              <w:right w:val="single" w:sz="12" w:space="0" w:color="000000"/>
            </w:tcBorders>
            <w:vAlign w:val="center"/>
          </w:tcPr>
          <w:p w14:paraId="1900E781" w14:textId="2EB754CE" w:rsidR="00FC0D61" w:rsidRDefault="00FC0D61" w:rsidP="00E61546">
            <w:pPr>
              <w:spacing w:after="0" w:line="259" w:lineRule="auto"/>
              <w:ind w:left="0" w:right="44" w:firstLine="0"/>
              <w:jc w:val="center"/>
            </w:pPr>
            <w:r>
              <w:rPr>
                <w:sz w:val="18"/>
              </w:rPr>
              <w:t>79-06-1</w:t>
            </w:r>
          </w:p>
        </w:tc>
        <w:tc>
          <w:tcPr>
            <w:tcW w:w="643" w:type="dxa"/>
            <w:tcBorders>
              <w:top w:val="single" w:sz="4" w:space="0" w:color="000000"/>
              <w:left w:val="single" w:sz="12" w:space="0" w:color="000000"/>
              <w:bottom w:val="single" w:sz="4" w:space="0" w:color="000000"/>
              <w:right w:val="single" w:sz="12" w:space="0" w:color="000000"/>
            </w:tcBorders>
            <w:vAlign w:val="center"/>
          </w:tcPr>
          <w:p w14:paraId="52BDFECD" w14:textId="29116FC0" w:rsidR="00FC0D61" w:rsidRDefault="00FC0D61" w:rsidP="00796C4B">
            <w:pPr>
              <w:tabs>
                <w:tab w:val="center" w:pos="329"/>
              </w:tabs>
              <w:spacing w:after="0" w:line="259" w:lineRule="auto"/>
              <w:ind w:left="0" w:right="0" w:firstLine="0"/>
              <w:jc w:val="center"/>
            </w:pPr>
            <w:r>
              <w:rPr>
                <w:sz w:val="18"/>
              </w:rPr>
              <w:t>0.5</w:t>
            </w:r>
          </w:p>
        </w:tc>
        <w:tc>
          <w:tcPr>
            <w:tcW w:w="726" w:type="dxa"/>
            <w:tcBorders>
              <w:top w:val="single" w:sz="4" w:space="0" w:color="000000"/>
              <w:left w:val="single" w:sz="12" w:space="0" w:color="000000"/>
              <w:bottom w:val="single" w:sz="4" w:space="0" w:color="000000"/>
              <w:right w:val="single" w:sz="12" w:space="0" w:color="000000"/>
            </w:tcBorders>
            <w:vAlign w:val="center"/>
          </w:tcPr>
          <w:p w14:paraId="5DE4EE7D" w14:textId="1CF8E208" w:rsidR="00FC0D61" w:rsidRDefault="00FC0D61" w:rsidP="00796C4B">
            <w:pPr>
              <w:spacing w:after="0" w:line="259" w:lineRule="auto"/>
              <w:ind w:left="0" w:right="49" w:firstLine="0"/>
              <w:jc w:val="center"/>
            </w:pPr>
            <w:r>
              <w:rPr>
                <w:sz w:val="18"/>
              </w:rPr>
              <w:t>ug/L</w:t>
            </w:r>
          </w:p>
        </w:tc>
        <w:tc>
          <w:tcPr>
            <w:tcW w:w="773" w:type="dxa"/>
            <w:tcBorders>
              <w:top w:val="single" w:sz="4" w:space="0" w:color="000000"/>
              <w:left w:val="single" w:sz="12" w:space="0" w:color="000000"/>
              <w:bottom w:val="single" w:sz="4" w:space="0" w:color="000000"/>
              <w:right w:val="single" w:sz="12" w:space="0" w:color="000000"/>
            </w:tcBorders>
            <w:vAlign w:val="center"/>
          </w:tcPr>
          <w:p w14:paraId="329E2074" w14:textId="1F441699" w:rsidR="00FC0D61" w:rsidRDefault="00FC0D61" w:rsidP="00796C4B">
            <w:pPr>
              <w:spacing w:after="0" w:line="259" w:lineRule="auto"/>
              <w:ind w:left="0" w:right="41" w:firstLine="0"/>
              <w:jc w:val="center"/>
            </w:pPr>
            <w:r>
              <w:rPr>
                <w:sz w:val="18"/>
              </w:rPr>
              <w:t>50</w:t>
            </w:r>
          </w:p>
        </w:tc>
        <w:tc>
          <w:tcPr>
            <w:tcW w:w="951" w:type="dxa"/>
            <w:tcBorders>
              <w:top w:val="single" w:sz="4" w:space="0" w:color="000000"/>
              <w:left w:val="single" w:sz="12" w:space="0" w:color="000000"/>
              <w:bottom w:val="single" w:sz="4" w:space="0" w:color="000000"/>
              <w:right w:val="single" w:sz="12" w:space="0" w:color="000000"/>
            </w:tcBorders>
            <w:vAlign w:val="center"/>
          </w:tcPr>
          <w:p w14:paraId="774FE352" w14:textId="6B215CAF" w:rsidR="00FC0D61" w:rsidRDefault="00FC0D61" w:rsidP="00796C4B">
            <w:pPr>
              <w:spacing w:after="0" w:line="259" w:lineRule="auto"/>
              <w:ind w:left="0" w:right="46" w:firstLine="0"/>
              <w:jc w:val="center"/>
            </w:pPr>
            <w:r>
              <w:rPr>
                <w:rFonts w:eastAsia="Segoe UI Symbol"/>
                <w:sz w:val="18"/>
              </w:rPr>
              <w:t>u</w:t>
            </w:r>
            <w:r>
              <w:rPr>
                <w:sz w:val="18"/>
              </w:rPr>
              <w:t>g/kg</w:t>
            </w:r>
          </w:p>
        </w:tc>
        <w:tc>
          <w:tcPr>
            <w:tcW w:w="630" w:type="dxa"/>
            <w:tcBorders>
              <w:top w:val="single" w:sz="4" w:space="0" w:color="000000"/>
              <w:left w:val="single" w:sz="12" w:space="0" w:color="000000"/>
              <w:bottom w:val="single" w:sz="4" w:space="0" w:color="000000"/>
              <w:right w:val="single" w:sz="12" w:space="0" w:color="000000"/>
            </w:tcBorders>
            <w:vAlign w:val="center"/>
          </w:tcPr>
          <w:p w14:paraId="4ED0B12E" w14:textId="1223B3BE" w:rsidR="00FC0D61" w:rsidRDefault="00FC0D61" w:rsidP="00DB6303">
            <w:pPr>
              <w:spacing w:after="0" w:line="259" w:lineRule="auto"/>
              <w:ind w:left="0" w:right="47" w:firstLine="0"/>
              <w:jc w:val="center"/>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372A1D3C" w14:textId="7EB3306C" w:rsidR="00FC0D61" w:rsidRDefault="00FC0D61" w:rsidP="00331CB0">
            <w:pPr>
              <w:spacing w:after="0" w:line="259" w:lineRule="auto"/>
              <w:ind w:left="0" w:right="2" w:firstLine="0"/>
              <w:jc w:val="center"/>
            </w:pPr>
          </w:p>
        </w:tc>
        <w:tc>
          <w:tcPr>
            <w:tcW w:w="540" w:type="dxa"/>
            <w:tcBorders>
              <w:top w:val="single" w:sz="4" w:space="0" w:color="000000"/>
              <w:left w:val="single" w:sz="12" w:space="0" w:color="000000"/>
              <w:bottom w:val="single" w:sz="4" w:space="0" w:color="000000"/>
              <w:right w:val="single" w:sz="12" w:space="0" w:color="000000"/>
            </w:tcBorders>
            <w:vAlign w:val="center"/>
          </w:tcPr>
          <w:p w14:paraId="65B0535F" w14:textId="3B55AC7A" w:rsidR="00FC0D61" w:rsidRDefault="00FC0D61" w:rsidP="00DB6303">
            <w:pPr>
              <w:spacing w:after="0" w:line="259" w:lineRule="auto"/>
              <w:ind w:left="0" w:right="2" w:firstLine="0"/>
              <w:jc w:val="center"/>
            </w:pPr>
          </w:p>
        </w:tc>
        <w:tc>
          <w:tcPr>
            <w:tcW w:w="810" w:type="dxa"/>
            <w:tcBorders>
              <w:top w:val="single" w:sz="4" w:space="0" w:color="000000"/>
              <w:left w:val="single" w:sz="12" w:space="0" w:color="000000"/>
              <w:bottom w:val="single" w:sz="4" w:space="0" w:color="000000"/>
              <w:right w:val="single" w:sz="12" w:space="0" w:color="000000"/>
            </w:tcBorders>
            <w:vAlign w:val="center"/>
          </w:tcPr>
          <w:p w14:paraId="387B55C7" w14:textId="60C686EE" w:rsidR="00FC0D61" w:rsidRDefault="00FC0D61" w:rsidP="00796C4B">
            <w:pPr>
              <w:spacing w:after="0" w:line="259" w:lineRule="auto"/>
              <w:ind w:left="0" w:right="0" w:firstLine="0"/>
              <w:jc w:val="center"/>
            </w:pPr>
            <w:r>
              <w:rPr>
                <w:sz w:val="18"/>
              </w:rPr>
              <w:t>8032</w:t>
            </w:r>
          </w:p>
        </w:tc>
        <w:tc>
          <w:tcPr>
            <w:tcW w:w="900" w:type="dxa"/>
            <w:tcBorders>
              <w:top w:val="single" w:sz="4" w:space="0" w:color="000000"/>
              <w:left w:val="single" w:sz="12" w:space="0" w:color="000000"/>
              <w:bottom w:val="single" w:sz="4" w:space="0" w:color="000000"/>
              <w:right w:val="single" w:sz="12" w:space="0" w:color="000000"/>
            </w:tcBorders>
            <w:vAlign w:val="center"/>
          </w:tcPr>
          <w:p w14:paraId="6E968D34" w14:textId="3B3344A8" w:rsidR="00FC0D61" w:rsidRDefault="00FC0D61" w:rsidP="00796C4B">
            <w:pPr>
              <w:spacing w:after="0" w:line="259" w:lineRule="auto"/>
              <w:ind w:left="0" w:right="0" w:firstLine="0"/>
              <w:jc w:val="center"/>
            </w:pPr>
            <w:r>
              <w:rPr>
                <w:sz w:val="18"/>
              </w:rPr>
              <w:t>8316</w:t>
            </w:r>
          </w:p>
        </w:tc>
      </w:tr>
      <w:tr w:rsidR="00E8392B" w14:paraId="75CBADB5" w14:textId="77777777" w:rsidTr="005B6604">
        <w:trPr>
          <w:trHeight w:val="250"/>
        </w:trPr>
        <w:tc>
          <w:tcPr>
            <w:tcW w:w="2952" w:type="dxa"/>
            <w:tcBorders>
              <w:top w:val="single" w:sz="4" w:space="0" w:color="000000"/>
              <w:left w:val="single" w:sz="12" w:space="0" w:color="000000"/>
              <w:bottom w:val="single" w:sz="4" w:space="0" w:color="000000"/>
              <w:right w:val="single" w:sz="12" w:space="0" w:color="000000"/>
            </w:tcBorders>
          </w:tcPr>
          <w:p w14:paraId="34DFE089" w14:textId="77777777" w:rsidR="00FC0D61" w:rsidRDefault="00FC0D61" w:rsidP="00FC0D61">
            <w:pPr>
              <w:spacing w:after="0" w:line="259" w:lineRule="auto"/>
              <w:ind w:left="0" w:right="0" w:firstLine="0"/>
            </w:pPr>
            <w:r>
              <w:rPr>
                <w:sz w:val="18"/>
              </w:rPr>
              <w:t xml:space="preserve">4-Aminobiphenyl </w:t>
            </w:r>
          </w:p>
        </w:tc>
        <w:tc>
          <w:tcPr>
            <w:tcW w:w="1155" w:type="dxa"/>
            <w:tcBorders>
              <w:top w:val="single" w:sz="4" w:space="0" w:color="000000"/>
              <w:left w:val="single" w:sz="12" w:space="0" w:color="000000"/>
              <w:bottom w:val="single" w:sz="4" w:space="0" w:color="000000"/>
              <w:right w:val="single" w:sz="12" w:space="0" w:color="000000"/>
            </w:tcBorders>
            <w:vAlign w:val="center"/>
          </w:tcPr>
          <w:p w14:paraId="0BB5BD57" w14:textId="38DDC5F6" w:rsidR="00FC0D61" w:rsidRDefault="00FC0D61" w:rsidP="00E61546">
            <w:pPr>
              <w:spacing w:after="0" w:line="259" w:lineRule="auto"/>
              <w:ind w:left="0" w:right="44" w:firstLine="0"/>
              <w:jc w:val="center"/>
            </w:pPr>
            <w:r>
              <w:rPr>
                <w:sz w:val="18"/>
              </w:rPr>
              <w:t>92-67-1</w:t>
            </w:r>
          </w:p>
        </w:tc>
        <w:tc>
          <w:tcPr>
            <w:tcW w:w="643" w:type="dxa"/>
            <w:tcBorders>
              <w:top w:val="single" w:sz="4" w:space="0" w:color="000000"/>
              <w:left w:val="single" w:sz="12" w:space="0" w:color="000000"/>
              <w:bottom w:val="single" w:sz="4" w:space="0" w:color="000000"/>
              <w:right w:val="single" w:sz="12" w:space="0" w:color="000000"/>
            </w:tcBorders>
            <w:vAlign w:val="center"/>
          </w:tcPr>
          <w:p w14:paraId="562D76B7" w14:textId="36F920C8" w:rsidR="00FC0D61" w:rsidRDefault="00FC0D61" w:rsidP="00796C4B">
            <w:pPr>
              <w:spacing w:after="0" w:line="259" w:lineRule="auto"/>
              <w:ind w:left="0" w:right="0" w:firstLine="0"/>
              <w:jc w:val="center"/>
            </w:pPr>
            <w:r>
              <w:rPr>
                <w:sz w:val="18"/>
              </w:rPr>
              <w:t>20</w:t>
            </w:r>
          </w:p>
        </w:tc>
        <w:tc>
          <w:tcPr>
            <w:tcW w:w="726" w:type="dxa"/>
            <w:tcBorders>
              <w:top w:val="single" w:sz="4" w:space="0" w:color="000000"/>
              <w:left w:val="single" w:sz="12" w:space="0" w:color="000000"/>
              <w:bottom w:val="single" w:sz="4" w:space="0" w:color="000000"/>
              <w:right w:val="single" w:sz="12" w:space="0" w:color="000000"/>
            </w:tcBorders>
            <w:vAlign w:val="center"/>
          </w:tcPr>
          <w:p w14:paraId="29302898" w14:textId="0E6B77F8" w:rsidR="00FC0D61" w:rsidRDefault="00FC0D61" w:rsidP="00796C4B">
            <w:pPr>
              <w:spacing w:after="0" w:line="259" w:lineRule="auto"/>
              <w:ind w:left="0" w:right="49" w:firstLine="0"/>
              <w:jc w:val="center"/>
            </w:pPr>
            <w:r>
              <w:rPr>
                <w:sz w:val="18"/>
              </w:rPr>
              <w:t>ug/L</w:t>
            </w:r>
          </w:p>
        </w:tc>
        <w:tc>
          <w:tcPr>
            <w:tcW w:w="773" w:type="dxa"/>
            <w:tcBorders>
              <w:top w:val="single" w:sz="4" w:space="0" w:color="000000"/>
              <w:left w:val="single" w:sz="12" w:space="0" w:color="000000"/>
              <w:bottom w:val="single" w:sz="4" w:space="0" w:color="000000"/>
              <w:right w:val="single" w:sz="12" w:space="0" w:color="000000"/>
            </w:tcBorders>
            <w:vAlign w:val="center"/>
          </w:tcPr>
          <w:p w14:paraId="37920817" w14:textId="4BE61A5E" w:rsidR="00FC0D61" w:rsidRDefault="00FC0D61" w:rsidP="00796C4B">
            <w:pPr>
              <w:spacing w:after="0" w:line="259" w:lineRule="auto"/>
              <w:ind w:left="0" w:right="42" w:firstLine="0"/>
              <w:jc w:val="center"/>
            </w:pPr>
            <w:r>
              <w:rPr>
                <w:sz w:val="18"/>
              </w:rPr>
              <w:t>1300</w:t>
            </w:r>
          </w:p>
        </w:tc>
        <w:tc>
          <w:tcPr>
            <w:tcW w:w="951" w:type="dxa"/>
            <w:tcBorders>
              <w:top w:val="single" w:sz="4" w:space="0" w:color="000000"/>
              <w:left w:val="single" w:sz="12" w:space="0" w:color="000000"/>
              <w:bottom w:val="single" w:sz="4" w:space="0" w:color="000000"/>
              <w:right w:val="single" w:sz="12" w:space="0" w:color="000000"/>
            </w:tcBorders>
            <w:vAlign w:val="center"/>
          </w:tcPr>
          <w:p w14:paraId="784D2F05" w14:textId="2B2FEC32" w:rsidR="00FC0D61" w:rsidRDefault="00FC0D61" w:rsidP="00796C4B">
            <w:pPr>
              <w:spacing w:after="0" w:line="259" w:lineRule="auto"/>
              <w:ind w:left="0" w:right="46" w:firstLine="0"/>
              <w:jc w:val="center"/>
            </w:pPr>
            <w:r>
              <w:rPr>
                <w:rFonts w:eastAsia="Segoe UI Symbol"/>
                <w:sz w:val="18"/>
              </w:rPr>
              <w:t>u</w:t>
            </w:r>
            <w:r>
              <w:rPr>
                <w:sz w:val="18"/>
              </w:rPr>
              <w:t>g/kg</w:t>
            </w:r>
          </w:p>
        </w:tc>
        <w:tc>
          <w:tcPr>
            <w:tcW w:w="630" w:type="dxa"/>
            <w:tcBorders>
              <w:top w:val="single" w:sz="4" w:space="0" w:color="000000"/>
              <w:left w:val="single" w:sz="12" w:space="0" w:color="000000"/>
              <w:bottom w:val="single" w:sz="4" w:space="0" w:color="000000"/>
              <w:right w:val="single" w:sz="12" w:space="0" w:color="000000"/>
            </w:tcBorders>
            <w:vAlign w:val="center"/>
          </w:tcPr>
          <w:p w14:paraId="4411DCC2" w14:textId="558E679B" w:rsidR="00FC0D61" w:rsidRDefault="00FC0D61" w:rsidP="00DB6303">
            <w:pPr>
              <w:spacing w:after="0" w:line="259" w:lineRule="auto"/>
              <w:ind w:left="0" w:right="47" w:firstLine="0"/>
              <w:jc w:val="center"/>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7C4EE7BF" w14:textId="53298EE2" w:rsidR="00FC0D61" w:rsidRDefault="00FC0D61" w:rsidP="00154D5F">
            <w:pPr>
              <w:spacing w:after="0" w:line="259" w:lineRule="auto"/>
              <w:ind w:left="96" w:right="0" w:firstLine="0"/>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7A1D9274" w14:textId="7C5B4B51" w:rsidR="00FC0D61" w:rsidRDefault="00FC0D61" w:rsidP="00DB6303">
            <w:pPr>
              <w:spacing w:after="0" w:line="259" w:lineRule="auto"/>
              <w:ind w:left="0" w:right="47" w:firstLine="0"/>
              <w:jc w:val="center"/>
            </w:pPr>
            <w:r>
              <w:rPr>
                <w:sz w:val="18"/>
              </w:rPr>
              <w:t>X</w:t>
            </w:r>
          </w:p>
        </w:tc>
        <w:tc>
          <w:tcPr>
            <w:tcW w:w="810" w:type="dxa"/>
            <w:tcBorders>
              <w:top w:val="single" w:sz="4" w:space="0" w:color="000000"/>
              <w:left w:val="single" w:sz="12" w:space="0" w:color="000000"/>
              <w:bottom w:val="single" w:sz="4" w:space="0" w:color="000000"/>
              <w:right w:val="single" w:sz="12" w:space="0" w:color="000000"/>
            </w:tcBorders>
            <w:vAlign w:val="center"/>
          </w:tcPr>
          <w:p w14:paraId="5B8866F2" w14:textId="55654CC0" w:rsidR="00FC0D61" w:rsidRDefault="00FC0D61" w:rsidP="00796C4B">
            <w:pPr>
              <w:spacing w:after="0" w:line="259" w:lineRule="auto"/>
              <w:ind w:left="0" w:right="0" w:firstLine="0"/>
              <w:jc w:val="center"/>
            </w:pPr>
            <w:r>
              <w:rPr>
                <w:sz w:val="18"/>
              </w:rPr>
              <w:t>8270</w:t>
            </w:r>
          </w:p>
        </w:tc>
        <w:tc>
          <w:tcPr>
            <w:tcW w:w="900" w:type="dxa"/>
            <w:tcBorders>
              <w:top w:val="single" w:sz="4" w:space="0" w:color="000000"/>
              <w:left w:val="single" w:sz="12" w:space="0" w:color="000000"/>
              <w:bottom w:val="single" w:sz="4" w:space="0" w:color="000000"/>
              <w:right w:val="single" w:sz="12" w:space="0" w:color="000000"/>
            </w:tcBorders>
            <w:vAlign w:val="center"/>
          </w:tcPr>
          <w:p w14:paraId="1AE24708" w14:textId="2A3E3200" w:rsidR="00FC0D61" w:rsidRDefault="00FC0D61" w:rsidP="00796C4B">
            <w:pPr>
              <w:spacing w:after="0" w:line="259" w:lineRule="auto"/>
              <w:ind w:left="0" w:right="0" w:firstLine="0"/>
              <w:jc w:val="center"/>
            </w:pPr>
          </w:p>
        </w:tc>
      </w:tr>
      <w:tr w:rsidR="00E8392B" w14:paraId="7A878771" w14:textId="77777777" w:rsidTr="005B6604">
        <w:trPr>
          <w:trHeight w:val="250"/>
        </w:trPr>
        <w:tc>
          <w:tcPr>
            <w:tcW w:w="2952" w:type="dxa"/>
            <w:tcBorders>
              <w:top w:val="single" w:sz="4" w:space="0" w:color="000000"/>
              <w:left w:val="single" w:sz="12" w:space="0" w:color="000000"/>
              <w:bottom w:val="single" w:sz="4" w:space="0" w:color="000000"/>
              <w:right w:val="single" w:sz="12" w:space="0" w:color="000000"/>
            </w:tcBorders>
          </w:tcPr>
          <w:p w14:paraId="21D3F49D" w14:textId="77777777" w:rsidR="00FC0D61" w:rsidRDefault="00FC0D61" w:rsidP="00FC0D61">
            <w:pPr>
              <w:spacing w:after="0" w:line="259" w:lineRule="auto"/>
              <w:ind w:left="0" w:right="0" w:firstLine="0"/>
            </w:pPr>
            <w:r>
              <w:rPr>
                <w:sz w:val="18"/>
              </w:rPr>
              <w:t xml:space="preserve">Aniline </w:t>
            </w:r>
          </w:p>
        </w:tc>
        <w:tc>
          <w:tcPr>
            <w:tcW w:w="1155" w:type="dxa"/>
            <w:tcBorders>
              <w:top w:val="single" w:sz="4" w:space="0" w:color="000000"/>
              <w:left w:val="single" w:sz="12" w:space="0" w:color="000000"/>
              <w:bottom w:val="single" w:sz="4" w:space="0" w:color="000000"/>
              <w:right w:val="single" w:sz="12" w:space="0" w:color="000000"/>
            </w:tcBorders>
            <w:vAlign w:val="center"/>
          </w:tcPr>
          <w:p w14:paraId="5B5BE840" w14:textId="2F10F215" w:rsidR="00FC0D61" w:rsidRDefault="00FC0D61" w:rsidP="00E61546">
            <w:pPr>
              <w:spacing w:after="0" w:line="259" w:lineRule="auto"/>
              <w:ind w:left="0" w:right="44" w:firstLine="0"/>
              <w:jc w:val="center"/>
            </w:pPr>
            <w:r>
              <w:rPr>
                <w:sz w:val="18"/>
              </w:rPr>
              <w:t>62-53-3</w:t>
            </w:r>
          </w:p>
        </w:tc>
        <w:tc>
          <w:tcPr>
            <w:tcW w:w="643" w:type="dxa"/>
            <w:tcBorders>
              <w:top w:val="single" w:sz="4" w:space="0" w:color="000000"/>
              <w:left w:val="single" w:sz="12" w:space="0" w:color="000000"/>
              <w:bottom w:val="single" w:sz="4" w:space="0" w:color="000000"/>
              <w:right w:val="single" w:sz="12" w:space="0" w:color="000000"/>
            </w:tcBorders>
            <w:vAlign w:val="center"/>
          </w:tcPr>
          <w:p w14:paraId="6FE9C872" w14:textId="533F4398" w:rsidR="00FC0D61" w:rsidRDefault="00FC0D61" w:rsidP="00796C4B">
            <w:pPr>
              <w:spacing w:after="0" w:line="259" w:lineRule="auto"/>
              <w:ind w:left="0" w:right="0" w:firstLine="0"/>
              <w:jc w:val="center"/>
            </w:pPr>
            <w:r>
              <w:rPr>
                <w:sz w:val="18"/>
              </w:rPr>
              <w:t>10</w:t>
            </w:r>
          </w:p>
        </w:tc>
        <w:tc>
          <w:tcPr>
            <w:tcW w:w="726" w:type="dxa"/>
            <w:tcBorders>
              <w:top w:val="single" w:sz="4" w:space="0" w:color="000000"/>
              <w:left w:val="single" w:sz="12" w:space="0" w:color="000000"/>
              <w:bottom w:val="single" w:sz="4" w:space="0" w:color="000000"/>
              <w:right w:val="single" w:sz="12" w:space="0" w:color="000000"/>
            </w:tcBorders>
            <w:vAlign w:val="center"/>
          </w:tcPr>
          <w:p w14:paraId="76BBBE83" w14:textId="3D1106BF" w:rsidR="00FC0D61" w:rsidRDefault="00FC0D61" w:rsidP="00796C4B">
            <w:pPr>
              <w:spacing w:after="0" w:line="259" w:lineRule="auto"/>
              <w:ind w:left="0" w:right="49" w:firstLine="0"/>
              <w:jc w:val="center"/>
            </w:pPr>
            <w:r>
              <w:rPr>
                <w:sz w:val="18"/>
              </w:rPr>
              <w:t>ug/L</w:t>
            </w:r>
          </w:p>
        </w:tc>
        <w:tc>
          <w:tcPr>
            <w:tcW w:w="773" w:type="dxa"/>
            <w:tcBorders>
              <w:top w:val="single" w:sz="4" w:space="0" w:color="000000"/>
              <w:left w:val="single" w:sz="12" w:space="0" w:color="000000"/>
              <w:bottom w:val="single" w:sz="4" w:space="0" w:color="000000"/>
              <w:right w:val="single" w:sz="12" w:space="0" w:color="000000"/>
            </w:tcBorders>
            <w:vAlign w:val="center"/>
          </w:tcPr>
          <w:p w14:paraId="1B88A699" w14:textId="1B647639" w:rsidR="00FC0D61" w:rsidRDefault="00FC0D61" w:rsidP="00796C4B">
            <w:pPr>
              <w:spacing w:after="0" w:line="259" w:lineRule="auto"/>
              <w:ind w:left="0" w:right="41" w:firstLine="0"/>
              <w:jc w:val="center"/>
            </w:pPr>
            <w:r>
              <w:rPr>
                <w:sz w:val="18"/>
              </w:rPr>
              <w:t>660</w:t>
            </w:r>
          </w:p>
        </w:tc>
        <w:tc>
          <w:tcPr>
            <w:tcW w:w="951" w:type="dxa"/>
            <w:tcBorders>
              <w:top w:val="single" w:sz="4" w:space="0" w:color="000000"/>
              <w:left w:val="single" w:sz="12" w:space="0" w:color="000000"/>
              <w:bottom w:val="single" w:sz="4" w:space="0" w:color="000000"/>
              <w:right w:val="single" w:sz="12" w:space="0" w:color="000000"/>
            </w:tcBorders>
            <w:vAlign w:val="center"/>
          </w:tcPr>
          <w:p w14:paraId="646BEA8F" w14:textId="6E96E117" w:rsidR="00FC0D61" w:rsidRDefault="00FC0D61" w:rsidP="00796C4B">
            <w:pPr>
              <w:spacing w:after="0" w:line="259" w:lineRule="auto"/>
              <w:ind w:left="0" w:right="46" w:firstLine="0"/>
              <w:jc w:val="center"/>
            </w:pPr>
            <w:r>
              <w:rPr>
                <w:rFonts w:eastAsia="Segoe UI Symbol"/>
                <w:sz w:val="18"/>
              </w:rPr>
              <w:t>u</w:t>
            </w:r>
            <w:r>
              <w:rPr>
                <w:sz w:val="18"/>
              </w:rPr>
              <w:t>g/kg</w:t>
            </w:r>
          </w:p>
        </w:tc>
        <w:tc>
          <w:tcPr>
            <w:tcW w:w="630" w:type="dxa"/>
            <w:tcBorders>
              <w:top w:val="single" w:sz="4" w:space="0" w:color="000000"/>
              <w:left w:val="single" w:sz="12" w:space="0" w:color="000000"/>
              <w:bottom w:val="single" w:sz="4" w:space="0" w:color="000000"/>
              <w:right w:val="single" w:sz="12" w:space="0" w:color="000000"/>
            </w:tcBorders>
            <w:vAlign w:val="center"/>
          </w:tcPr>
          <w:p w14:paraId="1B126BE2" w14:textId="781833A2" w:rsidR="00FC0D61" w:rsidRDefault="00FC0D61" w:rsidP="00DB6303">
            <w:pPr>
              <w:spacing w:after="0" w:line="259" w:lineRule="auto"/>
              <w:ind w:left="0" w:right="47" w:firstLine="0"/>
              <w:jc w:val="center"/>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2CC18136" w14:textId="5381C044" w:rsidR="00FC0D61" w:rsidRDefault="00FC0D61" w:rsidP="00154D5F">
            <w:pPr>
              <w:spacing w:after="0" w:line="259" w:lineRule="auto"/>
              <w:ind w:left="96" w:right="0" w:firstLine="0"/>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1686D2BB" w14:textId="33B9D8A1" w:rsidR="00FC0D61" w:rsidRDefault="00FC0D61" w:rsidP="00DB6303">
            <w:pPr>
              <w:spacing w:after="0" w:line="259" w:lineRule="auto"/>
              <w:ind w:left="0" w:right="2" w:firstLine="0"/>
              <w:jc w:val="center"/>
            </w:pPr>
          </w:p>
        </w:tc>
        <w:tc>
          <w:tcPr>
            <w:tcW w:w="810" w:type="dxa"/>
            <w:tcBorders>
              <w:top w:val="single" w:sz="4" w:space="0" w:color="000000"/>
              <w:left w:val="single" w:sz="12" w:space="0" w:color="000000"/>
              <w:bottom w:val="single" w:sz="4" w:space="0" w:color="000000"/>
              <w:right w:val="single" w:sz="12" w:space="0" w:color="000000"/>
            </w:tcBorders>
            <w:vAlign w:val="center"/>
          </w:tcPr>
          <w:p w14:paraId="4D4F08CE" w14:textId="7BB86FDA" w:rsidR="00FC0D61" w:rsidRDefault="00FC0D61" w:rsidP="00796C4B">
            <w:pPr>
              <w:spacing w:after="0" w:line="259" w:lineRule="auto"/>
              <w:ind w:left="0" w:right="0" w:firstLine="0"/>
              <w:jc w:val="center"/>
            </w:pPr>
            <w:r>
              <w:rPr>
                <w:sz w:val="18"/>
              </w:rPr>
              <w:t>8270</w:t>
            </w:r>
          </w:p>
        </w:tc>
        <w:tc>
          <w:tcPr>
            <w:tcW w:w="900" w:type="dxa"/>
            <w:tcBorders>
              <w:top w:val="single" w:sz="4" w:space="0" w:color="000000"/>
              <w:left w:val="single" w:sz="12" w:space="0" w:color="000000"/>
              <w:bottom w:val="single" w:sz="4" w:space="0" w:color="000000"/>
              <w:right w:val="single" w:sz="12" w:space="0" w:color="000000"/>
            </w:tcBorders>
            <w:vAlign w:val="center"/>
          </w:tcPr>
          <w:p w14:paraId="6C119B81" w14:textId="6DA7F674" w:rsidR="00FC0D61" w:rsidRDefault="00FC0D61" w:rsidP="00796C4B">
            <w:pPr>
              <w:spacing w:after="0" w:line="259" w:lineRule="auto"/>
              <w:ind w:left="0" w:right="0" w:firstLine="0"/>
              <w:jc w:val="center"/>
            </w:pPr>
            <w:r>
              <w:rPr>
                <w:sz w:val="18"/>
              </w:rPr>
              <w:t>8131</w:t>
            </w:r>
          </w:p>
        </w:tc>
      </w:tr>
      <w:tr w:rsidR="00E8392B" w14:paraId="6993E7F9" w14:textId="77777777" w:rsidTr="005B6604">
        <w:trPr>
          <w:trHeight w:val="252"/>
        </w:trPr>
        <w:tc>
          <w:tcPr>
            <w:tcW w:w="2952" w:type="dxa"/>
            <w:tcBorders>
              <w:top w:val="single" w:sz="4" w:space="0" w:color="000000"/>
              <w:left w:val="single" w:sz="12" w:space="0" w:color="000000"/>
              <w:bottom w:val="single" w:sz="4" w:space="0" w:color="000000"/>
              <w:right w:val="single" w:sz="12" w:space="0" w:color="000000"/>
            </w:tcBorders>
          </w:tcPr>
          <w:p w14:paraId="3C63E353" w14:textId="77777777" w:rsidR="00FC0D61" w:rsidRDefault="00FC0D61" w:rsidP="00FC0D61">
            <w:pPr>
              <w:spacing w:after="0" w:line="259" w:lineRule="auto"/>
              <w:ind w:left="0" w:right="0" w:firstLine="0"/>
            </w:pPr>
            <w:proofErr w:type="spellStart"/>
            <w:r>
              <w:rPr>
                <w:sz w:val="18"/>
              </w:rPr>
              <w:t>Aramite</w:t>
            </w:r>
            <w:proofErr w:type="spellEnd"/>
            <w:r>
              <w:rPr>
                <w:sz w:val="18"/>
              </w:rPr>
              <w:t xml:space="preserve"> </w:t>
            </w:r>
          </w:p>
        </w:tc>
        <w:tc>
          <w:tcPr>
            <w:tcW w:w="1155" w:type="dxa"/>
            <w:tcBorders>
              <w:top w:val="single" w:sz="4" w:space="0" w:color="000000"/>
              <w:left w:val="single" w:sz="12" w:space="0" w:color="000000"/>
              <w:bottom w:val="single" w:sz="4" w:space="0" w:color="000000"/>
              <w:right w:val="single" w:sz="12" w:space="0" w:color="000000"/>
            </w:tcBorders>
            <w:vAlign w:val="center"/>
          </w:tcPr>
          <w:p w14:paraId="5F14C8EF" w14:textId="5FA6AE82" w:rsidR="00FC0D61" w:rsidRDefault="00FC0D61" w:rsidP="00E61546">
            <w:pPr>
              <w:spacing w:after="0" w:line="259" w:lineRule="auto"/>
              <w:ind w:left="0" w:right="44" w:firstLine="0"/>
              <w:jc w:val="center"/>
            </w:pPr>
            <w:r>
              <w:rPr>
                <w:sz w:val="18"/>
              </w:rPr>
              <w:t>140-57-8</w:t>
            </w:r>
          </w:p>
        </w:tc>
        <w:tc>
          <w:tcPr>
            <w:tcW w:w="643" w:type="dxa"/>
            <w:tcBorders>
              <w:top w:val="single" w:sz="4" w:space="0" w:color="000000"/>
              <w:left w:val="single" w:sz="12" w:space="0" w:color="000000"/>
              <w:bottom w:val="single" w:sz="4" w:space="0" w:color="000000"/>
              <w:right w:val="single" w:sz="12" w:space="0" w:color="000000"/>
            </w:tcBorders>
            <w:vAlign w:val="center"/>
          </w:tcPr>
          <w:p w14:paraId="3B6D543D" w14:textId="3FF6F7DC" w:rsidR="00FC0D61" w:rsidRDefault="00FC0D61" w:rsidP="00796C4B">
            <w:pPr>
              <w:spacing w:after="0" w:line="259" w:lineRule="auto"/>
              <w:ind w:left="0" w:right="0" w:firstLine="0"/>
              <w:jc w:val="center"/>
            </w:pPr>
            <w:r>
              <w:rPr>
                <w:sz w:val="18"/>
              </w:rPr>
              <w:t>20</w:t>
            </w:r>
          </w:p>
        </w:tc>
        <w:tc>
          <w:tcPr>
            <w:tcW w:w="726" w:type="dxa"/>
            <w:tcBorders>
              <w:top w:val="single" w:sz="4" w:space="0" w:color="000000"/>
              <w:left w:val="single" w:sz="12" w:space="0" w:color="000000"/>
              <w:bottom w:val="single" w:sz="4" w:space="0" w:color="000000"/>
              <w:right w:val="single" w:sz="12" w:space="0" w:color="000000"/>
            </w:tcBorders>
            <w:vAlign w:val="center"/>
          </w:tcPr>
          <w:p w14:paraId="6C4572B6" w14:textId="008F96F5" w:rsidR="00FC0D61" w:rsidRDefault="00FC0D61" w:rsidP="00796C4B">
            <w:pPr>
              <w:spacing w:after="0" w:line="259" w:lineRule="auto"/>
              <w:ind w:left="0" w:right="49" w:firstLine="0"/>
              <w:jc w:val="center"/>
            </w:pPr>
            <w:r>
              <w:rPr>
                <w:sz w:val="18"/>
              </w:rPr>
              <w:t>ug/L</w:t>
            </w:r>
          </w:p>
        </w:tc>
        <w:tc>
          <w:tcPr>
            <w:tcW w:w="773" w:type="dxa"/>
            <w:tcBorders>
              <w:top w:val="single" w:sz="4" w:space="0" w:color="000000"/>
              <w:left w:val="single" w:sz="12" w:space="0" w:color="000000"/>
              <w:bottom w:val="single" w:sz="4" w:space="0" w:color="000000"/>
              <w:right w:val="single" w:sz="12" w:space="0" w:color="000000"/>
            </w:tcBorders>
            <w:vAlign w:val="center"/>
          </w:tcPr>
          <w:p w14:paraId="3F4EA60E" w14:textId="1F9ED4ED" w:rsidR="00FC0D61" w:rsidRDefault="00FC0D61" w:rsidP="00796C4B">
            <w:pPr>
              <w:spacing w:after="0" w:line="259" w:lineRule="auto"/>
              <w:ind w:left="0" w:right="42" w:firstLine="0"/>
              <w:jc w:val="center"/>
            </w:pPr>
            <w:r>
              <w:rPr>
                <w:sz w:val="18"/>
              </w:rPr>
              <w:t>1300</w:t>
            </w:r>
          </w:p>
        </w:tc>
        <w:tc>
          <w:tcPr>
            <w:tcW w:w="951" w:type="dxa"/>
            <w:tcBorders>
              <w:top w:val="single" w:sz="4" w:space="0" w:color="000000"/>
              <w:left w:val="single" w:sz="12" w:space="0" w:color="000000"/>
              <w:bottom w:val="single" w:sz="4" w:space="0" w:color="000000"/>
              <w:right w:val="single" w:sz="12" w:space="0" w:color="000000"/>
            </w:tcBorders>
            <w:vAlign w:val="center"/>
          </w:tcPr>
          <w:p w14:paraId="47453D54" w14:textId="2B5B4A1D" w:rsidR="00FC0D61" w:rsidRDefault="00FC0D61" w:rsidP="00796C4B">
            <w:pPr>
              <w:spacing w:after="0" w:line="259" w:lineRule="auto"/>
              <w:ind w:left="0" w:right="46" w:firstLine="0"/>
              <w:jc w:val="center"/>
            </w:pPr>
            <w:r>
              <w:rPr>
                <w:rFonts w:eastAsia="Segoe UI Symbol"/>
                <w:sz w:val="18"/>
              </w:rPr>
              <w:t>u</w:t>
            </w:r>
            <w:r>
              <w:rPr>
                <w:sz w:val="18"/>
              </w:rPr>
              <w:t>g/kg</w:t>
            </w:r>
          </w:p>
        </w:tc>
        <w:tc>
          <w:tcPr>
            <w:tcW w:w="630" w:type="dxa"/>
            <w:tcBorders>
              <w:top w:val="single" w:sz="4" w:space="0" w:color="000000"/>
              <w:left w:val="single" w:sz="12" w:space="0" w:color="000000"/>
              <w:bottom w:val="single" w:sz="4" w:space="0" w:color="000000"/>
              <w:right w:val="single" w:sz="12" w:space="0" w:color="000000"/>
            </w:tcBorders>
            <w:vAlign w:val="center"/>
          </w:tcPr>
          <w:p w14:paraId="464E9BFA" w14:textId="6836FA7C" w:rsidR="00FC0D61" w:rsidRDefault="00FC0D61" w:rsidP="00DB6303">
            <w:pPr>
              <w:spacing w:after="0" w:line="259" w:lineRule="auto"/>
              <w:ind w:left="0" w:right="47" w:firstLine="0"/>
              <w:jc w:val="center"/>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50C2A534" w14:textId="2034553B" w:rsidR="00FC0D61" w:rsidRDefault="00FC0D61" w:rsidP="00154D5F">
            <w:pPr>
              <w:spacing w:after="0" w:line="259" w:lineRule="auto"/>
              <w:ind w:left="96" w:right="0" w:firstLine="0"/>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56489E7F" w14:textId="12B68311" w:rsidR="00FC0D61" w:rsidRDefault="00FC0D61" w:rsidP="00DB6303">
            <w:pPr>
              <w:spacing w:after="0" w:line="259" w:lineRule="auto"/>
              <w:ind w:left="0" w:right="2" w:firstLine="0"/>
              <w:jc w:val="center"/>
            </w:pPr>
          </w:p>
        </w:tc>
        <w:tc>
          <w:tcPr>
            <w:tcW w:w="810" w:type="dxa"/>
            <w:tcBorders>
              <w:top w:val="single" w:sz="4" w:space="0" w:color="000000"/>
              <w:left w:val="single" w:sz="12" w:space="0" w:color="000000"/>
              <w:bottom w:val="single" w:sz="4" w:space="0" w:color="000000"/>
              <w:right w:val="single" w:sz="12" w:space="0" w:color="000000"/>
            </w:tcBorders>
            <w:vAlign w:val="center"/>
          </w:tcPr>
          <w:p w14:paraId="3AF5497A" w14:textId="7ECED35A" w:rsidR="00FC0D61" w:rsidRDefault="00FC0D61" w:rsidP="00796C4B">
            <w:pPr>
              <w:spacing w:after="0" w:line="259" w:lineRule="auto"/>
              <w:ind w:left="0" w:right="0" w:firstLine="0"/>
              <w:jc w:val="center"/>
            </w:pPr>
            <w:r>
              <w:rPr>
                <w:sz w:val="18"/>
              </w:rPr>
              <w:t>8270</w:t>
            </w:r>
          </w:p>
        </w:tc>
        <w:tc>
          <w:tcPr>
            <w:tcW w:w="900" w:type="dxa"/>
            <w:tcBorders>
              <w:top w:val="single" w:sz="4" w:space="0" w:color="000000"/>
              <w:left w:val="single" w:sz="12" w:space="0" w:color="000000"/>
              <w:bottom w:val="single" w:sz="4" w:space="0" w:color="000000"/>
              <w:right w:val="single" w:sz="12" w:space="0" w:color="000000"/>
            </w:tcBorders>
            <w:vAlign w:val="center"/>
          </w:tcPr>
          <w:p w14:paraId="6F1090E7" w14:textId="5F8F1C07" w:rsidR="00FC0D61" w:rsidRDefault="00FC0D61" w:rsidP="00796C4B">
            <w:pPr>
              <w:spacing w:after="0" w:line="259" w:lineRule="auto"/>
              <w:ind w:left="0" w:right="0" w:firstLine="0"/>
              <w:jc w:val="center"/>
            </w:pPr>
          </w:p>
        </w:tc>
      </w:tr>
      <w:tr w:rsidR="00E8392B" w14:paraId="350386CD" w14:textId="77777777" w:rsidTr="005B6604">
        <w:trPr>
          <w:trHeight w:val="250"/>
        </w:trPr>
        <w:tc>
          <w:tcPr>
            <w:tcW w:w="2952" w:type="dxa"/>
            <w:tcBorders>
              <w:top w:val="single" w:sz="4" w:space="0" w:color="000000"/>
              <w:left w:val="single" w:sz="12" w:space="0" w:color="000000"/>
              <w:bottom w:val="single" w:sz="4" w:space="0" w:color="000000"/>
              <w:right w:val="single" w:sz="12" w:space="0" w:color="000000"/>
            </w:tcBorders>
          </w:tcPr>
          <w:p w14:paraId="6A37379C" w14:textId="77777777" w:rsidR="00FC0D61" w:rsidRDefault="00FC0D61" w:rsidP="00FC0D61">
            <w:pPr>
              <w:spacing w:after="0" w:line="259" w:lineRule="auto"/>
              <w:ind w:left="0" w:right="0" w:firstLine="0"/>
            </w:pPr>
            <w:r>
              <w:rPr>
                <w:sz w:val="18"/>
              </w:rPr>
              <w:t xml:space="preserve">Benz[c]acridine </w:t>
            </w:r>
          </w:p>
        </w:tc>
        <w:tc>
          <w:tcPr>
            <w:tcW w:w="1155" w:type="dxa"/>
            <w:tcBorders>
              <w:top w:val="single" w:sz="4" w:space="0" w:color="000000"/>
              <w:left w:val="single" w:sz="12" w:space="0" w:color="000000"/>
              <w:bottom w:val="single" w:sz="4" w:space="0" w:color="000000"/>
              <w:right w:val="single" w:sz="12" w:space="0" w:color="000000"/>
            </w:tcBorders>
            <w:vAlign w:val="center"/>
          </w:tcPr>
          <w:p w14:paraId="635D5B0C" w14:textId="10332DF5" w:rsidR="00FC0D61" w:rsidRDefault="00FC0D61" w:rsidP="00E61546">
            <w:pPr>
              <w:spacing w:after="0" w:line="259" w:lineRule="auto"/>
              <w:ind w:left="0" w:right="44" w:firstLine="0"/>
              <w:jc w:val="center"/>
            </w:pPr>
            <w:r>
              <w:rPr>
                <w:sz w:val="18"/>
              </w:rPr>
              <w:t>225-51-4</w:t>
            </w:r>
          </w:p>
        </w:tc>
        <w:tc>
          <w:tcPr>
            <w:tcW w:w="643" w:type="dxa"/>
            <w:tcBorders>
              <w:top w:val="single" w:sz="4" w:space="0" w:color="000000"/>
              <w:left w:val="single" w:sz="12" w:space="0" w:color="000000"/>
              <w:bottom w:val="single" w:sz="4" w:space="0" w:color="000000"/>
              <w:right w:val="single" w:sz="12" w:space="0" w:color="000000"/>
            </w:tcBorders>
            <w:vAlign w:val="center"/>
          </w:tcPr>
          <w:p w14:paraId="0F7AD379" w14:textId="68D68D95" w:rsidR="00FC0D61" w:rsidRDefault="00FC0D61" w:rsidP="00796C4B">
            <w:pPr>
              <w:spacing w:after="0" w:line="259" w:lineRule="auto"/>
              <w:ind w:left="0" w:right="0" w:firstLine="0"/>
              <w:jc w:val="center"/>
            </w:pPr>
            <w:r>
              <w:rPr>
                <w:sz w:val="18"/>
              </w:rPr>
              <w:t>100</w:t>
            </w:r>
          </w:p>
        </w:tc>
        <w:tc>
          <w:tcPr>
            <w:tcW w:w="726" w:type="dxa"/>
            <w:tcBorders>
              <w:top w:val="single" w:sz="4" w:space="0" w:color="000000"/>
              <w:left w:val="single" w:sz="12" w:space="0" w:color="000000"/>
              <w:bottom w:val="single" w:sz="4" w:space="0" w:color="000000"/>
              <w:right w:val="single" w:sz="12" w:space="0" w:color="000000"/>
            </w:tcBorders>
            <w:vAlign w:val="center"/>
          </w:tcPr>
          <w:p w14:paraId="760F82F3" w14:textId="0A027223" w:rsidR="00FC0D61" w:rsidRDefault="00FC0D61" w:rsidP="00796C4B">
            <w:pPr>
              <w:spacing w:after="0" w:line="259" w:lineRule="auto"/>
              <w:ind w:left="0" w:right="49" w:firstLine="0"/>
              <w:jc w:val="center"/>
            </w:pPr>
            <w:r>
              <w:rPr>
                <w:sz w:val="18"/>
              </w:rPr>
              <w:t>ug/L</w:t>
            </w:r>
          </w:p>
        </w:tc>
        <w:tc>
          <w:tcPr>
            <w:tcW w:w="773" w:type="dxa"/>
            <w:tcBorders>
              <w:top w:val="single" w:sz="4" w:space="0" w:color="000000"/>
              <w:left w:val="single" w:sz="12" w:space="0" w:color="000000"/>
              <w:bottom w:val="single" w:sz="4" w:space="0" w:color="000000"/>
              <w:right w:val="single" w:sz="12" w:space="0" w:color="000000"/>
            </w:tcBorders>
            <w:vAlign w:val="center"/>
          </w:tcPr>
          <w:p w14:paraId="4C1F94BF" w14:textId="51C01F4D" w:rsidR="00FC0D61" w:rsidRDefault="00FC0D61" w:rsidP="00796C4B">
            <w:pPr>
              <w:spacing w:after="0" w:line="259" w:lineRule="auto"/>
              <w:ind w:left="0" w:right="41" w:firstLine="0"/>
              <w:jc w:val="center"/>
            </w:pPr>
            <w:r>
              <w:rPr>
                <w:sz w:val="18"/>
              </w:rPr>
              <w:t>6600</w:t>
            </w:r>
          </w:p>
        </w:tc>
        <w:tc>
          <w:tcPr>
            <w:tcW w:w="951" w:type="dxa"/>
            <w:tcBorders>
              <w:top w:val="single" w:sz="4" w:space="0" w:color="000000"/>
              <w:left w:val="single" w:sz="12" w:space="0" w:color="000000"/>
              <w:bottom w:val="single" w:sz="4" w:space="0" w:color="000000"/>
              <w:right w:val="single" w:sz="12" w:space="0" w:color="000000"/>
            </w:tcBorders>
            <w:vAlign w:val="center"/>
          </w:tcPr>
          <w:p w14:paraId="729A2F96" w14:textId="527DACA8" w:rsidR="00FC0D61" w:rsidRDefault="00FC0D61" w:rsidP="00796C4B">
            <w:pPr>
              <w:spacing w:after="0" w:line="259" w:lineRule="auto"/>
              <w:ind w:left="0" w:right="46" w:firstLine="0"/>
              <w:jc w:val="center"/>
            </w:pPr>
            <w:r>
              <w:rPr>
                <w:rFonts w:eastAsia="Segoe UI Symbol"/>
                <w:sz w:val="18"/>
              </w:rPr>
              <w:t>u</w:t>
            </w:r>
            <w:r>
              <w:rPr>
                <w:sz w:val="18"/>
              </w:rPr>
              <w:t>g/kg</w:t>
            </w:r>
          </w:p>
        </w:tc>
        <w:tc>
          <w:tcPr>
            <w:tcW w:w="630" w:type="dxa"/>
            <w:tcBorders>
              <w:top w:val="single" w:sz="4" w:space="0" w:color="000000"/>
              <w:left w:val="single" w:sz="12" w:space="0" w:color="000000"/>
              <w:bottom w:val="single" w:sz="4" w:space="0" w:color="000000"/>
              <w:right w:val="single" w:sz="12" w:space="0" w:color="000000"/>
            </w:tcBorders>
            <w:vAlign w:val="center"/>
          </w:tcPr>
          <w:p w14:paraId="20208348" w14:textId="3A558126" w:rsidR="00FC0D61" w:rsidRDefault="00FC0D61" w:rsidP="00DB6303">
            <w:pPr>
              <w:spacing w:after="0" w:line="259" w:lineRule="auto"/>
              <w:ind w:left="0" w:right="47" w:firstLine="0"/>
              <w:jc w:val="center"/>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1A592951" w14:textId="7D4859A8" w:rsidR="00FC0D61" w:rsidRDefault="00FC0D61" w:rsidP="00331CB0">
            <w:pPr>
              <w:spacing w:after="0" w:line="259" w:lineRule="auto"/>
              <w:ind w:left="0" w:right="2" w:firstLine="0"/>
              <w:jc w:val="center"/>
            </w:pPr>
          </w:p>
        </w:tc>
        <w:tc>
          <w:tcPr>
            <w:tcW w:w="540" w:type="dxa"/>
            <w:tcBorders>
              <w:top w:val="single" w:sz="4" w:space="0" w:color="000000"/>
              <w:left w:val="single" w:sz="12" w:space="0" w:color="000000"/>
              <w:bottom w:val="single" w:sz="4" w:space="0" w:color="000000"/>
              <w:right w:val="single" w:sz="12" w:space="0" w:color="000000"/>
            </w:tcBorders>
            <w:vAlign w:val="center"/>
          </w:tcPr>
          <w:p w14:paraId="6992B8D4" w14:textId="5BA46D7A" w:rsidR="00FC0D61" w:rsidRDefault="00FC0D61" w:rsidP="00DB6303">
            <w:pPr>
              <w:spacing w:after="0" w:line="259" w:lineRule="auto"/>
              <w:ind w:left="0" w:right="2" w:firstLine="0"/>
              <w:jc w:val="center"/>
            </w:pPr>
          </w:p>
        </w:tc>
        <w:tc>
          <w:tcPr>
            <w:tcW w:w="810" w:type="dxa"/>
            <w:tcBorders>
              <w:top w:val="single" w:sz="4" w:space="0" w:color="000000"/>
              <w:left w:val="single" w:sz="12" w:space="0" w:color="000000"/>
              <w:bottom w:val="single" w:sz="4" w:space="0" w:color="000000"/>
              <w:right w:val="single" w:sz="12" w:space="0" w:color="000000"/>
            </w:tcBorders>
            <w:vAlign w:val="center"/>
          </w:tcPr>
          <w:p w14:paraId="3CC983E5" w14:textId="4E08CD71" w:rsidR="00FC0D61" w:rsidRPr="00A33381" w:rsidRDefault="00FC0D61" w:rsidP="00796C4B">
            <w:pPr>
              <w:spacing w:after="0" w:line="259" w:lineRule="auto"/>
              <w:ind w:left="0" w:right="0" w:firstLine="0"/>
              <w:jc w:val="center"/>
              <w:rPr>
                <w:iCs/>
              </w:rPr>
            </w:pPr>
            <w:r w:rsidRPr="00A33381">
              <w:rPr>
                <w:iCs/>
                <w:sz w:val="18"/>
              </w:rPr>
              <w:t>8270</w:t>
            </w:r>
          </w:p>
        </w:tc>
        <w:tc>
          <w:tcPr>
            <w:tcW w:w="900" w:type="dxa"/>
            <w:tcBorders>
              <w:top w:val="single" w:sz="4" w:space="0" w:color="000000"/>
              <w:left w:val="single" w:sz="12" w:space="0" w:color="000000"/>
              <w:bottom w:val="single" w:sz="4" w:space="0" w:color="000000"/>
              <w:right w:val="single" w:sz="12" w:space="0" w:color="000000"/>
            </w:tcBorders>
            <w:vAlign w:val="center"/>
          </w:tcPr>
          <w:p w14:paraId="19D5AABB" w14:textId="42BE4603" w:rsidR="00FC0D61" w:rsidRPr="00BF30E9" w:rsidRDefault="00FC0D61" w:rsidP="00796C4B">
            <w:pPr>
              <w:spacing w:after="0" w:line="259" w:lineRule="auto"/>
              <w:ind w:left="0" w:right="0" w:firstLine="0"/>
              <w:jc w:val="center"/>
              <w:rPr>
                <w:iCs/>
              </w:rPr>
            </w:pPr>
            <w:r w:rsidRPr="00A33381">
              <w:rPr>
                <w:iCs/>
                <w:sz w:val="18"/>
              </w:rPr>
              <w:t>8310</w:t>
            </w:r>
          </w:p>
        </w:tc>
      </w:tr>
      <w:tr w:rsidR="00E8392B" w14:paraId="6107A7E0" w14:textId="77777777" w:rsidTr="005B6604">
        <w:trPr>
          <w:trHeight w:val="250"/>
        </w:trPr>
        <w:tc>
          <w:tcPr>
            <w:tcW w:w="2952" w:type="dxa"/>
            <w:tcBorders>
              <w:top w:val="single" w:sz="4" w:space="0" w:color="000000"/>
              <w:left w:val="single" w:sz="12" w:space="0" w:color="000000"/>
              <w:bottom w:val="single" w:sz="4" w:space="0" w:color="000000"/>
              <w:right w:val="single" w:sz="12" w:space="0" w:color="000000"/>
            </w:tcBorders>
          </w:tcPr>
          <w:p w14:paraId="63572928" w14:textId="77777777" w:rsidR="00FC0D61" w:rsidRDefault="00FC0D61" w:rsidP="00FC0D61">
            <w:pPr>
              <w:spacing w:after="0" w:line="259" w:lineRule="auto"/>
              <w:ind w:left="0" w:right="0" w:firstLine="0"/>
            </w:pPr>
            <w:r>
              <w:rPr>
                <w:sz w:val="18"/>
              </w:rPr>
              <w:t xml:space="preserve">Benzal chloride </w:t>
            </w:r>
          </w:p>
        </w:tc>
        <w:tc>
          <w:tcPr>
            <w:tcW w:w="1155" w:type="dxa"/>
            <w:tcBorders>
              <w:top w:val="single" w:sz="4" w:space="0" w:color="000000"/>
              <w:left w:val="single" w:sz="12" w:space="0" w:color="000000"/>
              <w:bottom w:val="single" w:sz="4" w:space="0" w:color="000000"/>
              <w:right w:val="single" w:sz="12" w:space="0" w:color="000000"/>
            </w:tcBorders>
            <w:vAlign w:val="center"/>
          </w:tcPr>
          <w:p w14:paraId="21D2D6B3" w14:textId="1890B264" w:rsidR="00FC0D61" w:rsidRDefault="00FC0D61" w:rsidP="00E61546">
            <w:pPr>
              <w:spacing w:after="0" w:line="259" w:lineRule="auto"/>
              <w:ind w:left="0" w:right="44" w:firstLine="0"/>
              <w:jc w:val="center"/>
            </w:pPr>
            <w:r>
              <w:rPr>
                <w:sz w:val="18"/>
              </w:rPr>
              <w:t>98-87-3</w:t>
            </w:r>
          </w:p>
        </w:tc>
        <w:tc>
          <w:tcPr>
            <w:tcW w:w="643" w:type="dxa"/>
            <w:tcBorders>
              <w:top w:val="single" w:sz="4" w:space="0" w:color="000000"/>
              <w:left w:val="single" w:sz="12" w:space="0" w:color="000000"/>
              <w:bottom w:val="single" w:sz="4" w:space="0" w:color="000000"/>
              <w:right w:val="single" w:sz="12" w:space="0" w:color="000000"/>
            </w:tcBorders>
            <w:vAlign w:val="center"/>
          </w:tcPr>
          <w:p w14:paraId="30834B79" w14:textId="7BAFE034" w:rsidR="00FC0D61" w:rsidRDefault="00FC0D61" w:rsidP="00796C4B">
            <w:pPr>
              <w:tabs>
                <w:tab w:val="center" w:pos="261"/>
              </w:tabs>
              <w:spacing w:after="0" w:line="259" w:lineRule="auto"/>
              <w:ind w:left="0" w:right="0" w:firstLine="0"/>
              <w:jc w:val="center"/>
            </w:pPr>
            <w:r>
              <w:rPr>
                <w:sz w:val="18"/>
              </w:rPr>
              <w:t>1</w:t>
            </w:r>
          </w:p>
        </w:tc>
        <w:tc>
          <w:tcPr>
            <w:tcW w:w="726" w:type="dxa"/>
            <w:tcBorders>
              <w:top w:val="single" w:sz="4" w:space="0" w:color="000000"/>
              <w:left w:val="single" w:sz="12" w:space="0" w:color="000000"/>
              <w:bottom w:val="single" w:sz="4" w:space="0" w:color="000000"/>
              <w:right w:val="single" w:sz="12" w:space="0" w:color="000000"/>
            </w:tcBorders>
            <w:vAlign w:val="center"/>
          </w:tcPr>
          <w:p w14:paraId="37F32E82" w14:textId="25391B23" w:rsidR="00FC0D61" w:rsidRDefault="00FC0D61" w:rsidP="00796C4B">
            <w:pPr>
              <w:spacing w:after="0" w:line="259" w:lineRule="auto"/>
              <w:ind w:left="0" w:right="49" w:firstLine="0"/>
              <w:jc w:val="center"/>
            </w:pPr>
            <w:r>
              <w:rPr>
                <w:sz w:val="18"/>
              </w:rPr>
              <w:t>ug/L</w:t>
            </w:r>
          </w:p>
        </w:tc>
        <w:tc>
          <w:tcPr>
            <w:tcW w:w="773" w:type="dxa"/>
            <w:tcBorders>
              <w:top w:val="single" w:sz="4" w:space="0" w:color="000000"/>
              <w:left w:val="single" w:sz="12" w:space="0" w:color="000000"/>
              <w:bottom w:val="single" w:sz="4" w:space="0" w:color="000000"/>
              <w:right w:val="single" w:sz="12" w:space="0" w:color="000000"/>
            </w:tcBorders>
            <w:vAlign w:val="center"/>
          </w:tcPr>
          <w:p w14:paraId="074C0AFF" w14:textId="264F582D" w:rsidR="00FC0D61" w:rsidRDefault="00FC0D61" w:rsidP="00796C4B">
            <w:pPr>
              <w:spacing w:after="0" w:line="259" w:lineRule="auto"/>
              <w:ind w:left="0" w:right="41" w:firstLine="0"/>
              <w:jc w:val="center"/>
            </w:pPr>
            <w:r>
              <w:rPr>
                <w:sz w:val="18"/>
              </w:rPr>
              <w:t>5</w:t>
            </w:r>
          </w:p>
        </w:tc>
        <w:tc>
          <w:tcPr>
            <w:tcW w:w="951" w:type="dxa"/>
            <w:tcBorders>
              <w:top w:val="single" w:sz="4" w:space="0" w:color="000000"/>
              <w:left w:val="single" w:sz="12" w:space="0" w:color="000000"/>
              <w:bottom w:val="single" w:sz="4" w:space="0" w:color="000000"/>
              <w:right w:val="single" w:sz="12" w:space="0" w:color="000000"/>
            </w:tcBorders>
            <w:vAlign w:val="center"/>
          </w:tcPr>
          <w:p w14:paraId="0B4E7CFB" w14:textId="4CF67E34" w:rsidR="00FC0D61" w:rsidRDefault="00FC0D61" w:rsidP="00796C4B">
            <w:pPr>
              <w:spacing w:after="0" w:line="259" w:lineRule="auto"/>
              <w:ind w:left="0" w:right="46" w:firstLine="0"/>
              <w:jc w:val="center"/>
            </w:pPr>
            <w:r>
              <w:rPr>
                <w:rFonts w:eastAsia="Segoe UI Symbol"/>
                <w:sz w:val="18"/>
              </w:rPr>
              <w:t>u</w:t>
            </w:r>
            <w:r>
              <w:rPr>
                <w:sz w:val="18"/>
              </w:rPr>
              <w:t>g/kg</w:t>
            </w:r>
          </w:p>
        </w:tc>
        <w:tc>
          <w:tcPr>
            <w:tcW w:w="630" w:type="dxa"/>
            <w:tcBorders>
              <w:top w:val="single" w:sz="4" w:space="0" w:color="000000"/>
              <w:left w:val="single" w:sz="12" w:space="0" w:color="000000"/>
              <w:bottom w:val="single" w:sz="4" w:space="0" w:color="000000"/>
              <w:right w:val="single" w:sz="12" w:space="0" w:color="000000"/>
            </w:tcBorders>
            <w:vAlign w:val="center"/>
          </w:tcPr>
          <w:p w14:paraId="5D1D6054" w14:textId="27547226" w:rsidR="00FC0D61" w:rsidRDefault="00FC0D61" w:rsidP="00DB6303">
            <w:pPr>
              <w:spacing w:after="0" w:line="259" w:lineRule="auto"/>
              <w:ind w:left="0" w:right="47" w:firstLine="0"/>
              <w:jc w:val="center"/>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4B056ABB" w14:textId="6DABECCD" w:rsidR="00FC0D61" w:rsidRDefault="00FC0D61" w:rsidP="00331CB0">
            <w:pPr>
              <w:spacing w:after="0" w:line="259" w:lineRule="auto"/>
              <w:ind w:left="0" w:right="2" w:firstLine="0"/>
              <w:jc w:val="center"/>
            </w:pPr>
          </w:p>
        </w:tc>
        <w:tc>
          <w:tcPr>
            <w:tcW w:w="540" w:type="dxa"/>
            <w:tcBorders>
              <w:top w:val="single" w:sz="4" w:space="0" w:color="000000"/>
              <w:left w:val="single" w:sz="12" w:space="0" w:color="000000"/>
              <w:bottom w:val="single" w:sz="4" w:space="0" w:color="000000"/>
              <w:right w:val="single" w:sz="12" w:space="0" w:color="000000"/>
            </w:tcBorders>
            <w:vAlign w:val="center"/>
          </w:tcPr>
          <w:p w14:paraId="29DC5736" w14:textId="77A85BDF" w:rsidR="00FC0D61" w:rsidRDefault="00FC0D61" w:rsidP="00DB6303">
            <w:pPr>
              <w:spacing w:after="0" w:line="259" w:lineRule="auto"/>
              <w:ind w:left="0" w:right="2" w:firstLine="0"/>
              <w:jc w:val="center"/>
            </w:pPr>
          </w:p>
        </w:tc>
        <w:tc>
          <w:tcPr>
            <w:tcW w:w="810" w:type="dxa"/>
            <w:tcBorders>
              <w:top w:val="single" w:sz="4" w:space="0" w:color="000000"/>
              <w:left w:val="single" w:sz="12" w:space="0" w:color="000000"/>
              <w:bottom w:val="single" w:sz="4" w:space="0" w:color="000000"/>
              <w:right w:val="single" w:sz="12" w:space="0" w:color="000000"/>
            </w:tcBorders>
            <w:vAlign w:val="center"/>
          </w:tcPr>
          <w:p w14:paraId="050A6CD7" w14:textId="10D96D54" w:rsidR="00FC0D61" w:rsidRDefault="00FC0D61" w:rsidP="00796C4B">
            <w:pPr>
              <w:spacing w:after="0" w:line="259" w:lineRule="auto"/>
              <w:ind w:left="0" w:right="0" w:firstLine="0"/>
              <w:jc w:val="center"/>
            </w:pPr>
            <w:r>
              <w:rPr>
                <w:sz w:val="18"/>
              </w:rPr>
              <w:t>8121</w:t>
            </w:r>
          </w:p>
        </w:tc>
        <w:tc>
          <w:tcPr>
            <w:tcW w:w="900" w:type="dxa"/>
            <w:tcBorders>
              <w:top w:val="single" w:sz="4" w:space="0" w:color="000000"/>
              <w:left w:val="single" w:sz="12" w:space="0" w:color="000000"/>
              <w:bottom w:val="single" w:sz="4" w:space="0" w:color="000000"/>
              <w:right w:val="single" w:sz="12" w:space="0" w:color="000000"/>
            </w:tcBorders>
            <w:vAlign w:val="center"/>
          </w:tcPr>
          <w:p w14:paraId="7BFE2CBF" w14:textId="0043F7FA" w:rsidR="00FC0D61" w:rsidRDefault="00FC0D61" w:rsidP="00796C4B">
            <w:pPr>
              <w:spacing w:after="0" w:line="259" w:lineRule="auto"/>
              <w:ind w:left="0" w:right="0" w:firstLine="0"/>
              <w:jc w:val="center"/>
            </w:pPr>
          </w:p>
        </w:tc>
      </w:tr>
      <w:tr w:rsidR="00E8392B" w14:paraId="70A64D29" w14:textId="77777777" w:rsidTr="005B6604">
        <w:trPr>
          <w:trHeight w:val="250"/>
        </w:trPr>
        <w:tc>
          <w:tcPr>
            <w:tcW w:w="2952" w:type="dxa"/>
            <w:tcBorders>
              <w:top w:val="single" w:sz="4" w:space="0" w:color="000000"/>
              <w:left w:val="single" w:sz="12" w:space="0" w:color="000000"/>
              <w:bottom w:val="single" w:sz="4" w:space="0" w:color="000000"/>
              <w:right w:val="single" w:sz="12" w:space="0" w:color="000000"/>
            </w:tcBorders>
          </w:tcPr>
          <w:p w14:paraId="7DC02C64" w14:textId="77777777" w:rsidR="00FC0D61" w:rsidRDefault="00FC0D61" w:rsidP="00FC0D61">
            <w:pPr>
              <w:spacing w:after="0" w:line="259" w:lineRule="auto"/>
              <w:ind w:left="0" w:right="0" w:firstLine="0"/>
            </w:pPr>
            <w:r>
              <w:rPr>
                <w:sz w:val="18"/>
              </w:rPr>
              <w:t xml:space="preserve">Benzidine </w:t>
            </w:r>
          </w:p>
        </w:tc>
        <w:tc>
          <w:tcPr>
            <w:tcW w:w="1155" w:type="dxa"/>
            <w:tcBorders>
              <w:top w:val="single" w:sz="4" w:space="0" w:color="000000"/>
              <w:left w:val="single" w:sz="12" w:space="0" w:color="000000"/>
              <w:bottom w:val="single" w:sz="4" w:space="0" w:color="000000"/>
              <w:right w:val="single" w:sz="12" w:space="0" w:color="000000"/>
            </w:tcBorders>
            <w:vAlign w:val="center"/>
          </w:tcPr>
          <w:p w14:paraId="5073E75F" w14:textId="4A8CD7BC" w:rsidR="00FC0D61" w:rsidRDefault="00FC0D61" w:rsidP="00E61546">
            <w:pPr>
              <w:spacing w:after="0" w:line="259" w:lineRule="auto"/>
              <w:ind w:left="0" w:right="44" w:firstLine="0"/>
              <w:jc w:val="center"/>
            </w:pPr>
            <w:r>
              <w:rPr>
                <w:sz w:val="18"/>
              </w:rPr>
              <w:t>92-87-5</w:t>
            </w:r>
          </w:p>
        </w:tc>
        <w:tc>
          <w:tcPr>
            <w:tcW w:w="643" w:type="dxa"/>
            <w:tcBorders>
              <w:top w:val="single" w:sz="4" w:space="0" w:color="000000"/>
              <w:left w:val="single" w:sz="12" w:space="0" w:color="000000"/>
              <w:bottom w:val="single" w:sz="4" w:space="0" w:color="000000"/>
              <w:right w:val="single" w:sz="12" w:space="0" w:color="000000"/>
            </w:tcBorders>
            <w:vAlign w:val="center"/>
          </w:tcPr>
          <w:p w14:paraId="098008D9" w14:textId="7BA8E1B8" w:rsidR="00FC0D61" w:rsidRDefault="00FC0D61" w:rsidP="00796C4B">
            <w:pPr>
              <w:spacing w:after="0" w:line="259" w:lineRule="auto"/>
              <w:ind w:left="0" w:right="0" w:firstLine="0"/>
              <w:jc w:val="center"/>
            </w:pPr>
            <w:r>
              <w:rPr>
                <w:sz w:val="18"/>
              </w:rPr>
              <w:t>20</w:t>
            </w:r>
          </w:p>
        </w:tc>
        <w:tc>
          <w:tcPr>
            <w:tcW w:w="726" w:type="dxa"/>
            <w:tcBorders>
              <w:top w:val="single" w:sz="4" w:space="0" w:color="000000"/>
              <w:left w:val="single" w:sz="12" w:space="0" w:color="000000"/>
              <w:bottom w:val="single" w:sz="4" w:space="0" w:color="000000"/>
              <w:right w:val="single" w:sz="12" w:space="0" w:color="000000"/>
            </w:tcBorders>
            <w:vAlign w:val="center"/>
          </w:tcPr>
          <w:p w14:paraId="0FE01E70" w14:textId="18E8488E" w:rsidR="00FC0D61" w:rsidRDefault="00FC0D61" w:rsidP="00796C4B">
            <w:pPr>
              <w:spacing w:after="0" w:line="259" w:lineRule="auto"/>
              <w:ind w:left="0" w:right="49" w:firstLine="0"/>
              <w:jc w:val="center"/>
            </w:pPr>
            <w:r>
              <w:rPr>
                <w:sz w:val="18"/>
              </w:rPr>
              <w:t>ug/L</w:t>
            </w:r>
          </w:p>
        </w:tc>
        <w:tc>
          <w:tcPr>
            <w:tcW w:w="773" w:type="dxa"/>
            <w:tcBorders>
              <w:top w:val="single" w:sz="4" w:space="0" w:color="000000"/>
              <w:left w:val="single" w:sz="12" w:space="0" w:color="000000"/>
              <w:bottom w:val="single" w:sz="4" w:space="0" w:color="000000"/>
              <w:right w:val="single" w:sz="12" w:space="0" w:color="000000"/>
            </w:tcBorders>
            <w:vAlign w:val="center"/>
          </w:tcPr>
          <w:p w14:paraId="23FC6B9B" w14:textId="22343B0A" w:rsidR="00FC0D61" w:rsidRDefault="00FC0D61" w:rsidP="00796C4B">
            <w:pPr>
              <w:spacing w:after="0" w:line="259" w:lineRule="auto"/>
              <w:ind w:left="0" w:right="42" w:firstLine="0"/>
              <w:jc w:val="center"/>
            </w:pPr>
            <w:r>
              <w:rPr>
                <w:sz w:val="18"/>
              </w:rPr>
              <w:t>1300</w:t>
            </w:r>
          </w:p>
        </w:tc>
        <w:tc>
          <w:tcPr>
            <w:tcW w:w="951" w:type="dxa"/>
            <w:tcBorders>
              <w:top w:val="single" w:sz="4" w:space="0" w:color="000000"/>
              <w:left w:val="single" w:sz="12" w:space="0" w:color="000000"/>
              <w:bottom w:val="single" w:sz="4" w:space="0" w:color="000000"/>
              <w:right w:val="single" w:sz="12" w:space="0" w:color="000000"/>
            </w:tcBorders>
            <w:vAlign w:val="center"/>
          </w:tcPr>
          <w:p w14:paraId="25B8E6A3" w14:textId="48C9C51A" w:rsidR="00FC0D61" w:rsidRDefault="00FC0D61" w:rsidP="00796C4B">
            <w:pPr>
              <w:spacing w:after="0" w:line="259" w:lineRule="auto"/>
              <w:ind w:left="0" w:right="46" w:firstLine="0"/>
              <w:jc w:val="center"/>
            </w:pPr>
            <w:r>
              <w:rPr>
                <w:rFonts w:eastAsia="Segoe UI Symbol"/>
                <w:sz w:val="18"/>
              </w:rPr>
              <w:t>u</w:t>
            </w:r>
            <w:r>
              <w:rPr>
                <w:sz w:val="18"/>
              </w:rPr>
              <w:t>g/kg</w:t>
            </w:r>
          </w:p>
        </w:tc>
        <w:tc>
          <w:tcPr>
            <w:tcW w:w="630" w:type="dxa"/>
            <w:tcBorders>
              <w:top w:val="single" w:sz="4" w:space="0" w:color="000000"/>
              <w:left w:val="single" w:sz="12" w:space="0" w:color="000000"/>
              <w:bottom w:val="single" w:sz="4" w:space="0" w:color="000000"/>
              <w:right w:val="single" w:sz="12" w:space="0" w:color="000000"/>
            </w:tcBorders>
            <w:vAlign w:val="center"/>
          </w:tcPr>
          <w:p w14:paraId="4174C013" w14:textId="7F9B4172" w:rsidR="00FC0D61" w:rsidRDefault="00FC0D61" w:rsidP="00DB6303">
            <w:pPr>
              <w:spacing w:after="0" w:line="259" w:lineRule="auto"/>
              <w:ind w:left="0" w:right="47" w:firstLine="0"/>
              <w:jc w:val="center"/>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36F96FF8" w14:textId="022AABCD" w:rsidR="00FC0D61" w:rsidRDefault="00FC0D61" w:rsidP="00331CB0">
            <w:pPr>
              <w:spacing w:after="0" w:line="259" w:lineRule="auto"/>
              <w:ind w:left="0" w:right="2" w:firstLine="0"/>
              <w:jc w:val="center"/>
            </w:pPr>
          </w:p>
        </w:tc>
        <w:tc>
          <w:tcPr>
            <w:tcW w:w="540" w:type="dxa"/>
            <w:tcBorders>
              <w:top w:val="single" w:sz="4" w:space="0" w:color="000000"/>
              <w:left w:val="single" w:sz="12" w:space="0" w:color="000000"/>
              <w:bottom w:val="single" w:sz="4" w:space="0" w:color="000000"/>
              <w:right w:val="single" w:sz="12" w:space="0" w:color="000000"/>
            </w:tcBorders>
            <w:vAlign w:val="center"/>
          </w:tcPr>
          <w:p w14:paraId="1A49597C" w14:textId="3A0D94D7" w:rsidR="00FC0D61" w:rsidRDefault="00FC0D61" w:rsidP="00DB6303">
            <w:pPr>
              <w:spacing w:after="0" w:line="259" w:lineRule="auto"/>
              <w:ind w:left="0" w:right="2" w:firstLine="0"/>
              <w:jc w:val="center"/>
            </w:pPr>
          </w:p>
        </w:tc>
        <w:tc>
          <w:tcPr>
            <w:tcW w:w="810" w:type="dxa"/>
            <w:tcBorders>
              <w:top w:val="single" w:sz="4" w:space="0" w:color="000000"/>
              <w:left w:val="single" w:sz="12" w:space="0" w:color="000000"/>
              <w:bottom w:val="single" w:sz="4" w:space="0" w:color="000000"/>
              <w:right w:val="single" w:sz="12" w:space="0" w:color="000000"/>
            </w:tcBorders>
            <w:vAlign w:val="center"/>
          </w:tcPr>
          <w:p w14:paraId="0AFA9C1A" w14:textId="3613CCE2" w:rsidR="00FC0D61" w:rsidRDefault="00FC0D61" w:rsidP="00796C4B">
            <w:pPr>
              <w:spacing w:after="0" w:line="259" w:lineRule="auto"/>
              <w:ind w:left="0" w:right="0" w:firstLine="0"/>
              <w:jc w:val="center"/>
            </w:pPr>
            <w:r>
              <w:rPr>
                <w:sz w:val="18"/>
              </w:rPr>
              <w:t>8270</w:t>
            </w:r>
          </w:p>
        </w:tc>
        <w:tc>
          <w:tcPr>
            <w:tcW w:w="900" w:type="dxa"/>
            <w:tcBorders>
              <w:top w:val="single" w:sz="4" w:space="0" w:color="000000"/>
              <w:left w:val="single" w:sz="12" w:space="0" w:color="000000"/>
              <w:bottom w:val="single" w:sz="4" w:space="0" w:color="000000"/>
              <w:right w:val="single" w:sz="12" w:space="0" w:color="000000"/>
            </w:tcBorders>
            <w:vAlign w:val="center"/>
          </w:tcPr>
          <w:p w14:paraId="4B4351CF" w14:textId="30A7BD3D" w:rsidR="00FC0D61" w:rsidRDefault="00FC0D61" w:rsidP="00796C4B">
            <w:pPr>
              <w:spacing w:after="0" w:line="259" w:lineRule="auto"/>
              <w:ind w:left="0" w:right="0" w:firstLine="0"/>
              <w:jc w:val="center"/>
            </w:pPr>
            <w:r>
              <w:rPr>
                <w:sz w:val="18"/>
              </w:rPr>
              <w:t>8325</w:t>
            </w:r>
          </w:p>
        </w:tc>
      </w:tr>
      <w:tr w:rsidR="00E8392B" w14:paraId="0B05E7A8" w14:textId="77777777" w:rsidTr="005B6604">
        <w:trPr>
          <w:trHeight w:val="250"/>
        </w:trPr>
        <w:tc>
          <w:tcPr>
            <w:tcW w:w="2952" w:type="dxa"/>
            <w:tcBorders>
              <w:top w:val="single" w:sz="4" w:space="0" w:color="000000"/>
              <w:left w:val="single" w:sz="12" w:space="0" w:color="000000"/>
              <w:bottom w:val="single" w:sz="4" w:space="0" w:color="000000"/>
              <w:right w:val="single" w:sz="12" w:space="0" w:color="000000"/>
            </w:tcBorders>
          </w:tcPr>
          <w:p w14:paraId="36EB0B5E" w14:textId="77777777" w:rsidR="00FC0D61" w:rsidRDefault="00FC0D61" w:rsidP="00FC0D61">
            <w:pPr>
              <w:spacing w:after="0" w:line="259" w:lineRule="auto"/>
              <w:ind w:left="0" w:right="0" w:firstLine="0"/>
            </w:pPr>
            <w:r>
              <w:rPr>
                <w:sz w:val="18"/>
              </w:rPr>
              <w:t xml:space="preserve">Benzo[j]fluoranthene </w:t>
            </w:r>
          </w:p>
        </w:tc>
        <w:tc>
          <w:tcPr>
            <w:tcW w:w="1155" w:type="dxa"/>
            <w:tcBorders>
              <w:top w:val="single" w:sz="4" w:space="0" w:color="000000"/>
              <w:left w:val="single" w:sz="12" w:space="0" w:color="000000"/>
              <w:bottom w:val="single" w:sz="4" w:space="0" w:color="000000"/>
              <w:right w:val="single" w:sz="12" w:space="0" w:color="000000"/>
            </w:tcBorders>
            <w:vAlign w:val="center"/>
          </w:tcPr>
          <w:p w14:paraId="721FD728" w14:textId="2E139D69" w:rsidR="00FC0D61" w:rsidRDefault="00FC0D61" w:rsidP="00E61546">
            <w:pPr>
              <w:spacing w:after="0" w:line="259" w:lineRule="auto"/>
              <w:ind w:left="0" w:right="44" w:firstLine="0"/>
              <w:jc w:val="center"/>
            </w:pPr>
            <w:r>
              <w:rPr>
                <w:sz w:val="18"/>
              </w:rPr>
              <w:t>205-82-3</w:t>
            </w:r>
          </w:p>
        </w:tc>
        <w:tc>
          <w:tcPr>
            <w:tcW w:w="643" w:type="dxa"/>
            <w:tcBorders>
              <w:top w:val="single" w:sz="4" w:space="0" w:color="000000"/>
              <w:left w:val="single" w:sz="12" w:space="0" w:color="000000"/>
              <w:bottom w:val="single" w:sz="4" w:space="0" w:color="000000"/>
              <w:right w:val="single" w:sz="12" w:space="0" w:color="000000"/>
            </w:tcBorders>
            <w:vAlign w:val="center"/>
          </w:tcPr>
          <w:p w14:paraId="4A8E1AB5" w14:textId="7B58B9DE" w:rsidR="00FC0D61" w:rsidRDefault="00FC0D61" w:rsidP="00796C4B">
            <w:pPr>
              <w:spacing w:after="0" w:line="259" w:lineRule="auto"/>
              <w:ind w:left="0" w:right="0" w:firstLine="0"/>
              <w:jc w:val="center"/>
            </w:pPr>
            <w:r>
              <w:rPr>
                <w:sz w:val="18"/>
              </w:rPr>
              <w:t>10</w:t>
            </w:r>
          </w:p>
        </w:tc>
        <w:tc>
          <w:tcPr>
            <w:tcW w:w="726" w:type="dxa"/>
            <w:tcBorders>
              <w:top w:val="single" w:sz="4" w:space="0" w:color="000000"/>
              <w:left w:val="single" w:sz="12" w:space="0" w:color="000000"/>
              <w:bottom w:val="single" w:sz="4" w:space="0" w:color="000000"/>
              <w:right w:val="single" w:sz="12" w:space="0" w:color="000000"/>
            </w:tcBorders>
            <w:vAlign w:val="center"/>
          </w:tcPr>
          <w:p w14:paraId="48A3714A" w14:textId="15DF64A6" w:rsidR="00FC0D61" w:rsidRDefault="00FC0D61" w:rsidP="00796C4B">
            <w:pPr>
              <w:spacing w:after="0" w:line="259" w:lineRule="auto"/>
              <w:ind w:left="0" w:right="49" w:firstLine="0"/>
              <w:jc w:val="center"/>
            </w:pPr>
            <w:r>
              <w:rPr>
                <w:sz w:val="18"/>
              </w:rPr>
              <w:t>ug/L</w:t>
            </w:r>
          </w:p>
        </w:tc>
        <w:tc>
          <w:tcPr>
            <w:tcW w:w="773" w:type="dxa"/>
            <w:tcBorders>
              <w:top w:val="single" w:sz="4" w:space="0" w:color="000000"/>
              <w:left w:val="single" w:sz="12" w:space="0" w:color="000000"/>
              <w:bottom w:val="single" w:sz="4" w:space="0" w:color="000000"/>
              <w:right w:val="single" w:sz="12" w:space="0" w:color="000000"/>
            </w:tcBorders>
            <w:vAlign w:val="center"/>
          </w:tcPr>
          <w:p w14:paraId="413DEE10" w14:textId="43101BFB" w:rsidR="00FC0D61" w:rsidRDefault="00FC0D61" w:rsidP="00796C4B">
            <w:pPr>
              <w:spacing w:after="0" w:line="259" w:lineRule="auto"/>
              <w:ind w:left="0" w:right="41" w:firstLine="0"/>
              <w:jc w:val="center"/>
            </w:pPr>
            <w:r>
              <w:rPr>
                <w:sz w:val="18"/>
              </w:rPr>
              <w:t>660</w:t>
            </w:r>
          </w:p>
        </w:tc>
        <w:tc>
          <w:tcPr>
            <w:tcW w:w="951" w:type="dxa"/>
            <w:tcBorders>
              <w:top w:val="single" w:sz="4" w:space="0" w:color="000000"/>
              <w:left w:val="single" w:sz="12" w:space="0" w:color="000000"/>
              <w:bottom w:val="single" w:sz="4" w:space="0" w:color="000000"/>
              <w:right w:val="single" w:sz="12" w:space="0" w:color="000000"/>
            </w:tcBorders>
            <w:vAlign w:val="center"/>
          </w:tcPr>
          <w:p w14:paraId="7FE2AEE8" w14:textId="5C0E4379" w:rsidR="00FC0D61" w:rsidRDefault="00FC0D61" w:rsidP="00796C4B">
            <w:pPr>
              <w:spacing w:after="0" w:line="259" w:lineRule="auto"/>
              <w:ind w:left="0" w:right="46" w:firstLine="0"/>
              <w:jc w:val="center"/>
            </w:pPr>
            <w:r>
              <w:rPr>
                <w:rFonts w:eastAsia="Segoe UI Symbol"/>
                <w:sz w:val="18"/>
              </w:rPr>
              <w:t>u</w:t>
            </w:r>
            <w:r>
              <w:rPr>
                <w:sz w:val="18"/>
              </w:rPr>
              <w:t>g/kg</w:t>
            </w:r>
          </w:p>
        </w:tc>
        <w:tc>
          <w:tcPr>
            <w:tcW w:w="630" w:type="dxa"/>
            <w:tcBorders>
              <w:top w:val="single" w:sz="4" w:space="0" w:color="000000"/>
              <w:left w:val="single" w:sz="12" w:space="0" w:color="000000"/>
              <w:bottom w:val="single" w:sz="4" w:space="0" w:color="000000"/>
              <w:right w:val="single" w:sz="12" w:space="0" w:color="000000"/>
            </w:tcBorders>
            <w:vAlign w:val="center"/>
          </w:tcPr>
          <w:p w14:paraId="365CE4FB" w14:textId="2A3F6A40" w:rsidR="00FC0D61" w:rsidRDefault="00FC0D61" w:rsidP="00DB6303">
            <w:pPr>
              <w:spacing w:after="0" w:line="259" w:lineRule="auto"/>
              <w:ind w:left="0" w:right="47" w:firstLine="0"/>
              <w:jc w:val="center"/>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24C93DD6" w14:textId="5DDBE54D" w:rsidR="00FC0D61" w:rsidRDefault="00FC0D61" w:rsidP="00331CB0">
            <w:pPr>
              <w:spacing w:after="0" w:line="259" w:lineRule="auto"/>
              <w:ind w:left="0" w:right="2" w:firstLine="0"/>
              <w:jc w:val="center"/>
            </w:pPr>
          </w:p>
        </w:tc>
        <w:tc>
          <w:tcPr>
            <w:tcW w:w="540" w:type="dxa"/>
            <w:tcBorders>
              <w:top w:val="single" w:sz="4" w:space="0" w:color="000000"/>
              <w:left w:val="single" w:sz="12" w:space="0" w:color="000000"/>
              <w:bottom w:val="single" w:sz="4" w:space="0" w:color="000000"/>
              <w:right w:val="single" w:sz="12" w:space="0" w:color="000000"/>
            </w:tcBorders>
            <w:vAlign w:val="center"/>
          </w:tcPr>
          <w:p w14:paraId="57560D9D" w14:textId="57F8A2D2" w:rsidR="00FC0D61" w:rsidRDefault="00FC0D61" w:rsidP="00DB6303">
            <w:pPr>
              <w:spacing w:after="0" w:line="259" w:lineRule="auto"/>
              <w:ind w:left="0" w:right="2" w:firstLine="0"/>
              <w:jc w:val="center"/>
            </w:pPr>
          </w:p>
        </w:tc>
        <w:tc>
          <w:tcPr>
            <w:tcW w:w="810" w:type="dxa"/>
            <w:tcBorders>
              <w:top w:val="single" w:sz="4" w:space="0" w:color="000000"/>
              <w:left w:val="single" w:sz="12" w:space="0" w:color="000000"/>
              <w:bottom w:val="single" w:sz="4" w:space="0" w:color="000000"/>
              <w:right w:val="single" w:sz="12" w:space="0" w:color="000000"/>
            </w:tcBorders>
            <w:vAlign w:val="center"/>
          </w:tcPr>
          <w:p w14:paraId="1B5515D5" w14:textId="788B490C" w:rsidR="00FC0D61" w:rsidRPr="002A2EA5" w:rsidRDefault="00FC0D61" w:rsidP="00796C4B">
            <w:pPr>
              <w:spacing w:after="0" w:line="259" w:lineRule="auto"/>
              <w:ind w:left="0" w:right="0" w:firstLine="0"/>
              <w:jc w:val="center"/>
              <w:rPr>
                <w:iCs/>
              </w:rPr>
            </w:pPr>
            <w:r w:rsidRPr="00975756">
              <w:rPr>
                <w:iCs/>
                <w:sz w:val="18"/>
              </w:rPr>
              <w:t>8270</w:t>
            </w:r>
          </w:p>
        </w:tc>
        <w:tc>
          <w:tcPr>
            <w:tcW w:w="900" w:type="dxa"/>
            <w:tcBorders>
              <w:top w:val="single" w:sz="4" w:space="0" w:color="000000"/>
              <w:left w:val="single" w:sz="12" w:space="0" w:color="000000"/>
              <w:bottom w:val="single" w:sz="4" w:space="0" w:color="000000"/>
              <w:right w:val="single" w:sz="12" w:space="0" w:color="000000"/>
            </w:tcBorders>
            <w:vAlign w:val="center"/>
          </w:tcPr>
          <w:p w14:paraId="2A333F08" w14:textId="127E4DBE" w:rsidR="00FC0D61" w:rsidRPr="002A2EA5" w:rsidRDefault="00FC0D61" w:rsidP="00796C4B">
            <w:pPr>
              <w:spacing w:after="0" w:line="259" w:lineRule="auto"/>
              <w:ind w:left="0" w:right="0" w:firstLine="0"/>
              <w:jc w:val="center"/>
              <w:rPr>
                <w:iCs/>
              </w:rPr>
            </w:pPr>
            <w:r w:rsidRPr="00975756">
              <w:rPr>
                <w:iCs/>
                <w:sz w:val="18"/>
              </w:rPr>
              <w:t>8310</w:t>
            </w:r>
          </w:p>
        </w:tc>
      </w:tr>
      <w:tr w:rsidR="00E8392B" w14:paraId="5A942838" w14:textId="77777777" w:rsidTr="005B6604">
        <w:trPr>
          <w:trHeight w:val="250"/>
        </w:trPr>
        <w:tc>
          <w:tcPr>
            <w:tcW w:w="2952" w:type="dxa"/>
            <w:tcBorders>
              <w:top w:val="single" w:sz="4" w:space="0" w:color="000000"/>
              <w:left w:val="single" w:sz="12" w:space="0" w:color="000000"/>
              <w:bottom w:val="single" w:sz="4" w:space="0" w:color="000000"/>
              <w:right w:val="single" w:sz="12" w:space="0" w:color="000000"/>
            </w:tcBorders>
          </w:tcPr>
          <w:p w14:paraId="7C94D206" w14:textId="77777777" w:rsidR="00FC0D61" w:rsidRDefault="00FC0D61" w:rsidP="00FC0D61">
            <w:pPr>
              <w:spacing w:after="0" w:line="259" w:lineRule="auto"/>
              <w:ind w:left="0" w:right="0" w:firstLine="0"/>
            </w:pPr>
            <w:r>
              <w:rPr>
                <w:sz w:val="18"/>
              </w:rPr>
              <w:t xml:space="preserve">p-Benzoquinone </w:t>
            </w:r>
          </w:p>
        </w:tc>
        <w:tc>
          <w:tcPr>
            <w:tcW w:w="1155" w:type="dxa"/>
            <w:tcBorders>
              <w:top w:val="single" w:sz="4" w:space="0" w:color="000000"/>
              <w:left w:val="single" w:sz="12" w:space="0" w:color="000000"/>
              <w:bottom w:val="single" w:sz="4" w:space="0" w:color="000000"/>
              <w:right w:val="single" w:sz="12" w:space="0" w:color="000000"/>
            </w:tcBorders>
            <w:vAlign w:val="center"/>
          </w:tcPr>
          <w:p w14:paraId="744A20A5" w14:textId="12793995" w:rsidR="00FC0D61" w:rsidRDefault="00FC0D61" w:rsidP="00E61546">
            <w:pPr>
              <w:spacing w:after="0" w:line="259" w:lineRule="auto"/>
              <w:ind w:left="0" w:right="44" w:firstLine="0"/>
              <w:jc w:val="center"/>
            </w:pPr>
            <w:r>
              <w:rPr>
                <w:sz w:val="18"/>
              </w:rPr>
              <w:t>106-51-4</w:t>
            </w:r>
          </w:p>
        </w:tc>
        <w:tc>
          <w:tcPr>
            <w:tcW w:w="643" w:type="dxa"/>
            <w:tcBorders>
              <w:top w:val="single" w:sz="4" w:space="0" w:color="000000"/>
              <w:left w:val="single" w:sz="12" w:space="0" w:color="000000"/>
              <w:bottom w:val="single" w:sz="4" w:space="0" w:color="000000"/>
              <w:right w:val="single" w:sz="12" w:space="0" w:color="000000"/>
            </w:tcBorders>
            <w:vAlign w:val="center"/>
          </w:tcPr>
          <w:p w14:paraId="5AD34C81" w14:textId="33D95913" w:rsidR="00FC0D61" w:rsidRDefault="00FC0D61" w:rsidP="00796C4B">
            <w:pPr>
              <w:spacing w:after="0" w:line="259" w:lineRule="auto"/>
              <w:ind w:left="0" w:right="0" w:firstLine="0"/>
              <w:jc w:val="center"/>
            </w:pPr>
            <w:r>
              <w:rPr>
                <w:sz w:val="18"/>
              </w:rPr>
              <w:t>10</w:t>
            </w:r>
          </w:p>
        </w:tc>
        <w:tc>
          <w:tcPr>
            <w:tcW w:w="726" w:type="dxa"/>
            <w:tcBorders>
              <w:top w:val="single" w:sz="4" w:space="0" w:color="000000"/>
              <w:left w:val="single" w:sz="12" w:space="0" w:color="000000"/>
              <w:bottom w:val="single" w:sz="4" w:space="0" w:color="000000"/>
              <w:right w:val="single" w:sz="12" w:space="0" w:color="000000"/>
            </w:tcBorders>
            <w:vAlign w:val="center"/>
          </w:tcPr>
          <w:p w14:paraId="772AE6B9" w14:textId="343AED71" w:rsidR="00FC0D61" w:rsidRDefault="00FC0D61" w:rsidP="00796C4B">
            <w:pPr>
              <w:spacing w:after="0" w:line="259" w:lineRule="auto"/>
              <w:ind w:left="0" w:right="49" w:firstLine="0"/>
              <w:jc w:val="center"/>
            </w:pPr>
            <w:r>
              <w:rPr>
                <w:sz w:val="18"/>
              </w:rPr>
              <w:t>ug/L</w:t>
            </w:r>
          </w:p>
        </w:tc>
        <w:tc>
          <w:tcPr>
            <w:tcW w:w="773" w:type="dxa"/>
            <w:tcBorders>
              <w:top w:val="single" w:sz="4" w:space="0" w:color="000000"/>
              <w:left w:val="single" w:sz="12" w:space="0" w:color="000000"/>
              <w:bottom w:val="single" w:sz="4" w:space="0" w:color="000000"/>
              <w:right w:val="single" w:sz="12" w:space="0" w:color="000000"/>
            </w:tcBorders>
            <w:vAlign w:val="center"/>
          </w:tcPr>
          <w:p w14:paraId="43E23CB2" w14:textId="371BB76E" w:rsidR="00FC0D61" w:rsidRDefault="00FC0D61" w:rsidP="00796C4B">
            <w:pPr>
              <w:spacing w:after="0" w:line="259" w:lineRule="auto"/>
              <w:ind w:left="0" w:right="41" w:firstLine="0"/>
              <w:jc w:val="center"/>
            </w:pPr>
            <w:r>
              <w:rPr>
                <w:sz w:val="18"/>
              </w:rPr>
              <w:t>660</w:t>
            </w:r>
          </w:p>
        </w:tc>
        <w:tc>
          <w:tcPr>
            <w:tcW w:w="951" w:type="dxa"/>
            <w:tcBorders>
              <w:top w:val="single" w:sz="4" w:space="0" w:color="000000"/>
              <w:left w:val="single" w:sz="12" w:space="0" w:color="000000"/>
              <w:bottom w:val="single" w:sz="4" w:space="0" w:color="000000"/>
              <w:right w:val="single" w:sz="12" w:space="0" w:color="000000"/>
            </w:tcBorders>
            <w:vAlign w:val="center"/>
          </w:tcPr>
          <w:p w14:paraId="593F4B4F" w14:textId="3D58DB24" w:rsidR="00FC0D61" w:rsidRDefault="00FC0D61" w:rsidP="00796C4B">
            <w:pPr>
              <w:spacing w:after="0" w:line="259" w:lineRule="auto"/>
              <w:ind w:left="0" w:right="46" w:firstLine="0"/>
              <w:jc w:val="center"/>
            </w:pPr>
            <w:r>
              <w:rPr>
                <w:rFonts w:eastAsia="Segoe UI Symbol"/>
                <w:sz w:val="18"/>
              </w:rPr>
              <w:t>u</w:t>
            </w:r>
            <w:r>
              <w:rPr>
                <w:sz w:val="18"/>
              </w:rPr>
              <w:t>g/kg</w:t>
            </w:r>
          </w:p>
        </w:tc>
        <w:tc>
          <w:tcPr>
            <w:tcW w:w="630" w:type="dxa"/>
            <w:tcBorders>
              <w:top w:val="single" w:sz="4" w:space="0" w:color="000000"/>
              <w:left w:val="single" w:sz="12" w:space="0" w:color="000000"/>
              <w:bottom w:val="single" w:sz="4" w:space="0" w:color="000000"/>
              <w:right w:val="single" w:sz="12" w:space="0" w:color="000000"/>
            </w:tcBorders>
            <w:vAlign w:val="center"/>
          </w:tcPr>
          <w:p w14:paraId="6C38FCF3" w14:textId="14DBC84D" w:rsidR="00FC0D61" w:rsidRDefault="00FC0D61" w:rsidP="00DB6303">
            <w:pPr>
              <w:spacing w:after="0" w:line="259" w:lineRule="auto"/>
              <w:ind w:left="0" w:right="47" w:firstLine="0"/>
              <w:jc w:val="center"/>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614CDBA7" w14:textId="4E9FEBBE" w:rsidR="00FC0D61" w:rsidRDefault="00FC0D61" w:rsidP="00331CB0">
            <w:pPr>
              <w:spacing w:after="0" w:line="259" w:lineRule="auto"/>
              <w:ind w:left="0" w:right="2" w:firstLine="0"/>
              <w:jc w:val="center"/>
            </w:pPr>
          </w:p>
        </w:tc>
        <w:tc>
          <w:tcPr>
            <w:tcW w:w="540" w:type="dxa"/>
            <w:tcBorders>
              <w:top w:val="single" w:sz="4" w:space="0" w:color="000000"/>
              <w:left w:val="single" w:sz="12" w:space="0" w:color="000000"/>
              <w:bottom w:val="single" w:sz="4" w:space="0" w:color="000000"/>
              <w:right w:val="single" w:sz="12" w:space="0" w:color="000000"/>
            </w:tcBorders>
            <w:vAlign w:val="center"/>
          </w:tcPr>
          <w:p w14:paraId="5C938CBA" w14:textId="6823B395" w:rsidR="00FC0D61" w:rsidRDefault="00FC0D61" w:rsidP="00DB6303">
            <w:pPr>
              <w:spacing w:after="0" w:line="259" w:lineRule="auto"/>
              <w:ind w:left="0" w:right="2" w:firstLine="0"/>
              <w:jc w:val="center"/>
            </w:pPr>
          </w:p>
        </w:tc>
        <w:tc>
          <w:tcPr>
            <w:tcW w:w="810" w:type="dxa"/>
            <w:tcBorders>
              <w:top w:val="single" w:sz="4" w:space="0" w:color="000000"/>
              <w:left w:val="single" w:sz="12" w:space="0" w:color="000000"/>
              <w:bottom w:val="single" w:sz="4" w:space="0" w:color="000000"/>
              <w:right w:val="single" w:sz="12" w:space="0" w:color="000000"/>
            </w:tcBorders>
            <w:vAlign w:val="center"/>
          </w:tcPr>
          <w:p w14:paraId="238AAD77" w14:textId="3CAD59FC" w:rsidR="00FC0D61" w:rsidRDefault="00FC0D61" w:rsidP="00796C4B">
            <w:pPr>
              <w:spacing w:after="0" w:line="259" w:lineRule="auto"/>
              <w:ind w:left="0" w:right="0" w:firstLine="0"/>
              <w:jc w:val="center"/>
            </w:pPr>
            <w:r>
              <w:rPr>
                <w:sz w:val="18"/>
              </w:rPr>
              <w:t>8270</w:t>
            </w:r>
          </w:p>
        </w:tc>
        <w:tc>
          <w:tcPr>
            <w:tcW w:w="900" w:type="dxa"/>
            <w:tcBorders>
              <w:top w:val="single" w:sz="4" w:space="0" w:color="000000"/>
              <w:left w:val="single" w:sz="12" w:space="0" w:color="000000"/>
              <w:bottom w:val="single" w:sz="4" w:space="0" w:color="000000"/>
              <w:right w:val="single" w:sz="12" w:space="0" w:color="000000"/>
            </w:tcBorders>
            <w:vAlign w:val="center"/>
          </w:tcPr>
          <w:p w14:paraId="1A2D654E" w14:textId="6161DFE0" w:rsidR="00FC0D61" w:rsidRDefault="00FC0D61" w:rsidP="00796C4B">
            <w:pPr>
              <w:spacing w:after="0" w:line="259" w:lineRule="auto"/>
              <w:ind w:left="0" w:right="0" w:firstLine="0"/>
              <w:jc w:val="center"/>
            </w:pPr>
          </w:p>
        </w:tc>
      </w:tr>
      <w:tr w:rsidR="00E8392B" w14:paraId="3A7B5686" w14:textId="77777777" w:rsidTr="005B6604">
        <w:trPr>
          <w:trHeight w:val="252"/>
        </w:trPr>
        <w:tc>
          <w:tcPr>
            <w:tcW w:w="2952" w:type="dxa"/>
            <w:tcBorders>
              <w:top w:val="single" w:sz="4" w:space="0" w:color="000000"/>
              <w:left w:val="single" w:sz="12" w:space="0" w:color="000000"/>
              <w:bottom w:val="single" w:sz="4" w:space="0" w:color="000000"/>
              <w:right w:val="single" w:sz="12" w:space="0" w:color="000000"/>
            </w:tcBorders>
          </w:tcPr>
          <w:p w14:paraId="00D7BFBE" w14:textId="77777777" w:rsidR="00FC0D61" w:rsidRDefault="00FC0D61" w:rsidP="00FC0D61">
            <w:pPr>
              <w:spacing w:after="0" w:line="259" w:lineRule="auto"/>
              <w:ind w:left="0" w:right="0" w:firstLine="0"/>
            </w:pPr>
            <w:proofErr w:type="spellStart"/>
            <w:r>
              <w:rPr>
                <w:sz w:val="18"/>
              </w:rPr>
              <w:t>Benzotrichloride</w:t>
            </w:r>
            <w:proofErr w:type="spellEnd"/>
            <w:r>
              <w:rPr>
                <w:sz w:val="18"/>
              </w:rPr>
              <w:t xml:space="preserve"> </w:t>
            </w:r>
          </w:p>
        </w:tc>
        <w:tc>
          <w:tcPr>
            <w:tcW w:w="1155" w:type="dxa"/>
            <w:tcBorders>
              <w:top w:val="single" w:sz="4" w:space="0" w:color="000000"/>
              <w:left w:val="single" w:sz="12" w:space="0" w:color="000000"/>
              <w:bottom w:val="single" w:sz="4" w:space="0" w:color="000000"/>
              <w:right w:val="single" w:sz="12" w:space="0" w:color="000000"/>
            </w:tcBorders>
            <w:vAlign w:val="center"/>
          </w:tcPr>
          <w:p w14:paraId="6FE395DE" w14:textId="02D69196" w:rsidR="00FC0D61" w:rsidRDefault="00FC0D61" w:rsidP="00E61546">
            <w:pPr>
              <w:spacing w:after="0" w:line="259" w:lineRule="auto"/>
              <w:ind w:left="0" w:right="44" w:firstLine="0"/>
              <w:jc w:val="center"/>
            </w:pPr>
            <w:r>
              <w:rPr>
                <w:sz w:val="18"/>
              </w:rPr>
              <w:t>98-07-7</w:t>
            </w:r>
          </w:p>
        </w:tc>
        <w:tc>
          <w:tcPr>
            <w:tcW w:w="643" w:type="dxa"/>
            <w:tcBorders>
              <w:top w:val="single" w:sz="4" w:space="0" w:color="000000"/>
              <w:left w:val="single" w:sz="12" w:space="0" w:color="000000"/>
              <w:bottom w:val="single" w:sz="4" w:space="0" w:color="000000"/>
              <w:right w:val="single" w:sz="12" w:space="0" w:color="000000"/>
            </w:tcBorders>
            <w:vAlign w:val="center"/>
          </w:tcPr>
          <w:p w14:paraId="08F9482F" w14:textId="7F6BED73" w:rsidR="00FC0D61" w:rsidRDefault="00FC0D61" w:rsidP="00796C4B">
            <w:pPr>
              <w:tabs>
                <w:tab w:val="center" w:pos="261"/>
              </w:tabs>
              <w:spacing w:after="0" w:line="259" w:lineRule="auto"/>
              <w:ind w:left="0" w:right="0" w:firstLine="0"/>
              <w:jc w:val="center"/>
            </w:pPr>
            <w:r>
              <w:rPr>
                <w:sz w:val="18"/>
              </w:rPr>
              <w:t>1</w:t>
            </w:r>
          </w:p>
        </w:tc>
        <w:tc>
          <w:tcPr>
            <w:tcW w:w="726" w:type="dxa"/>
            <w:tcBorders>
              <w:top w:val="single" w:sz="4" w:space="0" w:color="000000"/>
              <w:left w:val="single" w:sz="12" w:space="0" w:color="000000"/>
              <w:bottom w:val="single" w:sz="4" w:space="0" w:color="000000"/>
              <w:right w:val="single" w:sz="12" w:space="0" w:color="000000"/>
            </w:tcBorders>
            <w:vAlign w:val="center"/>
          </w:tcPr>
          <w:p w14:paraId="5E52ECB1" w14:textId="6A815161" w:rsidR="00FC0D61" w:rsidRDefault="00FC0D61" w:rsidP="00796C4B">
            <w:pPr>
              <w:spacing w:after="0" w:line="259" w:lineRule="auto"/>
              <w:ind w:left="0" w:right="49" w:firstLine="0"/>
              <w:jc w:val="center"/>
            </w:pPr>
            <w:r>
              <w:rPr>
                <w:sz w:val="18"/>
              </w:rPr>
              <w:t>ug/L</w:t>
            </w:r>
          </w:p>
        </w:tc>
        <w:tc>
          <w:tcPr>
            <w:tcW w:w="773" w:type="dxa"/>
            <w:tcBorders>
              <w:top w:val="single" w:sz="4" w:space="0" w:color="000000"/>
              <w:left w:val="single" w:sz="12" w:space="0" w:color="000000"/>
              <w:bottom w:val="single" w:sz="4" w:space="0" w:color="000000"/>
              <w:right w:val="single" w:sz="12" w:space="0" w:color="000000"/>
            </w:tcBorders>
            <w:vAlign w:val="center"/>
          </w:tcPr>
          <w:p w14:paraId="2E4F364B" w14:textId="12319A12" w:rsidR="00FC0D61" w:rsidRDefault="00FC0D61" w:rsidP="00796C4B">
            <w:pPr>
              <w:spacing w:after="0" w:line="259" w:lineRule="auto"/>
              <w:ind w:left="0" w:right="44" w:firstLine="0"/>
              <w:jc w:val="center"/>
            </w:pPr>
            <w:r>
              <w:rPr>
                <w:sz w:val="18"/>
              </w:rPr>
              <w:t>5</w:t>
            </w:r>
          </w:p>
        </w:tc>
        <w:tc>
          <w:tcPr>
            <w:tcW w:w="951" w:type="dxa"/>
            <w:tcBorders>
              <w:top w:val="single" w:sz="4" w:space="0" w:color="000000"/>
              <w:left w:val="single" w:sz="12" w:space="0" w:color="000000"/>
              <w:bottom w:val="single" w:sz="4" w:space="0" w:color="000000"/>
              <w:right w:val="single" w:sz="12" w:space="0" w:color="000000"/>
            </w:tcBorders>
            <w:vAlign w:val="center"/>
          </w:tcPr>
          <w:p w14:paraId="2FE2959E" w14:textId="52D4065D" w:rsidR="00FC0D61" w:rsidRDefault="00FC0D61" w:rsidP="00796C4B">
            <w:pPr>
              <w:spacing w:after="0" w:line="259" w:lineRule="auto"/>
              <w:ind w:left="0" w:right="46" w:firstLine="0"/>
              <w:jc w:val="center"/>
            </w:pPr>
            <w:r>
              <w:rPr>
                <w:rFonts w:eastAsia="Segoe UI Symbol"/>
                <w:sz w:val="18"/>
              </w:rPr>
              <w:t>u</w:t>
            </w:r>
            <w:r>
              <w:rPr>
                <w:sz w:val="18"/>
              </w:rPr>
              <w:t>g/kg</w:t>
            </w:r>
          </w:p>
        </w:tc>
        <w:tc>
          <w:tcPr>
            <w:tcW w:w="630" w:type="dxa"/>
            <w:tcBorders>
              <w:top w:val="single" w:sz="4" w:space="0" w:color="000000"/>
              <w:left w:val="single" w:sz="12" w:space="0" w:color="000000"/>
              <w:bottom w:val="single" w:sz="4" w:space="0" w:color="000000"/>
              <w:right w:val="single" w:sz="12" w:space="0" w:color="000000"/>
            </w:tcBorders>
            <w:vAlign w:val="center"/>
          </w:tcPr>
          <w:p w14:paraId="229294FC" w14:textId="13F05CD0" w:rsidR="00FC0D61" w:rsidRDefault="00FC0D61" w:rsidP="00DB6303">
            <w:pPr>
              <w:spacing w:after="0" w:line="259" w:lineRule="auto"/>
              <w:ind w:left="0" w:right="47" w:firstLine="0"/>
              <w:jc w:val="center"/>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6C6A3F11" w14:textId="07255ADA" w:rsidR="00FC0D61" w:rsidRDefault="00FC0D61" w:rsidP="00331CB0">
            <w:pPr>
              <w:spacing w:after="0" w:line="259" w:lineRule="auto"/>
              <w:ind w:left="0" w:right="2" w:firstLine="0"/>
              <w:jc w:val="center"/>
            </w:pPr>
          </w:p>
        </w:tc>
        <w:tc>
          <w:tcPr>
            <w:tcW w:w="540" w:type="dxa"/>
            <w:tcBorders>
              <w:top w:val="single" w:sz="4" w:space="0" w:color="000000"/>
              <w:left w:val="single" w:sz="12" w:space="0" w:color="000000"/>
              <w:bottom w:val="single" w:sz="4" w:space="0" w:color="000000"/>
              <w:right w:val="single" w:sz="12" w:space="0" w:color="000000"/>
            </w:tcBorders>
            <w:vAlign w:val="center"/>
          </w:tcPr>
          <w:p w14:paraId="43025FDE" w14:textId="3F1B1504" w:rsidR="00FC0D61" w:rsidRDefault="00FC0D61" w:rsidP="00DB6303">
            <w:pPr>
              <w:spacing w:after="0" w:line="259" w:lineRule="auto"/>
              <w:ind w:left="0" w:right="2" w:firstLine="0"/>
              <w:jc w:val="center"/>
            </w:pPr>
          </w:p>
        </w:tc>
        <w:tc>
          <w:tcPr>
            <w:tcW w:w="810" w:type="dxa"/>
            <w:tcBorders>
              <w:top w:val="single" w:sz="4" w:space="0" w:color="000000"/>
              <w:left w:val="single" w:sz="12" w:space="0" w:color="000000"/>
              <w:bottom w:val="single" w:sz="4" w:space="0" w:color="000000"/>
              <w:right w:val="single" w:sz="12" w:space="0" w:color="000000"/>
            </w:tcBorders>
            <w:vAlign w:val="center"/>
          </w:tcPr>
          <w:p w14:paraId="4D24A8AE" w14:textId="0D0220A9" w:rsidR="00FC0D61" w:rsidRDefault="00FC0D61" w:rsidP="00796C4B">
            <w:pPr>
              <w:spacing w:after="0" w:line="259" w:lineRule="auto"/>
              <w:ind w:left="0" w:right="0" w:firstLine="0"/>
              <w:jc w:val="center"/>
            </w:pPr>
            <w:r>
              <w:rPr>
                <w:sz w:val="18"/>
              </w:rPr>
              <w:t>8121</w:t>
            </w:r>
          </w:p>
        </w:tc>
        <w:tc>
          <w:tcPr>
            <w:tcW w:w="900" w:type="dxa"/>
            <w:tcBorders>
              <w:top w:val="single" w:sz="4" w:space="0" w:color="000000"/>
              <w:left w:val="single" w:sz="12" w:space="0" w:color="000000"/>
              <w:bottom w:val="single" w:sz="4" w:space="0" w:color="000000"/>
              <w:right w:val="single" w:sz="12" w:space="0" w:color="000000"/>
            </w:tcBorders>
            <w:vAlign w:val="center"/>
          </w:tcPr>
          <w:p w14:paraId="1267FDAB" w14:textId="25AB9D95" w:rsidR="00FC0D61" w:rsidRDefault="00FC0D61" w:rsidP="00796C4B">
            <w:pPr>
              <w:spacing w:after="0" w:line="259" w:lineRule="auto"/>
              <w:ind w:left="0" w:right="0" w:firstLine="0"/>
              <w:jc w:val="center"/>
            </w:pPr>
          </w:p>
        </w:tc>
      </w:tr>
      <w:tr w:rsidR="00E8392B" w14:paraId="4B8CC70B" w14:textId="77777777" w:rsidTr="005B6604">
        <w:trPr>
          <w:trHeight w:val="250"/>
        </w:trPr>
        <w:tc>
          <w:tcPr>
            <w:tcW w:w="2952" w:type="dxa"/>
            <w:tcBorders>
              <w:top w:val="single" w:sz="4" w:space="0" w:color="000000"/>
              <w:left w:val="single" w:sz="12" w:space="0" w:color="000000"/>
              <w:bottom w:val="single" w:sz="4" w:space="0" w:color="000000"/>
              <w:right w:val="single" w:sz="12" w:space="0" w:color="000000"/>
            </w:tcBorders>
          </w:tcPr>
          <w:p w14:paraId="28B31E82" w14:textId="77777777" w:rsidR="00FC0D61" w:rsidRDefault="00FC0D61" w:rsidP="00FC0D61">
            <w:pPr>
              <w:spacing w:after="0" w:line="259" w:lineRule="auto"/>
              <w:ind w:left="0" w:right="0" w:firstLine="0"/>
            </w:pPr>
            <w:r>
              <w:rPr>
                <w:sz w:val="18"/>
              </w:rPr>
              <w:t>Dibenz[</w:t>
            </w:r>
            <w:proofErr w:type="spellStart"/>
            <w:proofErr w:type="gramStart"/>
            <w:r>
              <w:rPr>
                <w:sz w:val="18"/>
              </w:rPr>
              <w:t>a,h</w:t>
            </w:r>
            <w:proofErr w:type="spellEnd"/>
            <w:proofErr w:type="gramEnd"/>
            <w:r>
              <w:rPr>
                <w:sz w:val="18"/>
              </w:rPr>
              <w:t xml:space="preserve">]acridine </w:t>
            </w:r>
          </w:p>
        </w:tc>
        <w:tc>
          <w:tcPr>
            <w:tcW w:w="1155" w:type="dxa"/>
            <w:tcBorders>
              <w:top w:val="single" w:sz="4" w:space="0" w:color="000000"/>
              <w:left w:val="single" w:sz="12" w:space="0" w:color="000000"/>
              <w:bottom w:val="single" w:sz="4" w:space="0" w:color="000000"/>
              <w:right w:val="single" w:sz="12" w:space="0" w:color="000000"/>
            </w:tcBorders>
            <w:vAlign w:val="center"/>
          </w:tcPr>
          <w:p w14:paraId="7AA6342B" w14:textId="43C91AB8" w:rsidR="00FC0D61" w:rsidRDefault="00FC0D61" w:rsidP="00E61546">
            <w:pPr>
              <w:spacing w:after="0" w:line="259" w:lineRule="auto"/>
              <w:ind w:left="0" w:right="44" w:firstLine="0"/>
              <w:jc w:val="center"/>
            </w:pPr>
            <w:r>
              <w:rPr>
                <w:sz w:val="18"/>
              </w:rPr>
              <w:t>226-36-8</w:t>
            </w:r>
          </w:p>
        </w:tc>
        <w:tc>
          <w:tcPr>
            <w:tcW w:w="643" w:type="dxa"/>
            <w:tcBorders>
              <w:top w:val="single" w:sz="4" w:space="0" w:color="000000"/>
              <w:left w:val="single" w:sz="12" w:space="0" w:color="000000"/>
              <w:bottom w:val="single" w:sz="4" w:space="0" w:color="000000"/>
              <w:right w:val="single" w:sz="12" w:space="0" w:color="000000"/>
            </w:tcBorders>
            <w:vAlign w:val="center"/>
          </w:tcPr>
          <w:p w14:paraId="552C58BF" w14:textId="11BBDCD1" w:rsidR="00FC0D61" w:rsidRDefault="00FC0D61" w:rsidP="00796C4B">
            <w:pPr>
              <w:spacing w:after="0" w:line="259" w:lineRule="auto"/>
              <w:ind w:left="0" w:right="0" w:firstLine="0"/>
              <w:jc w:val="center"/>
            </w:pPr>
            <w:r>
              <w:rPr>
                <w:sz w:val="18"/>
              </w:rPr>
              <w:t>10</w:t>
            </w:r>
          </w:p>
        </w:tc>
        <w:tc>
          <w:tcPr>
            <w:tcW w:w="726" w:type="dxa"/>
            <w:tcBorders>
              <w:top w:val="single" w:sz="4" w:space="0" w:color="000000"/>
              <w:left w:val="single" w:sz="12" w:space="0" w:color="000000"/>
              <w:bottom w:val="single" w:sz="4" w:space="0" w:color="000000"/>
              <w:right w:val="single" w:sz="12" w:space="0" w:color="000000"/>
            </w:tcBorders>
            <w:vAlign w:val="center"/>
          </w:tcPr>
          <w:p w14:paraId="21556C6F" w14:textId="6F12F200" w:rsidR="00FC0D61" w:rsidRDefault="00FC0D61" w:rsidP="00796C4B">
            <w:pPr>
              <w:spacing w:after="0" w:line="259" w:lineRule="auto"/>
              <w:ind w:left="0" w:right="49" w:firstLine="0"/>
              <w:jc w:val="center"/>
            </w:pPr>
            <w:r>
              <w:rPr>
                <w:sz w:val="18"/>
              </w:rPr>
              <w:t>ug/L</w:t>
            </w:r>
          </w:p>
        </w:tc>
        <w:tc>
          <w:tcPr>
            <w:tcW w:w="773" w:type="dxa"/>
            <w:tcBorders>
              <w:top w:val="single" w:sz="4" w:space="0" w:color="000000"/>
              <w:left w:val="single" w:sz="12" w:space="0" w:color="000000"/>
              <w:bottom w:val="single" w:sz="4" w:space="0" w:color="000000"/>
              <w:right w:val="single" w:sz="12" w:space="0" w:color="000000"/>
            </w:tcBorders>
            <w:vAlign w:val="center"/>
          </w:tcPr>
          <w:p w14:paraId="652D9804" w14:textId="18F97106" w:rsidR="00FC0D61" w:rsidRDefault="00FC0D61" w:rsidP="00796C4B">
            <w:pPr>
              <w:spacing w:after="0" w:line="259" w:lineRule="auto"/>
              <w:ind w:left="0" w:right="41" w:firstLine="0"/>
              <w:jc w:val="center"/>
            </w:pPr>
            <w:r>
              <w:rPr>
                <w:sz w:val="18"/>
              </w:rPr>
              <w:t>660</w:t>
            </w:r>
          </w:p>
        </w:tc>
        <w:tc>
          <w:tcPr>
            <w:tcW w:w="951" w:type="dxa"/>
            <w:tcBorders>
              <w:top w:val="single" w:sz="4" w:space="0" w:color="000000"/>
              <w:left w:val="single" w:sz="12" w:space="0" w:color="000000"/>
              <w:bottom w:val="single" w:sz="4" w:space="0" w:color="000000"/>
              <w:right w:val="single" w:sz="12" w:space="0" w:color="000000"/>
            </w:tcBorders>
            <w:vAlign w:val="center"/>
          </w:tcPr>
          <w:p w14:paraId="212DCC6A" w14:textId="66E53D8F" w:rsidR="00FC0D61" w:rsidRDefault="00FC0D61" w:rsidP="00796C4B">
            <w:pPr>
              <w:spacing w:after="0" w:line="259" w:lineRule="auto"/>
              <w:ind w:left="0" w:right="46" w:firstLine="0"/>
              <w:jc w:val="center"/>
            </w:pPr>
            <w:r>
              <w:rPr>
                <w:rFonts w:eastAsia="Segoe UI Symbol"/>
                <w:sz w:val="18"/>
              </w:rPr>
              <w:t>u</w:t>
            </w:r>
            <w:r>
              <w:rPr>
                <w:sz w:val="18"/>
              </w:rPr>
              <w:t>g/kg</w:t>
            </w:r>
          </w:p>
        </w:tc>
        <w:tc>
          <w:tcPr>
            <w:tcW w:w="630" w:type="dxa"/>
            <w:tcBorders>
              <w:top w:val="single" w:sz="4" w:space="0" w:color="000000"/>
              <w:left w:val="single" w:sz="12" w:space="0" w:color="000000"/>
              <w:bottom w:val="single" w:sz="4" w:space="0" w:color="000000"/>
              <w:right w:val="single" w:sz="12" w:space="0" w:color="000000"/>
            </w:tcBorders>
            <w:vAlign w:val="center"/>
          </w:tcPr>
          <w:p w14:paraId="7507B4C1" w14:textId="3471ABFA" w:rsidR="00FC0D61" w:rsidRDefault="00FC0D61" w:rsidP="00DB6303">
            <w:pPr>
              <w:spacing w:after="0" w:line="259" w:lineRule="auto"/>
              <w:ind w:left="0" w:right="47" w:firstLine="0"/>
              <w:jc w:val="center"/>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43AE3D6F" w14:textId="07DF6386" w:rsidR="00FC0D61" w:rsidRDefault="00FC0D61" w:rsidP="00331CB0">
            <w:pPr>
              <w:spacing w:after="0" w:line="259" w:lineRule="auto"/>
              <w:ind w:left="0" w:right="2" w:firstLine="0"/>
              <w:jc w:val="center"/>
            </w:pPr>
          </w:p>
        </w:tc>
        <w:tc>
          <w:tcPr>
            <w:tcW w:w="540" w:type="dxa"/>
            <w:tcBorders>
              <w:top w:val="single" w:sz="4" w:space="0" w:color="000000"/>
              <w:left w:val="single" w:sz="12" w:space="0" w:color="000000"/>
              <w:bottom w:val="single" w:sz="4" w:space="0" w:color="000000"/>
              <w:right w:val="single" w:sz="12" w:space="0" w:color="000000"/>
            </w:tcBorders>
            <w:vAlign w:val="center"/>
          </w:tcPr>
          <w:p w14:paraId="0E77A5C4" w14:textId="1FF9CD05" w:rsidR="00FC0D61" w:rsidRDefault="00FC0D61" w:rsidP="00DB6303">
            <w:pPr>
              <w:spacing w:after="0" w:line="259" w:lineRule="auto"/>
              <w:ind w:left="0" w:right="2" w:firstLine="0"/>
              <w:jc w:val="center"/>
            </w:pPr>
          </w:p>
        </w:tc>
        <w:tc>
          <w:tcPr>
            <w:tcW w:w="810" w:type="dxa"/>
            <w:tcBorders>
              <w:top w:val="single" w:sz="4" w:space="0" w:color="000000"/>
              <w:left w:val="single" w:sz="12" w:space="0" w:color="000000"/>
              <w:bottom w:val="single" w:sz="4" w:space="0" w:color="000000"/>
              <w:right w:val="single" w:sz="12" w:space="0" w:color="000000"/>
            </w:tcBorders>
            <w:vAlign w:val="center"/>
          </w:tcPr>
          <w:p w14:paraId="1F1F0CE6" w14:textId="4D3AFB47" w:rsidR="00FC0D61" w:rsidRPr="002A2EA5" w:rsidRDefault="00FC0D61" w:rsidP="00796C4B">
            <w:pPr>
              <w:spacing w:after="0" w:line="259" w:lineRule="auto"/>
              <w:ind w:left="0" w:right="0" w:firstLine="0"/>
              <w:jc w:val="center"/>
              <w:rPr>
                <w:iCs/>
              </w:rPr>
            </w:pPr>
            <w:r w:rsidRPr="00975756">
              <w:rPr>
                <w:iCs/>
                <w:sz w:val="18"/>
              </w:rPr>
              <w:t>8270</w:t>
            </w:r>
          </w:p>
        </w:tc>
        <w:tc>
          <w:tcPr>
            <w:tcW w:w="900" w:type="dxa"/>
            <w:tcBorders>
              <w:top w:val="single" w:sz="4" w:space="0" w:color="000000"/>
              <w:left w:val="single" w:sz="12" w:space="0" w:color="000000"/>
              <w:bottom w:val="single" w:sz="4" w:space="0" w:color="000000"/>
              <w:right w:val="single" w:sz="12" w:space="0" w:color="000000"/>
            </w:tcBorders>
            <w:vAlign w:val="center"/>
          </w:tcPr>
          <w:p w14:paraId="053E8BFB" w14:textId="6AC6B10D" w:rsidR="00FC0D61" w:rsidRPr="002A2EA5" w:rsidRDefault="00FC0D61" w:rsidP="00796C4B">
            <w:pPr>
              <w:spacing w:after="0" w:line="259" w:lineRule="auto"/>
              <w:ind w:left="0" w:right="0" w:firstLine="0"/>
              <w:jc w:val="center"/>
              <w:rPr>
                <w:iCs/>
              </w:rPr>
            </w:pPr>
            <w:r w:rsidRPr="00975756">
              <w:rPr>
                <w:iCs/>
                <w:sz w:val="18"/>
              </w:rPr>
              <w:t>8310</w:t>
            </w:r>
          </w:p>
        </w:tc>
      </w:tr>
      <w:tr w:rsidR="00E8392B" w14:paraId="18C61495" w14:textId="77777777" w:rsidTr="005B6604">
        <w:trPr>
          <w:trHeight w:val="250"/>
        </w:trPr>
        <w:tc>
          <w:tcPr>
            <w:tcW w:w="2952" w:type="dxa"/>
            <w:tcBorders>
              <w:top w:val="single" w:sz="4" w:space="0" w:color="000000"/>
              <w:left w:val="single" w:sz="12" w:space="0" w:color="000000"/>
              <w:bottom w:val="single" w:sz="4" w:space="0" w:color="000000"/>
              <w:right w:val="single" w:sz="12" w:space="0" w:color="000000"/>
            </w:tcBorders>
          </w:tcPr>
          <w:p w14:paraId="72BCC6F0" w14:textId="77777777" w:rsidR="00FC0D61" w:rsidRDefault="00FC0D61" w:rsidP="00FC0D61">
            <w:pPr>
              <w:spacing w:after="0" w:line="259" w:lineRule="auto"/>
              <w:ind w:left="0" w:right="0" w:firstLine="0"/>
            </w:pPr>
            <w:r>
              <w:rPr>
                <w:sz w:val="18"/>
              </w:rPr>
              <w:t>Dibenz[</w:t>
            </w:r>
            <w:proofErr w:type="spellStart"/>
            <w:proofErr w:type="gramStart"/>
            <w:r>
              <w:rPr>
                <w:sz w:val="18"/>
              </w:rPr>
              <w:t>a,j</w:t>
            </w:r>
            <w:proofErr w:type="spellEnd"/>
            <w:proofErr w:type="gramEnd"/>
            <w:r>
              <w:rPr>
                <w:sz w:val="18"/>
              </w:rPr>
              <w:t xml:space="preserve">]acridine </w:t>
            </w:r>
          </w:p>
        </w:tc>
        <w:tc>
          <w:tcPr>
            <w:tcW w:w="1155" w:type="dxa"/>
            <w:tcBorders>
              <w:top w:val="single" w:sz="4" w:space="0" w:color="000000"/>
              <w:left w:val="single" w:sz="12" w:space="0" w:color="000000"/>
              <w:bottom w:val="single" w:sz="4" w:space="0" w:color="000000"/>
              <w:right w:val="single" w:sz="12" w:space="0" w:color="000000"/>
            </w:tcBorders>
            <w:vAlign w:val="center"/>
          </w:tcPr>
          <w:p w14:paraId="4F28CC23" w14:textId="63832CE4" w:rsidR="00FC0D61" w:rsidRDefault="00FC0D61" w:rsidP="00E61546">
            <w:pPr>
              <w:spacing w:after="0" w:line="259" w:lineRule="auto"/>
              <w:ind w:left="0" w:right="44" w:firstLine="0"/>
              <w:jc w:val="center"/>
            </w:pPr>
            <w:r>
              <w:rPr>
                <w:sz w:val="18"/>
              </w:rPr>
              <w:t>224-42-0</w:t>
            </w:r>
          </w:p>
        </w:tc>
        <w:tc>
          <w:tcPr>
            <w:tcW w:w="643" w:type="dxa"/>
            <w:tcBorders>
              <w:top w:val="single" w:sz="4" w:space="0" w:color="000000"/>
              <w:left w:val="single" w:sz="12" w:space="0" w:color="000000"/>
              <w:bottom w:val="single" w:sz="4" w:space="0" w:color="000000"/>
              <w:right w:val="single" w:sz="12" w:space="0" w:color="000000"/>
            </w:tcBorders>
            <w:vAlign w:val="center"/>
          </w:tcPr>
          <w:p w14:paraId="6B2C4ABB" w14:textId="470C8699" w:rsidR="00FC0D61" w:rsidRDefault="00FC0D61" w:rsidP="00796C4B">
            <w:pPr>
              <w:spacing w:after="0" w:line="259" w:lineRule="auto"/>
              <w:ind w:left="0" w:right="0" w:firstLine="0"/>
              <w:jc w:val="center"/>
            </w:pPr>
            <w:r>
              <w:rPr>
                <w:sz w:val="18"/>
              </w:rPr>
              <w:t>10</w:t>
            </w:r>
          </w:p>
        </w:tc>
        <w:tc>
          <w:tcPr>
            <w:tcW w:w="726" w:type="dxa"/>
            <w:tcBorders>
              <w:top w:val="single" w:sz="4" w:space="0" w:color="000000"/>
              <w:left w:val="single" w:sz="12" w:space="0" w:color="000000"/>
              <w:bottom w:val="single" w:sz="4" w:space="0" w:color="000000"/>
              <w:right w:val="single" w:sz="12" w:space="0" w:color="000000"/>
            </w:tcBorders>
            <w:vAlign w:val="center"/>
          </w:tcPr>
          <w:p w14:paraId="1D3BD6FB" w14:textId="4694799E" w:rsidR="00FC0D61" w:rsidRDefault="00FC0D61" w:rsidP="00796C4B">
            <w:pPr>
              <w:spacing w:after="0" w:line="259" w:lineRule="auto"/>
              <w:ind w:left="0" w:right="49" w:firstLine="0"/>
              <w:jc w:val="center"/>
            </w:pPr>
            <w:r>
              <w:rPr>
                <w:sz w:val="18"/>
              </w:rPr>
              <w:t>ug/L</w:t>
            </w:r>
          </w:p>
        </w:tc>
        <w:tc>
          <w:tcPr>
            <w:tcW w:w="773" w:type="dxa"/>
            <w:tcBorders>
              <w:top w:val="single" w:sz="4" w:space="0" w:color="000000"/>
              <w:left w:val="single" w:sz="12" w:space="0" w:color="000000"/>
              <w:bottom w:val="single" w:sz="4" w:space="0" w:color="000000"/>
              <w:right w:val="single" w:sz="12" w:space="0" w:color="000000"/>
            </w:tcBorders>
            <w:vAlign w:val="center"/>
          </w:tcPr>
          <w:p w14:paraId="1BB31628" w14:textId="3210A48D" w:rsidR="00FC0D61" w:rsidRDefault="00FC0D61" w:rsidP="00796C4B">
            <w:pPr>
              <w:spacing w:after="0" w:line="259" w:lineRule="auto"/>
              <w:ind w:left="0" w:right="41" w:firstLine="0"/>
              <w:jc w:val="center"/>
            </w:pPr>
            <w:r>
              <w:rPr>
                <w:sz w:val="18"/>
              </w:rPr>
              <w:t>660</w:t>
            </w:r>
          </w:p>
        </w:tc>
        <w:tc>
          <w:tcPr>
            <w:tcW w:w="951" w:type="dxa"/>
            <w:tcBorders>
              <w:top w:val="single" w:sz="4" w:space="0" w:color="000000"/>
              <w:left w:val="single" w:sz="12" w:space="0" w:color="000000"/>
              <w:bottom w:val="single" w:sz="4" w:space="0" w:color="000000"/>
              <w:right w:val="single" w:sz="12" w:space="0" w:color="000000"/>
            </w:tcBorders>
            <w:vAlign w:val="center"/>
          </w:tcPr>
          <w:p w14:paraId="4065AE22" w14:textId="61F0E270" w:rsidR="00FC0D61" w:rsidRDefault="00FC0D61" w:rsidP="00796C4B">
            <w:pPr>
              <w:spacing w:after="0" w:line="259" w:lineRule="auto"/>
              <w:ind w:left="0" w:right="46" w:firstLine="0"/>
              <w:jc w:val="center"/>
            </w:pPr>
            <w:r>
              <w:rPr>
                <w:rFonts w:eastAsia="Segoe UI Symbol"/>
                <w:sz w:val="18"/>
              </w:rPr>
              <w:t>u</w:t>
            </w:r>
            <w:r>
              <w:rPr>
                <w:sz w:val="18"/>
              </w:rPr>
              <w:t>g/kg</w:t>
            </w:r>
          </w:p>
        </w:tc>
        <w:tc>
          <w:tcPr>
            <w:tcW w:w="630" w:type="dxa"/>
            <w:tcBorders>
              <w:top w:val="single" w:sz="4" w:space="0" w:color="000000"/>
              <w:left w:val="single" w:sz="12" w:space="0" w:color="000000"/>
              <w:bottom w:val="single" w:sz="4" w:space="0" w:color="000000"/>
              <w:right w:val="single" w:sz="12" w:space="0" w:color="000000"/>
            </w:tcBorders>
            <w:vAlign w:val="center"/>
          </w:tcPr>
          <w:p w14:paraId="17D631A2" w14:textId="43857211" w:rsidR="00FC0D61" w:rsidRDefault="00FC0D61" w:rsidP="00DB6303">
            <w:pPr>
              <w:spacing w:after="0" w:line="259" w:lineRule="auto"/>
              <w:ind w:left="0" w:right="47" w:firstLine="0"/>
              <w:jc w:val="center"/>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0F3AE12E" w14:textId="7175BC88" w:rsidR="00FC0D61" w:rsidRDefault="00FC0D61" w:rsidP="00331CB0">
            <w:pPr>
              <w:spacing w:after="0" w:line="259" w:lineRule="auto"/>
              <w:ind w:left="0" w:right="2" w:firstLine="0"/>
              <w:jc w:val="center"/>
            </w:pPr>
          </w:p>
        </w:tc>
        <w:tc>
          <w:tcPr>
            <w:tcW w:w="540" w:type="dxa"/>
            <w:tcBorders>
              <w:top w:val="single" w:sz="4" w:space="0" w:color="000000"/>
              <w:left w:val="single" w:sz="12" w:space="0" w:color="000000"/>
              <w:bottom w:val="single" w:sz="4" w:space="0" w:color="000000"/>
              <w:right w:val="single" w:sz="12" w:space="0" w:color="000000"/>
            </w:tcBorders>
            <w:vAlign w:val="center"/>
          </w:tcPr>
          <w:p w14:paraId="60DD6692" w14:textId="4CCE9CC0" w:rsidR="00FC0D61" w:rsidRDefault="00FC0D61" w:rsidP="00DB6303">
            <w:pPr>
              <w:spacing w:after="0" w:line="259" w:lineRule="auto"/>
              <w:ind w:left="0" w:right="2" w:firstLine="0"/>
              <w:jc w:val="center"/>
            </w:pPr>
          </w:p>
        </w:tc>
        <w:tc>
          <w:tcPr>
            <w:tcW w:w="810" w:type="dxa"/>
            <w:tcBorders>
              <w:top w:val="single" w:sz="4" w:space="0" w:color="000000"/>
              <w:left w:val="single" w:sz="12" w:space="0" w:color="000000"/>
              <w:bottom w:val="single" w:sz="4" w:space="0" w:color="000000"/>
              <w:right w:val="single" w:sz="12" w:space="0" w:color="000000"/>
            </w:tcBorders>
            <w:vAlign w:val="center"/>
          </w:tcPr>
          <w:p w14:paraId="28B4C61C" w14:textId="2D604898" w:rsidR="00FC0D61" w:rsidRPr="002A2EA5" w:rsidRDefault="00FC0D61" w:rsidP="00796C4B">
            <w:pPr>
              <w:spacing w:after="0" w:line="259" w:lineRule="auto"/>
              <w:ind w:left="0" w:right="0" w:firstLine="0"/>
              <w:jc w:val="center"/>
              <w:rPr>
                <w:iCs/>
              </w:rPr>
            </w:pPr>
            <w:r w:rsidRPr="002A2EA5">
              <w:rPr>
                <w:iCs/>
                <w:sz w:val="18"/>
              </w:rPr>
              <w:t>8270</w:t>
            </w:r>
          </w:p>
        </w:tc>
        <w:tc>
          <w:tcPr>
            <w:tcW w:w="900" w:type="dxa"/>
            <w:tcBorders>
              <w:top w:val="single" w:sz="4" w:space="0" w:color="000000"/>
              <w:left w:val="single" w:sz="12" w:space="0" w:color="000000"/>
              <w:bottom w:val="single" w:sz="4" w:space="0" w:color="000000"/>
              <w:right w:val="single" w:sz="12" w:space="0" w:color="000000"/>
            </w:tcBorders>
            <w:vAlign w:val="center"/>
          </w:tcPr>
          <w:p w14:paraId="3A20D632" w14:textId="61CDB6B3" w:rsidR="00FC0D61" w:rsidRPr="002A2EA5" w:rsidRDefault="00FC0D61" w:rsidP="00796C4B">
            <w:pPr>
              <w:spacing w:after="0" w:line="259" w:lineRule="auto"/>
              <w:ind w:left="0" w:right="0" w:firstLine="0"/>
              <w:jc w:val="center"/>
              <w:rPr>
                <w:iCs/>
              </w:rPr>
            </w:pPr>
            <w:r w:rsidRPr="00975756">
              <w:rPr>
                <w:iCs/>
                <w:sz w:val="18"/>
              </w:rPr>
              <w:t>8310</w:t>
            </w:r>
          </w:p>
        </w:tc>
      </w:tr>
      <w:tr w:rsidR="00E8392B" w14:paraId="6CC3C841" w14:textId="77777777" w:rsidTr="005B6604">
        <w:trPr>
          <w:trHeight w:val="250"/>
        </w:trPr>
        <w:tc>
          <w:tcPr>
            <w:tcW w:w="2952" w:type="dxa"/>
            <w:tcBorders>
              <w:top w:val="single" w:sz="4" w:space="0" w:color="000000"/>
              <w:left w:val="single" w:sz="12" w:space="0" w:color="000000"/>
              <w:bottom w:val="single" w:sz="4" w:space="0" w:color="000000"/>
              <w:right w:val="single" w:sz="12" w:space="0" w:color="000000"/>
            </w:tcBorders>
          </w:tcPr>
          <w:p w14:paraId="0210587F" w14:textId="77777777" w:rsidR="00FC0D61" w:rsidRDefault="00FC0D61" w:rsidP="00FC0D61">
            <w:pPr>
              <w:spacing w:after="0" w:line="259" w:lineRule="auto"/>
              <w:ind w:left="0" w:right="0" w:firstLine="0"/>
            </w:pPr>
            <w:r>
              <w:rPr>
                <w:sz w:val="18"/>
              </w:rPr>
              <w:t>Dibenzo[</w:t>
            </w:r>
            <w:proofErr w:type="spellStart"/>
            <w:proofErr w:type="gramStart"/>
            <w:r>
              <w:rPr>
                <w:sz w:val="18"/>
              </w:rPr>
              <w:t>a,e</w:t>
            </w:r>
            <w:proofErr w:type="spellEnd"/>
            <w:proofErr w:type="gramEnd"/>
            <w:r>
              <w:rPr>
                <w:sz w:val="18"/>
              </w:rPr>
              <w:t xml:space="preserve">]pyrene </w:t>
            </w:r>
          </w:p>
        </w:tc>
        <w:tc>
          <w:tcPr>
            <w:tcW w:w="1155" w:type="dxa"/>
            <w:tcBorders>
              <w:top w:val="single" w:sz="4" w:space="0" w:color="000000"/>
              <w:left w:val="single" w:sz="12" w:space="0" w:color="000000"/>
              <w:bottom w:val="single" w:sz="4" w:space="0" w:color="000000"/>
              <w:right w:val="single" w:sz="12" w:space="0" w:color="000000"/>
            </w:tcBorders>
            <w:vAlign w:val="center"/>
          </w:tcPr>
          <w:p w14:paraId="481FB4BC" w14:textId="2BE6D5CF" w:rsidR="00FC0D61" w:rsidRDefault="00FC0D61" w:rsidP="00E61546">
            <w:pPr>
              <w:spacing w:after="0" w:line="259" w:lineRule="auto"/>
              <w:ind w:left="0" w:right="44" w:firstLine="0"/>
              <w:jc w:val="center"/>
            </w:pPr>
            <w:r>
              <w:rPr>
                <w:sz w:val="18"/>
              </w:rPr>
              <w:t>192-65-4</w:t>
            </w:r>
          </w:p>
        </w:tc>
        <w:tc>
          <w:tcPr>
            <w:tcW w:w="643" w:type="dxa"/>
            <w:tcBorders>
              <w:top w:val="single" w:sz="4" w:space="0" w:color="000000"/>
              <w:left w:val="single" w:sz="12" w:space="0" w:color="000000"/>
              <w:bottom w:val="single" w:sz="4" w:space="0" w:color="000000"/>
              <w:right w:val="single" w:sz="12" w:space="0" w:color="000000"/>
            </w:tcBorders>
            <w:vAlign w:val="center"/>
          </w:tcPr>
          <w:p w14:paraId="03657DC6" w14:textId="479A1F37" w:rsidR="00FC0D61" w:rsidRDefault="00FC0D61" w:rsidP="00796C4B">
            <w:pPr>
              <w:spacing w:after="0" w:line="259" w:lineRule="auto"/>
              <w:ind w:left="0" w:right="0" w:firstLine="0"/>
              <w:jc w:val="center"/>
            </w:pPr>
            <w:r>
              <w:rPr>
                <w:sz w:val="18"/>
              </w:rPr>
              <w:t>10</w:t>
            </w:r>
          </w:p>
        </w:tc>
        <w:tc>
          <w:tcPr>
            <w:tcW w:w="726" w:type="dxa"/>
            <w:tcBorders>
              <w:top w:val="single" w:sz="4" w:space="0" w:color="000000"/>
              <w:left w:val="single" w:sz="12" w:space="0" w:color="000000"/>
              <w:bottom w:val="single" w:sz="4" w:space="0" w:color="000000"/>
              <w:right w:val="single" w:sz="12" w:space="0" w:color="000000"/>
            </w:tcBorders>
            <w:vAlign w:val="center"/>
          </w:tcPr>
          <w:p w14:paraId="6796C781" w14:textId="7EAC5F89" w:rsidR="00FC0D61" w:rsidRDefault="00FC0D61" w:rsidP="00796C4B">
            <w:pPr>
              <w:spacing w:after="0" w:line="259" w:lineRule="auto"/>
              <w:ind w:left="0" w:right="49" w:firstLine="0"/>
              <w:jc w:val="center"/>
            </w:pPr>
            <w:r>
              <w:rPr>
                <w:sz w:val="18"/>
              </w:rPr>
              <w:t>ug/L</w:t>
            </w:r>
          </w:p>
        </w:tc>
        <w:tc>
          <w:tcPr>
            <w:tcW w:w="773" w:type="dxa"/>
            <w:tcBorders>
              <w:top w:val="single" w:sz="4" w:space="0" w:color="000000"/>
              <w:left w:val="single" w:sz="12" w:space="0" w:color="000000"/>
              <w:bottom w:val="single" w:sz="4" w:space="0" w:color="000000"/>
              <w:right w:val="single" w:sz="12" w:space="0" w:color="000000"/>
            </w:tcBorders>
            <w:vAlign w:val="center"/>
          </w:tcPr>
          <w:p w14:paraId="1E709102" w14:textId="0A36F4F2" w:rsidR="00FC0D61" w:rsidRDefault="00FC0D61" w:rsidP="00796C4B">
            <w:pPr>
              <w:spacing w:after="0" w:line="259" w:lineRule="auto"/>
              <w:ind w:left="0" w:right="41" w:firstLine="0"/>
              <w:jc w:val="center"/>
            </w:pPr>
            <w:r>
              <w:rPr>
                <w:sz w:val="18"/>
              </w:rPr>
              <w:t>660</w:t>
            </w:r>
          </w:p>
        </w:tc>
        <w:tc>
          <w:tcPr>
            <w:tcW w:w="951" w:type="dxa"/>
            <w:tcBorders>
              <w:top w:val="single" w:sz="4" w:space="0" w:color="000000"/>
              <w:left w:val="single" w:sz="12" w:space="0" w:color="000000"/>
              <w:bottom w:val="single" w:sz="4" w:space="0" w:color="000000"/>
              <w:right w:val="single" w:sz="12" w:space="0" w:color="000000"/>
            </w:tcBorders>
            <w:vAlign w:val="center"/>
          </w:tcPr>
          <w:p w14:paraId="5F77B7D7" w14:textId="795FAE58" w:rsidR="00FC0D61" w:rsidRDefault="00FC0D61" w:rsidP="00796C4B">
            <w:pPr>
              <w:spacing w:after="0" w:line="259" w:lineRule="auto"/>
              <w:ind w:left="0" w:right="46" w:firstLine="0"/>
              <w:jc w:val="center"/>
            </w:pPr>
            <w:r>
              <w:rPr>
                <w:rFonts w:eastAsia="Segoe UI Symbol"/>
                <w:sz w:val="18"/>
              </w:rPr>
              <w:t>u</w:t>
            </w:r>
            <w:r>
              <w:rPr>
                <w:sz w:val="18"/>
              </w:rPr>
              <w:t>g/kg</w:t>
            </w:r>
          </w:p>
        </w:tc>
        <w:tc>
          <w:tcPr>
            <w:tcW w:w="630" w:type="dxa"/>
            <w:tcBorders>
              <w:top w:val="single" w:sz="4" w:space="0" w:color="000000"/>
              <w:left w:val="single" w:sz="12" w:space="0" w:color="000000"/>
              <w:bottom w:val="single" w:sz="4" w:space="0" w:color="000000"/>
              <w:right w:val="single" w:sz="12" w:space="0" w:color="000000"/>
            </w:tcBorders>
            <w:vAlign w:val="center"/>
          </w:tcPr>
          <w:p w14:paraId="0ED4A334" w14:textId="66B05C47" w:rsidR="00FC0D61" w:rsidRDefault="00FC0D61" w:rsidP="00DB6303">
            <w:pPr>
              <w:spacing w:after="0" w:line="259" w:lineRule="auto"/>
              <w:ind w:left="0" w:right="47" w:firstLine="0"/>
              <w:jc w:val="center"/>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0E85AB2E" w14:textId="16D108CE" w:rsidR="00FC0D61" w:rsidRDefault="00FC0D61" w:rsidP="00331CB0">
            <w:pPr>
              <w:spacing w:after="0" w:line="259" w:lineRule="auto"/>
              <w:ind w:left="0" w:right="2" w:firstLine="0"/>
              <w:jc w:val="center"/>
            </w:pPr>
          </w:p>
        </w:tc>
        <w:tc>
          <w:tcPr>
            <w:tcW w:w="540" w:type="dxa"/>
            <w:tcBorders>
              <w:top w:val="single" w:sz="4" w:space="0" w:color="000000"/>
              <w:left w:val="single" w:sz="12" w:space="0" w:color="000000"/>
              <w:bottom w:val="single" w:sz="4" w:space="0" w:color="000000"/>
              <w:right w:val="single" w:sz="12" w:space="0" w:color="000000"/>
            </w:tcBorders>
            <w:vAlign w:val="center"/>
          </w:tcPr>
          <w:p w14:paraId="3904BA69" w14:textId="6C4B87B9" w:rsidR="00FC0D61" w:rsidRDefault="00FC0D61" w:rsidP="00DB6303">
            <w:pPr>
              <w:spacing w:after="0" w:line="259" w:lineRule="auto"/>
              <w:ind w:left="0" w:right="2" w:firstLine="0"/>
              <w:jc w:val="center"/>
            </w:pPr>
          </w:p>
        </w:tc>
        <w:tc>
          <w:tcPr>
            <w:tcW w:w="810" w:type="dxa"/>
            <w:tcBorders>
              <w:top w:val="single" w:sz="4" w:space="0" w:color="000000"/>
              <w:left w:val="single" w:sz="12" w:space="0" w:color="000000"/>
              <w:bottom w:val="single" w:sz="4" w:space="0" w:color="000000"/>
              <w:right w:val="single" w:sz="12" w:space="0" w:color="000000"/>
            </w:tcBorders>
            <w:vAlign w:val="center"/>
          </w:tcPr>
          <w:p w14:paraId="0570188D" w14:textId="28A2A996" w:rsidR="00FC0D61" w:rsidRPr="002A2EA5" w:rsidRDefault="00FC0D61" w:rsidP="00796C4B">
            <w:pPr>
              <w:spacing w:after="0" w:line="259" w:lineRule="auto"/>
              <w:ind w:left="0" w:right="0" w:firstLine="0"/>
              <w:jc w:val="center"/>
              <w:rPr>
                <w:iCs/>
              </w:rPr>
            </w:pPr>
            <w:r w:rsidRPr="002A2EA5">
              <w:rPr>
                <w:iCs/>
                <w:sz w:val="18"/>
              </w:rPr>
              <w:t>8270</w:t>
            </w:r>
          </w:p>
        </w:tc>
        <w:tc>
          <w:tcPr>
            <w:tcW w:w="900" w:type="dxa"/>
            <w:tcBorders>
              <w:top w:val="single" w:sz="4" w:space="0" w:color="000000"/>
              <w:left w:val="single" w:sz="12" w:space="0" w:color="000000"/>
              <w:bottom w:val="single" w:sz="4" w:space="0" w:color="000000"/>
              <w:right w:val="single" w:sz="12" w:space="0" w:color="000000"/>
            </w:tcBorders>
            <w:vAlign w:val="center"/>
          </w:tcPr>
          <w:p w14:paraId="386A9ADC" w14:textId="0350B032" w:rsidR="00FC0D61" w:rsidRPr="002A2EA5" w:rsidRDefault="00FC0D61" w:rsidP="00796C4B">
            <w:pPr>
              <w:spacing w:after="0" w:line="259" w:lineRule="auto"/>
              <w:ind w:left="0" w:right="0" w:firstLine="0"/>
              <w:jc w:val="center"/>
              <w:rPr>
                <w:iCs/>
              </w:rPr>
            </w:pPr>
            <w:r w:rsidRPr="00975756">
              <w:rPr>
                <w:iCs/>
                <w:sz w:val="18"/>
              </w:rPr>
              <w:t>8310</w:t>
            </w:r>
          </w:p>
        </w:tc>
      </w:tr>
      <w:tr w:rsidR="00E8392B" w14:paraId="015F674B" w14:textId="77777777" w:rsidTr="005B6604">
        <w:trPr>
          <w:trHeight w:val="250"/>
        </w:trPr>
        <w:tc>
          <w:tcPr>
            <w:tcW w:w="2952" w:type="dxa"/>
            <w:tcBorders>
              <w:top w:val="single" w:sz="4" w:space="0" w:color="000000"/>
              <w:left w:val="single" w:sz="12" w:space="0" w:color="000000"/>
              <w:bottom w:val="single" w:sz="4" w:space="0" w:color="000000"/>
              <w:right w:val="single" w:sz="12" w:space="0" w:color="000000"/>
            </w:tcBorders>
          </w:tcPr>
          <w:p w14:paraId="2DE659C1" w14:textId="77777777" w:rsidR="00FC0D61" w:rsidRDefault="00FC0D61" w:rsidP="00FC0D61">
            <w:pPr>
              <w:spacing w:after="0" w:line="259" w:lineRule="auto"/>
              <w:ind w:left="0" w:right="0" w:firstLine="0"/>
            </w:pPr>
            <w:r>
              <w:rPr>
                <w:sz w:val="18"/>
              </w:rPr>
              <w:lastRenderedPageBreak/>
              <w:t>Dibenzo[</w:t>
            </w:r>
            <w:proofErr w:type="spellStart"/>
            <w:proofErr w:type="gramStart"/>
            <w:r>
              <w:rPr>
                <w:sz w:val="18"/>
              </w:rPr>
              <w:t>a,h</w:t>
            </w:r>
            <w:proofErr w:type="spellEnd"/>
            <w:proofErr w:type="gramEnd"/>
            <w:r>
              <w:rPr>
                <w:sz w:val="18"/>
              </w:rPr>
              <w:t xml:space="preserve">]pyrene </w:t>
            </w:r>
          </w:p>
        </w:tc>
        <w:tc>
          <w:tcPr>
            <w:tcW w:w="1155" w:type="dxa"/>
            <w:tcBorders>
              <w:top w:val="single" w:sz="4" w:space="0" w:color="000000"/>
              <w:left w:val="single" w:sz="12" w:space="0" w:color="000000"/>
              <w:bottom w:val="single" w:sz="4" w:space="0" w:color="000000"/>
              <w:right w:val="single" w:sz="12" w:space="0" w:color="000000"/>
            </w:tcBorders>
            <w:vAlign w:val="center"/>
          </w:tcPr>
          <w:p w14:paraId="790E0991" w14:textId="49841354" w:rsidR="00FC0D61" w:rsidRDefault="00FC0D61" w:rsidP="00E61546">
            <w:pPr>
              <w:spacing w:after="0" w:line="259" w:lineRule="auto"/>
              <w:ind w:left="0" w:right="44" w:firstLine="0"/>
              <w:jc w:val="center"/>
            </w:pPr>
            <w:r>
              <w:rPr>
                <w:sz w:val="18"/>
              </w:rPr>
              <w:t>189-64-0</w:t>
            </w:r>
          </w:p>
        </w:tc>
        <w:tc>
          <w:tcPr>
            <w:tcW w:w="643" w:type="dxa"/>
            <w:tcBorders>
              <w:top w:val="single" w:sz="4" w:space="0" w:color="000000"/>
              <w:left w:val="single" w:sz="12" w:space="0" w:color="000000"/>
              <w:bottom w:val="single" w:sz="4" w:space="0" w:color="000000"/>
              <w:right w:val="single" w:sz="12" w:space="0" w:color="000000"/>
            </w:tcBorders>
            <w:vAlign w:val="center"/>
          </w:tcPr>
          <w:p w14:paraId="2A91F251" w14:textId="223C2087" w:rsidR="00FC0D61" w:rsidRDefault="00FC0D61" w:rsidP="00796C4B">
            <w:pPr>
              <w:spacing w:after="0" w:line="259" w:lineRule="auto"/>
              <w:ind w:left="0" w:right="0" w:firstLine="0"/>
              <w:jc w:val="center"/>
            </w:pPr>
            <w:r>
              <w:rPr>
                <w:sz w:val="18"/>
              </w:rPr>
              <w:t>10</w:t>
            </w:r>
          </w:p>
        </w:tc>
        <w:tc>
          <w:tcPr>
            <w:tcW w:w="726" w:type="dxa"/>
            <w:tcBorders>
              <w:top w:val="single" w:sz="4" w:space="0" w:color="000000"/>
              <w:left w:val="single" w:sz="12" w:space="0" w:color="000000"/>
              <w:bottom w:val="single" w:sz="4" w:space="0" w:color="000000"/>
              <w:right w:val="single" w:sz="12" w:space="0" w:color="000000"/>
            </w:tcBorders>
            <w:vAlign w:val="center"/>
          </w:tcPr>
          <w:p w14:paraId="3C09E3F8" w14:textId="77B8A572" w:rsidR="00FC0D61" w:rsidRDefault="00FC0D61" w:rsidP="00796C4B">
            <w:pPr>
              <w:spacing w:after="0" w:line="259" w:lineRule="auto"/>
              <w:ind w:left="0" w:right="49" w:firstLine="0"/>
              <w:jc w:val="center"/>
            </w:pPr>
            <w:r>
              <w:rPr>
                <w:sz w:val="18"/>
              </w:rPr>
              <w:t>ug/L</w:t>
            </w:r>
          </w:p>
        </w:tc>
        <w:tc>
          <w:tcPr>
            <w:tcW w:w="773" w:type="dxa"/>
            <w:tcBorders>
              <w:top w:val="single" w:sz="4" w:space="0" w:color="000000"/>
              <w:left w:val="single" w:sz="12" w:space="0" w:color="000000"/>
              <w:bottom w:val="single" w:sz="4" w:space="0" w:color="000000"/>
              <w:right w:val="single" w:sz="12" w:space="0" w:color="000000"/>
            </w:tcBorders>
            <w:vAlign w:val="center"/>
          </w:tcPr>
          <w:p w14:paraId="627B7310" w14:textId="555A36D7" w:rsidR="00FC0D61" w:rsidRDefault="00FC0D61" w:rsidP="00796C4B">
            <w:pPr>
              <w:spacing w:after="0" w:line="259" w:lineRule="auto"/>
              <w:ind w:left="0" w:right="41" w:firstLine="0"/>
              <w:jc w:val="center"/>
            </w:pPr>
            <w:r>
              <w:rPr>
                <w:sz w:val="18"/>
              </w:rPr>
              <w:t>660</w:t>
            </w:r>
          </w:p>
        </w:tc>
        <w:tc>
          <w:tcPr>
            <w:tcW w:w="951" w:type="dxa"/>
            <w:tcBorders>
              <w:top w:val="single" w:sz="4" w:space="0" w:color="000000"/>
              <w:left w:val="single" w:sz="12" w:space="0" w:color="000000"/>
              <w:bottom w:val="single" w:sz="4" w:space="0" w:color="000000"/>
              <w:right w:val="single" w:sz="12" w:space="0" w:color="000000"/>
            </w:tcBorders>
            <w:vAlign w:val="center"/>
          </w:tcPr>
          <w:p w14:paraId="34FA2214" w14:textId="00F6CA40" w:rsidR="00FC0D61" w:rsidRDefault="00FC0D61" w:rsidP="00796C4B">
            <w:pPr>
              <w:spacing w:after="0" w:line="259" w:lineRule="auto"/>
              <w:ind w:left="0" w:right="46" w:firstLine="0"/>
              <w:jc w:val="center"/>
            </w:pPr>
            <w:r>
              <w:rPr>
                <w:rFonts w:eastAsia="Segoe UI Symbol"/>
                <w:sz w:val="18"/>
              </w:rPr>
              <w:t>u</w:t>
            </w:r>
            <w:r>
              <w:rPr>
                <w:sz w:val="18"/>
              </w:rPr>
              <w:t>g/kg</w:t>
            </w:r>
          </w:p>
        </w:tc>
        <w:tc>
          <w:tcPr>
            <w:tcW w:w="630" w:type="dxa"/>
            <w:tcBorders>
              <w:top w:val="single" w:sz="4" w:space="0" w:color="000000"/>
              <w:left w:val="single" w:sz="12" w:space="0" w:color="000000"/>
              <w:bottom w:val="single" w:sz="4" w:space="0" w:color="000000"/>
              <w:right w:val="single" w:sz="12" w:space="0" w:color="000000"/>
            </w:tcBorders>
            <w:vAlign w:val="center"/>
          </w:tcPr>
          <w:p w14:paraId="7AFA1701" w14:textId="16B9B233" w:rsidR="00FC0D61" w:rsidRDefault="00FC0D61" w:rsidP="00DB6303">
            <w:pPr>
              <w:spacing w:after="0" w:line="259" w:lineRule="auto"/>
              <w:ind w:left="0" w:right="47" w:firstLine="0"/>
              <w:jc w:val="center"/>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675174FA" w14:textId="6CF603CD" w:rsidR="00FC0D61" w:rsidRDefault="00FC0D61" w:rsidP="00331CB0">
            <w:pPr>
              <w:spacing w:after="0" w:line="259" w:lineRule="auto"/>
              <w:ind w:left="0" w:right="2" w:firstLine="0"/>
              <w:jc w:val="center"/>
            </w:pPr>
          </w:p>
        </w:tc>
        <w:tc>
          <w:tcPr>
            <w:tcW w:w="540" w:type="dxa"/>
            <w:tcBorders>
              <w:top w:val="single" w:sz="4" w:space="0" w:color="000000"/>
              <w:left w:val="single" w:sz="12" w:space="0" w:color="000000"/>
              <w:bottom w:val="single" w:sz="4" w:space="0" w:color="000000"/>
              <w:right w:val="single" w:sz="12" w:space="0" w:color="000000"/>
            </w:tcBorders>
            <w:vAlign w:val="center"/>
          </w:tcPr>
          <w:p w14:paraId="3B017F26" w14:textId="34FCBA6F" w:rsidR="00FC0D61" w:rsidRDefault="00FC0D61" w:rsidP="00DB6303">
            <w:pPr>
              <w:spacing w:after="0" w:line="259" w:lineRule="auto"/>
              <w:ind w:left="0" w:right="2" w:firstLine="0"/>
              <w:jc w:val="center"/>
            </w:pPr>
          </w:p>
        </w:tc>
        <w:tc>
          <w:tcPr>
            <w:tcW w:w="810" w:type="dxa"/>
            <w:tcBorders>
              <w:top w:val="single" w:sz="4" w:space="0" w:color="000000"/>
              <w:left w:val="single" w:sz="12" w:space="0" w:color="000000"/>
              <w:bottom w:val="single" w:sz="4" w:space="0" w:color="000000"/>
              <w:right w:val="single" w:sz="12" w:space="0" w:color="000000"/>
            </w:tcBorders>
            <w:vAlign w:val="center"/>
          </w:tcPr>
          <w:p w14:paraId="4377B6F6" w14:textId="5E890638" w:rsidR="00FC0D61" w:rsidRPr="002A2EA5" w:rsidRDefault="00FC0D61" w:rsidP="00796C4B">
            <w:pPr>
              <w:spacing w:after="0" w:line="259" w:lineRule="auto"/>
              <w:ind w:left="0" w:right="0" w:firstLine="0"/>
              <w:jc w:val="center"/>
              <w:rPr>
                <w:iCs/>
              </w:rPr>
            </w:pPr>
            <w:r w:rsidRPr="00975756">
              <w:rPr>
                <w:iCs/>
                <w:sz w:val="18"/>
              </w:rPr>
              <w:t>8270</w:t>
            </w:r>
          </w:p>
        </w:tc>
        <w:tc>
          <w:tcPr>
            <w:tcW w:w="900" w:type="dxa"/>
            <w:tcBorders>
              <w:top w:val="single" w:sz="4" w:space="0" w:color="000000"/>
              <w:left w:val="single" w:sz="12" w:space="0" w:color="000000"/>
              <w:bottom w:val="single" w:sz="4" w:space="0" w:color="000000"/>
              <w:right w:val="single" w:sz="12" w:space="0" w:color="000000"/>
            </w:tcBorders>
            <w:vAlign w:val="center"/>
          </w:tcPr>
          <w:p w14:paraId="62B2D342" w14:textId="49C080A3" w:rsidR="00FC0D61" w:rsidRPr="002A2EA5" w:rsidRDefault="00FC0D61" w:rsidP="00796C4B">
            <w:pPr>
              <w:spacing w:after="0" w:line="259" w:lineRule="auto"/>
              <w:ind w:left="0" w:right="0" w:firstLine="0"/>
              <w:jc w:val="center"/>
              <w:rPr>
                <w:iCs/>
              </w:rPr>
            </w:pPr>
            <w:r w:rsidRPr="00975756">
              <w:rPr>
                <w:iCs/>
                <w:sz w:val="18"/>
              </w:rPr>
              <w:t>8310</w:t>
            </w:r>
          </w:p>
        </w:tc>
      </w:tr>
      <w:tr w:rsidR="00E8392B" w14:paraId="4169317F" w14:textId="77777777" w:rsidTr="005B6604">
        <w:trPr>
          <w:trHeight w:val="250"/>
        </w:trPr>
        <w:tc>
          <w:tcPr>
            <w:tcW w:w="2952" w:type="dxa"/>
            <w:tcBorders>
              <w:top w:val="single" w:sz="4" w:space="0" w:color="000000"/>
              <w:left w:val="single" w:sz="12" w:space="0" w:color="000000"/>
              <w:bottom w:val="single" w:sz="4" w:space="0" w:color="000000"/>
              <w:right w:val="single" w:sz="12" w:space="0" w:color="000000"/>
            </w:tcBorders>
          </w:tcPr>
          <w:p w14:paraId="440A5354" w14:textId="77777777" w:rsidR="00FC0D61" w:rsidRDefault="00FC0D61" w:rsidP="00FC0D61">
            <w:pPr>
              <w:spacing w:after="0" w:line="259" w:lineRule="auto"/>
              <w:ind w:left="0" w:right="0" w:firstLine="0"/>
            </w:pPr>
            <w:r>
              <w:rPr>
                <w:sz w:val="18"/>
              </w:rPr>
              <w:t>Dibenzo[</w:t>
            </w:r>
            <w:proofErr w:type="spellStart"/>
            <w:proofErr w:type="gramStart"/>
            <w:r>
              <w:rPr>
                <w:sz w:val="18"/>
              </w:rPr>
              <w:t>a,i</w:t>
            </w:r>
            <w:proofErr w:type="spellEnd"/>
            <w:proofErr w:type="gramEnd"/>
            <w:r>
              <w:rPr>
                <w:sz w:val="18"/>
              </w:rPr>
              <w:t xml:space="preserve">]pyrene </w:t>
            </w:r>
          </w:p>
        </w:tc>
        <w:tc>
          <w:tcPr>
            <w:tcW w:w="1155" w:type="dxa"/>
            <w:tcBorders>
              <w:top w:val="single" w:sz="4" w:space="0" w:color="000000"/>
              <w:left w:val="single" w:sz="12" w:space="0" w:color="000000"/>
              <w:bottom w:val="single" w:sz="4" w:space="0" w:color="000000"/>
              <w:right w:val="single" w:sz="12" w:space="0" w:color="000000"/>
            </w:tcBorders>
            <w:vAlign w:val="center"/>
          </w:tcPr>
          <w:p w14:paraId="5B2BA85D" w14:textId="7913D570" w:rsidR="00FC0D61" w:rsidRDefault="00FC0D61" w:rsidP="00E61546">
            <w:pPr>
              <w:spacing w:after="0" w:line="259" w:lineRule="auto"/>
              <w:ind w:left="0" w:right="44" w:firstLine="0"/>
              <w:jc w:val="center"/>
            </w:pPr>
            <w:r>
              <w:rPr>
                <w:sz w:val="18"/>
              </w:rPr>
              <w:t>189-55-9</w:t>
            </w:r>
          </w:p>
        </w:tc>
        <w:tc>
          <w:tcPr>
            <w:tcW w:w="643" w:type="dxa"/>
            <w:tcBorders>
              <w:top w:val="single" w:sz="4" w:space="0" w:color="000000"/>
              <w:left w:val="single" w:sz="12" w:space="0" w:color="000000"/>
              <w:bottom w:val="single" w:sz="4" w:space="0" w:color="000000"/>
              <w:right w:val="single" w:sz="12" w:space="0" w:color="000000"/>
            </w:tcBorders>
            <w:vAlign w:val="center"/>
          </w:tcPr>
          <w:p w14:paraId="34E6DDD7" w14:textId="7E929805" w:rsidR="00FC0D61" w:rsidRDefault="00FC0D61" w:rsidP="00796C4B">
            <w:pPr>
              <w:spacing w:after="0" w:line="259" w:lineRule="auto"/>
              <w:ind w:left="0" w:right="0" w:firstLine="0"/>
              <w:jc w:val="center"/>
            </w:pPr>
            <w:r>
              <w:rPr>
                <w:sz w:val="18"/>
              </w:rPr>
              <w:t>10</w:t>
            </w:r>
          </w:p>
        </w:tc>
        <w:tc>
          <w:tcPr>
            <w:tcW w:w="726" w:type="dxa"/>
            <w:tcBorders>
              <w:top w:val="single" w:sz="4" w:space="0" w:color="000000"/>
              <w:left w:val="single" w:sz="12" w:space="0" w:color="000000"/>
              <w:bottom w:val="single" w:sz="4" w:space="0" w:color="000000"/>
              <w:right w:val="single" w:sz="12" w:space="0" w:color="000000"/>
            </w:tcBorders>
            <w:vAlign w:val="center"/>
          </w:tcPr>
          <w:p w14:paraId="17D943B8" w14:textId="58DEF58B" w:rsidR="00FC0D61" w:rsidRDefault="00FC0D61" w:rsidP="00796C4B">
            <w:pPr>
              <w:spacing w:after="0" w:line="259" w:lineRule="auto"/>
              <w:ind w:left="0" w:right="49" w:firstLine="0"/>
              <w:jc w:val="center"/>
            </w:pPr>
            <w:r>
              <w:rPr>
                <w:sz w:val="18"/>
              </w:rPr>
              <w:t>ug/L</w:t>
            </w:r>
          </w:p>
        </w:tc>
        <w:tc>
          <w:tcPr>
            <w:tcW w:w="773" w:type="dxa"/>
            <w:tcBorders>
              <w:top w:val="single" w:sz="4" w:space="0" w:color="000000"/>
              <w:left w:val="single" w:sz="12" w:space="0" w:color="000000"/>
              <w:bottom w:val="single" w:sz="4" w:space="0" w:color="000000"/>
              <w:right w:val="single" w:sz="12" w:space="0" w:color="000000"/>
            </w:tcBorders>
            <w:vAlign w:val="center"/>
          </w:tcPr>
          <w:p w14:paraId="0507AFAE" w14:textId="27AE1327" w:rsidR="00FC0D61" w:rsidRDefault="00FC0D61" w:rsidP="00796C4B">
            <w:pPr>
              <w:spacing w:after="0" w:line="259" w:lineRule="auto"/>
              <w:ind w:left="0" w:right="41" w:firstLine="0"/>
              <w:jc w:val="center"/>
            </w:pPr>
            <w:r>
              <w:rPr>
                <w:sz w:val="18"/>
              </w:rPr>
              <w:t>660</w:t>
            </w:r>
          </w:p>
        </w:tc>
        <w:tc>
          <w:tcPr>
            <w:tcW w:w="951" w:type="dxa"/>
            <w:tcBorders>
              <w:top w:val="single" w:sz="4" w:space="0" w:color="000000"/>
              <w:left w:val="single" w:sz="12" w:space="0" w:color="000000"/>
              <w:bottom w:val="single" w:sz="4" w:space="0" w:color="000000"/>
              <w:right w:val="single" w:sz="12" w:space="0" w:color="000000"/>
            </w:tcBorders>
            <w:vAlign w:val="center"/>
          </w:tcPr>
          <w:p w14:paraId="12EB64C7" w14:textId="5C2178F0" w:rsidR="00FC0D61" w:rsidRDefault="00FC0D61" w:rsidP="00796C4B">
            <w:pPr>
              <w:spacing w:after="0" w:line="259" w:lineRule="auto"/>
              <w:ind w:left="0" w:right="46" w:firstLine="0"/>
              <w:jc w:val="center"/>
            </w:pPr>
            <w:r>
              <w:rPr>
                <w:rFonts w:eastAsia="Segoe UI Symbol"/>
                <w:sz w:val="18"/>
              </w:rPr>
              <w:t>u</w:t>
            </w:r>
            <w:r>
              <w:rPr>
                <w:sz w:val="18"/>
              </w:rPr>
              <w:t>g/kg</w:t>
            </w:r>
          </w:p>
        </w:tc>
        <w:tc>
          <w:tcPr>
            <w:tcW w:w="630" w:type="dxa"/>
            <w:tcBorders>
              <w:top w:val="single" w:sz="4" w:space="0" w:color="000000"/>
              <w:left w:val="single" w:sz="12" w:space="0" w:color="000000"/>
              <w:bottom w:val="single" w:sz="4" w:space="0" w:color="000000"/>
              <w:right w:val="single" w:sz="12" w:space="0" w:color="000000"/>
            </w:tcBorders>
            <w:vAlign w:val="center"/>
          </w:tcPr>
          <w:p w14:paraId="6B85F377" w14:textId="0B296AC1" w:rsidR="00FC0D61" w:rsidRDefault="00FC0D61" w:rsidP="00DB6303">
            <w:pPr>
              <w:spacing w:after="0" w:line="259" w:lineRule="auto"/>
              <w:ind w:left="0" w:right="47" w:firstLine="0"/>
              <w:jc w:val="center"/>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0CDA1FE2" w14:textId="4EF1203D" w:rsidR="00FC0D61" w:rsidRDefault="00FC0D61" w:rsidP="00331CB0">
            <w:pPr>
              <w:spacing w:after="0" w:line="259" w:lineRule="auto"/>
              <w:ind w:left="0" w:right="2" w:firstLine="0"/>
              <w:jc w:val="center"/>
            </w:pPr>
          </w:p>
        </w:tc>
        <w:tc>
          <w:tcPr>
            <w:tcW w:w="540" w:type="dxa"/>
            <w:tcBorders>
              <w:top w:val="single" w:sz="4" w:space="0" w:color="000000"/>
              <w:left w:val="single" w:sz="12" w:space="0" w:color="000000"/>
              <w:bottom w:val="single" w:sz="4" w:space="0" w:color="000000"/>
              <w:right w:val="single" w:sz="12" w:space="0" w:color="000000"/>
            </w:tcBorders>
            <w:vAlign w:val="center"/>
          </w:tcPr>
          <w:p w14:paraId="2705DA20" w14:textId="136EB1DC" w:rsidR="00FC0D61" w:rsidRDefault="00FC0D61" w:rsidP="00DB6303">
            <w:pPr>
              <w:spacing w:after="0" w:line="259" w:lineRule="auto"/>
              <w:ind w:left="0" w:right="2" w:firstLine="0"/>
              <w:jc w:val="center"/>
            </w:pPr>
          </w:p>
        </w:tc>
        <w:tc>
          <w:tcPr>
            <w:tcW w:w="810" w:type="dxa"/>
            <w:tcBorders>
              <w:top w:val="single" w:sz="4" w:space="0" w:color="000000"/>
              <w:left w:val="single" w:sz="12" w:space="0" w:color="000000"/>
              <w:bottom w:val="single" w:sz="4" w:space="0" w:color="000000"/>
              <w:right w:val="single" w:sz="12" w:space="0" w:color="000000"/>
            </w:tcBorders>
            <w:vAlign w:val="center"/>
          </w:tcPr>
          <w:p w14:paraId="268DB9DF" w14:textId="18A9F567" w:rsidR="00FC0D61" w:rsidRPr="002A2EA5" w:rsidRDefault="00FC0D61" w:rsidP="00796C4B">
            <w:pPr>
              <w:spacing w:after="0" w:line="259" w:lineRule="auto"/>
              <w:ind w:left="0" w:right="0" w:firstLine="0"/>
              <w:jc w:val="center"/>
              <w:rPr>
                <w:iCs/>
              </w:rPr>
            </w:pPr>
            <w:r w:rsidRPr="00975756">
              <w:rPr>
                <w:iCs/>
                <w:sz w:val="18"/>
              </w:rPr>
              <w:t>8270</w:t>
            </w:r>
          </w:p>
        </w:tc>
        <w:tc>
          <w:tcPr>
            <w:tcW w:w="900" w:type="dxa"/>
            <w:tcBorders>
              <w:top w:val="single" w:sz="4" w:space="0" w:color="000000"/>
              <w:left w:val="single" w:sz="12" w:space="0" w:color="000000"/>
              <w:bottom w:val="single" w:sz="4" w:space="0" w:color="000000"/>
              <w:right w:val="single" w:sz="12" w:space="0" w:color="000000"/>
            </w:tcBorders>
            <w:vAlign w:val="center"/>
          </w:tcPr>
          <w:p w14:paraId="262054FD" w14:textId="4B3837E6" w:rsidR="00FC0D61" w:rsidRPr="002A2EA5" w:rsidRDefault="00FC0D61" w:rsidP="00796C4B">
            <w:pPr>
              <w:spacing w:after="0" w:line="259" w:lineRule="auto"/>
              <w:ind w:left="0" w:right="0" w:firstLine="0"/>
              <w:jc w:val="center"/>
              <w:rPr>
                <w:iCs/>
              </w:rPr>
            </w:pPr>
            <w:r w:rsidRPr="00975756">
              <w:rPr>
                <w:iCs/>
                <w:sz w:val="18"/>
              </w:rPr>
              <w:t>8310</w:t>
            </w:r>
          </w:p>
        </w:tc>
      </w:tr>
      <w:tr w:rsidR="00E8392B" w14:paraId="3A087F8B" w14:textId="77777777" w:rsidTr="005B6604">
        <w:trPr>
          <w:trHeight w:val="252"/>
        </w:trPr>
        <w:tc>
          <w:tcPr>
            <w:tcW w:w="2952" w:type="dxa"/>
            <w:tcBorders>
              <w:top w:val="single" w:sz="4" w:space="0" w:color="000000"/>
              <w:left w:val="single" w:sz="12" w:space="0" w:color="000000"/>
              <w:bottom w:val="single" w:sz="4" w:space="0" w:color="000000"/>
              <w:right w:val="single" w:sz="12" w:space="0" w:color="000000"/>
            </w:tcBorders>
          </w:tcPr>
          <w:p w14:paraId="7B9CA8D4" w14:textId="77777777" w:rsidR="00FC0D61" w:rsidRDefault="00FC0D61" w:rsidP="00FC0D61">
            <w:pPr>
              <w:spacing w:after="0" w:line="259" w:lineRule="auto"/>
              <w:ind w:left="0" w:right="0" w:firstLine="0"/>
            </w:pPr>
            <w:r>
              <w:rPr>
                <w:sz w:val="18"/>
              </w:rPr>
              <w:t xml:space="preserve">2,6-Dichlorophenol </w:t>
            </w:r>
          </w:p>
        </w:tc>
        <w:tc>
          <w:tcPr>
            <w:tcW w:w="1155" w:type="dxa"/>
            <w:tcBorders>
              <w:top w:val="single" w:sz="4" w:space="0" w:color="000000"/>
              <w:left w:val="single" w:sz="12" w:space="0" w:color="000000"/>
              <w:bottom w:val="single" w:sz="4" w:space="0" w:color="000000"/>
              <w:right w:val="single" w:sz="12" w:space="0" w:color="000000"/>
            </w:tcBorders>
            <w:vAlign w:val="center"/>
          </w:tcPr>
          <w:p w14:paraId="4405C919" w14:textId="46C55755" w:rsidR="00FC0D61" w:rsidRDefault="00FC0D61" w:rsidP="00E61546">
            <w:pPr>
              <w:spacing w:after="0" w:line="259" w:lineRule="auto"/>
              <w:ind w:left="0" w:right="44" w:firstLine="0"/>
              <w:jc w:val="center"/>
            </w:pPr>
            <w:r>
              <w:rPr>
                <w:sz w:val="18"/>
              </w:rPr>
              <w:t>87-65-0</w:t>
            </w:r>
          </w:p>
        </w:tc>
        <w:tc>
          <w:tcPr>
            <w:tcW w:w="643" w:type="dxa"/>
            <w:tcBorders>
              <w:top w:val="single" w:sz="4" w:space="0" w:color="000000"/>
              <w:left w:val="single" w:sz="12" w:space="0" w:color="000000"/>
              <w:bottom w:val="single" w:sz="4" w:space="0" w:color="000000"/>
              <w:right w:val="single" w:sz="12" w:space="0" w:color="000000"/>
            </w:tcBorders>
            <w:vAlign w:val="center"/>
          </w:tcPr>
          <w:p w14:paraId="2D009621" w14:textId="6CA77D36" w:rsidR="00FC0D61" w:rsidRDefault="00FC0D61" w:rsidP="00796C4B">
            <w:pPr>
              <w:spacing w:after="0" w:line="259" w:lineRule="auto"/>
              <w:ind w:left="0" w:right="0" w:firstLine="0"/>
              <w:jc w:val="center"/>
            </w:pPr>
            <w:r>
              <w:rPr>
                <w:sz w:val="18"/>
              </w:rPr>
              <w:t>10</w:t>
            </w:r>
          </w:p>
        </w:tc>
        <w:tc>
          <w:tcPr>
            <w:tcW w:w="726" w:type="dxa"/>
            <w:tcBorders>
              <w:top w:val="single" w:sz="4" w:space="0" w:color="000000"/>
              <w:left w:val="single" w:sz="12" w:space="0" w:color="000000"/>
              <w:bottom w:val="single" w:sz="4" w:space="0" w:color="000000"/>
              <w:right w:val="single" w:sz="12" w:space="0" w:color="000000"/>
            </w:tcBorders>
            <w:vAlign w:val="center"/>
          </w:tcPr>
          <w:p w14:paraId="0A8C45DC" w14:textId="707B5F2D" w:rsidR="00FC0D61" w:rsidRDefault="00FC0D61" w:rsidP="00796C4B">
            <w:pPr>
              <w:spacing w:after="0" w:line="259" w:lineRule="auto"/>
              <w:ind w:left="0" w:right="49" w:firstLine="0"/>
              <w:jc w:val="center"/>
            </w:pPr>
            <w:r>
              <w:rPr>
                <w:sz w:val="18"/>
              </w:rPr>
              <w:t>ug/L</w:t>
            </w:r>
          </w:p>
        </w:tc>
        <w:tc>
          <w:tcPr>
            <w:tcW w:w="773" w:type="dxa"/>
            <w:tcBorders>
              <w:top w:val="single" w:sz="4" w:space="0" w:color="000000"/>
              <w:left w:val="single" w:sz="12" w:space="0" w:color="000000"/>
              <w:bottom w:val="single" w:sz="4" w:space="0" w:color="000000"/>
              <w:right w:val="single" w:sz="12" w:space="0" w:color="000000"/>
            </w:tcBorders>
            <w:vAlign w:val="center"/>
          </w:tcPr>
          <w:p w14:paraId="4260C28B" w14:textId="221BC2AB" w:rsidR="00FC0D61" w:rsidRDefault="00FC0D61" w:rsidP="00796C4B">
            <w:pPr>
              <w:spacing w:after="0" w:line="259" w:lineRule="auto"/>
              <w:ind w:left="0" w:right="41" w:firstLine="0"/>
              <w:jc w:val="center"/>
            </w:pPr>
            <w:r>
              <w:rPr>
                <w:sz w:val="18"/>
              </w:rPr>
              <w:t>660</w:t>
            </w:r>
          </w:p>
        </w:tc>
        <w:tc>
          <w:tcPr>
            <w:tcW w:w="951" w:type="dxa"/>
            <w:tcBorders>
              <w:top w:val="single" w:sz="4" w:space="0" w:color="000000"/>
              <w:left w:val="single" w:sz="12" w:space="0" w:color="000000"/>
              <w:bottom w:val="single" w:sz="4" w:space="0" w:color="000000"/>
              <w:right w:val="single" w:sz="12" w:space="0" w:color="000000"/>
            </w:tcBorders>
            <w:vAlign w:val="center"/>
          </w:tcPr>
          <w:p w14:paraId="15141C20" w14:textId="1E07D850" w:rsidR="00FC0D61" w:rsidRDefault="00FC0D61" w:rsidP="00796C4B">
            <w:pPr>
              <w:spacing w:after="0" w:line="259" w:lineRule="auto"/>
              <w:ind w:left="0" w:right="46" w:firstLine="0"/>
              <w:jc w:val="center"/>
            </w:pPr>
            <w:r>
              <w:rPr>
                <w:rFonts w:eastAsia="Segoe UI Symbol"/>
                <w:sz w:val="18"/>
              </w:rPr>
              <w:t>u</w:t>
            </w:r>
            <w:r>
              <w:rPr>
                <w:sz w:val="18"/>
              </w:rPr>
              <w:t>g/kg</w:t>
            </w:r>
          </w:p>
        </w:tc>
        <w:tc>
          <w:tcPr>
            <w:tcW w:w="630" w:type="dxa"/>
            <w:tcBorders>
              <w:top w:val="single" w:sz="4" w:space="0" w:color="000000"/>
              <w:left w:val="single" w:sz="12" w:space="0" w:color="000000"/>
              <w:bottom w:val="single" w:sz="4" w:space="0" w:color="000000"/>
              <w:right w:val="single" w:sz="12" w:space="0" w:color="000000"/>
            </w:tcBorders>
            <w:vAlign w:val="center"/>
          </w:tcPr>
          <w:p w14:paraId="3F87B1FF" w14:textId="7AB1E2A5" w:rsidR="00FC0D61" w:rsidRPr="00273539" w:rsidRDefault="00273539" w:rsidP="00DB6303">
            <w:pPr>
              <w:spacing w:after="0" w:line="259" w:lineRule="auto"/>
              <w:ind w:left="0" w:right="2" w:firstLine="0"/>
              <w:jc w:val="center"/>
              <w:rPr>
                <w:sz w:val="18"/>
                <w:szCs w:val="18"/>
              </w:rPr>
            </w:pPr>
            <w:r w:rsidRPr="00273539">
              <w:rPr>
                <w:sz w:val="18"/>
                <w:szCs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53C44A38" w14:textId="283B155F" w:rsidR="00FC0D61" w:rsidRDefault="00FC0D61" w:rsidP="00331CB0">
            <w:pPr>
              <w:spacing w:after="0" w:line="259" w:lineRule="auto"/>
              <w:ind w:left="0" w:right="2" w:firstLine="0"/>
              <w:jc w:val="center"/>
            </w:pPr>
          </w:p>
        </w:tc>
        <w:tc>
          <w:tcPr>
            <w:tcW w:w="540" w:type="dxa"/>
            <w:tcBorders>
              <w:top w:val="single" w:sz="4" w:space="0" w:color="000000"/>
              <w:left w:val="single" w:sz="12" w:space="0" w:color="000000"/>
              <w:bottom w:val="single" w:sz="4" w:space="0" w:color="000000"/>
              <w:right w:val="single" w:sz="12" w:space="0" w:color="000000"/>
            </w:tcBorders>
            <w:vAlign w:val="center"/>
          </w:tcPr>
          <w:p w14:paraId="2C60243B" w14:textId="7DAF9495" w:rsidR="00FC0D61" w:rsidRDefault="00FC0D61" w:rsidP="00DB6303">
            <w:pPr>
              <w:spacing w:after="0" w:line="259" w:lineRule="auto"/>
              <w:ind w:left="0" w:right="2" w:firstLine="0"/>
              <w:jc w:val="center"/>
            </w:pPr>
          </w:p>
        </w:tc>
        <w:tc>
          <w:tcPr>
            <w:tcW w:w="810" w:type="dxa"/>
            <w:tcBorders>
              <w:top w:val="single" w:sz="4" w:space="0" w:color="000000"/>
              <w:left w:val="single" w:sz="12" w:space="0" w:color="000000"/>
              <w:bottom w:val="single" w:sz="4" w:space="0" w:color="000000"/>
              <w:right w:val="single" w:sz="12" w:space="0" w:color="000000"/>
            </w:tcBorders>
            <w:vAlign w:val="center"/>
          </w:tcPr>
          <w:p w14:paraId="7F5AB5C2" w14:textId="53E40560" w:rsidR="00FC0D61" w:rsidRDefault="00FC0D61" w:rsidP="00796C4B">
            <w:pPr>
              <w:spacing w:after="0" w:line="259" w:lineRule="auto"/>
              <w:ind w:left="58" w:right="0" w:firstLine="0"/>
              <w:jc w:val="center"/>
            </w:pPr>
            <w:r>
              <w:rPr>
                <w:sz w:val="18"/>
              </w:rPr>
              <w:t>8270</w:t>
            </w:r>
          </w:p>
        </w:tc>
        <w:tc>
          <w:tcPr>
            <w:tcW w:w="900" w:type="dxa"/>
            <w:tcBorders>
              <w:top w:val="single" w:sz="4" w:space="0" w:color="000000"/>
              <w:left w:val="single" w:sz="12" w:space="0" w:color="000000"/>
              <w:bottom w:val="single" w:sz="4" w:space="0" w:color="000000"/>
              <w:right w:val="single" w:sz="12" w:space="0" w:color="000000"/>
            </w:tcBorders>
            <w:vAlign w:val="center"/>
          </w:tcPr>
          <w:p w14:paraId="55FBDADF" w14:textId="6DAF076B" w:rsidR="00FC0D61" w:rsidRDefault="00FC0D61" w:rsidP="00796C4B">
            <w:pPr>
              <w:spacing w:after="0" w:line="259" w:lineRule="auto"/>
              <w:ind w:left="0" w:right="0" w:firstLine="0"/>
              <w:jc w:val="center"/>
            </w:pPr>
            <w:r>
              <w:rPr>
                <w:sz w:val="18"/>
              </w:rPr>
              <w:t>8041</w:t>
            </w:r>
          </w:p>
        </w:tc>
      </w:tr>
      <w:tr w:rsidR="00E8392B" w14:paraId="579C4A77" w14:textId="77777777" w:rsidTr="005B6604">
        <w:trPr>
          <w:trHeight w:val="250"/>
        </w:trPr>
        <w:tc>
          <w:tcPr>
            <w:tcW w:w="2952" w:type="dxa"/>
            <w:tcBorders>
              <w:top w:val="single" w:sz="4" w:space="0" w:color="000000"/>
              <w:left w:val="single" w:sz="12" w:space="0" w:color="000000"/>
              <w:bottom w:val="single" w:sz="4" w:space="0" w:color="000000"/>
              <w:right w:val="single" w:sz="12" w:space="0" w:color="000000"/>
            </w:tcBorders>
          </w:tcPr>
          <w:p w14:paraId="7311CBDD" w14:textId="77777777" w:rsidR="00FC0D61" w:rsidRDefault="00FC0D61" w:rsidP="00FC0D61">
            <w:pPr>
              <w:spacing w:after="0" w:line="259" w:lineRule="auto"/>
              <w:ind w:left="0" w:right="0" w:firstLine="0"/>
            </w:pPr>
            <w:r>
              <w:rPr>
                <w:sz w:val="18"/>
              </w:rPr>
              <w:t xml:space="preserve">Diethylstilbestrol </w:t>
            </w:r>
          </w:p>
        </w:tc>
        <w:tc>
          <w:tcPr>
            <w:tcW w:w="1155" w:type="dxa"/>
            <w:tcBorders>
              <w:top w:val="single" w:sz="4" w:space="0" w:color="000000"/>
              <w:left w:val="single" w:sz="12" w:space="0" w:color="000000"/>
              <w:bottom w:val="single" w:sz="4" w:space="0" w:color="000000"/>
              <w:right w:val="single" w:sz="12" w:space="0" w:color="000000"/>
            </w:tcBorders>
            <w:vAlign w:val="center"/>
          </w:tcPr>
          <w:p w14:paraId="0CC6CB5C" w14:textId="6EBC8203" w:rsidR="00FC0D61" w:rsidRDefault="00FC0D61" w:rsidP="00E61546">
            <w:pPr>
              <w:spacing w:after="0" w:line="259" w:lineRule="auto"/>
              <w:ind w:left="0" w:right="44" w:firstLine="0"/>
              <w:jc w:val="center"/>
            </w:pPr>
            <w:r>
              <w:rPr>
                <w:sz w:val="18"/>
              </w:rPr>
              <w:t>56-53-1</w:t>
            </w:r>
          </w:p>
        </w:tc>
        <w:tc>
          <w:tcPr>
            <w:tcW w:w="643" w:type="dxa"/>
            <w:tcBorders>
              <w:top w:val="single" w:sz="4" w:space="0" w:color="000000"/>
              <w:left w:val="single" w:sz="12" w:space="0" w:color="000000"/>
              <w:bottom w:val="single" w:sz="4" w:space="0" w:color="000000"/>
              <w:right w:val="single" w:sz="12" w:space="0" w:color="000000"/>
            </w:tcBorders>
            <w:vAlign w:val="center"/>
          </w:tcPr>
          <w:p w14:paraId="41743574" w14:textId="0A1FE6F6" w:rsidR="00FC0D61" w:rsidRDefault="00FC0D61" w:rsidP="00796C4B">
            <w:pPr>
              <w:spacing w:after="0" w:line="259" w:lineRule="auto"/>
              <w:ind w:left="0" w:right="0" w:firstLine="0"/>
              <w:jc w:val="center"/>
            </w:pPr>
            <w:r>
              <w:rPr>
                <w:sz w:val="18"/>
              </w:rPr>
              <w:t>20</w:t>
            </w:r>
          </w:p>
        </w:tc>
        <w:tc>
          <w:tcPr>
            <w:tcW w:w="726" w:type="dxa"/>
            <w:tcBorders>
              <w:top w:val="single" w:sz="4" w:space="0" w:color="000000"/>
              <w:left w:val="single" w:sz="12" w:space="0" w:color="000000"/>
              <w:bottom w:val="single" w:sz="4" w:space="0" w:color="000000"/>
              <w:right w:val="single" w:sz="12" w:space="0" w:color="000000"/>
            </w:tcBorders>
            <w:vAlign w:val="center"/>
          </w:tcPr>
          <w:p w14:paraId="2233835A" w14:textId="04EC2AC3" w:rsidR="00FC0D61" w:rsidRDefault="00FC0D61" w:rsidP="00796C4B">
            <w:pPr>
              <w:spacing w:after="0" w:line="259" w:lineRule="auto"/>
              <w:ind w:left="0" w:right="49" w:firstLine="0"/>
              <w:jc w:val="center"/>
            </w:pPr>
            <w:r>
              <w:rPr>
                <w:sz w:val="18"/>
              </w:rPr>
              <w:t>ug/L</w:t>
            </w:r>
          </w:p>
        </w:tc>
        <w:tc>
          <w:tcPr>
            <w:tcW w:w="773" w:type="dxa"/>
            <w:tcBorders>
              <w:top w:val="single" w:sz="4" w:space="0" w:color="000000"/>
              <w:left w:val="single" w:sz="12" w:space="0" w:color="000000"/>
              <w:bottom w:val="single" w:sz="4" w:space="0" w:color="000000"/>
              <w:right w:val="single" w:sz="12" w:space="0" w:color="000000"/>
            </w:tcBorders>
            <w:vAlign w:val="center"/>
          </w:tcPr>
          <w:p w14:paraId="2D42CFDD" w14:textId="73312193" w:rsidR="00FC0D61" w:rsidRDefault="00FC0D61" w:rsidP="00796C4B">
            <w:pPr>
              <w:spacing w:after="0" w:line="259" w:lineRule="auto"/>
              <w:ind w:left="0" w:right="42" w:firstLine="0"/>
              <w:jc w:val="center"/>
            </w:pPr>
            <w:r>
              <w:rPr>
                <w:sz w:val="18"/>
              </w:rPr>
              <w:t>1300</w:t>
            </w:r>
          </w:p>
        </w:tc>
        <w:tc>
          <w:tcPr>
            <w:tcW w:w="951" w:type="dxa"/>
            <w:tcBorders>
              <w:top w:val="single" w:sz="4" w:space="0" w:color="000000"/>
              <w:left w:val="single" w:sz="12" w:space="0" w:color="000000"/>
              <w:bottom w:val="single" w:sz="4" w:space="0" w:color="000000"/>
              <w:right w:val="single" w:sz="12" w:space="0" w:color="000000"/>
            </w:tcBorders>
            <w:vAlign w:val="center"/>
          </w:tcPr>
          <w:p w14:paraId="772D25A7" w14:textId="3EE20115" w:rsidR="00FC0D61" w:rsidRDefault="00FC0D61" w:rsidP="00796C4B">
            <w:pPr>
              <w:spacing w:after="0" w:line="259" w:lineRule="auto"/>
              <w:ind w:left="0" w:right="46" w:firstLine="0"/>
              <w:jc w:val="center"/>
            </w:pPr>
            <w:r>
              <w:rPr>
                <w:rFonts w:eastAsia="Segoe UI Symbol"/>
                <w:sz w:val="18"/>
              </w:rPr>
              <w:t>u</w:t>
            </w:r>
            <w:r>
              <w:rPr>
                <w:sz w:val="18"/>
              </w:rPr>
              <w:t>g/kg</w:t>
            </w:r>
          </w:p>
        </w:tc>
        <w:tc>
          <w:tcPr>
            <w:tcW w:w="630" w:type="dxa"/>
            <w:tcBorders>
              <w:top w:val="single" w:sz="4" w:space="0" w:color="000000"/>
              <w:left w:val="single" w:sz="12" w:space="0" w:color="000000"/>
              <w:bottom w:val="single" w:sz="4" w:space="0" w:color="000000"/>
              <w:right w:val="single" w:sz="12" w:space="0" w:color="000000"/>
            </w:tcBorders>
            <w:vAlign w:val="center"/>
          </w:tcPr>
          <w:p w14:paraId="1A0A65BE" w14:textId="7F50660E" w:rsidR="00FC0D61" w:rsidRDefault="00FC0D61" w:rsidP="00DB6303">
            <w:pPr>
              <w:spacing w:after="0" w:line="259" w:lineRule="auto"/>
              <w:ind w:left="0" w:right="47" w:firstLine="0"/>
              <w:jc w:val="center"/>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1BEDD70F" w14:textId="4A6828B6" w:rsidR="00FC0D61" w:rsidRDefault="00FC0D61" w:rsidP="008F3E2C">
            <w:pPr>
              <w:spacing w:after="0" w:line="259" w:lineRule="auto"/>
              <w:ind w:left="0" w:right="2" w:firstLine="0"/>
              <w:jc w:val="center"/>
            </w:pPr>
          </w:p>
        </w:tc>
        <w:tc>
          <w:tcPr>
            <w:tcW w:w="540" w:type="dxa"/>
            <w:tcBorders>
              <w:top w:val="single" w:sz="4" w:space="0" w:color="000000"/>
              <w:left w:val="single" w:sz="12" w:space="0" w:color="000000"/>
              <w:bottom w:val="single" w:sz="4" w:space="0" w:color="000000"/>
              <w:right w:val="single" w:sz="12" w:space="0" w:color="000000"/>
            </w:tcBorders>
            <w:vAlign w:val="center"/>
          </w:tcPr>
          <w:p w14:paraId="0E60144C" w14:textId="18EEB140" w:rsidR="00FC0D61" w:rsidRDefault="00FC0D61" w:rsidP="00DB6303">
            <w:pPr>
              <w:spacing w:after="0" w:line="259" w:lineRule="auto"/>
              <w:ind w:left="0" w:right="2" w:firstLine="0"/>
              <w:jc w:val="center"/>
            </w:pPr>
          </w:p>
        </w:tc>
        <w:tc>
          <w:tcPr>
            <w:tcW w:w="810" w:type="dxa"/>
            <w:tcBorders>
              <w:top w:val="single" w:sz="4" w:space="0" w:color="000000"/>
              <w:left w:val="single" w:sz="12" w:space="0" w:color="000000"/>
              <w:bottom w:val="single" w:sz="4" w:space="0" w:color="000000"/>
              <w:right w:val="single" w:sz="12" w:space="0" w:color="000000"/>
            </w:tcBorders>
            <w:vAlign w:val="center"/>
          </w:tcPr>
          <w:p w14:paraId="16F763C8" w14:textId="1812A3A4" w:rsidR="00FC0D61" w:rsidRDefault="00FC0D61" w:rsidP="00796C4B">
            <w:pPr>
              <w:spacing w:after="0" w:line="259" w:lineRule="auto"/>
              <w:ind w:left="0" w:right="0" w:firstLine="0"/>
              <w:jc w:val="center"/>
            </w:pPr>
            <w:r>
              <w:rPr>
                <w:sz w:val="18"/>
              </w:rPr>
              <w:t>8270</w:t>
            </w:r>
          </w:p>
        </w:tc>
        <w:tc>
          <w:tcPr>
            <w:tcW w:w="900" w:type="dxa"/>
            <w:tcBorders>
              <w:top w:val="single" w:sz="4" w:space="0" w:color="000000"/>
              <w:left w:val="single" w:sz="12" w:space="0" w:color="000000"/>
              <w:bottom w:val="single" w:sz="4" w:space="0" w:color="000000"/>
              <w:right w:val="single" w:sz="12" w:space="0" w:color="000000"/>
            </w:tcBorders>
            <w:vAlign w:val="center"/>
          </w:tcPr>
          <w:p w14:paraId="2BBB9DAA" w14:textId="1E1C97AF" w:rsidR="00FC0D61" w:rsidRDefault="00FC0D61" w:rsidP="00796C4B">
            <w:pPr>
              <w:spacing w:after="0" w:line="259" w:lineRule="auto"/>
              <w:ind w:left="0" w:right="0" w:firstLine="0"/>
              <w:jc w:val="center"/>
            </w:pPr>
          </w:p>
        </w:tc>
      </w:tr>
      <w:tr w:rsidR="00E8392B" w14:paraId="12414D17" w14:textId="77777777" w:rsidTr="005B6604">
        <w:trPr>
          <w:trHeight w:val="250"/>
        </w:trPr>
        <w:tc>
          <w:tcPr>
            <w:tcW w:w="2952" w:type="dxa"/>
            <w:tcBorders>
              <w:top w:val="single" w:sz="4" w:space="0" w:color="000000"/>
              <w:left w:val="single" w:sz="12" w:space="0" w:color="000000"/>
              <w:bottom w:val="single" w:sz="4" w:space="0" w:color="000000"/>
              <w:right w:val="single" w:sz="12" w:space="0" w:color="000000"/>
            </w:tcBorders>
          </w:tcPr>
          <w:p w14:paraId="21E18A8E" w14:textId="77777777" w:rsidR="00FC0D61" w:rsidRDefault="00FC0D61" w:rsidP="00FC0D61">
            <w:pPr>
              <w:spacing w:after="0" w:line="259" w:lineRule="auto"/>
              <w:ind w:left="0" w:right="0" w:firstLine="0"/>
            </w:pPr>
            <w:r>
              <w:rPr>
                <w:sz w:val="18"/>
              </w:rPr>
              <w:t xml:space="preserve">3,3’-Dimethoxybenzidine </w:t>
            </w:r>
          </w:p>
        </w:tc>
        <w:tc>
          <w:tcPr>
            <w:tcW w:w="1155" w:type="dxa"/>
            <w:tcBorders>
              <w:top w:val="single" w:sz="4" w:space="0" w:color="000000"/>
              <w:left w:val="single" w:sz="12" w:space="0" w:color="000000"/>
              <w:bottom w:val="single" w:sz="4" w:space="0" w:color="000000"/>
              <w:right w:val="single" w:sz="12" w:space="0" w:color="000000"/>
            </w:tcBorders>
            <w:vAlign w:val="center"/>
          </w:tcPr>
          <w:p w14:paraId="648D1C76" w14:textId="49F3C487" w:rsidR="00FC0D61" w:rsidRDefault="00FC0D61" w:rsidP="00E61546">
            <w:pPr>
              <w:spacing w:after="0" w:line="259" w:lineRule="auto"/>
              <w:ind w:left="0" w:right="44" w:firstLine="0"/>
              <w:jc w:val="center"/>
            </w:pPr>
            <w:r>
              <w:rPr>
                <w:sz w:val="18"/>
              </w:rPr>
              <w:t>119-90-4</w:t>
            </w:r>
          </w:p>
        </w:tc>
        <w:tc>
          <w:tcPr>
            <w:tcW w:w="643" w:type="dxa"/>
            <w:tcBorders>
              <w:top w:val="single" w:sz="4" w:space="0" w:color="000000"/>
              <w:left w:val="single" w:sz="12" w:space="0" w:color="000000"/>
              <w:bottom w:val="single" w:sz="4" w:space="0" w:color="000000"/>
              <w:right w:val="single" w:sz="12" w:space="0" w:color="000000"/>
            </w:tcBorders>
            <w:vAlign w:val="center"/>
          </w:tcPr>
          <w:p w14:paraId="1489C186" w14:textId="24B3C739" w:rsidR="00FC0D61" w:rsidRDefault="00FC0D61" w:rsidP="00796C4B">
            <w:pPr>
              <w:spacing w:after="0" w:line="259" w:lineRule="auto"/>
              <w:ind w:left="0" w:right="0" w:firstLine="0"/>
              <w:jc w:val="center"/>
            </w:pPr>
            <w:r>
              <w:rPr>
                <w:sz w:val="18"/>
              </w:rPr>
              <w:t>100</w:t>
            </w:r>
          </w:p>
        </w:tc>
        <w:tc>
          <w:tcPr>
            <w:tcW w:w="726" w:type="dxa"/>
            <w:tcBorders>
              <w:top w:val="single" w:sz="4" w:space="0" w:color="000000"/>
              <w:left w:val="single" w:sz="12" w:space="0" w:color="000000"/>
              <w:bottom w:val="single" w:sz="4" w:space="0" w:color="000000"/>
              <w:right w:val="single" w:sz="12" w:space="0" w:color="000000"/>
            </w:tcBorders>
            <w:vAlign w:val="center"/>
          </w:tcPr>
          <w:p w14:paraId="03D1DF51" w14:textId="1FEE9254" w:rsidR="00FC0D61" w:rsidRDefault="00FC0D61" w:rsidP="00796C4B">
            <w:pPr>
              <w:spacing w:after="0" w:line="259" w:lineRule="auto"/>
              <w:ind w:left="0" w:right="49" w:firstLine="0"/>
              <w:jc w:val="center"/>
            </w:pPr>
            <w:r>
              <w:rPr>
                <w:sz w:val="18"/>
              </w:rPr>
              <w:t>ug/L</w:t>
            </w:r>
          </w:p>
        </w:tc>
        <w:tc>
          <w:tcPr>
            <w:tcW w:w="773" w:type="dxa"/>
            <w:tcBorders>
              <w:top w:val="single" w:sz="4" w:space="0" w:color="000000"/>
              <w:left w:val="single" w:sz="12" w:space="0" w:color="000000"/>
              <w:bottom w:val="single" w:sz="4" w:space="0" w:color="000000"/>
              <w:right w:val="single" w:sz="12" w:space="0" w:color="000000"/>
            </w:tcBorders>
            <w:vAlign w:val="center"/>
          </w:tcPr>
          <w:p w14:paraId="2570CB4B" w14:textId="56056C70" w:rsidR="00FC0D61" w:rsidRDefault="00FC0D61" w:rsidP="00796C4B">
            <w:pPr>
              <w:spacing w:after="0" w:line="259" w:lineRule="auto"/>
              <w:ind w:left="0" w:right="41" w:firstLine="0"/>
              <w:jc w:val="center"/>
            </w:pPr>
            <w:r>
              <w:rPr>
                <w:sz w:val="18"/>
              </w:rPr>
              <w:t>660</w:t>
            </w:r>
          </w:p>
        </w:tc>
        <w:tc>
          <w:tcPr>
            <w:tcW w:w="951" w:type="dxa"/>
            <w:tcBorders>
              <w:top w:val="single" w:sz="4" w:space="0" w:color="000000"/>
              <w:left w:val="single" w:sz="12" w:space="0" w:color="000000"/>
              <w:bottom w:val="single" w:sz="4" w:space="0" w:color="000000"/>
              <w:right w:val="single" w:sz="12" w:space="0" w:color="000000"/>
            </w:tcBorders>
            <w:vAlign w:val="center"/>
          </w:tcPr>
          <w:p w14:paraId="7333BDCE" w14:textId="291DDA42" w:rsidR="00FC0D61" w:rsidRDefault="00FC0D61" w:rsidP="00796C4B">
            <w:pPr>
              <w:spacing w:after="0" w:line="259" w:lineRule="auto"/>
              <w:ind w:left="0" w:right="46" w:firstLine="0"/>
              <w:jc w:val="center"/>
            </w:pPr>
            <w:r>
              <w:rPr>
                <w:rFonts w:eastAsia="Segoe UI Symbol"/>
                <w:sz w:val="18"/>
              </w:rPr>
              <w:t>u</w:t>
            </w:r>
            <w:r>
              <w:rPr>
                <w:sz w:val="18"/>
              </w:rPr>
              <w:t>g/kg</w:t>
            </w:r>
          </w:p>
        </w:tc>
        <w:tc>
          <w:tcPr>
            <w:tcW w:w="630" w:type="dxa"/>
            <w:tcBorders>
              <w:top w:val="single" w:sz="4" w:space="0" w:color="000000"/>
              <w:left w:val="single" w:sz="12" w:space="0" w:color="000000"/>
              <w:bottom w:val="single" w:sz="4" w:space="0" w:color="000000"/>
              <w:right w:val="single" w:sz="12" w:space="0" w:color="000000"/>
            </w:tcBorders>
            <w:vAlign w:val="center"/>
          </w:tcPr>
          <w:p w14:paraId="23058591" w14:textId="794ADA15" w:rsidR="00FC0D61" w:rsidRDefault="00FC0D61" w:rsidP="00DB6303">
            <w:pPr>
              <w:spacing w:after="0" w:line="259" w:lineRule="auto"/>
              <w:ind w:left="0" w:right="47" w:firstLine="0"/>
              <w:jc w:val="center"/>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25E1DDB9" w14:textId="479D5C1A" w:rsidR="00FC0D61" w:rsidRDefault="00FC0D61" w:rsidP="008F3E2C">
            <w:pPr>
              <w:spacing w:after="0" w:line="259" w:lineRule="auto"/>
              <w:ind w:left="0" w:right="2" w:firstLine="0"/>
              <w:jc w:val="center"/>
            </w:pPr>
          </w:p>
        </w:tc>
        <w:tc>
          <w:tcPr>
            <w:tcW w:w="540" w:type="dxa"/>
            <w:tcBorders>
              <w:top w:val="single" w:sz="4" w:space="0" w:color="000000"/>
              <w:left w:val="single" w:sz="12" w:space="0" w:color="000000"/>
              <w:bottom w:val="single" w:sz="4" w:space="0" w:color="000000"/>
              <w:right w:val="single" w:sz="12" w:space="0" w:color="000000"/>
            </w:tcBorders>
            <w:vAlign w:val="center"/>
          </w:tcPr>
          <w:p w14:paraId="6503D813" w14:textId="7AE330AD" w:rsidR="00FC0D61" w:rsidRDefault="00FC0D61" w:rsidP="00DB6303">
            <w:pPr>
              <w:spacing w:after="0" w:line="259" w:lineRule="auto"/>
              <w:ind w:left="0" w:right="2" w:firstLine="0"/>
              <w:jc w:val="center"/>
            </w:pPr>
          </w:p>
        </w:tc>
        <w:tc>
          <w:tcPr>
            <w:tcW w:w="810" w:type="dxa"/>
            <w:tcBorders>
              <w:top w:val="single" w:sz="4" w:space="0" w:color="000000"/>
              <w:left w:val="single" w:sz="12" w:space="0" w:color="000000"/>
              <w:bottom w:val="single" w:sz="4" w:space="0" w:color="000000"/>
              <w:right w:val="single" w:sz="12" w:space="0" w:color="000000"/>
            </w:tcBorders>
            <w:vAlign w:val="center"/>
          </w:tcPr>
          <w:p w14:paraId="5F8530E2" w14:textId="78CF57E0" w:rsidR="00FC0D61" w:rsidRDefault="00FC0D61" w:rsidP="00796C4B">
            <w:pPr>
              <w:spacing w:after="0" w:line="259" w:lineRule="auto"/>
              <w:ind w:left="0" w:right="0" w:firstLine="0"/>
              <w:jc w:val="center"/>
            </w:pPr>
            <w:r>
              <w:rPr>
                <w:sz w:val="18"/>
              </w:rPr>
              <w:t>8270</w:t>
            </w:r>
          </w:p>
        </w:tc>
        <w:tc>
          <w:tcPr>
            <w:tcW w:w="900" w:type="dxa"/>
            <w:tcBorders>
              <w:top w:val="single" w:sz="4" w:space="0" w:color="000000"/>
              <w:left w:val="single" w:sz="12" w:space="0" w:color="000000"/>
              <w:bottom w:val="single" w:sz="4" w:space="0" w:color="000000"/>
              <w:right w:val="single" w:sz="12" w:space="0" w:color="000000"/>
            </w:tcBorders>
            <w:vAlign w:val="center"/>
          </w:tcPr>
          <w:p w14:paraId="13B14218" w14:textId="456B3678" w:rsidR="00FC0D61" w:rsidRDefault="00FC0D61" w:rsidP="00796C4B">
            <w:pPr>
              <w:spacing w:after="0" w:line="259" w:lineRule="auto"/>
              <w:ind w:left="0" w:right="0" w:firstLine="0"/>
              <w:jc w:val="center"/>
            </w:pPr>
            <w:r>
              <w:rPr>
                <w:sz w:val="18"/>
              </w:rPr>
              <w:t>8325</w:t>
            </w:r>
          </w:p>
        </w:tc>
      </w:tr>
      <w:tr w:rsidR="00E8392B" w14:paraId="73BEBD67" w14:textId="77777777" w:rsidTr="005B6604">
        <w:trPr>
          <w:trHeight w:val="250"/>
        </w:trPr>
        <w:tc>
          <w:tcPr>
            <w:tcW w:w="2952" w:type="dxa"/>
            <w:tcBorders>
              <w:top w:val="single" w:sz="4" w:space="0" w:color="000000"/>
              <w:left w:val="single" w:sz="12" w:space="0" w:color="000000"/>
              <w:bottom w:val="single" w:sz="4" w:space="0" w:color="000000"/>
              <w:right w:val="single" w:sz="12" w:space="0" w:color="000000"/>
            </w:tcBorders>
          </w:tcPr>
          <w:p w14:paraId="6E3731EF" w14:textId="77777777" w:rsidR="00FC0D61" w:rsidRDefault="00FC0D61" w:rsidP="00FC0D61">
            <w:pPr>
              <w:spacing w:after="0" w:line="259" w:lineRule="auto"/>
              <w:ind w:left="0" w:right="0" w:firstLine="0"/>
            </w:pPr>
            <w:proofErr w:type="spellStart"/>
            <w:r>
              <w:rPr>
                <w:sz w:val="18"/>
              </w:rPr>
              <w:t>Dimethylaminoazobenzene</w:t>
            </w:r>
            <w:proofErr w:type="spellEnd"/>
            <w:r>
              <w:rPr>
                <w:sz w:val="18"/>
              </w:rPr>
              <w:t xml:space="preserve"> </w:t>
            </w:r>
          </w:p>
        </w:tc>
        <w:tc>
          <w:tcPr>
            <w:tcW w:w="1155" w:type="dxa"/>
            <w:tcBorders>
              <w:top w:val="single" w:sz="4" w:space="0" w:color="000000"/>
              <w:left w:val="single" w:sz="12" w:space="0" w:color="000000"/>
              <w:bottom w:val="single" w:sz="4" w:space="0" w:color="000000"/>
              <w:right w:val="single" w:sz="12" w:space="0" w:color="000000"/>
            </w:tcBorders>
            <w:vAlign w:val="center"/>
          </w:tcPr>
          <w:p w14:paraId="5683A212" w14:textId="3D156A71" w:rsidR="00FC0D61" w:rsidRDefault="00FC0D61" w:rsidP="00E61546">
            <w:pPr>
              <w:spacing w:after="0" w:line="259" w:lineRule="auto"/>
              <w:ind w:left="0" w:right="44" w:firstLine="0"/>
              <w:jc w:val="center"/>
            </w:pPr>
            <w:r>
              <w:rPr>
                <w:sz w:val="18"/>
              </w:rPr>
              <w:t>60-11-7</w:t>
            </w:r>
          </w:p>
        </w:tc>
        <w:tc>
          <w:tcPr>
            <w:tcW w:w="643" w:type="dxa"/>
            <w:tcBorders>
              <w:top w:val="single" w:sz="4" w:space="0" w:color="000000"/>
              <w:left w:val="single" w:sz="12" w:space="0" w:color="000000"/>
              <w:bottom w:val="single" w:sz="4" w:space="0" w:color="000000"/>
              <w:right w:val="single" w:sz="12" w:space="0" w:color="000000"/>
            </w:tcBorders>
            <w:vAlign w:val="center"/>
          </w:tcPr>
          <w:p w14:paraId="12ED7D4F" w14:textId="3BB47F26" w:rsidR="00FC0D61" w:rsidRDefault="00FC0D61" w:rsidP="00796C4B">
            <w:pPr>
              <w:spacing w:after="0" w:line="259" w:lineRule="auto"/>
              <w:ind w:left="0" w:right="0" w:firstLine="0"/>
              <w:jc w:val="center"/>
            </w:pPr>
            <w:r>
              <w:rPr>
                <w:sz w:val="18"/>
              </w:rPr>
              <w:t>10</w:t>
            </w:r>
          </w:p>
        </w:tc>
        <w:tc>
          <w:tcPr>
            <w:tcW w:w="726" w:type="dxa"/>
            <w:tcBorders>
              <w:top w:val="single" w:sz="4" w:space="0" w:color="000000"/>
              <w:left w:val="single" w:sz="12" w:space="0" w:color="000000"/>
              <w:bottom w:val="single" w:sz="4" w:space="0" w:color="000000"/>
              <w:right w:val="single" w:sz="12" w:space="0" w:color="000000"/>
            </w:tcBorders>
            <w:vAlign w:val="center"/>
          </w:tcPr>
          <w:p w14:paraId="3BED0156" w14:textId="167E9C84" w:rsidR="00FC0D61" w:rsidRDefault="00FC0D61" w:rsidP="00796C4B">
            <w:pPr>
              <w:spacing w:after="0" w:line="259" w:lineRule="auto"/>
              <w:ind w:left="0" w:right="49" w:firstLine="0"/>
              <w:jc w:val="center"/>
            </w:pPr>
            <w:r>
              <w:rPr>
                <w:sz w:val="18"/>
              </w:rPr>
              <w:t>ug/L</w:t>
            </w:r>
          </w:p>
        </w:tc>
        <w:tc>
          <w:tcPr>
            <w:tcW w:w="773" w:type="dxa"/>
            <w:tcBorders>
              <w:top w:val="single" w:sz="4" w:space="0" w:color="000000"/>
              <w:left w:val="single" w:sz="12" w:space="0" w:color="000000"/>
              <w:bottom w:val="single" w:sz="4" w:space="0" w:color="000000"/>
              <w:right w:val="single" w:sz="12" w:space="0" w:color="000000"/>
            </w:tcBorders>
            <w:vAlign w:val="center"/>
          </w:tcPr>
          <w:p w14:paraId="0E591E95" w14:textId="4DC663E2" w:rsidR="00FC0D61" w:rsidRDefault="00FC0D61" w:rsidP="00796C4B">
            <w:pPr>
              <w:spacing w:after="0" w:line="259" w:lineRule="auto"/>
              <w:ind w:left="0" w:right="41" w:firstLine="0"/>
              <w:jc w:val="center"/>
            </w:pPr>
            <w:r>
              <w:rPr>
                <w:sz w:val="18"/>
              </w:rPr>
              <w:t>660</w:t>
            </w:r>
          </w:p>
        </w:tc>
        <w:tc>
          <w:tcPr>
            <w:tcW w:w="951" w:type="dxa"/>
            <w:tcBorders>
              <w:top w:val="single" w:sz="4" w:space="0" w:color="000000"/>
              <w:left w:val="single" w:sz="12" w:space="0" w:color="000000"/>
              <w:bottom w:val="single" w:sz="4" w:space="0" w:color="000000"/>
              <w:right w:val="single" w:sz="12" w:space="0" w:color="000000"/>
            </w:tcBorders>
            <w:vAlign w:val="center"/>
          </w:tcPr>
          <w:p w14:paraId="0BF6E18B" w14:textId="06B60427" w:rsidR="00FC0D61" w:rsidRDefault="00FC0D61" w:rsidP="00796C4B">
            <w:pPr>
              <w:spacing w:after="0" w:line="259" w:lineRule="auto"/>
              <w:ind w:left="0" w:right="46" w:firstLine="0"/>
              <w:jc w:val="center"/>
            </w:pPr>
            <w:r>
              <w:rPr>
                <w:rFonts w:eastAsia="Segoe UI Symbol"/>
                <w:sz w:val="18"/>
              </w:rPr>
              <w:t>u</w:t>
            </w:r>
            <w:r>
              <w:rPr>
                <w:sz w:val="18"/>
              </w:rPr>
              <w:t>g/kg</w:t>
            </w:r>
          </w:p>
        </w:tc>
        <w:tc>
          <w:tcPr>
            <w:tcW w:w="630" w:type="dxa"/>
            <w:tcBorders>
              <w:top w:val="single" w:sz="4" w:space="0" w:color="000000"/>
              <w:left w:val="single" w:sz="12" w:space="0" w:color="000000"/>
              <w:bottom w:val="single" w:sz="4" w:space="0" w:color="000000"/>
              <w:right w:val="single" w:sz="12" w:space="0" w:color="000000"/>
            </w:tcBorders>
            <w:vAlign w:val="center"/>
          </w:tcPr>
          <w:p w14:paraId="193759CE" w14:textId="4EF2BBC1" w:rsidR="00FC0D61" w:rsidRDefault="00FC0D61" w:rsidP="00DB6303">
            <w:pPr>
              <w:spacing w:after="0" w:line="259" w:lineRule="auto"/>
              <w:ind w:left="0" w:right="47" w:firstLine="0"/>
              <w:jc w:val="center"/>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7B7CF22C" w14:textId="5119AF1B" w:rsidR="00FC0D61" w:rsidRDefault="00FC0D61" w:rsidP="00154D5F">
            <w:pPr>
              <w:spacing w:after="0" w:line="259" w:lineRule="auto"/>
              <w:ind w:left="96" w:right="0" w:firstLine="0"/>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036386FC" w14:textId="615F9066" w:rsidR="00FC0D61" w:rsidRDefault="00FC0D61" w:rsidP="00DB6303">
            <w:pPr>
              <w:spacing w:after="0" w:line="259" w:lineRule="auto"/>
              <w:ind w:left="0" w:right="47" w:firstLine="0"/>
              <w:jc w:val="center"/>
            </w:pPr>
            <w:r>
              <w:rPr>
                <w:sz w:val="18"/>
              </w:rPr>
              <w:t>X</w:t>
            </w:r>
          </w:p>
        </w:tc>
        <w:tc>
          <w:tcPr>
            <w:tcW w:w="810" w:type="dxa"/>
            <w:tcBorders>
              <w:top w:val="single" w:sz="4" w:space="0" w:color="000000"/>
              <w:left w:val="single" w:sz="12" w:space="0" w:color="000000"/>
              <w:bottom w:val="single" w:sz="4" w:space="0" w:color="000000"/>
              <w:right w:val="single" w:sz="12" w:space="0" w:color="000000"/>
            </w:tcBorders>
            <w:vAlign w:val="center"/>
          </w:tcPr>
          <w:p w14:paraId="1C3E34E9" w14:textId="2A3380FB" w:rsidR="00FC0D61" w:rsidRDefault="00FC0D61" w:rsidP="00796C4B">
            <w:pPr>
              <w:spacing w:after="0" w:line="259" w:lineRule="auto"/>
              <w:ind w:left="0" w:right="0" w:firstLine="0"/>
              <w:jc w:val="center"/>
            </w:pPr>
            <w:r>
              <w:rPr>
                <w:sz w:val="18"/>
              </w:rPr>
              <w:t>8270</w:t>
            </w:r>
          </w:p>
        </w:tc>
        <w:tc>
          <w:tcPr>
            <w:tcW w:w="900" w:type="dxa"/>
            <w:tcBorders>
              <w:top w:val="single" w:sz="4" w:space="0" w:color="000000"/>
              <w:left w:val="single" w:sz="12" w:space="0" w:color="000000"/>
              <w:bottom w:val="single" w:sz="4" w:space="0" w:color="000000"/>
              <w:right w:val="single" w:sz="12" w:space="0" w:color="000000"/>
            </w:tcBorders>
            <w:vAlign w:val="center"/>
          </w:tcPr>
          <w:p w14:paraId="19808D70" w14:textId="14E7F48E" w:rsidR="00FC0D61" w:rsidRDefault="00FC0D61" w:rsidP="00796C4B">
            <w:pPr>
              <w:spacing w:after="0" w:line="259" w:lineRule="auto"/>
              <w:ind w:left="0" w:right="0" w:firstLine="0"/>
              <w:jc w:val="center"/>
            </w:pPr>
          </w:p>
        </w:tc>
      </w:tr>
      <w:tr w:rsidR="00E8392B" w14:paraId="0262E8F2" w14:textId="77777777" w:rsidTr="005B6604">
        <w:trPr>
          <w:trHeight w:val="250"/>
        </w:trPr>
        <w:tc>
          <w:tcPr>
            <w:tcW w:w="2952" w:type="dxa"/>
            <w:tcBorders>
              <w:top w:val="single" w:sz="4" w:space="0" w:color="000000"/>
              <w:left w:val="single" w:sz="12" w:space="0" w:color="000000"/>
              <w:bottom w:val="single" w:sz="4" w:space="0" w:color="000000"/>
              <w:right w:val="single" w:sz="12" w:space="0" w:color="000000"/>
            </w:tcBorders>
          </w:tcPr>
          <w:p w14:paraId="77750FB3" w14:textId="77777777" w:rsidR="00FC0D61" w:rsidRDefault="00FC0D61" w:rsidP="00FC0D61">
            <w:pPr>
              <w:spacing w:after="0" w:line="259" w:lineRule="auto"/>
              <w:ind w:left="0" w:right="0" w:firstLine="0"/>
            </w:pPr>
            <w:r>
              <w:rPr>
                <w:sz w:val="18"/>
              </w:rPr>
              <w:t xml:space="preserve">7,12-Dimethylbenz[a]anthracene </w:t>
            </w:r>
          </w:p>
        </w:tc>
        <w:tc>
          <w:tcPr>
            <w:tcW w:w="1155" w:type="dxa"/>
            <w:tcBorders>
              <w:top w:val="single" w:sz="4" w:space="0" w:color="000000"/>
              <w:left w:val="single" w:sz="12" w:space="0" w:color="000000"/>
              <w:bottom w:val="single" w:sz="4" w:space="0" w:color="000000"/>
              <w:right w:val="single" w:sz="12" w:space="0" w:color="000000"/>
            </w:tcBorders>
            <w:vAlign w:val="center"/>
          </w:tcPr>
          <w:p w14:paraId="60E84CD2" w14:textId="219D971F" w:rsidR="00FC0D61" w:rsidRDefault="00FC0D61" w:rsidP="00E61546">
            <w:pPr>
              <w:spacing w:after="0" w:line="259" w:lineRule="auto"/>
              <w:ind w:left="0" w:right="44" w:firstLine="0"/>
              <w:jc w:val="center"/>
            </w:pPr>
            <w:r>
              <w:rPr>
                <w:sz w:val="18"/>
              </w:rPr>
              <w:t>57-97-6</w:t>
            </w:r>
          </w:p>
        </w:tc>
        <w:tc>
          <w:tcPr>
            <w:tcW w:w="643" w:type="dxa"/>
            <w:tcBorders>
              <w:top w:val="single" w:sz="4" w:space="0" w:color="000000"/>
              <w:left w:val="single" w:sz="12" w:space="0" w:color="000000"/>
              <w:bottom w:val="single" w:sz="4" w:space="0" w:color="000000"/>
              <w:right w:val="single" w:sz="12" w:space="0" w:color="000000"/>
            </w:tcBorders>
            <w:vAlign w:val="center"/>
          </w:tcPr>
          <w:p w14:paraId="4AD80BCD" w14:textId="6CCD6806" w:rsidR="00FC0D61" w:rsidRDefault="00FC0D61" w:rsidP="00796C4B">
            <w:pPr>
              <w:spacing w:after="0" w:line="259" w:lineRule="auto"/>
              <w:ind w:left="0" w:right="0" w:firstLine="0"/>
              <w:jc w:val="center"/>
            </w:pPr>
            <w:r>
              <w:rPr>
                <w:sz w:val="18"/>
              </w:rPr>
              <w:t>10</w:t>
            </w:r>
          </w:p>
        </w:tc>
        <w:tc>
          <w:tcPr>
            <w:tcW w:w="726" w:type="dxa"/>
            <w:tcBorders>
              <w:top w:val="single" w:sz="4" w:space="0" w:color="000000"/>
              <w:left w:val="single" w:sz="12" w:space="0" w:color="000000"/>
              <w:bottom w:val="single" w:sz="4" w:space="0" w:color="000000"/>
              <w:right w:val="single" w:sz="12" w:space="0" w:color="000000"/>
            </w:tcBorders>
            <w:vAlign w:val="center"/>
          </w:tcPr>
          <w:p w14:paraId="5D498672" w14:textId="1F1CA16C" w:rsidR="00FC0D61" w:rsidRDefault="00FC0D61" w:rsidP="00796C4B">
            <w:pPr>
              <w:spacing w:after="0" w:line="259" w:lineRule="auto"/>
              <w:ind w:left="0" w:right="49" w:firstLine="0"/>
              <w:jc w:val="center"/>
            </w:pPr>
            <w:r>
              <w:rPr>
                <w:sz w:val="18"/>
              </w:rPr>
              <w:t>ug/L</w:t>
            </w:r>
          </w:p>
        </w:tc>
        <w:tc>
          <w:tcPr>
            <w:tcW w:w="773" w:type="dxa"/>
            <w:tcBorders>
              <w:top w:val="single" w:sz="4" w:space="0" w:color="000000"/>
              <w:left w:val="single" w:sz="12" w:space="0" w:color="000000"/>
              <w:bottom w:val="single" w:sz="4" w:space="0" w:color="000000"/>
              <w:right w:val="single" w:sz="12" w:space="0" w:color="000000"/>
            </w:tcBorders>
            <w:vAlign w:val="center"/>
          </w:tcPr>
          <w:p w14:paraId="68B7AE7C" w14:textId="6FA60279" w:rsidR="00FC0D61" w:rsidRDefault="00FC0D61" w:rsidP="00796C4B">
            <w:pPr>
              <w:spacing w:after="0" w:line="259" w:lineRule="auto"/>
              <w:ind w:left="0" w:right="41" w:firstLine="0"/>
              <w:jc w:val="center"/>
            </w:pPr>
            <w:r>
              <w:rPr>
                <w:sz w:val="18"/>
              </w:rPr>
              <w:t>660</w:t>
            </w:r>
          </w:p>
        </w:tc>
        <w:tc>
          <w:tcPr>
            <w:tcW w:w="951" w:type="dxa"/>
            <w:tcBorders>
              <w:top w:val="single" w:sz="4" w:space="0" w:color="000000"/>
              <w:left w:val="single" w:sz="12" w:space="0" w:color="000000"/>
              <w:bottom w:val="single" w:sz="4" w:space="0" w:color="000000"/>
              <w:right w:val="single" w:sz="12" w:space="0" w:color="000000"/>
            </w:tcBorders>
            <w:vAlign w:val="center"/>
          </w:tcPr>
          <w:p w14:paraId="69ADBA8A" w14:textId="4F8C60F9" w:rsidR="00FC0D61" w:rsidRDefault="00FC0D61" w:rsidP="00796C4B">
            <w:pPr>
              <w:spacing w:after="0" w:line="259" w:lineRule="auto"/>
              <w:ind w:left="0" w:right="46" w:firstLine="0"/>
              <w:jc w:val="center"/>
            </w:pPr>
            <w:r>
              <w:rPr>
                <w:rFonts w:eastAsia="Segoe UI Symbol"/>
                <w:sz w:val="18"/>
              </w:rPr>
              <w:t>u</w:t>
            </w:r>
            <w:r>
              <w:rPr>
                <w:sz w:val="18"/>
              </w:rPr>
              <w:t>g/kg</w:t>
            </w:r>
          </w:p>
        </w:tc>
        <w:tc>
          <w:tcPr>
            <w:tcW w:w="630" w:type="dxa"/>
            <w:tcBorders>
              <w:top w:val="single" w:sz="4" w:space="0" w:color="000000"/>
              <w:left w:val="single" w:sz="12" w:space="0" w:color="000000"/>
              <w:bottom w:val="single" w:sz="4" w:space="0" w:color="000000"/>
              <w:right w:val="single" w:sz="12" w:space="0" w:color="000000"/>
            </w:tcBorders>
            <w:vAlign w:val="center"/>
          </w:tcPr>
          <w:p w14:paraId="48DA24C3" w14:textId="4EB9D437" w:rsidR="00FC0D61" w:rsidRDefault="00FC0D61" w:rsidP="00DB6303">
            <w:pPr>
              <w:spacing w:after="0" w:line="259" w:lineRule="auto"/>
              <w:ind w:left="0" w:right="47" w:firstLine="0"/>
              <w:jc w:val="center"/>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73C12481" w14:textId="4A0F3059" w:rsidR="00FC0D61" w:rsidRDefault="00FC0D61" w:rsidP="00154D5F">
            <w:pPr>
              <w:spacing w:after="0" w:line="259" w:lineRule="auto"/>
              <w:ind w:left="96" w:right="0" w:firstLine="0"/>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53A256A2" w14:textId="43BEB587" w:rsidR="00FC0D61" w:rsidRDefault="00FC0D61" w:rsidP="00DB6303">
            <w:pPr>
              <w:spacing w:after="0" w:line="259" w:lineRule="auto"/>
              <w:ind w:left="0" w:right="47" w:firstLine="0"/>
              <w:jc w:val="center"/>
            </w:pPr>
            <w:r>
              <w:rPr>
                <w:sz w:val="18"/>
              </w:rPr>
              <w:t>X</w:t>
            </w:r>
          </w:p>
        </w:tc>
        <w:tc>
          <w:tcPr>
            <w:tcW w:w="810" w:type="dxa"/>
            <w:tcBorders>
              <w:top w:val="single" w:sz="4" w:space="0" w:color="000000"/>
              <w:left w:val="single" w:sz="12" w:space="0" w:color="000000"/>
              <w:bottom w:val="single" w:sz="4" w:space="0" w:color="000000"/>
              <w:right w:val="single" w:sz="12" w:space="0" w:color="000000"/>
            </w:tcBorders>
            <w:vAlign w:val="center"/>
          </w:tcPr>
          <w:p w14:paraId="15E262BD" w14:textId="0646C4CD" w:rsidR="00FC0D61" w:rsidRDefault="00FC0D61" w:rsidP="00796C4B">
            <w:pPr>
              <w:spacing w:after="0" w:line="259" w:lineRule="auto"/>
              <w:ind w:left="0" w:right="0" w:firstLine="0"/>
              <w:jc w:val="center"/>
            </w:pPr>
            <w:r>
              <w:rPr>
                <w:sz w:val="18"/>
              </w:rPr>
              <w:t>8270</w:t>
            </w:r>
          </w:p>
        </w:tc>
        <w:tc>
          <w:tcPr>
            <w:tcW w:w="900" w:type="dxa"/>
            <w:tcBorders>
              <w:top w:val="single" w:sz="4" w:space="0" w:color="000000"/>
              <w:left w:val="single" w:sz="12" w:space="0" w:color="000000"/>
              <w:bottom w:val="single" w:sz="4" w:space="0" w:color="000000"/>
              <w:right w:val="single" w:sz="12" w:space="0" w:color="000000"/>
            </w:tcBorders>
            <w:vAlign w:val="center"/>
          </w:tcPr>
          <w:p w14:paraId="28F2B6FE" w14:textId="63F8AE42" w:rsidR="00FC0D61" w:rsidRPr="002A2EA5" w:rsidRDefault="00FC0D61" w:rsidP="00796C4B">
            <w:pPr>
              <w:spacing w:after="0" w:line="259" w:lineRule="auto"/>
              <w:ind w:left="0" w:right="0" w:firstLine="0"/>
              <w:jc w:val="center"/>
              <w:rPr>
                <w:iCs/>
              </w:rPr>
            </w:pPr>
            <w:r w:rsidRPr="00975756">
              <w:rPr>
                <w:iCs/>
                <w:sz w:val="18"/>
              </w:rPr>
              <w:t>8310</w:t>
            </w:r>
          </w:p>
        </w:tc>
      </w:tr>
      <w:tr w:rsidR="00E8392B" w14:paraId="1D3A388A" w14:textId="77777777" w:rsidTr="005B6604">
        <w:trPr>
          <w:trHeight w:val="250"/>
        </w:trPr>
        <w:tc>
          <w:tcPr>
            <w:tcW w:w="2952" w:type="dxa"/>
            <w:tcBorders>
              <w:top w:val="single" w:sz="4" w:space="0" w:color="000000"/>
              <w:left w:val="single" w:sz="12" w:space="0" w:color="000000"/>
              <w:bottom w:val="single" w:sz="4" w:space="0" w:color="000000"/>
              <w:right w:val="single" w:sz="12" w:space="0" w:color="000000"/>
            </w:tcBorders>
          </w:tcPr>
          <w:p w14:paraId="278F4802" w14:textId="77777777" w:rsidR="00FC0D61" w:rsidRDefault="00FC0D61" w:rsidP="00FC0D61">
            <w:pPr>
              <w:spacing w:after="0" w:line="259" w:lineRule="auto"/>
              <w:ind w:left="0" w:right="0" w:firstLine="0"/>
            </w:pPr>
            <w:r>
              <w:rPr>
                <w:sz w:val="18"/>
              </w:rPr>
              <w:t xml:space="preserve">3,3’-Dimethylbenzidine </w:t>
            </w:r>
          </w:p>
        </w:tc>
        <w:tc>
          <w:tcPr>
            <w:tcW w:w="1155" w:type="dxa"/>
            <w:tcBorders>
              <w:top w:val="single" w:sz="4" w:space="0" w:color="000000"/>
              <w:left w:val="single" w:sz="12" w:space="0" w:color="000000"/>
              <w:bottom w:val="single" w:sz="4" w:space="0" w:color="000000"/>
              <w:right w:val="single" w:sz="12" w:space="0" w:color="000000"/>
            </w:tcBorders>
            <w:vAlign w:val="center"/>
          </w:tcPr>
          <w:p w14:paraId="3ECA4221" w14:textId="5642063F" w:rsidR="00FC0D61" w:rsidRDefault="00FC0D61" w:rsidP="00E61546">
            <w:pPr>
              <w:spacing w:after="0" w:line="259" w:lineRule="auto"/>
              <w:ind w:left="0" w:right="44" w:firstLine="0"/>
              <w:jc w:val="center"/>
            </w:pPr>
            <w:r>
              <w:rPr>
                <w:sz w:val="18"/>
              </w:rPr>
              <w:t>119-93-7</w:t>
            </w:r>
          </w:p>
        </w:tc>
        <w:tc>
          <w:tcPr>
            <w:tcW w:w="643" w:type="dxa"/>
            <w:tcBorders>
              <w:top w:val="single" w:sz="4" w:space="0" w:color="000000"/>
              <w:left w:val="single" w:sz="12" w:space="0" w:color="000000"/>
              <w:bottom w:val="single" w:sz="4" w:space="0" w:color="000000"/>
              <w:right w:val="single" w:sz="12" w:space="0" w:color="000000"/>
            </w:tcBorders>
            <w:vAlign w:val="center"/>
          </w:tcPr>
          <w:p w14:paraId="7057CED1" w14:textId="36370A13" w:rsidR="00FC0D61" w:rsidRDefault="00FC0D61" w:rsidP="00796C4B">
            <w:pPr>
              <w:spacing w:after="0" w:line="259" w:lineRule="auto"/>
              <w:ind w:left="0" w:right="0" w:firstLine="0"/>
              <w:jc w:val="center"/>
            </w:pPr>
            <w:r>
              <w:rPr>
                <w:sz w:val="18"/>
              </w:rPr>
              <w:t>10</w:t>
            </w:r>
          </w:p>
        </w:tc>
        <w:tc>
          <w:tcPr>
            <w:tcW w:w="726" w:type="dxa"/>
            <w:tcBorders>
              <w:top w:val="single" w:sz="4" w:space="0" w:color="000000"/>
              <w:left w:val="single" w:sz="12" w:space="0" w:color="000000"/>
              <w:bottom w:val="single" w:sz="4" w:space="0" w:color="000000"/>
              <w:right w:val="single" w:sz="12" w:space="0" w:color="000000"/>
            </w:tcBorders>
            <w:vAlign w:val="center"/>
          </w:tcPr>
          <w:p w14:paraId="73A6182A" w14:textId="788A588F" w:rsidR="00FC0D61" w:rsidRDefault="00FC0D61" w:rsidP="00796C4B">
            <w:pPr>
              <w:spacing w:after="0" w:line="259" w:lineRule="auto"/>
              <w:ind w:left="0" w:right="49" w:firstLine="0"/>
              <w:jc w:val="center"/>
            </w:pPr>
            <w:r>
              <w:rPr>
                <w:sz w:val="18"/>
              </w:rPr>
              <w:t>ug/L</w:t>
            </w:r>
          </w:p>
        </w:tc>
        <w:tc>
          <w:tcPr>
            <w:tcW w:w="773" w:type="dxa"/>
            <w:tcBorders>
              <w:top w:val="single" w:sz="4" w:space="0" w:color="000000"/>
              <w:left w:val="single" w:sz="12" w:space="0" w:color="000000"/>
              <w:bottom w:val="single" w:sz="4" w:space="0" w:color="000000"/>
              <w:right w:val="single" w:sz="12" w:space="0" w:color="000000"/>
            </w:tcBorders>
            <w:vAlign w:val="center"/>
          </w:tcPr>
          <w:p w14:paraId="45FA075B" w14:textId="02CA748E" w:rsidR="00FC0D61" w:rsidRDefault="00FC0D61" w:rsidP="00796C4B">
            <w:pPr>
              <w:spacing w:after="0" w:line="259" w:lineRule="auto"/>
              <w:ind w:left="0" w:right="41" w:firstLine="0"/>
              <w:jc w:val="center"/>
            </w:pPr>
            <w:r>
              <w:rPr>
                <w:sz w:val="18"/>
              </w:rPr>
              <w:t>660</w:t>
            </w:r>
          </w:p>
        </w:tc>
        <w:tc>
          <w:tcPr>
            <w:tcW w:w="951" w:type="dxa"/>
            <w:tcBorders>
              <w:top w:val="single" w:sz="4" w:space="0" w:color="000000"/>
              <w:left w:val="single" w:sz="12" w:space="0" w:color="000000"/>
              <w:bottom w:val="single" w:sz="4" w:space="0" w:color="000000"/>
              <w:right w:val="single" w:sz="12" w:space="0" w:color="000000"/>
            </w:tcBorders>
            <w:vAlign w:val="center"/>
          </w:tcPr>
          <w:p w14:paraId="23F910E4" w14:textId="3AFAA366" w:rsidR="00FC0D61" w:rsidRDefault="00FC0D61" w:rsidP="00796C4B">
            <w:pPr>
              <w:spacing w:after="0" w:line="259" w:lineRule="auto"/>
              <w:ind w:left="0" w:right="46" w:firstLine="0"/>
              <w:jc w:val="center"/>
            </w:pPr>
            <w:r>
              <w:rPr>
                <w:rFonts w:eastAsia="Segoe UI Symbol"/>
                <w:sz w:val="18"/>
              </w:rPr>
              <w:t>u</w:t>
            </w:r>
            <w:r>
              <w:rPr>
                <w:sz w:val="18"/>
              </w:rPr>
              <w:t>g/kg</w:t>
            </w:r>
          </w:p>
        </w:tc>
        <w:tc>
          <w:tcPr>
            <w:tcW w:w="630" w:type="dxa"/>
            <w:tcBorders>
              <w:top w:val="single" w:sz="4" w:space="0" w:color="000000"/>
              <w:left w:val="single" w:sz="12" w:space="0" w:color="000000"/>
              <w:bottom w:val="single" w:sz="4" w:space="0" w:color="000000"/>
              <w:right w:val="single" w:sz="12" w:space="0" w:color="000000"/>
            </w:tcBorders>
            <w:vAlign w:val="center"/>
          </w:tcPr>
          <w:p w14:paraId="2509C4B6" w14:textId="2BE62D99" w:rsidR="00FC0D61" w:rsidRDefault="00FC0D61" w:rsidP="00DB6303">
            <w:pPr>
              <w:spacing w:after="0" w:line="259" w:lineRule="auto"/>
              <w:ind w:left="0" w:right="47" w:firstLine="0"/>
              <w:jc w:val="center"/>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02CC3158" w14:textId="38702166" w:rsidR="00FC0D61" w:rsidRDefault="00FC0D61" w:rsidP="00154D5F">
            <w:pPr>
              <w:spacing w:after="0" w:line="259" w:lineRule="auto"/>
              <w:ind w:left="96" w:right="0" w:firstLine="0"/>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6E8DAB6C" w14:textId="40BE163A" w:rsidR="00FC0D61" w:rsidRDefault="00FC0D61" w:rsidP="00DB6303">
            <w:pPr>
              <w:spacing w:after="0" w:line="259" w:lineRule="auto"/>
              <w:ind w:left="0" w:right="47" w:firstLine="0"/>
              <w:jc w:val="center"/>
            </w:pPr>
            <w:r>
              <w:rPr>
                <w:sz w:val="18"/>
              </w:rPr>
              <w:t>X</w:t>
            </w:r>
          </w:p>
        </w:tc>
        <w:tc>
          <w:tcPr>
            <w:tcW w:w="810" w:type="dxa"/>
            <w:tcBorders>
              <w:top w:val="single" w:sz="4" w:space="0" w:color="000000"/>
              <w:left w:val="single" w:sz="12" w:space="0" w:color="000000"/>
              <w:bottom w:val="single" w:sz="4" w:space="0" w:color="000000"/>
              <w:right w:val="single" w:sz="12" w:space="0" w:color="000000"/>
            </w:tcBorders>
            <w:vAlign w:val="center"/>
          </w:tcPr>
          <w:p w14:paraId="4BF63FC1" w14:textId="5767968C" w:rsidR="00FC0D61" w:rsidRDefault="00FC0D61" w:rsidP="00796C4B">
            <w:pPr>
              <w:spacing w:after="0" w:line="259" w:lineRule="auto"/>
              <w:ind w:left="0" w:right="0" w:firstLine="0"/>
              <w:jc w:val="center"/>
            </w:pPr>
            <w:r>
              <w:rPr>
                <w:sz w:val="18"/>
              </w:rPr>
              <w:t>8270</w:t>
            </w:r>
          </w:p>
        </w:tc>
        <w:tc>
          <w:tcPr>
            <w:tcW w:w="900" w:type="dxa"/>
            <w:tcBorders>
              <w:top w:val="single" w:sz="4" w:space="0" w:color="000000"/>
              <w:left w:val="single" w:sz="12" w:space="0" w:color="000000"/>
              <w:bottom w:val="single" w:sz="4" w:space="0" w:color="000000"/>
              <w:right w:val="single" w:sz="12" w:space="0" w:color="000000"/>
            </w:tcBorders>
            <w:vAlign w:val="center"/>
          </w:tcPr>
          <w:p w14:paraId="40F8A0B6" w14:textId="3C074CC8" w:rsidR="00FC0D61" w:rsidRDefault="00FC0D61" w:rsidP="00796C4B">
            <w:pPr>
              <w:spacing w:after="0" w:line="259" w:lineRule="auto"/>
              <w:ind w:left="0" w:right="0" w:firstLine="0"/>
              <w:jc w:val="center"/>
            </w:pPr>
            <w:r>
              <w:rPr>
                <w:sz w:val="18"/>
              </w:rPr>
              <w:t>8325</w:t>
            </w:r>
          </w:p>
        </w:tc>
      </w:tr>
      <w:tr w:rsidR="00E8392B" w14:paraId="66ECA35F" w14:textId="77777777" w:rsidTr="005B6604">
        <w:trPr>
          <w:trHeight w:val="252"/>
        </w:trPr>
        <w:tc>
          <w:tcPr>
            <w:tcW w:w="2952" w:type="dxa"/>
            <w:tcBorders>
              <w:top w:val="single" w:sz="4" w:space="0" w:color="000000"/>
              <w:left w:val="single" w:sz="12" w:space="0" w:color="000000"/>
              <w:bottom w:val="single" w:sz="4" w:space="0" w:color="000000"/>
              <w:right w:val="single" w:sz="12" w:space="0" w:color="000000"/>
            </w:tcBorders>
          </w:tcPr>
          <w:p w14:paraId="5D97D87A" w14:textId="033F3427" w:rsidR="00FC0D61" w:rsidRDefault="00E81D84" w:rsidP="00FC0D61">
            <w:pPr>
              <w:spacing w:after="0" w:line="259" w:lineRule="auto"/>
              <w:ind w:left="0" w:right="0" w:firstLine="0"/>
            </w:pPr>
            <w:r>
              <w:rPr>
                <w:rFonts w:ascii="Symbol" w:eastAsia="Symbol" w:hAnsi="Symbol" w:cs="Symbol"/>
                <w:sz w:val="18"/>
              </w:rPr>
              <w:sym w:font="Symbol" w:char="F061"/>
            </w:r>
            <w:r>
              <w:rPr>
                <w:rFonts w:ascii="Segoe UI Symbol" w:eastAsia="Segoe UI Symbol" w:hAnsi="Segoe UI Symbol" w:cs="Segoe UI Symbol"/>
                <w:sz w:val="18"/>
              </w:rPr>
              <w:t>,</w:t>
            </w:r>
            <w:r>
              <w:rPr>
                <w:rFonts w:ascii="Symbol" w:eastAsia="Symbol" w:hAnsi="Symbol" w:cs="Symbol"/>
                <w:sz w:val="18"/>
              </w:rPr>
              <w:sym w:font="Symbol" w:char="F061"/>
            </w:r>
            <w:r w:rsidR="00FC0D61">
              <w:rPr>
                <w:sz w:val="18"/>
              </w:rPr>
              <w:t>-</w:t>
            </w:r>
            <w:proofErr w:type="spellStart"/>
            <w:r w:rsidR="00FC0D61">
              <w:rPr>
                <w:sz w:val="18"/>
              </w:rPr>
              <w:t>Dimethylphenethylamine</w:t>
            </w:r>
            <w:proofErr w:type="spellEnd"/>
            <w:r w:rsidR="00FC0D61">
              <w:rPr>
                <w:sz w:val="18"/>
              </w:rPr>
              <w:t xml:space="preserve"> </w:t>
            </w:r>
          </w:p>
        </w:tc>
        <w:tc>
          <w:tcPr>
            <w:tcW w:w="1155" w:type="dxa"/>
            <w:tcBorders>
              <w:top w:val="single" w:sz="4" w:space="0" w:color="000000"/>
              <w:left w:val="single" w:sz="12" w:space="0" w:color="000000"/>
              <w:bottom w:val="single" w:sz="4" w:space="0" w:color="000000"/>
              <w:right w:val="single" w:sz="12" w:space="0" w:color="000000"/>
            </w:tcBorders>
            <w:vAlign w:val="center"/>
          </w:tcPr>
          <w:p w14:paraId="2558B210" w14:textId="7F1958EA" w:rsidR="00FC0D61" w:rsidRDefault="00FC0D61" w:rsidP="00E61546">
            <w:pPr>
              <w:spacing w:after="0" w:line="259" w:lineRule="auto"/>
              <w:ind w:left="0" w:right="44" w:firstLine="0"/>
              <w:jc w:val="center"/>
            </w:pPr>
            <w:r>
              <w:rPr>
                <w:sz w:val="18"/>
              </w:rPr>
              <w:t>122-09-8</w:t>
            </w:r>
          </w:p>
        </w:tc>
        <w:tc>
          <w:tcPr>
            <w:tcW w:w="643" w:type="dxa"/>
            <w:tcBorders>
              <w:top w:val="single" w:sz="4" w:space="0" w:color="000000"/>
              <w:left w:val="single" w:sz="12" w:space="0" w:color="000000"/>
              <w:bottom w:val="single" w:sz="4" w:space="0" w:color="000000"/>
              <w:right w:val="single" w:sz="12" w:space="0" w:color="000000"/>
            </w:tcBorders>
            <w:vAlign w:val="center"/>
          </w:tcPr>
          <w:p w14:paraId="56B3DF4F" w14:textId="43E9F13A" w:rsidR="00FC0D61" w:rsidRDefault="00FC0D61" w:rsidP="00796C4B">
            <w:pPr>
              <w:spacing w:after="0" w:line="259" w:lineRule="auto"/>
              <w:ind w:left="0" w:right="0" w:firstLine="0"/>
              <w:jc w:val="center"/>
            </w:pPr>
            <w:r>
              <w:rPr>
                <w:sz w:val="18"/>
              </w:rPr>
              <w:t>50</w:t>
            </w:r>
          </w:p>
        </w:tc>
        <w:tc>
          <w:tcPr>
            <w:tcW w:w="726" w:type="dxa"/>
            <w:tcBorders>
              <w:top w:val="single" w:sz="4" w:space="0" w:color="000000"/>
              <w:left w:val="single" w:sz="12" w:space="0" w:color="000000"/>
              <w:bottom w:val="single" w:sz="4" w:space="0" w:color="000000"/>
              <w:right w:val="single" w:sz="12" w:space="0" w:color="000000"/>
            </w:tcBorders>
            <w:vAlign w:val="center"/>
          </w:tcPr>
          <w:p w14:paraId="4D8ACF30" w14:textId="00D8216E" w:rsidR="00FC0D61" w:rsidRDefault="00FC0D61" w:rsidP="00796C4B">
            <w:pPr>
              <w:spacing w:after="0" w:line="259" w:lineRule="auto"/>
              <w:ind w:left="0" w:right="49" w:firstLine="0"/>
              <w:jc w:val="center"/>
            </w:pPr>
            <w:r>
              <w:rPr>
                <w:sz w:val="18"/>
              </w:rPr>
              <w:t>ug/L</w:t>
            </w:r>
          </w:p>
        </w:tc>
        <w:tc>
          <w:tcPr>
            <w:tcW w:w="773" w:type="dxa"/>
            <w:tcBorders>
              <w:top w:val="single" w:sz="4" w:space="0" w:color="000000"/>
              <w:left w:val="single" w:sz="12" w:space="0" w:color="000000"/>
              <w:bottom w:val="single" w:sz="4" w:space="0" w:color="000000"/>
              <w:right w:val="single" w:sz="12" w:space="0" w:color="000000"/>
            </w:tcBorders>
            <w:vAlign w:val="center"/>
          </w:tcPr>
          <w:p w14:paraId="613B3715" w14:textId="7E8726E3" w:rsidR="00FC0D61" w:rsidRDefault="00FC0D61" w:rsidP="00796C4B">
            <w:pPr>
              <w:spacing w:after="0" w:line="259" w:lineRule="auto"/>
              <w:ind w:left="0" w:right="42" w:firstLine="0"/>
              <w:jc w:val="center"/>
            </w:pPr>
            <w:r>
              <w:rPr>
                <w:sz w:val="18"/>
              </w:rPr>
              <w:t>3300</w:t>
            </w:r>
          </w:p>
        </w:tc>
        <w:tc>
          <w:tcPr>
            <w:tcW w:w="951" w:type="dxa"/>
            <w:tcBorders>
              <w:top w:val="single" w:sz="4" w:space="0" w:color="000000"/>
              <w:left w:val="single" w:sz="12" w:space="0" w:color="000000"/>
              <w:bottom w:val="single" w:sz="4" w:space="0" w:color="000000"/>
              <w:right w:val="single" w:sz="12" w:space="0" w:color="000000"/>
            </w:tcBorders>
            <w:vAlign w:val="center"/>
          </w:tcPr>
          <w:p w14:paraId="37BD07E2" w14:textId="21EBDFEF" w:rsidR="00FC0D61" w:rsidRDefault="00FC0D61" w:rsidP="00796C4B">
            <w:pPr>
              <w:spacing w:after="0" w:line="259" w:lineRule="auto"/>
              <w:ind w:left="0" w:right="46" w:firstLine="0"/>
              <w:jc w:val="center"/>
            </w:pPr>
            <w:r>
              <w:rPr>
                <w:rFonts w:eastAsia="Segoe UI Symbol"/>
                <w:sz w:val="18"/>
              </w:rPr>
              <w:t>u</w:t>
            </w:r>
            <w:r>
              <w:rPr>
                <w:sz w:val="18"/>
              </w:rPr>
              <w:t>g/kg</w:t>
            </w:r>
          </w:p>
        </w:tc>
        <w:tc>
          <w:tcPr>
            <w:tcW w:w="630" w:type="dxa"/>
            <w:tcBorders>
              <w:top w:val="single" w:sz="4" w:space="0" w:color="000000"/>
              <w:left w:val="single" w:sz="12" w:space="0" w:color="000000"/>
              <w:bottom w:val="single" w:sz="4" w:space="0" w:color="000000"/>
              <w:right w:val="single" w:sz="12" w:space="0" w:color="000000"/>
            </w:tcBorders>
            <w:vAlign w:val="center"/>
          </w:tcPr>
          <w:p w14:paraId="69E4281D" w14:textId="70FA9070" w:rsidR="00FC0D61" w:rsidRDefault="00FC0D61" w:rsidP="00DB6303">
            <w:pPr>
              <w:spacing w:after="0" w:line="259" w:lineRule="auto"/>
              <w:ind w:left="0" w:right="47" w:firstLine="0"/>
              <w:jc w:val="center"/>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70E3D785" w14:textId="578416DE" w:rsidR="00FC0D61" w:rsidRDefault="00FC0D61" w:rsidP="00154D5F">
            <w:pPr>
              <w:spacing w:after="0" w:line="259" w:lineRule="auto"/>
              <w:ind w:left="96" w:right="0" w:firstLine="0"/>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6FCFF43D" w14:textId="016E17FF" w:rsidR="00FC0D61" w:rsidRDefault="00FC0D61" w:rsidP="00DB6303">
            <w:pPr>
              <w:spacing w:after="0" w:line="259" w:lineRule="auto"/>
              <w:ind w:left="0" w:right="2" w:firstLine="0"/>
              <w:jc w:val="center"/>
            </w:pPr>
          </w:p>
        </w:tc>
        <w:tc>
          <w:tcPr>
            <w:tcW w:w="810" w:type="dxa"/>
            <w:tcBorders>
              <w:top w:val="single" w:sz="4" w:space="0" w:color="000000"/>
              <w:left w:val="single" w:sz="12" w:space="0" w:color="000000"/>
              <w:bottom w:val="single" w:sz="4" w:space="0" w:color="000000"/>
              <w:right w:val="single" w:sz="12" w:space="0" w:color="000000"/>
            </w:tcBorders>
            <w:vAlign w:val="center"/>
          </w:tcPr>
          <w:p w14:paraId="17D9A9CB" w14:textId="779B40D7" w:rsidR="00FC0D61" w:rsidRDefault="00FC0D61" w:rsidP="00796C4B">
            <w:pPr>
              <w:spacing w:after="0" w:line="259" w:lineRule="auto"/>
              <w:ind w:left="0" w:right="0" w:firstLine="0"/>
              <w:jc w:val="center"/>
            </w:pPr>
            <w:r>
              <w:rPr>
                <w:sz w:val="18"/>
              </w:rPr>
              <w:t>8270</w:t>
            </w:r>
          </w:p>
        </w:tc>
        <w:tc>
          <w:tcPr>
            <w:tcW w:w="900" w:type="dxa"/>
            <w:tcBorders>
              <w:top w:val="single" w:sz="4" w:space="0" w:color="000000"/>
              <w:left w:val="single" w:sz="12" w:space="0" w:color="000000"/>
              <w:bottom w:val="single" w:sz="4" w:space="0" w:color="000000"/>
              <w:right w:val="single" w:sz="12" w:space="0" w:color="000000"/>
            </w:tcBorders>
            <w:vAlign w:val="center"/>
          </w:tcPr>
          <w:p w14:paraId="14539E4D" w14:textId="1A136295" w:rsidR="00FC0D61" w:rsidRDefault="00FC0D61" w:rsidP="00796C4B">
            <w:pPr>
              <w:spacing w:after="0" w:line="259" w:lineRule="auto"/>
              <w:ind w:left="0" w:right="0" w:firstLine="0"/>
              <w:jc w:val="center"/>
            </w:pPr>
          </w:p>
        </w:tc>
      </w:tr>
      <w:tr w:rsidR="00E8392B" w14:paraId="586A719A" w14:textId="77777777" w:rsidTr="005B6604">
        <w:trPr>
          <w:trHeight w:val="250"/>
        </w:trPr>
        <w:tc>
          <w:tcPr>
            <w:tcW w:w="2952" w:type="dxa"/>
            <w:tcBorders>
              <w:top w:val="single" w:sz="4" w:space="0" w:color="000000"/>
              <w:left w:val="single" w:sz="12" w:space="0" w:color="000000"/>
              <w:bottom w:val="single" w:sz="4" w:space="0" w:color="000000"/>
              <w:right w:val="single" w:sz="12" w:space="0" w:color="000000"/>
            </w:tcBorders>
          </w:tcPr>
          <w:p w14:paraId="1F446495" w14:textId="77777777" w:rsidR="00FC0D61" w:rsidRDefault="00FC0D61" w:rsidP="00FC0D61">
            <w:pPr>
              <w:spacing w:after="0" w:line="259" w:lineRule="auto"/>
              <w:ind w:left="0" w:right="0" w:firstLine="0"/>
            </w:pPr>
            <w:r>
              <w:rPr>
                <w:sz w:val="18"/>
              </w:rPr>
              <w:t xml:space="preserve">1,3-Dinitrobenzene </w:t>
            </w:r>
          </w:p>
        </w:tc>
        <w:tc>
          <w:tcPr>
            <w:tcW w:w="1155" w:type="dxa"/>
            <w:tcBorders>
              <w:top w:val="single" w:sz="4" w:space="0" w:color="000000"/>
              <w:left w:val="single" w:sz="12" w:space="0" w:color="000000"/>
              <w:bottom w:val="single" w:sz="4" w:space="0" w:color="000000"/>
              <w:right w:val="single" w:sz="12" w:space="0" w:color="000000"/>
            </w:tcBorders>
            <w:vAlign w:val="center"/>
          </w:tcPr>
          <w:p w14:paraId="1DD35F47" w14:textId="74B9B17D" w:rsidR="00FC0D61" w:rsidRDefault="00FC0D61" w:rsidP="00E61546">
            <w:pPr>
              <w:spacing w:after="0" w:line="259" w:lineRule="auto"/>
              <w:ind w:left="0" w:right="44" w:firstLine="0"/>
              <w:jc w:val="center"/>
            </w:pPr>
            <w:r>
              <w:rPr>
                <w:sz w:val="18"/>
              </w:rPr>
              <w:t>99-65-0</w:t>
            </w:r>
          </w:p>
        </w:tc>
        <w:tc>
          <w:tcPr>
            <w:tcW w:w="643" w:type="dxa"/>
            <w:tcBorders>
              <w:top w:val="single" w:sz="4" w:space="0" w:color="000000"/>
              <w:left w:val="single" w:sz="12" w:space="0" w:color="000000"/>
              <w:bottom w:val="single" w:sz="4" w:space="0" w:color="000000"/>
              <w:right w:val="single" w:sz="12" w:space="0" w:color="000000"/>
            </w:tcBorders>
            <w:vAlign w:val="center"/>
          </w:tcPr>
          <w:p w14:paraId="50FAF4A5" w14:textId="73D88F8A" w:rsidR="00FC0D61" w:rsidRDefault="00FC0D61" w:rsidP="00796C4B">
            <w:pPr>
              <w:spacing w:after="0" w:line="259" w:lineRule="auto"/>
              <w:ind w:left="0" w:right="0" w:firstLine="0"/>
              <w:jc w:val="center"/>
            </w:pPr>
            <w:r>
              <w:rPr>
                <w:sz w:val="18"/>
              </w:rPr>
              <w:t>20</w:t>
            </w:r>
          </w:p>
        </w:tc>
        <w:tc>
          <w:tcPr>
            <w:tcW w:w="726" w:type="dxa"/>
            <w:tcBorders>
              <w:top w:val="single" w:sz="4" w:space="0" w:color="000000"/>
              <w:left w:val="single" w:sz="12" w:space="0" w:color="000000"/>
              <w:bottom w:val="single" w:sz="4" w:space="0" w:color="000000"/>
              <w:right w:val="single" w:sz="12" w:space="0" w:color="000000"/>
            </w:tcBorders>
            <w:vAlign w:val="center"/>
          </w:tcPr>
          <w:p w14:paraId="46882D37" w14:textId="5607A65B" w:rsidR="00FC0D61" w:rsidRDefault="00FC0D61" w:rsidP="00796C4B">
            <w:pPr>
              <w:spacing w:after="0" w:line="259" w:lineRule="auto"/>
              <w:ind w:left="0" w:right="49" w:firstLine="0"/>
              <w:jc w:val="center"/>
            </w:pPr>
            <w:r>
              <w:rPr>
                <w:sz w:val="18"/>
              </w:rPr>
              <w:t>ug/L</w:t>
            </w:r>
          </w:p>
        </w:tc>
        <w:tc>
          <w:tcPr>
            <w:tcW w:w="773" w:type="dxa"/>
            <w:tcBorders>
              <w:top w:val="single" w:sz="4" w:space="0" w:color="000000"/>
              <w:left w:val="single" w:sz="12" w:space="0" w:color="000000"/>
              <w:bottom w:val="single" w:sz="4" w:space="0" w:color="000000"/>
              <w:right w:val="single" w:sz="12" w:space="0" w:color="000000"/>
            </w:tcBorders>
            <w:vAlign w:val="center"/>
          </w:tcPr>
          <w:p w14:paraId="713B778F" w14:textId="7E85C965" w:rsidR="00FC0D61" w:rsidRDefault="00FC0D61" w:rsidP="00796C4B">
            <w:pPr>
              <w:spacing w:after="0" w:line="259" w:lineRule="auto"/>
              <w:ind w:left="0" w:right="42" w:firstLine="0"/>
              <w:jc w:val="center"/>
            </w:pPr>
            <w:r>
              <w:rPr>
                <w:sz w:val="18"/>
              </w:rPr>
              <w:t>1300</w:t>
            </w:r>
          </w:p>
        </w:tc>
        <w:tc>
          <w:tcPr>
            <w:tcW w:w="951" w:type="dxa"/>
            <w:tcBorders>
              <w:top w:val="single" w:sz="4" w:space="0" w:color="000000"/>
              <w:left w:val="single" w:sz="12" w:space="0" w:color="000000"/>
              <w:bottom w:val="single" w:sz="4" w:space="0" w:color="000000"/>
              <w:right w:val="single" w:sz="12" w:space="0" w:color="000000"/>
            </w:tcBorders>
            <w:vAlign w:val="center"/>
          </w:tcPr>
          <w:p w14:paraId="1166AE53" w14:textId="6D8C2DD0" w:rsidR="00FC0D61" w:rsidRDefault="00FC0D61" w:rsidP="00796C4B">
            <w:pPr>
              <w:spacing w:after="0" w:line="259" w:lineRule="auto"/>
              <w:ind w:left="0" w:right="46" w:firstLine="0"/>
              <w:jc w:val="center"/>
            </w:pPr>
            <w:r>
              <w:rPr>
                <w:rFonts w:eastAsia="Segoe UI Symbol"/>
                <w:sz w:val="18"/>
              </w:rPr>
              <w:t>u</w:t>
            </w:r>
            <w:r>
              <w:rPr>
                <w:sz w:val="18"/>
              </w:rPr>
              <w:t>g/kg</w:t>
            </w:r>
          </w:p>
        </w:tc>
        <w:tc>
          <w:tcPr>
            <w:tcW w:w="630" w:type="dxa"/>
            <w:tcBorders>
              <w:top w:val="single" w:sz="4" w:space="0" w:color="000000"/>
              <w:left w:val="single" w:sz="12" w:space="0" w:color="000000"/>
              <w:bottom w:val="single" w:sz="4" w:space="0" w:color="000000"/>
              <w:right w:val="single" w:sz="12" w:space="0" w:color="000000"/>
            </w:tcBorders>
            <w:vAlign w:val="center"/>
          </w:tcPr>
          <w:p w14:paraId="2B3A65EB" w14:textId="35C663CC" w:rsidR="00FC0D61" w:rsidRDefault="00FC0D61" w:rsidP="00DB6303">
            <w:pPr>
              <w:spacing w:after="0" w:line="259" w:lineRule="auto"/>
              <w:ind w:left="0" w:right="2" w:firstLine="0"/>
              <w:jc w:val="center"/>
            </w:pPr>
          </w:p>
        </w:tc>
        <w:tc>
          <w:tcPr>
            <w:tcW w:w="540" w:type="dxa"/>
            <w:tcBorders>
              <w:top w:val="single" w:sz="4" w:space="0" w:color="000000"/>
              <w:left w:val="single" w:sz="12" w:space="0" w:color="000000"/>
              <w:bottom w:val="single" w:sz="4" w:space="0" w:color="000000"/>
              <w:right w:val="single" w:sz="12" w:space="0" w:color="000000"/>
            </w:tcBorders>
            <w:vAlign w:val="center"/>
          </w:tcPr>
          <w:p w14:paraId="7A64B1F3" w14:textId="16EF5DDB" w:rsidR="00FC0D61" w:rsidRDefault="00FC0D61" w:rsidP="00154D5F">
            <w:pPr>
              <w:spacing w:after="0" w:line="259" w:lineRule="auto"/>
              <w:ind w:left="96" w:right="0" w:firstLine="0"/>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040B9F5B" w14:textId="77F05EBE" w:rsidR="00FC0D61" w:rsidRDefault="00FC0D61" w:rsidP="00DB6303">
            <w:pPr>
              <w:spacing w:after="0" w:line="259" w:lineRule="auto"/>
              <w:ind w:left="0" w:right="47" w:firstLine="0"/>
              <w:jc w:val="center"/>
            </w:pPr>
            <w:r>
              <w:rPr>
                <w:sz w:val="18"/>
              </w:rPr>
              <w:t>X</w:t>
            </w:r>
          </w:p>
        </w:tc>
        <w:tc>
          <w:tcPr>
            <w:tcW w:w="810" w:type="dxa"/>
            <w:tcBorders>
              <w:top w:val="single" w:sz="4" w:space="0" w:color="000000"/>
              <w:left w:val="single" w:sz="12" w:space="0" w:color="000000"/>
              <w:bottom w:val="single" w:sz="4" w:space="0" w:color="000000"/>
              <w:right w:val="single" w:sz="12" w:space="0" w:color="000000"/>
            </w:tcBorders>
            <w:vAlign w:val="center"/>
          </w:tcPr>
          <w:p w14:paraId="4CED2513" w14:textId="5B6F841A" w:rsidR="00FC0D61" w:rsidRDefault="00FC0D61" w:rsidP="00796C4B">
            <w:pPr>
              <w:spacing w:after="0" w:line="259" w:lineRule="auto"/>
              <w:ind w:left="0" w:right="0" w:firstLine="0"/>
              <w:jc w:val="center"/>
            </w:pPr>
            <w:r>
              <w:rPr>
                <w:sz w:val="18"/>
              </w:rPr>
              <w:t>8270</w:t>
            </w:r>
          </w:p>
        </w:tc>
        <w:tc>
          <w:tcPr>
            <w:tcW w:w="900" w:type="dxa"/>
            <w:tcBorders>
              <w:top w:val="single" w:sz="4" w:space="0" w:color="000000"/>
              <w:left w:val="single" w:sz="12" w:space="0" w:color="000000"/>
              <w:bottom w:val="single" w:sz="4" w:space="0" w:color="000000"/>
              <w:right w:val="single" w:sz="12" w:space="0" w:color="000000"/>
            </w:tcBorders>
            <w:vAlign w:val="center"/>
          </w:tcPr>
          <w:p w14:paraId="40B41A87" w14:textId="602BB4A2" w:rsidR="00FC0D61" w:rsidRDefault="00FC0D61" w:rsidP="00796C4B">
            <w:pPr>
              <w:spacing w:after="0" w:line="259" w:lineRule="auto"/>
              <w:ind w:left="0" w:right="0" w:firstLine="0"/>
              <w:jc w:val="center"/>
            </w:pPr>
          </w:p>
        </w:tc>
      </w:tr>
      <w:tr w:rsidR="00E8392B" w14:paraId="5C931D82" w14:textId="77777777" w:rsidTr="005B6604">
        <w:trPr>
          <w:trHeight w:val="224"/>
        </w:trPr>
        <w:tc>
          <w:tcPr>
            <w:tcW w:w="2952" w:type="dxa"/>
            <w:tcBorders>
              <w:top w:val="single" w:sz="4" w:space="0" w:color="000000"/>
              <w:left w:val="single" w:sz="12" w:space="0" w:color="000000"/>
              <w:bottom w:val="single" w:sz="4" w:space="0" w:color="000000"/>
              <w:right w:val="single" w:sz="12" w:space="0" w:color="000000"/>
            </w:tcBorders>
          </w:tcPr>
          <w:p w14:paraId="06950281" w14:textId="472C988B" w:rsidR="00FC0D61" w:rsidRDefault="00FC0D61" w:rsidP="00FC0D61">
            <w:pPr>
              <w:spacing w:after="0" w:line="259" w:lineRule="auto"/>
              <w:ind w:left="0" w:right="0" w:firstLine="0"/>
            </w:pPr>
            <w:r>
              <w:rPr>
                <w:sz w:val="18"/>
              </w:rPr>
              <w:t>Dinitrobenzene, total</w:t>
            </w:r>
          </w:p>
        </w:tc>
        <w:tc>
          <w:tcPr>
            <w:tcW w:w="1155" w:type="dxa"/>
            <w:tcBorders>
              <w:top w:val="single" w:sz="4" w:space="0" w:color="000000"/>
              <w:left w:val="single" w:sz="12" w:space="0" w:color="000000"/>
              <w:bottom w:val="single" w:sz="4" w:space="0" w:color="000000"/>
              <w:right w:val="single" w:sz="12" w:space="0" w:color="000000"/>
            </w:tcBorders>
            <w:vAlign w:val="center"/>
          </w:tcPr>
          <w:p w14:paraId="653F746D" w14:textId="55ED8814" w:rsidR="00FC0D61" w:rsidRDefault="00FC0D61" w:rsidP="00E61546">
            <w:pPr>
              <w:spacing w:after="0" w:line="259" w:lineRule="auto"/>
              <w:ind w:left="89" w:right="0" w:firstLine="0"/>
              <w:jc w:val="center"/>
            </w:pPr>
            <w:r>
              <w:rPr>
                <w:sz w:val="18"/>
              </w:rPr>
              <w:t>25154</w:t>
            </w:r>
            <w:r w:rsidR="0096496B">
              <w:rPr>
                <w:sz w:val="18"/>
              </w:rPr>
              <w:t>-</w:t>
            </w:r>
            <w:r>
              <w:rPr>
                <w:sz w:val="18"/>
              </w:rPr>
              <w:t>54-5</w:t>
            </w:r>
          </w:p>
        </w:tc>
        <w:tc>
          <w:tcPr>
            <w:tcW w:w="643" w:type="dxa"/>
            <w:tcBorders>
              <w:top w:val="single" w:sz="4" w:space="0" w:color="000000"/>
              <w:left w:val="single" w:sz="12" w:space="0" w:color="000000"/>
              <w:bottom w:val="single" w:sz="4" w:space="0" w:color="000000"/>
              <w:right w:val="single" w:sz="12" w:space="0" w:color="000000"/>
            </w:tcBorders>
            <w:vAlign w:val="center"/>
          </w:tcPr>
          <w:p w14:paraId="4E626E69" w14:textId="47A167AD" w:rsidR="00FC0D61" w:rsidRDefault="00FC0D61" w:rsidP="00796C4B">
            <w:pPr>
              <w:spacing w:after="0" w:line="259" w:lineRule="auto"/>
              <w:ind w:left="0" w:right="0" w:firstLine="0"/>
              <w:jc w:val="center"/>
            </w:pPr>
            <w:r>
              <w:rPr>
                <w:sz w:val="18"/>
              </w:rPr>
              <w:t>40</w:t>
            </w:r>
          </w:p>
        </w:tc>
        <w:tc>
          <w:tcPr>
            <w:tcW w:w="726" w:type="dxa"/>
            <w:tcBorders>
              <w:top w:val="single" w:sz="4" w:space="0" w:color="000000"/>
              <w:left w:val="single" w:sz="12" w:space="0" w:color="000000"/>
              <w:bottom w:val="single" w:sz="4" w:space="0" w:color="000000"/>
              <w:right w:val="single" w:sz="12" w:space="0" w:color="000000"/>
            </w:tcBorders>
            <w:vAlign w:val="center"/>
          </w:tcPr>
          <w:p w14:paraId="313292CE" w14:textId="5585484B" w:rsidR="00FC0D61" w:rsidRDefault="00FC0D61" w:rsidP="00796C4B">
            <w:pPr>
              <w:spacing w:after="0" w:line="259" w:lineRule="auto"/>
              <w:ind w:left="0" w:right="49" w:firstLine="0"/>
              <w:jc w:val="center"/>
            </w:pPr>
            <w:r>
              <w:rPr>
                <w:sz w:val="18"/>
              </w:rPr>
              <w:t>ug/L</w:t>
            </w:r>
          </w:p>
        </w:tc>
        <w:tc>
          <w:tcPr>
            <w:tcW w:w="773" w:type="dxa"/>
            <w:tcBorders>
              <w:top w:val="single" w:sz="4" w:space="0" w:color="000000"/>
              <w:left w:val="single" w:sz="12" w:space="0" w:color="000000"/>
              <w:bottom w:val="single" w:sz="4" w:space="0" w:color="000000"/>
              <w:right w:val="single" w:sz="12" w:space="0" w:color="000000"/>
            </w:tcBorders>
            <w:vAlign w:val="center"/>
          </w:tcPr>
          <w:p w14:paraId="7C36A872" w14:textId="79493FE6" w:rsidR="00FC0D61" w:rsidRDefault="00FC0D61" w:rsidP="00796C4B">
            <w:pPr>
              <w:spacing w:after="0" w:line="259" w:lineRule="auto"/>
              <w:ind w:left="0" w:right="42" w:firstLine="0"/>
              <w:jc w:val="center"/>
            </w:pPr>
            <w:r>
              <w:rPr>
                <w:sz w:val="18"/>
              </w:rPr>
              <w:t>2600</w:t>
            </w:r>
          </w:p>
        </w:tc>
        <w:tc>
          <w:tcPr>
            <w:tcW w:w="951" w:type="dxa"/>
            <w:tcBorders>
              <w:top w:val="single" w:sz="4" w:space="0" w:color="000000"/>
              <w:left w:val="single" w:sz="12" w:space="0" w:color="000000"/>
              <w:bottom w:val="single" w:sz="4" w:space="0" w:color="000000"/>
              <w:right w:val="single" w:sz="12" w:space="0" w:color="000000"/>
            </w:tcBorders>
            <w:vAlign w:val="center"/>
          </w:tcPr>
          <w:p w14:paraId="57E925C8" w14:textId="0A255D29" w:rsidR="00FC0D61" w:rsidRDefault="00FC0D61" w:rsidP="00796C4B">
            <w:pPr>
              <w:spacing w:after="0" w:line="259" w:lineRule="auto"/>
              <w:ind w:left="0" w:right="46" w:firstLine="0"/>
              <w:jc w:val="center"/>
            </w:pPr>
            <w:r>
              <w:rPr>
                <w:rFonts w:eastAsia="Segoe UI Symbol"/>
                <w:sz w:val="18"/>
              </w:rPr>
              <w:t>u</w:t>
            </w:r>
            <w:r>
              <w:rPr>
                <w:sz w:val="18"/>
              </w:rPr>
              <w:t>g/kg</w:t>
            </w:r>
          </w:p>
        </w:tc>
        <w:tc>
          <w:tcPr>
            <w:tcW w:w="630" w:type="dxa"/>
            <w:tcBorders>
              <w:top w:val="single" w:sz="4" w:space="0" w:color="000000"/>
              <w:left w:val="single" w:sz="12" w:space="0" w:color="000000"/>
              <w:bottom w:val="single" w:sz="4" w:space="0" w:color="000000"/>
              <w:right w:val="single" w:sz="12" w:space="0" w:color="000000"/>
            </w:tcBorders>
            <w:vAlign w:val="center"/>
          </w:tcPr>
          <w:p w14:paraId="265B59FA" w14:textId="56739215" w:rsidR="00FC0D61" w:rsidRDefault="00FC0D61" w:rsidP="00DB6303">
            <w:pPr>
              <w:spacing w:after="0" w:line="259" w:lineRule="auto"/>
              <w:ind w:left="0" w:right="47" w:firstLine="0"/>
              <w:jc w:val="center"/>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19978A03" w14:textId="2AB82591" w:rsidR="00FC0D61" w:rsidRDefault="00FC0D61" w:rsidP="008F3E2C">
            <w:pPr>
              <w:spacing w:after="0" w:line="259" w:lineRule="auto"/>
              <w:ind w:left="0" w:right="2" w:firstLine="0"/>
              <w:jc w:val="center"/>
            </w:pPr>
          </w:p>
        </w:tc>
        <w:tc>
          <w:tcPr>
            <w:tcW w:w="540" w:type="dxa"/>
            <w:tcBorders>
              <w:top w:val="single" w:sz="4" w:space="0" w:color="000000"/>
              <w:left w:val="single" w:sz="12" w:space="0" w:color="000000"/>
              <w:bottom w:val="single" w:sz="4" w:space="0" w:color="000000"/>
              <w:right w:val="single" w:sz="12" w:space="0" w:color="000000"/>
            </w:tcBorders>
            <w:vAlign w:val="center"/>
          </w:tcPr>
          <w:p w14:paraId="659665C9" w14:textId="758601C4" w:rsidR="00FC0D61" w:rsidRDefault="00FC0D61" w:rsidP="00DB6303">
            <w:pPr>
              <w:spacing w:after="0" w:line="259" w:lineRule="auto"/>
              <w:ind w:left="0" w:right="2" w:firstLine="0"/>
              <w:jc w:val="center"/>
            </w:pPr>
          </w:p>
        </w:tc>
        <w:tc>
          <w:tcPr>
            <w:tcW w:w="810" w:type="dxa"/>
            <w:tcBorders>
              <w:top w:val="single" w:sz="4" w:space="0" w:color="000000"/>
              <w:left w:val="single" w:sz="12" w:space="0" w:color="000000"/>
              <w:bottom w:val="single" w:sz="4" w:space="0" w:color="000000"/>
              <w:right w:val="single" w:sz="12" w:space="0" w:color="000000"/>
            </w:tcBorders>
            <w:vAlign w:val="center"/>
          </w:tcPr>
          <w:p w14:paraId="55CBC1E9" w14:textId="30FEB118" w:rsidR="00FC0D61" w:rsidRDefault="00FC0D61" w:rsidP="00796C4B">
            <w:pPr>
              <w:spacing w:after="0" w:line="259" w:lineRule="auto"/>
              <w:ind w:left="0" w:right="0" w:firstLine="0"/>
              <w:jc w:val="center"/>
            </w:pPr>
            <w:r>
              <w:rPr>
                <w:sz w:val="18"/>
              </w:rPr>
              <w:t>8270</w:t>
            </w:r>
          </w:p>
        </w:tc>
        <w:tc>
          <w:tcPr>
            <w:tcW w:w="900" w:type="dxa"/>
            <w:tcBorders>
              <w:top w:val="single" w:sz="4" w:space="0" w:color="000000"/>
              <w:left w:val="single" w:sz="12" w:space="0" w:color="000000"/>
              <w:bottom w:val="single" w:sz="4" w:space="0" w:color="000000"/>
              <w:right w:val="single" w:sz="12" w:space="0" w:color="000000"/>
            </w:tcBorders>
            <w:vAlign w:val="center"/>
          </w:tcPr>
          <w:p w14:paraId="04DAE516" w14:textId="35DCA6FB" w:rsidR="00FC0D61" w:rsidRDefault="00FC0D61" w:rsidP="00796C4B">
            <w:pPr>
              <w:spacing w:after="0" w:line="259" w:lineRule="auto"/>
              <w:ind w:left="0" w:right="0" w:firstLine="0"/>
              <w:jc w:val="center"/>
            </w:pPr>
          </w:p>
        </w:tc>
      </w:tr>
      <w:tr w:rsidR="00E8392B" w14:paraId="300C9B42" w14:textId="77777777" w:rsidTr="005B6604">
        <w:trPr>
          <w:trHeight w:val="252"/>
        </w:trPr>
        <w:tc>
          <w:tcPr>
            <w:tcW w:w="2952" w:type="dxa"/>
            <w:tcBorders>
              <w:top w:val="single" w:sz="4" w:space="0" w:color="000000"/>
              <w:left w:val="single" w:sz="12" w:space="0" w:color="000000"/>
              <w:bottom w:val="single" w:sz="4" w:space="0" w:color="000000"/>
              <w:right w:val="single" w:sz="12" w:space="0" w:color="000000"/>
            </w:tcBorders>
          </w:tcPr>
          <w:p w14:paraId="12DFFDFD" w14:textId="77777777" w:rsidR="00FC0D61" w:rsidRDefault="00FC0D61" w:rsidP="00FC0D61">
            <w:pPr>
              <w:spacing w:after="0" w:line="259" w:lineRule="auto"/>
              <w:ind w:left="0" w:right="0" w:firstLine="0"/>
            </w:pPr>
            <w:r>
              <w:rPr>
                <w:sz w:val="18"/>
              </w:rPr>
              <w:t xml:space="preserve">Diphenylamine </w:t>
            </w:r>
          </w:p>
        </w:tc>
        <w:tc>
          <w:tcPr>
            <w:tcW w:w="1155" w:type="dxa"/>
            <w:tcBorders>
              <w:top w:val="single" w:sz="4" w:space="0" w:color="000000"/>
              <w:left w:val="single" w:sz="12" w:space="0" w:color="000000"/>
              <w:bottom w:val="single" w:sz="4" w:space="0" w:color="000000"/>
              <w:right w:val="single" w:sz="12" w:space="0" w:color="000000"/>
            </w:tcBorders>
            <w:vAlign w:val="center"/>
          </w:tcPr>
          <w:p w14:paraId="361F8CC1" w14:textId="6CFECD0A" w:rsidR="00FC0D61" w:rsidRDefault="00FC0D61" w:rsidP="00E61546">
            <w:pPr>
              <w:spacing w:after="0" w:line="259" w:lineRule="auto"/>
              <w:ind w:left="0" w:right="44" w:firstLine="0"/>
              <w:jc w:val="center"/>
            </w:pPr>
            <w:r>
              <w:rPr>
                <w:sz w:val="18"/>
              </w:rPr>
              <w:t>122-39-4</w:t>
            </w:r>
          </w:p>
        </w:tc>
        <w:tc>
          <w:tcPr>
            <w:tcW w:w="643" w:type="dxa"/>
            <w:tcBorders>
              <w:top w:val="single" w:sz="4" w:space="0" w:color="000000"/>
              <w:left w:val="single" w:sz="12" w:space="0" w:color="000000"/>
              <w:bottom w:val="single" w:sz="4" w:space="0" w:color="000000"/>
              <w:right w:val="single" w:sz="12" w:space="0" w:color="000000"/>
            </w:tcBorders>
            <w:vAlign w:val="center"/>
          </w:tcPr>
          <w:p w14:paraId="7367AAA4" w14:textId="363AEEF6" w:rsidR="00FC0D61" w:rsidRDefault="00FC0D61" w:rsidP="00796C4B">
            <w:pPr>
              <w:spacing w:after="0" w:line="259" w:lineRule="auto"/>
              <w:ind w:left="0" w:right="0" w:firstLine="0"/>
              <w:jc w:val="center"/>
            </w:pPr>
            <w:r>
              <w:rPr>
                <w:sz w:val="18"/>
              </w:rPr>
              <w:t>50</w:t>
            </w:r>
          </w:p>
        </w:tc>
        <w:tc>
          <w:tcPr>
            <w:tcW w:w="726" w:type="dxa"/>
            <w:tcBorders>
              <w:top w:val="single" w:sz="4" w:space="0" w:color="000000"/>
              <w:left w:val="single" w:sz="12" w:space="0" w:color="000000"/>
              <w:bottom w:val="single" w:sz="4" w:space="0" w:color="000000"/>
              <w:right w:val="single" w:sz="12" w:space="0" w:color="000000"/>
            </w:tcBorders>
            <w:vAlign w:val="center"/>
          </w:tcPr>
          <w:p w14:paraId="6B0A504F" w14:textId="0DEE2A4A" w:rsidR="00FC0D61" w:rsidRDefault="00FC0D61" w:rsidP="00796C4B">
            <w:pPr>
              <w:spacing w:after="0" w:line="259" w:lineRule="auto"/>
              <w:ind w:left="0" w:right="49" w:firstLine="0"/>
              <w:jc w:val="center"/>
            </w:pPr>
            <w:r>
              <w:rPr>
                <w:sz w:val="18"/>
              </w:rPr>
              <w:t>ug/L</w:t>
            </w:r>
          </w:p>
        </w:tc>
        <w:tc>
          <w:tcPr>
            <w:tcW w:w="773" w:type="dxa"/>
            <w:tcBorders>
              <w:top w:val="single" w:sz="4" w:space="0" w:color="000000"/>
              <w:left w:val="single" w:sz="12" w:space="0" w:color="000000"/>
              <w:bottom w:val="single" w:sz="4" w:space="0" w:color="000000"/>
              <w:right w:val="single" w:sz="12" w:space="0" w:color="000000"/>
            </w:tcBorders>
            <w:vAlign w:val="center"/>
          </w:tcPr>
          <w:p w14:paraId="05B7D4EC" w14:textId="04D900F9" w:rsidR="00FC0D61" w:rsidRDefault="00FC0D61" w:rsidP="00796C4B">
            <w:pPr>
              <w:spacing w:after="0" w:line="259" w:lineRule="auto"/>
              <w:ind w:left="0" w:right="42" w:firstLine="0"/>
              <w:jc w:val="center"/>
            </w:pPr>
            <w:r>
              <w:rPr>
                <w:sz w:val="18"/>
              </w:rPr>
              <w:t>3300</w:t>
            </w:r>
          </w:p>
        </w:tc>
        <w:tc>
          <w:tcPr>
            <w:tcW w:w="951" w:type="dxa"/>
            <w:tcBorders>
              <w:top w:val="single" w:sz="4" w:space="0" w:color="000000"/>
              <w:left w:val="single" w:sz="12" w:space="0" w:color="000000"/>
              <w:bottom w:val="single" w:sz="4" w:space="0" w:color="000000"/>
              <w:right w:val="single" w:sz="12" w:space="0" w:color="000000"/>
            </w:tcBorders>
            <w:vAlign w:val="center"/>
          </w:tcPr>
          <w:p w14:paraId="78701CB3" w14:textId="14070AC1" w:rsidR="00FC0D61" w:rsidRDefault="00FC0D61" w:rsidP="00796C4B">
            <w:pPr>
              <w:spacing w:after="0" w:line="259" w:lineRule="auto"/>
              <w:ind w:left="0" w:right="46" w:firstLine="0"/>
              <w:jc w:val="center"/>
            </w:pPr>
            <w:r>
              <w:rPr>
                <w:rFonts w:eastAsia="Segoe UI Symbol"/>
                <w:sz w:val="18"/>
              </w:rPr>
              <w:t>u</w:t>
            </w:r>
            <w:r>
              <w:rPr>
                <w:sz w:val="18"/>
              </w:rPr>
              <w:t>g/kg</w:t>
            </w:r>
          </w:p>
        </w:tc>
        <w:tc>
          <w:tcPr>
            <w:tcW w:w="630" w:type="dxa"/>
            <w:tcBorders>
              <w:top w:val="single" w:sz="4" w:space="0" w:color="000000"/>
              <w:left w:val="single" w:sz="12" w:space="0" w:color="000000"/>
              <w:bottom w:val="single" w:sz="4" w:space="0" w:color="000000"/>
              <w:right w:val="single" w:sz="12" w:space="0" w:color="000000"/>
            </w:tcBorders>
            <w:vAlign w:val="center"/>
          </w:tcPr>
          <w:p w14:paraId="0009FD5C" w14:textId="6D344DBA" w:rsidR="00FC0D61" w:rsidRDefault="00FC0D61" w:rsidP="00DB6303">
            <w:pPr>
              <w:spacing w:after="0" w:line="259" w:lineRule="auto"/>
              <w:ind w:left="0" w:right="47" w:firstLine="0"/>
              <w:jc w:val="center"/>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1A496F7E" w14:textId="0A96BA95" w:rsidR="00FC0D61" w:rsidRDefault="00FC0D61" w:rsidP="00154D5F">
            <w:pPr>
              <w:spacing w:after="0" w:line="259" w:lineRule="auto"/>
              <w:ind w:left="96" w:right="0" w:firstLine="0"/>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0E46E9AD" w14:textId="538089B8" w:rsidR="00FC0D61" w:rsidRDefault="00FC0D61" w:rsidP="00DB6303">
            <w:pPr>
              <w:spacing w:after="0" w:line="259" w:lineRule="auto"/>
              <w:ind w:left="0" w:right="47" w:firstLine="0"/>
              <w:jc w:val="center"/>
            </w:pPr>
            <w:r>
              <w:rPr>
                <w:sz w:val="18"/>
              </w:rPr>
              <w:t>X</w:t>
            </w:r>
          </w:p>
        </w:tc>
        <w:tc>
          <w:tcPr>
            <w:tcW w:w="810" w:type="dxa"/>
            <w:tcBorders>
              <w:top w:val="single" w:sz="4" w:space="0" w:color="000000"/>
              <w:left w:val="single" w:sz="12" w:space="0" w:color="000000"/>
              <w:bottom w:val="single" w:sz="4" w:space="0" w:color="000000"/>
              <w:right w:val="single" w:sz="12" w:space="0" w:color="000000"/>
            </w:tcBorders>
            <w:vAlign w:val="center"/>
          </w:tcPr>
          <w:p w14:paraId="517F5C1F" w14:textId="05303C67" w:rsidR="00FC0D61" w:rsidRDefault="00FC0D61" w:rsidP="00796C4B">
            <w:pPr>
              <w:spacing w:after="0" w:line="259" w:lineRule="auto"/>
              <w:ind w:left="0" w:right="0" w:firstLine="0"/>
              <w:jc w:val="center"/>
            </w:pPr>
            <w:r>
              <w:rPr>
                <w:sz w:val="18"/>
              </w:rPr>
              <w:t>8270</w:t>
            </w:r>
          </w:p>
        </w:tc>
        <w:tc>
          <w:tcPr>
            <w:tcW w:w="900" w:type="dxa"/>
            <w:tcBorders>
              <w:top w:val="single" w:sz="4" w:space="0" w:color="000000"/>
              <w:left w:val="single" w:sz="12" w:space="0" w:color="000000"/>
              <w:bottom w:val="single" w:sz="4" w:space="0" w:color="000000"/>
              <w:right w:val="single" w:sz="12" w:space="0" w:color="000000"/>
            </w:tcBorders>
            <w:vAlign w:val="center"/>
          </w:tcPr>
          <w:p w14:paraId="1DFDE37B" w14:textId="2689E5C1" w:rsidR="00FC0D61" w:rsidRDefault="00FC0D61" w:rsidP="00796C4B">
            <w:pPr>
              <w:spacing w:after="0" w:line="259" w:lineRule="auto"/>
              <w:ind w:left="0" w:right="0" w:firstLine="0"/>
              <w:jc w:val="center"/>
            </w:pPr>
          </w:p>
        </w:tc>
      </w:tr>
      <w:tr w:rsidR="00E8392B" w14:paraId="13999A02" w14:textId="77777777" w:rsidTr="005B6604">
        <w:trPr>
          <w:trHeight w:val="250"/>
        </w:trPr>
        <w:tc>
          <w:tcPr>
            <w:tcW w:w="2952" w:type="dxa"/>
            <w:tcBorders>
              <w:top w:val="single" w:sz="4" w:space="0" w:color="000000"/>
              <w:left w:val="single" w:sz="12" w:space="0" w:color="000000"/>
              <w:bottom w:val="single" w:sz="4" w:space="0" w:color="000000"/>
              <w:right w:val="single" w:sz="12" w:space="0" w:color="000000"/>
            </w:tcBorders>
          </w:tcPr>
          <w:p w14:paraId="6EAD07F1" w14:textId="77777777" w:rsidR="00FC0D61" w:rsidRDefault="00FC0D61" w:rsidP="00FC0D61">
            <w:pPr>
              <w:spacing w:after="0" w:line="259" w:lineRule="auto"/>
              <w:ind w:left="0" w:right="0" w:firstLine="0"/>
            </w:pPr>
            <w:r>
              <w:rPr>
                <w:sz w:val="18"/>
              </w:rPr>
              <w:t xml:space="preserve">1,2-Diphenylhydrazine </w:t>
            </w:r>
          </w:p>
        </w:tc>
        <w:tc>
          <w:tcPr>
            <w:tcW w:w="1155" w:type="dxa"/>
            <w:tcBorders>
              <w:top w:val="single" w:sz="4" w:space="0" w:color="000000"/>
              <w:left w:val="single" w:sz="12" w:space="0" w:color="000000"/>
              <w:bottom w:val="single" w:sz="4" w:space="0" w:color="000000"/>
              <w:right w:val="single" w:sz="12" w:space="0" w:color="000000"/>
            </w:tcBorders>
            <w:vAlign w:val="center"/>
          </w:tcPr>
          <w:p w14:paraId="7F16A800" w14:textId="133FE8A5" w:rsidR="00FC0D61" w:rsidRDefault="00FC0D61" w:rsidP="00E61546">
            <w:pPr>
              <w:spacing w:after="0" w:line="259" w:lineRule="auto"/>
              <w:ind w:left="0" w:right="44" w:firstLine="0"/>
              <w:jc w:val="center"/>
            </w:pPr>
            <w:r>
              <w:rPr>
                <w:sz w:val="18"/>
              </w:rPr>
              <w:t>122-66-7</w:t>
            </w:r>
          </w:p>
        </w:tc>
        <w:tc>
          <w:tcPr>
            <w:tcW w:w="643" w:type="dxa"/>
            <w:tcBorders>
              <w:top w:val="single" w:sz="4" w:space="0" w:color="000000"/>
              <w:left w:val="single" w:sz="12" w:space="0" w:color="000000"/>
              <w:bottom w:val="single" w:sz="4" w:space="0" w:color="000000"/>
              <w:right w:val="single" w:sz="12" w:space="0" w:color="000000"/>
            </w:tcBorders>
            <w:vAlign w:val="center"/>
          </w:tcPr>
          <w:p w14:paraId="23380728" w14:textId="69E29555" w:rsidR="00FC0D61" w:rsidRDefault="00FC0D61" w:rsidP="00796C4B">
            <w:pPr>
              <w:spacing w:after="0" w:line="259" w:lineRule="auto"/>
              <w:ind w:left="0" w:right="0" w:firstLine="0"/>
              <w:jc w:val="center"/>
            </w:pPr>
            <w:r>
              <w:rPr>
                <w:sz w:val="18"/>
              </w:rPr>
              <w:t>50</w:t>
            </w:r>
          </w:p>
        </w:tc>
        <w:tc>
          <w:tcPr>
            <w:tcW w:w="726" w:type="dxa"/>
            <w:tcBorders>
              <w:top w:val="single" w:sz="4" w:space="0" w:color="000000"/>
              <w:left w:val="single" w:sz="12" w:space="0" w:color="000000"/>
              <w:bottom w:val="single" w:sz="4" w:space="0" w:color="000000"/>
              <w:right w:val="single" w:sz="12" w:space="0" w:color="000000"/>
            </w:tcBorders>
            <w:vAlign w:val="center"/>
          </w:tcPr>
          <w:p w14:paraId="37774673" w14:textId="3487D7A3" w:rsidR="00FC0D61" w:rsidRDefault="00FC0D61" w:rsidP="00796C4B">
            <w:pPr>
              <w:spacing w:after="0" w:line="259" w:lineRule="auto"/>
              <w:ind w:left="0" w:right="49" w:firstLine="0"/>
              <w:jc w:val="center"/>
            </w:pPr>
            <w:r>
              <w:rPr>
                <w:sz w:val="18"/>
              </w:rPr>
              <w:t>ug/L</w:t>
            </w:r>
          </w:p>
        </w:tc>
        <w:tc>
          <w:tcPr>
            <w:tcW w:w="773" w:type="dxa"/>
            <w:tcBorders>
              <w:top w:val="single" w:sz="4" w:space="0" w:color="000000"/>
              <w:left w:val="single" w:sz="12" w:space="0" w:color="000000"/>
              <w:bottom w:val="single" w:sz="4" w:space="0" w:color="000000"/>
              <w:right w:val="single" w:sz="12" w:space="0" w:color="000000"/>
            </w:tcBorders>
            <w:vAlign w:val="center"/>
          </w:tcPr>
          <w:p w14:paraId="75D6771A" w14:textId="5A68686C" w:rsidR="00FC0D61" w:rsidRDefault="00FC0D61" w:rsidP="00796C4B">
            <w:pPr>
              <w:spacing w:after="0" w:line="259" w:lineRule="auto"/>
              <w:ind w:left="0" w:right="42" w:firstLine="0"/>
              <w:jc w:val="center"/>
            </w:pPr>
            <w:r>
              <w:rPr>
                <w:sz w:val="18"/>
              </w:rPr>
              <w:t>3300</w:t>
            </w:r>
          </w:p>
        </w:tc>
        <w:tc>
          <w:tcPr>
            <w:tcW w:w="951" w:type="dxa"/>
            <w:tcBorders>
              <w:top w:val="single" w:sz="4" w:space="0" w:color="000000"/>
              <w:left w:val="single" w:sz="12" w:space="0" w:color="000000"/>
              <w:bottom w:val="single" w:sz="4" w:space="0" w:color="000000"/>
              <w:right w:val="single" w:sz="12" w:space="0" w:color="000000"/>
            </w:tcBorders>
            <w:vAlign w:val="center"/>
          </w:tcPr>
          <w:p w14:paraId="3FA40BAB" w14:textId="727AD9C3" w:rsidR="00FC0D61" w:rsidRDefault="00FC0D61" w:rsidP="00796C4B">
            <w:pPr>
              <w:spacing w:after="0" w:line="259" w:lineRule="auto"/>
              <w:ind w:left="0" w:right="46" w:firstLine="0"/>
              <w:jc w:val="center"/>
            </w:pPr>
            <w:r>
              <w:rPr>
                <w:rFonts w:eastAsia="Segoe UI Symbol"/>
                <w:sz w:val="18"/>
              </w:rPr>
              <w:t>u</w:t>
            </w:r>
            <w:r>
              <w:rPr>
                <w:sz w:val="18"/>
              </w:rPr>
              <w:t>g/kg</w:t>
            </w:r>
          </w:p>
        </w:tc>
        <w:tc>
          <w:tcPr>
            <w:tcW w:w="630" w:type="dxa"/>
            <w:tcBorders>
              <w:top w:val="single" w:sz="4" w:space="0" w:color="000000"/>
              <w:left w:val="single" w:sz="12" w:space="0" w:color="000000"/>
              <w:bottom w:val="single" w:sz="4" w:space="0" w:color="000000"/>
              <w:right w:val="single" w:sz="12" w:space="0" w:color="000000"/>
            </w:tcBorders>
            <w:vAlign w:val="center"/>
          </w:tcPr>
          <w:p w14:paraId="13607644" w14:textId="6E010892" w:rsidR="00FC0D61" w:rsidRDefault="00FC0D61" w:rsidP="00DB6303">
            <w:pPr>
              <w:spacing w:after="0" w:line="259" w:lineRule="auto"/>
              <w:ind w:left="0" w:right="47" w:firstLine="0"/>
              <w:jc w:val="center"/>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76A5CBB1" w14:textId="38B2B742" w:rsidR="00FC0D61" w:rsidRDefault="00FC0D61" w:rsidP="008F3E2C">
            <w:pPr>
              <w:spacing w:after="0" w:line="259" w:lineRule="auto"/>
              <w:ind w:left="0" w:right="2" w:firstLine="0"/>
              <w:jc w:val="center"/>
            </w:pPr>
          </w:p>
        </w:tc>
        <w:tc>
          <w:tcPr>
            <w:tcW w:w="540" w:type="dxa"/>
            <w:tcBorders>
              <w:top w:val="single" w:sz="4" w:space="0" w:color="000000"/>
              <w:left w:val="single" w:sz="12" w:space="0" w:color="000000"/>
              <w:bottom w:val="single" w:sz="4" w:space="0" w:color="000000"/>
              <w:right w:val="single" w:sz="12" w:space="0" w:color="000000"/>
            </w:tcBorders>
            <w:vAlign w:val="center"/>
          </w:tcPr>
          <w:p w14:paraId="51843FF5" w14:textId="3B2D404F" w:rsidR="00FC0D61" w:rsidRDefault="00FC0D61" w:rsidP="00DB6303">
            <w:pPr>
              <w:spacing w:after="0" w:line="259" w:lineRule="auto"/>
              <w:ind w:left="0" w:right="2" w:firstLine="0"/>
              <w:jc w:val="center"/>
            </w:pPr>
          </w:p>
        </w:tc>
        <w:tc>
          <w:tcPr>
            <w:tcW w:w="810" w:type="dxa"/>
            <w:tcBorders>
              <w:top w:val="single" w:sz="4" w:space="0" w:color="000000"/>
              <w:left w:val="single" w:sz="12" w:space="0" w:color="000000"/>
              <w:bottom w:val="single" w:sz="4" w:space="0" w:color="000000"/>
              <w:right w:val="single" w:sz="12" w:space="0" w:color="000000"/>
            </w:tcBorders>
            <w:vAlign w:val="center"/>
          </w:tcPr>
          <w:p w14:paraId="5996812E" w14:textId="5208EEAA" w:rsidR="00FC0D61" w:rsidRDefault="00FC0D61" w:rsidP="00796C4B">
            <w:pPr>
              <w:spacing w:after="0" w:line="259" w:lineRule="auto"/>
              <w:ind w:left="0" w:right="0" w:firstLine="0"/>
              <w:jc w:val="center"/>
            </w:pPr>
            <w:r>
              <w:rPr>
                <w:sz w:val="18"/>
              </w:rPr>
              <w:t>8270</w:t>
            </w:r>
          </w:p>
        </w:tc>
        <w:tc>
          <w:tcPr>
            <w:tcW w:w="900" w:type="dxa"/>
            <w:tcBorders>
              <w:top w:val="single" w:sz="4" w:space="0" w:color="000000"/>
              <w:left w:val="single" w:sz="12" w:space="0" w:color="000000"/>
              <w:bottom w:val="single" w:sz="4" w:space="0" w:color="000000"/>
              <w:right w:val="single" w:sz="12" w:space="0" w:color="000000"/>
            </w:tcBorders>
            <w:vAlign w:val="center"/>
          </w:tcPr>
          <w:p w14:paraId="7DE6A01E" w14:textId="3BB8D30A" w:rsidR="00FC0D61" w:rsidRDefault="00FC0D61" w:rsidP="00796C4B">
            <w:pPr>
              <w:spacing w:after="0" w:line="259" w:lineRule="auto"/>
              <w:ind w:left="0" w:right="0" w:firstLine="0"/>
              <w:jc w:val="center"/>
            </w:pPr>
          </w:p>
        </w:tc>
      </w:tr>
      <w:tr w:rsidR="00E8392B" w14:paraId="7BAA57AD" w14:textId="77777777" w:rsidTr="005B6604">
        <w:trPr>
          <w:trHeight w:val="250"/>
        </w:trPr>
        <w:tc>
          <w:tcPr>
            <w:tcW w:w="2952" w:type="dxa"/>
            <w:tcBorders>
              <w:top w:val="single" w:sz="4" w:space="0" w:color="000000"/>
              <w:left w:val="single" w:sz="12" w:space="0" w:color="000000"/>
              <w:bottom w:val="single" w:sz="4" w:space="0" w:color="000000"/>
              <w:right w:val="single" w:sz="12" w:space="0" w:color="000000"/>
            </w:tcBorders>
          </w:tcPr>
          <w:p w14:paraId="06B602FD" w14:textId="77777777" w:rsidR="00FC0D61" w:rsidRDefault="00FC0D61" w:rsidP="00FC0D61">
            <w:pPr>
              <w:spacing w:after="0" w:line="259" w:lineRule="auto"/>
              <w:ind w:left="0" w:right="0" w:firstLine="0"/>
            </w:pPr>
            <w:r>
              <w:rPr>
                <w:sz w:val="18"/>
              </w:rPr>
              <w:t xml:space="preserve">Ethyl carbamate </w:t>
            </w:r>
          </w:p>
        </w:tc>
        <w:tc>
          <w:tcPr>
            <w:tcW w:w="1155" w:type="dxa"/>
            <w:tcBorders>
              <w:top w:val="single" w:sz="4" w:space="0" w:color="000000"/>
              <w:left w:val="single" w:sz="12" w:space="0" w:color="000000"/>
              <w:bottom w:val="single" w:sz="4" w:space="0" w:color="000000"/>
              <w:right w:val="single" w:sz="12" w:space="0" w:color="000000"/>
            </w:tcBorders>
            <w:vAlign w:val="center"/>
          </w:tcPr>
          <w:p w14:paraId="0F9D6999" w14:textId="3C84F3F6" w:rsidR="00FC0D61" w:rsidRDefault="00FC0D61" w:rsidP="00E61546">
            <w:pPr>
              <w:spacing w:after="0" w:line="259" w:lineRule="auto"/>
              <w:ind w:left="0" w:right="44" w:firstLine="0"/>
              <w:jc w:val="center"/>
            </w:pPr>
            <w:r>
              <w:rPr>
                <w:sz w:val="18"/>
              </w:rPr>
              <w:t>51-79-6</w:t>
            </w:r>
          </w:p>
        </w:tc>
        <w:tc>
          <w:tcPr>
            <w:tcW w:w="643" w:type="dxa"/>
            <w:tcBorders>
              <w:top w:val="single" w:sz="4" w:space="0" w:color="000000"/>
              <w:left w:val="single" w:sz="12" w:space="0" w:color="000000"/>
              <w:bottom w:val="single" w:sz="4" w:space="0" w:color="000000"/>
              <w:right w:val="single" w:sz="12" w:space="0" w:color="000000"/>
            </w:tcBorders>
            <w:vAlign w:val="center"/>
          </w:tcPr>
          <w:p w14:paraId="24E8C336" w14:textId="52F32D23" w:rsidR="00FC0D61" w:rsidRDefault="00FC0D61" w:rsidP="00796C4B">
            <w:pPr>
              <w:spacing w:after="0" w:line="259" w:lineRule="auto"/>
              <w:ind w:left="0" w:right="0" w:firstLine="0"/>
              <w:jc w:val="center"/>
            </w:pPr>
            <w:r>
              <w:rPr>
                <w:sz w:val="18"/>
              </w:rPr>
              <w:t>50</w:t>
            </w:r>
          </w:p>
        </w:tc>
        <w:tc>
          <w:tcPr>
            <w:tcW w:w="726" w:type="dxa"/>
            <w:tcBorders>
              <w:top w:val="single" w:sz="4" w:space="0" w:color="000000"/>
              <w:left w:val="single" w:sz="12" w:space="0" w:color="000000"/>
              <w:bottom w:val="single" w:sz="4" w:space="0" w:color="000000"/>
              <w:right w:val="single" w:sz="12" w:space="0" w:color="000000"/>
            </w:tcBorders>
            <w:vAlign w:val="center"/>
          </w:tcPr>
          <w:p w14:paraId="1095C40A" w14:textId="5617741A" w:rsidR="00FC0D61" w:rsidRDefault="00FC0D61" w:rsidP="00796C4B">
            <w:pPr>
              <w:spacing w:after="0" w:line="259" w:lineRule="auto"/>
              <w:ind w:left="0" w:right="49" w:firstLine="0"/>
              <w:jc w:val="center"/>
            </w:pPr>
            <w:r>
              <w:rPr>
                <w:sz w:val="18"/>
              </w:rPr>
              <w:t>ug/L</w:t>
            </w:r>
          </w:p>
        </w:tc>
        <w:tc>
          <w:tcPr>
            <w:tcW w:w="773" w:type="dxa"/>
            <w:tcBorders>
              <w:top w:val="single" w:sz="4" w:space="0" w:color="000000"/>
              <w:left w:val="single" w:sz="12" w:space="0" w:color="000000"/>
              <w:bottom w:val="single" w:sz="4" w:space="0" w:color="000000"/>
              <w:right w:val="single" w:sz="12" w:space="0" w:color="000000"/>
            </w:tcBorders>
            <w:vAlign w:val="center"/>
          </w:tcPr>
          <w:p w14:paraId="5C8E69CE" w14:textId="5CCDE1DC" w:rsidR="00FC0D61" w:rsidRDefault="00FC0D61" w:rsidP="00796C4B">
            <w:pPr>
              <w:spacing w:after="0" w:line="259" w:lineRule="auto"/>
              <w:ind w:left="0" w:right="42" w:firstLine="0"/>
              <w:jc w:val="center"/>
            </w:pPr>
            <w:r>
              <w:rPr>
                <w:sz w:val="18"/>
              </w:rPr>
              <w:t>3300</w:t>
            </w:r>
          </w:p>
        </w:tc>
        <w:tc>
          <w:tcPr>
            <w:tcW w:w="951" w:type="dxa"/>
            <w:tcBorders>
              <w:top w:val="single" w:sz="4" w:space="0" w:color="000000"/>
              <w:left w:val="single" w:sz="12" w:space="0" w:color="000000"/>
              <w:bottom w:val="single" w:sz="4" w:space="0" w:color="000000"/>
              <w:right w:val="single" w:sz="12" w:space="0" w:color="000000"/>
            </w:tcBorders>
            <w:vAlign w:val="center"/>
          </w:tcPr>
          <w:p w14:paraId="5E7DEA30" w14:textId="615E9BA6" w:rsidR="00FC0D61" w:rsidRDefault="00FC0D61" w:rsidP="00796C4B">
            <w:pPr>
              <w:spacing w:after="0" w:line="259" w:lineRule="auto"/>
              <w:ind w:left="0" w:right="46" w:firstLine="0"/>
              <w:jc w:val="center"/>
            </w:pPr>
            <w:r>
              <w:rPr>
                <w:rFonts w:eastAsia="Segoe UI Symbol"/>
                <w:sz w:val="18"/>
              </w:rPr>
              <w:t>u</w:t>
            </w:r>
            <w:r>
              <w:rPr>
                <w:sz w:val="18"/>
              </w:rPr>
              <w:t>g/kg</w:t>
            </w:r>
          </w:p>
        </w:tc>
        <w:tc>
          <w:tcPr>
            <w:tcW w:w="630" w:type="dxa"/>
            <w:tcBorders>
              <w:top w:val="single" w:sz="4" w:space="0" w:color="000000"/>
              <w:left w:val="single" w:sz="12" w:space="0" w:color="000000"/>
              <w:bottom w:val="single" w:sz="4" w:space="0" w:color="000000"/>
              <w:right w:val="single" w:sz="12" w:space="0" w:color="000000"/>
            </w:tcBorders>
            <w:vAlign w:val="center"/>
          </w:tcPr>
          <w:p w14:paraId="1F8E11ED" w14:textId="05860A46" w:rsidR="00FC0D61" w:rsidRDefault="00FC0D61" w:rsidP="00DB6303">
            <w:pPr>
              <w:spacing w:after="0" w:line="259" w:lineRule="auto"/>
              <w:ind w:left="0" w:right="47" w:firstLine="0"/>
              <w:jc w:val="center"/>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28526673" w14:textId="0244C02D" w:rsidR="00FC0D61" w:rsidRDefault="00FC0D61" w:rsidP="008F3E2C">
            <w:pPr>
              <w:spacing w:after="0" w:line="259" w:lineRule="auto"/>
              <w:ind w:left="0" w:right="2" w:firstLine="0"/>
              <w:jc w:val="center"/>
            </w:pPr>
          </w:p>
        </w:tc>
        <w:tc>
          <w:tcPr>
            <w:tcW w:w="540" w:type="dxa"/>
            <w:tcBorders>
              <w:top w:val="single" w:sz="4" w:space="0" w:color="000000"/>
              <w:left w:val="single" w:sz="12" w:space="0" w:color="000000"/>
              <w:bottom w:val="single" w:sz="4" w:space="0" w:color="000000"/>
              <w:right w:val="single" w:sz="12" w:space="0" w:color="000000"/>
            </w:tcBorders>
            <w:vAlign w:val="center"/>
          </w:tcPr>
          <w:p w14:paraId="7C3109D6" w14:textId="228D4049" w:rsidR="00FC0D61" w:rsidRDefault="00FC0D61" w:rsidP="00DB6303">
            <w:pPr>
              <w:spacing w:after="0" w:line="259" w:lineRule="auto"/>
              <w:ind w:left="0" w:right="2" w:firstLine="0"/>
              <w:jc w:val="center"/>
            </w:pPr>
          </w:p>
        </w:tc>
        <w:tc>
          <w:tcPr>
            <w:tcW w:w="810" w:type="dxa"/>
            <w:tcBorders>
              <w:top w:val="single" w:sz="4" w:space="0" w:color="000000"/>
              <w:left w:val="single" w:sz="12" w:space="0" w:color="000000"/>
              <w:bottom w:val="single" w:sz="4" w:space="0" w:color="000000"/>
              <w:right w:val="single" w:sz="12" w:space="0" w:color="000000"/>
            </w:tcBorders>
            <w:vAlign w:val="center"/>
          </w:tcPr>
          <w:p w14:paraId="00536290" w14:textId="1FE8045E" w:rsidR="00FC0D61" w:rsidRDefault="00FC0D61" w:rsidP="00796C4B">
            <w:pPr>
              <w:spacing w:after="0" w:line="259" w:lineRule="auto"/>
              <w:ind w:left="0" w:right="0" w:firstLine="0"/>
              <w:jc w:val="center"/>
            </w:pPr>
            <w:r>
              <w:rPr>
                <w:sz w:val="18"/>
              </w:rPr>
              <w:t>8270</w:t>
            </w:r>
          </w:p>
        </w:tc>
        <w:tc>
          <w:tcPr>
            <w:tcW w:w="900" w:type="dxa"/>
            <w:tcBorders>
              <w:top w:val="single" w:sz="4" w:space="0" w:color="000000"/>
              <w:left w:val="single" w:sz="12" w:space="0" w:color="000000"/>
              <w:bottom w:val="single" w:sz="4" w:space="0" w:color="000000"/>
              <w:right w:val="single" w:sz="12" w:space="0" w:color="000000"/>
            </w:tcBorders>
            <w:vAlign w:val="center"/>
          </w:tcPr>
          <w:p w14:paraId="19F8DFB1" w14:textId="22FC5E72" w:rsidR="00FC0D61" w:rsidRDefault="00FC0D61" w:rsidP="00796C4B">
            <w:pPr>
              <w:spacing w:after="0" w:line="259" w:lineRule="auto"/>
              <w:ind w:left="0" w:right="0" w:firstLine="0"/>
              <w:jc w:val="center"/>
            </w:pPr>
          </w:p>
        </w:tc>
      </w:tr>
      <w:tr w:rsidR="00E8392B" w14:paraId="0B38CE4E" w14:textId="77777777" w:rsidTr="005B6604">
        <w:trPr>
          <w:trHeight w:val="250"/>
        </w:trPr>
        <w:tc>
          <w:tcPr>
            <w:tcW w:w="2952" w:type="dxa"/>
            <w:tcBorders>
              <w:top w:val="single" w:sz="4" w:space="0" w:color="000000"/>
              <w:left w:val="single" w:sz="12" w:space="0" w:color="000000"/>
              <w:bottom w:val="single" w:sz="4" w:space="0" w:color="000000"/>
              <w:right w:val="single" w:sz="12" w:space="0" w:color="000000"/>
            </w:tcBorders>
          </w:tcPr>
          <w:p w14:paraId="50F26FE7" w14:textId="77777777" w:rsidR="00FC0D61" w:rsidRDefault="00FC0D61" w:rsidP="00FC0D61">
            <w:pPr>
              <w:spacing w:after="0" w:line="259" w:lineRule="auto"/>
              <w:ind w:left="0" w:right="0" w:firstLine="0"/>
            </w:pPr>
            <w:r>
              <w:rPr>
                <w:sz w:val="18"/>
              </w:rPr>
              <w:t xml:space="preserve">Ethyl </w:t>
            </w:r>
            <w:proofErr w:type="spellStart"/>
            <w:r>
              <w:rPr>
                <w:sz w:val="18"/>
              </w:rPr>
              <w:t>methanesulfonate</w:t>
            </w:r>
            <w:proofErr w:type="spellEnd"/>
            <w:r>
              <w:rPr>
                <w:sz w:val="18"/>
              </w:rPr>
              <w:t xml:space="preserve"> </w:t>
            </w:r>
          </w:p>
        </w:tc>
        <w:tc>
          <w:tcPr>
            <w:tcW w:w="1155" w:type="dxa"/>
            <w:tcBorders>
              <w:top w:val="single" w:sz="4" w:space="0" w:color="000000"/>
              <w:left w:val="single" w:sz="12" w:space="0" w:color="000000"/>
              <w:bottom w:val="single" w:sz="4" w:space="0" w:color="000000"/>
              <w:right w:val="single" w:sz="12" w:space="0" w:color="000000"/>
            </w:tcBorders>
            <w:vAlign w:val="center"/>
          </w:tcPr>
          <w:p w14:paraId="7FBBDE16" w14:textId="46BFFC27" w:rsidR="00FC0D61" w:rsidRDefault="00FC0D61" w:rsidP="00E61546">
            <w:pPr>
              <w:spacing w:after="0" w:line="259" w:lineRule="auto"/>
              <w:ind w:left="0" w:right="44" w:firstLine="0"/>
              <w:jc w:val="center"/>
            </w:pPr>
            <w:r>
              <w:rPr>
                <w:sz w:val="18"/>
              </w:rPr>
              <w:t>62-50-0</w:t>
            </w:r>
          </w:p>
        </w:tc>
        <w:tc>
          <w:tcPr>
            <w:tcW w:w="643" w:type="dxa"/>
            <w:tcBorders>
              <w:top w:val="single" w:sz="4" w:space="0" w:color="000000"/>
              <w:left w:val="single" w:sz="12" w:space="0" w:color="000000"/>
              <w:bottom w:val="single" w:sz="4" w:space="0" w:color="000000"/>
              <w:right w:val="single" w:sz="12" w:space="0" w:color="000000"/>
            </w:tcBorders>
            <w:vAlign w:val="center"/>
          </w:tcPr>
          <w:p w14:paraId="6543E4C8" w14:textId="04B0A88A" w:rsidR="00FC0D61" w:rsidRDefault="00FC0D61" w:rsidP="00796C4B">
            <w:pPr>
              <w:spacing w:after="0" w:line="259" w:lineRule="auto"/>
              <w:ind w:left="0" w:right="0" w:firstLine="0"/>
              <w:jc w:val="center"/>
            </w:pPr>
            <w:r>
              <w:rPr>
                <w:sz w:val="18"/>
              </w:rPr>
              <w:t>20</w:t>
            </w:r>
          </w:p>
        </w:tc>
        <w:tc>
          <w:tcPr>
            <w:tcW w:w="726" w:type="dxa"/>
            <w:tcBorders>
              <w:top w:val="single" w:sz="4" w:space="0" w:color="000000"/>
              <w:left w:val="single" w:sz="12" w:space="0" w:color="000000"/>
              <w:bottom w:val="single" w:sz="4" w:space="0" w:color="000000"/>
              <w:right w:val="single" w:sz="12" w:space="0" w:color="000000"/>
            </w:tcBorders>
            <w:vAlign w:val="center"/>
          </w:tcPr>
          <w:p w14:paraId="78ACB0FB" w14:textId="083E79F2" w:rsidR="00FC0D61" w:rsidRDefault="00FC0D61" w:rsidP="00796C4B">
            <w:pPr>
              <w:spacing w:after="0" w:line="259" w:lineRule="auto"/>
              <w:ind w:left="0" w:right="49" w:firstLine="0"/>
              <w:jc w:val="center"/>
            </w:pPr>
            <w:r>
              <w:rPr>
                <w:sz w:val="18"/>
              </w:rPr>
              <w:t>ug/L</w:t>
            </w:r>
          </w:p>
        </w:tc>
        <w:tc>
          <w:tcPr>
            <w:tcW w:w="773" w:type="dxa"/>
            <w:tcBorders>
              <w:top w:val="single" w:sz="4" w:space="0" w:color="000000"/>
              <w:left w:val="single" w:sz="12" w:space="0" w:color="000000"/>
              <w:bottom w:val="single" w:sz="4" w:space="0" w:color="000000"/>
              <w:right w:val="single" w:sz="12" w:space="0" w:color="000000"/>
            </w:tcBorders>
            <w:vAlign w:val="center"/>
          </w:tcPr>
          <w:p w14:paraId="140E95B5" w14:textId="5FD8FB26" w:rsidR="00FC0D61" w:rsidRDefault="00FC0D61" w:rsidP="00796C4B">
            <w:pPr>
              <w:spacing w:after="0" w:line="259" w:lineRule="auto"/>
              <w:ind w:left="0" w:right="42" w:firstLine="0"/>
              <w:jc w:val="center"/>
            </w:pPr>
            <w:r>
              <w:rPr>
                <w:sz w:val="18"/>
              </w:rPr>
              <w:t>1300</w:t>
            </w:r>
          </w:p>
        </w:tc>
        <w:tc>
          <w:tcPr>
            <w:tcW w:w="951" w:type="dxa"/>
            <w:tcBorders>
              <w:top w:val="single" w:sz="4" w:space="0" w:color="000000"/>
              <w:left w:val="single" w:sz="12" w:space="0" w:color="000000"/>
              <w:bottom w:val="single" w:sz="4" w:space="0" w:color="000000"/>
              <w:right w:val="single" w:sz="12" w:space="0" w:color="000000"/>
            </w:tcBorders>
            <w:vAlign w:val="center"/>
          </w:tcPr>
          <w:p w14:paraId="0E91F26F" w14:textId="32793656" w:rsidR="00FC0D61" w:rsidRDefault="00FC0D61" w:rsidP="00796C4B">
            <w:pPr>
              <w:spacing w:after="0" w:line="259" w:lineRule="auto"/>
              <w:ind w:left="0" w:right="46" w:firstLine="0"/>
              <w:jc w:val="center"/>
            </w:pPr>
            <w:r>
              <w:rPr>
                <w:rFonts w:eastAsia="Segoe UI Symbol"/>
                <w:sz w:val="18"/>
              </w:rPr>
              <w:t>u</w:t>
            </w:r>
            <w:r>
              <w:rPr>
                <w:sz w:val="18"/>
              </w:rPr>
              <w:t>g/kg</w:t>
            </w:r>
          </w:p>
        </w:tc>
        <w:tc>
          <w:tcPr>
            <w:tcW w:w="630" w:type="dxa"/>
            <w:tcBorders>
              <w:top w:val="single" w:sz="4" w:space="0" w:color="000000"/>
              <w:left w:val="single" w:sz="12" w:space="0" w:color="000000"/>
              <w:bottom w:val="single" w:sz="4" w:space="0" w:color="000000"/>
              <w:right w:val="single" w:sz="12" w:space="0" w:color="000000"/>
            </w:tcBorders>
            <w:vAlign w:val="center"/>
          </w:tcPr>
          <w:p w14:paraId="100E5036" w14:textId="2227D086" w:rsidR="00FC0D61" w:rsidRDefault="00FC0D61" w:rsidP="00DB6303">
            <w:pPr>
              <w:spacing w:after="0" w:line="259" w:lineRule="auto"/>
              <w:ind w:left="0" w:right="2" w:firstLine="0"/>
              <w:jc w:val="center"/>
            </w:pPr>
          </w:p>
        </w:tc>
        <w:tc>
          <w:tcPr>
            <w:tcW w:w="540" w:type="dxa"/>
            <w:tcBorders>
              <w:top w:val="single" w:sz="4" w:space="0" w:color="000000"/>
              <w:left w:val="single" w:sz="12" w:space="0" w:color="000000"/>
              <w:bottom w:val="single" w:sz="4" w:space="0" w:color="000000"/>
              <w:right w:val="single" w:sz="12" w:space="0" w:color="000000"/>
            </w:tcBorders>
            <w:vAlign w:val="center"/>
          </w:tcPr>
          <w:p w14:paraId="1027F0D3" w14:textId="6C7777D9" w:rsidR="00FC0D61" w:rsidRDefault="00FC0D61" w:rsidP="00154D5F">
            <w:pPr>
              <w:spacing w:after="0" w:line="259" w:lineRule="auto"/>
              <w:ind w:left="96" w:right="0" w:firstLine="0"/>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674E93E2" w14:textId="3E3DB180" w:rsidR="00FC0D61" w:rsidRDefault="00FC0D61" w:rsidP="00DB6303">
            <w:pPr>
              <w:spacing w:after="0" w:line="259" w:lineRule="auto"/>
              <w:ind w:left="0" w:right="47" w:firstLine="0"/>
              <w:jc w:val="center"/>
            </w:pPr>
            <w:r>
              <w:rPr>
                <w:sz w:val="18"/>
              </w:rPr>
              <w:t>X</w:t>
            </w:r>
          </w:p>
        </w:tc>
        <w:tc>
          <w:tcPr>
            <w:tcW w:w="810" w:type="dxa"/>
            <w:tcBorders>
              <w:top w:val="single" w:sz="4" w:space="0" w:color="000000"/>
              <w:left w:val="single" w:sz="12" w:space="0" w:color="000000"/>
              <w:bottom w:val="single" w:sz="4" w:space="0" w:color="000000"/>
              <w:right w:val="single" w:sz="12" w:space="0" w:color="000000"/>
            </w:tcBorders>
            <w:vAlign w:val="center"/>
          </w:tcPr>
          <w:p w14:paraId="4C8C3F02" w14:textId="5FCF441B" w:rsidR="00FC0D61" w:rsidRDefault="00FC0D61" w:rsidP="00796C4B">
            <w:pPr>
              <w:spacing w:after="0" w:line="259" w:lineRule="auto"/>
              <w:ind w:left="0" w:right="0" w:firstLine="0"/>
              <w:jc w:val="center"/>
            </w:pPr>
            <w:r>
              <w:rPr>
                <w:sz w:val="18"/>
              </w:rPr>
              <w:t>8270</w:t>
            </w:r>
          </w:p>
        </w:tc>
        <w:tc>
          <w:tcPr>
            <w:tcW w:w="900" w:type="dxa"/>
            <w:tcBorders>
              <w:top w:val="single" w:sz="4" w:space="0" w:color="000000"/>
              <w:left w:val="single" w:sz="12" w:space="0" w:color="000000"/>
              <w:bottom w:val="single" w:sz="4" w:space="0" w:color="000000"/>
              <w:right w:val="single" w:sz="12" w:space="0" w:color="000000"/>
            </w:tcBorders>
            <w:vAlign w:val="center"/>
          </w:tcPr>
          <w:p w14:paraId="3B5A1DDF" w14:textId="2D749A06" w:rsidR="00FC0D61" w:rsidRDefault="00FC0D61" w:rsidP="00796C4B">
            <w:pPr>
              <w:spacing w:after="0" w:line="259" w:lineRule="auto"/>
              <w:ind w:left="0" w:right="0" w:firstLine="0"/>
              <w:jc w:val="center"/>
            </w:pPr>
          </w:p>
        </w:tc>
      </w:tr>
      <w:tr w:rsidR="00E8392B" w14:paraId="684A1090" w14:textId="77777777" w:rsidTr="005B6604">
        <w:trPr>
          <w:trHeight w:val="245"/>
        </w:trPr>
        <w:tc>
          <w:tcPr>
            <w:tcW w:w="2952" w:type="dxa"/>
            <w:tcBorders>
              <w:top w:val="single" w:sz="4" w:space="0" w:color="000000"/>
              <w:left w:val="single" w:sz="12" w:space="0" w:color="000000"/>
              <w:bottom w:val="single" w:sz="4" w:space="0" w:color="000000"/>
              <w:right w:val="single" w:sz="12" w:space="0" w:color="000000"/>
            </w:tcBorders>
          </w:tcPr>
          <w:p w14:paraId="1D4F3518" w14:textId="77777777" w:rsidR="00FC0D61" w:rsidRDefault="00FC0D61" w:rsidP="00FC0D61">
            <w:pPr>
              <w:spacing w:after="0" w:line="259" w:lineRule="auto"/>
              <w:ind w:left="0" w:right="0" w:firstLine="0"/>
            </w:pPr>
            <w:proofErr w:type="spellStart"/>
            <w:r>
              <w:rPr>
                <w:sz w:val="18"/>
              </w:rPr>
              <w:t>Fluchloralin</w:t>
            </w:r>
            <w:proofErr w:type="spellEnd"/>
            <w:r>
              <w:rPr>
                <w:sz w:val="18"/>
              </w:rPr>
              <w:t xml:space="preserve"> </w:t>
            </w:r>
          </w:p>
        </w:tc>
        <w:tc>
          <w:tcPr>
            <w:tcW w:w="1155" w:type="dxa"/>
            <w:tcBorders>
              <w:top w:val="single" w:sz="4" w:space="0" w:color="000000"/>
              <w:left w:val="single" w:sz="12" w:space="0" w:color="000000"/>
              <w:bottom w:val="single" w:sz="4" w:space="0" w:color="000000"/>
              <w:right w:val="single" w:sz="12" w:space="0" w:color="000000"/>
            </w:tcBorders>
            <w:vAlign w:val="center"/>
          </w:tcPr>
          <w:p w14:paraId="65937213" w14:textId="3657B73C" w:rsidR="00FC0D61" w:rsidRDefault="00FC0D61" w:rsidP="00E61546">
            <w:pPr>
              <w:spacing w:after="0" w:line="259" w:lineRule="auto"/>
              <w:ind w:left="89" w:right="0" w:firstLine="0"/>
              <w:jc w:val="center"/>
            </w:pPr>
            <w:r>
              <w:rPr>
                <w:sz w:val="18"/>
              </w:rPr>
              <w:t>33245-39-5</w:t>
            </w:r>
          </w:p>
        </w:tc>
        <w:tc>
          <w:tcPr>
            <w:tcW w:w="643" w:type="dxa"/>
            <w:tcBorders>
              <w:top w:val="single" w:sz="4" w:space="0" w:color="000000"/>
              <w:left w:val="single" w:sz="12" w:space="0" w:color="000000"/>
              <w:bottom w:val="single" w:sz="4" w:space="0" w:color="000000"/>
              <w:right w:val="single" w:sz="12" w:space="0" w:color="000000"/>
            </w:tcBorders>
            <w:vAlign w:val="center"/>
          </w:tcPr>
          <w:p w14:paraId="648C1FE4" w14:textId="4DCD7D01" w:rsidR="00FC0D61" w:rsidRDefault="00FC0D61" w:rsidP="00796C4B">
            <w:pPr>
              <w:spacing w:after="0" w:line="259" w:lineRule="auto"/>
              <w:ind w:left="0" w:right="0" w:firstLine="0"/>
              <w:jc w:val="center"/>
            </w:pPr>
            <w:r>
              <w:rPr>
                <w:sz w:val="18"/>
              </w:rPr>
              <w:t>20</w:t>
            </w:r>
          </w:p>
        </w:tc>
        <w:tc>
          <w:tcPr>
            <w:tcW w:w="726" w:type="dxa"/>
            <w:tcBorders>
              <w:top w:val="single" w:sz="4" w:space="0" w:color="000000"/>
              <w:left w:val="single" w:sz="12" w:space="0" w:color="000000"/>
              <w:bottom w:val="single" w:sz="4" w:space="0" w:color="000000"/>
              <w:right w:val="single" w:sz="12" w:space="0" w:color="000000"/>
            </w:tcBorders>
            <w:vAlign w:val="center"/>
          </w:tcPr>
          <w:p w14:paraId="6EB04844" w14:textId="5F417DCE" w:rsidR="00FC0D61" w:rsidRDefault="00FC0D61" w:rsidP="00796C4B">
            <w:pPr>
              <w:spacing w:after="0" w:line="259" w:lineRule="auto"/>
              <w:ind w:left="0" w:right="49" w:firstLine="0"/>
              <w:jc w:val="center"/>
            </w:pPr>
            <w:r>
              <w:rPr>
                <w:sz w:val="18"/>
              </w:rPr>
              <w:t>ug/L</w:t>
            </w:r>
          </w:p>
        </w:tc>
        <w:tc>
          <w:tcPr>
            <w:tcW w:w="773" w:type="dxa"/>
            <w:tcBorders>
              <w:top w:val="single" w:sz="4" w:space="0" w:color="000000"/>
              <w:left w:val="single" w:sz="12" w:space="0" w:color="000000"/>
              <w:bottom w:val="single" w:sz="4" w:space="0" w:color="000000"/>
              <w:right w:val="single" w:sz="12" w:space="0" w:color="000000"/>
            </w:tcBorders>
            <w:vAlign w:val="center"/>
          </w:tcPr>
          <w:p w14:paraId="7BD13BC1" w14:textId="6E843DFF" w:rsidR="00FC0D61" w:rsidRDefault="00FC0D61" w:rsidP="00796C4B">
            <w:pPr>
              <w:spacing w:after="0" w:line="259" w:lineRule="auto"/>
              <w:ind w:left="0" w:right="42" w:firstLine="0"/>
              <w:jc w:val="center"/>
            </w:pPr>
            <w:r>
              <w:rPr>
                <w:sz w:val="18"/>
              </w:rPr>
              <w:t>1300</w:t>
            </w:r>
          </w:p>
        </w:tc>
        <w:tc>
          <w:tcPr>
            <w:tcW w:w="951" w:type="dxa"/>
            <w:tcBorders>
              <w:top w:val="single" w:sz="4" w:space="0" w:color="000000"/>
              <w:left w:val="single" w:sz="12" w:space="0" w:color="000000"/>
              <w:bottom w:val="single" w:sz="4" w:space="0" w:color="000000"/>
              <w:right w:val="single" w:sz="12" w:space="0" w:color="000000"/>
            </w:tcBorders>
            <w:vAlign w:val="center"/>
          </w:tcPr>
          <w:p w14:paraId="24EE606A" w14:textId="3F067EF4" w:rsidR="00FC0D61" w:rsidRDefault="00FC0D61" w:rsidP="00796C4B">
            <w:pPr>
              <w:spacing w:after="0" w:line="259" w:lineRule="auto"/>
              <w:ind w:left="0" w:right="46" w:firstLine="0"/>
              <w:jc w:val="center"/>
            </w:pPr>
            <w:r>
              <w:rPr>
                <w:rFonts w:eastAsia="Segoe UI Symbol"/>
                <w:sz w:val="18"/>
              </w:rPr>
              <w:t>u</w:t>
            </w:r>
            <w:r>
              <w:rPr>
                <w:sz w:val="18"/>
              </w:rPr>
              <w:t>g/kg</w:t>
            </w:r>
          </w:p>
        </w:tc>
        <w:tc>
          <w:tcPr>
            <w:tcW w:w="630" w:type="dxa"/>
            <w:tcBorders>
              <w:top w:val="single" w:sz="4" w:space="0" w:color="000000"/>
              <w:left w:val="single" w:sz="12" w:space="0" w:color="000000"/>
              <w:bottom w:val="single" w:sz="4" w:space="0" w:color="000000"/>
              <w:right w:val="single" w:sz="12" w:space="0" w:color="000000"/>
            </w:tcBorders>
            <w:vAlign w:val="center"/>
          </w:tcPr>
          <w:p w14:paraId="67F57B60" w14:textId="624B4AA2" w:rsidR="00FC0D61" w:rsidRDefault="00FC0D61" w:rsidP="00DB6303">
            <w:pPr>
              <w:spacing w:after="0" w:line="259" w:lineRule="auto"/>
              <w:ind w:left="0" w:right="2" w:firstLine="0"/>
              <w:jc w:val="center"/>
            </w:pPr>
          </w:p>
        </w:tc>
        <w:tc>
          <w:tcPr>
            <w:tcW w:w="540" w:type="dxa"/>
            <w:tcBorders>
              <w:top w:val="single" w:sz="4" w:space="0" w:color="000000"/>
              <w:left w:val="single" w:sz="12" w:space="0" w:color="000000"/>
              <w:bottom w:val="single" w:sz="4" w:space="0" w:color="000000"/>
              <w:right w:val="single" w:sz="12" w:space="0" w:color="000000"/>
            </w:tcBorders>
            <w:vAlign w:val="center"/>
          </w:tcPr>
          <w:p w14:paraId="4F8B0CE8" w14:textId="7D7B1160" w:rsidR="00FC0D61" w:rsidRDefault="00FC0D61" w:rsidP="008F3E2C">
            <w:pPr>
              <w:spacing w:after="0" w:line="259" w:lineRule="auto"/>
              <w:ind w:left="0" w:right="2" w:firstLine="0"/>
              <w:jc w:val="center"/>
            </w:pPr>
          </w:p>
        </w:tc>
        <w:tc>
          <w:tcPr>
            <w:tcW w:w="540" w:type="dxa"/>
            <w:tcBorders>
              <w:top w:val="single" w:sz="4" w:space="0" w:color="000000"/>
              <w:left w:val="single" w:sz="12" w:space="0" w:color="000000"/>
              <w:bottom w:val="single" w:sz="4" w:space="0" w:color="000000"/>
              <w:right w:val="single" w:sz="12" w:space="0" w:color="000000"/>
            </w:tcBorders>
            <w:vAlign w:val="center"/>
          </w:tcPr>
          <w:p w14:paraId="247B03DD" w14:textId="7556789F" w:rsidR="00FC0D61" w:rsidRDefault="00FC0D61" w:rsidP="00DB6303">
            <w:pPr>
              <w:spacing w:after="0" w:line="259" w:lineRule="auto"/>
              <w:ind w:left="0" w:right="2" w:firstLine="0"/>
              <w:jc w:val="center"/>
            </w:pPr>
          </w:p>
        </w:tc>
        <w:tc>
          <w:tcPr>
            <w:tcW w:w="810" w:type="dxa"/>
            <w:tcBorders>
              <w:top w:val="single" w:sz="4" w:space="0" w:color="000000"/>
              <w:left w:val="single" w:sz="12" w:space="0" w:color="000000"/>
              <w:bottom w:val="single" w:sz="4" w:space="0" w:color="000000"/>
              <w:right w:val="single" w:sz="12" w:space="0" w:color="000000"/>
            </w:tcBorders>
            <w:vAlign w:val="center"/>
          </w:tcPr>
          <w:p w14:paraId="1E4FF820" w14:textId="115E6992" w:rsidR="00FC0D61" w:rsidRDefault="00FC0D61" w:rsidP="00796C4B">
            <w:pPr>
              <w:spacing w:after="0" w:line="259" w:lineRule="auto"/>
              <w:ind w:left="0" w:right="0" w:firstLine="0"/>
              <w:jc w:val="center"/>
            </w:pPr>
            <w:r>
              <w:rPr>
                <w:sz w:val="18"/>
              </w:rPr>
              <w:t>8270</w:t>
            </w:r>
          </w:p>
        </w:tc>
        <w:tc>
          <w:tcPr>
            <w:tcW w:w="900" w:type="dxa"/>
            <w:tcBorders>
              <w:top w:val="single" w:sz="4" w:space="0" w:color="000000"/>
              <w:left w:val="single" w:sz="12" w:space="0" w:color="000000"/>
              <w:bottom w:val="single" w:sz="4" w:space="0" w:color="000000"/>
              <w:right w:val="single" w:sz="12" w:space="0" w:color="000000"/>
            </w:tcBorders>
            <w:vAlign w:val="center"/>
          </w:tcPr>
          <w:p w14:paraId="7CEE97FF" w14:textId="6E04B89D" w:rsidR="00FC0D61" w:rsidRDefault="00FC0D61" w:rsidP="00796C4B">
            <w:pPr>
              <w:spacing w:after="0" w:line="259" w:lineRule="auto"/>
              <w:ind w:left="0" w:right="0" w:firstLine="0"/>
              <w:jc w:val="center"/>
            </w:pPr>
          </w:p>
        </w:tc>
      </w:tr>
      <w:tr w:rsidR="00E8392B" w14:paraId="550EF74F" w14:textId="77777777" w:rsidTr="005B6604">
        <w:trPr>
          <w:trHeight w:val="250"/>
        </w:trPr>
        <w:tc>
          <w:tcPr>
            <w:tcW w:w="2952" w:type="dxa"/>
            <w:tcBorders>
              <w:top w:val="single" w:sz="4" w:space="0" w:color="000000"/>
              <w:left w:val="single" w:sz="12" w:space="0" w:color="000000"/>
              <w:bottom w:val="single" w:sz="4" w:space="0" w:color="000000"/>
              <w:right w:val="single" w:sz="12" w:space="0" w:color="000000"/>
            </w:tcBorders>
          </w:tcPr>
          <w:p w14:paraId="7C6A591F" w14:textId="77777777" w:rsidR="00FC0D61" w:rsidRDefault="00FC0D61" w:rsidP="00FC0D61">
            <w:pPr>
              <w:spacing w:after="0" w:line="259" w:lineRule="auto"/>
              <w:ind w:left="0" w:right="0" w:firstLine="0"/>
            </w:pPr>
            <w:r>
              <w:rPr>
                <w:sz w:val="18"/>
              </w:rPr>
              <w:t xml:space="preserve">Hexachlorophene </w:t>
            </w:r>
          </w:p>
        </w:tc>
        <w:tc>
          <w:tcPr>
            <w:tcW w:w="1155" w:type="dxa"/>
            <w:tcBorders>
              <w:top w:val="single" w:sz="4" w:space="0" w:color="000000"/>
              <w:left w:val="single" w:sz="12" w:space="0" w:color="000000"/>
              <w:bottom w:val="single" w:sz="4" w:space="0" w:color="000000"/>
              <w:right w:val="single" w:sz="12" w:space="0" w:color="000000"/>
            </w:tcBorders>
            <w:vAlign w:val="center"/>
          </w:tcPr>
          <w:p w14:paraId="16EA0149" w14:textId="462B502D" w:rsidR="00FC0D61" w:rsidRDefault="00FC0D61" w:rsidP="00E61546">
            <w:pPr>
              <w:spacing w:after="0" w:line="259" w:lineRule="auto"/>
              <w:ind w:left="0" w:right="44" w:firstLine="0"/>
              <w:jc w:val="center"/>
            </w:pPr>
            <w:r>
              <w:rPr>
                <w:sz w:val="18"/>
              </w:rPr>
              <w:t>70-30-4</w:t>
            </w:r>
          </w:p>
        </w:tc>
        <w:tc>
          <w:tcPr>
            <w:tcW w:w="643" w:type="dxa"/>
            <w:tcBorders>
              <w:top w:val="single" w:sz="4" w:space="0" w:color="000000"/>
              <w:left w:val="single" w:sz="12" w:space="0" w:color="000000"/>
              <w:bottom w:val="single" w:sz="4" w:space="0" w:color="000000"/>
              <w:right w:val="single" w:sz="12" w:space="0" w:color="000000"/>
            </w:tcBorders>
            <w:vAlign w:val="center"/>
          </w:tcPr>
          <w:p w14:paraId="2A400D49" w14:textId="1D71F87D" w:rsidR="00FC0D61" w:rsidRDefault="00FC0D61" w:rsidP="00796C4B">
            <w:pPr>
              <w:spacing w:after="0" w:line="259" w:lineRule="auto"/>
              <w:ind w:left="0" w:right="0" w:firstLine="0"/>
              <w:jc w:val="center"/>
            </w:pPr>
            <w:r>
              <w:rPr>
                <w:sz w:val="18"/>
              </w:rPr>
              <w:t>50</w:t>
            </w:r>
          </w:p>
        </w:tc>
        <w:tc>
          <w:tcPr>
            <w:tcW w:w="726" w:type="dxa"/>
            <w:tcBorders>
              <w:top w:val="single" w:sz="4" w:space="0" w:color="000000"/>
              <w:left w:val="single" w:sz="12" w:space="0" w:color="000000"/>
              <w:bottom w:val="single" w:sz="4" w:space="0" w:color="000000"/>
              <w:right w:val="single" w:sz="12" w:space="0" w:color="000000"/>
            </w:tcBorders>
            <w:vAlign w:val="center"/>
          </w:tcPr>
          <w:p w14:paraId="764A7319" w14:textId="38569AD1" w:rsidR="00FC0D61" w:rsidRDefault="00FC0D61" w:rsidP="00796C4B">
            <w:pPr>
              <w:spacing w:after="0" w:line="259" w:lineRule="auto"/>
              <w:ind w:left="0" w:right="49" w:firstLine="0"/>
              <w:jc w:val="center"/>
            </w:pPr>
            <w:r>
              <w:rPr>
                <w:sz w:val="18"/>
              </w:rPr>
              <w:t>ug/L</w:t>
            </w:r>
          </w:p>
        </w:tc>
        <w:tc>
          <w:tcPr>
            <w:tcW w:w="773" w:type="dxa"/>
            <w:tcBorders>
              <w:top w:val="single" w:sz="4" w:space="0" w:color="000000"/>
              <w:left w:val="single" w:sz="12" w:space="0" w:color="000000"/>
              <w:bottom w:val="single" w:sz="4" w:space="0" w:color="000000"/>
              <w:right w:val="single" w:sz="12" w:space="0" w:color="000000"/>
            </w:tcBorders>
            <w:vAlign w:val="center"/>
          </w:tcPr>
          <w:p w14:paraId="212E6E29" w14:textId="6D7E21BC" w:rsidR="00FC0D61" w:rsidRDefault="00FC0D61" w:rsidP="00796C4B">
            <w:pPr>
              <w:spacing w:after="0" w:line="259" w:lineRule="auto"/>
              <w:ind w:left="0" w:right="42" w:firstLine="0"/>
              <w:jc w:val="center"/>
            </w:pPr>
            <w:r>
              <w:rPr>
                <w:sz w:val="18"/>
              </w:rPr>
              <w:t>3300</w:t>
            </w:r>
          </w:p>
        </w:tc>
        <w:tc>
          <w:tcPr>
            <w:tcW w:w="951" w:type="dxa"/>
            <w:tcBorders>
              <w:top w:val="single" w:sz="4" w:space="0" w:color="000000"/>
              <w:left w:val="single" w:sz="12" w:space="0" w:color="000000"/>
              <w:bottom w:val="single" w:sz="4" w:space="0" w:color="000000"/>
              <w:right w:val="single" w:sz="12" w:space="0" w:color="000000"/>
            </w:tcBorders>
            <w:vAlign w:val="center"/>
          </w:tcPr>
          <w:p w14:paraId="0D44D9EA" w14:textId="7143BF8C" w:rsidR="00FC0D61" w:rsidRDefault="00FC0D61" w:rsidP="00796C4B">
            <w:pPr>
              <w:spacing w:after="0" w:line="259" w:lineRule="auto"/>
              <w:ind w:left="0" w:right="46" w:firstLine="0"/>
              <w:jc w:val="center"/>
            </w:pPr>
            <w:r>
              <w:rPr>
                <w:rFonts w:eastAsia="Segoe UI Symbol"/>
                <w:sz w:val="18"/>
              </w:rPr>
              <w:t>u</w:t>
            </w:r>
            <w:r>
              <w:rPr>
                <w:sz w:val="18"/>
              </w:rPr>
              <w:t>g/kg</w:t>
            </w:r>
          </w:p>
        </w:tc>
        <w:tc>
          <w:tcPr>
            <w:tcW w:w="630" w:type="dxa"/>
            <w:tcBorders>
              <w:top w:val="single" w:sz="4" w:space="0" w:color="000000"/>
              <w:left w:val="single" w:sz="12" w:space="0" w:color="000000"/>
              <w:bottom w:val="single" w:sz="4" w:space="0" w:color="000000"/>
              <w:right w:val="single" w:sz="12" w:space="0" w:color="000000"/>
            </w:tcBorders>
            <w:vAlign w:val="center"/>
          </w:tcPr>
          <w:p w14:paraId="25689045" w14:textId="1AE11306" w:rsidR="00FC0D61" w:rsidRDefault="00FC0D61" w:rsidP="00DB6303">
            <w:pPr>
              <w:spacing w:after="0" w:line="259" w:lineRule="auto"/>
              <w:ind w:left="0" w:right="47" w:firstLine="0"/>
              <w:jc w:val="center"/>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37736BA0" w14:textId="47A38C0B" w:rsidR="00FC0D61" w:rsidRDefault="00FC0D61" w:rsidP="00E8392B">
            <w:pPr>
              <w:spacing w:after="0" w:line="259" w:lineRule="auto"/>
              <w:ind w:left="96" w:right="0" w:firstLine="0"/>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61F4BAAE" w14:textId="68406B0B" w:rsidR="00FC0D61" w:rsidRDefault="00FC0D61" w:rsidP="00DB6303">
            <w:pPr>
              <w:spacing w:after="0" w:line="259" w:lineRule="auto"/>
              <w:ind w:left="0" w:right="2" w:firstLine="0"/>
              <w:jc w:val="center"/>
            </w:pPr>
          </w:p>
        </w:tc>
        <w:tc>
          <w:tcPr>
            <w:tcW w:w="810" w:type="dxa"/>
            <w:tcBorders>
              <w:top w:val="single" w:sz="4" w:space="0" w:color="000000"/>
              <w:left w:val="single" w:sz="12" w:space="0" w:color="000000"/>
              <w:bottom w:val="single" w:sz="4" w:space="0" w:color="000000"/>
              <w:right w:val="single" w:sz="12" w:space="0" w:color="000000"/>
            </w:tcBorders>
            <w:vAlign w:val="center"/>
          </w:tcPr>
          <w:p w14:paraId="04AA9216" w14:textId="0A57782A" w:rsidR="00FC0D61" w:rsidRDefault="00FC0D61" w:rsidP="00796C4B">
            <w:pPr>
              <w:spacing w:after="0" w:line="259" w:lineRule="auto"/>
              <w:ind w:left="0" w:right="0" w:firstLine="0"/>
              <w:jc w:val="center"/>
            </w:pPr>
            <w:r>
              <w:rPr>
                <w:sz w:val="18"/>
              </w:rPr>
              <w:t>8270</w:t>
            </w:r>
          </w:p>
        </w:tc>
        <w:tc>
          <w:tcPr>
            <w:tcW w:w="900" w:type="dxa"/>
            <w:tcBorders>
              <w:top w:val="single" w:sz="4" w:space="0" w:color="000000"/>
              <w:left w:val="single" w:sz="12" w:space="0" w:color="000000"/>
              <w:bottom w:val="single" w:sz="4" w:space="0" w:color="000000"/>
              <w:right w:val="single" w:sz="12" w:space="0" w:color="000000"/>
            </w:tcBorders>
            <w:vAlign w:val="center"/>
          </w:tcPr>
          <w:p w14:paraId="1EB3068C" w14:textId="58A99DB3" w:rsidR="00FC0D61" w:rsidRDefault="00FC0D61" w:rsidP="00796C4B">
            <w:pPr>
              <w:spacing w:after="0" w:line="259" w:lineRule="auto"/>
              <w:ind w:left="0" w:right="0" w:firstLine="0"/>
              <w:jc w:val="center"/>
            </w:pPr>
          </w:p>
        </w:tc>
      </w:tr>
      <w:tr w:rsidR="00E8392B" w14:paraId="0D23E714" w14:textId="77777777" w:rsidTr="005B6604">
        <w:trPr>
          <w:trHeight w:val="250"/>
        </w:trPr>
        <w:tc>
          <w:tcPr>
            <w:tcW w:w="2952" w:type="dxa"/>
            <w:tcBorders>
              <w:top w:val="single" w:sz="4" w:space="0" w:color="000000"/>
              <w:left w:val="single" w:sz="12" w:space="0" w:color="000000"/>
              <w:bottom w:val="single" w:sz="4" w:space="0" w:color="000000"/>
              <w:right w:val="single" w:sz="12" w:space="0" w:color="000000"/>
            </w:tcBorders>
          </w:tcPr>
          <w:p w14:paraId="3A32725B" w14:textId="77777777" w:rsidR="00FC0D61" w:rsidRDefault="00FC0D61" w:rsidP="00FC0D61">
            <w:pPr>
              <w:spacing w:after="0" w:line="259" w:lineRule="auto"/>
              <w:ind w:left="0" w:right="0" w:firstLine="0"/>
            </w:pPr>
            <w:proofErr w:type="spellStart"/>
            <w:r>
              <w:rPr>
                <w:sz w:val="18"/>
              </w:rPr>
              <w:t>Hexachloropropene</w:t>
            </w:r>
            <w:proofErr w:type="spellEnd"/>
            <w:r>
              <w:rPr>
                <w:sz w:val="18"/>
              </w:rPr>
              <w:t xml:space="preserve"> </w:t>
            </w:r>
          </w:p>
        </w:tc>
        <w:tc>
          <w:tcPr>
            <w:tcW w:w="1155" w:type="dxa"/>
            <w:tcBorders>
              <w:top w:val="single" w:sz="4" w:space="0" w:color="000000"/>
              <w:left w:val="single" w:sz="12" w:space="0" w:color="000000"/>
              <w:bottom w:val="single" w:sz="4" w:space="0" w:color="000000"/>
              <w:right w:val="single" w:sz="12" w:space="0" w:color="000000"/>
            </w:tcBorders>
            <w:vAlign w:val="center"/>
          </w:tcPr>
          <w:p w14:paraId="3C59F309" w14:textId="7E13CFF0" w:rsidR="00FC0D61" w:rsidRDefault="00FC0D61" w:rsidP="00E61546">
            <w:pPr>
              <w:spacing w:after="0" w:line="259" w:lineRule="auto"/>
              <w:ind w:left="0" w:right="44" w:firstLine="0"/>
              <w:jc w:val="center"/>
            </w:pPr>
            <w:r>
              <w:rPr>
                <w:sz w:val="18"/>
              </w:rPr>
              <w:t>1888-71-7</w:t>
            </w:r>
          </w:p>
        </w:tc>
        <w:tc>
          <w:tcPr>
            <w:tcW w:w="643" w:type="dxa"/>
            <w:tcBorders>
              <w:top w:val="single" w:sz="4" w:space="0" w:color="000000"/>
              <w:left w:val="single" w:sz="12" w:space="0" w:color="000000"/>
              <w:bottom w:val="single" w:sz="4" w:space="0" w:color="000000"/>
              <w:right w:val="single" w:sz="12" w:space="0" w:color="000000"/>
            </w:tcBorders>
            <w:vAlign w:val="center"/>
          </w:tcPr>
          <w:p w14:paraId="61CD8246" w14:textId="4EED3047" w:rsidR="00FC0D61" w:rsidRDefault="00FC0D61" w:rsidP="00796C4B">
            <w:pPr>
              <w:spacing w:after="0" w:line="259" w:lineRule="auto"/>
              <w:ind w:left="0" w:right="0" w:firstLine="0"/>
              <w:jc w:val="center"/>
            </w:pPr>
            <w:r>
              <w:rPr>
                <w:sz w:val="18"/>
              </w:rPr>
              <w:t>10</w:t>
            </w:r>
          </w:p>
        </w:tc>
        <w:tc>
          <w:tcPr>
            <w:tcW w:w="726" w:type="dxa"/>
            <w:tcBorders>
              <w:top w:val="single" w:sz="4" w:space="0" w:color="000000"/>
              <w:left w:val="single" w:sz="12" w:space="0" w:color="000000"/>
              <w:bottom w:val="single" w:sz="4" w:space="0" w:color="000000"/>
              <w:right w:val="single" w:sz="12" w:space="0" w:color="000000"/>
            </w:tcBorders>
            <w:vAlign w:val="center"/>
          </w:tcPr>
          <w:p w14:paraId="240BA7C0" w14:textId="7C61FF3D" w:rsidR="00FC0D61" w:rsidRDefault="00FC0D61" w:rsidP="00796C4B">
            <w:pPr>
              <w:spacing w:after="0" w:line="259" w:lineRule="auto"/>
              <w:ind w:left="0" w:right="49" w:firstLine="0"/>
              <w:jc w:val="center"/>
            </w:pPr>
            <w:r>
              <w:rPr>
                <w:sz w:val="18"/>
              </w:rPr>
              <w:t>ug/L</w:t>
            </w:r>
          </w:p>
        </w:tc>
        <w:tc>
          <w:tcPr>
            <w:tcW w:w="773" w:type="dxa"/>
            <w:tcBorders>
              <w:top w:val="single" w:sz="4" w:space="0" w:color="000000"/>
              <w:left w:val="single" w:sz="12" w:space="0" w:color="000000"/>
              <w:bottom w:val="single" w:sz="4" w:space="0" w:color="000000"/>
              <w:right w:val="single" w:sz="12" w:space="0" w:color="000000"/>
            </w:tcBorders>
            <w:vAlign w:val="center"/>
          </w:tcPr>
          <w:p w14:paraId="6E2F2EF0" w14:textId="7BA9EF72" w:rsidR="00FC0D61" w:rsidRDefault="00FC0D61" w:rsidP="00796C4B">
            <w:pPr>
              <w:spacing w:after="0" w:line="259" w:lineRule="auto"/>
              <w:ind w:left="0" w:right="41" w:firstLine="0"/>
              <w:jc w:val="center"/>
            </w:pPr>
            <w:r>
              <w:rPr>
                <w:sz w:val="18"/>
              </w:rPr>
              <w:t>660</w:t>
            </w:r>
          </w:p>
        </w:tc>
        <w:tc>
          <w:tcPr>
            <w:tcW w:w="951" w:type="dxa"/>
            <w:tcBorders>
              <w:top w:val="single" w:sz="4" w:space="0" w:color="000000"/>
              <w:left w:val="single" w:sz="12" w:space="0" w:color="000000"/>
              <w:bottom w:val="single" w:sz="4" w:space="0" w:color="000000"/>
              <w:right w:val="single" w:sz="12" w:space="0" w:color="000000"/>
            </w:tcBorders>
            <w:vAlign w:val="center"/>
          </w:tcPr>
          <w:p w14:paraId="2328A440" w14:textId="4153EF49" w:rsidR="00FC0D61" w:rsidRDefault="00FC0D61" w:rsidP="00796C4B">
            <w:pPr>
              <w:spacing w:after="0" w:line="259" w:lineRule="auto"/>
              <w:ind w:left="0" w:right="46" w:firstLine="0"/>
              <w:jc w:val="center"/>
            </w:pPr>
            <w:r>
              <w:rPr>
                <w:rFonts w:eastAsia="Segoe UI Symbol"/>
                <w:sz w:val="18"/>
              </w:rPr>
              <w:t>u</w:t>
            </w:r>
            <w:r>
              <w:rPr>
                <w:sz w:val="18"/>
              </w:rPr>
              <w:t>g/kg</w:t>
            </w:r>
          </w:p>
        </w:tc>
        <w:tc>
          <w:tcPr>
            <w:tcW w:w="630" w:type="dxa"/>
            <w:tcBorders>
              <w:top w:val="single" w:sz="4" w:space="0" w:color="000000"/>
              <w:left w:val="single" w:sz="12" w:space="0" w:color="000000"/>
              <w:bottom w:val="single" w:sz="4" w:space="0" w:color="000000"/>
              <w:right w:val="single" w:sz="12" w:space="0" w:color="000000"/>
            </w:tcBorders>
            <w:vAlign w:val="center"/>
          </w:tcPr>
          <w:p w14:paraId="6931F6DA" w14:textId="4C0F9B8F" w:rsidR="00FC0D61" w:rsidRDefault="00FC0D61" w:rsidP="00DB6303">
            <w:pPr>
              <w:spacing w:after="0" w:line="259" w:lineRule="auto"/>
              <w:ind w:left="0" w:right="47" w:firstLine="0"/>
              <w:jc w:val="center"/>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3CD7ED9A" w14:textId="0DCFA733" w:rsidR="00FC0D61" w:rsidRDefault="00FC0D61" w:rsidP="00E8392B">
            <w:pPr>
              <w:spacing w:after="0" w:line="259" w:lineRule="auto"/>
              <w:ind w:left="96" w:right="0" w:firstLine="0"/>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42C2EFB5" w14:textId="724E18BB" w:rsidR="00FC0D61" w:rsidRDefault="00FC0D61" w:rsidP="00DB6303">
            <w:pPr>
              <w:spacing w:after="0" w:line="259" w:lineRule="auto"/>
              <w:ind w:left="0" w:right="47" w:firstLine="0"/>
              <w:jc w:val="center"/>
            </w:pPr>
            <w:r>
              <w:rPr>
                <w:sz w:val="18"/>
              </w:rPr>
              <w:t>X</w:t>
            </w:r>
          </w:p>
        </w:tc>
        <w:tc>
          <w:tcPr>
            <w:tcW w:w="810" w:type="dxa"/>
            <w:tcBorders>
              <w:top w:val="single" w:sz="4" w:space="0" w:color="000000"/>
              <w:left w:val="single" w:sz="12" w:space="0" w:color="000000"/>
              <w:bottom w:val="single" w:sz="4" w:space="0" w:color="000000"/>
              <w:right w:val="single" w:sz="12" w:space="0" w:color="000000"/>
            </w:tcBorders>
            <w:vAlign w:val="center"/>
          </w:tcPr>
          <w:p w14:paraId="4B72C686" w14:textId="3917A988" w:rsidR="00FC0D61" w:rsidRDefault="00FC0D61" w:rsidP="00796C4B">
            <w:pPr>
              <w:spacing w:after="0" w:line="259" w:lineRule="auto"/>
              <w:ind w:left="0" w:right="0" w:firstLine="0"/>
              <w:jc w:val="center"/>
            </w:pPr>
            <w:r>
              <w:rPr>
                <w:sz w:val="18"/>
              </w:rPr>
              <w:t>8270</w:t>
            </w:r>
          </w:p>
        </w:tc>
        <w:tc>
          <w:tcPr>
            <w:tcW w:w="900" w:type="dxa"/>
            <w:tcBorders>
              <w:top w:val="single" w:sz="4" w:space="0" w:color="000000"/>
              <w:left w:val="single" w:sz="12" w:space="0" w:color="000000"/>
              <w:bottom w:val="single" w:sz="4" w:space="0" w:color="000000"/>
              <w:right w:val="single" w:sz="12" w:space="0" w:color="000000"/>
            </w:tcBorders>
            <w:vAlign w:val="center"/>
          </w:tcPr>
          <w:p w14:paraId="0D36DF5F" w14:textId="5BCF99F3" w:rsidR="00FC0D61" w:rsidRDefault="00FC0D61" w:rsidP="00796C4B">
            <w:pPr>
              <w:spacing w:after="0" w:line="259" w:lineRule="auto"/>
              <w:ind w:left="0" w:right="0" w:firstLine="0"/>
              <w:jc w:val="center"/>
            </w:pPr>
          </w:p>
        </w:tc>
      </w:tr>
      <w:tr w:rsidR="00E8392B" w14:paraId="06603F11" w14:textId="77777777" w:rsidTr="005B6604">
        <w:trPr>
          <w:trHeight w:val="250"/>
        </w:trPr>
        <w:tc>
          <w:tcPr>
            <w:tcW w:w="2952" w:type="dxa"/>
            <w:tcBorders>
              <w:top w:val="single" w:sz="4" w:space="0" w:color="000000"/>
              <w:left w:val="single" w:sz="12" w:space="0" w:color="000000"/>
              <w:bottom w:val="single" w:sz="4" w:space="0" w:color="000000"/>
              <w:right w:val="single" w:sz="12" w:space="0" w:color="000000"/>
            </w:tcBorders>
          </w:tcPr>
          <w:p w14:paraId="35649A25" w14:textId="77777777" w:rsidR="00FC0D61" w:rsidRDefault="00FC0D61" w:rsidP="00FC0D61">
            <w:pPr>
              <w:spacing w:after="0" w:line="259" w:lineRule="auto"/>
              <w:ind w:left="0" w:right="0" w:firstLine="0"/>
            </w:pPr>
            <w:proofErr w:type="spellStart"/>
            <w:r>
              <w:rPr>
                <w:sz w:val="18"/>
              </w:rPr>
              <w:t>Isosafrole</w:t>
            </w:r>
            <w:proofErr w:type="spellEnd"/>
            <w:r>
              <w:rPr>
                <w:sz w:val="18"/>
              </w:rPr>
              <w:t xml:space="preserve"> </w:t>
            </w:r>
          </w:p>
        </w:tc>
        <w:tc>
          <w:tcPr>
            <w:tcW w:w="1155" w:type="dxa"/>
            <w:tcBorders>
              <w:top w:val="single" w:sz="4" w:space="0" w:color="000000"/>
              <w:left w:val="single" w:sz="12" w:space="0" w:color="000000"/>
              <w:bottom w:val="single" w:sz="4" w:space="0" w:color="000000"/>
              <w:right w:val="single" w:sz="12" w:space="0" w:color="000000"/>
            </w:tcBorders>
            <w:vAlign w:val="center"/>
          </w:tcPr>
          <w:p w14:paraId="6F7A59E6" w14:textId="4651ED6C" w:rsidR="00FC0D61" w:rsidRDefault="00FC0D61" w:rsidP="00E61546">
            <w:pPr>
              <w:spacing w:after="0" w:line="259" w:lineRule="auto"/>
              <w:ind w:left="0" w:right="44" w:firstLine="0"/>
              <w:jc w:val="center"/>
            </w:pPr>
            <w:r>
              <w:rPr>
                <w:sz w:val="18"/>
              </w:rPr>
              <w:t>120-58-1</w:t>
            </w:r>
          </w:p>
        </w:tc>
        <w:tc>
          <w:tcPr>
            <w:tcW w:w="643" w:type="dxa"/>
            <w:tcBorders>
              <w:top w:val="single" w:sz="4" w:space="0" w:color="000000"/>
              <w:left w:val="single" w:sz="12" w:space="0" w:color="000000"/>
              <w:bottom w:val="single" w:sz="4" w:space="0" w:color="000000"/>
              <w:right w:val="single" w:sz="12" w:space="0" w:color="000000"/>
            </w:tcBorders>
            <w:vAlign w:val="center"/>
          </w:tcPr>
          <w:p w14:paraId="43D7D24D" w14:textId="494F43CC" w:rsidR="00FC0D61" w:rsidRDefault="00FC0D61" w:rsidP="00796C4B">
            <w:pPr>
              <w:spacing w:after="0" w:line="259" w:lineRule="auto"/>
              <w:ind w:left="0" w:right="0" w:firstLine="0"/>
              <w:jc w:val="center"/>
            </w:pPr>
            <w:r>
              <w:rPr>
                <w:sz w:val="18"/>
              </w:rPr>
              <w:t>10</w:t>
            </w:r>
          </w:p>
        </w:tc>
        <w:tc>
          <w:tcPr>
            <w:tcW w:w="726" w:type="dxa"/>
            <w:tcBorders>
              <w:top w:val="single" w:sz="4" w:space="0" w:color="000000"/>
              <w:left w:val="single" w:sz="12" w:space="0" w:color="000000"/>
              <w:bottom w:val="single" w:sz="4" w:space="0" w:color="000000"/>
              <w:right w:val="single" w:sz="12" w:space="0" w:color="000000"/>
            </w:tcBorders>
            <w:vAlign w:val="center"/>
          </w:tcPr>
          <w:p w14:paraId="49ABB6A7" w14:textId="00E8D024" w:rsidR="00FC0D61" w:rsidRDefault="00FC0D61" w:rsidP="00796C4B">
            <w:pPr>
              <w:spacing w:after="0" w:line="259" w:lineRule="auto"/>
              <w:ind w:left="0" w:right="49" w:firstLine="0"/>
              <w:jc w:val="center"/>
            </w:pPr>
            <w:r>
              <w:rPr>
                <w:sz w:val="18"/>
              </w:rPr>
              <w:t>ug/L</w:t>
            </w:r>
          </w:p>
        </w:tc>
        <w:tc>
          <w:tcPr>
            <w:tcW w:w="773" w:type="dxa"/>
            <w:tcBorders>
              <w:top w:val="single" w:sz="4" w:space="0" w:color="000000"/>
              <w:left w:val="single" w:sz="12" w:space="0" w:color="000000"/>
              <w:bottom w:val="single" w:sz="4" w:space="0" w:color="000000"/>
              <w:right w:val="single" w:sz="12" w:space="0" w:color="000000"/>
            </w:tcBorders>
            <w:vAlign w:val="center"/>
          </w:tcPr>
          <w:p w14:paraId="5B8B06F9" w14:textId="6738D16C" w:rsidR="00FC0D61" w:rsidRDefault="00FC0D61" w:rsidP="00796C4B">
            <w:pPr>
              <w:spacing w:after="0" w:line="259" w:lineRule="auto"/>
              <w:ind w:left="0" w:right="41" w:firstLine="0"/>
              <w:jc w:val="center"/>
            </w:pPr>
            <w:r>
              <w:rPr>
                <w:sz w:val="18"/>
              </w:rPr>
              <w:t>660</w:t>
            </w:r>
          </w:p>
        </w:tc>
        <w:tc>
          <w:tcPr>
            <w:tcW w:w="951" w:type="dxa"/>
            <w:tcBorders>
              <w:top w:val="single" w:sz="4" w:space="0" w:color="000000"/>
              <w:left w:val="single" w:sz="12" w:space="0" w:color="000000"/>
              <w:bottom w:val="single" w:sz="4" w:space="0" w:color="000000"/>
              <w:right w:val="single" w:sz="12" w:space="0" w:color="000000"/>
            </w:tcBorders>
            <w:vAlign w:val="center"/>
          </w:tcPr>
          <w:p w14:paraId="7F976448" w14:textId="09C711A7" w:rsidR="00FC0D61" w:rsidRDefault="00FC0D61" w:rsidP="00796C4B">
            <w:pPr>
              <w:spacing w:after="0" w:line="259" w:lineRule="auto"/>
              <w:ind w:left="0" w:right="46" w:firstLine="0"/>
              <w:jc w:val="center"/>
            </w:pPr>
            <w:r>
              <w:rPr>
                <w:rFonts w:eastAsia="Segoe UI Symbol"/>
                <w:sz w:val="18"/>
              </w:rPr>
              <w:t>u</w:t>
            </w:r>
            <w:r>
              <w:rPr>
                <w:sz w:val="18"/>
              </w:rPr>
              <w:t>g/kg</w:t>
            </w:r>
          </w:p>
        </w:tc>
        <w:tc>
          <w:tcPr>
            <w:tcW w:w="630" w:type="dxa"/>
            <w:tcBorders>
              <w:top w:val="single" w:sz="4" w:space="0" w:color="000000"/>
              <w:left w:val="single" w:sz="12" w:space="0" w:color="000000"/>
              <w:bottom w:val="single" w:sz="4" w:space="0" w:color="000000"/>
              <w:right w:val="single" w:sz="12" w:space="0" w:color="000000"/>
            </w:tcBorders>
            <w:vAlign w:val="center"/>
          </w:tcPr>
          <w:p w14:paraId="6DEF1896" w14:textId="34FCD8FC" w:rsidR="00FC0D61" w:rsidRDefault="00FC0D61" w:rsidP="00DB6303">
            <w:pPr>
              <w:spacing w:after="0" w:line="259" w:lineRule="auto"/>
              <w:ind w:left="0" w:right="47" w:firstLine="0"/>
              <w:jc w:val="center"/>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088F2B35" w14:textId="631D008E" w:rsidR="00FC0D61" w:rsidRDefault="00FC0D61" w:rsidP="00E8392B">
            <w:pPr>
              <w:spacing w:after="0" w:line="259" w:lineRule="auto"/>
              <w:ind w:left="96" w:right="0" w:firstLine="0"/>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77793557" w14:textId="6AAB2C96" w:rsidR="00FC0D61" w:rsidRDefault="00FC0D61" w:rsidP="00DB6303">
            <w:pPr>
              <w:spacing w:after="0" w:line="259" w:lineRule="auto"/>
              <w:ind w:left="0" w:right="47" w:firstLine="0"/>
              <w:jc w:val="center"/>
            </w:pPr>
            <w:r>
              <w:rPr>
                <w:sz w:val="18"/>
              </w:rPr>
              <w:t>X</w:t>
            </w:r>
          </w:p>
        </w:tc>
        <w:tc>
          <w:tcPr>
            <w:tcW w:w="810" w:type="dxa"/>
            <w:tcBorders>
              <w:top w:val="single" w:sz="4" w:space="0" w:color="000000"/>
              <w:left w:val="single" w:sz="12" w:space="0" w:color="000000"/>
              <w:bottom w:val="single" w:sz="4" w:space="0" w:color="000000"/>
              <w:right w:val="single" w:sz="12" w:space="0" w:color="000000"/>
            </w:tcBorders>
            <w:vAlign w:val="center"/>
          </w:tcPr>
          <w:p w14:paraId="00004771" w14:textId="43DA7100" w:rsidR="00FC0D61" w:rsidRDefault="00FC0D61" w:rsidP="00796C4B">
            <w:pPr>
              <w:spacing w:after="0" w:line="259" w:lineRule="auto"/>
              <w:ind w:left="0" w:right="0" w:firstLine="0"/>
              <w:jc w:val="center"/>
            </w:pPr>
            <w:r>
              <w:rPr>
                <w:sz w:val="18"/>
              </w:rPr>
              <w:t>8270</w:t>
            </w:r>
          </w:p>
        </w:tc>
        <w:tc>
          <w:tcPr>
            <w:tcW w:w="900" w:type="dxa"/>
            <w:tcBorders>
              <w:top w:val="single" w:sz="4" w:space="0" w:color="000000"/>
              <w:left w:val="single" w:sz="12" w:space="0" w:color="000000"/>
              <w:bottom w:val="single" w:sz="4" w:space="0" w:color="000000"/>
              <w:right w:val="single" w:sz="12" w:space="0" w:color="000000"/>
            </w:tcBorders>
            <w:vAlign w:val="center"/>
          </w:tcPr>
          <w:p w14:paraId="25C15ED8" w14:textId="2E2DE62B" w:rsidR="00FC0D61" w:rsidRDefault="00FC0D61" w:rsidP="00796C4B">
            <w:pPr>
              <w:spacing w:after="0" w:line="259" w:lineRule="auto"/>
              <w:ind w:left="0" w:right="0" w:firstLine="0"/>
              <w:jc w:val="center"/>
            </w:pPr>
          </w:p>
        </w:tc>
      </w:tr>
      <w:tr w:rsidR="00E8392B" w14:paraId="3330B9D9" w14:textId="77777777" w:rsidTr="005B6604">
        <w:trPr>
          <w:trHeight w:val="250"/>
        </w:trPr>
        <w:tc>
          <w:tcPr>
            <w:tcW w:w="2952" w:type="dxa"/>
            <w:tcBorders>
              <w:top w:val="single" w:sz="4" w:space="0" w:color="000000"/>
              <w:left w:val="single" w:sz="12" w:space="0" w:color="000000"/>
              <w:bottom w:val="single" w:sz="4" w:space="0" w:color="000000"/>
              <w:right w:val="single" w:sz="12" w:space="0" w:color="000000"/>
            </w:tcBorders>
          </w:tcPr>
          <w:p w14:paraId="35603216" w14:textId="77777777" w:rsidR="00FC0D61" w:rsidRDefault="00FC0D61" w:rsidP="00FC0D61">
            <w:pPr>
              <w:spacing w:after="0" w:line="259" w:lineRule="auto"/>
              <w:ind w:left="0" w:right="0" w:firstLine="0"/>
            </w:pPr>
            <w:r>
              <w:rPr>
                <w:sz w:val="18"/>
              </w:rPr>
              <w:t xml:space="preserve">Kepone </w:t>
            </w:r>
          </w:p>
        </w:tc>
        <w:tc>
          <w:tcPr>
            <w:tcW w:w="1155" w:type="dxa"/>
            <w:tcBorders>
              <w:top w:val="single" w:sz="4" w:space="0" w:color="000000"/>
              <w:left w:val="single" w:sz="12" w:space="0" w:color="000000"/>
              <w:bottom w:val="single" w:sz="4" w:space="0" w:color="000000"/>
              <w:right w:val="single" w:sz="12" w:space="0" w:color="000000"/>
            </w:tcBorders>
            <w:vAlign w:val="center"/>
          </w:tcPr>
          <w:p w14:paraId="466E57B3" w14:textId="31E3B8F1" w:rsidR="00FC0D61" w:rsidRDefault="00FC0D61" w:rsidP="00E61546">
            <w:pPr>
              <w:spacing w:after="0" w:line="259" w:lineRule="auto"/>
              <w:ind w:left="0" w:right="44" w:firstLine="0"/>
              <w:jc w:val="center"/>
            </w:pPr>
            <w:r>
              <w:rPr>
                <w:sz w:val="18"/>
              </w:rPr>
              <w:t>143-50-0</w:t>
            </w:r>
          </w:p>
        </w:tc>
        <w:tc>
          <w:tcPr>
            <w:tcW w:w="643" w:type="dxa"/>
            <w:tcBorders>
              <w:top w:val="single" w:sz="4" w:space="0" w:color="000000"/>
              <w:left w:val="single" w:sz="12" w:space="0" w:color="000000"/>
              <w:bottom w:val="single" w:sz="4" w:space="0" w:color="000000"/>
              <w:right w:val="single" w:sz="12" w:space="0" w:color="000000"/>
            </w:tcBorders>
            <w:vAlign w:val="center"/>
          </w:tcPr>
          <w:p w14:paraId="1227427A" w14:textId="52F0E3F9" w:rsidR="00FC0D61" w:rsidRDefault="00FC0D61" w:rsidP="00796C4B">
            <w:pPr>
              <w:spacing w:after="0" w:line="259" w:lineRule="auto"/>
              <w:ind w:left="0" w:right="0" w:firstLine="0"/>
              <w:jc w:val="center"/>
            </w:pPr>
            <w:r>
              <w:rPr>
                <w:sz w:val="18"/>
              </w:rPr>
              <w:t>20</w:t>
            </w:r>
          </w:p>
        </w:tc>
        <w:tc>
          <w:tcPr>
            <w:tcW w:w="726" w:type="dxa"/>
            <w:tcBorders>
              <w:top w:val="single" w:sz="4" w:space="0" w:color="000000"/>
              <w:left w:val="single" w:sz="12" w:space="0" w:color="000000"/>
              <w:bottom w:val="single" w:sz="4" w:space="0" w:color="000000"/>
              <w:right w:val="single" w:sz="12" w:space="0" w:color="000000"/>
            </w:tcBorders>
            <w:vAlign w:val="center"/>
          </w:tcPr>
          <w:p w14:paraId="072DEAA3" w14:textId="7E66B2E7" w:rsidR="00FC0D61" w:rsidRDefault="00FC0D61" w:rsidP="00796C4B">
            <w:pPr>
              <w:spacing w:after="0" w:line="259" w:lineRule="auto"/>
              <w:ind w:left="0" w:right="49" w:firstLine="0"/>
              <w:jc w:val="center"/>
            </w:pPr>
            <w:r>
              <w:rPr>
                <w:sz w:val="18"/>
              </w:rPr>
              <w:t>ug/L</w:t>
            </w:r>
          </w:p>
        </w:tc>
        <w:tc>
          <w:tcPr>
            <w:tcW w:w="773" w:type="dxa"/>
            <w:tcBorders>
              <w:top w:val="single" w:sz="4" w:space="0" w:color="000000"/>
              <w:left w:val="single" w:sz="12" w:space="0" w:color="000000"/>
              <w:bottom w:val="single" w:sz="4" w:space="0" w:color="000000"/>
              <w:right w:val="single" w:sz="12" w:space="0" w:color="000000"/>
            </w:tcBorders>
            <w:vAlign w:val="center"/>
          </w:tcPr>
          <w:p w14:paraId="078F180E" w14:textId="44EA33E4" w:rsidR="00FC0D61" w:rsidRDefault="00FC0D61" w:rsidP="00796C4B">
            <w:pPr>
              <w:spacing w:after="0" w:line="259" w:lineRule="auto"/>
              <w:ind w:left="0" w:right="42" w:firstLine="0"/>
              <w:jc w:val="center"/>
            </w:pPr>
            <w:r>
              <w:rPr>
                <w:sz w:val="18"/>
              </w:rPr>
              <w:t>1300</w:t>
            </w:r>
          </w:p>
        </w:tc>
        <w:tc>
          <w:tcPr>
            <w:tcW w:w="951" w:type="dxa"/>
            <w:tcBorders>
              <w:top w:val="single" w:sz="4" w:space="0" w:color="000000"/>
              <w:left w:val="single" w:sz="12" w:space="0" w:color="000000"/>
              <w:bottom w:val="single" w:sz="4" w:space="0" w:color="000000"/>
              <w:right w:val="single" w:sz="12" w:space="0" w:color="000000"/>
            </w:tcBorders>
            <w:vAlign w:val="center"/>
          </w:tcPr>
          <w:p w14:paraId="179A8457" w14:textId="67D581ED" w:rsidR="00FC0D61" w:rsidRDefault="00FC0D61" w:rsidP="00796C4B">
            <w:pPr>
              <w:spacing w:after="0" w:line="259" w:lineRule="auto"/>
              <w:ind w:left="0" w:right="46" w:firstLine="0"/>
              <w:jc w:val="center"/>
            </w:pPr>
            <w:r>
              <w:rPr>
                <w:rFonts w:eastAsia="Segoe UI Symbol"/>
                <w:sz w:val="18"/>
              </w:rPr>
              <w:t>u</w:t>
            </w:r>
            <w:r>
              <w:rPr>
                <w:sz w:val="18"/>
              </w:rPr>
              <w:t>g/kg</w:t>
            </w:r>
          </w:p>
        </w:tc>
        <w:tc>
          <w:tcPr>
            <w:tcW w:w="630" w:type="dxa"/>
            <w:tcBorders>
              <w:top w:val="single" w:sz="4" w:space="0" w:color="000000"/>
              <w:left w:val="single" w:sz="12" w:space="0" w:color="000000"/>
              <w:bottom w:val="single" w:sz="4" w:space="0" w:color="000000"/>
              <w:right w:val="single" w:sz="12" w:space="0" w:color="000000"/>
            </w:tcBorders>
            <w:vAlign w:val="center"/>
          </w:tcPr>
          <w:p w14:paraId="1DD3BA60" w14:textId="04E6419C" w:rsidR="00FC0D61" w:rsidRDefault="00FC0D61" w:rsidP="00DB6303">
            <w:pPr>
              <w:spacing w:after="0" w:line="259" w:lineRule="auto"/>
              <w:ind w:left="0" w:right="47" w:firstLine="0"/>
              <w:jc w:val="center"/>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5EA1B443" w14:textId="106FAF5A" w:rsidR="00FC0D61" w:rsidRDefault="00FC0D61" w:rsidP="00E8392B">
            <w:pPr>
              <w:spacing w:after="0" w:line="259" w:lineRule="auto"/>
              <w:ind w:left="96" w:right="0" w:firstLine="0"/>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7C8D61CD" w14:textId="27A6D395" w:rsidR="00FC0D61" w:rsidRDefault="00FC0D61" w:rsidP="00DB6303">
            <w:pPr>
              <w:spacing w:after="0" w:line="259" w:lineRule="auto"/>
              <w:ind w:left="0" w:right="47" w:firstLine="0"/>
              <w:jc w:val="center"/>
            </w:pPr>
            <w:r>
              <w:rPr>
                <w:sz w:val="18"/>
              </w:rPr>
              <w:t>X</w:t>
            </w:r>
          </w:p>
        </w:tc>
        <w:tc>
          <w:tcPr>
            <w:tcW w:w="810" w:type="dxa"/>
            <w:tcBorders>
              <w:top w:val="single" w:sz="4" w:space="0" w:color="000000"/>
              <w:left w:val="single" w:sz="12" w:space="0" w:color="000000"/>
              <w:bottom w:val="single" w:sz="4" w:space="0" w:color="000000"/>
              <w:right w:val="single" w:sz="12" w:space="0" w:color="000000"/>
            </w:tcBorders>
            <w:vAlign w:val="center"/>
          </w:tcPr>
          <w:p w14:paraId="56EDF227" w14:textId="460FC455" w:rsidR="00FC0D61" w:rsidRDefault="00FC0D61" w:rsidP="00796C4B">
            <w:pPr>
              <w:spacing w:after="0" w:line="259" w:lineRule="auto"/>
              <w:ind w:left="0" w:right="0" w:firstLine="0"/>
              <w:jc w:val="center"/>
            </w:pPr>
            <w:r>
              <w:rPr>
                <w:sz w:val="18"/>
              </w:rPr>
              <w:t>8270</w:t>
            </w:r>
          </w:p>
        </w:tc>
        <w:tc>
          <w:tcPr>
            <w:tcW w:w="900" w:type="dxa"/>
            <w:tcBorders>
              <w:top w:val="single" w:sz="4" w:space="0" w:color="000000"/>
              <w:left w:val="single" w:sz="12" w:space="0" w:color="000000"/>
              <w:bottom w:val="single" w:sz="4" w:space="0" w:color="000000"/>
              <w:right w:val="single" w:sz="12" w:space="0" w:color="000000"/>
            </w:tcBorders>
            <w:vAlign w:val="center"/>
          </w:tcPr>
          <w:p w14:paraId="016FA59A" w14:textId="65EBDC79" w:rsidR="00FC0D61" w:rsidRDefault="00FC0D61" w:rsidP="00796C4B">
            <w:pPr>
              <w:spacing w:after="0" w:line="259" w:lineRule="auto"/>
              <w:ind w:left="0" w:right="0" w:firstLine="0"/>
              <w:jc w:val="center"/>
            </w:pPr>
          </w:p>
        </w:tc>
      </w:tr>
      <w:tr w:rsidR="00E8392B" w14:paraId="309E6987" w14:textId="77777777" w:rsidTr="005B6604">
        <w:trPr>
          <w:trHeight w:val="252"/>
        </w:trPr>
        <w:tc>
          <w:tcPr>
            <w:tcW w:w="2952" w:type="dxa"/>
            <w:tcBorders>
              <w:top w:val="single" w:sz="4" w:space="0" w:color="000000"/>
              <w:left w:val="single" w:sz="12" w:space="0" w:color="000000"/>
              <w:bottom w:val="single" w:sz="4" w:space="0" w:color="000000"/>
              <w:right w:val="single" w:sz="12" w:space="0" w:color="000000"/>
            </w:tcBorders>
          </w:tcPr>
          <w:p w14:paraId="6F567673" w14:textId="77777777" w:rsidR="00FC0D61" w:rsidRDefault="00FC0D61" w:rsidP="00FC0D61">
            <w:pPr>
              <w:spacing w:after="0" w:line="259" w:lineRule="auto"/>
              <w:ind w:left="0" w:right="0" w:firstLine="0"/>
            </w:pPr>
            <w:r>
              <w:rPr>
                <w:sz w:val="18"/>
              </w:rPr>
              <w:t xml:space="preserve">Maleic anhydride </w:t>
            </w:r>
          </w:p>
        </w:tc>
        <w:tc>
          <w:tcPr>
            <w:tcW w:w="1155" w:type="dxa"/>
            <w:tcBorders>
              <w:top w:val="single" w:sz="4" w:space="0" w:color="000000"/>
              <w:left w:val="single" w:sz="12" w:space="0" w:color="000000"/>
              <w:bottom w:val="single" w:sz="4" w:space="0" w:color="000000"/>
              <w:right w:val="single" w:sz="12" w:space="0" w:color="000000"/>
            </w:tcBorders>
            <w:vAlign w:val="center"/>
          </w:tcPr>
          <w:p w14:paraId="630AFD18" w14:textId="247607DE" w:rsidR="00FC0D61" w:rsidRDefault="00FC0D61" w:rsidP="00E61546">
            <w:pPr>
              <w:spacing w:after="0" w:line="259" w:lineRule="auto"/>
              <w:ind w:left="0" w:right="44" w:firstLine="0"/>
              <w:jc w:val="center"/>
            </w:pPr>
            <w:r>
              <w:rPr>
                <w:sz w:val="18"/>
              </w:rPr>
              <w:t>108-31-6</w:t>
            </w:r>
          </w:p>
        </w:tc>
        <w:tc>
          <w:tcPr>
            <w:tcW w:w="643" w:type="dxa"/>
            <w:tcBorders>
              <w:top w:val="single" w:sz="4" w:space="0" w:color="000000"/>
              <w:left w:val="single" w:sz="12" w:space="0" w:color="000000"/>
              <w:bottom w:val="single" w:sz="4" w:space="0" w:color="000000"/>
              <w:right w:val="single" w:sz="12" w:space="0" w:color="000000"/>
            </w:tcBorders>
            <w:vAlign w:val="center"/>
          </w:tcPr>
          <w:p w14:paraId="379C65C0" w14:textId="5F18976E" w:rsidR="00FC0D61" w:rsidRDefault="00FC0D61" w:rsidP="00796C4B">
            <w:pPr>
              <w:spacing w:after="0" w:line="259" w:lineRule="auto"/>
              <w:ind w:left="0" w:right="0" w:firstLine="0"/>
              <w:jc w:val="center"/>
            </w:pPr>
            <w:r>
              <w:rPr>
                <w:sz w:val="18"/>
              </w:rPr>
              <w:t>N/A</w:t>
            </w:r>
          </w:p>
        </w:tc>
        <w:tc>
          <w:tcPr>
            <w:tcW w:w="726" w:type="dxa"/>
            <w:tcBorders>
              <w:top w:val="single" w:sz="4" w:space="0" w:color="000000"/>
              <w:left w:val="single" w:sz="12" w:space="0" w:color="000000"/>
              <w:bottom w:val="single" w:sz="4" w:space="0" w:color="000000"/>
              <w:right w:val="single" w:sz="12" w:space="0" w:color="000000"/>
            </w:tcBorders>
            <w:vAlign w:val="center"/>
          </w:tcPr>
          <w:p w14:paraId="05F83D09" w14:textId="4D763140" w:rsidR="00FC0D61" w:rsidRDefault="00FC0D61" w:rsidP="00796C4B">
            <w:pPr>
              <w:spacing w:after="0" w:line="259" w:lineRule="auto"/>
              <w:ind w:left="0" w:right="49" w:firstLine="0"/>
              <w:jc w:val="center"/>
            </w:pPr>
            <w:r>
              <w:rPr>
                <w:sz w:val="18"/>
              </w:rPr>
              <w:t>ug/L</w:t>
            </w:r>
          </w:p>
        </w:tc>
        <w:tc>
          <w:tcPr>
            <w:tcW w:w="773" w:type="dxa"/>
            <w:tcBorders>
              <w:top w:val="single" w:sz="4" w:space="0" w:color="000000"/>
              <w:left w:val="single" w:sz="12" w:space="0" w:color="000000"/>
              <w:bottom w:val="single" w:sz="4" w:space="0" w:color="000000"/>
              <w:right w:val="single" w:sz="12" w:space="0" w:color="000000"/>
            </w:tcBorders>
            <w:vAlign w:val="center"/>
          </w:tcPr>
          <w:p w14:paraId="1F4A4449" w14:textId="4A4C395E" w:rsidR="00FC0D61" w:rsidRDefault="00FC0D61" w:rsidP="00796C4B">
            <w:pPr>
              <w:spacing w:after="0" w:line="259" w:lineRule="auto"/>
              <w:ind w:left="0" w:right="42" w:firstLine="0"/>
              <w:jc w:val="center"/>
            </w:pPr>
            <w:r>
              <w:rPr>
                <w:sz w:val="18"/>
              </w:rPr>
              <w:t>3300</w:t>
            </w:r>
          </w:p>
        </w:tc>
        <w:tc>
          <w:tcPr>
            <w:tcW w:w="951" w:type="dxa"/>
            <w:tcBorders>
              <w:top w:val="single" w:sz="4" w:space="0" w:color="000000"/>
              <w:left w:val="single" w:sz="12" w:space="0" w:color="000000"/>
              <w:bottom w:val="single" w:sz="4" w:space="0" w:color="000000"/>
              <w:right w:val="single" w:sz="12" w:space="0" w:color="000000"/>
            </w:tcBorders>
            <w:vAlign w:val="center"/>
          </w:tcPr>
          <w:p w14:paraId="7F2A58F7" w14:textId="2AC9D65C" w:rsidR="00FC0D61" w:rsidRDefault="00FC0D61" w:rsidP="00796C4B">
            <w:pPr>
              <w:spacing w:after="0" w:line="259" w:lineRule="auto"/>
              <w:ind w:left="0" w:right="46" w:firstLine="0"/>
              <w:jc w:val="center"/>
            </w:pPr>
            <w:r>
              <w:rPr>
                <w:rFonts w:eastAsia="Segoe UI Symbol"/>
                <w:sz w:val="18"/>
              </w:rPr>
              <w:t>u</w:t>
            </w:r>
            <w:r>
              <w:rPr>
                <w:sz w:val="18"/>
              </w:rPr>
              <w:t>g/kg</w:t>
            </w:r>
          </w:p>
        </w:tc>
        <w:tc>
          <w:tcPr>
            <w:tcW w:w="630" w:type="dxa"/>
            <w:tcBorders>
              <w:top w:val="single" w:sz="4" w:space="0" w:color="000000"/>
              <w:left w:val="single" w:sz="12" w:space="0" w:color="000000"/>
              <w:bottom w:val="single" w:sz="4" w:space="0" w:color="000000"/>
              <w:right w:val="single" w:sz="12" w:space="0" w:color="000000"/>
            </w:tcBorders>
            <w:vAlign w:val="center"/>
          </w:tcPr>
          <w:p w14:paraId="16A401A1" w14:textId="6941B22C" w:rsidR="00FC0D61" w:rsidRDefault="00FC0D61" w:rsidP="00DB6303">
            <w:pPr>
              <w:spacing w:after="0" w:line="259" w:lineRule="auto"/>
              <w:ind w:left="0" w:right="47" w:firstLine="0"/>
              <w:jc w:val="center"/>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2CDF47BE" w14:textId="185D38D3" w:rsidR="00FC0D61" w:rsidRDefault="00FC0D61" w:rsidP="008F3E2C">
            <w:pPr>
              <w:spacing w:after="0" w:line="259" w:lineRule="auto"/>
              <w:ind w:left="0" w:right="2" w:firstLine="0"/>
              <w:jc w:val="center"/>
            </w:pPr>
          </w:p>
        </w:tc>
        <w:tc>
          <w:tcPr>
            <w:tcW w:w="540" w:type="dxa"/>
            <w:tcBorders>
              <w:top w:val="single" w:sz="4" w:space="0" w:color="000000"/>
              <w:left w:val="single" w:sz="12" w:space="0" w:color="000000"/>
              <w:bottom w:val="single" w:sz="4" w:space="0" w:color="000000"/>
              <w:right w:val="single" w:sz="12" w:space="0" w:color="000000"/>
            </w:tcBorders>
            <w:vAlign w:val="center"/>
          </w:tcPr>
          <w:p w14:paraId="0CD01E17" w14:textId="4B59AD46" w:rsidR="00FC0D61" w:rsidRDefault="00FC0D61" w:rsidP="00DB6303">
            <w:pPr>
              <w:spacing w:after="0" w:line="259" w:lineRule="auto"/>
              <w:ind w:left="0" w:right="2" w:firstLine="0"/>
              <w:jc w:val="center"/>
            </w:pPr>
          </w:p>
        </w:tc>
        <w:tc>
          <w:tcPr>
            <w:tcW w:w="810" w:type="dxa"/>
            <w:tcBorders>
              <w:top w:val="single" w:sz="4" w:space="0" w:color="000000"/>
              <w:left w:val="single" w:sz="12" w:space="0" w:color="000000"/>
              <w:bottom w:val="single" w:sz="4" w:space="0" w:color="000000"/>
              <w:right w:val="single" w:sz="12" w:space="0" w:color="000000"/>
            </w:tcBorders>
            <w:vAlign w:val="center"/>
          </w:tcPr>
          <w:p w14:paraId="271F1892" w14:textId="4A59403A" w:rsidR="00FC0D61" w:rsidRDefault="00FC0D61" w:rsidP="00796C4B">
            <w:pPr>
              <w:spacing w:after="0" w:line="259" w:lineRule="auto"/>
              <w:ind w:left="0" w:right="0" w:firstLine="0"/>
              <w:jc w:val="center"/>
            </w:pPr>
            <w:r>
              <w:rPr>
                <w:sz w:val="18"/>
              </w:rPr>
              <w:t>8270</w:t>
            </w:r>
          </w:p>
        </w:tc>
        <w:tc>
          <w:tcPr>
            <w:tcW w:w="900" w:type="dxa"/>
            <w:tcBorders>
              <w:top w:val="single" w:sz="4" w:space="0" w:color="000000"/>
              <w:left w:val="single" w:sz="12" w:space="0" w:color="000000"/>
              <w:bottom w:val="single" w:sz="4" w:space="0" w:color="000000"/>
              <w:right w:val="single" w:sz="12" w:space="0" w:color="000000"/>
            </w:tcBorders>
            <w:vAlign w:val="center"/>
          </w:tcPr>
          <w:p w14:paraId="6EFE6610" w14:textId="5D01DD31" w:rsidR="00FC0D61" w:rsidRDefault="00FC0D61" w:rsidP="00796C4B">
            <w:pPr>
              <w:spacing w:after="0" w:line="259" w:lineRule="auto"/>
              <w:ind w:left="0" w:right="0" w:firstLine="0"/>
              <w:jc w:val="center"/>
            </w:pPr>
          </w:p>
        </w:tc>
      </w:tr>
      <w:tr w:rsidR="00E8392B" w14:paraId="786810D7" w14:textId="77777777" w:rsidTr="005B6604">
        <w:trPr>
          <w:trHeight w:val="250"/>
        </w:trPr>
        <w:tc>
          <w:tcPr>
            <w:tcW w:w="2952" w:type="dxa"/>
            <w:tcBorders>
              <w:top w:val="single" w:sz="4" w:space="0" w:color="000000"/>
              <w:left w:val="single" w:sz="12" w:space="0" w:color="000000"/>
              <w:bottom w:val="single" w:sz="4" w:space="0" w:color="000000"/>
              <w:right w:val="single" w:sz="12" w:space="0" w:color="000000"/>
            </w:tcBorders>
          </w:tcPr>
          <w:p w14:paraId="4843214E" w14:textId="77777777" w:rsidR="00FC0D61" w:rsidRDefault="00FC0D61" w:rsidP="00FC0D61">
            <w:pPr>
              <w:spacing w:after="0" w:line="259" w:lineRule="auto"/>
              <w:ind w:left="0" w:right="0" w:firstLine="0"/>
            </w:pPr>
            <w:r>
              <w:rPr>
                <w:sz w:val="18"/>
              </w:rPr>
              <w:t xml:space="preserve">Methapyrilene </w:t>
            </w:r>
          </w:p>
        </w:tc>
        <w:tc>
          <w:tcPr>
            <w:tcW w:w="1155" w:type="dxa"/>
            <w:tcBorders>
              <w:top w:val="single" w:sz="4" w:space="0" w:color="000000"/>
              <w:left w:val="single" w:sz="12" w:space="0" w:color="000000"/>
              <w:bottom w:val="single" w:sz="4" w:space="0" w:color="000000"/>
              <w:right w:val="single" w:sz="12" w:space="0" w:color="000000"/>
            </w:tcBorders>
            <w:vAlign w:val="center"/>
          </w:tcPr>
          <w:p w14:paraId="52618F31" w14:textId="2B8F7EC3" w:rsidR="00FC0D61" w:rsidRDefault="00FC0D61" w:rsidP="00E61546">
            <w:pPr>
              <w:spacing w:after="0" w:line="259" w:lineRule="auto"/>
              <w:ind w:left="0" w:right="44" w:firstLine="0"/>
              <w:jc w:val="center"/>
            </w:pPr>
            <w:r>
              <w:rPr>
                <w:sz w:val="18"/>
              </w:rPr>
              <w:t>91-80-5</w:t>
            </w:r>
          </w:p>
        </w:tc>
        <w:tc>
          <w:tcPr>
            <w:tcW w:w="643" w:type="dxa"/>
            <w:tcBorders>
              <w:top w:val="single" w:sz="4" w:space="0" w:color="000000"/>
              <w:left w:val="single" w:sz="12" w:space="0" w:color="000000"/>
              <w:bottom w:val="single" w:sz="4" w:space="0" w:color="000000"/>
              <w:right w:val="single" w:sz="12" w:space="0" w:color="000000"/>
            </w:tcBorders>
            <w:vAlign w:val="center"/>
          </w:tcPr>
          <w:p w14:paraId="03BF2D30" w14:textId="5C83ABA0" w:rsidR="00FC0D61" w:rsidRDefault="00FC0D61" w:rsidP="00796C4B">
            <w:pPr>
              <w:spacing w:after="0" w:line="259" w:lineRule="auto"/>
              <w:ind w:left="0" w:right="0" w:firstLine="0"/>
              <w:jc w:val="center"/>
            </w:pPr>
            <w:r>
              <w:rPr>
                <w:sz w:val="18"/>
              </w:rPr>
              <w:t>100</w:t>
            </w:r>
          </w:p>
        </w:tc>
        <w:tc>
          <w:tcPr>
            <w:tcW w:w="726" w:type="dxa"/>
            <w:tcBorders>
              <w:top w:val="single" w:sz="4" w:space="0" w:color="000000"/>
              <w:left w:val="single" w:sz="12" w:space="0" w:color="000000"/>
              <w:bottom w:val="single" w:sz="4" w:space="0" w:color="000000"/>
              <w:right w:val="single" w:sz="12" w:space="0" w:color="000000"/>
            </w:tcBorders>
            <w:vAlign w:val="center"/>
          </w:tcPr>
          <w:p w14:paraId="58352A81" w14:textId="425BFBF5" w:rsidR="00FC0D61" w:rsidRDefault="00FC0D61" w:rsidP="00796C4B">
            <w:pPr>
              <w:spacing w:after="0" w:line="259" w:lineRule="auto"/>
              <w:ind w:left="0" w:right="49" w:firstLine="0"/>
              <w:jc w:val="center"/>
            </w:pPr>
            <w:r>
              <w:rPr>
                <w:sz w:val="18"/>
              </w:rPr>
              <w:t>ug/L</w:t>
            </w:r>
          </w:p>
        </w:tc>
        <w:tc>
          <w:tcPr>
            <w:tcW w:w="773" w:type="dxa"/>
            <w:tcBorders>
              <w:top w:val="single" w:sz="4" w:space="0" w:color="000000"/>
              <w:left w:val="single" w:sz="12" w:space="0" w:color="000000"/>
              <w:bottom w:val="single" w:sz="4" w:space="0" w:color="000000"/>
              <w:right w:val="single" w:sz="12" w:space="0" w:color="000000"/>
            </w:tcBorders>
            <w:vAlign w:val="center"/>
          </w:tcPr>
          <w:p w14:paraId="0AAC8D2E" w14:textId="5DDDAFE2" w:rsidR="00FC0D61" w:rsidRDefault="00FC0D61" w:rsidP="00796C4B">
            <w:pPr>
              <w:spacing w:after="0" w:line="259" w:lineRule="auto"/>
              <w:ind w:left="0" w:right="42" w:firstLine="0"/>
              <w:jc w:val="center"/>
            </w:pPr>
            <w:r>
              <w:rPr>
                <w:sz w:val="18"/>
              </w:rPr>
              <w:t>6600</w:t>
            </w:r>
          </w:p>
        </w:tc>
        <w:tc>
          <w:tcPr>
            <w:tcW w:w="951" w:type="dxa"/>
            <w:tcBorders>
              <w:top w:val="single" w:sz="4" w:space="0" w:color="000000"/>
              <w:left w:val="single" w:sz="12" w:space="0" w:color="000000"/>
              <w:bottom w:val="single" w:sz="4" w:space="0" w:color="000000"/>
              <w:right w:val="single" w:sz="12" w:space="0" w:color="000000"/>
            </w:tcBorders>
            <w:vAlign w:val="center"/>
          </w:tcPr>
          <w:p w14:paraId="18B0C9EC" w14:textId="54969B1B" w:rsidR="00FC0D61" w:rsidRDefault="00FC0D61" w:rsidP="00796C4B">
            <w:pPr>
              <w:spacing w:after="0" w:line="259" w:lineRule="auto"/>
              <w:ind w:left="0" w:right="46" w:firstLine="0"/>
              <w:jc w:val="center"/>
            </w:pPr>
            <w:r>
              <w:rPr>
                <w:rFonts w:eastAsia="Segoe UI Symbol"/>
                <w:sz w:val="18"/>
              </w:rPr>
              <w:t>u</w:t>
            </w:r>
            <w:r>
              <w:rPr>
                <w:sz w:val="18"/>
              </w:rPr>
              <w:t>g/kg</w:t>
            </w:r>
          </w:p>
        </w:tc>
        <w:tc>
          <w:tcPr>
            <w:tcW w:w="630" w:type="dxa"/>
            <w:tcBorders>
              <w:top w:val="single" w:sz="4" w:space="0" w:color="000000"/>
              <w:left w:val="single" w:sz="12" w:space="0" w:color="000000"/>
              <w:bottom w:val="single" w:sz="4" w:space="0" w:color="000000"/>
              <w:right w:val="single" w:sz="12" w:space="0" w:color="000000"/>
            </w:tcBorders>
            <w:vAlign w:val="center"/>
          </w:tcPr>
          <w:p w14:paraId="513F1CA7" w14:textId="1CB14EB1" w:rsidR="00FC0D61" w:rsidRDefault="00FC0D61" w:rsidP="00DB6303">
            <w:pPr>
              <w:spacing w:after="0" w:line="259" w:lineRule="auto"/>
              <w:ind w:left="0" w:right="47" w:firstLine="0"/>
              <w:jc w:val="center"/>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7D3B1C2A" w14:textId="59248AC1" w:rsidR="00FC0D61" w:rsidRDefault="00FC0D61" w:rsidP="00E8392B">
            <w:pPr>
              <w:spacing w:after="0" w:line="259" w:lineRule="auto"/>
              <w:ind w:left="96" w:right="0" w:firstLine="0"/>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5FB46DDE" w14:textId="69EBFFA1" w:rsidR="00FC0D61" w:rsidRDefault="00FC0D61" w:rsidP="00DB6303">
            <w:pPr>
              <w:spacing w:after="0" w:line="259" w:lineRule="auto"/>
              <w:ind w:left="0" w:right="47" w:firstLine="0"/>
              <w:jc w:val="center"/>
            </w:pPr>
            <w:r>
              <w:rPr>
                <w:sz w:val="18"/>
              </w:rPr>
              <w:t>X</w:t>
            </w:r>
          </w:p>
        </w:tc>
        <w:tc>
          <w:tcPr>
            <w:tcW w:w="810" w:type="dxa"/>
            <w:tcBorders>
              <w:top w:val="single" w:sz="4" w:space="0" w:color="000000"/>
              <w:left w:val="single" w:sz="12" w:space="0" w:color="000000"/>
              <w:bottom w:val="single" w:sz="4" w:space="0" w:color="000000"/>
              <w:right w:val="single" w:sz="12" w:space="0" w:color="000000"/>
            </w:tcBorders>
            <w:vAlign w:val="center"/>
          </w:tcPr>
          <w:p w14:paraId="27E7CC2B" w14:textId="1DBAA473" w:rsidR="00FC0D61" w:rsidRDefault="00FC0D61" w:rsidP="00796C4B">
            <w:pPr>
              <w:spacing w:after="0" w:line="259" w:lineRule="auto"/>
              <w:ind w:left="0" w:right="0" w:firstLine="0"/>
              <w:jc w:val="center"/>
            </w:pPr>
            <w:r>
              <w:rPr>
                <w:sz w:val="18"/>
              </w:rPr>
              <w:t>8270</w:t>
            </w:r>
          </w:p>
        </w:tc>
        <w:tc>
          <w:tcPr>
            <w:tcW w:w="900" w:type="dxa"/>
            <w:tcBorders>
              <w:top w:val="single" w:sz="4" w:space="0" w:color="000000"/>
              <w:left w:val="single" w:sz="12" w:space="0" w:color="000000"/>
              <w:bottom w:val="single" w:sz="4" w:space="0" w:color="000000"/>
              <w:right w:val="single" w:sz="12" w:space="0" w:color="000000"/>
            </w:tcBorders>
            <w:vAlign w:val="center"/>
          </w:tcPr>
          <w:p w14:paraId="02906464" w14:textId="1C4384E7" w:rsidR="00FC0D61" w:rsidRDefault="00FC0D61" w:rsidP="00796C4B">
            <w:pPr>
              <w:spacing w:after="0" w:line="259" w:lineRule="auto"/>
              <w:ind w:left="0" w:right="0" w:firstLine="0"/>
              <w:jc w:val="center"/>
            </w:pPr>
          </w:p>
        </w:tc>
      </w:tr>
      <w:tr w:rsidR="00E8392B" w14:paraId="0A0EF883" w14:textId="77777777" w:rsidTr="005B6604">
        <w:trPr>
          <w:trHeight w:val="250"/>
        </w:trPr>
        <w:tc>
          <w:tcPr>
            <w:tcW w:w="2952" w:type="dxa"/>
            <w:tcBorders>
              <w:top w:val="single" w:sz="4" w:space="0" w:color="000000"/>
              <w:left w:val="single" w:sz="12" w:space="0" w:color="000000"/>
              <w:bottom w:val="single" w:sz="4" w:space="0" w:color="000000"/>
              <w:right w:val="single" w:sz="12" w:space="0" w:color="000000"/>
            </w:tcBorders>
          </w:tcPr>
          <w:p w14:paraId="4B5AF102" w14:textId="77777777" w:rsidR="00FC0D61" w:rsidRDefault="00FC0D61" w:rsidP="00FC0D61">
            <w:pPr>
              <w:spacing w:after="0" w:line="259" w:lineRule="auto"/>
              <w:ind w:left="0" w:right="0" w:firstLine="0"/>
            </w:pPr>
            <w:r>
              <w:rPr>
                <w:sz w:val="18"/>
              </w:rPr>
              <w:t xml:space="preserve">3-Methylcholanthrene  </w:t>
            </w:r>
          </w:p>
        </w:tc>
        <w:tc>
          <w:tcPr>
            <w:tcW w:w="1155" w:type="dxa"/>
            <w:tcBorders>
              <w:top w:val="single" w:sz="4" w:space="0" w:color="000000"/>
              <w:left w:val="single" w:sz="12" w:space="0" w:color="000000"/>
              <w:bottom w:val="single" w:sz="4" w:space="0" w:color="000000"/>
              <w:right w:val="single" w:sz="12" w:space="0" w:color="000000"/>
            </w:tcBorders>
            <w:vAlign w:val="center"/>
          </w:tcPr>
          <w:p w14:paraId="7ADCAFAB" w14:textId="654E6370" w:rsidR="00FC0D61" w:rsidRDefault="00FC0D61" w:rsidP="00E61546">
            <w:pPr>
              <w:spacing w:after="0" w:line="259" w:lineRule="auto"/>
              <w:ind w:left="0" w:right="44" w:firstLine="0"/>
              <w:jc w:val="center"/>
            </w:pPr>
            <w:r>
              <w:rPr>
                <w:sz w:val="18"/>
              </w:rPr>
              <w:t>56-49-5</w:t>
            </w:r>
          </w:p>
        </w:tc>
        <w:tc>
          <w:tcPr>
            <w:tcW w:w="643" w:type="dxa"/>
            <w:tcBorders>
              <w:top w:val="single" w:sz="4" w:space="0" w:color="000000"/>
              <w:left w:val="single" w:sz="12" w:space="0" w:color="000000"/>
              <w:bottom w:val="single" w:sz="4" w:space="0" w:color="000000"/>
              <w:right w:val="single" w:sz="12" w:space="0" w:color="000000"/>
            </w:tcBorders>
            <w:vAlign w:val="center"/>
          </w:tcPr>
          <w:p w14:paraId="7F4C1A12" w14:textId="252B7855" w:rsidR="00FC0D61" w:rsidRDefault="00FC0D61" w:rsidP="00796C4B">
            <w:pPr>
              <w:spacing w:after="0" w:line="259" w:lineRule="auto"/>
              <w:ind w:left="0" w:right="0" w:firstLine="0"/>
              <w:jc w:val="center"/>
            </w:pPr>
            <w:r>
              <w:rPr>
                <w:sz w:val="18"/>
              </w:rPr>
              <w:t>10</w:t>
            </w:r>
          </w:p>
        </w:tc>
        <w:tc>
          <w:tcPr>
            <w:tcW w:w="726" w:type="dxa"/>
            <w:tcBorders>
              <w:top w:val="single" w:sz="4" w:space="0" w:color="000000"/>
              <w:left w:val="single" w:sz="12" w:space="0" w:color="000000"/>
              <w:bottom w:val="single" w:sz="4" w:space="0" w:color="000000"/>
              <w:right w:val="single" w:sz="12" w:space="0" w:color="000000"/>
            </w:tcBorders>
            <w:vAlign w:val="center"/>
          </w:tcPr>
          <w:p w14:paraId="2591148F" w14:textId="0FB41FE3" w:rsidR="00FC0D61" w:rsidRDefault="00FC0D61" w:rsidP="00796C4B">
            <w:pPr>
              <w:spacing w:after="0" w:line="259" w:lineRule="auto"/>
              <w:ind w:left="0" w:right="49" w:firstLine="0"/>
              <w:jc w:val="center"/>
            </w:pPr>
            <w:r>
              <w:rPr>
                <w:sz w:val="18"/>
              </w:rPr>
              <w:t>ug/L</w:t>
            </w:r>
          </w:p>
        </w:tc>
        <w:tc>
          <w:tcPr>
            <w:tcW w:w="773" w:type="dxa"/>
            <w:tcBorders>
              <w:top w:val="single" w:sz="4" w:space="0" w:color="000000"/>
              <w:left w:val="single" w:sz="12" w:space="0" w:color="000000"/>
              <w:bottom w:val="single" w:sz="4" w:space="0" w:color="000000"/>
              <w:right w:val="single" w:sz="12" w:space="0" w:color="000000"/>
            </w:tcBorders>
            <w:vAlign w:val="center"/>
          </w:tcPr>
          <w:p w14:paraId="49CE7AB4" w14:textId="599D2CFD" w:rsidR="00FC0D61" w:rsidRDefault="00FC0D61" w:rsidP="00796C4B">
            <w:pPr>
              <w:spacing w:after="0" w:line="259" w:lineRule="auto"/>
              <w:ind w:left="0" w:right="41" w:firstLine="0"/>
              <w:jc w:val="center"/>
            </w:pPr>
            <w:r>
              <w:rPr>
                <w:sz w:val="18"/>
              </w:rPr>
              <w:t>660</w:t>
            </w:r>
          </w:p>
        </w:tc>
        <w:tc>
          <w:tcPr>
            <w:tcW w:w="951" w:type="dxa"/>
            <w:tcBorders>
              <w:top w:val="single" w:sz="4" w:space="0" w:color="000000"/>
              <w:left w:val="single" w:sz="12" w:space="0" w:color="000000"/>
              <w:bottom w:val="single" w:sz="4" w:space="0" w:color="000000"/>
              <w:right w:val="single" w:sz="12" w:space="0" w:color="000000"/>
            </w:tcBorders>
            <w:vAlign w:val="center"/>
          </w:tcPr>
          <w:p w14:paraId="1146338B" w14:textId="5C088584" w:rsidR="00FC0D61" w:rsidRDefault="00FC0D61" w:rsidP="00796C4B">
            <w:pPr>
              <w:spacing w:after="0" w:line="259" w:lineRule="auto"/>
              <w:ind w:left="0" w:right="46" w:firstLine="0"/>
              <w:jc w:val="center"/>
            </w:pPr>
            <w:r>
              <w:rPr>
                <w:rFonts w:eastAsia="Segoe UI Symbol"/>
                <w:sz w:val="18"/>
              </w:rPr>
              <w:t>u</w:t>
            </w:r>
            <w:r>
              <w:rPr>
                <w:sz w:val="18"/>
              </w:rPr>
              <w:t>g/kg</w:t>
            </w:r>
          </w:p>
        </w:tc>
        <w:tc>
          <w:tcPr>
            <w:tcW w:w="630" w:type="dxa"/>
            <w:tcBorders>
              <w:top w:val="single" w:sz="4" w:space="0" w:color="000000"/>
              <w:left w:val="single" w:sz="12" w:space="0" w:color="000000"/>
              <w:bottom w:val="single" w:sz="4" w:space="0" w:color="000000"/>
              <w:right w:val="single" w:sz="12" w:space="0" w:color="000000"/>
            </w:tcBorders>
            <w:vAlign w:val="center"/>
          </w:tcPr>
          <w:p w14:paraId="4D342167" w14:textId="7DD3DD0B" w:rsidR="00FC0D61" w:rsidRDefault="00FC0D61" w:rsidP="00DB6303">
            <w:pPr>
              <w:spacing w:after="0" w:line="259" w:lineRule="auto"/>
              <w:ind w:left="0" w:right="47" w:firstLine="0"/>
              <w:jc w:val="center"/>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63F25850" w14:textId="43D3E7DB" w:rsidR="00FC0D61" w:rsidRDefault="00FC0D61" w:rsidP="00E8392B">
            <w:pPr>
              <w:spacing w:after="0" w:line="259" w:lineRule="auto"/>
              <w:ind w:left="96" w:right="0" w:firstLine="0"/>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6332E47B" w14:textId="337295F3" w:rsidR="00FC0D61" w:rsidRDefault="00FC0D61" w:rsidP="00DB6303">
            <w:pPr>
              <w:spacing w:after="0" w:line="259" w:lineRule="auto"/>
              <w:ind w:left="0" w:right="47" w:firstLine="0"/>
              <w:jc w:val="center"/>
            </w:pPr>
            <w:r>
              <w:rPr>
                <w:sz w:val="18"/>
              </w:rPr>
              <w:t>X</w:t>
            </w:r>
          </w:p>
        </w:tc>
        <w:tc>
          <w:tcPr>
            <w:tcW w:w="810" w:type="dxa"/>
            <w:tcBorders>
              <w:top w:val="single" w:sz="4" w:space="0" w:color="000000"/>
              <w:left w:val="single" w:sz="12" w:space="0" w:color="000000"/>
              <w:bottom w:val="single" w:sz="4" w:space="0" w:color="000000"/>
              <w:right w:val="single" w:sz="12" w:space="0" w:color="000000"/>
            </w:tcBorders>
            <w:vAlign w:val="center"/>
          </w:tcPr>
          <w:p w14:paraId="32742058" w14:textId="4DEF5981" w:rsidR="00FC0D61" w:rsidRDefault="00FC0D61" w:rsidP="00796C4B">
            <w:pPr>
              <w:spacing w:after="0" w:line="259" w:lineRule="auto"/>
              <w:ind w:left="0" w:right="0" w:firstLine="0"/>
              <w:jc w:val="center"/>
            </w:pPr>
            <w:r>
              <w:rPr>
                <w:sz w:val="18"/>
              </w:rPr>
              <w:t>8270</w:t>
            </w:r>
          </w:p>
        </w:tc>
        <w:tc>
          <w:tcPr>
            <w:tcW w:w="900" w:type="dxa"/>
            <w:tcBorders>
              <w:top w:val="single" w:sz="4" w:space="0" w:color="000000"/>
              <w:left w:val="single" w:sz="12" w:space="0" w:color="000000"/>
              <w:bottom w:val="single" w:sz="4" w:space="0" w:color="000000"/>
              <w:right w:val="single" w:sz="12" w:space="0" w:color="000000"/>
            </w:tcBorders>
            <w:vAlign w:val="center"/>
          </w:tcPr>
          <w:p w14:paraId="2C09ABC2" w14:textId="7249759D" w:rsidR="00FC0D61" w:rsidRDefault="00FC0D61" w:rsidP="00796C4B">
            <w:pPr>
              <w:spacing w:after="0" w:line="259" w:lineRule="auto"/>
              <w:ind w:left="0" w:right="0" w:firstLine="0"/>
              <w:jc w:val="center"/>
            </w:pPr>
          </w:p>
        </w:tc>
      </w:tr>
      <w:tr w:rsidR="00E8392B" w14:paraId="1FC8267D" w14:textId="77777777" w:rsidTr="005B6604">
        <w:trPr>
          <w:trHeight w:val="250"/>
        </w:trPr>
        <w:tc>
          <w:tcPr>
            <w:tcW w:w="2952" w:type="dxa"/>
            <w:tcBorders>
              <w:top w:val="single" w:sz="4" w:space="0" w:color="000000"/>
              <w:left w:val="single" w:sz="12" w:space="0" w:color="000000"/>
              <w:bottom w:val="single" w:sz="4" w:space="0" w:color="000000"/>
              <w:right w:val="single" w:sz="12" w:space="0" w:color="000000"/>
            </w:tcBorders>
          </w:tcPr>
          <w:p w14:paraId="7B60748E" w14:textId="77777777" w:rsidR="00FC0D61" w:rsidRDefault="00FC0D61" w:rsidP="00FC0D61">
            <w:pPr>
              <w:spacing w:after="0" w:line="259" w:lineRule="auto"/>
              <w:ind w:left="0" w:right="0" w:firstLine="0"/>
            </w:pPr>
            <w:r>
              <w:rPr>
                <w:sz w:val="18"/>
              </w:rPr>
              <w:t xml:space="preserve">4,4’-Methylenebis(2-chloroaniline) </w:t>
            </w:r>
          </w:p>
        </w:tc>
        <w:tc>
          <w:tcPr>
            <w:tcW w:w="1155" w:type="dxa"/>
            <w:tcBorders>
              <w:top w:val="single" w:sz="4" w:space="0" w:color="000000"/>
              <w:left w:val="single" w:sz="12" w:space="0" w:color="000000"/>
              <w:bottom w:val="single" w:sz="4" w:space="0" w:color="000000"/>
              <w:right w:val="single" w:sz="12" w:space="0" w:color="000000"/>
            </w:tcBorders>
            <w:vAlign w:val="center"/>
          </w:tcPr>
          <w:p w14:paraId="3E6469EA" w14:textId="0731FA61" w:rsidR="00FC0D61" w:rsidRDefault="00FC0D61" w:rsidP="00E61546">
            <w:pPr>
              <w:spacing w:after="0" w:line="259" w:lineRule="auto"/>
              <w:ind w:left="0" w:right="44" w:firstLine="0"/>
              <w:jc w:val="center"/>
            </w:pPr>
            <w:r>
              <w:rPr>
                <w:sz w:val="18"/>
              </w:rPr>
              <w:t>101-14-4</w:t>
            </w:r>
          </w:p>
        </w:tc>
        <w:tc>
          <w:tcPr>
            <w:tcW w:w="643" w:type="dxa"/>
            <w:tcBorders>
              <w:top w:val="single" w:sz="4" w:space="0" w:color="000000"/>
              <w:left w:val="single" w:sz="12" w:space="0" w:color="000000"/>
              <w:bottom w:val="single" w:sz="4" w:space="0" w:color="000000"/>
              <w:right w:val="single" w:sz="12" w:space="0" w:color="000000"/>
            </w:tcBorders>
            <w:vAlign w:val="center"/>
          </w:tcPr>
          <w:p w14:paraId="2D401970" w14:textId="235F15E9" w:rsidR="00FC0D61" w:rsidRDefault="00FC0D61" w:rsidP="00796C4B">
            <w:pPr>
              <w:spacing w:after="0" w:line="259" w:lineRule="auto"/>
              <w:ind w:left="0" w:right="0" w:firstLine="0"/>
              <w:jc w:val="center"/>
            </w:pPr>
            <w:r>
              <w:rPr>
                <w:sz w:val="18"/>
              </w:rPr>
              <w:t>N/A</w:t>
            </w:r>
          </w:p>
        </w:tc>
        <w:tc>
          <w:tcPr>
            <w:tcW w:w="726" w:type="dxa"/>
            <w:tcBorders>
              <w:top w:val="single" w:sz="4" w:space="0" w:color="000000"/>
              <w:left w:val="single" w:sz="12" w:space="0" w:color="000000"/>
              <w:bottom w:val="single" w:sz="4" w:space="0" w:color="000000"/>
              <w:right w:val="single" w:sz="12" w:space="0" w:color="000000"/>
            </w:tcBorders>
            <w:vAlign w:val="center"/>
          </w:tcPr>
          <w:p w14:paraId="0F1CB8F4" w14:textId="11D847BD" w:rsidR="00FC0D61" w:rsidRDefault="00FC0D61" w:rsidP="00796C4B">
            <w:pPr>
              <w:spacing w:after="0" w:line="259" w:lineRule="auto"/>
              <w:ind w:left="0" w:right="49" w:firstLine="0"/>
              <w:jc w:val="center"/>
            </w:pPr>
            <w:r>
              <w:rPr>
                <w:sz w:val="18"/>
              </w:rPr>
              <w:t>ug/L</w:t>
            </w:r>
          </w:p>
        </w:tc>
        <w:tc>
          <w:tcPr>
            <w:tcW w:w="773" w:type="dxa"/>
            <w:tcBorders>
              <w:top w:val="single" w:sz="4" w:space="0" w:color="000000"/>
              <w:left w:val="single" w:sz="12" w:space="0" w:color="000000"/>
              <w:bottom w:val="single" w:sz="4" w:space="0" w:color="000000"/>
              <w:right w:val="single" w:sz="12" w:space="0" w:color="000000"/>
            </w:tcBorders>
            <w:vAlign w:val="center"/>
          </w:tcPr>
          <w:p w14:paraId="5BF02542" w14:textId="3144EB10" w:rsidR="00FC0D61" w:rsidRDefault="00FC0D61" w:rsidP="00796C4B">
            <w:pPr>
              <w:spacing w:after="0" w:line="259" w:lineRule="auto"/>
              <w:ind w:left="0" w:right="42" w:firstLine="0"/>
              <w:jc w:val="center"/>
            </w:pPr>
            <w:r>
              <w:rPr>
                <w:sz w:val="18"/>
              </w:rPr>
              <w:t>3300</w:t>
            </w:r>
          </w:p>
        </w:tc>
        <w:tc>
          <w:tcPr>
            <w:tcW w:w="951" w:type="dxa"/>
            <w:tcBorders>
              <w:top w:val="single" w:sz="4" w:space="0" w:color="000000"/>
              <w:left w:val="single" w:sz="12" w:space="0" w:color="000000"/>
              <w:bottom w:val="single" w:sz="4" w:space="0" w:color="000000"/>
              <w:right w:val="single" w:sz="12" w:space="0" w:color="000000"/>
            </w:tcBorders>
            <w:vAlign w:val="center"/>
          </w:tcPr>
          <w:p w14:paraId="26D22CCB" w14:textId="3BFA90A4" w:rsidR="00FC0D61" w:rsidRDefault="00FC0D61" w:rsidP="00796C4B">
            <w:pPr>
              <w:spacing w:after="0" w:line="259" w:lineRule="auto"/>
              <w:ind w:left="0" w:right="46" w:firstLine="0"/>
              <w:jc w:val="center"/>
            </w:pPr>
            <w:r>
              <w:rPr>
                <w:rFonts w:eastAsia="Segoe UI Symbol"/>
                <w:sz w:val="18"/>
              </w:rPr>
              <w:t>u</w:t>
            </w:r>
            <w:r>
              <w:rPr>
                <w:sz w:val="18"/>
              </w:rPr>
              <w:t>g/kg</w:t>
            </w:r>
          </w:p>
        </w:tc>
        <w:tc>
          <w:tcPr>
            <w:tcW w:w="630" w:type="dxa"/>
            <w:tcBorders>
              <w:top w:val="single" w:sz="4" w:space="0" w:color="000000"/>
              <w:left w:val="single" w:sz="12" w:space="0" w:color="000000"/>
              <w:bottom w:val="single" w:sz="4" w:space="0" w:color="000000"/>
              <w:right w:val="single" w:sz="12" w:space="0" w:color="000000"/>
            </w:tcBorders>
            <w:vAlign w:val="center"/>
          </w:tcPr>
          <w:p w14:paraId="680D3D16" w14:textId="168BB687" w:rsidR="00FC0D61" w:rsidRDefault="00FC0D61" w:rsidP="00DB6303">
            <w:pPr>
              <w:spacing w:after="0" w:line="259" w:lineRule="auto"/>
              <w:ind w:left="0" w:right="47" w:firstLine="0"/>
              <w:jc w:val="center"/>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5EED70EC" w14:textId="08E60F72" w:rsidR="00FC0D61" w:rsidRDefault="00FC0D61" w:rsidP="008F3E2C">
            <w:pPr>
              <w:spacing w:after="0" w:line="259" w:lineRule="auto"/>
              <w:ind w:left="0" w:right="2" w:firstLine="0"/>
              <w:jc w:val="center"/>
            </w:pPr>
          </w:p>
        </w:tc>
        <w:tc>
          <w:tcPr>
            <w:tcW w:w="540" w:type="dxa"/>
            <w:tcBorders>
              <w:top w:val="single" w:sz="4" w:space="0" w:color="000000"/>
              <w:left w:val="single" w:sz="12" w:space="0" w:color="000000"/>
              <w:bottom w:val="single" w:sz="4" w:space="0" w:color="000000"/>
              <w:right w:val="single" w:sz="12" w:space="0" w:color="000000"/>
            </w:tcBorders>
            <w:vAlign w:val="center"/>
          </w:tcPr>
          <w:p w14:paraId="5611F835" w14:textId="7CEB36F1" w:rsidR="00FC0D61" w:rsidRDefault="00FC0D61" w:rsidP="00DB6303">
            <w:pPr>
              <w:spacing w:after="0" w:line="259" w:lineRule="auto"/>
              <w:ind w:left="0" w:right="2" w:firstLine="0"/>
              <w:jc w:val="center"/>
            </w:pPr>
          </w:p>
        </w:tc>
        <w:tc>
          <w:tcPr>
            <w:tcW w:w="810" w:type="dxa"/>
            <w:tcBorders>
              <w:top w:val="single" w:sz="4" w:space="0" w:color="000000"/>
              <w:left w:val="single" w:sz="12" w:space="0" w:color="000000"/>
              <w:bottom w:val="single" w:sz="4" w:space="0" w:color="000000"/>
              <w:right w:val="single" w:sz="12" w:space="0" w:color="000000"/>
            </w:tcBorders>
            <w:vAlign w:val="center"/>
          </w:tcPr>
          <w:p w14:paraId="0A6BE75E" w14:textId="66A7B409" w:rsidR="00FC0D61" w:rsidRDefault="00FC0D61" w:rsidP="00796C4B">
            <w:pPr>
              <w:spacing w:after="0" w:line="259" w:lineRule="auto"/>
              <w:ind w:left="0" w:right="0" w:firstLine="0"/>
              <w:jc w:val="center"/>
            </w:pPr>
            <w:r>
              <w:rPr>
                <w:sz w:val="18"/>
              </w:rPr>
              <w:t>8270</w:t>
            </w:r>
          </w:p>
        </w:tc>
        <w:tc>
          <w:tcPr>
            <w:tcW w:w="900" w:type="dxa"/>
            <w:tcBorders>
              <w:top w:val="single" w:sz="4" w:space="0" w:color="000000"/>
              <w:left w:val="single" w:sz="12" w:space="0" w:color="000000"/>
              <w:bottom w:val="single" w:sz="4" w:space="0" w:color="000000"/>
              <w:right w:val="single" w:sz="12" w:space="0" w:color="000000"/>
            </w:tcBorders>
            <w:vAlign w:val="center"/>
          </w:tcPr>
          <w:p w14:paraId="6897BA04" w14:textId="4AB29A1B" w:rsidR="00FC0D61" w:rsidRDefault="00FC0D61" w:rsidP="00796C4B">
            <w:pPr>
              <w:spacing w:after="0" w:line="259" w:lineRule="auto"/>
              <w:ind w:left="0" w:right="0" w:firstLine="0"/>
              <w:jc w:val="center"/>
            </w:pPr>
          </w:p>
        </w:tc>
      </w:tr>
      <w:tr w:rsidR="00E8392B" w14:paraId="39111468" w14:textId="77777777" w:rsidTr="005B6604">
        <w:trPr>
          <w:trHeight w:val="250"/>
        </w:trPr>
        <w:tc>
          <w:tcPr>
            <w:tcW w:w="2952" w:type="dxa"/>
            <w:tcBorders>
              <w:top w:val="single" w:sz="4" w:space="0" w:color="000000"/>
              <w:left w:val="single" w:sz="12" w:space="0" w:color="000000"/>
              <w:bottom w:val="single" w:sz="4" w:space="0" w:color="000000"/>
              <w:right w:val="single" w:sz="12" w:space="0" w:color="000000"/>
            </w:tcBorders>
          </w:tcPr>
          <w:p w14:paraId="5C7946A0" w14:textId="77777777" w:rsidR="00FC0D61" w:rsidRDefault="00FC0D61" w:rsidP="00FC0D61">
            <w:pPr>
              <w:spacing w:after="0" w:line="259" w:lineRule="auto"/>
              <w:ind w:left="0" w:right="0" w:firstLine="0"/>
            </w:pPr>
            <w:r>
              <w:rPr>
                <w:sz w:val="18"/>
              </w:rPr>
              <w:t xml:space="preserve">Methyl </w:t>
            </w:r>
            <w:proofErr w:type="spellStart"/>
            <w:r>
              <w:rPr>
                <w:sz w:val="18"/>
              </w:rPr>
              <w:t>methanesulfonate</w:t>
            </w:r>
            <w:proofErr w:type="spellEnd"/>
            <w:r>
              <w:rPr>
                <w:sz w:val="18"/>
              </w:rPr>
              <w:t xml:space="preserve"> </w:t>
            </w:r>
          </w:p>
        </w:tc>
        <w:tc>
          <w:tcPr>
            <w:tcW w:w="1155" w:type="dxa"/>
            <w:tcBorders>
              <w:top w:val="single" w:sz="4" w:space="0" w:color="000000"/>
              <w:left w:val="single" w:sz="12" w:space="0" w:color="000000"/>
              <w:bottom w:val="single" w:sz="4" w:space="0" w:color="000000"/>
              <w:right w:val="single" w:sz="12" w:space="0" w:color="000000"/>
            </w:tcBorders>
            <w:vAlign w:val="center"/>
          </w:tcPr>
          <w:p w14:paraId="33975153" w14:textId="40CED9AC" w:rsidR="00FC0D61" w:rsidRDefault="00FC0D61" w:rsidP="00E61546">
            <w:pPr>
              <w:spacing w:after="0" w:line="259" w:lineRule="auto"/>
              <w:ind w:left="0" w:right="44" w:firstLine="0"/>
              <w:jc w:val="center"/>
            </w:pPr>
            <w:r>
              <w:rPr>
                <w:sz w:val="18"/>
              </w:rPr>
              <w:t>66-27-3</w:t>
            </w:r>
          </w:p>
        </w:tc>
        <w:tc>
          <w:tcPr>
            <w:tcW w:w="643" w:type="dxa"/>
            <w:tcBorders>
              <w:top w:val="single" w:sz="4" w:space="0" w:color="000000"/>
              <w:left w:val="single" w:sz="12" w:space="0" w:color="000000"/>
              <w:bottom w:val="single" w:sz="4" w:space="0" w:color="000000"/>
              <w:right w:val="single" w:sz="12" w:space="0" w:color="000000"/>
            </w:tcBorders>
            <w:vAlign w:val="center"/>
          </w:tcPr>
          <w:p w14:paraId="4F17B7E4" w14:textId="31B89742" w:rsidR="00FC0D61" w:rsidRDefault="00FC0D61" w:rsidP="00796C4B">
            <w:pPr>
              <w:spacing w:after="0" w:line="259" w:lineRule="auto"/>
              <w:ind w:left="0" w:right="0" w:firstLine="0"/>
              <w:jc w:val="center"/>
            </w:pPr>
            <w:r>
              <w:rPr>
                <w:sz w:val="18"/>
              </w:rPr>
              <w:t>10</w:t>
            </w:r>
          </w:p>
        </w:tc>
        <w:tc>
          <w:tcPr>
            <w:tcW w:w="726" w:type="dxa"/>
            <w:tcBorders>
              <w:top w:val="single" w:sz="4" w:space="0" w:color="000000"/>
              <w:left w:val="single" w:sz="12" w:space="0" w:color="000000"/>
              <w:bottom w:val="single" w:sz="4" w:space="0" w:color="000000"/>
              <w:right w:val="single" w:sz="12" w:space="0" w:color="000000"/>
            </w:tcBorders>
            <w:vAlign w:val="center"/>
          </w:tcPr>
          <w:p w14:paraId="5BF67E64" w14:textId="118F9752" w:rsidR="00FC0D61" w:rsidRDefault="00FC0D61" w:rsidP="00796C4B">
            <w:pPr>
              <w:spacing w:after="0" w:line="259" w:lineRule="auto"/>
              <w:ind w:left="0" w:right="49" w:firstLine="0"/>
              <w:jc w:val="center"/>
            </w:pPr>
            <w:r>
              <w:rPr>
                <w:sz w:val="18"/>
              </w:rPr>
              <w:t>ug/L</w:t>
            </w:r>
          </w:p>
        </w:tc>
        <w:tc>
          <w:tcPr>
            <w:tcW w:w="773" w:type="dxa"/>
            <w:tcBorders>
              <w:top w:val="single" w:sz="4" w:space="0" w:color="000000"/>
              <w:left w:val="single" w:sz="12" w:space="0" w:color="000000"/>
              <w:bottom w:val="single" w:sz="4" w:space="0" w:color="000000"/>
              <w:right w:val="single" w:sz="12" w:space="0" w:color="000000"/>
            </w:tcBorders>
            <w:vAlign w:val="center"/>
          </w:tcPr>
          <w:p w14:paraId="1A5BB6FE" w14:textId="1ED49029" w:rsidR="00FC0D61" w:rsidRDefault="00FC0D61" w:rsidP="00796C4B">
            <w:pPr>
              <w:spacing w:after="0" w:line="259" w:lineRule="auto"/>
              <w:ind w:left="0" w:right="41" w:firstLine="0"/>
              <w:jc w:val="center"/>
            </w:pPr>
            <w:r>
              <w:rPr>
                <w:sz w:val="18"/>
              </w:rPr>
              <w:t>660</w:t>
            </w:r>
          </w:p>
        </w:tc>
        <w:tc>
          <w:tcPr>
            <w:tcW w:w="951" w:type="dxa"/>
            <w:tcBorders>
              <w:top w:val="single" w:sz="4" w:space="0" w:color="000000"/>
              <w:left w:val="single" w:sz="12" w:space="0" w:color="000000"/>
              <w:bottom w:val="single" w:sz="4" w:space="0" w:color="000000"/>
              <w:right w:val="single" w:sz="12" w:space="0" w:color="000000"/>
            </w:tcBorders>
            <w:vAlign w:val="center"/>
          </w:tcPr>
          <w:p w14:paraId="4B8800FE" w14:textId="5BAB3BA0" w:rsidR="00FC0D61" w:rsidRDefault="00FC0D61" w:rsidP="00796C4B">
            <w:pPr>
              <w:spacing w:after="0" w:line="259" w:lineRule="auto"/>
              <w:ind w:left="0" w:right="46" w:firstLine="0"/>
              <w:jc w:val="center"/>
            </w:pPr>
            <w:r>
              <w:rPr>
                <w:rFonts w:eastAsia="Segoe UI Symbol"/>
                <w:sz w:val="18"/>
              </w:rPr>
              <w:t>u</w:t>
            </w:r>
            <w:r>
              <w:rPr>
                <w:sz w:val="18"/>
              </w:rPr>
              <w:t>g/kg</w:t>
            </w:r>
          </w:p>
        </w:tc>
        <w:tc>
          <w:tcPr>
            <w:tcW w:w="630" w:type="dxa"/>
            <w:tcBorders>
              <w:top w:val="single" w:sz="4" w:space="0" w:color="000000"/>
              <w:left w:val="single" w:sz="12" w:space="0" w:color="000000"/>
              <w:bottom w:val="single" w:sz="4" w:space="0" w:color="000000"/>
              <w:right w:val="single" w:sz="12" w:space="0" w:color="000000"/>
            </w:tcBorders>
            <w:vAlign w:val="center"/>
          </w:tcPr>
          <w:p w14:paraId="3B9AFE7E" w14:textId="531B54F2" w:rsidR="00FC0D61" w:rsidRDefault="00FC0D61" w:rsidP="00DB6303">
            <w:pPr>
              <w:spacing w:after="0" w:line="259" w:lineRule="auto"/>
              <w:ind w:left="0" w:right="47" w:firstLine="0"/>
              <w:jc w:val="center"/>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44220908" w14:textId="5A96B05D" w:rsidR="00FC0D61" w:rsidRDefault="00FC0D61" w:rsidP="00E8392B">
            <w:pPr>
              <w:spacing w:after="0" w:line="259" w:lineRule="auto"/>
              <w:ind w:left="96" w:right="0" w:firstLine="0"/>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68C148E7" w14:textId="61F8C191" w:rsidR="00FC0D61" w:rsidRDefault="00FC0D61" w:rsidP="00DB6303">
            <w:pPr>
              <w:spacing w:after="0" w:line="259" w:lineRule="auto"/>
              <w:ind w:left="0" w:right="47" w:firstLine="0"/>
              <w:jc w:val="center"/>
            </w:pPr>
            <w:r>
              <w:rPr>
                <w:sz w:val="18"/>
              </w:rPr>
              <w:t>X</w:t>
            </w:r>
          </w:p>
        </w:tc>
        <w:tc>
          <w:tcPr>
            <w:tcW w:w="810" w:type="dxa"/>
            <w:tcBorders>
              <w:top w:val="single" w:sz="4" w:space="0" w:color="000000"/>
              <w:left w:val="single" w:sz="12" w:space="0" w:color="000000"/>
              <w:bottom w:val="single" w:sz="4" w:space="0" w:color="000000"/>
              <w:right w:val="single" w:sz="12" w:space="0" w:color="000000"/>
            </w:tcBorders>
            <w:vAlign w:val="center"/>
          </w:tcPr>
          <w:p w14:paraId="5A16AD51" w14:textId="1F26B317" w:rsidR="00FC0D61" w:rsidRDefault="00FC0D61" w:rsidP="00796C4B">
            <w:pPr>
              <w:spacing w:after="0" w:line="259" w:lineRule="auto"/>
              <w:ind w:left="0" w:right="0" w:firstLine="0"/>
              <w:jc w:val="center"/>
            </w:pPr>
            <w:r>
              <w:rPr>
                <w:sz w:val="18"/>
              </w:rPr>
              <w:t>8270</w:t>
            </w:r>
          </w:p>
        </w:tc>
        <w:tc>
          <w:tcPr>
            <w:tcW w:w="900" w:type="dxa"/>
            <w:tcBorders>
              <w:top w:val="single" w:sz="4" w:space="0" w:color="000000"/>
              <w:left w:val="single" w:sz="12" w:space="0" w:color="000000"/>
              <w:bottom w:val="single" w:sz="4" w:space="0" w:color="000000"/>
              <w:right w:val="single" w:sz="12" w:space="0" w:color="000000"/>
            </w:tcBorders>
            <w:vAlign w:val="center"/>
          </w:tcPr>
          <w:p w14:paraId="3303EFBE" w14:textId="2AB143E9" w:rsidR="00FC0D61" w:rsidRDefault="00FC0D61" w:rsidP="00796C4B">
            <w:pPr>
              <w:spacing w:after="0" w:line="259" w:lineRule="auto"/>
              <w:ind w:left="0" w:right="0" w:firstLine="0"/>
              <w:jc w:val="center"/>
            </w:pPr>
          </w:p>
        </w:tc>
      </w:tr>
      <w:tr w:rsidR="00E8392B" w14:paraId="5DFB7C4C" w14:textId="77777777" w:rsidTr="005B6604">
        <w:trPr>
          <w:trHeight w:val="250"/>
        </w:trPr>
        <w:tc>
          <w:tcPr>
            <w:tcW w:w="2952" w:type="dxa"/>
            <w:tcBorders>
              <w:top w:val="single" w:sz="4" w:space="0" w:color="000000"/>
              <w:left w:val="single" w:sz="12" w:space="0" w:color="000000"/>
              <w:bottom w:val="single" w:sz="4" w:space="0" w:color="000000"/>
              <w:right w:val="single" w:sz="12" w:space="0" w:color="000000"/>
            </w:tcBorders>
          </w:tcPr>
          <w:p w14:paraId="5F489F17" w14:textId="77777777" w:rsidR="00FC0D61" w:rsidRDefault="00FC0D61" w:rsidP="00FC0D61">
            <w:pPr>
              <w:spacing w:after="0" w:line="259" w:lineRule="auto"/>
              <w:ind w:left="0" w:right="0" w:firstLine="0"/>
            </w:pPr>
            <w:r>
              <w:rPr>
                <w:sz w:val="18"/>
              </w:rPr>
              <w:t xml:space="preserve">1,4-Naphthoquinone </w:t>
            </w:r>
          </w:p>
        </w:tc>
        <w:tc>
          <w:tcPr>
            <w:tcW w:w="1155" w:type="dxa"/>
            <w:tcBorders>
              <w:top w:val="single" w:sz="4" w:space="0" w:color="000000"/>
              <w:left w:val="single" w:sz="12" w:space="0" w:color="000000"/>
              <w:bottom w:val="single" w:sz="4" w:space="0" w:color="000000"/>
              <w:right w:val="single" w:sz="12" w:space="0" w:color="000000"/>
            </w:tcBorders>
            <w:vAlign w:val="center"/>
          </w:tcPr>
          <w:p w14:paraId="000C0FE0" w14:textId="6D871137" w:rsidR="00FC0D61" w:rsidRDefault="00FC0D61" w:rsidP="00E61546">
            <w:pPr>
              <w:spacing w:after="0" w:line="259" w:lineRule="auto"/>
              <w:ind w:left="0" w:right="44" w:firstLine="0"/>
              <w:jc w:val="center"/>
            </w:pPr>
            <w:r>
              <w:rPr>
                <w:sz w:val="18"/>
              </w:rPr>
              <w:t>130-15-4</w:t>
            </w:r>
          </w:p>
        </w:tc>
        <w:tc>
          <w:tcPr>
            <w:tcW w:w="643" w:type="dxa"/>
            <w:tcBorders>
              <w:top w:val="single" w:sz="4" w:space="0" w:color="000000"/>
              <w:left w:val="single" w:sz="12" w:space="0" w:color="000000"/>
              <w:bottom w:val="single" w:sz="4" w:space="0" w:color="000000"/>
              <w:right w:val="single" w:sz="12" w:space="0" w:color="000000"/>
            </w:tcBorders>
            <w:vAlign w:val="center"/>
          </w:tcPr>
          <w:p w14:paraId="69C9A1AB" w14:textId="7E090249" w:rsidR="00FC0D61" w:rsidRDefault="00FC0D61" w:rsidP="00796C4B">
            <w:pPr>
              <w:spacing w:after="0" w:line="259" w:lineRule="auto"/>
              <w:ind w:left="0" w:right="0" w:firstLine="0"/>
              <w:jc w:val="center"/>
            </w:pPr>
            <w:r>
              <w:rPr>
                <w:sz w:val="18"/>
              </w:rPr>
              <w:t>10</w:t>
            </w:r>
          </w:p>
        </w:tc>
        <w:tc>
          <w:tcPr>
            <w:tcW w:w="726" w:type="dxa"/>
            <w:tcBorders>
              <w:top w:val="single" w:sz="4" w:space="0" w:color="000000"/>
              <w:left w:val="single" w:sz="12" w:space="0" w:color="000000"/>
              <w:bottom w:val="single" w:sz="4" w:space="0" w:color="000000"/>
              <w:right w:val="single" w:sz="12" w:space="0" w:color="000000"/>
            </w:tcBorders>
            <w:vAlign w:val="center"/>
          </w:tcPr>
          <w:p w14:paraId="774C1E25" w14:textId="3AA99930" w:rsidR="00FC0D61" w:rsidRDefault="00FC0D61" w:rsidP="00796C4B">
            <w:pPr>
              <w:spacing w:after="0" w:line="259" w:lineRule="auto"/>
              <w:ind w:left="0" w:right="49" w:firstLine="0"/>
              <w:jc w:val="center"/>
            </w:pPr>
            <w:r>
              <w:rPr>
                <w:sz w:val="18"/>
              </w:rPr>
              <w:t>ug/L</w:t>
            </w:r>
          </w:p>
        </w:tc>
        <w:tc>
          <w:tcPr>
            <w:tcW w:w="773" w:type="dxa"/>
            <w:tcBorders>
              <w:top w:val="single" w:sz="4" w:space="0" w:color="000000"/>
              <w:left w:val="single" w:sz="12" w:space="0" w:color="000000"/>
              <w:bottom w:val="single" w:sz="4" w:space="0" w:color="000000"/>
              <w:right w:val="single" w:sz="12" w:space="0" w:color="000000"/>
            </w:tcBorders>
            <w:vAlign w:val="center"/>
          </w:tcPr>
          <w:p w14:paraId="3E2D770A" w14:textId="58C34295" w:rsidR="00FC0D61" w:rsidRDefault="00FC0D61" w:rsidP="00796C4B">
            <w:pPr>
              <w:spacing w:after="0" w:line="259" w:lineRule="auto"/>
              <w:ind w:left="0" w:right="41" w:firstLine="0"/>
              <w:jc w:val="center"/>
            </w:pPr>
            <w:r>
              <w:rPr>
                <w:sz w:val="18"/>
              </w:rPr>
              <w:t>660</w:t>
            </w:r>
          </w:p>
        </w:tc>
        <w:tc>
          <w:tcPr>
            <w:tcW w:w="951" w:type="dxa"/>
            <w:tcBorders>
              <w:top w:val="single" w:sz="4" w:space="0" w:color="000000"/>
              <w:left w:val="single" w:sz="12" w:space="0" w:color="000000"/>
              <w:bottom w:val="single" w:sz="4" w:space="0" w:color="000000"/>
              <w:right w:val="single" w:sz="12" w:space="0" w:color="000000"/>
            </w:tcBorders>
            <w:vAlign w:val="center"/>
          </w:tcPr>
          <w:p w14:paraId="713C8F60" w14:textId="55DE33A8" w:rsidR="00FC0D61" w:rsidRDefault="00FC0D61" w:rsidP="00796C4B">
            <w:pPr>
              <w:spacing w:after="0" w:line="259" w:lineRule="auto"/>
              <w:ind w:left="0" w:right="46" w:firstLine="0"/>
              <w:jc w:val="center"/>
            </w:pPr>
            <w:r>
              <w:rPr>
                <w:rFonts w:eastAsia="Segoe UI Symbol"/>
                <w:sz w:val="18"/>
              </w:rPr>
              <w:t>u</w:t>
            </w:r>
            <w:r>
              <w:rPr>
                <w:sz w:val="18"/>
              </w:rPr>
              <w:t>g/kg</w:t>
            </w:r>
          </w:p>
        </w:tc>
        <w:tc>
          <w:tcPr>
            <w:tcW w:w="630" w:type="dxa"/>
            <w:tcBorders>
              <w:top w:val="single" w:sz="4" w:space="0" w:color="000000"/>
              <w:left w:val="single" w:sz="12" w:space="0" w:color="000000"/>
              <w:bottom w:val="single" w:sz="4" w:space="0" w:color="000000"/>
              <w:right w:val="single" w:sz="12" w:space="0" w:color="000000"/>
            </w:tcBorders>
            <w:vAlign w:val="center"/>
          </w:tcPr>
          <w:p w14:paraId="3B55406C" w14:textId="48709297" w:rsidR="00FC0D61" w:rsidRDefault="00FC0D61" w:rsidP="00DB6303">
            <w:pPr>
              <w:spacing w:after="0" w:line="259" w:lineRule="auto"/>
              <w:ind w:left="0" w:right="47" w:firstLine="0"/>
              <w:jc w:val="center"/>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50955476" w14:textId="21B48D8A" w:rsidR="00FC0D61" w:rsidRDefault="00FC0D61" w:rsidP="00E8392B">
            <w:pPr>
              <w:spacing w:after="0" w:line="259" w:lineRule="auto"/>
              <w:ind w:left="96" w:right="0" w:firstLine="0"/>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0BD61BEC" w14:textId="26A6A314" w:rsidR="00FC0D61" w:rsidRDefault="00FC0D61" w:rsidP="00DB6303">
            <w:pPr>
              <w:spacing w:after="0" w:line="259" w:lineRule="auto"/>
              <w:ind w:left="0" w:right="47" w:firstLine="0"/>
              <w:jc w:val="center"/>
            </w:pPr>
            <w:r>
              <w:rPr>
                <w:sz w:val="18"/>
              </w:rPr>
              <w:t>X</w:t>
            </w:r>
          </w:p>
        </w:tc>
        <w:tc>
          <w:tcPr>
            <w:tcW w:w="810" w:type="dxa"/>
            <w:tcBorders>
              <w:top w:val="single" w:sz="4" w:space="0" w:color="000000"/>
              <w:left w:val="single" w:sz="12" w:space="0" w:color="000000"/>
              <w:bottom w:val="single" w:sz="4" w:space="0" w:color="000000"/>
              <w:right w:val="single" w:sz="12" w:space="0" w:color="000000"/>
            </w:tcBorders>
            <w:vAlign w:val="center"/>
          </w:tcPr>
          <w:p w14:paraId="2FF9D32D" w14:textId="61CAF5BA" w:rsidR="00FC0D61" w:rsidRDefault="00FC0D61" w:rsidP="00796C4B">
            <w:pPr>
              <w:spacing w:after="0" w:line="259" w:lineRule="auto"/>
              <w:ind w:left="0" w:right="0" w:firstLine="0"/>
              <w:jc w:val="center"/>
            </w:pPr>
            <w:r>
              <w:rPr>
                <w:sz w:val="18"/>
              </w:rPr>
              <w:t>8270</w:t>
            </w:r>
          </w:p>
        </w:tc>
        <w:tc>
          <w:tcPr>
            <w:tcW w:w="900" w:type="dxa"/>
            <w:tcBorders>
              <w:top w:val="single" w:sz="4" w:space="0" w:color="000000"/>
              <w:left w:val="single" w:sz="12" w:space="0" w:color="000000"/>
              <w:bottom w:val="single" w:sz="4" w:space="0" w:color="000000"/>
              <w:right w:val="single" w:sz="12" w:space="0" w:color="000000"/>
            </w:tcBorders>
            <w:vAlign w:val="center"/>
          </w:tcPr>
          <w:p w14:paraId="1E271FCB" w14:textId="4241DB01" w:rsidR="00FC0D61" w:rsidRDefault="00FC0D61" w:rsidP="00796C4B">
            <w:pPr>
              <w:spacing w:after="0" w:line="259" w:lineRule="auto"/>
              <w:ind w:left="0" w:right="0" w:firstLine="0"/>
              <w:jc w:val="center"/>
            </w:pPr>
            <w:r>
              <w:rPr>
                <w:sz w:val="18"/>
              </w:rPr>
              <w:t>8091</w:t>
            </w:r>
          </w:p>
        </w:tc>
      </w:tr>
      <w:tr w:rsidR="00E8392B" w14:paraId="7A4638A7" w14:textId="77777777" w:rsidTr="005B6604">
        <w:trPr>
          <w:trHeight w:val="262"/>
        </w:trPr>
        <w:tc>
          <w:tcPr>
            <w:tcW w:w="2952" w:type="dxa"/>
            <w:tcBorders>
              <w:top w:val="single" w:sz="4" w:space="0" w:color="000000"/>
              <w:left w:val="single" w:sz="12" w:space="0" w:color="000000"/>
              <w:bottom w:val="single" w:sz="4" w:space="0" w:color="000000"/>
              <w:right w:val="single" w:sz="12" w:space="0" w:color="000000"/>
            </w:tcBorders>
          </w:tcPr>
          <w:p w14:paraId="13DC4960" w14:textId="77777777" w:rsidR="00FC0D61" w:rsidRDefault="00FC0D61" w:rsidP="00FC0D61">
            <w:pPr>
              <w:spacing w:after="0" w:line="259" w:lineRule="auto"/>
              <w:ind w:left="0" w:right="0" w:firstLine="0"/>
            </w:pPr>
            <w:r>
              <w:rPr>
                <w:sz w:val="18"/>
              </w:rPr>
              <w:t xml:space="preserve">1-Naphthylamine </w:t>
            </w:r>
          </w:p>
        </w:tc>
        <w:tc>
          <w:tcPr>
            <w:tcW w:w="1155" w:type="dxa"/>
            <w:tcBorders>
              <w:top w:val="single" w:sz="4" w:space="0" w:color="000000"/>
              <w:left w:val="single" w:sz="12" w:space="0" w:color="000000"/>
              <w:bottom w:val="single" w:sz="4" w:space="0" w:color="000000"/>
              <w:right w:val="single" w:sz="12" w:space="0" w:color="000000"/>
            </w:tcBorders>
            <w:vAlign w:val="center"/>
          </w:tcPr>
          <w:p w14:paraId="04F7B295" w14:textId="737B878F" w:rsidR="00FC0D61" w:rsidRDefault="00FC0D61" w:rsidP="00E61546">
            <w:pPr>
              <w:spacing w:after="0" w:line="259" w:lineRule="auto"/>
              <w:ind w:left="0" w:right="44" w:firstLine="0"/>
              <w:jc w:val="center"/>
            </w:pPr>
            <w:r>
              <w:rPr>
                <w:sz w:val="18"/>
              </w:rPr>
              <w:t>134-32-7</w:t>
            </w:r>
          </w:p>
        </w:tc>
        <w:tc>
          <w:tcPr>
            <w:tcW w:w="643" w:type="dxa"/>
            <w:tcBorders>
              <w:top w:val="single" w:sz="4" w:space="0" w:color="000000"/>
              <w:left w:val="single" w:sz="12" w:space="0" w:color="000000"/>
              <w:bottom w:val="single" w:sz="4" w:space="0" w:color="000000"/>
              <w:right w:val="single" w:sz="12" w:space="0" w:color="000000"/>
            </w:tcBorders>
            <w:vAlign w:val="center"/>
          </w:tcPr>
          <w:p w14:paraId="2D8AB547" w14:textId="264F2FDB" w:rsidR="00FC0D61" w:rsidRDefault="00FC0D61" w:rsidP="00796C4B">
            <w:pPr>
              <w:spacing w:after="0" w:line="259" w:lineRule="auto"/>
              <w:ind w:left="0" w:right="0" w:firstLine="0"/>
              <w:jc w:val="center"/>
            </w:pPr>
            <w:r>
              <w:rPr>
                <w:sz w:val="18"/>
              </w:rPr>
              <w:t>10</w:t>
            </w:r>
          </w:p>
        </w:tc>
        <w:tc>
          <w:tcPr>
            <w:tcW w:w="726" w:type="dxa"/>
            <w:tcBorders>
              <w:top w:val="single" w:sz="4" w:space="0" w:color="000000"/>
              <w:left w:val="single" w:sz="12" w:space="0" w:color="000000"/>
              <w:bottom w:val="single" w:sz="4" w:space="0" w:color="000000"/>
              <w:right w:val="single" w:sz="12" w:space="0" w:color="000000"/>
            </w:tcBorders>
            <w:vAlign w:val="center"/>
          </w:tcPr>
          <w:p w14:paraId="3D5932A5" w14:textId="46EBB2EF" w:rsidR="00FC0D61" w:rsidRDefault="00FC0D61" w:rsidP="00796C4B">
            <w:pPr>
              <w:spacing w:after="0" w:line="259" w:lineRule="auto"/>
              <w:ind w:left="0" w:right="49" w:firstLine="0"/>
              <w:jc w:val="center"/>
            </w:pPr>
            <w:r>
              <w:rPr>
                <w:sz w:val="18"/>
              </w:rPr>
              <w:t>ug/L</w:t>
            </w:r>
          </w:p>
        </w:tc>
        <w:tc>
          <w:tcPr>
            <w:tcW w:w="773" w:type="dxa"/>
            <w:tcBorders>
              <w:top w:val="single" w:sz="4" w:space="0" w:color="000000"/>
              <w:left w:val="single" w:sz="12" w:space="0" w:color="000000"/>
              <w:bottom w:val="single" w:sz="4" w:space="0" w:color="000000"/>
              <w:right w:val="single" w:sz="12" w:space="0" w:color="000000"/>
            </w:tcBorders>
            <w:vAlign w:val="center"/>
          </w:tcPr>
          <w:p w14:paraId="21F8B338" w14:textId="34830FB0" w:rsidR="00FC0D61" w:rsidRDefault="00FC0D61" w:rsidP="00796C4B">
            <w:pPr>
              <w:spacing w:after="0" w:line="259" w:lineRule="auto"/>
              <w:ind w:left="0" w:right="41" w:firstLine="0"/>
              <w:jc w:val="center"/>
            </w:pPr>
            <w:r>
              <w:rPr>
                <w:sz w:val="18"/>
              </w:rPr>
              <w:t>660</w:t>
            </w:r>
          </w:p>
        </w:tc>
        <w:tc>
          <w:tcPr>
            <w:tcW w:w="951" w:type="dxa"/>
            <w:tcBorders>
              <w:top w:val="single" w:sz="4" w:space="0" w:color="000000"/>
              <w:left w:val="single" w:sz="12" w:space="0" w:color="000000"/>
              <w:bottom w:val="single" w:sz="4" w:space="0" w:color="000000"/>
              <w:right w:val="single" w:sz="12" w:space="0" w:color="000000"/>
            </w:tcBorders>
            <w:vAlign w:val="center"/>
          </w:tcPr>
          <w:p w14:paraId="5D002590" w14:textId="22FDB492" w:rsidR="00FC0D61" w:rsidRDefault="00FC0D61" w:rsidP="00796C4B">
            <w:pPr>
              <w:spacing w:after="0" w:line="259" w:lineRule="auto"/>
              <w:ind w:left="0" w:right="46" w:firstLine="0"/>
              <w:jc w:val="center"/>
            </w:pPr>
            <w:r>
              <w:rPr>
                <w:rFonts w:eastAsia="Segoe UI Symbol"/>
                <w:sz w:val="18"/>
              </w:rPr>
              <w:t>u</w:t>
            </w:r>
            <w:r>
              <w:rPr>
                <w:sz w:val="18"/>
              </w:rPr>
              <w:t>g/kg</w:t>
            </w:r>
          </w:p>
        </w:tc>
        <w:tc>
          <w:tcPr>
            <w:tcW w:w="630" w:type="dxa"/>
            <w:tcBorders>
              <w:top w:val="single" w:sz="4" w:space="0" w:color="000000"/>
              <w:left w:val="single" w:sz="12" w:space="0" w:color="000000"/>
              <w:bottom w:val="single" w:sz="4" w:space="0" w:color="000000"/>
              <w:right w:val="single" w:sz="12" w:space="0" w:color="000000"/>
            </w:tcBorders>
            <w:vAlign w:val="center"/>
          </w:tcPr>
          <w:p w14:paraId="69ADE452" w14:textId="7A051283" w:rsidR="00FC0D61" w:rsidRDefault="00FC0D61" w:rsidP="00DB6303">
            <w:pPr>
              <w:spacing w:after="0" w:line="259" w:lineRule="auto"/>
              <w:ind w:left="0" w:right="47" w:firstLine="0"/>
              <w:jc w:val="center"/>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4F1D03EA" w14:textId="2FA424C0" w:rsidR="00FC0D61" w:rsidRDefault="00FC0D61" w:rsidP="00E8392B">
            <w:pPr>
              <w:spacing w:after="0" w:line="259" w:lineRule="auto"/>
              <w:ind w:left="96" w:right="0" w:firstLine="0"/>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272C17F4" w14:textId="4722A8A6" w:rsidR="00FC0D61" w:rsidRDefault="00FC0D61" w:rsidP="00DB6303">
            <w:pPr>
              <w:spacing w:after="0" w:line="259" w:lineRule="auto"/>
              <w:ind w:left="0" w:right="47" w:firstLine="0"/>
              <w:jc w:val="center"/>
            </w:pPr>
            <w:r>
              <w:rPr>
                <w:sz w:val="18"/>
              </w:rPr>
              <w:t>X</w:t>
            </w:r>
          </w:p>
        </w:tc>
        <w:tc>
          <w:tcPr>
            <w:tcW w:w="810" w:type="dxa"/>
            <w:tcBorders>
              <w:top w:val="single" w:sz="4" w:space="0" w:color="000000"/>
              <w:left w:val="single" w:sz="12" w:space="0" w:color="000000"/>
              <w:bottom w:val="single" w:sz="4" w:space="0" w:color="000000"/>
              <w:right w:val="single" w:sz="12" w:space="0" w:color="000000"/>
            </w:tcBorders>
            <w:vAlign w:val="center"/>
          </w:tcPr>
          <w:p w14:paraId="619FAD5A" w14:textId="17ACCC69" w:rsidR="00FC0D61" w:rsidRDefault="00FC0D61" w:rsidP="00796C4B">
            <w:pPr>
              <w:spacing w:after="0" w:line="259" w:lineRule="auto"/>
              <w:ind w:left="0" w:right="0" w:firstLine="0"/>
              <w:jc w:val="center"/>
            </w:pPr>
            <w:r>
              <w:rPr>
                <w:sz w:val="18"/>
              </w:rPr>
              <w:t>8270</w:t>
            </w:r>
          </w:p>
        </w:tc>
        <w:tc>
          <w:tcPr>
            <w:tcW w:w="900" w:type="dxa"/>
            <w:tcBorders>
              <w:top w:val="single" w:sz="4" w:space="0" w:color="000000"/>
              <w:left w:val="single" w:sz="12" w:space="0" w:color="000000"/>
              <w:bottom w:val="single" w:sz="4" w:space="0" w:color="000000"/>
              <w:right w:val="single" w:sz="12" w:space="0" w:color="000000"/>
            </w:tcBorders>
            <w:vAlign w:val="center"/>
          </w:tcPr>
          <w:p w14:paraId="45CA3B00" w14:textId="5B2AA565" w:rsidR="00FC0D61" w:rsidRDefault="00FC0D61" w:rsidP="00796C4B">
            <w:pPr>
              <w:spacing w:after="0" w:line="259" w:lineRule="auto"/>
              <w:ind w:left="0" w:right="0" w:firstLine="0"/>
              <w:jc w:val="center"/>
            </w:pPr>
          </w:p>
        </w:tc>
      </w:tr>
      <w:tr w:rsidR="00E8392B" w14:paraId="160B1A6F" w14:textId="77777777" w:rsidTr="005B6604">
        <w:trPr>
          <w:trHeight w:val="262"/>
        </w:trPr>
        <w:tc>
          <w:tcPr>
            <w:tcW w:w="2952" w:type="dxa"/>
            <w:tcBorders>
              <w:top w:val="single" w:sz="4" w:space="0" w:color="000000"/>
              <w:left w:val="single" w:sz="12" w:space="0" w:color="000000"/>
              <w:bottom w:val="single" w:sz="4" w:space="0" w:color="000000"/>
              <w:right w:val="single" w:sz="12" w:space="0" w:color="000000"/>
            </w:tcBorders>
          </w:tcPr>
          <w:p w14:paraId="2E379187" w14:textId="16F2E159" w:rsidR="009D2524" w:rsidRDefault="009D2524" w:rsidP="009D2524">
            <w:pPr>
              <w:spacing w:after="0" w:line="259" w:lineRule="auto"/>
              <w:ind w:left="0" w:right="0" w:firstLine="0"/>
              <w:rPr>
                <w:sz w:val="18"/>
              </w:rPr>
            </w:pPr>
            <w:r>
              <w:rPr>
                <w:sz w:val="18"/>
              </w:rPr>
              <w:t xml:space="preserve">2-Naphthylamine </w:t>
            </w:r>
          </w:p>
        </w:tc>
        <w:tc>
          <w:tcPr>
            <w:tcW w:w="1155" w:type="dxa"/>
            <w:tcBorders>
              <w:top w:val="single" w:sz="4" w:space="0" w:color="000000"/>
              <w:left w:val="single" w:sz="12" w:space="0" w:color="000000"/>
              <w:bottom w:val="single" w:sz="4" w:space="0" w:color="000000"/>
              <w:right w:val="single" w:sz="12" w:space="0" w:color="000000"/>
            </w:tcBorders>
            <w:vAlign w:val="center"/>
          </w:tcPr>
          <w:p w14:paraId="24D6B479" w14:textId="7EBBE2C1" w:rsidR="009D2524" w:rsidRDefault="009D2524" w:rsidP="009D2524">
            <w:pPr>
              <w:spacing w:after="0" w:line="259" w:lineRule="auto"/>
              <w:ind w:left="0" w:right="44" w:firstLine="0"/>
              <w:jc w:val="center"/>
              <w:rPr>
                <w:sz w:val="18"/>
              </w:rPr>
            </w:pPr>
            <w:r>
              <w:rPr>
                <w:sz w:val="18"/>
              </w:rPr>
              <w:t>91-59-8</w:t>
            </w:r>
          </w:p>
        </w:tc>
        <w:tc>
          <w:tcPr>
            <w:tcW w:w="643" w:type="dxa"/>
            <w:tcBorders>
              <w:top w:val="single" w:sz="4" w:space="0" w:color="000000"/>
              <w:left w:val="single" w:sz="12" w:space="0" w:color="000000"/>
              <w:bottom w:val="single" w:sz="4" w:space="0" w:color="000000"/>
              <w:right w:val="single" w:sz="12" w:space="0" w:color="000000"/>
            </w:tcBorders>
            <w:vAlign w:val="center"/>
          </w:tcPr>
          <w:p w14:paraId="5BD643EC" w14:textId="08F6F4A3" w:rsidR="009D2524" w:rsidRDefault="009D2524" w:rsidP="009D2524">
            <w:pPr>
              <w:spacing w:after="0" w:line="259" w:lineRule="auto"/>
              <w:ind w:left="0" w:right="0" w:firstLine="0"/>
              <w:jc w:val="center"/>
              <w:rPr>
                <w:sz w:val="18"/>
              </w:rPr>
            </w:pPr>
            <w:r>
              <w:rPr>
                <w:sz w:val="18"/>
              </w:rPr>
              <w:t>10</w:t>
            </w:r>
          </w:p>
        </w:tc>
        <w:tc>
          <w:tcPr>
            <w:tcW w:w="726" w:type="dxa"/>
            <w:tcBorders>
              <w:top w:val="single" w:sz="4" w:space="0" w:color="000000"/>
              <w:left w:val="single" w:sz="12" w:space="0" w:color="000000"/>
              <w:bottom w:val="single" w:sz="4" w:space="0" w:color="000000"/>
              <w:right w:val="single" w:sz="12" w:space="0" w:color="000000"/>
            </w:tcBorders>
            <w:vAlign w:val="center"/>
          </w:tcPr>
          <w:p w14:paraId="45F896E4" w14:textId="0513C1B3" w:rsidR="009D2524" w:rsidRDefault="009D2524" w:rsidP="009D2524">
            <w:pPr>
              <w:spacing w:after="0" w:line="259" w:lineRule="auto"/>
              <w:ind w:left="0" w:right="49" w:firstLine="0"/>
              <w:jc w:val="center"/>
              <w:rPr>
                <w:sz w:val="18"/>
              </w:rPr>
            </w:pPr>
            <w:r>
              <w:rPr>
                <w:sz w:val="18"/>
              </w:rPr>
              <w:t>ug/L</w:t>
            </w:r>
          </w:p>
        </w:tc>
        <w:tc>
          <w:tcPr>
            <w:tcW w:w="773" w:type="dxa"/>
            <w:tcBorders>
              <w:top w:val="single" w:sz="4" w:space="0" w:color="000000"/>
              <w:left w:val="single" w:sz="12" w:space="0" w:color="000000"/>
              <w:bottom w:val="single" w:sz="4" w:space="0" w:color="000000"/>
              <w:right w:val="single" w:sz="12" w:space="0" w:color="000000"/>
            </w:tcBorders>
            <w:vAlign w:val="center"/>
          </w:tcPr>
          <w:p w14:paraId="6CC180B7" w14:textId="61FA9125" w:rsidR="009D2524" w:rsidRDefault="009D2524" w:rsidP="009D2524">
            <w:pPr>
              <w:spacing w:after="0" w:line="259" w:lineRule="auto"/>
              <w:ind w:left="0" w:right="41" w:firstLine="0"/>
              <w:jc w:val="center"/>
              <w:rPr>
                <w:sz w:val="18"/>
              </w:rPr>
            </w:pPr>
            <w:r>
              <w:rPr>
                <w:sz w:val="18"/>
              </w:rPr>
              <w:t>660</w:t>
            </w:r>
          </w:p>
        </w:tc>
        <w:tc>
          <w:tcPr>
            <w:tcW w:w="951" w:type="dxa"/>
            <w:tcBorders>
              <w:top w:val="single" w:sz="4" w:space="0" w:color="000000"/>
              <w:left w:val="single" w:sz="12" w:space="0" w:color="000000"/>
              <w:bottom w:val="single" w:sz="4" w:space="0" w:color="000000"/>
              <w:right w:val="single" w:sz="12" w:space="0" w:color="000000"/>
            </w:tcBorders>
            <w:vAlign w:val="center"/>
          </w:tcPr>
          <w:p w14:paraId="5673EF28" w14:textId="649F1D38" w:rsidR="009D2524" w:rsidRDefault="009D2524" w:rsidP="009D2524">
            <w:pPr>
              <w:spacing w:after="0" w:line="259" w:lineRule="auto"/>
              <w:ind w:left="0" w:right="46" w:firstLine="0"/>
              <w:jc w:val="center"/>
              <w:rPr>
                <w:rFonts w:eastAsia="Segoe UI Symbol"/>
                <w:sz w:val="18"/>
              </w:rPr>
            </w:pPr>
            <w:r>
              <w:rPr>
                <w:rFonts w:eastAsia="Segoe UI Symbol"/>
                <w:sz w:val="18"/>
              </w:rPr>
              <w:t>u</w:t>
            </w:r>
            <w:r>
              <w:rPr>
                <w:sz w:val="18"/>
              </w:rPr>
              <w:t>g/kg</w:t>
            </w:r>
          </w:p>
        </w:tc>
        <w:tc>
          <w:tcPr>
            <w:tcW w:w="630" w:type="dxa"/>
            <w:tcBorders>
              <w:top w:val="single" w:sz="4" w:space="0" w:color="000000"/>
              <w:left w:val="single" w:sz="12" w:space="0" w:color="000000"/>
              <w:bottom w:val="single" w:sz="4" w:space="0" w:color="000000"/>
              <w:right w:val="single" w:sz="12" w:space="0" w:color="000000"/>
            </w:tcBorders>
            <w:vAlign w:val="center"/>
          </w:tcPr>
          <w:p w14:paraId="38AAA2FB" w14:textId="4730D2F2" w:rsidR="009D2524" w:rsidRDefault="009D2524" w:rsidP="00DB6303">
            <w:pPr>
              <w:spacing w:after="0" w:line="259" w:lineRule="auto"/>
              <w:ind w:left="0" w:right="47" w:firstLine="0"/>
              <w:jc w:val="center"/>
              <w:rPr>
                <w:sz w:val="18"/>
              </w:rPr>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053B3BAC" w14:textId="37197371" w:rsidR="009D2524" w:rsidRDefault="009D2524" w:rsidP="00E8392B">
            <w:pPr>
              <w:spacing w:after="0" w:line="259" w:lineRule="auto"/>
              <w:ind w:left="96" w:right="0" w:firstLine="0"/>
              <w:rPr>
                <w:sz w:val="18"/>
              </w:rPr>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4C6CE9B5" w14:textId="666E949C" w:rsidR="009D2524" w:rsidRDefault="009D2524" w:rsidP="00DB6303">
            <w:pPr>
              <w:spacing w:after="0" w:line="259" w:lineRule="auto"/>
              <w:ind w:left="0" w:right="47" w:firstLine="0"/>
              <w:jc w:val="center"/>
              <w:rPr>
                <w:sz w:val="18"/>
              </w:rPr>
            </w:pPr>
            <w:r>
              <w:rPr>
                <w:sz w:val="18"/>
              </w:rPr>
              <w:t>X</w:t>
            </w:r>
          </w:p>
        </w:tc>
        <w:tc>
          <w:tcPr>
            <w:tcW w:w="810" w:type="dxa"/>
            <w:tcBorders>
              <w:top w:val="single" w:sz="4" w:space="0" w:color="000000"/>
              <w:left w:val="single" w:sz="12" w:space="0" w:color="000000"/>
              <w:bottom w:val="single" w:sz="4" w:space="0" w:color="000000"/>
              <w:right w:val="single" w:sz="12" w:space="0" w:color="000000"/>
            </w:tcBorders>
            <w:vAlign w:val="center"/>
          </w:tcPr>
          <w:p w14:paraId="094EB5C0" w14:textId="3B48075A" w:rsidR="009D2524" w:rsidRDefault="009D2524" w:rsidP="009D2524">
            <w:pPr>
              <w:spacing w:after="0" w:line="259" w:lineRule="auto"/>
              <w:ind w:left="0" w:right="0" w:firstLine="0"/>
              <w:jc w:val="center"/>
              <w:rPr>
                <w:sz w:val="18"/>
              </w:rPr>
            </w:pPr>
            <w:r>
              <w:rPr>
                <w:sz w:val="18"/>
              </w:rPr>
              <w:t>8270</w:t>
            </w:r>
          </w:p>
        </w:tc>
        <w:tc>
          <w:tcPr>
            <w:tcW w:w="900" w:type="dxa"/>
            <w:tcBorders>
              <w:top w:val="single" w:sz="4" w:space="0" w:color="000000"/>
              <w:left w:val="single" w:sz="12" w:space="0" w:color="000000"/>
              <w:bottom w:val="single" w:sz="4" w:space="0" w:color="000000"/>
              <w:right w:val="single" w:sz="12" w:space="0" w:color="000000"/>
            </w:tcBorders>
            <w:vAlign w:val="center"/>
          </w:tcPr>
          <w:p w14:paraId="2B9F36EE" w14:textId="77777777" w:rsidR="009D2524" w:rsidRDefault="009D2524" w:rsidP="009D2524">
            <w:pPr>
              <w:spacing w:after="0" w:line="259" w:lineRule="auto"/>
              <w:ind w:left="0" w:right="0" w:firstLine="0"/>
              <w:jc w:val="center"/>
            </w:pPr>
          </w:p>
        </w:tc>
      </w:tr>
      <w:tr w:rsidR="00E8392B" w14:paraId="77400AE9" w14:textId="77777777" w:rsidTr="005B6604">
        <w:trPr>
          <w:trHeight w:val="262"/>
        </w:trPr>
        <w:tc>
          <w:tcPr>
            <w:tcW w:w="2952" w:type="dxa"/>
            <w:tcBorders>
              <w:top w:val="single" w:sz="4" w:space="0" w:color="000000"/>
              <w:left w:val="single" w:sz="12" w:space="0" w:color="000000"/>
              <w:bottom w:val="single" w:sz="4" w:space="0" w:color="000000"/>
              <w:right w:val="single" w:sz="12" w:space="0" w:color="000000"/>
            </w:tcBorders>
          </w:tcPr>
          <w:p w14:paraId="17C9A0D7" w14:textId="554EEA00" w:rsidR="009D2524" w:rsidRDefault="009D2524" w:rsidP="009D2524">
            <w:pPr>
              <w:spacing w:after="0" w:line="259" w:lineRule="auto"/>
              <w:ind w:left="0" w:right="0" w:firstLine="0"/>
              <w:rPr>
                <w:sz w:val="18"/>
              </w:rPr>
            </w:pPr>
            <w:r>
              <w:rPr>
                <w:sz w:val="18"/>
              </w:rPr>
              <w:t xml:space="preserve">Nicotine </w:t>
            </w:r>
          </w:p>
        </w:tc>
        <w:tc>
          <w:tcPr>
            <w:tcW w:w="1155" w:type="dxa"/>
            <w:tcBorders>
              <w:top w:val="single" w:sz="4" w:space="0" w:color="000000"/>
              <w:left w:val="single" w:sz="12" w:space="0" w:color="000000"/>
              <w:bottom w:val="single" w:sz="4" w:space="0" w:color="000000"/>
              <w:right w:val="single" w:sz="12" w:space="0" w:color="000000"/>
            </w:tcBorders>
            <w:vAlign w:val="center"/>
          </w:tcPr>
          <w:p w14:paraId="2D2C12DA" w14:textId="4F73E7D4" w:rsidR="009D2524" w:rsidRDefault="009D2524" w:rsidP="009D2524">
            <w:pPr>
              <w:spacing w:after="0" w:line="259" w:lineRule="auto"/>
              <w:ind w:left="0" w:right="44" w:firstLine="0"/>
              <w:jc w:val="center"/>
              <w:rPr>
                <w:sz w:val="18"/>
              </w:rPr>
            </w:pPr>
            <w:r>
              <w:rPr>
                <w:sz w:val="18"/>
              </w:rPr>
              <w:t>54-11-5</w:t>
            </w:r>
          </w:p>
        </w:tc>
        <w:tc>
          <w:tcPr>
            <w:tcW w:w="643" w:type="dxa"/>
            <w:tcBorders>
              <w:top w:val="single" w:sz="4" w:space="0" w:color="000000"/>
              <w:left w:val="single" w:sz="12" w:space="0" w:color="000000"/>
              <w:bottom w:val="single" w:sz="4" w:space="0" w:color="000000"/>
              <w:right w:val="single" w:sz="12" w:space="0" w:color="000000"/>
            </w:tcBorders>
            <w:vAlign w:val="center"/>
          </w:tcPr>
          <w:p w14:paraId="0EDBF842" w14:textId="2C918416" w:rsidR="009D2524" w:rsidRDefault="009D2524" w:rsidP="009D2524">
            <w:pPr>
              <w:spacing w:after="0" w:line="259" w:lineRule="auto"/>
              <w:ind w:left="0" w:right="0" w:firstLine="0"/>
              <w:jc w:val="center"/>
              <w:rPr>
                <w:sz w:val="18"/>
              </w:rPr>
            </w:pPr>
            <w:r>
              <w:rPr>
                <w:sz w:val="18"/>
              </w:rPr>
              <w:t>20</w:t>
            </w:r>
          </w:p>
        </w:tc>
        <w:tc>
          <w:tcPr>
            <w:tcW w:w="726" w:type="dxa"/>
            <w:tcBorders>
              <w:top w:val="single" w:sz="4" w:space="0" w:color="000000"/>
              <w:left w:val="single" w:sz="12" w:space="0" w:color="000000"/>
              <w:bottom w:val="single" w:sz="4" w:space="0" w:color="000000"/>
              <w:right w:val="single" w:sz="12" w:space="0" w:color="000000"/>
            </w:tcBorders>
            <w:vAlign w:val="center"/>
          </w:tcPr>
          <w:p w14:paraId="27CFC542" w14:textId="65851230" w:rsidR="009D2524" w:rsidRDefault="009D2524" w:rsidP="009D2524">
            <w:pPr>
              <w:spacing w:after="0" w:line="259" w:lineRule="auto"/>
              <w:ind w:left="0" w:right="49" w:firstLine="0"/>
              <w:jc w:val="center"/>
              <w:rPr>
                <w:sz w:val="18"/>
              </w:rPr>
            </w:pPr>
            <w:r>
              <w:rPr>
                <w:sz w:val="18"/>
              </w:rPr>
              <w:t>ug/L</w:t>
            </w:r>
          </w:p>
        </w:tc>
        <w:tc>
          <w:tcPr>
            <w:tcW w:w="773" w:type="dxa"/>
            <w:tcBorders>
              <w:top w:val="single" w:sz="4" w:space="0" w:color="000000"/>
              <w:left w:val="single" w:sz="12" w:space="0" w:color="000000"/>
              <w:bottom w:val="single" w:sz="4" w:space="0" w:color="000000"/>
              <w:right w:val="single" w:sz="12" w:space="0" w:color="000000"/>
            </w:tcBorders>
            <w:vAlign w:val="center"/>
          </w:tcPr>
          <w:p w14:paraId="68CF412D" w14:textId="3D179F3E" w:rsidR="009D2524" w:rsidRDefault="009D2524" w:rsidP="009D2524">
            <w:pPr>
              <w:spacing w:after="0" w:line="259" w:lineRule="auto"/>
              <w:ind w:left="0" w:right="41" w:firstLine="0"/>
              <w:jc w:val="center"/>
              <w:rPr>
                <w:sz w:val="18"/>
              </w:rPr>
            </w:pPr>
            <w:r>
              <w:rPr>
                <w:sz w:val="18"/>
              </w:rPr>
              <w:t>1300</w:t>
            </w:r>
          </w:p>
        </w:tc>
        <w:tc>
          <w:tcPr>
            <w:tcW w:w="951" w:type="dxa"/>
            <w:tcBorders>
              <w:top w:val="single" w:sz="4" w:space="0" w:color="000000"/>
              <w:left w:val="single" w:sz="12" w:space="0" w:color="000000"/>
              <w:bottom w:val="single" w:sz="4" w:space="0" w:color="000000"/>
              <w:right w:val="single" w:sz="12" w:space="0" w:color="000000"/>
            </w:tcBorders>
            <w:vAlign w:val="center"/>
          </w:tcPr>
          <w:p w14:paraId="72045122" w14:textId="4E44E544" w:rsidR="009D2524" w:rsidRDefault="009D2524" w:rsidP="009D2524">
            <w:pPr>
              <w:spacing w:after="0" w:line="259" w:lineRule="auto"/>
              <w:ind w:left="0" w:right="46" w:firstLine="0"/>
              <w:jc w:val="center"/>
              <w:rPr>
                <w:rFonts w:eastAsia="Segoe UI Symbol"/>
                <w:sz w:val="18"/>
              </w:rPr>
            </w:pPr>
            <w:r>
              <w:rPr>
                <w:rFonts w:eastAsia="Segoe UI Symbol"/>
                <w:sz w:val="18"/>
              </w:rPr>
              <w:t>u</w:t>
            </w:r>
            <w:r>
              <w:rPr>
                <w:sz w:val="18"/>
              </w:rPr>
              <w:t>g/kg</w:t>
            </w:r>
          </w:p>
        </w:tc>
        <w:tc>
          <w:tcPr>
            <w:tcW w:w="630" w:type="dxa"/>
            <w:tcBorders>
              <w:top w:val="single" w:sz="4" w:space="0" w:color="000000"/>
              <w:left w:val="single" w:sz="12" w:space="0" w:color="000000"/>
              <w:bottom w:val="single" w:sz="4" w:space="0" w:color="000000"/>
              <w:right w:val="single" w:sz="12" w:space="0" w:color="000000"/>
            </w:tcBorders>
            <w:vAlign w:val="center"/>
          </w:tcPr>
          <w:p w14:paraId="2AA973DF" w14:textId="441C3014" w:rsidR="009D2524" w:rsidRDefault="009D2524" w:rsidP="00DB6303">
            <w:pPr>
              <w:spacing w:after="0" w:line="259" w:lineRule="auto"/>
              <w:ind w:left="0" w:right="47" w:firstLine="0"/>
              <w:jc w:val="center"/>
              <w:rPr>
                <w:sz w:val="18"/>
              </w:rPr>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41CF08DB" w14:textId="77777777" w:rsidR="009D2524" w:rsidRDefault="009D2524" w:rsidP="008F3E2C">
            <w:pPr>
              <w:spacing w:after="0" w:line="259" w:lineRule="auto"/>
              <w:ind w:left="96" w:right="0" w:firstLine="0"/>
              <w:jc w:val="center"/>
              <w:rPr>
                <w:sz w:val="18"/>
              </w:rPr>
            </w:pPr>
          </w:p>
        </w:tc>
        <w:tc>
          <w:tcPr>
            <w:tcW w:w="540" w:type="dxa"/>
            <w:tcBorders>
              <w:top w:val="single" w:sz="4" w:space="0" w:color="000000"/>
              <w:left w:val="single" w:sz="12" w:space="0" w:color="000000"/>
              <w:bottom w:val="single" w:sz="4" w:space="0" w:color="000000"/>
              <w:right w:val="single" w:sz="12" w:space="0" w:color="000000"/>
            </w:tcBorders>
            <w:vAlign w:val="center"/>
          </w:tcPr>
          <w:p w14:paraId="3E93810A" w14:textId="77777777" w:rsidR="009D2524" w:rsidRDefault="009D2524" w:rsidP="00DB6303">
            <w:pPr>
              <w:spacing w:after="0" w:line="259" w:lineRule="auto"/>
              <w:ind w:left="0" w:right="47" w:firstLine="0"/>
              <w:jc w:val="center"/>
              <w:rPr>
                <w:sz w:val="18"/>
              </w:rPr>
            </w:pPr>
          </w:p>
        </w:tc>
        <w:tc>
          <w:tcPr>
            <w:tcW w:w="810" w:type="dxa"/>
            <w:tcBorders>
              <w:top w:val="single" w:sz="4" w:space="0" w:color="000000"/>
              <w:left w:val="single" w:sz="12" w:space="0" w:color="000000"/>
              <w:bottom w:val="single" w:sz="4" w:space="0" w:color="000000"/>
              <w:right w:val="single" w:sz="12" w:space="0" w:color="000000"/>
            </w:tcBorders>
            <w:vAlign w:val="center"/>
          </w:tcPr>
          <w:p w14:paraId="3BCA4169" w14:textId="086D48F5" w:rsidR="009D2524" w:rsidRDefault="009D2524" w:rsidP="009D2524">
            <w:pPr>
              <w:spacing w:after="0" w:line="259" w:lineRule="auto"/>
              <w:ind w:left="0" w:right="0" w:firstLine="0"/>
              <w:jc w:val="center"/>
              <w:rPr>
                <w:sz w:val="18"/>
              </w:rPr>
            </w:pPr>
            <w:r>
              <w:rPr>
                <w:sz w:val="18"/>
              </w:rPr>
              <w:t>8270</w:t>
            </w:r>
          </w:p>
        </w:tc>
        <w:tc>
          <w:tcPr>
            <w:tcW w:w="900" w:type="dxa"/>
            <w:tcBorders>
              <w:top w:val="single" w:sz="4" w:space="0" w:color="000000"/>
              <w:left w:val="single" w:sz="12" w:space="0" w:color="000000"/>
              <w:bottom w:val="single" w:sz="4" w:space="0" w:color="000000"/>
              <w:right w:val="single" w:sz="12" w:space="0" w:color="000000"/>
            </w:tcBorders>
            <w:vAlign w:val="center"/>
          </w:tcPr>
          <w:p w14:paraId="593C3EBF" w14:textId="77777777" w:rsidR="009D2524" w:rsidRDefault="009D2524" w:rsidP="009D2524">
            <w:pPr>
              <w:spacing w:after="0" w:line="259" w:lineRule="auto"/>
              <w:ind w:left="0" w:right="0" w:firstLine="0"/>
              <w:jc w:val="center"/>
            </w:pPr>
          </w:p>
        </w:tc>
      </w:tr>
      <w:tr w:rsidR="00E8392B" w14:paraId="2C420CC2" w14:textId="77777777" w:rsidTr="005B6604">
        <w:trPr>
          <w:trHeight w:val="262"/>
        </w:trPr>
        <w:tc>
          <w:tcPr>
            <w:tcW w:w="2952" w:type="dxa"/>
            <w:tcBorders>
              <w:top w:val="single" w:sz="4" w:space="0" w:color="000000"/>
              <w:left w:val="single" w:sz="12" w:space="0" w:color="000000"/>
              <w:bottom w:val="single" w:sz="4" w:space="0" w:color="000000"/>
              <w:right w:val="single" w:sz="12" w:space="0" w:color="000000"/>
            </w:tcBorders>
          </w:tcPr>
          <w:p w14:paraId="20C8E0FD" w14:textId="6394A2BD" w:rsidR="009D2524" w:rsidRDefault="009D2524" w:rsidP="009D2524">
            <w:pPr>
              <w:spacing w:after="0" w:line="259" w:lineRule="auto"/>
              <w:ind w:left="0" w:right="0" w:firstLine="0"/>
              <w:rPr>
                <w:sz w:val="18"/>
              </w:rPr>
            </w:pPr>
            <w:r>
              <w:rPr>
                <w:sz w:val="18"/>
              </w:rPr>
              <w:t xml:space="preserve">5-Nitro-o-toluidine </w:t>
            </w:r>
          </w:p>
        </w:tc>
        <w:tc>
          <w:tcPr>
            <w:tcW w:w="1155" w:type="dxa"/>
            <w:tcBorders>
              <w:top w:val="single" w:sz="4" w:space="0" w:color="000000"/>
              <w:left w:val="single" w:sz="12" w:space="0" w:color="000000"/>
              <w:bottom w:val="single" w:sz="4" w:space="0" w:color="000000"/>
              <w:right w:val="single" w:sz="12" w:space="0" w:color="000000"/>
            </w:tcBorders>
            <w:vAlign w:val="center"/>
          </w:tcPr>
          <w:p w14:paraId="556C1AFB" w14:textId="58340E4A" w:rsidR="009D2524" w:rsidRDefault="009D2524" w:rsidP="009D2524">
            <w:pPr>
              <w:spacing w:after="0" w:line="259" w:lineRule="auto"/>
              <w:ind w:left="0" w:right="44" w:firstLine="0"/>
              <w:jc w:val="center"/>
              <w:rPr>
                <w:sz w:val="18"/>
              </w:rPr>
            </w:pPr>
            <w:r>
              <w:rPr>
                <w:sz w:val="18"/>
              </w:rPr>
              <w:t>99-55-8</w:t>
            </w:r>
          </w:p>
        </w:tc>
        <w:tc>
          <w:tcPr>
            <w:tcW w:w="643" w:type="dxa"/>
            <w:tcBorders>
              <w:top w:val="single" w:sz="4" w:space="0" w:color="000000"/>
              <w:left w:val="single" w:sz="12" w:space="0" w:color="000000"/>
              <w:bottom w:val="single" w:sz="4" w:space="0" w:color="000000"/>
              <w:right w:val="single" w:sz="12" w:space="0" w:color="000000"/>
            </w:tcBorders>
            <w:vAlign w:val="center"/>
          </w:tcPr>
          <w:p w14:paraId="2F53FD8E" w14:textId="601520B8" w:rsidR="009D2524" w:rsidRDefault="009D2524" w:rsidP="009D2524">
            <w:pPr>
              <w:spacing w:after="0" w:line="259" w:lineRule="auto"/>
              <w:ind w:left="0" w:right="0" w:firstLine="0"/>
              <w:jc w:val="center"/>
              <w:rPr>
                <w:sz w:val="18"/>
              </w:rPr>
            </w:pPr>
            <w:r>
              <w:rPr>
                <w:sz w:val="18"/>
              </w:rPr>
              <w:t>10</w:t>
            </w:r>
          </w:p>
        </w:tc>
        <w:tc>
          <w:tcPr>
            <w:tcW w:w="726" w:type="dxa"/>
            <w:tcBorders>
              <w:top w:val="single" w:sz="4" w:space="0" w:color="000000"/>
              <w:left w:val="single" w:sz="12" w:space="0" w:color="000000"/>
              <w:bottom w:val="single" w:sz="4" w:space="0" w:color="000000"/>
              <w:right w:val="single" w:sz="12" w:space="0" w:color="000000"/>
            </w:tcBorders>
            <w:vAlign w:val="center"/>
          </w:tcPr>
          <w:p w14:paraId="4432F96B" w14:textId="25952C01" w:rsidR="009D2524" w:rsidRDefault="009D2524" w:rsidP="009D2524">
            <w:pPr>
              <w:spacing w:after="0" w:line="259" w:lineRule="auto"/>
              <w:ind w:left="0" w:right="49" w:firstLine="0"/>
              <w:jc w:val="center"/>
              <w:rPr>
                <w:sz w:val="18"/>
              </w:rPr>
            </w:pPr>
            <w:r>
              <w:rPr>
                <w:sz w:val="18"/>
              </w:rPr>
              <w:t>ug/L</w:t>
            </w:r>
          </w:p>
        </w:tc>
        <w:tc>
          <w:tcPr>
            <w:tcW w:w="773" w:type="dxa"/>
            <w:tcBorders>
              <w:top w:val="single" w:sz="4" w:space="0" w:color="000000"/>
              <w:left w:val="single" w:sz="12" w:space="0" w:color="000000"/>
              <w:bottom w:val="single" w:sz="4" w:space="0" w:color="000000"/>
              <w:right w:val="single" w:sz="12" w:space="0" w:color="000000"/>
            </w:tcBorders>
            <w:vAlign w:val="center"/>
          </w:tcPr>
          <w:p w14:paraId="729746A0" w14:textId="66C5F130" w:rsidR="009D2524" w:rsidRDefault="009D2524" w:rsidP="009D2524">
            <w:pPr>
              <w:spacing w:after="0" w:line="259" w:lineRule="auto"/>
              <w:ind w:left="0" w:right="41" w:firstLine="0"/>
              <w:jc w:val="center"/>
              <w:rPr>
                <w:sz w:val="18"/>
              </w:rPr>
            </w:pPr>
            <w:r>
              <w:rPr>
                <w:sz w:val="18"/>
              </w:rPr>
              <w:t>660</w:t>
            </w:r>
          </w:p>
        </w:tc>
        <w:tc>
          <w:tcPr>
            <w:tcW w:w="951" w:type="dxa"/>
            <w:tcBorders>
              <w:top w:val="single" w:sz="4" w:space="0" w:color="000000"/>
              <w:left w:val="single" w:sz="12" w:space="0" w:color="000000"/>
              <w:bottom w:val="single" w:sz="4" w:space="0" w:color="000000"/>
              <w:right w:val="single" w:sz="12" w:space="0" w:color="000000"/>
            </w:tcBorders>
            <w:vAlign w:val="center"/>
          </w:tcPr>
          <w:p w14:paraId="307D5047" w14:textId="52C29B93" w:rsidR="009D2524" w:rsidRDefault="009D2524" w:rsidP="009D2524">
            <w:pPr>
              <w:spacing w:after="0" w:line="259" w:lineRule="auto"/>
              <w:ind w:left="0" w:right="46" w:firstLine="0"/>
              <w:jc w:val="center"/>
              <w:rPr>
                <w:rFonts w:eastAsia="Segoe UI Symbol"/>
                <w:sz w:val="18"/>
              </w:rPr>
            </w:pPr>
            <w:r>
              <w:rPr>
                <w:rFonts w:eastAsia="Segoe UI Symbol"/>
                <w:sz w:val="18"/>
              </w:rPr>
              <w:t>u</w:t>
            </w:r>
            <w:r>
              <w:rPr>
                <w:sz w:val="18"/>
              </w:rPr>
              <w:t>g/kg</w:t>
            </w:r>
          </w:p>
        </w:tc>
        <w:tc>
          <w:tcPr>
            <w:tcW w:w="630" w:type="dxa"/>
            <w:tcBorders>
              <w:top w:val="single" w:sz="4" w:space="0" w:color="000000"/>
              <w:left w:val="single" w:sz="12" w:space="0" w:color="000000"/>
              <w:bottom w:val="single" w:sz="4" w:space="0" w:color="000000"/>
              <w:right w:val="single" w:sz="12" w:space="0" w:color="000000"/>
            </w:tcBorders>
            <w:vAlign w:val="center"/>
          </w:tcPr>
          <w:p w14:paraId="527D79DA" w14:textId="0ED727C7" w:rsidR="009D2524" w:rsidRDefault="009D2524" w:rsidP="00DB6303">
            <w:pPr>
              <w:spacing w:after="0" w:line="259" w:lineRule="auto"/>
              <w:ind w:left="0" w:right="47" w:firstLine="0"/>
              <w:jc w:val="center"/>
              <w:rPr>
                <w:sz w:val="18"/>
              </w:rPr>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32B873AB" w14:textId="6F1DBACE" w:rsidR="009D2524" w:rsidRDefault="009D2524" w:rsidP="00E8392B">
            <w:pPr>
              <w:spacing w:after="0" w:line="259" w:lineRule="auto"/>
              <w:ind w:left="96" w:right="0" w:firstLine="0"/>
              <w:rPr>
                <w:sz w:val="18"/>
              </w:rPr>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693A27EF" w14:textId="629475E8" w:rsidR="009D2524" w:rsidRDefault="009D2524" w:rsidP="00DB6303">
            <w:pPr>
              <w:spacing w:after="0" w:line="259" w:lineRule="auto"/>
              <w:ind w:left="0" w:right="47" w:firstLine="0"/>
              <w:jc w:val="center"/>
              <w:rPr>
                <w:sz w:val="18"/>
              </w:rPr>
            </w:pPr>
            <w:r>
              <w:rPr>
                <w:sz w:val="18"/>
              </w:rPr>
              <w:t>X</w:t>
            </w:r>
          </w:p>
        </w:tc>
        <w:tc>
          <w:tcPr>
            <w:tcW w:w="810" w:type="dxa"/>
            <w:tcBorders>
              <w:top w:val="single" w:sz="4" w:space="0" w:color="000000"/>
              <w:left w:val="single" w:sz="12" w:space="0" w:color="000000"/>
              <w:bottom w:val="single" w:sz="4" w:space="0" w:color="000000"/>
              <w:right w:val="single" w:sz="12" w:space="0" w:color="000000"/>
            </w:tcBorders>
            <w:vAlign w:val="center"/>
          </w:tcPr>
          <w:p w14:paraId="771ADA3B" w14:textId="747C35E5" w:rsidR="009D2524" w:rsidRDefault="009D2524" w:rsidP="009D2524">
            <w:pPr>
              <w:spacing w:after="0" w:line="259" w:lineRule="auto"/>
              <w:ind w:left="0" w:right="0" w:firstLine="0"/>
              <w:jc w:val="center"/>
              <w:rPr>
                <w:sz w:val="18"/>
              </w:rPr>
            </w:pPr>
            <w:r>
              <w:rPr>
                <w:sz w:val="18"/>
              </w:rPr>
              <w:t>8270</w:t>
            </w:r>
          </w:p>
        </w:tc>
        <w:tc>
          <w:tcPr>
            <w:tcW w:w="900" w:type="dxa"/>
            <w:tcBorders>
              <w:top w:val="single" w:sz="4" w:space="0" w:color="000000"/>
              <w:left w:val="single" w:sz="12" w:space="0" w:color="000000"/>
              <w:bottom w:val="single" w:sz="4" w:space="0" w:color="000000"/>
              <w:right w:val="single" w:sz="12" w:space="0" w:color="000000"/>
            </w:tcBorders>
            <w:vAlign w:val="center"/>
          </w:tcPr>
          <w:p w14:paraId="5C33048A" w14:textId="77777777" w:rsidR="009D2524" w:rsidRDefault="009D2524" w:rsidP="009D2524">
            <w:pPr>
              <w:spacing w:after="0" w:line="259" w:lineRule="auto"/>
              <w:ind w:left="0" w:right="0" w:firstLine="0"/>
              <w:jc w:val="center"/>
            </w:pPr>
          </w:p>
        </w:tc>
      </w:tr>
      <w:tr w:rsidR="00E8392B" w14:paraId="341A96EE" w14:textId="77777777" w:rsidTr="005B6604">
        <w:trPr>
          <w:trHeight w:val="262"/>
        </w:trPr>
        <w:tc>
          <w:tcPr>
            <w:tcW w:w="2952" w:type="dxa"/>
            <w:tcBorders>
              <w:top w:val="single" w:sz="4" w:space="0" w:color="000000"/>
              <w:left w:val="single" w:sz="12" w:space="0" w:color="000000"/>
              <w:bottom w:val="single" w:sz="4" w:space="0" w:color="000000"/>
              <w:right w:val="single" w:sz="12" w:space="0" w:color="000000"/>
            </w:tcBorders>
          </w:tcPr>
          <w:p w14:paraId="777F1457" w14:textId="5C2C929E" w:rsidR="009D2524" w:rsidRDefault="009D2524" w:rsidP="009D2524">
            <w:pPr>
              <w:spacing w:after="0" w:line="259" w:lineRule="auto"/>
              <w:ind w:left="0" w:right="0" w:firstLine="0"/>
              <w:rPr>
                <w:sz w:val="18"/>
              </w:rPr>
            </w:pPr>
            <w:r>
              <w:rPr>
                <w:sz w:val="18"/>
              </w:rPr>
              <w:t xml:space="preserve">4-Nitroquinoline-1-oxide </w:t>
            </w:r>
          </w:p>
        </w:tc>
        <w:tc>
          <w:tcPr>
            <w:tcW w:w="1155" w:type="dxa"/>
            <w:tcBorders>
              <w:top w:val="single" w:sz="4" w:space="0" w:color="000000"/>
              <w:left w:val="single" w:sz="12" w:space="0" w:color="000000"/>
              <w:bottom w:val="single" w:sz="4" w:space="0" w:color="000000"/>
              <w:right w:val="single" w:sz="12" w:space="0" w:color="000000"/>
            </w:tcBorders>
            <w:vAlign w:val="center"/>
          </w:tcPr>
          <w:p w14:paraId="613C4065" w14:textId="35019E20" w:rsidR="009D2524" w:rsidRDefault="009D2524" w:rsidP="009D2524">
            <w:pPr>
              <w:spacing w:after="0" w:line="259" w:lineRule="auto"/>
              <w:ind w:left="0" w:right="44" w:firstLine="0"/>
              <w:jc w:val="center"/>
              <w:rPr>
                <w:sz w:val="18"/>
              </w:rPr>
            </w:pPr>
            <w:r>
              <w:rPr>
                <w:sz w:val="18"/>
              </w:rPr>
              <w:t>56-57-5</w:t>
            </w:r>
          </w:p>
        </w:tc>
        <w:tc>
          <w:tcPr>
            <w:tcW w:w="643" w:type="dxa"/>
            <w:tcBorders>
              <w:top w:val="single" w:sz="4" w:space="0" w:color="000000"/>
              <w:left w:val="single" w:sz="12" w:space="0" w:color="000000"/>
              <w:bottom w:val="single" w:sz="4" w:space="0" w:color="000000"/>
              <w:right w:val="single" w:sz="12" w:space="0" w:color="000000"/>
            </w:tcBorders>
            <w:vAlign w:val="center"/>
          </w:tcPr>
          <w:p w14:paraId="5F7F4705" w14:textId="1A1C0C97" w:rsidR="009D2524" w:rsidRDefault="009D2524" w:rsidP="009D2524">
            <w:pPr>
              <w:spacing w:after="0" w:line="259" w:lineRule="auto"/>
              <w:ind w:left="0" w:right="0" w:firstLine="0"/>
              <w:jc w:val="center"/>
              <w:rPr>
                <w:sz w:val="18"/>
              </w:rPr>
            </w:pPr>
            <w:r>
              <w:rPr>
                <w:sz w:val="18"/>
              </w:rPr>
              <w:t>40</w:t>
            </w:r>
          </w:p>
        </w:tc>
        <w:tc>
          <w:tcPr>
            <w:tcW w:w="726" w:type="dxa"/>
            <w:tcBorders>
              <w:top w:val="single" w:sz="4" w:space="0" w:color="000000"/>
              <w:left w:val="single" w:sz="12" w:space="0" w:color="000000"/>
              <w:bottom w:val="single" w:sz="4" w:space="0" w:color="000000"/>
              <w:right w:val="single" w:sz="12" w:space="0" w:color="000000"/>
            </w:tcBorders>
            <w:vAlign w:val="center"/>
          </w:tcPr>
          <w:p w14:paraId="30D46CF9" w14:textId="411BC3F6" w:rsidR="009D2524" w:rsidRDefault="009D2524" w:rsidP="009D2524">
            <w:pPr>
              <w:spacing w:after="0" w:line="259" w:lineRule="auto"/>
              <w:ind w:left="0" w:right="49" w:firstLine="0"/>
              <w:jc w:val="center"/>
              <w:rPr>
                <w:sz w:val="18"/>
              </w:rPr>
            </w:pPr>
            <w:r>
              <w:rPr>
                <w:sz w:val="18"/>
              </w:rPr>
              <w:t>ug/L</w:t>
            </w:r>
          </w:p>
        </w:tc>
        <w:tc>
          <w:tcPr>
            <w:tcW w:w="773" w:type="dxa"/>
            <w:tcBorders>
              <w:top w:val="single" w:sz="4" w:space="0" w:color="000000"/>
              <w:left w:val="single" w:sz="12" w:space="0" w:color="000000"/>
              <w:bottom w:val="single" w:sz="4" w:space="0" w:color="000000"/>
              <w:right w:val="single" w:sz="12" w:space="0" w:color="000000"/>
            </w:tcBorders>
            <w:vAlign w:val="center"/>
          </w:tcPr>
          <w:p w14:paraId="60656459" w14:textId="61399CAA" w:rsidR="009D2524" w:rsidRDefault="009D2524" w:rsidP="009D2524">
            <w:pPr>
              <w:spacing w:after="0" w:line="259" w:lineRule="auto"/>
              <w:ind w:left="0" w:right="41" w:firstLine="0"/>
              <w:jc w:val="center"/>
              <w:rPr>
                <w:sz w:val="18"/>
              </w:rPr>
            </w:pPr>
            <w:r>
              <w:rPr>
                <w:sz w:val="18"/>
              </w:rPr>
              <w:t>2600</w:t>
            </w:r>
          </w:p>
        </w:tc>
        <w:tc>
          <w:tcPr>
            <w:tcW w:w="951" w:type="dxa"/>
            <w:tcBorders>
              <w:top w:val="single" w:sz="4" w:space="0" w:color="000000"/>
              <w:left w:val="single" w:sz="12" w:space="0" w:color="000000"/>
              <w:bottom w:val="single" w:sz="4" w:space="0" w:color="000000"/>
              <w:right w:val="single" w:sz="12" w:space="0" w:color="000000"/>
            </w:tcBorders>
            <w:vAlign w:val="center"/>
          </w:tcPr>
          <w:p w14:paraId="2CC786A5" w14:textId="7A3C1FF6" w:rsidR="009D2524" w:rsidRDefault="009D2524" w:rsidP="009D2524">
            <w:pPr>
              <w:spacing w:after="0" w:line="259" w:lineRule="auto"/>
              <w:ind w:left="0" w:right="46" w:firstLine="0"/>
              <w:jc w:val="center"/>
              <w:rPr>
                <w:rFonts w:eastAsia="Segoe UI Symbol"/>
                <w:sz w:val="18"/>
              </w:rPr>
            </w:pPr>
            <w:r>
              <w:rPr>
                <w:rFonts w:eastAsia="Segoe UI Symbol"/>
                <w:sz w:val="18"/>
              </w:rPr>
              <w:t>u</w:t>
            </w:r>
            <w:r>
              <w:rPr>
                <w:sz w:val="18"/>
              </w:rPr>
              <w:t>g/kg</w:t>
            </w:r>
          </w:p>
        </w:tc>
        <w:tc>
          <w:tcPr>
            <w:tcW w:w="630" w:type="dxa"/>
            <w:tcBorders>
              <w:top w:val="single" w:sz="4" w:space="0" w:color="000000"/>
              <w:left w:val="single" w:sz="12" w:space="0" w:color="000000"/>
              <w:bottom w:val="single" w:sz="4" w:space="0" w:color="000000"/>
              <w:right w:val="single" w:sz="12" w:space="0" w:color="000000"/>
            </w:tcBorders>
            <w:vAlign w:val="center"/>
          </w:tcPr>
          <w:p w14:paraId="7D853963" w14:textId="77777777" w:rsidR="009D2524" w:rsidRDefault="009D2524" w:rsidP="00DB6303">
            <w:pPr>
              <w:spacing w:after="0" w:line="259" w:lineRule="auto"/>
              <w:ind w:left="0" w:right="47" w:firstLine="0"/>
              <w:jc w:val="center"/>
              <w:rPr>
                <w:sz w:val="18"/>
              </w:rPr>
            </w:pPr>
          </w:p>
        </w:tc>
        <w:tc>
          <w:tcPr>
            <w:tcW w:w="540" w:type="dxa"/>
            <w:tcBorders>
              <w:top w:val="single" w:sz="4" w:space="0" w:color="000000"/>
              <w:left w:val="single" w:sz="12" w:space="0" w:color="000000"/>
              <w:bottom w:val="single" w:sz="4" w:space="0" w:color="000000"/>
              <w:right w:val="single" w:sz="12" w:space="0" w:color="000000"/>
            </w:tcBorders>
            <w:vAlign w:val="center"/>
          </w:tcPr>
          <w:p w14:paraId="7AF775CF" w14:textId="6FA32A62" w:rsidR="009D2524" w:rsidRDefault="009D2524" w:rsidP="00E8392B">
            <w:pPr>
              <w:spacing w:after="0" w:line="259" w:lineRule="auto"/>
              <w:ind w:left="96" w:right="0" w:firstLine="0"/>
              <w:rPr>
                <w:sz w:val="18"/>
              </w:rPr>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026F874E" w14:textId="77777777" w:rsidR="009D2524" w:rsidRDefault="009D2524" w:rsidP="00DB6303">
            <w:pPr>
              <w:spacing w:after="0" w:line="259" w:lineRule="auto"/>
              <w:ind w:left="0" w:right="47" w:firstLine="0"/>
              <w:jc w:val="center"/>
              <w:rPr>
                <w:sz w:val="18"/>
              </w:rPr>
            </w:pPr>
          </w:p>
        </w:tc>
        <w:tc>
          <w:tcPr>
            <w:tcW w:w="810" w:type="dxa"/>
            <w:tcBorders>
              <w:top w:val="single" w:sz="4" w:space="0" w:color="000000"/>
              <w:left w:val="single" w:sz="12" w:space="0" w:color="000000"/>
              <w:bottom w:val="single" w:sz="4" w:space="0" w:color="000000"/>
              <w:right w:val="single" w:sz="12" w:space="0" w:color="000000"/>
            </w:tcBorders>
            <w:vAlign w:val="center"/>
          </w:tcPr>
          <w:p w14:paraId="0BA66D9E" w14:textId="619DE1EB" w:rsidR="009D2524" w:rsidRDefault="009D2524" w:rsidP="009D2524">
            <w:pPr>
              <w:spacing w:after="0" w:line="259" w:lineRule="auto"/>
              <w:ind w:left="0" w:right="0" w:firstLine="0"/>
              <w:jc w:val="center"/>
              <w:rPr>
                <w:sz w:val="18"/>
              </w:rPr>
            </w:pPr>
            <w:r>
              <w:rPr>
                <w:sz w:val="18"/>
              </w:rPr>
              <w:t>8270</w:t>
            </w:r>
          </w:p>
        </w:tc>
        <w:tc>
          <w:tcPr>
            <w:tcW w:w="900" w:type="dxa"/>
            <w:tcBorders>
              <w:top w:val="single" w:sz="4" w:space="0" w:color="000000"/>
              <w:left w:val="single" w:sz="12" w:space="0" w:color="000000"/>
              <w:bottom w:val="single" w:sz="4" w:space="0" w:color="000000"/>
              <w:right w:val="single" w:sz="12" w:space="0" w:color="000000"/>
            </w:tcBorders>
            <w:vAlign w:val="center"/>
          </w:tcPr>
          <w:p w14:paraId="0AC7F54F" w14:textId="77777777" w:rsidR="009D2524" w:rsidRDefault="009D2524" w:rsidP="009D2524">
            <w:pPr>
              <w:spacing w:after="0" w:line="259" w:lineRule="auto"/>
              <w:ind w:left="0" w:right="0" w:firstLine="0"/>
              <w:jc w:val="center"/>
            </w:pPr>
          </w:p>
        </w:tc>
      </w:tr>
      <w:tr w:rsidR="00E8392B" w14:paraId="6386196F" w14:textId="77777777" w:rsidTr="005B6604">
        <w:trPr>
          <w:trHeight w:val="262"/>
        </w:trPr>
        <w:tc>
          <w:tcPr>
            <w:tcW w:w="2952" w:type="dxa"/>
            <w:tcBorders>
              <w:top w:val="single" w:sz="4" w:space="0" w:color="000000"/>
              <w:left w:val="single" w:sz="12" w:space="0" w:color="000000"/>
              <w:bottom w:val="single" w:sz="4" w:space="0" w:color="000000"/>
              <w:right w:val="single" w:sz="12" w:space="0" w:color="000000"/>
            </w:tcBorders>
          </w:tcPr>
          <w:p w14:paraId="1B471E59" w14:textId="00F0D901" w:rsidR="009D2524" w:rsidRDefault="009D2524" w:rsidP="009D2524">
            <w:pPr>
              <w:spacing w:after="0" w:line="259" w:lineRule="auto"/>
              <w:ind w:left="0" w:right="0" w:firstLine="0"/>
              <w:rPr>
                <w:sz w:val="18"/>
              </w:rPr>
            </w:pPr>
            <w:r>
              <w:rPr>
                <w:sz w:val="18"/>
              </w:rPr>
              <w:t>N-</w:t>
            </w:r>
            <w:proofErr w:type="spellStart"/>
            <w:r>
              <w:rPr>
                <w:sz w:val="18"/>
              </w:rPr>
              <w:t>Nitrosodi</w:t>
            </w:r>
            <w:proofErr w:type="spellEnd"/>
            <w:r>
              <w:rPr>
                <w:sz w:val="18"/>
              </w:rPr>
              <w:t xml:space="preserve">-n-butylamine </w:t>
            </w:r>
          </w:p>
        </w:tc>
        <w:tc>
          <w:tcPr>
            <w:tcW w:w="1155" w:type="dxa"/>
            <w:tcBorders>
              <w:top w:val="single" w:sz="4" w:space="0" w:color="000000"/>
              <w:left w:val="single" w:sz="12" w:space="0" w:color="000000"/>
              <w:bottom w:val="single" w:sz="4" w:space="0" w:color="000000"/>
              <w:right w:val="single" w:sz="12" w:space="0" w:color="000000"/>
            </w:tcBorders>
            <w:vAlign w:val="center"/>
          </w:tcPr>
          <w:p w14:paraId="1264047E" w14:textId="32C1ACAB" w:rsidR="009D2524" w:rsidRDefault="009D2524" w:rsidP="009D2524">
            <w:pPr>
              <w:spacing w:after="0" w:line="259" w:lineRule="auto"/>
              <w:ind w:left="0" w:right="44" w:firstLine="0"/>
              <w:jc w:val="center"/>
              <w:rPr>
                <w:sz w:val="18"/>
              </w:rPr>
            </w:pPr>
            <w:r>
              <w:rPr>
                <w:sz w:val="18"/>
              </w:rPr>
              <w:t>924-16-3</w:t>
            </w:r>
          </w:p>
        </w:tc>
        <w:tc>
          <w:tcPr>
            <w:tcW w:w="643" w:type="dxa"/>
            <w:tcBorders>
              <w:top w:val="single" w:sz="4" w:space="0" w:color="000000"/>
              <w:left w:val="single" w:sz="12" w:space="0" w:color="000000"/>
              <w:bottom w:val="single" w:sz="4" w:space="0" w:color="000000"/>
              <w:right w:val="single" w:sz="12" w:space="0" w:color="000000"/>
            </w:tcBorders>
            <w:vAlign w:val="center"/>
          </w:tcPr>
          <w:p w14:paraId="220D062E" w14:textId="4B09E387" w:rsidR="009D2524" w:rsidRDefault="009D2524" w:rsidP="009D2524">
            <w:pPr>
              <w:spacing w:after="0" w:line="259" w:lineRule="auto"/>
              <w:ind w:left="0" w:right="0" w:firstLine="0"/>
              <w:jc w:val="center"/>
              <w:rPr>
                <w:sz w:val="18"/>
              </w:rPr>
            </w:pPr>
            <w:r>
              <w:rPr>
                <w:sz w:val="18"/>
              </w:rPr>
              <w:t>10</w:t>
            </w:r>
          </w:p>
        </w:tc>
        <w:tc>
          <w:tcPr>
            <w:tcW w:w="726" w:type="dxa"/>
            <w:tcBorders>
              <w:top w:val="single" w:sz="4" w:space="0" w:color="000000"/>
              <w:left w:val="single" w:sz="12" w:space="0" w:color="000000"/>
              <w:bottom w:val="single" w:sz="4" w:space="0" w:color="000000"/>
              <w:right w:val="single" w:sz="12" w:space="0" w:color="000000"/>
            </w:tcBorders>
            <w:vAlign w:val="center"/>
          </w:tcPr>
          <w:p w14:paraId="68B2D339" w14:textId="556A9B5B" w:rsidR="009D2524" w:rsidRDefault="009D2524" w:rsidP="009D2524">
            <w:pPr>
              <w:spacing w:after="0" w:line="259" w:lineRule="auto"/>
              <w:ind w:left="0" w:right="49" w:firstLine="0"/>
              <w:jc w:val="center"/>
              <w:rPr>
                <w:sz w:val="18"/>
              </w:rPr>
            </w:pPr>
            <w:r>
              <w:rPr>
                <w:sz w:val="18"/>
              </w:rPr>
              <w:t>ug/L</w:t>
            </w:r>
          </w:p>
        </w:tc>
        <w:tc>
          <w:tcPr>
            <w:tcW w:w="773" w:type="dxa"/>
            <w:tcBorders>
              <w:top w:val="single" w:sz="4" w:space="0" w:color="000000"/>
              <w:left w:val="single" w:sz="12" w:space="0" w:color="000000"/>
              <w:bottom w:val="single" w:sz="4" w:space="0" w:color="000000"/>
              <w:right w:val="single" w:sz="12" w:space="0" w:color="000000"/>
            </w:tcBorders>
            <w:vAlign w:val="center"/>
          </w:tcPr>
          <w:p w14:paraId="2F5E1A9C" w14:textId="75D6C407" w:rsidR="009D2524" w:rsidRDefault="009D2524" w:rsidP="009D2524">
            <w:pPr>
              <w:spacing w:after="0" w:line="259" w:lineRule="auto"/>
              <w:ind w:left="0" w:right="41" w:firstLine="0"/>
              <w:jc w:val="center"/>
              <w:rPr>
                <w:sz w:val="18"/>
              </w:rPr>
            </w:pPr>
            <w:r>
              <w:rPr>
                <w:sz w:val="18"/>
              </w:rPr>
              <w:t>660</w:t>
            </w:r>
          </w:p>
        </w:tc>
        <w:tc>
          <w:tcPr>
            <w:tcW w:w="951" w:type="dxa"/>
            <w:tcBorders>
              <w:top w:val="single" w:sz="4" w:space="0" w:color="000000"/>
              <w:left w:val="single" w:sz="12" w:space="0" w:color="000000"/>
              <w:bottom w:val="single" w:sz="4" w:space="0" w:color="000000"/>
              <w:right w:val="single" w:sz="12" w:space="0" w:color="000000"/>
            </w:tcBorders>
            <w:vAlign w:val="center"/>
          </w:tcPr>
          <w:p w14:paraId="482F9189" w14:textId="4B2B35CE" w:rsidR="009D2524" w:rsidRDefault="009D2524" w:rsidP="009D2524">
            <w:pPr>
              <w:spacing w:after="0" w:line="259" w:lineRule="auto"/>
              <w:ind w:left="0" w:right="46" w:firstLine="0"/>
              <w:jc w:val="center"/>
              <w:rPr>
                <w:rFonts w:eastAsia="Segoe UI Symbol"/>
                <w:sz w:val="18"/>
              </w:rPr>
            </w:pPr>
            <w:r>
              <w:rPr>
                <w:rFonts w:eastAsia="Segoe UI Symbol"/>
                <w:sz w:val="18"/>
              </w:rPr>
              <w:t>u</w:t>
            </w:r>
            <w:r>
              <w:rPr>
                <w:sz w:val="18"/>
              </w:rPr>
              <w:t>g/kg</w:t>
            </w:r>
          </w:p>
        </w:tc>
        <w:tc>
          <w:tcPr>
            <w:tcW w:w="630" w:type="dxa"/>
            <w:tcBorders>
              <w:top w:val="single" w:sz="4" w:space="0" w:color="000000"/>
              <w:left w:val="single" w:sz="12" w:space="0" w:color="000000"/>
              <w:bottom w:val="single" w:sz="4" w:space="0" w:color="000000"/>
              <w:right w:val="single" w:sz="12" w:space="0" w:color="000000"/>
            </w:tcBorders>
            <w:vAlign w:val="center"/>
          </w:tcPr>
          <w:p w14:paraId="63EF1DD1" w14:textId="53BC0404" w:rsidR="009D2524" w:rsidRDefault="009D2524" w:rsidP="00DB6303">
            <w:pPr>
              <w:spacing w:after="0" w:line="259" w:lineRule="auto"/>
              <w:ind w:left="0" w:right="47" w:firstLine="0"/>
              <w:jc w:val="center"/>
              <w:rPr>
                <w:sz w:val="18"/>
              </w:rPr>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6757CE17" w14:textId="6EF2E1AC" w:rsidR="009D2524" w:rsidRDefault="009D2524" w:rsidP="00E8392B">
            <w:pPr>
              <w:spacing w:after="0" w:line="259" w:lineRule="auto"/>
              <w:ind w:left="96" w:right="0" w:firstLine="0"/>
              <w:rPr>
                <w:sz w:val="18"/>
              </w:rPr>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2E8A292A" w14:textId="76C8639D" w:rsidR="009D2524" w:rsidRDefault="009D2524" w:rsidP="00DB6303">
            <w:pPr>
              <w:spacing w:after="0" w:line="259" w:lineRule="auto"/>
              <w:ind w:left="0" w:right="47" w:firstLine="0"/>
              <w:jc w:val="center"/>
              <w:rPr>
                <w:sz w:val="18"/>
              </w:rPr>
            </w:pPr>
            <w:r>
              <w:rPr>
                <w:sz w:val="18"/>
              </w:rPr>
              <w:t>X</w:t>
            </w:r>
          </w:p>
        </w:tc>
        <w:tc>
          <w:tcPr>
            <w:tcW w:w="810" w:type="dxa"/>
            <w:tcBorders>
              <w:top w:val="single" w:sz="4" w:space="0" w:color="000000"/>
              <w:left w:val="single" w:sz="12" w:space="0" w:color="000000"/>
              <w:bottom w:val="single" w:sz="4" w:space="0" w:color="000000"/>
              <w:right w:val="single" w:sz="12" w:space="0" w:color="000000"/>
            </w:tcBorders>
            <w:vAlign w:val="center"/>
          </w:tcPr>
          <w:p w14:paraId="0559FDD0" w14:textId="00A2800A" w:rsidR="009D2524" w:rsidRDefault="009D2524" w:rsidP="009D2524">
            <w:pPr>
              <w:spacing w:after="0" w:line="259" w:lineRule="auto"/>
              <w:ind w:left="0" w:right="0" w:firstLine="0"/>
              <w:jc w:val="center"/>
              <w:rPr>
                <w:sz w:val="18"/>
              </w:rPr>
            </w:pPr>
            <w:r>
              <w:rPr>
                <w:sz w:val="18"/>
              </w:rPr>
              <w:t>8270</w:t>
            </w:r>
          </w:p>
        </w:tc>
        <w:tc>
          <w:tcPr>
            <w:tcW w:w="900" w:type="dxa"/>
            <w:tcBorders>
              <w:top w:val="single" w:sz="4" w:space="0" w:color="000000"/>
              <w:left w:val="single" w:sz="12" w:space="0" w:color="000000"/>
              <w:bottom w:val="single" w:sz="4" w:space="0" w:color="000000"/>
              <w:right w:val="single" w:sz="12" w:space="0" w:color="000000"/>
            </w:tcBorders>
            <w:vAlign w:val="center"/>
          </w:tcPr>
          <w:p w14:paraId="686AC7F6" w14:textId="77777777" w:rsidR="009D2524" w:rsidRDefault="009D2524" w:rsidP="009D2524">
            <w:pPr>
              <w:spacing w:after="0" w:line="259" w:lineRule="auto"/>
              <w:ind w:left="0" w:right="0" w:firstLine="0"/>
              <w:jc w:val="center"/>
            </w:pPr>
          </w:p>
        </w:tc>
      </w:tr>
      <w:tr w:rsidR="00E8392B" w14:paraId="69037BCC" w14:textId="77777777" w:rsidTr="005B6604">
        <w:trPr>
          <w:trHeight w:val="262"/>
        </w:trPr>
        <w:tc>
          <w:tcPr>
            <w:tcW w:w="2952" w:type="dxa"/>
            <w:tcBorders>
              <w:top w:val="single" w:sz="4" w:space="0" w:color="000000"/>
              <w:left w:val="single" w:sz="12" w:space="0" w:color="000000"/>
              <w:bottom w:val="single" w:sz="4" w:space="0" w:color="000000"/>
              <w:right w:val="single" w:sz="12" w:space="0" w:color="000000"/>
            </w:tcBorders>
          </w:tcPr>
          <w:p w14:paraId="36D21CF8" w14:textId="7516B8CD" w:rsidR="009D2524" w:rsidRDefault="009D2524" w:rsidP="009D2524">
            <w:pPr>
              <w:spacing w:after="0" w:line="259" w:lineRule="auto"/>
              <w:ind w:left="0" w:right="0" w:firstLine="0"/>
              <w:rPr>
                <w:sz w:val="18"/>
              </w:rPr>
            </w:pPr>
            <w:r>
              <w:rPr>
                <w:sz w:val="18"/>
              </w:rPr>
              <w:t>N-</w:t>
            </w:r>
            <w:proofErr w:type="spellStart"/>
            <w:r>
              <w:rPr>
                <w:sz w:val="18"/>
              </w:rPr>
              <w:t>Nitrosodiethylamine</w:t>
            </w:r>
            <w:proofErr w:type="spellEnd"/>
            <w:r>
              <w:rPr>
                <w:sz w:val="18"/>
              </w:rPr>
              <w:t xml:space="preserve"> </w:t>
            </w:r>
          </w:p>
        </w:tc>
        <w:tc>
          <w:tcPr>
            <w:tcW w:w="1155" w:type="dxa"/>
            <w:tcBorders>
              <w:top w:val="single" w:sz="4" w:space="0" w:color="000000"/>
              <w:left w:val="single" w:sz="12" w:space="0" w:color="000000"/>
              <w:bottom w:val="single" w:sz="4" w:space="0" w:color="000000"/>
              <w:right w:val="single" w:sz="12" w:space="0" w:color="000000"/>
            </w:tcBorders>
            <w:vAlign w:val="center"/>
          </w:tcPr>
          <w:p w14:paraId="35AE2020" w14:textId="03BC8105" w:rsidR="009D2524" w:rsidRDefault="009D2524" w:rsidP="009D2524">
            <w:pPr>
              <w:spacing w:after="0" w:line="259" w:lineRule="auto"/>
              <w:ind w:left="0" w:right="44" w:firstLine="0"/>
              <w:jc w:val="center"/>
              <w:rPr>
                <w:sz w:val="18"/>
              </w:rPr>
            </w:pPr>
            <w:r>
              <w:rPr>
                <w:sz w:val="18"/>
              </w:rPr>
              <w:t>55-18-5</w:t>
            </w:r>
          </w:p>
        </w:tc>
        <w:tc>
          <w:tcPr>
            <w:tcW w:w="643" w:type="dxa"/>
            <w:tcBorders>
              <w:top w:val="single" w:sz="4" w:space="0" w:color="000000"/>
              <w:left w:val="single" w:sz="12" w:space="0" w:color="000000"/>
              <w:bottom w:val="single" w:sz="4" w:space="0" w:color="000000"/>
              <w:right w:val="single" w:sz="12" w:space="0" w:color="000000"/>
            </w:tcBorders>
            <w:vAlign w:val="center"/>
          </w:tcPr>
          <w:p w14:paraId="741330C8" w14:textId="71AE5516" w:rsidR="009D2524" w:rsidRDefault="009D2524" w:rsidP="009D2524">
            <w:pPr>
              <w:spacing w:after="0" w:line="259" w:lineRule="auto"/>
              <w:ind w:left="0" w:right="0" w:firstLine="0"/>
              <w:jc w:val="center"/>
              <w:rPr>
                <w:sz w:val="18"/>
              </w:rPr>
            </w:pPr>
            <w:r>
              <w:rPr>
                <w:sz w:val="18"/>
              </w:rPr>
              <w:t>20</w:t>
            </w:r>
          </w:p>
        </w:tc>
        <w:tc>
          <w:tcPr>
            <w:tcW w:w="726" w:type="dxa"/>
            <w:tcBorders>
              <w:top w:val="single" w:sz="4" w:space="0" w:color="000000"/>
              <w:left w:val="single" w:sz="12" w:space="0" w:color="000000"/>
              <w:bottom w:val="single" w:sz="4" w:space="0" w:color="000000"/>
              <w:right w:val="single" w:sz="12" w:space="0" w:color="000000"/>
            </w:tcBorders>
            <w:vAlign w:val="center"/>
          </w:tcPr>
          <w:p w14:paraId="1F435B99" w14:textId="480316A4" w:rsidR="009D2524" w:rsidRDefault="009D2524" w:rsidP="009D2524">
            <w:pPr>
              <w:spacing w:after="0" w:line="259" w:lineRule="auto"/>
              <w:ind w:left="0" w:right="49" w:firstLine="0"/>
              <w:jc w:val="center"/>
              <w:rPr>
                <w:sz w:val="18"/>
              </w:rPr>
            </w:pPr>
            <w:r>
              <w:rPr>
                <w:sz w:val="18"/>
              </w:rPr>
              <w:t>ug/L</w:t>
            </w:r>
          </w:p>
        </w:tc>
        <w:tc>
          <w:tcPr>
            <w:tcW w:w="773" w:type="dxa"/>
            <w:tcBorders>
              <w:top w:val="single" w:sz="4" w:space="0" w:color="000000"/>
              <w:left w:val="single" w:sz="12" w:space="0" w:color="000000"/>
              <w:bottom w:val="single" w:sz="4" w:space="0" w:color="000000"/>
              <w:right w:val="single" w:sz="12" w:space="0" w:color="000000"/>
            </w:tcBorders>
            <w:vAlign w:val="center"/>
          </w:tcPr>
          <w:p w14:paraId="761DC8A2" w14:textId="39886FEA" w:rsidR="009D2524" w:rsidRDefault="009D2524" w:rsidP="009D2524">
            <w:pPr>
              <w:spacing w:after="0" w:line="259" w:lineRule="auto"/>
              <w:ind w:left="0" w:right="41" w:firstLine="0"/>
              <w:jc w:val="center"/>
              <w:rPr>
                <w:sz w:val="18"/>
              </w:rPr>
            </w:pPr>
            <w:r>
              <w:rPr>
                <w:sz w:val="18"/>
              </w:rPr>
              <w:t>1300</w:t>
            </w:r>
          </w:p>
        </w:tc>
        <w:tc>
          <w:tcPr>
            <w:tcW w:w="951" w:type="dxa"/>
            <w:tcBorders>
              <w:top w:val="single" w:sz="4" w:space="0" w:color="000000"/>
              <w:left w:val="single" w:sz="12" w:space="0" w:color="000000"/>
              <w:bottom w:val="single" w:sz="4" w:space="0" w:color="000000"/>
              <w:right w:val="single" w:sz="12" w:space="0" w:color="000000"/>
            </w:tcBorders>
            <w:vAlign w:val="center"/>
          </w:tcPr>
          <w:p w14:paraId="6FA6D6B3" w14:textId="423A31C9" w:rsidR="009D2524" w:rsidRDefault="009D2524" w:rsidP="009D2524">
            <w:pPr>
              <w:spacing w:after="0" w:line="259" w:lineRule="auto"/>
              <w:ind w:left="0" w:right="46" w:firstLine="0"/>
              <w:jc w:val="center"/>
              <w:rPr>
                <w:rFonts w:eastAsia="Segoe UI Symbol"/>
                <w:sz w:val="18"/>
              </w:rPr>
            </w:pPr>
            <w:r>
              <w:rPr>
                <w:rFonts w:eastAsia="Segoe UI Symbol"/>
                <w:sz w:val="18"/>
              </w:rPr>
              <w:t>u</w:t>
            </w:r>
            <w:r>
              <w:rPr>
                <w:sz w:val="18"/>
              </w:rPr>
              <w:t>g/kg</w:t>
            </w:r>
          </w:p>
        </w:tc>
        <w:tc>
          <w:tcPr>
            <w:tcW w:w="630" w:type="dxa"/>
            <w:tcBorders>
              <w:top w:val="single" w:sz="4" w:space="0" w:color="000000"/>
              <w:left w:val="single" w:sz="12" w:space="0" w:color="000000"/>
              <w:bottom w:val="single" w:sz="4" w:space="0" w:color="000000"/>
              <w:right w:val="single" w:sz="12" w:space="0" w:color="000000"/>
            </w:tcBorders>
            <w:vAlign w:val="center"/>
          </w:tcPr>
          <w:p w14:paraId="6E8787F0" w14:textId="4D94B453" w:rsidR="009D2524" w:rsidRDefault="009D2524" w:rsidP="00DB6303">
            <w:pPr>
              <w:spacing w:after="0" w:line="259" w:lineRule="auto"/>
              <w:ind w:left="0" w:right="47" w:firstLine="0"/>
              <w:jc w:val="center"/>
              <w:rPr>
                <w:sz w:val="18"/>
              </w:rPr>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6076E637" w14:textId="5CD6B8DB" w:rsidR="009D2524" w:rsidRDefault="009D2524" w:rsidP="00E8392B">
            <w:pPr>
              <w:spacing w:after="0" w:line="259" w:lineRule="auto"/>
              <w:ind w:left="96" w:right="0" w:firstLine="0"/>
              <w:rPr>
                <w:sz w:val="18"/>
              </w:rPr>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4C6AB8B3" w14:textId="347E8832" w:rsidR="009D2524" w:rsidRDefault="009D2524" w:rsidP="00DB6303">
            <w:pPr>
              <w:spacing w:after="0" w:line="259" w:lineRule="auto"/>
              <w:ind w:left="0" w:right="47" w:firstLine="0"/>
              <w:jc w:val="center"/>
              <w:rPr>
                <w:sz w:val="18"/>
              </w:rPr>
            </w:pPr>
            <w:r>
              <w:rPr>
                <w:sz w:val="18"/>
              </w:rPr>
              <w:t>X</w:t>
            </w:r>
          </w:p>
        </w:tc>
        <w:tc>
          <w:tcPr>
            <w:tcW w:w="810" w:type="dxa"/>
            <w:tcBorders>
              <w:top w:val="single" w:sz="4" w:space="0" w:color="000000"/>
              <w:left w:val="single" w:sz="12" w:space="0" w:color="000000"/>
              <w:bottom w:val="single" w:sz="4" w:space="0" w:color="000000"/>
              <w:right w:val="single" w:sz="12" w:space="0" w:color="000000"/>
            </w:tcBorders>
            <w:vAlign w:val="center"/>
          </w:tcPr>
          <w:p w14:paraId="353C9A5F" w14:textId="753BA972" w:rsidR="009D2524" w:rsidRDefault="009D2524" w:rsidP="009D2524">
            <w:pPr>
              <w:spacing w:after="0" w:line="259" w:lineRule="auto"/>
              <w:ind w:left="0" w:right="0" w:firstLine="0"/>
              <w:jc w:val="center"/>
              <w:rPr>
                <w:sz w:val="18"/>
              </w:rPr>
            </w:pPr>
            <w:r>
              <w:rPr>
                <w:sz w:val="18"/>
              </w:rPr>
              <w:t>8270</w:t>
            </w:r>
          </w:p>
        </w:tc>
        <w:tc>
          <w:tcPr>
            <w:tcW w:w="900" w:type="dxa"/>
            <w:tcBorders>
              <w:top w:val="single" w:sz="4" w:space="0" w:color="000000"/>
              <w:left w:val="single" w:sz="12" w:space="0" w:color="000000"/>
              <w:bottom w:val="single" w:sz="4" w:space="0" w:color="000000"/>
              <w:right w:val="single" w:sz="12" w:space="0" w:color="000000"/>
            </w:tcBorders>
            <w:vAlign w:val="center"/>
          </w:tcPr>
          <w:p w14:paraId="70FB0533" w14:textId="77777777" w:rsidR="009D2524" w:rsidRDefault="009D2524" w:rsidP="009D2524">
            <w:pPr>
              <w:spacing w:after="0" w:line="259" w:lineRule="auto"/>
              <w:ind w:left="0" w:right="0" w:firstLine="0"/>
              <w:jc w:val="center"/>
            </w:pPr>
          </w:p>
        </w:tc>
      </w:tr>
      <w:tr w:rsidR="00E8392B" w14:paraId="5C888514" w14:textId="77777777" w:rsidTr="005B6604">
        <w:trPr>
          <w:trHeight w:val="262"/>
        </w:trPr>
        <w:tc>
          <w:tcPr>
            <w:tcW w:w="2952" w:type="dxa"/>
            <w:tcBorders>
              <w:top w:val="single" w:sz="4" w:space="0" w:color="000000"/>
              <w:left w:val="single" w:sz="12" w:space="0" w:color="000000"/>
              <w:bottom w:val="single" w:sz="4" w:space="0" w:color="000000"/>
              <w:right w:val="single" w:sz="12" w:space="0" w:color="000000"/>
            </w:tcBorders>
          </w:tcPr>
          <w:p w14:paraId="16149198" w14:textId="7CF7D314" w:rsidR="00BC7D71" w:rsidRDefault="00BC7D71" w:rsidP="00BC7D71">
            <w:pPr>
              <w:spacing w:after="0" w:line="259" w:lineRule="auto"/>
              <w:ind w:left="0" w:right="0" w:firstLine="0"/>
              <w:rPr>
                <w:sz w:val="18"/>
              </w:rPr>
            </w:pPr>
            <w:r>
              <w:rPr>
                <w:sz w:val="18"/>
              </w:rPr>
              <w:t>N-</w:t>
            </w:r>
            <w:proofErr w:type="spellStart"/>
            <w:r>
              <w:rPr>
                <w:sz w:val="18"/>
              </w:rPr>
              <w:t>Nitrosodimethylamine</w:t>
            </w:r>
            <w:proofErr w:type="spellEnd"/>
            <w:r>
              <w:rPr>
                <w:sz w:val="18"/>
              </w:rPr>
              <w:t xml:space="preserve"> </w:t>
            </w:r>
          </w:p>
        </w:tc>
        <w:tc>
          <w:tcPr>
            <w:tcW w:w="1155" w:type="dxa"/>
            <w:tcBorders>
              <w:top w:val="single" w:sz="4" w:space="0" w:color="000000"/>
              <w:left w:val="single" w:sz="12" w:space="0" w:color="000000"/>
              <w:bottom w:val="single" w:sz="4" w:space="0" w:color="000000"/>
              <w:right w:val="single" w:sz="12" w:space="0" w:color="000000"/>
            </w:tcBorders>
            <w:vAlign w:val="center"/>
          </w:tcPr>
          <w:p w14:paraId="2E2236C2" w14:textId="4A698E6A" w:rsidR="00BC7D71" w:rsidRDefault="00BC7D71" w:rsidP="00BC7D71">
            <w:pPr>
              <w:spacing w:after="0" w:line="259" w:lineRule="auto"/>
              <w:ind w:left="0" w:right="44" w:firstLine="0"/>
              <w:jc w:val="center"/>
              <w:rPr>
                <w:sz w:val="18"/>
              </w:rPr>
            </w:pPr>
            <w:r>
              <w:rPr>
                <w:sz w:val="18"/>
              </w:rPr>
              <w:t>62-75-9</w:t>
            </w:r>
          </w:p>
        </w:tc>
        <w:tc>
          <w:tcPr>
            <w:tcW w:w="643" w:type="dxa"/>
            <w:tcBorders>
              <w:top w:val="single" w:sz="4" w:space="0" w:color="000000"/>
              <w:left w:val="single" w:sz="12" w:space="0" w:color="000000"/>
              <w:bottom w:val="single" w:sz="4" w:space="0" w:color="000000"/>
              <w:right w:val="single" w:sz="12" w:space="0" w:color="000000"/>
            </w:tcBorders>
            <w:vAlign w:val="center"/>
          </w:tcPr>
          <w:p w14:paraId="719B6F57" w14:textId="4E8964EE" w:rsidR="00BC7D71" w:rsidRDefault="00BC7D71" w:rsidP="00BC7D71">
            <w:pPr>
              <w:spacing w:after="0" w:line="259" w:lineRule="auto"/>
              <w:ind w:left="0" w:right="0" w:firstLine="0"/>
              <w:jc w:val="center"/>
              <w:rPr>
                <w:sz w:val="18"/>
              </w:rPr>
            </w:pPr>
            <w:r>
              <w:rPr>
                <w:sz w:val="18"/>
              </w:rPr>
              <w:t>20</w:t>
            </w:r>
          </w:p>
        </w:tc>
        <w:tc>
          <w:tcPr>
            <w:tcW w:w="726" w:type="dxa"/>
            <w:tcBorders>
              <w:top w:val="single" w:sz="4" w:space="0" w:color="000000"/>
              <w:left w:val="single" w:sz="12" w:space="0" w:color="000000"/>
              <w:bottom w:val="single" w:sz="4" w:space="0" w:color="000000"/>
              <w:right w:val="single" w:sz="12" w:space="0" w:color="000000"/>
            </w:tcBorders>
            <w:vAlign w:val="center"/>
          </w:tcPr>
          <w:p w14:paraId="730B45A7" w14:textId="07F1D1EF" w:rsidR="00BC7D71" w:rsidRDefault="00BC7D71" w:rsidP="00BC7D71">
            <w:pPr>
              <w:spacing w:after="0" w:line="259" w:lineRule="auto"/>
              <w:ind w:left="0" w:right="49" w:firstLine="0"/>
              <w:jc w:val="center"/>
              <w:rPr>
                <w:sz w:val="18"/>
              </w:rPr>
            </w:pPr>
            <w:r>
              <w:rPr>
                <w:sz w:val="18"/>
              </w:rPr>
              <w:t>ug/L</w:t>
            </w:r>
          </w:p>
        </w:tc>
        <w:tc>
          <w:tcPr>
            <w:tcW w:w="773" w:type="dxa"/>
            <w:tcBorders>
              <w:top w:val="single" w:sz="4" w:space="0" w:color="000000"/>
              <w:left w:val="single" w:sz="12" w:space="0" w:color="000000"/>
              <w:bottom w:val="single" w:sz="4" w:space="0" w:color="000000"/>
              <w:right w:val="single" w:sz="12" w:space="0" w:color="000000"/>
            </w:tcBorders>
            <w:vAlign w:val="center"/>
          </w:tcPr>
          <w:p w14:paraId="127C0AFC" w14:textId="630F7EA3" w:rsidR="00BC7D71" w:rsidRDefault="00BC7D71" w:rsidP="00BC7D71">
            <w:pPr>
              <w:spacing w:after="0" w:line="259" w:lineRule="auto"/>
              <w:ind w:left="0" w:right="41" w:firstLine="0"/>
              <w:jc w:val="center"/>
              <w:rPr>
                <w:sz w:val="18"/>
              </w:rPr>
            </w:pPr>
            <w:r>
              <w:rPr>
                <w:sz w:val="18"/>
              </w:rPr>
              <w:t>1300</w:t>
            </w:r>
          </w:p>
        </w:tc>
        <w:tc>
          <w:tcPr>
            <w:tcW w:w="951" w:type="dxa"/>
            <w:tcBorders>
              <w:top w:val="single" w:sz="4" w:space="0" w:color="000000"/>
              <w:left w:val="single" w:sz="12" w:space="0" w:color="000000"/>
              <w:bottom w:val="single" w:sz="4" w:space="0" w:color="000000"/>
              <w:right w:val="single" w:sz="12" w:space="0" w:color="000000"/>
            </w:tcBorders>
            <w:vAlign w:val="center"/>
          </w:tcPr>
          <w:p w14:paraId="3BBE2E01" w14:textId="647A119F" w:rsidR="00BC7D71" w:rsidRDefault="00BC7D71" w:rsidP="00BC7D71">
            <w:pPr>
              <w:spacing w:after="0" w:line="259" w:lineRule="auto"/>
              <w:ind w:left="0" w:right="46" w:firstLine="0"/>
              <w:jc w:val="center"/>
              <w:rPr>
                <w:rFonts w:eastAsia="Segoe UI Symbol"/>
                <w:sz w:val="18"/>
              </w:rPr>
            </w:pPr>
            <w:r>
              <w:rPr>
                <w:rFonts w:eastAsia="Segoe UI Symbol"/>
                <w:sz w:val="18"/>
              </w:rPr>
              <w:t>u</w:t>
            </w:r>
            <w:r>
              <w:rPr>
                <w:sz w:val="18"/>
              </w:rPr>
              <w:t>g/kg</w:t>
            </w:r>
          </w:p>
        </w:tc>
        <w:tc>
          <w:tcPr>
            <w:tcW w:w="630" w:type="dxa"/>
            <w:tcBorders>
              <w:top w:val="single" w:sz="4" w:space="0" w:color="000000"/>
              <w:left w:val="single" w:sz="12" w:space="0" w:color="000000"/>
              <w:bottom w:val="single" w:sz="4" w:space="0" w:color="000000"/>
              <w:right w:val="single" w:sz="12" w:space="0" w:color="000000"/>
            </w:tcBorders>
            <w:vAlign w:val="center"/>
          </w:tcPr>
          <w:p w14:paraId="09F7A8A5" w14:textId="3A02FBDF" w:rsidR="00BC7D71" w:rsidRDefault="00BC7D71" w:rsidP="00DB6303">
            <w:pPr>
              <w:spacing w:after="0" w:line="259" w:lineRule="auto"/>
              <w:ind w:left="0" w:right="47" w:firstLine="0"/>
              <w:jc w:val="center"/>
              <w:rPr>
                <w:sz w:val="18"/>
              </w:rPr>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7D0D71F8" w14:textId="1F855E33" w:rsidR="00BC7D71" w:rsidRDefault="00BC7D71" w:rsidP="00E8392B">
            <w:pPr>
              <w:spacing w:after="0" w:line="259" w:lineRule="auto"/>
              <w:ind w:left="96" w:right="0" w:firstLine="0"/>
              <w:rPr>
                <w:sz w:val="18"/>
              </w:rPr>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07DA217F" w14:textId="5A7B893E" w:rsidR="00BC7D71" w:rsidRDefault="00BC7D71" w:rsidP="00DB6303">
            <w:pPr>
              <w:spacing w:after="0" w:line="259" w:lineRule="auto"/>
              <w:ind w:left="0" w:right="47" w:firstLine="0"/>
              <w:jc w:val="center"/>
              <w:rPr>
                <w:sz w:val="18"/>
              </w:rPr>
            </w:pPr>
            <w:r>
              <w:rPr>
                <w:sz w:val="18"/>
              </w:rPr>
              <w:t>X</w:t>
            </w:r>
          </w:p>
        </w:tc>
        <w:tc>
          <w:tcPr>
            <w:tcW w:w="810" w:type="dxa"/>
            <w:tcBorders>
              <w:top w:val="single" w:sz="4" w:space="0" w:color="000000"/>
              <w:left w:val="single" w:sz="12" w:space="0" w:color="000000"/>
              <w:bottom w:val="single" w:sz="4" w:space="0" w:color="000000"/>
              <w:right w:val="single" w:sz="12" w:space="0" w:color="000000"/>
            </w:tcBorders>
            <w:vAlign w:val="center"/>
          </w:tcPr>
          <w:p w14:paraId="5643B5EA" w14:textId="504CEAA3" w:rsidR="00BC7D71" w:rsidRDefault="00BC7D71" w:rsidP="00BC7D71">
            <w:pPr>
              <w:spacing w:after="0" w:line="259" w:lineRule="auto"/>
              <w:ind w:left="0" w:right="0" w:firstLine="0"/>
              <w:jc w:val="center"/>
              <w:rPr>
                <w:sz w:val="18"/>
              </w:rPr>
            </w:pPr>
            <w:r>
              <w:rPr>
                <w:sz w:val="18"/>
              </w:rPr>
              <w:t>8270</w:t>
            </w:r>
          </w:p>
        </w:tc>
        <w:tc>
          <w:tcPr>
            <w:tcW w:w="900" w:type="dxa"/>
            <w:tcBorders>
              <w:top w:val="single" w:sz="4" w:space="0" w:color="000000"/>
              <w:left w:val="single" w:sz="12" w:space="0" w:color="000000"/>
              <w:bottom w:val="single" w:sz="4" w:space="0" w:color="000000"/>
              <w:right w:val="single" w:sz="12" w:space="0" w:color="000000"/>
            </w:tcBorders>
            <w:vAlign w:val="center"/>
          </w:tcPr>
          <w:p w14:paraId="7EA6B55C" w14:textId="77777777" w:rsidR="00BC7D71" w:rsidRDefault="00BC7D71" w:rsidP="00BC7D71">
            <w:pPr>
              <w:spacing w:after="0" w:line="259" w:lineRule="auto"/>
              <w:ind w:left="0" w:right="0" w:firstLine="0"/>
              <w:jc w:val="center"/>
            </w:pPr>
          </w:p>
        </w:tc>
      </w:tr>
      <w:tr w:rsidR="00E8392B" w14:paraId="75217023" w14:textId="77777777" w:rsidTr="005B6604">
        <w:trPr>
          <w:trHeight w:val="262"/>
        </w:trPr>
        <w:tc>
          <w:tcPr>
            <w:tcW w:w="2952" w:type="dxa"/>
            <w:tcBorders>
              <w:top w:val="single" w:sz="4" w:space="0" w:color="000000"/>
              <w:left w:val="single" w:sz="12" w:space="0" w:color="000000"/>
              <w:bottom w:val="single" w:sz="4" w:space="0" w:color="000000"/>
              <w:right w:val="single" w:sz="12" w:space="0" w:color="000000"/>
            </w:tcBorders>
          </w:tcPr>
          <w:p w14:paraId="5FF20A65" w14:textId="06762BE4" w:rsidR="00BC7D71" w:rsidRDefault="00BC7D71" w:rsidP="00BC7D71">
            <w:pPr>
              <w:spacing w:after="0" w:line="259" w:lineRule="auto"/>
              <w:ind w:left="0" w:right="0" w:firstLine="0"/>
              <w:rPr>
                <w:sz w:val="18"/>
              </w:rPr>
            </w:pPr>
            <w:r>
              <w:rPr>
                <w:sz w:val="18"/>
              </w:rPr>
              <w:t>N-</w:t>
            </w:r>
            <w:proofErr w:type="spellStart"/>
            <w:r>
              <w:rPr>
                <w:sz w:val="18"/>
              </w:rPr>
              <w:t>Nitrosomethylethylamine</w:t>
            </w:r>
            <w:proofErr w:type="spellEnd"/>
            <w:r>
              <w:rPr>
                <w:sz w:val="18"/>
              </w:rPr>
              <w:t xml:space="preserve"> </w:t>
            </w:r>
          </w:p>
        </w:tc>
        <w:tc>
          <w:tcPr>
            <w:tcW w:w="1155" w:type="dxa"/>
            <w:tcBorders>
              <w:top w:val="single" w:sz="4" w:space="0" w:color="000000"/>
              <w:left w:val="single" w:sz="12" w:space="0" w:color="000000"/>
              <w:bottom w:val="single" w:sz="4" w:space="0" w:color="000000"/>
              <w:right w:val="single" w:sz="12" w:space="0" w:color="000000"/>
            </w:tcBorders>
            <w:vAlign w:val="center"/>
          </w:tcPr>
          <w:p w14:paraId="6385A605" w14:textId="7E7E7402" w:rsidR="00BC7D71" w:rsidRDefault="00BC7D71" w:rsidP="00BC7D71">
            <w:pPr>
              <w:spacing w:after="0" w:line="259" w:lineRule="auto"/>
              <w:ind w:left="0" w:right="44" w:firstLine="0"/>
              <w:jc w:val="center"/>
              <w:rPr>
                <w:sz w:val="18"/>
              </w:rPr>
            </w:pPr>
            <w:r>
              <w:rPr>
                <w:sz w:val="18"/>
              </w:rPr>
              <w:t>10595-95-6</w:t>
            </w:r>
          </w:p>
        </w:tc>
        <w:tc>
          <w:tcPr>
            <w:tcW w:w="643" w:type="dxa"/>
            <w:tcBorders>
              <w:top w:val="single" w:sz="4" w:space="0" w:color="000000"/>
              <w:left w:val="single" w:sz="12" w:space="0" w:color="000000"/>
              <w:bottom w:val="single" w:sz="4" w:space="0" w:color="000000"/>
              <w:right w:val="single" w:sz="12" w:space="0" w:color="000000"/>
            </w:tcBorders>
            <w:vAlign w:val="center"/>
          </w:tcPr>
          <w:p w14:paraId="193F0C26" w14:textId="54357B0B" w:rsidR="00BC7D71" w:rsidRDefault="00BC7D71" w:rsidP="00BC7D71">
            <w:pPr>
              <w:spacing w:after="0" w:line="259" w:lineRule="auto"/>
              <w:ind w:left="0" w:right="0" w:firstLine="0"/>
              <w:jc w:val="center"/>
              <w:rPr>
                <w:sz w:val="18"/>
              </w:rPr>
            </w:pPr>
            <w:r>
              <w:rPr>
                <w:sz w:val="18"/>
              </w:rPr>
              <w:t>20</w:t>
            </w:r>
          </w:p>
        </w:tc>
        <w:tc>
          <w:tcPr>
            <w:tcW w:w="726" w:type="dxa"/>
            <w:tcBorders>
              <w:top w:val="single" w:sz="4" w:space="0" w:color="000000"/>
              <w:left w:val="single" w:sz="12" w:space="0" w:color="000000"/>
              <w:bottom w:val="single" w:sz="4" w:space="0" w:color="000000"/>
              <w:right w:val="single" w:sz="12" w:space="0" w:color="000000"/>
            </w:tcBorders>
            <w:vAlign w:val="center"/>
          </w:tcPr>
          <w:p w14:paraId="22C1CAB9" w14:textId="22BE3AD3" w:rsidR="00BC7D71" w:rsidRDefault="00BC7D71" w:rsidP="00BC7D71">
            <w:pPr>
              <w:spacing w:after="0" w:line="259" w:lineRule="auto"/>
              <w:ind w:left="0" w:right="49" w:firstLine="0"/>
              <w:jc w:val="center"/>
              <w:rPr>
                <w:sz w:val="18"/>
              </w:rPr>
            </w:pPr>
            <w:r>
              <w:rPr>
                <w:sz w:val="18"/>
              </w:rPr>
              <w:t>ug/L</w:t>
            </w:r>
          </w:p>
        </w:tc>
        <w:tc>
          <w:tcPr>
            <w:tcW w:w="773" w:type="dxa"/>
            <w:tcBorders>
              <w:top w:val="single" w:sz="4" w:space="0" w:color="000000"/>
              <w:left w:val="single" w:sz="12" w:space="0" w:color="000000"/>
              <w:bottom w:val="single" w:sz="4" w:space="0" w:color="000000"/>
              <w:right w:val="single" w:sz="12" w:space="0" w:color="000000"/>
            </w:tcBorders>
            <w:vAlign w:val="center"/>
          </w:tcPr>
          <w:p w14:paraId="7F8AE888" w14:textId="76E384B8" w:rsidR="00BC7D71" w:rsidRDefault="00BC7D71" w:rsidP="00BC7D71">
            <w:pPr>
              <w:spacing w:after="0" w:line="259" w:lineRule="auto"/>
              <w:ind w:left="0" w:right="41" w:firstLine="0"/>
              <w:jc w:val="center"/>
              <w:rPr>
                <w:sz w:val="18"/>
              </w:rPr>
            </w:pPr>
            <w:r>
              <w:rPr>
                <w:sz w:val="18"/>
              </w:rPr>
              <w:t>1300</w:t>
            </w:r>
          </w:p>
        </w:tc>
        <w:tc>
          <w:tcPr>
            <w:tcW w:w="951" w:type="dxa"/>
            <w:tcBorders>
              <w:top w:val="single" w:sz="4" w:space="0" w:color="000000"/>
              <w:left w:val="single" w:sz="12" w:space="0" w:color="000000"/>
              <w:bottom w:val="single" w:sz="4" w:space="0" w:color="000000"/>
              <w:right w:val="single" w:sz="12" w:space="0" w:color="000000"/>
            </w:tcBorders>
            <w:vAlign w:val="center"/>
          </w:tcPr>
          <w:p w14:paraId="0F0794A2" w14:textId="11677F68" w:rsidR="00BC7D71" w:rsidRDefault="00BC7D71" w:rsidP="00BC7D71">
            <w:pPr>
              <w:spacing w:after="0" w:line="259" w:lineRule="auto"/>
              <w:ind w:left="0" w:right="46" w:firstLine="0"/>
              <w:jc w:val="center"/>
              <w:rPr>
                <w:rFonts w:eastAsia="Segoe UI Symbol"/>
                <w:sz w:val="18"/>
              </w:rPr>
            </w:pPr>
            <w:r>
              <w:rPr>
                <w:rFonts w:eastAsia="Segoe UI Symbol"/>
                <w:sz w:val="18"/>
              </w:rPr>
              <w:t>u</w:t>
            </w:r>
            <w:r>
              <w:rPr>
                <w:sz w:val="18"/>
              </w:rPr>
              <w:t>g/kg</w:t>
            </w:r>
          </w:p>
        </w:tc>
        <w:tc>
          <w:tcPr>
            <w:tcW w:w="630" w:type="dxa"/>
            <w:tcBorders>
              <w:top w:val="single" w:sz="4" w:space="0" w:color="000000"/>
              <w:left w:val="single" w:sz="12" w:space="0" w:color="000000"/>
              <w:bottom w:val="single" w:sz="4" w:space="0" w:color="000000"/>
              <w:right w:val="single" w:sz="12" w:space="0" w:color="000000"/>
            </w:tcBorders>
            <w:vAlign w:val="center"/>
          </w:tcPr>
          <w:p w14:paraId="30DDBBA2" w14:textId="4A8F764C" w:rsidR="00BC7D71" w:rsidRDefault="00BC7D71" w:rsidP="00DB6303">
            <w:pPr>
              <w:spacing w:after="0" w:line="259" w:lineRule="auto"/>
              <w:ind w:left="0" w:right="47" w:firstLine="0"/>
              <w:jc w:val="center"/>
              <w:rPr>
                <w:sz w:val="18"/>
              </w:rPr>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4573F2D8" w14:textId="7CBA2051" w:rsidR="00BC7D71" w:rsidRDefault="00BC7D71" w:rsidP="00E8392B">
            <w:pPr>
              <w:spacing w:after="0" w:line="259" w:lineRule="auto"/>
              <w:ind w:left="96" w:right="0" w:firstLine="0"/>
              <w:rPr>
                <w:sz w:val="18"/>
              </w:rPr>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0C381CC4" w14:textId="0B76B40C" w:rsidR="00BC7D71" w:rsidRDefault="00BC7D71" w:rsidP="00DB6303">
            <w:pPr>
              <w:spacing w:after="0" w:line="259" w:lineRule="auto"/>
              <w:ind w:left="0" w:right="47" w:firstLine="0"/>
              <w:jc w:val="center"/>
              <w:rPr>
                <w:sz w:val="18"/>
              </w:rPr>
            </w:pPr>
            <w:r>
              <w:rPr>
                <w:sz w:val="18"/>
              </w:rPr>
              <w:t>X</w:t>
            </w:r>
          </w:p>
        </w:tc>
        <w:tc>
          <w:tcPr>
            <w:tcW w:w="810" w:type="dxa"/>
            <w:tcBorders>
              <w:top w:val="single" w:sz="4" w:space="0" w:color="000000"/>
              <w:left w:val="single" w:sz="12" w:space="0" w:color="000000"/>
              <w:bottom w:val="single" w:sz="4" w:space="0" w:color="000000"/>
              <w:right w:val="single" w:sz="12" w:space="0" w:color="000000"/>
            </w:tcBorders>
            <w:vAlign w:val="center"/>
          </w:tcPr>
          <w:p w14:paraId="5FB44BF1" w14:textId="63E5E422" w:rsidR="00BC7D71" w:rsidRDefault="00BC7D71" w:rsidP="00BC7D71">
            <w:pPr>
              <w:spacing w:after="0" w:line="259" w:lineRule="auto"/>
              <w:ind w:left="0" w:right="0" w:firstLine="0"/>
              <w:jc w:val="center"/>
              <w:rPr>
                <w:sz w:val="18"/>
              </w:rPr>
            </w:pPr>
            <w:r>
              <w:rPr>
                <w:sz w:val="18"/>
              </w:rPr>
              <w:t>8270</w:t>
            </w:r>
          </w:p>
        </w:tc>
        <w:tc>
          <w:tcPr>
            <w:tcW w:w="900" w:type="dxa"/>
            <w:tcBorders>
              <w:top w:val="single" w:sz="4" w:space="0" w:color="000000"/>
              <w:left w:val="single" w:sz="12" w:space="0" w:color="000000"/>
              <w:bottom w:val="single" w:sz="4" w:space="0" w:color="000000"/>
              <w:right w:val="single" w:sz="12" w:space="0" w:color="000000"/>
            </w:tcBorders>
            <w:vAlign w:val="center"/>
          </w:tcPr>
          <w:p w14:paraId="22D233FF" w14:textId="77777777" w:rsidR="00BC7D71" w:rsidRDefault="00BC7D71" w:rsidP="00BC7D71">
            <w:pPr>
              <w:spacing w:after="0" w:line="259" w:lineRule="auto"/>
              <w:ind w:left="0" w:right="0" w:firstLine="0"/>
              <w:jc w:val="center"/>
            </w:pPr>
          </w:p>
        </w:tc>
      </w:tr>
      <w:tr w:rsidR="00E8392B" w14:paraId="1C9BA40C" w14:textId="77777777" w:rsidTr="005B6604">
        <w:trPr>
          <w:trHeight w:val="262"/>
        </w:trPr>
        <w:tc>
          <w:tcPr>
            <w:tcW w:w="2952" w:type="dxa"/>
            <w:tcBorders>
              <w:top w:val="single" w:sz="4" w:space="0" w:color="000000"/>
              <w:left w:val="single" w:sz="12" w:space="0" w:color="000000"/>
              <w:bottom w:val="single" w:sz="4" w:space="0" w:color="000000"/>
              <w:right w:val="single" w:sz="12" w:space="0" w:color="000000"/>
            </w:tcBorders>
          </w:tcPr>
          <w:p w14:paraId="7C33747F" w14:textId="056DD9E7" w:rsidR="00BC7D71" w:rsidRDefault="00BC7D71" w:rsidP="00BC7D71">
            <w:pPr>
              <w:spacing w:after="0" w:line="259" w:lineRule="auto"/>
              <w:ind w:left="0" w:right="0" w:firstLine="0"/>
              <w:rPr>
                <w:sz w:val="18"/>
              </w:rPr>
            </w:pPr>
            <w:r>
              <w:rPr>
                <w:sz w:val="18"/>
              </w:rPr>
              <w:t>N-</w:t>
            </w:r>
            <w:proofErr w:type="spellStart"/>
            <w:r>
              <w:rPr>
                <w:sz w:val="18"/>
              </w:rPr>
              <w:t>Nitrosomorpholine</w:t>
            </w:r>
            <w:proofErr w:type="spellEnd"/>
            <w:r>
              <w:rPr>
                <w:sz w:val="18"/>
              </w:rPr>
              <w:t xml:space="preserve"> </w:t>
            </w:r>
          </w:p>
        </w:tc>
        <w:tc>
          <w:tcPr>
            <w:tcW w:w="1155" w:type="dxa"/>
            <w:tcBorders>
              <w:top w:val="single" w:sz="4" w:space="0" w:color="000000"/>
              <w:left w:val="single" w:sz="12" w:space="0" w:color="000000"/>
              <w:bottom w:val="single" w:sz="4" w:space="0" w:color="000000"/>
              <w:right w:val="single" w:sz="12" w:space="0" w:color="000000"/>
            </w:tcBorders>
            <w:vAlign w:val="center"/>
          </w:tcPr>
          <w:p w14:paraId="5D092CF0" w14:textId="624D1575" w:rsidR="00BC7D71" w:rsidRDefault="00BC7D71" w:rsidP="00BC7D71">
            <w:pPr>
              <w:spacing w:after="0" w:line="259" w:lineRule="auto"/>
              <w:ind w:left="0" w:right="44" w:firstLine="0"/>
              <w:jc w:val="center"/>
              <w:rPr>
                <w:sz w:val="18"/>
              </w:rPr>
            </w:pPr>
            <w:r>
              <w:rPr>
                <w:sz w:val="18"/>
              </w:rPr>
              <w:t>59-89-2</w:t>
            </w:r>
          </w:p>
        </w:tc>
        <w:tc>
          <w:tcPr>
            <w:tcW w:w="643" w:type="dxa"/>
            <w:tcBorders>
              <w:top w:val="single" w:sz="4" w:space="0" w:color="000000"/>
              <w:left w:val="single" w:sz="12" w:space="0" w:color="000000"/>
              <w:bottom w:val="single" w:sz="4" w:space="0" w:color="000000"/>
              <w:right w:val="single" w:sz="12" w:space="0" w:color="000000"/>
            </w:tcBorders>
            <w:vAlign w:val="center"/>
          </w:tcPr>
          <w:p w14:paraId="440DD651" w14:textId="423D1F97" w:rsidR="00BC7D71" w:rsidRDefault="00BC7D71" w:rsidP="00BC7D71">
            <w:pPr>
              <w:spacing w:after="0" w:line="259" w:lineRule="auto"/>
              <w:ind w:left="0" w:right="0" w:firstLine="0"/>
              <w:jc w:val="center"/>
              <w:rPr>
                <w:sz w:val="18"/>
              </w:rPr>
            </w:pPr>
            <w:r>
              <w:rPr>
                <w:sz w:val="18"/>
              </w:rPr>
              <w:t>40</w:t>
            </w:r>
          </w:p>
        </w:tc>
        <w:tc>
          <w:tcPr>
            <w:tcW w:w="726" w:type="dxa"/>
            <w:tcBorders>
              <w:top w:val="single" w:sz="4" w:space="0" w:color="000000"/>
              <w:left w:val="single" w:sz="12" w:space="0" w:color="000000"/>
              <w:bottom w:val="single" w:sz="4" w:space="0" w:color="000000"/>
              <w:right w:val="single" w:sz="12" w:space="0" w:color="000000"/>
            </w:tcBorders>
            <w:vAlign w:val="center"/>
          </w:tcPr>
          <w:p w14:paraId="61E3C72D" w14:textId="3DF1C7E3" w:rsidR="00BC7D71" w:rsidRDefault="00BC7D71" w:rsidP="00BC7D71">
            <w:pPr>
              <w:spacing w:after="0" w:line="259" w:lineRule="auto"/>
              <w:ind w:left="0" w:right="49" w:firstLine="0"/>
              <w:jc w:val="center"/>
              <w:rPr>
                <w:sz w:val="18"/>
              </w:rPr>
            </w:pPr>
            <w:r>
              <w:rPr>
                <w:sz w:val="18"/>
              </w:rPr>
              <w:t>ug/L</w:t>
            </w:r>
          </w:p>
        </w:tc>
        <w:tc>
          <w:tcPr>
            <w:tcW w:w="773" w:type="dxa"/>
            <w:tcBorders>
              <w:top w:val="single" w:sz="4" w:space="0" w:color="000000"/>
              <w:left w:val="single" w:sz="12" w:space="0" w:color="000000"/>
              <w:bottom w:val="single" w:sz="4" w:space="0" w:color="000000"/>
              <w:right w:val="single" w:sz="12" w:space="0" w:color="000000"/>
            </w:tcBorders>
            <w:vAlign w:val="center"/>
          </w:tcPr>
          <w:p w14:paraId="7A5CFCCF" w14:textId="7F8E15BE" w:rsidR="00BC7D71" w:rsidRDefault="00BC7D71" w:rsidP="00BC7D71">
            <w:pPr>
              <w:spacing w:after="0" w:line="259" w:lineRule="auto"/>
              <w:ind w:left="0" w:right="41" w:firstLine="0"/>
              <w:jc w:val="center"/>
              <w:rPr>
                <w:sz w:val="18"/>
              </w:rPr>
            </w:pPr>
            <w:r>
              <w:rPr>
                <w:sz w:val="18"/>
              </w:rPr>
              <w:t>2600</w:t>
            </w:r>
          </w:p>
        </w:tc>
        <w:tc>
          <w:tcPr>
            <w:tcW w:w="951" w:type="dxa"/>
            <w:tcBorders>
              <w:top w:val="single" w:sz="4" w:space="0" w:color="000000"/>
              <w:left w:val="single" w:sz="12" w:space="0" w:color="000000"/>
              <w:bottom w:val="single" w:sz="4" w:space="0" w:color="000000"/>
              <w:right w:val="single" w:sz="12" w:space="0" w:color="000000"/>
            </w:tcBorders>
            <w:vAlign w:val="center"/>
          </w:tcPr>
          <w:p w14:paraId="5C5B8DE1" w14:textId="08E528C4" w:rsidR="00BC7D71" w:rsidRDefault="00BC7D71" w:rsidP="00BC7D71">
            <w:pPr>
              <w:spacing w:after="0" w:line="259" w:lineRule="auto"/>
              <w:ind w:left="0" w:right="46" w:firstLine="0"/>
              <w:jc w:val="center"/>
              <w:rPr>
                <w:rFonts w:eastAsia="Segoe UI Symbol"/>
                <w:sz w:val="18"/>
              </w:rPr>
            </w:pPr>
            <w:r>
              <w:rPr>
                <w:rFonts w:eastAsia="Segoe UI Symbol"/>
                <w:sz w:val="18"/>
              </w:rPr>
              <w:t>u</w:t>
            </w:r>
            <w:r>
              <w:rPr>
                <w:sz w:val="18"/>
              </w:rPr>
              <w:t>g/kg</w:t>
            </w:r>
          </w:p>
        </w:tc>
        <w:tc>
          <w:tcPr>
            <w:tcW w:w="630" w:type="dxa"/>
            <w:tcBorders>
              <w:top w:val="single" w:sz="4" w:space="0" w:color="000000"/>
              <w:left w:val="single" w:sz="12" w:space="0" w:color="000000"/>
              <w:bottom w:val="single" w:sz="4" w:space="0" w:color="000000"/>
              <w:right w:val="single" w:sz="12" w:space="0" w:color="000000"/>
            </w:tcBorders>
            <w:vAlign w:val="center"/>
          </w:tcPr>
          <w:p w14:paraId="3F5ED42B" w14:textId="5A599BBA" w:rsidR="00BC7D71" w:rsidRDefault="00BC7D71" w:rsidP="00DB6303">
            <w:pPr>
              <w:spacing w:after="0" w:line="259" w:lineRule="auto"/>
              <w:ind w:left="0" w:right="47" w:firstLine="0"/>
              <w:jc w:val="center"/>
              <w:rPr>
                <w:sz w:val="18"/>
              </w:rPr>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33FE50E3" w14:textId="3AB81513" w:rsidR="00BC7D71" w:rsidRDefault="00BC7D71" w:rsidP="00E8392B">
            <w:pPr>
              <w:spacing w:after="0" w:line="259" w:lineRule="auto"/>
              <w:ind w:left="96" w:right="0" w:firstLine="0"/>
              <w:rPr>
                <w:sz w:val="18"/>
              </w:rPr>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3E71D115" w14:textId="77777777" w:rsidR="00BC7D71" w:rsidRDefault="00BC7D71" w:rsidP="00DB6303">
            <w:pPr>
              <w:spacing w:after="0" w:line="259" w:lineRule="auto"/>
              <w:ind w:left="0" w:right="47" w:firstLine="0"/>
              <w:jc w:val="center"/>
              <w:rPr>
                <w:sz w:val="18"/>
              </w:rPr>
            </w:pPr>
          </w:p>
        </w:tc>
        <w:tc>
          <w:tcPr>
            <w:tcW w:w="810" w:type="dxa"/>
            <w:tcBorders>
              <w:top w:val="single" w:sz="4" w:space="0" w:color="000000"/>
              <w:left w:val="single" w:sz="12" w:space="0" w:color="000000"/>
              <w:bottom w:val="single" w:sz="4" w:space="0" w:color="000000"/>
              <w:right w:val="single" w:sz="12" w:space="0" w:color="000000"/>
            </w:tcBorders>
            <w:vAlign w:val="center"/>
          </w:tcPr>
          <w:p w14:paraId="2F6EEA72" w14:textId="430D3FF6" w:rsidR="00BC7D71" w:rsidRDefault="00BC7D71" w:rsidP="00BC7D71">
            <w:pPr>
              <w:spacing w:after="0" w:line="259" w:lineRule="auto"/>
              <w:ind w:left="0" w:right="0" w:firstLine="0"/>
              <w:jc w:val="center"/>
              <w:rPr>
                <w:sz w:val="18"/>
              </w:rPr>
            </w:pPr>
            <w:r>
              <w:rPr>
                <w:sz w:val="18"/>
              </w:rPr>
              <w:t>8270</w:t>
            </w:r>
          </w:p>
        </w:tc>
        <w:tc>
          <w:tcPr>
            <w:tcW w:w="900" w:type="dxa"/>
            <w:tcBorders>
              <w:top w:val="single" w:sz="4" w:space="0" w:color="000000"/>
              <w:left w:val="single" w:sz="12" w:space="0" w:color="000000"/>
              <w:bottom w:val="single" w:sz="4" w:space="0" w:color="000000"/>
              <w:right w:val="single" w:sz="12" w:space="0" w:color="000000"/>
            </w:tcBorders>
            <w:vAlign w:val="center"/>
          </w:tcPr>
          <w:p w14:paraId="4D24ECC2" w14:textId="77777777" w:rsidR="00BC7D71" w:rsidRDefault="00BC7D71" w:rsidP="00BC7D71">
            <w:pPr>
              <w:spacing w:after="0" w:line="259" w:lineRule="auto"/>
              <w:ind w:left="0" w:right="0" w:firstLine="0"/>
              <w:jc w:val="center"/>
            </w:pPr>
          </w:p>
        </w:tc>
      </w:tr>
      <w:tr w:rsidR="00E8392B" w14:paraId="68327203" w14:textId="77777777" w:rsidTr="005B6604">
        <w:trPr>
          <w:trHeight w:val="262"/>
        </w:trPr>
        <w:tc>
          <w:tcPr>
            <w:tcW w:w="2952" w:type="dxa"/>
            <w:tcBorders>
              <w:top w:val="single" w:sz="4" w:space="0" w:color="000000"/>
              <w:left w:val="single" w:sz="12" w:space="0" w:color="000000"/>
              <w:bottom w:val="single" w:sz="4" w:space="0" w:color="000000"/>
              <w:right w:val="single" w:sz="12" w:space="0" w:color="000000"/>
            </w:tcBorders>
          </w:tcPr>
          <w:p w14:paraId="070AAD42" w14:textId="6E5B93D6" w:rsidR="00BC7D71" w:rsidRDefault="00BC7D71" w:rsidP="00BC7D71">
            <w:pPr>
              <w:spacing w:after="0" w:line="259" w:lineRule="auto"/>
              <w:ind w:left="0" w:right="0" w:firstLine="0"/>
              <w:rPr>
                <w:sz w:val="18"/>
              </w:rPr>
            </w:pPr>
            <w:r>
              <w:rPr>
                <w:sz w:val="18"/>
              </w:rPr>
              <w:t>N-</w:t>
            </w:r>
            <w:proofErr w:type="spellStart"/>
            <w:r>
              <w:rPr>
                <w:sz w:val="18"/>
              </w:rPr>
              <w:t>Nitrosopiperidine</w:t>
            </w:r>
            <w:proofErr w:type="spellEnd"/>
            <w:r>
              <w:rPr>
                <w:sz w:val="18"/>
              </w:rPr>
              <w:t xml:space="preserve"> </w:t>
            </w:r>
          </w:p>
        </w:tc>
        <w:tc>
          <w:tcPr>
            <w:tcW w:w="1155" w:type="dxa"/>
            <w:tcBorders>
              <w:top w:val="single" w:sz="4" w:space="0" w:color="000000"/>
              <w:left w:val="single" w:sz="12" w:space="0" w:color="000000"/>
              <w:bottom w:val="single" w:sz="4" w:space="0" w:color="000000"/>
              <w:right w:val="single" w:sz="12" w:space="0" w:color="000000"/>
            </w:tcBorders>
            <w:vAlign w:val="center"/>
          </w:tcPr>
          <w:p w14:paraId="3FA5743D" w14:textId="4A435FEB" w:rsidR="00BC7D71" w:rsidRDefault="00BC7D71" w:rsidP="00BC7D71">
            <w:pPr>
              <w:spacing w:after="0" w:line="259" w:lineRule="auto"/>
              <w:ind w:left="0" w:right="44" w:firstLine="0"/>
              <w:jc w:val="center"/>
              <w:rPr>
                <w:sz w:val="18"/>
              </w:rPr>
            </w:pPr>
            <w:r>
              <w:rPr>
                <w:sz w:val="18"/>
              </w:rPr>
              <w:t>100-75-4</w:t>
            </w:r>
          </w:p>
        </w:tc>
        <w:tc>
          <w:tcPr>
            <w:tcW w:w="643" w:type="dxa"/>
            <w:tcBorders>
              <w:top w:val="single" w:sz="4" w:space="0" w:color="000000"/>
              <w:left w:val="single" w:sz="12" w:space="0" w:color="000000"/>
              <w:bottom w:val="single" w:sz="4" w:space="0" w:color="000000"/>
              <w:right w:val="single" w:sz="12" w:space="0" w:color="000000"/>
            </w:tcBorders>
            <w:vAlign w:val="center"/>
          </w:tcPr>
          <w:p w14:paraId="49690D48" w14:textId="15C398DC" w:rsidR="00BC7D71" w:rsidRDefault="00BC7D71" w:rsidP="00BC7D71">
            <w:pPr>
              <w:spacing w:after="0" w:line="259" w:lineRule="auto"/>
              <w:ind w:left="0" w:right="0" w:firstLine="0"/>
              <w:jc w:val="center"/>
              <w:rPr>
                <w:sz w:val="18"/>
              </w:rPr>
            </w:pPr>
            <w:r>
              <w:rPr>
                <w:sz w:val="18"/>
              </w:rPr>
              <w:t>20</w:t>
            </w:r>
          </w:p>
        </w:tc>
        <w:tc>
          <w:tcPr>
            <w:tcW w:w="726" w:type="dxa"/>
            <w:tcBorders>
              <w:top w:val="single" w:sz="4" w:space="0" w:color="000000"/>
              <w:left w:val="single" w:sz="12" w:space="0" w:color="000000"/>
              <w:bottom w:val="single" w:sz="4" w:space="0" w:color="000000"/>
              <w:right w:val="single" w:sz="12" w:space="0" w:color="000000"/>
            </w:tcBorders>
            <w:vAlign w:val="center"/>
          </w:tcPr>
          <w:p w14:paraId="5E2F5F77" w14:textId="0BCBE546" w:rsidR="00BC7D71" w:rsidRDefault="00BC7D71" w:rsidP="00BC7D71">
            <w:pPr>
              <w:spacing w:after="0" w:line="259" w:lineRule="auto"/>
              <w:ind w:left="0" w:right="49" w:firstLine="0"/>
              <w:jc w:val="center"/>
              <w:rPr>
                <w:sz w:val="18"/>
              </w:rPr>
            </w:pPr>
            <w:r>
              <w:rPr>
                <w:sz w:val="18"/>
              </w:rPr>
              <w:t>ug/L</w:t>
            </w:r>
          </w:p>
        </w:tc>
        <w:tc>
          <w:tcPr>
            <w:tcW w:w="773" w:type="dxa"/>
            <w:tcBorders>
              <w:top w:val="single" w:sz="4" w:space="0" w:color="000000"/>
              <w:left w:val="single" w:sz="12" w:space="0" w:color="000000"/>
              <w:bottom w:val="single" w:sz="4" w:space="0" w:color="000000"/>
              <w:right w:val="single" w:sz="12" w:space="0" w:color="000000"/>
            </w:tcBorders>
            <w:vAlign w:val="center"/>
          </w:tcPr>
          <w:p w14:paraId="5A6E500A" w14:textId="28276E7F" w:rsidR="00BC7D71" w:rsidRDefault="00BC7D71" w:rsidP="00BC7D71">
            <w:pPr>
              <w:spacing w:after="0" w:line="259" w:lineRule="auto"/>
              <w:ind w:left="0" w:right="41" w:firstLine="0"/>
              <w:jc w:val="center"/>
              <w:rPr>
                <w:sz w:val="18"/>
              </w:rPr>
            </w:pPr>
            <w:r>
              <w:rPr>
                <w:sz w:val="18"/>
              </w:rPr>
              <w:t>1300</w:t>
            </w:r>
          </w:p>
        </w:tc>
        <w:tc>
          <w:tcPr>
            <w:tcW w:w="951" w:type="dxa"/>
            <w:tcBorders>
              <w:top w:val="single" w:sz="4" w:space="0" w:color="000000"/>
              <w:left w:val="single" w:sz="12" w:space="0" w:color="000000"/>
              <w:bottom w:val="single" w:sz="4" w:space="0" w:color="000000"/>
              <w:right w:val="single" w:sz="12" w:space="0" w:color="000000"/>
            </w:tcBorders>
            <w:vAlign w:val="center"/>
          </w:tcPr>
          <w:p w14:paraId="55017A7B" w14:textId="0BC6BD3B" w:rsidR="00BC7D71" w:rsidRDefault="00BC7D71" w:rsidP="00BC7D71">
            <w:pPr>
              <w:spacing w:after="0" w:line="259" w:lineRule="auto"/>
              <w:ind w:left="0" w:right="46" w:firstLine="0"/>
              <w:jc w:val="center"/>
              <w:rPr>
                <w:rFonts w:eastAsia="Segoe UI Symbol"/>
                <w:sz w:val="18"/>
              </w:rPr>
            </w:pPr>
            <w:r>
              <w:rPr>
                <w:rFonts w:eastAsia="Segoe UI Symbol"/>
                <w:sz w:val="18"/>
              </w:rPr>
              <w:t>u</w:t>
            </w:r>
            <w:r>
              <w:rPr>
                <w:sz w:val="18"/>
              </w:rPr>
              <w:t>g/kg</w:t>
            </w:r>
          </w:p>
        </w:tc>
        <w:tc>
          <w:tcPr>
            <w:tcW w:w="630" w:type="dxa"/>
            <w:tcBorders>
              <w:top w:val="single" w:sz="4" w:space="0" w:color="000000"/>
              <w:left w:val="single" w:sz="12" w:space="0" w:color="000000"/>
              <w:bottom w:val="single" w:sz="4" w:space="0" w:color="000000"/>
              <w:right w:val="single" w:sz="12" w:space="0" w:color="000000"/>
            </w:tcBorders>
            <w:vAlign w:val="center"/>
          </w:tcPr>
          <w:p w14:paraId="34C49B46" w14:textId="625631A9" w:rsidR="00BC7D71" w:rsidRDefault="00BC7D71" w:rsidP="00DB6303">
            <w:pPr>
              <w:spacing w:after="0" w:line="259" w:lineRule="auto"/>
              <w:ind w:left="0" w:right="47" w:firstLine="0"/>
              <w:jc w:val="center"/>
              <w:rPr>
                <w:sz w:val="18"/>
              </w:rPr>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7585970E" w14:textId="1FBC0733" w:rsidR="00BC7D71" w:rsidRDefault="00BC7D71" w:rsidP="00E8392B">
            <w:pPr>
              <w:spacing w:after="0" w:line="259" w:lineRule="auto"/>
              <w:ind w:left="96" w:right="0" w:firstLine="0"/>
              <w:rPr>
                <w:sz w:val="18"/>
              </w:rPr>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2100F0FE" w14:textId="0B6CEB19" w:rsidR="00BC7D71" w:rsidRDefault="00BC7D71" w:rsidP="00DB6303">
            <w:pPr>
              <w:spacing w:after="0" w:line="259" w:lineRule="auto"/>
              <w:ind w:left="0" w:right="47" w:firstLine="0"/>
              <w:jc w:val="center"/>
              <w:rPr>
                <w:sz w:val="18"/>
              </w:rPr>
            </w:pPr>
            <w:r>
              <w:rPr>
                <w:sz w:val="18"/>
              </w:rPr>
              <w:t>X</w:t>
            </w:r>
          </w:p>
        </w:tc>
        <w:tc>
          <w:tcPr>
            <w:tcW w:w="810" w:type="dxa"/>
            <w:tcBorders>
              <w:top w:val="single" w:sz="4" w:space="0" w:color="000000"/>
              <w:left w:val="single" w:sz="12" w:space="0" w:color="000000"/>
              <w:bottom w:val="single" w:sz="4" w:space="0" w:color="000000"/>
              <w:right w:val="single" w:sz="12" w:space="0" w:color="000000"/>
            </w:tcBorders>
            <w:vAlign w:val="center"/>
          </w:tcPr>
          <w:p w14:paraId="3C2A1252" w14:textId="6C83E111" w:rsidR="00BC7D71" w:rsidRDefault="00BC7D71" w:rsidP="00BC7D71">
            <w:pPr>
              <w:spacing w:after="0" w:line="259" w:lineRule="auto"/>
              <w:ind w:left="0" w:right="0" w:firstLine="0"/>
              <w:jc w:val="center"/>
              <w:rPr>
                <w:sz w:val="18"/>
              </w:rPr>
            </w:pPr>
            <w:r>
              <w:rPr>
                <w:sz w:val="18"/>
              </w:rPr>
              <w:t>8270</w:t>
            </w:r>
          </w:p>
        </w:tc>
        <w:tc>
          <w:tcPr>
            <w:tcW w:w="900" w:type="dxa"/>
            <w:tcBorders>
              <w:top w:val="single" w:sz="4" w:space="0" w:color="000000"/>
              <w:left w:val="single" w:sz="12" w:space="0" w:color="000000"/>
              <w:bottom w:val="single" w:sz="4" w:space="0" w:color="000000"/>
              <w:right w:val="single" w:sz="12" w:space="0" w:color="000000"/>
            </w:tcBorders>
            <w:vAlign w:val="center"/>
          </w:tcPr>
          <w:p w14:paraId="350DA9A8" w14:textId="77777777" w:rsidR="00BC7D71" w:rsidRDefault="00BC7D71" w:rsidP="00BC7D71">
            <w:pPr>
              <w:spacing w:after="0" w:line="259" w:lineRule="auto"/>
              <w:ind w:left="0" w:right="0" w:firstLine="0"/>
              <w:jc w:val="center"/>
            </w:pPr>
          </w:p>
        </w:tc>
      </w:tr>
      <w:tr w:rsidR="00E8392B" w14:paraId="689B10DD" w14:textId="77777777" w:rsidTr="005B6604">
        <w:trPr>
          <w:trHeight w:val="262"/>
        </w:trPr>
        <w:tc>
          <w:tcPr>
            <w:tcW w:w="2952" w:type="dxa"/>
            <w:tcBorders>
              <w:top w:val="single" w:sz="4" w:space="0" w:color="000000"/>
              <w:left w:val="single" w:sz="12" w:space="0" w:color="000000"/>
              <w:bottom w:val="single" w:sz="4" w:space="0" w:color="000000"/>
              <w:right w:val="single" w:sz="12" w:space="0" w:color="000000"/>
            </w:tcBorders>
          </w:tcPr>
          <w:p w14:paraId="7838D061" w14:textId="1A5E31DA" w:rsidR="00BC7D71" w:rsidRDefault="00BC7D71" w:rsidP="00BC7D71">
            <w:pPr>
              <w:spacing w:after="0" w:line="259" w:lineRule="auto"/>
              <w:ind w:left="0" w:right="0" w:firstLine="0"/>
              <w:rPr>
                <w:sz w:val="18"/>
              </w:rPr>
            </w:pPr>
            <w:r>
              <w:rPr>
                <w:sz w:val="18"/>
              </w:rPr>
              <w:t>N-</w:t>
            </w:r>
            <w:proofErr w:type="spellStart"/>
            <w:r>
              <w:rPr>
                <w:sz w:val="18"/>
              </w:rPr>
              <w:t>Nitrosopyrrolidine</w:t>
            </w:r>
            <w:proofErr w:type="spellEnd"/>
            <w:r>
              <w:rPr>
                <w:sz w:val="18"/>
              </w:rPr>
              <w:t xml:space="preserve"> </w:t>
            </w:r>
          </w:p>
        </w:tc>
        <w:tc>
          <w:tcPr>
            <w:tcW w:w="1155" w:type="dxa"/>
            <w:tcBorders>
              <w:top w:val="single" w:sz="4" w:space="0" w:color="000000"/>
              <w:left w:val="single" w:sz="12" w:space="0" w:color="000000"/>
              <w:bottom w:val="single" w:sz="4" w:space="0" w:color="000000"/>
              <w:right w:val="single" w:sz="12" w:space="0" w:color="000000"/>
            </w:tcBorders>
            <w:vAlign w:val="center"/>
          </w:tcPr>
          <w:p w14:paraId="369F086F" w14:textId="2AAB4898" w:rsidR="00BC7D71" w:rsidRDefault="00BC7D71" w:rsidP="00BC7D71">
            <w:pPr>
              <w:spacing w:after="0" w:line="259" w:lineRule="auto"/>
              <w:ind w:left="0" w:right="44" w:firstLine="0"/>
              <w:jc w:val="center"/>
              <w:rPr>
                <w:sz w:val="18"/>
              </w:rPr>
            </w:pPr>
            <w:r>
              <w:rPr>
                <w:sz w:val="18"/>
              </w:rPr>
              <w:t>930-55-2</w:t>
            </w:r>
          </w:p>
        </w:tc>
        <w:tc>
          <w:tcPr>
            <w:tcW w:w="643" w:type="dxa"/>
            <w:tcBorders>
              <w:top w:val="single" w:sz="4" w:space="0" w:color="000000"/>
              <w:left w:val="single" w:sz="12" w:space="0" w:color="000000"/>
              <w:bottom w:val="single" w:sz="4" w:space="0" w:color="000000"/>
              <w:right w:val="single" w:sz="12" w:space="0" w:color="000000"/>
            </w:tcBorders>
            <w:vAlign w:val="center"/>
          </w:tcPr>
          <w:p w14:paraId="0E135315" w14:textId="080CC53D" w:rsidR="00BC7D71" w:rsidRDefault="00BC7D71" w:rsidP="00BC7D71">
            <w:pPr>
              <w:spacing w:after="0" w:line="259" w:lineRule="auto"/>
              <w:ind w:left="0" w:right="0" w:firstLine="0"/>
              <w:jc w:val="center"/>
              <w:rPr>
                <w:sz w:val="18"/>
              </w:rPr>
            </w:pPr>
            <w:r>
              <w:rPr>
                <w:sz w:val="18"/>
              </w:rPr>
              <w:t>40</w:t>
            </w:r>
          </w:p>
        </w:tc>
        <w:tc>
          <w:tcPr>
            <w:tcW w:w="726" w:type="dxa"/>
            <w:tcBorders>
              <w:top w:val="single" w:sz="4" w:space="0" w:color="000000"/>
              <w:left w:val="single" w:sz="12" w:space="0" w:color="000000"/>
              <w:bottom w:val="single" w:sz="4" w:space="0" w:color="000000"/>
              <w:right w:val="single" w:sz="12" w:space="0" w:color="000000"/>
            </w:tcBorders>
            <w:vAlign w:val="center"/>
          </w:tcPr>
          <w:p w14:paraId="16670E6B" w14:textId="6CF77CB7" w:rsidR="00BC7D71" w:rsidRDefault="00BC7D71" w:rsidP="00BC7D71">
            <w:pPr>
              <w:spacing w:after="0" w:line="259" w:lineRule="auto"/>
              <w:ind w:left="0" w:right="49" w:firstLine="0"/>
              <w:jc w:val="center"/>
              <w:rPr>
                <w:sz w:val="18"/>
              </w:rPr>
            </w:pPr>
            <w:r>
              <w:rPr>
                <w:sz w:val="18"/>
              </w:rPr>
              <w:t>ug/L</w:t>
            </w:r>
          </w:p>
        </w:tc>
        <w:tc>
          <w:tcPr>
            <w:tcW w:w="773" w:type="dxa"/>
            <w:tcBorders>
              <w:top w:val="single" w:sz="4" w:space="0" w:color="000000"/>
              <w:left w:val="single" w:sz="12" w:space="0" w:color="000000"/>
              <w:bottom w:val="single" w:sz="4" w:space="0" w:color="000000"/>
              <w:right w:val="single" w:sz="12" w:space="0" w:color="000000"/>
            </w:tcBorders>
            <w:vAlign w:val="center"/>
          </w:tcPr>
          <w:p w14:paraId="0AA0E4C8" w14:textId="6D78643A" w:rsidR="00BC7D71" w:rsidRDefault="00BC7D71" w:rsidP="00BC7D71">
            <w:pPr>
              <w:spacing w:after="0" w:line="259" w:lineRule="auto"/>
              <w:ind w:left="0" w:right="41" w:firstLine="0"/>
              <w:jc w:val="center"/>
              <w:rPr>
                <w:sz w:val="18"/>
              </w:rPr>
            </w:pPr>
            <w:r>
              <w:rPr>
                <w:sz w:val="18"/>
              </w:rPr>
              <w:t>2600</w:t>
            </w:r>
          </w:p>
        </w:tc>
        <w:tc>
          <w:tcPr>
            <w:tcW w:w="951" w:type="dxa"/>
            <w:tcBorders>
              <w:top w:val="single" w:sz="4" w:space="0" w:color="000000"/>
              <w:left w:val="single" w:sz="12" w:space="0" w:color="000000"/>
              <w:bottom w:val="single" w:sz="4" w:space="0" w:color="000000"/>
              <w:right w:val="single" w:sz="12" w:space="0" w:color="000000"/>
            </w:tcBorders>
            <w:vAlign w:val="center"/>
          </w:tcPr>
          <w:p w14:paraId="59759230" w14:textId="3EA9E6B4" w:rsidR="00BC7D71" w:rsidRDefault="00BC7D71" w:rsidP="00BC7D71">
            <w:pPr>
              <w:spacing w:after="0" w:line="259" w:lineRule="auto"/>
              <w:ind w:left="0" w:right="46" w:firstLine="0"/>
              <w:jc w:val="center"/>
              <w:rPr>
                <w:rFonts w:eastAsia="Segoe UI Symbol"/>
                <w:sz w:val="18"/>
              </w:rPr>
            </w:pPr>
            <w:r>
              <w:rPr>
                <w:rFonts w:eastAsia="Segoe UI Symbol"/>
                <w:sz w:val="18"/>
              </w:rPr>
              <w:t>u</w:t>
            </w:r>
            <w:r>
              <w:rPr>
                <w:sz w:val="18"/>
              </w:rPr>
              <w:t>g/kg</w:t>
            </w:r>
          </w:p>
        </w:tc>
        <w:tc>
          <w:tcPr>
            <w:tcW w:w="630" w:type="dxa"/>
            <w:tcBorders>
              <w:top w:val="single" w:sz="4" w:space="0" w:color="000000"/>
              <w:left w:val="single" w:sz="12" w:space="0" w:color="000000"/>
              <w:bottom w:val="single" w:sz="4" w:space="0" w:color="000000"/>
              <w:right w:val="single" w:sz="12" w:space="0" w:color="000000"/>
            </w:tcBorders>
            <w:vAlign w:val="center"/>
          </w:tcPr>
          <w:p w14:paraId="0E762ADC" w14:textId="170454F2" w:rsidR="00BC7D71" w:rsidRDefault="00BC7D71" w:rsidP="00DB6303">
            <w:pPr>
              <w:spacing w:after="0" w:line="259" w:lineRule="auto"/>
              <w:ind w:left="0" w:right="47" w:firstLine="0"/>
              <w:jc w:val="center"/>
              <w:rPr>
                <w:sz w:val="18"/>
              </w:rPr>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6656F138" w14:textId="1C3B7B51" w:rsidR="00BC7D71" w:rsidRDefault="00BC7D71" w:rsidP="00E8392B">
            <w:pPr>
              <w:spacing w:after="0" w:line="259" w:lineRule="auto"/>
              <w:ind w:left="96" w:right="0" w:firstLine="0"/>
              <w:rPr>
                <w:sz w:val="18"/>
              </w:rPr>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3070CD22" w14:textId="30F69D21" w:rsidR="00BC7D71" w:rsidRDefault="00BC7D71" w:rsidP="00DB6303">
            <w:pPr>
              <w:spacing w:after="0" w:line="259" w:lineRule="auto"/>
              <w:ind w:left="0" w:right="47" w:firstLine="0"/>
              <w:jc w:val="center"/>
              <w:rPr>
                <w:sz w:val="18"/>
              </w:rPr>
            </w:pPr>
            <w:r>
              <w:rPr>
                <w:sz w:val="18"/>
              </w:rPr>
              <w:t>X</w:t>
            </w:r>
          </w:p>
        </w:tc>
        <w:tc>
          <w:tcPr>
            <w:tcW w:w="810" w:type="dxa"/>
            <w:tcBorders>
              <w:top w:val="single" w:sz="4" w:space="0" w:color="000000"/>
              <w:left w:val="single" w:sz="12" w:space="0" w:color="000000"/>
              <w:bottom w:val="single" w:sz="4" w:space="0" w:color="000000"/>
              <w:right w:val="single" w:sz="12" w:space="0" w:color="000000"/>
            </w:tcBorders>
            <w:vAlign w:val="center"/>
          </w:tcPr>
          <w:p w14:paraId="727A5861" w14:textId="7FF6D87F" w:rsidR="00BC7D71" w:rsidRDefault="00BC7D71" w:rsidP="00BC7D71">
            <w:pPr>
              <w:spacing w:after="0" w:line="259" w:lineRule="auto"/>
              <w:ind w:left="0" w:right="0" w:firstLine="0"/>
              <w:jc w:val="center"/>
              <w:rPr>
                <w:sz w:val="18"/>
              </w:rPr>
            </w:pPr>
            <w:r>
              <w:rPr>
                <w:sz w:val="18"/>
              </w:rPr>
              <w:t>8270</w:t>
            </w:r>
          </w:p>
        </w:tc>
        <w:tc>
          <w:tcPr>
            <w:tcW w:w="900" w:type="dxa"/>
            <w:tcBorders>
              <w:top w:val="single" w:sz="4" w:space="0" w:color="000000"/>
              <w:left w:val="single" w:sz="12" w:space="0" w:color="000000"/>
              <w:bottom w:val="single" w:sz="4" w:space="0" w:color="000000"/>
              <w:right w:val="single" w:sz="12" w:space="0" w:color="000000"/>
            </w:tcBorders>
            <w:vAlign w:val="center"/>
          </w:tcPr>
          <w:p w14:paraId="5A9D88EF" w14:textId="77777777" w:rsidR="00BC7D71" w:rsidRDefault="00BC7D71" w:rsidP="00BC7D71">
            <w:pPr>
              <w:spacing w:after="0" w:line="259" w:lineRule="auto"/>
              <w:ind w:left="0" w:right="0" w:firstLine="0"/>
              <w:jc w:val="center"/>
            </w:pPr>
          </w:p>
        </w:tc>
      </w:tr>
      <w:tr w:rsidR="00E8392B" w14:paraId="603571D1" w14:textId="77777777" w:rsidTr="005B6604">
        <w:trPr>
          <w:trHeight w:val="262"/>
        </w:trPr>
        <w:tc>
          <w:tcPr>
            <w:tcW w:w="2952" w:type="dxa"/>
            <w:tcBorders>
              <w:top w:val="single" w:sz="4" w:space="0" w:color="000000"/>
              <w:left w:val="single" w:sz="12" w:space="0" w:color="000000"/>
              <w:bottom w:val="single" w:sz="4" w:space="0" w:color="000000"/>
              <w:right w:val="single" w:sz="12" w:space="0" w:color="000000"/>
            </w:tcBorders>
          </w:tcPr>
          <w:p w14:paraId="0FE99EB6" w14:textId="3BDC745A" w:rsidR="00BC7D71" w:rsidRDefault="00BC7D71" w:rsidP="00BC7D71">
            <w:pPr>
              <w:spacing w:after="0" w:line="259" w:lineRule="auto"/>
              <w:ind w:left="0" w:right="0" w:firstLine="0"/>
              <w:rPr>
                <w:sz w:val="18"/>
              </w:rPr>
            </w:pPr>
            <w:r>
              <w:rPr>
                <w:sz w:val="18"/>
              </w:rPr>
              <w:t xml:space="preserve">Octamethyl </w:t>
            </w:r>
            <w:proofErr w:type="spellStart"/>
            <w:r>
              <w:rPr>
                <w:sz w:val="18"/>
              </w:rPr>
              <w:t>pyrophosphoramide</w:t>
            </w:r>
            <w:proofErr w:type="spellEnd"/>
            <w:r>
              <w:rPr>
                <w:sz w:val="18"/>
              </w:rPr>
              <w:t xml:space="preserve"> </w:t>
            </w:r>
          </w:p>
        </w:tc>
        <w:tc>
          <w:tcPr>
            <w:tcW w:w="1155" w:type="dxa"/>
            <w:tcBorders>
              <w:top w:val="single" w:sz="4" w:space="0" w:color="000000"/>
              <w:left w:val="single" w:sz="12" w:space="0" w:color="000000"/>
              <w:bottom w:val="single" w:sz="4" w:space="0" w:color="000000"/>
              <w:right w:val="single" w:sz="12" w:space="0" w:color="000000"/>
            </w:tcBorders>
            <w:vAlign w:val="center"/>
          </w:tcPr>
          <w:p w14:paraId="107A5CC0" w14:textId="1368700C" w:rsidR="00BC7D71" w:rsidRDefault="00BC7D71" w:rsidP="00BC7D71">
            <w:pPr>
              <w:spacing w:after="0" w:line="259" w:lineRule="auto"/>
              <w:ind w:left="0" w:right="44" w:firstLine="0"/>
              <w:jc w:val="center"/>
              <w:rPr>
                <w:sz w:val="18"/>
              </w:rPr>
            </w:pPr>
            <w:r>
              <w:rPr>
                <w:sz w:val="18"/>
              </w:rPr>
              <w:t>152-16-9</w:t>
            </w:r>
          </w:p>
        </w:tc>
        <w:tc>
          <w:tcPr>
            <w:tcW w:w="643" w:type="dxa"/>
            <w:tcBorders>
              <w:top w:val="single" w:sz="4" w:space="0" w:color="000000"/>
              <w:left w:val="single" w:sz="12" w:space="0" w:color="000000"/>
              <w:bottom w:val="single" w:sz="4" w:space="0" w:color="000000"/>
              <w:right w:val="single" w:sz="12" w:space="0" w:color="000000"/>
            </w:tcBorders>
            <w:vAlign w:val="center"/>
          </w:tcPr>
          <w:p w14:paraId="4144E0CE" w14:textId="289F3D8C" w:rsidR="00BC7D71" w:rsidRDefault="00BC7D71" w:rsidP="00BC7D71">
            <w:pPr>
              <w:spacing w:after="0" w:line="259" w:lineRule="auto"/>
              <w:ind w:left="0" w:right="0" w:firstLine="0"/>
              <w:jc w:val="center"/>
              <w:rPr>
                <w:sz w:val="18"/>
              </w:rPr>
            </w:pPr>
            <w:r>
              <w:rPr>
                <w:sz w:val="18"/>
              </w:rPr>
              <w:t>200</w:t>
            </w:r>
          </w:p>
        </w:tc>
        <w:tc>
          <w:tcPr>
            <w:tcW w:w="726" w:type="dxa"/>
            <w:tcBorders>
              <w:top w:val="single" w:sz="4" w:space="0" w:color="000000"/>
              <w:left w:val="single" w:sz="12" w:space="0" w:color="000000"/>
              <w:bottom w:val="single" w:sz="4" w:space="0" w:color="000000"/>
              <w:right w:val="single" w:sz="12" w:space="0" w:color="000000"/>
            </w:tcBorders>
            <w:vAlign w:val="center"/>
          </w:tcPr>
          <w:p w14:paraId="0A711B60" w14:textId="0008FEC0" w:rsidR="00BC7D71" w:rsidRDefault="00BC7D71" w:rsidP="00BC7D71">
            <w:pPr>
              <w:spacing w:after="0" w:line="259" w:lineRule="auto"/>
              <w:ind w:left="0" w:right="49" w:firstLine="0"/>
              <w:jc w:val="center"/>
              <w:rPr>
                <w:sz w:val="18"/>
              </w:rPr>
            </w:pPr>
            <w:r>
              <w:rPr>
                <w:sz w:val="18"/>
              </w:rPr>
              <w:t>ug/L</w:t>
            </w:r>
          </w:p>
        </w:tc>
        <w:tc>
          <w:tcPr>
            <w:tcW w:w="773" w:type="dxa"/>
            <w:tcBorders>
              <w:top w:val="single" w:sz="4" w:space="0" w:color="000000"/>
              <w:left w:val="single" w:sz="12" w:space="0" w:color="000000"/>
              <w:bottom w:val="single" w:sz="4" w:space="0" w:color="000000"/>
              <w:right w:val="single" w:sz="12" w:space="0" w:color="000000"/>
            </w:tcBorders>
            <w:vAlign w:val="center"/>
          </w:tcPr>
          <w:p w14:paraId="3033F1DD" w14:textId="7421CBE3" w:rsidR="00BC7D71" w:rsidRDefault="00BC7D71" w:rsidP="00BC7D71">
            <w:pPr>
              <w:spacing w:after="0" w:line="259" w:lineRule="auto"/>
              <w:ind w:left="0" w:right="41" w:firstLine="0"/>
              <w:jc w:val="center"/>
              <w:rPr>
                <w:sz w:val="18"/>
              </w:rPr>
            </w:pPr>
            <w:r>
              <w:rPr>
                <w:sz w:val="18"/>
              </w:rPr>
              <w:t>13000</w:t>
            </w:r>
          </w:p>
        </w:tc>
        <w:tc>
          <w:tcPr>
            <w:tcW w:w="951" w:type="dxa"/>
            <w:tcBorders>
              <w:top w:val="single" w:sz="4" w:space="0" w:color="000000"/>
              <w:left w:val="single" w:sz="12" w:space="0" w:color="000000"/>
              <w:bottom w:val="single" w:sz="4" w:space="0" w:color="000000"/>
              <w:right w:val="single" w:sz="12" w:space="0" w:color="000000"/>
            </w:tcBorders>
            <w:vAlign w:val="center"/>
          </w:tcPr>
          <w:p w14:paraId="53D289C5" w14:textId="4F97AFE3" w:rsidR="00BC7D71" w:rsidRDefault="00BC7D71" w:rsidP="00BC7D71">
            <w:pPr>
              <w:spacing w:after="0" w:line="259" w:lineRule="auto"/>
              <w:ind w:left="0" w:right="46" w:firstLine="0"/>
              <w:jc w:val="center"/>
              <w:rPr>
                <w:rFonts w:eastAsia="Segoe UI Symbol"/>
                <w:sz w:val="18"/>
              </w:rPr>
            </w:pPr>
            <w:r>
              <w:rPr>
                <w:rFonts w:eastAsia="Segoe UI Symbol"/>
                <w:sz w:val="18"/>
              </w:rPr>
              <w:t>u</w:t>
            </w:r>
            <w:r>
              <w:rPr>
                <w:sz w:val="18"/>
              </w:rPr>
              <w:t>g/kg</w:t>
            </w:r>
          </w:p>
        </w:tc>
        <w:tc>
          <w:tcPr>
            <w:tcW w:w="630" w:type="dxa"/>
            <w:tcBorders>
              <w:top w:val="single" w:sz="4" w:space="0" w:color="000000"/>
              <w:left w:val="single" w:sz="12" w:space="0" w:color="000000"/>
              <w:bottom w:val="single" w:sz="4" w:space="0" w:color="000000"/>
              <w:right w:val="single" w:sz="12" w:space="0" w:color="000000"/>
            </w:tcBorders>
            <w:vAlign w:val="center"/>
          </w:tcPr>
          <w:p w14:paraId="4EFC2647" w14:textId="094378A7" w:rsidR="00BC7D71" w:rsidRDefault="00BC7D71" w:rsidP="00DB6303">
            <w:pPr>
              <w:spacing w:after="0" w:line="259" w:lineRule="auto"/>
              <w:ind w:left="0" w:right="47" w:firstLine="0"/>
              <w:jc w:val="center"/>
              <w:rPr>
                <w:sz w:val="18"/>
              </w:rPr>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3A555838" w14:textId="77777777" w:rsidR="00BC7D71" w:rsidRDefault="00BC7D71" w:rsidP="008F3E2C">
            <w:pPr>
              <w:spacing w:after="0" w:line="259" w:lineRule="auto"/>
              <w:ind w:left="96" w:right="0" w:firstLine="0"/>
              <w:jc w:val="center"/>
              <w:rPr>
                <w:sz w:val="18"/>
              </w:rPr>
            </w:pPr>
          </w:p>
        </w:tc>
        <w:tc>
          <w:tcPr>
            <w:tcW w:w="540" w:type="dxa"/>
            <w:tcBorders>
              <w:top w:val="single" w:sz="4" w:space="0" w:color="000000"/>
              <w:left w:val="single" w:sz="12" w:space="0" w:color="000000"/>
              <w:bottom w:val="single" w:sz="4" w:space="0" w:color="000000"/>
              <w:right w:val="single" w:sz="12" w:space="0" w:color="000000"/>
            </w:tcBorders>
            <w:vAlign w:val="center"/>
          </w:tcPr>
          <w:p w14:paraId="772641CB" w14:textId="77777777" w:rsidR="00BC7D71" w:rsidRDefault="00BC7D71" w:rsidP="00DB6303">
            <w:pPr>
              <w:spacing w:after="0" w:line="259" w:lineRule="auto"/>
              <w:ind w:left="0" w:right="47" w:firstLine="0"/>
              <w:jc w:val="center"/>
              <w:rPr>
                <w:sz w:val="18"/>
              </w:rPr>
            </w:pPr>
          </w:p>
        </w:tc>
        <w:tc>
          <w:tcPr>
            <w:tcW w:w="810" w:type="dxa"/>
            <w:tcBorders>
              <w:top w:val="single" w:sz="4" w:space="0" w:color="000000"/>
              <w:left w:val="single" w:sz="12" w:space="0" w:color="000000"/>
              <w:bottom w:val="single" w:sz="4" w:space="0" w:color="000000"/>
              <w:right w:val="single" w:sz="12" w:space="0" w:color="000000"/>
            </w:tcBorders>
            <w:vAlign w:val="center"/>
          </w:tcPr>
          <w:p w14:paraId="11B706B4" w14:textId="7C784255" w:rsidR="00BC7D71" w:rsidRDefault="00BC7D71" w:rsidP="00BC7D71">
            <w:pPr>
              <w:spacing w:after="0" w:line="259" w:lineRule="auto"/>
              <w:ind w:left="0" w:right="0" w:firstLine="0"/>
              <w:jc w:val="center"/>
              <w:rPr>
                <w:sz w:val="18"/>
              </w:rPr>
            </w:pPr>
            <w:r>
              <w:rPr>
                <w:sz w:val="18"/>
              </w:rPr>
              <w:t>8270</w:t>
            </w:r>
          </w:p>
        </w:tc>
        <w:tc>
          <w:tcPr>
            <w:tcW w:w="900" w:type="dxa"/>
            <w:tcBorders>
              <w:top w:val="single" w:sz="4" w:space="0" w:color="000000"/>
              <w:left w:val="single" w:sz="12" w:space="0" w:color="000000"/>
              <w:bottom w:val="single" w:sz="4" w:space="0" w:color="000000"/>
              <w:right w:val="single" w:sz="12" w:space="0" w:color="000000"/>
            </w:tcBorders>
            <w:vAlign w:val="center"/>
          </w:tcPr>
          <w:p w14:paraId="3588E7E8" w14:textId="77777777" w:rsidR="00BC7D71" w:rsidRDefault="00BC7D71" w:rsidP="00BC7D71">
            <w:pPr>
              <w:spacing w:after="0" w:line="259" w:lineRule="auto"/>
              <w:ind w:left="0" w:right="0" w:firstLine="0"/>
              <w:jc w:val="center"/>
            </w:pPr>
          </w:p>
        </w:tc>
      </w:tr>
      <w:tr w:rsidR="00E8392B" w14:paraId="6C5A717D" w14:textId="77777777" w:rsidTr="005B6604">
        <w:trPr>
          <w:trHeight w:val="262"/>
        </w:trPr>
        <w:tc>
          <w:tcPr>
            <w:tcW w:w="2952" w:type="dxa"/>
            <w:tcBorders>
              <w:top w:val="single" w:sz="4" w:space="0" w:color="000000"/>
              <w:left w:val="single" w:sz="12" w:space="0" w:color="000000"/>
              <w:bottom w:val="single" w:sz="4" w:space="0" w:color="000000"/>
              <w:right w:val="single" w:sz="12" w:space="0" w:color="000000"/>
            </w:tcBorders>
          </w:tcPr>
          <w:p w14:paraId="31F23ABD" w14:textId="2C95A267" w:rsidR="00BC7D71" w:rsidRDefault="00BC7D71" w:rsidP="00BC7D71">
            <w:pPr>
              <w:spacing w:after="0" w:line="259" w:lineRule="auto"/>
              <w:ind w:left="0" w:right="0" w:firstLine="0"/>
              <w:rPr>
                <w:sz w:val="18"/>
              </w:rPr>
            </w:pPr>
            <w:proofErr w:type="spellStart"/>
            <w:r>
              <w:rPr>
                <w:sz w:val="18"/>
              </w:rPr>
              <w:t>Pentachlorobenzene</w:t>
            </w:r>
            <w:proofErr w:type="spellEnd"/>
            <w:r>
              <w:rPr>
                <w:sz w:val="18"/>
              </w:rPr>
              <w:t xml:space="preserve"> </w:t>
            </w:r>
          </w:p>
        </w:tc>
        <w:tc>
          <w:tcPr>
            <w:tcW w:w="1155" w:type="dxa"/>
            <w:tcBorders>
              <w:top w:val="single" w:sz="4" w:space="0" w:color="000000"/>
              <w:left w:val="single" w:sz="12" w:space="0" w:color="000000"/>
              <w:bottom w:val="single" w:sz="4" w:space="0" w:color="000000"/>
              <w:right w:val="single" w:sz="12" w:space="0" w:color="000000"/>
            </w:tcBorders>
            <w:vAlign w:val="center"/>
          </w:tcPr>
          <w:p w14:paraId="34C42493" w14:textId="03841613" w:rsidR="00BC7D71" w:rsidRDefault="00BC7D71" w:rsidP="00BC7D71">
            <w:pPr>
              <w:spacing w:after="0" w:line="259" w:lineRule="auto"/>
              <w:ind w:left="0" w:right="44" w:firstLine="0"/>
              <w:jc w:val="center"/>
              <w:rPr>
                <w:sz w:val="18"/>
              </w:rPr>
            </w:pPr>
            <w:r>
              <w:rPr>
                <w:sz w:val="18"/>
              </w:rPr>
              <w:t>608-93-5</w:t>
            </w:r>
          </w:p>
        </w:tc>
        <w:tc>
          <w:tcPr>
            <w:tcW w:w="643" w:type="dxa"/>
            <w:tcBorders>
              <w:top w:val="single" w:sz="4" w:space="0" w:color="000000"/>
              <w:left w:val="single" w:sz="12" w:space="0" w:color="000000"/>
              <w:bottom w:val="single" w:sz="4" w:space="0" w:color="000000"/>
              <w:right w:val="single" w:sz="12" w:space="0" w:color="000000"/>
            </w:tcBorders>
            <w:vAlign w:val="center"/>
          </w:tcPr>
          <w:p w14:paraId="63BBF2EB" w14:textId="7D4F8368" w:rsidR="00BC7D71" w:rsidRDefault="00BC7D71" w:rsidP="00BC7D71">
            <w:pPr>
              <w:spacing w:after="0" w:line="259" w:lineRule="auto"/>
              <w:ind w:left="0" w:right="0" w:firstLine="0"/>
              <w:jc w:val="center"/>
              <w:rPr>
                <w:sz w:val="18"/>
              </w:rPr>
            </w:pPr>
            <w:r>
              <w:rPr>
                <w:sz w:val="18"/>
              </w:rPr>
              <w:t>10</w:t>
            </w:r>
          </w:p>
        </w:tc>
        <w:tc>
          <w:tcPr>
            <w:tcW w:w="726" w:type="dxa"/>
            <w:tcBorders>
              <w:top w:val="single" w:sz="4" w:space="0" w:color="000000"/>
              <w:left w:val="single" w:sz="12" w:space="0" w:color="000000"/>
              <w:bottom w:val="single" w:sz="4" w:space="0" w:color="000000"/>
              <w:right w:val="single" w:sz="12" w:space="0" w:color="000000"/>
            </w:tcBorders>
            <w:vAlign w:val="center"/>
          </w:tcPr>
          <w:p w14:paraId="3C630134" w14:textId="6E7128EF" w:rsidR="00BC7D71" w:rsidRDefault="00BC7D71" w:rsidP="00BC7D71">
            <w:pPr>
              <w:spacing w:after="0" w:line="259" w:lineRule="auto"/>
              <w:ind w:left="0" w:right="49" w:firstLine="0"/>
              <w:jc w:val="center"/>
              <w:rPr>
                <w:sz w:val="18"/>
              </w:rPr>
            </w:pPr>
            <w:r>
              <w:rPr>
                <w:sz w:val="18"/>
              </w:rPr>
              <w:t>ug/L</w:t>
            </w:r>
          </w:p>
        </w:tc>
        <w:tc>
          <w:tcPr>
            <w:tcW w:w="773" w:type="dxa"/>
            <w:tcBorders>
              <w:top w:val="single" w:sz="4" w:space="0" w:color="000000"/>
              <w:left w:val="single" w:sz="12" w:space="0" w:color="000000"/>
              <w:bottom w:val="single" w:sz="4" w:space="0" w:color="000000"/>
              <w:right w:val="single" w:sz="12" w:space="0" w:color="000000"/>
            </w:tcBorders>
            <w:vAlign w:val="center"/>
          </w:tcPr>
          <w:p w14:paraId="3D320DF2" w14:textId="063C5848" w:rsidR="00BC7D71" w:rsidRDefault="00BC7D71" w:rsidP="00BC7D71">
            <w:pPr>
              <w:spacing w:after="0" w:line="259" w:lineRule="auto"/>
              <w:ind w:left="0" w:right="41" w:firstLine="0"/>
              <w:jc w:val="center"/>
              <w:rPr>
                <w:sz w:val="18"/>
              </w:rPr>
            </w:pPr>
            <w:r>
              <w:rPr>
                <w:sz w:val="18"/>
              </w:rPr>
              <w:t>660</w:t>
            </w:r>
          </w:p>
        </w:tc>
        <w:tc>
          <w:tcPr>
            <w:tcW w:w="951" w:type="dxa"/>
            <w:tcBorders>
              <w:top w:val="single" w:sz="4" w:space="0" w:color="000000"/>
              <w:left w:val="single" w:sz="12" w:space="0" w:color="000000"/>
              <w:bottom w:val="single" w:sz="4" w:space="0" w:color="000000"/>
              <w:right w:val="single" w:sz="12" w:space="0" w:color="000000"/>
            </w:tcBorders>
            <w:vAlign w:val="center"/>
          </w:tcPr>
          <w:p w14:paraId="444DBF86" w14:textId="54137495" w:rsidR="00BC7D71" w:rsidRDefault="00BC7D71" w:rsidP="00BC7D71">
            <w:pPr>
              <w:spacing w:after="0" w:line="259" w:lineRule="auto"/>
              <w:ind w:left="0" w:right="46" w:firstLine="0"/>
              <w:jc w:val="center"/>
              <w:rPr>
                <w:rFonts w:eastAsia="Segoe UI Symbol"/>
                <w:sz w:val="18"/>
              </w:rPr>
            </w:pPr>
            <w:r>
              <w:rPr>
                <w:rFonts w:eastAsia="Segoe UI Symbol"/>
                <w:sz w:val="18"/>
              </w:rPr>
              <w:t>u</w:t>
            </w:r>
            <w:r>
              <w:rPr>
                <w:sz w:val="18"/>
              </w:rPr>
              <w:t>g/kg</w:t>
            </w:r>
          </w:p>
        </w:tc>
        <w:tc>
          <w:tcPr>
            <w:tcW w:w="630" w:type="dxa"/>
            <w:tcBorders>
              <w:top w:val="single" w:sz="4" w:space="0" w:color="000000"/>
              <w:left w:val="single" w:sz="12" w:space="0" w:color="000000"/>
              <w:bottom w:val="single" w:sz="4" w:space="0" w:color="000000"/>
              <w:right w:val="single" w:sz="12" w:space="0" w:color="000000"/>
            </w:tcBorders>
            <w:vAlign w:val="center"/>
          </w:tcPr>
          <w:p w14:paraId="75B963E0" w14:textId="096C5B56" w:rsidR="00BC7D71" w:rsidRDefault="00BC7D71" w:rsidP="00DB6303">
            <w:pPr>
              <w:spacing w:after="0" w:line="259" w:lineRule="auto"/>
              <w:ind w:left="0" w:right="47" w:firstLine="0"/>
              <w:jc w:val="center"/>
              <w:rPr>
                <w:sz w:val="18"/>
              </w:rPr>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64396D4D" w14:textId="1CF8B89A" w:rsidR="00BC7D71" w:rsidRDefault="00BC7D71" w:rsidP="00E8392B">
            <w:pPr>
              <w:spacing w:after="0" w:line="259" w:lineRule="auto"/>
              <w:ind w:left="96" w:right="0" w:firstLine="0"/>
              <w:rPr>
                <w:sz w:val="18"/>
              </w:rPr>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0A231697" w14:textId="0CCEB4EE" w:rsidR="00BC7D71" w:rsidRDefault="00BC7D71" w:rsidP="00DB6303">
            <w:pPr>
              <w:spacing w:after="0" w:line="259" w:lineRule="auto"/>
              <w:ind w:left="0" w:right="47" w:firstLine="0"/>
              <w:jc w:val="center"/>
              <w:rPr>
                <w:sz w:val="18"/>
              </w:rPr>
            </w:pPr>
            <w:r>
              <w:rPr>
                <w:sz w:val="18"/>
              </w:rPr>
              <w:t>X</w:t>
            </w:r>
          </w:p>
        </w:tc>
        <w:tc>
          <w:tcPr>
            <w:tcW w:w="810" w:type="dxa"/>
            <w:tcBorders>
              <w:top w:val="single" w:sz="4" w:space="0" w:color="000000"/>
              <w:left w:val="single" w:sz="12" w:space="0" w:color="000000"/>
              <w:bottom w:val="single" w:sz="4" w:space="0" w:color="000000"/>
              <w:right w:val="single" w:sz="12" w:space="0" w:color="000000"/>
            </w:tcBorders>
            <w:vAlign w:val="center"/>
          </w:tcPr>
          <w:p w14:paraId="7F265CBE" w14:textId="70FFBEC9" w:rsidR="00BC7D71" w:rsidRDefault="00BC7D71" w:rsidP="00BC7D71">
            <w:pPr>
              <w:spacing w:after="0" w:line="259" w:lineRule="auto"/>
              <w:ind w:left="0" w:right="0" w:firstLine="0"/>
              <w:jc w:val="center"/>
              <w:rPr>
                <w:sz w:val="18"/>
              </w:rPr>
            </w:pPr>
            <w:r>
              <w:rPr>
                <w:sz w:val="18"/>
              </w:rPr>
              <w:t>8270</w:t>
            </w:r>
          </w:p>
        </w:tc>
        <w:tc>
          <w:tcPr>
            <w:tcW w:w="900" w:type="dxa"/>
            <w:tcBorders>
              <w:top w:val="single" w:sz="4" w:space="0" w:color="000000"/>
              <w:left w:val="single" w:sz="12" w:space="0" w:color="000000"/>
              <w:bottom w:val="single" w:sz="4" w:space="0" w:color="000000"/>
              <w:right w:val="single" w:sz="12" w:space="0" w:color="000000"/>
            </w:tcBorders>
            <w:vAlign w:val="center"/>
          </w:tcPr>
          <w:p w14:paraId="7DC0E692" w14:textId="1E472B4B" w:rsidR="00BC7D71" w:rsidRDefault="00BC7D71" w:rsidP="00BC7D71">
            <w:pPr>
              <w:spacing w:after="0" w:line="259" w:lineRule="auto"/>
              <w:ind w:left="0" w:right="0" w:firstLine="0"/>
              <w:jc w:val="center"/>
            </w:pPr>
            <w:r>
              <w:rPr>
                <w:sz w:val="18"/>
              </w:rPr>
              <w:t>8121</w:t>
            </w:r>
          </w:p>
        </w:tc>
      </w:tr>
      <w:tr w:rsidR="00E8392B" w14:paraId="045E08B9" w14:textId="77777777" w:rsidTr="005B6604">
        <w:trPr>
          <w:trHeight w:val="262"/>
        </w:trPr>
        <w:tc>
          <w:tcPr>
            <w:tcW w:w="2952" w:type="dxa"/>
            <w:tcBorders>
              <w:top w:val="single" w:sz="4" w:space="0" w:color="000000"/>
              <w:left w:val="single" w:sz="12" w:space="0" w:color="000000"/>
              <w:bottom w:val="single" w:sz="4" w:space="0" w:color="000000"/>
              <w:right w:val="single" w:sz="12" w:space="0" w:color="000000"/>
            </w:tcBorders>
          </w:tcPr>
          <w:p w14:paraId="52E9E338" w14:textId="2B54A2E8" w:rsidR="00BC7D71" w:rsidRDefault="00BC7D71" w:rsidP="00BC7D71">
            <w:pPr>
              <w:spacing w:after="0" w:line="259" w:lineRule="auto"/>
              <w:ind w:left="0" w:right="0" w:firstLine="0"/>
              <w:rPr>
                <w:sz w:val="18"/>
              </w:rPr>
            </w:pPr>
            <w:r>
              <w:rPr>
                <w:sz w:val="18"/>
              </w:rPr>
              <w:t xml:space="preserve">Phenacetin </w:t>
            </w:r>
          </w:p>
        </w:tc>
        <w:tc>
          <w:tcPr>
            <w:tcW w:w="1155" w:type="dxa"/>
            <w:tcBorders>
              <w:top w:val="single" w:sz="4" w:space="0" w:color="000000"/>
              <w:left w:val="single" w:sz="12" w:space="0" w:color="000000"/>
              <w:bottom w:val="single" w:sz="4" w:space="0" w:color="000000"/>
              <w:right w:val="single" w:sz="12" w:space="0" w:color="000000"/>
            </w:tcBorders>
            <w:vAlign w:val="center"/>
          </w:tcPr>
          <w:p w14:paraId="71BEC178" w14:textId="68FA5CC5" w:rsidR="00BC7D71" w:rsidRDefault="00BC7D71" w:rsidP="00BC7D71">
            <w:pPr>
              <w:spacing w:after="0" w:line="259" w:lineRule="auto"/>
              <w:ind w:left="0" w:right="44" w:firstLine="0"/>
              <w:jc w:val="center"/>
              <w:rPr>
                <w:sz w:val="18"/>
              </w:rPr>
            </w:pPr>
            <w:r>
              <w:rPr>
                <w:sz w:val="18"/>
              </w:rPr>
              <w:t>62-44-2</w:t>
            </w:r>
          </w:p>
        </w:tc>
        <w:tc>
          <w:tcPr>
            <w:tcW w:w="643" w:type="dxa"/>
            <w:tcBorders>
              <w:top w:val="single" w:sz="4" w:space="0" w:color="000000"/>
              <w:left w:val="single" w:sz="12" w:space="0" w:color="000000"/>
              <w:bottom w:val="single" w:sz="4" w:space="0" w:color="000000"/>
              <w:right w:val="single" w:sz="12" w:space="0" w:color="000000"/>
            </w:tcBorders>
            <w:vAlign w:val="center"/>
          </w:tcPr>
          <w:p w14:paraId="3E110889" w14:textId="67C5DE23" w:rsidR="00BC7D71" w:rsidRDefault="00BC7D71" w:rsidP="00BC7D71">
            <w:pPr>
              <w:spacing w:after="0" w:line="259" w:lineRule="auto"/>
              <w:ind w:left="0" w:right="0" w:firstLine="0"/>
              <w:jc w:val="center"/>
              <w:rPr>
                <w:sz w:val="18"/>
              </w:rPr>
            </w:pPr>
            <w:r>
              <w:rPr>
                <w:sz w:val="18"/>
              </w:rPr>
              <w:t>20</w:t>
            </w:r>
          </w:p>
        </w:tc>
        <w:tc>
          <w:tcPr>
            <w:tcW w:w="726" w:type="dxa"/>
            <w:tcBorders>
              <w:top w:val="single" w:sz="4" w:space="0" w:color="000000"/>
              <w:left w:val="single" w:sz="12" w:space="0" w:color="000000"/>
              <w:bottom w:val="single" w:sz="4" w:space="0" w:color="000000"/>
              <w:right w:val="single" w:sz="12" w:space="0" w:color="000000"/>
            </w:tcBorders>
            <w:vAlign w:val="center"/>
          </w:tcPr>
          <w:p w14:paraId="2E8157FF" w14:textId="2CE7C620" w:rsidR="00BC7D71" w:rsidRDefault="00BC7D71" w:rsidP="00BC7D71">
            <w:pPr>
              <w:spacing w:after="0" w:line="259" w:lineRule="auto"/>
              <w:ind w:left="0" w:right="49" w:firstLine="0"/>
              <w:jc w:val="center"/>
              <w:rPr>
                <w:sz w:val="18"/>
              </w:rPr>
            </w:pPr>
            <w:r>
              <w:rPr>
                <w:sz w:val="18"/>
              </w:rPr>
              <w:t>ug/L</w:t>
            </w:r>
          </w:p>
        </w:tc>
        <w:tc>
          <w:tcPr>
            <w:tcW w:w="773" w:type="dxa"/>
            <w:tcBorders>
              <w:top w:val="single" w:sz="4" w:space="0" w:color="000000"/>
              <w:left w:val="single" w:sz="12" w:space="0" w:color="000000"/>
              <w:bottom w:val="single" w:sz="4" w:space="0" w:color="000000"/>
              <w:right w:val="single" w:sz="12" w:space="0" w:color="000000"/>
            </w:tcBorders>
            <w:vAlign w:val="center"/>
          </w:tcPr>
          <w:p w14:paraId="33199E84" w14:textId="52A87232" w:rsidR="00BC7D71" w:rsidRDefault="00BC7D71" w:rsidP="00BC7D71">
            <w:pPr>
              <w:spacing w:after="0" w:line="259" w:lineRule="auto"/>
              <w:ind w:left="0" w:right="41" w:firstLine="0"/>
              <w:jc w:val="center"/>
              <w:rPr>
                <w:sz w:val="18"/>
              </w:rPr>
            </w:pPr>
            <w:r>
              <w:rPr>
                <w:sz w:val="18"/>
              </w:rPr>
              <w:t>1300</w:t>
            </w:r>
          </w:p>
        </w:tc>
        <w:tc>
          <w:tcPr>
            <w:tcW w:w="951" w:type="dxa"/>
            <w:tcBorders>
              <w:top w:val="single" w:sz="4" w:space="0" w:color="000000"/>
              <w:left w:val="single" w:sz="12" w:space="0" w:color="000000"/>
              <w:bottom w:val="single" w:sz="4" w:space="0" w:color="000000"/>
              <w:right w:val="single" w:sz="12" w:space="0" w:color="000000"/>
            </w:tcBorders>
            <w:vAlign w:val="center"/>
          </w:tcPr>
          <w:p w14:paraId="78E2EF5D" w14:textId="2331C753" w:rsidR="00BC7D71" w:rsidRDefault="00BC7D71" w:rsidP="00BC7D71">
            <w:pPr>
              <w:spacing w:after="0" w:line="259" w:lineRule="auto"/>
              <w:ind w:left="0" w:right="46" w:firstLine="0"/>
              <w:jc w:val="center"/>
              <w:rPr>
                <w:rFonts w:eastAsia="Segoe UI Symbol"/>
                <w:sz w:val="18"/>
              </w:rPr>
            </w:pPr>
            <w:r>
              <w:rPr>
                <w:rFonts w:eastAsia="Segoe UI Symbol"/>
                <w:sz w:val="18"/>
              </w:rPr>
              <w:t>u</w:t>
            </w:r>
            <w:r>
              <w:rPr>
                <w:sz w:val="18"/>
              </w:rPr>
              <w:t>g/kg</w:t>
            </w:r>
          </w:p>
        </w:tc>
        <w:tc>
          <w:tcPr>
            <w:tcW w:w="630" w:type="dxa"/>
            <w:tcBorders>
              <w:top w:val="single" w:sz="4" w:space="0" w:color="000000"/>
              <w:left w:val="single" w:sz="12" w:space="0" w:color="000000"/>
              <w:bottom w:val="single" w:sz="4" w:space="0" w:color="000000"/>
              <w:right w:val="single" w:sz="12" w:space="0" w:color="000000"/>
            </w:tcBorders>
            <w:vAlign w:val="center"/>
          </w:tcPr>
          <w:p w14:paraId="3505B294" w14:textId="47B888DA" w:rsidR="00BC7D71" w:rsidRDefault="00BC7D71" w:rsidP="00DB6303">
            <w:pPr>
              <w:spacing w:after="0" w:line="259" w:lineRule="auto"/>
              <w:ind w:left="0" w:right="47" w:firstLine="0"/>
              <w:jc w:val="center"/>
              <w:rPr>
                <w:sz w:val="18"/>
              </w:rPr>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36A0B1E8" w14:textId="0D66FAE6" w:rsidR="00BC7D71" w:rsidRDefault="00BC7D71" w:rsidP="00E8392B">
            <w:pPr>
              <w:spacing w:after="0" w:line="259" w:lineRule="auto"/>
              <w:ind w:left="96" w:right="0" w:firstLine="0"/>
              <w:rPr>
                <w:sz w:val="18"/>
              </w:rPr>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4DD5D876" w14:textId="42B40C04" w:rsidR="00BC7D71" w:rsidRDefault="00BC7D71" w:rsidP="00DB6303">
            <w:pPr>
              <w:spacing w:after="0" w:line="259" w:lineRule="auto"/>
              <w:ind w:left="0" w:right="47" w:firstLine="0"/>
              <w:jc w:val="center"/>
              <w:rPr>
                <w:sz w:val="18"/>
              </w:rPr>
            </w:pPr>
            <w:r>
              <w:rPr>
                <w:sz w:val="18"/>
              </w:rPr>
              <w:t>X</w:t>
            </w:r>
          </w:p>
        </w:tc>
        <w:tc>
          <w:tcPr>
            <w:tcW w:w="810" w:type="dxa"/>
            <w:tcBorders>
              <w:top w:val="single" w:sz="4" w:space="0" w:color="000000"/>
              <w:left w:val="single" w:sz="12" w:space="0" w:color="000000"/>
              <w:bottom w:val="single" w:sz="4" w:space="0" w:color="000000"/>
              <w:right w:val="single" w:sz="12" w:space="0" w:color="000000"/>
            </w:tcBorders>
            <w:vAlign w:val="center"/>
          </w:tcPr>
          <w:p w14:paraId="1FDE1623" w14:textId="103DD3B7" w:rsidR="00BC7D71" w:rsidRDefault="00BC7D71" w:rsidP="00BC7D71">
            <w:pPr>
              <w:spacing w:after="0" w:line="259" w:lineRule="auto"/>
              <w:ind w:left="0" w:right="0" w:firstLine="0"/>
              <w:jc w:val="center"/>
              <w:rPr>
                <w:sz w:val="18"/>
              </w:rPr>
            </w:pPr>
            <w:r>
              <w:rPr>
                <w:sz w:val="18"/>
              </w:rPr>
              <w:t>8270</w:t>
            </w:r>
          </w:p>
        </w:tc>
        <w:tc>
          <w:tcPr>
            <w:tcW w:w="900" w:type="dxa"/>
            <w:tcBorders>
              <w:top w:val="single" w:sz="4" w:space="0" w:color="000000"/>
              <w:left w:val="single" w:sz="12" w:space="0" w:color="000000"/>
              <w:bottom w:val="single" w:sz="4" w:space="0" w:color="000000"/>
              <w:right w:val="single" w:sz="12" w:space="0" w:color="000000"/>
            </w:tcBorders>
            <w:vAlign w:val="center"/>
          </w:tcPr>
          <w:p w14:paraId="26040C71" w14:textId="77777777" w:rsidR="00BC7D71" w:rsidRDefault="00BC7D71" w:rsidP="00BC7D71">
            <w:pPr>
              <w:spacing w:after="0" w:line="259" w:lineRule="auto"/>
              <w:ind w:left="0" w:right="0" w:firstLine="0"/>
              <w:jc w:val="center"/>
            </w:pPr>
          </w:p>
        </w:tc>
      </w:tr>
      <w:tr w:rsidR="00E8392B" w14:paraId="47AF219E" w14:textId="77777777" w:rsidTr="005B6604">
        <w:trPr>
          <w:trHeight w:val="262"/>
        </w:trPr>
        <w:tc>
          <w:tcPr>
            <w:tcW w:w="2952" w:type="dxa"/>
            <w:tcBorders>
              <w:top w:val="single" w:sz="4" w:space="0" w:color="000000"/>
              <w:left w:val="single" w:sz="12" w:space="0" w:color="000000"/>
              <w:bottom w:val="single" w:sz="4" w:space="0" w:color="000000"/>
              <w:right w:val="single" w:sz="12" w:space="0" w:color="000000"/>
            </w:tcBorders>
          </w:tcPr>
          <w:p w14:paraId="053F460B" w14:textId="2EEFDA4A" w:rsidR="00BC7D71" w:rsidRDefault="00BC7D71" w:rsidP="00BC7D71">
            <w:pPr>
              <w:spacing w:after="0" w:line="259" w:lineRule="auto"/>
              <w:ind w:left="0" w:right="0" w:firstLine="0"/>
              <w:rPr>
                <w:sz w:val="18"/>
              </w:rPr>
            </w:pPr>
            <w:r>
              <w:rPr>
                <w:sz w:val="18"/>
              </w:rPr>
              <w:lastRenderedPageBreak/>
              <w:t xml:space="preserve">1,4-Phenylenediamine </w:t>
            </w:r>
          </w:p>
        </w:tc>
        <w:tc>
          <w:tcPr>
            <w:tcW w:w="1155" w:type="dxa"/>
            <w:tcBorders>
              <w:top w:val="single" w:sz="4" w:space="0" w:color="000000"/>
              <w:left w:val="single" w:sz="12" w:space="0" w:color="000000"/>
              <w:bottom w:val="single" w:sz="4" w:space="0" w:color="000000"/>
              <w:right w:val="single" w:sz="12" w:space="0" w:color="000000"/>
            </w:tcBorders>
            <w:vAlign w:val="center"/>
          </w:tcPr>
          <w:p w14:paraId="676ECA78" w14:textId="4296154F" w:rsidR="00BC7D71" w:rsidRDefault="00BC7D71" w:rsidP="00BC7D71">
            <w:pPr>
              <w:spacing w:after="0" w:line="259" w:lineRule="auto"/>
              <w:ind w:left="0" w:right="44" w:firstLine="0"/>
              <w:jc w:val="center"/>
              <w:rPr>
                <w:sz w:val="18"/>
              </w:rPr>
            </w:pPr>
            <w:r>
              <w:rPr>
                <w:sz w:val="18"/>
              </w:rPr>
              <w:t>106-50-3</w:t>
            </w:r>
          </w:p>
        </w:tc>
        <w:tc>
          <w:tcPr>
            <w:tcW w:w="643" w:type="dxa"/>
            <w:tcBorders>
              <w:top w:val="single" w:sz="4" w:space="0" w:color="000000"/>
              <w:left w:val="single" w:sz="12" w:space="0" w:color="000000"/>
              <w:bottom w:val="single" w:sz="4" w:space="0" w:color="000000"/>
              <w:right w:val="single" w:sz="12" w:space="0" w:color="000000"/>
            </w:tcBorders>
            <w:vAlign w:val="center"/>
          </w:tcPr>
          <w:p w14:paraId="205A3975" w14:textId="12BC5C08" w:rsidR="00BC7D71" w:rsidRDefault="00BC7D71" w:rsidP="00BC7D71">
            <w:pPr>
              <w:spacing w:after="0" w:line="259" w:lineRule="auto"/>
              <w:ind w:left="0" w:right="0" w:firstLine="0"/>
              <w:jc w:val="center"/>
              <w:rPr>
                <w:sz w:val="18"/>
              </w:rPr>
            </w:pPr>
            <w:r>
              <w:rPr>
                <w:sz w:val="18"/>
              </w:rPr>
              <w:t>10</w:t>
            </w:r>
          </w:p>
        </w:tc>
        <w:tc>
          <w:tcPr>
            <w:tcW w:w="726" w:type="dxa"/>
            <w:tcBorders>
              <w:top w:val="single" w:sz="4" w:space="0" w:color="000000"/>
              <w:left w:val="single" w:sz="12" w:space="0" w:color="000000"/>
              <w:bottom w:val="single" w:sz="4" w:space="0" w:color="000000"/>
              <w:right w:val="single" w:sz="12" w:space="0" w:color="000000"/>
            </w:tcBorders>
            <w:vAlign w:val="center"/>
          </w:tcPr>
          <w:p w14:paraId="405B0B81" w14:textId="5F235AB3" w:rsidR="00BC7D71" w:rsidRDefault="00BC7D71" w:rsidP="00BC7D71">
            <w:pPr>
              <w:spacing w:after="0" w:line="259" w:lineRule="auto"/>
              <w:ind w:left="0" w:right="49" w:firstLine="0"/>
              <w:jc w:val="center"/>
              <w:rPr>
                <w:sz w:val="18"/>
              </w:rPr>
            </w:pPr>
            <w:r>
              <w:rPr>
                <w:sz w:val="18"/>
              </w:rPr>
              <w:t>ug/L</w:t>
            </w:r>
          </w:p>
        </w:tc>
        <w:tc>
          <w:tcPr>
            <w:tcW w:w="773" w:type="dxa"/>
            <w:tcBorders>
              <w:top w:val="single" w:sz="4" w:space="0" w:color="000000"/>
              <w:left w:val="single" w:sz="12" w:space="0" w:color="000000"/>
              <w:bottom w:val="single" w:sz="4" w:space="0" w:color="000000"/>
              <w:right w:val="single" w:sz="12" w:space="0" w:color="000000"/>
            </w:tcBorders>
            <w:vAlign w:val="center"/>
          </w:tcPr>
          <w:p w14:paraId="7FD53112" w14:textId="6A5B5CEA" w:rsidR="00BC7D71" w:rsidRDefault="00BC7D71" w:rsidP="00BC7D71">
            <w:pPr>
              <w:spacing w:after="0" w:line="259" w:lineRule="auto"/>
              <w:ind w:left="0" w:right="41" w:firstLine="0"/>
              <w:jc w:val="center"/>
              <w:rPr>
                <w:sz w:val="18"/>
              </w:rPr>
            </w:pPr>
            <w:r>
              <w:rPr>
                <w:sz w:val="18"/>
              </w:rPr>
              <w:t>660</w:t>
            </w:r>
          </w:p>
        </w:tc>
        <w:tc>
          <w:tcPr>
            <w:tcW w:w="951" w:type="dxa"/>
            <w:tcBorders>
              <w:top w:val="single" w:sz="4" w:space="0" w:color="000000"/>
              <w:left w:val="single" w:sz="12" w:space="0" w:color="000000"/>
              <w:bottom w:val="single" w:sz="4" w:space="0" w:color="000000"/>
              <w:right w:val="single" w:sz="12" w:space="0" w:color="000000"/>
            </w:tcBorders>
            <w:vAlign w:val="center"/>
          </w:tcPr>
          <w:p w14:paraId="30C87E3E" w14:textId="4E087FAF" w:rsidR="00BC7D71" w:rsidRDefault="00BC7D71" w:rsidP="00BC7D71">
            <w:pPr>
              <w:spacing w:after="0" w:line="259" w:lineRule="auto"/>
              <w:ind w:left="0" w:right="46" w:firstLine="0"/>
              <w:jc w:val="center"/>
              <w:rPr>
                <w:rFonts w:eastAsia="Segoe UI Symbol"/>
                <w:sz w:val="18"/>
              </w:rPr>
            </w:pPr>
            <w:r>
              <w:rPr>
                <w:rFonts w:eastAsia="Segoe UI Symbol"/>
                <w:sz w:val="18"/>
              </w:rPr>
              <w:t>u</w:t>
            </w:r>
            <w:r>
              <w:rPr>
                <w:sz w:val="18"/>
              </w:rPr>
              <w:t>g/kg</w:t>
            </w:r>
          </w:p>
        </w:tc>
        <w:tc>
          <w:tcPr>
            <w:tcW w:w="630" w:type="dxa"/>
            <w:tcBorders>
              <w:top w:val="single" w:sz="4" w:space="0" w:color="000000"/>
              <w:left w:val="single" w:sz="12" w:space="0" w:color="000000"/>
              <w:bottom w:val="single" w:sz="4" w:space="0" w:color="000000"/>
              <w:right w:val="single" w:sz="12" w:space="0" w:color="000000"/>
            </w:tcBorders>
            <w:vAlign w:val="center"/>
          </w:tcPr>
          <w:p w14:paraId="169FF05C" w14:textId="37172E06" w:rsidR="00BC7D71" w:rsidRDefault="00BC7D71" w:rsidP="00DB6303">
            <w:pPr>
              <w:spacing w:after="0" w:line="259" w:lineRule="auto"/>
              <w:ind w:left="0" w:right="47" w:firstLine="0"/>
              <w:jc w:val="center"/>
              <w:rPr>
                <w:sz w:val="18"/>
              </w:rPr>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10D4B91D" w14:textId="0F4D60AB" w:rsidR="00BC7D71" w:rsidRDefault="00BC7D71" w:rsidP="00E8392B">
            <w:pPr>
              <w:spacing w:after="0" w:line="259" w:lineRule="auto"/>
              <w:ind w:left="96" w:right="0" w:firstLine="0"/>
              <w:rPr>
                <w:sz w:val="18"/>
              </w:rPr>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4BCE5025" w14:textId="26823459" w:rsidR="00BC7D71" w:rsidRDefault="00BC7D71" w:rsidP="00DB6303">
            <w:pPr>
              <w:spacing w:after="0" w:line="259" w:lineRule="auto"/>
              <w:ind w:left="0" w:right="47" w:firstLine="0"/>
              <w:jc w:val="center"/>
              <w:rPr>
                <w:sz w:val="18"/>
              </w:rPr>
            </w:pPr>
            <w:r>
              <w:rPr>
                <w:sz w:val="18"/>
              </w:rPr>
              <w:t>X</w:t>
            </w:r>
          </w:p>
        </w:tc>
        <w:tc>
          <w:tcPr>
            <w:tcW w:w="810" w:type="dxa"/>
            <w:tcBorders>
              <w:top w:val="single" w:sz="4" w:space="0" w:color="000000"/>
              <w:left w:val="single" w:sz="12" w:space="0" w:color="000000"/>
              <w:bottom w:val="single" w:sz="4" w:space="0" w:color="000000"/>
              <w:right w:val="single" w:sz="12" w:space="0" w:color="000000"/>
            </w:tcBorders>
            <w:vAlign w:val="center"/>
          </w:tcPr>
          <w:p w14:paraId="44E587A3" w14:textId="6C1F04F5" w:rsidR="00BC7D71" w:rsidRDefault="00BC7D71" w:rsidP="00BC7D71">
            <w:pPr>
              <w:spacing w:after="0" w:line="259" w:lineRule="auto"/>
              <w:ind w:left="0" w:right="0" w:firstLine="0"/>
              <w:jc w:val="center"/>
              <w:rPr>
                <w:sz w:val="18"/>
              </w:rPr>
            </w:pPr>
            <w:r>
              <w:rPr>
                <w:sz w:val="18"/>
              </w:rPr>
              <w:t>8270</w:t>
            </w:r>
          </w:p>
        </w:tc>
        <w:tc>
          <w:tcPr>
            <w:tcW w:w="900" w:type="dxa"/>
            <w:tcBorders>
              <w:top w:val="single" w:sz="4" w:space="0" w:color="000000"/>
              <w:left w:val="single" w:sz="12" w:space="0" w:color="000000"/>
              <w:bottom w:val="single" w:sz="4" w:space="0" w:color="000000"/>
              <w:right w:val="single" w:sz="12" w:space="0" w:color="000000"/>
            </w:tcBorders>
            <w:vAlign w:val="center"/>
          </w:tcPr>
          <w:p w14:paraId="34915D25" w14:textId="77777777" w:rsidR="00BC7D71" w:rsidRDefault="00BC7D71" w:rsidP="00BC7D71">
            <w:pPr>
              <w:spacing w:after="0" w:line="259" w:lineRule="auto"/>
              <w:ind w:left="0" w:right="0" w:firstLine="0"/>
              <w:jc w:val="center"/>
            </w:pPr>
          </w:p>
        </w:tc>
      </w:tr>
      <w:tr w:rsidR="00E8392B" w14:paraId="2CE98CDF" w14:textId="77777777" w:rsidTr="005B6604">
        <w:trPr>
          <w:trHeight w:val="262"/>
        </w:trPr>
        <w:tc>
          <w:tcPr>
            <w:tcW w:w="2952" w:type="dxa"/>
            <w:tcBorders>
              <w:top w:val="single" w:sz="4" w:space="0" w:color="000000"/>
              <w:left w:val="single" w:sz="12" w:space="0" w:color="000000"/>
              <w:bottom w:val="single" w:sz="4" w:space="0" w:color="000000"/>
              <w:right w:val="single" w:sz="12" w:space="0" w:color="000000"/>
            </w:tcBorders>
          </w:tcPr>
          <w:p w14:paraId="4BADA9FA" w14:textId="7D0E27E8" w:rsidR="00BC7D71" w:rsidRDefault="00BC7D71" w:rsidP="00BC7D71">
            <w:pPr>
              <w:spacing w:after="0" w:line="259" w:lineRule="auto"/>
              <w:ind w:left="0" w:right="0" w:firstLine="0"/>
              <w:rPr>
                <w:sz w:val="18"/>
              </w:rPr>
            </w:pPr>
            <w:r>
              <w:rPr>
                <w:sz w:val="18"/>
              </w:rPr>
              <w:t xml:space="preserve">Phthalic anhydride </w:t>
            </w:r>
          </w:p>
        </w:tc>
        <w:tc>
          <w:tcPr>
            <w:tcW w:w="1155" w:type="dxa"/>
            <w:tcBorders>
              <w:top w:val="single" w:sz="4" w:space="0" w:color="000000"/>
              <w:left w:val="single" w:sz="12" w:space="0" w:color="000000"/>
              <w:bottom w:val="single" w:sz="4" w:space="0" w:color="000000"/>
              <w:right w:val="single" w:sz="12" w:space="0" w:color="000000"/>
            </w:tcBorders>
            <w:vAlign w:val="center"/>
          </w:tcPr>
          <w:p w14:paraId="605EA89F" w14:textId="231DE7B1" w:rsidR="00BC7D71" w:rsidRDefault="00BC7D71" w:rsidP="00BC7D71">
            <w:pPr>
              <w:spacing w:after="0" w:line="259" w:lineRule="auto"/>
              <w:ind w:left="0" w:right="44" w:firstLine="0"/>
              <w:jc w:val="center"/>
              <w:rPr>
                <w:sz w:val="18"/>
              </w:rPr>
            </w:pPr>
            <w:r>
              <w:rPr>
                <w:sz w:val="18"/>
              </w:rPr>
              <w:t>85-44-9</w:t>
            </w:r>
          </w:p>
        </w:tc>
        <w:tc>
          <w:tcPr>
            <w:tcW w:w="643" w:type="dxa"/>
            <w:tcBorders>
              <w:top w:val="single" w:sz="4" w:space="0" w:color="000000"/>
              <w:left w:val="single" w:sz="12" w:space="0" w:color="000000"/>
              <w:bottom w:val="single" w:sz="4" w:space="0" w:color="000000"/>
              <w:right w:val="single" w:sz="12" w:space="0" w:color="000000"/>
            </w:tcBorders>
            <w:vAlign w:val="center"/>
          </w:tcPr>
          <w:p w14:paraId="2A77BC92" w14:textId="4D4E473E" w:rsidR="00BC7D71" w:rsidRDefault="00BC7D71" w:rsidP="00BC7D71">
            <w:pPr>
              <w:spacing w:after="0" w:line="259" w:lineRule="auto"/>
              <w:ind w:left="0" w:right="0" w:firstLine="0"/>
              <w:jc w:val="center"/>
              <w:rPr>
                <w:sz w:val="18"/>
              </w:rPr>
            </w:pPr>
            <w:r>
              <w:rPr>
                <w:sz w:val="18"/>
              </w:rPr>
              <w:t>100</w:t>
            </w:r>
          </w:p>
        </w:tc>
        <w:tc>
          <w:tcPr>
            <w:tcW w:w="726" w:type="dxa"/>
            <w:tcBorders>
              <w:top w:val="single" w:sz="4" w:space="0" w:color="000000"/>
              <w:left w:val="single" w:sz="12" w:space="0" w:color="000000"/>
              <w:bottom w:val="single" w:sz="4" w:space="0" w:color="000000"/>
              <w:right w:val="single" w:sz="12" w:space="0" w:color="000000"/>
            </w:tcBorders>
            <w:vAlign w:val="center"/>
          </w:tcPr>
          <w:p w14:paraId="4E89FA97" w14:textId="4F0FFC79" w:rsidR="00BC7D71" w:rsidRDefault="00BC7D71" w:rsidP="00BC7D71">
            <w:pPr>
              <w:spacing w:after="0" w:line="259" w:lineRule="auto"/>
              <w:ind w:left="0" w:right="49" w:firstLine="0"/>
              <w:jc w:val="center"/>
              <w:rPr>
                <w:sz w:val="18"/>
              </w:rPr>
            </w:pPr>
            <w:r>
              <w:rPr>
                <w:sz w:val="18"/>
              </w:rPr>
              <w:t>ug/L</w:t>
            </w:r>
          </w:p>
        </w:tc>
        <w:tc>
          <w:tcPr>
            <w:tcW w:w="773" w:type="dxa"/>
            <w:tcBorders>
              <w:top w:val="single" w:sz="4" w:space="0" w:color="000000"/>
              <w:left w:val="single" w:sz="12" w:space="0" w:color="000000"/>
              <w:bottom w:val="single" w:sz="4" w:space="0" w:color="000000"/>
              <w:right w:val="single" w:sz="12" w:space="0" w:color="000000"/>
            </w:tcBorders>
            <w:vAlign w:val="center"/>
          </w:tcPr>
          <w:p w14:paraId="1E5F4C9F" w14:textId="33559DD3" w:rsidR="00BC7D71" w:rsidRDefault="00BC7D71" w:rsidP="00BC7D71">
            <w:pPr>
              <w:spacing w:after="0" w:line="259" w:lineRule="auto"/>
              <w:ind w:left="0" w:right="41" w:firstLine="0"/>
              <w:jc w:val="center"/>
              <w:rPr>
                <w:sz w:val="18"/>
              </w:rPr>
            </w:pPr>
            <w:r>
              <w:rPr>
                <w:sz w:val="18"/>
              </w:rPr>
              <w:t>6600</w:t>
            </w:r>
          </w:p>
        </w:tc>
        <w:tc>
          <w:tcPr>
            <w:tcW w:w="951" w:type="dxa"/>
            <w:tcBorders>
              <w:top w:val="single" w:sz="4" w:space="0" w:color="000000"/>
              <w:left w:val="single" w:sz="12" w:space="0" w:color="000000"/>
              <w:bottom w:val="single" w:sz="4" w:space="0" w:color="000000"/>
              <w:right w:val="single" w:sz="12" w:space="0" w:color="000000"/>
            </w:tcBorders>
            <w:vAlign w:val="center"/>
          </w:tcPr>
          <w:p w14:paraId="490B3A77" w14:textId="769488C2" w:rsidR="00BC7D71" w:rsidRDefault="00BC7D71" w:rsidP="00BC7D71">
            <w:pPr>
              <w:spacing w:after="0" w:line="259" w:lineRule="auto"/>
              <w:ind w:left="0" w:right="46" w:firstLine="0"/>
              <w:jc w:val="center"/>
              <w:rPr>
                <w:rFonts w:eastAsia="Segoe UI Symbol"/>
                <w:sz w:val="18"/>
              </w:rPr>
            </w:pPr>
            <w:r>
              <w:rPr>
                <w:rFonts w:eastAsia="Segoe UI Symbol"/>
                <w:sz w:val="18"/>
              </w:rPr>
              <w:t>u</w:t>
            </w:r>
            <w:r>
              <w:rPr>
                <w:sz w:val="18"/>
              </w:rPr>
              <w:t>g/kg</w:t>
            </w:r>
          </w:p>
        </w:tc>
        <w:tc>
          <w:tcPr>
            <w:tcW w:w="630" w:type="dxa"/>
            <w:tcBorders>
              <w:top w:val="single" w:sz="4" w:space="0" w:color="000000"/>
              <w:left w:val="single" w:sz="12" w:space="0" w:color="000000"/>
              <w:bottom w:val="single" w:sz="4" w:space="0" w:color="000000"/>
              <w:right w:val="single" w:sz="12" w:space="0" w:color="000000"/>
            </w:tcBorders>
            <w:vAlign w:val="center"/>
          </w:tcPr>
          <w:p w14:paraId="4ECEC4BE" w14:textId="3B4F63E7" w:rsidR="00BC7D71" w:rsidRDefault="00BC7D71" w:rsidP="00DB6303">
            <w:pPr>
              <w:spacing w:after="0" w:line="259" w:lineRule="auto"/>
              <w:ind w:left="0" w:right="47" w:firstLine="0"/>
              <w:jc w:val="center"/>
              <w:rPr>
                <w:sz w:val="18"/>
              </w:rPr>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6D5E7ADF" w14:textId="77777777" w:rsidR="00BC7D71" w:rsidRDefault="00BC7D71" w:rsidP="00E8392B">
            <w:pPr>
              <w:spacing w:after="0" w:line="259" w:lineRule="auto"/>
              <w:ind w:left="96" w:right="0" w:firstLine="0"/>
              <w:rPr>
                <w:sz w:val="18"/>
              </w:rPr>
            </w:pPr>
          </w:p>
        </w:tc>
        <w:tc>
          <w:tcPr>
            <w:tcW w:w="540" w:type="dxa"/>
            <w:tcBorders>
              <w:top w:val="single" w:sz="4" w:space="0" w:color="000000"/>
              <w:left w:val="single" w:sz="12" w:space="0" w:color="000000"/>
              <w:bottom w:val="single" w:sz="4" w:space="0" w:color="000000"/>
              <w:right w:val="single" w:sz="12" w:space="0" w:color="000000"/>
            </w:tcBorders>
            <w:vAlign w:val="center"/>
          </w:tcPr>
          <w:p w14:paraId="5C9CB2A6" w14:textId="77777777" w:rsidR="00BC7D71" w:rsidRDefault="00BC7D71" w:rsidP="00DB6303">
            <w:pPr>
              <w:spacing w:after="0" w:line="259" w:lineRule="auto"/>
              <w:ind w:left="0" w:right="47" w:firstLine="0"/>
              <w:jc w:val="center"/>
              <w:rPr>
                <w:sz w:val="18"/>
              </w:rPr>
            </w:pPr>
          </w:p>
        </w:tc>
        <w:tc>
          <w:tcPr>
            <w:tcW w:w="810" w:type="dxa"/>
            <w:tcBorders>
              <w:top w:val="single" w:sz="4" w:space="0" w:color="000000"/>
              <w:left w:val="single" w:sz="12" w:space="0" w:color="000000"/>
              <w:bottom w:val="single" w:sz="4" w:space="0" w:color="000000"/>
              <w:right w:val="single" w:sz="12" w:space="0" w:color="000000"/>
            </w:tcBorders>
            <w:vAlign w:val="center"/>
          </w:tcPr>
          <w:p w14:paraId="027E6B0B" w14:textId="6FB85E45" w:rsidR="00BC7D71" w:rsidRDefault="00BC7D71" w:rsidP="00BC7D71">
            <w:pPr>
              <w:spacing w:after="0" w:line="259" w:lineRule="auto"/>
              <w:ind w:left="0" w:right="0" w:firstLine="0"/>
              <w:jc w:val="center"/>
              <w:rPr>
                <w:sz w:val="18"/>
              </w:rPr>
            </w:pPr>
            <w:r>
              <w:rPr>
                <w:sz w:val="18"/>
              </w:rPr>
              <w:t>8270</w:t>
            </w:r>
          </w:p>
        </w:tc>
        <w:tc>
          <w:tcPr>
            <w:tcW w:w="900" w:type="dxa"/>
            <w:tcBorders>
              <w:top w:val="single" w:sz="4" w:space="0" w:color="000000"/>
              <w:left w:val="single" w:sz="12" w:space="0" w:color="000000"/>
              <w:bottom w:val="single" w:sz="4" w:space="0" w:color="000000"/>
              <w:right w:val="single" w:sz="12" w:space="0" w:color="000000"/>
            </w:tcBorders>
            <w:vAlign w:val="center"/>
          </w:tcPr>
          <w:p w14:paraId="46DD2537" w14:textId="77777777" w:rsidR="00BC7D71" w:rsidRDefault="00BC7D71" w:rsidP="00BC7D71">
            <w:pPr>
              <w:spacing w:after="0" w:line="259" w:lineRule="auto"/>
              <w:ind w:left="0" w:right="0" w:firstLine="0"/>
              <w:jc w:val="center"/>
            </w:pPr>
          </w:p>
        </w:tc>
      </w:tr>
      <w:tr w:rsidR="00E8392B" w14:paraId="15FF69BE" w14:textId="77777777" w:rsidTr="005B6604">
        <w:trPr>
          <w:trHeight w:val="262"/>
        </w:trPr>
        <w:tc>
          <w:tcPr>
            <w:tcW w:w="2952" w:type="dxa"/>
            <w:tcBorders>
              <w:top w:val="single" w:sz="4" w:space="0" w:color="000000"/>
              <w:left w:val="single" w:sz="12" w:space="0" w:color="000000"/>
              <w:bottom w:val="single" w:sz="4" w:space="0" w:color="000000"/>
              <w:right w:val="single" w:sz="12" w:space="0" w:color="000000"/>
            </w:tcBorders>
          </w:tcPr>
          <w:p w14:paraId="5C0A4238" w14:textId="0F05769A" w:rsidR="00BC7D71" w:rsidRDefault="00BC7D71" w:rsidP="00BC7D71">
            <w:pPr>
              <w:spacing w:after="0" w:line="259" w:lineRule="auto"/>
              <w:ind w:left="0" w:right="0" w:firstLine="0"/>
              <w:rPr>
                <w:sz w:val="18"/>
              </w:rPr>
            </w:pPr>
            <w:r>
              <w:rPr>
                <w:sz w:val="18"/>
              </w:rPr>
              <w:t xml:space="preserve">2-Picoline </w:t>
            </w:r>
          </w:p>
        </w:tc>
        <w:tc>
          <w:tcPr>
            <w:tcW w:w="1155" w:type="dxa"/>
            <w:tcBorders>
              <w:top w:val="single" w:sz="4" w:space="0" w:color="000000"/>
              <w:left w:val="single" w:sz="12" w:space="0" w:color="000000"/>
              <w:bottom w:val="single" w:sz="4" w:space="0" w:color="000000"/>
              <w:right w:val="single" w:sz="12" w:space="0" w:color="000000"/>
            </w:tcBorders>
            <w:vAlign w:val="center"/>
          </w:tcPr>
          <w:p w14:paraId="109B3FD4" w14:textId="5FA3BD66" w:rsidR="00BC7D71" w:rsidRDefault="00BC7D71" w:rsidP="00BC7D71">
            <w:pPr>
              <w:spacing w:after="0" w:line="259" w:lineRule="auto"/>
              <w:ind w:left="0" w:right="44" w:firstLine="0"/>
              <w:jc w:val="center"/>
              <w:rPr>
                <w:sz w:val="18"/>
              </w:rPr>
            </w:pPr>
            <w:r>
              <w:rPr>
                <w:sz w:val="18"/>
              </w:rPr>
              <w:t>109-06-8</w:t>
            </w:r>
          </w:p>
        </w:tc>
        <w:tc>
          <w:tcPr>
            <w:tcW w:w="643" w:type="dxa"/>
            <w:tcBorders>
              <w:top w:val="single" w:sz="4" w:space="0" w:color="000000"/>
              <w:left w:val="single" w:sz="12" w:space="0" w:color="000000"/>
              <w:bottom w:val="single" w:sz="4" w:space="0" w:color="000000"/>
              <w:right w:val="single" w:sz="12" w:space="0" w:color="000000"/>
            </w:tcBorders>
            <w:vAlign w:val="center"/>
          </w:tcPr>
          <w:p w14:paraId="2EEC678E" w14:textId="27A5C886" w:rsidR="00BC7D71" w:rsidRDefault="00BC7D71" w:rsidP="00BC7D71">
            <w:pPr>
              <w:spacing w:after="0" w:line="259" w:lineRule="auto"/>
              <w:ind w:left="0" w:right="0" w:firstLine="0"/>
              <w:jc w:val="center"/>
              <w:rPr>
                <w:sz w:val="18"/>
              </w:rPr>
            </w:pPr>
            <w:r>
              <w:rPr>
                <w:sz w:val="18"/>
              </w:rPr>
              <w:t>20</w:t>
            </w:r>
          </w:p>
        </w:tc>
        <w:tc>
          <w:tcPr>
            <w:tcW w:w="726" w:type="dxa"/>
            <w:tcBorders>
              <w:top w:val="single" w:sz="4" w:space="0" w:color="000000"/>
              <w:left w:val="single" w:sz="12" w:space="0" w:color="000000"/>
              <w:bottom w:val="single" w:sz="4" w:space="0" w:color="000000"/>
              <w:right w:val="single" w:sz="12" w:space="0" w:color="000000"/>
            </w:tcBorders>
            <w:vAlign w:val="center"/>
          </w:tcPr>
          <w:p w14:paraId="3E4D8DA0" w14:textId="1E0A87AF" w:rsidR="00BC7D71" w:rsidRDefault="00BC7D71" w:rsidP="00BC7D71">
            <w:pPr>
              <w:spacing w:after="0" w:line="259" w:lineRule="auto"/>
              <w:ind w:left="0" w:right="49" w:firstLine="0"/>
              <w:jc w:val="center"/>
              <w:rPr>
                <w:sz w:val="18"/>
              </w:rPr>
            </w:pPr>
            <w:r>
              <w:rPr>
                <w:sz w:val="18"/>
              </w:rPr>
              <w:t>ug/L</w:t>
            </w:r>
          </w:p>
        </w:tc>
        <w:tc>
          <w:tcPr>
            <w:tcW w:w="773" w:type="dxa"/>
            <w:tcBorders>
              <w:top w:val="single" w:sz="4" w:space="0" w:color="000000"/>
              <w:left w:val="single" w:sz="12" w:space="0" w:color="000000"/>
              <w:bottom w:val="single" w:sz="4" w:space="0" w:color="000000"/>
              <w:right w:val="single" w:sz="12" w:space="0" w:color="000000"/>
            </w:tcBorders>
            <w:vAlign w:val="center"/>
          </w:tcPr>
          <w:p w14:paraId="403F0133" w14:textId="15041799" w:rsidR="00BC7D71" w:rsidRDefault="00BC7D71" w:rsidP="00BC7D71">
            <w:pPr>
              <w:spacing w:after="0" w:line="259" w:lineRule="auto"/>
              <w:ind w:left="0" w:right="41" w:firstLine="0"/>
              <w:jc w:val="center"/>
              <w:rPr>
                <w:sz w:val="18"/>
              </w:rPr>
            </w:pPr>
            <w:r>
              <w:rPr>
                <w:sz w:val="18"/>
              </w:rPr>
              <w:t>1300</w:t>
            </w:r>
          </w:p>
        </w:tc>
        <w:tc>
          <w:tcPr>
            <w:tcW w:w="951" w:type="dxa"/>
            <w:tcBorders>
              <w:top w:val="single" w:sz="4" w:space="0" w:color="000000"/>
              <w:left w:val="single" w:sz="12" w:space="0" w:color="000000"/>
              <w:bottom w:val="single" w:sz="4" w:space="0" w:color="000000"/>
              <w:right w:val="single" w:sz="12" w:space="0" w:color="000000"/>
            </w:tcBorders>
            <w:vAlign w:val="center"/>
          </w:tcPr>
          <w:p w14:paraId="4C1DE5B5" w14:textId="590A05F2" w:rsidR="00BC7D71" w:rsidRDefault="00BC7D71" w:rsidP="00BC7D71">
            <w:pPr>
              <w:spacing w:after="0" w:line="259" w:lineRule="auto"/>
              <w:ind w:left="0" w:right="46" w:firstLine="0"/>
              <w:jc w:val="center"/>
              <w:rPr>
                <w:rFonts w:eastAsia="Segoe UI Symbol"/>
                <w:sz w:val="18"/>
              </w:rPr>
            </w:pPr>
            <w:r>
              <w:rPr>
                <w:rFonts w:eastAsia="Segoe UI Symbol"/>
                <w:sz w:val="18"/>
              </w:rPr>
              <w:t>u</w:t>
            </w:r>
            <w:r>
              <w:rPr>
                <w:sz w:val="18"/>
              </w:rPr>
              <w:t>g/kg</w:t>
            </w:r>
          </w:p>
        </w:tc>
        <w:tc>
          <w:tcPr>
            <w:tcW w:w="630" w:type="dxa"/>
            <w:tcBorders>
              <w:top w:val="single" w:sz="4" w:space="0" w:color="000000"/>
              <w:left w:val="single" w:sz="12" w:space="0" w:color="000000"/>
              <w:bottom w:val="single" w:sz="4" w:space="0" w:color="000000"/>
              <w:right w:val="single" w:sz="12" w:space="0" w:color="000000"/>
            </w:tcBorders>
            <w:vAlign w:val="center"/>
          </w:tcPr>
          <w:p w14:paraId="320224F9" w14:textId="70930C0C" w:rsidR="00BC7D71" w:rsidRDefault="00BC7D71" w:rsidP="00DB6303">
            <w:pPr>
              <w:spacing w:after="0" w:line="259" w:lineRule="auto"/>
              <w:ind w:left="0" w:right="47" w:firstLine="0"/>
              <w:jc w:val="center"/>
              <w:rPr>
                <w:sz w:val="18"/>
              </w:rPr>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17514498" w14:textId="54422138" w:rsidR="00BC7D71" w:rsidRDefault="00BC7D71" w:rsidP="00E8392B">
            <w:pPr>
              <w:spacing w:after="0" w:line="259" w:lineRule="auto"/>
              <w:ind w:left="96" w:right="0" w:firstLine="0"/>
              <w:rPr>
                <w:sz w:val="18"/>
              </w:rPr>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23C1306B" w14:textId="77777777" w:rsidR="00BC7D71" w:rsidRDefault="00BC7D71" w:rsidP="00DB6303">
            <w:pPr>
              <w:spacing w:after="0" w:line="259" w:lineRule="auto"/>
              <w:ind w:left="0" w:right="47" w:firstLine="0"/>
              <w:jc w:val="center"/>
              <w:rPr>
                <w:sz w:val="18"/>
              </w:rPr>
            </w:pPr>
          </w:p>
        </w:tc>
        <w:tc>
          <w:tcPr>
            <w:tcW w:w="810" w:type="dxa"/>
            <w:tcBorders>
              <w:top w:val="single" w:sz="4" w:space="0" w:color="000000"/>
              <w:left w:val="single" w:sz="12" w:space="0" w:color="000000"/>
              <w:bottom w:val="single" w:sz="4" w:space="0" w:color="000000"/>
              <w:right w:val="single" w:sz="12" w:space="0" w:color="000000"/>
            </w:tcBorders>
            <w:vAlign w:val="center"/>
          </w:tcPr>
          <w:p w14:paraId="456B515D" w14:textId="08013ABD" w:rsidR="00BC7D71" w:rsidRDefault="00BC7D71" w:rsidP="00BC7D71">
            <w:pPr>
              <w:spacing w:after="0" w:line="259" w:lineRule="auto"/>
              <w:ind w:left="0" w:right="0" w:firstLine="0"/>
              <w:jc w:val="center"/>
              <w:rPr>
                <w:sz w:val="18"/>
              </w:rPr>
            </w:pPr>
            <w:r>
              <w:rPr>
                <w:sz w:val="18"/>
              </w:rPr>
              <w:t>8270</w:t>
            </w:r>
          </w:p>
        </w:tc>
        <w:tc>
          <w:tcPr>
            <w:tcW w:w="900" w:type="dxa"/>
            <w:tcBorders>
              <w:top w:val="single" w:sz="4" w:space="0" w:color="000000"/>
              <w:left w:val="single" w:sz="12" w:space="0" w:color="000000"/>
              <w:bottom w:val="single" w:sz="4" w:space="0" w:color="000000"/>
              <w:right w:val="single" w:sz="12" w:space="0" w:color="000000"/>
            </w:tcBorders>
            <w:vAlign w:val="center"/>
          </w:tcPr>
          <w:p w14:paraId="411D241E" w14:textId="77777777" w:rsidR="00BC7D71" w:rsidRDefault="00BC7D71" w:rsidP="00BC7D71">
            <w:pPr>
              <w:spacing w:after="0" w:line="259" w:lineRule="auto"/>
              <w:ind w:left="0" w:right="0" w:firstLine="0"/>
              <w:jc w:val="center"/>
            </w:pPr>
          </w:p>
        </w:tc>
      </w:tr>
      <w:tr w:rsidR="00E8392B" w14:paraId="67A621F6" w14:textId="77777777" w:rsidTr="005B6604">
        <w:trPr>
          <w:trHeight w:val="262"/>
        </w:trPr>
        <w:tc>
          <w:tcPr>
            <w:tcW w:w="2952" w:type="dxa"/>
            <w:tcBorders>
              <w:top w:val="single" w:sz="4" w:space="0" w:color="000000"/>
              <w:left w:val="single" w:sz="12" w:space="0" w:color="000000"/>
              <w:bottom w:val="single" w:sz="4" w:space="0" w:color="000000"/>
              <w:right w:val="single" w:sz="12" w:space="0" w:color="000000"/>
            </w:tcBorders>
          </w:tcPr>
          <w:p w14:paraId="2EB5FEA7" w14:textId="32370C86" w:rsidR="00BC7D71" w:rsidRDefault="00BC7D71" w:rsidP="00BC7D71">
            <w:pPr>
              <w:spacing w:after="0" w:line="259" w:lineRule="auto"/>
              <w:ind w:left="0" w:right="0" w:firstLine="0"/>
              <w:rPr>
                <w:sz w:val="18"/>
              </w:rPr>
            </w:pPr>
            <w:proofErr w:type="spellStart"/>
            <w:r>
              <w:rPr>
                <w:sz w:val="18"/>
              </w:rPr>
              <w:t>Pronamide</w:t>
            </w:r>
            <w:proofErr w:type="spellEnd"/>
            <w:r>
              <w:rPr>
                <w:sz w:val="18"/>
              </w:rPr>
              <w:t xml:space="preserve"> </w:t>
            </w:r>
          </w:p>
        </w:tc>
        <w:tc>
          <w:tcPr>
            <w:tcW w:w="1155" w:type="dxa"/>
            <w:tcBorders>
              <w:top w:val="single" w:sz="4" w:space="0" w:color="000000"/>
              <w:left w:val="single" w:sz="12" w:space="0" w:color="000000"/>
              <w:bottom w:val="single" w:sz="4" w:space="0" w:color="000000"/>
              <w:right w:val="single" w:sz="12" w:space="0" w:color="000000"/>
            </w:tcBorders>
            <w:vAlign w:val="center"/>
          </w:tcPr>
          <w:p w14:paraId="16F71E91" w14:textId="04E83C70" w:rsidR="00BC7D71" w:rsidRDefault="00BC7D71" w:rsidP="00BC7D71">
            <w:pPr>
              <w:spacing w:after="0" w:line="259" w:lineRule="auto"/>
              <w:ind w:left="0" w:right="44" w:firstLine="0"/>
              <w:jc w:val="center"/>
              <w:rPr>
                <w:sz w:val="18"/>
              </w:rPr>
            </w:pPr>
            <w:r>
              <w:rPr>
                <w:sz w:val="18"/>
              </w:rPr>
              <w:t>23950-58-5</w:t>
            </w:r>
          </w:p>
        </w:tc>
        <w:tc>
          <w:tcPr>
            <w:tcW w:w="643" w:type="dxa"/>
            <w:tcBorders>
              <w:top w:val="single" w:sz="4" w:space="0" w:color="000000"/>
              <w:left w:val="single" w:sz="12" w:space="0" w:color="000000"/>
              <w:bottom w:val="single" w:sz="4" w:space="0" w:color="000000"/>
              <w:right w:val="single" w:sz="12" w:space="0" w:color="000000"/>
            </w:tcBorders>
            <w:vAlign w:val="center"/>
          </w:tcPr>
          <w:p w14:paraId="215C689C" w14:textId="5C633A4D" w:rsidR="00BC7D71" w:rsidRDefault="00BC7D71" w:rsidP="00BC7D71">
            <w:pPr>
              <w:spacing w:after="0" w:line="259" w:lineRule="auto"/>
              <w:ind w:left="0" w:right="0" w:firstLine="0"/>
              <w:jc w:val="center"/>
              <w:rPr>
                <w:sz w:val="18"/>
              </w:rPr>
            </w:pPr>
            <w:r>
              <w:rPr>
                <w:sz w:val="18"/>
              </w:rPr>
              <w:t>10</w:t>
            </w:r>
          </w:p>
        </w:tc>
        <w:tc>
          <w:tcPr>
            <w:tcW w:w="726" w:type="dxa"/>
            <w:tcBorders>
              <w:top w:val="single" w:sz="4" w:space="0" w:color="000000"/>
              <w:left w:val="single" w:sz="12" w:space="0" w:color="000000"/>
              <w:bottom w:val="single" w:sz="4" w:space="0" w:color="000000"/>
              <w:right w:val="single" w:sz="12" w:space="0" w:color="000000"/>
            </w:tcBorders>
            <w:vAlign w:val="center"/>
          </w:tcPr>
          <w:p w14:paraId="7125EA88" w14:textId="65C07CDA" w:rsidR="00BC7D71" w:rsidRDefault="00BC7D71" w:rsidP="00BC7D71">
            <w:pPr>
              <w:spacing w:after="0" w:line="259" w:lineRule="auto"/>
              <w:ind w:left="0" w:right="49" w:firstLine="0"/>
              <w:jc w:val="center"/>
              <w:rPr>
                <w:sz w:val="18"/>
              </w:rPr>
            </w:pPr>
            <w:r>
              <w:rPr>
                <w:sz w:val="18"/>
              </w:rPr>
              <w:t>ug/L</w:t>
            </w:r>
          </w:p>
        </w:tc>
        <w:tc>
          <w:tcPr>
            <w:tcW w:w="773" w:type="dxa"/>
            <w:tcBorders>
              <w:top w:val="single" w:sz="4" w:space="0" w:color="000000"/>
              <w:left w:val="single" w:sz="12" w:space="0" w:color="000000"/>
              <w:bottom w:val="single" w:sz="4" w:space="0" w:color="000000"/>
              <w:right w:val="single" w:sz="12" w:space="0" w:color="000000"/>
            </w:tcBorders>
            <w:vAlign w:val="center"/>
          </w:tcPr>
          <w:p w14:paraId="56A356A5" w14:textId="2482B214" w:rsidR="00BC7D71" w:rsidRDefault="00BC7D71" w:rsidP="00BC7D71">
            <w:pPr>
              <w:spacing w:after="0" w:line="259" w:lineRule="auto"/>
              <w:ind w:left="0" w:right="41" w:firstLine="0"/>
              <w:jc w:val="center"/>
              <w:rPr>
                <w:sz w:val="18"/>
              </w:rPr>
            </w:pPr>
            <w:r>
              <w:rPr>
                <w:sz w:val="18"/>
              </w:rPr>
              <w:t>660</w:t>
            </w:r>
          </w:p>
        </w:tc>
        <w:tc>
          <w:tcPr>
            <w:tcW w:w="951" w:type="dxa"/>
            <w:tcBorders>
              <w:top w:val="single" w:sz="4" w:space="0" w:color="000000"/>
              <w:left w:val="single" w:sz="12" w:space="0" w:color="000000"/>
              <w:bottom w:val="single" w:sz="4" w:space="0" w:color="000000"/>
              <w:right w:val="single" w:sz="12" w:space="0" w:color="000000"/>
            </w:tcBorders>
            <w:vAlign w:val="center"/>
          </w:tcPr>
          <w:p w14:paraId="533FDFDE" w14:textId="44F67EE9" w:rsidR="00BC7D71" w:rsidRDefault="00BC7D71" w:rsidP="00BC7D71">
            <w:pPr>
              <w:spacing w:after="0" w:line="259" w:lineRule="auto"/>
              <w:ind w:left="0" w:right="46" w:firstLine="0"/>
              <w:jc w:val="center"/>
              <w:rPr>
                <w:rFonts w:eastAsia="Segoe UI Symbol"/>
                <w:sz w:val="18"/>
              </w:rPr>
            </w:pPr>
            <w:r>
              <w:rPr>
                <w:rFonts w:eastAsia="Segoe UI Symbol"/>
                <w:sz w:val="18"/>
              </w:rPr>
              <w:t>u</w:t>
            </w:r>
            <w:r>
              <w:rPr>
                <w:sz w:val="18"/>
              </w:rPr>
              <w:t>g/kg</w:t>
            </w:r>
          </w:p>
        </w:tc>
        <w:tc>
          <w:tcPr>
            <w:tcW w:w="630" w:type="dxa"/>
            <w:tcBorders>
              <w:top w:val="single" w:sz="4" w:space="0" w:color="000000"/>
              <w:left w:val="single" w:sz="12" w:space="0" w:color="000000"/>
              <w:bottom w:val="single" w:sz="4" w:space="0" w:color="000000"/>
              <w:right w:val="single" w:sz="12" w:space="0" w:color="000000"/>
            </w:tcBorders>
            <w:vAlign w:val="center"/>
          </w:tcPr>
          <w:p w14:paraId="547C1F04" w14:textId="3F6F7BB9" w:rsidR="00BC7D71" w:rsidRDefault="00BC7D71" w:rsidP="00DB6303">
            <w:pPr>
              <w:spacing w:after="0" w:line="259" w:lineRule="auto"/>
              <w:ind w:left="0" w:right="47" w:firstLine="0"/>
              <w:jc w:val="center"/>
              <w:rPr>
                <w:sz w:val="18"/>
              </w:rPr>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38BEAE5A" w14:textId="32EA4232" w:rsidR="00BC7D71" w:rsidRDefault="00BC7D71" w:rsidP="00E8392B">
            <w:pPr>
              <w:spacing w:after="0" w:line="259" w:lineRule="auto"/>
              <w:ind w:left="96" w:right="0" w:firstLine="0"/>
              <w:rPr>
                <w:sz w:val="18"/>
              </w:rPr>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06337AA1" w14:textId="5FFA57C5" w:rsidR="00BC7D71" w:rsidRDefault="00BC7D71" w:rsidP="00DB6303">
            <w:pPr>
              <w:spacing w:after="0" w:line="259" w:lineRule="auto"/>
              <w:ind w:left="0" w:right="47" w:firstLine="0"/>
              <w:jc w:val="center"/>
              <w:rPr>
                <w:sz w:val="18"/>
              </w:rPr>
            </w:pPr>
            <w:r>
              <w:rPr>
                <w:sz w:val="18"/>
              </w:rPr>
              <w:t>X</w:t>
            </w:r>
          </w:p>
        </w:tc>
        <w:tc>
          <w:tcPr>
            <w:tcW w:w="810" w:type="dxa"/>
            <w:tcBorders>
              <w:top w:val="single" w:sz="4" w:space="0" w:color="000000"/>
              <w:left w:val="single" w:sz="12" w:space="0" w:color="000000"/>
              <w:bottom w:val="single" w:sz="4" w:space="0" w:color="000000"/>
              <w:right w:val="single" w:sz="12" w:space="0" w:color="000000"/>
            </w:tcBorders>
            <w:vAlign w:val="center"/>
          </w:tcPr>
          <w:p w14:paraId="7FF43459" w14:textId="22061814" w:rsidR="00BC7D71" w:rsidRDefault="00BC7D71" w:rsidP="00BC7D71">
            <w:pPr>
              <w:spacing w:after="0" w:line="259" w:lineRule="auto"/>
              <w:ind w:left="0" w:right="0" w:firstLine="0"/>
              <w:jc w:val="center"/>
              <w:rPr>
                <w:sz w:val="18"/>
              </w:rPr>
            </w:pPr>
            <w:r>
              <w:rPr>
                <w:sz w:val="18"/>
              </w:rPr>
              <w:t>8270</w:t>
            </w:r>
          </w:p>
        </w:tc>
        <w:tc>
          <w:tcPr>
            <w:tcW w:w="900" w:type="dxa"/>
            <w:tcBorders>
              <w:top w:val="single" w:sz="4" w:space="0" w:color="000000"/>
              <w:left w:val="single" w:sz="12" w:space="0" w:color="000000"/>
              <w:bottom w:val="single" w:sz="4" w:space="0" w:color="000000"/>
              <w:right w:val="single" w:sz="12" w:space="0" w:color="000000"/>
            </w:tcBorders>
            <w:vAlign w:val="center"/>
          </w:tcPr>
          <w:p w14:paraId="56892D92" w14:textId="77777777" w:rsidR="00BC7D71" w:rsidRDefault="00BC7D71" w:rsidP="00BC7D71">
            <w:pPr>
              <w:spacing w:after="0" w:line="259" w:lineRule="auto"/>
              <w:ind w:left="0" w:right="0" w:firstLine="0"/>
              <w:jc w:val="center"/>
            </w:pPr>
          </w:p>
        </w:tc>
      </w:tr>
      <w:tr w:rsidR="00E8392B" w14:paraId="5F5387CF" w14:textId="77777777" w:rsidTr="005B6604">
        <w:trPr>
          <w:trHeight w:val="262"/>
        </w:trPr>
        <w:tc>
          <w:tcPr>
            <w:tcW w:w="2952" w:type="dxa"/>
            <w:tcBorders>
              <w:top w:val="single" w:sz="4" w:space="0" w:color="000000"/>
              <w:left w:val="single" w:sz="12" w:space="0" w:color="000000"/>
              <w:bottom w:val="single" w:sz="4" w:space="0" w:color="000000"/>
              <w:right w:val="single" w:sz="12" w:space="0" w:color="000000"/>
            </w:tcBorders>
          </w:tcPr>
          <w:p w14:paraId="3C85529F" w14:textId="0FE4BF33" w:rsidR="00D86143" w:rsidRDefault="00D86143" w:rsidP="00D86143">
            <w:pPr>
              <w:spacing w:after="0" w:line="259" w:lineRule="auto"/>
              <w:ind w:left="0" w:right="0" w:firstLine="0"/>
              <w:rPr>
                <w:sz w:val="18"/>
              </w:rPr>
            </w:pPr>
            <w:r>
              <w:rPr>
                <w:sz w:val="18"/>
              </w:rPr>
              <w:t xml:space="preserve">Propylthiouracil </w:t>
            </w:r>
          </w:p>
        </w:tc>
        <w:tc>
          <w:tcPr>
            <w:tcW w:w="1155" w:type="dxa"/>
            <w:tcBorders>
              <w:top w:val="single" w:sz="4" w:space="0" w:color="000000"/>
              <w:left w:val="single" w:sz="12" w:space="0" w:color="000000"/>
              <w:bottom w:val="single" w:sz="4" w:space="0" w:color="000000"/>
              <w:right w:val="single" w:sz="12" w:space="0" w:color="000000"/>
            </w:tcBorders>
            <w:vAlign w:val="center"/>
          </w:tcPr>
          <w:p w14:paraId="61BF76A0" w14:textId="5587CD23" w:rsidR="00D86143" w:rsidRDefault="00D86143" w:rsidP="00D86143">
            <w:pPr>
              <w:spacing w:after="0" w:line="259" w:lineRule="auto"/>
              <w:ind w:left="0" w:right="44" w:firstLine="0"/>
              <w:jc w:val="center"/>
              <w:rPr>
                <w:sz w:val="18"/>
              </w:rPr>
            </w:pPr>
            <w:r>
              <w:rPr>
                <w:sz w:val="18"/>
              </w:rPr>
              <w:t>51-52-5</w:t>
            </w:r>
          </w:p>
        </w:tc>
        <w:tc>
          <w:tcPr>
            <w:tcW w:w="643" w:type="dxa"/>
            <w:tcBorders>
              <w:top w:val="single" w:sz="4" w:space="0" w:color="000000"/>
              <w:left w:val="single" w:sz="12" w:space="0" w:color="000000"/>
              <w:bottom w:val="single" w:sz="4" w:space="0" w:color="000000"/>
              <w:right w:val="single" w:sz="12" w:space="0" w:color="000000"/>
            </w:tcBorders>
            <w:vAlign w:val="center"/>
          </w:tcPr>
          <w:p w14:paraId="0936C24D" w14:textId="55D5961B" w:rsidR="00D86143" w:rsidRDefault="00D86143" w:rsidP="00D86143">
            <w:pPr>
              <w:spacing w:after="0" w:line="259" w:lineRule="auto"/>
              <w:ind w:left="0" w:right="0" w:firstLine="0"/>
              <w:jc w:val="center"/>
              <w:rPr>
                <w:sz w:val="18"/>
              </w:rPr>
            </w:pPr>
            <w:r>
              <w:rPr>
                <w:sz w:val="18"/>
              </w:rPr>
              <w:t>100</w:t>
            </w:r>
          </w:p>
        </w:tc>
        <w:tc>
          <w:tcPr>
            <w:tcW w:w="726" w:type="dxa"/>
            <w:tcBorders>
              <w:top w:val="single" w:sz="4" w:space="0" w:color="000000"/>
              <w:left w:val="single" w:sz="12" w:space="0" w:color="000000"/>
              <w:bottom w:val="single" w:sz="4" w:space="0" w:color="000000"/>
              <w:right w:val="single" w:sz="12" w:space="0" w:color="000000"/>
            </w:tcBorders>
            <w:vAlign w:val="center"/>
          </w:tcPr>
          <w:p w14:paraId="14C8C636" w14:textId="7DEC666B" w:rsidR="00D86143" w:rsidRDefault="00D86143" w:rsidP="00D86143">
            <w:pPr>
              <w:spacing w:after="0" w:line="259" w:lineRule="auto"/>
              <w:ind w:left="0" w:right="49" w:firstLine="0"/>
              <w:jc w:val="center"/>
              <w:rPr>
                <w:sz w:val="18"/>
              </w:rPr>
            </w:pPr>
            <w:r>
              <w:rPr>
                <w:sz w:val="18"/>
              </w:rPr>
              <w:t>ug/L</w:t>
            </w:r>
          </w:p>
        </w:tc>
        <w:tc>
          <w:tcPr>
            <w:tcW w:w="773" w:type="dxa"/>
            <w:tcBorders>
              <w:top w:val="single" w:sz="4" w:space="0" w:color="000000"/>
              <w:left w:val="single" w:sz="12" w:space="0" w:color="000000"/>
              <w:bottom w:val="single" w:sz="4" w:space="0" w:color="000000"/>
              <w:right w:val="single" w:sz="12" w:space="0" w:color="000000"/>
            </w:tcBorders>
            <w:vAlign w:val="center"/>
          </w:tcPr>
          <w:p w14:paraId="7568CEF8" w14:textId="71220430" w:rsidR="00D86143" w:rsidRDefault="00D86143" w:rsidP="00D86143">
            <w:pPr>
              <w:spacing w:after="0" w:line="259" w:lineRule="auto"/>
              <w:ind w:left="0" w:right="41" w:firstLine="0"/>
              <w:jc w:val="center"/>
              <w:rPr>
                <w:sz w:val="18"/>
              </w:rPr>
            </w:pPr>
            <w:r>
              <w:rPr>
                <w:sz w:val="18"/>
              </w:rPr>
              <w:t>6600</w:t>
            </w:r>
          </w:p>
        </w:tc>
        <w:tc>
          <w:tcPr>
            <w:tcW w:w="951" w:type="dxa"/>
            <w:tcBorders>
              <w:top w:val="single" w:sz="4" w:space="0" w:color="000000"/>
              <w:left w:val="single" w:sz="12" w:space="0" w:color="000000"/>
              <w:bottom w:val="single" w:sz="4" w:space="0" w:color="000000"/>
              <w:right w:val="single" w:sz="12" w:space="0" w:color="000000"/>
            </w:tcBorders>
            <w:vAlign w:val="center"/>
          </w:tcPr>
          <w:p w14:paraId="50D8F9A0" w14:textId="4107A63D" w:rsidR="00D86143" w:rsidRDefault="00D86143" w:rsidP="00D86143">
            <w:pPr>
              <w:spacing w:after="0" w:line="259" w:lineRule="auto"/>
              <w:ind w:left="0" w:right="46" w:firstLine="0"/>
              <w:jc w:val="center"/>
              <w:rPr>
                <w:rFonts w:eastAsia="Segoe UI Symbol"/>
                <w:sz w:val="18"/>
              </w:rPr>
            </w:pPr>
            <w:r>
              <w:rPr>
                <w:rFonts w:eastAsia="Segoe UI Symbol"/>
                <w:sz w:val="18"/>
              </w:rPr>
              <w:t>u</w:t>
            </w:r>
            <w:r>
              <w:rPr>
                <w:sz w:val="18"/>
              </w:rPr>
              <w:t>g/kg</w:t>
            </w:r>
          </w:p>
        </w:tc>
        <w:tc>
          <w:tcPr>
            <w:tcW w:w="630" w:type="dxa"/>
            <w:tcBorders>
              <w:top w:val="single" w:sz="4" w:space="0" w:color="000000"/>
              <w:left w:val="single" w:sz="12" w:space="0" w:color="000000"/>
              <w:bottom w:val="single" w:sz="4" w:space="0" w:color="000000"/>
              <w:right w:val="single" w:sz="12" w:space="0" w:color="000000"/>
            </w:tcBorders>
            <w:vAlign w:val="center"/>
          </w:tcPr>
          <w:p w14:paraId="2EED60F1" w14:textId="5D81554A" w:rsidR="00D86143" w:rsidRDefault="00D86143" w:rsidP="00DB6303">
            <w:pPr>
              <w:spacing w:after="0" w:line="259" w:lineRule="auto"/>
              <w:ind w:left="0" w:right="47" w:firstLine="0"/>
              <w:jc w:val="center"/>
              <w:rPr>
                <w:sz w:val="18"/>
              </w:rPr>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63ACD404" w14:textId="77777777" w:rsidR="00D86143" w:rsidRDefault="00D86143" w:rsidP="008F3E2C">
            <w:pPr>
              <w:spacing w:after="0" w:line="259" w:lineRule="auto"/>
              <w:ind w:left="96" w:right="0" w:firstLine="0"/>
              <w:jc w:val="center"/>
              <w:rPr>
                <w:sz w:val="18"/>
              </w:rPr>
            </w:pPr>
          </w:p>
        </w:tc>
        <w:tc>
          <w:tcPr>
            <w:tcW w:w="540" w:type="dxa"/>
            <w:tcBorders>
              <w:top w:val="single" w:sz="4" w:space="0" w:color="000000"/>
              <w:left w:val="single" w:sz="12" w:space="0" w:color="000000"/>
              <w:bottom w:val="single" w:sz="4" w:space="0" w:color="000000"/>
              <w:right w:val="single" w:sz="12" w:space="0" w:color="000000"/>
            </w:tcBorders>
            <w:vAlign w:val="center"/>
          </w:tcPr>
          <w:p w14:paraId="784E8ED1" w14:textId="77777777" w:rsidR="00D86143" w:rsidRDefault="00D86143" w:rsidP="00DB6303">
            <w:pPr>
              <w:spacing w:after="0" w:line="259" w:lineRule="auto"/>
              <w:ind w:left="0" w:right="47" w:firstLine="0"/>
              <w:jc w:val="center"/>
              <w:rPr>
                <w:sz w:val="18"/>
              </w:rPr>
            </w:pPr>
          </w:p>
        </w:tc>
        <w:tc>
          <w:tcPr>
            <w:tcW w:w="810" w:type="dxa"/>
            <w:tcBorders>
              <w:top w:val="single" w:sz="4" w:space="0" w:color="000000"/>
              <w:left w:val="single" w:sz="12" w:space="0" w:color="000000"/>
              <w:bottom w:val="single" w:sz="4" w:space="0" w:color="000000"/>
              <w:right w:val="single" w:sz="12" w:space="0" w:color="000000"/>
            </w:tcBorders>
            <w:vAlign w:val="center"/>
          </w:tcPr>
          <w:p w14:paraId="78C9E14E" w14:textId="45B1DDA3" w:rsidR="00D86143" w:rsidRDefault="00D86143" w:rsidP="00D86143">
            <w:pPr>
              <w:spacing w:after="0" w:line="259" w:lineRule="auto"/>
              <w:ind w:left="0" w:right="0" w:firstLine="0"/>
              <w:jc w:val="center"/>
              <w:rPr>
                <w:sz w:val="18"/>
              </w:rPr>
            </w:pPr>
            <w:r>
              <w:rPr>
                <w:sz w:val="18"/>
              </w:rPr>
              <w:t>8270</w:t>
            </w:r>
          </w:p>
        </w:tc>
        <w:tc>
          <w:tcPr>
            <w:tcW w:w="900" w:type="dxa"/>
            <w:tcBorders>
              <w:top w:val="single" w:sz="4" w:space="0" w:color="000000"/>
              <w:left w:val="single" w:sz="12" w:space="0" w:color="000000"/>
              <w:bottom w:val="single" w:sz="4" w:space="0" w:color="000000"/>
              <w:right w:val="single" w:sz="12" w:space="0" w:color="000000"/>
            </w:tcBorders>
            <w:vAlign w:val="center"/>
          </w:tcPr>
          <w:p w14:paraId="73D5776D" w14:textId="77777777" w:rsidR="00D86143" w:rsidRDefault="00D86143" w:rsidP="00D86143">
            <w:pPr>
              <w:spacing w:after="0" w:line="259" w:lineRule="auto"/>
              <w:ind w:left="0" w:right="0" w:firstLine="0"/>
              <w:jc w:val="center"/>
            </w:pPr>
          </w:p>
        </w:tc>
      </w:tr>
      <w:tr w:rsidR="00E8392B" w14:paraId="455CD28A" w14:textId="77777777" w:rsidTr="005B6604">
        <w:trPr>
          <w:trHeight w:val="262"/>
        </w:trPr>
        <w:tc>
          <w:tcPr>
            <w:tcW w:w="2952" w:type="dxa"/>
            <w:tcBorders>
              <w:top w:val="single" w:sz="4" w:space="0" w:color="000000"/>
              <w:left w:val="single" w:sz="12" w:space="0" w:color="000000"/>
              <w:bottom w:val="single" w:sz="4" w:space="0" w:color="000000"/>
              <w:right w:val="single" w:sz="12" w:space="0" w:color="000000"/>
            </w:tcBorders>
          </w:tcPr>
          <w:p w14:paraId="597FE96B" w14:textId="53908351" w:rsidR="00D86143" w:rsidRDefault="00D86143" w:rsidP="00D86143">
            <w:pPr>
              <w:spacing w:after="0" w:line="259" w:lineRule="auto"/>
              <w:ind w:left="0" w:right="0" w:firstLine="0"/>
              <w:rPr>
                <w:sz w:val="18"/>
              </w:rPr>
            </w:pPr>
            <w:r>
              <w:rPr>
                <w:sz w:val="18"/>
              </w:rPr>
              <w:t xml:space="preserve">Pyridine </w:t>
            </w:r>
          </w:p>
        </w:tc>
        <w:tc>
          <w:tcPr>
            <w:tcW w:w="1155" w:type="dxa"/>
            <w:tcBorders>
              <w:top w:val="single" w:sz="4" w:space="0" w:color="000000"/>
              <w:left w:val="single" w:sz="12" w:space="0" w:color="000000"/>
              <w:bottom w:val="single" w:sz="4" w:space="0" w:color="000000"/>
              <w:right w:val="single" w:sz="12" w:space="0" w:color="000000"/>
            </w:tcBorders>
            <w:vAlign w:val="center"/>
          </w:tcPr>
          <w:p w14:paraId="1B2A83E4" w14:textId="6A0A90BE" w:rsidR="00D86143" w:rsidRDefault="00D86143" w:rsidP="00D86143">
            <w:pPr>
              <w:spacing w:after="0" w:line="259" w:lineRule="auto"/>
              <w:ind w:left="0" w:right="44" w:firstLine="0"/>
              <w:jc w:val="center"/>
              <w:rPr>
                <w:sz w:val="18"/>
              </w:rPr>
            </w:pPr>
            <w:r>
              <w:rPr>
                <w:sz w:val="18"/>
              </w:rPr>
              <w:t>110-86-1</w:t>
            </w:r>
          </w:p>
        </w:tc>
        <w:tc>
          <w:tcPr>
            <w:tcW w:w="643" w:type="dxa"/>
            <w:tcBorders>
              <w:top w:val="single" w:sz="4" w:space="0" w:color="000000"/>
              <w:left w:val="single" w:sz="12" w:space="0" w:color="000000"/>
              <w:bottom w:val="single" w:sz="4" w:space="0" w:color="000000"/>
              <w:right w:val="single" w:sz="12" w:space="0" w:color="000000"/>
            </w:tcBorders>
            <w:vAlign w:val="center"/>
          </w:tcPr>
          <w:p w14:paraId="49128962" w14:textId="325FAC74" w:rsidR="00D86143" w:rsidRDefault="00D86143" w:rsidP="00D86143">
            <w:pPr>
              <w:spacing w:after="0" w:line="259" w:lineRule="auto"/>
              <w:ind w:left="0" w:right="0" w:firstLine="0"/>
              <w:jc w:val="center"/>
              <w:rPr>
                <w:sz w:val="18"/>
              </w:rPr>
            </w:pPr>
            <w:r>
              <w:rPr>
                <w:sz w:val="18"/>
              </w:rPr>
              <w:t>20</w:t>
            </w:r>
          </w:p>
        </w:tc>
        <w:tc>
          <w:tcPr>
            <w:tcW w:w="726" w:type="dxa"/>
            <w:tcBorders>
              <w:top w:val="single" w:sz="4" w:space="0" w:color="000000"/>
              <w:left w:val="single" w:sz="12" w:space="0" w:color="000000"/>
              <w:bottom w:val="single" w:sz="4" w:space="0" w:color="000000"/>
              <w:right w:val="single" w:sz="12" w:space="0" w:color="000000"/>
            </w:tcBorders>
            <w:vAlign w:val="center"/>
          </w:tcPr>
          <w:p w14:paraId="672D6059" w14:textId="1B67B968" w:rsidR="00D86143" w:rsidRDefault="00D86143" w:rsidP="00D86143">
            <w:pPr>
              <w:spacing w:after="0" w:line="259" w:lineRule="auto"/>
              <w:ind w:left="0" w:right="49" w:firstLine="0"/>
              <w:jc w:val="center"/>
              <w:rPr>
                <w:sz w:val="18"/>
              </w:rPr>
            </w:pPr>
            <w:r>
              <w:rPr>
                <w:sz w:val="18"/>
              </w:rPr>
              <w:t>ug/L</w:t>
            </w:r>
          </w:p>
        </w:tc>
        <w:tc>
          <w:tcPr>
            <w:tcW w:w="773" w:type="dxa"/>
            <w:tcBorders>
              <w:top w:val="single" w:sz="4" w:space="0" w:color="000000"/>
              <w:left w:val="single" w:sz="12" w:space="0" w:color="000000"/>
              <w:bottom w:val="single" w:sz="4" w:space="0" w:color="000000"/>
              <w:right w:val="single" w:sz="12" w:space="0" w:color="000000"/>
            </w:tcBorders>
            <w:vAlign w:val="center"/>
          </w:tcPr>
          <w:p w14:paraId="52D617D0" w14:textId="75408765" w:rsidR="00D86143" w:rsidRDefault="00D86143" w:rsidP="00D86143">
            <w:pPr>
              <w:spacing w:after="0" w:line="259" w:lineRule="auto"/>
              <w:ind w:left="0" w:right="41" w:firstLine="0"/>
              <w:jc w:val="center"/>
              <w:rPr>
                <w:sz w:val="18"/>
              </w:rPr>
            </w:pPr>
            <w:r>
              <w:rPr>
                <w:sz w:val="18"/>
              </w:rPr>
              <w:t>1300</w:t>
            </w:r>
          </w:p>
        </w:tc>
        <w:tc>
          <w:tcPr>
            <w:tcW w:w="951" w:type="dxa"/>
            <w:tcBorders>
              <w:top w:val="single" w:sz="4" w:space="0" w:color="000000"/>
              <w:left w:val="single" w:sz="12" w:space="0" w:color="000000"/>
              <w:bottom w:val="single" w:sz="4" w:space="0" w:color="000000"/>
              <w:right w:val="single" w:sz="12" w:space="0" w:color="000000"/>
            </w:tcBorders>
            <w:vAlign w:val="center"/>
          </w:tcPr>
          <w:p w14:paraId="7A5C6C76" w14:textId="47972BDF" w:rsidR="00D86143" w:rsidRDefault="00D86143" w:rsidP="00D86143">
            <w:pPr>
              <w:spacing w:after="0" w:line="259" w:lineRule="auto"/>
              <w:ind w:left="0" w:right="46" w:firstLine="0"/>
              <w:jc w:val="center"/>
              <w:rPr>
                <w:rFonts w:eastAsia="Segoe UI Symbol"/>
                <w:sz w:val="18"/>
              </w:rPr>
            </w:pPr>
            <w:r>
              <w:rPr>
                <w:rFonts w:eastAsia="Segoe UI Symbol"/>
                <w:sz w:val="18"/>
              </w:rPr>
              <w:t>u</w:t>
            </w:r>
            <w:r>
              <w:rPr>
                <w:sz w:val="18"/>
              </w:rPr>
              <w:t>g/kg</w:t>
            </w:r>
          </w:p>
        </w:tc>
        <w:tc>
          <w:tcPr>
            <w:tcW w:w="630" w:type="dxa"/>
            <w:tcBorders>
              <w:top w:val="single" w:sz="4" w:space="0" w:color="000000"/>
              <w:left w:val="single" w:sz="12" w:space="0" w:color="000000"/>
              <w:bottom w:val="single" w:sz="4" w:space="0" w:color="000000"/>
              <w:right w:val="single" w:sz="12" w:space="0" w:color="000000"/>
            </w:tcBorders>
            <w:vAlign w:val="center"/>
          </w:tcPr>
          <w:p w14:paraId="46B9EC45" w14:textId="0D7ADF5C" w:rsidR="00D86143" w:rsidRDefault="00D86143" w:rsidP="00DB6303">
            <w:pPr>
              <w:spacing w:after="0" w:line="259" w:lineRule="auto"/>
              <w:ind w:left="0" w:right="47" w:firstLine="0"/>
              <w:jc w:val="center"/>
              <w:rPr>
                <w:sz w:val="18"/>
              </w:rPr>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65A9E137" w14:textId="3DD77BA1" w:rsidR="00D86143" w:rsidRDefault="00D86143" w:rsidP="00E8392B">
            <w:pPr>
              <w:spacing w:after="0" w:line="259" w:lineRule="auto"/>
              <w:ind w:left="96" w:right="0" w:firstLine="0"/>
              <w:rPr>
                <w:sz w:val="18"/>
              </w:rPr>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4131E621" w14:textId="77777777" w:rsidR="00D86143" w:rsidRDefault="00D86143" w:rsidP="00DB6303">
            <w:pPr>
              <w:spacing w:after="0" w:line="259" w:lineRule="auto"/>
              <w:ind w:left="0" w:right="47" w:firstLine="0"/>
              <w:jc w:val="center"/>
              <w:rPr>
                <w:sz w:val="18"/>
              </w:rPr>
            </w:pPr>
          </w:p>
        </w:tc>
        <w:tc>
          <w:tcPr>
            <w:tcW w:w="810" w:type="dxa"/>
            <w:tcBorders>
              <w:top w:val="single" w:sz="4" w:space="0" w:color="000000"/>
              <w:left w:val="single" w:sz="12" w:space="0" w:color="000000"/>
              <w:bottom w:val="single" w:sz="4" w:space="0" w:color="000000"/>
              <w:right w:val="single" w:sz="12" w:space="0" w:color="000000"/>
            </w:tcBorders>
            <w:vAlign w:val="center"/>
          </w:tcPr>
          <w:p w14:paraId="32565016" w14:textId="0EAE939A" w:rsidR="00D86143" w:rsidRDefault="00D86143" w:rsidP="00D86143">
            <w:pPr>
              <w:spacing w:after="0" w:line="259" w:lineRule="auto"/>
              <w:ind w:left="0" w:right="0" w:firstLine="0"/>
              <w:jc w:val="center"/>
              <w:rPr>
                <w:sz w:val="18"/>
              </w:rPr>
            </w:pPr>
            <w:r>
              <w:rPr>
                <w:sz w:val="18"/>
              </w:rPr>
              <w:t>8270</w:t>
            </w:r>
          </w:p>
        </w:tc>
        <w:tc>
          <w:tcPr>
            <w:tcW w:w="900" w:type="dxa"/>
            <w:tcBorders>
              <w:top w:val="single" w:sz="4" w:space="0" w:color="000000"/>
              <w:left w:val="single" w:sz="12" w:space="0" w:color="000000"/>
              <w:bottom w:val="single" w:sz="4" w:space="0" w:color="000000"/>
              <w:right w:val="single" w:sz="12" w:space="0" w:color="000000"/>
            </w:tcBorders>
            <w:vAlign w:val="center"/>
          </w:tcPr>
          <w:p w14:paraId="344B3C80" w14:textId="77777777" w:rsidR="00D86143" w:rsidRDefault="00D86143" w:rsidP="00D86143">
            <w:pPr>
              <w:spacing w:after="0" w:line="259" w:lineRule="auto"/>
              <w:ind w:left="0" w:right="0" w:firstLine="0"/>
              <w:jc w:val="center"/>
            </w:pPr>
          </w:p>
        </w:tc>
      </w:tr>
      <w:tr w:rsidR="00E8392B" w14:paraId="17EBACED" w14:textId="77777777" w:rsidTr="005B6604">
        <w:trPr>
          <w:trHeight w:val="262"/>
        </w:trPr>
        <w:tc>
          <w:tcPr>
            <w:tcW w:w="2952" w:type="dxa"/>
            <w:tcBorders>
              <w:top w:val="single" w:sz="4" w:space="0" w:color="000000"/>
              <w:left w:val="single" w:sz="12" w:space="0" w:color="000000"/>
              <w:bottom w:val="single" w:sz="4" w:space="0" w:color="000000"/>
              <w:right w:val="single" w:sz="12" w:space="0" w:color="000000"/>
            </w:tcBorders>
          </w:tcPr>
          <w:p w14:paraId="1325EC1E" w14:textId="5A6132B1" w:rsidR="00D86143" w:rsidRDefault="00D86143" w:rsidP="00D86143">
            <w:pPr>
              <w:spacing w:after="0" w:line="259" w:lineRule="auto"/>
              <w:ind w:left="0" w:right="0" w:firstLine="0"/>
              <w:rPr>
                <w:sz w:val="18"/>
              </w:rPr>
            </w:pPr>
            <w:r>
              <w:rPr>
                <w:sz w:val="18"/>
              </w:rPr>
              <w:t xml:space="preserve">Resorcinol </w:t>
            </w:r>
          </w:p>
        </w:tc>
        <w:tc>
          <w:tcPr>
            <w:tcW w:w="1155" w:type="dxa"/>
            <w:tcBorders>
              <w:top w:val="single" w:sz="4" w:space="0" w:color="000000"/>
              <w:left w:val="single" w:sz="12" w:space="0" w:color="000000"/>
              <w:bottom w:val="single" w:sz="4" w:space="0" w:color="000000"/>
              <w:right w:val="single" w:sz="12" w:space="0" w:color="000000"/>
            </w:tcBorders>
            <w:vAlign w:val="center"/>
          </w:tcPr>
          <w:p w14:paraId="30DFE9F4" w14:textId="5DE28F88" w:rsidR="00D86143" w:rsidRDefault="00D86143" w:rsidP="00D86143">
            <w:pPr>
              <w:spacing w:after="0" w:line="259" w:lineRule="auto"/>
              <w:ind w:left="0" w:right="44" w:firstLine="0"/>
              <w:jc w:val="center"/>
              <w:rPr>
                <w:sz w:val="18"/>
              </w:rPr>
            </w:pPr>
            <w:r>
              <w:rPr>
                <w:sz w:val="18"/>
              </w:rPr>
              <w:t>108-46-3</w:t>
            </w:r>
          </w:p>
        </w:tc>
        <w:tc>
          <w:tcPr>
            <w:tcW w:w="643" w:type="dxa"/>
            <w:tcBorders>
              <w:top w:val="single" w:sz="4" w:space="0" w:color="000000"/>
              <w:left w:val="single" w:sz="12" w:space="0" w:color="000000"/>
              <w:bottom w:val="single" w:sz="4" w:space="0" w:color="000000"/>
              <w:right w:val="single" w:sz="12" w:space="0" w:color="000000"/>
            </w:tcBorders>
            <w:vAlign w:val="center"/>
          </w:tcPr>
          <w:p w14:paraId="191F122E" w14:textId="57A94F70" w:rsidR="00D86143" w:rsidRDefault="00D86143" w:rsidP="00D86143">
            <w:pPr>
              <w:spacing w:after="0" w:line="259" w:lineRule="auto"/>
              <w:ind w:left="0" w:right="0" w:firstLine="0"/>
              <w:jc w:val="center"/>
              <w:rPr>
                <w:sz w:val="18"/>
              </w:rPr>
            </w:pPr>
            <w:r>
              <w:rPr>
                <w:sz w:val="18"/>
              </w:rPr>
              <w:t>100</w:t>
            </w:r>
          </w:p>
        </w:tc>
        <w:tc>
          <w:tcPr>
            <w:tcW w:w="726" w:type="dxa"/>
            <w:tcBorders>
              <w:top w:val="single" w:sz="4" w:space="0" w:color="000000"/>
              <w:left w:val="single" w:sz="12" w:space="0" w:color="000000"/>
              <w:bottom w:val="single" w:sz="4" w:space="0" w:color="000000"/>
              <w:right w:val="single" w:sz="12" w:space="0" w:color="000000"/>
            </w:tcBorders>
            <w:vAlign w:val="center"/>
          </w:tcPr>
          <w:p w14:paraId="58092EB3" w14:textId="15595F45" w:rsidR="00D86143" w:rsidRDefault="00D86143" w:rsidP="00D86143">
            <w:pPr>
              <w:spacing w:after="0" w:line="259" w:lineRule="auto"/>
              <w:ind w:left="0" w:right="49" w:firstLine="0"/>
              <w:jc w:val="center"/>
              <w:rPr>
                <w:sz w:val="18"/>
              </w:rPr>
            </w:pPr>
            <w:r>
              <w:rPr>
                <w:sz w:val="18"/>
              </w:rPr>
              <w:t>ug/L</w:t>
            </w:r>
          </w:p>
        </w:tc>
        <w:tc>
          <w:tcPr>
            <w:tcW w:w="773" w:type="dxa"/>
            <w:tcBorders>
              <w:top w:val="single" w:sz="4" w:space="0" w:color="000000"/>
              <w:left w:val="single" w:sz="12" w:space="0" w:color="000000"/>
              <w:bottom w:val="single" w:sz="4" w:space="0" w:color="000000"/>
              <w:right w:val="single" w:sz="12" w:space="0" w:color="000000"/>
            </w:tcBorders>
            <w:vAlign w:val="center"/>
          </w:tcPr>
          <w:p w14:paraId="73516782" w14:textId="20A89CE8" w:rsidR="00D86143" w:rsidRDefault="00D86143" w:rsidP="00D86143">
            <w:pPr>
              <w:spacing w:after="0" w:line="259" w:lineRule="auto"/>
              <w:ind w:left="0" w:right="41" w:firstLine="0"/>
              <w:jc w:val="center"/>
              <w:rPr>
                <w:sz w:val="18"/>
              </w:rPr>
            </w:pPr>
            <w:r>
              <w:rPr>
                <w:sz w:val="18"/>
              </w:rPr>
              <w:t>6600</w:t>
            </w:r>
          </w:p>
        </w:tc>
        <w:tc>
          <w:tcPr>
            <w:tcW w:w="951" w:type="dxa"/>
            <w:tcBorders>
              <w:top w:val="single" w:sz="4" w:space="0" w:color="000000"/>
              <w:left w:val="single" w:sz="12" w:space="0" w:color="000000"/>
              <w:bottom w:val="single" w:sz="4" w:space="0" w:color="000000"/>
              <w:right w:val="single" w:sz="12" w:space="0" w:color="000000"/>
            </w:tcBorders>
            <w:vAlign w:val="center"/>
          </w:tcPr>
          <w:p w14:paraId="14FCE84E" w14:textId="7F9824A7" w:rsidR="00D86143" w:rsidRDefault="00D86143" w:rsidP="00D86143">
            <w:pPr>
              <w:spacing w:after="0" w:line="259" w:lineRule="auto"/>
              <w:ind w:left="0" w:right="46" w:firstLine="0"/>
              <w:jc w:val="center"/>
              <w:rPr>
                <w:rFonts w:eastAsia="Segoe UI Symbol"/>
                <w:sz w:val="18"/>
              </w:rPr>
            </w:pPr>
            <w:r>
              <w:rPr>
                <w:rFonts w:eastAsia="Segoe UI Symbol"/>
                <w:sz w:val="18"/>
              </w:rPr>
              <w:t>u</w:t>
            </w:r>
            <w:r>
              <w:rPr>
                <w:sz w:val="18"/>
              </w:rPr>
              <w:t>g/kg</w:t>
            </w:r>
          </w:p>
        </w:tc>
        <w:tc>
          <w:tcPr>
            <w:tcW w:w="630" w:type="dxa"/>
            <w:tcBorders>
              <w:top w:val="single" w:sz="4" w:space="0" w:color="000000"/>
              <w:left w:val="single" w:sz="12" w:space="0" w:color="000000"/>
              <w:bottom w:val="single" w:sz="4" w:space="0" w:color="000000"/>
              <w:right w:val="single" w:sz="12" w:space="0" w:color="000000"/>
            </w:tcBorders>
            <w:vAlign w:val="center"/>
          </w:tcPr>
          <w:p w14:paraId="4568B866" w14:textId="0AC3199A" w:rsidR="00D86143" w:rsidRDefault="00D86143" w:rsidP="00DB6303">
            <w:pPr>
              <w:spacing w:after="0" w:line="259" w:lineRule="auto"/>
              <w:ind w:left="0" w:right="47" w:firstLine="0"/>
              <w:jc w:val="center"/>
              <w:rPr>
                <w:sz w:val="18"/>
              </w:rPr>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5D770682" w14:textId="77777777" w:rsidR="00D86143" w:rsidRDefault="00D86143" w:rsidP="008F3E2C">
            <w:pPr>
              <w:spacing w:after="0" w:line="259" w:lineRule="auto"/>
              <w:ind w:left="96" w:right="0" w:firstLine="0"/>
              <w:jc w:val="center"/>
              <w:rPr>
                <w:sz w:val="18"/>
              </w:rPr>
            </w:pPr>
          </w:p>
        </w:tc>
        <w:tc>
          <w:tcPr>
            <w:tcW w:w="540" w:type="dxa"/>
            <w:tcBorders>
              <w:top w:val="single" w:sz="4" w:space="0" w:color="000000"/>
              <w:left w:val="single" w:sz="12" w:space="0" w:color="000000"/>
              <w:bottom w:val="single" w:sz="4" w:space="0" w:color="000000"/>
              <w:right w:val="single" w:sz="12" w:space="0" w:color="000000"/>
            </w:tcBorders>
            <w:vAlign w:val="center"/>
          </w:tcPr>
          <w:p w14:paraId="3A4180D2" w14:textId="77777777" w:rsidR="00D86143" w:rsidRDefault="00D86143" w:rsidP="00DB6303">
            <w:pPr>
              <w:spacing w:after="0" w:line="259" w:lineRule="auto"/>
              <w:ind w:left="0" w:right="47" w:firstLine="0"/>
              <w:jc w:val="center"/>
              <w:rPr>
                <w:sz w:val="18"/>
              </w:rPr>
            </w:pPr>
          </w:p>
        </w:tc>
        <w:tc>
          <w:tcPr>
            <w:tcW w:w="810" w:type="dxa"/>
            <w:tcBorders>
              <w:top w:val="single" w:sz="4" w:space="0" w:color="000000"/>
              <w:left w:val="single" w:sz="12" w:space="0" w:color="000000"/>
              <w:bottom w:val="single" w:sz="4" w:space="0" w:color="000000"/>
              <w:right w:val="single" w:sz="12" w:space="0" w:color="000000"/>
            </w:tcBorders>
            <w:vAlign w:val="center"/>
          </w:tcPr>
          <w:p w14:paraId="7DF7B8B9" w14:textId="79B9D107" w:rsidR="00D86143" w:rsidRDefault="00D86143" w:rsidP="00D86143">
            <w:pPr>
              <w:spacing w:after="0" w:line="259" w:lineRule="auto"/>
              <w:ind w:left="0" w:right="0" w:firstLine="0"/>
              <w:jc w:val="center"/>
              <w:rPr>
                <w:sz w:val="18"/>
              </w:rPr>
            </w:pPr>
            <w:r>
              <w:rPr>
                <w:sz w:val="18"/>
              </w:rPr>
              <w:t>8270</w:t>
            </w:r>
          </w:p>
        </w:tc>
        <w:tc>
          <w:tcPr>
            <w:tcW w:w="900" w:type="dxa"/>
            <w:tcBorders>
              <w:top w:val="single" w:sz="4" w:space="0" w:color="000000"/>
              <w:left w:val="single" w:sz="12" w:space="0" w:color="000000"/>
              <w:bottom w:val="single" w:sz="4" w:space="0" w:color="000000"/>
              <w:right w:val="single" w:sz="12" w:space="0" w:color="000000"/>
            </w:tcBorders>
            <w:vAlign w:val="center"/>
          </w:tcPr>
          <w:p w14:paraId="23769981" w14:textId="77777777" w:rsidR="00D86143" w:rsidRDefault="00D86143" w:rsidP="00D86143">
            <w:pPr>
              <w:spacing w:after="0" w:line="259" w:lineRule="auto"/>
              <w:ind w:left="0" w:right="0" w:firstLine="0"/>
              <w:jc w:val="center"/>
            </w:pPr>
          </w:p>
        </w:tc>
      </w:tr>
      <w:tr w:rsidR="00E8392B" w14:paraId="4ADD50F0" w14:textId="77777777" w:rsidTr="005B6604">
        <w:trPr>
          <w:trHeight w:val="262"/>
        </w:trPr>
        <w:tc>
          <w:tcPr>
            <w:tcW w:w="2952" w:type="dxa"/>
            <w:tcBorders>
              <w:top w:val="single" w:sz="4" w:space="0" w:color="000000"/>
              <w:left w:val="single" w:sz="12" w:space="0" w:color="000000"/>
              <w:bottom w:val="single" w:sz="4" w:space="0" w:color="000000"/>
              <w:right w:val="single" w:sz="12" w:space="0" w:color="000000"/>
            </w:tcBorders>
          </w:tcPr>
          <w:p w14:paraId="4E0AAFEC" w14:textId="68950090" w:rsidR="00D86143" w:rsidRDefault="00D86143" w:rsidP="00D86143">
            <w:pPr>
              <w:spacing w:after="0" w:line="259" w:lineRule="auto"/>
              <w:ind w:left="0" w:right="0" w:firstLine="0"/>
              <w:rPr>
                <w:sz w:val="18"/>
              </w:rPr>
            </w:pPr>
            <w:r>
              <w:rPr>
                <w:sz w:val="18"/>
              </w:rPr>
              <w:t xml:space="preserve">Safrole </w:t>
            </w:r>
          </w:p>
        </w:tc>
        <w:tc>
          <w:tcPr>
            <w:tcW w:w="1155" w:type="dxa"/>
            <w:tcBorders>
              <w:top w:val="single" w:sz="4" w:space="0" w:color="000000"/>
              <w:left w:val="single" w:sz="12" w:space="0" w:color="000000"/>
              <w:bottom w:val="single" w:sz="4" w:space="0" w:color="000000"/>
              <w:right w:val="single" w:sz="12" w:space="0" w:color="000000"/>
            </w:tcBorders>
            <w:vAlign w:val="center"/>
          </w:tcPr>
          <w:p w14:paraId="0B0BCA81" w14:textId="37437A71" w:rsidR="00D86143" w:rsidRDefault="00D86143" w:rsidP="00D86143">
            <w:pPr>
              <w:spacing w:after="0" w:line="259" w:lineRule="auto"/>
              <w:ind w:left="0" w:right="44" w:firstLine="0"/>
              <w:jc w:val="center"/>
              <w:rPr>
                <w:sz w:val="18"/>
              </w:rPr>
            </w:pPr>
            <w:r>
              <w:rPr>
                <w:sz w:val="18"/>
              </w:rPr>
              <w:t>94-59-7</w:t>
            </w:r>
          </w:p>
        </w:tc>
        <w:tc>
          <w:tcPr>
            <w:tcW w:w="643" w:type="dxa"/>
            <w:tcBorders>
              <w:top w:val="single" w:sz="4" w:space="0" w:color="000000"/>
              <w:left w:val="single" w:sz="12" w:space="0" w:color="000000"/>
              <w:bottom w:val="single" w:sz="4" w:space="0" w:color="000000"/>
              <w:right w:val="single" w:sz="12" w:space="0" w:color="000000"/>
            </w:tcBorders>
            <w:vAlign w:val="center"/>
          </w:tcPr>
          <w:p w14:paraId="5E645B34" w14:textId="32BD0AA2" w:rsidR="00D86143" w:rsidRDefault="00D86143" w:rsidP="00D86143">
            <w:pPr>
              <w:spacing w:after="0" w:line="259" w:lineRule="auto"/>
              <w:ind w:left="0" w:right="0" w:firstLine="0"/>
              <w:jc w:val="center"/>
              <w:rPr>
                <w:sz w:val="18"/>
              </w:rPr>
            </w:pPr>
            <w:r>
              <w:rPr>
                <w:sz w:val="18"/>
              </w:rPr>
              <w:t>10</w:t>
            </w:r>
          </w:p>
        </w:tc>
        <w:tc>
          <w:tcPr>
            <w:tcW w:w="726" w:type="dxa"/>
            <w:tcBorders>
              <w:top w:val="single" w:sz="4" w:space="0" w:color="000000"/>
              <w:left w:val="single" w:sz="12" w:space="0" w:color="000000"/>
              <w:bottom w:val="single" w:sz="4" w:space="0" w:color="000000"/>
              <w:right w:val="single" w:sz="12" w:space="0" w:color="000000"/>
            </w:tcBorders>
            <w:vAlign w:val="center"/>
          </w:tcPr>
          <w:p w14:paraId="4B0BB767" w14:textId="194DAA91" w:rsidR="00D86143" w:rsidRDefault="00D86143" w:rsidP="00D86143">
            <w:pPr>
              <w:spacing w:after="0" w:line="259" w:lineRule="auto"/>
              <w:ind w:left="0" w:right="49" w:firstLine="0"/>
              <w:jc w:val="center"/>
              <w:rPr>
                <w:sz w:val="18"/>
              </w:rPr>
            </w:pPr>
            <w:r>
              <w:rPr>
                <w:sz w:val="18"/>
              </w:rPr>
              <w:t>ug/L</w:t>
            </w:r>
          </w:p>
        </w:tc>
        <w:tc>
          <w:tcPr>
            <w:tcW w:w="773" w:type="dxa"/>
            <w:tcBorders>
              <w:top w:val="single" w:sz="4" w:space="0" w:color="000000"/>
              <w:left w:val="single" w:sz="12" w:space="0" w:color="000000"/>
              <w:bottom w:val="single" w:sz="4" w:space="0" w:color="000000"/>
              <w:right w:val="single" w:sz="12" w:space="0" w:color="000000"/>
            </w:tcBorders>
            <w:vAlign w:val="center"/>
          </w:tcPr>
          <w:p w14:paraId="1B87B845" w14:textId="53953B9D" w:rsidR="00D86143" w:rsidRDefault="00D86143" w:rsidP="00D86143">
            <w:pPr>
              <w:spacing w:after="0" w:line="259" w:lineRule="auto"/>
              <w:ind w:left="0" w:right="41" w:firstLine="0"/>
              <w:jc w:val="center"/>
              <w:rPr>
                <w:sz w:val="18"/>
              </w:rPr>
            </w:pPr>
            <w:r>
              <w:rPr>
                <w:sz w:val="18"/>
              </w:rPr>
              <w:t>660</w:t>
            </w:r>
          </w:p>
        </w:tc>
        <w:tc>
          <w:tcPr>
            <w:tcW w:w="951" w:type="dxa"/>
            <w:tcBorders>
              <w:top w:val="single" w:sz="4" w:space="0" w:color="000000"/>
              <w:left w:val="single" w:sz="12" w:space="0" w:color="000000"/>
              <w:bottom w:val="single" w:sz="4" w:space="0" w:color="000000"/>
              <w:right w:val="single" w:sz="12" w:space="0" w:color="000000"/>
            </w:tcBorders>
            <w:vAlign w:val="center"/>
          </w:tcPr>
          <w:p w14:paraId="40B4FE57" w14:textId="1F1CE60E" w:rsidR="00D86143" w:rsidRDefault="00D86143" w:rsidP="00D86143">
            <w:pPr>
              <w:spacing w:after="0" w:line="259" w:lineRule="auto"/>
              <w:ind w:left="0" w:right="46" w:firstLine="0"/>
              <w:jc w:val="center"/>
              <w:rPr>
                <w:rFonts w:eastAsia="Segoe UI Symbol"/>
                <w:sz w:val="18"/>
              </w:rPr>
            </w:pPr>
            <w:r>
              <w:rPr>
                <w:rFonts w:eastAsia="Segoe UI Symbol"/>
                <w:sz w:val="18"/>
              </w:rPr>
              <w:t>u</w:t>
            </w:r>
            <w:r>
              <w:rPr>
                <w:sz w:val="18"/>
              </w:rPr>
              <w:t>g/kg</w:t>
            </w:r>
          </w:p>
        </w:tc>
        <w:tc>
          <w:tcPr>
            <w:tcW w:w="630" w:type="dxa"/>
            <w:tcBorders>
              <w:top w:val="single" w:sz="4" w:space="0" w:color="000000"/>
              <w:left w:val="single" w:sz="12" w:space="0" w:color="000000"/>
              <w:bottom w:val="single" w:sz="4" w:space="0" w:color="000000"/>
              <w:right w:val="single" w:sz="12" w:space="0" w:color="000000"/>
            </w:tcBorders>
            <w:vAlign w:val="center"/>
          </w:tcPr>
          <w:p w14:paraId="7A8E302F" w14:textId="32B26FC4" w:rsidR="00D86143" w:rsidRDefault="00D86143" w:rsidP="00DB6303">
            <w:pPr>
              <w:spacing w:after="0" w:line="259" w:lineRule="auto"/>
              <w:ind w:left="0" w:right="47" w:firstLine="0"/>
              <w:jc w:val="center"/>
              <w:rPr>
                <w:sz w:val="18"/>
              </w:rPr>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3BDB8072" w14:textId="02769364" w:rsidR="00D86143" w:rsidRDefault="00D86143" w:rsidP="00E8392B">
            <w:pPr>
              <w:spacing w:after="0" w:line="259" w:lineRule="auto"/>
              <w:ind w:left="96" w:right="0" w:firstLine="0"/>
              <w:rPr>
                <w:sz w:val="18"/>
              </w:rPr>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6EDB7B8A" w14:textId="1A0106FF" w:rsidR="00D86143" w:rsidRDefault="00D86143" w:rsidP="00DB6303">
            <w:pPr>
              <w:spacing w:after="0" w:line="259" w:lineRule="auto"/>
              <w:ind w:left="0" w:right="47" w:firstLine="0"/>
              <w:jc w:val="center"/>
              <w:rPr>
                <w:sz w:val="18"/>
              </w:rPr>
            </w:pPr>
            <w:r>
              <w:rPr>
                <w:sz w:val="18"/>
              </w:rPr>
              <w:t>X</w:t>
            </w:r>
          </w:p>
        </w:tc>
        <w:tc>
          <w:tcPr>
            <w:tcW w:w="810" w:type="dxa"/>
            <w:tcBorders>
              <w:top w:val="single" w:sz="4" w:space="0" w:color="000000"/>
              <w:left w:val="single" w:sz="12" w:space="0" w:color="000000"/>
              <w:bottom w:val="single" w:sz="4" w:space="0" w:color="000000"/>
              <w:right w:val="single" w:sz="12" w:space="0" w:color="000000"/>
            </w:tcBorders>
            <w:vAlign w:val="center"/>
          </w:tcPr>
          <w:p w14:paraId="751F4D13" w14:textId="347629CD" w:rsidR="00D86143" w:rsidRDefault="00D86143" w:rsidP="00D86143">
            <w:pPr>
              <w:spacing w:after="0" w:line="259" w:lineRule="auto"/>
              <w:ind w:left="0" w:right="0" w:firstLine="0"/>
              <w:jc w:val="center"/>
              <w:rPr>
                <w:sz w:val="18"/>
              </w:rPr>
            </w:pPr>
            <w:r>
              <w:rPr>
                <w:sz w:val="18"/>
              </w:rPr>
              <w:t>8270</w:t>
            </w:r>
          </w:p>
        </w:tc>
        <w:tc>
          <w:tcPr>
            <w:tcW w:w="900" w:type="dxa"/>
            <w:tcBorders>
              <w:top w:val="single" w:sz="4" w:space="0" w:color="000000"/>
              <w:left w:val="single" w:sz="12" w:space="0" w:color="000000"/>
              <w:bottom w:val="single" w:sz="4" w:space="0" w:color="000000"/>
              <w:right w:val="single" w:sz="12" w:space="0" w:color="000000"/>
            </w:tcBorders>
            <w:vAlign w:val="center"/>
          </w:tcPr>
          <w:p w14:paraId="4CDCBA21" w14:textId="77777777" w:rsidR="00D86143" w:rsidRDefault="00D86143" w:rsidP="00D86143">
            <w:pPr>
              <w:spacing w:after="0" w:line="259" w:lineRule="auto"/>
              <w:ind w:left="0" w:right="0" w:firstLine="0"/>
              <w:jc w:val="center"/>
            </w:pPr>
          </w:p>
        </w:tc>
      </w:tr>
      <w:tr w:rsidR="00E8392B" w14:paraId="7F93DF73" w14:textId="77777777" w:rsidTr="005B6604">
        <w:trPr>
          <w:trHeight w:val="262"/>
        </w:trPr>
        <w:tc>
          <w:tcPr>
            <w:tcW w:w="2952" w:type="dxa"/>
            <w:tcBorders>
              <w:top w:val="single" w:sz="4" w:space="0" w:color="000000"/>
              <w:left w:val="single" w:sz="12" w:space="0" w:color="000000"/>
              <w:bottom w:val="single" w:sz="4" w:space="0" w:color="000000"/>
              <w:right w:val="single" w:sz="12" w:space="0" w:color="000000"/>
            </w:tcBorders>
          </w:tcPr>
          <w:p w14:paraId="0EA3CDE2" w14:textId="342E5AB1" w:rsidR="00D86143" w:rsidRDefault="00D86143" w:rsidP="00D86143">
            <w:pPr>
              <w:spacing w:after="0" w:line="259" w:lineRule="auto"/>
              <w:ind w:left="0" w:right="0" w:firstLine="0"/>
              <w:rPr>
                <w:sz w:val="18"/>
              </w:rPr>
            </w:pPr>
            <w:proofErr w:type="spellStart"/>
            <w:r>
              <w:rPr>
                <w:sz w:val="18"/>
              </w:rPr>
              <w:t>Sulfallate</w:t>
            </w:r>
            <w:proofErr w:type="spellEnd"/>
            <w:r>
              <w:rPr>
                <w:sz w:val="18"/>
              </w:rPr>
              <w:t xml:space="preserve"> </w:t>
            </w:r>
          </w:p>
        </w:tc>
        <w:tc>
          <w:tcPr>
            <w:tcW w:w="1155" w:type="dxa"/>
            <w:tcBorders>
              <w:top w:val="single" w:sz="4" w:space="0" w:color="000000"/>
              <w:left w:val="single" w:sz="12" w:space="0" w:color="000000"/>
              <w:bottom w:val="single" w:sz="4" w:space="0" w:color="000000"/>
              <w:right w:val="single" w:sz="12" w:space="0" w:color="000000"/>
            </w:tcBorders>
            <w:vAlign w:val="center"/>
          </w:tcPr>
          <w:p w14:paraId="3D1E17FD" w14:textId="7159FB22" w:rsidR="00D86143" w:rsidRDefault="00D86143" w:rsidP="00D86143">
            <w:pPr>
              <w:spacing w:after="0" w:line="259" w:lineRule="auto"/>
              <w:ind w:left="0" w:right="44" w:firstLine="0"/>
              <w:jc w:val="center"/>
              <w:rPr>
                <w:sz w:val="18"/>
              </w:rPr>
            </w:pPr>
            <w:r>
              <w:rPr>
                <w:sz w:val="18"/>
              </w:rPr>
              <w:t>95-06-7</w:t>
            </w:r>
          </w:p>
        </w:tc>
        <w:tc>
          <w:tcPr>
            <w:tcW w:w="643" w:type="dxa"/>
            <w:tcBorders>
              <w:top w:val="single" w:sz="4" w:space="0" w:color="000000"/>
              <w:left w:val="single" w:sz="12" w:space="0" w:color="000000"/>
              <w:bottom w:val="single" w:sz="4" w:space="0" w:color="000000"/>
              <w:right w:val="single" w:sz="12" w:space="0" w:color="000000"/>
            </w:tcBorders>
            <w:vAlign w:val="center"/>
          </w:tcPr>
          <w:p w14:paraId="468B2A4A" w14:textId="24044874" w:rsidR="00D86143" w:rsidRDefault="00D86143" w:rsidP="00D86143">
            <w:pPr>
              <w:spacing w:after="0" w:line="259" w:lineRule="auto"/>
              <w:ind w:left="0" w:right="0" w:firstLine="0"/>
              <w:jc w:val="center"/>
              <w:rPr>
                <w:sz w:val="18"/>
              </w:rPr>
            </w:pPr>
            <w:r>
              <w:rPr>
                <w:sz w:val="18"/>
              </w:rPr>
              <w:t>10</w:t>
            </w:r>
          </w:p>
        </w:tc>
        <w:tc>
          <w:tcPr>
            <w:tcW w:w="726" w:type="dxa"/>
            <w:tcBorders>
              <w:top w:val="single" w:sz="4" w:space="0" w:color="000000"/>
              <w:left w:val="single" w:sz="12" w:space="0" w:color="000000"/>
              <w:bottom w:val="single" w:sz="4" w:space="0" w:color="000000"/>
              <w:right w:val="single" w:sz="12" w:space="0" w:color="000000"/>
            </w:tcBorders>
            <w:vAlign w:val="center"/>
          </w:tcPr>
          <w:p w14:paraId="63E22981" w14:textId="535C62C8" w:rsidR="00D86143" w:rsidRDefault="00D86143" w:rsidP="00D86143">
            <w:pPr>
              <w:spacing w:after="0" w:line="259" w:lineRule="auto"/>
              <w:ind w:left="0" w:right="49" w:firstLine="0"/>
              <w:jc w:val="center"/>
              <w:rPr>
                <w:sz w:val="18"/>
              </w:rPr>
            </w:pPr>
            <w:r>
              <w:rPr>
                <w:sz w:val="18"/>
              </w:rPr>
              <w:t>ug/L</w:t>
            </w:r>
          </w:p>
        </w:tc>
        <w:tc>
          <w:tcPr>
            <w:tcW w:w="773" w:type="dxa"/>
            <w:tcBorders>
              <w:top w:val="single" w:sz="4" w:space="0" w:color="000000"/>
              <w:left w:val="single" w:sz="12" w:space="0" w:color="000000"/>
              <w:bottom w:val="single" w:sz="4" w:space="0" w:color="000000"/>
              <w:right w:val="single" w:sz="12" w:space="0" w:color="000000"/>
            </w:tcBorders>
            <w:vAlign w:val="center"/>
          </w:tcPr>
          <w:p w14:paraId="765F24C8" w14:textId="1A4667ED" w:rsidR="00D86143" w:rsidRDefault="00D86143" w:rsidP="00D86143">
            <w:pPr>
              <w:spacing w:after="0" w:line="259" w:lineRule="auto"/>
              <w:ind w:left="0" w:right="41" w:firstLine="0"/>
              <w:jc w:val="center"/>
              <w:rPr>
                <w:sz w:val="18"/>
              </w:rPr>
            </w:pPr>
            <w:r>
              <w:rPr>
                <w:sz w:val="18"/>
              </w:rPr>
              <w:t>660</w:t>
            </w:r>
          </w:p>
        </w:tc>
        <w:tc>
          <w:tcPr>
            <w:tcW w:w="951" w:type="dxa"/>
            <w:tcBorders>
              <w:top w:val="single" w:sz="4" w:space="0" w:color="000000"/>
              <w:left w:val="single" w:sz="12" w:space="0" w:color="000000"/>
              <w:bottom w:val="single" w:sz="4" w:space="0" w:color="000000"/>
              <w:right w:val="single" w:sz="12" w:space="0" w:color="000000"/>
            </w:tcBorders>
            <w:vAlign w:val="center"/>
          </w:tcPr>
          <w:p w14:paraId="3B131494" w14:textId="1A0DBDB3" w:rsidR="00D86143" w:rsidRDefault="00D86143" w:rsidP="00D86143">
            <w:pPr>
              <w:spacing w:after="0" w:line="259" w:lineRule="auto"/>
              <w:ind w:left="0" w:right="46" w:firstLine="0"/>
              <w:jc w:val="center"/>
              <w:rPr>
                <w:rFonts w:eastAsia="Segoe UI Symbol"/>
                <w:sz w:val="18"/>
              </w:rPr>
            </w:pPr>
            <w:r>
              <w:rPr>
                <w:rFonts w:eastAsia="Segoe UI Symbol"/>
                <w:sz w:val="18"/>
              </w:rPr>
              <w:t>u</w:t>
            </w:r>
            <w:r>
              <w:rPr>
                <w:sz w:val="18"/>
              </w:rPr>
              <w:t>g/kg</w:t>
            </w:r>
          </w:p>
        </w:tc>
        <w:tc>
          <w:tcPr>
            <w:tcW w:w="630" w:type="dxa"/>
            <w:tcBorders>
              <w:top w:val="single" w:sz="4" w:space="0" w:color="000000"/>
              <w:left w:val="single" w:sz="12" w:space="0" w:color="000000"/>
              <w:bottom w:val="single" w:sz="4" w:space="0" w:color="000000"/>
              <w:right w:val="single" w:sz="12" w:space="0" w:color="000000"/>
            </w:tcBorders>
            <w:vAlign w:val="center"/>
          </w:tcPr>
          <w:p w14:paraId="6609386C" w14:textId="1C334443" w:rsidR="00D86143" w:rsidRDefault="00D86143" w:rsidP="00DB6303">
            <w:pPr>
              <w:spacing w:after="0" w:line="259" w:lineRule="auto"/>
              <w:ind w:left="0" w:right="47" w:firstLine="0"/>
              <w:jc w:val="center"/>
              <w:rPr>
                <w:sz w:val="18"/>
              </w:rPr>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0AC66C17" w14:textId="77777777" w:rsidR="00D86143" w:rsidRDefault="00D86143" w:rsidP="008F3E2C">
            <w:pPr>
              <w:spacing w:after="0" w:line="259" w:lineRule="auto"/>
              <w:ind w:left="96" w:right="0" w:firstLine="0"/>
              <w:jc w:val="center"/>
              <w:rPr>
                <w:sz w:val="18"/>
              </w:rPr>
            </w:pPr>
          </w:p>
        </w:tc>
        <w:tc>
          <w:tcPr>
            <w:tcW w:w="540" w:type="dxa"/>
            <w:tcBorders>
              <w:top w:val="single" w:sz="4" w:space="0" w:color="000000"/>
              <w:left w:val="single" w:sz="12" w:space="0" w:color="000000"/>
              <w:bottom w:val="single" w:sz="4" w:space="0" w:color="000000"/>
              <w:right w:val="single" w:sz="12" w:space="0" w:color="000000"/>
            </w:tcBorders>
            <w:vAlign w:val="center"/>
          </w:tcPr>
          <w:p w14:paraId="792D748F" w14:textId="77777777" w:rsidR="00D86143" w:rsidRDefault="00D86143" w:rsidP="00DB6303">
            <w:pPr>
              <w:spacing w:after="0" w:line="259" w:lineRule="auto"/>
              <w:ind w:left="0" w:right="47" w:firstLine="0"/>
              <w:jc w:val="center"/>
              <w:rPr>
                <w:sz w:val="18"/>
              </w:rPr>
            </w:pPr>
          </w:p>
        </w:tc>
        <w:tc>
          <w:tcPr>
            <w:tcW w:w="810" w:type="dxa"/>
            <w:tcBorders>
              <w:top w:val="single" w:sz="4" w:space="0" w:color="000000"/>
              <w:left w:val="single" w:sz="12" w:space="0" w:color="000000"/>
              <w:bottom w:val="single" w:sz="4" w:space="0" w:color="000000"/>
              <w:right w:val="single" w:sz="12" w:space="0" w:color="000000"/>
            </w:tcBorders>
            <w:vAlign w:val="center"/>
          </w:tcPr>
          <w:p w14:paraId="5FDD99B8" w14:textId="75CE75B5" w:rsidR="00D86143" w:rsidRDefault="00D86143" w:rsidP="00D86143">
            <w:pPr>
              <w:spacing w:after="0" w:line="259" w:lineRule="auto"/>
              <w:ind w:left="0" w:right="0" w:firstLine="0"/>
              <w:jc w:val="center"/>
              <w:rPr>
                <w:sz w:val="18"/>
              </w:rPr>
            </w:pPr>
            <w:r>
              <w:rPr>
                <w:sz w:val="18"/>
              </w:rPr>
              <w:t>8270</w:t>
            </w:r>
          </w:p>
        </w:tc>
        <w:tc>
          <w:tcPr>
            <w:tcW w:w="900" w:type="dxa"/>
            <w:tcBorders>
              <w:top w:val="single" w:sz="4" w:space="0" w:color="000000"/>
              <w:left w:val="single" w:sz="12" w:space="0" w:color="000000"/>
              <w:bottom w:val="single" w:sz="4" w:space="0" w:color="000000"/>
              <w:right w:val="single" w:sz="12" w:space="0" w:color="000000"/>
            </w:tcBorders>
            <w:vAlign w:val="center"/>
          </w:tcPr>
          <w:p w14:paraId="535F06C7" w14:textId="77777777" w:rsidR="00D86143" w:rsidRDefault="00D86143" w:rsidP="00D86143">
            <w:pPr>
              <w:spacing w:after="0" w:line="259" w:lineRule="auto"/>
              <w:ind w:left="0" w:right="0" w:firstLine="0"/>
              <w:jc w:val="center"/>
            </w:pPr>
          </w:p>
        </w:tc>
      </w:tr>
      <w:tr w:rsidR="00E8392B" w14:paraId="2E01CAC5" w14:textId="77777777" w:rsidTr="005B6604">
        <w:trPr>
          <w:trHeight w:val="262"/>
        </w:trPr>
        <w:tc>
          <w:tcPr>
            <w:tcW w:w="2952" w:type="dxa"/>
            <w:tcBorders>
              <w:top w:val="single" w:sz="4" w:space="0" w:color="000000"/>
              <w:left w:val="single" w:sz="12" w:space="0" w:color="000000"/>
              <w:bottom w:val="single" w:sz="4" w:space="0" w:color="000000"/>
              <w:right w:val="single" w:sz="12" w:space="0" w:color="000000"/>
            </w:tcBorders>
          </w:tcPr>
          <w:p w14:paraId="6074423C" w14:textId="0C86A9E0" w:rsidR="00D86143" w:rsidRDefault="00D86143" w:rsidP="00D86143">
            <w:pPr>
              <w:spacing w:after="0" w:line="259" w:lineRule="auto"/>
              <w:ind w:left="0" w:right="0" w:firstLine="0"/>
              <w:rPr>
                <w:sz w:val="18"/>
              </w:rPr>
            </w:pPr>
            <w:r>
              <w:rPr>
                <w:sz w:val="18"/>
              </w:rPr>
              <w:t xml:space="preserve">1,2,4,5-Tetrachlorobenzene </w:t>
            </w:r>
          </w:p>
        </w:tc>
        <w:tc>
          <w:tcPr>
            <w:tcW w:w="1155" w:type="dxa"/>
            <w:tcBorders>
              <w:top w:val="single" w:sz="4" w:space="0" w:color="000000"/>
              <w:left w:val="single" w:sz="12" w:space="0" w:color="000000"/>
              <w:bottom w:val="single" w:sz="4" w:space="0" w:color="000000"/>
              <w:right w:val="single" w:sz="12" w:space="0" w:color="000000"/>
            </w:tcBorders>
            <w:vAlign w:val="center"/>
          </w:tcPr>
          <w:p w14:paraId="671DE856" w14:textId="252FB970" w:rsidR="00D86143" w:rsidRDefault="00D86143" w:rsidP="00D86143">
            <w:pPr>
              <w:spacing w:after="0" w:line="259" w:lineRule="auto"/>
              <w:ind w:left="0" w:right="44" w:firstLine="0"/>
              <w:jc w:val="center"/>
              <w:rPr>
                <w:sz w:val="18"/>
              </w:rPr>
            </w:pPr>
            <w:r>
              <w:rPr>
                <w:sz w:val="18"/>
              </w:rPr>
              <w:t>95-94-3</w:t>
            </w:r>
          </w:p>
        </w:tc>
        <w:tc>
          <w:tcPr>
            <w:tcW w:w="643" w:type="dxa"/>
            <w:tcBorders>
              <w:top w:val="single" w:sz="4" w:space="0" w:color="000000"/>
              <w:left w:val="single" w:sz="12" w:space="0" w:color="000000"/>
              <w:bottom w:val="single" w:sz="4" w:space="0" w:color="000000"/>
              <w:right w:val="single" w:sz="12" w:space="0" w:color="000000"/>
            </w:tcBorders>
            <w:vAlign w:val="center"/>
          </w:tcPr>
          <w:p w14:paraId="016724B5" w14:textId="32E9C6F8" w:rsidR="00D86143" w:rsidRDefault="00D86143" w:rsidP="00D86143">
            <w:pPr>
              <w:spacing w:after="0" w:line="259" w:lineRule="auto"/>
              <w:ind w:left="0" w:right="0" w:firstLine="0"/>
              <w:jc w:val="center"/>
              <w:rPr>
                <w:sz w:val="18"/>
              </w:rPr>
            </w:pPr>
            <w:r>
              <w:rPr>
                <w:sz w:val="18"/>
              </w:rPr>
              <w:t>10</w:t>
            </w:r>
          </w:p>
        </w:tc>
        <w:tc>
          <w:tcPr>
            <w:tcW w:w="726" w:type="dxa"/>
            <w:tcBorders>
              <w:top w:val="single" w:sz="4" w:space="0" w:color="000000"/>
              <w:left w:val="single" w:sz="12" w:space="0" w:color="000000"/>
              <w:bottom w:val="single" w:sz="4" w:space="0" w:color="000000"/>
              <w:right w:val="single" w:sz="12" w:space="0" w:color="000000"/>
            </w:tcBorders>
            <w:vAlign w:val="center"/>
          </w:tcPr>
          <w:p w14:paraId="6CF7D1B9" w14:textId="4D82E44C" w:rsidR="00D86143" w:rsidRDefault="00D86143" w:rsidP="00D86143">
            <w:pPr>
              <w:spacing w:after="0" w:line="259" w:lineRule="auto"/>
              <w:ind w:left="0" w:right="49" w:firstLine="0"/>
              <w:jc w:val="center"/>
              <w:rPr>
                <w:sz w:val="18"/>
              </w:rPr>
            </w:pPr>
            <w:r>
              <w:rPr>
                <w:sz w:val="18"/>
              </w:rPr>
              <w:t>ug/L</w:t>
            </w:r>
          </w:p>
        </w:tc>
        <w:tc>
          <w:tcPr>
            <w:tcW w:w="773" w:type="dxa"/>
            <w:tcBorders>
              <w:top w:val="single" w:sz="4" w:space="0" w:color="000000"/>
              <w:left w:val="single" w:sz="12" w:space="0" w:color="000000"/>
              <w:bottom w:val="single" w:sz="4" w:space="0" w:color="000000"/>
              <w:right w:val="single" w:sz="12" w:space="0" w:color="000000"/>
            </w:tcBorders>
            <w:vAlign w:val="center"/>
          </w:tcPr>
          <w:p w14:paraId="7A359938" w14:textId="317D0709" w:rsidR="00D86143" w:rsidRDefault="00D86143" w:rsidP="00D86143">
            <w:pPr>
              <w:spacing w:after="0" w:line="259" w:lineRule="auto"/>
              <w:ind w:left="0" w:right="41" w:firstLine="0"/>
              <w:jc w:val="center"/>
              <w:rPr>
                <w:sz w:val="18"/>
              </w:rPr>
            </w:pPr>
            <w:r>
              <w:rPr>
                <w:sz w:val="18"/>
              </w:rPr>
              <w:t>660</w:t>
            </w:r>
          </w:p>
        </w:tc>
        <w:tc>
          <w:tcPr>
            <w:tcW w:w="951" w:type="dxa"/>
            <w:tcBorders>
              <w:top w:val="single" w:sz="4" w:space="0" w:color="000000"/>
              <w:left w:val="single" w:sz="12" w:space="0" w:color="000000"/>
              <w:bottom w:val="single" w:sz="4" w:space="0" w:color="000000"/>
              <w:right w:val="single" w:sz="12" w:space="0" w:color="000000"/>
            </w:tcBorders>
            <w:vAlign w:val="center"/>
          </w:tcPr>
          <w:p w14:paraId="7543FE30" w14:textId="2483AC6D" w:rsidR="00D86143" w:rsidRDefault="00D86143" w:rsidP="00D86143">
            <w:pPr>
              <w:spacing w:after="0" w:line="259" w:lineRule="auto"/>
              <w:ind w:left="0" w:right="46" w:firstLine="0"/>
              <w:jc w:val="center"/>
              <w:rPr>
                <w:rFonts w:eastAsia="Segoe UI Symbol"/>
                <w:sz w:val="18"/>
              </w:rPr>
            </w:pPr>
            <w:r>
              <w:rPr>
                <w:rFonts w:eastAsia="Segoe UI Symbol"/>
                <w:sz w:val="18"/>
              </w:rPr>
              <w:t>u</w:t>
            </w:r>
            <w:r>
              <w:rPr>
                <w:sz w:val="18"/>
              </w:rPr>
              <w:t>g/kg</w:t>
            </w:r>
          </w:p>
        </w:tc>
        <w:tc>
          <w:tcPr>
            <w:tcW w:w="630" w:type="dxa"/>
            <w:tcBorders>
              <w:top w:val="single" w:sz="4" w:space="0" w:color="000000"/>
              <w:left w:val="single" w:sz="12" w:space="0" w:color="000000"/>
              <w:bottom w:val="single" w:sz="4" w:space="0" w:color="000000"/>
              <w:right w:val="single" w:sz="12" w:space="0" w:color="000000"/>
            </w:tcBorders>
            <w:vAlign w:val="center"/>
          </w:tcPr>
          <w:p w14:paraId="4C7B7996" w14:textId="6A7AA85D" w:rsidR="00D86143" w:rsidRDefault="00D86143" w:rsidP="00DB6303">
            <w:pPr>
              <w:spacing w:after="0" w:line="259" w:lineRule="auto"/>
              <w:ind w:left="0" w:right="47" w:firstLine="0"/>
              <w:jc w:val="center"/>
              <w:rPr>
                <w:sz w:val="18"/>
              </w:rPr>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37F45CF7" w14:textId="7E99DEA9" w:rsidR="00D86143" w:rsidRDefault="00D86143" w:rsidP="00E8392B">
            <w:pPr>
              <w:spacing w:after="0" w:line="259" w:lineRule="auto"/>
              <w:ind w:left="96" w:right="0" w:firstLine="0"/>
              <w:rPr>
                <w:sz w:val="18"/>
              </w:rPr>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349F31AB" w14:textId="6FFFE24B" w:rsidR="00D86143" w:rsidRDefault="00D86143" w:rsidP="00DB6303">
            <w:pPr>
              <w:spacing w:after="0" w:line="259" w:lineRule="auto"/>
              <w:ind w:left="0" w:right="47" w:firstLine="0"/>
              <w:jc w:val="center"/>
              <w:rPr>
                <w:sz w:val="18"/>
              </w:rPr>
            </w:pPr>
            <w:r>
              <w:rPr>
                <w:sz w:val="18"/>
              </w:rPr>
              <w:t>X</w:t>
            </w:r>
          </w:p>
        </w:tc>
        <w:tc>
          <w:tcPr>
            <w:tcW w:w="810" w:type="dxa"/>
            <w:tcBorders>
              <w:top w:val="single" w:sz="4" w:space="0" w:color="000000"/>
              <w:left w:val="single" w:sz="12" w:space="0" w:color="000000"/>
              <w:bottom w:val="single" w:sz="4" w:space="0" w:color="000000"/>
              <w:right w:val="single" w:sz="12" w:space="0" w:color="000000"/>
            </w:tcBorders>
            <w:vAlign w:val="center"/>
          </w:tcPr>
          <w:p w14:paraId="5A4140F7" w14:textId="46993C79" w:rsidR="00D86143" w:rsidRDefault="00D86143" w:rsidP="00D86143">
            <w:pPr>
              <w:spacing w:after="0" w:line="259" w:lineRule="auto"/>
              <w:ind w:left="0" w:right="0" w:firstLine="0"/>
              <w:jc w:val="center"/>
              <w:rPr>
                <w:sz w:val="18"/>
              </w:rPr>
            </w:pPr>
            <w:r>
              <w:rPr>
                <w:sz w:val="18"/>
              </w:rPr>
              <w:t>8270</w:t>
            </w:r>
          </w:p>
        </w:tc>
        <w:tc>
          <w:tcPr>
            <w:tcW w:w="900" w:type="dxa"/>
            <w:tcBorders>
              <w:top w:val="single" w:sz="4" w:space="0" w:color="000000"/>
              <w:left w:val="single" w:sz="12" w:space="0" w:color="000000"/>
              <w:bottom w:val="single" w:sz="4" w:space="0" w:color="000000"/>
              <w:right w:val="single" w:sz="12" w:space="0" w:color="000000"/>
            </w:tcBorders>
            <w:vAlign w:val="center"/>
          </w:tcPr>
          <w:p w14:paraId="14662763" w14:textId="7FB1D714" w:rsidR="00D86143" w:rsidRDefault="00D86143" w:rsidP="00D86143">
            <w:pPr>
              <w:spacing w:after="0" w:line="259" w:lineRule="auto"/>
              <w:ind w:left="0" w:right="0" w:firstLine="0"/>
              <w:jc w:val="center"/>
            </w:pPr>
            <w:r>
              <w:rPr>
                <w:sz w:val="18"/>
              </w:rPr>
              <w:t>8121</w:t>
            </w:r>
          </w:p>
        </w:tc>
      </w:tr>
      <w:tr w:rsidR="00E8392B" w14:paraId="291919FA" w14:textId="77777777" w:rsidTr="005B6604">
        <w:trPr>
          <w:trHeight w:val="262"/>
        </w:trPr>
        <w:tc>
          <w:tcPr>
            <w:tcW w:w="2952" w:type="dxa"/>
            <w:tcBorders>
              <w:top w:val="single" w:sz="4" w:space="0" w:color="000000"/>
              <w:left w:val="single" w:sz="12" w:space="0" w:color="000000"/>
              <w:bottom w:val="single" w:sz="4" w:space="0" w:color="000000"/>
              <w:right w:val="single" w:sz="12" w:space="0" w:color="000000"/>
            </w:tcBorders>
          </w:tcPr>
          <w:p w14:paraId="239403D2" w14:textId="64951466" w:rsidR="00D86143" w:rsidRDefault="00D86143" w:rsidP="00D86143">
            <w:pPr>
              <w:spacing w:after="0" w:line="259" w:lineRule="auto"/>
              <w:ind w:left="0" w:right="0" w:firstLine="0"/>
              <w:rPr>
                <w:sz w:val="18"/>
              </w:rPr>
            </w:pPr>
            <w:r>
              <w:rPr>
                <w:sz w:val="18"/>
              </w:rPr>
              <w:t xml:space="preserve">2,3,4,6-Tetrachlorophenol </w:t>
            </w:r>
          </w:p>
        </w:tc>
        <w:tc>
          <w:tcPr>
            <w:tcW w:w="1155" w:type="dxa"/>
            <w:tcBorders>
              <w:top w:val="single" w:sz="4" w:space="0" w:color="000000"/>
              <w:left w:val="single" w:sz="12" w:space="0" w:color="000000"/>
              <w:bottom w:val="single" w:sz="4" w:space="0" w:color="000000"/>
              <w:right w:val="single" w:sz="12" w:space="0" w:color="000000"/>
            </w:tcBorders>
            <w:vAlign w:val="center"/>
          </w:tcPr>
          <w:p w14:paraId="00634817" w14:textId="463C69E4" w:rsidR="00D86143" w:rsidRDefault="00D86143" w:rsidP="00D86143">
            <w:pPr>
              <w:spacing w:after="0" w:line="259" w:lineRule="auto"/>
              <w:ind w:left="0" w:right="44" w:firstLine="0"/>
              <w:jc w:val="center"/>
              <w:rPr>
                <w:sz w:val="18"/>
              </w:rPr>
            </w:pPr>
            <w:r>
              <w:rPr>
                <w:sz w:val="18"/>
              </w:rPr>
              <w:t>58-90-2</w:t>
            </w:r>
          </w:p>
        </w:tc>
        <w:tc>
          <w:tcPr>
            <w:tcW w:w="643" w:type="dxa"/>
            <w:tcBorders>
              <w:top w:val="single" w:sz="4" w:space="0" w:color="000000"/>
              <w:left w:val="single" w:sz="12" w:space="0" w:color="000000"/>
              <w:bottom w:val="single" w:sz="4" w:space="0" w:color="000000"/>
              <w:right w:val="single" w:sz="12" w:space="0" w:color="000000"/>
            </w:tcBorders>
            <w:vAlign w:val="center"/>
          </w:tcPr>
          <w:p w14:paraId="7BD141B1" w14:textId="16B72BB1" w:rsidR="00D86143" w:rsidRDefault="00D86143" w:rsidP="00D86143">
            <w:pPr>
              <w:spacing w:after="0" w:line="259" w:lineRule="auto"/>
              <w:ind w:left="0" w:right="0" w:firstLine="0"/>
              <w:jc w:val="center"/>
              <w:rPr>
                <w:sz w:val="18"/>
              </w:rPr>
            </w:pPr>
            <w:r>
              <w:rPr>
                <w:sz w:val="18"/>
              </w:rPr>
              <w:t>10</w:t>
            </w:r>
          </w:p>
        </w:tc>
        <w:tc>
          <w:tcPr>
            <w:tcW w:w="726" w:type="dxa"/>
            <w:tcBorders>
              <w:top w:val="single" w:sz="4" w:space="0" w:color="000000"/>
              <w:left w:val="single" w:sz="12" w:space="0" w:color="000000"/>
              <w:bottom w:val="single" w:sz="4" w:space="0" w:color="000000"/>
              <w:right w:val="single" w:sz="12" w:space="0" w:color="000000"/>
            </w:tcBorders>
            <w:vAlign w:val="center"/>
          </w:tcPr>
          <w:p w14:paraId="25D20B01" w14:textId="0C13F34E" w:rsidR="00D86143" w:rsidRDefault="00D86143" w:rsidP="00D86143">
            <w:pPr>
              <w:spacing w:after="0" w:line="259" w:lineRule="auto"/>
              <w:ind w:left="0" w:right="49" w:firstLine="0"/>
              <w:jc w:val="center"/>
              <w:rPr>
                <w:sz w:val="18"/>
              </w:rPr>
            </w:pPr>
            <w:r>
              <w:rPr>
                <w:sz w:val="18"/>
              </w:rPr>
              <w:t>ug/L</w:t>
            </w:r>
          </w:p>
        </w:tc>
        <w:tc>
          <w:tcPr>
            <w:tcW w:w="773" w:type="dxa"/>
            <w:tcBorders>
              <w:top w:val="single" w:sz="4" w:space="0" w:color="000000"/>
              <w:left w:val="single" w:sz="12" w:space="0" w:color="000000"/>
              <w:bottom w:val="single" w:sz="4" w:space="0" w:color="000000"/>
              <w:right w:val="single" w:sz="12" w:space="0" w:color="000000"/>
            </w:tcBorders>
            <w:vAlign w:val="center"/>
          </w:tcPr>
          <w:p w14:paraId="05FCF637" w14:textId="7469AE2E" w:rsidR="00D86143" w:rsidRDefault="00D86143" w:rsidP="00D86143">
            <w:pPr>
              <w:spacing w:after="0" w:line="259" w:lineRule="auto"/>
              <w:ind w:left="0" w:right="41" w:firstLine="0"/>
              <w:jc w:val="center"/>
              <w:rPr>
                <w:sz w:val="18"/>
              </w:rPr>
            </w:pPr>
            <w:r>
              <w:rPr>
                <w:sz w:val="18"/>
              </w:rPr>
              <w:t>660</w:t>
            </w:r>
          </w:p>
        </w:tc>
        <w:tc>
          <w:tcPr>
            <w:tcW w:w="951" w:type="dxa"/>
            <w:tcBorders>
              <w:top w:val="single" w:sz="4" w:space="0" w:color="000000"/>
              <w:left w:val="single" w:sz="12" w:space="0" w:color="000000"/>
              <w:bottom w:val="single" w:sz="4" w:space="0" w:color="000000"/>
              <w:right w:val="single" w:sz="12" w:space="0" w:color="000000"/>
            </w:tcBorders>
            <w:vAlign w:val="center"/>
          </w:tcPr>
          <w:p w14:paraId="547E4F15" w14:textId="154C196B" w:rsidR="00D86143" w:rsidRDefault="00D86143" w:rsidP="00D86143">
            <w:pPr>
              <w:spacing w:after="0" w:line="259" w:lineRule="auto"/>
              <w:ind w:left="0" w:right="46" w:firstLine="0"/>
              <w:jc w:val="center"/>
              <w:rPr>
                <w:rFonts w:eastAsia="Segoe UI Symbol"/>
                <w:sz w:val="18"/>
              </w:rPr>
            </w:pPr>
            <w:r>
              <w:rPr>
                <w:rFonts w:eastAsia="Segoe UI Symbol"/>
                <w:sz w:val="18"/>
              </w:rPr>
              <w:t>u</w:t>
            </w:r>
            <w:r>
              <w:rPr>
                <w:sz w:val="18"/>
              </w:rPr>
              <w:t>g/kg</w:t>
            </w:r>
          </w:p>
        </w:tc>
        <w:tc>
          <w:tcPr>
            <w:tcW w:w="630" w:type="dxa"/>
            <w:tcBorders>
              <w:top w:val="single" w:sz="4" w:space="0" w:color="000000"/>
              <w:left w:val="single" w:sz="12" w:space="0" w:color="000000"/>
              <w:bottom w:val="single" w:sz="4" w:space="0" w:color="000000"/>
              <w:right w:val="single" w:sz="12" w:space="0" w:color="000000"/>
            </w:tcBorders>
            <w:vAlign w:val="center"/>
          </w:tcPr>
          <w:p w14:paraId="0CACADD3" w14:textId="2377D758" w:rsidR="00D86143" w:rsidRDefault="00D86143" w:rsidP="00DB6303">
            <w:pPr>
              <w:spacing w:after="0" w:line="259" w:lineRule="auto"/>
              <w:ind w:left="0" w:right="47" w:firstLine="0"/>
              <w:jc w:val="center"/>
              <w:rPr>
                <w:sz w:val="18"/>
              </w:rPr>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57953F48" w14:textId="478D0AA8" w:rsidR="00D86143" w:rsidRDefault="00D86143" w:rsidP="00E8392B">
            <w:pPr>
              <w:spacing w:after="0" w:line="259" w:lineRule="auto"/>
              <w:ind w:left="96" w:right="0" w:firstLine="0"/>
              <w:rPr>
                <w:sz w:val="18"/>
              </w:rPr>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13A99FE0" w14:textId="08DEB802" w:rsidR="00D86143" w:rsidRDefault="00D86143" w:rsidP="00DB6303">
            <w:pPr>
              <w:spacing w:after="0" w:line="259" w:lineRule="auto"/>
              <w:ind w:left="0" w:right="47" w:firstLine="0"/>
              <w:jc w:val="center"/>
              <w:rPr>
                <w:sz w:val="18"/>
              </w:rPr>
            </w:pPr>
            <w:r>
              <w:rPr>
                <w:sz w:val="18"/>
              </w:rPr>
              <w:t>X</w:t>
            </w:r>
          </w:p>
        </w:tc>
        <w:tc>
          <w:tcPr>
            <w:tcW w:w="810" w:type="dxa"/>
            <w:tcBorders>
              <w:top w:val="single" w:sz="4" w:space="0" w:color="000000"/>
              <w:left w:val="single" w:sz="12" w:space="0" w:color="000000"/>
              <w:bottom w:val="single" w:sz="4" w:space="0" w:color="000000"/>
              <w:right w:val="single" w:sz="12" w:space="0" w:color="000000"/>
            </w:tcBorders>
            <w:vAlign w:val="center"/>
          </w:tcPr>
          <w:p w14:paraId="6D670B5F" w14:textId="6345EA8F" w:rsidR="00D86143" w:rsidRDefault="00D86143" w:rsidP="00D86143">
            <w:pPr>
              <w:spacing w:after="0" w:line="259" w:lineRule="auto"/>
              <w:ind w:left="0" w:right="0" w:firstLine="0"/>
              <w:jc w:val="center"/>
              <w:rPr>
                <w:sz w:val="18"/>
              </w:rPr>
            </w:pPr>
            <w:r>
              <w:rPr>
                <w:sz w:val="18"/>
              </w:rPr>
              <w:t>8270</w:t>
            </w:r>
          </w:p>
        </w:tc>
        <w:tc>
          <w:tcPr>
            <w:tcW w:w="900" w:type="dxa"/>
            <w:tcBorders>
              <w:top w:val="single" w:sz="4" w:space="0" w:color="000000"/>
              <w:left w:val="single" w:sz="12" w:space="0" w:color="000000"/>
              <w:bottom w:val="single" w:sz="4" w:space="0" w:color="000000"/>
              <w:right w:val="single" w:sz="12" w:space="0" w:color="000000"/>
            </w:tcBorders>
            <w:vAlign w:val="center"/>
          </w:tcPr>
          <w:p w14:paraId="252C21CA" w14:textId="0C4454E2" w:rsidR="00D86143" w:rsidRDefault="00D86143" w:rsidP="00D86143">
            <w:pPr>
              <w:spacing w:after="0" w:line="259" w:lineRule="auto"/>
              <w:ind w:left="0" w:right="0" w:firstLine="0"/>
              <w:jc w:val="center"/>
            </w:pPr>
            <w:r>
              <w:rPr>
                <w:sz w:val="18"/>
              </w:rPr>
              <w:t>8041</w:t>
            </w:r>
          </w:p>
        </w:tc>
      </w:tr>
      <w:tr w:rsidR="00E8392B" w14:paraId="75424E05" w14:textId="77777777" w:rsidTr="005B6604">
        <w:trPr>
          <w:trHeight w:val="262"/>
        </w:trPr>
        <w:tc>
          <w:tcPr>
            <w:tcW w:w="2952" w:type="dxa"/>
            <w:tcBorders>
              <w:top w:val="single" w:sz="4" w:space="0" w:color="000000"/>
              <w:left w:val="single" w:sz="12" w:space="0" w:color="000000"/>
              <w:bottom w:val="single" w:sz="4" w:space="0" w:color="000000"/>
              <w:right w:val="single" w:sz="12" w:space="0" w:color="000000"/>
            </w:tcBorders>
          </w:tcPr>
          <w:p w14:paraId="4EB3115F" w14:textId="347908EA" w:rsidR="00D86143" w:rsidRDefault="00D86143" w:rsidP="00D86143">
            <w:pPr>
              <w:spacing w:after="0" w:line="259" w:lineRule="auto"/>
              <w:ind w:left="0" w:right="0" w:firstLine="0"/>
              <w:rPr>
                <w:sz w:val="18"/>
              </w:rPr>
            </w:pPr>
            <w:r>
              <w:rPr>
                <w:sz w:val="18"/>
              </w:rPr>
              <w:t xml:space="preserve">Thiophenol </w:t>
            </w:r>
          </w:p>
        </w:tc>
        <w:tc>
          <w:tcPr>
            <w:tcW w:w="1155" w:type="dxa"/>
            <w:tcBorders>
              <w:top w:val="single" w:sz="4" w:space="0" w:color="000000"/>
              <w:left w:val="single" w:sz="12" w:space="0" w:color="000000"/>
              <w:bottom w:val="single" w:sz="4" w:space="0" w:color="000000"/>
              <w:right w:val="single" w:sz="12" w:space="0" w:color="000000"/>
            </w:tcBorders>
            <w:vAlign w:val="center"/>
          </w:tcPr>
          <w:p w14:paraId="46AE4F90" w14:textId="2257D64C" w:rsidR="00D86143" w:rsidRDefault="00D86143" w:rsidP="00D86143">
            <w:pPr>
              <w:spacing w:after="0" w:line="259" w:lineRule="auto"/>
              <w:ind w:left="0" w:right="44" w:firstLine="0"/>
              <w:jc w:val="center"/>
              <w:rPr>
                <w:sz w:val="18"/>
              </w:rPr>
            </w:pPr>
            <w:r>
              <w:rPr>
                <w:sz w:val="18"/>
              </w:rPr>
              <w:t>108-98-5</w:t>
            </w:r>
          </w:p>
        </w:tc>
        <w:tc>
          <w:tcPr>
            <w:tcW w:w="643" w:type="dxa"/>
            <w:tcBorders>
              <w:top w:val="single" w:sz="4" w:space="0" w:color="000000"/>
              <w:left w:val="single" w:sz="12" w:space="0" w:color="000000"/>
              <w:bottom w:val="single" w:sz="4" w:space="0" w:color="000000"/>
              <w:right w:val="single" w:sz="12" w:space="0" w:color="000000"/>
            </w:tcBorders>
            <w:vAlign w:val="center"/>
          </w:tcPr>
          <w:p w14:paraId="282F304A" w14:textId="1EC4DA8F" w:rsidR="00D86143" w:rsidRDefault="00D86143" w:rsidP="00D86143">
            <w:pPr>
              <w:spacing w:after="0" w:line="259" w:lineRule="auto"/>
              <w:ind w:left="0" w:right="0" w:firstLine="0"/>
              <w:jc w:val="center"/>
              <w:rPr>
                <w:sz w:val="18"/>
              </w:rPr>
            </w:pPr>
            <w:r>
              <w:rPr>
                <w:sz w:val="18"/>
              </w:rPr>
              <w:t>20</w:t>
            </w:r>
          </w:p>
        </w:tc>
        <w:tc>
          <w:tcPr>
            <w:tcW w:w="726" w:type="dxa"/>
            <w:tcBorders>
              <w:top w:val="single" w:sz="4" w:space="0" w:color="000000"/>
              <w:left w:val="single" w:sz="12" w:space="0" w:color="000000"/>
              <w:bottom w:val="single" w:sz="4" w:space="0" w:color="000000"/>
              <w:right w:val="single" w:sz="12" w:space="0" w:color="000000"/>
            </w:tcBorders>
            <w:vAlign w:val="center"/>
          </w:tcPr>
          <w:p w14:paraId="355C4CB8" w14:textId="0101553A" w:rsidR="00D86143" w:rsidRDefault="00D86143" w:rsidP="00D86143">
            <w:pPr>
              <w:spacing w:after="0" w:line="259" w:lineRule="auto"/>
              <w:ind w:left="0" w:right="49" w:firstLine="0"/>
              <w:jc w:val="center"/>
              <w:rPr>
                <w:sz w:val="18"/>
              </w:rPr>
            </w:pPr>
            <w:r>
              <w:rPr>
                <w:sz w:val="18"/>
              </w:rPr>
              <w:t>ug/L</w:t>
            </w:r>
          </w:p>
        </w:tc>
        <w:tc>
          <w:tcPr>
            <w:tcW w:w="773" w:type="dxa"/>
            <w:tcBorders>
              <w:top w:val="single" w:sz="4" w:space="0" w:color="000000"/>
              <w:left w:val="single" w:sz="12" w:space="0" w:color="000000"/>
              <w:bottom w:val="single" w:sz="4" w:space="0" w:color="000000"/>
              <w:right w:val="single" w:sz="12" w:space="0" w:color="000000"/>
            </w:tcBorders>
            <w:vAlign w:val="center"/>
          </w:tcPr>
          <w:p w14:paraId="30F7ED69" w14:textId="2B2F4B2B" w:rsidR="00D86143" w:rsidRDefault="00D86143" w:rsidP="00D86143">
            <w:pPr>
              <w:spacing w:after="0" w:line="259" w:lineRule="auto"/>
              <w:ind w:left="0" w:right="41" w:firstLine="0"/>
              <w:jc w:val="center"/>
              <w:rPr>
                <w:sz w:val="18"/>
              </w:rPr>
            </w:pPr>
            <w:r>
              <w:rPr>
                <w:sz w:val="18"/>
              </w:rPr>
              <w:t>1300</w:t>
            </w:r>
          </w:p>
        </w:tc>
        <w:tc>
          <w:tcPr>
            <w:tcW w:w="951" w:type="dxa"/>
            <w:tcBorders>
              <w:top w:val="single" w:sz="4" w:space="0" w:color="000000"/>
              <w:left w:val="single" w:sz="12" w:space="0" w:color="000000"/>
              <w:bottom w:val="single" w:sz="4" w:space="0" w:color="000000"/>
              <w:right w:val="single" w:sz="12" w:space="0" w:color="000000"/>
            </w:tcBorders>
            <w:vAlign w:val="center"/>
          </w:tcPr>
          <w:p w14:paraId="325BA252" w14:textId="506373D5" w:rsidR="00D86143" w:rsidRDefault="00D86143" w:rsidP="00D86143">
            <w:pPr>
              <w:spacing w:after="0" w:line="259" w:lineRule="auto"/>
              <w:ind w:left="0" w:right="46" w:firstLine="0"/>
              <w:jc w:val="center"/>
              <w:rPr>
                <w:rFonts w:eastAsia="Segoe UI Symbol"/>
                <w:sz w:val="18"/>
              </w:rPr>
            </w:pPr>
            <w:r>
              <w:rPr>
                <w:rFonts w:eastAsia="Segoe UI Symbol"/>
                <w:sz w:val="18"/>
              </w:rPr>
              <w:t>u</w:t>
            </w:r>
            <w:r>
              <w:rPr>
                <w:sz w:val="18"/>
              </w:rPr>
              <w:t>g/kg</w:t>
            </w:r>
          </w:p>
        </w:tc>
        <w:tc>
          <w:tcPr>
            <w:tcW w:w="630" w:type="dxa"/>
            <w:tcBorders>
              <w:top w:val="single" w:sz="4" w:space="0" w:color="000000"/>
              <w:left w:val="single" w:sz="12" w:space="0" w:color="000000"/>
              <w:bottom w:val="single" w:sz="4" w:space="0" w:color="000000"/>
              <w:right w:val="single" w:sz="12" w:space="0" w:color="000000"/>
            </w:tcBorders>
            <w:vAlign w:val="center"/>
          </w:tcPr>
          <w:p w14:paraId="006F0114" w14:textId="125F951A" w:rsidR="00D86143" w:rsidRDefault="00D86143" w:rsidP="00DB6303">
            <w:pPr>
              <w:spacing w:after="0" w:line="259" w:lineRule="auto"/>
              <w:ind w:left="0" w:right="47" w:firstLine="0"/>
              <w:jc w:val="center"/>
              <w:rPr>
                <w:sz w:val="18"/>
              </w:rPr>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3D891536" w14:textId="77777777" w:rsidR="00D86143" w:rsidRDefault="00D86143" w:rsidP="008F3E2C">
            <w:pPr>
              <w:spacing w:after="0" w:line="259" w:lineRule="auto"/>
              <w:ind w:left="96" w:right="0" w:firstLine="0"/>
              <w:jc w:val="center"/>
              <w:rPr>
                <w:sz w:val="18"/>
              </w:rPr>
            </w:pPr>
          </w:p>
        </w:tc>
        <w:tc>
          <w:tcPr>
            <w:tcW w:w="540" w:type="dxa"/>
            <w:tcBorders>
              <w:top w:val="single" w:sz="4" w:space="0" w:color="000000"/>
              <w:left w:val="single" w:sz="12" w:space="0" w:color="000000"/>
              <w:bottom w:val="single" w:sz="4" w:space="0" w:color="000000"/>
              <w:right w:val="single" w:sz="12" w:space="0" w:color="000000"/>
            </w:tcBorders>
            <w:vAlign w:val="center"/>
          </w:tcPr>
          <w:p w14:paraId="4EFF9441" w14:textId="77777777" w:rsidR="00D86143" w:rsidRDefault="00D86143" w:rsidP="00DB6303">
            <w:pPr>
              <w:spacing w:after="0" w:line="259" w:lineRule="auto"/>
              <w:ind w:left="0" w:right="47" w:firstLine="0"/>
              <w:jc w:val="center"/>
              <w:rPr>
                <w:sz w:val="18"/>
              </w:rPr>
            </w:pPr>
          </w:p>
        </w:tc>
        <w:tc>
          <w:tcPr>
            <w:tcW w:w="810" w:type="dxa"/>
            <w:tcBorders>
              <w:top w:val="single" w:sz="4" w:space="0" w:color="000000"/>
              <w:left w:val="single" w:sz="12" w:space="0" w:color="000000"/>
              <w:bottom w:val="single" w:sz="4" w:space="0" w:color="000000"/>
              <w:right w:val="single" w:sz="12" w:space="0" w:color="000000"/>
            </w:tcBorders>
            <w:vAlign w:val="center"/>
          </w:tcPr>
          <w:p w14:paraId="3DE76C89" w14:textId="77E7B2A6" w:rsidR="00D86143" w:rsidRDefault="00D86143" w:rsidP="00D86143">
            <w:pPr>
              <w:spacing w:after="0" w:line="259" w:lineRule="auto"/>
              <w:ind w:left="0" w:right="0" w:firstLine="0"/>
              <w:jc w:val="center"/>
              <w:rPr>
                <w:sz w:val="18"/>
              </w:rPr>
            </w:pPr>
            <w:r>
              <w:rPr>
                <w:sz w:val="18"/>
              </w:rPr>
              <w:t>8270</w:t>
            </w:r>
          </w:p>
        </w:tc>
        <w:tc>
          <w:tcPr>
            <w:tcW w:w="900" w:type="dxa"/>
            <w:tcBorders>
              <w:top w:val="single" w:sz="4" w:space="0" w:color="000000"/>
              <w:left w:val="single" w:sz="12" w:space="0" w:color="000000"/>
              <w:bottom w:val="single" w:sz="4" w:space="0" w:color="000000"/>
              <w:right w:val="single" w:sz="12" w:space="0" w:color="000000"/>
            </w:tcBorders>
            <w:vAlign w:val="center"/>
          </w:tcPr>
          <w:p w14:paraId="723BA553" w14:textId="77777777" w:rsidR="00D86143" w:rsidRDefault="00D86143" w:rsidP="00D86143">
            <w:pPr>
              <w:spacing w:after="0" w:line="259" w:lineRule="auto"/>
              <w:ind w:left="0" w:right="0" w:firstLine="0"/>
              <w:jc w:val="center"/>
            </w:pPr>
          </w:p>
        </w:tc>
      </w:tr>
      <w:tr w:rsidR="00E8392B" w14:paraId="4D169C8E" w14:textId="77777777" w:rsidTr="005B6604">
        <w:trPr>
          <w:trHeight w:val="262"/>
        </w:trPr>
        <w:tc>
          <w:tcPr>
            <w:tcW w:w="2952" w:type="dxa"/>
            <w:tcBorders>
              <w:top w:val="single" w:sz="4" w:space="0" w:color="000000"/>
              <w:left w:val="single" w:sz="12" w:space="0" w:color="000000"/>
              <w:bottom w:val="single" w:sz="4" w:space="0" w:color="000000"/>
              <w:right w:val="single" w:sz="12" w:space="0" w:color="000000"/>
            </w:tcBorders>
          </w:tcPr>
          <w:p w14:paraId="0521D807" w14:textId="0EBD90F4" w:rsidR="00D86143" w:rsidRDefault="00D86143" w:rsidP="00D86143">
            <w:pPr>
              <w:spacing w:after="0" w:line="259" w:lineRule="auto"/>
              <w:ind w:left="0" w:right="0" w:firstLine="0"/>
              <w:rPr>
                <w:sz w:val="18"/>
              </w:rPr>
            </w:pPr>
            <w:r>
              <w:rPr>
                <w:sz w:val="18"/>
              </w:rPr>
              <w:t xml:space="preserve">Toluene diisocyanate </w:t>
            </w:r>
          </w:p>
        </w:tc>
        <w:tc>
          <w:tcPr>
            <w:tcW w:w="1155" w:type="dxa"/>
            <w:tcBorders>
              <w:top w:val="single" w:sz="4" w:space="0" w:color="000000"/>
              <w:left w:val="single" w:sz="12" w:space="0" w:color="000000"/>
              <w:bottom w:val="single" w:sz="4" w:space="0" w:color="000000"/>
              <w:right w:val="single" w:sz="12" w:space="0" w:color="000000"/>
            </w:tcBorders>
            <w:vAlign w:val="center"/>
          </w:tcPr>
          <w:p w14:paraId="7E693671" w14:textId="196EA3DB" w:rsidR="00D86143" w:rsidRDefault="00D86143" w:rsidP="00D86143">
            <w:pPr>
              <w:spacing w:after="0" w:line="259" w:lineRule="auto"/>
              <w:ind w:left="0" w:right="44" w:firstLine="0"/>
              <w:jc w:val="center"/>
              <w:rPr>
                <w:sz w:val="18"/>
              </w:rPr>
            </w:pPr>
            <w:r>
              <w:rPr>
                <w:sz w:val="18"/>
              </w:rPr>
              <w:t>584-84-9</w:t>
            </w:r>
          </w:p>
        </w:tc>
        <w:tc>
          <w:tcPr>
            <w:tcW w:w="643" w:type="dxa"/>
            <w:tcBorders>
              <w:top w:val="single" w:sz="4" w:space="0" w:color="000000"/>
              <w:left w:val="single" w:sz="12" w:space="0" w:color="000000"/>
              <w:bottom w:val="single" w:sz="4" w:space="0" w:color="000000"/>
              <w:right w:val="single" w:sz="12" w:space="0" w:color="000000"/>
            </w:tcBorders>
            <w:vAlign w:val="center"/>
          </w:tcPr>
          <w:p w14:paraId="255A8C35" w14:textId="4490B969" w:rsidR="00D86143" w:rsidRDefault="00D86143" w:rsidP="00D86143">
            <w:pPr>
              <w:spacing w:after="0" w:line="259" w:lineRule="auto"/>
              <w:ind w:left="0" w:right="0" w:firstLine="0"/>
              <w:jc w:val="center"/>
              <w:rPr>
                <w:sz w:val="18"/>
              </w:rPr>
            </w:pPr>
            <w:r>
              <w:rPr>
                <w:sz w:val="18"/>
              </w:rPr>
              <w:t>50</w:t>
            </w:r>
          </w:p>
        </w:tc>
        <w:tc>
          <w:tcPr>
            <w:tcW w:w="726" w:type="dxa"/>
            <w:tcBorders>
              <w:top w:val="single" w:sz="4" w:space="0" w:color="000000"/>
              <w:left w:val="single" w:sz="12" w:space="0" w:color="000000"/>
              <w:bottom w:val="single" w:sz="4" w:space="0" w:color="000000"/>
              <w:right w:val="single" w:sz="12" w:space="0" w:color="000000"/>
            </w:tcBorders>
            <w:vAlign w:val="center"/>
          </w:tcPr>
          <w:p w14:paraId="1DC18A2C" w14:textId="7F25DB77" w:rsidR="00D86143" w:rsidRDefault="00D86143" w:rsidP="00D86143">
            <w:pPr>
              <w:spacing w:after="0" w:line="259" w:lineRule="auto"/>
              <w:ind w:left="0" w:right="49" w:firstLine="0"/>
              <w:jc w:val="center"/>
              <w:rPr>
                <w:sz w:val="18"/>
              </w:rPr>
            </w:pPr>
            <w:r>
              <w:rPr>
                <w:sz w:val="18"/>
              </w:rPr>
              <w:t>ug/L</w:t>
            </w:r>
          </w:p>
        </w:tc>
        <w:tc>
          <w:tcPr>
            <w:tcW w:w="773" w:type="dxa"/>
            <w:tcBorders>
              <w:top w:val="single" w:sz="4" w:space="0" w:color="000000"/>
              <w:left w:val="single" w:sz="12" w:space="0" w:color="000000"/>
              <w:bottom w:val="single" w:sz="4" w:space="0" w:color="000000"/>
              <w:right w:val="single" w:sz="12" w:space="0" w:color="000000"/>
            </w:tcBorders>
            <w:vAlign w:val="center"/>
          </w:tcPr>
          <w:p w14:paraId="24DE8750" w14:textId="6A615AC4" w:rsidR="00D86143" w:rsidRDefault="00D86143" w:rsidP="00D86143">
            <w:pPr>
              <w:spacing w:after="0" w:line="259" w:lineRule="auto"/>
              <w:ind w:left="0" w:right="41" w:firstLine="0"/>
              <w:jc w:val="center"/>
              <w:rPr>
                <w:sz w:val="18"/>
              </w:rPr>
            </w:pPr>
            <w:r>
              <w:rPr>
                <w:sz w:val="18"/>
              </w:rPr>
              <w:t>3300</w:t>
            </w:r>
          </w:p>
        </w:tc>
        <w:tc>
          <w:tcPr>
            <w:tcW w:w="951" w:type="dxa"/>
            <w:tcBorders>
              <w:top w:val="single" w:sz="4" w:space="0" w:color="000000"/>
              <w:left w:val="single" w:sz="12" w:space="0" w:color="000000"/>
              <w:bottom w:val="single" w:sz="4" w:space="0" w:color="000000"/>
              <w:right w:val="single" w:sz="12" w:space="0" w:color="000000"/>
            </w:tcBorders>
            <w:vAlign w:val="center"/>
          </w:tcPr>
          <w:p w14:paraId="07F9CCED" w14:textId="33E3F8D4" w:rsidR="00D86143" w:rsidRDefault="00D86143" w:rsidP="00D86143">
            <w:pPr>
              <w:spacing w:after="0" w:line="259" w:lineRule="auto"/>
              <w:ind w:left="0" w:right="46" w:firstLine="0"/>
              <w:jc w:val="center"/>
              <w:rPr>
                <w:rFonts w:eastAsia="Segoe UI Symbol"/>
                <w:sz w:val="18"/>
              </w:rPr>
            </w:pPr>
            <w:r>
              <w:rPr>
                <w:rFonts w:eastAsia="Segoe UI Symbol"/>
                <w:sz w:val="18"/>
              </w:rPr>
              <w:t>u</w:t>
            </w:r>
            <w:r>
              <w:rPr>
                <w:sz w:val="18"/>
              </w:rPr>
              <w:t>g/kg</w:t>
            </w:r>
          </w:p>
        </w:tc>
        <w:tc>
          <w:tcPr>
            <w:tcW w:w="630" w:type="dxa"/>
            <w:tcBorders>
              <w:top w:val="single" w:sz="4" w:space="0" w:color="000000"/>
              <w:left w:val="single" w:sz="12" w:space="0" w:color="000000"/>
              <w:bottom w:val="single" w:sz="4" w:space="0" w:color="000000"/>
              <w:right w:val="single" w:sz="12" w:space="0" w:color="000000"/>
            </w:tcBorders>
            <w:vAlign w:val="center"/>
          </w:tcPr>
          <w:p w14:paraId="153750CE" w14:textId="4BCDBEDF" w:rsidR="00D86143" w:rsidRDefault="00D86143" w:rsidP="00DB6303">
            <w:pPr>
              <w:spacing w:after="0" w:line="259" w:lineRule="auto"/>
              <w:ind w:left="0" w:right="47" w:firstLine="0"/>
              <w:jc w:val="center"/>
              <w:rPr>
                <w:sz w:val="18"/>
              </w:rPr>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0623A4DD" w14:textId="77777777" w:rsidR="00D86143" w:rsidRDefault="00D86143" w:rsidP="008F3E2C">
            <w:pPr>
              <w:spacing w:after="0" w:line="259" w:lineRule="auto"/>
              <w:ind w:left="96" w:right="0" w:firstLine="0"/>
              <w:jc w:val="center"/>
              <w:rPr>
                <w:sz w:val="18"/>
              </w:rPr>
            </w:pPr>
          </w:p>
        </w:tc>
        <w:tc>
          <w:tcPr>
            <w:tcW w:w="540" w:type="dxa"/>
            <w:tcBorders>
              <w:top w:val="single" w:sz="4" w:space="0" w:color="000000"/>
              <w:left w:val="single" w:sz="12" w:space="0" w:color="000000"/>
              <w:bottom w:val="single" w:sz="4" w:space="0" w:color="000000"/>
              <w:right w:val="single" w:sz="12" w:space="0" w:color="000000"/>
            </w:tcBorders>
            <w:vAlign w:val="center"/>
          </w:tcPr>
          <w:p w14:paraId="20786457" w14:textId="77777777" w:rsidR="00D86143" w:rsidRDefault="00D86143" w:rsidP="00DB6303">
            <w:pPr>
              <w:spacing w:after="0" w:line="259" w:lineRule="auto"/>
              <w:ind w:left="0" w:right="47" w:firstLine="0"/>
              <w:jc w:val="center"/>
              <w:rPr>
                <w:sz w:val="18"/>
              </w:rPr>
            </w:pPr>
          </w:p>
        </w:tc>
        <w:tc>
          <w:tcPr>
            <w:tcW w:w="810" w:type="dxa"/>
            <w:tcBorders>
              <w:top w:val="single" w:sz="4" w:space="0" w:color="000000"/>
              <w:left w:val="single" w:sz="12" w:space="0" w:color="000000"/>
              <w:bottom w:val="single" w:sz="4" w:space="0" w:color="000000"/>
              <w:right w:val="single" w:sz="12" w:space="0" w:color="000000"/>
            </w:tcBorders>
            <w:vAlign w:val="center"/>
          </w:tcPr>
          <w:p w14:paraId="45AE1DF8" w14:textId="2F205365" w:rsidR="00D86143" w:rsidRDefault="00D86143" w:rsidP="00D86143">
            <w:pPr>
              <w:spacing w:after="0" w:line="259" w:lineRule="auto"/>
              <w:ind w:left="0" w:right="0" w:firstLine="0"/>
              <w:jc w:val="center"/>
              <w:rPr>
                <w:sz w:val="18"/>
              </w:rPr>
            </w:pPr>
            <w:r>
              <w:rPr>
                <w:sz w:val="18"/>
              </w:rPr>
              <w:t>8270</w:t>
            </w:r>
          </w:p>
        </w:tc>
        <w:tc>
          <w:tcPr>
            <w:tcW w:w="900" w:type="dxa"/>
            <w:tcBorders>
              <w:top w:val="single" w:sz="4" w:space="0" w:color="000000"/>
              <w:left w:val="single" w:sz="12" w:space="0" w:color="000000"/>
              <w:bottom w:val="single" w:sz="4" w:space="0" w:color="000000"/>
              <w:right w:val="single" w:sz="12" w:space="0" w:color="000000"/>
            </w:tcBorders>
            <w:vAlign w:val="center"/>
          </w:tcPr>
          <w:p w14:paraId="43C08E0F" w14:textId="77777777" w:rsidR="00D86143" w:rsidRDefault="00D86143" w:rsidP="00D86143">
            <w:pPr>
              <w:spacing w:after="0" w:line="259" w:lineRule="auto"/>
              <w:ind w:left="0" w:right="0" w:firstLine="0"/>
              <w:jc w:val="center"/>
            </w:pPr>
          </w:p>
        </w:tc>
      </w:tr>
      <w:tr w:rsidR="00E8392B" w14:paraId="22500B69" w14:textId="77777777" w:rsidTr="005B6604">
        <w:trPr>
          <w:trHeight w:val="262"/>
        </w:trPr>
        <w:tc>
          <w:tcPr>
            <w:tcW w:w="2952" w:type="dxa"/>
            <w:tcBorders>
              <w:top w:val="single" w:sz="4" w:space="0" w:color="000000"/>
              <w:left w:val="single" w:sz="12" w:space="0" w:color="000000"/>
              <w:bottom w:val="single" w:sz="4" w:space="0" w:color="000000"/>
              <w:right w:val="single" w:sz="12" w:space="0" w:color="000000"/>
            </w:tcBorders>
          </w:tcPr>
          <w:p w14:paraId="155ED11E" w14:textId="062C1021" w:rsidR="00D86143" w:rsidRDefault="00D86143" w:rsidP="00D86143">
            <w:pPr>
              <w:spacing w:after="0" w:line="259" w:lineRule="auto"/>
              <w:ind w:left="0" w:right="0" w:firstLine="0"/>
              <w:rPr>
                <w:sz w:val="18"/>
              </w:rPr>
            </w:pPr>
            <w:r>
              <w:rPr>
                <w:sz w:val="18"/>
              </w:rPr>
              <w:t xml:space="preserve">o-Toluidine </w:t>
            </w:r>
          </w:p>
        </w:tc>
        <w:tc>
          <w:tcPr>
            <w:tcW w:w="1155" w:type="dxa"/>
            <w:tcBorders>
              <w:top w:val="single" w:sz="4" w:space="0" w:color="000000"/>
              <w:left w:val="single" w:sz="12" w:space="0" w:color="000000"/>
              <w:bottom w:val="single" w:sz="4" w:space="0" w:color="000000"/>
              <w:right w:val="single" w:sz="12" w:space="0" w:color="000000"/>
            </w:tcBorders>
            <w:vAlign w:val="center"/>
          </w:tcPr>
          <w:p w14:paraId="71891C4D" w14:textId="63736B92" w:rsidR="00D86143" w:rsidRDefault="00D86143" w:rsidP="00D86143">
            <w:pPr>
              <w:spacing w:after="0" w:line="259" w:lineRule="auto"/>
              <w:ind w:left="0" w:right="44" w:firstLine="0"/>
              <w:jc w:val="center"/>
              <w:rPr>
                <w:sz w:val="18"/>
              </w:rPr>
            </w:pPr>
            <w:r>
              <w:rPr>
                <w:sz w:val="18"/>
              </w:rPr>
              <w:t>95-53-4</w:t>
            </w:r>
          </w:p>
        </w:tc>
        <w:tc>
          <w:tcPr>
            <w:tcW w:w="643" w:type="dxa"/>
            <w:tcBorders>
              <w:top w:val="single" w:sz="4" w:space="0" w:color="000000"/>
              <w:left w:val="single" w:sz="12" w:space="0" w:color="000000"/>
              <w:bottom w:val="single" w:sz="4" w:space="0" w:color="000000"/>
              <w:right w:val="single" w:sz="12" w:space="0" w:color="000000"/>
            </w:tcBorders>
            <w:vAlign w:val="center"/>
          </w:tcPr>
          <w:p w14:paraId="340F9CDA" w14:textId="5DF2B8F9" w:rsidR="00D86143" w:rsidRDefault="00D86143" w:rsidP="00D86143">
            <w:pPr>
              <w:spacing w:after="0" w:line="259" w:lineRule="auto"/>
              <w:ind w:left="0" w:right="0" w:firstLine="0"/>
              <w:jc w:val="center"/>
              <w:rPr>
                <w:sz w:val="18"/>
              </w:rPr>
            </w:pPr>
            <w:r>
              <w:rPr>
                <w:sz w:val="18"/>
              </w:rPr>
              <w:t>10</w:t>
            </w:r>
          </w:p>
        </w:tc>
        <w:tc>
          <w:tcPr>
            <w:tcW w:w="726" w:type="dxa"/>
            <w:tcBorders>
              <w:top w:val="single" w:sz="4" w:space="0" w:color="000000"/>
              <w:left w:val="single" w:sz="12" w:space="0" w:color="000000"/>
              <w:bottom w:val="single" w:sz="4" w:space="0" w:color="000000"/>
              <w:right w:val="single" w:sz="12" w:space="0" w:color="000000"/>
            </w:tcBorders>
            <w:vAlign w:val="center"/>
          </w:tcPr>
          <w:p w14:paraId="560119CE" w14:textId="43AF08BD" w:rsidR="00D86143" w:rsidRDefault="00D86143" w:rsidP="00D86143">
            <w:pPr>
              <w:spacing w:after="0" w:line="259" w:lineRule="auto"/>
              <w:ind w:left="0" w:right="49" w:firstLine="0"/>
              <w:jc w:val="center"/>
              <w:rPr>
                <w:sz w:val="18"/>
              </w:rPr>
            </w:pPr>
            <w:r>
              <w:rPr>
                <w:sz w:val="18"/>
              </w:rPr>
              <w:t>ug/L</w:t>
            </w:r>
          </w:p>
        </w:tc>
        <w:tc>
          <w:tcPr>
            <w:tcW w:w="773" w:type="dxa"/>
            <w:tcBorders>
              <w:top w:val="single" w:sz="4" w:space="0" w:color="000000"/>
              <w:left w:val="single" w:sz="12" w:space="0" w:color="000000"/>
              <w:bottom w:val="single" w:sz="4" w:space="0" w:color="000000"/>
              <w:right w:val="single" w:sz="12" w:space="0" w:color="000000"/>
            </w:tcBorders>
            <w:vAlign w:val="center"/>
          </w:tcPr>
          <w:p w14:paraId="0347E009" w14:textId="2CEF2429" w:rsidR="00D86143" w:rsidRDefault="00D86143" w:rsidP="00D86143">
            <w:pPr>
              <w:spacing w:after="0" w:line="259" w:lineRule="auto"/>
              <w:ind w:left="0" w:right="41" w:firstLine="0"/>
              <w:jc w:val="center"/>
              <w:rPr>
                <w:sz w:val="18"/>
              </w:rPr>
            </w:pPr>
            <w:r>
              <w:rPr>
                <w:sz w:val="18"/>
              </w:rPr>
              <w:t>660</w:t>
            </w:r>
          </w:p>
        </w:tc>
        <w:tc>
          <w:tcPr>
            <w:tcW w:w="951" w:type="dxa"/>
            <w:tcBorders>
              <w:top w:val="single" w:sz="4" w:space="0" w:color="000000"/>
              <w:left w:val="single" w:sz="12" w:space="0" w:color="000000"/>
              <w:bottom w:val="single" w:sz="4" w:space="0" w:color="000000"/>
              <w:right w:val="single" w:sz="12" w:space="0" w:color="000000"/>
            </w:tcBorders>
            <w:vAlign w:val="center"/>
          </w:tcPr>
          <w:p w14:paraId="776A77D5" w14:textId="6D4B0924" w:rsidR="00D86143" w:rsidRDefault="00D86143" w:rsidP="00D86143">
            <w:pPr>
              <w:spacing w:after="0" w:line="259" w:lineRule="auto"/>
              <w:ind w:left="0" w:right="46" w:firstLine="0"/>
              <w:jc w:val="center"/>
              <w:rPr>
                <w:rFonts w:eastAsia="Segoe UI Symbol"/>
                <w:sz w:val="18"/>
              </w:rPr>
            </w:pPr>
            <w:r>
              <w:rPr>
                <w:rFonts w:eastAsia="Segoe UI Symbol"/>
                <w:sz w:val="18"/>
              </w:rPr>
              <w:t>u</w:t>
            </w:r>
            <w:r>
              <w:rPr>
                <w:sz w:val="18"/>
              </w:rPr>
              <w:t>g/kg</w:t>
            </w:r>
          </w:p>
        </w:tc>
        <w:tc>
          <w:tcPr>
            <w:tcW w:w="630" w:type="dxa"/>
            <w:tcBorders>
              <w:top w:val="single" w:sz="4" w:space="0" w:color="000000"/>
              <w:left w:val="single" w:sz="12" w:space="0" w:color="000000"/>
              <w:bottom w:val="single" w:sz="4" w:space="0" w:color="000000"/>
              <w:right w:val="single" w:sz="12" w:space="0" w:color="000000"/>
            </w:tcBorders>
            <w:vAlign w:val="center"/>
          </w:tcPr>
          <w:p w14:paraId="4A8419EC" w14:textId="72AA9885" w:rsidR="00D86143" w:rsidRDefault="00D86143" w:rsidP="00DB6303">
            <w:pPr>
              <w:spacing w:after="0" w:line="259" w:lineRule="auto"/>
              <w:ind w:left="0" w:right="47" w:firstLine="0"/>
              <w:jc w:val="center"/>
              <w:rPr>
                <w:sz w:val="18"/>
              </w:rPr>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48E340BC" w14:textId="15AA1CA2" w:rsidR="00D86143" w:rsidRDefault="00D86143" w:rsidP="00E8392B">
            <w:pPr>
              <w:spacing w:after="0" w:line="259" w:lineRule="auto"/>
              <w:ind w:left="96" w:right="0" w:firstLine="0"/>
              <w:rPr>
                <w:sz w:val="18"/>
              </w:rPr>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51374982" w14:textId="3A191F23" w:rsidR="00D86143" w:rsidRDefault="00D86143" w:rsidP="00DB6303">
            <w:pPr>
              <w:spacing w:after="0" w:line="259" w:lineRule="auto"/>
              <w:ind w:left="0" w:right="47" w:firstLine="0"/>
              <w:jc w:val="center"/>
              <w:rPr>
                <w:sz w:val="18"/>
              </w:rPr>
            </w:pPr>
            <w:r>
              <w:rPr>
                <w:sz w:val="18"/>
              </w:rPr>
              <w:t>X</w:t>
            </w:r>
          </w:p>
        </w:tc>
        <w:tc>
          <w:tcPr>
            <w:tcW w:w="810" w:type="dxa"/>
            <w:tcBorders>
              <w:top w:val="single" w:sz="4" w:space="0" w:color="000000"/>
              <w:left w:val="single" w:sz="12" w:space="0" w:color="000000"/>
              <w:bottom w:val="single" w:sz="4" w:space="0" w:color="000000"/>
              <w:right w:val="single" w:sz="12" w:space="0" w:color="000000"/>
            </w:tcBorders>
            <w:vAlign w:val="center"/>
          </w:tcPr>
          <w:p w14:paraId="510BD891" w14:textId="70CC429A" w:rsidR="00D86143" w:rsidRDefault="00D86143" w:rsidP="00D86143">
            <w:pPr>
              <w:spacing w:after="0" w:line="259" w:lineRule="auto"/>
              <w:ind w:left="0" w:right="0" w:firstLine="0"/>
              <w:jc w:val="center"/>
              <w:rPr>
                <w:sz w:val="18"/>
              </w:rPr>
            </w:pPr>
            <w:r>
              <w:rPr>
                <w:sz w:val="18"/>
              </w:rPr>
              <w:t>8270</w:t>
            </w:r>
          </w:p>
        </w:tc>
        <w:tc>
          <w:tcPr>
            <w:tcW w:w="900" w:type="dxa"/>
            <w:tcBorders>
              <w:top w:val="single" w:sz="4" w:space="0" w:color="000000"/>
              <w:left w:val="single" w:sz="12" w:space="0" w:color="000000"/>
              <w:bottom w:val="single" w:sz="4" w:space="0" w:color="000000"/>
              <w:right w:val="single" w:sz="12" w:space="0" w:color="000000"/>
            </w:tcBorders>
            <w:vAlign w:val="center"/>
          </w:tcPr>
          <w:p w14:paraId="4E80126F" w14:textId="6723F352" w:rsidR="00D86143" w:rsidRDefault="00D86143" w:rsidP="00D86143">
            <w:pPr>
              <w:spacing w:after="0" w:line="259" w:lineRule="auto"/>
              <w:ind w:left="0" w:right="0" w:firstLine="0"/>
              <w:jc w:val="center"/>
            </w:pPr>
            <w:r>
              <w:rPr>
                <w:sz w:val="18"/>
              </w:rPr>
              <w:t>8015</w:t>
            </w:r>
          </w:p>
        </w:tc>
      </w:tr>
      <w:tr w:rsidR="00E8392B" w14:paraId="737DE31D" w14:textId="77777777" w:rsidTr="005B6604">
        <w:trPr>
          <w:trHeight w:val="262"/>
        </w:trPr>
        <w:tc>
          <w:tcPr>
            <w:tcW w:w="2952" w:type="dxa"/>
            <w:tcBorders>
              <w:top w:val="single" w:sz="4" w:space="0" w:color="000000"/>
              <w:left w:val="single" w:sz="12" w:space="0" w:color="000000"/>
              <w:bottom w:val="single" w:sz="4" w:space="0" w:color="000000"/>
              <w:right w:val="single" w:sz="12" w:space="0" w:color="000000"/>
            </w:tcBorders>
          </w:tcPr>
          <w:p w14:paraId="7DF0F21F" w14:textId="693A87D9" w:rsidR="00D86143" w:rsidRDefault="00D86143" w:rsidP="00D86143">
            <w:pPr>
              <w:spacing w:after="0" w:line="259" w:lineRule="auto"/>
              <w:ind w:left="0" w:right="0" w:firstLine="0"/>
              <w:rPr>
                <w:sz w:val="18"/>
              </w:rPr>
            </w:pPr>
            <w:r>
              <w:rPr>
                <w:sz w:val="18"/>
              </w:rPr>
              <w:t xml:space="preserve">1,3,5-Trinitrobenzene </w:t>
            </w:r>
          </w:p>
        </w:tc>
        <w:tc>
          <w:tcPr>
            <w:tcW w:w="1155" w:type="dxa"/>
            <w:tcBorders>
              <w:top w:val="single" w:sz="4" w:space="0" w:color="000000"/>
              <w:left w:val="single" w:sz="12" w:space="0" w:color="000000"/>
              <w:bottom w:val="single" w:sz="4" w:space="0" w:color="000000"/>
              <w:right w:val="single" w:sz="12" w:space="0" w:color="000000"/>
            </w:tcBorders>
            <w:vAlign w:val="center"/>
          </w:tcPr>
          <w:p w14:paraId="1F859CF4" w14:textId="057A81BA" w:rsidR="00D86143" w:rsidRDefault="00D86143" w:rsidP="00D86143">
            <w:pPr>
              <w:spacing w:after="0" w:line="259" w:lineRule="auto"/>
              <w:ind w:left="0" w:right="44" w:firstLine="0"/>
              <w:jc w:val="center"/>
              <w:rPr>
                <w:sz w:val="18"/>
              </w:rPr>
            </w:pPr>
            <w:r>
              <w:rPr>
                <w:sz w:val="18"/>
              </w:rPr>
              <w:t>99-35-4</w:t>
            </w:r>
          </w:p>
        </w:tc>
        <w:tc>
          <w:tcPr>
            <w:tcW w:w="643" w:type="dxa"/>
            <w:tcBorders>
              <w:top w:val="single" w:sz="4" w:space="0" w:color="000000"/>
              <w:left w:val="single" w:sz="12" w:space="0" w:color="000000"/>
              <w:bottom w:val="single" w:sz="4" w:space="0" w:color="000000"/>
              <w:right w:val="single" w:sz="12" w:space="0" w:color="000000"/>
            </w:tcBorders>
            <w:vAlign w:val="center"/>
          </w:tcPr>
          <w:p w14:paraId="63E302B2" w14:textId="47CF73A4" w:rsidR="00D86143" w:rsidRDefault="00D86143" w:rsidP="00D86143">
            <w:pPr>
              <w:spacing w:after="0" w:line="259" w:lineRule="auto"/>
              <w:ind w:left="0" w:right="0" w:firstLine="0"/>
              <w:jc w:val="center"/>
              <w:rPr>
                <w:sz w:val="18"/>
              </w:rPr>
            </w:pPr>
            <w:r>
              <w:rPr>
                <w:sz w:val="18"/>
              </w:rPr>
              <w:t>10</w:t>
            </w:r>
          </w:p>
        </w:tc>
        <w:tc>
          <w:tcPr>
            <w:tcW w:w="726" w:type="dxa"/>
            <w:tcBorders>
              <w:top w:val="single" w:sz="4" w:space="0" w:color="000000"/>
              <w:left w:val="single" w:sz="12" w:space="0" w:color="000000"/>
              <w:bottom w:val="single" w:sz="4" w:space="0" w:color="000000"/>
              <w:right w:val="single" w:sz="12" w:space="0" w:color="000000"/>
            </w:tcBorders>
            <w:vAlign w:val="center"/>
          </w:tcPr>
          <w:p w14:paraId="16EB6080" w14:textId="7C9447D2" w:rsidR="00D86143" w:rsidRDefault="00D86143" w:rsidP="00D86143">
            <w:pPr>
              <w:spacing w:after="0" w:line="259" w:lineRule="auto"/>
              <w:ind w:left="0" w:right="49" w:firstLine="0"/>
              <w:jc w:val="center"/>
              <w:rPr>
                <w:sz w:val="18"/>
              </w:rPr>
            </w:pPr>
            <w:r>
              <w:rPr>
                <w:sz w:val="18"/>
              </w:rPr>
              <w:t>ug/L</w:t>
            </w:r>
          </w:p>
        </w:tc>
        <w:tc>
          <w:tcPr>
            <w:tcW w:w="773" w:type="dxa"/>
            <w:tcBorders>
              <w:top w:val="single" w:sz="4" w:space="0" w:color="000000"/>
              <w:left w:val="single" w:sz="12" w:space="0" w:color="000000"/>
              <w:bottom w:val="single" w:sz="4" w:space="0" w:color="000000"/>
              <w:right w:val="single" w:sz="12" w:space="0" w:color="000000"/>
            </w:tcBorders>
            <w:vAlign w:val="center"/>
          </w:tcPr>
          <w:p w14:paraId="5EE1CF50" w14:textId="5F943D0C" w:rsidR="00D86143" w:rsidRDefault="00D86143" w:rsidP="00D86143">
            <w:pPr>
              <w:spacing w:after="0" w:line="259" w:lineRule="auto"/>
              <w:ind w:left="0" w:right="41" w:firstLine="0"/>
              <w:jc w:val="center"/>
              <w:rPr>
                <w:sz w:val="18"/>
              </w:rPr>
            </w:pPr>
            <w:r>
              <w:rPr>
                <w:sz w:val="18"/>
              </w:rPr>
              <w:t>660</w:t>
            </w:r>
          </w:p>
        </w:tc>
        <w:tc>
          <w:tcPr>
            <w:tcW w:w="951" w:type="dxa"/>
            <w:tcBorders>
              <w:top w:val="single" w:sz="4" w:space="0" w:color="000000"/>
              <w:left w:val="single" w:sz="12" w:space="0" w:color="000000"/>
              <w:bottom w:val="single" w:sz="4" w:space="0" w:color="000000"/>
              <w:right w:val="single" w:sz="12" w:space="0" w:color="000000"/>
            </w:tcBorders>
            <w:vAlign w:val="center"/>
          </w:tcPr>
          <w:p w14:paraId="17DB0E7A" w14:textId="54F6D5A4" w:rsidR="00D86143" w:rsidRDefault="00D86143" w:rsidP="00D86143">
            <w:pPr>
              <w:spacing w:after="0" w:line="259" w:lineRule="auto"/>
              <w:ind w:left="0" w:right="46" w:firstLine="0"/>
              <w:jc w:val="center"/>
              <w:rPr>
                <w:rFonts w:eastAsia="Segoe UI Symbol"/>
                <w:sz w:val="18"/>
              </w:rPr>
            </w:pPr>
            <w:r>
              <w:rPr>
                <w:rFonts w:eastAsia="Segoe UI Symbol"/>
                <w:sz w:val="18"/>
              </w:rPr>
              <w:t>u</w:t>
            </w:r>
            <w:r>
              <w:rPr>
                <w:sz w:val="18"/>
              </w:rPr>
              <w:t>g/kg</w:t>
            </w:r>
          </w:p>
        </w:tc>
        <w:tc>
          <w:tcPr>
            <w:tcW w:w="630" w:type="dxa"/>
            <w:tcBorders>
              <w:top w:val="single" w:sz="4" w:space="0" w:color="000000"/>
              <w:left w:val="single" w:sz="12" w:space="0" w:color="000000"/>
              <w:bottom w:val="single" w:sz="4" w:space="0" w:color="000000"/>
              <w:right w:val="single" w:sz="12" w:space="0" w:color="000000"/>
            </w:tcBorders>
            <w:vAlign w:val="center"/>
          </w:tcPr>
          <w:p w14:paraId="49C70CB3" w14:textId="1C6EDE14" w:rsidR="00D86143" w:rsidRDefault="00D86143" w:rsidP="00DB6303">
            <w:pPr>
              <w:spacing w:after="0" w:line="259" w:lineRule="auto"/>
              <w:ind w:left="0" w:right="47" w:firstLine="0"/>
              <w:jc w:val="center"/>
              <w:rPr>
                <w:sz w:val="18"/>
              </w:rPr>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743F1993" w14:textId="644A7583" w:rsidR="00D86143" w:rsidRDefault="00D86143" w:rsidP="00E8392B">
            <w:pPr>
              <w:spacing w:after="0" w:line="259" w:lineRule="auto"/>
              <w:ind w:left="96" w:right="0" w:firstLine="0"/>
              <w:rPr>
                <w:sz w:val="18"/>
              </w:rPr>
            </w:pPr>
            <w:r>
              <w:rPr>
                <w:sz w:val="18"/>
              </w:rPr>
              <w:t>X</w:t>
            </w:r>
          </w:p>
        </w:tc>
        <w:tc>
          <w:tcPr>
            <w:tcW w:w="540" w:type="dxa"/>
            <w:tcBorders>
              <w:top w:val="single" w:sz="4" w:space="0" w:color="000000"/>
              <w:left w:val="single" w:sz="12" w:space="0" w:color="000000"/>
              <w:bottom w:val="single" w:sz="4" w:space="0" w:color="000000"/>
              <w:right w:val="single" w:sz="12" w:space="0" w:color="000000"/>
            </w:tcBorders>
            <w:vAlign w:val="center"/>
          </w:tcPr>
          <w:p w14:paraId="33C5017B" w14:textId="178B1109" w:rsidR="00D86143" w:rsidRDefault="00D86143" w:rsidP="00DB6303">
            <w:pPr>
              <w:spacing w:after="0" w:line="259" w:lineRule="auto"/>
              <w:ind w:left="0" w:right="47" w:firstLine="0"/>
              <w:jc w:val="center"/>
              <w:rPr>
                <w:sz w:val="18"/>
              </w:rPr>
            </w:pPr>
            <w:r>
              <w:rPr>
                <w:sz w:val="18"/>
              </w:rPr>
              <w:t>X</w:t>
            </w:r>
          </w:p>
        </w:tc>
        <w:tc>
          <w:tcPr>
            <w:tcW w:w="810" w:type="dxa"/>
            <w:tcBorders>
              <w:top w:val="single" w:sz="4" w:space="0" w:color="000000"/>
              <w:left w:val="single" w:sz="12" w:space="0" w:color="000000"/>
              <w:bottom w:val="single" w:sz="4" w:space="0" w:color="000000"/>
              <w:right w:val="single" w:sz="12" w:space="0" w:color="000000"/>
            </w:tcBorders>
            <w:vAlign w:val="center"/>
          </w:tcPr>
          <w:p w14:paraId="27D6A6E0" w14:textId="4D195611" w:rsidR="00D86143" w:rsidRDefault="00D86143" w:rsidP="00D86143">
            <w:pPr>
              <w:spacing w:after="0" w:line="259" w:lineRule="auto"/>
              <w:ind w:left="0" w:right="0" w:firstLine="0"/>
              <w:jc w:val="center"/>
              <w:rPr>
                <w:sz w:val="18"/>
              </w:rPr>
            </w:pPr>
            <w:r>
              <w:rPr>
                <w:sz w:val="18"/>
              </w:rPr>
              <w:t>8270</w:t>
            </w:r>
          </w:p>
        </w:tc>
        <w:tc>
          <w:tcPr>
            <w:tcW w:w="900" w:type="dxa"/>
            <w:tcBorders>
              <w:top w:val="single" w:sz="4" w:space="0" w:color="000000"/>
              <w:left w:val="single" w:sz="12" w:space="0" w:color="000000"/>
              <w:bottom w:val="single" w:sz="4" w:space="0" w:color="000000"/>
              <w:right w:val="single" w:sz="12" w:space="0" w:color="000000"/>
            </w:tcBorders>
            <w:vAlign w:val="center"/>
          </w:tcPr>
          <w:p w14:paraId="70CC9505" w14:textId="6007B52C" w:rsidR="00D86143" w:rsidRDefault="00D86143" w:rsidP="00D86143">
            <w:pPr>
              <w:spacing w:after="0" w:line="259" w:lineRule="auto"/>
              <w:ind w:left="0" w:right="0" w:firstLine="0"/>
              <w:jc w:val="center"/>
            </w:pPr>
            <w:r>
              <w:rPr>
                <w:sz w:val="18"/>
              </w:rPr>
              <w:t>8330</w:t>
            </w:r>
          </w:p>
        </w:tc>
      </w:tr>
      <w:tr w:rsidR="00E8392B" w14:paraId="6320C25A" w14:textId="77777777" w:rsidTr="005B6604">
        <w:trPr>
          <w:trHeight w:val="262"/>
        </w:trPr>
        <w:tc>
          <w:tcPr>
            <w:tcW w:w="2952" w:type="dxa"/>
            <w:tcBorders>
              <w:top w:val="single" w:sz="4" w:space="0" w:color="000000"/>
              <w:left w:val="single" w:sz="12" w:space="0" w:color="000000"/>
              <w:bottom w:val="single" w:sz="12" w:space="0" w:color="000000"/>
              <w:right w:val="single" w:sz="12" w:space="0" w:color="000000"/>
            </w:tcBorders>
          </w:tcPr>
          <w:p w14:paraId="195EA85D" w14:textId="22BE4183" w:rsidR="00D86143" w:rsidRDefault="00D86143" w:rsidP="00D86143">
            <w:pPr>
              <w:spacing w:after="0" w:line="259" w:lineRule="auto"/>
              <w:ind w:left="0" w:right="0" w:firstLine="0"/>
              <w:rPr>
                <w:sz w:val="18"/>
              </w:rPr>
            </w:pPr>
            <w:r>
              <w:rPr>
                <w:sz w:val="18"/>
              </w:rPr>
              <w:t xml:space="preserve">O, O, O-Triethyl phosphorothioate </w:t>
            </w:r>
          </w:p>
        </w:tc>
        <w:tc>
          <w:tcPr>
            <w:tcW w:w="1155" w:type="dxa"/>
            <w:tcBorders>
              <w:top w:val="single" w:sz="4" w:space="0" w:color="000000"/>
              <w:left w:val="single" w:sz="12" w:space="0" w:color="000000"/>
              <w:bottom w:val="single" w:sz="12" w:space="0" w:color="000000"/>
              <w:right w:val="single" w:sz="12" w:space="0" w:color="000000"/>
            </w:tcBorders>
            <w:vAlign w:val="center"/>
          </w:tcPr>
          <w:p w14:paraId="5F6DC14A" w14:textId="77E400F9" w:rsidR="00D86143" w:rsidRDefault="00D86143" w:rsidP="00D86143">
            <w:pPr>
              <w:spacing w:after="0" w:line="259" w:lineRule="auto"/>
              <w:ind w:left="0" w:right="44" w:firstLine="0"/>
              <w:jc w:val="center"/>
              <w:rPr>
                <w:sz w:val="18"/>
              </w:rPr>
            </w:pPr>
            <w:r>
              <w:rPr>
                <w:sz w:val="18"/>
              </w:rPr>
              <w:t>126-68-1</w:t>
            </w:r>
          </w:p>
        </w:tc>
        <w:tc>
          <w:tcPr>
            <w:tcW w:w="643" w:type="dxa"/>
            <w:tcBorders>
              <w:top w:val="single" w:sz="4" w:space="0" w:color="000000"/>
              <w:left w:val="single" w:sz="12" w:space="0" w:color="000000"/>
              <w:bottom w:val="single" w:sz="12" w:space="0" w:color="000000"/>
              <w:right w:val="single" w:sz="12" w:space="0" w:color="000000"/>
            </w:tcBorders>
            <w:vAlign w:val="center"/>
          </w:tcPr>
          <w:p w14:paraId="109D207F" w14:textId="01064E1E" w:rsidR="00D86143" w:rsidRDefault="00D86143" w:rsidP="00D86143">
            <w:pPr>
              <w:spacing w:after="0" w:line="259" w:lineRule="auto"/>
              <w:ind w:left="0" w:right="0" w:firstLine="0"/>
              <w:jc w:val="center"/>
              <w:rPr>
                <w:sz w:val="18"/>
              </w:rPr>
            </w:pPr>
            <w:r>
              <w:rPr>
                <w:sz w:val="18"/>
              </w:rPr>
              <w:t>200</w:t>
            </w:r>
          </w:p>
        </w:tc>
        <w:tc>
          <w:tcPr>
            <w:tcW w:w="726" w:type="dxa"/>
            <w:tcBorders>
              <w:top w:val="single" w:sz="4" w:space="0" w:color="000000"/>
              <w:left w:val="single" w:sz="12" w:space="0" w:color="000000"/>
              <w:bottom w:val="single" w:sz="12" w:space="0" w:color="000000"/>
              <w:right w:val="single" w:sz="12" w:space="0" w:color="000000"/>
            </w:tcBorders>
            <w:vAlign w:val="center"/>
          </w:tcPr>
          <w:p w14:paraId="76F45371" w14:textId="69EF7989" w:rsidR="00D86143" w:rsidRDefault="00D86143" w:rsidP="00D86143">
            <w:pPr>
              <w:spacing w:after="0" w:line="259" w:lineRule="auto"/>
              <w:ind w:left="0" w:right="49" w:firstLine="0"/>
              <w:jc w:val="center"/>
              <w:rPr>
                <w:sz w:val="18"/>
              </w:rPr>
            </w:pPr>
            <w:r>
              <w:rPr>
                <w:sz w:val="18"/>
              </w:rPr>
              <w:t>ug/L</w:t>
            </w:r>
          </w:p>
        </w:tc>
        <w:tc>
          <w:tcPr>
            <w:tcW w:w="773" w:type="dxa"/>
            <w:tcBorders>
              <w:top w:val="single" w:sz="4" w:space="0" w:color="000000"/>
              <w:left w:val="single" w:sz="12" w:space="0" w:color="000000"/>
              <w:bottom w:val="single" w:sz="12" w:space="0" w:color="000000"/>
              <w:right w:val="single" w:sz="12" w:space="0" w:color="000000"/>
            </w:tcBorders>
            <w:vAlign w:val="center"/>
          </w:tcPr>
          <w:p w14:paraId="163215CE" w14:textId="23167628" w:rsidR="00D86143" w:rsidRDefault="00D86143" w:rsidP="00D86143">
            <w:pPr>
              <w:spacing w:after="0" w:line="259" w:lineRule="auto"/>
              <w:ind w:left="0" w:right="41" w:firstLine="0"/>
              <w:jc w:val="center"/>
              <w:rPr>
                <w:sz w:val="18"/>
              </w:rPr>
            </w:pPr>
            <w:r>
              <w:rPr>
                <w:sz w:val="18"/>
              </w:rPr>
              <w:t>13000</w:t>
            </w:r>
          </w:p>
        </w:tc>
        <w:tc>
          <w:tcPr>
            <w:tcW w:w="951" w:type="dxa"/>
            <w:tcBorders>
              <w:top w:val="single" w:sz="4" w:space="0" w:color="000000"/>
              <w:left w:val="single" w:sz="12" w:space="0" w:color="000000"/>
              <w:bottom w:val="single" w:sz="12" w:space="0" w:color="000000"/>
              <w:right w:val="single" w:sz="12" w:space="0" w:color="000000"/>
            </w:tcBorders>
            <w:vAlign w:val="center"/>
          </w:tcPr>
          <w:p w14:paraId="1A7B4E23" w14:textId="2FBFA55D" w:rsidR="00D86143" w:rsidRDefault="00D86143" w:rsidP="00D86143">
            <w:pPr>
              <w:spacing w:after="0" w:line="259" w:lineRule="auto"/>
              <w:ind w:left="0" w:right="46" w:firstLine="0"/>
              <w:jc w:val="center"/>
              <w:rPr>
                <w:rFonts w:eastAsia="Segoe UI Symbol"/>
                <w:sz w:val="18"/>
              </w:rPr>
            </w:pPr>
            <w:r>
              <w:rPr>
                <w:rFonts w:eastAsia="Segoe UI Symbol"/>
                <w:sz w:val="18"/>
              </w:rPr>
              <w:t>u</w:t>
            </w:r>
            <w:r>
              <w:rPr>
                <w:sz w:val="18"/>
              </w:rPr>
              <w:t>g/kg</w:t>
            </w:r>
          </w:p>
        </w:tc>
        <w:tc>
          <w:tcPr>
            <w:tcW w:w="630" w:type="dxa"/>
            <w:tcBorders>
              <w:top w:val="single" w:sz="4" w:space="0" w:color="000000"/>
              <w:left w:val="single" w:sz="12" w:space="0" w:color="000000"/>
              <w:bottom w:val="single" w:sz="12" w:space="0" w:color="000000"/>
              <w:right w:val="single" w:sz="12" w:space="0" w:color="000000"/>
            </w:tcBorders>
            <w:vAlign w:val="center"/>
          </w:tcPr>
          <w:p w14:paraId="07716771" w14:textId="6637A98A" w:rsidR="00D86143" w:rsidRDefault="00D86143" w:rsidP="00DB6303">
            <w:pPr>
              <w:spacing w:after="0" w:line="259" w:lineRule="auto"/>
              <w:ind w:left="0" w:right="47" w:firstLine="0"/>
              <w:jc w:val="center"/>
              <w:rPr>
                <w:sz w:val="18"/>
              </w:rPr>
            </w:pPr>
            <w:r>
              <w:rPr>
                <w:sz w:val="18"/>
              </w:rPr>
              <w:t>X</w:t>
            </w:r>
          </w:p>
        </w:tc>
        <w:tc>
          <w:tcPr>
            <w:tcW w:w="540" w:type="dxa"/>
            <w:tcBorders>
              <w:top w:val="single" w:sz="4" w:space="0" w:color="000000"/>
              <w:left w:val="single" w:sz="12" w:space="0" w:color="000000"/>
              <w:bottom w:val="single" w:sz="12" w:space="0" w:color="000000"/>
              <w:right w:val="single" w:sz="12" w:space="0" w:color="000000"/>
            </w:tcBorders>
            <w:vAlign w:val="center"/>
          </w:tcPr>
          <w:p w14:paraId="2499FB8C" w14:textId="006FFB4A" w:rsidR="00D86143" w:rsidRDefault="00D86143" w:rsidP="00E8392B">
            <w:pPr>
              <w:spacing w:after="0" w:line="259" w:lineRule="auto"/>
              <w:ind w:left="96" w:right="0" w:firstLine="0"/>
              <w:rPr>
                <w:sz w:val="18"/>
              </w:rPr>
            </w:pPr>
            <w:r>
              <w:rPr>
                <w:sz w:val="18"/>
              </w:rPr>
              <w:t>X</w:t>
            </w:r>
          </w:p>
        </w:tc>
        <w:tc>
          <w:tcPr>
            <w:tcW w:w="540" w:type="dxa"/>
            <w:tcBorders>
              <w:top w:val="single" w:sz="4" w:space="0" w:color="000000"/>
              <w:left w:val="single" w:sz="12" w:space="0" w:color="000000"/>
              <w:bottom w:val="single" w:sz="12" w:space="0" w:color="000000"/>
              <w:right w:val="single" w:sz="12" w:space="0" w:color="000000"/>
            </w:tcBorders>
            <w:vAlign w:val="center"/>
          </w:tcPr>
          <w:p w14:paraId="4253E4C1" w14:textId="6307E56D" w:rsidR="00D86143" w:rsidRDefault="00D86143" w:rsidP="00DB6303">
            <w:pPr>
              <w:spacing w:after="0" w:line="259" w:lineRule="auto"/>
              <w:ind w:left="0" w:right="47" w:firstLine="0"/>
              <w:jc w:val="center"/>
              <w:rPr>
                <w:sz w:val="18"/>
              </w:rPr>
            </w:pPr>
            <w:r>
              <w:rPr>
                <w:sz w:val="18"/>
              </w:rPr>
              <w:t>X</w:t>
            </w:r>
          </w:p>
        </w:tc>
        <w:tc>
          <w:tcPr>
            <w:tcW w:w="810" w:type="dxa"/>
            <w:tcBorders>
              <w:top w:val="single" w:sz="4" w:space="0" w:color="000000"/>
              <w:left w:val="single" w:sz="12" w:space="0" w:color="000000"/>
              <w:bottom w:val="single" w:sz="12" w:space="0" w:color="000000"/>
              <w:right w:val="single" w:sz="12" w:space="0" w:color="000000"/>
            </w:tcBorders>
            <w:vAlign w:val="center"/>
          </w:tcPr>
          <w:p w14:paraId="277B911D" w14:textId="40F9727F" w:rsidR="00D86143" w:rsidRDefault="00D86143" w:rsidP="00D86143">
            <w:pPr>
              <w:spacing w:after="0" w:line="259" w:lineRule="auto"/>
              <w:ind w:left="0" w:right="0" w:firstLine="0"/>
              <w:jc w:val="center"/>
              <w:rPr>
                <w:sz w:val="18"/>
              </w:rPr>
            </w:pPr>
            <w:r>
              <w:rPr>
                <w:sz w:val="18"/>
              </w:rPr>
              <w:t>8270</w:t>
            </w:r>
          </w:p>
        </w:tc>
        <w:tc>
          <w:tcPr>
            <w:tcW w:w="900" w:type="dxa"/>
            <w:tcBorders>
              <w:top w:val="single" w:sz="4" w:space="0" w:color="000000"/>
              <w:left w:val="single" w:sz="12" w:space="0" w:color="000000"/>
              <w:bottom w:val="single" w:sz="12" w:space="0" w:color="000000"/>
              <w:right w:val="single" w:sz="12" w:space="0" w:color="000000"/>
            </w:tcBorders>
            <w:vAlign w:val="center"/>
          </w:tcPr>
          <w:p w14:paraId="4A7AC693" w14:textId="77777777" w:rsidR="00D86143" w:rsidRDefault="00D86143" w:rsidP="00D86143">
            <w:pPr>
              <w:spacing w:after="0" w:line="259" w:lineRule="auto"/>
              <w:ind w:left="0" w:right="0" w:firstLine="0"/>
              <w:jc w:val="center"/>
            </w:pPr>
          </w:p>
        </w:tc>
      </w:tr>
    </w:tbl>
    <w:p w14:paraId="424F6F9D" w14:textId="2A3CDCD7" w:rsidR="00B56D50" w:rsidRDefault="00B56D50">
      <w:pPr>
        <w:spacing w:after="0" w:line="259" w:lineRule="auto"/>
        <w:ind w:left="0" w:right="0" w:firstLine="0"/>
      </w:pPr>
    </w:p>
    <w:tbl>
      <w:tblPr>
        <w:tblStyle w:val="TableGrid1"/>
        <w:tblW w:w="10620" w:type="dxa"/>
        <w:tblInd w:w="-375" w:type="dxa"/>
        <w:tblCellMar>
          <w:top w:w="24" w:type="dxa"/>
          <w:left w:w="72" w:type="dxa"/>
          <w:right w:w="25" w:type="dxa"/>
        </w:tblCellMar>
        <w:tblLook w:val="04A0" w:firstRow="1" w:lastRow="0" w:firstColumn="1" w:lastColumn="0" w:noHBand="0" w:noVBand="1"/>
      </w:tblPr>
      <w:tblGrid>
        <w:gridCol w:w="2725"/>
        <w:gridCol w:w="1148"/>
        <w:gridCol w:w="623"/>
        <w:gridCol w:w="711"/>
        <w:gridCol w:w="707"/>
        <w:gridCol w:w="994"/>
        <w:gridCol w:w="633"/>
        <w:gridCol w:w="542"/>
        <w:gridCol w:w="618"/>
        <w:gridCol w:w="709"/>
        <w:gridCol w:w="580"/>
        <w:gridCol w:w="630"/>
      </w:tblGrid>
      <w:tr w:rsidR="00940C72" w14:paraId="7B25456C" w14:textId="77777777" w:rsidTr="005B6604">
        <w:trPr>
          <w:trHeight w:val="288"/>
        </w:trPr>
        <w:tc>
          <w:tcPr>
            <w:tcW w:w="10620" w:type="dxa"/>
            <w:gridSpan w:val="12"/>
            <w:tcBorders>
              <w:top w:val="single" w:sz="12" w:space="0" w:color="000000"/>
              <w:left w:val="single" w:sz="12" w:space="0" w:color="000000"/>
              <w:bottom w:val="single" w:sz="12" w:space="0" w:color="000000"/>
              <w:right w:val="single" w:sz="12" w:space="0" w:color="000000"/>
            </w:tcBorders>
            <w:vAlign w:val="center"/>
          </w:tcPr>
          <w:p w14:paraId="38A70987" w14:textId="1EFED636" w:rsidR="00B464D2" w:rsidRPr="00940C72" w:rsidRDefault="00940C72" w:rsidP="003C01E6">
            <w:pPr>
              <w:spacing w:after="0" w:line="240" w:lineRule="auto"/>
              <w:ind w:left="0" w:right="0" w:firstLine="0"/>
              <w:rPr>
                <w:sz w:val="18"/>
                <w:szCs w:val="18"/>
              </w:rPr>
            </w:pPr>
            <w:r w:rsidRPr="00940C72">
              <w:rPr>
                <w:b/>
                <w:sz w:val="18"/>
                <w:szCs w:val="18"/>
              </w:rPr>
              <w:t>SW-846 SAS Group I</w:t>
            </w:r>
            <w:proofErr w:type="gramStart"/>
            <w:r w:rsidRPr="00940C72">
              <w:rPr>
                <w:b/>
                <w:sz w:val="18"/>
                <w:szCs w:val="18"/>
              </w:rPr>
              <w:t>:  Attachment</w:t>
            </w:r>
            <w:proofErr w:type="gramEnd"/>
            <w:r w:rsidRPr="00940C72">
              <w:rPr>
                <w:b/>
                <w:sz w:val="18"/>
                <w:szCs w:val="18"/>
              </w:rPr>
              <w:t xml:space="preserve"> VIII </w:t>
            </w:r>
            <w:proofErr w:type="spellStart"/>
            <w:r w:rsidRPr="00940C72">
              <w:rPr>
                <w:b/>
                <w:sz w:val="18"/>
                <w:szCs w:val="18"/>
              </w:rPr>
              <w:t>Thiocarbate</w:t>
            </w:r>
            <w:proofErr w:type="spellEnd"/>
            <w:r w:rsidRPr="00940C72">
              <w:rPr>
                <w:b/>
                <w:sz w:val="18"/>
                <w:szCs w:val="18"/>
              </w:rPr>
              <w:t xml:space="preserve"> Pesticides</w:t>
            </w:r>
          </w:p>
        </w:tc>
      </w:tr>
      <w:tr w:rsidR="00B56D50" w14:paraId="5A71E596" w14:textId="77777777" w:rsidTr="005B6604">
        <w:trPr>
          <w:trHeight w:val="269"/>
        </w:trPr>
        <w:tc>
          <w:tcPr>
            <w:tcW w:w="2725" w:type="dxa"/>
            <w:vMerge w:val="restart"/>
            <w:tcBorders>
              <w:top w:val="single" w:sz="12" w:space="0" w:color="000000"/>
              <w:left w:val="single" w:sz="12" w:space="0" w:color="000000"/>
              <w:bottom w:val="single" w:sz="12" w:space="0" w:color="000000"/>
              <w:right w:val="single" w:sz="12" w:space="0" w:color="000000"/>
            </w:tcBorders>
            <w:vAlign w:val="center"/>
          </w:tcPr>
          <w:p w14:paraId="5FE54814" w14:textId="78B7AD0B" w:rsidR="00B56D50" w:rsidRDefault="001C3C42" w:rsidP="00D8025E">
            <w:pPr>
              <w:spacing w:after="0" w:line="259" w:lineRule="auto"/>
              <w:ind w:left="0" w:right="51" w:firstLine="0"/>
              <w:jc w:val="center"/>
            </w:pPr>
            <w:r>
              <w:rPr>
                <w:b/>
                <w:sz w:val="18"/>
              </w:rPr>
              <w:t>Analyte</w:t>
            </w:r>
          </w:p>
        </w:tc>
        <w:tc>
          <w:tcPr>
            <w:tcW w:w="1148" w:type="dxa"/>
            <w:vMerge w:val="restart"/>
            <w:tcBorders>
              <w:top w:val="single" w:sz="12" w:space="0" w:color="000000"/>
              <w:left w:val="single" w:sz="12" w:space="0" w:color="000000"/>
              <w:bottom w:val="single" w:sz="12" w:space="0" w:color="000000"/>
              <w:right w:val="single" w:sz="12" w:space="0" w:color="000000"/>
            </w:tcBorders>
            <w:vAlign w:val="center"/>
          </w:tcPr>
          <w:p w14:paraId="7A0B0D3D" w14:textId="397680A0" w:rsidR="00B56D50" w:rsidRDefault="001C3C42" w:rsidP="00D8025E">
            <w:pPr>
              <w:spacing w:after="0" w:line="259" w:lineRule="auto"/>
              <w:ind w:left="9" w:right="20" w:firstLine="0"/>
              <w:jc w:val="center"/>
            </w:pPr>
            <w:r>
              <w:rPr>
                <w:b/>
                <w:sz w:val="18"/>
              </w:rPr>
              <w:t>CAS Number</w:t>
            </w:r>
          </w:p>
        </w:tc>
        <w:tc>
          <w:tcPr>
            <w:tcW w:w="1334" w:type="dxa"/>
            <w:gridSpan w:val="2"/>
            <w:tcBorders>
              <w:top w:val="single" w:sz="12" w:space="0" w:color="000000"/>
              <w:left w:val="single" w:sz="12" w:space="0" w:color="000000"/>
              <w:bottom w:val="single" w:sz="12" w:space="0" w:color="000000"/>
              <w:right w:val="single" w:sz="12" w:space="0" w:color="000000"/>
            </w:tcBorders>
            <w:vAlign w:val="center"/>
          </w:tcPr>
          <w:p w14:paraId="1507E588" w14:textId="12314DD3" w:rsidR="00B56D50" w:rsidRDefault="001C3C42" w:rsidP="00D8025E">
            <w:pPr>
              <w:spacing w:after="0" w:line="259" w:lineRule="auto"/>
              <w:ind w:left="0" w:right="54" w:firstLine="0"/>
              <w:jc w:val="center"/>
            </w:pPr>
            <w:r>
              <w:rPr>
                <w:b/>
                <w:sz w:val="18"/>
              </w:rPr>
              <w:t>Aqueous</w:t>
            </w:r>
          </w:p>
        </w:tc>
        <w:tc>
          <w:tcPr>
            <w:tcW w:w="1701" w:type="dxa"/>
            <w:gridSpan w:val="2"/>
            <w:tcBorders>
              <w:top w:val="single" w:sz="12" w:space="0" w:color="000000"/>
              <w:left w:val="single" w:sz="12" w:space="0" w:color="000000"/>
              <w:bottom w:val="single" w:sz="12" w:space="0" w:color="000000"/>
              <w:right w:val="single" w:sz="12" w:space="0" w:color="000000"/>
            </w:tcBorders>
            <w:vAlign w:val="center"/>
          </w:tcPr>
          <w:p w14:paraId="6AFD5C5C" w14:textId="08834703" w:rsidR="00B56D50" w:rsidRDefault="001C3C42" w:rsidP="00D8025E">
            <w:pPr>
              <w:spacing w:after="0" w:line="259" w:lineRule="auto"/>
              <w:ind w:left="0" w:right="58" w:firstLine="0"/>
              <w:jc w:val="center"/>
            </w:pPr>
            <w:r>
              <w:rPr>
                <w:b/>
                <w:sz w:val="18"/>
              </w:rPr>
              <w:t>Soil/Sediment</w:t>
            </w:r>
          </w:p>
        </w:tc>
        <w:tc>
          <w:tcPr>
            <w:tcW w:w="1793" w:type="dxa"/>
            <w:gridSpan w:val="3"/>
            <w:tcBorders>
              <w:top w:val="single" w:sz="12" w:space="0" w:color="000000"/>
              <w:left w:val="single" w:sz="12" w:space="0" w:color="000000"/>
              <w:bottom w:val="single" w:sz="12" w:space="0" w:color="000000"/>
              <w:right w:val="single" w:sz="12" w:space="0" w:color="000000"/>
            </w:tcBorders>
            <w:vAlign w:val="center"/>
          </w:tcPr>
          <w:p w14:paraId="14CD19FB" w14:textId="2F47E9C6" w:rsidR="00B56D50" w:rsidRDefault="001C3C42" w:rsidP="00D8025E">
            <w:pPr>
              <w:spacing w:after="0" w:line="259" w:lineRule="auto"/>
              <w:ind w:left="0" w:right="48" w:firstLine="0"/>
              <w:jc w:val="center"/>
            </w:pPr>
            <w:r>
              <w:rPr>
                <w:b/>
                <w:sz w:val="18"/>
              </w:rPr>
              <w:t>Attachment/Table</w:t>
            </w:r>
          </w:p>
        </w:tc>
        <w:tc>
          <w:tcPr>
            <w:tcW w:w="1919" w:type="dxa"/>
            <w:gridSpan w:val="3"/>
            <w:vMerge w:val="restart"/>
            <w:tcBorders>
              <w:top w:val="single" w:sz="12" w:space="0" w:color="000000"/>
              <w:left w:val="single" w:sz="12" w:space="0" w:color="000000"/>
              <w:bottom w:val="single" w:sz="12" w:space="0" w:color="000000"/>
              <w:right w:val="single" w:sz="12" w:space="0" w:color="000000"/>
            </w:tcBorders>
            <w:vAlign w:val="center"/>
          </w:tcPr>
          <w:p w14:paraId="1B6A5CAC" w14:textId="74E026CB" w:rsidR="00B56D50" w:rsidRDefault="001C3C42" w:rsidP="00D8025E">
            <w:pPr>
              <w:spacing w:after="0" w:line="259" w:lineRule="auto"/>
              <w:ind w:left="0" w:right="50" w:firstLine="0"/>
              <w:jc w:val="center"/>
            </w:pPr>
            <w:r>
              <w:rPr>
                <w:b/>
                <w:sz w:val="18"/>
              </w:rPr>
              <w:t>Suggested Methods</w:t>
            </w:r>
          </w:p>
        </w:tc>
      </w:tr>
      <w:tr w:rsidR="00950E59" w14:paraId="48C15E3A" w14:textId="77777777" w:rsidTr="003073DA">
        <w:trPr>
          <w:trHeight w:val="271"/>
        </w:trPr>
        <w:tc>
          <w:tcPr>
            <w:tcW w:w="2725" w:type="dxa"/>
            <w:vMerge/>
            <w:tcBorders>
              <w:top w:val="nil"/>
              <w:left w:val="single" w:sz="12" w:space="0" w:color="000000"/>
              <w:bottom w:val="single" w:sz="12" w:space="0" w:color="000000"/>
              <w:right w:val="single" w:sz="12" w:space="0" w:color="000000"/>
            </w:tcBorders>
            <w:vAlign w:val="center"/>
          </w:tcPr>
          <w:p w14:paraId="5E8180AF" w14:textId="77777777" w:rsidR="00B56D50" w:rsidRDefault="00B56D50" w:rsidP="00D8025E">
            <w:pPr>
              <w:spacing w:after="160" w:line="259" w:lineRule="auto"/>
              <w:ind w:left="0" w:right="0" w:firstLine="0"/>
              <w:jc w:val="center"/>
            </w:pPr>
          </w:p>
        </w:tc>
        <w:tc>
          <w:tcPr>
            <w:tcW w:w="0" w:type="auto"/>
            <w:vMerge/>
            <w:tcBorders>
              <w:top w:val="nil"/>
              <w:left w:val="single" w:sz="12" w:space="0" w:color="000000"/>
              <w:bottom w:val="single" w:sz="12" w:space="0" w:color="000000"/>
              <w:right w:val="single" w:sz="12" w:space="0" w:color="000000"/>
            </w:tcBorders>
            <w:vAlign w:val="center"/>
          </w:tcPr>
          <w:p w14:paraId="2932A792" w14:textId="77777777" w:rsidR="00B56D50" w:rsidRDefault="00B56D50" w:rsidP="00D8025E">
            <w:pPr>
              <w:spacing w:after="160" w:line="259" w:lineRule="auto"/>
              <w:ind w:left="0" w:right="0" w:firstLine="0"/>
              <w:jc w:val="center"/>
            </w:pPr>
          </w:p>
        </w:tc>
        <w:tc>
          <w:tcPr>
            <w:tcW w:w="623" w:type="dxa"/>
            <w:tcBorders>
              <w:top w:val="single" w:sz="12" w:space="0" w:color="000000"/>
              <w:left w:val="single" w:sz="12" w:space="0" w:color="000000"/>
              <w:bottom w:val="single" w:sz="12" w:space="0" w:color="000000"/>
              <w:right w:val="single" w:sz="12" w:space="0" w:color="000000"/>
            </w:tcBorders>
            <w:vAlign w:val="center"/>
          </w:tcPr>
          <w:p w14:paraId="17535865" w14:textId="563D4017" w:rsidR="00B56D50" w:rsidRDefault="001C3C42" w:rsidP="00D8025E">
            <w:pPr>
              <w:spacing w:after="0" w:line="259" w:lineRule="auto"/>
              <w:ind w:left="118" w:right="0" w:firstLine="0"/>
              <w:jc w:val="center"/>
            </w:pPr>
            <w:r>
              <w:rPr>
                <w:b/>
                <w:sz w:val="18"/>
              </w:rPr>
              <w:t>RL</w:t>
            </w:r>
          </w:p>
        </w:tc>
        <w:tc>
          <w:tcPr>
            <w:tcW w:w="711" w:type="dxa"/>
            <w:tcBorders>
              <w:top w:val="single" w:sz="12" w:space="0" w:color="000000"/>
              <w:left w:val="single" w:sz="12" w:space="0" w:color="000000"/>
              <w:bottom w:val="single" w:sz="12" w:space="0" w:color="000000"/>
              <w:right w:val="single" w:sz="12" w:space="0" w:color="000000"/>
            </w:tcBorders>
            <w:vAlign w:val="center"/>
          </w:tcPr>
          <w:p w14:paraId="7372D1B0" w14:textId="06D0A66C" w:rsidR="00B56D50" w:rsidRDefault="001C3C42" w:rsidP="00D8025E">
            <w:pPr>
              <w:spacing w:after="0" w:line="259" w:lineRule="auto"/>
              <w:ind w:left="0" w:right="54" w:firstLine="0"/>
              <w:jc w:val="center"/>
            </w:pPr>
            <w:r>
              <w:rPr>
                <w:b/>
                <w:sz w:val="18"/>
              </w:rPr>
              <w:t>units</w:t>
            </w:r>
          </w:p>
        </w:tc>
        <w:tc>
          <w:tcPr>
            <w:tcW w:w="707" w:type="dxa"/>
            <w:tcBorders>
              <w:top w:val="single" w:sz="12" w:space="0" w:color="000000"/>
              <w:left w:val="single" w:sz="12" w:space="0" w:color="000000"/>
              <w:bottom w:val="single" w:sz="12" w:space="0" w:color="000000"/>
              <w:right w:val="single" w:sz="12" w:space="0" w:color="000000"/>
            </w:tcBorders>
            <w:vAlign w:val="center"/>
          </w:tcPr>
          <w:p w14:paraId="16E33338" w14:textId="0D8D3E93" w:rsidR="00B56D50" w:rsidRDefault="001C3C42" w:rsidP="00D8025E">
            <w:pPr>
              <w:spacing w:after="0" w:line="259" w:lineRule="auto"/>
              <w:ind w:left="0" w:right="53" w:firstLine="0"/>
              <w:jc w:val="center"/>
            </w:pPr>
            <w:r>
              <w:rPr>
                <w:b/>
                <w:sz w:val="18"/>
              </w:rPr>
              <w:t>RL</w:t>
            </w:r>
          </w:p>
        </w:tc>
        <w:tc>
          <w:tcPr>
            <w:tcW w:w="994" w:type="dxa"/>
            <w:tcBorders>
              <w:top w:val="single" w:sz="12" w:space="0" w:color="000000"/>
              <w:left w:val="single" w:sz="12" w:space="0" w:color="000000"/>
              <w:bottom w:val="single" w:sz="12" w:space="0" w:color="000000"/>
              <w:right w:val="single" w:sz="12" w:space="0" w:color="000000"/>
            </w:tcBorders>
            <w:vAlign w:val="center"/>
          </w:tcPr>
          <w:p w14:paraId="25309C93" w14:textId="7EA64FDC" w:rsidR="00B56D50" w:rsidRDefault="001C3C42" w:rsidP="00D8025E">
            <w:pPr>
              <w:spacing w:after="0" w:line="259" w:lineRule="auto"/>
              <w:ind w:left="0" w:right="57" w:firstLine="0"/>
              <w:jc w:val="center"/>
            </w:pPr>
            <w:r>
              <w:rPr>
                <w:b/>
                <w:sz w:val="18"/>
              </w:rPr>
              <w:t>units</w:t>
            </w:r>
          </w:p>
        </w:tc>
        <w:tc>
          <w:tcPr>
            <w:tcW w:w="633" w:type="dxa"/>
            <w:tcBorders>
              <w:top w:val="single" w:sz="12" w:space="0" w:color="000000"/>
              <w:left w:val="single" w:sz="12" w:space="0" w:color="000000"/>
              <w:bottom w:val="single" w:sz="12" w:space="0" w:color="000000"/>
              <w:right w:val="single" w:sz="12" w:space="0" w:color="000000"/>
            </w:tcBorders>
            <w:vAlign w:val="center"/>
          </w:tcPr>
          <w:p w14:paraId="54F373D7" w14:textId="4D52AF8B" w:rsidR="00B56D50" w:rsidRDefault="001C3C42" w:rsidP="00D8025E">
            <w:pPr>
              <w:spacing w:after="0" w:line="259" w:lineRule="auto"/>
              <w:ind w:left="72" w:right="0" w:firstLine="0"/>
              <w:jc w:val="center"/>
            </w:pPr>
            <w:r>
              <w:rPr>
                <w:b/>
                <w:sz w:val="18"/>
              </w:rPr>
              <w:t>VIII</w:t>
            </w:r>
          </w:p>
        </w:tc>
        <w:tc>
          <w:tcPr>
            <w:tcW w:w="542" w:type="dxa"/>
            <w:tcBorders>
              <w:top w:val="single" w:sz="12" w:space="0" w:color="000000"/>
              <w:left w:val="single" w:sz="12" w:space="0" w:color="000000"/>
              <w:bottom w:val="single" w:sz="12" w:space="0" w:color="000000"/>
              <w:right w:val="single" w:sz="12" w:space="0" w:color="000000"/>
            </w:tcBorders>
            <w:vAlign w:val="center"/>
          </w:tcPr>
          <w:p w14:paraId="1AAFE10A" w14:textId="782554D0" w:rsidR="00B56D50" w:rsidRDefault="001C3C42" w:rsidP="00D8025E">
            <w:pPr>
              <w:spacing w:after="0" w:line="259" w:lineRule="auto"/>
              <w:ind w:left="0" w:right="52" w:firstLine="0"/>
              <w:jc w:val="center"/>
            </w:pPr>
            <w:r>
              <w:rPr>
                <w:b/>
                <w:sz w:val="18"/>
              </w:rPr>
              <w:t>IX</w:t>
            </w:r>
          </w:p>
        </w:tc>
        <w:tc>
          <w:tcPr>
            <w:tcW w:w="618" w:type="dxa"/>
            <w:tcBorders>
              <w:top w:val="single" w:sz="12" w:space="0" w:color="000000"/>
              <w:left w:val="single" w:sz="12" w:space="0" w:color="000000"/>
              <w:bottom w:val="single" w:sz="12" w:space="0" w:color="000000"/>
              <w:right w:val="single" w:sz="12" w:space="0" w:color="000000"/>
            </w:tcBorders>
            <w:vAlign w:val="center"/>
          </w:tcPr>
          <w:p w14:paraId="6858FF9E" w14:textId="4B33B04A" w:rsidR="00B56D50" w:rsidRDefault="001C3C42" w:rsidP="00D8025E">
            <w:pPr>
              <w:spacing w:after="0" w:line="259" w:lineRule="auto"/>
              <w:ind w:left="0" w:right="54" w:firstLine="0"/>
              <w:jc w:val="center"/>
            </w:pPr>
            <w:r>
              <w:rPr>
                <w:b/>
                <w:sz w:val="18"/>
              </w:rPr>
              <w:t>2</w:t>
            </w:r>
          </w:p>
        </w:tc>
        <w:tc>
          <w:tcPr>
            <w:tcW w:w="1919" w:type="dxa"/>
            <w:gridSpan w:val="3"/>
            <w:vMerge/>
            <w:tcBorders>
              <w:top w:val="nil"/>
              <w:left w:val="single" w:sz="12" w:space="0" w:color="000000"/>
              <w:bottom w:val="single" w:sz="12" w:space="0" w:color="000000"/>
              <w:right w:val="single" w:sz="12" w:space="0" w:color="000000"/>
            </w:tcBorders>
            <w:vAlign w:val="center"/>
          </w:tcPr>
          <w:p w14:paraId="39533913" w14:textId="77777777" w:rsidR="00B56D50" w:rsidRDefault="00B56D50" w:rsidP="00D8025E">
            <w:pPr>
              <w:spacing w:after="160" w:line="259" w:lineRule="auto"/>
              <w:ind w:left="0" w:right="0" w:firstLine="0"/>
              <w:jc w:val="center"/>
            </w:pPr>
          </w:p>
        </w:tc>
      </w:tr>
      <w:tr w:rsidR="005B6604" w14:paraId="5C1C7D25" w14:textId="77777777" w:rsidTr="005B6604">
        <w:trPr>
          <w:trHeight w:val="233"/>
        </w:trPr>
        <w:tc>
          <w:tcPr>
            <w:tcW w:w="2725" w:type="dxa"/>
            <w:tcBorders>
              <w:top w:val="single" w:sz="12" w:space="0" w:color="000000"/>
              <w:left w:val="single" w:sz="12" w:space="0" w:color="000000"/>
              <w:bottom w:val="single" w:sz="4" w:space="0" w:color="000000"/>
              <w:right w:val="single" w:sz="12" w:space="0" w:color="000000"/>
            </w:tcBorders>
          </w:tcPr>
          <w:p w14:paraId="3D48A61F" w14:textId="6089FAF6" w:rsidR="00FC0D61" w:rsidRPr="00B464D2" w:rsidRDefault="00FC0D61" w:rsidP="00940C72">
            <w:pPr>
              <w:spacing w:after="0" w:line="240" w:lineRule="auto"/>
              <w:ind w:left="0" w:right="0" w:firstLine="0"/>
              <w:rPr>
                <w:sz w:val="18"/>
                <w:szCs w:val="18"/>
              </w:rPr>
            </w:pPr>
            <w:r w:rsidRPr="00B464D2">
              <w:rPr>
                <w:sz w:val="18"/>
                <w:szCs w:val="18"/>
              </w:rPr>
              <w:t>Butylate (</w:t>
            </w:r>
            <w:r w:rsidRPr="00B464D2">
              <w:rPr>
                <w:i/>
                <w:sz w:val="18"/>
                <w:szCs w:val="18"/>
              </w:rPr>
              <w:t>Sutan+)</w:t>
            </w:r>
          </w:p>
        </w:tc>
        <w:tc>
          <w:tcPr>
            <w:tcW w:w="1148" w:type="dxa"/>
            <w:tcBorders>
              <w:top w:val="single" w:sz="12" w:space="0" w:color="000000"/>
              <w:left w:val="single" w:sz="12" w:space="0" w:color="000000"/>
              <w:bottom w:val="single" w:sz="4" w:space="0" w:color="000000"/>
              <w:right w:val="single" w:sz="12" w:space="0" w:color="000000"/>
            </w:tcBorders>
          </w:tcPr>
          <w:p w14:paraId="2719BEF1" w14:textId="65734B18" w:rsidR="00FC0D61" w:rsidRPr="00B464D2" w:rsidRDefault="00FC0D61" w:rsidP="00042041">
            <w:pPr>
              <w:spacing w:after="0" w:line="240" w:lineRule="auto"/>
              <w:ind w:left="0" w:right="44" w:firstLine="0"/>
              <w:jc w:val="center"/>
              <w:rPr>
                <w:sz w:val="18"/>
                <w:szCs w:val="18"/>
              </w:rPr>
            </w:pPr>
            <w:r w:rsidRPr="00B464D2">
              <w:rPr>
                <w:sz w:val="18"/>
                <w:szCs w:val="18"/>
              </w:rPr>
              <w:t>2008-41-5</w:t>
            </w:r>
          </w:p>
        </w:tc>
        <w:tc>
          <w:tcPr>
            <w:tcW w:w="623" w:type="dxa"/>
            <w:tcBorders>
              <w:top w:val="single" w:sz="12" w:space="0" w:color="000000"/>
              <w:left w:val="single" w:sz="12" w:space="0" w:color="000000"/>
              <w:bottom w:val="single" w:sz="4" w:space="0" w:color="000000"/>
              <w:right w:val="single" w:sz="12" w:space="0" w:color="000000"/>
            </w:tcBorders>
          </w:tcPr>
          <w:p w14:paraId="21BEE890" w14:textId="1CEF40FC" w:rsidR="00FC0D61" w:rsidRPr="00B464D2" w:rsidRDefault="00FC0D61" w:rsidP="00042041">
            <w:pPr>
              <w:spacing w:after="0" w:line="240" w:lineRule="auto"/>
              <w:ind w:left="0" w:right="0" w:firstLine="0"/>
              <w:jc w:val="center"/>
              <w:rPr>
                <w:sz w:val="18"/>
                <w:szCs w:val="18"/>
              </w:rPr>
            </w:pPr>
            <w:r w:rsidRPr="00B464D2">
              <w:rPr>
                <w:sz w:val="18"/>
                <w:szCs w:val="18"/>
              </w:rPr>
              <w:t>10</w:t>
            </w:r>
          </w:p>
        </w:tc>
        <w:tc>
          <w:tcPr>
            <w:tcW w:w="711" w:type="dxa"/>
            <w:tcBorders>
              <w:top w:val="single" w:sz="12" w:space="0" w:color="000000"/>
              <w:left w:val="single" w:sz="12" w:space="0" w:color="000000"/>
              <w:bottom w:val="single" w:sz="4" w:space="0" w:color="000000"/>
              <w:right w:val="single" w:sz="12" w:space="0" w:color="000000"/>
            </w:tcBorders>
          </w:tcPr>
          <w:p w14:paraId="33EC9AF4" w14:textId="219CC350" w:rsidR="00FC0D61" w:rsidRPr="00B464D2" w:rsidRDefault="00FC0D61" w:rsidP="00042041">
            <w:pPr>
              <w:spacing w:after="0" w:line="240" w:lineRule="auto"/>
              <w:ind w:left="0" w:right="51" w:firstLine="0"/>
              <w:jc w:val="center"/>
              <w:rPr>
                <w:sz w:val="18"/>
                <w:szCs w:val="18"/>
              </w:rPr>
            </w:pPr>
            <w:r w:rsidRPr="00B464D2">
              <w:rPr>
                <w:sz w:val="18"/>
                <w:szCs w:val="18"/>
              </w:rPr>
              <w:t>ug/L</w:t>
            </w:r>
          </w:p>
        </w:tc>
        <w:tc>
          <w:tcPr>
            <w:tcW w:w="707" w:type="dxa"/>
            <w:tcBorders>
              <w:top w:val="single" w:sz="12" w:space="0" w:color="000000"/>
              <w:left w:val="single" w:sz="12" w:space="0" w:color="000000"/>
              <w:bottom w:val="single" w:sz="4" w:space="0" w:color="000000"/>
              <w:right w:val="single" w:sz="12" w:space="0" w:color="000000"/>
            </w:tcBorders>
          </w:tcPr>
          <w:p w14:paraId="170156CA" w14:textId="3D9584A7" w:rsidR="00FC0D61" w:rsidRPr="00B464D2" w:rsidRDefault="00FC0D61" w:rsidP="00042041">
            <w:pPr>
              <w:spacing w:after="0" w:line="240" w:lineRule="auto"/>
              <w:ind w:left="0" w:right="0" w:firstLine="0"/>
              <w:jc w:val="center"/>
              <w:rPr>
                <w:sz w:val="18"/>
                <w:szCs w:val="18"/>
              </w:rPr>
            </w:pPr>
            <w:r w:rsidRPr="00B464D2">
              <w:rPr>
                <w:sz w:val="18"/>
                <w:szCs w:val="18"/>
              </w:rPr>
              <w:t>660</w:t>
            </w:r>
          </w:p>
        </w:tc>
        <w:tc>
          <w:tcPr>
            <w:tcW w:w="994" w:type="dxa"/>
            <w:tcBorders>
              <w:top w:val="single" w:sz="12" w:space="0" w:color="000000"/>
              <w:left w:val="single" w:sz="12" w:space="0" w:color="000000"/>
              <w:bottom w:val="single" w:sz="4" w:space="0" w:color="000000"/>
              <w:right w:val="single" w:sz="12" w:space="0" w:color="000000"/>
            </w:tcBorders>
          </w:tcPr>
          <w:p w14:paraId="296B3630" w14:textId="2C0EDFF9" w:rsidR="00FC0D61" w:rsidRPr="00B464D2" w:rsidRDefault="00FC0D61" w:rsidP="00042041">
            <w:pPr>
              <w:spacing w:after="0" w:line="240" w:lineRule="auto"/>
              <w:ind w:left="0" w:right="49" w:firstLine="0"/>
              <w:jc w:val="center"/>
              <w:rPr>
                <w:sz w:val="18"/>
                <w:szCs w:val="18"/>
              </w:rPr>
            </w:pPr>
            <w:r w:rsidRPr="00B464D2">
              <w:rPr>
                <w:rFonts w:eastAsia="Segoe UI Symbol"/>
                <w:sz w:val="18"/>
                <w:szCs w:val="18"/>
              </w:rPr>
              <w:t>u</w:t>
            </w:r>
            <w:r w:rsidRPr="00B464D2">
              <w:rPr>
                <w:sz w:val="18"/>
                <w:szCs w:val="18"/>
              </w:rPr>
              <w:t>g/kg</w:t>
            </w:r>
          </w:p>
        </w:tc>
        <w:tc>
          <w:tcPr>
            <w:tcW w:w="633" w:type="dxa"/>
            <w:tcBorders>
              <w:top w:val="single" w:sz="12" w:space="0" w:color="000000"/>
              <w:left w:val="single" w:sz="12" w:space="0" w:color="000000"/>
              <w:bottom w:val="single" w:sz="4" w:space="0" w:color="000000"/>
              <w:right w:val="single" w:sz="12" w:space="0" w:color="000000"/>
            </w:tcBorders>
          </w:tcPr>
          <w:p w14:paraId="110A88C3" w14:textId="51B31D1C" w:rsidR="00FC0D61" w:rsidRPr="00B464D2" w:rsidRDefault="00FC0D61" w:rsidP="00042041">
            <w:pPr>
              <w:spacing w:after="0" w:line="240" w:lineRule="auto"/>
              <w:ind w:left="0" w:right="49" w:firstLine="0"/>
              <w:jc w:val="center"/>
              <w:rPr>
                <w:sz w:val="18"/>
                <w:szCs w:val="18"/>
              </w:rPr>
            </w:pPr>
            <w:r w:rsidRPr="00B464D2">
              <w:rPr>
                <w:sz w:val="18"/>
                <w:szCs w:val="18"/>
              </w:rPr>
              <w:t>X</w:t>
            </w:r>
          </w:p>
        </w:tc>
        <w:tc>
          <w:tcPr>
            <w:tcW w:w="542" w:type="dxa"/>
            <w:tcBorders>
              <w:top w:val="single" w:sz="12" w:space="0" w:color="000000"/>
              <w:left w:val="single" w:sz="12" w:space="0" w:color="000000"/>
              <w:bottom w:val="single" w:sz="4" w:space="0" w:color="000000"/>
              <w:right w:val="single" w:sz="12" w:space="0" w:color="000000"/>
            </w:tcBorders>
          </w:tcPr>
          <w:p w14:paraId="5C2D5297" w14:textId="5F70AA37" w:rsidR="00FC0D61" w:rsidRPr="00B464D2" w:rsidRDefault="00FC0D61" w:rsidP="00042041">
            <w:pPr>
              <w:spacing w:after="0" w:line="240" w:lineRule="auto"/>
              <w:ind w:left="0" w:right="5" w:firstLine="0"/>
              <w:jc w:val="center"/>
              <w:rPr>
                <w:sz w:val="18"/>
                <w:szCs w:val="18"/>
              </w:rPr>
            </w:pPr>
          </w:p>
        </w:tc>
        <w:tc>
          <w:tcPr>
            <w:tcW w:w="618" w:type="dxa"/>
            <w:tcBorders>
              <w:top w:val="single" w:sz="12" w:space="0" w:color="000000"/>
              <w:left w:val="single" w:sz="12" w:space="0" w:color="000000"/>
              <w:bottom w:val="single" w:sz="4" w:space="0" w:color="000000"/>
              <w:right w:val="single" w:sz="12" w:space="0" w:color="000000"/>
            </w:tcBorders>
          </w:tcPr>
          <w:p w14:paraId="51C65C12" w14:textId="003EE12B" w:rsidR="00FC0D61" w:rsidRPr="00B464D2" w:rsidRDefault="00FC0D61" w:rsidP="00042041">
            <w:pPr>
              <w:spacing w:after="0" w:line="240" w:lineRule="auto"/>
              <w:ind w:left="0" w:right="3" w:firstLine="0"/>
              <w:jc w:val="center"/>
              <w:rPr>
                <w:sz w:val="18"/>
                <w:szCs w:val="18"/>
              </w:rPr>
            </w:pPr>
          </w:p>
        </w:tc>
        <w:tc>
          <w:tcPr>
            <w:tcW w:w="709" w:type="dxa"/>
            <w:tcBorders>
              <w:top w:val="single" w:sz="12" w:space="0" w:color="000000"/>
              <w:left w:val="single" w:sz="12" w:space="0" w:color="000000"/>
              <w:bottom w:val="single" w:sz="4" w:space="0" w:color="000000"/>
              <w:right w:val="single" w:sz="12" w:space="0" w:color="000000"/>
            </w:tcBorders>
          </w:tcPr>
          <w:p w14:paraId="41C709FD" w14:textId="50D6AEB3" w:rsidR="00FC0D61" w:rsidRPr="00B464D2" w:rsidRDefault="00FC0D61" w:rsidP="00042041">
            <w:pPr>
              <w:spacing w:after="0" w:line="240" w:lineRule="auto"/>
              <w:ind w:left="0" w:right="46" w:firstLine="0"/>
              <w:jc w:val="center"/>
              <w:rPr>
                <w:sz w:val="18"/>
                <w:szCs w:val="18"/>
              </w:rPr>
            </w:pPr>
            <w:r w:rsidRPr="00B464D2">
              <w:rPr>
                <w:sz w:val="18"/>
                <w:szCs w:val="18"/>
              </w:rPr>
              <w:t>507</w:t>
            </w:r>
            <w:r w:rsidR="006A342B">
              <w:rPr>
                <w:sz w:val="18"/>
                <w:szCs w:val="18"/>
              </w:rPr>
              <w:t xml:space="preserve"> </w:t>
            </w:r>
            <w:r w:rsidRPr="0083502D">
              <w:rPr>
                <w:b/>
                <w:sz w:val="18"/>
                <w:szCs w:val="18"/>
                <w:vertAlign w:val="superscript"/>
              </w:rPr>
              <w:t>8</w:t>
            </w:r>
          </w:p>
        </w:tc>
        <w:tc>
          <w:tcPr>
            <w:tcW w:w="580" w:type="dxa"/>
            <w:tcBorders>
              <w:top w:val="single" w:sz="12" w:space="0" w:color="000000"/>
              <w:left w:val="single" w:sz="12" w:space="0" w:color="000000"/>
              <w:bottom w:val="single" w:sz="4" w:space="0" w:color="000000"/>
              <w:right w:val="single" w:sz="12" w:space="0" w:color="000000"/>
            </w:tcBorders>
          </w:tcPr>
          <w:p w14:paraId="0BD6F486" w14:textId="42A0260B" w:rsidR="00FC0D61" w:rsidRPr="00B464D2" w:rsidRDefault="00FC0D61" w:rsidP="00042041">
            <w:pPr>
              <w:spacing w:after="0" w:line="240" w:lineRule="auto"/>
              <w:ind w:left="0" w:right="49" w:firstLine="0"/>
              <w:jc w:val="center"/>
              <w:rPr>
                <w:sz w:val="18"/>
                <w:szCs w:val="18"/>
              </w:rPr>
            </w:pPr>
          </w:p>
        </w:tc>
        <w:tc>
          <w:tcPr>
            <w:tcW w:w="630" w:type="dxa"/>
            <w:tcBorders>
              <w:top w:val="single" w:sz="12" w:space="0" w:color="000000"/>
              <w:left w:val="single" w:sz="12" w:space="0" w:color="000000"/>
              <w:bottom w:val="single" w:sz="4" w:space="0" w:color="000000"/>
              <w:right w:val="single" w:sz="12" w:space="0" w:color="000000"/>
            </w:tcBorders>
          </w:tcPr>
          <w:p w14:paraId="506F6257" w14:textId="1CA2295E" w:rsidR="00FC0D61" w:rsidRPr="00B464D2" w:rsidRDefault="00FC0D61" w:rsidP="00042041">
            <w:pPr>
              <w:spacing w:after="0" w:line="240" w:lineRule="auto"/>
              <w:ind w:left="0" w:right="0" w:firstLine="0"/>
              <w:jc w:val="center"/>
              <w:rPr>
                <w:sz w:val="18"/>
                <w:szCs w:val="18"/>
              </w:rPr>
            </w:pPr>
            <w:r w:rsidRPr="00B464D2">
              <w:rPr>
                <w:sz w:val="18"/>
                <w:szCs w:val="18"/>
              </w:rPr>
              <w:t>525.2</w:t>
            </w:r>
            <w:r w:rsidR="006A342B">
              <w:rPr>
                <w:sz w:val="18"/>
                <w:szCs w:val="18"/>
              </w:rPr>
              <w:t xml:space="preserve"> </w:t>
            </w:r>
            <w:r w:rsidRPr="0083502D">
              <w:rPr>
                <w:b/>
                <w:sz w:val="18"/>
                <w:szCs w:val="18"/>
                <w:vertAlign w:val="superscript"/>
              </w:rPr>
              <w:t>8</w:t>
            </w:r>
          </w:p>
        </w:tc>
      </w:tr>
      <w:tr w:rsidR="005B6604" w14:paraId="1B2454C0" w14:textId="77777777" w:rsidTr="005B6604">
        <w:trPr>
          <w:trHeight w:val="235"/>
        </w:trPr>
        <w:tc>
          <w:tcPr>
            <w:tcW w:w="2725" w:type="dxa"/>
            <w:tcBorders>
              <w:top w:val="single" w:sz="4" w:space="0" w:color="000000"/>
              <w:left w:val="single" w:sz="12" w:space="0" w:color="000000"/>
              <w:bottom w:val="single" w:sz="4" w:space="0" w:color="000000"/>
              <w:right w:val="single" w:sz="12" w:space="0" w:color="000000"/>
            </w:tcBorders>
          </w:tcPr>
          <w:p w14:paraId="4BF9D09A" w14:textId="2C87E5FA" w:rsidR="00FC0D61" w:rsidRDefault="00FC0D61" w:rsidP="00940C72">
            <w:pPr>
              <w:spacing w:after="0" w:line="240" w:lineRule="auto"/>
              <w:ind w:left="0" w:right="0" w:firstLine="0"/>
            </w:pPr>
            <w:proofErr w:type="spellStart"/>
            <w:r>
              <w:rPr>
                <w:sz w:val="18"/>
              </w:rPr>
              <w:t>Cycloate</w:t>
            </w:r>
            <w:proofErr w:type="spellEnd"/>
            <w:r>
              <w:rPr>
                <w:sz w:val="18"/>
              </w:rPr>
              <w:t xml:space="preserve"> (</w:t>
            </w:r>
            <w:r>
              <w:rPr>
                <w:i/>
                <w:sz w:val="18"/>
              </w:rPr>
              <w:t xml:space="preserve">Ro-Neet) </w:t>
            </w:r>
          </w:p>
        </w:tc>
        <w:tc>
          <w:tcPr>
            <w:tcW w:w="1148" w:type="dxa"/>
            <w:tcBorders>
              <w:top w:val="single" w:sz="4" w:space="0" w:color="000000"/>
              <w:left w:val="single" w:sz="12" w:space="0" w:color="000000"/>
              <w:bottom w:val="single" w:sz="4" w:space="0" w:color="000000"/>
              <w:right w:val="single" w:sz="12" w:space="0" w:color="000000"/>
            </w:tcBorders>
          </w:tcPr>
          <w:p w14:paraId="49C48DD2" w14:textId="7C419E75" w:rsidR="00FC0D61" w:rsidRDefault="00FC0D61" w:rsidP="00940C72">
            <w:pPr>
              <w:spacing w:after="0" w:line="240" w:lineRule="auto"/>
              <w:ind w:left="0" w:right="44" w:firstLine="0"/>
              <w:jc w:val="center"/>
            </w:pPr>
            <w:r>
              <w:rPr>
                <w:sz w:val="18"/>
              </w:rPr>
              <w:t>1134-23-2</w:t>
            </w:r>
          </w:p>
        </w:tc>
        <w:tc>
          <w:tcPr>
            <w:tcW w:w="623" w:type="dxa"/>
            <w:tcBorders>
              <w:top w:val="single" w:sz="4" w:space="0" w:color="000000"/>
              <w:left w:val="single" w:sz="12" w:space="0" w:color="000000"/>
              <w:bottom w:val="single" w:sz="4" w:space="0" w:color="000000"/>
              <w:right w:val="single" w:sz="12" w:space="0" w:color="000000"/>
            </w:tcBorders>
          </w:tcPr>
          <w:p w14:paraId="14817E05" w14:textId="6274B216" w:rsidR="00FC0D61" w:rsidRDefault="00FC0D61" w:rsidP="00940C72">
            <w:pPr>
              <w:spacing w:after="0" w:line="240" w:lineRule="auto"/>
              <w:ind w:left="0" w:right="0" w:firstLine="0"/>
              <w:jc w:val="center"/>
            </w:pPr>
            <w:r>
              <w:rPr>
                <w:sz w:val="18"/>
              </w:rPr>
              <w:t>200</w:t>
            </w:r>
          </w:p>
        </w:tc>
        <w:tc>
          <w:tcPr>
            <w:tcW w:w="711" w:type="dxa"/>
            <w:tcBorders>
              <w:top w:val="single" w:sz="4" w:space="0" w:color="000000"/>
              <w:left w:val="single" w:sz="12" w:space="0" w:color="000000"/>
              <w:bottom w:val="single" w:sz="4" w:space="0" w:color="000000"/>
              <w:right w:val="single" w:sz="12" w:space="0" w:color="000000"/>
            </w:tcBorders>
          </w:tcPr>
          <w:p w14:paraId="46CC394B" w14:textId="31E0DA06" w:rsidR="00FC0D61" w:rsidRDefault="00FC0D61" w:rsidP="00940C72">
            <w:pPr>
              <w:spacing w:after="0" w:line="240" w:lineRule="auto"/>
              <w:ind w:left="0" w:right="51" w:firstLine="0"/>
              <w:jc w:val="center"/>
            </w:pPr>
            <w:r>
              <w:rPr>
                <w:sz w:val="18"/>
              </w:rPr>
              <w:t>ug/L</w:t>
            </w:r>
          </w:p>
        </w:tc>
        <w:tc>
          <w:tcPr>
            <w:tcW w:w="707" w:type="dxa"/>
            <w:tcBorders>
              <w:top w:val="single" w:sz="4" w:space="0" w:color="000000"/>
              <w:left w:val="single" w:sz="12" w:space="0" w:color="000000"/>
              <w:bottom w:val="single" w:sz="4" w:space="0" w:color="000000"/>
              <w:right w:val="single" w:sz="12" w:space="0" w:color="000000"/>
            </w:tcBorders>
          </w:tcPr>
          <w:p w14:paraId="23BEC3EC" w14:textId="1A18DE77" w:rsidR="00FC0D61" w:rsidRDefault="00FC0D61" w:rsidP="00940C72">
            <w:pPr>
              <w:spacing w:after="0" w:line="240" w:lineRule="auto"/>
              <w:ind w:left="0" w:right="0" w:firstLine="0"/>
              <w:jc w:val="center"/>
            </w:pPr>
            <w:r>
              <w:rPr>
                <w:sz w:val="18"/>
              </w:rPr>
              <w:t>1300</w:t>
            </w:r>
          </w:p>
        </w:tc>
        <w:tc>
          <w:tcPr>
            <w:tcW w:w="994" w:type="dxa"/>
            <w:tcBorders>
              <w:top w:val="single" w:sz="4" w:space="0" w:color="000000"/>
              <w:left w:val="single" w:sz="12" w:space="0" w:color="000000"/>
              <w:bottom w:val="single" w:sz="4" w:space="0" w:color="000000"/>
              <w:right w:val="single" w:sz="12" w:space="0" w:color="000000"/>
            </w:tcBorders>
          </w:tcPr>
          <w:p w14:paraId="686EE7C2" w14:textId="471B3D3E" w:rsidR="00FC0D61" w:rsidRDefault="00FC0D61" w:rsidP="00940C72">
            <w:pPr>
              <w:spacing w:after="0" w:line="240" w:lineRule="auto"/>
              <w:ind w:left="0" w:right="49" w:firstLine="0"/>
              <w:jc w:val="center"/>
            </w:pPr>
            <w:r>
              <w:rPr>
                <w:rFonts w:eastAsia="Segoe UI Symbol"/>
                <w:sz w:val="18"/>
              </w:rPr>
              <w:t>u</w:t>
            </w:r>
            <w:r>
              <w:rPr>
                <w:sz w:val="18"/>
              </w:rPr>
              <w:t>g/kg</w:t>
            </w:r>
          </w:p>
        </w:tc>
        <w:tc>
          <w:tcPr>
            <w:tcW w:w="633" w:type="dxa"/>
            <w:tcBorders>
              <w:top w:val="single" w:sz="4" w:space="0" w:color="000000"/>
              <w:left w:val="single" w:sz="12" w:space="0" w:color="000000"/>
              <w:bottom w:val="single" w:sz="4" w:space="0" w:color="000000"/>
              <w:right w:val="single" w:sz="12" w:space="0" w:color="000000"/>
            </w:tcBorders>
          </w:tcPr>
          <w:p w14:paraId="01BDF212" w14:textId="7B094E55" w:rsidR="00FC0D61" w:rsidRDefault="00FC0D61" w:rsidP="00940C72">
            <w:pPr>
              <w:spacing w:after="0" w:line="240" w:lineRule="auto"/>
              <w:ind w:left="0" w:right="49" w:firstLine="0"/>
              <w:jc w:val="center"/>
            </w:pPr>
            <w:r>
              <w:rPr>
                <w:sz w:val="18"/>
              </w:rPr>
              <w:t>X</w:t>
            </w:r>
          </w:p>
        </w:tc>
        <w:tc>
          <w:tcPr>
            <w:tcW w:w="542" w:type="dxa"/>
            <w:tcBorders>
              <w:top w:val="single" w:sz="4" w:space="0" w:color="000000"/>
              <w:left w:val="single" w:sz="12" w:space="0" w:color="000000"/>
              <w:bottom w:val="single" w:sz="4" w:space="0" w:color="000000"/>
              <w:right w:val="single" w:sz="12" w:space="0" w:color="000000"/>
            </w:tcBorders>
          </w:tcPr>
          <w:p w14:paraId="6EFC41ED" w14:textId="2F0F18C7" w:rsidR="00FC0D61" w:rsidRDefault="00FC0D61" w:rsidP="00940C72">
            <w:pPr>
              <w:spacing w:after="0" w:line="240" w:lineRule="auto"/>
              <w:ind w:left="0" w:right="5" w:firstLine="0"/>
              <w:jc w:val="center"/>
            </w:pPr>
          </w:p>
        </w:tc>
        <w:tc>
          <w:tcPr>
            <w:tcW w:w="618" w:type="dxa"/>
            <w:tcBorders>
              <w:top w:val="single" w:sz="4" w:space="0" w:color="000000"/>
              <w:left w:val="single" w:sz="12" w:space="0" w:color="000000"/>
              <w:bottom w:val="single" w:sz="4" w:space="0" w:color="000000"/>
              <w:right w:val="single" w:sz="12" w:space="0" w:color="000000"/>
            </w:tcBorders>
          </w:tcPr>
          <w:p w14:paraId="5E7A1370" w14:textId="7136548B" w:rsidR="00FC0D61" w:rsidRDefault="00FC0D61" w:rsidP="00940C72">
            <w:pPr>
              <w:spacing w:after="0" w:line="240" w:lineRule="auto"/>
              <w:ind w:left="0" w:right="3" w:firstLine="0"/>
              <w:jc w:val="center"/>
            </w:pPr>
          </w:p>
        </w:tc>
        <w:tc>
          <w:tcPr>
            <w:tcW w:w="709" w:type="dxa"/>
            <w:tcBorders>
              <w:top w:val="single" w:sz="4" w:space="0" w:color="000000"/>
              <w:left w:val="single" w:sz="12" w:space="0" w:color="000000"/>
              <w:bottom w:val="single" w:sz="4" w:space="0" w:color="000000"/>
              <w:right w:val="single" w:sz="12" w:space="0" w:color="000000"/>
            </w:tcBorders>
          </w:tcPr>
          <w:p w14:paraId="0C48A7A7" w14:textId="1955B799" w:rsidR="00FC0D61" w:rsidRDefault="00FC0D61" w:rsidP="00940C72">
            <w:pPr>
              <w:spacing w:after="0" w:line="240" w:lineRule="auto"/>
              <w:ind w:left="0" w:right="46" w:firstLine="0"/>
              <w:jc w:val="center"/>
            </w:pPr>
            <w:r>
              <w:rPr>
                <w:sz w:val="18"/>
              </w:rPr>
              <w:t>507</w:t>
            </w:r>
            <w:r w:rsidR="006A342B">
              <w:rPr>
                <w:sz w:val="18"/>
              </w:rPr>
              <w:t xml:space="preserve"> </w:t>
            </w:r>
            <w:r w:rsidRPr="0083502D">
              <w:rPr>
                <w:b/>
                <w:sz w:val="18"/>
                <w:vertAlign w:val="superscript"/>
              </w:rPr>
              <w:t>8</w:t>
            </w:r>
          </w:p>
        </w:tc>
        <w:tc>
          <w:tcPr>
            <w:tcW w:w="580" w:type="dxa"/>
            <w:tcBorders>
              <w:top w:val="single" w:sz="4" w:space="0" w:color="000000"/>
              <w:left w:val="single" w:sz="12" w:space="0" w:color="000000"/>
              <w:bottom w:val="single" w:sz="4" w:space="0" w:color="000000"/>
              <w:right w:val="single" w:sz="12" w:space="0" w:color="000000"/>
            </w:tcBorders>
          </w:tcPr>
          <w:p w14:paraId="5A545DB9" w14:textId="279E3C76" w:rsidR="00FC0D61" w:rsidRDefault="00FC0D61" w:rsidP="00940C72">
            <w:pPr>
              <w:spacing w:after="0" w:line="240" w:lineRule="auto"/>
              <w:ind w:left="0" w:right="49" w:firstLine="0"/>
              <w:jc w:val="center"/>
            </w:pPr>
          </w:p>
        </w:tc>
        <w:tc>
          <w:tcPr>
            <w:tcW w:w="630" w:type="dxa"/>
            <w:tcBorders>
              <w:top w:val="single" w:sz="4" w:space="0" w:color="000000"/>
              <w:left w:val="single" w:sz="12" w:space="0" w:color="000000"/>
              <w:bottom w:val="single" w:sz="4" w:space="0" w:color="000000"/>
              <w:right w:val="single" w:sz="12" w:space="0" w:color="000000"/>
            </w:tcBorders>
          </w:tcPr>
          <w:p w14:paraId="719C7AEA" w14:textId="1419B9A4" w:rsidR="00FC0D61" w:rsidRDefault="00FC0D61" w:rsidP="00940C72">
            <w:pPr>
              <w:spacing w:after="0" w:line="240" w:lineRule="auto"/>
              <w:ind w:left="0" w:right="0" w:firstLine="0"/>
              <w:jc w:val="center"/>
            </w:pPr>
            <w:r>
              <w:rPr>
                <w:sz w:val="18"/>
              </w:rPr>
              <w:t>525.2</w:t>
            </w:r>
            <w:r w:rsidR="006A342B">
              <w:rPr>
                <w:sz w:val="18"/>
              </w:rPr>
              <w:t xml:space="preserve"> </w:t>
            </w:r>
            <w:r w:rsidRPr="0083502D">
              <w:rPr>
                <w:b/>
                <w:sz w:val="18"/>
                <w:vertAlign w:val="superscript"/>
              </w:rPr>
              <w:t>8</w:t>
            </w:r>
          </w:p>
        </w:tc>
      </w:tr>
      <w:tr w:rsidR="005B6604" w14:paraId="2B5C0192" w14:textId="77777777" w:rsidTr="005B6604">
        <w:trPr>
          <w:trHeight w:val="250"/>
        </w:trPr>
        <w:tc>
          <w:tcPr>
            <w:tcW w:w="2725" w:type="dxa"/>
            <w:tcBorders>
              <w:top w:val="single" w:sz="4" w:space="0" w:color="000000"/>
              <w:left w:val="single" w:sz="12" w:space="0" w:color="000000"/>
              <w:bottom w:val="single" w:sz="4" w:space="0" w:color="000000"/>
              <w:right w:val="single" w:sz="12" w:space="0" w:color="000000"/>
            </w:tcBorders>
          </w:tcPr>
          <w:p w14:paraId="5BD41966" w14:textId="507ECF65" w:rsidR="00FC0D61" w:rsidRDefault="00FC0D61" w:rsidP="00940C72">
            <w:pPr>
              <w:spacing w:after="0" w:line="240" w:lineRule="auto"/>
              <w:ind w:left="0" w:right="0" w:firstLine="0"/>
            </w:pPr>
            <w:r>
              <w:rPr>
                <w:sz w:val="18"/>
              </w:rPr>
              <w:t>EPTC (</w:t>
            </w:r>
            <w:proofErr w:type="spellStart"/>
            <w:r>
              <w:rPr>
                <w:i/>
                <w:sz w:val="18"/>
              </w:rPr>
              <w:t>Eradicane</w:t>
            </w:r>
            <w:proofErr w:type="spellEnd"/>
            <w:r>
              <w:rPr>
                <w:i/>
                <w:sz w:val="18"/>
              </w:rPr>
              <w:t xml:space="preserve">) </w:t>
            </w:r>
          </w:p>
        </w:tc>
        <w:tc>
          <w:tcPr>
            <w:tcW w:w="1148" w:type="dxa"/>
            <w:tcBorders>
              <w:top w:val="single" w:sz="4" w:space="0" w:color="000000"/>
              <w:left w:val="single" w:sz="12" w:space="0" w:color="000000"/>
              <w:bottom w:val="single" w:sz="4" w:space="0" w:color="000000"/>
              <w:right w:val="single" w:sz="12" w:space="0" w:color="000000"/>
            </w:tcBorders>
          </w:tcPr>
          <w:p w14:paraId="72DF3B1D" w14:textId="2F23937D" w:rsidR="00FC0D61" w:rsidRDefault="00FC0D61" w:rsidP="00940C72">
            <w:pPr>
              <w:spacing w:after="0" w:line="240" w:lineRule="auto"/>
              <w:ind w:left="0" w:right="44" w:firstLine="0"/>
              <w:jc w:val="center"/>
            </w:pPr>
            <w:r>
              <w:rPr>
                <w:sz w:val="18"/>
              </w:rPr>
              <w:t>759-94-4</w:t>
            </w:r>
          </w:p>
        </w:tc>
        <w:tc>
          <w:tcPr>
            <w:tcW w:w="623" w:type="dxa"/>
            <w:tcBorders>
              <w:top w:val="single" w:sz="4" w:space="0" w:color="000000"/>
              <w:left w:val="single" w:sz="12" w:space="0" w:color="000000"/>
              <w:bottom w:val="single" w:sz="4" w:space="0" w:color="000000"/>
              <w:right w:val="single" w:sz="12" w:space="0" w:color="000000"/>
            </w:tcBorders>
          </w:tcPr>
          <w:p w14:paraId="78EBB84D" w14:textId="1590DE0D" w:rsidR="00FC0D61" w:rsidRDefault="00FC0D61" w:rsidP="00940C72">
            <w:pPr>
              <w:spacing w:after="0" w:line="240" w:lineRule="auto"/>
              <w:ind w:left="0" w:right="0" w:firstLine="0"/>
              <w:jc w:val="center"/>
            </w:pPr>
            <w:r>
              <w:rPr>
                <w:sz w:val="18"/>
              </w:rPr>
              <w:t>10</w:t>
            </w:r>
          </w:p>
        </w:tc>
        <w:tc>
          <w:tcPr>
            <w:tcW w:w="711" w:type="dxa"/>
            <w:tcBorders>
              <w:top w:val="single" w:sz="4" w:space="0" w:color="000000"/>
              <w:left w:val="single" w:sz="12" w:space="0" w:color="000000"/>
              <w:bottom w:val="single" w:sz="4" w:space="0" w:color="000000"/>
              <w:right w:val="single" w:sz="12" w:space="0" w:color="000000"/>
            </w:tcBorders>
          </w:tcPr>
          <w:p w14:paraId="060A4A0D" w14:textId="71A351E5" w:rsidR="00FC0D61" w:rsidRDefault="00FC0D61" w:rsidP="00940C72">
            <w:pPr>
              <w:spacing w:after="0" w:line="240" w:lineRule="auto"/>
              <w:ind w:left="0" w:right="51" w:firstLine="0"/>
              <w:jc w:val="center"/>
            </w:pPr>
            <w:r>
              <w:rPr>
                <w:sz w:val="18"/>
              </w:rPr>
              <w:t>ug/L</w:t>
            </w:r>
          </w:p>
        </w:tc>
        <w:tc>
          <w:tcPr>
            <w:tcW w:w="707" w:type="dxa"/>
            <w:tcBorders>
              <w:top w:val="single" w:sz="4" w:space="0" w:color="000000"/>
              <w:left w:val="single" w:sz="12" w:space="0" w:color="000000"/>
              <w:bottom w:val="single" w:sz="4" w:space="0" w:color="000000"/>
              <w:right w:val="single" w:sz="12" w:space="0" w:color="000000"/>
            </w:tcBorders>
          </w:tcPr>
          <w:p w14:paraId="53C793BD" w14:textId="37B3EFFB" w:rsidR="00FC0D61" w:rsidRDefault="00FC0D61" w:rsidP="00940C72">
            <w:pPr>
              <w:spacing w:after="0" w:line="240" w:lineRule="auto"/>
              <w:ind w:left="0" w:right="0" w:firstLine="0"/>
              <w:jc w:val="center"/>
            </w:pPr>
            <w:r>
              <w:rPr>
                <w:sz w:val="18"/>
              </w:rPr>
              <w:t>660</w:t>
            </w:r>
          </w:p>
        </w:tc>
        <w:tc>
          <w:tcPr>
            <w:tcW w:w="994" w:type="dxa"/>
            <w:tcBorders>
              <w:top w:val="single" w:sz="4" w:space="0" w:color="000000"/>
              <w:left w:val="single" w:sz="12" w:space="0" w:color="000000"/>
              <w:bottom w:val="single" w:sz="4" w:space="0" w:color="000000"/>
              <w:right w:val="single" w:sz="12" w:space="0" w:color="000000"/>
            </w:tcBorders>
          </w:tcPr>
          <w:p w14:paraId="2A7B8A49" w14:textId="0D0A3C50" w:rsidR="00FC0D61" w:rsidRDefault="00FC0D61" w:rsidP="00940C72">
            <w:pPr>
              <w:spacing w:after="0" w:line="240" w:lineRule="auto"/>
              <w:ind w:left="0" w:right="49" w:firstLine="0"/>
              <w:jc w:val="center"/>
            </w:pPr>
            <w:r>
              <w:rPr>
                <w:rFonts w:eastAsia="Segoe UI Symbol"/>
                <w:sz w:val="18"/>
              </w:rPr>
              <w:t>u</w:t>
            </w:r>
            <w:r>
              <w:rPr>
                <w:sz w:val="18"/>
              </w:rPr>
              <w:t>g/kg</w:t>
            </w:r>
          </w:p>
        </w:tc>
        <w:tc>
          <w:tcPr>
            <w:tcW w:w="633" w:type="dxa"/>
            <w:tcBorders>
              <w:top w:val="single" w:sz="4" w:space="0" w:color="000000"/>
              <w:left w:val="single" w:sz="12" w:space="0" w:color="000000"/>
              <w:bottom w:val="single" w:sz="4" w:space="0" w:color="000000"/>
              <w:right w:val="single" w:sz="12" w:space="0" w:color="000000"/>
            </w:tcBorders>
          </w:tcPr>
          <w:p w14:paraId="6074D714" w14:textId="5CB89184" w:rsidR="00FC0D61" w:rsidRDefault="00FC0D61" w:rsidP="00940C72">
            <w:pPr>
              <w:spacing w:after="0" w:line="240" w:lineRule="auto"/>
              <w:ind w:left="0" w:right="49" w:firstLine="0"/>
              <w:jc w:val="center"/>
            </w:pPr>
            <w:r>
              <w:rPr>
                <w:sz w:val="18"/>
              </w:rPr>
              <w:t>X</w:t>
            </w:r>
          </w:p>
        </w:tc>
        <w:tc>
          <w:tcPr>
            <w:tcW w:w="542" w:type="dxa"/>
            <w:tcBorders>
              <w:top w:val="single" w:sz="4" w:space="0" w:color="000000"/>
              <w:left w:val="single" w:sz="12" w:space="0" w:color="000000"/>
              <w:bottom w:val="single" w:sz="4" w:space="0" w:color="000000"/>
              <w:right w:val="single" w:sz="12" w:space="0" w:color="000000"/>
            </w:tcBorders>
          </w:tcPr>
          <w:p w14:paraId="7D6BFBD2" w14:textId="2FB36798" w:rsidR="00FC0D61" w:rsidRDefault="00FC0D61" w:rsidP="00940C72">
            <w:pPr>
              <w:spacing w:after="0" w:line="240" w:lineRule="auto"/>
              <w:ind w:left="0" w:right="5" w:firstLine="0"/>
              <w:jc w:val="center"/>
            </w:pPr>
          </w:p>
        </w:tc>
        <w:tc>
          <w:tcPr>
            <w:tcW w:w="618" w:type="dxa"/>
            <w:tcBorders>
              <w:top w:val="single" w:sz="4" w:space="0" w:color="000000"/>
              <w:left w:val="single" w:sz="12" w:space="0" w:color="000000"/>
              <w:bottom w:val="single" w:sz="4" w:space="0" w:color="000000"/>
              <w:right w:val="single" w:sz="12" w:space="0" w:color="000000"/>
            </w:tcBorders>
          </w:tcPr>
          <w:p w14:paraId="32A89429" w14:textId="109A089D" w:rsidR="00FC0D61" w:rsidRDefault="00FC0D61" w:rsidP="00940C72">
            <w:pPr>
              <w:spacing w:after="0" w:line="240" w:lineRule="auto"/>
              <w:ind w:left="0" w:right="3" w:firstLine="0"/>
              <w:jc w:val="center"/>
            </w:pPr>
          </w:p>
        </w:tc>
        <w:tc>
          <w:tcPr>
            <w:tcW w:w="709" w:type="dxa"/>
            <w:tcBorders>
              <w:top w:val="single" w:sz="4" w:space="0" w:color="000000"/>
              <w:left w:val="single" w:sz="12" w:space="0" w:color="000000"/>
              <w:bottom w:val="single" w:sz="4" w:space="0" w:color="000000"/>
              <w:right w:val="single" w:sz="12" w:space="0" w:color="000000"/>
            </w:tcBorders>
          </w:tcPr>
          <w:p w14:paraId="0848BFE4" w14:textId="08712D85" w:rsidR="00FC0D61" w:rsidRDefault="00FC0D61" w:rsidP="00940C72">
            <w:pPr>
              <w:spacing w:after="0" w:line="240" w:lineRule="auto"/>
              <w:ind w:left="0" w:right="46" w:firstLine="0"/>
              <w:jc w:val="center"/>
            </w:pPr>
            <w:r>
              <w:rPr>
                <w:sz w:val="18"/>
              </w:rPr>
              <w:t>507</w:t>
            </w:r>
            <w:r w:rsidR="006A342B">
              <w:rPr>
                <w:sz w:val="18"/>
              </w:rPr>
              <w:t xml:space="preserve"> </w:t>
            </w:r>
            <w:r w:rsidRPr="0083502D">
              <w:rPr>
                <w:b/>
                <w:sz w:val="18"/>
                <w:vertAlign w:val="superscript"/>
              </w:rPr>
              <w:t>8</w:t>
            </w:r>
          </w:p>
        </w:tc>
        <w:tc>
          <w:tcPr>
            <w:tcW w:w="580" w:type="dxa"/>
            <w:tcBorders>
              <w:top w:val="single" w:sz="4" w:space="0" w:color="000000"/>
              <w:left w:val="single" w:sz="12" w:space="0" w:color="000000"/>
              <w:bottom w:val="single" w:sz="4" w:space="0" w:color="000000"/>
              <w:right w:val="single" w:sz="12" w:space="0" w:color="000000"/>
            </w:tcBorders>
          </w:tcPr>
          <w:p w14:paraId="69F63CE2" w14:textId="133910AF" w:rsidR="00FC0D61" w:rsidRDefault="00FC0D61" w:rsidP="00940C72">
            <w:pPr>
              <w:spacing w:after="0" w:line="240" w:lineRule="auto"/>
              <w:ind w:left="0" w:right="49" w:firstLine="0"/>
              <w:jc w:val="center"/>
            </w:pPr>
          </w:p>
        </w:tc>
        <w:tc>
          <w:tcPr>
            <w:tcW w:w="630" w:type="dxa"/>
            <w:tcBorders>
              <w:top w:val="single" w:sz="4" w:space="0" w:color="000000"/>
              <w:left w:val="single" w:sz="12" w:space="0" w:color="000000"/>
              <w:bottom w:val="single" w:sz="4" w:space="0" w:color="000000"/>
              <w:right w:val="single" w:sz="12" w:space="0" w:color="000000"/>
            </w:tcBorders>
          </w:tcPr>
          <w:p w14:paraId="268A86A4" w14:textId="39F38EC9" w:rsidR="00FC0D61" w:rsidRDefault="00FC0D61" w:rsidP="00940C72">
            <w:pPr>
              <w:spacing w:after="0" w:line="240" w:lineRule="auto"/>
              <w:ind w:left="0" w:right="0" w:firstLine="0"/>
              <w:jc w:val="center"/>
            </w:pPr>
            <w:r>
              <w:rPr>
                <w:sz w:val="18"/>
              </w:rPr>
              <w:t>525.2</w:t>
            </w:r>
            <w:r w:rsidR="006A342B">
              <w:rPr>
                <w:sz w:val="18"/>
              </w:rPr>
              <w:t xml:space="preserve"> </w:t>
            </w:r>
            <w:r w:rsidRPr="0083502D">
              <w:rPr>
                <w:b/>
                <w:sz w:val="18"/>
                <w:vertAlign w:val="superscript"/>
              </w:rPr>
              <w:t>8</w:t>
            </w:r>
          </w:p>
        </w:tc>
      </w:tr>
      <w:tr w:rsidR="005B6604" w14:paraId="0D1D9F75" w14:textId="77777777" w:rsidTr="005B6604">
        <w:trPr>
          <w:trHeight w:val="250"/>
        </w:trPr>
        <w:tc>
          <w:tcPr>
            <w:tcW w:w="2725" w:type="dxa"/>
            <w:tcBorders>
              <w:top w:val="single" w:sz="4" w:space="0" w:color="000000"/>
              <w:left w:val="single" w:sz="12" w:space="0" w:color="000000"/>
              <w:bottom w:val="single" w:sz="4" w:space="0" w:color="000000"/>
              <w:right w:val="single" w:sz="12" w:space="0" w:color="000000"/>
            </w:tcBorders>
          </w:tcPr>
          <w:p w14:paraId="03B4F62A" w14:textId="6030F967" w:rsidR="00FC0D61" w:rsidRDefault="00FC0D61" w:rsidP="00940C72">
            <w:pPr>
              <w:spacing w:after="0" w:line="240" w:lineRule="auto"/>
              <w:ind w:left="0" w:right="0" w:firstLine="0"/>
            </w:pPr>
            <w:proofErr w:type="spellStart"/>
            <w:r>
              <w:rPr>
                <w:sz w:val="18"/>
              </w:rPr>
              <w:t>Molinate</w:t>
            </w:r>
            <w:proofErr w:type="spellEnd"/>
            <w:r>
              <w:rPr>
                <w:sz w:val="18"/>
              </w:rPr>
              <w:t xml:space="preserve"> (</w:t>
            </w:r>
            <w:proofErr w:type="spellStart"/>
            <w:r>
              <w:rPr>
                <w:i/>
                <w:sz w:val="18"/>
              </w:rPr>
              <w:t>Ordram</w:t>
            </w:r>
            <w:proofErr w:type="spellEnd"/>
            <w:r>
              <w:rPr>
                <w:i/>
                <w:sz w:val="18"/>
              </w:rPr>
              <w:t xml:space="preserve">) </w:t>
            </w:r>
          </w:p>
        </w:tc>
        <w:tc>
          <w:tcPr>
            <w:tcW w:w="1148" w:type="dxa"/>
            <w:tcBorders>
              <w:top w:val="single" w:sz="4" w:space="0" w:color="000000"/>
              <w:left w:val="single" w:sz="12" w:space="0" w:color="000000"/>
              <w:bottom w:val="single" w:sz="4" w:space="0" w:color="000000"/>
              <w:right w:val="single" w:sz="12" w:space="0" w:color="000000"/>
            </w:tcBorders>
          </w:tcPr>
          <w:p w14:paraId="50545E9B" w14:textId="5DCD4C65" w:rsidR="00FC0D61" w:rsidRDefault="00FC0D61" w:rsidP="00940C72">
            <w:pPr>
              <w:spacing w:after="0" w:line="240" w:lineRule="auto"/>
              <w:ind w:left="0" w:right="44" w:firstLine="0"/>
              <w:jc w:val="center"/>
            </w:pPr>
            <w:r>
              <w:rPr>
                <w:sz w:val="18"/>
              </w:rPr>
              <w:t>2212-67-1</w:t>
            </w:r>
          </w:p>
        </w:tc>
        <w:tc>
          <w:tcPr>
            <w:tcW w:w="623" w:type="dxa"/>
            <w:tcBorders>
              <w:top w:val="single" w:sz="4" w:space="0" w:color="000000"/>
              <w:left w:val="single" w:sz="12" w:space="0" w:color="000000"/>
              <w:bottom w:val="single" w:sz="4" w:space="0" w:color="000000"/>
              <w:right w:val="single" w:sz="12" w:space="0" w:color="000000"/>
            </w:tcBorders>
          </w:tcPr>
          <w:p w14:paraId="4FBE46BC" w14:textId="0A648406" w:rsidR="00FC0D61" w:rsidRDefault="00FC0D61" w:rsidP="00940C72">
            <w:pPr>
              <w:spacing w:after="0" w:line="240" w:lineRule="auto"/>
              <w:ind w:left="0" w:right="0" w:firstLine="0"/>
              <w:jc w:val="center"/>
            </w:pPr>
            <w:r>
              <w:rPr>
                <w:sz w:val="18"/>
              </w:rPr>
              <w:t>10</w:t>
            </w:r>
          </w:p>
        </w:tc>
        <w:tc>
          <w:tcPr>
            <w:tcW w:w="711" w:type="dxa"/>
            <w:tcBorders>
              <w:top w:val="single" w:sz="4" w:space="0" w:color="000000"/>
              <w:left w:val="single" w:sz="12" w:space="0" w:color="000000"/>
              <w:bottom w:val="single" w:sz="4" w:space="0" w:color="000000"/>
              <w:right w:val="single" w:sz="12" w:space="0" w:color="000000"/>
            </w:tcBorders>
          </w:tcPr>
          <w:p w14:paraId="51AC7FC0" w14:textId="4D29A2A3" w:rsidR="00FC0D61" w:rsidRDefault="00FC0D61" w:rsidP="00940C72">
            <w:pPr>
              <w:spacing w:after="0" w:line="240" w:lineRule="auto"/>
              <w:ind w:left="0" w:right="51" w:firstLine="0"/>
              <w:jc w:val="center"/>
            </w:pPr>
            <w:r>
              <w:rPr>
                <w:sz w:val="18"/>
              </w:rPr>
              <w:t>ug/L</w:t>
            </w:r>
          </w:p>
        </w:tc>
        <w:tc>
          <w:tcPr>
            <w:tcW w:w="707" w:type="dxa"/>
            <w:tcBorders>
              <w:top w:val="single" w:sz="4" w:space="0" w:color="000000"/>
              <w:left w:val="single" w:sz="12" w:space="0" w:color="000000"/>
              <w:bottom w:val="single" w:sz="4" w:space="0" w:color="000000"/>
              <w:right w:val="single" w:sz="12" w:space="0" w:color="000000"/>
            </w:tcBorders>
          </w:tcPr>
          <w:p w14:paraId="61ADC057" w14:textId="2E659F2B" w:rsidR="00FC0D61" w:rsidRDefault="00FC0D61" w:rsidP="00940C72">
            <w:pPr>
              <w:spacing w:after="0" w:line="240" w:lineRule="auto"/>
              <w:ind w:left="0" w:right="0" w:firstLine="0"/>
              <w:jc w:val="center"/>
            </w:pPr>
            <w:r>
              <w:rPr>
                <w:sz w:val="18"/>
              </w:rPr>
              <w:t>660</w:t>
            </w:r>
          </w:p>
        </w:tc>
        <w:tc>
          <w:tcPr>
            <w:tcW w:w="994" w:type="dxa"/>
            <w:tcBorders>
              <w:top w:val="single" w:sz="4" w:space="0" w:color="000000"/>
              <w:left w:val="single" w:sz="12" w:space="0" w:color="000000"/>
              <w:bottom w:val="single" w:sz="4" w:space="0" w:color="000000"/>
              <w:right w:val="single" w:sz="12" w:space="0" w:color="000000"/>
            </w:tcBorders>
          </w:tcPr>
          <w:p w14:paraId="61B8B068" w14:textId="3B021673" w:rsidR="00FC0D61" w:rsidRDefault="00FC0D61" w:rsidP="00940C72">
            <w:pPr>
              <w:spacing w:after="0" w:line="240" w:lineRule="auto"/>
              <w:ind w:left="0" w:right="49" w:firstLine="0"/>
              <w:jc w:val="center"/>
            </w:pPr>
            <w:r>
              <w:rPr>
                <w:rFonts w:eastAsia="Segoe UI Symbol"/>
                <w:sz w:val="18"/>
              </w:rPr>
              <w:t>u</w:t>
            </w:r>
            <w:r>
              <w:rPr>
                <w:sz w:val="18"/>
              </w:rPr>
              <w:t>g/kg</w:t>
            </w:r>
          </w:p>
        </w:tc>
        <w:tc>
          <w:tcPr>
            <w:tcW w:w="633" w:type="dxa"/>
            <w:tcBorders>
              <w:top w:val="single" w:sz="4" w:space="0" w:color="000000"/>
              <w:left w:val="single" w:sz="12" w:space="0" w:color="000000"/>
              <w:bottom w:val="single" w:sz="4" w:space="0" w:color="000000"/>
              <w:right w:val="single" w:sz="12" w:space="0" w:color="000000"/>
            </w:tcBorders>
          </w:tcPr>
          <w:p w14:paraId="055467B7" w14:textId="0B97F8A9" w:rsidR="00FC0D61" w:rsidRDefault="00FC0D61" w:rsidP="00940C72">
            <w:pPr>
              <w:spacing w:after="0" w:line="240" w:lineRule="auto"/>
              <w:ind w:left="0" w:right="49" w:firstLine="0"/>
              <w:jc w:val="center"/>
            </w:pPr>
            <w:r>
              <w:rPr>
                <w:sz w:val="18"/>
              </w:rPr>
              <w:t>X</w:t>
            </w:r>
          </w:p>
        </w:tc>
        <w:tc>
          <w:tcPr>
            <w:tcW w:w="542" w:type="dxa"/>
            <w:tcBorders>
              <w:top w:val="single" w:sz="4" w:space="0" w:color="000000"/>
              <w:left w:val="single" w:sz="12" w:space="0" w:color="000000"/>
              <w:bottom w:val="single" w:sz="4" w:space="0" w:color="000000"/>
              <w:right w:val="single" w:sz="12" w:space="0" w:color="000000"/>
            </w:tcBorders>
          </w:tcPr>
          <w:p w14:paraId="121B9A78" w14:textId="602B1C2C" w:rsidR="00FC0D61" w:rsidRDefault="00FC0D61" w:rsidP="00940C72">
            <w:pPr>
              <w:spacing w:after="0" w:line="240" w:lineRule="auto"/>
              <w:ind w:left="0" w:right="5" w:firstLine="0"/>
              <w:jc w:val="center"/>
            </w:pPr>
          </w:p>
        </w:tc>
        <w:tc>
          <w:tcPr>
            <w:tcW w:w="618" w:type="dxa"/>
            <w:tcBorders>
              <w:top w:val="single" w:sz="4" w:space="0" w:color="000000"/>
              <w:left w:val="single" w:sz="12" w:space="0" w:color="000000"/>
              <w:bottom w:val="single" w:sz="4" w:space="0" w:color="000000"/>
              <w:right w:val="single" w:sz="12" w:space="0" w:color="000000"/>
            </w:tcBorders>
          </w:tcPr>
          <w:p w14:paraId="4801AFE8" w14:textId="70E4A756" w:rsidR="00FC0D61" w:rsidRDefault="00FC0D61" w:rsidP="00940C72">
            <w:pPr>
              <w:spacing w:after="0" w:line="240" w:lineRule="auto"/>
              <w:ind w:left="0" w:right="3" w:firstLine="0"/>
              <w:jc w:val="center"/>
            </w:pPr>
          </w:p>
        </w:tc>
        <w:tc>
          <w:tcPr>
            <w:tcW w:w="709" w:type="dxa"/>
            <w:tcBorders>
              <w:top w:val="single" w:sz="4" w:space="0" w:color="000000"/>
              <w:left w:val="single" w:sz="12" w:space="0" w:color="000000"/>
              <w:bottom w:val="single" w:sz="4" w:space="0" w:color="000000"/>
              <w:right w:val="single" w:sz="12" w:space="0" w:color="000000"/>
            </w:tcBorders>
          </w:tcPr>
          <w:p w14:paraId="03C6279C" w14:textId="78EBFEFC" w:rsidR="00FC0D61" w:rsidRDefault="00FC0D61" w:rsidP="00940C72">
            <w:pPr>
              <w:spacing w:after="0" w:line="240" w:lineRule="auto"/>
              <w:ind w:left="0" w:right="46" w:firstLine="0"/>
              <w:jc w:val="center"/>
            </w:pPr>
            <w:r>
              <w:rPr>
                <w:sz w:val="18"/>
              </w:rPr>
              <w:t>507</w:t>
            </w:r>
            <w:r w:rsidR="006A342B">
              <w:rPr>
                <w:sz w:val="18"/>
              </w:rPr>
              <w:t xml:space="preserve"> </w:t>
            </w:r>
            <w:r w:rsidRPr="0083502D">
              <w:rPr>
                <w:b/>
                <w:sz w:val="18"/>
                <w:vertAlign w:val="superscript"/>
              </w:rPr>
              <w:t>8</w:t>
            </w:r>
          </w:p>
        </w:tc>
        <w:tc>
          <w:tcPr>
            <w:tcW w:w="580" w:type="dxa"/>
            <w:tcBorders>
              <w:top w:val="single" w:sz="4" w:space="0" w:color="000000"/>
              <w:left w:val="single" w:sz="12" w:space="0" w:color="000000"/>
              <w:bottom w:val="single" w:sz="4" w:space="0" w:color="000000"/>
              <w:right w:val="single" w:sz="12" w:space="0" w:color="000000"/>
            </w:tcBorders>
          </w:tcPr>
          <w:p w14:paraId="63EA345B" w14:textId="5634C6BB" w:rsidR="00FC0D61" w:rsidRDefault="00FC0D61" w:rsidP="00940C72">
            <w:pPr>
              <w:spacing w:after="0" w:line="240" w:lineRule="auto"/>
              <w:ind w:left="0" w:right="49" w:firstLine="0"/>
              <w:jc w:val="center"/>
            </w:pPr>
          </w:p>
        </w:tc>
        <w:tc>
          <w:tcPr>
            <w:tcW w:w="630" w:type="dxa"/>
            <w:tcBorders>
              <w:top w:val="single" w:sz="4" w:space="0" w:color="000000"/>
              <w:left w:val="single" w:sz="12" w:space="0" w:color="000000"/>
              <w:bottom w:val="single" w:sz="4" w:space="0" w:color="000000"/>
              <w:right w:val="single" w:sz="12" w:space="0" w:color="000000"/>
            </w:tcBorders>
          </w:tcPr>
          <w:p w14:paraId="2AE7791A" w14:textId="4FB9966D" w:rsidR="00FC0D61" w:rsidRDefault="00FC0D61" w:rsidP="00940C72">
            <w:pPr>
              <w:spacing w:after="0" w:line="240" w:lineRule="auto"/>
              <w:ind w:left="0" w:right="0" w:firstLine="0"/>
              <w:jc w:val="center"/>
            </w:pPr>
            <w:r>
              <w:rPr>
                <w:sz w:val="18"/>
              </w:rPr>
              <w:t>525.2</w:t>
            </w:r>
            <w:r w:rsidR="006A342B">
              <w:rPr>
                <w:sz w:val="18"/>
              </w:rPr>
              <w:t xml:space="preserve"> </w:t>
            </w:r>
            <w:r w:rsidRPr="0083502D">
              <w:rPr>
                <w:b/>
                <w:sz w:val="18"/>
                <w:vertAlign w:val="superscript"/>
              </w:rPr>
              <w:t>8</w:t>
            </w:r>
          </w:p>
        </w:tc>
      </w:tr>
      <w:tr w:rsidR="005B6604" w14:paraId="0385FE8A" w14:textId="77777777" w:rsidTr="005B6604">
        <w:trPr>
          <w:trHeight w:val="252"/>
        </w:trPr>
        <w:tc>
          <w:tcPr>
            <w:tcW w:w="2725" w:type="dxa"/>
            <w:tcBorders>
              <w:top w:val="single" w:sz="4" w:space="0" w:color="000000"/>
              <w:left w:val="single" w:sz="12" w:space="0" w:color="000000"/>
              <w:bottom w:val="single" w:sz="4" w:space="0" w:color="000000"/>
              <w:right w:val="single" w:sz="12" w:space="0" w:color="000000"/>
            </w:tcBorders>
          </w:tcPr>
          <w:p w14:paraId="447B0A25" w14:textId="1F221D21" w:rsidR="00FC0D61" w:rsidRDefault="00FC0D61" w:rsidP="00940C72">
            <w:pPr>
              <w:spacing w:after="0" w:line="240" w:lineRule="auto"/>
              <w:ind w:left="0" w:right="0" w:firstLine="0"/>
            </w:pPr>
            <w:proofErr w:type="spellStart"/>
            <w:r>
              <w:rPr>
                <w:sz w:val="18"/>
              </w:rPr>
              <w:t>Pebulate</w:t>
            </w:r>
            <w:proofErr w:type="spellEnd"/>
            <w:r>
              <w:rPr>
                <w:sz w:val="18"/>
              </w:rPr>
              <w:t xml:space="preserve"> (</w:t>
            </w:r>
            <w:proofErr w:type="spellStart"/>
            <w:r>
              <w:rPr>
                <w:i/>
                <w:sz w:val="18"/>
              </w:rPr>
              <w:t>Tillam</w:t>
            </w:r>
            <w:proofErr w:type="spellEnd"/>
            <w:r>
              <w:rPr>
                <w:i/>
                <w:sz w:val="18"/>
              </w:rPr>
              <w:t xml:space="preserve">) </w:t>
            </w:r>
          </w:p>
        </w:tc>
        <w:tc>
          <w:tcPr>
            <w:tcW w:w="1148" w:type="dxa"/>
            <w:tcBorders>
              <w:top w:val="single" w:sz="4" w:space="0" w:color="000000"/>
              <w:left w:val="single" w:sz="12" w:space="0" w:color="000000"/>
              <w:bottom w:val="single" w:sz="4" w:space="0" w:color="000000"/>
              <w:right w:val="single" w:sz="12" w:space="0" w:color="000000"/>
            </w:tcBorders>
          </w:tcPr>
          <w:p w14:paraId="3F410196" w14:textId="6A6A4EB6" w:rsidR="00FC0D61" w:rsidRDefault="00FC0D61" w:rsidP="00940C72">
            <w:pPr>
              <w:spacing w:after="0" w:line="240" w:lineRule="auto"/>
              <w:ind w:left="0" w:right="44" w:firstLine="0"/>
              <w:jc w:val="center"/>
            </w:pPr>
            <w:r>
              <w:rPr>
                <w:sz w:val="18"/>
              </w:rPr>
              <w:t>1114-71-2</w:t>
            </w:r>
          </w:p>
        </w:tc>
        <w:tc>
          <w:tcPr>
            <w:tcW w:w="623" w:type="dxa"/>
            <w:tcBorders>
              <w:top w:val="single" w:sz="4" w:space="0" w:color="000000"/>
              <w:left w:val="single" w:sz="12" w:space="0" w:color="000000"/>
              <w:bottom w:val="single" w:sz="4" w:space="0" w:color="000000"/>
              <w:right w:val="single" w:sz="12" w:space="0" w:color="000000"/>
            </w:tcBorders>
          </w:tcPr>
          <w:p w14:paraId="3BE6B0A8" w14:textId="2AED0CD6" w:rsidR="00FC0D61" w:rsidRDefault="00FC0D61" w:rsidP="00940C72">
            <w:pPr>
              <w:spacing w:after="0" w:line="240" w:lineRule="auto"/>
              <w:ind w:left="0" w:right="0" w:firstLine="0"/>
              <w:jc w:val="center"/>
            </w:pPr>
            <w:r>
              <w:rPr>
                <w:sz w:val="18"/>
              </w:rPr>
              <w:t>200</w:t>
            </w:r>
          </w:p>
        </w:tc>
        <w:tc>
          <w:tcPr>
            <w:tcW w:w="711" w:type="dxa"/>
            <w:tcBorders>
              <w:top w:val="single" w:sz="4" w:space="0" w:color="000000"/>
              <w:left w:val="single" w:sz="12" w:space="0" w:color="000000"/>
              <w:bottom w:val="single" w:sz="4" w:space="0" w:color="000000"/>
              <w:right w:val="single" w:sz="12" w:space="0" w:color="000000"/>
            </w:tcBorders>
          </w:tcPr>
          <w:p w14:paraId="1C13FCB8" w14:textId="631248DA" w:rsidR="00FC0D61" w:rsidRDefault="00FC0D61" w:rsidP="00940C72">
            <w:pPr>
              <w:spacing w:after="0" w:line="240" w:lineRule="auto"/>
              <w:ind w:left="0" w:right="51" w:firstLine="0"/>
              <w:jc w:val="center"/>
            </w:pPr>
            <w:r>
              <w:rPr>
                <w:sz w:val="18"/>
              </w:rPr>
              <w:t>ug/L</w:t>
            </w:r>
          </w:p>
        </w:tc>
        <w:tc>
          <w:tcPr>
            <w:tcW w:w="707" w:type="dxa"/>
            <w:tcBorders>
              <w:top w:val="single" w:sz="4" w:space="0" w:color="000000"/>
              <w:left w:val="single" w:sz="12" w:space="0" w:color="000000"/>
              <w:bottom w:val="single" w:sz="4" w:space="0" w:color="000000"/>
              <w:right w:val="single" w:sz="12" w:space="0" w:color="000000"/>
            </w:tcBorders>
          </w:tcPr>
          <w:p w14:paraId="45D2D099" w14:textId="4F81CE9A" w:rsidR="00FC0D61" w:rsidRDefault="00FC0D61" w:rsidP="00940C72">
            <w:pPr>
              <w:spacing w:after="0" w:line="240" w:lineRule="auto"/>
              <w:ind w:left="0" w:right="0" w:firstLine="0"/>
              <w:jc w:val="center"/>
            </w:pPr>
            <w:r>
              <w:rPr>
                <w:sz w:val="18"/>
              </w:rPr>
              <w:t>1300</w:t>
            </w:r>
          </w:p>
        </w:tc>
        <w:tc>
          <w:tcPr>
            <w:tcW w:w="994" w:type="dxa"/>
            <w:tcBorders>
              <w:top w:val="single" w:sz="4" w:space="0" w:color="000000"/>
              <w:left w:val="single" w:sz="12" w:space="0" w:color="000000"/>
              <w:bottom w:val="single" w:sz="4" w:space="0" w:color="000000"/>
              <w:right w:val="single" w:sz="12" w:space="0" w:color="000000"/>
            </w:tcBorders>
          </w:tcPr>
          <w:p w14:paraId="4399486F" w14:textId="454B3DEE" w:rsidR="00FC0D61" w:rsidRDefault="00FC0D61" w:rsidP="00940C72">
            <w:pPr>
              <w:spacing w:after="0" w:line="240" w:lineRule="auto"/>
              <w:ind w:left="0" w:right="49" w:firstLine="0"/>
              <w:jc w:val="center"/>
            </w:pPr>
            <w:r>
              <w:rPr>
                <w:rFonts w:eastAsia="Segoe UI Symbol"/>
                <w:sz w:val="18"/>
              </w:rPr>
              <w:t>u</w:t>
            </w:r>
            <w:r>
              <w:rPr>
                <w:sz w:val="18"/>
              </w:rPr>
              <w:t>g/kg</w:t>
            </w:r>
          </w:p>
        </w:tc>
        <w:tc>
          <w:tcPr>
            <w:tcW w:w="633" w:type="dxa"/>
            <w:tcBorders>
              <w:top w:val="single" w:sz="4" w:space="0" w:color="000000"/>
              <w:left w:val="single" w:sz="12" w:space="0" w:color="000000"/>
              <w:bottom w:val="single" w:sz="4" w:space="0" w:color="000000"/>
              <w:right w:val="single" w:sz="12" w:space="0" w:color="000000"/>
            </w:tcBorders>
          </w:tcPr>
          <w:p w14:paraId="6A7CB5C5" w14:textId="41DFCA01" w:rsidR="00FC0D61" w:rsidRDefault="00FC0D61" w:rsidP="00940C72">
            <w:pPr>
              <w:spacing w:after="0" w:line="240" w:lineRule="auto"/>
              <w:ind w:left="0" w:right="49" w:firstLine="0"/>
              <w:jc w:val="center"/>
            </w:pPr>
            <w:r>
              <w:rPr>
                <w:sz w:val="18"/>
              </w:rPr>
              <w:t>X</w:t>
            </w:r>
          </w:p>
        </w:tc>
        <w:tc>
          <w:tcPr>
            <w:tcW w:w="542" w:type="dxa"/>
            <w:tcBorders>
              <w:top w:val="single" w:sz="4" w:space="0" w:color="000000"/>
              <w:left w:val="single" w:sz="12" w:space="0" w:color="000000"/>
              <w:bottom w:val="single" w:sz="4" w:space="0" w:color="000000"/>
              <w:right w:val="single" w:sz="12" w:space="0" w:color="000000"/>
            </w:tcBorders>
          </w:tcPr>
          <w:p w14:paraId="4D56328A" w14:textId="41555CF5" w:rsidR="00FC0D61" w:rsidRDefault="00FC0D61" w:rsidP="00940C72">
            <w:pPr>
              <w:spacing w:after="0" w:line="240" w:lineRule="auto"/>
              <w:ind w:left="0" w:right="5" w:firstLine="0"/>
              <w:jc w:val="center"/>
            </w:pPr>
          </w:p>
        </w:tc>
        <w:tc>
          <w:tcPr>
            <w:tcW w:w="618" w:type="dxa"/>
            <w:tcBorders>
              <w:top w:val="single" w:sz="4" w:space="0" w:color="000000"/>
              <w:left w:val="single" w:sz="12" w:space="0" w:color="000000"/>
              <w:bottom w:val="single" w:sz="4" w:space="0" w:color="000000"/>
              <w:right w:val="single" w:sz="12" w:space="0" w:color="000000"/>
            </w:tcBorders>
          </w:tcPr>
          <w:p w14:paraId="7EDDA827" w14:textId="02DBFF9F" w:rsidR="00FC0D61" w:rsidRDefault="00FC0D61" w:rsidP="00940C72">
            <w:pPr>
              <w:spacing w:after="0" w:line="240" w:lineRule="auto"/>
              <w:ind w:left="0" w:right="3" w:firstLine="0"/>
              <w:jc w:val="center"/>
            </w:pPr>
          </w:p>
        </w:tc>
        <w:tc>
          <w:tcPr>
            <w:tcW w:w="709" w:type="dxa"/>
            <w:tcBorders>
              <w:top w:val="single" w:sz="4" w:space="0" w:color="000000"/>
              <w:left w:val="single" w:sz="12" w:space="0" w:color="000000"/>
              <w:bottom w:val="single" w:sz="4" w:space="0" w:color="000000"/>
              <w:right w:val="single" w:sz="12" w:space="0" w:color="000000"/>
            </w:tcBorders>
          </w:tcPr>
          <w:p w14:paraId="1888E013" w14:textId="10A2082E" w:rsidR="00FC0D61" w:rsidRDefault="00FC0D61" w:rsidP="00940C72">
            <w:pPr>
              <w:spacing w:after="0" w:line="240" w:lineRule="auto"/>
              <w:ind w:left="0" w:right="46" w:firstLine="0"/>
              <w:jc w:val="center"/>
            </w:pPr>
            <w:r>
              <w:rPr>
                <w:sz w:val="18"/>
              </w:rPr>
              <w:t>507</w:t>
            </w:r>
            <w:r w:rsidR="006A342B">
              <w:rPr>
                <w:sz w:val="18"/>
              </w:rPr>
              <w:t xml:space="preserve"> </w:t>
            </w:r>
            <w:r w:rsidRPr="0083502D">
              <w:rPr>
                <w:b/>
                <w:sz w:val="18"/>
                <w:vertAlign w:val="superscript"/>
              </w:rPr>
              <w:t>8</w:t>
            </w:r>
          </w:p>
        </w:tc>
        <w:tc>
          <w:tcPr>
            <w:tcW w:w="580" w:type="dxa"/>
            <w:tcBorders>
              <w:top w:val="single" w:sz="4" w:space="0" w:color="000000"/>
              <w:left w:val="single" w:sz="12" w:space="0" w:color="000000"/>
              <w:bottom w:val="single" w:sz="4" w:space="0" w:color="000000"/>
              <w:right w:val="single" w:sz="12" w:space="0" w:color="000000"/>
            </w:tcBorders>
          </w:tcPr>
          <w:p w14:paraId="5608EEC6" w14:textId="4B8ED86D" w:rsidR="00FC0D61" w:rsidRDefault="00FC0D61" w:rsidP="00940C72">
            <w:pPr>
              <w:spacing w:after="0" w:line="240" w:lineRule="auto"/>
              <w:ind w:left="0" w:right="49" w:firstLine="0"/>
              <w:jc w:val="center"/>
            </w:pPr>
          </w:p>
        </w:tc>
        <w:tc>
          <w:tcPr>
            <w:tcW w:w="630" w:type="dxa"/>
            <w:tcBorders>
              <w:top w:val="single" w:sz="4" w:space="0" w:color="000000"/>
              <w:left w:val="single" w:sz="12" w:space="0" w:color="000000"/>
              <w:bottom w:val="single" w:sz="4" w:space="0" w:color="000000"/>
              <w:right w:val="single" w:sz="12" w:space="0" w:color="000000"/>
            </w:tcBorders>
          </w:tcPr>
          <w:p w14:paraId="2FBD12C6" w14:textId="18C40CE3" w:rsidR="00FC0D61" w:rsidRDefault="00FC0D61" w:rsidP="00940C72">
            <w:pPr>
              <w:spacing w:after="0" w:line="240" w:lineRule="auto"/>
              <w:ind w:left="0" w:right="0" w:firstLine="0"/>
              <w:jc w:val="center"/>
            </w:pPr>
            <w:r>
              <w:rPr>
                <w:sz w:val="18"/>
              </w:rPr>
              <w:t>525.2</w:t>
            </w:r>
            <w:r w:rsidR="006A342B">
              <w:rPr>
                <w:sz w:val="18"/>
              </w:rPr>
              <w:t xml:space="preserve"> </w:t>
            </w:r>
            <w:r w:rsidRPr="0083502D">
              <w:rPr>
                <w:b/>
                <w:sz w:val="18"/>
                <w:vertAlign w:val="superscript"/>
              </w:rPr>
              <w:t>8</w:t>
            </w:r>
          </w:p>
        </w:tc>
      </w:tr>
      <w:tr w:rsidR="005B6604" w14:paraId="3F53136A" w14:textId="77777777" w:rsidTr="005B6604">
        <w:trPr>
          <w:trHeight w:val="257"/>
        </w:trPr>
        <w:tc>
          <w:tcPr>
            <w:tcW w:w="2725" w:type="dxa"/>
            <w:tcBorders>
              <w:top w:val="single" w:sz="4" w:space="0" w:color="000000"/>
              <w:left w:val="single" w:sz="12" w:space="0" w:color="000000"/>
              <w:bottom w:val="single" w:sz="12" w:space="0" w:color="000000"/>
              <w:right w:val="single" w:sz="12" w:space="0" w:color="000000"/>
            </w:tcBorders>
          </w:tcPr>
          <w:p w14:paraId="4682A7FC" w14:textId="56E072BE" w:rsidR="00FC0D61" w:rsidRDefault="00FC0D61" w:rsidP="00940C72">
            <w:pPr>
              <w:spacing w:after="0" w:line="240" w:lineRule="auto"/>
              <w:ind w:left="0" w:right="0" w:firstLine="0"/>
            </w:pPr>
            <w:proofErr w:type="spellStart"/>
            <w:r>
              <w:rPr>
                <w:sz w:val="18"/>
              </w:rPr>
              <w:t>Vernolate</w:t>
            </w:r>
            <w:proofErr w:type="spellEnd"/>
            <w:r>
              <w:rPr>
                <w:sz w:val="18"/>
              </w:rPr>
              <w:t xml:space="preserve"> (</w:t>
            </w:r>
            <w:r>
              <w:rPr>
                <w:i/>
                <w:sz w:val="18"/>
              </w:rPr>
              <w:t xml:space="preserve">Vernam) </w:t>
            </w:r>
          </w:p>
        </w:tc>
        <w:tc>
          <w:tcPr>
            <w:tcW w:w="1148" w:type="dxa"/>
            <w:tcBorders>
              <w:top w:val="single" w:sz="4" w:space="0" w:color="000000"/>
              <w:left w:val="single" w:sz="12" w:space="0" w:color="000000"/>
              <w:bottom w:val="single" w:sz="12" w:space="0" w:color="000000"/>
              <w:right w:val="single" w:sz="12" w:space="0" w:color="000000"/>
            </w:tcBorders>
          </w:tcPr>
          <w:p w14:paraId="1D733CB3" w14:textId="385A3BFE" w:rsidR="00FC0D61" w:rsidRDefault="00FC0D61" w:rsidP="00940C72">
            <w:pPr>
              <w:spacing w:after="0" w:line="240" w:lineRule="auto"/>
              <w:ind w:left="0" w:right="44" w:firstLine="0"/>
              <w:jc w:val="center"/>
            </w:pPr>
            <w:r>
              <w:rPr>
                <w:sz w:val="18"/>
              </w:rPr>
              <w:t>1929-77-7</w:t>
            </w:r>
          </w:p>
        </w:tc>
        <w:tc>
          <w:tcPr>
            <w:tcW w:w="623" w:type="dxa"/>
            <w:tcBorders>
              <w:top w:val="single" w:sz="4" w:space="0" w:color="000000"/>
              <w:left w:val="single" w:sz="12" w:space="0" w:color="000000"/>
              <w:bottom w:val="single" w:sz="12" w:space="0" w:color="000000"/>
              <w:right w:val="single" w:sz="12" w:space="0" w:color="000000"/>
            </w:tcBorders>
          </w:tcPr>
          <w:p w14:paraId="68EC63CF" w14:textId="6B7A2D4D" w:rsidR="00FC0D61" w:rsidRDefault="00FC0D61" w:rsidP="00940C72">
            <w:pPr>
              <w:spacing w:after="0" w:line="240" w:lineRule="auto"/>
              <w:ind w:left="0" w:right="0" w:firstLine="0"/>
              <w:jc w:val="center"/>
            </w:pPr>
            <w:r>
              <w:rPr>
                <w:sz w:val="18"/>
              </w:rPr>
              <w:t>200</w:t>
            </w:r>
          </w:p>
        </w:tc>
        <w:tc>
          <w:tcPr>
            <w:tcW w:w="711" w:type="dxa"/>
            <w:tcBorders>
              <w:top w:val="single" w:sz="4" w:space="0" w:color="000000"/>
              <w:left w:val="single" w:sz="12" w:space="0" w:color="000000"/>
              <w:bottom w:val="single" w:sz="12" w:space="0" w:color="000000"/>
              <w:right w:val="single" w:sz="12" w:space="0" w:color="000000"/>
            </w:tcBorders>
          </w:tcPr>
          <w:p w14:paraId="4FBDF2A9" w14:textId="4928D7A3" w:rsidR="00FC0D61" w:rsidRDefault="00FC0D61" w:rsidP="00940C72">
            <w:pPr>
              <w:spacing w:after="0" w:line="240" w:lineRule="auto"/>
              <w:ind w:left="0" w:right="51" w:firstLine="0"/>
              <w:jc w:val="center"/>
            </w:pPr>
            <w:r>
              <w:rPr>
                <w:sz w:val="18"/>
              </w:rPr>
              <w:t>ug/L</w:t>
            </w:r>
          </w:p>
        </w:tc>
        <w:tc>
          <w:tcPr>
            <w:tcW w:w="707" w:type="dxa"/>
            <w:tcBorders>
              <w:top w:val="single" w:sz="4" w:space="0" w:color="000000"/>
              <w:left w:val="single" w:sz="12" w:space="0" w:color="000000"/>
              <w:bottom w:val="single" w:sz="12" w:space="0" w:color="000000"/>
              <w:right w:val="single" w:sz="12" w:space="0" w:color="000000"/>
            </w:tcBorders>
          </w:tcPr>
          <w:p w14:paraId="45131DE7" w14:textId="3EE55B03" w:rsidR="00FC0D61" w:rsidRDefault="00FC0D61" w:rsidP="00940C72">
            <w:pPr>
              <w:spacing w:after="0" w:line="240" w:lineRule="auto"/>
              <w:ind w:left="0" w:right="0" w:firstLine="0"/>
              <w:jc w:val="center"/>
            </w:pPr>
            <w:r>
              <w:rPr>
                <w:sz w:val="18"/>
              </w:rPr>
              <w:t>1300</w:t>
            </w:r>
          </w:p>
        </w:tc>
        <w:tc>
          <w:tcPr>
            <w:tcW w:w="994" w:type="dxa"/>
            <w:tcBorders>
              <w:top w:val="single" w:sz="4" w:space="0" w:color="000000"/>
              <w:left w:val="single" w:sz="12" w:space="0" w:color="000000"/>
              <w:bottom w:val="single" w:sz="12" w:space="0" w:color="000000"/>
              <w:right w:val="single" w:sz="12" w:space="0" w:color="000000"/>
            </w:tcBorders>
          </w:tcPr>
          <w:p w14:paraId="096EFEF6" w14:textId="2D9A2FB3" w:rsidR="00FC0D61" w:rsidRDefault="00FC0D61" w:rsidP="00940C72">
            <w:pPr>
              <w:spacing w:after="0" w:line="240" w:lineRule="auto"/>
              <w:ind w:left="0" w:right="49" w:firstLine="0"/>
              <w:jc w:val="center"/>
            </w:pPr>
            <w:r>
              <w:rPr>
                <w:rFonts w:eastAsia="Segoe UI Symbol"/>
                <w:sz w:val="18"/>
              </w:rPr>
              <w:t>u</w:t>
            </w:r>
            <w:r>
              <w:rPr>
                <w:sz w:val="18"/>
              </w:rPr>
              <w:t>g/kg</w:t>
            </w:r>
          </w:p>
        </w:tc>
        <w:tc>
          <w:tcPr>
            <w:tcW w:w="633" w:type="dxa"/>
            <w:tcBorders>
              <w:top w:val="single" w:sz="4" w:space="0" w:color="000000"/>
              <w:left w:val="single" w:sz="12" w:space="0" w:color="000000"/>
              <w:bottom w:val="single" w:sz="12" w:space="0" w:color="000000"/>
              <w:right w:val="single" w:sz="12" w:space="0" w:color="000000"/>
            </w:tcBorders>
          </w:tcPr>
          <w:p w14:paraId="0237E742" w14:textId="7FE150E9" w:rsidR="00FC0D61" w:rsidRDefault="00FC0D61" w:rsidP="00940C72">
            <w:pPr>
              <w:spacing w:after="0" w:line="240" w:lineRule="auto"/>
              <w:ind w:left="0" w:right="49" w:firstLine="0"/>
              <w:jc w:val="center"/>
            </w:pPr>
            <w:r>
              <w:rPr>
                <w:sz w:val="18"/>
              </w:rPr>
              <w:t>X</w:t>
            </w:r>
          </w:p>
        </w:tc>
        <w:tc>
          <w:tcPr>
            <w:tcW w:w="542" w:type="dxa"/>
            <w:tcBorders>
              <w:top w:val="single" w:sz="4" w:space="0" w:color="000000"/>
              <w:left w:val="single" w:sz="12" w:space="0" w:color="000000"/>
              <w:bottom w:val="single" w:sz="12" w:space="0" w:color="000000"/>
              <w:right w:val="single" w:sz="12" w:space="0" w:color="000000"/>
            </w:tcBorders>
          </w:tcPr>
          <w:p w14:paraId="35AF71D2" w14:textId="01E9FE26" w:rsidR="00FC0D61" w:rsidRDefault="00FC0D61" w:rsidP="00940C72">
            <w:pPr>
              <w:spacing w:after="0" w:line="240" w:lineRule="auto"/>
              <w:ind w:left="0" w:right="5" w:firstLine="0"/>
              <w:jc w:val="center"/>
            </w:pPr>
          </w:p>
        </w:tc>
        <w:tc>
          <w:tcPr>
            <w:tcW w:w="618" w:type="dxa"/>
            <w:tcBorders>
              <w:top w:val="single" w:sz="4" w:space="0" w:color="000000"/>
              <w:left w:val="single" w:sz="12" w:space="0" w:color="000000"/>
              <w:bottom w:val="single" w:sz="12" w:space="0" w:color="000000"/>
              <w:right w:val="single" w:sz="12" w:space="0" w:color="000000"/>
            </w:tcBorders>
          </w:tcPr>
          <w:p w14:paraId="26AE4A87" w14:textId="08C7A2E4" w:rsidR="00FC0D61" w:rsidRDefault="00FC0D61" w:rsidP="00940C72">
            <w:pPr>
              <w:spacing w:after="0" w:line="240" w:lineRule="auto"/>
              <w:ind w:left="0" w:right="3" w:firstLine="0"/>
              <w:jc w:val="center"/>
            </w:pPr>
          </w:p>
        </w:tc>
        <w:tc>
          <w:tcPr>
            <w:tcW w:w="709" w:type="dxa"/>
            <w:tcBorders>
              <w:top w:val="single" w:sz="4" w:space="0" w:color="000000"/>
              <w:left w:val="single" w:sz="12" w:space="0" w:color="000000"/>
              <w:bottom w:val="single" w:sz="12" w:space="0" w:color="000000"/>
              <w:right w:val="single" w:sz="12" w:space="0" w:color="000000"/>
            </w:tcBorders>
          </w:tcPr>
          <w:p w14:paraId="076DE13B" w14:textId="143279EF" w:rsidR="00FC0D61" w:rsidRDefault="00FC0D61" w:rsidP="00940C72">
            <w:pPr>
              <w:spacing w:after="0" w:line="240" w:lineRule="auto"/>
              <w:ind w:left="0" w:right="46" w:firstLine="0"/>
              <w:jc w:val="center"/>
            </w:pPr>
            <w:r>
              <w:rPr>
                <w:sz w:val="18"/>
              </w:rPr>
              <w:t>507</w:t>
            </w:r>
            <w:r w:rsidR="006A342B">
              <w:rPr>
                <w:sz w:val="18"/>
              </w:rPr>
              <w:t xml:space="preserve"> </w:t>
            </w:r>
            <w:r w:rsidRPr="0083502D">
              <w:rPr>
                <w:b/>
                <w:sz w:val="18"/>
                <w:vertAlign w:val="superscript"/>
              </w:rPr>
              <w:t>8</w:t>
            </w:r>
          </w:p>
        </w:tc>
        <w:tc>
          <w:tcPr>
            <w:tcW w:w="580" w:type="dxa"/>
            <w:tcBorders>
              <w:top w:val="single" w:sz="4" w:space="0" w:color="000000"/>
              <w:left w:val="single" w:sz="12" w:space="0" w:color="000000"/>
              <w:bottom w:val="single" w:sz="12" w:space="0" w:color="000000"/>
              <w:right w:val="single" w:sz="12" w:space="0" w:color="000000"/>
            </w:tcBorders>
          </w:tcPr>
          <w:p w14:paraId="1D665327" w14:textId="17F7F3A6" w:rsidR="00FC0D61" w:rsidRDefault="00FC0D61" w:rsidP="00940C72">
            <w:pPr>
              <w:spacing w:after="0" w:line="240" w:lineRule="auto"/>
              <w:ind w:left="0" w:right="49" w:firstLine="0"/>
              <w:jc w:val="center"/>
            </w:pPr>
          </w:p>
        </w:tc>
        <w:tc>
          <w:tcPr>
            <w:tcW w:w="630" w:type="dxa"/>
            <w:tcBorders>
              <w:top w:val="single" w:sz="4" w:space="0" w:color="000000"/>
              <w:left w:val="single" w:sz="12" w:space="0" w:color="000000"/>
              <w:bottom w:val="single" w:sz="12" w:space="0" w:color="000000"/>
              <w:right w:val="single" w:sz="12" w:space="0" w:color="000000"/>
            </w:tcBorders>
          </w:tcPr>
          <w:p w14:paraId="7990B3EA" w14:textId="342F14D7" w:rsidR="00FC0D61" w:rsidRDefault="00FC0D61" w:rsidP="00940C72">
            <w:pPr>
              <w:spacing w:after="0" w:line="240" w:lineRule="auto"/>
              <w:ind w:left="0" w:right="0" w:firstLine="0"/>
              <w:jc w:val="center"/>
            </w:pPr>
            <w:r>
              <w:rPr>
                <w:sz w:val="18"/>
              </w:rPr>
              <w:t>525.2</w:t>
            </w:r>
            <w:r w:rsidR="006A342B">
              <w:rPr>
                <w:sz w:val="18"/>
              </w:rPr>
              <w:t xml:space="preserve"> </w:t>
            </w:r>
            <w:r w:rsidRPr="0083502D">
              <w:rPr>
                <w:b/>
                <w:sz w:val="18"/>
                <w:vertAlign w:val="superscript"/>
              </w:rPr>
              <w:t>8</w:t>
            </w:r>
          </w:p>
        </w:tc>
      </w:tr>
    </w:tbl>
    <w:p w14:paraId="6F995361" w14:textId="77777777" w:rsidR="002E3ACD" w:rsidRDefault="002E3ACD"/>
    <w:tbl>
      <w:tblPr>
        <w:tblStyle w:val="TableGrid1"/>
        <w:tblW w:w="10620" w:type="dxa"/>
        <w:tblInd w:w="-375" w:type="dxa"/>
        <w:tblCellMar>
          <w:top w:w="24" w:type="dxa"/>
          <w:left w:w="36" w:type="dxa"/>
        </w:tblCellMar>
        <w:tblLook w:val="04A0" w:firstRow="1" w:lastRow="0" w:firstColumn="1" w:lastColumn="0" w:noHBand="0" w:noVBand="1"/>
      </w:tblPr>
      <w:tblGrid>
        <w:gridCol w:w="3551"/>
        <w:gridCol w:w="1047"/>
        <w:gridCol w:w="793"/>
        <w:gridCol w:w="617"/>
        <w:gridCol w:w="534"/>
        <w:gridCol w:w="617"/>
        <w:gridCol w:w="851"/>
        <w:gridCol w:w="540"/>
        <w:gridCol w:w="1170"/>
        <w:gridCol w:w="900"/>
      </w:tblGrid>
      <w:tr w:rsidR="00985247" w14:paraId="1DC70561" w14:textId="77777777" w:rsidTr="00985247">
        <w:trPr>
          <w:trHeight w:val="269"/>
          <w:tblHeader/>
        </w:trPr>
        <w:tc>
          <w:tcPr>
            <w:tcW w:w="8010" w:type="dxa"/>
            <w:gridSpan w:val="7"/>
            <w:tcBorders>
              <w:top w:val="single" w:sz="12" w:space="0" w:color="000000"/>
              <w:left w:val="single" w:sz="12" w:space="0" w:color="000000"/>
              <w:bottom w:val="single" w:sz="12" w:space="0" w:color="000000"/>
              <w:right w:val="nil"/>
            </w:tcBorders>
            <w:vAlign w:val="center"/>
          </w:tcPr>
          <w:p w14:paraId="4EC50530" w14:textId="6F81BE47" w:rsidR="00B56D50" w:rsidRDefault="001C3C42" w:rsidP="007275B2">
            <w:pPr>
              <w:spacing w:after="0" w:line="259" w:lineRule="auto"/>
              <w:ind w:left="36" w:right="0" w:firstLine="0"/>
            </w:pPr>
            <w:r>
              <w:rPr>
                <w:b/>
                <w:sz w:val="18"/>
              </w:rPr>
              <w:t>SW-846 SAS Group J</w:t>
            </w:r>
            <w:proofErr w:type="gramStart"/>
            <w:r>
              <w:rPr>
                <w:b/>
                <w:sz w:val="18"/>
              </w:rPr>
              <w:t>:</w:t>
            </w:r>
            <w:r>
              <w:rPr>
                <w:sz w:val="18"/>
              </w:rPr>
              <w:t xml:space="preserve">  </w:t>
            </w:r>
            <w:r>
              <w:rPr>
                <w:b/>
                <w:sz w:val="18"/>
              </w:rPr>
              <w:t>Polychlorinated</w:t>
            </w:r>
            <w:proofErr w:type="gramEnd"/>
            <w:r>
              <w:rPr>
                <w:b/>
                <w:sz w:val="18"/>
              </w:rPr>
              <w:t xml:space="preserve"> Biphenyl Compounds (PCBs) as Individual Congeners</w:t>
            </w:r>
          </w:p>
        </w:tc>
        <w:tc>
          <w:tcPr>
            <w:tcW w:w="540" w:type="dxa"/>
            <w:tcBorders>
              <w:top w:val="single" w:sz="12" w:space="0" w:color="000000"/>
              <w:left w:val="nil"/>
              <w:bottom w:val="single" w:sz="12" w:space="0" w:color="000000"/>
              <w:right w:val="nil"/>
            </w:tcBorders>
            <w:vAlign w:val="center"/>
          </w:tcPr>
          <w:p w14:paraId="7764D801" w14:textId="77777777" w:rsidR="00B56D50" w:rsidRDefault="00B56D50" w:rsidP="007275B2">
            <w:pPr>
              <w:spacing w:after="0" w:line="259" w:lineRule="auto"/>
              <w:ind w:left="0" w:right="0" w:firstLine="0"/>
            </w:pPr>
          </w:p>
        </w:tc>
        <w:tc>
          <w:tcPr>
            <w:tcW w:w="1170" w:type="dxa"/>
            <w:tcBorders>
              <w:top w:val="single" w:sz="12" w:space="0" w:color="000000"/>
              <w:left w:val="nil"/>
              <w:bottom w:val="single" w:sz="12" w:space="0" w:color="000000"/>
              <w:right w:val="nil"/>
            </w:tcBorders>
            <w:vAlign w:val="center"/>
          </w:tcPr>
          <w:p w14:paraId="72BF88D5" w14:textId="77777777" w:rsidR="00B56D50" w:rsidRDefault="00B56D50" w:rsidP="007275B2">
            <w:pPr>
              <w:spacing w:after="0" w:line="259" w:lineRule="auto"/>
              <w:ind w:left="0" w:right="0" w:firstLine="0"/>
            </w:pPr>
          </w:p>
        </w:tc>
        <w:tc>
          <w:tcPr>
            <w:tcW w:w="900" w:type="dxa"/>
            <w:tcBorders>
              <w:top w:val="single" w:sz="12" w:space="0" w:color="000000"/>
              <w:left w:val="nil"/>
              <w:bottom w:val="single" w:sz="12" w:space="0" w:color="000000"/>
              <w:right w:val="single" w:sz="12" w:space="0" w:color="000000"/>
            </w:tcBorders>
            <w:vAlign w:val="center"/>
          </w:tcPr>
          <w:p w14:paraId="38F157EE" w14:textId="77777777" w:rsidR="00B56D50" w:rsidRDefault="00B56D50" w:rsidP="007275B2">
            <w:pPr>
              <w:spacing w:after="0" w:line="259" w:lineRule="auto"/>
              <w:ind w:left="0" w:right="-103" w:firstLine="0"/>
            </w:pPr>
          </w:p>
        </w:tc>
      </w:tr>
      <w:tr w:rsidR="00950E59" w14:paraId="1F3A3EF7" w14:textId="77777777" w:rsidTr="00985247">
        <w:trPr>
          <w:trHeight w:val="367"/>
          <w:tblHeader/>
        </w:trPr>
        <w:tc>
          <w:tcPr>
            <w:tcW w:w="3551" w:type="dxa"/>
            <w:vMerge w:val="restart"/>
            <w:tcBorders>
              <w:top w:val="single" w:sz="12" w:space="0" w:color="000000"/>
              <w:left w:val="single" w:sz="12" w:space="0" w:color="000000"/>
              <w:bottom w:val="single" w:sz="12" w:space="0" w:color="000000"/>
              <w:right w:val="single" w:sz="12" w:space="0" w:color="000000"/>
            </w:tcBorders>
            <w:vAlign w:val="center"/>
          </w:tcPr>
          <w:p w14:paraId="77260B63" w14:textId="779A0614" w:rsidR="00B56D50" w:rsidRDefault="001C3C42" w:rsidP="007275B2">
            <w:pPr>
              <w:spacing w:after="0" w:line="259" w:lineRule="auto"/>
              <w:ind w:left="0" w:right="43" w:firstLine="0"/>
              <w:jc w:val="center"/>
            </w:pPr>
            <w:r>
              <w:rPr>
                <w:b/>
                <w:sz w:val="18"/>
              </w:rPr>
              <w:t>Analyte</w:t>
            </w:r>
          </w:p>
        </w:tc>
        <w:tc>
          <w:tcPr>
            <w:tcW w:w="1047" w:type="dxa"/>
            <w:vMerge w:val="restart"/>
            <w:tcBorders>
              <w:top w:val="single" w:sz="12" w:space="0" w:color="000000"/>
              <w:left w:val="single" w:sz="12" w:space="0" w:color="000000"/>
              <w:bottom w:val="single" w:sz="12" w:space="0" w:color="000000"/>
              <w:right w:val="single" w:sz="12" w:space="0" w:color="000000"/>
            </w:tcBorders>
            <w:vAlign w:val="center"/>
          </w:tcPr>
          <w:p w14:paraId="098FDB2A" w14:textId="6AE82047" w:rsidR="00B56D50" w:rsidRDefault="001C3C42" w:rsidP="007275B2">
            <w:pPr>
              <w:spacing w:after="0" w:line="259" w:lineRule="auto"/>
              <w:ind w:left="5" w:right="0" w:firstLine="0"/>
              <w:jc w:val="center"/>
            </w:pPr>
            <w:r>
              <w:rPr>
                <w:b/>
                <w:sz w:val="18"/>
              </w:rPr>
              <w:t>CAS Number</w:t>
            </w:r>
          </w:p>
        </w:tc>
        <w:tc>
          <w:tcPr>
            <w:tcW w:w="793" w:type="dxa"/>
            <w:vMerge w:val="restart"/>
            <w:tcBorders>
              <w:top w:val="single" w:sz="12" w:space="0" w:color="000000"/>
              <w:left w:val="single" w:sz="12" w:space="0" w:color="000000"/>
              <w:bottom w:val="single" w:sz="12" w:space="0" w:color="000000"/>
              <w:right w:val="single" w:sz="12" w:space="0" w:color="000000"/>
            </w:tcBorders>
            <w:vAlign w:val="center"/>
          </w:tcPr>
          <w:p w14:paraId="6ED79A05" w14:textId="662B3D1A" w:rsidR="00B56D50" w:rsidRDefault="001C3C42" w:rsidP="007275B2">
            <w:pPr>
              <w:spacing w:after="2" w:line="238" w:lineRule="auto"/>
              <w:ind w:left="0" w:right="0" w:firstLine="0"/>
              <w:jc w:val="center"/>
            </w:pPr>
            <w:r>
              <w:rPr>
                <w:b/>
                <w:sz w:val="18"/>
              </w:rPr>
              <w:t>IUPAC PCB</w:t>
            </w:r>
          </w:p>
          <w:p w14:paraId="603CA1C2" w14:textId="13F60505" w:rsidR="00B56D50" w:rsidRDefault="001C3C42" w:rsidP="007275B2">
            <w:pPr>
              <w:spacing w:after="0" w:line="259" w:lineRule="auto"/>
              <w:ind w:left="0" w:right="37" w:firstLine="0"/>
              <w:jc w:val="center"/>
            </w:pPr>
            <w:r>
              <w:rPr>
                <w:b/>
                <w:sz w:val="18"/>
              </w:rPr>
              <w:t>No.</w:t>
            </w:r>
          </w:p>
        </w:tc>
        <w:tc>
          <w:tcPr>
            <w:tcW w:w="1151" w:type="dxa"/>
            <w:gridSpan w:val="2"/>
            <w:tcBorders>
              <w:top w:val="single" w:sz="12" w:space="0" w:color="000000"/>
              <w:left w:val="single" w:sz="12" w:space="0" w:color="000000"/>
              <w:bottom w:val="single" w:sz="12" w:space="0" w:color="000000"/>
              <w:right w:val="single" w:sz="12" w:space="0" w:color="000000"/>
            </w:tcBorders>
            <w:vAlign w:val="center"/>
          </w:tcPr>
          <w:p w14:paraId="111677B4" w14:textId="602B5ED1" w:rsidR="00B56D50" w:rsidRDefault="001C3C42" w:rsidP="007275B2">
            <w:pPr>
              <w:spacing w:after="0" w:line="259" w:lineRule="auto"/>
              <w:ind w:left="0" w:right="41" w:firstLine="0"/>
              <w:jc w:val="center"/>
            </w:pPr>
            <w:r>
              <w:rPr>
                <w:b/>
                <w:sz w:val="18"/>
              </w:rPr>
              <w:t>Aqueous</w:t>
            </w:r>
          </w:p>
        </w:tc>
        <w:tc>
          <w:tcPr>
            <w:tcW w:w="1468" w:type="dxa"/>
            <w:gridSpan w:val="2"/>
            <w:tcBorders>
              <w:top w:val="single" w:sz="12" w:space="0" w:color="000000"/>
              <w:left w:val="single" w:sz="12" w:space="0" w:color="000000"/>
              <w:bottom w:val="single" w:sz="12" w:space="0" w:color="000000"/>
              <w:right w:val="single" w:sz="12" w:space="0" w:color="000000"/>
            </w:tcBorders>
            <w:vAlign w:val="center"/>
          </w:tcPr>
          <w:p w14:paraId="25FB0145" w14:textId="7AE15522" w:rsidR="00B56D50" w:rsidRDefault="001C3C42" w:rsidP="007275B2">
            <w:pPr>
              <w:spacing w:after="0" w:line="259" w:lineRule="auto"/>
              <w:ind w:left="108" w:right="0" w:firstLine="0"/>
              <w:jc w:val="center"/>
            </w:pPr>
            <w:r>
              <w:rPr>
                <w:b/>
                <w:sz w:val="18"/>
              </w:rPr>
              <w:t>Soil/Sediment</w:t>
            </w:r>
          </w:p>
        </w:tc>
        <w:tc>
          <w:tcPr>
            <w:tcW w:w="540" w:type="dxa"/>
            <w:tcBorders>
              <w:top w:val="single" w:sz="12" w:space="0" w:color="000000"/>
              <w:left w:val="single" w:sz="12" w:space="0" w:color="000000"/>
              <w:bottom w:val="single" w:sz="12" w:space="0" w:color="000000"/>
              <w:right w:val="nil"/>
            </w:tcBorders>
            <w:vAlign w:val="center"/>
          </w:tcPr>
          <w:p w14:paraId="296C757B" w14:textId="77777777" w:rsidR="00B56D50" w:rsidRDefault="00B56D50" w:rsidP="007275B2">
            <w:pPr>
              <w:spacing w:after="160" w:line="259" w:lineRule="auto"/>
              <w:ind w:left="0" w:right="0" w:firstLine="0"/>
              <w:jc w:val="center"/>
            </w:pPr>
          </w:p>
        </w:tc>
        <w:tc>
          <w:tcPr>
            <w:tcW w:w="1170" w:type="dxa"/>
            <w:tcBorders>
              <w:top w:val="single" w:sz="12" w:space="0" w:color="000000"/>
              <w:left w:val="nil"/>
              <w:bottom w:val="single" w:sz="12" w:space="0" w:color="000000"/>
              <w:right w:val="single" w:sz="12" w:space="0" w:color="000000"/>
            </w:tcBorders>
            <w:vAlign w:val="center"/>
          </w:tcPr>
          <w:p w14:paraId="40E3B91D" w14:textId="318BF80E" w:rsidR="00B56D50" w:rsidRDefault="001C3C42" w:rsidP="007275B2">
            <w:pPr>
              <w:spacing w:after="0" w:line="259" w:lineRule="auto"/>
              <w:ind w:left="38" w:right="0" w:firstLine="0"/>
            </w:pPr>
            <w:r>
              <w:rPr>
                <w:b/>
                <w:sz w:val="18"/>
              </w:rPr>
              <w:t>Wipes</w:t>
            </w:r>
          </w:p>
        </w:tc>
        <w:tc>
          <w:tcPr>
            <w:tcW w:w="900" w:type="dxa"/>
            <w:vMerge w:val="restart"/>
            <w:tcBorders>
              <w:top w:val="single" w:sz="12" w:space="0" w:color="000000"/>
              <w:left w:val="single" w:sz="12" w:space="0" w:color="000000"/>
              <w:bottom w:val="single" w:sz="12" w:space="0" w:color="000000"/>
              <w:right w:val="single" w:sz="12" w:space="0" w:color="000000"/>
            </w:tcBorders>
            <w:vAlign w:val="center"/>
          </w:tcPr>
          <w:p w14:paraId="7B4167AC" w14:textId="61B810EB" w:rsidR="00B56D50" w:rsidRDefault="001C3C42" w:rsidP="008D7F57">
            <w:pPr>
              <w:spacing w:after="0" w:line="259" w:lineRule="auto"/>
              <w:ind w:left="0" w:right="0" w:firstLine="0"/>
              <w:jc w:val="center"/>
            </w:pPr>
            <w:r>
              <w:rPr>
                <w:b/>
                <w:sz w:val="18"/>
              </w:rPr>
              <w:t>Required</w:t>
            </w:r>
          </w:p>
          <w:p w14:paraId="17331F08" w14:textId="6D6DED6C" w:rsidR="00B56D50" w:rsidRDefault="001C3C42" w:rsidP="007275B2">
            <w:pPr>
              <w:spacing w:after="0" w:line="259" w:lineRule="auto"/>
              <w:ind w:left="53" w:right="0" w:firstLine="0"/>
              <w:jc w:val="center"/>
            </w:pPr>
            <w:r>
              <w:rPr>
                <w:b/>
                <w:sz w:val="18"/>
              </w:rPr>
              <w:t>Method</w:t>
            </w:r>
            <w:r w:rsidR="00633D05">
              <w:rPr>
                <w:b/>
                <w:sz w:val="18"/>
              </w:rPr>
              <w:t xml:space="preserve"> </w:t>
            </w:r>
            <w:r>
              <w:rPr>
                <w:b/>
                <w:sz w:val="18"/>
                <w:vertAlign w:val="superscript"/>
              </w:rPr>
              <w:t>32</w:t>
            </w:r>
          </w:p>
        </w:tc>
      </w:tr>
      <w:tr w:rsidR="00950E59" w14:paraId="03674743" w14:textId="77777777" w:rsidTr="00985247">
        <w:trPr>
          <w:trHeight w:val="134"/>
          <w:tblHeader/>
        </w:trPr>
        <w:tc>
          <w:tcPr>
            <w:tcW w:w="3551" w:type="dxa"/>
            <w:vMerge/>
            <w:tcBorders>
              <w:top w:val="nil"/>
              <w:left w:val="single" w:sz="12" w:space="0" w:color="000000"/>
              <w:bottom w:val="single" w:sz="12" w:space="0" w:color="000000"/>
              <w:right w:val="single" w:sz="12" w:space="0" w:color="000000"/>
            </w:tcBorders>
            <w:vAlign w:val="center"/>
          </w:tcPr>
          <w:p w14:paraId="188E4108" w14:textId="77777777" w:rsidR="00B56D50" w:rsidRDefault="00B56D50" w:rsidP="00017AB4">
            <w:pPr>
              <w:spacing w:after="160" w:line="259" w:lineRule="auto"/>
              <w:ind w:left="0" w:right="0" w:firstLine="0"/>
              <w:jc w:val="center"/>
            </w:pPr>
          </w:p>
        </w:tc>
        <w:tc>
          <w:tcPr>
            <w:tcW w:w="0" w:type="auto"/>
            <w:vMerge/>
            <w:tcBorders>
              <w:top w:val="nil"/>
              <w:left w:val="single" w:sz="12" w:space="0" w:color="000000"/>
              <w:bottom w:val="single" w:sz="12" w:space="0" w:color="000000"/>
              <w:right w:val="single" w:sz="12" w:space="0" w:color="000000"/>
            </w:tcBorders>
            <w:vAlign w:val="center"/>
          </w:tcPr>
          <w:p w14:paraId="24618555" w14:textId="77777777" w:rsidR="00B56D50" w:rsidRDefault="00B56D50" w:rsidP="00017AB4">
            <w:pPr>
              <w:spacing w:after="160" w:line="259" w:lineRule="auto"/>
              <w:ind w:left="0" w:right="0" w:firstLine="0"/>
              <w:jc w:val="center"/>
            </w:pPr>
          </w:p>
        </w:tc>
        <w:tc>
          <w:tcPr>
            <w:tcW w:w="0" w:type="auto"/>
            <w:vMerge/>
            <w:tcBorders>
              <w:top w:val="nil"/>
              <w:left w:val="single" w:sz="12" w:space="0" w:color="000000"/>
              <w:bottom w:val="single" w:sz="12" w:space="0" w:color="000000"/>
              <w:right w:val="single" w:sz="12" w:space="0" w:color="000000"/>
            </w:tcBorders>
            <w:vAlign w:val="center"/>
          </w:tcPr>
          <w:p w14:paraId="4C44D4E9" w14:textId="77777777" w:rsidR="00B56D50" w:rsidRDefault="00B56D50" w:rsidP="00017AB4">
            <w:pPr>
              <w:spacing w:after="160" w:line="259" w:lineRule="auto"/>
              <w:ind w:left="0" w:right="0" w:firstLine="0"/>
              <w:jc w:val="center"/>
            </w:pPr>
          </w:p>
        </w:tc>
        <w:tc>
          <w:tcPr>
            <w:tcW w:w="617" w:type="dxa"/>
            <w:tcBorders>
              <w:top w:val="single" w:sz="12" w:space="0" w:color="000000"/>
              <w:left w:val="single" w:sz="12" w:space="0" w:color="000000"/>
              <w:bottom w:val="single" w:sz="12" w:space="0" w:color="000000"/>
              <w:right w:val="single" w:sz="12" w:space="0" w:color="000000"/>
            </w:tcBorders>
            <w:vAlign w:val="center"/>
          </w:tcPr>
          <w:p w14:paraId="07A8CFFB" w14:textId="2D3A3136" w:rsidR="00B56D50" w:rsidRDefault="001C3C42" w:rsidP="007275B2">
            <w:pPr>
              <w:spacing w:after="0" w:line="259" w:lineRule="auto"/>
              <w:ind w:left="154" w:right="0" w:firstLine="0"/>
            </w:pPr>
            <w:r>
              <w:rPr>
                <w:b/>
                <w:sz w:val="18"/>
              </w:rPr>
              <w:t>RL</w:t>
            </w:r>
          </w:p>
        </w:tc>
        <w:tc>
          <w:tcPr>
            <w:tcW w:w="534" w:type="dxa"/>
            <w:tcBorders>
              <w:top w:val="single" w:sz="12" w:space="0" w:color="000000"/>
              <w:left w:val="single" w:sz="12" w:space="0" w:color="000000"/>
              <w:bottom w:val="single" w:sz="12" w:space="0" w:color="000000"/>
              <w:right w:val="single" w:sz="12" w:space="0" w:color="000000"/>
            </w:tcBorders>
            <w:vAlign w:val="center"/>
          </w:tcPr>
          <w:p w14:paraId="723F81C9" w14:textId="2C7EAA87" w:rsidR="00B56D50" w:rsidRDefault="001C3C42" w:rsidP="007275B2">
            <w:pPr>
              <w:spacing w:after="0" w:line="259" w:lineRule="auto"/>
              <w:ind w:left="43" w:right="0" w:firstLine="0"/>
            </w:pPr>
            <w:r>
              <w:rPr>
                <w:b/>
                <w:sz w:val="18"/>
              </w:rPr>
              <w:t>units</w:t>
            </w:r>
          </w:p>
        </w:tc>
        <w:tc>
          <w:tcPr>
            <w:tcW w:w="617" w:type="dxa"/>
            <w:tcBorders>
              <w:top w:val="single" w:sz="12" w:space="0" w:color="000000"/>
              <w:left w:val="single" w:sz="12" w:space="0" w:color="000000"/>
              <w:bottom w:val="single" w:sz="12" w:space="0" w:color="000000"/>
              <w:right w:val="single" w:sz="12" w:space="0" w:color="000000"/>
            </w:tcBorders>
            <w:vAlign w:val="center"/>
          </w:tcPr>
          <w:p w14:paraId="0962DF4E" w14:textId="1260C294" w:rsidR="00B56D50" w:rsidRDefault="001C3C42" w:rsidP="007275B2">
            <w:pPr>
              <w:spacing w:after="0" w:line="259" w:lineRule="auto"/>
              <w:ind w:left="154" w:right="0" w:firstLine="0"/>
            </w:pPr>
            <w:r>
              <w:rPr>
                <w:b/>
                <w:sz w:val="18"/>
              </w:rPr>
              <w:t>RL</w:t>
            </w:r>
          </w:p>
        </w:tc>
        <w:tc>
          <w:tcPr>
            <w:tcW w:w="851" w:type="dxa"/>
            <w:tcBorders>
              <w:top w:val="single" w:sz="12" w:space="0" w:color="000000"/>
              <w:left w:val="single" w:sz="12" w:space="0" w:color="000000"/>
              <w:bottom w:val="single" w:sz="12" w:space="0" w:color="000000"/>
              <w:right w:val="single" w:sz="12" w:space="0" w:color="000000"/>
            </w:tcBorders>
            <w:vAlign w:val="center"/>
          </w:tcPr>
          <w:p w14:paraId="311D5A60" w14:textId="251570D3" w:rsidR="00B56D50" w:rsidRDefault="001C3C42" w:rsidP="007275B2">
            <w:pPr>
              <w:spacing w:after="0" w:line="259" w:lineRule="auto"/>
              <w:ind w:left="0" w:right="38" w:firstLine="0"/>
              <w:jc w:val="center"/>
            </w:pPr>
            <w:r>
              <w:rPr>
                <w:b/>
                <w:sz w:val="18"/>
              </w:rPr>
              <w:t>units</w:t>
            </w:r>
          </w:p>
        </w:tc>
        <w:tc>
          <w:tcPr>
            <w:tcW w:w="540" w:type="dxa"/>
            <w:tcBorders>
              <w:top w:val="single" w:sz="12" w:space="0" w:color="000000"/>
              <w:left w:val="single" w:sz="12" w:space="0" w:color="000000"/>
              <w:bottom w:val="single" w:sz="12" w:space="0" w:color="000000"/>
              <w:right w:val="single" w:sz="12" w:space="0" w:color="000000"/>
            </w:tcBorders>
            <w:vAlign w:val="center"/>
          </w:tcPr>
          <w:p w14:paraId="4E20E0B4" w14:textId="429605F3" w:rsidR="00B56D50" w:rsidRDefault="001C3C42" w:rsidP="008D7F57">
            <w:pPr>
              <w:spacing w:after="0" w:line="259" w:lineRule="auto"/>
              <w:ind w:left="108" w:right="-8" w:firstLine="0"/>
            </w:pPr>
            <w:r>
              <w:rPr>
                <w:b/>
                <w:sz w:val="18"/>
              </w:rPr>
              <w:t>RL</w:t>
            </w:r>
          </w:p>
        </w:tc>
        <w:tc>
          <w:tcPr>
            <w:tcW w:w="1170" w:type="dxa"/>
            <w:tcBorders>
              <w:top w:val="single" w:sz="12" w:space="0" w:color="000000"/>
              <w:left w:val="single" w:sz="12" w:space="0" w:color="000000"/>
              <w:bottom w:val="single" w:sz="12" w:space="0" w:color="000000"/>
              <w:right w:val="single" w:sz="12" w:space="0" w:color="000000"/>
            </w:tcBorders>
            <w:vAlign w:val="center"/>
          </w:tcPr>
          <w:p w14:paraId="5E592C56" w14:textId="106F1711" w:rsidR="00B56D50" w:rsidRDefault="001C3C42" w:rsidP="007275B2">
            <w:pPr>
              <w:spacing w:after="0" w:line="259" w:lineRule="auto"/>
              <w:ind w:left="0" w:right="43" w:firstLine="0"/>
              <w:jc w:val="center"/>
            </w:pPr>
            <w:r>
              <w:rPr>
                <w:b/>
                <w:sz w:val="18"/>
              </w:rPr>
              <w:t>units</w:t>
            </w:r>
          </w:p>
        </w:tc>
        <w:tc>
          <w:tcPr>
            <w:tcW w:w="900" w:type="dxa"/>
            <w:vMerge/>
            <w:tcBorders>
              <w:top w:val="nil"/>
              <w:left w:val="single" w:sz="12" w:space="0" w:color="000000"/>
              <w:bottom w:val="single" w:sz="12" w:space="0" w:color="000000"/>
              <w:right w:val="single" w:sz="12" w:space="0" w:color="000000"/>
            </w:tcBorders>
            <w:vAlign w:val="center"/>
          </w:tcPr>
          <w:p w14:paraId="1E06BC01" w14:textId="77777777" w:rsidR="00B56D50" w:rsidRDefault="00B56D50" w:rsidP="007275B2">
            <w:pPr>
              <w:spacing w:after="160" w:line="259" w:lineRule="auto"/>
              <w:ind w:left="0" w:right="0" w:firstLine="0"/>
              <w:jc w:val="center"/>
            </w:pPr>
          </w:p>
        </w:tc>
      </w:tr>
      <w:tr w:rsidR="00985247" w14:paraId="716ABC14" w14:textId="77777777" w:rsidTr="00985247">
        <w:trPr>
          <w:trHeight w:val="262"/>
        </w:trPr>
        <w:tc>
          <w:tcPr>
            <w:tcW w:w="3551" w:type="dxa"/>
            <w:tcBorders>
              <w:top w:val="single" w:sz="12" w:space="0" w:color="000000"/>
              <w:left w:val="single" w:sz="12" w:space="0" w:color="000000"/>
              <w:bottom w:val="single" w:sz="4" w:space="0" w:color="000000"/>
              <w:right w:val="single" w:sz="12" w:space="0" w:color="000000"/>
            </w:tcBorders>
          </w:tcPr>
          <w:p w14:paraId="2C258119" w14:textId="77777777" w:rsidR="00B0429D" w:rsidRDefault="00B0429D" w:rsidP="006C089A">
            <w:pPr>
              <w:spacing w:after="0" w:line="259" w:lineRule="auto"/>
              <w:ind w:left="36" w:right="0" w:firstLine="0"/>
            </w:pPr>
            <w:r>
              <w:rPr>
                <w:sz w:val="18"/>
              </w:rPr>
              <w:t xml:space="preserve">2-Chlorobiphenyl </w:t>
            </w:r>
          </w:p>
        </w:tc>
        <w:tc>
          <w:tcPr>
            <w:tcW w:w="1047" w:type="dxa"/>
            <w:tcBorders>
              <w:top w:val="single" w:sz="12" w:space="0" w:color="000000"/>
              <w:left w:val="single" w:sz="12" w:space="0" w:color="000000"/>
              <w:bottom w:val="single" w:sz="4" w:space="0" w:color="000000"/>
              <w:right w:val="single" w:sz="12" w:space="0" w:color="000000"/>
            </w:tcBorders>
          </w:tcPr>
          <w:p w14:paraId="35D678EB" w14:textId="4598E729" w:rsidR="00B0429D" w:rsidRDefault="00B0429D" w:rsidP="00A22796">
            <w:pPr>
              <w:spacing w:after="0" w:line="259" w:lineRule="auto"/>
              <w:ind w:left="0" w:right="35" w:firstLine="0"/>
              <w:jc w:val="center"/>
            </w:pPr>
            <w:r>
              <w:rPr>
                <w:sz w:val="18"/>
              </w:rPr>
              <w:t>2051-60-7</w:t>
            </w:r>
          </w:p>
        </w:tc>
        <w:tc>
          <w:tcPr>
            <w:tcW w:w="793" w:type="dxa"/>
            <w:tcBorders>
              <w:top w:val="single" w:sz="12" w:space="0" w:color="000000"/>
              <w:left w:val="single" w:sz="12" w:space="0" w:color="000000"/>
              <w:bottom w:val="single" w:sz="4" w:space="0" w:color="000000"/>
              <w:right w:val="single" w:sz="12" w:space="0" w:color="000000"/>
            </w:tcBorders>
          </w:tcPr>
          <w:p w14:paraId="7FE9AB3B" w14:textId="15E8DBA6" w:rsidR="00B0429D" w:rsidRDefault="00B0429D" w:rsidP="00A22796">
            <w:pPr>
              <w:spacing w:after="0" w:line="259" w:lineRule="auto"/>
              <w:ind w:left="0" w:right="40" w:firstLine="0"/>
              <w:jc w:val="center"/>
            </w:pPr>
            <w:r>
              <w:rPr>
                <w:sz w:val="18"/>
              </w:rPr>
              <w:t>1</w:t>
            </w:r>
          </w:p>
        </w:tc>
        <w:tc>
          <w:tcPr>
            <w:tcW w:w="617" w:type="dxa"/>
            <w:tcBorders>
              <w:top w:val="single" w:sz="12" w:space="0" w:color="000000"/>
              <w:left w:val="single" w:sz="12" w:space="0" w:color="000000"/>
              <w:bottom w:val="single" w:sz="4" w:space="0" w:color="000000"/>
              <w:right w:val="single" w:sz="12" w:space="0" w:color="000000"/>
            </w:tcBorders>
          </w:tcPr>
          <w:p w14:paraId="425AEACC" w14:textId="213F3B49" w:rsidR="00B0429D" w:rsidRDefault="00B0429D" w:rsidP="00A22796">
            <w:pPr>
              <w:spacing w:after="0" w:line="259" w:lineRule="auto"/>
              <w:ind w:left="0" w:right="40" w:firstLine="0"/>
              <w:jc w:val="center"/>
            </w:pPr>
            <w:r>
              <w:rPr>
                <w:sz w:val="18"/>
              </w:rPr>
              <w:t>0.05</w:t>
            </w:r>
          </w:p>
        </w:tc>
        <w:tc>
          <w:tcPr>
            <w:tcW w:w="534" w:type="dxa"/>
            <w:tcBorders>
              <w:top w:val="single" w:sz="12" w:space="0" w:color="000000"/>
              <w:left w:val="single" w:sz="12" w:space="0" w:color="000000"/>
              <w:bottom w:val="single" w:sz="4" w:space="0" w:color="000000"/>
              <w:right w:val="single" w:sz="12" w:space="0" w:color="000000"/>
            </w:tcBorders>
            <w:vAlign w:val="center"/>
          </w:tcPr>
          <w:p w14:paraId="34EE7165" w14:textId="11D21A0B" w:rsidR="00B0429D" w:rsidRDefault="00B0429D" w:rsidP="00A53A74">
            <w:pPr>
              <w:spacing w:after="0" w:line="259" w:lineRule="auto"/>
              <w:ind w:left="58" w:right="0" w:firstLine="0"/>
            </w:pPr>
            <w:r>
              <w:rPr>
                <w:sz w:val="18"/>
              </w:rPr>
              <w:t>ug/L</w:t>
            </w:r>
          </w:p>
        </w:tc>
        <w:tc>
          <w:tcPr>
            <w:tcW w:w="617" w:type="dxa"/>
            <w:tcBorders>
              <w:top w:val="single" w:sz="12" w:space="0" w:color="000000"/>
              <w:left w:val="single" w:sz="12" w:space="0" w:color="000000"/>
              <w:bottom w:val="single" w:sz="4" w:space="0" w:color="000000"/>
              <w:right w:val="single" w:sz="12" w:space="0" w:color="000000"/>
            </w:tcBorders>
          </w:tcPr>
          <w:p w14:paraId="3A810F00" w14:textId="3C3524FD" w:rsidR="00B0429D" w:rsidRDefault="00B0429D" w:rsidP="00A22796">
            <w:pPr>
              <w:spacing w:after="0" w:line="259" w:lineRule="auto"/>
              <w:ind w:left="0" w:right="34" w:firstLine="0"/>
              <w:jc w:val="center"/>
            </w:pPr>
            <w:r>
              <w:rPr>
                <w:sz w:val="18"/>
              </w:rPr>
              <w:t>5</w:t>
            </w:r>
          </w:p>
        </w:tc>
        <w:tc>
          <w:tcPr>
            <w:tcW w:w="851" w:type="dxa"/>
            <w:tcBorders>
              <w:top w:val="single" w:sz="12" w:space="0" w:color="000000"/>
              <w:left w:val="single" w:sz="12" w:space="0" w:color="000000"/>
              <w:bottom w:val="single" w:sz="4" w:space="0" w:color="000000"/>
              <w:right w:val="single" w:sz="12" w:space="0" w:color="000000"/>
            </w:tcBorders>
          </w:tcPr>
          <w:p w14:paraId="04294EA4" w14:textId="443DC627" w:rsidR="00B0429D" w:rsidRDefault="00B0429D" w:rsidP="00A22796">
            <w:pPr>
              <w:spacing w:after="0" w:line="259" w:lineRule="auto"/>
              <w:ind w:left="0" w:right="0" w:firstLine="0"/>
              <w:jc w:val="center"/>
            </w:pPr>
            <w:r>
              <w:rPr>
                <w:rFonts w:eastAsia="Segoe UI Symbol"/>
                <w:sz w:val="18"/>
              </w:rPr>
              <w:t>u</w:t>
            </w:r>
            <w:r>
              <w:rPr>
                <w:sz w:val="18"/>
              </w:rPr>
              <w:t>g/kg</w:t>
            </w:r>
          </w:p>
        </w:tc>
        <w:tc>
          <w:tcPr>
            <w:tcW w:w="540" w:type="dxa"/>
            <w:tcBorders>
              <w:top w:val="single" w:sz="12" w:space="0" w:color="000000"/>
              <w:left w:val="single" w:sz="12" w:space="0" w:color="000000"/>
              <w:bottom w:val="single" w:sz="4" w:space="0" w:color="000000"/>
              <w:right w:val="single" w:sz="12" w:space="0" w:color="000000"/>
            </w:tcBorders>
          </w:tcPr>
          <w:p w14:paraId="3FBAA2AD" w14:textId="5DD8D127" w:rsidR="00B0429D" w:rsidRDefault="00B0429D" w:rsidP="00A22796">
            <w:pPr>
              <w:spacing w:after="0" w:line="259" w:lineRule="auto"/>
              <w:ind w:left="0" w:right="37" w:firstLine="0"/>
              <w:jc w:val="center"/>
            </w:pPr>
            <w:r>
              <w:rPr>
                <w:sz w:val="18"/>
              </w:rPr>
              <w:t>1</w:t>
            </w:r>
          </w:p>
        </w:tc>
        <w:tc>
          <w:tcPr>
            <w:tcW w:w="1170" w:type="dxa"/>
            <w:tcBorders>
              <w:top w:val="single" w:sz="12" w:space="0" w:color="000000"/>
              <w:left w:val="single" w:sz="12" w:space="0" w:color="000000"/>
              <w:bottom w:val="single" w:sz="4" w:space="0" w:color="000000"/>
              <w:right w:val="single" w:sz="12" w:space="0" w:color="000000"/>
            </w:tcBorders>
            <w:vAlign w:val="center"/>
          </w:tcPr>
          <w:p w14:paraId="75FF8A0E" w14:textId="10E79BD0" w:rsidR="00B0429D" w:rsidRPr="00B142E8" w:rsidRDefault="007B2694" w:rsidP="00A53A74">
            <w:pPr>
              <w:spacing w:after="0" w:line="259" w:lineRule="auto"/>
              <w:ind w:left="106" w:right="0" w:firstLine="0"/>
            </w:pPr>
            <w:r w:rsidRPr="00A53A74">
              <w:rPr>
                <w:rFonts w:eastAsia="Segoe UI Symbol"/>
                <w:sz w:val="18"/>
              </w:rPr>
              <w:t>u</w:t>
            </w:r>
            <w:r w:rsidR="007671A9" w:rsidRPr="00B142E8">
              <w:rPr>
                <w:sz w:val="18"/>
              </w:rPr>
              <w:t>g</w:t>
            </w:r>
            <w:r w:rsidR="00B0429D" w:rsidRPr="00B142E8">
              <w:rPr>
                <w:sz w:val="18"/>
              </w:rPr>
              <w:t xml:space="preserve"> /100 cm</w:t>
            </w:r>
            <w:r w:rsidR="00B0429D" w:rsidRPr="00B142E8">
              <w:rPr>
                <w:sz w:val="18"/>
                <w:vertAlign w:val="superscript"/>
              </w:rPr>
              <w:t>2</w:t>
            </w:r>
          </w:p>
        </w:tc>
        <w:tc>
          <w:tcPr>
            <w:tcW w:w="900" w:type="dxa"/>
            <w:tcBorders>
              <w:top w:val="single" w:sz="12" w:space="0" w:color="000000"/>
              <w:left w:val="single" w:sz="12" w:space="0" w:color="000000"/>
              <w:bottom w:val="single" w:sz="4" w:space="0" w:color="000000"/>
              <w:right w:val="single" w:sz="12" w:space="0" w:color="000000"/>
            </w:tcBorders>
          </w:tcPr>
          <w:p w14:paraId="676038AA" w14:textId="205145A5" w:rsidR="00B0429D" w:rsidRDefault="00B0429D" w:rsidP="00A22796">
            <w:pPr>
              <w:spacing w:after="0" w:line="259" w:lineRule="auto"/>
              <w:ind w:left="0" w:right="36" w:firstLine="0"/>
              <w:jc w:val="center"/>
            </w:pPr>
            <w:r>
              <w:rPr>
                <w:sz w:val="18"/>
              </w:rPr>
              <w:t>8082</w:t>
            </w:r>
          </w:p>
        </w:tc>
      </w:tr>
      <w:tr w:rsidR="00985247" w14:paraId="1D2B1795" w14:textId="77777777" w:rsidTr="00985247">
        <w:trPr>
          <w:trHeight w:val="250"/>
        </w:trPr>
        <w:tc>
          <w:tcPr>
            <w:tcW w:w="3551" w:type="dxa"/>
            <w:tcBorders>
              <w:top w:val="single" w:sz="4" w:space="0" w:color="000000"/>
              <w:left w:val="single" w:sz="12" w:space="0" w:color="000000"/>
              <w:bottom w:val="single" w:sz="4" w:space="0" w:color="000000"/>
              <w:right w:val="single" w:sz="12" w:space="0" w:color="000000"/>
            </w:tcBorders>
          </w:tcPr>
          <w:p w14:paraId="26BE41CE" w14:textId="77777777" w:rsidR="00B0429D" w:rsidRDefault="00B0429D" w:rsidP="006C089A">
            <w:pPr>
              <w:spacing w:after="0" w:line="259" w:lineRule="auto"/>
              <w:ind w:left="36" w:right="0" w:firstLine="0"/>
            </w:pPr>
            <w:r>
              <w:rPr>
                <w:sz w:val="18"/>
              </w:rPr>
              <w:t xml:space="preserve">2,3-Dichlorobiphenyl </w:t>
            </w:r>
          </w:p>
        </w:tc>
        <w:tc>
          <w:tcPr>
            <w:tcW w:w="1047" w:type="dxa"/>
            <w:tcBorders>
              <w:top w:val="single" w:sz="4" w:space="0" w:color="000000"/>
              <w:left w:val="single" w:sz="12" w:space="0" w:color="000000"/>
              <w:bottom w:val="single" w:sz="4" w:space="0" w:color="000000"/>
              <w:right w:val="single" w:sz="12" w:space="0" w:color="000000"/>
            </w:tcBorders>
          </w:tcPr>
          <w:p w14:paraId="6BEF3D19" w14:textId="68E97E91" w:rsidR="00B0429D" w:rsidRDefault="00B0429D" w:rsidP="00A22796">
            <w:pPr>
              <w:spacing w:after="0" w:line="259" w:lineRule="auto"/>
              <w:ind w:left="0" w:right="35" w:firstLine="0"/>
              <w:jc w:val="center"/>
            </w:pPr>
            <w:r>
              <w:rPr>
                <w:sz w:val="18"/>
              </w:rPr>
              <w:t>16605-91-7</w:t>
            </w:r>
          </w:p>
        </w:tc>
        <w:tc>
          <w:tcPr>
            <w:tcW w:w="793" w:type="dxa"/>
            <w:tcBorders>
              <w:top w:val="single" w:sz="4" w:space="0" w:color="000000"/>
              <w:left w:val="single" w:sz="12" w:space="0" w:color="000000"/>
              <w:bottom w:val="single" w:sz="4" w:space="0" w:color="000000"/>
              <w:right w:val="single" w:sz="12" w:space="0" w:color="000000"/>
            </w:tcBorders>
          </w:tcPr>
          <w:p w14:paraId="5407C9F0" w14:textId="60A96048" w:rsidR="00B0429D" w:rsidRDefault="00B0429D" w:rsidP="00A22796">
            <w:pPr>
              <w:spacing w:after="0" w:line="259" w:lineRule="auto"/>
              <w:ind w:left="0" w:right="40" w:firstLine="0"/>
              <w:jc w:val="center"/>
            </w:pPr>
            <w:r>
              <w:rPr>
                <w:sz w:val="18"/>
              </w:rPr>
              <w:t>5</w:t>
            </w:r>
          </w:p>
        </w:tc>
        <w:tc>
          <w:tcPr>
            <w:tcW w:w="617" w:type="dxa"/>
            <w:tcBorders>
              <w:top w:val="single" w:sz="4" w:space="0" w:color="000000"/>
              <w:left w:val="single" w:sz="12" w:space="0" w:color="000000"/>
              <w:bottom w:val="single" w:sz="4" w:space="0" w:color="000000"/>
              <w:right w:val="single" w:sz="12" w:space="0" w:color="000000"/>
            </w:tcBorders>
          </w:tcPr>
          <w:p w14:paraId="49DADEB8" w14:textId="5CDFA1AA" w:rsidR="00B0429D" w:rsidRDefault="00B0429D" w:rsidP="00A22796">
            <w:pPr>
              <w:spacing w:after="0" w:line="259" w:lineRule="auto"/>
              <w:ind w:left="0" w:right="40" w:firstLine="0"/>
              <w:jc w:val="center"/>
            </w:pPr>
            <w:r>
              <w:rPr>
                <w:sz w:val="18"/>
              </w:rPr>
              <w:t>0.05</w:t>
            </w:r>
          </w:p>
        </w:tc>
        <w:tc>
          <w:tcPr>
            <w:tcW w:w="534" w:type="dxa"/>
            <w:tcBorders>
              <w:top w:val="single" w:sz="4" w:space="0" w:color="000000"/>
              <w:left w:val="single" w:sz="12" w:space="0" w:color="000000"/>
              <w:bottom w:val="single" w:sz="4" w:space="0" w:color="000000"/>
              <w:right w:val="single" w:sz="12" w:space="0" w:color="000000"/>
            </w:tcBorders>
            <w:vAlign w:val="center"/>
          </w:tcPr>
          <w:p w14:paraId="6C9F0D36" w14:textId="0A49EC19" w:rsidR="00B0429D" w:rsidRDefault="00B0429D" w:rsidP="00A53A74">
            <w:pPr>
              <w:spacing w:after="0" w:line="259" w:lineRule="auto"/>
              <w:ind w:left="58" w:right="0" w:firstLine="0"/>
            </w:pPr>
            <w:r>
              <w:rPr>
                <w:sz w:val="18"/>
              </w:rPr>
              <w:t>ug/L</w:t>
            </w:r>
          </w:p>
        </w:tc>
        <w:tc>
          <w:tcPr>
            <w:tcW w:w="617" w:type="dxa"/>
            <w:tcBorders>
              <w:top w:val="single" w:sz="4" w:space="0" w:color="000000"/>
              <w:left w:val="single" w:sz="12" w:space="0" w:color="000000"/>
              <w:bottom w:val="single" w:sz="4" w:space="0" w:color="000000"/>
              <w:right w:val="single" w:sz="12" w:space="0" w:color="000000"/>
            </w:tcBorders>
          </w:tcPr>
          <w:p w14:paraId="2CCABEB0" w14:textId="61DCBDCD" w:rsidR="00B0429D" w:rsidRDefault="00B0429D" w:rsidP="00A22796">
            <w:pPr>
              <w:spacing w:after="0" w:line="259" w:lineRule="auto"/>
              <w:ind w:left="0" w:right="34" w:firstLine="0"/>
              <w:jc w:val="center"/>
            </w:pPr>
            <w:r>
              <w:rPr>
                <w:sz w:val="18"/>
              </w:rPr>
              <w:t>5</w:t>
            </w:r>
          </w:p>
        </w:tc>
        <w:tc>
          <w:tcPr>
            <w:tcW w:w="851" w:type="dxa"/>
            <w:tcBorders>
              <w:top w:val="single" w:sz="4" w:space="0" w:color="000000"/>
              <w:left w:val="single" w:sz="12" w:space="0" w:color="000000"/>
              <w:bottom w:val="single" w:sz="4" w:space="0" w:color="000000"/>
              <w:right w:val="single" w:sz="12" w:space="0" w:color="000000"/>
            </w:tcBorders>
          </w:tcPr>
          <w:p w14:paraId="79023954" w14:textId="50F33FCA" w:rsidR="00B0429D" w:rsidRDefault="00B0429D" w:rsidP="00A22796">
            <w:pPr>
              <w:spacing w:after="0" w:line="259" w:lineRule="auto"/>
              <w:ind w:left="0" w:right="0" w:firstLine="0"/>
              <w:jc w:val="center"/>
            </w:pPr>
            <w:r>
              <w:rPr>
                <w:rFonts w:eastAsia="Segoe UI Symbol"/>
                <w:sz w:val="18"/>
              </w:rPr>
              <w:t>u</w:t>
            </w:r>
            <w:r>
              <w:rPr>
                <w:sz w:val="18"/>
              </w:rPr>
              <w:t>g/kg</w:t>
            </w:r>
          </w:p>
        </w:tc>
        <w:tc>
          <w:tcPr>
            <w:tcW w:w="540" w:type="dxa"/>
            <w:tcBorders>
              <w:top w:val="single" w:sz="4" w:space="0" w:color="000000"/>
              <w:left w:val="single" w:sz="12" w:space="0" w:color="000000"/>
              <w:bottom w:val="single" w:sz="4" w:space="0" w:color="000000"/>
              <w:right w:val="single" w:sz="12" w:space="0" w:color="000000"/>
            </w:tcBorders>
          </w:tcPr>
          <w:p w14:paraId="655E5216" w14:textId="6C6A4C3E" w:rsidR="00B0429D" w:rsidRDefault="00B0429D" w:rsidP="00A22796">
            <w:pPr>
              <w:spacing w:after="0" w:line="259" w:lineRule="auto"/>
              <w:ind w:left="0" w:right="37" w:firstLine="0"/>
              <w:jc w:val="center"/>
            </w:pPr>
            <w:r>
              <w:rPr>
                <w:sz w:val="18"/>
              </w:rPr>
              <w:t>1</w:t>
            </w:r>
          </w:p>
        </w:tc>
        <w:tc>
          <w:tcPr>
            <w:tcW w:w="1170" w:type="dxa"/>
            <w:tcBorders>
              <w:top w:val="single" w:sz="4" w:space="0" w:color="000000"/>
              <w:left w:val="single" w:sz="12" w:space="0" w:color="000000"/>
              <w:bottom w:val="single" w:sz="4" w:space="0" w:color="000000"/>
              <w:right w:val="single" w:sz="12" w:space="0" w:color="000000"/>
            </w:tcBorders>
            <w:vAlign w:val="center"/>
          </w:tcPr>
          <w:p w14:paraId="6E7FF885" w14:textId="1EE317E1" w:rsidR="00B0429D" w:rsidRPr="00B142E8" w:rsidRDefault="007B2694" w:rsidP="00A53A74">
            <w:pPr>
              <w:spacing w:after="0" w:line="259" w:lineRule="auto"/>
              <w:ind w:left="106" w:right="0" w:firstLine="0"/>
            </w:pPr>
            <w:r w:rsidRPr="00A53A74">
              <w:rPr>
                <w:rFonts w:eastAsia="Segoe UI Symbol"/>
                <w:sz w:val="18"/>
              </w:rPr>
              <w:t>u</w:t>
            </w:r>
            <w:r w:rsidR="007671A9" w:rsidRPr="00B142E8">
              <w:rPr>
                <w:sz w:val="18"/>
              </w:rPr>
              <w:t>g</w:t>
            </w:r>
            <w:r w:rsidR="00B0429D" w:rsidRPr="00B142E8">
              <w:rPr>
                <w:sz w:val="18"/>
              </w:rPr>
              <w:t xml:space="preserve"> /100 cm</w:t>
            </w:r>
            <w:r w:rsidR="00B0429D" w:rsidRPr="00B142E8">
              <w:rPr>
                <w:sz w:val="18"/>
                <w:vertAlign w:val="superscript"/>
              </w:rPr>
              <w:t>2</w:t>
            </w:r>
          </w:p>
        </w:tc>
        <w:tc>
          <w:tcPr>
            <w:tcW w:w="900" w:type="dxa"/>
            <w:tcBorders>
              <w:top w:val="single" w:sz="4" w:space="0" w:color="000000"/>
              <w:left w:val="single" w:sz="12" w:space="0" w:color="000000"/>
              <w:bottom w:val="single" w:sz="4" w:space="0" w:color="000000"/>
              <w:right w:val="single" w:sz="12" w:space="0" w:color="000000"/>
            </w:tcBorders>
          </w:tcPr>
          <w:p w14:paraId="3E6E010D" w14:textId="0917D102" w:rsidR="00B0429D" w:rsidRDefault="00B0429D" w:rsidP="00A22796">
            <w:pPr>
              <w:spacing w:after="0" w:line="259" w:lineRule="auto"/>
              <w:ind w:left="0" w:right="36" w:firstLine="0"/>
              <w:jc w:val="center"/>
            </w:pPr>
            <w:r>
              <w:rPr>
                <w:sz w:val="18"/>
              </w:rPr>
              <w:t>8082</w:t>
            </w:r>
          </w:p>
        </w:tc>
      </w:tr>
      <w:tr w:rsidR="00985247" w14:paraId="28DCF05C" w14:textId="77777777" w:rsidTr="00985247">
        <w:trPr>
          <w:trHeight w:val="250"/>
        </w:trPr>
        <w:tc>
          <w:tcPr>
            <w:tcW w:w="3551" w:type="dxa"/>
            <w:tcBorders>
              <w:top w:val="single" w:sz="4" w:space="0" w:color="000000"/>
              <w:left w:val="single" w:sz="12" w:space="0" w:color="000000"/>
              <w:bottom w:val="single" w:sz="4" w:space="0" w:color="000000"/>
              <w:right w:val="single" w:sz="12" w:space="0" w:color="000000"/>
            </w:tcBorders>
          </w:tcPr>
          <w:p w14:paraId="19346A06" w14:textId="77777777" w:rsidR="00B0429D" w:rsidRDefault="00B0429D" w:rsidP="006C089A">
            <w:pPr>
              <w:spacing w:after="0" w:line="259" w:lineRule="auto"/>
              <w:ind w:left="36" w:right="0" w:firstLine="0"/>
            </w:pPr>
            <w:r>
              <w:rPr>
                <w:sz w:val="18"/>
              </w:rPr>
              <w:t xml:space="preserve">2,2',5-Trichlorobiphenyl </w:t>
            </w:r>
          </w:p>
        </w:tc>
        <w:tc>
          <w:tcPr>
            <w:tcW w:w="1047" w:type="dxa"/>
            <w:tcBorders>
              <w:top w:val="single" w:sz="4" w:space="0" w:color="000000"/>
              <w:left w:val="single" w:sz="12" w:space="0" w:color="000000"/>
              <w:bottom w:val="single" w:sz="4" w:space="0" w:color="000000"/>
              <w:right w:val="single" w:sz="12" w:space="0" w:color="000000"/>
            </w:tcBorders>
          </w:tcPr>
          <w:p w14:paraId="0AD4392E" w14:textId="71B9EB07" w:rsidR="00B0429D" w:rsidRDefault="00B0429D" w:rsidP="00A22796">
            <w:pPr>
              <w:spacing w:after="0" w:line="259" w:lineRule="auto"/>
              <w:ind w:left="0" w:right="35" w:firstLine="0"/>
              <w:jc w:val="center"/>
            </w:pPr>
            <w:r>
              <w:rPr>
                <w:sz w:val="18"/>
              </w:rPr>
              <w:t>37680-65-2</w:t>
            </w:r>
          </w:p>
        </w:tc>
        <w:tc>
          <w:tcPr>
            <w:tcW w:w="793" w:type="dxa"/>
            <w:tcBorders>
              <w:top w:val="single" w:sz="4" w:space="0" w:color="000000"/>
              <w:left w:val="single" w:sz="12" w:space="0" w:color="000000"/>
              <w:bottom w:val="single" w:sz="4" w:space="0" w:color="000000"/>
              <w:right w:val="single" w:sz="12" w:space="0" w:color="000000"/>
            </w:tcBorders>
          </w:tcPr>
          <w:p w14:paraId="0AA25AC1" w14:textId="047A5951" w:rsidR="00B0429D" w:rsidRDefault="00B0429D" w:rsidP="00A22796">
            <w:pPr>
              <w:spacing w:after="0" w:line="259" w:lineRule="auto"/>
              <w:ind w:left="0" w:right="35" w:firstLine="0"/>
              <w:jc w:val="center"/>
            </w:pPr>
            <w:r>
              <w:rPr>
                <w:sz w:val="18"/>
              </w:rPr>
              <w:t>18</w:t>
            </w:r>
          </w:p>
        </w:tc>
        <w:tc>
          <w:tcPr>
            <w:tcW w:w="617" w:type="dxa"/>
            <w:tcBorders>
              <w:top w:val="single" w:sz="4" w:space="0" w:color="000000"/>
              <w:left w:val="single" w:sz="12" w:space="0" w:color="000000"/>
              <w:bottom w:val="single" w:sz="4" w:space="0" w:color="000000"/>
              <w:right w:val="single" w:sz="12" w:space="0" w:color="000000"/>
            </w:tcBorders>
          </w:tcPr>
          <w:p w14:paraId="118044B4" w14:textId="64C12FF2" w:rsidR="00B0429D" w:rsidRDefault="00B0429D" w:rsidP="00A22796">
            <w:pPr>
              <w:spacing w:after="0" w:line="259" w:lineRule="auto"/>
              <w:ind w:left="0" w:right="40" w:firstLine="0"/>
              <w:jc w:val="center"/>
            </w:pPr>
            <w:r>
              <w:rPr>
                <w:sz w:val="18"/>
              </w:rPr>
              <w:t>0.05</w:t>
            </w:r>
          </w:p>
        </w:tc>
        <w:tc>
          <w:tcPr>
            <w:tcW w:w="534" w:type="dxa"/>
            <w:tcBorders>
              <w:top w:val="single" w:sz="4" w:space="0" w:color="000000"/>
              <w:left w:val="single" w:sz="12" w:space="0" w:color="000000"/>
              <w:bottom w:val="single" w:sz="4" w:space="0" w:color="000000"/>
              <w:right w:val="single" w:sz="12" w:space="0" w:color="000000"/>
            </w:tcBorders>
            <w:vAlign w:val="center"/>
          </w:tcPr>
          <w:p w14:paraId="00D875C7" w14:textId="6259479B" w:rsidR="00B0429D" w:rsidRDefault="00B0429D" w:rsidP="00A53A74">
            <w:pPr>
              <w:spacing w:after="0" w:line="259" w:lineRule="auto"/>
              <w:ind w:left="58" w:right="0" w:firstLine="0"/>
            </w:pPr>
            <w:r>
              <w:rPr>
                <w:sz w:val="18"/>
              </w:rPr>
              <w:t>ug/L</w:t>
            </w:r>
          </w:p>
        </w:tc>
        <w:tc>
          <w:tcPr>
            <w:tcW w:w="617" w:type="dxa"/>
            <w:tcBorders>
              <w:top w:val="single" w:sz="4" w:space="0" w:color="000000"/>
              <w:left w:val="single" w:sz="12" w:space="0" w:color="000000"/>
              <w:bottom w:val="single" w:sz="4" w:space="0" w:color="000000"/>
              <w:right w:val="single" w:sz="12" w:space="0" w:color="000000"/>
            </w:tcBorders>
          </w:tcPr>
          <w:p w14:paraId="0B2AF23E" w14:textId="44FBE082" w:rsidR="00B0429D" w:rsidRDefault="00B0429D" w:rsidP="00A22796">
            <w:pPr>
              <w:spacing w:after="0" w:line="259" w:lineRule="auto"/>
              <w:ind w:left="0" w:right="34" w:firstLine="0"/>
              <w:jc w:val="center"/>
            </w:pPr>
            <w:r>
              <w:rPr>
                <w:sz w:val="18"/>
              </w:rPr>
              <w:t>5</w:t>
            </w:r>
          </w:p>
        </w:tc>
        <w:tc>
          <w:tcPr>
            <w:tcW w:w="851" w:type="dxa"/>
            <w:tcBorders>
              <w:top w:val="single" w:sz="4" w:space="0" w:color="000000"/>
              <w:left w:val="single" w:sz="12" w:space="0" w:color="000000"/>
              <w:bottom w:val="single" w:sz="4" w:space="0" w:color="000000"/>
              <w:right w:val="single" w:sz="12" w:space="0" w:color="000000"/>
            </w:tcBorders>
          </w:tcPr>
          <w:p w14:paraId="099BE8AE" w14:textId="161CE658" w:rsidR="00B0429D" w:rsidRDefault="00B0429D" w:rsidP="00A22796">
            <w:pPr>
              <w:spacing w:after="0" w:line="259" w:lineRule="auto"/>
              <w:ind w:left="0" w:right="0" w:firstLine="0"/>
              <w:jc w:val="center"/>
            </w:pPr>
            <w:r>
              <w:rPr>
                <w:rFonts w:eastAsia="Segoe UI Symbol"/>
                <w:sz w:val="18"/>
              </w:rPr>
              <w:t>u</w:t>
            </w:r>
            <w:r>
              <w:rPr>
                <w:sz w:val="18"/>
              </w:rPr>
              <w:t>g/kg</w:t>
            </w:r>
          </w:p>
        </w:tc>
        <w:tc>
          <w:tcPr>
            <w:tcW w:w="540" w:type="dxa"/>
            <w:tcBorders>
              <w:top w:val="single" w:sz="4" w:space="0" w:color="000000"/>
              <w:left w:val="single" w:sz="12" w:space="0" w:color="000000"/>
              <w:bottom w:val="single" w:sz="4" w:space="0" w:color="000000"/>
              <w:right w:val="single" w:sz="12" w:space="0" w:color="000000"/>
            </w:tcBorders>
          </w:tcPr>
          <w:p w14:paraId="3D3A0403" w14:textId="0DE0A9FB" w:rsidR="00B0429D" w:rsidRDefault="00B0429D" w:rsidP="00A22796">
            <w:pPr>
              <w:spacing w:after="0" w:line="259" w:lineRule="auto"/>
              <w:ind w:left="0" w:right="37" w:firstLine="0"/>
              <w:jc w:val="center"/>
            </w:pPr>
            <w:r>
              <w:rPr>
                <w:sz w:val="18"/>
              </w:rPr>
              <w:t>1</w:t>
            </w:r>
          </w:p>
        </w:tc>
        <w:tc>
          <w:tcPr>
            <w:tcW w:w="1170" w:type="dxa"/>
            <w:tcBorders>
              <w:top w:val="single" w:sz="4" w:space="0" w:color="000000"/>
              <w:left w:val="single" w:sz="12" w:space="0" w:color="000000"/>
              <w:bottom w:val="single" w:sz="4" w:space="0" w:color="000000"/>
              <w:right w:val="single" w:sz="12" w:space="0" w:color="000000"/>
            </w:tcBorders>
            <w:vAlign w:val="center"/>
          </w:tcPr>
          <w:p w14:paraId="75B8AA09" w14:textId="6DBD7A0F" w:rsidR="00B0429D" w:rsidRPr="00B142E8" w:rsidRDefault="007B2694" w:rsidP="00A53A74">
            <w:pPr>
              <w:spacing w:after="0" w:line="259" w:lineRule="auto"/>
              <w:ind w:left="106" w:right="0" w:firstLine="0"/>
            </w:pPr>
            <w:r w:rsidRPr="00A53A74">
              <w:rPr>
                <w:rFonts w:eastAsia="Segoe UI Symbol"/>
                <w:sz w:val="18"/>
              </w:rPr>
              <w:t>u</w:t>
            </w:r>
            <w:r w:rsidR="007671A9" w:rsidRPr="00B142E8">
              <w:rPr>
                <w:sz w:val="18"/>
              </w:rPr>
              <w:t>g</w:t>
            </w:r>
            <w:r w:rsidR="00B0429D" w:rsidRPr="00B142E8">
              <w:rPr>
                <w:sz w:val="18"/>
              </w:rPr>
              <w:t xml:space="preserve"> /100 cm</w:t>
            </w:r>
            <w:r w:rsidR="00B0429D" w:rsidRPr="00B142E8">
              <w:rPr>
                <w:sz w:val="18"/>
                <w:vertAlign w:val="superscript"/>
              </w:rPr>
              <w:t>2</w:t>
            </w:r>
          </w:p>
        </w:tc>
        <w:tc>
          <w:tcPr>
            <w:tcW w:w="900" w:type="dxa"/>
            <w:tcBorders>
              <w:top w:val="single" w:sz="4" w:space="0" w:color="000000"/>
              <w:left w:val="single" w:sz="12" w:space="0" w:color="000000"/>
              <w:bottom w:val="single" w:sz="4" w:space="0" w:color="000000"/>
              <w:right w:val="single" w:sz="12" w:space="0" w:color="000000"/>
            </w:tcBorders>
          </w:tcPr>
          <w:p w14:paraId="4860139B" w14:textId="19008537" w:rsidR="00B0429D" w:rsidRDefault="00B0429D" w:rsidP="00A22796">
            <w:pPr>
              <w:spacing w:after="0" w:line="259" w:lineRule="auto"/>
              <w:ind w:left="0" w:right="36" w:firstLine="0"/>
              <w:jc w:val="center"/>
            </w:pPr>
            <w:r>
              <w:rPr>
                <w:sz w:val="18"/>
              </w:rPr>
              <w:t>8082</w:t>
            </w:r>
          </w:p>
        </w:tc>
      </w:tr>
      <w:tr w:rsidR="00985247" w14:paraId="0626D429" w14:textId="77777777" w:rsidTr="00985247">
        <w:trPr>
          <w:trHeight w:val="250"/>
        </w:trPr>
        <w:tc>
          <w:tcPr>
            <w:tcW w:w="3551" w:type="dxa"/>
            <w:tcBorders>
              <w:top w:val="single" w:sz="4" w:space="0" w:color="000000"/>
              <w:left w:val="single" w:sz="12" w:space="0" w:color="000000"/>
              <w:bottom w:val="single" w:sz="4" w:space="0" w:color="000000"/>
              <w:right w:val="single" w:sz="12" w:space="0" w:color="000000"/>
            </w:tcBorders>
          </w:tcPr>
          <w:p w14:paraId="3EFDC51A" w14:textId="77777777" w:rsidR="00B0429D" w:rsidRDefault="00B0429D" w:rsidP="006C089A">
            <w:pPr>
              <w:spacing w:after="0" w:line="259" w:lineRule="auto"/>
              <w:ind w:left="36" w:right="0" w:firstLine="0"/>
            </w:pPr>
            <w:r>
              <w:rPr>
                <w:sz w:val="18"/>
              </w:rPr>
              <w:t xml:space="preserve">2,4',5-Trichlorobiphenyl </w:t>
            </w:r>
          </w:p>
        </w:tc>
        <w:tc>
          <w:tcPr>
            <w:tcW w:w="1047" w:type="dxa"/>
            <w:tcBorders>
              <w:top w:val="single" w:sz="4" w:space="0" w:color="000000"/>
              <w:left w:val="single" w:sz="12" w:space="0" w:color="000000"/>
              <w:bottom w:val="single" w:sz="4" w:space="0" w:color="000000"/>
              <w:right w:val="single" w:sz="12" w:space="0" w:color="000000"/>
            </w:tcBorders>
          </w:tcPr>
          <w:p w14:paraId="287F3B75" w14:textId="44035AE2" w:rsidR="00B0429D" w:rsidRDefault="00B0429D" w:rsidP="00A22796">
            <w:pPr>
              <w:spacing w:after="0" w:line="259" w:lineRule="auto"/>
              <w:ind w:left="0" w:right="35" w:firstLine="0"/>
              <w:jc w:val="center"/>
            </w:pPr>
            <w:r>
              <w:rPr>
                <w:sz w:val="18"/>
              </w:rPr>
              <w:t>16606-02-3</w:t>
            </w:r>
          </w:p>
        </w:tc>
        <w:tc>
          <w:tcPr>
            <w:tcW w:w="793" w:type="dxa"/>
            <w:tcBorders>
              <w:top w:val="single" w:sz="4" w:space="0" w:color="000000"/>
              <w:left w:val="single" w:sz="12" w:space="0" w:color="000000"/>
              <w:bottom w:val="single" w:sz="4" w:space="0" w:color="000000"/>
              <w:right w:val="single" w:sz="12" w:space="0" w:color="000000"/>
            </w:tcBorders>
          </w:tcPr>
          <w:p w14:paraId="3418B625" w14:textId="4FC26A04" w:rsidR="00B0429D" w:rsidRDefault="00B0429D" w:rsidP="00A22796">
            <w:pPr>
              <w:spacing w:after="0" w:line="259" w:lineRule="auto"/>
              <w:ind w:left="0" w:right="35" w:firstLine="0"/>
              <w:jc w:val="center"/>
            </w:pPr>
            <w:r>
              <w:rPr>
                <w:sz w:val="18"/>
              </w:rPr>
              <w:t>31</w:t>
            </w:r>
          </w:p>
        </w:tc>
        <w:tc>
          <w:tcPr>
            <w:tcW w:w="617" w:type="dxa"/>
            <w:tcBorders>
              <w:top w:val="single" w:sz="4" w:space="0" w:color="000000"/>
              <w:left w:val="single" w:sz="12" w:space="0" w:color="000000"/>
              <w:bottom w:val="single" w:sz="4" w:space="0" w:color="000000"/>
              <w:right w:val="single" w:sz="12" w:space="0" w:color="000000"/>
            </w:tcBorders>
          </w:tcPr>
          <w:p w14:paraId="33107D96" w14:textId="7069F417" w:rsidR="00B0429D" w:rsidRDefault="00B0429D" w:rsidP="00A22796">
            <w:pPr>
              <w:spacing w:after="0" w:line="259" w:lineRule="auto"/>
              <w:ind w:left="0" w:right="40" w:firstLine="0"/>
              <w:jc w:val="center"/>
            </w:pPr>
            <w:r>
              <w:rPr>
                <w:sz w:val="18"/>
              </w:rPr>
              <w:t>0.05</w:t>
            </w:r>
          </w:p>
        </w:tc>
        <w:tc>
          <w:tcPr>
            <w:tcW w:w="534" w:type="dxa"/>
            <w:tcBorders>
              <w:top w:val="single" w:sz="4" w:space="0" w:color="000000"/>
              <w:left w:val="single" w:sz="12" w:space="0" w:color="000000"/>
              <w:bottom w:val="single" w:sz="4" w:space="0" w:color="000000"/>
              <w:right w:val="single" w:sz="12" w:space="0" w:color="000000"/>
            </w:tcBorders>
            <w:vAlign w:val="center"/>
          </w:tcPr>
          <w:p w14:paraId="1AAEBCA9" w14:textId="2BC611FD" w:rsidR="00B0429D" w:rsidRDefault="00B0429D" w:rsidP="00A53A74">
            <w:pPr>
              <w:spacing w:after="0" w:line="259" w:lineRule="auto"/>
              <w:ind w:left="58" w:right="0" w:firstLine="0"/>
            </w:pPr>
            <w:r>
              <w:rPr>
                <w:sz w:val="18"/>
              </w:rPr>
              <w:t>ug/L</w:t>
            </w:r>
          </w:p>
        </w:tc>
        <w:tc>
          <w:tcPr>
            <w:tcW w:w="617" w:type="dxa"/>
            <w:tcBorders>
              <w:top w:val="single" w:sz="4" w:space="0" w:color="000000"/>
              <w:left w:val="single" w:sz="12" w:space="0" w:color="000000"/>
              <w:bottom w:val="single" w:sz="4" w:space="0" w:color="000000"/>
              <w:right w:val="single" w:sz="12" w:space="0" w:color="000000"/>
            </w:tcBorders>
          </w:tcPr>
          <w:p w14:paraId="3C8858B7" w14:textId="7EE5B1FC" w:rsidR="00B0429D" w:rsidRDefault="00B0429D" w:rsidP="00A22796">
            <w:pPr>
              <w:spacing w:after="0" w:line="259" w:lineRule="auto"/>
              <w:ind w:left="0" w:right="34" w:firstLine="0"/>
              <w:jc w:val="center"/>
            </w:pPr>
            <w:r>
              <w:rPr>
                <w:sz w:val="18"/>
              </w:rPr>
              <w:t>5</w:t>
            </w:r>
          </w:p>
        </w:tc>
        <w:tc>
          <w:tcPr>
            <w:tcW w:w="851" w:type="dxa"/>
            <w:tcBorders>
              <w:top w:val="single" w:sz="4" w:space="0" w:color="000000"/>
              <w:left w:val="single" w:sz="12" w:space="0" w:color="000000"/>
              <w:bottom w:val="single" w:sz="4" w:space="0" w:color="000000"/>
              <w:right w:val="single" w:sz="12" w:space="0" w:color="000000"/>
            </w:tcBorders>
          </w:tcPr>
          <w:p w14:paraId="55C03C98" w14:textId="7A6B6ED4" w:rsidR="00B0429D" w:rsidRDefault="00B0429D" w:rsidP="00A22796">
            <w:pPr>
              <w:spacing w:after="0" w:line="259" w:lineRule="auto"/>
              <w:ind w:left="0" w:right="0" w:firstLine="0"/>
              <w:jc w:val="center"/>
            </w:pPr>
            <w:r>
              <w:rPr>
                <w:rFonts w:eastAsia="Segoe UI Symbol"/>
                <w:sz w:val="18"/>
              </w:rPr>
              <w:t>u</w:t>
            </w:r>
            <w:r>
              <w:rPr>
                <w:sz w:val="18"/>
              </w:rPr>
              <w:t>g/kg</w:t>
            </w:r>
          </w:p>
        </w:tc>
        <w:tc>
          <w:tcPr>
            <w:tcW w:w="540" w:type="dxa"/>
            <w:tcBorders>
              <w:top w:val="single" w:sz="4" w:space="0" w:color="000000"/>
              <w:left w:val="single" w:sz="12" w:space="0" w:color="000000"/>
              <w:bottom w:val="single" w:sz="4" w:space="0" w:color="000000"/>
              <w:right w:val="single" w:sz="12" w:space="0" w:color="000000"/>
            </w:tcBorders>
          </w:tcPr>
          <w:p w14:paraId="4AE1846F" w14:textId="4CEA0C67" w:rsidR="00B0429D" w:rsidRDefault="00B0429D" w:rsidP="00A22796">
            <w:pPr>
              <w:spacing w:after="0" w:line="259" w:lineRule="auto"/>
              <w:ind w:left="0" w:right="37" w:firstLine="0"/>
              <w:jc w:val="center"/>
            </w:pPr>
            <w:r>
              <w:rPr>
                <w:sz w:val="18"/>
              </w:rPr>
              <w:t>1</w:t>
            </w:r>
          </w:p>
        </w:tc>
        <w:tc>
          <w:tcPr>
            <w:tcW w:w="1170" w:type="dxa"/>
            <w:tcBorders>
              <w:top w:val="single" w:sz="4" w:space="0" w:color="000000"/>
              <w:left w:val="single" w:sz="12" w:space="0" w:color="000000"/>
              <w:bottom w:val="single" w:sz="4" w:space="0" w:color="000000"/>
              <w:right w:val="single" w:sz="12" w:space="0" w:color="000000"/>
            </w:tcBorders>
            <w:vAlign w:val="center"/>
          </w:tcPr>
          <w:p w14:paraId="48A281C5" w14:textId="68ACE5A8" w:rsidR="00B0429D" w:rsidRPr="00B142E8" w:rsidRDefault="007B2694" w:rsidP="00A53A74">
            <w:pPr>
              <w:spacing w:after="0" w:line="259" w:lineRule="auto"/>
              <w:ind w:left="106" w:right="0" w:firstLine="0"/>
            </w:pPr>
            <w:r w:rsidRPr="00A53A74">
              <w:rPr>
                <w:rFonts w:eastAsia="Segoe UI Symbol"/>
                <w:sz w:val="18"/>
              </w:rPr>
              <w:t>u</w:t>
            </w:r>
            <w:r w:rsidR="007671A9" w:rsidRPr="00B142E8">
              <w:rPr>
                <w:sz w:val="18"/>
              </w:rPr>
              <w:t>g</w:t>
            </w:r>
            <w:r w:rsidR="00B0429D" w:rsidRPr="00B142E8">
              <w:rPr>
                <w:sz w:val="18"/>
              </w:rPr>
              <w:t xml:space="preserve"> /100 cm</w:t>
            </w:r>
            <w:r w:rsidR="00B0429D" w:rsidRPr="00B142E8">
              <w:rPr>
                <w:sz w:val="18"/>
                <w:vertAlign w:val="superscript"/>
              </w:rPr>
              <w:t>2</w:t>
            </w:r>
          </w:p>
        </w:tc>
        <w:tc>
          <w:tcPr>
            <w:tcW w:w="900" w:type="dxa"/>
            <w:tcBorders>
              <w:top w:val="single" w:sz="4" w:space="0" w:color="000000"/>
              <w:left w:val="single" w:sz="12" w:space="0" w:color="000000"/>
              <w:bottom w:val="single" w:sz="4" w:space="0" w:color="000000"/>
              <w:right w:val="single" w:sz="12" w:space="0" w:color="000000"/>
            </w:tcBorders>
          </w:tcPr>
          <w:p w14:paraId="1D594E8A" w14:textId="4BF35A90" w:rsidR="00B0429D" w:rsidRDefault="00B0429D" w:rsidP="00A22796">
            <w:pPr>
              <w:spacing w:after="0" w:line="259" w:lineRule="auto"/>
              <w:ind w:left="0" w:right="36" w:firstLine="0"/>
              <w:jc w:val="center"/>
            </w:pPr>
            <w:r>
              <w:rPr>
                <w:sz w:val="18"/>
              </w:rPr>
              <w:t>8082</w:t>
            </w:r>
          </w:p>
        </w:tc>
      </w:tr>
      <w:tr w:rsidR="00985247" w14:paraId="27D9B9AF" w14:textId="77777777" w:rsidTr="00985247">
        <w:trPr>
          <w:trHeight w:val="250"/>
        </w:trPr>
        <w:tc>
          <w:tcPr>
            <w:tcW w:w="3551" w:type="dxa"/>
            <w:tcBorders>
              <w:top w:val="single" w:sz="4" w:space="0" w:color="000000"/>
              <w:left w:val="single" w:sz="12" w:space="0" w:color="000000"/>
              <w:bottom w:val="single" w:sz="4" w:space="0" w:color="000000"/>
              <w:right w:val="single" w:sz="12" w:space="0" w:color="000000"/>
            </w:tcBorders>
          </w:tcPr>
          <w:p w14:paraId="1AA5DC13" w14:textId="77777777" w:rsidR="00B0429D" w:rsidRDefault="00B0429D" w:rsidP="006C089A">
            <w:pPr>
              <w:spacing w:after="0" w:line="259" w:lineRule="auto"/>
              <w:ind w:left="36" w:right="0" w:firstLine="0"/>
            </w:pPr>
            <w:r>
              <w:rPr>
                <w:sz w:val="18"/>
              </w:rPr>
              <w:t xml:space="preserve">2,2',3,5'-Tetrachlorobiphenyl </w:t>
            </w:r>
          </w:p>
        </w:tc>
        <w:tc>
          <w:tcPr>
            <w:tcW w:w="1047" w:type="dxa"/>
            <w:tcBorders>
              <w:top w:val="single" w:sz="4" w:space="0" w:color="000000"/>
              <w:left w:val="single" w:sz="12" w:space="0" w:color="000000"/>
              <w:bottom w:val="single" w:sz="4" w:space="0" w:color="000000"/>
              <w:right w:val="single" w:sz="12" w:space="0" w:color="000000"/>
            </w:tcBorders>
          </w:tcPr>
          <w:p w14:paraId="67F87AB3" w14:textId="51E61BCE" w:rsidR="00B0429D" w:rsidRDefault="00B0429D" w:rsidP="00A22796">
            <w:pPr>
              <w:spacing w:after="0" w:line="259" w:lineRule="auto"/>
              <w:ind w:left="0" w:right="37" w:firstLine="0"/>
              <w:jc w:val="center"/>
            </w:pPr>
            <w:r>
              <w:rPr>
                <w:sz w:val="18"/>
              </w:rPr>
              <w:t>41464-39-5</w:t>
            </w:r>
          </w:p>
        </w:tc>
        <w:tc>
          <w:tcPr>
            <w:tcW w:w="793" w:type="dxa"/>
            <w:tcBorders>
              <w:top w:val="single" w:sz="4" w:space="0" w:color="000000"/>
              <w:left w:val="single" w:sz="12" w:space="0" w:color="000000"/>
              <w:bottom w:val="single" w:sz="4" w:space="0" w:color="000000"/>
              <w:right w:val="single" w:sz="12" w:space="0" w:color="000000"/>
            </w:tcBorders>
          </w:tcPr>
          <w:p w14:paraId="42880EE7" w14:textId="03C59158" w:rsidR="00B0429D" w:rsidRDefault="00B0429D" w:rsidP="00A22796">
            <w:pPr>
              <w:spacing w:after="0" w:line="259" w:lineRule="auto"/>
              <w:ind w:left="0" w:right="35" w:firstLine="0"/>
              <w:jc w:val="center"/>
            </w:pPr>
            <w:r>
              <w:rPr>
                <w:sz w:val="18"/>
              </w:rPr>
              <w:t>44</w:t>
            </w:r>
          </w:p>
        </w:tc>
        <w:tc>
          <w:tcPr>
            <w:tcW w:w="617" w:type="dxa"/>
            <w:tcBorders>
              <w:top w:val="single" w:sz="4" w:space="0" w:color="000000"/>
              <w:left w:val="single" w:sz="12" w:space="0" w:color="000000"/>
              <w:bottom w:val="single" w:sz="4" w:space="0" w:color="000000"/>
              <w:right w:val="single" w:sz="12" w:space="0" w:color="000000"/>
            </w:tcBorders>
          </w:tcPr>
          <w:p w14:paraId="78B080A4" w14:textId="4D6598D6" w:rsidR="00B0429D" w:rsidRDefault="00B0429D" w:rsidP="00A22796">
            <w:pPr>
              <w:spacing w:after="0" w:line="259" w:lineRule="auto"/>
              <w:ind w:left="0" w:right="40" w:firstLine="0"/>
              <w:jc w:val="center"/>
            </w:pPr>
            <w:r>
              <w:rPr>
                <w:sz w:val="18"/>
              </w:rPr>
              <w:t>0.05</w:t>
            </w:r>
          </w:p>
        </w:tc>
        <w:tc>
          <w:tcPr>
            <w:tcW w:w="534" w:type="dxa"/>
            <w:tcBorders>
              <w:top w:val="single" w:sz="4" w:space="0" w:color="000000"/>
              <w:left w:val="single" w:sz="12" w:space="0" w:color="000000"/>
              <w:bottom w:val="single" w:sz="4" w:space="0" w:color="000000"/>
              <w:right w:val="single" w:sz="12" w:space="0" w:color="000000"/>
            </w:tcBorders>
            <w:vAlign w:val="center"/>
          </w:tcPr>
          <w:p w14:paraId="264413C8" w14:textId="4DA5289A" w:rsidR="00B0429D" w:rsidRDefault="00B0429D" w:rsidP="00A53A74">
            <w:pPr>
              <w:spacing w:after="0" w:line="259" w:lineRule="auto"/>
              <w:ind w:left="58" w:right="0" w:firstLine="0"/>
            </w:pPr>
            <w:r>
              <w:rPr>
                <w:sz w:val="18"/>
              </w:rPr>
              <w:t>ug/L</w:t>
            </w:r>
          </w:p>
        </w:tc>
        <w:tc>
          <w:tcPr>
            <w:tcW w:w="617" w:type="dxa"/>
            <w:tcBorders>
              <w:top w:val="single" w:sz="4" w:space="0" w:color="000000"/>
              <w:left w:val="single" w:sz="12" w:space="0" w:color="000000"/>
              <w:bottom w:val="single" w:sz="4" w:space="0" w:color="000000"/>
              <w:right w:val="single" w:sz="12" w:space="0" w:color="000000"/>
            </w:tcBorders>
          </w:tcPr>
          <w:p w14:paraId="1CB7B168" w14:textId="49EAAEFF" w:rsidR="00B0429D" w:rsidRDefault="00B0429D" w:rsidP="00A22796">
            <w:pPr>
              <w:spacing w:after="0" w:line="259" w:lineRule="auto"/>
              <w:ind w:left="0" w:right="34" w:firstLine="0"/>
              <w:jc w:val="center"/>
            </w:pPr>
            <w:r>
              <w:rPr>
                <w:sz w:val="18"/>
              </w:rPr>
              <w:t>5</w:t>
            </w:r>
          </w:p>
        </w:tc>
        <w:tc>
          <w:tcPr>
            <w:tcW w:w="851" w:type="dxa"/>
            <w:tcBorders>
              <w:top w:val="single" w:sz="4" w:space="0" w:color="000000"/>
              <w:left w:val="single" w:sz="12" w:space="0" w:color="000000"/>
              <w:bottom w:val="single" w:sz="4" w:space="0" w:color="000000"/>
              <w:right w:val="single" w:sz="12" w:space="0" w:color="000000"/>
            </w:tcBorders>
          </w:tcPr>
          <w:p w14:paraId="4E1D9CC6" w14:textId="68FB41FC" w:rsidR="00B0429D" w:rsidRDefault="00B0429D" w:rsidP="00A22796">
            <w:pPr>
              <w:spacing w:after="0" w:line="259" w:lineRule="auto"/>
              <w:ind w:left="0" w:right="0" w:firstLine="0"/>
              <w:jc w:val="center"/>
            </w:pPr>
            <w:r>
              <w:rPr>
                <w:rFonts w:eastAsia="Segoe UI Symbol"/>
                <w:sz w:val="18"/>
              </w:rPr>
              <w:t>u</w:t>
            </w:r>
            <w:r>
              <w:rPr>
                <w:sz w:val="18"/>
              </w:rPr>
              <w:t>g/kg</w:t>
            </w:r>
          </w:p>
        </w:tc>
        <w:tc>
          <w:tcPr>
            <w:tcW w:w="540" w:type="dxa"/>
            <w:tcBorders>
              <w:top w:val="single" w:sz="4" w:space="0" w:color="000000"/>
              <w:left w:val="single" w:sz="12" w:space="0" w:color="000000"/>
              <w:bottom w:val="single" w:sz="4" w:space="0" w:color="000000"/>
              <w:right w:val="single" w:sz="12" w:space="0" w:color="000000"/>
            </w:tcBorders>
          </w:tcPr>
          <w:p w14:paraId="61144865" w14:textId="4B4855D6" w:rsidR="00B0429D" w:rsidRDefault="00B0429D" w:rsidP="00A22796">
            <w:pPr>
              <w:spacing w:after="0" w:line="259" w:lineRule="auto"/>
              <w:ind w:left="0" w:right="37" w:firstLine="0"/>
              <w:jc w:val="center"/>
            </w:pPr>
            <w:r>
              <w:rPr>
                <w:sz w:val="18"/>
              </w:rPr>
              <w:t>1</w:t>
            </w:r>
          </w:p>
        </w:tc>
        <w:tc>
          <w:tcPr>
            <w:tcW w:w="1170" w:type="dxa"/>
            <w:tcBorders>
              <w:top w:val="single" w:sz="4" w:space="0" w:color="000000"/>
              <w:left w:val="single" w:sz="12" w:space="0" w:color="000000"/>
              <w:bottom w:val="single" w:sz="4" w:space="0" w:color="000000"/>
              <w:right w:val="single" w:sz="12" w:space="0" w:color="000000"/>
            </w:tcBorders>
            <w:vAlign w:val="center"/>
          </w:tcPr>
          <w:p w14:paraId="622A3D2E" w14:textId="54137423" w:rsidR="00B0429D" w:rsidRPr="00B142E8" w:rsidRDefault="007B2694" w:rsidP="00A53A74">
            <w:pPr>
              <w:spacing w:after="0" w:line="259" w:lineRule="auto"/>
              <w:ind w:left="106" w:right="0" w:firstLine="0"/>
            </w:pPr>
            <w:r w:rsidRPr="00A53A74">
              <w:rPr>
                <w:rFonts w:eastAsia="Segoe UI Symbol"/>
                <w:sz w:val="18"/>
              </w:rPr>
              <w:t>u</w:t>
            </w:r>
            <w:r w:rsidR="007671A9" w:rsidRPr="00B142E8">
              <w:rPr>
                <w:sz w:val="18"/>
              </w:rPr>
              <w:t>g</w:t>
            </w:r>
            <w:r w:rsidR="00B0429D" w:rsidRPr="00B142E8">
              <w:rPr>
                <w:sz w:val="18"/>
              </w:rPr>
              <w:t xml:space="preserve"> /100 cm</w:t>
            </w:r>
            <w:r w:rsidR="00B0429D" w:rsidRPr="00B142E8">
              <w:rPr>
                <w:sz w:val="18"/>
                <w:vertAlign w:val="superscript"/>
              </w:rPr>
              <w:t>2</w:t>
            </w:r>
          </w:p>
        </w:tc>
        <w:tc>
          <w:tcPr>
            <w:tcW w:w="900" w:type="dxa"/>
            <w:tcBorders>
              <w:top w:val="single" w:sz="4" w:space="0" w:color="000000"/>
              <w:left w:val="single" w:sz="12" w:space="0" w:color="000000"/>
              <w:bottom w:val="single" w:sz="4" w:space="0" w:color="000000"/>
              <w:right w:val="single" w:sz="12" w:space="0" w:color="000000"/>
            </w:tcBorders>
          </w:tcPr>
          <w:p w14:paraId="0979FC89" w14:textId="095B348A" w:rsidR="00B0429D" w:rsidRDefault="00B0429D" w:rsidP="00A22796">
            <w:pPr>
              <w:spacing w:after="0" w:line="259" w:lineRule="auto"/>
              <w:ind w:left="0" w:right="36" w:firstLine="0"/>
              <w:jc w:val="center"/>
            </w:pPr>
            <w:r>
              <w:rPr>
                <w:sz w:val="18"/>
              </w:rPr>
              <w:t>8082</w:t>
            </w:r>
          </w:p>
        </w:tc>
      </w:tr>
      <w:tr w:rsidR="00985247" w14:paraId="26FD71D0" w14:textId="77777777" w:rsidTr="00985247">
        <w:trPr>
          <w:trHeight w:val="252"/>
        </w:trPr>
        <w:tc>
          <w:tcPr>
            <w:tcW w:w="3551" w:type="dxa"/>
            <w:tcBorders>
              <w:top w:val="single" w:sz="4" w:space="0" w:color="000000"/>
              <w:left w:val="single" w:sz="12" w:space="0" w:color="000000"/>
              <w:bottom w:val="single" w:sz="4" w:space="0" w:color="000000"/>
              <w:right w:val="single" w:sz="12" w:space="0" w:color="000000"/>
            </w:tcBorders>
          </w:tcPr>
          <w:p w14:paraId="66B544F7" w14:textId="77777777" w:rsidR="00B0429D" w:rsidRDefault="00B0429D" w:rsidP="006C089A">
            <w:pPr>
              <w:spacing w:after="0" w:line="259" w:lineRule="auto"/>
              <w:ind w:left="36" w:right="0" w:firstLine="0"/>
            </w:pPr>
            <w:r>
              <w:rPr>
                <w:sz w:val="18"/>
              </w:rPr>
              <w:t xml:space="preserve">2,2',5,5'-Tetrachlorobiphenyl </w:t>
            </w:r>
          </w:p>
        </w:tc>
        <w:tc>
          <w:tcPr>
            <w:tcW w:w="1047" w:type="dxa"/>
            <w:tcBorders>
              <w:top w:val="single" w:sz="4" w:space="0" w:color="000000"/>
              <w:left w:val="single" w:sz="12" w:space="0" w:color="000000"/>
              <w:bottom w:val="single" w:sz="4" w:space="0" w:color="000000"/>
              <w:right w:val="single" w:sz="12" w:space="0" w:color="000000"/>
            </w:tcBorders>
          </w:tcPr>
          <w:p w14:paraId="5323A221" w14:textId="0AFB5319" w:rsidR="00B0429D" w:rsidRDefault="00B0429D" w:rsidP="00A22796">
            <w:pPr>
              <w:spacing w:after="0" w:line="259" w:lineRule="auto"/>
              <w:ind w:left="0" w:right="35" w:firstLine="0"/>
              <w:jc w:val="center"/>
            </w:pPr>
            <w:r>
              <w:rPr>
                <w:sz w:val="18"/>
              </w:rPr>
              <w:t>35693-99-3</w:t>
            </w:r>
          </w:p>
        </w:tc>
        <w:tc>
          <w:tcPr>
            <w:tcW w:w="793" w:type="dxa"/>
            <w:tcBorders>
              <w:top w:val="single" w:sz="4" w:space="0" w:color="000000"/>
              <w:left w:val="single" w:sz="12" w:space="0" w:color="000000"/>
              <w:bottom w:val="single" w:sz="4" w:space="0" w:color="000000"/>
              <w:right w:val="single" w:sz="12" w:space="0" w:color="000000"/>
            </w:tcBorders>
          </w:tcPr>
          <w:p w14:paraId="190FA322" w14:textId="66AFAC10" w:rsidR="00B0429D" w:rsidRDefault="00B0429D" w:rsidP="00A22796">
            <w:pPr>
              <w:spacing w:after="0" w:line="259" w:lineRule="auto"/>
              <w:ind w:left="0" w:right="35" w:firstLine="0"/>
              <w:jc w:val="center"/>
            </w:pPr>
            <w:r>
              <w:rPr>
                <w:sz w:val="18"/>
              </w:rPr>
              <w:t>52</w:t>
            </w:r>
          </w:p>
        </w:tc>
        <w:tc>
          <w:tcPr>
            <w:tcW w:w="617" w:type="dxa"/>
            <w:tcBorders>
              <w:top w:val="single" w:sz="4" w:space="0" w:color="000000"/>
              <w:left w:val="single" w:sz="12" w:space="0" w:color="000000"/>
              <w:bottom w:val="single" w:sz="4" w:space="0" w:color="000000"/>
              <w:right w:val="single" w:sz="12" w:space="0" w:color="000000"/>
            </w:tcBorders>
          </w:tcPr>
          <w:p w14:paraId="07F20C59" w14:textId="7C68D4AD" w:rsidR="00B0429D" w:rsidRDefault="00B0429D" w:rsidP="00A22796">
            <w:pPr>
              <w:spacing w:after="0" w:line="259" w:lineRule="auto"/>
              <w:ind w:left="0" w:right="40" w:firstLine="0"/>
              <w:jc w:val="center"/>
            </w:pPr>
            <w:r>
              <w:rPr>
                <w:sz w:val="18"/>
              </w:rPr>
              <w:t>0.05</w:t>
            </w:r>
          </w:p>
        </w:tc>
        <w:tc>
          <w:tcPr>
            <w:tcW w:w="534" w:type="dxa"/>
            <w:tcBorders>
              <w:top w:val="single" w:sz="4" w:space="0" w:color="000000"/>
              <w:left w:val="single" w:sz="12" w:space="0" w:color="000000"/>
              <w:bottom w:val="single" w:sz="4" w:space="0" w:color="000000"/>
              <w:right w:val="single" w:sz="12" w:space="0" w:color="000000"/>
            </w:tcBorders>
            <w:vAlign w:val="center"/>
          </w:tcPr>
          <w:p w14:paraId="6BD06043" w14:textId="5CB3DC25" w:rsidR="00B0429D" w:rsidRDefault="00B0429D" w:rsidP="00A53A74">
            <w:pPr>
              <w:spacing w:after="0" w:line="259" w:lineRule="auto"/>
              <w:ind w:left="58" w:right="0" w:firstLine="0"/>
            </w:pPr>
            <w:r>
              <w:rPr>
                <w:sz w:val="18"/>
              </w:rPr>
              <w:t>ug/L</w:t>
            </w:r>
          </w:p>
        </w:tc>
        <w:tc>
          <w:tcPr>
            <w:tcW w:w="617" w:type="dxa"/>
            <w:tcBorders>
              <w:top w:val="single" w:sz="4" w:space="0" w:color="000000"/>
              <w:left w:val="single" w:sz="12" w:space="0" w:color="000000"/>
              <w:bottom w:val="single" w:sz="4" w:space="0" w:color="000000"/>
              <w:right w:val="single" w:sz="12" w:space="0" w:color="000000"/>
            </w:tcBorders>
          </w:tcPr>
          <w:p w14:paraId="3409D171" w14:textId="3111CD7B" w:rsidR="00B0429D" w:rsidRDefault="00B0429D" w:rsidP="00A22796">
            <w:pPr>
              <w:spacing w:after="0" w:line="259" w:lineRule="auto"/>
              <w:ind w:left="0" w:right="34" w:firstLine="0"/>
              <w:jc w:val="center"/>
            </w:pPr>
            <w:r>
              <w:rPr>
                <w:sz w:val="18"/>
              </w:rPr>
              <w:t>5</w:t>
            </w:r>
          </w:p>
        </w:tc>
        <w:tc>
          <w:tcPr>
            <w:tcW w:w="851" w:type="dxa"/>
            <w:tcBorders>
              <w:top w:val="single" w:sz="4" w:space="0" w:color="000000"/>
              <w:left w:val="single" w:sz="12" w:space="0" w:color="000000"/>
              <w:bottom w:val="single" w:sz="4" w:space="0" w:color="000000"/>
              <w:right w:val="single" w:sz="12" w:space="0" w:color="000000"/>
            </w:tcBorders>
          </w:tcPr>
          <w:p w14:paraId="77B4B37D" w14:textId="260EE69E" w:rsidR="00B0429D" w:rsidRDefault="00B0429D" w:rsidP="00A22796">
            <w:pPr>
              <w:spacing w:after="0" w:line="259" w:lineRule="auto"/>
              <w:ind w:left="0" w:right="0" w:firstLine="0"/>
              <w:jc w:val="center"/>
            </w:pPr>
            <w:r>
              <w:rPr>
                <w:rFonts w:eastAsia="Segoe UI Symbol"/>
                <w:sz w:val="18"/>
              </w:rPr>
              <w:t>u</w:t>
            </w:r>
            <w:r>
              <w:rPr>
                <w:sz w:val="18"/>
              </w:rPr>
              <w:t>g/kg</w:t>
            </w:r>
          </w:p>
        </w:tc>
        <w:tc>
          <w:tcPr>
            <w:tcW w:w="540" w:type="dxa"/>
            <w:tcBorders>
              <w:top w:val="single" w:sz="4" w:space="0" w:color="000000"/>
              <w:left w:val="single" w:sz="12" w:space="0" w:color="000000"/>
              <w:bottom w:val="single" w:sz="4" w:space="0" w:color="000000"/>
              <w:right w:val="single" w:sz="12" w:space="0" w:color="000000"/>
            </w:tcBorders>
          </w:tcPr>
          <w:p w14:paraId="6A56C1A3" w14:textId="1304C040" w:rsidR="00B0429D" w:rsidRDefault="00B0429D" w:rsidP="00A22796">
            <w:pPr>
              <w:spacing w:after="0" w:line="259" w:lineRule="auto"/>
              <w:ind w:left="0" w:right="37" w:firstLine="0"/>
              <w:jc w:val="center"/>
            </w:pPr>
            <w:r>
              <w:rPr>
                <w:sz w:val="18"/>
              </w:rPr>
              <w:t>1</w:t>
            </w:r>
          </w:p>
        </w:tc>
        <w:tc>
          <w:tcPr>
            <w:tcW w:w="1170" w:type="dxa"/>
            <w:tcBorders>
              <w:top w:val="single" w:sz="4" w:space="0" w:color="000000"/>
              <w:left w:val="single" w:sz="12" w:space="0" w:color="000000"/>
              <w:bottom w:val="single" w:sz="4" w:space="0" w:color="000000"/>
              <w:right w:val="single" w:sz="12" w:space="0" w:color="000000"/>
            </w:tcBorders>
            <w:vAlign w:val="center"/>
          </w:tcPr>
          <w:p w14:paraId="1D4F748A" w14:textId="7B115579" w:rsidR="00B0429D" w:rsidRPr="00B142E8" w:rsidRDefault="003F65D0" w:rsidP="00A53A74">
            <w:pPr>
              <w:spacing w:after="0" w:line="259" w:lineRule="auto"/>
              <w:ind w:left="106" w:right="0" w:firstLine="0"/>
            </w:pPr>
            <w:r w:rsidRPr="00B142E8">
              <w:rPr>
                <w:sz w:val="18"/>
              </w:rPr>
              <w:t>u</w:t>
            </w:r>
            <w:r w:rsidR="007671A9" w:rsidRPr="00B142E8">
              <w:rPr>
                <w:sz w:val="18"/>
              </w:rPr>
              <w:t>g</w:t>
            </w:r>
            <w:r w:rsidRPr="00B142E8">
              <w:rPr>
                <w:sz w:val="18"/>
              </w:rPr>
              <w:t xml:space="preserve"> </w:t>
            </w:r>
            <w:r w:rsidR="00B0429D" w:rsidRPr="00B142E8">
              <w:rPr>
                <w:sz w:val="18"/>
              </w:rPr>
              <w:t>/100 cm</w:t>
            </w:r>
            <w:r w:rsidR="00B0429D" w:rsidRPr="00B142E8">
              <w:rPr>
                <w:sz w:val="18"/>
                <w:vertAlign w:val="superscript"/>
              </w:rPr>
              <w:t>2</w:t>
            </w:r>
          </w:p>
        </w:tc>
        <w:tc>
          <w:tcPr>
            <w:tcW w:w="900" w:type="dxa"/>
            <w:tcBorders>
              <w:top w:val="single" w:sz="4" w:space="0" w:color="000000"/>
              <w:left w:val="single" w:sz="12" w:space="0" w:color="000000"/>
              <w:bottom w:val="single" w:sz="4" w:space="0" w:color="000000"/>
              <w:right w:val="single" w:sz="12" w:space="0" w:color="000000"/>
            </w:tcBorders>
          </w:tcPr>
          <w:p w14:paraId="0C36A24F" w14:textId="63090196" w:rsidR="00B0429D" w:rsidRDefault="00B0429D" w:rsidP="00A22796">
            <w:pPr>
              <w:spacing w:after="0" w:line="259" w:lineRule="auto"/>
              <w:ind w:left="0" w:right="36" w:firstLine="0"/>
              <w:jc w:val="center"/>
            </w:pPr>
            <w:r>
              <w:rPr>
                <w:sz w:val="18"/>
              </w:rPr>
              <w:t>8082</w:t>
            </w:r>
          </w:p>
        </w:tc>
      </w:tr>
      <w:tr w:rsidR="00985247" w14:paraId="35162499" w14:textId="77777777" w:rsidTr="00985247">
        <w:trPr>
          <w:trHeight w:val="250"/>
        </w:trPr>
        <w:tc>
          <w:tcPr>
            <w:tcW w:w="3551" w:type="dxa"/>
            <w:tcBorders>
              <w:top w:val="single" w:sz="4" w:space="0" w:color="000000"/>
              <w:left w:val="single" w:sz="12" w:space="0" w:color="000000"/>
              <w:bottom w:val="single" w:sz="4" w:space="0" w:color="000000"/>
              <w:right w:val="single" w:sz="12" w:space="0" w:color="000000"/>
            </w:tcBorders>
          </w:tcPr>
          <w:p w14:paraId="64040C7B" w14:textId="77777777" w:rsidR="00B0429D" w:rsidRDefault="00B0429D" w:rsidP="006C089A">
            <w:pPr>
              <w:spacing w:after="0" w:line="259" w:lineRule="auto"/>
              <w:ind w:left="36" w:right="0" w:firstLine="0"/>
            </w:pPr>
            <w:r>
              <w:rPr>
                <w:sz w:val="18"/>
              </w:rPr>
              <w:t xml:space="preserve">2,3',4,4'-Tetrachlorobiphenyl </w:t>
            </w:r>
          </w:p>
        </w:tc>
        <w:tc>
          <w:tcPr>
            <w:tcW w:w="1047" w:type="dxa"/>
            <w:tcBorders>
              <w:top w:val="single" w:sz="4" w:space="0" w:color="000000"/>
              <w:left w:val="single" w:sz="12" w:space="0" w:color="000000"/>
              <w:bottom w:val="single" w:sz="4" w:space="0" w:color="000000"/>
              <w:right w:val="single" w:sz="12" w:space="0" w:color="000000"/>
            </w:tcBorders>
          </w:tcPr>
          <w:p w14:paraId="0A5FB54F" w14:textId="6B8EB06E" w:rsidR="00B0429D" w:rsidRDefault="00B0429D" w:rsidP="00A22796">
            <w:pPr>
              <w:spacing w:after="0" w:line="259" w:lineRule="auto"/>
              <w:ind w:left="0" w:right="35" w:firstLine="0"/>
              <w:jc w:val="center"/>
            </w:pPr>
            <w:r>
              <w:rPr>
                <w:sz w:val="18"/>
              </w:rPr>
              <w:t>32598-10-0</w:t>
            </w:r>
          </w:p>
        </w:tc>
        <w:tc>
          <w:tcPr>
            <w:tcW w:w="793" w:type="dxa"/>
            <w:tcBorders>
              <w:top w:val="single" w:sz="4" w:space="0" w:color="000000"/>
              <w:left w:val="single" w:sz="12" w:space="0" w:color="000000"/>
              <w:bottom w:val="single" w:sz="4" w:space="0" w:color="000000"/>
              <w:right w:val="single" w:sz="12" w:space="0" w:color="000000"/>
            </w:tcBorders>
          </w:tcPr>
          <w:p w14:paraId="14BB5D63" w14:textId="5C135D1A" w:rsidR="00B0429D" w:rsidRDefault="00B0429D" w:rsidP="00A22796">
            <w:pPr>
              <w:spacing w:after="0" w:line="259" w:lineRule="auto"/>
              <w:ind w:left="0" w:right="35" w:firstLine="0"/>
              <w:jc w:val="center"/>
            </w:pPr>
            <w:r>
              <w:rPr>
                <w:sz w:val="18"/>
              </w:rPr>
              <w:t>66</w:t>
            </w:r>
          </w:p>
        </w:tc>
        <w:tc>
          <w:tcPr>
            <w:tcW w:w="617" w:type="dxa"/>
            <w:tcBorders>
              <w:top w:val="single" w:sz="4" w:space="0" w:color="000000"/>
              <w:left w:val="single" w:sz="12" w:space="0" w:color="000000"/>
              <w:bottom w:val="single" w:sz="4" w:space="0" w:color="000000"/>
              <w:right w:val="single" w:sz="12" w:space="0" w:color="000000"/>
            </w:tcBorders>
          </w:tcPr>
          <w:p w14:paraId="72FA4F97" w14:textId="6DE79312" w:rsidR="00B0429D" w:rsidRDefault="00B0429D" w:rsidP="00A22796">
            <w:pPr>
              <w:spacing w:after="0" w:line="259" w:lineRule="auto"/>
              <w:ind w:left="0" w:right="40" w:firstLine="0"/>
              <w:jc w:val="center"/>
            </w:pPr>
            <w:r>
              <w:rPr>
                <w:sz w:val="18"/>
              </w:rPr>
              <w:t>0.05</w:t>
            </w:r>
          </w:p>
        </w:tc>
        <w:tc>
          <w:tcPr>
            <w:tcW w:w="534" w:type="dxa"/>
            <w:tcBorders>
              <w:top w:val="single" w:sz="4" w:space="0" w:color="000000"/>
              <w:left w:val="single" w:sz="12" w:space="0" w:color="000000"/>
              <w:bottom w:val="single" w:sz="4" w:space="0" w:color="000000"/>
              <w:right w:val="single" w:sz="12" w:space="0" w:color="000000"/>
            </w:tcBorders>
            <w:vAlign w:val="center"/>
          </w:tcPr>
          <w:p w14:paraId="07CC4FA4" w14:textId="68021791" w:rsidR="00B0429D" w:rsidRDefault="00B0429D" w:rsidP="00A53A74">
            <w:pPr>
              <w:spacing w:after="0" w:line="259" w:lineRule="auto"/>
              <w:ind w:left="58" w:right="0" w:firstLine="0"/>
            </w:pPr>
            <w:r>
              <w:rPr>
                <w:sz w:val="18"/>
              </w:rPr>
              <w:t>ug/L</w:t>
            </w:r>
          </w:p>
        </w:tc>
        <w:tc>
          <w:tcPr>
            <w:tcW w:w="617" w:type="dxa"/>
            <w:tcBorders>
              <w:top w:val="single" w:sz="4" w:space="0" w:color="000000"/>
              <w:left w:val="single" w:sz="12" w:space="0" w:color="000000"/>
              <w:bottom w:val="single" w:sz="4" w:space="0" w:color="000000"/>
              <w:right w:val="single" w:sz="12" w:space="0" w:color="000000"/>
            </w:tcBorders>
          </w:tcPr>
          <w:p w14:paraId="4417FCC0" w14:textId="3850258D" w:rsidR="00B0429D" w:rsidRDefault="00B0429D" w:rsidP="00A22796">
            <w:pPr>
              <w:spacing w:after="0" w:line="259" w:lineRule="auto"/>
              <w:ind w:left="0" w:right="34" w:firstLine="0"/>
              <w:jc w:val="center"/>
            </w:pPr>
            <w:r>
              <w:rPr>
                <w:sz w:val="18"/>
              </w:rPr>
              <w:t>5</w:t>
            </w:r>
          </w:p>
        </w:tc>
        <w:tc>
          <w:tcPr>
            <w:tcW w:w="851" w:type="dxa"/>
            <w:tcBorders>
              <w:top w:val="single" w:sz="4" w:space="0" w:color="000000"/>
              <w:left w:val="single" w:sz="12" w:space="0" w:color="000000"/>
              <w:bottom w:val="single" w:sz="4" w:space="0" w:color="000000"/>
              <w:right w:val="single" w:sz="12" w:space="0" w:color="000000"/>
            </w:tcBorders>
          </w:tcPr>
          <w:p w14:paraId="6748381A" w14:textId="334F0399" w:rsidR="00B0429D" w:rsidRDefault="00B0429D" w:rsidP="00A22796">
            <w:pPr>
              <w:spacing w:after="0" w:line="259" w:lineRule="auto"/>
              <w:ind w:left="0" w:right="0" w:firstLine="0"/>
              <w:jc w:val="center"/>
            </w:pPr>
            <w:r>
              <w:rPr>
                <w:rFonts w:eastAsia="Segoe UI Symbol"/>
                <w:sz w:val="18"/>
              </w:rPr>
              <w:t>u</w:t>
            </w:r>
            <w:r>
              <w:rPr>
                <w:sz w:val="18"/>
              </w:rPr>
              <w:t>g/kg</w:t>
            </w:r>
          </w:p>
        </w:tc>
        <w:tc>
          <w:tcPr>
            <w:tcW w:w="540" w:type="dxa"/>
            <w:tcBorders>
              <w:top w:val="single" w:sz="4" w:space="0" w:color="000000"/>
              <w:left w:val="single" w:sz="12" w:space="0" w:color="000000"/>
              <w:bottom w:val="single" w:sz="4" w:space="0" w:color="000000"/>
              <w:right w:val="single" w:sz="12" w:space="0" w:color="000000"/>
            </w:tcBorders>
          </w:tcPr>
          <w:p w14:paraId="589D1BEE" w14:textId="75BD64F1" w:rsidR="00B0429D" w:rsidRDefault="00B0429D" w:rsidP="00A22796">
            <w:pPr>
              <w:spacing w:after="0" w:line="259" w:lineRule="auto"/>
              <w:ind w:left="0" w:right="37" w:firstLine="0"/>
              <w:jc w:val="center"/>
            </w:pPr>
            <w:r>
              <w:rPr>
                <w:sz w:val="18"/>
              </w:rPr>
              <w:t>1</w:t>
            </w:r>
          </w:p>
        </w:tc>
        <w:tc>
          <w:tcPr>
            <w:tcW w:w="1170" w:type="dxa"/>
            <w:tcBorders>
              <w:top w:val="single" w:sz="4" w:space="0" w:color="000000"/>
              <w:left w:val="single" w:sz="12" w:space="0" w:color="000000"/>
              <w:bottom w:val="single" w:sz="4" w:space="0" w:color="000000"/>
              <w:right w:val="single" w:sz="12" w:space="0" w:color="000000"/>
            </w:tcBorders>
            <w:vAlign w:val="center"/>
          </w:tcPr>
          <w:p w14:paraId="1E45552D" w14:textId="7949C9F6" w:rsidR="00B0429D" w:rsidRPr="00B142E8" w:rsidRDefault="007B2694" w:rsidP="00A53A74">
            <w:pPr>
              <w:spacing w:after="0" w:line="259" w:lineRule="auto"/>
              <w:ind w:left="106" w:right="0" w:firstLine="0"/>
            </w:pPr>
            <w:r w:rsidRPr="00A53A74">
              <w:rPr>
                <w:rFonts w:eastAsia="Segoe UI Symbol"/>
                <w:sz w:val="18"/>
              </w:rPr>
              <w:t>u</w:t>
            </w:r>
            <w:r w:rsidR="007671A9" w:rsidRPr="00B142E8">
              <w:rPr>
                <w:sz w:val="18"/>
              </w:rPr>
              <w:t>g</w:t>
            </w:r>
            <w:r w:rsidR="00B0429D" w:rsidRPr="00B142E8">
              <w:rPr>
                <w:sz w:val="18"/>
              </w:rPr>
              <w:t xml:space="preserve"> /100 cm</w:t>
            </w:r>
            <w:r w:rsidR="00B0429D" w:rsidRPr="00B142E8">
              <w:rPr>
                <w:sz w:val="18"/>
                <w:vertAlign w:val="superscript"/>
              </w:rPr>
              <w:t>2</w:t>
            </w:r>
          </w:p>
        </w:tc>
        <w:tc>
          <w:tcPr>
            <w:tcW w:w="900" w:type="dxa"/>
            <w:tcBorders>
              <w:top w:val="single" w:sz="4" w:space="0" w:color="000000"/>
              <w:left w:val="single" w:sz="12" w:space="0" w:color="000000"/>
              <w:bottom w:val="single" w:sz="4" w:space="0" w:color="000000"/>
              <w:right w:val="single" w:sz="12" w:space="0" w:color="000000"/>
            </w:tcBorders>
          </w:tcPr>
          <w:p w14:paraId="64E15F69" w14:textId="1ED5EA37" w:rsidR="00B0429D" w:rsidRDefault="00B0429D" w:rsidP="00A22796">
            <w:pPr>
              <w:spacing w:after="0" w:line="259" w:lineRule="auto"/>
              <w:ind w:left="0" w:right="36" w:firstLine="0"/>
              <w:jc w:val="center"/>
            </w:pPr>
            <w:r>
              <w:rPr>
                <w:sz w:val="18"/>
              </w:rPr>
              <w:t>8082</w:t>
            </w:r>
          </w:p>
        </w:tc>
      </w:tr>
      <w:tr w:rsidR="00985247" w14:paraId="6F565FF2" w14:textId="77777777" w:rsidTr="00985247">
        <w:trPr>
          <w:trHeight w:val="250"/>
        </w:trPr>
        <w:tc>
          <w:tcPr>
            <w:tcW w:w="3551" w:type="dxa"/>
            <w:tcBorders>
              <w:top w:val="single" w:sz="4" w:space="0" w:color="000000"/>
              <w:left w:val="single" w:sz="12" w:space="0" w:color="000000"/>
              <w:bottom w:val="single" w:sz="4" w:space="0" w:color="000000"/>
              <w:right w:val="single" w:sz="12" w:space="0" w:color="000000"/>
            </w:tcBorders>
          </w:tcPr>
          <w:p w14:paraId="2D86D92D" w14:textId="77777777" w:rsidR="00B0429D" w:rsidRDefault="00B0429D" w:rsidP="006C089A">
            <w:pPr>
              <w:spacing w:after="0" w:line="259" w:lineRule="auto"/>
              <w:ind w:left="36" w:right="0" w:firstLine="0"/>
            </w:pPr>
            <w:r>
              <w:rPr>
                <w:sz w:val="18"/>
              </w:rPr>
              <w:t xml:space="preserve">2,2',3,4,5'-Pentachlorobiphenyl </w:t>
            </w:r>
          </w:p>
        </w:tc>
        <w:tc>
          <w:tcPr>
            <w:tcW w:w="1047" w:type="dxa"/>
            <w:tcBorders>
              <w:top w:val="single" w:sz="4" w:space="0" w:color="000000"/>
              <w:left w:val="single" w:sz="12" w:space="0" w:color="000000"/>
              <w:bottom w:val="single" w:sz="4" w:space="0" w:color="000000"/>
              <w:right w:val="single" w:sz="12" w:space="0" w:color="000000"/>
            </w:tcBorders>
          </w:tcPr>
          <w:p w14:paraId="294653CA" w14:textId="0F86FF99" w:rsidR="00B0429D" w:rsidRDefault="00B0429D" w:rsidP="00A22796">
            <w:pPr>
              <w:spacing w:after="0" w:line="259" w:lineRule="auto"/>
              <w:ind w:left="0" w:right="35" w:firstLine="0"/>
              <w:jc w:val="center"/>
            </w:pPr>
            <w:r>
              <w:rPr>
                <w:sz w:val="18"/>
              </w:rPr>
              <w:t>38380-02-8</w:t>
            </w:r>
          </w:p>
        </w:tc>
        <w:tc>
          <w:tcPr>
            <w:tcW w:w="793" w:type="dxa"/>
            <w:tcBorders>
              <w:top w:val="single" w:sz="4" w:space="0" w:color="000000"/>
              <w:left w:val="single" w:sz="12" w:space="0" w:color="000000"/>
              <w:bottom w:val="single" w:sz="4" w:space="0" w:color="000000"/>
              <w:right w:val="single" w:sz="12" w:space="0" w:color="000000"/>
            </w:tcBorders>
          </w:tcPr>
          <w:p w14:paraId="0A0927F4" w14:textId="49084C3A" w:rsidR="00B0429D" w:rsidRDefault="00B0429D" w:rsidP="00A22796">
            <w:pPr>
              <w:spacing w:after="0" w:line="259" w:lineRule="auto"/>
              <w:ind w:left="0" w:right="35" w:firstLine="0"/>
              <w:jc w:val="center"/>
            </w:pPr>
            <w:r>
              <w:rPr>
                <w:sz w:val="18"/>
              </w:rPr>
              <w:t>87</w:t>
            </w:r>
          </w:p>
        </w:tc>
        <w:tc>
          <w:tcPr>
            <w:tcW w:w="617" w:type="dxa"/>
            <w:tcBorders>
              <w:top w:val="single" w:sz="4" w:space="0" w:color="000000"/>
              <w:left w:val="single" w:sz="12" w:space="0" w:color="000000"/>
              <w:bottom w:val="single" w:sz="4" w:space="0" w:color="000000"/>
              <w:right w:val="single" w:sz="12" w:space="0" w:color="000000"/>
            </w:tcBorders>
          </w:tcPr>
          <w:p w14:paraId="1C4E7EA1" w14:textId="5E611706" w:rsidR="00B0429D" w:rsidRDefault="00B0429D" w:rsidP="00A22796">
            <w:pPr>
              <w:spacing w:after="0" w:line="259" w:lineRule="auto"/>
              <w:ind w:left="0" w:right="40" w:firstLine="0"/>
              <w:jc w:val="center"/>
            </w:pPr>
            <w:r>
              <w:rPr>
                <w:sz w:val="18"/>
              </w:rPr>
              <w:t>0.05</w:t>
            </w:r>
          </w:p>
        </w:tc>
        <w:tc>
          <w:tcPr>
            <w:tcW w:w="534" w:type="dxa"/>
            <w:tcBorders>
              <w:top w:val="single" w:sz="4" w:space="0" w:color="000000"/>
              <w:left w:val="single" w:sz="12" w:space="0" w:color="000000"/>
              <w:bottom w:val="single" w:sz="4" w:space="0" w:color="000000"/>
              <w:right w:val="single" w:sz="12" w:space="0" w:color="000000"/>
            </w:tcBorders>
            <w:vAlign w:val="center"/>
          </w:tcPr>
          <w:p w14:paraId="0A5CA8CE" w14:textId="4DBD25BC" w:rsidR="00B0429D" w:rsidRDefault="00B0429D" w:rsidP="00A53A74">
            <w:pPr>
              <w:spacing w:after="0" w:line="259" w:lineRule="auto"/>
              <w:ind w:left="58" w:right="0" w:firstLine="0"/>
            </w:pPr>
            <w:r>
              <w:rPr>
                <w:sz w:val="18"/>
              </w:rPr>
              <w:t>ug/L</w:t>
            </w:r>
          </w:p>
        </w:tc>
        <w:tc>
          <w:tcPr>
            <w:tcW w:w="617" w:type="dxa"/>
            <w:tcBorders>
              <w:top w:val="single" w:sz="4" w:space="0" w:color="000000"/>
              <w:left w:val="single" w:sz="12" w:space="0" w:color="000000"/>
              <w:bottom w:val="single" w:sz="4" w:space="0" w:color="000000"/>
              <w:right w:val="single" w:sz="12" w:space="0" w:color="000000"/>
            </w:tcBorders>
          </w:tcPr>
          <w:p w14:paraId="1FC490CC" w14:textId="7DD65FC4" w:rsidR="00B0429D" w:rsidRDefault="00B0429D" w:rsidP="00A22796">
            <w:pPr>
              <w:spacing w:after="0" w:line="259" w:lineRule="auto"/>
              <w:ind w:left="0" w:right="34" w:firstLine="0"/>
              <w:jc w:val="center"/>
            </w:pPr>
            <w:r>
              <w:rPr>
                <w:sz w:val="18"/>
              </w:rPr>
              <w:t>5</w:t>
            </w:r>
          </w:p>
        </w:tc>
        <w:tc>
          <w:tcPr>
            <w:tcW w:w="851" w:type="dxa"/>
            <w:tcBorders>
              <w:top w:val="single" w:sz="4" w:space="0" w:color="000000"/>
              <w:left w:val="single" w:sz="12" w:space="0" w:color="000000"/>
              <w:bottom w:val="single" w:sz="4" w:space="0" w:color="000000"/>
              <w:right w:val="single" w:sz="12" w:space="0" w:color="000000"/>
            </w:tcBorders>
          </w:tcPr>
          <w:p w14:paraId="52F3B128" w14:textId="6C5D6DFE" w:rsidR="00B0429D" w:rsidRDefault="00B0429D" w:rsidP="00A22796">
            <w:pPr>
              <w:spacing w:after="0" w:line="259" w:lineRule="auto"/>
              <w:ind w:left="0" w:right="0" w:firstLine="0"/>
              <w:jc w:val="center"/>
            </w:pPr>
            <w:r>
              <w:rPr>
                <w:rFonts w:eastAsia="Segoe UI Symbol"/>
                <w:sz w:val="18"/>
              </w:rPr>
              <w:t>u</w:t>
            </w:r>
            <w:r>
              <w:rPr>
                <w:sz w:val="18"/>
              </w:rPr>
              <w:t>g/kg</w:t>
            </w:r>
          </w:p>
        </w:tc>
        <w:tc>
          <w:tcPr>
            <w:tcW w:w="540" w:type="dxa"/>
            <w:tcBorders>
              <w:top w:val="single" w:sz="4" w:space="0" w:color="000000"/>
              <w:left w:val="single" w:sz="12" w:space="0" w:color="000000"/>
              <w:bottom w:val="single" w:sz="4" w:space="0" w:color="000000"/>
              <w:right w:val="single" w:sz="12" w:space="0" w:color="000000"/>
            </w:tcBorders>
          </w:tcPr>
          <w:p w14:paraId="69E03D92" w14:textId="2424E9E6" w:rsidR="00B0429D" w:rsidRDefault="00B0429D" w:rsidP="00A22796">
            <w:pPr>
              <w:spacing w:after="0" w:line="259" w:lineRule="auto"/>
              <w:ind w:left="0" w:right="37" w:firstLine="0"/>
              <w:jc w:val="center"/>
            </w:pPr>
            <w:r>
              <w:rPr>
                <w:sz w:val="18"/>
              </w:rPr>
              <w:t>1</w:t>
            </w:r>
          </w:p>
        </w:tc>
        <w:tc>
          <w:tcPr>
            <w:tcW w:w="1170" w:type="dxa"/>
            <w:tcBorders>
              <w:top w:val="single" w:sz="4" w:space="0" w:color="000000"/>
              <w:left w:val="single" w:sz="12" w:space="0" w:color="000000"/>
              <w:bottom w:val="single" w:sz="4" w:space="0" w:color="000000"/>
              <w:right w:val="single" w:sz="12" w:space="0" w:color="000000"/>
            </w:tcBorders>
            <w:vAlign w:val="center"/>
          </w:tcPr>
          <w:p w14:paraId="5AA6F569" w14:textId="57519B2A" w:rsidR="00B0429D" w:rsidRPr="00B142E8" w:rsidRDefault="007B2694" w:rsidP="00A53A74">
            <w:pPr>
              <w:spacing w:after="0" w:line="259" w:lineRule="auto"/>
              <w:ind w:left="106" w:right="0" w:firstLine="0"/>
            </w:pPr>
            <w:r w:rsidRPr="00A53A74">
              <w:rPr>
                <w:rFonts w:eastAsia="Segoe UI Symbol"/>
                <w:sz w:val="18"/>
              </w:rPr>
              <w:t>u</w:t>
            </w:r>
            <w:r w:rsidR="007671A9" w:rsidRPr="00B142E8">
              <w:rPr>
                <w:sz w:val="18"/>
              </w:rPr>
              <w:t>g</w:t>
            </w:r>
            <w:r w:rsidR="00B0429D" w:rsidRPr="00B142E8">
              <w:rPr>
                <w:sz w:val="18"/>
              </w:rPr>
              <w:t xml:space="preserve"> /100 cm</w:t>
            </w:r>
            <w:r w:rsidR="00B0429D" w:rsidRPr="00B142E8">
              <w:rPr>
                <w:sz w:val="18"/>
                <w:vertAlign w:val="superscript"/>
              </w:rPr>
              <w:t>2</w:t>
            </w:r>
          </w:p>
        </w:tc>
        <w:tc>
          <w:tcPr>
            <w:tcW w:w="900" w:type="dxa"/>
            <w:tcBorders>
              <w:top w:val="single" w:sz="4" w:space="0" w:color="000000"/>
              <w:left w:val="single" w:sz="12" w:space="0" w:color="000000"/>
              <w:bottom w:val="single" w:sz="4" w:space="0" w:color="000000"/>
              <w:right w:val="single" w:sz="12" w:space="0" w:color="000000"/>
            </w:tcBorders>
          </w:tcPr>
          <w:p w14:paraId="5221A226" w14:textId="70BA77B1" w:rsidR="00B0429D" w:rsidRDefault="00B0429D" w:rsidP="00A22796">
            <w:pPr>
              <w:spacing w:after="0" w:line="259" w:lineRule="auto"/>
              <w:ind w:left="0" w:right="36" w:firstLine="0"/>
              <w:jc w:val="center"/>
            </w:pPr>
            <w:r>
              <w:rPr>
                <w:sz w:val="18"/>
              </w:rPr>
              <w:t>8082</w:t>
            </w:r>
          </w:p>
        </w:tc>
      </w:tr>
      <w:tr w:rsidR="00985247" w14:paraId="3AD2E80A" w14:textId="77777777" w:rsidTr="00985247">
        <w:trPr>
          <w:trHeight w:val="250"/>
        </w:trPr>
        <w:tc>
          <w:tcPr>
            <w:tcW w:w="3551" w:type="dxa"/>
            <w:tcBorders>
              <w:top w:val="single" w:sz="4" w:space="0" w:color="000000"/>
              <w:left w:val="single" w:sz="12" w:space="0" w:color="000000"/>
              <w:bottom w:val="single" w:sz="4" w:space="0" w:color="000000"/>
              <w:right w:val="single" w:sz="12" w:space="0" w:color="000000"/>
            </w:tcBorders>
          </w:tcPr>
          <w:p w14:paraId="5FABC671" w14:textId="77777777" w:rsidR="00B0429D" w:rsidRDefault="00B0429D" w:rsidP="006C089A">
            <w:pPr>
              <w:spacing w:after="0" w:line="259" w:lineRule="auto"/>
              <w:ind w:left="36" w:right="0" w:firstLine="0"/>
            </w:pPr>
            <w:r>
              <w:rPr>
                <w:sz w:val="18"/>
              </w:rPr>
              <w:t xml:space="preserve">2,2',4,5,5'-Pentachlorobiphenyl </w:t>
            </w:r>
          </w:p>
        </w:tc>
        <w:tc>
          <w:tcPr>
            <w:tcW w:w="1047" w:type="dxa"/>
            <w:tcBorders>
              <w:top w:val="single" w:sz="4" w:space="0" w:color="000000"/>
              <w:left w:val="single" w:sz="12" w:space="0" w:color="000000"/>
              <w:bottom w:val="single" w:sz="4" w:space="0" w:color="000000"/>
              <w:right w:val="single" w:sz="12" w:space="0" w:color="000000"/>
            </w:tcBorders>
          </w:tcPr>
          <w:p w14:paraId="5BE8BCE2" w14:textId="3C8EAE8C" w:rsidR="00B0429D" w:rsidRDefault="00B0429D" w:rsidP="00A22796">
            <w:pPr>
              <w:spacing w:after="0" w:line="259" w:lineRule="auto"/>
              <w:ind w:left="0" w:right="35" w:firstLine="0"/>
              <w:jc w:val="center"/>
            </w:pPr>
            <w:r>
              <w:rPr>
                <w:sz w:val="18"/>
              </w:rPr>
              <w:t>37680-73-2</w:t>
            </w:r>
          </w:p>
        </w:tc>
        <w:tc>
          <w:tcPr>
            <w:tcW w:w="793" w:type="dxa"/>
            <w:tcBorders>
              <w:top w:val="single" w:sz="4" w:space="0" w:color="000000"/>
              <w:left w:val="single" w:sz="12" w:space="0" w:color="000000"/>
              <w:bottom w:val="single" w:sz="4" w:space="0" w:color="000000"/>
              <w:right w:val="single" w:sz="12" w:space="0" w:color="000000"/>
            </w:tcBorders>
          </w:tcPr>
          <w:p w14:paraId="0AA31028" w14:textId="48CB0467" w:rsidR="00B0429D" w:rsidRDefault="00B0429D" w:rsidP="00A22796">
            <w:pPr>
              <w:spacing w:after="0" w:line="259" w:lineRule="auto"/>
              <w:ind w:left="0" w:right="35" w:firstLine="0"/>
              <w:jc w:val="center"/>
            </w:pPr>
            <w:r>
              <w:rPr>
                <w:sz w:val="18"/>
              </w:rPr>
              <w:t>101</w:t>
            </w:r>
          </w:p>
        </w:tc>
        <w:tc>
          <w:tcPr>
            <w:tcW w:w="617" w:type="dxa"/>
            <w:tcBorders>
              <w:top w:val="single" w:sz="4" w:space="0" w:color="000000"/>
              <w:left w:val="single" w:sz="12" w:space="0" w:color="000000"/>
              <w:bottom w:val="single" w:sz="4" w:space="0" w:color="000000"/>
              <w:right w:val="single" w:sz="12" w:space="0" w:color="000000"/>
            </w:tcBorders>
          </w:tcPr>
          <w:p w14:paraId="2CAF9125" w14:textId="2F74D190" w:rsidR="00B0429D" w:rsidRDefault="00B0429D" w:rsidP="00A22796">
            <w:pPr>
              <w:spacing w:after="0" w:line="259" w:lineRule="auto"/>
              <w:ind w:left="0" w:right="40" w:firstLine="0"/>
              <w:jc w:val="center"/>
            </w:pPr>
            <w:r>
              <w:rPr>
                <w:sz w:val="18"/>
              </w:rPr>
              <w:t>0.05</w:t>
            </w:r>
          </w:p>
        </w:tc>
        <w:tc>
          <w:tcPr>
            <w:tcW w:w="534" w:type="dxa"/>
            <w:tcBorders>
              <w:top w:val="single" w:sz="4" w:space="0" w:color="000000"/>
              <w:left w:val="single" w:sz="12" w:space="0" w:color="000000"/>
              <w:bottom w:val="single" w:sz="4" w:space="0" w:color="000000"/>
              <w:right w:val="single" w:sz="12" w:space="0" w:color="000000"/>
            </w:tcBorders>
            <w:vAlign w:val="center"/>
          </w:tcPr>
          <w:p w14:paraId="665FFE46" w14:textId="2F985B9A" w:rsidR="00B0429D" w:rsidRDefault="00B0429D" w:rsidP="00A53A74">
            <w:pPr>
              <w:spacing w:after="0" w:line="259" w:lineRule="auto"/>
              <w:ind w:left="58" w:right="0" w:firstLine="0"/>
            </w:pPr>
            <w:r>
              <w:rPr>
                <w:sz w:val="18"/>
              </w:rPr>
              <w:t>ug/L</w:t>
            </w:r>
          </w:p>
        </w:tc>
        <w:tc>
          <w:tcPr>
            <w:tcW w:w="617" w:type="dxa"/>
            <w:tcBorders>
              <w:top w:val="single" w:sz="4" w:space="0" w:color="000000"/>
              <w:left w:val="single" w:sz="12" w:space="0" w:color="000000"/>
              <w:bottom w:val="single" w:sz="4" w:space="0" w:color="000000"/>
              <w:right w:val="single" w:sz="12" w:space="0" w:color="000000"/>
            </w:tcBorders>
          </w:tcPr>
          <w:p w14:paraId="0BAAA85D" w14:textId="372DF499" w:rsidR="00B0429D" w:rsidRDefault="00B0429D" w:rsidP="00A22796">
            <w:pPr>
              <w:spacing w:after="0" w:line="259" w:lineRule="auto"/>
              <w:ind w:left="0" w:right="34" w:firstLine="0"/>
              <w:jc w:val="center"/>
            </w:pPr>
            <w:r>
              <w:rPr>
                <w:sz w:val="18"/>
              </w:rPr>
              <w:t>5</w:t>
            </w:r>
          </w:p>
        </w:tc>
        <w:tc>
          <w:tcPr>
            <w:tcW w:w="851" w:type="dxa"/>
            <w:tcBorders>
              <w:top w:val="single" w:sz="4" w:space="0" w:color="000000"/>
              <w:left w:val="single" w:sz="12" w:space="0" w:color="000000"/>
              <w:bottom w:val="single" w:sz="4" w:space="0" w:color="000000"/>
              <w:right w:val="single" w:sz="12" w:space="0" w:color="000000"/>
            </w:tcBorders>
          </w:tcPr>
          <w:p w14:paraId="2D099E99" w14:textId="02FEF811" w:rsidR="00B0429D" w:rsidRDefault="00B0429D" w:rsidP="00A22796">
            <w:pPr>
              <w:spacing w:after="0" w:line="259" w:lineRule="auto"/>
              <w:ind w:left="0" w:right="0" w:firstLine="0"/>
              <w:jc w:val="center"/>
            </w:pPr>
            <w:r>
              <w:rPr>
                <w:rFonts w:eastAsia="Segoe UI Symbol"/>
                <w:sz w:val="18"/>
              </w:rPr>
              <w:t>u</w:t>
            </w:r>
            <w:r>
              <w:rPr>
                <w:sz w:val="18"/>
              </w:rPr>
              <w:t>g/kg</w:t>
            </w:r>
          </w:p>
        </w:tc>
        <w:tc>
          <w:tcPr>
            <w:tcW w:w="540" w:type="dxa"/>
            <w:tcBorders>
              <w:top w:val="single" w:sz="4" w:space="0" w:color="000000"/>
              <w:left w:val="single" w:sz="12" w:space="0" w:color="000000"/>
              <w:bottom w:val="single" w:sz="4" w:space="0" w:color="000000"/>
              <w:right w:val="single" w:sz="12" w:space="0" w:color="000000"/>
            </w:tcBorders>
          </w:tcPr>
          <w:p w14:paraId="651630DE" w14:textId="4F9827A5" w:rsidR="00B0429D" w:rsidRDefault="00B0429D" w:rsidP="00A22796">
            <w:pPr>
              <w:spacing w:after="0" w:line="259" w:lineRule="auto"/>
              <w:ind w:left="0" w:right="37" w:firstLine="0"/>
              <w:jc w:val="center"/>
            </w:pPr>
            <w:r>
              <w:rPr>
                <w:sz w:val="18"/>
              </w:rPr>
              <w:t>1</w:t>
            </w:r>
          </w:p>
        </w:tc>
        <w:tc>
          <w:tcPr>
            <w:tcW w:w="1170" w:type="dxa"/>
            <w:tcBorders>
              <w:top w:val="single" w:sz="4" w:space="0" w:color="000000"/>
              <w:left w:val="single" w:sz="12" w:space="0" w:color="000000"/>
              <w:bottom w:val="single" w:sz="4" w:space="0" w:color="000000"/>
              <w:right w:val="single" w:sz="12" w:space="0" w:color="000000"/>
            </w:tcBorders>
            <w:vAlign w:val="center"/>
          </w:tcPr>
          <w:p w14:paraId="1F5D93F6" w14:textId="0A7F64D8" w:rsidR="00B0429D" w:rsidRPr="00B142E8" w:rsidRDefault="007B2694" w:rsidP="00A53A74">
            <w:pPr>
              <w:spacing w:after="0" w:line="259" w:lineRule="auto"/>
              <w:ind w:left="106" w:right="0" w:firstLine="0"/>
            </w:pPr>
            <w:r w:rsidRPr="00A53A74">
              <w:rPr>
                <w:rFonts w:eastAsia="Segoe UI Symbol"/>
                <w:sz w:val="18"/>
              </w:rPr>
              <w:t>u</w:t>
            </w:r>
            <w:r w:rsidR="007671A9" w:rsidRPr="00B142E8">
              <w:rPr>
                <w:sz w:val="18"/>
              </w:rPr>
              <w:t>g</w:t>
            </w:r>
            <w:r w:rsidR="00B0429D" w:rsidRPr="00B142E8">
              <w:rPr>
                <w:sz w:val="18"/>
              </w:rPr>
              <w:t xml:space="preserve"> /100 cm</w:t>
            </w:r>
            <w:r w:rsidR="00B0429D" w:rsidRPr="00B142E8">
              <w:rPr>
                <w:sz w:val="18"/>
                <w:vertAlign w:val="superscript"/>
              </w:rPr>
              <w:t>2</w:t>
            </w:r>
          </w:p>
        </w:tc>
        <w:tc>
          <w:tcPr>
            <w:tcW w:w="900" w:type="dxa"/>
            <w:tcBorders>
              <w:top w:val="single" w:sz="4" w:space="0" w:color="000000"/>
              <w:left w:val="single" w:sz="12" w:space="0" w:color="000000"/>
              <w:bottom w:val="single" w:sz="4" w:space="0" w:color="000000"/>
              <w:right w:val="single" w:sz="12" w:space="0" w:color="000000"/>
            </w:tcBorders>
          </w:tcPr>
          <w:p w14:paraId="6401F9A4" w14:textId="544C5C94" w:rsidR="00B0429D" w:rsidRDefault="00B0429D" w:rsidP="00A22796">
            <w:pPr>
              <w:spacing w:after="0" w:line="259" w:lineRule="auto"/>
              <w:ind w:left="0" w:right="36" w:firstLine="0"/>
              <w:jc w:val="center"/>
            </w:pPr>
            <w:r>
              <w:rPr>
                <w:sz w:val="18"/>
              </w:rPr>
              <w:t>8082</w:t>
            </w:r>
          </w:p>
        </w:tc>
      </w:tr>
      <w:tr w:rsidR="00985247" w14:paraId="0CF37B0A" w14:textId="77777777" w:rsidTr="00985247">
        <w:trPr>
          <w:trHeight w:val="250"/>
        </w:trPr>
        <w:tc>
          <w:tcPr>
            <w:tcW w:w="3551" w:type="dxa"/>
            <w:tcBorders>
              <w:top w:val="single" w:sz="4" w:space="0" w:color="000000"/>
              <w:left w:val="single" w:sz="12" w:space="0" w:color="000000"/>
              <w:bottom w:val="single" w:sz="4" w:space="0" w:color="000000"/>
              <w:right w:val="single" w:sz="12" w:space="0" w:color="000000"/>
            </w:tcBorders>
          </w:tcPr>
          <w:p w14:paraId="481C8AD8" w14:textId="77777777" w:rsidR="00B0429D" w:rsidRDefault="00B0429D" w:rsidP="006C089A">
            <w:pPr>
              <w:spacing w:after="0" w:line="259" w:lineRule="auto"/>
              <w:ind w:left="36" w:right="0" w:firstLine="0"/>
            </w:pPr>
            <w:r>
              <w:rPr>
                <w:sz w:val="18"/>
              </w:rPr>
              <w:t xml:space="preserve">2,3,3',4',6-Pentachlorobiphenyl  </w:t>
            </w:r>
          </w:p>
        </w:tc>
        <w:tc>
          <w:tcPr>
            <w:tcW w:w="1047" w:type="dxa"/>
            <w:tcBorders>
              <w:top w:val="single" w:sz="4" w:space="0" w:color="000000"/>
              <w:left w:val="single" w:sz="12" w:space="0" w:color="000000"/>
              <w:bottom w:val="single" w:sz="4" w:space="0" w:color="000000"/>
              <w:right w:val="single" w:sz="12" w:space="0" w:color="000000"/>
            </w:tcBorders>
          </w:tcPr>
          <w:p w14:paraId="0A0757B0" w14:textId="10888DC0" w:rsidR="00B0429D" w:rsidRDefault="00B0429D" w:rsidP="00A22796">
            <w:pPr>
              <w:spacing w:after="0" w:line="259" w:lineRule="auto"/>
              <w:ind w:left="0" w:right="35" w:firstLine="0"/>
              <w:jc w:val="center"/>
            </w:pPr>
            <w:r>
              <w:rPr>
                <w:sz w:val="18"/>
              </w:rPr>
              <w:t>38380-03-9</w:t>
            </w:r>
          </w:p>
        </w:tc>
        <w:tc>
          <w:tcPr>
            <w:tcW w:w="793" w:type="dxa"/>
            <w:tcBorders>
              <w:top w:val="single" w:sz="4" w:space="0" w:color="000000"/>
              <w:left w:val="single" w:sz="12" w:space="0" w:color="000000"/>
              <w:bottom w:val="single" w:sz="4" w:space="0" w:color="000000"/>
              <w:right w:val="single" w:sz="12" w:space="0" w:color="000000"/>
            </w:tcBorders>
          </w:tcPr>
          <w:p w14:paraId="56BBBEE5" w14:textId="61B2A9D5" w:rsidR="00B0429D" w:rsidRDefault="00B0429D" w:rsidP="00A22796">
            <w:pPr>
              <w:spacing w:after="0" w:line="259" w:lineRule="auto"/>
              <w:ind w:left="0" w:right="35" w:firstLine="0"/>
              <w:jc w:val="center"/>
            </w:pPr>
            <w:r>
              <w:rPr>
                <w:sz w:val="18"/>
              </w:rPr>
              <w:t>110</w:t>
            </w:r>
          </w:p>
        </w:tc>
        <w:tc>
          <w:tcPr>
            <w:tcW w:w="617" w:type="dxa"/>
            <w:tcBorders>
              <w:top w:val="single" w:sz="4" w:space="0" w:color="000000"/>
              <w:left w:val="single" w:sz="12" w:space="0" w:color="000000"/>
              <w:bottom w:val="single" w:sz="4" w:space="0" w:color="000000"/>
              <w:right w:val="single" w:sz="12" w:space="0" w:color="000000"/>
            </w:tcBorders>
          </w:tcPr>
          <w:p w14:paraId="7B974DBA" w14:textId="1E2A3B3B" w:rsidR="00B0429D" w:rsidRDefault="00B0429D" w:rsidP="00A22796">
            <w:pPr>
              <w:spacing w:after="0" w:line="259" w:lineRule="auto"/>
              <w:ind w:left="0" w:right="40" w:firstLine="0"/>
              <w:jc w:val="center"/>
            </w:pPr>
            <w:r>
              <w:rPr>
                <w:sz w:val="18"/>
              </w:rPr>
              <w:t>0.05</w:t>
            </w:r>
          </w:p>
        </w:tc>
        <w:tc>
          <w:tcPr>
            <w:tcW w:w="534" w:type="dxa"/>
            <w:tcBorders>
              <w:top w:val="single" w:sz="4" w:space="0" w:color="000000"/>
              <w:left w:val="single" w:sz="12" w:space="0" w:color="000000"/>
              <w:bottom w:val="single" w:sz="4" w:space="0" w:color="000000"/>
              <w:right w:val="single" w:sz="12" w:space="0" w:color="000000"/>
            </w:tcBorders>
            <w:vAlign w:val="center"/>
          </w:tcPr>
          <w:p w14:paraId="768DC00B" w14:textId="552EFAA8" w:rsidR="00B0429D" w:rsidRDefault="00B0429D" w:rsidP="00A53A74">
            <w:pPr>
              <w:spacing w:after="0" w:line="259" w:lineRule="auto"/>
              <w:ind w:left="58" w:right="0" w:firstLine="0"/>
            </w:pPr>
            <w:r>
              <w:rPr>
                <w:sz w:val="18"/>
              </w:rPr>
              <w:t>ug/L</w:t>
            </w:r>
          </w:p>
        </w:tc>
        <w:tc>
          <w:tcPr>
            <w:tcW w:w="617" w:type="dxa"/>
            <w:tcBorders>
              <w:top w:val="single" w:sz="4" w:space="0" w:color="000000"/>
              <w:left w:val="single" w:sz="12" w:space="0" w:color="000000"/>
              <w:bottom w:val="single" w:sz="4" w:space="0" w:color="000000"/>
              <w:right w:val="single" w:sz="12" w:space="0" w:color="000000"/>
            </w:tcBorders>
          </w:tcPr>
          <w:p w14:paraId="370D605B" w14:textId="1B35BABD" w:rsidR="00B0429D" w:rsidRDefault="00B0429D" w:rsidP="00A22796">
            <w:pPr>
              <w:spacing w:after="0" w:line="259" w:lineRule="auto"/>
              <w:ind w:left="0" w:right="34" w:firstLine="0"/>
              <w:jc w:val="center"/>
            </w:pPr>
            <w:r>
              <w:rPr>
                <w:sz w:val="18"/>
              </w:rPr>
              <w:t>5</w:t>
            </w:r>
          </w:p>
        </w:tc>
        <w:tc>
          <w:tcPr>
            <w:tcW w:w="851" w:type="dxa"/>
            <w:tcBorders>
              <w:top w:val="single" w:sz="4" w:space="0" w:color="000000"/>
              <w:left w:val="single" w:sz="12" w:space="0" w:color="000000"/>
              <w:bottom w:val="single" w:sz="4" w:space="0" w:color="000000"/>
              <w:right w:val="single" w:sz="12" w:space="0" w:color="000000"/>
            </w:tcBorders>
          </w:tcPr>
          <w:p w14:paraId="17364E5D" w14:textId="0652F007" w:rsidR="00B0429D" w:rsidRDefault="00B0429D" w:rsidP="00A22796">
            <w:pPr>
              <w:spacing w:after="0" w:line="259" w:lineRule="auto"/>
              <w:ind w:left="0" w:right="0" w:firstLine="0"/>
              <w:jc w:val="center"/>
            </w:pPr>
            <w:r>
              <w:rPr>
                <w:rFonts w:eastAsia="Segoe UI Symbol"/>
                <w:sz w:val="18"/>
              </w:rPr>
              <w:t>u</w:t>
            </w:r>
            <w:r>
              <w:rPr>
                <w:sz w:val="18"/>
              </w:rPr>
              <w:t>g/kg</w:t>
            </w:r>
          </w:p>
        </w:tc>
        <w:tc>
          <w:tcPr>
            <w:tcW w:w="540" w:type="dxa"/>
            <w:tcBorders>
              <w:top w:val="single" w:sz="4" w:space="0" w:color="000000"/>
              <w:left w:val="single" w:sz="12" w:space="0" w:color="000000"/>
              <w:bottom w:val="single" w:sz="4" w:space="0" w:color="000000"/>
              <w:right w:val="single" w:sz="12" w:space="0" w:color="000000"/>
            </w:tcBorders>
          </w:tcPr>
          <w:p w14:paraId="19690E52" w14:textId="7749974F" w:rsidR="00B0429D" w:rsidRDefault="00B0429D" w:rsidP="00A22796">
            <w:pPr>
              <w:spacing w:after="0" w:line="259" w:lineRule="auto"/>
              <w:ind w:left="0" w:right="37" w:firstLine="0"/>
              <w:jc w:val="center"/>
            </w:pPr>
            <w:r>
              <w:rPr>
                <w:sz w:val="18"/>
              </w:rPr>
              <w:t>1</w:t>
            </w:r>
          </w:p>
        </w:tc>
        <w:tc>
          <w:tcPr>
            <w:tcW w:w="1170" w:type="dxa"/>
            <w:tcBorders>
              <w:top w:val="single" w:sz="4" w:space="0" w:color="000000"/>
              <w:left w:val="single" w:sz="12" w:space="0" w:color="000000"/>
              <w:bottom w:val="single" w:sz="4" w:space="0" w:color="000000"/>
              <w:right w:val="single" w:sz="12" w:space="0" w:color="000000"/>
            </w:tcBorders>
            <w:vAlign w:val="center"/>
          </w:tcPr>
          <w:p w14:paraId="6E570CAB" w14:textId="36CEECB9" w:rsidR="00B0429D" w:rsidRPr="00B142E8" w:rsidRDefault="007B2694" w:rsidP="00A53A74">
            <w:pPr>
              <w:spacing w:after="0" w:line="259" w:lineRule="auto"/>
              <w:ind w:left="106" w:right="0" w:firstLine="0"/>
            </w:pPr>
            <w:r w:rsidRPr="00A53A74">
              <w:rPr>
                <w:rFonts w:eastAsia="Segoe UI Symbol"/>
                <w:sz w:val="18"/>
              </w:rPr>
              <w:t>u</w:t>
            </w:r>
            <w:r w:rsidR="007671A9" w:rsidRPr="00B142E8">
              <w:rPr>
                <w:sz w:val="18"/>
              </w:rPr>
              <w:t>g</w:t>
            </w:r>
            <w:r w:rsidR="00B0429D" w:rsidRPr="00B142E8">
              <w:rPr>
                <w:sz w:val="18"/>
              </w:rPr>
              <w:t xml:space="preserve"> /100 cm</w:t>
            </w:r>
            <w:r w:rsidR="00B0429D" w:rsidRPr="00B142E8">
              <w:rPr>
                <w:sz w:val="18"/>
                <w:vertAlign w:val="superscript"/>
              </w:rPr>
              <w:t>2</w:t>
            </w:r>
          </w:p>
        </w:tc>
        <w:tc>
          <w:tcPr>
            <w:tcW w:w="900" w:type="dxa"/>
            <w:tcBorders>
              <w:top w:val="single" w:sz="4" w:space="0" w:color="000000"/>
              <w:left w:val="single" w:sz="12" w:space="0" w:color="000000"/>
              <w:bottom w:val="single" w:sz="4" w:space="0" w:color="000000"/>
              <w:right w:val="single" w:sz="12" w:space="0" w:color="000000"/>
            </w:tcBorders>
          </w:tcPr>
          <w:p w14:paraId="1C8DF4C2" w14:textId="3B5C472E" w:rsidR="00B0429D" w:rsidRDefault="00B0429D" w:rsidP="00A22796">
            <w:pPr>
              <w:spacing w:after="0" w:line="259" w:lineRule="auto"/>
              <w:ind w:left="0" w:right="36" w:firstLine="0"/>
              <w:jc w:val="center"/>
            </w:pPr>
            <w:r>
              <w:rPr>
                <w:sz w:val="18"/>
              </w:rPr>
              <w:t>8082</w:t>
            </w:r>
          </w:p>
        </w:tc>
      </w:tr>
      <w:tr w:rsidR="00985247" w14:paraId="540FD445" w14:textId="77777777" w:rsidTr="00985247">
        <w:trPr>
          <w:trHeight w:val="250"/>
        </w:trPr>
        <w:tc>
          <w:tcPr>
            <w:tcW w:w="3551" w:type="dxa"/>
            <w:tcBorders>
              <w:top w:val="single" w:sz="4" w:space="0" w:color="000000"/>
              <w:left w:val="single" w:sz="12" w:space="0" w:color="000000"/>
              <w:bottom w:val="single" w:sz="4" w:space="0" w:color="000000"/>
              <w:right w:val="single" w:sz="12" w:space="0" w:color="000000"/>
            </w:tcBorders>
          </w:tcPr>
          <w:p w14:paraId="73C3E9D3" w14:textId="77777777" w:rsidR="00B0429D" w:rsidRDefault="00B0429D" w:rsidP="006C089A">
            <w:pPr>
              <w:spacing w:after="0" w:line="259" w:lineRule="auto"/>
              <w:ind w:left="36" w:right="0" w:firstLine="0"/>
            </w:pPr>
            <w:r>
              <w:rPr>
                <w:sz w:val="18"/>
              </w:rPr>
              <w:lastRenderedPageBreak/>
              <w:t xml:space="preserve">2,2',3,4,4',5'-Hexachlorobiphenyl </w:t>
            </w:r>
          </w:p>
        </w:tc>
        <w:tc>
          <w:tcPr>
            <w:tcW w:w="1047" w:type="dxa"/>
            <w:tcBorders>
              <w:top w:val="single" w:sz="4" w:space="0" w:color="000000"/>
              <w:left w:val="single" w:sz="12" w:space="0" w:color="000000"/>
              <w:bottom w:val="single" w:sz="4" w:space="0" w:color="000000"/>
              <w:right w:val="single" w:sz="12" w:space="0" w:color="000000"/>
            </w:tcBorders>
          </w:tcPr>
          <w:p w14:paraId="3DEE3086" w14:textId="5E237E9C" w:rsidR="00B0429D" w:rsidRDefault="00B0429D" w:rsidP="00A22796">
            <w:pPr>
              <w:spacing w:after="0" w:line="259" w:lineRule="auto"/>
              <w:ind w:left="0" w:right="35" w:firstLine="0"/>
              <w:jc w:val="center"/>
            </w:pPr>
            <w:r>
              <w:rPr>
                <w:sz w:val="18"/>
              </w:rPr>
              <w:t>35065-28-2</w:t>
            </w:r>
          </w:p>
        </w:tc>
        <w:tc>
          <w:tcPr>
            <w:tcW w:w="793" w:type="dxa"/>
            <w:tcBorders>
              <w:top w:val="single" w:sz="4" w:space="0" w:color="000000"/>
              <w:left w:val="single" w:sz="12" w:space="0" w:color="000000"/>
              <w:bottom w:val="single" w:sz="4" w:space="0" w:color="000000"/>
              <w:right w:val="single" w:sz="12" w:space="0" w:color="000000"/>
            </w:tcBorders>
          </w:tcPr>
          <w:p w14:paraId="75C85BAB" w14:textId="12BD0AC7" w:rsidR="00B0429D" w:rsidRDefault="00B0429D" w:rsidP="00A22796">
            <w:pPr>
              <w:spacing w:after="0" w:line="259" w:lineRule="auto"/>
              <w:ind w:left="0" w:right="35" w:firstLine="0"/>
              <w:jc w:val="center"/>
            </w:pPr>
            <w:r>
              <w:rPr>
                <w:sz w:val="18"/>
              </w:rPr>
              <w:t>138</w:t>
            </w:r>
          </w:p>
        </w:tc>
        <w:tc>
          <w:tcPr>
            <w:tcW w:w="617" w:type="dxa"/>
            <w:tcBorders>
              <w:top w:val="single" w:sz="4" w:space="0" w:color="000000"/>
              <w:left w:val="single" w:sz="12" w:space="0" w:color="000000"/>
              <w:bottom w:val="single" w:sz="4" w:space="0" w:color="000000"/>
              <w:right w:val="single" w:sz="12" w:space="0" w:color="000000"/>
            </w:tcBorders>
          </w:tcPr>
          <w:p w14:paraId="2271AAE8" w14:textId="7953418A" w:rsidR="00B0429D" w:rsidRDefault="00B0429D" w:rsidP="00A22796">
            <w:pPr>
              <w:spacing w:after="0" w:line="259" w:lineRule="auto"/>
              <w:ind w:left="0" w:right="40" w:firstLine="0"/>
              <w:jc w:val="center"/>
            </w:pPr>
            <w:r>
              <w:rPr>
                <w:sz w:val="18"/>
              </w:rPr>
              <w:t>0.05</w:t>
            </w:r>
          </w:p>
        </w:tc>
        <w:tc>
          <w:tcPr>
            <w:tcW w:w="534" w:type="dxa"/>
            <w:tcBorders>
              <w:top w:val="single" w:sz="4" w:space="0" w:color="000000"/>
              <w:left w:val="single" w:sz="12" w:space="0" w:color="000000"/>
              <w:bottom w:val="single" w:sz="4" w:space="0" w:color="000000"/>
              <w:right w:val="single" w:sz="12" w:space="0" w:color="000000"/>
            </w:tcBorders>
            <w:vAlign w:val="center"/>
          </w:tcPr>
          <w:p w14:paraId="7DB63C73" w14:textId="0A0655C1" w:rsidR="00B0429D" w:rsidRDefault="00B0429D" w:rsidP="00A53A74">
            <w:pPr>
              <w:spacing w:after="0" w:line="259" w:lineRule="auto"/>
              <w:ind w:left="58" w:right="0" w:firstLine="0"/>
            </w:pPr>
            <w:r>
              <w:rPr>
                <w:sz w:val="18"/>
              </w:rPr>
              <w:t>ug/L</w:t>
            </w:r>
          </w:p>
        </w:tc>
        <w:tc>
          <w:tcPr>
            <w:tcW w:w="617" w:type="dxa"/>
            <w:tcBorders>
              <w:top w:val="single" w:sz="4" w:space="0" w:color="000000"/>
              <w:left w:val="single" w:sz="12" w:space="0" w:color="000000"/>
              <w:bottom w:val="single" w:sz="4" w:space="0" w:color="000000"/>
              <w:right w:val="single" w:sz="12" w:space="0" w:color="000000"/>
            </w:tcBorders>
          </w:tcPr>
          <w:p w14:paraId="533A147E" w14:textId="5D3EA9CF" w:rsidR="00B0429D" w:rsidRDefault="00B0429D" w:rsidP="00A22796">
            <w:pPr>
              <w:spacing w:after="0" w:line="259" w:lineRule="auto"/>
              <w:ind w:left="0" w:right="34" w:firstLine="0"/>
              <w:jc w:val="center"/>
            </w:pPr>
            <w:r>
              <w:rPr>
                <w:sz w:val="18"/>
              </w:rPr>
              <w:t>5</w:t>
            </w:r>
          </w:p>
        </w:tc>
        <w:tc>
          <w:tcPr>
            <w:tcW w:w="851" w:type="dxa"/>
            <w:tcBorders>
              <w:top w:val="single" w:sz="4" w:space="0" w:color="000000"/>
              <w:left w:val="single" w:sz="12" w:space="0" w:color="000000"/>
              <w:bottom w:val="single" w:sz="4" w:space="0" w:color="000000"/>
              <w:right w:val="single" w:sz="12" w:space="0" w:color="000000"/>
            </w:tcBorders>
          </w:tcPr>
          <w:p w14:paraId="76310468" w14:textId="30148217" w:rsidR="00B0429D" w:rsidRDefault="00B0429D" w:rsidP="00A22796">
            <w:pPr>
              <w:spacing w:after="0" w:line="259" w:lineRule="auto"/>
              <w:ind w:left="0" w:right="0" w:firstLine="0"/>
              <w:jc w:val="center"/>
            </w:pPr>
            <w:r>
              <w:rPr>
                <w:rFonts w:eastAsia="Segoe UI Symbol"/>
                <w:sz w:val="18"/>
              </w:rPr>
              <w:t>u</w:t>
            </w:r>
            <w:r>
              <w:rPr>
                <w:sz w:val="18"/>
              </w:rPr>
              <w:t>g/kg</w:t>
            </w:r>
          </w:p>
        </w:tc>
        <w:tc>
          <w:tcPr>
            <w:tcW w:w="540" w:type="dxa"/>
            <w:tcBorders>
              <w:top w:val="single" w:sz="4" w:space="0" w:color="000000"/>
              <w:left w:val="single" w:sz="12" w:space="0" w:color="000000"/>
              <w:bottom w:val="single" w:sz="4" w:space="0" w:color="000000"/>
              <w:right w:val="single" w:sz="12" w:space="0" w:color="000000"/>
            </w:tcBorders>
          </w:tcPr>
          <w:p w14:paraId="5182F36E" w14:textId="48054AA2" w:rsidR="00B0429D" w:rsidRDefault="00B0429D" w:rsidP="00A22796">
            <w:pPr>
              <w:spacing w:after="0" w:line="259" w:lineRule="auto"/>
              <w:ind w:left="0" w:right="37" w:firstLine="0"/>
              <w:jc w:val="center"/>
            </w:pPr>
            <w:r>
              <w:rPr>
                <w:sz w:val="18"/>
              </w:rPr>
              <w:t>1</w:t>
            </w:r>
          </w:p>
        </w:tc>
        <w:tc>
          <w:tcPr>
            <w:tcW w:w="1170" w:type="dxa"/>
            <w:tcBorders>
              <w:top w:val="single" w:sz="4" w:space="0" w:color="000000"/>
              <w:left w:val="single" w:sz="12" w:space="0" w:color="000000"/>
              <w:bottom w:val="single" w:sz="4" w:space="0" w:color="000000"/>
              <w:right w:val="single" w:sz="12" w:space="0" w:color="000000"/>
            </w:tcBorders>
            <w:vAlign w:val="center"/>
          </w:tcPr>
          <w:p w14:paraId="27C1A14C" w14:textId="1DCF6FF1" w:rsidR="00B0429D" w:rsidRPr="00B142E8" w:rsidRDefault="007B2694" w:rsidP="00A53A74">
            <w:pPr>
              <w:spacing w:after="0" w:line="259" w:lineRule="auto"/>
              <w:ind w:left="106" w:right="0" w:firstLine="0"/>
            </w:pPr>
            <w:r w:rsidRPr="00A53A74">
              <w:rPr>
                <w:rFonts w:eastAsia="Segoe UI Symbol"/>
                <w:sz w:val="18"/>
              </w:rPr>
              <w:t>u</w:t>
            </w:r>
            <w:r w:rsidR="007671A9" w:rsidRPr="00B142E8">
              <w:rPr>
                <w:sz w:val="18"/>
              </w:rPr>
              <w:t>g</w:t>
            </w:r>
            <w:r w:rsidR="00B0429D" w:rsidRPr="00B142E8">
              <w:rPr>
                <w:sz w:val="18"/>
              </w:rPr>
              <w:t xml:space="preserve"> /100 cm</w:t>
            </w:r>
            <w:r w:rsidR="00B0429D" w:rsidRPr="00B142E8">
              <w:rPr>
                <w:sz w:val="18"/>
                <w:vertAlign w:val="superscript"/>
              </w:rPr>
              <w:t>2</w:t>
            </w:r>
          </w:p>
        </w:tc>
        <w:tc>
          <w:tcPr>
            <w:tcW w:w="900" w:type="dxa"/>
            <w:tcBorders>
              <w:top w:val="single" w:sz="4" w:space="0" w:color="000000"/>
              <w:left w:val="single" w:sz="12" w:space="0" w:color="000000"/>
              <w:bottom w:val="single" w:sz="4" w:space="0" w:color="000000"/>
              <w:right w:val="single" w:sz="12" w:space="0" w:color="000000"/>
            </w:tcBorders>
          </w:tcPr>
          <w:p w14:paraId="4A55AE62" w14:textId="3A06443F" w:rsidR="00B0429D" w:rsidRDefault="00B0429D" w:rsidP="00A22796">
            <w:pPr>
              <w:spacing w:after="0" w:line="259" w:lineRule="auto"/>
              <w:ind w:left="0" w:right="36" w:firstLine="0"/>
              <w:jc w:val="center"/>
            </w:pPr>
            <w:r>
              <w:rPr>
                <w:sz w:val="18"/>
              </w:rPr>
              <w:t>8082</w:t>
            </w:r>
          </w:p>
        </w:tc>
      </w:tr>
      <w:tr w:rsidR="00985247" w14:paraId="5EB405FD" w14:textId="77777777" w:rsidTr="00985247">
        <w:trPr>
          <w:trHeight w:val="252"/>
        </w:trPr>
        <w:tc>
          <w:tcPr>
            <w:tcW w:w="3551" w:type="dxa"/>
            <w:tcBorders>
              <w:top w:val="single" w:sz="4" w:space="0" w:color="000000"/>
              <w:left w:val="single" w:sz="12" w:space="0" w:color="000000"/>
              <w:bottom w:val="single" w:sz="4" w:space="0" w:color="000000"/>
              <w:right w:val="single" w:sz="12" w:space="0" w:color="000000"/>
            </w:tcBorders>
          </w:tcPr>
          <w:p w14:paraId="7E4F3FC4" w14:textId="77777777" w:rsidR="00B0429D" w:rsidRDefault="00B0429D" w:rsidP="006C089A">
            <w:pPr>
              <w:spacing w:after="0" w:line="259" w:lineRule="auto"/>
              <w:ind w:left="36" w:right="0" w:firstLine="0"/>
            </w:pPr>
            <w:r>
              <w:rPr>
                <w:sz w:val="18"/>
              </w:rPr>
              <w:t xml:space="preserve">2,2',3,4,5,5'-Hexachlorobiphenyl </w:t>
            </w:r>
          </w:p>
        </w:tc>
        <w:tc>
          <w:tcPr>
            <w:tcW w:w="1047" w:type="dxa"/>
            <w:tcBorders>
              <w:top w:val="single" w:sz="4" w:space="0" w:color="000000"/>
              <w:left w:val="single" w:sz="12" w:space="0" w:color="000000"/>
              <w:bottom w:val="single" w:sz="4" w:space="0" w:color="000000"/>
              <w:right w:val="single" w:sz="12" w:space="0" w:color="000000"/>
            </w:tcBorders>
          </w:tcPr>
          <w:p w14:paraId="414E4733" w14:textId="1D74FA9B" w:rsidR="00B0429D" w:rsidRDefault="00B0429D" w:rsidP="00A22796">
            <w:pPr>
              <w:spacing w:after="0" w:line="259" w:lineRule="auto"/>
              <w:ind w:left="0" w:right="35" w:firstLine="0"/>
              <w:jc w:val="center"/>
            </w:pPr>
            <w:r>
              <w:rPr>
                <w:sz w:val="18"/>
              </w:rPr>
              <w:t>52712-04-6</w:t>
            </w:r>
          </w:p>
        </w:tc>
        <w:tc>
          <w:tcPr>
            <w:tcW w:w="793" w:type="dxa"/>
            <w:tcBorders>
              <w:top w:val="single" w:sz="4" w:space="0" w:color="000000"/>
              <w:left w:val="single" w:sz="12" w:space="0" w:color="000000"/>
              <w:bottom w:val="single" w:sz="4" w:space="0" w:color="000000"/>
              <w:right w:val="single" w:sz="12" w:space="0" w:color="000000"/>
            </w:tcBorders>
          </w:tcPr>
          <w:p w14:paraId="730E5940" w14:textId="2BBEDE5B" w:rsidR="00B0429D" w:rsidRDefault="00B0429D" w:rsidP="00A22796">
            <w:pPr>
              <w:spacing w:after="0" w:line="259" w:lineRule="auto"/>
              <w:ind w:left="0" w:right="35" w:firstLine="0"/>
              <w:jc w:val="center"/>
            </w:pPr>
            <w:r>
              <w:rPr>
                <w:sz w:val="18"/>
              </w:rPr>
              <w:t>141</w:t>
            </w:r>
          </w:p>
        </w:tc>
        <w:tc>
          <w:tcPr>
            <w:tcW w:w="617" w:type="dxa"/>
            <w:tcBorders>
              <w:top w:val="single" w:sz="4" w:space="0" w:color="000000"/>
              <w:left w:val="single" w:sz="12" w:space="0" w:color="000000"/>
              <w:bottom w:val="single" w:sz="4" w:space="0" w:color="000000"/>
              <w:right w:val="single" w:sz="12" w:space="0" w:color="000000"/>
            </w:tcBorders>
          </w:tcPr>
          <w:p w14:paraId="0882D168" w14:textId="54651EED" w:rsidR="00B0429D" w:rsidRDefault="00B0429D" w:rsidP="00A22796">
            <w:pPr>
              <w:spacing w:after="0" w:line="259" w:lineRule="auto"/>
              <w:ind w:left="0" w:right="40" w:firstLine="0"/>
              <w:jc w:val="center"/>
            </w:pPr>
            <w:r>
              <w:rPr>
                <w:sz w:val="18"/>
              </w:rPr>
              <w:t>0.05</w:t>
            </w:r>
          </w:p>
        </w:tc>
        <w:tc>
          <w:tcPr>
            <w:tcW w:w="534" w:type="dxa"/>
            <w:tcBorders>
              <w:top w:val="single" w:sz="4" w:space="0" w:color="000000"/>
              <w:left w:val="single" w:sz="12" w:space="0" w:color="000000"/>
              <w:bottom w:val="single" w:sz="4" w:space="0" w:color="000000"/>
              <w:right w:val="single" w:sz="12" w:space="0" w:color="000000"/>
            </w:tcBorders>
            <w:vAlign w:val="center"/>
          </w:tcPr>
          <w:p w14:paraId="1DA83EA7" w14:textId="46604A15" w:rsidR="00B0429D" w:rsidRDefault="00B0429D" w:rsidP="00A53A74">
            <w:pPr>
              <w:spacing w:after="0" w:line="259" w:lineRule="auto"/>
              <w:ind w:left="58" w:right="0" w:firstLine="0"/>
            </w:pPr>
            <w:r>
              <w:rPr>
                <w:sz w:val="18"/>
              </w:rPr>
              <w:t>ug/L</w:t>
            </w:r>
          </w:p>
        </w:tc>
        <w:tc>
          <w:tcPr>
            <w:tcW w:w="617" w:type="dxa"/>
            <w:tcBorders>
              <w:top w:val="single" w:sz="4" w:space="0" w:color="000000"/>
              <w:left w:val="single" w:sz="12" w:space="0" w:color="000000"/>
              <w:bottom w:val="single" w:sz="4" w:space="0" w:color="000000"/>
              <w:right w:val="single" w:sz="12" w:space="0" w:color="000000"/>
            </w:tcBorders>
          </w:tcPr>
          <w:p w14:paraId="5A78452A" w14:textId="0E0CF9ED" w:rsidR="00B0429D" w:rsidRDefault="00B0429D" w:rsidP="00A22796">
            <w:pPr>
              <w:spacing w:after="0" w:line="259" w:lineRule="auto"/>
              <w:ind w:left="0" w:right="34" w:firstLine="0"/>
              <w:jc w:val="center"/>
            </w:pPr>
            <w:r>
              <w:rPr>
                <w:sz w:val="18"/>
              </w:rPr>
              <w:t>5</w:t>
            </w:r>
          </w:p>
        </w:tc>
        <w:tc>
          <w:tcPr>
            <w:tcW w:w="851" w:type="dxa"/>
            <w:tcBorders>
              <w:top w:val="single" w:sz="4" w:space="0" w:color="000000"/>
              <w:left w:val="single" w:sz="12" w:space="0" w:color="000000"/>
              <w:bottom w:val="single" w:sz="4" w:space="0" w:color="000000"/>
              <w:right w:val="single" w:sz="12" w:space="0" w:color="000000"/>
            </w:tcBorders>
          </w:tcPr>
          <w:p w14:paraId="53023473" w14:textId="7706D540" w:rsidR="00B0429D" w:rsidRDefault="00B0429D" w:rsidP="00A22796">
            <w:pPr>
              <w:spacing w:after="0" w:line="259" w:lineRule="auto"/>
              <w:ind w:left="0" w:right="0" w:firstLine="0"/>
              <w:jc w:val="center"/>
            </w:pPr>
            <w:r>
              <w:rPr>
                <w:rFonts w:eastAsia="Segoe UI Symbol"/>
                <w:sz w:val="18"/>
              </w:rPr>
              <w:t>u</w:t>
            </w:r>
            <w:r>
              <w:rPr>
                <w:sz w:val="18"/>
              </w:rPr>
              <w:t>g/kg</w:t>
            </w:r>
          </w:p>
        </w:tc>
        <w:tc>
          <w:tcPr>
            <w:tcW w:w="540" w:type="dxa"/>
            <w:tcBorders>
              <w:top w:val="single" w:sz="4" w:space="0" w:color="000000"/>
              <w:left w:val="single" w:sz="12" w:space="0" w:color="000000"/>
              <w:bottom w:val="single" w:sz="4" w:space="0" w:color="000000"/>
              <w:right w:val="single" w:sz="12" w:space="0" w:color="000000"/>
            </w:tcBorders>
          </w:tcPr>
          <w:p w14:paraId="16A2F19A" w14:textId="22DCC11B" w:rsidR="00B0429D" w:rsidRDefault="00B0429D" w:rsidP="00A22796">
            <w:pPr>
              <w:spacing w:after="0" w:line="259" w:lineRule="auto"/>
              <w:ind w:left="0" w:right="37" w:firstLine="0"/>
              <w:jc w:val="center"/>
            </w:pPr>
            <w:r>
              <w:rPr>
                <w:sz w:val="18"/>
              </w:rPr>
              <w:t>1</w:t>
            </w:r>
          </w:p>
        </w:tc>
        <w:tc>
          <w:tcPr>
            <w:tcW w:w="1170" w:type="dxa"/>
            <w:tcBorders>
              <w:top w:val="single" w:sz="4" w:space="0" w:color="000000"/>
              <w:left w:val="single" w:sz="12" w:space="0" w:color="000000"/>
              <w:bottom w:val="single" w:sz="4" w:space="0" w:color="000000"/>
              <w:right w:val="single" w:sz="12" w:space="0" w:color="000000"/>
            </w:tcBorders>
            <w:vAlign w:val="center"/>
          </w:tcPr>
          <w:p w14:paraId="041B61EA" w14:textId="5C2FFF58" w:rsidR="00B0429D" w:rsidRPr="00B142E8" w:rsidRDefault="007B2694" w:rsidP="00A53A74">
            <w:pPr>
              <w:spacing w:after="0" w:line="259" w:lineRule="auto"/>
              <w:ind w:left="106" w:right="0" w:firstLine="0"/>
            </w:pPr>
            <w:r w:rsidRPr="00A53A74">
              <w:rPr>
                <w:rFonts w:eastAsia="Segoe UI Symbol"/>
                <w:sz w:val="18"/>
              </w:rPr>
              <w:t>u</w:t>
            </w:r>
            <w:r w:rsidR="007671A9" w:rsidRPr="00B142E8">
              <w:rPr>
                <w:sz w:val="18"/>
              </w:rPr>
              <w:t>g</w:t>
            </w:r>
            <w:r w:rsidR="00B0429D" w:rsidRPr="00B142E8">
              <w:rPr>
                <w:sz w:val="18"/>
              </w:rPr>
              <w:t xml:space="preserve"> /100 cm</w:t>
            </w:r>
            <w:r w:rsidR="00B0429D" w:rsidRPr="00B142E8">
              <w:rPr>
                <w:sz w:val="18"/>
                <w:vertAlign w:val="superscript"/>
              </w:rPr>
              <w:t>2</w:t>
            </w:r>
          </w:p>
        </w:tc>
        <w:tc>
          <w:tcPr>
            <w:tcW w:w="900" w:type="dxa"/>
            <w:tcBorders>
              <w:top w:val="single" w:sz="4" w:space="0" w:color="000000"/>
              <w:left w:val="single" w:sz="12" w:space="0" w:color="000000"/>
              <w:bottom w:val="single" w:sz="4" w:space="0" w:color="000000"/>
              <w:right w:val="single" w:sz="12" w:space="0" w:color="000000"/>
            </w:tcBorders>
          </w:tcPr>
          <w:p w14:paraId="2987EDA1" w14:textId="3863BFFD" w:rsidR="00B0429D" w:rsidRDefault="00B0429D" w:rsidP="00A22796">
            <w:pPr>
              <w:spacing w:after="0" w:line="259" w:lineRule="auto"/>
              <w:ind w:left="0" w:right="36" w:firstLine="0"/>
              <w:jc w:val="center"/>
            </w:pPr>
            <w:r>
              <w:rPr>
                <w:sz w:val="18"/>
              </w:rPr>
              <w:t>8082</w:t>
            </w:r>
          </w:p>
        </w:tc>
      </w:tr>
      <w:tr w:rsidR="00985247" w14:paraId="1D29502D" w14:textId="77777777" w:rsidTr="00985247">
        <w:trPr>
          <w:trHeight w:val="250"/>
        </w:trPr>
        <w:tc>
          <w:tcPr>
            <w:tcW w:w="3551" w:type="dxa"/>
            <w:tcBorders>
              <w:top w:val="single" w:sz="4" w:space="0" w:color="000000"/>
              <w:left w:val="single" w:sz="12" w:space="0" w:color="000000"/>
              <w:bottom w:val="single" w:sz="4" w:space="0" w:color="000000"/>
              <w:right w:val="single" w:sz="12" w:space="0" w:color="000000"/>
            </w:tcBorders>
          </w:tcPr>
          <w:p w14:paraId="3B56A635" w14:textId="77777777" w:rsidR="00B0429D" w:rsidRDefault="00B0429D" w:rsidP="006C089A">
            <w:pPr>
              <w:spacing w:after="0" w:line="259" w:lineRule="auto"/>
              <w:ind w:left="36" w:right="0" w:firstLine="0"/>
            </w:pPr>
            <w:r>
              <w:rPr>
                <w:sz w:val="18"/>
              </w:rPr>
              <w:t xml:space="preserve">2,2',3,5,5',6-Hexachlorobiphenyl </w:t>
            </w:r>
          </w:p>
        </w:tc>
        <w:tc>
          <w:tcPr>
            <w:tcW w:w="1047" w:type="dxa"/>
            <w:tcBorders>
              <w:top w:val="single" w:sz="4" w:space="0" w:color="000000"/>
              <w:left w:val="single" w:sz="12" w:space="0" w:color="000000"/>
              <w:bottom w:val="single" w:sz="4" w:space="0" w:color="000000"/>
              <w:right w:val="single" w:sz="12" w:space="0" w:color="000000"/>
            </w:tcBorders>
          </w:tcPr>
          <w:p w14:paraId="06331D4B" w14:textId="65C931C3" w:rsidR="00B0429D" w:rsidRDefault="00B0429D" w:rsidP="00A22796">
            <w:pPr>
              <w:spacing w:after="0" w:line="259" w:lineRule="auto"/>
              <w:ind w:left="0" w:right="35" w:firstLine="0"/>
              <w:jc w:val="center"/>
            </w:pPr>
            <w:r>
              <w:rPr>
                <w:sz w:val="18"/>
              </w:rPr>
              <w:t>52663-63-5</w:t>
            </w:r>
          </w:p>
        </w:tc>
        <w:tc>
          <w:tcPr>
            <w:tcW w:w="793" w:type="dxa"/>
            <w:tcBorders>
              <w:top w:val="single" w:sz="4" w:space="0" w:color="000000"/>
              <w:left w:val="single" w:sz="12" w:space="0" w:color="000000"/>
              <w:bottom w:val="single" w:sz="4" w:space="0" w:color="000000"/>
              <w:right w:val="single" w:sz="12" w:space="0" w:color="000000"/>
            </w:tcBorders>
          </w:tcPr>
          <w:p w14:paraId="71F77825" w14:textId="7286F268" w:rsidR="00B0429D" w:rsidRDefault="00B0429D" w:rsidP="00A22796">
            <w:pPr>
              <w:spacing w:after="0" w:line="259" w:lineRule="auto"/>
              <w:ind w:left="0" w:right="35" w:firstLine="0"/>
              <w:jc w:val="center"/>
            </w:pPr>
            <w:r>
              <w:rPr>
                <w:sz w:val="18"/>
              </w:rPr>
              <w:t>151</w:t>
            </w:r>
          </w:p>
        </w:tc>
        <w:tc>
          <w:tcPr>
            <w:tcW w:w="617" w:type="dxa"/>
            <w:tcBorders>
              <w:top w:val="single" w:sz="4" w:space="0" w:color="000000"/>
              <w:left w:val="single" w:sz="12" w:space="0" w:color="000000"/>
              <w:bottom w:val="single" w:sz="4" w:space="0" w:color="000000"/>
              <w:right w:val="single" w:sz="12" w:space="0" w:color="000000"/>
            </w:tcBorders>
          </w:tcPr>
          <w:p w14:paraId="3DC92298" w14:textId="3E0E878D" w:rsidR="00B0429D" w:rsidRDefault="00B0429D" w:rsidP="00A22796">
            <w:pPr>
              <w:spacing w:after="0" w:line="259" w:lineRule="auto"/>
              <w:ind w:left="0" w:right="40" w:firstLine="0"/>
              <w:jc w:val="center"/>
            </w:pPr>
            <w:r>
              <w:rPr>
                <w:sz w:val="18"/>
              </w:rPr>
              <w:t>0.05</w:t>
            </w:r>
          </w:p>
        </w:tc>
        <w:tc>
          <w:tcPr>
            <w:tcW w:w="534" w:type="dxa"/>
            <w:tcBorders>
              <w:top w:val="single" w:sz="4" w:space="0" w:color="000000"/>
              <w:left w:val="single" w:sz="12" w:space="0" w:color="000000"/>
              <w:bottom w:val="single" w:sz="4" w:space="0" w:color="000000"/>
              <w:right w:val="single" w:sz="12" w:space="0" w:color="000000"/>
            </w:tcBorders>
            <w:vAlign w:val="center"/>
          </w:tcPr>
          <w:p w14:paraId="6841047F" w14:textId="4E730B28" w:rsidR="00B0429D" w:rsidRDefault="00B0429D" w:rsidP="00A53A74">
            <w:pPr>
              <w:spacing w:after="0" w:line="259" w:lineRule="auto"/>
              <w:ind w:left="58" w:right="0" w:firstLine="0"/>
            </w:pPr>
            <w:r>
              <w:rPr>
                <w:sz w:val="18"/>
              </w:rPr>
              <w:t>ug/L</w:t>
            </w:r>
          </w:p>
        </w:tc>
        <w:tc>
          <w:tcPr>
            <w:tcW w:w="617" w:type="dxa"/>
            <w:tcBorders>
              <w:top w:val="single" w:sz="4" w:space="0" w:color="000000"/>
              <w:left w:val="single" w:sz="12" w:space="0" w:color="000000"/>
              <w:bottom w:val="single" w:sz="4" w:space="0" w:color="000000"/>
              <w:right w:val="single" w:sz="12" w:space="0" w:color="000000"/>
            </w:tcBorders>
          </w:tcPr>
          <w:p w14:paraId="21566FD4" w14:textId="09E8F1A4" w:rsidR="00B0429D" w:rsidRDefault="00B0429D" w:rsidP="00A22796">
            <w:pPr>
              <w:spacing w:after="0" w:line="259" w:lineRule="auto"/>
              <w:ind w:left="0" w:right="34" w:firstLine="0"/>
              <w:jc w:val="center"/>
            </w:pPr>
            <w:r>
              <w:rPr>
                <w:sz w:val="18"/>
              </w:rPr>
              <w:t>5</w:t>
            </w:r>
          </w:p>
        </w:tc>
        <w:tc>
          <w:tcPr>
            <w:tcW w:w="851" w:type="dxa"/>
            <w:tcBorders>
              <w:top w:val="single" w:sz="4" w:space="0" w:color="000000"/>
              <w:left w:val="single" w:sz="12" w:space="0" w:color="000000"/>
              <w:bottom w:val="single" w:sz="4" w:space="0" w:color="000000"/>
              <w:right w:val="single" w:sz="12" w:space="0" w:color="000000"/>
            </w:tcBorders>
          </w:tcPr>
          <w:p w14:paraId="0C0CDCE1" w14:textId="3FFA9780" w:rsidR="00B0429D" w:rsidRDefault="00B0429D" w:rsidP="00A22796">
            <w:pPr>
              <w:spacing w:after="0" w:line="259" w:lineRule="auto"/>
              <w:ind w:left="0" w:right="0" w:firstLine="0"/>
              <w:jc w:val="center"/>
            </w:pPr>
            <w:r>
              <w:rPr>
                <w:rFonts w:eastAsia="Segoe UI Symbol"/>
                <w:sz w:val="18"/>
              </w:rPr>
              <w:t>u</w:t>
            </w:r>
            <w:r>
              <w:rPr>
                <w:sz w:val="18"/>
              </w:rPr>
              <w:t>g/kg</w:t>
            </w:r>
          </w:p>
        </w:tc>
        <w:tc>
          <w:tcPr>
            <w:tcW w:w="540" w:type="dxa"/>
            <w:tcBorders>
              <w:top w:val="single" w:sz="4" w:space="0" w:color="000000"/>
              <w:left w:val="single" w:sz="12" w:space="0" w:color="000000"/>
              <w:bottom w:val="single" w:sz="4" w:space="0" w:color="000000"/>
              <w:right w:val="single" w:sz="12" w:space="0" w:color="000000"/>
            </w:tcBorders>
          </w:tcPr>
          <w:p w14:paraId="64825471" w14:textId="488AE955" w:rsidR="00B0429D" w:rsidRDefault="00B0429D" w:rsidP="00A22796">
            <w:pPr>
              <w:spacing w:after="0" w:line="259" w:lineRule="auto"/>
              <w:ind w:left="0" w:right="37" w:firstLine="0"/>
              <w:jc w:val="center"/>
            </w:pPr>
            <w:r>
              <w:rPr>
                <w:sz w:val="18"/>
              </w:rPr>
              <w:t>1</w:t>
            </w:r>
          </w:p>
        </w:tc>
        <w:tc>
          <w:tcPr>
            <w:tcW w:w="1170" w:type="dxa"/>
            <w:tcBorders>
              <w:top w:val="single" w:sz="4" w:space="0" w:color="000000"/>
              <w:left w:val="single" w:sz="12" w:space="0" w:color="000000"/>
              <w:bottom w:val="single" w:sz="4" w:space="0" w:color="000000"/>
              <w:right w:val="single" w:sz="12" w:space="0" w:color="000000"/>
            </w:tcBorders>
            <w:vAlign w:val="center"/>
          </w:tcPr>
          <w:p w14:paraId="76EE4F6F" w14:textId="2E7FDCB1" w:rsidR="00B0429D" w:rsidRPr="00B142E8" w:rsidRDefault="007B2694" w:rsidP="00A53A74">
            <w:pPr>
              <w:spacing w:after="0" w:line="259" w:lineRule="auto"/>
              <w:ind w:left="106" w:right="0" w:firstLine="0"/>
            </w:pPr>
            <w:r w:rsidRPr="00A53A74">
              <w:rPr>
                <w:rFonts w:eastAsia="Segoe UI Symbol"/>
                <w:sz w:val="18"/>
              </w:rPr>
              <w:t>u</w:t>
            </w:r>
            <w:r w:rsidR="003F65D0" w:rsidRPr="00B142E8">
              <w:rPr>
                <w:sz w:val="18"/>
              </w:rPr>
              <w:t>g</w:t>
            </w:r>
            <w:r w:rsidR="00B0429D" w:rsidRPr="00B142E8">
              <w:rPr>
                <w:sz w:val="18"/>
              </w:rPr>
              <w:t xml:space="preserve"> /100 cm</w:t>
            </w:r>
            <w:r w:rsidR="00B0429D" w:rsidRPr="00B142E8">
              <w:rPr>
                <w:sz w:val="18"/>
                <w:vertAlign w:val="superscript"/>
              </w:rPr>
              <w:t>2</w:t>
            </w:r>
          </w:p>
        </w:tc>
        <w:tc>
          <w:tcPr>
            <w:tcW w:w="900" w:type="dxa"/>
            <w:tcBorders>
              <w:top w:val="single" w:sz="4" w:space="0" w:color="000000"/>
              <w:left w:val="single" w:sz="12" w:space="0" w:color="000000"/>
              <w:bottom w:val="single" w:sz="4" w:space="0" w:color="000000"/>
              <w:right w:val="single" w:sz="12" w:space="0" w:color="000000"/>
            </w:tcBorders>
          </w:tcPr>
          <w:p w14:paraId="2F6A541B" w14:textId="7A424000" w:rsidR="00B0429D" w:rsidRDefault="00B0429D" w:rsidP="00A22796">
            <w:pPr>
              <w:spacing w:after="0" w:line="259" w:lineRule="auto"/>
              <w:ind w:left="0" w:right="36" w:firstLine="0"/>
              <w:jc w:val="center"/>
            </w:pPr>
            <w:r>
              <w:rPr>
                <w:sz w:val="18"/>
              </w:rPr>
              <w:t>8082</w:t>
            </w:r>
          </w:p>
        </w:tc>
      </w:tr>
      <w:tr w:rsidR="00985247" w14:paraId="75DB0A78" w14:textId="77777777" w:rsidTr="00985247">
        <w:trPr>
          <w:trHeight w:val="250"/>
        </w:trPr>
        <w:tc>
          <w:tcPr>
            <w:tcW w:w="3551" w:type="dxa"/>
            <w:tcBorders>
              <w:top w:val="single" w:sz="4" w:space="0" w:color="000000"/>
              <w:left w:val="single" w:sz="12" w:space="0" w:color="000000"/>
              <w:bottom w:val="single" w:sz="4" w:space="0" w:color="000000"/>
              <w:right w:val="single" w:sz="12" w:space="0" w:color="000000"/>
            </w:tcBorders>
          </w:tcPr>
          <w:p w14:paraId="54F582F2" w14:textId="77777777" w:rsidR="00B0429D" w:rsidRDefault="00B0429D" w:rsidP="006C089A">
            <w:pPr>
              <w:spacing w:after="0" w:line="259" w:lineRule="auto"/>
              <w:ind w:left="36" w:right="0" w:firstLine="0"/>
            </w:pPr>
            <w:r>
              <w:rPr>
                <w:sz w:val="18"/>
              </w:rPr>
              <w:t xml:space="preserve">2,2',4,4',5,5'-Hexachlorobiphenyl </w:t>
            </w:r>
          </w:p>
        </w:tc>
        <w:tc>
          <w:tcPr>
            <w:tcW w:w="1047" w:type="dxa"/>
            <w:tcBorders>
              <w:top w:val="single" w:sz="4" w:space="0" w:color="000000"/>
              <w:left w:val="single" w:sz="12" w:space="0" w:color="000000"/>
              <w:bottom w:val="single" w:sz="4" w:space="0" w:color="000000"/>
              <w:right w:val="single" w:sz="12" w:space="0" w:color="000000"/>
            </w:tcBorders>
          </w:tcPr>
          <w:p w14:paraId="69AD6B62" w14:textId="5A9E27B3" w:rsidR="00B0429D" w:rsidRDefault="00B0429D" w:rsidP="00A22796">
            <w:pPr>
              <w:spacing w:after="0" w:line="259" w:lineRule="auto"/>
              <w:ind w:left="0" w:right="35" w:firstLine="0"/>
              <w:jc w:val="center"/>
            </w:pPr>
            <w:r>
              <w:rPr>
                <w:sz w:val="18"/>
              </w:rPr>
              <w:t>35065-27-1</w:t>
            </w:r>
          </w:p>
        </w:tc>
        <w:tc>
          <w:tcPr>
            <w:tcW w:w="793" w:type="dxa"/>
            <w:tcBorders>
              <w:top w:val="single" w:sz="4" w:space="0" w:color="000000"/>
              <w:left w:val="single" w:sz="12" w:space="0" w:color="000000"/>
              <w:bottom w:val="single" w:sz="4" w:space="0" w:color="000000"/>
              <w:right w:val="single" w:sz="12" w:space="0" w:color="000000"/>
            </w:tcBorders>
          </w:tcPr>
          <w:p w14:paraId="3CFD76E7" w14:textId="0065E6DB" w:rsidR="00B0429D" w:rsidRDefault="00B0429D" w:rsidP="00A22796">
            <w:pPr>
              <w:spacing w:after="0" w:line="259" w:lineRule="auto"/>
              <w:ind w:left="0" w:right="35" w:firstLine="0"/>
              <w:jc w:val="center"/>
            </w:pPr>
            <w:r>
              <w:rPr>
                <w:sz w:val="18"/>
              </w:rPr>
              <w:t>153</w:t>
            </w:r>
          </w:p>
        </w:tc>
        <w:tc>
          <w:tcPr>
            <w:tcW w:w="617" w:type="dxa"/>
            <w:tcBorders>
              <w:top w:val="single" w:sz="4" w:space="0" w:color="000000"/>
              <w:left w:val="single" w:sz="12" w:space="0" w:color="000000"/>
              <w:bottom w:val="single" w:sz="4" w:space="0" w:color="000000"/>
              <w:right w:val="single" w:sz="12" w:space="0" w:color="000000"/>
            </w:tcBorders>
          </w:tcPr>
          <w:p w14:paraId="62C74FC3" w14:textId="60561774" w:rsidR="00B0429D" w:rsidRDefault="00B0429D" w:rsidP="00A22796">
            <w:pPr>
              <w:spacing w:after="0" w:line="259" w:lineRule="auto"/>
              <w:ind w:left="0" w:right="40" w:firstLine="0"/>
              <w:jc w:val="center"/>
            </w:pPr>
            <w:r>
              <w:rPr>
                <w:sz w:val="18"/>
              </w:rPr>
              <w:t>0.05</w:t>
            </w:r>
          </w:p>
        </w:tc>
        <w:tc>
          <w:tcPr>
            <w:tcW w:w="534" w:type="dxa"/>
            <w:tcBorders>
              <w:top w:val="single" w:sz="4" w:space="0" w:color="000000"/>
              <w:left w:val="single" w:sz="12" w:space="0" w:color="000000"/>
              <w:bottom w:val="single" w:sz="4" w:space="0" w:color="000000"/>
              <w:right w:val="single" w:sz="12" w:space="0" w:color="000000"/>
            </w:tcBorders>
            <w:vAlign w:val="center"/>
          </w:tcPr>
          <w:p w14:paraId="134BCF7F" w14:textId="61CEAA50" w:rsidR="00B0429D" w:rsidRDefault="00B0429D" w:rsidP="00A53A74">
            <w:pPr>
              <w:spacing w:after="0" w:line="259" w:lineRule="auto"/>
              <w:ind w:left="58" w:right="0" w:firstLine="0"/>
            </w:pPr>
            <w:r>
              <w:rPr>
                <w:sz w:val="18"/>
              </w:rPr>
              <w:t>ug/L</w:t>
            </w:r>
          </w:p>
        </w:tc>
        <w:tc>
          <w:tcPr>
            <w:tcW w:w="617" w:type="dxa"/>
            <w:tcBorders>
              <w:top w:val="single" w:sz="4" w:space="0" w:color="000000"/>
              <w:left w:val="single" w:sz="12" w:space="0" w:color="000000"/>
              <w:bottom w:val="single" w:sz="4" w:space="0" w:color="000000"/>
              <w:right w:val="single" w:sz="12" w:space="0" w:color="000000"/>
            </w:tcBorders>
          </w:tcPr>
          <w:p w14:paraId="5E6404F1" w14:textId="14264A08" w:rsidR="00B0429D" w:rsidRDefault="00B0429D" w:rsidP="00A22796">
            <w:pPr>
              <w:spacing w:after="0" w:line="259" w:lineRule="auto"/>
              <w:ind w:left="0" w:right="34" w:firstLine="0"/>
              <w:jc w:val="center"/>
            </w:pPr>
            <w:r>
              <w:rPr>
                <w:sz w:val="18"/>
              </w:rPr>
              <w:t>5</w:t>
            </w:r>
          </w:p>
        </w:tc>
        <w:tc>
          <w:tcPr>
            <w:tcW w:w="851" w:type="dxa"/>
            <w:tcBorders>
              <w:top w:val="single" w:sz="4" w:space="0" w:color="000000"/>
              <w:left w:val="single" w:sz="12" w:space="0" w:color="000000"/>
              <w:bottom w:val="single" w:sz="4" w:space="0" w:color="000000"/>
              <w:right w:val="single" w:sz="12" w:space="0" w:color="000000"/>
            </w:tcBorders>
          </w:tcPr>
          <w:p w14:paraId="3E1E682B" w14:textId="05069828" w:rsidR="00B0429D" w:rsidRDefault="00B0429D" w:rsidP="00A22796">
            <w:pPr>
              <w:spacing w:after="0" w:line="259" w:lineRule="auto"/>
              <w:ind w:left="0" w:right="0" w:firstLine="0"/>
              <w:jc w:val="center"/>
            </w:pPr>
            <w:r>
              <w:rPr>
                <w:rFonts w:eastAsia="Segoe UI Symbol"/>
                <w:sz w:val="18"/>
              </w:rPr>
              <w:t>u</w:t>
            </w:r>
            <w:r>
              <w:rPr>
                <w:sz w:val="18"/>
              </w:rPr>
              <w:t>g/kg</w:t>
            </w:r>
          </w:p>
        </w:tc>
        <w:tc>
          <w:tcPr>
            <w:tcW w:w="540" w:type="dxa"/>
            <w:tcBorders>
              <w:top w:val="single" w:sz="4" w:space="0" w:color="000000"/>
              <w:left w:val="single" w:sz="12" w:space="0" w:color="000000"/>
              <w:bottom w:val="single" w:sz="4" w:space="0" w:color="000000"/>
              <w:right w:val="single" w:sz="12" w:space="0" w:color="000000"/>
            </w:tcBorders>
          </w:tcPr>
          <w:p w14:paraId="2F8F1290" w14:textId="1BF2DAD1" w:rsidR="00B0429D" w:rsidRDefault="00B0429D" w:rsidP="00A22796">
            <w:pPr>
              <w:spacing w:after="0" w:line="259" w:lineRule="auto"/>
              <w:ind w:left="0" w:right="37" w:firstLine="0"/>
              <w:jc w:val="center"/>
            </w:pPr>
            <w:r>
              <w:rPr>
                <w:sz w:val="18"/>
              </w:rPr>
              <w:t>1</w:t>
            </w:r>
          </w:p>
        </w:tc>
        <w:tc>
          <w:tcPr>
            <w:tcW w:w="1170" w:type="dxa"/>
            <w:tcBorders>
              <w:top w:val="single" w:sz="4" w:space="0" w:color="000000"/>
              <w:left w:val="single" w:sz="12" w:space="0" w:color="000000"/>
              <w:bottom w:val="single" w:sz="4" w:space="0" w:color="000000"/>
              <w:right w:val="single" w:sz="12" w:space="0" w:color="000000"/>
            </w:tcBorders>
            <w:vAlign w:val="center"/>
          </w:tcPr>
          <w:p w14:paraId="1EC7E918" w14:textId="506899E0" w:rsidR="00B0429D" w:rsidRPr="00B142E8" w:rsidRDefault="007B2694" w:rsidP="00A53A74">
            <w:pPr>
              <w:spacing w:after="0" w:line="259" w:lineRule="auto"/>
              <w:ind w:left="106" w:right="0" w:firstLine="0"/>
            </w:pPr>
            <w:r w:rsidRPr="00A53A74">
              <w:rPr>
                <w:rFonts w:eastAsia="Segoe UI Symbol"/>
                <w:sz w:val="18"/>
              </w:rPr>
              <w:t>u</w:t>
            </w:r>
            <w:r w:rsidR="003F65D0" w:rsidRPr="00B142E8">
              <w:rPr>
                <w:sz w:val="18"/>
              </w:rPr>
              <w:t>g</w:t>
            </w:r>
            <w:r w:rsidR="00B0429D" w:rsidRPr="00B142E8">
              <w:rPr>
                <w:sz w:val="18"/>
              </w:rPr>
              <w:t xml:space="preserve"> /100 cm</w:t>
            </w:r>
            <w:r w:rsidR="00B0429D" w:rsidRPr="00B142E8">
              <w:rPr>
                <w:sz w:val="18"/>
                <w:vertAlign w:val="superscript"/>
              </w:rPr>
              <w:t>2</w:t>
            </w:r>
          </w:p>
        </w:tc>
        <w:tc>
          <w:tcPr>
            <w:tcW w:w="900" w:type="dxa"/>
            <w:tcBorders>
              <w:top w:val="single" w:sz="4" w:space="0" w:color="000000"/>
              <w:left w:val="single" w:sz="12" w:space="0" w:color="000000"/>
              <w:bottom w:val="single" w:sz="4" w:space="0" w:color="000000"/>
              <w:right w:val="single" w:sz="12" w:space="0" w:color="000000"/>
            </w:tcBorders>
          </w:tcPr>
          <w:p w14:paraId="7645FBD5" w14:textId="57E405E8" w:rsidR="00B0429D" w:rsidRDefault="00B0429D" w:rsidP="00A22796">
            <w:pPr>
              <w:spacing w:after="0" w:line="259" w:lineRule="auto"/>
              <w:ind w:left="0" w:right="36" w:firstLine="0"/>
              <w:jc w:val="center"/>
            </w:pPr>
            <w:r>
              <w:rPr>
                <w:sz w:val="18"/>
              </w:rPr>
              <w:t>8082</w:t>
            </w:r>
          </w:p>
        </w:tc>
      </w:tr>
      <w:tr w:rsidR="00985247" w14:paraId="5E0C1DEC" w14:textId="77777777" w:rsidTr="00985247">
        <w:trPr>
          <w:trHeight w:val="250"/>
        </w:trPr>
        <w:tc>
          <w:tcPr>
            <w:tcW w:w="3551" w:type="dxa"/>
            <w:tcBorders>
              <w:top w:val="single" w:sz="4" w:space="0" w:color="000000"/>
              <w:left w:val="single" w:sz="12" w:space="0" w:color="000000"/>
              <w:bottom w:val="single" w:sz="4" w:space="0" w:color="000000"/>
              <w:right w:val="single" w:sz="12" w:space="0" w:color="000000"/>
            </w:tcBorders>
          </w:tcPr>
          <w:p w14:paraId="6F2D939A" w14:textId="77777777" w:rsidR="00B0429D" w:rsidRDefault="00B0429D" w:rsidP="006C089A">
            <w:pPr>
              <w:spacing w:after="0" w:line="259" w:lineRule="auto"/>
              <w:ind w:left="36" w:right="0" w:firstLine="0"/>
            </w:pPr>
            <w:r>
              <w:rPr>
                <w:sz w:val="18"/>
              </w:rPr>
              <w:t xml:space="preserve">2,2',3,3',4,4',5-Heptachlorobiphenyl </w:t>
            </w:r>
          </w:p>
        </w:tc>
        <w:tc>
          <w:tcPr>
            <w:tcW w:w="1047" w:type="dxa"/>
            <w:tcBorders>
              <w:top w:val="single" w:sz="4" w:space="0" w:color="000000"/>
              <w:left w:val="single" w:sz="12" w:space="0" w:color="000000"/>
              <w:bottom w:val="single" w:sz="4" w:space="0" w:color="000000"/>
              <w:right w:val="single" w:sz="12" w:space="0" w:color="000000"/>
            </w:tcBorders>
          </w:tcPr>
          <w:p w14:paraId="42847E72" w14:textId="61C385D2" w:rsidR="00B0429D" w:rsidRDefault="00B0429D" w:rsidP="00A22796">
            <w:pPr>
              <w:spacing w:after="0" w:line="259" w:lineRule="auto"/>
              <w:ind w:left="0" w:right="35" w:firstLine="0"/>
              <w:jc w:val="center"/>
            </w:pPr>
            <w:r>
              <w:rPr>
                <w:sz w:val="18"/>
              </w:rPr>
              <w:t>35065-30-6</w:t>
            </w:r>
          </w:p>
        </w:tc>
        <w:tc>
          <w:tcPr>
            <w:tcW w:w="793" w:type="dxa"/>
            <w:tcBorders>
              <w:top w:val="single" w:sz="4" w:space="0" w:color="000000"/>
              <w:left w:val="single" w:sz="12" w:space="0" w:color="000000"/>
              <w:bottom w:val="single" w:sz="4" w:space="0" w:color="000000"/>
              <w:right w:val="single" w:sz="12" w:space="0" w:color="000000"/>
            </w:tcBorders>
          </w:tcPr>
          <w:p w14:paraId="6FF3ACDC" w14:textId="24F1C2C0" w:rsidR="00B0429D" w:rsidRDefault="00B0429D" w:rsidP="00A22796">
            <w:pPr>
              <w:spacing w:after="0" w:line="259" w:lineRule="auto"/>
              <w:ind w:left="0" w:right="35" w:firstLine="0"/>
              <w:jc w:val="center"/>
            </w:pPr>
            <w:r>
              <w:rPr>
                <w:sz w:val="18"/>
              </w:rPr>
              <w:t>170</w:t>
            </w:r>
          </w:p>
        </w:tc>
        <w:tc>
          <w:tcPr>
            <w:tcW w:w="617" w:type="dxa"/>
            <w:tcBorders>
              <w:top w:val="single" w:sz="4" w:space="0" w:color="000000"/>
              <w:left w:val="single" w:sz="12" w:space="0" w:color="000000"/>
              <w:bottom w:val="single" w:sz="4" w:space="0" w:color="000000"/>
              <w:right w:val="single" w:sz="12" w:space="0" w:color="000000"/>
            </w:tcBorders>
          </w:tcPr>
          <w:p w14:paraId="723B5EC4" w14:textId="69C90415" w:rsidR="00B0429D" w:rsidRDefault="00B0429D" w:rsidP="00A22796">
            <w:pPr>
              <w:spacing w:after="0" w:line="259" w:lineRule="auto"/>
              <w:ind w:left="0" w:right="40" w:firstLine="0"/>
              <w:jc w:val="center"/>
            </w:pPr>
            <w:r>
              <w:rPr>
                <w:sz w:val="18"/>
              </w:rPr>
              <w:t>0.05</w:t>
            </w:r>
          </w:p>
        </w:tc>
        <w:tc>
          <w:tcPr>
            <w:tcW w:w="534" w:type="dxa"/>
            <w:tcBorders>
              <w:top w:val="single" w:sz="4" w:space="0" w:color="000000"/>
              <w:left w:val="single" w:sz="12" w:space="0" w:color="000000"/>
              <w:bottom w:val="single" w:sz="4" w:space="0" w:color="000000"/>
              <w:right w:val="single" w:sz="12" w:space="0" w:color="000000"/>
            </w:tcBorders>
            <w:vAlign w:val="center"/>
          </w:tcPr>
          <w:p w14:paraId="6AAF864D" w14:textId="5FAE8CA4" w:rsidR="00B0429D" w:rsidRDefault="00B0429D" w:rsidP="00A53A74">
            <w:pPr>
              <w:spacing w:after="0" w:line="259" w:lineRule="auto"/>
              <w:ind w:left="58" w:right="0" w:firstLine="0"/>
            </w:pPr>
            <w:r>
              <w:rPr>
                <w:sz w:val="18"/>
              </w:rPr>
              <w:t>ug/L</w:t>
            </w:r>
          </w:p>
        </w:tc>
        <w:tc>
          <w:tcPr>
            <w:tcW w:w="617" w:type="dxa"/>
            <w:tcBorders>
              <w:top w:val="single" w:sz="4" w:space="0" w:color="000000"/>
              <w:left w:val="single" w:sz="12" w:space="0" w:color="000000"/>
              <w:bottom w:val="single" w:sz="4" w:space="0" w:color="000000"/>
              <w:right w:val="single" w:sz="12" w:space="0" w:color="000000"/>
            </w:tcBorders>
          </w:tcPr>
          <w:p w14:paraId="6AC036F9" w14:textId="4EC14975" w:rsidR="00B0429D" w:rsidRDefault="00B0429D" w:rsidP="00A22796">
            <w:pPr>
              <w:spacing w:after="0" w:line="259" w:lineRule="auto"/>
              <w:ind w:left="0" w:right="34" w:firstLine="0"/>
              <w:jc w:val="center"/>
            </w:pPr>
            <w:r>
              <w:rPr>
                <w:sz w:val="18"/>
              </w:rPr>
              <w:t>5</w:t>
            </w:r>
          </w:p>
        </w:tc>
        <w:tc>
          <w:tcPr>
            <w:tcW w:w="851" w:type="dxa"/>
            <w:tcBorders>
              <w:top w:val="single" w:sz="4" w:space="0" w:color="000000"/>
              <w:left w:val="single" w:sz="12" w:space="0" w:color="000000"/>
              <w:bottom w:val="single" w:sz="4" w:space="0" w:color="000000"/>
              <w:right w:val="single" w:sz="12" w:space="0" w:color="000000"/>
            </w:tcBorders>
          </w:tcPr>
          <w:p w14:paraId="6B09EA16" w14:textId="4DCE8215" w:rsidR="00B0429D" w:rsidRDefault="00B0429D" w:rsidP="00A22796">
            <w:pPr>
              <w:spacing w:after="0" w:line="259" w:lineRule="auto"/>
              <w:ind w:left="0" w:right="0" w:firstLine="0"/>
              <w:jc w:val="center"/>
            </w:pPr>
            <w:r>
              <w:rPr>
                <w:rFonts w:eastAsia="Segoe UI Symbol"/>
                <w:sz w:val="18"/>
              </w:rPr>
              <w:t>u</w:t>
            </w:r>
            <w:r>
              <w:rPr>
                <w:sz w:val="18"/>
              </w:rPr>
              <w:t>g/kg</w:t>
            </w:r>
          </w:p>
        </w:tc>
        <w:tc>
          <w:tcPr>
            <w:tcW w:w="540" w:type="dxa"/>
            <w:tcBorders>
              <w:top w:val="single" w:sz="4" w:space="0" w:color="000000"/>
              <w:left w:val="single" w:sz="12" w:space="0" w:color="000000"/>
              <w:bottom w:val="single" w:sz="4" w:space="0" w:color="000000"/>
              <w:right w:val="single" w:sz="12" w:space="0" w:color="000000"/>
            </w:tcBorders>
          </w:tcPr>
          <w:p w14:paraId="766642F4" w14:textId="7280B668" w:rsidR="00B0429D" w:rsidRDefault="00B0429D" w:rsidP="00A22796">
            <w:pPr>
              <w:spacing w:after="0" w:line="259" w:lineRule="auto"/>
              <w:ind w:left="0" w:right="37" w:firstLine="0"/>
              <w:jc w:val="center"/>
            </w:pPr>
            <w:r>
              <w:rPr>
                <w:sz w:val="18"/>
              </w:rPr>
              <w:t>1</w:t>
            </w:r>
          </w:p>
        </w:tc>
        <w:tc>
          <w:tcPr>
            <w:tcW w:w="1170" w:type="dxa"/>
            <w:tcBorders>
              <w:top w:val="single" w:sz="4" w:space="0" w:color="000000"/>
              <w:left w:val="single" w:sz="12" w:space="0" w:color="000000"/>
              <w:bottom w:val="single" w:sz="4" w:space="0" w:color="000000"/>
              <w:right w:val="single" w:sz="12" w:space="0" w:color="000000"/>
            </w:tcBorders>
            <w:vAlign w:val="center"/>
          </w:tcPr>
          <w:p w14:paraId="4C23794F" w14:textId="465668D0" w:rsidR="00B0429D" w:rsidRPr="00B142E8" w:rsidRDefault="003F65D0" w:rsidP="00A53A74">
            <w:pPr>
              <w:spacing w:after="0" w:line="259" w:lineRule="auto"/>
              <w:ind w:left="106" w:right="0" w:firstLine="0"/>
            </w:pPr>
            <w:r w:rsidRPr="00B142E8">
              <w:rPr>
                <w:sz w:val="18"/>
              </w:rPr>
              <w:t xml:space="preserve">ug </w:t>
            </w:r>
            <w:r w:rsidR="00B0429D" w:rsidRPr="00B142E8">
              <w:rPr>
                <w:sz w:val="18"/>
              </w:rPr>
              <w:t>/100 cm</w:t>
            </w:r>
            <w:r w:rsidR="00B0429D" w:rsidRPr="00B142E8">
              <w:rPr>
                <w:sz w:val="18"/>
                <w:vertAlign w:val="superscript"/>
              </w:rPr>
              <w:t>2</w:t>
            </w:r>
          </w:p>
        </w:tc>
        <w:tc>
          <w:tcPr>
            <w:tcW w:w="900" w:type="dxa"/>
            <w:tcBorders>
              <w:top w:val="single" w:sz="4" w:space="0" w:color="000000"/>
              <w:left w:val="single" w:sz="12" w:space="0" w:color="000000"/>
              <w:bottom w:val="single" w:sz="4" w:space="0" w:color="000000"/>
              <w:right w:val="single" w:sz="12" w:space="0" w:color="000000"/>
            </w:tcBorders>
          </w:tcPr>
          <w:p w14:paraId="07F1B07B" w14:textId="7BFFC95A" w:rsidR="00B0429D" w:rsidRDefault="00B0429D" w:rsidP="00A22796">
            <w:pPr>
              <w:spacing w:after="0" w:line="259" w:lineRule="auto"/>
              <w:ind w:left="0" w:right="36" w:firstLine="0"/>
              <w:jc w:val="center"/>
            </w:pPr>
            <w:r>
              <w:rPr>
                <w:sz w:val="18"/>
              </w:rPr>
              <w:t>8082</w:t>
            </w:r>
          </w:p>
        </w:tc>
      </w:tr>
      <w:tr w:rsidR="00985247" w14:paraId="0FA56F7B" w14:textId="77777777" w:rsidTr="00985247">
        <w:trPr>
          <w:trHeight w:val="250"/>
        </w:trPr>
        <w:tc>
          <w:tcPr>
            <w:tcW w:w="3551" w:type="dxa"/>
            <w:tcBorders>
              <w:top w:val="single" w:sz="4" w:space="0" w:color="000000"/>
              <w:left w:val="single" w:sz="12" w:space="0" w:color="000000"/>
              <w:bottom w:val="single" w:sz="4" w:space="0" w:color="000000"/>
              <w:right w:val="single" w:sz="12" w:space="0" w:color="000000"/>
            </w:tcBorders>
          </w:tcPr>
          <w:p w14:paraId="11E4CC44" w14:textId="77777777" w:rsidR="00B0429D" w:rsidRDefault="00B0429D" w:rsidP="006C089A">
            <w:pPr>
              <w:spacing w:after="0" w:line="259" w:lineRule="auto"/>
              <w:ind w:left="36" w:right="0" w:firstLine="0"/>
            </w:pPr>
            <w:r>
              <w:rPr>
                <w:sz w:val="18"/>
              </w:rPr>
              <w:t xml:space="preserve">2,2',3,4,4',5,5'-Heptachlorobiphenyl </w:t>
            </w:r>
          </w:p>
        </w:tc>
        <w:tc>
          <w:tcPr>
            <w:tcW w:w="1047" w:type="dxa"/>
            <w:tcBorders>
              <w:top w:val="single" w:sz="4" w:space="0" w:color="000000"/>
              <w:left w:val="single" w:sz="12" w:space="0" w:color="000000"/>
              <w:bottom w:val="single" w:sz="4" w:space="0" w:color="000000"/>
              <w:right w:val="single" w:sz="12" w:space="0" w:color="000000"/>
            </w:tcBorders>
          </w:tcPr>
          <w:p w14:paraId="117D04E7" w14:textId="1EDC8113" w:rsidR="00B0429D" w:rsidRDefault="00B0429D" w:rsidP="00A22796">
            <w:pPr>
              <w:spacing w:after="0" w:line="259" w:lineRule="auto"/>
              <w:ind w:left="0" w:right="35" w:firstLine="0"/>
              <w:jc w:val="center"/>
            </w:pPr>
            <w:r>
              <w:rPr>
                <w:sz w:val="18"/>
              </w:rPr>
              <w:t>35065-29-3</w:t>
            </w:r>
          </w:p>
        </w:tc>
        <w:tc>
          <w:tcPr>
            <w:tcW w:w="793" w:type="dxa"/>
            <w:tcBorders>
              <w:top w:val="single" w:sz="4" w:space="0" w:color="000000"/>
              <w:left w:val="single" w:sz="12" w:space="0" w:color="000000"/>
              <w:bottom w:val="single" w:sz="4" w:space="0" w:color="000000"/>
              <w:right w:val="single" w:sz="12" w:space="0" w:color="000000"/>
            </w:tcBorders>
          </w:tcPr>
          <w:p w14:paraId="0431CE3D" w14:textId="0C5087A7" w:rsidR="00B0429D" w:rsidRDefault="00B0429D" w:rsidP="00A22796">
            <w:pPr>
              <w:spacing w:after="0" w:line="259" w:lineRule="auto"/>
              <w:ind w:left="0" w:right="35" w:firstLine="0"/>
              <w:jc w:val="center"/>
            </w:pPr>
            <w:r>
              <w:rPr>
                <w:sz w:val="18"/>
              </w:rPr>
              <w:t>180</w:t>
            </w:r>
          </w:p>
        </w:tc>
        <w:tc>
          <w:tcPr>
            <w:tcW w:w="617" w:type="dxa"/>
            <w:tcBorders>
              <w:top w:val="single" w:sz="4" w:space="0" w:color="000000"/>
              <w:left w:val="single" w:sz="12" w:space="0" w:color="000000"/>
              <w:bottom w:val="single" w:sz="4" w:space="0" w:color="000000"/>
              <w:right w:val="single" w:sz="12" w:space="0" w:color="000000"/>
            </w:tcBorders>
          </w:tcPr>
          <w:p w14:paraId="05C1B61B" w14:textId="0870CBAB" w:rsidR="00B0429D" w:rsidRDefault="00B0429D" w:rsidP="00A22796">
            <w:pPr>
              <w:spacing w:after="0" w:line="259" w:lineRule="auto"/>
              <w:ind w:left="0" w:right="40" w:firstLine="0"/>
              <w:jc w:val="center"/>
            </w:pPr>
            <w:r>
              <w:rPr>
                <w:sz w:val="18"/>
              </w:rPr>
              <w:t>0.05</w:t>
            </w:r>
          </w:p>
        </w:tc>
        <w:tc>
          <w:tcPr>
            <w:tcW w:w="534" w:type="dxa"/>
            <w:tcBorders>
              <w:top w:val="single" w:sz="4" w:space="0" w:color="000000"/>
              <w:left w:val="single" w:sz="12" w:space="0" w:color="000000"/>
              <w:bottom w:val="single" w:sz="4" w:space="0" w:color="000000"/>
              <w:right w:val="single" w:sz="12" w:space="0" w:color="000000"/>
            </w:tcBorders>
            <w:vAlign w:val="center"/>
          </w:tcPr>
          <w:p w14:paraId="7373E945" w14:textId="6A4202DC" w:rsidR="00B0429D" w:rsidRDefault="00B0429D" w:rsidP="00A53A74">
            <w:pPr>
              <w:spacing w:after="0" w:line="259" w:lineRule="auto"/>
              <w:ind w:left="58" w:right="0" w:firstLine="0"/>
            </w:pPr>
            <w:r>
              <w:rPr>
                <w:sz w:val="18"/>
              </w:rPr>
              <w:t>ug/L</w:t>
            </w:r>
          </w:p>
        </w:tc>
        <w:tc>
          <w:tcPr>
            <w:tcW w:w="617" w:type="dxa"/>
            <w:tcBorders>
              <w:top w:val="single" w:sz="4" w:space="0" w:color="000000"/>
              <w:left w:val="single" w:sz="12" w:space="0" w:color="000000"/>
              <w:bottom w:val="single" w:sz="4" w:space="0" w:color="000000"/>
              <w:right w:val="single" w:sz="12" w:space="0" w:color="000000"/>
            </w:tcBorders>
          </w:tcPr>
          <w:p w14:paraId="40C8F680" w14:textId="4EE2A49F" w:rsidR="00B0429D" w:rsidRDefault="00B0429D" w:rsidP="00A22796">
            <w:pPr>
              <w:spacing w:after="0" w:line="259" w:lineRule="auto"/>
              <w:ind w:left="0" w:right="34" w:firstLine="0"/>
              <w:jc w:val="center"/>
            </w:pPr>
            <w:r>
              <w:rPr>
                <w:sz w:val="18"/>
              </w:rPr>
              <w:t>5</w:t>
            </w:r>
          </w:p>
        </w:tc>
        <w:tc>
          <w:tcPr>
            <w:tcW w:w="851" w:type="dxa"/>
            <w:tcBorders>
              <w:top w:val="single" w:sz="4" w:space="0" w:color="000000"/>
              <w:left w:val="single" w:sz="12" w:space="0" w:color="000000"/>
              <w:bottom w:val="single" w:sz="4" w:space="0" w:color="000000"/>
              <w:right w:val="single" w:sz="12" w:space="0" w:color="000000"/>
            </w:tcBorders>
          </w:tcPr>
          <w:p w14:paraId="78A55ED8" w14:textId="0174A46B" w:rsidR="00B0429D" w:rsidRDefault="00B0429D" w:rsidP="00A22796">
            <w:pPr>
              <w:spacing w:after="0" w:line="259" w:lineRule="auto"/>
              <w:ind w:left="0" w:right="0" w:firstLine="0"/>
              <w:jc w:val="center"/>
            </w:pPr>
            <w:r>
              <w:rPr>
                <w:rFonts w:eastAsia="Segoe UI Symbol"/>
                <w:sz w:val="18"/>
              </w:rPr>
              <w:t>u</w:t>
            </w:r>
            <w:r>
              <w:rPr>
                <w:sz w:val="18"/>
              </w:rPr>
              <w:t>g/kg</w:t>
            </w:r>
          </w:p>
        </w:tc>
        <w:tc>
          <w:tcPr>
            <w:tcW w:w="540" w:type="dxa"/>
            <w:tcBorders>
              <w:top w:val="single" w:sz="4" w:space="0" w:color="000000"/>
              <w:left w:val="single" w:sz="12" w:space="0" w:color="000000"/>
              <w:bottom w:val="single" w:sz="4" w:space="0" w:color="000000"/>
              <w:right w:val="single" w:sz="12" w:space="0" w:color="000000"/>
            </w:tcBorders>
          </w:tcPr>
          <w:p w14:paraId="7B347635" w14:textId="67D256E1" w:rsidR="00B0429D" w:rsidRDefault="00B0429D" w:rsidP="00A22796">
            <w:pPr>
              <w:spacing w:after="0" w:line="259" w:lineRule="auto"/>
              <w:ind w:left="0" w:right="37" w:firstLine="0"/>
              <w:jc w:val="center"/>
            </w:pPr>
            <w:r>
              <w:rPr>
                <w:sz w:val="18"/>
              </w:rPr>
              <w:t>1</w:t>
            </w:r>
          </w:p>
        </w:tc>
        <w:tc>
          <w:tcPr>
            <w:tcW w:w="1170" w:type="dxa"/>
            <w:tcBorders>
              <w:top w:val="single" w:sz="4" w:space="0" w:color="000000"/>
              <w:left w:val="single" w:sz="12" w:space="0" w:color="000000"/>
              <w:bottom w:val="single" w:sz="4" w:space="0" w:color="000000"/>
              <w:right w:val="single" w:sz="12" w:space="0" w:color="000000"/>
            </w:tcBorders>
            <w:vAlign w:val="center"/>
          </w:tcPr>
          <w:p w14:paraId="26A7C545" w14:textId="72D43EF6" w:rsidR="00B0429D" w:rsidRPr="00B142E8" w:rsidRDefault="007B2694" w:rsidP="00A53A74">
            <w:pPr>
              <w:spacing w:after="0" w:line="259" w:lineRule="auto"/>
              <w:ind w:left="106" w:right="0" w:firstLine="0"/>
            </w:pPr>
            <w:r w:rsidRPr="00A53A74">
              <w:rPr>
                <w:rFonts w:eastAsia="Segoe UI Symbol"/>
                <w:sz w:val="18"/>
              </w:rPr>
              <w:t>u</w:t>
            </w:r>
            <w:r w:rsidR="003F65D0" w:rsidRPr="00B142E8">
              <w:rPr>
                <w:sz w:val="18"/>
              </w:rPr>
              <w:t>g</w:t>
            </w:r>
            <w:r w:rsidR="00B0429D" w:rsidRPr="00B142E8">
              <w:rPr>
                <w:sz w:val="18"/>
              </w:rPr>
              <w:t xml:space="preserve"> /100 cm</w:t>
            </w:r>
            <w:r w:rsidR="00B0429D" w:rsidRPr="00B142E8">
              <w:rPr>
                <w:sz w:val="18"/>
                <w:vertAlign w:val="superscript"/>
              </w:rPr>
              <w:t>2</w:t>
            </w:r>
          </w:p>
        </w:tc>
        <w:tc>
          <w:tcPr>
            <w:tcW w:w="900" w:type="dxa"/>
            <w:tcBorders>
              <w:top w:val="single" w:sz="4" w:space="0" w:color="000000"/>
              <w:left w:val="single" w:sz="12" w:space="0" w:color="000000"/>
              <w:bottom w:val="single" w:sz="4" w:space="0" w:color="000000"/>
              <w:right w:val="single" w:sz="12" w:space="0" w:color="000000"/>
            </w:tcBorders>
          </w:tcPr>
          <w:p w14:paraId="0D479ED8" w14:textId="53805602" w:rsidR="00B0429D" w:rsidRDefault="00B0429D" w:rsidP="00A22796">
            <w:pPr>
              <w:spacing w:after="0" w:line="259" w:lineRule="auto"/>
              <w:ind w:left="0" w:right="36" w:firstLine="0"/>
              <w:jc w:val="center"/>
            </w:pPr>
            <w:r>
              <w:rPr>
                <w:sz w:val="18"/>
              </w:rPr>
              <w:t>8082</w:t>
            </w:r>
          </w:p>
        </w:tc>
      </w:tr>
      <w:tr w:rsidR="00985247" w14:paraId="0A902AAF" w14:textId="77777777" w:rsidTr="00985247">
        <w:trPr>
          <w:trHeight w:val="250"/>
        </w:trPr>
        <w:tc>
          <w:tcPr>
            <w:tcW w:w="3551" w:type="dxa"/>
            <w:tcBorders>
              <w:top w:val="single" w:sz="4" w:space="0" w:color="000000"/>
              <w:left w:val="single" w:sz="12" w:space="0" w:color="000000"/>
              <w:bottom w:val="single" w:sz="4" w:space="0" w:color="000000"/>
              <w:right w:val="single" w:sz="12" w:space="0" w:color="000000"/>
            </w:tcBorders>
          </w:tcPr>
          <w:p w14:paraId="58B27F33" w14:textId="77777777" w:rsidR="00B0429D" w:rsidRDefault="00B0429D" w:rsidP="006C089A">
            <w:pPr>
              <w:spacing w:after="0" w:line="259" w:lineRule="auto"/>
              <w:ind w:left="36" w:right="0" w:firstLine="0"/>
            </w:pPr>
            <w:r>
              <w:rPr>
                <w:sz w:val="18"/>
              </w:rPr>
              <w:t xml:space="preserve">2,2',3,4,4',5',6-Heptachlorobiphenyl </w:t>
            </w:r>
          </w:p>
        </w:tc>
        <w:tc>
          <w:tcPr>
            <w:tcW w:w="1047" w:type="dxa"/>
            <w:tcBorders>
              <w:top w:val="single" w:sz="4" w:space="0" w:color="000000"/>
              <w:left w:val="single" w:sz="12" w:space="0" w:color="000000"/>
              <w:bottom w:val="single" w:sz="4" w:space="0" w:color="000000"/>
              <w:right w:val="single" w:sz="12" w:space="0" w:color="000000"/>
            </w:tcBorders>
          </w:tcPr>
          <w:p w14:paraId="52C6A63C" w14:textId="7D706CA8" w:rsidR="00B0429D" w:rsidRDefault="00B0429D" w:rsidP="00A22796">
            <w:pPr>
              <w:spacing w:after="0" w:line="259" w:lineRule="auto"/>
              <w:ind w:left="0" w:right="35" w:firstLine="0"/>
              <w:jc w:val="center"/>
            </w:pPr>
            <w:r>
              <w:rPr>
                <w:sz w:val="18"/>
              </w:rPr>
              <w:t>52663-69-1</w:t>
            </w:r>
          </w:p>
        </w:tc>
        <w:tc>
          <w:tcPr>
            <w:tcW w:w="793" w:type="dxa"/>
            <w:tcBorders>
              <w:top w:val="single" w:sz="4" w:space="0" w:color="000000"/>
              <w:left w:val="single" w:sz="12" w:space="0" w:color="000000"/>
              <w:bottom w:val="single" w:sz="4" w:space="0" w:color="000000"/>
              <w:right w:val="single" w:sz="12" w:space="0" w:color="000000"/>
            </w:tcBorders>
          </w:tcPr>
          <w:p w14:paraId="29E43C6A" w14:textId="5D055261" w:rsidR="00B0429D" w:rsidRDefault="00B0429D" w:rsidP="00A22796">
            <w:pPr>
              <w:spacing w:after="0" w:line="259" w:lineRule="auto"/>
              <w:ind w:left="0" w:right="35" w:firstLine="0"/>
              <w:jc w:val="center"/>
            </w:pPr>
            <w:r>
              <w:rPr>
                <w:sz w:val="18"/>
              </w:rPr>
              <w:t>183</w:t>
            </w:r>
          </w:p>
        </w:tc>
        <w:tc>
          <w:tcPr>
            <w:tcW w:w="617" w:type="dxa"/>
            <w:tcBorders>
              <w:top w:val="single" w:sz="4" w:space="0" w:color="000000"/>
              <w:left w:val="single" w:sz="12" w:space="0" w:color="000000"/>
              <w:bottom w:val="single" w:sz="4" w:space="0" w:color="000000"/>
              <w:right w:val="single" w:sz="12" w:space="0" w:color="000000"/>
            </w:tcBorders>
          </w:tcPr>
          <w:p w14:paraId="33EE8893" w14:textId="30363C10" w:rsidR="00B0429D" w:rsidRDefault="00B0429D" w:rsidP="00A22796">
            <w:pPr>
              <w:spacing w:after="0" w:line="259" w:lineRule="auto"/>
              <w:ind w:left="0" w:right="40" w:firstLine="0"/>
              <w:jc w:val="center"/>
            </w:pPr>
            <w:r>
              <w:rPr>
                <w:sz w:val="18"/>
              </w:rPr>
              <w:t>0.05</w:t>
            </w:r>
          </w:p>
        </w:tc>
        <w:tc>
          <w:tcPr>
            <w:tcW w:w="534" w:type="dxa"/>
            <w:tcBorders>
              <w:top w:val="single" w:sz="4" w:space="0" w:color="000000"/>
              <w:left w:val="single" w:sz="12" w:space="0" w:color="000000"/>
              <w:bottom w:val="single" w:sz="4" w:space="0" w:color="000000"/>
              <w:right w:val="single" w:sz="12" w:space="0" w:color="000000"/>
            </w:tcBorders>
            <w:vAlign w:val="center"/>
          </w:tcPr>
          <w:p w14:paraId="60FA2F9D" w14:textId="2BAB1013" w:rsidR="00B0429D" w:rsidRDefault="00B0429D" w:rsidP="00A53A74">
            <w:pPr>
              <w:spacing w:after="0" w:line="259" w:lineRule="auto"/>
              <w:ind w:left="58" w:right="0" w:firstLine="0"/>
            </w:pPr>
            <w:r>
              <w:rPr>
                <w:sz w:val="18"/>
              </w:rPr>
              <w:t>ug/L</w:t>
            </w:r>
          </w:p>
        </w:tc>
        <w:tc>
          <w:tcPr>
            <w:tcW w:w="617" w:type="dxa"/>
            <w:tcBorders>
              <w:top w:val="single" w:sz="4" w:space="0" w:color="000000"/>
              <w:left w:val="single" w:sz="12" w:space="0" w:color="000000"/>
              <w:bottom w:val="single" w:sz="4" w:space="0" w:color="000000"/>
              <w:right w:val="single" w:sz="12" w:space="0" w:color="000000"/>
            </w:tcBorders>
          </w:tcPr>
          <w:p w14:paraId="79018D6C" w14:textId="0B5BDDE4" w:rsidR="00B0429D" w:rsidRDefault="00B0429D" w:rsidP="00A22796">
            <w:pPr>
              <w:spacing w:after="0" w:line="259" w:lineRule="auto"/>
              <w:ind w:left="0" w:right="34" w:firstLine="0"/>
              <w:jc w:val="center"/>
            </w:pPr>
            <w:r>
              <w:rPr>
                <w:sz w:val="18"/>
              </w:rPr>
              <w:t>5</w:t>
            </w:r>
          </w:p>
        </w:tc>
        <w:tc>
          <w:tcPr>
            <w:tcW w:w="851" w:type="dxa"/>
            <w:tcBorders>
              <w:top w:val="single" w:sz="4" w:space="0" w:color="000000"/>
              <w:left w:val="single" w:sz="12" w:space="0" w:color="000000"/>
              <w:bottom w:val="single" w:sz="4" w:space="0" w:color="000000"/>
              <w:right w:val="single" w:sz="12" w:space="0" w:color="000000"/>
            </w:tcBorders>
          </w:tcPr>
          <w:p w14:paraId="4B9B5DF2" w14:textId="5C946FB5" w:rsidR="00B0429D" w:rsidRDefault="00B0429D" w:rsidP="00A22796">
            <w:pPr>
              <w:spacing w:after="0" w:line="259" w:lineRule="auto"/>
              <w:ind w:left="0" w:right="0" w:firstLine="0"/>
              <w:jc w:val="center"/>
            </w:pPr>
            <w:r>
              <w:rPr>
                <w:rFonts w:eastAsia="Segoe UI Symbol"/>
                <w:sz w:val="18"/>
              </w:rPr>
              <w:t>u</w:t>
            </w:r>
            <w:r>
              <w:rPr>
                <w:sz w:val="18"/>
              </w:rPr>
              <w:t>g/kg</w:t>
            </w:r>
          </w:p>
        </w:tc>
        <w:tc>
          <w:tcPr>
            <w:tcW w:w="540" w:type="dxa"/>
            <w:tcBorders>
              <w:top w:val="single" w:sz="4" w:space="0" w:color="000000"/>
              <w:left w:val="single" w:sz="12" w:space="0" w:color="000000"/>
              <w:bottom w:val="single" w:sz="4" w:space="0" w:color="000000"/>
              <w:right w:val="single" w:sz="12" w:space="0" w:color="000000"/>
            </w:tcBorders>
          </w:tcPr>
          <w:p w14:paraId="226FF48B" w14:textId="42464B80" w:rsidR="00B0429D" w:rsidRDefault="00B0429D" w:rsidP="00A22796">
            <w:pPr>
              <w:spacing w:after="0" w:line="259" w:lineRule="auto"/>
              <w:ind w:left="0" w:right="37" w:firstLine="0"/>
              <w:jc w:val="center"/>
            </w:pPr>
            <w:r>
              <w:rPr>
                <w:sz w:val="18"/>
              </w:rPr>
              <w:t>1</w:t>
            </w:r>
          </w:p>
        </w:tc>
        <w:tc>
          <w:tcPr>
            <w:tcW w:w="1170" w:type="dxa"/>
            <w:tcBorders>
              <w:top w:val="single" w:sz="4" w:space="0" w:color="000000"/>
              <w:left w:val="single" w:sz="12" w:space="0" w:color="000000"/>
              <w:bottom w:val="single" w:sz="4" w:space="0" w:color="000000"/>
              <w:right w:val="single" w:sz="12" w:space="0" w:color="000000"/>
            </w:tcBorders>
            <w:vAlign w:val="center"/>
          </w:tcPr>
          <w:p w14:paraId="3C0533FD" w14:textId="458E658B" w:rsidR="00B0429D" w:rsidRPr="00B142E8" w:rsidRDefault="007B2694" w:rsidP="00A53A74">
            <w:pPr>
              <w:spacing w:after="0" w:line="259" w:lineRule="auto"/>
              <w:ind w:left="106" w:right="0" w:firstLine="0"/>
            </w:pPr>
            <w:r w:rsidRPr="00A53A74">
              <w:rPr>
                <w:rFonts w:eastAsia="Segoe UI Symbol"/>
                <w:sz w:val="18"/>
              </w:rPr>
              <w:t>u</w:t>
            </w:r>
            <w:r w:rsidR="003F65D0" w:rsidRPr="00B142E8">
              <w:rPr>
                <w:sz w:val="18"/>
              </w:rPr>
              <w:t>g</w:t>
            </w:r>
            <w:r w:rsidR="00B0429D" w:rsidRPr="00B142E8">
              <w:rPr>
                <w:sz w:val="18"/>
              </w:rPr>
              <w:t xml:space="preserve"> /100 cm</w:t>
            </w:r>
            <w:r w:rsidR="00B0429D" w:rsidRPr="00B142E8">
              <w:rPr>
                <w:sz w:val="18"/>
                <w:vertAlign w:val="superscript"/>
              </w:rPr>
              <w:t>2</w:t>
            </w:r>
          </w:p>
        </w:tc>
        <w:tc>
          <w:tcPr>
            <w:tcW w:w="900" w:type="dxa"/>
            <w:tcBorders>
              <w:top w:val="single" w:sz="4" w:space="0" w:color="000000"/>
              <w:left w:val="single" w:sz="12" w:space="0" w:color="000000"/>
              <w:bottom w:val="single" w:sz="4" w:space="0" w:color="000000"/>
              <w:right w:val="single" w:sz="12" w:space="0" w:color="000000"/>
            </w:tcBorders>
          </w:tcPr>
          <w:p w14:paraId="2EA8534B" w14:textId="02DA69D4" w:rsidR="00B0429D" w:rsidRDefault="00B0429D" w:rsidP="00A22796">
            <w:pPr>
              <w:spacing w:after="0" w:line="259" w:lineRule="auto"/>
              <w:ind w:left="0" w:right="36" w:firstLine="0"/>
              <w:jc w:val="center"/>
            </w:pPr>
            <w:r>
              <w:rPr>
                <w:sz w:val="18"/>
              </w:rPr>
              <w:t>8082</w:t>
            </w:r>
          </w:p>
        </w:tc>
      </w:tr>
      <w:tr w:rsidR="00985247" w14:paraId="7A964C43" w14:textId="77777777" w:rsidTr="00985247">
        <w:trPr>
          <w:trHeight w:val="252"/>
        </w:trPr>
        <w:tc>
          <w:tcPr>
            <w:tcW w:w="3551" w:type="dxa"/>
            <w:tcBorders>
              <w:top w:val="single" w:sz="4" w:space="0" w:color="000000"/>
              <w:left w:val="single" w:sz="12" w:space="0" w:color="000000"/>
              <w:bottom w:val="single" w:sz="4" w:space="0" w:color="000000"/>
              <w:right w:val="single" w:sz="12" w:space="0" w:color="000000"/>
            </w:tcBorders>
          </w:tcPr>
          <w:p w14:paraId="57C22529" w14:textId="77777777" w:rsidR="00B0429D" w:rsidRDefault="00B0429D" w:rsidP="006C089A">
            <w:pPr>
              <w:spacing w:after="0" w:line="259" w:lineRule="auto"/>
              <w:ind w:left="36" w:right="0" w:firstLine="0"/>
            </w:pPr>
            <w:r>
              <w:rPr>
                <w:sz w:val="18"/>
              </w:rPr>
              <w:t xml:space="preserve">2,2',3,4',5,5',6-Heptachlorobiphenyl </w:t>
            </w:r>
          </w:p>
        </w:tc>
        <w:tc>
          <w:tcPr>
            <w:tcW w:w="1047" w:type="dxa"/>
            <w:tcBorders>
              <w:top w:val="single" w:sz="4" w:space="0" w:color="000000"/>
              <w:left w:val="single" w:sz="12" w:space="0" w:color="000000"/>
              <w:bottom w:val="single" w:sz="4" w:space="0" w:color="000000"/>
              <w:right w:val="single" w:sz="12" w:space="0" w:color="000000"/>
            </w:tcBorders>
          </w:tcPr>
          <w:p w14:paraId="4E186877" w14:textId="6FD9D5F4" w:rsidR="00B0429D" w:rsidRDefault="00B0429D" w:rsidP="00A22796">
            <w:pPr>
              <w:spacing w:after="0" w:line="259" w:lineRule="auto"/>
              <w:ind w:left="0" w:right="37" w:firstLine="0"/>
              <w:jc w:val="center"/>
            </w:pPr>
            <w:r>
              <w:rPr>
                <w:sz w:val="18"/>
              </w:rPr>
              <w:t>52663-68-0</w:t>
            </w:r>
          </w:p>
        </w:tc>
        <w:tc>
          <w:tcPr>
            <w:tcW w:w="793" w:type="dxa"/>
            <w:tcBorders>
              <w:top w:val="single" w:sz="4" w:space="0" w:color="000000"/>
              <w:left w:val="single" w:sz="12" w:space="0" w:color="000000"/>
              <w:bottom w:val="single" w:sz="4" w:space="0" w:color="000000"/>
              <w:right w:val="single" w:sz="12" w:space="0" w:color="000000"/>
            </w:tcBorders>
          </w:tcPr>
          <w:p w14:paraId="196C7D84" w14:textId="12F1D5E6" w:rsidR="00B0429D" w:rsidRDefault="00B0429D" w:rsidP="00A22796">
            <w:pPr>
              <w:spacing w:after="0" w:line="259" w:lineRule="auto"/>
              <w:ind w:left="0" w:right="35" w:firstLine="0"/>
              <w:jc w:val="center"/>
            </w:pPr>
            <w:r>
              <w:rPr>
                <w:sz w:val="18"/>
              </w:rPr>
              <w:t>187</w:t>
            </w:r>
          </w:p>
        </w:tc>
        <w:tc>
          <w:tcPr>
            <w:tcW w:w="617" w:type="dxa"/>
            <w:tcBorders>
              <w:top w:val="single" w:sz="4" w:space="0" w:color="000000"/>
              <w:left w:val="single" w:sz="12" w:space="0" w:color="000000"/>
              <w:bottom w:val="single" w:sz="4" w:space="0" w:color="000000"/>
              <w:right w:val="single" w:sz="12" w:space="0" w:color="000000"/>
            </w:tcBorders>
          </w:tcPr>
          <w:p w14:paraId="7217F416" w14:textId="62A78D87" w:rsidR="00B0429D" w:rsidRDefault="00B0429D" w:rsidP="00A22796">
            <w:pPr>
              <w:spacing w:after="0" w:line="259" w:lineRule="auto"/>
              <w:ind w:left="0" w:right="40" w:firstLine="0"/>
              <w:jc w:val="center"/>
            </w:pPr>
            <w:r>
              <w:rPr>
                <w:sz w:val="18"/>
              </w:rPr>
              <w:t>0.05</w:t>
            </w:r>
          </w:p>
        </w:tc>
        <w:tc>
          <w:tcPr>
            <w:tcW w:w="534" w:type="dxa"/>
            <w:tcBorders>
              <w:top w:val="single" w:sz="4" w:space="0" w:color="000000"/>
              <w:left w:val="single" w:sz="12" w:space="0" w:color="000000"/>
              <w:bottom w:val="single" w:sz="4" w:space="0" w:color="000000"/>
              <w:right w:val="single" w:sz="12" w:space="0" w:color="000000"/>
            </w:tcBorders>
            <w:vAlign w:val="center"/>
          </w:tcPr>
          <w:p w14:paraId="1BFBE69B" w14:textId="50ED5DFE" w:rsidR="00B0429D" w:rsidRDefault="00B0429D" w:rsidP="00A53A74">
            <w:pPr>
              <w:spacing w:after="0" w:line="259" w:lineRule="auto"/>
              <w:ind w:left="58" w:right="0" w:firstLine="0"/>
            </w:pPr>
            <w:r>
              <w:rPr>
                <w:sz w:val="18"/>
              </w:rPr>
              <w:t>ug/L</w:t>
            </w:r>
          </w:p>
        </w:tc>
        <w:tc>
          <w:tcPr>
            <w:tcW w:w="617" w:type="dxa"/>
            <w:tcBorders>
              <w:top w:val="single" w:sz="4" w:space="0" w:color="000000"/>
              <w:left w:val="single" w:sz="12" w:space="0" w:color="000000"/>
              <w:bottom w:val="single" w:sz="4" w:space="0" w:color="000000"/>
              <w:right w:val="single" w:sz="12" w:space="0" w:color="000000"/>
            </w:tcBorders>
          </w:tcPr>
          <w:p w14:paraId="29CA9077" w14:textId="6EE38142" w:rsidR="00B0429D" w:rsidRDefault="00B0429D" w:rsidP="00A22796">
            <w:pPr>
              <w:spacing w:after="0" w:line="259" w:lineRule="auto"/>
              <w:ind w:left="0" w:right="34" w:firstLine="0"/>
              <w:jc w:val="center"/>
            </w:pPr>
            <w:r>
              <w:rPr>
                <w:sz w:val="18"/>
              </w:rPr>
              <w:t>5</w:t>
            </w:r>
          </w:p>
        </w:tc>
        <w:tc>
          <w:tcPr>
            <w:tcW w:w="851" w:type="dxa"/>
            <w:tcBorders>
              <w:top w:val="single" w:sz="4" w:space="0" w:color="000000"/>
              <w:left w:val="single" w:sz="12" w:space="0" w:color="000000"/>
              <w:bottom w:val="single" w:sz="4" w:space="0" w:color="000000"/>
              <w:right w:val="single" w:sz="12" w:space="0" w:color="000000"/>
            </w:tcBorders>
          </w:tcPr>
          <w:p w14:paraId="5B14FBFF" w14:textId="3D3BACF8" w:rsidR="00B0429D" w:rsidRDefault="00B0429D" w:rsidP="00A22796">
            <w:pPr>
              <w:spacing w:after="0" w:line="259" w:lineRule="auto"/>
              <w:ind w:left="0" w:right="0" w:firstLine="0"/>
              <w:jc w:val="center"/>
            </w:pPr>
            <w:r>
              <w:rPr>
                <w:rFonts w:eastAsia="Segoe UI Symbol"/>
                <w:sz w:val="18"/>
              </w:rPr>
              <w:t>u</w:t>
            </w:r>
            <w:r>
              <w:rPr>
                <w:sz w:val="18"/>
              </w:rPr>
              <w:t>g/kg</w:t>
            </w:r>
          </w:p>
        </w:tc>
        <w:tc>
          <w:tcPr>
            <w:tcW w:w="540" w:type="dxa"/>
            <w:tcBorders>
              <w:top w:val="single" w:sz="4" w:space="0" w:color="000000"/>
              <w:left w:val="single" w:sz="12" w:space="0" w:color="000000"/>
              <w:bottom w:val="single" w:sz="4" w:space="0" w:color="000000"/>
              <w:right w:val="single" w:sz="12" w:space="0" w:color="000000"/>
            </w:tcBorders>
          </w:tcPr>
          <w:p w14:paraId="4F144C83" w14:textId="342D1467" w:rsidR="00B0429D" w:rsidRDefault="00B0429D" w:rsidP="00A22796">
            <w:pPr>
              <w:spacing w:after="0" w:line="259" w:lineRule="auto"/>
              <w:ind w:left="0" w:right="37" w:firstLine="0"/>
              <w:jc w:val="center"/>
            </w:pPr>
            <w:r>
              <w:rPr>
                <w:sz w:val="18"/>
              </w:rPr>
              <w:t>1</w:t>
            </w:r>
          </w:p>
        </w:tc>
        <w:tc>
          <w:tcPr>
            <w:tcW w:w="1170" w:type="dxa"/>
            <w:tcBorders>
              <w:top w:val="single" w:sz="4" w:space="0" w:color="000000"/>
              <w:left w:val="single" w:sz="12" w:space="0" w:color="000000"/>
              <w:bottom w:val="single" w:sz="4" w:space="0" w:color="000000"/>
              <w:right w:val="single" w:sz="12" w:space="0" w:color="000000"/>
            </w:tcBorders>
            <w:vAlign w:val="center"/>
          </w:tcPr>
          <w:p w14:paraId="58C8267D" w14:textId="35677BD0" w:rsidR="00B0429D" w:rsidRPr="00B142E8" w:rsidRDefault="007671A9" w:rsidP="00A53A74">
            <w:pPr>
              <w:spacing w:after="0" w:line="259" w:lineRule="auto"/>
              <w:ind w:left="106" w:right="0" w:firstLine="0"/>
            </w:pPr>
            <w:r w:rsidRPr="00A53A74">
              <w:rPr>
                <w:rFonts w:eastAsia="Segoe UI Symbol"/>
                <w:sz w:val="18"/>
              </w:rPr>
              <w:t>u</w:t>
            </w:r>
            <w:r w:rsidR="003F65D0" w:rsidRPr="00B142E8">
              <w:rPr>
                <w:sz w:val="18"/>
              </w:rPr>
              <w:t>g</w:t>
            </w:r>
            <w:r w:rsidR="00B0429D" w:rsidRPr="00B142E8">
              <w:rPr>
                <w:sz w:val="18"/>
              </w:rPr>
              <w:t xml:space="preserve"> /100 cm</w:t>
            </w:r>
            <w:r w:rsidR="00B0429D" w:rsidRPr="00B142E8">
              <w:rPr>
                <w:sz w:val="18"/>
                <w:vertAlign w:val="superscript"/>
              </w:rPr>
              <w:t>2</w:t>
            </w:r>
          </w:p>
        </w:tc>
        <w:tc>
          <w:tcPr>
            <w:tcW w:w="900" w:type="dxa"/>
            <w:tcBorders>
              <w:top w:val="single" w:sz="4" w:space="0" w:color="000000"/>
              <w:left w:val="single" w:sz="12" w:space="0" w:color="000000"/>
              <w:bottom w:val="single" w:sz="4" w:space="0" w:color="000000"/>
              <w:right w:val="single" w:sz="12" w:space="0" w:color="000000"/>
            </w:tcBorders>
          </w:tcPr>
          <w:p w14:paraId="11796EA4" w14:textId="5E05AC9C" w:rsidR="00B0429D" w:rsidRDefault="00B0429D" w:rsidP="00A22796">
            <w:pPr>
              <w:spacing w:after="0" w:line="259" w:lineRule="auto"/>
              <w:ind w:left="0" w:right="36" w:firstLine="0"/>
              <w:jc w:val="center"/>
            </w:pPr>
            <w:r>
              <w:rPr>
                <w:sz w:val="18"/>
              </w:rPr>
              <w:t>8082</w:t>
            </w:r>
          </w:p>
        </w:tc>
      </w:tr>
      <w:tr w:rsidR="00985247" w14:paraId="618FBE33" w14:textId="77777777" w:rsidTr="00985247">
        <w:trPr>
          <w:trHeight w:val="257"/>
        </w:trPr>
        <w:tc>
          <w:tcPr>
            <w:tcW w:w="3551" w:type="dxa"/>
            <w:tcBorders>
              <w:top w:val="single" w:sz="4" w:space="0" w:color="000000"/>
              <w:left w:val="single" w:sz="12" w:space="0" w:color="000000"/>
              <w:bottom w:val="single" w:sz="12" w:space="0" w:color="000000"/>
              <w:right w:val="single" w:sz="12" w:space="0" w:color="000000"/>
            </w:tcBorders>
          </w:tcPr>
          <w:p w14:paraId="72F89980" w14:textId="77777777" w:rsidR="00B0429D" w:rsidRDefault="00B0429D" w:rsidP="006C089A">
            <w:pPr>
              <w:spacing w:after="0" w:line="259" w:lineRule="auto"/>
              <w:ind w:left="36" w:right="0" w:firstLine="0"/>
            </w:pPr>
            <w:r>
              <w:rPr>
                <w:sz w:val="18"/>
              </w:rPr>
              <w:t xml:space="preserve">2,2',3,3',4,4',5,5',6-Nonachlorobiphenyl </w:t>
            </w:r>
          </w:p>
        </w:tc>
        <w:tc>
          <w:tcPr>
            <w:tcW w:w="1047" w:type="dxa"/>
            <w:tcBorders>
              <w:top w:val="single" w:sz="4" w:space="0" w:color="000000"/>
              <w:left w:val="single" w:sz="12" w:space="0" w:color="000000"/>
              <w:bottom w:val="single" w:sz="12" w:space="0" w:color="000000"/>
              <w:right w:val="single" w:sz="12" w:space="0" w:color="000000"/>
            </w:tcBorders>
          </w:tcPr>
          <w:p w14:paraId="4625CABF" w14:textId="1ABBB28B" w:rsidR="00B0429D" w:rsidRDefault="00B0429D" w:rsidP="00A22796">
            <w:pPr>
              <w:spacing w:after="0" w:line="259" w:lineRule="auto"/>
              <w:ind w:left="0" w:right="35" w:firstLine="0"/>
              <w:jc w:val="center"/>
            </w:pPr>
            <w:r>
              <w:rPr>
                <w:sz w:val="18"/>
              </w:rPr>
              <w:t>40186-72-9</w:t>
            </w:r>
          </w:p>
        </w:tc>
        <w:tc>
          <w:tcPr>
            <w:tcW w:w="793" w:type="dxa"/>
            <w:tcBorders>
              <w:top w:val="single" w:sz="4" w:space="0" w:color="000000"/>
              <w:left w:val="single" w:sz="12" w:space="0" w:color="000000"/>
              <w:bottom w:val="single" w:sz="12" w:space="0" w:color="000000"/>
              <w:right w:val="single" w:sz="12" w:space="0" w:color="000000"/>
            </w:tcBorders>
          </w:tcPr>
          <w:p w14:paraId="32DFD5FB" w14:textId="2DBD381E" w:rsidR="00B0429D" w:rsidRDefault="00B0429D" w:rsidP="00A22796">
            <w:pPr>
              <w:spacing w:after="0" w:line="259" w:lineRule="auto"/>
              <w:ind w:left="0" w:right="35" w:firstLine="0"/>
              <w:jc w:val="center"/>
            </w:pPr>
            <w:r>
              <w:rPr>
                <w:sz w:val="18"/>
              </w:rPr>
              <w:t>206</w:t>
            </w:r>
          </w:p>
        </w:tc>
        <w:tc>
          <w:tcPr>
            <w:tcW w:w="617" w:type="dxa"/>
            <w:tcBorders>
              <w:top w:val="single" w:sz="4" w:space="0" w:color="000000"/>
              <w:left w:val="single" w:sz="12" w:space="0" w:color="000000"/>
              <w:bottom w:val="single" w:sz="12" w:space="0" w:color="000000"/>
              <w:right w:val="single" w:sz="12" w:space="0" w:color="000000"/>
            </w:tcBorders>
          </w:tcPr>
          <w:p w14:paraId="5020DACB" w14:textId="4F1EA486" w:rsidR="00B0429D" w:rsidRDefault="00B0429D" w:rsidP="00A22796">
            <w:pPr>
              <w:spacing w:after="0" w:line="259" w:lineRule="auto"/>
              <w:ind w:left="0" w:right="40" w:firstLine="0"/>
              <w:jc w:val="center"/>
            </w:pPr>
            <w:r>
              <w:rPr>
                <w:sz w:val="18"/>
              </w:rPr>
              <w:t>0.05</w:t>
            </w:r>
          </w:p>
        </w:tc>
        <w:tc>
          <w:tcPr>
            <w:tcW w:w="534" w:type="dxa"/>
            <w:tcBorders>
              <w:top w:val="single" w:sz="4" w:space="0" w:color="000000"/>
              <w:left w:val="single" w:sz="12" w:space="0" w:color="000000"/>
              <w:bottom w:val="single" w:sz="12" w:space="0" w:color="000000"/>
              <w:right w:val="single" w:sz="12" w:space="0" w:color="000000"/>
            </w:tcBorders>
            <w:vAlign w:val="center"/>
          </w:tcPr>
          <w:p w14:paraId="17768B12" w14:textId="659A8969" w:rsidR="00B0429D" w:rsidRDefault="00B0429D" w:rsidP="00A53A74">
            <w:pPr>
              <w:spacing w:after="0" w:line="259" w:lineRule="auto"/>
              <w:ind w:left="58" w:right="0" w:firstLine="0"/>
            </w:pPr>
            <w:r>
              <w:rPr>
                <w:sz w:val="18"/>
              </w:rPr>
              <w:t>ug/L</w:t>
            </w:r>
          </w:p>
        </w:tc>
        <w:tc>
          <w:tcPr>
            <w:tcW w:w="617" w:type="dxa"/>
            <w:tcBorders>
              <w:top w:val="single" w:sz="4" w:space="0" w:color="000000"/>
              <w:left w:val="single" w:sz="12" w:space="0" w:color="000000"/>
              <w:bottom w:val="single" w:sz="12" w:space="0" w:color="000000"/>
              <w:right w:val="single" w:sz="12" w:space="0" w:color="000000"/>
            </w:tcBorders>
          </w:tcPr>
          <w:p w14:paraId="39C1E58A" w14:textId="7BD501C6" w:rsidR="00B0429D" w:rsidRDefault="00B0429D" w:rsidP="00A22796">
            <w:pPr>
              <w:spacing w:after="0" w:line="259" w:lineRule="auto"/>
              <w:ind w:left="0" w:right="34" w:firstLine="0"/>
              <w:jc w:val="center"/>
            </w:pPr>
            <w:r>
              <w:rPr>
                <w:sz w:val="18"/>
              </w:rPr>
              <w:t>5</w:t>
            </w:r>
          </w:p>
        </w:tc>
        <w:tc>
          <w:tcPr>
            <w:tcW w:w="851" w:type="dxa"/>
            <w:tcBorders>
              <w:top w:val="single" w:sz="4" w:space="0" w:color="000000"/>
              <w:left w:val="single" w:sz="12" w:space="0" w:color="000000"/>
              <w:bottom w:val="single" w:sz="12" w:space="0" w:color="000000"/>
              <w:right w:val="single" w:sz="12" w:space="0" w:color="000000"/>
            </w:tcBorders>
          </w:tcPr>
          <w:p w14:paraId="5E8FBB38" w14:textId="74966E16" w:rsidR="00B0429D" w:rsidRDefault="00B0429D" w:rsidP="00A22796">
            <w:pPr>
              <w:spacing w:after="0" w:line="259" w:lineRule="auto"/>
              <w:ind w:left="0" w:right="0" w:firstLine="0"/>
              <w:jc w:val="center"/>
            </w:pPr>
            <w:r>
              <w:rPr>
                <w:rFonts w:eastAsia="Segoe UI Symbol"/>
                <w:sz w:val="18"/>
              </w:rPr>
              <w:t>u</w:t>
            </w:r>
            <w:r>
              <w:rPr>
                <w:sz w:val="18"/>
              </w:rPr>
              <w:t>g/kg</w:t>
            </w:r>
          </w:p>
        </w:tc>
        <w:tc>
          <w:tcPr>
            <w:tcW w:w="540" w:type="dxa"/>
            <w:tcBorders>
              <w:top w:val="single" w:sz="4" w:space="0" w:color="000000"/>
              <w:left w:val="single" w:sz="12" w:space="0" w:color="000000"/>
              <w:bottom w:val="single" w:sz="12" w:space="0" w:color="000000"/>
              <w:right w:val="single" w:sz="12" w:space="0" w:color="000000"/>
            </w:tcBorders>
          </w:tcPr>
          <w:p w14:paraId="4B0E3640" w14:textId="13AAE1C2" w:rsidR="00B0429D" w:rsidRDefault="00B0429D" w:rsidP="00A22796">
            <w:pPr>
              <w:spacing w:after="0" w:line="259" w:lineRule="auto"/>
              <w:ind w:left="0" w:right="37" w:firstLine="0"/>
              <w:jc w:val="center"/>
            </w:pPr>
            <w:r>
              <w:rPr>
                <w:sz w:val="18"/>
              </w:rPr>
              <w:t>1</w:t>
            </w:r>
          </w:p>
        </w:tc>
        <w:tc>
          <w:tcPr>
            <w:tcW w:w="1170" w:type="dxa"/>
            <w:tcBorders>
              <w:top w:val="single" w:sz="4" w:space="0" w:color="000000"/>
              <w:left w:val="single" w:sz="12" w:space="0" w:color="000000"/>
              <w:bottom w:val="single" w:sz="12" w:space="0" w:color="000000"/>
              <w:right w:val="single" w:sz="12" w:space="0" w:color="000000"/>
            </w:tcBorders>
            <w:vAlign w:val="center"/>
          </w:tcPr>
          <w:p w14:paraId="7B440618" w14:textId="4A0A463E" w:rsidR="00B0429D" w:rsidRPr="00B142E8" w:rsidRDefault="007671A9" w:rsidP="00A53A74">
            <w:pPr>
              <w:spacing w:after="0" w:line="259" w:lineRule="auto"/>
              <w:ind w:left="106" w:right="0" w:firstLine="0"/>
            </w:pPr>
            <w:r w:rsidRPr="00A53A74">
              <w:rPr>
                <w:rFonts w:eastAsia="Segoe UI Symbol"/>
                <w:sz w:val="18"/>
              </w:rPr>
              <w:t>u</w:t>
            </w:r>
            <w:r w:rsidR="003F65D0" w:rsidRPr="00B142E8">
              <w:rPr>
                <w:sz w:val="18"/>
              </w:rPr>
              <w:t>g</w:t>
            </w:r>
            <w:r w:rsidR="00B0429D" w:rsidRPr="00B142E8">
              <w:rPr>
                <w:sz w:val="18"/>
              </w:rPr>
              <w:t xml:space="preserve"> /100 cm</w:t>
            </w:r>
            <w:r w:rsidR="00B0429D" w:rsidRPr="00B142E8">
              <w:rPr>
                <w:sz w:val="18"/>
                <w:vertAlign w:val="superscript"/>
              </w:rPr>
              <w:t>2</w:t>
            </w:r>
          </w:p>
        </w:tc>
        <w:tc>
          <w:tcPr>
            <w:tcW w:w="900" w:type="dxa"/>
            <w:tcBorders>
              <w:top w:val="single" w:sz="4" w:space="0" w:color="000000"/>
              <w:left w:val="single" w:sz="12" w:space="0" w:color="000000"/>
              <w:bottom w:val="single" w:sz="12" w:space="0" w:color="000000"/>
              <w:right w:val="single" w:sz="12" w:space="0" w:color="000000"/>
            </w:tcBorders>
          </w:tcPr>
          <w:p w14:paraId="7BAAC68B" w14:textId="073582EE" w:rsidR="00B0429D" w:rsidRDefault="00B0429D" w:rsidP="00A22796">
            <w:pPr>
              <w:spacing w:after="0" w:line="259" w:lineRule="auto"/>
              <w:ind w:left="0" w:right="36" w:firstLine="0"/>
              <w:jc w:val="center"/>
            </w:pPr>
            <w:r>
              <w:rPr>
                <w:sz w:val="18"/>
              </w:rPr>
              <w:t>8082</w:t>
            </w:r>
          </w:p>
        </w:tc>
      </w:tr>
    </w:tbl>
    <w:p w14:paraId="40ED8286" w14:textId="77777777" w:rsidR="00210763" w:rsidRDefault="00210763" w:rsidP="00EC03D7">
      <w:pPr>
        <w:pStyle w:val="NoSpacing"/>
      </w:pPr>
    </w:p>
    <w:tbl>
      <w:tblPr>
        <w:tblStyle w:val="TableGrid1"/>
        <w:tblW w:w="10620" w:type="dxa"/>
        <w:tblInd w:w="-375" w:type="dxa"/>
        <w:tblCellMar>
          <w:top w:w="8" w:type="dxa"/>
          <w:left w:w="36" w:type="dxa"/>
        </w:tblCellMar>
        <w:tblLook w:val="04A0" w:firstRow="1" w:lastRow="0" w:firstColumn="1" w:lastColumn="0" w:noHBand="0" w:noVBand="1"/>
      </w:tblPr>
      <w:tblGrid>
        <w:gridCol w:w="4640"/>
        <w:gridCol w:w="1061"/>
        <w:gridCol w:w="879"/>
        <w:gridCol w:w="895"/>
        <w:gridCol w:w="627"/>
        <w:gridCol w:w="1074"/>
        <w:gridCol w:w="724"/>
        <w:gridCol w:w="720"/>
      </w:tblGrid>
      <w:tr w:rsidR="00B56D50" w14:paraId="0EE0E76D" w14:textId="77777777" w:rsidTr="00EA643D">
        <w:trPr>
          <w:trHeight w:val="271"/>
          <w:tblHeader/>
        </w:trPr>
        <w:tc>
          <w:tcPr>
            <w:tcW w:w="9176" w:type="dxa"/>
            <w:gridSpan w:val="6"/>
            <w:tcBorders>
              <w:top w:val="single" w:sz="12" w:space="0" w:color="000000"/>
              <w:left w:val="single" w:sz="12" w:space="0" w:color="000000"/>
              <w:bottom w:val="single" w:sz="12" w:space="0" w:color="000000"/>
              <w:right w:val="nil"/>
            </w:tcBorders>
            <w:vAlign w:val="center"/>
          </w:tcPr>
          <w:p w14:paraId="29DD1F42" w14:textId="25F865B2" w:rsidR="00B56D50" w:rsidRPr="00633D05" w:rsidRDefault="001C3C42" w:rsidP="00116D53">
            <w:pPr>
              <w:spacing w:after="0" w:line="259" w:lineRule="auto"/>
              <w:ind w:left="36" w:right="0" w:firstLine="0"/>
              <w:rPr>
                <w:sz w:val="18"/>
                <w:szCs w:val="18"/>
              </w:rPr>
            </w:pPr>
            <w:r w:rsidRPr="00633D05">
              <w:rPr>
                <w:b/>
                <w:sz w:val="18"/>
                <w:szCs w:val="18"/>
              </w:rPr>
              <w:t>SW-846 SAS Group K:</w:t>
            </w:r>
            <w:r w:rsidRPr="00633D05">
              <w:rPr>
                <w:sz w:val="18"/>
                <w:szCs w:val="18"/>
              </w:rPr>
              <w:t xml:space="preserve">  </w:t>
            </w:r>
            <w:r w:rsidRPr="00633D05">
              <w:rPr>
                <w:b/>
                <w:sz w:val="18"/>
                <w:szCs w:val="18"/>
              </w:rPr>
              <w:t>Polychlorinated Dibenzodioxins (PCDDs) and Polychlorinated Dibenzofurans (PCDFs)</w:t>
            </w:r>
          </w:p>
        </w:tc>
        <w:tc>
          <w:tcPr>
            <w:tcW w:w="1444" w:type="dxa"/>
            <w:gridSpan w:val="2"/>
            <w:tcBorders>
              <w:top w:val="single" w:sz="12" w:space="0" w:color="000000"/>
              <w:left w:val="nil"/>
              <w:bottom w:val="single" w:sz="12" w:space="0" w:color="000000"/>
              <w:right w:val="single" w:sz="12" w:space="0" w:color="000000"/>
            </w:tcBorders>
            <w:vAlign w:val="center"/>
          </w:tcPr>
          <w:p w14:paraId="2304EC10" w14:textId="77777777" w:rsidR="00B56D50" w:rsidRPr="00633D05" w:rsidRDefault="00B56D50" w:rsidP="00116D53">
            <w:pPr>
              <w:spacing w:after="0" w:line="259" w:lineRule="auto"/>
              <w:ind w:left="0" w:right="0" w:firstLine="0"/>
              <w:rPr>
                <w:sz w:val="18"/>
                <w:szCs w:val="18"/>
              </w:rPr>
            </w:pPr>
          </w:p>
        </w:tc>
      </w:tr>
      <w:tr w:rsidR="00B56D50" w14:paraId="6804F9F1" w14:textId="77777777" w:rsidTr="00EA643D">
        <w:trPr>
          <w:trHeight w:val="444"/>
          <w:tblHeader/>
        </w:trPr>
        <w:tc>
          <w:tcPr>
            <w:tcW w:w="4640" w:type="dxa"/>
            <w:vMerge w:val="restart"/>
            <w:tcBorders>
              <w:top w:val="single" w:sz="12" w:space="0" w:color="000000"/>
              <w:left w:val="single" w:sz="12" w:space="0" w:color="000000"/>
              <w:bottom w:val="single" w:sz="12" w:space="0" w:color="000000"/>
              <w:right w:val="single" w:sz="12" w:space="0" w:color="000000"/>
            </w:tcBorders>
            <w:vAlign w:val="center"/>
          </w:tcPr>
          <w:p w14:paraId="651AEA41" w14:textId="484C0ECA" w:rsidR="00B56D50" w:rsidRDefault="001C3C42" w:rsidP="00116D53">
            <w:pPr>
              <w:spacing w:after="0" w:line="259" w:lineRule="auto"/>
              <w:ind w:left="0" w:right="43" w:firstLine="0"/>
              <w:jc w:val="center"/>
            </w:pPr>
            <w:r>
              <w:rPr>
                <w:b/>
                <w:sz w:val="18"/>
              </w:rPr>
              <w:t>Analyte</w:t>
            </w:r>
          </w:p>
        </w:tc>
        <w:tc>
          <w:tcPr>
            <w:tcW w:w="1061" w:type="dxa"/>
            <w:vMerge w:val="restart"/>
            <w:tcBorders>
              <w:top w:val="single" w:sz="12" w:space="0" w:color="000000"/>
              <w:left w:val="single" w:sz="12" w:space="0" w:color="000000"/>
              <w:bottom w:val="single" w:sz="12" w:space="0" w:color="000000"/>
              <w:right w:val="single" w:sz="12" w:space="0" w:color="000000"/>
            </w:tcBorders>
            <w:vAlign w:val="center"/>
          </w:tcPr>
          <w:p w14:paraId="5499BF84" w14:textId="28E0402A" w:rsidR="00B56D50" w:rsidRDefault="001C3C42" w:rsidP="00116D53">
            <w:pPr>
              <w:spacing w:after="0" w:line="259" w:lineRule="auto"/>
              <w:ind w:left="5" w:right="0" w:firstLine="0"/>
              <w:jc w:val="center"/>
            </w:pPr>
            <w:r>
              <w:rPr>
                <w:b/>
                <w:sz w:val="18"/>
              </w:rPr>
              <w:t>CAS Number</w:t>
            </w:r>
          </w:p>
        </w:tc>
        <w:tc>
          <w:tcPr>
            <w:tcW w:w="1774" w:type="dxa"/>
            <w:gridSpan w:val="2"/>
            <w:tcBorders>
              <w:top w:val="single" w:sz="12" w:space="0" w:color="000000"/>
              <w:left w:val="single" w:sz="12" w:space="0" w:color="000000"/>
              <w:bottom w:val="single" w:sz="12" w:space="0" w:color="000000"/>
              <w:right w:val="single" w:sz="12" w:space="0" w:color="000000"/>
            </w:tcBorders>
            <w:vAlign w:val="center"/>
          </w:tcPr>
          <w:p w14:paraId="2955071E" w14:textId="3E0A4A7F" w:rsidR="00B56D50" w:rsidRDefault="001C3C42" w:rsidP="00116D53">
            <w:pPr>
              <w:spacing w:after="0" w:line="259" w:lineRule="auto"/>
              <w:ind w:left="0" w:right="38" w:firstLine="0"/>
              <w:jc w:val="center"/>
            </w:pPr>
            <w:r>
              <w:rPr>
                <w:b/>
                <w:sz w:val="18"/>
              </w:rPr>
              <w:t>Aqueous</w:t>
            </w:r>
          </w:p>
        </w:tc>
        <w:tc>
          <w:tcPr>
            <w:tcW w:w="1701" w:type="dxa"/>
            <w:gridSpan w:val="2"/>
            <w:tcBorders>
              <w:top w:val="single" w:sz="12" w:space="0" w:color="000000"/>
              <w:left w:val="single" w:sz="12" w:space="0" w:color="000000"/>
              <w:bottom w:val="single" w:sz="12" w:space="0" w:color="000000"/>
              <w:right w:val="single" w:sz="12" w:space="0" w:color="000000"/>
            </w:tcBorders>
            <w:vAlign w:val="center"/>
          </w:tcPr>
          <w:p w14:paraId="3DFECD69" w14:textId="2BD8CFAB" w:rsidR="00B56D50" w:rsidRDefault="001C3C42" w:rsidP="00116D53">
            <w:pPr>
              <w:spacing w:after="0" w:line="259" w:lineRule="auto"/>
              <w:ind w:left="32" w:right="26" w:firstLine="0"/>
              <w:jc w:val="center"/>
            </w:pPr>
            <w:r>
              <w:rPr>
                <w:b/>
                <w:sz w:val="18"/>
              </w:rPr>
              <w:t>Soil/Sediment/ Paper Pulp</w:t>
            </w:r>
          </w:p>
        </w:tc>
        <w:tc>
          <w:tcPr>
            <w:tcW w:w="1444" w:type="dxa"/>
            <w:gridSpan w:val="2"/>
            <w:vMerge w:val="restart"/>
            <w:tcBorders>
              <w:top w:val="single" w:sz="12" w:space="0" w:color="000000"/>
              <w:left w:val="single" w:sz="12" w:space="0" w:color="000000"/>
              <w:bottom w:val="single" w:sz="12" w:space="0" w:color="000000"/>
              <w:right w:val="single" w:sz="12" w:space="0" w:color="000000"/>
            </w:tcBorders>
            <w:vAlign w:val="center"/>
          </w:tcPr>
          <w:p w14:paraId="731B01DE" w14:textId="37A38B51" w:rsidR="00B56D50" w:rsidRDefault="001C3C42" w:rsidP="00EA643D">
            <w:pPr>
              <w:spacing w:after="0" w:line="259" w:lineRule="auto"/>
              <w:ind w:left="0" w:right="-109" w:firstLine="0"/>
              <w:jc w:val="center"/>
            </w:pPr>
            <w:r>
              <w:rPr>
                <w:b/>
                <w:sz w:val="18"/>
              </w:rPr>
              <w:t>Acceptable</w:t>
            </w:r>
          </w:p>
          <w:p w14:paraId="6E23A1D9" w14:textId="1824851C" w:rsidR="00B56D50" w:rsidRDefault="001C3C42" w:rsidP="00116D53">
            <w:pPr>
              <w:spacing w:after="0" w:line="259" w:lineRule="auto"/>
              <w:ind w:left="0" w:right="41" w:firstLine="0"/>
              <w:jc w:val="center"/>
            </w:pPr>
            <w:r>
              <w:rPr>
                <w:b/>
                <w:sz w:val="18"/>
              </w:rPr>
              <w:t>Methods</w:t>
            </w:r>
          </w:p>
        </w:tc>
      </w:tr>
      <w:tr w:rsidR="008D7F57" w14:paraId="62EE1EA8" w14:textId="77777777" w:rsidTr="00EA643D">
        <w:trPr>
          <w:trHeight w:val="365"/>
          <w:tblHeader/>
        </w:trPr>
        <w:tc>
          <w:tcPr>
            <w:tcW w:w="4640" w:type="dxa"/>
            <w:vMerge/>
            <w:tcBorders>
              <w:top w:val="nil"/>
              <w:left w:val="single" w:sz="12" w:space="0" w:color="000000"/>
              <w:bottom w:val="single" w:sz="12" w:space="0" w:color="000000"/>
              <w:right w:val="single" w:sz="12" w:space="0" w:color="000000"/>
            </w:tcBorders>
            <w:vAlign w:val="center"/>
          </w:tcPr>
          <w:p w14:paraId="21F572FC" w14:textId="77777777" w:rsidR="00B56D50" w:rsidRDefault="00B56D50" w:rsidP="00017AB4">
            <w:pPr>
              <w:spacing w:after="160" w:line="259" w:lineRule="auto"/>
              <w:ind w:left="0" w:right="0" w:firstLine="0"/>
              <w:jc w:val="center"/>
            </w:pPr>
          </w:p>
        </w:tc>
        <w:tc>
          <w:tcPr>
            <w:tcW w:w="0" w:type="auto"/>
            <w:vMerge/>
            <w:tcBorders>
              <w:top w:val="nil"/>
              <w:left w:val="single" w:sz="12" w:space="0" w:color="000000"/>
              <w:bottom w:val="single" w:sz="12" w:space="0" w:color="000000"/>
              <w:right w:val="single" w:sz="12" w:space="0" w:color="000000"/>
            </w:tcBorders>
            <w:vAlign w:val="center"/>
          </w:tcPr>
          <w:p w14:paraId="6048FE9E" w14:textId="77777777" w:rsidR="00B56D50" w:rsidRDefault="00B56D50" w:rsidP="00017AB4">
            <w:pPr>
              <w:spacing w:after="160" w:line="259" w:lineRule="auto"/>
              <w:ind w:left="0" w:right="0" w:firstLine="0"/>
              <w:jc w:val="center"/>
            </w:pPr>
          </w:p>
        </w:tc>
        <w:tc>
          <w:tcPr>
            <w:tcW w:w="879" w:type="dxa"/>
            <w:tcBorders>
              <w:top w:val="single" w:sz="12" w:space="0" w:color="000000"/>
              <w:left w:val="single" w:sz="12" w:space="0" w:color="000000"/>
              <w:bottom w:val="single" w:sz="12" w:space="0" w:color="000000"/>
              <w:right w:val="single" w:sz="12" w:space="0" w:color="000000"/>
            </w:tcBorders>
            <w:vAlign w:val="center"/>
          </w:tcPr>
          <w:p w14:paraId="6B5CE1C4" w14:textId="4C133F1D" w:rsidR="00B56D50" w:rsidRDefault="001C3C42" w:rsidP="00116D53">
            <w:pPr>
              <w:spacing w:after="0" w:line="259" w:lineRule="auto"/>
              <w:ind w:left="0" w:right="36" w:firstLine="0"/>
              <w:jc w:val="center"/>
            </w:pPr>
            <w:r>
              <w:rPr>
                <w:b/>
                <w:sz w:val="18"/>
              </w:rPr>
              <w:t>RL</w:t>
            </w:r>
          </w:p>
        </w:tc>
        <w:tc>
          <w:tcPr>
            <w:tcW w:w="895" w:type="dxa"/>
            <w:tcBorders>
              <w:top w:val="single" w:sz="12" w:space="0" w:color="000000"/>
              <w:left w:val="single" w:sz="12" w:space="0" w:color="000000"/>
              <w:bottom w:val="single" w:sz="12" w:space="0" w:color="000000"/>
              <w:right w:val="single" w:sz="12" w:space="0" w:color="000000"/>
            </w:tcBorders>
            <w:vAlign w:val="center"/>
          </w:tcPr>
          <w:p w14:paraId="654E0B65" w14:textId="1969215E" w:rsidR="00B56D50" w:rsidRDefault="001C3C42" w:rsidP="00116D53">
            <w:pPr>
              <w:spacing w:after="0" w:line="259" w:lineRule="auto"/>
              <w:ind w:left="0" w:right="41" w:firstLine="0"/>
              <w:jc w:val="center"/>
            </w:pPr>
            <w:r>
              <w:rPr>
                <w:b/>
                <w:sz w:val="18"/>
              </w:rPr>
              <w:t>units</w:t>
            </w:r>
          </w:p>
        </w:tc>
        <w:tc>
          <w:tcPr>
            <w:tcW w:w="627" w:type="dxa"/>
            <w:tcBorders>
              <w:top w:val="single" w:sz="12" w:space="0" w:color="000000"/>
              <w:left w:val="single" w:sz="12" w:space="0" w:color="000000"/>
              <w:bottom w:val="single" w:sz="12" w:space="0" w:color="000000"/>
              <w:right w:val="single" w:sz="12" w:space="0" w:color="000000"/>
            </w:tcBorders>
            <w:vAlign w:val="center"/>
          </w:tcPr>
          <w:p w14:paraId="7E1810CE" w14:textId="7131C0DA" w:rsidR="00B56D50" w:rsidRDefault="001C3C42" w:rsidP="00116D53">
            <w:pPr>
              <w:spacing w:after="0" w:line="259" w:lineRule="auto"/>
              <w:ind w:left="154" w:right="0" w:firstLine="0"/>
            </w:pPr>
            <w:r>
              <w:rPr>
                <w:b/>
                <w:sz w:val="18"/>
              </w:rPr>
              <w:t>RL</w:t>
            </w:r>
          </w:p>
        </w:tc>
        <w:tc>
          <w:tcPr>
            <w:tcW w:w="1074" w:type="dxa"/>
            <w:tcBorders>
              <w:top w:val="single" w:sz="12" w:space="0" w:color="000000"/>
              <w:left w:val="single" w:sz="12" w:space="0" w:color="000000"/>
              <w:bottom w:val="single" w:sz="12" w:space="0" w:color="000000"/>
              <w:right w:val="single" w:sz="12" w:space="0" w:color="000000"/>
            </w:tcBorders>
            <w:vAlign w:val="center"/>
          </w:tcPr>
          <w:p w14:paraId="7C49BD59" w14:textId="1CC063C2" w:rsidR="00B56D50" w:rsidRDefault="001C3C42" w:rsidP="00116D53">
            <w:pPr>
              <w:spacing w:after="0" w:line="259" w:lineRule="auto"/>
              <w:ind w:left="0" w:right="38" w:firstLine="0"/>
              <w:jc w:val="center"/>
            </w:pPr>
            <w:r>
              <w:rPr>
                <w:b/>
                <w:sz w:val="18"/>
              </w:rPr>
              <w:t>units</w:t>
            </w:r>
          </w:p>
        </w:tc>
        <w:tc>
          <w:tcPr>
            <w:tcW w:w="1444" w:type="dxa"/>
            <w:gridSpan w:val="2"/>
            <w:vMerge/>
            <w:tcBorders>
              <w:top w:val="nil"/>
              <w:left w:val="single" w:sz="12" w:space="0" w:color="000000"/>
              <w:bottom w:val="single" w:sz="12" w:space="0" w:color="000000"/>
              <w:right w:val="single" w:sz="12" w:space="0" w:color="000000"/>
            </w:tcBorders>
            <w:vAlign w:val="center"/>
          </w:tcPr>
          <w:p w14:paraId="33F1EBC1" w14:textId="77777777" w:rsidR="00B56D50" w:rsidRDefault="00B56D50" w:rsidP="00017AB4">
            <w:pPr>
              <w:spacing w:after="160" w:line="259" w:lineRule="auto"/>
              <w:ind w:left="0" w:right="0" w:firstLine="0"/>
              <w:jc w:val="center"/>
            </w:pPr>
          </w:p>
        </w:tc>
      </w:tr>
      <w:tr w:rsidR="00C84A5D" w14:paraId="5EECA622" w14:textId="77777777" w:rsidTr="00EA643D">
        <w:trPr>
          <w:trHeight w:val="262"/>
        </w:trPr>
        <w:tc>
          <w:tcPr>
            <w:tcW w:w="4640" w:type="dxa"/>
            <w:tcBorders>
              <w:top w:val="single" w:sz="12" w:space="0" w:color="000000"/>
              <w:left w:val="single" w:sz="12" w:space="0" w:color="000000"/>
              <w:bottom w:val="single" w:sz="4" w:space="0" w:color="000000"/>
              <w:right w:val="single" w:sz="12" w:space="0" w:color="000000"/>
            </w:tcBorders>
          </w:tcPr>
          <w:p w14:paraId="641B012D" w14:textId="77777777" w:rsidR="00B56D50" w:rsidRPr="0055071A" w:rsidRDefault="001C3C42" w:rsidP="00545EF7">
            <w:pPr>
              <w:spacing w:after="0" w:line="259" w:lineRule="auto"/>
              <w:ind w:left="36" w:right="0" w:firstLine="0"/>
              <w:rPr>
                <w:bCs/>
              </w:rPr>
            </w:pPr>
            <w:r w:rsidRPr="00FA4BA7">
              <w:rPr>
                <w:bCs/>
                <w:sz w:val="18"/>
              </w:rPr>
              <w:t xml:space="preserve">2,3,7,8-Tetrachlorodibenzo-p-dioxin (TCDD)  </w:t>
            </w:r>
          </w:p>
        </w:tc>
        <w:tc>
          <w:tcPr>
            <w:tcW w:w="1061" w:type="dxa"/>
            <w:tcBorders>
              <w:top w:val="single" w:sz="12" w:space="0" w:color="000000"/>
              <w:left w:val="single" w:sz="12" w:space="0" w:color="000000"/>
              <w:bottom w:val="single" w:sz="4" w:space="0" w:color="000000"/>
              <w:right w:val="single" w:sz="12" w:space="0" w:color="000000"/>
            </w:tcBorders>
          </w:tcPr>
          <w:p w14:paraId="7B08F5A2" w14:textId="12E4C12F" w:rsidR="00B56D50" w:rsidRDefault="001C3C42" w:rsidP="00A14FE4">
            <w:pPr>
              <w:spacing w:after="0" w:line="259" w:lineRule="auto"/>
              <w:ind w:left="0" w:right="35" w:firstLine="0"/>
              <w:jc w:val="center"/>
            </w:pPr>
            <w:r>
              <w:rPr>
                <w:sz w:val="18"/>
              </w:rPr>
              <w:t>1746-01-6</w:t>
            </w:r>
          </w:p>
        </w:tc>
        <w:tc>
          <w:tcPr>
            <w:tcW w:w="879" w:type="dxa"/>
            <w:tcBorders>
              <w:top w:val="single" w:sz="12" w:space="0" w:color="000000"/>
              <w:left w:val="single" w:sz="12" w:space="0" w:color="000000"/>
              <w:bottom w:val="single" w:sz="4" w:space="0" w:color="000000"/>
              <w:right w:val="single" w:sz="12" w:space="0" w:color="000000"/>
            </w:tcBorders>
          </w:tcPr>
          <w:p w14:paraId="21C44356" w14:textId="6CD3EAAF" w:rsidR="00B56D50" w:rsidRDefault="001C3C42" w:rsidP="00A14FE4">
            <w:pPr>
              <w:spacing w:after="0" w:line="259" w:lineRule="auto"/>
              <w:ind w:left="0" w:right="38" w:firstLine="0"/>
              <w:jc w:val="center"/>
            </w:pPr>
            <w:r>
              <w:rPr>
                <w:sz w:val="18"/>
              </w:rPr>
              <w:t>0.010</w:t>
            </w:r>
          </w:p>
        </w:tc>
        <w:tc>
          <w:tcPr>
            <w:tcW w:w="895" w:type="dxa"/>
            <w:tcBorders>
              <w:top w:val="single" w:sz="12" w:space="0" w:color="000000"/>
              <w:left w:val="single" w:sz="12" w:space="0" w:color="000000"/>
              <w:bottom w:val="single" w:sz="4" w:space="0" w:color="000000"/>
              <w:right w:val="single" w:sz="12" w:space="0" w:color="000000"/>
            </w:tcBorders>
          </w:tcPr>
          <w:p w14:paraId="0157FAE9" w14:textId="6DAAB2F3" w:rsidR="00B56D50" w:rsidRDefault="001C3C42" w:rsidP="00A14FE4">
            <w:pPr>
              <w:spacing w:after="0" w:line="259" w:lineRule="auto"/>
              <w:ind w:left="46" w:right="0" w:firstLine="0"/>
            </w:pPr>
            <w:r>
              <w:rPr>
                <w:sz w:val="18"/>
              </w:rPr>
              <w:t>ng/L</w:t>
            </w:r>
            <w:r>
              <w:rPr>
                <w:i/>
                <w:sz w:val="18"/>
              </w:rPr>
              <w:t xml:space="preserve"> (ppt)</w:t>
            </w:r>
            <w:r>
              <w:rPr>
                <w:sz w:val="18"/>
              </w:rPr>
              <w:t xml:space="preserve"> </w:t>
            </w:r>
          </w:p>
        </w:tc>
        <w:tc>
          <w:tcPr>
            <w:tcW w:w="627" w:type="dxa"/>
            <w:tcBorders>
              <w:top w:val="single" w:sz="12" w:space="0" w:color="000000"/>
              <w:left w:val="single" w:sz="12" w:space="0" w:color="000000"/>
              <w:bottom w:val="single" w:sz="4" w:space="0" w:color="000000"/>
              <w:right w:val="single" w:sz="12" w:space="0" w:color="000000"/>
            </w:tcBorders>
          </w:tcPr>
          <w:p w14:paraId="274166C2" w14:textId="18DF27C6" w:rsidR="00B56D50" w:rsidRDefault="001C3C42" w:rsidP="00A14FE4">
            <w:pPr>
              <w:spacing w:after="0" w:line="259" w:lineRule="auto"/>
              <w:ind w:left="0" w:right="35" w:firstLine="0"/>
              <w:jc w:val="center"/>
            </w:pPr>
            <w:r>
              <w:rPr>
                <w:sz w:val="18"/>
              </w:rPr>
              <w:t>1.0</w:t>
            </w:r>
          </w:p>
        </w:tc>
        <w:tc>
          <w:tcPr>
            <w:tcW w:w="1074" w:type="dxa"/>
            <w:tcBorders>
              <w:top w:val="single" w:sz="12" w:space="0" w:color="000000"/>
              <w:left w:val="single" w:sz="12" w:space="0" w:color="000000"/>
              <w:bottom w:val="single" w:sz="4" w:space="0" w:color="000000"/>
              <w:right w:val="single" w:sz="12" w:space="0" w:color="000000"/>
            </w:tcBorders>
          </w:tcPr>
          <w:p w14:paraId="130FD71B" w14:textId="4405957F" w:rsidR="00B56D50" w:rsidRDefault="001C3C42" w:rsidP="00A14FE4">
            <w:pPr>
              <w:spacing w:after="0" w:line="259" w:lineRule="auto"/>
              <w:ind w:left="101" w:right="0" w:firstLine="0"/>
            </w:pPr>
            <w:r>
              <w:rPr>
                <w:sz w:val="18"/>
              </w:rPr>
              <w:t xml:space="preserve">ng/kg </w:t>
            </w:r>
            <w:r>
              <w:rPr>
                <w:i/>
                <w:sz w:val="18"/>
              </w:rPr>
              <w:t>(ppt)</w:t>
            </w:r>
          </w:p>
        </w:tc>
        <w:tc>
          <w:tcPr>
            <w:tcW w:w="724" w:type="dxa"/>
            <w:tcBorders>
              <w:top w:val="single" w:sz="12" w:space="0" w:color="000000"/>
              <w:left w:val="single" w:sz="12" w:space="0" w:color="000000"/>
              <w:bottom w:val="single" w:sz="4" w:space="0" w:color="000000"/>
              <w:right w:val="single" w:sz="12" w:space="0" w:color="000000"/>
            </w:tcBorders>
            <w:vAlign w:val="center"/>
          </w:tcPr>
          <w:p w14:paraId="61BBCF61" w14:textId="798FC475" w:rsidR="00B56D50" w:rsidRDefault="001C3C42" w:rsidP="00A53A74">
            <w:pPr>
              <w:spacing w:after="0" w:line="259" w:lineRule="auto"/>
              <w:ind w:left="122" w:right="0" w:firstLine="0"/>
              <w:jc w:val="center"/>
            </w:pPr>
            <w:r>
              <w:rPr>
                <w:sz w:val="18"/>
              </w:rPr>
              <w:t>8290</w:t>
            </w:r>
          </w:p>
        </w:tc>
        <w:tc>
          <w:tcPr>
            <w:tcW w:w="720" w:type="dxa"/>
            <w:tcBorders>
              <w:top w:val="single" w:sz="12" w:space="0" w:color="000000"/>
              <w:left w:val="single" w:sz="12" w:space="0" w:color="000000"/>
              <w:bottom w:val="single" w:sz="4" w:space="0" w:color="000000"/>
              <w:right w:val="single" w:sz="12" w:space="0" w:color="000000"/>
            </w:tcBorders>
            <w:vAlign w:val="center"/>
          </w:tcPr>
          <w:p w14:paraId="7D0FB701" w14:textId="713B9CE5" w:rsidR="00B56D50" w:rsidRDefault="001C3C42" w:rsidP="00E27BBE">
            <w:pPr>
              <w:spacing w:after="0" w:line="259" w:lineRule="auto"/>
              <w:ind w:left="84" w:right="0" w:firstLine="0"/>
            </w:pPr>
            <w:r>
              <w:rPr>
                <w:sz w:val="18"/>
              </w:rPr>
              <w:t>1613</w:t>
            </w:r>
            <w:r w:rsidR="00633D05">
              <w:rPr>
                <w:sz w:val="18"/>
              </w:rPr>
              <w:t xml:space="preserve"> </w:t>
            </w:r>
            <w:r w:rsidR="00901B55" w:rsidRPr="00633D05">
              <w:rPr>
                <w:b/>
                <w:bCs/>
                <w:sz w:val="18"/>
                <w:vertAlign w:val="superscript"/>
              </w:rPr>
              <w:t>8</w:t>
            </w:r>
          </w:p>
        </w:tc>
      </w:tr>
      <w:tr w:rsidR="00C84A5D" w14:paraId="7D3E59AD" w14:textId="77777777" w:rsidTr="00EA643D">
        <w:trPr>
          <w:trHeight w:val="250"/>
        </w:trPr>
        <w:tc>
          <w:tcPr>
            <w:tcW w:w="4640" w:type="dxa"/>
            <w:tcBorders>
              <w:top w:val="single" w:sz="4" w:space="0" w:color="000000"/>
              <w:left w:val="single" w:sz="12" w:space="0" w:color="000000"/>
              <w:bottom w:val="single" w:sz="4" w:space="0" w:color="000000"/>
              <w:right w:val="single" w:sz="12" w:space="0" w:color="000000"/>
            </w:tcBorders>
          </w:tcPr>
          <w:p w14:paraId="37AE6176" w14:textId="77777777" w:rsidR="00B56D50" w:rsidRDefault="001C3C42" w:rsidP="00545EF7">
            <w:pPr>
              <w:spacing w:after="0" w:line="259" w:lineRule="auto"/>
              <w:ind w:left="36" w:right="0" w:firstLine="0"/>
            </w:pPr>
            <w:r>
              <w:rPr>
                <w:sz w:val="18"/>
              </w:rPr>
              <w:t>1,2,3,7,8-Pentachlorodibenzo-p-dioxin (</w:t>
            </w:r>
            <w:proofErr w:type="spellStart"/>
            <w:r>
              <w:rPr>
                <w:sz w:val="18"/>
              </w:rPr>
              <w:t>PeCDD</w:t>
            </w:r>
            <w:proofErr w:type="spellEnd"/>
            <w:r>
              <w:rPr>
                <w:sz w:val="18"/>
              </w:rPr>
              <w:t xml:space="preserve">)  </w:t>
            </w:r>
          </w:p>
        </w:tc>
        <w:tc>
          <w:tcPr>
            <w:tcW w:w="1061" w:type="dxa"/>
            <w:tcBorders>
              <w:top w:val="single" w:sz="4" w:space="0" w:color="000000"/>
              <w:left w:val="single" w:sz="12" w:space="0" w:color="000000"/>
              <w:bottom w:val="single" w:sz="4" w:space="0" w:color="000000"/>
              <w:right w:val="single" w:sz="12" w:space="0" w:color="000000"/>
            </w:tcBorders>
          </w:tcPr>
          <w:p w14:paraId="37DDB00E" w14:textId="61AA3859" w:rsidR="00B56D50" w:rsidRDefault="001C3C42" w:rsidP="00A14FE4">
            <w:pPr>
              <w:spacing w:after="0" w:line="259" w:lineRule="auto"/>
              <w:ind w:left="0" w:right="35" w:firstLine="0"/>
              <w:jc w:val="center"/>
            </w:pPr>
            <w:r>
              <w:rPr>
                <w:sz w:val="18"/>
              </w:rPr>
              <w:t>40321-76-4</w:t>
            </w:r>
          </w:p>
        </w:tc>
        <w:tc>
          <w:tcPr>
            <w:tcW w:w="879" w:type="dxa"/>
            <w:tcBorders>
              <w:top w:val="single" w:sz="4" w:space="0" w:color="000000"/>
              <w:left w:val="single" w:sz="12" w:space="0" w:color="000000"/>
              <w:bottom w:val="single" w:sz="4" w:space="0" w:color="000000"/>
              <w:right w:val="single" w:sz="12" w:space="0" w:color="000000"/>
            </w:tcBorders>
          </w:tcPr>
          <w:p w14:paraId="4EB7C7CD" w14:textId="5A408DA4" w:rsidR="00B56D50" w:rsidRDefault="001C3C42" w:rsidP="00A14FE4">
            <w:pPr>
              <w:spacing w:after="0" w:line="259" w:lineRule="auto"/>
              <w:ind w:left="0" w:right="38" w:firstLine="0"/>
              <w:jc w:val="center"/>
            </w:pPr>
            <w:r>
              <w:rPr>
                <w:sz w:val="18"/>
              </w:rPr>
              <w:t>0.010</w:t>
            </w:r>
          </w:p>
        </w:tc>
        <w:tc>
          <w:tcPr>
            <w:tcW w:w="895" w:type="dxa"/>
            <w:tcBorders>
              <w:top w:val="single" w:sz="4" w:space="0" w:color="000000"/>
              <w:left w:val="single" w:sz="12" w:space="0" w:color="000000"/>
              <w:bottom w:val="single" w:sz="4" w:space="0" w:color="000000"/>
              <w:right w:val="single" w:sz="12" w:space="0" w:color="000000"/>
            </w:tcBorders>
          </w:tcPr>
          <w:p w14:paraId="7B78DE95" w14:textId="7986A836" w:rsidR="00B56D50" w:rsidRDefault="001C3C42" w:rsidP="00A14FE4">
            <w:pPr>
              <w:spacing w:after="0" w:line="259" w:lineRule="auto"/>
              <w:ind w:left="46" w:right="0" w:firstLine="0"/>
            </w:pPr>
            <w:r>
              <w:rPr>
                <w:sz w:val="18"/>
              </w:rPr>
              <w:t>ng/L</w:t>
            </w:r>
            <w:r>
              <w:rPr>
                <w:i/>
                <w:sz w:val="18"/>
              </w:rPr>
              <w:t xml:space="preserve"> (ppt)</w:t>
            </w:r>
          </w:p>
        </w:tc>
        <w:tc>
          <w:tcPr>
            <w:tcW w:w="627" w:type="dxa"/>
            <w:tcBorders>
              <w:top w:val="single" w:sz="4" w:space="0" w:color="000000"/>
              <w:left w:val="single" w:sz="12" w:space="0" w:color="000000"/>
              <w:bottom w:val="single" w:sz="4" w:space="0" w:color="000000"/>
              <w:right w:val="single" w:sz="12" w:space="0" w:color="000000"/>
            </w:tcBorders>
          </w:tcPr>
          <w:p w14:paraId="66FFF589" w14:textId="3DF02571" w:rsidR="00B56D50" w:rsidRDefault="001C3C42" w:rsidP="00A14FE4">
            <w:pPr>
              <w:spacing w:after="0" w:line="259" w:lineRule="auto"/>
              <w:ind w:left="0" w:right="35" w:firstLine="0"/>
              <w:jc w:val="center"/>
            </w:pPr>
            <w:r>
              <w:rPr>
                <w:sz w:val="18"/>
              </w:rPr>
              <w:t>1.0</w:t>
            </w:r>
          </w:p>
        </w:tc>
        <w:tc>
          <w:tcPr>
            <w:tcW w:w="1074" w:type="dxa"/>
            <w:tcBorders>
              <w:top w:val="single" w:sz="4" w:space="0" w:color="000000"/>
              <w:left w:val="single" w:sz="12" w:space="0" w:color="000000"/>
              <w:bottom w:val="single" w:sz="4" w:space="0" w:color="000000"/>
              <w:right w:val="single" w:sz="12" w:space="0" w:color="000000"/>
            </w:tcBorders>
          </w:tcPr>
          <w:p w14:paraId="047B68E8" w14:textId="40D92369" w:rsidR="00B56D50" w:rsidRDefault="001C3C42" w:rsidP="00A14FE4">
            <w:pPr>
              <w:spacing w:after="0" w:line="259" w:lineRule="auto"/>
              <w:ind w:left="101" w:right="0" w:firstLine="0"/>
            </w:pPr>
            <w:r>
              <w:rPr>
                <w:sz w:val="18"/>
              </w:rPr>
              <w:t xml:space="preserve">ng/kg </w:t>
            </w:r>
            <w:r>
              <w:rPr>
                <w:i/>
                <w:sz w:val="18"/>
              </w:rPr>
              <w:t>(ppt)</w:t>
            </w:r>
          </w:p>
        </w:tc>
        <w:tc>
          <w:tcPr>
            <w:tcW w:w="724" w:type="dxa"/>
            <w:tcBorders>
              <w:top w:val="single" w:sz="4" w:space="0" w:color="000000"/>
              <w:left w:val="single" w:sz="12" w:space="0" w:color="000000"/>
              <w:bottom w:val="single" w:sz="4" w:space="0" w:color="000000"/>
              <w:right w:val="single" w:sz="12" w:space="0" w:color="000000"/>
            </w:tcBorders>
            <w:vAlign w:val="center"/>
          </w:tcPr>
          <w:p w14:paraId="0D74417C" w14:textId="6530584C" w:rsidR="00B56D50" w:rsidRDefault="001C3C42" w:rsidP="00A53A74">
            <w:pPr>
              <w:spacing w:after="0" w:line="259" w:lineRule="auto"/>
              <w:ind w:left="122" w:right="0" w:firstLine="0"/>
              <w:jc w:val="center"/>
            </w:pPr>
            <w:r>
              <w:rPr>
                <w:sz w:val="18"/>
              </w:rPr>
              <w:t>8290</w:t>
            </w:r>
          </w:p>
        </w:tc>
        <w:tc>
          <w:tcPr>
            <w:tcW w:w="720" w:type="dxa"/>
            <w:tcBorders>
              <w:top w:val="single" w:sz="4" w:space="0" w:color="000000"/>
              <w:left w:val="single" w:sz="12" w:space="0" w:color="000000"/>
              <w:bottom w:val="single" w:sz="4" w:space="0" w:color="000000"/>
              <w:right w:val="single" w:sz="12" w:space="0" w:color="000000"/>
            </w:tcBorders>
            <w:vAlign w:val="center"/>
          </w:tcPr>
          <w:p w14:paraId="4000E42D" w14:textId="780CDDB0" w:rsidR="00B56D50" w:rsidRDefault="001C3C42" w:rsidP="00E27BBE">
            <w:pPr>
              <w:spacing w:after="0" w:line="259" w:lineRule="auto"/>
              <w:ind w:left="84" w:right="0" w:firstLine="0"/>
            </w:pPr>
            <w:r>
              <w:rPr>
                <w:sz w:val="18"/>
              </w:rPr>
              <w:t>1613</w:t>
            </w:r>
            <w:r w:rsidR="00633D05">
              <w:rPr>
                <w:sz w:val="18"/>
              </w:rPr>
              <w:t xml:space="preserve"> </w:t>
            </w:r>
            <w:r w:rsidR="009A05E6" w:rsidRPr="00633D05">
              <w:rPr>
                <w:b/>
                <w:bCs/>
                <w:sz w:val="18"/>
                <w:vertAlign w:val="superscript"/>
              </w:rPr>
              <w:t>8</w:t>
            </w:r>
          </w:p>
        </w:tc>
      </w:tr>
      <w:tr w:rsidR="00C84A5D" w14:paraId="11E30B9D" w14:textId="77777777" w:rsidTr="00EA643D">
        <w:trPr>
          <w:trHeight w:val="250"/>
        </w:trPr>
        <w:tc>
          <w:tcPr>
            <w:tcW w:w="4640" w:type="dxa"/>
            <w:tcBorders>
              <w:top w:val="single" w:sz="4" w:space="0" w:color="000000"/>
              <w:left w:val="single" w:sz="12" w:space="0" w:color="000000"/>
              <w:bottom w:val="single" w:sz="4" w:space="0" w:color="000000"/>
              <w:right w:val="single" w:sz="12" w:space="0" w:color="000000"/>
            </w:tcBorders>
          </w:tcPr>
          <w:p w14:paraId="5C033F0D" w14:textId="77777777" w:rsidR="00B56D50" w:rsidRDefault="001C3C42" w:rsidP="00545EF7">
            <w:pPr>
              <w:spacing w:after="0" w:line="259" w:lineRule="auto"/>
              <w:ind w:left="36" w:right="0" w:firstLine="0"/>
            </w:pPr>
            <w:r>
              <w:rPr>
                <w:sz w:val="18"/>
              </w:rPr>
              <w:t>1,2,3,4,7,8-Hexachlorodibenzo-p-dioxin (</w:t>
            </w:r>
            <w:proofErr w:type="spellStart"/>
            <w:r>
              <w:rPr>
                <w:sz w:val="18"/>
              </w:rPr>
              <w:t>HxCDD</w:t>
            </w:r>
            <w:proofErr w:type="spellEnd"/>
            <w:r>
              <w:rPr>
                <w:sz w:val="18"/>
              </w:rPr>
              <w:t xml:space="preserve">) </w:t>
            </w:r>
          </w:p>
        </w:tc>
        <w:tc>
          <w:tcPr>
            <w:tcW w:w="1061" w:type="dxa"/>
            <w:tcBorders>
              <w:top w:val="single" w:sz="4" w:space="0" w:color="000000"/>
              <w:left w:val="single" w:sz="12" w:space="0" w:color="000000"/>
              <w:bottom w:val="single" w:sz="4" w:space="0" w:color="000000"/>
              <w:right w:val="single" w:sz="12" w:space="0" w:color="000000"/>
            </w:tcBorders>
          </w:tcPr>
          <w:p w14:paraId="0396C3A5" w14:textId="59238039" w:rsidR="00B56D50" w:rsidRDefault="001C3C42" w:rsidP="00A14FE4">
            <w:pPr>
              <w:spacing w:after="0" w:line="259" w:lineRule="auto"/>
              <w:ind w:left="0" w:right="35" w:firstLine="0"/>
              <w:jc w:val="center"/>
            </w:pPr>
            <w:r>
              <w:rPr>
                <w:sz w:val="18"/>
              </w:rPr>
              <w:t>39227-28-6</w:t>
            </w:r>
          </w:p>
        </w:tc>
        <w:tc>
          <w:tcPr>
            <w:tcW w:w="879" w:type="dxa"/>
            <w:tcBorders>
              <w:top w:val="single" w:sz="4" w:space="0" w:color="000000"/>
              <w:left w:val="single" w:sz="12" w:space="0" w:color="000000"/>
              <w:bottom w:val="single" w:sz="4" w:space="0" w:color="000000"/>
              <w:right w:val="single" w:sz="12" w:space="0" w:color="000000"/>
            </w:tcBorders>
          </w:tcPr>
          <w:p w14:paraId="49DC5653" w14:textId="41FAEB24" w:rsidR="00B56D50" w:rsidRDefault="001C3C42" w:rsidP="00A14FE4">
            <w:pPr>
              <w:spacing w:after="0" w:line="259" w:lineRule="auto"/>
              <w:ind w:left="0" w:right="38" w:firstLine="0"/>
              <w:jc w:val="center"/>
            </w:pPr>
            <w:r>
              <w:rPr>
                <w:sz w:val="18"/>
              </w:rPr>
              <w:t>0.025</w:t>
            </w:r>
          </w:p>
        </w:tc>
        <w:tc>
          <w:tcPr>
            <w:tcW w:w="895" w:type="dxa"/>
            <w:tcBorders>
              <w:top w:val="single" w:sz="4" w:space="0" w:color="000000"/>
              <w:left w:val="single" w:sz="12" w:space="0" w:color="000000"/>
              <w:bottom w:val="single" w:sz="4" w:space="0" w:color="000000"/>
              <w:right w:val="single" w:sz="12" w:space="0" w:color="000000"/>
            </w:tcBorders>
          </w:tcPr>
          <w:p w14:paraId="24E88FA3" w14:textId="521B9526" w:rsidR="00B56D50" w:rsidRDefault="001C3C42" w:rsidP="00A14FE4">
            <w:pPr>
              <w:spacing w:after="0" w:line="259" w:lineRule="auto"/>
              <w:ind w:left="46" w:right="0" w:firstLine="0"/>
            </w:pPr>
            <w:r>
              <w:rPr>
                <w:sz w:val="18"/>
              </w:rPr>
              <w:t>ng/L</w:t>
            </w:r>
            <w:r>
              <w:rPr>
                <w:i/>
                <w:sz w:val="18"/>
              </w:rPr>
              <w:t xml:space="preserve"> (ppt)</w:t>
            </w:r>
          </w:p>
        </w:tc>
        <w:tc>
          <w:tcPr>
            <w:tcW w:w="627" w:type="dxa"/>
            <w:tcBorders>
              <w:top w:val="single" w:sz="4" w:space="0" w:color="000000"/>
              <w:left w:val="single" w:sz="12" w:space="0" w:color="000000"/>
              <w:bottom w:val="single" w:sz="4" w:space="0" w:color="000000"/>
              <w:right w:val="single" w:sz="12" w:space="0" w:color="000000"/>
            </w:tcBorders>
          </w:tcPr>
          <w:p w14:paraId="08DB1FC2" w14:textId="0735C12E" w:rsidR="00B56D50" w:rsidRDefault="001C3C42" w:rsidP="00A14FE4">
            <w:pPr>
              <w:spacing w:after="0" w:line="259" w:lineRule="auto"/>
              <w:ind w:left="0" w:right="35" w:firstLine="0"/>
              <w:jc w:val="center"/>
            </w:pPr>
            <w:r>
              <w:rPr>
                <w:sz w:val="18"/>
              </w:rPr>
              <w:t>2.5</w:t>
            </w:r>
          </w:p>
        </w:tc>
        <w:tc>
          <w:tcPr>
            <w:tcW w:w="1074" w:type="dxa"/>
            <w:tcBorders>
              <w:top w:val="single" w:sz="4" w:space="0" w:color="000000"/>
              <w:left w:val="single" w:sz="12" w:space="0" w:color="000000"/>
              <w:bottom w:val="single" w:sz="4" w:space="0" w:color="000000"/>
              <w:right w:val="single" w:sz="12" w:space="0" w:color="000000"/>
            </w:tcBorders>
          </w:tcPr>
          <w:p w14:paraId="595E0A26" w14:textId="3440A42E" w:rsidR="00B56D50" w:rsidRDefault="001C3C42" w:rsidP="00A14FE4">
            <w:pPr>
              <w:spacing w:after="0" w:line="259" w:lineRule="auto"/>
              <w:ind w:left="101" w:right="0" w:firstLine="0"/>
            </w:pPr>
            <w:r>
              <w:rPr>
                <w:sz w:val="18"/>
              </w:rPr>
              <w:t xml:space="preserve">ng/kg </w:t>
            </w:r>
            <w:r>
              <w:rPr>
                <w:i/>
                <w:sz w:val="18"/>
              </w:rPr>
              <w:t>(ppt)</w:t>
            </w:r>
          </w:p>
        </w:tc>
        <w:tc>
          <w:tcPr>
            <w:tcW w:w="724" w:type="dxa"/>
            <w:tcBorders>
              <w:top w:val="single" w:sz="4" w:space="0" w:color="000000"/>
              <w:left w:val="single" w:sz="12" w:space="0" w:color="000000"/>
              <w:bottom w:val="single" w:sz="4" w:space="0" w:color="000000"/>
              <w:right w:val="single" w:sz="12" w:space="0" w:color="000000"/>
            </w:tcBorders>
            <w:vAlign w:val="center"/>
          </w:tcPr>
          <w:p w14:paraId="07B8483F" w14:textId="2EE74178" w:rsidR="00B56D50" w:rsidRDefault="001C3C42" w:rsidP="00A53A74">
            <w:pPr>
              <w:spacing w:after="0" w:line="259" w:lineRule="auto"/>
              <w:ind w:left="122" w:right="0" w:firstLine="0"/>
              <w:jc w:val="center"/>
            </w:pPr>
            <w:r>
              <w:rPr>
                <w:sz w:val="18"/>
              </w:rPr>
              <w:t>8290</w:t>
            </w:r>
          </w:p>
        </w:tc>
        <w:tc>
          <w:tcPr>
            <w:tcW w:w="720" w:type="dxa"/>
            <w:tcBorders>
              <w:top w:val="single" w:sz="4" w:space="0" w:color="000000"/>
              <w:left w:val="single" w:sz="12" w:space="0" w:color="000000"/>
              <w:bottom w:val="single" w:sz="4" w:space="0" w:color="000000"/>
              <w:right w:val="single" w:sz="12" w:space="0" w:color="000000"/>
            </w:tcBorders>
            <w:vAlign w:val="center"/>
          </w:tcPr>
          <w:p w14:paraId="43B856B4" w14:textId="20A1AD90" w:rsidR="00B56D50" w:rsidRDefault="001C3C42" w:rsidP="00E27BBE">
            <w:pPr>
              <w:spacing w:after="0" w:line="259" w:lineRule="auto"/>
              <w:ind w:left="84" w:right="0" w:firstLine="0"/>
            </w:pPr>
            <w:r>
              <w:rPr>
                <w:sz w:val="18"/>
              </w:rPr>
              <w:t>1613</w:t>
            </w:r>
            <w:r w:rsidR="00633D05">
              <w:rPr>
                <w:sz w:val="18"/>
              </w:rPr>
              <w:t xml:space="preserve"> </w:t>
            </w:r>
            <w:r w:rsidR="009A05E6" w:rsidRPr="00633D05">
              <w:rPr>
                <w:b/>
                <w:bCs/>
                <w:sz w:val="18"/>
                <w:vertAlign w:val="superscript"/>
              </w:rPr>
              <w:t>8</w:t>
            </w:r>
          </w:p>
        </w:tc>
      </w:tr>
      <w:tr w:rsidR="00C84A5D" w14:paraId="0AE92F1C" w14:textId="77777777" w:rsidTr="00EA643D">
        <w:trPr>
          <w:trHeight w:val="250"/>
        </w:trPr>
        <w:tc>
          <w:tcPr>
            <w:tcW w:w="4640" w:type="dxa"/>
            <w:tcBorders>
              <w:top w:val="single" w:sz="4" w:space="0" w:color="000000"/>
              <w:left w:val="single" w:sz="12" w:space="0" w:color="000000"/>
              <w:bottom w:val="single" w:sz="4" w:space="0" w:color="000000"/>
              <w:right w:val="single" w:sz="12" w:space="0" w:color="000000"/>
            </w:tcBorders>
          </w:tcPr>
          <w:p w14:paraId="4E413FCE" w14:textId="77777777" w:rsidR="00B56D50" w:rsidRDefault="001C3C42" w:rsidP="00545EF7">
            <w:pPr>
              <w:spacing w:after="0" w:line="259" w:lineRule="auto"/>
              <w:ind w:left="36" w:right="0" w:firstLine="0"/>
            </w:pPr>
            <w:r>
              <w:rPr>
                <w:sz w:val="18"/>
              </w:rPr>
              <w:t>1,2,3,6,7,8-Hexachlorodibenzo-p-dioxin (</w:t>
            </w:r>
            <w:proofErr w:type="spellStart"/>
            <w:r>
              <w:rPr>
                <w:sz w:val="18"/>
              </w:rPr>
              <w:t>HxCDD</w:t>
            </w:r>
            <w:proofErr w:type="spellEnd"/>
            <w:r>
              <w:rPr>
                <w:sz w:val="18"/>
              </w:rPr>
              <w:t xml:space="preserve">) </w:t>
            </w:r>
          </w:p>
        </w:tc>
        <w:tc>
          <w:tcPr>
            <w:tcW w:w="1061" w:type="dxa"/>
            <w:tcBorders>
              <w:top w:val="single" w:sz="4" w:space="0" w:color="000000"/>
              <w:left w:val="single" w:sz="12" w:space="0" w:color="000000"/>
              <w:bottom w:val="single" w:sz="4" w:space="0" w:color="000000"/>
              <w:right w:val="single" w:sz="12" w:space="0" w:color="000000"/>
            </w:tcBorders>
          </w:tcPr>
          <w:p w14:paraId="38399D66" w14:textId="12E32783" w:rsidR="00B56D50" w:rsidRDefault="001C3C42" w:rsidP="00A14FE4">
            <w:pPr>
              <w:spacing w:after="0" w:line="259" w:lineRule="auto"/>
              <w:ind w:left="0" w:right="35" w:firstLine="0"/>
              <w:jc w:val="center"/>
            </w:pPr>
            <w:r>
              <w:rPr>
                <w:sz w:val="18"/>
              </w:rPr>
              <w:t>57653-85-7</w:t>
            </w:r>
          </w:p>
        </w:tc>
        <w:tc>
          <w:tcPr>
            <w:tcW w:w="879" w:type="dxa"/>
            <w:tcBorders>
              <w:top w:val="single" w:sz="4" w:space="0" w:color="000000"/>
              <w:left w:val="single" w:sz="12" w:space="0" w:color="000000"/>
              <w:bottom w:val="single" w:sz="4" w:space="0" w:color="000000"/>
              <w:right w:val="single" w:sz="12" w:space="0" w:color="000000"/>
            </w:tcBorders>
          </w:tcPr>
          <w:p w14:paraId="15582A8C" w14:textId="2F6F9233" w:rsidR="00B56D50" w:rsidRDefault="001C3C42" w:rsidP="00A14FE4">
            <w:pPr>
              <w:spacing w:after="0" w:line="259" w:lineRule="auto"/>
              <w:ind w:left="0" w:right="38" w:firstLine="0"/>
              <w:jc w:val="center"/>
            </w:pPr>
            <w:r>
              <w:rPr>
                <w:sz w:val="18"/>
              </w:rPr>
              <w:t>0.025</w:t>
            </w:r>
          </w:p>
        </w:tc>
        <w:tc>
          <w:tcPr>
            <w:tcW w:w="895" w:type="dxa"/>
            <w:tcBorders>
              <w:top w:val="single" w:sz="4" w:space="0" w:color="000000"/>
              <w:left w:val="single" w:sz="12" w:space="0" w:color="000000"/>
              <w:bottom w:val="single" w:sz="4" w:space="0" w:color="000000"/>
              <w:right w:val="single" w:sz="12" w:space="0" w:color="000000"/>
            </w:tcBorders>
          </w:tcPr>
          <w:p w14:paraId="72650430" w14:textId="66487E8C" w:rsidR="00B56D50" w:rsidRDefault="001C3C42" w:rsidP="00A14FE4">
            <w:pPr>
              <w:spacing w:after="0" w:line="259" w:lineRule="auto"/>
              <w:ind w:left="46" w:right="0" w:firstLine="0"/>
            </w:pPr>
            <w:r>
              <w:rPr>
                <w:sz w:val="18"/>
              </w:rPr>
              <w:t>ng/L</w:t>
            </w:r>
            <w:r>
              <w:rPr>
                <w:i/>
                <w:sz w:val="18"/>
              </w:rPr>
              <w:t xml:space="preserve"> (ppt)</w:t>
            </w:r>
          </w:p>
        </w:tc>
        <w:tc>
          <w:tcPr>
            <w:tcW w:w="627" w:type="dxa"/>
            <w:tcBorders>
              <w:top w:val="single" w:sz="4" w:space="0" w:color="000000"/>
              <w:left w:val="single" w:sz="12" w:space="0" w:color="000000"/>
              <w:bottom w:val="single" w:sz="4" w:space="0" w:color="000000"/>
              <w:right w:val="single" w:sz="12" w:space="0" w:color="000000"/>
            </w:tcBorders>
          </w:tcPr>
          <w:p w14:paraId="285EA2A5" w14:textId="062BC0C4" w:rsidR="00B56D50" w:rsidRDefault="001C3C42" w:rsidP="00A14FE4">
            <w:pPr>
              <w:spacing w:after="0" w:line="259" w:lineRule="auto"/>
              <w:ind w:left="0" w:right="35" w:firstLine="0"/>
              <w:jc w:val="center"/>
            </w:pPr>
            <w:r>
              <w:rPr>
                <w:sz w:val="18"/>
              </w:rPr>
              <w:t>2.5</w:t>
            </w:r>
          </w:p>
        </w:tc>
        <w:tc>
          <w:tcPr>
            <w:tcW w:w="1074" w:type="dxa"/>
            <w:tcBorders>
              <w:top w:val="single" w:sz="4" w:space="0" w:color="000000"/>
              <w:left w:val="single" w:sz="12" w:space="0" w:color="000000"/>
              <w:bottom w:val="single" w:sz="4" w:space="0" w:color="000000"/>
              <w:right w:val="single" w:sz="12" w:space="0" w:color="000000"/>
            </w:tcBorders>
          </w:tcPr>
          <w:p w14:paraId="51925B7F" w14:textId="578ED500" w:rsidR="00B56D50" w:rsidRDefault="001C3C42" w:rsidP="00A14FE4">
            <w:pPr>
              <w:spacing w:after="0" w:line="259" w:lineRule="auto"/>
              <w:ind w:left="101" w:right="0" w:firstLine="0"/>
            </w:pPr>
            <w:r>
              <w:rPr>
                <w:sz w:val="18"/>
              </w:rPr>
              <w:t xml:space="preserve">ng/kg </w:t>
            </w:r>
            <w:r>
              <w:rPr>
                <w:i/>
                <w:sz w:val="18"/>
              </w:rPr>
              <w:t>(ppt)</w:t>
            </w:r>
          </w:p>
        </w:tc>
        <w:tc>
          <w:tcPr>
            <w:tcW w:w="724" w:type="dxa"/>
            <w:tcBorders>
              <w:top w:val="single" w:sz="4" w:space="0" w:color="000000"/>
              <w:left w:val="single" w:sz="12" w:space="0" w:color="000000"/>
              <w:bottom w:val="single" w:sz="4" w:space="0" w:color="000000"/>
              <w:right w:val="single" w:sz="12" w:space="0" w:color="000000"/>
            </w:tcBorders>
            <w:vAlign w:val="center"/>
          </w:tcPr>
          <w:p w14:paraId="76CD02E1" w14:textId="1D8E4AE0" w:rsidR="00B56D50" w:rsidRDefault="001C3C42" w:rsidP="00A53A74">
            <w:pPr>
              <w:spacing w:after="0" w:line="259" w:lineRule="auto"/>
              <w:ind w:left="122" w:right="0" w:firstLine="0"/>
              <w:jc w:val="center"/>
            </w:pPr>
            <w:r>
              <w:rPr>
                <w:sz w:val="18"/>
              </w:rPr>
              <w:t>8290</w:t>
            </w:r>
          </w:p>
        </w:tc>
        <w:tc>
          <w:tcPr>
            <w:tcW w:w="720" w:type="dxa"/>
            <w:tcBorders>
              <w:top w:val="single" w:sz="4" w:space="0" w:color="000000"/>
              <w:left w:val="single" w:sz="12" w:space="0" w:color="000000"/>
              <w:bottom w:val="single" w:sz="4" w:space="0" w:color="000000"/>
              <w:right w:val="single" w:sz="12" w:space="0" w:color="000000"/>
            </w:tcBorders>
            <w:vAlign w:val="center"/>
          </w:tcPr>
          <w:p w14:paraId="31F47996" w14:textId="7D48F932" w:rsidR="00B56D50" w:rsidRDefault="001C3C42" w:rsidP="00E27BBE">
            <w:pPr>
              <w:spacing w:after="0" w:line="259" w:lineRule="auto"/>
              <w:ind w:left="84" w:right="0" w:firstLine="0"/>
            </w:pPr>
            <w:r>
              <w:rPr>
                <w:sz w:val="18"/>
              </w:rPr>
              <w:t>1613</w:t>
            </w:r>
            <w:r w:rsidR="00633D05">
              <w:rPr>
                <w:sz w:val="18"/>
              </w:rPr>
              <w:t xml:space="preserve"> </w:t>
            </w:r>
            <w:r w:rsidR="009A05E6" w:rsidRPr="00633D05">
              <w:rPr>
                <w:b/>
                <w:bCs/>
                <w:sz w:val="18"/>
                <w:vertAlign w:val="superscript"/>
              </w:rPr>
              <w:t>8</w:t>
            </w:r>
          </w:p>
        </w:tc>
      </w:tr>
      <w:tr w:rsidR="00C84A5D" w14:paraId="12770CCA" w14:textId="77777777" w:rsidTr="00EA643D">
        <w:trPr>
          <w:trHeight w:val="252"/>
        </w:trPr>
        <w:tc>
          <w:tcPr>
            <w:tcW w:w="4640" w:type="dxa"/>
            <w:tcBorders>
              <w:top w:val="single" w:sz="4" w:space="0" w:color="000000"/>
              <w:left w:val="single" w:sz="12" w:space="0" w:color="000000"/>
              <w:bottom w:val="single" w:sz="4" w:space="0" w:color="000000"/>
              <w:right w:val="single" w:sz="12" w:space="0" w:color="000000"/>
            </w:tcBorders>
          </w:tcPr>
          <w:p w14:paraId="2EC100D1" w14:textId="77777777" w:rsidR="00B56D50" w:rsidRDefault="001C3C42" w:rsidP="00545EF7">
            <w:pPr>
              <w:spacing w:after="0" w:line="259" w:lineRule="auto"/>
              <w:ind w:left="36" w:right="0" w:firstLine="0"/>
            </w:pPr>
            <w:r>
              <w:rPr>
                <w:sz w:val="18"/>
              </w:rPr>
              <w:t>1,2,3,7,8,9-Hexachlorodibenzo-p-dioxin (</w:t>
            </w:r>
            <w:proofErr w:type="spellStart"/>
            <w:r>
              <w:rPr>
                <w:sz w:val="18"/>
              </w:rPr>
              <w:t>HxCDD</w:t>
            </w:r>
            <w:proofErr w:type="spellEnd"/>
            <w:r>
              <w:rPr>
                <w:sz w:val="18"/>
              </w:rPr>
              <w:t xml:space="preserve">) </w:t>
            </w:r>
          </w:p>
        </w:tc>
        <w:tc>
          <w:tcPr>
            <w:tcW w:w="1061" w:type="dxa"/>
            <w:tcBorders>
              <w:top w:val="single" w:sz="4" w:space="0" w:color="000000"/>
              <w:left w:val="single" w:sz="12" w:space="0" w:color="000000"/>
              <w:bottom w:val="single" w:sz="4" w:space="0" w:color="000000"/>
              <w:right w:val="single" w:sz="12" w:space="0" w:color="000000"/>
            </w:tcBorders>
          </w:tcPr>
          <w:p w14:paraId="3D491BE1" w14:textId="5436FF49" w:rsidR="00B56D50" w:rsidRDefault="001C3C42" w:rsidP="00A14FE4">
            <w:pPr>
              <w:spacing w:after="0" w:line="259" w:lineRule="auto"/>
              <w:ind w:left="0" w:right="35" w:firstLine="0"/>
              <w:jc w:val="center"/>
            </w:pPr>
            <w:r>
              <w:rPr>
                <w:sz w:val="18"/>
              </w:rPr>
              <w:t>19408-74-3</w:t>
            </w:r>
          </w:p>
        </w:tc>
        <w:tc>
          <w:tcPr>
            <w:tcW w:w="879" w:type="dxa"/>
            <w:tcBorders>
              <w:top w:val="single" w:sz="4" w:space="0" w:color="000000"/>
              <w:left w:val="single" w:sz="12" w:space="0" w:color="000000"/>
              <w:bottom w:val="single" w:sz="4" w:space="0" w:color="000000"/>
              <w:right w:val="single" w:sz="12" w:space="0" w:color="000000"/>
            </w:tcBorders>
          </w:tcPr>
          <w:p w14:paraId="38BF6B4B" w14:textId="5CEC6544" w:rsidR="00B56D50" w:rsidRDefault="001C3C42" w:rsidP="00A14FE4">
            <w:pPr>
              <w:spacing w:after="0" w:line="259" w:lineRule="auto"/>
              <w:ind w:left="0" w:right="38" w:firstLine="0"/>
              <w:jc w:val="center"/>
            </w:pPr>
            <w:r>
              <w:rPr>
                <w:sz w:val="18"/>
              </w:rPr>
              <w:t>0.025</w:t>
            </w:r>
          </w:p>
        </w:tc>
        <w:tc>
          <w:tcPr>
            <w:tcW w:w="895" w:type="dxa"/>
            <w:tcBorders>
              <w:top w:val="single" w:sz="4" w:space="0" w:color="000000"/>
              <w:left w:val="single" w:sz="12" w:space="0" w:color="000000"/>
              <w:bottom w:val="single" w:sz="4" w:space="0" w:color="000000"/>
              <w:right w:val="single" w:sz="12" w:space="0" w:color="000000"/>
            </w:tcBorders>
          </w:tcPr>
          <w:p w14:paraId="2283ECF2" w14:textId="73F5C20F" w:rsidR="00B56D50" w:rsidRDefault="001C3C42" w:rsidP="00A14FE4">
            <w:pPr>
              <w:spacing w:after="0" w:line="259" w:lineRule="auto"/>
              <w:ind w:left="46" w:right="0" w:firstLine="0"/>
            </w:pPr>
            <w:r>
              <w:rPr>
                <w:sz w:val="18"/>
              </w:rPr>
              <w:t>ng/L</w:t>
            </w:r>
            <w:r>
              <w:rPr>
                <w:i/>
                <w:sz w:val="18"/>
              </w:rPr>
              <w:t xml:space="preserve"> (ppt)</w:t>
            </w:r>
          </w:p>
        </w:tc>
        <w:tc>
          <w:tcPr>
            <w:tcW w:w="627" w:type="dxa"/>
            <w:tcBorders>
              <w:top w:val="single" w:sz="4" w:space="0" w:color="000000"/>
              <w:left w:val="single" w:sz="12" w:space="0" w:color="000000"/>
              <w:bottom w:val="single" w:sz="4" w:space="0" w:color="000000"/>
              <w:right w:val="single" w:sz="12" w:space="0" w:color="000000"/>
            </w:tcBorders>
          </w:tcPr>
          <w:p w14:paraId="3A25CB71" w14:textId="3622A9EB" w:rsidR="00B56D50" w:rsidRDefault="001C3C42" w:rsidP="00A14FE4">
            <w:pPr>
              <w:spacing w:after="0" w:line="259" w:lineRule="auto"/>
              <w:ind w:left="0" w:right="35" w:firstLine="0"/>
              <w:jc w:val="center"/>
            </w:pPr>
            <w:r>
              <w:rPr>
                <w:sz w:val="18"/>
              </w:rPr>
              <w:t>2.5</w:t>
            </w:r>
          </w:p>
        </w:tc>
        <w:tc>
          <w:tcPr>
            <w:tcW w:w="1074" w:type="dxa"/>
            <w:tcBorders>
              <w:top w:val="single" w:sz="4" w:space="0" w:color="000000"/>
              <w:left w:val="single" w:sz="12" w:space="0" w:color="000000"/>
              <w:bottom w:val="single" w:sz="4" w:space="0" w:color="000000"/>
              <w:right w:val="single" w:sz="12" w:space="0" w:color="000000"/>
            </w:tcBorders>
          </w:tcPr>
          <w:p w14:paraId="56FA8B7C" w14:textId="6ADD6892" w:rsidR="00B56D50" w:rsidRDefault="001C3C42" w:rsidP="00A14FE4">
            <w:pPr>
              <w:spacing w:after="0" w:line="259" w:lineRule="auto"/>
              <w:ind w:left="101" w:right="0" w:firstLine="0"/>
            </w:pPr>
            <w:r>
              <w:rPr>
                <w:sz w:val="18"/>
              </w:rPr>
              <w:t xml:space="preserve">ng/kg </w:t>
            </w:r>
            <w:r>
              <w:rPr>
                <w:i/>
                <w:sz w:val="18"/>
              </w:rPr>
              <w:t>(ppt)</w:t>
            </w:r>
          </w:p>
        </w:tc>
        <w:tc>
          <w:tcPr>
            <w:tcW w:w="724" w:type="dxa"/>
            <w:tcBorders>
              <w:top w:val="single" w:sz="4" w:space="0" w:color="000000"/>
              <w:left w:val="single" w:sz="12" w:space="0" w:color="000000"/>
              <w:bottom w:val="single" w:sz="4" w:space="0" w:color="000000"/>
              <w:right w:val="single" w:sz="12" w:space="0" w:color="000000"/>
            </w:tcBorders>
            <w:vAlign w:val="center"/>
          </w:tcPr>
          <w:p w14:paraId="64C6014A" w14:textId="4B019ED3" w:rsidR="00B56D50" w:rsidRDefault="001C3C42" w:rsidP="00A53A74">
            <w:pPr>
              <w:spacing w:after="0" w:line="259" w:lineRule="auto"/>
              <w:ind w:left="122" w:right="0" w:firstLine="0"/>
              <w:jc w:val="center"/>
            </w:pPr>
            <w:r>
              <w:rPr>
                <w:sz w:val="18"/>
              </w:rPr>
              <w:t>8290</w:t>
            </w:r>
          </w:p>
        </w:tc>
        <w:tc>
          <w:tcPr>
            <w:tcW w:w="720" w:type="dxa"/>
            <w:tcBorders>
              <w:top w:val="single" w:sz="4" w:space="0" w:color="000000"/>
              <w:left w:val="single" w:sz="12" w:space="0" w:color="000000"/>
              <w:bottom w:val="single" w:sz="4" w:space="0" w:color="000000"/>
              <w:right w:val="single" w:sz="12" w:space="0" w:color="000000"/>
            </w:tcBorders>
            <w:vAlign w:val="center"/>
          </w:tcPr>
          <w:p w14:paraId="1B2C6DA5" w14:textId="738CE401" w:rsidR="00B56D50" w:rsidRPr="00FA4BA7" w:rsidRDefault="001C3C42" w:rsidP="00E27BBE">
            <w:pPr>
              <w:spacing w:after="0" w:line="259" w:lineRule="auto"/>
              <w:ind w:left="84" w:right="0" w:firstLine="0"/>
              <w:rPr>
                <w:vertAlign w:val="superscript"/>
              </w:rPr>
            </w:pPr>
            <w:r>
              <w:rPr>
                <w:sz w:val="18"/>
              </w:rPr>
              <w:t>1613</w:t>
            </w:r>
            <w:r w:rsidR="00633D05">
              <w:rPr>
                <w:sz w:val="18"/>
              </w:rPr>
              <w:t xml:space="preserve"> </w:t>
            </w:r>
            <w:r w:rsidR="009A05E6" w:rsidRPr="00633D05">
              <w:rPr>
                <w:b/>
                <w:bCs/>
                <w:sz w:val="18"/>
                <w:vertAlign w:val="superscript"/>
              </w:rPr>
              <w:t>8</w:t>
            </w:r>
          </w:p>
        </w:tc>
      </w:tr>
      <w:tr w:rsidR="00C84A5D" w14:paraId="260963A5" w14:textId="77777777" w:rsidTr="00EA643D">
        <w:trPr>
          <w:trHeight w:val="216"/>
        </w:trPr>
        <w:tc>
          <w:tcPr>
            <w:tcW w:w="4640" w:type="dxa"/>
            <w:tcBorders>
              <w:top w:val="single" w:sz="4" w:space="0" w:color="000000"/>
              <w:left w:val="single" w:sz="12" w:space="0" w:color="000000"/>
              <w:bottom w:val="single" w:sz="4" w:space="0" w:color="000000"/>
              <w:right w:val="single" w:sz="12" w:space="0" w:color="000000"/>
            </w:tcBorders>
          </w:tcPr>
          <w:p w14:paraId="7C325D8C" w14:textId="77777777" w:rsidR="00B56D50" w:rsidRDefault="001C3C42" w:rsidP="00545EF7">
            <w:pPr>
              <w:spacing w:after="0" w:line="259" w:lineRule="auto"/>
              <w:ind w:left="36" w:right="0" w:firstLine="0"/>
            </w:pPr>
            <w:r>
              <w:rPr>
                <w:sz w:val="18"/>
              </w:rPr>
              <w:t>1,2,3,4,6,7,8-Heptachlorodibenzo-p-dioxin (</w:t>
            </w:r>
            <w:proofErr w:type="spellStart"/>
            <w:r>
              <w:rPr>
                <w:sz w:val="18"/>
              </w:rPr>
              <w:t>HpCDD</w:t>
            </w:r>
            <w:proofErr w:type="spellEnd"/>
            <w:r>
              <w:rPr>
                <w:sz w:val="18"/>
              </w:rPr>
              <w:t xml:space="preserve">) </w:t>
            </w:r>
          </w:p>
        </w:tc>
        <w:tc>
          <w:tcPr>
            <w:tcW w:w="1061" w:type="dxa"/>
            <w:tcBorders>
              <w:top w:val="single" w:sz="4" w:space="0" w:color="000000"/>
              <w:left w:val="single" w:sz="12" w:space="0" w:color="000000"/>
              <w:bottom w:val="single" w:sz="4" w:space="0" w:color="000000"/>
              <w:right w:val="single" w:sz="12" w:space="0" w:color="000000"/>
            </w:tcBorders>
          </w:tcPr>
          <w:p w14:paraId="333BBE98" w14:textId="0F1BB5C1" w:rsidR="00B56D50" w:rsidRDefault="001C3C42" w:rsidP="00A14FE4">
            <w:pPr>
              <w:spacing w:after="0" w:line="259" w:lineRule="auto"/>
              <w:ind w:left="0" w:right="35" w:firstLine="0"/>
              <w:jc w:val="center"/>
            </w:pPr>
            <w:r>
              <w:rPr>
                <w:sz w:val="18"/>
              </w:rPr>
              <w:t>35822-46-9</w:t>
            </w:r>
          </w:p>
        </w:tc>
        <w:tc>
          <w:tcPr>
            <w:tcW w:w="879" w:type="dxa"/>
            <w:tcBorders>
              <w:top w:val="single" w:sz="4" w:space="0" w:color="000000"/>
              <w:left w:val="single" w:sz="12" w:space="0" w:color="000000"/>
              <w:bottom w:val="single" w:sz="4" w:space="0" w:color="000000"/>
              <w:right w:val="single" w:sz="12" w:space="0" w:color="000000"/>
            </w:tcBorders>
          </w:tcPr>
          <w:p w14:paraId="160B9514" w14:textId="35186DA1" w:rsidR="00B56D50" w:rsidRDefault="001C3C42" w:rsidP="00A14FE4">
            <w:pPr>
              <w:spacing w:after="0" w:line="259" w:lineRule="auto"/>
              <w:ind w:left="0" w:right="38" w:firstLine="0"/>
              <w:jc w:val="center"/>
            </w:pPr>
            <w:r>
              <w:rPr>
                <w:sz w:val="18"/>
              </w:rPr>
              <w:t>0.025</w:t>
            </w:r>
          </w:p>
        </w:tc>
        <w:tc>
          <w:tcPr>
            <w:tcW w:w="895" w:type="dxa"/>
            <w:tcBorders>
              <w:top w:val="single" w:sz="4" w:space="0" w:color="000000"/>
              <w:left w:val="single" w:sz="12" w:space="0" w:color="000000"/>
              <w:bottom w:val="single" w:sz="4" w:space="0" w:color="000000"/>
              <w:right w:val="single" w:sz="12" w:space="0" w:color="000000"/>
            </w:tcBorders>
          </w:tcPr>
          <w:p w14:paraId="5562DB29" w14:textId="05327C07" w:rsidR="00B56D50" w:rsidRDefault="001C3C42" w:rsidP="00A14FE4">
            <w:pPr>
              <w:spacing w:after="0" w:line="259" w:lineRule="auto"/>
              <w:ind w:left="46" w:right="0" w:firstLine="0"/>
            </w:pPr>
            <w:r>
              <w:rPr>
                <w:sz w:val="18"/>
              </w:rPr>
              <w:t>ng/L</w:t>
            </w:r>
            <w:r>
              <w:rPr>
                <w:i/>
                <w:sz w:val="18"/>
              </w:rPr>
              <w:t xml:space="preserve"> (ppt)</w:t>
            </w:r>
          </w:p>
        </w:tc>
        <w:tc>
          <w:tcPr>
            <w:tcW w:w="627" w:type="dxa"/>
            <w:tcBorders>
              <w:top w:val="single" w:sz="4" w:space="0" w:color="000000"/>
              <w:left w:val="single" w:sz="12" w:space="0" w:color="000000"/>
              <w:bottom w:val="single" w:sz="4" w:space="0" w:color="000000"/>
              <w:right w:val="single" w:sz="12" w:space="0" w:color="000000"/>
            </w:tcBorders>
          </w:tcPr>
          <w:p w14:paraId="4C7E84E4" w14:textId="7CCCD768" w:rsidR="00B56D50" w:rsidRDefault="001C3C42" w:rsidP="00A14FE4">
            <w:pPr>
              <w:spacing w:after="0" w:line="259" w:lineRule="auto"/>
              <w:ind w:left="0" w:right="35" w:firstLine="0"/>
              <w:jc w:val="center"/>
            </w:pPr>
            <w:r>
              <w:rPr>
                <w:sz w:val="18"/>
              </w:rPr>
              <w:t>2.5</w:t>
            </w:r>
          </w:p>
        </w:tc>
        <w:tc>
          <w:tcPr>
            <w:tcW w:w="1074" w:type="dxa"/>
            <w:tcBorders>
              <w:top w:val="single" w:sz="4" w:space="0" w:color="000000"/>
              <w:left w:val="single" w:sz="12" w:space="0" w:color="000000"/>
              <w:bottom w:val="single" w:sz="4" w:space="0" w:color="000000"/>
              <w:right w:val="single" w:sz="12" w:space="0" w:color="000000"/>
            </w:tcBorders>
          </w:tcPr>
          <w:p w14:paraId="2CBD063B" w14:textId="597099D4" w:rsidR="00B56D50" w:rsidRDefault="001C3C42" w:rsidP="00A14FE4">
            <w:pPr>
              <w:spacing w:after="0" w:line="259" w:lineRule="auto"/>
              <w:ind w:left="101" w:right="0" w:firstLine="0"/>
            </w:pPr>
            <w:r>
              <w:rPr>
                <w:sz w:val="18"/>
              </w:rPr>
              <w:t xml:space="preserve">ng/kg </w:t>
            </w:r>
            <w:r>
              <w:rPr>
                <w:i/>
                <w:sz w:val="18"/>
              </w:rPr>
              <w:t>(ppt)</w:t>
            </w:r>
          </w:p>
        </w:tc>
        <w:tc>
          <w:tcPr>
            <w:tcW w:w="724" w:type="dxa"/>
            <w:tcBorders>
              <w:top w:val="single" w:sz="4" w:space="0" w:color="000000"/>
              <w:left w:val="single" w:sz="12" w:space="0" w:color="000000"/>
              <w:bottom w:val="single" w:sz="4" w:space="0" w:color="000000"/>
              <w:right w:val="single" w:sz="12" w:space="0" w:color="000000"/>
            </w:tcBorders>
            <w:vAlign w:val="center"/>
          </w:tcPr>
          <w:p w14:paraId="6AA4D262" w14:textId="4FCA4D54" w:rsidR="00B56D50" w:rsidRDefault="001C3C42" w:rsidP="00A53A74">
            <w:pPr>
              <w:spacing w:after="0" w:line="259" w:lineRule="auto"/>
              <w:ind w:left="122" w:right="0" w:firstLine="0"/>
              <w:jc w:val="center"/>
            </w:pPr>
            <w:r>
              <w:rPr>
                <w:sz w:val="18"/>
              </w:rPr>
              <w:t>8290</w:t>
            </w:r>
          </w:p>
        </w:tc>
        <w:tc>
          <w:tcPr>
            <w:tcW w:w="720" w:type="dxa"/>
            <w:tcBorders>
              <w:top w:val="single" w:sz="4" w:space="0" w:color="000000"/>
              <w:left w:val="single" w:sz="12" w:space="0" w:color="000000"/>
              <w:bottom w:val="single" w:sz="4" w:space="0" w:color="000000"/>
              <w:right w:val="single" w:sz="12" w:space="0" w:color="000000"/>
            </w:tcBorders>
            <w:vAlign w:val="center"/>
          </w:tcPr>
          <w:p w14:paraId="5027E858" w14:textId="7F13E97A" w:rsidR="00B56D50" w:rsidRDefault="001C3C42" w:rsidP="00E27BBE">
            <w:pPr>
              <w:spacing w:after="0" w:line="259" w:lineRule="auto"/>
              <w:ind w:left="84" w:right="0" w:firstLine="0"/>
            </w:pPr>
            <w:r>
              <w:rPr>
                <w:sz w:val="18"/>
              </w:rPr>
              <w:t>1613</w:t>
            </w:r>
            <w:r w:rsidR="00633D05">
              <w:rPr>
                <w:sz w:val="18"/>
              </w:rPr>
              <w:t xml:space="preserve"> </w:t>
            </w:r>
            <w:r w:rsidR="009A05E6" w:rsidRPr="00633D05">
              <w:rPr>
                <w:b/>
                <w:bCs/>
                <w:sz w:val="18"/>
                <w:vertAlign w:val="superscript"/>
              </w:rPr>
              <w:t>8</w:t>
            </w:r>
          </w:p>
        </w:tc>
      </w:tr>
      <w:tr w:rsidR="00C84A5D" w14:paraId="15BB47E7" w14:textId="77777777" w:rsidTr="00EA643D">
        <w:trPr>
          <w:trHeight w:val="250"/>
        </w:trPr>
        <w:tc>
          <w:tcPr>
            <w:tcW w:w="4640" w:type="dxa"/>
            <w:tcBorders>
              <w:top w:val="single" w:sz="4" w:space="0" w:color="000000"/>
              <w:left w:val="single" w:sz="12" w:space="0" w:color="000000"/>
              <w:bottom w:val="single" w:sz="4" w:space="0" w:color="000000"/>
              <w:right w:val="single" w:sz="12" w:space="0" w:color="000000"/>
            </w:tcBorders>
          </w:tcPr>
          <w:p w14:paraId="51406517" w14:textId="77777777" w:rsidR="00B56D50" w:rsidRDefault="001C3C42" w:rsidP="00545EF7">
            <w:pPr>
              <w:spacing w:after="0" w:line="259" w:lineRule="auto"/>
              <w:ind w:left="36" w:right="0" w:firstLine="0"/>
            </w:pPr>
            <w:r>
              <w:rPr>
                <w:sz w:val="18"/>
              </w:rPr>
              <w:t xml:space="preserve">1,2,3,4,5,6,7,8-Octachlorodibenzo-p-dioxin (OCDD)  </w:t>
            </w:r>
          </w:p>
        </w:tc>
        <w:tc>
          <w:tcPr>
            <w:tcW w:w="1061" w:type="dxa"/>
            <w:tcBorders>
              <w:top w:val="single" w:sz="4" w:space="0" w:color="000000"/>
              <w:left w:val="single" w:sz="12" w:space="0" w:color="000000"/>
              <w:bottom w:val="single" w:sz="4" w:space="0" w:color="000000"/>
              <w:right w:val="single" w:sz="12" w:space="0" w:color="000000"/>
            </w:tcBorders>
          </w:tcPr>
          <w:p w14:paraId="2E730D61" w14:textId="30C995A6" w:rsidR="00B56D50" w:rsidRDefault="001C3C42" w:rsidP="00A14FE4">
            <w:pPr>
              <w:spacing w:after="0" w:line="259" w:lineRule="auto"/>
              <w:ind w:left="0" w:right="35" w:firstLine="0"/>
              <w:jc w:val="center"/>
            </w:pPr>
            <w:r>
              <w:rPr>
                <w:sz w:val="18"/>
              </w:rPr>
              <w:t>3268-87-9</w:t>
            </w:r>
          </w:p>
        </w:tc>
        <w:tc>
          <w:tcPr>
            <w:tcW w:w="879" w:type="dxa"/>
            <w:tcBorders>
              <w:top w:val="single" w:sz="4" w:space="0" w:color="000000"/>
              <w:left w:val="single" w:sz="12" w:space="0" w:color="000000"/>
              <w:bottom w:val="single" w:sz="4" w:space="0" w:color="000000"/>
              <w:right w:val="single" w:sz="12" w:space="0" w:color="000000"/>
            </w:tcBorders>
          </w:tcPr>
          <w:p w14:paraId="0ED51CE8" w14:textId="407EDBD2" w:rsidR="00B56D50" w:rsidRDefault="001C3C42" w:rsidP="00A14FE4">
            <w:pPr>
              <w:spacing w:after="0" w:line="259" w:lineRule="auto"/>
              <w:ind w:left="0" w:right="38" w:firstLine="0"/>
              <w:jc w:val="center"/>
            </w:pPr>
            <w:r>
              <w:rPr>
                <w:sz w:val="18"/>
              </w:rPr>
              <w:t>0.050</w:t>
            </w:r>
          </w:p>
        </w:tc>
        <w:tc>
          <w:tcPr>
            <w:tcW w:w="895" w:type="dxa"/>
            <w:tcBorders>
              <w:top w:val="single" w:sz="4" w:space="0" w:color="000000"/>
              <w:left w:val="single" w:sz="12" w:space="0" w:color="000000"/>
              <w:bottom w:val="single" w:sz="4" w:space="0" w:color="000000"/>
              <w:right w:val="single" w:sz="12" w:space="0" w:color="000000"/>
            </w:tcBorders>
          </w:tcPr>
          <w:p w14:paraId="20C29B84" w14:textId="5DC3CAF3" w:rsidR="00B56D50" w:rsidRDefault="001C3C42" w:rsidP="00A14FE4">
            <w:pPr>
              <w:spacing w:after="0" w:line="259" w:lineRule="auto"/>
              <w:ind w:left="46" w:right="0" w:firstLine="0"/>
            </w:pPr>
            <w:r>
              <w:rPr>
                <w:sz w:val="18"/>
              </w:rPr>
              <w:t>ng/L</w:t>
            </w:r>
            <w:r>
              <w:rPr>
                <w:i/>
                <w:sz w:val="18"/>
              </w:rPr>
              <w:t xml:space="preserve"> (ppt)</w:t>
            </w:r>
          </w:p>
        </w:tc>
        <w:tc>
          <w:tcPr>
            <w:tcW w:w="627" w:type="dxa"/>
            <w:tcBorders>
              <w:top w:val="single" w:sz="4" w:space="0" w:color="000000"/>
              <w:left w:val="single" w:sz="12" w:space="0" w:color="000000"/>
              <w:bottom w:val="single" w:sz="4" w:space="0" w:color="000000"/>
              <w:right w:val="single" w:sz="12" w:space="0" w:color="000000"/>
            </w:tcBorders>
          </w:tcPr>
          <w:p w14:paraId="64D4E95F" w14:textId="3B4DA6F1" w:rsidR="00B56D50" w:rsidRDefault="001C3C42" w:rsidP="00A14FE4">
            <w:pPr>
              <w:spacing w:after="0" w:line="259" w:lineRule="auto"/>
              <w:ind w:left="0" w:right="35" w:firstLine="0"/>
              <w:jc w:val="center"/>
            </w:pPr>
            <w:r>
              <w:rPr>
                <w:sz w:val="18"/>
              </w:rPr>
              <w:t>5.0</w:t>
            </w:r>
          </w:p>
        </w:tc>
        <w:tc>
          <w:tcPr>
            <w:tcW w:w="1074" w:type="dxa"/>
            <w:tcBorders>
              <w:top w:val="single" w:sz="4" w:space="0" w:color="000000"/>
              <w:left w:val="single" w:sz="12" w:space="0" w:color="000000"/>
              <w:bottom w:val="single" w:sz="4" w:space="0" w:color="000000"/>
              <w:right w:val="single" w:sz="12" w:space="0" w:color="000000"/>
            </w:tcBorders>
          </w:tcPr>
          <w:p w14:paraId="5709DA38" w14:textId="2D0A3D26" w:rsidR="00B56D50" w:rsidRDefault="001C3C42" w:rsidP="00A14FE4">
            <w:pPr>
              <w:spacing w:after="0" w:line="259" w:lineRule="auto"/>
              <w:ind w:left="101" w:right="0" w:firstLine="0"/>
            </w:pPr>
            <w:r>
              <w:rPr>
                <w:sz w:val="18"/>
              </w:rPr>
              <w:t xml:space="preserve">ng/kg </w:t>
            </w:r>
            <w:r>
              <w:rPr>
                <w:i/>
                <w:sz w:val="18"/>
              </w:rPr>
              <w:t>(ppt)</w:t>
            </w:r>
          </w:p>
        </w:tc>
        <w:tc>
          <w:tcPr>
            <w:tcW w:w="724" w:type="dxa"/>
            <w:tcBorders>
              <w:top w:val="single" w:sz="4" w:space="0" w:color="000000"/>
              <w:left w:val="single" w:sz="12" w:space="0" w:color="000000"/>
              <w:bottom w:val="single" w:sz="4" w:space="0" w:color="000000"/>
              <w:right w:val="single" w:sz="12" w:space="0" w:color="000000"/>
            </w:tcBorders>
            <w:vAlign w:val="center"/>
          </w:tcPr>
          <w:p w14:paraId="30058816" w14:textId="7CD8AD39" w:rsidR="00B56D50" w:rsidRDefault="001C3C42" w:rsidP="00A53A74">
            <w:pPr>
              <w:spacing w:after="0" w:line="259" w:lineRule="auto"/>
              <w:ind w:left="122" w:right="0" w:firstLine="0"/>
              <w:jc w:val="center"/>
            </w:pPr>
            <w:r>
              <w:rPr>
                <w:sz w:val="18"/>
              </w:rPr>
              <w:t>8290</w:t>
            </w:r>
          </w:p>
        </w:tc>
        <w:tc>
          <w:tcPr>
            <w:tcW w:w="720" w:type="dxa"/>
            <w:tcBorders>
              <w:top w:val="single" w:sz="4" w:space="0" w:color="000000"/>
              <w:left w:val="single" w:sz="12" w:space="0" w:color="000000"/>
              <w:bottom w:val="single" w:sz="4" w:space="0" w:color="000000"/>
              <w:right w:val="single" w:sz="12" w:space="0" w:color="000000"/>
            </w:tcBorders>
            <w:vAlign w:val="center"/>
          </w:tcPr>
          <w:p w14:paraId="5F42837D" w14:textId="39F0FBE9" w:rsidR="00B56D50" w:rsidRDefault="001C3C42" w:rsidP="00E27BBE">
            <w:pPr>
              <w:spacing w:after="0" w:line="259" w:lineRule="auto"/>
              <w:ind w:left="84" w:right="0" w:firstLine="0"/>
            </w:pPr>
            <w:r>
              <w:rPr>
                <w:sz w:val="18"/>
              </w:rPr>
              <w:t>1613</w:t>
            </w:r>
            <w:r w:rsidR="00633D05">
              <w:rPr>
                <w:sz w:val="18"/>
              </w:rPr>
              <w:t xml:space="preserve"> </w:t>
            </w:r>
            <w:r w:rsidR="009A05E6" w:rsidRPr="00633D05">
              <w:rPr>
                <w:b/>
                <w:bCs/>
                <w:sz w:val="18"/>
                <w:vertAlign w:val="superscript"/>
              </w:rPr>
              <w:t>8</w:t>
            </w:r>
          </w:p>
        </w:tc>
      </w:tr>
      <w:tr w:rsidR="00C84A5D" w14:paraId="735AAB59" w14:textId="77777777" w:rsidTr="00EA643D">
        <w:trPr>
          <w:trHeight w:val="250"/>
        </w:trPr>
        <w:tc>
          <w:tcPr>
            <w:tcW w:w="4640" w:type="dxa"/>
            <w:tcBorders>
              <w:top w:val="single" w:sz="4" w:space="0" w:color="000000"/>
              <w:left w:val="single" w:sz="12" w:space="0" w:color="000000"/>
              <w:bottom w:val="single" w:sz="4" w:space="0" w:color="000000"/>
              <w:right w:val="single" w:sz="12" w:space="0" w:color="000000"/>
            </w:tcBorders>
          </w:tcPr>
          <w:p w14:paraId="4CC21533" w14:textId="77777777" w:rsidR="00B56D50" w:rsidRDefault="001C3C42" w:rsidP="00545EF7">
            <w:pPr>
              <w:spacing w:after="0" w:line="259" w:lineRule="auto"/>
              <w:ind w:left="36" w:right="0" w:firstLine="0"/>
            </w:pPr>
            <w:r>
              <w:rPr>
                <w:sz w:val="18"/>
              </w:rPr>
              <w:t xml:space="preserve">2,3,7,8-Tetrachlorodibenzofuran (TCDF) </w:t>
            </w:r>
          </w:p>
        </w:tc>
        <w:tc>
          <w:tcPr>
            <w:tcW w:w="1061" w:type="dxa"/>
            <w:tcBorders>
              <w:top w:val="single" w:sz="4" w:space="0" w:color="000000"/>
              <w:left w:val="single" w:sz="12" w:space="0" w:color="000000"/>
              <w:bottom w:val="single" w:sz="4" w:space="0" w:color="000000"/>
              <w:right w:val="single" w:sz="12" w:space="0" w:color="000000"/>
            </w:tcBorders>
          </w:tcPr>
          <w:p w14:paraId="4CB42CC7" w14:textId="34384053" w:rsidR="00B56D50" w:rsidRDefault="001C3C42" w:rsidP="00A14FE4">
            <w:pPr>
              <w:spacing w:after="0" w:line="259" w:lineRule="auto"/>
              <w:ind w:left="0" w:right="35" w:firstLine="0"/>
              <w:jc w:val="center"/>
            </w:pPr>
            <w:r>
              <w:rPr>
                <w:sz w:val="18"/>
              </w:rPr>
              <w:t>51207-31-9</w:t>
            </w:r>
          </w:p>
        </w:tc>
        <w:tc>
          <w:tcPr>
            <w:tcW w:w="879" w:type="dxa"/>
            <w:tcBorders>
              <w:top w:val="single" w:sz="4" w:space="0" w:color="000000"/>
              <w:left w:val="single" w:sz="12" w:space="0" w:color="000000"/>
              <w:bottom w:val="single" w:sz="4" w:space="0" w:color="000000"/>
              <w:right w:val="single" w:sz="12" w:space="0" w:color="000000"/>
            </w:tcBorders>
          </w:tcPr>
          <w:p w14:paraId="3726B3AC" w14:textId="6D08869E" w:rsidR="00B56D50" w:rsidRDefault="001C3C42" w:rsidP="00A14FE4">
            <w:pPr>
              <w:spacing w:after="0" w:line="259" w:lineRule="auto"/>
              <w:ind w:left="0" w:right="38" w:firstLine="0"/>
              <w:jc w:val="center"/>
            </w:pPr>
            <w:r>
              <w:rPr>
                <w:sz w:val="18"/>
              </w:rPr>
              <w:t>0.010</w:t>
            </w:r>
          </w:p>
        </w:tc>
        <w:tc>
          <w:tcPr>
            <w:tcW w:w="895" w:type="dxa"/>
            <w:tcBorders>
              <w:top w:val="single" w:sz="4" w:space="0" w:color="000000"/>
              <w:left w:val="single" w:sz="12" w:space="0" w:color="000000"/>
              <w:bottom w:val="single" w:sz="4" w:space="0" w:color="000000"/>
              <w:right w:val="single" w:sz="12" w:space="0" w:color="000000"/>
            </w:tcBorders>
          </w:tcPr>
          <w:p w14:paraId="62C79E1B" w14:textId="7B214CC3" w:rsidR="00B56D50" w:rsidRDefault="001C3C42" w:rsidP="00A14FE4">
            <w:pPr>
              <w:spacing w:after="0" w:line="259" w:lineRule="auto"/>
              <w:ind w:left="46" w:right="0" w:firstLine="0"/>
            </w:pPr>
            <w:r>
              <w:rPr>
                <w:sz w:val="18"/>
              </w:rPr>
              <w:t>ng/L</w:t>
            </w:r>
            <w:r>
              <w:rPr>
                <w:i/>
                <w:sz w:val="18"/>
              </w:rPr>
              <w:t xml:space="preserve"> (ppt)</w:t>
            </w:r>
          </w:p>
        </w:tc>
        <w:tc>
          <w:tcPr>
            <w:tcW w:w="627" w:type="dxa"/>
            <w:tcBorders>
              <w:top w:val="single" w:sz="4" w:space="0" w:color="000000"/>
              <w:left w:val="single" w:sz="12" w:space="0" w:color="000000"/>
              <w:bottom w:val="single" w:sz="4" w:space="0" w:color="000000"/>
              <w:right w:val="single" w:sz="12" w:space="0" w:color="000000"/>
            </w:tcBorders>
          </w:tcPr>
          <w:p w14:paraId="1F095CBC" w14:textId="478ACE4C" w:rsidR="00B56D50" w:rsidRDefault="001C3C42" w:rsidP="00A14FE4">
            <w:pPr>
              <w:spacing w:after="0" w:line="259" w:lineRule="auto"/>
              <w:ind w:left="0" w:right="35" w:firstLine="0"/>
              <w:jc w:val="center"/>
            </w:pPr>
            <w:r>
              <w:rPr>
                <w:sz w:val="18"/>
              </w:rPr>
              <w:t>1.0</w:t>
            </w:r>
          </w:p>
        </w:tc>
        <w:tc>
          <w:tcPr>
            <w:tcW w:w="1074" w:type="dxa"/>
            <w:tcBorders>
              <w:top w:val="single" w:sz="4" w:space="0" w:color="000000"/>
              <w:left w:val="single" w:sz="12" w:space="0" w:color="000000"/>
              <w:bottom w:val="single" w:sz="4" w:space="0" w:color="000000"/>
              <w:right w:val="single" w:sz="12" w:space="0" w:color="000000"/>
            </w:tcBorders>
          </w:tcPr>
          <w:p w14:paraId="4537537E" w14:textId="33192462" w:rsidR="00B56D50" w:rsidRDefault="001C3C42" w:rsidP="00A14FE4">
            <w:pPr>
              <w:spacing w:after="0" w:line="259" w:lineRule="auto"/>
              <w:ind w:left="101" w:right="0" w:firstLine="0"/>
            </w:pPr>
            <w:r>
              <w:rPr>
                <w:sz w:val="18"/>
              </w:rPr>
              <w:t xml:space="preserve">ng/kg </w:t>
            </w:r>
            <w:r>
              <w:rPr>
                <w:i/>
                <w:sz w:val="18"/>
              </w:rPr>
              <w:t>(ppt)</w:t>
            </w:r>
          </w:p>
        </w:tc>
        <w:tc>
          <w:tcPr>
            <w:tcW w:w="724" w:type="dxa"/>
            <w:tcBorders>
              <w:top w:val="single" w:sz="4" w:space="0" w:color="000000"/>
              <w:left w:val="single" w:sz="12" w:space="0" w:color="000000"/>
              <w:bottom w:val="single" w:sz="4" w:space="0" w:color="000000"/>
              <w:right w:val="single" w:sz="12" w:space="0" w:color="000000"/>
            </w:tcBorders>
            <w:vAlign w:val="center"/>
          </w:tcPr>
          <w:p w14:paraId="768ACF47" w14:textId="66959738" w:rsidR="00B56D50" w:rsidRDefault="001C3C42" w:rsidP="00A53A74">
            <w:pPr>
              <w:spacing w:after="0" w:line="259" w:lineRule="auto"/>
              <w:ind w:left="122" w:right="0" w:firstLine="0"/>
              <w:jc w:val="center"/>
            </w:pPr>
            <w:r>
              <w:rPr>
                <w:sz w:val="18"/>
              </w:rPr>
              <w:t>8290</w:t>
            </w:r>
          </w:p>
        </w:tc>
        <w:tc>
          <w:tcPr>
            <w:tcW w:w="720" w:type="dxa"/>
            <w:tcBorders>
              <w:top w:val="single" w:sz="4" w:space="0" w:color="000000"/>
              <w:left w:val="single" w:sz="12" w:space="0" w:color="000000"/>
              <w:bottom w:val="single" w:sz="4" w:space="0" w:color="000000"/>
              <w:right w:val="single" w:sz="12" w:space="0" w:color="000000"/>
            </w:tcBorders>
            <w:vAlign w:val="center"/>
          </w:tcPr>
          <w:p w14:paraId="463ED413" w14:textId="6CFCE698" w:rsidR="00B56D50" w:rsidRPr="00FA4BA7" w:rsidRDefault="001C3C42" w:rsidP="00E27BBE">
            <w:pPr>
              <w:spacing w:after="0" w:line="259" w:lineRule="auto"/>
              <w:ind w:left="84" w:right="0" w:firstLine="0"/>
              <w:rPr>
                <w:vertAlign w:val="superscript"/>
              </w:rPr>
            </w:pPr>
            <w:r>
              <w:rPr>
                <w:sz w:val="18"/>
              </w:rPr>
              <w:t>1613</w:t>
            </w:r>
            <w:r w:rsidR="00633D05">
              <w:rPr>
                <w:sz w:val="18"/>
              </w:rPr>
              <w:t xml:space="preserve"> </w:t>
            </w:r>
            <w:r w:rsidR="009A05E6" w:rsidRPr="00633D05">
              <w:rPr>
                <w:b/>
                <w:bCs/>
                <w:sz w:val="18"/>
                <w:vertAlign w:val="superscript"/>
              </w:rPr>
              <w:t>8</w:t>
            </w:r>
          </w:p>
        </w:tc>
      </w:tr>
      <w:tr w:rsidR="00C84A5D" w14:paraId="23AD5419" w14:textId="77777777" w:rsidTr="00EA643D">
        <w:trPr>
          <w:trHeight w:val="253"/>
        </w:trPr>
        <w:tc>
          <w:tcPr>
            <w:tcW w:w="4640" w:type="dxa"/>
            <w:tcBorders>
              <w:top w:val="single" w:sz="4" w:space="0" w:color="000000"/>
              <w:left w:val="single" w:sz="12" w:space="0" w:color="000000"/>
              <w:bottom w:val="single" w:sz="4" w:space="0" w:color="000000"/>
              <w:right w:val="single" w:sz="12" w:space="0" w:color="000000"/>
            </w:tcBorders>
          </w:tcPr>
          <w:p w14:paraId="786C7C5A" w14:textId="77777777" w:rsidR="00B56D50" w:rsidRDefault="001C3C42" w:rsidP="00545EF7">
            <w:pPr>
              <w:spacing w:after="0" w:line="259" w:lineRule="auto"/>
              <w:ind w:left="36" w:right="0" w:firstLine="0"/>
            </w:pPr>
            <w:r>
              <w:rPr>
                <w:sz w:val="18"/>
              </w:rPr>
              <w:t>1,2,3,7,8-Pentachlorodibenzofuran (</w:t>
            </w:r>
            <w:proofErr w:type="spellStart"/>
            <w:r>
              <w:rPr>
                <w:sz w:val="18"/>
              </w:rPr>
              <w:t>PeCDF</w:t>
            </w:r>
            <w:proofErr w:type="spellEnd"/>
            <w:r>
              <w:rPr>
                <w:sz w:val="18"/>
              </w:rPr>
              <w:t xml:space="preserve">) </w:t>
            </w:r>
          </w:p>
        </w:tc>
        <w:tc>
          <w:tcPr>
            <w:tcW w:w="1061" w:type="dxa"/>
            <w:tcBorders>
              <w:top w:val="single" w:sz="4" w:space="0" w:color="000000"/>
              <w:left w:val="single" w:sz="12" w:space="0" w:color="000000"/>
              <w:bottom w:val="single" w:sz="4" w:space="0" w:color="000000"/>
              <w:right w:val="single" w:sz="12" w:space="0" w:color="000000"/>
            </w:tcBorders>
          </w:tcPr>
          <w:p w14:paraId="74EB6ED2" w14:textId="13D73476" w:rsidR="00B56D50" w:rsidRDefault="001C3C42" w:rsidP="00A14FE4">
            <w:pPr>
              <w:spacing w:after="0" w:line="259" w:lineRule="auto"/>
              <w:ind w:left="0" w:right="35" w:firstLine="0"/>
              <w:jc w:val="center"/>
            </w:pPr>
            <w:r>
              <w:rPr>
                <w:sz w:val="18"/>
              </w:rPr>
              <w:t>57117-41-6</w:t>
            </w:r>
          </w:p>
        </w:tc>
        <w:tc>
          <w:tcPr>
            <w:tcW w:w="879" w:type="dxa"/>
            <w:tcBorders>
              <w:top w:val="single" w:sz="4" w:space="0" w:color="000000"/>
              <w:left w:val="single" w:sz="12" w:space="0" w:color="000000"/>
              <w:bottom w:val="single" w:sz="4" w:space="0" w:color="000000"/>
              <w:right w:val="single" w:sz="12" w:space="0" w:color="000000"/>
            </w:tcBorders>
          </w:tcPr>
          <w:p w14:paraId="07075E50" w14:textId="420442AC" w:rsidR="00B56D50" w:rsidRDefault="001C3C42" w:rsidP="00A14FE4">
            <w:pPr>
              <w:spacing w:after="0" w:line="259" w:lineRule="auto"/>
              <w:ind w:left="0" w:right="38" w:firstLine="0"/>
              <w:jc w:val="center"/>
            </w:pPr>
            <w:r>
              <w:rPr>
                <w:sz w:val="18"/>
              </w:rPr>
              <w:t>0.010</w:t>
            </w:r>
          </w:p>
        </w:tc>
        <w:tc>
          <w:tcPr>
            <w:tcW w:w="895" w:type="dxa"/>
            <w:tcBorders>
              <w:top w:val="single" w:sz="4" w:space="0" w:color="000000"/>
              <w:left w:val="single" w:sz="12" w:space="0" w:color="000000"/>
              <w:bottom w:val="single" w:sz="4" w:space="0" w:color="000000"/>
              <w:right w:val="single" w:sz="12" w:space="0" w:color="000000"/>
            </w:tcBorders>
          </w:tcPr>
          <w:p w14:paraId="40B9C574" w14:textId="387E95FA" w:rsidR="00B56D50" w:rsidRDefault="001C3C42" w:rsidP="00A14FE4">
            <w:pPr>
              <w:spacing w:after="0" w:line="259" w:lineRule="auto"/>
              <w:ind w:left="46" w:right="0" w:firstLine="0"/>
            </w:pPr>
            <w:r>
              <w:rPr>
                <w:sz w:val="18"/>
              </w:rPr>
              <w:t>ng/L</w:t>
            </w:r>
            <w:r>
              <w:rPr>
                <w:i/>
                <w:sz w:val="18"/>
              </w:rPr>
              <w:t xml:space="preserve"> (ppt)</w:t>
            </w:r>
          </w:p>
        </w:tc>
        <w:tc>
          <w:tcPr>
            <w:tcW w:w="627" w:type="dxa"/>
            <w:tcBorders>
              <w:top w:val="single" w:sz="4" w:space="0" w:color="000000"/>
              <w:left w:val="single" w:sz="12" w:space="0" w:color="000000"/>
              <w:bottom w:val="single" w:sz="4" w:space="0" w:color="000000"/>
              <w:right w:val="single" w:sz="12" w:space="0" w:color="000000"/>
            </w:tcBorders>
          </w:tcPr>
          <w:p w14:paraId="31D8DB4B" w14:textId="6B4C7B53" w:rsidR="00B56D50" w:rsidRDefault="001C3C42" w:rsidP="00A14FE4">
            <w:pPr>
              <w:spacing w:after="0" w:line="259" w:lineRule="auto"/>
              <w:ind w:left="0" w:right="35" w:firstLine="0"/>
              <w:jc w:val="center"/>
            </w:pPr>
            <w:r>
              <w:rPr>
                <w:sz w:val="18"/>
              </w:rPr>
              <w:t>1.0</w:t>
            </w:r>
          </w:p>
        </w:tc>
        <w:tc>
          <w:tcPr>
            <w:tcW w:w="1074" w:type="dxa"/>
            <w:tcBorders>
              <w:top w:val="single" w:sz="4" w:space="0" w:color="000000"/>
              <w:left w:val="single" w:sz="12" w:space="0" w:color="000000"/>
              <w:bottom w:val="single" w:sz="4" w:space="0" w:color="000000"/>
              <w:right w:val="single" w:sz="12" w:space="0" w:color="000000"/>
            </w:tcBorders>
          </w:tcPr>
          <w:p w14:paraId="67619227" w14:textId="70240161" w:rsidR="00B56D50" w:rsidRDefault="001C3C42" w:rsidP="00A14FE4">
            <w:pPr>
              <w:spacing w:after="0" w:line="259" w:lineRule="auto"/>
              <w:ind w:left="101" w:right="0" w:firstLine="0"/>
            </w:pPr>
            <w:r>
              <w:rPr>
                <w:sz w:val="18"/>
              </w:rPr>
              <w:t xml:space="preserve">ng/kg </w:t>
            </w:r>
            <w:r>
              <w:rPr>
                <w:i/>
                <w:sz w:val="18"/>
              </w:rPr>
              <w:t>(ppt)</w:t>
            </w:r>
          </w:p>
        </w:tc>
        <w:tc>
          <w:tcPr>
            <w:tcW w:w="724" w:type="dxa"/>
            <w:tcBorders>
              <w:top w:val="single" w:sz="4" w:space="0" w:color="000000"/>
              <w:left w:val="single" w:sz="12" w:space="0" w:color="000000"/>
              <w:bottom w:val="single" w:sz="4" w:space="0" w:color="000000"/>
              <w:right w:val="single" w:sz="12" w:space="0" w:color="000000"/>
            </w:tcBorders>
            <w:vAlign w:val="center"/>
          </w:tcPr>
          <w:p w14:paraId="2530CE11" w14:textId="3055EB89" w:rsidR="00B56D50" w:rsidRDefault="001C3C42" w:rsidP="00A53A74">
            <w:pPr>
              <w:spacing w:after="0" w:line="259" w:lineRule="auto"/>
              <w:ind w:left="122" w:right="0" w:firstLine="0"/>
              <w:jc w:val="center"/>
            </w:pPr>
            <w:r>
              <w:rPr>
                <w:sz w:val="18"/>
              </w:rPr>
              <w:t>8290</w:t>
            </w:r>
          </w:p>
        </w:tc>
        <w:tc>
          <w:tcPr>
            <w:tcW w:w="720" w:type="dxa"/>
            <w:tcBorders>
              <w:top w:val="single" w:sz="4" w:space="0" w:color="000000"/>
              <w:left w:val="single" w:sz="12" w:space="0" w:color="000000"/>
              <w:bottom w:val="single" w:sz="4" w:space="0" w:color="000000"/>
              <w:right w:val="single" w:sz="12" w:space="0" w:color="000000"/>
            </w:tcBorders>
            <w:vAlign w:val="center"/>
          </w:tcPr>
          <w:p w14:paraId="5C5E2B3B" w14:textId="3D2743F7" w:rsidR="00B56D50" w:rsidRDefault="001C3C42" w:rsidP="00E27BBE">
            <w:pPr>
              <w:spacing w:after="0" w:line="259" w:lineRule="auto"/>
              <w:ind w:left="84" w:right="0" w:firstLine="0"/>
            </w:pPr>
            <w:r>
              <w:rPr>
                <w:sz w:val="18"/>
              </w:rPr>
              <w:t>1613</w:t>
            </w:r>
            <w:r w:rsidR="00633D05">
              <w:rPr>
                <w:sz w:val="18"/>
              </w:rPr>
              <w:t xml:space="preserve"> </w:t>
            </w:r>
            <w:r w:rsidR="009A05E6" w:rsidRPr="00633D05">
              <w:rPr>
                <w:b/>
                <w:bCs/>
                <w:sz w:val="18"/>
                <w:vertAlign w:val="superscript"/>
              </w:rPr>
              <w:t>8</w:t>
            </w:r>
          </w:p>
        </w:tc>
      </w:tr>
      <w:tr w:rsidR="00C84A5D" w14:paraId="63B6B2F8" w14:textId="77777777" w:rsidTr="00EA643D">
        <w:trPr>
          <w:trHeight w:val="250"/>
        </w:trPr>
        <w:tc>
          <w:tcPr>
            <w:tcW w:w="4640" w:type="dxa"/>
            <w:tcBorders>
              <w:top w:val="single" w:sz="4" w:space="0" w:color="000000"/>
              <w:left w:val="single" w:sz="12" w:space="0" w:color="000000"/>
              <w:bottom w:val="single" w:sz="4" w:space="0" w:color="000000"/>
              <w:right w:val="single" w:sz="12" w:space="0" w:color="000000"/>
            </w:tcBorders>
          </w:tcPr>
          <w:p w14:paraId="4B7FF881" w14:textId="77777777" w:rsidR="00B56D50" w:rsidRDefault="001C3C42" w:rsidP="00545EF7">
            <w:pPr>
              <w:spacing w:after="0" w:line="259" w:lineRule="auto"/>
              <w:ind w:left="36" w:right="0" w:firstLine="0"/>
            </w:pPr>
            <w:r>
              <w:rPr>
                <w:sz w:val="18"/>
              </w:rPr>
              <w:t>2,3,4,7,8-Pentachlorodibenzofuran (</w:t>
            </w:r>
            <w:proofErr w:type="spellStart"/>
            <w:r>
              <w:rPr>
                <w:sz w:val="18"/>
              </w:rPr>
              <w:t>PeCDF</w:t>
            </w:r>
            <w:proofErr w:type="spellEnd"/>
            <w:r>
              <w:rPr>
                <w:sz w:val="18"/>
              </w:rPr>
              <w:t xml:space="preserve">)  </w:t>
            </w:r>
          </w:p>
        </w:tc>
        <w:tc>
          <w:tcPr>
            <w:tcW w:w="1061" w:type="dxa"/>
            <w:tcBorders>
              <w:top w:val="single" w:sz="4" w:space="0" w:color="000000"/>
              <w:left w:val="single" w:sz="12" w:space="0" w:color="000000"/>
              <w:bottom w:val="single" w:sz="4" w:space="0" w:color="000000"/>
              <w:right w:val="single" w:sz="12" w:space="0" w:color="000000"/>
            </w:tcBorders>
          </w:tcPr>
          <w:p w14:paraId="076D5A43" w14:textId="226DE909" w:rsidR="00B56D50" w:rsidRDefault="001C3C42" w:rsidP="00A14FE4">
            <w:pPr>
              <w:spacing w:after="0" w:line="259" w:lineRule="auto"/>
              <w:ind w:left="0" w:right="35" w:firstLine="0"/>
              <w:jc w:val="center"/>
            </w:pPr>
            <w:r>
              <w:rPr>
                <w:sz w:val="18"/>
              </w:rPr>
              <w:t>57117-31-4</w:t>
            </w:r>
          </w:p>
        </w:tc>
        <w:tc>
          <w:tcPr>
            <w:tcW w:w="879" w:type="dxa"/>
            <w:tcBorders>
              <w:top w:val="single" w:sz="4" w:space="0" w:color="000000"/>
              <w:left w:val="single" w:sz="12" w:space="0" w:color="000000"/>
              <w:bottom w:val="single" w:sz="4" w:space="0" w:color="000000"/>
              <w:right w:val="single" w:sz="12" w:space="0" w:color="000000"/>
            </w:tcBorders>
          </w:tcPr>
          <w:p w14:paraId="092C7750" w14:textId="6D91BBA2" w:rsidR="00B56D50" w:rsidRDefault="001C3C42" w:rsidP="00A14FE4">
            <w:pPr>
              <w:spacing w:after="0" w:line="259" w:lineRule="auto"/>
              <w:ind w:left="0" w:right="38" w:firstLine="0"/>
              <w:jc w:val="center"/>
            </w:pPr>
            <w:r>
              <w:rPr>
                <w:sz w:val="18"/>
              </w:rPr>
              <w:t>0.010</w:t>
            </w:r>
          </w:p>
        </w:tc>
        <w:tc>
          <w:tcPr>
            <w:tcW w:w="895" w:type="dxa"/>
            <w:tcBorders>
              <w:top w:val="single" w:sz="4" w:space="0" w:color="000000"/>
              <w:left w:val="single" w:sz="12" w:space="0" w:color="000000"/>
              <w:bottom w:val="single" w:sz="4" w:space="0" w:color="000000"/>
              <w:right w:val="single" w:sz="12" w:space="0" w:color="000000"/>
            </w:tcBorders>
          </w:tcPr>
          <w:p w14:paraId="09E9E9AB" w14:textId="0AD82CFE" w:rsidR="00B56D50" w:rsidRDefault="001C3C42" w:rsidP="00A14FE4">
            <w:pPr>
              <w:spacing w:after="0" w:line="259" w:lineRule="auto"/>
              <w:ind w:left="46" w:right="0" w:firstLine="0"/>
            </w:pPr>
            <w:r>
              <w:rPr>
                <w:sz w:val="18"/>
              </w:rPr>
              <w:t>ng/L</w:t>
            </w:r>
            <w:r>
              <w:rPr>
                <w:i/>
                <w:sz w:val="18"/>
              </w:rPr>
              <w:t xml:space="preserve"> (ppt)</w:t>
            </w:r>
          </w:p>
        </w:tc>
        <w:tc>
          <w:tcPr>
            <w:tcW w:w="627" w:type="dxa"/>
            <w:tcBorders>
              <w:top w:val="single" w:sz="4" w:space="0" w:color="000000"/>
              <w:left w:val="single" w:sz="12" w:space="0" w:color="000000"/>
              <w:bottom w:val="single" w:sz="4" w:space="0" w:color="000000"/>
              <w:right w:val="single" w:sz="12" w:space="0" w:color="000000"/>
            </w:tcBorders>
          </w:tcPr>
          <w:p w14:paraId="6DB60209" w14:textId="2242B88F" w:rsidR="00B56D50" w:rsidRDefault="001C3C42" w:rsidP="00A14FE4">
            <w:pPr>
              <w:spacing w:after="0" w:line="259" w:lineRule="auto"/>
              <w:ind w:left="0" w:right="35" w:firstLine="0"/>
              <w:jc w:val="center"/>
            </w:pPr>
            <w:r>
              <w:rPr>
                <w:sz w:val="18"/>
              </w:rPr>
              <w:t>1.0</w:t>
            </w:r>
          </w:p>
        </w:tc>
        <w:tc>
          <w:tcPr>
            <w:tcW w:w="1074" w:type="dxa"/>
            <w:tcBorders>
              <w:top w:val="single" w:sz="4" w:space="0" w:color="000000"/>
              <w:left w:val="single" w:sz="12" w:space="0" w:color="000000"/>
              <w:bottom w:val="single" w:sz="4" w:space="0" w:color="000000"/>
              <w:right w:val="single" w:sz="12" w:space="0" w:color="000000"/>
            </w:tcBorders>
          </w:tcPr>
          <w:p w14:paraId="7A7906F5" w14:textId="74AF06D6" w:rsidR="00B56D50" w:rsidRDefault="001C3C42" w:rsidP="00A14FE4">
            <w:pPr>
              <w:spacing w:after="0" w:line="259" w:lineRule="auto"/>
              <w:ind w:left="101" w:right="0" w:firstLine="0"/>
            </w:pPr>
            <w:r>
              <w:rPr>
                <w:sz w:val="18"/>
              </w:rPr>
              <w:t xml:space="preserve">ng/kg </w:t>
            </w:r>
            <w:r>
              <w:rPr>
                <w:i/>
                <w:sz w:val="18"/>
              </w:rPr>
              <w:t>(ppt)</w:t>
            </w:r>
          </w:p>
        </w:tc>
        <w:tc>
          <w:tcPr>
            <w:tcW w:w="724" w:type="dxa"/>
            <w:tcBorders>
              <w:top w:val="single" w:sz="4" w:space="0" w:color="000000"/>
              <w:left w:val="single" w:sz="12" w:space="0" w:color="000000"/>
              <w:bottom w:val="single" w:sz="4" w:space="0" w:color="000000"/>
              <w:right w:val="single" w:sz="12" w:space="0" w:color="000000"/>
            </w:tcBorders>
            <w:vAlign w:val="center"/>
          </w:tcPr>
          <w:p w14:paraId="100CD03B" w14:textId="79A6251E" w:rsidR="00B56D50" w:rsidRDefault="001C3C42" w:rsidP="00A53A74">
            <w:pPr>
              <w:spacing w:after="0" w:line="259" w:lineRule="auto"/>
              <w:ind w:left="122" w:right="0" w:firstLine="0"/>
              <w:jc w:val="center"/>
            </w:pPr>
            <w:r>
              <w:rPr>
                <w:sz w:val="18"/>
              </w:rPr>
              <w:t>8290</w:t>
            </w:r>
          </w:p>
        </w:tc>
        <w:tc>
          <w:tcPr>
            <w:tcW w:w="720" w:type="dxa"/>
            <w:tcBorders>
              <w:top w:val="single" w:sz="4" w:space="0" w:color="000000"/>
              <w:left w:val="single" w:sz="12" w:space="0" w:color="000000"/>
              <w:bottom w:val="single" w:sz="4" w:space="0" w:color="000000"/>
              <w:right w:val="single" w:sz="12" w:space="0" w:color="000000"/>
            </w:tcBorders>
            <w:vAlign w:val="center"/>
          </w:tcPr>
          <w:p w14:paraId="569D1836" w14:textId="26672031" w:rsidR="00B56D50" w:rsidRDefault="001C3C42" w:rsidP="00E27BBE">
            <w:pPr>
              <w:spacing w:after="0" w:line="259" w:lineRule="auto"/>
              <w:ind w:left="84" w:right="0" w:firstLine="0"/>
            </w:pPr>
            <w:r>
              <w:rPr>
                <w:sz w:val="18"/>
              </w:rPr>
              <w:t>1613</w:t>
            </w:r>
            <w:r w:rsidR="00633D05">
              <w:rPr>
                <w:sz w:val="18"/>
              </w:rPr>
              <w:t xml:space="preserve"> </w:t>
            </w:r>
            <w:r w:rsidR="009A05E6" w:rsidRPr="00633D05">
              <w:rPr>
                <w:b/>
                <w:bCs/>
                <w:sz w:val="18"/>
                <w:vertAlign w:val="superscript"/>
              </w:rPr>
              <w:t>8</w:t>
            </w:r>
          </w:p>
        </w:tc>
      </w:tr>
      <w:tr w:rsidR="00C84A5D" w14:paraId="09BDFB2F" w14:textId="77777777" w:rsidTr="00EA643D">
        <w:trPr>
          <w:trHeight w:val="250"/>
        </w:trPr>
        <w:tc>
          <w:tcPr>
            <w:tcW w:w="4640" w:type="dxa"/>
            <w:tcBorders>
              <w:top w:val="single" w:sz="4" w:space="0" w:color="000000"/>
              <w:left w:val="single" w:sz="12" w:space="0" w:color="000000"/>
              <w:bottom w:val="single" w:sz="4" w:space="0" w:color="000000"/>
              <w:right w:val="single" w:sz="12" w:space="0" w:color="000000"/>
            </w:tcBorders>
          </w:tcPr>
          <w:p w14:paraId="72FCCEC0" w14:textId="77777777" w:rsidR="00B56D50" w:rsidRDefault="001C3C42" w:rsidP="00545EF7">
            <w:pPr>
              <w:spacing w:after="0" w:line="259" w:lineRule="auto"/>
              <w:ind w:left="36" w:right="0" w:firstLine="0"/>
            </w:pPr>
            <w:r>
              <w:rPr>
                <w:sz w:val="18"/>
              </w:rPr>
              <w:t>1,2,3,4,7,8-Hexachlorodibenzofuran (</w:t>
            </w:r>
            <w:proofErr w:type="spellStart"/>
            <w:r>
              <w:rPr>
                <w:sz w:val="18"/>
              </w:rPr>
              <w:t>HxCDF</w:t>
            </w:r>
            <w:proofErr w:type="spellEnd"/>
            <w:r>
              <w:rPr>
                <w:sz w:val="18"/>
              </w:rPr>
              <w:t xml:space="preserve">)  </w:t>
            </w:r>
          </w:p>
        </w:tc>
        <w:tc>
          <w:tcPr>
            <w:tcW w:w="1061" w:type="dxa"/>
            <w:tcBorders>
              <w:top w:val="single" w:sz="4" w:space="0" w:color="000000"/>
              <w:left w:val="single" w:sz="12" w:space="0" w:color="000000"/>
              <w:bottom w:val="single" w:sz="4" w:space="0" w:color="000000"/>
              <w:right w:val="single" w:sz="12" w:space="0" w:color="000000"/>
            </w:tcBorders>
          </w:tcPr>
          <w:p w14:paraId="679482D9" w14:textId="4FAB36F8" w:rsidR="00B56D50" w:rsidRDefault="001C3C42" w:rsidP="00A14FE4">
            <w:pPr>
              <w:spacing w:after="0" w:line="259" w:lineRule="auto"/>
              <w:ind w:left="0" w:right="35" w:firstLine="0"/>
              <w:jc w:val="center"/>
            </w:pPr>
            <w:r>
              <w:rPr>
                <w:sz w:val="18"/>
              </w:rPr>
              <w:t>70648-26-9</w:t>
            </w:r>
          </w:p>
        </w:tc>
        <w:tc>
          <w:tcPr>
            <w:tcW w:w="879" w:type="dxa"/>
            <w:tcBorders>
              <w:top w:val="single" w:sz="4" w:space="0" w:color="000000"/>
              <w:left w:val="single" w:sz="12" w:space="0" w:color="000000"/>
              <w:bottom w:val="single" w:sz="4" w:space="0" w:color="000000"/>
              <w:right w:val="single" w:sz="12" w:space="0" w:color="000000"/>
            </w:tcBorders>
          </w:tcPr>
          <w:p w14:paraId="476CBCA3" w14:textId="7668AC92" w:rsidR="00B56D50" w:rsidRDefault="001C3C42" w:rsidP="00A14FE4">
            <w:pPr>
              <w:spacing w:after="0" w:line="259" w:lineRule="auto"/>
              <w:ind w:left="0" w:right="38" w:firstLine="0"/>
              <w:jc w:val="center"/>
            </w:pPr>
            <w:r>
              <w:rPr>
                <w:sz w:val="18"/>
              </w:rPr>
              <w:t>0.025</w:t>
            </w:r>
          </w:p>
        </w:tc>
        <w:tc>
          <w:tcPr>
            <w:tcW w:w="895" w:type="dxa"/>
            <w:tcBorders>
              <w:top w:val="single" w:sz="4" w:space="0" w:color="000000"/>
              <w:left w:val="single" w:sz="12" w:space="0" w:color="000000"/>
              <w:bottom w:val="single" w:sz="4" w:space="0" w:color="000000"/>
              <w:right w:val="single" w:sz="12" w:space="0" w:color="000000"/>
            </w:tcBorders>
          </w:tcPr>
          <w:p w14:paraId="318D9215" w14:textId="28B14D22" w:rsidR="00B56D50" w:rsidRDefault="001C3C42" w:rsidP="00A14FE4">
            <w:pPr>
              <w:spacing w:after="0" w:line="259" w:lineRule="auto"/>
              <w:ind w:left="46" w:right="0" w:firstLine="0"/>
            </w:pPr>
            <w:r>
              <w:rPr>
                <w:sz w:val="18"/>
              </w:rPr>
              <w:t>ng/L</w:t>
            </w:r>
            <w:r>
              <w:rPr>
                <w:i/>
                <w:sz w:val="18"/>
              </w:rPr>
              <w:t xml:space="preserve"> (ppt)</w:t>
            </w:r>
          </w:p>
        </w:tc>
        <w:tc>
          <w:tcPr>
            <w:tcW w:w="627" w:type="dxa"/>
            <w:tcBorders>
              <w:top w:val="single" w:sz="4" w:space="0" w:color="000000"/>
              <w:left w:val="single" w:sz="12" w:space="0" w:color="000000"/>
              <w:bottom w:val="single" w:sz="4" w:space="0" w:color="000000"/>
              <w:right w:val="single" w:sz="12" w:space="0" w:color="000000"/>
            </w:tcBorders>
          </w:tcPr>
          <w:p w14:paraId="1F29F371" w14:textId="34E8E100" w:rsidR="00B56D50" w:rsidRDefault="001C3C42" w:rsidP="00A14FE4">
            <w:pPr>
              <w:spacing w:after="0" w:line="259" w:lineRule="auto"/>
              <w:ind w:left="0" w:right="35" w:firstLine="0"/>
              <w:jc w:val="center"/>
            </w:pPr>
            <w:r>
              <w:rPr>
                <w:sz w:val="18"/>
              </w:rPr>
              <w:t>2.5</w:t>
            </w:r>
          </w:p>
        </w:tc>
        <w:tc>
          <w:tcPr>
            <w:tcW w:w="1074" w:type="dxa"/>
            <w:tcBorders>
              <w:top w:val="single" w:sz="4" w:space="0" w:color="000000"/>
              <w:left w:val="single" w:sz="12" w:space="0" w:color="000000"/>
              <w:bottom w:val="single" w:sz="4" w:space="0" w:color="000000"/>
              <w:right w:val="single" w:sz="12" w:space="0" w:color="000000"/>
            </w:tcBorders>
          </w:tcPr>
          <w:p w14:paraId="276CF84A" w14:textId="650C9A0F" w:rsidR="00B56D50" w:rsidRDefault="001C3C42" w:rsidP="00A14FE4">
            <w:pPr>
              <w:spacing w:after="0" w:line="259" w:lineRule="auto"/>
              <w:ind w:left="101" w:right="0" w:firstLine="0"/>
            </w:pPr>
            <w:r>
              <w:rPr>
                <w:sz w:val="18"/>
              </w:rPr>
              <w:t xml:space="preserve">ng/kg </w:t>
            </w:r>
            <w:r>
              <w:rPr>
                <w:i/>
                <w:sz w:val="18"/>
              </w:rPr>
              <w:t>(ppt)</w:t>
            </w:r>
          </w:p>
        </w:tc>
        <w:tc>
          <w:tcPr>
            <w:tcW w:w="724" w:type="dxa"/>
            <w:tcBorders>
              <w:top w:val="single" w:sz="4" w:space="0" w:color="000000"/>
              <w:left w:val="single" w:sz="12" w:space="0" w:color="000000"/>
              <w:bottom w:val="single" w:sz="4" w:space="0" w:color="000000"/>
              <w:right w:val="single" w:sz="12" w:space="0" w:color="000000"/>
            </w:tcBorders>
            <w:vAlign w:val="center"/>
          </w:tcPr>
          <w:p w14:paraId="1A7DF83D" w14:textId="2F7F2238" w:rsidR="00B56D50" w:rsidRDefault="001C3C42" w:rsidP="00A53A74">
            <w:pPr>
              <w:spacing w:after="0" w:line="259" w:lineRule="auto"/>
              <w:ind w:left="122" w:right="0" w:firstLine="0"/>
              <w:jc w:val="center"/>
            </w:pPr>
            <w:r>
              <w:rPr>
                <w:sz w:val="18"/>
              </w:rPr>
              <w:t>8290</w:t>
            </w:r>
          </w:p>
        </w:tc>
        <w:tc>
          <w:tcPr>
            <w:tcW w:w="720" w:type="dxa"/>
            <w:tcBorders>
              <w:top w:val="single" w:sz="4" w:space="0" w:color="000000"/>
              <w:left w:val="single" w:sz="12" w:space="0" w:color="000000"/>
              <w:bottom w:val="single" w:sz="4" w:space="0" w:color="000000"/>
              <w:right w:val="single" w:sz="12" w:space="0" w:color="000000"/>
            </w:tcBorders>
            <w:vAlign w:val="center"/>
          </w:tcPr>
          <w:p w14:paraId="6DA90F54" w14:textId="5D4AB9E3" w:rsidR="00B56D50" w:rsidRDefault="001C3C42" w:rsidP="00E27BBE">
            <w:pPr>
              <w:spacing w:after="0" w:line="259" w:lineRule="auto"/>
              <w:ind w:left="84" w:right="0" w:firstLine="0"/>
            </w:pPr>
            <w:r>
              <w:rPr>
                <w:sz w:val="18"/>
              </w:rPr>
              <w:t>1613</w:t>
            </w:r>
            <w:r w:rsidR="00633D05">
              <w:rPr>
                <w:sz w:val="18"/>
              </w:rPr>
              <w:t xml:space="preserve"> </w:t>
            </w:r>
            <w:r w:rsidR="009A05E6" w:rsidRPr="00633D05">
              <w:rPr>
                <w:b/>
                <w:bCs/>
                <w:sz w:val="18"/>
                <w:vertAlign w:val="superscript"/>
              </w:rPr>
              <w:t>8</w:t>
            </w:r>
          </w:p>
        </w:tc>
      </w:tr>
      <w:tr w:rsidR="00C84A5D" w14:paraId="5E624516" w14:textId="77777777" w:rsidTr="00EA643D">
        <w:trPr>
          <w:trHeight w:val="250"/>
        </w:trPr>
        <w:tc>
          <w:tcPr>
            <w:tcW w:w="4640" w:type="dxa"/>
            <w:tcBorders>
              <w:top w:val="single" w:sz="4" w:space="0" w:color="000000"/>
              <w:left w:val="single" w:sz="12" w:space="0" w:color="000000"/>
              <w:bottom w:val="single" w:sz="4" w:space="0" w:color="000000"/>
              <w:right w:val="single" w:sz="12" w:space="0" w:color="000000"/>
            </w:tcBorders>
          </w:tcPr>
          <w:p w14:paraId="585A02AE" w14:textId="77777777" w:rsidR="00B56D50" w:rsidRDefault="001C3C42" w:rsidP="00545EF7">
            <w:pPr>
              <w:spacing w:after="0" w:line="259" w:lineRule="auto"/>
              <w:ind w:left="36" w:right="0" w:firstLine="0"/>
            </w:pPr>
            <w:r>
              <w:rPr>
                <w:sz w:val="18"/>
              </w:rPr>
              <w:t>1,2,3,6,7,8-Hexachlorodibenzofuran (</w:t>
            </w:r>
            <w:proofErr w:type="spellStart"/>
            <w:r>
              <w:rPr>
                <w:sz w:val="18"/>
              </w:rPr>
              <w:t>HxCDF</w:t>
            </w:r>
            <w:proofErr w:type="spellEnd"/>
            <w:r>
              <w:rPr>
                <w:sz w:val="18"/>
              </w:rPr>
              <w:t xml:space="preserve">) </w:t>
            </w:r>
          </w:p>
        </w:tc>
        <w:tc>
          <w:tcPr>
            <w:tcW w:w="1061" w:type="dxa"/>
            <w:tcBorders>
              <w:top w:val="single" w:sz="4" w:space="0" w:color="000000"/>
              <w:left w:val="single" w:sz="12" w:space="0" w:color="000000"/>
              <w:bottom w:val="single" w:sz="4" w:space="0" w:color="000000"/>
              <w:right w:val="single" w:sz="12" w:space="0" w:color="000000"/>
            </w:tcBorders>
          </w:tcPr>
          <w:p w14:paraId="1025A76E" w14:textId="1A4A9E85" w:rsidR="00B56D50" w:rsidRDefault="001C3C42" w:rsidP="00A14FE4">
            <w:pPr>
              <w:spacing w:after="0" w:line="259" w:lineRule="auto"/>
              <w:ind w:left="0" w:right="35" w:firstLine="0"/>
              <w:jc w:val="center"/>
            </w:pPr>
            <w:r>
              <w:rPr>
                <w:sz w:val="18"/>
              </w:rPr>
              <w:t>57117-44-9</w:t>
            </w:r>
          </w:p>
        </w:tc>
        <w:tc>
          <w:tcPr>
            <w:tcW w:w="879" w:type="dxa"/>
            <w:tcBorders>
              <w:top w:val="single" w:sz="4" w:space="0" w:color="000000"/>
              <w:left w:val="single" w:sz="12" w:space="0" w:color="000000"/>
              <w:bottom w:val="single" w:sz="4" w:space="0" w:color="000000"/>
              <w:right w:val="single" w:sz="12" w:space="0" w:color="000000"/>
            </w:tcBorders>
          </w:tcPr>
          <w:p w14:paraId="0F94CEC0" w14:textId="3BB02218" w:rsidR="00B56D50" w:rsidRDefault="001C3C42" w:rsidP="00A14FE4">
            <w:pPr>
              <w:spacing w:after="0" w:line="259" w:lineRule="auto"/>
              <w:ind w:left="0" w:right="38" w:firstLine="0"/>
              <w:jc w:val="center"/>
            </w:pPr>
            <w:r>
              <w:rPr>
                <w:sz w:val="18"/>
              </w:rPr>
              <w:t>0.025</w:t>
            </w:r>
          </w:p>
        </w:tc>
        <w:tc>
          <w:tcPr>
            <w:tcW w:w="895" w:type="dxa"/>
            <w:tcBorders>
              <w:top w:val="single" w:sz="4" w:space="0" w:color="000000"/>
              <w:left w:val="single" w:sz="12" w:space="0" w:color="000000"/>
              <w:bottom w:val="single" w:sz="4" w:space="0" w:color="000000"/>
              <w:right w:val="single" w:sz="12" w:space="0" w:color="000000"/>
            </w:tcBorders>
          </w:tcPr>
          <w:p w14:paraId="5ACC6088" w14:textId="6F18BB06" w:rsidR="00B56D50" w:rsidRDefault="001C3C42" w:rsidP="00A14FE4">
            <w:pPr>
              <w:spacing w:after="0" w:line="259" w:lineRule="auto"/>
              <w:ind w:left="46" w:right="0" w:firstLine="0"/>
            </w:pPr>
            <w:r>
              <w:rPr>
                <w:sz w:val="18"/>
              </w:rPr>
              <w:t>ng/L</w:t>
            </w:r>
            <w:r>
              <w:rPr>
                <w:i/>
                <w:sz w:val="18"/>
              </w:rPr>
              <w:t xml:space="preserve"> (ppt)</w:t>
            </w:r>
          </w:p>
        </w:tc>
        <w:tc>
          <w:tcPr>
            <w:tcW w:w="627" w:type="dxa"/>
            <w:tcBorders>
              <w:top w:val="single" w:sz="4" w:space="0" w:color="000000"/>
              <w:left w:val="single" w:sz="12" w:space="0" w:color="000000"/>
              <w:bottom w:val="single" w:sz="4" w:space="0" w:color="000000"/>
              <w:right w:val="single" w:sz="12" w:space="0" w:color="000000"/>
            </w:tcBorders>
          </w:tcPr>
          <w:p w14:paraId="6DA037DE" w14:textId="22CBB9E3" w:rsidR="00B56D50" w:rsidRDefault="001C3C42" w:rsidP="00A14FE4">
            <w:pPr>
              <w:spacing w:after="0" w:line="259" w:lineRule="auto"/>
              <w:ind w:left="0" w:right="35" w:firstLine="0"/>
              <w:jc w:val="center"/>
            </w:pPr>
            <w:r>
              <w:rPr>
                <w:sz w:val="18"/>
              </w:rPr>
              <w:t>2.5</w:t>
            </w:r>
          </w:p>
        </w:tc>
        <w:tc>
          <w:tcPr>
            <w:tcW w:w="1074" w:type="dxa"/>
            <w:tcBorders>
              <w:top w:val="single" w:sz="4" w:space="0" w:color="000000"/>
              <w:left w:val="single" w:sz="12" w:space="0" w:color="000000"/>
              <w:bottom w:val="single" w:sz="4" w:space="0" w:color="000000"/>
              <w:right w:val="single" w:sz="12" w:space="0" w:color="000000"/>
            </w:tcBorders>
          </w:tcPr>
          <w:p w14:paraId="368C2028" w14:textId="7CA6F1BC" w:rsidR="00B56D50" w:rsidRDefault="001C3C42" w:rsidP="00A14FE4">
            <w:pPr>
              <w:spacing w:after="0" w:line="259" w:lineRule="auto"/>
              <w:ind w:left="101" w:right="0" w:firstLine="0"/>
            </w:pPr>
            <w:r>
              <w:rPr>
                <w:sz w:val="18"/>
              </w:rPr>
              <w:t xml:space="preserve">ng/kg </w:t>
            </w:r>
            <w:r>
              <w:rPr>
                <w:i/>
                <w:sz w:val="18"/>
              </w:rPr>
              <w:t>(ppt)</w:t>
            </w:r>
          </w:p>
        </w:tc>
        <w:tc>
          <w:tcPr>
            <w:tcW w:w="724" w:type="dxa"/>
            <w:tcBorders>
              <w:top w:val="single" w:sz="4" w:space="0" w:color="000000"/>
              <w:left w:val="single" w:sz="12" w:space="0" w:color="000000"/>
              <w:bottom w:val="single" w:sz="4" w:space="0" w:color="000000"/>
              <w:right w:val="single" w:sz="12" w:space="0" w:color="000000"/>
            </w:tcBorders>
            <w:vAlign w:val="center"/>
          </w:tcPr>
          <w:p w14:paraId="38BA7693" w14:textId="2B94A2F3" w:rsidR="00B56D50" w:rsidRDefault="001C3C42" w:rsidP="00A53A74">
            <w:pPr>
              <w:spacing w:after="0" w:line="259" w:lineRule="auto"/>
              <w:ind w:left="122" w:right="0" w:firstLine="0"/>
              <w:jc w:val="center"/>
            </w:pPr>
            <w:r>
              <w:rPr>
                <w:sz w:val="18"/>
              </w:rPr>
              <w:t>8290</w:t>
            </w:r>
          </w:p>
        </w:tc>
        <w:tc>
          <w:tcPr>
            <w:tcW w:w="720" w:type="dxa"/>
            <w:tcBorders>
              <w:top w:val="single" w:sz="4" w:space="0" w:color="000000"/>
              <w:left w:val="single" w:sz="12" w:space="0" w:color="000000"/>
              <w:bottom w:val="single" w:sz="4" w:space="0" w:color="000000"/>
              <w:right w:val="single" w:sz="12" w:space="0" w:color="000000"/>
            </w:tcBorders>
            <w:vAlign w:val="center"/>
          </w:tcPr>
          <w:p w14:paraId="6463A949" w14:textId="16CA1B40" w:rsidR="00B56D50" w:rsidRDefault="001C3C42" w:rsidP="00E27BBE">
            <w:pPr>
              <w:spacing w:after="0" w:line="259" w:lineRule="auto"/>
              <w:ind w:left="84" w:right="0" w:firstLine="0"/>
            </w:pPr>
            <w:r>
              <w:rPr>
                <w:sz w:val="18"/>
              </w:rPr>
              <w:t>1613</w:t>
            </w:r>
            <w:r w:rsidR="00633D05">
              <w:rPr>
                <w:sz w:val="18"/>
              </w:rPr>
              <w:t xml:space="preserve"> </w:t>
            </w:r>
            <w:r w:rsidR="009A05E6" w:rsidRPr="00633D05">
              <w:rPr>
                <w:b/>
                <w:bCs/>
                <w:sz w:val="18"/>
                <w:vertAlign w:val="superscript"/>
              </w:rPr>
              <w:t>8</w:t>
            </w:r>
          </w:p>
        </w:tc>
      </w:tr>
      <w:tr w:rsidR="00C84A5D" w14:paraId="068DA0D8" w14:textId="77777777" w:rsidTr="00EA643D">
        <w:trPr>
          <w:trHeight w:val="250"/>
        </w:trPr>
        <w:tc>
          <w:tcPr>
            <w:tcW w:w="4640" w:type="dxa"/>
            <w:tcBorders>
              <w:top w:val="single" w:sz="4" w:space="0" w:color="000000"/>
              <w:left w:val="single" w:sz="12" w:space="0" w:color="000000"/>
              <w:bottom w:val="single" w:sz="4" w:space="0" w:color="000000"/>
              <w:right w:val="single" w:sz="12" w:space="0" w:color="000000"/>
            </w:tcBorders>
          </w:tcPr>
          <w:p w14:paraId="7B014896" w14:textId="77777777" w:rsidR="00B56D50" w:rsidRDefault="001C3C42" w:rsidP="00545EF7">
            <w:pPr>
              <w:spacing w:after="0" w:line="259" w:lineRule="auto"/>
              <w:ind w:left="36" w:right="0" w:firstLine="0"/>
            </w:pPr>
            <w:r>
              <w:rPr>
                <w:sz w:val="18"/>
              </w:rPr>
              <w:t>1,2,3,7,8,9-Hexachlorodibenzofuran (</w:t>
            </w:r>
            <w:proofErr w:type="spellStart"/>
            <w:r>
              <w:rPr>
                <w:sz w:val="18"/>
              </w:rPr>
              <w:t>HxCDF</w:t>
            </w:r>
            <w:proofErr w:type="spellEnd"/>
            <w:r>
              <w:rPr>
                <w:sz w:val="18"/>
              </w:rPr>
              <w:t xml:space="preserve">) </w:t>
            </w:r>
          </w:p>
        </w:tc>
        <w:tc>
          <w:tcPr>
            <w:tcW w:w="1061" w:type="dxa"/>
            <w:tcBorders>
              <w:top w:val="single" w:sz="4" w:space="0" w:color="000000"/>
              <w:left w:val="single" w:sz="12" w:space="0" w:color="000000"/>
              <w:bottom w:val="single" w:sz="4" w:space="0" w:color="000000"/>
              <w:right w:val="single" w:sz="12" w:space="0" w:color="000000"/>
            </w:tcBorders>
          </w:tcPr>
          <w:p w14:paraId="7B4A9C66" w14:textId="415361DA" w:rsidR="00B56D50" w:rsidRDefault="001C3C42" w:rsidP="00A14FE4">
            <w:pPr>
              <w:spacing w:after="0" w:line="259" w:lineRule="auto"/>
              <w:ind w:left="0" w:right="35" w:firstLine="0"/>
              <w:jc w:val="center"/>
            </w:pPr>
            <w:r>
              <w:rPr>
                <w:sz w:val="18"/>
              </w:rPr>
              <w:t>72918-21-9</w:t>
            </w:r>
          </w:p>
        </w:tc>
        <w:tc>
          <w:tcPr>
            <w:tcW w:w="879" w:type="dxa"/>
            <w:tcBorders>
              <w:top w:val="single" w:sz="4" w:space="0" w:color="000000"/>
              <w:left w:val="single" w:sz="12" w:space="0" w:color="000000"/>
              <w:bottom w:val="single" w:sz="4" w:space="0" w:color="000000"/>
              <w:right w:val="single" w:sz="12" w:space="0" w:color="000000"/>
            </w:tcBorders>
          </w:tcPr>
          <w:p w14:paraId="785EE345" w14:textId="36DDB4E7" w:rsidR="00B56D50" w:rsidRDefault="001C3C42" w:rsidP="00A14FE4">
            <w:pPr>
              <w:spacing w:after="0" w:line="259" w:lineRule="auto"/>
              <w:ind w:left="0" w:right="38" w:firstLine="0"/>
              <w:jc w:val="center"/>
            </w:pPr>
            <w:r>
              <w:rPr>
                <w:sz w:val="18"/>
              </w:rPr>
              <w:t>0.025</w:t>
            </w:r>
          </w:p>
        </w:tc>
        <w:tc>
          <w:tcPr>
            <w:tcW w:w="895" w:type="dxa"/>
            <w:tcBorders>
              <w:top w:val="single" w:sz="4" w:space="0" w:color="000000"/>
              <w:left w:val="single" w:sz="12" w:space="0" w:color="000000"/>
              <w:bottom w:val="single" w:sz="4" w:space="0" w:color="000000"/>
              <w:right w:val="single" w:sz="12" w:space="0" w:color="000000"/>
            </w:tcBorders>
          </w:tcPr>
          <w:p w14:paraId="6B41D5C2" w14:textId="7271E39F" w:rsidR="00B56D50" w:rsidRDefault="001C3C42" w:rsidP="00A14FE4">
            <w:pPr>
              <w:spacing w:after="0" w:line="259" w:lineRule="auto"/>
              <w:ind w:left="46" w:right="0" w:firstLine="0"/>
            </w:pPr>
            <w:r>
              <w:rPr>
                <w:sz w:val="18"/>
              </w:rPr>
              <w:t>ng/L</w:t>
            </w:r>
            <w:r>
              <w:rPr>
                <w:i/>
                <w:sz w:val="18"/>
              </w:rPr>
              <w:t xml:space="preserve"> (ppt)</w:t>
            </w:r>
          </w:p>
        </w:tc>
        <w:tc>
          <w:tcPr>
            <w:tcW w:w="627" w:type="dxa"/>
            <w:tcBorders>
              <w:top w:val="single" w:sz="4" w:space="0" w:color="000000"/>
              <w:left w:val="single" w:sz="12" w:space="0" w:color="000000"/>
              <w:bottom w:val="single" w:sz="4" w:space="0" w:color="000000"/>
              <w:right w:val="single" w:sz="12" w:space="0" w:color="000000"/>
            </w:tcBorders>
          </w:tcPr>
          <w:p w14:paraId="57B271E1" w14:textId="16364592" w:rsidR="00B56D50" w:rsidRDefault="001C3C42" w:rsidP="00A14FE4">
            <w:pPr>
              <w:spacing w:after="0" w:line="259" w:lineRule="auto"/>
              <w:ind w:left="0" w:right="35" w:firstLine="0"/>
              <w:jc w:val="center"/>
            </w:pPr>
            <w:r>
              <w:rPr>
                <w:sz w:val="18"/>
              </w:rPr>
              <w:t>2.5</w:t>
            </w:r>
          </w:p>
        </w:tc>
        <w:tc>
          <w:tcPr>
            <w:tcW w:w="1074" w:type="dxa"/>
            <w:tcBorders>
              <w:top w:val="single" w:sz="4" w:space="0" w:color="000000"/>
              <w:left w:val="single" w:sz="12" w:space="0" w:color="000000"/>
              <w:bottom w:val="single" w:sz="4" w:space="0" w:color="000000"/>
              <w:right w:val="single" w:sz="12" w:space="0" w:color="000000"/>
            </w:tcBorders>
          </w:tcPr>
          <w:p w14:paraId="73C7AF0F" w14:textId="3B17C0CA" w:rsidR="00B56D50" w:rsidRDefault="001C3C42" w:rsidP="00A14FE4">
            <w:pPr>
              <w:spacing w:after="0" w:line="259" w:lineRule="auto"/>
              <w:ind w:left="101" w:right="0" w:firstLine="0"/>
            </w:pPr>
            <w:r>
              <w:rPr>
                <w:sz w:val="18"/>
              </w:rPr>
              <w:t xml:space="preserve">ng/kg </w:t>
            </w:r>
            <w:r>
              <w:rPr>
                <w:i/>
                <w:sz w:val="18"/>
              </w:rPr>
              <w:t>(ppt)</w:t>
            </w:r>
          </w:p>
        </w:tc>
        <w:tc>
          <w:tcPr>
            <w:tcW w:w="724" w:type="dxa"/>
            <w:tcBorders>
              <w:top w:val="single" w:sz="4" w:space="0" w:color="000000"/>
              <w:left w:val="single" w:sz="12" w:space="0" w:color="000000"/>
              <w:bottom w:val="single" w:sz="4" w:space="0" w:color="000000"/>
              <w:right w:val="single" w:sz="12" w:space="0" w:color="000000"/>
            </w:tcBorders>
            <w:vAlign w:val="center"/>
          </w:tcPr>
          <w:p w14:paraId="4E93C8FC" w14:textId="194BDB8E" w:rsidR="00B56D50" w:rsidRDefault="001C3C42" w:rsidP="00A53A74">
            <w:pPr>
              <w:spacing w:after="0" w:line="259" w:lineRule="auto"/>
              <w:ind w:left="122" w:right="0" w:firstLine="0"/>
              <w:jc w:val="center"/>
            </w:pPr>
            <w:r>
              <w:rPr>
                <w:sz w:val="18"/>
              </w:rPr>
              <w:t>8290</w:t>
            </w:r>
          </w:p>
        </w:tc>
        <w:tc>
          <w:tcPr>
            <w:tcW w:w="720" w:type="dxa"/>
            <w:tcBorders>
              <w:top w:val="single" w:sz="4" w:space="0" w:color="000000"/>
              <w:left w:val="single" w:sz="12" w:space="0" w:color="000000"/>
              <w:bottom w:val="single" w:sz="4" w:space="0" w:color="000000"/>
              <w:right w:val="single" w:sz="12" w:space="0" w:color="000000"/>
            </w:tcBorders>
            <w:vAlign w:val="center"/>
          </w:tcPr>
          <w:p w14:paraId="1692532D" w14:textId="1617C19F" w:rsidR="00B56D50" w:rsidRDefault="001C3C42" w:rsidP="00E27BBE">
            <w:pPr>
              <w:spacing w:after="0" w:line="259" w:lineRule="auto"/>
              <w:ind w:left="84" w:right="0" w:firstLine="0"/>
            </w:pPr>
            <w:r>
              <w:rPr>
                <w:sz w:val="18"/>
              </w:rPr>
              <w:t>1613</w:t>
            </w:r>
            <w:r w:rsidR="00633D05">
              <w:rPr>
                <w:sz w:val="18"/>
              </w:rPr>
              <w:t xml:space="preserve"> </w:t>
            </w:r>
            <w:r w:rsidR="009A05E6" w:rsidRPr="00633D05">
              <w:rPr>
                <w:b/>
                <w:bCs/>
                <w:sz w:val="18"/>
                <w:vertAlign w:val="superscript"/>
              </w:rPr>
              <w:t>8</w:t>
            </w:r>
          </w:p>
        </w:tc>
      </w:tr>
      <w:tr w:rsidR="00C84A5D" w14:paraId="6DD0EED9" w14:textId="77777777" w:rsidTr="00EA643D">
        <w:trPr>
          <w:trHeight w:val="250"/>
        </w:trPr>
        <w:tc>
          <w:tcPr>
            <w:tcW w:w="4640" w:type="dxa"/>
            <w:tcBorders>
              <w:top w:val="single" w:sz="4" w:space="0" w:color="000000"/>
              <w:left w:val="single" w:sz="12" w:space="0" w:color="000000"/>
              <w:bottom w:val="single" w:sz="4" w:space="0" w:color="000000"/>
              <w:right w:val="single" w:sz="12" w:space="0" w:color="000000"/>
            </w:tcBorders>
          </w:tcPr>
          <w:p w14:paraId="02603A7E" w14:textId="77777777" w:rsidR="00B56D50" w:rsidRDefault="001C3C42" w:rsidP="00545EF7">
            <w:pPr>
              <w:spacing w:after="0" w:line="259" w:lineRule="auto"/>
              <w:ind w:left="36" w:right="0" w:firstLine="0"/>
            </w:pPr>
            <w:r>
              <w:rPr>
                <w:sz w:val="18"/>
              </w:rPr>
              <w:t>2,3,4,6,7,8-Hexachlorodibenzofuran (</w:t>
            </w:r>
            <w:proofErr w:type="spellStart"/>
            <w:r>
              <w:rPr>
                <w:sz w:val="18"/>
              </w:rPr>
              <w:t>HxCDF</w:t>
            </w:r>
            <w:proofErr w:type="spellEnd"/>
            <w:r>
              <w:rPr>
                <w:sz w:val="18"/>
              </w:rPr>
              <w:t xml:space="preserve">) </w:t>
            </w:r>
          </w:p>
        </w:tc>
        <w:tc>
          <w:tcPr>
            <w:tcW w:w="1061" w:type="dxa"/>
            <w:tcBorders>
              <w:top w:val="single" w:sz="4" w:space="0" w:color="000000"/>
              <w:left w:val="single" w:sz="12" w:space="0" w:color="000000"/>
              <w:bottom w:val="single" w:sz="4" w:space="0" w:color="000000"/>
              <w:right w:val="single" w:sz="12" w:space="0" w:color="000000"/>
            </w:tcBorders>
          </w:tcPr>
          <w:p w14:paraId="40B093D8" w14:textId="4340A0FC" w:rsidR="00B56D50" w:rsidRDefault="001C3C42" w:rsidP="00A14FE4">
            <w:pPr>
              <w:spacing w:after="0" w:line="259" w:lineRule="auto"/>
              <w:ind w:left="0" w:right="35" w:firstLine="0"/>
              <w:jc w:val="center"/>
            </w:pPr>
            <w:r>
              <w:rPr>
                <w:sz w:val="18"/>
              </w:rPr>
              <w:t>60851-34-5</w:t>
            </w:r>
          </w:p>
        </w:tc>
        <w:tc>
          <w:tcPr>
            <w:tcW w:w="879" w:type="dxa"/>
            <w:tcBorders>
              <w:top w:val="single" w:sz="4" w:space="0" w:color="000000"/>
              <w:left w:val="single" w:sz="12" w:space="0" w:color="000000"/>
              <w:bottom w:val="single" w:sz="4" w:space="0" w:color="000000"/>
              <w:right w:val="single" w:sz="12" w:space="0" w:color="000000"/>
            </w:tcBorders>
          </w:tcPr>
          <w:p w14:paraId="5124956B" w14:textId="216CC5C8" w:rsidR="00B56D50" w:rsidRDefault="001C3C42" w:rsidP="00A14FE4">
            <w:pPr>
              <w:spacing w:after="0" w:line="259" w:lineRule="auto"/>
              <w:ind w:left="0" w:right="38" w:firstLine="0"/>
              <w:jc w:val="center"/>
            </w:pPr>
            <w:r>
              <w:rPr>
                <w:sz w:val="18"/>
              </w:rPr>
              <w:t>0.025</w:t>
            </w:r>
          </w:p>
        </w:tc>
        <w:tc>
          <w:tcPr>
            <w:tcW w:w="895" w:type="dxa"/>
            <w:tcBorders>
              <w:top w:val="single" w:sz="4" w:space="0" w:color="000000"/>
              <w:left w:val="single" w:sz="12" w:space="0" w:color="000000"/>
              <w:bottom w:val="single" w:sz="4" w:space="0" w:color="000000"/>
              <w:right w:val="single" w:sz="12" w:space="0" w:color="000000"/>
            </w:tcBorders>
          </w:tcPr>
          <w:p w14:paraId="03851373" w14:textId="64EC4226" w:rsidR="00B56D50" w:rsidRDefault="001C3C42" w:rsidP="00A14FE4">
            <w:pPr>
              <w:spacing w:after="0" w:line="259" w:lineRule="auto"/>
              <w:ind w:left="46" w:right="0" w:firstLine="0"/>
            </w:pPr>
            <w:r>
              <w:rPr>
                <w:sz w:val="18"/>
              </w:rPr>
              <w:t>ng/L</w:t>
            </w:r>
            <w:r>
              <w:rPr>
                <w:i/>
                <w:sz w:val="18"/>
              </w:rPr>
              <w:t xml:space="preserve"> (ppt)</w:t>
            </w:r>
          </w:p>
        </w:tc>
        <w:tc>
          <w:tcPr>
            <w:tcW w:w="627" w:type="dxa"/>
            <w:tcBorders>
              <w:top w:val="single" w:sz="4" w:space="0" w:color="000000"/>
              <w:left w:val="single" w:sz="12" w:space="0" w:color="000000"/>
              <w:bottom w:val="single" w:sz="4" w:space="0" w:color="000000"/>
              <w:right w:val="single" w:sz="12" w:space="0" w:color="000000"/>
            </w:tcBorders>
          </w:tcPr>
          <w:p w14:paraId="2347D3A2" w14:textId="56B2AA5C" w:rsidR="00B56D50" w:rsidRDefault="001C3C42" w:rsidP="00A14FE4">
            <w:pPr>
              <w:spacing w:after="0" w:line="259" w:lineRule="auto"/>
              <w:ind w:left="0" w:right="35" w:firstLine="0"/>
              <w:jc w:val="center"/>
            </w:pPr>
            <w:r>
              <w:rPr>
                <w:sz w:val="18"/>
              </w:rPr>
              <w:t>2.5</w:t>
            </w:r>
          </w:p>
        </w:tc>
        <w:tc>
          <w:tcPr>
            <w:tcW w:w="1074" w:type="dxa"/>
            <w:tcBorders>
              <w:top w:val="single" w:sz="4" w:space="0" w:color="000000"/>
              <w:left w:val="single" w:sz="12" w:space="0" w:color="000000"/>
              <w:bottom w:val="single" w:sz="4" w:space="0" w:color="000000"/>
              <w:right w:val="single" w:sz="12" w:space="0" w:color="000000"/>
            </w:tcBorders>
          </w:tcPr>
          <w:p w14:paraId="158EB1D0" w14:textId="1F3E5D3F" w:rsidR="00B56D50" w:rsidRDefault="001C3C42" w:rsidP="00A14FE4">
            <w:pPr>
              <w:spacing w:after="0" w:line="259" w:lineRule="auto"/>
              <w:ind w:left="101" w:right="0" w:firstLine="0"/>
            </w:pPr>
            <w:r>
              <w:rPr>
                <w:sz w:val="18"/>
              </w:rPr>
              <w:t xml:space="preserve">ng/kg </w:t>
            </w:r>
            <w:r>
              <w:rPr>
                <w:i/>
                <w:sz w:val="18"/>
              </w:rPr>
              <w:t>(ppt)</w:t>
            </w:r>
          </w:p>
        </w:tc>
        <w:tc>
          <w:tcPr>
            <w:tcW w:w="724" w:type="dxa"/>
            <w:tcBorders>
              <w:top w:val="single" w:sz="4" w:space="0" w:color="000000"/>
              <w:left w:val="single" w:sz="12" w:space="0" w:color="000000"/>
              <w:bottom w:val="single" w:sz="4" w:space="0" w:color="000000"/>
              <w:right w:val="single" w:sz="12" w:space="0" w:color="000000"/>
            </w:tcBorders>
            <w:vAlign w:val="center"/>
          </w:tcPr>
          <w:p w14:paraId="1E4848BD" w14:textId="368BFADA" w:rsidR="00B56D50" w:rsidRDefault="001C3C42" w:rsidP="00A53A74">
            <w:pPr>
              <w:spacing w:after="0" w:line="259" w:lineRule="auto"/>
              <w:ind w:left="122" w:right="0" w:firstLine="0"/>
              <w:jc w:val="center"/>
            </w:pPr>
            <w:r>
              <w:rPr>
                <w:sz w:val="18"/>
              </w:rPr>
              <w:t>8290</w:t>
            </w:r>
          </w:p>
        </w:tc>
        <w:tc>
          <w:tcPr>
            <w:tcW w:w="720" w:type="dxa"/>
            <w:tcBorders>
              <w:top w:val="single" w:sz="4" w:space="0" w:color="000000"/>
              <w:left w:val="single" w:sz="12" w:space="0" w:color="000000"/>
              <w:bottom w:val="single" w:sz="4" w:space="0" w:color="000000"/>
              <w:right w:val="single" w:sz="12" w:space="0" w:color="000000"/>
            </w:tcBorders>
            <w:vAlign w:val="center"/>
          </w:tcPr>
          <w:p w14:paraId="561B3BC6" w14:textId="286BA07E" w:rsidR="00B56D50" w:rsidRDefault="001C3C42" w:rsidP="00E27BBE">
            <w:pPr>
              <w:spacing w:after="0" w:line="259" w:lineRule="auto"/>
              <w:ind w:left="84" w:right="0" w:firstLine="0"/>
            </w:pPr>
            <w:r>
              <w:rPr>
                <w:sz w:val="18"/>
              </w:rPr>
              <w:t>1613</w:t>
            </w:r>
            <w:r w:rsidR="00633D05">
              <w:rPr>
                <w:sz w:val="18"/>
              </w:rPr>
              <w:t xml:space="preserve"> </w:t>
            </w:r>
            <w:r w:rsidR="009A05E6" w:rsidRPr="00633D05">
              <w:rPr>
                <w:b/>
                <w:bCs/>
                <w:sz w:val="18"/>
                <w:vertAlign w:val="superscript"/>
              </w:rPr>
              <w:t>8</w:t>
            </w:r>
          </w:p>
        </w:tc>
      </w:tr>
      <w:tr w:rsidR="00C84A5D" w14:paraId="0DED643C" w14:textId="77777777" w:rsidTr="00EA643D">
        <w:trPr>
          <w:trHeight w:val="252"/>
        </w:trPr>
        <w:tc>
          <w:tcPr>
            <w:tcW w:w="4640" w:type="dxa"/>
            <w:tcBorders>
              <w:top w:val="single" w:sz="4" w:space="0" w:color="000000"/>
              <w:left w:val="single" w:sz="12" w:space="0" w:color="000000"/>
              <w:bottom w:val="single" w:sz="4" w:space="0" w:color="000000"/>
              <w:right w:val="single" w:sz="12" w:space="0" w:color="000000"/>
            </w:tcBorders>
          </w:tcPr>
          <w:p w14:paraId="0367E576" w14:textId="77777777" w:rsidR="00B56D50" w:rsidRDefault="001C3C42" w:rsidP="00545EF7">
            <w:pPr>
              <w:spacing w:after="0" w:line="259" w:lineRule="auto"/>
              <w:ind w:left="36" w:right="0" w:firstLine="0"/>
            </w:pPr>
            <w:r>
              <w:rPr>
                <w:sz w:val="18"/>
              </w:rPr>
              <w:t>1,2,3,4,6,7,8-Heptachlorodibenzofuran (</w:t>
            </w:r>
            <w:proofErr w:type="spellStart"/>
            <w:r>
              <w:rPr>
                <w:sz w:val="18"/>
              </w:rPr>
              <w:t>HpCDF</w:t>
            </w:r>
            <w:proofErr w:type="spellEnd"/>
            <w:r>
              <w:rPr>
                <w:sz w:val="18"/>
              </w:rPr>
              <w:t xml:space="preserve">) </w:t>
            </w:r>
          </w:p>
        </w:tc>
        <w:tc>
          <w:tcPr>
            <w:tcW w:w="1061" w:type="dxa"/>
            <w:tcBorders>
              <w:top w:val="single" w:sz="4" w:space="0" w:color="000000"/>
              <w:left w:val="single" w:sz="12" w:space="0" w:color="000000"/>
              <w:bottom w:val="single" w:sz="4" w:space="0" w:color="000000"/>
              <w:right w:val="single" w:sz="12" w:space="0" w:color="000000"/>
            </w:tcBorders>
          </w:tcPr>
          <w:p w14:paraId="43DA7F43" w14:textId="6AD50836" w:rsidR="00B56D50" w:rsidRDefault="001C3C42" w:rsidP="00A14FE4">
            <w:pPr>
              <w:spacing w:after="0" w:line="259" w:lineRule="auto"/>
              <w:ind w:left="0" w:right="35" w:firstLine="0"/>
              <w:jc w:val="center"/>
            </w:pPr>
            <w:r>
              <w:rPr>
                <w:sz w:val="18"/>
              </w:rPr>
              <w:t>67562-39-4</w:t>
            </w:r>
          </w:p>
        </w:tc>
        <w:tc>
          <w:tcPr>
            <w:tcW w:w="879" w:type="dxa"/>
            <w:tcBorders>
              <w:top w:val="single" w:sz="4" w:space="0" w:color="000000"/>
              <w:left w:val="single" w:sz="12" w:space="0" w:color="000000"/>
              <w:bottom w:val="single" w:sz="4" w:space="0" w:color="000000"/>
              <w:right w:val="single" w:sz="12" w:space="0" w:color="000000"/>
            </w:tcBorders>
          </w:tcPr>
          <w:p w14:paraId="30510B4D" w14:textId="09A8EAEB" w:rsidR="00B56D50" w:rsidRDefault="001C3C42" w:rsidP="00A14FE4">
            <w:pPr>
              <w:spacing w:after="0" w:line="259" w:lineRule="auto"/>
              <w:ind w:left="0" w:right="38" w:firstLine="0"/>
              <w:jc w:val="center"/>
            </w:pPr>
            <w:r>
              <w:rPr>
                <w:sz w:val="18"/>
              </w:rPr>
              <w:t>0.025</w:t>
            </w:r>
          </w:p>
        </w:tc>
        <w:tc>
          <w:tcPr>
            <w:tcW w:w="895" w:type="dxa"/>
            <w:tcBorders>
              <w:top w:val="single" w:sz="4" w:space="0" w:color="000000"/>
              <w:left w:val="single" w:sz="12" w:space="0" w:color="000000"/>
              <w:bottom w:val="single" w:sz="4" w:space="0" w:color="000000"/>
              <w:right w:val="single" w:sz="12" w:space="0" w:color="000000"/>
            </w:tcBorders>
          </w:tcPr>
          <w:p w14:paraId="302B5A45" w14:textId="3048F10B" w:rsidR="00B56D50" w:rsidRDefault="001C3C42" w:rsidP="00A14FE4">
            <w:pPr>
              <w:spacing w:after="0" w:line="259" w:lineRule="auto"/>
              <w:ind w:left="46" w:right="0" w:firstLine="0"/>
            </w:pPr>
            <w:r>
              <w:rPr>
                <w:sz w:val="18"/>
              </w:rPr>
              <w:t>ng/L</w:t>
            </w:r>
            <w:r>
              <w:rPr>
                <w:i/>
                <w:sz w:val="18"/>
              </w:rPr>
              <w:t xml:space="preserve"> (ppt)</w:t>
            </w:r>
          </w:p>
        </w:tc>
        <w:tc>
          <w:tcPr>
            <w:tcW w:w="627" w:type="dxa"/>
            <w:tcBorders>
              <w:top w:val="single" w:sz="4" w:space="0" w:color="000000"/>
              <w:left w:val="single" w:sz="12" w:space="0" w:color="000000"/>
              <w:bottom w:val="single" w:sz="4" w:space="0" w:color="000000"/>
              <w:right w:val="single" w:sz="12" w:space="0" w:color="000000"/>
            </w:tcBorders>
          </w:tcPr>
          <w:p w14:paraId="0A32E5FB" w14:textId="79540B42" w:rsidR="00B56D50" w:rsidRDefault="001C3C42" w:rsidP="00A14FE4">
            <w:pPr>
              <w:spacing w:after="0" w:line="259" w:lineRule="auto"/>
              <w:ind w:left="0" w:right="35" w:firstLine="0"/>
              <w:jc w:val="center"/>
            </w:pPr>
            <w:r>
              <w:rPr>
                <w:sz w:val="18"/>
              </w:rPr>
              <w:t>2.5</w:t>
            </w:r>
          </w:p>
        </w:tc>
        <w:tc>
          <w:tcPr>
            <w:tcW w:w="1074" w:type="dxa"/>
            <w:tcBorders>
              <w:top w:val="single" w:sz="4" w:space="0" w:color="000000"/>
              <w:left w:val="single" w:sz="12" w:space="0" w:color="000000"/>
              <w:bottom w:val="single" w:sz="4" w:space="0" w:color="000000"/>
              <w:right w:val="single" w:sz="12" w:space="0" w:color="000000"/>
            </w:tcBorders>
          </w:tcPr>
          <w:p w14:paraId="5DAD8AA6" w14:textId="2840E222" w:rsidR="00B56D50" w:rsidRDefault="001C3C42" w:rsidP="00A14FE4">
            <w:pPr>
              <w:spacing w:after="0" w:line="259" w:lineRule="auto"/>
              <w:ind w:left="101" w:right="0" w:firstLine="0"/>
            </w:pPr>
            <w:r>
              <w:rPr>
                <w:sz w:val="18"/>
              </w:rPr>
              <w:t xml:space="preserve">ng/kg </w:t>
            </w:r>
            <w:r>
              <w:rPr>
                <w:i/>
                <w:sz w:val="18"/>
              </w:rPr>
              <w:t>(ppt)</w:t>
            </w:r>
          </w:p>
        </w:tc>
        <w:tc>
          <w:tcPr>
            <w:tcW w:w="724" w:type="dxa"/>
            <w:tcBorders>
              <w:top w:val="single" w:sz="4" w:space="0" w:color="000000"/>
              <w:left w:val="single" w:sz="12" w:space="0" w:color="000000"/>
              <w:bottom w:val="single" w:sz="4" w:space="0" w:color="000000"/>
              <w:right w:val="single" w:sz="12" w:space="0" w:color="000000"/>
            </w:tcBorders>
            <w:vAlign w:val="center"/>
          </w:tcPr>
          <w:p w14:paraId="65ACF28C" w14:textId="5C2FEF44" w:rsidR="00B56D50" w:rsidRDefault="001C3C42" w:rsidP="00A53A74">
            <w:pPr>
              <w:spacing w:after="0" w:line="259" w:lineRule="auto"/>
              <w:ind w:left="122" w:right="0" w:firstLine="0"/>
              <w:jc w:val="center"/>
            </w:pPr>
            <w:r>
              <w:rPr>
                <w:sz w:val="18"/>
              </w:rPr>
              <w:t>8290</w:t>
            </w:r>
          </w:p>
        </w:tc>
        <w:tc>
          <w:tcPr>
            <w:tcW w:w="720" w:type="dxa"/>
            <w:tcBorders>
              <w:top w:val="single" w:sz="4" w:space="0" w:color="000000"/>
              <w:left w:val="single" w:sz="12" w:space="0" w:color="000000"/>
              <w:bottom w:val="single" w:sz="4" w:space="0" w:color="000000"/>
              <w:right w:val="single" w:sz="12" w:space="0" w:color="000000"/>
            </w:tcBorders>
            <w:vAlign w:val="center"/>
          </w:tcPr>
          <w:p w14:paraId="36E1C272" w14:textId="5B66C4E5" w:rsidR="00B56D50" w:rsidRDefault="001C3C42" w:rsidP="00E27BBE">
            <w:pPr>
              <w:spacing w:after="0" w:line="259" w:lineRule="auto"/>
              <w:ind w:left="84" w:right="0" w:firstLine="0"/>
            </w:pPr>
            <w:r>
              <w:rPr>
                <w:sz w:val="18"/>
              </w:rPr>
              <w:t>1613</w:t>
            </w:r>
            <w:r w:rsidR="00633D05">
              <w:rPr>
                <w:sz w:val="18"/>
              </w:rPr>
              <w:t xml:space="preserve"> </w:t>
            </w:r>
            <w:r w:rsidR="009A05E6" w:rsidRPr="00633D05">
              <w:rPr>
                <w:b/>
                <w:bCs/>
                <w:sz w:val="18"/>
                <w:vertAlign w:val="superscript"/>
              </w:rPr>
              <w:t>8</w:t>
            </w:r>
          </w:p>
        </w:tc>
      </w:tr>
      <w:tr w:rsidR="00C84A5D" w14:paraId="46F41078" w14:textId="77777777" w:rsidTr="00EA643D">
        <w:trPr>
          <w:trHeight w:val="250"/>
        </w:trPr>
        <w:tc>
          <w:tcPr>
            <w:tcW w:w="4640" w:type="dxa"/>
            <w:tcBorders>
              <w:top w:val="single" w:sz="4" w:space="0" w:color="000000"/>
              <w:left w:val="single" w:sz="12" w:space="0" w:color="000000"/>
              <w:bottom w:val="single" w:sz="4" w:space="0" w:color="000000"/>
              <w:right w:val="single" w:sz="12" w:space="0" w:color="000000"/>
            </w:tcBorders>
          </w:tcPr>
          <w:p w14:paraId="672B1CF3" w14:textId="77777777" w:rsidR="00B56D50" w:rsidRDefault="001C3C42" w:rsidP="00545EF7">
            <w:pPr>
              <w:spacing w:after="0" w:line="259" w:lineRule="auto"/>
              <w:ind w:left="36" w:right="0" w:firstLine="0"/>
            </w:pPr>
            <w:r>
              <w:rPr>
                <w:sz w:val="18"/>
              </w:rPr>
              <w:t>1,2,3,4,7,8,9-Heptachlorodibenzofuran (</w:t>
            </w:r>
            <w:proofErr w:type="spellStart"/>
            <w:r>
              <w:rPr>
                <w:sz w:val="18"/>
              </w:rPr>
              <w:t>HpCDF</w:t>
            </w:r>
            <w:proofErr w:type="spellEnd"/>
            <w:r>
              <w:rPr>
                <w:sz w:val="18"/>
              </w:rPr>
              <w:t xml:space="preserve">) </w:t>
            </w:r>
          </w:p>
        </w:tc>
        <w:tc>
          <w:tcPr>
            <w:tcW w:w="1061" w:type="dxa"/>
            <w:tcBorders>
              <w:top w:val="single" w:sz="4" w:space="0" w:color="000000"/>
              <w:left w:val="single" w:sz="12" w:space="0" w:color="000000"/>
              <w:bottom w:val="single" w:sz="4" w:space="0" w:color="000000"/>
              <w:right w:val="single" w:sz="12" w:space="0" w:color="000000"/>
            </w:tcBorders>
          </w:tcPr>
          <w:p w14:paraId="7C02773B" w14:textId="77F1A28C" w:rsidR="00B56D50" w:rsidRDefault="001C3C42" w:rsidP="00A14FE4">
            <w:pPr>
              <w:spacing w:after="0" w:line="259" w:lineRule="auto"/>
              <w:ind w:left="0" w:right="35" w:firstLine="0"/>
              <w:jc w:val="center"/>
            </w:pPr>
            <w:r>
              <w:rPr>
                <w:sz w:val="18"/>
              </w:rPr>
              <w:t>55673-89-7</w:t>
            </w:r>
          </w:p>
        </w:tc>
        <w:tc>
          <w:tcPr>
            <w:tcW w:w="879" w:type="dxa"/>
            <w:tcBorders>
              <w:top w:val="single" w:sz="4" w:space="0" w:color="000000"/>
              <w:left w:val="single" w:sz="12" w:space="0" w:color="000000"/>
              <w:bottom w:val="single" w:sz="4" w:space="0" w:color="000000"/>
              <w:right w:val="single" w:sz="12" w:space="0" w:color="000000"/>
            </w:tcBorders>
          </w:tcPr>
          <w:p w14:paraId="05A5144A" w14:textId="0BF5D24B" w:rsidR="00B56D50" w:rsidRDefault="001C3C42" w:rsidP="00A14FE4">
            <w:pPr>
              <w:spacing w:after="0" w:line="259" w:lineRule="auto"/>
              <w:ind w:left="0" w:right="38" w:firstLine="0"/>
              <w:jc w:val="center"/>
            </w:pPr>
            <w:r>
              <w:rPr>
                <w:sz w:val="18"/>
              </w:rPr>
              <w:t>0.025</w:t>
            </w:r>
          </w:p>
        </w:tc>
        <w:tc>
          <w:tcPr>
            <w:tcW w:w="895" w:type="dxa"/>
            <w:tcBorders>
              <w:top w:val="single" w:sz="4" w:space="0" w:color="000000"/>
              <w:left w:val="single" w:sz="12" w:space="0" w:color="000000"/>
              <w:bottom w:val="single" w:sz="4" w:space="0" w:color="000000"/>
              <w:right w:val="single" w:sz="12" w:space="0" w:color="000000"/>
            </w:tcBorders>
          </w:tcPr>
          <w:p w14:paraId="2908061E" w14:textId="70913D6B" w:rsidR="00B56D50" w:rsidRDefault="001C3C42" w:rsidP="00A14FE4">
            <w:pPr>
              <w:spacing w:after="0" w:line="259" w:lineRule="auto"/>
              <w:ind w:left="46" w:right="0" w:firstLine="0"/>
            </w:pPr>
            <w:r>
              <w:rPr>
                <w:sz w:val="18"/>
              </w:rPr>
              <w:t>ng/L</w:t>
            </w:r>
            <w:r>
              <w:rPr>
                <w:i/>
                <w:sz w:val="18"/>
              </w:rPr>
              <w:t xml:space="preserve"> (ppt)</w:t>
            </w:r>
          </w:p>
        </w:tc>
        <w:tc>
          <w:tcPr>
            <w:tcW w:w="627" w:type="dxa"/>
            <w:tcBorders>
              <w:top w:val="single" w:sz="4" w:space="0" w:color="000000"/>
              <w:left w:val="single" w:sz="12" w:space="0" w:color="000000"/>
              <w:bottom w:val="single" w:sz="4" w:space="0" w:color="000000"/>
              <w:right w:val="single" w:sz="12" w:space="0" w:color="000000"/>
            </w:tcBorders>
          </w:tcPr>
          <w:p w14:paraId="33DF7F52" w14:textId="0EEE183A" w:rsidR="00B56D50" w:rsidRDefault="001C3C42" w:rsidP="00A14FE4">
            <w:pPr>
              <w:spacing w:after="0" w:line="259" w:lineRule="auto"/>
              <w:ind w:left="0" w:right="35" w:firstLine="0"/>
              <w:jc w:val="center"/>
            </w:pPr>
            <w:r>
              <w:rPr>
                <w:sz w:val="18"/>
              </w:rPr>
              <w:t>2.5</w:t>
            </w:r>
          </w:p>
        </w:tc>
        <w:tc>
          <w:tcPr>
            <w:tcW w:w="1074" w:type="dxa"/>
            <w:tcBorders>
              <w:top w:val="single" w:sz="4" w:space="0" w:color="000000"/>
              <w:left w:val="single" w:sz="12" w:space="0" w:color="000000"/>
              <w:bottom w:val="single" w:sz="4" w:space="0" w:color="000000"/>
              <w:right w:val="single" w:sz="12" w:space="0" w:color="000000"/>
            </w:tcBorders>
          </w:tcPr>
          <w:p w14:paraId="20243F23" w14:textId="5F242157" w:rsidR="00B56D50" w:rsidRDefault="001C3C42" w:rsidP="00A14FE4">
            <w:pPr>
              <w:spacing w:after="0" w:line="259" w:lineRule="auto"/>
              <w:ind w:left="101" w:right="0" w:firstLine="0"/>
            </w:pPr>
            <w:r>
              <w:rPr>
                <w:sz w:val="18"/>
              </w:rPr>
              <w:t xml:space="preserve">ng/kg </w:t>
            </w:r>
            <w:r>
              <w:rPr>
                <w:i/>
                <w:sz w:val="18"/>
              </w:rPr>
              <w:t>(ppt)</w:t>
            </w:r>
          </w:p>
        </w:tc>
        <w:tc>
          <w:tcPr>
            <w:tcW w:w="724" w:type="dxa"/>
            <w:tcBorders>
              <w:top w:val="single" w:sz="4" w:space="0" w:color="000000"/>
              <w:left w:val="single" w:sz="12" w:space="0" w:color="000000"/>
              <w:bottom w:val="single" w:sz="4" w:space="0" w:color="000000"/>
              <w:right w:val="single" w:sz="12" w:space="0" w:color="000000"/>
            </w:tcBorders>
            <w:vAlign w:val="center"/>
          </w:tcPr>
          <w:p w14:paraId="2996ED18" w14:textId="081FF042" w:rsidR="00B56D50" w:rsidRDefault="001C3C42" w:rsidP="00A53A74">
            <w:pPr>
              <w:spacing w:after="0" w:line="259" w:lineRule="auto"/>
              <w:ind w:left="122" w:right="0" w:firstLine="0"/>
              <w:jc w:val="center"/>
            </w:pPr>
            <w:r>
              <w:rPr>
                <w:sz w:val="18"/>
              </w:rPr>
              <w:t>8290</w:t>
            </w:r>
          </w:p>
        </w:tc>
        <w:tc>
          <w:tcPr>
            <w:tcW w:w="720" w:type="dxa"/>
            <w:tcBorders>
              <w:top w:val="single" w:sz="4" w:space="0" w:color="000000"/>
              <w:left w:val="single" w:sz="12" w:space="0" w:color="000000"/>
              <w:bottom w:val="single" w:sz="4" w:space="0" w:color="000000"/>
              <w:right w:val="single" w:sz="12" w:space="0" w:color="000000"/>
            </w:tcBorders>
            <w:vAlign w:val="center"/>
          </w:tcPr>
          <w:p w14:paraId="1E128138" w14:textId="109C65B4" w:rsidR="00B56D50" w:rsidRDefault="001C3C42" w:rsidP="00E27BBE">
            <w:pPr>
              <w:spacing w:after="0" w:line="259" w:lineRule="auto"/>
              <w:ind w:left="84" w:right="0" w:firstLine="0"/>
            </w:pPr>
            <w:r>
              <w:rPr>
                <w:sz w:val="18"/>
              </w:rPr>
              <w:t>1613</w:t>
            </w:r>
            <w:r w:rsidR="00633D05">
              <w:rPr>
                <w:sz w:val="18"/>
              </w:rPr>
              <w:t xml:space="preserve"> </w:t>
            </w:r>
            <w:r w:rsidR="009A05E6" w:rsidRPr="00633D05">
              <w:rPr>
                <w:b/>
                <w:bCs/>
                <w:sz w:val="18"/>
                <w:vertAlign w:val="superscript"/>
              </w:rPr>
              <w:t>8</w:t>
            </w:r>
          </w:p>
        </w:tc>
      </w:tr>
      <w:tr w:rsidR="00C84A5D" w14:paraId="10885DE8" w14:textId="77777777" w:rsidTr="00EA643D">
        <w:trPr>
          <w:trHeight w:val="250"/>
        </w:trPr>
        <w:tc>
          <w:tcPr>
            <w:tcW w:w="4640" w:type="dxa"/>
            <w:tcBorders>
              <w:top w:val="single" w:sz="4" w:space="0" w:color="000000"/>
              <w:left w:val="single" w:sz="12" w:space="0" w:color="000000"/>
              <w:bottom w:val="single" w:sz="4" w:space="0" w:color="000000"/>
              <w:right w:val="single" w:sz="12" w:space="0" w:color="000000"/>
            </w:tcBorders>
          </w:tcPr>
          <w:p w14:paraId="72160409" w14:textId="4781B646" w:rsidR="00275C60" w:rsidRDefault="00275C60" w:rsidP="00275C60">
            <w:pPr>
              <w:spacing w:after="0" w:line="259" w:lineRule="auto"/>
              <w:ind w:left="36" w:right="0" w:firstLine="0"/>
              <w:rPr>
                <w:sz w:val="18"/>
              </w:rPr>
            </w:pPr>
            <w:r>
              <w:rPr>
                <w:sz w:val="18"/>
              </w:rPr>
              <w:t xml:space="preserve">1,2,3,4,5,6,7,8-Octachlorodibenzofuran (OCDF) </w:t>
            </w:r>
          </w:p>
        </w:tc>
        <w:tc>
          <w:tcPr>
            <w:tcW w:w="1061" w:type="dxa"/>
            <w:tcBorders>
              <w:top w:val="single" w:sz="4" w:space="0" w:color="000000"/>
              <w:left w:val="single" w:sz="12" w:space="0" w:color="000000"/>
              <w:bottom w:val="single" w:sz="4" w:space="0" w:color="000000"/>
              <w:right w:val="single" w:sz="12" w:space="0" w:color="000000"/>
            </w:tcBorders>
          </w:tcPr>
          <w:p w14:paraId="51A5C53B" w14:textId="563A6A2E" w:rsidR="00275C60" w:rsidRDefault="00275C60" w:rsidP="00275C60">
            <w:pPr>
              <w:spacing w:after="0" w:line="259" w:lineRule="auto"/>
              <w:ind w:left="0" w:right="35" w:firstLine="0"/>
              <w:jc w:val="center"/>
              <w:rPr>
                <w:sz w:val="18"/>
              </w:rPr>
            </w:pPr>
            <w:r>
              <w:rPr>
                <w:sz w:val="18"/>
              </w:rPr>
              <w:t>39001-02-0</w:t>
            </w:r>
          </w:p>
        </w:tc>
        <w:tc>
          <w:tcPr>
            <w:tcW w:w="879" w:type="dxa"/>
            <w:tcBorders>
              <w:top w:val="single" w:sz="4" w:space="0" w:color="000000"/>
              <w:left w:val="single" w:sz="12" w:space="0" w:color="000000"/>
              <w:bottom w:val="single" w:sz="4" w:space="0" w:color="000000"/>
              <w:right w:val="single" w:sz="12" w:space="0" w:color="000000"/>
            </w:tcBorders>
          </w:tcPr>
          <w:p w14:paraId="5F8C3AEE" w14:textId="1A083CE2" w:rsidR="00275C60" w:rsidRDefault="00275C60" w:rsidP="00275C60">
            <w:pPr>
              <w:spacing w:after="0" w:line="259" w:lineRule="auto"/>
              <w:ind w:left="0" w:right="38" w:firstLine="0"/>
              <w:jc w:val="center"/>
              <w:rPr>
                <w:sz w:val="18"/>
              </w:rPr>
            </w:pPr>
            <w:r>
              <w:rPr>
                <w:sz w:val="18"/>
              </w:rPr>
              <w:t>0.050</w:t>
            </w:r>
          </w:p>
        </w:tc>
        <w:tc>
          <w:tcPr>
            <w:tcW w:w="895" w:type="dxa"/>
            <w:tcBorders>
              <w:top w:val="single" w:sz="4" w:space="0" w:color="000000"/>
              <w:left w:val="single" w:sz="12" w:space="0" w:color="000000"/>
              <w:bottom w:val="single" w:sz="4" w:space="0" w:color="000000"/>
              <w:right w:val="single" w:sz="12" w:space="0" w:color="000000"/>
            </w:tcBorders>
          </w:tcPr>
          <w:p w14:paraId="21BD95C7" w14:textId="4914593B" w:rsidR="00275C60" w:rsidRDefault="00275C60" w:rsidP="00275C60">
            <w:pPr>
              <w:spacing w:after="0" w:line="259" w:lineRule="auto"/>
              <w:ind w:left="46" w:right="0" w:firstLine="0"/>
              <w:rPr>
                <w:sz w:val="18"/>
              </w:rPr>
            </w:pPr>
            <w:r>
              <w:rPr>
                <w:sz w:val="18"/>
              </w:rPr>
              <w:t>ng/L</w:t>
            </w:r>
            <w:r>
              <w:rPr>
                <w:i/>
                <w:sz w:val="18"/>
              </w:rPr>
              <w:t xml:space="preserve"> (ppt)</w:t>
            </w:r>
          </w:p>
        </w:tc>
        <w:tc>
          <w:tcPr>
            <w:tcW w:w="627" w:type="dxa"/>
            <w:tcBorders>
              <w:top w:val="single" w:sz="4" w:space="0" w:color="000000"/>
              <w:left w:val="single" w:sz="12" w:space="0" w:color="000000"/>
              <w:bottom w:val="single" w:sz="4" w:space="0" w:color="000000"/>
              <w:right w:val="single" w:sz="12" w:space="0" w:color="000000"/>
            </w:tcBorders>
          </w:tcPr>
          <w:p w14:paraId="0127BA8E" w14:textId="2CB00FF1" w:rsidR="00275C60" w:rsidRDefault="00275C60" w:rsidP="00275C60">
            <w:pPr>
              <w:spacing w:after="0" w:line="259" w:lineRule="auto"/>
              <w:ind w:left="0" w:right="35" w:firstLine="0"/>
              <w:jc w:val="center"/>
              <w:rPr>
                <w:sz w:val="18"/>
              </w:rPr>
            </w:pPr>
            <w:r>
              <w:rPr>
                <w:sz w:val="18"/>
              </w:rPr>
              <w:t>5.0</w:t>
            </w:r>
          </w:p>
        </w:tc>
        <w:tc>
          <w:tcPr>
            <w:tcW w:w="1074" w:type="dxa"/>
            <w:tcBorders>
              <w:top w:val="single" w:sz="4" w:space="0" w:color="000000"/>
              <w:left w:val="single" w:sz="12" w:space="0" w:color="000000"/>
              <w:bottom w:val="single" w:sz="4" w:space="0" w:color="000000"/>
              <w:right w:val="single" w:sz="12" w:space="0" w:color="000000"/>
            </w:tcBorders>
          </w:tcPr>
          <w:p w14:paraId="6C2C8318" w14:textId="79604C6A" w:rsidR="00275C60" w:rsidRDefault="00275C60" w:rsidP="00275C60">
            <w:pPr>
              <w:spacing w:after="0" w:line="259" w:lineRule="auto"/>
              <w:ind w:left="101" w:right="0" w:firstLine="0"/>
              <w:rPr>
                <w:sz w:val="18"/>
              </w:rPr>
            </w:pPr>
            <w:r>
              <w:rPr>
                <w:sz w:val="18"/>
              </w:rPr>
              <w:t xml:space="preserve">ng/kg </w:t>
            </w:r>
            <w:r>
              <w:rPr>
                <w:i/>
                <w:sz w:val="18"/>
              </w:rPr>
              <w:t>(ppt)</w:t>
            </w:r>
          </w:p>
        </w:tc>
        <w:tc>
          <w:tcPr>
            <w:tcW w:w="724" w:type="dxa"/>
            <w:tcBorders>
              <w:top w:val="single" w:sz="4" w:space="0" w:color="000000"/>
              <w:left w:val="single" w:sz="12" w:space="0" w:color="000000"/>
              <w:bottom w:val="single" w:sz="4" w:space="0" w:color="000000"/>
              <w:right w:val="single" w:sz="12" w:space="0" w:color="000000"/>
            </w:tcBorders>
            <w:vAlign w:val="center"/>
          </w:tcPr>
          <w:p w14:paraId="02AE21B1" w14:textId="7E6083BA" w:rsidR="00275C60" w:rsidRDefault="00275C60" w:rsidP="00A53A74">
            <w:pPr>
              <w:spacing w:after="0" w:line="259" w:lineRule="auto"/>
              <w:ind w:left="122" w:right="0" w:firstLine="0"/>
              <w:jc w:val="center"/>
              <w:rPr>
                <w:sz w:val="18"/>
              </w:rPr>
            </w:pPr>
            <w:r>
              <w:rPr>
                <w:sz w:val="18"/>
              </w:rPr>
              <w:t>8290</w:t>
            </w:r>
          </w:p>
        </w:tc>
        <w:tc>
          <w:tcPr>
            <w:tcW w:w="720" w:type="dxa"/>
            <w:tcBorders>
              <w:top w:val="single" w:sz="4" w:space="0" w:color="000000"/>
              <w:left w:val="single" w:sz="12" w:space="0" w:color="000000"/>
              <w:bottom w:val="single" w:sz="4" w:space="0" w:color="000000"/>
              <w:right w:val="single" w:sz="12" w:space="0" w:color="000000"/>
            </w:tcBorders>
            <w:vAlign w:val="center"/>
          </w:tcPr>
          <w:p w14:paraId="6D4F2697" w14:textId="57AA7546" w:rsidR="00275C60" w:rsidRDefault="00275C60" w:rsidP="00E27BBE">
            <w:pPr>
              <w:spacing w:after="0" w:line="259" w:lineRule="auto"/>
              <w:ind w:left="84" w:right="0" w:firstLine="0"/>
              <w:rPr>
                <w:sz w:val="18"/>
              </w:rPr>
            </w:pPr>
            <w:r>
              <w:rPr>
                <w:sz w:val="18"/>
              </w:rPr>
              <w:t xml:space="preserve">1613 </w:t>
            </w:r>
            <w:r w:rsidRPr="00633D05">
              <w:rPr>
                <w:b/>
                <w:bCs/>
                <w:sz w:val="18"/>
                <w:vertAlign w:val="superscript"/>
              </w:rPr>
              <w:t>8</w:t>
            </w:r>
          </w:p>
        </w:tc>
      </w:tr>
      <w:tr w:rsidR="00C84A5D" w14:paraId="71221866" w14:textId="77777777" w:rsidTr="00EA643D">
        <w:trPr>
          <w:trHeight w:val="250"/>
        </w:trPr>
        <w:tc>
          <w:tcPr>
            <w:tcW w:w="4640" w:type="dxa"/>
            <w:tcBorders>
              <w:top w:val="single" w:sz="4" w:space="0" w:color="000000"/>
              <w:left w:val="single" w:sz="12" w:space="0" w:color="000000"/>
              <w:bottom w:val="single" w:sz="4" w:space="0" w:color="000000"/>
              <w:right w:val="single" w:sz="12" w:space="0" w:color="000000"/>
            </w:tcBorders>
          </w:tcPr>
          <w:p w14:paraId="4C7FAE47" w14:textId="263344BE" w:rsidR="00275C60" w:rsidRDefault="00275C60" w:rsidP="00275C60">
            <w:pPr>
              <w:spacing w:after="0" w:line="259" w:lineRule="auto"/>
              <w:ind w:left="36" w:right="0" w:firstLine="0"/>
              <w:rPr>
                <w:sz w:val="18"/>
              </w:rPr>
            </w:pPr>
            <w:r>
              <w:rPr>
                <w:sz w:val="18"/>
              </w:rPr>
              <w:t xml:space="preserve">Total </w:t>
            </w:r>
            <w:proofErr w:type="spellStart"/>
            <w:r>
              <w:rPr>
                <w:sz w:val="18"/>
              </w:rPr>
              <w:t>Tetrachlorodibenzo</w:t>
            </w:r>
            <w:proofErr w:type="spellEnd"/>
            <w:r>
              <w:rPr>
                <w:sz w:val="18"/>
              </w:rPr>
              <w:t xml:space="preserve">-p-dioxin (TCDD)  </w:t>
            </w:r>
          </w:p>
        </w:tc>
        <w:tc>
          <w:tcPr>
            <w:tcW w:w="1061" w:type="dxa"/>
            <w:tcBorders>
              <w:top w:val="single" w:sz="4" w:space="0" w:color="000000"/>
              <w:left w:val="single" w:sz="12" w:space="0" w:color="000000"/>
              <w:bottom w:val="single" w:sz="4" w:space="0" w:color="000000"/>
              <w:right w:val="single" w:sz="12" w:space="0" w:color="000000"/>
            </w:tcBorders>
          </w:tcPr>
          <w:p w14:paraId="594DB98D" w14:textId="17E0F961" w:rsidR="00275C60" w:rsidRDefault="00275C60" w:rsidP="00275C60">
            <w:pPr>
              <w:spacing w:after="0" w:line="259" w:lineRule="auto"/>
              <w:ind w:left="0" w:right="35" w:firstLine="0"/>
              <w:jc w:val="center"/>
              <w:rPr>
                <w:sz w:val="18"/>
              </w:rPr>
            </w:pPr>
            <w:r>
              <w:rPr>
                <w:sz w:val="18"/>
              </w:rPr>
              <w:t>41903-57-5</w:t>
            </w:r>
          </w:p>
        </w:tc>
        <w:tc>
          <w:tcPr>
            <w:tcW w:w="879" w:type="dxa"/>
            <w:tcBorders>
              <w:top w:val="single" w:sz="4" w:space="0" w:color="000000"/>
              <w:left w:val="single" w:sz="12" w:space="0" w:color="000000"/>
              <w:bottom w:val="single" w:sz="4" w:space="0" w:color="000000"/>
              <w:right w:val="single" w:sz="12" w:space="0" w:color="000000"/>
            </w:tcBorders>
          </w:tcPr>
          <w:p w14:paraId="15D4354F" w14:textId="2CCBB53D" w:rsidR="00275C60" w:rsidRDefault="00275C60" w:rsidP="00275C60">
            <w:pPr>
              <w:spacing w:after="0" w:line="259" w:lineRule="auto"/>
              <w:ind w:left="0" w:right="38" w:firstLine="0"/>
              <w:jc w:val="center"/>
              <w:rPr>
                <w:sz w:val="18"/>
              </w:rPr>
            </w:pPr>
            <w:r>
              <w:rPr>
                <w:sz w:val="18"/>
              </w:rPr>
              <w:t>0.010</w:t>
            </w:r>
          </w:p>
        </w:tc>
        <w:tc>
          <w:tcPr>
            <w:tcW w:w="895" w:type="dxa"/>
            <w:tcBorders>
              <w:top w:val="single" w:sz="4" w:space="0" w:color="000000"/>
              <w:left w:val="single" w:sz="12" w:space="0" w:color="000000"/>
              <w:bottom w:val="single" w:sz="4" w:space="0" w:color="000000"/>
              <w:right w:val="single" w:sz="12" w:space="0" w:color="000000"/>
            </w:tcBorders>
          </w:tcPr>
          <w:p w14:paraId="090DDE6F" w14:textId="1DF4A514" w:rsidR="00275C60" w:rsidRDefault="00275C60" w:rsidP="00275C60">
            <w:pPr>
              <w:spacing w:after="0" w:line="259" w:lineRule="auto"/>
              <w:ind w:left="46" w:right="0" w:firstLine="0"/>
              <w:rPr>
                <w:sz w:val="18"/>
              </w:rPr>
            </w:pPr>
            <w:r>
              <w:rPr>
                <w:sz w:val="18"/>
              </w:rPr>
              <w:t>ng/L</w:t>
            </w:r>
            <w:r>
              <w:rPr>
                <w:i/>
                <w:sz w:val="18"/>
              </w:rPr>
              <w:t xml:space="preserve"> (ppt)</w:t>
            </w:r>
          </w:p>
        </w:tc>
        <w:tc>
          <w:tcPr>
            <w:tcW w:w="627" w:type="dxa"/>
            <w:tcBorders>
              <w:top w:val="single" w:sz="4" w:space="0" w:color="000000"/>
              <w:left w:val="single" w:sz="12" w:space="0" w:color="000000"/>
              <w:bottom w:val="single" w:sz="4" w:space="0" w:color="000000"/>
              <w:right w:val="single" w:sz="12" w:space="0" w:color="000000"/>
            </w:tcBorders>
          </w:tcPr>
          <w:p w14:paraId="741B0DC8" w14:textId="4D6DA16B" w:rsidR="00275C60" w:rsidRDefault="00275C60" w:rsidP="00275C60">
            <w:pPr>
              <w:spacing w:after="0" w:line="259" w:lineRule="auto"/>
              <w:ind w:left="0" w:right="35" w:firstLine="0"/>
              <w:jc w:val="center"/>
              <w:rPr>
                <w:sz w:val="18"/>
              </w:rPr>
            </w:pPr>
            <w:r>
              <w:rPr>
                <w:sz w:val="18"/>
              </w:rPr>
              <w:t>1.0</w:t>
            </w:r>
          </w:p>
        </w:tc>
        <w:tc>
          <w:tcPr>
            <w:tcW w:w="1074" w:type="dxa"/>
            <w:tcBorders>
              <w:top w:val="single" w:sz="4" w:space="0" w:color="000000"/>
              <w:left w:val="single" w:sz="12" w:space="0" w:color="000000"/>
              <w:bottom w:val="single" w:sz="4" w:space="0" w:color="000000"/>
              <w:right w:val="single" w:sz="12" w:space="0" w:color="000000"/>
            </w:tcBorders>
          </w:tcPr>
          <w:p w14:paraId="4CEC9A1B" w14:textId="01D665B5" w:rsidR="00275C60" w:rsidRDefault="00275C60" w:rsidP="00275C60">
            <w:pPr>
              <w:spacing w:after="0" w:line="259" w:lineRule="auto"/>
              <w:ind w:left="101" w:right="0" w:firstLine="0"/>
              <w:rPr>
                <w:sz w:val="18"/>
              </w:rPr>
            </w:pPr>
            <w:r>
              <w:rPr>
                <w:sz w:val="18"/>
              </w:rPr>
              <w:t xml:space="preserve">ng/kg </w:t>
            </w:r>
            <w:r>
              <w:rPr>
                <w:i/>
                <w:sz w:val="18"/>
              </w:rPr>
              <w:t>(ppt)</w:t>
            </w:r>
          </w:p>
        </w:tc>
        <w:tc>
          <w:tcPr>
            <w:tcW w:w="724" w:type="dxa"/>
            <w:tcBorders>
              <w:top w:val="single" w:sz="4" w:space="0" w:color="000000"/>
              <w:left w:val="single" w:sz="12" w:space="0" w:color="000000"/>
              <w:bottom w:val="single" w:sz="4" w:space="0" w:color="000000"/>
              <w:right w:val="single" w:sz="12" w:space="0" w:color="000000"/>
            </w:tcBorders>
            <w:vAlign w:val="center"/>
          </w:tcPr>
          <w:p w14:paraId="2BE0DFBE" w14:textId="19089072" w:rsidR="00275C60" w:rsidRDefault="00275C60" w:rsidP="00A53A74">
            <w:pPr>
              <w:spacing w:after="0" w:line="259" w:lineRule="auto"/>
              <w:ind w:left="122" w:right="0" w:firstLine="0"/>
              <w:jc w:val="center"/>
              <w:rPr>
                <w:sz w:val="18"/>
              </w:rPr>
            </w:pPr>
            <w:r>
              <w:rPr>
                <w:sz w:val="18"/>
              </w:rPr>
              <w:t>8290</w:t>
            </w:r>
          </w:p>
        </w:tc>
        <w:tc>
          <w:tcPr>
            <w:tcW w:w="720" w:type="dxa"/>
            <w:tcBorders>
              <w:top w:val="single" w:sz="4" w:space="0" w:color="000000"/>
              <w:left w:val="single" w:sz="12" w:space="0" w:color="000000"/>
              <w:bottom w:val="single" w:sz="4" w:space="0" w:color="000000"/>
              <w:right w:val="single" w:sz="12" w:space="0" w:color="000000"/>
            </w:tcBorders>
            <w:vAlign w:val="center"/>
          </w:tcPr>
          <w:p w14:paraId="6CF43F02" w14:textId="789A2806" w:rsidR="00275C60" w:rsidRDefault="00275C60" w:rsidP="00E27BBE">
            <w:pPr>
              <w:spacing w:after="0" w:line="259" w:lineRule="auto"/>
              <w:ind w:left="84" w:right="0" w:firstLine="0"/>
              <w:rPr>
                <w:sz w:val="18"/>
              </w:rPr>
            </w:pPr>
            <w:r>
              <w:rPr>
                <w:sz w:val="18"/>
              </w:rPr>
              <w:t xml:space="preserve">1613 </w:t>
            </w:r>
            <w:r w:rsidRPr="00633D05">
              <w:rPr>
                <w:b/>
                <w:bCs/>
                <w:sz w:val="18"/>
                <w:vertAlign w:val="superscript"/>
              </w:rPr>
              <w:t>8</w:t>
            </w:r>
          </w:p>
        </w:tc>
      </w:tr>
      <w:tr w:rsidR="00C84A5D" w14:paraId="61957899" w14:textId="77777777" w:rsidTr="00EA643D">
        <w:trPr>
          <w:trHeight w:val="250"/>
        </w:trPr>
        <w:tc>
          <w:tcPr>
            <w:tcW w:w="4640" w:type="dxa"/>
            <w:tcBorders>
              <w:top w:val="single" w:sz="4" w:space="0" w:color="000000"/>
              <w:left w:val="single" w:sz="12" w:space="0" w:color="000000"/>
              <w:bottom w:val="single" w:sz="4" w:space="0" w:color="000000"/>
              <w:right w:val="single" w:sz="12" w:space="0" w:color="000000"/>
            </w:tcBorders>
          </w:tcPr>
          <w:p w14:paraId="7EF11536" w14:textId="4CFE7161" w:rsidR="00275C60" w:rsidRDefault="00275C60" w:rsidP="00275C60">
            <w:pPr>
              <w:spacing w:after="0" w:line="259" w:lineRule="auto"/>
              <w:ind w:left="36" w:right="0" w:firstLine="0"/>
              <w:rPr>
                <w:sz w:val="18"/>
              </w:rPr>
            </w:pPr>
            <w:r>
              <w:rPr>
                <w:sz w:val="18"/>
              </w:rPr>
              <w:t xml:space="preserve">Total </w:t>
            </w:r>
            <w:proofErr w:type="spellStart"/>
            <w:r>
              <w:rPr>
                <w:sz w:val="18"/>
              </w:rPr>
              <w:t>Pentachlorodibenzo</w:t>
            </w:r>
            <w:proofErr w:type="spellEnd"/>
            <w:r>
              <w:rPr>
                <w:sz w:val="18"/>
              </w:rPr>
              <w:t>-p-dioxin (</w:t>
            </w:r>
            <w:proofErr w:type="spellStart"/>
            <w:r>
              <w:rPr>
                <w:sz w:val="18"/>
              </w:rPr>
              <w:t>PeCDD</w:t>
            </w:r>
            <w:proofErr w:type="spellEnd"/>
            <w:r>
              <w:rPr>
                <w:sz w:val="18"/>
              </w:rPr>
              <w:t xml:space="preserve">) </w:t>
            </w:r>
          </w:p>
        </w:tc>
        <w:tc>
          <w:tcPr>
            <w:tcW w:w="1061" w:type="dxa"/>
            <w:tcBorders>
              <w:top w:val="single" w:sz="4" w:space="0" w:color="000000"/>
              <w:left w:val="single" w:sz="12" w:space="0" w:color="000000"/>
              <w:bottom w:val="single" w:sz="4" w:space="0" w:color="000000"/>
              <w:right w:val="single" w:sz="12" w:space="0" w:color="000000"/>
            </w:tcBorders>
          </w:tcPr>
          <w:p w14:paraId="01C7A1E5" w14:textId="5850722D" w:rsidR="00275C60" w:rsidRDefault="00275C60" w:rsidP="00275C60">
            <w:pPr>
              <w:spacing w:after="0" w:line="259" w:lineRule="auto"/>
              <w:ind w:left="0" w:right="35" w:firstLine="0"/>
              <w:jc w:val="center"/>
              <w:rPr>
                <w:sz w:val="18"/>
              </w:rPr>
            </w:pPr>
            <w:r>
              <w:rPr>
                <w:sz w:val="18"/>
              </w:rPr>
              <w:t>36088-22-9</w:t>
            </w:r>
          </w:p>
        </w:tc>
        <w:tc>
          <w:tcPr>
            <w:tcW w:w="879" w:type="dxa"/>
            <w:tcBorders>
              <w:top w:val="single" w:sz="4" w:space="0" w:color="000000"/>
              <w:left w:val="single" w:sz="12" w:space="0" w:color="000000"/>
              <w:bottom w:val="single" w:sz="4" w:space="0" w:color="000000"/>
              <w:right w:val="single" w:sz="12" w:space="0" w:color="000000"/>
            </w:tcBorders>
          </w:tcPr>
          <w:p w14:paraId="629A899C" w14:textId="2138FD52" w:rsidR="00275C60" w:rsidRDefault="00275C60" w:rsidP="00275C60">
            <w:pPr>
              <w:spacing w:after="0" w:line="259" w:lineRule="auto"/>
              <w:ind w:left="0" w:right="38" w:firstLine="0"/>
              <w:jc w:val="center"/>
              <w:rPr>
                <w:sz w:val="18"/>
              </w:rPr>
            </w:pPr>
            <w:r>
              <w:rPr>
                <w:sz w:val="18"/>
              </w:rPr>
              <w:t>0.010</w:t>
            </w:r>
          </w:p>
        </w:tc>
        <w:tc>
          <w:tcPr>
            <w:tcW w:w="895" w:type="dxa"/>
            <w:tcBorders>
              <w:top w:val="single" w:sz="4" w:space="0" w:color="000000"/>
              <w:left w:val="single" w:sz="12" w:space="0" w:color="000000"/>
              <w:bottom w:val="single" w:sz="4" w:space="0" w:color="000000"/>
              <w:right w:val="single" w:sz="12" w:space="0" w:color="000000"/>
            </w:tcBorders>
          </w:tcPr>
          <w:p w14:paraId="5D9E0116" w14:textId="225AE585" w:rsidR="00275C60" w:rsidRDefault="00275C60" w:rsidP="00275C60">
            <w:pPr>
              <w:spacing w:after="0" w:line="259" w:lineRule="auto"/>
              <w:ind w:left="46" w:right="0" w:firstLine="0"/>
              <w:rPr>
                <w:sz w:val="18"/>
              </w:rPr>
            </w:pPr>
            <w:r>
              <w:rPr>
                <w:sz w:val="18"/>
              </w:rPr>
              <w:t>ng/L</w:t>
            </w:r>
            <w:r>
              <w:rPr>
                <w:i/>
                <w:sz w:val="18"/>
              </w:rPr>
              <w:t xml:space="preserve"> (ppt)</w:t>
            </w:r>
          </w:p>
        </w:tc>
        <w:tc>
          <w:tcPr>
            <w:tcW w:w="627" w:type="dxa"/>
            <w:tcBorders>
              <w:top w:val="single" w:sz="4" w:space="0" w:color="000000"/>
              <w:left w:val="single" w:sz="12" w:space="0" w:color="000000"/>
              <w:bottom w:val="single" w:sz="4" w:space="0" w:color="000000"/>
              <w:right w:val="single" w:sz="12" w:space="0" w:color="000000"/>
            </w:tcBorders>
          </w:tcPr>
          <w:p w14:paraId="119C8A8D" w14:textId="1423D1AC" w:rsidR="00275C60" w:rsidRDefault="00275C60" w:rsidP="00275C60">
            <w:pPr>
              <w:spacing w:after="0" w:line="259" w:lineRule="auto"/>
              <w:ind w:left="0" w:right="35" w:firstLine="0"/>
              <w:jc w:val="center"/>
              <w:rPr>
                <w:sz w:val="18"/>
              </w:rPr>
            </w:pPr>
            <w:r>
              <w:rPr>
                <w:sz w:val="18"/>
              </w:rPr>
              <w:t>1.0</w:t>
            </w:r>
          </w:p>
        </w:tc>
        <w:tc>
          <w:tcPr>
            <w:tcW w:w="1074" w:type="dxa"/>
            <w:tcBorders>
              <w:top w:val="single" w:sz="4" w:space="0" w:color="000000"/>
              <w:left w:val="single" w:sz="12" w:space="0" w:color="000000"/>
              <w:bottom w:val="single" w:sz="4" w:space="0" w:color="000000"/>
              <w:right w:val="single" w:sz="12" w:space="0" w:color="000000"/>
            </w:tcBorders>
          </w:tcPr>
          <w:p w14:paraId="3D7C09BB" w14:textId="3D2F695C" w:rsidR="00275C60" w:rsidRDefault="00275C60" w:rsidP="00275C60">
            <w:pPr>
              <w:spacing w:after="0" w:line="259" w:lineRule="auto"/>
              <w:ind w:left="101" w:right="0" w:firstLine="0"/>
              <w:rPr>
                <w:sz w:val="18"/>
              </w:rPr>
            </w:pPr>
            <w:r>
              <w:rPr>
                <w:sz w:val="18"/>
              </w:rPr>
              <w:t xml:space="preserve">ng/kg </w:t>
            </w:r>
            <w:r>
              <w:rPr>
                <w:i/>
                <w:sz w:val="18"/>
              </w:rPr>
              <w:t>(ppt)</w:t>
            </w:r>
          </w:p>
        </w:tc>
        <w:tc>
          <w:tcPr>
            <w:tcW w:w="724" w:type="dxa"/>
            <w:tcBorders>
              <w:top w:val="single" w:sz="4" w:space="0" w:color="000000"/>
              <w:left w:val="single" w:sz="12" w:space="0" w:color="000000"/>
              <w:bottom w:val="single" w:sz="4" w:space="0" w:color="000000"/>
              <w:right w:val="single" w:sz="12" w:space="0" w:color="000000"/>
            </w:tcBorders>
            <w:vAlign w:val="center"/>
          </w:tcPr>
          <w:p w14:paraId="5A8E21D9" w14:textId="5EE9B8E6" w:rsidR="00275C60" w:rsidRDefault="00275C60" w:rsidP="00A53A74">
            <w:pPr>
              <w:spacing w:after="0" w:line="259" w:lineRule="auto"/>
              <w:ind w:left="122" w:right="0" w:firstLine="0"/>
              <w:jc w:val="center"/>
              <w:rPr>
                <w:sz w:val="18"/>
              </w:rPr>
            </w:pPr>
            <w:r>
              <w:rPr>
                <w:sz w:val="18"/>
              </w:rPr>
              <w:t>8290</w:t>
            </w:r>
          </w:p>
        </w:tc>
        <w:tc>
          <w:tcPr>
            <w:tcW w:w="720" w:type="dxa"/>
            <w:tcBorders>
              <w:top w:val="single" w:sz="4" w:space="0" w:color="000000"/>
              <w:left w:val="single" w:sz="12" w:space="0" w:color="000000"/>
              <w:bottom w:val="single" w:sz="4" w:space="0" w:color="000000"/>
              <w:right w:val="single" w:sz="12" w:space="0" w:color="000000"/>
            </w:tcBorders>
            <w:vAlign w:val="center"/>
          </w:tcPr>
          <w:p w14:paraId="19B576A6" w14:textId="47673E86" w:rsidR="00275C60" w:rsidRDefault="00275C60" w:rsidP="00E27BBE">
            <w:pPr>
              <w:spacing w:after="0" w:line="259" w:lineRule="auto"/>
              <w:ind w:left="84" w:right="0" w:firstLine="0"/>
              <w:rPr>
                <w:sz w:val="18"/>
              </w:rPr>
            </w:pPr>
            <w:r>
              <w:rPr>
                <w:sz w:val="18"/>
              </w:rPr>
              <w:t xml:space="preserve">1613 </w:t>
            </w:r>
            <w:r w:rsidRPr="00633D05">
              <w:rPr>
                <w:b/>
                <w:bCs/>
                <w:sz w:val="18"/>
                <w:vertAlign w:val="superscript"/>
              </w:rPr>
              <w:t>8</w:t>
            </w:r>
          </w:p>
        </w:tc>
      </w:tr>
      <w:tr w:rsidR="00C84A5D" w14:paraId="326338F9" w14:textId="77777777" w:rsidTr="00EA643D">
        <w:trPr>
          <w:trHeight w:val="250"/>
        </w:trPr>
        <w:tc>
          <w:tcPr>
            <w:tcW w:w="4640" w:type="dxa"/>
            <w:tcBorders>
              <w:top w:val="single" w:sz="4" w:space="0" w:color="000000"/>
              <w:left w:val="single" w:sz="12" w:space="0" w:color="000000"/>
              <w:bottom w:val="single" w:sz="4" w:space="0" w:color="000000"/>
              <w:right w:val="single" w:sz="12" w:space="0" w:color="000000"/>
            </w:tcBorders>
          </w:tcPr>
          <w:p w14:paraId="7FFE3900" w14:textId="5ED674E4" w:rsidR="00275C60" w:rsidRDefault="00275C60" w:rsidP="00275C60">
            <w:pPr>
              <w:spacing w:after="0" w:line="259" w:lineRule="auto"/>
              <w:ind w:left="36" w:right="0" w:firstLine="0"/>
              <w:rPr>
                <w:sz w:val="18"/>
              </w:rPr>
            </w:pPr>
            <w:r>
              <w:rPr>
                <w:sz w:val="18"/>
              </w:rPr>
              <w:t xml:space="preserve">Total </w:t>
            </w:r>
            <w:proofErr w:type="spellStart"/>
            <w:r>
              <w:rPr>
                <w:sz w:val="18"/>
              </w:rPr>
              <w:t>Hexachlorodibenzo</w:t>
            </w:r>
            <w:proofErr w:type="spellEnd"/>
            <w:r>
              <w:rPr>
                <w:sz w:val="18"/>
              </w:rPr>
              <w:t>-p-dioxin (</w:t>
            </w:r>
            <w:proofErr w:type="spellStart"/>
            <w:r>
              <w:rPr>
                <w:sz w:val="18"/>
              </w:rPr>
              <w:t>HxCDD</w:t>
            </w:r>
            <w:proofErr w:type="spellEnd"/>
            <w:r>
              <w:rPr>
                <w:sz w:val="18"/>
              </w:rPr>
              <w:t xml:space="preserve">) </w:t>
            </w:r>
          </w:p>
        </w:tc>
        <w:tc>
          <w:tcPr>
            <w:tcW w:w="1061" w:type="dxa"/>
            <w:tcBorders>
              <w:top w:val="single" w:sz="4" w:space="0" w:color="000000"/>
              <w:left w:val="single" w:sz="12" w:space="0" w:color="000000"/>
              <w:bottom w:val="single" w:sz="4" w:space="0" w:color="000000"/>
              <w:right w:val="single" w:sz="12" w:space="0" w:color="000000"/>
            </w:tcBorders>
          </w:tcPr>
          <w:p w14:paraId="56DDA6BD" w14:textId="644F4357" w:rsidR="00275C60" w:rsidRDefault="00275C60" w:rsidP="00275C60">
            <w:pPr>
              <w:spacing w:after="0" w:line="259" w:lineRule="auto"/>
              <w:ind w:left="0" w:right="35" w:firstLine="0"/>
              <w:jc w:val="center"/>
              <w:rPr>
                <w:sz w:val="18"/>
              </w:rPr>
            </w:pPr>
            <w:r>
              <w:rPr>
                <w:sz w:val="18"/>
              </w:rPr>
              <w:t>34465-46-8</w:t>
            </w:r>
          </w:p>
        </w:tc>
        <w:tc>
          <w:tcPr>
            <w:tcW w:w="879" w:type="dxa"/>
            <w:tcBorders>
              <w:top w:val="single" w:sz="4" w:space="0" w:color="000000"/>
              <w:left w:val="single" w:sz="12" w:space="0" w:color="000000"/>
              <w:bottom w:val="single" w:sz="4" w:space="0" w:color="000000"/>
              <w:right w:val="single" w:sz="12" w:space="0" w:color="000000"/>
            </w:tcBorders>
          </w:tcPr>
          <w:p w14:paraId="105296AD" w14:textId="4FD74BC1" w:rsidR="00275C60" w:rsidRDefault="00275C60" w:rsidP="00275C60">
            <w:pPr>
              <w:spacing w:after="0" w:line="259" w:lineRule="auto"/>
              <w:ind w:left="0" w:right="38" w:firstLine="0"/>
              <w:jc w:val="center"/>
              <w:rPr>
                <w:sz w:val="18"/>
              </w:rPr>
            </w:pPr>
            <w:r>
              <w:rPr>
                <w:sz w:val="18"/>
              </w:rPr>
              <w:t>0.025</w:t>
            </w:r>
          </w:p>
        </w:tc>
        <w:tc>
          <w:tcPr>
            <w:tcW w:w="895" w:type="dxa"/>
            <w:tcBorders>
              <w:top w:val="single" w:sz="4" w:space="0" w:color="000000"/>
              <w:left w:val="single" w:sz="12" w:space="0" w:color="000000"/>
              <w:bottom w:val="single" w:sz="4" w:space="0" w:color="000000"/>
              <w:right w:val="single" w:sz="12" w:space="0" w:color="000000"/>
            </w:tcBorders>
          </w:tcPr>
          <w:p w14:paraId="4B6B218C" w14:textId="1181FB37" w:rsidR="00275C60" w:rsidRDefault="00275C60" w:rsidP="00275C60">
            <w:pPr>
              <w:spacing w:after="0" w:line="259" w:lineRule="auto"/>
              <w:ind w:left="46" w:right="0" w:firstLine="0"/>
              <w:rPr>
                <w:sz w:val="18"/>
              </w:rPr>
            </w:pPr>
            <w:r>
              <w:rPr>
                <w:sz w:val="18"/>
              </w:rPr>
              <w:t>ng/L</w:t>
            </w:r>
            <w:r>
              <w:rPr>
                <w:i/>
                <w:sz w:val="18"/>
              </w:rPr>
              <w:t xml:space="preserve"> (ppt)</w:t>
            </w:r>
          </w:p>
        </w:tc>
        <w:tc>
          <w:tcPr>
            <w:tcW w:w="627" w:type="dxa"/>
            <w:tcBorders>
              <w:top w:val="single" w:sz="4" w:space="0" w:color="000000"/>
              <w:left w:val="single" w:sz="12" w:space="0" w:color="000000"/>
              <w:bottom w:val="single" w:sz="4" w:space="0" w:color="000000"/>
              <w:right w:val="single" w:sz="12" w:space="0" w:color="000000"/>
            </w:tcBorders>
          </w:tcPr>
          <w:p w14:paraId="67F2C243" w14:textId="428F2720" w:rsidR="00275C60" w:rsidRDefault="00275C60" w:rsidP="00275C60">
            <w:pPr>
              <w:spacing w:after="0" w:line="259" w:lineRule="auto"/>
              <w:ind w:left="0" w:right="35" w:firstLine="0"/>
              <w:jc w:val="center"/>
              <w:rPr>
                <w:sz w:val="18"/>
              </w:rPr>
            </w:pPr>
            <w:r>
              <w:rPr>
                <w:sz w:val="18"/>
              </w:rPr>
              <w:t>2.5</w:t>
            </w:r>
          </w:p>
        </w:tc>
        <w:tc>
          <w:tcPr>
            <w:tcW w:w="1074" w:type="dxa"/>
            <w:tcBorders>
              <w:top w:val="single" w:sz="4" w:space="0" w:color="000000"/>
              <w:left w:val="single" w:sz="12" w:space="0" w:color="000000"/>
              <w:bottom w:val="single" w:sz="4" w:space="0" w:color="000000"/>
              <w:right w:val="single" w:sz="12" w:space="0" w:color="000000"/>
            </w:tcBorders>
          </w:tcPr>
          <w:p w14:paraId="67136C57" w14:textId="08DCCEAB" w:rsidR="00275C60" w:rsidRDefault="00275C60" w:rsidP="00275C60">
            <w:pPr>
              <w:spacing w:after="0" w:line="259" w:lineRule="auto"/>
              <w:ind w:left="101" w:right="0" w:firstLine="0"/>
              <w:rPr>
                <w:sz w:val="18"/>
              </w:rPr>
            </w:pPr>
            <w:r>
              <w:rPr>
                <w:sz w:val="18"/>
              </w:rPr>
              <w:t xml:space="preserve">ng/kg </w:t>
            </w:r>
            <w:r>
              <w:rPr>
                <w:i/>
                <w:sz w:val="18"/>
              </w:rPr>
              <w:t>(ppt)</w:t>
            </w:r>
          </w:p>
        </w:tc>
        <w:tc>
          <w:tcPr>
            <w:tcW w:w="724" w:type="dxa"/>
            <w:tcBorders>
              <w:top w:val="single" w:sz="4" w:space="0" w:color="000000"/>
              <w:left w:val="single" w:sz="12" w:space="0" w:color="000000"/>
              <w:bottom w:val="single" w:sz="4" w:space="0" w:color="000000"/>
              <w:right w:val="single" w:sz="12" w:space="0" w:color="000000"/>
            </w:tcBorders>
            <w:vAlign w:val="center"/>
          </w:tcPr>
          <w:p w14:paraId="6F3023F0" w14:textId="19F13A02" w:rsidR="00275C60" w:rsidRDefault="00275C60" w:rsidP="00A53A74">
            <w:pPr>
              <w:spacing w:after="0" w:line="259" w:lineRule="auto"/>
              <w:ind w:left="122" w:right="0" w:firstLine="0"/>
              <w:jc w:val="center"/>
              <w:rPr>
                <w:sz w:val="18"/>
              </w:rPr>
            </w:pPr>
            <w:r>
              <w:rPr>
                <w:sz w:val="18"/>
              </w:rPr>
              <w:t>8290</w:t>
            </w:r>
          </w:p>
        </w:tc>
        <w:tc>
          <w:tcPr>
            <w:tcW w:w="720" w:type="dxa"/>
            <w:tcBorders>
              <w:top w:val="single" w:sz="4" w:space="0" w:color="000000"/>
              <w:left w:val="single" w:sz="12" w:space="0" w:color="000000"/>
              <w:bottom w:val="single" w:sz="4" w:space="0" w:color="000000"/>
              <w:right w:val="single" w:sz="12" w:space="0" w:color="000000"/>
            </w:tcBorders>
            <w:vAlign w:val="center"/>
          </w:tcPr>
          <w:p w14:paraId="24DFA254" w14:textId="564B27EE" w:rsidR="00275C60" w:rsidRDefault="00275C60" w:rsidP="00E27BBE">
            <w:pPr>
              <w:spacing w:after="0" w:line="259" w:lineRule="auto"/>
              <w:ind w:left="84" w:right="0" w:firstLine="0"/>
              <w:rPr>
                <w:sz w:val="18"/>
              </w:rPr>
            </w:pPr>
            <w:r>
              <w:rPr>
                <w:sz w:val="18"/>
              </w:rPr>
              <w:t xml:space="preserve">1613 </w:t>
            </w:r>
            <w:r w:rsidRPr="00633D05">
              <w:rPr>
                <w:b/>
                <w:bCs/>
                <w:sz w:val="18"/>
                <w:vertAlign w:val="superscript"/>
              </w:rPr>
              <w:t>8</w:t>
            </w:r>
          </w:p>
        </w:tc>
      </w:tr>
      <w:tr w:rsidR="00C84A5D" w14:paraId="350B910A" w14:textId="77777777" w:rsidTr="00EA643D">
        <w:trPr>
          <w:trHeight w:val="250"/>
        </w:trPr>
        <w:tc>
          <w:tcPr>
            <w:tcW w:w="4640" w:type="dxa"/>
            <w:tcBorders>
              <w:top w:val="single" w:sz="4" w:space="0" w:color="000000"/>
              <w:left w:val="single" w:sz="12" w:space="0" w:color="000000"/>
              <w:bottom w:val="single" w:sz="4" w:space="0" w:color="000000"/>
              <w:right w:val="single" w:sz="12" w:space="0" w:color="000000"/>
            </w:tcBorders>
          </w:tcPr>
          <w:p w14:paraId="3A543128" w14:textId="1C47C10F" w:rsidR="00275C60" w:rsidRDefault="00275C60" w:rsidP="00275C60">
            <w:pPr>
              <w:spacing w:after="0" w:line="259" w:lineRule="auto"/>
              <w:ind w:left="36" w:right="0" w:firstLine="0"/>
              <w:rPr>
                <w:sz w:val="18"/>
              </w:rPr>
            </w:pPr>
            <w:r>
              <w:rPr>
                <w:sz w:val="18"/>
              </w:rPr>
              <w:t xml:space="preserve">Total </w:t>
            </w:r>
            <w:proofErr w:type="spellStart"/>
            <w:r>
              <w:rPr>
                <w:sz w:val="18"/>
              </w:rPr>
              <w:t>Heptachlorodibenzo</w:t>
            </w:r>
            <w:proofErr w:type="spellEnd"/>
            <w:r>
              <w:rPr>
                <w:sz w:val="18"/>
              </w:rPr>
              <w:t>-p-dioxin (</w:t>
            </w:r>
            <w:proofErr w:type="spellStart"/>
            <w:r>
              <w:rPr>
                <w:sz w:val="18"/>
              </w:rPr>
              <w:t>HpCDD</w:t>
            </w:r>
            <w:proofErr w:type="spellEnd"/>
            <w:r>
              <w:rPr>
                <w:sz w:val="18"/>
              </w:rPr>
              <w:t xml:space="preserve">) </w:t>
            </w:r>
          </w:p>
        </w:tc>
        <w:tc>
          <w:tcPr>
            <w:tcW w:w="1061" w:type="dxa"/>
            <w:tcBorders>
              <w:top w:val="single" w:sz="4" w:space="0" w:color="000000"/>
              <w:left w:val="single" w:sz="12" w:space="0" w:color="000000"/>
              <w:bottom w:val="single" w:sz="4" w:space="0" w:color="000000"/>
              <w:right w:val="single" w:sz="12" w:space="0" w:color="000000"/>
            </w:tcBorders>
          </w:tcPr>
          <w:p w14:paraId="4AEE9303" w14:textId="07C62FFF" w:rsidR="00275C60" w:rsidRDefault="00275C60" w:rsidP="00275C60">
            <w:pPr>
              <w:spacing w:after="0" w:line="259" w:lineRule="auto"/>
              <w:ind w:left="0" w:right="35" w:firstLine="0"/>
              <w:jc w:val="center"/>
              <w:rPr>
                <w:sz w:val="18"/>
              </w:rPr>
            </w:pPr>
            <w:r>
              <w:rPr>
                <w:sz w:val="18"/>
              </w:rPr>
              <w:t>37871-00-4</w:t>
            </w:r>
          </w:p>
        </w:tc>
        <w:tc>
          <w:tcPr>
            <w:tcW w:w="879" w:type="dxa"/>
            <w:tcBorders>
              <w:top w:val="single" w:sz="4" w:space="0" w:color="000000"/>
              <w:left w:val="single" w:sz="12" w:space="0" w:color="000000"/>
              <w:bottom w:val="single" w:sz="4" w:space="0" w:color="000000"/>
              <w:right w:val="single" w:sz="12" w:space="0" w:color="000000"/>
            </w:tcBorders>
          </w:tcPr>
          <w:p w14:paraId="3D8ABEDE" w14:textId="592C116B" w:rsidR="00275C60" w:rsidRDefault="00275C60" w:rsidP="00275C60">
            <w:pPr>
              <w:spacing w:after="0" w:line="259" w:lineRule="auto"/>
              <w:ind w:left="0" w:right="38" w:firstLine="0"/>
              <w:jc w:val="center"/>
              <w:rPr>
                <w:sz w:val="18"/>
              </w:rPr>
            </w:pPr>
            <w:r>
              <w:rPr>
                <w:sz w:val="18"/>
              </w:rPr>
              <w:t>0.025</w:t>
            </w:r>
          </w:p>
        </w:tc>
        <w:tc>
          <w:tcPr>
            <w:tcW w:w="895" w:type="dxa"/>
            <w:tcBorders>
              <w:top w:val="single" w:sz="4" w:space="0" w:color="000000"/>
              <w:left w:val="single" w:sz="12" w:space="0" w:color="000000"/>
              <w:bottom w:val="single" w:sz="4" w:space="0" w:color="000000"/>
              <w:right w:val="single" w:sz="12" w:space="0" w:color="000000"/>
            </w:tcBorders>
          </w:tcPr>
          <w:p w14:paraId="0EC93041" w14:textId="0AA5102A" w:rsidR="00275C60" w:rsidRDefault="00275C60" w:rsidP="00275C60">
            <w:pPr>
              <w:spacing w:after="0" w:line="259" w:lineRule="auto"/>
              <w:ind w:left="46" w:right="0" w:firstLine="0"/>
              <w:rPr>
                <w:sz w:val="18"/>
              </w:rPr>
            </w:pPr>
            <w:r>
              <w:rPr>
                <w:sz w:val="18"/>
              </w:rPr>
              <w:t>ng/L</w:t>
            </w:r>
            <w:r>
              <w:rPr>
                <w:i/>
                <w:sz w:val="18"/>
              </w:rPr>
              <w:t xml:space="preserve"> (ppt)</w:t>
            </w:r>
          </w:p>
        </w:tc>
        <w:tc>
          <w:tcPr>
            <w:tcW w:w="627" w:type="dxa"/>
            <w:tcBorders>
              <w:top w:val="single" w:sz="4" w:space="0" w:color="000000"/>
              <w:left w:val="single" w:sz="12" w:space="0" w:color="000000"/>
              <w:bottom w:val="single" w:sz="4" w:space="0" w:color="000000"/>
              <w:right w:val="single" w:sz="12" w:space="0" w:color="000000"/>
            </w:tcBorders>
          </w:tcPr>
          <w:p w14:paraId="574CECC7" w14:textId="7969CA03" w:rsidR="00275C60" w:rsidRDefault="00275C60" w:rsidP="00275C60">
            <w:pPr>
              <w:spacing w:after="0" w:line="259" w:lineRule="auto"/>
              <w:ind w:left="0" w:right="35" w:firstLine="0"/>
              <w:jc w:val="center"/>
              <w:rPr>
                <w:sz w:val="18"/>
              </w:rPr>
            </w:pPr>
            <w:r>
              <w:rPr>
                <w:sz w:val="18"/>
              </w:rPr>
              <w:t>2.5</w:t>
            </w:r>
          </w:p>
        </w:tc>
        <w:tc>
          <w:tcPr>
            <w:tcW w:w="1074" w:type="dxa"/>
            <w:tcBorders>
              <w:top w:val="single" w:sz="4" w:space="0" w:color="000000"/>
              <w:left w:val="single" w:sz="12" w:space="0" w:color="000000"/>
              <w:bottom w:val="single" w:sz="4" w:space="0" w:color="000000"/>
              <w:right w:val="single" w:sz="12" w:space="0" w:color="000000"/>
            </w:tcBorders>
          </w:tcPr>
          <w:p w14:paraId="3D246CDA" w14:textId="6A77BC1D" w:rsidR="00275C60" w:rsidRDefault="00275C60" w:rsidP="00275C60">
            <w:pPr>
              <w:spacing w:after="0" w:line="259" w:lineRule="auto"/>
              <w:ind w:left="101" w:right="0" w:firstLine="0"/>
              <w:rPr>
                <w:sz w:val="18"/>
              </w:rPr>
            </w:pPr>
            <w:r>
              <w:rPr>
                <w:sz w:val="18"/>
              </w:rPr>
              <w:t xml:space="preserve">ng/kg </w:t>
            </w:r>
            <w:r>
              <w:rPr>
                <w:i/>
                <w:sz w:val="18"/>
              </w:rPr>
              <w:t>(ppt)</w:t>
            </w:r>
          </w:p>
        </w:tc>
        <w:tc>
          <w:tcPr>
            <w:tcW w:w="724" w:type="dxa"/>
            <w:tcBorders>
              <w:top w:val="single" w:sz="4" w:space="0" w:color="000000"/>
              <w:left w:val="single" w:sz="12" w:space="0" w:color="000000"/>
              <w:bottom w:val="single" w:sz="4" w:space="0" w:color="000000"/>
              <w:right w:val="single" w:sz="12" w:space="0" w:color="000000"/>
            </w:tcBorders>
            <w:vAlign w:val="center"/>
          </w:tcPr>
          <w:p w14:paraId="3970C9E0" w14:textId="0E789B73" w:rsidR="00275C60" w:rsidRDefault="00275C60" w:rsidP="00A53A74">
            <w:pPr>
              <w:spacing w:after="0" w:line="259" w:lineRule="auto"/>
              <w:ind w:left="122" w:right="0" w:firstLine="0"/>
              <w:jc w:val="center"/>
              <w:rPr>
                <w:sz w:val="18"/>
              </w:rPr>
            </w:pPr>
            <w:r>
              <w:rPr>
                <w:sz w:val="18"/>
              </w:rPr>
              <w:t>8290</w:t>
            </w:r>
          </w:p>
        </w:tc>
        <w:tc>
          <w:tcPr>
            <w:tcW w:w="720" w:type="dxa"/>
            <w:tcBorders>
              <w:top w:val="single" w:sz="4" w:space="0" w:color="000000"/>
              <w:left w:val="single" w:sz="12" w:space="0" w:color="000000"/>
              <w:bottom w:val="single" w:sz="4" w:space="0" w:color="000000"/>
              <w:right w:val="single" w:sz="12" w:space="0" w:color="000000"/>
            </w:tcBorders>
            <w:vAlign w:val="center"/>
          </w:tcPr>
          <w:p w14:paraId="36FD78AF" w14:textId="43F0485E" w:rsidR="00275C60" w:rsidRDefault="00275C60" w:rsidP="00E27BBE">
            <w:pPr>
              <w:spacing w:after="0" w:line="259" w:lineRule="auto"/>
              <w:ind w:left="84" w:right="0" w:firstLine="0"/>
              <w:rPr>
                <w:sz w:val="18"/>
              </w:rPr>
            </w:pPr>
            <w:r>
              <w:rPr>
                <w:sz w:val="18"/>
              </w:rPr>
              <w:t xml:space="preserve">1613 </w:t>
            </w:r>
            <w:r w:rsidRPr="00633D05">
              <w:rPr>
                <w:b/>
                <w:bCs/>
                <w:sz w:val="18"/>
                <w:vertAlign w:val="superscript"/>
              </w:rPr>
              <w:t>8</w:t>
            </w:r>
          </w:p>
        </w:tc>
      </w:tr>
      <w:tr w:rsidR="00C84A5D" w14:paraId="042281C8" w14:textId="77777777" w:rsidTr="00EA643D">
        <w:trPr>
          <w:trHeight w:val="250"/>
        </w:trPr>
        <w:tc>
          <w:tcPr>
            <w:tcW w:w="4640" w:type="dxa"/>
            <w:tcBorders>
              <w:top w:val="single" w:sz="4" w:space="0" w:color="000000"/>
              <w:left w:val="single" w:sz="12" w:space="0" w:color="000000"/>
              <w:bottom w:val="single" w:sz="4" w:space="0" w:color="000000"/>
              <w:right w:val="single" w:sz="12" w:space="0" w:color="000000"/>
            </w:tcBorders>
          </w:tcPr>
          <w:p w14:paraId="3BB4554B" w14:textId="741523D3" w:rsidR="00275C60" w:rsidRDefault="00275C60" w:rsidP="00275C60">
            <w:pPr>
              <w:spacing w:after="0" w:line="259" w:lineRule="auto"/>
              <w:ind w:left="36" w:right="0" w:firstLine="0"/>
              <w:rPr>
                <w:sz w:val="18"/>
              </w:rPr>
            </w:pPr>
            <w:r>
              <w:rPr>
                <w:sz w:val="18"/>
              </w:rPr>
              <w:t xml:space="preserve">Total </w:t>
            </w:r>
            <w:proofErr w:type="spellStart"/>
            <w:r>
              <w:rPr>
                <w:sz w:val="18"/>
              </w:rPr>
              <w:t>Tetrachlorodibenzofuran</w:t>
            </w:r>
            <w:proofErr w:type="spellEnd"/>
            <w:r>
              <w:rPr>
                <w:sz w:val="18"/>
              </w:rPr>
              <w:t xml:space="preserve"> (TCDF) </w:t>
            </w:r>
          </w:p>
        </w:tc>
        <w:tc>
          <w:tcPr>
            <w:tcW w:w="1061" w:type="dxa"/>
            <w:tcBorders>
              <w:top w:val="single" w:sz="4" w:space="0" w:color="000000"/>
              <w:left w:val="single" w:sz="12" w:space="0" w:color="000000"/>
              <w:bottom w:val="single" w:sz="4" w:space="0" w:color="000000"/>
              <w:right w:val="single" w:sz="12" w:space="0" w:color="000000"/>
            </w:tcBorders>
          </w:tcPr>
          <w:p w14:paraId="1038E701" w14:textId="6A0C4225" w:rsidR="00275C60" w:rsidRDefault="00275C60" w:rsidP="00275C60">
            <w:pPr>
              <w:spacing w:after="0" w:line="259" w:lineRule="auto"/>
              <w:ind w:left="0" w:right="35" w:firstLine="0"/>
              <w:jc w:val="center"/>
              <w:rPr>
                <w:sz w:val="18"/>
              </w:rPr>
            </w:pPr>
            <w:r>
              <w:rPr>
                <w:sz w:val="18"/>
              </w:rPr>
              <w:t>55722-27-5</w:t>
            </w:r>
          </w:p>
        </w:tc>
        <w:tc>
          <w:tcPr>
            <w:tcW w:w="879" w:type="dxa"/>
            <w:tcBorders>
              <w:top w:val="single" w:sz="4" w:space="0" w:color="000000"/>
              <w:left w:val="single" w:sz="12" w:space="0" w:color="000000"/>
              <w:bottom w:val="single" w:sz="4" w:space="0" w:color="000000"/>
              <w:right w:val="single" w:sz="12" w:space="0" w:color="000000"/>
            </w:tcBorders>
          </w:tcPr>
          <w:p w14:paraId="7202D326" w14:textId="7352863E" w:rsidR="00275C60" w:rsidRDefault="00275C60" w:rsidP="00275C60">
            <w:pPr>
              <w:spacing w:after="0" w:line="259" w:lineRule="auto"/>
              <w:ind w:left="0" w:right="38" w:firstLine="0"/>
              <w:jc w:val="center"/>
              <w:rPr>
                <w:sz w:val="18"/>
              </w:rPr>
            </w:pPr>
            <w:r>
              <w:rPr>
                <w:sz w:val="18"/>
              </w:rPr>
              <w:t>0.010</w:t>
            </w:r>
          </w:p>
        </w:tc>
        <w:tc>
          <w:tcPr>
            <w:tcW w:w="895" w:type="dxa"/>
            <w:tcBorders>
              <w:top w:val="single" w:sz="4" w:space="0" w:color="000000"/>
              <w:left w:val="single" w:sz="12" w:space="0" w:color="000000"/>
              <w:bottom w:val="single" w:sz="4" w:space="0" w:color="000000"/>
              <w:right w:val="single" w:sz="12" w:space="0" w:color="000000"/>
            </w:tcBorders>
          </w:tcPr>
          <w:p w14:paraId="716B4513" w14:textId="3FF4DB94" w:rsidR="00275C60" w:rsidRDefault="00275C60" w:rsidP="00275C60">
            <w:pPr>
              <w:spacing w:after="0" w:line="259" w:lineRule="auto"/>
              <w:ind w:left="46" w:right="0" w:firstLine="0"/>
              <w:rPr>
                <w:sz w:val="18"/>
              </w:rPr>
            </w:pPr>
            <w:r>
              <w:rPr>
                <w:sz w:val="18"/>
              </w:rPr>
              <w:t>ng/L</w:t>
            </w:r>
            <w:r>
              <w:rPr>
                <w:i/>
                <w:sz w:val="18"/>
              </w:rPr>
              <w:t xml:space="preserve"> (ppt)</w:t>
            </w:r>
          </w:p>
        </w:tc>
        <w:tc>
          <w:tcPr>
            <w:tcW w:w="627" w:type="dxa"/>
            <w:tcBorders>
              <w:top w:val="single" w:sz="4" w:space="0" w:color="000000"/>
              <w:left w:val="single" w:sz="12" w:space="0" w:color="000000"/>
              <w:bottom w:val="single" w:sz="4" w:space="0" w:color="000000"/>
              <w:right w:val="single" w:sz="12" w:space="0" w:color="000000"/>
            </w:tcBorders>
          </w:tcPr>
          <w:p w14:paraId="3B45D5E0" w14:textId="2F989BB3" w:rsidR="00275C60" w:rsidRDefault="00275C60" w:rsidP="00275C60">
            <w:pPr>
              <w:spacing w:after="0" w:line="259" w:lineRule="auto"/>
              <w:ind w:left="0" w:right="35" w:firstLine="0"/>
              <w:jc w:val="center"/>
              <w:rPr>
                <w:sz w:val="18"/>
              </w:rPr>
            </w:pPr>
            <w:r>
              <w:rPr>
                <w:sz w:val="18"/>
              </w:rPr>
              <w:t>1.0</w:t>
            </w:r>
          </w:p>
        </w:tc>
        <w:tc>
          <w:tcPr>
            <w:tcW w:w="1074" w:type="dxa"/>
            <w:tcBorders>
              <w:top w:val="single" w:sz="4" w:space="0" w:color="000000"/>
              <w:left w:val="single" w:sz="12" w:space="0" w:color="000000"/>
              <w:bottom w:val="single" w:sz="4" w:space="0" w:color="000000"/>
              <w:right w:val="single" w:sz="12" w:space="0" w:color="000000"/>
            </w:tcBorders>
          </w:tcPr>
          <w:p w14:paraId="012AC27A" w14:textId="0C9A0131" w:rsidR="00275C60" w:rsidRDefault="00275C60" w:rsidP="00275C60">
            <w:pPr>
              <w:spacing w:after="0" w:line="259" w:lineRule="auto"/>
              <w:ind w:left="101" w:right="0" w:firstLine="0"/>
              <w:rPr>
                <w:sz w:val="18"/>
              </w:rPr>
            </w:pPr>
            <w:r>
              <w:rPr>
                <w:sz w:val="18"/>
              </w:rPr>
              <w:t xml:space="preserve">ng/kg </w:t>
            </w:r>
            <w:r>
              <w:rPr>
                <w:i/>
                <w:sz w:val="18"/>
              </w:rPr>
              <w:t>(ppt)</w:t>
            </w:r>
          </w:p>
        </w:tc>
        <w:tc>
          <w:tcPr>
            <w:tcW w:w="724" w:type="dxa"/>
            <w:tcBorders>
              <w:top w:val="single" w:sz="4" w:space="0" w:color="000000"/>
              <w:left w:val="single" w:sz="12" w:space="0" w:color="000000"/>
              <w:bottom w:val="single" w:sz="4" w:space="0" w:color="000000"/>
              <w:right w:val="single" w:sz="12" w:space="0" w:color="000000"/>
            </w:tcBorders>
            <w:vAlign w:val="center"/>
          </w:tcPr>
          <w:p w14:paraId="60737C77" w14:textId="0B2C5C24" w:rsidR="00275C60" w:rsidRDefault="00275C60" w:rsidP="00A53A74">
            <w:pPr>
              <w:spacing w:after="0" w:line="259" w:lineRule="auto"/>
              <w:ind w:left="122" w:right="0" w:firstLine="0"/>
              <w:jc w:val="center"/>
              <w:rPr>
                <w:sz w:val="18"/>
              </w:rPr>
            </w:pPr>
            <w:r>
              <w:rPr>
                <w:sz w:val="18"/>
              </w:rPr>
              <w:t>8290</w:t>
            </w:r>
          </w:p>
        </w:tc>
        <w:tc>
          <w:tcPr>
            <w:tcW w:w="720" w:type="dxa"/>
            <w:tcBorders>
              <w:top w:val="single" w:sz="4" w:space="0" w:color="000000"/>
              <w:left w:val="single" w:sz="12" w:space="0" w:color="000000"/>
              <w:bottom w:val="single" w:sz="4" w:space="0" w:color="000000"/>
              <w:right w:val="single" w:sz="12" w:space="0" w:color="000000"/>
            </w:tcBorders>
            <w:vAlign w:val="center"/>
          </w:tcPr>
          <w:p w14:paraId="497AB946" w14:textId="3FD7926A" w:rsidR="00275C60" w:rsidRDefault="00275C60" w:rsidP="00E27BBE">
            <w:pPr>
              <w:spacing w:after="0" w:line="259" w:lineRule="auto"/>
              <w:ind w:left="84" w:right="0" w:firstLine="0"/>
              <w:rPr>
                <w:sz w:val="18"/>
              </w:rPr>
            </w:pPr>
            <w:r>
              <w:rPr>
                <w:sz w:val="18"/>
              </w:rPr>
              <w:t xml:space="preserve">1613 </w:t>
            </w:r>
            <w:r w:rsidRPr="00633D05">
              <w:rPr>
                <w:b/>
                <w:bCs/>
                <w:sz w:val="18"/>
                <w:vertAlign w:val="superscript"/>
              </w:rPr>
              <w:t>8</w:t>
            </w:r>
          </w:p>
        </w:tc>
      </w:tr>
      <w:tr w:rsidR="00C84A5D" w14:paraId="4B14E3E6" w14:textId="77777777" w:rsidTr="00EA643D">
        <w:trPr>
          <w:trHeight w:val="250"/>
        </w:trPr>
        <w:tc>
          <w:tcPr>
            <w:tcW w:w="4640" w:type="dxa"/>
            <w:tcBorders>
              <w:top w:val="single" w:sz="4" w:space="0" w:color="000000"/>
              <w:left w:val="single" w:sz="12" w:space="0" w:color="000000"/>
              <w:bottom w:val="single" w:sz="4" w:space="0" w:color="000000"/>
              <w:right w:val="single" w:sz="12" w:space="0" w:color="000000"/>
            </w:tcBorders>
          </w:tcPr>
          <w:p w14:paraId="04F55368" w14:textId="4C18D555" w:rsidR="00275C60" w:rsidRDefault="00275C60" w:rsidP="00275C60">
            <w:pPr>
              <w:spacing w:after="0" w:line="259" w:lineRule="auto"/>
              <w:ind w:left="36" w:right="0" w:firstLine="0"/>
              <w:rPr>
                <w:sz w:val="18"/>
              </w:rPr>
            </w:pPr>
            <w:r>
              <w:rPr>
                <w:sz w:val="18"/>
              </w:rPr>
              <w:t xml:space="preserve">Total </w:t>
            </w:r>
            <w:proofErr w:type="spellStart"/>
            <w:r>
              <w:rPr>
                <w:sz w:val="18"/>
              </w:rPr>
              <w:t>Pentachlorodibenzofuran</w:t>
            </w:r>
            <w:proofErr w:type="spellEnd"/>
            <w:r>
              <w:rPr>
                <w:sz w:val="18"/>
              </w:rPr>
              <w:t xml:space="preserve"> (</w:t>
            </w:r>
            <w:proofErr w:type="spellStart"/>
            <w:r>
              <w:rPr>
                <w:sz w:val="18"/>
              </w:rPr>
              <w:t>PeCDF</w:t>
            </w:r>
            <w:proofErr w:type="spellEnd"/>
            <w:r>
              <w:rPr>
                <w:sz w:val="18"/>
              </w:rPr>
              <w:t xml:space="preserve">) </w:t>
            </w:r>
          </w:p>
        </w:tc>
        <w:tc>
          <w:tcPr>
            <w:tcW w:w="1061" w:type="dxa"/>
            <w:tcBorders>
              <w:top w:val="single" w:sz="4" w:space="0" w:color="000000"/>
              <w:left w:val="single" w:sz="12" w:space="0" w:color="000000"/>
              <w:bottom w:val="single" w:sz="4" w:space="0" w:color="000000"/>
              <w:right w:val="single" w:sz="12" w:space="0" w:color="000000"/>
            </w:tcBorders>
          </w:tcPr>
          <w:p w14:paraId="528D79EC" w14:textId="6FBCFC23" w:rsidR="00275C60" w:rsidRDefault="00275C60" w:rsidP="00275C60">
            <w:pPr>
              <w:spacing w:after="0" w:line="259" w:lineRule="auto"/>
              <w:ind w:left="0" w:right="35" w:firstLine="0"/>
              <w:jc w:val="center"/>
              <w:rPr>
                <w:sz w:val="18"/>
              </w:rPr>
            </w:pPr>
            <w:r>
              <w:rPr>
                <w:sz w:val="18"/>
              </w:rPr>
              <w:t>30402-15-4</w:t>
            </w:r>
          </w:p>
        </w:tc>
        <w:tc>
          <w:tcPr>
            <w:tcW w:w="879" w:type="dxa"/>
            <w:tcBorders>
              <w:top w:val="single" w:sz="4" w:space="0" w:color="000000"/>
              <w:left w:val="single" w:sz="12" w:space="0" w:color="000000"/>
              <w:bottom w:val="single" w:sz="4" w:space="0" w:color="000000"/>
              <w:right w:val="single" w:sz="12" w:space="0" w:color="000000"/>
            </w:tcBorders>
          </w:tcPr>
          <w:p w14:paraId="188B34F8" w14:textId="4021B7E3" w:rsidR="00275C60" w:rsidRDefault="00275C60" w:rsidP="00275C60">
            <w:pPr>
              <w:spacing w:after="0" w:line="259" w:lineRule="auto"/>
              <w:ind w:left="0" w:right="38" w:firstLine="0"/>
              <w:jc w:val="center"/>
              <w:rPr>
                <w:sz w:val="18"/>
              </w:rPr>
            </w:pPr>
            <w:r>
              <w:rPr>
                <w:sz w:val="18"/>
              </w:rPr>
              <w:t>0.010</w:t>
            </w:r>
          </w:p>
        </w:tc>
        <w:tc>
          <w:tcPr>
            <w:tcW w:w="895" w:type="dxa"/>
            <w:tcBorders>
              <w:top w:val="single" w:sz="4" w:space="0" w:color="000000"/>
              <w:left w:val="single" w:sz="12" w:space="0" w:color="000000"/>
              <w:bottom w:val="single" w:sz="4" w:space="0" w:color="000000"/>
              <w:right w:val="single" w:sz="12" w:space="0" w:color="000000"/>
            </w:tcBorders>
          </w:tcPr>
          <w:p w14:paraId="2F7BC697" w14:textId="68984BF7" w:rsidR="00275C60" w:rsidRDefault="00275C60" w:rsidP="00275C60">
            <w:pPr>
              <w:spacing w:after="0" w:line="259" w:lineRule="auto"/>
              <w:ind w:left="46" w:right="0" w:firstLine="0"/>
              <w:rPr>
                <w:sz w:val="18"/>
              </w:rPr>
            </w:pPr>
            <w:r>
              <w:rPr>
                <w:sz w:val="18"/>
              </w:rPr>
              <w:t>ng/L</w:t>
            </w:r>
            <w:r>
              <w:rPr>
                <w:i/>
                <w:sz w:val="18"/>
              </w:rPr>
              <w:t xml:space="preserve"> (ppt)</w:t>
            </w:r>
          </w:p>
        </w:tc>
        <w:tc>
          <w:tcPr>
            <w:tcW w:w="627" w:type="dxa"/>
            <w:tcBorders>
              <w:top w:val="single" w:sz="4" w:space="0" w:color="000000"/>
              <w:left w:val="single" w:sz="12" w:space="0" w:color="000000"/>
              <w:bottom w:val="single" w:sz="4" w:space="0" w:color="000000"/>
              <w:right w:val="single" w:sz="12" w:space="0" w:color="000000"/>
            </w:tcBorders>
          </w:tcPr>
          <w:p w14:paraId="3A7E670C" w14:textId="35A72E07" w:rsidR="00275C60" w:rsidRDefault="00275C60" w:rsidP="00275C60">
            <w:pPr>
              <w:spacing w:after="0" w:line="259" w:lineRule="auto"/>
              <w:ind w:left="0" w:right="35" w:firstLine="0"/>
              <w:jc w:val="center"/>
              <w:rPr>
                <w:sz w:val="18"/>
              </w:rPr>
            </w:pPr>
            <w:r>
              <w:rPr>
                <w:sz w:val="18"/>
              </w:rPr>
              <w:t>1.0</w:t>
            </w:r>
          </w:p>
        </w:tc>
        <w:tc>
          <w:tcPr>
            <w:tcW w:w="1074" w:type="dxa"/>
            <w:tcBorders>
              <w:top w:val="single" w:sz="4" w:space="0" w:color="000000"/>
              <w:left w:val="single" w:sz="12" w:space="0" w:color="000000"/>
              <w:bottom w:val="single" w:sz="4" w:space="0" w:color="000000"/>
              <w:right w:val="single" w:sz="12" w:space="0" w:color="000000"/>
            </w:tcBorders>
          </w:tcPr>
          <w:p w14:paraId="1E44092F" w14:textId="699DA093" w:rsidR="00275C60" w:rsidRDefault="00275C60" w:rsidP="00275C60">
            <w:pPr>
              <w:spacing w:after="0" w:line="259" w:lineRule="auto"/>
              <w:ind w:left="101" w:right="0" w:firstLine="0"/>
              <w:rPr>
                <w:sz w:val="18"/>
              </w:rPr>
            </w:pPr>
            <w:r>
              <w:rPr>
                <w:sz w:val="18"/>
              </w:rPr>
              <w:t xml:space="preserve">ng/kg </w:t>
            </w:r>
            <w:r>
              <w:rPr>
                <w:i/>
                <w:sz w:val="18"/>
              </w:rPr>
              <w:t>(ppt)</w:t>
            </w:r>
          </w:p>
        </w:tc>
        <w:tc>
          <w:tcPr>
            <w:tcW w:w="724" w:type="dxa"/>
            <w:tcBorders>
              <w:top w:val="single" w:sz="4" w:space="0" w:color="000000"/>
              <w:left w:val="single" w:sz="12" w:space="0" w:color="000000"/>
              <w:bottom w:val="single" w:sz="4" w:space="0" w:color="000000"/>
              <w:right w:val="single" w:sz="12" w:space="0" w:color="000000"/>
            </w:tcBorders>
            <w:vAlign w:val="center"/>
          </w:tcPr>
          <w:p w14:paraId="3321110A" w14:textId="5F262608" w:rsidR="00275C60" w:rsidRDefault="00275C60" w:rsidP="00A53A74">
            <w:pPr>
              <w:spacing w:after="0" w:line="259" w:lineRule="auto"/>
              <w:ind w:left="122" w:right="0" w:firstLine="0"/>
              <w:jc w:val="center"/>
              <w:rPr>
                <w:sz w:val="18"/>
              </w:rPr>
            </w:pPr>
            <w:r>
              <w:rPr>
                <w:sz w:val="18"/>
              </w:rPr>
              <w:t>8290</w:t>
            </w:r>
          </w:p>
        </w:tc>
        <w:tc>
          <w:tcPr>
            <w:tcW w:w="720" w:type="dxa"/>
            <w:tcBorders>
              <w:top w:val="single" w:sz="4" w:space="0" w:color="000000"/>
              <w:left w:val="single" w:sz="12" w:space="0" w:color="000000"/>
              <w:bottom w:val="single" w:sz="4" w:space="0" w:color="000000"/>
              <w:right w:val="single" w:sz="12" w:space="0" w:color="000000"/>
            </w:tcBorders>
            <w:vAlign w:val="center"/>
          </w:tcPr>
          <w:p w14:paraId="1697729E" w14:textId="558DD9B2" w:rsidR="00275C60" w:rsidRDefault="00275C60" w:rsidP="00E27BBE">
            <w:pPr>
              <w:spacing w:after="0" w:line="259" w:lineRule="auto"/>
              <w:ind w:left="84" w:right="0" w:firstLine="0"/>
              <w:rPr>
                <w:sz w:val="18"/>
              </w:rPr>
            </w:pPr>
            <w:r>
              <w:rPr>
                <w:sz w:val="18"/>
              </w:rPr>
              <w:t xml:space="preserve">1613 </w:t>
            </w:r>
            <w:r w:rsidRPr="00633D05">
              <w:rPr>
                <w:b/>
                <w:bCs/>
                <w:sz w:val="18"/>
                <w:vertAlign w:val="superscript"/>
              </w:rPr>
              <w:t>8</w:t>
            </w:r>
          </w:p>
        </w:tc>
      </w:tr>
      <w:tr w:rsidR="00C84A5D" w14:paraId="5B52D83C" w14:textId="77777777" w:rsidTr="00EA643D">
        <w:trPr>
          <w:trHeight w:val="250"/>
        </w:trPr>
        <w:tc>
          <w:tcPr>
            <w:tcW w:w="4640" w:type="dxa"/>
            <w:tcBorders>
              <w:top w:val="single" w:sz="4" w:space="0" w:color="000000"/>
              <w:left w:val="single" w:sz="12" w:space="0" w:color="000000"/>
              <w:bottom w:val="single" w:sz="4" w:space="0" w:color="000000"/>
              <w:right w:val="single" w:sz="12" w:space="0" w:color="000000"/>
            </w:tcBorders>
          </w:tcPr>
          <w:p w14:paraId="6A65341F" w14:textId="3DE564DF" w:rsidR="00275C60" w:rsidRDefault="00275C60" w:rsidP="00275C60">
            <w:pPr>
              <w:spacing w:after="0" w:line="259" w:lineRule="auto"/>
              <w:ind w:left="36" w:right="0" w:firstLine="0"/>
              <w:rPr>
                <w:sz w:val="18"/>
              </w:rPr>
            </w:pPr>
            <w:r>
              <w:rPr>
                <w:sz w:val="18"/>
              </w:rPr>
              <w:t xml:space="preserve">Total </w:t>
            </w:r>
            <w:proofErr w:type="spellStart"/>
            <w:r>
              <w:rPr>
                <w:sz w:val="18"/>
              </w:rPr>
              <w:t>Hexachlorodibenzofuran</w:t>
            </w:r>
            <w:proofErr w:type="spellEnd"/>
            <w:r>
              <w:rPr>
                <w:sz w:val="18"/>
              </w:rPr>
              <w:t xml:space="preserve"> (</w:t>
            </w:r>
            <w:proofErr w:type="spellStart"/>
            <w:r>
              <w:rPr>
                <w:sz w:val="18"/>
              </w:rPr>
              <w:t>HxCDF</w:t>
            </w:r>
            <w:proofErr w:type="spellEnd"/>
            <w:r>
              <w:rPr>
                <w:sz w:val="18"/>
              </w:rPr>
              <w:t xml:space="preserve">)  </w:t>
            </w:r>
          </w:p>
        </w:tc>
        <w:tc>
          <w:tcPr>
            <w:tcW w:w="1061" w:type="dxa"/>
            <w:tcBorders>
              <w:top w:val="single" w:sz="4" w:space="0" w:color="000000"/>
              <w:left w:val="single" w:sz="12" w:space="0" w:color="000000"/>
              <w:bottom w:val="single" w:sz="4" w:space="0" w:color="000000"/>
              <w:right w:val="single" w:sz="12" w:space="0" w:color="000000"/>
            </w:tcBorders>
          </w:tcPr>
          <w:p w14:paraId="478D6D24" w14:textId="245B855F" w:rsidR="00275C60" w:rsidRDefault="00275C60" w:rsidP="00275C60">
            <w:pPr>
              <w:spacing w:after="0" w:line="259" w:lineRule="auto"/>
              <w:ind w:left="0" w:right="35" w:firstLine="0"/>
              <w:jc w:val="center"/>
              <w:rPr>
                <w:sz w:val="18"/>
              </w:rPr>
            </w:pPr>
            <w:r>
              <w:rPr>
                <w:sz w:val="18"/>
              </w:rPr>
              <w:t>55684-94-1</w:t>
            </w:r>
          </w:p>
        </w:tc>
        <w:tc>
          <w:tcPr>
            <w:tcW w:w="879" w:type="dxa"/>
            <w:tcBorders>
              <w:top w:val="single" w:sz="4" w:space="0" w:color="000000"/>
              <w:left w:val="single" w:sz="12" w:space="0" w:color="000000"/>
              <w:bottom w:val="single" w:sz="4" w:space="0" w:color="000000"/>
              <w:right w:val="single" w:sz="12" w:space="0" w:color="000000"/>
            </w:tcBorders>
          </w:tcPr>
          <w:p w14:paraId="17A0DCCA" w14:textId="6618567D" w:rsidR="00275C60" w:rsidRDefault="00275C60" w:rsidP="00275C60">
            <w:pPr>
              <w:spacing w:after="0" w:line="259" w:lineRule="auto"/>
              <w:ind w:left="0" w:right="38" w:firstLine="0"/>
              <w:jc w:val="center"/>
              <w:rPr>
                <w:sz w:val="18"/>
              </w:rPr>
            </w:pPr>
            <w:r>
              <w:rPr>
                <w:sz w:val="18"/>
              </w:rPr>
              <w:t>0.025</w:t>
            </w:r>
          </w:p>
        </w:tc>
        <w:tc>
          <w:tcPr>
            <w:tcW w:w="895" w:type="dxa"/>
            <w:tcBorders>
              <w:top w:val="single" w:sz="4" w:space="0" w:color="000000"/>
              <w:left w:val="single" w:sz="12" w:space="0" w:color="000000"/>
              <w:bottom w:val="single" w:sz="4" w:space="0" w:color="000000"/>
              <w:right w:val="single" w:sz="12" w:space="0" w:color="000000"/>
            </w:tcBorders>
          </w:tcPr>
          <w:p w14:paraId="1142FBA4" w14:textId="4EBAF677" w:rsidR="00275C60" w:rsidRDefault="00275C60" w:rsidP="00275C60">
            <w:pPr>
              <w:spacing w:after="0" w:line="259" w:lineRule="auto"/>
              <w:ind w:left="46" w:right="0" w:firstLine="0"/>
              <w:rPr>
                <w:sz w:val="18"/>
              </w:rPr>
            </w:pPr>
            <w:r>
              <w:rPr>
                <w:sz w:val="18"/>
              </w:rPr>
              <w:t>ng/L</w:t>
            </w:r>
            <w:r>
              <w:rPr>
                <w:i/>
                <w:sz w:val="18"/>
              </w:rPr>
              <w:t xml:space="preserve"> (ppt)</w:t>
            </w:r>
          </w:p>
        </w:tc>
        <w:tc>
          <w:tcPr>
            <w:tcW w:w="627" w:type="dxa"/>
            <w:tcBorders>
              <w:top w:val="single" w:sz="4" w:space="0" w:color="000000"/>
              <w:left w:val="single" w:sz="12" w:space="0" w:color="000000"/>
              <w:bottom w:val="single" w:sz="4" w:space="0" w:color="000000"/>
              <w:right w:val="single" w:sz="12" w:space="0" w:color="000000"/>
            </w:tcBorders>
          </w:tcPr>
          <w:p w14:paraId="51BC7647" w14:textId="758E1323" w:rsidR="00275C60" w:rsidRDefault="00275C60" w:rsidP="00275C60">
            <w:pPr>
              <w:spacing w:after="0" w:line="259" w:lineRule="auto"/>
              <w:ind w:left="0" w:right="35" w:firstLine="0"/>
              <w:jc w:val="center"/>
              <w:rPr>
                <w:sz w:val="18"/>
              </w:rPr>
            </w:pPr>
            <w:r>
              <w:rPr>
                <w:sz w:val="18"/>
              </w:rPr>
              <w:t>2.5</w:t>
            </w:r>
          </w:p>
        </w:tc>
        <w:tc>
          <w:tcPr>
            <w:tcW w:w="1074" w:type="dxa"/>
            <w:tcBorders>
              <w:top w:val="single" w:sz="4" w:space="0" w:color="000000"/>
              <w:left w:val="single" w:sz="12" w:space="0" w:color="000000"/>
              <w:bottom w:val="single" w:sz="4" w:space="0" w:color="000000"/>
              <w:right w:val="single" w:sz="12" w:space="0" w:color="000000"/>
            </w:tcBorders>
          </w:tcPr>
          <w:p w14:paraId="4612685F" w14:textId="668112BC" w:rsidR="00275C60" w:rsidRDefault="00275C60" w:rsidP="00275C60">
            <w:pPr>
              <w:spacing w:after="0" w:line="259" w:lineRule="auto"/>
              <w:ind w:left="101" w:right="0" w:firstLine="0"/>
              <w:rPr>
                <w:sz w:val="18"/>
              </w:rPr>
            </w:pPr>
            <w:r>
              <w:rPr>
                <w:sz w:val="18"/>
              </w:rPr>
              <w:t xml:space="preserve">ng/kg </w:t>
            </w:r>
            <w:r>
              <w:rPr>
                <w:i/>
                <w:sz w:val="18"/>
              </w:rPr>
              <w:t>(ppt)</w:t>
            </w:r>
          </w:p>
        </w:tc>
        <w:tc>
          <w:tcPr>
            <w:tcW w:w="724" w:type="dxa"/>
            <w:tcBorders>
              <w:top w:val="single" w:sz="4" w:space="0" w:color="000000"/>
              <w:left w:val="single" w:sz="12" w:space="0" w:color="000000"/>
              <w:bottom w:val="single" w:sz="4" w:space="0" w:color="000000"/>
              <w:right w:val="single" w:sz="12" w:space="0" w:color="000000"/>
            </w:tcBorders>
            <w:vAlign w:val="center"/>
          </w:tcPr>
          <w:p w14:paraId="4B3AD18A" w14:textId="00B89B3B" w:rsidR="00275C60" w:rsidRDefault="00275C60" w:rsidP="00A53A74">
            <w:pPr>
              <w:spacing w:after="0" w:line="259" w:lineRule="auto"/>
              <w:ind w:left="122" w:right="0" w:firstLine="0"/>
              <w:jc w:val="center"/>
              <w:rPr>
                <w:sz w:val="18"/>
              </w:rPr>
            </w:pPr>
            <w:r>
              <w:rPr>
                <w:sz w:val="18"/>
              </w:rPr>
              <w:t>8290</w:t>
            </w:r>
          </w:p>
        </w:tc>
        <w:tc>
          <w:tcPr>
            <w:tcW w:w="720" w:type="dxa"/>
            <w:tcBorders>
              <w:top w:val="single" w:sz="4" w:space="0" w:color="000000"/>
              <w:left w:val="single" w:sz="12" w:space="0" w:color="000000"/>
              <w:bottom w:val="single" w:sz="4" w:space="0" w:color="000000"/>
              <w:right w:val="single" w:sz="12" w:space="0" w:color="000000"/>
            </w:tcBorders>
            <w:vAlign w:val="center"/>
          </w:tcPr>
          <w:p w14:paraId="2A856A7C" w14:textId="4527CD3F" w:rsidR="00275C60" w:rsidRDefault="00275C60" w:rsidP="00E27BBE">
            <w:pPr>
              <w:spacing w:after="0" w:line="259" w:lineRule="auto"/>
              <w:ind w:left="84" w:right="0" w:firstLine="0"/>
              <w:rPr>
                <w:sz w:val="18"/>
              </w:rPr>
            </w:pPr>
            <w:r>
              <w:rPr>
                <w:sz w:val="18"/>
              </w:rPr>
              <w:t xml:space="preserve">1613 </w:t>
            </w:r>
            <w:r w:rsidRPr="00633D05">
              <w:rPr>
                <w:b/>
                <w:bCs/>
                <w:sz w:val="18"/>
                <w:vertAlign w:val="superscript"/>
              </w:rPr>
              <w:t>8</w:t>
            </w:r>
          </w:p>
        </w:tc>
      </w:tr>
      <w:tr w:rsidR="00C84A5D" w14:paraId="752F99D4" w14:textId="77777777" w:rsidTr="00EA643D">
        <w:trPr>
          <w:trHeight w:val="250"/>
        </w:trPr>
        <w:tc>
          <w:tcPr>
            <w:tcW w:w="4640" w:type="dxa"/>
            <w:tcBorders>
              <w:top w:val="single" w:sz="4" w:space="0" w:color="000000"/>
              <w:left w:val="single" w:sz="12" w:space="0" w:color="000000"/>
              <w:bottom w:val="single" w:sz="4" w:space="0" w:color="000000"/>
              <w:right w:val="single" w:sz="12" w:space="0" w:color="000000"/>
            </w:tcBorders>
          </w:tcPr>
          <w:p w14:paraId="4396EF12" w14:textId="4462D270" w:rsidR="00000E4B" w:rsidRDefault="00000E4B" w:rsidP="00000E4B">
            <w:pPr>
              <w:spacing w:after="0" w:line="259" w:lineRule="auto"/>
              <w:ind w:left="36" w:right="0" w:firstLine="0"/>
              <w:rPr>
                <w:sz w:val="18"/>
              </w:rPr>
            </w:pPr>
            <w:r>
              <w:rPr>
                <w:sz w:val="18"/>
              </w:rPr>
              <w:t xml:space="preserve">Total </w:t>
            </w:r>
            <w:proofErr w:type="spellStart"/>
            <w:r>
              <w:rPr>
                <w:sz w:val="18"/>
              </w:rPr>
              <w:t>Heptachlorodibenzofuran</w:t>
            </w:r>
            <w:proofErr w:type="spellEnd"/>
            <w:r>
              <w:rPr>
                <w:sz w:val="18"/>
              </w:rPr>
              <w:t xml:space="preserve"> (</w:t>
            </w:r>
            <w:proofErr w:type="spellStart"/>
            <w:r>
              <w:rPr>
                <w:sz w:val="18"/>
              </w:rPr>
              <w:t>HpCDF</w:t>
            </w:r>
            <w:proofErr w:type="spellEnd"/>
            <w:r>
              <w:rPr>
                <w:sz w:val="18"/>
              </w:rPr>
              <w:t xml:space="preserve">) </w:t>
            </w:r>
          </w:p>
        </w:tc>
        <w:tc>
          <w:tcPr>
            <w:tcW w:w="1061" w:type="dxa"/>
            <w:tcBorders>
              <w:top w:val="single" w:sz="4" w:space="0" w:color="000000"/>
              <w:left w:val="single" w:sz="12" w:space="0" w:color="000000"/>
              <w:bottom w:val="single" w:sz="4" w:space="0" w:color="000000"/>
              <w:right w:val="single" w:sz="12" w:space="0" w:color="000000"/>
            </w:tcBorders>
          </w:tcPr>
          <w:p w14:paraId="105E6D8B" w14:textId="1E2FF96B" w:rsidR="00000E4B" w:rsidRDefault="00000E4B" w:rsidP="00000E4B">
            <w:pPr>
              <w:spacing w:after="0" w:line="259" w:lineRule="auto"/>
              <w:ind w:left="0" w:right="35" w:firstLine="0"/>
              <w:jc w:val="center"/>
              <w:rPr>
                <w:sz w:val="18"/>
              </w:rPr>
            </w:pPr>
            <w:r>
              <w:rPr>
                <w:sz w:val="18"/>
              </w:rPr>
              <w:t>38998-75-3</w:t>
            </w:r>
          </w:p>
        </w:tc>
        <w:tc>
          <w:tcPr>
            <w:tcW w:w="879" w:type="dxa"/>
            <w:tcBorders>
              <w:top w:val="single" w:sz="4" w:space="0" w:color="000000"/>
              <w:left w:val="single" w:sz="12" w:space="0" w:color="000000"/>
              <w:bottom w:val="single" w:sz="4" w:space="0" w:color="000000"/>
              <w:right w:val="single" w:sz="12" w:space="0" w:color="000000"/>
            </w:tcBorders>
          </w:tcPr>
          <w:p w14:paraId="119D2578" w14:textId="31803279" w:rsidR="00000E4B" w:rsidRDefault="00000E4B" w:rsidP="00000E4B">
            <w:pPr>
              <w:spacing w:after="0" w:line="259" w:lineRule="auto"/>
              <w:ind w:left="0" w:right="38" w:firstLine="0"/>
              <w:jc w:val="center"/>
              <w:rPr>
                <w:sz w:val="18"/>
              </w:rPr>
            </w:pPr>
            <w:r>
              <w:rPr>
                <w:sz w:val="18"/>
              </w:rPr>
              <w:t>0.025</w:t>
            </w:r>
          </w:p>
        </w:tc>
        <w:tc>
          <w:tcPr>
            <w:tcW w:w="895" w:type="dxa"/>
            <w:tcBorders>
              <w:top w:val="single" w:sz="4" w:space="0" w:color="000000"/>
              <w:left w:val="single" w:sz="12" w:space="0" w:color="000000"/>
              <w:bottom w:val="single" w:sz="4" w:space="0" w:color="000000"/>
              <w:right w:val="single" w:sz="12" w:space="0" w:color="000000"/>
            </w:tcBorders>
          </w:tcPr>
          <w:p w14:paraId="54B33A5E" w14:textId="1E1D1311" w:rsidR="00000E4B" w:rsidRDefault="00000E4B" w:rsidP="00000E4B">
            <w:pPr>
              <w:spacing w:after="0" w:line="259" w:lineRule="auto"/>
              <w:ind w:left="46" w:right="0" w:firstLine="0"/>
              <w:rPr>
                <w:sz w:val="18"/>
              </w:rPr>
            </w:pPr>
            <w:r>
              <w:rPr>
                <w:sz w:val="18"/>
              </w:rPr>
              <w:t>ng/L</w:t>
            </w:r>
            <w:r>
              <w:rPr>
                <w:i/>
                <w:sz w:val="18"/>
              </w:rPr>
              <w:t xml:space="preserve"> (ppt)</w:t>
            </w:r>
          </w:p>
        </w:tc>
        <w:tc>
          <w:tcPr>
            <w:tcW w:w="627" w:type="dxa"/>
            <w:tcBorders>
              <w:top w:val="single" w:sz="4" w:space="0" w:color="000000"/>
              <w:left w:val="single" w:sz="12" w:space="0" w:color="000000"/>
              <w:bottom w:val="single" w:sz="4" w:space="0" w:color="000000"/>
              <w:right w:val="single" w:sz="12" w:space="0" w:color="000000"/>
            </w:tcBorders>
          </w:tcPr>
          <w:p w14:paraId="7AD316D0" w14:textId="5C71351C" w:rsidR="00000E4B" w:rsidRDefault="00000E4B" w:rsidP="00000E4B">
            <w:pPr>
              <w:spacing w:after="0" w:line="259" w:lineRule="auto"/>
              <w:ind w:left="0" w:right="35" w:firstLine="0"/>
              <w:jc w:val="center"/>
              <w:rPr>
                <w:sz w:val="18"/>
              </w:rPr>
            </w:pPr>
            <w:r>
              <w:rPr>
                <w:sz w:val="18"/>
              </w:rPr>
              <w:t>2.5</w:t>
            </w:r>
          </w:p>
        </w:tc>
        <w:tc>
          <w:tcPr>
            <w:tcW w:w="1074" w:type="dxa"/>
            <w:tcBorders>
              <w:top w:val="single" w:sz="4" w:space="0" w:color="000000"/>
              <w:left w:val="single" w:sz="12" w:space="0" w:color="000000"/>
              <w:bottom w:val="single" w:sz="4" w:space="0" w:color="000000"/>
              <w:right w:val="single" w:sz="12" w:space="0" w:color="000000"/>
            </w:tcBorders>
          </w:tcPr>
          <w:p w14:paraId="0F1F34A2" w14:textId="7E0F6D60" w:rsidR="00000E4B" w:rsidRDefault="00000E4B" w:rsidP="00000E4B">
            <w:pPr>
              <w:spacing w:after="0" w:line="259" w:lineRule="auto"/>
              <w:ind w:left="101" w:right="0" w:firstLine="0"/>
              <w:rPr>
                <w:sz w:val="18"/>
              </w:rPr>
            </w:pPr>
            <w:r>
              <w:rPr>
                <w:sz w:val="18"/>
              </w:rPr>
              <w:t xml:space="preserve">ng/kg </w:t>
            </w:r>
            <w:r>
              <w:rPr>
                <w:i/>
                <w:sz w:val="18"/>
              </w:rPr>
              <w:t>(ppt)</w:t>
            </w:r>
          </w:p>
        </w:tc>
        <w:tc>
          <w:tcPr>
            <w:tcW w:w="724" w:type="dxa"/>
            <w:tcBorders>
              <w:top w:val="single" w:sz="4" w:space="0" w:color="000000"/>
              <w:left w:val="single" w:sz="12" w:space="0" w:color="000000"/>
              <w:bottom w:val="single" w:sz="4" w:space="0" w:color="000000"/>
              <w:right w:val="single" w:sz="12" w:space="0" w:color="000000"/>
            </w:tcBorders>
            <w:vAlign w:val="center"/>
          </w:tcPr>
          <w:p w14:paraId="3B32E320" w14:textId="30E405E5" w:rsidR="00000E4B" w:rsidRDefault="00000E4B" w:rsidP="00A53A74">
            <w:pPr>
              <w:spacing w:after="0" w:line="259" w:lineRule="auto"/>
              <w:ind w:left="122" w:right="0" w:firstLine="0"/>
              <w:jc w:val="center"/>
              <w:rPr>
                <w:sz w:val="18"/>
              </w:rPr>
            </w:pPr>
            <w:r>
              <w:rPr>
                <w:sz w:val="18"/>
              </w:rPr>
              <w:t>8290</w:t>
            </w:r>
          </w:p>
        </w:tc>
        <w:tc>
          <w:tcPr>
            <w:tcW w:w="720" w:type="dxa"/>
            <w:tcBorders>
              <w:top w:val="single" w:sz="4" w:space="0" w:color="000000"/>
              <w:left w:val="single" w:sz="12" w:space="0" w:color="000000"/>
              <w:bottom w:val="single" w:sz="4" w:space="0" w:color="000000"/>
              <w:right w:val="single" w:sz="12" w:space="0" w:color="000000"/>
            </w:tcBorders>
            <w:vAlign w:val="center"/>
          </w:tcPr>
          <w:p w14:paraId="2A4005EA" w14:textId="36C2EC26" w:rsidR="00000E4B" w:rsidRDefault="00000E4B" w:rsidP="00000E4B">
            <w:pPr>
              <w:spacing w:after="0" w:line="259" w:lineRule="auto"/>
              <w:ind w:left="84" w:right="0" w:firstLine="0"/>
              <w:rPr>
                <w:sz w:val="18"/>
              </w:rPr>
            </w:pPr>
            <w:r>
              <w:rPr>
                <w:sz w:val="18"/>
              </w:rPr>
              <w:t xml:space="preserve">1613 </w:t>
            </w:r>
            <w:r w:rsidRPr="00633D05">
              <w:rPr>
                <w:b/>
                <w:bCs/>
                <w:sz w:val="18"/>
                <w:vertAlign w:val="superscript"/>
              </w:rPr>
              <w:t>8</w:t>
            </w:r>
          </w:p>
        </w:tc>
      </w:tr>
      <w:tr w:rsidR="00C84A5D" w14:paraId="3B85CA86" w14:textId="77777777" w:rsidTr="00EA643D">
        <w:trPr>
          <w:trHeight w:val="250"/>
        </w:trPr>
        <w:tc>
          <w:tcPr>
            <w:tcW w:w="4640" w:type="dxa"/>
            <w:tcBorders>
              <w:top w:val="single" w:sz="4" w:space="0" w:color="000000"/>
              <w:left w:val="single" w:sz="12" w:space="0" w:color="000000"/>
              <w:bottom w:val="single" w:sz="4" w:space="0" w:color="000000"/>
              <w:right w:val="single" w:sz="12" w:space="0" w:color="000000"/>
            </w:tcBorders>
          </w:tcPr>
          <w:p w14:paraId="44141651" w14:textId="5289AEE2" w:rsidR="00000E4B" w:rsidRDefault="00000E4B" w:rsidP="00000E4B">
            <w:pPr>
              <w:spacing w:after="0" w:line="259" w:lineRule="auto"/>
              <w:ind w:left="36" w:right="0" w:firstLine="0"/>
              <w:rPr>
                <w:sz w:val="18"/>
              </w:rPr>
            </w:pPr>
            <w:r>
              <w:rPr>
                <w:sz w:val="18"/>
              </w:rPr>
              <w:t xml:space="preserve">Total </w:t>
            </w:r>
            <w:proofErr w:type="spellStart"/>
            <w:r>
              <w:rPr>
                <w:sz w:val="18"/>
              </w:rPr>
              <w:t>Tetrachlorodibenzo</w:t>
            </w:r>
            <w:proofErr w:type="spellEnd"/>
            <w:r>
              <w:rPr>
                <w:sz w:val="18"/>
              </w:rPr>
              <w:t xml:space="preserve">-p-dioxin (TCDD)  </w:t>
            </w:r>
          </w:p>
        </w:tc>
        <w:tc>
          <w:tcPr>
            <w:tcW w:w="1061" w:type="dxa"/>
            <w:tcBorders>
              <w:top w:val="single" w:sz="4" w:space="0" w:color="000000"/>
              <w:left w:val="single" w:sz="12" w:space="0" w:color="000000"/>
              <w:bottom w:val="single" w:sz="4" w:space="0" w:color="000000"/>
              <w:right w:val="single" w:sz="12" w:space="0" w:color="000000"/>
            </w:tcBorders>
          </w:tcPr>
          <w:p w14:paraId="51A8F7D1" w14:textId="0706E674" w:rsidR="00000E4B" w:rsidRDefault="00000E4B" w:rsidP="00000E4B">
            <w:pPr>
              <w:spacing w:after="0" w:line="259" w:lineRule="auto"/>
              <w:ind w:left="0" w:right="35" w:firstLine="0"/>
              <w:jc w:val="center"/>
              <w:rPr>
                <w:sz w:val="18"/>
              </w:rPr>
            </w:pPr>
            <w:r>
              <w:rPr>
                <w:sz w:val="18"/>
              </w:rPr>
              <w:t>41903-57-5</w:t>
            </w:r>
          </w:p>
        </w:tc>
        <w:tc>
          <w:tcPr>
            <w:tcW w:w="879" w:type="dxa"/>
            <w:tcBorders>
              <w:top w:val="single" w:sz="4" w:space="0" w:color="000000"/>
              <w:left w:val="single" w:sz="12" w:space="0" w:color="000000"/>
              <w:bottom w:val="single" w:sz="4" w:space="0" w:color="000000"/>
              <w:right w:val="single" w:sz="12" w:space="0" w:color="000000"/>
            </w:tcBorders>
          </w:tcPr>
          <w:p w14:paraId="5A37F753" w14:textId="2EC39528" w:rsidR="00000E4B" w:rsidRDefault="00000E4B" w:rsidP="00000E4B">
            <w:pPr>
              <w:spacing w:after="0" w:line="259" w:lineRule="auto"/>
              <w:ind w:left="0" w:right="38" w:firstLine="0"/>
              <w:jc w:val="center"/>
              <w:rPr>
                <w:sz w:val="18"/>
              </w:rPr>
            </w:pPr>
            <w:r>
              <w:rPr>
                <w:sz w:val="18"/>
              </w:rPr>
              <w:t>0.010</w:t>
            </w:r>
          </w:p>
        </w:tc>
        <w:tc>
          <w:tcPr>
            <w:tcW w:w="895" w:type="dxa"/>
            <w:tcBorders>
              <w:top w:val="single" w:sz="4" w:space="0" w:color="000000"/>
              <w:left w:val="single" w:sz="12" w:space="0" w:color="000000"/>
              <w:bottom w:val="single" w:sz="4" w:space="0" w:color="000000"/>
              <w:right w:val="single" w:sz="12" w:space="0" w:color="000000"/>
            </w:tcBorders>
          </w:tcPr>
          <w:p w14:paraId="3018024C" w14:textId="203DEF08" w:rsidR="00000E4B" w:rsidRDefault="00000E4B" w:rsidP="00000E4B">
            <w:pPr>
              <w:spacing w:after="0" w:line="259" w:lineRule="auto"/>
              <w:ind w:left="46" w:right="0" w:firstLine="0"/>
              <w:rPr>
                <w:sz w:val="18"/>
              </w:rPr>
            </w:pPr>
            <w:r>
              <w:rPr>
                <w:sz w:val="18"/>
              </w:rPr>
              <w:t>ng/L</w:t>
            </w:r>
            <w:r>
              <w:rPr>
                <w:i/>
                <w:sz w:val="18"/>
              </w:rPr>
              <w:t xml:space="preserve"> (ppt)</w:t>
            </w:r>
          </w:p>
        </w:tc>
        <w:tc>
          <w:tcPr>
            <w:tcW w:w="627" w:type="dxa"/>
            <w:tcBorders>
              <w:top w:val="single" w:sz="4" w:space="0" w:color="000000"/>
              <w:left w:val="single" w:sz="12" w:space="0" w:color="000000"/>
              <w:bottom w:val="single" w:sz="4" w:space="0" w:color="000000"/>
              <w:right w:val="single" w:sz="12" w:space="0" w:color="000000"/>
            </w:tcBorders>
          </w:tcPr>
          <w:p w14:paraId="241CDA9A" w14:textId="0307D509" w:rsidR="00000E4B" w:rsidRDefault="00000E4B" w:rsidP="00000E4B">
            <w:pPr>
              <w:spacing w:after="0" w:line="259" w:lineRule="auto"/>
              <w:ind w:left="0" w:right="35" w:firstLine="0"/>
              <w:jc w:val="center"/>
              <w:rPr>
                <w:sz w:val="18"/>
              </w:rPr>
            </w:pPr>
            <w:r>
              <w:rPr>
                <w:sz w:val="18"/>
              </w:rPr>
              <w:t>1.0</w:t>
            </w:r>
          </w:p>
        </w:tc>
        <w:tc>
          <w:tcPr>
            <w:tcW w:w="1074" w:type="dxa"/>
            <w:tcBorders>
              <w:top w:val="single" w:sz="4" w:space="0" w:color="000000"/>
              <w:left w:val="single" w:sz="12" w:space="0" w:color="000000"/>
              <w:bottom w:val="single" w:sz="4" w:space="0" w:color="000000"/>
              <w:right w:val="single" w:sz="12" w:space="0" w:color="000000"/>
            </w:tcBorders>
          </w:tcPr>
          <w:p w14:paraId="01FB1A3E" w14:textId="5E84668D" w:rsidR="00000E4B" w:rsidRDefault="00000E4B" w:rsidP="00000E4B">
            <w:pPr>
              <w:spacing w:after="0" w:line="259" w:lineRule="auto"/>
              <w:ind w:left="101" w:right="0" w:firstLine="0"/>
              <w:rPr>
                <w:sz w:val="18"/>
              </w:rPr>
            </w:pPr>
            <w:r>
              <w:rPr>
                <w:sz w:val="18"/>
              </w:rPr>
              <w:t xml:space="preserve">ng/kg </w:t>
            </w:r>
            <w:r>
              <w:rPr>
                <w:i/>
                <w:sz w:val="18"/>
              </w:rPr>
              <w:t>(ppt)</w:t>
            </w:r>
          </w:p>
        </w:tc>
        <w:tc>
          <w:tcPr>
            <w:tcW w:w="724" w:type="dxa"/>
            <w:tcBorders>
              <w:top w:val="single" w:sz="4" w:space="0" w:color="000000"/>
              <w:left w:val="single" w:sz="12" w:space="0" w:color="000000"/>
              <w:bottom w:val="single" w:sz="4" w:space="0" w:color="000000"/>
              <w:right w:val="single" w:sz="12" w:space="0" w:color="000000"/>
            </w:tcBorders>
            <w:vAlign w:val="center"/>
          </w:tcPr>
          <w:p w14:paraId="192A7D44" w14:textId="185F167B" w:rsidR="00000E4B" w:rsidRDefault="00000E4B" w:rsidP="00A53A74">
            <w:pPr>
              <w:spacing w:after="0" w:line="259" w:lineRule="auto"/>
              <w:ind w:left="122" w:right="0" w:firstLine="0"/>
              <w:jc w:val="center"/>
              <w:rPr>
                <w:sz w:val="18"/>
              </w:rPr>
            </w:pPr>
            <w:r>
              <w:rPr>
                <w:sz w:val="18"/>
              </w:rPr>
              <w:t>8290</w:t>
            </w:r>
          </w:p>
        </w:tc>
        <w:tc>
          <w:tcPr>
            <w:tcW w:w="720" w:type="dxa"/>
            <w:tcBorders>
              <w:top w:val="single" w:sz="4" w:space="0" w:color="000000"/>
              <w:left w:val="single" w:sz="12" w:space="0" w:color="000000"/>
              <w:bottom w:val="single" w:sz="4" w:space="0" w:color="000000"/>
              <w:right w:val="single" w:sz="12" w:space="0" w:color="000000"/>
            </w:tcBorders>
            <w:vAlign w:val="center"/>
          </w:tcPr>
          <w:p w14:paraId="0E144AC9" w14:textId="12EE1C57" w:rsidR="00000E4B" w:rsidRDefault="00000E4B" w:rsidP="00000E4B">
            <w:pPr>
              <w:spacing w:after="0" w:line="259" w:lineRule="auto"/>
              <w:ind w:left="84" w:right="0" w:firstLine="0"/>
              <w:rPr>
                <w:sz w:val="18"/>
              </w:rPr>
            </w:pPr>
            <w:r>
              <w:rPr>
                <w:sz w:val="18"/>
              </w:rPr>
              <w:t xml:space="preserve">1613 </w:t>
            </w:r>
            <w:r w:rsidRPr="00633D05">
              <w:rPr>
                <w:b/>
                <w:bCs/>
                <w:sz w:val="18"/>
                <w:vertAlign w:val="superscript"/>
              </w:rPr>
              <w:t>8</w:t>
            </w:r>
          </w:p>
        </w:tc>
      </w:tr>
      <w:tr w:rsidR="00C84A5D" w14:paraId="0CED6734" w14:textId="77777777" w:rsidTr="00EA643D">
        <w:trPr>
          <w:trHeight w:val="250"/>
        </w:trPr>
        <w:tc>
          <w:tcPr>
            <w:tcW w:w="4640" w:type="dxa"/>
            <w:tcBorders>
              <w:top w:val="single" w:sz="4" w:space="0" w:color="000000"/>
              <w:left w:val="single" w:sz="12" w:space="0" w:color="000000"/>
              <w:bottom w:val="single" w:sz="4" w:space="0" w:color="000000"/>
              <w:right w:val="single" w:sz="12" w:space="0" w:color="000000"/>
            </w:tcBorders>
          </w:tcPr>
          <w:p w14:paraId="61C67B77" w14:textId="53C1FD29" w:rsidR="00000E4B" w:rsidRDefault="00000E4B" w:rsidP="00000E4B">
            <w:pPr>
              <w:spacing w:after="0" w:line="259" w:lineRule="auto"/>
              <w:ind w:left="36" w:right="0" w:firstLine="0"/>
              <w:rPr>
                <w:sz w:val="18"/>
              </w:rPr>
            </w:pPr>
            <w:r>
              <w:rPr>
                <w:sz w:val="18"/>
              </w:rPr>
              <w:t xml:space="preserve">Total </w:t>
            </w:r>
            <w:proofErr w:type="spellStart"/>
            <w:r>
              <w:rPr>
                <w:sz w:val="18"/>
              </w:rPr>
              <w:t>Pentachlorodibenzo</w:t>
            </w:r>
            <w:proofErr w:type="spellEnd"/>
            <w:r>
              <w:rPr>
                <w:sz w:val="18"/>
              </w:rPr>
              <w:t>-p-dioxin (</w:t>
            </w:r>
            <w:proofErr w:type="spellStart"/>
            <w:r>
              <w:rPr>
                <w:sz w:val="18"/>
              </w:rPr>
              <w:t>PeCDD</w:t>
            </w:r>
            <w:proofErr w:type="spellEnd"/>
            <w:r>
              <w:rPr>
                <w:sz w:val="18"/>
              </w:rPr>
              <w:t xml:space="preserve">) </w:t>
            </w:r>
          </w:p>
        </w:tc>
        <w:tc>
          <w:tcPr>
            <w:tcW w:w="1061" w:type="dxa"/>
            <w:tcBorders>
              <w:top w:val="single" w:sz="4" w:space="0" w:color="000000"/>
              <w:left w:val="single" w:sz="12" w:space="0" w:color="000000"/>
              <w:bottom w:val="single" w:sz="4" w:space="0" w:color="000000"/>
              <w:right w:val="single" w:sz="12" w:space="0" w:color="000000"/>
            </w:tcBorders>
          </w:tcPr>
          <w:p w14:paraId="167B7A05" w14:textId="5419F9A4" w:rsidR="00000E4B" w:rsidRDefault="00000E4B" w:rsidP="00000E4B">
            <w:pPr>
              <w:spacing w:after="0" w:line="259" w:lineRule="auto"/>
              <w:ind w:left="0" w:right="35" w:firstLine="0"/>
              <w:jc w:val="center"/>
              <w:rPr>
                <w:sz w:val="18"/>
              </w:rPr>
            </w:pPr>
            <w:r>
              <w:rPr>
                <w:sz w:val="18"/>
              </w:rPr>
              <w:t>36088-22-9</w:t>
            </w:r>
          </w:p>
        </w:tc>
        <w:tc>
          <w:tcPr>
            <w:tcW w:w="879" w:type="dxa"/>
            <w:tcBorders>
              <w:top w:val="single" w:sz="4" w:space="0" w:color="000000"/>
              <w:left w:val="single" w:sz="12" w:space="0" w:color="000000"/>
              <w:bottom w:val="single" w:sz="4" w:space="0" w:color="000000"/>
              <w:right w:val="single" w:sz="12" w:space="0" w:color="000000"/>
            </w:tcBorders>
          </w:tcPr>
          <w:p w14:paraId="1A04D9FA" w14:textId="038AEA10" w:rsidR="00000E4B" w:rsidRDefault="00000E4B" w:rsidP="00000E4B">
            <w:pPr>
              <w:spacing w:after="0" w:line="259" w:lineRule="auto"/>
              <w:ind w:left="0" w:right="38" w:firstLine="0"/>
              <w:jc w:val="center"/>
              <w:rPr>
                <w:sz w:val="18"/>
              </w:rPr>
            </w:pPr>
            <w:r>
              <w:rPr>
                <w:sz w:val="18"/>
              </w:rPr>
              <w:t>0.010</w:t>
            </w:r>
          </w:p>
        </w:tc>
        <w:tc>
          <w:tcPr>
            <w:tcW w:w="895" w:type="dxa"/>
            <w:tcBorders>
              <w:top w:val="single" w:sz="4" w:space="0" w:color="000000"/>
              <w:left w:val="single" w:sz="12" w:space="0" w:color="000000"/>
              <w:bottom w:val="single" w:sz="4" w:space="0" w:color="000000"/>
              <w:right w:val="single" w:sz="12" w:space="0" w:color="000000"/>
            </w:tcBorders>
          </w:tcPr>
          <w:p w14:paraId="472AFC39" w14:textId="0342275B" w:rsidR="00000E4B" w:rsidRDefault="00000E4B" w:rsidP="00000E4B">
            <w:pPr>
              <w:spacing w:after="0" w:line="259" w:lineRule="auto"/>
              <w:ind w:left="46" w:right="0" w:firstLine="0"/>
              <w:rPr>
                <w:sz w:val="18"/>
              </w:rPr>
            </w:pPr>
            <w:r>
              <w:rPr>
                <w:sz w:val="18"/>
              </w:rPr>
              <w:t>ng/L</w:t>
            </w:r>
            <w:r>
              <w:rPr>
                <w:i/>
                <w:sz w:val="18"/>
              </w:rPr>
              <w:t xml:space="preserve"> (ppt)</w:t>
            </w:r>
          </w:p>
        </w:tc>
        <w:tc>
          <w:tcPr>
            <w:tcW w:w="627" w:type="dxa"/>
            <w:tcBorders>
              <w:top w:val="single" w:sz="4" w:space="0" w:color="000000"/>
              <w:left w:val="single" w:sz="12" w:space="0" w:color="000000"/>
              <w:bottom w:val="single" w:sz="4" w:space="0" w:color="000000"/>
              <w:right w:val="single" w:sz="12" w:space="0" w:color="000000"/>
            </w:tcBorders>
          </w:tcPr>
          <w:p w14:paraId="571AFD95" w14:textId="1BEC82BC" w:rsidR="00000E4B" w:rsidRDefault="00000E4B" w:rsidP="00000E4B">
            <w:pPr>
              <w:spacing w:after="0" w:line="259" w:lineRule="auto"/>
              <w:ind w:left="0" w:right="35" w:firstLine="0"/>
              <w:jc w:val="center"/>
              <w:rPr>
                <w:sz w:val="18"/>
              </w:rPr>
            </w:pPr>
            <w:r>
              <w:rPr>
                <w:sz w:val="18"/>
              </w:rPr>
              <w:t>1.0</w:t>
            </w:r>
          </w:p>
        </w:tc>
        <w:tc>
          <w:tcPr>
            <w:tcW w:w="1074" w:type="dxa"/>
            <w:tcBorders>
              <w:top w:val="single" w:sz="4" w:space="0" w:color="000000"/>
              <w:left w:val="single" w:sz="12" w:space="0" w:color="000000"/>
              <w:bottom w:val="single" w:sz="4" w:space="0" w:color="000000"/>
              <w:right w:val="single" w:sz="12" w:space="0" w:color="000000"/>
            </w:tcBorders>
          </w:tcPr>
          <w:p w14:paraId="417F2607" w14:textId="5B603460" w:rsidR="00000E4B" w:rsidRDefault="00000E4B" w:rsidP="00000E4B">
            <w:pPr>
              <w:spacing w:after="0" w:line="259" w:lineRule="auto"/>
              <w:ind w:left="101" w:right="0" w:firstLine="0"/>
              <w:rPr>
                <w:sz w:val="18"/>
              </w:rPr>
            </w:pPr>
            <w:r>
              <w:rPr>
                <w:sz w:val="18"/>
              </w:rPr>
              <w:t xml:space="preserve">ng/kg </w:t>
            </w:r>
            <w:r>
              <w:rPr>
                <w:i/>
                <w:sz w:val="18"/>
              </w:rPr>
              <w:t>(ppt)</w:t>
            </w:r>
          </w:p>
        </w:tc>
        <w:tc>
          <w:tcPr>
            <w:tcW w:w="724" w:type="dxa"/>
            <w:tcBorders>
              <w:top w:val="single" w:sz="4" w:space="0" w:color="000000"/>
              <w:left w:val="single" w:sz="12" w:space="0" w:color="000000"/>
              <w:bottom w:val="single" w:sz="4" w:space="0" w:color="000000"/>
              <w:right w:val="single" w:sz="12" w:space="0" w:color="000000"/>
            </w:tcBorders>
            <w:vAlign w:val="center"/>
          </w:tcPr>
          <w:p w14:paraId="45E2BFC5" w14:textId="14C61BB2" w:rsidR="00000E4B" w:rsidRDefault="00000E4B" w:rsidP="00A53A74">
            <w:pPr>
              <w:spacing w:after="0" w:line="259" w:lineRule="auto"/>
              <w:ind w:left="122" w:right="0" w:firstLine="0"/>
              <w:jc w:val="center"/>
              <w:rPr>
                <w:sz w:val="18"/>
              </w:rPr>
            </w:pPr>
            <w:r>
              <w:rPr>
                <w:sz w:val="18"/>
              </w:rPr>
              <w:t>8290</w:t>
            </w:r>
          </w:p>
        </w:tc>
        <w:tc>
          <w:tcPr>
            <w:tcW w:w="720" w:type="dxa"/>
            <w:tcBorders>
              <w:top w:val="single" w:sz="4" w:space="0" w:color="000000"/>
              <w:left w:val="single" w:sz="12" w:space="0" w:color="000000"/>
              <w:bottom w:val="single" w:sz="4" w:space="0" w:color="000000"/>
              <w:right w:val="single" w:sz="12" w:space="0" w:color="000000"/>
            </w:tcBorders>
            <w:vAlign w:val="center"/>
          </w:tcPr>
          <w:p w14:paraId="26E3D19E" w14:textId="0F2146D2" w:rsidR="00000E4B" w:rsidRDefault="00000E4B" w:rsidP="00000E4B">
            <w:pPr>
              <w:spacing w:after="0" w:line="259" w:lineRule="auto"/>
              <w:ind w:left="84" w:right="0" w:firstLine="0"/>
              <w:rPr>
                <w:sz w:val="18"/>
              </w:rPr>
            </w:pPr>
            <w:r>
              <w:rPr>
                <w:sz w:val="18"/>
              </w:rPr>
              <w:t xml:space="preserve">1613 </w:t>
            </w:r>
            <w:r w:rsidRPr="00633D05">
              <w:rPr>
                <w:b/>
                <w:bCs/>
                <w:sz w:val="18"/>
                <w:vertAlign w:val="superscript"/>
              </w:rPr>
              <w:t>8</w:t>
            </w:r>
          </w:p>
        </w:tc>
      </w:tr>
      <w:tr w:rsidR="00C84A5D" w14:paraId="0ABA344D" w14:textId="77777777" w:rsidTr="00EA643D">
        <w:trPr>
          <w:trHeight w:val="250"/>
        </w:trPr>
        <w:tc>
          <w:tcPr>
            <w:tcW w:w="4640" w:type="dxa"/>
            <w:tcBorders>
              <w:top w:val="single" w:sz="4" w:space="0" w:color="000000"/>
              <w:left w:val="single" w:sz="12" w:space="0" w:color="000000"/>
              <w:bottom w:val="single" w:sz="4" w:space="0" w:color="000000"/>
              <w:right w:val="single" w:sz="12" w:space="0" w:color="000000"/>
            </w:tcBorders>
          </w:tcPr>
          <w:p w14:paraId="490DC5CF" w14:textId="0AA6A0E3" w:rsidR="00000E4B" w:rsidRDefault="00000E4B" w:rsidP="00000E4B">
            <w:pPr>
              <w:spacing w:after="0" w:line="259" w:lineRule="auto"/>
              <w:ind w:left="36" w:right="0" w:firstLine="0"/>
              <w:rPr>
                <w:sz w:val="18"/>
              </w:rPr>
            </w:pPr>
            <w:r>
              <w:rPr>
                <w:sz w:val="18"/>
              </w:rPr>
              <w:t xml:space="preserve">Total </w:t>
            </w:r>
            <w:proofErr w:type="spellStart"/>
            <w:r>
              <w:rPr>
                <w:sz w:val="18"/>
              </w:rPr>
              <w:t>Hexachlorodibenzo</w:t>
            </w:r>
            <w:proofErr w:type="spellEnd"/>
            <w:r>
              <w:rPr>
                <w:sz w:val="18"/>
              </w:rPr>
              <w:t>-p-dioxin (</w:t>
            </w:r>
            <w:proofErr w:type="spellStart"/>
            <w:r>
              <w:rPr>
                <w:sz w:val="18"/>
              </w:rPr>
              <w:t>HxCDD</w:t>
            </w:r>
            <w:proofErr w:type="spellEnd"/>
            <w:r>
              <w:rPr>
                <w:sz w:val="18"/>
              </w:rPr>
              <w:t xml:space="preserve">) </w:t>
            </w:r>
          </w:p>
        </w:tc>
        <w:tc>
          <w:tcPr>
            <w:tcW w:w="1061" w:type="dxa"/>
            <w:tcBorders>
              <w:top w:val="single" w:sz="4" w:space="0" w:color="000000"/>
              <w:left w:val="single" w:sz="12" w:space="0" w:color="000000"/>
              <w:bottom w:val="single" w:sz="4" w:space="0" w:color="000000"/>
              <w:right w:val="single" w:sz="12" w:space="0" w:color="000000"/>
            </w:tcBorders>
          </w:tcPr>
          <w:p w14:paraId="306A6566" w14:textId="3576D997" w:rsidR="00000E4B" w:rsidRDefault="00000E4B" w:rsidP="00000E4B">
            <w:pPr>
              <w:spacing w:after="0" w:line="259" w:lineRule="auto"/>
              <w:ind w:left="0" w:right="35" w:firstLine="0"/>
              <w:jc w:val="center"/>
              <w:rPr>
                <w:sz w:val="18"/>
              </w:rPr>
            </w:pPr>
            <w:r>
              <w:rPr>
                <w:sz w:val="18"/>
              </w:rPr>
              <w:t>34465-46-8</w:t>
            </w:r>
          </w:p>
        </w:tc>
        <w:tc>
          <w:tcPr>
            <w:tcW w:w="879" w:type="dxa"/>
            <w:tcBorders>
              <w:top w:val="single" w:sz="4" w:space="0" w:color="000000"/>
              <w:left w:val="single" w:sz="12" w:space="0" w:color="000000"/>
              <w:bottom w:val="single" w:sz="4" w:space="0" w:color="000000"/>
              <w:right w:val="single" w:sz="12" w:space="0" w:color="000000"/>
            </w:tcBorders>
          </w:tcPr>
          <w:p w14:paraId="7CC0D3AA" w14:textId="2B864761" w:rsidR="00000E4B" w:rsidRDefault="00000E4B" w:rsidP="00000E4B">
            <w:pPr>
              <w:spacing w:after="0" w:line="259" w:lineRule="auto"/>
              <w:ind w:left="0" w:right="38" w:firstLine="0"/>
              <w:jc w:val="center"/>
              <w:rPr>
                <w:sz w:val="18"/>
              </w:rPr>
            </w:pPr>
            <w:r>
              <w:rPr>
                <w:sz w:val="18"/>
              </w:rPr>
              <w:t>0.025</w:t>
            </w:r>
          </w:p>
        </w:tc>
        <w:tc>
          <w:tcPr>
            <w:tcW w:w="895" w:type="dxa"/>
            <w:tcBorders>
              <w:top w:val="single" w:sz="4" w:space="0" w:color="000000"/>
              <w:left w:val="single" w:sz="12" w:space="0" w:color="000000"/>
              <w:bottom w:val="single" w:sz="4" w:space="0" w:color="000000"/>
              <w:right w:val="single" w:sz="12" w:space="0" w:color="000000"/>
            </w:tcBorders>
          </w:tcPr>
          <w:p w14:paraId="0C852A41" w14:textId="596D1FB1" w:rsidR="00000E4B" w:rsidRDefault="00000E4B" w:rsidP="00000E4B">
            <w:pPr>
              <w:spacing w:after="0" w:line="259" w:lineRule="auto"/>
              <w:ind w:left="46" w:right="0" w:firstLine="0"/>
              <w:rPr>
                <w:sz w:val="18"/>
              </w:rPr>
            </w:pPr>
            <w:r>
              <w:rPr>
                <w:sz w:val="18"/>
              </w:rPr>
              <w:t>ng/L</w:t>
            </w:r>
            <w:r>
              <w:rPr>
                <w:i/>
                <w:sz w:val="18"/>
              </w:rPr>
              <w:t xml:space="preserve"> (ppt)</w:t>
            </w:r>
          </w:p>
        </w:tc>
        <w:tc>
          <w:tcPr>
            <w:tcW w:w="627" w:type="dxa"/>
            <w:tcBorders>
              <w:top w:val="single" w:sz="4" w:space="0" w:color="000000"/>
              <w:left w:val="single" w:sz="12" w:space="0" w:color="000000"/>
              <w:bottom w:val="single" w:sz="4" w:space="0" w:color="000000"/>
              <w:right w:val="single" w:sz="12" w:space="0" w:color="000000"/>
            </w:tcBorders>
          </w:tcPr>
          <w:p w14:paraId="6BB2BF13" w14:textId="4A659FC5" w:rsidR="00000E4B" w:rsidRDefault="00000E4B" w:rsidP="00000E4B">
            <w:pPr>
              <w:spacing w:after="0" w:line="259" w:lineRule="auto"/>
              <w:ind w:left="0" w:right="35" w:firstLine="0"/>
              <w:jc w:val="center"/>
              <w:rPr>
                <w:sz w:val="18"/>
              </w:rPr>
            </w:pPr>
            <w:r>
              <w:rPr>
                <w:sz w:val="18"/>
              </w:rPr>
              <w:t>2.5</w:t>
            </w:r>
          </w:p>
        </w:tc>
        <w:tc>
          <w:tcPr>
            <w:tcW w:w="1074" w:type="dxa"/>
            <w:tcBorders>
              <w:top w:val="single" w:sz="4" w:space="0" w:color="000000"/>
              <w:left w:val="single" w:sz="12" w:space="0" w:color="000000"/>
              <w:bottom w:val="single" w:sz="4" w:space="0" w:color="000000"/>
              <w:right w:val="single" w:sz="12" w:space="0" w:color="000000"/>
            </w:tcBorders>
          </w:tcPr>
          <w:p w14:paraId="43593656" w14:textId="37AF1392" w:rsidR="00000E4B" w:rsidRDefault="00000E4B" w:rsidP="00000E4B">
            <w:pPr>
              <w:spacing w:after="0" w:line="259" w:lineRule="auto"/>
              <w:ind w:left="101" w:right="0" w:firstLine="0"/>
              <w:rPr>
                <w:sz w:val="18"/>
              </w:rPr>
            </w:pPr>
            <w:r>
              <w:rPr>
                <w:sz w:val="18"/>
              </w:rPr>
              <w:t xml:space="preserve">ng/kg </w:t>
            </w:r>
            <w:r>
              <w:rPr>
                <w:i/>
                <w:sz w:val="18"/>
              </w:rPr>
              <w:t>(ppt)</w:t>
            </w:r>
          </w:p>
        </w:tc>
        <w:tc>
          <w:tcPr>
            <w:tcW w:w="724" w:type="dxa"/>
            <w:tcBorders>
              <w:top w:val="single" w:sz="4" w:space="0" w:color="000000"/>
              <w:left w:val="single" w:sz="12" w:space="0" w:color="000000"/>
              <w:bottom w:val="single" w:sz="4" w:space="0" w:color="000000"/>
              <w:right w:val="single" w:sz="12" w:space="0" w:color="000000"/>
            </w:tcBorders>
            <w:vAlign w:val="center"/>
          </w:tcPr>
          <w:p w14:paraId="50865396" w14:textId="528E9B0F" w:rsidR="00000E4B" w:rsidRDefault="00000E4B" w:rsidP="00A53A74">
            <w:pPr>
              <w:spacing w:after="0" w:line="259" w:lineRule="auto"/>
              <w:ind w:left="122" w:right="0" w:firstLine="0"/>
              <w:jc w:val="center"/>
              <w:rPr>
                <w:sz w:val="18"/>
              </w:rPr>
            </w:pPr>
            <w:r>
              <w:rPr>
                <w:sz w:val="18"/>
              </w:rPr>
              <w:t>8290</w:t>
            </w:r>
          </w:p>
        </w:tc>
        <w:tc>
          <w:tcPr>
            <w:tcW w:w="720" w:type="dxa"/>
            <w:tcBorders>
              <w:top w:val="single" w:sz="4" w:space="0" w:color="000000"/>
              <w:left w:val="single" w:sz="12" w:space="0" w:color="000000"/>
              <w:bottom w:val="single" w:sz="4" w:space="0" w:color="000000"/>
              <w:right w:val="single" w:sz="12" w:space="0" w:color="000000"/>
            </w:tcBorders>
            <w:vAlign w:val="center"/>
          </w:tcPr>
          <w:p w14:paraId="4C41933C" w14:textId="43DF722E" w:rsidR="00000E4B" w:rsidRDefault="00000E4B" w:rsidP="00000E4B">
            <w:pPr>
              <w:spacing w:after="0" w:line="259" w:lineRule="auto"/>
              <w:ind w:left="84" w:right="0" w:firstLine="0"/>
              <w:rPr>
                <w:sz w:val="18"/>
              </w:rPr>
            </w:pPr>
            <w:r>
              <w:rPr>
                <w:sz w:val="18"/>
              </w:rPr>
              <w:t xml:space="preserve">1613 </w:t>
            </w:r>
            <w:r w:rsidRPr="00633D05">
              <w:rPr>
                <w:b/>
                <w:bCs/>
                <w:sz w:val="18"/>
                <w:vertAlign w:val="superscript"/>
              </w:rPr>
              <w:t>8</w:t>
            </w:r>
          </w:p>
        </w:tc>
      </w:tr>
      <w:tr w:rsidR="00C84A5D" w14:paraId="05776590" w14:textId="77777777" w:rsidTr="00EA643D">
        <w:trPr>
          <w:trHeight w:val="250"/>
        </w:trPr>
        <w:tc>
          <w:tcPr>
            <w:tcW w:w="4640" w:type="dxa"/>
            <w:tcBorders>
              <w:top w:val="single" w:sz="4" w:space="0" w:color="000000"/>
              <w:left w:val="single" w:sz="12" w:space="0" w:color="000000"/>
              <w:bottom w:val="single" w:sz="4" w:space="0" w:color="000000"/>
              <w:right w:val="single" w:sz="12" w:space="0" w:color="000000"/>
            </w:tcBorders>
          </w:tcPr>
          <w:p w14:paraId="57501F9D" w14:textId="6E2C1F7B" w:rsidR="00000E4B" w:rsidRDefault="00000E4B" w:rsidP="00000E4B">
            <w:pPr>
              <w:spacing w:after="0" w:line="259" w:lineRule="auto"/>
              <w:ind w:left="36" w:right="0" w:firstLine="0"/>
              <w:rPr>
                <w:sz w:val="18"/>
              </w:rPr>
            </w:pPr>
            <w:r>
              <w:rPr>
                <w:sz w:val="18"/>
              </w:rPr>
              <w:t xml:space="preserve">Total </w:t>
            </w:r>
            <w:proofErr w:type="spellStart"/>
            <w:r>
              <w:rPr>
                <w:sz w:val="18"/>
              </w:rPr>
              <w:t>Heptachlorodibenzo</w:t>
            </w:r>
            <w:proofErr w:type="spellEnd"/>
            <w:r>
              <w:rPr>
                <w:sz w:val="18"/>
              </w:rPr>
              <w:t>-p-dioxin (</w:t>
            </w:r>
            <w:proofErr w:type="spellStart"/>
            <w:r>
              <w:rPr>
                <w:sz w:val="18"/>
              </w:rPr>
              <w:t>HpCDD</w:t>
            </w:r>
            <w:proofErr w:type="spellEnd"/>
            <w:r>
              <w:rPr>
                <w:sz w:val="18"/>
              </w:rPr>
              <w:t xml:space="preserve">) </w:t>
            </w:r>
          </w:p>
        </w:tc>
        <w:tc>
          <w:tcPr>
            <w:tcW w:w="1061" w:type="dxa"/>
            <w:tcBorders>
              <w:top w:val="single" w:sz="4" w:space="0" w:color="000000"/>
              <w:left w:val="single" w:sz="12" w:space="0" w:color="000000"/>
              <w:bottom w:val="single" w:sz="4" w:space="0" w:color="000000"/>
              <w:right w:val="single" w:sz="12" w:space="0" w:color="000000"/>
            </w:tcBorders>
          </w:tcPr>
          <w:p w14:paraId="37D9B795" w14:textId="2DC0AA8B" w:rsidR="00000E4B" w:rsidRDefault="00000E4B" w:rsidP="00000E4B">
            <w:pPr>
              <w:spacing w:after="0" w:line="259" w:lineRule="auto"/>
              <w:ind w:left="0" w:right="35" w:firstLine="0"/>
              <w:jc w:val="center"/>
              <w:rPr>
                <w:sz w:val="18"/>
              </w:rPr>
            </w:pPr>
            <w:r>
              <w:rPr>
                <w:sz w:val="18"/>
              </w:rPr>
              <w:t>37871-00-4</w:t>
            </w:r>
          </w:p>
        </w:tc>
        <w:tc>
          <w:tcPr>
            <w:tcW w:w="879" w:type="dxa"/>
            <w:tcBorders>
              <w:top w:val="single" w:sz="4" w:space="0" w:color="000000"/>
              <w:left w:val="single" w:sz="12" w:space="0" w:color="000000"/>
              <w:bottom w:val="single" w:sz="4" w:space="0" w:color="000000"/>
              <w:right w:val="single" w:sz="12" w:space="0" w:color="000000"/>
            </w:tcBorders>
          </w:tcPr>
          <w:p w14:paraId="36649809" w14:textId="535B6FE2" w:rsidR="00000E4B" w:rsidRDefault="00000E4B" w:rsidP="00000E4B">
            <w:pPr>
              <w:spacing w:after="0" w:line="259" w:lineRule="auto"/>
              <w:ind w:left="0" w:right="38" w:firstLine="0"/>
              <w:jc w:val="center"/>
              <w:rPr>
                <w:sz w:val="18"/>
              </w:rPr>
            </w:pPr>
            <w:r>
              <w:rPr>
                <w:sz w:val="18"/>
              </w:rPr>
              <w:t>0.025</w:t>
            </w:r>
          </w:p>
        </w:tc>
        <w:tc>
          <w:tcPr>
            <w:tcW w:w="895" w:type="dxa"/>
            <w:tcBorders>
              <w:top w:val="single" w:sz="4" w:space="0" w:color="000000"/>
              <w:left w:val="single" w:sz="12" w:space="0" w:color="000000"/>
              <w:bottom w:val="single" w:sz="4" w:space="0" w:color="000000"/>
              <w:right w:val="single" w:sz="12" w:space="0" w:color="000000"/>
            </w:tcBorders>
          </w:tcPr>
          <w:p w14:paraId="4C2960FE" w14:textId="75E025B0" w:rsidR="00000E4B" w:rsidRDefault="00000E4B" w:rsidP="00000E4B">
            <w:pPr>
              <w:spacing w:after="0" w:line="259" w:lineRule="auto"/>
              <w:ind w:left="46" w:right="0" w:firstLine="0"/>
              <w:rPr>
                <w:sz w:val="18"/>
              </w:rPr>
            </w:pPr>
            <w:r>
              <w:rPr>
                <w:sz w:val="18"/>
              </w:rPr>
              <w:t>ng/L</w:t>
            </w:r>
            <w:r>
              <w:rPr>
                <w:i/>
                <w:sz w:val="18"/>
              </w:rPr>
              <w:t xml:space="preserve"> (ppt)</w:t>
            </w:r>
          </w:p>
        </w:tc>
        <w:tc>
          <w:tcPr>
            <w:tcW w:w="627" w:type="dxa"/>
            <w:tcBorders>
              <w:top w:val="single" w:sz="4" w:space="0" w:color="000000"/>
              <w:left w:val="single" w:sz="12" w:space="0" w:color="000000"/>
              <w:bottom w:val="single" w:sz="4" w:space="0" w:color="000000"/>
              <w:right w:val="single" w:sz="12" w:space="0" w:color="000000"/>
            </w:tcBorders>
          </w:tcPr>
          <w:p w14:paraId="6A7AD44D" w14:textId="3312C30E" w:rsidR="00000E4B" w:rsidRDefault="00000E4B" w:rsidP="00000E4B">
            <w:pPr>
              <w:spacing w:after="0" w:line="259" w:lineRule="auto"/>
              <w:ind w:left="0" w:right="35" w:firstLine="0"/>
              <w:jc w:val="center"/>
              <w:rPr>
                <w:sz w:val="18"/>
              </w:rPr>
            </w:pPr>
            <w:r>
              <w:rPr>
                <w:sz w:val="18"/>
              </w:rPr>
              <w:t>2.5</w:t>
            </w:r>
          </w:p>
        </w:tc>
        <w:tc>
          <w:tcPr>
            <w:tcW w:w="1074" w:type="dxa"/>
            <w:tcBorders>
              <w:top w:val="single" w:sz="4" w:space="0" w:color="000000"/>
              <w:left w:val="single" w:sz="12" w:space="0" w:color="000000"/>
              <w:bottom w:val="single" w:sz="4" w:space="0" w:color="000000"/>
              <w:right w:val="single" w:sz="12" w:space="0" w:color="000000"/>
            </w:tcBorders>
          </w:tcPr>
          <w:p w14:paraId="052F7A9F" w14:textId="71D1BC23" w:rsidR="00000E4B" w:rsidRDefault="00000E4B" w:rsidP="00000E4B">
            <w:pPr>
              <w:spacing w:after="0" w:line="259" w:lineRule="auto"/>
              <w:ind w:left="101" w:right="0" w:firstLine="0"/>
              <w:rPr>
                <w:sz w:val="18"/>
              </w:rPr>
            </w:pPr>
            <w:r>
              <w:rPr>
                <w:sz w:val="18"/>
              </w:rPr>
              <w:t xml:space="preserve">ng/kg </w:t>
            </w:r>
            <w:r>
              <w:rPr>
                <w:i/>
                <w:sz w:val="18"/>
              </w:rPr>
              <w:t>(ppt)</w:t>
            </w:r>
          </w:p>
        </w:tc>
        <w:tc>
          <w:tcPr>
            <w:tcW w:w="724" w:type="dxa"/>
            <w:tcBorders>
              <w:top w:val="single" w:sz="4" w:space="0" w:color="000000"/>
              <w:left w:val="single" w:sz="12" w:space="0" w:color="000000"/>
              <w:bottom w:val="single" w:sz="4" w:space="0" w:color="000000"/>
              <w:right w:val="single" w:sz="12" w:space="0" w:color="000000"/>
            </w:tcBorders>
            <w:vAlign w:val="center"/>
          </w:tcPr>
          <w:p w14:paraId="097FE7C7" w14:textId="162B7291" w:rsidR="00000E4B" w:rsidRDefault="00000E4B" w:rsidP="00A53A74">
            <w:pPr>
              <w:spacing w:after="0" w:line="259" w:lineRule="auto"/>
              <w:ind w:left="122" w:right="0" w:firstLine="0"/>
              <w:jc w:val="center"/>
              <w:rPr>
                <w:sz w:val="18"/>
              </w:rPr>
            </w:pPr>
            <w:r>
              <w:rPr>
                <w:sz w:val="18"/>
              </w:rPr>
              <w:t>8290</w:t>
            </w:r>
          </w:p>
        </w:tc>
        <w:tc>
          <w:tcPr>
            <w:tcW w:w="720" w:type="dxa"/>
            <w:tcBorders>
              <w:top w:val="single" w:sz="4" w:space="0" w:color="000000"/>
              <w:left w:val="single" w:sz="12" w:space="0" w:color="000000"/>
              <w:bottom w:val="single" w:sz="4" w:space="0" w:color="000000"/>
              <w:right w:val="single" w:sz="12" w:space="0" w:color="000000"/>
            </w:tcBorders>
            <w:vAlign w:val="center"/>
          </w:tcPr>
          <w:p w14:paraId="0AEB71BF" w14:textId="1BD6F53A" w:rsidR="00000E4B" w:rsidRDefault="00000E4B" w:rsidP="00000E4B">
            <w:pPr>
              <w:spacing w:after="0" w:line="259" w:lineRule="auto"/>
              <w:ind w:left="84" w:right="0" w:firstLine="0"/>
              <w:rPr>
                <w:sz w:val="18"/>
              </w:rPr>
            </w:pPr>
            <w:r>
              <w:rPr>
                <w:sz w:val="18"/>
              </w:rPr>
              <w:t xml:space="preserve">1613 </w:t>
            </w:r>
            <w:r w:rsidRPr="00633D05">
              <w:rPr>
                <w:b/>
                <w:bCs/>
                <w:sz w:val="18"/>
                <w:vertAlign w:val="superscript"/>
              </w:rPr>
              <w:t>8</w:t>
            </w:r>
          </w:p>
        </w:tc>
      </w:tr>
      <w:tr w:rsidR="00C84A5D" w14:paraId="5FAF346D" w14:textId="77777777" w:rsidTr="00EA643D">
        <w:trPr>
          <w:trHeight w:val="250"/>
        </w:trPr>
        <w:tc>
          <w:tcPr>
            <w:tcW w:w="4640" w:type="dxa"/>
            <w:tcBorders>
              <w:top w:val="single" w:sz="4" w:space="0" w:color="000000"/>
              <w:left w:val="single" w:sz="12" w:space="0" w:color="000000"/>
              <w:bottom w:val="single" w:sz="4" w:space="0" w:color="000000"/>
              <w:right w:val="single" w:sz="12" w:space="0" w:color="000000"/>
            </w:tcBorders>
          </w:tcPr>
          <w:p w14:paraId="258E1CE8" w14:textId="208A6FAA" w:rsidR="00000E4B" w:rsidRDefault="00000E4B" w:rsidP="00000E4B">
            <w:pPr>
              <w:spacing w:after="0" w:line="259" w:lineRule="auto"/>
              <w:ind w:left="36" w:right="0" w:firstLine="0"/>
              <w:rPr>
                <w:sz w:val="18"/>
              </w:rPr>
            </w:pPr>
            <w:r>
              <w:rPr>
                <w:sz w:val="18"/>
              </w:rPr>
              <w:lastRenderedPageBreak/>
              <w:t xml:space="preserve">Total </w:t>
            </w:r>
            <w:proofErr w:type="spellStart"/>
            <w:r>
              <w:rPr>
                <w:sz w:val="18"/>
              </w:rPr>
              <w:t>Tetrachlorodibenzofuran</w:t>
            </w:r>
            <w:proofErr w:type="spellEnd"/>
            <w:r>
              <w:rPr>
                <w:sz w:val="18"/>
              </w:rPr>
              <w:t xml:space="preserve"> (TCDF) </w:t>
            </w:r>
          </w:p>
        </w:tc>
        <w:tc>
          <w:tcPr>
            <w:tcW w:w="1061" w:type="dxa"/>
            <w:tcBorders>
              <w:top w:val="single" w:sz="4" w:space="0" w:color="000000"/>
              <w:left w:val="single" w:sz="12" w:space="0" w:color="000000"/>
              <w:bottom w:val="single" w:sz="4" w:space="0" w:color="000000"/>
              <w:right w:val="single" w:sz="12" w:space="0" w:color="000000"/>
            </w:tcBorders>
          </w:tcPr>
          <w:p w14:paraId="57F7B8BA" w14:textId="79EA8C12" w:rsidR="00000E4B" w:rsidRDefault="00000E4B" w:rsidP="00000E4B">
            <w:pPr>
              <w:spacing w:after="0" w:line="259" w:lineRule="auto"/>
              <w:ind w:left="0" w:right="35" w:firstLine="0"/>
              <w:jc w:val="center"/>
              <w:rPr>
                <w:sz w:val="18"/>
              </w:rPr>
            </w:pPr>
            <w:r>
              <w:rPr>
                <w:sz w:val="18"/>
              </w:rPr>
              <w:t>55722-27-5</w:t>
            </w:r>
          </w:p>
        </w:tc>
        <w:tc>
          <w:tcPr>
            <w:tcW w:w="879" w:type="dxa"/>
            <w:tcBorders>
              <w:top w:val="single" w:sz="4" w:space="0" w:color="000000"/>
              <w:left w:val="single" w:sz="12" w:space="0" w:color="000000"/>
              <w:bottom w:val="single" w:sz="4" w:space="0" w:color="000000"/>
              <w:right w:val="single" w:sz="12" w:space="0" w:color="000000"/>
            </w:tcBorders>
          </w:tcPr>
          <w:p w14:paraId="55769AF6" w14:textId="360C7B09" w:rsidR="00000E4B" w:rsidRDefault="00000E4B" w:rsidP="00000E4B">
            <w:pPr>
              <w:spacing w:after="0" w:line="259" w:lineRule="auto"/>
              <w:ind w:left="0" w:right="38" w:firstLine="0"/>
              <w:jc w:val="center"/>
              <w:rPr>
                <w:sz w:val="18"/>
              </w:rPr>
            </w:pPr>
            <w:r>
              <w:rPr>
                <w:sz w:val="18"/>
              </w:rPr>
              <w:t>0.010</w:t>
            </w:r>
          </w:p>
        </w:tc>
        <w:tc>
          <w:tcPr>
            <w:tcW w:w="895" w:type="dxa"/>
            <w:tcBorders>
              <w:top w:val="single" w:sz="4" w:space="0" w:color="000000"/>
              <w:left w:val="single" w:sz="12" w:space="0" w:color="000000"/>
              <w:bottom w:val="single" w:sz="4" w:space="0" w:color="000000"/>
              <w:right w:val="single" w:sz="12" w:space="0" w:color="000000"/>
            </w:tcBorders>
          </w:tcPr>
          <w:p w14:paraId="4223BA5D" w14:textId="17D8E2B6" w:rsidR="00000E4B" w:rsidRDefault="00000E4B" w:rsidP="00000E4B">
            <w:pPr>
              <w:spacing w:after="0" w:line="259" w:lineRule="auto"/>
              <w:ind w:left="46" w:right="0" w:firstLine="0"/>
              <w:rPr>
                <w:sz w:val="18"/>
              </w:rPr>
            </w:pPr>
            <w:r>
              <w:rPr>
                <w:sz w:val="18"/>
              </w:rPr>
              <w:t>ng/L</w:t>
            </w:r>
            <w:r>
              <w:rPr>
                <w:i/>
                <w:sz w:val="18"/>
              </w:rPr>
              <w:t xml:space="preserve"> (ppt)</w:t>
            </w:r>
          </w:p>
        </w:tc>
        <w:tc>
          <w:tcPr>
            <w:tcW w:w="627" w:type="dxa"/>
            <w:tcBorders>
              <w:top w:val="single" w:sz="4" w:space="0" w:color="000000"/>
              <w:left w:val="single" w:sz="12" w:space="0" w:color="000000"/>
              <w:bottom w:val="single" w:sz="4" w:space="0" w:color="000000"/>
              <w:right w:val="single" w:sz="12" w:space="0" w:color="000000"/>
            </w:tcBorders>
          </w:tcPr>
          <w:p w14:paraId="6FB16A4F" w14:textId="767E1CCE" w:rsidR="00000E4B" w:rsidRDefault="00000E4B" w:rsidP="00000E4B">
            <w:pPr>
              <w:spacing w:after="0" w:line="259" w:lineRule="auto"/>
              <w:ind w:left="0" w:right="35" w:firstLine="0"/>
              <w:jc w:val="center"/>
              <w:rPr>
                <w:sz w:val="18"/>
              </w:rPr>
            </w:pPr>
            <w:r>
              <w:rPr>
                <w:sz w:val="18"/>
              </w:rPr>
              <w:t>1.0</w:t>
            </w:r>
          </w:p>
        </w:tc>
        <w:tc>
          <w:tcPr>
            <w:tcW w:w="1074" w:type="dxa"/>
            <w:tcBorders>
              <w:top w:val="single" w:sz="4" w:space="0" w:color="000000"/>
              <w:left w:val="single" w:sz="12" w:space="0" w:color="000000"/>
              <w:bottom w:val="single" w:sz="4" w:space="0" w:color="000000"/>
              <w:right w:val="single" w:sz="12" w:space="0" w:color="000000"/>
            </w:tcBorders>
          </w:tcPr>
          <w:p w14:paraId="04484174" w14:textId="5F240FFB" w:rsidR="00000E4B" w:rsidRDefault="00000E4B" w:rsidP="00000E4B">
            <w:pPr>
              <w:spacing w:after="0" w:line="259" w:lineRule="auto"/>
              <w:ind w:left="101" w:right="0" w:firstLine="0"/>
              <w:rPr>
                <w:sz w:val="18"/>
              </w:rPr>
            </w:pPr>
            <w:r>
              <w:rPr>
                <w:sz w:val="18"/>
              </w:rPr>
              <w:t xml:space="preserve">ng/kg </w:t>
            </w:r>
            <w:r>
              <w:rPr>
                <w:i/>
                <w:sz w:val="18"/>
              </w:rPr>
              <w:t>(ppt)</w:t>
            </w:r>
          </w:p>
        </w:tc>
        <w:tc>
          <w:tcPr>
            <w:tcW w:w="724" w:type="dxa"/>
            <w:tcBorders>
              <w:top w:val="single" w:sz="4" w:space="0" w:color="000000"/>
              <w:left w:val="single" w:sz="12" w:space="0" w:color="000000"/>
              <w:bottom w:val="single" w:sz="4" w:space="0" w:color="000000"/>
              <w:right w:val="single" w:sz="12" w:space="0" w:color="000000"/>
            </w:tcBorders>
            <w:vAlign w:val="center"/>
          </w:tcPr>
          <w:p w14:paraId="6303B038" w14:textId="058607D9" w:rsidR="00000E4B" w:rsidRDefault="00000E4B" w:rsidP="00A53A74">
            <w:pPr>
              <w:spacing w:after="0" w:line="259" w:lineRule="auto"/>
              <w:ind w:left="122" w:right="0" w:firstLine="0"/>
              <w:jc w:val="center"/>
              <w:rPr>
                <w:sz w:val="18"/>
              </w:rPr>
            </w:pPr>
            <w:r>
              <w:rPr>
                <w:sz w:val="18"/>
              </w:rPr>
              <w:t>8290</w:t>
            </w:r>
          </w:p>
        </w:tc>
        <w:tc>
          <w:tcPr>
            <w:tcW w:w="720" w:type="dxa"/>
            <w:tcBorders>
              <w:top w:val="single" w:sz="4" w:space="0" w:color="000000"/>
              <w:left w:val="single" w:sz="12" w:space="0" w:color="000000"/>
              <w:bottom w:val="single" w:sz="4" w:space="0" w:color="000000"/>
              <w:right w:val="single" w:sz="12" w:space="0" w:color="000000"/>
            </w:tcBorders>
            <w:vAlign w:val="center"/>
          </w:tcPr>
          <w:p w14:paraId="1F8C2D36" w14:textId="01E7C662" w:rsidR="00000E4B" w:rsidRDefault="00000E4B" w:rsidP="00000E4B">
            <w:pPr>
              <w:spacing w:after="0" w:line="259" w:lineRule="auto"/>
              <w:ind w:left="84" w:right="0" w:firstLine="0"/>
              <w:rPr>
                <w:sz w:val="18"/>
              </w:rPr>
            </w:pPr>
            <w:r>
              <w:rPr>
                <w:sz w:val="18"/>
              </w:rPr>
              <w:t xml:space="preserve">1613 </w:t>
            </w:r>
            <w:r w:rsidRPr="00633D05">
              <w:rPr>
                <w:b/>
                <w:bCs/>
                <w:sz w:val="18"/>
                <w:vertAlign w:val="superscript"/>
              </w:rPr>
              <w:t>8</w:t>
            </w:r>
          </w:p>
        </w:tc>
      </w:tr>
      <w:tr w:rsidR="00C84A5D" w14:paraId="0A3BDCFE" w14:textId="77777777" w:rsidTr="00EA643D">
        <w:trPr>
          <w:trHeight w:val="250"/>
        </w:trPr>
        <w:tc>
          <w:tcPr>
            <w:tcW w:w="4640" w:type="dxa"/>
            <w:tcBorders>
              <w:top w:val="single" w:sz="4" w:space="0" w:color="000000"/>
              <w:left w:val="single" w:sz="12" w:space="0" w:color="000000"/>
              <w:bottom w:val="single" w:sz="4" w:space="0" w:color="000000"/>
              <w:right w:val="single" w:sz="12" w:space="0" w:color="000000"/>
            </w:tcBorders>
          </w:tcPr>
          <w:p w14:paraId="5BF11A97" w14:textId="33B25A12" w:rsidR="00000E4B" w:rsidRDefault="00000E4B" w:rsidP="00000E4B">
            <w:pPr>
              <w:spacing w:after="0" w:line="259" w:lineRule="auto"/>
              <w:ind w:left="36" w:right="0" w:firstLine="0"/>
              <w:rPr>
                <w:sz w:val="18"/>
              </w:rPr>
            </w:pPr>
            <w:r>
              <w:rPr>
                <w:sz w:val="18"/>
              </w:rPr>
              <w:t xml:space="preserve">Total </w:t>
            </w:r>
            <w:proofErr w:type="spellStart"/>
            <w:r>
              <w:rPr>
                <w:sz w:val="18"/>
              </w:rPr>
              <w:t>Pentachlorodibenzofuran</w:t>
            </w:r>
            <w:proofErr w:type="spellEnd"/>
            <w:r>
              <w:rPr>
                <w:sz w:val="18"/>
              </w:rPr>
              <w:t xml:space="preserve"> (</w:t>
            </w:r>
            <w:proofErr w:type="spellStart"/>
            <w:r>
              <w:rPr>
                <w:sz w:val="18"/>
              </w:rPr>
              <w:t>PeCDF</w:t>
            </w:r>
            <w:proofErr w:type="spellEnd"/>
            <w:r>
              <w:rPr>
                <w:sz w:val="18"/>
              </w:rPr>
              <w:t xml:space="preserve">) </w:t>
            </w:r>
          </w:p>
        </w:tc>
        <w:tc>
          <w:tcPr>
            <w:tcW w:w="1061" w:type="dxa"/>
            <w:tcBorders>
              <w:top w:val="single" w:sz="4" w:space="0" w:color="000000"/>
              <w:left w:val="single" w:sz="12" w:space="0" w:color="000000"/>
              <w:bottom w:val="single" w:sz="4" w:space="0" w:color="000000"/>
              <w:right w:val="single" w:sz="12" w:space="0" w:color="000000"/>
            </w:tcBorders>
          </w:tcPr>
          <w:p w14:paraId="4B960C17" w14:textId="5C362E6B" w:rsidR="00000E4B" w:rsidRDefault="00000E4B" w:rsidP="00000E4B">
            <w:pPr>
              <w:spacing w:after="0" w:line="259" w:lineRule="auto"/>
              <w:ind w:left="0" w:right="35" w:firstLine="0"/>
              <w:jc w:val="center"/>
              <w:rPr>
                <w:sz w:val="18"/>
              </w:rPr>
            </w:pPr>
            <w:r>
              <w:rPr>
                <w:sz w:val="18"/>
              </w:rPr>
              <w:t>30402-15-4</w:t>
            </w:r>
          </w:p>
        </w:tc>
        <w:tc>
          <w:tcPr>
            <w:tcW w:w="879" w:type="dxa"/>
            <w:tcBorders>
              <w:top w:val="single" w:sz="4" w:space="0" w:color="000000"/>
              <w:left w:val="single" w:sz="12" w:space="0" w:color="000000"/>
              <w:bottom w:val="single" w:sz="4" w:space="0" w:color="000000"/>
              <w:right w:val="single" w:sz="12" w:space="0" w:color="000000"/>
            </w:tcBorders>
          </w:tcPr>
          <w:p w14:paraId="565AA426" w14:textId="259FB376" w:rsidR="00000E4B" w:rsidRDefault="00000E4B" w:rsidP="00000E4B">
            <w:pPr>
              <w:spacing w:after="0" w:line="259" w:lineRule="auto"/>
              <w:ind w:left="0" w:right="38" w:firstLine="0"/>
              <w:jc w:val="center"/>
              <w:rPr>
                <w:sz w:val="18"/>
              </w:rPr>
            </w:pPr>
            <w:r>
              <w:rPr>
                <w:sz w:val="18"/>
              </w:rPr>
              <w:t>0.010</w:t>
            </w:r>
          </w:p>
        </w:tc>
        <w:tc>
          <w:tcPr>
            <w:tcW w:w="895" w:type="dxa"/>
            <w:tcBorders>
              <w:top w:val="single" w:sz="4" w:space="0" w:color="000000"/>
              <w:left w:val="single" w:sz="12" w:space="0" w:color="000000"/>
              <w:bottom w:val="single" w:sz="4" w:space="0" w:color="000000"/>
              <w:right w:val="single" w:sz="12" w:space="0" w:color="000000"/>
            </w:tcBorders>
          </w:tcPr>
          <w:p w14:paraId="6E581ED1" w14:textId="7AB4819E" w:rsidR="00000E4B" w:rsidRDefault="00000E4B" w:rsidP="00000E4B">
            <w:pPr>
              <w:spacing w:after="0" w:line="259" w:lineRule="auto"/>
              <w:ind w:left="46" w:right="0" w:firstLine="0"/>
              <w:rPr>
                <w:sz w:val="18"/>
              </w:rPr>
            </w:pPr>
            <w:r>
              <w:rPr>
                <w:sz w:val="18"/>
              </w:rPr>
              <w:t>ng/L</w:t>
            </w:r>
            <w:r>
              <w:rPr>
                <w:i/>
                <w:sz w:val="18"/>
              </w:rPr>
              <w:t xml:space="preserve"> (ppt)</w:t>
            </w:r>
          </w:p>
        </w:tc>
        <w:tc>
          <w:tcPr>
            <w:tcW w:w="627" w:type="dxa"/>
            <w:tcBorders>
              <w:top w:val="single" w:sz="4" w:space="0" w:color="000000"/>
              <w:left w:val="single" w:sz="12" w:space="0" w:color="000000"/>
              <w:bottom w:val="single" w:sz="4" w:space="0" w:color="000000"/>
              <w:right w:val="single" w:sz="12" w:space="0" w:color="000000"/>
            </w:tcBorders>
          </w:tcPr>
          <w:p w14:paraId="45A33009" w14:textId="79DD7CBC" w:rsidR="00000E4B" w:rsidRDefault="00000E4B" w:rsidP="00000E4B">
            <w:pPr>
              <w:spacing w:after="0" w:line="259" w:lineRule="auto"/>
              <w:ind w:left="0" w:right="35" w:firstLine="0"/>
              <w:jc w:val="center"/>
              <w:rPr>
                <w:sz w:val="18"/>
              </w:rPr>
            </w:pPr>
            <w:r>
              <w:rPr>
                <w:sz w:val="18"/>
              </w:rPr>
              <w:t>1.0</w:t>
            </w:r>
          </w:p>
        </w:tc>
        <w:tc>
          <w:tcPr>
            <w:tcW w:w="1074" w:type="dxa"/>
            <w:tcBorders>
              <w:top w:val="single" w:sz="4" w:space="0" w:color="000000"/>
              <w:left w:val="single" w:sz="12" w:space="0" w:color="000000"/>
              <w:bottom w:val="single" w:sz="4" w:space="0" w:color="000000"/>
              <w:right w:val="single" w:sz="12" w:space="0" w:color="000000"/>
            </w:tcBorders>
          </w:tcPr>
          <w:p w14:paraId="2076A9B4" w14:textId="41073FB1" w:rsidR="00000E4B" w:rsidRDefault="00000E4B" w:rsidP="00000E4B">
            <w:pPr>
              <w:spacing w:after="0" w:line="259" w:lineRule="auto"/>
              <w:ind w:left="101" w:right="0" w:firstLine="0"/>
              <w:rPr>
                <w:sz w:val="18"/>
              </w:rPr>
            </w:pPr>
            <w:r>
              <w:rPr>
                <w:sz w:val="18"/>
              </w:rPr>
              <w:t xml:space="preserve">ng/kg </w:t>
            </w:r>
            <w:r>
              <w:rPr>
                <w:i/>
                <w:sz w:val="18"/>
              </w:rPr>
              <w:t>(ppt)</w:t>
            </w:r>
          </w:p>
        </w:tc>
        <w:tc>
          <w:tcPr>
            <w:tcW w:w="724" w:type="dxa"/>
            <w:tcBorders>
              <w:top w:val="single" w:sz="4" w:space="0" w:color="000000"/>
              <w:left w:val="single" w:sz="12" w:space="0" w:color="000000"/>
              <w:bottom w:val="single" w:sz="4" w:space="0" w:color="000000"/>
              <w:right w:val="single" w:sz="12" w:space="0" w:color="000000"/>
            </w:tcBorders>
            <w:vAlign w:val="center"/>
          </w:tcPr>
          <w:p w14:paraId="03592F78" w14:textId="4E234BD5" w:rsidR="00000E4B" w:rsidRDefault="00000E4B" w:rsidP="00A53A74">
            <w:pPr>
              <w:spacing w:after="0" w:line="259" w:lineRule="auto"/>
              <w:ind w:left="122" w:right="0" w:firstLine="0"/>
              <w:jc w:val="center"/>
              <w:rPr>
                <w:sz w:val="18"/>
              </w:rPr>
            </w:pPr>
            <w:r>
              <w:rPr>
                <w:sz w:val="18"/>
              </w:rPr>
              <w:t>8290</w:t>
            </w:r>
          </w:p>
        </w:tc>
        <w:tc>
          <w:tcPr>
            <w:tcW w:w="720" w:type="dxa"/>
            <w:tcBorders>
              <w:top w:val="single" w:sz="4" w:space="0" w:color="000000"/>
              <w:left w:val="single" w:sz="12" w:space="0" w:color="000000"/>
              <w:bottom w:val="single" w:sz="4" w:space="0" w:color="000000"/>
              <w:right w:val="single" w:sz="12" w:space="0" w:color="000000"/>
            </w:tcBorders>
            <w:vAlign w:val="center"/>
          </w:tcPr>
          <w:p w14:paraId="0F7EB03D" w14:textId="3B20FEC0" w:rsidR="00000E4B" w:rsidRDefault="00000E4B" w:rsidP="00000E4B">
            <w:pPr>
              <w:spacing w:after="0" w:line="259" w:lineRule="auto"/>
              <w:ind w:left="84" w:right="0" w:firstLine="0"/>
              <w:rPr>
                <w:sz w:val="18"/>
              </w:rPr>
            </w:pPr>
            <w:r>
              <w:rPr>
                <w:sz w:val="18"/>
              </w:rPr>
              <w:t xml:space="preserve">1613 </w:t>
            </w:r>
            <w:r w:rsidRPr="00633D05">
              <w:rPr>
                <w:b/>
                <w:bCs/>
                <w:sz w:val="18"/>
                <w:vertAlign w:val="superscript"/>
              </w:rPr>
              <w:t>8</w:t>
            </w:r>
          </w:p>
        </w:tc>
      </w:tr>
      <w:tr w:rsidR="00C84A5D" w14:paraId="0B1E0F2B" w14:textId="77777777" w:rsidTr="00EA643D">
        <w:trPr>
          <w:trHeight w:val="250"/>
        </w:trPr>
        <w:tc>
          <w:tcPr>
            <w:tcW w:w="4640" w:type="dxa"/>
            <w:tcBorders>
              <w:top w:val="single" w:sz="4" w:space="0" w:color="000000"/>
              <w:left w:val="single" w:sz="12" w:space="0" w:color="000000"/>
              <w:bottom w:val="single" w:sz="4" w:space="0" w:color="000000"/>
              <w:right w:val="single" w:sz="12" w:space="0" w:color="000000"/>
            </w:tcBorders>
          </w:tcPr>
          <w:p w14:paraId="1BCE4D3A" w14:textId="7BD9D374" w:rsidR="00000E4B" w:rsidRDefault="00000E4B" w:rsidP="00000E4B">
            <w:pPr>
              <w:spacing w:after="0" w:line="259" w:lineRule="auto"/>
              <w:ind w:left="36" w:right="0" w:firstLine="0"/>
              <w:rPr>
                <w:sz w:val="18"/>
              </w:rPr>
            </w:pPr>
            <w:r>
              <w:rPr>
                <w:sz w:val="18"/>
              </w:rPr>
              <w:t xml:space="preserve">Total </w:t>
            </w:r>
            <w:proofErr w:type="spellStart"/>
            <w:r>
              <w:rPr>
                <w:sz w:val="18"/>
              </w:rPr>
              <w:t>Hexachlorodibenzofuran</w:t>
            </w:r>
            <w:proofErr w:type="spellEnd"/>
            <w:r>
              <w:rPr>
                <w:sz w:val="18"/>
              </w:rPr>
              <w:t xml:space="preserve"> (</w:t>
            </w:r>
            <w:proofErr w:type="spellStart"/>
            <w:r>
              <w:rPr>
                <w:sz w:val="18"/>
              </w:rPr>
              <w:t>HxCDF</w:t>
            </w:r>
            <w:proofErr w:type="spellEnd"/>
            <w:r>
              <w:rPr>
                <w:sz w:val="18"/>
              </w:rPr>
              <w:t xml:space="preserve">)  </w:t>
            </w:r>
          </w:p>
        </w:tc>
        <w:tc>
          <w:tcPr>
            <w:tcW w:w="1061" w:type="dxa"/>
            <w:tcBorders>
              <w:top w:val="single" w:sz="4" w:space="0" w:color="000000"/>
              <w:left w:val="single" w:sz="12" w:space="0" w:color="000000"/>
              <w:bottom w:val="single" w:sz="4" w:space="0" w:color="000000"/>
              <w:right w:val="single" w:sz="12" w:space="0" w:color="000000"/>
            </w:tcBorders>
          </w:tcPr>
          <w:p w14:paraId="54757BE5" w14:textId="6E9202D2" w:rsidR="00000E4B" w:rsidRDefault="00000E4B" w:rsidP="00000E4B">
            <w:pPr>
              <w:spacing w:after="0" w:line="259" w:lineRule="auto"/>
              <w:ind w:left="0" w:right="35" w:firstLine="0"/>
              <w:jc w:val="center"/>
              <w:rPr>
                <w:sz w:val="18"/>
              </w:rPr>
            </w:pPr>
            <w:r>
              <w:rPr>
                <w:sz w:val="18"/>
              </w:rPr>
              <w:t>55684-94-1</w:t>
            </w:r>
          </w:p>
        </w:tc>
        <w:tc>
          <w:tcPr>
            <w:tcW w:w="879" w:type="dxa"/>
            <w:tcBorders>
              <w:top w:val="single" w:sz="4" w:space="0" w:color="000000"/>
              <w:left w:val="single" w:sz="12" w:space="0" w:color="000000"/>
              <w:bottom w:val="single" w:sz="4" w:space="0" w:color="000000"/>
              <w:right w:val="single" w:sz="12" w:space="0" w:color="000000"/>
            </w:tcBorders>
          </w:tcPr>
          <w:p w14:paraId="3A1ED828" w14:textId="728331E4" w:rsidR="00000E4B" w:rsidRDefault="00000E4B" w:rsidP="00000E4B">
            <w:pPr>
              <w:spacing w:after="0" w:line="259" w:lineRule="auto"/>
              <w:ind w:left="0" w:right="38" w:firstLine="0"/>
              <w:jc w:val="center"/>
              <w:rPr>
                <w:sz w:val="18"/>
              </w:rPr>
            </w:pPr>
            <w:r>
              <w:rPr>
                <w:sz w:val="18"/>
              </w:rPr>
              <w:t>0.025</w:t>
            </w:r>
          </w:p>
        </w:tc>
        <w:tc>
          <w:tcPr>
            <w:tcW w:w="895" w:type="dxa"/>
            <w:tcBorders>
              <w:top w:val="single" w:sz="4" w:space="0" w:color="000000"/>
              <w:left w:val="single" w:sz="12" w:space="0" w:color="000000"/>
              <w:bottom w:val="single" w:sz="4" w:space="0" w:color="000000"/>
              <w:right w:val="single" w:sz="12" w:space="0" w:color="000000"/>
            </w:tcBorders>
          </w:tcPr>
          <w:p w14:paraId="4C5759D0" w14:textId="2E1DDE8E" w:rsidR="00000E4B" w:rsidRDefault="00000E4B" w:rsidP="00000E4B">
            <w:pPr>
              <w:spacing w:after="0" w:line="259" w:lineRule="auto"/>
              <w:ind w:left="46" w:right="0" w:firstLine="0"/>
              <w:rPr>
                <w:sz w:val="18"/>
              </w:rPr>
            </w:pPr>
            <w:r>
              <w:rPr>
                <w:sz w:val="18"/>
              </w:rPr>
              <w:t>ng/L</w:t>
            </w:r>
            <w:r>
              <w:rPr>
                <w:i/>
                <w:sz w:val="18"/>
              </w:rPr>
              <w:t xml:space="preserve"> (ppt)</w:t>
            </w:r>
          </w:p>
        </w:tc>
        <w:tc>
          <w:tcPr>
            <w:tcW w:w="627" w:type="dxa"/>
            <w:tcBorders>
              <w:top w:val="single" w:sz="4" w:space="0" w:color="000000"/>
              <w:left w:val="single" w:sz="12" w:space="0" w:color="000000"/>
              <w:bottom w:val="single" w:sz="4" w:space="0" w:color="000000"/>
              <w:right w:val="single" w:sz="12" w:space="0" w:color="000000"/>
            </w:tcBorders>
          </w:tcPr>
          <w:p w14:paraId="4E1D4DE3" w14:textId="4AEFC8A0" w:rsidR="00000E4B" w:rsidRDefault="00000E4B" w:rsidP="00000E4B">
            <w:pPr>
              <w:spacing w:after="0" w:line="259" w:lineRule="auto"/>
              <w:ind w:left="0" w:right="35" w:firstLine="0"/>
              <w:jc w:val="center"/>
              <w:rPr>
                <w:sz w:val="18"/>
              </w:rPr>
            </w:pPr>
            <w:r>
              <w:rPr>
                <w:sz w:val="18"/>
              </w:rPr>
              <w:t>2.5</w:t>
            </w:r>
          </w:p>
        </w:tc>
        <w:tc>
          <w:tcPr>
            <w:tcW w:w="1074" w:type="dxa"/>
            <w:tcBorders>
              <w:top w:val="single" w:sz="4" w:space="0" w:color="000000"/>
              <w:left w:val="single" w:sz="12" w:space="0" w:color="000000"/>
              <w:bottom w:val="single" w:sz="4" w:space="0" w:color="000000"/>
              <w:right w:val="single" w:sz="12" w:space="0" w:color="000000"/>
            </w:tcBorders>
          </w:tcPr>
          <w:p w14:paraId="5541E8B0" w14:textId="6BF07033" w:rsidR="00000E4B" w:rsidRDefault="00000E4B" w:rsidP="00000E4B">
            <w:pPr>
              <w:spacing w:after="0" w:line="259" w:lineRule="auto"/>
              <w:ind w:left="101" w:right="0" w:firstLine="0"/>
              <w:rPr>
                <w:sz w:val="18"/>
              </w:rPr>
            </w:pPr>
            <w:r>
              <w:rPr>
                <w:sz w:val="18"/>
              </w:rPr>
              <w:t xml:space="preserve">ng/kg </w:t>
            </w:r>
            <w:r>
              <w:rPr>
                <w:i/>
                <w:sz w:val="18"/>
              </w:rPr>
              <w:t>(ppt)</w:t>
            </w:r>
          </w:p>
        </w:tc>
        <w:tc>
          <w:tcPr>
            <w:tcW w:w="724" w:type="dxa"/>
            <w:tcBorders>
              <w:top w:val="single" w:sz="4" w:space="0" w:color="000000"/>
              <w:left w:val="single" w:sz="12" w:space="0" w:color="000000"/>
              <w:bottom w:val="single" w:sz="4" w:space="0" w:color="000000"/>
              <w:right w:val="single" w:sz="12" w:space="0" w:color="000000"/>
            </w:tcBorders>
            <w:vAlign w:val="center"/>
          </w:tcPr>
          <w:p w14:paraId="5C887F01" w14:textId="020D38B6" w:rsidR="00000E4B" w:rsidRDefault="00000E4B" w:rsidP="00A53A74">
            <w:pPr>
              <w:spacing w:after="0" w:line="259" w:lineRule="auto"/>
              <w:ind w:left="122" w:right="0" w:firstLine="0"/>
              <w:jc w:val="center"/>
              <w:rPr>
                <w:sz w:val="18"/>
              </w:rPr>
            </w:pPr>
            <w:r>
              <w:rPr>
                <w:sz w:val="18"/>
              </w:rPr>
              <w:t>8290</w:t>
            </w:r>
          </w:p>
        </w:tc>
        <w:tc>
          <w:tcPr>
            <w:tcW w:w="720" w:type="dxa"/>
            <w:tcBorders>
              <w:top w:val="single" w:sz="4" w:space="0" w:color="000000"/>
              <w:left w:val="single" w:sz="12" w:space="0" w:color="000000"/>
              <w:bottom w:val="single" w:sz="4" w:space="0" w:color="000000"/>
              <w:right w:val="single" w:sz="12" w:space="0" w:color="000000"/>
            </w:tcBorders>
            <w:vAlign w:val="center"/>
          </w:tcPr>
          <w:p w14:paraId="7B7D25BF" w14:textId="50454C0C" w:rsidR="00000E4B" w:rsidRDefault="00000E4B" w:rsidP="00000E4B">
            <w:pPr>
              <w:spacing w:after="0" w:line="259" w:lineRule="auto"/>
              <w:ind w:left="84" w:right="0" w:firstLine="0"/>
              <w:rPr>
                <w:sz w:val="18"/>
              </w:rPr>
            </w:pPr>
            <w:r>
              <w:rPr>
                <w:sz w:val="18"/>
              </w:rPr>
              <w:t xml:space="preserve">1613 </w:t>
            </w:r>
            <w:r w:rsidRPr="00633D05">
              <w:rPr>
                <w:b/>
                <w:bCs/>
                <w:sz w:val="18"/>
                <w:vertAlign w:val="superscript"/>
              </w:rPr>
              <w:t>8</w:t>
            </w:r>
          </w:p>
        </w:tc>
      </w:tr>
      <w:tr w:rsidR="00C84A5D" w14:paraId="443D9AD8" w14:textId="77777777" w:rsidTr="00EA643D">
        <w:trPr>
          <w:trHeight w:val="257"/>
        </w:trPr>
        <w:tc>
          <w:tcPr>
            <w:tcW w:w="4640" w:type="dxa"/>
            <w:tcBorders>
              <w:top w:val="single" w:sz="4" w:space="0" w:color="000000"/>
              <w:left w:val="single" w:sz="12" w:space="0" w:color="000000"/>
              <w:bottom w:val="single" w:sz="12" w:space="0" w:color="000000"/>
              <w:right w:val="single" w:sz="12" w:space="0" w:color="000000"/>
            </w:tcBorders>
          </w:tcPr>
          <w:p w14:paraId="1C289E3E" w14:textId="634497A6" w:rsidR="00275C60" w:rsidRDefault="00275C60" w:rsidP="00275C60">
            <w:pPr>
              <w:spacing w:after="0" w:line="259" w:lineRule="auto"/>
              <w:ind w:left="36" w:right="0" w:firstLine="0"/>
            </w:pPr>
            <w:r>
              <w:rPr>
                <w:sz w:val="18"/>
              </w:rPr>
              <w:t xml:space="preserve">Total </w:t>
            </w:r>
            <w:proofErr w:type="spellStart"/>
            <w:r>
              <w:rPr>
                <w:sz w:val="18"/>
              </w:rPr>
              <w:t>Heptachlorodibenzofuran</w:t>
            </w:r>
            <w:proofErr w:type="spellEnd"/>
            <w:r>
              <w:rPr>
                <w:sz w:val="18"/>
              </w:rPr>
              <w:t xml:space="preserve"> (</w:t>
            </w:r>
            <w:proofErr w:type="spellStart"/>
            <w:r>
              <w:rPr>
                <w:sz w:val="18"/>
              </w:rPr>
              <w:t>HpCDF</w:t>
            </w:r>
            <w:proofErr w:type="spellEnd"/>
            <w:r>
              <w:rPr>
                <w:sz w:val="18"/>
              </w:rPr>
              <w:t xml:space="preserve">) </w:t>
            </w:r>
          </w:p>
        </w:tc>
        <w:tc>
          <w:tcPr>
            <w:tcW w:w="1061" w:type="dxa"/>
            <w:tcBorders>
              <w:top w:val="single" w:sz="4" w:space="0" w:color="000000"/>
              <w:left w:val="single" w:sz="12" w:space="0" w:color="000000"/>
              <w:bottom w:val="single" w:sz="12" w:space="0" w:color="000000"/>
              <w:right w:val="single" w:sz="12" w:space="0" w:color="000000"/>
            </w:tcBorders>
          </w:tcPr>
          <w:p w14:paraId="5D4B7169" w14:textId="1B6768BB" w:rsidR="00275C60" w:rsidRDefault="00000E4B" w:rsidP="00275C60">
            <w:pPr>
              <w:spacing w:after="0" w:line="259" w:lineRule="auto"/>
              <w:ind w:left="0" w:right="35" w:firstLine="0"/>
              <w:jc w:val="center"/>
            </w:pPr>
            <w:r>
              <w:rPr>
                <w:sz w:val="18"/>
              </w:rPr>
              <w:t>38998-75-3</w:t>
            </w:r>
          </w:p>
        </w:tc>
        <w:tc>
          <w:tcPr>
            <w:tcW w:w="879" w:type="dxa"/>
            <w:tcBorders>
              <w:top w:val="single" w:sz="4" w:space="0" w:color="000000"/>
              <w:left w:val="single" w:sz="12" w:space="0" w:color="000000"/>
              <w:bottom w:val="single" w:sz="12" w:space="0" w:color="000000"/>
              <w:right w:val="single" w:sz="12" w:space="0" w:color="000000"/>
            </w:tcBorders>
          </w:tcPr>
          <w:p w14:paraId="324AAE86" w14:textId="752BE159" w:rsidR="00275C60" w:rsidRDefault="00000E4B" w:rsidP="00275C60">
            <w:pPr>
              <w:spacing w:after="0" w:line="259" w:lineRule="auto"/>
              <w:ind w:left="0" w:right="38" w:firstLine="0"/>
              <w:jc w:val="center"/>
            </w:pPr>
            <w:r>
              <w:rPr>
                <w:sz w:val="18"/>
              </w:rPr>
              <w:t>0.025</w:t>
            </w:r>
          </w:p>
        </w:tc>
        <w:tc>
          <w:tcPr>
            <w:tcW w:w="895" w:type="dxa"/>
            <w:tcBorders>
              <w:top w:val="single" w:sz="4" w:space="0" w:color="000000"/>
              <w:left w:val="single" w:sz="12" w:space="0" w:color="000000"/>
              <w:bottom w:val="single" w:sz="12" w:space="0" w:color="000000"/>
              <w:right w:val="single" w:sz="12" w:space="0" w:color="000000"/>
            </w:tcBorders>
          </w:tcPr>
          <w:p w14:paraId="76161B4D" w14:textId="1BDCD06C" w:rsidR="00275C60" w:rsidRDefault="00000E4B" w:rsidP="00275C60">
            <w:pPr>
              <w:spacing w:after="0" w:line="259" w:lineRule="auto"/>
              <w:ind w:left="46" w:right="0" w:firstLine="0"/>
            </w:pPr>
            <w:r>
              <w:rPr>
                <w:sz w:val="18"/>
              </w:rPr>
              <w:t>ng/L</w:t>
            </w:r>
            <w:r>
              <w:rPr>
                <w:i/>
                <w:sz w:val="18"/>
              </w:rPr>
              <w:t xml:space="preserve"> (ppt)</w:t>
            </w:r>
          </w:p>
        </w:tc>
        <w:tc>
          <w:tcPr>
            <w:tcW w:w="627" w:type="dxa"/>
            <w:tcBorders>
              <w:top w:val="single" w:sz="4" w:space="0" w:color="000000"/>
              <w:left w:val="single" w:sz="12" w:space="0" w:color="000000"/>
              <w:bottom w:val="single" w:sz="12" w:space="0" w:color="000000"/>
              <w:right w:val="single" w:sz="12" w:space="0" w:color="000000"/>
            </w:tcBorders>
          </w:tcPr>
          <w:p w14:paraId="492243E5" w14:textId="01349302" w:rsidR="00275C60" w:rsidRDefault="00000E4B" w:rsidP="00275C60">
            <w:pPr>
              <w:spacing w:after="0" w:line="259" w:lineRule="auto"/>
              <w:ind w:left="0" w:right="35" w:firstLine="0"/>
              <w:jc w:val="center"/>
            </w:pPr>
            <w:r>
              <w:rPr>
                <w:sz w:val="18"/>
              </w:rPr>
              <w:t>2.5</w:t>
            </w:r>
          </w:p>
        </w:tc>
        <w:tc>
          <w:tcPr>
            <w:tcW w:w="1074" w:type="dxa"/>
            <w:tcBorders>
              <w:top w:val="single" w:sz="4" w:space="0" w:color="000000"/>
              <w:left w:val="single" w:sz="12" w:space="0" w:color="000000"/>
              <w:bottom w:val="single" w:sz="12" w:space="0" w:color="000000"/>
              <w:right w:val="single" w:sz="12" w:space="0" w:color="000000"/>
            </w:tcBorders>
          </w:tcPr>
          <w:p w14:paraId="429389D3" w14:textId="35A332D8" w:rsidR="00275C60" w:rsidRDefault="00000E4B" w:rsidP="00275C60">
            <w:pPr>
              <w:spacing w:after="0" w:line="259" w:lineRule="auto"/>
              <w:ind w:left="101" w:right="0" w:firstLine="0"/>
            </w:pPr>
            <w:r>
              <w:rPr>
                <w:sz w:val="18"/>
              </w:rPr>
              <w:t xml:space="preserve">ng/kg </w:t>
            </w:r>
            <w:r>
              <w:rPr>
                <w:i/>
                <w:sz w:val="18"/>
              </w:rPr>
              <w:t>(ppt)</w:t>
            </w:r>
          </w:p>
        </w:tc>
        <w:tc>
          <w:tcPr>
            <w:tcW w:w="724" w:type="dxa"/>
            <w:tcBorders>
              <w:top w:val="single" w:sz="4" w:space="0" w:color="000000"/>
              <w:left w:val="single" w:sz="12" w:space="0" w:color="000000"/>
              <w:bottom w:val="single" w:sz="12" w:space="0" w:color="000000"/>
              <w:right w:val="single" w:sz="12" w:space="0" w:color="000000"/>
            </w:tcBorders>
            <w:vAlign w:val="center"/>
          </w:tcPr>
          <w:p w14:paraId="311B3121" w14:textId="50E2630E" w:rsidR="00275C60" w:rsidRDefault="00000E4B" w:rsidP="00A53A74">
            <w:pPr>
              <w:spacing w:after="0" w:line="259" w:lineRule="auto"/>
              <w:ind w:left="122" w:right="0" w:firstLine="0"/>
              <w:jc w:val="center"/>
            </w:pPr>
            <w:r>
              <w:rPr>
                <w:sz w:val="18"/>
              </w:rPr>
              <w:t>8290</w:t>
            </w:r>
          </w:p>
        </w:tc>
        <w:tc>
          <w:tcPr>
            <w:tcW w:w="720" w:type="dxa"/>
            <w:tcBorders>
              <w:top w:val="single" w:sz="4" w:space="0" w:color="000000"/>
              <w:left w:val="single" w:sz="12" w:space="0" w:color="000000"/>
              <w:bottom w:val="single" w:sz="12" w:space="0" w:color="000000"/>
              <w:right w:val="single" w:sz="12" w:space="0" w:color="000000"/>
            </w:tcBorders>
            <w:vAlign w:val="center"/>
          </w:tcPr>
          <w:p w14:paraId="7B3891C8" w14:textId="26011609" w:rsidR="00275C60" w:rsidRDefault="00000E4B" w:rsidP="00794EE2">
            <w:pPr>
              <w:spacing w:after="0" w:line="259" w:lineRule="auto"/>
              <w:ind w:left="84" w:right="0" w:firstLine="0"/>
            </w:pPr>
            <w:r>
              <w:rPr>
                <w:sz w:val="18"/>
              </w:rPr>
              <w:t xml:space="preserve">1613 </w:t>
            </w:r>
            <w:r w:rsidRPr="00633D05">
              <w:rPr>
                <w:b/>
                <w:bCs/>
                <w:sz w:val="18"/>
                <w:vertAlign w:val="superscript"/>
              </w:rPr>
              <w:t>8</w:t>
            </w:r>
          </w:p>
        </w:tc>
      </w:tr>
    </w:tbl>
    <w:p w14:paraId="4FBBDD0A" w14:textId="485E16E8" w:rsidR="00B56D50" w:rsidRDefault="00B56D50">
      <w:pPr>
        <w:spacing w:after="0" w:line="259" w:lineRule="auto"/>
        <w:ind w:left="0" w:right="0" w:firstLine="0"/>
      </w:pPr>
    </w:p>
    <w:tbl>
      <w:tblPr>
        <w:tblStyle w:val="TableGrid1"/>
        <w:tblW w:w="10620" w:type="dxa"/>
        <w:tblInd w:w="-375" w:type="dxa"/>
        <w:tblCellMar>
          <w:top w:w="15" w:type="dxa"/>
          <w:left w:w="36" w:type="dxa"/>
        </w:tblCellMar>
        <w:tblLook w:val="04A0" w:firstRow="1" w:lastRow="0" w:firstColumn="1" w:lastColumn="0" w:noHBand="0" w:noVBand="1"/>
      </w:tblPr>
      <w:tblGrid>
        <w:gridCol w:w="2804"/>
        <w:gridCol w:w="1053"/>
        <w:gridCol w:w="706"/>
        <w:gridCol w:w="702"/>
        <w:gridCol w:w="789"/>
        <w:gridCol w:w="957"/>
        <w:gridCol w:w="454"/>
        <w:gridCol w:w="445"/>
        <w:gridCol w:w="431"/>
        <w:gridCol w:w="749"/>
        <w:gridCol w:w="720"/>
        <w:gridCol w:w="810"/>
      </w:tblGrid>
      <w:tr w:rsidR="00B56D50" w14:paraId="0F94B0A1" w14:textId="77777777" w:rsidTr="00DF747D">
        <w:trPr>
          <w:trHeight w:val="269"/>
          <w:tblHeader/>
        </w:trPr>
        <w:tc>
          <w:tcPr>
            <w:tcW w:w="8341" w:type="dxa"/>
            <w:gridSpan w:val="9"/>
            <w:tcBorders>
              <w:top w:val="single" w:sz="12" w:space="0" w:color="000000"/>
              <w:left w:val="single" w:sz="12" w:space="0" w:color="000000"/>
              <w:bottom w:val="single" w:sz="12" w:space="0" w:color="000000"/>
              <w:right w:val="nil"/>
            </w:tcBorders>
            <w:vAlign w:val="center"/>
          </w:tcPr>
          <w:p w14:paraId="751BA2B2" w14:textId="28C11CE4" w:rsidR="00B56D50" w:rsidRPr="00633D05" w:rsidRDefault="001C3C42" w:rsidP="00E63481">
            <w:pPr>
              <w:spacing w:after="0" w:line="259" w:lineRule="auto"/>
              <w:ind w:left="60" w:right="0" w:firstLine="0"/>
              <w:rPr>
                <w:u w:val="single"/>
              </w:rPr>
            </w:pPr>
            <w:r>
              <w:rPr>
                <w:b/>
                <w:sz w:val="18"/>
              </w:rPr>
              <w:t>SW-846 SAS Group L:</w:t>
            </w:r>
            <w:r>
              <w:rPr>
                <w:sz w:val="18"/>
              </w:rPr>
              <w:t xml:space="preserve">  </w:t>
            </w:r>
            <w:r>
              <w:rPr>
                <w:b/>
                <w:sz w:val="18"/>
              </w:rPr>
              <w:t xml:space="preserve"> N-Methyl-Carbamate Pesticides and Industrial Compounds</w:t>
            </w:r>
          </w:p>
        </w:tc>
        <w:tc>
          <w:tcPr>
            <w:tcW w:w="2279" w:type="dxa"/>
            <w:gridSpan w:val="3"/>
            <w:tcBorders>
              <w:top w:val="single" w:sz="12" w:space="0" w:color="000000"/>
              <w:left w:val="nil"/>
              <w:bottom w:val="single" w:sz="12" w:space="0" w:color="000000"/>
              <w:right w:val="single" w:sz="12" w:space="0" w:color="000000"/>
            </w:tcBorders>
            <w:vAlign w:val="center"/>
          </w:tcPr>
          <w:p w14:paraId="403D6D3E" w14:textId="77777777" w:rsidR="00B56D50" w:rsidRDefault="00B56D50" w:rsidP="00E63481">
            <w:pPr>
              <w:spacing w:after="0" w:line="259" w:lineRule="auto"/>
              <w:ind w:left="0" w:right="0" w:firstLine="0"/>
            </w:pPr>
          </w:p>
        </w:tc>
      </w:tr>
      <w:tr w:rsidR="00B56D50" w14:paraId="42AA941B" w14:textId="77777777" w:rsidTr="00DF747D">
        <w:trPr>
          <w:trHeight w:val="444"/>
          <w:tblHeader/>
        </w:trPr>
        <w:tc>
          <w:tcPr>
            <w:tcW w:w="2804" w:type="dxa"/>
            <w:vMerge w:val="restart"/>
            <w:tcBorders>
              <w:top w:val="single" w:sz="12" w:space="0" w:color="000000"/>
              <w:left w:val="single" w:sz="12" w:space="0" w:color="000000"/>
              <w:bottom w:val="single" w:sz="12" w:space="0" w:color="000000"/>
              <w:right w:val="single" w:sz="12" w:space="0" w:color="000000"/>
            </w:tcBorders>
            <w:vAlign w:val="center"/>
          </w:tcPr>
          <w:p w14:paraId="5648C071" w14:textId="0DD417B9" w:rsidR="00B56D50" w:rsidRDefault="001C3C42" w:rsidP="00E63481">
            <w:pPr>
              <w:spacing w:after="0" w:line="259" w:lineRule="auto"/>
              <w:ind w:left="0" w:right="37" w:firstLine="0"/>
              <w:jc w:val="center"/>
            </w:pPr>
            <w:r>
              <w:rPr>
                <w:b/>
                <w:sz w:val="18"/>
              </w:rPr>
              <w:t>Analyte</w:t>
            </w:r>
          </w:p>
        </w:tc>
        <w:tc>
          <w:tcPr>
            <w:tcW w:w="1053" w:type="dxa"/>
            <w:vMerge w:val="restart"/>
            <w:tcBorders>
              <w:top w:val="single" w:sz="12" w:space="0" w:color="000000"/>
              <w:left w:val="single" w:sz="12" w:space="0" w:color="000000"/>
              <w:bottom w:val="single" w:sz="12" w:space="0" w:color="000000"/>
              <w:right w:val="single" w:sz="12" w:space="0" w:color="000000"/>
            </w:tcBorders>
            <w:vAlign w:val="center"/>
          </w:tcPr>
          <w:p w14:paraId="400B927B" w14:textId="1C9EC6CA" w:rsidR="00B56D50" w:rsidRDefault="001C3C42" w:rsidP="00E63481">
            <w:pPr>
              <w:spacing w:after="0" w:line="259" w:lineRule="auto"/>
              <w:ind w:left="5" w:right="0" w:firstLine="0"/>
              <w:jc w:val="center"/>
            </w:pPr>
            <w:r>
              <w:rPr>
                <w:b/>
                <w:sz w:val="18"/>
              </w:rPr>
              <w:t>CAS Number</w:t>
            </w:r>
          </w:p>
        </w:tc>
        <w:tc>
          <w:tcPr>
            <w:tcW w:w="1408" w:type="dxa"/>
            <w:gridSpan w:val="2"/>
            <w:tcBorders>
              <w:top w:val="single" w:sz="12" w:space="0" w:color="000000"/>
              <w:left w:val="single" w:sz="12" w:space="0" w:color="000000"/>
              <w:bottom w:val="single" w:sz="12" w:space="0" w:color="000000"/>
              <w:right w:val="single" w:sz="12" w:space="0" w:color="000000"/>
            </w:tcBorders>
            <w:vAlign w:val="center"/>
          </w:tcPr>
          <w:p w14:paraId="16FF53F3" w14:textId="123CEECE" w:rsidR="00B56D50" w:rsidRDefault="001C3C42" w:rsidP="00E63481">
            <w:pPr>
              <w:spacing w:after="0" w:line="259" w:lineRule="auto"/>
              <w:ind w:left="0" w:right="40" w:firstLine="0"/>
              <w:jc w:val="center"/>
            </w:pPr>
            <w:r>
              <w:rPr>
                <w:b/>
                <w:sz w:val="18"/>
              </w:rPr>
              <w:t>Aqueous</w:t>
            </w:r>
          </w:p>
        </w:tc>
        <w:tc>
          <w:tcPr>
            <w:tcW w:w="1746" w:type="dxa"/>
            <w:gridSpan w:val="2"/>
            <w:tcBorders>
              <w:top w:val="single" w:sz="12" w:space="0" w:color="000000"/>
              <w:left w:val="single" w:sz="12" w:space="0" w:color="000000"/>
              <w:bottom w:val="single" w:sz="12" w:space="0" w:color="000000"/>
              <w:right w:val="single" w:sz="12" w:space="0" w:color="000000"/>
            </w:tcBorders>
            <w:vAlign w:val="center"/>
          </w:tcPr>
          <w:p w14:paraId="5C444DE5" w14:textId="46A209E3" w:rsidR="00B56D50" w:rsidRDefault="001C3C42" w:rsidP="00E63481">
            <w:pPr>
              <w:spacing w:after="0" w:line="259" w:lineRule="auto"/>
              <w:ind w:left="0" w:right="40" w:firstLine="0"/>
              <w:jc w:val="center"/>
            </w:pPr>
            <w:r>
              <w:rPr>
                <w:b/>
                <w:sz w:val="18"/>
              </w:rPr>
              <w:t>Soil/Sediment</w:t>
            </w:r>
          </w:p>
        </w:tc>
        <w:tc>
          <w:tcPr>
            <w:tcW w:w="1330" w:type="dxa"/>
            <w:gridSpan w:val="3"/>
            <w:tcBorders>
              <w:top w:val="single" w:sz="12" w:space="0" w:color="000000"/>
              <w:left w:val="single" w:sz="12" w:space="0" w:color="000000"/>
              <w:bottom w:val="single" w:sz="12" w:space="0" w:color="000000"/>
              <w:right w:val="single" w:sz="12" w:space="0" w:color="000000"/>
            </w:tcBorders>
            <w:vAlign w:val="center"/>
          </w:tcPr>
          <w:p w14:paraId="436D2202" w14:textId="51621405" w:rsidR="00B56D50" w:rsidRDefault="001C3C42" w:rsidP="00E63481">
            <w:pPr>
              <w:spacing w:after="0" w:line="259" w:lineRule="auto"/>
              <w:ind w:left="0" w:right="0" w:firstLine="0"/>
              <w:jc w:val="center"/>
            </w:pPr>
            <w:r>
              <w:rPr>
                <w:b/>
                <w:sz w:val="18"/>
              </w:rPr>
              <w:t>Attachment/ Table</w:t>
            </w:r>
          </w:p>
        </w:tc>
        <w:tc>
          <w:tcPr>
            <w:tcW w:w="2279" w:type="dxa"/>
            <w:gridSpan w:val="3"/>
            <w:vMerge w:val="restart"/>
            <w:tcBorders>
              <w:top w:val="single" w:sz="12" w:space="0" w:color="000000"/>
              <w:left w:val="single" w:sz="12" w:space="0" w:color="000000"/>
              <w:bottom w:val="single" w:sz="12" w:space="0" w:color="000000"/>
              <w:right w:val="single" w:sz="12" w:space="0" w:color="000000"/>
            </w:tcBorders>
            <w:vAlign w:val="center"/>
          </w:tcPr>
          <w:p w14:paraId="4CBE7C12" w14:textId="3AA6D364" w:rsidR="00B56D50" w:rsidRDefault="001C3C42" w:rsidP="00E63481">
            <w:pPr>
              <w:spacing w:after="0" w:line="259" w:lineRule="auto"/>
              <w:ind w:left="0" w:right="38" w:firstLine="0"/>
              <w:jc w:val="center"/>
            </w:pPr>
            <w:r>
              <w:rPr>
                <w:b/>
                <w:sz w:val="18"/>
              </w:rPr>
              <w:t>Acceptable Methods</w:t>
            </w:r>
          </w:p>
        </w:tc>
      </w:tr>
      <w:tr w:rsidR="00C84A5D" w14:paraId="6A957537" w14:textId="77777777" w:rsidTr="00DF747D">
        <w:trPr>
          <w:trHeight w:val="367"/>
          <w:tblHeader/>
        </w:trPr>
        <w:tc>
          <w:tcPr>
            <w:tcW w:w="2804" w:type="dxa"/>
            <w:vMerge/>
            <w:tcBorders>
              <w:top w:val="nil"/>
              <w:left w:val="single" w:sz="12" w:space="0" w:color="000000"/>
              <w:bottom w:val="single" w:sz="12" w:space="0" w:color="000000"/>
              <w:right w:val="single" w:sz="12" w:space="0" w:color="000000"/>
            </w:tcBorders>
            <w:vAlign w:val="center"/>
          </w:tcPr>
          <w:p w14:paraId="2500BA49" w14:textId="77777777" w:rsidR="00B56D50" w:rsidRDefault="00B56D50" w:rsidP="00017AB4">
            <w:pPr>
              <w:spacing w:after="160" w:line="259" w:lineRule="auto"/>
              <w:ind w:left="0" w:right="0" w:firstLine="0"/>
              <w:jc w:val="center"/>
            </w:pPr>
          </w:p>
        </w:tc>
        <w:tc>
          <w:tcPr>
            <w:tcW w:w="0" w:type="auto"/>
            <w:vMerge/>
            <w:tcBorders>
              <w:top w:val="nil"/>
              <w:left w:val="single" w:sz="12" w:space="0" w:color="000000"/>
              <w:bottom w:val="single" w:sz="12" w:space="0" w:color="000000"/>
              <w:right w:val="single" w:sz="12" w:space="0" w:color="000000"/>
            </w:tcBorders>
            <w:vAlign w:val="center"/>
          </w:tcPr>
          <w:p w14:paraId="27F73A45" w14:textId="77777777" w:rsidR="00B56D50" w:rsidRDefault="00B56D50" w:rsidP="00017AB4">
            <w:pPr>
              <w:spacing w:after="160" w:line="259" w:lineRule="auto"/>
              <w:ind w:left="0" w:right="0" w:firstLine="0"/>
              <w:jc w:val="center"/>
            </w:pPr>
          </w:p>
        </w:tc>
        <w:tc>
          <w:tcPr>
            <w:tcW w:w="706" w:type="dxa"/>
            <w:tcBorders>
              <w:top w:val="single" w:sz="12" w:space="0" w:color="000000"/>
              <w:left w:val="single" w:sz="12" w:space="0" w:color="000000"/>
              <w:bottom w:val="single" w:sz="12" w:space="0" w:color="000000"/>
              <w:right w:val="single" w:sz="12" w:space="0" w:color="000000"/>
            </w:tcBorders>
            <w:vAlign w:val="center"/>
          </w:tcPr>
          <w:p w14:paraId="528321F0" w14:textId="2D08796C" w:rsidR="00B56D50" w:rsidRDefault="001C3C42" w:rsidP="00E63481">
            <w:pPr>
              <w:spacing w:after="0" w:line="259" w:lineRule="auto"/>
              <w:ind w:left="0" w:right="36" w:firstLine="0"/>
              <w:jc w:val="center"/>
            </w:pPr>
            <w:r>
              <w:rPr>
                <w:b/>
                <w:sz w:val="18"/>
              </w:rPr>
              <w:t>RL</w:t>
            </w:r>
          </w:p>
        </w:tc>
        <w:tc>
          <w:tcPr>
            <w:tcW w:w="702" w:type="dxa"/>
            <w:tcBorders>
              <w:top w:val="single" w:sz="12" w:space="0" w:color="000000"/>
              <w:left w:val="single" w:sz="12" w:space="0" w:color="000000"/>
              <w:bottom w:val="single" w:sz="12" w:space="0" w:color="000000"/>
              <w:right w:val="single" w:sz="12" w:space="0" w:color="000000"/>
            </w:tcBorders>
            <w:vAlign w:val="center"/>
          </w:tcPr>
          <w:p w14:paraId="0BB9C8DC" w14:textId="3926F2C3" w:rsidR="00B56D50" w:rsidRDefault="001C3C42" w:rsidP="00E63481">
            <w:pPr>
              <w:spacing w:after="0" w:line="259" w:lineRule="auto"/>
              <w:ind w:left="0" w:right="38" w:firstLine="0"/>
              <w:jc w:val="center"/>
            </w:pPr>
            <w:r>
              <w:rPr>
                <w:b/>
                <w:sz w:val="18"/>
              </w:rPr>
              <w:t>units</w:t>
            </w:r>
          </w:p>
        </w:tc>
        <w:tc>
          <w:tcPr>
            <w:tcW w:w="789" w:type="dxa"/>
            <w:tcBorders>
              <w:top w:val="single" w:sz="12" w:space="0" w:color="000000"/>
              <w:left w:val="single" w:sz="12" w:space="0" w:color="000000"/>
              <w:bottom w:val="single" w:sz="12" w:space="0" w:color="000000"/>
              <w:right w:val="single" w:sz="12" w:space="0" w:color="000000"/>
            </w:tcBorders>
            <w:vAlign w:val="center"/>
          </w:tcPr>
          <w:p w14:paraId="715B5D23" w14:textId="263BE41B" w:rsidR="00B56D50" w:rsidRDefault="001C3C42" w:rsidP="00E63481">
            <w:pPr>
              <w:spacing w:after="0" w:line="259" w:lineRule="auto"/>
              <w:ind w:left="0" w:right="41" w:firstLine="0"/>
              <w:jc w:val="center"/>
            </w:pPr>
            <w:r>
              <w:rPr>
                <w:b/>
                <w:sz w:val="18"/>
              </w:rPr>
              <w:t>RL</w:t>
            </w:r>
          </w:p>
        </w:tc>
        <w:tc>
          <w:tcPr>
            <w:tcW w:w="957" w:type="dxa"/>
            <w:tcBorders>
              <w:top w:val="single" w:sz="12" w:space="0" w:color="000000"/>
              <w:left w:val="single" w:sz="12" w:space="0" w:color="000000"/>
              <w:bottom w:val="single" w:sz="12" w:space="0" w:color="000000"/>
              <w:right w:val="single" w:sz="12" w:space="0" w:color="000000"/>
            </w:tcBorders>
            <w:vAlign w:val="center"/>
          </w:tcPr>
          <w:p w14:paraId="5910F0EA" w14:textId="62AA9B4D" w:rsidR="00B56D50" w:rsidRDefault="001C3C42" w:rsidP="00356E17">
            <w:pPr>
              <w:spacing w:after="0" w:line="259" w:lineRule="auto"/>
              <w:ind w:left="89" w:right="0" w:firstLine="0"/>
              <w:jc w:val="center"/>
            </w:pPr>
            <w:r>
              <w:rPr>
                <w:b/>
                <w:sz w:val="18"/>
              </w:rPr>
              <w:t>units</w:t>
            </w:r>
          </w:p>
        </w:tc>
        <w:tc>
          <w:tcPr>
            <w:tcW w:w="454" w:type="dxa"/>
            <w:tcBorders>
              <w:top w:val="single" w:sz="12" w:space="0" w:color="000000"/>
              <w:left w:val="single" w:sz="12" w:space="0" w:color="000000"/>
              <w:bottom w:val="single" w:sz="12" w:space="0" w:color="000000"/>
              <w:right w:val="single" w:sz="12" w:space="0" w:color="000000"/>
            </w:tcBorders>
            <w:vAlign w:val="center"/>
          </w:tcPr>
          <w:p w14:paraId="79F71BBE" w14:textId="4614BB5A" w:rsidR="00B56D50" w:rsidRDefault="001C3C42" w:rsidP="00DF2090">
            <w:pPr>
              <w:spacing w:after="0" w:line="259" w:lineRule="auto"/>
              <w:ind w:left="17" w:right="0" w:firstLine="0"/>
            </w:pPr>
            <w:r>
              <w:rPr>
                <w:b/>
                <w:sz w:val="18"/>
              </w:rPr>
              <w:t>VIII</w:t>
            </w:r>
          </w:p>
        </w:tc>
        <w:tc>
          <w:tcPr>
            <w:tcW w:w="445" w:type="dxa"/>
            <w:tcBorders>
              <w:top w:val="single" w:sz="12" w:space="0" w:color="000000"/>
              <w:left w:val="single" w:sz="12" w:space="0" w:color="000000"/>
              <w:bottom w:val="single" w:sz="12" w:space="0" w:color="000000"/>
              <w:right w:val="single" w:sz="12" w:space="0" w:color="000000"/>
            </w:tcBorders>
            <w:vAlign w:val="center"/>
          </w:tcPr>
          <w:p w14:paraId="17F046F4" w14:textId="2464587E" w:rsidR="00B56D50" w:rsidRDefault="001C3C42" w:rsidP="00DF2090">
            <w:pPr>
              <w:spacing w:after="0" w:line="259" w:lineRule="auto"/>
              <w:ind w:left="89" w:right="0" w:firstLine="0"/>
            </w:pPr>
            <w:r>
              <w:rPr>
                <w:b/>
                <w:sz w:val="18"/>
              </w:rPr>
              <w:t>IX</w:t>
            </w:r>
          </w:p>
        </w:tc>
        <w:tc>
          <w:tcPr>
            <w:tcW w:w="431" w:type="dxa"/>
            <w:tcBorders>
              <w:top w:val="single" w:sz="12" w:space="0" w:color="000000"/>
              <w:left w:val="single" w:sz="12" w:space="0" w:color="000000"/>
              <w:bottom w:val="single" w:sz="12" w:space="0" w:color="000000"/>
              <w:right w:val="single" w:sz="12" w:space="0" w:color="000000"/>
            </w:tcBorders>
            <w:vAlign w:val="center"/>
          </w:tcPr>
          <w:p w14:paraId="77DECD16" w14:textId="38A3A9B9" w:rsidR="00B56D50" w:rsidRDefault="001C3C42" w:rsidP="00DF2090">
            <w:pPr>
              <w:spacing w:after="0" w:line="259" w:lineRule="auto"/>
              <w:ind w:left="0" w:right="42" w:firstLine="0"/>
              <w:jc w:val="center"/>
            </w:pPr>
            <w:r>
              <w:rPr>
                <w:b/>
                <w:sz w:val="18"/>
              </w:rPr>
              <w:t>2</w:t>
            </w:r>
          </w:p>
        </w:tc>
        <w:tc>
          <w:tcPr>
            <w:tcW w:w="2279" w:type="dxa"/>
            <w:gridSpan w:val="3"/>
            <w:vMerge/>
            <w:tcBorders>
              <w:top w:val="nil"/>
              <w:left w:val="single" w:sz="12" w:space="0" w:color="000000"/>
              <w:bottom w:val="single" w:sz="12" w:space="0" w:color="000000"/>
              <w:right w:val="single" w:sz="12" w:space="0" w:color="000000"/>
            </w:tcBorders>
            <w:vAlign w:val="center"/>
          </w:tcPr>
          <w:p w14:paraId="396ECC04" w14:textId="77777777" w:rsidR="00B56D50" w:rsidRDefault="00B56D50" w:rsidP="00017AB4">
            <w:pPr>
              <w:spacing w:after="160" w:line="259" w:lineRule="auto"/>
              <w:ind w:left="0" w:right="0" w:firstLine="0"/>
              <w:jc w:val="center"/>
            </w:pPr>
          </w:p>
        </w:tc>
      </w:tr>
      <w:tr w:rsidR="00B0429D" w14:paraId="1D9E72FB" w14:textId="77777777" w:rsidTr="00DF747D">
        <w:trPr>
          <w:trHeight w:val="245"/>
        </w:trPr>
        <w:tc>
          <w:tcPr>
            <w:tcW w:w="2804" w:type="dxa"/>
            <w:tcBorders>
              <w:top w:val="single" w:sz="12" w:space="0" w:color="000000"/>
              <w:left w:val="single" w:sz="12" w:space="0" w:color="000000"/>
              <w:bottom w:val="single" w:sz="4" w:space="0" w:color="000000"/>
              <w:right w:val="single" w:sz="12" w:space="0" w:color="000000"/>
            </w:tcBorders>
            <w:vAlign w:val="center"/>
          </w:tcPr>
          <w:p w14:paraId="02BEAEED" w14:textId="77777777" w:rsidR="00B0429D" w:rsidRDefault="00B0429D" w:rsidP="002425A6">
            <w:pPr>
              <w:spacing w:after="0" w:line="240" w:lineRule="auto"/>
              <w:ind w:left="43" w:right="0" w:firstLine="0"/>
            </w:pPr>
            <w:r>
              <w:rPr>
                <w:sz w:val="18"/>
              </w:rPr>
              <w:t xml:space="preserve">Aldicarb (Temik)  </w:t>
            </w:r>
          </w:p>
        </w:tc>
        <w:tc>
          <w:tcPr>
            <w:tcW w:w="1053" w:type="dxa"/>
            <w:tcBorders>
              <w:top w:val="single" w:sz="12" w:space="0" w:color="000000"/>
              <w:left w:val="single" w:sz="12" w:space="0" w:color="000000"/>
              <w:bottom w:val="single" w:sz="4" w:space="0" w:color="000000"/>
              <w:right w:val="single" w:sz="12" w:space="0" w:color="000000"/>
            </w:tcBorders>
            <w:vAlign w:val="center"/>
          </w:tcPr>
          <w:p w14:paraId="68497BCF" w14:textId="43737776" w:rsidR="00B0429D" w:rsidRDefault="00B0429D" w:rsidP="00040058">
            <w:pPr>
              <w:spacing w:after="0" w:line="240" w:lineRule="auto"/>
              <w:ind w:left="0" w:right="0" w:firstLine="0"/>
              <w:jc w:val="center"/>
            </w:pPr>
            <w:r>
              <w:rPr>
                <w:sz w:val="18"/>
              </w:rPr>
              <w:t>116-06-3</w:t>
            </w:r>
          </w:p>
        </w:tc>
        <w:tc>
          <w:tcPr>
            <w:tcW w:w="706" w:type="dxa"/>
            <w:tcBorders>
              <w:top w:val="single" w:sz="12" w:space="0" w:color="000000"/>
              <w:left w:val="single" w:sz="12" w:space="0" w:color="000000"/>
              <w:bottom w:val="single" w:sz="4" w:space="0" w:color="000000"/>
              <w:right w:val="single" w:sz="12" w:space="0" w:color="000000"/>
            </w:tcBorders>
            <w:vAlign w:val="center"/>
          </w:tcPr>
          <w:p w14:paraId="661F9981" w14:textId="72785918" w:rsidR="00B0429D" w:rsidRDefault="00B0429D" w:rsidP="00040058">
            <w:pPr>
              <w:tabs>
                <w:tab w:val="center" w:pos="415"/>
              </w:tabs>
              <w:spacing w:after="0" w:line="240" w:lineRule="auto"/>
              <w:ind w:left="0" w:right="0" w:firstLine="0"/>
              <w:jc w:val="center"/>
            </w:pPr>
            <w:r>
              <w:rPr>
                <w:sz w:val="18"/>
              </w:rPr>
              <w:t>20</w:t>
            </w:r>
          </w:p>
        </w:tc>
        <w:tc>
          <w:tcPr>
            <w:tcW w:w="702" w:type="dxa"/>
            <w:tcBorders>
              <w:top w:val="single" w:sz="12" w:space="0" w:color="000000"/>
              <w:left w:val="single" w:sz="12" w:space="0" w:color="000000"/>
              <w:bottom w:val="single" w:sz="4" w:space="0" w:color="000000"/>
              <w:right w:val="single" w:sz="12" w:space="0" w:color="000000"/>
            </w:tcBorders>
            <w:vAlign w:val="center"/>
          </w:tcPr>
          <w:p w14:paraId="6550CA85" w14:textId="0F50C3C3" w:rsidR="00B0429D" w:rsidRDefault="00B0429D" w:rsidP="00040058">
            <w:pPr>
              <w:spacing w:after="0" w:line="240" w:lineRule="auto"/>
              <w:ind w:left="0" w:right="0" w:firstLine="0"/>
              <w:jc w:val="center"/>
            </w:pPr>
            <w:r>
              <w:rPr>
                <w:sz w:val="18"/>
              </w:rPr>
              <w:t>ug/L</w:t>
            </w:r>
          </w:p>
        </w:tc>
        <w:tc>
          <w:tcPr>
            <w:tcW w:w="789" w:type="dxa"/>
            <w:tcBorders>
              <w:top w:val="single" w:sz="12" w:space="0" w:color="000000"/>
              <w:left w:val="single" w:sz="12" w:space="0" w:color="000000"/>
              <w:bottom w:val="single" w:sz="4" w:space="0" w:color="000000"/>
              <w:right w:val="single" w:sz="12" w:space="0" w:color="000000"/>
            </w:tcBorders>
            <w:vAlign w:val="center"/>
          </w:tcPr>
          <w:p w14:paraId="6776364B" w14:textId="2872BD06" w:rsidR="00B0429D" w:rsidRDefault="00B0429D" w:rsidP="00040058">
            <w:pPr>
              <w:spacing w:after="0" w:line="240" w:lineRule="auto"/>
              <w:ind w:left="0" w:right="0" w:firstLine="0"/>
              <w:jc w:val="center"/>
            </w:pPr>
            <w:r>
              <w:rPr>
                <w:sz w:val="18"/>
              </w:rPr>
              <w:t>1300</w:t>
            </w:r>
          </w:p>
        </w:tc>
        <w:tc>
          <w:tcPr>
            <w:tcW w:w="957" w:type="dxa"/>
            <w:tcBorders>
              <w:top w:val="single" w:sz="12" w:space="0" w:color="000000"/>
              <w:left w:val="single" w:sz="12" w:space="0" w:color="000000"/>
              <w:bottom w:val="single" w:sz="4" w:space="0" w:color="000000"/>
              <w:right w:val="single" w:sz="12" w:space="0" w:color="000000"/>
            </w:tcBorders>
            <w:vAlign w:val="center"/>
          </w:tcPr>
          <w:p w14:paraId="3D0DBD41" w14:textId="066E05BB" w:rsidR="00B0429D" w:rsidRDefault="00B0429D" w:rsidP="00040058">
            <w:pPr>
              <w:spacing w:after="0" w:line="240" w:lineRule="auto"/>
              <w:ind w:left="0" w:right="0" w:firstLine="0"/>
              <w:jc w:val="center"/>
            </w:pPr>
            <w:r>
              <w:rPr>
                <w:rFonts w:eastAsia="Segoe UI Symbol"/>
                <w:sz w:val="18"/>
              </w:rPr>
              <w:t>u</w:t>
            </w:r>
            <w:r>
              <w:rPr>
                <w:sz w:val="18"/>
              </w:rPr>
              <w:t>g/kg</w:t>
            </w:r>
          </w:p>
        </w:tc>
        <w:tc>
          <w:tcPr>
            <w:tcW w:w="454" w:type="dxa"/>
            <w:tcBorders>
              <w:top w:val="single" w:sz="12" w:space="0" w:color="000000"/>
              <w:left w:val="single" w:sz="12" w:space="0" w:color="000000"/>
              <w:bottom w:val="single" w:sz="4" w:space="0" w:color="000000"/>
              <w:right w:val="single" w:sz="12" w:space="0" w:color="000000"/>
            </w:tcBorders>
            <w:vAlign w:val="center"/>
          </w:tcPr>
          <w:p w14:paraId="53223091" w14:textId="54CA56F6" w:rsidR="00B0429D" w:rsidRDefault="00B0429D" w:rsidP="00040058">
            <w:pPr>
              <w:spacing w:after="0" w:line="240" w:lineRule="auto"/>
              <w:ind w:left="0" w:right="0" w:firstLine="0"/>
              <w:jc w:val="center"/>
            </w:pPr>
            <w:r>
              <w:rPr>
                <w:sz w:val="18"/>
              </w:rPr>
              <w:t>X</w:t>
            </w:r>
          </w:p>
        </w:tc>
        <w:tc>
          <w:tcPr>
            <w:tcW w:w="445" w:type="dxa"/>
            <w:tcBorders>
              <w:top w:val="single" w:sz="12" w:space="0" w:color="000000"/>
              <w:left w:val="single" w:sz="12" w:space="0" w:color="000000"/>
              <w:bottom w:val="single" w:sz="4" w:space="0" w:color="000000"/>
              <w:right w:val="single" w:sz="12" w:space="0" w:color="000000"/>
            </w:tcBorders>
            <w:vAlign w:val="center"/>
          </w:tcPr>
          <w:p w14:paraId="61AE0F3A" w14:textId="7176F5A7" w:rsidR="00B0429D" w:rsidRDefault="00B0429D" w:rsidP="00040058">
            <w:pPr>
              <w:spacing w:after="0" w:line="240" w:lineRule="auto"/>
              <w:ind w:left="0" w:right="0" w:firstLine="0"/>
              <w:jc w:val="center"/>
            </w:pPr>
          </w:p>
        </w:tc>
        <w:tc>
          <w:tcPr>
            <w:tcW w:w="431" w:type="dxa"/>
            <w:tcBorders>
              <w:top w:val="single" w:sz="12" w:space="0" w:color="000000"/>
              <w:left w:val="single" w:sz="12" w:space="0" w:color="000000"/>
              <w:bottom w:val="single" w:sz="4" w:space="0" w:color="000000"/>
              <w:right w:val="single" w:sz="12" w:space="0" w:color="000000"/>
            </w:tcBorders>
            <w:vAlign w:val="center"/>
          </w:tcPr>
          <w:p w14:paraId="6D8B1B21" w14:textId="7BBB0325" w:rsidR="00B0429D" w:rsidRDefault="00B0429D" w:rsidP="00040058">
            <w:pPr>
              <w:spacing w:after="0" w:line="240" w:lineRule="auto"/>
              <w:ind w:left="0" w:right="0" w:firstLine="0"/>
              <w:jc w:val="center"/>
            </w:pPr>
          </w:p>
        </w:tc>
        <w:tc>
          <w:tcPr>
            <w:tcW w:w="749" w:type="dxa"/>
            <w:tcBorders>
              <w:top w:val="single" w:sz="12" w:space="0" w:color="000000"/>
              <w:left w:val="single" w:sz="12" w:space="0" w:color="000000"/>
              <w:bottom w:val="single" w:sz="4" w:space="0" w:color="000000"/>
              <w:right w:val="single" w:sz="12" w:space="0" w:color="000000"/>
            </w:tcBorders>
            <w:vAlign w:val="center"/>
          </w:tcPr>
          <w:p w14:paraId="0C9CB2E2" w14:textId="5074AFD5" w:rsidR="00B0429D" w:rsidRDefault="00B0429D" w:rsidP="00040058">
            <w:pPr>
              <w:spacing w:after="0" w:line="240" w:lineRule="auto"/>
              <w:ind w:left="0" w:right="0" w:firstLine="0"/>
              <w:jc w:val="center"/>
            </w:pPr>
            <w:r>
              <w:rPr>
                <w:sz w:val="18"/>
              </w:rPr>
              <w:t>8318</w:t>
            </w:r>
          </w:p>
        </w:tc>
        <w:tc>
          <w:tcPr>
            <w:tcW w:w="720" w:type="dxa"/>
            <w:tcBorders>
              <w:top w:val="single" w:sz="12" w:space="0" w:color="000000"/>
              <w:left w:val="single" w:sz="12" w:space="0" w:color="000000"/>
              <w:bottom w:val="single" w:sz="4" w:space="0" w:color="000000"/>
              <w:right w:val="single" w:sz="12" w:space="0" w:color="000000"/>
            </w:tcBorders>
            <w:vAlign w:val="center"/>
          </w:tcPr>
          <w:p w14:paraId="72873F2C" w14:textId="278A4EEE" w:rsidR="00B0429D" w:rsidRDefault="00B0429D" w:rsidP="00040058">
            <w:pPr>
              <w:spacing w:after="0" w:line="240" w:lineRule="auto"/>
              <w:ind w:left="0" w:right="0" w:firstLine="0"/>
              <w:jc w:val="center"/>
            </w:pPr>
            <w:r>
              <w:rPr>
                <w:sz w:val="18"/>
              </w:rPr>
              <w:t>8321</w:t>
            </w:r>
          </w:p>
        </w:tc>
        <w:tc>
          <w:tcPr>
            <w:tcW w:w="810" w:type="dxa"/>
            <w:tcBorders>
              <w:top w:val="single" w:sz="12" w:space="0" w:color="000000"/>
              <w:left w:val="single" w:sz="12" w:space="0" w:color="000000"/>
              <w:bottom w:val="single" w:sz="4" w:space="0" w:color="000000"/>
              <w:right w:val="single" w:sz="12" w:space="0" w:color="000000"/>
            </w:tcBorders>
            <w:vAlign w:val="center"/>
          </w:tcPr>
          <w:p w14:paraId="498F683B" w14:textId="0002BE0E" w:rsidR="00B0429D" w:rsidRDefault="00B0429D" w:rsidP="00040058">
            <w:pPr>
              <w:spacing w:after="0" w:line="240" w:lineRule="auto"/>
              <w:ind w:left="0" w:right="0" w:firstLine="0"/>
              <w:jc w:val="center"/>
            </w:pPr>
          </w:p>
        </w:tc>
      </w:tr>
      <w:tr w:rsidR="00B0429D" w14:paraId="5311E55B" w14:textId="77777777" w:rsidTr="00DF747D">
        <w:trPr>
          <w:trHeight w:val="245"/>
        </w:trPr>
        <w:tc>
          <w:tcPr>
            <w:tcW w:w="2804" w:type="dxa"/>
            <w:tcBorders>
              <w:top w:val="single" w:sz="4" w:space="0" w:color="000000"/>
              <w:left w:val="single" w:sz="12" w:space="0" w:color="000000"/>
              <w:bottom w:val="single" w:sz="4" w:space="0" w:color="000000"/>
              <w:right w:val="single" w:sz="12" w:space="0" w:color="000000"/>
            </w:tcBorders>
            <w:vAlign w:val="center"/>
          </w:tcPr>
          <w:p w14:paraId="62ADCEF7" w14:textId="77777777" w:rsidR="00B0429D" w:rsidRDefault="00B0429D" w:rsidP="002425A6">
            <w:pPr>
              <w:spacing w:after="0" w:line="240" w:lineRule="auto"/>
              <w:ind w:left="43" w:right="0" w:firstLine="0"/>
            </w:pPr>
            <w:r>
              <w:rPr>
                <w:sz w:val="18"/>
              </w:rPr>
              <w:t xml:space="preserve">Aldicarb sulfone </w:t>
            </w:r>
          </w:p>
        </w:tc>
        <w:tc>
          <w:tcPr>
            <w:tcW w:w="1053" w:type="dxa"/>
            <w:tcBorders>
              <w:top w:val="single" w:sz="4" w:space="0" w:color="000000"/>
              <w:left w:val="single" w:sz="12" w:space="0" w:color="000000"/>
              <w:bottom w:val="single" w:sz="4" w:space="0" w:color="000000"/>
              <w:right w:val="single" w:sz="12" w:space="0" w:color="000000"/>
            </w:tcBorders>
            <w:vAlign w:val="center"/>
          </w:tcPr>
          <w:p w14:paraId="40E9B405" w14:textId="7B4624AC" w:rsidR="00B0429D" w:rsidRDefault="00B0429D" w:rsidP="00040058">
            <w:pPr>
              <w:spacing w:after="0" w:line="240" w:lineRule="auto"/>
              <w:ind w:left="0" w:right="0" w:firstLine="0"/>
              <w:jc w:val="center"/>
            </w:pPr>
            <w:r>
              <w:rPr>
                <w:sz w:val="18"/>
              </w:rPr>
              <w:t>1646-88-4</w:t>
            </w:r>
          </w:p>
        </w:tc>
        <w:tc>
          <w:tcPr>
            <w:tcW w:w="706" w:type="dxa"/>
            <w:tcBorders>
              <w:top w:val="single" w:sz="4" w:space="0" w:color="000000"/>
              <w:left w:val="single" w:sz="12" w:space="0" w:color="000000"/>
              <w:bottom w:val="single" w:sz="4" w:space="0" w:color="000000"/>
              <w:right w:val="single" w:sz="12" w:space="0" w:color="000000"/>
            </w:tcBorders>
            <w:vAlign w:val="center"/>
          </w:tcPr>
          <w:p w14:paraId="60ABF8EF" w14:textId="05D8210F" w:rsidR="00B0429D" w:rsidRDefault="00B0429D" w:rsidP="00040058">
            <w:pPr>
              <w:tabs>
                <w:tab w:val="center" w:pos="415"/>
              </w:tabs>
              <w:spacing w:after="0" w:line="240" w:lineRule="auto"/>
              <w:ind w:left="0" w:right="0" w:firstLine="0"/>
              <w:jc w:val="center"/>
            </w:pPr>
            <w:r>
              <w:rPr>
                <w:sz w:val="18"/>
              </w:rPr>
              <w:t>20</w:t>
            </w:r>
          </w:p>
        </w:tc>
        <w:tc>
          <w:tcPr>
            <w:tcW w:w="702" w:type="dxa"/>
            <w:tcBorders>
              <w:top w:val="single" w:sz="4" w:space="0" w:color="000000"/>
              <w:left w:val="single" w:sz="12" w:space="0" w:color="000000"/>
              <w:bottom w:val="single" w:sz="4" w:space="0" w:color="000000"/>
              <w:right w:val="single" w:sz="12" w:space="0" w:color="000000"/>
            </w:tcBorders>
            <w:vAlign w:val="center"/>
          </w:tcPr>
          <w:p w14:paraId="4079CFDA" w14:textId="0441DE68" w:rsidR="00B0429D" w:rsidRDefault="00B0429D" w:rsidP="00040058">
            <w:pPr>
              <w:spacing w:after="0" w:line="240" w:lineRule="auto"/>
              <w:ind w:left="0" w:right="0" w:firstLine="0"/>
              <w:jc w:val="center"/>
            </w:pPr>
            <w:r>
              <w:rPr>
                <w:sz w:val="18"/>
              </w:rPr>
              <w:t>ug/L</w:t>
            </w:r>
          </w:p>
        </w:tc>
        <w:tc>
          <w:tcPr>
            <w:tcW w:w="789" w:type="dxa"/>
            <w:tcBorders>
              <w:top w:val="single" w:sz="4" w:space="0" w:color="000000"/>
              <w:left w:val="single" w:sz="12" w:space="0" w:color="000000"/>
              <w:bottom w:val="single" w:sz="4" w:space="0" w:color="000000"/>
              <w:right w:val="single" w:sz="12" w:space="0" w:color="000000"/>
            </w:tcBorders>
            <w:vAlign w:val="center"/>
          </w:tcPr>
          <w:p w14:paraId="1C27AEAC" w14:textId="6DFDDB8D" w:rsidR="00B0429D" w:rsidRDefault="00B0429D" w:rsidP="00040058">
            <w:pPr>
              <w:spacing w:after="0" w:line="240" w:lineRule="auto"/>
              <w:ind w:left="0" w:right="0" w:firstLine="0"/>
              <w:jc w:val="center"/>
            </w:pPr>
            <w:r>
              <w:rPr>
                <w:sz w:val="18"/>
              </w:rPr>
              <w:t>1300</w:t>
            </w:r>
          </w:p>
        </w:tc>
        <w:tc>
          <w:tcPr>
            <w:tcW w:w="957" w:type="dxa"/>
            <w:tcBorders>
              <w:top w:val="single" w:sz="4" w:space="0" w:color="000000"/>
              <w:left w:val="single" w:sz="12" w:space="0" w:color="000000"/>
              <w:bottom w:val="single" w:sz="4" w:space="0" w:color="000000"/>
              <w:right w:val="single" w:sz="12" w:space="0" w:color="000000"/>
            </w:tcBorders>
            <w:vAlign w:val="center"/>
          </w:tcPr>
          <w:p w14:paraId="3964B31C" w14:textId="45DE8CE2" w:rsidR="00B0429D" w:rsidRDefault="00B0429D" w:rsidP="00040058">
            <w:pPr>
              <w:spacing w:after="0" w:line="240" w:lineRule="auto"/>
              <w:ind w:left="0" w:right="0" w:firstLine="0"/>
              <w:jc w:val="center"/>
            </w:pPr>
            <w:r>
              <w:rPr>
                <w:rFonts w:eastAsia="Segoe UI Symbol"/>
                <w:sz w:val="18"/>
              </w:rPr>
              <w:t>u</w:t>
            </w:r>
            <w:r>
              <w:rPr>
                <w:sz w:val="18"/>
              </w:rPr>
              <w:t>g/kg</w:t>
            </w:r>
          </w:p>
        </w:tc>
        <w:tc>
          <w:tcPr>
            <w:tcW w:w="454" w:type="dxa"/>
            <w:tcBorders>
              <w:top w:val="single" w:sz="4" w:space="0" w:color="000000"/>
              <w:left w:val="single" w:sz="12" w:space="0" w:color="000000"/>
              <w:bottom w:val="single" w:sz="4" w:space="0" w:color="000000"/>
              <w:right w:val="single" w:sz="12" w:space="0" w:color="000000"/>
            </w:tcBorders>
            <w:vAlign w:val="center"/>
          </w:tcPr>
          <w:p w14:paraId="6737FC9B" w14:textId="3EDC987F" w:rsidR="00B0429D" w:rsidRDefault="00B0429D" w:rsidP="00040058">
            <w:pPr>
              <w:spacing w:after="0" w:line="240" w:lineRule="auto"/>
              <w:ind w:left="0" w:right="0" w:firstLine="0"/>
              <w:jc w:val="center"/>
            </w:pPr>
            <w:r>
              <w:rPr>
                <w:sz w:val="18"/>
              </w:rPr>
              <w:t>X</w:t>
            </w:r>
          </w:p>
        </w:tc>
        <w:tc>
          <w:tcPr>
            <w:tcW w:w="445" w:type="dxa"/>
            <w:tcBorders>
              <w:top w:val="single" w:sz="4" w:space="0" w:color="000000"/>
              <w:left w:val="single" w:sz="12" w:space="0" w:color="000000"/>
              <w:bottom w:val="single" w:sz="4" w:space="0" w:color="000000"/>
              <w:right w:val="single" w:sz="12" w:space="0" w:color="000000"/>
            </w:tcBorders>
            <w:vAlign w:val="center"/>
          </w:tcPr>
          <w:p w14:paraId="69E2B26E" w14:textId="2FD30CA4" w:rsidR="00B0429D" w:rsidRDefault="00B0429D" w:rsidP="00040058">
            <w:pPr>
              <w:spacing w:after="0" w:line="240" w:lineRule="auto"/>
              <w:ind w:left="0" w:right="0" w:firstLine="0"/>
              <w:jc w:val="center"/>
            </w:pPr>
          </w:p>
        </w:tc>
        <w:tc>
          <w:tcPr>
            <w:tcW w:w="431" w:type="dxa"/>
            <w:tcBorders>
              <w:top w:val="single" w:sz="4" w:space="0" w:color="000000"/>
              <w:left w:val="single" w:sz="12" w:space="0" w:color="000000"/>
              <w:bottom w:val="single" w:sz="4" w:space="0" w:color="000000"/>
              <w:right w:val="single" w:sz="12" w:space="0" w:color="000000"/>
            </w:tcBorders>
            <w:vAlign w:val="center"/>
          </w:tcPr>
          <w:p w14:paraId="38E403EC" w14:textId="4E98B483" w:rsidR="00B0429D" w:rsidRDefault="00B0429D" w:rsidP="00040058">
            <w:pPr>
              <w:spacing w:after="0" w:line="240" w:lineRule="auto"/>
              <w:ind w:left="0" w:right="0" w:firstLine="0"/>
              <w:jc w:val="center"/>
            </w:pPr>
          </w:p>
        </w:tc>
        <w:tc>
          <w:tcPr>
            <w:tcW w:w="749" w:type="dxa"/>
            <w:tcBorders>
              <w:top w:val="single" w:sz="4" w:space="0" w:color="000000"/>
              <w:left w:val="single" w:sz="12" w:space="0" w:color="000000"/>
              <w:bottom w:val="single" w:sz="4" w:space="0" w:color="000000"/>
              <w:right w:val="single" w:sz="12" w:space="0" w:color="000000"/>
            </w:tcBorders>
            <w:vAlign w:val="center"/>
          </w:tcPr>
          <w:p w14:paraId="1E774609" w14:textId="5351E3A0" w:rsidR="00B0429D" w:rsidRDefault="00B0429D" w:rsidP="00040058">
            <w:pPr>
              <w:spacing w:after="0" w:line="240" w:lineRule="auto"/>
              <w:ind w:left="0" w:right="0" w:firstLine="0"/>
              <w:jc w:val="center"/>
            </w:pPr>
            <w:r>
              <w:rPr>
                <w:sz w:val="18"/>
              </w:rPr>
              <w:t>8318</w:t>
            </w:r>
          </w:p>
        </w:tc>
        <w:tc>
          <w:tcPr>
            <w:tcW w:w="720" w:type="dxa"/>
            <w:tcBorders>
              <w:top w:val="single" w:sz="4" w:space="0" w:color="000000"/>
              <w:left w:val="single" w:sz="12" w:space="0" w:color="000000"/>
              <w:bottom w:val="single" w:sz="4" w:space="0" w:color="000000"/>
              <w:right w:val="single" w:sz="12" w:space="0" w:color="000000"/>
            </w:tcBorders>
            <w:vAlign w:val="center"/>
          </w:tcPr>
          <w:p w14:paraId="60C67DD1" w14:textId="07964965" w:rsidR="00B0429D" w:rsidRDefault="00B0429D" w:rsidP="00040058">
            <w:pPr>
              <w:spacing w:after="0" w:line="240" w:lineRule="auto"/>
              <w:ind w:left="0" w:right="0" w:firstLine="0"/>
              <w:jc w:val="center"/>
            </w:pPr>
            <w:r>
              <w:rPr>
                <w:sz w:val="18"/>
              </w:rPr>
              <w:t>8321</w:t>
            </w:r>
          </w:p>
        </w:tc>
        <w:tc>
          <w:tcPr>
            <w:tcW w:w="810" w:type="dxa"/>
            <w:tcBorders>
              <w:top w:val="single" w:sz="4" w:space="0" w:color="000000"/>
              <w:left w:val="single" w:sz="12" w:space="0" w:color="000000"/>
              <w:bottom w:val="single" w:sz="4" w:space="0" w:color="000000"/>
              <w:right w:val="single" w:sz="12" w:space="0" w:color="000000"/>
            </w:tcBorders>
            <w:vAlign w:val="center"/>
          </w:tcPr>
          <w:p w14:paraId="39D59DC2" w14:textId="2B8A5A1F" w:rsidR="00B0429D" w:rsidRDefault="00B0429D" w:rsidP="00040058">
            <w:pPr>
              <w:spacing w:after="0" w:line="240" w:lineRule="auto"/>
              <w:ind w:left="0" w:right="0" w:firstLine="0"/>
              <w:jc w:val="center"/>
            </w:pPr>
          </w:p>
        </w:tc>
      </w:tr>
      <w:tr w:rsidR="00B0429D" w14:paraId="1D85E2E9" w14:textId="77777777" w:rsidTr="00DF747D">
        <w:trPr>
          <w:trHeight w:val="245"/>
        </w:trPr>
        <w:tc>
          <w:tcPr>
            <w:tcW w:w="2804" w:type="dxa"/>
            <w:tcBorders>
              <w:top w:val="single" w:sz="4" w:space="0" w:color="000000"/>
              <w:left w:val="single" w:sz="12" w:space="0" w:color="000000"/>
              <w:bottom w:val="single" w:sz="4" w:space="0" w:color="000000"/>
              <w:right w:val="single" w:sz="12" w:space="0" w:color="000000"/>
            </w:tcBorders>
            <w:vAlign w:val="center"/>
          </w:tcPr>
          <w:p w14:paraId="7098B1A4" w14:textId="77777777" w:rsidR="00B0429D" w:rsidRDefault="00B0429D" w:rsidP="002425A6">
            <w:pPr>
              <w:spacing w:after="0" w:line="240" w:lineRule="auto"/>
              <w:ind w:left="43" w:right="0" w:firstLine="0"/>
            </w:pPr>
            <w:r>
              <w:rPr>
                <w:sz w:val="18"/>
              </w:rPr>
              <w:t xml:space="preserve">Aldicarb sulfoxide </w:t>
            </w:r>
          </w:p>
        </w:tc>
        <w:tc>
          <w:tcPr>
            <w:tcW w:w="1053" w:type="dxa"/>
            <w:tcBorders>
              <w:top w:val="single" w:sz="4" w:space="0" w:color="000000"/>
              <w:left w:val="single" w:sz="12" w:space="0" w:color="000000"/>
              <w:bottom w:val="single" w:sz="4" w:space="0" w:color="000000"/>
              <w:right w:val="single" w:sz="12" w:space="0" w:color="000000"/>
            </w:tcBorders>
            <w:vAlign w:val="center"/>
          </w:tcPr>
          <w:p w14:paraId="2CE3DBC3" w14:textId="4CF9D5D1" w:rsidR="00B0429D" w:rsidRDefault="00B0429D" w:rsidP="00040058">
            <w:pPr>
              <w:spacing w:after="0" w:line="240" w:lineRule="auto"/>
              <w:ind w:left="0" w:right="0" w:firstLine="0"/>
              <w:jc w:val="center"/>
            </w:pPr>
            <w:r>
              <w:rPr>
                <w:sz w:val="18"/>
              </w:rPr>
              <w:t>1646-87-3</w:t>
            </w:r>
          </w:p>
        </w:tc>
        <w:tc>
          <w:tcPr>
            <w:tcW w:w="706" w:type="dxa"/>
            <w:tcBorders>
              <w:top w:val="single" w:sz="4" w:space="0" w:color="000000"/>
              <w:left w:val="single" w:sz="12" w:space="0" w:color="000000"/>
              <w:bottom w:val="single" w:sz="4" w:space="0" w:color="000000"/>
              <w:right w:val="single" w:sz="12" w:space="0" w:color="000000"/>
            </w:tcBorders>
            <w:vAlign w:val="center"/>
          </w:tcPr>
          <w:p w14:paraId="3C7292FE" w14:textId="6B2F2492" w:rsidR="00B0429D" w:rsidRDefault="00B0429D" w:rsidP="00040058">
            <w:pPr>
              <w:tabs>
                <w:tab w:val="center" w:pos="415"/>
              </w:tabs>
              <w:spacing w:after="0" w:line="240" w:lineRule="auto"/>
              <w:ind w:left="0" w:right="0" w:firstLine="0"/>
              <w:jc w:val="center"/>
            </w:pPr>
            <w:r>
              <w:rPr>
                <w:sz w:val="18"/>
              </w:rPr>
              <w:t>20</w:t>
            </w:r>
          </w:p>
        </w:tc>
        <w:tc>
          <w:tcPr>
            <w:tcW w:w="702" w:type="dxa"/>
            <w:tcBorders>
              <w:top w:val="single" w:sz="4" w:space="0" w:color="000000"/>
              <w:left w:val="single" w:sz="12" w:space="0" w:color="000000"/>
              <w:bottom w:val="single" w:sz="4" w:space="0" w:color="000000"/>
              <w:right w:val="single" w:sz="12" w:space="0" w:color="000000"/>
            </w:tcBorders>
            <w:vAlign w:val="center"/>
          </w:tcPr>
          <w:p w14:paraId="127DFB3C" w14:textId="75B0141A" w:rsidR="00B0429D" w:rsidRDefault="00B0429D" w:rsidP="00040058">
            <w:pPr>
              <w:spacing w:after="0" w:line="240" w:lineRule="auto"/>
              <w:ind w:left="0" w:right="0" w:firstLine="0"/>
              <w:jc w:val="center"/>
            </w:pPr>
            <w:r>
              <w:rPr>
                <w:sz w:val="18"/>
              </w:rPr>
              <w:t>ug/L</w:t>
            </w:r>
          </w:p>
        </w:tc>
        <w:tc>
          <w:tcPr>
            <w:tcW w:w="789" w:type="dxa"/>
            <w:tcBorders>
              <w:top w:val="single" w:sz="4" w:space="0" w:color="000000"/>
              <w:left w:val="single" w:sz="12" w:space="0" w:color="000000"/>
              <w:bottom w:val="single" w:sz="4" w:space="0" w:color="000000"/>
              <w:right w:val="single" w:sz="12" w:space="0" w:color="000000"/>
            </w:tcBorders>
            <w:vAlign w:val="center"/>
          </w:tcPr>
          <w:p w14:paraId="061BE1ED" w14:textId="7F00162A" w:rsidR="00B0429D" w:rsidRDefault="00B0429D" w:rsidP="00040058">
            <w:pPr>
              <w:spacing w:after="0" w:line="240" w:lineRule="auto"/>
              <w:ind w:left="0" w:right="0" w:firstLine="0"/>
              <w:jc w:val="center"/>
            </w:pPr>
            <w:r>
              <w:rPr>
                <w:sz w:val="18"/>
              </w:rPr>
              <w:t>1300</w:t>
            </w:r>
          </w:p>
        </w:tc>
        <w:tc>
          <w:tcPr>
            <w:tcW w:w="957" w:type="dxa"/>
            <w:tcBorders>
              <w:top w:val="single" w:sz="4" w:space="0" w:color="000000"/>
              <w:left w:val="single" w:sz="12" w:space="0" w:color="000000"/>
              <w:bottom w:val="single" w:sz="4" w:space="0" w:color="000000"/>
              <w:right w:val="single" w:sz="12" w:space="0" w:color="000000"/>
            </w:tcBorders>
            <w:vAlign w:val="center"/>
          </w:tcPr>
          <w:p w14:paraId="76B6EC41" w14:textId="05CF8B8D" w:rsidR="00B0429D" w:rsidRDefault="00B0429D" w:rsidP="00040058">
            <w:pPr>
              <w:spacing w:after="0" w:line="240" w:lineRule="auto"/>
              <w:ind w:left="0" w:right="0" w:firstLine="0"/>
              <w:jc w:val="center"/>
            </w:pPr>
            <w:r>
              <w:rPr>
                <w:rFonts w:eastAsia="Segoe UI Symbol"/>
                <w:sz w:val="18"/>
              </w:rPr>
              <w:t>u</w:t>
            </w:r>
            <w:r>
              <w:rPr>
                <w:sz w:val="18"/>
              </w:rPr>
              <w:t>g/kg</w:t>
            </w:r>
          </w:p>
        </w:tc>
        <w:tc>
          <w:tcPr>
            <w:tcW w:w="454" w:type="dxa"/>
            <w:tcBorders>
              <w:top w:val="single" w:sz="4" w:space="0" w:color="000000"/>
              <w:left w:val="single" w:sz="12" w:space="0" w:color="000000"/>
              <w:bottom w:val="single" w:sz="4" w:space="0" w:color="000000"/>
              <w:right w:val="single" w:sz="12" w:space="0" w:color="000000"/>
            </w:tcBorders>
            <w:vAlign w:val="center"/>
          </w:tcPr>
          <w:p w14:paraId="62926B6D" w14:textId="415F38AD" w:rsidR="00B0429D" w:rsidRDefault="00B0429D" w:rsidP="00040058">
            <w:pPr>
              <w:spacing w:after="0" w:line="240" w:lineRule="auto"/>
              <w:ind w:left="0" w:right="0" w:firstLine="0"/>
              <w:jc w:val="center"/>
            </w:pPr>
          </w:p>
        </w:tc>
        <w:tc>
          <w:tcPr>
            <w:tcW w:w="445" w:type="dxa"/>
            <w:tcBorders>
              <w:top w:val="single" w:sz="4" w:space="0" w:color="000000"/>
              <w:left w:val="single" w:sz="12" w:space="0" w:color="000000"/>
              <w:bottom w:val="single" w:sz="4" w:space="0" w:color="000000"/>
              <w:right w:val="single" w:sz="12" w:space="0" w:color="000000"/>
            </w:tcBorders>
            <w:vAlign w:val="center"/>
          </w:tcPr>
          <w:p w14:paraId="26303181" w14:textId="7D0E2294" w:rsidR="00B0429D" w:rsidRDefault="00B0429D" w:rsidP="00040058">
            <w:pPr>
              <w:spacing w:after="0" w:line="240" w:lineRule="auto"/>
              <w:ind w:left="0" w:right="0" w:firstLine="0"/>
              <w:jc w:val="center"/>
            </w:pPr>
          </w:p>
        </w:tc>
        <w:tc>
          <w:tcPr>
            <w:tcW w:w="431" w:type="dxa"/>
            <w:tcBorders>
              <w:top w:val="single" w:sz="4" w:space="0" w:color="000000"/>
              <w:left w:val="single" w:sz="12" w:space="0" w:color="000000"/>
              <w:bottom w:val="single" w:sz="4" w:space="0" w:color="000000"/>
              <w:right w:val="single" w:sz="12" w:space="0" w:color="000000"/>
            </w:tcBorders>
            <w:vAlign w:val="center"/>
          </w:tcPr>
          <w:p w14:paraId="21E7F3D6" w14:textId="225190E3" w:rsidR="00B0429D" w:rsidRDefault="00B0429D" w:rsidP="00040058">
            <w:pPr>
              <w:spacing w:after="0" w:line="240" w:lineRule="auto"/>
              <w:ind w:left="0" w:right="0" w:firstLine="0"/>
              <w:jc w:val="center"/>
            </w:pPr>
          </w:p>
        </w:tc>
        <w:tc>
          <w:tcPr>
            <w:tcW w:w="749" w:type="dxa"/>
            <w:tcBorders>
              <w:top w:val="single" w:sz="4" w:space="0" w:color="000000"/>
              <w:left w:val="single" w:sz="12" w:space="0" w:color="000000"/>
              <w:bottom w:val="single" w:sz="4" w:space="0" w:color="000000"/>
              <w:right w:val="single" w:sz="12" w:space="0" w:color="000000"/>
            </w:tcBorders>
            <w:vAlign w:val="center"/>
          </w:tcPr>
          <w:p w14:paraId="5A8227A4" w14:textId="2E301787" w:rsidR="00B0429D" w:rsidRDefault="00B0429D" w:rsidP="00040058">
            <w:pPr>
              <w:spacing w:after="0" w:line="240" w:lineRule="auto"/>
              <w:ind w:left="0" w:right="0" w:firstLine="0"/>
              <w:jc w:val="center"/>
            </w:pPr>
            <w:r>
              <w:rPr>
                <w:sz w:val="18"/>
              </w:rPr>
              <w:t>8318</w:t>
            </w:r>
          </w:p>
        </w:tc>
        <w:tc>
          <w:tcPr>
            <w:tcW w:w="720" w:type="dxa"/>
            <w:tcBorders>
              <w:top w:val="single" w:sz="4" w:space="0" w:color="000000"/>
              <w:left w:val="single" w:sz="12" w:space="0" w:color="000000"/>
              <w:bottom w:val="single" w:sz="4" w:space="0" w:color="000000"/>
              <w:right w:val="single" w:sz="12" w:space="0" w:color="000000"/>
            </w:tcBorders>
            <w:vAlign w:val="center"/>
          </w:tcPr>
          <w:p w14:paraId="4E37A2AF" w14:textId="06035F54" w:rsidR="00B0429D" w:rsidRDefault="00B0429D" w:rsidP="00040058">
            <w:pPr>
              <w:spacing w:after="0" w:line="240" w:lineRule="auto"/>
              <w:ind w:left="0" w:right="0" w:firstLine="0"/>
              <w:jc w:val="center"/>
            </w:pPr>
            <w:r>
              <w:rPr>
                <w:sz w:val="18"/>
              </w:rPr>
              <w:t>8321</w:t>
            </w:r>
          </w:p>
        </w:tc>
        <w:tc>
          <w:tcPr>
            <w:tcW w:w="810" w:type="dxa"/>
            <w:tcBorders>
              <w:top w:val="single" w:sz="4" w:space="0" w:color="000000"/>
              <w:left w:val="single" w:sz="12" w:space="0" w:color="000000"/>
              <w:bottom w:val="single" w:sz="4" w:space="0" w:color="000000"/>
              <w:right w:val="single" w:sz="12" w:space="0" w:color="000000"/>
            </w:tcBorders>
            <w:vAlign w:val="center"/>
          </w:tcPr>
          <w:p w14:paraId="4768E0D3" w14:textId="4A6CBF5B" w:rsidR="00B0429D" w:rsidRDefault="00B0429D" w:rsidP="00040058">
            <w:pPr>
              <w:spacing w:after="0" w:line="240" w:lineRule="auto"/>
              <w:ind w:left="0" w:right="0" w:firstLine="0"/>
              <w:jc w:val="center"/>
            </w:pPr>
          </w:p>
        </w:tc>
      </w:tr>
      <w:tr w:rsidR="00B0429D" w14:paraId="0E9918BF" w14:textId="77777777" w:rsidTr="00DF747D">
        <w:trPr>
          <w:trHeight w:val="245"/>
        </w:trPr>
        <w:tc>
          <w:tcPr>
            <w:tcW w:w="2804" w:type="dxa"/>
            <w:tcBorders>
              <w:top w:val="single" w:sz="4" w:space="0" w:color="000000"/>
              <w:left w:val="single" w:sz="12" w:space="0" w:color="000000"/>
              <w:bottom w:val="single" w:sz="4" w:space="0" w:color="000000"/>
              <w:right w:val="single" w:sz="12" w:space="0" w:color="000000"/>
            </w:tcBorders>
            <w:vAlign w:val="center"/>
          </w:tcPr>
          <w:p w14:paraId="345EB978" w14:textId="77777777" w:rsidR="00B0429D" w:rsidRDefault="00B0429D" w:rsidP="002425A6">
            <w:pPr>
              <w:spacing w:after="0" w:line="240" w:lineRule="auto"/>
              <w:ind w:left="43" w:right="0" w:firstLine="0"/>
            </w:pPr>
            <w:r>
              <w:rPr>
                <w:sz w:val="18"/>
              </w:rPr>
              <w:t xml:space="preserve">Bendiocarb </w:t>
            </w:r>
          </w:p>
        </w:tc>
        <w:tc>
          <w:tcPr>
            <w:tcW w:w="1053" w:type="dxa"/>
            <w:tcBorders>
              <w:top w:val="single" w:sz="4" w:space="0" w:color="000000"/>
              <w:left w:val="single" w:sz="12" w:space="0" w:color="000000"/>
              <w:bottom w:val="single" w:sz="4" w:space="0" w:color="000000"/>
              <w:right w:val="single" w:sz="12" w:space="0" w:color="000000"/>
            </w:tcBorders>
            <w:vAlign w:val="center"/>
          </w:tcPr>
          <w:p w14:paraId="30FE0C9B" w14:textId="278C8C2B" w:rsidR="00B0429D" w:rsidRDefault="00B0429D" w:rsidP="00040058">
            <w:pPr>
              <w:spacing w:after="0" w:line="240" w:lineRule="auto"/>
              <w:ind w:left="0" w:right="0" w:firstLine="0"/>
              <w:jc w:val="center"/>
            </w:pPr>
            <w:r>
              <w:rPr>
                <w:sz w:val="18"/>
              </w:rPr>
              <w:t>22781-23-3</w:t>
            </w:r>
          </w:p>
        </w:tc>
        <w:tc>
          <w:tcPr>
            <w:tcW w:w="706" w:type="dxa"/>
            <w:tcBorders>
              <w:top w:val="single" w:sz="4" w:space="0" w:color="000000"/>
              <w:left w:val="single" w:sz="12" w:space="0" w:color="000000"/>
              <w:bottom w:val="single" w:sz="4" w:space="0" w:color="000000"/>
              <w:right w:val="single" w:sz="12" w:space="0" w:color="000000"/>
            </w:tcBorders>
            <w:vAlign w:val="center"/>
          </w:tcPr>
          <w:p w14:paraId="1D367240" w14:textId="763AB7C8" w:rsidR="00B0429D" w:rsidRDefault="00B0429D" w:rsidP="00040058">
            <w:pPr>
              <w:tabs>
                <w:tab w:val="center" w:pos="369"/>
              </w:tabs>
              <w:spacing w:after="0" w:line="240" w:lineRule="auto"/>
              <w:ind w:left="0" w:right="0" w:firstLine="0"/>
              <w:jc w:val="center"/>
            </w:pPr>
            <w:r>
              <w:rPr>
                <w:sz w:val="18"/>
              </w:rPr>
              <w:t>200</w:t>
            </w:r>
          </w:p>
        </w:tc>
        <w:tc>
          <w:tcPr>
            <w:tcW w:w="702" w:type="dxa"/>
            <w:tcBorders>
              <w:top w:val="single" w:sz="4" w:space="0" w:color="000000"/>
              <w:left w:val="single" w:sz="12" w:space="0" w:color="000000"/>
              <w:bottom w:val="single" w:sz="4" w:space="0" w:color="000000"/>
              <w:right w:val="single" w:sz="12" w:space="0" w:color="000000"/>
            </w:tcBorders>
            <w:vAlign w:val="center"/>
          </w:tcPr>
          <w:p w14:paraId="4CC9AFDB" w14:textId="48F5D57B" w:rsidR="00B0429D" w:rsidRDefault="00B0429D" w:rsidP="00040058">
            <w:pPr>
              <w:spacing w:after="0" w:line="240" w:lineRule="auto"/>
              <w:ind w:left="0" w:right="0" w:firstLine="0"/>
              <w:jc w:val="center"/>
            </w:pPr>
            <w:r>
              <w:rPr>
                <w:sz w:val="18"/>
              </w:rPr>
              <w:t>ug/L</w:t>
            </w:r>
          </w:p>
        </w:tc>
        <w:tc>
          <w:tcPr>
            <w:tcW w:w="789" w:type="dxa"/>
            <w:tcBorders>
              <w:top w:val="single" w:sz="4" w:space="0" w:color="000000"/>
              <w:left w:val="single" w:sz="12" w:space="0" w:color="000000"/>
              <w:bottom w:val="single" w:sz="4" w:space="0" w:color="000000"/>
              <w:right w:val="single" w:sz="12" w:space="0" w:color="000000"/>
            </w:tcBorders>
            <w:vAlign w:val="center"/>
          </w:tcPr>
          <w:p w14:paraId="706C3DA5" w14:textId="1A0BBE35" w:rsidR="00B0429D" w:rsidRDefault="00B0429D" w:rsidP="00040058">
            <w:pPr>
              <w:spacing w:after="0" w:line="240" w:lineRule="auto"/>
              <w:ind w:left="0" w:right="0" w:firstLine="0"/>
              <w:jc w:val="center"/>
            </w:pPr>
            <w:r>
              <w:rPr>
                <w:sz w:val="18"/>
              </w:rPr>
              <w:t>50000</w:t>
            </w:r>
          </w:p>
        </w:tc>
        <w:tc>
          <w:tcPr>
            <w:tcW w:w="957" w:type="dxa"/>
            <w:tcBorders>
              <w:top w:val="single" w:sz="4" w:space="0" w:color="000000"/>
              <w:left w:val="single" w:sz="12" w:space="0" w:color="000000"/>
              <w:bottom w:val="single" w:sz="4" w:space="0" w:color="000000"/>
              <w:right w:val="single" w:sz="12" w:space="0" w:color="000000"/>
            </w:tcBorders>
            <w:vAlign w:val="center"/>
          </w:tcPr>
          <w:p w14:paraId="0385E206" w14:textId="19DDC933" w:rsidR="00B0429D" w:rsidRDefault="00B0429D" w:rsidP="00040058">
            <w:pPr>
              <w:spacing w:after="0" w:line="240" w:lineRule="auto"/>
              <w:ind w:left="0" w:right="0" w:firstLine="0"/>
              <w:jc w:val="center"/>
            </w:pPr>
            <w:r>
              <w:rPr>
                <w:rFonts w:eastAsia="Segoe UI Symbol"/>
                <w:sz w:val="18"/>
              </w:rPr>
              <w:t>u</w:t>
            </w:r>
            <w:r>
              <w:rPr>
                <w:sz w:val="18"/>
              </w:rPr>
              <w:t>g/kg</w:t>
            </w:r>
          </w:p>
        </w:tc>
        <w:tc>
          <w:tcPr>
            <w:tcW w:w="454" w:type="dxa"/>
            <w:tcBorders>
              <w:top w:val="single" w:sz="4" w:space="0" w:color="000000"/>
              <w:left w:val="single" w:sz="12" w:space="0" w:color="000000"/>
              <w:bottom w:val="single" w:sz="4" w:space="0" w:color="000000"/>
              <w:right w:val="single" w:sz="12" w:space="0" w:color="000000"/>
            </w:tcBorders>
            <w:vAlign w:val="center"/>
          </w:tcPr>
          <w:p w14:paraId="423CB60E" w14:textId="4F8CA7A8" w:rsidR="00B0429D" w:rsidRDefault="00B0429D" w:rsidP="00040058">
            <w:pPr>
              <w:spacing w:after="0" w:line="240" w:lineRule="auto"/>
              <w:ind w:left="0" w:right="0" w:firstLine="0"/>
              <w:jc w:val="center"/>
            </w:pPr>
            <w:r>
              <w:rPr>
                <w:sz w:val="18"/>
              </w:rPr>
              <w:t>X</w:t>
            </w:r>
          </w:p>
        </w:tc>
        <w:tc>
          <w:tcPr>
            <w:tcW w:w="445" w:type="dxa"/>
            <w:tcBorders>
              <w:top w:val="single" w:sz="4" w:space="0" w:color="000000"/>
              <w:left w:val="single" w:sz="12" w:space="0" w:color="000000"/>
              <w:bottom w:val="single" w:sz="4" w:space="0" w:color="000000"/>
              <w:right w:val="single" w:sz="12" w:space="0" w:color="000000"/>
            </w:tcBorders>
            <w:vAlign w:val="center"/>
          </w:tcPr>
          <w:p w14:paraId="2E210191" w14:textId="6208BEE8" w:rsidR="00B0429D" w:rsidRDefault="00B0429D" w:rsidP="00040058">
            <w:pPr>
              <w:spacing w:after="0" w:line="240" w:lineRule="auto"/>
              <w:ind w:left="0" w:right="0" w:firstLine="0"/>
              <w:jc w:val="center"/>
            </w:pPr>
          </w:p>
        </w:tc>
        <w:tc>
          <w:tcPr>
            <w:tcW w:w="431" w:type="dxa"/>
            <w:tcBorders>
              <w:top w:val="single" w:sz="4" w:space="0" w:color="000000"/>
              <w:left w:val="single" w:sz="12" w:space="0" w:color="000000"/>
              <w:bottom w:val="single" w:sz="4" w:space="0" w:color="000000"/>
              <w:right w:val="single" w:sz="12" w:space="0" w:color="000000"/>
            </w:tcBorders>
            <w:vAlign w:val="center"/>
          </w:tcPr>
          <w:p w14:paraId="4345E048" w14:textId="0490B32F" w:rsidR="00B0429D" w:rsidRDefault="00B0429D" w:rsidP="00040058">
            <w:pPr>
              <w:spacing w:after="0" w:line="240" w:lineRule="auto"/>
              <w:ind w:left="0" w:right="0" w:firstLine="0"/>
              <w:jc w:val="center"/>
            </w:pPr>
          </w:p>
        </w:tc>
        <w:tc>
          <w:tcPr>
            <w:tcW w:w="749" w:type="dxa"/>
            <w:tcBorders>
              <w:top w:val="single" w:sz="4" w:space="0" w:color="000000"/>
              <w:left w:val="single" w:sz="12" w:space="0" w:color="000000"/>
              <w:bottom w:val="single" w:sz="4" w:space="0" w:color="000000"/>
              <w:right w:val="single" w:sz="12" w:space="0" w:color="000000"/>
            </w:tcBorders>
            <w:vAlign w:val="center"/>
          </w:tcPr>
          <w:p w14:paraId="6ABA045E" w14:textId="3E36D0F1" w:rsidR="00B0429D" w:rsidRDefault="00B0429D" w:rsidP="00040058">
            <w:pPr>
              <w:spacing w:after="0" w:line="240" w:lineRule="auto"/>
              <w:ind w:left="0" w:right="0" w:firstLine="0"/>
              <w:jc w:val="center"/>
            </w:pPr>
            <w:r>
              <w:rPr>
                <w:sz w:val="18"/>
              </w:rPr>
              <w:t>8318</w:t>
            </w:r>
          </w:p>
        </w:tc>
        <w:tc>
          <w:tcPr>
            <w:tcW w:w="720" w:type="dxa"/>
            <w:tcBorders>
              <w:top w:val="single" w:sz="4" w:space="0" w:color="000000"/>
              <w:left w:val="single" w:sz="12" w:space="0" w:color="000000"/>
              <w:bottom w:val="single" w:sz="4" w:space="0" w:color="000000"/>
              <w:right w:val="single" w:sz="12" w:space="0" w:color="000000"/>
            </w:tcBorders>
            <w:vAlign w:val="center"/>
          </w:tcPr>
          <w:p w14:paraId="7D467EA9" w14:textId="57FA703C" w:rsidR="00B0429D" w:rsidRDefault="00B0429D" w:rsidP="00040058">
            <w:pPr>
              <w:spacing w:after="0" w:line="240" w:lineRule="auto"/>
              <w:ind w:left="0" w:right="0" w:firstLine="0"/>
              <w:jc w:val="center"/>
            </w:pPr>
            <w:r>
              <w:rPr>
                <w:sz w:val="18"/>
              </w:rPr>
              <w:t>8321</w:t>
            </w:r>
          </w:p>
        </w:tc>
        <w:tc>
          <w:tcPr>
            <w:tcW w:w="810" w:type="dxa"/>
            <w:tcBorders>
              <w:top w:val="single" w:sz="4" w:space="0" w:color="000000"/>
              <w:left w:val="single" w:sz="12" w:space="0" w:color="000000"/>
              <w:bottom w:val="single" w:sz="4" w:space="0" w:color="000000"/>
              <w:right w:val="single" w:sz="12" w:space="0" w:color="000000"/>
            </w:tcBorders>
            <w:vAlign w:val="center"/>
          </w:tcPr>
          <w:p w14:paraId="1476048C" w14:textId="3DB0A0F6" w:rsidR="00B0429D" w:rsidRDefault="00B0429D" w:rsidP="00040058">
            <w:pPr>
              <w:spacing w:after="0" w:line="240" w:lineRule="auto"/>
              <w:ind w:left="0" w:right="0" w:firstLine="0"/>
              <w:jc w:val="center"/>
            </w:pPr>
          </w:p>
        </w:tc>
      </w:tr>
      <w:tr w:rsidR="00B0429D" w14:paraId="3322C5C8" w14:textId="77777777" w:rsidTr="00DF747D">
        <w:trPr>
          <w:trHeight w:val="245"/>
        </w:trPr>
        <w:tc>
          <w:tcPr>
            <w:tcW w:w="2804" w:type="dxa"/>
            <w:tcBorders>
              <w:top w:val="single" w:sz="4" w:space="0" w:color="000000"/>
              <w:left w:val="single" w:sz="12" w:space="0" w:color="000000"/>
              <w:bottom w:val="single" w:sz="4" w:space="0" w:color="000000"/>
              <w:right w:val="single" w:sz="12" w:space="0" w:color="000000"/>
            </w:tcBorders>
            <w:vAlign w:val="center"/>
          </w:tcPr>
          <w:p w14:paraId="22571F78" w14:textId="7E7A0E21" w:rsidR="00B0429D" w:rsidRDefault="00B0429D" w:rsidP="002425A6">
            <w:pPr>
              <w:spacing w:after="0" w:line="240" w:lineRule="auto"/>
              <w:ind w:left="43" w:right="0" w:firstLine="0"/>
            </w:pPr>
            <w:r>
              <w:rPr>
                <w:sz w:val="18"/>
              </w:rPr>
              <w:t>Carbaryl (</w:t>
            </w:r>
            <w:r>
              <w:rPr>
                <w:i/>
                <w:sz w:val="18"/>
              </w:rPr>
              <w:t xml:space="preserve">Sevin) </w:t>
            </w:r>
          </w:p>
        </w:tc>
        <w:tc>
          <w:tcPr>
            <w:tcW w:w="1053" w:type="dxa"/>
            <w:tcBorders>
              <w:top w:val="single" w:sz="4" w:space="0" w:color="000000"/>
              <w:left w:val="single" w:sz="12" w:space="0" w:color="000000"/>
              <w:bottom w:val="single" w:sz="4" w:space="0" w:color="000000"/>
              <w:right w:val="single" w:sz="12" w:space="0" w:color="000000"/>
            </w:tcBorders>
            <w:vAlign w:val="center"/>
          </w:tcPr>
          <w:p w14:paraId="035F0E65" w14:textId="55EA0DE9" w:rsidR="00B0429D" w:rsidRDefault="00B0429D" w:rsidP="00040058">
            <w:pPr>
              <w:spacing w:after="0" w:line="240" w:lineRule="auto"/>
              <w:ind w:left="0" w:right="0" w:firstLine="0"/>
              <w:jc w:val="center"/>
            </w:pPr>
            <w:r>
              <w:rPr>
                <w:sz w:val="18"/>
              </w:rPr>
              <w:t>63-25-2</w:t>
            </w:r>
          </w:p>
        </w:tc>
        <w:tc>
          <w:tcPr>
            <w:tcW w:w="706" w:type="dxa"/>
            <w:tcBorders>
              <w:top w:val="single" w:sz="4" w:space="0" w:color="000000"/>
              <w:left w:val="single" w:sz="12" w:space="0" w:color="000000"/>
              <w:bottom w:val="single" w:sz="4" w:space="0" w:color="000000"/>
              <w:right w:val="single" w:sz="12" w:space="0" w:color="000000"/>
            </w:tcBorders>
            <w:vAlign w:val="center"/>
          </w:tcPr>
          <w:p w14:paraId="70B7FD53" w14:textId="0F44C277" w:rsidR="00B0429D" w:rsidRDefault="00B0429D" w:rsidP="00040058">
            <w:pPr>
              <w:tabs>
                <w:tab w:val="center" w:pos="415"/>
              </w:tabs>
              <w:spacing w:after="0" w:line="240" w:lineRule="auto"/>
              <w:ind w:left="0" w:right="0" w:firstLine="0"/>
              <w:jc w:val="center"/>
            </w:pPr>
            <w:r>
              <w:rPr>
                <w:sz w:val="18"/>
              </w:rPr>
              <w:t>10</w:t>
            </w:r>
          </w:p>
        </w:tc>
        <w:tc>
          <w:tcPr>
            <w:tcW w:w="702" w:type="dxa"/>
            <w:tcBorders>
              <w:top w:val="single" w:sz="4" w:space="0" w:color="000000"/>
              <w:left w:val="single" w:sz="12" w:space="0" w:color="000000"/>
              <w:bottom w:val="single" w:sz="4" w:space="0" w:color="000000"/>
              <w:right w:val="single" w:sz="12" w:space="0" w:color="000000"/>
            </w:tcBorders>
            <w:vAlign w:val="center"/>
          </w:tcPr>
          <w:p w14:paraId="5D7E41AD" w14:textId="3C1BDE2D" w:rsidR="00B0429D" w:rsidRDefault="00B0429D" w:rsidP="00040058">
            <w:pPr>
              <w:spacing w:after="0" w:line="240" w:lineRule="auto"/>
              <w:ind w:left="0" w:right="0" w:firstLine="0"/>
              <w:jc w:val="center"/>
            </w:pPr>
            <w:r>
              <w:rPr>
                <w:sz w:val="18"/>
              </w:rPr>
              <w:t>ug/L</w:t>
            </w:r>
          </w:p>
        </w:tc>
        <w:tc>
          <w:tcPr>
            <w:tcW w:w="789" w:type="dxa"/>
            <w:tcBorders>
              <w:top w:val="single" w:sz="4" w:space="0" w:color="000000"/>
              <w:left w:val="single" w:sz="12" w:space="0" w:color="000000"/>
              <w:bottom w:val="single" w:sz="4" w:space="0" w:color="000000"/>
              <w:right w:val="single" w:sz="12" w:space="0" w:color="000000"/>
            </w:tcBorders>
            <w:vAlign w:val="center"/>
          </w:tcPr>
          <w:p w14:paraId="4FAA72AC" w14:textId="142731E7" w:rsidR="00B0429D" w:rsidRDefault="00B0429D" w:rsidP="00040058">
            <w:pPr>
              <w:spacing w:after="0" w:line="240" w:lineRule="auto"/>
              <w:ind w:left="0" w:right="0" w:firstLine="0"/>
              <w:jc w:val="center"/>
            </w:pPr>
            <w:r>
              <w:rPr>
                <w:sz w:val="18"/>
              </w:rPr>
              <w:t>660</w:t>
            </w:r>
          </w:p>
        </w:tc>
        <w:tc>
          <w:tcPr>
            <w:tcW w:w="957" w:type="dxa"/>
            <w:tcBorders>
              <w:top w:val="single" w:sz="4" w:space="0" w:color="000000"/>
              <w:left w:val="single" w:sz="12" w:space="0" w:color="000000"/>
              <w:bottom w:val="single" w:sz="4" w:space="0" w:color="000000"/>
              <w:right w:val="single" w:sz="12" w:space="0" w:color="000000"/>
            </w:tcBorders>
            <w:vAlign w:val="center"/>
          </w:tcPr>
          <w:p w14:paraId="58FE0EBE" w14:textId="144D8892" w:rsidR="00B0429D" w:rsidRDefault="00B0429D" w:rsidP="00040058">
            <w:pPr>
              <w:spacing w:after="0" w:line="240" w:lineRule="auto"/>
              <w:ind w:left="0" w:right="0" w:firstLine="0"/>
              <w:jc w:val="center"/>
            </w:pPr>
            <w:r>
              <w:rPr>
                <w:rFonts w:eastAsia="Segoe UI Symbol"/>
                <w:sz w:val="18"/>
              </w:rPr>
              <w:t>u</w:t>
            </w:r>
            <w:r>
              <w:rPr>
                <w:sz w:val="18"/>
              </w:rPr>
              <w:t>g/kg</w:t>
            </w:r>
          </w:p>
        </w:tc>
        <w:tc>
          <w:tcPr>
            <w:tcW w:w="454" w:type="dxa"/>
            <w:tcBorders>
              <w:top w:val="single" w:sz="4" w:space="0" w:color="000000"/>
              <w:left w:val="single" w:sz="12" w:space="0" w:color="000000"/>
              <w:bottom w:val="single" w:sz="4" w:space="0" w:color="000000"/>
              <w:right w:val="single" w:sz="12" w:space="0" w:color="000000"/>
            </w:tcBorders>
            <w:vAlign w:val="center"/>
          </w:tcPr>
          <w:p w14:paraId="25887C32" w14:textId="3EB21E52" w:rsidR="00B0429D" w:rsidRDefault="00B0429D" w:rsidP="00040058">
            <w:pPr>
              <w:spacing w:after="0" w:line="240" w:lineRule="auto"/>
              <w:ind w:left="0" w:right="0" w:firstLine="0"/>
              <w:jc w:val="center"/>
            </w:pPr>
            <w:r>
              <w:rPr>
                <w:sz w:val="18"/>
              </w:rPr>
              <w:t>X</w:t>
            </w:r>
          </w:p>
        </w:tc>
        <w:tc>
          <w:tcPr>
            <w:tcW w:w="445" w:type="dxa"/>
            <w:tcBorders>
              <w:top w:val="single" w:sz="4" w:space="0" w:color="000000"/>
              <w:left w:val="single" w:sz="12" w:space="0" w:color="000000"/>
              <w:bottom w:val="single" w:sz="4" w:space="0" w:color="000000"/>
              <w:right w:val="single" w:sz="12" w:space="0" w:color="000000"/>
            </w:tcBorders>
            <w:vAlign w:val="center"/>
          </w:tcPr>
          <w:p w14:paraId="00115698" w14:textId="5241FA7E" w:rsidR="00B0429D" w:rsidRDefault="00B0429D" w:rsidP="00040058">
            <w:pPr>
              <w:spacing w:after="0" w:line="240" w:lineRule="auto"/>
              <w:ind w:left="0" w:right="0" w:firstLine="0"/>
              <w:jc w:val="center"/>
            </w:pPr>
          </w:p>
        </w:tc>
        <w:tc>
          <w:tcPr>
            <w:tcW w:w="431" w:type="dxa"/>
            <w:tcBorders>
              <w:top w:val="single" w:sz="4" w:space="0" w:color="000000"/>
              <w:left w:val="single" w:sz="12" w:space="0" w:color="000000"/>
              <w:bottom w:val="single" w:sz="4" w:space="0" w:color="000000"/>
              <w:right w:val="single" w:sz="12" w:space="0" w:color="000000"/>
            </w:tcBorders>
            <w:vAlign w:val="center"/>
          </w:tcPr>
          <w:p w14:paraId="3433C32F" w14:textId="48339149" w:rsidR="00B0429D" w:rsidRDefault="00B0429D" w:rsidP="00040058">
            <w:pPr>
              <w:spacing w:after="0" w:line="240" w:lineRule="auto"/>
              <w:ind w:left="0" w:right="0" w:firstLine="0"/>
              <w:jc w:val="center"/>
            </w:pPr>
          </w:p>
        </w:tc>
        <w:tc>
          <w:tcPr>
            <w:tcW w:w="749" w:type="dxa"/>
            <w:tcBorders>
              <w:top w:val="single" w:sz="4" w:space="0" w:color="000000"/>
              <w:left w:val="single" w:sz="12" w:space="0" w:color="000000"/>
              <w:bottom w:val="single" w:sz="4" w:space="0" w:color="000000"/>
              <w:right w:val="single" w:sz="12" w:space="0" w:color="000000"/>
            </w:tcBorders>
            <w:vAlign w:val="center"/>
          </w:tcPr>
          <w:p w14:paraId="40D3C43B" w14:textId="7D596B5E" w:rsidR="00B0429D" w:rsidRDefault="00B0429D" w:rsidP="00040058">
            <w:pPr>
              <w:spacing w:after="0" w:line="240" w:lineRule="auto"/>
              <w:ind w:left="0" w:right="0" w:firstLine="0"/>
              <w:jc w:val="center"/>
            </w:pPr>
            <w:r>
              <w:rPr>
                <w:sz w:val="18"/>
              </w:rPr>
              <w:t>8318</w:t>
            </w:r>
          </w:p>
        </w:tc>
        <w:tc>
          <w:tcPr>
            <w:tcW w:w="720" w:type="dxa"/>
            <w:tcBorders>
              <w:top w:val="single" w:sz="4" w:space="0" w:color="000000"/>
              <w:left w:val="single" w:sz="12" w:space="0" w:color="000000"/>
              <w:bottom w:val="single" w:sz="4" w:space="0" w:color="000000"/>
              <w:right w:val="single" w:sz="12" w:space="0" w:color="000000"/>
            </w:tcBorders>
            <w:vAlign w:val="center"/>
          </w:tcPr>
          <w:p w14:paraId="171BF0F7" w14:textId="6A78EAC9" w:rsidR="00B0429D" w:rsidRDefault="00B0429D" w:rsidP="00040058">
            <w:pPr>
              <w:spacing w:after="0" w:line="240" w:lineRule="auto"/>
              <w:ind w:left="0" w:right="0" w:firstLine="0"/>
              <w:jc w:val="center"/>
            </w:pPr>
            <w:r>
              <w:rPr>
                <w:sz w:val="18"/>
              </w:rPr>
              <w:t>8321</w:t>
            </w:r>
          </w:p>
        </w:tc>
        <w:tc>
          <w:tcPr>
            <w:tcW w:w="810" w:type="dxa"/>
            <w:tcBorders>
              <w:top w:val="single" w:sz="4" w:space="0" w:color="000000"/>
              <w:left w:val="single" w:sz="12" w:space="0" w:color="000000"/>
              <w:bottom w:val="single" w:sz="4" w:space="0" w:color="000000"/>
              <w:right w:val="single" w:sz="12" w:space="0" w:color="000000"/>
            </w:tcBorders>
            <w:vAlign w:val="center"/>
          </w:tcPr>
          <w:p w14:paraId="25F7EBEE" w14:textId="3BD401C1" w:rsidR="00B0429D" w:rsidRDefault="00B0429D" w:rsidP="00040058">
            <w:pPr>
              <w:spacing w:after="0" w:line="240" w:lineRule="auto"/>
              <w:ind w:left="0" w:right="0" w:firstLine="0"/>
              <w:jc w:val="center"/>
            </w:pPr>
            <w:r>
              <w:rPr>
                <w:sz w:val="18"/>
              </w:rPr>
              <w:t>8270</w:t>
            </w:r>
          </w:p>
        </w:tc>
      </w:tr>
      <w:tr w:rsidR="00B0429D" w14:paraId="77466477" w14:textId="77777777" w:rsidTr="00DF747D">
        <w:trPr>
          <w:trHeight w:val="245"/>
        </w:trPr>
        <w:tc>
          <w:tcPr>
            <w:tcW w:w="2804" w:type="dxa"/>
            <w:tcBorders>
              <w:top w:val="single" w:sz="4" w:space="0" w:color="000000"/>
              <w:left w:val="single" w:sz="12" w:space="0" w:color="000000"/>
              <w:bottom w:val="single" w:sz="4" w:space="0" w:color="000000"/>
              <w:right w:val="single" w:sz="12" w:space="0" w:color="000000"/>
            </w:tcBorders>
            <w:vAlign w:val="center"/>
          </w:tcPr>
          <w:p w14:paraId="580A4599" w14:textId="75C17C34" w:rsidR="00B0429D" w:rsidRDefault="00B0429D" w:rsidP="002425A6">
            <w:pPr>
              <w:spacing w:after="0" w:line="240" w:lineRule="auto"/>
              <w:ind w:left="43" w:right="0" w:firstLine="0"/>
            </w:pPr>
            <w:r>
              <w:rPr>
                <w:sz w:val="18"/>
              </w:rPr>
              <w:t>Carbofuran (</w:t>
            </w:r>
            <w:proofErr w:type="spellStart"/>
            <w:r>
              <w:rPr>
                <w:i/>
                <w:sz w:val="18"/>
              </w:rPr>
              <w:t>Furadan</w:t>
            </w:r>
            <w:proofErr w:type="spellEnd"/>
            <w:r>
              <w:rPr>
                <w:i/>
                <w:sz w:val="18"/>
              </w:rPr>
              <w:t xml:space="preserve">) </w:t>
            </w:r>
          </w:p>
        </w:tc>
        <w:tc>
          <w:tcPr>
            <w:tcW w:w="1053" w:type="dxa"/>
            <w:tcBorders>
              <w:top w:val="single" w:sz="4" w:space="0" w:color="000000"/>
              <w:left w:val="single" w:sz="12" w:space="0" w:color="000000"/>
              <w:bottom w:val="single" w:sz="4" w:space="0" w:color="000000"/>
              <w:right w:val="single" w:sz="12" w:space="0" w:color="000000"/>
            </w:tcBorders>
            <w:vAlign w:val="center"/>
          </w:tcPr>
          <w:p w14:paraId="1D1CE469" w14:textId="0F2477A4" w:rsidR="00B0429D" w:rsidRDefault="00B0429D" w:rsidP="00040058">
            <w:pPr>
              <w:spacing w:after="0" w:line="240" w:lineRule="auto"/>
              <w:ind w:left="0" w:right="0" w:firstLine="0"/>
              <w:jc w:val="center"/>
            </w:pPr>
            <w:r>
              <w:rPr>
                <w:sz w:val="18"/>
              </w:rPr>
              <w:t>1563-66-2</w:t>
            </w:r>
          </w:p>
        </w:tc>
        <w:tc>
          <w:tcPr>
            <w:tcW w:w="706" w:type="dxa"/>
            <w:tcBorders>
              <w:top w:val="single" w:sz="4" w:space="0" w:color="000000"/>
              <w:left w:val="single" w:sz="12" w:space="0" w:color="000000"/>
              <w:bottom w:val="single" w:sz="4" w:space="0" w:color="000000"/>
              <w:right w:val="single" w:sz="12" w:space="0" w:color="000000"/>
            </w:tcBorders>
            <w:vAlign w:val="center"/>
          </w:tcPr>
          <w:p w14:paraId="78736436" w14:textId="7C0A46E5" w:rsidR="00B0429D" w:rsidRDefault="00B0429D" w:rsidP="00040058">
            <w:pPr>
              <w:tabs>
                <w:tab w:val="center" w:pos="415"/>
              </w:tabs>
              <w:spacing w:after="0" w:line="240" w:lineRule="auto"/>
              <w:ind w:left="0" w:right="0" w:firstLine="0"/>
              <w:jc w:val="center"/>
            </w:pPr>
            <w:r>
              <w:rPr>
                <w:sz w:val="18"/>
              </w:rPr>
              <w:t>10</w:t>
            </w:r>
          </w:p>
        </w:tc>
        <w:tc>
          <w:tcPr>
            <w:tcW w:w="702" w:type="dxa"/>
            <w:tcBorders>
              <w:top w:val="single" w:sz="4" w:space="0" w:color="000000"/>
              <w:left w:val="single" w:sz="12" w:space="0" w:color="000000"/>
              <w:bottom w:val="single" w:sz="4" w:space="0" w:color="000000"/>
              <w:right w:val="single" w:sz="12" w:space="0" w:color="000000"/>
            </w:tcBorders>
            <w:vAlign w:val="center"/>
          </w:tcPr>
          <w:p w14:paraId="7DD8642C" w14:textId="4F540FB2" w:rsidR="00B0429D" w:rsidRDefault="00B0429D" w:rsidP="00040058">
            <w:pPr>
              <w:spacing w:after="0" w:line="240" w:lineRule="auto"/>
              <w:ind w:left="0" w:right="0" w:firstLine="0"/>
              <w:jc w:val="center"/>
            </w:pPr>
            <w:r>
              <w:rPr>
                <w:sz w:val="18"/>
              </w:rPr>
              <w:t>ug/L</w:t>
            </w:r>
          </w:p>
        </w:tc>
        <w:tc>
          <w:tcPr>
            <w:tcW w:w="789" w:type="dxa"/>
            <w:tcBorders>
              <w:top w:val="single" w:sz="4" w:space="0" w:color="000000"/>
              <w:left w:val="single" w:sz="12" w:space="0" w:color="000000"/>
              <w:bottom w:val="single" w:sz="4" w:space="0" w:color="000000"/>
              <w:right w:val="single" w:sz="12" w:space="0" w:color="000000"/>
            </w:tcBorders>
            <w:vAlign w:val="center"/>
          </w:tcPr>
          <w:p w14:paraId="7187F639" w14:textId="66EAFD8C" w:rsidR="00B0429D" w:rsidRDefault="00B0429D" w:rsidP="00040058">
            <w:pPr>
              <w:spacing w:after="0" w:line="240" w:lineRule="auto"/>
              <w:ind w:left="0" w:right="0" w:firstLine="0"/>
              <w:jc w:val="center"/>
            </w:pPr>
            <w:r>
              <w:rPr>
                <w:sz w:val="18"/>
              </w:rPr>
              <w:t>660</w:t>
            </w:r>
          </w:p>
        </w:tc>
        <w:tc>
          <w:tcPr>
            <w:tcW w:w="957" w:type="dxa"/>
            <w:tcBorders>
              <w:top w:val="single" w:sz="4" w:space="0" w:color="000000"/>
              <w:left w:val="single" w:sz="12" w:space="0" w:color="000000"/>
              <w:bottom w:val="single" w:sz="4" w:space="0" w:color="000000"/>
              <w:right w:val="single" w:sz="12" w:space="0" w:color="000000"/>
            </w:tcBorders>
            <w:vAlign w:val="center"/>
          </w:tcPr>
          <w:p w14:paraId="07FDEDDC" w14:textId="104A3745" w:rsidR="00B0429D" w:rsidRDefault="00B0429D" w:rsidP="00040058">
            <w:pPr>
              <w:spacing w:after="0" w:line="240" w:lineRule="auto"/>
              <w:ind w:left="0" w:right="0" w:firstLine="0"/>
              <w:jc w:val="center"/>
            </w:pPr>
            <w:r>
              <w:rPr>
                <w:rFonts w:eastAsia="Segoe UI Symbol"/>
                <w:sz w:val="18"/>
              </w:rPr>
              <w:t>u</w:t>
            </w:r>
            <w:r>
              <w:rPr>
                <w:sz w:val="18"/>
              </w:rPr>
              <w:t>g/kg</w:t>
            </w:r>
          </w:p>
        </w:tc>
        <w:tc>
          <w:tcPr>
            <w:tcW w:w="454" w:type="dxa"/>
            <w:tcBorders>
              <w:top w:val="single" w:sz="4" w:space="0" w:color="000000"/>
              <w:left w:val="single" w:sz="12" w:space="0" w:color="000000"/>
              <w:bottom w:val="single" w:sz="4" w:space="0" w:color="000000"/>
              <w:right w:val="single" w:sz="12" w:space="0" w:color="000000"/>
            </w:tcBorders>
            <w:vAlign w:val="center"/>
          </w:tcPr>
          <w:p w14:paraId="339ABBDB" w14:textId="600DD48D" w:rsidR="00B0429D" w:rsidRDefault="00B0429D" w:rsidP="00040058">
            <w:pPr>
              <w:spacing w:after="0" w:line="240" w:lineRule="auto"/>
              <w:ind w:left="0" w:right="0" w:firstLine="0"/>
              <w:jc w:val="center"/>
            </w:pPr>
            <w:r>
              <w:rPr>
                <w:sz w:val="18"/>
              </w:rPr>
              <w:t>X</w:t>
            </w:r>
          </w:p>
        </w:tc>
        <w:tc>
          <w:tcPr>
            <w:tcW w:w="445" w:type="dxa"/>
            <w:tcBorders>
              <w:top w:val="single" w:sz="4" w:space="0" w:color="000000"/>
              <w:left w:val="single" w:sz="12" w:space="0" w:color="000000"/>
              <w:bottom w:val="single" w:sz="4" w:space="0" w:color="000000"/>
              <w:right w:val="single" w:sz="12" w:space="0" w:color="000000"/>
            </w:tcBorders>
            <w:vAlign w:val="center"/>
          </w:tcPr>
          <w:p w14:paraId="52259D78" w14:textId="0DA00642" w:rsidR="00B0429D" w:rsidRDefault="00B0429D" w:rsidP="00040058">
            <w:pPr>
              <w:spacing w:after="0" w:line="240" w:lineRule="auto"/>
              <w:ind w:left="0" w:right="0" w:firstLine="0"/>
              <w:jc w:val="center"/>
            </w:pPr>
          </w:p>
        </w:tc>
        <w:tc>
          <w:tcPr>
            <w:tcW w:w="431" w:type="dxa"/>
            <w:tcBorders>
              <w:top w:val="single" w:sz="4" w:space="0" w:color="000000"/>
              <w:left w:val="single" w:sz="12" w:space="0" w:color="000000"/>
              <w:bottom w:val="single" w:sz="4" w:space="0" w:color="000000"/>
              <w:right w:val="single" w:sz="12" w:space="0" w:color="000000"/>
            </w:tcBorders>
            <w:vAlign w:val="center"/>
          </w:tcPr>
          <w:p w14:paraId="0816E76E" w14:textId="4F1CCE12" w:rsidR="00B0429D" w:rsidRDefault="00B0429D" w:rsidP="00040058">
            <w:pPr>
              <w:spacing w:after="0" w:line="240" w:lineRule="auto"/>
              <w:ind w:left="0" w:right="0" w:firstLine="0"/>
              <w:jc w:val="center"/>
            </w:pPr>
          </w:p>
        </w:tc>
        <w:tc>
          <w:tcPr>
            <w:tcW w:w="749" w:type="dxa"/>
            <w:tcBorders>
              <w:top w:val="single" w:sz="4" w:space="0" w:color="000000"/>
              <w:left w:val="single" w:sz="12" w:space="0" w:color="000000"/>
              <w:bottom w:val="single" w:sz="4" w:space="0" w:color="000000"/>
              <w:right w:val="single" w:sz="12" w:space="0" w:color="000000"/>
            </w:tcBorders>
            <w:vAlign w:val="center"/>
          </w:tcPr>
          <w:p w14:paraId="71B90A79" w14:textId="1F1A55F1" w:rsidR="00B0429D" w:rsidRDefault="00B0429D" w:rsidP="00040058">
            <w:pPr>
              <w:spacing w:after="0" w:line="240" w:lineRule="auto"/>
              <w:ind w:left="0" w:right="0" w:firstLine="0"/>
              <w:jc w:val="center"/>
            </w:pPr>
            <w:r>
              <w:rPr>
                <w:sz w:val="18"/>
              </w:rPr>
              <w:t>8318</w:t>
            </w:r>
          </w:p>
        </w:tc>
        <w:tc>
          <w:tcPr>
            <w:tcW w:w="720" w:type="dxa"/>
            <w:tcBorders>
              <w:top w:val="single" w:sz="4" w:space="0" w:color="000000"/>
              <w:left w:val="single" w:sz="12" w:space="0" w:color="000000"/>
              <w:bottom w:val="single" w:sz="4" w:space="0" w:color="000000"/>
              <w:right w:val="single" w:sz="12" w:space="0" w:color="000000"/>
            </w:tcBorders>
            <w:vAlign w:val="center"/>
          </w:tcPr>
          <w:p w14:paraId="62D3C7E7" w14:textId="505FCA61" w:rsidR="00B0429D" w:rsidRDefault="00B0429D" w:rsidP="00040058">
            <w:pPr>
              <w:spacing w:after="0" w:line="240" w:lineRule="auto"/>
              <w:ind w:left="0" w:right="0" w:firstLine="0"/>
              <w:jc w:val="center"/>
            </w:pPr>
            <w:r>
              <w:rPr>
                <w:sz w:val="18"/>
              </w:rPr>
              <w:t>8321</w:t>
            </w:r>
          </w:p>
        </w:tc>
        <w:tc>
          <w:tcPr>
            <w:tcW w:w="810" w:type="dxa"/>
            <w:tcBorders>
              <w:top w:val="single" w:sz="4" w:space="0" w:color="000000"/>
              <w:left w:val="single" w:sz="12" w:space="0" w:color="000000"/>
              <w:bottom w:val="single" w:sz="4" w:space="0" w:color="000000"/>
              <w:right w:val="single" w:sz="12" w:space="0" w:color="000000"/>
            </w:tcBorders>
            <w:vAlign w:val="center"/>
          </w:tcPr>
          <w:p w14:paraId="71A8E42C" w14:textId="05E3BE30" w:rsidR="00B0429D" w:rsidRDefault="00B0429D" w:rsidP="00040058">
            <w:pPr>
              <w:spacing w:after="0" w:line="240" w:lineRule="auto"/>
              <w:ind w:left="0" w:right="0" w:firstLine="0"/>
              <w:jc w:val="center"/>
            </w:pPr>
            <w:r>
              <w:rPr>
                <w:sz w:val="18"/>
              </w:rPr>
              <w:t>8270</w:t>
            </w:r>
          </w:p>
        </w:tc>
      </w:tr>
      <w:tr w:rsidR="00B0429D" w14:paraId="7D491814" w14:textId="77777777" w:rsidTr="00DF747D">
        <w:trPr>
          <w:trHeight w:val="245"/>
        </w:trPr>
        <w:tc>
          <w:tcPr>
            <w:tcW w:w="2804" w:type="dxa"/>
            <w:tcBorders>
              <w:top w:val="single" w:sz="4" w:space="0" w:color="000000"/>
              <w:left w:val="single" w:sz="12" w:space="0" w:color="000000"/>
              <w:bottom w:val="single" w:sz="4" w:space="0" w:color="000000"/>
              <w:right w:val="single" w:sz="12" w:space="0" w:color="000000"/>
            </w:tcBorders>
            <w:vAlign w:val="center"/>
          </w:tcPr>
          <w:p w14:paraId="62892C6E" w14:textId="77777777" w:rsidR="00B0429D" w:rsidRDefault="00B0429D" w:rsidP="002425A6">
            <w:pPr>
              <w:spacing w:after="0" w:line="240" w:lineRule="auto"/>
              <w:ind w:left="43" w:right="0" w:firstLine="0"/>
            </w:pPr>
            <w:r>
              <w:rPr>
                <w:sz w:val="18"/>
              </w:rPr>
              <w:t>m-</w:t>
            </w:r>
            <w:proofErr w:type="spellStart"/>
            <w:r>
              <w:rPr>
                <w:sz w:val="18"/>
              </w:rPr>
              <w:t>Cumenyl</w:t>
            </w:r>
            <w:proofErr w:type="spellEnd"/>
            <w:r>
              <w:rPr>
                <w:sz w:val="18"/>
              </w:rPr>
              <w:t xml:space="preserve"> methylcarbamate </w:t>
            </w:r>
          </w:p>
        </w:tc>
        <w:tc>
          <w:tcPr>
            <w:tcW w:w="1053" w:type="dxa"/>
            <w:tcBorders>
              <w:top w:val="single" w:sz="4" w:space="0" w:color="000000"/>
              <w:left w:val="single" w:sz="12" w:space="0" w:color="000000"/>
              <w:bottom w:val="single" w:sz="4" w:space="0" w:color="000000"/>
              <w:right w:val="single" w:sz="12" w:space="0" w:color="000000"/>
            </w:tcBorders>
            <w:vAlign w:val="center"/>
          </w:tcPr>
          <w:p w14:paraId="437A53E6" w14:textId="1C2F5BC4" w:rsidR="00B0429D" w:rsidRDefault="00B0429D" w:rsidP="00040058">
            <w:pPr>
              <w:spacing w:after="0" w:line="240" w:lineRule="auto"/>
              <w:ind w:left="0" w:right="0" w:firstLine="0"/>
              <w:jc w:val="center"/>
            </w:pPr>
            <w:r>
              <w:rPr>
                <w:sz w:val="18"/>
              </w:rPr>
              <w:t>64-00-6</w:t>
            </w:r>
          </w:p>
        </w:tc>
        <w:tc>
          <w:tcPr>
            <w:tcW w:w="706" w:type="dxa"/>
            <w:tcBorders>
              <w:top w:val="single" w:sz="4" w:space="0" w:color="000000"/>
              <w:left w:val="single" w:sz="12" w:space="0" w:color="000000"/>
              <w:bottom w:val="single" w:sz="4" w:space="0" w:color="000000"/>
              <w:right w:val="single" w:sz="12" w:space="0" w:color="000000"/>
            </w:tcBorders>
            <w:vAlign w:val="center"/>
          </w:tcPr>
          <w:p w14:paraId="46F17386" w14:textId="3661A83C" w:rsidR="00B0429D" w:rsidRDefault="00B0429D" w:rsidP="00040058">
            <w:pPr>
              <w:tabs>
                <w:tab w:val="center" w:pos="369"/>
              </w:tabs>
              <w:spacing w:after="0" w:line="240" w:lineRule="auto"/>
              <w:ind w:left="0" w:right="0" w:firstLine="0"/>
              <w:jc w:val="center"/>
            </w:pPr>
            <w:r>
              <w:rPr>
                <w:sz w:val="18"/>
              </w:rPr>
              <w:t>100</w:t>
            </w:r>
          </w:p>
        </w:tc>
        <w:tc>
          <w:tcPr>
            <w:tcW w:w="702" w:type="dxa"/>
            <w:tcBorders>
              <w:top w:val="single" w:sz="4" w:space="0" w:color="000000"/>
              <w:left w:val="single" w:sz="12" w:space="0" w:color="000000"/>
              <w:bottom w:val="single" w:sz="4" w:space="0" w:color="000000"/>
              <w:right w:val="single" w:sz="12" w:space="0" w:color="000000"/>
            </w:tcBorders>
            <w:vAlign w:val="center"/>
          </w:tcPr>
          <w:p w14:paraId="37E9B4C5" w14:textId="0D03EDD7" w:rsidR="00B0429D" w:rsidRDefault="00B0429D" w:rsidP="00040058">
            <w:pPr>
              <w:spacing w:after="0" w:line="240" w:lineRule="auto"/>
              <w:ind w:left="0" w:right="0" w:firstLine="0"/>
              <w:jc w:val="center"/>
            </w:pPr>
            <w:r>
              <w:rPr>
                <w:sz w:val="18"/>
              </w:rPr>
              <w:t>ug/L</w:t>
            </w:r>
          </w:p>
        </w:tc>
        <w:tc>
          <w:tcPr>
            <w:tcW w:w="789" w:type="dxa"/>
            <w:tcBorders>
              <w:top w:val="single" w:sz="4" w:space="0" w:color="000000"/>
              <w:left w:val="single" w:sz="12" w:space="0" w:color="000000"/>
              <w:bottom w:val="single" w:sz="4" w:space="0" w:color="000000"/>
              <w:right w:val="single" w:sz="12" w:space="0" w:color="000000"/>
            </w:tcBorders>
            <w:vAlign w:val="center"/>
          </w:tcPr>
          <w:p w14:paraId="1BC8C249" w14:textId="3EA192F2" w:rsidR="00B0429D" w:rsidRDefault="00B0429D" w:rsidP="00040058">
            <w:pPr>
              <w:spacing w:after="0" w:line="240" w:lineRule="auto"/>
              <w:ind w:left="0" w:right="0" w:firstLine="0"/>
              <w:jc w:val="center"/>
            </w:pPr>
            <w:r>
              <w:rPr>
                <w:sz w:val="18"/>
              </w:rPr>
              <w:t>6600</w:t>
            </w:r>
          </w:p>
        </w:tc>
        <w:tc>
          <w:tcPr>
            <w:tcW w:w="957" w:type="dxa"/>
            <w:tcBorders>
              <w:top w:val="single" w:sz="4" w:space="0" w:color="000000"/>
              <w:left w:val="single" w:sz="12" w:space="0" w:color="000000"/>
              <w:bottom w:val="single" w:sz="4" w:space="0" w:color="000000"/>
              <w:right w:val="single" w:sz="12" w:space="0" w:color="000000"/>
            </w:tcBorders>
            <w:vAlign w:val="center"/>
          </w:tcPr>
          <w:p w14:paraId="7FD22064" w14:textId="062964B6" w:rsidR="00B0429D" w:rsidRDefault="00B0429D" w:rsidP="00040058">
            <w:pPr>
              <w:spacing w:after="0" w:line="240" w:lineRule="auto"/>
              <w:ind w:left="0" w:right="0" w:firstLine="0"/>
              <w:jc w:val="center"/>
            </w:pPr>
            <w:r>
              <w:rPr>
                <w:rFonts w:eastAsia="Segoe UI Symbol"/>
                <w:sz w:val="18"/>
              </w:rPr>
              <w:t>u</w:t>
            </w:r>
            <w:r>
              <w:rPr>
                <w:sz w:val="18"/>
              </w:rPr>
              <w:t>g/kg</w:t>
            </w:r>
          </w:p>
        </w:tc>
        <w:tc>
          <w:tcPr>
            <w:tcW w:w="454" w:type="dxa"/>
            <w:tcBorders>
              <w:top w:val="single" w:sz="4" w:space="0" w:color="000000"/>
              <w:left w:val="single" w:sz="12" w:space="0" w:color="000000"/>
              <w:bottom w:val="single" w:sz="4" w:space="0" w:color="000000"/>
              <w:right w:val="single" w:sz="12" w:space="0" w:color="000000"/>
            </w:tcBorders>
            <w:vAlign w:val="center"/>
          </w:tcPr>
          <w:p w14:paraId="3B318D2C" w14:textId="6AC7FFA2" w:rsidR="00B0429D" w:rsidRDefault="00B0429D" w:rsidP="00040058">
            <w:pPr>
              <w:spacing w:after="0" w:line="240" w:lineRule="auto"/>
              <w:ind w:left="0" w:right="0" w:firstLine="0"/>
              <w:jc w:val="center"/>
            </w:pPr>
            <w:r>
              <w:rPr>
                <w:sz w:val="18"/>
              </w:rPr>
              <w:t>X</w:t>
            </w:r>
          </w:p>
        </w:tc>
        <w:tc>
          <w:tcPr>
            <w:tcW w:w="445" w:type="dxa"/>
            <w:tcBorders>
              <w:top w:val="single" w:sz="4" w:space="0" w:color="000000"/>
              <w:left w:val="single" w:sz="12" w:space="0" w:color="000000"/>
              <w:bottom w:val="single" w:sz="4" w:space="0" w:color="000000"/>
              <w:right w:val="single" w:sz="12" w:space="0" w:color="000000"/>
            </w:tcBorders>
            <w:vAlign w:val="center"/>
          </w:tcPr>
          <w:p w14:paraId="770199BD" w14:textId="15A6E257" w:rsidR="00B0429D" w:rsidRDefault="00B0429D" w:rsidP="00040058">
            <w:pPr>
              <w:spacing w:after="0" w:line="240" w:lineRule="auto"/>
              <w:ind w:left="0" w:right="0" w:firstLine="0"/>
              <w:jc w:val="center"/>
            </w:pPr>
          </w:p>
        </w:tc>
        <w:tc>
          <w:tcPr>
            <w:tcW w:w="431" w:type="dxa"/>
            <w:tcBorders>
              <w:top w:val="single" w:sz="4" w:space="0" w:color="000000"/>
              <w:left w:val="single" w:sz="12" w:space="0" w:color="000000"/>
              <w:bottom w:val="single" w:sz="4" w:space="0" w:color="000000"/>
              <w:right w:val="single" w:sz="12" w:space="0" w:color="000000"/>
            </w:tcBorders>
            <w:vAlign w:val="center"/>
          </w:tcPr>
          <w:p w14:paraId="1373CFD0" w14:textId="3E45DA14" w:rsidR="00B0429D" w:rsidRDefault="00B0429D" w:rsidP="00040058">
            <w:pPr>
              <w:spacing w:after="0" w:line="240" w:lineRule="auto"/>
              <w:ind w:left="0" w:right="0" w:firstLine="0"/>
              <w:jc w:val="center"/>
            </w:pPr>
          </w:p>
        </w:tc>
        <w:tc>
          <w:tcPr>
            <w:tcW w:w="749" w:type="dxa"/>
            <w:tcBorders>
              <w:top w:val="single" w:sz="4" w:space="0" w:color="000000"/>
              <w:left w:val="single" w:sz="12" w:space="0" w:color="000000"/>
              <w:bottom w:val="single" w:sz="4" w:space="0" w:color="000000"/>
              <w:right w:val="single" w:sz="12" w:space="0" w:color="000000"/>
            </w:tcBorders>
            <w:vAlign w:val="center"/>
          </w:tcPr>
          <w:p w14:paraId="5CF8249E" w14:textId="18CC0D21" w:rsidR="00B0429D" w:rsidRDefault="00B0429D" w:rsidP="00040058">
            <w:pPr>
              <w:spacing w:after="0" w:line="240" w:lineRule="auto"/>
              <w:ind w:left="0" w:right="0" w:firstLine="0"/>
              <w:jc w:val="center"/>
            </w:pPr>
            <w:r>
              <w:rPr>
                <w:sz w:val="18"/>
              </w:rPr>
              <w:t>8318</w:t>
            </w:r>
          </w:p>
        </w:tc>
        <w:tc>
          <w:tcPr>
            <w:tcW w:w="720" w:type="dxa"/>
            <w:tcBorders>
              <w:top w:val="single" w:sz="4" w:space="0" w:color="000000"/>
              <w:left w:val="single" w:sz="12" w:space="0" w:color="000000"/>
              <w:bottom w:val="single" w:sz="4" w:space="0" w:color="000000"/>
              <w:right w:val="single" w:sz="12" w:space="0" w:color="000000"/>
            </w:tcBorders>
            <w:vAlign w:val="center"/>
          </w:tcPr>
          <w:p w14:paraId="36A1BB3C" w14:textId="672078FD" w:rsidR="00B0429D" w:rsidRDefault="00B0429D" w:rsidP="00040058">
            <w:pPr>
              <w:spacing w:after="0" w:line="240" w:lineRule="auto"/>
              <w:ind w:left="0" w:right="0" w:firstLine="0"/>
              <w:jc w:val="center"/>
            </w:pPr>
          </w:p>
        </w:tc>
        <w:tc>
          <w:tcPr>
            <w:tcW w:w="810" w:type="dxa"/>
            <w:tcBorders>
              <w:top w:val="single" w:sz="4" w:space="0" w:color="000000"/>
              <w:left w:val="single" w:sz="12" w:space="0" w:color="000000"/>
              <w:bottom w:val="single" w:sz="4" w:space="0" w:color="000000"/>
              <w:right w:val="single" w:sz="12" w:space="0" w:color="000000"/>
            </w:tcBorders>
            <w:vAlign w:val="center"/>
          </w:tcPr>
          <w:p w14:paraId="7598AD9B" w14:textId="63CE5F1E" w:rsidR="00B0429D" w:rsidRDefault="00B0429D" w:rsidP="00040058">
            <w:pPr>
              <w:spacing w:after="0" w:line="240" w:lineRule="auto"/>
              <w:ind w:left="0" w:right="0" w:firstLine="0"/>
              <w:jc w:val="center"/>
            </w:pPr>
          </w:p>
        </w:tc>
      </w:tr>
      <w:tr w:rsidR="00B0429D" w14:paraId="261E2E6F" w14:textId="77777777" w:rsidTr="00DF747D">
        <w:trPr>
          <w:trHeight w:val="245"/>
        </w:trPr>
        <w:tc>
          <w:tcPr>
            <w:tcW w:w="2804" w:type="dxa"/>
            <w:tcBorders>
              <w:top w:val="single" w:sz="4" w:space="0" w:color="000000"/>
              <w:left w:val="single" w:sz="12" w:space="0" w:color="000000"/>
              <w:bottom w:val="single" w:sz="4" w:space="0" w:color="000000"/>
              <w:right w:val="single" w:sz="12" w:space="0" w:color="000000"/>
            </w:tcBorders>
            <w:vAlign w:val="center"/>
          </w:tcPr>
          <w:p w14:paraId="782DB25F" w14:textId="77777777" w:rsidR="00B0429D" w:rsidRDefault="00B0429D" w:rsidP="002425A6">
            <w:pPr>
              <w:spacing w:after="0" w:line="240" w:lineRule="auto"/>
              <w:ind w:left="43" w:right="0" w:firstLine="0"/>
            </w:pPr>
            <w:proofErr w:type="spellStart"/>
            <w:r>
              <w:rPr>
                <w:sz w:val="18"/>
              </w:rPr>
              <w:t>Dioxacarb</w:t>
            </w:r>
            <w:proofErr w:type="spellEnd"/>
            <w:r>
              <w:rPr>
                <w:sz w:val="18"/>
              </w:rPr>
              <w:t xml:space="preserve"> </w:t>
            </w:r>
          </w:p>
        </w:tc>
        <w:tc>
          <w:tcPr>
            <w:tcW w:w="1053" w:type="dxa"/>
            <w:tcBorders>
              <w:top w:val="single" w:sz="4" w:space="0" w:color="000000"/>
              <w:left w:val="single" w:sz="12" w:space="0" w:color="000000"/>
              <w:bottom w:val="single" w:sz="4" w:space="0" w:color="000000"/>
              <w:right w:val="single" w:sz="12" w:space="0" w:color="000000"/>
            </w:tcBorders>
            <w:vAlign w:val="center"/>
          </w:tcPr>
          <w:p w14:paraId="0C20D123" w14:textId="5FE01F34" w:rsidR="00B0429D" w:rsidRDefault="00B0429D" w:rsidP="00040058">
            <w:pPr>
              <w:spacing w:after="0" w:line="240" w:lineRule="auto"/>
              <w:ind w:left="0" w:right="0" w:firstLine="0"/>
              <w:jc w:val="center"/>
            </w:pPr>
            <w:r>
              <w:rPr>
                <w:sz w:val="18"/>
              </w:rPr>
              <w:t>6988-21-2</w:t>
            </w:r>
          </w:p>
        </w:tc>
        <w:tc>
          <w:tcPr>
            <w:tcW w:w="706" w:type="dxa"/>
            <w:tcBorders>
              <w:top w:val="single" w:sz="4" w:space="0" w:color="000000"/>
              <w:left w:val="single" w:sz="12" w:space="0" w:color="000000"/>
              <w:bottom w:val="single" w:sz="4" w:space="0" w:color="000000"/>
              <w:right w:val="single" w:sz="12" w:space="0" w:color="000000"/>
            </w:tcBorders>
            <w:vAlign w:val="center"/>
          </w:tcPr>
          <w:p w14:paraId="6203F179" w14:textId="505D884C" w:rsidR="00B0429D" w:rsidRDefault="00B0429D" w:rsidP="00040058">
            <w:pPr>
              <w:tabs>
                <w:tab w:val="center" w:pos="415"/>
              </w:tabs>
              <w:spacing w:after="0" w:line="240" w:lineRule="auto"/>
              <w:ind w:left="0" w:right="0" w:firstLine="0"/>
              <w:jc w:val="center"/>
            </w:pPr>
            <w:r>
              <w:rPr>
                <w:sz w:val="18"/>
              </w:rPr>
              <w:t>20</w:t>
            </w:r>
          </w:p>
        </w:tc>
        <w:tc>
          <w:tcPr>
            <w:tcW w:w="702" w:type="dxa"/>
            <w:tcBorders>
              <w:top w:val="single" w:sz="4" w:space="0" w:color="000000"/>
              <w:left w:val="single" w:sz="12" w:space="0" w:color="000000"/>
              <w:bottom w:val="single" w:sz="4" w:space="0" w:color="000000"/>
              <w:right w:val="single" w:sz="12" w:space="0" w:color="000000"/>
            </w:tcBorders>
            <w:vAlign w:val="center"/>
          </w:tcPr>
          <w:p w14:paraId="4C538CEB" w14:textId="7F240099" w:rsidR="00B0429D" w:rsidRDefault="00B0429D" w:rsidP="00040058">
            <w:pPr>
              <w:spacing w:after="0" w:line="240" w:lineRule="auto"/>
              <w:ind w:left="0" w:right="0" w:firstLine="0"/>
              <w:jc w:val="center"/>
            </w:pPr>
            <w:r>
              <w:rPr>
                <w:sz w:val="18"/>
              </w:rPr>
              <w:t>ug/L</w:t>
            </w:r>
          </w:p>
        </w:tc>
        <w:tc>
          <w:tcPr>
            <w:tcW w:w="789" w:type="dxa"/>
            <w:tcBorders>
              <w:top w:val="single" w:sz="4" w:space="0" w:color="000000"/>
              <w:left w:val="single" w:sz="12" w:space="0" w:color="000000"/>
              <w:bottom w:val="single" w:sz="4" w:space="0" w:color="000000"/>
              <w:right w:val="single" w:sz="12" w:space="0" w:color="000000"/>
            </w:tcBorders>
            <w:vAlign w:val="center"/>
          </w:tcPr>
          <w:p w14:paraId="3C51E4AB" w14:textId="2337F3B5" w:rsidR="00B0429D" w:rsidRDefault="00B0429D" w:rsidP="00040058">
            <w:pPr>
              <w:spacing w:after="0" w:line="240" w:lineRule="auto"/>
              <w:ind w:left="0" w:right="0" w:firstLine="0"/>
              <w:jc w:val="center"/>
            </w:pPr>
            <w:r>
              <w:rPr>
                <w:sz w:val="18"/>
              </w:rPr>
              <w:t>1300</w:t>
            </w:r>
          </w:p>
        </w:tc>
        <w:tc>
          <w:tcPr>
            <w:tcW w:w="957" w:type="dxa"/>
            <w:tcBorders>
              <w:top w:val="single" w:sz="4" w:space="0" w:color="000000"/>
              <w:left w:val="single" w:sz="12" w:space="0" w:color="000000"/>
              <w:bottom w:val="single" w:sz="4" w:space="0" w:color="000000"/>
              <w:right w:val="single" w:sz="12" w:space="0" w:color="000000"/>
            </w:tcBorders>
            <w:vAlign w:val="center"/>
          </w:tcPr>
          <w:p w14:paraId="2CBE5109" w14:textId="7D094E57" w:rsidR="00B0429D" w:rsidRDefault="00B0429D" w:rsidP="00040058">
            <w:pPr>
              <w:spacing w:after="0" w:line="240" w:lineRule="auto"/>
              <w:ind w:left="0" w:right="0" w:firstLine="0"/>
              <w:jc w:val="center"/>
            </w:pPr>
            <w:r>
              <w:rPr>
                <w:rFonts w:eastAsia="Segoe UI Symbol"/>
                <w:sz w:val="18"/>
              </w:rPr>
              <w:t>u</w:t>
            </w:r>
            <w:r>
              <w:rPr>
                <w:sz w:val="18"/>
              </w:rPr>
              <w:t>g/kg</w:t>
            </w:r>
          </w:p>
        </w:tc>
        <w:tc>
          <w:tcPr>
            <w:tcW w:w="454" w:type="dxa"/>
            <w:tcBorders>
              <w:top w:val="single" w:sz="4" w:space="0" w:color="000000"/>
              <w:left w:val="single" w:sz="12" w:space="0" w:color="000000"/>
              <w:bottom w:val="single" w:sz="4" w:space="0" w:color="000000"/>
              <w:right w:val="single" w:sz="12" w:space="0" w:color="000000"/>
            </w:tcBorders>
            <w:vAlign w:val="center"/>
          </w:tcPr>
          <w:p w14:paraId="1C3782BD" w14:textId="348D1FA0" w:rsidR="00B0429D" w:rsidRDefault="00B0429D" w:rsidP="00040058">
            <w:pPr>
              <w:spacing w:after="0" w:line="240" w:lineRule="auto"/>
              <w:ind w:left="0" w:right="0" w:firstLine="0"/>
              <w:jc w:val="center"/>
            </w:pPr>
          </w:p>
        </w:tc>
        <w:tc>
          <w:tcPr>
            <w:tcW w:w="445" w:type="dxa"/>
            <w:tcBorders>
              <w:top w:val="single" w:sz="4" w:space="0" w:color="000000"/>
              <w:left w:val="single" w:sz="12" w:space="0" w:color="000000"/>
              <w:bottom w:val="single" w:sz="4" w:space="0" w:color="000000"/>
              <w:right w:val="single" w:sz="12" w:space="0" w:color="000000"/>
            </w:tcBorders>
            <w:vAlign w:val="center"/>
          </w:tcPr>
          <w:p w14:paraId="189F568B" w14:textId="250311CC" w:rsidR="00B0429D" w:rsidRDefault="00B0429D" w:rsidP="00040058">
            <w:pPr>
              <w:spacing w:after="0" w:line="240" w:lineRule="auto"/>
              <w:ind w:left="0" w:right="0" w:firstLine="0"/>
              <w:jc w:val="center"/>
            </w:pPr>
          </w:p>
        </w:tc>
        <w:tc>
          <w:tcPr>
            <w:tcW w:w="431" w:type="dxa"/>
            <w:tcBorders>
              <w:top w:val="single" w:sz="4" w:space="0" w:color="000000"/>
              <w:left w:val="single" w:sz="12" w:space="0" w:color="000000"/>
              <w:bottom w:val="single" w:sz="4" w:space="0" w:color="000000"/>
              <w:right w:val="single" w:sz="12" w:space="0" w:color="000000"/>
            </w:tcBorders>
            <w:vAlign w:val="center"/>
          </w:tcPr>
          <w:p w14:paraId="33C7C9B8" w14:textId="01CE7C54" w:rsidR="00B0429D" w:rsidRDefault="00B0429D" w:rsidP="00040058">
            <w:pPr>
              <w:spacing w:after="0" w:line="240" w:lineRule="auto"/>
              <w:ind w:left="0" w:right="0" w:firstLine="0"/>
              <w:jc w:val="center"/>
            </w:pPr>
          </w:p>
        </w:tc>
        <w:tc>
          <w:tcPr>
            <w:tcW w:w="749" w:type="dxa"/>
            <w:tcBorders>
              <w:top w:val="single" w:sz="4" w:space="0" w:color="000000"/>
              <w:left w:val="single" w:sz="12" w:space="0" w:color="000000"/>
              <w:bottom w:val="single" w:sz="4" w:space="0" w:color="000000"/>
              <w:right w:val="single" w:sz="12" w:space="0" w:color="000000"/>
            </w:tcBorders>
            <w:vAlign w:val="center"/>
          </w:tcPr>
          <w:p w14:paraId="12926CAA" w14:textId="69846559" w:rsidR="00B0429D" w:rsidRDefault="00B0429D" w:rsidP="00040058">
            <w:pPr>
              <w:spacing w:after="0" w:line="240" w:lineRule="auto"/>
              <w:ind w:left="0" w:right="0" w:firstLine="0"/>
              <w:jc w:val="center"/>
            </w:pPr>
            <w:r>
              <w:rPr>
                <w:sz w:val="18"/>
              </w:rPr>
              <w:t>8318</w:t>
            </w:r>
          </w:p>
        </w:tc>
        <w:tc>
          <w:tcPr>
            <w:tcW w:w="720" w:type="dxa"/>
            <w:tcBorders>
              <w:top w:val="single" w:sz="4" w:space="0" w:color="000000"/>
              <w:left w:val="single" w:sz="12" w:space="0" w:color="000000"/>
              <w:bottom w:val="single" w:sz="4" w:space="0" w:color="000000"/>
              <w:right w:val="single" w:sz="12" w:space="0" w:color="000000"/>
            </w:tcBorders>
            <w:vAlign w:val="center"/>
          </w:tcPr>
          <w:p w14:paraId="165F80EA" w14:textId="17310870" w:rsidR="00B0429D" w:rsidRDefault="00B0429D" w:rsidP="00040058">
            <w:pPr>
              <w:spacing w:after="0" w:line="240" w:lineRule="auto"/>
              <w:ind w:left="0" w:right="0" w:firstLine="0"/>
              <w:jc w:val="center"/>
            </w:pPr>
          </w:p>
        </w:tc>
        <w:tc>
          <w:tcPr>
            <w:tcW w:w="810" w:type="dxa"/>
            <w:tcBorders>
              <w:top w:val="single" w:sz="4" w:space="0" w:color="000000"/>
              <w:left w:val="single" w:sz="12" w:space="0" w:color="000000"/>
              <w:bottom w:val="single" w:sz="4" w:space="0" w:color="000000"/>
              <w:right w:val="single" w:sz="12" w:space="0" w:color="000000"/>
            </w:tcBorders>
            <w:vAlign w:val="center"/>
          </w:tcPr>
          <w:p w14:paraId="68E14B99" w14:textId="4F1D79E4" w:rsidR="00B0429D" w:rsidRDefault="00B0429D" w:rsidP="00040058">
            <w:pPr>
              <w:spacing w:after="0" w:line="240" w:lineRule="auto"/>
              <w:ind w:left="0" w:right="0" w:firstLine="0"/>
              <w:jc w:val="center"/>
            </w:pPr>
          </w:p>
        </w:tc>
      </w:tr>
      <w:tr w:rsidR="00B0429D" w14:paraId="6A9649B5" w14:textId="77777777" w:rsidTr="00DF747D">
        <w:trPr>
          <w:trHeight w:val="245"/>
        </w:trPr>
        <w:tc>
          <w:tcPr>
            <w:tcW w:w="2804" w:type="dxa"/>
            <w:tcBorders>
              <w:top w:val="single" w:sz="4" w:space="0" w:color="000000"/>
              <w:left w:val="single" w:sz="12" w:space="0" w:color="000000"/>
              <w:bottom w:val="single" w:sz="4" w:space="0" w:color="000000"/>
              <w:right w:val="single" w:sz="12" w:space="0" w:color="000000"/>
            </w:tcBorders>
            <w:vAlign w:val="center"/>
          </w:tcPr>
          <w:p w14:paraId="6EE829D8" w14:textId="77777777" w:rsidR="00B0429D" w:rsidRDefault="00B0429D" w:rsidP="002425A6">
            <w:pPr>
              <w:spacing w:after="0" w:line="240" w:lineRule="auto"/>
              <w:ind w:left="43" w:right="0" w:firstLine="0"/>
            </w:pPr>
            <w:proofErr w:type="spellStart"/>
            <w:r>
              <w:rPr>
                <w:sz w:val="18"/>
              </w:rPr>
              <w:t>Formetanate</w:t>
            </w:r>
            <w:proofErr w:type="spellEnd"/>
            <w:r>
              <w:rPr>
                <w:sz w:val="18"/>
              </w:rPr>
              <w:t xml:space="preserve"> hydrochloride </w:t>
            </w:r>
          </w:p>
        </w:tc>
        <w:tc>
          <w:tcPr>
            <w:tcW w:w="1053" w:type="dxa"/>
            <w:tcBorders>
              <w:top w:val="single" w:sz="4" w:space="0" w:color="000000"/>
              <w:left w:val="single" w:sz="12" w:space="0" w:color="000000"/>
              <w:bottom w:val="single" w:sz="4" w:space="0" w:color="000000"/>
              <w:right w:val="single" w:sz="12" w:space="0" w:color="000000"/>
            </w:tcBorders>
            <w:vAlign w:val="center"/>
          </w:tcPr>
          <w:p w14:paraId="5B9A3549" w14:textId="656ACE19" w:rsidR="00B0429D" w:rsidRDefault="00B0429D" w:rsidP="00040058">
            <w:pPr>
              <w:spacing w:after="0" w:line="240" w:lineRule="auto"/>
              <w:ind w:left="0" w:right="0" w:firstLine="0"/>
              <w:jc w:val="center"/>
            </w:pPr>
            <w:r>
              <w:rPr>
                <w:sz w:val="18"/>
              </w:rPr>
              <w:t>23422-53-9</w:t>
            </w:r>
          </w:p>
        </w:tc>
        <w:tc>
          <w:tcPr>
            <w:tcW w:w="706" w:type="dxa"/>
            <w:tcBorders>
              <w:top w:val="single" w:sz="4" w:space="0" w:color="000000"/>
              <w:left w:val="single" w:sz="12" w:space="0" w:color="000000"/>
              <w:bottom w:val="single" w:sz="4" w:space="0" w:color="000000"/>
              <w:right w:val="single" w:sz="12" w:space="0" w:color="000000"/>
            </w:tcBorders>
            <w:vAlign w:val="center"/>
          </w:tcPr>
          <w:p w14:paraId="45FB0810" w14:textId="2A33E590" w:rsidR="00B0429D" w:rsidRDefault="00B0429D" w:rsidP="00040058">
            <w:pPr>
              <w:tabs>
                <w:tab w:val="center" w:pos="415"/>
              </w:tabs>
              <w:spacing w:after="0" w:line="240" w:lineRule="auto"/>
              <w:ind w:left="0" w:right="0" w:firstLine="0"/>
              <w:jc w:val="center"/>
            </w:pPr>
            <w:r>
              <w:rPr>
                <w:sz w:val="18"/>
              </w:rPr>
              <w:t>20</w:t>
            </w:r>
          </w:p>
        </w:tc>
        <w:tc>
          <w:tcPr>
            <w:tcW w:w="702" w:type="dxa"/>
            <w:tcBorders>
              <w:top w:val="single" w:sz="4" w:space="0" w:color="000000"/>
              <w:left w:val="single" w:sz="12" w:space="0" w:color="000000"/>
              <w:bottom w:val="single" w:sz="4" w:space="0" w:color="000000"/>
              <w:right w:val="single" w:sz="12" w:space="0" w:color="000000"/>
            </w:tcBorders>
            <w:vAlign w:val="center"/>
          </w:tcPr>
          <w:p w14:paraId="4A711FC9" w14:textId="38DA0B6D" w:rsidR="00B0429D" w:rsidRDefault="00B0429D" w:rsidP="00040058">
            <w:pPr>
              <w:spacing w:after="0" w:line="240" w:lineRule="auto"/>
              <w:ind w:left="0" w:right="0" w:firstLine="0"/>
              <w:jc w:val="center"/>
            </w:pPr>
            <w:r>
              <w:rPr>
                <w:sz w:val="18"/>
              </w:rPr>
              <w:t>ug/L</w:t>
            </w:r>
          </w:p>
        </w:tc>
        <w:tc>
          <w:tcPr>
            <w:tcW w:w="789" w:type="dxa"/>
            <w:tcBorders>
              <w:top w:val="single" w:sz="4" w:space="0" w:color="000000"/>
              <w:left w:val="single" w:sz="12" w:space="0" w:color="000000"/>
              <w:bottom w:val="single" w:sz="4" w:space="0" w:color="000000"/>
              <w:right w:val="single" w:sz="12" w:space="0" w:color="000000"/>
            </w:tcBorders>
            <w:vAlign w:val="center"/>
          </w:tcPr>
          <w:p w14:paraId="70DD30EB" w14:textId="1FF52825" w:rsidR="00B0429D" w:rsidRDefault="00B0429D" w:rsidP="00040058">
            <w:pPr>
              <w:spacing w:after="0" w:line="240" w:lineRule="auto"/>
              <w:ind w:left="0" w:right="0" w:firstLine="0"/>
              <w:jc w:val="center"/>
            </w:pPr>
            <w:r>
              <w:rPr>
                <w:sz w:val="18"/>
              </w:rPr>
              <w:t>1300</w:t>
            </w:r>
          </w:p>
        </w:tc>
        <w:tc>
          <w:tcPr>
            <w:tcW w:w="957" w:type="dxa"/>
            <w:tcBorders>
              <w:top w:val="single" w:sz="4" w:space="0" w:color="000000"/>
              <w:left w:val="single" w:sz="12" w:space="0" w:color="000000"/>
              <w:bottom w:val="single" w:sz="4" w:space="0" w:color="000000"/>
              <w:right w:val="single" w:sz="12" w:space="0" w:color="000000"/>
            </w:tcBorders>
            <w:vAlign w:val="center"/>
          </w:tcPr>
          <w:p w14:paraId="70AA8B79" w14:textId="690F5098" w:rsidR="00B0429D" w:rsidRDefault="00B0429D" w:rsidP="00040058">
            <w:pPr>
              <w:spacing w:after="0" w:line="240" w:lineRule="auto"/>
              <w:ind w:left="0" w:right="0" w:firstLine="0"/>
              <w:jc w:val="center"/>
            </w:pPr>
            <w:r>
              <w:rPr>
                <w:rFonts w:eastAsia="Segoe UI Symbol"/>
                <w:sz w:val="18"/>
              </w:rPr>
              <w:t>u</w:t>
            </w:r>
            <w:r>
              <w:rPr>
                <w:sz w:val="18"/>
              </w:rPr>
              <w:t>g/kg</w:t>
            </w:r>
          </w:p>
        </w:tc>
        <w:tc>
          <w:tcPr>
            <w:tcW w:w="454" w:type="dxa"/>
            <w:tcBorders>
              <w:top w:val="single" w:sz="4" w:space="0" w:color="000000"/>
              <w:left w:val="single" w:sz="12" w:space="0" w:color="000000"/>
              <w:bottom w:val="single" w:sz="4" w:space="0" w:color="000000"/>
              <w:right w:val="single" w:sz="12" w:space="0" w:color="000000"/>
            </w:tcBorders>
            <w:vAlign w:val="center"/>
          </w:tcPr>
          <w:p w14:paraId="59B59492" w14:textId="1B11DB3A" w:rsidR="00B0429D" w:rsidRDefault="00B0429D" w:rsidP="00040058">
            <w:pPr>
              <w:spacing w:after="0" w:line="240" w:lineRule="auto"/>
              <w:ind w:left="0" w:right="0" w:firstLine="0"/>
              <w:jc w:val="center"/>
            </w:pPr>
            <w:r>
              <w:rPr>
                <w:sz w:val="18"/>
              </w:rPr>
              <w:t>X</w:t>
            </w:r>
          </w:p>
        </w:tc>
        <w:tc>
          <w:tcPr>
            <w:tcW w:w="445" w:type="dxa"/>
            <w:tcBorders>
              <w:top w:val="single" w:sz="4" w:space="0" w:color="000000"/>
              <w:left w:val="single" w:sz="12" w:space="0" w:color="000000"/>
              <w:bottom w:val="single" w:sz="4" w:space="0" w:color="000000"/>
              <w:right w:val="single" w:sz="12" w:space="0" w:color="000000"/>
            </w:tcBorders>
            <w:vAlign w:val="center"/>
          </w:tcPr>
          <w:p w14:paraId="2611895F" w14:textId="1713F400" w:rsidR="00B0429D" w:rsidRDefault="00B0429D" w:rsidP="00040058">
            <w:pPr>
              <w:spacing w:after="0" w:line="240" w:lineRule="auto"/>
              <w:ind w:left="0" w:right="0" w:firstLine="0"/>
              <w:jc w:val="center"/>
            </w:pPr>
          </w:p>
        </w:tc>
        <w:tc>
          <w:tcPr>
            <w:tcW w:w="431" w:type="dxa"/>
            <w:tcBorders>
              <w:top w:val="single" w:sz="4" w:space="0" w:color="000000"/>
              <w:left w:val="single" w:sz="12" w:space="0" w:color="000000"/>
              <w:bottom w:val="single" w:sz="4" w:space="0" w:color="000000"/>
              <w:right w:val="single" w:sz="12" w:space="0" w:color="000000"/>
            </w:tcBorders>
            <w:vAlign w:val="center"/>
          </w:tcPr>
          <w:p w14:paraId="09CFBD4F" w14:textId="738452C1" w:rsidR="00B0429D" w:rsidRDefault="00B0429D" w:rsidP="00040058">
            <w:pPr>
              <w:spacing w:after="0" w:line="240" w:lineRule="auto"/>
              <w:ind w:left="0" w:right="0" w:firstLine="0"/>
              <w:jc w:val="center"/>
            </w:pPr>
          </w:p>
        </w:tc>
        <w:tc>
          <w:tcPr>
            <w:tcW w:w="749" w:type="dxa"/>
            <w:tcBorders>
              <w:top w:val="single" w:sz="4" w:space="0" w:color="000000"/>
              <w:left w:val="single" w:sz="12" w:space="0" w:color="000000"/>
              <w:bottom w:val="single" w:sz="4" w:space="0" w:color="000000"/>
              <w:right w:val="single" w:sz="12" w:space="0" w:color="000000"/>
            </w:tcBorders>
            <w:vAlign w:val="center"/>
          </w:tcPr>
          <w:p w14:paraId="019E313B" w14:textId="36679D24" w:rsidR="00B0429D" w:rsidRDefault="00B0429D" w:rsidP="00040058">
            <w:pPr>
              <w:spacing w:after="0" w:line="240" w:lineRule="auto"/>
              <w:ind w:left="0" w:right="0" w:firstLine="0"/>
              <w:jc w:val="center"/>
            </w:pPr>
            <w:r>
              <w:rPr>
                <w:sz w:val="18"/>
              </w:rPr>
              <w:t>8318</w:t>
            </w:r>
          </w:p>
        </w:tc>
        <w:tc>
          <w:tcPr>
            <w:tcW w:w="720" w:type="dxa"/>
            <w:tcBorders>
              <w:top w:val="single" w:sz="4" w:space="0" w:color="000000"/>
              <w:left w:val="single" w:sz="12" w:space="0" w:color="000000"/>
              <w:bottom w:val="single" w:sz="4" w:space="0" w:color="000000"/>
              <w:right w:val="single" w:sz="12" w:space="0" w:color="000000"/>
            </w:tcBorders>
            <w:vAlign w:val="center"/>
          </w:tcPr>
          <w:p w14:paraId="2CD35A62" w14:textId="40043EA0" w:rsidR="00B0429D" w:rsidRDefault="00B0429D" w:rsidP="00040058">
            <w:pPr>
              <w:spacing w:after="0" w:line="240" w:lineRule="auto"/>
              <w:ind w:left="0" w:right="0" w:firstLine="0"/>
              <w:jc w:val="center"/>
            </w:pPr>
          </w:p>
        </w:tc>
        <w:tc>
          <w:tcPr>
            <w:tcW w:w="810" w:type="dxa"/>
            <w:tcBorders>
              <w:top w:val="single" w:sz="4" w:space="0" w:color="000000"/>
              <w:left w:val="single" w:sz="12" w:space="0" w:color="000000"/>
              <w:bottom w:val="single" w:sz="4" w:space="0" w:color="000000"/>
              <w:right w:val="single" w:sz="12" w:space="0" w:color="000000"/>
            </w:tcBorders>
            <w:vAlign w:val="center"/>
          </w:tcPr>
          <w:p w14:paraId="433F330D" w14:textId="7DE36413" w:rsidR="00B0429D" w:rsidRDefault="00B0429D" w:rsidP="00040058">
            <w:pPr>
              <w:spacing w:after="0" w:line="240" w:lineRule="auto"/>
              <w:ind w:left="0" w:right="0" w:firstLine="0"/>
              <w:jc w:val="center"/>
            </w:pPr>
          </w:p>
        </w:tc>
      </w:tr>
      <w:tr w:rsidR="00B0429D" w14:paraId="2B75B4F0" w14:textId="77777777" w:rsidTr="00DF747D">
        <w:trPr>
          <w:trHeight w:val="245"/>
        </w:trPr>
        <w:tc>
          <w:tcPr>
            <w:tcW w:w="2804" w:type="dxa"/>
            <w:tcBorders>
              <w:top w:val="single" w:sz="4" w:space="0" w:color="000000"/>
              <w:left w:val="single" w:sz="12" w:space="0" w:color="000000"/>
              <w:bottom w:val="single" w:sz="4" w:space="0" w:color="000000"/>
              <w:right w:val="single" w:sz="12" w:space="0" w:color="000000"/>
            </w:tcBorders>
            <w:vAlign w:val="center"/>
          </w:tcPr>
          <w:p w14:paraId="22968DF5" w14:textId="77777777" w:rsidR="00B0429D" w:rsidRDefault="00B0429D" w:rsidP="002425A6">
            <w:pPr>
              <w:spacing w:after="0" w:line="240" w:lineRule="auto"/>
              <w:ind w:left="43" w:right="0" w:firstLine="0"/>
            </w:pPr>
            <w:r>
              <w:rPr>
                <w:sz w:val="18"/>
              </w:rPr>
              <w:t xml:space="preserve">3-Hydroxycarbofuran </w:t>
            </w:r>
          </w:p>
        </w:tc>
        <w:tc>
          <w:tcPr>
            <w:tcW w:w="1053" w:type="dxa"/>
            <w:tcBorders>
              <w:top w:val="single" w:sz="4" w:space="0" w:color="000000"/>
              <w:left w:val="single" w:sz="12" w:space="0" w:color="000000"/>
              <w:bottom w:val="single" w:sz="4" w:space="0" w:color="000000"/>
              <w:right w:val="single" w:sz="12" w:space="0" w:color="000000"/>
            </w:tcBorders>
            <w:vAlign w:val="center"/>
          </w:tcPr>
          <w:p w14:paraId="04D0A462" w14:textId="15E10C94" w:rsidR="00B0429D" w:rsidRDefault="00B0429D" w:rsidP="00040058">
            <w:pPr>
              <w:spacing w:after="0" w:line="240" w:lineRule="auto"/>
              <w:ind w:left="0" w:right="0" w:firstLine="0"/>
              <w:jc w:val="center"/>
            </w:pPr>
            <w:r>
              <w:rPr>
                <w:sz w:val="18"/>
              </w:rPr>
              <w:t>16655-82-6</w:t>
            </w:r>
          </w:p>
        </w:tc>
        <w:tc>
          <w:tcPr>
            <w:tcW w:w="706" w:type="dxa"/>
            <w:tcBorders>
              <w:top w:val="single" w:sz="4" w:space="0" w:color="000000"/>
              <w:left w:val="single" w:sz="12" w:space="0" w:color="000000"/>
              <w:bottom w:val="single" w:sz="4" w:space="0" w:color="000000"/>
              <w:right w:val="single" w:sz="12" w:space="0" w:color="000000"/>
            </w:tcBorders>
            <w:vAlign w:val="center"/>
          </w:tcPr>
          <w:p w14:paraId="533EF5CD" w14:textId="602013B1" w:rsidR="00B0429D" w:rsidRDefault="00B0429D" w:rsidP="00040058">
            <w:pPr>
              <w:tabs>
                <w:tab w:val="center" w:pos="415"/>
              </w:tabs>
              <w:spacing w:after="0" w:line="240" w:lineRule="auto"/>
              <w:ind w:left="0" w:right="0" w:firstLine="0"/>
              <w:jc w:val="center"/>
            </w:pPr>
            <w:r>
              <w:rPr>
                <w:sz w:val="18"/>
              </w:rPr>
              <w:t>30</w:t>
            </w:r>
          </w:p>
        </w:tc>
        <w:tc>
          <w:tcPr>
            <w:tcW w:w="702" w:type="dxa"/>
            <w:tcBorders>
              <w:top w:val="single" w:sz="4" w:space="0" w:color="000000"/>
              <w:left w:val="single" w:sz="12" w:space="0" w:color="000000"/>
              <w:bottom w:val="single" w:sz="4" w:space="0" w:color="000000"/>
              <w:right w:val="single" w:sz="12" w:space="0" w:color="000000"/>
            </w:tcBorders>
            <w:vAlign w:val="center"/>
          </w:tcPr>
          <w:p w14:paraId="3168AE23" w14:textId="178338F2" w:rsidR="00B0429D" w:rsidRDefault="00B0429D" w:rsidP="00040058">
            <w:pPr>
              <w:spacing w:after="0" w:line="240" w:lineRule="auto"/>
              <w:ind w:left="0" w:right="0" w:firstLine="0"/>
              <w:jc w:val="center"/>
            </w:pPr>
            <w:r>
              <w:rPr>
                <w:sz w:val="18"/>
              </w:rPr>
              <w:t>ug/L</w:t>
            </w:r>
          </w:p>
        </w:tc>
        <w:tc>
          <w:tcPr>
            <w:tcW w:w="789" w:type="dxa"/>
            <w:tcBorders>
              <w:top w:val="single" w:sz="4" w:space="0" w:color="000000"/>
              <w:left w:val="single" w:sz="12" w:space="0" w:color="000000"/>
              <w:bottom w:val="single" w:sz="4" w:space="0" w:color="000000"/>
              <w:right w:val="single" w:sz="12" w:space="0" w:color="000000"/>
            </w:tcBorders>
            <w:vAlign w:val="center"/>
          </w:tcPr>
          <w:p w14:paraId="17ED4770" w14:textId="202C6220" w:rsidR="00B0429D" w:rsidRDefault="00B0429D" w:rsidP="00040058">
            <w:pPr>
              <w:spacing w:after="0" w:line="240" w:lineRule="auto"/>
              <w:ind w:left="0" w:right="0" w:firstLine="0"/>
              <w:jc w:val="center"/>
            </w:pPr>
            <w:r>
              <w:rPr>
                <w:sz w:val="18"/>
              </w:rPr>
              <w:t>2000</w:t>
            </w:r>
          </w:p>
        </w:tc>
        <w:tc>
          <w:tcPr>
            <w:tcW w:w="957" w:type="dxa"/>
            <w:tcBorders>
              <w:top w:val="single" w:sz="4" w:space="0" w:color="000000"/>
              <w:left w:val="single" w:sz="12" w:space="0" w:color="000000"/>
              <w:bottom w:val="single" w:sz="4" w:space="0" w:color="000000"/>
              <w:right w:val="single" w:sz="12" w:space="0" w:color="000000"/>
            </w:tcBorders>
            <w:vAlign w:val="center"/>
          </w:tcPr>
          <w:p w14:paraId="04DA5B8C" w14:textId="0B93D421" w:rsidR="00B0429D" w:rsidRDefault="00B0429D" w:rsidP="00040058">
            <w:pPr>
              <w:spacing w:after="0" w:line="240" w:lineRule="auto"/>
              <w:ind w:left="0" w:right="0" w:firstLine="0"/>
              <w:jc w:val="center"/>
            </w:pPr>
            <w:r>
              <w:rPr>
                <w:rFonts w:eastAsia="Segoe UI Symbol"/>
                <w:sz w:val="18"/>
              </w:rPr>
              <w:t>u</w:t>
            </w:r>
            <w:r>
              <w:rPr>
                <w:sz w:val="18"/>
              </w:rPr>
              <w:t>g/kg</w:t>
            </w:r>
          </w:p>
        </w:tc>
        <w:tc>
          <w:tcPr>
            <w:tcW w:w="454" w:type="dxa"/>
            <w:tcBorders>
              <w:top w:val="single" w:sz="4" w:space="0" w:color="000000"/>
              <w:left w:val="single" w:sz="12" w:space="0" w:color="000000"/>
              <w:bottom w:val="single" w:sz="4" w:space="0" w:color="000000"/>
              <w:right w:val="single" w:sz="12" w:space="0" w:color="000000"/>
            </w:tcBorders>
            <w:vAlign w:val="center"/>
          </w:tcPr>
          <w:p w14:paraId="47F6C4C1" w14:textId="61BD20AB" w:rsidR="00B0429D" w:rsidRDefault="00B0429D" w:rsidP="00040058">
            <w:pPr>
              <w:spacing w:after="0" w:line="240" w:lineRule="auto"/>
              <w:ind w:left="0" w:right="0" w:firstLine="0"/>
              <w:jc w:val="center"/>
            </w:pPr>
          </w:p>
        </w:tc>
        <w:tc>
          <w:tcPr>
            <w:tcW w:w="445" w:type="dxa"/>
            <w:tcBorders>
              <w:top w:val="single" w:sz="4" w:space="0" w:color="000000"/>
              <w:left w:val="single" w:sz="12" w:space="0" w:color="000000"/>
              <w:bottom w:val="single" w:sz="4" w:space="0" w:color="000000"/>
              <w:right w:val="single" w:sz="12" w:space="0" w:color="000000"/>
            </w:tcBorders>
            <w:vAlign w:val="center"/>
          </w:tcPr>
          <w:p w14:paraId="60E6F11C" w14:textId="2F9B1F0E" w:rsidR="00B0429D" w:rsidRDefault="00B0429D" w:rsidP="00040058">
            <w:pPr>
              <w:spacing w:after="0" w:line="240" w:lineRule="auto"/>
              <w:ind w:left="0" w:right="0" w:firstLine="0"/>
              <w:jc w:val="center"/>
            </w:pPr>
          </w:p>
        </w:tc>
        <w:tc>
          <w:tcPr>
            <w:tcW w:w="431" w:type="dxa"/>
            <w:tcBorders>
              <w:top w:val="single" w:sz="4" w:space="0" w:color="000000"/>
              <w:left w:val="single" w:sz="12" w:space="0" w:color="000000"/>
              <w:bottom w:val="single" w:sz="4" w:space="0" w:color="000000"/>
              <w:right w:val="single" w:sz="12" w:space="0" w:color="000000"/>
            </w:tcBorders>
            <w:vAlign w:val="center"/>
          </w:tcPr>
          <w:p w14:paraId="16BCA693" w14:textId="6D033B3E" w:rsidR="00B0429D" w:rsidRDefault="00B0429D" w:rsidP="00040058">
            <w:pPr>
              <w:spacing w:after="0" w:line="240" w:lineRule="auto"/>
              <w:ind w:left="0" w:right="0" w:firstLine="0"/>
              <w:jc w:val="center"/>
            </w:pPr>
          </w:p>
        </w:tc>
        <w:tc>
          <w:tcPr>
            <w:tcW w:w="749" w:type="dxa"/>
            <w:tcBorders>
              <w:top w:val="single" w:sz="4" w:space="0" w:color="000000"/>
              <w:left w:val="single" w:sz="12" w:space="0" w:color="000000"/>
              <w:bottom w:val="single" w:sz="4" w:space="0" w:color="000000"/>
              <w:right w:val="single" w:sz="12" w:space="0" w:color="000000"/>
            </w:tcBorders>
            <w:vAlign w:val="center"/>
          </w:tcPr>
          <w:p w14:paraId="5E4F225A" w14:textId="3004AD97" w:rsidR="00B0429D" w:rsidRDefault="00B0429D" w:rsidP="00040058">
            <w:pPr>
              <w:spacing w:after="0" w:line="240" w:lineRule="auto"/>
              <w:ind w:left="0" w:right="0" w:firstLine="0"/>
              <w:jc w:val="center"/>
            </w:pPr>
            <w:r>
              <w:rPr>
                <w:sz w:val="18"/>
              </w:rPr>
              <w:t>8318</w:t>
            </w:r>
          </w:p>
        </w:tc>
        <w:tc>
          <w:tcPr>
            <w:tcW w:w="720" w:type="dxa"/>
            <w:tcBorders>
              <w:top w:val="single" w:sz="4" w:space="0" w:color="000000"/>
              <w:left w:val="single" w:sz="12" w:space="0" w:color="000000"/>
              <w:bottom w:val="single" w:sz="4" w:space="0" w:color="000000"/>
              <w:right w:val="single" w:sz="12" w:space="0" w:color="000000"/>
            </w:tcBorders>
            <w:vAlign w:val="center"/>
          </w:tcPr>
          <w:p w14:paraId="1CE5C571" w14:textId="3E843B45" w:rsidR="00B0429D" w:rsidRDefault="00B0429D" w:rsidP="00040058">
            <w:pPr>
              <w:spacing w:after="0" w:line="240" w:lineRule="auto"/>
              <w:ind w:left="0" w:right="0" w:firstLine="0"/>
              <w:jc w:val="center"/>
            </w:pPr>
            <w:r>
              <w:rPr>
                <w:sz w:val="18"/>
              </w:rPr>
              <w:t>8321</w:t>
            </w:r>
          </w:p>
        </w:tc>
        <w:tc>
          <w:tcPr>
            <w:tcW w:w="810" w:type="dxa"/>
            <w:tcBorders>
              <w:top w:val="single" w:sz="4" w:space="0" w:color="000000"/>
              <w:left w:val="single" w:sz="12" w:space="0" w:color="000000"/>
              <w:bottom w:val="single" w:sz="4" w:space="0" w:color="000000"/>
              <w:right w:val="single" w:sz="12" w:space="0" w:color="000000"/>
            </w:tcBorders>
            <w:vAlign w:val="center"/>
          </w:tcPr>
          <w:p w14:paraId="35D4455C" w14:textId="71E28F7E" w:rsidR="00B0429D" w:rsidRDefault="00B0429D" w:rsidP="00040058">
            <w:pPr>
              <w:spacing w:after="0" w:line="240" w:lineRule="auto"/>
              <w:ind w:left="0" w:right="0" w:firstLine="0"/>
              <w:jc w:val="center"/>
            </w:pPr>
          </w:p>
        </w:tc>
      </w:tr>
      <w:tr w:rsidR="00B0429D" w14:paraId="342D45AF" w14:textId="77777777" w:rsidTr="00DF747D">
        <w:trPr>
          <w:trHeight w:val="245"/>
        </w:trPr>
        <w:tc>
          <w:tcPr>
            <w:tcW w:w="2804" w:type="dxa"/>
            <w:tcBorders>
              <w:top w:val="single" w:sz="4" w:space="0" w:color="000000"/>
              <w:left w:val="single" w:sz="12" w:space="0" w:color="000000"/>
              <w:bottom w:val="single" w:sz="4" w:space="0" w:color="000000"/>
              <w:right w:val="single" w:sz="12" w:space="0" w:color="000000"/>
            </w:tcBorders>
            <w:vAlign w:val="center"/>
          </w:tcPr>
          <w:p w14:paraId="5DAB1ED9" w14:textId="0033A1D2" w:rsidR="00B0429D" w:rsidRDefault="00B0429D" w:rsidP="002425A6">
            <w:pPr>
              <w:spacing w:after="0" w:line="240" w:lineRule="auto"/>
              <w:ind w:left="43" w:right="0" w:firstLine="0"/>
            </w:pPr>
            <w:r>
              <w:rPr>
                <w:sz w:val="18"/>
              </w:rPr>
              <w:t xml:space="preserve">Methiocarb </w:t>
            </w:r>
            <w:r>
              <w:rPr>
                <w:i/>
                <w:sz w:val="18"/>
              </w:rPr>
              <w:t>(</w:t>
            </w:r>
            <w:proofErr w:type="spellStart"/>
            <w:r>
              <w:rPr>
                <w:i/>
                <w:sz w:val="18"/>
              </w:rPr>
              <w:t>Mesurol</w:t>
            </w:r>
            <w:proofErr w:type="spellEnd"/>
            <w:r>
              <w:rPr>
                <w:i/>
                <w:sz w:val="18"/>
              </w:rPr>
              <w:t>)</w:t>
            </w:r>
            <w:r>
              <w:rPr>
                <w:sz w:val="18"/>
              </w:rPr>
              <w:t xml:space="preserve"> </w:t>
            </w:r>
          </w:p>
        </w:tc>
        <w:tc>
          <w:tcPr>
            <w:tcW w:w="1053" w:type="dxa"/>
            <w:tcBorders>
              <w:top w:val="single" w:sz="4" w:space="0" w:color="000000"/>
              <w:left w:val="single" w:sz="12" w:space="0" w:color="000000"/>
              <w:bottom w:val="single" w:sz="4" w:space="0" w:color="000000"/>
              <w:right w:val="single" w:sz="12" w:space="0" w:color="000000"/>
            </w:tcBorders>
            <w:vAlign w:val="center"/>
          </w:tcPr>
          <w:p w14:paraId="08CB4580" w14:textId="75AC4B2D" w:rsidR="00B0429D" w:rsidRDefault="00B0429D" w:rsidP="00040058">
            <w:pPr>
              <w:spacing w:after="0" w:line="240" w:lineRule="auto"/>
              <w:ind w:left="0" w:right="0" w:firstLine="0"/>
              <w:jc w:val="center"/>
            </w:pPr>
            <w:r>
              <w:rPr>
                <w:sz w:val="18"/>
              </w:rPr>
              <w:t>2032-65-7</w:t>
            </w:r>
          </w:p>
        </w:tc>
        <w:tc>
          <w:tcPr>
            <w:tcW w:w="706" w:type="dxa"/>
            <w:tcBorders>
              <w:top w:val="single" w:sz="4" w:space="0" w:color="000000"/>
              <w:left w:val="single" w:sz="12" w:space="0" w:color="000000"/>
              <w:bottom w:val="single" w:sz="4" w:space="0" w:color="000000"/>
              <w:right w:val="single" w:sz="12" w:space="0" w:color="000000"/>
            </w:tcBorders>
            <w:vAlign w:val="center"/>
          </w:tcPr>
          <w:p w14:paraId="7935EABB" w14:textId="28C1349E" w:rsidR="00B0429D" w:rsidRDefault="00B0429D" w:rsidP="00040058">
            <w:pPr>
              <w:tabs>
                <w:tab w:val="center" w:pos="415"/>
              </w:tabs>
              <w:spacing w:after="0" w:line="240" w:lineRule="auto"/>
              <w:ind w:left="0" w:right="0" w:firstLine="0"/>
              <w:jc w:val="center"/>
            </w:pPr>
            <w:r>
              <w:rPr>
                <w:sz w:val="18"/>
              </w:rPr>
              <w:t>30</w:t>
            </w:r>
          </w:p>
        </w:tc>
        <w:tc>
          <w:tcPr>
            <w:tcW w:w="702" w:type="dxa"/>
            <w:tcBorders>
              <w:top w:val="single" w:sz="4" w:space="0" w:color="000000"/>
              <w:left w:val="single" w:sz="12" w:space="0" w:color="000000"/>
              <w:bottom w:val="single" w:sz="4" w:space="0" w:color="000000"/>
              <w:right w:val="single" w:sz="12" w:space="0" w:color="000000"/>
            </w:tcBorders>
            <w:vAlign w:val="center"/>
          </w:tcPr>
          <w:p w14:paraId="247B00B8" w14:textId="1BA7D547" w:rsidR="00B0429D" w:rsidRDefault="00B0429D" w:rsidP="00040058">
            <w:pPr>
              <w:spacing w:after="0" w:line="240" w:lineRule="auto"/>
              <w:ind w:left="0" w:right="0" w:firstLine="0"/>
              <w:jc w:val="center"/>
            </w:pPr>
            <w:r>
              <w:rPr>
                <w:sz w:val="18"/>
              </w:rPr>
              <w:t>ug/L</w:t>
            </w:r>
          </w:p>
        </w:tc>
        <w:tc>
          <w:tcPr>
            <w:tcW w:w="789" w:type="dxa"/>
            <w:tcBorders>
              <w:top w:val="single" w:sz="4" w:space="0" w:color="000000"/>
              <w:left w:val="single" w:sz="12" w:space="0" w:color="000000"/>
              <w:bottom w:val="single" w:sz="4" w:space="0" w:color="000000"/>
              <w:right w:val="single" w:sz="12" w:space="0" w:color="000000"/>
            </w:tcBorders>
            <w:vAlign w:val="center"/>
          </w:tcPr>
          <w:p w14:paraId="1DD76531" w14:textId="10ADCC0E" w:rsidR="00B0429D" w:rsidRDefault="00B0429D" w:rsidP="00040058">
            <w:pPr>
              <w:spacing w:after="0" w:line="240" w:lineRule="auto"/>
              <w:ind w:left="0" w:right="0" w:firstLine="0"/>
              <w:jc w:val="center"/>
            </w:pPr>
            <w:r>
              <w:rPr>
                <w:sz w:val="18"/>
              </w:rPr>
              <w:t>2000</w:t>
            </w:r>
          </w:p>
        </w:tc>
        <w:tc>
          <w:tcPr>
            <w:tcW w:w="957" w:type="dxa"/>
            <w:tcBorders>
              <w:top w:val="single" w:sz="4" w:space="0" w:color="000000"/>
              <w:left w:val="single" w:sz="12" w:space="0" w:color="000000"/>
              <w:bottom w:val="single" w:sz="4" w:space="0" w:color="000000"/>
              <w:right w:val="single" w:sz="12" w:space="0" w:color="000000"/>
            </w:tcBorders>
            <w:vAlign w:val="center"/>
          </w:tcPr>
          <w:p w14:paraId="6B51D42D" w14:textId="413DA199" w:rsidR="00B0429D" w:rsidRDefault="00B0429D" w:rsidP="00040058">
            <w:pPr>
              <w:spacing w:after="0" w:line="240" w:lineRule="auto"/>
              <w:ind w:left="0" w:right="0" w:firstLine="0"/>
              <w:jc w:val="center"/>
            </w:pPr>
            <w:r>
              <w:rPr>
                <w:rFonts w:eastAsia="Segoe UI Symbol"/>
                <w:sz w:val="18"/>
              </w:rPr>
              <w:t>u</w:t>
            </w:r>
            <w:r>
              <w:rPr>
                <w:sz w:val="18"/>
              </w:rPr>
              <w:t>g/kg</w:t>
            </w:r>
          </w:p>
        </w:tc>
        <w:tc>
          <w:tcPr>
            <w:tcW w:w="454" w:type="dxa"/>
            <w:tcBorders>
              <w:top w:val="single" w:sz="4" w:space="0" w:color="000000"/>
              <w:left w:val="single" w:sz="12" w:space="0" w:color="000000"/>
              <w:bottom w:val="single" w:sz="4" w:space="0" w:color="000000"/>
              <w:right w:val="single" w:sz="12" w:space="0" w:color="000000"/>
            </w:tcBorders>
            <w:vAlign w:val="center"/>
          </w:tcPr>
          <w:p w14:paraId="3D45B836" w14:textId="7679DE98" w:rsidR="00B0429D" w:rsidRDefault="00B0429D" w:rsidP="00040058">
            <w:pPr>
              <w:spacing w:after="0" w:line="240" w:lineRule="auto"/>
              <w:ind w:left="0" w:right="0" w:firstLine="0"/>
              <w:jc w:val="center"/>
            </w:pPr>
            <w:r>
              <w:rPr>
                <w:sz w:val="18"/>
              </w:rPr>
              <w:t>X</w:t>
            </w:r>
          </w:p>
        </w:tc>
        <w:tc>
          <w:tcPr>
            <w:tcW w:w="445" w:type="dxa"/>
            <w:tcBorders>
              <w:top w:val="single" w:sz="4" w:space="0" w:color="000000"/>
              <w:left w:val="single" w:sz="12" w:space="0" w:color="000000"/>
              <w:bottom w:val="single" w:sz="4" w:space="0" w:color="000000"/>
              <w:right w:val="single" w:sz="12" w:space="0" w:color="000000"/>
            </w:tcBorders>
            <w:vAlign w:val="center"/>
          </w:tcPr>
          <w:p w14:paraId="36B8BED1" w14:textId="3C5D5F2F" w:rsidR="00B0429D" w:rsidRDefault="00B0429D" w:rsidP="00040058">
            <w:pPr>
              <w:spacing w:after="0" w:line="240" w:lineRule="auto"/>
              <w:ind w:left="0" w:right="0" w:firstLine="0"/>
              <w:jc w:val="center"/>
            </w:pPr>
          </w:p>
        </w:tc>
        <w:tc>
          <w:tcPr>
            <w:tcW w:w="431" w:type="dxa"/>
            <w:tcBorders>
              <w:top w:val="single" w:sz="4" w:space="0" w:color="000000"/>
              <w:left w:val="single" w:sz="12" w:space="0" w:color="000000"/>
              <w:bottom w:val="single" w:sz="4" w:space="0" w:color="000000"/>
              <w:right w:val="single" w:sz="12" w:space="0" w:color="000000"/>
            </w:tcBorders>
            <w:vAlign w:val="center"/>
          </w:tcPr>
          <w:p w14:paraId="687D318A" w14:textId="6519728D" w:rsidR="00B0429D" w:rsidRDefault="00B0429D" w:rsidP="00040058">
            <w:pPr>
              <w:spacing w:after="0" w:line="240" w:lineRule="auto"/>
              <w:ind w:left="0" w:right="0" w:firstLine="0"/>
              <w:jc w:val="center"/>
            </w:pPr>
          </w:p>
        </w:tc>
        <w:tc>
          <w:tcPr>
            <w:tcW w:w="749" w:type="dxa"/>
            <w:tcBorders>
              <w:top w:val="single" w:sz="4" w:space="0" w:color="000000"/>
              <w:left w:val="single" w:sz="12" w:space="0" w:color="000000"/>
              <w:bottom w:val="single" w:sz="4" w:space="0" w:color="000000"/>
              <w:right w:val="single" w:sz="12" w:space="0" w:color="000000"/>
            </w:tcBorders>
            <w:vAlign w:val="center"/>
          </w:tcPr>
          <w:p w14:paraId="25E25E44" w14:textId="1C4C7B51" w:rsidR="00B0429D" w:rsidRDefault="00B0429D" w:rsidP="00040058">
            <w:pPr>
              <w:spacing w:after="0" w:line="240" w:lineRule="auto"/>
              <w:ind w:left="0" w:right="0" w:firstLine="0"/>
              <w:jc w:val="center"/>
            </w:pPr>
            <w:r>
              <w:rPr>
                <w:sz w:val="18"/>
              </w:rPr>
              <w:t>8318</w:t>
            </w:r>
          </w:p>
        </w:tc>
        <w:tc>
          <w:tcPr>
            <w:tcW w:w="720" w:type="dxa"/>
            <w:tcBorders>
              <w:top w:val="single" w:sz="4" w:space="0" w:color="000000"/>
              <w:left w:val="single" w:sz="12" w:space="0" w:color="000000"/>
              <w:bottom w:val="single" w:sz="4" w:space="0" w:color="000000"/>
              <w:right w:val="single" w:sz="12" w:space="0" w:color="000000"/>
            </w:tcBorders>
            <w:vAlign w:val="center"/>
          </w:tcPr>
          <w:p w14:paraId="78471617" w14:textId="3D23A213" w:rsidR="00B0429D" w:rsidRDefault="00B0429D" w:rsidP="00040058">
            <w:pPr>
              <w:spacing w:after="0" w:line="240" w:lineRule="auto"/>
              <w:ind w:left="0" w:right="0" w:firstLine="0"/>
              <w:jc w:val="center"/>
            </w:pPr>
            <w:r>
              <w:rPr>
                <w:sz w:val="18"/>
              </w:rPr>
              <w:t>8321</w:t>
            </w:r>
          </w:p>
        </w:tc>
        <w:tc>
          <w:tcPr>
            <w:tcW w:w="810" w:type="dxa"/>
            <w:tcBorders>
              <w:top w:val="single" w:sz="4" w:space="0" w:color="000000"/>
              <w:left w:val="single" w:sz="12" w:space="0" w:color="000000"/>
              <w:bottom w:val="single" w:sz="4" w:space="0" w:color="000000"/>
              <w:right w:val="single" w:sz="12" w:space="0" w:color="000000"/>
            </w:tcBorders>
            <w:vAlign w:val="center"/>
          </w:tcPr>
          <w:p w14:paraId="5A2763D2" w14:textId="1B0D8FF7" w:rsidR="00B0429D" w:rsidRDefault="00B0429D" w:rsidP="00040058">
            <w:pPr>
              <w:spacing w:after="0" w:line="240" w:lineRule="auto"/>
              <w:ind w:left="0" w:right="0" w:firstLine="0"/>
              <w:jc w:val="center"/>
            </w:pPr>
          </w:p>
        </w:tc>
      </w:tr>
      <w:tr w:rsidR="00B0429D" w14:paraId="10E56CF6" w14:textId="77777777" w:rsidTr="00DF747D">
        <w:trPr>
          <w:trHeight w:val="245"/>
        </w:trPr>
        <w:tc>
          <w:tcPr>
            <w:tcW w:w="2804" w:type="dxa"/>
            <w:tcBorders>
              <w:top w:val="single" w:sz="4" w:space="0" w:color="000000"/>
              <w:left w:val="single" w:sz="12" w:space="0" w:color="000000"/>
              <w:bottom w:val="single" w:sz="4" w:space="0" w:color="000000"/>
              <w:right w:val="single" w:sz="12" w:space="0" w:color="000000"/>
            </w:tcBorders>
            <w:vAlign w:val="center"/>
          </w:tcPr>
          <w:p w14:paraId="47D70E9C" w14:textId="6E03F89E" w:rsidR="00B0429D" w:rsidRDefault="00B0429D" w:rsidP="002425A6">
            <w:pPr>
              <w:spacing w:after="0" w:line="240" w:lineRule="auto"/>
              <w:ind w:left="43" w:right="0" w:firstLine="0"/>
            </w:pPr>
            <w:r>
              <w:rPr>
                <w:sz w:val="18"/>
              </w:rPr>
              <w:t>Methomyl (</w:t>
            </w:r>
            <w:proofErr w:type="spellStart"/>
            <w:r>
              <w:rPr>
                <w:i/>
                <w:sz w:val="18"/>
              </w:rPr>
              <w:t>Lannate</w:t>
            </w:r>
            <w:proofErr w:type="spellEnd"/>
            <w:r>
              <w:rPr>
                <w:i/>
                <w:sz w:val="18"/>
              </w:rPr>
              <w:t>)</w:t>
            </w:r>
            <w:r>
              <w:rPr>
                <w:sz w:val="18"/>
              </w:rPr>
              <w:t xml:space="preserve"> </w:t>
            </w:r>
          </w:p>
        </w:tc>
        <w:tc>
          <w:tcPr>
            <w:tcW w:w="1053" w:type="dxa"/>
            <w:tcBorders>
              <w:top w:val="single" w:sz="4" w:space="0" w:color="000000"/>
              <w:left w:val="single" w:sz="12" w:space="0" w:color="000000"/>
              <w:bottom w:val="single" w:sz="4" w:space="0" w:color="000000"/>
              <w:right w:val="single" w:sz="12" w:space="0" w:color="000000"/>
            </w:tcBorders>
            <w:vAlign w:val="center"/>
          </w:tcPr>
          <w:p w14:paraId="20584DD1" w14:textId="6DCCED23" w:rsidR="00B0429D" w:rsidRDefault="00B0429D" w:rsidP="00040058">
            <w:pPr>
              <w:spacing w:after="0" w:line="240" w:lineRule="auto"/>
              <w:ind w:left="0" w:right="0" w:firstLine="0"/>
              <w:jc w:val="center"/>
            </w:pPr>
            <w:r>
              <w:rPr>
                <w:sz w:val="18"/>
              </w:rPr>
              <w:t>16752-77-5</w:t>
            </w:r>
          </w:p>
        </w:tc>
        <w:tc>
          <w:tcPr>
            <w:tcW w:w="706" w:type="dxa"/>
            <w:tcBorders>
              <w:top w:val="single" w:sz="4" w:space="0" w:color="000000"/>
              <w:left w:val="single" w:sz="12" w:space="0" w:color="000000"/>
              <w:bottom w:val="single" w:sz="4" w:space="0" w:color="000000"/>
              <w:right w:val="single" w:sz="12" w:space="0" w:color="000000"/>
            </w:tcBorders>
            <w:vAlign w:val="center"/>
          </w:tcPr>
          <w:p w14:paraId="76AE07EA" w14:textId="4F981611" w:rsidR="00B0429D" w:rsidRDefault="00B0429D" w:rsidP="00040058">
            <w:pPr>
              <w:tabs>
                <w:tab w:val="center" w:pos="415"/>
              </w:tabs>
              <w:spacing w:after="0" w:line="240" w:lineRule="auto"/>
              <w:ind w:left="0" w:right="0" w:firstLine="0"/>
              <w:jc w:val="center"/>
            </w:pPr>
            <w:r>
              <w:rPr>
                <w:sz w:val="18"/>
              </w:rPr>
              <w:t>20</w:t>
            </w:r>
          </w:p>
        </w:tc>
        <w:tc>
          <w:tcPr>
            <w:tcW w:w="702" w:type="dxa"/>
            <w:tcBorders>
              <w:top w:val="single" w:sz="4" w:space="0" w:color="000000"/>
              <w:left w:val="single" w:sz="12" w:space="0" w:color="000000"/>
              <w:bottom w:val="single" w:sz="4" w:space="0" w:color="000000"/>
              <w:right w:val="single" w:sz="12" w:space="0" w:color="000000"/>
            </w:tcBorders>
            <w:vAlign w:val="center"/>
          </w:tcPr>
          <w:p w14:paraId="0D7296AB" w14:textId="7258C122" w:rsidR="00B0429D" w:rsidRDefault="00B0429D" w:rsidP="00040058">
            <w:pPr>
              <w:spacing w:after="0" w:line="240" w:lineRule="auto"/>
              <w:ind w:left="0" w:right="0" w:firstLine="0"/>
              <w:jc w:val="center"/>
            </w:pPr>
            <w:r>
              <w:rPr>
                <w:sz w:val="18"/>
              </w:rPr>
              <w:t>ug/L</w:t>
            </w:r>
          </w:p>
        </w:tc>
        <w:tc>
          <w:tcPr>
            <w:tcW w:w="789" w:type="dxa"/>
            <w:tcBorders>
              <w:top w:val="single" w:sz="4" w:space="0" w:color="000000"/>
              <w:left w:val="single" w:sz="12" w:space="0" w:color="000000"/>
              <w:bottom w:val="single" w:sz="4" w:space="0" w:color="000000"/>
              <w:right w:val="single" w:sz="12" w:space="0" w:color="000000"/>
            </w:tcBorders>
            <w:vAlign w:val="center"/>
          </w:tcPr>
          <w:p w14:paraId="000ADEF0" w14:textId="51F61D5A" w:rsidR="00B0429D" w:rsidRDefault="00B0429D" w:rsidP="00040058">
            <w:pPr>
              <w:spacing w:after="0" w:line="240" w:lineRule="auto"/>
              <w:ind w:left="0" w:right="0" w:firstLine="0"/>
              <w:jc w:val="center"/>
            </w:pPr>
            <w:r>
              <w:rPr>
                <w:sz w:val="18"/>
              </w:rPr>
              <w:t>1300</w:t>
            </w:r>
          </w:p>
        </w:tc>
        <w:tc>
          <w:tcPr>
            <w:tcW w:w="957" w:type="dxa"/>
            <w:tcBorders>
              <w:top w:val="single" w:sz="4" w:space="0" w:color="000000"/>
              <w:left w:val="single" w:sz="12" w:space="0" w:color="000000"/>
              <w:bottom w:val="single" w:sz="4" w:space="0" w:color="000000"/>
              <w:right w:val="single" w:sz="12" w:space="0" w:color="000000"/>
            </w:tcBorders>
            <w:vAlign w:val="center"/>
          </w:tcPr>
          <w:p w14:paraId="3C17553C" w14:textId="746D397B" w:rsidR="00B0429D" w:rsidRDefault="00B0429D" w:rsidP="00040058">
            <w:pPr>
              <w:spacing w:after="0" w:line="240" w:lineRule="auto"/>
              <w:ind w:left="0" w:right="0" w:firstLine="0"/>
              <w:jc w:val="center"/>
            </w:pPr>
            <w:r>
              <w:rPr>
                <w:rFonts w:eastAsia="Segoe UI Symbol"/>
                <w:sz w:val="18"/>
              </w:rPr>
              <w:t>u</w:t>
            </w:r>
            <w:r>
              <w:rPr>
                <w:sz w:val="18"/>
              </w:rPr>
              <w:t>g/kg</w:t>
            </w:r>
          </w:p>
        </w:tc>
        <w:tc>
          <w:tcPr>
            <w:tcW w:w="454" w:type="dxa"/>
            <w:tcBorders>
              <w:top w:val="single" w:sz="4" w:space="0" w:color="000000"/>
              <w:left w:val="single" w:sz="12" w:space="0" w:color="000000"/>
              <w:bottom w:val="single" w:sz="4" w:space="0" w:color="000000"/>
              <w:right w:val="single" w:sz="12" w:space="0" w:color="000000"/>
            </w:tcBorders>
            <w:vAlign w:val="center"/>
          </w:tcPr>
          <w:p w14:paraId="662DB38A" w14:textId="69D0E407" w:rsidR="00B0429D" w:rsidRDefault="00B0429D" w:rsidP="00040058">
            <w:pPr>
              <w:spacing w:after="0" w:line="240" w:lineRule="auto"/>
              <w:ind w:left="0" w:right="0" w:firstLine="0"/>
              <w:jc w:val="center"/>
            </w:pPr>
            <w:r>
              <w:rPr>
                <w:sz w:val="18"/>
              </w:rPr>
              <w:t>X</w:t>
            </w:r>
          </w:p>
        </w:tc>
        <w:tc>
          <w:tcPr>
            <w:tcW w:w="445" w:type="dxa"/>
            <w:tcBorders>
              <w:top w:val="single" w:sz="4" w:space="0" w:color="000000"/>
              <w:left w:val="single" w:sz="12" w:space="0" w:color="000000"/>
              <w:bottom w:val="single" w:sz="4" w:space="0" w:color="000000"/>
              <w:right w:val="single" w:sz="12" w:space="0" w:color="000000"/>
            </w:tcBorders>
            <w:vAlign w:val="center"/>
          </w:tcPr>
          <w:p w14:paraId="024DAD52" w14:textId="0DC8D4AF" w:rsidR="00B0429D" w:rsidRDefault="00B0429D" w:rsidP="00040058">
            <w:pPr>
              <w:spacing w:after="0" w:line="240" w:lineRule="auto"/>
              <w:ind w:left="0" w:right="0" w:firstLine="0"/>
              <w:jc w:val="center"/>
            </w:pPr>
          </w:p>
        </w:tc>
        <w:tc>
          <w:tcPr>
            <w:tcW w:w="431" w:type="dxa"/>
            <w:tcBorders>
              <w:top w:val="single" w:sz="4" w:space="0" w:color="000000"/>
              <w:left w:val="single" w:sz="12" w:space="0" w:color="000000"/>
              <w:bottom w:val="single" w:sz="4" w:space="0" w:color="000000"/>
              <w:right w:val="single" w:sz="12" w:space="0" w:color="000000"/>
            </w:tcBorders>
            <w:vAlign w:val="center"/>
          </w:tcPr>
          <w:p w14:paraId="78FEE3C0" w14:textId="6C9405E1" w:rsidR="00B0429D" w:rsidRDefault="00B0429D" w:rsidP="00040058">
            <w:pPr>
              <w:spacing w:after="0" w:line="240" w:lineRule="auto"/>
              <w:ind w:left="0" w:right="0" w:firstLine="0"/>
              <w:jc w:val="center"/>
            </w:pPr>
          </w:p>
        </w:tc>
        <w:tc>
          <w:tcPr>
            <w:tcW w:w="749" w:type="dxa"/>
            <w:tcBorders>
              <w:top w:val="single" w:sz="4" w:space="0" w:color="000000"/>
              <w:left w:val="single" w:sz="12" w:space="0" w:color="000000"/>
              <w:bottom w:val="single" w:sz="4" w:space="0" w:color="000000"/>
              <w:right w:val="single" w:sz="12" w:space="0" w:color="000000"/>
            </w:tcBorders>
            <w:vAlign w:val="center"/>
          </w:tcPr>
          <w:p w14:paraId="65742919" w14:textId="05B26D72" w:rsidR="00B0429D" w:rsidRDefault="00B0429D" w:rsidP="00040058">
            <w:pPr>
              <w:spacing w:after="0" w:line="240" w:lineRule="auto"/>
              <w:ind w:left="0" w:right="0" w:firstLine="0"/>
              <w:jc w:val="center"/>
            </w:pPr>
            <w:r>
              <w:rPr>
                <w:sz w:val="18"/>
              </w:rPr>
              <w:t>8318</w:t>
            </w:r>
          </w:p>
        </w:tc>
        <w:tc>
          <w:tcPr>
            <w:tcW w:w="720" w:type="dxa"/>
            <w:tcBorders>
              <w:top w:val="single" w:sz="4" w:space="0" w:color="000000"/>
              <w:left w:val="single" w:sz="12" w:space="0" w:color="000000"/>
              <w:bottom w:val="single" w:sz="4" w:space="0" w:color="000000"/>
              <w:right w:val="single" w:sz="12" w:space="0" w:color="000000"/>
            </w:tcBorders>
            <w:vAlign w:val="center"/>
          </w:tcPr>
          <w:p w14:paraId="345987AA" w14:textId="291D66B0" w:rsidR="00B0429D" w:rsidRDefault="00B0429D" w:rsidP="00040058">
            <w:pPr>
              <w:spacing w:after="0" w:line="240" w:lineRule="auto"/>
              <w:ind w:left="0" w:right="0" w:firstLine="0"/>
              <w:jc w:val="center"/>
            </w:pPr>
            <w:r>
              <w:rPr>
                <w:sz w:val="18"/>
              </w:rPr>
              <w:t>8321</w:t>
            </w:r>
          </w:p>
        </w:tc>
        <w:tc>
          <w:tcPr>
            <w:tcW w:w="810" w:type="dxa"/>
            <w:tcBorders>
              <w:top w:val="single" w:sz="4" w:space="0" w:color="000000"/>
              <w:left w:val="single" w:sz="12" w:space="0" w:color="000000"/>
              <w:bottom w:val="single" w:sz="4" w:space="0" w:color="000000"/>
              <w:right w:val="single" w:sz="12" w:space="0" w:color="000000"/>
            </w:tcBorders>
            <w:vAlign w:val="center"/>
          </w:tcPr>
          <w:p w14:paraId="69B64797" w14:textId="67F93139" w:rsidR="00B0429D" w:rsidRDefault="00B0429D" w:rsidP="00040058">
            <w:pPr>
              <w:spacing w:after="0" w:line="240" w:lineRule="auto"/>
              <w:ind w:left="0" w:right="0" w:firstLine="0"/>
              <w:jc w:val="center"/>
            </w:pPr>
          </w:p>
        </w:tc>
      </w:tr>
      <w:tr w:rsidR="00B0429D" w14:paraId="2E69DA3A" w14:textId="77777777" w:rsidTr="00DF747D">
        <w:trPr>
          <w:trHeight w:val="245"/>
        </w:trPr>
        <w:tc>
          <w:tcPr>
            <w:tcW w:w="2804" w:type="dxa"/>
            <w:tcBorders>
              <w:top w:val="single" w:sz="4" w:space="0" w:color="000000"/>
              <w:left w:val="single" w:sz="12" w:space="0" w:color="000000"/>
              <w:bottom w:val="single" w:sz="4" w:space="0" w:color="000000"/>
              <w:right w:val="single" w:sz="12" w:space="0" w:color="000000"/>
            </w:tcBorders>
            <w:vAlign w:val="center"/>
          </w:tcPr>
          <w:p w14:paraId="4C91CB92" w14:textId="77777777" w:rsidR="00B0429D" w:rsidRDefault="00B0429D" w:rsidP="002425A6">
            <w:pPr>
              <w:spacing w:after="0" w:line="240" w:lineRule="auto"/>
              <w:ind w:left="43" w:right="0" w:firstLine="0"/>
            </w:pPr>
            <w:proofErr w:type="spellStart"/>
            <w:r>
              <w:rPr>
                <w:sz w:val="18"/>
              </w:rPr>
              <w:t>Metolcarb</w:t>
            </w:r>
            <w:proofErr w:type="spellEnd"/>
            <w:r>
              <w:rPr>
                <w:sz w:val="18"/>
              </w:rPr>
              <w:t xml:space="preserve"> </w:t>
            </w:r>
          </w:p>
        </w:tc>
        <w:tc>
          <w:tcPr>
            <w:tcW w:w="1053" w:type="dxa"/>
            <w:tcBorders>
              <w:top w:val="single" w:sz="4" w:space="0" w:color="000000"/>
              <w:left w:val="single" w:sz="12" w:space="0" w:color="000000"/>
              <w:bottom w:val="single" w:sz="4" w:space="0" w:color="000000"/>
              <w:right w:val="single" w:sz="12" w:space="0" w:color="000000"/>
            </w:tcBorders>
            <w:vAlign w:val="center"/>
          </w:tcPr>
          <w:p w14:paraId="103B6E58" w14:textId="69B25837" w:rsidR="00B0429D" w:rsidRDefault="00B0429D" w:rsidP="00040058">
            <w:pPr>
              <w:spacing w:after="0" w:line="240" w:lineRule="auto"/>
              <w:ind w:left="0" w:right="0" w:firstLine="0"/>
              <w:jc w:val="center"/>
            </w:pPr>
            <w:r>
              <w:rPr>
                <w:sz w:val="18"/>
              </w:rPr>
              <w:t>1129-41-5</w:t>
            </w:r>
          </w:p>
        </w:tc>
        <w:tc>
          <w:tcPr>
            <w:tcW w:w="706" w:type="dxa"/>
            <w:tcBorders>
              <w:top w:val="single" w:sz="4" w:space="0" w:color="000000"/>
              <w:left w:val="single" w:sz="12" w:space="0" w:color="000000"/>
              <w:bottom w:val="single" w:sz="4" w:space="0" w:color="000000"/>
              <w:right w:val="single" w:sz="12" w:space="0" w:color="000000"/>
            </w:tcBorders>
            <w:vAlign w:val="center"/>
          </w:tcPr>
          <w:p w14:paraId="5304D253" w14:textId="6CDD77AE" w:rsidR="00B0429D" w:rsidRDefault="00B0429D" w:rsidP="00040058">
            <w:pPr>
              <w:tabs>
                <w:tab w:val="center" w:pos="415"/>
              </w:tabs>
              <w:spacing w:after="0" w:line="240" w:lineRule="auto"/>
              <w:ind w:left="0" w:right="0" w:firstLine="0"/>
              <w:jc w:val="center"/>
            </w:pPr>
            <w:r>
              <w:rPr>
                <w:sz w:val="18"/>
              </w:rPr>
              <w:t>20</w:t>
            </w:r>
          </w:p>
        </w:tc>
        <w:tc>
          <w:tcPr>
            <w:tcW w:w="702" w:type="dxa"/>
            <w:tcBorders>
              <w:top w:val="single" w:sz="4" w:space="0" w:color="000000"/>
              <w:left w:val="single" w:sz="12" w:space="0" w:color="000000"/>
              <w:bottom w:val="single" w:sz="4" w:space="0" w:color="000000"/>
              <w:right w:val="single" w:sz="12" w:space="0" w:color="000000"/>
            </w:tcBorders>
            <w:vAlign w:val="center"/>
          </w:tcPr>
          <w:p w14:paraId="7B05A85E" w14:textId="5DE235E4" w:rsidR="00B0429D" w:rsidRDefault="00B0429D" w:rsidP="00040058">
            <w:pPr>
              <w:spacing w:after="0" w:line="240" w:lineRule="auto"/>
              <w:ind w:left="0" w:right="0" w:firstLine="0"/>
              <w:jc w:val="center"/>
            </w:pPr>
            <w:r>
              <w:rPr>
                <w:sz w:val="18"/>
              </w:rPr>
              <w:t>ug/L</w:t>
            </w:r>
          </w:p>
        </w:tc>
        <w:tc>
          <w:tcPr>
            <w:tcW w:w="789" w:type="dxa"/>
            <w:tcBorders>
              <w:top w:val="single" w:sz="4" w:space="0" w:color="000000"/>
              <w:left w:val="single" w:sz="12" w:space="0" w:color="000000"/>
              <w:bottom w:val="single" w:sz="4" w:space="0" w:color="000000"/>
              <w:right w:val="single" w:sz="12" w:space="0" w:color="000000"/>
            </w:tcBorders>
            <w:vAlign w:val="center"/>
          </w:tcPr>
          <w:p w14:paraId="231925C5" w14:textId="4A3A5208" w:rsidR="00B0429D" w:rsidRDefault="00B0429D" w:rsidP="00040058">
            <w:pPr>
              <w:spacing w:after="0" w:line="240" w:lineRule="auto"/>
              <w:ind w:left="0" w:right="0" w:firstLine="0"/>
              <w:jc w:val="center"/>
            </w:pPr>
            <w:r>
              <w:rPr>
                <w:sz w:val="18"/>
              </w:rPr>
              <w:t>1300</w:t>
            </w:r>
          </w:p>
        </w:tc>
        <w:tc>
          <w:tcPr>
            <w:tcW w:w="957" w:type="dxa"/>
            <w:tcBorders>
              <w:top w:val="single" w:sz="4" w:space="0" w:color="000000"/>
              <w:left w:val="single" w:sz="12" w:space="0" w:color="000000"/>
              <w:bottom w:val="single" w:sz="4" w:space="0" w:color="000000"/>
              <w:right w:val="single" w:sz="12" w:space="0" w:color="000000"/>
            </w:tcBorders>
            <w:vAlign w:val="center"/>
          </w:tcPr>
          <w:p w14:paraId="16CAC7B7" w14:textId="64EE208D" w:rsidR="00B0429D" w:rsidRDefault="00B0429D" w:rsidP="00040058">
            <w:pPr>
              <w:spacing w:after="0" w:line="240" w:lineRule="auto"/>
              <w:ind w:left="0" w:right="0" w:firstLine="0"/>
              <w:jc w:val="center"/>
            </w:pPr>
            <w:r>
              <w:rPr>
                <w:rFonts w:eastAsia="Segoe UI Symbol"/>
                <w:sz w:val="18"/>
              </w:rPr>
              <w:t>u</w:t>
            </w:r>
            <w:r>
              <w:rPr>
                <w:sz w:val="18"/>
              </w:rPr>
              <w:t>g/kg</w:t>
            </w:r>
          </w:p>
        </w:tc>
        <w:tc>
          <w:tcPr>
            <w:tcW w:w="454" w:type="dxa"/>
            <w:tcBorders>
              <w:top w:val="single" w:sz="4" w:space="0" w:color="000000"/>
              <w:left w:val="single" w:sz="12" w:space="0" w:color="000000"/>
              <w:bottom w:val="single" w:sz="4" w:space="0" w:color="000000"/>
              <w:right w:val="single" w:sz="12" w:space="0" w:color="000000"/>
            </w:tcBorders>
            <w:vAlign w:val="center"/>
          </w:tcPr>
          <w:p w14:paraId="7C5C8674" w14:textId="3A69CD74" w:rsidR="00B0429D" w:rsidRDefault="00B0429D" w:rsidP="00040058">
            <w:pPr>
              <w:spacing w:after="0" w:line="240" w:lineRule="auto"/>
              <w:ind w:left="0" w:right="0" w:firstLine="0"/>
              <w:jc w:val="center"/>
            </w:pPr>
            <w:r>
              <w:rPr>
                <w:sz w:val="18"/>
              </w:rPr>
              <w:t>X</w:t>
            </w:r>
          </w:p>
        </w:tc>
        <w:tc>
          <w:tcPr>
            <w:tcW w:w="445" w:type="dxa"/>
            <w:tcBorders>
              <w:top w:val="single" w:sz="4" w:space="0" w:color="000000"/>
              <w:left w:val="single" w:sz="12" w:space="0" w:color="000000"/>
              <w:bottom w:val="single" w:sz="4" w:space="0" w:color="000000"/>
              <w:right w:val="single" w:sz="12" w:space="0" w:color="000000"/>
            </w:tcBorders>
            <w:vAlign w:val="center"/>
          </w:tcPr>
          <w:p w14:paraId="049EFB38" w14:textId="07FBBF19" w:rsidR="00B0429D" w:rsidRDefault="00B0429D" w:rsidP="00040058">
            <w:pPr>
              <w:spacing w:after="0" w:line="240" w:lineRule="auto"/>
              <w:ind w:left="0" w:right="0" w:firstLine="0"/>
              <w:jc w:val="center"/>
            </w:pPr>
          </w:p>
        </w:tc>
        <w:tc>
          <w:tcPr>
            <w:tcW w:w="431" w:type="dxa"/>
            <w:tcBorders>
              <w:top w:val="single" w:sz="4" w:space="0" w:color="000000"/>
              <w:left w:val="single" w:sz="12" w:space="0" w:color="000000"/>
              <w:bottom w:val="single" w:sz="4" w:space="0" w:color="000000"/>
              <w:right w:val="single" w:sz="12" w:space="0" w:color="000000"/>
            </w:tcBorders>
            <w:vAlign w:val="center"/>
          </w:tcPr>
          <w:p w14:paraId="6218362F" w14:textId="5FDEE165" w:rsidR="00B0429D" w:rsidRDefault="00B0429D" w:rsidP="00040058">
            <w:pPr>
              <w:spacing w:after="0" w:line="240" w:lineRule="auto"/>
              <w:ind w:left="0" w:right="0" w:firstLine="0"/>
              <w:jc w:val="center"/>
            </w:pPr>
          </w:p>
        </w:tc>
        <w:tc>
          <w:tcPr>
            <w:tcW w:w="749" w:type="dxa"/>
            <w:tcBorders>
              <w:top w:val="single" w:sz="4" w:space="0" w:color="000000"/>
              <w:left w:val="single" w:sz="12" w:space="0" w:color="000000"/>
              <w:bottom w:val="single" w:sz="4" w:space="0" w:color="000000"/>
              <w:right w:val="single" w:sz="12" w:space="0" w:color="000000"/>
            </w:tcBorders>
            <w:vAlign w:val="center"/>
          </w:tcPr>
          <w:p w14:paraId="55E394AC" w14:textId="0479CC31" w:rsidR="00B0429D" w:rsidRDefault="00B0429D" w:rsidP="00040058">
            <w:pPr>
              <w:spacing w:after="0" w:line="240" w:lineRule="auto"/>
              <w:ind w:left="0" w:right="0" w:firstLine="0"/>
              <w:jc w:val="center"/>
            </w:pPr>
            <w:r>
              <w:rPr>
                <w:sz w:val="18"/>
              </w:rPr>
              <w:t>8318</w:t>
            </w:r>
          </w:p>
        </w:tc>
        <w:tc>
          <w:tcPr>
            <w:tcW w:w="720" w:type="dxa"/>
            <w:tcBorders>
              <w:top w:val="single" w:sz="4" w:space="0" w:color="000000"/>
              <w:left w:val="single" w:sz="12" w:space="0" w:color="000000"/>
              <w:bottom w:val="single" w:sz="4" w:space="0" w:color="000000"/>
              <w:right w:val="single" w:sz="12" w:space="0" w:color="000000"/>
            </w:tcBorders>
            <w:vAlign w:val="center"/>
          </w:tcPr>
          <w:p w14:paraId="16CB5E08" w14:textId="4F9B27E0" w:rsidR="00B0429D" w:rsidRDefault="00B0429D" w:rsidP="00040058">
            <w:pPr>
              <w:spacing w:after="0" w:line="240" w:lineRule="auto"/>
              <w:ind w:left="0" w:right="0" w:firstLine="0"/>
              <w:jc w:val="center"/>
            </w:pPr>
            <w:r>
              <w:rPr>
                <w:sz w:val="18"/>
              </w:rPr>
              <w:t>8321</w:t>
            </w:r>
          </w:p>
        </w:tc>
        <w:tc>
          <w:tcPr>
            <w:tcW w:w="810" w:type="dxa"/>
            <w:tcBorders>
              <w:top w:val="single" w:sz="4" w:space="0" w:color="000000"/>
              <w:left w:val="single" w:sz="12" w:space="0" w:color="000000"/>
              <w:bottom w:val="single" w:sz="4" w:space="0" w:color="000000"/>
              <w:right w:val="single" w:sz="12" w:space="0" w:color="000000"/>
            </w:tcBorders>
            <w:vAlign w:val="center"/>
          </w:tcPr>
          <w:p w14:paraId="12E320B1" w14:textId="0E559F6F" w:rsidR="00B0429D" w:rsidRDefault="00B0429D" w:rsidP="00040058">
            <w:pPr>
              <w:spacing w:after="0" w:line="240" w:lineRule="auto"/>
              <w:ind w:left="0" w:right="0" w:firstLine="0"/>
              <w:jc w:val="center"/>
            </w:pPr>
          </w:p>
        </w:tc>
      </w:tr>
      <w:tr w:rsidR="00B0429D" w14:paraId="300A6974" w14:textId="77777777" w:rsidTr="00DF747D">
        <w:trPr>
          <w:trHeight w:val="245"/>
        </w:trPr>
        <w:tc>
          <w:tcPr>
            <w:tcW w:w="2804" w:type="dxa"/>
            <w:tcBorders>
              <w:top w:val="single" w:sz="4" w:space="0" w:color="000000"/>
              <w:left w:val="single" w:sz="12" w:space="0" w:color="000000"/>
              <w:bottom w:val="single" w:sz="4" w:space="0" w:color="000000"/>
              <w:right w:val="single" w:sz="12" w:space="0" w:color="000000"/>
            </w:tcBorders>
            <w:vAlign w:val="center"/>
          </w:tcPr>
          <w:p w14:paraId="2DE5B831" w14:textId="77777777" w:rsidR="00B0429D" w:rsidRDefault="00B0429D" w:rsidP="002425A6">
            <w:pPr>
              <w:spacing w:after="0" w:line="240" w:lineRule="auto"/>
              <w:ind w:left="43" w:right="0" w:firstLine="0"/>
            </w:pPr>
            <w:proofErr w:type="spellStart"/>
            <w:r>
              <w:rPr>
                <w:sz w:val="18"/>
              </w:rPr>
              <w:t>Mexacarbate</w:t>
            </w:r>
            <w:proofErr w:type="spellEnd"/>
            <w:r>
              <w:rPr>
                <w:sz w:val="18"/>
              </w:rPr>
              <w:t xml:space="preserve">  </w:t>
            </w:r>
          </w:p>
        </w:tc>
        <w:tc>
          <w:tcPr>
            <w:tcW w:w="1053" w:type="dxa"/>
            <w:tcBorders>
              <w:top w:val="single" w:sz="4" w:space="0" w:color="000000"/>
              <w:left w:val="single" w:sz="12" w:space="0" w:color="000000"/>
              <w:bottom w:val="single" w:sz="4" w:space="0" w:color="000000"/>
              <w:right w:val="single" w:sz="12" w:space="0" w:color="000000"/>
            </w:tcBorders>
            <w:vAlign w:val="center"/>
          </w:tcPr>
          <w:p w14:paraId="60D7F076" w14:textId="79EF2399" w:rsidR="00B0429D" w:rsidRDefault="00B0429D" w:rsidP="00040058">
            <w:pPr>
              <w:spacing w:after="0" w:line="240" w:lineRule="auto"/>
              <w:ind w:left="0" w:right="0" w:firstLine="0"/>
              <w:jc w:val="center"/>
            </w:pPr>
            <w:r>
              <w:rPr>
                <w:sz w:val="18"/>
              </w:rPr>
              <w:t>315-18-4</w:t>
            </w:r>
          </w:p>
        </w:tc>
        <w:tc>
          <w:tcPr>
            <w:tcW w:w="706" w:type="dxa"/>
            <w:tcBorders>
              <w:top w:val="single" w:sz="4" w:space="0" w:color="000000"/>
              <w:left w:val="single" w:sz="12" w:space="0" w:color="000000"/>
              <w:bottom w:val="single" w:sz="4" w:space="0" w:color="000000"/>
              <w:right w:val="single" w:sz="12" w:space="0" w:color="000000"/>
            </w:tcBorders>
            <w:vAlign w:val="center"/>
          </w:tcPr>
          <w:p w14:paraId="5730D5B4" w14:textId="0468DDAD" w:rsidR="00B0429D" w:rsidRDefault="00B0429D" w:rsidP="00040058">
            <w:pPr>
              <w:tabs>
                <w:tab w:val="center" w:pos="415"/>
              </w:tabs>
              <w:spacing w:after="0" w:line="240" w:lineRule="auto"/>
              <w:ind w:left="0" w:right="0" w:firstLine="0"/>
              <w:jc w:val="center"/>
            </w:pPr>
            <w:r>
              <w:rPr>
                <w:sz w:val="18"/>
              </w:rPr>
              <w:t>20</w:t>
            </w:r>
          </w:p>
        </w:tc>
        <w:tc>
          <w:tcPr>
            <w:tcW w:w="702" w:type="dxa"/>
            <w:tcBorders>
              <w:top w:val="single" w:sz="4" w:space="0" w:color="000000"/>
              <w:left w:val="single" w:sz="12" w:space="0" w:color="000000"/>
              <w:bottom w:val="single" w:sz="4" w:space="0" w:color="000000"/>
              <w:right w:val="single" w:sz="12" w:space="0" w:color="000000"/>
            </w:tcBorders>
            <w:vAlign w:val="center"/>
          </w:tcPr>
          <w:p w14:paraId="07833761" w14:textId="05D21DC0" w:rsidR="00B0429D" w:rsidRDefault="00B0429D" w:rsidP="00040058">
            <w:pPr>
              <w:spacing w:after="0" w:line="240" w:lineRule="auto"/>
              <w:ind w:left="0" w:right="0" w:firstLine="0"/>
              <w:jc w:val="center"/>
            </w:pPr>
            <w:r>
              <w:rPr>
                <w:sz w:val="18"/>
              </w:rPr>
              <w:t>ug/L</w:t>
            </w:r>
          </w:p>
        </w:tc>
        <w:tc>
          <w:tcPr>
            <w:tcW w:w="789" w:type="dxa"/>
            <w:tcBorders>
              <w:top w:val="single" w:sz="4" w:space="0" w:color="000000"/>
              <w:left w:val="single" w:sz="12" w:space="0" w:color="000000"/>
              <w:bottom w:val="single" w:sz="4" w:space="0" w:color="000000"/>
              <w:right w:val="single" w:sz="12" w:space="0" w:color="000000"/>
            </w:tcBorders>
            <w:vAlign w:val="center"/>
          </w:tcPr>
          <w:p w14:paraId="4FF047AC" w14:textId="68CBF99B" w:rsidR="00B0429D" w:rsidRDefault="00B0429D" w:rsidP="00040058">
            <w:pPr>
              <w:spacing w:after="0" w:line="240" w:lineRule="auto"/>
              <w:ind w:left="0" w:right="0" w:firstLine="0"/>
              <w:jc w:val="center"/>
            </w:pPr>
            <w:r>
              <w:rPr>
                <w:sz w:val="18"/>
              </w:rPr>
              <w:t>1300</w:t>
            </w:r>
          </w:p>
        </w:tc>
        <w:tc>
          <w:tcPr>
            <w:tcW w:w="957" w:type="dxa"/>
            <w:tcBorders>
              <w:top w:val="single" w:sz="4" w:space="0" w:color="000000"/>
              <w:left w:val="single" w:sz="12" w:space="0" w:color="000000"/>
              <w:bottom w:val="single" w:sz="4" w:space="0" w:color="000000"/>
              <w:right w:val="single" w:sz="12" w:space="0" w:color="000000"/>
            </w:tcBorders>
            <w:vAlign w:val="center"/>
          </w:tcPr>
          <w:p w14:paraId="4FFA7D9B" w14:textId="797F2C28" w:rsidR="00B0429D" w:rsidRDefault="00B0429D" w:rsidP="00040058">
            <w:pPr>
              <w:spacing w:after="0" w:line="240" w:lineRule="auto"/>
              <w:ind w:left="0" w:right="0" w:firstLine="0"/>
              <w:jc w:val="center"/>
            </w:pPr>
            <w:r>
              <w:rPr>
                <w:rFonts w:eastAsia="Segoe UI Symbol"/>
                <w:sz w:val="18"/>
              </w:rPr>
              <w:t>u</w:t>
            </w:r>
            <w:r>
              <w:rPr>
                <w:sz w:val="18"/>
              </w:rPr>
              <w:t>g/kg</w:t>
            </w:r>
          </w:p>
        </w:tc>
        <w:tc>
          <w:tcPr>
            <w:tcW w:w="454" w:type="dxa"/>
            <w:tcBorders>
              <w:top w:val="single" w:sz="4" w:space="0" w:color="000000"/>
              <w:left w:val="single" w:sz="12" w:space="0" w:color="000000"/>
              <w:bottom w:val="single" w:sz="4" w:space="0" w:color="000000"/>
              <w:right w:val="single" w:sz="12" w:space="0" w:color="000000"/>
            </w:tcBorders>
            <w:vAlign w:val="center"/>
          </w:tcPr>
          <w:p w14:paraId="57B18144" w14:textId="7433AB9D" w:rsidR="00B0429D" w:rsidRDefault="00B0429D" w:rsidP="00040058">
            <w:pPr>
              <w:spacing w:after="0" w:line="240" w:lineRule="auto"/>
              <w:ind w:left="0" w:right="0" w:firstLine="0"/>
              <w:jc w:val="center"/>
            </w:pPr>
            <w:r>
              <w:rPr>
                <w:sz w:val="18"/>
              </w:rPr>
              <w:t>X</w:t>
            </w:r>
          </w:p>
        </w:tc>
        <w:tc>
          <w:tcPr>
            <w:tcW w:w="445" w:type="dxa"/>
            <w:tcBorders>
              <w:top w:val="single" w:sz="4" w:space="0" w:color="000000"/>
              <w:left w:val="single" w:sz="12" w:space="0" w:color="000000"/>
              <w:bottom w:val="single" w:sz="4" w:space="0" w:color="000000"/>
              <w:right w:val="single" w:sz="12" w:space="0" w:color="000000"/>
            </w:tcBorders>
            <w:vAlign w:val="center"/>
          </w:tcPr>
          <w:p w14:paraId="4FB9055D" w14:textId="7D4B8CFC" w:rsidR="00B0429D" w:rsidRDefault="00B0429D" w:rsidP="00040058">
            <w:pPr>
              <w:spacing w:after="0" w:line="240" w:lineRule="auto"/>
              <w:ind w:left="0" w:right="0" w:firstLine="0"/>
              <w:jc w:val="center"/>
            </w:pPr>
          </w:p>
        </w:tc>
        <w:tc>
          <w:tcPr>
            <w:tcW w:w="431" w:type="dxa"/>
            <w:tcBorders>
              <w:top w:val="single" w:sz="4" w:space="0" w:color="000000"/>
              <w:left w:val="single" w:sz="12" w:space="0" w:color="000000"/>
              <w:bottom w:val="single" w:sz="4" w:space="0" w:color="000000"/>
              <w:right w:val="single" w:sz="12" w:space="0" w:color="000000"/>
            </w:tcBorders>
            <w:vAlign w:val="center"/>
          </w:tcPr>
          <w:p w14:paraId="080F9DB3" w14:textId="566C8F90" w:rsidR="00B0429D" w:rsidRDefault="00B0429D" w:rsidP="00040058">
            <w:pPr>
              <w:spacing w:after="0" w:line="240" w:lineRule="auto"/>
              <w:ind w:left="0" w:right="0" w:firstLine="0"/>
              <w:jc w:val="center"/>
            </w:pPr>
          </w:p>
        </w:tc>
        <w:tc>
          <w:tcPr>
            <w:tcW w:w="749" w:type="dxa"/>
            <w:tcBorders>
              <w:top w:val="single" w:sz="4" w:space="0" w:color="000000"/>
              <w:left w:val="single" w:sz="12" w:space="0" w:color="000000"/>
              <w:bottom w:val="single" w:sz="4" w:space="0" w:color="000000"/>
              <w:right w:val="single" w:sz="12" w:space="0" w:color="000000"/>
            </w:tcBorders>
            <w:vAlign w:val="center"/>
          </w:tcPr>
          <w:p w14:paraId="5A21987E" w14:textId="1DCC766F" w:rsidR="00B0429D" w:rsidRDefault="00B0429D" w:rsidP="00040058">
            <w:pPr>
              <w:spacing w:after="0" w:line="240" w:lineRule="auto"/>
              <w:ind w:left="0" w:right="0" w:firstLine="0"/>
              <w:jc w:val="center"/>
            </w:pPr>
            <w:r>
              <w:rPr>
                <w:sz w:val="18"/>
              </w:rPr>
              <w:t>8318</w:t>
            </w:r>
          </w:p>
        </w:tc>
        <w:tc>
          <w:tcPr>
            <w:tcW w:w="720" w:type="dxa"/>
            <w:tcBorders>
              <w:top w:val="single" w:sz="4" w:space="0" w:color="000000"/>
              <w:left w:val="single" w:sz="12" w:space="0" w:color="000000"/>
              <w:bottom w:val="single" w:sz="4" w:space="0" w:color="000000"/>
              <w:right w:val="single" w:sz="12" w:space="0" w:color="000000"/>
            </w:tcBorders>
            <w:vAlign w:val="center"/>
          </w:tcPr>
          <w:p w14:paraId="55E40A04" w14:textId="47E8421C" w:rsidR="00B0429D" w:rsidRDefault="00B0429D" w:rsidP="00040058">
            <w:pPr>
              <w:spacing w:after="0" w:line="240" w:lineRule="auto"/>
              <w:ind w:left="0" w:right="0" w:firstLine="0"/>
              <w:jc w:val="center"/>
            </w:pPr>
            <w:r>
              <w:rPr>
                <w:sz w:val="18"/>
              </w:rPr>
              <w:t>8321</w:t>
            </w:r>
          </w:p>
        </w:tc>
        <w:tc>
          <w:tcPr>
            <w:tcW w:w="810" w:type="dxa"/>
            <w:tcBorders>
              <w:top w:val="single" w:sz="4" w:space="0" w:color="000000"/>
              <w:left w:val="single" w:sz="12" w:space="0" w:color="000000"/>
              <w:bottom w:val="single" w:sz="4" w:space="0" w:color="000000"/>
              <w:right w:val="single" w:sz="12" w:space="0" w:color="000000"/>
            </w:tcBorders>
            <w:vAlign w:val="center"/>
          </w:tcPr>
          <w:p w14:paraId="2861190A" w14:textId="343D1872" w:rsidR="00B0429D" w:rsidRDefault="00B0429D" w:rsidP="00040058">
            <w:pPr>
              <w:spacing w:after="0" w:line="240" w:lineRule="auto"/>
              <w:ind w:left="0" w:right="0" w:firstLine="0"/>
              <w:jc w:val="center"/>
            </w:pPr>
            <w:r>
              <w:rPr>
                <w:sz w:val="18"/>
              </w:rPr>
              <w:t>8270</w:t>
            </w:r>
          </w:p>
        </w:tc>
      </w:tr>
      <w:tr w:rsidR="00B0429D" w14:paraId="098BA4F3" w14:textId="77777777" w:rsidTr="00DF747D">
        <w:trPr>
          <w:trHeight w:val="245"/>
        </w:trPr>
        <w:tc>
          <w:tcPr>
            <w:tcW w:w="2804" w:type="dxa"/>
            <w:tcBorders>
              <w:top w:val="single" w:sz="4" w:space="0" w:color="000000"/>
              <w:left w:val="single" w:sz="12" w:space="0" w:color="000000"/>
              <w:bottom w:val="single" w:sz="4" w:space="0" w:color="000000"/>
              <w:right w:val="single" w:sz="12" w:space="0" w:color="000000"/>
            </w:tcBorders>
            <w:vAlign w:val="center"/>
          </w:tcPr>
          <w:p w14:paraId="1A7C524C" w14:textId="77777777" w:rsidR="00B0429D" w:rsidRDefault="00B0429D" w:rsidP="002425A6">
            <w:pPr>
              <w:spacing w:after="0" w:line="240" w:lineRule="auto"/>
              <w:ind w:left="43" w:right="0" w:firstLine="0"/>
            </w:pPr>
            <w:proofErr w:type="spellStart"/>
            <w:r>
              <w:rPr>
                <w:sz w:val="18"/>
              </w:rPr>
              <w:t>Oxamyl</w:t>
            </w:r>
            <w:proofErr w:type="spellEnd"/>
            <w:r>
              <w:rPr>
                <w:sz w:val="18"/>
              </w:rPr>
              <w:t xml:space="preserve"> </w:t>
            </w:r>
          </w:p>
        </w:tc>
        <w:tc>
          <w:tcPr>
            <w:tcW w:w="1053" w:type="dxa"/>
            <w:tcBorders>
              <w:top w:val="single" w:sz="4" w:space="0" w:color="000000"/>
              <w:left w:val="single" w:sz="12" w:space="0" w:color="000000"/>
              <w:bottom w:val="single" w:sz="4" w:space="0" w:color="000000"/>
              <w:right w:val="single" w:sz="12" w:space="0" w:color="000000"/>
            </w:tcBorders>
            <w:vAlign w:val="center"/>
          </w:tcPr>
          <w:p w14:paraId="2E6DE834" w14:textId="66359AD1" w:rsidR="00B0429D" w:rsidRDefault="00B0429D" w:rsidP="00040058">
            <w:pPr>
              <w:spacing w:after="0" w:line="240" w:lineRule="auto"/>
              <w:ind w:left="0" w:right="0" w:firstLine="0"/>
              <w:jc w:val="center"/>
            </w:pPr>
            <w:r>
              <w:rPr>
                <w:sz w:val="18"/>
              </w:rPr>
              <w:t>23135-22-0</w:t>
            </w:r>
          </w:p>
        </w:tc>
        <w:tc>
          <w:tcPr>
            <w:tcW w:w="706" w:type="dxa"/>
            <w:tcBorders>
              <w:top w:val="single" w:sz="4" w:space="0" w:color="000000"/>
              <w:left w:val="single" w:sz="12" w:space="0" w:color="000000"/>
              <w:bottom w:val="single" w:sz="4" w:space="0" w:color="000000"/>
              <w:right w:val="single" w:sz="12" w:space="0" w:color="000000"/>
            </w:tcBorders>
            <w:vAlign w:val="center"/>
          </w:tcPr>
          <w:p w14:paraId="4971EE61" w14:textId="785D06F3" w:rsidR="00B0429D" w:rsidRDefault="00B0429D" w:rsidP="00040058">
            <w:pPr>
              <w:tabs>
                <w:tab w:val="center" w:pos="415"/>
              </w:tabs>
              <w:spacing w:after="0" w:line="240" w:lineRule="auto"/>
              <w:ind w:left="0" w:right="0" w:firstLine="0"/>
              <w:jc w:val="center"/>
            </w:pPr>
            <w:r>
              <w:rPr>
                <w:sz w:val="18"/>
              </w:rPr>
              <w:t>20</w:t>
            </w:r>
          </w:p>
        </w:tc>
        <w:tc>
          <w:tcPr>
            <w:tcW w:w="702" w:type="dxa"/>
            <w:tcBorders>
              <w:top w:val="single" w:sz="4" w:space="0" w:color="000000"/>
              <w:left w:val="single" w:sz="12" w:space="0" w:color="000000"/>
              <w:bottom w:val="single" w:sz="4" w:space="0" w:color="000000"/>
              <w:right w:val="single" w:sz="12" w:space="0" w:color="000000"/>
            </w:tcBorders>
            <w:vAlign w:val="center"/>
          </w:tcPr>
          <w:p w14:paraId="32D2D0C3" w14:textId="26DF92F3" w:rsidR="00B0429D" w:rsidRDefault="00B0429D" w:rsidP="00040058">
            <w:pPr>
              <w:spacing w:after="0" w:line="240" w:lineRule="auto"/>
              <w:ind w:left="0" w:right="0" w:firstLine="0"/>
              <w:jc w:val="center"/>
            </w:pPr>
            <w:r>
              <w:rPr>
                <w:sz w:val="18"/>
              </w:rPr>
              <w:t>ug/L</w:t>
            </w:r>
          </w:p>
        </w:tc>
        <w:tc>
          <w:tcPr>
            <w:tcW w:w="789" w:type="dxa"/>
            <w:tcBorders>
              <w:top w:val="single" w:sz="4" w:space="0" w:color="000000"/>
              <w:left w:val="single" w:sz="12" w:space="0" w:color="000000"/>
              <w:bottom w:val="single" w:sz="4" w:space="0" w:color="000000"/>
              <w:right w:val="single" w:sz="12" w:space="0" w:color="000000"/>
            </w:tcBorders>
            <w:vAlign w:val="center"/>
          </w:tcPr>
          <w:p w14:paraId="5C9F944B" w14:textId="6A153D55" w:rsidR="00B0429D" w:rsidRDefault="00B0429D" w:rsidP="00040058">
            <w:pPr>
              <w:spacing w:after="0" w:line="240" w:lineRule="auto"/>
              <w:ind w:left="0" w:right="0" w:firstLine="0"/>
              <w:jc w:val="center"/>
            </w:pPr>
            <w:r>
              <w:rPr>
                <w:sz w:val="18"/>
              </w:rPr>
              <w:t>1300</w:t>
            </w:r>
          </w:p>
        </w:tc>
        <w:tc>
          <w:tcPr>
            <w:tcW w:w="957" w:type="dxa"/>
            <w:tcBorders>
              <w:top w:val="single" w:sz="4" w:space="0" w:color="000000"/>
              <w:left w:val="single" w:sz="12" w:space="0" w:color="000000"/>
              <w:bottom w:val="single" w:sz="4" w:space="0" w:color="000000"/>
              <w:right w:val="single" w:sz="12" w:space="0" w:color="000000"/>
            </w:tcBorders>
            <w:vAlign w:val="center"/>
          </w:tcPr>
          <w:p w14:paraId="7108D7B6" w14:textId="324BCA44" w:rsidR="00B0429D" w:rsidRDefault="00B0429D" w:rsidP="00040058">
            <w:pPr>
              <w:spacing w:after="0" w:line="240" w:lineRule="auto"/>
              <w:ind w:left="0" w:right="0" w:firstLine="0"/>
              <w:jc w:val="center"/>
            </w:pPr>
            <w:r>
              <w:rPr>
                <w:rFonts w:eastAsia="Segoe UI Symbol"/>
                <w:sz w:val="18"/>
              </w:rPr>
              <w:t>u</w:t>
            </w:r>
            <w:r>
              <w:rPr>
                <w:sz w:val="18"/>
              </w:rPr>
              <w:t>g/kg</w:t>
            </w:r>
          </w:p>
        </w:tc>
        <w:tc>
          <w:tcPr>
            <w:tcW w:w="454" w:type="dxa"/>
            <w:tcBorders>
              <w:top w:val="single" w:sz="4" w:space="0" w:color="000000"/>
              <w:left w:val="single" w:sz="12" w:space="0" w:color="000000"/>
              <w:bottom w:val="single" w:sz="4" w:space="0" w:color="000000"/>
              <w:right w:val="single" w:sz="12" w:space="0" w:color="000000"/>
            </w:tcBorders>
            <w:vAlign w:val="center"/>
          </w:tcPr>
          <w:p w14:paraId="7B48527B" w14:textId="4BDEC38A" w:rsidR="00B0429D" w:rsidRDefault="00B0429D" w:rsidP="00040058">
            <w:pPr>
              <w:spacing w:after="0" w:line="240" w:lineRule="auto"/>
              <w:ind w:left="0" w:right="0" w:firstLine="0"/>
              <w:jc w:val="center"/>
            </w:pPr>
            <w:r>
              <w:rPr>
                <w:sz w:val="18"/>
              </w:rPr>
              <w:t>X</w:t>
            </w:r>
          </w:p>
        </w:tc>
        <w:tc>
          <w:tcPr>
            <w:tcW w:w="445" w:type="dxa"/>
            <w:tcBorders>
              <w:top w:val="single" w:sz="4" w:space="0" w:color="000000"/>
              <w:left w:val="single" w:sz="12" w:space="0" w:color="000000"/>
              <w:bottom w:val="single" w:sz="4" w:space="0" w:color="000000"/>
              <w:right w:val="single" w:sz="12" w:space="0" w:color="000000"/>
            </w:tcBorders>
            <w:vAlign w:val="center"/>
          </w:tcPr>
          <w:p w14:paraId="20913225" w14:textId="3C0060EC" w:rsidR="00B0429D" w:rsidRDefault="00B0429D" w:rsidP="00040058">
            <w:pPr>
              <w:spacing w:after="0" w:line="240" w:lineRule="auto"/>
              <w:ind w:left="0" w:right="0" w:firstLine="0"/>
              <w:jc w:val="center"/>
            </w:pPr>
          </w:p>
        </w:tc>
        <w:tc>
          <w:tcPr>
            <w:tcW w:w="431" w:type="dxa"/>
            <w:tcBorders>
              <w:top w:val="single" w:sz="4" w:space="0" w:color="000000"/>
              <w:left w:val="single" w:sz="12" w:space="0" w:color="000000"/>
              <w:bottom w:val="single" w:sz="4" w:space="0" w:color="000000"/>
              <w:right w:val="single" w:sz="12" w:space="0" w:color="000000"/>
            </w:tcBorders>
            <w:vAlign w:val="center"/>
          </w:tcPr>
          <w:p w14:paraId="7D3D79D9" w14:textId="759304C3" w:rsidR="00B0429D" w:rsidRDefault="00B0429D" w:rsidP="00040058">
            <w:pPr>
              <w:spacing w:after="0" w:line="240" w:lineRule="auto"/>
              <w:ind w:left="0" w:right="0" w:firstLine="0"/>
              <w:jc w:val="center"/>
            </w:pPr>
          </w:p>
        </w:tc>
        <w:tc>
          <w:tcPr>
            <w:tcW w:w="749" w:type="dxa"/>
            <w:tcBorders>
              <w:top w:val="single" w:sz="4" w:space="0" w:color="000000"/>
              <w:left w:val="single" w:sz="12" w:space="0" w:color="000000"/>
              <w:bottom w:val="single" w:sz="4" w:space="0" w:color="000000"/>
              <w:right w:val="single" w:sz="12" w:space="0" w:color="000000"/>
            </w:tcBorders>
            <w:vAlign w:val="center"/>
          </w:tcPr>
          <w:p w14:paraId="3A7873D1" w14:textId="242AB489" w:rsidR="00B0429D" w:rsidRDefault="00B0429D" w:rsidP="00040058">
            <w:pPr>
              <w:spacing w:after="0" w:line="240" w:lineRule="auto"/>
              <w:ind w:left="0" w:right="0" w:firstLine="0"/>
              <w:jc w:val="center"/>
            </w:pPr>
            <w:r>
              <w:rPr>
                <w:sz w:val="18"/>
              </w:rPr>
              <w:t>8318</w:t>
            </w:r>
          </w:p>
        </w:tc>
        <w:tc>
          <w:tcPr>
            <w:tcW w:w="720" w:type="dxa"/>
            <w:tcBorders>
              <w:top w:val="single" w:sz="4" w:space="0" w:color="000000"/>
              <w:left w:val="single" w:sz="12" w:space="0" w:color="000000"/>
              <w:bottom w:val="single" w:sz="4" w:space="0" w:color="000000"/>
              <w:right w:val="single" w:sz="12" w:space="0" w:color="000000"/>
            </w:tcBorders>
            <w:vAlign w:val="center"/>
          </w:tcPr>
          <w:p w14:paraId="39FFE7AD" w14:textId="155CC3D0" w:rsidR="00B0429D" w:rsidRDefault="00B0429D" w:rsidP="00040058">
            <w:pPr>
              <w:spacing w:after="0" w:line="240" w:lineRule="auto"/>
              <w:ind w:left="0" w:right="0" w:firstLine="0"/>
              <w:jc w:val="center"/>
            </w:pPr>
            <w:r>
              <w:rPr>
                <w:sz w:val="18"/>
              </w:rPr>
              <w:t>8321</w:t>
            </w:r>
          </w:p>
        </w:tc>
        <w:tc>
          <w:tcPr>
            <w:tcW w:w="810" w:type="dxa"/>
            <w:tcBorders>
              <w:top w:val="single" w:sz="4" w:space="0" w:color="000000"/>
              <w:left w:val="single" w:sz="12" w:space="0" w:color="000000"/>
              <w:bottom w:val="single" w:sz="4" w:space="0" w:color="000000"/>
              <w:right w:val="single" w:sz="12" w:space="0" w:color="000000"/>
            </w:tcBorders>
            <w:vAlign w:val="center"/>
          </w:tcPr>
          <w:p w14:paraId="2967AE04" w14:textId="22D0C673" w:rsidR="00B0429D" w:rsidRDefault="00B0429D" w:rsidP="00040058">
            <w:pPr>
              <w:spacing w:after="0" w:line="240" w:lineRule="auto"/>
              <w:ind w:left="0" w:right="0" w:firstLine="0"/>
              <w:jc w:val="center"/>
            </w:pPr>
          </w:p>
        </w:tc>
      </w:tr>
      <w:tr w:rsidR="00B0429D" w14:paraId="348B0AF0" w14:textId="77777777" w:rsidTr="00DF747D">
        <w:trPr>
          <w:trHeight w:val="245"/>
        </w:trPr>
        <w:tc>
          <w:tcPr>
            <w:tcW w:w="2804" w:type="dxa"/>
            <w:tcBorders>
              <w:top w:val="single" w:sz="4" w:space="0" w:color="000000"/>
              <w:left w:val="single" w:sz="12" w:space="0" w:color="000000"/>
              <w:bottom w:val="single" w:sz="4" w:space="0" w:color="000000"/>
              <w:right w:val="single" w:sz="12" w:space="0" w:color="000000"/>
            </w:tcBorders>
            <w:vAlign w:val="center"/>
          </w:tcPr>
          <w:p w14:paraId="4D43BB6B" w14:textId="77777777" w:rsidR="00B0429D" w:rsidRDefault="00B0429D" w:rsidP="002425A6">
            <w:pPr>
              <w:spacing w:after="0" w:line="240" w:lineRule="auto"/>
              <w:ind w:left="43" w:right="0" w:firstLine="0"/>
            </w:pPr>
            <w:proofErr w:type="spellStart"/>
            <w:r>
              <w:rPr>
                <w:sz w:val="18"/>
              </w:rPr>
              <w:t>Promecarb</w:t>
            </w:r>
            <w:proofErr w:type="spellEnd"/>
            <w:r>
              <w:rPr>
                <w:sz w:val="18"/>
              </w:rPr>
              <w:t xml:space="preserve"> </w:t>
            </w:r>
          </w:p>
        </w:tc>
        <w:tc>
          <w:tcPr>
            <w:tcW w:w="1053" w:type="dxa"/>
            <w:tcBorders>
              <w:top w:val="single" w:sz="4" w:space="0" w:color="000000"/>
              <w:left w:val="single" w:sz="12" w:space="0" w:color="000000"/>
              <w:bottom w:val="single" w:sz="4" w:space="0" w:color="000000"/>
              <w:right w:val="single" w:sz="12" w:space="0" w:color="000000"/>
            </w:tcBorders>
            <w:vAlign w:val="center"/>
          </w:tcPr>
          <w:p w14:paraId="3A79DA1A" w14:textId="3181360B" w:rsidR="00B0429D" w:rsidRDefault="00B0429D" w:rsidP="00040058">
            <w:pPr>
              <w:spacing w:after="0" w:line="240" w:lineRule="auto"/>
              <w:ind w:left="0" w:right="0" w:firstLine="0"/>
              <w:jc w:val="center"/>
            </w:pPr>
            <w:r>
              <w:rPr>
                <w:sz w:val="18"/>
              </w:rPr>
              <w:t>2631-37-0</w:t>
            </w:r>
          </w:p>
        </w:tc>
        <w:tc>
          <w:tcPr>
            <w:tcW w:w="706" w:type="dxa"/>
            <w:tcBorders>
              <w:top w:val="single" w:sz="4" w:space="0" w:color="000000"/>
              <w:left w:val="single" w:sz="12" w:space="0" w:color="000000"/>
              <w:bottom w:val="single" w:sz="4" w:space="0" w:color="000000"/>
              <w:right w:val="single" w:sz="12" w:space="0" w:color="000000"/>
            </w:tcBorders>
            <w:vAlign w:val="center"/>
          </w:tcPr>
          <w:p w14:paraId="6FB0F64D" w14:textId="7AD35204" w:rsidR="00B0429D" w:rsidRDefault="00B0429D" w:rsidP="00040058">
            <w:pPr>
              <w:tabs>
                <w:tab w:val="center" w:pos="415"/>
              </w:tabs>
              <w:spacing w:after="0" w:line="240" w:lineRule="auto"/>
              <w:ind w:left="0" w:right="0" w:firstLine="0"/>
              <w:jc w:val="center"/>
            </w:pPr>
            <w:r>
              <w:rPr>
                <w:sz w:val="18"/>
              </w:rPr>
              <w:t>25</w:t>
            </w:r>
          </w:p>
        </w:tc>
        <w:tc>
          <w:tcPr>
            <w:tcW w:w="702" w:type="dxa"/>
            <w:tcBorders>
              <w:top w:val="single" w:sz="4" w:space="0" w:color="000000"/>
              <w:left w:val="single" w:sz="12" w:space="0" w:color="000000"/>
              <w:bottom w:val="single" w:sz="4" w:space="0" w:color="000000"/>
              <w:right w:val="single" w:sz="12" w:space="0" w:color="000000"/>
            </w:tcBorders>
            <w:vAlign w:val="center"/>
          </w:tcPr>
          <w:p w14:paraId="72E5E686" w14:textId="3E59F2FC" w:rsidR="00B0429D" w:rsidRDefault="00B0429D" w:rsidP="00040058">
            <w:pPr>
              <w:spacing w:after="0" w:line="240" w:lineRule="auto"/>
              <w:ind w:left="0" w:right="0" w:firstLine="0"/>
              <w:jc w:val="center"/>
            </w:pPr>
            <w:r>
              <w:rPr>
                <w:sz w:val="18"/>
              </w:rPr>
              <w:t>ug/L</w:t>
            </w:r>
          </w:p>
        </w:tc>
        <w:tc>
          <w:tcPr>
            <w:tcW w:w="789" w:type="dxa"/>
            <w:tcBorders>
              <w:top w:val="single" w:sz="4" w:space="0" w:color="000000"/>
              <w:left w:val="single" w:sz="12" w:space="0" w:color="000000"/>
              <w:bottom w:val="single" w:sz="4" w:space="0" w:color="000000"/>
              <w:right w:val="single" w:sz="12" w:space="0" w:color="000000"/>
            </w:tcBorders>
            <w:vAlign w:val="center"/>
          </w:tcPr>
          <w:p w14:paraId="78C99AF0" w14:textId="1BCB72C8" w:rsidR="00B0429D" w:rsidRDefault="00B0429D" w:rsidP="00040058">
            <w:pPr>
              <w:spacing w:after="0" w:line="240" w:lineRule="auto"/>
              <w:ind w:left="0" w:right="0" w:firstLine="0"/>
              <w:jc w:val="center"/>
            </w:pPr>
            <w:r>
              <w:rPr>
                <w:sz w:val="18"/>
              </w:rPr>
              <w:t>1700</w:t>
            </w:r>
          </w:p>
        </w:tc>
        <w:tc>
          <w:tcPr>
            <w:tcW w:w="957" w:type="dxa"/>
            <w:tcBorders>
              <w:top w:val="single" w:sz="4" w:space="0" w:color="000000"/>
              <w:left w:val="single" w:sz="12" w:space="0" w:color="000000"/>
              <w:bottom w:val="single" w:sz="4" w:space="0" w:color="000000"/>
              <w:right w:val="single" w:sz="12" w:space="0" w:color="000000"/>
            </w:tcBorders>
            <w:vAlign w:val="center"/>
          </w:tcPr>
          <w:p w14:paraId="6949D78E" w14:textId="1D4307CA" w:rsidR="00B0429D" w:rsidRDefault="00B0429D" w:rsidP="00040058">
            <w:pPr>
              <w:spacing w:after="0" w:line="240" w:lineRule="auto"/>
              <w:ind w:left="0" w:right="0" w:firstLine="0"/>
              <w:jc w:val="center"/>
            </w:pPr>
            <w:r>
              <w:rPr>
                <w:rFonts w:eastAsia="Segoe UI Symbol"/>
                <w:sz w:val="18"/>
              </w:rPr>
              <w:t>u</w:t>
            </w:r>
            <w:r>
              <w:rPr>
                <w:sz w:val="18"/>
              </w:rPr>
              <w:t>g/kg</w:t>
            </w:r>
          </w:p>
        </w:tc>
        <w:tc>
          <w:tcPr>
            <w:tcW w:w="454" w:type="dxa"/>
            <w:tcBorders>
              <w:top w:val="single" w:sz="4" w:space="0" w:color="000000"/>
              <w:left w:val="single" w:sz="12" w:space="0" w:color="000000"/>
              <w:bottom w:val="single" w:sz="4" w:space="0" w:color="000000"/>
              <w:right w:val="single" w:sz="12" w:space="0" w:color="000000"/>
            </w:tcBorders>
            <w:vAlign w:val="center"/>
          </w:tcPr>
          <w:p w14:paraId="50DF51DB" w14:textId="66FF3633" w:rsidR="00B0429D" w:rsidRDefault="00B0429D" w:rsidP="00040058">
            <w:pPr>
              <w:spacing w:after="0" w:line="240" w:lineRule="auto"/>
              <w:ind w:left="0" w:right="0" w:firstLine="0"/>
              <w:jc w:val="center"/>
            </w:pPr>
            <w:r>
              <w:rPr>
                <w:sz w:val="18"/>
              </w:rPr>
              <w:t>X</w:t>
            </w:r>
          </w:p>
        </w:tc>
        <w:tc>
          <w:tcPr>
            <w:tcW w:w="445" w:type="dxa"/>
            <w:tcBorders>
              <w:top w:val="single" w:sz="4" w:space="0" w:color="000000"/>
              <w:left w:val="single" w:sz="12" w:space="0" w:color="000000"/>
              <w:bottom w:val="single" w:sz="4" w:space="0" w:color="000000"/>
              <w:right w:val="single" w:sz="12" w:space="0" w:color="000000"/>
            </w:tcBorders>
            <w:vAlign w:val="center"/>
          </w:tcPr>
          <w:p w14:paraId="22540E49" w14:textId="67CF30AB" w:rsidR="00B0429D" w:rsidRDefault="00B0429D" w:rsidP="00040058">
            <w:pPr>
              <w:spacing w:after="0" w:line="240" w:lineRule="auto"/>
              <w:ind w:left="0" w:right="0" w:firstLine="0"/>
              <w:jc w:val="center"/>
            </w:pPr>
          </w:p>
        </w:tc>
        <w:tc>
          <w:tcPr>
            <w:tcW w:w="431" w:type="dxa"/>
            <w:tcBorders>
              <w:top w:val="single" w:sz="4" w:space="0" w:color="000000"/>
              <w:left w:val="single" w:sz="12" w:space="0" w:color="000000"/>
              <w:bottom w:val="single" w:sz="4" w:space="0" w:color="000000"/>
              <w:right w:val="single" w:sz="12" w:space="0" w:color="000000"/>
            </w:tcBorders>
            <w:vAlign w:val="center"/>
          </w:tcPr>
          <w:p w14:paraId="0DB4C430" w14:textId="128B10C7" w:rsidR="00B0429D" w:rsidRDefault="00B0429D" w:rsidP="00040058">
            <w:pPr>
              <w:spacing w:after="0" w:line="240" w:lineRule="auto"/>
              <w:ind w:left="0" w:right="0" w:firstLine="0"/>
              <w:jc w:val="center"/>
            </w:pPr>
          </w:p>
        </w:tc>
        <w:tc>
          <w:tcPr>
            <w:tcW w:w="749" w:type="dxa"/>
            <w:tcBorders>
              <w:top w:val="single" w:sz="4" w:space="0" w:color="000000"/>
              <w:left w:val="single" w:sz="12" w:space="0" w:color="000000"/>
              <w:bottom w:val="single" w:sz="4" w:space="0" w:color="000000"/>
              <w:right w:val="single" w:sz="12" w:space="0" w:color="000000"/>
            </w:tcBorders>
            <w:vAlign w:val="center"/>
          </w:tcPr>
          <w:p w14:paraId="6AD72BB8" w14:textId="7C0F510B" w:rsidR="00B0429D" w:rsidRDefault="00B0429D" w:rsidP="00040058">
            <w:pPr>
              <w:spacing w:after="0" w:line="240" w:lineRule="auto"/>
              <w:ind w:left="0" w:right="0" w:firstLine="0"/>
              <w:jc w:val="center"/>
            </w:pPr>
            <w:r>
              <w:rPr>
                <w:sz w:val="18"/>
              </w:rPr>
              <w:t>8318</w:t>
            </w:r>
          </w:p>
        </w:tc>
        <w:tc>
          <w:tcPr>
            <w:tcW w:w="720" w:type="dxa"/>
            <w:tcBorders>
              <w:top w:val="single" w:sz="4" w:space="0" w:color="000000"/>
              <w:left w:val="single" w:sz="12" w:space="0" w:color="000000"/>
              <w:bottom w:val="single" w:sz="4" w:space="0" w:color="000000"/>
              <w:right w:val="single" w:sz="12" w:space="0" w:color="000000"/>
            </w:tcBorders>
            <w:vAlign w:val="center"/>
          </w:tcPr>
          <w:p w14:paraId="5BB51A38" w14:textId="72A52062" w:rsidR="00B0429D" w:rsidRDefault="00B0429D" w:rsidP="00040058">
            <w:pPr>
              <w:spacing w:after="0" w:line="240" w:lineRule="auto"/>
              <w:ind w:left="0" w:right="0" w:firstLine="0"/>
              <w:jc w:val="center"/>
            </w:pPr>
          </w:p>
        </w:tc>
        <w:tc>
          <w:tcPr>
            <w:tcW w:w="810" w:type="dxa"/>
            <w:tcBorders>
              <w:top w:val="single" w:sz="4" w:space="0" w:color="000000"/>
              <w:left w:val="single" w:sz="12" w:space="0" w:color="000000"/>
              <w:bottom w:val="single" w:sz="4" w:space="0" w:color="000000"/>
              <w:right w:val="single" w:sz="12" w:space="0" w:color="000000"/>
            </w:tcBorders>
            <w:vAlign w:val="center"/>
          </w:tcPr>
          <w:p w14:paraId="4DBBB13B" w14:textId="43D84683" w:rsidR="00B0429D" w:rsidRDefault="00B0429D" w:rsidP="00040058">
            <w:pPr>
              <w:spacing w:after="0" w:line="240" w:lineRule="auto"/>
              <w:ind w:left="0" w:right="0" w:firstLine="0"/>
              <w:jc w:val="center"/>
            </w:pPr>
          </w:p>
        </w:tc>
      </w:tr>
      <w:tr w:rsidR="00B0429D" w14:paraId="1DC8AC51" w14:textId="77777777" w:rsidTr="00DF747D">
        <w:trPr>
          <w:trHeight w:val="245"/>
        </w:trPr>
        <w:tc>
          <w:tcPr>
            <w:tcW w:w="2804" w:type="dxa"/>
            <w:tcBorders>
              <w:top w:val="single" w:sz="4" w:space="0" w:color="000000"/>
              <w:left w:val="single" w:sz="12" w:space="0" w:color="000000"/>
              <w:bottom w:val="single" w:sz="4" w:space="0" w:color="000000"/>
              <w:right w:val="single" w:sz="12" w:space="0" w:color="000000"/>
            </w:tcBorders>
            <w:vAlign w:val="center"/>
          </w:tcPr>
          <w:p w14:paraId="552F5F3F" w14:textId="3B752F14" w:rsidR="00B0429D" w:rsidRDefault="00B0429D" w:rsidP="002425A6">
            <w:pPr>
              <w:spacing w:after="0" w:line="240" w:lineRule="auto"/>
              <w:ind w:left="43" w:right="0" w:firstLine="0"/>
            </w:pPr>
            <w:r>
              <w:rPr>
                <w:sz w:val="18"/>
              </w:rPr>
              <w:t>Propoxur (</w:t>
            </w:r>
            <w:proofErr w:type="spellStart"/>
            <w:r>
              <w:rPr>
                <w:i/>
                <w:sz w:val="18"/>
              </w:rPr>
              <w:t>Baygon</w:t>
            </w:r>
            <w:proofErr w:type="spellEnd"/>
            <w:r>
              <w:rPr>
                <w:i/>
                <w:sz w:val="18"/>
              </w:rPr>
              <w:t>)</w:t>
            </w:r>
            <w:r>
              <w:rPr>
                <w:sz w:val="18"/>
              </w:rPr>
              <w:t xml:space="preserve"> </w:t>
            </w:r>
          </w:p>
        </w:tc>
        <w:tc>
          <w:tcPr>
            <w:tcW w:w="1053" w:type="dxa"/>
            <w:tcBorders>
              <w:top w:val="single" w:sz="4" w:space="0" w:color="000000"/>
              <w:left w:val="single" w:sz="12" w:space="0" w:color="000000"/>
              <w:bottom w:val="single" w:sz="4" w:space="0" w:color="000000"/>
              <w:right w:val="single" w:sz="12" w:space="0" w:color="000000"/>
            </w:tcBorders>
            <w:vAlign w:val="center"/>
          </w:tcPr>
          <w:p w14:paraId="1565C75C" w14:textId="45030FF9" w:rsidR="00B0429D" w:rsidRDefault="00B0429D" w:rsidP="00040058">
            <w:pPr>
              <w:spacing w:after="0" w:line="240" w:lineRule="auto"/>
              <w:ind w:left="0" w:right="0" w:firstLine="0"/>
              <w:jc w:val="center"/>
            </w:pPr>
            <w:r>
              <w:rPr>
                <w:sz w:val="18"/>
              </w:rPr>
              <w:t>114-26-1</w:t>
            </w:r>
          </w:p>
        </w:tc>
        <w:tc>
          <w:tcPr>
            <w:tcW w:w="706" w:type="dxa"/>
            <w:tcBorders>
              <w:top w:val="single" w:sz="4" w:space="0" w:color="000000"/>
              <w:left w:val="single" w:sz="12" w:space="0" w:color="000000"/>
              <w:bottom w:val="single" w:sz="4" w:space="0" w:color="000000"/>
              <w:right w:val="single" w:sz="12" w:space="0" w:color="000000"/>
            </w:tcBorders>
            <w:vAlign w:val="center"/>
          </w:tcPr>
          <w:p w14:paraId="7C9DD53B" w14:textId="13ACA817" w:rsidR="00B0429D" w:rsidRDefault="00B0429D" w:rsidP="00040058">
            <w:pPr>
              <w:tabs>
                <w:tab w:val="center" w:pos="415"/>
              </w:tabs>
              <w:spacing w:after="0" w:line="240" w:lineRule="auto"/>
              <w:ind w:left="0" w:right="0" w:firstLine="0"/>
              <w:jc w:val="center"/>
            </w:pPr>
            <w:r>
              <w:rPr>
                <w:sz w:val="18"/>
              </w:rPr>
              <w:t>20</w:t>
            </w:r>
          </w:p>
        </w:tc>
        <w:tc>
          <w:tcPr>
            <w:tcW w:w="702" w:type="dxa"/>
            <w:tcBorders>
              <w:top w:val="single" w:sz="4" w:space="0" w:color="000000"/>
              <w:left w:val="single" w:sz="12" w:space="0" w:color="000000"/>
              <w:bottom w:val="single" w:sz="4" w:space="0" w:color="000000"/>
              <w:right w:val="single" w:sz="12" w:space="0" w:color="000000"/>
            </w:tcBorders>
            <w:vAlign w:val="center"/>
          </w:tcPr>
          <w:p w14:paraId="4E0A3D35" w14:textId="5B15F39E" w:rsidR="00B0429D" w:rsidRDefault="00B0429D" w:rsidP="00040058">
            <w:pPr>
              <w:spacing w:after="0" w:line="240" w:lineRule="auto"/>
              <w:ind w:left="0" w:right="0" w:firstLine="0"/>
              <w:jc w:val="center"/>
            </w:pPr>
            <w:r>
              <w:rPr>
                <w:sz w:val="18"/>
              </w:rPr>
              <w:t>ug/L</w:t>
            </w:r>
          </w:p>
        </w:tc>
        <w:tc>
          <w:tcPr>
            <w:tcW w:w="789" w:type="dxa"/>
            <w:tcBorders>
              <w:top w:val="single" w:sz="4" w:space="0" w:color="000000"/>
              <w:left w:val="single" w:sz="12" w:space="0" w:color="000000"/>
              <w:bottom w:val="single" w:sz="4" w:space="0" w:color="000000"/>
              <w:right w:val="single" w:sz="12" w:space="0" w:color="000000"/>
            </w:tcBorders>
            <w:vAlign w:val="center"/>
          </w:tcPr>
          <w:p w14:paraId="79DAEEFF" w14:textId="742FE10B" w:rsidR="00B0429D" w:rsidRDefault="00B0429D" w:rsidP="00040058">
            <w:pPr>
              <w:spacing w:after="0" w:line="240" w:lineRule="auto"/>
              <w:ind w:left="0" w:right="0" w:firstLine="0"/>
              <w:jc w:val="center"/>
            </w:pPr>
            <w:r>
              <w:rPr>
                <w:sz w:val="18"/>
              </w:rPr>
              <w:t>1300</w:t>
            </w:r>
          </w:p>
        </w:tc>
        <w:tc>
          <w:tcPr>
            <w:tcW w:w="957" w:type="dxa"/>
            <w:tcBorders>
              <w:top w:val="single" w:sz="4" w:space="0" w:color="000000"/>
              <w:left w:val="single" w:sz="12" w:space="0" w:color="000000"/>
              <w:bottom w:val="single" w:sz="4" w:space="0" w:color="000000"/>
              <w:right w:val="single" w:sz="12" w:space="0" w:color="000000"/>
            </w:tcBorders>
            <w:vAlign w:val="center"/>
          </w:tcPr>
          <w:p w14:paraId="5F0F972F" w14:textId="2F8E9DA3" w:rsidR="00B0429D" w:rsidRDefault="00B0429D" w:rsidP="00040058">
            <w:pPr>
              <w:spacing w:after="0" w:line="240" w:lineRule="auto"/>
              <w:ind w:left="0" w:right="0" w:firstLine="0"/>
              <w:jc w:val="center"/>
            </w:pPr>
            <w:r>
              <w:rPr>
                <w:rFonts w:eastAsia="Segoe UI Symbol"/>
                <w:sz w:val="18"/>
              </w:rPr>
              <w:t>u</w:t>
            </w:r>
            <w:r>
              <w:rPr>
                <w:sz w:val="18"/>
              </w:rPr>
              <w:t>g/kg</w:t>
            </w:r>
          </w:p>
        </w:tc>
        <w:tc>
          <w:tcPr>
            <w:tcW w:w="454" w:type="dxa"/>
            <w:tcBorders>
              <w:top w:val="single" w:sz="4" w:space="0" w:color="000000"/>
              <w:left w:val="single" w:sz="12" w:space="0" w:color="000000"/>
              <w:bottom w:val="single" w:sz="4" w:space="0" w:color="000000"/>
              <w:right w:val="single" w:sz="12" w:space="0" w:color="000000"/>
            </w:tcBorders>
            <w:vAlign w:val="center"/>
          </w:tcPr>
          <w:p w14:paraId="7427CB4D" w14:textId="6BD94B5E" w:rsidR="00B0429D" w:rsidRDefault="00B0429D" w:rsidP="00040058">
            <w:pPr>
              <w:spacing w:after="0" w:line="240" w:lineRule="auto"/>
              <w:ind w:left="0" w:right="0" w:firstLine="0"/>
              <w:jc w:val="center"/>
            </w:pPr>
            <w:r>
              <w:rPr>
                <w:sz w:val="18"/>
              </w:rPr>
              <w:t>X</w:t>
            </w:r>
          </w:p>
        </w:tc>
        <w:tc>
          <w:tcPr>
            <w:tcW w:w="445" w:type="dxa"/>
            <w:tcBorders>
              <w:top w:val="single" w:sz="4" w:space="0" w:color="000000"/>
              <w:left w:val="single" w:sz="12" w:space="0" w:color="000000"/>
              <w:bottom w:val="single" w:sz="4" w:space="0" w:color="000000"/>
              <w:right w:val="single" w:sz="12" w:space="0" w:color="000000"/>
            </w:tcBorders>
            <w:vAlign w:val="center"/>
          </w:tcPr>
          <w:p w14:paraId="35AF3206" w14:textId="0A2D5667" w:rsidR="00B0429D" w:rsidRDefault="00B0429D" w:rsidP="00040058">
            <w:pPr>
              <w:spacing w:after="0" w:line="240" w:lineRule="auto"/>
              <w:ind w:left="0" w:right="0" w:firstLine="0"/>
              <w:jc w:val="center"/>
            </w:pPr>
          </w:p>
        </w:tc>
        <w:tc>
          <w:tcPr>
            <w:tcW w:w="431" w:type="dxa"/>
            <w:tcBorders>
              <w:top w:val="single" w:sz="4" w:space="0" w:color="000000"/>
              <w:left w:val="single" w:sz="12" w:space="0" w:color="000000"/>
              <w:bottom w:val="single" w:sz="4" w:space="0" w:color="000000"/>
              <w:right w:val="single" w:sz="12" w:space="0" w:color="000000"/>
            </w:tcBorders>
            <w:vAlign w:val="center"/>
          </w:tcPr>
          <w:p w14:paraId="1D1EDD22" w14:textId="08586DA3" w:rsidR="00B0429D" w:rsidRDefault="00B0429D" w:rsidP="00040058">
            <w:pPr>
              <w:spacing w:after="0" w:line="240" w:lineRule="auto"/>
              <w:ind w:left="0" w:right="0" w:firstLine="0"/>
              <w:jc w:val="center"/>
            </w:pPr>
          </w:p>
        </w:tc>
        <w:tc>
          <w:tcPr>
            <w:tcW w:w="749" w:type="dxa"/>
            <w:tcBorders>
              <w:top w:val="single" w:sz="4" w:space="0" w:color="000000"/>
              <w:left w:val="single" w:sz="12" w:space="0" w:color="000000"/>
              <w:bottom w:val="single" w:sz="4" w:space="0" w:color="000000"/>
              <w:right w:val="single" w:sz="12" w:space="0" w:color="000000"/>
            </w:tcBorders>
            <w:vAlign w:val="center"/>
          </w:tcPr>
          <w:p w14:paraId="441629BB" w14:textId="4372ACE1" w:rsidR="00B0429D" w:rsidRDefault="00B0429D" w:rsidP="00040058">
            <w:pPr>
              <w:spacing w:after="0" w:line="240" w:lineRule="auto"/>
              <w:ind w:left="0" w:right="0" w:firstLine="0"/>
              <w:jc w:val="center"/>
            </w:pPr>
            <w:r>
              <w:rPr>
                <w:sz w:val="18"/>
              </w:rPr>
              <w:t>8318</w:t>
            </w:r>
          </w:p>
        </w:tc>
        <w:tc>
          <w:tcPr>
            <w:tcW w:w="720" w:type="dxa"/>
            <w:tcBorders>
              <w:top w:val="single" w:sz="4" w:space="0" w:color="000000"/>
              <w:left w:val="single" w:sz="12" w:space="0" w:color="000000"/>
              <w:bottom w:val="single" w:sz="4" w:space="0" w:color="000000"/>
              <w:right w:val="single" w:sz="12" w:space="0" w:color="000000"/>
            </w:tcBorders>
            <w:vAlign w:val="center"/>
          </w:tcPr>
          <w:p w14:paraId="214BD69C" w14:textId="215F0317" w:rsidR="00B0429D" w:rsidRDefault="00B0429D" w:rsidP="00040058">
            <w:pPr>
              <w:spacing w:after="0" w:line="240" w:lineRule="auto"/>
              <w:ind w:left="0" w:right="0" w:firstLine="0"/>
              <w:jc w:val="center"/>
            </w:pPr>
            <w:r>
              <w:rPr>
                <w:sz w:val="18"/>
              </w:rPr>
              <w:t>8321</w:t>
            </w:r>
          </w:p>
        </w:tc>
        <w:tc>
          <w:tcPr>
            <w:tcW w:w="810" w:type="dxa"/>
            <w:tcBorders>
              <w:top w:val="single" w:sz="4" w:space="0" w:color="000000"/>
              <w:left w:val="single" w:sz="12" w:space="0" w:color="000000"/>
              <w:bottom w:val="single" w:sz="4" w:space="0" w:color="000000"/>
              <w:right w:val="single" w:sz="12" w:space="0" w:color="000000"/>
            </w:tcBorders>
            <w:vAlign w:val="center"/>
          </w:tcPr>
          <w:p w14:paraId="7574D2D2" w14:textId="55064A8B" w:rsidR="00B0429D" w:rsidRDefault="00B0429D" w:rsidP="00040058">
            <w:pPr>
              <w:spacing w:after="0" w:line="240" w:lineRule="auto"/>
              <w:ind w:left="0" w:right="0" w:firstLine="0"/>
              <w:jc w:val="center"/>
            </w:pPr>
          </w:p>
        </w:tc>
      </w:tr>
      <w:tr w:rsidR="00B0429D" w14:paraId="70E15A71" w14:textId="77777777" w:rsidTr="00DF747D">
        <w:trPr>
          <w:trHeight w:val="245"/>
        </w:trPr>
        <w:tc>
          <w:tcPr>
            <w:tcW w:w="2804" w:type="dxa"/>
            <w:tcBorders>
              <w:top w:val="single" w:sz="4" w:space="0" w:color="000000"/>
              <w:left w:val="single" w:sz="12" w:space="0" w:color="000000"/>
              <w:bottom w:val="single" w:sz="12" w:space="0" w:color="000000"/>
              <w:right w:val="single" w:sz="12" w:space="0" w:color="000000"/>
            </w:tcBorders>
            <w:vAlign w:val="center"/>
          </w:tcPr>
          <w:p w14:paraId="368753CD" w14:textId="77777777" w:rsidR="00B0429D" w:rsidRDefault="00B0429D" w:rsidP="002425A6">
            <w:pPr>
              <w:spacing w:after="0" w:line="240" w:lineRule="auto"/>
              <w:ind w:left="43" w:right="0" w:firstLine="0"/>
            </w:pPr>
            <w:proofErr w:type="spellStart"/>
            <w:r>
              <w:rPr>
                <w:sz w:val="18"/>
              </w:rPr>
              <w:t>Thiodicarb</w:t>
            </w:r>
            <w:proofErr w:type="spellEnd"/>
            <w:r>
              <w:rPr>
                <w:sz w:val="18"/>
              </w:rPr>
              <w:t xml:space="preserve"> </w:t>
            </w:r>
          </w:p>
        </w:tc>
        <w:tc>
          <w:tcPr>
            <w:tcW w:w="1053" w:type="dxa"/>
            <w:tcBorders>
              <w:top w:val="single" w:sz="4" w:space="0" w:color="000000"/>
              <w:left w:val="single" w:sz="12" w:space="0" w:color="000000"/>
              <w:bottom w:val="single" w:sz="12" w:space="0" w:color="000000"/>
              <w:right w:val="single" w:sz="12" w:space="0" w:color="000000"/>
            </w:tcBorders>
            <w:vAlign w:val="center"/>
          </w:tcPr>
          <w:p w14:paraId="00A6B80B" w14:textId="12157221" w:rsidR="00B0429D" w:rsidRDefault="00B0429D" w:rsidP="00040058">
            <w:pPr>
              <w:spacing w:after="0" w:line="240" w:lineRule="auto"/>
              <w:ind w:left="0" w:right="0" w:firstLine="0"/>
              <w:jc w:val="center"/>
            </w:pPr>
            <w:r>
              <w:rPr>
                <w:sz w:val="18"/>
              </w:rPr>
              <w:t>59669-26-0</w:t>
            </w:r>
          </w:p>
        </w:tc>
        <w:tc>
          <w:tcPr>
            <w:tcW w:w="706" w:type="dxa"/>
            <w:tcBorders>
              <w:top w:val="single" w:sz="4" w:space="0" w:color="000000"/>
              <w:left w:val="single" w:sz="12" w:space="0" w:color="000000"/>
              <w:bottom w:val="single" w:sz="12" w:space="0" w:color="000000"/>
              <w:right w:val="single" w:sz="12" w:space="0" w:color="000000"/>
            </w:tcBorders>
            <w:vAlign w:val="center"/>
          </w:tcPr>
          <w:p w14:paraId="16EF25F0" w14:textId="1AFD1513" w:rsidR="00B0429D" w:rsidRDefault="00B0429D" w:rsidP="00040058">
            <w:pPr>
              <w:tabs>
                <w:tab w:val="center" w:pos="415"/>
              </w:tabs>
              <w:spacing w:after="0" w:line="240" w:lineRule="auto"/>
              <w:ind w:left="0" w:right="0" w:firstLine="0"/>
              <w:jc w:val="center"/>
            </w:pPr>
            <w:r>
              <w:rPr>
                <w:sz w:val="18"/>
              </w:rPr>
              <w:t>20</w:t>
            </w:r>
          </w:p>
        </w:tc>
        <w:tc>
          <w:tcPr>
            <w:tcW w:w="702" w:type="dxa"/>
            <w:tcBorders>
              <w:top w:val="single" w:sz="4" w:space="0" w:color="000000"/>
              <w:left w:val="single" w:sz="12" w:space="0" w:color="000000"/>
              <w:bottom w:val="single" w:sz="12" w:space="0" w:color="000000"/>
              <w:right w:val="single" w:sz="12" w:space="0" w:color="000000"/>
            </w:tcBorders>
            <w:vAlign w:val="center"/>
          </w:tcPr>
          <w:p w14:paraId="6F8F148B" w14:textId="6D669162" w:rsidR="00B0429D" w:rsidRDefault="00B0429D" w:rsidP="00040058">
            <w:pPr>
              <w:spacing w:after="0" w:line="240" w:lineRule="auto"/>
              <w:ind w:left="0" w:right="0" w:firstLine="0"/>
              <w:jc w:val="center"/>
            </w:pPr>
            <w:r>
              <w:rPr>
                <w:sz w:val="18"/>
              </w:rPr>
              <w:t>ug/L</w:t>
            </w:r>
          </w:p>
        </w:tc>
        <w:tc>
          <w:tcPr>
            <w:tcW w:w="789" w:type="dxa"/>
            <w:tcBorders>
              <w:top w:val="single" w:sz="4" w:space="0" w:color="000000"/>
              <w:left w:val="single" w:sz="12" w:space="0" w:color="000000"/>
              <w:bottom w:val="single" w:sz="12" w:space="0" w:color="000000"/>
              <w:right w:val="single" w:sz="12" w:space="0" w:color="000000"/>
            </w:tcBorders>
            <w:vAlign w:val="center"/>
          </w:tcPr>
          <w:p w14:paraId="5F141237" w14:textId="12E4431B" w:rsidR="00B0429D" w:rsidRDefault="00B0429D" w:rsidP="00040058">
            <w:pPr>
              <w:spacing w:after="0" w:line="240" w:lineRule="auto"/>
              <w:ind w:left="0" w:right="0" w:firstLine="0"/>
              <w:jc w:val="center"/>
            </w:pPr>
            <w:r>
              <w:rPr>
                <w:sz w:val="18"/>
              </w:rPr>
              <w:t>1300</w:t>
            </w:r>
          </w:p>
        </w:tc>
        <w:tc>
          <w:tcPr>
            <w:tcW w:w="957" w:type="dxa"/>
            <w:tcBorders>
              <w:top w:val="single" w:sz="4" w:space="0" w:color="000000"/>
              <w:left w:val="single" w:sz="12" w:space="0" w:color="000000"/>
              <w:bottom w:val="single" w:sz="12" w:space="0" w:color="000000"/>
              <w:right w:val="single" w:sz="12" w:space="0" w:color="000000"/>
            </w:tcBorders>
            <w:vAlign w:val="center"/>
          </w:tcPr>
          <w:p w14:paraId="200BB800" w14:textId="0D42341C" w:rsidR="00B0429D" w:rsidRDefault="00B0429D" w:rsidP="00040058">
            <w:pPr>
              <w:spacing w:after="0" w:line="240" w:lineRule="auto"/>
              <w:ind w:left="0" w:right="0" w:firstLine="0"/>
              <w:jc w:val="center"/>
            </w:pPr>
            <w:r>
              <w:rPr>
                <w:rFonts w:eastAsia="Segoe UI Symbol"/>
                <w:sz w:val="18"/>
              </w:rPr>
              <w:t>u</w:t>
            </w:r>
            <w:r>
              <w:rPr>
                <w:sz w:val="18"/>
              </w:rPr>
              <w:t>g/kg</w:t>
            </w:r>
          </w:p>
        </w:tc>
        <w:tc>
          <w:tcPr>
            <w:tcW w:w="454" w:type="dxa"/>
            <w:tcBorders>
              <w:top w:val="single" w:sz="4" w:space="0" w:color="000000"/>
              <w:left w:val="single" w:sz="12" w:space="0" w:color="000000"/>
              <w:bottom w:val="single" w:sz="12" w:space="0" w:color="000000"/>
              <w:right w:val="single" w:sz="12" w:space="0" w:color="000000"/>
            </w:tcBorders>
            <w:vAlign w:val="center"/>
          </w:tcPr>
          <w:p w14:paraId="7C9EA0AD" w14:textId="59EF28DE" w:rsidR="00B0429D" w:rsidRDefault="00B0429D" w:rsidP="00040058">
            <w:pPr>
              <w:spacing w:after="0" w:line="240" w:lineRule="auto"/>
              <w:ind w:left="0" w:right="0" w:firstLine="0"/>
              <w:jc w:val="center"/>
            </w:pPr>
            <w:r>
              <w:rPr>
                <w:sz w:val="18"/>
              </w:rPr>
              <w:t>X</w:t>
            </w:r>
          </w:p>
        </w:tc>
        <w:tc>
          <w:tcPr>
            <w:tcW w:w="445" w:type="dxa"/>
            <w:tcBorders>
              <w:top w:val="single" w:sz="4" w:space="0" w:color="000000"/>
              <w:left w:val="single" w:sz="12" w:space="0" w:color="000000"/>
              <w:bottom w:val="single" w:sz="12" w:space="0" w:color="000000"/>
              <w:right w:val="single" w:sz="12" w:space="0" w:color="000000"/>
            </w:tcBorders>
            <w:vAlign w:val="center"/>
          </w:tcPr>
          <w:p w14:paraId="6C871464" w14:textId="46FFA01E" w:rsidR="00B0429D" w:rsidRDefault="00B0429D" w:rsidP="00040058">
            <w:pPr>
              <w:spacing w:after="0" w:line="240" w:lineRule="auto"/>
              <w:ind w:left="0" w:right="0" w:firstLine="0"/>
              <w:jc w:val="center"/>
            </w:pPr>
          </w:p>
        </w:tc>
        <w:tc>
          <w:tcPr>
            <w:tcW w:w="431" w:type="dxa"/>
            <w:tcBorders>
              <w:top w:val="single" w:sz="4" w:space="0" w:color="000000"/>
              <w:left w:val="single" w:sz="12" w:space="0" w:color="000000"/>
              <w:bottom w:val="single" w:sz="12" w:space="0" w:color="000000"/>
              <w:right w:val="single" w:sz="12" w:space="0" w:color="000000"/>
            </w:tcBorders>
            <w:vAlign w:val="center"/>
          </w:tcPr>
          <w:p w14:paraId="152630CC" w14:textId="57AE8613" w:rsidR="00B0429D" w:rsidRDefault="00B0429D" w:rsidP="00040058">
            <w:pPr>
              <w:spacing w:after="0" w:line="240" w:lineRule="auto"/>
              <w:ind w:left="0" w:right="0" w:firstLine="0"/>
              <w:jc w:val="center"/>
            </w:pPr>
          </w:p>
        </w:tc>
        <w:tc>
          <w:tcPr>
            <w:tcW w:w="749" w:type="dxa"/>
            <w:tcBorders>
              <w:top w:val="single" w:sz="4" w:space="0" w:color="000000"/>
              <w:left w:val="single" w:sz="12" w:space="0" w:color="000000"/>
              <w:bottom w:val="single" w:sz="12" w:space="0" w:color="000000"/>
              <w:right w:val="single" w:sz="12" w:space="0" w:color="000000"/>
            </w:tcBorders>
            <w:vAlign w:val="center"/>
          </w:tcPr>
          <w:p w14:paraId="752ACE4F" w14:textId="5D5A654F" w:rsidR="00B0429D" w:rsidRDefault="00B0429D" w:rsidP="00040058">
            <w:pPr>
              <w:spacing w:after="0" w:line="240" w:lineRule="auto"/>
              <w:ind w:left="0" w:right="0" w:firstLine="0"/>
              <w:jc w:val="center"/>
            </w:pPr>
            <w:r>
              <w:rPr>
                <w:sz w:val="18"/>
              </w:rPr>
              <w:t>8318</w:t>
            </w:r>
          </w:p>
        </w:tc>
        <w:tc>
          <w:tcPr>
            <w:tcW w:w="720" w:type="dxa"/>
            <w:tcBorders>
              <w:top w:val="single" w:sz="4" w:space="0" w:color="000000"/>
              <w:left w:val="single" w:sz="12" w:space="0" w:color="000000"/>
              <w:bottom w:val="single" w:sz="12" w:space="0" w:color="000000"/>
              <w:right w:val="single" w:sz="12" w:space="0" w:color="000000"/>
            </w:tcBorders>
            <w:vAlign w:val="center"/>
          </w:tcPr>
          <w:p w14:paraId="0639A27E" w14:textId="6FED82CE" w:rsidR="00B0429D" w:rsidRDefault="00B0429D" w:rsidP="00040058">
            <w:pPr>
              <w:spacing w:after="0" w:line="240" w:lineRule="auto"/>
              <w:ind w:left="0" w:right="0" w:firstLine="0"/>
              <w:jc w:val="center"/>
            </w:pPr>
          </w:p>
        </w:tc>
        <w:tc>
          <w:tcPr>
            <w:tcW w:w="810" w:type="dxa"/>
            <w:tcBorders>
              <w:top w:val="single" w:sz="4" w:space="0" w:color="000000"/>
              <w:left w:val="single" w:sz="12" w:space="0" w:color="000000"/>
              <w:bottom w:val="single" w:sz="12" w:space="0" w:color="000000"/>
              <w:right w:val="single" w:sz="12" w:space="0" w:color="000000"/>
            </w:tcBorders>
            <w:vAlign w:val="center"/>
          </w:tcPr>
          <w:p w14:paraId="6C1B5D90" w14:textId="05C00363" w:rsidR="00B0429D" w:rsidRDefault="00B0429D" w:rsidP="00040058">
            <w:pPr>
              <w:spacing w:after="0" w:line="240" w:lineRule="auto"/>
              <w:ind w:left="0" w:right="0" w:firstLine="0"/>
              <w:jc w:val="center"/>
            </w:pPr>
          </w:p>
        </w:tc>
      </w:tr>
    </w:tbl>
    <w:p w14:paraId="1C926F94" w14:textId="77777777" w:rsidR="00F95B3A" w:rsidRDefault="00F95B3A">
      <w:pPr>
        <w:spacing w:after="0" w:line="259" w:lineRule="auto"/>
        <w:ind w:left="0" w:right="0" w:firstLine="0"/>
      </w:pPr>
    </w:p>
    <w:tbl>
      <w:tblPr>
        <w:tblStyle w:val="TableGrid1"/>
        <w:tblW w:w="10530" w:type="dxa"/>
        <w:tblInd w:w="-375" w:type="dxa"/>
        <w:tblCellMar>
          <w:top w:w="39" w:type="dxa"/>
          <w:left w:w="72" w:type="dxa"/>
          <w:right w:w="115" w:type="dxa"/>
        </w:tblCellMar>
        <w:tblLook w:val="04A0" w:firstRow="1" w:lastRow="0" w:firstColumn="1" w:lastColumn="0" w:noHBand="0" w:noVBand="1"/>
      </w:tblPr>
      <w:tblGrid>
        <w:gridCol w:w="3177"/>
        <w:gridCol w:w="1092"/>
        <w:gridCol w:w="909"/>
        <w:gridCol w:w="909"/>
        <w:gridCol w:w="635"/>
        <w:gridCol w:w="819"/>
        <w:gridCol w:w="2989"/>
      </w:tblGrid>
      <w:tr w:rsidR="00B56D50" w14:paraId="6A91BFFB" w14:textId="77777777" w:rsidTr="00C23B62">
        <w:trPr>
          <w:trHeight w:val="271"/>
        </w:trPr>
        <w:tc>
          <w:tcPr>
            <w:tcW w:w="10530" w:type="dxa"/>
            <w:gridSpan w:val="7"/>
            <w:tcBorders>
              <w:top w:val="single" w:sz="12" w:space="0" w:color="000000"/>
              <w:left w:val="single" w:sz="12" w:space="0" w:color="000000"/>
              <w:bottom w:val="single" w:sz="12" w:space="0" w:color="000000"/>
              <w:right w:val="single" w:sz="12" w:space="0" w:color="000000"/>
            </w:tcBorders>
            <w:vAlign w:val="center"/>
          </w:tcPr>
          <w:p w14:paraId="2C8E4FA2" w14:textId="4A9BDF67" w:rsidR="00B56D50" w:rsidRDefault="001C3C42" w:rsidP="00953CFF">
            <w:pPr>
              <w:spacing w:after="0" w:line="240" w:lineRule="auto"/>
              <w:ind w:left="43" w:right="0" w:firstLine="0"/>
            </w:pPr>
            <w:r>
              <w:rPr>
                <w:b/>
                <w:sz w:val="18"/>
              </w:rPr>
              <w:t>SAS Group M</w:t>
            </w:r>
            <w:proofErr w:type="gramStart"/>
            <w:r>
              <w:rPr>
                <w:b/>
                <w:sz w:val="18"/>
              </w:rPr>
              <w:t>:  Full</w:t>
            </w:r>
            <w:proofErr w:type="gramEnd"/>
            <w:r>
              <w:rPr>
                <w:b/>
                <w:sz w:val="18"/>
              </w:rPr>
              <w:t>-Range IR Scan on Unknown Semi</w:t>
            </w:r>
            <w:r w:rsidR="008646BA">
              <w:rPr>
                <w:b/>
                <w:sz w:val="18"/>
              </w:rPr>
              <w:t>-</w:t>
            </w:r>
            <w:r>
              <w:rPr>
                <w:b/>
                <w:sz w:val="18"/>
              </w:rPr>
              <w:t>volatile or Non</w:t>
            </w:r>
            <w:r w:rsidR="0078387A">
              <w:rPr>
                <w:b/>
                <w:sz w:val="18"/>
              </w:rPr>
              <w:t>-</w:t>
            </w:r>
            <w:r>
              <w:rPr>
                <w:b/>
                <w:sz w:val="18"/>
              </w:rPr>
              <w:t>volatile Organic Compound Material</w:t>
            </w:r>
          </w:p>
        </w:tc>
      </w:tr>
      <w:tr w:rsidR="00B56D50" w14:paraId="39E131E3" w14:textId="77777777" w:rsidTr="00C23B62">
        <w:trPr>
          <w:trHeight w:val="269"/>
        </w:trPr>
        <w:tc>
          <w:tcPr>
            <w:tcW w:w="3177" w:type="dxa"/>
            <w:vMerge w:val="restart"/>
            <w:tcBorders>
              <w:top w:val="single" w:sz="12" w:space="0" w:color="000000"/>
              <w:left w:val="single" w:sz="12" w:space="0" w:color="000000"/>
              <w:bottom w:val="single" w:sz="12" w:space="0" w:color="000000"/>
              <w:right w:val="single" w:sz="12" w:space="0" w:color="000000"/>
            </w:tcBorders>
            <w:vAlign w:val="center"/>
          </w:tcPr>
          <w:p w14:paraId="4755A69A" w14:textId="6183485B" w:rsidR="00B56D50" w:rsidRDefault="001C3C42" w:rsidP="008044FA">
            <w:pPr>
              <w:spacing w:after="0" w:line="259" w:lineRule="auto"/>
              <w:ind w:left="39" w:right="0" w:firstLine="0"/>
              <w:jc w:val="center"/>
            </w:pPr>
            <w:r>
              <w:rPr>
                <w:b/>
                <w:sz w:val="18"/>
              </w:rPr>
              <w:t>Analyte</w:t>
            </w:r>
          </w:p>
        </w:tc>
        <w:tc>
          <w:tcPr>
            <w:tcW w:w="1092" w:type="dxa"/>
            <w:vMerge w:val="restart"/>
            <w:tcBorders>
              <w:top w:val="single" w:sz="12" w:space="0" w:color="000000"/>
              <w:left w:val="single" w:sz="12" w:space="0" w:color="000000"/>
              <w:bottom w:val="single" w:sz="12" w:space="0" w:color="000000"/>
              <w:right w:val="single" w:sz="12" w:space="0" w:color="000000"/>
            </w:tcBorders>
            <w:vAlign w:val="center"/>
          </w:tcPr>
          <w:p w14:paraId="3BE540E1" w14:textId="047BB9CE" w:rsidR="00B56D50" w:rsidRDefault="001C3C42" w:rsidP="008044FA">
            <w:pPr>
              <w:spacing w:after="0" w:line="259" w:lineRule="auto"/>
              <w:ind w:left="0" w:right="0" w:firstLine="0"/>
              <w:jc w:val="center"/>
            </w:pPr>
            <w:r>
              <w:rPr>
                <w:b/>
                <w:sz w:val="18"/>
              </w:rPr>
              <w:t>CAS Number</w:t>
            </w:r>
          </w:p>
        </w:tc>
        <w:tc>
          <w:tcPr>
            <w:tcW w:w="1818" w:type="dxa"/>
            <w:gridSpan w:val="2"/>
            <w:tcBorders>
              <w:top w:val="single" w:sz="12" w:space="0" w:color="000000"/>
              <w:left w:val="single" w:sz="12" w:space="0" w:color="000000"/>
              <w:bottom w:val="single" w:sz="12" w:space="0" w:color="000000"/>
              <w:right w:val="single" w:sz="12" w:space="0" w:color="000000"/>
            </w:tcBorders>
            <w:vAlign w:val="center"/>
          </w:tcPr>
          <w:p w14:paraId="64F6D6E5" w14:textId="1993D926" w:rsidR="00B56D50" w:rsidRDefault="001C3C42" w:rsidP="008044FA">
            <w:pPr>
              <w:spacing w:after="0" w:line="259" w:lineRule="auto"/>
              <w:ind w:left="34" w:right="0" w:firstLine="0"/>
              <w:jc w:val="center"/>
            </w:pPr>
            <w:r>
              <w:rPr>
                <w:b/>
                <w:sz w:val="18"/>
              </w:rPr>
              <w:t>Aqueous</w:t>
            </w:r>
          </w:p>
        </w:tc>
        <w:tc>
          <w:tcPr>
            <w:tcW w:w="1454" w:type="dxa"/>
            <w:gridSpan w:val="2"/>
            <w:tcBorders>
              <w:top w:val="single" w:sz="12" w:space="0" w:color="000000"/>
              <w:left w:val="single" w:sz="12" w:space="0" w:color="000000"/>
              <w:bottom w:val="single" w:sz="12" w:space="0" w:color="000000"/>
              <w:right w:val="single" w:sz="12" w:space="0" w:color="000000"/>
            </w:tcBorders>
            <w:vAlign w:val="center"/>
          </w:tcPr>
          <w:p w14:paraId="6C9F0341" w14:textId="4E019A11" w:rsidR="00B56D50" w:rsidRDefault="006B693C" w:rsidP="008044FA">
            <w:pPr>
              <w:spacing w:after="0" w:line="259" w:lineRule="auto"/>
              <w:ind w:left="36" w:right="0" w:firstLine="0"/>
              <w:jc w:val="center"/>
            </w:pPr>
            <w:r>
              <w:rPr>
                <w:b/>
                <w:sz w:val="18"/>
              </w:rPr>
              <w:t>Soil/Sediment</w:t>
            </w:r>
          </w:p>
        </w:tc>
        <w:tc>
          <w:tcPr>
            <w:tcW w:w="2989" w:type="dxa"/>
            <w:vMerge w:val="restart"/>
            <w:tcBorders>
              <w:top w:val="single" w:sz="12" w:space="0" w:color="000000"/>
              <w:left w:val="single" w:sz="12" w:space="0" w:color="000000"/>
              <w:bottom w:val="single" w:sz="12" w:space="0" w:color="000000"/>
              <w:right w:val="single" w:sz="12" w:space="0" w:color="000000"/>
            </w:tcBorders>
            <w:vAlign w:val="center"/>
          </w:tcPr>
          <w:p w14:paraId="2B4CBC51" w14:textId="4F288CAA" w:rsidR="00B56D50" w:rsidRDefault="001C3C42" w:rsidP="008044FA">
            <w:pPr>
              <w:spacing w:after="0" w:line="259" w:lineRule="auto"/>
              <w:ind w:left="33" w:right="0" w:firstLine="0"/>
              <w:jc w:val="center"/>
            </w:pPr>
            <w:r>
              <w:rPr>
                <w:b/>
                <w:sz w:val="18"/>
              </w:rPr>
              <w:t>Suggested Methods</w:t>
            </w:r>
          </w:p>
        </w:tc>
      </w:tr>
      <w:tr w:rsidR="00C84A5D" w14:paraId="6DF72744" w14:textId="77777777" w:rsidTr="00C23B62">
        <w:trPr>
          <w:trHeight w:val="271"/>
        </w:trPr>
        <w:tc>
          <w:tcPr>
            <w:tcW w:w="3177" w:type="dxa"/>
            <w:vMerge/>
            <w:tcBorders>
              <w:top w:val="nil"/>
              <w:left w:val="single" w:sz="12" w:space="0" w:color="000000"/>
              <w:bottom w:val="single" w:sz="12" w:space="0" w:color="000000"/>
              <w:right w:val="single" w:sz="12" w:space="0" w:color="000000"/>
            </w:tcBorders>
            <w:vAlign w:val="center"/>
          </w:tcPr>
          <w:p w14:paraId="0F43AFBA" w14:textId="77777777" w:rsidR="00B56D50" w:rsidRDefault="00B56D50" w:rsidP="00017AB4">
            <w:pPr>
              <w:spacing w:after="160" w:line="259" w:lineRule="auto"/>
              <w:ind w:left="0" w:right="0" w:firstLine="0"/>
              <w:jc w:val="center"/>
            </w:pPr>
          </w:p>
        </w:tc>
        <w:tc>
          <w:tcPr>
            <w:tcW w:w="0" w:type="auto"/>
            <w:vMerge/>
            <w:tcBorders>
              <w:top w:val="nil"/>
              <w:left w:val="single" w:sz="12" w:space="0" w:color="000000"/>
              <w:bottom w:val="single" w:sz="12" w:space="0" w:color="000000"/>
              <w:right w:val="single" w:sz="12" w:space="0" w:color="000000"/>
            </w:tcBorders>
            <w:vAlign w:val="center"/>
          </w:tcPr>
          <w:p w14:paraId="32B93961" w14:textId="77777777" w:rsidR="00B56D50" w:rsidRDefault="00B56D50" w:rsidP="00017AB4">
            <w:pPr>
              <w:spacing w:after="160" w:line="259" w:lineRule="auto"/>
              <w:ind w:left="0" w:right="0" w:firstLine="0"/>
              <w:jc w:val="center"/>
            </w:pPr>
          </w:p>
        </w:tc>
        <w:tc>
          <w:tcPr>
            <w:tcW w:w="909" w:type="dxa"/>
            <w:tcBorders>
              <w:top w:val="single" w:sz="12" w:space="0" w:color="000000"/>
              <w:left w:val="single" w:sz="12" w:space="0" w:color="000000"/>
              <w:bottom w:val="single" w:sz="12" w:space="0" w:color="000000"/>
              <w:right w:val="single" w:sz="12" w:space="0" w:color="000000"/>
            </w:tcBorders>
            <w:vAlign w:val="center"/>
          </w:tcPr>
          <w:p w14:paraId="06DB0AAB" w14:textId="61A9306B" w:rsidR="00B56D50" w:rsidRDefault="001C3C42" w:rsidP="008044FA">
            <w:pPr>
              <w:spacing w:after="0" w:line="259" w:lineRule="auto"/>
              <w:ind w:left="36" w:right="0" w:firstLine="0"/>
              <w:jc w:val="center"/>
            </w:pPr>
            <w:r>
              <w:rPr>
                <w:b/>
                <w:sz w:val="18"/>
              </w:rPr>
              <w:t>RL</w:t>
            </w:r>
          </w:p>
        </w:tc>
        <w:tc>
          <w:tcPr>
            <w:tcW w:w="909" w:type="dxa"/>
            <w:tcBorders>
              <w:top w:val="single" w:sz="12" w:space="0" w:color="000000"/>
              <w:left w:val="single" w:sz="12" w:space="0" w:color="000000"/>
              <w:bottom w:val="single" w:sz="12" w:space="0" w:color="000000"/>
              <w:right w:val="single" w:sz="12" w:space="0" w:color="000000"/>
            </w:tcBorders>
            <w:vAlign w:val="center"/>
          </w:tcPr>
          <w:p w14:paraId="1C350017" w14:textId="32B370D5" w:rsidR="00B56D50" w:rsidRDefault="001C3C42" w:rsidP="008044FA">
            <w:pPr>
              <w:spacing w:after="0" w:line="259" w:lineRule="auto"/>
              <w:ind w:left="33" w:right="0" w:firstLine="0"/>
              <w:jc w:val="center"/>
            </w:pPr>
            <w:r>
              <w:rPr>
                <w:b/>
                <w:sz w:val="18"/>
              </w:rPr>
              <w:t>units</w:t>
            </w:r>
          </w:p>
        </w:tc>
        <w:tc>
          <w:tcPr>
            <w:tcW w:w="635" w:type="dxa"/>
            <w:tcBorders>
              <w:top w:val="single" w:sz="12" w:space="0" w:color="000000"/>
              <w:left w:val="single" w:sz="12" w:space="0" w:color="000000"/>
              <w:bottom w:val="single" w:sz="12" w:space="0" w:color="000000"/>
              <w:right w:val="single" w:sz="12" w:space="0" w:color="000000"/>
            </w:tcBorders>
            <w:vAlign w:val="center"/>
          </w:tcPr>
          <w:p w14:paraId="38512E26" w14:textId="28FC6DCD" w:rsidR="00B56D50" w:rsidRDefault="001C3C42" w:rsidP="008044FA">
            <w:pPr>
              <w:spacing w:after="0" w:line="259" w:lineRule="auto"/>
              <w:ind w:left="115" w:right="0" w:firstLine="0"/>
              <w:jc w:val="center"/>
            </w:pPr>
            <w:r>
              <w:rPr>
                <w:b/>
                <w:sz w:val="18"/>
              </w:rPr>
              <w:t>RL</w:t>
            </w:r>
          </w:p>
        </w:tc>
        <w:tc>
          <w:tcPr>
            <w:tcW w:w="819" w:type="dxa"/>
            <w:tcBorders>
              <w:top w:val="single" w:sz="12" w:space="0" w:color="000000"/>
              <w:left w:val="single" w:sz="12" w:space="0" w:color="000000"/>
              <w:bottom w:val="single" w:sz="12" w:space="0" w:color="000000"/>
              <w:right w:val="single" w:sz="12" w:space="0" w:color="000000"/>
            </w:tcBorders>
            <w:vAlign w:val="center"/>
          </w:tcPr>
          <w:p w14:paraId="1D643FB3" w14:textId="770D23D1" w:rsidR="00B56D50" w:rsidRDefault="001C3C42" w:rsidP="008044FA">
            <w:pPr>
              <w:spacing w:after="0" w:line="259" w:lineRule="auto"/>
              <w:ind w:left="36" w:right="0" w:firstLine="0"/>
              <w:jc w:val="center"/>
            </w:pPr>
            <w:r>
              <w:rPr>
                <w:b/>
                <w:sz w:val="18"/>
              </w:rPr>
              <w:t>units</w:t>
            </w:r>
          </w:p>
        </w:tc>
        <w:tc>
          <w:tcPr>
            <w:tcW w:w="2989" w:type="dxa"/>
            <w:vMerge/>
            <w:tcBorders>
              <w:top w:val="nil"/>
              <w:left w:val="single" w:sz="12" w:space="0" w:color="000000"/>
              <w:bottom w:val="single" w:sz="12" w:space="0" w:color="000000"/>
              <w:right w:val="single" w:sz="12" w:space="0" w:color="000000"/>
            </w:tcBorders>
            <w:vAlign w:val="center"/>
          </w:tcPr>
          <w:p w14:paraId="29EC6BFA" w14:textId="77777777" w:rsidR="00B56D50" w:rsidRDefault="00B56D50" w:rsidP="00017AB4">
            <w:pPr>
              <w:spacing w:after="160" w:line="259" w:lineRule="auto"/>
              <w:ind w:left="0" w:right="0" w:firstLine="0"/>
              <w:jc w:val="center"/>
            </w:pPr>
          </w:p>
        </w:tc>
      </w:tr>
      <w:tr w:rsidR="00B56D50" w14:paraId="7CFC4CA8" w14:textId="77777777" w:rsidTr="00C23B62">
        <w:trPr>
          <w:trHeight w:val="1398"/>
        </w:trPr>
        <w:tc>
          <w:tcPr>
            <w:tcW w:w="3177" w:type="dxa"/>
            <w:tcBorders>
              <w:top w:val="single" w:sz="12" w:space="0" w:color="000000"/>
              <w:left w:val="single" w:sz="12" w:space="0" w:color="000000"/>
              <w:bottom w:val="single" w:sz="12" w:space="0" w:color="000000"/>
              <w:right w:val="single" w:sz="12" w:space="0" w:color="000000"/>
            </w:tcBorders>
          </w:tcPr>
          <w:p w14:paraId="3DAA468D" w14:textId="34AAE3FB" w:rsidR="00B56D50" w:rsidRDefault="001C3C42">
            <w:pPr>
              <w:spacing w:after="0" w:line="259" w:lineRule="auto"/>
              <w:ind w:left="0" w:right="0" w:firstLine="0"/>
            </w:pPr>
            <w:r>
              <w:rPr>
                <w:sz w:val="18"/>
              </w:rPr>
              <w:t>Unknown Semi</w:t>
            </w:r>
            <w:r w:rsidR="00EE32EF">
              <w:rPr>
                <w:sz w:val="18"/>
              </w:rPr>
              <w:t>-</w:t>
            </w:r>
            <w:r>
              <w:rPr>
                <w:sz w:val="18"/>
              </w:rPr>
              <w:t xml:space="preserve">volatile Organic or </w:t>
            </w:r>
            <w:r w:rsidR="00E83D27">
              <w:rPr>
                <w:sz w:val="18"/>
              </w:rPr>
              <w:t>Non-volatile</w:t>
            </w:r>
            <w:r>
              <w:rPr>
                <w:sz w:val="18"/>
              </w:rPr>
              <w:t xml:space="preserve"> Organic Material </w:t>
            </w:r>
          </w:p>
        </w:tc>
        <w:tc>
          <w:tcPr>
            <w:tcW w:w="1092" w:type="dxa"/>
            <w:tcBorders>
              <w:top w:val="single" w:sz="12" w:space="0" w:color="000000"/>
              <w:left w:val="single" w:sz="12" w:space="0" w:color="000000"/>
              <w:bottom w:val="single" w:sz="12" w:space="0" w:color="000000"/>
              <w:right w:val="single" w:sz="12" w:space="0" w:color="000000"/>
            </w:tcBorders>
          </w:tcPr>
          <w:p w14:paraId="486169F6" w14:textId="77777777" w:rsidR="00B56D50" w:rsidRDefault="001C3C42">
            <w:pPr>
              <w:spacing w:after="0" w:line="259" w:lineRule="auto"/>
              <w:ind w:left="42" w:right="0" w:firstLine="0"/>
              <w:jc w:val="center"/>
            </w:pPr>
            <w:r>
              <w:rPr>
                <w:sz w:val="18"/>
              </w:rPr>
              <w:t xml:space="preserve">N/A </w:t>
            </w:r>
          </w:p>
        </w:tc>
        <w:tc>
          <w:tcPr>
            <w:tcW w:w="909" w:type="dxa"/>
            <w:tcBorders>
              <w:top w:val="single" w:sz="12" w:space="0" w:color="000000"/>
              <w:left w:val="single" w:sz="12" w:space="0" w:color="000000"/>
              <w:bottom w:val="single" w:sz="12" w:space="0" w:color="000000"/>
              <w:right w:val="single" w:sz="12" w:space="0" w:color="000000"/>
            </w:tcBorders>
          </w:tcPr>
          <w:p w14:paraId="5C2ADAEE" w14:textId="5FD8AE09" w:rsidR="00B56D50" w:rsidRDefault="001C3C42">
            <w:pPr>
              <w:spacing w:after="0" w:line="259" w:lineRule="auto"/>
              <w:ind w:left="43" w:right="0" w:firstLine="0"/>
              <w:jc w:val="center"/>
            </w:pPr>
            <w:r>
              <w:rPr>
                <w:sz w:val="18"/>
              </w:rPr>
              <w:t>10</w:t>
            </w:r>
          </w:p>
        </w:tc>
        <w:tc>
          <w:tcPr>
            <w:tcW w:w="909" w:type="dxa"/>
            <w:tcBorders>
              <w:top w:val="single" w:sz="12" w:space="0" w:color="000000"/>
              <w:left w:val="single" w:sz="12" w:space="0" w:color="000000"/>
              <w:bottom w:val="single" w:sz="12" w:space="0" w:color="000000"/>
              <w:right w:val="single" w:sz="12" w:space="0" w:color="000000"/>
            </w:tcBorders>
          </w:tcPr>
          <w:p w14:paraId="731DD11F" w14:textId="77777777" w:rsidR="00B56D50" w:rsidRDefault="001C3C42">
            <w:pPr>
              <w:spacing w:after="0" w:line="259" w:lineRule="auto"/>
              <w:ind w:left="42" w:right="0" w:firstLine="0"/>
              <w:jc w:val="center"/>
            </w:pPr>
            <w:r>
              <w:rPr>
                <w:sz w:val="18"/>
              </w:rPr>
              <w:t xml:space="preserve">mg/L </w:t>
            </w:r>
          </w:p>
        </w:tc>
        <w:tc>
          <w:tcPr>
            <w:tcW w:w="635" w:type="dxa"/>
            <w:tcBorders>
              <w:top w:val="single" w:sz="12" w:space="0" w:color="000000"/>
              <w:left w:val="single" w:sz="12" w:space="0" w:color="000000"/>
              <w:bottom w:val="single" w:sz="12" w:space="0" w:color="000000"/>
              <w:right w:val="single" w:sz="12" w:space="0" w:color="000000"/>
            </w:tcBorders>
          </w:tcPr>
          <w:p w14:paraId="59EC8B58" w14:textId="169975D9" w:rsidR="00B56D50" w:rsidRDefault="001C3C42">
            <w:pPr>
              <w:spacing w:after="0" w:line="259" w:lineRule="auto"/>
              <w:ind w:left="0" w:right="0" w:firstLine="0"/>
            </w:pPr>
            <w:r>
              <w:rPr>
                <w:sz w:val="18"/>
              </w:rPr>
              <w:t xml:space="preserve"> 10</w:t>
            </w:r>
          </w:p>
        </w:tc>
        <w:tc>
          <w:tcPr>
            <w:tcW w:w="819" w:type="dxa"/>
            <w:tcBorders>
              <w:top w:val="single" w:sz="12" w:space="0" w:color="000000"/>
              <w:left w:val="single" w:sz="12" w:space="0" w:color="000000"/>
              <w:bottom w:val="single" w:sz="12" w:space="0" w:color="000000"/>
              <w:right w:val="single" w:sz="12" w:space="0" w:color="000000"/>
            </w:tcBorders>
          </w:tcPr>
          <w:p w14:paraId="62AA9D30" w14:textId="77777777" w:rsidR="00B56D50" w:rsidRDefault="001C3C42">
            <w:pPr>
              <w:spacing w:after="0" w:line="259" w:lineRule="auto"/>
              <w:ind w:left="42" w:right="0" w:firstLine="0"/>
              <w:jc w:val="center"/>
            </w:pPr>
            <w:r>
              <w:rPr>
                <w:sz w:val="18"/>
              </w:rPr>
              <w:t xml:space="preserve">mg/kg </w:t>
            </w:r>
          </w:p>
        </w:tc>
        <w:tc>
          <w:tcPr>
            <w:tcW w:w="2989" w:type="dxa"/>
            <w:tcBorders>
              <w:top w:val="single" w:sz="12" w:space="0" w:color="000000"/>
              <w:left w:val="single" w:sz="12" w:space="0" w:color="000000"/>
              <w:bottom w:val="single" w:sz="12" w:space="0" w:color="000000"/>
              <w:right w:val="single" w:sz="12" w:space="0" w:color="000000"/>
            </w:tcBorders>
          </w:tcPr>
          <w:p w14:paraId="465D1BB2" w14:textId="6A2E998A" w:rsidR="00B56D50" w:rsidRDefault="001C3C42">
            <w:pPr>
              <w:spacing w:after="0" w:line="259" w:lineRule="auto"/>
              <w:ind w:left="0" w:right="0" w:firstLine="0"/>
            </w:pPr>
            <w:r>
              <w:rPr>
                <w:sz w:val="18"/>
              </w:rPr>
              <w:t>Extraction (if applicable) and Full-Range IR scan, using full scanning wavelength. (Similar to TRPH except without identification/ quantification of TPH.)  Deliverable is complete IR scan without interpretation.</w:t>
            </w:r>
          </w:p>
        </w:tc>
      </w:tr>
    </w:tbl>
    <w:p w14:paraId="2B3C9E58" w14:textId="70718019" w:rsidR="00B56D50" w:rsidRDefault="00B56D50" w:rsidP="000814B8">
      <w:pPr>
        <w:spacing w:after="0" w:line="259" w:lineRule="auto"/>
        <w:ind w:right="0"/>
      </w:pPr>
    </w:p>
    <w:p w14:paraId="27016D95" w14:textId="18526244" w:rsidR="009012A8" w:rsidRDefault="009012A8" w:rsidP="000814B8">
      <w:pPr>
        <w:spacing w:after="0" w:line="259" w:lineRule="auto"/>
        <w:ind w:right="0"/>
      </w:pPr>
    </w:p>
    <w:tbl>
      <w:tblPr>
        <w:tblStyle w:val="TableGrid1"/>
        <w:tblW w:w="10530" w:type="dxa"/>
        <w:tblInd w:w="-375" w:type="dxa"/>
        <w:tblCellMar>
          <w:top w:w="24" w:type="dxa"/>
          <w:left w:w="36" w:type="dxa"/>
        </w:tblCellMar>
        <w:tblLook w:val="04A0" w:firstRow="1" w:lastRow="0" w:firstColumn="1" w:lastColumn="0" w:noHBand="0" w:noVBand="1"/>
      </w:tblPr>
      <w:tblGrid>
        <w:gridCol w:w="3179"/>
        <w:gridCol w:w="1052"/>
        <w:gridCol w:w="690"/>
        <w:gridCol w:w="550"/>
        <w:gridCol w:w="797"/>
        <w:gridCol w:w="784"/>
        <w:gridCol w:w="453"/>
        <w:gridCol w:w="525"/>
        <w:gridCol w:w="433"/>
        <w:gridCol w:w="873"/>
        <w:gridCol w:w="714"/>
        <w:gridCol w:w="480"/>
      </w:tblGrid>
      <w:tr w:rsidR="00B56D50" w14:paraId="4FED226E" w14:textId="77777777" w:rsidTr="00C23B62">
        <w:trPr>
          <w:trHeight w:val="269"/>
          <w:tblHeader/>
        </w:trPr>
        <w:tc>
          <w:tcPr>
            <w:tcW w:w="8502" w:type="dxa"/>
            <w:gridSpan w:val="9"/>
            <w:tcBorders>
              <w:top w:val="single" w:sz="12" w:space="0" w:color="000000"/>
              <w:left w:val="single" w:sz="12" w:space="0" w:color="000000"/>
              <w:bottom w:val="single" w:sz="12" w:space="0" w:color="000000"/>
              <w:right w:val="nil"/>
            </w:tcBorders>
            <w:vAlign w:val="center"/>
          </w:tcPr>
          <w:p w14:paraId="4F936C5C" w14:textId="0B095FA9" w:rsidR="00B56D50" w:rsidRDefault="001C3C42" w:rsidP="00103D04">
            <w:pPr>
              <w:spacing w:after="0" w:line="259" w:lineRule="auto"/>
              <w:ind w:left="43" w:right="0" w:firstLine="0"/>
            </w:pPr>
            <w:r>
              <w:rPr>
                <w:b/>
                <w:sz w:val="18"/>
              </w:rPr>
              <w:lastRenderedPageBreak/>
              <w:t>SW-846 SAS Group N</w:t>
            </w:r>
            <w:proofErr w:type="gramStart"/>
            <w:r>
              <w:rPr>
                <w:b/>
                <w:sz w:val="18"/>
              </w:rPr>
              <w:t>:</w:t>
            </w:r>
            <w:r>
              <w:rPr>
                <w:sz w:val="18"/>
              </w:rPr>
              <w:t xml:space="preserve">  </w:t>
            </w:r>
            <w:r>
              <w:rPr>
                <w:b/>
                <w:sz w:val="18"/>
              </w:rPr>
              <w:t>Additional</w:t>
            </w:r>
            <w:proofErr w:type="gramEnd"/>
            <w:r>
              <w:rPr>
                <w:b/>
                <w:sz w:val="18"/>
              </w:rPr>
              <w:t xml:space="preserve"> Pesticides and Other Solvent-Extractable </w:t>
            </w:r>
            <w:r w:rsidR="00E83D27">
              <w:rPr>
                <w:b/>
                <w:sz w:val="18"/>
              </w:rPr>
              <w:t>Non-volatile</w:t>
            </w:r>
            <w:r>
              <w:rPr>
                <w:b/>
                <w:sz w:val="18"/>
              </w:rPr>
              <w:t xml:space="preserve"> Compounds</w:t>
            </w:r>
            <w:r>
              <w:rPr>
                <w:sz w:val="18"/>
                <w:vertAlign w:val="superscript"/>
              </w:rPr>
              <w:t xml:space="preserve"> </w:t>
            </w:r>
          </w:p>
        </w:tc>
        <w:tc>
          <w:tcPr>
            <w:tcW w:w="2028" w:type="dxa"/>
            <w:gridSpan w:val="3"/>
            <w:tcBorders>
              <w:top w:val="single" w:sz="12" w:space="0" w:color="000000"/>
              <w:left w:val="nil"/>
              <w:bottom w:val="single" w:sz="12" w:space="0" w:color="000000"/>
              <w:right w:val="single" w:sz="12" w:space="0" w:color="000000"/>
            </w:tcBorders>
            <w:vAlign w:val="center"/>
          </w:tcPr>
          <w:p w14:paraId="65B0EFD1" w14:textId="77777777" w:rsidR="00B56D50" w:rsidRDefault="00B56D50" w:rsidP="00103D04">
            <w:pPr>
              <w:spacing w:after="0" w:line="259" w:lineRule="auto"/>
              <w:ind w:left="0" w:right="0" w:firstLine="0"/>
            </w:pPr>
          </w:p>
        </w:tc>
      </w:tr>
      <w:tr w:rsidR="00B56D50" w14:paraId="20961351" w14:textId="77777777" w:rsidTr="00C23B62">
        <w:trPr>
          <w:trHeight w:val="444"/>
          <w:tblHeader/>
        </w:trPr>
        <w:tc>
          <w:tcPr>
            <w:tcW w:w="3201" w:type="dxa"/>
            <w:vMerge w:val="restart"/>
            <w:tcBorders>
              <w:top w:val="single" w:sz="12" w:space="0" w:color="000000"/>
              <w:left w:val="single" w:sz="12" w:space="0" w:color="000000"/>
              <w:bottom w:val="single" w:sz="12" w:space="0" w:color="000000"/>
              <w:right w:val="single" w:sz="12" w:space="0" w:color="000000"/>
            </w:tcBorders>
            <w:vAlign w:val="center"/>
          </w:tcPr>
          <w:p w14:paraId="574EB951" w14:textId="663CCE0A" w:rsidR="00B56D50" w:rsidRDefault="001C3C42" w:rsidP="00103D04">
            <w:pPr>
              <w:spacing w:after="0" w:line="259" w:lineRule="auto"/>
              <w:ind w:left="0" w:right="43" w:firstLine="0"/>
              <w:jc w:val="center"/>
            </w:pPr>
            <w:r>
              <w:rPr>
                <w:b/>
                <w:sz w:val="18"/>
              </w:rPr>
              <w:t>Analyte</w:t>
            </w:r>
          </w:p>
        </w:tc>
        <w:tc>
          <w:tcPr>
            <w:tcW w:w="1056" w:type="dxa"/>
            <w:vMerge w:val="restart"/>
            <w:tcBorders>
              <w:top w:val="single" w:sz="12" w:space="0" w:color="000000"/>
              <w:left w:val="single" w:sz="12" w:space="0" w:color="000000"/>
              <w:bottom w:val="single" w:sz="12" w:space="0" w:color="000000"/>
              <w:right w:val="single" w:sz="12" w:space="0" w:color="000000"/>
            </w:tcBorders>
            <w:vAlign w:val="center"/>
          </w:tcPr>
          <w:p w14:paraId="02282CB9" w14:textId="45B953D0" w:rsidR="00B56D50" w:rsidRDefault="001C3C42" w:rsidP="00103D04">
            <w:pPr>
              <w:spacing w:after="0" w:line="259" w:lineRule="auto"/>
              <w:ind w:left="5" w:right="0" w:firstLine="0"/>
              <w:jc w:val="center"/>
            </w:pPr>
            <w:r>
              <w:rPr>
                <w:b/>
                <w:sz w:val="18"/>
              </w:rPr>
              <w:t>CAS Number</w:t>
            </w:r>
          </w:p>
        </w:tc>
        <w:tc>
          <w:tcPr>
            <w:tcW w:w="1244" w:type="dxa"/>
            <w:gridSpan w:val="2"/>
            <w:tcBorders>
              <w:top w:val="single" w:sz="12" w:space="0" w:color="000000"/>
              <w:left w:val="single" w:sz="12" w:space="0" w:color="000000"/>
              <w:bottom w:val="single" w:sz="12" w:space="0" w:color="000000"/>
              <w:right w:val="single" w:sz="12" w:space="0" w:color="000000"/>
            </w:tcBorders>
            <w:vAlign w:val="center"/>
          </w:tcPr>
          <w:p w14:paraId="5A4875F2" w14:textId="71D127E7" w:rsidR="00B56D50" w:rsidRDefault="001C3C42" w:rsidP="00103D04">
            <w:pPr>
              <w:spacing w:after="0" w:line="259" w:lineRule="auto"/>
              <w:ind w:left="0" w:right="38" w:firstLine="0"/>
              <w:jc w:val="center"/>
            </w:pPr>
            <w:r>
              <w:rPr>
                <w:b/>
                <w:sz w:val="18"/>
              </w:rPr>
              <w:t>Aqueous</w:t>
            </w:r>
          </w:p>
        </w:tc>
        <w:tc>
          <w:tcPr>
            <w:tcW w:w="1586" w:type="dxa"/>
            <w:gridSpan w:val="2"/>
            <w:tcBorders>
              <w:top w:val="single" w:sz="12" w:space="0" w:color="000000"/>
              <w:left w:val="single" w:sz="12" w:space="0" w:color="000000"/>
              <w:bottom w:val="single" w:sz="12" w:space="0" w:color="000000"/>
              <w:right w:val="single" w:sz="12" w:space="0" w:color="000000"/>
            </w:tcBorders>
            <w:vAlign w:val="center"/>
          </w:tcPr>
          <w:p w14:paraId="28E19C5C" w14:textId="7FF4C4D9" w:rsidR="00B56D50" w:rsidRDefault="001C3C42" w:rsidP="00103D04">
            <w:pPr>
              <w:spacing w:after="0" w:line="259" w:lineRule="auto"/>
              <w:ind w:left="62" w:right="0" w:firstLine="0"/>
              <w:jc w:val="center"/>
            </w:pPr>
            <w:r>
              <w:rPr>
                <w:b/>
                <w:sz w:val="18"/>
              </w:rPr>
              <w:t>Soil/Sediment</w:t>
            </w:r>
          </w:p>
        </w:tc>
        <w:tc>
          <w:tcPr>
            <w:tcW w:w="1415" w:type="dxa"/>
            <w:gridSpan w:val="3"/>
            <w:tcBorders>
              <w:top w:val="single" w:sz="12" w:space="0" w:color="000000"/>
              <w:left w:val="single" w:sz="12" w:space="0" w:color="000000"/>
              <w:bottom w:val="single" w:sz="12" w:space="0" w:color="000000"/>
              <w:right w:val="single" w:sz="12" w:space="0" w:color="000000"/>
            </w:tcBorders>
            <w:vAlign w:val="center"/>
          </w:tcPr>
          <w:p w14:paraId="72383EEC" w14:textId="6C30A374" w:rsidR="00B56D50" w:rsidRDefault="001C3C42" w:rsidP="00103D04">
            <w:pPr>
              <w:spacing w:after="0" w:line="259" w:lineRule="auto"/>
              <w:ind w:left="0" w:right="0" w:firstLine="0"/>
              <w:jc w:val="center"/>
            </w:pPr>
            <w:r>
              <w:rPr>
                <w:b/>
                <w:sz w:val="18"/>
              </w:rPr>
              <w:t>Attachment/ Table</w:t>
            </w:r>
          </w:p>
        </w:tc>
        <w:tc>
          <w:tcPr>
            <w:tcW w:w="2028" w:type="dxa"/>
            <w:gridSpan w:val="3"/>
            <w:vMerge w:val="restart"/>
            <w:tcBorders>
              <w:top w:val="single" w:sz="12" w:space="0" w:color="000000"/>
              <w:left w:val="single" w:sz="12" w:space="0" w:color="000000"/>
              <w:bottom w:val="single" w:sz="12" w:space="0" w:color="000000"/>
              <w:right w:val="single" w:sz="12" w:space="0" w:color="000000"/>
            </w:tcBorders>
            <w:vAlign w:val="center"/>
          </w:tcPr>
          <w:p w14:paraId="72D2EB34" w14:textId="20FB8544" w:rsidR="00B56D50" w:rsidRDefault="001C3C42" w:rsidP="00103D04">
            <w:pPr>
              <w:spacing w:after="0" w:line="259" w:lineRule="auto"/>
              <w:ind w:left="0" w:right="38" w:firstLine="0"/>
              <w:jc w:val="center"/>
            </w:pPr>
            <w:r>
              <w:rPr>
                <w:b/>
                <w:sz w:val="18"/>
              </w:rPr>
              <w:t>Suggested Methods</w:t>
            </w:r>
          </w:p>
        </w:tc>
      </w:tr>
      <w:tr w:rsidR="00C84A5D" w14:paraId="2FC049A8" w14:textId="77777777" w:rsidTr="00C23B62">
        <w:trPr>
          <w:trHeight w:val="367"/>
          <w:tblHeader/>
        </w:trPr>
        <w:tc>
          <w:tcPr>
            <w:tcW w:w="3201" w:type="dxa"/>
            <w:vMerge/>
            <w:tcBorders>
              <w:top w:val="nil"/>
              <w:left w:val="single" w:sz="12" w:space="0" w:color="000000"/>
              <w:bottom w:val="single" w:sz="12" w:space="0" w:color="000000"/>
              <w:right w:val="single" w:sz="12" w:space="0" w:color="000000"/>
            </w:tcBorders>
            <w:vAlign w:val="center"/>
          </w:tcPr>
          <w:p w14:paraId="386FD3C8" w14:textId="77777777" w:rsidR="00B56D50" w:rsidRDefault="00B56D50" w:rsidP="00103D04">
            <w:pPr>
              <w:spacing w:after="160" w:line="259" w:lineRule="auto"/>
              <w:ind w:left="0" w:right="0" w:firstLine="0"/>
              <w:jc w:val="center"/>
            </w:pPr>
          </w:p>
        </w:tc>
        <w:tc>
          <w:tcPr>
            <w:tcW w:w="0" w:type="auto"/>
            <w:vMerge/>
            <w:tcBorders>
              <w:top w:val="nil"/>
              <w:left w:val="single" w:sz="12" w:space="0" w:color="000000"/>
              <w:bottom w:val="single" w:sz="12" w:space="0" w:color="000000"/>
              <w:right w:val="single" w:sz="12" w:space="0" w:color="000000"/>
            </w:tcBorders>
            <w:vAlign w:val="center"/>
          </w:tcPr>
          <w:p w14:paraId="351C72D4" w14:textId="77777777" w:rsidR="00B56D50" w:rsidRDefault="00B56D50" w:rsidP="00103D04">
            <w:pPr>
              <w:spacing w:after="160" w:line="259" w:lineRule="auto"/>
              <w:ind w:left="0" w:right="0" w:firstLine="0"/>
              <w:jc w:val="center"/>
            </w:pPr>
          </w:p>
        </w:tc>
        <w:tc>
          <w:tcPr>
            <w:tcW w:w="693" w:type="dxa"/>
            <w:tcBorders>
              <w:top w:val="single" w:sz="12" w:space="0" w:color="000000"/>
              <w:left w:val="single" w:sz="12" w:space="0" w:color="000000"/>
              <w:bottom w:val="single" w:sz="12" w:space="0" w:color="000000"/>
              <w:right w:val="single" w:sz="12" w:space="0" w:color="000000"/>
            </w:tcBorders>
            <w:vAlign w:val="center"/>
          </w:tcPr>
          <w:p w14:paraId="1F6DFA52" w14:textId="6C34395F" w:rsidR="00B56D50" w:rsidRDefault="001C3C42" w:rsidP="00381ACD">
            <w:pPr>
              <w:spacing w:after="0" w:line="259" w:lineRule="auto"/>
              <w:ind w:left="154" w:right="0" w:firstLine="0"/>
              <w:jc w:val="center"/>
            </w:pPr>
            <w:r>
              <w:rPr>
                <w:b/>
                <w:sz w:val="18"/>
              </w:rPr>
              <w:t>RL</w:t>
            </w:r>
          </w:p>
        </w:tc>
        <w:tc>
          <w:tcPr>
            <w:tcW w:w="551" w:type="dxa"/>
            <w:tcBorders>
              <w:top w:val="single" w:sz="12" w:space="0" w:color="000000"/>
              <w:left w:val="single" w:sz="12" w:space="0" w:color="000000"/>
              <w:bottom w:val="single" w:sz="12" w:space="0" w:color="000000"/>
              <w:right w:val="single" w:sz="12" w:space="0" w:color="000000"/>
            </w:tcBorders>
            <w:vAlign w:val="center"/>
          </w:tcPr>
          <w:p w14:paraId="5928E452" w14:textId="2A89F024" w:rsidR="00B56D50" w:rsidRDefault="001C3C42" w:rsidP="00381ACD">
            <w:pPr>
              <w:spacing w:after="0" w:line="259" w:lineRule="auto"/>
              <w:ind w:left="0" w:right="0" w:firstLine="0"/>
              <w:jc w:val="center"/>
            </w:pPr>
            <w:r>
              <w:rPr>
                <w:b/>
                <w:sz w:val="18"/>
              </w:rPr>
              <w:t>units</w:t>
            </w:r>
          </w:p>
        </w:tc>
        <w:tc>
          <w:tcPr>
            <w:tcW w:w="799" w:type="dxa"/>
            <w:tcBorders>
              <w:top w:val="single" w:sz="12" w:space="0" w:color="000000"/>
              <w:left w:val="single" w:sz="12" w:space="0" w:color="000000"/>
              <w:bottom w:val="single" w:sz="12" w:space="0" w:color="000000"/>
              <w:right w:val="single" w:sz="12" w:space="0" w:color="000000"/>
            </w:tcBorders>
            <w:vAlign w:val="center"/>
          </w:tcPr>
          <w:p w14:paraId="10CBF10A" w14:textId="08CE6E06" w:rsidR="00B56D50" w:rsidRDefault="001C3C42" w:rsidP="00381ACD">
            <w:pPr>
              <w:spacing w:after="0" w:line="259" w:lineRule="auto"/>
              <w:ind w:left="154" w:right="0" w:firstLine="0"/>
              <w:jc w:val="center"/>
            </w:pPr>
            <w:r>
              <w:rPr>
                <w:b/>
                <w:sz w:val="18"/>
              </w:rPr>
              <w:t>RL</w:t>
            </w:r>
          </w:p>
        </w:tc>
        <w:tc>
          <w:tcPr>
            <w:tcW w:w="787" w:type="dxa"/>
            <w:tcBorders>
              <w:top w:val="single" w:sz="12" w:space="0" w:color="000000"/>
              <w:left w:val="single" w:sz="12" w:space="0" w:color="000000"/>
              <w:bottom w:val="single" w:sz="12" w:space="0" w:color="000000"/>
              <w:right w:val="single" w:sz="12" w:space="0" w:color="000000"/>
            </w:tcBorders>
            <w:vAlign w:val="center"/>
          </w:tcPr>
          <w:p w14:paraId="7AEAB88A" w14:textId="725F8098" w:rsidR="00B56D50" w:rsidRDefault="001C3C42" w:rsidP="00381ACD">
            <w:pPr>
              <w:spacing w:after="0" w:line="259" w:lineRule="auto"/>
              <w:ind w:left="0" w:right="0" w:firstLine="0"/>
              <w:jc w:val="center"/>
            </w:pPr>
            <w:r>
              <w:rPr>
                <w:b/>
                <w:sz w:val="18"/>
              </w:rPr>
              <w:t>units</w:t>
            </w:r>
          </w:p>
        </w:tc>
        <w:tc>
          <w:tcPr>
            <w:tcW w:w="453" w:type="dxa"/>
            <w:tcBorders>
              <w:top w:val="single" w:sz="12" w:space="0" w:color="000000"/>
              <w:left w:val="single" w:sz="12" w:space="0" w:color="000000"/>
              <w:bottom w:val="single" w:sz="12" w:space="0" w:color="000000"/>
              <w:right w:val="single" w:sz="12" w:space="0" w:color="000000"/>
            </w:tcBorders>
            <w:vAlign w:val="center"/>
          </w:tcPr>
          <w:p w14:paraId="19B670E9" w14:textId="54D52BB2" w:rsidR="00B56D50" w:rsidRDefault="001C3C42" w:rsidP="00381ACD">
            <w:pPr>
              <w:spacing w:after="0" w:line="259" w:lineRule="auto"/>
              <w:ind w:left="17" w:right="0" w:firstLine="0"/>
              <w:jc w:val="center"/>
            </w:pPr>
            <w:r>
              <w:rPr>
                <w:b/>
                <w:sz w:val="18"/>
              </w:rPr>
              <w:t>VIII</w:t>
            </w:r>
          </w:p>
        </w:tc>
        <w:tc>
          <w:tcPr>
            <w:tcW w:w="527" w:type="dxa"/>
            <w:tcBorders>
              <w:top w:val="single" w:sz="12" w:space="0" w:color="000000"/>
              <w:left w:val="single" w:sz="12" w:space="0" w:color="000000"/>
              <w:bottom w:val="single" w:sz="12" w:space="0" w:color="000000"/>
              <w:right w:val="single" w:sz="12" w:space="0" w:color="000000"/>
            </w:tcBorders>
            <w:vAlign w:val="center"/>
          </w:tcPr>
          <w:p w14:paraId="071647FB" w14:textId="10FA3BD6" w:rsidR="00B56D50" w:rsidRDefault="001C3C42" w:rsidP="00381ACD">
            <w:pPr>
              <w:spacing w:after="0" w:line="259" w:lineRule="auto"/>
              <w:ind w:left="0" w:right="36" w:firstLine="0"/>
              <w:jc w:val="center"/>
            </w:pPr>
            <w:r>
              <w:rPr>
                <w:b/>
                <w:sz w:val="18"/>
              </w:rPr>
              <w:t>IX</w:t>
            </w:r>
          </w:p>
        </w:tc>
        <w:tc>
          <w:tcPr>
            <w:tcW w:w="435" w:type="dxa"/>
            <w:tcBorders>
              <w:top w:val="single" w:sz="12" w:space="0" w:color="000000"/>
              <w:left w:val="single" w:sz="12" w:space="0" w:color="000000"/>
              <w:bottom w:val="single" w:sz="12" w:space="0" w:color="000000"/>
              <w:right w:val="single" w:sz="12" w:space="0" w:color="000000"/>
            </w:tcBorders>
            <w:vAlign w:val="center"/>
          </w:tcPr>
          <w:p w14:paraId="7CD41789" w14:textId="6AD630FE" w:rsidR="00B56D50" w:rsidRDefault="001C3C42" w:rsidP="00381ACD">
            <w:pPr>
              <w:spacing w:after="0" w:line="259" w:lineRule="auto"/>
              <w:ind w:left="0" w:right="42" w:firstLine="0"/>
              <w:jc w:val="center"/>
            </w:pPr>
            <w:r>
              <w:rPr>
                <w:b/>
                <w:sz w:val="18"/>
              </w:rPr>
              <w:t>2</w:t>
            </w:r>
          </w:p>
        </w:tc>
        <w:tc>
          <w:tcPr>
            <w:tcW w:w="2028" w:type="dxa"/>
            <w:gridSpan w:val="3"/>
            <w:vMerge/>
            <w:tcBorders>
              <w:top w:val="nil"/>
              <w:left w:val="single" w:sz="12" w:space="0" w:color="000000"/>
              <w:bottom w:val="single" w:sz="12" w:space="0" w:color="000000"/>
              <w:right w:val="single" w:sz="12" w:space="0" w:color="000000"/>
            </w:tcBorders>
            <w:vAlign w:val="center"/>
          </w:tcPr>
          <w:p w14:paraId="6F97DB2D" w14:textId="77777777" w:rsidR="00B56D50" w:rsidRDefault="00B56D50" w:rsidP="009834F9">
            <w:pPr>
              <w:spacing w:after="160" w:line="259" w:lineRule="auto"/>
              <w:ind w:left="0" w:right="0" w:firstLine="0"/>
              <w:jc w:val="center"/>
            </w:pPr>
          </w:p>
        </w:tc>
      </w:tr>
      <w:tr w:rsidR="00B0429D" w14:paraId="1979D65A" w14:textId="77777777" w:rsidTr="00C23B62">
        <w:trPr>
          <w:trHeight w:val="259"/>
        </w:trPr>
        <w:tc>
          <w:tcPr>
            <w:tcW w:w="3201" w:type="dxa"/>
            <w:tcBorders>
              <w:top w:val="single" w:sz="12" w:space="0" w:color="000000"/>
              <w:left w:val="single" w:sz="12" w:space="0" w:color="000000"/>
              <w:bottom w:val="single" w:sz="4" w:space="0" w:color="000000"/>
              <w:right w:val="single" w:sz="12" w:space="0" w:color="000000"/>
            </w:tcBorders>
          </w:tcPr>
          <w:p w14:paraId="7ED672B1" w14:textId="77777777" w:rsidR="00B0429D" w:rsidRDefault="00B0429D" w:rsidP="006F0F07">
            <w:pPr>
              <w:spacing w:after="0" w:line="259" w:lineRule="auto"/>
              <w:ind w:left="43" w:right="0" w:firstLine="0"/>
            </w:pPr>
            <w:r>
              <w:rPr>
                <w:sz w:val="18"/>
              </w:rPr>
              <w:t xml:space="preserve">Aminocarb  </w:t>
            </w:r>
          </w:p>
        </w:tc>
        <w:tc>
          <w:tcPr>
            <w:tcW w:w="1056" w:type="dxa"/>
            <w:tcBorders>
              <w:top w:val="single" w:sz="12" w:space="0" w:color="000000"/>
              <w:left w:val="single" w:sz="12" w:space="0" w:color="000000"/>
              <w:bottom w:val="single" w:sz="4" w:space="0" w:color="000000"/>
              <w:right w:val="single" w:sz="12" w:space="0" w:color="000000"/>
            </w:tcBorders>
          </w:tcPr>
          <w:p w14:paraId="03FAE724" w14:textId="6F7F674A" w:rsidR="00B0429D" w:rsidRDefault="00B0429D" w:rsidP="00D53558">
            <w:pPr>
              <w:spacing w:after="0" w:line="259" w:lineRule="auto"/>
              <w:ind w:left="0" w:right="35" w:firstLine="0"/>
              <w:jc w:val="center"/>
            </w:pPr>
            <w:r>
              <w:rPr>
                <w:sz w:val="18"/>
              </w:rPr>
              <w:t>2032-59-9</w:t>
            </w:r>
          </w:p>
        </w:tc>
        <w:tc>
          <w:tcPr>
            <w:tcW w:w="693" w:type="dxa"/>
            <w:tcBorders>
              <w:top w:val="single" w:sz="12" w:space="0" w:color="000000"/>
              <w:left w:val="single" w:sz="12" w:space="0" w:color="000000"/>
              <w:bottom w:val="single" w:sz="4" w:space="0" w:color="000000"/>
              <w:right w:val="single" w:sz="12" w:space="0" w:color="000000"/>
            </w:tcBorders>
          </w:tcPr>
          <w:p w14:paraId="4B8206DA" w14:textId="5B5380D0" w:rsidR="00B0429D" w:rsidRDefault="00B0429D" w:rsidP="00D53558">
            <w:pPr>
              <w:spacing w:after="0" w:line="259" w:lineRule="auto"/>
              <w:ind w:left="0" w:right="37" w:firstLine="0"/>
              <w:jc w:val="center"/>
            </w:pPr>
            <w:r>
              <w:rPr>
                <w:sz w:val="18"/>
              </w:rPr>
              <w:t>10</w:t>
            </w:r>
          </w:p>
        </w:tc>
        <w:tc>
          <w:tcPr>
            <w:tcW w:w="551" w:type="dxa"/>
            <w:tcBorders>
              <w:top w:val="single" w:sz="12" w:space="0" w:color="000000"/>
              <w:left w:val="single" w:sz="12" w:space="0" w:color="000000"/>
              <w:bottom w:val="single" w:sz="4" w:space="0" w:color="000000"/>
              <w:right w:val="single" w:sz="12" w:space="0" w:color="000000"/>
            </w:tcBorders>
          </w:tcPr>
          <w:p w14:paraId="564DAA91" w14:textId="2D81A0FB" w:rsidR="00B0429D" w:rsidRDefault="00B0429D" w:rsidP="00D53558">
            <w:pPr>
              <w:spacing w:after="0" w:line="259" w:lineRule="auto"/>
              <w:ind w:left="0" w:right="0" w:firstLine="0"/>
              <w:jc w:val="center"/>
            </w:pPr>
            <w:r>
              <w:rPr>
                <w:sz w:val="18"/>
              </w:rPr>
              <w:t>ug/L</w:t>
            </w:r>
          </w:p>
        </w:tc>
        <w:tc>
          <w:tcPr>
            <w:tcW w:w="799" w:type="dxa"/>
            <w:tcBorders>
              <w:top w:val="single" w:sz="12" w:space="0" w:color="000000"/>
              <w:left w:val="single" w:sz="12" w:space="0" w:color="000000"/>
              <w:bottom w:val="single" w:sz="4" w:space="0" w:color="000000"/>
              <w:right w:val="single" w:sz="12" w:space="0" w:color="000000"/>
            </w:tcBorders>
          </w:tcPr>
          <w:p w14:paraId="7C95608D" w14:textId="61097980" w:rsidR="00B0429D" w:rsidRDefault="00B0429D" w:rsidP="00D53558">
            <w:pPr>
              <w:spacing w:after="0" w:line="259" w:lineRule="auto"/>
              <w:ind w:left="53" w:right="0" w:firstLine="0"/>
              <w:jc w:val="center"/>
            </w:pPr>
            <w:r>
              <w:rPr>
                <w:sz w:val="18"/>
              </w:rPr>
              <w:t>660</w:t>
            </w:r>
          </w:p>
        </w:tc>
        <w:tc>
          <w:tcPr>
            <w:tcW w:w="787" w:type="dxa"/>
            <w:tcBorders>
              <w:top w:val="single" w:sz="12" w:space="0" w:color="000000"/>
              <w:left w:val="single" w:sz="12" w:space="0" w:color="000000"/>
              <w:bottom w:val="single" w:sz="4" w:space="0" w:color="000000"/>
              <w:right w:val="single" w:sz="12" w:space="0" w:color="000000"/>
            </w:tcBorders>
          </w:tcPr>
          <w:p w14:paraId="09A6064D" w14:textId="438705CE" w:rsidR="00B0429D" w:rsidRDefault="00B0429D" w:rsidP="00D53558">
            <w:pPr>
              <w:spacing w:after="0" w:line="259" w:lineRule="auto"/>
              <w:ind w:left="0" w:right="0" w:firstLine="0"/>
              <w:jc w:val="center"/>
            </w:pPr>
            <w:r>
              <w:rPr>
                <w:rFonts w:eastAsia="Segoe UI Symbol"/>
                <w:sz w:val="18"/>
              </w:rPr>
              <w:t>u</w:t>
            </w:r>
            <w:r>
              <w:rPr>
                <w:sz w:val="18"/>
              </w:rPr>
              <w:t>g/kg</w:t>
            </w:r>
          </w:p>
        </w:tc>
        <w:tc>
          <w:tcPr>
            <w:tcW w:w="453" w:type="dxa"/>
            <w:tcBorders>
              <w:top w:val="single" w:sz="12" w:space="0" w:color="000000"/>
              <w:left w:val="single" w:sz="12" w:space="0" w:color="000000"/>
              <w:bottom w:val="single" w:sz="4" w:space="0" w:color="000000"/>
              <w:right w:val="single" w:sz="12" w:space="0" w:color="000000"/>
            </w:tcBorders>
          </w:tcPr>
          <w:p w14:paraId="414C5BDD" w14:textId="2DF695AA" w:rsidR="00B0429D" w:rsidRDefault="00B0429D" w:rsidP="00D53558">
            <w:pPr>
              <w:spacing w:after="0" w:line="259" w:lineRule="auto"/>
              <w:ind w:left="0" w:right="0" w:firstLine="0"/>
              <w:jc w:val="center"/>
            </w:pPr>
          </w:p>
        </w:tc>
        <w:tc>
          <w:tcPr>
            <w:tcW w:w="527" w:type="dxa"/>
            <w:tcBorders>
              <w:top w:val="single" w:sz="12" w:space="0" w:color="000000"/>
              <w:left w:val="single" w:sz="12" w:space="0" w:color="000000"/>
              <w:bottom w:val="single" w:sz="4" w:space="0" w:color="000000"/>
              <w:right w:val="single" w:sz="12" w:space="0" w:color="000000"/>
            </w:tcBorders>
          </w:tcPr>
          <w:p w14:paraId="296D075A" w14:textId="67D86ED3" w:rsidR="00B0429D" w:rsidRDefault="00B0429D" w:rsidP="00D53558">
            <w:pPr>
              <w:spacing w:after="0" w:line="259" w:lineRule="auto"/>
              <w:ind w:left="7" w:right="0" w:firstLine="0"/>
              <w:jc w:val="center"/>
            </w:pPr>
          </w:p>
        </w:tc>
        <w:tc>
          <w:tcPr>
            <w:tcW w:w="435" w:type="dxa"/>
            <w:tcBorders>
              <w:top w:val="single" w:sz="12" w:space="0" w:color="000000"/>
              <w:left w:val="single" w:sz="12" w:space="0" w:color="000000"/>
              <w:bottom w:val="single" w:sz="4" w:space="0" w:color="000000"/>
              <w:right w:val="single" w:sz="12" w:space="0" w:color="000000"/>
            </w:tcBorders>
          </w:tcPr>
          <w:p w14:paraId="56BFC7E8" w14:textId="75208D36" w:rsidR="00B0429D" w:rsidRDefault="00B0429D" w:rsidP="00D53558">
            <w:pPr>
              <w:spacing w:after="0" w:line="259" w:lineRule="auto"/>
              <w:ind w:left="4" w:right="0" w:firstLine="0"/>
              <w:jc w:val="center"/>
            </w:pPr>
          </w:p>
        </w:tc>
        <w:tc>
          <w:tcPr>
            <w:tcW w:w="878" w:type="dxa"/>
            <w:tcBorders>
              <w:top w:val="single" w:sz="12" w:space="0" w:color="000000"/>
              <w:left w:val="single" w:sz="12" w:space="0" w:color="000000"/>
              <w:bottom w:val="single" w:sz="4" w:space="0" w:color="000000"/>
              <w:right w:val="single" w:sz="12" w:space="0" w:color="000000"/>
            </w:tcBorders>
          </w:tcPr>
          <w:p w14:paraId="166502AC" w14:textId="7CD6346B" w:rsidR="00B0429D" w:rsidRDefault="00B0429D" w:rsidP="00D53558">
            <w:pPr>
              <w:spacing w:after="0" w:line="259" w:lineRule="auto"/>
              <w:ind w:left="0" w:right="36" w:firstLine="0"/>
              <w:jc w:val="center"/>
            </w:pPr>
            <w:r>
              <w:rPr>
                <w:sz w:val="18"/>
              </w:rPr>
              <w:t>8321</w:t>
            </w:r>
          </w:p>
        </w:tc>
        <w:tc>
          <w:tcPr>
            <w:tcW w:w="717" w:type="dxa"/>
            <w:tcBorders>
              <w:top w:val="single" w:sz="12" w:space="0" w:color="000000"/>
              <w:left w:val="single" w:sz="12" w:space="0" w:color="000000"/>
              <w:bottom w:val="single" w:sz="4" w:space="0" w:color="000000"/>
              <w:right w:val="single" w:sz="12" w:space="0" w:color="000000"/>
            </w:tcBorders>
          </w:tcPr>
          <w:p w14:paraId="3C244FD6" w14:textId="40A5EAFA" w:rsidR="00B0429D" w:rsidRDefault="00B0429D" w:rsidP="00EC07A0">
            <w:pPr>
              <w:spacing w:after="0" w:line="259" w:lineRule="auto"/>
              <w:ind w:left="9" w:right="0" w:firstLine="0"/>
              <w:jc w:val="center"/>
            </w:pPr>
          </w:p>
        </w:tc>
        <w:tc>
          <w:tcPr>
            <w:tcW w:w="433" w:type="dxa"/>
            <w:tcBorders>
              <w:top w:val="single" w:sz="12" w:space="0" w:color="000000"/>
              <w:left w:val="single" w:sz="12" w:space="0" w:color="000000"/>
              <w:bottom w:val="single" w:sz="4" w:space="0" w:color="000000"/>
              <w:right w:val="single" w:sz="12" w:space="0" w:color="000000"/>
            </w:tcBorders>
          </w:tcPr>
          <w:p w14:paraId="581785EE" w14:textId="38344745" w:rsidR="00B0429D" w:rsidRDefault="00B0429D" w:rsidP="009F7CFC">
            <w:pPr>
              <w:spacing w:after="0" w:line="259" w:lineRule="auto"/>
              <w:ind w:left="9" w:right="0" w:firstLine="0"/>
              <w:jc w:val="center"/>
            </w:pPr>
          </w:p>
        </w:tc>
      </w:tr>
      <w:tr w:rsidR="00B0429D" w14:paraId="06EFAC81" w14:textId="77777777" w:rsidTr="00C23B62">
        <w:trPr>
          <w:trHeight w:val="252"/>
        </w:trPr>
        <w:tc>
          <w:tcPr>
            <w:tcW w:w="3201" w:type="dxa"/>
            <w:tcBorders>
              <w:top w:val="single" w:sz="4" w:space="0" w:color="000000"/>
              <w:left w:val="single" w:sz="12" w:space="0" w:color="000000"/>
              <w:bottom w:val="single" w:sz="4" w:space="0" w:color="000000"/>
              <w:right w:val="single" w:sz="12" w:space="0" w:color="000000"/>
            </w:tcBorders>
          </w:tcPr>
          <w:p w14:paraId="7220FAD5" w14:textId="77777777" w:rsidR="00B0429D" w:rsidRDefault="00B0429D" w:rsidP="006F0F07">
            <w:pPr>
              <w:spacing w:after="0" w:line="259" w:lineRule="auto"/>
              <w:ind w:left="43" w:right="0" w:firstLine="0"/>
            </w:pPr>
            <w:proofErr w:type="spellStart"/>
            <w:r>
              <w:rPr>
                <w:sz w:val="18"/>
              </w:rPr>
              <w:t>Asulam</w:t>
            </w:r>
            <w:proofErr w:type="spellEnd"/>
            <w:r>
              <w:rPr>
                <w:sz w:val="18"/>
              </w:rPr>
              <w:t xml:space="preserve">  </w:t>
            </w:r>
          </w:p>
        </w:tc>
        <w:tc>
          <w:tcPr>
            <w:tcW w:w="1056" w:type="dxa"/>
            <w:tcBorders>
              <w:top w:val="single" w:sz="4" w:space="0" w:color="000000"/>
              <w:left w:val="single" w:sz="12" w:space="0" w:color="000000"/>
              <w:bottom w:val="single" w:sz="4" w:space="0" w:color="000000"/>
              <w:right w:val="single" w:sz="12" w:space="0" w:color="000000"/>
            </w:tcBorders>
          </w:tcPr>
          <w:p w14:paraId="7643A9CC" w14:textId="05AA7E6B" w:rsidR="00B0429D" w:rsidRDefault="00B0429D" w:rsidP="00D53558">
            <w:pPr>
              <w:spacing w:after="0" w:line="259" w:lineRule="auto"/>
              <w:ind w:left="0" w:right="35" w:firstLine="0"/>
              <w:jc w:val="center"/>
            </w:pPr>
            <w:r>
              <w:rPr>
                <w:sz w:val="18"/>
              </w:rPr>
              <w:t>3337-71-1</w:t>
            </w:r>
          </w:p>
        </w:tc>
        <w:tc>
          <w:tcPr>
            <w:tcW w:w="693" w:type="dxa"/>
            <w:tcBorders>
              <w:top w:val="single" w:sz="4" w:space="0" w:color="000000"/>
              <w:left w:val="single" w:sz="12" w:space="0" w:color="000000"/>
              <w:bottom w:val="single" w:sz="4" w:space="0" w:color="000000"/>
              <w:right w:val="single" w:sz="12" w:space="0" w:color="000000"/>
            </w:tcBorders>
          </w:tcPr>
          <w:p w14:paraId="1CD5F105" w14:textId="321CD413" w:rsidR="00B0429D" w:rsidRDefault="00B0429D" w:rsidP="00D53558">
            <w:pPr>
              <w:spacing w:after="0" w:line="259" w:lineRule="auto"/>
              <w:ind w:left="0" w:right="37" w:firstLine="0"/>
              <w:jc w:val="center"/>
            </w:pPr>
            <w:r>
              <w:rPr>
                <w:sz w:val="18"/>
              </w:rPr>
              <w:t>200</w:t>
            </w:r>
          </w:p>
        </w:tc>
        <w:tc>
          <w:tcPr>
            <w:tcW w:w="551" w:type="dxa"/>
            <w:tcBorders>
              <w:top w:val="single" w:sz="4" w:space="0" w:color="000000"/>
              <w:left w:val="single" w:sz="12" w:space="0" w:color="000000"/>
              <w:bottom w:val="single" w:sz="4" w:space="0" w:color="000000"/>
              <w:right w:val="single" w:sz="12" w:space="0" w:color="000000"/>
            </w:tcBorders>
          </w:tcPr>
          <w:p w14:paraId="568C14AC" w14:textId="489F02B9" w:rsidR="00B0429D" w:rsidRDefault="00B0429D" w:rsidP="00D53558">
            <w:pPr>
              <w:spacing w:after="0" w:line="259" w:lineRule="auto"/>
              <w:ind w:left="0" w:right="0" w:firstLine="0"/>
              <w:jc w:val="center"/>
            </w:pPr>
            <w:r>
              <w:rPr>
                <w:sz w:val="18"/>
              </w:rPr>
              <w:t>ug/L</w:t>
            </w:r>
          </w:p>
        </w:tc>
        <w:tc>
          <w:tcPr>
            <w:tcW w:w="799" w:type="dxa"/>
            <w:tcBorders>
              <w:top w:val="single" w:sz="4" w:space="0" w:color="000000"/>
              <w:left w:val="single" w:sz="12" w:space="0" w:color="000000"/>
              <w:bottom w:val="single" w:sz="4" w:space="0" w:color="000000"/>
              <w:right w:val="single" w:sz="12" w:space="0" w:color="000000"/>
            </w:tcBorders>
          </w:tcPr>
          <w:p w14:paraId="5701EBBD" w14:textId="1700A403" w:rsidR="00B0429D" w:rsidRDefault="00B0429D" w:rsidP="00D53558">
            <w:pPr>
              <w:spacing w:after="0" w:line="259" w:lineRule="auto"/>
              <w:ind w:left="31" w:right="0" w:firstLine="0"/>
              <w:jc w:val="center"/>
            </w:pPr>
            <w:r>
              <w:rPr>
                <w:sz w:val="18"/>
              </w:rPr>
              <w:t>13000</w:t>
            </w:r>
          </w:p>
        </w:tc>
        <w:tc>
          <w:tcPr>
            <w:tcW w:w="787" w:type="dxa"/>
            <w:tcBorders>
              <w:top w:val="single" w:sz="4" w:space="0" w:color="000000"/>
              <w:left w:val="single" w:sz="12" w:space="0" w:color="000000"/>
              <w:bottom w:val="single" w:sz="4" w:space="0" w:color="000000"/>
              <w:right w:val="single" w:sz="12" w:space="0" w:color="000000"/>
            </w:tcBorders>
          </w:tcPr>
          <w:p w14:paraId="7FBDA904" w14:textId="17385930" w:rsidR="00B0429D" w:rsidRDefault="00B0429D" w:rsidP="00D53558">
            <w:pPr>
              <w:spacing w:after="0" w:line="259" w:lineRule="auto"/>
              <w:ind w:left="0" w:right="0" w:firstLine="0"/>
              <w:jc w:val="center"/>
            </w:pPr>
            <w:r>
              <w:rPr>
                <w:rFonts w:eastAsia="Segoe UI Symbol"/>
                <w:sz w:val="18"/>
              </w:rPr>
              <w:t>u</w:t>
            </w:r>
            <w:r>
              <w:rPr>
                <w:sz w:val="18"/>
              </w:rPr>
              <w:t>g/kg</w:t>
            </w:r>
          </w:p>
        </w:tc>
        <w:tc>
          <w:tcPr>
            <w:tcW w:w="453" w:type="dxa"/>
            <w:tcBorders>
              <w:top w:val="single" w:sz="4" w:space="0" w:color="000000"/>
              <w:left w:val="single" w:sz="12" w:space="0" w:color="000000"/>
              <w:bottom w:val="single" w:sz="4" w:space="0" w:color="000000"/>
              <w:right w:val="single" w:sz="12" w:space="0" w:color="000000"/>
            </w:tcBorders>
          </w:tcPr>
          <w:p w14:paraId="2A0A0C38" w14:textId="67C24214" w:rsidR="00B0429D" w:rsidRDefault="00B0429D" w:rsidP="00D53558">
            <w:pPr>
              <w:spacing w:after="0" w:line="259" w:lineRule="auto"/>
              <w:ind w:left="0" w:right="0" w:firstLine="0"/>
              <w:jc w:val="center"/>
            </w:pPr>
          </w:p>
        </w:tc>
        <w:tc>
          <w:tcPr>
            <w:tcW w:w="527" w:type="dxa"/>
            <w:tcBorders>
              <w:top w:val="single" w:sz="4" w:space="0" w:color="000000"/>
              <w:left w:val="single" w:sz="12" w:space="0" w:color="000000"/>
              <w:bottom w:val="single" w:sz="4" w:space="0" w:color="000000"/>
              <w:right w:val="single" w:sz="12" w:space="0" w:color="000000"/>
            </w:tcBorders>
          </w:tcPr>
          <w:p w14:paraId="5E838D4B" w14:textId="226DE996" w:rsidR="00B0429D" w:rsidRDefault="00B0429D" w:rsidP="00D53558">
            <w:pPr>
              <w:spacing w:after="0" w:line="259" w:lineRule="auto"/>
              <w:ind w:left="7" w:right="0" w:firstLine="0"/>
              <w:jc w:val="center"/>
            </w:pPr>
          </w:p>
        </w:tc>
        <w:tc>
          <w:tcPr>
            <w:tcW w:w="435" w:type="dxa"/>
            <w:tcBorders>
              <w:top w:val="single" w:sz="4" w:space="0" w:color="000000"/>
              <w:left w:val="single" w:sz="12" w:space="0" w:color="000000"/>
              <w:bottom w:val="single" w:sz="4" w:space="0" w:color="000000"/>
              <w:right w:val="single" w:sz="12" w:space="0" w:color="000000"/>
            </w:tcBorders>
          </w:tcPr>
          <w:p w14:paraId="77D064FD" w14:textId="6DA6DDAE" w:rsidR="00B0429D" w:rsidRDefault="00B0429D" w:rsidP="00D53558">
            <w:pPr>
              <w:spacing w:after="0" w:line="259" w:lineRule="auto"/>
              <w:ind w:left="4" w:right="0" w:firstLine="0"/>
              <w:jc w:val="center"/>
            </w:pPr>
          </w:p>
        </w:tc>
        <w:tc>
          <w:tcPr>
            <w:tcW w:w="878" w:type="dxa"/>
            <w:tcBorders>
              <w:top w:val="single" w:sz="4" w:space="0" w:color="000000"/>
              <w:left w:val="single" w:sz="12" w:space="0" w:color="000000"/>
              <w:bottom w:val="single" w:sz="4" w:space="0" w:color="000000"/>
              <w:right w:val="single" w:sz="12" w:space="0" w:color="000000"/>
            </w:tcBorders>
          </w:tcPr>
          <w:p w14:paraId="10BF2996" w14:textId="35935346" w:rsidR="00B0429D" w:rsidRDefault="00B0429D" w:rsidP="00D53558">
            <w:pPr>
              <w:spacing w:after="0" w:line="259" w:lineRule="auto"/>
              <w:ind w:left="0" w:right="36" w:firstLine="0"/>
              <w:jc w:val="center"/>
            </w:pPr>
            <w:r>
              <w:rPr>
                <w:sz w:val="18"/>
              </w:rPr>
              <w:t>8321</w:t>
            </w:r>
          </w:p>
        </w:tc>
        <w:tc>
          <w:tcPr>
            <w:tcW w:w="717" w:type="dxa"/>
            <w:tcBorders>
              <w:top w:val="single" w:sz="4" w:space="0" w:color="000000"/>
              <w:left w:val="single" w:sz="12" w:space="0" w:color="000000"/>
              <w:bottom w:val="single" w:sz="4" w:space="0" w:color="000000"/>
              <w:right w:val="single" w:sz="12" w:space="0" w:color="000000"/>
            </w:tcBorders>
          </w:tcPr>
          <w:p w14:paraId="10AB13B8" w14:textId="6FEE7008" w:rsidR="00B0429D" w:rsidRDefault="00B0429D" w:rsidP="00EC07A0">
            <w:pPr>
              <w:spacing w:after="0" w:line="259" w:lineRule="auto"/>
              <w:ind w:left="9" w:right="0" w:firstLine="0"/>
              <w:jc w:val="center"/>
            </w:pPr>
          </w:p>
        </w:tc>
        <w:tc>
          <w:tcPr>
            <w:tcW w:w="433" w:type="dxa"/>
            <w:tcBorders>
              <w:top w:val="single" w:sz="4" w:space="0" w:color="000000"/>
              <w:left w:val="single" w:sz="12" w:space="0" w:color="000000"/>
              <w:bottom w:val="single" w:sz="4" w:space="0" w:color="000000"/>
              <w:right w:val="single" w:sz="12" w:space="0" w:color="000000"/>
            </w:tcBorders>
          </w:tcPr>
          <w:p w14:paraId="0E20447A" w14:textId="294CC750" w:rsidR="00B0429D" w:rsidRDefault="00B0429D" w:rsidP="009F7CFC">
            <w:pPr>
              <w:spacing w:after="0" w:line="259" w:lineRule="auto"/>
              <w:ind w:left="9" w:right="0" w:firstLine="0"/>
              <w:jc w:val="center"/>
            </w:pPr>
          </w:p>
        </w:tc>
      </w:tr>
      <w:tr w:rsidR="00B0429D" w14:paraId="5ABB7783" w14:textId="77777777" w:rsidTr="00C23B62">
        <w:trPr>
          <w:trHeight w:val="250"/>
        </w:trPr>
        <w:tc>
          <w:tcPr>
            <w:tcW w:w="3201" w:type="dxa"/>
            <w:tcBorders>
              <w:top w:val="single" w:sz="4" w:space="0" w:color="000000"/>
              <w:left w:val="single" w:sz="12" w:space="0" w:color="000000"/>
              <w:bottom w:val="single" w:sz="4" w:space="0" w:color="000000"/>
              <w:right w:val="single" w:sz="12" w:space="0" w:color="000000"/>
            </w:tcBorders>
          </w:tcPr>
          <w:p w14:paraId="33B97C79" w14:textId="77777777" w:rsidR="00B0429D" w:rsidRDefault="00B0429D" w:rsidP="006F0F07">
            <w:pPr>
              <w:spacing w:after="0" w:line="259" w:lineRule="auto"/>
              <w:ind w:left="43" w:right="0" w:firstLine="0"/>
            </w:pPr>
            <w:r>
              <w:rPr>
                <w:sz w:val="18"/>
              </w:rPr>
              <w:t xml:space="preserve">Barban </w:t>
            </w:r>
          </w:p>
        </w:tc>
        <w:tc>
          <w:tcPr>
            <w:tcW w:w="1056" w:type="dxa"/>
            <w:tcBorders>
              <w:top w:val="single" w:sz="4" w:space="0" w:color="000000"/>
              <w:left w:val="single" w:sz="12" w:space="0" w:color="000000"/>
              <w:bottom w:val="single" w:sz="4" w:space="0" w:color="000000"/>
              <w:right w:val="single" w:sz="12" w:space="0" w:color="000000"/>
            </w:tcBorders>
          </w:tcPr>
          <w:p w14:paraId="6DE8FCDB" w14:textId="78C07E26" w:rsidR="00B0429D" w:rsidRDefault="00B0429D" w:rsidP="00D53558">
            <w:pPr>
              <w:spacing w:after="0" w:line="259" w:lineRule="auto"/>
              <w:ind w:left="0" w:right="35" w:firstLine="0"/>
              <w:jc w:val="center"/>
            </w:pPr>
            <w:r>
              <w:rPr>
                <w:sz w:val="18"/>
              </w:rPr>
              <w:t>101-27-9</w:t>
            </w:r>
          </w:p>
        </w:tc>
        <w:tc>
          <w:tcPr>
            <w:tcW w:w="693" w:type="dxa"/>
            <w:tcBorders>
              <w:top w:val="single" w:sz="4" w:space="0" w:color="000000"/>
              <w:left w:val="single" w:sz="12" w:space="0" w:color="000000"/>
              <w:bottom w:val="single" w:sz="4" w:space="0" w:color="000000"/>
              <w:right w:val="single" w:sz="12" w:space="0" w:color="000000"/>
            </w:tcBorders>
          </w:tcPr>
          <w:p w14:paraId="1E3941AA" w14:textId="0EA0C908" w:rsidR="00B0429D" w:rsidRDefault="00B0429D" w:rsidP="00D53558">
            <w:pPr>
              <w:spacing w:after="0" w:line="259" w:lineRule="auto"/>
              <w:ind w:left="0" w:right="37" w:firstLine="0"/>
              <w:jc w:val="center"/>
            </w:pPr>
            <w:r>
              <w:rPr>
                <w:sz w:val="18"/>
              </w:rPr>
              <w:t>200</w:t>
            </w:r>
          </w:p>
        </w:tc>
        <w:tc>
          <w:tcPr>
            <w:tcW w:w="551" w:type="dxa"/>
            <w:tcBorders>
              <w:top w:val="single" w:sz="4" w:space="0" w:color="000000"/>
              <w:left w:val="single" w:sz="12" w:space="0" w:color="000000"/>
              <w:bottom w:val="single" w:sz="4" w:space="0" w:color="000000"/>
              <w:right w:val="single" w:sz="12" w:space="0" w:color="000000"/>
            </w:tcBorders>
          </w:tcPr>
          <w:p w14:paraId="1598E403" w14:textId="01870AD4" w:rsidR="00B0429D" w:rsidRDefault="00B0429D" w:rsidP="00D53558">
            <w:pPr>
              <w:spacing w:after="0" w:line="259" w:lineRule="auto"/>
              <w:ind w:left="0" w:right="0" w:firstLine="0"/>
              <w:jc w:val="center"/>
            </w:pPr>
            <w:r>
              <w:rPr>
                <w:sz w:val="18"/>
              </w:rPr>
              <w:t>ug/L</w:t>
            </w:r>
          </w:p>
        </w:tc>
        <w:tc>
          <w:tcPr>
            <w:tcW w:w="799" w:type="dxa"/>
            <w:tcBorders>
              <w:top w:val="single" w:sz="4" w:space="0" w:color="000000"/>
              <w:left w:val="single" w:sz="12" w:space="0" w:color="000000"/>
              <w:bottom w:val="single" w:sz="4" w:space="0" w:color="000000"/>
              <w:right w:val="single" w:sz="12" w:space="0" w:color="000000"/>
            </w:tcBorders>
          </w:tcPr>
          <w:p w14:paraId="257004FC" w14:textId="494CE563" w:rsidR="00B0429D" w:rsidRDefault="00B0429D" w:rsidP="00D53558">
            <w:pPr>
              <w:spacing w:after="0" w:line="259" w:lineRule="auto"/>
              <w:ind w:left="31" w:right="0" w:firstLine="0"/>
              <w:jc w:val="center"/>
            </w:pPr>
            <w:r>
              <w:rPr>
                <w:sz w:val="18"/>
              </w:rPr>
              <w:t>13000</w:t>
            </w:r>
          </w:p>
        </w:tc>
        <w:tc>
          <w:tcPr>
            <w:tcW w:w="787" w:type="dxa"/>
            <w:tcBorders>
              <w:top w:val="single" w:sz="4" w:space="0" w:color="000000"/>
              <w:left w:val="single" w:sz="12" w:space="0" w:color="000000"/>
              <w:bottom w:val="single" w:sz="4" w:space="0" w:color="000000"/>
              <w:right w:val="single" w:sz="12" w:space="0" w:color="000000"/>
            </w:tcBorders>
          </w:tcPr>
          <w:p w14:paraId="557BEC5F" w14:textId="34B7146C" w:rsidR="00B0429D" w:rsidRDefault="00B0429D" w:rsidP="00D53558">
            <w:pPr>
              <w:spacing w:after="0" w:line="259" w:lineRule="auto"/>
              <w:ind w:left="0" w:right="0" w:firstLine="0"/>
              <w:jc w:val="center"/>
            </w:pPr>
            <w:r>
              <w:rPr>
                <w:rFonts w:eastAsia="Segoe UI Symbol"/>
                <w:sz w:val="18"/>
              </w:rPr>
              <w:t>u</w:t>
            </w:r>
            <w:r>
              <w:rPr>
                <w:sz w:val="18"/>
              </w:rPr>
              <w:t>g/kg</w:t>
            </w:r>
          </w:p>
        </w:tc>
        <w:tc>
          <w:tcPr>
            <w:tcW w:w="453" w:type="dxa"/>
            <w:tcBorders>
              <w:top w:val="single" w:sz="4" w:space="0" w:color="000000"/>
              <w:left w:val="single" w:sz="12" w:space="0" w:color="000000"/>
              <w:bottom w:val="single" w:sz="4" w:space="0" w:color="000000"/>
              <w:right w:val="single" w:sz="12" w:space="0" w:color="000000"/>
            </w:tcBorders>
          </w:tcPr>
          <w:p w14:paraId="0E27D487" w14:textId="6E974FEB" w:rsidR="00B0429D" w:rsidRDefault="00B0429D" w:rsidP="006F0F07">
            <w:pPr>
              <w:spacing w:after="0" w:line="259" w:lineRule="auto"/>
              <w:ind w:left="0" w:right="0" w:firstLine="0"/>
              <w:jc w:val="center"/>
            </w:pPr>
            <w:r>
              <w:rPr>
                <w:sz w:val="18"/>
              </w:rPr>
              <w:t>X</w:t>
            </w:r>
          </w:p>
        </w:tc>
        <w:tc>
          <w:tcPr>
            <w:tcW w:w="527" w:type="dxa"/>
            <w:tcBorders>
              <w:top w:val="single" w:sz="4" w:space="0" w:color="000000"/>
              <w:left w:val="single" w:sz="12" w:space="0" w:color="000000"/>
              <w:bottom w:val="single" w:sz="4" w:space="0" w:color="000000"/>
              <w:right w:val="single" w:sz="12" w:space="0" w:color="000000"/>
            </w:tcBorders>
          </w:tcPr>
          <w:p w14:paraId="2910F49E" w14:textId="3DE1EA29" w:rsidR="00B0429D" w:rsidRDefault="00B0429D" w:rsidP="00D53558">
            <w:pPr>
              <w:spacing w:after="0" w:line="259" w:lineRule="auto"/>
              <w:ind w:left="7" w:right="0" w:firstLine="0"/>
              <w:jc w:val="center"/>
            </w:pPr>
          </w:p>
        </w:tc>
        <w:tc>
          <w:tcPr>
            <w:tcW w:w="435" w:type="dxa"/>
            <w:tcBorders>
              <w:top w:val="single" w:sz="4" w:space="0" w:color="000000"/>
              <w:left w:val="single" w:sz="12" w:space="0" w:color="000000"/>
              <w:bottom w:val="single" w:sz="4" w:space="0" w:color="000000"/>
              <w:right w:val="single" w:sz="12" w:space="0" w:color="000000"/>
            </w:tcBorders>
          </w:tcPr>
          <w:p w14:paraId="0A85265F" w14:textId="1EE10BD3" w:rsidR="00B0429D" w:rsidRDefault="00B0429D" w:rsidP="00D53558">
            <w:pPr>
              <w:spacing w:after="0" w:line="259" w:lineRule="auto"/>
              <w:ind w:left="4" w:right="0" w:firstLine="0"/>
              <w:jc w:val="center"/>
            </w:pPr>
          </w:p>
        </w:tc>
        <w:tc>
          <w:tcPr>
            <w:tcW w:w="878" w:type="dxa"/>
            <w:tcBorders>
              <w:top w:val="single" w:sz="4" w:space="0" w:color="000000"/>
              <w:left w:val="single" w:sz="12" w:space="0" w:color="000000"/>
              <w:bottom w:val="single" w:sz="4" w:space="0" w:color="000000"/>
              <w:right w:val="single" w:sz="12" w:space="0" w:color="000000"/>
            </w:tcBorders>
          </w:tcPr>
          <w:p w14:paraId="311DBD3D" w14:textId="3A8F6AD4" w:rsidR="00B0429D" w:rsidRDefault="00B0429D" w:rsidP="00D53558">
            <w:pPr>
              <w:spacing w:after="0" w:line="259" w:lineRule="auto"/>
              <w:ind w:left="0" w:right="36" w:firstLine="0"/>
              <w:jc w:val="center"/>
            </w:pPr>
            <w:r>
              <w:rPr>
                <w:sz w:val="18"/>
              </w:rPr>
              <w:t>8321</w:t>
            </w:r>
          </w:p>
        </w:tc>
        <w:tc>
          <w:tcPr>
            <w:tcW w:w="717" w:type="dxa"/>
            <w:tcBorders>
              <w:top w:val="single" w:sz="4" w:space="0" w:color="000000"/>
              <w:left w:val="single" w:sz="12" w:space="0" w:color="000000"/>
              <w:bottom w:val="single" w:sz="4" w:space="0" w:color="000000"/>
              <w:right w:val="single" w:sz="12" w:space="0" w:color="000000"/>
            </w:tcBorders>
          </w:tcPr>
          <w:p w14:paraId="5CF1A5E0" w14:textId="2B02244E" w:rsidR="00B0429D" w:rsidRDefault="00B0429D" w:rsidP="009F7CFC">
            <w:pPr>
              <w:spacing w:after="0" w:line="259" w:lineRule="auto"/>
              <w:ind w:left="79" w:right="0" w:firstLine="0"/>
            </w:pPr>
            <w:r>
              <w:rPr>
                <w:sz w:val="18"/>
              </w:rPr>
              <w:t>8270</w:t>
            </w:r>
          </w:p>
        </w:tc>
        <w:tc>
          <w:tcPr>
            <w:tcW w:w="433" w:type="dxa"/>
            <w:tcBorders>
              <w:top w:val="single" w:sz="4" w:space="0" w:color="000000"/>
              <w:left w:val="single" w:sz="12" w:space="0" w:color="000000"/>
              <w:bottom w:val="single" w:sz="4" w:space="0" w:color="000000"/>
              <w:right w:val="single" w:sz="12" w:space="0" w:color="000000"/>
            </w:tcBorders>
          </w:tcPr>
          <w:p w14:paraId="3D755E9D" w14:textId="0C377D49" w:rsidR="00B0429D" w:rsidRDefault="00B0429D" w:rsidP="009F7CFC">
            <w:pPr>
              <w:spacing w:after="0" w:line="259" w:lineRule="auto"/>
              <w:ind w:left="9" w:right="0" w:firstLine="0"/>
              <w:jc w:val="center"/>
            </w:pPr>
          </w:p>
        </w:tc>
      </w:tr>
      <w:tr w:rsidR="00B0429D" w14:paraId="50820348" w14:textId="77777777" w:rsidTr="00C23B62">
        <w:trPr>
          <w:trHeight w:val="250"/>
        </w:trPr>
        <w:tc>
          <w:tcPr>
            <w:tcW w:w="3201" w:type="dxa"/>
            <w:tcBorders>
              <w:top w:val="single" w:sz="4" w:space="0" w:color="000000"/>
              <w:left w:val="single" w:sz="12" w:space="0" w:color="000000"/>
              <w:bottom w:val="single" w:sz="4" w:space="0" w:color="000000"/>
              <w:right w:val="single" w:sz="12" w:space="0" w:color="000000"/>
            </w:tcBorders>
          </w:tcPr>
          <w:p w14:paraId="64E4CB8F" w14:textId="77777777" w:rsidR="00B0429D" w:rsidRDefault="00B0429D" w:rsidP="006F0F07">
            <w:pPr>
              <w:spacing w:after="0" w:line="259" w:lineRule="auto"/>
              <w:ind w:left="43" w:right="0" w:firstLine="0"/>
            </w:pPr>
            <w:r>
              <w:rPr>
                <w:sz w:val="18"/>
              </w:rPr>
              <w:t xml:space="preserve">Benomyl </w:t>
            </w:r>
          </w:p>
        </w:tc>
        <w:tc>
          <w:tcPr>
            <w:tcW w:w="1056" w:type="dxa"/>
            <w:tcBorders>
              <w:top w:val="single" w:sz="4" w:space="0" w:color="000000"/>
              <w:left w:val="single" w:sz="12" w:space="0" w:color="000000"/>
              <w:bottom w:val="single" w:sz="4" w:space="0" w:color="000000"/>
              <w:right w:val="single" w:sz="12" w:space="0" w:color="000000"/>
            </w:tcBorders>
          </w:tcPr>
          <w:p w14:paraId="3862072A" w14:textId="0BB46940" w:rsidR="00B0429D" w:rsidRDefault="00B0429D" w:rsidP="00D53558">
            <w:pPr>
              <w:spacing w:after="0" w:line="259" w:lineRule="auto"/>
              <w:ind w:left="0" w:right="35" w:firstLine="0"/>
              <w:jc w:val="center"/>
            </w:pPr>
            <w:r>
              <w:rPr>
                <w:sz w:val="18"/>
              </w:rPr>
              <w:t>17804-35-2</w:t>
            </w:r>
          </w:p>
        </w:tc>
        <w:tc>
          <w:tcPr>
            <w:tcW w:w="693" w:type="dxa"/>
            <w:tcBorders>
              <w:top w:val="single" w:sz="4" w:space="0" w:color="000000"/>
              <w:left w:val="single" w:sz="12" w:space="0" w:color="000000"/>
              <w:bottom w:val="single" w:sz="4" w:space="0" w:color="000000"/>
              <w:right w:val="single" w:sz="12" w:space="0" w:color="000000"/>
            </w:tcBorders>
          </w:tcPr>
          <w:p w14:paraId="23B9A469" w14:textId="2608EA9F" w:rsidR="00B0429D" w:rsidRDefault="00B0429D" w:rsidP="00D53558">
            <w:pPr>
              <w:spacing w:after="0" w:line="259" w:lineRule="auto"/>
              <w:ind w:left="0" w:right="37" w:firstLine="0"/>
              <w:jc w:val="center"/>
            </w:pPr>
            <w:r>
              <w:rPr>
                <w:sz w:val="18"/>
              </w:rPr>
              <w:t>200</w:t>
            </w:r>
          </w:p>
        </w:tc>
        <w:tc>
          <w:tcPr>
            <w:tcW w:w="551" w:type="dxa"/>
            <w:tcBorders>
              <w:top w:val="single" w:sz="4" w:space="0" w:color="000000"/>
              <w:left w:val="single" w:sz="12" w:space="0" w:color="000000"/>
              <w:bottom w:val="single" w:sz="4" w:space="0" w:color="000000"/>
              <w:right w:val="single" w:sz="12" w:space="0" w:color="000000"/>
            </w:tcBorders>
          </w:tcPr>
          <w:p w14:paraId="23E514EE" w14:textId="47CE0ECB" w:rsidR="00B0429D" w:rsidRDefault="00B0429D" w:rsidP="00D53558">
            <w:pPr>
              <w:spacing w:after="0" w:line="259" w:lineRule="auto"/>
              <w:ind w:left="0" w:right="0" w:firstLine="0"/>
              <w:jc w:val="center"/>
            </w:pPr>
            <w:r>
              <w:rPr>
                <w:sz w:val="18"/>
              </w:rPr>
              <w:t>ug/L</w:t>
            </w:r>
          </w:p>
        </w:tc>
        <w:tc>
          <w:tcPr>
            <w:tcW w:w="799" w:type="dxa"/>
            <w:tcBorders>
              <w:top w:val="single" w:sz="4" w:space="0" w:color="000000"/>
              <w:left w:val="single" w:sz="12" w:space="0" w:color="000000"/>
              <w:bottom w:val="single" w:sz="4" w:space="0" w:color="000000"/>
              <w:right w:val="single" w:sz="12" w:space="0" w:color="000000"/>
            </w:tcBorders>
          </w:tcPr>
          <w:p w14:paraId="2660BE90" w14:textId="3F1D9F91" w:rsidR="00B0429D" w:rsidRDefault="00B0429D" w:rsidP="00D53558">
            <w:pPr>
              <w:spacing w:after="0" w:line="259" w:lineRule="auto"/>
              <w:ind w:left="31" w:right="0" w:firstLine="0"/>
              <w:jc w:val="center"/>
            </w:pPr>
            <w:r>
              <w:rPr>
                <w:sz w:val="18"/>
              </w:rPr>
              <w:t>13000</w:t>
            </w:r>
          </w:p>
        </w:tc>
        <w:tc>
          <w:tcPr>
            <w:tcW w:w="787" w:type="dxa"/>
            <w:tcBorders>
              <w:top w:val="single" w:sz="4" w:space="0" w:color="000000"/>
              <w:left w:val="single" w:sz="12" w:space="0" w:color="000000"/>
              <w:bottom w:val="single" w:sz="4" w:space="0" w:color="000000"/>
              <w:right w:val="single" w:sz="12" w:space="0" w:color="000000"/>
            </w:tcBorders>
          </w:tcPr>
          <w:p w14:paraId="687B5474" w14:textId="388A2561" w:rsidR="00B0429D" w:rsidRDefault="00B0429D" w:rsidP="00D53558">
            <w:pPr>
              <w:spacing w:after="0" w:line="259" w:lineRule="auto"/>
              <w:ind w:left="0" w:right="0" w:firstLine="0"/>
              <w:jc w:val="center"/>
            </w:pPr>
            <w:r>
              <w:rPr>
                <w:rFonts w:eastAsia="Segoe UI Symbol"/>
                <w:sz w:val="18"/>
              </w:rPr>
              <w:t>u</w:t>
            </w:r>
            <w:r>
              <w:rPr>
                <w:sz w:val="18"/>
              </w:rPr>
              <w:t>g/kg</w:t>
            </w:r>
          </w:p>
        </w:tc>
        <w:tc>
          <w:tcPr>
            <w:tcW w:w="453" w:type="dxa"/>
            <w:tcBorders>
              <w:top w:val="single" w:sz="4" w:space="0" w:color="000000"/>
              <w:left w:val="single" w:sz="12" w:space="0" w:color="000000"/>
              <w:bottom w:val="single" w:sz="4" w:space="0" w:color="000000"/>
              <w:right w:val="single" w:sz="12" w:space="0" w:color="000000"/>
            </w:tcBorders>
          </w:tcPr>
          <w:p w14:paraId="5E63E48B" w14:textId="471A6134" w:rsidR="00B0429D" w:rsidRDefault="00B0429D" w:rsidP="006F0F07">
            <w:pPr>
              <w:spacing w:after="0" w:line="259" w:lineRule="auto"/>
              <w:ind w:left="0" w:right="0" w:firstLine="0"/>
              <w:jc w:val="center"/>
            </w:pPr>
            <w:r>
              <w:rPr>
                <w:sz w:val="18"/>
              </w:rPr>
              <w:t>X</w:t>
            </w:r>
          </w:p>
        </w:tc>
        <w:tc>
          <w:tcPr>
            <w:tcW w:w="527" w:type="dxa"/>
            <w:tcBorders>
              <w:top w:val="single" w:sz="4" w:space="0" w:color="000000"/>
              <w:left w:val="single" w:sz="12" w:space="0" w:color="000000"/>
              <w:bottom w:val="single" w:sz="4" w:space="0" w:color="000000"/>
              <w:right w:val="single" w:sz="12" w:space="0" w:color="000000"/>
            </w:tcBorders>
          </w:tcPr>
          <w:p w14:paraId="394392BF" w14:textId="5A0FF177" w:rsidR="00B0429D" w:rsidRDefault="00B0429D" w:rsidP="00D53558">
            <w:pPr>
              <w:spacing w:after="0" w:line="259" w:lineRule="auto"/>
              <w:ind w:left="7" w:right="0" w:firstLine="0"/>
              <w:jc w:val="center"/>
            </w:pPr>
          </w:p>
        </w:tc>
        <w:tc>
          <w:tcPr>
            <w:tcW w:w="435" w:type="dxa"/>
            <w:tcBorders>
              <w:top w:val="single" w:sz="4" w:space="0" w:color="000000"/>
              <w:left w:val="single" w:sz="12" w:space="0" w:color="000000"/>
              <w:bottom w:val="single" w:sz="4" w:space="0" w:color="000000"/>
              <w:right w:val="single" w:sz="12" w:space="0" w:color="000000"/>
            </w:tcBorders>
          </w:tcPr>
          <w:p w14:paraId="70617297" w14:textId="30AF3973" w:rsidR="00B0429D" w:rsidRDefault="00B0429D" w:rsidP="00D53558">
            <w:pPr>
              <w:spacing w:after="0" w:line="259" w:lineRule="auto"/>
              <w:ind w:left="4" w:right="0" w:firstLine="0"/>
              <w:jc w:val="center"/>
            </w:pPr>
          </w:p>
        </w:tc>
        <w:tc>
          <w:tcPr>
            <w:tcW w:w="878" w:type="dxa"/>
            <w:tcBorders>
              <w:top w:val="single" w:sz="4" w:space="0" w:color="000000"/>
              <w:left w:val="single" w:sz="12" w:space="0" w:color="000000"/>
              <w:bottom w:val="single" w:sz="4" w:space="0" w:color="000000"/>
              <w:right w:val="single" w:sz="12" w:space="0" w:color="000000"/>
            </w:tcBorders>
          </w:tcPr>
          <w:p w14:paraId="6575F673" w14:textId="4D3BB4BD" w:rsidR="00B0429D" w:rsidRDefault="00B0429D" w:rsidP="00D53558">
            <w:pPr>
              <w:spacing w:after="0" w:line="259" w:lineRule="auto"/>
              <w:ind w:left="0" w:right="36" w:firstLine="0"/>
              <w:jc w:val="center"/>
            </w:pPr>
            <w:r>
              <w:rPr>
                <w:sz w:val="18"/>
              </w:rPr>
              <w:t>8321</w:t>
            </w:r>
          </w:p>
        </w:tc>
        <w:tc>
          <w:tcPr>
            <w:tcW w:w="717" w:type="dxa"/>
            <w:tcBorders>
              <w:top w:val="single" w:sz="4" w:space="0" w:color="000000"/>
              <w:left w:val="single" w:sz="12" w:space="0" w:color="000000"/>
              <w:bottom w:val="single" w:sz="4" w:space="0" w:color="000000"/>
              <w:right w:val="single" w:sz="12" w:space="0" w:color="000000"/>
            </w:tcBorders>
          </w:tcPr>
          <w:p w14:paraId="797C93AF" w14:textId="069186D6" w:rsidR="00B0429D" w:rsidRDefault="00B0429D" w:rsidP="009F7CFC">
            <w:pPr>
              <w:spacing w:after="0" w:line="259" w:lineRule="auto"/>
              <w:ind w:left="9" w:right="0" w:firstLine="0"/>
            </w:pPr>
          </w:p>
        </w:tc>
        <w:tc>
          <w:tcPr>
            <w:tcW w:w="433" w:type="dxa"/>
            <w:tcBorders>
              <w:top w:val="single" w:sz="4" w:space="0" w:color="000000"/>
              <w:left w:val="single" w:sz="12" w:space="0" w:color="000000"/>
              <w:bottom w:val="single" w:sz="4" w:space="0" w:color="000000"/>
              <w:right w:val="single" w:sz="12" w:space="0" w:color="000000"/>
            </w:tcBorders>
          </w:tcPr>
          <w:p w14:paraId="3B3A8EB8" w14:textId="17EE80DC" w:rsidR="00B0429D" w:rsidRDefault="00B0429D" w:rsidP="009F7CFC">
            <w:pPr>
              <w:spacing w:after="0" w:line="259" w:lineRule="auto"/>
              <w:ind w:left="9" w:right="0" w:firstLine="0"/>
              <w:jc w:val="center"/>
            </w:pPr>
          </w:p>
        </w:tc>
      </w:tr>
      <w:tr w:rsidR="00B0429D" w14:paraId="15650FD1" w14:textId="77777777" w:rsidTr="00C23B62">
        <w:trPr>
          <w:trHeight w:val="250"/>
        </w:trPr>
        <w:tc>
          <w:tcPr>
            <w:tcW w:w="3201" w:type="dxa"/>
            <w:tcBorders>
              <w:top w:val="single" w:sz="4" w:space="0" w:color="000000"/>
              <w:left w:val="single" w:sz="12" w:space="0" w:color="000000"/>
              <w:bottom w:val="single" w:sz="4" w:space="0" w:color="000000"/>
              <w:right w:val="single" w:sz="12" w:space="0" w:color="000000"/>
            </w:tcBorders>
          </w:tcPr>
          <w:p w14:paraId="26C4C437" w14:textId="77777777" w:rsidR="00B0429D" w:rsidRDefault="00B0429D" w:rsidP="006F0F07">
            <w:pPr>
              <w:spacing w:after="0" w:line="259" w:lineRule="auto"/>
              <w:ind w:left="43" w:right="0" w:firstLine="0"/>
            </w:pPr>
            <w:proofErr w:type="spellStart"/>
            <w:r>
              <w:rPr>
                <w:sz w:val="18"/>
              </w:rPr>
              <w:t>Bromacil</w:t>
            </w:r>
            <w:proofErr w:type="spellEnd"/>
            <w:r>
              <w:rPr>
                <w:sz w:val="18"/>
              </w:rPr>
              <w:t xml:space="preserve">  </w:t>
            </w:r>
          </w:p>
        </w:tc>
        <w:tc>
          <w:tcPr>
            <w:tcW w:w="1056" w:type="dxa"/>
            <w:tcBorders>
              <w:top w:val="single" w:sz="4" w:space="0" w:color="000000"/>
              <w:left w:val="single" w:sz="12" w:space="0" w:color="000000"/>
              <w:bottom w:val="single" w:sz="4" w:space="0" w:color="000000"/>
              <w:right w:val="single" w:sz="12" w:space="0" w:color="000000"/>
            </w:tcBorders>
          </w:tcPr>
          <w:p w14:paraId="65A82A66" w14:textId="23367007" w:rsidR="00B0429D" w:rsidRDefault="00B0429D" w:rsidP="00D53558">
            <w:pPr>
              <w:spacing w:after="0" w:line="259" w:lineRule="auto"/>
              <w:ind w:left="0" w:right="35" w:firstLine="0"/>
              <w:jc w:val="center"/>
            </w:pPr>
            <w:r>
              <w:rPr>
                <w:sz w:val="18"/>
              </w:rPr>
              <w:t>314-40-9</w:t>
            </w:r>
          </w:p>
        </w:tc>
        <w:tc>
          <w:tcPr>
            <w:tcW w:w="693" w:type="dxa"/>
            <w:tcBorders>
              <w:top w:val="single" w:sz="4" w:space="0" w:color="000000"/>
              <w:left w:val="single" w:sz="12" w:space="0" w:color="000000"/>
              <w:bottom w:val="single" w:sz="4" w:space="0" w:color="000000"/>
              <w:right w:val="single" w:sz="12" w:space="0" w:color="000000"/>
            </w:tcBorders>
          </w:tcPr>
          <w:p w14:paraId="7F6F82A3" w14:textId="33D2257B" w:rsidR="00B0429D" w:rsidRDefault="00B0429D" w:rsidP="00D53558">
            <w:pPr>
              <w:spacing w:after="0" w:line="259" w:lineRule="auto"/>
              <w:ind w:left="0" w:right="37" w:firstLine="0"/>
              <w:jc w:val="center"/>
            </w:pPr>
            <w:r>
              <w:rPr>
                <w:sz w:val="18"/>
              </w:rPr>
              <w:t>10</w:t>
            </w:r>
          </w:p>
        </w:tc>
        <w:tc>
          <w:tcPr>
            <w:tcW w:w="551" w:type="dxa"/>
            <w:tcBorders>
              <w:top w:val="single" w:sz="4" w:space="0" w:color="000000"/>
              <w:left w:val="single" w:sz="12" w:space="0" w:color="000000"/>
              <w:bottom w:val="single" w:sz="4" w:space="0" w:color="000000"/>
              <w:right w:val="single" w:sz="12" w:space="0" w:color="000000"/>
            </w:tcBorders>
          </w:tcPr>
          <w:p w14:paraId="73F3A385" w14:textId="1FF4A3F2" w:rsidR="00B0429D" w:rsidRDefault="00B0429D" w:rsidP="00D53558">
            <w:pPr>
              <w:spacing w:after="0" w:line="259" w:lineRule="auto"/>
              <w:ind w:left="0" w:right="0" w:firstLine="0"/>
              <w:jc w:val="center"/>
            </w:pPr>
            <w:r>
              <w:rPr>
                <w:sz w:val="18"/>
              </w:rPr>
              <w:t>ug/L</w:t>
            </w:r>
          </w:p>
        </w:tc>
        <w:tc>
          <w:tcPr>
            <w:tcW w:w="799" w:type="dxa"/>
            <w:tcBorders>
              <w:top w:val="single" w:sz="4" w:space="0" w:color="000000"/>
              <w:left w:val="single" w:sz="12" w:space="0" w:color="000000"/>
              <w:bottom w:val="single" w:sz="4" w:space="0" w:color="000000"/>
              <w:right w:val="single" w:sz="12" w:space="0" w:color="000000"/>
            </w:tcBorders>
          </w:tcPr>
          <w:p w14:paraId="64D50C57" w14:textId="0742409A" w:rsidR="00B0429D" w:rsidRDefault="00B0429D" w:rsidP="00D53558">
            <w:pPr>
              <w:spacing w:after="0" w:line="259" w:lineRule="auto"/>
              <w:ind w:left="53" w:right="0" w:firstLine="0"/>
              <w:jc w:val="center"/>
            </w:pPr>
            <w:r>
              <w:rPr>
                <w:sz w:val="18"/>
              </w:rPr>
              <w:t>660</w:t>
            </w:r>
          </w:p>
        </w:tc>
        <w:tc>
          <w:tcPr>
            <w:tcW w:w="787" w:type="dxa"/>
            <w:tcBorders>
              <w:top w:val="single" w:sz="4" w:space="0" w:color="000000"/>
              <w:left w:val="single" w:sz="12" w:space="0" w:color="000000"/>
              <w:bottom w:val="single" w:sz="4" w:space="0" w:color="000000"/>
              <w:right w:val="single" w:sz="12" w:space="0" w:color="000000"/>
            </w:tcBorders>
          </w:tcPr>
          <w:p w14:paraId="5C475C84" w14:textId="0027CC2A" w:rsidR="00B0429D" w:rsidRDefault="00B0429D" w:rsidP="00D53558">
            <w:pPr>
              <w:spacing w:after="0" w:line="259" w:lineRule="auto"/>
              <w:ind w:left="0" w:right="0" w:firstLine="0"/>
              <w:jc w:val="center"/>
            </w:pPr>
            <w:r>
              <w:rPr>
                <w:rFonts w:eastAsia="Segoe UI Symbol"/>
                <w:sz w:val="18"/>
              </w:rPr>
              <w:t>u</w:t>
            </w:r>
            <w:r>
              <w:rPr>
                <w:sz w:val="18"/>
              </w:rPr>
              <w:t>g/kg</w:t>
            </w:r>
          </w:p>
        </w:tc>
        <w:tc>
          <w:tcPr>
            <w:tcW w:w="453" w:type="dxa"/>
            <w:tcBorders>
              <w:top w:val="single" w:sz="4" w:space="0" w:color="000000"/>
              <w:left w:val="single" w:sz="12" w:space="0" w:color="000000"/>
              <w:bottom w:val="single" w:sz="4" w:space="0" w:color="000000"/>
              <w:right w:val="single" w:sz="12" w:space="0" w:color="000000"/>
            </w:tcBorders>
          </w:tcPr>
          <w:p w14:paraId="38B517E9" w14:textId="13B50494" w:rsidR="00B0429D" w:rsidRDefault="00B0429D" w:rsidP="00D53558">
            <w:pPr>
              <w:spacing w:after="0" w:line="259" w:lineRule="auto"/>
              <w:ind w:left="0" w:right="0" w:firstLine="0"/>
              <w:jc w:val="center"/>
            </w:pPr>
          </w:p>
        </w:tc>
        <w:tc>
          <w:tcPr>
            <w:tcW w:w="527" w:type="dxa"/>
            <w:tcBorders>
              <w:top w:val="single" w:sz="4" w:space="0" w:color="000000"/>
              <w:left w:val="single" w:sz="12" w:space="0" w:color="000000"/>
              <w:bottom w:val="single" w:sz="4" w:space="0" w:color="000000"/>
              <w:right w:val="single" w:sz="12" w:space="0" w:color="000000"/>
            </w:tcBorders>
          </w:tcPr>
          <w:p w14:paraId="166304F6" w14:textId="227D50D3" w:rsidR="00B0429D" w:rsidRDefault="00B0429D" w:rsidP="00D53558">
            <w:pPr>
              <w:spacing w:after="0" w:line="259" w:lineRule="auto"/>
              <w:ind w:left="7" w:right="0" w:firstLine="0"/>
              <w:jc w:val="center"/>
            </w:pPr>
          </w:p>
        </w:tc>
        <w:tc>
          <w:tcPr>
            <w:tcW w:w="435" w:type="dxa"/>
            <w:tcBorders>
              <w:top w:val="single" w:sz="4" w:space="0" w:color="000000"/>
              <w:left w:val="single" w:sz="12" w:space="0" w:color="000000"/>
              <w:bottom w:val="single" w:sz="4" w:space="0" w:color="000000"/>
              <w:right w:val="single" w:sz="12" w:space="0" w:color="000000"/>
            </w:tcBorders>
          </w:tcPr>
          <w:p w14:paraId="6FC2177F" w14:textId="3C9264D3" w:rsidR="00B0429D" w:rsidRDefault="00B0429D" w:rsidP="00D53558">
            <w:pPr>
              <w:spacing w:after="0" w:line="259" w:lineRule="auto"/>
              <w:ind w:left="4" w:right="0" w:firstLine="0"/>
              <w:jc w:val="center"/>
            </w:pPr>
          </w:p>
        </w:tc>
        <w:tc>
          <w:tcPr>
            <w:tcW w:w="878" w:type="dxa"/>
            <w:tcBorders>
              <w:top w:val="single" w:sz="4" w:space="0" w:color="000000"/>
              <w:left w:val="single" w:sz="12" w:space="0" w:color="000000"/>
              <w:bottom w:val="single" w:sz="4" w:space="0" w:color="000000"/>
              <w:right w:val="single" w:sz="12" w:space="0" w:color="000000"/>
            </w:tcBorders>
          </w:tcPr>
          <w:p w14:paraId="040C63F1" w14:textId="5732D901" w:rsidR="00B0429D" w:rsidRDefault="00B0429D" w:rsidP="00D53558">
            <w:pPr>
              <w:spacing w:after="0" w:line="259" w:lineRule="auto"/>
              <w:ind w:left="0" w:right="36" w:firstLine="0"/>
              <w:jc w:val="center"/>
            </w:pPr>
            <w:r>
              <w:rPr>
                <w:sz w:val="18"/>
              </w:rPr>
              <w:t>8321</w:t>
            </w:r>
          </w:p>
        </w:tc>
        <w:tc>
          <w:tcPr>
            <w:tcW w:w="717" w:type="dxa"/>
            <w:tcBorders>
              <w:top w:val="single" w:sz="4" w:space="0" w:color="000000"/>
              <w:left w:val="single" w:sz="12" w:space="0" w:color="000000"/>
              <w:bottom w:val="single" w:sz="4" w:space="0" w:color="000000"/>
              <w:right w:val="single" w:sz="12" w:space="0" w:color="000000"/>
            </w:tcBorders>
          </w:tcPr>
          <w:p w14:paraId="6A62D151" w14:textId="54BBD9D9" w:rsidR="00B0429D" w:rsidRDefault="00B0429D" w:rsidP="009F7CFC">
            <w:pPr>
              <w:spacing w:after="0" w:line="259" w:lineRule="auto"/>
              <w:ind w:left="9" w:right="0" w:firstLine="0"/>
            </w:pPr>
          </w:p>
        </w:tc>
        <w:tc>
          <w:tcPr>
            <w:tcW w:w="433" w:type="dxa"/>
            <w:tcBorders>
              <w:top w:val="single" w:sz="4" w:space="0" w:color="000000"/>
              <w:left w:val="single" w:sz="12" w:space="0" w:color="000000"/>
              <w:bottom w:val="single" w:sz="4" w:space="0" w:color="000000"/>
              <w:right w:val="single" w:sz="12" w:space="0" w:color="000000"/>
            </w:tcBorders>
          </w:tcPr>
          <w:p w14:paraId="6C04F62D" w14:textId="45A1358B" w:rsidR="00B0429D" w:rsidRDefault="00B0429D" w:rsidP="009F7CFC">
            <w:pPr>
              <w:spacing w:after="0" w:line="259" w:lineRule="auto"/>
              <w:ind w:left="9" w:right="0" w:firstLine="0"/>
              <w:jc w:val="center"/>
            </w:pPr>
          </w:p>
        </w:tc>
      </w:tr>
      <w:tr w:rsidR="00B0429D" w14:paraId="38FB45EE" w14:textId="77777777" w:rsidTr="00C23B62">
        <w:trPr>
          <w:trHeight w:val="250"/>
        </w:trPr>
        <w:tc>
          <w:tcPr>
            <w:tcW w:w="3201" w:type="dxa"/>
            <w:tcBorders>
              <w:top w:val="single" w:sz="4" w:space="0" w:color="000000"/>
              <w:left w:val="single" w:sz="12" w:space="0" w:color="000000"/>
              <w:bottom w:val="single" w:sz="4" w:space="0" w:color="000000"/>
              <w:right w:val="single" w:sz="12" w:space="0" w:color="000000"/>
            </w:tcBorders>
          </w:tcPr>
          <w:p w14:paraId="611C74F4" w14:textId="77777777" w:rsidR="00B0429D" w:rsidRDefault="00B0429D" w:rsidP="006F0F07">
            <w:pPr>
              <w:spacing w:after="0" w:line="259" w:lineRule="auto"/>
              <w:ind w:left="43" w:right="0" w:firstLine="0"/>
            </w:pPr>
            <w:r>
              <w:rPr>
                <w:sz w:val="18"/>
              </w:rPr>
              <w:t xml:space="preserve">Butylate </w:t>
            </w:r>
          </w:p>
        </w:tc>
        <w:tc>
          <w:tcPr>
            <w:tcW w:w="1056" w:type="dxa"/>
            <w:tcBorders>
              <w:top w:val="single" w:sz="4" w:space="0" w:color="000000"/>
              <w:left w:val="single" w:sz="12" w:space="0" w:color="000000"/>
              <w:bottom w:val="single" w:sz="4" w:space="0" w:color="000000"/>
              <w:right w:val="single" w:sz="12" w:space="0" w:color="000000"/>
            </w:tcBorders>
          </w:tcPr>
          <w:p w14:paraId="1BBF9F0B" w14:textId="7A7483B9" w:rsidR="00B0429D" w:rsidRDefault="00B0429D" w:rsidP="00D53558">
            <w:pPr>
              <w:spacing w:after="0" w:line="259" w:lineRule="auto"/>
              <w:ind w:left="0" w:right="35" w:firstLine="0"/>
              <w:jc w:val="center"/>
            </w:pPr>
            <w:r>
              <w:rPr>
                <w:sz w:val="18"/>
              </w:rPr>
              <w:t>2008-41-5</w:t>
            </w:r>
          </w:p>
        </w:tc>
        <w:tc>
          <w:tcPr>
            <w:tcW w:w="693" w:type="dxa"/>
            <w:tcBorders>
              <w:top w:val="single" w:sz="4" w:space="0" w:color="000000"/>
              <w:left w:val="single" w:sz="12" w:space="0" w:color="000000"/>
              <w:bottom w:val="single" w:sz="4" w:space="0" w:color="000000"/>
              <w:right w:val="single" w:sz="12" w:space="0" w:color="000000"/>
            </w:tcBorders>
          </w:tcPr>
          <w:p w14:paraId="214519C7" w14:textId="548FFBEC" w:rsidR="00B0429D" w:rsidRDefault="00B0429D" w:rsidP="00D53558">
            <w:pPr>
              <w:spacing w:after="0" w:line="259" w:lineRule="auto"/>
              <w:ind w:left="0" w:right="37" w:firstLine="0"/>
              <w:jc w:val="center"/>
            </w:pPr>
            <w:r>
              <w:rPr>
                <w:sz w:val="18"/>
              </w:rPr>
              <w:t>10</w:t>
            </w:r>
          </w:p>
        </w:tc>
        <w:tc>
          <w:tcPr>
            <w:tcW w:w="551" w:type="dxa"/>
            <w:tcBorders>
              <w:top w:val="single" w:sz="4" w:space="0" w:color="000000"/>
              <w:left w:val="single" w:sz="12" w:space="0" w:color="000000"/>
              <w:bottom w:val="single" w:sz="4" w:space="0" w:color="000000"/>
              <w:right w:val="single" w:sz="12" w:space="0" w:color="000000"/>
            </w:tcBorders>
          </w:tcPr>
          <w:p w14:paraId="72FAA448" w14:textId="32C07230" w:rsidR="00B0429D" w:rsidRDefault="00B0429D" w:rsidP="00D53558">
            <w:pPr>
              <w:spacing w:after="0" w:line="259" w:lineRule="auto"/>
              <w:ind w:left="0" w:right="0" w:firstLine="0"/>
              <w:jc w:val="center"/>
            </w:pPr>
            <w:r>
              <w:rPr>
                <w:sz w:val="18"/>
              </w:rPr>
              <w:t>ug/L</w:t>
            </w:r>
          </w:p>
        </w:tc>
        <w:tc>
          <w:tcPr>
            <w:tcW w:w="799" w:type="dxa"/>
            <w:tcBorders>
              <w:top w:val="single" w:sz="4" w:space="0" w:color="000000"/>
              <w:left w:val="single" w:sz="12" w:space="0" w:color="000000"/>
              <w:bottom w:val="single" w:sz="4" w:space="0" w:color="000000"/>
              <w:right w:val="single" w:sz="12" w:space="0" w:color="000000"/>
            </w:tcBorders>
          </w:tcPr>
          <w:p w14:paraId="147D58D1" w14:textId="1BE97308" w:rsidR="00B0429D" w:rsidRDefault="00B0429D" w:rsidP="00D53558">
            <w:pPr>
              <w:spacing w:after="0" w:line="259" w:lineRule="auto"/>
              <w:ind w:left="53" w:right="0" w:firstLine="0"/>
              <w:jc w:val="center"/>
            </w:pPr>
            <w:r>
              <w:rPr>
                <w:sz w:val="18"/>
              </w:rPr>
              <w:t>660</w:t>
            </w:r>
          </w:p>
        </w:tc>
        <w:tc>
          <w:tcPr>
            <w:tcW w:w="787" w:type="dxa"/>
            <w:tcBorders>
              <w:top w:val="single" w:sz="4" w:space="0" w:color="000000"/>
              <w:left w:val="single" w:sz="12" w:space="0" w:color="000000"/>
              <w:bottom w:val="single" w:sz="4" w:space="0" w:color="000000"/>
              <w:right w:val="single" w:sz="12" w:space="0" w:color="000000"/>
            </w:tcBorders>
          </w:tcPr>
          <w:p w14:paraId="27C50ABE" w14:textId="7DCA75DC" w:rsidR="00B0429D" w:rsidRDefault="00B0429D" w:rsidP="00D53558">
            <w:pPr>
              <w:spacing w:after="0" w:line="259" w:lineRule="auto"/>
              <w:ind w:left="0" w:right="0" w:firstLine="0"/>
              <w:jc w:val="center"/>
            </w:pPr>
            <w:r>
              <w:rPr>
                <w:rFonts w:eastAsia="Segoe UI Symbol"/>
                <w:sz w:val="18"/>
              </w:rPr>
              <w:t>u</w:t>
            </w:r>
            <w:r>
              <w:rPr>
                <w:sz w:val="18"/>
              </w:rPr>
              <w:t>g/kg</w:t>
            </w:r>
          </w:p>
        </w:tc>
        <w:tc>
          <w:tcPr>
            <w:tcW w:w="453" w:type="dxa"/>
            <w:tcBorders>
              <w:top w:val="single" w:sz="4" w:space="0" w:color="000000"/>
              <w:left w:val="single" w:sz="12" w:space="0" w:color="000000"/>
              <w:bottom w:val="single" w:sz="4" w:space="0" w:color="000000"/>
              <w:right w:val="single" w:sz="12" w:space="0" w:color="000000"/>
            </w:tcBorders>
          </w:tcPr>
          <w:p w14:paraId="4D39D312" w14:textId="65EEBA58" w:rsidR="00B0429D" w:rsidRDefault="00B0429D" w:rsidP="006F0F07">
            <w:pPr>
              <w:spacing w:after="0" w:line="259" w:lineRule="auto"/>
              <w:ind w:left="0" w:right="0" w:firstLine="0"/>
              <w:jc w:val="center"/>
            </w:pPr>
            <w:r>
              <w:rPr>
                <w:sz w:val="18"/>
              </w:rPr>
              <w:t>X</w:t>
            </w:r>
          </w:p>
        </w:tc>
        <w:tc>
          <w:tcPr>
            <w:tcW w:w="527" w:type="dxa"/>
            <w:tcBorders>
              <w:top w:val="single" w:sz="4" w:space="0" w:color="000000"/>
              <w:left w:val="single" w:sz="12" w:space="0" w:color="000000"/>
              <w:bottom w:val="single" w:sz="4" w:space="0" w:color="000000"/>
              <w:right w:val="single" w:sz="12" w:space="0" w:color="000000"/>
            </w:tcBorders>
          </w:tcPr>
          <w:p w14:paraId="3E632E49" w14:textId="126FA3E7" w:rsidR="00B0429D" w:rsidRDefault="00B0429D" w:rsidP="00D53558">
            <w:pPr>
              <w:spacing w:after="0" w:line="259" w:lineRule="auto"/>
              <w:ind w:left="7" w:right="0" w:firstLine="0"/>
              <w:jc w:val="center"/>
            </w:pPr>
          </w:p>
        </w:tc>
        <w:tc>
          <w:tcPr>
            <w:tcW w:w="435" w:type="dxa"/>
            <w:tcBorders>
              <w:top w:val="single" w:sz="4" w:space="0" w:color="000000"/>
              <w:left w:val="single" w:sz="12" w:space="0" w:color="000000"/>
              <w:bottom w:val="single" w:sz="4" w:space="0" w:color="000000"/>
              <w:right w:val="single" w:sz="12" w:space="0" w:color="000000"/>
            </w:tcBorders>
          </w:tcPr>
          <w:p w14:paraId="7DF36AB3" w14:textId="5FEF97E7" w:rsidR="00B0429D" w:rsidRDefault="00B0429D" w:rsidP="00D53558">
            <w:pPr>
              <w:spacing w:after="0" w:line="259" w:lineRule="auto"/>
              <w:ind w:left="4" w:right="0" w:firstLine="0"/>
              <w:jc w:val="center"/>
            </w:pPr>
          </w:p>
        </w:tc>
        <w:tc>
          <w:tcPr>
            <w:tcW w:w="878" w:type="dxa"/>
            <w:tcBorders>
              <w:top w:val="single" w:sz="4" w:space="0" w:color="000000"/>
              <w:left w:val="single" w:sz="12" w:space="0" w:color="000000"/>
              <w:bottom w:val="single" w:sz="4" w:space="0" w:color="000000"/>
              <w:right w:val="single" w:sz="12" w:space="0" w:color="000000"/>
            </w:tcBorders>
          </w:tcPr>
          <w:p w14:paraId="7E516077" w14:textId="05A36199" w:rsidR="00B0429D" w:rsidRDefault="00B0429D" w:rsidP="00D53558">
            <w:pPr>
              <w:spacing w:after="0" w:line="259" w:lineRule="auto"/>
              <w:ind w:left="0" w:right="36" w:firstLine="0"/>
              <w:jc w:val="center"/>
            </w:pPr>
            <w:r>
              <w:rPr>
                <w:sz w:val="18"/>
              </w:rPr>
              <w:t>8321</w:t>
            </w:r>
          </w:p>
        </w:tc>
        <w:tc>
          <w:tcPr>
            <w:tcW w:w="717" w:type="dxa"/>
            <w:tcBorders>
              <w:top w:val="single" w:sz="4" w:space="0" w:color="000000"/>
              <w:left w:val="single" w:sz="12" w:space="0" w:color="000000"/>
              <w:bottom w:val="single" w:sz="4" w:space="0" w:color="000000"/>
              <w:right w:val="single" w:sz="12" w:space="0" w:color="000000"/>
            </w:tcBorders>
          </w:tcPr>
          <w:p w14:paraId="12EEB6C9" w14:textId="67E3D48A" w:rsidR="00B0429D" w:rsidRPr="00EF5BE6" w:rsidRDefault="00B0429D" w:rsidP="009F7CFC">
            <w:pPr>
              <w:spacing w:after="0" w:line="259" w:lineRule="auto"/>
              <w:ind w:left="0" w:right="0" w:firstLine="0"/>
              <w:rPr>
                <w:iCs/>
              </w:rPr>
            </w:pPr>
          </w:p>
        </w:tc>
        <w:tc>
          <w:tcPr>
            <w:tcW w:w="433" w:type="dxa"/>
            <w:tcBorders>
              <w:top w:val="single" w:sz="4" w:space="0" w:color="000000"/>
              <w:left w:val="single" w:sz="12" w:space="0" w:color="000000"/>
              <w:bottom w:val="single" w:sz="4" w:space="0" w:color="000000"/>
              <w:right w:val="single" w:sz="12" w:space="0" w:color="000000"/>
            </w:tcBorders>
          </w:tcPr>
          <w:p w14:paraId="6AE6F2BE" w14:textId="2A5DA78C" w:rsidR="00B0429D" w:rsidRDefault="00B0429D" w:rsidP="009F7CFC">
            <w:pPr>
              <w:spacing w:after="0" w:line="259" w:lineRule="auto"/>
              <w:ind w:left="0" w:right="37" w:firstLine="0"/>
              <w:jc w:val="center"/>
            </w:pPr>
            <w:r>
              <w:rPr>
                <w:sz w:val="18"/>
              </w:rPr>
              <w:t>634</w:t>
            </w:r>
          </w:p>
        </w:tc>
      </w:tr>
      <w:tr w:rsidR="00B0429D" w14:paraId="06E9EAB7" w14:textId="77777777" w:rsidTr="00C23B62">
        <w:trPr>
          <w:trHeight w:val="250"/>
        </w:trPr>
        <w:tc>
          <w:tcPr>
            <w:tcW w:w="3201" w:type="dxa"/>
            <w:tcBorders>
              <w:top w:val="single" w:sz="4" w:space="0" w:color="000000"/>
              <w:left w:val="single" w:sz="12" w:space="0" w:color="000000"/>
              <w:bottom w:val="single" w:sz="4" w:space="0" w:color="000000"/>
              <w:right w:val="single" w:sz="12" w:space="0" w:color="000000"/>
            </w:tcBorders>
          </w:tcPr>
          <w:p w14:paraId="1AB68C50" w14:textId="77777777" w:rsidR="00B0429D" w:rsidRDefault="00B0429D" w:rsidP="00CD3E79">
            <w:pPr>
              <w:spacing w:after="0" w:line="259" w:lineRule="auto"/>
              <w:ind w:left="43" w:right="0" w:firstLine="0"/>
            </w:pPr>
            <w:r>
              <w:rPr>
                <w:sz w:val="18"/>
              </w:rPr>
              <w:t xml:space="preserve">Caffeine  </w:t>
            </w:r>
          </w:p>
        </w:tc>
        <w:tc>
          <w:tcPr>
            <w:tcW w:w="1056" w:type="dxa"/>
            <w:tcBorders>
              <w:top w:val="single" w:sz="4" w:space="0" w:color="000000"/>
              <w:left w:val="single" w:sz="12" w:space="0" w:color="000000"/>
              <w:bottom w:val="single" w:sz="4" w:space="0" w:color="000000"/>
              <w:right w:val="single" w:sz="12" w:space="0" w:color="000000"/>
            </w:tcBorders>
          </w:tcPr>
          <w:p w14:paraId="68318C29" w14:textId="62EE3F79" w:rsidR="00B0429D" w:rsidRDefault="00B0429D" w:rsidP="00D53558">
            <w:pPr>
              <w:spacing w:after="0" w:line="259" w:lineRule="auto"/>
              <w:ind w:left="0" w:right="35" w:firstLine="0"/>
              <w:jc w:val="center"/>
            </w:pPr>
            <w:r>
              <w:rPr>
                <w:sz w:val="18"/>
              </w:rPr>
              <w:t>58-08-2</w:t>
            </w:r>
          </w:p>
        </w:tc>
        <w:tc>
          <w:tcPr>
            <w:tcW w:w="693" w:type="dxa"/>
            <w:tcBorders>
              <w:top w:val="single" w:sz="4" w:space="0" w:color="000000"/>
              <w:left w:val="single" w:sz="12" w:space="0" w:color="000000"/>
              <w:bottom w:val="single" w:sz="4" w:space="0" w:color="000000"/>
              <w:right w:val="single" w:sz="12" w:space="0" w:color="000000"/>
            </w:tcBorders>
          </w:tcPr>
          <w:p w14:paraId="4FDAFC73" w14:textId="65F17189" w:rsidR="00B0429D" w:rsidRDefault="00B0429D" w:rsidP="00D53558">
            <w:pPr>
              <w:spacing w:after="0" w:line="259" w:lineRule="auto"/>
              <w:ind w:left="0" w:right="37" w:firstLine="0"/>
              <w:jc w:val="center"/>
            </w:pPr>
            <w:r>
              <w:rPr>
                <w:sz w:val="18"/>
              </w:rPr>
              <w:t>40</w:t>
            </w:r>
          </w:p>
        </w:tc>
        <w:tc>
          <w:tcPr>
            <w:tcW w:w="551" w:type="dxa"/>
            <w:tcBorders>
              <w:top w:val="single" w:sz="4" w:space="0" w:color="000000"/>
              <w:left w:val="single" w:sz="12" w:space="0" w:color="000000"/>
              <w:bottom w:val="single" w:sz="4" w:space="0" w:color="000000"/>
              <w:right w:val="single" w:sz="12" w:space="0" w:color="000000"/>
            </w:tcBorders>
          </w:tcPr>
          <w:p w14:paraId="1F13B5C6" w14:textId="7A9D8023" w:rsidR="00B0429D" w:rsidRDefault="00B0429D" w:rsidP="00D53558">
            <w:pPr>
              <w:spacing w:after="0" w:line="259" w:lineRule="auto"/>
              <w:ind w:left="0" w:right="0" w:firstLine="0"/>
              <w:jc w:val="center"/>
            </w:pPr>
            <w:r>
              <w:rPr>
                <w:sz w:val="18"/>
              </w:rPr>
              <w:t>ug/L</w:t>
            </w:r>
          </w:p>
        </w:tc>
        <w:tc>
          <w:tcPr>
            <w:tcW w:w="799" w:type="dxa"/>
            <w:tcBorders>
              <w:top w:val="single" w:sz="4" w:space="0" w:color="000000"/>
              <w:left w:val="single" w:sz="12" w:space="0" w:color="000000"/>
              <w:bottom w:val="single" w:sz="4" w:space="0" w:color="000000"/>
              <w:right w:val="single" w:sz="12" w:space="0" w:color="000000"/>
            </w:tcBorders>
          </w:tcPr>
          <w:p w14:paraId="52313948" w14:textId="0749CA16" w:rsidR="00B0429D" w:rsidRDefault="00B0429D" w:rsidP="00D53558">
            <w:pPr>
              <w:spacing w:after="0" w:line="259" w:lineRule="auto"/>
              <w:ind w:left="31" w:right="0" w:firstLine="0"/>
              <w:jc w:val="center"/>
            </w:pPr>
            <w:r>
              <w:rPr>
                <w:sz w:val="18"/>
              </w:rPr>
              <w:t>2600</w:t>
            </w:r>
          </w:p>
        </w:tc>
        <w:tc>
          <w:tcPr>
            <w:tcW w:w="787" w:type="dxa"/>
            <w:tcBorders>
              <w:top w:val="single" w:sz="4" w:space="0" w:color="000000"/>
              <w:left w:val="single" w:sz="12" w:space="0" w:color="000000"/>
              <w:bottom w:val="single" w:sz="4" w:space="0" w:color="000000"/>
              <w:right w:val="single" w:sz="12" w:space="0" w:color="000000"/>
            </w:tcBorders>
          </w:tcPr>
          <w:p w14:paraId="456F5C84" w14:textId="34DA5BC6" w:rsidR="00B0429D" w:rsidRDefault="00B0429D" w:rsidP="00D53558">
            <w:pPr>
              <w:spacing w:after="0" w:line="259" w:lineRule="auto"/>
              <w:ind w:left="0" w:right="0" w:firstLine="0"/>
              <w:jc w:val="center"/>
            </w:pPr>
            <w:r>
              <w:rPr>
                <w:rFonts w:eastAsia="Segoe UI Symbol"/>
                <w:sz w:val="18"/>
              </w:rPr>
              <w:t>u</w:t>
            </w:r>
            <w:r>
              <w:rPr>
                <w:sz w:val="18"/>
              </w:rPr>
              <w:t>g/kg</w:t>
            </w:r>
          </w:p>
        </w:tc>
        <w:tc>
          <w:tcPr>
            <w:tcW w:w="453" w:type="dxa"/>
            <w:tcBorders>
              <w:top w:val="single" w:sz="4" w:space="0" w:color="000000"/>
              <w:left w:val="single" w:sz="12" w:space="0" w:color="000000"/>
              <w:bottom w:val="single" w:sz="4" w:space="0" w:color="000000"/>
              <w:right w:val="single" w:sz="12" w:space="0" w:color="000000"/>
            </w:tcBorders>
          </w:tcPr>
          <w:p w14:paraId="5C3D1A3B" w14:textId="37FF9418" w:rsidR="00B0429D" w:rsidRDefault="00B0429D" w:rsidP="00D53558">
            <w:pPr>
              <w:spacing w:after="0" w:line="259" w:lineRule="auto"/>
              <w:ind w:left="0" w:right="0" w:firstLine="0"/>
              <w:jc w:val="center"/>
            </w:pPr>
          </w:p>
        </w:tc>
        <w:tc>
          <w:tcPr>
            <w:tcW w:w="527" w:type="dxa"/>
            <w:tcBorders>
              <w:top w:val="single" w:sz="4" w:space="0" w:color="000000"/>
              <w:left w:val="single" w:sz="12" w:space="0" w:color="000000"/>
              <w:bottom w:val="single" w:sz="4" w:space="0" w:color="000000"/>
              <w:right w:val="single" w:sz="12" w:space="0" w:color="000000"/>
            </w:tcBorders>
          </w:tcPr>
          <w:p w14:paraId="2F2420F4" w14:textId="62E13C66" w:rsidR="00B0429D" w:rsidRDefault="00B0429D" w:rsidP="00D53558">
            <w:pPr>
              <w:spacing w:after="0" w:line="259" w:lineRule="auto"/>
              <w:ind w:left="7" w:right="0" w:firstLine="0"/>
              <w:jc w:val="center"/>
            </w:pPr>
          </w:p>
        </w:tc>
        <w:tc>
          <w:tcPr>
            <w:tcW w:w="435" w:type="dxa"/>
            <w:tcBorders>
              <w:top w:val="single" w:sz="4" w:space="0" w:color="000000"/>
              <w:left w:val="single" w:sz="12" w:space="0" w:color="000000"/>
              <w:bottom w:val="single" w:sz="4" w:space="0" w:color="000000"/>
              <w:right w:val="single" w:sz="12" w:space="0" w:color="000000"/>
            </w:tcBorders>
          </w:tcPr>
          <w:p w14:paraId="1810EA1D" w14:textId="75D71388" w:rsidR="00B0429D" w:rsidRDefault="00B0429D" w:rsidP="00D53558">
            <w:pPr>
              <w:spacing w:after="0" w:line="259" w:lineRule="auto"/>
              <w:ind w:left="4" w:right="0" w:firstLine="0"/>
              <w:jc w:val="center"/>
            </w:pPr>
          </w:p>
        </w:tc>
        <w:tc>
          <w:tcPr>
            <w:tcW w:w="878" w:type="dxa"/>
            <w:tcBorders>
              <w:top w:val="single" w:sz="4" w:space="0" w:color="000000"/>
              <w:left w:val="single" w:sz="12" w:space="0" w:color="000000"/>
              <w:bottom w:val="single" w:sz="4" w:space="0" w:color="000000"/>
              <w:right w:val="single" w:sz="12" w:space="0" w:color="000000"/>
            </w:tcBorders>
          </w:tcPr>
          <w:p w14:paraId="5BF21A39" w14:textId="5715399F" w:rsidR="00B0429D" w:rsidRDefault="00B0429D" w:rsidP="00D53558">
            <w:pPr>
              <w:spacing w:after="0" w:line="259" w:lineRule="auto"/>
              <w:ind w:left="0" w:right="36" w:firstLine="0"/>
              <w:jc w:val="center"/>
            </w:pPr>
            <w:r>
              <w:rPr>
                <w:sz w:val="18"/>
              </w:rPr>
              <w:t>8321</w:t>
            </w:r>
          </w:p>
        </w:tc>
        <w:tc>
          <w:tcPr>
            <w:tcW w:w="717" w:type="dxa"/>
            <w:tcBorders>
              <w:top w:val="single" w:sz="4" w:space="0" w:color="000000"/>
              <w:left w:val="single" w:sz="12" w:space="0" w:color="000000"/>
              <w:bottom w:val="single" w:sz="4" w:space="0" w:color="000000"/>
              <w:right w:val="single" w:sz="12" w:space="0" w:color="000000"/>
            </w:tcBorders>
          </w:tcPr>
          <w:p w14:paraId="71E4E5AE" w14:textId="64507448" w:rsidR="00B0429D" w:rsidRPr="00AB07D6" w:rsidRDefault="00B0429D" w:rsidP="009F7CFC">
            <w:pPr>
              <w:spacing w:after="0" w:line="259" w:lineRule="auto"/>
              <w:ind w:left="79" w:right="0" w:firstLine="0"/>
              <w:rPr>
                <w:iCs/>
              </w:rPr>
            </w:pPr>
            <w:r w:rsidRPr="00AB07D6">
              <w:rPr>
                <w:iCs/>
                <w:sz w:val="18"/>
              </w:rPr>
              <w:t>8270</w:t>
            </w:r>
          </w:p>
        </w:tc>
        <w:tc>
          <w:tcPr>
            <w:tcW w:w="433" w:type="dxa"/>
            <w:tcBorders>
              <w:top w:val="single" w:sz="4" w:space="0" w:color="000000"/>
              <w:left w:val="single" w:sz="12" w:space="0" w:color="000000"/>
              <w:bottom w:val="single" w:sz="4" w:space="0" w:color="000000"/>
              <w:right w:val="single" w:sz="12" w:space="0" w:color="000000"/>
            </w:tcBorders>
          </w:tcPr>
          <w:p w14:paraId="754C3068" w14:textId="7D89E118" w:rsidR="00B0429D" w:rsidRDefault="00B0429D" w:rsidP="009F7CFC">
            <w:pPr>
              <w:spacing w:after="0" w:line="259" w:lineRule="auto"/>
              <w:ind w:left="9" w:right="0" w:firstLine="0"/>
              <w:jc w:val="center"/>
            </w:pPr>
          </w:p>
        </w:tc>
      </w:tr>
      <w:tr w:rsidR="00B0429D" w14:paraId="704E3FFB" w14:textId="77777777" w:rsidTr="00C23B62">
        <w:trPr>
          <w:trHeight w:val="252"/>
        </w:trPr>
        <w:tc>
          <w:tcPr>
            <w:tcW w:w="3201" w:type="dxa"/>
            <w:tcBorders>
              <w:top w:val="single" w:sz="4" w:space="0" w:color="000000"/>
              <w:left w:val="single" w:sz="12" w:space="0" w:color="000000"/>
              <w:bottom w:val="single" w:sz="4" w:space="0" w:color="000000"/>
              <w:right w:val="single" w:sz="12" w:space="0" w:color="000000"/>
            </w:tcBorders>
          </w:tcPr>
          <w:p w14:paraId="56DE155E" w14:textId="77777777" w:rsidR="00B0429D" w:rsidRDefault="00B0429D" w:rsidP="00CD3E79">
            <w:pPr>
              <w:spacing w:after="0" w:line="259" w:lineRule="auto"/>
              <w:ind w:left="43" w:right="0" w:firstLine="0"/>
            </w:pPr>
            <w:r>
              <w:rPr>
                <w:sz w:val="18"/>
              </w:rPr>
              <w:t xml:space="preserve">Carbendazim </w:t>
            </w:r>
          </w:p>
        </w:tc>
        <w:tc>
          <w:tcPr>
            <w:tcW w:w="1056" w:type="dxa"/>
            <w:tcBorders>
              <w:top w:val="single" w:sz="4" w:space="0" w:color="000000"/>
              <w:left w:val="single" w:sz="12" w:space="0" w:color="000000"/>
              <w:bottom w:val="single" w:sz="4" w:space="0" w:color="000000"/>
              <w:right w:val="single" w:sz="12" w:space="0" w:color="000000"/>
            </w:tcBorders>
          </w:tcPr>
          <w:p w14:paraId="20E69B68" w14:textId="6905FB1E" w:rsidR="00B0429D" w:rsidRDefault="00B0429D" w:rsidP="00D53558">
            <w:pPr>
              <w:spacing w:after="0" w:line="259" w:lineRule="auto"/>
              <w:ind w:left="0" w:right="35" w:firstLine="0"/>
              <w:jc w:val="center"/>
            </w:pPr>
            <w:r>
              <w:rPr>
                <w:sz w:val="18"/>
              </w:rPr>
              <w:t>10605-21-7</w:t>
            </w:r>
          </w:p>
        </w:tc>
        <w:tc>
          <w:tcPr>
            <w:tcW w:w="693" w:type="dxa"/>
            <w:tcBorders>
              <w:top w:val="single" w:sz="4" w:space="0" w:color="000000"/>
              <w:left w:val="single" w:sz="12" w:space="0" w:color="000000"/>
              <w:bottom w:val="single" w:sz="4" w:space="0" w:color="000000"/>
              <w:right w:val="single" w:sz="12" w:space="0" w:color="000000"/>
            </w:tcBorders>
          </w:tcPr>
          <w:p w14:paraId="49E4999B" w14:textId="459FE42D" w:rsidR="00B0429D" w:rsidRDefault="00B0429D" w:rsidP="00D53558">
            <w:pPr>
              <w:spacing w:after="0" w:line="259" w:lineRule="auto"/>
              <w:ind w:left="0" w:right="37" w:firstLine="0"/>
              <w:jc w:val="center"/>
            </w:pPr>
            <w:r>
              <w:rPr>
                <w:sz w:val="18"/>
              </w:rPr>
              <w:t>100</w:t>
            </w:r>
          </w:p>
        </w:tc>
        <w:tc>
          <w:tcPr>
            <w:tcW w:w="551" w:type="dxa"/>
            <w:tcBorders>
              <w:top w:val="single" w:sz="4" w:space="0" w:color="000000"/>
              <w:left w:val="single" w:sz="12" w:space="0" w:color="000000"/>
              <w:bottom w:val="single" w:sz="4" w:space="0" w:color="000000"/>
              <w:right w:val="single" w:sz="12" w:space="0" w:color="000000"/>
            </w:tcBorders>
          </w:tcPr>
          <w:p w14:paraId="61E5AB52" w14:textId="2D8D47FC" w:rsidR="00B0429D" w:rsidRDefault="00B0429D" w:rsidP="00D53558">
            <w:pPr>
              <w:spacing w:after="0" w:line="259" w:lineRule="auto"/>
              <w:ind w:left="0" w:right="0" w:firstLine="0"/>
              <w:jc w:val="center"/>
            </w:pPr>
            <w:r>
              <w:rPr>
                <w:sz w:val="18"/>
              </w:rPr>
              <w:t>ug/L</w:t>
            </w:r>
          </w:p>
        </w:tc>
        <w:tc>
          <w:tcPr>
            <w:tcW w:w="799" w:type="dxa"/>
            <w:tcBorders>
              <w:top w:val="single" w:sz="4" w:space="0" w:color="000000"/>
              <w:left w:val="single" w:sz="12" w:space="0" w:color="000000"/>
              <w:bottom w:val="single" w:sz="4" w:space="0" w:color="000000"/>
              <w:right w:val="single" w:sz="12" w:space="0" w:color="000000"/>
            </w:tcBorders>
          </w:tcPr>
          <w:p w14:paraId="42EA44BA" w14:textId="200F688A" w:rsidR="00B0429D" w:rsidRDefault="00B0429D" w:rsidP="00D53558">
            <w:pPr>
              <w:spacing w:after="0" w:line="259" w:lineRule="auto"/>
              <w:ind w:left="31" w:right="0" w:firstLine="0"/>
              <w:jc w:val="center"/>
            </w:pPr>
            <w:r>
              <w:rPr>
                <w:sz w:val="18"/>
              </w:rPr>
              <w:t>6600</w:t>
            </w:r>
          </w:p>
        </w:tc>
        <w:tc>
          <w:tcPr>
            <w:tcW w:w="787" w:type="dxa"/>
            <w:tcBorders>
              <w:top w:val="single" w:sz="4" w:space="0" w:color="000000"/>
              <w:left w:val="single" w:sz="12" w:space="0" w:color="000000"/>
              <w:bottom w:val="single" w:sz="4" w:space="0" w:color="000000"/>
              <w:right w:val="single" w:sz="12" w:space="0" w:color="000000"/>
            </w:tcBorders>
          </w:tcPr>
          <w:p w14:paraId="305B688A" w14:textId="0A2A2F62" w:rsidR="00B0429D" w:rsidRDefault="00B0429D" w:rsidP="00D53558">
            <w:pPr>
              <w:spacing w:after="0" w:line="259" w:lineRule="auto"/>
              <w:ind w:left="0" w:right="0" w:firstLine="0"/>
              <w:jc w:val="center"/>
            </w:pPr>
            <w:r>
              <w:rPr>
                <w:rFonts w:eastAsia="Segoe UI Symbol"/>
                <w:sz w:val="18"/>
              </w:rPr>
              <w:t>u</w:t>
            </w:r>
            <w:r>
              <w:rPr>
                <w:sz w:val="18"/>
              </w:rPr>
              <w:t>g/kg</w:t>
            </w:r>
          </w:p>
        </w:tc>
        <w:tc>
          <w:tcPr>
            <w:tcW w:w="453" w:type="dxa"/>
            <w:tcBorders>
              <w:top w:val="single" w:sz="4" w:space="0" w:color="000000"/>
              <w:left w:val="single" w:sz="12" w:space="0" w:color="000000"/>
              <w:bottom w:val="single" w:sz="4" w:space="0" w:color="000000"/>
              <w:right w:val="single" w:sz="12" w:space="0" w:color="000000"/>
            </w:tcBorders>
          </w:tcPr>
          <w:p w14:paraId="3DC64F39" w14:textId="0F686D64" w:rsidR="00B0429D" w:rsidRDefault="00B0429D" w:rsidP="006F0F07">
            <w:pPr>
              <w:spacing w:after="0" w:line="259" w:lineRule="auto"/>
              <w:ind w:left="0" w:right="0" w:firstLine="0"/>
              <w:jc w:val="center"/>
            </w:pPr>
            <w:r>
              <w:rPr>
                <w:sz w:val="18"/>
              </w:rPr>
              <w:t>X</w:t>
            </w:r>
          </w:p>
        </w:tc>
        <w:tc>
          <w:tcPr>
            <w:tcW w:w="527" w:type="dxa"/>
            <w:tcBorders>
              <w:top w:val="single" w:sz="4" w:space="0" w:color="000000"/>
              <w:left w:val="single" w:sz="12" w:space="0" w:color="000000"/>
              <w:bottom w:val="single" w:sz="4" w:space="0" w:color="000000"/>
              <w:right w:val="single" w:sz="12" w:space="0" w:color="000000"/>
            </w:tcBorders>
          </w:tcPr>
          <w:p w14:paraId="7BDA166B" w14:textId="34393DF1" w:rsidR="00B0429D" w:rsidRDefault="00B0429D" w:rsidP="00D53558">
            <w:pPr>
              <w:spacing w:after="0" w:line="259" w:lineRule="auto"/>
              <w:ind w:left="7" w:right="0" w:firstLine="0"/>
              <w:jc w:val="center"/>
            </w:pPr>
          </w:p>
        </w:tc>
        <w:tc>
          <w:tcPr>
            <w:tcW w:w="435" w:type="dxa"/>
            <w:tcBorders>
              <w:top w:val="single" w:sz="4" w:space="0" w:color="000000"/>
              <w:left w:val="single" w:sz="12" w:space="0" w:color="000000"/>
              <w:bottom w:val="single" w:sz="4" w:space="0" w:color="000000"/>
              <w:right w:val="single" w:sz="12" w:space="0" w:color="000000"/>
            </w:tcBorders>
          </w:tcPr>
          <w:p w14:paraId="789B0978" w14:textId="130A0B43" w:rsidR="00B0429D" w:rsidRDefault="00B0429D" w:rsidP="00D53558">
            <w:pPr>
              <w:spacing w:after="0" w:line="259" w:lineRule="auto"/>
              <w:ind w:left="4" w:right="0" w:firstLine="0"/>
              <w:jc w:val="center"/>
            </w:pPr>
          </w:p>
        </w:tc>
        <w:tc>
          <w:tcPr>
            <w:tcW w:w="878" w:type="dxa"/>
            <w:tcBorders>
              <w:top w:val="single" w:sz="4" w:space="0" w:color="000000"/>
              <w:left w:val="single" w:sz="12" w:space="0" w:color="000000"/>
              <w:bottom w:val="single" w:sz="4" w:space="0" w:color="000000"/>
              <w:right w:val="single" w:sz="12" w:space="0" w:color="000000"/>
            </w:tcBorders>
          </w:tcPr>
          <w:p w14:paraId="6EC73182" w14:textId="035ED279" w:rsidR="00B0429D" w:rsidRDefault="00B0429D" w:rsidP="00D53558">
            <w:pPr>
              <w:spacing w:after="0" w:line="259" w:lineRule="auto"/>
              <w:ind w:left="0" w:right="36" w:firstLine="0"/>
              <w:jc w:val="center"/>
            </w:pPr>
            <w:r>
              <w:rPr>
                <w:sz w:val="18"/>
              </w:rPr>
              <w:t>8321</w:t>
            </w:r>
          </w:p>
        </w:tc>
        <w:tc>
          <w:tcPr>
            <w:tcW w:w="717" w:type="dxa"/>
            <w:tcBorders>
              <w:top w:val="single" w:sz="4" w:space="0" w:color="000000"/>
              <w:left w:val="single" w:sz="12" w:space="0" w:color="000000"/>
              <w:bottom w:val="single" w:sz="4" w:space="0" w:color="000000"/>
              <w:right w:val="single" w:sz="12" w:space="0" w:color="000000"/>
            </w:tcBorders>
          </w:tcPr>
          <w:p w14:paraId="6AC33E3D" w14:textId="67BD2A38" w:rsidR="00B0429D" w:rsidRDefault="00B0429D" w:rsidP="009F7CFC">
            <w:pPr>
              <w:spacing w:after="0" w:line="259" w:lineRule="auto"/>
              <w:ind w:left="0" w:right="0" w:firstLine="0"/>
            </w:pPr>
          </w:p>
        </w:tc>
        <w:tc>
          <w:tcPr>
            <w:tcW w:w="433" w:type="dxa"/>
            <w:tcBorders>
              <w:top w:val="single" w:sz="4" w:space="0" w:color="000000"/>
              <w:left w:val="single" w:sz="12" w:space="0" w:color="000000"/>
              <w:bottom w:val="single" w:sz="4" w:space="0" w:color="000000"/>
              <w:right w:val="single" w:sz="12" w:space="0" w:color="000000"/>
            </w:tcBorders>
          </w:tcPr>
          <w:p w14:paraId="5F37874B" w14:textId="5F09A45F" w:rsidR="00B0429D" w:rsidRDefault="00B0429D" w:rsidP="009F7CFC">
            <w:pPr>
              <w:spacing w:after="0" w:line="259" w:lineRule="auto"/>
              <w:ind w:left="9" w:right="0" w:firstLine="0"/>
              <w:jc w:val="center"/>
            </w:pPr>
          </w:p>
        </w:tc>
      </w:tr>
      <w:tr w:rsidR="00B0429D" w14:paraId="25A136E9" w14:textId="77777777" w:rsidTr="00C23B62">
        <w:trPr>
          <w:trHeight w:val="250"/>
        </w:trPr>
        <w:tc>
          <w:tcPr>
            <w:tcW w:w="3201" w:type="dxa"/>
            <w:tcBorders>
              <w:top w:val="single" w:sz="4" w:space="0" w:color="000000"/>
              <w:left w:val="single" w:sz="12" w:space="0" w:color="000000"/>
              <w:bottom w:val="single" w:sz="4" w:space="0" w:color="000000"/>
              <w:right w:val="single" w:sz="12" w:space="0" w:color="000000"/>
            </w:tcBorders>
          </w:tcPr>
          <w:p w14:paraId="04F96411" w14:textId="77777777" w:rsidR="00B0429D" w:rsidRDefault="00B0429D" w:rsidP="00CD3E79">
            <w:pPr>
              <w:spacing w:after="0" w:line="259" w:lineRule="auto"/>
              <w:ind w:left="43" w:right="0" w:firstLine="0"/>
            </w:pPr>
            <w:proofErr w:type="spellStart"/>
            <w:r>
              <w:rPr>
                <w:sz w:val="18"/>
              </w:rPr>
              <w:t>Chloropropham</w:t>
            </w:r>
            <w:proofErr w:type="spellEnd"/>
            <w:r>
              <w:rPr>
                <w:sz w:val="18"/>
              </w:rPr>
              <w:t xml:space="preserve"> </w:t>
            </w:r>
          </w:p>
        </w:tc>
        <w:tc>
          <w:tcPr>
            <w:tcW w:w="1056" w:type="dxa"/>
            <w:tcBorders>
              <w:top w:val="single" w:sz="4" w:space="0" w:color="000000"/>
              <w:left w:val="single" w:sz="12" w:space="0" w:color="000000"/>
              <w:bottom w:val="single" w:sz="4" w:space="0" w:color="000000"/>
              <w:right w:val="single" w:sz="12" w:space="0" w:color="000000"/>
            </w:tcBorders>
          </w:tcPr>
          <w:p w14:paraId="6E809898" w14:textId="257F98E6" w:rsidR="00B0429D" w:rsidRDefault="00B0429D" w:rsidP="00D53558">
            <w:pPr>
              <w:spacing w:after="0" w:line="259" w:lineRule="auto"/>
              <w:ind w:left="0" w:right="35" w:firstLine="0"/>
              <w:jc w:val="center"/>
            </w:pPr>
            <w:r>
              <w:rPr>
                <w:sz w:val="18"/>
              </w:rPr>
              <w:t>101-21-3</w:t>
            </w:r>
          </w:p>
        </w:tc>
        <w:tc>
          <w:tcPr>
            <w:tcW w:w="693" w:type="dxa"/>
            <w:tcBorders>
              <w:top w:val="single" w:sz="4" w:space="0" w:color="000000"/>
              <w:left w:val="single" w:sz="12" w:space="0" w:color="000000"/>
              <w:bottom w:val="single" w:sz="4" w:space="0" w:color="000000"/>
              <w:right w:val="single" w:sz="12" w:space="0" w:color="000000"/>
            </w:tcBorders>
          </w:tcPr>
          <w:p w14:paraId="566AF6CE" w14:textId="2BF39B5C" w:rsidR="00B0429D" w:rsidRDefault="00B0429D" w:rsidP="00D53558">
            <w:pPr>
              <w:spacing w:after="0" w:line="259" w:lineRule="auto"/>
              <w:ind w:left="0" w:right="37" w:firstLine="0"/>
              <w:jc w:val="center"/>
            </w:pPr>
            <w:r>
              <w:rPr>
                <w:sz w:val="18"/>
              </w:rPr>
              <w:t>200</w:t>
            </w:r>
          </w:p>
        </w:tc>
        <w:tc>
          <w:tcPr>
            <w:tcW w:w="551" w:type="dxa"/>
            <w:tcBorders>
              <w:top w:val="single" w:sz="4" w:space="0" w:color="000000"/>
              <w:left w:val="single" w:sz="12" w:space="0" w:color="000000"/>
              <w:bottom w:val="single" w:sz="4" w:space="0" w:color="000000"/>
              <w:right w:val="single" w:sz="12" w:space="0" w:color="000000"/>
            </w:tcBorders>
          </w:tcPr>
          <w:p w14:paraId="608B12C7" w14:textId="0FF3BE49" w:rsidR="00B0429D" w:rsidRDefault="00B0429D" w:rsidP="00D53558">
            <w:pPr>
              <w:spacing w:after="0" w:line="259" w:lineRule="auto"/>
              <w:ind w:left="0" w:right="0" w:firstLine="0"/>
              <w:jc w:val="center"/>
            </w:pPr>
            <w:r>
              <w:rPr>
                <w:sz w:val="18"/>
              </w:rPr>
              <w:t>ug/L</w:t>
            </w:r>
          </w:p>
        </w:tc>
        <w:tc>
          <w:tcPr>
            <w:tcW w:w="799" w:type="dxa"/>
            <w:tcBorders>
              <w:top w:val="single" w:sz="4" w:space="0" w:color="000000"/>
              <w:left w:val="single" w:sz="12" w:space="0" w:color="000000"/>
              <w:bottom w:val="single" w:sz="4" w:space="0" w:color="000000"/>
              <w:right w:val="single" w:sz="12" w:space="0" w:color="000000"/>
            </w:tcBorders>
          </w:tcPr>
          <w:p w14:paraId="525C433E" w14:textId="3B9BED64" w:rsidR="00B0429D" w:rsidRDefault="00B0429D" w:rsidP="00D53558">
            <w:pPr>
              <w:spacing w:after="0" w:line="259" w:lineRule="auto"/>
              <w:ind w:left="31" w:right="0" w:firstLine="0"/>
              <w:jc w:val="center"/>
            </w:pPr>
            <w:r>
              <w:rPr>
                <w:sz w:val="18"/>
              </w:rPr>
              <w:t>13000</w:t>
            </w:r>
          </w:p>
        </w:tc>
        <w:tc>
          <w:tcPr>
            <w:tcW w:w="787" w:type="dxa"/>
            <w:tcBorders>
              <w:top w:val="single" w:sz="4" w:space="0" w:color="000000"/>
              <w:left w:val="single" w:sz="12" w:space="0" w:color="000000"/>
              <w:bottom w:val="single" w:sz="4" w:space="0" w:color="000000"/>
              <w:right w:val="single" w:sz="12" w:space="0" w:color="000000"/>
            </w:tcBorders>
          </w:tcPr>
          <w:p w14:paraId="388C9164" w14:textId="14D7ADF8" w:rsidR="00B0429D" w:rsidRDefault="00B0429D" w:rsidP="00D53558">
            <w:pPr>
              <w:spacing w:after="0" w:line="259" w:lineRule="auto"/>
              <w:ind w:left="0" w:right="0" w:firstLine="0"/>
              <w:jc w:val="center"/>
            </w:pPr>
            <w:r>
              <w:rPr>
                <w:rFonts w:eastAsia="Segoe UI Symbol"/>
                <w:sz w:val="18"/>
              </w:rPr>
              <w:t>u</w:t>
            </w:r>
            <w:r>
              <w:rPr>
                <w:sz w:val="18"/>
              </w:rPr>
              <w:t>g/kg</w:t>
            </w:r>
          </w:p>
        </w:tc>
        <w:tc>
          <w:tcPr>
            <w:tcW w:w="453" w:type="dxa"/>
            <w:tcBorders>
              <w:top w:val="single" w:sz="4" w:space="0" w:color="000000"/>
              <w:left w:val="single" w:sz="12" w:space="0" w:color="000000"/>
              <w:bottom w:val="single" w:sz="4" w:space="0" w:color="000000"/>
              <w:right w:val="single" w:sz="12" w:space="0" w:color="000000"/>
            </w:tcBorders>
          </w:tcPr>
          <w:p w14:paraId="03B28A70" w14:textId="3139C675" w:rsidR="00B0429D" w:rsidRDefault="00B0429D" w:rsidP="00D53558">
            <w:pPr>
              <w:spacing w:after="0" w:line="259" w:lineRule="auto"/>
              <w:ind w:left="0" w:right="0" w:firstLine="0"/>
              <w:jc w:val="center"/>
            </w:pPr>
          </w:p>
        </w:tc>
        <w:tc>
          <w:tcPr>
            <w:tcW w:w="527" w:type="dxa"/>
            <w:tcBorders>
              <w:top w:val="single" w:sz="4" w:space="0" w:color="000000"/>
              <w:left w:val="single" w:sz="12" w:space="0" w:color="000000"/>
              <w:bottom w:val="single" w:sz="4" w:space="0" w:color="000000"/>
              <w:right w:val="single" w:sz="12" w:space="0" w:color="000000"/>
            </w:tcBorders>
          </w:tcPr>
          <w:p w14:paraId="7375ADBF" w14:textId="107F354C" w:rsidR="00B0429D" w:rsidRDefault="00B0429D" w:rsidP="00D53558">
            <w:pPr>
              <w:spacing w:after="0" w:line="259" w:lineRule="auto"/>
              <w:ind w:left="7" w:right="0" w:firstLine="0"/>
              <w:jc w:val="center"/>
            </w:pPr>
          </w:p>
        </w:tc>
        <w:tc>
          <w:tcPr>
            <w:tcW w:w="435" w:type="dxa"/>
            <w:tcBorders>
              <w:top w:val="single" w:sz="4" w:space="0" w:color="000000"/>
              <w:left w:val="single" w:sz="12" w:space="0" w:color="000000"/>
              <w:bottom w:val="single" w:sz="4" w:space="0" w:color="000000"/>
              <w:right w:val="single" w:sz="12" w:space="0" w:color="000000"/>
            </w:tcBorders>
          </w:tcPr>
          <w:p w14:paraId="04976809" w14:textId="7B2C6053" w:rsidR="00B0429D" w:rsidRDefault="00B0429D" w:rsidP="00D53558">
            <w:pPr>
              <w:spacing w:after="0" w:line="259" w:lineRule="auto"/>
              <w:ind w:left="4" w:right="0" w:firstLine="0"/>
              <w:jc w:val="center"/>
            </w:pPr>
          </w:p>
        </w:tc>
        <w:tc>
          <w:tcPr>
            <w:tcW w:w="878" w:type="dxa"/>
            <w:tcBorders>
              <w:top w:val="single" w:sz="4" w:space="0" w:color="000000"/>
              <w:left w:val="single" w:sz="12" w:space="0" w:color="000000"/>
              <w:bottom w:val="single" w:sz="4" w:space="0" w:color="000000"/>
              <w:right w:val="single" w:sz="12" w:space="0" w:color="000000"/>
            </w:tcBorders>
          </w:tcPr>
          <w:p w14:paraId="3F7EC742" w14:textId="70784770" w:rsidR="00B0429D" w:rsidRDefault="00B0429D" w:rsidP="00D53558">
            <w:pPr>
              <w:spacing w:after="0" w:line="259" w:lineRule="auto"/>
              <w:ind w:left="0" w:right="36" w:firstLine="0"/>
              <w:jc w:val="center"/>
            </w:pPr>
            <w:r>
              <w:rPr>
                <w:sz w:val="18"/>
              </w:rPr>
              <w:t>8321</w:t>
            </w:r>
          </w:p>
        </w:tc>
        <w:tc>
          <w:tcPr>
            <w:tcW w:w="717" w:type="dxa"/>
            <w:tcBorders>
              <w:top w:val="single" w:sz="4" w:space="0" w:color="000000"/>
              <w:left w:val="single" w:sz="12" w:space="0" w:color="000000"/>
              <w:bottom w:val="single" w:sz="4" w:space="0" w:color="000000"/>
              <w:right w:val="single" w:sz="12" w:space="0" w:color="000000"/>
            </w:tcBorders>
          </w:tcPr>
          <w:p w14:paraId="7DAF0C55" w14:textId="5159741F" w:rsidR="00B0429D" w:rsidRDefault="00B0429D" w:rsidP="009F7CFC">
            <w:pPr>
              <w:spacing w:after="0" w:line="259" w:lineRule="auto"/>
              <w:ind w:left="9" w:right="0" w:firstLine="0"/>
            </w:pPr>
          </w:p>
        </w:tc>
        <w:tc>
          <w:tcPr>
            <w:tcW w:w="433" w:type="dxa"/>
            <w:tcBorders>
              <w:top w:val="single" w:sz="4" w:space="0" w:color="000000"/>
              <w:left w:val="single" w:sz="12" w:space="0" w:color="000000"/>
              <w:bottom w:val="single" w:sz="4" w:space="0" w:color="000000"/>
              <w:right w:val="single" w:sz="12" w:space="0" w:color="000000"/>
            </w:tcBorders>
          </w:tcPr>
          <w:p w14:paraId="3F792585" w14:textId="6FC89A68" w:rsidR="00B0429D" w:rsidRDefault="00B0429D" w:rsidP="009F7CFC">
            <w:pPr>
              <w:spacing w:after="0" w:line="259" w:lineRule="auto"/>
              <w:ind w:left="9" w:right="0" w:firstLine="0"/>
              <w:jc w:val="center"/>
            </w:pPr>
          </w:p>
        </w:tc>
      </w:tr>
      <w:tr w:rsidR="00B0429D" w14:paraId="01EDD52F" w14:textId="77777777" w:rsidTr="00C23B62">
        <w:trPr>
          <w:trHeight w:val="250"/>
        </w:trPr>
        <w:tc>
          <w:tcPr>
            <w:tcW w:w="3201" w:type="dxa"/>
            <w:tcBorders>
              <w:top w:val="single" w:sz="4" w:space="0" w:color="000000"/>
              <w:left w:val="single" w:sz="12" w:space="0" w:color="000000"/>
              <w:bottom w:val="single" w:sz="4" w:space="0" w:color="000000"/>
              <w:right w:val="single" w:sz="12" w:space="0" w:color="000000"/>
            </w:tcBorders>
          </w:tcPr>
          <w:p w14:paraId="34C44915" w14:textId="77777777" w:rsidR="00B0429D" w:rsidRDefault="00B0429D" w:rsidP="00CD3E79">
            <w:pPr>
              <w:spacing w:after="0" w:line="259" w:lineRule="auto"/>
              <w:ind w:left="43" w:right="0" w:firstLine="0"/>
            </w:pPr>
            <w:r>
              <w:rPr>
                <w:sz w:val="18"/>
              </w:rPr>
              <w:t xml:space="preserve">Chloroxuron  </w:t>
            </w:r>
          </w:p>
        </w:tc>
        <w:tc>
          <w:tcPr>
            <w:tcW w:w="1056" w:type="dxa"/>
            <w:tcBorders>
              <w:top w:val="single" w:sz="4" w:space="0" w:color="000000"/>
              <w:left w:val="single" w:sz="12" w:space="0" w:color="000000"/>
              <w:bottom w:val="single" w:sz="4" w:space="0" w:color="000000"/>
              <w:right w:val="single" w:sz="12" w:space="0" w:color="000000"/>
            </w:tcBorders>
          </w:tcPr>
          <w:p w14:paraId="69348C8F" w14:textId="2B1971B8" w:rsidR="00B0429D" w:rsidRDefault="00B0429D" w:rsidP="00D53558">
            <w:pPr>
              <w:spacing w:after="0" w:line="259" w:lineRule="auto"/>
              <w:ind w:left="0" w:right="35" w:firstLine="0"/>
              <w:jc w:val="center"/>
            </w:pPr>
            <w:r>
              <w:rPr>
                <w:sz w:val="18"/>
              </w:rPr>
              <w:t>1982-47-4</w:t>
            </w:r>
          </w:p>
        </w:tc>
        <w:tc>
          <w:tcPr>
            <w:tcW w:w="693" w:type="dxa"/>
            <w:tcBorders>
              <w:top w:val="single" w:sz="4" w:space="0" w:color="000000"/>
              <w:left w:val="single" w:sz="12" w:space="0" w:color="000000"/>
              <w:bottom w:val="single" w:sz="4" w:space="0" w:color="000000"/>
              <w:right w:val="single" w:sz="12" w:space="0" w:color="000000"/>
            </w:tcBorders>
          </w:tcPr>
          <w:p w14:paraId="2001334D" w14:textId="67EEEE6A" w:rsidR="00B0429D" w:rsidRDefault="00B0429D" w:rsidP="00D53558">
            <w:pPr>
              <w:spacing w:after="0" w:line="259" w:lineRule="auto"/>
              <w:ind w:left="0" w:right="37" w:firstLine="0"/>
              <w:jc w:val="center"/>
            </w:pPr>
            <w:r>
              <w:rPr>
                <w:sz w:val="18"/>
              </w:rPr>
              <w:t>200</w:t>
            </w:r>
          </w:p>
        </w:tc>
        <w:tc>
          <w:tcPr>
            <w:tcW w:w="551" w:type="dxa"/>
            <w:tcBorders>
              <w:top w:val="single" w:sz="4" w:space="0" w:color="000000"/>
              <w:left w:val="single" w:sz="12" w:space="0" w:color="000000"/>
              <w:bottom w:val="single" w:sz="4" w:space="0" w:color="000000"/>
              <w:right w:val="single" w:sz="12" w:space="0" w:color="000000"/>
            </w:tcBorders>
          </w:tcPr>
          <w:p w14:paraId="6919D348" w14:textId="7DD87D1E" w:rsidR="00B0429D" w:rsidRDefault="00B0429D" w:rsidP="00D53558">
            <w:pPr>
              <w:spacing w:after="0" w:line="259" w:lineRule="auto"/>
              <w:ind w:left="0" w:right="0" w:firstLine="0"/>
              <w:jc w:val="center"/>
            </w:pPr>
            <w:r>
              <w:rPr>
                <w:sz w:val="18"/>
              </w:rPr>
              <w:t>ug/L</w:t>
            </w:r>
          </w:p>
        </w:tc>
        <w:tc>
          <w:tcPr>
            <w:tcW w:w="799" w:type="dxa"/>
            <w:tcBorders>
              <w:top w:val="single" w:sz="4" w:space="0" w:color="000000"/>
              <w:left w:val="single" w:sz="12" w:space="0" w:color="000000"/>
              <w:bottom w:val="single" w:sz="4" w:space="0" w:color="000000"/>
              <w:right w:val="single" w:sz="12" w:space="0" w:color="000000"/>
            </w:tcBorders>
          </w:tcPr>
          <w:p w14:paraId="1ECB67D8" w14:textId="543D5796" w:rsidR="00B0429D" w:rsidRDefault="00B0429D" w:rsidP="00D53558">
            <w:pPr>
              <w:spacing w:after="0" w:line="259" w:lineRule="auto"/>
              <w:ind w:left="31" w:right="0" w:firstLine="0"/>
              <w:jc w:val="center"/>
            </w:pPr>
            <w:r>
              <w:rPr>
                <w:sz w:val="18"/>
              </w:rPr>
              <w:t>13000</w:t>
            </w:r>
          </w:p>
        </w:tc>
        <w:tc>
          <w:tcPr>
            <w:tcW w:w="787" w:type="dxa"/>
            <w:tcBorders>
              <w:top w:val="single" w:sz="4" w:space="0" w:color="000000"/>
              <w:left w:val="single" w:sz="12" w:space="0" w:color="000000"/>
              <w:bottom w:val="single" w:sz="4" w:space="0" w:color="000000"/>
              <w:right w:val="single" w:sz="12" w:space="0" w:color="000000"/>
            </w:tcBorders>
          </w:tcPr>
          <w:p w14:paraId="7C5B9884" w14:textId="7544D31E" w:rsidR="00B0429D" w:rsidRDefault="00B0429D" w:rsidP="00D53558">
            <w:pPr>
              <w:spacing w:after="0" w:line="259" w:lineRule="auto"/>
              <w:ind w:left="0" w:right="0" w:firstLine="0"/>
              <w:jc w:val="center"/>
            </w:pPr>
            <w:r>
              <w:rPr>
                <w:rFonts w:eastAsia="Segoe UI Symbol"/>
                <w:sz w:val="18"/>
              </w:rPr>
              <w:t>u</w:t>
            </w:r>
            <w:r>
              <w:rPr>
                <w:sz w:val="18"/>
              </w:rPr>
              <w:t>g/kg</w:t>
            </w:r>
          </w:p>
        </w:tc>
        <w:tc>
          <w:tcPr>
            <w:tcW w:w="453" w:type="dxa"/>
            <w:tcBorders>
              <w:top w:val="single" w:sz="4" w:space="0" w:color="000000"/>
              <w:left w:val="single" w:sz="12" w:space="0" w:color="000000"/>
              <w:bottom w:val="single" w:sz="4" w:space="0" w:color="000000"/>
              <w:right w:val="single" w:sz="12" w:space="0" w:color="000000"/>
            </w:tcBorders>
          </w:tcPr>
          <w:p w14:paraId="60F6F1FE" w14:textId="6C642367" w:rsidR="00B0429D" w:rsidRDefault="00B0429D" w:rsidP="00D53558">
            <w:pPr>
              <w:spacing w:after="0" w:line="259" w:lineRule="auto"/>
              <w:ind w:left="0" w:right="0" w:firstLine="0"/>
              <w:jc w:val="center"/>
            </w:pPr>
          </w:p>
        </w:tc>
        <w:tc>
          <w:tcPr>
            <w:tcW w:w="527" w:type="dxa"/>
            <w:tcBorders>
              <w:top w:val="single" w:sz="4" w:space="0" w:color="000000"/>
              <w:left w:val="single" w:sz="12" w:space="0" w:color="000000"/>
              <w:bottom w:val="single" w:sz="4" w:space="0" w:color="000000"/>
              <w:right w:val="single" w:sz="12" w:space="0" w:color="000000"/>
            </w:tcBorders>
          </w:tcPr>
          <w:p w14:paraId="7CAE88CB" w14:textId="58AF09D9" w:rsidR="00B0429D" w:rsidRDefault="00B0429D" w:rsidP="00D53558">
            <w:pPr>
              <w:spacing w:after="0" w:line="259" w:lineRule="auto"/>
              <w:ind w:left="7" w:right="0" w:firstLine="0"/>
              <w:jc w:val="center"/>
            </w:pPr>
          </w:p>
        </w:tc>
        <w:tc>
          <w:tcPr>
            <w:tcW w:w="435" w:type="dxa"/>
            <w:tcBorders>
              <w:top w:val="single" w:sz="4" w:space="0" w:color="000000"/>
              <w:left w:val="single" w:sz="12" w:space="0" w:color="000000"/>
              <w:bottom w:val="single" w:sz="4" w:space="0" w:color="000000"/>
              <w:right w:val="single" w:sz="12" w:space="0" w:color="000000"/>
            </w:tcBorders>
          </w:tcPr>
          <w:p w14:paraId="4EC2C6AF" w14:textId="4E19A52B" w:rsidR="00B0429D" w:rsidRDefault="00B0429D" w:rsidP="00D53558">
            <w:pPr>
              <w:spacing w:after="0" w:line="259" w:lineRule="auto"/>
              <w:ind w:left="4" w:right="0" w:firstLine="0"/>
              <w:jc w:val="center"/>
            </w:pPr>
          </w:p>
        </w:tc>
        <w:tc>
          <w:tcPr>
            <w:tcW w:w="878" w:type="dxa"/>
            <w:tcBorders>
              <w:top w:val="single" w:sz="4" w:space="0" w:color="000000"/>
              <w:left w:val="single" w:sz="12" w:space="0" w:color="000000"/>
              <w:bottom w:val="single" w:sz="4" w:space="0" w:color="000000"/>
              <w:right w:val="single" w:sz="12" w:space="0" w:color="000000"/>
            </w:tcBorders>
          </w:tcPr>
          <w:p w14:paraId="214D19FE" w14:textId="48E24C92" w:rsidR="00B0429D" w:rsidRDefault="00B0429D" w:rsidP="00D53558">
            <w:pPr>
              <w:spacing w:after="0" w:line="259" w:lineRule="auto"/>
              <w:ind w:left="0" w:right="36" w:firstLine="0"/>
              <w:jc w:val="center"/>
            </w:pPr>
            <w:r>
              <w:rPr>
                <w:sz w:val="18"/>
              </w:rPr>
              <w:t>8321</w:t>
            </w:r>
          </w:p>
        </w:tc>
        <w:tc>
          <w:tcPr>
            <w:tcW w:w="717" w:type="dxa"/>
            <w:tcBorders>
              <w:top w:val="single" w:sz="4" w:space="0" w:color="000000"/>
              <w:left w:val="single" w:sz="12" w:space="0" w:color="000000"/>
              <w:bottom w:val="single" w:sz="4" w:space="0" w:color="000000"/>
              <w:right w:val="single" w:sz="12" w:space="0" w:color="000000"/>
            </w:tcBorders>
          </w:tcPr>
          <w:p w14:paraId="25EAE6C3" w14:textId="2CA050BC" w:rsidR="00B0429D" w:rsidRDefault="00B0429D" w:rsidP="009F7CFC">
            <w:pPr>
              <w:spacing w:after="0" w:line="259" w:lineRule="auto"/>
              <w:ind w:left="9" w:right="0" w:firstLine="0"/>
            </w:pPr>
          </w:p>
        </w:tc>
        <w:tc>
          <w:tcPr>
            <w:tcW w:w="433" w:type="dxa"/>
            <w:tcBorders>
              <w:top w:val="single" w:sz="4" w:space="0" w:color="000000"/>
              <w:left w:val="single" w:sz="12" w:space="0" w:color="000000"/>
              <w:bottom w:val="single" w:sz="4" w:space="0" w:color="000000"/>
              <w:right w:val="single" w:sz="12" w:space="0" w:color="000000"/>
            </w:tcBorders>
          </w:tcPr>
          <w:p w14:paraId="3FA3973D" w14:textId="1D461204" w:rsidR="00B0429D" w:rsidRDefault="00B0429D" w:rsidP="009F7CFC">
            <w:pPr>
              <w:spacing w:after="0" w:line="259" w:lineRule="auto"/>
              <w:ind w:left="9" w:right="0" w:firstLine="0"/>
              <w:jc w:val="center"/>
            </w:pPr>
          </w:p>
        </w:tc>
      </w:tr>
      <w:tr w:rsidR="00B0429D" w14:paraId="73DB1F26" w14:textId="77777777" w:rsidTr="00C23B62">
        <w:trPr>
          <w:trHeight w:val="250"/>
        </w:trPr>
        <w:tc>
          <w:tcPr>
            <w:tcW w:w="3201" w:type="dxa"/>
            <w:tcBorders>
              <w:top w:val="single" w:sz="4" w:space="0" w:color="000000"/>
              <w:left w:val="single" w:sz="12" w:space="0" w:color="000000"/>
              <w:bottom w:val="single" w:sz="4" w:space="0" w:color="000000"/>
              <w:right w:val="single" w:sz="12" w:space="0" w:color="000000"/>
            </w:tcBorders>
          </w:tcPr>
          <w:p w14:paraId="1C180D45" w14:textId="77777777" w:rsidR="00B0429D" w:rsidRDefault="00B0429D" w:rsidP="00CD3E79">
            <w:pPr>
              <w:spacing w:after="0" w:line="259" w:lineRule="auto"/>
              <w:ind w:left="43" w:right="0" w:firstLine="0"/>
            </w:pPr>
            <w:r>
              <w:rPr>
                <w:sz w:val="18"/>
              </w:rPr>
              <w:t xml:space="preserve">Diuron </w:t>
            </w:r>
          </w:p>
        </w:tc>
        <w:tc>
          <w:tcPr>
            <w:tcW w:w="1056" w:type="dxa"/>
            <w:tcBorders>
              <w:top w:val="single" w:sz="4" w:space="0" w:color="000000"/>
              <w:left w:val="single" w:sz="12" w:space="0" w:color="000000"/>
              <w:bottom w:val="single" w:sz="4" w:space="0" w:color="000000"/>
              <w:right w:val="single" w:sz="12" w:space="0" w:color="000000"/>
            </w:tcBorders>
          </w:tcPr>
          <w:p w14:paraId="61C1D573" w14:textId="0A2C623C" w:rsidR="00B0429D" w:rsidRDefault="00B0429D" w:rsidP="00D53558">
            <w:pPr>
              <w:spacing w:after="0" w:line="259" w:lineRule="auto"/>
              <w:ind w:left="0" w:right="35" w:firstLine="0"/>
              <w:jc w:val="center"/>
            </w:pPr>
            <w:r>
              <w:rPr>
                <w:sz w:val="18"/>
              </w:rPr>
              <w:t>330-54-1</w:t>
            </w:r>
          </w:p>
        </w:tc>
        <w:tc>
          <w:tcPr>
            <w:tcW w:w="693" w:type="dxa"/>
            <w:tcBorders>
              <w:top w:val="single" w:sz="4" w:space="0" w:color="000000"/>
              <w:left w:val="single" w:sz="12" w:space="0" w:color="000000"/>
              <w:bottom w:val="single" w:sz="4" w:space="0" w:color="000000"/>
              <w:right w:val="single" w:sz="12" w:space="0" w:color="000000"/>
            </w:tcBorders>
          </w:tcPr>
          <w:p w14:paraId="64269543" w14:textId="242DF580" w:rsidR="00B0429D" w:rsidRDefault="00B0429D" w:rsidP="00D53558">
            <w:pPr>
              <w:spacing w:after="0" w:line="259" w:lineRule="auto"/>
              <w:ind w:left="0" w:right="37" w:firstLine="0"/>
              <w:jc w:val="center"/>
            </w:pPr>
            <w:r>
              <w:rPr>
                <w:sz w:val="18"/>
              </w:rPr>
              <w:t>5</w:t>
            </w:r>
          </w:p>
        </w:tc>
        <w:tc>
          <w:tcPr>
            <w:tcW w:w="551" w:type="dxa"/>
            <w:tcBorders>
              <w:top w:val="single" w:sz="4" w:space="0" w:color="000000"/>
              <w:left w:val="single" w:sz="12" w:space="0" w:color="000000"/>
              <w:bottom w:val="single" w:sz="4" w:space="0" w:color="000000"/>
              <w:right w:val="single" w:sz="12" w:space="0" w:color="000000"/>
            </w:tcBorders>
          </w:tcPr>
          <w:p w14:paraId="3739082D" w14:textId="1230055F" w:rsidR="00B0429D" w:rsidRDefault="00B0429D" w:rsidP="00D53558">
            <w:pPr>
              <w:spacing w:after="0" w:line="259" w:lineRule="auto"/>
              <w:ind w:left="0" w:right="0" w:firstLine="0"/>
              <w:jc w:val="center"/>
            </w:pPr>
            <w:r>
              <w:rPr>
                <w:sz w:val="18"/>
              </w:rPr>
              <w:t>ug/L</w:t>
            </w:r>
          </w:p>
        </w:tc>
        <w:tc>
          <w:tcPr>
            <w:tcW w:w="799" w:type="dxa"/>
            <w:tcBorders>
              <w:top w:val="single" w:sz="4" w:space="0" w:color="000000"/>
              <w:left w:val="single" w:sz="12" w:space="0" w:color="000000"/>
              <w:bottom w:val="single" w:sz="4" w:space="0" w:color="000000"/>
              <w:right w:val="single" w:sz="12" w:space="0" w:color="000000"/>
            </w:tcBorders>
          </w:tcPr>
          <w:p w14:paraId="21FB8236" w14:textId="574AC721" w:rsidR="00B0429D" w:rsidRDefault="00B0429D" w:rsidP="00D53558">
            <w:pPr>
              <w:spacing w:after="0" w:line="259" w:lineRule="auto"/>
              <w:ind w:left="31" w:right="0" w:firstLine="0"/>
              <w:jc w:val="center"/>
            </w:pPr>
            <w:r>
              <w:rPr>
                <w:sz w:val="18"/>
              </w:rPr>
              <w:t>660</w:t>
            </w:r>
          </w:p>
        </w:tc>
        <w:tc>
          <w:tcPr>
            <w:tcW w:w="787" w:type="dxa"/>
            <w:tcBorders>
              <w:top w:val="single" w:sz="4" w:space="0" w:color="000000"/>
              <w:left w:val="single" w:sz="12" w:space="0" w:color="000000"/>
              <w:bottom w:val="single" w:sz="4" w:space="0" w:color="000000"/>
              <w:right w:val="single" w:sz="12" w:space="0" w:color="000000"/>
            </w:tcBorders>
          </w:tcPr>
          <w:p w14:paraId="48BF1F9E" w14:textId="6AC630FA" w:rsidR="00B0429D" w:rsidRDefault="00B0429D" w:rsidP="00D53558">
            <w:pPr>
              <w:spacing w:after="0" w:line="259" w:lineRule="auto"/>
              <w:ind w:left="0" w:right="0" w:firstLine="0"/>
              <w:jc w:val="center"/>
            </w:pPr>
            <w:r>
              <w:rPr>
                <w:rFonts w:eastAsia="Segoe UI Symbol"/>
                <w:sz w:val="18"/>
              </w:rPr>
              <w:t>u</w:t>
            </w:r>
            <w:r>
              <w:rPr>
                <w:sz w:val="18"/>
              </w:rPr>
              <w:t>g/kg</w:t>
            </w:r>
          </w:p>
        </w:tc>
        <w:tc>
          <w:tcPr>
            <w:tcW w:w="453" w:type="dxa"/>
            <w:tcBorders>
              <w:top w:val="single" w:sz="4" w:space="0" w:color="000000"/>
              <w:left w:val="single" w:sz="12" w:space="0" w:color="000000"/>
              <w:bottom w:val="single" w:sz="4" w:space="0" w:color="000000"/>
              <w:right w:val="single" w:sz="12" w:space="0" w:color="000000"/>
            </w:tcBorders>
          </w:tcPr>
          <w:p w14:paraId="672CCD9B" w14:textId="5051C78D" w:rsidR="00B0429D" w:rsidRDefault="00B0429D" w:rsidP="00D53558">
            <w:pPr>
              <w:spacing w:after="0" w:line="259" w:lineRule="auto"/>
              <w:ind w:left="0" w:right="0" w:firstLine="0"/>
              <w:jc w:val="center"/>
            </w:pPr>
          </w:p>
        </w:tc>
        <w:tc>
          <w:tcPr>
            <w:tcW w:w="527" w:type="dxa"/>
            <w:tcBorders>
              <w:top w:val="single" w:sz="4" w:space="0" w:color="000000"/>
              <w:left w:val="single" w:sz="12" w:space="0" w:color="000000"/>
              <w:bottom w:val="single" w:sz="4" w:space="0" w:color="000000"/>
              <w:right w:val="single" w:sz="12" w:space="0" w:color="000000"/>
            </w:tcBorders>
          </w:tcPr>
          <w:p w14:paraId="3CD8B203" w14:textId="6C61593E" w:rsidR="00B0429D" w:rsidRDefault="00B0429D" w:rsidP="00D53558">
            <w:pPr>
              <w:spacing w:after="0" w:line="259" w:lineRule="auto"/>
              <w:ind w:left="7" w:right="0" w:firstLine="0"/>
              <w:jc w:val="center"/>
            </w:pPr>
          </w:p>
        </w:tc>
        <w:tc>
          <w:tcPr>
            <w:tcW w:w="435" w:type="dxa"/>
            <w:tcBorders>
              <w:top w:val="single" w:sz="4" w:space="0" w:color="000000"/>
              <w:left w:val="single" w:sz="12" w:space="0" w:color="000000"/>
              <w:bottom w:val="single" w:sz="4" w:space="0" w:color="000000"/>
              <w:right w:val="single" w:sz="12" w:space="0" w:color="000000"/>
            </w:tcBorders>
          </w:tcPr>
          <w:p w14:paraId="6031FCD9" w14:textId="6DA98460" w:rsidR="00B0429D" w:rsidRDefault="00B0429D" w:rsidP="00D53558">
            <w:pPr>
              <w:spacing w:after="0" w:line="259" w:lineRule="auto"/>
              <w:ind w:left="4" w:right="0" w:firstLine="0"/>
              <w:jc w:val="center"/>
            </w:pPr>
          </w:p>
        </w:tc>
        <w:tc>
          <w:tcPr>
            <w:tcW w:w="878" w:type="dxa"/>
            <w:tcBorders>
              <w:top w:val="single" w:sz="4" w:space="0" w:color="000000"/>
              <w:left w:val="single" w:sz="12" w:space="0" w:color="000000"/>
              <w:bottom w:val="single" w:sz="4" w:space="0" w:color="000000"/>
              <w:right w:val="single" w:sz="12" w:space="0" w:color="000000"/>
            </w:tcBorders>
          </w:tcPr>
          <w:p w14:paraId="78BDEFEA" w14:textId="1B484399" w:rsidR="00B0429D" w:rsidRDefault="00B0429D" w:rsidP="00D53558">
            <w:pPr>
              <w:spacing w:after="0" w:line="259" w:lineRule="auto"/>
              <w:ind w:left="0" w:right="36" w:firstLine="0"/>
              <w:jc w:val="center"/>
            </w:pPr>
            <w:r>
              <w:rPr>
                <w:sz w:val="18"/>
              </w:rPr>
              <w:t>8321</w:t>
            </w:r>
          </w:p>
        </w:tc>
        <w:tc>
          <w:tcPr>
            <w:tcW w:w="717" w:type="dxa"/>
            <w:tcBorders>
              <w:top w:val="single" w:sz="4" w:space="0" w:color="000000"/>
              <w:left w:val="single" w:sz="12" w:space="0" w:color="000000"/>
              <w:bottom w:val="single" w:sz="4" w:space="0" w:color="000000"/>
              <w:right w:val="single" w:sz="12" w:space="0" w:color="000000"/>
            </w:tcBorders>
          </w:tcPr>
          <w:p w14:paraId="29A9D11B" w14:textId="3E560DA3" w:rsidR="00B0429D" w:rsidRDefault="00B0429D" w:rsidP="009F7CFC">
            <w:pPr>
              <w:spacing w:after="0" w:line="259" w:lineRule="auto"/>
              <w:ind w:left="9" w:right="0" w:firstLine="0"/>
            </w:pPr>
          </w:p>
        </w:tc>
        <w:tc>
          <w:tcPr>
            <w:tcW w:w="433" w:type="dxa"/>
            <w:tcBorders>
              <w:top w:val="single" w:sz="4" w:space="0" w:color="000000"/>
              <w:left w:val="single" w:sz="12" w:space="0" w:color="000000"/>
              <w:bottom w:val="single" w:sz="4" w:space="0" w:color="000000"/>
              <w:right w:val="single" w:sz="12" w:space="0" w:color="000000"/>
            </w:tcBorders>
          </w:tcPr>
          <w:p w14:paraId="72C7BE44" w14:textId="065603E1" w:rsidR="00B0429D" w:rsidRDefault="00B0429D" w:rsidP="009F7CFC">
            <w:pPr>
              <w:spacing w:after="0" w:line="259" w:lineRule="auto"/>
              <w:ind w:left="9" w:right="0" w:firstLine="0"/>
              <w:jc w:val="center"/>
            </w:pPr>
          </w:p>
        </w:tc>
      </w:tr>
      <w:tr w:rsidR="00B0429D" w14:paraId="48397074" w14:textId="77777777" w:rsidTr="00C23B62">
        <w:trPr>
          <w:trHeight w:val="250"/>
        </w:trPr>
        <w:tc>
          <w:tcPr>
            <w:tcW w:w="3201" w:type="dxa"/>
            <w:tcBorders>
              <w:top w:val="single" w:sz="4" w:space="0" w:color="000000"/>
              <w:left w:val="single" w:sz="12" w:space="0" w:color="000000"/>
              <w:bottom w:val="single" w:sz="4" w:space="0" w:color="000000"/>
              <w:right w:val="single" w:sz="12" w:space="0" w:color="000000"/>
            </w:tcBorders>
          </w:tcPr>
          <w:p w14:paraId="3846FD1A" w14:textId="77777777" w:rsidR="00B0429D" w:rsidRDefault="00B0429D" w:rsidP="00CD3E79">
            <w:pPr>
              <w:spacing w:after="0" w:line="259" w:lineRule="auto"/>
              <w:ind w:left="43" w:right="0" w:firstLine="0"/>
            </w:pPr>
            <w:r>
              <w:rPr>
                <w:sz w:val="18"/>
              </w:rPr>
              <w:t xml:space="preserve">Fenuron </w:t>
            </w:r>
          </w:p>
        </w:tc>
        <w:tc>
          <w:tcPr>
            <w:tcW w:w="1056" w:type="dxa"/>
            <w:tcBorders>
              <w:top w:val="single" w:sz="4" w:space="0" w:color="000000"/>
              <w:left w:val="single" w:sz="12" w:space="0" w:color="000000"/>
              <w:bottom w:val="single" w:sz="4" w:space="0" w:color="000000"/>
              <w:right w:val="single" w:sz="12" w:space="0" w:color="000000"/>
            </w:tcBorders>
          </w:tcPr>
          <w:p w14:paraId="16689182" w14:textId="63C148B9" w:rsidR="00B0429D" w:rsidRDefault="00B0429D" w:rsidP="00D53558">
            <w:pPr>
              <w:spacing w:after="0" w:line="259" w:lineRule="auto"/>
              <w:ind w:left="0" w:right="35" w:firstLine="0"/>
              <w:jc w:val="center"/>
            </w:pPr>
            <w:r>
              <w:rPr>
                <w:sz w:val="18"/>
              </w:rPr>
              <w:t>101-42-8</w:t>
            </w:r>
          </w:p>
        </w:tc>
        <w:tc>
          <w:tcPr>
            <w:tcW w:w="693" w:type="dxa"/>
            <w:tcBorders>
              <w:top w:val="single" w:sz="4" w:space="0" w:color="000000"/>
              <w:left w:val="single" w:sz="12" w:space="0" w:color="000000"/>
              <w:bottom w:val="single" w:sz="4" w:space="0" w:color="000000"/>
              <w:right w:val="single" w:sz="12" w:space="0" w:color="000000"/>
            </w:tcBorders>
          </w:tcPr>
          <w:p w14:paraId="44A2F182" w14:textId="2CDF842A" w:rsidR="00B0429D" w:rsidRDefault="00B0429D" w:rsidP="00D53558">
            <w:pPr>
              <w:spacing w:after="0" w:line="259" w:lineRule="auto"/>
              <w:ind w:left="0" w:right="37" w:firstLine="0"/>
              <w:jc w:val="center"/>
            </w:pPr>
            <w:r>
              <w:rPr>
                <w:sz w:val="18"/>
              </w:rPr>
              <w:t>5</w:t>
            </w:r>
          </w:p>
        </w:tc>
        <w:tc>
          <w:tcPr>
            <w:tcW w:w="551" w:type="dxa"/>
            <w:tcBorders>
              <w:top w:val="single" w:sz="4" w:space="0" w:color="000000"/>
              <w:left w:val="single" w:sz="12" w:space="0" w:color="000000"/>
              <w:bottom w:val="single" w:sz="4" w:space="0" w:color="000000"/>
              <w:right w:val="single" w:sz="12" w:space="0" w:color="000000"/>
            </w:tcBorders>
          </w:tcPr>
          <w:p w14:paraId="3A17D46E" w14:textId="15DE064B" w:rsidR="00B0429D" w:rsidRDefault="00B0429D" w:rsidP="00D53558">
            <w:pPr>
              <w:spacing w:after="0" w:line="259" w:lineRule="auto"/>
              <w:ind w:left="0" w:right="0" w:firstLine="0"/>
              <w:jc w:val="center"/>
            </w:pPr>
            <w:r>
              <w:rPr>
                <w:sz w:val="18"/>
              </w:rPr>
              <w:t>ug/L</w:t>
            </w:r>
          </w:p>
        </w:tc>
        <w:tc>
          <w:tcPr>
            <w:tcW w:w="799" w:type="dxa"/>
            <w:tcBorders>
              <w:top w:val="single" w:sz="4" w:space="0" w:color="000000"/>
              <w:left w:val="single" w:sz="12" w:space="0" w:color="000000"/>
              <w:bottom w:val="single" w:sz="4" w:space="0" w:color="000000"/>
              <w:right w:val="single" w:sz="12" w:space="0" w:color="000000"/>
            </w:tcBorders>
          </w:tcPr>
          <w:p w14:paraId="3F3D4F63" w14:textId="01A42638" w:rsidR="00B0429D" w:rsidRDefault="00B0429D" w:rsidP="00D53558">
            <w:pPr>
              <w:spacing w:after="0" w:line="259" w:lineRule="auto"/>
              <w:ind w:left="31" w:right="0" w:firstLine="0"/>
              <w:jc w:val="center"/>
            </w:pPr>
            <w:r>
              <w:rPr>
                <w:sz w:val="18"/>
              </w:rPr>
              <w:t>660</w:t>
            </w:r>
          </w:p>
        </w:tc>
        <w:tc>
          <w:tcPr>
            <w:tcW w:w="787" w:type="dxa"/>
            <w:tcBorders>
              <w:top w:val="single" w:sz="4" w:space="0" w:color="000000"/>
              <w:left w:val="single" w:sz="12" w:space="0" w:color="000000"/>
              <w:bottom w:val="single" w:sz="4" w:space="0" w:color="000000"/>
              <w:right w:val="single" w:sz="12" w:space="0" w:color="000000"/>
            </w:tcBorders>
          </w:tcPr>
          <w:p w14:paraId="2E1B511F" w14:textId="115AE3F3" w:rsidR="00B0429D" w:rsidRDefault="00B0429D" w:rsidP="00D53558">
            <w:pPr>
              <w:spacing w:after="0" w:line="259" w:lineRule="auto"/>
              <w:ind w:left="0" w:right="0" w:firstLine="0"/>
              <w:jc w:val="center"/>
            </w:pPr>
            <w:r>
              <w:rPr>
                <w:rFonts w:eastAsia="Segoe UI Symbol"/>
                <w:sz w:val="18"/>
              </w:rPr>
              <w:t>u</w:t>
            </w:r>
            <w:r>
              <w:rPr>
                <w:sz w:val="18"/>
              </w:rPr>
              <w:t>g/kg</w:t>
            </w:r>
          </w:p>
        </w:tc>
        <w:tc>
          <w:tcPr>
            <w:tcW w:w="453" w:type="dxa"/>
            <w:tcBorders>
              <w:top w:val="single" w:sz="4" w:space="0" w:color="000000"/>
              <w:left w:val="single" w:sz="12" w:space="0" w:color="000000"/>
              <w:bottom w:val="single" w:sz="4" w:space="0" w:color="000000"/>
              <w:right w:val="single" w:sz="12" w:space="0" w:color="000000"/>
            </w:tcBorders>
          </w:tcPr>
          <w:p w14:paraId="6903E907" w14:textId="66E79E31" w:rsidR="00B0429D" w:rsidRDefault="00B0429D" w:rsidP="00D53558">
            <w:pPr>
              <w:spacing w:after="0" w:line="259" w:lineRule="auto"/>
              <w:ind w:left="0" w:right="0" w:firstLine="0"/>
              <w:jc w:val="center"/>
            </w:pPr>
          </w:p>
        </w:tc>
        <w:tc>
          <w:tcPr>
            <w:tcW w:w="527" w:type="dxa"/>
            <w:tcBorders>
              <w:top w:val="single" w:sz="4" w:space="0" w:color="000000"/>
              <w:left w:val="single" w:sz="12" w:space="0" w:color="000000"/>
              <w:bottom w:val="single" w:sz="4" w:space="0" w:color="000000"/>
              <w:right w:val="single" w:sz="12" w:space="0" w:color="000000"/>
            </w:tcBorders>
          </w:tcPr>
          <w:p w14:paraId="560F986B" w14:textId="5EACBCFD" w:rsidR="00B0429D" w:rsidRDefault="00B0429D" w:rsidP="00D53558">
            <w:pPr>
              <w:spacing w:after="0" w:line="259" w:lineRule="auto"/>
              <w:ind w:left="7" w:right="0" w:firstLine="0"/>
              <w:jc w:val="center"/>
            </w:pPr>
          </w:p>
        </w:tc>
        <w:tc>
          <w:tcPr>
            <w:tcW w:w="435" w:type="dxa"/>
            <w:tcBorders>
              <w:top w:val="single" w:sz="4" w:space="0" w:color="000000"/>
              <w:left w:val="single" w:sz="12" w:space="0" w:color="000000"/>
              <w:bottom w:val="single" w:sz="4" w:space="0" w:color="000000"/>
              <w:right w:val="single" w:sz="12" w:space="0" w:color="000000"/>
            </w:tcBorders>
          </w:tcPr>
          <w:p w14:paraId="2F5729C6" w14:textId="23DB2FBF" w:rsidR="00B0429D" w:rsidRDefault="00B0429D" w:rsidP="00D53558">
            <w:pPr>
              <w:spacing w:after="0" w:line="259" w:lineRule="auto"/>
              <w:ind w:left="4" w:right="0" w:firstLine="0"/>
              <w:jc w:val="center"/>
            </w:pPr>
          </w:p>
        </w:tc>
        <w:tc>
          <w:tcPr>
            <w:tcW w:w="878" w:type="dxa"/>
            <w:tcBorders>
              <w:top w:val="single" w:sz="4" w:space="0" w:color="000000"/>
              <w:left w:val="single" w:sz="12" w:space="0" w:color="000000"/>
              <w:bottom w:val="single" w:sz="4" w:space="0" w:color="000000"/>
              <w:right w:val="single" w:sz="12" w:space="0" w:color="000000"/>
            </w:tcBorders>
          </w:tcPr>
          <w:p w14:paraId="3DEA4FCC" w14:textId="2AC37334" w:rsidR="00B0429D" w:rsidRDefault="00B0429D" w:rsidP="00D53558">
            <w:pPr>
              <w:spacing w:after="0" w:line="259" w:lineRule="auto"/>
              <w:ind w:left="0" w:right="36" w:firstLine="0"/>
              <w:jc w:val="center"/>
            </w:pPr>
            <w:r>
              <w:rPr>
                <w:sz w:val="18"/>
              </w:rPr>
              <w:t>8321</w:t>
            </w:r>
          </w:p>
        </w:tc>
        <w:tc>
          <w:tcPr>
            <w:tcW w:w="717" w:type="dxa"/>
            <w:tcBorders>
              <w:top w:val="single" w:sz="4" w:space="0" w:color="000000"/>
              <w:left w:val="single" w:sz="12" w:space="0" w:color="000000"/>
              <w:bottom w:val="single" w:sz="4" w:space="0" w:color="000000"/>
              <w:right w:val="single" w:sz="12" w:space="0" w:color="000000"/>
            </w:tcBorders>
          </w:tcPr>
          <w:p w14:paraId="610407CB" w14:textId="272749F0" w:rsidR="00B0429D" w:rsidRDefault="00B0429D" w:rsidP="009F7CFC">
            <w:pPr>
              <w:spacing w:after="0" w:line="259" w:lineRule="auto"/>
              <w:ind w:left="9" w:right="0" w:firstLine="0"/>
            </w:pPr>
          </w:p>
        </w:tc>
        <w:tc>
          <w:tcPr>
            <w:tcW w:w="433" w:type="dxa"/>
            <w:tcBorders>
              <w:top w:val="single" w:sz="4" w:space="0" w:color="000000"/>
              <w:left w:val="single" w:sz="12" w:space="0" w:color="000000"/>
              <w:bottom w:val="single" w:sz="4" w:space="0" w:color="000000"/>
              <w:right w:val="single" w:sz="12" w:space="0" w:color="000000"/>
            </w:tcBorders>
          </w:tcPr>
          <w:p w14:paraId="72ABE9E8" w14:textId="294C50EF" w:rsidR="00B0429D" w:rsidRDefault="00B0429D" w:rsidP="009F7CFC">
            <w:pPr>
              <w:spacing w:after="0" w:line="259" w:lineRule="auto"/>
              <w:ind w:left="9" w:right="0" w:firstLine="0"/>
              <w:jc w:val="center"/>
            </w:pPr>
          </w:p>
        </w:tc>
      </w:tr>
      <w:tr w:rsidR="00B0429D" w14:paraId="3A64E21C" w14:textId="77777777" w:rsidTr="00C23B62">
        <w:trPr>
          <w:trHeight w:val="250"/>
        </w:trPr>
        <w:tc>
          <w:tcPr>
            <w:tcW w:w="3201" w:type="dxa"/>
            <w:tcBorders>
              <w:top w:val="single" w:sz="4" w:space="0" w:color="000000"/>
              <w:left w:val="single" w:sz="12" w:space="0" w:color="000000"/>
              <w:bottom w:val="single" w:sz="4" w:space="0" w:color="000000"/>
              <w:right w:val="single" w:sz="12" w:space="0" w:color="000000"/>
            </w:tcBorders>
          </w:tcPr>
          <w:p w14:paraId="5E9BDFB1" w14:textId="77777777" w:rsidR="00B0429D" w:rsidRDefault="00B0429D" w:rsidP="00CD3E79">
            <w:pPr>
              <w:spacing w:after="0" w:line="259" w:lineRule="auto"/>
              <w:ind w:left="43" w:right="0" w:firstLine="0"/>
            </w:pPr>
            <w:r>
              <w:rPr>
                <w:sz w:val="18"/>
              </w:rPr>
              <w:t xml:space="preserve">Fluometuron </w:t>
            </w:r>
          </w:p>
        </w:tc>
        <w:tc>
          <w:tcPr>
            <w:tcW w:w="1056" w:type="dxa"/>
            <w:tcBorders>
              <w:top w:val="single" w:sz="4" w:space="0" w:color="000000"/>
              <w:left w:val="single" w:sz="12" w:space="0" w:color="000000"/>
              <w:bottom w:val="single" w:sz="4" w:space="0" w:color="000000"/>
              <w:right w:val="single" w:sz="12" w:space="0" w:color="000000"/>
            </w:tcBorders>
          </w:tcPr>
          <w:p w14:paraId="1CE16311" w14:textId="090FD281" w:rsidR="00B0429D" w:rsidRDefault="00B0429D" w:rsidP="00D53558">
            <w:pPr>
              <w:spacing w:after="0" w:line="259" w:lineRule="auto"/>
              <w:ind w:left="0" w:right="35" w:firstLine="0"/>
              <w:jc w:val="center"/>
            </w:pPr>
            <w:r>
              <w:rPr>
                <w:sz w:val="18"/>
              </w:rPr>
              <w:t>2164-17-2</w:t>
            </w:r>
          </w:p>
        </w:tc>
        <w:tc>
          <w:tcPr>
            <w:tcW w:w="693" w:type="dxa"/>
            <w:tcBorders>
              <w:top w:val="single" w:sz="4" w:space="0" w:color="000000"/>
              <w:left w:val="single" w:sz="12" w:space="0" w:color="000000"/>
              <w:bottom w:val="single" w:sz="4" w:space="0" w:color="000000"/>
              <w:right w:val="single" w:sz="12" w:space="0" w:color="000000"/>
            </w:tcBorders>
          </w:tcPr>
          <w:p w14:paraId="0DA24DE2" w14:textId="6FC9A502" w:rsidR="00B0429D" w:rsidRDefault="00B0429D" w:rsidP="00D53558">
            <w:pPr>
              <w:spacing w:after="0" w:line="259" w:lineRule="auto"/>
              <w:ind w:left="0" w:right="37" w:firstLine="0"/>
              <w:jc w:val="center"/>
            </w:pPr>
            <w:r>
              <w:rPr>
                <w:sz w:val="18"/>
              </w:rPr>
              <w:t>40</w:t>
            </w:r>
          </w:p>
        </w:tc>
        <w:tc>
          <w:tcPr>
            <w:tcW w:w="551" w:type="dxa"/>
            <w:tcBorders>
              <w:top w:val="single" w:sz="4" w:space="0" w:color="000000"/>
              <w:left w:val="single" w:sz="12" w:space="0" w:color="000000"/>
              <w:bottom w:val="single" w:sz="4" w:space="0" w:color="000000"/>
              <w:right w:val="single" w:sz="12" w:space="0" w:color="000000"/>
            </w:tcBorders>
          </w:tcPr>
          <w:p w14:paraId="26928E40" w14:textId="25CC22CF" w:rsidR="00B0429D" w:rsidRDefault="00B0429D" w:rsidP="00D53558">
            <w:pPr>
              <w:spacing w:after="0" w:line="259" w:lineRule="auto"/>
              <w:ind w:left="0" w:right="0" w:firstLine="0"/>
              <w:jc w:val="center"/>
            </w:pPr>
            <w:r>
              <w:rPr>
                <w:sz w:val="18"/>
              </w:rPr>
              <w:t>ug/L</w:t>
            </w:r>
          </w:p>
        </w:tc>
        <w:tc>
          <w:tcPr>
            <w:tcW w:w="799" w:type="dxa"/>
            <w:tcBorders>
              <w:top w:val="single" w:sz="4" w:space="0" w:color="000000"/>
              <w:left w:val="single" w:sz="12" w:space="0" w:color="000000"/>
              <w:bottom w:val="single" w:sz="4" w:space="0" w:color="000000"/>
              <w:right w:val="single" w:sz="12" w:space="0" w:color="000000"/>
            </w:tcBorders>
          </w:tcPr>
          <w:p w14:paraId="5F67FB19" w14:textId="23601407" w:rsidR="00B0429D" w:rsidRDefault="00B0429D" w:rsidP="00D53558">
            <w:pPr>
              <w:spacing w:after="0" w:line="259" w:lineRule="auto"/>
              <w:ind w:left="31" w:right="0" w:firstLine="0"/>
              <w:jc w:val="center"/>
            </w:pPr>
            <w:r>
              <w:rPr>
                <w:sz w:val="18"/>
              </w:rPr>
              <w:t>2600</w:t>
            </w:r>
          </w:p>
        </w:tc>
        <w:tc>
          <w:tcPr>
            <w:tcW w:w="787" w:type="dxa"/>
            <w:tcBorders>
              <w:top w:val="single" w:sz="4" w:space="0" w:color="000000"/>
              <w:left w:val="single" w:sz="12" w:space="0" w:color="000000"/>
              <w:bottom w:val="single" w:sz="4" w:space="0" w:color="000000"/>
              <w:right w:val="single" w:sz="12" w:space="0" w:color="000000"/>
            </w:tcBorders>
          </w:tcPr>
          <w:p w14:paraId="3318E3B8" w14:textId="6AB9D838" w:rsidR="00B0429D" w:rsidRDefault="00B0429D" w:rsidP="00D53558">
            <w:pPr>
              <w:spacing w:after="0" w:line="259" w:lineRule="auto"/>
              <w:ind w:left="0" w:right="0" w:firstLine="0"/>
              <w:jc w:val="center"/>
            </w:pPr>
            <w:r>
              <w:rPr>
                <w:rFonts w:eastAsia="Segoe UI Symbol"/>
                <w:sz w:val="18"/>
              </w:rPr>
              <w:t>u</w:t>
            </w:r>
            <w:r>
              <w:rPr>
                <w:sz w:val="18"/>
              </w:rPr>
              <w:t>g/kg</w:t>
            </w:r>
          </w:p>
        </w:tc>
        <w:tc>
          <w:tcPr>
            <w:tcW w:w="453" w:type="dxa"/>
            <w:tcBorders>
              <w:top w:val="single" w:sz="4" w:space="0" w:color="000000"/>
              <w:left w:val="single" w:sz="12" w:space="0" w:color="000000"/>
              <w:bottom w:val="single" w:sz="4" w:space="0" w:color="000000"/>
              <w:right w:val="single" w:sz="12" w:space="0" w:color="000000"/>
            </w:tcBorders>
          </w:tcPr>
          <w:p w14:paraId="5CE4EA6D" w14:textId="37ED0631" w:rsidR="00B0429D" w:rsidRDefault="00B0429D" w:rsidP="00D53558">
            <w:pPr>
              <w:spacing w:after="0" w:line="259" w:lineRule="auto"/>
              <w:ind w:left="0" w:right="0" w:firstLine="0"/>
              <w:jc w:val="center"/>
            </w:pPr>
          </w:p>
        </w:tc>
        <w:tc>
          <w:tcPr>
            <w:tcW w:w="527" w:type="dxa"/>
            <w:tcBorders>
              <w:top w:val="single" w:sz="4" w:space="0" w:color="000000"/>
              <w:left w:val="single" w:sz="12" w:space="0" w:color="000000"/>
              <w:bottom w:val="single" w:sz="4" w:space="0" w:color="000000"/>
              <w:right w:val="single" w:sz="12" w:space="0" w:color="000000"/>
            </w:tcBorders>
          </w:tcPr>
          <w:p w14:paraId="5502369B" w14:textId="1B1361BE" w:rsidR="00B0429D" w:rsidRDefault="00B0429D" w:rsidP="00D53558">
            <w:pPr>
              <w:spacing w:after="0" w:line="259" w:lineRule="auto"/>
              <w:ind w:left="7" w:right="0" w:firstLine="0"/>
              <w:jc w:val="center"/>
            </w:pPr>
          </w:p>
        </w:tc>
        <w:tc>
          <w:tcPr>
            <w:tcW w:w="435" w:type="dxa"/>
            <w:tcBorders>
              <w:top w:val="single" w:sz="4" w:space="0" w:color="000000"/>
              <w:left w:val="single" w:sz="12" w:space="0" w:color="000000"/>
              <w:bottom w:val="single" w:sz="4" w:space="0" w:color="000000"/>
              <w:right w:val="single" w:sz="12" w:space="0" w:color="000000"/>
            </w:tcBorders>
          </w:tcPr>
          <w:p w14:paraId="50F5BE6F" w14:textId="519964A1" w:rsidR="00B0429D" w:rsidRDefault="00B0429D" w:rsidP="00D53558">
            <w:pPr>
              <w:spacing w:after="0" w:line="259" w:lineRule="auto"/>
              <w:ind w:left="4" w:right="0" w:firstLine="0"/>
              <w:jc w:val="center"/>
            </w:pPr>
          </w:p>
        </w:tc>
        <w:tc>
          <w:tcPr>
            <w:tcW w:w="878" w:type="dxa"/>
            <w:tcBorders>
              <w:top w:val="single" w:sz="4" w:space="0" w:color="000000"/>
              <w:left w:val="single" w:sz="12" w:space="0" w:color="000000"/>
              <w:bottom w:val="single" w:sz="4" w:space="0" w:color="000000"/>
              <w:right w:val="single" w:sz="12" w:space="0" w:color="000000"/>
            </w:tcBorders>
          </w:tcPr>
          <w:p w14:paraId="7E979843" w14:textId="04B64D95" w:rsidR="00B0429D" w:rsidRDefault="00B0429D" w:rsidP="00D53558">
            <w:pPr>
              <w:spacing w:after="0" w:line="259" w:lineRule="auto"/>
              <w:ind w:left="0" w:right="36" w:firstLine="0"/>
              <w:jc w:val="center"/>
            </w:pPr>
            <w:r>
              <w:rPr>
                <w:sz w:val="18"/>
              </w:rPr>
              <w:t>8321</w:t>
            </w:r>
          </w:p>
        </w:tc>
        <w:tc>
          <w:tcPr>
            <w:tcW w:w="717" w:type="dxa"/>
            <w:tcBorders>
              <w:top w:val="single" w:sz="4" w:space="0" w:color="000000"/>
              <w:left w:val="single" w:sz="12" w:space="0" w:color="000000"/>
              <w:bottom w:val="single" w:sz="4" w:space="0" w:color="000000"/>
              <w:right w:val="single" w:sz="12" w:space="0" w:color="000000"/>
            </w:tcBorders>
          </w:tcPr>
          <w:p w14:paraId="18B950C8" w14:textId="60CAFF7B" w:rsidR="00B0429D" w:rsidRDefault="00B0429D" w:rsidP="009F7CFC">
            <w:pPr>
              <w:spacing w:after="0" w:line="259" w:lineRule="auto"/>
              <w:ind w:left="9" w:right="0" w:firstLine="0"/>
            </w:pPr>
          </w:p>
        </w:tc>
        <w:tc>
          <w:tcPr>
            <w:tcW w:w="433" w:type="dxa"/>
            <w:tcBorders>
              <w:top w:val="single" w:sz="4" w:space="0" w:color="000000"/>
              <w:left w:val="single" w:sz="12" w:space="0" w:color="000000"/>
              <w:bottom w:val="single" w:sz="4" w:space="0" w:color="000000"/>
              <w:right w:val="single" w:sz="12" w:space="0" w:color="000000"/>
            </w:tcBorders>
          </w:tcPr>
          <w:p w14:paraId="185CC7AC" w14:textId="66B7EDEB" w:rsidR="00B0429D" w:rsidRDefault="00B0429D" w:rsidP="009F7CFC">
            <w:pPr>
              <w:spacing w:after="0" w:line="259" w:lineRule="auto"/>
              <w:ind w:left="0" w:right="0" w:firstLine="0"/>
              <w:jc w:val="center"/>
            </w:pPr>
          </w:p>
        </w:tc>
      </w:tr>
      <w:tr w:rsidR="00B0429D" w14:paraId="7A20BEBD" w14:textId="77777777" w:rsidTr="00C23B62">
        <w:trPr>
          <w:trHeight w:val="252"/>
        </w:trPr>
        <w:tc>
          <w:tcPr>
            <w:tcW w:w="3201" w:type="dxa"/>
            <w:tcBorders>
              <w:top w:val="single" w:sz="4" w:space="0" w:color="000000"/>
              <w:left w:val="single" w:sz="12" w:space="0" w:color="000000"/>
              <w:bottom w:val="single" w:sz="4" w:space="0" w:color="000000"/>
              <w:right w:val="single" w:sz="12" w:space="0" w:color="000000"/>
            </w:tcBorders>
          </w:tcPr>
          <w:p w14:paraId="4B4310BB" w14:textId="77777777" w:rsidR="00B0429D" w:rsidRDefault="00B0429D" w:rsidP="00CD3E79">
            <w:pPr>
              <w:spacing w:after="0" w:line="259" w:lineRule="auto"/>
              <w:ind w:left="43" w:right="0" w:firstLine="0"/>
            </w:pPr>
            <w:r>
              <w:rPr>
                <w:sz w:val="18"/>
              </w:rPr>
              <w:t xml:space="preserve">Linuron </w:t>
            </w:r>
          </w:p>
        </w:tc>
        <w:tc>
          <w:tcPr>
            <w:tcW w:w="1056" w:type="dxa"/>
            <w:tcBorders>
              <w:top w:val="single" w:sz="4" w:space="0" w:color="000000"/>
              <w:left w:val="single" w:sz="12" w:space="0" w:color="000000"/>
              <w:bottom w:val="single" w:sz="4" w:space="0" w:color="000000"/>
              <w:right w:val="single" w:sz="12" w:space="0" w:color="000000"/>
            </w:tcBorders>
          </w:tcPr>
          <w:p w14:paraId="66E5B77D" w14:textId="3F0B448D" w:rsidR="00B0429D" w:rsidRDefault="00B0429D" w:rsidP="00D53558">
            <w:pPr>
              <w:spacing w:after="0" w:line="259" w:lineRule="auto"/>
              <w:ind w:left="0" w:right="35" w:firstLine="0"/>
              <w:jc w:val="center"/>
            </w:pPr>
            <w:r>
              <w:rPr>
                <w:sz w:val="18"/>
              </w:rPr>
              <w:t>330-55-2</w:t>
            </w:r>
          </w:p>
        </w:tc>
        <w:tc>
          <w:tcPr>
            <w:tcW w:w="693" w:type="dxa"/>
            <w:tcBorders>
              <w:top w:val="single" w:sz="4" w:space="0" w:color="000000"/>
              <w:left w:val="single" w:sz="12" w:space="0" w:color="000000"/>
              <w:bottom w:val="single" w:sz="4" w:space="0" w:color="000000"/>
              <w:right w:val="single" w:sz="12" w:space="0" w:color="000000"/>
            </w:tcBorders>
          </w:tcPr>
          <w:p w14:paraId="15BD2349" w14:textId="392F4137" w:rsidR="00B0429D" w:rsidRDefault="00B0429D" w:rsidP="00D53558">
            <w:pPr>
              <w:spacing w:after="0" w:line="259" w:lineRule="auto"/>
              <w:ind w:left="0" w:right="37" w:firstLine="0"/>
              <w:jc w:val="center"/>
            </w:pPr>
            <w:r>
              <w:rPr>
                <w:sz w:val="18"/>
              </w:rPr>
              <w:t>5</w:t>
            </w:r>
          </w:p>
        </w:tc>
        <w:tc>
          <w:tcPr>
            <w:tcW w:w="551" w:type="dxa"/>
            <w:tcBorders>
              <w:top w:val="single" w:sz="4" w:space="0" w:color="000000"/>
              <w:left w:val="single" w:sz="12" w:space="0" w:color="000000"/>
              <w:bottom w:val="single" w:sz="4" w:space="0" w:color="000000"/>
              <w:right w:val="single" w:sz="12" w:space="0" w:color="000000"/>
            </w:tcBorders>
          </w:tcPr>
          <w:p w14:paraId="13FF5813" w14:textId="64E5A396" w:rsidR="00B0429D" w:rsidRDefault="00B0429D" w:rsidP="00D53558">
            <w:pPr>
              <w:spacing w:after="0" w:line="259" w:lineRule="auto"/>
              <w:ind w:left="0" w:right="0" w:firstLine="0"/>
              <w:jc w:val="center"/>
            </w:pPr>
            <w:r>
              <w:rPr>
                <w:sz w:val="18"/>
              </w:rPr>
              <w:t>ug/L</w:t>
            </w:r>
          </w:p>
        </w:tc>
        <w:tc>
          <w:tcPr>
            <w:tcW w:w="799" w:type="dxa"/>
            <w:tcBorders>
              <w:top w:val="single" w:sz="4" w:space="0" w:color="000000"/>
              <w:left w:val="single" w:sz="12" w:space="0" w:color="000000"/>
              <w:bottom w:val="single" w:sz="4" w:space="0" w:color="000000"/>
              <w:right w:val="single" w:sz="12" w:space="0" w:color="000000"/>
            </w:tcBorders>
          </w:tcPr>
          <w:p w14:paraId="45E29F5A" w14:textId="58C18BB4" w:rsidR="00B0429D" w:rsidRDefault="00B0429D" w:rsidP="00D53558">
            <w:pPr>
              <w:spacing w:after="0" w:line="259" w:lineRule="auto"/>
              <w:ind w:left="31" w:right="0" w:firstLine="0"/>
              <w:jc w:val="center"/>
            </w:pPr>
            <w:r>
              <w:rPr>
                <w:sz w:val="18"/>
              </w:rPr>
              <w:t>660</w:t>
            </w:r>
          </w:p>
        </w:tc>
        <w:tc>
          <w:tcPr>
            <w:tcW w:w="787" w:type="dxa"/>
            <w:tcBorders>
              <w:top w:val="single" w:sz="4" w:space="0" w:color="000000"/>
              <w:left w:val="single" w:sz="12" w:space="0" w:color="000000"/>
              <w:bottom w:val="single" w:sz="4" w:space="0" w:color="000000"/>
              <w:right w:val="single" w:sz="12" w:space="0" w:color="000000"/>
            </w:tcBorders>
          </w:tcPr>
          <w:p w14:paraId="2208205B" w14:textId="13B835E0" w:rsidR="00B0429D" w:rsidRDefault="00B0429D" w:rsidP="00D53558">
            <w:pPr>
              <w:spacing w:after="0" w:line="259" w:lineRule="auto"/>
              <w:ind w:left="0" w:right="0" w:firstLine="0"/>
              <w:jc w:val="center"/>
            </w:pPr>
            <w:r>
              <w:rPr>
                <w:rFonts w:eastAsia="Segoe UI Symbol"/>
                <w:sz w:val="18"/>
              </w:rPr>
              <w:t>u</w:t>
            </w:r>
            <w:r>
              <w:rPr>
                <w:sz w:val="18"/>
              </w:rPr>
              <w:t>g/kg</w:t>
            </w:r>
          </w:p>
        </w:tc>
        <w:tc>
          <w:tcPr>
            <w:tcW w:w="453" w:type="dxa"/>
            <w:tcBorders>
              <w:top w:val="single" w:sz="4" w:space="0" w:color="000000"/>
              <w:left w:val="single" w:sz="12" w:space="0" w:color="000000"/>
              <w:bottom w:val="single" w:sz="4" w:space="0" w:color="000000"/>
              <w:right w:val="single" w:sz="12" w:space="0" w:color="000000"/>
            </w:tcBorders>
          </w:tcPr>
          <w:p w14:paraId="2CCE02AD" w14:textId="14196CE8" w:rsidR="00B0429D" w:rsidRDefault="00B0429D" w:rsidP="00D53558">
            <w:pPr>
              <w:spacing w:after="0" w:line="259" w:lineRule="auto"/>
              <w:ind w:left="0" w:right="0" w:firstLine="0"/>
              <w:jc w:val="center"/>
            </w:pPr>
          </w:p>
        </w:tc>
        <w:tc>
          <w:tcPr>
            <w:tcW w:w="527" w:type="dxa"/>
            <w:tcBorders>
              <w:top w:val="single" w:sz="4" w:space="0" w:color="000000"/>
              <w:left w:val="single" w:sz="12" w:space="0" w:color="000000"/>
              <w:bottom w:val="single" w:sz="4" w:space="0" w:color="000000"/>
              <w:right w:val="single" w:sz="12" w:space="0" w:color="000000"/>
            </w:tcBorders>
          </w:tcPr>
          <w:p w14:paraId="7649627D" w14:textId="2E73C511" w:rsidR="00B0429D" w:rsidRDefault="00B0429D" w:rsidP="00D53558">
            <w:pPr>
              <w:spacing w:after="0" w:line="259" w:lineRule="auto"/>
              <w:ind w:left="7" w:right="0" w:firstLine="0"/>
              <w:jc w:val="center"/>
            </w:pPr>
          </w:p>
        </w:tc>
        <w:tc>
          <w:tcPr>
            <w:tcW w:w="435" w:type="dxa"/>
            <w:tcBorders>
              <w:top w:val="single" w:sz="4" w:space="0" w:color="000000"/>
              <w:left w:val="single" w:sz="12" w:space="0" w:color="000000"/>
              <w:bottom w:val="single" w:sz="4" w:space="0" w:color="000000"/>
              <w:right w:val="single" w:sz="12" w:space="0" w:color="000000"/>
            </w:tcBorders>
          </w:tcPr>
          <w:p w14:paraId="785445B9" w14:textId="2A5BED47" w:rsidR="00B0429D" w:rsidRDefault="00B0429D" w:rsidP="00D53558">
            <w:pPr>
              <w:spacing w:after="0" w:line="259" w:lineRule="auto"/>
              <w:ind w:left="4" w:right="0" w:firstLine="0"/>
              <w:jc w:val="center"/>
            </w:pPr>
          </w:p>
        </w:tc>
        <w:tc>
          <w:tcPr>
            <w:tcW w:w="878" w:type="dxa"/>
            <w:tcBorders>
              <w:top w:val="single" w:sz="4" w:space="0" w:color="000000"/>
              <w:left w:val="single" w:sz="12" w:space="0" w:color="000000"/>
              <w:bottom w:val="single" w:sz="4" w:space="0" w:color="000000"/>
              <w:right w:val="single" w:sz="12" w:space="0" w:color="000000"/>
            </w:tcBorders>
          </w:tcPr>
          <w:p w14:paraId="5403D533" w14:textId="23AA76F0" w:rsidR="00B0429D" w:rsidRDefault="00B0429D" w:rsidP="00D53558">
            <w:pPr>
              <w:spacing w:after="0" w:line="259" w:lineRule="auto"/>
              <w:ind w:left="0" w:right="36" w:firstLine="0"/>
              <w:jc w:val="center"/>
            </w:pPr>
            <w:r>
              <w:rPr>
                <w:sz w:val="18"/>
              </w:rPr>
              <w:t>8321</w:t>
            </w:r>
          </w:p>
        </w:tc>
        <w:tc>
          <w:tcPr>
            <w:tcW w:w="717" w:type="dxa"/>
            <w:tcBorders>
              <w:top w:val="single" w:sz="4" w:space="0" w:color="000000"/>
              <w:left w:val="single" w:sz="12" w:space="0" w:color="000000"/>
              <w:bottom w:val="single" w:sz="4" w:space="0" w:color="000000"/>
              <w:right w:val="single" w:sz="12" w:space="0" w:color="000000"/>
            </w:tcBorders>
          </w:tcPr>
          <w:p w14:paraId="3216DD45" w14:textId="5DA1AD3A" w:rsidR="00B0429D" w:rsidRDefault="00B0429D" w:rsidP="009F7CFC">
            <w:pPr>
              <w:spacing w:after="0" w:line="259" w:lineRule="auto"/>
              <w:ind w:left="9" w:right="0" w:firstLine="0"/>
            </w:pPr>
          </w:p>
        </w:tc>
        <w:tc>
          <w:tcPr>
            <w:tcW w:w="433" w:type="dxa"/>
            <w:tcBorders>
              <w:top w:val="single" w:sz="4" w:space="0" w:color="000000"/>
              <w:left w:val="single" w:sz="12" w:space="0" w:color="000000"/>
              <w:bottom w:val="single" w:sz="4" w:space="0" w:color="000000"/>
              <w:right w:val="single" w:sz="12" w:space="0" w:color="000000"/>
            </w:tcBorders>
          </w:tcPr>
          <w:p w14:paraId="32336E71" w14:textId="1E7F7452" w:rsidR="00B0429D" w:rsidRDefault="00B0429D" w:rsidP="009F7CFC">
            <w:pPr>
              <w:spacing w:after="0" w:line="259" w:lineRule="auto"/>
              <w:ind w:left="9" w:right="0" w:firstLine="0"/>
              <w:jc w:val="center"/>
            </w:pPr>
          </w:p>
        </w:tc>
      </w:tr>
      <w:tr w:rsidR="00B0429D" w14:paraId="0EA7190F" w14:textId="77777777" w:rsidTr="00C23B62">
        <w:trPr>
          <w:trHeight w:val="250"/>
        </w:trPr>
        <w:tc>
          <w:tcPr>
            <w:tcW w:w="3201" w:type="dxa"/>
            <w:tcBorders>
              <w:top w:val="single" w:sz="4" w:space="0" w:color="000000"/>
              <w:left w:val="single" w:sz="12" w:space="0" w:color="000000"/>
              <w:bottom w:val="single" w:sz="4" w:space="0" w:color="000000"/>
              <w:right w:val="single" w:sz="12" w:space="0" w:color="000000"/>
            </w:tcBorders>
          </w:tcPr>
          <w:p w14:paraId="554242C2" w14:textId="77777777" w:rsidR="00B0429D" w:rsidRDefault="00B0429D" w:rsidP="00CD3E79">
            <w:pPr>
              <w:spacing w:after="0" w:line="259" w:lineRule="auto"/>
              <w:ind w:left="43" w:right="0" w:firstLine="0"/>
            </w:pPr>
            <w:r>
              <w:rPr>
                <w:sz w:val="18"/>
              </w:rPr>
              <w:t xml:space="preserve">Monuron  </w:t>
            </w:r>
          </w:p>
        </w:tc>
        <w:tc>
          <w:tcPr>
            <w:tcW w:w="1056" w:type="dxa"/>
            <w:tcBorders>
              <w:top w:val="single" w:sz="4" w:space="0" w:color="000000"/>
              <w:left w:val="single" w:sz="12" w:space="0" w:color="000000"/>
              <w:bottom w:val="single" w:sz="4" w:space="0" w:color="000000"/>
              <w:right w:val="single" w:sz="12" w:space="0" w:color="000000"/>
            </w:tcBorders>
          </w:tcPr>
          <w:p w14:paraId="6A07EE1B" w14:textId="2E51BD13" w:rsidR="00B0429D" w:rsidRDefault="00B0429D" w:rsidP="00D53558">
            <w:pPr>
              <w:spacing w:after="0" w:line="259" w:lineRule="auto"/>
              <w:ind w:left="0" w:right="35" w:firstLine="0"/>
              <w:jc w:val="center"/>
            </w:pPr>
            <w:r>
              <w:rPr>
                <w:sz w:val="18"/>
              </w:rPr>
              <w:t>150-68-5</w:t>
            </w:r>
          </w:p>
        </w:tc>
        <w:tc>
          <w:tcPr>
            <w:tcW w:w="693" w:type="dxa"/>
            <w:tcBorders>
              <w:top w:val="single" w:sz="4" w:space="0" w:color="000000"/>
              <w:left w:val="single" w:sz="12" w:space="0" w:color="000000"/>
              <w:bottom w:val="single" w:sz="4" w:space="0" w:color="000000"/>
              <w:right w:val="single" w:sz="12" w:space="0" w:color="000000"/>
            </w:tcBorders>
          </w:tcPr>
          <w:p w14:paraId="4D4675A6" w14:textId="1A9E36FF" w:rsidR="00B0429D" w:rsidRDefault="00B0429D" w:rsidP="00D53558">
            <w:pPr>
              <w:spacing w:after="0" w:line="259" w:lineRule="auto"/>
              <w:ind w:left="0" w:right="37" w:firstLine="0"/>
              <w:jc w:val="center"/>
            </w:pPr>
            <w:r>
              <w:rPr>
                <w:sz w:val="18"/>
              </w:rPr>
              <w:t>5</w:t>
            </w:r>
          </w:p>
        </w:tc>
        <w:tc>
          <w:tcPr>
            <w:tcW w:w="551" w:type="dxa"/>
            <w:tcBorders>
              <w:top w:val="single" w:sz="4" w:space="0" w:color="000000"/>
              <w:left w:val="single" w:sz="12" w:space="0" w:color="000000"/>
              <w:bottom w:val="single" w:sz="4" w:space="0" w:color="000000"/>
              <w:right w:val="single" w:sz="12" w:space="0" w:color="000000"/>
            </w:tcBorders>
          </w:tcPr>
          <w:p w14:paraId="231C341A" w14:textId="42B099DF" w:rsidR="00B0429D" w:rsidRDefault="00B0429D" w:rsidP="00D53558">
            <w:pPr>
              <w:spacing w:after="0" w:line="259" w:lineRule="auto"/>
              <w:ind w:left="0" w:right="0" w:firstLine="0"/>
              <w:jc w:val="center"/>
            </w:pPr>
            <w:r>
              <w:rPr>
                <w:sz w:val="18"/>
              </w:rPr>
              <w:t>ug/L</w:t>
            </w:r>
          </w:p>
        </w:tc>
        <w:tc>
          <w:tcPr>
            <w:tcW w:w="799" w:type="dxa"/>
            <w:tcBorders>
              <w:top w:val="single" w:sz="4" w:space="0" w:color="000000"/>
              <w:left w:val="single" w:sz="12" w:space="0" w:color="000000"/>
              <w:bottom w:val="single" w:sz="4" w:space="0" w:color="000000"/>
              <w:right w:val="single" w:sz="12" w:space="0" w:color="000000"/>
            </w:tcBorders>
          </w:tcPr>
          <w:p w14:paraId="0C079846" w14:textId="0C0BD38F" w:rsidR="00B0429D" w:rsidRDefault="00B0429D" w:rsidP="00D53558">
            <w:pPr>
              <w:spacing w:after="0" w:line="259" w:lineRule="auto"/>
              <w:ind w:left="31" w:right="0" w:firstLine="0"/>
              <w:jc w:val="center"/>
            </w:pPr>
            <w:r>
              <w:rPr>
                <w:sz w:val="18"/>
              </w:rPr>
              <w:t>660</w:t>
            </w:r>
          </w:p>
        </w:tc>
        <w:tc>
          <w:tcPr>
            <w:tcW w:w="787" w:type="dxa"/>
            <w:tcBorders>
              <w:top w:val="single" w:sz="4" w:space="0" w:color="000000"/>
              <w:left w:val="single" w:sz="12" w:space="0" w:color="000000"/>
              <w:bottom w:val="single" w:sz="4" w:space="0" w:color="000000"/>
              <w:right w:val="single" w:sz="12" w:space="0" w:color="000000"/>
            </w:tcBorders>
          </w:tcPr>
          <w:p w14:paraId="1A696C34" w14:textId="5C9D18B6" w:rsidR="00B0429D" w:rsidRDefault="00B0429D" w:rsidP="00D53558">
            <w:pPr>
              <w:spacing w:after="0" w:line="259" w:lineRule="auto"/>
              <w:ind w:left="0" w:right="0" w:firstLine="0"/>
              <w:jc w:val="center"/>
            </w:pPr>
            <w:r>
              <w:rPr>
                <w:rFonts w:eastAsia="Segoe UI Symbol"/>
                <w:sz w:val="18"/>
              </w:rPr>
              <w:t>u</w:t>
            </w:r>
            <w:r>
              <w:rPr>
                <w:sz w:val="18"/>
              </w:rPr>
              <w:t>g/kg</w:t>
            </w:r>
          </w:p>
        </w:tc>
        <w:tc>
          <w:tcPr>
            <w:tcW w:w="453" w:type="dxa"/>
            <w:tcBorders>
              <w:top w:val="single" w:sz="4" w:space="0" w:color="000000"/>
              <w:left w:val="single" w:sz="12" w:space="0" w:color="000000"/>
              <w:bottom w:val="single" w:sz="4" w:space="0" w:color="000000"/>
              <w:right w:val="single" w:sz="12" w:space="0" w:color="000000"/>
            </w:tcBorders>
          </w:tcPr>
          <w:p w14:paraId="5968D843" w14:textId="3CBFDCBB" w:rsidR="00B0429D" w:rsidRDefault="00B0429D" w:rsidP="00D53558">
            <w:pPr>
              <w:spacing w:after="0" w:line="259" w:lineRule="auto"/>
              <w:ind w:left="0" w:right="0" w:firstLine="0"/>
              <w:jc w:val="center"/>
            </w:pPr>
          </w:p>
        </w:tc>
        <w:tc>
          <w:tcPr>
            <w:tcW w:w="527" w:type="dxa"/>
            <w:tcBorders>
              <w:top w:val="single" w:sz="4" w:space="0" w:color="000000"/>
              <w:left w:val="single" w:sz="12" w:space="0" w:color="000000"/>
              <w:bottom w:val="single" w:sz="4" w:space="0" w:color="000000"/>
              <w:right w:val="single" w:sz="12" w:space="0" w:color="000000"/>
            </w:tcBorders>
          </w:tcPr>
          <w:p w14:paraId="263D6639" w14:textId="2783CC39" w:rsidR="00B0429D" w:rsidRDefault="00B0429D" w:rsidP="00D53558">
            <w:pPr>
              <w:spacing w:after="0" w:line="259" w:lineRule="auto"/>
              <w:ind w:left="7" w:right="0" w:firstLine="0"/>
              <w:jc w:val="center"/>
            </w:pPr>
          </w:p>
        </w:tc>
        <w:tc>
          <w:tcPr>
            <w:tcW w:w="435" w:type="dxa"/>
            <w:tcBorders>
              <w:top w:val="single" w:sz="4" w:space="0" w:color="000000"/>
              <w:left w:val="single" w:sz="12" w:space="0" w:color="000000"/>
              <w:bottom w:val="single" w:sz="4" w:space="0" w:color="000000"/>
              <w:right w:val="single" w:sz="12" w:space="0" w:color="000000"/>
            </w:tcBorders>
          </w:tcPr>
          <w:p w14:paraId="1C87510E" w14:textId="063E7BD4" w:rsidR="00B0429D" w:rsidRDefault="00B0429D" w:rsidP="00D53558">
            <w:pPr>
              <w:spacing w:after="0" w:line="259" w:lineRule="auto"/>
              <w:ind w:left="4" w:right="0" w:firstLine="0"/>
              <w:jc w:val="center"/>
            </w:pPr>
          </w:p>
        </w:tc>
        <w:tc>
          <w:tcPr>
            <w:tcW w:w="878" w:type="dxa"/>
            <w:tcBorders>
              <w:top w:val="single" w:sz="4" w:space="0" w:color="000000"/>
              <w:left w:val="single" w:sz="12" w:space="0" w:color="000000"/>
              <w:bottom w:val="single" w:sz="4" w:space="0" w:color="000000"/>
              <w:right w:val="single" w:sz="12" w:space="0" w:color="000000"/>
            </w:tcBorders>
          </w:tcPr>
          <w:p w14:paraId="0E3D5058" w14:textId="262134AE" w:rsidR="00B0429D" w:rsidRDefault="00B0429D" w:rsidP="00D53558">
            <w:pPr>
              <w:spacing w:after="0" w:line="259" w:lineRule="auto"/>
              <w:ind w:left="0" w:right="36" w:firstLine="0"/>
              <w:jc w:val="center"/>
            </w:pPr>
            <w:r>
              <w:rPr>
                <w:sz w:val="18"/>
              </w:rPr>
              <w:t>8321</w:t>
            </w:r>
          </w:p>
        </w:tc>
        <w:tc>
          <w:tcPr>
            <w:tcW w:w="717" w:type="dxa"/>
            <w:tcBorders>
              <w:top w:val="single" w:sz="4" w:space="0" w:color="000000"/>
              <w:left w:val="single" w:sz="12" w:space="0" w:color="000000"/>
              <w:bottom w:val="single" w:sz="4" w:space="0" w:color="000000"/>
              <w:right w:val="single" w:sz="12" w:space="0" w:color="000000"/>
            </w:tcBorders>
          </w:tcPr>
          <w:p w14:paraId="613FF3AB" w14:textId="62EEC7AF" w:rsidR="00B0429D" w:rsidRDefault="00B0429D" w:rsidP="009F7CFC">
            <w:pPr>
              <w:spacing w:after="0" w:line="259" w:lineRule="auto"/>
              <w:ind w:left="9" w:right="0" w:firstLine="0"/>
            </w:pPr>
          </w:p>
        </w:tc>
        <w:tc>
          <w:tcPr>
            <w:tcW w:w="433" w:type="dxa"/>
            <w:tcBorders>
              <w:top w:val="single" w:sz="4" w:space="0" w:color="000000"/>
              <w:left w:val="single" w:sz="12" w:space="0" w:color="000000"/>
              <w:bottom w:val="single" w:sz="4" w:space="0" w:color="000000"/>
              <w:right w:val="single" w:sz="12" w:space="0" w:color="000000"/>
            </w:tcBorders>
          </w:tcPr>
          <w:p w14:paraId="6D73CDB2" w14:textId="7D6F618F" w:rsidR="00B0429D" w:rsidRDefault="00B0429D" w:rsidP="009F7CFC">
            <w:pPr>
              <w:spacing w:after="0" w:line="259" w:lineRule="auto"/>
              <w:ind w:left="9" w:right="0" w:firstLine="0"/>
              <w:jc w:val="center"/>
            </w:pPr>
          </w:p>
        </w:tc>
      </w:tr>
      <w:tr w:rsidR="00B0429D" w14:paraId="1648BAA0" w14:textId="77777777" w:rsidTr="00C23B62">
        <w:trPr>
          <w:trHeight w:val="250"/>
        </w:trPr>
        <w:tc>
          <w:tcPr>
            <w:tcW w:w="3201" w:type="dxa"/>
            <w:tcBorders>
              <w:top w:val="single" w:sz="4" w:space="0" w:color="000000"/>
              <w:left w:val="single" w:sz="12" w:space="0" w:color="000000"/>
              <w:bottom w:val="single" w:sz="4" w:space="0" w:color="000000"/>
              <w:right w:val="single" w:sz="12" w:space="0" w:color="000000"/>
            </w:tcBorders>
          </w:tcPr>
          <w:p w14:paraId="3B78FD70" w14:textId="77777777" w:rsidR="00B0429D" w:rsidRDefault="00B0429D" w:rsidP="00CD3E79">
            <w:pPr>
              <w:spacing w:after="0" w:line="259" w:lineRule="auto"/>
              <w:ind w:left="43" w:right="0" w:firstLine="0"/>
            </w:pPr>
            <w:proofErr w:type="spellStart"/>
            <w:r>
              <w:rPr>
                <w:sz w:val="18"/>
              </w:rPr>
              <w:t>Monocrotophos</w:t>
            </w:r>
            <w:proofErr w:type="spellEnd"/>
            <w:r>
              <w:rPr>
                <w:sz w:val="18"/>
              </w:rPr>
              <w:t xml:space="preserve"> </w:t>
            </w:r>
          </w:p>
        </w:tc>
        <w:tc>
          <w:tcPr>
            <w:tcW w:w="1056" w:type="dxa"/>
            <w:tcBorders>
              <w:top w:val="single" w:sz="4" w:space="0" w:color="000000"/>
              <w:left w:val="single" w:sz="12" w:space="0" w:color="000000"/>
              <w:bottom w:val="single" w:sz="4" w:space="0" w:color="000000"/>
              <w:right w:val="single" w:sz="12" w:space="0" w:color="000000"/>
            </w:tcBorders>
          </w:tcPr>
          <w:p w14:paraId="2B9F72E0" w14:textId="7C9529FD" w:rsidR="00B0429D" w:rsidRDefault="00B0429D" w:rsidP="00D53558">
            <w:pPr>
              <w:spacing w:after="0" w:line="259" w:lineRule="auto"/>
              <w:ind w:left="0" w:right="35" w:firstLine="0"/>
              <w:jc w:val="center"/>
            </w:pPr>
            <w:r>
              <w:rPr>
                <w:sz w:val="18"/>
              </w:rPr>
              <w:t>6923-22-4</w:t>
            </w:r>
          </w:p>
        </w:tc>
        <w:tc>
          <w:tcPr>
            <w:tcW w:w="693" w:type="dxa"/>
            <w:tcBorders>
              <w:top w:val="single" w:sz="4" w:space="0" w:color="000000"/>
              <w:left w:val="single" w:sz="12" w:space="0" w:color="000000"/>
              <w:bottom w:val="single" w:sz="4" w:space="0" w:color="000000"/>
              <w:right w:val="single" w:sz="12" w:space="0" w:color="000000"/>
            </w:tcBorders>
          </w:tcPr>
          <w:p w14:paraId="1F06D644" w14:textId="3BCC82E0" w:rsidR="00B0429D" w:rsidRDefault="00B0429D" w:rsidP="00D53558">
            <w:pPr>
              <w:spacing w:after="0" w:line="259" w:lineRule="auto"/>
              <w:ind w:left="0" w:right="116" w:firstLine="0"/>
              <w:jc w:val="center"/>
            </w:pPr>
            <w:r>
              <w:rPr>
                <w:sz w:val="18"/>
              </w:rPr>
              <w:t>40</w:t>
            </w:r>
          </w:p>
        </w:tc>
        <w:tc>
          <w:tcPr>
            <w:tcW w:w="551" w:type="dxa"/>
            <w:tcBorders>
              <w:top w:val="single" w:sz="4" w:space="0" w:color="000000"/>
              <w:left w:val="single" w:sz="12" w:space="0" w:color="000000"/>
              <w:bottom w:val="single" w:sz="4" w:space="0" w:color="000000"/>
              <w:right w:val="single" w:sz="12" w:space="0" w:color="000000"/>
            </w:tcBorders>
          </w:tcPr>
          <w:p w14:paraId="6456AED7" w14:textId="34FE94C0" w:rsidR="00B0429D" w:rsidRDefault="00B0429D" w:rsidP="00D53558">
            <w:pPr>
              <w:spacing w:after="0" w:line="259" w:lineRule="auto"/>
              <w:ind w:left="0" w:right="0" w:firstLine="0"/>
              <w:jc w:val="center"/>
            </w:pPr>
            <w:r>
              <w:rPr>
                <w:sz w:val="18"/>
              </w:rPr>
              <w:t>ug/L</w:t>
            </w:r>
          </w:p>
        </w:tc>
        <w:tc>
          <w:tcPr>
            <w:tcW w:w="799" w:type="dxa"/>
            <w:tcBorders>
              <w:top w:val="single" w:sz="4" w:space="0" w:color="000000"/>
              <w:left w:val="single" w:sz="12" w:space="0" w:color="000000"/>
              <w:bottom w:val="single" w:sz="4" w:space="0" w:color="000000"/>
              <w:right w:val="single" w:sz="12" w:space="0" w:color="000000"/>
            </w:tcBorders>
          </w:tcPr>
          <w:p w14:paraId="6C7E5A86" w14:textId="259D4F83" w:rsidR="00B0429D" w:rsidRDefault="00B0429D" w:rsidP="00D53558">
            <w:pPr>
              <w:spacing w:after="0" w:line="259" w:lineRule="auto"/>
              <w:ind w:left="0" w:right="0" w:firstLine="0"/>
              <w:jc w:val="center"/>
            </w:pPr>
            <w:r>
              <w:rPr>
                <w:sz w:val="18"/>
              </w:rPr>
              <w:t>2600</w:t>
            </w:r>
          </w:p>
        </w:tc>
        <w:tc>
          <w:tcPr>
            <w:tcW w:w="787" w:type="dxa"/>
            <w:tcBorders>
              <w:top w:val="single" w:sz="4" w:space="0" w:color="000000"/>
              <w:left w:val="single" w:sz="12" w:space="0" w:color="000000"/>
              <w:bottom w:val="single" w:sz="4" w:space="0" w:color="000000"/>
              <w:right w:val="single" w:sz="12" w:space="0" w:color="000000"/>
            </w:tcBorders>
          </w:tcPr>
          <w:p w14:paraId="4663C083" w14:textId="1F000C30" w:rsidR="00B0429D" w:rsidRDefault="00B0429D" w:rsidP="00D53558">
            <w:pPr>
              <w:spacing w:after="0" w:line="259" w:lineRule="auto"/>
              <w:ind w:left="0" w:right="0" w:firstLine="0"/>
              <w:jc w:val="center"/>
            </w:pPr>
            <w:r>
              <w:rPr>
                <w:rFonts w:eastAsia="Segoe UI Symbol"/>
                <w:sz w:val="18"/>
              </w:rPr>
              <w:t>u</w:t>
            </w:r>
            <w:r>
              <w:rPr>
                <w:sz w:val="18"/>
              </w:rPr>
              <w:t>g/kg</w:t>
            </w:r>
          </w:p>
        </w:tc>
        <w:tc>
          <w:tcPr>
            <w:tcW w:w="453" w:type="dxa"/>
            <w:tcBorders>
              <w:top w:val="single" w:sz="4" w:space="0" w:color="000000"/>
              <w:left w:val="single" w:sz="12" w:space="0" w:color="000000"/>
              <w:bottom w:val="single" w:sz="4" w:space="0" w:color="000000"/>
              <w:right w:val="single" w:sz="12" w:space="0" w:color="000000"/>
            </w:tcBorders>
          </w:tcPr>
          <w:p w14:paraId="7BDD48EA" w14:textId="5FE05EBC" w:rsidR="00B0429D" w:rsidRDefault="00B0429D" w:rsidP="00D53558">
            <w:pPr>
              <w:spacing w:after="0" w:line="259" w:lineRule="auto"/>
              <w:ind w:left="0" w:right="0" w:firstLine="0"/>
              <w:jc w:val="center"/>
            </w:pPr>
          </w:p>
        </w:tc>
        <w:tc>
          <w:tcPr>
            <w:tcW w:w="527" w:type="dxa"/>
            <w:tcBorders>
              <w:top w:val="single" w:sz="4" w:space="0" w:color="000000"/>
              <w:left w:val="single" w:sz="12" w:space="0" w:color="000000"/>
              <w:bottom w:val="single" w:sz="4" w:space="0" w:color="000000"/>
              <w:right w:val="single" w:sz="12" w:space="0" w:color="000000"/>
            </w:tcBorders>
          </w:tcPr>
          <w:p w14:paraId="7343255A" w14:textId="3D9F2F35" w:rsidR="00B0429D" w:rsidRDefault="00B0429D" w:rsidP="00D53558">
            <w:pPr>
              <w:spacing w:after="0" w:line="259" w:lineRule="auto"/>
              <w:ind w:left="7" w:right="0" w:firstLine="0"/>
              <w:jc w:val="center"/>
            </w:pPr>
          </w:p>
        </w:tc>
        <w:tc>
          <w:tcPr>
            <w:tcW w:w="435" w:type="dxa"/>
            <w:tcBorders>
              <w:top w:val="single" w:sz="4" w:space="0" w:color="000000"/>
              <w:left w:val="single" w:sz="12" w:space="0" w:color="000000"/>
              <w:bottom w:val="single" w:sz="4" w:space="0" w:color="000000"/>
              <w:right w:val="single" w:sz="12" w:space="0" w:color="000000"/>
            </w:tcBorders>
          </w:tcPr>
          <w:p w14:paraId="71FCE0B5" w14:textId="1EE2E716" w:rsidR="00B0429D" w:rsidRDefault="00B0429D" w:rsidP="00D53558">
            <w:pPr>
              <w:spacing w:after="0" w:line="259" w:lineRule="auto"/>
              <w:ind w:left="4" w:right="0" w:firstLine="0"/>
              <w:jc w:val="center"/>
            </w:pPr>
          </w:p>
        </w:tc>
        <w:tc>
          <w:tcPr>
            <w:tcW w:w="878" w:type="dxa"/>
            <w:tcBorders>
              <w:top w:val="single" w:sz="4" w:space="0" w:color="000000"/>
              <w:left w:val="single" w:sz="12" w:space="0" w:color="000000"/>
              <w:bottom w:val="single" w:sz="4" w:space="0" w:color="000000"/>
              <w:right w:val="single" w:sz="12" w:space="0" w:color="000000"/>
            </w:tcBorders>
          </w:tcPr>
          <w:p w14:paraId="0D457911" w14:textId="01C800E0" w:rsidR="00B0429D" w:rsidRDefault="00B0429D" w:rsidP="00D53558">
            <w:pPr>
              <w:spacing w:after="0" w:line="259" w:lineRule="auto"/>
              <w:ind w:left="0" w:right="36" w:firstLine="0"/>
              <w:jc w:val="center"/>
            </w:pPr>
            <w:r>
              <w:rPr>
                <w:sz w:val="18"/>
              </w:rPr>
              <w:t>8321</w:t>
            </w:r>
          </w:p>
        </w:tc>
        <w:tc>
          <w:tcPr>
            <w:tcW w:w="717" w:type="dxa"/>
            <w:tcBorders>
              <w:top w:val="single" w:sz="4" w:space="0" w:color="000000"/>
              <w:left w:val="single" w:sz="12" w:space="0" w:color="000000"/>
              <w:bottom w:val="single" w:sz="4" w:space="0" w:color="000000"/>
              <w:right w:val="single" w:sz="12" w:space="0" w:color="000000"/>
            </w:tcBorders>
          </w:tcPr>
          <w:p w14:paraId="3D4237A6" w14:textId="70D64898" w:rsidR="00B0429D" w:rsidRDefault="00B0429D" w:rsidP="009F7CFC">
            <w:pPr>
              <w:spacing w:after="0" w:line="259" w:lineRule="auto"/>
              <w:ind w:left="79" w:right="0" w:firstLine="0"/>
            </w:pPr>
            <w:r>
              <w:rPr>
                <w:sz w:val="18"/>
              </w:rPr>
              <w:t>8270</w:t>
            </w:r>
          </w:p>
        </w:tc>
        <w:tc>
          <w:tcPr>
            <w:tcW w:w="433" w:type="dxa"/>
            <w:tcBorders>
              <w:top w:val="single" w:sz="4" w:space="0" w:color="000000"/>
              <w:left w:val="single" w:sz="12" w:space="0" w:color="000000"/>
              <w:bottom w:val="single" w:sz="4" w:space="0" w:color="000000"/>
              <w:right w:val="single" w:sz="12" w:space="0" w:color="000000"/>
            </w:tcBorders>
          </w:tcPr>
          <w:p w14:paraId="305DB72B" w14:textId="67ABEA67" w:rsidR="00B0429D" w:rsidRDefault="00B0429D" w:rsidP="009F7CFC">
            <w:pPr>
              <w:spacing w:after="0" w:line="259" w:lineRule="auto"/>
              <w:ind w:left="84" w:right="0" w:firstLine="0"/>
              <w:jc w:val="center"/>
            </w:pPr>
            <w:r>
              <w:rPr>
                <w:sz w:val="18"/>
              </w:rPr>
              <w:t>8141</w:t>
            </w:r>
          </w:p>
        </w:tc>
      </w:tr>
      <w:tr w:rsidR="00B0429D" w14:paraId="1084A3BD" w14:textId="77777777" w:rsidTr="00C23B62">
        <w:trPr>
          <w:trHeight w:val="250"/>
        </w:trPr>
        <w:tc>
          <w:tcPr>
            <w:tcW w:w="3201" w:type="dxa"/>
            <w:tcBorders>
              <w:top w:val="single" w:sz="4" w:space="0" w:color="000000"/>
              <w:left w:val="single" w:sz="12" w:space="0" w:color="000000"/>
              <w:bottom w:val="single" w:sz="4" w:space="0" w:color="000000"/>
              <w:right w:val="single" w:sz="12" w:space="0" w:color="000000"/>
            </w:tcBorders>
          </w:tcPr>
          <w:p w14:paraId="7F2C42F8" w14:textId="77777777" w:rsidR="00B0429D" w:rsidRDefault="00B0429D" w:rsidP="00CD3E79">
            <w:pPr>
              <w:spacing w:after="0" w:line="259" w:lineRule="auto"/>
              <w:ind w:left="43" w:right="0" w:firstLine="0"/>
            </w:pPr>
            <w:proofErr w:type="spellStart"/>
            <w:r>
              <w:rPr>
                <w:sz w:val="18"/>
              </w:rPr>
              <w:t>Naled</w:t>
            </w:r>
            <w:proofErr w:type="spellEnd"/>
            <w:r>
              <w:rPr>
                <w:sz w:val="18"/>
              </w:rPr>
              <w:t xml:space="preserve"> </w:t>
            </w:r>
          </w:p>
        </w:tc>
        <w:tc>
          <w:tcPr>
            <w:tcW w:w="1056" w:type="dxa"/>
            <w:tcBorders>
              <w:top w:val="single" w:sz="4" w:space="0" w:color="000000"/>
              <w:left w:val="single" w:sz="12" w:space="0" w:color="000000"/>
              <w:bottom w:val="single" w:sz="4" w:space="0" w:color="000000"/>
              <w:right w:val="single" w:sz="12" w:space="0" w:color="000000"/>
            </w:tcBorders>
          </w:tcPr>
          <w:p w14:paraId="601222CC" w14:textId="0178BCD6" w:rsidR="00B0429D" w:rsidRDefault="00B0429D" w:rsidP="00D53558">
            <w:pPr>
              <w:spacing w:after="0" w:line="259" w:lineRule="auto"/>
              <w:ind w:left="0" w:right="35" w:firstLine="0"/>
              <w:jc w:val="center"/>
            </w:pPr>
            <w:r>
              <w:rPr>
                <w:sz w:val="18"/>
              </w:rPr>
              <w:t>300-76-5</w:t>
            </w:r>
          </w:p>
        </w:tc>
        <w:tc>
          <w:tcPr>
            <w:tcW w:w="693" w:type="dxa"/>
            <w:tcBorders>
              <w:top w:val="single" w:sz="4" w:space="0" w:color="000000"/>
              <w:left w:val="single" w:sz="12" w:space="0" w:color="000000"/>
              <w:bottom w:val="single" w:sz="4" w:space="0" w:color="000000"/>
              <w:right w:val="single" w:sz="12" w:space="0" w:color="000000"/>
            </w:tcBorders>
          </w:tcPr>
          <w:p w14:paraId="32CDCBF2" w14:textId="4A1B71C7" w:rsidR="00B0429D" w:rsidRDefault="00B0429D" w:rsidP="00D53558">
            <w:pPr>
              <w:spacing w:after="0" w:line="259" w:lineRule="auto"/>
              <w:ind w:left="0" w:right="116" w:firstLine="0"/>
              <w:jc w:val="center"/>
            </w:pPr>
            <w:r>
              <w:rPr>
                <w:sz w:val="18"/>
              </w:rPr>
              <w:t>20</w:t>
            </w:r>
          </w:p>
        </w:tc>
        <w:tc>
          <w:tcPr>
            <w:tcW w:w="551" w:type="dxa"/>
            <w:tcBorders>
              <w:top w:val="single" w:sz="4" w:space="0" w:color="000000"/>
              <w:left w:val="single" w:sz="12" w:space="0" w:color="000000"/>
              <w:bottom w:val="single" w:sz="4" w:space="0" w:color="000000"/>
              <w:right w:val="single" w:sz="12" w:space="0" w:color="000000"/>
            </w:tcBorders>
          </w:tcPr>
          <w:p w14:paraId="1C15C29B" w14:textId="494C53A6" w:rsidR="00B0429D" w:rsidRDefault="00B0429D" w:rsidP="00D53558">
            <w:pPr>
              <w:spacing w:after="0" w:line="259" w:lineRule="auto"/>
              <w:ind w:left="0" w:right="0" w:firstLine="0"/>
              <w:jc w:val="center"/>
            </w:pPr>
            <w:r>
              <w:rPr>
                <w:sz w:val="18"/>
              </w:rPr>
              <w:t>ug/L</w:t>
            </w:r>
          </w:p>
        </w:tc>
        <w:tc>
          <w:tcPr>
            <w:tcW w:w="799" w:type="dxa"/>
            <w:tcBorders>
              <w:top w:val="single" w:sz="4" w:space="0" w:color="000000"/>
              <w:left w:val="single" w:sz="12" w:space="0" w:color="000000"/>
              <w:bottom w:val="single" w:sz="4" w:space="0" w:color="000000"/>
              <w:right w:val="single" w:sz="12" w:space="0" w:color="000000"/>
            </w:tcBorders>
          </w:tcPr>
          <w:p w14:paraId="09D776EC" w14:textId="1031E62B" w:rsidR="00B0429D" w:rsidRDefault="00B0429D" w:rsidP="00D53558">
            <w:pPr>
              <w:spacing w:after="0" w:line="259" w:lineRule="auto"/>
              <w:ind w:left="0" w:right="0" w:firstLine="0"/>
              <w:jc w:val="center"/>
            </w:pPr>
            <w:r>
              <w:rPr>
                <w:sz w:val="18"/>
              </w:rPr>
              <w:t>1300</w:t>
            </w:r>
          </w:p>
        </w:tc>
        <w:tc>
          <w:tcPr>
            <w:tcW w:w="787" w:type="dxa"/>
            <w:tcBorders>
              <w:top w:val="single" w:sz="4" w:space="0" w:color="000000"/>
              <w:left w:val="single" w:sz="12" w:space="0" w:color="000000"/>
              <w:bottom w:val="single" w:sz="4" w:space="0" w:color="000000"/>
              <w:right w:val="single" w:sz="12" w:space="0" w:color="000000"/>
            </w:tcBorders>
          </w:tcPr>
          <w:p w14:paraId="29FA0192" w14:textId="6557B172" w:rsidR="00B0429D" w:rsidRDefault="00B0429D" w:rsidP="00D53558">
            <w:pPr>
              <w:spacing w:after="0" w:line="259" w:lineRule="auto"/>
              <w:ind w:left="0" w:right="0" w:firstLine="0"/>
              <w:jc w:val="center"/>
            </w:pPr>
            <w:r>
              <w:rPr>
                <w:rFonts w:eastAsia="Segoe UI Symbol"/>
                <w:sz w:val="18"/>
              </w:rPr>
              <w:t>u</w:t>
            </w:r>
            <w:r>
              <w:rPr>
                <w:sz w:val="18"/>
              </w:rPr>
              <w:t>g/kg</w:t>
            </w:r>
          </w:p>
        </w:tc>
        <w:tc>
          <w:tcPr>
            <w:tcW w:w="453" w:type="dxa"/>
            <w:tcBorders>
              <w:top w:val="single" w:sz="4" w:space="0" w:color="000000"/>
              <w:left w:val="single" w:sz="12" w:space="0" w:color="000000"/>
              <w:bottom w:val="single" w:sz="4" w:space="0" w:color="000000"/>
              <w:right w:val="single" w:sz="12" w:space="0" w:color="000000"/>
            </w:tcBorders>
          </w:tcPr>
          <w:p w14:paraId="771AFC9A" w14:textId="703F5A99" w:rsidR="00B0429D" w:rsidRDefault="00B0429D" w:rsidP="00D53558">
            <w:pPr>
              <w:spacing w:after="0" w:line="259" w:lineRule="auto"/>
              <w:ind w:left="0" w:right="0" w:firstLine="0"/>
              <w:jc w:val="center"/>
            </w:pPr>
          </w:p>
        </w:tc>
        <w:tc>
          <w:tcPr>
            <w:tcW w:w="527" w:type="dxa"/>
            <w:tcBorders>
              <w:top w:val="single" w:sz="4" w:space="0" w:color="000000"/>
              <w:left w:val="single" w:sz="12" w:space="0" w:color="000000"/>
              <w:bottom w:val="single" w:sz="4" w:space="0" w:color="000000"/>
              <w:right w:val="single" w:sz="12" w:space="0" w:color="000000"/>
            </w:tcBorders>
          </w:tcPr>
          <w:p w14:paraId="6159937C" w14:textId="498386E8" w:rsidR="00B0429D" w:rsidRDefault="00B0429D" w:rsidP="00D53558">
            <w:pPr>
              <w:spacing w:after="0" w:line="259" w:lineRule="auto"/>
              <w:ind w:left="7" w:right="0" w:firstLine="0"/>
              <w:jc w:val="center"/>
            </w:pPr>
          </w:p>
        </w:tc>
        <w:tc>
          <w:tcPr>
            <w:tcW w:w="435" w:type="dxa"/>
            <w:tcBorders>
              <w:top w:val="single" w:sz="4" w:space="0" w:color="000000"/>
              <w:left w:val="single" w:sz="12" w:space="0" w:color="000000"/>
              <w:bottom w:val="single" w:sz="4" w:space="0" w:color="000000"/>
              <w:right w:val="single" w:sz="12" w:space="0" w:color="000000"/>
            </w:tcBorders>
          </w:tcPr>
          <w:p w14:paraId="447BD97C" w14:textId="55DB5EB4" w:rsidR="00B0429D" w:rsidRDefault="00B0429D" w:rsidP="00D53558">
            <w:pPr>
              <w:spacing w:after="0" w:line="259" w:lineRule="auto"/>
              <w:ind w:left="4" w:right="0" w:firstLine="0"/>
              <w:jc w:val="center"/>
            </w:pPr>
          </w:p>
        </w:tc>
        <w:tc>
          <w:tcPr>
            <w:tcW w:w="878" w:type="dxa"/>
            <w:tcBorders>
              <w:top w:val="single" w:sz="4" w:space="0" w:color="000000"/>
              <w:left w:val="single" w:sz="12" w:space="0" w:color="000000"/>
              <w:bottom w:val="single" w:sz="4" w:space="0" w:color="000000"/>
              <w:right w:val="single" w:sz="12" w:space="0" w:color="000000"/>
            </w:tcBorders>
          </w:tcPr>
          <w:p w14:paraId="5E5330ED" w14:textId="5BCCF2DC" w:rsidR="00B0429D" w:rsidRDefault="00B0429D" w:rsidP="00D53558">
            <w:pPr>
              <w:spacing w:after="0" w:line="259" w:lineRule="auto"/>
              <w:ind w:left="0" w:right="36" w:firstLine="0"/>
              <w:jc w:val="center"/>
            </w:pPr>
            <w:r>
              <w:rPr>
                <w:sz w:val="18"/>
              </w:rPr>
              <w:t>8321</w:t>
            </w:r>
          </w:p>
        </w:tc>
        <w:tc>
          <w:tcPr>
            <w:tcW w:w="717" w:type="dxa"/>
            <w:tcBorders>
              <w:top w:val="single" w:sz="4" w:space="0" w:color="000000"/>
              <w:left w:val="single" w:sz="12" w:space="0" w:color="000000"/>
              <w:bottom w:val="single" w:sz="4" w:space="0" w:color="000000"/>
              <w:right w:val="single" w:sz="12" w:space="0" w:color="000000"/>
            </w:tcBorders>
          </w:tcPr>
          <w:p w14:paraId="3888EDDB" w14:textId="608DC919" w:rsidR="00B0429D" w:rsidRDefault="00B0429D" w:rsidP="009F7CFC">
            <w:pPr>
              <w:spacing w:after="0" w:line="259" w:lineRule="auto"/>
              <w:ind w:left="79" w:right="0" w:firstLine="0"/>
            </w:pPr>
            <w:r>
              <w:rPr>
                <w:sz w:val="18"/>
              </w:rPr>
              <w:t>8270</w:t>
            </w:r>
          </w:p>
        </w:tc>
        <w:tc>
          <w:tcPr>
            <w:tcW w:w="433" w:type="dxa"/>
            <w:tcBorders>
              <w:top w:val="single" w:sz="4" w:space="0" w:color="000000"/>
              <w:left w:val="single" w:sz="12" w:space="0" w:color="000000"/>
              <w:bottom w:val="single" w:sz="4" w:space="0" w:color="000000"/>
              <w:right w:val="single" w:sz="12" w:space="0" w:color="000000"/>
            </w:tcBorders>
          </w:tcPr>
          <w:p w14:paraId="7819CAC3" w14:textId="3A68A27E" w:rsidR="00B0429D" w:rsidRDefault="00B0429D" w:rsidP="009F7CFC">
            <w:pPr>
              <w:spacing w:after="0" w:line="259" w:lineRule="auto"/>
              <w:ind w:left="84" w:right="0" w:firstLine="0"/>
              <w:jc w:val="center"/>
            </w:pPr>
            <w:r>
              <w:rPr>
                <w:sz w:val="18"/>
              </w:rPr>
              <w:t>8141</w:t>
            </w:r>
          </w:p>
        </w:tc>
      </w:tr>
      <w:tr w:rsidR="00B0429D" w14:paraId="23F11705" w14:textId="77777777" w:rsidTr="00C23B62">
        <w:trPr>
          <w:trHeight w:val="250"/>
        </w:trPr>
        <w:tc>
          <w:tcPr>
            <w:tcW w:w="3201" w:type="dxa"/>
            <w:tcBorders>
              <w:top w:val="single" w:sz="4" w:space="0" w:color="000000"/>
              <w:left w:val="single" w:sz="12" w:space="0" w:color="000000"/>
              <w:bottom w:val="single" w:sz="4" w:space="0" w:color="000000"/>
              <w:right w:val="single" w:sz="12" w:space="0" w:color="000000"/>
            </w:tcBorders>
          </w:tcPr>
          <w:p w14:paraId="4B8A37BE" w14:textId="77777777" w:rsidR="00B0429D" w:rsidRDefault="00B0429D" w:rsidP="00CD3E79">
            <w:pPr>
              <w:spacing w:after="0" w:line="259" w:lineRule="auto"/>
              <w:ind w:left="43" w:right="0" w:firstLine="0"/>
            </w:pPr>
            <w:proofErr w:type="spellStart"/>
            <w:r>
              <w:rPr>
                <w:sz w:val="18"/>
              </w:rPr>
              <w:t>Neburon</w:t>
            </w:r>
            <w:proofErr w:type="spellEnd"/>
            <w:r>
              <w:rPr>
                <w:sz w:val="18"/>
              </w:rPr>
              <w:t xml:space="preserve"> </w:t>
            </w:r>
          </w:p>
        </w:tc>
        <w:tc>
          <w:tcPr>
            <w:tcW w:w="1056" w:type="dxa"/>
            <w:tcBorders>
              <w:top w:val="single" w:sz="4" w:space="0" w:color="000000"/>
              <w:left w:val="single" w:sz="12" w:space="0" w:color="000000"/>
              <w:bottom w:val="single" w:sz="4" w:space="0" w:color="000000"/>
              <w:right w:val="single" w:sz="12" w:space="0" w:color="000000"/>
            </w:tcBorders>
          </w:tcPr>
          <w:p w14:paraId="108942B4" w14:textId="0FF0FCD7" w:rsidR="00B0429D" w:rsidRDefault="00B0429D" w:rsidP="00D53558">
            <w:pPr>
              <w:spacing w:after="0" w:line="259" w:lineRule="auto"/>
              <w:ind w:left="0" w:right="35" w:firstLine="0"/>
              <w:jc w:val="center"/>
            </w:pPr>
            <w:r>
              <w:rPr>
                <w:sz w:val="18"/>
              </w:rPr>
              <w:t>555-37-3</w:t>
            </w:r>
          </w:p>
        </w:tc>
        <w:tc>
          <w:tcPr>
            <w:tcW w:w="693" w:type="dxa"/>
            <w:tcBorders>
              <w:top w:val="single" w:sz="4" w:space="0" w:color="000000"/>
              <w:left w:val="single" w:sz="12" w:space="0" w:color="000000"/>
              <w:bottom w:val="single" w:sz="4" w:space="0" w:color="000000"/>
              <w:right w:val="single" w:sz="12" w:space="0" w:color="000000"/>
            </w:tcBorders>
          </w:tcPr>
          <w:p w14:paraId="7CD09C39" w14:textId="5B2E9084" w:rsidR="00B0429D" w:rsidRDefault="00B0429D" w:rsidP="00D53558">
            <w:pPr>
              <w:spacing w:after="0" w:line="259" w:lineRule="auto"/>
              <w:ind w:left="0" w:right="37" w:firstLine="0"/>
              <w:jc w:val="center"/>
            </w:pPr>
            <w:r>
              <w:rPr>
                <w:sz w:val="18"/>
              </w:rPr>
              <w:t>5</w:t>
            </w:r>
          </w:p>
        </w:tc>
        <w:tc>
          <w:tcPr>
            <w:tcW w:w="551" w:type="dxa"/>
            <w:tcBorders>
              <w:top w:val="single" w:sz="4" w:space="0" w:color="000000"/>
              <w:left w:val="single" w:sz="12" w:space="0" w:color="000000"/>
              <w:bottom w:val="single" w:sz="4" w:space="0" w:color="000000"/>
              <w:right w:val="single" w:sz="12" w:space="0" w:color="000000"/>
            </w:tcBorders>
          </w:tcPr>
          <w:p w14:paraId="6A0636AF" w14:textId="246B0281" w:rsidR="00B0429D" w:rsidRDefault="00B0429D" w:rsidP="00D53558">
            <w:pPr>
              <w:spacing w:after="0" w:line="259" w:lineRule="auto"/>
              <w:ind w:left="0" w:right="0" w:firstLine="0"/>
              <w:jc w:val="center"/>
            </w:pPr>
            <w:r>
              <w:rPr>
                <w:sz w:val="18"/>
              </w:rPr>
              <w:t>ug/L</w:t>
            </w:r>
          </w:p>
        </w:tc>
        <w:tc>
          <w:tcPr>
            <w:tcW w:w="799" w:type="dxa"/>
            <w:tcBorders>
              <w:top w:val="single" w:sz="4" w:space="0" w:color="000000"/>
              <w:left w:val="single" w:sz="12" w:space="0" w:color="000000"/>
              <w:bottom w:val="single" w:sz="4" w:space="0" w:color="000000"/>
              <w:right w:val="single" w:sz="12" w:space="0" w:color="000000"/>
            </w:tcBorders>
          </w:tcPr>
          <w:p w14:paraId="0B6CBAB5" w14:textId="384BCD94" w:rsidR="00B0429D" w:rsidRDefault="00B0429D" w:rsidP="00D53558">
            <w:pPr>
              <w:spacing w:after="0" w:line="259" w:lineRule="auto"/>
              <w:ind w:left="31" w:right="0" w:firstLine="0"/>
              <w:jc w:val="center"/>
            </w:pPr>
            <w:r>
              <w:rPr>
                <w:sz w:val="18"/>
              </w:rPr>
              <w:t>660</w:t>
            </w:r>
          </w:p>
        </w:tc>
        <w:tc>
          <w:tcPr>
            <w:tcW w:w="787" w:type="dxa"/>
            <w:tcBorders>
              <w:top w:val="single" w:sz="4" w:space="0" w:color="000000"/>
              <w:left w:val="single" w:sz="12" w:space="0" w:color="000000"/>
              <w:bottom w:val="single" w:sz="4" w:space="0" w:color="000000"/>
              <w:right w:val="single" w:sz="12" w:space="0" w:color="000000"/>
            </w:tcBorders>
          </w:tcPr>
          <w:p w14:paraId="65437124" w14:textId="4F1A81E1" w:rsidR="00B0429D" w:rsidRDefault="00B0429D" w:rsidP="00D53558">
            <w:pPr>
              <w:spacing w:after="0" w:line="259" w:lineRule="auto"/>
              <w:ind w:left="0" w:right="0" w:firstLine="0"/>
              <w:jc w:val="center"/>
            </w:pPr>
            <w:r>
              <w:rPr>
                <w:rFonts w:eastAsia="Segoe UI Symbol"/>
                <w:sz w:val="18"/>
              </w:rPr>
              <w:t>u</w:t>
            </w:r>
            <w:r>
              <w:rPr>
                <w:sz w:val="18"/>
              </w:rPr>
              <w:t>g/kg</w:t>
            </w:r>
          </w:p>
        </w:tc>
        <w:tc>
          <w:tcPr>
            <w:tcW w:w="453" w:type="dxa"/>
            <w:tcBorders>
              <w:top w:val="single" w:sz="4" w:space="0" w:color="000000"/>
              <w:left w:val="single" w:sz="12" w:space="0" w:color="000000"/>
              <w:bottom w:val="single" w:sz="4" w:space="0" w:color="000000"/>
              <w:right w:val="single" w:sz="12" w:space="0" w:color="000000"/>
            </w:tcBorders>
          </w:tcPr>
          <w:p w14:paraId="6758658A" w14:textId="46F569C8" w:rsidR="00B0429D" w:rsidRDefault="00B0429D" w:rsidP="00D53558">
            <w:pPr>
              <w:spacing w:after="0" w:line="259" w:lineRule="auto"/>
              <w:ind w:left="0" w:right="0" w:firstLine="0"/>
              <w:jc w:val="center"/>
            </w:pPr>
          </w:p>
        </w:tc>
        <w:tc>
          <w:tcPr>
            <w:tcW w:w="527" w:type="dxa"/>
            <w:tcBorders>
              <w:top w:val="single" w:sz="4" w:space="0" w:color="000000"/>
              <w:left w:val="single" w:sz="12" w:space="0" w:color="000000"/>
              <w:bottom w:val="single" w:sz="4" w:space="0" w:color="000000"/>
              <w:right w:val="single" w:sz="12" w:space="0" w:color="000000"/>
            </w:tcBorders>
          </w:tcPr>
          <w:p w14:paraId="453C5BD0" w14:textId="4FE7FDB7" w:rsidR="00B0429D" w:rsidRDefault="00B0429D" w:rsidP="00D53558">
            <w:pPr>
              <w:spacing w:after="0" w:line="259" w:lineRule="auto"/>
              <w:ind w:left="7" w:right="0" w:firstLine="0"/>
              <w:jc w:val="center"/>
            </w:pPr>
          </w:p>
        </w:tc>
        <w:tc>
          <w:tcPr>
            <w:tcW w:w="435" w:type="dxa"/>
            <w:tcBorders>
              <w:top w:val="single" w:sz="4" w:space="0" w:color="000000"/>
              <w:left w:val="single" w:sz="12" w:space="0" w:color="000000"/>
              <w:bottom w:val="single" w:sz="4" w:space="0" w:color="000000"/>
              <w:right w:val="single" w:sz="12" w:space="0" w:color="000000"/>
            </w:tcBorders>
          </w:tcPr>
          <w:p w14:paraId="379B1DFE" w14:textId="11FD2A14" w:rsidR="00B0429D" w:rsidRDefault="00B0429D" w:rsidP="00D53558">
            <w:pPr>
              <w:spacing w:after="0" w:line="259" w:lineRule="auto"/>
              <w:ind w:left="4" w:right="0" w:firstLine="0"/>
              <w:jc w:val="center"/>
            </w:pPr>
          </w:p>
        </w:tc>
        <w:tc>
          <w:tcPr>
            <w:tcW w:w="878" w:type="dxa"/>
            <w:tcBorders>
              <w:top w:val="single" w:sz="4" w:space="0" w:color="000000"/>
              <w:left w:val="single" w:sz="12" w:space="0" w:color="000000"/>
              <w:bottom w:val="single" w:sz="4" w:space="0" w:color="000000"/>
              <w:right w:val="single" w:sz="12" w:space="0" w:color="000000"/>
            </w:tcBorders>
          </w:tcPr>
          <w:p w14:paraId="54DA7489" w14:textId="3843F784" w:rsidR="00B0429D" w:rsidRDefault="00B0429D" w:rsidP="00D53558">
            <w:pPr>
              <w:spacing w:after="0" w:line="259" w:lineRule="auto"/>
              <w:ind w:left="0" w:right="36" w:firstLine="0"/>
              <w:jc w:val="center"/>
            </w:pPr>
            <w:r>
              <w:rPr>
                <w:sz w:val="18"/>
              </w:rPr>
              <w:t>8321</w:t>
            </w:r>
          </w:p>
        </w:tc>
        <w:tc>
          <w:tcPr>
            <w:tcW w:w="717" w:type="dxa"/>
            <w:tcBorders>
              <w:top w:val="single" w:sz="4" w:space="0" w:color="000000"/>
              <w:left w:val="single" w:sz="12" w:space="0" w:color="000000"/>
              <w:bottom w:val="single" w:sz="4" w:space="0" w:color="000000"/>
              <w:right w:val="single" w:sz="12" w:space="0" w:color="000000"/>
            </w:tcBorders>
          </w:tcPr>
          <w:p w14:paraId="5BB58EC0" w14:textId="227B49EA" w:rsidR="00B0429D" w:rsidRDefault="00B0429D" w:rsidP="009F7CFC">
            <w:pPr>
              <w:spacing w:after="0" w:line="259" w:lineRule="auto"/>
              <w:ind w:left="9" w:right="0" w:firstLine="0"/>
            </w:pPr>
          </w:p>
        </w:tc>
        <w:tc>
          <w:tcPr>
            <w:tcW w:w="433" w:type="dxa"/>
            <w:tcBorders>
              <w:top w:val="single" w:sz="4" w:space="0" w:color="000000"/>
              <w:left w:val="single" w:sz="12" w:space="0" w:color="000000"/>
              <w:bottom w:val="single" w:sz="4" w:space="0" w:color="000000"/>
              <w:right w:val="single" w:sz="12" w:space="0" w:color="000000"/>
            </w:tcBorders>
          </w:tcPr>
          <w:p w14:paraId="5F323390" w14:textId="6ECF4A01" w:rsidR="00B0429D" w:rsidRDefault="00B0429D" w:rsidP="009F7CFC">
            <w:pPr>
              <w:spacing w:after="0" w:line="259" w:lineRule="auto"/>
              <w:ind w:left="9" w:right="0" w:firstLine="0"/>
              <w:jc w:val="center"/>
            </w:pPr>
          </w:p>
        </w:tc>
      </w:tr>
      <w:tr w:rsidR="00B0429D" w14:paraId="26A0FE0C" w14:textId="77777777" w:rsidTr="00C23B62">
        <w:trPr>
          <w:trHeight w:val="250"/>
        </w:trPr>
        <w:tc>
          <w:tcPr>
            <w:tcW w:w="3201" w:type="dxa"/>
            <w:tcBorders>
              <w:top w:val="single" w:sz="4" w:space="0" w:color="000000"/>
              <w:left w:val="single" w:sz="12" w:space="0" w:color="000000"/>
              <w:bottom w:val="single" w:sz="4" w:space="0" w:color="000000"/>
              <w:right w:val="single" w:sz="12" w:space="0" w:color="000000"/>
            </w:tcBorders>
          </w:tcPr>
          <w:p w14:paraId="730CF062" w14:textId="77777777" w:rsidR="00B0429D" w:rsidRDefault="00B0429D" w:rsidP="00CD3E79">
            <w:pPr>
              <w:spacing w:after="0" w:line="259" w:lineRule="auto"/>
              <w:ind w:left="43" w:right="0" w:firstLine="0"/>
            </w:pPr>
            <w:proofErr w:type="spellStart"/>
            <w:r>
              <w:rPr>
                <w:sz w:val="18"/>
              </w:rPr>
              <w:t>Propachlor</w:t>
            </w:r>
            <w:proofErr w:type="spellEnd"/>
            <w:r>
              <w:rPr>
                <w:sz w:val="18"/>
              </w:rPr>
              <w:t xml:space="preserve"> </w:t>
            </w:r>
          </w:p>
        </w:tc>
        <w:tc>
          <w:tcPr>
            <w:tcW w:w="1056" w:type="dxa"/>
            <w:tcBorders>
              <w:top w:val="single" w:sz="4" w:space="0" w:color="000000"/>
              <w:left w:val="single" w:sz="12" w:space="0" w:color="000000"/>
              <w:bottom w:val="single" w:sz="4" w:space="0" w:color="000000"/>
              <w:right w:val="single" w:sz="12" w:space="0" w:color="000000"/>
            </w:tcBorders>
          </w:tcPr>
          <w:p w14:paraId="526ECA13" w14:textId="2B208632" w:rsidR="00B0429D" w:rsidRDefault="00B0429D" w:rsidP="00D53558">
            <w:pPr>
              <w:spacing w:after="0" w:line="259" w:lineRule="auto"/>
              <w:ind w:left="0" w:right="35" w:firstLine="0"/>
              <w:jc w:val="center"/>
            </w:pPr>
            <w:r>
              <w:rPr>
                <w:sz w:val="18"/>
              </w:rPr>
              <w:t>1918-16-7</w:t>
            </w:r>
          </w:p>
        </w:tc>
        <w:tc>
          <w:tcPr>
            <w:tcW w:w="693" w:type="dxa"/>
            <w:tcBorders>
              <w:top w:val="single" w:sz="4" w:space="0" w:color="000000"/>
              <w:left w:val="single" w:sz="12" w:space="0" w:color="000000"/>
              <w:bottom w:val="single" w:sz="4" w:space="0" w:color="000000"/>
              <w:right w:val="single" w:sz="12" w:space="0" w:color="000000"/>
            </w:tcBorders>
          </w:tcPr>
          <w:p w14:paraId="7F4B1915" w14:textId="21570AD1" w:rsidR="00B0429D" w:rsidRDefault="00B0429D" w:rsidP="00D53558">
            <w:pPr>
              <w:spacing w:after="0" w:line="259" w:lineRule="auto"/>
              <w:ind w:left="0" w:right="37" w:firstLine="0"/>
              <w:jc w:val="center"/>
            </w:pPr>
            <w:r>
              <w:rPr>
                <w:sz w:val="18"/>
              </w:rPr>
              <w:t>40</w:t>
            </w:r>
          </w:p>
        </w:tc>
        <w:tc>
          <w:tcPr>
            <w:tcW w:w="551" w:type="dxa"/>
            <w:tcBorders>
              <w:top w:val="single" w:sz="4" w:space="0" w:color="000000"/>
              <w:left w:val="single" w:sz="12" w:space="0" w:color="000000"/>
              <w:bottom w:val="single" w:sz="4" w:space="0" w:color="000000"/>
              <w:right w:val="single" w:sz="12" w:space="0" w:color="000000"/>
            </w:tcBorders>
          </w:tcPr>
          <w:p w14:paraId="7F0E4731" w14:textId="2346B08B" w:rsidR="00B0429D" w:rsidRDefault="00B0429D" w:rsidP="00D53558">
            <w:pPr>
              <w:spacing w:after="0" w:line="259" w:lineRule="auto"/>
              <w:ind w:left="0" w:right="0" w:firstLine="0"/>
              <w:jc w:val="center"/>
            </w:pPr>
            <w:r>
              <w:rPr>
                <w:sz w:val="18"/>
              </w:rPr>
              <w:t>ug/L</w:t>
            </w:r>
          </w:p>
        </w:tc>
        <w:tc>
          <w:tcPr>
            <w:tcW w:w="799" w:type="dxa"/>
            <w:tcBorders>
              <w:top w:val="single" w:sz="4" w:space="0" w:color="000000"/>
              <w:left w:val="single" w:sz="12" w:space="0" w:color="000000"/>
              <w:bottom w:val="single" w:sz="4" w:space="0" w:color="000000"/>
              <w:right w:val="single" w:sz="12" w:space="0" w:color="000000"/>
            </w:tcBorders>
          </w:tcPr>
          <w:p w14:paraId="61CE19B6" w14:textId="69EF9C4F" w:rsidR="00B0429D" w:rsidRDefault="00B0429D" w:rsidP="00D53558">
            <w:pPr>
              <w:spacing w:after="0" w:line="259" w:lineRule="auto"/>
              <w:ind w:left="31" w:right="0" w:firstLine="0"/>
              <w:jc w:val="center"/>
            </w:pPr>
            <w:r>
              <w:rPr>
                <w:sz w:val="18"/>
              </w:rPr>
              <w:t>2600</w:t>
            </w:r>
          </w:p>
        </w:tc>
        <w:tc>
          <w:tcPr>
            <w:tcW w:w="787" w:type="dxa"/>
            <w:tcBorders>
              <w:top w:val="single" w:sz="4" w:space="0" w:color="000000"/>
              <w:left w:val="single" w:sz="12" w:space="0" w:color="000000"/>
              <w:bottom w:val="single" w:sz="4" w:space="0" w:color="000000"/>
              <w:right w:val="single" w:sz="12" w:space="0" w:color="000000"/>
            </w:tcBorders>
          </w:tcPr>
          <w:p w14:paraId="3ABD3F26" w14:textId="284C7E68" w:rsidR="00B0429D" w:rsidRDefault="00B0429D" w:rsidP="00D53558">
            <w:pPr>
              <w:spacing w:after="0" w:line="259" w:lineRule="auto"/>
              <w:ind w:left="0" w:right="0" w:firstLine="0"/>
              <w:jc w:val="center"/>
            </w:pPr>
            <w:r>
              <w:rPr>
                <w:rFonts w:eastAsia="Segoe UI Symbol"/>
                <w:sz w:val="18"/>
              </w:rPr>
              <w:t>u</w:t>
            </w:r>
            <w:r>
              <w:rPr>
                <w:sz w:val="18"/>
              </w:rPr>
              <w:t>g/kg</w:t>
            </w:r>
          </w:p>
        </w:tc>
        <w:tc>
          <w:tcPr>
            <w:tcW w:w="453" w:type="dxa"/>
            <w:tcBorders>
              <w:top w:val="single" w:sz="4" w:space="0" w:color="000000"/>
              <w:left w:val="single" w:sz="12" w:space="0" w:color="000000"/>
              <w:bottom w:val="single" w:sz="4" w:space="0" w:color="000000"/>
              <w:right w:val="single" w:sz="12" w:space="0" w:color="000000"/>
            </w:tcBorders>
          </w:tcPr>
          <w:p w14:paraId="092C5B17" w14:textId="199A315A" w:rsidR="00B0429D" w:rsidRDefault="00B0429D" w:rsidP="00D53558">
            <w:pPr>
              <w:spacing w:after="0" w:line="259" w:lineRule="auto"/>
              <w:ind w:left="0" w:right="0" w:firstLine="0"/>
              <w:jc w:val="center"/>
            </w:pPr>
          </w:p>
        </w:tc>
        <w:tc>
          <w:tcPr>
            <w:tcW w:w="527" w:type="dxa"/>
            <w:tcBorders>
              <w:top w:val="single" w:sz="4" w:space="0" w:color="000000"/>
              <w:left w:val="single" w:sz="12" w:space="0" w:color="000000"/>
              <w:bottom w:val="single" w:sz="4" w:space="0" w:color="000000"/>
              <w:right w:val="single" w:sz="12" w:space="0" w:color="000000"/>
            </w:tcBorders>
          </w:tcPr>
          <w:p w14:paraId="05AF435F" w14:textId="4B640DCE" w:rsidR="00B0429D" w:rsidRDefault="00B0429D" w:rsidP="00D53558">
            <w:pPr>
              <w:spacing w:after="0" w:line="259" w:lineRule="auto"/>
              <w:ind w:left="7" w:right="0" w:firstLine="0"/>
              <w:jc w:val="center"/>
            </w:pPr>
          </w:p>
        </w:tc>
        <w:tc>
          <w:tcPr>
            <w:tcW w:w="435" w:type="dxa"/>
            <w:tcBorders>
              <w:top w:val="single" w:sz="4" w:space="0" w:color="000000"/>
              <w:left w:val="single" w:sz="12" w:space="0" w:color="000000"/>
              <w:bottom w:val="single" w:sz="4" w:space="0" w:color="000000"/>
              <w:right w:val="single" w:sz="12" w:space="0" w:color="000000"/>
            </w:tcBorders>
          </w:tcPr>
          <w:p w14:paraId="2FB847F6" w14:textId="587275F2" w:rsidR="00B0429D" w:rsidRDefault="00B0429D" w:rsidP="00D53558">
            <w:pPr>
              <w:spacing w:after="0" w:line="259" w:lineRule="auto"/>
              <w:ind w:left="4" w:right="0" w:firstLine="0"/>
              <w:jc w:val="center"/>
            </w:pPr>
          </w:p>
        </w:tc>
        <w:tc>
          <w:tcPr>
            <w:tcW w:w="878" w:type="dxa"/>
            <w:tcBorders>
              <w:top w:val="single" w:sz="4" w:space="0" w:color="000000"/>
              <w:left w:val="single" w:sz="12" w:space="0" w:color="000000"/>
              <w:bottom w:val="single" w:sz="4" w:space="0" w:color="000000"/>
              <w:right w:val="single" w:sz="12" w:space="0" w:color="000000"/>
            </w:tcBorders>
          </w:tcPr>
          <w:p w14:paraId="4BAD87E6" w14:textId="3A23A426" w:rsidR="00B0429D" w:rsidRDefault="00B0429D" w:rsidP="00D53558">
            <w:pPr>
              <w:spacing w:after="0" w:line="259" w:lineRule="auto"/>
              <w:ind w:left="0" w:right="36" w:firstLine="0"/>
              <w:jc w:val="center"/>
            </w:pPr>
            <w:r>
              <w:rPr>
                <w:sz w:val="18"/>
              </w:rPr>
              <w:t>8321</w:t>
            </w:r>
          </w:p>
        </w:tc>
        <w:tc>
          <w:tcPr>
            <w:tcW w:w="717" w:type="dxa"/>
            <w:tcBorders>
              <w:top w:val="single" w:sz="4" w:space="0" w:color="000000"/>
              <w:left w:val="single" w:sz="12" w:space="0" w:color="000000"/>
              <w:bottom w:val="single" w:sz="4" w:space="0" w:color="000000"/>
              <w:right w:val="single" w:sz="12" w:space="0" w:color="000000"/>
            </w:tcBorders>
          </w:tcPr>
          <w:p w14:paraId="5B437318" w14:textId="045D1A7A" w:rsidR="00B0429D" w:rsidRDefault="00B0429D" w:rsidP="009F7CFC">
            <w:pPr>
              <w:spacing w:after="0" w:line="259" w:lineRule="auto"/>
              <w:ind w:left="9" w:right="0" w:firstLine="0"/>
            </w:pPr>
          </w:p>
        </w:tc>
        <w:tc>
          <w:tcPr>
            <w:tcW w:w="433" w:type="dxa"/>
            <w:tcBorders>
              <w:top w:val="single" w:sz="4" w:space="0" w:color="000000"/>
              <w:left w:val="single" w:sz="12" w:space="0" w:color="000000"/>
              <w:bottom w:val="single" w:sz="4" w:space="0" w:color="000000"/>
              <w:right w:val="single" w:sz="12" w:space="0" w:color="000000"/>
            </w:tcBorders>
          </w:tcPr>
          <w:p w14:paraId="45A3592D" w14:textId="02CD778A" w:rsidR="00B0429D" w:rsidRDefault="00B0429D" w:rsidP="009F7CFC">
            <w:pPr>
              <w:spacing w:after="0" w:line="259" w:lineRule="auto"/>
              <w:ind w:left="9" w:right="0" w:firstLine="0"/>
              <w:jc w:val="center"/>
            </w:pPr>
          </w:p>
        </w:tc>
      </w:tr>
      <w:tr w:rsidR="00B0429D" w14:paraId="72DAE488" w14:textId="77777777" w:rsidTr="00C23B62">
        <w:trPr>
          <w:trHeight w:val="252"/>
        </w:trPr>
        <w:tc>
          <w:tcPr>
            <w:tcW w:w="3201" w:type="dxa"/>
            <w:tcBorders>
              <w:top w:val="single" w:sz="4" w:space="0" w:color="000000"/>
              <w:left w:val="single" w:sz="12" w:space="0" w:color="000000"/>
              <w:bottom w:val="single" w:sz="4" w:space="0" w:color="000000"/>
              <w:right w:val="single" w:sz="12" w:space="0" w:color="000000"/>
            </w:tcBorders>
          </w:tcPr>
          <w:p w14:paraId="093EDF04" w14:textId="77777777" w:rsidR="00B0429D" w:rsidRDefault="00B0429D" w:rsidP="00CD3E79">
            <w:pPr>
              <w:spacing w:after="0" w:line="259" w:lineRule="auto"/>
              <w:ind w:left="43" w:right="0" w:firstLine="0"/>
            </w:pPr>
            <w:proofErr w:type="spellStart"/>
            <w:r>
              <w:rPr>
                <w:sz w:val="18"/>
              </w:rPr>
              <w:t>Propham</w:t>
            </w:r>
            <w:proofErr w:type="spellEnd"/>
            <w:r>
              <w:rPr>
                <w:sz w:val="18"/>
              </w:rPr>
              <w:t xml:space="preserve"> </w:t>
            </w:r>
          </w:p>
        </w:tc>
        <w:tc>
          <w:tcPr>
            <w:tcW w:w="1056" w:type="dxa"/>
            <w:tcBorders>
              <w:top w:val="single" w:sz="4" w:space="0" w:color="000000"/>
              <w:left w:val="single" w:sz="12" w:space="0" w:color="000000"/>
              <w:bottom w:val="single" w:sz="4" w:space="0" w:color="000000"/>
              <w:right w:val="single" w:sz="12" w:space="0" w:color="000000"/>
            </w:tcBorders>
          </w:tcPr>
          <w:p w14:paraId="4BFE48F6" w14:textId="19C8F316" w:rsidR="00B0429D" w:rsidRDefault="00B0429D" w:rsidP="00D53558">
            <w:pPr>
              <w:spacing w:after="0" w:line="259" w:lineRule="auto"/>
              <w:ind w:left="0" w:right="35" w:firstLine="0"/>
              <w:jc w:val="center"/>
            </w:pPr>
            <w:r>
              <w:rPr>
                <w:sz w:val="18"/>
              </w:rPr>
              <w:t>122-42-9</w:t>
            </w:r>
          </w:p>
        </w:tc>
        <w:tc>
          <w:tcPr>
            <w:tcW w:w="693" w:type="dxa"/>
            <w:tcBorders>
              <w:top w:val="single" w:sz="4" w:space="0" w:color="000000"/>
              <w:left w:val="single" w:sz="12" w:space="0" w:color="000000"/>
              <w:bottom w:val="single" w:sz="4" w:space="0" w:color="000000"/>
              <w:right w:val="single" w:sz="12" w:space="0" w:color="000000"/>
            </w:tcBorders>
          </w:tcPr>
          <w:p w14:paraId="7541DB28" w14:textId="1F6FABF9" w:rsidR="00B0429D" w:rsidRDefault="00B0429D" w:rsidP="00D53558">
            <w:pPr>
              <w:spacing w:after="0" w:line="259" w:lineRule="auto"/>
              <w:ind w:left="0" w:right="37" w:firstLine="0"/>
              <w:jc w:val="center"/>
            </w:pPr>
            <w:r>
              <w:rPr>
                <w:sz w:val="18"/>
              </w:rPr>
              <w:t>50</w:t>
            </w:r>
          </w:p>
        </w:tc>
        <w:tc>
          <w:tcPr>
            <w:tcW w:w="551" w:type="dxa"/>
            <w:tcBorders>
              <w:top w:val="single" w:sz="4" w:space="0" w:color="000000"/>
              <w:left w:val="single" w:sz="12" w:space="0" w:color="000000"/>
              <w:bottom w:val="single" w:sz="4" w:space="0" w:color="000000"/>
              <w:right w:val="single" w:sz="12" w:space="0" w:color="000000"/>
            </w:tcBorders>
          </w:tcPr>
          <w:p w14:paraId="7A818CE8" w14:textId="1A2523D6" w:rsidR="00B0429D" w:rsidRDefault="00B0429D" w:rsidP="00D53558">
            <w:pPr>
              <w:spacing w:after="0" w:line="259" w:lineRule="auto"/>
              <w:ind w:left="0" w:right="0" w:firstLine="0"/>
              <w:jc w:val="center"/>
            </w:pPr>
            <w:r>
              <w:rPr>
                <w:sz w:val="18"/>
              </w:rPr>
              <w:t>ug/L</w:t>
            </w:r>
          </w:p>
        </w:tc>
        <w:tc>
          <w:tcPr>
            <w:tcW w:w="799" w:type="dxa"/>
            <w:tcBorders>
              <w:top w:val="single" w:sz="4" w:space="0" w:color="000000"/>
              <w:left w:val="single" w:sz="12" w:space="0" w:color="000000"/>
              <w:bottom w:val="single" w:sz="4" w:space="0" w:color="000000"/>
              <w:right w:val="single" w:sz="12" w:space="0" w:color="000000"/>
            </w:tcBorders>
          </w:tcPr>
          <w:p w14:paraId="57079864" w14:textId="1DDC91F3" w:rsidR="00B0429D" w:rsidRDefault="00B0429D" w:rsidP="00D53558">
            <w:pPr>
              <w:spacing w:after="0" w:line="259" w:lineRule="auto"/>
              <w:ind w:left="31" w:right="0" w:firstLine="0"/>
              <w:jc w:val="center"/>
            </w:pPr>
            <w:r>
              <w:rPr>
                <w:sz w:val="18"/>
              </w:rPr>
              <w:t>3300</w:t>
            </w:r>
          </w:p>
        </w:tc>
        <w:tc>
          <w:tcPr>
            <w:tcW w:w="787" w:type="dxa"/>
            <w:tcBorders>
              <w:top w:val="single" w:sz="4" w:space="0" w:color="000000"/>
              <w:left w:val="single" w:sz="12" w:space="0" w:color="000000"/>
              <w:bottom w:val="single" w:sz="4" w:space="0" w:color="000000"/>
              <w:right w:val="single" w:sz="12" w:space="0" w:color="000000"/>
            </w:tcBorders>
          </w:tcPr>
          <w:p w14:paraId="596E14C2" w14:textId="31D7DC83" w:rsidR="00B0429D" w:rsidRDefault="00B0429D" w:rsidP="00D53558">
            <w:pPr>
              <w:spacing w:after="0" w:line="259" w:lineRule="auto"/>
              <w:ind w:left="0" w:right="0" w:firstLine="0"/>
              <w:jc w:val="center"/>
            </w:pPr>
            <w:r>
              <w:rPr>
                <w:rFonts w:eastAsia="Segoe UI Symbol"/>
                <w:sz w:val="18"/>
              </w:rPr>
              <w:t>u</w:t>
            </w:r>
            <w:r>
              <w:rPr>
                <w:sz w:val="18"/>
              </w:rPr>
              <w:t>g/kg</w:t>
            </w:r>
          </w:p>
        </w:tc>
        <w:tc>
          <w:tcPr>
            <w:tcW w:w="453" w:type="dxa"/>
            <w:tcBorders>
              <w:top w:val="single" w:sz="4" w:space="0" w:color="000000"/>
              <w:left w:val="single" w:sz="12" w:space="0" w:color="000000"/>
              <w:bottom w:val="single" w:sz="4" w:space="0" w:color="000000"/>
              <w:right w:val="single" w:sz="12" w:space="0" w:color="000000"/>
            </w:tcBorders>
          </w:tcPr>
          <w:p w14:paraId="6F1F4DE9" w14:textId="41336123" w:rsidR="00B0429D" w:rsidRDefault="00B0429D" w:rsidP="006F0F07">
            <w:pPr>
              <w:spacing w:after="0" w:line="259" w:lineRule="auto"/>
              <w:ind w:left="0" w:right="0" w:firstLine="0"/>
              <w:jc w:val="center"/>
            </w:pPr>
            <w:r>
              <w:rPr>
                <w:sz w:val="18"/>
              </w:rPr>
              <w:t>X</w:t>
            </w:r>
          </w:p>
        </w:tc>
        <w:tc>
          <w:tcPr>
            <w:tcW w:w="527" w:type="dxa"/>
            <w:tcBorders>
              <w:top w:val="single" w:sz="4" w:space="0" w:color="000000"/>
              <w:left w:val="single" w:sz="12" w:space="0" w:color="000000"/>
              <w:bottom w:val="single" w:sz="4" w:space="0" w:color="000000"/>
              <w:right w:val="single" w:sz="12" w:space="0" w:color="000000"/>
            </w:tcBorders>
          </w:tcPr>
          <w:p w14:paraId="1EFCD204" w14:textId="6B22437E" w:rsidR="00B0429D" w:rsidRDefault="00B0429D" w:rsidP="00D53558">
            <w:pPr>
              <w:spacing w:after="0" w:line="259" w:lineRule="auto"/>
              <w:ind w:left="7" w:right="0" w:firstLine="0"/>
              <w:jc w:val="center"/>
            </w:pPr>
          </w:p>
        </w:tc>
        <w:tc>
          <w:tcPr>
            <w:tcW w:w="435" w:type="dxa"/>
            <w:tcBorders>
              <w:top w:val="single" w:sz="4" w:space="0" w:color="000000"/>
              <w:left w:val="single" w:sz="12" w:space="0" w:color="000000"/>
              <w:bottom w:val="single" w:sz="4" w:space="0" w:color="000000"/>
              <w:right w:val="single" w:sz="12" w:space="0" w:color="000000"/>
            </w:tcBorders>
          </w:tcPr>
          <w:p w14:paraId="6411AC5B" w14:textId="1C84396E" w:rsidR="00B0429D" w:rsidRDefault="00B0429D" w:rsidP="00D53558">
            <w:pPr>
              <w:spacing w:after="0" w:line="259" w:lineRule="auto"/>
              <w:ind w:left="4" w:right="0" w:firstLine="0"/>
              <w:jc w:val="center"/>
            </w:pPr>
          </w:p>
        </w:tc>
        <w:tc>
          <w:tcPr>
            <w:tcW w:w="878" w:type="dxa"/>
            <w:tcBorders>
              <w:top w:val="single" w:sz="4" w:space="0" w:color="000000"/>
              <w:left w:val="single" w:sz="12" w:space="0" w:color="000000"/>
              <w:bottom w:val="single" w:sz="4" w:space="0" w:color="000000"/>
              <w:right w:val="single" w:sz="12" w:space="0" w:color="000000"/>
            </w:tcBorders>
          </w:tcPr>
          <w:p w14:paraId="150E1526" w14:textId="179BDFCB" w:rsidR="00B0429D" w:rsidRDefault="00B0429D" w:rsidP="00D53558">
            <w:pPr>
              <w:spacing w:after="0" w:line="259" w:lineRule="auto"/>
              <w:ind w:left="0" w:right="36" w:firstLine="0"/>
              <w:jc w:val="center"/>
            </w:pPr>
            <w:r>
              <w:rPr>
                <w:sz w:val="18"/>
              </w:rPr>
              <w:t>8321</w:t>
            </w:r>
          </w:p>
        </w:tc>
        <w:tc>
          <w:tcPr>
            <w:tcW w:w="717" w:type="dxa"/>
            <w:tcBorders>
              <w:top w:val="single" w:sz="4" w:space="0" w:color="000000"/>
              <w:left w:val="single" w:sz="12" w:space="0" w:color="000000"/>
              <w:bottom w:val="single" w:sz="4" w:space="0" w:color="000000"/>
              <w:right w:val="single" w:sz="12" w:space="0" w:color="000000"/>
            </w:tcBorders>
          </w:tcPr>
          <w:p w14:paraId="584E1078" w14:textId="51E53660" w:rsidR="00B0429D" w:rsidRDefault="00B0429D" w:rsidP="009F7CFC">
            <w:pPr>
              <w:spacing w:after="0" w:line="259" w:lineRule="auto"/>
              <w:ind w:left="9" w:right="0" w:firstLine="0"/>
            </w:pPr>
          </w:p>
        </w:tc>
        <w:tc>
          <w:tcPr>
            <w:tcW w:w="433" w:type="dxa"/>
            <w:tcBorders>
              <w:top w:val="single" w:sz="4" w:space="0" w:color="000000"/>
              <w:left w:val="single" w:sz="12" w:space="0" w:color="000000"/>
              <w:bottom w:val="single" w:sz="4" w:space="0" w:color="000000"/>
              <w:right w:val="single" w:sz="12" w:space="0" w:color="000000"/>
            </w:tcBorders>
          </w:tcPr>
          <w:p w14:paraId="45DAB83D" w14:textId="6163F397" w:rsidR="00B0429D" w:rsidRDefault="00B0429D" w:rsidP="009F7CFC">
            <w:pPr>
              <w:spacing w:after="0" w:line="259" w:lineRule="auto"/>
              <w:ind w:left="9" w:right="0" w:firstLine="0"/>
              <w:jc w:val="center"/>
            </w:pPr>
          </w:p>
        </w:tc>
      </w:tr>
      <w:tr w:rsidR="00B0429D" w14:paraId="3990401B" w14:textId="77777777" w:rsidTr="00C23B62">
        <w:trPr>
          <w:trHeight w:val="250"/>
        </w:trPr>
        <w:tc>
          <w:tcPr>
            <w:tcW w:w="3201" w:type="dxa"/>
            <w:tcBorders>
              <w:top w:val="single" w:sz="4" w:space="0" w:color="000000"/>
              <w:left w:val="single" w:sz="12" w:space="0" w:color="000000"/>
              <w:bottom w:val="single" w:sz="4" w:space="0" w:color="000000"/>
              <w:right w:val="single" w:sz="12" w:space="0" w:color="000000"/>
            </w:tcBorders>
          </w:tcPr>
          <w:p w14:paraId="527E3695" w14:textId="77777777" w:rsidR="00B0429D" w:rsidRDefault="00B0429D" w:rsidP="00482150">
            <w:pPr>
              <w:spacing w:after="0" w:line="259" w:lineRule="auto"/>
              <w:ind w:left="43" w:right="0" w:firstLine="0"/>
            </w:pPr>
            <w:proofErr w:type="spellStart"/>
            <w:r>
              <w:rPr>
                <w:sz w:val="18"/>
              </w:rPr>
              <w:t>Siduron</w:t>
            </w:r>
            <w:proofErr w:type="spellEnd"/>
            <w:r>
              <w:rPr>
                <w:sz w:val="18"/>
              </w:rPr>
              <w:t xml:space="preserve"> </w:t>
            </w:r>
          </w:p>
        </w:tc>
        <w:tc>
          <w:tcPr>
            <w:tcW w:w="1056" w:type="dxa"/>
            <w:tcBorders>
              <w:top w:val="single" w:sz="4" w:space="0" w:color="000000"/>
              <w:left w:val="single" w:sz="12" w:space="0" w:color="000000"/>
              <w:bottom w:val="single" w:sz="4" w:space="0" w:color="000000"/>
              <w:right w:val="single" w:sz="12" w:space="0" w:color="000000"/>
            </w:tcBorders>
          </w:tcPr>
          <w:p w14:paraId="4F00D1A9" w14:textId="39648F44" w:rsidR="00B0429D" w:rsidRDefault="00B0429D" w:rsidP="00D53558">
            <w:pPr>
              <w:spacing w:after="0" w:line="259" w:lineRule="auto"/>
              <w:ind w:left="0" w:right="35" w:firstLine="0"/>
              <w:jc w:val="center"/>
            </w:pPr>
            <w:r>
              <w:rPr>
                <w:sz w:val="18"/>
              </w:rPr>
              <w:t>1982-49-6</w:t>
            </w:r>
          </w:p>
        </w:tc>
        <w:tc>
          <w:tcPr>
            <w:tcW w:w="693" w:type="dxa"/>
            <w:tcBorders>
              <w:top w:val="single" w:sz="4" w:space="0" w:color="000000"/>
              <w:left w:val="single" w:sz="12" w:space="0" w:color="000000"/>
              <w:bottom w:val="single" w:sz="4" w:space="0" w:color="000000"/>
              <w:right w:val="single" w:sz="12" w:space="0" w:color="000000"/>
            </w:tcBorders>
          </w:tcPr>
          <w:p w14:paraId="6D7830EF" w14:textId="5284C537" w:rsidR="00B0429D" w:rsidRDefault="00B0429D" w:rsidP="00D53558">
            <w:pPr>
              <w:spacing w:after="0" w:line="259" w:lineRule="auto"/>
              <w:ind w:left="0" w:right="37" w:firstLine="0"/>
              <w:jc w:val="center"/>
            </w:pPr>
            <w:r>
              <w:rPr>
                <w:sz w:val="18"/>
              </w:rPr>
              <w:t>5</w:t>
            </w:r>
          </w:p>
        </w:tc>
        <w:tc>
          <w:tcPr>
            <w:tcW w:w="551" w:type="dxa"/>
            <w:tcBorders>
              <w:top w:val="single" w:sz="4" w:space="0" w:color="000000"/>
              <w:left w:val="single" w:sz="12" w:space="0" w:color="000000"/>
              <w:bottom w:val="single" w:sz="4" w:space="0" w:color="000000"/>
              <w:right w:val="single" w:sz="12" w:space="0" w:color="000000"/>
            </w:tcBorders>
          </w:tcPr>
          <w:p w14:paraId="36FA3A49" w14:textId="4A8EB542" w:rsidR="00B0429D" w:rsidRDefault="00B0429D" w:rsidP="00D53558">
            <w:pPr>
              <w:spacing w:after="0" w:line="259" w:lineRule="auto"/>
              <w:ind w:left="0" w:right="0" w:firstLine="0"/>
              <w:jc w:val="center"/>
            </w:pPr>
            <w:r>
              <w:rPr>
                <w:sz w:val="18"/>
              </w:rPr>
              <w:t>ug/L</w:t>
            </w:r>
          </w:p>
        </w:tc>
        <w:tc>
          <w:tcPr>
            <w:tcW w:w="799" w:type="dxa"/>
            <w:tcBorders>
              <w:top w:val="single" w:sz="4" w:space="0" w:color="000000"/>
              <w:left w:val="single" w:sz="12" w:space="0" w:color="000000"/>
              <w:bottom w:val="single" w:sz="4" w:space="0" w:color="000000"/>
              <w:right w:val="single" w:sz="12" w:space="0" w:color="000000"/>
            </w:tcBorders>
          </w:tcPr>
          <w:p w14:paraId="389AC6EE" w14:textId="5FCC7C7E" w:rsidR="00B0429D" w:rsidRDefault="00B0429D" w:rsidP="00D53558">
            <w:pPr>
              <w:spacing w:after="0" w:line="259" w:lineRule="auto"/>
              <w:ind w:left="31" w:right="0" w:firstLine="0"/>
              <w:jc w:val="center"/>
            </w:pPr>
            <w:r>
              <w:rPr>
                <w:sz w:val="18"/>
              </w:rPr>
              <w:t>660</w:t>
            </w:r>
          </w:p>
        </w:tc>
        <w:tc>
          <w:tcPr>
            <w:tcW w:w="787" w:type="dxa"/>
            <w:tcBorders>
              <w:top w:val="single" w:sz="4" w:space="0" w:color="000000"/>
              <w:left w:val="single" w:sz="12" w:space="0" w:color="000000"/>
              <w:bottom w:val="single" w:sz="4" w:space="0" w:color="000000"/>
              <w:right w:val="single" w:sz="12" w:space="0" w:color="000000"/>
            </w:tcBorders>
          </w:tcPr>
          <w:p w14:paraId="24CE6C15" w14:textId="42D0CD9B" w:rsidR="00B0429D" w:rsidRDefault="00B0429D" w:rsidP="00D53558">
            <w:pPr>
              <w:spacing w:after="0" w:line="259" w:lineRule="auto"/>
              <w:ind w:left="0" w:right="0" w:firstLine="0"/>
              <w:jc w:val="center"/>
            </w:pPr>
            <w:r>
              <w:rPr>
                <w:rFonts w:eastAsia="Segoe UI Symbol"/>
                <w:sz w:val="18"/>
              </w:rPr>
              <w:t>u</w:t>
            </w:r>
            <w:r>
              <w:rPr>
                <w:sz w:val="18"/>
              </w:rPr>
              <w:t>g/kg</w:t>
            </w:r>
          </w:p>
        </w:tc>
        <w:tc>
          <w:tcPr>
            <w:tcW w:w="453" w:type="dxa"/>
            <w:tcBorders>
              <w:top w:val="single" w:sz="4" w:space="0" w:color="000000"/>
              <w:left w:val="single" w:sz="12" w:space="0" w:color="000000"/>
              <w:bottom w:val="single" w:sz="4" w:space="0" w:color="000000"/>
              <w:right w:val="single" w:sz="12" w:space="0" w:color="000000"/>
            </w:tcBorders>
          </w:tcPr>
          <w:p w14:paraId="1E153062" w14:textId="5F6C995C" w:rsidR="00B0429D" w:rsidRDefault="00B0429D" w:rsidP="00D53558">
            <w:pPr>
              <w:spacing w:after="0" w:line="259" w:lineRule="auto"/>
              <w:ind w:left="0" w:right="0" w:firstLine="0"/>
              <w:jc w:val="center"/>
            </w:pPr>
          </w:p>
        </w:tc>
        <w:tc>
          <w:tcPr>
            <w:tcW w:w="527" w:type="dxa"/>
            <w:tcBorders>
              <w:top w:val="single" w:sz="4" w:space="0" w:color="000000"/>
              <w:left w:val="single" w:sz="12" w:space="0" w:color="000000"/>
              <w:bottom w:val="single" w:sz="4" w:space="0" w:color="000000"/>
              <w:right w:val="single" w:sz="12" w:space="0" w:color="000000"/>
            </w:tcBorders>
          </w:tcPr>
          <w:p w14:paraId="2DEDCF68" w14:textId="64444765" w:rsidR="00B0429D" w:rsidRDefault="00B0429D" w:rsidP="00D53558">
            <w:pPr>
              <w:spacing w:after="0" w:line="259" w:lineRule="auto"/>
              <w:ind w:left="7" w:right="0" w:firstLine="0"/>
              <w:jc w:val="center"/>
            </w:pPr>
          </w:p>
        </w:tc>
        <w:tc>
          <w:tcPr>
            <w:tcW w:w="435" w:type="dxa"/>
            <w:tcBorders>
              <w:top w:val="single" w:sz="4" w:space="0" w:color="000000"/>
              <w:left w:val="single" w:sz="12" w:space="0" w:color="000000"/>
              <w:bottom w:val="single" w:sz="4" w:space="0" w:color="000000"/>
              <w:right w:val="single" w:sz="12" w:space="0" w:color="000000"/>
            </w:tcBorders>
          </w:tcPr>
          <w:p w14:paraId="173A9E47" w14:textId="2A73D9E4" w:rsidR="00B0429D" w:rsidRDefault="00B0429D" w:rsidP="00D53558">
            <w:pPr>
              <w:spacing w:after="0" w:line="259" w:lineRule="auto"/>
              <w:ind w:left="4" w:right="0" w:firstLine="0"/>
              <w:jc w:val="center"/>
            </w:pPr>
          </w:p>
        </w:tc>
        <w:tc>
          <w:tcPr>
            <w:tcW w:w="878" w:type="dxa"/>
            <w:tcBorders>
              <w:top w:val="single" w:sz="4" w:space="0" w:color="000000"/>
              <w:left w:val="single" w:sz="12" w:space="0" w:color="000000"/>
              <w:bottom w:val="single" w:sz="4" w:space="0" w:color="000000"/>
              <w:right w:val="single" w:sz="12" w:space="0" w:color="000000"/>
            </w:tcBorders>
          </w:tcPr>
          <w:p w14:paraId="3ED6C6EF" w14:textId="397ABE65" w:rsidR="00B0429D" w:rsidRDefault="00B0429D" w:rsidP="00D53558">
            <w:pPr>
              <w:spacing w:after="0" w:line="259" w:lineRule="auto"/>
              <w:ind w:left="0" w:right="36" w:firstLine="0"/>
              <w:jc w:val="center"/>
            </w:pPr>
            <w:r>
              <w:rPr>
                <w:sz w:val="18"/>
              </w:rPr>
              <w:t>8321</w:t>
            </w:r>
          </w:p>
        </w:tc>
        <w:tc>
          <w:tcPr>
            <w:tcW w:w="717" w:type="dxa"/>
            <w:tcBorders>
              <w:top w:val="single" w:sz="4" w:space="0" w:color="000000"/>
              <w:left w:val="single" w:sz="12" w:space="0" w:color="000000"/>
              <w:bottom w:val="single" w:sz="4" w:space="0" w:color="000000"/>
              <w:right w:val="single" w:sz="12" w:space="0" w:color="000000"/>
            </w:tcBorders>
          </w:tcPr>
          <w:p w14:paraId="509AA10E" w14:textId="34E6F5DE" w:rsidR="00B0429D" w:rsidRDefault="00B0429D" w:rsidP="009F7CFC">
            <w:pPr>
              <w:spacing w:after="0" w:line="259" w:lineRule="auto"/>
              <w:ind w:left="9" w:right="0" w:firstLine="0"/>
            </w:pPr>
          </w:p>
        </w:tc>
        <w:tc>
          <w:tcPr>
            <w:tcW w:w="433" w:type="dxa"/>
            <w:tcBorders>
              <w:top w:val="single" w:sz="4" w:space="0" w:color="000000"/>
              <w:left w:val="single" w:sz="12" w:space="0" w:color="000000"/>
              <w:bottom w:val="single" w:sz="4" w:space="0" w:color="000000"/>
              <w:right w:val="single" w:sz="12" w:space="0" w:color="000000"/>
            </w:tcBorders>
          </w:tcPr>
          <w:p w14:paraId="572174F2" w14:textId="1B7322F0" w:rsidR="00B0429D" w:rsidRDefault="00B0429D" w:rsidP="009F7CFC">
            <w:pPr>
              <w:spacing w:after="0" w:line="259" w:lineRule="auto"/>
              <w:ind w:left="9" w:right="0" w:firstLine="0"/>
              <w:jc w:val="center"/>
            </w:pPr>
          </w:p>
        </w:tc>
      </w:tr>
      <w:tr w:rsidR="00B0429D" w14:paraId="24D4D321" w14:textId="77777777" w:rsidTr="00C23B62">
        <w:trPr>
          <w:trHeight w:val="250"/>
        </w:trPr>
        <w:tc>
          <w:tcPr>
            <w:tcW w:w="3201" w:type="dxa"/>
            <w:tcBorders>
              <w:top w:val="single" w:sz="4" w:space="0" w:color="000000"/>
              <w:left w:val="single" w:sz="12" w:space="0" w:color="000000"/>
              <w:bottom w:val="single" w:sz="4" w:space="0" w:color="000000"/>
              <w:right w:val="single" w:sz="12" w:space="0" w:color="000000"/>
            </w:tcBorders>
          </w:tcPr>
          <w:p w14:paraId="6DF81DA1" w14:textId="77777777" w:rsidR="00B0429D" w:rsidRDefault="00B0429D" w:rsidP="00482150">
            <w:pPr>
              <w:spacing w:after="0" w:line="259" w:lineRule="auto"/>
              <w:ind w:left="43" w:right="0" w:firstLine="0"/>
            </w:pPr>
            <w:r>
              <w:rPr>
                <w:sz w:val="18"/>
              </w:rPr>
              <w:t xml:space="preserve">Strychnine </w:t>
            </w:r>
          </w:p>
        </w:tc>
        <w:tc>
          <w:tcPr>
            <w:tcW w:w="1056" w:type="dxa"/>
            <w:tcBorders>
              <w:top w:val="single" w:sz="4" w:space="0" w:color="000000"/>
              <w:left w:val="single" w:sz="12" w:space="0" w:color="000000"/>
              <w:bottom w:val="single" w:sz="4" w:space="0" w:color="000000"/>
              <w:right w:val="single" w:sz="12" w:space="0" w:color="000000"/>
            </w:tcBorders>
          </w:tcPr>
          <w:p w14:paraId="629590D0" w14:textId="61D90675" w:rsidR="00B0429D" w:rsidRDefault="00B0429D" w:rsidP="00D53558">
            <w:pPr>
              <w:spacing w:after="0" w:line="259" w:lineRule="auto"/>
              <w:ind w:left="0" w:right="35" w:firstLine="0"/>
              <w:jc w:val="center"/>
            </w:pPr>
            <w:r>
              <w:rPr>
                <w:sz w:val="18"/>
              </w:rPr>
              <w:t>57-24-9</w:t>
            </w:r>
          </w:p>
        </w:tc>
        <w:tc>
          <w:tcPr>
            <w:tcW w:w="693" w:type="dxa"/>
            <w:tcBorders>
              <w:top w:val="single" w:sz="4" w:space="0" w:color="000000"/>
              <w:left w:val="single" w:sz="12" w:space="0" w:color="000000"/>
              <w:bottom w:val="single" w:sz="4" w:space="0" w:color="000000"/>
              <w:right w:val="single" w:sz="12" w:space="0" w:color="000000"/>
            </w:tcBorders>
          </w:tcPr>
          <w:p w14:paraId="1EE167FC" w14:textId="2B100A22" w:rsidR="00B0429D" w:rsidRDefault="00B0429D" w:rsidP="00D53558">
            <w:pPr>
              <w:spacing w:after="0" w:line="259" w:lineRule="auto"/>
              <w:ind w:left="0" w:right="37" w:firstLine="0"/>
              <w:jc w:val="center"/>
            </w:pPr>
            <w:r>
              <w:rPr>
                <w:sz w:val="18"/>
              </w:rPr>
              <w:t>40</w:t>
            </w:r>
          </w:p>
        </w:tc>
        <w:tc>
          <w:tcPr>
            <w:tcW w:w="551" w:type="dxa"/>
            <w:tcBorders>
              <w:top w:val="single" w:sz="4" w:space="0" w:color="000000"/>
              <w:left w:val="single" w:sz="12" w:space="0" w:color="000000"/>
              <w:bottom w:val="single" w:sz="4" w:space="0" w:color="000000"/>
              <w:right w:val="single" w:sz="12" w:space="0" w:color="000000"/>
            </w:tcBorders>
          </w:tcPr>
          <w:p w14:paraId="485F0204" w14:textId="216195FE" w:rsidR="00B0429D" w:rsidRDefault="00B0429D" w:rsidP="00D53558">
            <w:pPr>
              <w:spacing w:after="0" w:line="259" w:lineRule="auto"/>
              <w:ind w:left="0" w:right="0" w:firstLine="0"/>
              <w:jc w:val="center"/>
            </w:pPr>
            <w:r>
              <w:rPr>
                <w:sz w:val="18"/>
              </w:rPr>
              <w:t>ug/L</w:t>
            </w:r>
          </w:p>
        </w:tc>
        <w:tc>
          <w:tcPr>
            <w:tcW w:w="799" w:type="dxa"/>
            <w:tcBorders>
              <w:top w:val="single" w:sz="4" w:space="0" w:color="000000"/>
              <w:left w:val="single" w:sz="12" w:space="0" w:color="000000"/>
              <w:bottom w:val="single" w:sz="4" w:space="0" w:color="000000"/>
              <w:right w:val="single" w:sz="12" w:space="0" w:color="000000"/>
            </w:tcBorders>
          </w:tcPr>
          <w:p w14:paraId="7FDD3AA0" w14:textId="20A01115" w:rsidR="00B0429D" w:rsidRDefault="00B0429D" w:rsidP="00D53558">
            <w:pPr>
              <w:spacing w:after="0" w:line="259" w:lineRule="auto"/>
              <w:ind w:left="98" w:right="0" w:firstLine="0"/>
              <w:jc w:val="center"/>
            </w:pPr>
            <w:r>
              <w:rPr>
                <w:sz w:val="18"/>
              </w:rPr>
              <w:t>2600</w:t>
            </w:r>
          </w:p>
        </w:tc>
        <w:tc>
          <w:tcPr>
            <w:tcW w:w="787" w:type="dxa"/>
            <w:tcBorders>
              <w:top w:val="single" w:sz="4" w:space="0" w:color="000000"/>
              <w:left w:val="single" w:sz="12" w:space="0" w:color="000000"/>
              <w:bottom w:val="single" w:sz="4" w:space="0" w:color="000000"/>
              <w:right w:val="single" w:sz="12" w:space="0" w:color="000000"/>
            </w:tcBorders>
          </w:tcPr>
          <w:p w14:paraId="651F10E5" w14:textId="54FAE551" w:rsidR="00B0429D" w:rsidRDefault="00B0429D" w:rsidP="00D53558">
            <w:pPr>
              <w:spacing w:after="0" w:line="259" w:lineRule="auto"/>
              <w:ind w:left="0" w:right="0" w:firstLine="0"/>
              <w:jc w:val="center"/>
            </w:pPr>
            <w:r>
              <w:rPr>
                <w:rFonts w:eastAsia="Segoe UI Symbol"/>
                <w:sz w:val="18"/>
              </w:rPr>
              <w:t>u</w:t>
            </w:r>
            <w:r>
              <w:rPr>
                <w:sz w:val="18"/>
              </w:rPr>
              <w:t>g/kg</w:t>
            </w:r>
          </w:p>
        </w:tc>
        <w:tc>
          <w:tcPr>
            <w:tcW w:w="453" w:type="dxa"/>
            <w:tcBorders>
              <w:top w:val="single" w:sz="4" w:space="0" w:color="000000"/>
              <w:left w:val="single" w:sz="12" w:space="0" w:color="000000"/>
              <w:bottom w:val="single" w:sz="4" w:space="0" w:color="000000"/>
              <w:right w:val="single" w:sz="12" w:space="0" w:color="000000"/>
            </w:tcBorders>
          </w:tcPr>
          <w:p w14:paraId="73D81C4C" w14:textId="37C3EA5F" w:rsidR="00B0429D" w:rsidRDefault="00B0429D" w:rsidP="006F0F07">
            <w:pPr>
              <w:spacing w:after="0" w:line="259" w:lineRule="auto"/>
              <w:ind w:left="0" w:right="0" w:firstLine="0"/>
              <w:jc w:val="center"/>
            </w:pPr>
            <w:r>
              <w:rPr>
                <w:sz w:val="18"/>
              </w:rPr>
              <w:t>X</w:t>
            </w:r>
          </w:p>
        </w:tc>
        <w:tc>
          <w:tcPr>
            <w:tcW w:w="527" w:type="dxa"/>
            <w:tcBorders>
              <w:top w:val="single" w:sz="4" w:space="0" w:color="000000"/>
              <w:left w:val="single" w:sz="12" w:space="0" w:color="000000"/>
              <w:bottom w:val="single" w:sz="4" w:space="0" w:color="000000"/>
              <w:right w:val="single" w:sz="12" w:space="0" w:color="000000"/>
            </w:tcBorders>
          </w:tcPr>
          <w:p w14:paraId="44C27A28" w14:textId="720301B8" w:rsidR="00B0429D" w:rsidRDefault="00B0429D" w:rsidP="00D53558">
            <w:pPr>
              <w:spacing w:after="0" w:line="259" w:lineRule="auto"/>
              <w:ind w:left="7" w:right="0" w:firstLine="0"/>
              <w:jc w:val="center"/>
            </w:pPr>
          </w:p>
        </w:tc>
        <w:tc>
          <w:tcPr>
            <w:tcW w:w="435" w:type="dxa"/>
            <w:tcBorders>
              <w:top w:val="single" w:sz="4" w:space="0" w:color="000000"/>
              <w:left w:val="single" w:sz="12" w:space="0" w:color="000000"/>
              <w:bottom w:val="single" w:sz="4" w:space="0" w:color="000000"/>
              <w:right w:val="single" w:sz="12" w:space="0" w:color="000000"/>
            </w:tcBorders>
          </w:tcPr>
          <w:p w14:paraId="73D535C2" w14:textId="7865ED6C" w:rsidR="00B0429D" w:rsidRDefault="00B0429D" w:rsidP="00D53558">
            <w:pPr>
              <w:spacing w:after="0" w:line="259" w:lineRule="auto"/>
              <w:ind w:left="4" w:right="0" w:firstLine="0"/>
              <w:jc w:val="center"/>
            </w:pPr>
          </w:p>
        </w:tc>
        <w:tc>
          <w:tcPr>
            <w:tcW w:w="878" w:type="dxa"/>
            <w:tcBorders>
              <w:top w:val="single" w:sz="4" w:space="0" w:color="000000"/>
              <w:left w:val="single" w:sz="12" w:space="0" w:color="000000"/>
              <w:bottom w:val="single" w:sz="4" w:space="0" w:color="000000"/>
              <w:right w:val="single" w:sz="12" w:space="0" w:color="000000"/>
            </w:tcBorders>
          </w:tcPr>
          <w:p w14:paraId="557C3C86" w14:textId="14EB9225" w:rsidR="00B0429D" w:rsidRDefault="00B0429D" w:rsidP="00D53558">
            <w:pPr>
              <w:spacing w:after="0" w:line="259" w:lineRule="auto"/>
              <w:ind w:left="0" w:right="36" w:firstLine="0"/>
              <w:jc w:val="center"/>
            </w:pPr>
            <w:r>
              <w:rPr>
                <w:sz w:val="18"/>
              </w:rPr>
              <w:t>8321</w:t>
            </w:r>
          </w:p>
        </w:tc>
        <w:tc>
          <w:tcPr>
            <w:tcW w:w="717" w:type="dxa"/>
            <w:tcBorders>
              <w:top w:val="single" w:sz="4" w:space="0" w:color="000000"/>
              <w:left w:val="single" w:sz="12" w:space="0" w:color="000000"/>
              <w:bottom w:val="single" w:sz="4" w:space="0" w:color="000000"/>
              <w:right w:val="single" w:sz="12" w:space="0" w:color="000000"/>
            </w:tcBorders>
          </w:tcPr>
          <w:p w14:paraId="1A2AD3FF" w14:textId="7952328E" w:rsidR="00B0429D" w:rsidRDefault="00B0429D" w:rsidP="009F7CFC">
            <w:pPr>
              <w:spacing w:after="0" w:line="259" w:lineRule="auto"/>
              <w:ind w:left="79" w:right="0" w:firstLine="0"/>
            </w:pPr>
            <w:r>
              <w:rPr>
                <w:sz w:val="18"/>
              </w:rPr>
              <w:t>8270</w:t>
            </w:r>
          </w:p>
        </w:tc>
        <w:tc>
          <w:tcPr>
            <w:tcW w:w="433" w:type="dxa"/>
            <w:tcBorders>
              <w:top w:val="single" w:sz="4" w:space="0" w:color="000000"/>
              <w:left w:val="single" w:sz="12" w:space="0" w:color="000000"/>
              <w:bottom w:val="single" w:sz="4" w:space="0" w:color="000000"/>
              <w:right w:val="single" w:sz="12" w:space="0" w:color="000000"/>
            </w:tcBorders>
          </w:tcPr>
          <w:p w14:paraId="7813A604" w14:textId="616A6832" w:rsidR="00B0429D" w:rsidRDefault="00B0429D" w:rsidP="009F7CFC">
            <w:pPr>
              <w:spacing w:after="0" w:line="259" w:lineRule="auto"/>
              <w:ind w:left="9" w:right="0" w:firstLine="0"/>
              <w:jc w:val="center"/>
            </w:pPr>
          </w:p>
        </w:tc>
      </w:tr>
      <w:tr w:rsidR="00B0429D" w14:paraId="53B22B09" w14:textId="77777777" w:rsidTr="00C23B62">
        <w:trPr>
          <w:trHeight w:val="250"/>
        </w:trPr>
        <w:tc>
          <w:tcPr>
            <w:tcW w:w="3201" w:type="dxa"/>
            <w:tcBorders>
              <w:top w:val="single" w:sz="4" w:space="0" w:color="000000"/>
              <w:left w:val="single" w:sz="12" w:space="0" w:color="000000"/>
              <w:bottom w:val="single" w:sz="4" w:space="0" w:color="000000"/>
              <w:right w:val="single" w:sz="12" w:space="0" w:color="000000"/>
            </w:tcBorders>
          </w:tcPr>
          <w:p w14:paraId="13B44D37" w14:textId="77777777" w:rsidR="00B0429D" w:rsidRDefault="00B0429D" w:rsidP="00482150">
            <w:pPr>
              <w:spacing w:after="0" w:line="259" w:lineRule="auto"/>
              <w:ind w:left="43" w:right="0" w:firstLine="0"/>
            </w:pPr>
            <w:proofErr w:type="spellStart"/>
            <w:r>
              <w:rPr>
                <w:sz w:val="18"/>
              </w:rPr>
              <w:t>Tebuthiuron</w:t>
            </w:r>
            <w:proofErr w:type="spellEnd"/>
            <w:r>
              <w:rPr>
                <w:sz w:val="18"/>
              </w:rPr>
              <w:t xml:space="preserve"> </w:t>
            </w:r>
          </w:p>
        </w:tc>
        <w:tc>
          <w:tcPr>
            <w:tcW w:w="1056" w:type="dxa"/>
            <w:tcBorders>
              <w:top w:val="single" w:sz="4" w:space="0" w:color="000000"/>
              <w:left w:val="single" w:sz="12" w:space="0" w:color="000000"/>
              <w:bottom w:val="single" w:sz="4" w:space="0" w:color="000000"/>
              <w:right w:val="single" w:sz="12" w:space="0" w:color="000000"/>
            </w:tcBorders>
          </w:tcPr>
          <w:p w14:paraId="0703019D" w14:textId="00D37701" w:rsidR="00B0429D" w:rsidRDefault="00B0429D" w:rsidP="00D53558">
            <w:pPr>
              <w:spacing w:after="0" w:line="259" w:lineRule="auto"/>
              <w:ind w:left="0" w:right="35" w:firstLine="0"/>
              <w:jc w:val="center"/>
            </w:pPr>
            <w:r>
              <w:rPr>
                <w:sz w:val="18"/>
              </w:rPr>
              <w:t>34014-18-1</w:t>
            </w:r>
          </w:p>
        </w:tc>
        <w:tc>
          <w:tcPr>
            <w:tcW w:w="693" w:type="dxa"/>
            <w:tcBorders>
              <w:top w:val="single" w:sz="4" w:space="0" w:color="000000"/>
              <w:left w:val="single" w:sz="12" w:space="0" w:color="000000"/>
              <w:bottom w:val="single" w:sz="4" w:space="0" w:color="000000"/>
              <w:right w:val="single" w:sz="12" w:space="0" w:color="000000"/>
            </w:tcBorders>
          </w:tcPr>
          <w:p w14:paraId="19619437" w14:textId="461D2AA2" w:rsidR="00B0429D" w:rsidRDefault="00B0429D" w:rsidP="00D53558">
            <w:pPr>
              <w:spacing w:after="0" w:line="259" w:lineRule="auto"/>
              <w:ind w:left="0" w:right="37" w:firstLine="0"/>
              <w:jc w:val="center"/>
            </w:pPr>
            <w:r>
              <w:rPr>
                <w:sz w:val="18"/>
              </w:rPr>
              <w:t>200</w:t>
            </w:r>
          </w:p>
        </w:tc>
        <w:tc>
          <w:tcPr>
            <w:tcW w:w="551" w:type="dxa"/>
            <w:tcBorders>
              <w:top w:val="single" w:sz="4" w:space="0" w:color="000000"/>
              <w:left w:val="single" w:sz="12" w:space="0" w:color="000000"/>
              <w:bottom w:val="single" w:sz="4" w:space="0" w:color="000000"/>
              <w:right w:val="single" w:sz="12" w:space="0" w:color="000000"/>
            </w:tcBorders>
          </w:tcPr>
          <w:p w14:paraId="4F7FD3F4" w14:textId="4A2C34AF" w:rsidR="00B0429D" w:rsidRDefault="00B0429D" w:rsidP="00D53558">
            <w:pPr>
              <w:spacing w:after="0" w:line="259" w:lineRule="auto"/>
              <w:ind w:left="0" w:right="0" w:firstLine="0"/>
              <w:jc w:val="center"/>
            </w:pPr>
            <w:r>
              <w:rPr>
                <w:sz w:val="18"/>
              </w:rPr>
              <w:t>ug/L</w:t>
            </w:r>
          </w:p>
        </w:tc>
        <w:tc>
          <w:tcPr>
            <w:tcW w:w="799" w:type="dxa"/>
            <w:tcBorders>
              <w:top w:val="single" w:sz="4" w:space="0" w:color="000000"/>
              <w:left w:val="single" w:sz="12" w:space="0" w:color="000000"/>
              <w:bottom w:val="single" w:sz="4" w:space="0" w:color="000000"/>
              <w:right w:val="single" w:sz="12" w:space="0" w:color="000000"/>
            </w:tcBorders>
          </w:tcPr>
          <w:p w14:paraId="75F3068A" w14:textId="0CD19D68" w:rsidR="00B0429D" w:rsidRDefault="00B0429D" w:rsidP="00D53558">
            <w:pPr>
              <w:spacing w:after="0" w:line="259" w:lineRule="auto"/>
              <w:ind w:left="31" w:right="0" w:firstLine="0"/>
              <w:jc w:val="center"/>
            </w:pPr>
            <w:r>
              <w:rPr>
                <w:sz w:val="18"/>
              </w:rPr>
              <w:t>13000</w:t>
            </w:r>
          </w:p>
        </w:tc>
        <w:tc>
          <w:tcPr>
            <w:tcW w:w="787" w:type="dxa"/>
            <w:tcBorders>
              <w:top w:val="single" w:sz="4" w:space="0" w:color="000000"/>
              <w:left w:val="single" w:sz="12" w:space="0" w:color="000000"/>
              <w:bottom w:val="single" w:sz="4" w:space="0" w:color="000000"/>
              <w:right w:val="single" w:sz="12" w:space="0" w:color="000000"/>
            </w:tcBorders>
          </w:tcPr>
          <w:p w14:paraId="074EC03E" w14:textId="02295679" w:rsidR="00B0429D" w:rsidRDefault="00B0429D" w:rsidP="00D53558">
            <w:pPr>
              <w:spacing w:after="0" w:line="259" w:lineRule="auto"/>
              <w:ind w:left="0" w:right="0" w:firstLine="0"/>
              <w:jc w:val="center"/>
            </w:pPr>
            <w:r>
              <w:rPr>
                <w:rFonts w:eastAsia="Segoe UI Symbol"/>
                <w:sz w:val="18"/>
              </w:rPr>
              <w:t>u</w:t>
            </w:r>
            <w:r>
              <w:rPr>
                <w:sz w:val="18"/>
              </w:rPr>
              <w:t>g/kg</w:t>
            </w:r>
          </w:p>
        </w:tc>
        <w:tc>
          <w:tcPr>
            <w:tcW w:w="453" w:type="dxa"/>
            <w:tcBorders>
              <w:top w:val="single" w:sz="4" w:space="0" w:color="000000"/>
              <w:left w:val="single" w:sz="12" w:space="0" w:color="000000"/>
              <w:bottom w:val="single" w:sz="4" w:space="0" w:color="000000"/>
              <w:right w:val="single" w:sz="12" w:space="0" w:color="000000"/>
            </w:tcBorders>
          </w:tcPr>
          <w:p w14:paraId="7331B169" w14:textId="1CEDF458" w:rsidR="00B0429D" w:rsidRDefault="00B0429D" w:rsidP="00D53558">
            <w:pPr>
              <w:spacing w:after="0" w:line="259" w:lineRule="auto"/>
              <w:ind w:left="0" w:right="0" w:firstLine="0"/>
              <w:jc w:val="center"/>
            </w:pPr>
          </w:p>
        </w:tc>
        <w:tc>
          <w:tcPr>
            <w:tcW w:w="527" w:type="dxa"/>
            <w:tcBorders>
              <w:top w:val="single" w:sz="4" w:space="0" w:color="000000"/>
              <w:left w:val="single" w:sz="12" w:space="0" w:color="000000"/>
              <w:bottom w:val="single" w:sz="4" w:space="0" w:color="000000"/>
              <w:right w:val="single" w:sz="12" w:space="0" w:color="000000"/>
            </w:tcBorders>
          </w:tcPr>
          <w:p w14:paraId="546FED66" w14:textId="6FC3947B" w:rsidR="00B0429D" w:rsidRDefault="00B0429D" w:rsidP="00D53558">
            <w:pPr>
              <w:spacing w:after="0" w:line="259" w:lineRule="auto"/>
              <w:ind w:left="7" w:right="0" w:firstLine="0"/>
              <w:jc w:val="center"/>
            </w:pPr>
          </w:p>
        </w:tc>
        <w:tc>
          <w:tcPr>
            <w:tcW w:w="435" w:type="dxa"/>
            <w:tcBorders>
              <w:top w:val="single" w:sz="4" w:space="0" w:color="000000"/>
              <w:left w:val="single" w:sz="12" w:space="0" w:color="000000"/>
              <w:bottom w:val="single" w:sz="4" w:space="0" w:color="000000"/>
              <w:right w:val="single" w:sz="12" w:space="0" w:color="000000"/>
            </w:tcBorders>
          </w:tcPr>
          <w:p w14:paraId="64F33D64" w14:textId="3D241B95" w:rsidR="00B0429D" w:rsidRDefault="00B0429D" w:rsidP="00D53558">
            <w:pPr>
              <w:spacing w:after="0" w:line="259" w:lineRule="auto"/>
              <w:ind w:left="4" w:right="0" w:firstLine="0"/>
              <w:jc w:val="center"/>
            </w:pPr>
          </w:p>
        </w:tc>
        <w:tc>
          <w:tcPr>
            <w:tcW w:w="878" w:type="dxa"/>
            <w:tcBorders>
              <w:top w:val="single" w:sz="4" w:space="0" w:color="000000"/>
              <w:left w:val="single" w:sz="12" w:space="0" w:color="000000"/>
              <w:bottom w:val="single" w:sz="4" w:space="0" w:color="000000"/>
              <w:right w:val="single" w:sz="12" w:space="0" w:color="000000"/>
            </w:tcBorders>
          </w:tcPr>
          <w:p w14:paraId="62870F46" w14:textId="2D43085C" w:rsidR="00B0429D" w:rsidRDefault="00B0429D" w:rsidP="00D53558">
            <w:pPr>
              <w:spacing w:after="0" w:line="259" w:lineRule="auto"/>
              <w:ind w:left="0" w:right="36" w:firstLine="0"/>
              <w:jc w:val="center"/>
            </w:pPr>
            <w:r>
              <w:rPr>
                <w:sz w:val="18"/>
              </w:rPr>
              <w:t>8321</w:t>
            </w:r>
          </w:p>
        </w:tc>
        <w:tc>
          <w:tcPr>
            <w:tcW w:w="717" w:type="dxa"/>
            <w:tcBorders>
              <w:top w:val="single" w:sz="4" w:space="0" w:color="000000"/>
              <w:left w:val="single" w:sz="12" w:space="0" w:color="000000"/>
              <w:bottom w:val="single" w:sz="4" w:space="0" w:color="000000"/>
              <w:right w:val="single" w:sz="12" w:space="0" w:color="000000"/>
            </w:tcBorders>
          </w:tcPr>
          <w:p w14:paraId="7261EA7C" w14:textId="7FA4741B" w:rsidR="00B0429D" w:rsidRDefault="00B0429D" w:rsidP="009F7CFC">
            <w:pPr>
              <w:spacing w:after="0" w:line="259" w:lineRule="auto"/>
              <w:ind w:left="9" w:right="0" w:firstLine="0"/>
            </w:pPr>
          </w:p>
        </w:tc>
        <w:tc>
          <w:tcPr>
            <w:tcW w:w="433" w:type="dxa"/>
            <w:tcBorders>
              <w:top w:val="single" w:sz="4" w:space="0" w:color="000000"/>
              <w:left w:val="single" w:sz="12" w:space="0" w:color="000000"/>
              <w:bottom w:val="single" w:sz="4" w:space="0" w:color="000000"/>
              <w:right w:val="single" w:sz="12" w:space="0" w:color="000000"/>
            </w:tcBorders>
          </w:tcPr>
          <w:p w14:paraId="316D9321" w14:textId="630722F9" w:rsidR="00B0429D" w:rsidRDefault="00B0429D" w:rsidP="009F7CFC">
            <w:pPr>
              <w:spacing w:after="0" w:line="259" w:lineRule="auto"/>
              <w:ind w:left="9" w:right="0" w:firstLine="0"/>
              <w:jc w:val="center"/>
            </w:pPr>
          </w:p>
        </w:tc>
      </w:tr>
      <w:tr w:rsidR="00B0429D" w14:paraId="7C801FCD" w14:textId="77777777" w:rsidTr="00C23B62">
        <w:trPr>
          <w:trHeight w:val="250"/>
        </w:trPr>
        <w:tc>
          <w:tcPr>
            <w:tcW w:w="3201" w:type="dxa"/>
            <w:tcBorders>
              <w:top w:val="single" w:sz="4" w:space="0" w:color="000000"/>
              <w:left w:val="single" w:sz="12" w:space="0" w:color="000000"/>
              <w:bottom w:val="single" w:sz="4" w:space="0" w:color="000000"/>
              <w:right w:val="single" w:sz="12" w:space="0" w:color="000000"/>
            </w:tcBorders>
          </w:tcPr>
          <w:p w14:paraId="7529CE22" w14:textId="77777777" w:rsidR="00B0429D" w:rsidRDefault="00B0429D" w:rsidP="00482150">
            <w:pPr>
              <w:spacing w:after="0" w:line="259" w:lineRule="auto"/>
              <w:ind w:left="43" w:right="0" w:firstLine="0"/>
            </w:pPr>
            <w:proofErr w:type="spellStart"/>
            <w:r>
              <w:rPr>
                <w:sz w:val="18"/>
              </w:rPr>
              <w:t>Thiofanox</w:t>
            </w:r>
            <w:proofErr w:type="spellEnd"/>
            <w:r>
              <w:rPr>
                <w:sz w:val="18"/>
              </w:rPr>
              <w:t xml:space="preserve">  </w:t>
            </w:r>
          </w:p>
        </w:tc>
        <w:tc>
          <w:tcPr>
            <w:tcW w:w="1056" w:type="dxa"/>
            <w:tcBorders>
              <w:top w:val="single" w:sz="4" w:space="0" w:color="000000"/>
              <w:left w:val="single" w:sz="12" w:space="0" w:color="000000"/>
              <w:bottom w:val="single" w:sz="4" w:space="0" w:color="000000"/>
              <w:right w:val="single" w:sz="12" w:space="0" w:color="000000"/>
            </w:tcBorders>
          </w:tcPr>
          <w:p w14:paraId="5FD5F4B2" w14:textId="4B890F72" w:rsidR="00B0429D" w:rsidRDefault="00B0429D" w:rsidP="00D53558">
            <w:pPr>
              <w:spacing w:after="0" w:line="259" w:lineRule="auto"/>
              <w:ind w:left="0" w:right="35" w:firstLine="0"/>
              <w:jc w:val="center"/>
            </w:pPr>
            <w:r>
              <w:rPr>
                <w:sz w:val="18"/>
              </w:rPr>
              <w:t>39196-18-4</w:t>
            </w:r>
          </w:p>
        </w:tc>
        <w:tc>
          <w:tcPr>
            <w:tcW w:w="693" w:type="dxa"/>
            <w:tcBorders>
              <w:top w:val="single" w:sz="4" w:space="0" w:color="000000"/>
              <w:left w:val="single" w:sz="12" w:space="0" w:color="000000"/>
              <w:bottom w:val="single" w:sz="4" w:space="0" w:color="000000"/>
              <w:right w:val="single" w:sz="12" w:space="0" w:color="000000"/>
            </w:tcBorders>
          </w:tcPr>
          <w:p w14:paraId="2E1944BB" w14:textId="23D58B57" w:rsidR="00B0429D" w:rsidRDefault="00B0429D" w:rsidP="00D53558">
            <w:pPr>
              <w:spacing w:after="0" w:line="259" w:lineRule="auto"/>
              <w:ind w:left="0" w:right="37" w:firstLine="0"/>
              <w:jc w:val="center"/>
            </w:pPr>
            <w:r>
              <w:rPr>
                <w:sz w:val="18"/>
              </w:rPr>
              <w:t>5</w:t>
            </w:r>
          </w:p>
        </w:tc>
        <w:tc>
          <w:tcPr>
            <w:tcW w:w="551" w:type="dxa"/>
            <w:tcBorders>
              <w:top w:val="single" w:sz="4" w:space="0" w:color="000000"/>
              <w:left w:val="single" w:sz="12" w:space="0" w:color="000000"/>
              <w:bottom w:val="single" w:sz="4" w:space="0" w:color="000000"/>
              <w:right w:val="single" w:sz="12" w:space="0" w:color="000000"/>
            </w:tcBorders>
          </w:tcPr>
          <w:p w14:paraId="1A6E7B46" w14:textId="524F5D20" w:rsidR="00B0429D" w:rsidRDefault="00B0429D" w:rsidP="00D53558">
            <w:pPr>
              <w:spacing w:after="0" w:line="259" w:lineRule="auto"/>
              <w:ind w:left="0" w:right="0" w:firstLine="0"/>
              <w:jc w:val="center"/>
            </w:pPr>
            <w:r>
              <w:rPr>
                <w:sz w:val="18"/>
              </w:rPr>
              <w:t>ug/L</w:t>
            </w:r>
          </w:p>
        </w:tc>
        <w:tc>
          <w:tcPr>
            <w:tcW w:w="799" w:type="dxa"/>
            <w:tcBorders>
              <w:top w:val="single" w:sz="4" w:space="0" w:color="000000"/>
              <w:left w:val="single" w:sz="12" w:space="0" w:color="000000"/>
              <w:bottom w:val="single" w:sz="4" w:space="0" w:color="000000"/>
              <w:right w:val="single" w:sz="12" w:space="0" w:color="000000"/>
            </w:tcBorders>
          </w:tcPr>
          <w:p w14:paraId="1B7BEEE5" w14:textId="49B46A45" w:rsidR="00B0429D" w:rsidRDefault="00B0429D" w:rsidP="00D53558">
            <w:pPr>
              <w:spacing w:after="0" w:line="259" w:lineRule="auto"/>
              <w:ind w:left="31" w:right="0" w:firstLine="0"/>
              <w:jc w:val="center"/>
            </w:pPr>
            <w:r>
              <w:rPr>
                <w:sz w:val="18"/>
              </w:rPr>
              <w:t>660</w:t>
            </w:r>
          </w:p>
        </w:tc>
        <w:tc>
          <w:tcPr>
            <w:tcW w:w="787" w:type="dxa"/>
            <w:tcBorders>
              <w:top w:val="single" w:sz="4" w:space="0" w:color="000000"/>
              <w:left w:val="single" w:sz="12" w:space="0" w:color="000000"/>
              <w:bottom w:val="single" w:sz="4" w:space="0" w:color="000000"/>
              <w:right w:val="single" w:sz="12" w:space="0" w:color="000000"/>
            </w:tcBorders>
          </w:tcPr>
          <w:p w14:paraId="7C887F16" w14:textId="295DA425" w:rsidR="00B0429D" w:rsidRDefault="00B0429D" w:rsidP="00D53558">
            <w:pPr>
              <w:spacing w:after="0" w:line="259" w:lineRule="auto"/>
              <w:ind w:left="0" w:right="0" w:firstLine="0"/>
              <w:jc w:val="center"/>
            </w:pPr>
            <w:r>
              <w:rPr>
                <w:rFonts w:eastAsia="Segoe UI Symbol"/>
                <w:sz w:val="18"/>
              </w:rPr>
              <w:t>u</w:t>
            </w:r>
            <w:r>
              <w:rPr>
                <w:sz w:val="18"/>
              </w:rPr>
              <w:t>g/kg</w:t>
            </w:r>
          </w:p>
        </w:tc>
        <w:tc>
          <w:tcPr>
            <w:tcW w:w="453" w:type="dxa"/>
            <w:tcBorders>
              <w:top w:val="single" w:sz="4" w:space="0" w:color="000000"/>
              <w:left w:val="single" w:sz="12" w:space="0" w:color="000000"/>
              <w:bottom w:val="single" w:sz="4" w:space="0" w:color="000000"/>
              <w:right w:val="single" w:sz="12" w:space="0" w:color="000000"/>
            </w:tcBorders>
          </w:tcPr>
          <w:p w14:paraId="1B805C2A" w14:textId="086EF96F" w:rsidR="00B0429D" w:rsidRDefault="00B0429D" w:rsidP="006F0F07">
            <w:pPr>
              <w:spacing w:after="0" w:line="259" w:lineRule="auto"/>
              <w:ind w:left="0" w:right="0" w:firstLine="0"/>
              <w:jc w:val="center"/>
            </w:pPr>
            <w:r>
              <w:rPr>
                <w:sz w:val="18"/>
              </w:rPr>
              <w:t>X</w:t>
            </w:r>
          </w:p>
        </w:tc>
        <w:tc>
          <w:tcPr>
            <w:tcW w:w="527" w:type="dxa"/>
            <w:tcBorders>
              <w:top w:val="single" w:sz="4" w:space="0" w:color="000000"/>
              <w:left w:val="single" w:sz="12" w:space="0" w:color="000000"/>
              <w:bottom w:val="single" w:sz="4" w:space="0" w:color="000000"/>
              <w:right w:val="single" w:sz="12" w:space="0" w:color="000000"/>
            </w:tcBorders>
          </w:tcPr>
          <w:p w14:paraId="265C83C3" w14:textId="2463D092" w:rsidR="00B0429D" w:rsidRDefault="00B0429D" w:rsidP="00D53558">
            <w:pPr>
              <w:spacing w:after="0" w:line="259" w:lineRule="auto"/>
              <w:ind w:left="7" w:right="0" w:firstLine="0"/>
              <w:jc w:val="center"/>
            </w:pPr>
          </w:p>
        </w:tc>
        <w:tc>
          <w:tcPr>
            <w:tcW w:w="435" w:type="dxa"/>
            <w:tcBorders>
              <w:top w:val="single" w:sz="4" w:space="0" w:color="000000"/>
              <w:left w:val="single" w:sz="12" w:space="0" w:color="000000"/>
              <w:bottom w:val="single" w:sz="4" w:space="0" w:color="000000"/>
              <w:right w:val="single" w:sz="12" w:space="0" w:color="000000"/>
            </w:tcBorders>
          </w:tcPr>
          <w:p w14:paraId="463794C6" w14:textId="24454230" w:rsidR="00B0429D" w:rsidRDefault="00B0429D" w:rsidP="00D53558">
            <w:pPr>
              <w:spacing w:after="0" w:line="259" w:lineRule="auto"/>
              <w:ind w:left="4" w:right="0" w:firstLine="0"/>
              <w:jc w:val="center"/>
            </w:pPr>
          </w:p>
        </w:tc>
        <w:tc>
          <w:tcPr>
            <w:tcW w:w="878" w:type="dxa"/>
            <w:tcBorders>
              <w:top w:val="single" w:sz="4" w:space="0" w:color="000000"/>
              <w:left w:val="single" w:sz="12" w:space="0" w:color="000000"/>
              <w:bottom w:val="single" w:sz="4" w:space="0" w:color="000000"/>
              <w:right w:val="single" w:sz="12" w:space="0" w:color="000000"/>
            </w:tcBorders>
          </w:tcPr>
          <w:p w14:paraId="5D534DF7" w14:textId="2D1633E9" w:rsidR="00B0429D" w:rsidRDefault="00B0429D" w:rsidP="00D53558">
            <w:pPr>
              <w:spacing w:after="0" w:line="259" w:lineRule="auto"/>
              <w:ind w:left="0" w:right="36" w:firstLine="0"/>
              <w:jc w:val="center"/>
            </w:pPr>
            <w:r>
              <w:rPr>
                <w:sz w:val="18"/>
              </w:rPr>
              <w:t>8321</w:t>
            </w:r>
          </w:p>
        </w:tc>
        <w:tc>
          <w:tcPr>
            <w:tcW w:w="717" w:type="dxa"/>
            <w:tcBorders>
              <w:top w:val="single" w:sz="4" w:space="0" w:color="000000"/>
              <w:left w:val="single" w:sz="12" w:space="0" w:color="000000"/>
              <w:bottom w:val="single" w:sz="4" w:space="0" w:color="000000"/>
              <w:right w:val="single" w:sz="12" w:space="0" w:color="000000"/>
            </w:tcBorders>
          </w:tcPr>
          <w:p w14:paraId="5FE2D4FF" w14:textId="1008FA6A" w:rsidR="00B0429D" w:rsidRDefault="00B0429D" w:rsidP="009F7CFC">
            <w:pPr>
              <w:spacing w:after="0" w:line="259" w:lineRule="auto"/>
              <w:ind w:left="9" w:right="0" w:firstLine="0"/>
            </w:pPr>
          </w:p>
        </w:tc>
        <w:tc>
          <w:tcPr>
            <w:tcW w:w="433" w:type="dxa"/>
            <w:tcBorders>
              <w:top w:val="single" w:sz="4" w:space="0" w:color="000000"/>
              <w:left w:val="single" w:sz="12" w:space="0" w:color="000000"/>
              <w:bottom w:val="single" w:sz="4" w:space="0" w:color="000000"/>
              <w:right w:val="single" w:sz="12" w:space="0" w:color="000000"/>
            </w:tcBorders>
          </w:tcPr>
          <w:p w14:paraId="1C12136E" w14:textId="437B7938" w:rsidR="00B0429D" w:rsidRDefault="00B0429D" w:rsidP="009F7CFC">
            <w:pPr>
              <w:spacing w:after="0" w:line="259" w:lineRule="auto"/>
              <w:ind w:left="9" w:right="0" w:firstLine="0"/>
              <w:jc w:val="center"/>
            </w:pPr>
          </w:p>
        </w:tc>
      </w:tr>
      <w:tr w:rsidR="00C84A5D" w14:paraId="39A3C23A" w14:textId="77777777" w:rsidTr="00C23B62">
        <w:trPr>
          <w:trHeight w:val="262"/>
        </w:trPr>
        <w:tc>
          <w:tcPr>
            <w:tcW w:w="3201" w:type="dxa"/>
            <w:tcBorders>
              <w:top w:val="single" w:sz="4" w:space="0" w:color="000000"/>
              <w:left w:val="single" w:sz="12" w:space="0" w:color="000000"/>
              <w:bottom w:val="single" w:sz="12" w:space="0" w:color="000000"/>
              <w:right w:val="single" w:sz="12" w:space="0" w:color="000000"/>
            </w:tcBorders>
          </w:tcPr>
          <w:p w14:paraId="5A50E831" w14:textId="77777777" w:rsidR="00B0429D" w:rsidRDefault="00B0429D" w:rsidP="00482150">
            <w:pPr>
              <w:spacing w:after="0" w:line="259" w:lineRule="auto"/>
              <w:ind w:left="43" w:right="0" w:firstLine="0"/>
            </w:pPr>
            <w:r>
              <w:rPr>
                <w:sz w:val="18"/>
              </w:rPr>
              <w:t xml:space="preserve">Tris(2,3-dibromopropyl) phosphate </w:t>
            </w:r>
          </w:p>
        </w:tc>
        <w:tc>
          <w:tcPr>
            <w:tcW w:w="1056" w:type="dxa"/>
            <w:tcBorders>
              <w:top w:val="single" w:sz="4" w:space="0" w:color="000000"/>
              <w:left w:val="single" w:sz="12" w:space="0" w:color="000000"/>
              <w:bottom w:val="single" w:sz="12" w:space="0" w:color="000000"/>
              <w:right w:val="single" w:sz="12" w:space="0" w:color="000000"/>
            </w:tcBorders>
          </w:tcPr>
          <w:p w14:paraId="6CE88F37" w14:textId="21598D5E" w:rsidR="00B0429D" w:rsidRDefault="00B0429D" w:rsidP="00D53558">
            <w:pPr>
              <w:spacing w:after="0" w:line="259" w:lineRule="auto"/>
              <w:ind w:left="0" w:right="35" w:firstLine="0"/>
              <w:jc w:val="center"/>
            </w:pPr>
            <w:r>
              <w:rPr>
                <w:sz w:val="18"/>
              </w:rPr>
              <w:t>126-72-7</w:t>
            </w:r>
          </w:p>
        </w:tc>
        <w:tc>
          <w:tcPr>
            <w:tcW w:w="693" w:type="dxa"/>
            <w:tcBorders>
              <w:top w:val="single" w:sz="4" w:space="0" w:color="000000"/>
              <w:left w:val="single" w:sz="12" w:space="0" w:color="000000"/>
              <w:bottom w:val="single" w:sz="12" w:space="0" w:color="000000"/>
              <w:right w:val="single" w:sz="12" w:space="0" w:color="000000"/>
            </w:tcBorders>
          </w:tcPr>
          <w:p w14:paraId="30CB3501" w14:textId="04C27C31" w:rsidR="00B0429D" w:rsidRDefault="00B0429D" w:rsidP="00D53558">
            <w:pPr>
              <w:spacing w:after="0" w:line="259" w:lineRule="auto"/>
              <w:ind w:left="0" w:right="37" w:firstLine="0"/>
              <w:jc w:val="center"/>
            </w:pPr>
            <w:r>
              <w:rPr>
                <w:sz w:val="18"/>
              </w:rPr>
              <w:t>200</w:t>
            </w:r>
          </w:p>
        </w:tc>
        <w:tc>
          <w:tcPr>
            <w:tcW w:w="551" w:type="dxa"/>
            <w:tcBorders>
              <w:top w:val="single" w:sz="4" w:space="0" w:color="000000"/>
              <w:left w:val="single" w:sz="12" w:space="0" w:color="000000"/>
              <w:bottom w:val="single" w:sz="12" w:space="0" w:color="000000"/>
              <w:right w:val="single" w:sz="4" w:space="0" w:color="000000"/>
            </w:tcBorders>
          </w:tcPr>
          <w:p w14:paraId="7EBD434C" w14:textId="72E62279" w:rsidR="00B0429D" w:rsidRDefault="00B0429D" w:rsidP="00D53558">
            <w:pPr>
              <w:spacing w:after="0" w:line="259" w:lineRule="auto"/>
              <w:ind w:left="0" w:right="0" w:firstLine="0"/>
              <w:jc w:val="center"/>
            </w:pPr>
            <w:r>
              <w:rPr>
                <w:sz w:val="18"/>
              </w:rPr>
              <w:t>ug/L</w:t>
            </w:r>
          </w:p>
        </w:tc>
        <w:tc>
          <w:tcPr>
            <w:tcW w:w="799" w:type="dxa"/>
            <w:tcBorders>
              <w:top w:val="single" w:sz="4" w:space="0" w:color="000000"/>
              <w:left w:val="single" w:sz="4" w:space="0" w:color="000000"/>
              <w:bottom w:val="single" w:sz="12" w:space="0" w:color="000000"/>
              <w:right w:val="single" w:sz="4" w:space="0" w:color="000000"/>
            </w:tcBorders>
          </w:tcPr>
          <w:p w14:paraId="3DCBB5F1" w14:textId="0358E02A" w:rsidR="00B0429D" w:rsidRDefault="00B0429D" w:rsidP="00D53558">
            <w:pPr>
              <w:spacing w:after="0" w:line="259" w:lineRule="auto"/>
              <w:ind w:left="0" w:right="0" w:firstLine="0"/>
              <w:jc w:val="center"/>
            </w:pPr>
            <w:r>
              <w:rPr>
                <w:sz w:val="18"/>
              </w:rPr>
              <w:t>13000</w:t>
            </w:r>
          </w:p>
        </w:tc>
        <w:tc>
          <w:tcPr>
            <w:tcW w:w="787" w:type="dxa"/>
            <w:tcBorders>
              <w:top w:val="single" w:sz="4" w:space="0" w:color="000000"/>
              <w:left w:val="single" w:sz="4" w:space="0" w:color="000000"/>
              <w:bottom w:val="single" w:sz="12" w:space="0" w:color="000000"/>
              <w:right w:val="single" w:sz="12" w:space="0" w:color="000000"/>
            </w:tcBorders>
          </w:tcPr>
          <w:p w14:paraId="4B0FB7CA" w14:textId="01C56097" w:rsidR="00B0429D" w:rsidRDefault="00B0429D" w:rsidP="00D53558">
            <w:pPr>
              <w:spacing w:after="0" w:line="259" w:lineRule="auto"/>
              <w:ind w:left="0" w:right="0" w:firstLine="0"/>
              <w:jc w:val="center"/>
            </w:pPr>
            <w:r>
              <w:rPr>
                <w:rFonts w:eastAsia="Segoe UI Symbol"/>
                <w:sz w:val="18"/>
              </w:rPr>
              <w:t>u</w:t>
            </w:r>
            <w:r>
              <w:rPr>
                <w:sz w:val="18"/>
              </w:rPr>
              <w:t>g/kg</w:t>
            </w:r>
          </w:p>
        </w:tc>
        <w:tc>
          <w:tcPr>
            <w:tcW w:w="453" w:type="dxa"/>
            <w:tcBorders>
              <w:top w:val="single" w:sz="4" w:space="0" w:color="000000"/>
              <w:left w:val="single" w:sz="12" w:space="0" w:color="000000"/>
              <w:bottom w:val="single" w:sz="12" w:space="0" w:color="000000"/>
              <w:right w:val="single" w:sz="12" w:space="0" w:color="000000"/>
            </w:tcBorders>
          </w:tcPr>
          <w:p w14:paraId="350AA709" w14:textId="0C17323D" w:rsidR="00B0429D" w:rsidRDefault="00B0429D" w:rsidP="006F0F07">
            <w:pPr>
              <w:spacing w:after="0" w:line="259" w:lineRule="auto"/>
              <w:ind w:left="0" w:right="0" w:firstLine="0"/>
              <w:jc w:val="center"/>
            </w:pPr>
            <w:r>
              <w:rPr>
                <w:sz w:val="18"/>
              </w:rPr>
              <w:t>X</w:t>
            </w:r>
          </w:p>
        </w:tc>
        <w:tc>
          <w:tcPr>
            <w:tcW w:w="527" w:type="dxa"/>
            <w:tcBorders>
              <w:top w:val="single" w:sz="4" w:space="0" w:color="000000"/>
              <w:left w:val="single" w:sz="12" w:space="0" w:color="000000"/>
              <w:bottom w:val="single" w:sz="12" w:space="0" w:color="000000"/>
              <w:right w:val="single" w:sz="12" w:space="0" w:color="000000"/>
            </w:tcBorders>
          </w:tcPr>
          <w:p w14:paraId="74B6D843" w14:textId="70EEF62C" w:rsidR="00B0429D" w:rsidRDefault="00B0429D" w:rsidP="00D53558">
            <w:pPr>
              <w:spacing w:after="0" w:line="259" w:lineRule="auto"/>
              <w:ind w:left="7" w:right="0" w:firstLine="0"/>
              <w:jc w:val="center"/>
            </w:pPr>
          </w:p>
        </w:tc>
        <w:tc>
          <w:tcPr>
            <w:tcW w:w="435" w:type="dxa"/>
            <w:tcBorders>
              <w:top w:val="single" w:sz="4" w:space="0" w:color="000000"/>
              <w:left w:val="single" w:sz="12" w:space="0" w:color="000000"/>
              <w:bottom w:val="single" w:sz="12" w:space="0" w:color="000000"/>
              <w:right w:val="single" w:sz="12" w:space="0" w:color="000000"/>
            </w:tcBorders>
          </w:tcPr>
          <w:p w14:paraId="259373EF" w14:textId="1A66E6AB" w:rsidR="00B0429D" w:rsidRDefault="00B0429D" w:rsidP="00D53558">
            <w:pPr>
              <w:spacing w:after="0" w:line="259" w:lineRule="auto"/>
              <w:ind w:left="4" w:right="0" w:firstLine="0"/>
              <w:jc w:val="center"/>
            </w:pPr>
          </w:p>
        </w:tc>
        <w:tc>
          <w:tcPr>
            <w:tcW w:w="878" w:type="dxa"/>
            <w:tcBorders>
              <w:top w:val="single" w:sz="4" w:space="0" w:color="000000"/>
              <w:left w:val="single" w:sz="12" w:space="0" w:color="000000"/>
              <w:bottom w:val="single" w:sz="12" w:space="0" w:color="000000"/>
              <w:right w:val="single" w:sz="12" w:space="0" w:color="000000"/>
            </w:tcBorders>
          </w:tcPr>
          <w:p w14:paraId="24D35963" w14:textId="78AC0004" w:rsidR="00B0429D" w:rsidRDefault="00B0429D" w:rsidP="00D53558">
            <w:pPr>
              <w:spacing w:after="0" w:line="259" w:lineRule="auto"/>
              <w:ind w:left="0" w:right="36" w:firstLine="0"/>
              <w:jc w:val="center"/>
            </w:pPr>
            <w:r>
              <w:rPr>
                <w:sz w:val="18"/>
              </w:rPr>
              <w:t>8321</w:t>
            </w:r>
          </w:p>
        </w:tc>
        <w:tc>
          <w:tcPr>
            <w:tcW w:w="717" w:type="dxa"/>
            <w:tcBorders>
              <w:top w:val="single" w:sz="4" w:space="0" w:color="000000"/>
              <w:left w:val="single" w:sz="12" w:space="0" w:color="000000"/>
              <w:bottom w:val="single" w:sz="12" w:space="0" w:color="000000"/>
              <w:right w:val="single" w:sz="12" w:space="0" w:color="000000"/>
            </w:tcBorders>
          </w:tcPr>
          <w:p w14:paraId="5B190254" w14:textId="798987BF" w:rsidR="00B0429D" w:rsidRDefault="00B0429D" w:rsidP="009F7CFC">
            <w:pPr>
              <w:spacing w:after="0" w:line="259" w:lineRule="auto"/>
              <w:ind w:left="79" w:right="0" w:firstLine="0"/>
            </w:pPr>
            <w:r>
              <w:rPr>
                <w:sz w:val="18"/>
              </w:rPr>
              <w:t>8270</w:t>
            </w:r>
          </w:p>
        </w:tc>
        <w:tc>
          <w:tcPr>
            <w:tcW w:w="433" w:type="dxa"/>
            <w:tcBorders>
              <w:top w:val="single" w:sz="4" w:space="0" w:color="000000"/>
              <w:left w:val="single" w:sz="12" w:space="0" w:color="000000"/>
              <w:bottom w:val="single" w:sz="12" w:space="0" w:color="000000"/>
              <w:right w:val="single" w:sz="12" w:space="0" w:color="000000"/>
            </w:tcBorders>
          </w:tcPr>
          <w:p w14:paraId="697B48C6" w14:textId="2C29929D" w:rsidR="00B0429D" w:rsidRDefault="00B0429D" w:rsidP="009F7CFC">
            <w:pPr>
              <w:spacing w:after="0" w:line="259" w:lineRule="auto"/>
              <w:ind w:left="9" w:right="0" w:firstLine="0"/>
              <w:jc w:val="center"/>
            </w:pPr>
          </w:p>
        </w:tc>
      </w:tr>
    </w:tbl>
    <w:p w14:paraId="0AE74912" w14:textId="50703BB5" w:rsidR="000814B8" w:rsidRPr="00221FCD" w:rsidRDefault="000814B8">
      <w:pPr>
        <w:spacing w:after="6" w:line="259" w:lineRule="auto"/>
        <w:ind w:left="0" w:right="0" w:firstLine="0"/>
        <w:rPr>
          <w:rFonts w:eastAsia="Arial"/>
          <w:b/>
        </w:rPr>
      </w:pPr>
    </w:p>
    <w:p w14:paraId="5B5DF180" w14:textId="77777777" w:rsidR="000A7C14" w:rsidRPr="00221FCD" w:rsidRDefault="000A7C14">
      <w:pPr>
        <w:spacing w:after="6" w:line="259" w:lineRule="auto"/>
        <w:ind w:left="0" w:right="0" w:firstLine="0"/>
        <w:rPr>
          <w:rFonts w:eastAsia="Arial"/>
          <w:b/>
        </w:rPr>
      </w:pPr>
    </w:p>
    <w:p w14:paraId="062856A2" w14:textId="77777777" w:rsidR="00760D28" w:rsidRPr="00221FCD" w:rsidRDefault="00760D28">
      <w:pPr>
        <w:spacing w:after="6" w:line="259" w:lineRule="auto"/>
        <w:ind w:left="0" w:right="0" w:firstLine="0"/>
        <w:rPr>
          <w:rFonts w:eastAsia="Arial"/>
          <w:b/>
        </w:rPr>
      </w:pPr>
    </w:p>
    <w:p w14:paraId="3A525142" w14:textId="77777777" w:rsidR="00760D28" w:rsidRPr="00221FCD" w:rsidRDefault="00760D28">
      <w:pPr>
        <w:spacing w:after="6" w:line="259" w:lineRule="auto"/>
        <w:ind w:left="0" w:right="0" w:firstLine="0"/>
        <w:rPr>
          <w:rFonts w:eastAsia="Arial"/>
          <w:b/>
        </w:rPr>
      </w:pPr>
    </w:p>
    <w:p w14:paraId="14CD156F" w14:textId="77777777" w:rsidR="00760D28" w:rsidRPr="00221FCD" w:rsidRDefault="00760D28">
      <w:pPr>
        <w:spacing w:after="6" w:line="259" w:lineRule="auto"/>
        <w:ind w:left="0" w:right="0" w:firstLine="0"/>
        <w:rPr>
          <w:rFonts w:eastAsia="Arial"/>
          <w:b/>
        </w:rPr>
      </w:pPr>
    </w:p>
    <w:p w14:paraId="00A0007D" w14:textId="77777777" w:rsidR="00953CFF" w:rsidRDefault="00953CFF" w:rsidP="00953CFF">
      <w:pPr>
        <w:ind w:left="0" w:firstLine="0"/>
        <w:jc w:val="center"/>
      </w:pPr>
      <w:r>
        <w:rPr>
          <w:b/>
        </w:rPr>
        <w:t>THE REMAINDER OF THIS PAGE HAS BEEN LEFT BLANK INTENTIONALLY</w:t>
      </w:r>
    </w:p>
    <w:p w14:paraId="1DAA026F" w14:textId="77777777" w:rsidR="00760D28" w:rsidRPr="00221FCD" w:rsidRDefault="00760D28">
      <w:pPr>
        <w:spacing w:after="6" w:line="259" w:lineRule="auto"/>
        <w:ind w:left="0" w:right="0" w:firstLine="0"/>
        <w:rPr>
          <w:rFonts w:eastAsia="Arial"/>
          <w:b/>
        </w:rPr>
      </w:pPr>
    </w:p>
    <w:p w14:paraId="3AC99613" w14:textId="77777777" w:rsidR="00760D28" w:rsidRPr="00221FCD" w:rsidRDefault="00760D28">
      <w:pPr>
        <w:spacing w:after="6" w:line="259" w:lineRule="auto"/>
        <w:ind w:left="0" w:right="0" w:firstLine="0"/>
        <w:rPr>
          <w:rFonts w:eastAsia="Arial"/>
          <w:b/>
        </w:rPr>
      </w:pPr>
    </w:p>
    <w:p w14:paraId="29E63F5A" w14:textId="77777777" w:rsidR="00760D28" w:rsidRPr="00221FCD" w:rsidRDefault="00760D28">
      <w:pPr>
        <w:spacing w:after="6" w:line="259" w:lineRule="auto"/>
        <w:ind w:left="0" w:right="0" w:firstLine="0"/>
        <w:rPr>
          <w:rFonts w:eastAsia="Arial"/>
          <w:b/>
        </w:rPr>
      </w:pPr>
    </w:p>
    <w:p w14:paraId="3EEC5803" w14:textId="77777777" w:rsidR="00760D28" w:rsidRPr="00221FCD" w:rsidRDefault="00760D28">
      <w:pPr>
        <w:spacing w:after="6" w:line="259" w:lineRule="auto"/>
        <w:ind w:left="0" w:right="0" w:firstLine="0"/>
        <w:rPr>
          <w:rFonts w:eastAsia="Arial"/>
          <w:b/>
        </w:rPr>
      </w:pPr>
    </w:p>
    <w:p w14:paraId="115B2FC3" w14:textId="77777777" w:rsidR="00760D28" w:rsidRPr="00221FCD" w:rsidRDefault="00760D28">
      <w:pPr>
        <w:spacing w:after="6" w:line="259" w:lineRule="auto"/>
        <w:ind w:left="0" w:right="0" w:firstLine="0"/>
        <w:rPr>
          <w:rFonts w:eastAsia="Arial"/>
          <w:b/>
        </w:rPr>
      </w:pPr>
    </w:p>
    <w:p w14:paraId="6BE8AE85" w14:textId="77777777" w:rsidR="00760D28" w:rsidRPr="00221FCD" w:rsidRDefault="00760D28">
      <w:pPr>
        <w:spacing w:after="6" w:line="259" w:lineRule="auto"/>
        <w:ind w:left="0" w:right="0" w:firstLine="0"/>
        <w:rPr>
          <w:rFonts w:eastAsia="Arial"/>
          <w:b/>
        </w:rPr>
      </w:pPr>
    </w:p>
    <w:p w14:paraId="157EFD20" w14:textId="77777777" w:rsidR="00760D28" w:rsidRPr="00221FCD" w:rsidRDefault="00760D28">
      <w:pPr>
        <w:spacing w:after="6" w:line="259" w:lineRule="auto"/>
        <w:ind w:left="0" w:right="0" w:firstLine="0"/>
        <w:rPr>
          <w:rFonts w:eastAsia="Arial"/>
          <w:b/>
        </w:rPr>
      </w:pPr>
    </w:p>
    <w:p w14:paraId="3CB86757" w14:textId="77777777" w:rsidR="00760D28" w:rsidRPr="00221FCD" w:rsidRDefault="00760D28">
      <w:pPr>
        <w:spacing w:after="6" w:line="259" w:lineRule="auto"/>
        <w:ind w:left="0" w:right="0" w:firstLine="0"/>
        <w:rPr>
          <w:rFonts w:eastAsia="Arial"/>
          <w:b/>
        </w:rPr>
      </w:pPr>
    </w:p>
    <w:p w14:paraId="06B459B4" w14:textId="006D53FE" w:rsidR="00B56D50" w:rsidRDefault="003D6B90" w:rsidP="0040628E">
      <w:pPr>
        <w:pStyle w:val="Heading3"/>
        <w:spacing w:after="16" w:line="247" w:lineRule="auto"/>
        <w:ind w:left="-5" w:right="186"/>
      </w:pPr>
      <w:r w:rsidRPr="006428E6">
        <w:lastRenderedPageBreak/>
        <w:t xml:space="preserve">SW-846 </w:t>
      </w:r>
      <w:r w:rsidR="001C3C42" w:rsidRPr="006428E6">
        <w:t>SAS – L</w:t>
      </w:r>
      <w:r w:rsidR="003C7B16" w:rsidRPr="006428E6">
        <w:t xml:space="preserve">eaching </w:t>
      </w:r>
      <w:r w:rsidR="001C3C42" w:rsidRPr="006428E6">
        <w:t>P</w:t>
      </w:r>
      <w:r w:rsidR="003C7B16" w:rsidRPr="006428E6">
        <w:t>rocedures</w:t>
      </w:r>
    </w:p>
    <w:p w14:paraId="4FE20FCD" w14:textId="5C6156C0" w:rsidR="00B56D50" w:rsidRDefault="00B56D50">
      <w:pPr>
        <w:spacing w:after="0" w:line="259" w:lineRule="auto"/>
        <w:ind w:left="0" w:right="0" w:firstLine="0"/>
      </w:pPr>
    </w:p>
    <w:tbl>
      <w:tblPr>
        <w:tblStyle w:val="TableGrid1"/>
        <w:tblW w:w="10544" w:type="dxa"/>
        <w:tblInd w:w="-375" w:type="dxa"/>
        <w:tblCellMar>
          <w:top w:w="5" w:type="dxa"/>
          <w:left w:w="72" w:type="dxa"/>
          <w:right w:w="36" w:type="dxa"/>
        </w:tblCellMar>
        <w:tblLook w:val="04A0" w:firstRow="1" w:lastRow="0" w:firstColumn="1" w:lastColumn="0" w:noHBand="0" w:noVBand="1"/>
      </w:tblPr>
      <w:tblGrid>
        <w:gridCol w:w="1455"/>
        <w:gridCol w:w="2634"/>
        <w:gridCol w:w="2092"/>
        <w:gridCol w:w="1180"/>
        <w:gridCol w:w="1394"/>
        <w:gridCol w:w="59"/>
        <w:gridCol w:w="1730"/>
      </w:tblGrid>
      <w:tr w:rsidR="00B56D50" w14:paraId="4373D9D8" w14:textId="77777777" w:rsidTr="00C23B62">
        <w:trPr>
          <w:trHeight w:val="269"/>
        </w:trPr>
        <w:tc>
          <w:tcPr>
            <w:tcW w:w="10544" w:type="dxa"/>
            <w:gridSpan w:val="7"/>
            <w:tcBorders>
              <w:top w:val="single" w:sz="12" w:space="0" w:color="000000"/>
              <w:left w:val="single" w:sz="12" w:space="0" w:color="000000"/>
              <w:bottom w:val="single" w:sz="12" w:space="0" w:color="000000"/>
              <w:right w:val="single" w:sz="12" w:space="0" w:color="000000"/>
            </w:tcBorders>
            <w:vAlign w:val="center"/>
          </w:tcPr>
          <w:p w14:paraId="2E851B44" w14:textId="2C75A7CC" w:rsidR="00B56D50" w:rsidRDefault="001C3C42" w:rsidP="00460EC1">
            <w:pPr>
              <w:spacing w:after="0" w:line="259" w:lineRule="auto"/>
              <w:ind w:left="36" w:right="0" w:firstLine="0"/>
            </w:pPr>
            <w:r>
              <w:rPr>
                <w:b/>
                <w:sz w:val="18"/>
              </w:rPr>
              <w:t>SW-846 SAS Group O</w:t>
            </w:r>
            <w:r>
              <w:rPr>
                <w:sz w:val="18"/>
              </w:rPr>
              <w:t xml:space="preserve">  </w:t>
            </w:r>
            <w:r>
              <w:rPr>
                <w:b/>
                <w:sz w:val="18"/>
              </w:rPr>
              <w:t xml:space="preserve">  Synthetic Precipitation Leaching Procedure (SPLP) – SW-846 Method 1312 </w:t>
            </w:r>
          </w:p>
        </w:tc>
      </w:tr>
      <w:tr w:rsidR="00B56D50" w14:paraId="6A824772" w14:textId="77777777" w:rsidTr="00C23B62">
        <w:trPr>
          <w:trHeight w:val="794"/>
        </w:trPr>
        <w:tc>
          <w:tcPr>
            <w:tcW w:w="1455" w:type="dxa"/>
            <w:tcBorders>
              <w:top w:val="single" w:sz="12" w:space="0" w:color="000000"/>
              <w:left w:val="single" w:sz="12" w:space="0" w:color="000000"/>
              <w:bottom w:val="single" w:sz="12" w:space="0" w:color="000000"/>
              <w:right w:val="single" w:sz="12" w:space="0" w:color="000000"/>
            </w:tcBorders>
            <w:vAlign w:val="center"/>
          </w:tcPr>
          <w:p w14:paraId="4E78FAA6" w14:textId="75C7F60F" w:rsidR="00B56D50" w:rsidRDefault="001C3C42" w:rsidP="00460EC1">
            <w:pPr>
              <w:spacing w:after="0" w:line="259" w:lineRule="auto"/>
              <w:ind w:left="0" w:right="0" w:firstLine="0"/>
              <w:jc w:val="center"/>
            </w:pPr>
            <w:r>
              <w:rPr>
                <w:b/>
                <w:sz w:val="18"/>
              </w:rPr>
              <w:t>Extraction Procedure</w:t>
            </w:r>
          </w:p>
        </w:tc>
        <w:tc>
          <w:tcPr>
            <w:tcW w:w="2634" w:type="dxa"/>
            <w:tcBorders>
              <w:top w:val="single" w:sz="12" w:space="0" w:color="000000"/>
              <w:left w:val="single" w:sz="12" w:space="0" w:color="000000"/>
              <w:bottom w:val="single" w:sz="12" w:space="0" w:color="000000"/>
              <w:right w:val="single" w:sz="12" w:space="0" w:color="000000"/>
            </w:tcBorders>
            <w:vAlign w:val="center"/>
          </w:tcPr>
          <w:p w14:paraId="1234A194" w14:textId="13379A6F" w:rsidR="00B56D50" w:rsidRDefault="001C3C42" w:rsidP="00460EC1">
            <w:pPr>
              <w:spacing w:after="0" w:line="259" w:lineRule="auto"/>
              <w:ind w:left="0" w:right="46" w:firstLine="0"/>
              <w:jc w:val="center"/>
            </w:pPr>
            <w:r>
              <w:rPr>
                <w:b/>
                <w:sz w:val="18"/>
              </w:rPr>
              <w:t>Applicable Analytes</w:t>
            </w:r>
          </w:p>
        </w:tc>
        <w:tc>
          <w:tcPr>
            <w:tcW w:w="2092" w:type="dxa"/>
            <w:tcBorders>
              <w:top w:val="single" w:sz="12" w:space="0" w:color="000000"/>
              <w:left w:val="single" w:sz="12" w:space="0" w:color="000000"/>
              <w:bottom w:val="single" w:sz="12" w:space="0" w:color="000000"/>
              <w:right w:val="single" w:sz="12" w:space="0" w:color="000000"/>
            </w:tcBorders>
            <w:vAlign w:val="center"/>
          </w:tcPr>
          <w:p w14:paraId="08275421" w14:textId="572C46E6" w:rsidR="00B56D50" w:rsidRDefault="001C3C42" w:rsidP="00460EC1">
            <w:pPr>
              <w:spacing w:after="0" w:line="259" w:lineRule="auto"/>
              <w:ind w:left="0" w:right="0" w:firstLine="0"/>
              <w:jc w:val="center"/>
            </w:pPr>
            <w:r>
              <w:rPr>
                <w:b/>
                <w:sz w:val="18"/>
              </w:rPr>
              <w:t>Extraction Fluid Required</w:t>
            </w:r>
          </w:p>
        </w:tc>
        <w:tc>
          <w:tcPr>
            <w:tcW w:w="1180" w:type="dxa"/>
            <w:tcBorders>
              <w:top w:val="single" w:sz="12" w:space="0" w:color="000000"/>
              <w:left w:val="single" w:sz="12" w:space="0" w:color="000000"/>
              <w:bottom w:val="single" w:sz="12" w:space="0" w:color="000000"/>
              <w:right w:val="single" w:sz="12" w:space="0" w:color="000000"/>
            </w:tcBorders>
            <w:vAlign w:val="center"/>
          </w:tcPr>
          <w:p w14:paraId="67D333A7" w14:textId="58A8D6B2" w:rsidR="00B56D50" w:rsidRDefault="001C3C42" w:rsidP="00460EC1">
            <w:pPr>
              <w:spacing w:after="0" w:line="259" w:lineRule="auto"/>
              <w:ind w:left="0" w:right="39" w:firstLine="0"/>
              <w:jc w:val="center"/>
            </w:pPr>
            <w:r>
              <w:rPr>
                <w:b/>
                <w:sz w:val="18"/>
              </w:rPr>
              <w:t>Required</w:t>
            </w:r>
          </w:p>
          <w:p w14:paraId="2C717A51" w14:textId="60414F24" w:rsidR="00B56D50" w:rsidRDefault="001C3C42" w:rsidP="00460EC1">
            <w:pPr>
              <w:spacing w:after="0" w:line="259" w:lineRule="auto"/>
              <w:ind w:left="0" w:right="46" w:firstLine="0"/>
              <w:jc w:val="center"/>
            </w:pPr>
            <w:r>
              <w:rPr>
                <w:b/>
                <w:sz w:val="18"/>
              </w:rPr>
              <w:t>Leaching</w:t>
            </w:r>
          </w:p>
          <w:p w14:paraId="186E3771" w14:textId="4486082C" w:rsidR="00B56D50" w:rsidRDefault="001C3C42" w:rsidP="00460EC1">
            <w:pPr>
              <w:spacing w:after="0" w:line="259" w:lineRule="auto"/>
              <w:ind w:left="0" w:right="44" w:firstLine="0"/>
              <w:jc w:val="center"/>
            </w:pPr>
            <w:r>
              <w:rPr>
                <w:b/>
                <w:sz w:val="18"/>
              </w:rPr>
              <w:t>Method</w:t>
            </w:r>
          </w:p>
        </w:tc>
        <w:tc>
          <w:tcPr>
            <w:tcW w:w="3183" w:type="dxa"/>
            <w:gridSpan w:val="3"/>
            <w:tcBorders>
              <w:top w:val="single" w:sz="12" w:space="0" w:color="000000"/>
              <w:left w:val="single" w:sz="12" w:space="0" w:color="000000"/>
              <w:bottom w:val="single" w:sz="12" w:space="0" w:color="000000"/>
              <w:right w:val="single" w:sz="12" w:space="0" w:color="000000"/>
            </w:tcBorders>
            <w:vAlign w:val="center"/>
          </w:tcPr>
          <w:p w14:paraId="57519E80" w14:textId="64F44FA2" w:rsidR="00B56D50" w:rsidRDefault="001C3C42" w:rsidP="00460EC1">
            <w:pPr>
              <w:spacing w:after="0" w:line="259" w:lineRule="auto"/>
              <w:ind w:left="0" w:right="40" w:firstLine="0"/>
              <w:jc w:val="center"/>
            </w:pPr>
            <w:r>
              <w:rPr>
                <w:b/>
                <w:sz w:val="18"/>
              </w:rPr>
              <w:t>Acceptable Determinative Methods</w:t>
            </w:r>
          </w:p>
          <w:p w14:paraId="713A7408" w14:textId="0B9FD6EB" w:rsidR="00B56D50" w:rsidRDefault="001C3C42" w:rsidP="00460EC1">
            <w:pPr>
              <w:spacing w:after="0" w:line="259" w:lineRule="auto"/>
              <w:ind w:left="0" w:right="38" w:firstLine="0"/>
              <w:jc w:val="center"/>
            </w:pPr>
            <w:r>
              <w:rPr>
                <w:sz w:val="18"/>
              </w:rPr>
              <w:t>(on Leachate)</w:t>
            </w:r>
          </w:p>
        </w:tc>
      </w:tr>
      <w:tr w:rsidR="00B56D50" w14:paraId="2F937BD7" w14:textId="77777777" w:rsidTr="00C23B62">
        <w:trPr>
          <w:trHeight w:val="449"/>
        </w:trPr>
        <w:tc>
          <w:tcPr>
            <w:tcW w:w="1455" w:type="dxa"/>
            <w:vMerge w:val="restart"/>
            <w:tcBorders>
              <w:top w:val="single" w:sz="12" w:space="0" w:color="000000"/>
              <w:left w:val="single" w:sz="12" w:space="0" w:color="000000"/>
              <w:bottom w:val="single" w:sz="4" w:space="0" w:color="000000"/>
              <w:right w:val="single" w:sz="12" w:space="0" w:color="000000"/>
            </w:tcBorders>
          </w:tcPr>
          <w:p w14:paraId="22FBDA06" w14:textId="12C526D3" w:rsidR="00B56D50" w:rsidRDefault="001C3C42" w:rsidP="00836891">
            <w:pPr>
              <w:spacing w:after="0" w:line="259" w:lineRule="auto"/>
              <w:ind w:left="0" w:right="36" w:firstLine="0"/>
              <w:jc w:val="center"/>
            </w:pPr>
            <w:r>
              <w:rPr>
                <w:sz w:val="18"/>
              </w:rPr>
              <w:t>Non</w:t>
            </w:r>
            <w:r w:rsidR="00FE1B83">
              <w:rPr>
                <w:sz w:val="18"/>
              </w:rPr>
              <w:t>-</w:t>
            </w:r>
            <w:r>
              <w:rPr>
                <w:sz w:val="18"/>
              </w:rPr>
              <w:t>volatile</w:t>
            </w:r>
          </w:p>
          <w:p w14:paraId="32E7EA74" w14:textId="666AE599" w:rsidR="00B56D50" w:rsidRDefault="001C3C42" w:rsidP="00836891">
            <w:pPr>
              <w:spacing w:after="0" w:line="259" w:lineRule="auto"/>
              <w:ind w:left="0" w:right="0" w:firstLine="0"/>
              <w:jc w:val="center"/>
            </w:pPr>
            <w:r>
              <w:rPr>
                <w:sz w:val="18"/>
              </w:rPr>
              <w:t>(bottle) extraction</w:t>
            </w:r>
          </w:p>
        </w:tc>
        <w:tc>
          <w:tcPr>
            <w:tcW w:w="2634" w:type="dxa"/>
            <w:vMerge w:val="restart"/>
            <w:tcBorders>
              <w:top w:val="single" w:sz="12" w:space="0" w:color="000000"/>
              <w:left w:val="single" w:sz="12" w:space="0" w:color="000000"/>
              <w:bottom w:val="single" w:sz="4" w:space="0" w:color="000000"/>
              <w:right w:val="single" w:sz="12" w:space="0" w:color="000000"/>
            </w:tcBorders>
          </w:tcPr>
          <w:p w14:paraId="061A288E" w14:textId="1378FEED" w:rsidR="00B56D50" w:rsidRDefault="001C3C42" w:rsidP="00482150">
            <w:pPr>
              <w:spacing w:after="0" w:line="238" w:lineRule="auto"/>
              <w:ind w:left="0" w:right="0" w:firstLine="0"/>
              <w:jc w:val="center"/>
            </w:pPr>
            <w:r>
              <w:rPr>
                <w:sz w:val="18"/>
              </w:rPr>
              <w:t>SVOCs, pesticides, herbicides, explosives, other semi</w:t>
            </w:r>
            <w:r w:rsidR="00064991">
              <w:rPr>
                <w:sz w:val="18"/>
              </w:rPr>
              <w:t>-</w:t>
            </w:r>
            <w:r>
              <w:rPr>
                <w:sz w:val="18"/>
              </w:rPr>
              <w:t>volatile and</w:t>
            </w:r>
          </w:p>
          <w:p w14:paraId="34927CD8" w14:textId="54C48F0B" w:rsidR="00B56D50" w:rsidRDefault="00E176B1" w:rsidP="00482150">
            <w:pPr>
              <w:spacing w:after="2" w:line="238" w:lineRule="auto"/>
              <w:ind w:left="0" w:right="0" w:firstLine="0"/>
              <w:jc w:val="center"/>
            </w:pPr>
            <w:r>
              <w:rPr>
                <w:sz w:val="18"/>
              </w:rPr>
              <w:t>n</w:t>
            </w:r>
            <w:r w:rsidR="001C3C42">
              <w:rPr>
                <w:sz w:val="18"/>
              </w:rPr>
              <w:t>on</w:t>
            </w:r>
            <w:r>
              <w:rPr>
                <w:sz w:val="18"/>
              </w:rPr>
              <w:t>-</w:t>
            </w:r>
            <w:r w:rsidR="001C3C42">
              <w:rPr>
                <w:sz w:val="18"/>
              </w:rPr>
              <w:t xml:space="preserve">volatile organic compounds, metals, and </w:t>
            </w:r>
            <w:proofErr w:type="gramStart"/>
            <w:r w:rsidR="001C3C42">
              <w:rPr>
                <w:sz w:val="18"/>
              </w:rPr>
              <w:t>other</w:t>
            </w:r>
            <w:proofErr w:type="gramEnd"/>
            <w:r w:rsidR="001C3C42">
              <w:rPr>
                <w:sz w:val="18"/>
              </w:rPr>
              <w:t xml:space="preserve"> inorganic</w:t>
            </w:r>
          </w:p>
          <w:p w14:paraId="72CC3937" w14:textId="46727E40" w:rsidR="00B56D50" w:rsidRDefault="001C3C42" w:rsidP="00482150">
            <w:pPr>
              <w:spacing w:after="0" w:line="259" w:lineRule="auto"/>
              <w:ind w:left="0" w:right="36" w:firstLine="0"/>
              <w:jc w:val="center"/>
            </w:pPr>
            <w:r>
              <w:rPr>
                <w:sz w:val="18"/>
              </w:rPr>
              <w:t>analytes</w:t>
            </w:r>
          </w:p>
        </w:tc>
        <w:tc>
          <w:tcPr>
            <w:tcW w:w="2092" w:type="dxa"/>
            <w:tcBorders>
              <w:top w:val="single" w:sz="12" w:space="0" w:color="000000"/>
              <w:left w:val="single" w:sz="12" w:space="0" w:color="000000"/>
              <w:bottom w:val="single" w:sz="4" w:space="0" w:color="000000"/>
              <w:right w:val="single" w:sz="12" w:space="0" w:color="000000"/>
            </w:tcBorders>
          </w:tcPr>
          <w:p w14:paraId="1FBBEF83" w14:textId="31624002" w:rsidR="00B56D50" w:rsidRDefault="001C3C42" w:rsidP="00482150">
            <w:pPr>
              <w:spacing w:after="0" w:line="259" w:lineRule="auto"/>
              <w:ind w:left="0" w:right="35" w:firstLine="0"/>
              <w:jc w:val="center"/>
            </w:pPr>
            <w:r>
              <w:rPr>
                <w:sz w:val="18"/>
              </w:rPr>
              <w:t>#1</w:t>
            </w:r>
          </w:p>
          <w:p w14:paraId="07E04A3D" w14:textId="213E4FA4" w:rsidR="00B56D50" w:rsidRDefault="001C3C42" w:rsidP="00482150">
            <w:pPr>
              <w:spacing w:after="0" w:line="259" w:lineRule="auto"/>
              <w:ind w:left="0" w:right="36" w:firstLine="0"/>
              <w:jc w:val="center"/>
            </w:pPr>
            <w:r>
              <w:rPr>
                <w:sz w:val="18"/>
              </w:rPr>
              <w:t xml:space="preserve">(pH 4.20 </w:t>
            </w:r>
            <w:r w:rsidR="004F5180">
              <w:rPr>
                <w:rFonts w:ascii="Symbol" w:eastAsia="Symbol" w:hAnsi="Symbol" w:cs="Symbol"/>
                <w:sz w:val="18"/>
              </w:rPr>
              <w:sym w:font="Symbol" w:char="F0B1"/>
            </w:r>
            <w:r>
              <w:rPr>
                <w:sz w:val="18"/>
              </w:rPr>
              <w:t xml:space="preserve"> 0.05)</w:t>
            </w:r>
            <w:r>
              <w:rPr>
                <w:i/>
                <w:sz w:val="18"/>
              </w:rPr>
              <w:t>.</w:t>
            </w:r>
          </w:p>
        </w:tc>
        <w:tc>
          <w:tcPr>
            <w:tcW w:w="1180" w:type="dxa"/>
            <w:vMerge w:val="restart"/>
            <w:tcBorders>
              <w:top w:val="single" w:sz="12" w:space="0" w:color="000000"/>
              <w:left w:val="single" w:sz="12" w:space="0" w:color="000000"/>
              <w:bottom w:val="single" w:sz="4" w:space="0" w:color="000000"/>
              <w:right w:val="single" w:sz="12" w:space="0" w:color="000000"/>
            </w:tcBorders>
          </w:tcPr>
          <w:p w14:paraId="428CAAE0" w14:textId="6E8201EB" w:rsidR="00B56D50" w:rsidRDefault="001C3C42" w:rsidP="00482150">
            <w:pPr>
              <w:spacing w:after="0" w:line="259" w:lineRule="auto"/>
              <w:ind w:left="0" w:right="32" w:firstLine="0"/>
              <w:jc w:val="center"/>
            </w:pPr>
            <w:r>
              <w:rPr>
                <w:sz w:val="18"/>
              </w:rPr>
              <w:t>1312</w:t>
            </w:r>
          </w:p>
        </w:tc>
        <w:tc>
          <w:tcPr>
            <w:tcW w:w="3183" w:type="dxa"/>
            <w:gridSpan w:val="3"/>
            <w:tcBorders>
              <w:top w:val="single" w:sz="12" w:space="0" w:color="000000"/>
              <w:left w:val="single" w:sz="12" w:space="0" w:color="000000"/>
              <w:bottom w:val="single" w:sz="4" w:space="0" w:color="000000"/>
              <w:right w:val="single" w:sz="12" w:space="0" w:color="000000"/>
            </w:tcBorders>
          </w:tcPr>
          <w:p w14:paraId="29842D5E" w14:textId="0C908F2F" w:rsidR="00B56D50" w:rsidRDefault="001C3C42" w:rsidP="00482150">
            <w:pPr>
              <w:spacing w:after="0" w:line="259" w:lineRule="auto"/>
              <w:ind w:left="0" w:right="0" w:firstLine="0"/>
              <w:jc w:val="center"/>
            </w:pPr>
            <w:r>
              <w:rPr>
                <w:sz w:val="18"/>
              </w:rPr>
              <w:t>See Metals, SVOA, and General</w:t>
            </w:r>
          </w:p>
          <w:p w14:paraId="4ECD2865" w14:textId="20D1A676" w:rsidR="00B56D50" w:rsidRDefault="001C3C42" w:rsidP="00482150">
            <w:pPr>
              <w:spacing w:after="0" w:line="259" w:lineRule="auto"/>
              <w:ind w:left="0" w:right="0" w:firstLine="0"/>
              <w:jc w:val="center"/>
            </w:pPr>
            <w:r>
              <w:rPr>
                <w:sz w:val="18"/>
              </w:rPr>
              <w:t>Chemistry Analyte Groups above.</w:t>
            </w:r>
          </w:p>
        </w:tc>
      </w:tr>
      <w:tr w:rsidR="00C84A5D" w14:paraId="222A679D" w14:textId="77777777" w:rsidTr="00C23B62">
        <w:trPr>
          <w:trHeight w:val="632"/>
        </w:trPr>
        <w:tc>
          <w:tcPr>
            <w:tcW w:w="1455" w:type="dxa"/>
            <w:vMerge/>
            <w:tcBorders>
              <w:top w:val="nil"/>
              <w:left w:val="single" w:sz="12" w:space="0" w:color="000000"/>
              <w:bottom w:val="single" w:sz="4" w:space="0" w:color="000000"/>
              <w:right w:val="single" w:sz="12" w:space="0" w:color="000000"/>
            </w:tcBorders>
          </w:tcPr>
          <w:p w14:paraId="4802B614" w14:textId="77777777" w:rsidR="00B56D50" w:rsidRDefault="00B56D50" w:rsidP="00017AB4">
            <w:pPr>
              <w:spacing w:after="160" w:line="259" w:lineRule="auto"/>
              <w:ind w:left="0" w:right="0" w:firstLine="0"/>
              <w:jc w:val="center"/>
            </w:pPr>
          </w:p>
        </w:tc>
        <w:tc>
          <w:tcPr>
            <w:tcW w:w="0" w:type="auto"/>
            <w:vMerge/>
            <w:tcBorders>
              <w:top w:val="nil"/>
              <w:left w:val="single" w:sz="12" w:space="0" w:color="000000"/>
              <w:bottom w:val="single" w:sz="4" w:space="0" w:color="000000"/>
              <w:right w:val="single" w:sz="12" w:space="0" w:color="000000"/>
            </w:tcBorders>
          </w:tcPr>
          <w:p w14:paraId="2B100857" w14:textId="77777777" w:rsidR="00B56D50" w:rsidRDefault="00B56D50" w:rsidP="00C96D0C">
            <w:pPr>
              <w:spacing w:after="160" w:line="259" w:lineRule="auto"/>
              <w:ind w:left="0" w:right="0" w:firstLine="0"/>
              <w:jc w:val="center"/>
            </w:pPr>
          </w:p>
        </w:tc>
        <w:tc>
          <w:tcPr>
            <w:tcW w:w="2092" w:type="dxa"/>
            <w:tcBorders>
              <w:top w:val="single" w:sz="4" w:space="0" w:color="000000"/>
              <w:left w:val="single" w:sz="12" w:space="0" w:color="000000"/>
              <w:bottom w:val="single" w:sz="4" w:space="0" w:color="000000"/>
              <w:right w:val="single" w:sz="12" w:space="0" w:color="000000"/>
            </w:tcBorders>
          </w:tcPr>
          <w:p w14:paraId="211CBABD" w14:textId="25EBD309" w:rsidR="00B56D50" w:rsidRDefault="001C3C42" w:rsidP="00482150">
            <w:pPr>
              <w:spacing w:after="0" w:line="259" w:lineRule="auto"/>
              <w:ind w:left="0" w:right="0" w:firstLine="0"/>
              <w:jc w:val="center"/>
            </w:pPr>
            <w:r>
              <w:rPr>
                <w:sz w:val="18"/>
              </w:rPr>
              <w:t>Prepared from 60/40 weight % mixture of sulfuric and nitric acid</w:t>
            </w:r>
          </w:p>
        </w:tc>
        <w:tc>
          <w:tcPr>
            <w:tcW w:w="0" w:type="auto"/>
            <w:vMerge/>
            <w:tcBorders>
              <w:top w:val="nil"/>
              <w:left w:val="single" w:sz="12" w:space="0" w:color="000000"/>
              <w:bottom w:val="single" w:sz="4" w:space="0" w:color="000000"/>
              <w:right w:val="single" w:sz="12" w:space="0" w:color="000000"/>
            </w:tcBorders>
          </w:tcPr>
          <w:p w14:paraId="6634A2EC" w14:textId="77777777" w:rsidR="00B56D50" w:rsidRDefault="00B56D50" w:rsidP="00C96D0C">
            <w:pPr>
              <w:spacing w:after="160" w:line="259" w:lineRule="auto"/>
              <w:ind w:left="0" w:right="0" w:firstLine="0"/>
              <w:jc w:val="center"/>
            </w:pPr>
          </w:p>
        </w:tc>
        <w:tc>
          <w:tcPr>
            <w:tcW w:w="3183" w:type="dxa"/>
            <w:gridSpan w:val="3"/>
            <w:tcBorders>
              <w:top w:val="single" w:sz="4" w:space="0" w:color="000000"/>
              <w:left w:val="single" w:sz="12" w:space="0" w:color="000000"/>
              <w:bottom w:val="single" w:sz="4" w:space="0" w:color="000000"/>
              <w:right w:val="single" w:sz="12" w:space="0" w:color="000000"/>
            </w:tcBorders>
          </w:tcPr>
          <w:p w14:paraId="0C5B35C4" w14:textId="630BD5C3" w:rsidR="00B56D50" w:rsidRDefault="001C3C42" w:rsidP="00C96D0C">
            <w:pPr>
              <w:spacing w:after="0" w:line="259" w:lineRule="auto"/>
              <w:ind w:left="0" w:right="0" w:firstLine="0"/>
              <w:jc w:val="center"/>
            </w:pPr>
            <w:r>
              <w:rPr>
                <w:sz w:val="18"/>
              </w:rPr>
              <w:t>To be based on site-specific COCs determined and specified at time of analytical request.</w:t>
            </w:r>
          </w:p>
        </w:tc>
      </w:tr>
      <w:tr w:rsidR="00B56D50" w14:paraId="59DAB6D6" w14:textId="77777777" w:rsidTr="00C23B62">
        <w:trPr>
          <w:trHeight w:val="386"/>
        </w:trPr>
        <w:tc>
          <w:tcPr>
            <w:tcW w:w="1455" w:type="dxa"/>
            <w:vMerge w:val="restart"/>
            <w:tcBorders>
              <w:top w:val="single" w:sz="4" w:space="0" w:color="000000"/>
              <w:left w:val="single" w:sz="12" w:space="0" w:color="000000"/>
              <w:bottom w:val="single" w:sz="4" w:space="0" w:color="000000"/>
              <w:right w:val="single" w:sz="12" w:space="0" w:color="000000"/>
            </w:tcBorders>
          </w:tcPr>
          <w:p w14:paraId="4FD5A97B" w14:textId="2DF7059C" w:rsidR="00B56D50" w:rsidRDefault="001C3C42" w:rsidP="00836891">
            <w:pPr>
              <w:spacing w:after="0" w:line="240" w:lineRule="auto"/>
              <w:ind w:left="0" w:right="0" w:firstLine="0"/>
              <w:jc w:val="center"/>
            </w:pPr>
            <w:r>
              <w:rPr>
                <w:sz w:val="18"/>
              </w:rPr>
              <w:t>Zero headspace extraction</w:t>
            </w:r>
          </w:p>
          <w:p w14:paraId="52D3BD68" w14:textId="789F0224" w:rsidR="00B56D50" w:rsidRDefault="001C3C42" w:rsidP="00836891">
            <w:pPr>
              <w:spacing w:after="0" w:line="259" w:lineRule="auto"/>
              <w:ind w:left="0" w:right="38" w:firstLine="0"/>
              <w:jc w:val="center"/>
            </w:pPr>
            <w:r>
              <w:rPr>
                <w:sz w:val="18"/>
              </w:rPr>
              <w:t>(ZHE)</w:t>
            </w:r>
          </w:p>
        </w:tc>
        <w:tc>
          <w:tcPr>
            <w:tcW w:w="2634" w:type="dxa"/>
            <w:vMerge w:val="restart"/>
            <w:tcBorders>
              <w:top w:val="single" w:sz="4" w:space="0" w:color="000000"/>
              <w:left w:val="single" w:sz="12" w:space="0" w:color="000000"/>
              <w:bottom w:val="single" w:sz="4" w:space="0" w:color="000000"/>
              <w:right w:val="single" w:sz="12" w:space="0" w:color="000000"/>
            </w:tcBorders>
          </w:tcPr>
          <w:p w14:paraId="201623F0" w14:textId="58147D58" w:rsidR="00B56D50" w:rsidRDefault="001C3C42" w:rsidP="00482150">
            <w:pPr>
              <w:spacing w:after="0" w:line="259" w:lineRule="auto"/>
              <w:ind w:left="0" w:right="33" w:firstLine="0"/>
              <w:jc w:val="center"/>
            </w:pPr>
            <w:r>
              <w:rPr>
                <w:sz w:val="18"/>
              </w:rPr>
              <w:t>VOCs</w:t>
            </w:r>
          </w:p>
        </w:tc>
        <w:tc>
          <w:tcPr>
            <w:tcW w:w="2092" w:type="dxa"/>
            <w:vMerge w:val="restart"/>
            <w:tcBorders>
              <w:top w:val="single" w:sz="4" w:space="0" w:color="000000"/>
              <w:left w:val="single" w:sz="12" w:space="0" w:color="000000"/>
              <w:bottom w:val="single" w:sz="4" w:space="0" w:color="000000"/>
              <w:right w:val="single" w:sz="12" w:space="0" w:color="000000"/>
            </w:tcBorders>
          </w:tcPr>
          <w:p w14:paraId="0C6D69E9" w14:textId="25197B34" w:rsidR="00B56D50" w:rsidRDefault="001C3C42" w:rsidP="00482150">
            <w:pPr>
              <w:spacing w:after="0" w:line="259" w:lineRule="auto"/>
              <w:ind w:left="0" w:right="35" w:firstLine="0"/>
              <w:jc w:val="center"/>
            </w:pPr>
            <w:r>
              <w:rPr>
                <w:sz w:val="18"/>
              </w:rPr>
              <w:t>#3</w:t>
            </w:r>
          </w:p>
          <w:p w14:paraId="5C84BA34" w14:textId="5D983263" w:rsidR="00B56D50" w:rsidRDefault="001C3C42" w:rsidP="00482150">
            <w:pPr>
              <w:spacing w:after="0" w:line="259" w:lineRule="auto"/>
              <w:ind w:left="0" w:right="38" w:firstLine="0"/>
              <w:jc w:val="center"/>
            </w:pPr>
            <w:r>
              <w:rPr>
                <w:sz w:val="18"/>
              </w:rPr>
              <w:t>(Reagent water)</w:t>
            </w:r>
          </w:p>
        </w:tc>
        <w:tc>
          <w:tcPr>
            <w:tcW w:w="1180" w:type="dxa"/>
            <w:vMerge w:val="restart"/>
            <w:tcBorders>
              <w:top w:val="single" w:sz="4" w:space="0" w:color="000000"/>
              <w:left w:val="single" w:sz="12" w:space="0" w:color="000000"/>
              <w:bottom w:val="single" w:sz="4" w:space="0" w:color="000000"/>
              <w:right w:val="single" w:sz="12" w:space="0" w:color="000000"/>
            </w:tcBorders>
          </w:tcPr>
          <w:p w14:paraId="6AE83D52" w14:textId="32D1D828" w:rsidR="00B56D50" w:rsidRDefault="001C3C42" w:rsidP="00482150">
            <w:pPr>
              <w:spacing w:after="0" w:line="259" w:lineRule="auto"/>
              <w:ind w:left="0" w:right="32" w:firstLine="0"/>
              <w:jc w:val="center"/>
            </w:pPr>
            <w:r>
              <w:rPr>
                <w:sz w:val="18"/>
              </w:rPr>
              <w:t>1312</w:t>
            </w:r>
          </w:p>
        </w:tc>
        <w:tc>
          <w:tcPr>
            <w:tcW w:w="1394" w:type="dxa"/>
            <w:tcBorders>
              <w:top w:val="single" w:sz="4" w:space="0" w:color="000000"/>
              <w:left w:val="single" w:sz="12" w:space="0" w:color="000000"/>
              <w:bottom w:val="single" w:sz="4" w:space="0" w:color="000000"/>
              <w:right w:val="single" w:sz="12" w:space="0" w:color="000000"/>
            </w:tcBorders>
          </w:tcPr>
          <w:p w14:paraId="6A856A39" w14:textId="375E485B" w:rsidR="00B56D50" w:rsidRDefault="001C3C42" w:rsidP="00E305F4">
            <w:pPr>
              <w:spacing w:after="0" w:line="259" w:lineRule="auto"/>
              <w:ind w:left="0" w:right="-180" w:firstLine="0"/>
              <w:jc w:val="center"/>
            </w:pPr>
            <w:r>
              <w:rPr>
                <w:sz w:val="18"/>
              </w:rPr>
              <w:t>8260</w:t>
            </w:r>
          </w:p>
        </w:tc>
        <w:tc>
          <w:tcPr>
            <w:tcW w:w="1789" w:type="dxa"/>
            <w:gridSpan w:val="2"/>
            <w:tcBorders>
              <w:top w:val="single" w:sz="4" w:space="0" w:color="000000"/>
              <w:left w:val="single" w:sz="12" w:space="0" w:color="000000"/>
              <w:bottom w:val="single" w:sz="4" w:space="0" w:color="000000"/>
              <w:right w:val="single" w:sz="12" w:space="0" w:color="000000"/>
            </w:tcBorders>
          </w:tcPr>
          <w:p w14:paraId="1B48FB3B" w14:textId="370A8C06" w:rsidR="00B56D50" w:rsidRDefault="001C3C42" w:rsidP="00C96D0C">
            <w:pPr>
              <w:spacing w:after="0" w:line="259" w:lineRule="auto"/>
              <w:ind w:left="0" w:right="0" w:firstLine="0"/>
              <w:jc w:val="center"/>
            </w:pPr>
            <w:r>
              <w:rPr>
                <w:sz w:val="18"/>
              </w:rPr>
              <w:t>8021/8015</w:t>
            </w:r>
          </w:p>
        </w:tc>
      </w:tr>
      <w:tr w:rsidR="00B56D50" w14:paraId="233D23B6" w14:textId="77777777" w:rsidTr="00C23B62">
        <w:trPr>
          <w:trHeight w:val="425"/>
        </w:trPr>
        <w:tc>
          <w:tcPr>
            <w:tcW w:w="1455" w:type="dxa"/>
            <w:vMerge/>
            <w:tcBorders>
              <w:top w:val="nil"/>
              <w:left w:val="single" w:sz="12" w:space="0" w:color="000000"/>
              <w:bottom w:val="single" w:sz="4" w:space="0" w:color="000000"/>
              <w:right w:val="single" w:sz="12" w:space="0" w:color="000000"/>
            </w:tcBorders>
          </w:tcPr>
          <w:p w14:paraId="36A5169F" w14:textId="77777777" w:rsidR="00B56D50" w:rsidRDefault="00B56D50" w:rsidP="00017AB4">
            <w:pPr>
              <w:spacing w:after="160" w:line="259" w:lineRule="auto"/>
              <w:ind w:left="0" w:right="0" w:firstLine="0"/>
              <w:jc w:val="center"/>
            </w:pPr>
          </w:p>
        </w:tc>
        <w:tc>
          <w:tcPr>
            <w:tcW w:w="0" w:type="auto"/>
            <w:vMerge/>
            <w:tcBorders>
              <w:top w:val="nil"/>
              <w:left w:val="single" w:sz="12" w:space="0" w:color="000000"/>
              <w:bottom w:val="single" w:sz="4" w:space="0" w:color="000000"/>
              <w:right w:val="single" w:sz="12" w:space="0" w:color="000000"/>
            </w:tcBorders>
          </w:tcPr>
          <w:p w14:paraId="7661944C" w14:textId="77777777" w:rsidR="00B56D50" w:rsidRDefault="00B56D50" w:rsidP="00C96D0C">
            <w:pPr>
              <w:spacing w:after="160" w:line="259" w:lineRule="auto"/>
              <w:ind w:left="0" w:right="0" w:firstLine="0"/>
              <w:jc w:val="center"/>
            </w:pPr>
          </w:p>
        </w:tc>
        <w:tc>
          <w:tcPr>
            <w:tcW w:w="0" w:type="auto"/>
            <w:vMerge/>
            <w:tcBorders>
              <w:top w:val="nil"/>
              <w:left w:val="single" w:sz="12" w:space="0" w:color="000000"/>
              <w:bottom w:val="single" w:sz="4" w:space="0" w:color="000000"/>
              <w:right w:val="single" w:sz="12" w:space="0" w:color="000000"/>
            </w:tcBorders>
          </w:tcPr>
          <w:p w14:paraId="18830CD7" w14:textId="77777777" w:rsidR="00B56D50" w:rsidRDefault="00B56D50" w:rsidP="00C96D0C">
            <w:pPr>
              <w:spacing w:after="160" w:line="259" w:lineRule="auto"/>
              <w:ind w:left="0" w:right="0" w:firstLine="0"/>
              <w:jc w:val="center"/>
            </w:pPr>
          </w:p>
        </w:tc>
        <w:tc>
          <w:tcPr>
            <w:tcW w:w="0" w:type="auto"/>
            <w:vMerge/>
            <w:tcBorders>
              <w:top w:val="nil"/>
              <w:left w:val="single" w:sz="12" w:space="0" w:color="000000"/>
              <w:bottom w:val="single" w:sz="4" w:space="0" w:color="000000"/>
              <w:right w:val="single" w:sz="12" w:space="0" w:color="000000"/>
            </w:tcBorders>
          </w:tcPr>
          <w:p w14:paraId="769056DD" w14:textId="77777777" w:rsidR="00B56D50" w:rsidRDefault="00B56D50" w:rsidP="00C96D0C">
            <w:pPr>
              <w:spacing w:after="160" w:line="259" w:lineRule="auto"/>
              <w:ind w:left="0" w:right="0" w:firstLine="0"/>
              <w:jc w:val="center"/>
            </w:pPr>
          </w:p>
        </w:tc>
        <w:tc>
          <w:tcPr>
            <w:tcW w:w="3183" w:type="dxa"/>
            <w:gridSpan w:val="3"/>
            <w:tcBorders>
              <w:top w:val="single" w:sz="4" w:space="0" w:color="000000"/>
              <w:left w:val="single" w:sz="12" w:space="0" w:color="000000"/>
              <w:bottom w:val="single" w:sz="4" w:space="0" w:color="000000"/>
              <w:right w:val="single" w:sz="12" w:space="0" w:color="000000"/>
            </w:tcBorders>
          </w:tcPr>
          <w:p w14:paraId="1A61566C" w14:textId="2AAA882A" w:rsidR="00B56D50" w:rsidRDefault="001C3C42" w:rsidP="00C96D0C">
            <w:pPr>
              <w:spacing w:after="0" w:line="259" w:lineRule="auto"/>
              <w:ind w:left="0" w:right="0" w:firstLine="0"/>
              <w:jc w:val="center"/>
            </w:pPr>
            <w:r>
              <w:rPr>
                <w:sz w:val="18"/>
              </w:rPr>
              <w:t>Specific analyte list will be specified at time of analytical request.</w:t>
            </w:r>
          </w:p>
        </w:tc>
      </w:tr>
      <w:tr w:rsidR="00B453D0" w14:paraId="2B4611B5" w14:textId="77777777" w:rsidTr="00C23B62">
        <w:trPr>
          <w:trHeight w:val="310"/>
        </w:trPr>
        <w:tc>
          <w:tcPr>
            <w:tcW w:w="1455" w:type="dxa"/>
            <w:vMerge w:val="restart"/>
            <w:tcBorders>
              <w:top w:val="single" w:sz="4" w:space="0" w:color="000000"/>
              <w:left w:val="single" w:sz="12" w:space="0" w:color="000000"/>
              <w:bottom w:val="single" w:sz="12" w:space="0" w:color="000000"/>
              <w:right w:val="single" w:sz="12" w:space="0" w:color="000000"/>
            </w:tcBorders>
          </w:tcPr>
          <w:p w14:paraId="7B8FB29D" w14:textId="506E745C" w:rsidR="00B453D0" w:rsidRDefault="00B453D0" w:rsidP="00836891">
            <w:pPr>
              <w:spacing w:after="0" w:line="259" w:lineRule="auto"/>
              <w:ind w:left="0" w:right="36" w:firstLine="0"/>
              <w:jc w:val="center"/>
            </w:pPr>
            <w:r>
              <w:rPr>
                <w:sz w:val="18"/>
              </w:rPr>
              <w:t>Non-volatile</w:t>
            </w:r>
          </w:p>
          <w:p w14:paraId="52C42566" w14:textId="438F9979" w:rsidR="00B453D0" w:rsidRDefault="00B453D0" w:rsidP="00836891">
            <w:pPr>
              <w:spacing w:after="0" w:line="259" w:lineRule="auto"/>
              <w:ind w:left="0" w:right="0" w:firstLine="0"/>
              <w:jc w:val="center"/>
            </w:pPr>
            <w:r>
              <w:rPr>
                <w:sz w:val="18"/>
              </w:rPr>
              <w:t>(bottle) extraction</w:t>
            </w:r>
          </w:p>
        </w:tc>
        <w:tc>
          <w:tcPr>
            <w:tcW w:w="2634" w:type="dxa"/>
            <w:vMerge w:val="restart"/>
            <w:tcBorders>
              <w:top w:val="single" w:sz="4" w:space="0" w:color="000000"/>
              <w:left w:val="single" w:sz="12" w:space="0" w:color="000000"/>
              <w:bottom w:val="single" w:sz="12" w:space="0" w:color="000000"/>
              <w:right w:val="single" w:sz="12" w:space="0" w:color="000000"/>
            </w:tcBorders>
          </w:tcPr>
          <w:p w14:paraId="49DB9757" w14:textId="6B367FC2" w:rsidR="00B453D0" w:rsidRDefault="00B453D0" w:rsidP="00482150">
            <w:pPr>
              <w:spacing w:after="0" w:line="259" w:lineRule="auto"/>
              <w:ind w:left="0" w:right="33" w:firstLine="0"/>
              <w:jc w:val="center"/>
            </w:pPr>
            <w:r>
              <w:rPr>
                <w:sz w:val="18"/>
              </w:rPr>
              <w:t>Cyanide</w:t>
            </w:r>
          </w:p>
        </w:tc>
        <w:tc>
          <w:tcPr>
            <w:tcW w:w="2092" w:type="dxa"/>
            <w:vMerge w:val="restart"/>
            <w:tcBorders>
              <w:top w:val="single" w:sz="4" w:space="0" w:color="000000"/>
              <w:left w:val="single" w:sz="12" w:space="0" w:color="000000"/>
              <w:bottom w:val="single" w:sz="12" w:space="0" w:color="000000"/>
              <w:right w:val="single" w:sz="12" w:space="0" w:color="000000"/>
            </w:tcBorders>
          </w:tcPr>
          <w:p w14:paraId="0849C3EB" w14:textId="24D020C7" w:rsidR="00B453D0" w:rsidRDefault="00B453D0" w:rsidP="00482150">
            <w:pPr>
              <w:spacing w:after="0" w:line="259" w:lineRule="auto"/>
              <w:ind w:left="0" w:right="35" w:firstLine="0"/>
              <w:jc w:val="center"/>
            </w:pPr>
            <w:r>
              <w:rPr>
                <w:sz w:val="18"/>
              </w:rPr>
              <w:t>#3</w:t>
            </w:r>
          </w:p>
          <w:p w14:paraId="10EDC3A6" w14:textId="5F8629F7" w:rsidR="00B453D0" w:rsidRDefault="00B453D0" w:rsidP="00482150">
            <w:pPr>
              <w:spacing w:after="0" w:line="259" w:lineRule="auto"/>
              <w:ind w:left="0" w:right="38" w:firstLine="0"/>
              <w:jc w:val="center"/>
            </w:pPr>
            <w:r>
              <w:rPr>
                <w:sz w:val="18"/>
              </w:rPr>
              <w:t>(Reagent water)</w:t>
            </w:r>
          </w:p>
        </w:tc>
        <w:tc>
          <w:tcPr>
            <w:tcW w:w="1180" w:type="dxa"/>
            <w:vMerge w:val="restart"/>
            <w:tcBorders>
              <w:top w:val="single" w:sz="4" w:space="0" w:color="000000"/>
              <w:left w:val="single" w:sz="12" w:space="0" w:color="000000"/>
              <w:bottom w:val="single" w:sz="12" w:space="0" w:color="000000"/>
              <w:right w:val="single" w:sz="12" w:space="0" w:color="000000"/>
            </w:tcBorders>
          </w:tcPr>
          <w:p w14:paraId="0C777067" w14:textId="3904C0FF" w:rsidR="00B453D0" w:rsidRDefault="00B453D0" w:rsidP="00482150">
            <w:pPr>
              <w:spacing w:after="0" w:line="259" w:lineRule="auto"/>
              <w:ind w:left="0" w:right="32" w:firstLine="0"/>
              <w:jc w:val="center"/>
            </w:pPr>
            <w:r>
              <w:rPr>
                <w:sz w:val="18"/>
              </w:rPr>
              <w:t>1312</w:t>
            </w:r>
          </w:p>
        </w:tc>
        <w:tc>
          <w:tcPr>
            <w:tcW w:w="1453" w:type="dxa"/>
            <w:gridSpan w:val="2"/>
            <w:tcBorders>
              <w:top w:val="single" w:sz="4" w:space="0" w:color="000000"/>
              <w:left w:val="single" w:sz="12" w:space="0" w:color="000000"/>
              <w:bottom w:val="single" w:sz="4" w:space="0" w:color="000000"/>
              <w:right w:val="single" w:sz="12" w:space="0" w:color="000000"/>
            </w:tcBorders>
          </w:tcPr>
          <w:p w14:paraId="4B632312" w14:textId="0A041CD2" w:rsidR="00B453D0" w:rsidRDefault="00B453D0" w:rsidP="00EA23E0">
            <w:pPr>
              <w:tabs>
                <w:tab w:val="center" w:pos="0"/>
                <w:tab w:val="center" w:pos="1651"/>
              </w:tabs>
              <w:spacing w:after="0" w:line="259" w:lineRule="auto"/>
              <w:ind w:left="0" w:right="0" w:firstLine="0"/>
              <w:jc w:val="center"/>
            </w:pPr>
            <w:r>
              <w:rPr>
                <w:sz w:val="18"/>
              </w:rPr>
              <w:t>9014</w:t>
            </w:r>
          </w:p>
        </w:tc>
        <w:tc>
          <w:tcPr>
            <w:tcW w:w="1730" w:type="dxa"/>
            <w:tcBorders>
              <w:top w:val="single" w:sz="4" w:space="0" w:color="000000"/>
              <w:left w:val="single" w:sz="12" w:space="0" w:color="000000"/>
              <w:bottom w:val="single" w:sz="4" w:space="0" w:color="000000"/>
              <w:right w:val="single" w:sz="12" w:space="0" w:color="000000"/>
            </w:tcBorders>
          </w:tcPr>
          <w:p w14:paraId="5D1FE2A1" w14:textId="496CDD6C" w:rsidR="00B453D0" w:rsidRPr="00EA23E0" w:rsidRDefault="00B453D0" w:rsidP="00EA23E0">
            <w:pPr>
              <w:tabs>
                <w:tab w:val="center" w:pos="0"/>
                <w:tab w:val="center" w:pos="1651"/>
              </w:tabs>
              <w:spacing w:after="0" w:line="259" w:lineRule="auto"/>
              <w:ind w:left="0" w:right="0" w:firstLine="0"/>
              <w:jc w:val="center"/>
              <w:rPr>
                <w:sz w:val="18"/>
                <w:szCs w:val="18"/>
              </w:rPr>
            </w:pPr>
            <w:r w:rsidRPr="00EA23E0">
              <w:rPr>
                <w:sz w:val="18"/>
                <w:szCs w:val="18"/>
              </w:rPr>
              <w:t>9213</w:t>
            </w:r>
          </w:p>
        </w:tc>
      </w:tr>
      <w:tr w:rsidR="00B56D50" w14:paraId="01FCFF0C" w14:textId="77777777" w:rsidTr="00C23B62">
        <w:trPr>
          <w:trHeight w:val="641"/>
        </w:trPr>
        <w:tc>
          <w:tcPr>
            <w:tcW w:w="1455" w:type="dxa"/>
            <w:vMerge/>
            <w:tcBorders>
              <w:top w:val="nil"/>
              <w:left w:val="single" w:sz="12" w:space="0" w:color="000000"/>
              <w:bottom w:val="single" w:sz="12" w:space="0" w:color="000000"/>
              <w:right w:val="single" w:sz="12" w:space="0" w:color="000000"/>
            </w:tcBorders>
          </w:tcPr>
          <w:p w14:paraId="3A2210B7" w14:textId="77777777" w:rsidR="00B56D50" w:rsidRDefault="00B56D50">
            <w:pPr>
              <w:spacing w:after="160" w:line="259" w:lineRule="auto"/>
              <w:ind w:left="0" w:right="0" w:firstLine="0"/>
            </w:pPr>
          </w:p>
        </w:tc>
        <w:tc>
          <w:tcPr>
            <w:tcW w:w="0" w:type="auto"/>
            <w:vMerge/>
            <w:tcBorders>
              <w:top w:val="nil"/>
              <w:left w:val="single" w:sz="12" w:space="0" w:color="000000"/>
              <w:bottom w:val="single" w:sz="12" w:space="0" w:color="000000"/>
              <w:right w:val="single" w:sz="12" w:space="0" w:color="000000"/>
            </w:tcBorders>
          </w:tcPr>
          <w:p w14:paraId="47E80CA7" w14:textId="77777777" w:rsidR="00B56D50" w:rsidRDefault="00B56D50" w:rsidP="00C96D0C">
            <w:pPr>
              <w:spacing w:after="160" w:line="259" w:lineRule="auto"/>
              <w:ind w:left="0" w:right="0" w:firstLine="0"/>
              <w:jc w:val="center"/>
            </w:pPr>
          </w:p>
        </w:tc>
        <w:tc>
          <w:tcPr>
            <w:tcW w:w="0" w:type="auto"/>
            <w:vMerge/>
            <w:tcBorders>
              <w:top w:val="nil"/>
              <w:left w:val="single" w:sz="12" w:space="0" w:color="000000"/>
              <w:bottom w:val="single" w:sz="12" w:space="0" w:color="000000"/>
              <w:right w:val="single" w:sz="12" w:space="0" w:color="000000"/>
            </w:tcBorders>
          </w:tcPr>
          <w:p w14:paraId="2C3A4A25" w14:textId="77777777" w:rsidR="00B56D50" w:rsidRDefault="00B56D50" w:rsidP="00C96D0C">
            <w:pPr>
              <w:spacing w:after="160" w:line="259" w:lineRule="auto"/>
              <w:ind w:left="0" w:right="0" w:firstLine="0"/>
              <w:jc w:val="center"/>
            </w:pPr>
          </w:p>
        </w:tc>
        <w:tc>
          <w:tcPr>
            <w:tcW w:w="0" w:type="auto"/>
            <w:vMerge/>
            <w:tcBorders>
              <w:top w:val="nil"/>
              <w:left w:val="single" w:sz="12" w:space="0" w:color="000000"/>
              <w:bottom w:val="single" w:sz="12" w:space="0" w:color="000000"/>
              <w:right w:val="single" w:sz="12" w:space="0" w:color="000000"/>
            </w:tcBorders>
          </w:tcPr>
          <w:p w14:paraId="533B415C" w14:textId="77777777" w:rsidR="00B56D50" w:rsidRDefault="00B56D50" w:rsidP="00C96D0C">
            <w:pPr>
              <w:spacing w:after="160" w:line="259" w:lineRule="auto"/>
              <w:ind w:left="0" w:right="0" w:firstLine="0"/>
              <w:jc w:val="center"/>
            </w:pPr>
          </w:p>
        </w:tc>
        <w:tc>
          <w:tcPr>
            <w:tcW w:w="3183" w:type="dxa"/>
            <w:gridSpan w:val="3"/>
            <w:tcBorders>
              <w:top w:val="single" w:sz="4" w:space="0" w:color="000000"/>
              <w:left w:val="single" w:sz="12" w:space="0" w:color="000000"/>
              <w:bottom w:val="single" w:sz="12" w:space="0" w:color="000000"/>
              <w:right w:val="single" w:sz="12" w:space="0" w:color="000000"/>
            </w:tcBorders>
          </w:tcPr>
          <w:p w14:paraId="2347510C" w14:textId="1C5A8432" w:rsidR="00B56D50" w:rsidRDefault="001C3C42" w:rsidP="00C96D0C">
            <w:pPr>
              <w:spacing w:after="0" w:line="259" w:lineRule="auto"/>
              <w:ind w:left="0" w:right="0" w:firstLine="0"/>
              <w:jc w:val="center"/>
            </w:pPr>
            <w:r>
              <w:rPr>
                <w:sz w:val="18"/>
              </w:rPr>
              <w:t xml:space="preserve">Assume determination is </w:t>
            </w:r>
            <w:r>
              <w:rPr>
                <w:b/>
                <w:sz w:val="18"/>
              </w:rPr>
              <w:t>free</w:t>
            </w:r>
            <w:r>
              <w:rPr>
                <w:sz w:val="18"/>
              </w:rPr>
              <w:t xml:space="preserve"> cyanide unless notified differently at time of analytical request.</w:t>
            </w:r>
          </w:p>
        </w:tc>
      </w:tr>
    </w:tbl>
    <w:p w14:paraId="37B21415" w14:textId="77777777" w:rsidR="00386EC1" w:rsidRDefault="001C3C42" w:rsidP="003D6B90">
      <w:pPr>
        <w:spacing w:after="0" w:line="259" w:lineRule="auto"/>
        <w:ind w:right="0"/>
        <w:rPr>
          <w:b/>
        </w:rPr>
      </w:pPr>
      <w:r>
        <w:rPr>
          <w:b/>
        </w:rPr>
        <w:t xml:space="preserve"> </w:t>
      </w:r>
    </w:p>
    <w:tbl>
      <w:tblPr>
        <w:tblStyle w:val="TableGrid1"/>
        <w:tblW w:w="10544" w:type="dxa"/>
        <w:tblInd w:w="-375" w:type="dxa"/>
        <w:tblCellMar>
          <w:top w:w="8" w:type="dxa"/>
        </w:tblCellMar>
        <w:tblLook w:val="04A0" w:firstRow="1" w:lastRow="0" w:firstColumn="1" w:lastColumn="0" w:noHBand="0" w:noVBand="1"/>
      </w:tblPr>
      <w:tblGrid>
        <w:gridCol w:w="1732"/>
        <w:gridCol w:w="1178"/>
        <w:gridCol w:w="2884"/>
        <w:gridCol w:w="1103"/>
        <w:gridCol w:w="1709"/>
        <w:gridCol w:w="1938"/>
      </w:tblGrid>
      <w:tr w:rsidR="00386EC1" w14:paraId="49958AEB" w14:textId="77777777" w:rsidTr="0051464B">
        <w:trPr>
          <w:trHeight w:val="288"/>
        </w:trPr>
        <w:tc>
          <w:tcPr>
            <w:tcW w:w="6897" w:type="dxa"/>
            <w:gridSpan w:val="4"/>
            <w:tcBorders>
              <w:top w:val="single" w:sz="12" w:space="0" w:color="000000"/>
              <w:left w:val="single" w:sz="12" w:space="0" w:color="000000"/>
              <w:bottom w:val="single" w:sz="12" w:space="0" w:color="000000"/>
              <w:right w:val="nil"/>
            </w:tcBorders>
            <w:vAlign w:val="center"/>
          </w:tcPr>
          <w:p w14:paraId="1D80D27B" w14:textId="199A83C3" w:rsidR="00386EC1" w:rsidRDefault="00386EC1" w:rsidP="0033698E">
            <w:pPr>
              <w:spacing w:after="0" w:line="259" w:lineRule="auto"/>
              <w:ind w:left="108" w:right="0" w:firstLine="0"/>
            </w:pPr>
            <w:r>
              <w:rPr>
                <w:b/>
                <w:sz w:val="18"/>
              </w:rPr>
              <w:t>SW-846 SAS Group P</w:t>
            </w:r>
            <w:proofErr w:type="gramStart"/>
            <w:r>
              <w:rPr>
                <w:b/>
                <w:sz w:val="18"/>
              </w:rPr>
              <w:t>:  Neutral</w:t>
            </w:r>
            <w:proofErr w:type="gramEnd"/>
            <w:r>
              <w:rPr>
                <w:b/>
                <w:sz w:val="18"/>
              </w:rPr>
              <w:t xml:space="preserve"> Leaching Method for Industrial Waste</w:t>
            </w:r>
            <w:r w:rsidRPr="00626D8F">
              <w:rPr>
                <w:b/>
                <w:strike/>
                <w:sz w:val="18"/>
              </w:rPr>
              <w:t>s</w:t>
            </w:r>
            <w:r w:rsidRPr="008D444A">
              <w:rPr>
                <w:bCs/>
                <w:sz w:val="18"/>
              </w:rPr>
              <w:t xml:space="preserve"> </w:t>
            </w:r>
            <w:r w:rsidRPr="00836891">
              <w:rPr>
                <w:b/>
                <w:bCs/>
                <w:sz w:val="18"/>
                <w:vertAlign w:val="superscript"/>
              </w:rPr>
              <w:t>33</w:t>
            </w:r>
          </w:p>
        </w:tc>
        <w:tc>
          <w:tcPr>
            <w:tcW w:w="1709" w:type="dxa"/>
            <w:tcBorders>
              <w:top w:val="single" w:sz="12" w:space="0" w:color="000000"/>
              <w:left w:val="nil"/>
              <w:bottom w:val="single" w:sz="12" w:space="0" w:color="000000"/>
              <w:right w:val="nil"/>
            </w:tcBorders>
            <w:vAlign w:val="center"/>
          </w:tcPr>
          <w:p w14:paraId="721789D4" w14:textId="77777777" w:rsidR="00386EC1" w:rsidRDefault="00386EC1" w:rsidP="0033698E">
            <w:pPr>
              <w:spacing w:after="0" w:line="259" w:lineRule="auto"/>
              <w:ind w:left="0" w:right="0" w:firstLine="0"/>
            </w:pPr>
          </w:p>
        </w:tc>
        <w:tc>
          <w:tcPr>
            <w:tcW w:w="1938" w:type="dxa"/>
            <w:tcBorders>
              <w:top w:val="single" w:sz="12" w:space="0" w:color="000000"/>
              <w:left w:val="nil"/>
              <w:bottom w:val="single" w:sz="12" w:space="0" w:color="000000"/>
              <w:right w:val="single" w:sz="12" w:space="0" w:color="000000"/>
            </w:tcBorders>
            <w:vAlign w:val="center"/>
          </w:tcPr>
          <w:p w14:paraId="0C0F7F5B" w14:textId="77777777" w:rsidR="00386EC1" w:rsidRDefault="00386EC1" w:rsidP="0033698E">
            <w:pPr>
              <w:spacing w:after="0" w:line="259" w:lineRule="auto"/>
              <w:ind w:left="0" w:right="0" w:firstLine="0"/>
            </w:pPr>
          </w:p>
        </w:tc>
      </w:tr>
      <w:tr w:rsidR="00386EC1" w14:paraId="0C2FD875" w14:textId="77777777" w:rsidTr="0051464B">
        <w:trPr>
          <w:trHeight w:val="794"/>
        </w:trPr>
        <w:tc>
          <w:tcPr>
            <w:tcW w:w="1732" w:type="dxa"/>
            <w:tcBorders>
              <w:top w:val="single" w:sz="12" w:space="0" w:color="000000"/>
              <w:left w:val="single" w:sz="12" w:space="0" w:color="000000"/>
              <w:bottom w:val="single" w:sz="12" w:space="0" w:color="000000"/>
              <w:right w:val="single" w:sz="12" w:space="0" w:color="000000"/>
            </w:tcBorders>
            <w:vAlign w:val="center"/>
          </w:tcPr>
          <w:p w14:paraId="08FF3071" w14:textId="77777777" w:rsidR="00386EC1" w:rsidRDefault="00386EC1" w:rsidP="0033698E">
            <w:pPr>
              <w:spacing w:after="0" w:line="259" w:lineRule="auto"/>
              <w:ind w:left="0" w:right="0" w:firstLine="0"/>
              <w:jc w:val="center"/>
            </w:pPr>
            <w:r>
              <w:rPr>
                <w:b/>
                <w:sz w:val="18"/>
              </w:rPr>
              <w:t>Applicable Waste Stream</w:t>
            </w:r>
          </w:p>
        </w:tc>
        <w:tc>
          <w:tcPr>
            <w:tcW w:w="1178" w:type="dxa"/>
            <w:tcBorders>
              <w:top w:val="single" w:sz="12" w:space="0" w:color="000000"/>
              <w:left w:val="single" w:sz="12" w:space="0" w:color="000000"/>
              <w:bottom w:val="single" w:sz="12" w:space="0" w:color="000000"/>
              <w:right w:val="single" w:sz="12" w:space="0" w:color="000000"/>
            </w:tcBorders>
            <w:vAlign w:val="center"/>
          </w:tcPr>
          <w:p w14:paraId="40F21513" w14:textId="77777777" w:rsidR="00386EC1" w:rsidRDefault="00386EC1" w:rsidP="0033698E">
            <w:pPr>
              <w:spacing w:after="0" w:line="259" w:lineRule="auto"/>
              <w:ind w:left="0" w:right="0" w:firstLine="0"/>
              <w:jc w:val="center"/>
            </w:pPr>
            <w:r>
              <w:rPr>
                <w:b/>
                <w:sz w:val="18"/>
              </w:rPr>
              <w:t>Extraction Procedure</w:t>
            </w:r>
          </w:p>
        </w:tc>
        <w:tc>
          <w:tcPr>
            <w:tcW w:w="2884" w:type="dxa"/>
            <w:tcBorders>
              <w:top w:val="single" w:sz="12" w:space="0" w:color="000000"/>
              <w:left w:val="single" w:sz="12" w:space="0" w:color="000000"/>
              <w:bottom w:val="single" w:sz="12" w:space="0" w:color="000000"/>
              <w:right w:val="single" w:sz="12" w:space="0" w:color="000000"/>
            </w:tcBorders>
            <w:vAlign w:val="center"/>
          </w:tcPr>
          <w:p w14:paraId="221F5252" w14:textId="77777777" w:rsidR="00386EC1" w:rsidRDefault="00386EC1" w:rsidP="0033698E">
            <w:pPr>
              <w:spacing w:after="0" w:line="259" w:lineRule="auto"/>
              <w:ind w:left="0" w:right="10" w:firstLine="0"/>
              <w:jc w:val="center"/>
            </w:pPr>
            <w:r>
              <w:rPr>
                <w:b/>
                <w:sz w:val="18"/>
              </w:rPr>
              <w:t>Required Analytes</w:t>
            </w:r>
          </w:p>
        </w:tc>
        <w:tc>
          <w:tcPr>
            <w:tcW w:w="1103" w:type="dxa"/>
            <w:tcBorders>
              <w:top w:val="single" w:sz="12" w:space="0" w:color="000000"/>
              <w:left w:val="single" w:sz="12" w:space="0" w:color="000000"/>
              <w:bottom w:val="single" w:sz="12" w:space="0" w:color="000000"/>
              <w:right w:val="single" w:sz="12" w:space="0" w:color="000000"/>
            </w:tcBorders>
            <w:vAlign w:val="center"/>
          </w:tcPr>
          <w:p w14:paraId="26A5D428" w14:textId="77777777" w:rsidR="00386EC1" w:rsidRDefault="00386EC1" w:rsidP="0033698E">
            <w:pPr>
              <w:spacing w:after="0" w:line="259" w:lineRule="auto"/>
              <w:ind w:left="0" w:right="1" w:firstLine="0"/>
              <w:jc w:val="center"/>
            </w:pPr>
            <w:r>
              <w:rPr>
                <w:b/>
                <w:sz w:val="18"/>
              </w:rPr>
              <w:t>Extraction</w:t>
            </w:r>
          </w:p>
          <w:p w14:paraId="42C8B722" w14:textId="77777777" w:rsidR="00386EC1" w:rsidRDefault="00386EC1" w:rsidP="0033698E">
            <w:pPr>
              <w:spacing w:after="0" w:line="259" w:lineRule="auto"/>
              <w:ind w:left="0" w:right="3" w:firstLine="0"/>
              <w:jc w:val="center"/>
            </w:pPr>
            <w:r>
              <w:rPr>
                <w:b/>
                <w:sz w:val="18"/>
              </w:rPr>
              <w:t>Fluid</w:t>
            </w:r>
          </w:p>
          <w:p w14:paraId="29265A76" w14:textId="77777777" w:rsidR="00386EC1" w:rsidRDefault="00386EC1" w:rsidP="0033698E">
            <w:pPr>
              <w:spacing w:after="0" w:line="259" w:lineRule="auto"/>
              <w:ind w:left="0" w:right="6" w:firstLine="0"/>
              <w:jc w:val="center"/>
            </w:pPr>
            <w:r>
              <w:rPr>
                <w:b/>
                <w:sz w:val="18"/>
              </w:rPr>
              <w:t>Required</w:t>
            </w:r>
          </w:p>
        </w:tc>
        <w:tc>
          <w:tcPr>
            <w:tcW w:w="1709" w:type="dxa"/>
            <w:tcBorders>
              <w:top w:val="single" w:sz="12" w:space="0" w:color="000000"/>
              <w:left w:val="single" w:sz="12" w:space="0" w:color="000000"/>
              <w:bottom w:val="single" w:sz="12" w:space="0" w:color="000000"/>
              <w:right w:val="single" w:sz="12" w:space="0" w:color="000000"/>
            </w:tcBorders>
            <w:vAlign w:val="center"/>
          </w:tcPr>
          <w:p w14:paraId="3F6922CE" w14:textId="77777777" w:rsidR="00386EC1" w:rsidRDefault="00386EC1" w:rsidP="0033698E">
            <w:pPr>
              <w:spacing w:after="0" w:line="259" w:lineRule="auto"/>
              <w:ind w:left="0" w:right="0" w:firstLine="0"/>
              <w:jc w:val="center"/>
            </w:pPr>
            <w:r>
              <w:rPr>
                <w:b/>
                <w:sz w:val="18"/>
              </w:rPr>
              <w:t>Required Leaching Method</w:t>
            </w:r>
          </w:p>
        </w:tc>
        <w:tc>
          <w:tcPr>
            <w:tcW w:w="1938" w:type="dxa"/>
            <w:tcBorders>
              <w:top w:val="single" w:sz="12" w:space="0" w:color="000000"/>
              <w:left w:val="single" w:sz="12" w:space="0" w:color="000000"/>
              <w:bottom w:val="single" w:sz="12" w:space="0" w:color="000000"/>
              <w:right w:val="single" w:sz="12" w:space="0" w:color="000000"/>
            </w:tcBorders>
            <w:vAlign w:val="center"/>
          </w:tcPr>
          <w:p w14:paraId="3F690CAE" w14:textId="77777777" w:rsidR="00386EC1" w:rsidRDefault="00386EC1" w:rsidP="0033698E">
            <w:pPr>
              <w:spacing w:after="0" w:line="259" w:lineRule="auto"/>
              <w:ind w:left="0" w:right="7" w:firstLine="0"/>
              <w:jc w:val="center"/>
            </w:pPr>
            <w:r>
              <w:rPr>
                <w:b/>
                <w:sz w:val="18"/>
              </w:rPr>
              <w:t>Acceptable</w:t>
            </w:r>
          </w:p>
          <w:p w14:paraId="3C1852DE" w14:textId="77777777" w:rsidR="00386EC1" w:rsidRDefault="00386EC1" w:rsidP="0033698E">
            <w:pPr>
              <w:spacing w:after="0" w:line="259" w:lineRule="auto"/>
              <w:ind w:left="50" w:right="12" w:firstLine="0"/>
              <w:jc w:val="center"/>
            </w:pPr>
            <w:r>
              <w:rPr>
                <w:b/>
                <w:sz w:val="18"/>
              </w:rPr>
              <w:t>Determinative Methods</w:t>
            </w:r>
            <w:r>
              <w:rPr>
                <w:sz w:val="18"/>
              </w:rPr>
              <w:t xml:space="preserve"> (on Leachate)</w:t>
            </w:r>
          </w:p>
        </w:tc>
      </w:tr>
      <w:tr w:rsidR="00386EC1" w14:paraId="5E7B1C4A" w14:textId="77777777" w:rsidTr="0051464B">
        <w:trPr>
          <w:trHeight w:val="1678"/>
        </w:trPr>
        <w:tc>
          <w:tcPr>
            <w:tcW w:w="1732" w:type="dxa"/>
            <w:tcBorders>
              <w:top w:val="single" w:sz="12" w:space="0" w:color="000000"/>
              <w:left w:val="single" w:sz="12" w:space="0" w:color="000000"/>
              <w:bottom w:val="single" w:sz="4" w:space="0" w:color="000000"/>
              <w:right w:val="single" w:sz="12" w:space="0" w:color="000000"/>
            </w:tcBorders>
          </w:tcPr>
          <w:p w14:paraId="228FB0C3" w14:textId="77777777" w:rsidR="00386EC1" w:rsidRDefault="00386EC1" w:rsidP="00093377">
            <w:pPr>
              <w:numPr>
                <w:ilvl w:val="0"/>
                <w:numId w:val="55"/>
              </w:numPr>
              <w:spacing w:after="0" w:line="259" w:lineRule="auto"/>
              <w:ind w:right="0" w:hanging="180"/>
            </w:pPr>
            <w:r>
              <w:rPr>
                <w:sz w:val="18"/>
              </w:rPr>
              <w:t xml:space="preserve">Coal Ash </w:t>
            </w:r>
          </w:p>
          <w:p w14:paraId="7D7CDB6A" w14:textId="77777777" w:rsidR="00386EC1" w:rsidRDefault="00386EC1" w:rsidP="0033698E">
            <w:pPr>
              <w:spacing w:after="0" w:line="259" w:lineRule="auto"/>
              <w:ind w:left="36" w:right="0" w:firstLine="0"/>
            </w:pPr>
            <w:r>
              <w:rPr>
                <w:sz w:val="18"/>
              </w:rPr>
              <w:t xml:space="preserve"> </w:t>
            </w:r>
          </w:p>
          <w:p w14:paraId="39FA62A6" w14:textId="77777777" w:rsidR="00386EC1" w:rsidRDefault="00386EC1" w:rsidP="00093377">
            <w:pPr>
              <w:numPr>
                <w:ilvl w:val="0"/>
                <w:numId w:val="55"/>
              </w:numPr>
              <w:spacing w:after="0" w:line="238" w:lineRule="auto"/>
              <w:ind w:right="0" w:hanging="180"/>
            </w:pPr>
            <w:r>
              <w:rPr>
                <w:sz w:val="18"/>
              </w:rPr>
              <w:t xml:space="preserve">Flue Gas Desulfurization </w:t>
            </w:r>
          </w:p>
          <w:p w14:paraId="55A75EEF" w14:textId="77777777" w:rsidR="00386EC1" w:rsidRDefault="00386EC1" w:rsidP="0033698E">
            <w:pPr>
              <w:spacing w:after="0" w:line="259" w:lineRule="auto"/>
              <w:ind w:left="216" w:right="0" w:firstLine="0"/>
            </w:pPr>
            <w:r>
              <w:rPr>
                <w:sz w:val="18"/>
              </w:rPr>
              <w:t xml:space="preserve">Byproducts </w:t>
            </w:r>
          </w:p>
          <w:p w14:paraId="10F1CE7E" w14:textId="77777777" w:rsidR="00386EC1" w:rsidRDefault="00386EC1" w:rsidP="0033698E">
            <w:pPr>
              <w:spacing w:after="0" w:line="259" w:lineRule="auto"/>
              <w:ind w:left="43" w:right="0" w:firstLine="0"/>
              <w:jc w:val="center"/>
            </w:pPr>
            <w:r>
              <w:rPr>
                <w:sz w:val="18"/>
              </w:rPr>
              <w:t xml:space="preserve"> </w:t>
            </w:r>
          </w:p>
        </w:tc>
        <w:tc>
          <w:tcPr>
            <w:tcW w:w="1178" w:type="dxa"/>
            <w:tcBorders>
              <w:top w:val="single" w:sz="12" w:space="0" w:color="000000"/>
              <w:left w:val="single" w:sz="12" w:space="0" w:color="000000"/>
              <w:bottom w:val="single" w:sz="4" w:space="0" w:color="000000"/>
              <w:right w:val="single" w:sz="12" w:space="0" w:color="000000"/>
            </w:tcBorders>
          </w:tcPr>
          <w:p w14:paraId="278B7F2F" w14:textId="189ECBA7" w:rsidR="00386EC1" w:rsidRDefault="00386EC1" w:rsidP="0033698E">
            <w:pPr>
              <w:spacing w:after="0" w:line="259" w:lineRule="auto"/>
              <w:ind w:left="0" w:right="5" w:firstLine="0"/>
              <w:jc w:val="center"/>
            </w:pPr>
            <w:r>
              <w:rPr>
                <w:sz w:val="18"/>
              </w:rPr>
              <w:t xml:space="preserve">Non-volatile </w:t>
            </w:r>
          </w:p>
          <w:p w14:paraId="2D9AE586" w14:textId="77777777" w:rsidR="00386EC1" w:rsidRDefault="00386EC1" w:rsidP="0033698E">
            <w:pPr>
              <w:spacing w:after="0" w:line="259" w:lineRule="auto"/>
              <w:ind w:left="1" w:right="0" w:firstLine="0"/>
              <w:jc w:val="center"/>
            </w:pPr>
            <w:r>
              <w:rPr>
                <w:sz w:val="18"/>
              </w:rPr>
              <w:t xml:space="preserve">(bottle) extraction </w:t>
            </w:r>
          </w:p>
        </w:tc>
        <w:tc>
          <w:tcPr>
            <w:tcW w:w="2884" w:type="dxa"/>
            <w:tcBorders>
              <w:top w:val="single" w:sz="12" w:space="0" w:color="000000"/>
              <w:left w:val="single" w:sz="12" w:space="0" w:color="000000"/>
              <w:bottom w:val="single" w:sz="4" w:space="0" w:color="000000"/>
              <w:right w:val="single" w:sz="12" w:space="0" w:color="000000"/>
            </w:tcBorders>
          </w:tcPr>
          <w:p w14:paraId="2A64090B" w14:textId="12F9D0B0" w:rsidR="00386EC1" w:rsidRPr="00C91807" w:rsidRDefault="00386EC1" w:rsidP="0033698E">
            <w:pPr>
              <w:tabs>
                <w:tab w:val="center" w:pos="1468"/>
              </w:tabs>
              <w:spacing w:after="0" w:line="259" w:lineRule="auto"/>
              <w:ind w:left="0" w:right="0" w:firstLine="0"/>
              <w:jc w:val="center"/>
              <w:rPr>
                <w:iCs/>
              </w:rPr>
            </w:pPr>
            <w:r>
              <w:rPr>
                <w:sz w:val="18"/>
              </w:rPr>
              <w:t>Barium, Chloride, Cyanide*</w:t>
            </w:r>
            <w:proofErr w:type="gramStart"/>
            <w:r>
              <w:rPr>
                <w:sz w:val="18"/>
              </w:rPr>
              <w:t>,  Fluoride</w:t>
            </w:r>
            <w:proofErr w:type="gramEnd"/>
            <w:r>
              <w:rPr>
                <w:sz w:val="18"/>
              </w:rPr>
              <w:t xml:space="preserve">, pH, Sodium, </w:t>
            </w:r>
            <w:proofErr w:type="gramStart"/>
            <w:r>
              <w:rPr>
                <w:sz w:val="18"/>
              </w:rPr>
              <w:t>Sulfate,  Sulfide</w:t>
            </w:r>
            <w:proofErr w:type="gramEnd"/>
            <w:r>
              <w:rPr>
                <w:sz w:val="18"/>
              </w:rPr>
              <w:t>*, Total dissolved solids</w:t>
            </w:r>
          </w:p>
        </w:tc>
        <w:tc>
          <w:tcPr>
            <w:tcW w:w="1103" w:type="dxa"/>
            <w:tcBorders>
              <w:top w:val="single" w:sz="12" w:space="0" w:color="000000"/>
              <w:left w:val="single" w:sz="12" w:space="0" w:color="000000"/>
              <w:bottom w:val="single" w:sz="4" w:space="0" w:color="000000"/>
              <w:right w:val="single" w:sz="12" w:space="0" w:color="000000"/>
            </w:tcBorders>
          </w:tcPr>
          <w:p w14:paraId="5ABBA9C9" w14:textId="77777777" w:rsidR="00386EC1" w:rsidRDefault="00386EC1" w:rsidP="0033698E">
            <w:pPr>
              <w:spacing w:after="0" w:line="259" w:lineRule="auto"/>
              <w:ind w:left="15" w:right="0" w:firstLine="0"/>
              <w:jc w:val="center"/>
            </w:pPr>
            <w:r>
              <w:rPr>
                <w:sz w:val="18"/>
              </w:rPr>
              <w:t xml:space="preserve">Deionized water </w:t>
            </w:r>
          </w:p>
        </w:tc>
        <w:tc>
          <w:tcPr>
            <w:tcW w:w="1709" w:type="dxa"/>
            <w:tcBorders>
              <w:top w:val="single" w:sz="12" w:space="0" w:color="000000"/>
              <w:left w:val="single" w:sz="12" w:space="0" w:color="000000"/>
              <w:bottom w:val="single" w:sz="4" w:space="0" w:color="000000"/>
              <w:right w:val="single" w:sz="12" w:space="0" w:color="000000"/>
            </w:tcBorders>
          </w:tcPr>
          <w:p w14:paraId="6C6D6619" w14:textId="48450A30" w:rsidR="00386EC1" w:rsidRDefault="00386EC1" w:rsidP="00347BED">
            <w:pPr>
              <w:spacing w:after="0" w:line="259" w:lineRule="auto"/>
              <w:ind w:left="14" w:right="0" w:firstLine="0"/>
              <w:jc w:val="center"/>
            </w:pPr>
            <w:r>
              <w:rPr>
                <w:sz w:val="18"/>
              </w:rPr>
              <w:t>SW-846 Method</w:t>
            </w:r>
          </w:p>
          <w:p w14:paraId="3BF2C45E" w14:textId="0FBE1EB9" w:rsidR="00386EC1" w:rsidRDefault="00386EC1" w:rsidP="00347BED">
            <w:pPr>
              <w:spacing w:after="0" w:line="238" w:lineRule="auto"/>
              <w:ind w:left="178" w:right="313" w:firstLine="0"/>
              <w:jc w:val="center"/>
            </w:pPr>
            <w:r>
              <w:rPr>
                <w:sz w:val="18"/>
              </w:rPr>
              <w:t xml:space="preserve">1311, substituting reagent water for extraction fluid </w:t>
            </w:r>
            <w:r>
              <w:rPr>
                <w:i/>
                <w:sz w:val="18"/>
              </w:rPr>
              <w:t>or</w:t>
            </w:r>
          </w:p>
          <w:p w14:paraId="6B642A94" w14:textId="0BAD5443" w:rsidR="00386EC1" w:rsidRDefault="00386EC1" w:rsidP="00347BED">
            <w:pPr>
              <w:spacing w:after="0" w:line="259" w:lineRule="auto"/>
              <w:ind w:left="106" w:right="0" w:firstLine="0"/>
              <w:jc w:val="center"/>
            </w:pPr>
            <w:r>
              <w:rPr>
                <w:sz w:val="18"/>
              </w:rPr>
              <w:t>SW-846 Method</w:t>
            </w:r>
          </w:p>
          <w:p w14:paraId="7CC26733" w14:textId="13863289" w:rsidR="00386EC1" w:rsidRDefault="00386EC1" w:rsidP="00347BED">
            <w:pPr>
              <w:spacing w:after="0" w:line="259" w:lineRule="auto"/>
              <w:ind w:left="106" w:right="0" w:firstLine="0"/>
              <w:jc w:val="center"/>
            </w:pPr>
            <w:r>
              <w:rPr>
                <w:sz w:val="18"/>
              </w:rPr>
              <w:t>1312, using fluid #3</w:t>
            </w:r>
          </w:p>
          <w:p w14:paraId="48FDFE0C" w14:textId="1E4D5AFC" w:rsidR="00386EC1" w:rsidRDefault="00386EC1" w:rsidP="00347BED">
            <w:pPr>
              <w:spacing w:after="0" w:line="259" w:lineRule="auto"/>
              <w:ind w:left="106" w:right="0" w:firstLine="0"/>
              <w:jc w:val="center"/>
            </w:pPr>
            <w:r>
              <w:rPr>
                <w:sz w:val="18"/>
              </w:rPr>
              <w:t>(reagent water)</w:t>
            </w:r>
          </w:p>
        </w:tc>
        <w:tc>
          <w:tcPr>
            <w:tcW w:w="1938" w:type="dxa"/>
            <w:tcBorders>
              <w:top w:val="single" w:sz="12" w:space="0" w:color="000000"/>
              <w:left w:val="single" w:sz="12" w:space="0" w:color="000000"/>
              <w:bottom w:val="single" w:sz="4" w:space="0" w:color="000000"/>
              <w:right w:val="single" w:sz="12" w:space="0" w:color="000000"/>
            </w:tcBorders>
          </w:tcPr>
          <w:p w14:paraId="5307E933" w14:textId="77777777" w:rsidR="00386EC1" w:rsidRDefault="00386EC1" w:rsidP="0033698E">
            <w:pPr>
              <w:spacing w:after="0" w:line="239" w:lineRule="auto"/>
              <w:ind w:left="106" w:right="0" w:firstLine="0"/>
            </w:pPr>
            <w:r>
              <w:rPr>
                <w:sz w:val="18"/>
              </w:rPr>
              <w:t xml:space="preserve">See Metals and General Chemistry Analyte Groups above.   </w:t>
            </w:r>
          </w:p>
          <w:p w14:paraId="718A375F" w14:textId="77777777" w:rsidR="00386EC1" w:rsidRDefault="00386EC1" w:rsidP="0033698E">
            <w:pPr>
              <w:spacing w:after="0" w:line="259" w:lineRule="auto"/>
              <w:ind w:left="106" w:right="0" w:firstLine="0"/>
            </w:pPr>
            <w:r>
              <w:rPr>
                <w:sz w:val="18"/>
              </w:rPr>
              <w:t xml:space="preserve"> </w:t>
            </w:r>
          </w:p>
        </w:tc>
      </w:tr>
      <w:tr w:rsidR="00386EC1" w14:paraId="348A81AA" w14:textId="77777777" w:rsidTr="0051464B">
        <w:trPr>
          <w:trHeight w:val="1873"/>
        </w:trPr>
        <w:tc>
          <w:tcPr>
            <w:tcW w:w="1732" w:type="dxa"/>
            <w:tcBorders>
              <w:top w:val="single" w:sz="4" w:space="0" w:color="000000"/>
              <w:left w:val="single" w:sz="12" w:space="0" w:color="000000"/>
              <w:bottom w:val="single" w:sz="4" w:space="0" w:color="000000"/>
              <w:right w:val="single" w:sz="12" w:space="0" w:color="000000"/>
            </w:tcBorders>
          </w:tcPr>
          <w:p w14:paraId="33F92890" w14:textId="77777777" w:rsidR="00386EC1" w:rsidRDefault="00386EC1" w:rsidP="0033698E">
            <w:pPr>
              <w:spacing w:after="0" w:line="259" w:lineRule="auto"/>
              <w:ind w:left="36" w:right="0" w:firstLine="0"/>
            </w:pPr>
            <w:r>
              <w:rPr>
                <w:rFonts w:ascii="Wingdings" w:eastAsia="Wingdings" w:hAnsi="Wingdings" w:cs="Wingdings"/>
                <w:sz w:val="18"/>
              </w:rPr>
              <w:t></w:t>
            </w:r>
            <w:r>
              <w:rPr>
                <w:rFonts w:ascii="Arial" w:eastAsia="Arial" w:hAnsi="Arial" w:cs="Arial"/>
                <w:sz w:val="18"/>
              </w:rPr>
              <w:t xml:space="preserve"> </w:t>
            </w:r>
            <w:r>
              <w:rPr>
                <w:sz w:val="18"/>
              </w:rPr>
              <w:t xml:space="preserve">Foundry Waste </w:t>
            </w:r>
          </w:p>
          <w:p w14:paraId="7895E271" w14:textId="77777777" w:rsidR="00386EC1" w:rsidRDefault="00386EC1" w:rsidP="0033698E">
            <w:pPr>
              <w:spacing w:after="0" w:line="259" w:lineRule="auto"/>
              <w:ind w:left="36" w:right="0" w:firstLine="0"/>
            </w:pPr>
            <w:r>
              <w:rPr>
                <w:sz w:val="18"/>
              </w:rPr>
              <w:t xml:space="preserve"> </w:t>
            </w:r>
          </w:p>
        </w:tc>
        <w:tc>
          <w:tcPr>
            <w:tcW w:w="1178" w:type="dxa"/>
            <w:tcBorders>
              <w:top w:val="single" w:sz="4" w:space="0" w:color="000000"/>
              <w:left w:val="single" w:sz="12" w:space="0" w:color="000000"/>
              <w:bottom w:val="single" w:sz="4" w:space="0" w:color="000000"/>
              <w:right w:val="single" w:sz="12" w:space="0" w:color="000000"/>
            </w:tcBorders>
          </w:tcPr>
          <w:p w14:paraId="291D09DB" w14:textId="6F95AD42" w:rsidR="00386EC1" w:rsidRDefault="00386EC1" w:rsidP="0033698E">
            <w:pPr>
              <w:spacing w:after="0" w:line="259" w:lineRule="auto"/>
              <w:ind w:left="0" w:right="5" w:firstLine="0"/>
              <w:jc w:val="center"/>
            </w:pPr>
            <w:r>
              <w:rPr>
                <w:sz w:val="18"/>
              </w:rPr>
              <w:t xml:space="preserve">Non-volatile </w:t>
            </w:r>
          </w:p>
          <w:p w14:paraId="5A0FD353" w14:textId="77777777" w:rsidR="00386EC1" w:rsidRDefault="00386EC1" w:rsidP="0033698E">
            <w:pPr>
              <w:spacing w:after="0" w:line="259" w:lineRule="auto"/>
              <w:ind w:left="1" w:right="0" w:firstLine="0"/>
              <w:jc w:val="center"/>
            </w:pPr>
            <w:r>
              <w:rPr>
                <w:sz w:val="18"/>
              </w:rPr>
              <w:t xml:space="preserve">(bottle) extraction </w:t>
            </w:r>
          </w:p>
        </w:tc>
        <w:tc>
          <w:tcPr>
            <w:tcW w:w="2884" w:type="dxa"/>
            <w:tcBorders>
              <w:top w:val="single" w:sz="4" w:space="0" w:color="000000"/>
              <w:left w:val="single" w:sz="12" w:space="0" w:color="000000"/>
              <w:bottom w:val="single" w:sz="4" w:space="0" w:color="000000"/>
              <w:right w:val="single" w:sz="12" w:space="0" w:color="000000"/>
            </w:tcBorders>
          </w:tcPr>
          <w:p w14:paraId="2C2AFCE8" w14:textId="77777777" w:rsidR="00386EC1" w:rsidRPr="003F53D8" w:rsidRDefault="00386EC1" w:rsidP="0033698E">
            <w:pPr>
              <w:tabs>
                <w:tab w:val="center" w:pos="1468"/>
              </w:tabs>
              <w:spacing w:after="0" w:line="259" w:lineRule="auto"/>
              <w:ind w:left="0" w:right="0" w:firstLine="0"/>
              <w:jc w:val="center"/>
              <w:rPr>
                <w:sz w:val="18"/>
              </w:rPr>
            </w:pPr>
            <w:r>
              <w:rPr>
                <w:sz w:val="18"/>
              </w:rPr>
              <w:t>Chloride, Copper, Cyanide, Fluoride, Iron Nickel, pH, Manganese, Sulfate, Phenols, Total dissolved solids, Sodium Sulfide</w:t>
            </w:r>
          </w:p>
          <w:p w14:paraId="08351D63" w14:textId="77777777" w:rsidR="00386EC1" w:rsidRPr="003F53D8" w:rsidRDefault="00386EC1" w:rsidP="0033698E">
            <w:pPr>
              <w:spacing w:after="0" w:line="259" w:lineRule="auto"/>
              <w:ind w:right="-189"/>
              <w:rPr>
                <w:sz w:val="18"/>
              </w:rPr>
            </w:pPr>
          </w:p>
        </w:tc>
        <w:tc>
          <w:tcPr>
            <w:tcW w:w="1103" w:type="dxa"/>
            <w:tcBorders>
              <w:top w:val="single" w:sz="4" w:space="0" w:color="000000"/>
              <w:left w:val="single" w:sz="12" w:space="0" w:color="000000"/>
              <w:bottom w:val="single" w:sz="4" w:space="0" w:color="000000"/>
              <w:right w:val="single" w:sz="12" w:space="0" w:color="000000"/>
            </w:tcBorders>
          </w:tcPr>
          <w:p w14:paraId="78B50EEA" w14:textId="77777777" w:rsidR="00386EC1" w:rsidRDefault="00386EC1" w:rsidP="0033698E">
            <w:pPr>
              <w:spacing w:after="0" w:line="259" w:lineRule="auto"/>
              <w:ind w:left="15" w:right="0" w:firstLine="0"/>
              <w:jc w:val="center"/>
            </w:pPr>
            <w:r>
              <w:rPr>
                <w:sz w:val="18"/>
              </w:rPr>
              <w:t xml:space="preserve">Deionized water </w:t>
            </w:r>
          </w:p>
        </w:tc>
        <w:tc>
          <w:tcPr>
            <w:tcW w:w="1709" w:type="dxa"/>
            <w:tcBorders>
              <w:top w:val="single" w:sz="4" w:space="0" w:color="000000"/>
              <w:left w:val="single" w:sz="12" w:space="0" w:color="000000"/>
              <w:bottom w:val="single" w:sz="4" w:space="0" w:color="000000"/>
              <w:right w:val="single" w:sz="12" w:space="0" w:color="000000"/>
            </w:tcBorders>
          </w:tcPr>
          <w:p w14:paraId="550A30CD" w14:textId="2E451CC7" w:rsidR="00386EC1" w:rsidRDefault="00386EC1" w:rsidP="00347BED">
            <w:pPr>
              <w:spacing w:after="0" w:line="259" w:lineRule="auto"/>
              <w:ind w:left="14" w:right="0" w:firstLine="0"/>
              <w:jc w:val="center"/>
            </w:pPr>
            <w:r>
              <w:rPr>
                <w:sz w:val="18"/>
              </w:rPr>
              <w:t>SW-846 Method</w:t>
            </w:r>
          </w:p>
          <w:p w14:paraId="02FF03D0" w14:textId="7ABBE008" w:rsidR="00386EC1" w:rsidRDefault="00386EC1" w:rsidP="00347BED">
            <w:pPr>
              <w:spacing w:after="0" w:line="238" w:lineRule="auto"/>
              <w:ind w:left="178" w:right="313" w:firstLine="0"/>
              <w:jc w:val="center"/>
            </w:pPr>
            <w:r>
              <w:rPr>
                <w:sz w:val="18"/>
              </w:rPr>
              <w:t xml:space="preserve">1311, substituting reagent water for extraction fluid </w:t>
            </w:r>
            <w:r>
              <w:rPr>
                <w:i/>
                <w:sz w:val="18"/>
              </w:rPr>
              <w:t>or</w:t>
            </w:r>
          </w:p>
          <w:p w14:paraId="0C420627" w14:textId="148E87B9" w:rsidR="00386EC1" w:rsidRDefault="00386EC1" w:rsidP="00347BED">
            <w:pPr>
              <w:spacing w:after="0" w:line="259" w:lineRule="auto"/>
              <w:ind w:left="106" w:right="0" w:firstLine="0"/>
              <w:jc w:val="center"/>
            </w:pPr>
            <w:r>
              <w:rPr>
                <w:sz w:val="18"/>
              </w:rPr>
              <w:t>SW-846 Method</w:t>
            </w:r>
          </w:p>
          <w:p w14:paraId="5BF2B380" w14:textId="3AF97E94" w:rsidR="00386EC1" w:rsidRDefault="00386EC1" w:rsidP="00347BED">
            <w:pPr>
              <w:spacing w:after="0" w:line="259" w:lineRule="auto"/>
              <w:ind w:left="106" w:right="0" w:firstLine="0"/>
              <w:jc w:val="center"/>
            </w:pPr>
            <w:r>
              <w:rPr>
                <w:sz w:val="18"/>
              </w:rPr>
              <w:t>1312, using fluid #3</w:t>
            </w:r>
          </w:p>
          <w:p w14:paraId="08DD2237" w14:textId="1079BA5A" w:rsidR="00386EC1" w:rsidRDefault="00386EC1" w:rsidP="00347BED">
            <w:pPr>
              <w:spacing w:after="0" w:line="259" w:lineRule="auto"/>
              <w:ind w:left="106" w:right="0" w:firstLine="0"/>
              <w:jc w:val="center"/>
            </w:pPr>
            <w:r>
              <w:rPr>
                <w:sz w:val="18"/>
              </w:rPr>
              <w:t>(reagent water)</w:t>
            </w:r>
          </w:p>
        </w:tc>
        <w:tc>
          <w:tcPr>
            <w:tcW w:w="1938" w:type="dxa"/>
            <w:tcBorders>
              <w:top w:val="single" w:sz="4" w:space="0" w:color="000000"/>
              <w:left w:val="single" w:sz="12" w:space="0" w:color="000000"/>
              <w:bottom w:val="single" w:sz="4" w:space="0" w:color="000000"/>
              <w:right w:val="single" w:sz="12" w:space="0" w:color="000000"/>
            </w:tcBorders>
          </w:tcPr>
          <w:p w14:paraId="267651AD" w14:textId="77777777" w:rsidR="00386EC1" w:rsidRDefault="00386EC1" w:rsidP="0033698E">
            <w:pPr>
              <w:spacing w:after="0" w:line="238" w:lineRule="auto"/>
              <w:ind w:left="106" w:right="0" w:firstLine="0"/>
            </w:pPr>
            <w:r>
              <w:rPr>
                <w:sz w:val="18"/>
              </w:rPr>
              <w:t xml:space="preserve">See Metals and General Chemistry Analyte Groups above.   </w:t>
            </w:r>
          </w:p>
          <w:p w14:paraId="24282E72" w14:textId="77777777" w:rsidR="00386EC1" w:rsidRDefault="00386EC1" w:rsidP="0033698E">
            <w:pPr>
              <w:spacing w:after="0" w:line="259" w:lineRule="auto"/>
              <w:ind w:left="106" w:right="0" w:firstLine="0"/>
            </w:pPr>
            <w:r>
              <w:rPr>
                <w:sz w:val="18"/>
              </w:rPr>
              <w:t xml:space="preserve"> </w:t>
            </w:r>
          </w:p>
        </w:tc>
      </w:tr>
      <w:tr w:rsidR="00386EC1" w14:paraId="5DAF9F94" w14:textId="77777777" w:rsidTr="0051464B">
        <w:trPr>
          <w:trHeight w:val="1332"/>
        </w:trPr>
        <w:tc>
          <w:tcPr>
            <w:tcW w:w="1732" w:type="dxa"/>
            <w:tcBorders>
              <w:top w:val="single" w:sz="4" w:space="0" w:color="000000"/>
              <w:left w:val="single" w:sz="12" w:space="0" w:color="000000"/>
              <w:bottom w:val="single" w:sz="12" w:space="0" w:color="000000"/>
              <w:right w:val="single" w:sz="12" w:space="0" w:color="000000"/>
            </w:tcBorders>
          </w:tcPr>
          <w:p w14:paraId="409D1DB7" w14:textId="77777777" w:rsidR="00386EC1" w:rsidRDefault="00386EC1" w:rsidP="0033698E">
            <w:pPr>
              <w:spacing w:after="0" w:line="259" w:lineRule="auto"/>
              <w:ind w:left="216" w:right="0" w:hanging="180"/>
            </w:pPr>
            <w:r>
              <w:rPr>
                <w:rFonts w:ascii="Wingdings" w:eastAsia="Wingdings" w:hAnsi="Wingdings" w:cs="Wingdings"/>
                <w:sz w:val="18"/>
              </w:rPr>
              <w:t></w:t>
            </w:r>
            <w:r>
              <w:rPr>
                <w:rFonts w:ascii="Arial" w:eastAsia="Arial" w:hAnsi="Arial" w:cs="Arial"/>
                <w:sz w:val="18"/>
              </w:rPr>
              <w:t xml:space="preserve"> </w:t>
            </w:r>
            <w:r>
              <w:rPr>
                <w:sz w:val="18"/>
              </w:rPr>
              <w:t xml:space="preserve">Other Industrial Wastes </w:t>
            </w:r>
          </w:p>
        </w:tc>
        <w:tc>
          <w:tcPr>
            <w:tcW w:w="1178" w:type="dxa"/>
            <w:tcBorders>
              <w:top w:val="single" w:sz="4" w:space="0" w:color="000000"/>
              <w:left w:val="single" w:sz="12" w:space="0" w:color="000000"/>
              <w:bottom w:val="single" w:sz="12" w:space="0" w:color="000000"/>
              <w:right w:val="single" w:sz="12" w:space="0" w:color="000000"/>
            </w:tcBorders>
          </w:tcPr>
          <w:p w14:paraId="6689CFD8" w14:textId="2456DF0D" w:rsidR="00386EC1" w:rsidRDefault="00E83D27" w:rsidP="0033698E">
            <w:pPr>
              <w:spacing w:after="0" w:line="259" w:lineRule="auto"/>
              <w:ind w:left="0" w:right="5" w:firstLine="0"/>
              <w:jc w:val="center"/>
            </w:pPr>
            <w:r>
              <w:rPr>
                <w:sz w:val="18"/>
              </w:rPr>
              <w:t>Non-volatile</w:t>
            </w:r>
            <w:r w:rsidR="00386EC1">
              <w:rPr>
                <w:sz w:val="18"/>
              </w:rPr>
              <w:t xml:space="preserve"> </w:t>
            </w:r>
          </w:p>
          <w:p w14:paraId="4FF76D8E" w14:textId="77777777" w:rsidR="00386EC1" w:rsidRDefault="00386EC1" w:rsidP="0033698E">
            <w:pPr>
              <w:spacing w:after="0" w:line="259" w:lineRule="auto"/>
              <w:ind w:left="108" w:right="0" w:firstLine="0"/>
            </w:pPr>
            <w:r>
              <w:rPr>
                <w:sz w:val="18"/>
              </w:rPr>
              <w:t xml:space="preserve">(bottle) and/or </w:t>
            </w:r>
          </w:p>
          <w:p w14:paraId="6232C37D" w14:textId="77777777" w:rsidR="00386EC1" w:rsidRDefault="00386EC1" w:rsidP="0033698E">
            <w:pPr>
              <w:spacing w:after="0" w:line="259" w:lineRule="auto"/>
              <w:ind w:left="0" w:right="8" w:firstLine="0"/>
              <w:jc w:val="center"/>
            </w:pPr>
            <w:r>
              <w:rPr>
                <w:sz w:val="18"/>
              </w:rPr>
              <w:t xml:space="preserve">ZHE </w:t>
            </w:r>
          </w:p>
          <w:p w14:paraId="5082899F" w14:textId="77777777" w:rsidR="00386EC1" w:rsidRDefault="00386EC1" w:rsidP="0033698E">
            <w:pPr>
              <w:spacing w:after="0" w:line="259" w:lineRule="auto"/>
              <w:ind w:left="0" w:right="9" w:firstLine="0"/>
              <w:jc w:val="center"/>
            </w:pPr>
            <w:r>
              <w:rPr>
                <w:sz w:val="18"/>
              </w:rPr>
              <w:t xml:space="preserve">extraction  </w:t>
            </w:r>
          </w:p>
        </w:tc>
        <w:tc>
          <w:tcPr>
            <w:tcW w:w="2884" w:type="dxa"/>
            <w:tcBorders>
              <w:top w:val="single" w:sz="4" w:space="0" w:color="000000"/>
              <w:left w:val="single" w:sz="12" w:space="0" w:color="000000"/>
              <w:bottom w:val="single" w:sz="12" w:space="0" w:color="000000"/>
              <w:right w:val="single" w:sz="12" w:space="0" w:color="000000"/>
            </w:tcBorders>
          </w:tcPr>
          <w:p w14:paraId="3AE6723A" w14:textId="77777777" w:rsidR="00386EC1" w:rsidRDefault="00386EC1" w:rsidP="0033698E">
            <w:pPr>
              <w:spacing w:after="0" w:line="259" w:lineRule="auto"/>
              <w:ind w:left="106" w:right="20" w:firstLine="0"/>
            </w:pPr>
            <w:r>
              <w:rPr>
                <w:sz w:val="18"/>
              </w:rPr>
              <w:t xml:space="preserve">Site-specific analytes to be specified at time of analytical request. </w:t>
            </w:r>
          </w:p>
        </w:tc>
        <w:tc>
          <w:tcPr>
            <w:tcW w:w="1103" w:type="dxa"/>
            <w:tcBorders>
              <w:top w:val="single" w:sz="4" w:space="0" w:color="000000"/>
              <w:left w:val="single" w:sz="12" w:space="0" w:color="000000"/>
              <w:bottom w:val="single" w:sz="12" w:space="0" w:color="000000"/>
              <w:right w:val="single" w:sz="12" w:space="0" w:color="000000"/>
            </w:tcBorders>
          </w:tcPr>
          <w:p w14:paraId="35B8F044" w14:textId="77777777" w:rsidR="00386EC1" w:rsidRDefault="00386EC1" w:rsidP="0033698E">
            <w:pPr>
              <w:spacing w:after="0" w:line="259" w:lineRule="auto"/>
              <w:ind w:left="108" w:right="0" w:firstLine="0"/>
            </w:pPr>
            <w:r>
              <w:rPr>
                <w:sz w:val="18"/>
              </w:rPr>
              <w:t xml:space="preserve">To be specified at time of analytical request. </w:t>
            </w:r>
          </w:p>
        </w:tc>
        <w:tc>
          <w:tcPr>
            <w:tcW w:w="1709" w:type="dxa"/>
            <w:tcBorders>
              <w:top w:val="single" w:sz="4" w:space="0" w:color="000000"/>
              <w:left w:val="single" w:sz="12" w:space="0" w:color="000000"/>
              <w:bottom w:val="single" w:sz="12" w:space="0" w:color="000000"/>
              <w:right w:val="single" w:sz="12" w:space="0" w:color="000000"/>
            </w:tcBorders>
          </w:tcPr>
          <w:p w14:paraId="12E62856" w14:textId="3D1382E2" w:rsidR="00386EC1" w:rsidRDefault="00386EC1" w:rsidP="00347BED">
            <w:pPr>
              <w:spacing w:after="0" w:line="259" w:lineRule="auto"/>
              <w:ind w:left="106" w:right="50" w:firstLine="0"/>
              <w:jc w:val="center"/>
            </w:pPr>
            <w:r>
              <w:rPr>
                <w:sz w:val="18"/>
              </w:rPr>
              <w:t>To be specified at time of analytical request.</w:t>
            </w:r>
          </w:p>
        </w:tc>
        <w:tc>
          <w:tcPr>
            <w:tcW w:w="1938" w:type="dxa"/>
            <w:tcBorders>
              <w:top w:val="single" w:sz="4" w:space="0" w:color="000000"/>
              <w:left w:val="single" w:sz="12" w:space="0" w:color="000000"/>
              <w:bottom w:val="single" w:sz="12" w:space="0" w:color="000000"/>
              <w:right w:val="single" w:sz="12" w:space="0" w:color="000000"/>
            </w:tcBorders>
          </w:tcPr>
          <w:p w14:paraId="22A63799" w14:textId="77777777" w:rsidR="00386EC1" w:rsidRDefault="00386EC1" w:rsidP="0033698E">
            <w:pPr>
              <w:spacing w:after="0" w:line="259" w:lineRule="auto"/>
              <w:ind w:left="106" w:right="0" w:firstLine="0"/>
            </w:pPr>
            <w:r>
              <w:rPr>
                <w:sz w:val="18"/>
              </w:rPr>
              <w:t xml:space="preserve">See appropriate Analyte Group(s) above. </w:t>
            </w:r>
          </w:p>
        </w:tc>
      </w:tr>
    </w:tbl>
    <w:p w14:paraId="6E4D108D" w14:textId="77777777" w:rsidR="00386EC1" w:rsidRDefault="00386EC1" w:rsidP="003D6B90">
      <w:pPr>
        <w:spacing w:after="0" w:line="259" w:lineRule="auto"/>
        <w:ind w:right="0"/>
        <w:rPr>
          <w:b/>
          <w:sz w:val="8"/>
        </w:rPr>
      </w:pPr>
    </w:p>
    <w:p w14:paraId="3966DDD2" w14:textId="45B93C5A" w:rsidR="00B56D50" w:rsidRDefault="001C3C42" w:rsidP="003D6B90">
      <w:pPr>
        <w:spacing w:after="0" w:line="259" w:lineRule="auto"/>
        <w:ind w:right="0"/>
      </w:pPr>
      <w:r>
        <w:rPr>
          <w:rFonts w:ascii="Arial" w:eastAsia="Arial" w:hAnsi="Arial" w:cs="Arial"/>
          <w:sz w:val="8"/>
        </w:rPr>
        <w:t xml:space="preserve"> </w:t>
      </w:r>
    </w:p>
    <w:p w14:paraId="2DB943DD" w14:textId="1726A76F" w:rsidR="00B56D50" w:rsidRDefault="00B56D50" w:rsidP="003D6B90">
      <w:pPr>
        <w:spacing w:after="57" w:line="259" w:lineRule="auto"/>
        <w:ind w:left="0" w:right="0" w:firstLine="0"/>
      </w:pPr>
    </w:p>
    <w:p w14:paraId="730C23A3" w14:textId="45B245FC" w:rsidR="00B56D50" w:rsidRDefault="00B56D50">
      <w:pPr>
        <w:spacing w:after="0" w:line="259" w:lineRule="auto"/>
        <w:ind w:left="0" w:right="0" w:firstLine="0"/>
      </w:pPr>
    </w:p>
    <w:p w14:paraId="6333A624" w14:textId="782F6C37" w:rsidR="00E305F4" w:rsidRDefault="00E305F4">
      <w:pPr>
        <w:spacing w:after="0" w:line="259" w:lineRule="auto"/>
        <w:ind w:left="0" w:right="0" w:firstLine="0"/>
      </w:pPr>
    </w:p>
    <w:tbl>
      <w:tblPr>
        <w:tblStyle w:val="TableGrid1"/>
        <w:tblW w:w="10544" w:type="dxa"/>
        <w:tblInd w:w="-375" w:type="dxa"/>
        <w:tblCellMar>
          <w:top w:w="20" w:type="dxa"/>
          <w:left w:w="1" w:type="dxa"/>
          <w:right w:w="31" w:type="dxa"/>
        </w:tblCellMar>
        <w:tblLook w:val="04A0" w:firstRow="1" w:lastRow="0" w:firstColumn="1" w:lastColumn="0" w:noHBand="0" w:noVBand="1"/>
      </w:tblPr>
      <w:tblGrid>
        <w:gridCol w:w="1455"/>
        <w:gridCol w:w="2727"/>
        <w:gridCol w:w="1999"/>
        <w:gridCol w:w="1180"/>
        <w:gridCol w:w="3183"/>
      </w:tblGrid>
      <w:tr w:rsidR="006153D2" w14:paraId="14D3F3ED" w14:textId="77777777" w:rsidTr="00C23B62">
        <w:trPr>
          <w:trHeight w:val="269"/>
        </w:trPr>
        <w:tc>
          <w:tcPr>
            <w:tcW w:w="6181" w:type="dxa"/>
            <w:gridSpan w:val="3"/>
            <w:tcBorders>
              <w:top w:val="single" w:sz="12" w:space="0" w:color="000000"/>
              <w:left w:val="single" w:sz="12" w:space="0" w:color="000000"/>
              <w:bottom w:val="single" w:sz="12" w:space="0" w:color="000000"/>
              <w:right w:val="nil"/>
            </w:tcBorders>
            <w:vAlign w:val="center"/>
          </w:tcPr>
          <w:p w14:paraId="33C01668" w14:textId="69376694" w:rsidR="00B56D50" w:rsidRDefault="001C3C42" w:rsidP="008F01EB">
            <w:pPr>
              <w:spacing w:after="0" w:line="259" w:lineRule="auto"/>
              <w:ind w:left="0" w:right="0" w:firstLine="0"/>
            </w:pPr>
            <w:r>
              <w:rPr>
                <w:b/>
                <w:sz w:val="18"/>
              </w:rPr>
              <w:lastRenderedPageBreak/>
              <w:t xml:space="preserve">  SW-846 SAS Group Q</w:t>
            </w:r>
            <w:proofErr w:type="gramStart"/>
            <w:r>
              <w:rPr>
                <w:b/>
                <w:sz w:val="18"/>
              </w:rPr>
              <w:t>:  USACE</w:t>
            </w:r>
            <w:proofErr w:type="gramEnd"/>
            <w:r>
              <w:rPr>
                <w:b/>
                <w:sz w:val="18"/>
              </w:rPr>
              <w:t xml:space="preserve"> Modified Elutriate </w:t>
            </w:r>
            <w:r w:rsidR="00C9132E">
              <w:rPr>
                <w:b/>
                <w:sz w:val="18"/>
                <w:vertAlign w:val="superscript"/>
              </w:rPr>
              <w:t>34</w:t>
            </w:r>
          </w:p>
        </w:tc>
        <w:tc>
          <w:tcPr>
            <w:tcW w:w="1180" w:type="dxa"/>
            <w:tcBorders>
              <w:top w:val="single" w:sz="12" w:space="0" w:color="000000"/>
              <w:left w:val="nil"/>
              <w:bottom w:val="single" w:sz="12" w:space="0" w:color="000000"/>
              <w:right w:val="nil"/>
            </w:tcBorders>
            <w:vAlign w:val="center"/>
          </w:tcPr>
          <w:p w14:paraId="6B2866B9" w14:textId="77777777" w:rsidR="00B56D50" w:rsidRDefault="00B56D50" w:rsidP="008F01EB">
            <w:pPr>
              <w:spacing w:after="0" w:line="259" w:lineRule="auto"/>
              <w:ind w:left="0" w:right="0" w:firstLine="0"/>
            </w:pPr>
          </w:p>
        </w:tc>
        <w:tc>
          <w:tcPr>
            <w:tcW w:w="3183" w:type="dxa"/>
            <w:tcBorders>
              <w:top w:val="single" w:sz="12" w:space="0" w:color="000000"/>
              <w:left w:val="nil"/>
              <w:bottom w:val="single" w:sz="12" w:space="0" w:color="000000"/>
              <w:right w:val="single" w:sz="12" w:space="0" w:color="000000"/>
            </w:tcBorders>
            <w:vAlign w:val="center"/>
          </w:tcPr>
          <w:p w14:paraId="07F9CA56" w14:textId="77777777" w:rsidR="00B56D50" w:rsidRDefault="00B56D50" w:rsidP="008F01EB">
            <w:pPr>
              <w:spacing w:after="0" w:line="259" w:lineRule="auto"/>
              <w:ind w:left="0" w:right="0" w:firstLine="0"/>
            </w:pPr>
          </w:p>
        </w:tc>
      </w:tr>
      <w:tr w:rsidR="00B56D50" w14:paraId="6683B0BC" w14:textId="77777777" w:rsidTr="00C23B62">
        <w:trPr>
          <w:trHeight w:val="794"/>
        </w:trPr>
        <w:tc>
          <w:tcPr>
            <w:tcW w:w="1455" w:type="dxa"/>
            <w:tcBorders>
              <w:top w:val="single" w:sz="12" w:space="0" w:color="000000"/>
              <w:left w:val="single" w:sz="12" w:space="0" w:color="000000"/>
              <w:bottom w:val="single" w:sz="12" w:space="0" w:color="000000"/>
              <w:right w:val="single" w:sz="12" w:space="0" w:color="000000"/>
            </w:tcBorders>
            <w:vAlign w:val="center"/>
          </w:tcPr>
          <w:p w14:paraId="224184CB" w14:textId="7DE320E3" w:rsidR="00B56D50" w:rsidRDefault="001C3C42" w:rsidP="008F01EB">
            <w:pPr>
              <w:spacing w:after="0" w:line="259" w:lineRule="auto"/>
              <w:ind w:left="0" w:right="0" w:firstLine="0"/>
              <w:jc w:val="center"/>
            </w:pPr>
            <w:r>
              <w:rPr>
                <w:b/>
                <w:sz w:val="18"/>
              </w:rPr>
              <w:t>Extraction Procedure</w:t>
            </w:r>
          </w:p>
        </w:tc>
        <w:tc>
          <w:tcPr>
            <w:tcW w:w="2727" w:type="dxa"/>
            <w:tcBorders>
              <w:top w:val="single" w:sz="12" w:space="0" w:color="000000"/>
              <w:left w:val="single" w:sz="12" w:space="0" w:color="000000"/>
              <w:bottom w:val="single" w:sz="12" w:space="0" w:color="000000"/>
              <w:right w:val="single" w:sz="12" w:space="0" w:color="000000"/>
            </w:tcBorders>
            <w:vAlign w:val="center"/>
          </w:tcPr>
          <w:p w14:paraId="46903457" w14:textId="0D719DC7" w:rsidR="00B56D50" w:rsidRDefault="001C3C42" w:rsidP="008F01EB">
            <w:pPr>
              <w:spacing w:after="0" w:line="259" w:lineRule="auto"/>
              <w:ind w:left="19" w:right="0" w:firstLine="0"/>
              <w:jc w:val="center"/>
            </w:pPr>
            <w:r>
              <w:rPr>
                <w:b/>
                <w:sz w:val="18"/>
              </w:rPr>
              <w:t>Applicable Analytes</w:t>
            </w:r>
          </w:p>
        </w:tc>
        <w:tc>
          <w:tcPr>
            <w:tcW w:w="1999" w:type="dxa"/>
            <w:tcBorders>
              <w:top w:val="single" w:sz="12" w:space="0" w:color="000000"/>
              <w:left w:val="single" w:sz="12" w:space="0" w:color="000000"/>
              <w:bottom w:val="single" w:sz="12" w:space="0" w:color="000000"/>
              <w:right w:val="single" w:sz="12" w:space="0" w:color="000000"/>
            </w:tcBorders>
            <w:vAlign w:val="center"/>
          </w:tcPr>
          <w:p w14:paraId="2534CA38" w14:textId="5ABE91C4" w:rsidR="00B56D50" w:rsidRDefault="001C3C42" w:rsidP="008F01EB">
            <w:pPr>
              <w:spacing w:after="0" w:line="259" w:lineRule="auto"/>
              <w:ind w:left="0" w:right="0" w:firstLine="0"/>
              <w:jc w:val="center"/>
            </w:pPr>
            <w:r>
              <w:rPr>
                <w:b/>
                <w:sz w:val="18"/>
              </w:rPr>
              <w:t>Extraction Fluid Required</w:t>
            </w:r>
          </w:p>
        </w:tc>
        <w:tc>
          <w:tcPr>
            <w:tcW w:w="1180" w:type="dxa"/>
            <w:tcBorders>
              <w:top w:val="single" w:sz="12" w:space="0" w:color="000000"/>
              <w:left w:val="single" w:sz="12" w:space="0" w:color="000000"/>
              <w:bottom w:val="single" w:sz="12" w:space="0" w:color="000000"/>
              <w:right w:val="single" w:sz="12" w:space="0" w:color="000000"/>
            </w:tcBorders>
            <w:vAlign w:val="center"/>
          </w:tcPr>
          <w:p w14:paraId="753E8D4C" w14:textId="5BEAE810" w:rsidR="00B56D50" w:rsidRDefault="001C3C42" w:rsidP="008F01EB">
            <w:pPr>
              <w:spacing w:after="0" w:line="259" w:lineRule="auto"/>
              <w:ind w:left="26" w:right="0" w:firstLine="0"/>
              <w:jc w:val="center"/>
            </w:pPr>
            <w:r>
              <w:rPr>
                <w:b/>
                <w:sz w:val="18"/>
              </w:rPr>
              <w:t>Required</w:t>
            </w:r>
          </w:p>
          <w:p w14:paraId="7BBF9D55" w14:textId="5DD5A22D" w:rsidR="00B56D50" w:rsidRDefault="001C3C42" w:rsidP="008F01EB">
            <w:pPr>
              <w:spacing w:after="0" w:line="259" w:lineRule="auto"/>
              <w:ind w:left="0" w:right="0" w:firstLine="0"/>
              <w:jc w:val="center"/>
            </w:pPr>
            <w:r>
              <w:rPr>
                <w:b/>
                <w:sz w:val="18"/>
              </w:rPr>
              <w:t>Leaching Method</w:t>
            </w:r>
          </w:p>
        </w:tc>
        <w:tc>
          <w:tcPr>
            <w:tcW w:w="3183" w:type="dxa"/>
            <w:tcBorders>
              <w:top w:val="single" w:sz="12" w:space="0" w:color="000000"/>
              <w:left w:val="single" w:sz="12" w:space="0" w:color="000000"/>
              <w:bottom w:val="single" w:sz="12" w:space="0" w:color="000000"/>
              <w:right w:val="single" w:sz="12" w:space="0" w:color="000000"/>
            </w:tcBorders>
            <w:vAlign w:val="center"/>
          </w:tcPr>
          <w:p w14:paraId="0103C87C" w14:textId="67BB758E" w:rsidR="00B56D50" w:rsidRDefault="001C3C42" w:rsidP="008F01EB">
            <w:pPr>
              <w:spacing w:after="0" w:line="259" w:lineRule="auto"/>
              <w:ind w:left="25" w:right="0" w:firstLine="0"/>
              <w:jc w:val="center"/>
            </w:pPr>
            <w:r>
              <w:rPr>
                <w:b/>
                <w:sz w:val="18"/>
              </w:rPr>
              <w:t>Acceptable Determinative Methods</w:t>
            </w:r>
          </w:p>
          <w:p w14:paraId="092EE13E" w14:textId="1D99C74B" w:rsidR="00B56D50" w:rsidRDefault="001C3C42" w:rsidP="008F01EB">
            <w:pPr>
              <w:spacing w:after="0" w:line="259" w:lineRule="auto"/>
              <w:ind w:left="27" w:right="0" w:firstLine="0"/>
              <w:jc w:val="center"/>
            </w:pPr>
            <w:r>
              <w:rPr>
                <w:sz w:val="18"/>
              </w:rPr>
              <w:t>(on Leachate)</w:t>
            </w:r>
          </w:p>
        </w:tc>
      </w:tr>
      <w:tr w:rsidR="00B56D50" w14:paraId="5EDDD45C" w14:textId="77777777" w:rsidTr="00C23B62">
        <w:trPr>
          <w:trHeight w:val="2513"/>
        </w:trPr>
        <w:tc>
          <w:tcPr>
            <w:tcW w:w="1455" w:type="dxa"/>
            <w:tcBorders>
              <w:top w:val="single" w:sz="12" w:space="0" w:color="000000"/>
              <w:left w:val="single" w:sz="12" w:space="0" w:color="000000"/>
              <w:bottom w:val="single" w:sz="12" w:space="0" w:color="000000"/>
              <w:right w:val="single" w:sz="12" w:space="0" w:color="000000"/>
            </w:tcBorders>
          </w:tcPr>
          <w:p w14:paraId="651FFDE4" w14:textId="77777777" w:rsidR="00B56D50" w:rsidRDefault="001C3C42">
            <w:pPr>
              <w:spacing w:after="0" w:line="259" w:lineRule="auto"/>
              <w:ind w:left="85" w:right="0" w:hanging="25"/>
              <w:jc w:val="center"/>
            </w:pPr>
            <w:r>
              <w:rPr>
                <w:sz w:val="18"/>
              </w:rPr>
              <w:t xml:space="preserve">Elutriate Test on dredged sediment </w:t>
            </w:r>
          </w:p>
        </w:tc>
        <w:tc>
          <w:tcPr>
            <w:tcW w:w="2727" w:type="dxa"/>
            <w:tcBorders>
              <w:top w:val="single" w:sz="12" w:space="0" w:color="000000"/>
              <w:left w:val="single" w:sz="12" w:space="0" w:color="000000"/>
              <w:bottom w:val="single" w:sz="12" w:space="0" w:color="000000"/>
              <w:right w:val="single" w:sz="12" w:space="0" w:color="000000"/>
            </w:tcBorders>
          </w:tcPr>
          <w:p w14:paraId="175BF10B" w14:textId="77777777" w:rsidR="00B56D50" w:rsidRDefault="001C3C42">
            <w:pPr>
              <w:spacing w:after="0" w:line="259" w:lineRule="auto"/>
              <w:ind w:left="71" w:right="0" w:firstLine="0"/>
            </w:pPr>
            <w:r>
              <w:rPr>
                <w:sz w:val="18"/>
              </w:rPr>
              <w:t xml:space="preserve"> </w:t>
            </w:r>
          </w:p>
          <w:p w14:paraId="3D3AE4F9" w14:textId="687BDA95" w:rsidR="00B56D50" w:rsidRDefault="001C3C42">
            <w:pPr>
              <w:spacing w:after="67" w:line="231" w:lineRule="auto"/>
              <w:ind w:left="71" w:right="0" w:firstLine="0"/>
            </w:pPr>
            <w:r>
              <w:rPr>
                <w:sz w:val="18"/>
              </w:rPr>
              <w:t>SVOCs, pesticides, herbicides, PCBs, explosives, other semi</w:t>
            </w:r>
            <w:r w:rsidR="00C9132E">
              <w:rPr>
                <w:sz w:val="18"/>
              </w:rPr>
              <w:t>-</w:t>
            </w:r>
            <w:r>
              <w:rPr>
                <w:sz w:val="18"/>
              </w:rPr>
              <w:t xml:space="preserve">volatile and </w:t>
            </w:r>
            <w:r w:rsidR="00F0044F">
              <w:rPr>
                <w:sz w:val="18"/>
              </w:rPr>
              <w:t>n</w:t>
            </w:r>
            <w:r w:rsidR="00E83D27">
              <w:rPr>
                <w:sz w:val="18"/>
              </w:rPr>
              <w:t>on-volatile</w:t>
            </w:r>
            <w:r>
              <w:rPr>
                <w:sz w:val="18"/>
              </w:rPr>
              <w:t xml:space="preserve"> organic compounds, metals, and other inorganic analytes, USACE column settling tests</w:t>
            </w:r>
            <w:r>
              <w:rPr>
                <w:b/>
                <w:sz w:val="18"/>
                <w:vertAlign w:val="superscript"/>
              </w:rPr>
              <w:t xml:space="preserve"> </w:t>
            </w:r>
          </w:p>
          <w:p w14:paraId="176F0438" w14:textId="77777777" w:rsidR="00B56D50" w:rsidRDefault="001C3C42">
            <w:pPr>
              <w:spacing w:after="0" w:line="259" w:lineRule="auto"/>
              <w:ind w:left="71" w:right="0" w:firstLine="0"/>
            </w:pPr>
            <w:r>
              <w:rPr>
                <w:i/>
                <w:sz w:val="18"/>
              </w:rPr>
              <w:t xml:space="preserve"> </w:t>
            </w:r>
          </w:p>
          <w:p w14:paraId="19019111" w14:textId="77777777" w:rsidR="00B56D50" w:rsidRDefault="001C3C42">
            <w:pPr>
              <w:spacing w:after="0" w:line="238" w:lineRule="auto"/>
              <w:ind w:left="71" w:right="0" w:firstLine="0"/>
            </w:pPr>
            <w:r>
              <w:rPr>
                <w:sz w:val="18"/>
              </w:rPr>
              <w:t xml:space="preserve">(Site-specific analytes will be communicated at time of analytical request.) </w:t>
            </w:r>
          </w:p>
          <w:p w14:paraId="6C26FFE8" w14:textId="77777777" w:rsidR="00B56D50" w:rsidRDefault="001C3C42">
            <w:pPr>
              <w:spacing w:after="0" w:line="259" w:lineRule="auto"/>
              <w:ind w:left="71" w:right="0" w:firstLine="0"/>
            </w:pPr>
            <w:r>
              <w:rPr>
                <w:sz w:val="18"/>
              </w:rPr>
              <w:t xml:space="preserve"> </w:t>
            </w:r>
          </w:p>
        </w:tc>
        <w:tc>
          <w:tcPr>
            <w:tcW w:w="1999" w:type="dxa"/>
            <w:tcBorders>
              <w:top w:val="single" w:sz="12" w:space="0" w:color="000000"/>
              <w:left w:val="single" w:sz="12" w:space="0" w:color="000000"/>
              <w:bottom w:val="single" w:sz="12" w:space="0" w:color="000000"/>
              <w:right w:val="single" w:sz="12" w:space="0" w:color="000000"/>
            </w:tcBorders>
          </w:tcPr>
          <w:p w14:paraId="2F34531B" w14:textId="77777777" w:rsidR="00B56D50" w:rsidRDefault="001C3C42">
            <w:pPr>
              <w:spacing w:after="0" w:line="238" w:lineRule="auto"/>
              <w:ind w:left="15" w:right="0" w:firstLine="0"/>
              <w:jc w:val="center"/>
            </w:pPr>
            <w:r>
              <w:rPr>
                <w:sz w:val="18"/>
              </w:rPr>
              <w:t xml:space="preserve">Effluent water collected from dredged sediment storage site being evaluated </w:t>
            </w:r>
          </w:p>
          <w:p w14:paraId="0564F4F9" w14:textId="77777777" w:rsidR="00B56D50" w:rsidRDefault="001C3C42">
            <w:pPr>
              <w:spacing w:after="0" w:line="259" w:lineRule="auto"/>
              <w:ind w:left="72" w:right="0" w:firstLine="0"/>
              <w:jc w:val="center"/>
            </w:pPr>
            <w:r>
              <w:rPr>
                <w:sz w:val="18"/>
              </w:rPr>
              <w:t xml:space="preserve"> </w:t>
            </w:r>
          </w:p>
          <w:p w14:paraId="0D16B6D9" w14:textId="77777777" w:rsidR="00B56D50" w:rsidRDefault="001C3C42">
            <w:pPr>
              <w:spacing w:after="0" w:line="259" w:lineRule="auto"/>
              <w:ind w:left="28" w:right="0" w:firstLine="0"/>
              <w:jc w:val="center"/>
            </w:pPr>
            <w:r>
              <w:rPr>
                <w:sz w:val="18"/>
              </w:rPr>
              <w:t xml:space="preserve">(with bubble aeration) </w:t>
            </w:r>
          </w:p>
        </w:tc>
        <w:tc>
          <w:tcPr>
            <w:tcW w:w="1180" w:type="dxa"/>
            <w:tcBorders>
              <w:top w:val="single" w:sz="12" w:space="0" w:color="000000"/>
              <w:left w:val="single" w:sz="12" w:space="0" w:color="000000"/>
              <w:bottom w:val="single" w:sz="12" w:space="0" w:color="000000"/>
              <w:right w:val="single" w:sz="12" w:space="0" w:color="000000"/>
            </w:tcBorders>
          </w:tcPr>
          <w:p w14:paraId="3B7153C3" w14:textId="77777777" w:rsidR="00B56D50" w:rsidRDefault="001C3C42">
            <w:pPr>
              <w:spacing w:after="0" w:line="259" w:lineRule="auto"/>
              <w:ind w:left="29" w:right="0" w:firstLine="0"/>
              <w:jc w:val="center"/>
            </w:pPr>
            <w:r>
              <w:rPr>
                <w:sz w:val="18"/>
              </w:rPr>
              <w:t xml:space="preserve">USACE </w:t>
            </w:r>
          </w:p>
          <w:p w14:paraId="05A72AC6" w14:textId="77777777" w:rsidR="00B56D50" w:rsidRDefault="001C3C42">
            <w:pPr>
              <w:spacing w:after="0" w:line="238" w:lineRule="auto"/>
              <w:ind w:left="90" w:right="14" w:firstLine="0"/>
              <w:jc w:val="center"/>
            </w:pPr>
            <w:r>
              <w:rPr>
                <w:sz w:val="18"/>
              </w:rPr>
              <w:t xml:space="preserve">document no.: </w:t>
            </w:r>
          </w:p>
          <w:p w14:paraId="7920939E" w14:textId="77777777" w:rsidR="00B56D50" w:rsidRDefault="001C3C42">
            <w:pPr>
              <w:spacing w:after="0" w:line="259" w:lineRule="auto"/>
              <w:ind w:left="140" w:right="0" w:firstLine="0"/>
            </w:pPr>
            <w:r>
              <w:rPr>
                <w:sz w:val="18"/>
              </w:rPr>
              <w:t xml:space="preserve"> EEDP-04-2  </w:t>
            </w:r>
          </w:p>
        </w:tc>
        <w:tc>
          <w:tcPr>
            <w:tcW w:w="3183" w:type="dxa"/>
            <w:tcBorders>
              <w:top w:val="single" w:sz="12" w:space="0" w:color="000000"/>
              <w:left w:val="single" w:sz="12" w:space="0" w:color="000000"/>
              <w:bottom w:val="single" w:sz="12" w:space="0" w:color="000000"/>
              <w:right w:val="single" w:sz="12" w:space="0" w:color="000000"/>
            </w:tcBorders>
          </w:tcPr>
          <w:p w14:paraId="71CBFC3F" w14:textId="77777777" w:rsidR="00B56D50" w:rsidRDefault="001C3C42">
            <w:pPr>
              <w:spacing w:after="0" w:line="238" w:lineRule="auto"/>
              <w:ind w:left="71" w:right="0" w:firstLine="0"/>
            </w:pPr>
            <w:r>
              <w:rPr>
                <w:sz w:val="18"/>
              </w:rPr>
              <w:t xml:space="preserve">See Metals, SVOA, and General Chemistry Analyte Groups above.   </w:t>
            </w:r>
          </w:p>
          <w:p w14:paraId="3998F3CC" w14:textId="77777777" w:rsidR="00B56D50" w:rsidRDefault="001C3C42">
            <w:pPr>
              <w:spacing w:after="0" w:line="259" w:lineRule="auto"/>
              <w:ind w:left="71" w:right="0" w:firstLine="0"/>
            </w:pPr>
            <w:r>
              <w:rPr>
                <w:sz w:val="18"/>
              </w:rPr>
              <w:t xml:space="preserve"> </w:t>
            </w:r>
          </w:p>
          <w:p w14:paraId="3BCDBD24" w14:textId="77777777" w:rsidR="00B56D50" w:rsidRDefault="001C3C42">
            <w:pPr>
              <w:spacing w:after="0" w:line="259" w:lineRule="auto"/>
              <w:ind w:left="71" w:right="0" w:firstLine="0"/>
            </w:pPr>
            <w:r>
              <w:rPr>
                <w:sz w:val="18"/>
              </w:rPr>
              <w:t xml:space="preserve">To be based on site-specific COCs determined and communicated at time of analytical request.  </w:t>
            </w:r>
          </w:p>
        </w:tc>
      </w:tr>
    </w:tbl>
    <w:p w14:paraId="7A6D29B7" w14:textId="77777777" w:rsidR="00A332AB" w:rsidRDefault="00A332AB">
      <w:pPr>
        <w:ind w:left="0" w:firstLine="0"/>
      </w:pPr>
    </w:p>
    <w:p w14:paraId="387B447E" w14:textId="77777777" w:rsidR="00A332AB" w:rsidRDefault="00A332AB">
      <w:pPr>
        <w:ind w:left="0" w:firstLine="0"/>
      </w:pPr>
    </w:p>
    <w:p w14:paraId="586000E3" w14:textId="77777777" w:rsidR="00A332AB" w:rsidRDefault="00A332AB">
      <w:pPr>
        <w:ind w:left="0" w:firstLine="0"/>
      </w:pPr>
    </w:p>
    <w:p w14:paraId="3C2F5016" w14:textId="77777777" w:rsidR="00A332AB" w:rsidRDefault="00A332AB">
      <w:pPr>
        <w:ind w:left="0" w:firstLine="0"/>
      </w:pPr>
    </w:p>
    <w:p w14:paraId="299B1AA6" w14:textId="77777777" w:rsidR="00A332AB" w:rsidRDefault="00A332AB">
      <w:pPr>
        <w:ind w:left="0" w:firstLine="0"/>
      </w:pPr>
    </w:p>
    <w:p w14:paraId="744E2B61" w14:textId="42AC4442" w:rsidR="00A332AB" w:rsidRDefault="00315985" w:rsidP="00315985">
      <w:pPr>
        <w:ind w:left="0" w:firstLine="0"/>
        <w:jc w:val="center"/>
      </w:pPr>
      <w:r>
        <w:rPr>
          <w:b/>
        </w:rPr>
        <w:t>THE REMAINDER OF THIS PAGE HAS BEEN LEFT BLANK INTENTIONALLY</w:t>
      </w:r>
    </w:p>
    <w:p w14:paraId="22409AAA" w14:textId="77777777" w:rsidR="00A332AB" w:rsidRDefault="00A332AB">
      <w:pPr>
        <w:ind w:left="0" w:firstLine="0"/>
      </w:pPr>
    </w:p>
    <w:p w14:paraId="23236365" w14:textId="77777777" w:rsidR="00A332AB" w:rsidRDefault="00A332AB">
      <w:pPr>
        <w:ind w:left="0" w:firstLine="0"/>
      </w:pPr>
    </w:p>
    <w:p w14:paraId="2EECC195" w14:textId="77777777" w:rsidR="00A332AB" w:rsidRDefault="00A332AB">
      <w:pPr>
        <w:ind w:left="0" w:firstLine="0"/>
      </w:pPr>
    </w:p>
    <w:p w14:paraId="4C8A117F" w14:textId="77777777" w:rsidR="00A332AB" w:rsidRDefault="00A332AB">
      <w:pPr>
        <w:ind w:left="0" w:firstLine="0"/>
      </w:pPr>
    </w:p>
    <w:p w14:paraId="66E22156" w14:textId="77777777" w:rsidR="00A332AB" w:rsidRDefault="00A332AB">
      <w:pPr>
        <w:ind w:left="0" w:firstLine="0"/>
      </w:pPr>
    </w:p>
    <w:p w14:paraId="6029EE98" w14:textId="77777777" w:rsidR="00A332AB" w:rsidRDefault="00A332AB">
      <w:pPr>
        <w:ind w:left="0" w:firstLine="0"/>
      </w:pPr>
    </w:p>
    <w:p w14:paraId="66D00185" w14:textId="77777777" w:rsidR="00A332AB" w:rsidRDefault="00A332AB">
      <w:pPr>
        <w:ind w:left="0" w:firstLine="0"/>
      </w:pPr>
    </w:p>
    <w:p w14:paraId="073E97E5" w14:textId="77777777" w:rsidR="00A332AB" w:rsidRDefault="00A332AB">
      <w:pPr>
        <w:ind w:left="0" w:firstLine="0"/>
      </w:pPr>
    </w:p>
    <w:p w14:paraId="07487C08" w14:textId="77777777" w:rsidR="00A332AB" w:rsidRDefault="00A332AB">
      <w:pPr>
        <w:ind w:left="0" w:firstLine="0"/>
      </w:pPr>
    </w:p>
    <w:p w14:paraId="2C1EDB45" w14:textId="77777777" w:rsidR="00A332AB" w:rsidRDefault="00A332AB">
      <w:pPr>
        <w:ind w:left="0" w:firstLine="0"/>
      </w:pPr>
    </w:p>
    <w:p w14:paraId="4276BA2B" w14:textId="77777777" w:rsidR="00A332AB" w:rsidRDefault="00A332AB">
      <w:pPr>
        <w:ind w:left="0" w:firstLine="0"/>
      </w:pPr>
    </w:p>
    <w:p w14:paraId="4AC67C48" w14:textId="77777777" w:rsidR="00A332AB" w:rsidRDefault="00A332AB">
      <w:pPr>
        <w:ind w:left="0" w:firstLine="0"/>
      </w:pPr>
    </w:p>
    <w:p w14:paraId="378CC4C0" w14:textId="77777777" w:rsidR="00A332AB" w:rsidRDefault="00A332AB">
      <w:pPr>
        <w:ind w:left="0" w:firstLine="0"/>
      </w:pPr>
    </w:p>
    <w:p w14:paraId="6C1C04C7" w14:textId="77777777" w:rsidR="00A332AB" w:rsidRDefault="00A332AB">
      <w:pPr>
        <w:ind w:left="0" w:firstLine="0"/>
      </w:pPr>
    </w:p>
    <w:p w14:paraId="5DF9140F" w14:textId="77777777" w:rsidR="00A332AB" w:rsidRDefault="00A332AB">
      <w:pPr>
        <w:ind w:left="0" w:firstLine="0"/>
      </w:pPr>
    </w:p>
    <w:p w14:paraId="4584D2B8" w14:textId="77777777" w:rsidR="00A332AB" w:rsidRDefault="00A332AB">
      <w:pPr>
        <w:ind w:left="0" w:firstLine="0"/>
      </w:pPr>
    </w:p>
    <w:p w14:paraId="4AEF0C38" w14:textId="77777777" w:rsidR="00A332AB" w:rsidRDefault="00A332AB">
      <w:pPr>
        <w:ind w:left="0" w:firstLine="0"/>
      </w:pPr>
    </w:p>
    <w:p w14:paraId="612F505A" w14:textId="77777777" w:rsidR="00A332AB" w:rsidRDefault="00A332AB">
      <w:pPr>
        <w:ind w:left="0" w:firstLine="0"/>
      </w:pPr>
    </w:p>
    <w:p w14:paraId="4CF3962B" w14:textId="77777777" w:rsidR="00A332AB" w:rsidRDefault="00A332AB">
      <w:pPr>
        <w:ind w:left="0" w:firstLine="0"/>
      </w:pPr>
    </w:p>
    <w:p w14:paraId="799D8166" w14:textId="77777777" w:rsidR="00A332AB" w:rsidRDefault="00A332AB">
      <w:pPr>
        <w:ind w:left="0" w:firstLine="0"/>
      </w:pPr>
    </w:p>
    <w:p w14:paraId="28856178" w14:textId="77777777" w:rsidR="00A332AB" w:rsidRDefault="00A332AB">
      <w:pPr>
        <w:ind w:left="0" w:firstLine="0"/>
      </w:pPr>
    </w:p>
    <w:p w14:paraId="308FE625" w14:textId="77777777" w:rsidR="00A332AB" w:rsidRDefault="00A332AB">
      <w:pPr>
        <w:ind w:left="0" w:firstLine="0"/>
      </w:pPr>
    </w:p>
    <w:p w14:paraId="222692FF" w14:textId="77777777" w:rsidR="00A332AB" w:rsidRDefault="00A332AB">
      <w:pPr>
        <w:ind w:left="0" w:firstLine="0"/>
      </w:pPr>
    </w:p>
    <w:p w14:paraId="2AE50F42" w14:textId="77777777" w:rsidR="00E765AE" w:rsidRDefault="00E765AE">
      <w:pPr>
        <w:ind w:left="0" w:firstLine="0"/>
      </w:pPr>
    </w:p>
    <w:p w14:paraId="6B150965" w14:textId="77777777" w:rsidR="00203CDE" w:rsidRDefault="00203CDE">
      <w:pPr>
        <w:ind w:left="0" w:firstLine="0"/>
      </w:pPr>
    </w:p>
    <w:p w14:paraId="48FC068D" w14:textId="77777777" w:rsidR="00E765AE" w:rsidRDefault="00E765AE">
      <w:pPr>
        <w:ind w:left="0" w:firstLine="0"/>
      </w:pPr>
    </w:p>
    <w:p w14:paraId="320B3725" w14:textId="503A3E19" w:rsidR="003C7B16" w:rsidRPr="00AA03BE" w:rsidRDefault="006027FB">
      <w:pPr>
        <w:pStyle w:val="Heading4"/>
        <w:spacing w:after="14" w:line="248" w:lineRule="auto"/>
        <w:ind w:left="1024" w:right="1010"/>
        <w:jc w:val="center"/>
        <w:rPr>
          <w:u w:val="single"/>
        </w:rPr>
      </w:pPr>
      <w:r w:rsidRPr="00AA03BE">
        <w:rPr>
          <w:u w:val="single"/>
        </w:rPr>
        <w:lastRenderedPageBreak/>
        <w:t xml:space="preserve">USEPA OFFICE OF WATER </w:t>
      </w:r>
      <w:r w:rsidR="004C3736" w:rsidRPr="00AA03BE">
        <w:rPr>
          <w:u w:val="single"/>
        </w:rPr>
        <w:t>– DRINKING WATER</w:t>
      </w:r>
    </w:p>
    <w:p w14:paraId="70D96FBF" w14:textId="40855F8F" w:rsidR="006027FB" w:rsidRPr="00AA03BE" w:rsidRDefault="004C3736">
      <w:pPr>
        <w:pStyle w:val="Heading4"/>
        <w:spacing w:after="14" w:line="248" w:lineRule="auto"/>
        <w:ind w:left="1024" w:right="1010"/>
        <w:jc w:val="center"/>
      </w:pPr>
      <w:r w:rsidRPr="00AA03BE">
        <w:rPr>
          <w:u w:val="single"/>
        </w:rPr>
        <w:t>DRINKING WATER</w:t>
      </w:r>
      <w:r w:rsidR="003C7B16" w:rsidRPr="00AA03BE">
        <w:rPr>
          <w:u w:val="single"/>
        </w:rPr>
        <w:t xml:space="preserve"> </w:t>
      </w:r>
      <w:r w:rsidRPr="00AA03BE">
        <w:rPr>
          <w:u w:val="single"/>
        </w:rPr>
        <w:t>PROTOCOL</w:t>
      </w:r>
    </w:p>
    <w:p w14:paraId="3BEF750E" w14:textId="77777777" w:rsidR="004C3736" w:rsidRPr="00AA03BE" w:rsidRDefault="004C3736" w:rsidP="005B411E">
      <w:pPr>
        <w:jc w:val="center"/>
      </w:pPr>
    </w:p>
    <w:p w14:paraId="12449DFD" w14:textId="68FCD88D" w:rsidR="00BD661E" w:rsidRPr="00AA03BE" w:rsidRDefault="001C3C42" w:rsidP="00BD661E">
      <w:pPr>
        <w:pStyle w:val="Heading4"/>
        <w:spacing w:after="14" w:line="248" w:lineRule="auto"/>
        <w:ind w:left="1024" w:right="1010"/>
        <w:jc w:val="center"/>
      </w:pPr>
      <w:r w:rsidRPr="00AA03BE">
        <w:t xml:space="preserve">Drinking Water Volatile Organic </w:t>
      </w:r>
      <w:r w:rsidR="000672A4" w:rsidRPr="00AA03BE">
        <w:t>Analysis</w:t>
      </w:r>
    </w:p>
    <w:p w14:paraId="6D6DADD7" w14:textId="77777777" w:rsidR="00B56D50" w:rsidRPr="00AA03BE" w:rsidRDefault="001C3C42" w:rsidP="00BD661E">
      <w:pPr>
        <w:pStyle w:val="Heading4"/>
        <w:spacing w:after="14" w:line="248" w:lineRule="auto"/>
        <w:ind w:right="1010"/>
        <w:rPr>
          <w:b w:val="0"/>
          <w:bCs/>
        </w:rPr>
      </w:pPr>
      <w:r w:rsidRPr="00AA03BE">
        <w:t xml:space="preserve"> </w:t>
      </w:r>
    </w:p>
    <w:tbl>
      <w:tblPr>
        <w:tblStyle w:val="TableGrid1"/>
        <w:tblW w:w="10530" w:type="dxa"/>
        <w:tblInd w:w="-375" w:type="dxa"/>
        <w:tblCellMar>
          <w:top w:w="24" w:type="dxa"/>
          <w:left w:w="72" w:type="dxa"/>
          <w:right w:w="27" w:type="dxa"/>
        </w:tblCellMar>
        <w:tblLook w:val="04A0" w:firstRow="1" w:lastRow="0" w:firstColumn="1" w:lastColumn="0" w:noHBand="0" w:noVBand="1"/>
      </w:tblPr>
      <w:tblGrid>
        <w:gridCol w:w="3144"/>
        <w:gridCol w:w="1146"/>
        <w:gridCol w:w="1063"/>
        <w:gridCol w:w="1042"/>
        <w:gridCol w:w="946"/>
        <w:gridCol w:w="1045"/>
        <w:gridCol w:w="995"/>
        <w:gridCol w:w="1149"/>
      </w:tblGrid>
      <w:tr w:rsidR="00B56D50" w14:paraId="73126FA4" w14:textId="77777777" w:rsidTr="00C23B62">
        <w:trPr>
          <w:trHeight w:val="269"/>
        </w:trPr>
        <w:tc>
          <w:tcPr>
            <w:tcW w:w="8386" w:type="dxa"/>
            <w:gridSpan w:val="6"/>
            <w:tcBorders>
              <w:top w:val="single" w:sz="12" w:space="0" w:color="000000"/>
              <w:left w:val="single" w:sz="12" w:space="0" w:color="000000"/>
              <w:bottom w:val="single" w:sz="12" w:space="0" w:color="000000"/>
              <w:right w:val="nil"/>
            </w:tcBorders>
            <w:vAlign w:val="center"/>
          </w:tcPr>
          <w:p w14:paraId="23B2F8C5" w14:textId="5FBF7853" w:rsidR="00B56D50" w:rsidRDefault="001C3C42" w:rsidP="008F01EB">
            <w:pPr>
              <w:spacing w:after="0" w:line="259" w:lineRule="auto"/>
              <w:ind w:left="0" w:right="0" w:firstLine="0"/>
            </w:pPr>
            <w:r>
              <w:rPr>
                <w:b/>
                <w:sz w:val="18"/>
              </w:rPr>
              <w:t>Drinking Water Volatiles Group A</w:t>
            </w:r>
            <w:proofErr w:type="gramStart"/>
            <w:r>
              <w:rPr>
                <w:b/>
                <w:sz w:val="18"/>
              </w:rPr>
              <w:t>:</w:t>
            </w:r>
            <w:r>
              <w:rPr>
                <w:sz w:val="18"/>
              </w:rPr>
              <w:t xml:space="preserve">  </w:t>
            </w:r>
            <w:r>
              <w:rPr>
                <w:b/>
                <w:sz w:val="18"/>
              </w:rPr>
              <w:t>Drinking</w:t>
            </w:r>
            <w:proofErr w:type="gramEnd"/>
            <w:r>
              <w:rPr>
                <w:b/>
                <w:sz w:val="18"/>
              </w:rPr>
              <w:t xml:space="preserve"> Water 524.2 VOCs List</w:t>
            </w:r>
            <w:r w:rsidR="002D6F37" w:rsidRPr="00626D8F">
              <w:rPr>
                <w:strike/>
                <w:sz w:val="18"/>
                <w:vertAlign w:val="superscript"/>
              </w:rPr>
              <w:t xml:space="preserve"> </w:t>
            </w:r>
          </w:p>
        </w:tc>
        <w:tc>
          <w:tcPr>
            <w:tcW w:w="2144" w:type="dxa"/>
            <w:gridSpan w:val="2"/>
            <w:tcBorders>
              <w:top w:val="single" w:sz="12" w:space="0" w:color="000000"/>
              <w:left w:val="nil"/>
              <w:bottom w:val="single" w:sz="12" w:space="0" w:color="000000"/>
              <w:right w:val="single" w:sz="12" w:space="0" w:color="000000"/>
            </w:tcBorders>
          </w:tcPr>
          <w:p w14:paraId="23FE6FC4" w14:textId="77777777" w:rsidR="00B56D50" w:rsidRDefault="00B56D50" w:rsidP="00D47964">
            <w:pPr>
              <w:spacing w:after="0" w:line="259" w:lineRule="auto"/>
              <w:ind w:left="0" w:right="0" w:firstLine="0"/>
            </w:pPr>
          </w:p>
        </w:tc>
      </w:tr>
      <w:tr w:rsidR="00B56D50" w14:paraId="4F0B0226" w14:textId="77777777" w:rsidTr="00C23B62">
        <w:trPr>
          <w:trHeight w:val="271"/>
        </w:trPr>
        <w:tc>
          <w:tcPr>
            <w:tcW w:w="3144" w:type="dxa"/>
            <w:vMerge w:val="restart"/>
            <w:tcBorders>
              <w:top w:val="single" w:sz="12" w:space="0" w:color="000000"/>
              <w:left w:val="single" w:sz="12" w:space="0" w:color="000000"/>
              <w:bottom w:val="single" w:sz="12" w:space="0" w:color="000000"/>
              <w:right w:val="single" w:sz="12" w:space="0" w:color="000000"/>
            </w:tcBorders>
            <w:vAlign w:val="center"/>
          </w:tcPr>
          <w:p w14:paraId="2551E4AF" w14:textId="32456ABE" w:rsidR="00B56D50" w:rsidRDefault="001C3C42" w:rsidP="008F01EB">
            <w:pPr>
              <w:spacing w:after="0" w:line="259" w:lineRule="auto"/>
              <w:ind w:left="0" w:right="46" w:firstLine="0"/>
              <w:jc w:val="center"/>
            </w:pPr>
            <w:r>
              <w:rPr>
                <w:b/>
                <w:sz w:val="18"/>
              </w:rPr>
              <w:t>Analyte</w:t>
            </w:r>
          </w:p>
        </w:tc>
        <w:tc>
          <w:tcPr>
            <w:tcW w:w="1146" w:type="dxa"/>
            <w:vMerge w:val="restart"/>
            <w:tcBorders>
              <w:top w:val="single" w:sz="12" w:space="0" w:color="000000"/>
              <w:left w:val="single" w:sz="12" w:space="0" w:color="000000"/>
              <w:bottom w:val="single" w:sz="12" w:space="0" w:color="000000"/>
              <w:right w:val="single" w:sz="12" w:space="0" w:color="000000"/>
            </w:tcBorders>
            <w:vAlign w:val="center"/>
          </w:tcPr>
          <w:p w14:paraId="51BEDC06" w14:textId="2C1CC32E" w:rsidR="00B56D50" w:rsidRDefault="001C3C42" w:rsidP="008F01EB">
            <w:pPr>
              <w:spacing w:after="0" w:line="259" w:lineRule="auto"/>
              <w:ind w:left="0" w:right="0" w:firstLine="0"/>
              <w:jc w:val="center"/>
            </w:pPr>
            <w:r>
              <w:rPr>
                <w:b/>
                <w:sz w:val="18"/>
              </w:rPr>
              <w:t>CAS Number</w:t>
            </w:r>
          </w:p>
        </w:tc>
        <w:tc>
          <w:tcPr>
            <w:tcW w:w="2105" w:type="dxa"/>
            <w:gridSpan w:val="2"/>
            <w:tcBorders>
              <w:top w:val="single" w:sz="12" w:space="0" w:color="000000"/>
              <w:left w:val="single" w:sz="12" w:space="0" w:color="000000"/>
              <w:bottom w:val="single" w:sz="12" w:space="0" w:color="000000"/>
              <w:right w:val="single" w:sz="12" w:space="0" w:color="000000"/>
            </w:tcBorders>
            <w:vAlign w:val="center"/>
          </w:tcPr>
          <w:p w14:paraId="220BB2D7" w14:textId="6678927A" w:rsidR="00B56D50" w:rsidRDefault="001C3C42" w:rsidP="008F01EB">
            <w:pPr>
              <w:spacing w:after="0" w:line="259" w:lineRule="auto"/>
              <w:ind w:left="0" w:right="47" w:firstLine="0"/>
              <w:jc w:val="center"/>
            </w:pPr>
            <w:r>
              <w:rPr>
                <w:b/>
                <w:sz w:val="18"/>
              </w:rPr>
              <w:t>Aqueous</w:t>
            </w:r>
          </w:p>
        </w:tc>
        <w:tc>
          <w:tcPr>
            <w:tcW w:w="1991" w:type="dxa"/>
            <w:gridSpan w:val="2"/>
            <w:tcBorders>
              <w:top w:val="single" w:sz="12" w:space="0" w:color="000000"/>
              <w:left w:val="single" w:sz="12" w:space="0" w:color="000000"/>
              <w:bottom w:val="single" w:sz="12" w:space="0" w:color="000000"/>
              <w:right w:val="single" w:sz="12" w:space="0" w:color="000000"/>
            </w:tcBorders>
            <w:vAlign w:val="center"/>
          </w:tcPr>
          <w:p w14:paraId="35D8A1B8" w14:textId="225FFB60" w:rsidR="00B56D50" w:rsidRDefault="00E16088" w:rsidP="008F01EB">
            <w:pPr>
              <w:spacing w:after="0" w:line="259" w:lineRule="auto"/>
              <w:ind w:left="0" w:right="5" w:firstLine="0"/>
              <w:jc w:val="center"/>
            </w:pPr>
            <w:r>
              <w:rPr>
                <w:b/>
                <w:sz w:val="18"/>
              </w:rPr>
              <w:t>Soil/Sediment</w:t>
            </w:r>
          </w:p>
        </w:tc>
        <w:tc>
          <w:tcPr>
            <w:tcW w:w="2144" w:type="dxa"/>
            <w:gridSpan w:val="2"/>
            <w:vMerge w:val="restart"/>
            <w:tcBorders>
              <w:top w:val="single" w:sz="12" w:space="0" w:color="000000"/>
              <w:left w:val="single" w:sz="12" w:space="0" w:color="000000"/>
              <w:bottom w:val="single" w:sz="12" w:space="0" w:color="000000"/>
              <w:right w:val="single" w:sz="12" w:space="0" w:color="000000"/>
            </w:tcBorders>
            <w:vAlign w:val="center"/>
          </w:tcPr>
          <w:p w14:paraId="52C0F1D9" w14:textId="7CD71C0F" w:rsidR="00B56D50" w:rsidRDefault="001C3C42" w:rsidP="008F01EB">
            <w:pPr>
              <w:spacing w:after="0" w:line="259" w:lineRule="auto"/>
              <w:ind w:left="0" w:right="0" w:firstLine="0"/>
              <w:jc w:val="center"/>
            </w:pPr>
            <w:r>
              <w:rPr>
                <w:b/>
                <w:sz w:val="18"/>
              </w:rPr>
              <w:t>Acceptabl</w:t>
            </w:r>
            <w:r w:rsidR="007F1BEB">
              <w:rPr>
                <w:b/>
                <w:sz w:val="18"/>
              </w:rPr>
              <w:t>e</w:t>
            </w:r>
            <w:r>
              <w:rPr>
                <w:b/>
                <w:sz w:val="12"/>
              </w:rPr>
              <w:t xml:space="preserve"> </w:t>
            </w:r>
            <w:r>
              <w:rPr>
                <w:b/>
                <w:sz w:val="18"/>
              </w:rPr>
              <w:t>Methods</w:t>
            </w:r>
            <w:r w:rsidR="00423009">
              <w:rPr>
                <w:b/>
                <w:sz w:val="18"/>
              </w:rPr>
              <w:t xml:space="preserve"> </w:t>
            </w:r>
            <w:r w:rsidR="00AC064C" w:rsidRPr="003472AA">
              <w:rPr>
                <w:b/>
                <w:sz w:val="18"/>
                <w:szCs w:val="18"/>
                <w:vertAlign w:val="superscript"/>
              </w:rPr>
              <w:t>3</w:t>
            </w:r>
            <w:r w:rsidR="00C171EC">
              <w:rPr>
                <w:b/>
                <w:sz w:val="18"/>
                <w:szCs w:val="18"/>
                <w:vertAlign w:val="superscript"/>
              </w:rPr>
              <w:t>5</w:t>
            </w:r>
          </w:p>
        </w:tc>
      </w:tr>
      <w:tr w:rsidR="00950E59" w14:paraId="72D1A9D9" w14:textId="77777777" w:rsidTr="006F3C0D">
        <w:trPr>
          <w:trHeight w:val="269"/>
        </w:trPr>
        <w:tc>
          <w:tcPr>
            <w:tcW w:w="3144" w:type="dxa"/>
            <w:vMerge/>
            <w:tcBorders>
              <w:top w:val="nil"/>
              <w:left w:val="single" w:sz="12" w:space="0" w:color="000000"/>
              <w:bottom w:val="single" w:sz="12" w:space="0" w:color="000000"/>
              <w:right w:val="single" w:sz="12" w:space="0" w:color="000000"/>
            </w:tcBorders>
            <w:vAlign w:val="center"/>
          </w:tcPr>
          <w:p w14:paraId="745E505B" w14:textId="77777777" w:rsidR="00B56D50" w:rsidRDefault="00B56D50" w:rsidP="00017AB4">
            <w:pPr>
              <w:spacing w:after="160" w:line="259" w:lineRule="auto"/>
              <w:ind w:left="0" w:right="0" w:firstLine="0"/>
              <w:jc w:val="center"/>
            </w:pPr>
          </w:p>
        </w:tc>
        <w:tc>
          <w:tcPr>
            <w:tcW w:w="0" w:type="auto"/>
            <w:vMerge/>
            <w:tcBorders>
              <w:top w:val="nil"/>
              <w:left w:val="single" w:sz="12" w:space="0" w:color="000000"/>
              <w:bottom w:val="single" w:sz="12" w:space="0" w:color="000000"/>
              <w:right w:val="single" w:sz="12" w:space="0" w:color="000000"/>
            </w:tcBorders>
            <w:vAlign w:val="center"/>
          </w:tcPr>
          <w:p w14:paraId="613DAA1E" w14:textId="77777777" w:rsidR="00B56D50" w:rsidRDefault="00B56D50" w:rsidP="00017AB4">
            <w:pPr>
              <w:spacing w:after="160" w:line="259" w:lineRule="auto"/>
              <w:ind w:left="0" w:right="0" w:firstLine="0"/>
              <w:jc w:val="center"/>
            </w:pPr>
          </w:p>
        </w:tc>
        <w:tc>
          <w:tcPr>
            <w:tcW w:w="1063" w:type="dxa"/>
            <w:tcBorders>
              <w:top w:val="single" w:sz="12" w:space="0" w:color="000000"/>
              <w:left w:val="single" w:sz="12" w:space="0" w:color="000000"/>
              <w:bottom w:val="single" w:sz="12" w:space="0" w:color="000000"/>
              <w:right w:val="single" w:sz="12" w:space="0" w:color="000000"/>
            </w:tcBorders>
            <w:vAlign w:val="center"/>
          </w:tcPr>
          <w:p w14:paraId="15B432DE" w14:textId="6DE7382D" w:rsidR="00B56D50" w:rsidRDefault="001C3C42" w:rsidP="008F01EB">
            <w:pPr>
              <w:spacing w:after="0" w:line="259" w:lineRule="auto"/>
              <w:ind w:left="0" w:right="47" w:firstLine="0"/>
              <w:jc w:val="center"/>
            </w:pPr>
            <w:r>
              <w:rPr>
                <w:b/>
                <w:sz w:val="18"/>
              </w:rPr>
              <w:t>RL</w:t>
            </w:r>
            <w:r w:rsidR="004A0797">
              <w:rPr>
                <w:b/>
                <w:sz w:val="18"/>
              </w:rPr>
              <w:t xml:space="preserve"> </w:t>
            </w:r>
            <w:r w:rsidR="00553695" w:rsidRPr="00D336C1">
              <w:rPr>
                <w:b/>
                <w:sz w:val="18"/>
                <w:vertAlign w:val="superscript"/>
              </w:rPr>
              <w:t>3</w:t>
            </w:r>
            <w:r w:rsidR="00423009">
              <w:rPr>
                <w:b/>
                <w:sz w:val="18"/>
                <w:vertAlign w:val="superscript"/>
              </w:rPr>
              <w:t>6</w:t>
            </w:r>
          </w:p>
        </w:tc>
        <w:tc>
          <w:tcPr>
            <w:tcW w:w="1042" w:type="dxa"/>
            <w:tcBorders>
              <w:top w:val="single" w:sz="12" w:space="0" w:color="000000"/>
              <w:left w:val="single" w:sz="12" w:space="0" w:color="000000"/>
              <w:bottom w:val="single" w:sz="12" w:space="0" w:color="000000"/>
              <w:right w:val="single" w:sz="12" w:space="0" w:color="000000"/>
            </w:tcBorders>
            <w:vAlign w:val="center"/>
          </w:tcPr>
          <w:p w14:paraId="3D102CB1" w14:textId="6D4FA3C1" w:rsidR="00B56D50" w:rsidRDefault="001C3C42" w:rsidP="008F01EB">
            <w:pPr>
              <w:spacing w:after="0" w:line="259" w:lineRule="auto"/>
              <w:ind w:left="0" w:right="52" w:firstLine="0"/>
              <w:jc w:val="center"/>
            </w:pPr>
            <w:r>
              <w:rPr>
                <w:b/>
                <w:sz w:val="18"/>
              </w:rPr>
              <w:t>units</w:t>
            </w:r>
          </w:p>
        </w:tc>
        <w:tc>
          <w:tcPr>
            <w:tcW w:w="946" w:type="dxa"/>
            <w:tcBorders>
              <w:top w:val="single" w:sz="12" w:space="0" w:color="000000"/>
              <w:left w:val="single" w:sz="12" w:space="0" w:color="000000"/>
              <w:bottom w:val="single" w:sz="12" w:space="0" w:color="000000"/>
              <w:right w:val="single" w:sz="12" w:space="0" w:color="000000"/>
            </w:tcBorders>
            <w:vAlign w:val="center"/>
          </w:tcPr>
          <w:p w14:paraId="308F4510" w14:textId="234A1D40" w:rsidR="00B56D50" w:rsidRDefault="001C3C42" w:rsidP="008F01EB">
            <w:pPr>
              <w:spacing w:after="0" w:line="259" w:lineRule="auto"/>
              <w:ind w:left="0" w:right="47" w:firstLine="0"/>
              <w:jc w:val="center"/>
            </w:pPr>
            <w:r>
              <w:rPr>
                <w:b/>
                <w:sz w:val="18"/>
              </w:rPr>
              <w:t>RL</w:t>
            </w:r>
          </w:p>
        </w:tc>
        <w:tc>
          <w:tcPr>
            <w:tcW w:w="1045" w:type="dxa"/>
            <w:tcBorders>
              <w:top w:val="single" w:sz="12" w:space="0" w:color="000000"/>
              <w:left w:val="single" w:sz="12" w:space="0" w:color="000000"/>
              <w:bottom w:val="single" w:sz="12" w:space="0" w:color="000000"/>
              <w:right w:val="single" w:sz="12" w:space="0" w:color="000000"/>
            </w:tcBorders>
            <w:vAlign w:val="center"/>
          </w:tcPr>
          <w:p w14:paraId="03594A96" w14:textId="6D50D6B8" w:rsidR="00B56D50" w:rsidRDefault="001C3C42" w:rsidP="008F01EB">
            <w:pPr>
              <w:spacing w:after="0" w:line="259" w:lineRule="auto"/>
              <w:ind w:left="0" w:right="50" w:firstLine="0"/>
              <w:jc w:val="center"/>
            </w:pPr>
            <w:r>
              <w:rPr>
                <w:b/>
                <w:sz w:val="18"/>
              </w:rPr>
              <w:t>units</w:t>
            </w:r>
          </w:p>
        </w:tc>
        <w:tc>
          <w:tcPr>
            <w:tcW w:w="2144" w:type="dxa"/>
            <w:gridSpan w:val="2"/>
            <w:vMerge/>
            <w:tcBorders>
              <w:top w:val="nil"/>
              <w:left w:val="single" w:sz="12" w:space="0" w:color="000000"/>
              <w:bottom w:val="single" w:sz="12" w:space="0" w:color="000000"/>
              <w:right w:val="single" w:sz="12" w:space="0" w:color="000000"/>
            </w:tcBorders>
            <w:vAlign w:val="center"/>
          </w:tcPr>
          <w:p w14:paraId="138F12D1" w14:textId="77777777" w:rsidR="00B56D50" w:rsidRDefault="00B56D50" w:rsidP="00017AB4">
            <w:pPr>
              <w:spacing w:after="160" w:line="259" w:lineRule="auto"/>
              <w:ind w:left="0" w:right="0" w:firstLine="0"/>
              <w:jc w:val="center"/>
            </w:pPr>
          </w:p>
        </w:tc>
      </w:tr>
      <w:tr w:rsidR="00B0429D" w14:paraId="097FC2D1" w14:textId="77777777" w:rsidTr="00C23B62">
        <w:trPr>
          <w:trHeight w:val="262"/>
        </w:trPr>
        <w:tc>
          <w:tcPr>
            <w:tcW w:w="3144" w:type="dxa"/>
            <w:tcBorders>
              <w:top w:val="single" w:sz="12" w:space="0" w:color="000000"/>
              <w:left w:val="single" w:sz="12" w:space="0" w:color="000000"/>
              <w:bottom w:val="single" w:sz="4" w:space="0" w:color="000000"/>
              <w:right w:val="single" w:sz="12" w:space="0" w:color="000000"/>
            </w:tcBorders>
          </w:tcPr>
          <w:p w14:paraId="706DE66F" w14:textId="77777777" w:rsidR="00B0429D" w:rsidRDefault="00B0429D" w:rsidP="00B0429D">
            <w:pPr>
              <w:spacing w:after="0" w:line="259" w:lineRule="auto"/>
              <w:ind w:left="0" w:right="0" w:firstLine="0"/>
            </w:pPr>
            <w:r>
              <w:rPr>
                <w:sz w:val="18"/>
              </w:rPr>
              <w:t xml:space="preserve">Acetone </w:t>
            </w:r>
          </w:p>
        </w:tc>
        <w:tc>
          <w:tcPr>
            <w:tcW w:w="1146" w:type="dxa"/>
            <w:tcBorders>
              <w:top w:val="single" w:sz="12" w:space="0" w:color="000000"/>
              <w:left w:val="single" w:sz="12" w:space="0" w:color="000000"/>
              <w:bottom w:val="single" w:sz="4" w:space="0" w:color="000000"/>
              <w:right w:val="single" w:sz="12" w:space="0" w:color="000000"/>
            </w:tcBorders>
          </w:tcPr>
          <w:p w14:paraId="432E3339" w14:textId="62595BCB" w:rsidR="00B0429D" w:rsidRDefault="00B0429D" w:rsidP="00543BC3">
            <w:pPr>
              <w:spacing w:after="0" w:line="259" w:lineRule="auto"/>
              <w:ind w:left="0" w:right="44" w:firstLine="0"/>
              <w:jc w:val="center"/>
            </w:pPr>
            <w:r>
              <w:rPr>
                <w:sz w:val="18"/>
              </w:rPr>
              <w:t>67-64-1</w:t>
            </w:r>
          </w:p>
        </w:tc>
        <w:tc>
          <w:tcPr>
            <w:tcW w:w="1063" w:type="dxa"/>
            <w:tcBorders>
              <w:top w:val="single" w:sz="12" w:space="0" w:color="000000"/>
              <w:left w:val="single" w:sz="12" w:space="0" w:color="000000"/>
              <w:bottom w:val="single" w:sz="4" w:space="0" w:color="000000"/>
              <w:right w:val="single" w:sz="12" w:space="0" w:color="000000"/>
            </w:tcBorders>
          </w:tcPr>
          <w:p w14:paraId="5E6FF822" w14:textId="19236DC4" w:rsidR="00B0429D" w:rsidRDefault="00B0429D" w:rsidP="00543BC3">
            <w:pPr>
              <w:tabs>
                <w:tab w:val="center" w:pos="534"/>
              </w:tabs>
              <w:spacing w:after="0" w:line="259" w:lineRule="auto"/>
              <w:ind w:left="0" w:right="0" w:firstLine="0"/>
              <w:jc w:val="center"/>
            </w:pPr>
            <w:r>
              <w:rPr>
                <w:sz w:val="18"/>
              </w:rPr>
              <w:t>1</w:t>
            </w:r>
          </w:p>
        </w:tc>
        <w:tc>
          <w:tcPr>
            <w:tcW w:w="1042" w:type="dxa"/>
            <w:tcBorders>
              <w:top w:val="single" w:sz="12" w:space="0" w:color="000000"/>
              <w:left w:val="single" w:sz="12" w:space="0" w:color="000000"/>
              <w:bottom w:val="single" w:sz="4" w:space="0" w:color="000000"/>
              <w:right w:val="single" w:sz="12" w:space="0" w:color="000000"/>
            </w:tcBorders>
          </w:tcPr>
          <w:p w14:paraId="088F15CF" w14:textId="7F36A4B5" w:rsidR="00B0429D" w:rsidRDefault="00B0429D" w:rsidP="00543BC3">
            <w:pPr>
              <w:spacing w:after="0" w:line="259" w:lineRule="auto"/>
              <w:ind w:left="0" w:right="44" w:firstLine="0"/>
              <w:jc w:val="center"/>
            </w:pPr>
            <w:r>
              <w:rPr>
                <w:sz w:val="18"/>
              </w:rPr>
              <w:t>ug/L</w:t>
            </w:r>
          </w:p>
        </w:tc>
        <w:tc>
          <w:tcPr>
            <w:tcW w:w="946" w:type="dxa"/>
            <w:tcBorders>
              <w:top w:val="single" w:sz="12" w:space="0" w:color="000000"/>
              <w:left w:val="single" w:sz="12" w:space="0" w:color="000000"/>
              <w:bottom w:val="single" w:sz="4" w:space="0" w:color="000000"/>
              <w:right w:val="single" w:sz="12" w:space="0" w:color="000000"/>
            </w:tcBorders>
          </w:tcPr>
          <w:p w14:paraId="7444576D" w14:textId="6E59AFE8" w:rsidR="00B0429D" w:rsidRDefault="00B0429D" w:rsidP="00543BC3">
            <w:pPr>
              <w:spacing w:after="0" w:line="259" w:lineRule="auto"/>
              <w:ind w:left="0" w:right="45" w:firstLine="0"/>
              <w:jc w:val="center"/>
            </w:pPr>
            <w:r>
              <w:rPr>
                <w:sz w:val="18"/>
              </w:rPr>
              <w:t>N/A</w:t>
            </w:r>
          </w:p>
        </w:tc>
        <w:tc>
          <w:tcPr>
            <w:tcW w:w="1045" w:type="dxa"/>
            <w:tcBorders>
              <w:top w:val="single" w:sz="12" w:space="0" w:color="000000"/>
              <w:left w:val="single" w:sz="12" w:space="0" w:color="000000"/>
              <w:bottom w:val="single" w:sz="4" w:space="0" w:color="000000"/>
              <w:right w:val="single" w:sz="12" w:space="0" w:color="000000"/>
            </w:tcBorders>
          </w:tcPr>
          <w:p w14:paraId="7CDAD765" w14:textId="01BE56BD" w:rsidR="00B0429D" w:rsidRDefault="00B0429D" w:rsidP="00543BC3">
            <w:pPr>
              <w:spacing w:after="0" w:line="259" w:lineRule="auto"/>
              <w:ind w:left="0" w:right="45" w:firstLine="0"/>
              <w:jc w:val="center"/>
            </w:pPr>
            <w:r>
              <w:rPr>
                <w:sz w:val="18"/>
              </w:rPr>
              <w:t>N/A</w:t>
            </w:r>
          </w:p>
        </w:tc>
        <w:tc>
          <w:tcPr>
            <w:tcW w:w="995" w:type="dxa"/>
            <w:tcBorders>
              <w:top w:val="single" w:sz="12" w:space="0" w:color="000000"/>
              <w:left w:val="single" w:sz="12" w:space="0" w:color="000000"/>
              <w:bottom w:val="single" w:sz="4" w:space="0" w:color="000000"/>
              <w:right w:val="single" w:sz="12" w:space="0" w:color="000000"/>
            </w:tcBorders>
          </w:tcPr>
          <w:p w14:paraId="728645FC" w14:textId="7E124315" w:rsidR="00B0429D" w:rsidRDefault="00B0429D" w:rsidP="00543BC3">
            <w:pPr>
              <w:spacing w:after="0" w:line="259" w:lineRule="auto"/>
              <w:ind w:left="0" w:right="46" w:firstLine="0"/>
              <w:jc w:val="center"/>
            </w:pPr>
            <w:r>
              <w:rPr>
                <w:b/>
                <w:sz w:val="18"/>
              </w:rPr>
              <w:t>524.2</w:t>
            </w:r>
          </w:p>
        </w:tc>
        <w:tc>
          <w:tcPr>
            <w:tcW w:w="1149" w:type="dxa"/>
            <w:tcBorders>
              <w:top w:val="single" w:sz="12" w:space="0" w:color="000000"/>
              <w:left w:val="single" w:sz="12" w:space="0" w:color="000000"/>
              <w:bottom w:val="single" w:sz="4" w:space="0" w:color="000000"/>
              <w:right w:val="single" w:sz="12" w:space="0" w:color="000000"/>
            </w:tcBorders>
          </w:tcPr>
          <w:p w14:paraId="2437BDF9" w14:textId="1DA48634" w:rsidR="00B0429D" w:rsidRDefault="00B0429D" w:rsidP="00543BC3">
            <w:pPr>
              <w:spacing w:after="0" w:line="259" w:lineRule="auto"/>
              <w:ind w:left="0" w:right="0" w:firstLine="0"/>
              <w:jc w:val="center"/>
            </w:pPr>
          </w:p>
        </w:tc>
      </w:tr>
      <w:tr w:rsidR="00B0429D" w14:paraId="5F5DE831" w14:textId="77777777" w:rsidTr="00C23B62">
        <w:trPr>
          <w:trHeight w:val="250"/>
        </w:trPr>
        <w:tc>
          <w:tcPr>
            <w:tcW w:w="3144" w:type="dxa"/>
            <w:tcBorders>
              <w:top w:val="single" w:sz="4" w:space="0" w:color="000000"/>
              <w:left w:val="single" w:sz="12" w:space="0" w:color="000000"/>
              <w:bottom w:val="single" w:sz="4" w:space="0" w:color="000000"/>
              <w:right w:val="single" w:sz="12" w:space="0" w:color="000000"/>
            </w:tcBorders>
          </w:tcPr>
          <w:p w14:paraId="056178BD" w14:textId="77777777" w:rsidR="00B0429D" w:rsidRDefault="00B0429D" w:rsidP="00B0429D">
            <w:pPr>
              <w:spacing w:after="0" w:line="259" w:lineRule="auto"/>
              <w:ind w:left="0" w:right="0" w:firstLine="0"/>
            </w:pPr>
            <w:r>
              <w:rPr>
                <w:sz w:val="18"/>
              </w:rPr>
              <w:t xml:space="preserve">Benzene </w:t>
            </w:r>
          </w:p>
        </w:tc>
        <w:tc>
          <w:tcPr>
            <w:tcW w:w="1146" w:type="dxa"/>
            <w:tcBorders>
              <w:top w:val="single" w:sz="4" w:space="0" w:color="000000"/>
              <w:left w:val="single" w:sz="12" w:space="0" w:color="000000"/>
              <w:bottom w:val="single" w:sz="4" w:space="0" w:color="000000"/>
              <w:right w:val="single" w:sz="12" w:space="0" w:color="000000"/>
            </w:tcBorders>
          </w:tcPr>
          <w:p w14:paraId="07618F9B" w14:textId="4BBD2FF6" w:rsidR="00B0429D" w:rsidRDefault="00B0429D" w:rsidP="00543BC3">
            <w:pPr>
              <w:spacing w:after="0" w:line="259" w:lineRule="auto"/>
              <w:ind w:left="0" w:right="44" w:firstLine="0"/>
              <w:jc w:val="center"/>
            </w:pPr>
            <w:r>
              <w:rPr>
                <w:sz w:val="18"/>
              </w:rPr>
              <w:t>71-43-2</w:t>
            </w:r>
          </w:p>
        </w:tc>
        <w:tc>
          <w:tcPr>
            <w:tcW w:w="1063" w:type="dxa"/>
            <w:tcBorders>
              <w:top w:val="single" w:sz="4" w:space="0" w:color="000000"/>
              <w:left w:val="single" w:sz="12" w:space="0" w:color="000000"/>
              <w:bottom w:val="single" w:sz="4" w:space="0" w:color="000000"/>
              <w:right w:val="single" w:sz="12" w:space="0" w:color="000000"/>
            </w:tcBorders>
          </w:tcPr>
          <w:p w14:paraId="44CECF7A" w14:textId="33E5DD9D" w:rsidR="00B0429D" w:rsidRDefault="00B0429D" w:rsidP="00543BC3">
            <w:pPr>
              <w:tabs>
                <w:tab w:val="center" w:pos="579"/>
              </w:tabs>
              <w:spacing w:after="0" w:line="259" w:lineRule="auto"/>
              <w:ind w:left="0" w:right="0" w:firstLine="0"/>
              <w:jc w:val="center"/>
            </w:pPr>
            <w:r>
              <w:rPr>
                <w:sz w:val="18"/>
              </w:rPr>
              <w:t>0.2</w:t>
            </w:r>
          </w:p>
        </w:tc>
        <w:tc>
          <w:tcPr>
            <w:tcW w:w="1042" w:type="dxa"/>
            <w:tcBorders>
              <w:top w:val="single" w:sz="4" w:space="0" w:color="000000"/>
              <w:left w:val="single" w:sz="12" w:space="0" w:color="000000"/>
              <w:bottom w:val="single" w:sz="4" w:space="0" w:color="000000"/>
              <w:right w:val="single" w:sz="12" w:space="0" w:color="000000"/>
            </w:tcBorders>
          </w:tcPr>
          <w:p w14:paraId="4CFA4E91" w14:textId="1473A36F" w:rsidR="00B0429D" w:rsidRDefault="00B0429D" w:rsidP="00543BC3">
            <w:pPr>
              <w:spacing w:after="0" w:line="259" w:lineRule="auto"/>
              <w:ind w:left="0" w:right="44" w:firstLine="0"/>
              <w:jc w:val="center"/>
            </w:pPr>
            <w:r>
              <w:rPr>
                <w:sz w:val="18"/>
              </w:rPr>
              <w:t>ug/L</w:t>
            </w:r>
          </w:p>
        </w:tc>
        <w:tc>
          <w:tcPr>
            <w:tcW w:w="946" w:type="dxa"/>
            <w:tcBorders>
              <w:top w:val="single" w:sz="4" w:space="0" w:color="000000"/>
              <w:left w:val="single" w:sz="12" w:space="0" w:color="000000"/>
              <w:bottom w:val="single" w:sz="4" w:space="0" w:color="000000"/>
              <w:right w:val="single" w:sz="12" w:space="0" w:color="000000"/>
            </w:tcBorders>
          </w:tcPr>
          <w:p w14:paraId="39A4E2F3" w14:textId="3351932C" w:rsidR="00B0429D" w:rsidRDefault="00B0429D" w:rsidP="00543BC3">
            <w:pPr>
              <w:spacing w:after="0" w:line="259" w:lineRule="auto"/>
              <w:ind w:left="0" w:right="45" w:firstLine="0"/>
              <w:jc w:val="center"/>
            </w:pPr>
            <w:r>
              <w:rPr>
                <w:sz w:val="18"/>
              </w:rPr>
              <w:t>N/A</w:t>
            </w:r>
          </w:p>
        </w:tc>
        <w:tc>
          <w:tcPr>
            <w:tcW w:w="1045" w:type="dxa"/>
            <w:tcBorders>
              <w:top w:val="single" w:sz="4" w:space="0" w:color="000000"/>
              <w:left w:val="single" w:sz="12" w:space="0" w:color="000000"/>
              <w:bottom w:val="single" w:sz="4" w:space="0" w:color="000000"/>
              <w:right w:val="single" w:sz="12" w:space="0" w:color="000000"/>
            </w:tcBorders>
          </w:tcPr>
          <w:p w14:paraId="05A348B1" w14:textId="5B87BB27" w:rsidR="00B0429D" w:rsidRDefault="00B0429D" w:rsidP="00543BC3">
            <w:pPr>
              <w:spacing w:after="0" w:line="259" w:lineRule="auto"/>
              <w:ind w:left="0" w:right="45" w:firstLine="0"/>
              <w:jc w:val="center"/>
            </w:pPr>
            <w:r>
              <w:rPr>
                <w:sz w:val="18"/>
              </w:rPr>
              <w:t>N/A</w:t>
            </w:r>
          </w:p>
        </w:tc>
        <w:tc>
          <w:tcPr>
            <w:tcW w:w="995" w:type="dxa"/>
            <w:tcBorders>
              <w:top w:val="single" w:sz="4" w:space="0" w:color="000000"/>
              <w:left w:val="single" w:sz="12" w:space="0" w:color="000000"/>
              <w:bottom w:val="single" w:sz="4" w:space="0" w:color="000000"/>
              <w:right w:val="single" w:sz="12" w:space="0" w:color="000000"/>
            </w:tcBorders>
          </w:tcPr>
          <w:p w14:paraId="64285B8E" w14:textId="01239B8B" w:rsidR="00B0429D" w:rsidRDefault="00B0429D" w:rsidP="00543BC3">
            <w:pPr>
              <w:spacing w:after="0" w:line="259" w:lineRule="auto"/>
              <w:ind w:left="0" w:right="46" w:firstLine="0"/>
              <w:jc w:val="center"/>
            </w:pPr>
            <w:r>
              <w:rPr>
                <w:b/>
                <w:sz w:val="18"/>
              </w:rPr>
              <w:t>524.2</w:t>
            </w:r>
          </w:p>
        </w:tc>
        <w:tc>
          <w:tcPr>
            <w:tcW w:w="1149" w:type="dxa"/>
            <w:tcBorders>
              <w:top w:val="single" w:sz="4" w:space="0" w:color="000000"/>
              <w:left w:val="single" w:sz="12" w:space="0" w:color="000000"/>
              <w:bottom w:val="single" w:sz="4" w:space="0" w:color="000000"/>
              <w:right w:val="single" w:sz="12" w:space="0" w:color="000000"/>
            </w:tcBorders>
          </w:tcPr>
          <w:p w14:paraId="7B4D4BB2" w14:textId="4E12C4D7" w:rsidR="00B0429D" w:rsidRDefault="00B0429D" w:rsidP="00543BC3">
            <w:pPr>
              <w:spacing w:after="0" w:line="259" w:lineRule="auto"/>
              <w:ind w:left="0" w:right="44" w:firstLine="0"/>
              <w:jc w:val="center"/>
            </w:pPr>
            <w:r>
              <w:rPr>
                <w:sz w:val="18"/>
              </w:rPr>
              <w:t>502.2</w:t>
            </w:r>
          </w:p>
        </w:tc>
      </w:tr>
      <w:tr w:rsidR="00B0429D" w14:paraId="4F6FC496" w14:textId="77777777" w:rsidTr="00C23B62">
        <w:trPr>
          <w:trHeight w:val="250"/>
        </w:trPr>
        <w:tc>
          <w:tcPr>
            <w:tcW w:w="3144" w:type="dxa"/>
            <w:tcBorders>
              <w:top w:val="single" w:sz="4" w:space="0" w:color="000000"/>
              <w:left w:val="single" w:sz="12" w:space="0" w:color="000000"/>
              <w:bottom w:val="single" w:sz="4" w:space="0" w:color="000000"/>
              <w:right w:val="single" w:sz="12" w:space="0" w:color="000000"/>
            </w:tcBorders>
          </w:tcPr>
          <w:p w14:paraId="30A19BCF" w14:textId="77777777" w:rsidR="00B0429D" w:rsidRDefault="00B0429D" w:rsidP="00B0429D">
            <w:pPr>
              <w:spacing w:after="0" w:line="259" w:lineRule="auto"/>
              <w:ind w:left="0" w:right="0" w:firstLine="0"/>
            </w:pPr>
            <w:r>
              <w:rPr>
                <w:sz w:val="18"/>
              </w:rPr>
              <w:t xml:space="preserve">Bromobenzene  </w:t>
            </w:r>
          </w:p>
        </w:tc>
        <w:tc>
          <w:tcPr>
            <w:tcW w:w="1146" w:type="dxa"/>
            <w:tcBorders>
              <w:top w:val="single" w:sz="4" w:space="0" w:color="000000"/>
              <w:left w:val="single" w:sz="12" w:space="0" w:color="000000"/>
              <w:bottom w:val="single" w:sz="4" w:space="0" w:color="000000"/>
              <w:right w:val="single" w:sz="12" w:space="0" w:color="000000"/>
            </w:tcBorders>
          </w:tcPr>
          <w:p w14:paraId="42E31F47" w14:textId="41163F6D" w:rsidR="00B0429D" w:rsidRDefault="00B0429D" w:rsidP="00543BC3">
            <w:pPr>
              <w:spacing w:after="0" w:line="259" w:lineRule="auto"/>
              <w:ind w:left="0" w:right="44" w:firstLine="0"/>
              <w:jc w:val="center"/>
            </w:pPr>
            <w:r>
              <w:rPr>
                <w:sz w:val="18"/>
              </w:rPr>
              <w:t>108-86-1</w:t>
            </w:r>
          </w:p>
        </w:tc>
        <w:tc>
          <w:tcPr>
            <w:tcW w:w="1063" w:type="dxa"/>
            <w:tcBorders>
              <w:top w:val="single" w:sz="4" w:space="0" w:color="000000"/>
              <w:left w:val="single" w:sz="12" w:space="0" w:color="000000"/>
              <w:bottom w:val="single" w:sz="4" w:space="0" w:color="000000"/>
              <w:right w:val="single" w:sz="12" w:space="0" w:color="000000"/>
            </w:tcBorders>
          </w:tcPr>
          <w:p w14:paraId="1E33C0C9" w14:textId="0D8C1D4E" w:rsidR="00B0429D" w:rsidRDefault="00B0429D" w:rsidP="00543BC3">
            <w:pPr>
              <w:tabs>
                <w:tab w:val="center" w:pos="579"/>
              </w:tabs>
              <w:spacing w:after="0" w:line="259" w:lineRule="auto"/>
              <w:ind w:left="0" w:right="0" w:firstLine="0"/>
              <w:jc w:val="center"/>
            </w:pPr>
            <w:r>
              <w:rPr>
                <w:sz w:val="18"/>
              </w:rPr>
              <w:t>0.5</w:t>
            </w:r>
          </w:p>
        </w:tc>
        <w:tc>
          <w:tcPr>
            <w:tcW w:w="1042" w:type="dxa"/>
            <w:tcBorders>
              <w:top w:val="single" w:sz="4" w:space="0" w:color="000000"/>
              <w:left w:val="single" w:sz="12" w:space="0" w:color="000000"/>
              <w:bottom w:val="single" w:sz="4" w:space="0" w:color="000000"/>
              <w:right w:val="single" w:sz="12" w:space="0" w:color="000000"/>
            </w:tcBorders>
          </w:tcPr>
          <w:p w14:paraId="42779844" w14:textId="534CF19B" w:rsidR="00B0429D" w:rsidRDefault="00B0429D" w:rsidP="00543BC3">
            <w:pPr>
              <w:spacing w:after="0" w:line="259" w:lineRule="auto"/>
              <w:ind w:left="0" w:right="44" w:firstLine="0"/>
              <w:jc w:val="center"/>
            </w:pPr>
            <w:r>
              <w:rPr>
                <w:sz w:val="18"/>
              </w:rPr>
              <w:t>ug/L</w:t>
            </w:r>
          </w:p>
        </w:tc>
        <w:tc>
          <w:tcPr>
            <w:tcW w:w="946" w:type="dxa"/>
            <w:tcBorders>
              <w:top w:val="single" w:sz="4" w:space="0" w:color="000000"/>
              <w:left w:val="single" w:sz="12" w:space="0" w:color="000000"/>
              <w:bottom w:val="single" w:sz="4" w:space="0" w:color="000000"/>
              <w:right w:val="single" w:sz="12" w:space="0" w:color="000000"/>
            </w:tcBorders>
          </w:tcPr>
          <w:p w14:paraId="011939DB" w14:textId="49DDB0F5" w:rsidR="00B0429D" w:rsidRDefault="00B0429D" w:rsidP="00543BC3">
            <w:pPr>
              <w:spacing w:after="0" w:line="259" w:lineRule="auto"/>
              <w:ind w:left="0" w:right="45" w:firstLine="0"/>
              <w:jc w:val="center"/>
            </w:pPr>
            <w:r>
              <w:rPr>
                <w:sz w:val="18"/>
              </w:rPr>
              <w:t>N/A</w:t>
            </w:r>
          </w:p>
        </w:tc>
        <w:tc>
          <w:tcPr>
            <w:tcW w:w="1045" w:type="dxa"/>
            <w:tcBorders>
              <w:top w:val="single" w:sz="4" w:space="0" w:color="000000"/>
              <w:left w:val="single" w:sz="12" w:space="0" w:color="000000"/>
              <w:bottom w:val="single" w:sz="4" w:space="0" w:color="000000"/>
              <w:right w:val="single" w:sz="12" w:space="0" w:color="000000"/>
            </w:tcBorders>
          </w:tcPr>
          <w:p w14:paraId="3FCD2F2C" w14:textId="58DA8530" w:rsidR="00B0429D" w:rsidRDefault="00B0429D" w:rsidP="00543BC3">
            <w:pPr>
              <w:spacing w:after="0" w:line="259" w:lineRule="auto"/>
              <w:ind w:left="0" w:right="45" w:firstLine="0"/>
              <w:jc w:val="center"/>
            </w:pPr>
            <w:r>
              <w:rPr>
                <w:sz w:val="18"/>
              </w:rPr>
              <w:t>N/A</w:t>
            </w:r>
          </w:p>
        </w:tc>
        <w:tc>
          <w:tcPr>
            <w:tcW w:w="995" w:type="dxa"/>
            <w:tcBorders>
              <w:top w:val="single" w:sz="4" w:space="0" w:color="000000"/>
              <w:left w:val="single" w:sz="12" w:space="0" w:color="000000"/>
              <w:bottom w:val="single" w:sz="4" w:space="0" w:color="000000"/>
              <w:right w:val="single" w:sz="12" w:space="0" w:color="000000"/>
            </w:tcBorders>
          </w:tcPr>
          <w:p w14:paraId="3D976FB2" w14:textId="523468A4" w:rsidR="00B0429D" w:rsidRDefault="00B0429D" w:rsidP="00543BC3">
            <w:pPr>
              <w:spacing w:after="0" w:line="259" w:lineRule="auto"/>
              <w:ind w:left="0" w:right="46" w:firstLine="0"/>
              <w:jc w:val="center"/>
            </w:pPr>
            <w:r>
              <w:rPr>
                <w:b/>
                <w:sz w:val="18"/>
              </w:rPr>
              <w:t>524.2</w:t>
            </w:r>
          </w:p>
        </w:tc>
        <w:tc>
          <w:tcPr>
            <w:tcW w:w="1149" w:type="dxa"/>
            <w:tcBorders>
              <w:top w:val="single" w:sz="4" w:space="0" w:color="000000"/>
              <w:left w:val="single" w:sz="12" w:space="0" w:color="000000"/>
              <w:bottom w:val="single" w:sz="4" w:space="0" w:color="000000"/>
              <w:right w:val="single" w:sz="12" w:space="0" w:color="000000"/>
            </w:tcBorders>
          </w:tcPr>
          <w:p w14:paraId="75A4D441" w14:textId="3F9F2C20" w:rsidR="00B0429D" w:rsidRDefault="00B0429D" w:rsidP="00543BC3">
            <w:pPr>
              <w:spacing w:after="0" w:line="259" w:lineRule="auto"/>
              <w:ind w:left="0" w:right="44" w:firstLine="0"/>
              <w:jc w:val="center"/>
            </w:pPr>
            <w:r>
              <w:rPr>
                <w:sz w:val="18"/>
              </w:rPr>
              <w:t>502.2</w:t>
            </w:r>
          </w:p>
        </w:tc>
      </w:tr>
      <w:tr w:rsidR="00B0429D" w14:paraId="3B439D51" w14:textId="77777777" w:rsidTr="00C23B62">
        <w:trPr>
          <w:trHeight w:val="250"/>
        </w:trPr>
        <w:tc>
          <w:tcPr>
            <w:tcW w:w="3144" w:type="dxa"/>
            <w:tcBorders>
              <w:top w:val="single" w:sz="4" w:space="0" w:color="000000"/>
              <w:left w:val="single" w:sz="12" w:space="0" w:color="000000"/>
              <w:bottom w:val="single" w:sz="4" w:space="0" w:color="000000"/>
              <w:right w:val="single" w:sz="12" w:space="0" w:color="000000"/>
            </w:tcBorders>
          </w:tcPr>
          <w:p w14:paraId="0DD59BD1" w14:textId="77777777" w:rsidR="00B0429D" w:rsidRDefault="00B0429D" w:rsidP="00B0429D">
            <w:pPr>
              <w:spacing w:after="0" w:line="259" w:lineRule="auto"/>
              <w:ind w:left="0" w:right="0" w:firstLine="0"/>
            </w:pPr>
            <w:r>
              <w:rPr>
                <w:sz w:val="18"/>
              </w:rPr>
              <w:t xml:space="preserve">Bromochloromethane  </w:t>
            </w:r>
          </w:p>
        </w:tc>
        <w:tc>
          <w:tcPr>
            <w:tcW w:w="1146" w:type="dxa"/>
            <w:tcBorders>
              <w:top w:val="single" w:sz="4" w:space="0" w:color="000000"/>
              <w:left w:val="single" w:sz="12" w:space="0" w:color="000000"/>
              <w:bottom w:val="single" w:sz="4" w:space="0" w:color="000000"/>
              <w:right w:val="single" w:sz="12" w:space="0" w:color="000000"/>
            </w:tcBorders>
          </w:tcPr>
          <w:p w14:paraId="56C754ED" w14:textId="586CAB94" w:rsidR="00B0429D" w:rsidRDefault="00B0429D" w:rsidP="00543BC3">
            <w:pPr>
              <w:spacing w:after="0" w:line="259" w:lineRule="auto"/>
              <w:ind w:left="0" w:right="44" w:firstLine="0"/>
              <w:jc w:val="center"/>
            </w:pPr>
            <w:r>
              <w:rPr>
                <w:sz w:val="18"/>
              </w:rPr>
              <w:t>74-97-5</w:t>
            </w:r>
          </w:p>
        </w:tc>
        <w:tc>
          <w:tcPr>
            <w:tcW w:w="1063" w:type="dxa"/>
            <w:tcBorders>
              <w:top w:val="single" w:sz="4" w:space="0" w:color="000000"/>
              <w:left w:val="single" w:sz="12" w:space="0" w:color="000000"/>
              <w:bottom w:val="single" w:sz="4" w:space="0" w:color="000000"/>
              <w:right w:val="single" w:sz="12" w:space="0" w:color="000000"/>
            </w:tcBorders>
          </w:tcPr>
          <w:p w14:paraId="3811E42F" w14:textId="5BFF3271" w:rsidR="00B0429D" w:rsidRDefault="00B0429D" w:rsidP="00543BC3">
            <w:pPr>
              <w:tabs>
                <w:tab w:val="center" w:pos="579"/>
              </w:tabs>
              <w:spacing w:after="0" w:line="259" w:lineRule="auto"/>
              <w:ind w:left="0" w:right="0" w:firstLine="0"/>
              <w:jc w:val="center"/>
            </w:pPr>
            <w:r>
              <w:rPr>
                <w:sz w:val="18"/>
              </w:rPr>
              <w:t>0.5</w:t>
            </w:r>
          </w:p>
        </w:tc>
        <w:tc>
          <w:tcPr>
            <w:tcW w:w="1042" w:type="dxa"/>
            <w:tcBorders>
              <w:top w:val="single" w:sz="4" w:space="0" w:color="000000"/>
              <w:left w:val="single" w:sz="12" w:space="0" w:color="000000"/>
              <w:bottom w:val="single" w:sz="4" w:space="0" w:color="000000"/>
              <w:right w:val="single" w:sz="12" w:space="0" w:color="000000"/>
            </w:tcBorders>
          </w:tcPr>
          <w:p w14:paraId="216BC1FB" w14:textId="683F058B" w:rsidR="00B0429D" w:rsidRDefault="00B0429D" w:rsidP="00543BC3">
            <w:pPr>
              <w:spacing w:after="0" w:line="259" w:lineRule="auto"/>
              <w:ind w:left="0" w:right="44" w:firstLine="0"/>
              <w:jc w:val="center"/>
            </w:pPr>
            <w:r>
              <w:rPr>
                <w:sz w:val="18"/>
              </w:rPr>
              <w:t>ug/L</w:t>
            </w:r>
          </w:p>
        </w:tc>
        <w:tc>
          <w:tcPr>
            <w:tcW w:w="946" w:type="dxa"/>
            <w:tcBorders>
              <w:top w:val="single" w:sz="4" w:space="0" w:color="000000"/>
              <w:left w:val="single" w:sz="12" w:space="0" w:color="000000"/>
              <w:bottom w:val="single" w:sz="4" w:space="0" w:color="000000"/>
              <w:right w:val="single" w:sz="12" w:space="0" w:color="000000"/>
            </w:tcBorders>
          </w:tcPr>
          <w:p w14:paraId="3DFD8B08" w14:textId="54C4A64C" w:rsidR="00B0429D" w:rsidRDefault="00B0429D" w:rsidP="00543BC3">
            <w:pPr>
              <w:spacing w:after="0" w:line="259" w:lineRule="auto"/>
              <w:ind w:left="0" w:right="45" w:firstLine="0"/>
              <w:jc w:val="center"/>
            </w:pPr>
            <w:r>
              <w:rPr>
                <w:sz w:val="18"/>
              </w:rPr>
              <w:t>N/A</w:t>
            </w:r>
          </w:p>
        </w:tc>
        <w:tc>
          <w:tcPr>
            <w:tcW w:w="1045" w:type="dxa"/>
            <w:tcBorders>
              <w:top w:val="single" w:sz="4" w:space="0" w:color="000000"/>
              <w:left w:val="single" w:sz="12" w:space="0" w:color="000000"/>
              <w:bottom w:val="single" w:sz="4" w:space="0" w:color="000000"/>
              <w:right w:val="single" w:sz="12" w:space="0" w:color="000000"/>
            </w:tcBorders>
          </w:tcPr>
          <w:p w14:paraId="42CB8B5F" w14:textId="172C94AB" w:rsidR="00B0429D" w:rsidRDefault="00B0429D" w:rsidP="00543BC3">
            <w:pPr>
              <w:spacing w:after="0" w:line="259" w:lineRule="auto"/>
              <w:ind w:left="0" w:right="45" w:firstLine="0"/>
              <w:jc w:val="center"/>
            </w:pPr>
            <w:r>
              <w:rPr>
                <w:sz w:val="18"/>
              </w:rPr>
              <w:t>N/A</w:t>
            </w:r>
          </w:p>
        </w:tc>
        <w:tc>
          <w:tcPr>
            <w:tcW w:w="995" w:type="dxa"/>
            <w:tcBorders>
              <w:top w:val="single" w:sz="4" w:space="0" w:color="000000"/>
              <w:left w:val="single" w:sz="12" w:space="0" w:color="000000"/>
              <w:bottom w:val="single" w:sz="4" w:space="0" w:color="000000"/>
              <w:right w:val="single" w:sz="12" w:space="0" w:color="000000"/>
            </w:tcBorders>
          </w:tcPr>
          <w:p w14:paraId="15AE90B5" w14:textId="24501C8B" w:rsidR="00B0429D" w:rsidRDefault="00B0429D" w:rsidP="00543BC3">
            <w:pPr>
              <w:spacing w:after="0" w:line="259" w:lineRule="auto"/>
              <w:ind w:left="0" w:right="46" w:firstLine="0"/>
              <w:jc w:val="center"/>
            </w:pPr>
            <w:r>
              <w:rPr>
                <w:b/>
                <w:sz w:val="18"/>
              </w:rPr>
              <w:t>524.2</w:t>
            </w:r>
          </w:p>
        </w:tc>
        <w:tc>
          <w:tcPr>
            <w:tcW w:w="1149" w:type="dxa"/>
            <w:tcBorders>
              <w:top w:val="single" w:sz="4" w:space="0" w:color="000000"/>
              <w:left w:val="single" w:sz="12" w:space="0" w:color="000000"/>
              <w:bottom w:val="single" w:sz="4" w:space="0" w:color="000000"/>
              <w:right w:val="single" w:sz="12" w:space="0" w:color="000000"/>
            </w:tcBorders>
          </w:tcPr>
          <w:p w14:paraId="64F23762" w14:textId="3063D1B8" w:rsidR="00B0429D" w:rsidRDefault="00B0429D" w:rsidP="00543BC3">
            <w:pPr>
              <w:spacing w:after="0" w:line="259" w:lineRule="auto"/>
              <w:ind w:left="0" w:right="44" w:firstLine="0"/>
              <w:jc w:val="center"/>
            </w:pPr>
            <w:r>
              <w:rPr>
                <w:sz w:val="18"/>
              </w:rPr>
              <w:t>502.2</w:t>
            </w:r>
          </w:p>
        </w:tc>
      </w:tr>
      <w:tr w:rsidR="00B0429D" w14:paraId="6B021D0E" w14:textId="77777777" w:rsidTr="00C23B62">
        <w:trPr>
          <w:trHeight w:val="250"/>
        </w:trPr>
        <w:tc>
          <w:tcPr>
            <w:tcW w:w="3144" w:type="dxa"/>
            <w:tcBorders>
              <w:top w:val="single" w:sz="4" w:space="0" w:color="000000"/>
              <w:left w:val="single" w:sz="12" w:space="0" w:color="000000"/>
              <w:bottom w:val="single" w:sz="4" w:space="0" w:color="000000"/>
              <w:right w:val="single" w:sz="12" w:space="0" w:color="000000"/>
            </w:tcBorders>
          </w:tcPr>
          <w:p w14:paraId="2BF709CA" w14:textId="77777777" w:rsidR="00B0429D" w:rsidRDefault="00B0429D" w:rsidP="00B0429D">
            <w:pPr>
              <w:spacing w:after="0" w:line="259" w:lineRule="auto"/>
              <w:ind w:left="0" w:right="0" w:firstLine="0"/>
            </w:pPr>
            <w:r>
              <w:rPr>
                <w:sz w:val="18"/>
              </w:rPr>
              <w:t xml:space="preserve">Bromodichloromethane </w:t>
            </w:r>
          </w:p>
        </w:tc>
        <w:tc>
          <w:tcPr>
            <w:tcW w:w="1146" w:type="dxa"/>
            <w:tcBorders>
              <w:top w:val="single" w:sz="4" w:space="0" w:color="000000"/>
              <w:left w:val="single" w:sz="12" w:space="0" w:color="000000"/>
              <w:bottom w:val="single" w:sz="4" w:space="0" w:color="000000"/>
              <w:right w:val="single" w:sz="12" w:space="0" w:color="000000"/>
            </w:tcBorders>
          </w:tcPr>
          <w:p w14:paraId="3F3F4A4C" w14:textId="007155CA" w:rsidR="00B0429D" w:rsidRDefault="00B0429D" w:rsidP="00543BC3">
            <w:pPr>
              <w:spacing w:after="0" w:line="259" w:lineRule="auto"/>
              <w:ind w:left="0" w:right="44" w:firstLine="0"/>
              <w:jc w:val="center"/>
            </w:pPr>
            <w:r>
              <w:rPr>
                <w:sz w:val="18"/>
              </w:rPr>
              <w:t>75-27-4</w:t>
            </w:r>
          </w:p>
        </w:tc>
        <w:tc>
          <w:tcPr>
            <w:tcW w:w="1063" w:type="dxa"/>
            <w:tcBorders>
              <w:top w:val="single" w:sz="4" w:space="0" w:color="000000"/>
              <w:left w:val="single" w:sz="12" w:space="0" w:color="000000"/>
              <w:bottom w:val="single" w:sz="4" w:space="0" w:color="000000"/>
              <w:right w:val="single" w:sz="12" w:space="0" w:color="000000"/>
            </w:tcBorders>
          </w:tcPr>
          <w:p w14:paraId="7A121D1F" w14:textId="16F4E6F9" w:rsidR="00B0429D" w:rsidRDefault="00B0429D" w:rsidP="00543BC3">
            <w:pPr>
              <w:tabs>
                <w:tab w:val="center" w:pos="579"/>
              </w:tabs>
              <w:spacing w:after="0" w:line="259" w:lineRule="auto"/>
              <w:ind w:left="0" w:right="0" w:firstLine="0"/>
              <w:jc w:val="center"/>
            </w:pPr>
            <w:r>
              <w:rPr>
                <w:sz w:val="18"/>
              </w:rPr>
              <w:t>0.4</w:t>
            </w:r>
          </w:p>
        </w:tc>
        <w:tc>
          <w:tcPr>
            <w:tcW w:w="1042" w:type="dxa"/>
            <w:tcBorders>
              <w:top w:val="single" w:sz="4" w:space="0" w:color="000000"/>
              <w:left w:val="single" w:sz="12" w:space="0" w:color="000000"/>
              <w:bottom w:val="single" w:sz="4" w:space="0" w:color="000000"/>
              <w:right w:val="single" w:sz="12" w:space="0" w:color="000000"/>
            </w:tcBorders>
          </w:tcPr>
          <w:p w14:paraId="23F43476" w14:textId="4C4DA7F6" w:rsidR="00B0429D" w:rsidRDefault="00B0429D" w:rsidP="00543BC3">
            <w:pPr>
              <w:spacing w:after="0" w:line="259" w:lineRule="auto"/>
              <w:ind w:left="0" w:right="44" w:firstLine="0"/>
              <w:jc w:val="center"/>
            </w:pPr>
            <w:r>
              <w:rPr>
                <w:sz w:val="18"/>
              </w:rPr>
              <w:t>ug/L</w:t>
            </w:r>
          </w:p>
        </w:tc>
        <w:tc>
          <w:tcPr>
            <w:tcW w:w="946" w:type="dxa"/>
            <w:tcBorders>
              <w:top w:val="single" w:sz="4" w:space="0" w:color="000000"/>
              <w:left w:val="single" w:sz="12" w:space="0" w:color="000000"/>
              <w:bottom w:val="single" w:sz="4" w:space="0" w:color="000000"/>
              <w:right w:val="single" w:sz="12" w:space="0" w:color="000000"/>
            </w:tcBorders>
          </w:tcPr>
          <w:p w14:paraId="6A8D52A1" w14:textId="5A3174F9" w:rsidR="00B0429D" w:rsidRDefault="00B0429D" w:rsidP="00543BC3">
            <w:pPr>
              <w:spacing w:after="0" w:line="259" w:lineRule="auto"/>
              <w:ind w:left="0" w:right="45" w:firstLine="0"/>
              <w:jc w:val="center"/>
            </w:pPr>
            <w:r>
              <w:rPr>
                <w:sz w:val="18"/>
              </w:rPr>
              <w:t>N/A</w:t>
            </w:r>
          </w:p>
        </w:tc>
        <w:tc>
          <w:tcPr>
            <w:tcW w:w="1045" w:type="dxa"/>
            <w:tcBorders>
              <w:top w:val="single" w:sz="4" w:space="0" w:color="000000"/>
              <w:left w:val="single" w:sz="12" w:space="0" w:color="000000"/>
              <w:bottom w:val="single" w:sz="4" w:space="0" w:color="000000"/>
              <w:right w:val="single" w:sz="12" w:space="0" w:color="000000"/>
            </w:tcBorders>
          </w:tcPr>
          <w:p w14:paraId="4AA7DA6E" w14:textId="36616C7E" w:rsidR="00B0429D" w:rsidRDefault="00B0429D" w:rsidP="00543BC3">
            <w:pPr>
              <w:spacing w:after="0" w:line="259" w:lineRule="auto"/>
              <w:ind w:left="0" w:right="45" w:firstLine="0"/>
              <w:jc w:val="center"/>
            </w:pPr>
            <w:r>
              <w:rPr>
                <w:sz w:val="18"/>
              </w:rPr>
              <w:t>N/A</w:t>
            </w:r>
          </w:p>
        </w:tc>
        <w:tc>
          <w:tcPr>
            <w:tcW w:w="995" w:type="dxa"/>
            <w:tcBorders>
              <w:top w:val="single" w:sz="4" w:space="0" w:color="000000"/>
              <w:left w:val="single" w:sz="12" w:space="0" w:color="000000"/>
              <w:bottom w:val="single" w:sz="4" w:space="0" w:color="000000"/>
              <w:right w:val="single" w:sz="12" w:space="0" w:color="000000"/>
            </w:tcBorders>
          </w:tcPr>
          <w:p w14:paraId="2473960A" w14:textId="528BF729" w:rsidR="00B0429D" w:rsidRDefault="00B0429D" w:rsidP="00543BC3">
            <w:pPr>
              <w:spacing w:after="0" w:line="259" w:lineRule="auto"/>
              <w:ind w:left="0" w:right="46" w:firstLine="0"/>
              <w:jc w:val="center"/>
            </w:pPr>
            <w:r>
              <w:rPr>
                <w:b/>
                <w:sz w:val="18"/>
              </w:rPr>
              <w:t>524.2</w:t>
            </w:r>
          </w:p>
        </w:tc>
        <w:tc>
          <w:tcPr>
            <w:tcW w:w="1149" w:type="dxa"/>
            <w:tcBorders>
              <w:top w:val="single" w:sz="4" w:space="0" w:color="000000"/>
              <w:left w:val="single" w:sz="12" w:space="0" w:color="000000"/>
              <w:bottom w:val="single" w:sz="4" w:space="0" w:color="000000"/>
              <w:right w:val="single" w:sz="12" w:space="0" w:color="000000"/>
            </w:tcBorders>
          </w:tcPr>
          <w:p w14:paraId="014FBC94" w14:textId="5E95D47B" w:rsidR="00B0429D" w:rsidRDefault="00B0429D" w:rsidP="00543BC3">
            <w:pPr>
              <w:spacing w:after="0" w:line="259" w:lineRule="auto"/>
              <w:ind w:left="0" w:right="44" w:firstLine="0"/>
              <w:jc w:val="center"/>
            </w:pPr>
            <w:r>
              <w:rPr>
                <w:sz w:val="18"/>
              </w:rPr>
              <w:t>502.2</w:t>
            </w:r>
          </w:p>
        </w:tc>
      </w:tr>
      <w:tr w:rsidR="00B0429D" w14:paraId="3B78052E" w14:textId="77777777" w:rsidTr="00C23B62">
        <w:trPr>
          <w:trHeight w:val="250"/>
        </w:trPr>
        <w:tc>
          <w:tcPr>
            <w:tcW w:w="3144" w:type="dxa"/>
            <w:tcBorders>
              <w:top w:val="single" w:sz="4" w:space="0" w:color="000000"/>
              <w:left w:val="single" w:sz="12" w:space="0" w:color="000000"/>
              <w:bottom w:val="single" w:sz="4" w:space="0" w:color="000000"/>
              <w:right w:val="single" w:sz="12" w:space="0" w:color="000000"/>
            </w:tcBorders>
          </w:tcPr>
          <w:p w14:paraId="4B219121" w14:textId="77777777" w:rsidR="00B0429D" w:rsidRDefault="00B0429D" w:rsidP="00B0429D">
            <w:pPr>
              <w:spacing w:after="0" w:line="259" w:lineRule="auto"/>
              <w:ind w:left="0" w:right="0" w:firstLine="0"/>
            </w:pPr>
            <w:r>
              <w:rPr>
                <w:sz w:val="18"/>
              </w:rPr>
              <w:t xml:space="preserve">Bromoform </w:t>
            </w:r>
          </w:p>
        </w:tc>
        <w:tc>
          <w:tcPr>
            <w:tcW w:w="1146" w:type="dxa"/>
            <w:tcBorders>
              <w:top w:val="single" w:sz="4" w:space="0" w:color="000000"/>
              <w:left w:val="single" w:sz="12" w:space="0" w:color="000000"/>
              <w:bottom w:val="single" w:sz="4" w:space="0" w:color="000000"/>
              <w:right w:val="single" w:sz="12" w:space="0" w:color="000000"/>
            </w:tcBorders>
          </w:tcPr>
          <w:p w14:paraId="61C98BB5" w14:textId="350564CD" w:rsidR="00B0429D" w:rsidRDefault="00B0429D" w:rsidP="00543BC3">
            <w:pPr>
              <w:spacing w:after="0" w:line="259" w:lineRule="auto"/>
              <w:ind w:left="0" w:right="44" w:firstLine="0"/>
              <w:jc w:val="center"/>
            </w:pPr>
            <w:r>
              <w:rPr>
                <w:sz w:val="18"/>
              </w:rPr>
              <w:t>75-25-2</w:t>
            </w:r>
          </w:p>
        </w:tc>
        <w:tc>
          <w:tcPr>
            <w:tcW w:w="1063" w:type="dxa"/>
            <w:tcBorders>
              <w:top w:val="single" w:sz="4" w:space="0" w:color="000000"/>
              <w:left w:val="single" w:sz="12" w:space="0" w:color="000000"/>
              <w:bottom w:val="single" w:sz="4" w:space="0" w:color="000000"/>
              <w:right w:val="single" w:sz="12" w:space="0" w:color="000000"/>
            </w:tcBorders>
          </w:tcPr>
          <w:p w14:paraId="0C018E1A" w14:textId="2AF8D874" w:rsidR="00B0429D" w:rsidRDefault="00B0429D" w:rsidP="00543BC3">
            <w:pPr>
              <w:tabs>
                <w:tab w:val="center" w:pos="579"/>
              </w:tabs>
              <w:spacing w:after="0" w:line="259" w:lineRule="auto"/>
              <w:ind w:left="0" w:right="0" w:firstLine="0"/>
              <w:jc w:val="center"/>
            </w:pPr>
            <w:r>
              <w:rPr>
                <w:sz w:val="18"/>
              </w:rPr>
              <w:t>0.6</w:t>
            </w:r>
          </w:p>
        </w:tc>
        <w:tc>
          <w:tcPr>
            <w:tcW w:w="1042" w:type="dxa"/>
            <w:tcBorders>
              <w:top w:val="single" w:sz="4" w:space="0" w:color="000000"/>
              <w:left w:val="single" w:sz="12" w:space="0" w:color="000000"/>
              <w:bottom w:val="single" w:sz="4" w:space="0" w:color="000000"/>
              <w:right w:val="single" w:sz="12" w:space="0" w:color="000000"/>
            </w:tcBorders>
          </w:tcPr>
          <w:p w14:paraId="32B52BC6" w14:textId="279494A9" w:rsidR="00B0429D" w:rsidRDefault="00B0429D" w:rsidP="00543BC3">
            <w:pPr>
              <w:spacing w:after="0" w:line="259" w:lineRule="auto"/>
              <w:ind w:left="0" w:right="44" w:firstLine="0"/>
              <w:jc w:val="center"/>
            </w:pPr>
            <w:r>
              <w:rPr>
                <w:sz w:val="18"/>
              </w:rPr>
              <w:t>ug/L</w:t>
            </w:r>
          </w:p>
        </w:tc>
        <w:tc>
          <w:tcPr>
            <w:tcW w:w="946" w:type="dxa"/>
            <w:tcBorders>
              <w:top w:val="single" w:sz="4" w:space="0" w:color="000000"/>
              <w:left w:val="single" w:sz="12" w:space="0" w:color="000000"/>
              <w:bottom w:val="single" w:sz="4" w:space="0" w:color="000000"/>
              <w:right w:val="single" w:sz="12" w:space="0" w:color="000000"/>
            </w:tcBorders>
          </w:tcPr>
          <w:p w14:paraId="6B5D2AD6" w14:textId="0A17EBEB" w:rsidR="00B0429D" w:rsidRDefault="00B0429D" w:rsidP="00543BC3">
            <w:pPr>
              <w:spacing w:after="0" w:line="259" w:lineRule="auto"/>
              <w:ind w:left="0" w:right="45" w:firstLine="0"/>
              <w:jc w:val="center"/>
            </w:pPr>
            <w:r>
              <w:rPr>
                <w:sz w:val="18"/>
              </w:rPr>
              <w:t>N/A</w:t>
            </w:r>
          </w:p>
        </w:tc>
        <w:tc>
          <w:tcPr>
            <w:tcW w:w="1045" w:type="dxa"/>
            <w:tcBorders>
              <w:top w:val="single" w:sz="4" w:space="0" w:color="000000"/>
              <w:left w:val="single" w:sz="12" w:space="0" w:color="000000"/>
              <w:bottom w:val="single" w:sz="4" w:space="0" w:color="000000"/>
              <w:right w:val="single" w:sz="12" w:space="0" w:color="000000"/>
            </w:tcBorders>
          </w:tcPr>
          <w:p w14:paraId="704140C3" w14:textId="52C245A6" w:rsidR="00B0429D" w:rsidRDefault="00B0429D" w:rsidP="00543BC3">
            <w:pPr>
              <w:spacing w:after="0" w:line="259" w:lineRule="auto"/>
              <w:ind w:left="0" w:right="45" w:firstLine="0"/>
              <w:jc w:val="center"/>
            </w:pPr>
            <w:r>
              <w:rPr>
                <w:sz w:val="18"/>
              </w:rPr>
              <w:t>N/A</w:t>
            </w:r>
          </w:p>
        </w:tc>
        <w:tc>
          <w:tcPr>
            <w:tcW w:w="995" w:type="dxa"/>
            <w:tcBorders>
              <w:top w:val="single" w:sz="4" w:space="0" w:color="000000"/>
              <w:left w:val="single" w:sz="12" w:space="0" w:color="000000"/>
              <w:bottom w:val="single" w:sz="4" w:space="0" w:color="000000"/>
              <w:right w:val="single" w:sz="12" w:space="0" w:color="000000"/>
            </w:tcBorders>
          </w:tcPr>
          <w:p w14:paraId="125E5DC5" w14:textId="01F6E2C0" w:rsidR="00B0429D" w:rsidRDefault="00B0429D" w:rsidP="00543BC3">
            <w:pPr>
              <w:spacing w:after="0" w:line="259" w:lineRule="auto"/>
              <w:ind w:left="0" w:right="46" w:firstLine="0"/>
              <w:jc w:val="center"/>
            </w:pPr>
            <w:r>
              <w:rPr>
                <w:b/>
                <w:sz w:val="18"/>
              </w:rPr>
              <w:t>524.2</w:t>
            </w:r>
          </w:p>
        </w:tc>
        <w:tc>
          <w:tcPr>
            <w:tcW w:w="1149" w:type="dxa"/>
            <w:tcBorders>
              <w:top w:val="single" w:sz="4" w:space="0" w:color="000000"/>
              <w:left w:val="single" w:sz="12" w:space="0" w:color="000000"/>
              <w:bottom w:val="single" w:sz="4" w:space="0" w:color="000000"/>
              <w:right w:val="single" w:sz="12" w:space="0" w:color="000000"/>
            </w:tcBorders>
          </w:tcPr>
          <w:p w14:paraId="49401BD1" w14:textId="7765935F" w:rsidR="00B0429D" w:rsidRDefault="00B0429D" w:rsidP="00543BC3">
            <w:pPr>
              <w:spacing w:after="0" w:line="259" w:lineRule="auto"/>
              <w:ind w:left="0" w:right="44" w:firstLine="0"/>
              <w:jc w:val="center"/>
            </w:pPr>
            <w:r>
              <w:rPr>
                <w:sz w:val="18"/>
              </w:rPr>
              <w:t>502.2</w:t>
            </w:r>
          </w:p>
        </w:tc>
      </w:tr>
      <w:tr w:rsidR="00B0429D" w14:paraId="6A5C2C75" w14:textId="77777777" w:rsidTr="00C23B62">
        <w:trPr>
          <w:trHeight w:val="252"/>
        </w:trPr>
        <w:tc>
          <w:tcPr>
            <w:tcW w:w="3144" w:type="dxa"/>
            <w:tcBorders>
              <w:top w:val="single" w:sz="4" w:space="0" w:color="000000"/>
              <w:left w:val="single" w:sz="12" w:space="0" w:color="000000"/>
              <w:bottom w:val="single" w:sz="4" w:space="0" w:color="000000"/>
              <w:right w:val="single" w:sz="12" w:space="0" w:color="000000"/>
            </w:tcBorders>
          </w:tcPr>
          <w:p w14:paraId="066B90E7" w14:textId="77777777" w:rsidR="00B0429D" w:rsidRDefault="00B0429D" w:rsidP="00B0429D">
            <w:pPr>
              <w:spacing w:after="0" w:line="259" w:lineRule="auto"/>
              <w:ind w:left="0" w:right="0" w:firstLine="0"/>
            </w:pPr>
            <w:r>
              <w:rPr>
                <w:sz w:val="18"/>
              </w:rPr>
              <w:t xml:space="preserve">Bromomethane </w:t>
            </w:r>
          </w:p>
        </w:tc>
        <w:tc>
          <w:tcPr>
            <w:tcW w:w="1146" w:type="dxa"/>
            <w:tcBorders>
              <w:top w:val="single" w:sz="4" w:space="0" w:color="000000"/>
              <w:left w:val="single" w:sz="12" w:space="0" w:color="000000"/>
              <w:bottom w:val="single" w:sz="4" w:space="0" w:color="000000"/>
              <w:right w:val="single" w:sz="12" w:space="0" w:color="000000"/>
            </w:tcBorders>
          </w:tcPr>
          <w:p w14:paraId="67A2A391" w14:textId="0ED3A97D" w:rsidR="00B0429D" w:rsidRDefault="00B0429D" w:rsidP="00543BC3">
            <w:pPr>
              <w:spacing w:after="0" w:line="259" w:lineRule="auto"/>
              <w:ind w:left="0" w:right="44" w:firstLine="0"/>
              <w:jc w:val="center"/>
            </w:pPr>
            <w:r>
              <w:rPr>
                <w:sz w:val="18"/>
              </w:rPr>
              <w:t>74-83-9</w:t>
            </w:r>
          </w:p>
        </w:tc>
        <w:tc>
          <w:tcPr>
            <w:tcW w:w="1063" w:type="dxa"/>
            <w:tcBorders>
              <w:top w:val="single" w:sz="4" w:space="0" w:color="000000"/>
              <w:left w:val="single" w:sz="12" w:space="0" w:color="000000"/>
              <w:bottom w:val="single" w:sz="4" w:space="0" w:color="000000"/>
              <w:right w:val="single" w:sz="12" w:space="0" w:color="000000"/>
            </w:tcBorders>
          </w:tcPr>
          <w:p w14:paraId="6569CD9C" w14:textId="6919E245" w:rsidR="00B0429D" w:rsidRDefault="00B0429D" w:rsidP="00543BC3">
            <w:pPr>
              <w:tabs>
                <w:tab w:val="center" w:pos="534"/>
              </w:tabs>
              <w:spacing w:after="0" w:line="259" w:lineRule="auto"/>
              <w:ind w:left="0" w:right="0" w:firstLine="0"/>
              <w:jc w:val="center"/>
            </w:pPr>
            <w:r>
              <w:rPr>
                <w:sz w:val="18"/>
              </w:rPr>
              <w:t>1</w:t>
            </w:r>
          </w:p>
        </w:tc>
        <w:tc>
          <w:tcPr>
            <w:tcW w:w="1042" w:type="dxa"/>
            <w:tcBorders>
              <w:top w:val="single" w:sz="4" w:space="0" w:color="000000"/>
              <w:left w:val="single" w:sz="12" w:space="0" w:color="000000"/>
              <w:bottom w:val="single" w:sz="4" w:space="0" w:color="000000"/>
              <w:right w:val="single" w:sz="12" w:space="0" w:color="000000"/>
            </w:tcBorders>
          </w:tcPr>
          <w:p w14:paraId="2701D501" w14:textId="210A644F" w:rsidR="00B0429D" w:rsidRDefault="00B0429D" w:rsidP="00543BC3">
            <w:pPr>
              <w:spacing w:after="0" w:line="259" w:lineRule="auto"/>
              <w:ind w:left="0" w:right="44" w:firstLine="0"/>
              <w:jc w:val="center"/>
            </w:pPr>
            <w:r>
              <w:rPr>
                <w:sz w:val="18"/>
              </w:rPr>
              <w:t>ug/L</w:t>
            </w:r>
          </w:p>
        </w:tc>
        <w:tc>
          <w:tcPr>
            <w:tcW w:w="946" w:type="dxa"/>
            <w:tcBorders>
              <w:top w:val="single" w:sz="4" w:space="0" w:color="000000"/>
              <w:left w:val="single" w:sz="12" w:space="0" w:color="000000"/>
              <w:bottom w:val="single" w:sz="4" w:space="0" w:color="000000"/>
              <w:right w:val="single" w:sz="12" w:space="0" w:color="000000"/>
            </w:tcBorders>
          </w:tcPr>
          <w:p w14:paraId="0C556075" w14:textId="26B6EC1D" w:rsidR="00B0429D" w:rsidRDefault="00B0429D" w:rsidP="00543BC3">
            <w:pPr>
              <w:spacing w:after="0" w:line="259" w:lineRule="auto"/>
              <w:ind w:left="0" w:right="45" w:firstLine="0"/>
              <w:jc w:val="center"/>
            </w:pPr>
            <w:r>
              <w:rPr>
                <w:sz w:val="18"/>
              </w:rPr>
              <w:t>N/A</w:t>
            </w:r>
          </w:p>
        </w:tc>
        <w:tc>
          <w:tcPr>
            <w:tcW w:w="1045" w:type="dxa"/>
            <w:tcBorders>
              <w:top w:val="single" w:sz="4" w:space="0" w:color="000000"/>
              <w:left w:val="single" w:sz="12" w:space="0" w:color="000000"/>
              <w:bottom w:val="single" w:sz="4" w:space="0" w:color="000000"/>
              <w:right w:val="single" w:sz="12" w:space="0" w:color="000000"/>
            </w:tcBorders>
          </w:tcPr>
          <w:p w14:paraId="42621ADB" w14:textId="528CDDF7" w:rsidR="00B0429D" w:rsidRDefault="00B0429D" w:rsidP="00543BC3">
            <w:pPr>
              <w:spacing w:after="0" w:line="259" w:lineRule="auto"/>
              <w:ind w:left="0" w:right="45" w:firstLine="0"/>
              <w:jc w:val="center"/>
            </w:pPr>
            <w:r>
              <w:rPr>
                <w:sz w:val="18"/>
              </w:rPr>
              <w:t>N/A</w:t>
            </w:r>
          </w:p>
        </w:tc>
        <w:tc>
          <w:tcPr>
            <w:tcW w:w="995" w:type="dxa"/>
            <w:tcBorders>
              <w:top w:val="single" w:sz="4" w:space="0" w:color="000000"/>
              <w:left w:val="single" w:sz="12" w:space="0" w:color="000000"/>
              <w:bottom w:val="single" w:sz="4" w:space="0" w:color="000000"/>
              <w:right w:val="single" w:sz="12" w:space="0" w:color="000000"/>
            </w:tcBorders>
          </w:tcPr>
          <w:p w14:paraId="48AD1FCC" w14:textId="012C26E0" w:rsidR="00B0429D" w:rsidRDefault="00B0429D" w:rsidP="00543BC3">
            <w:pPr>
              <w:spacing w:after="0" w:line="259" w:lineRule="auto"/>
              <w:ind w:left="0" w:right="46" w:firstLine="0"/>
              <w:jc w:val="center"/>
            </w:pPr>
            <w:r>
              <w:rPr>
                <w:b/>
                <w:sz w:val="18"/>
              </w:rPr>
              <w:t>524.2</w:t>
            </w:r>
          </w:p>
        </w:tc>
        <w:tc>
          <w:tcPr>
            <w:tcW w:w="1149" w:type="dxa"/>
            <w:tcBorders>
              <w:top w:val="single" w:sz="4" w:space="0" w:color="000000"/>
              <w:left w:val="single" w:sz="12" w:space="0" w:color="000000"/>
              <w:bottom w:val="single" w:sz="4" w:space="0" w:color="000000"/>
              <w:right w:val="single" w:sz="12" w:space="0" w:color="000000"/>
            </w:tcBorders>
          </w:tcPr>
          <w:p w14:paraId="34A99F97" w14:textId="15DC0032" w:rsidR="00B0429D" w:rsidRDefault="00B0429D" w:rsidP="00543BC3">
            <w:pPr>
              <w:spacing w:after="0" w:line="259" w:lineRule="auto"/>
              <w:ind w:left="0" w:right="44" w:firstLine="0"/>
              <w:jc w:val="center"/>
            </w:pPr>
            <w:r>
              <w:rPr>
                <w:sz w:val="18"/>
              </w:rPr>
              <w:t>502.2</w:t>
            </w:r>
          </w:p>
        </w:tc>
      </w:tr>
      <w:tr w:rsidR="00B0429D" w14:paraId="338B2F8D" w14:textId="77777777" w:rsidTr="00C23B62">
        <w:trPr>
          <w:trHeight w:val="250"/>
        </w:trPr>
        <w:tc>
          <w:tcPr>
            <w:tcW w:w="3144" w:type="dxa"/>
            <w:tcBorders>
              <w:top w:val="single" w:sz="4" w:space="0" w:color="000000"/>
              <w:left w:val="single" w:sz="12" w:space="0" w:color="000000"/>
              <w:bottom w:val="single" w:sz="4" w:space="0" w:color="000000"/>
              <w:right w:val="single" w:sz="12" w:space="0" w:color="000000"/>
            </w:tcBorders>
          </w:tcPr>
          <w:p w14:paraId="6D228514" w14:textId="77777777" w:rsidR="00B0429D" w:rsidRDefault="00B0429D" w:rsidP="00B0429D">
            <w:pPr>
              <w:spacing w:after="0" w:line="259" w:lineRule="auto"/>
              <w:ind w:left="0" w:right="0" w:firstLine="0"/>
            </w:pPr>
            <w:r>
              <w:rPr>
                <w:sz w:val="18"/>
              </w:rPr>
              <w:t xml:space="preserve">2-Butanone (MEK) </w:t>
            </w:r>
          </w:p>
        </w:tc>
        <w:tc>
          <w:tcPr>
            <w:tcW w:w="1146" w:type="dxa"/>
            <w:tcBorders>
              <w:top w:val="single" w:sz="4" w:space="0" w:color="000000"/>
              <w:left w:val="single" w:sz="12" w:space="0" w:color="000000"/>
              <w:bottom w:val="single" w:sz="4" w:space="0" w:color="000000"/>
              <w:right w:val="single" w:sz="12" w:space="0" w:color="000000"/>
            </w:tcBorders>
          </w:tcPr>
          <w:p w14:paraId="605844C7" w14:textId="34004712" w:rsidR="00B0429D" w:rsidRDefault="00B0429D" w:rsidP="00543BC3">
            <w:pPr>
              <w:spacing w:after="0" w:line="259" w:lineRule="auto"/>
              <w:ind w:left="0" w:right="44" w:firstLine="0"/>
              <w:jc w:val="center"/>
            </w:pPr>
            <w:r>
              <w:rPr>
                <w:sz w:val="18"/>
              </w:rPr>
              <w:t>78-93-3</w:t>
            </w:r>
          </w:p>
        </w:tc>
        <w:tc>
          <w:tcPr>
            <w:tcW w:w="1063" w:type="dxa"/>
            <w:tcBorders>
              <w:top w:val="single" w:sz="4" w:space="0" w:color="000000"/>
              <w:left w:val="single" w:sz="12" w:space="0" w:color="000000"/>
              <w:bottom w:val="single" w:sz="4" w:space="0" w:color="000000"/>
              <w:right w:val="single" w:sz="12" w:space="0" w:color="000000"/>
            </w:tcBorders>
          </w:tcPr>
          <w:p w14:paraId="35537184" w14:textId="09B358C5" w:rsidR="00B0429D" w:rsidRDefault="00B0429D" w:rsidP="00543BC3">
            <w:pPr>
              <w:tabs>
                <w:tab w:val="center" w:pos="534"/>
              </w:tabs>
              <w:spacing w:after="0" w:line="259" w:lineRule="auto"/>
              <w:ind w:left="0" w:right="0" w:firstLine="0"/>
              <w:jc w:val="center"/>
            </w:pPr>
            <w:r>
              <w:rPr>
                <w:sz w:val="18"/>
              </w:rPr>
              <w:t>1</w:t>
            </w:r>
          </w:p>
        </w:tc>
        <w:tc>
          <w:tcPr>
            <w:tcW w:w="1042" w:type="dxa"/>
            <w:tcBorders>
              <w:top w:val="single" w:sz="4" w:space="0" w:color="000000"/>
              <w:left w:val="single" w:sz="12" w:space="0" w:color="000000"/>
              <w:bottom w:val="single" w:sz="4" w:space="0" w:color="000000"/>
              <w:right w:val="single" w:sz="12" w:space="0" w:color="000000"/>
            </w:tcBorders>
          </w:tcPr>
          <w:p w14:paraId="5D36AC05" w14:textId="40612385" w:rsidR="00B0429D" w:rsidRDefault="00B0429D" w:rsidP="00543BC3">
            <w:pPr>
              <w:spacing w:after="0" w:line="259" w:lineRule="auto"/>
              <w:ind w:left="0" w:right="44" w:firstLine="0"/>
              <w:jc w:val="center"/>
            </w:pPr>
            <w:r>
              <w:rPr>
                <w:sz w:val="18"/>
              </w:rPr>
              <w:t>ug/L</w:t>
            </w:r>
          </w:p>
        </w:tc>
        <w:tc>
          <w:tcPr>
            <w:tcW w:w="946" w:type="dxa"/>
            <w:tcBorders>
              <w:top w:val="single" w:sz="4" w:space="0" w:color="000000"/>
              <w:left w:val="single" w:sz="12" w:space="0" w:color="000000"/>
              <w:bottom w:val="single" w:sz="4" w:space="0" w:color="000000"/>
              <w:right w:val="single" w:sz="12" w:space="0" w:color="000000"/>
            </w:tcBorders>
          </w:tcPr>
          <w:p w14:paraId="15721835" w14:textId="699C6C02" w:rsidR="00B0429D" w:rsidRDefault="00B0429D" w:rsidP="00543BC3">
            <w:pPr>
              <w:spacing w:after="0" w:line="259" w:lineRule="auto"/>
              <w:ind w:left="0" w:right="45" w:firstLine="0"/>
              <w:jc w:val="center"/>
            </w:pPr>
            <w:r>
              <w:rPr>
                <w:sz w:val="18"/>
              </w:rPr>
              <w:t>N/A</w:t>
            </w:r>
          </w:p>
        </w:tc>
        <w:tc>
          <w:tcPr>
            <w:tcW w:w="1045" w:type="dxa"/>
            <w:tcBorders>
              <w:top w:val="single" w:sz="4" w:space="0" w:color="000000"/>
              <w:left w:val="single" w:sz="12" w:space="0" w:color="000000"/>
              <w:bottom w:val="single" w:sz="4" w:space="0" w:color="000000"/>
              <w:right w:val="single" w:sz="12" w:space="0" w:color="000000"/>
            </w:tcBorders>
          </w:tcPr>
          <w:p w14:paraId="55175B4E" w14:textId="30E88436" w:rsidR="00B0429D" w:rsidRDefault="00B0429D" w:rsidP="00543BC3">
            <w:pPr>
              <w:spacing w:after="0" w:line="259" w:lineRule="auto"/>
              <w:ind w:left="0" w:right="45" w:firstLine="0"/>
              <w:jc w:val="center"/>
            </w:pPr>
            <w:r>
              <w:rPr>
                <w:sz w:val="18"/>
              </w:rPr>
              <w:t>N/A</w:t>
            </w:r>
          </w:p>
        </w:tc>
        <w:tc>
          <w:tcPr>
            <w:tcW w:w="995" w:type="dxa"/>
            <w:tcBorders>
              <w:top w:val="single" w:sz="4" w:space="0" w:color="000000"/>
              <w:left w:val="single" w:sz="12" w:space="0" w:color="000000"/>
              <w:bottom w:val="single" w:sz="4" w:space="0" w:color="000000"/>
              <w:right w:val="single" w:sz="12" w:space="0" w:color="000000"/>
            </w:tcBorders>
          </w:tcPr>
          <w:p w14:paraId="7C16A60F" w14:textId="6324CC47" w:rsidR="00B0429D" w:rsidRDefault="00B0429D" w:rsidP="00543BC3">
            <w:pPr>
              <w:spacing w:after="0" w:line="259" w:lineRule="auto"/>
              <w:ind w:left="0" w:right="46" w:firstLine="0"/>
              <w:jc w:val="center"/>
            </w:pPr>
            <w:r>
              <w:rPr>
                <w:b/>
                <w:sz w:val="18"/>
              </w:rPr>
              <w:t>524.2</w:t>
            </w:r>
          </w:p>
        </w:tc>
        <w:tc>
          <w:tcPr>
            <w:tcW w:w="1149" w:type="dxa"/>
            <w:tcBorders>
              <w:top w:val="single" w:sz="4" w:space="0" w:color="000000"/>
              <w:left w:val="single" w:sz="12" w:space="0" w:color="000000"/>
              <w:bottom w:val="single" w:sz="4" w:space="0" w:color="000000"/>
              <w:right w:val="single" w:sz="12" w:space="0" w:color="000000"/>
            </w:tcBorders>
          </w:tcPr>
          <w:p w14:paraId="0BED8EC7" w14:textId="15BDB6A2" w:rsidR="00B0429D" w:rsidRDefault="00B0429D" w:rsidP="00543BC3">
            <w:pPr>
              <w:spacing w:after="0" w:line="259" w:lineRule="auto"/>
              <w:ind w:left="0" w:right="0" w:firstLine="0"/>
              <w:jc w:val="center"/>
            </w:pPr>
          </w:p>
        </w:tc>
      </w:tr>
      <w:tr w:rsidR="00B0429D" w14:paraId="497E7988" w14:textId="77777777" w:rsidTr="00C23B62">
        <w:trPr>
          <w:trHeight w:val="250"/>
        </w:trPr>
        <w:tc>
          <w:tcPr>
            <w:tcW w:w="3144" w:type="dxa"/>
            <w:tcBorders>
              <w:top w:val="single" w:sz="4" w:space="0" w:color="000000"/>
              <w:left w:val="single" w:sz="12" w:space="0" w:color="000000"/>
              <w:bottom w:val="single" w:sz="4" w:space="0" w:color="000000"/>
              <w:right w:val="single" w:sz="12" w:space="0" w:color="000000"/>
            </w:tcBorders>
          </w:tcPr>
          <w:p w14:paraId="7DAC0418" w14:textId="77777777" w:rsidR="00B0429D" w:rsidRDefault="00B0429D" w:rsidP="00B0429D">
            <w:pPr>
              <w:spacing w:after="0" w:line="259" w:lineRule="auto"/>
              <w:ind w:left="0" w:right="0" w:firstLine="0"/>
            </w:pPr>
            <w:r>
              <w:rPr>
                <w:sz w:val="18"/>
              </w:rPr>
              <w:t xml:space="preserve">n-Butylbenzene  </w:t>
            </w:r>
          </w:p>
        </w:tc>
        <w:tc>
          <w:tcPr>
            <w:tcW w:w="1146" w:type="dxa"/>
            <w:tcBorders>
              <w:top w:val="single" w:sz="4" w:space="0" w:color="000000"/>
              <w:left w:val="single" w:sz="12" w:space="0" w:color="000000"/>
              <w:bottom w:val="single" w:sz="4" w:space="0" w:color="000000"/>
              <w:right w:val="single" w:sz="12" w:space="0" w:color="000000"/>
            </w:tcBorders>
          </w:tcPr>
          <w:p w14:paraId="4B25FEAF" w14:textId="2A141B7A" w:rsidR="00B0429D" w:rsidRDefault="00B0429D" w:rsidP="00543BC3">
            <w:pPr>
              <w:spacing w:after="0" w:line="259" w:lineRule="auto"/>
              <w:ind w:left="0" w:right="44" w:firstLine="0"/>
              <w:jc w:val="center"/>
            </w:pPr>
            <w:r>
              <w:rPr>
                <w:sz w:val="18"/>
              </w:rPr>
              <w:t>104-51-8</w:t>
            </w:r>
          </w:p>
        </w:tc>
        <w:tc>
          <w:tcPr>
            <w:tcW w:w="1063" w:type="dxa"/>
            <w:tcBorders>
              <w:top w:val="single" w:sz="4" w:space="0" w:color="000000"/>
              <w:left w:val="single" w:sz="12" w:space="0" w:color="000000"/>
              <w:bottom w:val="single" w:sz="4" w:space="0" w:color="000000"/>
              <w:right w:val="single" w:sz="12" w:space="0" w:color="000000"/>
            </w:tcBorders>
          </w:tcPr>
          <w:p w14:paraId="0BA8640E" w14:textId="606EDAC1" w:rsidR="00B0429D" w:rsidRDefault="00B0429D" w:rsidP="00543BC3">
            <w:pPr>
              <w:tabs>
                <w:tab w:val="center" w:pos="534"/>
              </w:tabs>
              <w:spacing w:after="0" w:line="259" w:lineRule="auto"/>
              <w:ind w:left="0" w:right="0" w:firstLine="0"/>
              <w:jc w:val="center"/>
            </w:pPr>
            <w:r>
              <w:rPr>
                <w:sz w:val="18"/>
              </w:rPr>
              <w:t>1</w:t>
            </w:r>
          </w:p>
        </w:tc>
        <w:tc>
          <w:tcPr>
            <w:tcW w:w="1042" w:type="dxa"/>
            <w:tcBorders>
              <w:top w:val="single" w:sz="4" w:space="0" w:color="000000"/>
              <w:left w:val="single" w:sz="12" w:space="0" w:color="000000"/>
              <w:bottom w:val="single" w:sz="4" w:space="0" w:color="000000"/>
              <w:right w:val="single" w:sz="12" w:space="0" w:color="000000"/>
            </w:tcBorders>
          </w:tcPr>
          <w:p w14:paraId="561336D0" w14:textId="17CB0A3D" w:rsidR="00B0429D" w:rsidRDefault="00B0429D" w:rsidP="00543BC3">
            <w:pPr>
              <w:spacing w:after="0" w:line="259" w:lineRule="auto"/>
              <w:ind w:left="0" w:right="44" w:firstLine="0"/>
              <w:jc w:val="center"/>
            </w:pPr>
            <w:r>
              <w:rPr>
                <w:sz w:val="18"/>
              </w:rPr>
              <w:t>ug/L</w:t>
            </w:r>
          </w:p>
        </w:tc>
        <w:tc>
          <w:tcPr>
            <w:tcW w:w="946" w:type="dxa"/>
            <w:tcBorders>
              <w:top w:val="single" w:sz="4" w:space="0" w:color="000000"/>
              <w:left w:val="single" w:sz="12" w:space="0" w:color="000000"/>
              <w:bottom w:val="single" w:sz="4" w:space="0" w:color="000000"/>
              <w:right w:val="single" w:sz="12" w:space="0" w:color="000000"/>
            </w:tcBorders>
          </w:tcPr>
          <w:p w14:paraId="3A2ABF93" w14:textId="63547DC1" w:rsidR="00B0429D" w:rsidRDefault="00B0429D" w:rsidP="00543BC3">
            <w:pPr>
              <w:spacing w:after="0" w:line="259" w:lineRule="auto"/>
              <w:ind w:left="0" w:right="45" w:firstLine="0"/>
              <w:jc w:val="center"/>
            </w:pPr>
            <w:r>
              <w:rPr>
                <w:sz w:val="18"/>
              </w:rPr>
              <w:t>N/A</w:t>
            </w:r>
          </w:p>
        </w:tc>
        <w:tc>
          <w:tcPr>
            <w:tcW w:w="1045" w:type="dxa"/>
            <w:tcBorders>
              <w:top w:val="single" w:sz="4" w:space="0" w:color="000000"/>
              <w:left w:val="single" w:sz="12" w:space="0" w:color="000000"/>
              <w:bottom w:val="single" w:sz="4" w:space="0" w:color="000000"/>
              <w:right w:val="single" w:sz="12" w:space="0" w:color="000000"/>
            </w:tcBorders>
          </w:tcPr>
          <w:p w14:paraId="15044777" w14:textId="3B694CC6" w:rsidR="00B0429D" w:rsidRDefault="00B0429D" w:rsidP="00543BC3">
            <w:pPr>
              <w:spacing w:after="0" w:line="259" w:lineRule="auto"/>
              <w:ind w:left="0" w:right="45" w:firstLine="0"/>
              <w:jc w:val="center"/>
            </w:pPr>
            <w:r>
              <w:rPr>
                <w:sz w:val="18"/>
              </w:rPr>
              <w:t>N/A</w:t>
            </w:r>
          </w:p>
        </w:tc>
        <w:tc>
          <w:tcPr>
            <w:tcW w:w="995" w:type="dxa"/>
            <w:tcBorders>
              <w:top w:val="single" w:sz="4" w:space="0" w:color="000000"/>
              <w:left w:val="single" w:sz="12" w:space="0" w:color="000000"/>
              <w:bottom w:val="single" w:sz="4" w:space="0" w:color="000000"/>
              <w:right w:val="single" w:sz="12" w:space="0" w:color="000000"/>
            </w:tcBorders>
          </w:tcPr>
          <w:p w14:paraId="60366AA2" w14:textId="51B324D7" w:rsidR="00B0429D" w:rsidRDefault="00B0429D" w:rsidP="00543BC3">
            <w:pPr>
              <w:spacing w:after="0" w:line="259" w:lineRule="auto"/>
              <w:ind w:left="0" w:right="46" w:firstLine="0"/>
              <w:jc w:val="center"/>
            </w:pPr>
            <w:r>
              <w:rPr>
                <w:b/>
                <w:sz w:val="18"/>
              </w:rPr>
              <w:t>524.2</w:t>
            </w:r>
          </w:p>
        </w:tc>
        <w:tc>
          <w:tcPr>
            <w:tcW w:w="1149" w:type="dxa"/>
            <w:tcBorders>
              <w:top w:val="single" w:sz="4" w:space="0" w:color="000000"/>
              <w:left w:val="single" w:sz="12" w:space="0" w:color="000000"/>
              <w:bottom w:val="single" w:sz="4" w:space="0" w:color="000000"/>
              <w:right w:val="single" w:sz="12" w:space="0" w:color="000000"/>
            </w:tcBorders>
          </w:tcPr>
          <w:p w14:paraId="22A5B0DB" w14:textId="60992EEF" w:rsidR="00B0429D" w:rsidRDefault="00B0429D" w:rsidP="00543BC3">
            <w:pPr>
              <w:spacing w:after="0" w:line="259" w:lineRule="auto"/>
              <w:ind w:left="0" w:right="44" w:firstLine="0"/>
              <w:jc w:val="center"/>
            </w:pPr>
            <w:r>
              <w:rPr>
                <w:sz w:val="18"/>
              </w:rPr>
              <w:t>502.2</w:t>
            </w:r>
          </w:p>
        </w:tc>
      </w:tr>
      <w:tr w:rsidR="00B0429D" w14:paraId="5D01BEAB" w14:textId="77777777" w:rsidTr="00C23B62">
        <w:trPr>
          <w:trHeight w:val="250"/>
        </w:trPr>
        <w:tc>
          <w:tcPr>
            <w:tcW w:w="3144" w:type="dxa"/>
            <w:tcBorders>
              <w:top w:val="single" w:sz="4" w:space="0" w:color="000000"/>
              <w:left w:val="single" w:sz="12" w:space="0" w:color="000000"/>
              <w:bottom w:val="single" w:sz="4" w:space="0" w:color="000000"/>
              <w:right w:val="single" w:sz="12" w:space="0" w:color="000000"/>
            </w:tcBorders>
          </w:tcPr>
          <w:p w14:paraId="1409242F" w14:textId="77777777" w:rsidR="00B0429D" w:rsidRDefault="00B0429D" w:rsidP="00B0429D">
            <w:pPr>
              <w:spacing w:after="0" w:line="259" w:lineRule="auto"/>
              <w:ind w:left="0" w:right="0" w:firstLine="0"/>
            </w:pPr>
            <w:r>
              <w:rPr>
                <w:sz w:val="18"/>
              </w:rPr>
              <w:t xml:space="preserve">sec-Butylbenzene  </w:t>
            </w:r>
          </w:p>
        </w:tc>
        <w:tc>
          <w:tcPr>
            <w:tcW w:w="1146" w:type="dxa"/>
            <w:tcBorders>
              <w:top w:val="single" w:sz="4" w:space="0" w:color="000000"/>
              <w:left w:val="single" w:sz="12" w:space="0" w:color="000000"/>
              <w:bottom w:val="single" w:sz="4" w:space="0" w:color="000000"/>
              <w:right w:val="single" w:sz="12" w:space="0" w:color="000000"/>
            </w:tcBorders>
          </w:tcPr>
          <w:p w14:paraId="3DBDE761" w14:textId="6FAA7710" w:rsidR="00B0429D" w:rsidRDefault="00B0429D" w:rsidP="00543BC3">
            <w:pPr>
              <w:spacing w:after="0" w:line="259" w:lineRule="auto"/>
              <w:ind w:left="0" w:right="44" w:firstLine="0"/>
              <w:jc w:val="center"/>
            </w:pPr>
            <w:r>
              <w:rPr>
                <w:sz w:val="18"/>
              </w:rPr>
              <w:t>135-98-8</w:t>
            </w:r>
          </w:p>
        </w:tc>
        <w:tc>
          <w:tcPr>
            <w:tcW w:w="1063" w:type="dxa"/>
            <w:tcBorders>
              <w:top w:val="single" w:sz="4" w:space="0" w:color="000000"/>
              <w:left w:val="single" w:sz="12" w:space="0" w:color="000000"/>
              <w:bottom w:val="single" w:sz="4" w:space="0" w:color="000000"/>
              <w:right w:val="single" w:sz="12" w:space="0" w:color="000000"/>
            </w:tcBorders>
          </w:tcPr>
          <w:p w14:paraId="396258F1" w14:textId="79A6A4C2" w:rsidR="00B0429D" w:rsidRDefault="00B0429D" w:rsidP="00543BC3">
            <w:pPr>
              <w:tabs>
                <w:tab w:val="center" w:pos="534"/>
              </w:tabs>
              <w:spacing w:after="0" w:line="259" w:lineRule="auto"/>
              <w:ind w:left="0" w:right="0" w:firstLine="0"/>
              <w:jc w:val="center"/>
            </w:pPr>
            <w:r>
              <w:rPr>
                <w:sz w:val="18"/>
              </w:rPr>
              <w:t>1</w:t>
            </w:r>
          </w:p>
        </w:tc>
        <w:tc>
          <w:tcPr>
            <w:tcW w:w="1042" w:type="dxa"/>
            <w:tcBorders>
              <w:top w:val="single" w:sz="4" w:space="0" w:color="000000"/>
              <w:left w:val="single" w:sz="12" w:space="0" w:color="000000"/>
              <w:bottom w:val="single" w:sz="4" w:space="0" w:color="000000"/>
              <w:right w:val="single" w:sz="12" w:space="0" w:color="000000"/>
            </w:tcBorders>
          </w:tcPr>
          <w:p w14:paraId="0CFAF430" w14:textId="090BA1BD" w:rsidR="00B0429D" w:rsidRDefault="00B0429D" w:rsidP="00543BC3">
            <w:pPr>
              <w:spacing w:after="0" w:line="259" w:lineRule="auto"/>
              <w:ind w:left="0" w:right="44" w:firstLine="0"/>
              <w:jc w:val="center"/>
            </w:pPr>
            <w:r>
              <w:rPr>
                <w:sz w:val="18"/>
              </w:rPr>
              <w:t>ug/L</w:t>
            </w:r>
          </w:p>
        </w:tc>
        <w:tc>
          <w:tcPr>
            <w:tcW w:w="946" w:type="dxa"/>
            <w:tcBorders>
              <w:top w:val="single" w:sz="4" w:space="0" w:color="000000"/>
              <w:left w:val="single" w:sz="12" w:space="0" w:color="000000"/>
              <w:bottom w:val="single" w:sz="4" w:space="0" w:color="000000"/>
              <w:right w:val="single" w:sz="12" w:space="0" w:color="000000"/>
            </w:tcBorders>
          </w:tcPr>
          <w:p w14:paraId="127698BA" w14:textId="1E487B7F" w:rsidR="00B0429D" w:rsidRDefault="00B0429D" w:rsidP="00543BC3">
            <w:pPr>
              <w:spacing w:after="0" w:line="259" w:lineRule="auto"/>
              <w:ind w:left="0" w:right="45" w:firstLine="0"/>
              <w:jc w:val="center"/>
            </w:pPr>
            <w:r>
              <w:rPr>
                <w:sz w:val="18"/>
              </w:rPr>
              <w:t>N/A</w:t>
            </w:r>
          </w:p>
        </w:tc>
        <w:tc>
          <w:tcPr>
            <w:tcW w:w="1045" w:type="dxa"/>
            <w:tcBorders>
              <w:top w:val="single" w:sz="4" w:space="0" w:color="000000"/>
              <w:left w:val="single" w:sz="12" w:space="0" w:color="000000"/>
              <w:bottom w:val="single" w:sz="4" w:space="0" w:color="000000"/>
              <w:right w:val="single" w:sz="12" w:space="0" w:color="000000"/>
            </w:tcBorders>
          </w:tcPr>
          <w:p w14:paraId="6ACDCF64" w14:textId="5DB67494" w:rsidR="00B0429D" w:rsidRDefault="00B0429D" w:rsidP="00543BC3">
            <w:pPr>
              <w:spacing w:after="0" w:line="259" w:lineRule="auto"/>
              <w:ind w:left="0" w:right="45" w:firstLine="0"/>
              <w:jc w:val="center"/>
            </w:pPr>
            <w:r>
              <w:rPr>
                <w:sz w:val="18"/>
              </w:rPr>
              <w:t>N/A</w:t>
            </w:r>
          </w:p>
        </w:tc>
        <w:tc>
          <w:tcPr>
            <w:tcW w:w="995" w:type="dxa"/>
            <w:tcBorders>
              <w:top w:val="single" w:sz="4" w:space="0" w:color="000000"/>
              <w:left w:val="single" w:sz="12" w:space="0" w:color="000000"/>
              <w:bottom w:val="single" w:sz="4" w:space="0" w:color="000000"/>
              <w:right w:val="single" w:sz="12" w:space="0" w:color="000000"/>
            </w:tcBorders>
          </w:tcPr>
          <w:p w14:paraId="749A1587" w14:textId="3BA32982" w:rsidR="00B0429D" w:rsidRDefault="00B0429D" w:rsidP="00543BC3">
            <w:pPr>
              <w:spacing w:after="0" w:line="259" w:lineRule="auto"/>
              <w:ind w:left="0" w:right="46" w:firstLine="0"/>
              <w:jc w:val="center"/>
            </w:pPr>
            <w:r>
              <w:rPr>
                <w:b/>
                <w:sz w:val="18"/>
              </w:rPr>
              <w:t>524.2</w:t>
            </w:r>
          </w:p>
        </w:tc>
        <w:tc>
          <w:tcPr>
            <w:tcW w:w="1149" w:type="dxa"/>
            <w:tcBorders>
              <w:top w:val="single" w:sz="4" w:space="0" w:color="000000"/>
              <w:left w:val="single" w:sz="12" w:space="0" w:color="000000"/>
              <w:bottom w:val="single" w:sz="4" w:space="0" w:color="000000"/>
              <w:right w:val="single" w:sz="12" w:space="0" w:color="000000"/>
            </w:tcBorders>
          </w:tcPr>
          <w:p w14:paraId="5638D2F4" w14:textId="7D7C2E99" w:rsidR="00B0429D" w:rsidRDefault="00B0429D" w:rsidP="00543BC3">
            <w:pPr>
              <w:spacing w:after="0" w:line="259" w:lineRule="auto"/>
              <w:ind w:left="0" w:right="44" w:firstLine="0"/>
              <w:jc w:val="center"/>
            </w:pPr>
            <w:r>
              <w:rPr>
                <w:sz w:val="18"/>
              </w:rPr>
              <w:t>502.2</w:t>
            </w:r>
          </w:p>
        </w:tc>
      </w:tr>
      <w:tr w:rsidR="00B0429D" w14:paraId="286A1D64" w14:textId="77777777" w:rsidTr="00C23B62">
        <w:trPr>
          <w:trHeight w:val="250"/>
        </w:trPr>
        <w:tc>
          <w:tcPr>
            <w:tcW w:w="3144" w:type="dxa"/>
            <w:tcBorders>
              <w:top w:val="single" w:sz="4" w:space="0" w:color="000000"/>
              <w:left w:val="single" w:sz="12" w:space="0" w:color="000000"/>
              <w:bottom w:val="single" w:sz="4" w:space="0" w:color="000000"/>
              <w:right w:val="single" w:sz="12" w:space="0" w:color="000000"/>
            </w:tcBorders>
          </w:tcPr>
          <w:p w14:paraId="26FC92C5" w14:textId="77777777" w:rsidR="00B0429D" w:rsidRDefault="00B0429D" w:rsidP="00B0429D">
            <w:pPr>
              <w:spacing w:after="0" w:line="259" w:lineRule="auto"/>
              <w:ind w:left="0" w:right="0" w:firstLine="0"/>
            </w:pPr>
            <w:r>
              <w:rPr>
                <w:sz w:val="18"/>
              </w:rPr>
              <w:t xml:space="preserve">tert-Butylbenzene  </w:t>
            </w:r>
          </w:p>
        </w:tc>
        <w:tc>
          <w:tcPr>
            <w:tcW w:w="1146" w:type="dxa"/>
            <w:tcBorders>
              <w:top w:val="single" w:sz="4" w:space="0" w:color="000000"/>
              <w:left w:val="single" w:sz="12" w:space="0" w:color="000000"/>
              <w:bottom w:val="single" w:sz="4" w:space="0" w:color="000000"/>
              <w:right w:val="single" w:sz="12" w:space="0" w:color="000000"/>
            </w:tcBorders>
          </w:tcPr>
          <w:p w14:paraId="42975194" w14:textId="2014A3A3" w:rsidR="00B0429D" w:rsidRDefault="00B0429D" w:rsidP="00543BC3">
            <w:pPr>
              <w:spacing w:after="0" w:line="259" w:lineRule="auto"/>
              <w:ind w:left="0" w:right="44" w:firstLine="0"/>
              <w:jc w:val="center"/>
            </w:pPr>
            <w:r>
              <w:rPr>
                <w:sz w:val="18"/>
              </w:rPr>
              <w:t>98-06-6</w:t>
            </w:r>
          </w:p>
        </w:tc>
        <w:tc>
          <w:tcPr>
            <w:tcW w:w="1063" w:type="dxa"/>
            <w:tcBorders>
              <w:top w:val="single" w:sz="4" w:space="0" w:color="000000"/>
              <w:left w:val="single" w:sz="12" w:space="0" w:color="000000"/>
              <w:bottom w:val="single" w:sz="4" w:space="0" w:color="000000"/>
              <w:right w:val="single" w:sz="12" w:space="0" w:color="000000"/>
            </w:tcBorders>
          </w:tcPr>
          <w:p w14:paraId="42217594" w14:textId="52D66806" w:rsidR="00B0429D" w:rsidRDefault="00B0429D" w:rsidP="00543BC3">
            <w:pPr>
              <w:tabs>
                <w:tab w:val="center" w:pos="534"/>
              </w:tabs>
              <w:spacing w:after="0" w:line="259" w:lineRule="auto"/>
              <w:ind w:left="0" w:right="0" w:firstLine="0"/>
              <w:jc w:val="center"/>
            </w:pPr>
            <w:r>
              <w:rPr>
                <w:sz w:val="18"/>
              </w:rPr>
              <w:t>1</w:t>
            </w:r>
          </w:p>
        </w:tc>
        <w:tc>
          <w:tcPr>
            <w:tcW w:w="1042" w:type="dxa"/>
            <w:tcBorders>
              <w:top w:val="single" w:sz="4" w:space="0" w:color="000000"/>
              <w:left w:val="single" w:sz="12" w:space="0" w:color="000000"/>
              <w:bottom w:val="single" w:sz="4" w:space="0" w:color="000000"/>
              <w:right w:val="single" w:sz="12" w:space="0" w:color="000000"/>
            </w:tcBorders>
          </w:tcPr>
          <w:p w14:paraId="18A88E4D" w14:textId="066196C9" w:rsidR="00B0429D" w:rsidRDefault="00B0429D" w:rsidP="00543BC3">
            <w:pPr>
              <w:spacing w:after="0" w:line="259" w:lineRule="auto"/>
              <w:ind w:left="0" w:right="44" w:firstLine="0"/>
              <w:jc w:val="center"/>
            </w:pPr>
            <w:r>
              <w:rPr>
                <w:sz w:val="18"/>
              </w:rPr>
              <w:t>ug/L</w:t>
            </w:r>
          </w:p>
        </w:tc>
        <w:tc>
          <w:tcPr>
            <w:tcW w:w="946" w:type="dxa"/>
            <w:tcBorders>
              <w:top w:val="single" w:sz="4" w:space="0" w:color="000000"/>
              <w:left w:val="single" w:sz="12" w:space="0" w:color="000000"/>
              <w:bottom w:val="single" w:sz="4" w:space="0" w:color="000000"/>
              <w:right w:val="single" w:sz="12" w:space="0" w:color="000000"/>
            </w:tcBorders>
          </w:tcPr>
          <w:p w14:paraId="1567EA28" w14:textId="68E24002" w:rsidR="00B0429D" w:rsidRDefault="00B0429D" w:rsidP="00543BC3">
            <w:pPr>
              <w:spacing w:after="0" w:line="259" w:lineRule="auto"/>
              <w:ind w:left="0" w:right="45" w:firstLine="0"/>
              <w:jc w:val="center"/>
            </w:pPr>
            <w:r>
              <w:rPr>
                <w:sz w:val="18"/>
              </w:rPr>
              <w:t>N/A</w:t>
            </w:r>
          </w:p>
        </w:tc>
        <w:tc>
          <w:tcPr>
            <w:tcW w:w="1045" w:type="dxa"/>
            <w:tcBorders>
              <w:top w:val="single" w:sz="4" w:space="0" w:color="000000"/>
              <w:left w:val="single" w:sz="12" w:space="0" w:color="000000"/>
              <w:bottom w:val="single" w:sz="4" w:space="0" w:color="000000"/>
              <w:right w:val="single" w:sz="12" w:space="0" w:color="000000"/>
            </w:tcBorders>
          </w:tcPr>
          <w:p w14:paraId="4E8EAD43" w14:textId="4ABE8643" w:rsidR="00B0429D" w:rsidRDefault="00B0429D" w:rsidP="00543BC3">
            <w:pPr>
              <w:spacing w:after="0" w:line="259" w:lineRule="auto"/>
              <w:ind w:left="0" w:right="45" w:firstLine="0"/>
              <w:jc w:val="center"/>
            </w:pPr>
            <w:r>
              <w:rPr>
                <w:sz w:val="18"/>
              </w:rPr>
              <w:t>N/A</w:t>
            </w:r>
          </w:p>
        </w:tc>
        <w:tc>
          <w:tcPr>
            <w:tcW w:w="995" w:type="dxa"/>
            <w:tcBorders>
              <w:top w:val="single" w:sz="4" w:space="0" w:color="000000"/>
              <w:left w:val="single" w:sz="12" w:space="0" w:color="000000"/>
              <w:bottom w:val="single" w:sz="4" w:space="0" w:color="000000"/>
              <w:right w:val="single" w:sz="12" w:space="0" w:color="000000"/>
            </w:tcBorders>
          </w:tcPr>
          <w:p w14:paraId="5299CE09" w14:textId="0A3183A5" w:rsidR="00B0429D" w:rsidRDefault="00B0429D" w:rsidP="00543BC3">
            <w:pPr>
              <w:spacing w:after="0" w:line="259" w:lineRule="auto"/>
              <w:ind w:left="0" w:right="46" w:firstLine="0"/>
              <w:jc w:val="center"/>
            </w:pPr>
            <w:r>
              <w:rPr>
                <w:b/>
                <w:sz w:val="18"/>
              </w:rPr>
              <w:t>524.2</w:t>
            </w:r>
          </w:p>
        </w:tc>
        <w:tc>
          <w:tcPr>
            <w:tcW w:w="1149" w:type="dxa"/>
            <w:tcBorders>
              <w:top w:val="single" w:sz="4" w:space="0" w:color="000000"/>
              <w:left w:val="single" w:sz="12" w:space="0" w:color="000000"/>
              <w:bottom w:val="single" w:sz="4" w:space="0" w:color="000000"/>
              <w:right w:val="single" w:sz="12" w:space="0" w:color="000000"/>
            </w:tcBorders>
          </w:tcPr>
          <w:p w14:paraId="71822248" w14:textId="28941979" w:rsidR="00B0429D" w:rsidRDefault="00B0429D" w:rsidP="00543BC3">
            <w:pPr>
              <w:spacing w:after="0" w:line="259" w:lineRule="auto"/>
              <w:ind w:left="0" w:right="44" w:firstLine="0"/>
              <w:jc w:val="center"/>
            </w:pPr>
            <w:r>
              <w:rPr>
                <w:sz w:val="18"/>
              </w:rPr>
              <w:t>502.2</w:t>
            </w:r>
          </w:p>
        </w:tc>
      </w:tr>
      <w:tr w:rsidR="00B0429D" w14:paraId="6A5D38FA" w14:textId="77777777" w:rsidTr="00C23B62">
        <w:trPr>
          <w:trHeight w:val="250"/>
        </w:trPr>
        <w:tc>
          <w:tcPr>
            <w:tcW w:w="3144" w:type="dxa"/>
            <w:tcBorders>
              <w:top w:val="single" w:sz="4" w:space="0" w:color="000000"/>
              <w:left w:val="single" w:sz="12" w:space="0" w:color="000000"/>
              <w:bottom w:val="single" w:sz="4" w:space="0" w:color="000000"/>
              <w:right w:val="single" w:sz="12" w:space="0" w:color="000000"/>
            </w:tcBorders>
          </w:tcPr>
          <w:p w14:paraId="09F65B46" w14:textId="77777777" w:rsidR="00B0429D" w:rsidRDefault="00B0429D" w:rsidP="00B0429D">
            <w:pPr>
              <w:spacing w:after="0" w:line="259" w:lineRule="auto"/>
              <w:ind w:left="0" w:right="0" w:firstLine="0"/>
            </w:pPr>
            <w:r>
              <w:rPr>
                <w:sz w:val="18"/>
              </w:rPr>
              <w:t xml:space="preserve">Carbon disulfide </w:t>
            </w:r>
          </w:p>
        </w:tc>
        <w:tc>
          <w:tcPr>
            <w:tcW w:w="1146" w:type="dxa"/>
            <w:tcBorders>
              <w:top w:val="single" w:sz="4" w:space="0" w:color="000000"/>
              <w:left w:val="single" w:sz="12" w:space="0" w:color="000000"/>
              <w:bottom w:val="single" w:sz="4" w:space="0" w:color="000000"/>
              <w:right w:val="single" w:sz="12" w:space="0" w:color="000000"/>
            </w:tcBorders>
          </w:tcPr>
          <w:p w14:paraId="4B184D04" w14:textId="54A20A34" w:rsidR="00B0429D" w:rsidRDefault="00B0429D" w:rsidP="00543BC3">
            <w:pPr>
              <w:spacing w:after="0" w:line="259" w:lineRule="auto"/>
              <w:ind w:left="0" w:right="44" w:firstLine="0"/>
              <w:jc w:val="center"/>
            </w:pPr>
            <w:r>
              <w:rPr>
                <w:sz w:val="18"/>
              </w:rPr>
              <w:t>75-15-0</w:t>
            </w:r>
          </w:p>
        </w:tc>
        <w:tc>
          <w:tcPr>
            <w:tcW w:w="1063" w:type="dxa"/>
            <w:tcBorders>
              <w:top w:val="single" w:sz="4" w:space="0" w:color="000000"/>
              <w:left w:val="single" w:sz="12" w:space="0" w:color="000000"/>
              <w:bottom w:val="single" w:sz="4" w:space="0" w:color="000000"/>
              <w:right w:val="single" w:sz="12" w:space="0" w:color="000000"/>
            </w:tcBorders>
          </w:tcPr>
          <w:p w14:paraId="7E4F8251" w14:textId="676E3F29" w:rsidR="00B0429D" w:rsidRDefault="00B0429D" w:rsidP="00543BC3">
            <w:pPr>
              <w:tabs>
                <w:tab w:val="center" w:pos="534"/>
              </w:tabs>
              <w:spacing w:after="0" w:line="259" w:lineRule="auto"/>
              <w:ind w:left="0" w:right="0" w:firstLine="0"/>
              <w:jc w:val="center"/>
            </w:pPr>
            <w:r>
              <w:rPr>
                <w:sz w:val="18"/>
              </w:rPr>
              <w:t>1</w:t>
            </w:r>
          </w:p>
        </w:tc>
        <w:tc>
          <w:tcPr>
            <w:tcW w:w="1042" w:type="dxa"/>
            <w:tcBorders>
              <w:top w:val="single" w:sz="4" w:space="0" w:color="000000"/>
              <w:left w:val="single" w:sz="12" w:space="0" w:color="000000"/>
              <w:bottom w:val="single" w:sz="4" w:space="0" w:color="000000"/>
              <w:right w:val="single" w:sz="12" w:space="0" w:color="000000"/>
            </w:tcBorders>
          </w:tcPr>
          <w:p w14:paraId="4B4764E5" w14:textId="0B79F2AC" w:rsidR="00B0429D" w:rsidRDefault="00B0429D" w:rsidP="00543BC3">
            <w:pPr>
              <w:spacing w:after="0" w:line="259" w:lineRule="auto"/>
              <w:ind w:left="0" w:right="44" w:firstLine="0"/>
              <w:jc w:val="center"/>
            </w:pPr>
            <w:r>
              <w:rPr>
                <w:sz w:val="18"/>
              </w:rPr>
              <w:t>ug/L</w:t>
            </w:r>
          </w:p>
        </w:tc>
        <w:tc>
          <w:tcPr>
            <w:tcW w:w="946" w:type="dxa"/>
            <w:tcBorders>
              <w:top w:val="single" w:sz="4" w:space="0" w:color="000000"/>
              <w:left w:val="single" w:sz="12" w:space="0" w:color="000000"/>
              <w:bottom w:val="single" w:sz="4" w:space="0" w:color="000000"/>
              <w:right w:val="single" w:sz="12" w:space="0" w:color="000000"/>
            </w:tcBorders>
          </w:tcPr>
          <w:p w14:paraId="0CF68E9E" w14:textId="605F5DBD" w:rsidR="00B0429D" w:rsidRDefault="00B0429D" w:rsidP="00543BC3">
            <w:pPr>
              <w:spacing w:after="0" w:line="259" w:lineRule="auto"/>
              <w:ind w:left="0" w:right="45" w:firstLine="0"/>
              <w:jc w:val="center"/>
            </w:pPr>
            <w:r>
              <w:rPr>
                <w:sz w:val="18"/>
              </w:rPr>
              <w:t>N/A</w:t>
            </w:r>
          </w:p>
        </w:tc>
        <w:tc>
          <w:tcPr>
            <w:tcW w:w="1045" w:type="dxa"/>
            <w:tcBorders>
              <w:top w:val="single" w:sz="4" w:space="0" w:color="000000"/>
              <w:left w:val="single" w:sz="12" w:space="0" w:color="000000"/>
              <w:bottom w:val="single" w:sz="4" w:space="0" w:color="000000"/>
              <w:right w:val="single" w:sz="12" w:space="0" w:color="000000"/>
            </w:tcBorders>
          </w:tcPr>
          <w:p w14:paraId="69CA0CAD" w14:textId="459C10C6" w:rsidR="00B0429D" w:rsidRDefault="00B0429D" w:rsidP="00543BC3">
            <w:pPr>
              <w:spacing w:after="0" w:line="259" w:lineRule="auto"/>
              <w:ind w:left="0" w:right="45" w:firstLine="0"/>
              <w:jc w:val="center"/>
            </w:pPr>
            <w:r>
              <w:rPr>
                <w:sz w:val="18"/>
              </w:rPr>
              <w:t>N/A</w:t>
            </w:r>
          </w:p>
        </w:tc>
        <w:tc>
          <w:tcPr>
            <w:tcW w:w="995" w:type="dxa"/>
            <w:tcBorders>
              <w:top w:val="single" w:sz="4" w:space="0" w:color="000000"/>
              <w:left w:val="single" w:sz="12" w:space="0" w:color="000000"/>
              <w:bottom w:val="single" w:sz="4" w:space="0" w:color="000000"/>
              <w:right w:val="single" w:sz="12" w:space="0" w:color="000000"/>
            </w:tcBorders>
          </w:tcPr>
          <w:p w14:paraId="07553B6B" w14:textId="0F3C521A" w:rsidR="00B0429D" w:rsidRDefault="00B0429D" w:rsidP="00543BC3">
            <w:pPr>
              <w:spacing w:after="0" w:line="259" w:lineRule="auto"/>
              <w:ind w:left="0" w:right="46" w:firstLine="0"/>
              <w:jc w:val="center"/>
            </w:pPr>
            <w:r>
              <w:rPr>
                <w:b/>
                <w:sz w:val="18"/>
              </w:rPr>
              <w:t>524.2</w:t>
            </w:r>
          </w:p>
        </w:tc>
        <w:tc>
          <w:tcPr>
            <w:tcW w:w="1149" w:type="dxa"/>
            <w:tcBorders>
              <w:top w:val="single" w:sz="4" w:space="0" w:color="000000"/>
              <w:left w:val="single" w:sz="12" w:space="0" w:color="000000"/>
              <w:bottom w:val="single" w:sz="4" w:space="0" w:color="000000"/>
              <w:right w:val="single" w:sz="12" w:space="0" w:color="000000"/>
            </w:tcBorders>
          </w:tcPr>
          <w:p w14:paraId="6BD520EE" w14:textId="18265E94" w:rsidR="00B0429D" w:rsidRDefault="00B0429D" w:rsidP="00543BC3">
            <w:pPr>
              <w:spacing w:after="0" w:line="259" w:lineRule="auto"/>
              <w:ind w:left="0" w:right="0" w:firstLine="0"/>
              <w:jc w:val="center"/>
            </w:pPr>
          </w:p>
        </w:tc>
      </w:tr>
      <w:tr w:rsidR="00B0429D" w14:paraId="39C7ED4F" w14:textId="77777777" w:rsidTr="00C23B62">
        <w:trPr>
          <w:trHeight w:val="252"/>
        </w:trPr>
        <w:tc>
          <w:tcPr>
            <w:tcW w:w="3144" w:type="dxa"/>
            <w:tcBorders>
              <w:top w:val="single" w:sz="4" w:space="0" w:color="000000"/>
              <w:left w:val="single" w:sz="12" w:space="0" w:color="000000"/>
              <w:bottom w:val="single" w:sz="4" w:space="0" w:color="000000"/>
              <w:right w:val="single" w:sz="12" w:space="0" w:color="000000"/>
            </w:tcBorders>
          </w:tcPr>
          <w:p w14:paraId="155FCC07" w14:textId="77777777" w:rsidR="00B0429D" w:rsidRDefault="00B0429D" w:rsidP="00B0429D">
            <w:pPr>
              <w:spacing w:after="0" w:line="259" w:lineRule="auto"/>
              <w:ind w:left="0" w:right="0" w:firstLine="0"/>
            </w:pPr>
            <w:r>
              <w:rPr>
                <w:sz w:val="18"/>
              </w:rPr>
              <w:t xml:space="preserve">Carbon tetrachloride </w:t>
            </w:r>
          </w:p>
        </w:tc>
        <w:tc>
          <w:tcPr>
            <w:tcW w:w="1146" w:type="dxa"/>
            <w:tcBorders>
              <w:top w:val="single" w:sz="4" w:space="0" w:color="000000"/>
              <w:left w:val="single" w:sz="12" w:space="0" w:color="000000"/>
              <w:bottom w:val="single" w:sz="4" w:space="0" w:color="000000"/>
              <w:right w:val="single" w:sz="12" w:space="0" w:color="000000"/>
            </w:tcBorders>
          </w:tcPr>
          <w:p w14:paraId="1722F007" w14:textId="130710E9" w:rsidR="00B0429D" w:rsidRDefault="00B0429D" w:rsidP="00543BC3">
            <w:pPr>
              <w:spacing w:after="0" w:line="259" w:lineRule="auto"/>
              <w:ind w:left="0" w:right="44" w:firstLine="0"/>
              <w:jc w:val="center"/>
            </w:pPr>
            <w:r>
              <w:rPr>
                <w:sz w:val="18"/>
              </w:rPr>
              <w:t>56-23-5</w:t>
            </w:r>
          </w:p>
        </w:tc>
        <w:tc>
          <w:tcPr>
            <w:tcW w:w="1063" w:type="dxa"/>
            <w:tcBorders>
              <w:top w:val="single" w:sz="4" w:space="0" w:color="000000"/>
              <w:left w:val="single" w:sz="12" w:space="0" w:color="000000"/>
              <w:bottom w:val="single" w:sz="4" w:space="0" w:color="000000"/>
              <w:right w:val="single" w:sz="12" w:space="0" w:color="000000"/>
            </w:tcBorders>
          </w:tcPr>
          <w:p w14:paraId="325EFAF6" w14:textId="11207684" w:rsidR="00B0429D" w:rsidRDefault="00B0429D" w:rsidP="00543BC3">
            <w:pPr>
              <w:tabs>
                <w:tab w:val="center" w:pos="534"/>
              </w:tabs>
              <w:spacing w:after="0" w:line="259" w:lineRule="auto"/>
              <w:ind w:left="0" w:right="0" w:firstLine="0"/>
              <w:jc w:val="center"/>
            </w:pPr>
            <w:r>
              <w:rPr>
                <w:b/>
                <w:sz w:val="18"/>
              </w:rPr>
              <w:t>1</w:t>
            </w:r>
          </w:p>
        </w:tc>
        <w:tc>
          <w:tcPr>
            <w:tcW w:w="1042" w:type="dxa"/>
            <w:tcBorders>
              <w:top w:val="single" w:sz="4" w:space="0" w:color="000000"/>
              <w:left w:val="single" w:sz="12" w:space="0" w:color="000000"/>
              <w:bottom w:val="single" w:sz="4" w:space="0" w:color="000000"/>
              <w:right w:val="single" w:sz="12" w:space="0" w:color="000000"/>
            </w:tcBorders>
          </w:tcPr>
          <w:p w14:paraId="00CE6E9C" w14:textId="256F5E73" w:rsidR="00B0429D" w:rsidRDefault="00B0429D" w:rsidP="00543BC3">
            <w:pPr>
              <w:spacing w:after="0" w:line="259" w:lineRule="auto"/>
              <w:ind w:left="0" w:right="44" w:firstLine="0"/>
              <w:jc w:val="center"/>
            </w:pPr>
            <w:r>
              <w:rPr>
                <w:sz w:val="18"/>
              </w:rPr>
              <w:t>ug/L</w:t>
            </w:r>
          </w:p>
        </w:tc>
        <w:tc>
          <w:tcPr>
            <w:tcW w:w="946" w:type="dxa"/>
            <w:tcBorders>
              <w:top w:val="single" w:sz="4" w:space="0" w:color="000000"/>
              <w:left w:val="single" w:sz="12" w:space="0" w:color="000000"/>
              <w:bottom w:val="single" w:sz="4" w:space="0" w:color="000000"/>
              <w:right w:val="single" w:sz="12" w:space="0" w:color="000000"/>
            </w:tcBorders>
          </w:tcPr>
          <w:p w14:paraId="0A7615D7" w14:textId="3C8739F8" w:rsidR="00B0429D" w:rsidRDefault="00B0429D" w:rsidP="00543BC3">
            <w:pPr>
              <w:spacing w:after="0" w:line="259" w:lineRule="auto"/>
              <w:ind w:left="0" w:right="45" w:firstLine="0"/>
              <w:jc w:val="center"/>
            </w:pPr>
            <w:r>
              <w:rPr>
                <w:sz w:val="18"/>
              </w:rPr>
              <w:t>N/A</w:t>
            </w:r>
          </w:p>
        </w:tc>
        <w:tc>
          <w:tcPr>
            <w:tcW w:w="1045" w:type="dxa"/>
            <w:tcBorders>
              <w:top w:val="single" w:sz="4" w:space="0" w:color="000000"/>
              <w:left w:val="single" w:sz="12" w:space="0" w:color="000000"/>
              <w:bottom w:val="single" w:sz="4" w:space="0" w:color="000000"/>
              <w:right w:val="single" w:sz="12" w:space="0" w:color="000000"/>
            </w:tcBorders>
          </w:tcPr>
          <w:p w14:paraId="6F30914D" w14:textId="2AC7B0EB" w:rsidR="00B0429D" w:rsidRDefault="00B0429D" w:rsidP="00543BC3">
            <w:pPr>
              <w:spacing w:after="0" w:line="259" w:lineRule="auto"/>
              <w:ind w:left="0" w:right="45" w:firstLine="0"/>
              <w:jc w:val="center"/>
            </w:pPr>
            <w:r>
              <w:rPr>
                <w:sz w:val="18"/>
              </w:rPr>
              <w:t>N/A</w:t>
            </w:r>
          </w:p>
        </w:tc>
        <w:tc>
          <w:tcPr>
            <w:tcW w:w="995" w:type="dxa"/>
            <w:tcBorders>
              <w:top w:val="single" w:sz="4" w:space="0" w:color="000000"/>
              <w:left w:val="single" w:sz="12" w:space="0" w:color="000000"/>
              <w:bottom w:val="single" w:sz="4" w:space="0" w:color="000000"/>
              <w:right w:val="single" w:sz="12" w:space="0" w:color="000000"/>
            </w:tcBorders>
          </w:tcPr>
          <w:p w14:paraId="35432528" w14:textId="49DAE855" w:rsidR="00B0429D" w:rsidRDefault="00B0429D" w:rsidP="00543BC3">
            <w:pPr>
              <w:spacing w:after="0" w:line="259" w:lineRule="auto"/>
              <w:ind w:left="0" w:right="46" w:firstLine="0"/>
              <w:jc w:val="center"/>
            </w:pPr>
            <w:r>
              <w:rPr>
                <w:b/>
                <w:sz w:val="18"/>
              </w:rPr>
              <w:t>524.2</w:t>
            </w:r>
          </w:p>
        </w:tc>
        <w:tc>
          <w:tcPr>
            <w:tcW w:w="1149" w:type="dxa"/>
            <w:tcBorders>
              <w:top w:val="single" w:sz="4" w:space="0" w:color="000000"/>
              <w:left w:val="single" w:sz="12" w:space="0" w:color="000000"/>
              <w:bottom w:val="single" w:sz="4" w:space="0" w:color="000000"/>
              <w:right w:val="single" w:sz="12" w:space="0" w:color="000000"/>
            </w:tcBorders>
          </w:tcPr>
          <w:p w14:paraId="6BF53A3B" w14:textId="6E0FF139" w:rsidR="00B0429D" w:rsidRDefault="00B0429D" w:rsidP="00543BC3">
            <w:pPr>
              <w:spacing w:after="0" w:line="259" w:lineRule="auto"/>
              <w:ind w:left="0" w:right="44" w:firstLine="0"/>
              <w:jc w:val="center"/>
            </w:pPr>
            <w:r>
              <w:rPr>
                <w:sz w:val="18"/>
              </w:rPr>
              <w:t>502.2</w:t>
            </w:r>
          </w:p>
        </w:tc>
      </w:tr>
      <w:tr w:rsidR="00B0429D" w14:paraId="03C75491" w14:textId="77777777" w:rsidTr="00C23B62">
        <w:trPr>
          <w:trHeight w:val="250"/>
        </w:trPr>
        <w:tc>
          <w:tcPr>
            <w:tcW w:w="3144" w:type="dxa"/>
            <w:tcBorders>
              <w:top w:val="single" w:sz="4" w:space="0" w:color="000000"/>
              <w:left w:val="single" w:sz="12" w:space="0" w:color="000000"/>
              <w:bottom w:val="single" w:sz="4" w:space="0" w:color="000000"/>
              <w:right w:val="single" w:sz="12" w:space="0" w:color="000000"/>
            </w:tcBorders>
          </w:tcPr>
          <w:p w14:paraId="45E7BD8D" w14:textId="77777777" w:rsidR="00B0429D" w:rsidRDefault="00B0429D" w:rsidP="00B0429D">
            <w:pPr>
              <w:spacing w:after="0" w:line="259" w:lineRule="auto"/>
              <w:ind w:left="0" w:right="0" w:firstLine="0"/>
            </w:pPr>
            <w:r>
              <w:rPr>
                <w:sz w:val="18"/>
              </w:rPr>
              <w:t xml:space="preserve">Chlorobenzene </w:t>
            </w:r>
          </w:p>
        </w:tc>
        <w:tc>
          <w:tcPr>
            <w:tcW w:w="1146" w:type="dxa"/>
            <w:tcBorders>
              <w:top w:val="single" w:sz="4" w:space="0" w:color="000000"/>
              <w:left w:val="single" w:sz="12" w:space="0" w:color="000000"/>
              <w:bottom w:val="single" w:sz="4" w:space="0" w:color="000000"/>
              <w:right w:val="single" w:sz="12" w:space="0" w:color="000000"/>
            </w:tcBorders>
          </w:tcPr>
          <w:p w14:paraId="665F997F" w14:textId="74A60A92" w:rsidR="00B0429D" w:rsidRDefault="00B0429D" w:rsidP="00543BC3">
            <w:pPr>
              <w:spacing w:after="0" w:line="259" w:lineRule="auto"/>
              <w:ind w:left="0" w:right="44" w:firstLine="0"/>
              <w:jc w:val="center"/>
            </w:pPr>
            <w:r>
              <w:rPr>
                <w:sz w:val="18"/>
              </w:rPr>
              <w:t>108-90-7</w:t>
            </w:r>
          </w:p>
        </w:tc>
        <w:tc>
          <w:tcPr>
            <w:tcW w:w="1063" w:type="dxa"/>
            <w:tcBorders>
              <w:top w:val="single" w:sz="4" w:space="0" w:color="000000"/>
              <w:left w:val="single" w:sz="12" w:space="0" w:color="000000"/>
              <w:bottom w:val="single" w:sz="4" w:space="0" w:color="000000"/>
              <w:right w:val="single" w:sz="12" w:space="0" w:color="000000"/>
            </w:tcBorders>
          </w:tcPr>
          <w:p w14:paraId="7C907DB7" w14:textId="20F06E6A" w:rsidR="00B0429D" w:rsidRDefault="00B0429D" w:rsidP="00543BC3">
            <w:pPr>
              <w:tabs>
                <w:tab w:val="center" w:pos="579"/>
              </w:tabs>
              <w:spacing w:after="0" w:line="259" w:lineRule="auto"/>
              <w:ind w:left="0" w:right="0" w:firstLine="0"/>
              <w:jc w:val="center"/>
            </w:pPr>
            <w:r>
              <w:rPr>
                <w:sz w:val="18"/>
              </w:rPr>
              <w:t>0.5</w:t>
            </w:r>
          </w:p>
        </w:tc>
        <w:tc>
          <w:tcPr>
            <w:tcW w:w="1042" w:type="dxa"/>
            <w:tcBorders>
              <w:top w:val="single" w:sz="4" w:space="0" w:color="000000"/>
              <w:left w:val="single" w:sz="12" w:space="0" w:color="000000"/>
              <w:bottom w:val="single" w:sz="4" w:space="0" w:color="000000"/>
              <w:right w:val="single" w:sz="12" w:space="0" w:color="000000"/>
            </w:tcBorders>
          </w:tcPr>
          <w:p w14:paraId="4E33DADA" w14:textId="42C89739" w:rsidR="00B0429D" w:rsidRDefault="00B0429D" w:rsidP="00543BC3">
            <w:pPr>
              <w:spacing w:after="0" w:line="259" w:lineRule="auto"/>
              <w:ind w:left="0" w:right="44" w:firstLine="0"/>
              <w:jc w:val="center"/>
            </w:pPr>
            <w:r>
              <w:rPr>
                <w:sz w:val="18"/>
              </w:rPr>
              <w:t>ug/L</w:t>
            </w:r>
          </w:p>
        </w:tc>
        <w:tc>
          <w:tcPr>
            <w:tcW w:w="946" w:type="dxa"/>
            <w:tcBorders>
              <w:top w:val="single" w:sz="4" w:space="0" w:color="000000"/>
              <w:left w:val="single" w:sz="12" w:space="0" w:color="000000"/>
              <w:bottom w:val="single" w:sz="4" w:space="0" w:color="000000"/>
              <w:right w:val="single" w:sz="12" w:space="0" w:color="000000"/>
            </w:tcBorders>
          </w:tcPr>
          <w:p w14:paraId="365FC353" w14:textId="245E40D2" w:rsidR="00B0429D" w:rsidRDefault="00B0429D" w:rsidP="00543BC3">
            <w:pPr>
              <w:spacing w:after="0" w:line="259" w:lineRule="auto"/>
              <w:ind w:left="0" w:right="45" w:firstLine="0"/>
              <w:jc w:val="center"/>
            </w:pPr>
            <w:r>
              <w:rPr>
                <w:sz w:val="18"/>
              </w:rPr>
              <w:t>N/A</w:t>
            </w:r>
          </w:p>
        </w:tc>
        <w:tc>
          <w:tcPr>
            <w:tcW w:w="1045" w:type="dxa"/>
            <w:tcBorders>
              <w:top w:val="single" w:sz="4" w:space="0" w:color="000000"/>
              <w:left w:val="single" w:sz="12" w:space="0" w:color="000000"/>
              <w:bottom w:val="single" w:sz="4" w:space="0" w:color="000000"/>
              <w:right w:val="single" w:sz="12" w:space="0" w:color="000000"/>
            </w:tcBorders>
          </w:tcPr>
          <w:p w14:paraId="12D510BC" w14:textId="4EE98D55" w:rsidR="00B0429D" w:rsidRDefault="00B0429D" w:rsidP="00543BC3">
            <w:pPr>
              <w:spacing w:after="0" w:line="259" w:lineRule="auto"/>
              <w:ind w:left="0" w:right="45" w:firstLine="0"/>
              <w:jc w:val="center"/>
            </w:pPr>
            <w:r>
              <w:rPr>
                <w:sz w:val="18"/>
              </w:rPr>
              <w:t>N/A</w:t>
            </w:r>
          </w:p>
        </w:tc>
        <w:tc>
          <w:tcPr>
            <w:tcW w:w="995" w:type="dxa"/>
            <w:tcBorders>
              <w:top w:val="single" w:sz="4" w:space="0" w:color="000000"/>
              <w:left w:val="single" w:sz="12" w:space="0" w:color="000000"/>
              <w:bottom w:val="single" w:sz="4" w:space="0" w:color="000000"/>
              <w:right w:val="single" w:sz="12" w:space="0" w:color="000000"/>
            </w:tcBorders>
          </w:tcPr>
          <w:p w14:paraId="12EFBE03" w14:textId="70DFD5EF" w:rsidR="00B0429D" w:rsidRDefault="00B0429D" w:rsidP="00543BC3">
            <w:pPr>
              <w:spacing w:after="0" w:line="259" w:lineRule="auto"/>
              <w:ind w:left="0" w:right="46" w:firstLine="0"/>
              <w:jc w:val="center"/>
            </w:pPr>
            <w:r>
              <w:rPr>
                <w:b/>
                <w:sz w:val="18"/>
              </w:rPr>
              <w:t>524.2</w:t>
            </w:r>
          </w:p>
        </w:tc>
        <w:tc>
          <w:tcPr>
            <w:tcW w:w="1149" w:type="dxa"/>
            <w:tcBorders>
              <w:top w:val="single" w:sz="4" w:space="0" w:color="000000"/>
              <w:left w:val="single" w:sz="12" w:space="0" w:color="000000"/>
              <w:bottom w:val="single" w:sz="4" w:space="0" w:color="000000"/>
              <w:right w:val="single" w:sz="12" w:space="0" w:color="000000"/>
            </w:tcBorders>
          </w:tcPr>
          <w:p w14:paraId="12593808" w14:textId="561F2CC8" w:rsidR="00B0429D" w:rsidRDefault="00B0429D" w:rsidP="00543BC3">
            <w:pPr>
              <w:spacing w:after="0" w:line="259" w:lineRule="auto"/>
              <w:ind w:left="0" w:right="44" w:firstLine="0"/>
              <w:jc w:val="center"/>
            </w:pPr>
            <w:r>
              <w:rPr>
                <w:sz w:val="18"/>
              </w:rPr>
              <w:t>502.2</w:t>
            </w:r>
          </w:p>
        </w:tc>
      </w:tr>
      <w:tr w:rsidR="00B0429D" w14:paraId="134C6740" w14:textId="77777777" w:rsidTr="00C23B62">
        <w:trPr>
          <w:trHeight w:val="250"/>
        </w:trPr>
        <w:tc>
          <w:tcPr>
            <w:tcW w:w="3144" w:type="dxa"/>
            <w:tcBorders>
              <w:top w:val="single" w:sz="4" w:space="0" w:color="000000"/>
              <w:left w:val="single" w:sz="12" w:space="0" w:color="000000"/>
              <w:bottom w:val="single" w:sz="4" w:space="0" w:color="000000"/>
              <w:right w:val="single" w:sz="12" w:space="0" w:color="000000"/>
            </w:tcBorders>
          </w:tcPr>
          <w:p w14:paraId="1103E0FF" w14:textId="77777777" w:rsidR="00B0429D" w:rsidRDefault="00B0429D" w:rsidP="00B0429D">
            <w:pPr>
              <w:spacing w:after="0" w:line="259" w:lineRule="auto"/>
              <w:ind w:left="0" w:right="0" w:firstLine="0"/>
            </w:pPr>
            <w:r>
              <w:rPr>
                <w:sz w:val="18"/>
              </w:rPr>
              <w:t xml:space="preserve">Chloroethane </w:t>
            </w:r>
          </w:p>
        </w:tc>
        <w:tc>
          <w:tcPr>
            <w:tcW w:w="1146" w:type="dxa"/>
            <w:tcBorders>
              <w:top w:val="single" w:sz="4" w:space="0" w:color="000000"/>
              <w:left w:val="single" w:sz="12" w:space="0" w:color="000000"/>
              <w:bottom w:val="single" w:sz="4" w:space="0" w:color="000000"/>
              <w:right w:val="single" w:sz="12" w:space="0" w:color="000000"/>
            </w:tcBorders>
          </w:tcPr>
          <w:p w14:paraId="5CDB5174" w14:textId="0505D159" w:rsidR="00B0429D" w:rsidRDefault="00B0429D" w:rsidP="00543BC3">
            <w:pPr>
              <w:spacing w:after="0" w:line="259" w:lineRule="auto"/>
              <w:ind w:left="0" w:right="44" w:firstLine="0"/>
              <w:jc w:val="center"/>
            </w:pPr>
            <w:r>
              <w:rPr>
                <w:sz w:val="18"/>
              </w:rPr>
              <w:t>75-00-3</w:t>
            </w:r>
          </w:p>
        </w:tc>
        <w:tc>
          <w:tcPr>
            <w:tcW w:w="1063" w:type="dxa"/>
            <w:tcBorders>
              <w:top w:val="single" w:sz="4" w:space="0" w:color="000000"/>
              <w:left w:val="single" w:sz="12" w:space="0" w:color="000000"/>
              <w:bottom w:val="single" w:sz="4" w:space="0" w:color="000000"/>
              <w:right w:val="single" w:sz="12" w:space="0" w:color="000000"/>
            </w:tcBorders>
          </w:tcPr>
          <w:p w14:paraId="64D0BF88" w14:textId="4B3CEAE5" w:rsidR="00B0429D" w:rsidRDefault="00B0429D" w:rsidP="00543BC3">
            <w:pPr>
              <w:tabs>
                <w:tab w:val="center" w:pos="579"/>
              </w:tabs>
              <w:spacing w:after="0" w:line="259" w:lineRule="auto"/>
              <w:ind w:left="0" w:right="0" w:firstLine="0"/>
              <w:jc w:val="center"/>
            </w:pPr>
            <w:r>
              <w:rPr>
                <w:sz w:val="18"/>
              </w:rPr>
              <w:t>0.5</w:t>
            </w:r>
          </w:p>
        </w:tc>
        <w:tc>
          <w:tcPr>
            <w:tcW w:w="1042" w:type="dxa"/>
            <w:tcBorders>
              <w:top w:val="single" w:sz="4" w:space="0" w:color="000000"/>
              <w:left w:val="single" w:sz="12" w:space="0" w:color="000000"/>
              <w:bottom w:val="single" w:sz="4" w:space="0" w:color="000000"/>
              <w:right w:val="single" w:sz="12" w:space="0" w:color="000000"/>
            </w:tcBorders>
          </w:tcPr>
          <w:p w14:paraId="3750AFEE" w14:textId="7B0C296E" w:rsidR="00B0429D" w:rsidRDefault="00B0429D" w:rsidP="00543BC3">
            <w:pPr>
              <w:spacing w:after="0" w:line="259" w:lineRule="auto"/>
              <w:ind w:left="0" w:right="44" w:firstLine="0"/>
              <w:jc w:val="center"/>
            </w:pPr>
            <w:r>
              <w:rPr>
                <w:sz w:val="18"/>
              </w:rPr>
              <w:t>ug/L</w:t>
            </w:r>
          </w:p>
        </w:tc>
        <w:tc>
          <w:tcPr>
            <w:tcW w:w="946" w:type="dxa"/>
            <w:tcBorders>
              <w:top w:val="single" w:sz="4" w:space="0" w:color="000000"/>
              <w:left w:val="single" w:sz="12" w:space="0" w:color="000000"/>
              <w:bottom w:val="single" w:sz="4" w:space="0" w:color="000000"/>
              <w:right w:val="single" w:sz="12" w:space="0" w:color="000000"/>
            </w:tcBorders>
          </w:tcPr>
          <w:p w14:paraId="2D7A0A0A" w14:textId="1C9E63CA" w:rsidR="00B0429D" w:rsidRDefault="00B0429D" w:rsidP="00543BC3">
            <w:pPr>
              <w:spacing w:after="0" w:line="259" w:lineRule="auto"/>
              <w:ind w:left="0" w:right="45" w:firstLine="0"/>
              <w:jc w:val="center"/>
            </w:pPr>
            <w:r>
              <w:rPr>
                <w:sz w:val="18"/>
              </w:rPr>
              <w:t>N/A</w:t>
            </w:r>
          </w:p>
        </w:tc>
        <w:tc>
          <w:tcPr>
            <w:tcW w:w="1045" w:type="dxa"/>
            <w:tcBorders>
              <w:top w:val="single" w:sz="4" w:space="0" w:color="000000"/>
              <w:left w:val="single" w:sz="12" w:space="0" w:color="000000"/>
              <w:bottom w:val="single" w:sz="4" w:space="0" w:color="000000"/>
              <w:right w:val="single" w:sz="12" w:space="0" w:color="000000"/>
            </w:tcBorders>
          </w:tcPr>
          <w:p w14:paraId="3DDFED89" w14:textId="0366F58F" w:rsidR="00B0429D" w:rsidRDefault="00B0429D" w:rsidP="00543BC3">
            <w:pPr>
              <w:spacing w:after="0" w:line="259" w:lineRule="auto"/>
              <w:ind w:left="0" w:right="45" w:firstLine="0"/>
              <w:jc w:val="center"/>
            </w:pPr>
            <w:r>
              <w:rPr>
                <w:sz w:val="18"/>
              </w:rPr>
              <w:t>N/A</w:t>
            </w:r>
          </w:p>
        </w:tc>
        <w:tc>
          <w:tcPr>
            <w:tcW w:w="995" w:type="dxa"/>
            <w:tcBorders>
              <w:top w:val="single" w:sz="4" w:space="0" w:color="000000"/>
              <w:left w:val="single" w:sz="12" w:space="0" w:color="000000"/>
              <w:bottom w:val="single" w:sz="4" w:space="0" w:color="000000"/>
              <w:right w:val="single" w:sz="12" w:space="0" w:color="000000"/>
            </w:tcBorders>
          </w:tcPr>
          <w:p w14:paraId="52A87AAF" w14:textId="1FE712C4" w:rsidR="00B0429D" w:rsidRDefault="00B0429D" w:rsidP="00543BC3">
            <w:pPr>
              <w:spacing w:after="0" w:line="259" w:lineRule="auto"/>
              <w:ind w:left="0" w:right="46" w:firstLine="0"/>
              <w:jc w:val="center"/>
            </w:pPr>
            <w:r>
              <w:rPr>
                <w:b/>
                <w:sz w:val="18"/>
              </w:rPr>
              <w:t>524.2</w:t>
            </w:r>
          </w:p>
        </w:tc>
        <w:tc>
          <w:tcPr>
            <w:tcW w:w="1149" w:type="dxa"/>
            <w:tcBorders>
              <w:top w:val="single" w:sz="4" w:space="0" w:color="000000"/>
              <w:left w:val="single" w:sz="12" w:space="0" w:color="000000"/>
              <w:bottom w:val="single" w:sz="4" w:space="0" w:color="000000"/>
              <w:right w:val="single" w:sz="12" w:space="0" w:color="000000"/>
            </w:tcBorders>
          </w:tcPr>
          <w:p w14:paraId="24776437" w14:textId="7EC7BC4C" w:rsidR="00B0429D" w:rsidRDefault="00B0429D" w:rsidP="00543BC3">
            <w:pPr>
              <w:spacing w:after="0" w:line="259" w:lineRule="auto"/>
              <w:ind w:left="0" w:right="44" w:firstLine="0"/>
              <w:jc w:val="center"/>
            </w:pPr>
            <w:r>
              <w:rPr>
                <w:sz w:val="18"/>
              </w:rPr>
              <w:t>502.2</w:t>
            </w:r>
          </w:p>
        </w:tc>
      </w:tr>
      <w:tr w:rsidR="00B0429D" w14:paraId="3099F137" w14:textId="77777777" w:rsidTr="00C23B62">
        <w:trPr>
          <w:trHeight w:val="250"/>
        </w:trPr>
        <w:tc>
          <w:tcPr>
            <w:tcW w:w="3144" w:type="dxa"/>
            <w:tcBorders>
              <w:top w:val="single" w:sz="4" w:space="0" w:color="000000"/>
              <w:left w:val="single" w:sz="12" w:space="0" w:color="000000"/>
              <w:bottom w:val="single" w:sz="4" w:space="0" w:color="000000"/>
              <w:right w:val="single" w:sz="12" w:space="0" w:color="000000"/>
            </w:tcBorders>
          </w:tcPr>
          <w:p w14:paraId="7521D0D9" w14:textId="77777777" w:rsidR="00B0429D" w:rsidRDefault="00B0429D" w:rsidP="00B0429D">
            <w:pPr>
              <w:spacing w:after="0" w:line="259" w:lineRule="auto"/>
              <w:ind w:left="0" w:right="0" w:firstLine="0"/>
            </w:pPr>
            <w:r>
              <w:rPr>
                <w:sz w:val="18"/>
              </w:rPr>
              <w:t xml:space="preserve">Chloroform </w:t>
            </w:r>
          </w:p>
        </w:tc>
        <w:tc>
          <w:tcPr>
            <w:tcW w:w="1146" w:type="dxa"/>
            <w:tcBorders>
              <w:top w:val="single" w:sz="4" w:space="0" w:color="000000"/>
              <w:left w:val="single" w:sz="12" w:space="0" w:color="000000"/>
              <w:bottom w:val="single" w:sz="4" w:space="0" w:color="000000"/>
              <w:right w:val="single" w:sz="12" w:space="0" w:color="000000"/>
            </w:tcBorders>
          </w:tcPr>
          <w:p w14:paraId="2D56036D" w14:textId="4F8F9A4E" w:rsidR="00B0429D" w:rsidRDefault="00B0429D" w:rsidP="00543BC3">
            <w:pPr>
              <w:spacing w:after="0" w:line="259" w:lineRule="auto"/>
              <w:ind w:left="0" w:right="44" w:firstLine="0"/>
              <w:jc w:val="center"/>
            </w:pPr>
            <w:r>
              <w:rPr>
                <w:sz w:val="18"/>
              </w:rPr>
              <w:t>67-66-3</w:t>
            </w:r>
          </w:p>
        </w:tc>
        <w:tc>
          <w:tcPr>
            <w:tcW w:w="1063" w:type="dxa"/>
            <w:tcBorders>
              <w:top w:val="single" w:sz="4" w:space="0" w:color="000000"/>
              <w:left w:val="single" w:sz="12" w:space="0" w:color="000000"/>
              <w:bottom w:val="single" w:sz="4" w:space="0" w:color="000000"/>
              <w:right w:val="single" w:sz="12" w:space="0" w:color="000000"/>
            </w:tcBorders>
          </w:tcPr>
          <w:p w14:paraId="57CE4A55" w14:textId="531F955A" w:rsidR="00B0429D" w:rsidRDefault="00B0429D" w:rsidP="00543BC3">
            <w:pPr>
              <w:tabs>
                <w:tab w:val="center" w:pos="579"/>
              </w:tabs>
              <w:spacing w:after="0" w:line="259" w:lineRule="auto"/>
              <w:ind w:left="0" w:right="0" w:firstLine="0"/>
              <w:jc w:val="center"/>
            </w:pPr>
            <w:r>
              <w:rPr>
                <w:sz w:val="18"/>
              </w:rPr>
              <w:t>0.2</w:t>
            </w:r>
          </w:p>
        </w:tc>
        <w:tc>
          <w:tcPr>
            <w:tcW w:w="1042" w:type="dxa"/>
            <w:tcBorders>
              <w:top w:val="single" w:sz="4" w:space="0" w:color="000000"/>
              <w:left w:val="single" w:sz="12" w:space="0" w:color="000000"/>
              <w:bottom w:val="single" w:sz="4" w:space="0" w:color="000000"/>
              <w:right w:val="single" w:sz="12" w:space="0" w:color="000000"/>
            </w:tcBorders>
          </w:tcPr>
          <w:p w14:paraId="200681A3" w14:textId="7DB17090" w:rsidR="00B0429D" w:rsidRDefault="00B0429D" w:rsidP="00543BC3">
            <w:pPr>
              <w:spacing w:after="0" w:line="259" w:lineRule="auto"/>
              <w:ind w:left="0" w:right="44" w:firstLine="0"/>
              <w:jc w:val="center"/>
            </w:pPr>
            <w:r>
              <w:rPr>
                <w:sz w:val="18"/>
              </w:rPr>
              <w:t>ug/L</w:t>
            </w:r>
          </w:p>
        </w:tc>
        <w:tc>
          <w:tcPr>
            <w:tcW w:w="946" w:type="dxa"/>
            <w:tcBorders>
              <w:top w:val="single" w:sz="4" w:space="0" w:color="000000"/>
              <w:left w:val="single" w:sz="12" w:space="0" w:color="000000"/>
              <w:bottom w:val="single" w:sz="4" w:space="0" w:color="000000"/>
              <w:right w:val="single" w:sz="12" w:space="0" w:color="000000"/>
            </w:tcBorders>
          </w:tcPr>
          <w:p w14:paraId="34A80D20" w14:textId="1B384079" w:rsidR="00B0429D" w:rsidRDefault="00B0429D" w:rsidP="00543BC3">
            <w:pPr>
              <w:spacing w:after="0" w:line="259" w:lineRule="auto"/>
              <w:ind w:left="0" w:right="45" w:firstLine="0"/>
              <w:jc w:val="center"/>
            </w:pPr>
            <w:r>
              <w:rPr>
                <w:sz w:val="18"/>
              </w:rPr>
              <w:t>N/A</w:t>
            </w:r>
          </w:p>
        </w:tc>
        <w:tc>
          <w:tcPr>
            <w:tcW w:w="1045" w:type="dxa"/>
            <w:tcBorders>
              <w:top w:val="single" w:sz="4" w:space="0" w:color="000000"/>
              <w:left w:val="single" w:sz="12" w:space="0" w:color="000000"/>
              <w:bottom w:val="single" w:sz="4" w:space="0" w:color="000000"/>
              <w:right w:val="single" w:sz="12" w:space="0" w:color="000000"/>
            </w:tcBorders>
          </w:tcPr>
          <w:p w14:paraId="2E0C6655" w14:textId="580E14AF" w:rsidR="00B0429D" w:rsidRDefault="00B0429D" w:rsidP="00543BC3">
            <w:pPr>
              <w:spacing w:after="0" w:line="259" w:lineRule="auto"/>
              <w:ind w:left="0" w:right="45" w:firstLine="0"/>
              <w:jc w:val="center"/>
            </w:pPr>
            <w:r>
              <w:rPr>
                <w:sz w:val="18"/>
              </w:rPr>
              <w:t>N/A</w:t>
            </w:r>
          </w:p>
        </w:tc>
        <w:tc>
          <w:tcPr>
            <w:tcW w:w="995" w:type="dxa"/>
            <w:tcBorders>
              <w:top w:val="single" w:sz="4" w:space="0" w:color="000000"/>
              <w:left w:val="single" w:sz="12" w:space="0" w:color="000000"/>
              <w:bottom w:val="single" w:sz="4" w:space="0" w:color="000000"/>
              <w:right w:val="single" w:sz="12" w:space="0" w:color="000000"/>
            </w:tcBorders>
          </w:tcPr>
          <w:p w14:paraId="2CBE9F53" w14:textId="2F3C564A" w:rsidR="00B0429D" w:rsidRDefault="00B0429D" w:rsidP="00543BC3">
            <w:pPr>
              <w:spacing w:after="0" w:line="259" w:lineRule="auto"/>
              <w:ind w:left="0" w:right="46" w:firstLine="0"/>
              <w:jc w:val="center"/>
            </w:pPr>
            <w:r>
              <w:rPr>
                <w:b/>
                <w:sz w:val="18"/>
              </w:rPr>
              <w:t>524.2</w:t>
            </w:r>
          </w:p>
        </w:tc>
        <w:tc>
          <w:tcPr>
            <w:tcW w:w="1149" w:type="dxa"/>
            <w:tcBorders>
              <w:top w:val="single" w:sz="4" w:space="0" w:color="000000"/>
              <w:left w:val="single" w:sz="12" w:space="0" w:color="000000"/>
              <w:bottom w:val="single" w:sz="4" w:space="0" w:color="000000"/>
              <w:right w:val="single" w:sz="12" w:space="0" w:color="000000"/>
            </w:tcBorders>
          </w:tcPr>
          <w:p w14:paraId="27F301D4" w14:textId="38C7311F" w:rsidR="00B0429D" w:rsidRDefault="00B0429D" w:rsidP="00543BC3">
            <w:pPr>
              <w:spacing w:after="0" w:line="259" w:lineRule="auto"/>
              <w:ind w:left="0" w:right="44" w:firstLine="0"/>
              <w:jc w:val="center"/>
            </w:pPr>
            <w:r>
              <w:rPr>
                <w:sz w:val="18"/>
              </w:rPr>
              <w:t>502.2</w:t>
            </w:r>
          </w:p>
        </w:tc>
      </w:tr>
      <w:tr w:rsidR="00B0429D" w14:paraId="6C95EB19" w14:textId="77777777" w:rsidTr="00C23B62">
        <w:trPr>
          <w:trHeight w:val="250"/>
        </w:trPr>
        <w:tc>
          <w:tcPr>
            <w:tcW w:w="3144" w:type="dxa"/>
            <w:tcBorders>
              <w:top w:val="single" w:sz="4" w:space="0" w:color="000000"/>
              <w:left w:val="single" w:sz="12" w:space="0" w:color="000000"/>
              <w:bottom w:val="single" w:sz="4" w:space="0" w:color="000000"/>
              <w:right w:val="single" w:sz="12" w:space="0" w:color="000000"/>
            </w:tcBorders>
          </w:tcPr>
          <w:p w14:paraId="1CC7A499" w14:textId="77777777" w:rsidR="00B0429D" w:rsidRDefault="00B0429D" w:rsidP="00B0429D">
            <w:pPr>
              <w:spacing w:after="0" w:line="259" w:lineRule="auto"/>
              <w:ind w:left="0" w:right="0" w:firstLine="0"/>
            </w:pPr>
            <w:r>
              <w:rPr>
                <w:sz w:val="18"/>
              </w:rPr>
              <w:t xml:space="preserve">Chloromethane </w:t>
            </w:r>
          </w:p>
        </w:tc>
        <w:tc>
          <w:tcPr>
            <w:tcW w:w="1146" w:type="dxa"/>
            <w:tcBorders>
              <w:top w:val="single" w:sz="4" w:space="0" w:color="000000"/>
              <w:left w:val="single" w:sz="12" w:space="0" w:color="000000"/>
              <w:bottom w:val="single" w:sz="4" w:space="0" w:color="000000"/>
              <w:right w:val="single" w:sz="12" w:space="0" w:color="000000"/>
            </w:tcBorders>
          </w:tcPr>
          <w:p w14:paraId="32023E5A" w14:textId="4CB43CBD" w:rsidR="00B0429D" w:rsidRDefault="00B0429D" w:rsidP="00543BC3">
            <w:pPr>
              <w:spacing w:after="0" w:line="259" w:lineRule="auto"/>
              <w:ind w:left="0" w:right="44" w:firstLine="0"/>
              <w:jc w:val="center"/>
            </w:pPr>
            <w:r>
              <w:rPr>
                <w:sz w:val="18"/>
              </w:rPr>
              <w:t>74-87-3</w:t>
            </w:r>
          </w:p>
        </w:tc>
        <w:tc>
          <w:tcPr>
            <w:tcW w:w="1063" w:type="dxa"/>
            <w:tcBorders>
              <w:top w:val="single" w:sz="4" w:space="0" w:color="000000"/>
              <w:left w:val="single" w:sz="12" w:space="0" w:color="000000"/>
              <w:bottom w:val="single" w:sz="4" w:space="0" w:color="000000"/>
              <w:right w:val="single" w:sz="12" w:space="0" w:color="000000"/>
            </w:tcBorders>
          </w:tcPr>
          <w:p w14:paraId="1B1EC216" w14:textId="398B0DA1" w:rsidR="00B0429D" w:rsidRDefault="00B0429D" w:rsidP="00543BC3">
            <w:pPr>
              <w:tabs>
                <w:tab w:val="center" w:pos="579"/>
              </w:tabs>
              <w:spacing w:after="0" w:line="259" w:lineRule="auto"/>
              <w:ind w:left="0" w:right="0" w:firstLine="0"/>
              <w:jc w:val="center"/>
            </w:pPr>
            <w:r>
              <w:rPr>
                <w:sz w:val="18"/>
              </w:rPr>
              <w:t>0.7</w:t>
            </w:r>
          </w:p>
        </w:tc>
        <w:tc>
          <w:tcPr>
            <w:tcW w:w="1042" w:type="dxa"/>
            <w:tcBorders>
              <w:top w:val="single" w:sz="4" w:space="0" w:color="000000"/>
              <w:left w:val="single" w:sz="12" w:space="0" w:color="000000"/>
              <w:bottom w:val="single" w:sz="4" w:space="0" w:color="000000"/>
              <w:right w:val="single" w:sz="12" w:space="0" w:color="000000"/>
            </w:tcBorders>
          </w:tcPr>
          <w:p w14:paraId="06089319" w14:textId="2696B3B4" w:rsidR="00B0429D" w:rsidRDefault="00B0429D" w:rsidP="00543BC3">
            <w:pPr>
              <w:spacing w:after="0" w:line="259" w:lineRule="auto"/>
              <w:ind w:left="0" w:right="44" w:firstLine="0"/>
              <w:jc w:val="center"/>
            </w:pPr>
            <w:r>
              <w:rPr>
                <w:sz w:val="18"/>
              </w:rPr>
              <w:t>ug/L</w:t>
            </w:r>
          </w:p>
        </w:tc>
        <w:tc>
          <w:tcPr>
            <w:tcW w:w="946" w:type="dxa"/>
            <w:tcBorders>
              <w:top w:val="single" w:sz="4" w:space="0" w:color="000000"/>
              <w:left w:val="single" w:sz="12" w:space="0" w:color="000000"/>
              <w:bottom w:val="single" w:sz="4" w:space="0" w:color="000000"/>
              <w:right w:val="single" w:sz="12" w:space="0" w:color="000000"/>
            </w:tcBorders>
          </w:tcPr>
          <w:p w14:paraId="11FFD60A" w14:textId="7E78CE8A" w:rsidR="00B0429D" w:rsidRDefault="00B0429D" w:rsidP="00543BC3">
            <w:pPr>
              <w:spacing w:after="0" w:line="259" w:lineRule="auto"/>
              <w:ind w:left="0" w:right="45" w:firstLine="0"/>
              <w:jc w:val="center"/>
            </w:pPr>
            <w:r>
              <w:rPr>
                <w:sz w:val="18"/>
              </w:rPr>
              <w:t>N/A</w:t>
            </w:r>
          </w:p>
        </w:tc>
        <w:tc>
          <w:tcPr>
            <w:tcW w:w="1045" w:type="dxa"/>
            <w:tcBorders>
              <w:top w:val="single" w:sz="4" w:space="0" w:color="000000"/>
              <w:left w:val="single" w:sz="12" w:space="0" w:color="000000"/>
              <w:bottom w:val="single" w:sz="4" w:space="0" w:color="000000"/>
              <w:right w:val="single" w:sz="12" w:space="0" w:color="000000"/>
            </w:tcBorders>
          </w:tcPr>
          <w:p w14:paraId="1EC2FAB4" w14:textId="7B986F47" w:rsidR="00B0429D" w:rsidRDefault="00B0429D" w:rsidP="00543BC3">
            <w:pPr>
              <w:spacing w:after="0" w:line="259" w:lineRule="auto"/>
              <w:ind w:left="0" w:right="45" w:firstLine="0"/>
              <w:jc w:val="center"/>
            </w:pPr>
            <w:r>
              <w:rPr>
                <w:sz w:val="18"/>
              </w:rPr>
              <w:t>N/A</w:t>
            </w:r>
          </w:p>
        </w:tc>
        <w:tc>
          <w:tcPr>
            <w:tcW w:w="995" w:type="dxa"/>
            <w:tcBorders>
              <w:top w:val="single" w:sz="4" w:space="0" w:color="000000"/>
              <w:left w:val="single" w:sz="12" w:space="0" w:color="000000"/>
              <w:bottom w:val="single" w:sz="4" w:space="0" w:color="000000"/>
              <w:right w:val="single" w:sz="12" w:space="0" w:color="000000"/>
            </w:tcBorders>
          </w:tcPr>
          <w:p w14:paraId="3918804A" w14:textId="21F1ED68" w:rsidR="00B0429D" w:rsidRDefault="00B0429D" w:rsidP="00543BC3">
            <w:pPr>
              <w:spacing w:after="0" w:line="259" w:lineRule="auto"/>
              <w:ind w:left="0" w:right="46" w:firstLine="0"/>
              <w:jc w:val="center"/>
            </w:pPr>
            <w:r>
              <w:rPr>
                <w:b/>
                <w:sz w:val="18"/>
              </w:rPr>
              <w:t>524.2</w:t>
            </w:r>
          </w:p>
        </w:tc>
        <w:tc>
          <w:tcPr>
            <w:tcW w:w="1149" w:type="dxa"/>
            <w:tcBorders>
              <w:top w:val="single" w:sz="4" w:space="0" w:color="000000"/>
              <w:left w:val="single" w:sz="12" w:space="0" w:color="000000"/>
              <w:bottom w:val="single" w:sz="4" w:space="0" w:color="000000"/>
              <w:right w:val="single" w:sz="12" w:space="0" w:color="000000"/>
            </w:tcBorders>
          </w:tcPr>
          <w:p w14:paraId="7BFE79DC" w14:textId="592D76F0" w:rsidR="00B0429D" w:rsidRDefault="00B0429D" w:rsidP="00543BC3">
            <w:pPr>
              <w:spacing w:after="0" w:line="259" w:lineRule="auto"/>
              <w:ind w:left="0" w:right="44" w:firstLine="0"/>
              <w:jc w:val="center"/>
            </w:pPr>
            <w:r>
              <w:rPr>
                <w:sz w:val="18"/>
              </w:rPr>
              <w:t>502.2</w:t>
            </w:r>
          </w:p>
        </w:tc>
      </w:tr>
      <w:tr w:rsidR="00B0429D" w14:paraId="635F3963" w14:textId="77777777" w:rsidTr="00C23B62">
        <w:trPr>
          <w:trHeight w:val="250"/>
        </w:trPr>
        <w:tc>
          <w:tcPr>
            <w:tcW w:w="3144" w:type="dxa"/>
            <w:tcBorders>
              <w:top w:val="single" w:sz="4" w:space="0" w:color="000000"/>
              <w:left w:val="single" w:sz="12" w:space="0" w:color="000000"/>
              <w:bottom w:val="single" w:sz="4" w:space="0" w:color="000000"/>
              <w:right w:val="single" w:sz="12" w:space="0" w:color="000000"/>
            </w:tcBorders>
          </w:tcPr>
          <w:p w14:paraId="4E6919CA" w14:textId="77777777" w:rsidR="00B0429D" w:rsidRDefault="00B0429D" w:rsidP="00B0429D">
            <w:pPr>
              <w:spacing w:after="0" w:line="259" w:lineRule="auto"/>
              <w:ind w:left="0" w:right="0" w:firstLine="0"/>
            </w:pPr>
            <w:r>
              <w:rPr>
                <w:sz w:val="18"/>
              </w:rPr>
              <w:t xml:space="preserve">2-Chlorotoluene </w:t>
            </w:r>
          </w:p>
        </w:tc>
        <w:tc>
          <w:tcPr>
            <w:tcW w:w="1146" w:type="dxa"/>
            <w:tcBorders>
              <w:top w:val="single" w:sz="4" w:space="0" w:color="000000"/>
              <w:left w:val="single" w:sz="12" w:space="0" w:color="000000"/>
              <w:bottom w:val="single" w:sz="4" w:space="0" w:color="000000"/>
              <w:right w:val="single" w:sz="12" w:space="0" w:color="000000"/>
            </w:tcBorders>
          </w:tcPr>
          <w:p w14:paraId="310F3007" w14:textId="4038ABF4" w:rsidR="00B0429D" w:rsidRDefault="00B0429D" w:rsidP="00543BC3">
            <w:pPr>
              <w:spacing w:after="0" w:line="259" w:lineRule="auto"/>
              <w:ind w:left="0" w:right="44" w:firstLine="0"/>
              <w:jc w:val="center"/>
            </w:pPr>
            <w:r>
              <w:rPr>
                <w:sz w:val="18"/>
              </w:rPr>
              <w:t>95-49-8</w:t>
            </w:r>
          </w:p>
        </w:tc>
        <w:tc>
          <w:tcPr>
            <w:tcW w:w="1063" w:type="dxa"/>
            <w:tcBorders>
              <w:top w:val="single" w:sz="4" w:space="0" w:color="000000"/>
              <w:left w:val="single" w:sz="12" w:space="0" w:color="000000"/>
              <w:bottom w:val="single" w:sz="4" w:space="0" w:color="000000"/>
              <w:right w:val="single" w:sz="12" w:space="0" w:color="000000"/>
            </w:tcBorders>
          </w:tcPr>
          <w:p w14:paraId="2EB2479F" w14:textId="59299684" w:rsidR="00B0429D" w:rsidRDefault="00B0429D" w:rsidP="00543BC3">
            <w:pPr>
              <w:tabs>
                <w:tab w:val="center" w:pos="579"/>
              </w:tabs>
              <w:spacing w:after="0" w:line="259" w:lineRule="auto"/>
              <w:ind w:left="0" w:right="0" w:firstLine="0"/>
              <w:jc w:val="center"/>
            </w:pPr>
            <w:r>
              <w:rPr>
                <w:sz w:val="18"/>
              </w:rPr>
              <w:t>0.5</w:t>
            </w:r>
          </w:p>
        </w:tc>
        <w:tc>
          <w:tcPr>
            <w:tcW w:w="1042" w:type="dxa"/>
            <w:tcBorders>
              <w:top w:val="single" w:sz="4" w:space="0" w:color="000000"/>
              <w:left w:val="single" w:sz="12" w:space="0" w:color="000000"/>
              <w:bottom w:val="single" w:sz="4" w:space="0" w:color="000000"/>
              <w:right w:val="single" w:sz="12" w:space="0" w:color="000000"/>
            </w:tcBorders>
          </w:tcPr>
          <w:p w14:paraId="087278C1" w14:textId="2B802EDB" w:rsidR="00B0429D" w:rsidRDefault="00B0429D" w:rsidP="00543BC3">
            <w:pPr>
              <w:spacing w:after="0" w:line="259" w:lineRule="auto"/>
              <w:ind w:left="0" w:right="44" w:firstLine="0"/>
              <w:jc w:val="center"/>
            </w:pPr>
            <w:r>
              <w:rPr>
                <w:sz w:val="18"/>
              </w:rPr>
              <w:t>ug/L</w:t>
            </w:r>
          </w:p>
        </w:tc>
        <w:tc>
          <w:tcPr>
            <w:tcW w:w="946" w:type="dxa"/>
            <w:tcBorders>
              <w:top w:val="single" w:sz="4" w:space="0" w:color="000000"/>
              <w:left w:val="single" w:sz="12" w:space="0" w:color="000000"/>
              <w:bottom w:val="single" w:sz="4" w:space="0" w:color="000000"/>
              <w:right w:val="single" w:sz="12" w:space="0" w:color="000000"/>
            </w:tcBorders>
          </w:tcPr>
          <w:p w14:paraId="2A8F3D5C" w14:textId="6F92466C" w:rsidR="00B0429D" w:rsidRDefault="00B0429D" w:rsidP="00543BC3">
            <w:pPr>
              <w:spacing w:after="0" w:line="259" w:lineRule="auto"/>
              <w:ind w:left="0" w:right="45" w:firstLine="0"/>
              <w:jc w:val="center"/>
            </w:pPr>
            <w:r>
              <w:rPr>
                <w:sz w:val="18"/>
              </w:rPr>
              <w:t>N/A</w:t>
            </w:r>
          </w:p>
        </w:tc>
        <w:tc>
          <w:tcPr>
            <w:tcW w:w="1045" w:type="dxa"/>
            <w:tcBorders>
              <w:top w:val="single" w:sz="4" w:space="0" w:color="000000"/>
              <w:left w:val="single" w:sz="12" w:space="0" w:color="000000"/>
              <w:bottom w:val="single" w:sz="4" w:space="0" w:color="000000"/>
              <w:right w:val="single" w:sz="12" w:space="0" w:color="000000"/>
            </w:tcBorders>
          </w:tcPr>
          <w:p w14:paraId="5431C391" w14:textId="59A48648" w:rsidR="00B0429D" w:rsidRDefault="00B0429D" w:rsidP="00543BC3">
            <w:pPr>
              <w:spacing w:after="0" w:line="259" w:lineRule="auto"/>
              <w:ind w:left="0" w:right="45" w:firstLine="0"/>
              <w:jc w:val="center"/>
            </w:pPr>
            <w:r>
              <w:rPr>
                <w:sz w:val="18"/>
              </w:rPr>
              <w:t>N/A</w:t>
            </w:r>
          </w:p>
        </w:tc>
        <w:tc>
          <w:tcPr>
            <w:tcW w:w="995" w:type="dxa"/>
            <w:tcBorders>
              <w:top w:val="single" w:sz="4" w:space="0" w:color="000000"/>
              <w:left w:val="single" w:sz="12" w:space="0" w:color="000000"/>
              <w:bottom w:val="single" w:sz="4" w:space="0" w:color="000000"/>
              <w:right w:val="single" w:sz="12" w:space="0" w:color="000000"/>
            </w:tcBorders>
          </w:tcPr>
          <w:p w14:paraId="14288704" w14:textId="17C06B79" w:rsidR="00B0429D" w:rsidRDefault="00B0429D" w:rsidP="00543BC3">
            <w:pPr>
              <w:spacing w:after="0" w:line="259" w:lineRule="auto"/>
              <w:ind w:left="0" w:right="46" w:firstLine="0"/>
              <w:jc w:val="center"/>
            </w:pPr>
            <w:r>
              <w:rPr>
                <w:b/>
                <w:sz w:val="18"/>
              </w:rPr>
              <w:t>524.2</w:t>
            </w:r>
          </w:p>
        </w:tc>
        <w:tc>
          <w:tcPr>
            <w:tcW w:w="1149" w:type="dxa"/>
            <w:tcBorders>
              <w:top w:val="single" w:sz="4" w:space="0" w:color="000000"/>
              <w:left w:val="single" w:sz="12" w:space="0" w:color="000000"/>
              <w:bottom w:val="single" w:sz="4" w:space="0" w:color="000000"/>
              <w:right w:val="single" w:sz="12" w:space="0" w:color="000000"/>
            </w:tcBorders>
          </w:tcPr>
          <w:p w14:paraId="71D06929" w14:textId="4BE7C956" w:rsidR="00B0429D" w:rsidRDefault="00B0429D" w:rsidP="00543BC3">
            <w:pPr>
              <w:spacing w:after="0" w:line="259" w:lineRule="auto"/>
              <w:ind w:left="0" w:right="44" w:firstLine="0"/>
              <w:jc w:val="center"/>
            </w:pPr>
            <w:r>
              <w:rPr>
                <w:sz w:val="18"/>
              </w:rPr>
              <w:t>502.2</w:t>
            </w:r>
          </w:p>
        </w:tc>
      </w:tr>
      <w:tr w:rsidR="00B0429D" w14:paraId="14AFC989" w14:textId="77777777" w:rsidTr="00C23B62">
        <w:trPr>
          <w:trHeight w:val="252"/>
        </w:trPr>
        <w:tc>
          <w:tcPr>
            <w:tcW w:w="3144" w:type="dxa"/>
            <w:tcBorders>
              <w:top w:val="single" w:sz="4" w:space="0" w:color="000000"/>
              <w:left w:val="single" w:sz="12" w:space="0" w:color="000000"/>
              <w:bottom w:val="single" w:sz="4" w:space="0" w:color="000000"/>
              <w:right w:val="single" w:sz="12" w:space="0" w:color="000000"/>
            </w:tcBorders>
          </w:tcPr>
          <w:p w14:paraId="57296F98" w14:textId="77777777" w:rsidR="00B0429D" w:rsidRDefault="00B0429D" w:rsidP="00B0429D">
            <w:pPr>
              <w:spacing w:after="0" w:line="259" w:lineRule="auto"/>
              <w:ind w:left="0" w:right="0" w:firstLine="0"/>
            </w:pPr>
            <w:r>
              <w:rPr>
                <w:sz w:val="18"/>
              </w:rPr>
              <w:t xml:space="preserve">4-Chlorotoluene </w:t>
            </w:r>
          </w:p>
        </w:tc>
        <w:tc>
          <w:tcPr>
            <w:tcW w:w="1146" w:type="dxa"/>
            <w:tcBorders>
              <w:top w:val="single" w:sz="4" w:space="0" w:color="000000"/>
              <w:left w:val="single" w:sz="12" w:space="0" w:color="000000"/>
              <w:bottom w:val="single" w:sz="4" w:space="0" w:color="000000"/>
              <w:right w:val="single" w:sz="12" w:space="0" w:color="000000"/>
            </w:tcBorders>
          </w:tcPr>
          <w:p w14:paraId="6BAAF1E2" w14:textId="1623D3EB" w:rsidR="00B0429D" w:rsidRDefault="00B0429D" w:rsidP="00543BC3">
            <w:pPr>
              <w:spacing w:after="0" w:line="259" w:lineRule="auto"/>
              <w:ind w:left="0" w:right="44" w:firstLine="0"/>
              <w:jc w:val="center"/>
            </w:pPr>
            <w:r>
              <w:rPr>
                <w:sz w:val="18"/>
              </w:rPr>
              <w:t>106-43-4</w:t>
            </w:r>
          </w:p>
        </w:tc>
        <w:tc>
          <w:tcPr>
            <w:tcW w:w="1063" w:type="dxa"/>
            <w:tcBorders>
              <w:top w:val="single" w:sz="4" w:space="0" w:color="000000"/>
              <w:left w:val="single" w:sz="12" w:space="0" w:color="000000"/>
              <w:bottom w:val="single" w:sz="4" w:space="0" w:color="000000"/>
              <w:right w:val="single" w:sz="12" w:space="0" w:color="000000"/>
            </w:tcBorders>
          </w:tcPr>
          <w:p w14:paraId="180E58E0" w14:textId="77859285" w:rsidR="00B0429D" w:rsidRDefault="00B0429D" w:rsidP="00543BC3">
            <w:pPr>
              <w:tabs>
                <w:tab w:val="center" w:pos="579"/>
              </w:tabs>
              <w:spacing w:after="0" w:line="259" w:lineRule="auto"/>
              <w:ind w:left="0" w:right="0" w:firstLine="0"/>
              <w:jc w:val="center"/>
            </w:pPr>
            <w:r>
              <w:rPr>
                <w:sz w:val="18"/>
              </w:rPr>
              <w:t>0.5</w:t>
            </w:r>
          </w:p>
        </w:tc>
        <w:tc>
          <w:tcPr>
            <w:tcW w:w="1042" w:type="dxa"/>
            <w:tcBorders>
              <w:top w:val="single" w:sz="4" w:space="0" w:color="000000"/>
              <w:left w:val="single" w:sz="12" w:space="0" w:color="000000"/>
              <w:bottom w:val="single" w:sz="4" w:space="0" w:color="000000"/>
              <w:right w:val="single" w:sz="12" w:space="0" w:color="000000"/>
            </w:tcBorders>
          </w:tcPr>
          <w:p w14:paraId="797440E5" w14:textId="5A52E257" w:rsidR="00B0429D" w:rsidRDefault="00B0429D" w:rsidP="00543BC3">
            <w:pPr>
              <w:spacing w:after="0" w:line="259" w:lineRule="auto"/>
              <w:ind w:left="0" w:right="44" w:firstLine="0"/>
              <w:jc w:val="center"/>
            </w:pPr>
            <w:r>
              <w:rPr>
                <w:sz w:val="18"/>
              </w:rPr>
              <w:t>ug/L</w:t>
            </w:r>
          </w:p>
        </w:tc>
        <w:tc>
          <w:tcPr>
            <w:tcW w:w="946" w:type="dxa"/>
            <w:tcBorders>
              <w:top w:val="single" w:sz="4" w:space="0" w:color="000000"/>
              <w:left w:val="single" w:sz="12" w:space="0" w:color="000000"/>
              <w:bottom w:val="single" w:sz="4" w:space="0" w:color="000000"/>
              <w:right w:val="single" w:sz="12" w:space="0" w:color="000000"/>
            </w:tcBorders>
          </w:tcPr>
          <w:p w14:paraId="7BEA81E1" w14:textId="38C1FE58" w:rsidR="00B0429D" w:rsidRDefault="00B0429D" w:rsidP="00543BC3">
            <w:pPr>
              <w:spacing w:after="0" w:line="259" w:lineRule="auto"/>
              <w:ind w:left="0" w:right="45" w:firstLine="0"/>
              <w:jc w:val="center"/>
            </w:pPr>
            <w:r>
              <w:rPr>
                <w:sz w:val="18"/>
              </w:rPr>
              <w:t>N/A</w:t>
            </w:r>
          </w:p>
        </w:tc>
        <w:tc>
          <w:tcPr>
            <w:tcW w:w="1045" w:type="dxa"/>
            <w:tcBorders>
              <w:top w:val="single" w:sz="4" w:space="0" w:color="000000"/>
              <w:left w:val="single" w:sz="12" w:space="0" w:color="000000"/>
              <w:bottom w:val="single" w:sz="4" w:space="0" w:color="000000"/>
              <w:right w:val="single" w:sz="12" w:space="0" w:color="000000"/>
            </w:tcBorders>
          </w:tcPr>
          <w:p w14:paraId="6E859C22" w14:textId="05474E8A" w:rsidR="00B0429D" w:rsidRDefault="00B0429D" w:rsidP="00543BC3">
            <w:pPr>
              <w:spacing w:after="0" w:line="259" w:lineRule="auto"/>
              <w:ind w:left="0" w:right="45" w:firstLine="0"/>
              <w:jc w:val="center"/>
            </w:pPr>
            <w:r>
              <w:rPr>
                <w:sz w:val="18"/>
              </w:rPr>
              <w:t>N/A</w:t>
            </w:r>
          </w:p>
        </w:tc>
        <w:tc>
          <w:tcPr>
            <w:tcW w:w="995" w:type="dxa"/>
            <w:tcBorders>
              <w:top w:val="single" w:sz="4" w:space="0" w:color="000000"/>
              <w:left w:val="single" w:sz="12" w:space="0" w:color="000000"/>
              <w:bottom w:val="single" w:sz="4" w:space="0" w:color="000000"/>
              <w:right w:val="single" w:sz="12" w:space="0" w:color="000000"/>
            </w:tcBorders>
          </w:tcPr>
          <w:p w14:paraId="16C3A6E3" w14:textId="1B9CAC12" w:rsidR="00B0429D" w:rsidRDefault="00B0429D" w:rsidP="00543BC3">
            <w:pPr>
              <w:spacing w:after="0" w:line="259" w:lineRule="auto"/>
              <w:ind w:left="0" w:right="46" w:firstLine="0"/>
              <w:jc w:val="center"/>
            </w:pPr>
            <w:r>
              <w:rPr>
                <w:b/>
                <w:sz w:val="18"/>
              </w:rPr>
              <w:t>524.2</w:t>
            </w:r>
          </w:p>
        </w:tc>
        <w:tc>
          <w:tcPr>
            <w:tcW w:w="1149" w:type="dxa"/>
            <w:tcBorders>
              <w:top w:val="single" w:sz="4" w:space="0" w:color="000000"/>
              <w:left w:val="single" w:sz="12" w:space="0" w:color="000000"/>
              <w:bottom w:val="single" w:sz="4" w:space="0" w:color="000000"/>
              <w:right w:val="single" w:sz="12" w:space="0" w:color="000000"/>
            </w:tcBorders>
          </w:tcPr>
          <w:p w14:paraId="6AE6008B" w14:textId="64820142" w:rsidR="00B0429D" w:rsidRDefault="00B0429D" w:rsidP="00543BC3">
            <w:pPr>
              <w:spacing w:after="0" w:line="259" w:lineRule="auto"/>
              <w:ind w:left="0" w:right="44" w:firstLine="0"/>
              <w:jc w:val="center"/>
            </w:pPr>
            <w:r>
              <w:rPr>
                <w:sz w:val="18"/>
              </w:rPr>
              <w:t>502.2</w:t>
            </w:r>
          </w:p>
        </w:tc>
      </w:tr>
      <w:tr w:rsidR="00B0429D" w14:paraId="050040D7" w14:textId="77777777" w:rsidTr="00C23B62">
        <w:trPr>
          <w:trHeight w:val="250"/>
        </w:trPr>
        <w:tc>
          <w:tcPr>
            <w:tcW w:w="3144" w:type="dxa"/>
            <w:tcBorders>
              <w:top w:val="single" w:sz="4" w:space="0" w:color="000000"/>
              <w:left w:val="single" w:sz="12" w:space="0" w:color="000000"/>
              <w:bottom w:val="single" w:sz="4" w:space="0" w:color="000000"/>
              <w:right w:val="single" w:sz="12" w:space="0" w:color="000000"/>
            </w:tcBorders>
          </w:tcPr>
          <w:p w14:paraId="36D35C1F" w14:textId="77777777" w:rsidR="00B0429D" w:rsidRDefault="00B0429D" w:rsidP="00B0429D">
            <w:pPr>
              <w:spacing w:after="0" w:line="259" w:lineRule="auto"/>
              <w:ind w:left="0" w:right="0" w:firstLine="0"/>
            </w:pPr>
            <w:r>
              <w:rPr>
                <w:sz w:val="18"/>
              </w:rPr>
              <w:t xml:space="preserve">Dibromochloromethane </w:t>
            </w:r>
          </w:p>
        </w:tc>
        <w:tc>
          <w:tcPr>
            <w:tcW w:w="1146" w:type="dxa"/>
            <w:tcBorders>
              <w:top w:val="single" w:sz="4" w:space="0" w:color="000000"/>
              <w:left w:val="single" w:sz="12" w:space="0" w:color="000000"/>
              <w:bottom w:val="single" w:sz="4" w:space="0" w:color="000000"/>
              <w:right w:val="single" w:sz="12" w:space="0" w:color="000000"/>
            </w:tcBorders>
          </w:tcPr>
          <w:p w14:paraId="6581D273" w14:textId="6A772F32" w:rsidR="00B0429D" w:rsidRDefault="00B0429D" w:rsidP="00543BC3">
            <w:pPr>
              <w:spacing w:after="0" w:line="259" w:lineRule="auto"/>
              <w:ind w:left="0" w:right="44" w:firstLine="0"/>
              <w:jc w:val="center"/>
            </w:pPr>
            <w:r>
              <w:rPr>
                <w:sz w:val="18"/>
              </w:rPr>
              <w:t>124-48-1</w:t>
            </w:r>
          </w:p>
        </w:tc>
        <w:tc>
          <w:tcPr>
            <w:tcW w:w="1063" w:type="dxa"/>
            <w:tcBorders>
              <w:top w:val="single" w:sz="4" w:space="0" w:color="000000"/>
              <w:left w:val="single" w:sz="12" w:space="0" w:color="000000"/>
              <w:bottom w:val="single" w:sz="4" w:space="0" w:color="000000"/>
              <w:right w:val="single" w:sz="12" w:space="0" w:color="000000"/>
            </w:tcBorders>
          </w:tcPr>
          <w:p w14:paraId="407360AA" w14:textId="795A726B" w:rsidR="00B0429D" w:rsidRDefault="00B0429D" w:rsidP="00543BC3">
            <w:pPr>
              <w:tabs>
                <w:tab w:val="center" w:pos="579"/>
              </w:tabs>
              <w:spacing w:after="0" w:line="259" w:lineRule="auto"/>
              <w:ind w:left="0" w:right="0" w:firstLine="0"/>
              <w:jc w:val="center"/>
            </w:pPr>
            <w:r>
              <w:rPr>
                <w:b/>
                <w:sz w:val="18"/>
              </w:rPr>
              <w:t>0.1</w:t>
            </w:r>
          </w:p>
        </w:tc>
        <w:tc>
          <w:tcPr>
            <w:tcW w:w="1042" w:type="dxa"/>
            <w:tcBorders>
              <w:top w:val="single" w:sz="4" w:space="0" w:color="000000"/>
              <w:left w:val="single" w:sz="12" w:space="0" w:color="000000"/>
              <w:bottom w:val="single" w:sz="4" w:space="0" w:color="000000"/>
              <w:right w:val="single" w:sz="12" w:space="0" w:color="000000"/>
            </w:tcBorders>
          </w:tcPr>
          <w:p w14:paraId="25504043" w14:textId="1DE46A3C" w:rsidR="00B0429D" w:rsidRDefault="00B0429D" w:rsidP="00543BC3">
            <w:pPr>
              <w:spacing w:after="0" w:line="259" w:lineRule="auto"/>
              <w:ind w:left="0" w:right="44" w:firstLine="0"/>
              <w:jc w:val="center"/>
            </w:pPr>
            <w:r>
              <w:rPr>
                <w:sz w:val="18"/>
              </w:rPr>
              <w:t>ug/L</w:t>
            </w:r>
          </w:p>
        </w:tc>
        <w:tc>
          <w:tcPr>
            <w:tcW w:w="946" w:type="dxa"/>
            <w:tcBorders>
              <w:top w:val="single" w:sz="4" w:space="0" w:color="000000"/>
              <w:left w:val="single" w:sz="12" w:space="0" w:color="000000"/>
              <w:bottom w:val="single" w:sz="4" w:space="0" w:color="000000"/>
              <w:right w:val="single" w:sz="12" w:space="0" w:color="000000"/>
            </w:tcBorders>
          </w:tcPr>
          <w:p w14:paraId="12BE1067" w14:textId="5ECC40E8" w:rsidR="00B0429D" w:rsidRDefault="00B0429D" w:rsidP="00543BC3">
            <w:pPr>
              <w:spacing w:after="0" w:line="259" w:lineRule="auto"/>
              <w:ind w:left="0" w:right="45" w:firstLine="0"/>
              <w:jc w:val="center"/>
            </w:pPr>
            <w:r>
              <w:rPr>
                <w:sz w:val="18"/>
              </w:rPr>
              <w:t>N/A</w:t>
            </w:r>
          </w:p>
        </w:tc>
        <w:tc>
          <w:tcPr>
            <w:tcW w:w="1045" w:type="dxa"/>
            <w:tcBorders>
              <w:top w:val="single" w:sz="4" w:space="0" w:color="000000"/>
              <w:left w:val="single" w:sz="12" w:space="0" w:color="000000"/>
              <w:bottom w:val="single" w:sz="4" w:space="0" w:color="000000"/>
              <w:right w:val="single" w:sz="12" w:space="0" w:color="000000"/>
            </w:tcBorders>
          </w:tcPr>
          <w:p w14:paraId="2087EC87" w14:textId="5CE2FE90" w:rsidR="00B0429D" w:rsidRDefault="00B0429D" w:rsidP="00543BC3">
            <w:pPr>
              <w:spacing w:after="0" w:line="259" w:lineRule="auto"/>
              <w:ind w:left="0" w:right="45" w:firstLine="0"/>
              <w:jc w:val="center"/>
            </w:pPr>
            <w:r>
              <w:rPr>
                <w:sz w:val="18"/>
              </w:rPr>
              <w:t>N/A</w:t>
            </w:r>
          </w:p>
        </w:tc>
        <w:tc>
          <w:tcPr>
            <w:tcW w:w="995" w:type="dxa"/>
            <w:tcBorders>
              <w:top w:val="single" w:sz="4" w:space="0" w:color="000000"/>
              <w:left w:val="single" w:sz="12" w:space="0" w:color="000000"/>
              <w:bottom w:val="single" w:sz="4" w:space="0" w:color="000000"/>
              <w:right w:val="single" w:sz="12" w:space="0" w:color="000000"/>
            </w:tcBorders>
          </w:tcPr>
          <w:p w14:paraId="1989B7DC" w14:textId="0B4CC4F0" w:rsidR="00B0429D" w:rsidRDefault="00B0429D" w:rsidP="00543BC3">
            <w:pPr>
              <w:spacing w:after="0" w:line="259" w:lineRule="auto"/>
              <w:ind w:left="0" w:right="46" w:firstLine="0"/>
              <w:jc w:val="center"/>
            </w:pPr>
            <w:r>
              <w:rPr>
                <w:b/>
                <w:sz w:val="18"/>
              </w:rPr>
              <w:t>524.2</w:t>
            </w:r>
          </w:p>
        </w:tc>
        <w:tc>
          <w:tcPr>
            <w:tcW w:w="1149" w:type="dxa"/>
            <w:tcBorders>
              <w:top w:val="single" w:sz="4" w:space="0" w:color="000000"/>
              <w:left w:val="single" w:sz="12" w:space="0" w:color="000000"/>
              <w:bottom w:val="single" w:sz="4" w:space="0" w:color="000000"/>
              <w:right w:val="single" w:sz="12" w:space="0" w:color="000000"/>
            </w:tcBorders>
          </w:tcPr>
          <w:p w14:paraId="535F2AF8" w14:textId="1B2BF0E0" w:rsidR="00B0429D" w:rsidRDefault="00B0429D" w:rsidP="00543BC3">
            <w:pPr>
              <w:spacing w:after="0" w:line="259" w:lineRule="auto"/>
              <w:ind w:left="0" w:right="44" w:firstLine="0"/>
              <w:jc w:val="center"/>
            </w:pPr>
            <w:r>
              <w:rPr>
                <w:sz w:val="18"/>
              </w:rPr>
              <w:t>502.2</w:t>
            </w:r>
          </w:p>
        </w:tc>
      </w:tr>
      <w:tr w:rsidR="00B0429D" w14:paraId="6900B212" w14:textId="77777777" w:rsidTr="00C23B62">
        <w:trPr>
          <w:trHeight w:val="250"/>
        </w:trPr>
        <w:tc>
          <w:tcPr>
            <w:tcW w:w="3144" w:type="dxa"/>
            <w:tcBorders>
              <w:top w:val="single" w:sz="4" w:space="0" w:color="000000"/>
              <w:left w:val="single" w:sz="12" w:space="0" w:color="000000"/>
              <w:bottom w:val="single" w:sz="4" w:space="0" w:color="000000"/>
              <w:right w:val="single" w:sz="12" w:space="0" w:color="000000"/>
            </w:tcBorders>
          </w:tcPr>
          <w:p w14:paraId="75C43C4A" w14:textId="77777777" w:rsidR="00B0429D" w:rsidRDefault="00B0429D" w:rsidP="00B0429D">
            <w:pPr>
              <w:spacing w:after="0" w:line="259" w:lineRule="auto"/>
              <w:ind w:left="0" w:right="0" w:firstLine="0"/>
            </w:pPr>
            <w:r>
              <w:rPr>
                <w:sz w:val="18"/>
              </w:rPr>
              <w:t xml:space="preserve">1,2-Dibromo-3-Chloropropane </w:t>
            </w:r>
          </w:p>
        </w:tc>
        <w:tc>
          <w:tcPr>
            <w:tcW w:w="1146" w:type="dxa"/>
            <w:tcBorders>
              <w:top w:val="single" w:sz="4" w:space="0" w:color="000000"/>
              <w:left w:val="single" w:sz="12" w:space="0" w:color="000000"/>
              <w:bottom w:val="single" w:sz="4" w:space="0" w:color="000000"/>
              <w:right w:val="single" w:sz="12" w:space="0" w:color="000000"/>
            </w:tcBorders>
          </w:tcPr>
          <w:p w14:paraId="0449C7F7" w14:textId="7FC47200" w:rsidR="00B0429D" w:rsidRDefault="00B0429D" w:rsidP="00543BC3">
            <w:pPr>
              <w:spacing w:after="0" w:line="259" w:lineRule="auto"/>
              <w:ind w:left="0" w:right="44" w:firstLine="0"/>
              <w:jc w:val="center"/>
            </w:pPr>
            <w:r>
              <w:rPr>
                <w:sz w:val="18"/>
              </w:rPr>
              <w:t>96-12-8</w:t>
            </w:r>
          </w:p>
        </w:tc>
        <w:tc>
          <w:tcPr>
            <w:tcW w:w="1063" w:type="dxa"/>
            <w:tcBorders>
              <w:top w:val="single" w:sz="4" w:space="0" w:color="000000"/>
              <w:left w:val="single" w:sz="12" w:space="0" w:color="000000"/>
              <w:bottom w:val="single" w:sz="4" w:space="0" w:color="000000"/>
              <w:right w:val="single" w:sz="12" w:space="0" w:color="000000"/>
            </w:tcBorders>
          </w:tcPr>
          <w:p w14:paraId="1D89038F" w14:textId="2E5665C8" w:rsidR="00B0429D" w:rsidRDefault="00B0429D" w:rsidP="00543BC3">
            <w:pPr>
              <w:tabs>
                <w:tab w:val="right" w:pos="892"/>
              </w:tabs>
              <w:spacing w:after="0" w:line="259" w:lineRule="auto"/>
              <w:ind w:left="0" w:right="0" w:firstLine="0"/>
              <w:jc w:val="center"/>
            </w:pPr>
            <w:r>
              <w:rPr>
                <w:b/>
                <w:sz w:val="18"/>
              </w:rPr>
              <w:t>0.05</w:t>
            </w:r>
          </w:p>
        </w:tc>
        <w:tc>
          <w:tcPr>
            <w:tcW w:w="1042" w:type="dxa"/>
            <w:tcBorders>
              <w:top w:val="single" w:sz="4" w:space="0" w:color="000000"/>
              <w:left w:val="single" w:sz="12" w:space="0" w:color="000000"/>
              <w:bottom w:val="single" w:sz="4" w:space="0" w:color="000000"/>
              <w:right w:val="single" w:sz="12" w:space="0" w:color="000000"/>
            </w:tcBorders>
          </w:tcPr>
          <w:p w14:paraId="2C5A3A99" w14:textId="438B8631" w:rsidR="00B0429D" w:rsidRDefault="00B0429D" w:rsidP="00543BC3">
            <w:pPr>
              <w:spacing w:after="0" w:line="259" w:lineRule="auto"/>
              <w:ind w:left="0" w:right="44" w:firstLine="0"/>
              <w:jc w:val="center"/>
            </w:pPr>
            <w:r>
              <w:rPr>
                <w:sz w:val="18"/>
              </w:rPr>
              <w:t>ug/L</w:t>
            </w:r>
          </w:p>
        </w:tc>
        <w:tc>
          <w:tcPr>
            <w:tcW w:w="946" w:type="dxa"/>
            <w:tcBorders>
              <w:top w:val="single" w:sz="4" w:space="0" w:color="000000"/>
              <w:left w:val="single" w:sz="12" w:space="0" w:color="000000"/>
              <w:bottom w:val="single" w:sz="4" w:space="0" w:color="000000"/>
              <w:right w:val="single" w:sz="12" w:space="0" w:color="000000"/>
            </w:tcBorders>
          </w:tcPr>
          <w:p w14:paraId="1C86DB86" w14:textId="5AA7EC27" w:rsidR="00B0429D" w:rsidRDefault="00B0429D" w:rsidP="00543BC3">
            <w:pPr>
              <w:spacing w:after="0" w:line="259" w:lineRule="auto"/>
              <w:ind w:left="0" w:right="45" w:firstLine="0"/>
              <w:jc w:val="center"/>
            </w:pPr>
            <w:r>
              <w:rPr>
                <w:sz w:val="18"/>
              </w:rPr>
              <w:t>N/A</w:t>
            </w:r>
          </w:p>
        </w:tc>
        <w:tc>
          <w:tcPr>
            <w:tcW w:w="1045" w:type="dxa"/>
            <w:tcBorders>
              <w:top w:val="single" w:sz="4" w:space="0" w:color="000000"/>
              <w:left w:val="single" w:sz="12" w:space="0" w:color="000000"/>
              <w:bottom w:val="single" w:sz="4" w:space="0" w:color="000000"/>
              <w:right w:val="single" w:sz="12" w:space="0" w:color="000000"/>
            </w:tcBorders>
          </w:tcPr>
          <w:p w14:paraId="7CA05248" w14:textId="771B72A6" w:rsidR="00B0429D" w:rsidRDefault="00B0429D" w:rsidP="00543BC3">
            <w:pPr>
              <w:spacing w:after="0" w:line="259" w:lineRule="auto"/>
              <w:ind w:left="0" w:right="45" w:firstLine="0"/>
              <w:jc w:val="center"/>
            </w:pPr>
            <w:r>
              <w:rPr>
                <w:sz w:val="18"/>
              </w:rPr>
              <w:t>N/A</w:t>
            </w:r>
          </w:p>
        </w:tc>
        <w:tc>
          <w:tcPr>
            <w:tcW w:w="995" w:type="dxa"/>
            <w:tcBorders>
              <w:top w:val="single" w:sz="4" w:space="0" w:color="000000"/>
              <w:left w:val="single" w:sz="12" w:space="0" w:color="000000"/>
              <w:bottom w:val="single" w:sz="4" w:space="0" w:color="000000"/>
              <w:right w:val="single" w:sz="12" w:space="0" w:color="000000"/>
            </w:tcBorders>
          </w:tcPr>
          <w:p w14:paraId="2D81939C" w14:textId="730A4C61" w:rsidR="00B0429D" w:rsidRDefault="00B0429D" w:rsidP="00543BC3">
            <w:pPr>
              <w:spacing w:after="0" w:line="259" w:lineRule="auto"/>
              <w:ind w:left="0" w:right="46" w:firstLine="0"/>
              <w:jc w:val="center"/>
            </w:pPr>
            <w:r>
              <w:rPr>
                <w:b/>
                <w:sz w:val="18"/>
              </w:rPr>
              <w:t>524.2</w:t>
            </w:r>
          </w:p>
        </w:tc>
        <w:tc>
          <w:tcPr>
            <w:tcW w:w="1149" w:type="dxa"/>
            <w:tcBorders>
              <w:top w:val="single" w:sz="4" w:space="0" w:color="000000"/>
              <w:left w:val="single" w:sz="12" w:space="0" w:color="000000"/>
              <w:bottom w:val="single" w:sz="4" w:space="0" w:color="000000"/>
              <w:right w:val="single" w:sz="12" w:space="0" w:color="000000"/>
            </w:tcBorders>
          </w:tcPr>
          <w:p w14:paraId="5F08A076" w14:textId="6D210BAA" w:rsidR="00B0429D" w:rsidRDefault="00B0429D" w:rsidP="00543BC3">
            <w:pPr>
              <w:spacing w:after="0" w:line="259" w:lineRule="auto"/>
              <w:ind w:left="0" w:right="44" w:firstLine="0"/>
              <w:jc w:val="center"/>
            </w:pPr>
            <w:r>
              <w:rPr>
                <w:sz w:val="18"/>
              </w:rPr>
              <w:t>502.2</w:t>
            </w:r>
          </w:p>
        </w:tc>
      </w:tr>
      <w:tr w:rsidR="00B0429D" w14:paraId="6E78E459" w14:textId="77777777" w:rsidTr="00C23B62">
        <w:trPr>
          <w:trHeight w:val="250"/>
        </w:trPr>
        <w:tc>
          <w:tcPr>
            <w:tcW w:w="3144" w:type="dxa"/>
            <w:tcBorders>
              <w:top w:val="single" w:sz="4" w:space="0" w:color="000000"/>
              <w:left w:val="single" w:sz="12" w:space="0" w:color="000000"/>
              <w:bottom w:val="single" w:sz="4" w:space="0" w:color="000000"/>
              <w:right w:val="single" w:sz="12" w:space="0" w:color="000000"/>
            </w:tcBorders>
          </w:tcPr>
          <w:p w14:paraId="5ABC4942" w14:textId="77777777" w:rsidR="00B0429D" w:rsidRDefault="00B0429D" w:rsidP="00B0429D">
            <w:pPr>
              <w:spacing w:after="0" w:line="259" w:lineRule="auto"/>
              <w:ind w:left="0" w:right="0" w:firstLine="0"/>
            </w:pPr>
            <w:r>
              <w:rPr>
                <w:sz w:val="18"/>
              </w:rPr>
              <w:t xml:space="preserve">1,2-Dibromoethane (EDB) </w:t>
            </w:r>
          </w:p>
        </w:tc>
        <w:tc>
          <w:tcPr>
            <w:tcW w:w="1146" w:type="dxa"/>
            <w:tcBorders>
              <w:top w:val="single" w:sz="4" w:space="0" w:color="000000"/>
              <w:left w:val="single" w:sz="12" w:space="0" w:color="000000"/>
              <w:bottom w:val="single" w:sz="4" w:space="0" w:color="000000"/>
              <w:right w:val="single" w:sz="12" w:space="0" w:color="000000"/>
            </w:tcBorders>
          </w:tcPr>
          <w:p w14:paraId="04535853" w14:textId="27C95E4A" w:rsidR="00B0429D" w:rsidRDefault="00B0429D" w:rsidP="00543BC3">
            <w:pPr>
              <w:spacing w:after="0" w:line="259" w:lineRule="auto"/>
              <w:ind w:left="0" w:right="44" w:firstLine="0"/>
              <w:jc w:val="center"/>
            </w:pPr>
            <w:r>
              <w:rPr>
                <w:sz w:val="18"/>
              </w:rPr>
              <w:t>106-93-4</w:t>
            </w:r>
          </w:p>
        </w:tc>
        <w:tc>
          <w:tcPr>
            <w:tcW w:w="1063" w:type="dxa"/>
            <w:tcBorders>
              <w:top w:val="single" w:sz="4" w:space="0" w:color="000000"/>
              <w:left w:val="single" w:sz="12" w:space="0" w:color="000000"/>
              <w:bottom w:val="single" w:sz="4" w:space="0" w:color="000000"/>
              <w:right w:val="single" w:sz="12" w:space="0" w:color="000000"/>
            </w:tcBorders>
          </w:tcPr>
          <w:p w14:paraId="0C70187C" w14:textId="7332F527" w:rsidR="00B0429D" w:rsidRDefault="00B0429D" w:rsidP="00543BC3">
            <w:pPr>
              <w:tabs>
                <w:tab w:val="center" w:pos="579"/>
              </w:tabs>
              <w:spacing w:after="0" w:line="259" w:lineRule="auto"/>
              <w:ind w:left="0" w:right="0" w:firstLine="0"/>
              <w:jc w:val="center"/>
            </w:pPr>
            <w:r>
              <w:rPr>
                <w:b/>
                <w:sz w:val="18"/>
              </w:rPr>
              <w:t>0.1</w:t>
            </w:r>
          </w:p>
        </w:tc>
        <w:tc>
          <w:tcPr>
            <w:tcW w:w="1042" w:type="dxa"/>
            <w:tcBorders>
              <w:top w:val="single" w:sz="4" w:space="0" w:color="000000"/>
              <w:left w:val="single" w:sz="12" w:space="0" w:color="000000"/>
              <w:bottom w:val="single" w:sz="4" w:space="0" w:color="000000"/>
              <w:right w:val="single" w:sz="12" w:space="0" w:color="000000"/>
            </w:tcBorders>
          </w:tcPr>
          <w:p w14:paraId="43680698" w14:textId="04F3C2D2" w:rsidR="00B0429D" w:rsidRDefault="00B0429D" w:rsidP="00543BC3">
            <w:pPr>
              <w:spacing w:after="0" w:line="259" w:lineRule="auto"/>
              <w:ind w:left="0" w:right="44" w:firstLine="0"/>
              <w:jc w:val="center"/>
            </w:pPr>
            <w:r>
              <w:rPr>
                <w:sz w:val="18"/>
              </w:rPr>
              <w:t>ug/L</w:t>
            </w:r>
          </w:p>
        </w:tc>
        <w:tc>
          <w:tcPr>
            <w:tcW w:w="946" w:type="dxa"/>
            <w:tcBorders>
              <w:top w:val="single" w:sz="4" w:space="0" w:color="000000"/>
              <w:left w:val="single" w:sz="12" w:space="0" w:color="000000"/>
              <w:bottom w:val="single" w:sz="4" w:space="0" w:color="000000"/>
              <w:right w:val="single" w:sz="12" w:space="0" w:color="000000"/>
            </w:tcBorders>
          </w:tcPr>
          <w:p w14:paraId="08D1BBE1" w14:textId="1685AA43" w:rsidR="00B0429D" w:rsidRDefault="00B0429D" w:rsidP="00543BC3">
            <w:pPr>
              <w:spacing w:after="0" w:line="259" w:lineRule="auto"/>
              <w:ind w:left="0" w:right="45" w:firstLine="0"/>
              <w:jc w:val="center"/>
            </w:pPr>
            <w:r>
              <w:rPr>
                <w:sz w:val="18"/>
              </w:rPr>
              <w:t>N/A</w:t>
            </w:r>
          </w:p>
        </w:tc>
        <w:tc>
          <w:tcPr>
            <w:tcW w:w="1045" w:type="dxa"/>
            <w:tcBorders>
              <w:top w:val="single" w:sz="4" w:space="0" w:color="000000"/>
              <w:left w:val="single" w:sz="12" w:space="0" w:color="000000"/>
              <w:bottom w:val="single" w:sz="4" w:space="0" w:color="000000"/>
              <w:right w:val="single" w:sz="12" w:space="0" w:color="000000"/>
            </w:tcBorders>
          </w:tcPr>
          <w:p w14:paraId="7121653A" w14:textId="20E19A1E" w:rsidR="00B0429D" w:rsidRDefault="00B0429D" w:rsidP="00543BC3">
            <w:pPr>
              <w:spacing w:after="0" w:line="259" w:lineRule="auto"/>
              <w:ind w:left="0" w:right="45" w:firstLine="0"/>
              <w:jc w:val="center"/>
            </w:pPr>
            <w:r>
              <w:rPr>
                <w:sz w:val="18"/>
              </w:rPr>
              <w:t>N/A</w:t>
            </w:r>
          </w:p>
        </w:tc>
        <w:tc>
          <w:tcPr>
            <w:tcW w:w="995" w:type="dxa"/>
            <w:tcBorders>
              <w:top w:val="single" w:sz="4" w:space="0" w:color="000000"/>
              <w:left w:val="single" w:sz="12" w:space="0" w:color="000000"/>
              <w:bottom w:val="single" w:sz="4" w:space="0" w:color="000000"/>
              <w:right w:val="single" w:sz="12" w:space="0" w:color="000000"/>
            </w:tcBorders>
          </w:tcPr>
          <w:p w14:paraId="29354EA5" w14:textId="09E23935" w:rsidR="00B0429D" w:rsidRDefault="00B0429D" w:rsidP="00543BC3">
            <w:pPr>
              <w:spacing w:after="0" w:line="259" w:lineRule="auto"/>
              <w:ind w:left="0" w:right="46" w:firstLine="0"/>
              <w:jc w:val="center"/>
            </w:pPr>
            <w:r>
              <w:rPr>
                <w:b/>
                <w:sz w:val="18"/>
              </w:rPr>
              <w:t>524.2</w:t>
            </w:r>
          </w:p>
        </w:tc>
        <w:tc>
          <w:tcPr>
            <w:tcW w:w="1149" w:type="dxa"/>
            <w:tcBorders>
              <w:top w:val="single" w:sz="4" w:space="0" w:color="000000"/>
              <w:left w:val="single" w:sz="12" w:space="0" w:color="000000"/>
              <w:bottom w:val="single" w:sz="4" w:space="0" w:color="000000"/>
              <w:right w:val="single" w:sz="12" w:space="0" w:color="000000"/>
            </w:tcBorders>
          </w:tcPr>
          <w:p w14:paraId="7D16CB0E" w14:textId="46B96498" w:rsidR="00B0429D" w:rsidRDefault="00B0429D" w:rsidP="00543BC3">
            <w:pPr>
              <w:spacing w:after="0" w:line="259" w:lineRule="auto"/>
              <w:ind w:left="0" w:right="44" w:firstLine="0"/>
              <w:jc w:val="center"/>
            </w:pPr>
            <w:r>
              <w:rPr>
                <w:sz w:val="18"/>
              </w:rPr>
              <w:t>502.2</w:t>
            </w:r>
          </w:p>
        </w:tc>
      </w:tr>
      <w:tr w:rsidR="00B0429D" w14:paraId="4551AC16" w14:textId="77777777" w:rsidTr="00C23B62">
        <w:trPr>
          <w:trHeight w:val="250"/>
        </w:trPr>
        <w:tc>
          <w:tcPr>
            <w:tcW w:w="3144" w:type="dxa"/>
            <w:tcBorders>
              <w:top w:val="single" w:sz="4" w:space="0" w:color="000000"/>
              <w:left w:val="single" w:sz="12" w:space="0" w:color="000000"/>
              <w:bottom w:val="single" w:sz="4" w:space="0" w:color="000000"/>
              <w:right w:val="single" w:sz="12" w:space="0" w:color="000000"/>
            </w:tcBorders>
          </w:tcPr>
          <w:p w14:paraId="2EDD2BBC" w14:textId="77777777" w:rsidR="00B0429D" w:rsidRDefault="00B0429D" w:rsidP="00B0429D">
            <w:pPr>
              <w:spacing w:after="0" w:line="259" w:lineRule="auto"/>
              <w:ind w:left="0" w:right="0" w:firstLine="0"/>
            </w:pPr>
            <w:proofErr w:type="spellStart"/>
            <w:r>
              <w:rPr>
                <w:sz w:val="18"/>
              </w:rPr>
              <w:t>Dibromomethane</w:t>
            </w:r>
            <w:proofErr w:type="spellEnd"/>
            <w:r>
              <w:rPr>
                <w:sz w:val="18"/>
              </w:rPr>
              <w:t xml:space="preserve"> </w:t>
            </w:r>
          </w:p>
        </w:tc>
        <w:tc>
          <w:tcPr>
            <w:tcW w:w="1146" w:type="dxa"/>
            <w:tcBorders>
              <w:top w:val="single" w:sz="4" w:space="0" w:color="000000"/>
              <w:left w:val="single" w:sz="12" w:space="0" w:color="000000"/>
              <w:bottom w:val="single" w:sz="4" w:space="0" w:color="000000"/>
              <w:right w:val="single" w:sz="12" w:space="0" w:color="000000"/>
            </w:tcBorders>
          </w:tcPr>
          <w:p w14:paraId="75E39972" w14:textId="5154F9DA" w:rsidR="00B0429D" w:rsidRDefault="00B0429D" w:rsidP="00543BC3">
            <w:pPr>
              <w:spacing w:after="0" w:line="259" w:lineRule="auto"/>
              <w:ind w:left="0" w:right="44" w:firstLine="0"/>
              <w:jc w:val="center"/>
            </w:pPr>
            <w:r>
              <w:rPr>
                <w:sz w:val="18"/>
              </w:rPr>
              <w:t>74-95-3</w:t>
            </w:r>
          </w:p>
        </w:tc>
        <w:tc>
          <w:tcPr>
            <w:tcW w:w="1063" w:type="dxa"/>
            <w:tcBorders>
              <w:top w:val="single" w:sz="4" w:space="0" w:color="000000"/>
              <w:left w:val="single" w:sz="12" w:space="0" w:color="000000"/>
              <w:bottom w:val="single" w:sz="4" w:space="0" w:color="000000"/>
              <w:right w:val="single" w:sz="12" w:space="0" w:color="000000"/>
            </w:tcBorders>
          </w:tcPr>
          <w:p w14:paraId="37829590" w14:textId="440209D8" w:rsidR="00B0429D" w:rsidRDefault="00B0429D" w:rsidP="00543BC3">
            <w:pPr>
              <w:tabs>
                <w:tab w:val="center" w:pos="534"/>
              </w:tabs>
              <w:spacing w:after="0" w:line="259" w:lineRule="auto"/>
              <w:ind w:left="0" w:right="0" w:firstLine="0"/>
              <w:jc w:val="center"/>
            </w:pPr>
            <w:r>
              <w:rPr>
                <w:sz w:val="18"/>
              </w:rPr>
              <w:t>1</w:t>
            </w:r>
          </w:p>
        </w:tc>
        <w:tc>
          <w:tcPr>
            <w:tcW w:w="1042" w:type="dxa"/>
            <w:tcBorders>
              <w:top w:val="single" w:sz="4" w:space="0" w:color="000000"/>
              <w:left w:val="single" w:sz="12" w:space="0" w:color="000000"/>
              <w:bottom w:val="single" w:sz="4" w:space="0" w:color="000000"/>
              <w:right w:val="single" w:sz="12" w:space="0" w:color="000000"/>
            </w:tcBorders>
          </w:tcPr>
          <w:p w14:paraId="27B08590" w14:textId="1D4081A8" w:rsidR="00B0429D" w:rsidRDefault="00B0429D" w:rsidP="00543BC3">
            <w:pPr>
              <w:spacing w:after="0" w:line="259" w:lineRule="auto"/>
              <w:ind w:left="0" w:right="44" w:firstLine="0"/>
              <w:jc w:val="center"/>
            </w:pPr>
            <w:r>
              <w:rPr>
                <w:sz w:val="18"/>
              </w:rPr>
              <w:t>ug/L</w:t>
            </w:r>
          </w:p>
        </w:tc>
        <w:tc>
          <w:tcPr>
            <w:tcW w:w="946" w:type="dxa"/>
            <w:tcBorders>
              <w:top w:val="single" w:sz="4" w:space="0" w:color="000000"/>
              <w:left w:val="single" w:sz="12" w:space="0" w:color="000000"/>
              <w:bottom w:val="single" w:sz="4" w:space="0" w:color="000000"/>
              <w:right w:val="single" w:sz="12" w:space="0" w:color="000000"/>
            </w:tcBorders>
          </w:tcPr>
          <w:p w14:paraId="3A00AD65" w14:textId="4EBAC9DF" w:rsidR="00B0429D" w:rsidRDefault="00B0429D" w:rsidP="00543BC3">
            <w:pPr>
              <w:spacing w:after="0" w:line="259" w:lineRule="auto"/>
              <w:ind w:left="0" w:right="45" w:firstLine="0"/>
              <w:jc w:val="center"/>
            </w:pPr>
            <w:r>
              <w:rPr>
                <w:sz w:val="18"/>
              </w:rPr>
              <w:t>N/A</w:t>
            </w:r>
          </w:p>
        </w:tc>
        <w:tc>
          <w:tcPr>
            <w:tcW w:w="1045" w:type="dxa"/>
            <w:tcBorders>
              <w:top w:val="single" w:sz="4" w:space="0" w:color="000000"/>
              <w:left w:val="single" w:sz="12" w:space="0" w:color="000000"/>
              <w:bottom w:val="single" w:sz="4" w:space="0" w:color="000000"/>
              <w:right w:val="single" w:sz="12" w:space="0" w:color="000000"/>
            </w:tcBorders>
          </w:tcPr>
          <w:p w14:paraId="4708CB7D" w14:textId="6EDF408F" w:rsidR="00B0429D" w:rsidRDefault="00B0429D" w:rsidP="00543BC3">
            <w:pPr>
              <w:spacing w:after="0" w:line="259" w:lineRule="auto"/>
              <w:ind w:left="0" w:right="45" w:firstLine="0"/>
              <w:jc w:val="center"/>
            </w:pPr>
            <w:r>
              <w:rPr>
                <w:sz w:val="18"/>
              </w:rPr>
              <w:t>N/A</w:t>
            </w:r>
          </w:p>
        </w:tc>
        <w:tc>
          <w:tcPr>
            <w:tcW w:w="995" w:type="dxa"/>
            <w:tcBorders>
              <w:top w:val="single" w:sz="4" w:space="0" w:color="000000"/>
              <w:left w:val="single" w:sz="12" w:space="0" w:color="000000"/>
              <w:bottom w:val="single" w:sz="4" w:space="0" w:color="000000"/>
              <w:right w:val="single" w:sz="12" w:space="0" w:color="000000"/>
            </w:tcBorders>
          </w:tcPr>
          <w:p w14:paraId="37736569" w14:textId="05BC91E8" w:rsidR="00B0429D" w:rsidRDefault="00B0429D" w:rsidP="00543BC3">
            <w:pPr>
              <w:spacing w:after="0" w:line="259" w:lineRule="auto"/>
              <w:ind w:left="0" w:right="46" w:firstLine="0"/>
              <w:jc w:val="center"/>
            </w:pPr>
            <w:r>
              <w:rPr>
                <w:b/>
                <w:sz w:val="18"/>
              </w:rPr>
              <w:t>524.2</w:t>
            </w:r>
          </w:p>
        </w:tc>
        <w:tc>
          <w:tcPr>
            <w:tcW w:w="1149" w:type="dxa"/>
            <w:tcBorders>
              <w:top w:val="single" w:sz="4" w:space="0" w:color="000000"/>
              <w:left w:val="single" w:sz="12" w:space="0" w:color="000000"/>
              <w:bottom w:val="single" w:sz="4" w:space="0" w:color="000000"/>
              <w:right w:val="single" w:sz="12" w:space="0" w:color="000000"/>
            </w:tcBorders>
          </w:tcPr>
          <w:p w14:paraId="61062F4E" w14:textId="2E3630BF" w:rsidR="00B0429D" w:rsidRDefault="00B0429D" w:rsidP="00543BC3">
            <w:pPr>
              <w:spacing w:after="0" w:line="259" w:lineRule="auto"/>
              <w:ind w:left="0" w:right="44" w:firstLine="0"/>
              <w:jc w:val="center"/>
            </w:pPr>
            <w:r>
              <w:rPr>
                <w:sz w:val="18"/>
              </w:rPr>
              <w:t>502.2</w:t>
            </w:r>
          </w:p>
        </w:tc>
      </w:tr>
      <w:tr w:rsidR="00B0429D" w14:paraId="0748368E" w14:textId="77777777" w:rsidTr="00C23B62">
        <w:trPr>
          <w:trHeight w:val="250"/>
        </w:trPr>
        <w:tc>
          <w:tcPr>
            <w:tcW w:w="3144" w:type="dxa"/>
            <w:tcBorders>
              <w:top w:val="single" w:sz="4" w:space="0" w:color="000000"/>
              <w:left w:val="single" w:sz="12" w:space="0" w:color="000000"/>
              <w:bottom w:val="single" w:sz="4" w:space="0" w:color="000000"/>
              <w:right w:val="single" w:sz="12" w:space="0" w:color="000000"/>
            </w:tcBorders>
          </w:tcPr>
          <w:p w14:paraId="69439F48" w14:textId="77777777" w:rsidR="00B0429D" w:rsidRDefault="00B0429D" w:rsidP="00B0429D">
            <w:pPr>
              <w:spacing w:after="0" w:line="259" w:lineRule="auto"/>
              <w:ind w:left="0" w:right="0" w:firstLine="0"/>
            </w:pPr>
            <w:r>
              <w:rPr>
                <w:sz w:val="18"/>
              </w:rPr>
              <w:t xml:space="preserve">1,2-Dichlorobenzene </w:t>
            </w:r>
          </w:p>
        </w:tc>
        <w:tc>
          <w:tcPr>
            <w:tcW w:w="1146" w:type="dxa"/>
            <w:tcBorders>
              <w:top w:val="single" w:sz="4" w:space="0" w:color="000000"/>
              <w:left w:val="single" w:sz="12" w:space="0" w:color="000000"/>
              <w:bottom w:val="single" w:sz="4" w:space="0" w:color="000000"/>
              <w:right w:val="single" w:sz="12" w:space="0" w:color="000000"/>
            </w:tcBorders>
          </w:tcPr>
          <w:p w14:paraId="62427E72" w14:textId="6FF8E374" w:rsidR="00B0429D" w:rsidRDefault="00B0429D" w:rsidP="00543BC3">
            <w:pPr>
              <w:spacing w:after="0" w:line="259" w:lineRule="auto"/>
              <w:ind w:left="0" w:right="44" w:firstLine="0"/>
              <w:jc w:val="center"/>
            </w:pPr>
            <w:r>
              <w:rPr>
                <w:sz w:val="18"/>
              </w:rPr>
              <w:t>95-50-1</w:t>
            </w:r>
          </w:p>
        </w:tc>
        <w:tc>
          <w:tcPr>
            <w:tcW w:w="1063" w:type="dxa"/>
            <w:tcBorders>
              <w:top w:val="single" w:sz="4" w:space="0" w:color="000000"/>
              <w:left w:val="single" w:sz="12" w:space="0" w:color="000000"/>
              <w:bottom w:val="single" w:sz="4" w:space="0" w:color="000000"/>
              <w:right w:val="single" w:sz="12" w:space="0" w:color="000000"/>
            </w:tcBorders>
          </w:tcPr>
          <w:p w14:paraId="2BF9CDD5" w14:textId="3A3AD1B3" w:rsidR="00B0429D" w:rsidRDefault="00B0429D" w:rsidP="00543BC3">
            <w:pPr>
              <w:tabs>
                <w:tab w:val="center" w:pos="579"/>
              </w:tabs>
              <w:spacing w:after="0" w:line="259" w:lineRule="auto"/>
              <w:ind w:left="0" w:right="0" w:firstLine="0"/>
              <w:jc w:val="center"/>
            </w:pPr>
            <w:r>
              <w:rPr>
                <w:sz w:val="18"/>
              </w:rPr>
              <w:t>0.5</w:t>
            </w:r>
          </w:p>
        </w:tc>
        <w:tc>
          <w:tcPr>
            <w:tcW w:w="1042" w:type="dxa"/>
            <w:tcBorders>
              <w:top w:val="single" w:sz="4" w:space="0" w:color="000000"/>
              <w:left w:val="single" w:sz="12" w:space="0" w:color="000000"/>
              <w:bottom w:val="single" w:sz="4" w:space="0" w:color="000000"/>
              <w:right w:val="single" w:sz="12" w:space="0" w:color="000000"/>
            </w:tcBorders>
          </w:tcPr>
          <w:p w14:paraId="295A25DE" w14:textId="7D8BA3E7" w:rsidR="00B0429D" w:rsidRDefault="00B0429D" w:rsidP="00543BC3">
            <w:pPr>
              <w:spacing w:after="0" w:line="259" w:lineRule="auto"/>
              <w:ind w:left="0" w:right="44" w:firstLine="0"/>
              <w:jc w:val="center"/>
            </w:pPr>
            <w:r>
              <w:rPr>
                <w:sz w:val="18"/>
              </w:rPr>
              <w:t>ug/L</w:t>
            </w:r>
          </w:p>
        </w:tc>
        <w:tc>
          <w:tcPr>
            <w:tcW w:w="946" w:type="dxa"/>
            <w:tcBorders>
              <w:top w:val="single" w:sz="4" w:space="0" w:color="000000"/>
              <w:left w:val="single" w:sz="12" w:space="0" w:color="000000"/>
              <w:bottom w:val="single" w:sz="4" w:space="0" w:color="000000"/>
              <w:right w:val="single" w:sz="12" w:space="0" w:color="000000"/>
            </w:tcBorders>
          </w:tcPr>
          <w:p w14:paraId="026B860D" w14:textId="711BD9FD" w:rsidR="00B0429D" w:rsidRDefault="00B0429D" w:rsidP="00543BC3">
            <w:pPr>
              <w:spacing w:after="0" w:line="259" w:lineRule="auto"/>
              <w:ind w:left="0" w:right="45" w:firstLine="0"/>
              <w:jc w:val="center"/>
            </w:pPr>
            <w:r>
              <w:rPr>
                <w:sz w:val="18"/>
              </w:rPr>
              <w:t>N/A</w:t>
            </w:r>
          </w:p>
        </w:tc>
        <w:tc>
          <w:tcPr>
            <w:tcW w:w="1045" w:type="dxa"/>
            <w:tcBorders>
              <w:top w:val="single" w:sz="4" w:space="0" w:color="000000"/>
              <w:left w:val="single" w:sz="12" w:space="0" w:color="000000"/>
              <w:bottom w:val="single" w:sz="4" w:space="0" w:color="000000"/>
              <w:right w:val="single" w:sz="12" w:space="0" w:color="000000"/>
            </w:tcBorders>
          </w:tcPr>
          <w:p w14:paraId="72025060" w14:textId="5486AF87" w:rsidR="00B0429D" w:rsidRDefault="00B0429D" w:rsidP="00543BC3">
            <w:pPr>
              <w:spacing w:after="0" w:line="259" w:lineRule="auto"/>
              <w:ind w:left="0" w:right="45" w:firstLine="0"/>
              <w:jc w:val="center"/>
            </w:pPr>
            <w:r>
              <w:rPr>
                <w:sz w:val="18"/>
              </w:rPr>
              <w:t>N/A</w:t>
            </w:r>
          </w:p>
        </w:tc>
        <w:tc>
          <w:tcPr>
            <w:tcW w:w="995" w:type="dxa"/>
            <w:tcBorders>
              <w:top w:val="single" w:sz="4" w:space="0" w:color="000000"/>
              <w:left w:val="single" w:sz="12" w:space="0" w:color="000000"/>
              <w:bottom w:val="single" w:sz="4" w:space="0" w:color="000000"/>
              <w:right w:val="single" w:sz="12" w:space="0" w:color="000000"/>
            </w:tcBorders>
          </w:tcPr>
          <w:p w14:paraId="5DD260CC" w14:textId="4E08A82E" w:rsidR="00B0429D" w:rsidRDefault="00B0429D" w:rsidP="00543BC3">
            <w:pPr>
              <w:spacing w:after="0" w:line="259" w:lineRule="auto"/>
              <w:ind w:left="0" w:right="46" w:firstLine="0"/>
              <w:jc w:val="center"/>
            </w:pPr>
            <w:r>
              <w:rPr>
                <w:b/>
                <w:sz w:val="18"/>
              </w:rPr>
              <w:t>524.2</w:t>
            </w:r>
          </w:p>
        </w:tc>
        <w:tc>
          <w:tcPr>
            <w:tcW w:w="1149" w:type="dxa"/>
            <w:tcBorders>
              <w:top w:val="single" w:sz="4" w:space="0" w:color="000000"/>
              <w:left w:val="single" w:sz="12" w:space="0" w:color="000000"/>
              <w:bottom w:val="single" w:sz="4" w:space="0" w:color="000000"/>
              <w:right w:val="single" w:sz="12" w:space="0" w:color="000000"/>
            </w:tcBorders>
          </w:tcPr>
          <w:p w14:paraId="6AD84E7E" w14:textId="3D28DA42" w:rsidR="00B0429D" w:rsidRDefault="00B0429D" w:rsidP="00543BC3">
            <w:pPr>
              <w:spacing w:after="0" w:line="259" w:lineRule="auto"/>
              <w:ind w:left="0" w:right="44" w:firstLine="0"/>
              <w:jc w:val="center"/>
            </w:pPr>
            <w:r>
              <w:rPr>
                <w:sz w:val="18"/>
              </w:rPr>
              <w:t>502.2</w:t>
            </w:r>
          </w:p>
        </w:tc>
      </w:tr>
      <w:tr w:rsidR="00B0429D" w14:paraId="6C399B45" w14:textId="77777777" w:rsidTr="00C23B62">
        <w:trPr>
          <w:trHeight w:val="252"/>
        </w:trPr>
        <w:tc>
          <w:tcPr>
            <w:tcW w:w="3144" w:type="dxa"/>
            <w:tcBorders>
              <w:top w:val="single" w:sz="4" w:space="0" w:color="000000"/>
              <w:left w:val="single" w:sz="12" w:space="0" w:color="000000"/>
              <w:bottom w:val="single" w:sz="4" w:space="0" w:color="000000"/>
              <w:right w:val="single" w:sz="12" w:space="0" w:color="000000"/>
            </w:tcBorders>
          </w:tcPr>
          <w:p w14:paraId="7861A5F2" w14:textId="77777777" w:rsidR="00B0429D" w:rsidRDefault="00B0429D" w:rsidP="00B0429D">
            <w:pPr>
              <w:spacing w:after="0" w:line="259" w:lineRule="auto"/>
              <w:ind w:left="0" w:right="0" w:firstLine="0"/>
            </w:pPr>
            <w:r>
              <w:rPr>
                <w:sz w:val="18"/>
              </w:rPr>
              <w:t xml:space="preserve">1,3-Dichlorobenzene </w:t>
            </w:r>
          </w:p>
        </w:tc>
        <w:tc>
          <w:tcPr>
            <w:tcW w:w="1146" w:type="dxa"/>
            <w:tcBorders>
              <w:top w:val="single" w:sz="4" w:space="0" w:color="000000"/>
              <w:left w:val="single" w:sz="12" w:space="0" w:color="000000"/>
              <w:bottom w:val="single" w:sz="4" w:space="0" w:color="000000"/>
              <w:right w:val="single" w:sz="12" w:space="0" w:color="000000"/>
            </w:tcBorders>
          </w:tcPr>
          <w:p w14:paraId="5528363D" w14:textId="6349DEE1" w:rsidR="00B0429D" w:rsidRDefault="00B0429D" w:rsidP="00543BC3">
            <w:pPr>
              <w:spacing w:after="0" w:line="259" w:lineRule="auto"/>
              <w:ind w:left="0" w:right="44" w:firstLine="0"/>
              <w:jc w:val="center"/>
            </w:pPr>
            <w:r>
              <w:rPr>
                <w:sz w:val="18"/>
              </w:rPr>
              <w:t>541-73-1</w:t>
            </w:r>
          </w:p>
        </w:tc>
        <w:tc>
          <w:tcPr>
            <w:tcW w:w="1063" w:type="dxa"/>
            <w:tcBorders>
              <w:top w:val="single" w:sz="4" w:space="0" w:color="000000"/>
              <w:left w:val="single" w:sz="12" w:space="0" w:color="000000"/>
              <w:bottom w:val="single" w:sz="4" w:space="0" w:color="000000"/>
              <w:right w:val="single" w:sz="12" w:space="0" w:color="000000"/>
            </w:tcBorders>
          </w:tcPr>
          <w:p w14:paraId="02B5AFC9" w14:textId="23F853D4" w:rsidR="00B0429D" w:rsidRDefault="00B0429D" w:rsidP="00543BC3">
            <w:pPr>
              <w:tabs>
                <w:tab w:val="center" w:pos="579"/>
              </w:tabs>
              <w:spacing w:after="0" w:line="259" w:lineRule="auto"/>
              <w:ind w:left="0" w:right="0" w:firstLine="0"/>
              <w:jc w:val="center"/>
            </w:pPr>
            <w:r>
              <w:rPr>
                <w:sz w:val="18"/>
              </w:rPr>
              <w:t>0.5</w:t>
            </w:r>
          </w:p>
        </w:tc>
        <w:tc>
          <w:tcPr>
            <w:tcW w:w="1042" w:type="dxa"/>
            <w:tcBorders>
              <w:top w:val="single" w:sz="4" w:space="0" w:color="000000"/>
              <w:left w:val="single" w:sz="12" w:space="0" w:color="000000"/>
              <w:bottom w:val="single" w:sz="4" w:space="0" w:color="000000"/>
              <w:right w:val="single" w:sz="12" w:space="0" w:color="000000"/>
            </w:tcBorders>
          </w:tcPr>
          <w:p w14:paraId="0F255B88" w14:textId="08B4A9AF" w:rsidR="00B0429D" w:rsidRDefault="00B0429D" w:rsidP="00543BC3">
            <w:pPr>
              <w:spacing w:after="0" w:line="259" w:lineRule="auto"/>
              <w:ind w:left="0" w:right="44" w:firstLine="0"/>
              <w:jc w:val="center"/>
            </w:pPr>
            <w:r>
              <w:rPr>
                <w:sz w:val="18"/>
              </w:rPr>
              <w:t>ug/L</w:t>
            </w:r>
          </w:p>
        </w:tc>
        <w:tc>
          <w:tcPr>
            <w:tcW w:w="946" w:type="dxa"/>
            <w:tcBorders>
              <w:top w:val="single" w:sz="4" w:space="0" w:color="000000"/>
              <w:left w:val="single" w:sz="12" w:space="0" w:color="000000"/>
              <w:bottom w:val="single" w:sz="4" w:space="0" w:color="000000"/>
              <w:right w:val="single" w:sz="12" w:space="0" w:color="000000"/>
            </w:tcBorders>
          </w:tcPr>
          <w:p w14:paraId="27353C03" w14:textId="15DE64DC" w:rsidR="00B0429D" w:rsidRDefault="00B0429D" w:rsidP="00543BC3">
            <w:pPr>
              <w:spacing w:after="0" w:line="259" w:lineRule="auto"/>
              <w:ind w:left="0" w:right="45" w:firstLine="0"/>
              <w:jc w:val="center"/>
            </w:pPr>
            <w:r>
              <w:rPr>
                <w:sz w:val="18"/>
              </w:rPr>
              <w:t>N/A</w:t>
            </w:r>
          </w:p>
        </w:tc>
        <w:tc>
          <w:tcPr>
            <w:tcW w:w="1045" w:type="dxa"/>
            <w:tcBorders>
              <w:top w:val="single" w:sz="4" w:space="0" w:color="000000"/>
              <w:left w:val="single" w:sz="12" w:space="0" w:color="000000"/>
              <w:bottom w:val="single" w:sz="4" w:space="0" w:color="000000"/>
              <w:right w:val="single" w:sz="12" w:space="0" w:color="000000"/>
            </w:tcBorders>
          </w:tcPr>
          <w:p w14:paraId="404C1422" w14:textId="0FD00DF0" w:rsidR="00B0429D" w:rsidRDefault="00B0429D" w:rsidP="00543BC3">
            <w:pPr>
              <w:spacing w:after="0" w:line="259" w:lineRule="auto"/>
              <w:ind w:left="0" w:right="45" w:firstLine="0"/>
              <w:jc w:val="center"/>
            </w:pPr>
            <w:r>
              <w:rPr>
                <w:sz w:val="18"/>
              </w:rPr>
              <w:t>N/A</w:t>
            </w:r>
          </w:p>
        </w:tc>
        <w:tc>
          <w:tcPr>
            <w:tcW w:w="995" w:type="dxa"/>
            <w:tcBorders>
              <w:top w:val="single" w:sz="4" w:space="0" w:color="000000"/>
              <w:left w:val="single" w:sz="12" w:space="0" w:color="000000"/>
              <w:bottom w:val="single" w:sz="4" w:space="0" w:color="000000"/>
              <w:right w:val="single" w:sz="12" w:space="0" w:color="000000"/>
            </w:tcBorders>
          </w:tcPr>
          <w:p w14:paraId="41AD3C69" w14:textId="3BB364A3" w:rsidR="00B0429D" w:rsidRDefault="00B0429D" w:rsidP="00543BC3">
            <w:pPr>
              <w:spacing w:after="0" w:line="259" w:lineRule="auto"/>
              <w:ind w:left="0" w:right="46" w:firstLine="0"/>
              <w:jc w:val="center"/>
            </w:pPr>
            <w:r>
              <w:rPr>
                <w:b/>
                <w:sz w:val="18"/>
              </w:rPr>
              <w:t>524.2</w:t>
            </w:r>
          </w:p>
        </w:tc>
        <w:tc>
          <w:tcPr>
            <w:tcW w:w="1149" w:type="dxa"/>
            <w:tcBorders>
              <w:top w:val="single" w:sz="4" w:space="0" w:color="000000"/>
              <w:left w:val="single" w:sz="12" w:space="0" w:color="000000"/>
              <w:bottom w:val="single" w:sz="4" w:space="0" w:color="000000"/>
              <w:right w:val="single" w:sz="12" w:space="0" w:color="000000"/>
            </w:tcBorders>
          </w:tcPr>
          <w:p w14:paraId="2DF35CBD" w14:textId="6C28A0BF" w:rsidR="00B0429D" w:rsidRDefault="00B0429D" w:rsidP="00543BC3">
            <w:pPr>
              <w:spacing w:after="0" w:line="259" w:lineRule="auto"/>
              <w:ind w:left="0" w:right="44" w:firstLine="0"/>
              <w:jc w:val="center"/>
            </w:pPr>
            <w:r>
              <w:rPr>
                <w:sz w:val="18"/>
              </w:rPr>
              <w:t>502.2</w:t>
            </w:r>
          </w:p>
        </w:tc>
      </w:tr>
      <w:tr w:rsidR="00B0429D" w14:paraId="1B32C5D9" w14:textId="77777777" w:rsidTr="00C23B62">
        <w:trPr>
          <w:trHeight w:val="250"/>
        </w:trPr>
        <w:tc>
          <w:tcPr>
            <w:tcW w:w="3144" w:type="dxa"/>
            <w:tcBorders>
              <w:top w:val="single" w:sz="4" w:space="0" w:color="000000"/>
              <w:left w:val="single" w:sz="12" w:space="0" w:color="000000"/>
              <w:bottom w:val="single" w:sz="4" w:space="0" w:color="000000"/>
              <w:right w:val="single" w:sz="12" w:space="0" w:color="000000"/>
            </w:tcBorders>
          </w:tcPr>
          <w:p w14:paraId="79069362" w14:textId="77777777" w:rsidR="00B0429D" w:rsidRDefault="00B0429D" w:rsidP="00B0429D">
            <w:pPr>
              <w:spacing w:after="0" w:line="259" w:lineRule="auto"/>
              <w:ind w:left="0" w:right="0" w:firstLine="0"/>
            </w:pPr>
            <w:r>
              <w:rPr>
                <w:sz w:val="18"/>
              </w:rPr>
              <w:t xml:space="preserve">1,4-Dichlorobenzene </w:t>
            </w:r>
          </w:p>
        </w:tc>
        <w:tc>
          <w:tcPr>
            <w:tcW w:w="1146" w:type="dxa"/>
            <w:tcBorders>
              <w:top w:val="single" w:sz="4" w:space="0" w:color="000000"/>
              <w:left w:val="single" w:sz="12" w:space="0" w:color="000000"/>
              <w:bottom w:val="single" w:sz="4" w:space="0" w:color="000000"/>
              <w:right w:val="single" w:sz="12" w:space="0" w:color="000000"/>
            </w:tcBorders>
          </w:tcPr>
          <w:p w14:paraId="0C511768" w14:textId="6DABAFED" w:rsidR="00B0429D" w:rsidRDefault="00B0429D" w:rsidP="00543BC3">
            <w:pPr>
              <w:spacing w:after="0" w:line="259" w:lineRule="auto"/>
              <w:ind w:left="0" w:right="44" w:firstLine="0"/>
              <w:jc w:val="center"/>
            </w:pPr>
            <w:r>
              <w:rPr>
                <w:sz w:val="18"/>
              </w:rPr>
              <w:t>106-46-7</w:t>
            </w:r>
          </w:p>
        </w:tc>
        <w:tc>
          <w:tcPr>
            <w:tcW w:w="1063" w:type="dxa"/>
            <w:tcBorders>
              <w:top w:val="single" w:sz="4" w:space="0" w:color="000000"/>
              <w:left w:val="single" w:sz="12" w:space="0" w:color="000000"/>
              <w:bottom w:val="single" w:sz="4" w:space="0" w:color="000000"/>
              <w:right w:val="single" w:sz="12" w:space="0" w:color="000000"/>
            </w:tcBorders>
          </w:tcPr>
          <w:p w14:paraId="1DFBAD8D" w14:textId="6E8910B4" w:rsidR="00B0429D" w:rsidRDefault="00B0429D" w:rsidP="00543BC3">
            <w:pPr>
              <w:tabs>
                <w:tab w:val="center" w:pos="579"/>
              </w:tabs>
              <w:spacing w:after="0" w:line="259" w:lineRule="auto"/>
              <w:ind w:left="0" w:right="0" w:firstLine="0"/>
              <w:jc w:val="center"/>
            </w:pPr>
            <w:r>
              <w:rPr>
                <w:sz w:val="18"/>
              </w:rPr>
              <w:t>0.2</w:t>
            </w:r>
          </w:p>
        </w:tc>
        <w:tc>
          <w:tcPr>
            <w:tcW w:w="1042" w:type="dxa"/>
            <w:tcBorders>
              <w:top w:val="single" w:sz="4" w:space="0" w:color="000000"/>
              <w:left w:val="single" w:sz="12" w:space="0" w:color="000000"/>
              <w:bottom w:val="single" w:sz="4" w:space="0" w:color="000000"/>
              <w:right w:val="single" w:sz="12" w:space="0" w:color="000000"/>
            </w:tcBorders>
          </w:tcPr>
          <w:p w14:paraId="5B3DB99C" w14:textId="1B52C21A" w:rsidR="00B0429D" w:rsidRDefault="00B0429D" w:rsidP="00543BC3">
            <w:pPr>
              <w:spacing w:after="0" w:line="259" w:lineRule="auto"/>
              <w:ind w:left="0" w:right="44" w:firstLine="0"/>
              <w:jc w:val="center"/>
            </w:pPr>
            <w:r>
              <w:rPr>
                <w:sz w:val="18"/>
              </w:rPr>
              <w:t>ug/L</w:t>
            </w:r>
          </w:p>
        </w:tc>
        <w:tc>
          <w:tcPr>
            <w:tcW w:w="946" w:type="dxa"/>
            <w:tcBorders>
              <w:top w:val="single" w:sz="4" w:space="0" w:color="000000"/>
              <w:left w:val="single" w:sz="12" w:space="0" w:color="000000"/>
              <w:bottom w:val="single" w:sz="4" w:space="0" w:color="000000"/>
              <w:right w:val="single" w:sz="12" w:space="0" w:color="000000"/>
            </w:tcBorders>
          </w:tcPr>
          <w:p w14:paraId="6A068922" w14:textId="50ED2AE6" w:rsidR="00B0429D" w:rsidRDefault="00B0429D" w:rsidP="00543BC3">
            <w:pPr>
              <w:spacing w:after="0" w:line="259" w:lineRule="auto"/>
              <w:ind w:left="0" w:right="45" w:firstLine="0"/>
              <w:jc w:val="center"/>
            </w:pPr>
            <w:r>
              <w:rPr>
                <w:sz w:val="18"/>
              </w:rPr>
              <w:t>N/A</w:t>
            </w:r>
          </w:p>
        </w:tc>
        <w:tc>
          <w:tcPr>
            <w:tcW w:w="1045" w:type="dxa"/>
            <w:tcBorders>
              <w:top w:val="single" w:sz="4" w:space="0" w:color="000000"/>
              <w:left w:val="single" w:sz="12" w:space="0" w:color="000000"/>
              <w:bottom w:val="single" w:sz="4" w:space="0" w:color="000000"/>
              <w:right w:val="single" w:sz="12" w:space="0" w:color="000000"/>
            </w:tcBorders>
          </w:tcPr>
          <w:p w14:paraId="17C7DA09" w14:textId="35939006" w:rsidR="00B0429D" w:rsidRDefault="00B0429D" w:rsidP="00543BC3">
            <w:pPr>
              <w:spacing w:after="0" w:line="259" w:lineRule="auto"/>
              <w:ind w:left="0" w:right="45" w:firstLine="0"/>
              <w:jc w:val="center"/>
            </w:pPr>
            <w:r>
              <w:rPr>
                <w:sz w:val="18"/>
              </w:rPr>
              <w:t>N/A</w:t>
            </w:r>
          </w:p>
        </w:tc>
        <w:tc>
          <w:tcPr>
            <w:tcW w:w="995" w:type="dxa"/>
            <w:tcBorders>
              <w:top w:val="single" w:sz="4" w:space="0" w:color="000000"/>
              <w:left w:val="single" w:sz="12" w:space="0" w:color="000000"/>
              <w:bottom w:val="single" w:sz="4" w:space="0" w:color="000000"/>
              <w:right w:val="single" w:sz="12" w:space="0" w:color="000000"/>
            </w:tcBorders>
          </w:tcPr>
          <w:p w14:paraId="69044855" w14:textId="7909012E" w:rsidR="00B0429D" w:rsidRDefault="00B0429D" w:rsidP="00543BC3">
            <w:pPr>
              <w:spacing w:after="0" w:line="259" w:lineRule="auto"/>
              <w:ind w:left="0" w:right="46" w:firstLine="0"/>
              <w:jc w:val="center"/>
            </w:pPr>
            <w:r>
              <w:rPr>
                <w:b/>
                <w:sz w:val="18"/>
              </w:rPr>
              <w:t>524.2</w:t>
            </w:r>
          </w:p>
        </w:tc>
        <w:tc>
          <w:tcPr>
            <w:tcW w:w="1149" w:type="dxa"/>
            <w:tcBorders>
              <w:top w:val="single" w:sz="4" w:space="0" w:color="000000"/>
              <w:left w:val="single" w:sz="12" w:space="0" w:color="000000"/>
              <w:bottom w:val="single" w:sz="4" w:space="0" w:color="000000"/>
              <w:right w:val="single" w:sz="12" w:space="0" w:color="000000"/>
            </w:tcBorders>
          </w:tcPr>
          <w:p w14:paraId="6457E681" w14:textId="697F3B18" w:rsidR="00B0429D" w:rsidRDefault="00B0429D" w:rsidP="00543BC3">
            <w:pPr>
              <w:spacing w:after="0" w:line="259" w:lineRule="auto"/>
              <w:ind w:left="0" w:right="44" w:firstLine="0"/>
              <w:jc w:val="center"/>
            </w:pPr>
            <w:r>
              <w:rPr>
                <w:sz w:val="18"/>
              </w:rPr>
              <w:t>502.2</w:t>
            </w:r>
          </w:p>
        </w:tc>
      </w:tr>
      <w:tr w:rsidR="00B0429D" w14:paraId="043C57DB" w14:textId="77777777" w:rsidTr="00C23B62">
        <w:trPr>
          <w:trHeight w:val="250"/>
        </w:trPr>
        <w:tc>
          <w:tcPr>
            <w:tcW w:w="3144" w:type="dxa"/>
            <w:tcBorders>
              <w:top w:val="single" w:sz="4" w:space="0" w:color="000000"/>
              <w:left w:val="single" w:sz="12" w:space="0" w:color="000000"/>
              <w:bottom w:val="single" w:sz="4" w:space="0" w:color="000000"/>
              <w:right w:val="single" w:sz="12" w:space="0" w:color="000000"/>
            </w:tcBorders>
          </w:tcPr>
          <w:p w14:paraId="05DCC74A" w14:textId="77777777" w:rsidR="00B0429D" w:rsidRDefault="00B0429D" w:rsidP="00B0429D">
            <w:pPr>
              <w:spacing w:after="0" w:line="259" w:lineRule="auto"/>
              <w:ind w:left="0" w:right="0" w:firstLine="0"/>
            </w:pPr>
            <w:r>
              <w:rPr>
                <w:sz w:val="18"/>
              </w:rPr>
              <w:t xml:space="preserve">Dichlorodifluoromethane </w:t>
            </w:r>
          </w:p>
        </w:tc>
        <w:tc>
          <w:tcPr>
            <w:tcW w:w="1146" w:type="dxa"/>
            <w:tcBorders>
              <w:top w:val="single" w:sz="4" w:space="0" w:color="000000"/>
              <w:left w:val="single" w:sz="12" w:space="0" w:color="000000"/>
              <w:bottom w:val="single" w:sz="4" w:space="0" w:color="000000"/>
              <w:right w:val="single" w:sz="12" w:space="0" w:color="000000"/>
            </w:tcBorders>
          </w:tcPr>
          <w:p w14:paraId="01D610DE" w14:textId="510AEB73" w:rsidR="00B0429D" w:rsidRDefault="00B0429D" w:rsidP="00543BC3">
            <w:pPr>
              <w:spacing w:after="0" w:line="259" w:lineRule="auto"/>
              <w:ind w:left="0" w:right="44" w:firstLine="0"/>
              <w:jc w:val="center"/>
            </w:pPr>
            <w:r>
              <w:rPr>
                <w:sz w:val="18"/>
              </w:rPr>
              <w:t>75-71-8</w:t>
            </w:r>
          </w:p>
        </w:tc>
        <w:tc>
          <w:tcPr>
            <w:tcW w:w="1063" w:type="dxa"/>
            <w:tcBorders>
              <w:top w:val="single" w:sz="4" w:space="0" w:color="000000"/>
              <w:left w:val="single" w:sz="12" w:space="0" w:color="000000"/>
              <w:bottom w:val="single" w:sz="4" w:space="0" w:color="000000"/>
              <w:right w:val="single" w:sz="12" w:space="0" w:color="000000"/>
            </w:tcBorders>
          </w:tcPr>
          <w:p w14:paraId="0C51C3DB" w14:textId="2AF76B8D" w:rsidR="00B0429D" w:rsidRDefault="00B0429D" w:rsidP="00543BC3">
            <w:pPr>
              <w:tabs>
                <w:tab w:val="center" w:pos="534"/>
              </w:tabs>
              <w:spacing w:after="0" w:line="259" w:lineRule="auto"/>
              <w:ind w:left="0" w:right="0" w:firstLine="0"/>
              <w:jc w:val="center"/>
            </w:pPr>
            <w:r>
              <w:rPr>
                <w:sz w:val="18"/>
              </w:rPr>
              <w:t>1</w:t>
            </w:r>
          </w:p>
        </w:tc>
        <w:tc>
          <w:tcPr>
            <w:tcW w:w="1042" w:type="dxa"/>
            <w:tcBorders>
              <w:top w:val="single" w:sz="4" w:space="0" w:color="000000"/>
              <w:left w:val="single" w:sz="12" w:space="0" w:color="000000"/>
              <w:bottom w:val="single" w:sz="4" w:space="0" w:color="000000"/>
              <w:right w:val="single" w:sz="12" w:space="0" w:color="000000"/>
            </w:tcBorders>
          </w:tcPr>
          <w:p w14:paraId="37D36CAC" w14:textId="70E5D2B7" w:rsidR="00B0429D" w:rsidRDefault="00B0429D" w:rsidP="00543BC3">
            <w:pPr>
              <w:spacing w:after="0" w:line="259" w:lineRule="auto"/>
              <w:ind w:left="0" w:right="44" w:firstLine="0"/>
              <w:jc w:val="center"/>
            </w:pPr>
            <w:r>
              <w:rPr>
                <w:sz w:val="18"/>
              </w:rPr>
              <w:t>ug/L</w:t>
            </w:r>
          </w:p>
        </w:tc>
        <w:tc>
          <w:tcPr>
            <w:tcW w:w="946" w:type="dxa"/>
            <w:tcBorders>
              <w:top w:val="single" w:sz="4" w:space="0" w:color="000000"/>
              <w:left w:val="single" w:sz="12" w:space="0" w:color="000000"/>
              <w:bottom w:val="single" w:sz="4" w:space="0" w:color="000000"/>
              <w:right w:val="single" w:sz="12" w:space="0" w:color="000000"/>
            </w:tcBorders>
          </w:tcPr>
          <w:p w14:paraId="44FCD13A" w14:textId="3BD1B629" w:rsidR="00B0429D" w:rsidRDefault="00B0429D" w:rsidP="00543BC3">
            <w:pPr>
              <w:spacing w:after="0" w:line="259" w:lineRule="auto"/>
              <w:ind w:left="0" w:right="45" w:firstLine="0"/>
              <w:jc w:val="center"/>
            </w:pPr>
            <w:r>
              <w:rPr>
                <w:sz w:val="18"/>
              </w:rPr>
              <w:t>N/A</w:t>
            </w:r>
          </w:p>
        </w:tc>
        <w:tc>
          <w:tcPr>
            <w:tcW w:w="1045" w:type="dxa"/>
            <w:tcBorders>
              <w:top w:val="single" w:sz="4" w:space="0" w:color="000000"/>
              <w:left w:val="single" w:sz="12" w:space="0" w:color="000000"/>
              <w:bottom w:val="single" w:sz="4" w:space="0" w:color="000000"/>
              <w:right w:val="single" w:sz="12" w:space="0" w:color="000000"/>
            </w:tcBorders>
          </w:tcPr>
          <w:p w14:paraId="31F364F4" w14:textId="77460A26" w:rsidR="00B0429D" w:rsidRDefault="00B0429D" w:rsidP="00543BC3">
            <w:pPr>
              <w:spacing w:after="0" w:line="259" w:lineRule="auto"/>
              <w:ind w:left="0" w:right="45" w:firstLine="0"/>
              <w:jc w:val="center"/>
            </w:pPr>
            <w:r>
              <w:rPr>
                <w:sz w:val="18"/>
              </w:rPr>
              <w:t>N/A</w:t>
            </w:r>
          </w:p>
        </w:tc>
        <w:tc>
          <w:tcPr>
            <w:tcW w:w="995" w:type="dxa"/>
            <w:tcBorders>
              <w:top w:val="single" w:sz="4" w:space="0" w:color="000000"/>
              <w:left w:val="single" w:sz="12" w:space="0" w:color="000000"/>
              <w:bottom w:val="single" w:sz="4" w:space="0" w:color="000000"/>
              <w:right w:val="single" w:sz="12" w:space="0" w:color="000000"/>
            </w:tcBorders>
          </w:tcPr>
          <w:p w14:paraId="6174B809" w14:textId="55004A0A" w:rsidR="00B0429D" w:rsidRDefault="00B0429D" w:rsidP="00543BC3">
            <w:pPr>
              <w:spacing w:after="0" w:line="259" w:lineRule="auto"/>
              <w:ind w:left="0" w:right="46" w:firstLine="0"/>
              <w:jc w:val="center"/>
            </w:pPr>
            <w:r>
              <w:rPr>
                <w:b/>
                <w:sz w:val="18"/>
              </w:rPr>
              <w:t>524.2</w:t>
            </w:r>
          </w:p>
        </w:tc>
        <w:tc>
          <w:tcPr>
            <w:tcW w:w="1149" w:type="dxa"/>
            <w:tcBorders>
              <w:top w:val="single" w:sz="4" w:space="0" w:color="000000"/>
              <w:left w:val="single" w:sz="12" w:space="0" w:color="000000"/>
              <w:bottom w:val="single" w:sz="4" w:space="0" w:color="000000"/>
              <w:right w:val="single" w:sz="12" w:space="0" w:color="000000"/>
            </w:tcBorders>
          </w:tcPr>
          <w:p w14:paraId="55C5117A" w14:textId="072553C1" w:rsidR="00B0429D" w:rsidRDefault="00B0429D" w:rsidP="00543BC3">
            <w:pPr>
              <w:spacing w:after="0" w:line="259" w:lineRule="auto"/>
              <w:ind w:left="0" w:right="44" w:firstLine="0"/>
              <w:jc w:val="center"/>
            </w:pPr>
            <w:r>
              <w:rPr>
                <w:sz w:val="18"/>
              </w:rPr>
              <w:t>502.2</w:t>
            </w:r>
          </w:p>
        </w:tc>
      </w:tr>
      <w:tr w:rsidR="00B0429D" w14:paraId="34ACFAEB" w14:textId="77777777" w:rsidTr="00C23B62">
        <w:trPr>
          <w:trHeight w:val="250"/>
        </w:trPr>
        <w:tc>
          <w:tcPr>
            <w:tcW w:w="3144" w:type="dxa"/>
            <w:tcBorders>
              <w:top w:val="single" w:sz="4" w:space="0" w:color="000000"/>
              <w:left w:val="single" w:sz="12" w:space="0" w:color="000000"/>
              <w:bottom w:val="single" w:sz="4" w:space="0" w:color="000000"/>
              <w:right w:val="single" w:sz="12" w:space="0" w:color="000000"/>
            </w:tcBorders>
          </w:tcPr>
          <w:p w14:paraId="1A031A91" w14:textId="77777777" w:rsidR="00B0429D" w:rsidRDefault="00B0429D" w:rsidP="00B0429D">
            <w:pPr>
              <w:spacing w:after="0" w:line="259" w:lineRule="auto"/>
              <w:ind w:left="0" w:right="0" w:firstLine="0"/>
            </w:pPr>
            <w:r>
              <w:rPr>
                <w:sz w:val="18"/>
              </w:rPr>
              <w:t xml:space="preserve">1,1-Dichloroethane </w:t>
            </w:r>
          </w:p>
        </w:tc>
        <w:tc>
          <w:tcPr>
            <w:tcW w:w="1146" w:type="dxa"/>
            <w:tcBorders>
              <w:top w:val="single" w:sz="4" w:space="0" w:color="000000"/>
              <w:left w:val="single" w:sz="12" w:space="0" w:color="000000"/>
              <w:bottom w:val="single" w:sz="4" w:space="0" w:color="000000"/>
              <w:right w:val="single" w:sz="12" w:space="0" w:color="000000"/>
            </w:tcBorders>
          </w:tcPr>
          <w:p w14:paraId="041EF463" w14:textId="3E0AB8BA" w:rsidR="00B0429D" w:rsidRDefault="00B0429D" w:rsidP="00543BC3">
            <w:pPr>
              <w:spacing w:after="0" w:line="259" w:lineRule="auto"/>
              <w:ind w:left="0" w:right="44" w:firstLine="0"/>
              <w:jc w:val="center"/>
            </w:pPr>
            <w:r>
              <w:rPr>
                <w:sz w:val="18"/>
              </w:rPr>
              <w:t>75-34-3</w:t>
            </w:r>
          </w:p>
        </w:tc>
        <w:tc>
          <w:tcPr>
            <w:tcW w:w="1063" w:type="dxa"/>
            <w:tcBorders>
              <w:top w:val="single" w:sz="4" w:space="0" w:color="000000"/>
              <w:left w:val="single" w:sz="12" w:space="0" w:color="000000"/>
              <w:bottom w:val="single" w:sz="4" w:space="0" w:color="000000"/>
              <w:right w:val="single" w:sz="12" w:space="0" w:color="000000"/>
            </w:tcBorders>
          </w:tcPr>
          <w:p w14:paraId="329226EC" w14:textId="3C5D9874" w:rsidR="00B0429D" w:rsidRDefault="00B0429D" w:rsidP="00543BC3">
            <w:pPr>
              <w:tabs>
                <w:tab w:val="center" w:pos="579"/>
              </w:tabs>
              <w:spacing w:after="0" w:line="259" w:lineRule="auto"/>
              <w:ind w:left="0" w:right="0" w:firstLine="0"/>
              <w:jc w:val="center"/>
            </w:pPr>
            <w:r>
              <w:rPr>
                <w:sz w:val="18"/>
              </w:rPr>
              <w:t>0.5</w:t>
            </w:r>
          </w:p>
        </w:tc>
        <w:tc>
          <w:tcPr>
            <w:tcW w:w="1042" w:type="dxa"/>
            <w:tcBorders>
              <w:top w:val="single" w:sz="4" w:space="0" w:color="000000"/>
              <w:left w:val="single" w:sz="12" w:space="0" w:color="000000"/>
              <w:bottom w:val="single" w:sz="4" w:space="0" w:color="000000"/>
              <w:right w:val="single" w:sz="12" w:space="0" w:color="000000"/>
            </w:tcBorders>
          </w:tcPr>
          <w:p w14:paraId="2BEC04FA" w14:textId="6DAE6EA8" w:rsidR="00B0429D" w:rsidRDefault="00B0429D" w:rsidP="00543BC3">
            <w:pPr>
              <w:spacing w:after="0" w:line="259" w:lineRule="auto"/>
              <w:ind w:left="0" w:right="44" w:firstLine="0"/>
              <w:jc w:val="center"/>
            </w:pPr>
            <w:r>
              <w:rPr>
                <w:sz w:val="18"/>
              </w:rPr>
              <w:t>ug/L</w:t>
            </w:r>
          </w:p>
        </w:tc>
        <w:tc>
          <w:tcPr>
            <w:tcW w:w="946" w:type="dxa"/>
            <w:tcBorders>
              <w:top w:val="single" w:sz="4" w:space="0" w:color="000000"/>
              <w:left w:val="single" w:sz="12" w:space="0" w:color="000000"/>
              <w:bottom w:val="single" w:sz="4" w:space="0" w:color="000000"/>
              <w:right w:val="single" w:sz="12" w:space="0" w:color="000000"/>
            </w:tcBorders>
          </w:tcPr>
          <w:p w14:paraId="1887AB1D" w14:textId="57D81F09" w:rsidR="00B0429D" w:rsidRDefault="00B0429D" w:rsidP="00543BC3">
            <w:pPr>
              <w:spacing w:after="0" w:line="259" w:lineRule="auto"/>
              <w:ind w:left="0" w:right="45" w:firstLine="0"/>
              <w:jc w:val="center"/>
            </w:pPr>
            <w:r>
              <w:rPr>
                <w:sz w:val="18"/>
              </w:rPr>
              <w:t>N/A</w:t>
            </w:r>
          </w:p>
        </w:tc>
        <w:tc>
          <w:tcPr>
            <w:tcW w:w="1045" w:type="dxa"/>
            <w:tcBorders>
              <w:top w:val="single" w:sz="4" w:space="0" w:color="000000"/>
              <w:left w:val="single" w:sz="12" w:space="0" w:color="000000"/>
              <w:bottom w:val="single" w:sz="4" w:space="0" w:color="000000"/>
              <w:right w:val="single" w:sz="12" w:space="0" w:color="000000"/>
            </w:tcBorders>
          </w:tcPr>
          <w:p w14:paraId="27BC252B" w14:textId="192B8DCA" w:rsidR="00B0429D" w:rsidRDefault="00B0429D" w:rsidP="00543BC3">
            <w:pPr>
              <w:spacing w:after="0" w:line="259" w:lineRule="auto"/>
              <w:ind w:left="0" w:right="45" w:firstLine="0"/>
              <w:jc w:val="center"/>
            </w:pPr>
            <w:r>
              <w:rPr>
                <w:sz w:val="18"/>
              </w:rPr>
              <w:t>N/A</w:t>
            </w:r>
          </w:p>
        </w:tc>
        <w:tc>
          <w:tcPr>
            <w:tcW w:w="995" w:type="dxa"/>
            <w:tcBorders>
              <w:top w:val="single" w:sz="4" w:space="0" w:color="000000"/>
              <w:left w:val="single" w:sz="12" w:space="0" w:color="000000"/>
              <w:bottom w:val="single" w:sz="4" w:space="0" w:color="000000"/>
              <w:right w:val="single" w:sz="12" w:space="0" w:color="000000"/>
            </w:tcBorders>
          </w:tcPr>
          <w:p w14:paraId="77EAADD9" w14:textId="36EB38FA" w:rsidR="00B0429D" w:rsidRDefault="00B0429D" w:rsidP="00543BC3">
            <w:pPr>
              <w:spacing w:after="0" w:line="259" w:lineRule="auto"/>
              <w:ind w:left="0" w:right="46" w:firstLine="0"/>
              <w:jc w:val="center"/>
            </w:pPr>
            <w:r>
              <w:rPr>
                <w:b/>
                <w:sz w:val="18"/>
              </w:rPr>
              <w:t>524.2</w:t>
            </w:r>
          </w:p>
        </w:tc>
        <w:tc>
          <w:tcPr>
            <w:tcW w:w="1149" w:type="dxa"/>
            <w:tcBorders>
              <w:top w:val="single" w:sz="4" w:space="0" w:color="000000"/>
              <w:left w:val="single" w:sz="12" w:space="0" w:color="000000"/>
              <w:bottom w:val="single" w:sz="4" w:space="0" w:color="000000"/>
              <w:right w:val="single" w:sz="12" w:space="0" w:color="000000"/>
            </w:tcBorders>
          </w:tcPr>
          <w:p w14:paraId="011C45C3" w14:textId="78F5AA4E" w:rsidR="00B0429D" w:rsidRDefault="00B0429D" w:rsidP="00543BC3">
            <w:pPr>
              <w:spacing w:after="0" w:line="259" w:lineRule="auto"/>
              <w:ind w:left="0" w:right="44" w:firstLine="0"/>
              <w:jc w:val="center"/>
            </w:pPr>
            <w:r>
              <w:rPr>
                <w:sz w:val="18"/>
              </w:rPr>
              <w:t>502.2</w:t>
            </w:r>
          </w:p>
        </w:tc>
      </w:tr>
      <w:tr w:rsidR="00B0429D" w14:paraId="07912E26" w14:textId="77777777" w:rsidTr="00C23B62">
        <w:trPr>
          <w:trHeight w:val="250"/>
        </w:trPr>
        <w:tc>
          <w:tcPr>
            <w:tcW w:w="3144" w:type="dxa"/>
            <w:tcBorders>
              <w:top w:val="single" w:sz="4" w:space="0" w:color="000000"/>
              <w:left w:val="single" w:sz="12" w:space="0" w:color="000000"/>
              <w:bottom w:val="single" w:sz="4" w:space="0" w:color="000000"/>
              <w:right w:val="single" w:sz="12" w:space="0" w:color="000000"/>
            </w:tcBorders>
          </w:tcPr>
          <w:p w14:paraId="6B22E23C" w14:textId="77777777" w:rsidR="00B0429D" w:rsidRDefault="00B0429D" w:rsidP="00B0429D">
            <w:pPr>
              <w:spacing w:after="0" w:line="259" w:lineRule="auto"/>
              <w:ind w:left="0" w:right="0" w:firstLine="0"/>
            </w:pPr>
            <w:r>
              <w:rPr>
                <w:sz w:val="18"/>
              </w:rPr>
              <w:t xml:space="preserve">1,2-Dichloroethane </w:t>
            </w:r>
          </w:p>
        </w:tc>
        <w:tc>
          <w:tcPr>
            <w:tcW w:w="1146" w:type="dxa"/>
            <w:tcBorders>
              <w:top w:val="single" w:sz="4" w:space="0" w:color="000000"/>
              <w:left w:val="single" w:sz="12" w:space="0" w:color="000000"/>
              <w:bottom w:val="single" w:sz="4" w:space="0" w:color="000000"/>
              <w:right w:val="single" w:sz="12" w:space="0" w:color="000000"/>
            </w:tcBorders>
          </w:tcPr>
          <w:p w14:paraId="344E0D79" w14:textId="03936A3A" w:rsidR="00B0429D" w:rsidRDefault="00B0429D" w:rsidP="00543BC3">
            <w:pPr>
              <w:spacing w:after="0" w:line="259" w:lineRule="auto"/>
              <w:ind w:left="0" w:right="44" w:firstLine="0"/>
              <w:jc w:val="center"/>
            </w:pPr>
            <w:r>
              <w:rPr>
                <w:sz w:val="18"/>
              </w:rPr>
              <w:t>107-06-2</w:t>
            </w:r>
          </w:p>
        </w:tc>
        <w:tc>
          <w:tcPr>
            <w:tcW w:w="1063" w:type="dxa"/>
            <w:tcBorders>
              <w:top w:val="single" w:sz="4" w:space="0" w:color="000000"/>
              <w:left w:val="single" w:sz="12" w:space="0" w:color="000000"/>
              <w:bottom w:val="single" w:sz="4" w:space="0" w:color="000000"/>
              <w:right w:val="single" w:sz="12" w:space="0" w:color="000000"/>
            </w:tcBorders>
          </w:tcPr>
          <w:p w14:paraId="3167ABF5" w14:textId="495ED829" w:rsidR="00B0429D" w:rsidRDefault="00B0429D" w:rsidP="00543BC3">
            <w:pPr>
              <w:tabs>
                <w:tab w:val="center" w:pos="579"/>
              </w:tabs>
              <w:spacing w:after="0" w:line="259" w:lineRule="auto"/>
              <w:ind w:left="0" w:right="0" w:firstLine="0"/>
              <w:jc w:val="center"/>
            </w:pPr>
            <w:r>
              <w:rPr>
                <w:sz w:val="18"/>
              </w:rPr>
              <w:t>0.5</w:t>
            </w:r>
          </w:p>
        </w:tc>
        <w:tc>
          <w:tcPr>
            <w:tcW w:w="1042" w:type="dxa"/>
            <w:tcBorders>
              <w:top w:val="single" w:sz="4" w:space="0" w:color="000000"/>
              <w:left w:val="single" w:sz="12" w:space="0" w:color="000000"/>
              <w:bottom w:val="single" w:sz="4" w:space="0" w:color="000000"/>
              <w:right w:val="single" w:sz="12" w:space="0" w:color="000000"/>
            </w:tcBorders>
          </w:tcPr>
          <w:p w14:paraId="713C970A" w14:textId="5697735C" w:rsidR="00B0429D" w:rsidRDefault="00B0429D" w:rsidP="00543BC3">
            <w:pPr>
              <w:spacing w:after="0" w:line="259" w:lineRule="auto"/>
              <w:ind w:left="0" w:right="44" w:firstLine="0"/>
              <w:jc w:val="center"/>
            </w:pPr>
            <w:r>
              <w:rPr>
                <w:sz w:val="18"/>
              </w:rPr>
              <w:t>ug/L</w:t>
            </w:r>
          </w:p>
        </w:tc>
        <w:tc>
          <w:tcPr>
            <w:tcW w:w="946" w:type="dxa"/>
            <w:tcBorders>
              <w:top w:val="single" w:sz="4" w:space="0" w:color="000000"/>
              <w:left w:val="single" w:sz="12" w:space="0" w:color="000000"/>
              <w:bottom w:val="single" w:sz="4" w:space="0" w:color="000000"/>
              <w:right w:val="single" w:sz="12" w:space="0" w:color="000000"/>
            </w:tcBorders>
          </w:tcPr>
          <w:p w14:paraId="3C7B4DF3" w14:textId="0B3181CB" w:rsidR="00B0429D" w:rsidRDefault="00B0429D" w:rsidP="00543BC3">
            <w:pPr>
              <w:spacing w:after="0" w:line="259" w:lineRule="auto"/>
              <w:ind w:left="0" w:right="45" w:firstLine="0"/>
              <w:jc w:val="center"/>
            </w:pPr>
            <w:r>
              <w:rPr>
                <w:sz w:val="18"/>
              </w:rPr>
              <w:t>N/A</w:t>
            </w:r>
          </w:p>
        </w:tc>
        <w:tc>
          <w:tcPr>
            <w:tcW w:w="1045" w:type="dxa"/>
            <w:tcBorders>
              <w:top w:val="single" w:sz="4" w:space="0" w:color="000000"/>
              <w:left w:val="single" w:sz="12" w:space="0" w:color="000000"/>
              <w:bottom w:val="single" w:sz="4" w:space="0" w:color="000000"/>
              <w:right w:val="single" w:sz="12" w:space="0" w:color="000000"/>
            </w:tcBorders>
          </w:tcPr>
          <w:p w14:paraId="616A2BBB" w14:textId="054CF568" w:rsidR="00B0429D" w:rsidRDefault="00B0429D" w:rsidP="00543BC3">
            <w:pPr>
              <w:spacing w:after="0" w:line="259" w:lineRule="auto"/>
              <w:ind w:left="0" w:right="45" w:firstLine="0"/>
              <w:jc w:val="center"/>
            </w:pPr>
            <w:r>
              <w:rPr>
                <w:sz w:val="18"/>
              </w:rPr>
              <w:t>N/A</w:t>
            </w:r>
          </w:p>
        </w:tc>
        <w:tc>
          <w:tcPr>
            <w:tcW w:w="995" w:type="dxa"/>
            <w:tcBorders>
              <w:top w:val="single" w:sz="4" w:space="0" w:color="000000"/>
              <w:left w:val="single" w:sz="12" w:space="0" w:color="000000"/>
              <w:bottom w:val="single" w:sz="4" w:space="0" w:color="000000"/>
              <w:right w:val="single" w:sz="12" w:space="0" w:color="000000"/>
            </w:tcBorders>
          </w:tcPr>
          <w:p w14:paraId="411C9793" w14:textId="746F5425" w:rsidR="00B0429D" w:rsidRDefault="00B0429D" w:rsidP="00543BC3">
            <w:pPr>
              <w:spacing w:after="0" w:line="259" w:lineRule="auto"/>
              <w:ind w:left="0" w:right="46" w:firstLine="0"/>
              <w:jc w:val="center"/>
            </w:pPr>
            <w:r>
              <w:rPr>
                <w:b/>
                <w:sz w:val="18"/>
              </w:rPr>
              <w:t>524.2</w:t>
            </w:r>
          </w:p>
        </w:tc>
        <w:tc>
          <w:tcPr>
            <w:tcW w:w="1149" w:type="dxa"/>
            <w:tcBorders>
              <w:top w:val="single" w:sz="4" w:space="0" w:color="000000"/>
              <w:left w:val="single" w:sz="12" w:space="0" w:color="000000"/>
              <w:bottom w:val="single" w:sz="4" w:space="0" w:color="000000"/>
              <w:right w:val="single" w:sz="12" w:space="0" w:color="000000"/>
            </w:tcBorders>
          </w:tcPr>
          <w:p w14:paraId="00EFB8CD" w14:textId="6DFC0693" w:rsidR="00B0429D" w:rsidRDefault="00B0429D" w:rsidP="00543BC3">
            <w:pPr>
              <w:spacing w:after="0" w:line="259" w:lineRule="auto"/>
              <w:ind w:left="0" w:right="44" w:firstLine="0"/>
              <w:jc w:val="center"/>
            </w:pPr>
            <w:r>
              <w:rPr>
                <w:sz w:val="18"/>
              </w:rPr>
              <w:t>502.2</w:t>
            </w:r>
          </w:p>
        </w:tc>
      </w:tr>
      <w:tr w:rsidR="00B0429D" w14:paraId="5E982B9A" w14:textId="77777777" w:rsidTr="00C23B62">
        <w:trPr>
          <w:trHeight w:val="250"/>
        </w:trPr>
        <w:tc>
          <w:tcPr>
            <w:tcW w:w="3144" w:type="dxa"/>
            <w:tcBorders>
              <w:top w:val="single" w:sz="4" w:space="0" w:color="000000"/>
              <w:left w:val="single" w:sz="12" w:space="0" w:color="000000"/>
              <w:bottom w:val="single" w:sz="4" w:space="0" w:color="000000"/>
              <w:right w:val="single" w:sz="12" w:space="0" w:color="000000"/>
            </w:tcBorders>
          </w:tcPr>
          <w:p w14:paraId="67A41895" w14:textId="77777777" w:rsidR="00B0429D" w:rsidRDefault="00B0429D" w:rsidP="00B0429D">
            <w:pPr>
              <w:spacing w:after="0" w:line="259" w:lineRule="auto"/>
              <w:ind w:left="0" w:right="0" w:firstLine="0"/>
            </w:pPr>
            <w:r>
              <w:rPr>
                <w:sz w:val="18"/>
              </w:rPr>
              <w:t xml:space="preserve">1,1-Dichloroethene </w:t>
            </w:r>
          </w:p>
        </w:tc>
        <w:tc>
          <w:tcPr>
            <w:tcW w:w="1146" w:type="dxa"/>
            <w:tcBorders>
              <w:top w:val="single" w:sz="4" w:space="0" w:color="000000"/>
              <w:left w:val="single" w:sz="12" w:space="0" w:color="000000"/>
              <w:bottom w:val="single" w:sz="4" w:space="0" w:color="000000"/>
              <w:right w:val="single" w:sz="12" w:space="0" w:color="000000"/>
            </w:tcBorders>
          </w:tcPr>
          <w:p w14:paraId="1D4FFAFD" w14:textId="78952E69" w:rsidR="00B0429D" w:rsidRDefault="00B0429D" w:rsidP="00543BC3">
            <w:pPr>
              <w:spacing w:after="0" w:line="259" w:lineRule="auto"/>
              <w:ind w:left="0" w:right="44" w:firstLine="0"/>
              <w:jc w:val="center"/>
            </w:pPr>
            <w:r>
              <w:rPr>
                <w:sz w:val="18"/>
              </w:rPr>
              <w:t>75-35-4</w:t>
            </w:r>
          </w:p>
        </w:tc>
        <w:tc>
          <w:tcPr>
            <w:tcW w:w="1063" w:type="dxa"/>
            <w:tcBorders>
              <w:top w:val="single" w:sz="4" w:space="0" w:color="000000"/>
              <w:left w:val="single" w:sz="12" w:space="0" w:color="000000"/>
              <w:bottom w:val="single" w:sz="4" w:space="0" w:color="000000"/>
              <w:right w:val="single" w:sz="12" w:space="0" w:color="000000"/>
            </w:tcBorders>
          </w:tcPr>
          <w:p w14:paraId="205C7874" w14:textId="0E225979" w:rsidR="00B0429D" w:rsidRDefault="00B0429D" w:rsidP="00543BC3">
            <w:pPr>
              <w:tabs>
                <w:tab w:val="center" w:pos="579"/>
              </w:tabs>
              <w:spacing w:after="0" w:line="259" w:lineRule="auto"/>
              <w:ind w:left="0" w:right="0" w:firstLine="0"/>
              <w:jc w:val="center"/>
            </w:pPr>
            <w:r>
              <w:rPr>
                <w:sz w:val="18"/>
              </w:rPr>
              <w:t>0.5</w:t>
            </w:r>
          </w:p>
        </w:tc>
        <w:tc>
          <w:tcPr>
            <w:tcW w:w="1042" w:type="dxa"/>
            <w:tcBorders>
              <w:top w:val="single" w:sz="4" w:space="0" w:color="000000"/>
              <w:left w:val="single" w:sz="12" w:space="0" w:color="000000"/>
              <w:bottom w:val="single" w:sz="4" w:space="0" w:color="000000"/>
              <w:right w:val="single" w:sz="12" w:space="0" w:color="000000"/>
            </w:tcBorders>
          </w:tcPr>
          <w:p w14:paraId="1685CAFE" w14:textId="56CF3D04" w:rsidR="00B0429D" w:rsidRDefault="00B0429D" w:rsidP="00543BC3">
            <w:pPr>
              <w:spacing w:after="0" w:line="259" w:lineRule="auto"/>
              <w:ind w:left="0" w:right="44" w:firstLine="0"/>
              <w:jc w:val="center"/>
            </w:pPr>
            <w:r>
              <w:rPr>
                <w:sz w:val="18"/>
              </w:rPr>
              <w:t>ug/L</w:t>
            </w:r>
          </w:p>
        </w:tc>
        <w:tc>
          <w:tcPr>
            <w:tcW w:w="946" w:type="dxa"/>
            <w:tcBorders>
              <w:top w:val="single" w:sz="4" w:space="0" w:color="000000"/>
              <w:left w:val="single" w:sz="12" w:space="0" w:color="000000"/>
              <w:bottom w:val="single" w:sz="4" w:space="0" w:color="000000"/>
              <w:right w:val="single" w:sz="12" w:space="0" w:color="000000"/>
            </w:tcBorders>
          </w:tcPr>
          <w:p w14:paraId="25C92560" w14:textId="676495EC" w:rsidR="00B0429D" w:rsidRDefault="00B0429D" w:rsidP="00543BC3">
            <w:pPr>
              <w:spacing w:after="0" w:line="259" w:lineRule="auto"/>
              <w:ind w:left="0" w:right="45" w:firstLine="0"/>
              <w:jc w:val="center"/>
            </w:pPr>
            <w:r>
              <w:rPr>
                <w:sz w:val="18"/>
              </w:rPr>
              <w:t>N/A</w:t>
            </w:r>
          </w:p>
        </w:tc>
        <w:tc>
          <w:tcPr>
            <w:tcW w:w="1045" w:type="dxa"/>
            <w:tcBorders>
              <w:top w:val="single" w:sz="4" w:space="0" w:color="000000"/>
              <w:left w:val="single" w:sz="12" w:space="0" w:color="000000"/>
              <w:bottom w:val="single" w:sz="4" w:space="0" w:color="000000"/>
              <w:right w:val="single" w:sz="12" w:space="0" w:color="000000"/>
            </w:tcBorders>
          </w:tcPr>
          <w:p w14:paraId="30ABA912" w14:textId="18D865EA" w:rsidR="00B0429D" w:rsidRDefault="00B0429D" w:rsidP="00543BC3">
            <w:pPr>
              <w:spacing w:after="0" w:line="259" w:lineRule="auto"/>
              <w:ind w:left="0" w:right="45" w:firstLine="0"/>
              <w:jc w:val="center"/>
            </w:pPr>
            <w:r>
              <w:rPr>
                <w:sz w:val="18"/>
              </w:rPr>
              <w:t>N/A</w:t>
            </w:r>
          </w:p>
        </w:tc>
        <w:tc>
          <w:tcPr>
            <w:tcW w:w="995" w:type="dxa"/>
            <w:tcBorders>
              <w:top w:val="single" w:sz="4" w:space="0" w:color="000000"/>
              <w:left w:val="single" w:sz="12" w:space="0" w:color="000000"/>
              <w:bottom w:val="single" w:sz="4" w:space="0" w:color="000000"/>
              <w:right w:val="single" w:sz="12" w:space="0" w:color="000000"/>
            </w:tcBorders>
          </w:tcPr>
          <w:p w14:paraId="4481DF2C" w14:textId="40CA7A0E" w:rsidR="00B0429D" w:rsidRDefault="00B0429D" w:rsidP="00543BC3">
            <w:pPr>
              <w:spacing w:after="0" w:line="259" w:lineRule="auto"/>
              <w:ind w:left="0" w:right="46" w:firstLine="0"/>
              <w:jc w:val="center"/>
            </w:pPr>
            <w:r>
              <w:rPr>
                <w:b/>
                <w:sz w:val="18"/>
              </w:rPr>
              <w:t>524.2</w:t>
            </w:r>
          </w:p>
        </w:tc>
        <w:tc>
          <w:tcPr>
            <w:tcW w:w="1149" w:type="dxa"/>
            <w:tcBorders>
              <w:top w:val="single" w:sz="4" w:space="0" w:color="000000"/>
              <w:left w:val="single" w:sz="12" w:space="0" w:color="000000"/>
              <w:bottom w:val="single" w:sz="4" w:space="0" w:color="000000"/>
              <w:right w:val="single" w:sz="12" w:space="0" w:color="000000"/>
            </w:tcBorders>
          </w:tcPr>
          <w:p w14:paraId="455B6756" w14:textId="32B93FD5" w:rsidR="00B0429D" w:rsidRDefault="00B0429D" w:rsidP="00543BC3">
            <w:pPr>
              <w:spacing w:after="0" w:line="259" w:lineRule="auto"/>
              <w:ind w:left="0" w:right="44" w:firstLine="0"/>
              <w:jc w:val="center"/>
            </w:pPr>
            <w:r>
              <w:rPr>
                <w:sz w:val="18"/>
              </w:rPr>
              <w:t>502.2</w:t>
            </w:r>
          </w:p>
        </w:tc>
      </w:tr>
      <w:tr w:rsidR="00B0429D" w14:paraId="7C4F3483" w14:textId="77777777" w:rsidTr="00C23B62">
        <w:trPr>
          <w:trHeight w:val="252"/>
        </w:trPr>
        <w:tc>
          <w:tcPr>
            <w:tcW w:w="3144" w:type="dxa"/>
            <w:tcBorders>
              <w:top w:val="single" w:sz="4" w:space="0" w:color="000000"/>
              <w:left w:val="single" w:sz="12" w:space="0" w:color="000000"/>
              <w:bottom w:val="single" w:sz="4" w:space="0" w:color="000000"/>
              <w:right w:val="single" w:sz="12" w:space="0" w:color="000000"/>
            </w:tcBorders>
          </w:tcPr>
          <w:p w14:paraId="0ECD993A" w14:textId="77777777" w:rsidR="00B0429D" w:rsidRDefault="00B0429D" w:rsidP="00B0429D">
            <w:pPr>
              <w:spacing w:after="0" w:line="259" w:lineRule="auto"/>
              <w:ind w:left="0" w:right="0" w:firstLine="0"/>
            </w:pPr>
            <w:r>
              <w:rPr>
                <w:sz w:val="18"/>
              </w:rPr>
              <w:t xml:space="preserve">cis-1,2-Dichloroethene </w:t>
            </w:r>
          </w:p>
        </w:tc>
        <w:tc>
          <w:tcPr>
            <w:tcW w:w="1146" w:type="dxa"/>
            <w:tcBorders>
              <w:top w:val="single" w:sz="4" w:space="0" w:color="000000"/>
              <w:left w:val="single" w:sz="12" w:space="0" w:color="000000"/>
              <w:bottom w:val="single" w:sz="4" w:space="0" w:color="000000"/>
              <w:right w:val="single" w:sz="12" w:space="0" w:color="000000"/>
            </w:tcBorders>
          </w:tcPr>
          <w:p w14:paraId="007BF73A" w14:textId="07D29291" w:rsidR="00B0429D" w:rsidRDefault="00B0429D" w:rsidP="00543BC3">
            <w:pPr>
              <w:spacing w:after="0" w:line="259" w:lineRule="auto"/>
              <w:ind w:left="0" w:right="44" w:firstLine="0"/>
              <w:jc w:val="center"/>
            </w:pPr>
            <w:r>
              <w:rPr>
                <w:sz w:val="18"/>
              </w:rPr>
              <w:t>156-59-2</w:t>
            </w:r>
          </w:p>
        </w:tc>
        <w:tc>
          <w:tcPr>
            <w:tcW w:w="1063" w:type="dxa"/>
            <w:tcBorders>
              <w:top w:val="single" w:sz="4" w:space="0" w:color="000000"/>
              <w:left w:val="single" w:sz="12" w:space="0" w:color="000000"/>
              <w:bottom w:val="single" w:sz="4" w:space="0" w:color="000000"/>
              <w:right w:val="single" w:sz="12" w:space="0" w:color="000000"/>
            </w:tcBorders>
          </w:tcPr>
          <w:p w14:paraId="2EC8258B" w14:textId="344D8364" w:rsidR="00B0429D" w:rsidRDefault="00B0429D" w:rsidP="00543BC3">
            <w:pPr>
              <w:tabs>
                <w:tab w:val="center" w:pos="579"/>
              </w:tabs>
              <w:spacing w:after="0" w:line="259" w:lineRule="auto"/>
              <w:ind w:left="0" w:right="0" w:firstLine="0"/>
              <w:jc w:val="center"/>
            </w:pPr>
            <w:r>
              <w:rPr>
                <w:sz w:val="18"/>
              </w:rPr>
              <w:t>0.5</w:t>
            </w:r>
          </w:p>
        </w:tc>
        <w:tc>
          <w:tcPr>
            <w:tcW w:w="1042" w:type="dxa"/>
            <w:tcBorders>
              <w:top w:val="single" w:sz="4" w:space="0" w:color="000000"/>
              <w:left w:val="single" w:sz="12" w:space="0" w:color="000000"/>
              <w:bottom w:val="single" w:sz="4" w:space="0" w:color="000000"/>
              <w:right w:val="single" w:sz="12" w:space="0" w:color="000000"/>
            </w:tcBorders>
          </w:tcPr>
          <w:p w14:paraId="4F550530" w14:textId="1CB66E72" w:rsidR="00B0429D" w:rsidRDefault="00B0429D" w:rsidP="00543BC3">
            <w:pPr>
              <w:spacing w:after="0" w:line="259" w:lineRule="auto"/>
              <w:ind w:left="0" w:right="44" w:firstLine="0"/>
              <w:jc w:val="center"/>
            </w:pPr>
            <w:r>
              <w:rPr>
                <w:sz w:val="18"/>
              </w:rPr>
              <w:t>ug/L</w:t>
            </w:r>
          </w:p>
        </w:tc>
        <w:tc>
          <w:tcPr>
            <w:tcW w:w="946" w:type="dxa"/>
            <w:tcBorders>
              <w:top w:val="single" w:sz="4" w:space="0" w:color="000000"/>
              <w:left w:val="single" w:sz="12" w:space="0" w:color="000000"/>
              <w:bottom w:val="single" w:sz="4" w:space="0" w:color="000000"/>
              <w:right w:val="single" w:sz="12" w:space="0" w:color="000000"/>
            </w:tcBorders>
          </w:tcPr>
          <w:p w14:paraId="0BB4D08E" w14:textId="1DB7BA19" w:rsidR="00B0429D" w:rsidRDefault="00B0429D" w:rsidP="00543BC3">
            <w:pPr>
              <w:spacing w:after="0" w:line="259" w:lineRule="auto"/>
              <w:ind w:left="0" w:right="45" w:firstLine="0"/>
              <w:jc w:val="center"/>
            </w:pPr>
            <w:r>
              <w:rPr>
                <w:sz w:val="18"/>
              </w:rPr>
              <w:t>N/A</w:t>
            </w:r>
          </w:p>
        </w:tc>
        <w:tc>
          <w:tcPr>
            <w:tcW w:w="1045" w:type="dxa"/>
            <w:tcBorders>
              <w:top w:val="single" w:sz="4" w:space="0" w:color="000000"/>
              <w:left w:val="single" w:sz="12" w:space="0" w:color="000000"/>
              <w:bottom w:val="single" w:sz="4" w:space="0" w:color="000000"/>
              <w:right w:val="single" w:sz="12" w:space="0" w:color="000000"/>
            </w:tcBorders>
          </w:tcPr>
          <w:p w14:paraId="32B185BE" w14:textId="2C6B0AC7" w:rsidR="00B0429D" w:rsidRDefault="00B0429D" w:rsidP="00543BC3">
            <w:pPr>
              <w:spacing w:after="0" w:line="259" w:lineRule="auto"/>
              <w:ind w:left="0" w:right="45" w:firstLine="0"/>
              <w:jc w:val="center"/>
            </w:pPr>
            <w:r>
              <w:rPr>
                <w:sz w:val="18"/>
              </w:rPr>
              <w:t>N/A</w:t>
            </w:r>
          </w:p>
        </w:tc>
        <w:tc>
          <w:tcPr>
            <w:tcW w:w="995" w:type="dxa"/>
            <w:tcBorders>
              <w:top w:val="single" w:sz="4" w:space="0" w:color="000000"/>
              <w:left w:val="single" w:sz="12" w:space="0" w:color="000000"/>
              <w:bottom w:val="single" w:sz="4" w:space="0" w:color="000000"/>
              <w:right w:val="single" w:sz="12" w:space="0" w:color="000000"/>
            </w:tcBorders>
          </w:tcPr>
          <w:p w14:paraId="5F649FAA" w14:textId="218948E4" w:rsidR="00B0429D" w:rsidRDefault="00B0429D" w:rsidP="00543BC3">
            <w:pPr>
              <w:spacing w:after="0" w:line="259" w:lineRule="auto"/>
              <w:ind w:left="0" w:right="46" w:firstLine="0"/>
              <w:jc w:val="center"/>
            </w:pPr>
            <w:r>
              <w:rPr>
                <w:b/>
                <w:sz w:val="18"/>
              </w:rPr>
              <w:t>524.2</w:t>
            </w:r>
          </w:p>
        </w:tc>
        <w:tc>
          <w:tcPr>
            <w:tcW w:w="1149" w:type="dxa"/>
            <w:tcBorders>
              <w:top w:val="single" w:sz="4" w:space="0" w:color="000000"/>
              <w:left w:val="single" w:sz="12" w:space="0" w:color="000000"/>
              <w:bottom w:val="single" w:sz="4" w:space="0" w:color="000000"/>
              <w:right w:val="single" w:sz="12" w:space="0" w:color="000000"/>
            </w:tcBorders>
          </w:tcPr>
          <w:p w14:paraId="324E2E33" w14:textId="2ABE0914" w:rsidR="00B0429D" w:rsidRDefault="00B0429D" w:rsidP="00543BC3">
            <w:pPr>
              <w:spacing w:after="0" w:line="259" w:lineRule="auto"/>
              <w:ind w:left="0" w:right="44" w:firstLine="0"/>
              <w:jc w:val="center"/>
            </w:pPr>
            <w:r>
              <w:rPr>
                <w:sz w:val="18"/>
              </w:rPr>
              <w:t>502.2</w:t>
            </w:r>
          </w:p>
        </w:tc>
      </w:tr>
      <w:tr w:rsidR="00B0429D" w14:paraId="24244F87" w14:textId="77777777" w:rsidTr="00C23B62">
        <w:trPr>
          <w:trHeight w:val="250"/>
        </w:trPr>
        <w:tc>
          <w:tcPr>
            <w:tcW w:w="3144" w:type="dxa"/>
            <w:tcBorders>
              <w:top w:val="single" w:sz="4" w:space="0" w:color="000000"/>
              <w:left w:val="single" w:sz="12" w:space="0" w:color="000000"/>
              <w:bottom w:val="single" w:sz="4" w:space="0" w:color="000000"/>
              <w:right w:val="single" w:sz="12" w:space="0" w:color="000000"/>
            </w:tcBorders>
          </w:tcPr>
          <w:p w14:paraId="059E8B91" w14:textId="77777777" w:rsidR="00B0429D" w:rsidRDefault="00B0429D" w:rsidP="00B0429D">
            <w:pPr>
              <w:spacing w:after="0" w:line="259" w:lineRule="auto"/>
              <w:ind w:left="0" w:right="0" w:firstLine="0"/>
            </w:pPr>
            <w:r>
              <w:rPr>
                <w:sz w:val="18"/>
              </w:rPr>
              <w:t xml:space="preserve">trans-1,2-Dichloroethene </w:t>
            </w:r>
          </w:p>
        </w:tc>
        <w:tc>
          <w:tcPr>
            <w:tcW w:w="1146" w:type="dxa"/>
            <w:tcBorders>
              <w:top w:val="single" w:sz="4" w:space="0" w:color="000000"/>
              <w:left w:val="single" w:sz="12" w:space="0" w:color="000000"/>
              <w:bottom w:val="single" w:sz="4" w:space="0" w:color="000000"/>
              <w:right w:val="single" w:sz="12" w:space="0" w:color="000000"/>
            </w:tcBorders>
          </w:tcPr>
          <w:p w14:paraId="2E5CE476" w14:textId="576F0B39" w:rsidR="00B0429D" w:rsidRDefault="00B0429D" w:rsidP="00543BC3">
            <w:pPr>
              <w:spacing w:after="0" w:line="259" w:lineRule="auto"/>
              <w:ind w:left="0" w:right="44" w:firstLine="0"/>
              <w:jc w:val="center"/>
            </w:pPr>
            <w:r>
              <w:rPr>
                <w:sz w:val="18"/>
              </w:rPr>
              <w:t>156-60-5</w:t>
            </w:r>
          </w:p>
        </w:tc>
        <w:tc>
          <w:tcPr>
            <w:tcW w:w="1063" w:type="dxa"/>
            <w:tcBorders>
              <w:top w:val="single" w:sz="4" w:space="0" w:color="000000"/>
              <w:left w:val="single" w:sz="12" w:space="0" w:color="000000"/>
              <w:bottom w:val="single" w:sz="4" w:space="0" w:color="000000"/>
              <w:right w:val="single" w:sz="12" w:space="0" w:color="000000"/>
            </w:tcBorders>
          </w:tcPr>
          <w:p w14:paraId="3CB551D8" w14:textId="5A0E6412" w:rsidR="00B0429D" w:rsidRDefault="00B0429D" w:rsidP="00543BC3">
            <w:pPr>
              <w:tabs>
                <w:tab w:val="center" w:pos="579"/>
              </w:tabs>
              <w:spacing w:after="0" w:line="259" w:lineRule="auto"/>
              <w:ind w:left="0" w:right="0" w:firstLine="0"/>
              <w:jc w:val="center"/>
            </w:pPr>
            <w:r>
              <w:rPr>
                <w:sz w:val="18"/>
              </w:rPr>
              <w:t>0.5</w:t>
            </w:r>
          </w:p>
        </w:tc>
        <w:tc>
          <w:tcPr>
            <w:tcW w:w="1042" w:type="dxa"/>
            <w:tcBorders>
              <w:top w:val="single" w:sz="4" w:space="0" w:color="000000"/>
              <w:left w:val="single" w:sz="12" w:space="0" w:color="000000"/>
              <w:bottom w:val="single" w:sz="4" w:space="0" w:color="000000"/>
              <w:right w:val="single" w:sz="12" w:space="0" w:color="000000"/>
            </w:tcBorders>
          </w:tcPr>
          <w:p w14:paraId="1311902E" w14:textId="7521E29F" w:rsidR="00B0429D" w:rsidRDefault="00B0429D" w:rsidP="00543BC3">
            <w:pPr>
              <w:spacing w:after="0" w:line="259" w:lineRule="auto"/>
              <w:ind w:left="0" w:right="44" w:firstLine="0"/>
              <w:jc w:val="center"/>
            </w:pPr>
            <w:r>
              <w:rPr>
                <w:sz w:val="18"/>
              </w:rPr>
              <w:t>ug/L</w:t>
            </w:r>
          </w:p>
        </w:tc>
        <w:tc>
          <w:tcPr>
            <w:tcW w:w="946" w:type="dxa"/>
            <w:tcBorders>
              <w:top w:val="single" w:sz="4" w:space="0" w:color="000000"/>
              <w:left w:val="single" w:sz="12" w:space="0" w:color="000000"/>
              <w:bottom w:val="single" w:sz="4" w:space="0" w:color="000000"/>
              <w:right w:val="single" w:sz="12" w:space="0" w:color="000000"/>
            </w:tcBorders>
          </w:tcPr>
          <w:p w14:paraId="23D4FDD8" w14:textId="2FFFF708" w:rsidR="00B0429D" w:rsidRDefault="00B0429D" w:rsidP="00543BC3">
            <w:pPr>
              <w:spacing w:after="0" w:line="259" w:lineRule="auto"/>
              <w:ind w:left="0" w:right="45" w:firstLine="0"/>
              <w:jc w:val="center"/>
            </w:pPr>
            <w:r>
              <w:rPr>
                <w:sz w:val="18"/>
              </w:rPr>
              <w:t>N/A</w:t>
            </w:r>
          </w:p>
        </w:tc>
        <w:tc>
          <w:tcPr>
            <w:tcW w:w="1045" w:type="dxa"/>
            <w:tcBorders>
              <w:top w:val="single" w:sz="4" w:space="0" w:color="000000"/>
              <w:left w:val="single" w:sz="12" w:space="0" w:color="000000"/>
              <w:bottom w:val="single" w:sz="4" w:space="0" w:color="000000"/>
              <w:right w:val="single" w:sz="12" w:space="0" w:color="000000"/>
            </w:tcBorders>
          </w:tcPr>
          <w:p w14:paraId="3D1B05BC" w14:textId="09B4BEC2" w:rsidR="00B0429D" w:rsidRDefault="00B0429D" w:rsidP="00543BC3">
            <w:pPr>
              <w:spacing w:after="0" w:line="259" w:lineRule="auto"/>
              <w:ind w:left="0" w:right="45" w:firstLine="0"/>
              <w:jc w:val="center"/>
            </w:pPr>
            <w:r>
              <w:rPr>
                <w:sz w:val="18"/>
              </w:rPr>
              <w:t>N/A</w:t>
            </w:r>
          </w:p>
        </w:tc>
        <w:tc>
          <w:tcPr>
            <w:tcW w:w="995" w:type="dxa"/>
            <w:tcBorders>
              <w:top w:val="single" w:sz="4" w:space="0" w:color="000000"/>
              <w:left w:val="single" w:sz="12" w:space="0" w:color="000000"/>
              <w:bottom w:val="single" w:sz="4" w:space="0" w:color="000000"/>
              <w:right w:val="single" w:sz="12" w:space="0" w:color="000000"/>
            </w:tcBorders>
          </w:tcPr>
          <w:p w14:paraId="50B7D4F6" w14:textId="7606CB93" w:rsidR="00B0429D" w:rsidRDefault="00B0429D" w:rsidP="00543BC3">
            <w:pPr>
              <w:spacing w:after="0" w:line="259" w:lineRule="auto"/>
              <w:ind w:left="0" w:right="46" w:firstLine="0"/>
              <w:jc w:val="center"/>
            </w:pPr>
            <w:r>
              <w:rPr>
                <w:b/>
                <w:sz w:val="18"/>
              </w:rPr>
              <w:t>524.2</w:t>
            </w:r>
          </w:p>
        </w:tc>
        <w:tc>
          <w:tcPr>
            <w:tcW w:w="1149" w:type="dxa"/>
            <w:tcBorders>
              <w:top w:val="single" w:sz="4" w:space="0" w:color="000000"/>
              <w:left w:val="single" w:sz="12" w:space="0" w:color="000000"/>
              <w:bottom w:val="single" w:sz="4" w:space="0" w:color="000000"/>
              <w:right w:val="single" w:sz="12" w:space="0" w:color="000000"/>
            </w:tcBorders>
          </w:tcPr>
          <w:p w14:paraId="3771CF23" w14:textId="7DBCC1F5" w:rsidR="00B0429D" w:rsidRDefault="00B0429D" w:rsidP="00543BC3">
            <w:pPr>
              <w:spacing w:after="0" w:line="259" w:lineRule="auto"/>
              <w:ind w:left="0" w:right="44" w:firstLine="0"/>
              <w:jc w:val="center"/>
            </w:pPr>
            <w:r>
              <w:rPr>
                <w:sz w:val="18"/>
              </w:rPr>
              <w:t>502.2</w:t>
            </w:r>
          </w:p>
        </w:tc>
      </w:tr>
      <w:tr w:rsidR="00B0429D" w14:paraId="11B9665F" w14:textId="77777777" w:rsidTr="00C23B62">
        <w:trPr>
          <w:trHeight w:val="250"/>
        </w:trPr>
        <w:tc>
          <w:tcPr>
            <w:tcW w:w="3144" w:type="dxa"/>
            <w:tcBorders>
              <w:top w:val="single" w:sz="4" w:space="0" w:color="000000"/>
              <w:left w:val="single" w:sz="12" w:space="0" w:color="000000"/>
              <w:bottom w:val="single" w:sz="4" w:space="0" w:color="000000"/>
              <w:right w:val="single" w:sz="12" w:space="0" w:color="000000"/>
            </w:tcBorders>
          </w:tcPr>
          <w:p w14:paraId="200BB168" w14:textId="77777777" w:rsidR="00B0429D" w:rsidRDefault="00B0429D" w:rsidP="00B0429D">
            <w:pPr>
              <w:spacing w:after="0" w:line="259" w:lineRule="auto"/>
              <w:ind w:left="0" w:right="0" w:firstLine="0"/>
            </w:pPr>
            <w:r>
              <w:rPr>
                <w:sz w:val="18"/>
              </w:rPr>
              <w:t xml:space="preserve">1,2-Dichloropropane </w:t>
            </w:r>
          </w:p>
        </w:tc>
        <w:tc>
          <w:tcPr>
            <w:tcW w:w="1146" w:type="dxa"/>
            <w:tcBorders>
              <w:top w:val="single" w:sz="4" w:space="0" w:color="000000"/>
              <w:left w:val="single" w:sz="12" w:space="0" w:color="000000"/>
              <w:bottom w:val="single" w:sz="4" w:space="0" w:color="000000"/>
              <w:right w:val="single" w:sz="12" w:space="0" w:color="000000"/>
            </w:tcBorders>
          </w:tcPr>
          <w:p w14:paraId="7BA1A191" w14:textId="4D69C213" w:rsidR="00B0429D" w:rsidRDefault="00B0429D" w:rsidP="00543BC3">
            <w:pPr>
              <w:spacing w:after="0" w:line="259" w:lineRule="auto"/>
              <w:ind w:left="0" w:right="44" w:firstLine="0"/>
              <w:jc w:val="center"/>
            </w:pPr>
            <w:r>
              <w:rPr>
                <w:sz w:val="18"/>
              </w:rPr>
              <w:t>78-87-5</w:t>
            </w:r>
          </w:p>
        </w:tc>
        <w:tc>
          <w:tcPr>
            <w:tcW w:w="1063" w:type="dxa"/>
            <w:tcBorders>
              <w:top w:val="single" w:sz="4" w:space="0" w:color="000000"/>
              <w:left w:val="single" w:sz="12" w:space="0" w:color="000000"/>
              <w:bottom w:val="single" w:sz="4" w:space="0" w:color="000000"/>
              <w:right w:val="single" w:sz="12" w:space="0" w:color="000000"/>
            </w:tcBorders>
          </w:tcPr>
          <w:p w14:paraId="02C04020" w14:textId="6D47264C" w:rsidR="00B0429D" w:rsidRDefault="00B0429D" w:rsidP="00543BC3">
            <w:pPr>
              <w:tabs>
                <w:tab w:val="center" w:pos="579"/>
              </w:tabs>
              <w:spacing w:after="0" w:line="259" w:lineRule="auto"/>
              <w:ind w:left="0" w:right="0" w:firstLine="0"/>
              <w:jc w:val="center"/>
            </w:pPr>
            <w:r>
              <w:rPr>
                <w:sz w:val="18"/>
              </w:rPr>
              <w:t>0.1</w:t>
            </w:r>
          </w:p>
        </w:tc>
        <w:tc>
          <w:tcPr>
            <w:tcW w:w="1042" w:type="dxa"/>
            <w:tcBorders>
              <w:top w:val="single" w:sz="4" w:space="0" w:color="000000"/>
              <w:left w:val="single" w:sz="12" w:space="0" w:color="000000"/>
              <w:bottom w:val="single" w:sz="4" w:space="0" w:color="000000"/>
              <w:right w:val="single" w:sz="12" w:space="0" w:color="000000"/>
            </w:tcBorders>
          </w:tcPr>
          <w:p w14:paraId="2468B643" w14:textId="5D9511D1" w:rsidR="00B0429D" w:rsidRDefault="00B0429D" w:rsidP="00543BC3">
            <w:pPr>
              <w:spacing w:after="0" w:line="259" w:lineRule="auto"/>
              <w:ind w:left="0" w:right="44" w:firstLine="0"/>
              <w:jc w:val="center"/>
            </w:pPr>
            <w:r>
              <w:rPr>
                <w:sz w:val="18"/>
              </w:rPr>
              <w:t>ug/L</w:t>
            </w:r>
          </w:p>
        </w:tc>
        <w:tc>
          <w:tcPr>
            <w:tcW w:w="946" w:type="dxa"/>
            <w:tcBorders>
              <w:top w:val="single" w:sz="4" w:space="0" w:color="000000"/>
              <w:left w:val="single" w:sz="12" w:space="0" w:color="000000"/>
              <w:bottom w:val="single" w:sz="4" w:space="0" w:color="000000"/>
              <w:right w:val="single" w:sz="12" w:space="0" w:color="000000"/>
            </w:tcBorders>
          </w:tcPr>
          <w:p w14:paraId="6024E961" w14:textId="3AD96175" w:rsidR="00B0429D" w:rsidRDefault="00B0429D" w:rsidP="00543BC3">
            <w:pPr>
              <w:spacing w:after="0" w:line="259" w:lineRule="auto"/>
              <w:ind w:left="0" w:right="45" w:firstLine="0"/>
              <w:jc w:val="center"/>
            </w:pPr>
            <w:r>
              <w:rPr>
                <w:sz w:val="18"/>
              </w:rPr>
              <w:t>N/A</w:t>
            </w:r>
          </w:p>
        </w:tc>
        <w:tc>
          <w:tcPr>
            <w:tcW w:w="1045" w:type="dxa"/>
            <w:tcBorders>
              <w:top w:val="single" w:sz="4" w:space="0" w:color="000000"/>
              <w:left w:val="single" w:sz="12" w:space="0" w:color="000000"/>
              <w:bottom w:val="single" w:sz="4" w:space="0" w:color="000000"/>
              <w:right w:val="single" w:sz="12" w:space="0" w:color="000000"/>
            </w:tcBorders>
          </w:tcPr>
          <w:p w14:paraId="031A1232" w14:textId="407C99E0" w:rsidR="00B0429D" w:rsidRDefault="00B0429D" w:rsidP="00543BC3">
            <w:pPr>
              <w:spacing w:after="0" w:line="259" w:lineRule="auto"/>
              <w:ind w:left="0" w:right="45" w:firstLine="0"/>
              <w:jc w:val="center"/>
            </w:pPr>
            <w:r>
              <w:rPr>
                <w:sz w:val="18"/>
              </w:rPr>
              <w:t>N/A</w:t>
            </w:r>
          </w:p>
        </w:tc>
        <w:tc>
          <w:tcPr>
            <w:tcW w:w="995" w:type="dxa"/>
            <w:tcBorders>
              <w:top w:val="single" w:sz="4" w:space="0" w:color="000000"/>
              <w:left w:val="single" w:sz="12" w:space="0" w:color="000000"/>
              <w:bottom w:val="single" w:sz="4" w:space="0" w:color="000000"/>
              <w:right w:val="single" w:sz="12" w:space="0" w:color="000000"/>
            </w:tcBorders>
          </w:tcPr>
          <w:p w14:paraId="1A38C77B" w14:textId="0727EE16" w:rsidR="00B0429D" w:rsidRDefault="00B0429D" w:rsidP="00543BC3">
            <w:pPr>
              <w:spacing w:after="0" w:line="259" w:lineRule="auto"/>
              <w:ind w:left="0" w:right="46" w:firstLine="0"/>
              <w:jc w:val="center"/>
            </w:pPr>
            <w:r>
              <w:rPr>
                <w:b/>
                <w:sz w:val="18"/>
              </w:rPr>
              <w:t>524.2</w:t>
            </w:r>
          </w:p>
        </w:tc>
        <w:tc>
          <w:tcPr>
            <w:tcW w:w="1149" w:type="dxa"/>
            <w:tcBorders>
              <w:top w:val="single" w:sz="4" w:space="0" w:color="000000"/>
              <w:left w:val="single" w:sz="12" w:space="0" w:color="000000"/>
              <w:bottom w:val="single" w:sz="4" w:space="0" w:color="000000"/>
              <w:right w:val="single" w:sz="12" w:space="0" w:color="000000"/>
            </w:tcBorders>
          </w:tcPr>
          <w:p w14:paraId="0F497FD2" w14:textId="21E56EF4" w:rsidR="00B0429D" w:rsidRDefault="00B0429D" w:rsidP="00543BC3">
            <w:pPr>
              <w:spacing w:after="0" w:line="259" w:lineRule="auto"/>
              <w:ind w:left="0" w:right="44" w:firstLine="0"/>
              <w:jc w:val="center"/>
            </w:pPr>
            <w:r>
              <w:rPr>
                <w:sz w:val="18"/>
              </w:rPr>
              <w:t>502.2</w:t>
            </w:r>
          </w:p>
        </w:tc>
      </w:tr>
      <w:tr w:rsidR="00B0429D" w14:paraId="153EC423" w14:textId="77777777" w:rsidTr="00C23B62">
        <w:trPr>
          <w:trHeight w:val="259"/>
        </w:trPr>
        <w:tc>
          <w:tcPr>
            <w:tcW w:w="3144" w:type="dxa"/>
            <w:tcBorders>
              <w:top w:val="single" w:sz="4" w:space="0" w:color="000000"/>
              <w:left w:val="single" w:sz="12" w:space="0" w:color="000000"/>
              <w:bottom w:val="single" w:sz="12" w:space="0" w:color="000000"/>
              <w:right w:val="single" w:sz="12" w:space="0" w:color="000000"/>
            </w:tcBorders>
          </w:tcPr>
          <w:p w14:paraId="1098FE24" w14:textId="77777777" w:rsidR="00B0429D" w:rsidRPr="004026A2" w:rsidRDefault="00B0429D" w:rsidP="00ED1741">
            <w:pPr>
              <w:pStyle w:val="NoSpacing"/>
              <w:rPr>
                <w:sz w:val="18"/>
                <w:szCs w:val="18"/>
              </w:rPr>
            </w:pPr>
            <w:r w:rsidRPr="004026A2">
              <w:rPr>
                <w:sz w:val="18"/>
                <w:szCs w:val="18"/>
              </w:rPr>
              <w:t xml:space="preserve">1,3-Dichloropropane </w:t>
            </w:r>
          </w:p>
        </w:tc>
        <w:tc>
          <w:tcPr>
            <w:tcW w:w="1146" w:type="dxa"/>
            <w:tcBorders>
              <w:top w:val="single" w:sz="4" w:space="0" w:color="000000"/>
              <w:left w:val="single" w:sz="12" w:space="0" w:color="000000"/>
              <w:bottom w:val="single" w:sz="12" w:space="0" w:color="000000"/>
              <w:right w:val="single" w:sz="12" w:space="0" w:color="000000"/>
            </w:tcBorders>
          </w:tcPr>
          <w:p w14:paraId="585A6452" w14:textId="79DE3984" w:rsidR="00B0429D" w:rsidRDefault="00B0429D" w:rsidP="006F4EE2">
            <w:pPr>
              <w:spacing w:after="0" w:line="259" w:lineRule="auto"/>
              <w:ind w:left="0" w:right="44" w:firstLine="0"/>
              <w:jc w:val="center"/>
            </w:pPr>
            <w:r>
              <w:rPr>
                <w:sz w:val="18"/>
              </w:rPr>
              <w:t>142-28-9</w:t>
            </w:r>
          </w:p>
        </w:tc>
        <w:tc>
          <w:tcPr>
            <w:tcW w:w="1063" w:type="dxa"/>
            <w:tcBorders>
              <w:top w:val="single" w:sz="4" w:space="0" w:color="000000"/>
              <w:left w:val="single" w:sz="12" w:space="0" w:color="000000"/>
              <w:bottom w:val="single" w:sz="12" w:space="0" w:color="000000"/>
              <w:right w:val="single" w:sz="12" w:space="0" w:color="000000"/>
            </w:tcBorders>
          </w:tcPr>
          <w:p w14:paraId="1EC7954D" w14:textId="5D51639A" w:rsidR="00B0429D" w:rsidRDefault="00B0429D" w:rsidP="006F4EE2">
            <w:pPr>
              <w:tabs>
                <w:tab w:val="center" w:pos="579"/>
              </w:tabs>
              <w:spacing w:after="0" w:line="259" w:lineRule="auto"/>
              <w:ind w:left="0" w:right="0" w:firstLine="0"/>
              <w:jc w:val="center"/>
            </w:pPr>
            <w:r>
              <w:rPr>
                <w:sz w:val="18"/>
              </w:rPr>
              <w:t>0.5</w:t>
            </w:r>
          </w:p>
        </w:tc>
        <w:tc>
          <w:tcPr>
            <w:tcW w:w="1042" w:type="dxa"/>
            <w:tcBorders>
              <w:top w:val="single" w:sz="4" w:space="0" w:color="000000"/>
              <w:left w:val="single" w:sz="12" w:space="0" w:color="000000"/>
              <w:bottom w:val="single" w:sz="12" w:space="0" w:color="000000"/>
              <w:right w:val="single" w:sz="12" w:space="0" w:color="000000"/>
            </w:tcBorders>
          </w:tcPr>
          <w:p w14:paraId="69B779F2" w14:textId="16670575" w:rsidR="00B0429D" w:rsidRDefault="00B0429D" w:rsidP="00543BC3">
            <w:pPr>
              <w:spacing w:after="0" w:line="259" w:lineRule="auto"/>
              <w:ind w:left="0" w:right="44" w:firstLine="0"/>
              <w:jc w:val="center"/>
            </w:pPr>
            <w:r>
              <w:rPr>
                <w:sz w:val="18"/>
              </w:rPr>
              <w:t>ug/L</w:t>
            </w:r>
          </w:p>
        </w:tc>
        <w:tc>
          <w:tcPr>
            <w:tcW w:w="946" w:type="dxa"/>
            <w:tcBorders>
              <w:top w:val="single" w:sz="4" w:space="0" w:color="000000"/>
              <w:left w:val="single" w:sz="12" w:space="0" w:color="000000"/>
              <w:bottom w:val="single" w:sz="12" w:space="0" w:color="000000"/>
              <w:right w:val="single" w:sz="12" w:space="0" w:color="000000"/>
            </w:tcBorders>
          </w:tcPr>
          <w:p w14:paraId="3ECE23FD" w14:textId="09490C4F" w:rsidR="00B0429D" w:rsidRDefault="00B0429D" w:rsidP="00543BC3">
            <w:pPr>
              <w:spacing w:after="0" w:line="259" w:lineRule="auto"/>
              <w:ind w:left="0" w:right="45" w:firstLine="0"/>
              <w:jc w:val="center"/>
            </w:pPr>
            <w:r>
              <w:rPr>
                <w:sz w:val="18"/>
              </w:rPr>
              <w:t>N/A</w:t>
            </w:r>
          </w:p>
        </w:tc>
        <w:tc>
          <w:tcPr>
            <w:tcW w:w="1045" w:type="dxa"/>
            <w:tcBorders>
              <w:top w:val="single" w:sz="4" w:space="0" w:color="000000"/>
              <w:left w:val="single" w:sz="12" w:space="0" w:color="000000"/>
              <w:bottom w:val="single" w:sz="12" w:space="0" w:color="000000"/>
              <w:right w:val="single" w:sz="12" w:space="0" w:color="000000"/>
            </w:tcBorders>
          </w:tcPr>
          <w:p w14:paraId="05476A0B" w14:textId="5269EC05" w:rsidR="00B0429D" w:rsidRDefault="00B0429D" w:rsidP="00543BC3">
            <w:pPr>
              <w:spacing w:after="0" w:line="259" w:lineRule="auto"/>
              <w:ind w:left="0" w:right="45" w:firstLine="0"/>
              <w:jc w:val="center"/>
            </w:pPr>
            <w:r>
              <w:rPr>
                <w:sz w:val="18"/>
              </w:rPr>
              <w:t>N/A</w:t>
            </w:r>
          </w:p>
        </w:tc>
        <w:tc>
          <w:tcPr>
            <w:tcW w:w="995" w:type="dxa"/>
            <w:tcBorders>
              <w:top w:val="single" w:sz="4" w:space="0" w:color="000000"/>
              <w:left w:val="single" w:sz="12" w:space="0" w:color="000000"/>
              <w:bottom w:val="single" w:sz="12" w:space="0" w:color="000000"/>
              <w:right w:val="single" w:sz="12" w:space="0" w:color="000000"/>
            </w:tcBorders>
          </w:tcPr>
          <w:p w14:paraId="1FBBE644" w14:textId="449053EF" w:rsidR="00B0429D" w:rsidRDefault="00B0429D" w:rsidP="00543BC3">
            <w:pPr>
              <w:spacing w:after="0" w:line="259" w:lineRule="auto"/>
              <w:ind w:left="0" w:right="46" w:firstLine="0"/>
              <w:jc w:val="center"/>
            </w:pPr>
            <w:r>
              <w:rPr>
                <w:b/>
                <w:sz w:val="18"/>
              </w:rPr>
              <w:t>524.2</w:t>
            </w:r>
          </w:p>
        </w:tc>
        <w:tc>
          <w:tcPr>
            <w:tcW w:w="1149" w:type="dxa"/>
            <w:tcBorders>
              <w:top w:val="single" w:sz="4" w:space="0" w:color="000000"/>
              <w:left w:val="single" w:sz="12" w:space="0" w:color="000000"/>
              <w:bottom w:val="single" w:sz="12" w:space="0" w:color="000000"/>
              <w:right w:val="single" w:sz="12" w:space="0" w:color="000000"/>
            </w:tcBorders>
          </w:tcPr>
          <w:p w14:paraId="067D7003" w14:textId="6FF0C2AD" w:rsidR="00B0429D" w:rsidRDefault="00B0429D" w:rsidP="00543BC3">
            <w:pPr>
              <w:spacing w:after="0" w:line="259" w:lineRule="auto"/>
              <w:ind w:left="0" w:right="44" w:firstLine="0"/>
              <w:jc w:val="center"/>
            </w:pPr>
            <w:r>
              <w:rPr>
                <w:sz w:val="18"/>
              </w:rPr>
              <w:t>502.2</w:t>
            </w:r>
          </w:p>
        </w:tc>
      </w:tr>
    </w:tbl>
    <w:p w14:paraId="5C19509E" w14:textId="56EA2651" w:rsidR="00B56D50" w:rsidRDefault="00B56D50" w:rsidP="00ED1741">
      <w:pPr>
        <w:pStyle w:val="NoSpacing"/>
      </w:pPr>
    </w:p>
    <w:p w14:paraId="5236A28D" w14:textId="660B802D" w:rsidR="00B56D50" w:rsidRPr="008C6796" w:rsidRDefault="00B56D50" w:rsidP="00F35F64">
      <w:pPr>
        <w:spacing w:after="0" w:line="259" w:lineRule="auto"/>
        <w:ind w:right="0"/>
        <w:rPr>
          <w:b/>
          <w:sz w:val="18"/>
        </w:rPr>
      </w:pPr>
    </w:p>
    <w:tbl>
      <w:tblPr>
        <w:tblStyle w:val="TableGrid1"/>
        <w:tblW w:w="10530" w:type="dxa"/>
        <w:tblInd w:w="-375" w:type="dxa"/>
        <w:tblLayout w:type="fixed"/>
        <w:tblCellMar>
          <w:top w:w="24" w:type="dxa"/>
          <w:left w:w="43" w:type="dxa"/>
          <w:right w:w="27" w:type="dxa"/>
        </w:tblCellMar>
        <w:tblLook w:val="04A0" w:firstRow="1" w:lastRow="0" w:firstColumn="1" w:lastColumn="0" w:noHBand="0" w:noVBand="1"/>
      </w:tblPr>
      <w:tblGrid>
        <w:gridCol w:w="3448"/>
        <w:gridCol w:w="1232"/>
        <w:gridCol w:w="1062"/>
        <w:gridCol w:w="973"/>
        <w:gridCol w:w="935"/>
        <w:gridCol w:w="900"/>
        <w:gridCol w:w="1030"/>
        <w:gridCol w:w="950"/>
      </w:tblGrid>
      <w:tr w:rsidR="006153D2" w14:paraId="55F7B486" w14:textId="77777777" w:rsidTr="00C23B62">
        <w:trPr>
          <w:trHeight w:val="269"/>
        </w:trPr>
        <w:tc>
          <w:tcPr>
            <w:tcW w:w="7650" w:type="dxa"/>
            <w:gridSpan w:val="5"/>
            <w:tcBorders>
              <w:top w:val="single" w:sz="12" w:space="0" w:color="000000"/>
              <w:left w:val="single" w:sz="12" w:space="0" w:color="000000"/>
              <w:bottom w:val="single" w:sz="12" w:space="0" w:color="000000"/>
              <w:right w:val="nil"/>
            </w:tcBorders>
            <w:vAlign w:val="center"/>
          </w:tcPr>
          <w:p w14:paraId="0CB0266A" w14:textId="183E7944" w:rsidR="00B56D50" w:rsidRDefault="001C3C42" w:rsidP="008F01EB">
            <w:pPr>
              <w:spacing w:after="0" w:line="259" w:lineRule="auto"/>
              <w:ind w:left="29" w:right="0" w:firstLine="0"/>
            </w:pPr>
            <w:r>
              <w:rPr>
                <w:b/>
                <w:sz w:val="18"/>
              </w:rPr>
              <w:lastRenderedPageBreak/>
              <w:t>Drinking Water Volatiles Group A</w:t>
            </w:r>
            <w:proofErr w:type="gramStart"/>
            <w:r>
              <w:rPr>
                <w:b/>
                <w:sz w:val="18"/>
              </w:rPr>
              <w:t>:</w:t>
            </w:r>
            <w:r>
              <w:rPr>
                <w:sz w:val="18"/>
              </w:rPr>
              <w:t xml:space="preserve">  </w:t>
            </w:r>
            <w:r>
              <w:rPr>
                <w:b/>
                <w:sz w:val="18"/>
              </w:rPr>
              <w:t>Drinking</w:t>
            </w:r>
            <w:proofErr w:type="gramEnd"/>
            <w:r>
              <w:rPr>
                <w:b/>
                <w:sz w:val="18"/>
              </w:rPr>
              <w:t xml:space="preserve"> Water 524.2 List</w:t>
            </w:r>
          </w:p>
        </w:tc>
        <w:tc>
          <w:tcPr>
            <w:tcW w:w="900" w:type="dxa"/>
            <w:tcBorders>
              <w:top w:val="single" w:sz="12" w:space="0" w:color="000000"/>
              <w:left w:val="nil"/>
              <w:bottom w:val="single" w:sz="12" w:space="0" w:color="000000"/>
              <w:right w:val="nil"/>
            </w:tcBorders>
            <w:vAlign w:val="center"/>
          </w:tcPr>
          <w:p w14:paraId="5CBE5B37" w14:textId="77777777" w:rsidR="00B56D50" w:rsidRDefault="00B56D50" w:rsidP="008F01EB">
            <w:pPr>
              <w:spacing w:after="0" w:line="259" w:lineRule="auto"/>
              <w:ind w:left="0" w:right="0" w:firstLine="0"/>
            </w:pPr>
          </w:p>
        </w:tc>
        <w:tc>
          <w:tcPr>
            <w:tcW w:w="1980" w:type="dxa"/>
            <w:gridSpan w:val="2"/>
            <w:tcBorders>
              <w:top w:val="single" w:sz="12" w:space="0" w:color="000000"/>
              <w:left w:val="nil"/>
              <w:bottom w:val="single" w:sz="12" w:space="0" w:color="000000"/>
              <w:right w:val="single" w:sz="12" w:space="0" w:color="000000"/>
            </w:tcBorders>
            <w:vAlign w:val="center"/>
          </w:tcPr>
          <w:p w14:paraId="0DBE3B5A" w14:textId="77777777" w:rsidR="00B56D50" w:rsidRDefault="00B56D50" w:rsidP="008F01EB">
            <w:pPr>
              <w:spacing w:after="0" w:line="259" w:lineRule="auto"/>
              <w:ind w:left="0" w:right="0" w:firstLine="0"/>
            </w:pPr>
          </w:p>
        </w:tc>
      </w:tr>
      <w:tr w:rsidR="000B020F" w14:paraId="03D532F9" w14:textId="77777777" w:rsidTr="00C23B62">
        <w:trPr>
          <w:trHeight w:val="271"/>
        </w:trPr>
        <w:tc>
          <w:tcPr>
            <w:tcW w:w="3448" w:type="dxa"/>
            <w:vMerge w:val="restart"/>
            <w:tcBorders>
              <w:top w:val="single" w:sz="12" w:space="0" w:color="000000"/>
              <w:left w:val="single" w:sz="12" w:space="0" w:color="000000"/>
              <w:bottom w:val="single" w:sz="12" w:space="0" w:color="000000"/>
              <w:right w:val="single" w:sz="12" w:space="0" w:color="000000"/>
            </w:tcBorders>
            <w:vAlign w:val="center"/>
          </w:tcPr>
          <w:p w14:paraId="1AD567CD" w14:textId="538BF08A" w:rsidR="000B020F" w:rsidRDefault="000B020F" w:rsidP="008F01EB">
            <w:pPr>
              <w:spacing w:after="0" w:line="259" w:lineRule="auto"/>
              <w:ind w:left="0" w:right="18" w:firstLine="0"/>
              <w:jc w:val="center"/>
            </w:pPr>
            <w:r>
              <w:rPr>
                <w:b/>
                <w:sz w:val="18"/>
              </w:rPr>
              <w:t>Analyte</w:t>
            </w:r>
          </w:p>
        </w:tc>
        <w:tc>
          <w:tcPr>
            <w:tcW w:w="1232" w:type="dxa"/>
            <w:vMerge w:val="restart"/>
            <w:tcBorders>
              <w:top w:val="single" w:sz="12" w:space="0" w:color="000000"/>
              <w:left w:val="single" w:sz="12" w:space="0" w:color="000000"/>
              <w:bottom w:val="single" w:sz="12" w:space="0" w:color="000000"/>
              <w:right w:val="single" w:sz="12" w:space="0" w:color="000000"/>
            </w:tcBorders>
            <w:vAlign w:val="center"/>
          </w:tcPr>
          <w:p w14:paraId="07FBE543" w14:textId="3A97B054" w:rsidR="000B020F" w:rsidRDefault="000B020F" w:rsidP="008F01EB">
            <w:pPr>
              <w:spacing w:after="0" w:line="259" w:lineRule="auto"/>
              <w:ind w:left="0" w:right="0" w:firstLine="0"/>
              <w:jc w:val="center"/>
            </w:pPr>
            <w:r>
              <w:rPr>
                <w:b/>
                <w:sz w:val="18"/>
              </w:rPr>
              <w:t>CAS Number</w:t>
            </w:r>
          </w:p>
        </w:tc>
        <w:tc>
          <w:tcPr>
            <w:tcW w:w="2035" w:type="dxa"/>
            <w:gridSpan w:val="2"/>
            <w:tcBorders>
              <w:top w:val="single" w:sz="12" w:space="0" w:color="000000"/>
              <w:left w:val="single" w:sz="12" w:space="0" w:color="000000"/>
              <w:bottom w:val="single" w:sz="12" w:space="0" w:color="000000"/>
              <w:right w:val="single" w:sz="12" w:space="0" w:color="000000"/>
            </w:tcBorders>
            <w:vAlign w:val="center"/>
          </w:tcPr>
          <w:p w14:paraId="6597013F" w14:textId="68546A51" w:rsidR="000B020F" w:rsidRDefault="000B020F" w:rsidP="008F01EB">
            <w:pPr>
              <w:spacing w:after="0" w:line="259" w:lineRule="auto"/>
              <w:ind w:left="0" w:right="19" w:firstLine="0"/>
              <w:jc w:val="center"/>
            </w:pPr>
            <w:r>
              <w:rPr>
                <w:b/>
                <w:sz w:val="18"/>
              </w:rPr>
              <w:t>Aqueous</w:t>
            </w:r>
          </w:p>
        </w:tc>
        <w:tc>
          <w:tcPr>
            <w:tcW w:w="1835" w:type="dxa"/>
            <w:gridSpan w:val="2"/>
            <w:tcBorders>
              <w:top w:val="single" w:sz="12" w:space="0" w:color="000000"/>
              <w:left w:val="single" w:sz="12" w:space="0" w:color="000000"/>
              <w:bottom w:val="single" w:sz="12" w:space="0" w:color="000000"/>
              <w:right w:val="single" w:sz="12" w:space="0" w:color="000000"/>
            </w:tcBorders>
            <w:vAlign w:val="center"/>
          </w:tcPr>
          <w:p w14:paraId="423F1D13" w14:textId="111C6847" w:rsidR="000B020F" w:rsidRDefault="00B9141F" w:rsidP="008F01EB">
            <w:pPr>
              <w:spacing w:after="0" w:line="259" w:lineRule="auto"/>
              <w:ind w:left="0" w:right="0" w:firstLine="0"/>
              <w:jc w:val="center"/>
            </w:pPr>
            <w:r>
              <w:rPr>
                <w:b/>
                <w:sz w:val="18"/>
              </w:rPr>
              <w:t>Soil/Sediment</w:t>
            </w:r>
          </w:p>
        </w:tc>
        <w:tc>
          <w:tcPr>
            <w:tcW w:w="1980" w:type="dxa"/>
            <w:gridSpan w:val="2"/>
            <w:vMerge w:val="restart"/>
            <w:tcBorders>
              <w:top w:val="single" w:sz="12" w:space="0" w:color="000000"/>
              <w:left w:val="single" w:sz="12" w:space="0" w:color="000000"/>
              <w:bottom w:val="single" w:sz="12" w:space="0" w:color="000000"/>
              <w:right w:val="single" w:sz="12" w:space="0" w:color="000000"/>
            </w:tcBorders>
            <w:vAlign w:val="center"/>
          </w:tcPr>
          <w:p w14:paraId="0A4B3FA4" w14:textId="4E6010B0" w:rsidR="000B020F" w:rsidRDefault="000B020F" w:rsidP="008F01EB">
            <w:pPr>
              <w:spacing w:after="0" w:line="259" w:lineRule="auto"/>
              <w:ind w:left="82" w:right="57" w:firstLine="0"/>
              <w:jc w:val="center"/>
            </w:pPr>
            <w:r>
              <w:rPr>
                <w:b/>
                <w:sz w:val="18"/>
              </w:rPr>
              <w:t xml:space="preserve">Acceptable Methods </w:t>
            </w:r>
            <w:r>
              <w:rPr>
                <w:b/>
                <w:sz w:val="18"/>
                <w:vertAlign w:val="superscript"/>
              </w:rPr>
              <w:t>35</w:t>
            </w:r>
          </w:p>
        </w:tc>
      </w:tr>
      <w:tr w:rsidR="00C84A5D" w14:paraId="56A2D93F" w14:textId="77777777" w:rsidTr="00C23B62">
        <w:trPr>
          <w:trHeight w:val="269"/>
        </w:trPr>
        <w:tc>
          <w:tcPr>
            <w:tcW w:w="3448" w:type="dxa"/>
            <w:vMerge/>
            <w:tcBorders>
              <w:top w:val="nil"/>
              <w:left w:val="single" w:sz="12" w:space="0" w:color="000000"/>
              <w:bottom w:val="single" w:sz="12" w:space="0" w:color="000000"/>
              <w:right w:val="single" w:sz="12" w:space="0" w:color="000000"/>
            </w:tcBorders>
            <w:vAlign w:val="center"/>
          </w:tcPr>
          <w:p w14:paraId="25113D5F" w14:textId="77777777" w:rsidR="00B56D50" w:rsidRDefault="00B56D50" w:rsidP="00017AB4">
            <w:pPr>
              <w:spacing w:after="160" w:line="259" w:lineRule="auto"/>
              <w:ind w:left="0" w:right="0" w:firstLine="0"/>
              <w:jc w:val="center"/>
            </w:pPr>
          </w:p>
        </w:tc>
        <w:tc>
          <w:tcPr>
            <w:tcW w:w="1232" w:type="dxa"/>
            <w:vMerge/>
            <w:tcBorders>
              <w:top w:val="nil"/>
              <w:left w:val="single" w:sz="12" w:space="0" w:color="000000"/>
              <w:bottom w:val="single" w:sz="12" w:space="0" w:color="000000"/>
              <w:right w:val="single" w:sz="12" w:space="0" w:color="000000"/>
            </w:tcBorders>
            <w:vAlign w:val="center"/>
          </w:tcPr>
          <w:p w14:paraId="216C20DB" w14:textId="77777777" w:rsidR="00B56D50" w:rsidRDefault="00B56D50" w:rsidP="00017AB4">
            <w:pPr>
              <w:spacing w:after="160" w:line="259" w:lineRule="auto"/>
              <w:ind w:left="0" w:right="0" w:firstLine="0"/>
              <w:jc w:val="center"/>
            </w:pPr>
          </w:p>
        </w:tc>
        <w:tc>
          <w:tcPr>
            <w:tcW w:w="1062" w:type="dxa"/>
            <w:tcBorders>
              <w:top w:val="single" w:sz="12" w:space="0" w:color="000000"/>
              <w:left w:val="single" w:sz="12" w:space="0" w:color="000000"/>
              <w:bottom w:val="single" w:sz="12" w:space="0" w:color="000000"/>
              <w:right w:val="single" w:sz="12" w:space="0" w:color="000000"/>
            </w:tcBorders>
            <w:vAlign w:val="center"/>
          </w:tcPr>
          <w:p w14:paraId="4C354601" w14:textId="49F0E0CF" w:rsidR="00B56D50" w:rsidRDefault="001C3C42" w:rsidP="008F01EB">
            <w:pPr>
              <w:spacing w:after="0" w:line="259" w:lineRule="auto"/>
              <w:ind w:left="0" w:right="19" w:firstLine="0"/>
              <w:jc w:val="center"/>
            </w:pPr>
            <w:r>
              <w:rPr>
                <w:b/>
                <w:sz w:val="18"/>
              </w:rPr>
              <w:t xml:space="preserve">RL </w:t>
            </w:r>
            <w:r w:rsidR="00F06F8B" w:rsidRPr="00F35F64">
              <w:rPr>
                <w:b/>
                <w:sz w:val="18"/>
                <w:vertAlign w:val="superscript"/>
              </w:rPr>
              <w:t>3</w:t>
            </w:r>
            <w:r w:rsidR="00423009">
              <w:rPr>
                <w:b/>
                <w:sz w:val="18"/>
                <w:vertAlign w:val="superscript"/>
              </w:rPr>
              <w:t>6</w:t>
            </w:r>
          </w:p>
        </w:tc>
        <w:tc>
          <w:tcPr>
            <w:tcW w:w="973" w:type="dxa"/>
            <w:tcBorders>
              <w:top w:val="single" w:sz="12" w:space="0" w:color="000000"/>
              <w:left w:val="single" w:sz="12" w:space="0" w:color="000000"/>
              <w:bottom w:val="single" w:sz="12" w:space="0" w:color="000000"/>
              <w:right w:val="single" w:sz="12" w:space="0" w:color="000000"/>
            </w:tcBorders>
            <w:vAlign w:val="center"/>
          </w:tcPr>
          <w:p w14:paraId="32CB630A" w14:textId="00B166C9" w:rsidR="00B56D50" w:rsidRDefault="001C3C42" w:rsidP="008F01EB">
            <w:pPr>
              <w:spacing w:after="0" w:line="259" w:lineRule="auto"/>
              <w:ind w:left="0" w:right="19" w:firstLine="0"/>
              <w:jc w:val="center"/>
            </w:pPr>
            <w:r>
              <w:rPr>
                <w:b/>
                <w:sz w:val="18"/>
              </w:rPr>
              <w:t>units</w:t>
            </w:r>
          </w:p>
        </w:tc>
        <w:tc>
          <w:tcPr>
            <w:tcW w:w="935" w:type="dxa"/>
            <w:tcBorders>
              <w:top w:val="single" w:sz="12" w:space="0" w:color="000000"/>
              <w:left w:val="single" w:sz="12" w:space="0" w:color="000000"/>
              <w:bottom w:val="single" w:sz="12" w:space="0" w:color="000000"/>
              <w:right w:val="single" w:sz="12" w:space="0" w:color="000000"/>
            </w:tcBorders>
            <w:vAlign w:val="center"/>
          </w:tcPr>
          <w:p w14:paraId="3FA345D5" w14:textId="30C0E059" w:rsidR="00B56D50" w:rsidRDefault="001C3C42" w:rsidP="008F01EB">
            <w:pPr>
              <w:spacing w:after="0" w:line="259" w:lineRule="auto"/>
              <w:ind w:left="0" w:right="19" w:firstLine="0"/>
              <w:jc w:val="center"/>
            </w:pPr>
            <w:r>
              <w:rPr>
                <w:b/>
                <w:sz w:val="18"/>
              </w:rPr>
              <w:t>RL</w:t>
            </w:r>
          </w:p>
        </w:tc>
        <w:tc>
          <w:tcPr>
            <w:tcW w:w="900" w:type="dxa"/>
            <w:tcBorders>
              <w:top w:val="single" w:sz="12" w:space="0" w:color="000000"/>
              <w:left w:val="single" w:sz="12" w:space="0" w:color="000000"/>
              <w:bottom w:val="single" w:sz="12" w:space="0" w:color="000000"/>
              <w:right w:val="single" w:sz="12" w:space="0" w:color="000000"/>
            </w:tcBorders>
            <w:vAlign w:val="center"/>
          </w:tcPr>
          <w:p w14:paraId="75BAD5FD" w14:textId="726B7A11" w:rsidR="00B56D50" w:rsidRDefault="001C3C42" w:rsidP="008F01EB">
            <w:pPr>
              <w:spacing w:after="0" w:line="259" w:lineRule="auto"/>
              <w:ind w:left="0" w:right="21" w:firstLine="0"/>
              <w:jc w:val="center"/>
            </w:pPr>
            <w:r>
              <w:rPr>
                <w:b/>
                <w:sz w:val="18"/>
              </w:rPr>
              <w:t>units</w:t>
            </w:r>
          </w:p>
        </w:tc>
        <w:tc>
          <w:tcPr>
            <w:tcW w:w="1980" w:type="dxa"/>
            <w:gridSpan w:val="2"/>
            <w:vMerge/>
            <w:tcBorders>
              <w:top w:val="nil"/>
              <w:left w:val="single" w:sz="12" w:space="0" w:color="000000"/>
              <w:bottom w:val="single" w:sz="12" w:space="0" w:color="000000"/>
              <w:right w:val="single" w:sz="12" w:space="0" w:color="000000"/>
            </w:tcBorders>
            <w:vAlign w:val="center"/>
          </w:tcPr>
          <w:p w14:paraId="1BB05468" w14:textId="77777777" w:rsidR="00B56D50" w:rsidRDefault="00B56D50" w:rsidP="00017AB4">
            <w:pPr>
              <w:spacing w:after="160" w:line="259" w:lineRule="auto"/>
              <w:ind w:left="0" w:right="0" w:firstLine="0"/>
              <w:jc w:val="center"/>
            </w:pPr>
          </w:p>
        </w:tc>
      </w:tr>
      <w:tr w:rsidR="00B0429D" w14:paraId="0ACA2A61" w14:textId="77777777" w:rsidTr="00C23B62">
        <w:trPr>
          <w:trHeight w:val="262"/>
        </w:trPr>
        <w:tc>
          <w:tcPr>
            <w:tcW w:w="3448" w:type="dxa"/>
            <w:tcBorders>
              <w:top w:val="single" w:sz="12" w:space="0" w:color="000000"/>
              <w:left w:val="single" w:sz="12" w:space="0" w:color="000000"/>
              <w:bottom w:val="single" w:sz="4" w:space="0" w:color="000000"/>
              <w:right w:val="single" w:sz="12" w:space="0" w:color="000000"/>
            </w:tcBorders>
          </w:tcPr>
          <w:p w14:paraId="407519F5" w14:textId="77777777" w:rsidR="00B0429D" w:rsidRDefault="00B0429D" w:rsidP="00B0429D">
            <w:pPr>
              <w:spacing w:after="0" w:line="259" w:lineRule="auto"/>
              <w:ind w:left="29" w:right="0" w:firstLine="0"/>
            </w:pPr>
            <w:r>
              <w:rPr>
                <w:sz w:val="18"/>
              </w:rPr>
              <w:t xml:space="preserve">2,2-Dichloropropane </w:t>
            </w:r>
          </w:p>
        </w:tc>
        <w:tc>
          <w:tcPr>
            <w:tcW w:w="1232" w:type="dxa"/>
            <w:tcBorders>
              <w:top w:val="single" w:sz="12" w:space="0" w:color="000000"/>
              <w:left w:val="single" w:sz="12" w:space="0" w:color="000000"/>
              <w:bottom w:val="single" w:sz="4" w:space="0" w:color="000000"/>
              <w:right w:val="single" w:sz="12" w:space="0" w:color="000000"/>
            </w:tcBorders>
          </w:tcPr>
          <w:p w14:paraId="67719E33" w14:textId="56BF63D5" w:rsidR="00B0429D" w:rsidRDefault="00B0429D" w:rsidP="00DF6BC8">
            <w:pPr>
              <w:spacing w:after="0" w:line="259" w:lineRule="auto"/>
              <w:ind w:left="0" w:right="44" w:firstLine="0"/>
              <w:jc w:val="center"/>
            </w:pPr>
            <w:r>
              <w:rPr>
                <w:sz w:val="18"/>
              </w:rPr>
              <w:t>590-20-7</w:t>
            </w:r>
          </w:p>
        </w:tc>
        <w:tc>
          <w:tcPr>
            <w:tcW w:w="1062" w:type="dxa"/>
            <w:tcBorders>
              <w:top w:val="single" w:sz="12" w:space="0" w:color="000000"/>
              <w:left w:val="single" w:sz="12" w:space="0" w:color="000000"/>
              <w:bottom w:val="single" w:sz="4" w:space="0" w:color="000000"/>
              <w:right w:val="single" w:sz="12" w:space="0" w:color="000000"/>
            </w:tcBorders>
          </w:tcPr>
          <w:p w14:paraId="0CCEEE56" w14:textId="0765C909" w:rsidR="00B0429D" w:rsidRDefault="00B0429D" w:rsidP="00DF6BC8">
            <w:pPr>
              <w:tabs>
                <w:tab w:val="center" w:pos="608"/>
              </w:tabs>
              <w:spacing w:after="0" w:line="259" w:lineRule="auto"/>
              <w:ind w:left="0" w:right="0" w:firstLine="0"/>
              <w:jc w:val="center"/>
            </w:pPr>
            <w:r>
              <w:rPr>
                <w:sz w:val="18"/>
              </w:rPr>
              <w:t>0.5</w:t>
            </w:r>
          </w:p>
        </w:tc>
        <w:tc>
          <w:tcPr>
            <w:tcW w:w="973" w:type="dxa"/>
            <w:tcBorders>
              <w:top w:val="single" w:sz="12" w:space="0" w:color="000000"/>
              <w:left w:val="single" w:sz="12" w:space="0" w:color="000000"/>
              <w:bottom w:val="single" w:sz="4" w:space="0" w:color="000000"/>
              <w:right w:val="single" w:sz="12" w:space="0" w:color="000000"/>
            </w:tcBorders>
          </w:tcPr>
          <w:p w14:paraId="799A0A9E" w14:textId="66DE0BE6" w:rsidR="00B0429D" w:rsidRDefault="00B0429D" w:rsidP="006F4EE2">
            <w:pPr>
              <w:spacing w:after="0" w:line="259" w:lineRule="auto"/>
              <w:ind w:left="0" w:right="20" w:firstLine="0"/>
              <w:jc w:val="center"/>
            </w:pPr>
            <w:r>
              <w:rPr>
                <w:sz w:val="18"/>
              </w:rPr>
              <w:t>ug/L</w:t>
            </w:r>
          </w:p>
        </w:tc>
        <w:tc>
          <w:tcPr>
            <w:tcW w:w="935" w:type="dxa"/>
            <w:tcBorders>
              <w:top w:val="single" w:sz="12" w:space="0" w:color="000000"/>
              <w:left w:val="single" w:sz="12" w:space="0" w:color="000000"/>
              <w:bottom w:val="single" w:sz="4" w:space="0" w:color="000000"/>
              <w:right w:val="single" w:sz="12" w:space="0" w:color="000000"/>
            </w:tcBorders>
          </w:tcPr>
          <w:p w14:paraId="25964423" w14:textId="6F7B6825" w:rsidR="00B0429D" w:rsidRDefault="00B0429D" w:rsidP="006F4EE2">
            <w:pPr>
              <w:spacing w:after="0" w:line="259" w:lineRule="auto"/>
              <w:ind w:left="0" w:right="16" w:firstLine="0"/>
              <w:jc w:val="center"/>
            </w:pPr>
            <w:r>
              <w:rPr>
                <w:sz w:val="18"/>
              </w:rPr>
              <w:t>N/A</w:t>
            </w:r>
          </w:p>
        </w:tc>
        <w:tc>
          <w:tcPr>
            <w:tcW w:w="900" w:type="dxa"/>
            <w:tcBorders>
              <w:top w:val="single" w:sz="12" w:space="0" w:color="000000"/>
              <w:left w:val="single" w:sz="12" w:space="0" w:color="000000"/>
              <w:bottom w:val="single" w:sz="4" w:space="0" w:color="000000"/>
              <w:right w:val="single" w:sz="12" w:space="0" w:color="000000"/>
            </w:tcBorders>
          </w:tcPr>
          <w:p w14:paraId="10C0CC8F" w14:textId="6C573B5D" w:rsidR="00B0429D" w:rsidRDefault="00B0429D" w:rsidP="006F4EE2">
            <w:pPr>
              <w:spacing w:after="0" w:line="259" w:lineRule="auto"/>
              <w:ind w:left="0" w:right="16" w:firstLine="0"/>
              <w:jc w:val="center"/>
            </w:pPr>
            <w:r>
              <w:rPr>
                <w:sz w:val="18"/>
              </w:rPr>
              <w:t>N/A</w:t>
            </w:r>
          </w:p>
        </w:tc>
        <w:tc>
          <w:tcPr>
            <w:tcW w:w="1030" w:type="dxa"/>
            <w:tcBorders>
              <w:top w:val="single" w:sz="12" w:space="0" w:color="000000"/>
              <w:left w:val="single" w:sz="12" w:space="0" w:color="000000"/>
              <w:bottom w:val="single" w:sz="4" w:space="0" w:color="000000"/>
              <w:right w:val="single" w:sz="12" w:space="0" w:color="000000"/>
            </w:tcBorders>
          </w:tcPr>
          <w:p w14:paraId="4F743542" w14:textId="698D5C96" w:rsidR="00B0429D" w:rsidRDefault="00B0429D" w:rsidP="006F4EE2">
            <w:pPr>
              <w:spacing w:after="0" w:line="259" w:lineRule="auto"/>
              <w:ind w:left="0" w:right="19" w:firstLine="0"/>
              <w:jc w:val="center"/>
            </w:pPr>
            <w:r>
              <w:rPr>
                <w:b/>
                <w:sz w:val="18"/>
              </w:rPr>
              <w:t>524.2</w:t>
            </w:r>
          </w:p>
        </w:tc>
        <w:tc>
          <w:tcPr>
            <w:tcW w:w="950" w:type="dxa"/>
            <w:tcBorders>
              <w:top w:val="single" w:sz="12" w:space="0" w:color="000000"/>
              <w:left w:val="single" w:sz="12" w:space="0" w:color="000000"/>
              <w:bottom w:val="single" w:sz="4" w:space="0" w:color="000000"/>
              <w:right w:val="single" w:sz="12" w:space="0" w:color="000000"/>
            </w:tcBorders>
          </w:tcPr>
          <w:p w14:paraId="382BFE5E" w14:textId="6F25E5CB" w:rsidR="00B0429D" w:rsidRDefault="00B0429D" w:rsidP="006F4EE2">
            <w:pPr>
              <w:spacing w:after="0" w:line="259" w:lineRule="auto"/>
              <w:ind w:left="0" w:right="16" w:firstLine="0"/>
              <w:jc w:val="center"/>
            </w:pPr>
            <w:r>
              <w:rPr>
                <w:sz w:val="18"/>
              </w:rPr>
              <w:t>502.2</w:t>
            </w:r>
          </w:p>
        </w:tc>
      </w:tr>
      <w:tr w:rsidR="00B0429D" w14:paraId="4DFFEF4E" w14:textId="77777777" w:rsidTr="00C23B62">
        <w:trPr>
          <w:trHeight w:val="250"/>
        </w:trPr>
        <w:tc>
          <w:tcPr>
            <w:tcW w:w="3448" w:type="dxa"/>
            <w:tcBorders>
              <w:top w:val="single" w:sz="4" w:space="0" w:color="000000"/>
              <w:left w:val="single" w:sz="12" w:space="0" w:color="000000"/>
              <w:bottom w:val="single" w:sz="4" w:space="0" w:color="000000"/>
              <w:right w:val="single" w:sz="12" w:space="0" w:color="000000"/>
            </w:tcBorders>
          </w:tcPr>
          <w:p w14:paraId="08C870A2" w14:textId="77777777" w:rsidR="00B0429D" w:rsidRDefault="00B0429D" w:rsidP="00B0429D">
            <w:pPr>
              <w:spacing w:after="0" w:line="259" w:lineRule="auto"/>
              <w:ind w:left="29" w:right="0" w:firstLine="0"/>
            </w:pPr>
            <w:r>
              <w:rPr>
                <w:sz w:val="18"/>
              </w:rPr>
              <w:t xml:space="preserve">1,1-Dichloropropene </w:t>
            </w:r>
          </w:p>
        </w:tc>
        <w:tc>
          <w:tcPr>
            <w:tcW w:w="1232" w:type="dxa"/>
            <w:tcBorders>
              <w:top w:val="single" w:sz="4" w:space="0" w:color="000000"/>
              <w:left w:val="single" w:sz="12" w:space="0" w:color="000000"/>
              <w:bottom w:val="single" w:sz="4" w:space="0" w:color="000000"/>
              <w:right w:val="single" w:sz="12" w:space="0" w:color="000000"/>
            </w:tcBorders>
          </w:tcPr>
          <w:p w14:paraId="0C959C78" w14:textId="1BED8DE4" w:rsidR="00B0429D" w:rsidRDefault="00B0429D" w:rsidP="006F4EE2">
            <w:pPr>
              <w:spacing w:after="0" w:line="259" w:lineRule="auto"/>
              <w:ind w:left="0" w:right="44" w:firstLine="0"/>
              <w:jc w:val="center"/>
            </w:pPr>
            <w:r>
              <w:rPr>
                <w:sz w:val="18"/>
              </w:rPr>
              <w:t>563-58-6</w:t>
            </w:r>
          </w:p>
        </w:tc>
        <w:tc>
          <w:tcPr>
            <w:tcW w:w="1062" w:type="dxa"/>
            <w:tcBorders>
              <w:top w:val="single" w:sz="4" w:space="0" w:color="000000"/>
              <w:left w:val="single" w:sz="12" w:space="0" w:color="000000"/>
              <w:bottom w:val="single" w:sz="4" w:space="0" w:color="000000"/>
              <w:right w:val="single" w:sz="12" w:space="0" w:color="000000"/>
            </w:tcBorders>
          </w:tcPr>
          <w:p w14:paraId="62A0621C" w14:textId="03692219" w:rsidR="00B0429D" w:rsidRDefault="00B0429D" w:rsidP="006F4EE2">
            <w:pPr>
              <w:tabs>
                <w:tab w:val="center" w:pos="608"/>
              </w:tabs>
              <w:spacing w:after="0" w:line="259" w:lineRule="auto"/>
              <w:ind w:left="0" w:right="0" w:firstLine="0"/>
              <w:jc w:val="center"/>
            </w:pPr>
            <w:r>
              <w:rPr>
                <w:sz w:val="18"/>
              </w:rPr>
              <w:t>0.5</w:t>
            </w:r>
          </w:p>
        </w:tc>
        <w:tc>
          <w:tcPr>
            <w:tcW w:w="973" w:type="dxa"/>
            <w:tcBorders>
              <w:top w:val="single" w:sz="4" w:space="0" w:color="000000"/>
              <w:left w:val="single" w:sz="12" w:space="0" w:color="000000"/>
              <w:bottom w:val="single" w:sz="4" w:space="0" w:color="000000"/>
              <w:right w:val="single" w:sz="12" w:space="0" w:color="000000"/>
            </w:tcBorders>
          </w:tcPr>
          <w:p w14:paraId="3DE0C70E" w14:textId="734DCA62" w:rsidR="00B0429D" w:rsidRDefault="00B0429D" w:rsidP="006F4EE2">
            <w:pPr>
              <w:spacing w:after="0" w:line="259" w:lineRule="auto"/>
              <w:ind w:left="0" w:right="20" w:firstLine="0"/>
              <w:jc w:val="center"/>
            </w:pPr>
            <w:r>
              <w:rPr>
                <w:sz w:val="18"/>
              </w:rPr>
              <w:t>ug/L</w:t>
            </w:r>
          </w:p>
        </w:tc>
        <w:tc>
          <w:tcPr>
            <w:tcW w:w="935" w:type="dxa"/>
            <w:tcBorders>
              <w:top w:val="single" w:sz="4" w:space="0" w:color="000000"/>
              <w:left w:val="single" w:sz="12" w:space="0" w:color="000000"/>
              <w:bottom w:val="single" w:sz="4" w:space="0" w:color="000000"/>
              <w:right w:val="single" w:sz="12" w:space="0" w:color="000000"/>
            </w:tcBorders>
          </w:tcPr>
          <w:p w14:paraId="734139BA" w14:textId="0A59FF60" w:rsidR="00B0429D" w:rsidRDefault="00B0429D" w:rsidP="006F4EE2">
            <w:pPr>
              <w:spacing w:after="0" w:line="259" w:lineRule="auto"/>
              <w:ind w:left="0" w:right="16" w:firstLine="0"/>
              <w:jc w:val="center"/>
            </w:pPr>
            <w:r>
              <w:rPr>
                <w:sz w:val="18"/>
              </w:rPr>
              <w:t>N/A</w:t>
            </w:r>
          </w:p>
        </w:tc>
        <w:tc>
          <w:tcPr>
            <w:tcW w:w="900" w:type="dxa"/>
            <w:tcBorders>
              <w:top w:val="single" w:sz="4" w:space="0" w:color="000000"/>
              <w:left w:val="single" w:sz="12" w:space="0" w:color="000000"/>
              <w:bottom w:val="single" w:sz="4" w:space="0" w:color="000000"/>
              <w:right w:val="single" w:sz="12" w:space="0" w:color="000000"/>
            </w:tcBorders>
          </w:tcPr>
          <w:p w14:paraId="28508603" w14:textId="39A6BD66" w:rsidR="00B0429D" w:rsidRDefault="00B0429D" w:rsidP="006F4EE2">
            <w:pPr>
              <w:spacing w:after="0" w:line="259" w:lineRule="auto"/>
              <w:ind w:left="0" w:right="16" w:firstLine="0"/>
              <w:jc w:val="center"/>
            </w:pPr>
            <w:r>
              <w:rPr>
                <w:sz w:val="18"/>
              </w:rPr>
              <w:t>N/A</w:t>
            </w:r>
          </w:p>
        </w:tc>
        <w:tc>
          <w:tcPr>
            <w:tcW w:w="1030" w:type="dxa"/>
            <w:tcBorders>
              <w:top w:val="single" w:sz="4" w:space="0" w:color="000000"/>
              <w:left w:val="single" w:sz="12" w:space="0" w:color="000000"/>
              <w:bottom w:val="single" w:sz="4" w:space="0" w:color="000000"/>
              <w:right w:val="single" w:sz="12" w:space="0" w:color="000000"/>
            </w:tcBorders>
          </w:tcPr>
          <w:p w14:paraId="3431FB3B" w14:textId="4CBCBC62" w:rsidR="00B0429D" w:rsidRDefault="00B0429D" w:rsidP="006F4EE2">
            <w:pPr>
              <w:spacing w:after="0" w:line="259" w:lineRule="auto"/>
              <w:ind w:left="0" w:right="19" w:firstLine="0"/>
              <w:jc w:val="center"/>
            </w:pPr>
            <w:r>
              <w:rPr>
                <w:b/>
                <w:sz w:val="18"/>
              </w:rPr>
              <w:t>524.2</w:t>
            </w:r>
          </w:p>
        </w:tc>
        <w:tc>
          <w:tcPr>
            <w:tcW w:w="950" w:type="dxa"/>
            <w:tcBorders>
              <w:top w:val="single" w:sz="4" w:space="0" w:color="000000"/>
              <w:left w:val="single" w:sz="12" w:space="0" w:color="000000"/>
              <w:bottom w:val="single" w:sz="4" w:space="0" w:color="000000"/>
              <w:right w:val="single" w:sz="12" w:space="0" w:color="000000"/>
            </w:tcBorders>
          </w:tcPr>
          <w:p w14:paraId="7C7FCD9D" w14:textId="7F93DCA1" w:rsidR="00B0429D" w:rsidRDefault="00B0429D" w:rsidP="006F4EE2">
            <w:pPr>
              <w:spacing w:after="0" w:line="259" w:lineRule="auto"/>
              <w:ind w:left="0" w:right="16" w:firstLine="0"/>
              <w:jc w:val="center"/>
            </w:pPr>
            <w:r>
              <w:rPr>
                <w:sz w:val="18"/>
              </w:rPr>
              <w:t>502.2</w:t>
            </w:r>
          </w:p>
        </w:tc>
      </w:tr>
      <w:tr w:rsidR="00B0429D" w14:paraId="0735BB8F" w14:textId="77777777" w:rsidTr="00C23B62">
        <w:trPr>
          <w:trHeight w:val="250"/>
        </w:trPr>
        <w:tc>
          <w:tcPr>
            <w:tcW w:w="3448" w:type="dxa"/>
            <w:tcBorders>
              <w:top w:val="single" w:sz="4" w:space="0" w:color="000000"/>
              <w:left w:val="single" w:sz="12" w:space="0" w:color="000000"/>
              <w:bottom w:val="single" w:sz="4" w:space="0" w:color="000000"/>
              <w:right w:val="single" w:sz="12" w:space="0" w:color="000000"/>
            </w:tcBorders>
          </w:tcPr>
          <w:p w14:paraId="6E8C5322" w14:textId="77777777" w:rsidR="00B0429D" w:rsidRDefault="00B0429D" w:rsidP="00B0429D">
            <w:pPr>
              <w:spacing w:after="0" w:line="259" w:lineRule="auto"/>
              <w:ind w:left="29" w:right="0" w:firstLine="0"/>
            </w:pPr>
            <w:r>
              <w:rPr>
                <w:sz w:val="18"/>
              </w:rPr>
              <w:t xml:space="preserve">cis-1,3-Dichloropropene </w:t>
            </w:r>
          </w:p>
        </w:tc>
        <w:tc>
          <w:tcPr>
            <w:tcW w:w="1232" w:type="dxa"/>
            <w:tcBorders>
              <w:top w:val="single" w:sz="4" w:space="0" w:color="000000"/>
              <w:left w:val="single" w:sz="12" w:space="0" w:color="000000"/>
              <w:bottom w:val="single" w:sz="4" w:space="0" w:color="000000"/>
              <w:right w:val="single" w:sz="12" w:space="0" w:color="000000"/>
            </w:tcBorders>
          </w:tcPr>
          <w:p w14:paraId="185E2A5A" w14:textId="6684154E" w:rsidR="00B0429D" w:rsidRDefault="00B0429D" w:rsidP="006F4EE2">
            <w:pPr>
              <w:spacing w:after="0" w:line="259" w:lineRule="auto"/>
              <w:ind w:left="0" w:right="44" w:firstLine="0"/>
              <w:jc w:val="center"/>
            </w:pPr>
            <w:r>
              <w:rPr>
                <w:sz w:val="18"/>
              </w:rPr>
              <w:t>10061-01-5</w:t>
            </w:r>
          </w:p>
        </w:tc>
        <w:tc>
          <w:tcPr>
            <w:tcW w:w="1062" w:type="dxa"/>
            <w:tcBorders>
              <w:top w:val="single" w:sz="4" w:space="0" w:color="000000"/>
              <w:left w:val="single" w:sz="12" w:space="0" w:color="000000"/>
              <w:bottom w:val="single" w:sz="4" w:space="0" w:color="000000"/>
              <w:right w:val="single" w:sz="12" w:space="0" w:color="000000"/>
            </w:tcBorders>
          </w:tcPr>
          <w:p w14:paraId="6F8B80DB" w14:textId="7432453F" w:rsidR="00B0429D" w:rsidRDefault="00B0429D" w:rsidP="006F4EE2">
            <w:pPr>
              <w:tabs>
                <w:tab w:val="center" w:pos="608"/>
              </w:tabs>
              <w:spacing w:after="0" w:line="259" w:lineRule="auto"/>
              <w:ind w:left="0" w:right="0" w:firstLine="0"/>
              <w:jc w:val="center"/>
            </w:pPr>
            <w:r>
              <w:rPr>
                <w:sz w:val="18"/>
              </w:rPr>
              <w:t>0.1</w:t>
            </w:r>
          </w:p>
        </w:tc>
        <w:tc>
          <w:tcPr>
            <w:tcW w:w="973" w:type="dxa"/>
            <w:tcBorders>
              <w:top w:val="single" w:sz="4" w:space="0" w:color="000000"/>
              <w:left w:val="single" w:sz="12" w:space="0" w:color="000000"/>
              <w:bottom w:val="single" w:sz="4" w:space="0" w:color="000000"/>
              <w:right w:val="single" w:sz="12" w:space="0" w:color="000000"/>
            </w:tcBorders>
          </w:tcPr>
          <w:p w14:paraId="55DB3A4F" w14:textId="47978204" w:rsidR="00B0429D" w:rsidRDefault="00B0429D" w:rsidP="006F4EE2">
            <w:pPr>
              <w:spacing w:after="0" w:line="259" w:lineRule="auto"/>
              <w:ind w:left="0" w:right="20" w:firstLine="0"/>
              <w:jc w:val="center"/>
            </w:pPr>
            <w:r>
              <w:rPr>
                <w:sz w:val="18"/>
              </w:rPr>
              <w:t>ug/L</w:t>
            </w:r>
          </w:p>
        </w:tc>
        <w:tc>
          <w:tcPr>
            <w:tcW w:w="935" w:type="dxa"/>
            <w:tcBorders>
              <w:top w:val="single" w:sz="4" w:space="0" w:color="000000"/>
              <w:left w:val="single" w:sz="12" w:space="0" w:color="000000"/>
              <w:bottom w:val="single" w:sz="4" w:space="0" w:color="000000"/>
              <w:right w:val="single" w:sz="12" w:space="0" w:color="000000"/>
            </w:tcBorders>
          </w:tcPr>
          <w:p w14:paraId="5658C024" w14:textId="1A639E4F" w:rsidR="00B0429D" w:rsidRDefault="00B0429D" w:rsidP="006F4EE2">
            <w:pPr>
              <w:spacing w:after="0" w:line="259" w:lineRule="auto"/>
              <w:ind w:left="0" w:right="16" w:firstLine="0"/>
              <w:jc w:val="center"/>
            </w:pPr>
            <w:r>
              <w:rPr>
                <w:sz w:val="18"/>
              </w:rPr>
              <w:t>N/A</w:t>
            </w:r>
          </w:p>
        </w:tc>
        <w:tc>
          <w:tcPr>
            <w:tcW w:w="900" w:type="dxa"/>
            <w:tcBorders>
              <w:top w:val="single" w:sz="4" w:space="0" w:color="000000"/>
              <w:left w:val="single" w:sz="12" w:space="0" w:color="000000"/>
              <w:bottom w:val="single" w:sz="4" w:space="0" w:color="000000"/>
              <w:right w:val="single" w:sz="12" w:space="0" w:color="000000"/>
            </w:tcBorders>
          </w:tcPr>
          <w:p w14:paraId="25CFFDF2" w14:textId="7ABD01C8" w:rsidR="00B0429D" w:rsidRDefault="00B0429D" w:rsidP="006F4EE2">
            <w:pPr>
              <w:spacing w:after="0" w:line="259" w:lineRule="auto"/>
              <w:ind w:left="0" w:right="16" w:firstLine="0"/>
              <w:jc w:val="center"/>
            </w:pPr>
            <w:r>
              <w:rPr>
                <w:sz w:val="18"/>
              </w:rPr>
              <w:t>N/A</w:t>
            </w:r>
          </w:p>
        </w:tc>
        <w:tc>
          <w:tcPr>
            <w:tcW w:w="1030" w:type="dxa"/>
            <w:tcBorders>
              <w:top w:val="single" w:sz="4" w:space="0" w:color="000000"/>
              <w:left w:val="single" w:sz="12" w:space="0" w:color="000000"/>
              <w:bottom w:val="single" w:sz="4" w:space="0" w:color="000000"/>
              <w:right w:val="single" w:sz="12" w:space="0" w:color="000000"/>
            </w:tcBorders>
          </w:tcPr>
          <w:p w14:paraId="374DF0BA" w14:textId="3FFA41A1" w:rsidR="00B0429D" w:rsidRDefault="00B0429D" w:rsidP="006F4EE2">
            <w:pPr>
              <w:spacing w:after="0" w:line="259" w:lineRule="auto"/>
              <w:ind w:left="0" w:right="19" w:firstLine="0"/>
              <w:jc w:val="center"/>
            </w:pPr>
            <w:r>
              <w:rPr>
                <w:b/>
                <w:sz w:val="18"/>
              </w:rPr>
              <w:t>524.2</w:t>
            </w:r>
          </w:p>
        </w:tc>
        <w:tc>
          <w:tcPr>
            <w:tcW w:w="950" w:type="dxa"/>
            <w:tcBorders>
              <w:top w:val="single" w:sz="4" w:space="0" w:color="000000"/>
              <w:left w:val="single" w:sz="12" w:space="0" w:color="000000"/>
              <w:bottom w:val="single" w:sz="4" w:space="0" w:color="000000"/>
              <w:right w:val="single" w:sz="12" w:space="0" w:color="000000"/>
            </w:tcBorders>
          </w:tcPr>
          <w:p w14:paraId="4418D1CF" w14:textId="7EB48D95" w:rsidR="00B0429D" w:rsidRDefault="00B0429D" w:rsidP="006F4EE2">
            <w:pPr>
              <w:spacing w:after="0" w:line="259" w:lineRule="auto"/>
              <w:ind w:left="0" w:right="16" w:firstLine="0"/>
              <w:jc w:val="center"/>
            </w:pPr>
            <w:r>
              <w:rPr>
                <w:sz w:val="18"/>
              </w:rPr>
              <w:t>502.2</w:t>
            </w:r>
          </w:p>
        </w:tc>
      </w:tr>
      <w:tr w:rsidR="00B0429D" w14:paraId="602BCD5F" w14:textId="77777777" w:rsidTr="00C23B62">
        <w:trPr>
          <w:trHeight w:val="250"/>
        </w:trPr>
        <w:tc>
          <w:tcPr>
            <w:tcW w:w="3448" w:type="dxa"/>
            <w:tcBorders>
              <w:top w:val="single" w:sz="4" w:space="0" w:color="000000"/>
              <w:left w:val="single" w:sz="12" w:space="0" w:color="000000"/>
              <w:bottom w:val="single" w:sz="4" w:space="0" w:color="000000"/>
              <w:right w:val="single" w:sz="12" w:space="0" w:color="000000"/>
            </w:tcBorders>
          </w:tcPr>
          <w:p w14:paraId="336909C2" w14:textId="77777777" w:rsidR="00B0429D" w:rsidRDefault="00B0429D" w:rsidP="00B0429D">
            <w:pPr>
              <w:spacing w:after="0" w:line="259" w:lineRule="auto"/>
              <w:ind w:left="29" w:right="0" w:firstLine="0"/>
            </w:pPr>
            <w:r>
              <w:rPr>
                <w:sz w:val="18"/>
              </w:rPr>
              <w:t xml:space="preserve">trans-1,3-Dichloropropene </w:t>
            </w:r>
          </w:p>
        </w:tc>
        <w:tc>
          <w:tcPr>
            <w:tcW w:w="1232" w:type="dxa"/>
            <w:tcBorders>
              <w:top w:val="single" w:sz="4" w:space="0" w:color="000000"/>
              <w:left w:val="single" w:sz="12" w:space="0" w:color="000000"/>
              <w:bottom w:val="single" w:sz="4" w:space="0" w:color="000000"/>
              <w:right w:val="single" w:sz="12" w:space="0" w:color="000000"/>
            </w:tcBorders>
          </w:tcPr>
          <w:p w14:paraId="5FA822C7" w14:textId="6FA893FF" w:rsidR="00B0429D" w:rsidRDefault="00B0429D" w:rsidP="006F4EE2">
            <w:pPr>
              <w:spacing w:after="0" w:line="259" w:lineRule="auto"/>
              <w:ind w:left="0" w:right="44" w:firstLine="0"/>
              <w:jc w:val="center"/>
            </w:pPr>
            <w:r>
              <w:rPr>
                <w:sz w:val="18"/>
              </w:rPr>
              <w:t>10061-02-6</w:t>
            </w:r>
          </w:p>
        </w:tc>
        <w:tc>
          <w:tcPr>
            <w:tcW w:w="1062" w:type="dxa"/>
            <w:tcBorders>
              <w:top w:val="single" w:sz="4" w:space="0" w:color="000000"/>
              <w:left w:val="single" w:sz="12" w:space="0" w:color="000000"/>
              <w:bottom w:val="single" w:sz="4" w:space="0" w:color="000000"/>
              <w:right w:val="single" w:sz="12" w:space="0" w:color="000000"/>
            </w:tcBorders>
          </w:tcPr>
          <w:p w14:paraId="504B1B30" w14:textId="31429C0B" w:rsidR="00B0429D" w:rsidRDefault="00B0429D" w:rsidP="006F4EE2">
            <w:pPr>
              <w:tabs>
                <w:tab w:val="center" w:pos="608"/>
              </w:tabs>
              <w:spacing w:after="0" w:line="259" w:lineRule="auto"/>
              <w:ind w:left="0" w:right="0" w:firstLine="0"/>
              <w:jc w:val="center"/>
            </w:pPr>
            <w:r>
              <w:rPr>
                <w:sz w:val="18"/>
              </w:rPr>
              <w:t>0.1</w:t>
            </w:r>
          </w:p>
        </w:tc>
        <w:tc>
          <w:tcPr>
            <w:tcW w:w="973" w:type="dxa"/>
            <w:tcBorders>
              <w:top w:val="single" w:sz="4" w:space="0" w:color="000000"/>
              <w:left w:val="single" w:sz="12" w:space="0" w:color="000000"/>
              <w:bottom w:val="single" w:sz="4" w:space="0" w:color="000000"/>
              <w:right w:val="single" w:sz="12" w:space="0" w:color="000000"/>
            </w:tcBorders>
          </w:tcPr>
          <w:p w14:paraId="6C5ED3AE" w14:textId="636915F4" w:rsidR="00B0429D" w:rsidRDefault="00B0429D" w:rsidP="006F4EE2">
            <w:pPr>
              <w:spacing w:after="0" w:line="259" w:lineRule="auto"/>
              <w:ind w:left="0" w:right="20" w:firstLine="0"/>
              <w:jc w:val="center"/>
            </w:pPr>
            <w:r>
              <w:rPr>
                <w:sz w:val="18"/>
              </w:rPr>
              <w:t>ug/L</w:t>
            </w:r>
          </w:p>
        </w:tc>
        <w:tc>
          <w:tcPr>
            <w:tcW w:w="935" w:type="dxa"/>
            <w:tcBorders>
              <w:top w:val="single" w:sz="4" w:space="0" w:color="000000"/>
              <w:left w:val="single" w:sz="12" w:space="0" w:color="000000"/>
              <w:bottom w:val="single" w:sz="4" w:space="0" w:color="000000"/>
              <w:right w:val="single" w:sz="12" w:space="0" w:color="000000"/>
            </w:tcBorders>
          </w:tcPr>
          <w:p w14:paraId="0CEBB2D9" w14:textId="517C282D" w:rsidR="00B0429D" w:rsidRDefault="00B0429D" w:rsidP="006F4EE2">
            <w:pPr>
              <w:spacing w:after="0" w:line="259" w:lineRule="auto"/>
              <w:ind w:left="0" w:right="16" w:firstLine="0"/>
              <w:jc w:val="center"/>
            </w:pPr>
            <w:r>
              <w:rPr>
                <w:sz w:val="18"/>
              </w:rPr>
              <w:t>N/A</w:t>
            </w:r>
          </w:p>
        </w:tc>
        <w:tc>
          <w:tcPr>
            <w:tcW w:w="900" w:type="dxa"/>
            <w:tcBorders>
              <w:top w:val="single" w:sz="4" w:space="0" w:color="000000"/>
              <w:left w:val="single" w:sz="12" w:space="0" w:color="000000"/>
              <w:bottom w:val="single" w:sz="4" w:space="0" w:color="000000"/>
              <w:right w:val="single" w:sz="12" w:space="0" w:color="000000"/>
            </w:tcBorders>
          </w:tcPr>
          <w:p w14:paraId="4938F364" w14:textId="231E2DD3" w:rsidR="00B0429D" w:rsidRDefault="00B0429D" w:rsidP="006F4EE2">
            <w:pPr>
              <w:spacing w:after="0" w:line="259" w:lineRule="auto"/>
              <w:ind w:left="0" w:right="16" w:firstLine="0"/>
              <w:jc w:val="center"/>
            </w:pPr>
            <w:r>
              <w:rPr>
                <w:sz w:val="18"/>
              </w:rPr>
              <w:t>N/A</w:t>
            </w:r>
          </w:p>
        </w:tc>
        <w:tc>
          <w:tcPr>
            <w:tcW w:w="1030" w:type="dxa"/>
            <w:tcBorders>
              <w:top w:val="single" w:sz="4" w:space="0" w:color="000000"/>
              <w:left w:val="single" w:sz="12" w:space="0" w:color="000000"/>
              <w:bottom w:val="single" w:sz="4" w:space="0" w:color="000000"/>
              <w:right w:val="single" w:sz="12" w:space="0" w:color="000000"/>
            </w:tcBorders>
          </w:tcPr>
          <w:p w14:paraId="28DE24E3" w14:textId="57D0CB92" w:rsidR="00B0429D" w:rsidRDefault="00B0429D" w:rsidP="006F4EE2">
            <w:pPr>
              <w:spacing w:after="0" w:line="259" w:lineRule="auto"/>
              <w:ind w:left="0" w:right="19" w:firstLine="0"/>
              <w:jc w:val="center"/>
            </w:pPr>
            <w:r>
              <w:rPr>
                <w:b/>
                <w:sz w:val="18"/>
              </w:rPr>
              <w:t>524.2</w:t>
            </w:r>
          </w:p>
        </w:tc>
        <w:tc>
          <w:tcPr>
            <w:tcW w:w="950" w:type="dxa"/>
            <w:tcBorders>
              <w:top w:val="single" w:sz="4" w:space="0" w:color="000000"/>
              <w:left w:val="single" w:sz="12" w:space="0" w:color="000000"/>
              <w:bottom w:val="single" w:sz="4" w:space="0" w:color="000000"/>
              <w:right w:val="single" w:sz="12" w:space="0" w:color="000000"/>
            </w:tcBorders>
          </w:tcPr>
          <w:p w14:paraId="6D39DEF8" w14:textId="001E8AAB" w:rsidR="00B0429D" w:rsidRDefault="00B0429D" w:rsidP="006F4EE2">
            <w:pPr>
              <w:spacing w:after="0" w:line="259" w:lineRule="auto"/>
              <w:ind w:left="0" w:right="16" w:firstLine="0"/>
              <w:jc w:val="center"/>
            </w:pPr>
            <w:r>
              <w:rPr>
                <w:sz w:val="18"/>
              </w:rPr>
              <w:t>502.2</w:t>
            </w:r>
          </w:p>
        </w:tc>
      </w:tr>
      <w:tr w:rsidR="00B0429D" w14:paraId="2584D707" w14:textId="77777777" w:rsidTr="00C23B62">
        <w:trPr>
          <w:trHeight w:val="250"/>
        </w:trPr>
        <w:tc>
          <w:tcPr>
            <w:tcW w:w="3448" w:type="dxa"/>
            <w:tcBorders>
              <w:top w:val="single" w:sz="4" w:space="0" w:color="000000"/>
              <w:left w:val="single" w:sz="12" w:space="0" w:color="000000"/>
              <w:bottom w:val="single" w:sz="4" w:space="0" w:color="000000"/>
              <w:right w:val="single" w:sz="12" w:space="0" w:color="000000"/>
            </w:tcBorders>
          </w:tcPr>
          <w:p w14:paraId="0B72AA54" w14:textId="77777777" w:rsidR="00B0429D" w:rsidRDefault="00B0429D" w:rsidP="00B0429D">
            <w:pPr>
              <w:spacing w:after="0" w:line="259" w:lineRule="auto"/>
              <w:ind w:left="29" w:right="0" w:firstLine="0"/>
            </w:pPr>
            <w:r>
              <w:rPr>
                <w:sz w:val="18"/>
              </w:rPr>
              <w:t xml:space="preserve">Ethylbenzene </w:t>
            </w:r>
          </w:p>
        </w:tc>
        <w:tc>
          <w:tcPr>
            <w:tcW w:w="1232" w:type="dxa"/>
            <w:tcBorders>
              <w:top w:val="single" w:sz="4" w:space="0" w:color="000000"/>
              <w:left w:val="single" w:sz="12" w:space="0" w:color="000000"/>
              <w:bottom w:val="single" w:sz="4" w:space="0" w:color="000000"/>
              <w:right w:val="single" w:sz="12" w:space="0" w:color="000000"/>
            </w:tcBorders>
          </w:tcPr>
          <w:p w14:paraId="48FD12CF" w14:textId="2EBA6171" w:rsidR="00B0429D" w:rsidRDefault="00B0429D" w:rsidP="006F4EE2">
            <w:pPr>
              <w:spacing w:after="0" w:line="259" w:lineRule="auto"/>
              <w:ind w:left="0" w:right="44" w:firstLine="0"/>
              <w:jc w:val="center"/>
            </w:pPr>
            <w:r>
              <w:rPr>
                <w:sz w:val="18"/>
              </w:rPr>
              <w:t>100-41-4</w:t>
            </w:r>
          </w:p>
        </w:tc>
        <w:tc>
          <w:tcPr>
            <w:tcW w:w="1062" w:type="dxa"/>
            <w:tcBorders>
              <w:top w:val="single" w:sz="4" w:space="0" w:color="000000"/>
              <w:left w:val="single" w:sz="12" w:space="0" w:color="000000"/>
              <w:bottom w:val="single" w:sz="4" w:space="0" w:color="000000"/>
              <w:right w:val="single" w:sz="12" w:space="0" w:color="000000"/>
            </w:tcBorders>
          </w:tcPr>
          <w:p w14:paraId="2FC7752E" w14:textId="3F39030B" w:rsidR="00B0429D" w:rsidRDefault="00B0429D" w:rsidP="006F4EE2">
            <w:pPr>
              <w:tabs>
                <w:tab w:val="center" w:pos="608"/>
              </w:tabs>
              <w:spacing w:after="0" w:line="259" w:lineRule="auto"/>
              <w:ind w:left="0" w:right="0" w:firstLine="0"/>
              <w:jc w:val="center"/>
            </w:pPr>
            <w:r>
              <w:rPr>
                <w:sz w:val="18"/>
              </w:rPr>
              <w:t>0.5</w:t>
            </w:r>
          </w:p>
        </w:tc>
        <w:tc>
          <w:tcPr>
            <w:tcW w:w="973" w:type="dxa"/>
            <w:tcBorders>
              <w:top w:val="single" w:sz="4" w:space="0" w:color="000000"/>
              <w:left w:val="single" w:sz="12" w:space="0" w:color="000000"/>
              <w:bottom w:val="single" w:sz="4" w:space="0" w:color="000000"/>
              <w:right w:val="single" w:sz="12" w:space="0" w:color="000000"/>
            </w:tcBorders>
          </w:tcPr>
          <w:p w14:paraId="11E7215B" w14:textId="0936A0CE" w:rsidR="00B0429D" w:rsidRDefault="00B0429D" w:rsidP="006F4EE2">
            <w:pPr>
              <w:spacing w:after="0" w:line="259" w:lineRule="auto"/>
              <w:ind w:left="0" w:right="20" w:firstLine="0"/>
              <w:jc w:val="center"/>
            </w:pPr>
            <w:r>
              <w:rPr>
                <w:sz w:val="18"/>
              </w:rPr>
              <w:t>ug/L</w:t>
            </w:r>
          </w:p>
        </w:tc>
        <w:tc>
          <w:tcPr>
            <w:tcW w:w="935" w:type="dxa"/>
            <w:tcBorders>
              <w:top w:val="single" w:sz="4" w:space="0" w:color="000000"/>
              <w:left w:val="single" w:sz="12" w:space="0" w:color="000000"/>
              <w:bottom w:val="single" w:sz="4" w:space="0" w:color="000000"/>
              <w:right w:val="single" w:sz="12" w:space="0" w:color="000000"/>
            </w:tcBorders>
          </w:tcPr>
          <w:p w14:paraId="6AF76A03" w14:textId="0FC3B038" w:rsidR="00B0429D" w:rsidRDefault="00B0429D" w:rsidP="006F4EE2">
            <w:pPr>
              <w:spacing w:after="0" w:line="259" w:lineRule="auto"/>
              <w:ind w:left="0" w:right="16" w:firstLine="0"/>
              <w:jc w:val="center"/>
            </w:pPr>
            <w:r>
              <w:rPr>
                <w:sz w:val="18"/>
              </w:rPr>
              <w:t>N/A</w:t>
            </w:r>
          </w:p>
        </w:tc>
        <w:tc>
          <w:tcPr>
            <w:tcW w:w="900" w:type="dxa"/>
            <w:tcBorders>
              <w:top w:val="single" w:sz="4" w:space="0" w:color="000000"/>
              <w:left w:val="single" w:sz="12" w:space="0" w:color="000000"/>
              <w:bottom w:val="single" w:sz="4" w:space="0" w:color="000000"/>
              <w:right w:val="single" w:sz="12" w:space="0" w:color="000000"/>
            </w:tcBorders>
          </w:tcPr>
          <w:p w14:paraId="30AAD9A5" w14:textId="614BFC5B" w:rsidR="00B0429D" w:rsidRDefault="00B0429D" w:rsidP="006F4EE2">
            <w:pPr>
              <w:spacing w:after="0" w:line="259" w:lineRule="auto"/>
              <w:ind w:left="0" w:right="16" w:firstLine="0"/>
              <w:jc w:val="center"/>
            </w:pPr>
            <w:r>
              <w:rPr>
                <w:sz w:val="18"/>
              </w:rPr>
              <w:t>N/A</w:t>
            </w:r>
          </w:p>
        </w:tc>
        <w:tc>
          <w:tcPr>
            <w:tcW w:w="1030" w:type="dxa"/>
            <w:tcBorders>
              <w:top w:val="single" w:sz="4" w:space="0" w:color="000000"/>
              <w:left w:val="single" w:sz="12" w:space="0" w:color="000000"/>
              <w:bottom w:val="single" w:sz="4" w:space="0" w:color="000000"/>
              <w:right w:val="single" w:sz="12" w:space="0" w:color="000000"/>
            </w:tcBorders>
          </w:tcPr>
          <w:p w14:paraId="256C5FCA" w14:textId="3B1D08C0" w:rsidR="00B0429D" w:rsidRDefault="00B0429D" w:rsidP="006F4EE2">
            <w:pPr>
              <w:spacing w:after="0" w:line="259" w:lineRule="auto"/>
              <w:ind w:left="0" w:right="19" w:firstLine="0"/>
              <w:jc w:val="center"/>
            </w:pPr>
            <w:r>
              <w:rPr>
                <w:b/>
                <w:sz w:val="18"/>
              </w:rPr>
              <w:t>524.2</w:t>
            </w:r>
          </w:p>
        </w:tc>
        <w:tc>
          <w:tcPr>
            <w:tcW w:w="950" w:type="dxa"/>
            <w:tcBorders>
              <w:top w:val="single" w:sz="4" w:space="0" w:color="000000"/>
              <w:left w:val="single" w:sz="12" w:space="0" w:color="000000"/>
              <w:bottom w:val="single" w:sz="4" w:space="0" w:color="000000"/>
              <w:right w:val="single" w:sz="12" w:space="0" w:color="000000"/>
            </w:tcBorders>
          </w:tcPr>
          <w:p w14:paraId="49A3A1D9" w14:textId="63E5717C" w:rsidR="00B0429D" w:rsidRDefault="00B0429D" w:rsidP="006F4EE2">
            <w:pPr>
              <w:spacing w:after="0" w:line="259" w:lineRule="auto"/>
              <w:ind w:left="0" w:right="16" w:firstLine="0"/>
              <w:jc w:val="center"/>
            </w:pPr>
            <w:r>
              <w:rPr>
                <w:sz w:val="18"/>
              </w:rPr>
              <w:t>502.2</w:t>
            </w:r>
          </w:p>
        </w:tc>
      </w:tr>
      <w:tr w:rsidR="00B0429D" w14:paraId="740F353E" w14:textId="77777777" w:rsidTr="00C23B62">
        <w:trPr>
          <w:trHeight w:val="252"/>
        </w:trPr>
        <w:tc>
          <w:tcPr>
            <w:tcW w:w="3448" w:type="dxa"/>
            <w:tcBorders>
              <w:top w:val="single" w:sz="4" w:space="0" w:color="000000"/>
              <w:left w:val="single" w:sz="12" w:space="0" w:color="000000"/>
              <w:bottom w:val="single" w:sz="4" w:space="0" w:color="000000"/>
              <w:right w:val="single" w:sz="12" w:space="0" w:color="000000"/>
            </w:tcBorders>
          </w:tcPr>
          <w:p w14:paraId="7439EF2C" w14:textId="77777777" w:rsidR="00B0429D" w:rsidRDefault="00B0429D" w:rsidP="00B0429D">
            <w:pPr>
              <w:spacing w:after="0" w:line="259" w:lineRule="auto"/>
              <w:ind w:left="29" w:right="0" w:firstLine="0"/>
            </w:pPr>
            <w:r>
              <w:rPr>
                <w:sz w:val="18"/>
              </w:rPr>
              <w:t xml:space="preserve">Hexachlorobutadiene </w:t>
            </w:r>
          </w:p>
        </w:tc>
        <w:tc>
          <w:tcPr>
            <w:tcW w:w="1232" w:type="dxa"/>
            <w:tcBorders>
              <w:top w:val="single" w:sz="4" w:space="0" w:color="000000"/>
              <w:left w:val="single" w:sz="12" w:space="0" w:color="000000"/>
              <w:bottom w:val="single" w:sz="4" w:space="0" w:color="000000"/>
              <w:right w:val="single" w:sz="12" w:space="0" w:color="000000"/>
            </w:tcBorders>
          </w:tcPr>
          <w:p w14:paraId="6D995DB2" w14:textId="743F83AD" w:rsidR="00B0429D" w:rsidRDefault="00B0429D" w:rsidP="006F4EE2">
            <w:pPr>
              <w:spacing w:after="0" w:line="259" w:lineRule="auto"/>
              <w:ind w:left="0" w:right="44" w:firstLine="0"/>
              <w:jc w:val="center"/>
            </w:pPr>
            <w:r>
              <w:rPr>
                <w:sz w:val="18"/>
              </w:rPr>
              <w:t>87-68-3</w:t>
            </w:r>
          </w:p>
        </w:tc>
        <w:tc>
          <w:tcPr>
            <w:tcW w:w="1062" w:type="dxa"/>
            <w:tcBorders>
              <w:top w:val="single" w:sz="4" w:space="0" w:color="000000"/>
              <w:left w:val="single" w:sz="12" w:space="0" w:color="000000"/>
              <w:bottom w:val="single" w:sz="4" w:space="0" w:color="000000"/>
              <w:right w:val="single" w:sz="12" w:space="0" w:color="000000"/>
            </w:tcBorders>
          </w:tcPr>
          <w:p w14:paraId="2FAC7977" w14:textId="43AB77B0" w:rsidR="00B0429D" w:rsidRDefault="00B0429D" w:rsidP="006F4EE2">
            <w:pPr>
              <w:tabs>
                <w:tab w:val="center" w:pos="608"/>
              </w:tabs>
              <w:spacing w:after="0" w:line="259" w:lineRule="auto"/>
              <w:ind w:left="0" w:right="0" w:firstLine="0"/>
              <w:jc w:val="center"/>
            </w:pPr>
            <w:r>
              <w:rPr>
                <w:sz w:val="18"/>
              </w:rPr>
              <w:t>0.5</w:t>
            </w:r>
          </w:p>
        </w:tc>
        <w:tc>
          <w:tcPr>
            <w:tcW w:w="973" w:type="dxa"/>
            <w:tcBorders>
              <w:top w:val="single" w:sz="4" w:space="0" w:color="000000"/>
              <w:left w:val="single" w:sz="12" w:space="0" w:color="000000"/>
              <w:bottom w:val="single" w:sz="4" w:space="0" w:color="000000"/>
              <w:right w:val="single" w:sz="12" w:space="0" w:color="000000"/>
            </w:tcBorders>
          </w:tcPr>
          <w:p w14:paraId="06BC9131" w14:textId="241B6DE3" w:rsidR="00B0429D" w:rsidRDefault="00B0429D" w:rsidP="006F4EE2">
            <w:pPr>
              <w:spacing w:after="0" w:line="259" w:lineRule="auto"/>
              <w:ind w:left="0" w:right="20" w:firstLine="0"/>
              <w:jc w:val="center"/>
            </w:pPr>
            <w:r>
              <w:rPr>
                <w:sz w:val="18"/>
              </w:rPr>
              <w:t>ug/L</w:t>
            </w:r>
          </w:p>
        </w:tc>
        <w:tc>
          <w:tcPr>
            <w:tcW w:w="935" w:type="dxa"/>
            <w:tcBorders>
              <w:top w:val="single" w:sz="4" w:space="0" w:color="000000"/>
              <w:left w:val="single" w:sz="12" w:space="0" w:color="000000"/>
              <w:bottom w:val="single" w:sz="4" w:space="0" w:color="000000"/>
              <w:right w:val="single" w:sz="12" w:space="0" w:color="000000"/>
            </w:tcBorders>
          </w:tcPr>
          <w:p w14:paraId="0B1AB8CE" w14:textId="4B5353DD" w:rsidR="00B0429D" w:rsidRDefault="00B0429D" w:rsidP="006F4EE2">
            <w:pPr>
              <w:spacing w:after="0" w:line="259" w:lineRule="auto"/>
              <w:ind w:left="0" w:right="16" w:firstLine="0"/>
              <w:jc w:val="center"/>
            </w:pPr>
            <w:r>
              <w:rPr>
                <w:sz w:val="18"/>
              </w:rPr>
              <w:t>N/A</w:t>
            </w:r>
          </w:p>
        </w:tc>
        <w:tc>
          <w:tcPr>
            <w:tcW w:w="900" w:type="dxa"/>
            <w:tcBorders>
              <w:top w:val="single" w:sz="4" w:space="0" w:color="000000"/>
              <w:left w:val="single" w:sz="12" w:space="0" w:color="000000"/>
              <w:bottom w:val="single" w:sz="4" w:space="0" w:color="000000"/>
              <w:right w:val="single" w:sz="12" w:space="0" w:color="000000"/>
            </w:tcBorders>
          </w:tcPr>
          <w:p w14:paraId="1B306C90" w14:textId="56C51A2E" w:rsidR="00B0429D" w:rsidRDefault="00B0429D" w:rsidP="006F4EE2">
            <w:pPr>
              <w:spacing w:after="0" w:line="259" w:lineRule="auto"/>
              <w:ind w:left="0" w:right="16" w:firstLine="0"/>
              <w:jc w:val="center"/>
            </w:pPr>
            <w:r>
              <w:rPr>
                <w:sz w:val="18"/>
              </w:rPr>
              <w:t>N/A</w:t>
            </w:r>
          </w:p>
        </w:tc>
        <w:tc>
          <w:tcPr>
            <w:tcW w:w="1030" w:type="dxa"/>
            <w:tcBorders>
              <w:top w:val="single" w:sz="4" w:space="0" w:color="000000"/>
              <w:left w:val="single" w:sz="12" w:space="0" w:color="000000"/>
              <w:bottom w:val="single" w:sz="4" w:space="0" w:color="000000"/>
              <w:right w:val="single" w:sz="12" w:space="0" w:color="000000"/>
            </w:tcBorders>
          </w:tcPr>
          <w:p w14:paraId="2BC18CDB" w14:textId="628A28D5" w:rsidR="00B0429D" w:rsidRDefault="00B0429D" w:rsidP="006F4EE2">
            <w:pPr>
              <w:spacing w:after="0" w:line="259" w:lineRule="auto"/>
              <w:ind w:left="0" w:right="19" w:firstLine="0"/>
              <w:jc w:val="center"/>
            </w:pPr>
            <w:r>
              <w:rPr>
                <w:b/>
                <w:sz w:val="18"/>
              </w:rPr>
              <w:t>524.2</w:t>
            </w:r>
          </w:p>
        </w:tc>
        <w:tc>
          <w:tcPr>
            <w:tcW w:w="950" w:type="dxa"/>
            <w:tcBorders>
              <w:top w:val="single" w:sz="4" w:space="0" w:color="000000"/>
              <w:left w:val="single" w:sz="12" w:space="0" w:color="000000"/>
              <w:bottom w:val="single" w:sz="4" w:space="0" w:color="000000"/>
              <w:right w:val="single" w:sz="12" w:space="0" w:color="000000"/>
            </w:tcBorders>
          </w:tcPr>
          <w:p w14:paraId="3B457E68" w14:textId="694D5036" w:rsidR="00B0429D" w:rsidRDefault="00B0429D" w:rsidP="006F4EE2">
            <w:pPr>
              <w:spacing w:after="0" w:line="259" w:lineRule="auto"/>
              <w:ind w:left="0" w:right="16" w:firstLine="0"/>
              <w:jc w:val="center"/>
            </w:pPr>
            <w:r>
              <w:rPr>
                <w:sz w:val="18"/>
              </w:rPr>
              <w:t>502.2</w:t>
            </w:r>
          </w:p>
        </w:tc>
      </w:tr>
      <w:tr w:rsidR="00B0429D" w14:paraId="653B99DB" w14:textId="77777777" w:rsidTr="00C23B62">
        <w:trPr>
          <w:trHeight w:val="250"/>
        </w:trPr>
        <w:tc>
          <w:tcPr>
            <w:tcW w:w="3448" w:type="dxa"/>
            <w:tcBorders>
              <w:top w:val="single" w:sz="4" w:space="0" w:color="000000"/>
              <w:left w:val="single" w:sz="12" w:space="0" w:color="000000"/>
              <w:bottom w:val="single" w:sz="4" w:space="0" w:color="000000"/>
              <w:right w:val="single" w:sz="12" w:space="0" w:color="000000"/>
            </w:tcBorders>
          </w:tcPr>
          <w:p w14:paraId="067A8716" w14:textId="77777777" w:rsidR="00B0429D" w:rsidRDefault="00B0429D" w:rsidP="00B0429D">
            <w:pPr>
              <w:spacing w:after="0" w:line="259" w:lineRule="auto"/>
              <w:ind w:left="29" w:right="0" w:firstLine="0"/>
            </w:pPr>
            <w:r>
              <w:rPr>
                <w:sz w:val="18"/>
              </w:rPr>
              <w:t xml:space="preserve">2-Hexanone (MBK) </w:t>
            </w:r>
          </w:p>
        </w:tc>
        <w:tc>
          <w:tcPr>
            <w:tcW w:w="1232" w:type="dxa"/>
            <w:tcBorders>
              <w:top w:val="single" w:sz="4" w:space="0" w:color="000000"/>
              <w:left w:val="single" w:sz="12" w:space="0" w:color="000000"/>
              <w:bottom w:val="single" w:sz="4" w:space="0" w:color="000000"/>
              <w:right w:val="single" w:sz="12" w:space="0" w:color="000000"/>
            </w:tcBorders>
          </w:tcPr>
          <w:p w14:paraId="259CF856" w14:textId="560B29D7" w:rsidR="00B0429D" w:rsidRDefault="00B0429D" w:rsidP="006F4EE2">
            <w:pPr>
              <w:spacing w:after="0" w:line="259" w:lineRule="auto"/>
              <w:ind w:left="0" w:right="44" w:firstLine="0"/>
              <w:jc w:val="center"/>
            </w:pPr>
            <w:r>
              <w:rPr>
                <w:sz w:val="18"/>
              </w:rPr>
              <w:t>591-78-6</w:t>
            </w:r>
          </w:p>
        </w:tc>
        <w:tc>
          <w:tcPr>
            <w:tcW w:w="1062" w:type="dxa"/>
            <w:tcBorders>
              <w:top w:val="single" w:sz="4" w:space="0" w:color="000000"/>
              <w:left w:val="single" w:sz="12" w:space="0" w:color="000000"/>
              <w:bottom w:val="single" w:sz="4" w:space="0" w:color="000000"/>
              <w:right w:val="single" w:sz="12" w:space="0" w:color="000000"/>
            </w:tcBorders>
          </w:tcPr>
          <w:p w14:paraId="11EFCE91" w14:textId="05511179" w:rsidR="00B0429D" w:rsidRDefault="00B0429D" w:rsidP="006F4EE2">
            <w:pPr>
              <w:tabs>
                <w:tab w:val="center" w:pos="562"/>
              </w:tabs>
              <w:spacing w:after="0" w:line="259" w:lineRule="auto"/>
              <w:ind w:left="0" w:right="0" w:firstLine="0"/>
              <w:jc w:val="center"/>
            </w:pPr>
            <w:r>
              <w:rPr>
                <w:sz w:val="18"/>
              </w:rPr>
              <w:t>1</w:t>
            </w:r>
          </w:p>
        </w:tc>
        <w:tc>
          <w:tcPr>
            <w:tcW w:w="973" w:type="dxa"/>
            <w:tcBorders>
              <w:top w:val="single" w:sz="4" w:space="0" w:color="000000"/>
              <w:left w:val="single" w:sz="12" w:space="0" w:color="000000"/>
              <w:bottom w:val="single" w:sz="4" w:space="0" w:color="000000"/>
              <w:right w:val="single" w:sz="12" w:space="0" w:color="000000"/>
            </w:tcBorders>
          </w:tcPr>
          <w:p w14:paraId="37D4438E" w14:textId="121805CF" w:rsidR="00B0429D" w:rsidRDefault="00B0429D" w:rsidP="006F4EE2">
            <w:pPr>
              <w:spacing w:after="0" w:line="259" w:lineRule="auto"/>
              <w:ind w:left="0" w:right="20" w:firstLine="0"/>
              <w:jc w:val="center"/>
            </w:pPr>
            <w:r>
              <w:rPr>
                <w:sz w:val="18"/>
              </w:rPr>
              <w:t>ug/L</w:t>
            </w:r>
          </w:p>
        </w:tc>
        <w:tc>
          <w:tcPr>
            <w:tcW w:w="935" w:type="dxa"/>
            <w:tcBorders>
              <w:top w:val="single" w:sz="4" w:space="0" w:color="000000"/>
              <w:left w:val="single" w:sz="12" w:space="0" w:color="000000"/>
              <w:bottom w:val="single" w:sz="4" w:space="0" w:color="000000"/>
              <w:right w:val="single" w:sz="12" w:space="0" w:color="000000"/>
            </w:tcBorders>
          </w:tcPr>
          <w:p w14:paraId="65305EDF" w14:textId="3EA3882D" w:rsidR="00B0429D" w:rsidRDefault="00B0429D" w:rsidP="006F4EE2">
            <w:pPr>
              <w:spacing w:after="0" w:line="259" w:lineRule="auto"/>
              <w:ind w:left="0" w:right="16" w:firstLine="0"/>
              <w:jc w:val="center"/>
            </w:pPr>
            <w:r>
              <w:rPr>
                <w:sz w:val="18"/>
              </w:rPr>
              <w:t>N/A</w:t>
            </w:r>
          </w:p>
        </w:tc>
        <w:tc>
          <w:tcPr>
            <w:tcW w:w="900" w:type="dxa"/>
            <w:tcBorders>
              <w:top w:val="single" w:sz="4" w:space="0" w:color="000000"/>
              <w:left w:val="single" w:sz="12" w:space="0" w:color="000000"/>
              <w:bottom w:val="single" w:sz="4" w:space="0" w:color="000000"/>
              <w:right w:val="single" w:sz="12" w:space="0" w:color="000000"/>
            </w:tcBorders>
          </w:tcPr>
          <w:p w14:paraId="0BB48B60" w14:textId="22AC061C" w:rsidR="00B0429D" w:rsidRDefault="00B0429D" w:rsidP="006F4EE2">
            <w:pPr>
              <w:spacing w:after="0" w:line="259" w:lineRule="auto"/>
              <w:ind w:left="0" w:right="16" w:firstLine="0"/>
              <w:jc w:val="center"/>
            </w:pPr>
            <w:r>
              <w:rPr>
                <w:sz w:val="18"/>
              </w:rPr>
              <w:t>N/A</w:t>
            </w:r>
          </w:p>
        </w:tc>
        <w:tc>
          <w:tcPr>
            <w:tcW w:w="1030" w:type="dxa"/>
            <w:tcBorders>
              <w:top w:val="single" w:sz="4" w:space="0" w:color="000000"/>
              <w:left w:val="single" w:sz="12" w:space="0" w:color="000000"/>
              <w:bottom w:val="single" w:sz="4" w:space="0" w:color="000000"/>
              <w:right w:val="single" w:sz="12" w:space="0" w:color="000000"/>
            </w:tcBorders>
          </w:tcPr>
          <w:p w14:paraId="285386BE" w14:textId="3C7318E5" w:rsidR="00B0429D" w:rsidRDefault="00B0429D" w:rsidP="006F4EE2">
            <w:pPr>
              <w:spacing w:after="0" w:line="259" w:lineRule="auto"/>
              <w:ind w:left="0" w:right="19" w:firstLine="0"/>
              <w:jc w:val="center"/>
            </w:pPr>
            <w:r>
              <w:rPr>
                <w:b/>
                <w:sz w:val="18"/>
              </w:rPr>
              <w:t>524.2</w:t>
            </w:r>
          </w:p>
        </w:tc>
        <w:tc>
          <w:tcPr>
            <w:tcW w:w="950" w:type="dxa"/>
            <w:tcBorders>
              <w:top w:val="single" w:sz="4" w:space="0" w:color="000000"/>
              <w:left w:val="single" w:sz="12" w:space="0" w:color="000000"/>
              <w:bottom w:val="single" w:sz="4" w:space="0" w:color="000000"/>
              <w:right w:val="single" w:sz="12" w:space="0" w:color="000000"/>
            </w:tcBorders>
          </w:tcPr>
          <w:p w14:paraId="2764E896" w14:textId="268ECFED" w:rsidR="00B0429D" w:rsidRDefault="00B0429D" w:rsidP="006F4EE2">
            <w:pPr>
              <w:spacing w:after="0" w:line="259" w:lineRule="auto"/>
              <w:ind w:left="29" w:right="0" w:firstLine="0"/>
              <w:jc w:val="center"/>
            </w:pPr>
          </w:p>
        </w:tc>
      </w:tr>
      <w:tr w:rsidR="00B0429D" w14:paraId="461DC67E" w14:textId="77777777" w:rsidTr="00C23B62">
        <w:trPr>
          <w:trHeight w:val="250"/>
        </w:trPr>
        <w:tc>
          <w:tcPr>
            <w:tcW w:w="3448" w:type="dxa"/>
            <w:tcBorders>
              <w:top w:val="single" w:sz="4" w:space="0" w:color="000000"/>
              <w:left w:val="single" w:sz="12" w:space="0" w:color="000000"/>
              <w:bottom w:val="single" w:sz="4" w:space="0" w:color="000000"/>
              <w:right w:val="single" w:sz="12" w:space="0" w:color="000000"/>
            </w:tcBorders>
          </w:tcPr>
          <w:p w14:paraId="3A8A5ED2" w14:textId="77777777" w:rsidR="00B0429D" w:rsidRDefault="00B0429D" w:rsidP="00B0429D">
            <w:pPr>
              <w:spacing w:after="0" w:line="259" w:lineRule="auto"/>
              <w:ind w:left="29" w:right="0" w:firstLine="0"/>
            </w:pPr>
            <w:proofErr w:type="spellStart"/>
            <w:r>
              <w:rPr>
                <w:sz w:val="18"/>
              </w:rPr>
              <w:t>Isopropylbenzene</w:t>
            </w:r>
            <w:proofErr w:type="spellEnd"/>
            <w:r>
              <w:rPr>
                <w:sz w:val="18"/>
              </w:rPr>
              <w:t xml:space="preserve"> </w:t>
            </w:r>
          </w:p>
        </w:tc>
        <w:tc>
          <w:tcPr>
            <w:tcW w:w="1232" w:type="dxa"/>
            <w:tcBorders>
              <w:top w:val="single" w:sz="4" w:space="0" w:color="000000"/>
              <w:left w:val="single" w:sz="12" w:space="0" w:color="000000"/>
              <w:bottom w:val="single" w:sz="4" w:space="0" w:color="000000"/>
              <w:right w:val="single" w:sz="12" w:space="0" w:color="000000"/>
            </w:tcBorders>
          </w:tcPr>
          <w:p w14:paraId="69646638" w14:textId="4FCB7C8E" w:rsidR="00B0429D" w:rsidRDefault="00B0429D" w:rsidP="006F4EE2">
            <w:pPr>
              <w:spacing w:after="0" w:line="259" w:lineRule="auto"/>
              <w:ind w:left="0" w:right="44" w:firstLine="0"/>
              <w:jc w:val="center"/>
            </w:pPr>
            <w:r>
              <w:rPr>
                <w:sz w:val="18"/>
              </w:rPr>
              <w:t>98-82-8</w:t>
            </w:r>
          </w:p>
        </w:tc>
        <w:tc>
          <w:tcPr>
            <w:tcW w:w="1062" w:type="dxa"/>
            <w:tcBorders>
              <w:top w:val="single" w:sz="4" w:space="0" w:color="000000"/>
              <w:left w:val="single" w:sz="12" w:space="0" w:color="000000"/>
              <w:bottom w:val="single" w:sz="4" w:space="0" w:color="000000"/>
              <w:right w:val="single" w:sz="12" w:space="0" w:color="000000"/>
            </w:tcBorders>
          </w:tcPr>
          <w:p w14:paraId="4BB25A92" w14:textId="4C763C09" w:rsidR="00B0429D" w:rsidRDefault="00B0429D" w:rsidP="006F4EE2">
            <w:pPr>
              <w:tabs>
                <w:tab w:val="center" w:pos="562"/>
              </w:tabs>
              <w:spacing w:after="0" w:line="259" w:lineRule="auto"/>
              <w:ind w:left="0" w:right="0" w:firstLine="0"/>
              <w:jc w:val="center"/>
            </w:pPr>
            <w:r>
              <w:rPr>
                <w:sz w:val="18"/>
              </w:rPr>
              <w:t>1</w:t>
            </w:r>
          </w:p>
        </w:tc>
        <w:tc>
          <w:tcPr>
            <w:tcW w:w="973" w:type="dxa"/>
            <w:tcBorders>
              <w:top w:val="single" w:sz="4" w:space="0" w:color="000000"/>
              <w:left w:val="single" w:sz="12" w:space="0" w:color="000000"/>
              <w:bottom w:val="single" w:sz="4" w:space="0" w:color="000000"/>
              <w:right w:val="single" w:sz="12" w:space="0" w:color="000000"/>
            </w:tcBorders>
          </w:tcPr>
          <w:p w14:paraId="14495FEB" w14:textId="6EEA070C" w:rsidR="00B0429D" w:rsidRDefault="00B0429D" w:rsidP="006F4EE2">
            <w:pPr>
              <w:spacing w:after="0" w:line="259" w:lineRule="auto"/>
              <w:ind w:left="0" w:right="20" w:firstLine="0"/>
              <w:jc w:val="center"/>
            </w:pPr>
            <w:r>
              <w:rPr>
                <w:sz w:val="18"/>
              </w:rPr>
              <w:t>ug/L</w:t>
            </w:r>
          </w:p>
        </w:tc>
        <w:tc>
          <w:tcPr>
            <w:tcW w:w="935" w:type="dxa"/>
            <w:tcBorders>
              <w:top w:val="single" w:sz="4" w:space="0" w:color="000000"/>
              <w:left w:val="single" w:sz="12" w:space="0" w:color="000000"/>
              <w:bottom w:val="single" w:sz="4" w:space="0" w:color="000000"/>
              <w:right w:val="single" w:sz="12" w:space="0" w:color="000000"/>
            </w:tcBorders>
          </w:tcPr>
          <w:p w14:paraId="5DF17BC8" w14:textId="231D5923" w:rsidR="00B0429D" w:rsidRDefault="00B0429D" w:rsidP="006F4EE2">
            <w:pPr>
              <w:spacing w:after="0" w:line="259" w:lineRule="auto"/>
              <w:ind w:left="0" w:right="16" w:firstLine="0"/>
              <w:jc w:val="center"/>
            </w:pPr>
            <w:r>
              <w:rPr>
                <w:sz w:val="18"/>
              </w:rPr>
              <w:t>N/A</w:t>
            </w:r>
          </w:p>
        </w:tc>
        <w:tc>
          <w:tcPr>
            <w:tcW w:w="900" w:type="dxa"/>
            <w:tcBorders>
              <w:top w:val="single" w:sz="4" w:space="0" w:color="000000"/>
              <w:left w:val="single" w:sz="12" w:space="0" w:color="000000"/>
              <w:bottom w:val="single" w:sz="4" w:space="0" w:color="000000"/>
              <w:right w:val="single" w:sz="12" w:space="0" w:color="000000"/>
            </w:tcBorders>
          </w:tcPr>
          <w:p w14:paraId="14269774" w14:textId="37F15E45" w:rsidR="00B0429D" w:rsidRDefault="00B0429D" w:rsidP="006F4EE2">
            <w:pPr>
              <w:spacing w:after="0" w:line="259" w:lineRule="auto"/>
              <w:ind w:left="0" w:right="16" w:firstLine="0"/>
              <w:jc w:val="center"/>
            </w:pPr>
            <w:r>
              <w:rPr>
                <w:sz w:val="18"/>
              </w:rPr>
              <w:t>N/A</w:t>
            </w:r>
          </w:p>
        </w:tc>
        <w:tc>
          <w:tcPr>
            <w:tcW w:w="1030" w:type="dxa"/>
            <w:tcBorders>
              <w:top w:val="single" w:sz="4" w:space="0" w:color="000000"/>
              <w:left w:val="single" w:sz="12" w:space="0" w:color="000000"/>
              <w:bottom w:val="single" w:sz="4" w:space="0" w:color="000000"/>
              <w:right w:val="single" w:sz="12" w:space="0" w:color="000000"/>
            </w:tcBorders>
          </w:tcPr>
          <w:p w14:paraId="278CF0EB" w14:textId="41BA4CA4" w:rsidR="00B0429D" w:rsidRDefault="00B0429D" w:rsidP="006F4EE2">
            <w:pPr>
              <w:spacing w:after="0" w:line="259" w:lineRule="auto"/>
              <w:ind w:left="0" w:right="19" w:firstLine="0"/>
              <w:jc w:val="center"/>
            </w:pPr>
            <w:r>
              <w:rPr>
                <w:b/>
                <w:sz w:val="18"/>
              </w:rPr>
              <w:t>524.2</w:t>
            </w:r>
          </w:p>
        </w:tc>
        <w:tc>
          <w:tcPr>
            <w:tcW w:w="950" w:type="dxa"/>
            <w:tcBorders>
              <w:top w:val="single" w:sz="4" w:space="0" w:color="000000"/>
              <w:left w:val="single" w:sz="12" w:space="0" w:color="000000"/>
              <w:bottom w:val="single" w:sz="4" w:space="0" w:color="000000"/>
              <w:right w:val="single" w:sz="12" w:space="0" w:color="000000"/>
            </w:tcBorders>
          </w:tcPr>
          <w:p w14:paraId="65032E8D" w14:textId="231B05AC" w:rsidR="00B0429D" w:rsidRDefault="00B0429D" w:rsidP="006F4EE2">
            <w:pPr>
              <w:spacing w:after="0" w:line="259" w:lineRule="auto"/>
              <w:ind w:left="0" w:right="16" w:firstLine="0"/>
              <w:jc w:val="center"/>
            </w:pPr>
            <w:r>
              <w:rPr>
                <w:sz w:val="18"/>
              </w:rPr>
              <w:t>502.2</w:t>
            </w:r>
          </w:p>
        </w:tc>
      </w:tr>
      <w:tr w:rsidR="00B0429D" w14:paraId="5678BC84" w14:textId="77777777" w:rsidTr="00C23B62">
        <w:trPr>
          <w:trHeight w:val="250"/>
        </w:trPr>
        <w:tc>
          <w:tcPr>
            <w:tcW w:w="3448" w:type="dxa"/>
            <w:tcBorders>
              <w:top w:val="single" w:sz="4" w:space="0" w:color="000000"/>
              <w:left w:val="single" w:sz="12" w:space="0" w:color="000000"/>
              <w:bottom w:val="single" w:sz="4" w:space="0" w:color="000000"/>
              <w:right w:val="single" w:sz="12" w:space="0" w:color="000000"/>
            </w:tcBorders>
          </w:tcPr>
          <w:p w14:paraId="7F549F7E" w14:textId="77777777" w:rsidR="00B0429D" w:rsidRDefault="00B0429D" w:rsidP="00B0429D">
            <w:pPr>
              <w:spacing w:after="0" w:line="259" w:lineRule="auto"/>
              <w:ind w:left="29" w:right="0" w:firstLine="0"/>
            </w:pPr>
            <w:r>
              <w:rPr>
                <w:sz w:val="18"/>
              </w:rPr>
              <w:t xml:space="preserve">Methyl-t-butyl ether (MTBE) </w:t>
            </w:r>
          </w:p>
        </w:tc>
        <w:tc>
          <w:tcPr>
            <w:tcW w:w="1232" w:type="dxa"/>
            <w:tcBorders>
              <w:top w:val="single" w:sz="4" w:space="0" w:color="000000"/>
              <w:left w:val="single" w:sz="12" w:space="0" w:color="000000"/>
              <w:bottom w:val="single" w:sz="4" w:space="0" w:color="000000"/>
              <w:right w:val="single" w:sz="12" w:space="0" w:color="000000"/>
            </w:tcBorders>
          </w:tcPr>
          <w:p w14:paraId="6C77AF2A" w14:textId="5EB56602" w:rsidR="00B0429D" w:rsidRDefault="00B0429D" w:rsidP="006F4EE2">
            <w:pPr>
              <w:spacing w:after="0" w:line="259" w:lineRule="auto"/>
              <w:ind w:left="0" w:right="44" w:firstLine="0"/>
              <w:jc w:val="center"/>
            </w:pPr>
            <w:r>
              <w:rPr>
                <w:sz w:val="18"/>
              </w:rPr>
              <w:t>1634-04-4</w:t>
            </w:r>
          </w:p>
        </w:tc>
        <w:tc>
          <w:tcPr>
            <w:tcW w:w="1062" w:type="dxa"/>
            <w:tcBorders>
              <w:top w:val="single" w:sz="4" w:space="0" w:color="000000"/>
              <w:left w:val="single" w:sz="12" w:space="0" w:color="000000"/>
              <w:bottom w:val="single" w:sz="4" w:space="0" w:color="000000"/>
              <w:right w:val="single" w:sz="12" w:space="0" w:color="000000"/>
            </w:tcBorders>
          </w:tcPr>
          <w:p w14:paraId="4687CAFB" w14:textId="7017425A" w:rsidR="00B0429D" w:rsidRDefault="00B0429D" w:rsidP="006F4EE2">
            <w:pPr>
              <w:tabs>
                <w:tab w:val="center" w:pos="608"/>
              </w:tabs>
              <w:spacing w:after="0" w:line="259" w:lineRule="auto"/>
              <w:ind w:left="0" w:right="0" w:firstLine="0"/>
              <w:jc w:val="center"/>
            </w:pPr>
            <w:r>
              <w:rPr>
                <w:sz w:val="18"/>
              </w:rPr>
              <w:t>0.5</w:t>
            </w:r>
          </w:p>
        </w:tc>
        <w:tc>
          <w:tcPr>
            <w:tcW w:w="973" w:type="dxa"/>
            <w:tcBorders>
              <w:top w:val="single" w:sz="4" w:space="0" w:color="000000"/>
              <w:left w:val="single" w:sz="12" w:space="0" w:color="000000"/>
              <w:bottom w:val="single" w:sz="4" w:space="0" w:color="000000"/>
              <w:right w:val="single" w:sz="12" w:space="0" w:color="000000"/>
            </w:tcBorders>
          </w:tcPr>
          <w:p w14:paraId="6282C83D" w14:textId="4759588D" w:rsidR="00B0429D" w:rsidRDefault="00B0429D" w:rsidP="006F4EE2">
            <w:pPr>
              <w:spacing w:after="0" w:line="259" w:lineRule="auto"/>
              <w:ind w:left="0" w:right="20" w:firstLine="0"/>
              <w:jc w:val="center"/>
            </w:pPr>
            <w:r>
              <w:rPr>
                <w:sz w:val="18"/>
              </w:rPr>
              <w:t>ug/L</w:t>
            </w:r>
          </w:p>
        </w:tc>
        <w:tc>
          <w:tcPr>
            <w:tcW w:w="935" w:type="dxa"/>
            <w:tcBorders>
              <w:top w:val="single" w:sz="4" w:space="0" w:color="000000"/>
              <w:left w:val="single" w:sz="12" w:space="0" w:color="000000"/>
              <w:bottom w:val="single" w:sz="4" w:space="0" w:color="000000"/>
              <w:right w:val="single" w:sz="12" w:space="0" w:color="000000"/>
            </w:tcBorders>
          </w:tcPr>
          <w:p w14:paraId="4E48A9D2" w14:textId="49A6FBC1" w:rsidR="00B0429D" w:rsidRDefault="00B0429D" w:rsidP="006F4EE2">
            <w:pPr>
              <w:spacing w:after="0" w:line="259" w:lineRule="auto"/>
              <w:ind w:left="0" w:right="16" w:firstLine="0"/>
              <w:jc w:val="center"/>
            </w:pPr>
            <w:r>
              <w:rPr>
                <w:sz w:val="18"/>
              </w:rPr>
              <w:t>N/A</w:t>
            </w:r>
          </w:p>
        </w:tc>
        <w:tc>
          <w:tcPr>
            <w:tcW w:w="900" w:type="dxa"/>
            <w:tcBorders>
              <w:top w:val="single" w:sz="4" w:space="0" w:color="000000"/>
              <w:left w:val="single" w:sz="12" w:space="0" w:color="000000"/>
              <w:bottom w:val="single" w:sz="4" w:space="0" w:color="000000"/>
              <w:right w:val="single" w:sz="12" w:space="0" w:color="000000"/>
            </w:tcBorders>
          </w:tcPr>
          <w:p w14:paraId="54A7B913" w14:textId="2614EF7C" w:rsidR="00B0429D" w:rsidRDefault="00B0429D" w:rsidP="006F4EE2">
            <w:pPr>
              <w:spacing w:after="0" w:line="259" w:lineRule="auto"/>
              <w:ind w:left="0" w:right="16" w:firstLine="0"/>
              <w:jc w:val="center"/>
            </w:pPr>
            <w:r>
              <w:rPr>
                <w:sz w:val="18"/>
              </w:rPr>
              <w:t>N/A</w:t>
            </w:r>
          </w:p>
        </w:tc>
        <w:tc>
          <w:tcPr>
            <w:tcW w:w="1030" w:type="dxa"/>
            <w:tcBorders>
              <w:top w:val="single" w:sz="4" w:space="0" w:color="000000"/>
              <w:left w:val="single" w:sz="12" w:space="0" w:color="000000"/>
              <w:bottom w:val="single" w:sz="4" w:space="0" w:color="000000"/>
              <w:right w:val="single" w:sz="12" w:space="0" w:color="000000"/>
            </w:tcBorders>
          </w:tcPr>
          <w:p w14:paraId="4173FB4C" w14:textId="0C342FC2" w:rsidR="00B0429D" w:rsidRDefault="00B0429D" w:rsidP="006F4EE2">
            <w:pPr>
              <w:spacing w:after="0" w:line="259" w:lineRule="auto"/>
              <w:ind w:left="0" w:right="19" w:firstLine="0"/>
              <w:jc w:val="center"/>
            </w:pPr>
            <w:r>
              <w:rPr>
                <w:b/>
                <w:sz w:val="18"/>
              </w:rPr>
              <w:t>524.2</w:t>
            </w:r>
          </w:p>
        </w:tc>
        <w:tc>
          <w:tcPr>
            <w:tcW w:w="950" w:type="dxa"/>
            <w:tcBorders>
              <w:top w:val="single" w:sz="4" w:space="0" w:color="000000"/>
              <w:left w:val="single" w:sz="12" w:space="0" w:color="000000"/>
              <w:bottom w:val="single" w:sz="4" w:space="0" w:color="000000"/>
              <w:right w:val="single" w:sz="12" w:space="0" w:color="000000"/>
            </w:tcBorders>
          </w:tcPr>
          <w:p w14:paraId="197C73F2" w14:textId="4918D26F" w:rsidR="00B0429D" w:rsidRDefault="00B0429D" w:rsidP="006F4EE2">
            <w:pPr>
              <w:spacing w:after="0" w:line="259" w:lineRule="auto"/>
              <w:ind w:left="0" w:right="16" w:firstLine="0"/>
              <w:jc w:val="center"/>
            </w:pPr>
            <w:r>
              <w:rPr>
                <w:i/>
                <w:sz w:val="18"/>
              </w:rPr>
              <w:t>502.2</w:t>
            </w:r>
          </w:p>
        </w:tc>
      </w:tr>
      <w:tr w:rsidR="00B0429D" w14:paraId="54F3B39E" w14:textId="77777777" w:rsidTr="00C23B62">
        <w:trPr>
          <w:trHeight w:val="250"/>
        </w:trPr>
        <w:tc>
          <w:tcPr>
            <w:tcW w:w="3448" w:type="dxa"/>
            <w:tcBorders>
              <w:top w:val="single" w:sz="4" w:space="0" w:color="000000"/>
              <w:left w:val="single" w:sz="12" w:space="0" w:color="000000"/>
              <w:bottom w:val="single" w:sz="4" w:space="0" w:color="000000"/>
              <w:right w:val="single" w:sz="12" w:space="0" w:color="000000"/>
            </w:tcBorders>
          </w:tcPr>
          <w:p w14:paraId="70E4F73B" w14:textId="77777777" w:rsidR="00B0429D" w:rsidRDefault="00B0429D" w:rsidP="00B0429D">
            <w:pPr>
              <w:spacing w:after="0" w:line="259" w:lineRule="auto"/>
              <w:ind w:left="29" w:right="0" w:firstLine="0"/>
            </w:pPr>
            <w:r>
              <w:rPr>
                <w:sz w:val="18"/>
              </w:rPr>
              <w:t xml:space="preserve">Methylene chloride </w:t>
            </w:r>
          </w:p>
        </w:tc>
        <w:tc>
          <w:tcPr>
            <w:tcW w:w="1232" w:type="dxa"/>
            <w:tcBorders>
              <w:top w:val="single" w:sz="4" w:space="0" w:color="000000"/>
              <w:left w:val="single" w:sz="12" w:space="0" w:color="000000"/>
              <w:bottom w:val="single" w:sz="4" w:space="0" w:color="000000"/>
              <w:right w:val="single" w:sz="12" w:space="0" w:color="000000"/>
            </w:tcBorders>
          </w:tcPr>
          <w:p w14:paraId="1AED8620" w14:textId="584DC590" w:rsidR="00B0429D" w:rsidRDefault="00B0429D" w:rsidP="006F4EE2">
            <w:pPr>
              <w:spacing w:after="0" w:line="259" w:lineRule="auto"/>
              <w:ind w:left="0" w:right="44" w:firstLine="0"/>
              <w:jc w:val="center"/>
            </w:pPr>
            <w:r>
              <w:rPr>
                <w:sz w:val="18"/>
              </w:rPr>
              <w:t>75-09-2</w:t>
            </w:r>
          </w:p>
        </w:tc>
        <w:tc>
          <w:tcPr>
            <w:tcW w:w="1062" w:type="dxa"/>
            <w:tcBorders>
              <w:top w:val="single" w:sz="4" w:space="0" w:color="000000"/>
              <w:left w:val="single" w:sz="12" w:space="0" w:color="000000"/>
              <w:bottom w:val="single" w:sz="4" w:space="0" w:color="000000"/>
              <w:right w:val="single" w:sz="12" w:space="0" w:color="000000"/>
            </w:tcBorders>
          </w:tcPr>
          <w:p w14:paraId="253F3E7C" w14:textId="3AA10BF7" w:rsidR="00B0429D" w:rsidRDefault="00B0429D" w:rsidP="006F4EE2">
            <w:pPr>
              <w:tabs>
                <w:tab w:val="center" w:pos="608"/>
              </w:tabs>
              <w:spacing w:after="0" w:line="259" w:lineRule="auto"/>
              <w:ind w:left="0" w:right="0" w:firstLine="0"/>
              <w:jc w:val="center"/>
            </w:pPr>
            <w:r>
              <w:rPr>
                <w:sz w:val="18"/>
              </w:rPr>
              <w:t>0.5</w:t>
            </w:r>
          </w:p>
        </w:tc>
        <w:tc>
          <w:tcPr>
            <w:tcW w:w="973" w:type="dxa"/>
            <w:tcBorders>
              <w:top w:val="single" w:sz="4" w:space="0" w:color="000000"/>
              <w:left w:val="single" w:sz="12" w:space="0" w:color="000000"/>
              <w:bottom w:val="single" w:sz="4" w:space="0" w:color="000000"/>
              <w:right w:val="single" w:sz="12" w:space="0" w:color="000000"/>
            </w:tcBorders>
          </w:tcPr>
          <w:p w14:paraId="064CF21E" w14:textId="4F54D6B9" w:rsidR="00B0429D" w:rsidRDefault="00B0429D" w:rsidP="006F4EE2">
            <w:pPr>
              <w:spacing w:after="0" w:line="259" w:lineRule="auto"/>
              <w:ind w:left="0" w:right="20" w:firstLine="0"/>
              <w:jc w:val="center"/>
            </w:pPr>
            <w:r>
              <w:rPr>
                <w:sz w:val="18"/>
              </w:rPr>
              <w:t>ug/L</w:t>
            </w:r>
          </w:p>
        </w:tc>
        <w:tc>
          <w:tcPr>
            <w:tcW w:w="935" w:type="dxa"/>
            <w:tcBorders>
              <w:top w:val="single" w:sz="4" w:space="0" w:color="000000"/>
              <w:left w:val="single" w:sz="12" w:space="0" w:color="000000"/>
              <w:bottom w:val="single" w:sz="4" w:space="0" w:color="000000"/>
              <w:right w:val="single" w:sz="12" w:space="0" w:color="000000"/>
            </w:tcBorders>
          </w:tcPr>
          <w:p w14:paraId="50F11EEC" w14:textId="04BE68CD" w:rsidR="00B0429D" w:rsidRDefault="00B0429D" w:rsidP="006F4EE2">
            <w:pPr>
              <w:spacing w:after="0" w:line="259" w:lineRule="auto"/>
              <w:ind w:left="0" w:right="16" w:firstLine="0"/>
              <w:jc w:val="center"/>
            </w:pPr>
            <w:r>
              <w:rPr>
                <w:sz w:val="18"/>
              </w:rPr>
              <w:t>N/A</w:t>
            </w:r>
          </w:p>
        </w:tc>
        <w:tc>
          <w:tcPr>
            <w:tcW w:w="900" w:type="dxa"/>
            <w:tcBorders>
              <w:top w:val="single" w:sz="4" w:space="0" w:color="000000"/>
              <w:left w:val="single" w:sz="12" w:space="0" w:color="000000"/>
              <w:bottom w:val="single" w:sz="4" w:space="0" w:color="000000"/>
              <w:right w:val="single" w:sz="12" w:space="0" w:color="000000"/>
            </w:tcBorders>
          </w:tcPr>
          <w:p w14:paraId="4D3C1C26" w14:textId="17C7420A" w:rsidR="00B0429D" w:rsidRDefault="00B0429D" w:rsidP="006F4EE2">
            <w:pPr>
              <w:spacing w:after="0" w:line="259" w:lineRule="auto"/>
              <w:ind w:left="0" w:right="16" w:firstLine="0"/>
              <w:jc w:val="center"/>
            </w:pPr>
            <w:r>
              <w:rPr>
                <w:sz w:val="18"/>
              </w:rPr>
              <w:t>N/A</w:t>
            </w:r>
          </w:p>
        </w:tc>
        <w:tc>
          <w:tcPr>
            <w:tcW w:w="1030" w:type="dxa"/>
            <w:tcBorders>
              <w:top w:val="single" w:sz="4" w:space="0" w:color="000000"/>
              <w:left w:val="single" w:sz="12" w:space="0" w:color="000000"/>
              <w:bottom w:val="single" w:sz="4" w:space="0" w:color="000000"/>
              <w:right w:val="single" w:sz="12" w:space="0" w:color="000000"/>
            </w:tcBorders>
          </w:tcPr>
          <w:p w14:paraId="1610C489" w14:textId="523D2AA3" w:rsidR="00B0429D" w:rsidRDefault="00B0429D" w:rsidP="006F4EE2">
            <w:pPr>
              <w:spacing w:after="0" w:line="259" w:lineRule="auto"/>
              <w:ind w:left="0" w:right="19" w:firstLine="0"/>
              <w:jc w:val="center"/>
            </w:pPr>
            <w:r>
              <w:rPr>
                <w:b/>
                <w:sz w:val="18"/>
              </w:rPr>
              <w:t>524.2</w:t>
            </w:r>
          </w:p>
        </w:tc>
        <w:tc>
          <w:tcPr>
            <w:tcW w:w="950" w:type="dxa"/>
            <w:tcBorders>
              <w:top w:val="single" w:sz="4" w:space="0" w:color="000000"/>
              <w:left w:val="single" w:sz="12" w:space="0" w:color="000000"/>
              <w:bottom w:val="single" w:sz="4" w:space="0" w:color="000000"/>
              <w:right w:val="single" w:sz="12" w:space="0" w:color="000000"/>
            </w:tcBorders>
          </w:tcPr>
          <w:p w14:paraId="1C50705F" w14:textId="0F99811D" w:rsidR="00B0429D" w:rsidRDefault="00B0429D" w:rsidP="006F4EE2">
            <w:pPr>
              <w:spacing w:after="0" w:line="259" w:lineRule="auto"/>
              <w:ind w:left="0" w:right="16" w:firstLine="0"/>
              <w:jc w:val="center"/>
            </w:pPr>
            <w:r>
              <w:rPr>
                <w:sz w:val="18"/>
              </w:rPr>
              <w:t>502.2</w:t>
            </w:r>
          </w:p>
        </w:tc>
      </w:tr>
      <w:tr w:rsidR="00B0429D" w14:paraId="41A36F71" w14:textId="77777777" w:rsidTr="00C23B62">
        <w:trPr>
          <w:trHeight w:val="250"/>
        </w:trPr>
        <w:tc>
          <w:tcPr>
            <w:tcW w:w="3448" w:type="dxa"/>
            <w:tcBorders>
              <w:top w:val="single" w:sz="4" w:space="0" w:color="000000"/>
              <w:left w:val="single" w:sz="12" w:space="0" w:color="000000"/>
              <w:bottom w:val="single" w:sz="4" w:space="0" w:color="000000"/>
              <w:right w:val="single" w:sz="12" w:space="0" w:color="000000"/>
            </w:tcBorders>
          </w:tcPr>
          <w:p w14:paraId="243E9CB3" w14:textId="77777777" w:rsidR="00B0429D" w:rsidRDefault="00B0429D" w:rsidP="00B0429D">
            <w:pPr>
              <w:spacing w:after="0" w:line="259" w:lineRule="auto"/>
              <w:ind w:left="29" w:right="0" w:firstLine="0"/>
            </w:pPr>
            <w:r>
              <w:rPr>
                <w:sz w:val="18"/>
              </w:rPr>
              <w:t xml:space="preserve">4-Methyl-2-pentanone (MIBK) </w:t>
            </w:r>
          </w:p>
        </w:tc>
        <w:tc>
          <w:tcPr>
            <w:tcW w:w="1232" w:type="dxa"/>
            <w:tcBorders>
              <w:top w:val="single" w:sz="4" w:space="0" w:color="000000"/>
              <w:left w:val="single" w:sz="12" w:space="0" w:color="000000"/>
              <w:bottom w:val="single" w:sz="4" w:space="0" w:color="000000"/>
              <w:right w:val="single" w:sz="12" w:space="0" w:color="000000"/>
            </w:tcBorders>
          </w:tcPr>
          <w:p w14:paraId="110E52E0" w14:textId="0EFAFD78" w:rsidR="00B0429D" w:rsidRDefault="00B0429D" w:rsidP="006F4EE2">
            <w:pPr>
              <w:spacing w:after="0" w:line="259" w:lineRule="auto"/>
              <w:ind w:left="0" w:right="44" w:firstLine="0"/>
              <w:jc w:val="center"/>
            </w:pPr>
            <w:r>
              <w:rPr>
                <w:sz w:val="18"/>
              </w:rPr>
              <w:t>108-10-1</w:t>
            </w:r>
          </w:p>
        </w:tc>
        <w:tc>
          <w:tcPr>
            <w:tcW w:w="1062" w:type="dxa"/>
            <w:tcBorders>
              <w:top w:val="single" w:sz="4" w:space="0" w:color="000000"/>
              <w:left w:val="single" w:sz="12" w:space="0" w:color="000000"/>
              <w:bottom w:val="single" w:sz="4" w:space="0" w:color="000000"/>
              <w:right w:val="single" w:sz="12" w:space="0" w:color="000000"/>
            </w:tcBorders>
          </w:tcPr>
          <w:p w14:paraId="6D8E18AA" w14:textId="4DDAA675" w:rsidR="00B0429D" w:rsidRDefault="00B0429D" w:rsidP="006F4EE2">
            <w:pPr>
              <w:tabs>
                <w:tab w:val="center" w:pos="562"/>
              </w:tabs>
              <w:spacing w:after="0" w:line="259" w:lineRule="auto"/>
              <w:ind w:left="0" w:right="0" w:firstLine="0"/>
              <w:jc w:val="center"/>
            </w:pPr>
            <w:r>
              <w:rPr>
                <w:sz w:val="18"/>
              </w:rPr>
              <w:t>1</w:t>
            </w:r>
          </w:p>
        </w:tc>
        <w:tc>
          <w:tcPr>
            <w:tcW w:w="973" w:type="dxa"/>
            <w:tcBorders>
              <w:top w:val="single" w:sz="4" w:space="0" w:color="000000"/>
              <w:left w:val="single" w:sz="12" w:space="0" w:color="000000"/>
              <w:bottom w:val="single" w:sz="4" w:space="0" w:color="000000"/>
              <w:right w:val="single" w:sz="12" w:space="0" w:color="000000"/>
            </w:tcBorders>
          </w:tcPr>
          <w:p w14:paraId="7F5521EC" w14:textId="5830A361" w:rsidR="00B0429D" w:rsidRDefault="00B0429D" w:rsidP="006F4EE2">
            <w:pPr>
              <w:spacing w:after="0" w:line="259" w:lineRule="auto"/>
              <w:ind w:left="0" w:right="20" w:firstLine="0"/>
              <w:jc w:val="center"/>
            </w:pPr>
            <w:r>
              <w:rPr>
                <w:sz w:val="18"/>
              </w:rPr>
              <w:t>ug/L</w:t>
            </w:r>
          </w:p>
        </w:tc>
        <w:tc>
          <w:tcPr>
            <w:tcW w:w="935" w:type="dxa"/>
            <w:tcBorders>
              <w:top w:val="single" w:sz="4" w:space="0" w:color="000000"/>
              <w:left w:val="single" w:sz="12" w:space="0" w:color="000000"/>
              <w:bottom w:val="single" w:sz="4" w:space="0" w:color="000000"/>
              <w:right w:val="single" w:sz="12" w:space="0" w:color="000000"/>
            </w:tcBorders>
          </w:tcPr>
          <w:p w14:paraId="000357CB" w14:textId="5CF8A803" w:rsidR="00B0429D" w:rsidRDefault="00B0429D" w:rsidP="006F4EE2">
            <w:pPr>
              <w:spacing w:after="0" w:line="259" w:lineRule="auto"/>
              <w:ind w:left="0" w:right="16" w:firstLine="0"/>
              <w:jc w:val="center"/>
            </w:pPr>
            <w:r>
              <w:rPr>
                <w:sz w:val="18"/>
              </w:rPr>
              <w:t>N/A</w:t>
            </w:r>
          </w:p>
        </w:tc>
        <w:tc>
          <w:tcPr>
            <w:tcW w:w="900" w:type="dxa"/>
            <w:tcBorders>
              <w:top w:val="single" w:sz="4" w:space="0" w:color="000000"/>
              <w:left w:val="single" w:sz="12" w:space="0" w:color="000000"/>
              <w:bottom w:val="single" w:sz="4" w:space="0" w:color="000000"/>
              <w:right w:val="single" w:sz="12" w:space="0" w:color="000000"/>
            </w:tcBorders>
          </w:tcPr>
          <w:p w14:paraId="1B4BC05E" w14:textId="4A526AE2" w:rsidR="00B0429D" w:rsidRDefault="00B0429D" w:rsidP="006F4EE2">
            <w:pPr>
              <w:spacing w:after="0" w:line="259" w:lineRule="auto"/>
              <w:ind w:left="0" w:right="16" w:firstLine="0"/>
              <w:jc w:val="center"/>
            </w:pPr>
            <w:r>
              <w:rPr>
                <w:sz w:val="18"/>
              </w:rPr>
              <w:t>N/A</w:t>
            </w:r>
          </w:p>
        </w:tc>
        <w:tc>
          <w:tcPr>
            <w:tcW w:w="1030" w:type="dxa"/>
            <w:tcBorders>
              <w:top w:val="single" w:sz="4" w:space="0" w:color="000000"/>
              <w:left w:val="single" w:sz="12" w:space="0" w:color="000000"/>
              <w:bottom w:val="single" w:sz="4" w:space="0" w:color="000000"/>
              <w:right w:val="single" w:sz="12" w:space="0" w:color="000000"/>
            </w:tcBorders>
          </w:tcPr>
          <w:p w14:paraId="441FA3C7" w14:textId="56DB3A3D" w:rsidR="00B0429D" w:rsidRDefault="00B0429D" w:rsidP="006F4EE2">
            <w:pPr>
              <w:spacing w:after="0" w:line="259" w:lineRule="auto"/>
              <w:ind w:left="0" w:right="19" w:firstLine="0"/>
              <w:jc w:val="center"/>
            </w:pPr>
            <w:r>
              <w:rPr>
                <w:b/>
                <w:sz w:val="18"/>
              </w:rPr>
              <w:t>524.2</w:t>
            </w:r>
          </w:p>
        </w:tc>
        <w:tc>
          <w:tcPr>
            <w:tcW w:w="950" w:type="dxa"/>
            <w:tcBorders>
              <w:top w:val="single" w:sz="4" w:space="0" w:color="000000"/>
              <w:left w:val="single" w:sz="12" w:space="0" w:color="000000"/>
              <w:bottom w:val="single" w:sz="4" w:space="0" w:color="000000"/>
              <w:right w:val="single" w:sz="12" w:space="0" w:color="000000"/>
            </w:tcBorders>
          </w:tcPr>
          <w:p w14:paraId="0CDAD17D" w14:textId="335623B5" w:rsidR="00B0429D" w:rsidRDefault="00B0429D" w:rsidP="006F4EE2">
            <w:pPr>
              <w:spacing w:after="0" w:line="259" w:lineRule="auto"/>
              <w:ind w:left="29" w:right="0" w:firstLine="0"/>
              <w:jc w:val="center"/>
            </w:pPr>
          </w:p>
        </w:tc>
      </w:tr>
      <w:tr w:rsidR="00B0429D" w14:paraId="3246FEA1" w14:textId="77777777" w:rsidTr="00C23B62">
        <w:trPr>
          <w:trHeight w:val="252"/>
        </w:trPr>
        <w:tc>
          <w:tcPr>
            <w:tcW w:w="3448" w:type="dxa"/>
            <w:tcBorders>
              <w:top w:val="single" w:sz="4" w:space="0" w:color="000000"/>
              <w:left w:val="single" w:sz="12" w:space="0" w:color="000000"/>
              <w:bottom w:val="single" w:sz="4" w:space="0" w:color="000000"/>
              <w:right w:val="single" w:sz="12" w:space="0" w:color="000000"/>
            </w:tcBorders>
          </w:tcPr>
          <w:p w14:paraId="35F72362" w14:textId="77777777" w:rsidR="00B0429D" w:rsidRDefault="00B0429D" w:rsidP="00B0429D">
            <w:pPr>
              <w:spacing w:after="0" w:line="259" w:lineRule="auto"/>
              <w:ind w:left="29" w:right="0" w:firstLine="0"/>
            </w:pPr>
            <w:r>
              <w:rPr>
                <w:sz w:val="18"/>
              </w:rPr>
              <w:t xml:space="preserve">Naphthalene </w:t>
            </w:r>
          </w:p>
        </w:tc>
        <w:tc>
          <w:tcPr>
            <w:tcW w:w="1232" w:type="dxa"/>
            <w:tcBorders>
              <w:top w:val="single" w:sz="4" w:space="0" w:color="000000"/>
              <w:left w:val="single" w:sz="12" w:space="0" w:color="000000"/>
              <w:bottom w:val="single" w:sz="4" w:space="0" w:color="000000"/>
              <w:right w:val="single" w:sz="12" w:space="0" w:color="000000"/>
            </w:tcBorders>
          </w:tcPr>
          <w:p w14:paraId="65153E91" w14:textId="0AA49FAA" w:rsidR="00B0429D" w:rsidRDefault="00B0429D" w:rsidP="006F4EE2">
            <w:pPr>
              <w:spacing w:after="0" w:line="259" w:lineRule="auto"/>
              <w:ind w:left="0" w:right="44" w:firstLine="0"/>
              <w:jc w:val="center"/>
            </w:pPr>
            <w:r>
              <w:rPr>
                <w:sz w:val="18"/>
              </w:rPr>
              <w:t>91-20-3</w:t>
            </w:r>
          </w:p>
        </w:tc>
        <w:tc>
          <w:tcPr>
            <w:tcW w:w="1062" w:type="dxa"/>
            <w:tcBorders>
              <w:top w:val="single" w:sz="4" w:space="0" w:color="000000"/>
              <w:left w:val="single" w:sz="12" w:space="0" w:color="000000"/>
              <w:bottom w:val="single" w:sz="4" w:space="0" w:color="000000"/>
              <w:right w:val="single" w:sz="12" w:space="0" w:color="000000"/>
            </w:tcBorders>
          </w:tcPr>
          <w:p w14:paraId="7B0E23F4" w14:textId="688DE61E" w:rsidR="00B0429D" w:rsidRDefault="00B0429D" w:rsidP="006F4EE2">
            <w:pPr>
              <w:tabs>
                <w:tab w:val="center" w:pos="608"/>
              </w:tabs>
              <w:spacing w:after="0" w:line="259" w:lineRule="auto"/>
              <w:ind w:left="0" w:right="0" w:firstLine="0"/>
              <w:jc w:val="center"/>
            </w:pPr>
            <w:r>
              <w:rPr>
                <w:sz w:val="18"/>
              </w:rPr>
              <w:t>0.5</w:t>
            </w:r>
          </w:p>
        </w:tc>
        <w:tc>
          <w:tcPr>
            <w:tcW w:w="973" w:type="dxa"/>
            <w:tcBorders>
              <w:top w:val="single" w:sz="4" w:space="0" w:color="000000"/>
              <w:left w:val="single" w:sz="12" w:space="0" w:color="000000"/>
              <w:bottom w:val="single" w:sz="4" w:space="0" w:color="000000"/>
              <w:right w:val="single" w:sz="12" w:space="0" w:color="000000"/>
            </w:tcBorders>
          </w:tcPr>
          <w:p w14:paraId="68863B54" w14:textId="26C1F0EE" w:rsidR="00B0429D" w:rsidRDefault="00B0429D" w:rsidP="006F4EE2">
            <w:pPr>
              <w:spacing w:after="0" w:line="259" w:lineRule="auto"/>
              <w:ind w:left="0" w:right="20" w:firstLine="0"/>
              <w:jc w:val="center"/>
            </w:pPr>
            <w:r>
              <w:rPr>
                <w:sz w:val="18"/>
              </w:rPr>
              <w:t>ug/L</w:t>
            </w:r>
          </w:p>
        </w:tc>
        <w:tc>
          <w:tcPr>
            <w:tcW w:w="935" w:type="dxa"/>
            <w:tcBorders>
              <w:top w:val="single" w:sz="4" w:space="0" w:color="000000"/>
              <w:left w:val="single" w:sz="12" w:space="0" w:color="000000"/>
              <w:bottom w:val="single" w:sz="4" w:space="0" w:color="000000"/>
              <w:right w:val="single" w:sz="12" w:space="0" w:color="000000"/>
            </w:tcBorders>
          </w:tcPr>
          <w:p w14:paraId="009EF0BE" w14:textId="7944A0BE" w:rsidR="00B0429D" w:rsidRDefault="00B0429D" w:rsidP="006F4EE2">
            <w:pPr>
              <w:spacing w:after="0" w:line="259" w:lineRule="auto"/>
              <w:ind w:left="0" w:right="16" w:firstLine="0"/>
              <w:jc w:val="center"/>
            </w:pPr>
            <w:r>
              <w:rPr>
                <w:sz w:val="18"/>
              </w:rPr>
              <w:t>N/A</w:t>
            </w:r>
          </w:p>
        </w:tc>
        <w:tc>
          <w:tcPr>
            <w:tcW w:w="900" w:type="dxa"/>
            <w:tcBorders>
              <w:top w:val="single" w:sz="4" w:space="0" w:color="000000"/>
              <w:left w:val="single" w:sz="12" w:space="0" w:color="000000"/>
              <w:bottom w:val="single" w:sz="4" w:space="0" w:color="000000"/>
              <w:right w:val="single" w:sz="12" w:space="0" w:color="000000"/>
            </w:tcBorders>
          </w:tcPr>
          <w:p w14:paraId="6C8659B9" w14:textId="58D78166" w:rsidR="00B0429D" w:rsidRDefault="00B0429D" w:rsidP="006F4EE2">
            <w:pPr>
              <w:spacing w:after="0" w:line="259" w:lineRule="auto"/>
              <w:ind w:left="0" w:right="16" w:firstLine="0"/>
              <w:jc w:val="center"/>
            </w:pPr>
            <w:r>
              <w:rPr>
                <w:sz w:val="18"/>
              </w:rPr>
              <w:t>N/A</w:t>
            </w:r>
          </w:p>
        </w:tc>
        <w:tc>
          <w:tcPr>
            <w:tcW w:w="1030" w:type="dxa"/>
            <w:tcBorders>
              <w:top w:val="single" w:sz="4" w:space="0" w:color="000000"/>
              <w:left w:val="single" w:sz="12" w:space="0" w:color="000000"/>
              <w:bottom w:val="single" w:sz="4" w:space="0" w:color="000000"/>
              <w:right w:val="single" w:sz="12" w:space="0" w:color="000000"/>
            </w:tcBorders>
          </w:tcPr>
          <w:p w14:paraId="792D10F4" w14:textId="5E8C00F1" w:rsidR="00B0429D" w:rsidRDefault="00B0429D" w:rsidP="006F4EE2">
            <w:pPr>
              <w:spacing w:after="0" w:line="259" w:lineRule="auto"/>
              <w:ind w:left="0" w:right="19" w:firstLine="0"/>
              <w:jc w:val="center"/>
            </w:pPr>
            <w:r>
              <w:rPr>
                <w:b/>
                <w:sz w:val="18"/>
              </w:rPr>
              <w:t>524.2</w:t>
            </w:r>
          </w:p>
        </w:tc>
        <w:tc>
          <w:tcPr>
            <w:tcW w:w="950" w:type="dxa"/>
            <w:tcBorders>
              <w:top w:val="single" w:sz="4" w:space="0" w:color="000000"/>
              <w:left w:val="single" w:sz="12" w:space="0" w:color="000000"/>
              <w:bottom w:val="single" w:sz="4" w:space="0" w:color="000000"/>
              <w:right w:val="single" w:sz="12" w:space="0" w:color="000000"/>
            </w:tcBorders>
          </w:tcPr>
          <w:p w14:paraId="50F06B08" w14:textId="3C0D040E" w:rsidR="00B0429D" w:rsidRDefault="00B0429D" w:rsidP="006F4EE2">
            <w:pPr>
              <w:spacing w:after="0" w:line="259" w:lineRule="auto"/>
              <w:ind w:left="0" w:right="16" w:firstLine="0"/>
              <w:jc w:val="center"/>
            </w:pPr>
            <w:r>
              <w:rPr>
                <w:sz w:val="18"/>
              </w:rPr>
              <w:t>502.2</w:t>
            </w:r>
          </w:p>
        </w:tc>
      </w:tr>
      <w:tr w:rsidR="00B0429D" w14:paraId="0F6A2B0A" w14:textId="77777777" w:rsidTr="00C23B62">
        <w:trPr>
          <w:trHeight w:val="250"/>
        </w:trPr>
        <w:tc>
          <w:tcPr>
            <w:tcW w:w="3448" w:type="dxa"/>
            <w:tcBorders>
              <w:top w:val="single" w:sz="4" w:space="0" w:color="000000"/>
              <w:left w:val="single" w:sz="12" w:space="0" w:color="000000"/>
              <w:bottom w:val="single" w:sz="4" w:space="0" w:color="000000"/>
              <w:right w:val="single" w:sz="12" w:space="0" w:color="000000"/>
            </w:tcBorders>
          </w:tcPr>
          <w:p w14:paraId="68A32F77" w14:textId="77777777" w:rsidR="00B0429D" w:rsidRDefault="00B0429D" w:rsidP="00B0429D">
            <w:pPr>
              <w:spacing w:after="0" w:line="259" w:lineRule="auto"/>
              <w:ind w:left="29" w:right="0" w:firstLine="0"/>
            </w:pPr>
            <w:r>
              <w:rPr>
                <w:sz w:val="18"/>
              </w:rPr>
              <w:t xml:space="preserve">2-Nitropropane </w:t>
            </w:r>
          </w:p>
        </w:tc>
        <w:tc>
          <w:tcPr>
            <w:tcW w:w="1232" w:type="dxa"/>
            <w:tcBorders>
              <w:top w:val="single" w:sz="4" w:space="0" w:color="000000"/>
              <w:left w:val="single" w:sz="12" w:space="0" w:color="000000"/>
              <w:bottom w:val="single" w:sz="4" w:space="0" w:color="000000"/>
              <w:right w:val="single" w:sz="12" w:space="0" w:color="000000"/>
            </w:tcBorders>
          </w:tcPr>
          <w:p w14:paraId="5760E549" w14:textId="5A615325" w:rsidR="00B0429D" w:rsidRDefault="00B0429D" w:rsidP="006F4EE2">
            <w:pPr>
              <w:spacing w:after="0" w:line="259" w:lineRule="auto"/>
              <w:ind w:left="0" w:right="44" w:firstLine="0"/>
              <w:jc w:val="center"/>
            </w:pPr>
            <w:r>
              <w:rPr>
                <w:sz w:val="18"/>
              </w:rPr>
              <w:t>79-46-9</w:t>
            </w:r>
          </w:p>
        </w:tc>
        <w:tc>
          <w:tcPr>
            <w:tcW w:w="1062" w:type="dxa"/>
            <w:tcBorders>
              <w:top w:val="single" w:sz="4" w:space="0" w:color="000000"/>
              <w:left w:val="single" w:sz="12" w:space="0" w:color="000000"/>
              <w:bottom w:val="single" w:sz="4" w:space="0" w:color="000000"/>
              <w:right w:val="single" w:sz="12" w:space="0" w:color="000000"/>
            </w:tcBorders>
          </w:tcPr>
          <w:p w14:paraId="3B49016E" w14:textId="62BF85E9" w:rsidR="00B0429D" w:rsidRDefault="00B0429D" w:rsidP="006F4EE2">
            <w:pPr>
              <w:tabs>
                <w:tab w:val="center" w:pos="608"/>
              </w:tabs>
              <w:spacing w:after="0" w:line="259" w:lineRule="auto"/>
              <w:ind w:left="0" w:right="0" w:firstLine="0"/>
              <w:jc w:val="center"/>
            </w:pPr>
            <w:r>
              <w:rPr>
                <w:sz w:val="18"/>
              </w:rPr>
              <w:t>0.5</w:t>
            </w:r>
          </w:p>
        </w:tc>
        <w:tc>
          <w:tcPr>
            <w:tcW w:w="973" w:type="dxa"/>
            <w:tcBorders>
              <w:top w:val="single" w:sz="4" w:space="0" w:color="000000"/>
              <w:left w:val="single" w:sz="12" w:space="0" w:color="000000"/>
              <w:bottom w:val="single" w:sz="4" w:space="0" w:color="000000"/>
              <w:right w:val="single" w:sz="12" w:space="0" w:color="000000"/>
            </w:tcBorders>
          </w:tcPr>
          <w:p w14:paraId="7AC89F9D" w14:textId="688122D2" w:rsidR="00B0429D" w:rsidRDefault="00B0429D" w:rsidP="006F4EE2">
            <w:pPr>
              <w:spacing w:after="0" w:line="259" w:lineRule="auto"/>
              <w:ind w:left="0" w:right="20" w:firstLine="0"/>
              <w:jc w:val="center"/>
            </w:pPr>
            <w:r>
              <w:rPr>
                <w:sz w:val="18"/>
              </w:rPr>
              <w:t>ug/L</w:t>
            </w:r>
          </w:p>
        </w:tc>
        <w:tc>
          <w:tcPr>
            <w:tcW w:w="935" w:type="dxa"/>
            <w:tcBorders>
              <w:top w:val="single" w:sz="4" w:space="0" w:color="000000"/>
              <w:left w:val="single" w:sz="12" w:space="0" w:color="000000"/>
              <w:bottom w:val="single" w:sz="4" w:space="0" w:color="000000"/>
              <w:right w:val="single" w:sz="12" w:space="0" w:color="000000"/>
            </w:tcBorders>
          </w:tcPr>
          <w:p w14:paraId="7DA05540" w14:textId="3D21B0B3" w:rsidR="00B0429D" w:rsidRDefault="00B0429D" w:rsidP="006F4EE2">
            <w:pPr>
              <w:spacing w:after="0" w:line="259" w:lineRule="auto"/>
              <w:ind w:left="0" w:right="16" w:firstLine="0"/>
              <w:jc w:val="center"/>
            </w:pPr>
            <w:r>
              <w:rPr>
                <w:sz w:val="18"/>
              </w:rPr>
              <w:t>N/A</w:t>
            </w:r>
          </w:p>
        </w:tc>
        <w:tc>
          <w:tcPr>
            <w:tcW w:w="900" w:type="dxa"/>
            <w:tcBorders>
              <w:top w:val="single" w:sz="4" w:space="0" w:color="000000"/>
              <w:left w:val="single" w:sz="12" w:space="0" w:color="000000"/>
              <w:bottom w:val="single" w:sz="4" w:space="0" w:color="000000"/>
              <w:right w:val="single" w:sz="12" w:space="0" w:color="000000"/>
            </w:tcBorders>
          </w:tcPr>
          <w:p w14:paraId="0AF364F9" w14:textId="508497C5" w:rsidR="00B0429D" w:rsidRDefault="00B0429D" w:rsidP="006F4EE2">
            <w:pPr>
              <w:spacing w:after="0" w:line="259" w:lineRule="auto"/>
              <w:ind w:left="0" w:right="16" w:firstLine="0"/>
              <w:jc w:val="center"/>
            </w:pPr>
            <w:r>
              <w:rPr>
                <w:sz w:val="18"/>
              </w:rPr>
              <w:t>N/A</w:t>
            </w:r>
          </w:p>
        </w:tc>
        <w:tc>
          <w:tcPr>
            <w:tcW w:w="1030" w:type="dxa"/>
            <w:tcBorders>
              <w:top w:val="single" w:sz="4" w:space="0" w:color="000000"/>
              <w:left w:val="single" w:sz="12" w:space="0" w:color="000000"/>
              <w:bottom w:val="single" w:sz="4" w:space="0" w:color="000000"/>
              <w:right w:val="single" w:sz="12" w:space="0" w:color="000000"/>
            </w:tcBorders>
          </w:tcPr>
          <w:p w14:paraId="36756D83" w14:textId="09BF4B1E" w:rsidR="00B0429D" w:rsidRDefault="00B0429D" w:rsidP="006F4EE2">
            <w:pPr>
              <w:spacing w:after="0" w:line="259" w:lineRule="auto"/>
              <w:ind w:left="0" w:right="19" w:firstLine="0"/>
              <w:jc w:val="center"/>
            </w:pPr>
            <w:r>
              <w:rPr>
                <w:b/>
                <w:sz w:val="18"/>
              </w:rPr>
              <w:t>524.2</w:t>
            </w:r>
          </w:p>
        </w:tc>
        <w:tc>
          <w:tcPr>
            <w:tcW w:w="950" w:type="dxa"/>
            <w:tcBorders>
              <w:top w:val="single" w:sz="4" w:space="0" w:color="000000"/>
              <w:left w:val="single" w:sz="12" w:space="0" w:color="000000"/>
              <w:bottom w:val="single" w:sz="4" w:space="0" w:color="000000"/>
              <w:right w:val="single" w:sz="12" w:space="0" w:color="000000"/>
            </w:tcBorders>
          </w:tcPr>
          <w:p w14:paraId="51F71840" w14:textId="0AB17C9E" w:rsidR="00B0429D" w:rsidRDefault="00B0429D" w:rsidP="006F4EE2">
            <w:pPr>
              <w:spacing w:after="0" w:line="259" w:lineRule="auto"/>
              <w:ind w:left="26" w:right="0" w:firstLine="0"/>
              <w:jc w:val="center"/>
            </w:pPr>
          </w:p>
        </w:tc>
      </w:tr>
      <w:tr w:rsidR="00B0429D" w14:paraId="144AE1A1" w14:textId="77777777" w:rsidTr="00C23B62">
        <w:trPr>
          <w:trHeight w:val="250"/>
        </w:trPr>
        <w:tc>
          <w:tcPr>
            <w:tcW w:w="3448" w:type="dxa"/>
            <w:tcBorders>
              <w:top w:val="single" w:sz="4" w:space="0" w:color="000000"/>
              <w:left w:val="single" w:sz="12" w:space="0" w:color="000000"/>
              <w:bottom w:val="single" w:sz="4" w:space="0" w:color="000000"/>
              <w:right w:val="single" w:sz="12" w:space="0" w:color="000000"/>
            </w:tcBorders>
          </w:tcPr>
          <w:p w14:paraId="7701E5A9" w14:textId="77777777" w:rsidR="00B0429D" w:rsidRDefault="00B0429D" w:rsidP="00B0429D">
            <w:pPr>
              <w:spacing w:after="0" w:line="259" w:lineRule="auto"/>
              <w:ind w:left="29" w:right="0" w:firstLine="0"/>
            </w:pPr>
            <w:r>
              <w:rPr>
                <w:sz w:val="18"/>
              </w:rPr>
              <w:t>n-</w:t>
            </w:r>
            <w:proofErr w:type="spellStart"/>
            <w:r>
              <w:rPr>
                <w:sz w:val="18"/>
              </w:rPr>
              <w:t>Propylbenzene</w:t>
            </w:r>
            <w:proofErr w:type="spellEnd"/>
            <w:r>
              <w:rPr>
                <w:sz w:val="18"/>
              </w:rPr>
              <w:t xml:space="preserve"> </w:t>
            </w:r>
          </w:p>
        </w:tc>
        <w:tc>
          <w:tcPr>
            <w:tcW w:w="1232" w:type="dxa"/>
            <w:tcBorders>
              <w:top w:val="single" w:sz="4" w:space="0" w:color="000000"/>
              <w:left w:val="single" w:sz="12" w:space="0" w:color="000000"/>
              <w:bottom w:val="single" w:sz="4" w:space="0" w:color="000000"/>
              <w:right w:val="single" w:sz="12" w:space="0" w:color="000000"/>
            </w:tcBorders>
          </w:tcPr>
          <w:p w14:paraId="1ED48C18" w14:textId="56066E26" w:rsidR="00B0429D" w:rsidRDefault="00B0429D" w:rsidP="006F4EE2">
            <w:pPr>
              <w:spacing w:after="0" w:line="259" w:lineRule="auto"/>
              <w:ind w:left="0" w:right="44" w:firstLine="0"/>
              <w:jc w:val="center"/>
            </w:pPr>
            <w:r>
              <w:rPr>
                <w:sz w:val="18"/>
              </w:rPr>
              <w:t>103-65-1</w:t>
            </w:r>
          </w:p>
        </w:tc>
        <w:tc>
          <w:tcPr>
            <w:tcW w:w="1062" w:type="dxa"/>
            <w:tcBorders>
              <w:top w:val="single" w:sz="4" w:space="0" w:color="000000"/>
              <w:left w:val="single" w:sz="12" w:space="0" w:color="000000"/>
              <w:bottom w:val="single" w:sz="4" w:space="0" w:color="000000"/>
              <w:right w:val="single" w:sz="12" w:space="0" w:color="000000"/>
            </w:tcBorders>
          </w:tcPr>
          <w:p w14:paraId="5B0F2665" w14:textId="4FBC7CD9" w:rsidR="00B0429D" w:rsidRDefault="00B0429D" w:rsidP="006F4EE2">
            <w:pPr>
              <w:tabs>
                <w:tab w:val="center" w:pos="562"/>
              </w:tabs>
              <w:spacing w:after="0" w:line="259" w:lineRule="auto"/>
              <w:ind w:left="0" w:right="0" w:firstLine="0"/>
              <w:jc w:val="center"/>
            </w:pPr>
            <w:r>
              <w:rPr>
                <w:sz w:val="18"/>
              </w:rPr>
              <w:t>1</w:t>
            </w:r>
          </w:p>
        </w:tc>
        <w:tc>
          <w:tcPr>
            <w:tcW w:w="973" w:type="dxa"/>
            <w:tcBorders>
              <w:top w:val="single" w:sz="4" w:space="0" w:color="000000"/>
              <w:left w:val="single" w:sz="12" w:space="0" w:color="000000"/>
              <w:bottom w:val="single" w:sz="4" w:space="0" w:color="000000"/>
              <w:right w:val="single" w:sz="12" w:space="0" w:color="000000"/>
            </w:tcBorders>
          </w:tcPr>
          <w:p w14:paraId="6F40DAF0" w14:textId="0D0E70E5" w:rsidR="00B0429D" w:rsidRDefault="00B0429D" w:rsidP="006F4EE2">
            <w:pPr>
              <w:spacing w:after="0" w:line="259" w:lineRule="auto"/>
              <w:ind w:left="0" w:right="20" w:firstLine="0"/>
              <w:jc w:val="center"/>
            </w:pPr>
            <w:r>
              <w:rPr>
                <w:sz w:val="18"/>
              </w:rPr>
              <w:t>ug/L</w:t>
            </w:r>
          </w:p>
        </w:tc>
        <w:tc>
          <w:tcPr>
            <w:tcW w:w="935" w:type="dxa"/>
            <w:tcBorders>
              <w:top w:val="single" w:sz="4" w:space="0" w:color="000000"/>
              <w:left w:val="single" w:sz="12" w:space="0" w:color="000000"/>
              <w:bottom w:val="single" w:sz="4" w:space="0" w:color="000000"/>
              <w:right w:val="single" w:sz="12" w:space="0" w:color="000000"/>
            </w:tcBorders>
          </w:tcPr>
          <w:p w14:paraId="261C18C2" w14:textId="7E0DAF6B" w:rsidR="00B0429D" w:rsidRDefault="00B0429D" w:rsidP="006F4EE2">
            <w:pPr>
              <w:spacing w:after="0" w:line="259" w:lineRule="auto"/>
              <w:ind w:left="0" w:right="16" w:firstLine="0"/>
              <w:jc w:val="center"/>
            </w:pPr>
            <w:r>
              <w:rPr>
                <w:sz w:val="18"/>
              </w:rPr>
              <w:t>N/A</w:t>
            </w:r>
          </w:p>
        </w:tc>
        <w:tc>
          <w:tcPr>
            <w:tcW w:w="900" w:type="dxa"/>
            <w:tcBorders>
              <w:top w:val="single" w:sz="4" w:space="0" w:color="000000"/>
              <w:left w:val="single" w:sz="12" w:space="0" w:color="000000"/>
              <w:bottom w:val="single" w:sz="4" w:space="0" w:color="000000"/>
              <w:right w:val="single" w:sz="12" w:space="0" w:color="000000"/>
            </w:tcBorders>
          </w:tcPr>
          <w:p w14:paraId="1EEE8FCA" w14:textId="6E0F9ED8" w:rsidR="00B0429D" w:rsidRDefault="00B0429D" w:rsidP="006F4EE2">
            <w:pPr>
              <w:spacing w:after="0" w:line="259" w:lineRule="auto"/>
              <w:ind w:left="0" w:right="16" w:firstLine="0"/>
              <w:jc w:val="center"/>
            </w:pPr>
            <w:r>
              <w:rPr>
                <w:sz w:val="18"/>
              </w:rPr>
              <w:t>N/A</w:t>
            </w:r>
          </w:p>
        </w:tc>
        <w:tc>
          <w:tcPr>
            <w:tcW w:w="1030" w:type="dxa"/>
            <w:tcBorders>
              <w:top w:val="single" w:sz="4" w:space="0" w:color="000000"/>
              <w:left w:val="single" w:sz="12" w:space="0" w:color="000000"/>
              <w:bottom w:val="single" w:sz="4" w:space="0" w:color="000000"/>
              <w:right w:val="single" w:sz="12" w:space="0" w:color="000000"/>
            </w:tcBorders>
          </w:tcPr>
          <w:p w14:paraId="410EEC88" w14:textId="684DB1C9" w:rsidR="00B0429D" w:rsidRDefault="00B0429D" w:rsidP="006F4EE2">
            <w:pPr>
              <w:spacing w:after="0" w:line="259" w:lineRule="auto"/>
              <w:ind w:left="0" w:right="19" w:firstLine="0"/>
              <w:jc w:val="center"/>
            </w:pPr>
            <w:r>
              <w:rPr>
                <w:b/>
                <w:sz w:val="18"/>
              </w:rPr>
              <w:t>524.2</w:t>
            </w:r>
          </w:p>
        </w:tc>
        <w:tc>
          <w:tcPr>
            <w:tcW w:w="950" w:type="dxa"/>
            <w:tcBorders>
              <w:top w:val="single" w:sz="4" w:space="0" w:color="000000"/>
              <w:left w:val="single" w:sz="12" w:space="0" w:color="000000"/>
              <w:bottom w:val="single" w:sz="4" w:space="0" w:color="000000"/>
              <w:right w:val="single" w:sz="12" w:space="0" w:color="000000"/>
            </w:tcBorders>
          </w:tcPr>
          <w:p w14:paraId="7495076D" w14:textId="07AA6CD3" w:rsidR="00B0429D" w:rsidRDefault="00B0429D" w:rsidP="006F4EE2">
            <w:pPr>
              <w:spacing w:after="0" w:line="259" w:lineRule="auto"/>
              <w:ind w:left="0" w:right="16" w:firstLine="0"/>
              <w:jc w:val="center"/>
            </w:pPr>
            <w:r>
              <w:rPr>
                <w:sz w:val="18"/>
              </w:rPr>
              <w:t>502.2</w:t>
            </w:r>
          </w:p>
        </w:tc>
      </w:tr>
      <w:tr w:rsidR="00B0429D" w14:paraId="2EE54578" w14:textId="77777777" w:rsidTr="00C23B62">
        <w:trPr>
          <w:trHeight w:val="250"/>
        </w:trPr>
        <w:tc>
          <w:tcPr>
            <w:tcW w:w="3448" w:type="dxa"/>
            <w:tcBorders>
              <w:top w:val="single" w:sz="4" w:space="0" w:color="000000"/>
              <w:left w:val="single" w:sz="12" w:space="0" w:color="000000"/>
              <w:bottom w:val="single" w:sz="4" w:space="0" w:color="000000"/>
              <w:right w:val="single" w:sz="12" w:space="0" w:color="000000"/>
            </w:tcBorders>
          </w:tcPr>
          <w:p w14:paraId="17BE88E0" w14:textId="77777777" w:rsidR="00B0429D" w:rsidRDefault="00B0429D" w:rsidP="00B0429D">
            <w:pPr>
              <w:spacing w:after="0" w:line="259" w:lineRule="auto"/>
              <w:ind w:left="29" w:right="0" w:firstLine="0"/>
            </w:pPr>
            <w:r>
              <w:rPr>
                <w:sz w:val="18"/>
              </w:rPr>
              <w:t xml:space="preserve">Styrene </w:t>
            </w:r>
          </w:p>
        </w:tc>
        <w:tc>
          <w:tcPr>
            <w:tcW w:w="1232" w:type="dxa"/>
            <w:tcBorders>
              <w:top w:val="single" w:sz="4" w:space="0" w:color="000000"/>
              <w:left w:val="single" w:sz="12" w:space="0" w:color="000000"/>
              <w:bottom w:val="single" w:sz="4" w:space="0" w:color="000000"/>
              <w:right w:val="single" w:sz="12" w:space="0" w:color="000000"/>
            </w:tcBorders>
          </w:tcPr>
          <w:p w14:paraId="0395B360" w14:textId="301D9758" w:rsidR="00B0429D" w:rsidRDefault="00B0429D" w:rsidP="006F4EE2">
            <w:pPr>
              <w:spacing w:after="0" w:line="259" w:lineRule="auto"/>
              <w:ind w:left="0" w:right="44" w:firstLine="0"/>
              <w:jc w:val="center"/>
            </w:pPr>
            <w:r>
              <w:rPr>
                <w:sz w:val="18"/>
              </w:rPr>
              <w:t>100-42-5</w:t>
            </w:r>
          </w:p>
        </w:tc>
        <w:tc>
          <w:tcPr>
            <w:tcW w:w="1062" w:type="dxa"/>
            <w:tcBorders>
              <w:top w:val="single" w:sz="4" w:space="0" w:color="000000"/>
              <w:left w:val="single" w:sz="12" w:space="0" w:color="000000"/>
              <w:bottom w:val="single" w:sz="4" w:space="0" w:color="000000"/>
              <w:right w:val="single" w:sz="12" w:space="0" w:color="000000"/>
            </w:tcBorders>
          </w:tcPr>
          <w:p w14:paraId="210F0D9E" w14:textId="7A43E9C0" w:rsidR="00B0429D" w:rsidRDefault="00B0429D" w:rsidP="006F4EE2">
            <w:pPr>
              <w:tabs>
                <w:tab w:val="center" w:pos="608"/>
              </w:tabs>
              <w:spacing w:after="0" w:line="259" w:lineRule="auto"/>
              <w:ind w:left="0" w:right="0" w:firstLine="0"/>
              <w:jc w:val="center"/>
            </w:pPr>
            <w:r>
              <w:rPr>
                <w:sz w:val="18"/>
              </w:rPr>
              <w:t>0.5</w:t>
            </w:r>
          </w:p>
        </w:tc>
        <w:tc>
          <w:tcPr>
            <w:tcW w:w="973" w:type="dxa"/>
            <w:tcBorders>
              <w:top w:val="single" w:sz="4" w:space="0" w:color="000000"/>
              <w:left w:val="single" w:sz="12" w:space="0" w:color="000000"/>
              <w:bottom w:val="single" w:sz="4" w:space="0" w:color="000000"/>
              <w:right w:val="single" w:sz="12" w:space="0" w:color="000000"/>
            </w:tcBorders>
          </w:tcPr>
          <w:p w14:paraId="598A3286" w14:textId="1A6B6257" w:rsidR="00B0429D" w:rsidRDefault="00B0429D" w:rsidP="006F4EE2">
            <w:pPr>
              <w:spacing w:after="0" w:line="259" w:lineRule="auto"/>
              <w:ind w:left="0" w:right="20" w:firstLine="0"/>
              <w:jc w:val="center"/>
            </w:pPr>
            <w:r>
              <w:rPr>
                <w:sz w:val="18"/>
              </w:rPr>
              <w:t>ug/L</w:t>
            </w:r>
          </w:p>
        </w:tc>
        <w:tc>
          <w:tcPr>
            <w:tcW w:w="935" w:type="dxa"/>
            <w:tcBorders>
              <w:top w:val="single" w:sz="4" w:space="0" w:color="000000"/>
              <w:left w:val="single" w:sz="12" w:space="0" w:color="000000"/>
              <w:bottom w:val="single" w:sz="4" w:space="0" w:color="000000"/>
              <w:right w:val="single" w:sz="12" w:space="0" w:color="000000"/>
            </w:tcBorders>
          </w:tcPr>
          <w:p w14:paraId="25C12D80" w14:textId="24A85330" w:rsidR="00B0429D" w:rsidRDefault="00B0429D" w:rsidP="006F4EE2">
            <w:pPr>
              <w:spacing w:after="0" w:line="259" w:lineRule="auto"/>
              <w:ind w:left="0" w:right="16" w:firstLine="0"/>
              <w:jc w:val="center"/>
            </w:pPr>
            <w:r>
              <w:rPr>
                <w:sz w:val="18"/>
              </w:rPr>
              <w:t>N/A</w:t>
            </w:r>
          </w:p>
        </w:tc>
        <w:tc>
          <w:tcPr>
            <w:tcW w:w="900" w:type="dxa"/>
            <w:tcBorders>
              <w:top w:val="single" w:sz="4" w:space="0" w:color="000000"/>
              <w:left w:val="single" w:sz="12" w:space="0" w:color="000000"/>
              <w:bottom w:val="single" w:sz="4" w:space="0" w:color="000000"/>
              <w:right w:val="single" w:sz="12" w:space="0" w:color="000000"/>
            </w:tcBorders>
          </w:tcPr>
          <w:p w14:paraId="7EFB53C6" w14:textId="688C1906" w:rsidR="00B0429D" w:rsidRDefault="00B0429D" w:rsidP="006F4EE2">
            <w:pPr>
              <w:spacing w:after="0" w:line="259" w:lineRule="auto"/>
              <w:ind w:left="0" w:right="16" w:firstLine="0"/>
              <w:jc w:val="center"/>
            </w:pPr>
            <w:r>
              <w:rPr>
                <w:sz w:val="18"/>
              </w:rPr>
              <w:t>N/A</w:t>
            </w:r>
          </w:p>
        </w:tc>
        <w:tc>
          <w:tcPr>
            <w:tcW w:w="1030" w:type="dxa"/>
            <w:tcBorders>
              <w:top w:val="single" w:sz="4" w:space="0" w:color="000000"/>
              <w:left w:val="single" w:sz="12" w:space="0" w:color="000000"/>
              <w:bottom w:val="single" w:sz="4" w:space="0" w:color="000000"/>
              <w:right w:val="single" w:sz="12" w:space="0" w:color="000000"/>
            </w:tcBorders>
          </w:tcPr>
          <w:p w14:paraId="0AC9CFB0" w14:textId="61A8EB0C" w:rsidR="00B0429D" w:rsidRDefault="00B0429D" w:rsidP="006F4EE2">
            <w:pPr>
              <w:spacing w:after="0" w:line="259" w:lineRule="auto"/>
              <w:ind w:left="0" w:right="19" w:firstLine="0"/>
              <w:jc w:val="center"/>
            </w:pPr>
            <w:r>
              <w:rPr>
                <w:b/>
                <w:sz w:val="18"/>
              </w:rPr>
              <w:t>524.2</w:t>
            </w:r>
          </w:p>
        </w:tc>
        <w:tc>
          <w:tcPr>
            <w:tcW w:w="950" w:type="dxa"/>
            <w:tcBorders>
              <w:top w:val="single" w:sz="4" w:space="0" w:color="000000"/>
              <w:left w:val="single" w:sz="12" w:space="0" w:color="000000"/>
              <w:bottom w:val="single" w:sz="4" w:space="0" w:color="000000"/>
              <w:right w:val="single" w:sz="12" w:space="0" w:color="000000"/>
            </w:tcBorders>
          </w:tcPr>
          <w:p w14:paraId="7B31570B" w14:textId="284E0C78" w:rsidR="00B0429D" w:rsidRDefault="00B0429D" w:rsidP="006F4EE2">
            <w:pPr>
              <w:spacing w:after="0" w:line="259" w:lineRule="auto"/>
              <w:ind w:left="0" w:right="16" w:firstLine="0"/>
              <w:jc w:val="center"/>
            </w:pPr>
            <w:r>
              <w:rPr>
                <w:sz w:val="18"/>
              </w:rPr>
              <w:t>502.2</w:t>
            </w:r>
          </w:p>
        </w:tc>
      </w:tr>
      <w:tr w:rsidR="00B0429D" w14:paraId="3D29D99F" w14:textId="77777777" w:rsidTr="00C23B62">
        <w:trPr>
          <w:trHeight w:val="250"/>
        </w:trPr>
        <w:tc>
          <w:tcPr>
            <w:tcW w:w="3448" w:type="dxa"/>
            <w:tcBorders>
              <w:top w:val="single" w:sz="4" w:space="0" w:color="000000"/>
              <w:left w:val="single" w:sz="12" w:space="0" w:color="000000"/>
              <w:bottom w:val="single" w:sz="4" w:space="0" w:color="000000"/>
              <w:right w:val="single" w:sz="12" w:space="0" w:color="000000"/>
            </w:tcBorders>
          </w:tcPr>
          <w:p w14:paraId="2CA6EBD4" w14:textId="77777777" w:rsidR="00B0429D" w:rsidRDefault="00B0429D" w:rsidP="00B0429D">
            <w:pPr>
              <w:spacing w:after="0" w:line="259" w:lineRule="auto"/>
              <w:ind w:left="29" w:right="0" w:firstLine="0"/>
            </w:pPr>
            <w:r>
              <w:rPr>
                <w:sz w:val="18"/>
              </w:rPr>
              <w:t xml:space="preserve">1,1,1,2-Tetrachloroethane </w:t>
            </w:r>
          </w:p>
        </w:tc>
        <w:tc>
          <w:tcPr>
            <w:tcW w:w="1232" w:type="dxa"/>
            <w:tcBorders>
              <w:top w:val="single" w:sz="4" w:space="0" w:color="000000"/>
              <w:left w:val="single" w:sz="12" w:space="0" w:color="000000"/>
              <w:bottom w:val="single" w:sz="4" w:space="0" w:color="000000"/>
              <w:right w:val="single" w:sz="12" w:space="0" w:color="000000"/>
            </w:tcBorders>
          </w:tcPr>
          <w:p w14:paraId="1AB1F8B0" w14:textId="55411AA7" w:rsidR="00B0429D" w:rsidRDefault="00B0429D" w:rsidP="006F4EE2">
            <w:pPr>
              <w:spacing w:after="0" w:line="259" w:lineRule="auto"/>
              <w:ind w:left="0" w:right="44" w:firstLine="0"/>
              <w:jc w:val="center"/>
            </w:pPr>
            <w:r>
              <w:rPr>
                <w:sz w:val="18"/>
              </w:rPr>
              <w:t>630-20-6</w:t>
            </w:r>
          </w:p>
        </w:tc>
        <w:tc>
          <w:tcPr>
            <w:tcW w:w="1062" w:type="dxa"/>
            <w:tcBorders>
              <w:top w:val="single" w:sz="4" w:space="0" w:color="000000"/>
              <w:left w:val="single" w:sz="12" w:space="0" w:color="000000"/>
              <w:bottom w:val="single" w:sz="4" w:space="0" w:color="000000"/>
              <w:right w:val="single" w:sz="12" w:space="0" w:color="000000"/>
            </w:tcBorders>
          </w:tcPr>
          <w:p w14:paraId="389E3528" w14:textId="3DA86850" w:rsidR="00B0429D" w:rsidRDefault="00B0429D" w:rsidP="006F4EE2">
            <w:pPr>
              <w:tabs>
                <w:tab w:val="center" w:pos="608"/>
              </w:tabs>
              <w:spacing w:after="0" w:line="259" w:lineRule="auto"/>
              <w:ind w:left="0" w:right="0" w:firstLine="0"/>
              <w:jc w:val="center"/>
            </w:pPr>
            <w:r>
              <w:rPr>
                <w:sz w:val="18"/>
              </w:rPr>
              <w:t>0.5</w:t>
            </w:r>
          </w:p>
        </w:tc>
        <w:tc>
          <w:tcPr>
            <w:tcW w:w="973" w:type="dxa"/>
            <w:tcBorders>
              <w:top w:val="single" w:sz="4" w:space="0" w:color="000000"/>
              <w:left w:val="single" w:sz="12" w:space="0" w:color="000000"/>
              <w:bottom w:val="single" w:sz="4" w:space="0" w:color="000000"/>
              <w:right w:val="single" w:sz="12" w:space="0" w:color="000000"/>
            </w:tcBorders>
          </w:tcPr>
          <w:p w14:paraId="286A025E" w14:textId="00B69145" w:rsidR="00B0429D" w:rsidRDefault="00B0429D" w:rsidP="006F4EE2">
            <w:pPr>
              <w:spacing w:after="0" w:line="259" w:lineRule="auto"/>
              <w:ind w:left="0" w:right="20" w:firstLine="0"/>
              <w:jc w:val="center"/>
            </w:pPr>
            <w:r>
              <w:rPr>
                <w:sz w:val="18"/>
              </w:rPr>
              <w:t>ug/L</w:t>
            </w:r>
          </w:p>
        </w:tc>
        <w:tc>
          <w:tcPr>
            <w:tcW w:w="935" w:type="dxa"/>
            <w:tcBorders>
              <w:top w:val="single" w:sz="4" w:space="0" w:color="000000"/>
              <w:left w:val="single" w:sz="12" w:space="0" w:color="000000"/>
              <w:bottom w:val="single" w:sz="4" w:space="0" w:color="000000"/>
              <w:right w:val="single" w:sz="12" w:space="0" w:color="000000"/>
            </w:tcBorders>
          </w:tcPr>
          <w:p w14:paraId="05E9AAE4" w14:textId="76EFAD20" w:rsidR="00B0429D" w:rsidRDefault="00B0429D" w:rsidP="006F4EE2">
            <w:pPr>
              <w:spacing w:after="0" w:line="259" w:lineRule="auto"/>
              <w:ind w:left="0" w:right="16" w:firstLine="0"/>
              <w:jc w:val="center"/>
            </w:pPr>
            <w:r>
              <w:rPr>
                <w:sz w:val="18"/>
              </w:rPr>
              <w:t>N/A</w:t>
            </w:r>
          </w:p>
        </w:tc>
        <w:tc>
          <w:tcPr>
            <w:tcW w:w="900" w:type="dxa"/>
            <w:tcBorders>
              <w:top w:val="single" w:sz="4" w:space="0" w:color="000000"/>
              <w:left w:val="single" w:sz="12" w:space="0" w:color="000000"/>
              <w:bottom w:val="single" w:sz="4" w:space="0" w:color="000000"/>
              <w:right w:val="single" w:sz="12" w:space="0" w:color="000000"/>
            </w:tcBorders>
          </w:tcPr>
          <w:p w14:paraId="704D9F07" w14:textId="63D19325" w:rsidR="00B0429D" w:rsidRDefault="00B0429D" w:rsidP="006F4EE2">
            <w:pPr>
              <w:spacing w:after="0" w:line="259" w:lineRule="auto"/>
              <w:ind w:left="0" w:right="16" w:firstLine="0"/>
              <w:jc w:val="center"/>
            </w:pPr>
            <w:r>
              <w:rPr>
                <w:sz w:val="18"/>
              </w:rPr>
              <w:t>N/A</w:t>
            </w:r>
          </w:p>
        </w:tc>
        <w:tc>
          <w:tcPr>
            <w:tcW w:w="1030" w:type="dxa"/>
            <w:tcBorders>
              <w:top w:val="single" w:sz="4" w:space="0" w:color="000000"/>
              <w:left w:val="single" w:sz="12" w:space="0" w:color="000000"/>
              <w:bottom w:val="single" w:sz="4" w:space="0" w:color="000000"/>
              <w:right w:val="single" w:sz="12" w:space="0" w:color="000000"/>
            </w:tcBorders>
          </w:tcPr>
          <w:p w14:paraId="6CDAC434" w14:textId="7A06D4D2" w:rsidR="00B0429D" w:rsidRDefault="00B0429D" w:rsidP="006F4EE2">
            <w:pPr>
              <w:spacing w:after="0" w:line="259" w:lineRule="auto"/>
              <w:ind w:left="0" w:right="19" w:firstLine="0"/>
              <w:jc w:val="center"/>
            </w:pPr>
            <w:r>
              <w:rPr>
                <w:b/>
                <w:sz w:val="18"/>
              </w:rPr>
              <w:t>524.2</w:t>
            </w:r>
          </w:p>
        </w:tc>
        <w:tc>
          <w:tcPr>
            <w:tcW w:w="950" w:type="dxa"/>
            <w:tcBorders>
              <w:top w:val="single" w:sz="4" w:space="0" w:color="000000"/>
              <w:left w:val="single" w:sz="12" w:space="0" w:color="000000"/>
              <w:bottom w:val="single" w:sz="4" w:space="0" w:color="000000"/>
              <w:right w:val="single" w:sz="12" w:space="0" w:color="000000"/>
            </w:tcBorders>
          </w:tcPr>
          <w:p w14:paraId="1FA5F80D" w14:textId="731F6915" w:rsidR="00B0429D" w:rsidRDefault="00B0429D" w:rsidP="006F4EE2">
            <w:pPr>
              <w:spacing w:after="0" w:line="259" w:lineRule="auto"/>
              <w:ind w:left="0" w:right="16" w:firstLine="0"/>
              <w:jc w:val="center"/>
            </w:pPr>
            <w:r>
              <w:rPr>
                <w:sz w:val="18"/>
              </w:rPr>
              <w:t>502.2</w:t>
            </w:r>
          </w:p>
        </w:tc>
      </w:tr>
      <w:tr w:rsidR="00B0429D" w14:paraId="46239152" w14:textId="77777777" w:rsidTr="00C23B62">
        <w:trPr>
          <w:trHeight w:val="250"/>
        </w:trPr>
        <w:tc>
          <w:tcPr>
            <w:tcW w:w="3448" w:type="dxa"/>
            <w:tcBorders>
              <w:top w:val="single" w:sz="4" w:space="0" w:color="000000"/>
              <w:left w:val="single" w:sz="12" w:space="0" w:color="000000"/>
              <w:bottom w:val="single" w:sz="4" w:space="0" w:color="000000"/>
              <w:right w:val="single" w:sz="12" w:space="0" w:color="000000"/>
            </w:tcBorders>
          </w:tcPr>
          <w:p w14:paraId="098E8CDF" w14:textId="77777777" w:rsidR="00B0429D" w:rsidRDefault="00B0429D" w:rsidP="00B0429D">
            <w:pPr>
              <w:spacing w:after="0" w:line="259" w:lineRule="auto"/>
              <w:ind w:left="29" w:right="0" w:firstLine="0"/>
            </w:pPr>
            <w:r>
              <w:rPr>
                <w:sz w:val="18"/>
              </w:rPr>
              <w:t xml:space="preserve">1,1,2,2-Tetrachloroethane </w:t>
            </w:r>
          </w:p>
        </w:tc>
        <w:tc>
          <w:tcPr>
            <w:tcW w:w="1232" w:type="dxa"/>
            <w:tcBorders>
              <w:top w:val="single" w:sz="4" w:space="0" w:color="000000"/>
              <w:left w:val="single" w:sz="12" w:space="0" w:color="000000"/>
              <w:bottom w:val="single" w:sz="4" w:space="0" w:color="000000"/>
              <w:right w:val="single" w:sz="12" w:space="0" w:color="000000"/>
            </w:tcBorders>
          </w:tcPr>
          <w:p w14:paraId="3CBEEDE6" w14:textId="170F40F2" w:rsidR="00B0429D" w:rsidRDefault="00B0429D" w:rsidP="006F4EE2">
            <w:pPr>
              <w:spacing w:after="0" w:line="259" w:lineRule="auto"/>
              <w:ind w:left="0" w:right="44" w:firstLine="0"/>
              <w:jc w:val="center"/>
            </w:pPr>
            <w:r>
              <w:rPr>
                <w:sz w:val="18"/>
              </w:rPr>
              <w:t>79-34-5</w:t>
            </w:r>
          </w:p>
        </w:tc>
        <w:tc>
          <w:tcPr>
            <w:tcW w:w="1062" w:type="dxa"/>
            <w:tcBorders>
              <w:top w:val="single" w:sz="4" w:space="0" w:color="000000"/>
              <w:left w:val="single" w:sz="12" w:space="0" w:color="000000"/>
              <w:bottom w:val="single" w:sz="4" w:space="0" w:color="000000"/>
              <w:right w:val="single" w:sz="12" w:space="0" w:color="000000"/>
            </w:tcBorders>
          </w:tcPr>
          <w:p w14:paraId="03B974D0" w14:textId="3F3B3032" w:rsidR="00B0429D" w:rsidRDefault="00B0429D" w:rsidP="006F4EE2">
            <w:pPr>
              <w:tabs>
                <w:tab w:val="center" w:pos="608"/>
              </w:tabs>
              <w:spacing w:after="0" w:line="259" w:lineRule="auto"/>
              <w:ind w:left="0" w:right="0" w:firstLine="0"/>
              <w:jc w:val="center"/>
            </w:pPr>
            <w:r>
              <w:rPr>
                <w:sz w:val="18"/>
              </w:rPr>
              <w:t>0.5</w:t>
            </w:r>
          </w:p>
        </w:tc>
        <w:tc>
          <w:tcPr>
            <w:tcW w:w="973" w:type="dxa"/>
            <w:tcBorders>
              <w:top w:val="single" w:sz="4" w:space="0" w:color="000000"/>
              <w:left w:val="single" w:sz="12" w:space="0" w:color="000000"/>
              <w:bottom w:val="single" w:sz="4" w:space="0" w:color="000000"/>
              <w:right w:val="single" w:sz="12" w:space="0" w:color="000000"/>
            </w:tcBorders>
          </w:tcPr>
          <w:p w14:paraId="7CC30462" w14:textId="5CB4D56A" w:rsidR="00B0429D" w:rsidRDefault="00B0429D" w:rsidP="006F4EE2">
            <w:pPr>
              <w:spacing w:after="0" w:line="259" w:lineRule="auto"/>
              <w:ind w:left="0" w:right="20" w:firstLine="0"/>
              <w:jc w:val="center"/>
            </w:pPr>
            <w:r>
              <w:rPr>
                <w:sz w:val="18"/>
              </w:rPr>
              <w:t>ug/L</w:t>
            </w:r>
          </w:p>
        </w:tc>
        <w:tc>
          <w:tcPr>
            <w:tcW w:w="935" w:type="dxa"/>
            <w:tcBorders>
              <w:top w:val="single" w:sz="4" w:space="0" w:color="000000"/>
              <w:left w:val="single" w:sz="12" w:space="0" w:color="000000"/>
              <w:bottom w:val="single" w:sz="4" w:space="0" w:color="000000"/>
              <w:right w:val="single" w:sz="12" w:space="0" w:color="000000"/>
            </w:tcBorders>
          </w:tcPr>
          <w:p w14:paraId="608C25FA" w14:textId="206C28E3" w:rsidR="00B0429D" w:rsidRDefault="00B0429D" w:rsidP="006F4EE2">
            <w:pPr>
              <w:spacing w:after="0" w:line="259" w:lineRule="auto"/>
              <w:ind w:left="0" w:right="16" w:firstLine="0"/>
              <w:jc w:val="center"/>
            </w:pPr>
            <w:r>
              <w:rPr>
                <w:sz w:val="18"/>
              </w:rPr>
              <w:t>N/A</w:t>
            </w:r>
          </w:p>
        </w:tc>
        <w:tc>
          <w:tcPr>
            <w:tcW w:w="900" w:type="dxa"/>
            <w:tcBorders>
              <w:top w:val="single" w:sz="4" w:space="0" w:color="000000"/>
              <w:left w:val="single" w:sz="12" w:space="0" w:color="000000"/>
              <w:bottom w:val="single" w:sz="4" w:space="0" w:color="000000"/>
              <w:right w:val="single" w:sz="12" w:space="0" w:color="000000"/>
            </w:tcBorders>
          </w:tcPr>
          <w:p w14:paraId="7B99C3C1" w14:textId="70695D16" w:rsidR="00B0429D" w:rsidRDefault="00B0429D" w:rsidP="006F4EE2">
            <w:pPr>
              <w:spacing w:after="0" w:line="259" w:lineRule="auto"/>
              <w:ind w:left="0" w:right="16" w:firstLine="0"/>
              <w:jc w:val="center"/>
            </w:pPr>
            <w:r>
              <w:rPr>
                <w:sz w:val="18"/>
              </w:rPr>
              <w:t>N/A</w:t>
            </w:r>
          </w:p>
        </w:tc>
        <w:tc>
          <w:tcPr>
            <w:tcW w:w="1030" w:type="dxa"/>
            <w:tcBorders>
              <w:top w:val="single" w:sz="4" w:space="0" w:color="000000"/>
              <w:left w:val="single" w:sz="12" w:space="0" w:color="000000"/>
              <w:bottom w:val="single" w:sz="4" w:space="0" w:color="000000"/>
              <w:right w:val="single" w:sz="12" w:space="0" w:color="000000"/>
            </w:tcBorders>
          </w:tcPr>
          <w:p w14:paraId="54F7BE72" w14:textId="1524FFEB" w:rsidR="00B0429D" w:rsidRDefault="00B0429D" w:rsidP="006F4EE2">
            <w:pPr>
              <w:spacing w:after="0" w:line="259" w:lineRule="auto"/>
              <w:ind w:left="0" w:right="19" w:firstLine="0"/>
              <w:jc w:val="center"/>
            </w:pPr>
            <w:r>
              <w:rPr>
                <w:b/>
                <w:sz w:val="18"/>
              </w:rPr>
              <w:t>524.2</w:t>
            </w:r>
          </w:p>
        </w:tc>
        <w:tc>
          <w:tcPr>
            <w:tcW w:w="950" w:type="dxa"/>
            <w:tcBorders>
              <w:top w:val="single" w:sz="4" w:space="0" w:color="000000"/>
              <w:left w:val="single" w:sz="12" w:space="0" w:color="000000"/>
              <w:bottom w:val="single" w:sz="4" w:space="0" w:color="000000"/>
              <w:right w:val="single" w:sz="12" w:space="0" w:color="000000"/>
            </w:tcBorders>
          </w:tcPr>
          <w:p w14:paraId="3F51F4A7" w14:textId="477A95A4" w:rsidR="00B0429D" w:rsidRDefault="00B0429D" w:rsidP="006F4EE2">
            <w:pPr>
              <w:spacing w:after="0" w:line="259" w:lineRule="auto"/>
              <w:ind w:left="0" w:right="16" w:firstLine="0"/>
              <w:jc w:val="center"/>
            </w:pPr>
            <w:r>
              <w:rPr>
                <w:sz w:val="18"/>
              </w:rPr>
              <w:t>502.2</w:t>
            </w:r>
          </w:p>
        </w:tc>
      </w:tr>
      <w:tr w:rsidR="00B0429D" w14:paraId="0A4C7C30" w14:textId="77777777" w:rsidTr="00C23B62">
        <w:trPr>
          <w:trHeight w:val="252"/>
        </w:trPr>
        <w:tc>
          <w:tcPr>
            <w:tcW w:w="3448" w:type="dxa"/>
            <w:tcBorders>
              <w:top w:val="single" w:sz="4" w:space="0" w:color="000000"/>
              <w:left w:val="single" w:sz="12" w:space="0" w:color="000000"/>
              <w:bottom w:val="single" w:sz="4" w:space="0" w:color="000000"/>
              <w:right w:val="single" w:sz="12" w:space="0" w:color="000000"/>
            </w:tcBorders>
          </w:tcPr>
          <w:p w14:paraId="5D8ACAC8" w14:textId="77777777" w:rsidR="00B0429D" w:rsidRDefault="00B0429D" w:rsidP="00B0429D">
            <w:pPr>
              <w:spacing w:after="0" w:line="259" w:lineRule="auto"/>
              <w:ind w:left="29" w:right="0" w:firstLine="0"/>
            </w:pPr>
            <w:r>
              <w:rPr>
                <w:sz w:val="18"/>
              </w:rPr>
              <w:t xml:space="preserve">Tetrachloroethene </w:t>
            </w:r>
          </w:p>
        </w:tc>
        <w:tc>
          <w:tcPr>
            <w:tcW w:w="1232" w:type="dxa"/>
            <w:tcBorders>
              <w:top w:val="single" w:sz="4" w:space="0" w:color="000000"/>
              <w:left w:val="single" w:sz="12" w:space="0" w:color="000000"/>
              <w:bottom w:val="single" w:sz="4" w:space="0" w:color="000000"/>
              <w:right w:val="single" w:sz="12" w:space="0" w:color="000000"/>
            </w:tcBorders>
          </w:tcPr>
          <w:p w14:paraId="30924C40" w14:textId="44CB820E" w:rsidR="00B0429D" w:rsidRDefault="00B0429D" w:rsidP="006F4EE2">
            <w:pPr>
              <w:spacing w:after="0" w:line="259" w:lineRule="auto"/>
              <w:ind w:left="0" w:right="44" w:firstLine="0"/>
              <w:jc w:val="center"/>
            </w:pPr>
            <w:r>
              <w:rPr>
                <w:sz w:val="18"/>
              </w:rPr>
              <w:t>127-18-4</w:t>
            </w:r>
          </w:p>
        </w:tc>
        <w:tc>
          <w:tcPr>
            <w:tcW w:w="1062" w:type="dxa"/>
            <w:tcBorders>
              <w:top w:val="single" w:sz="4" w:space="0" w:color="000000"/>
              <w:left w:val="single" w:sz="12" w:space="0" w:color="000000"/>
              <w:bottom w:val="single" w:sz="4" w:space="0" w:color="000000"/>
              <w:right w:val="single" w:sz="12" w:space="0" w:color="000000"/>
            </w:tcBorders>
          </w:tcPr>
          <w:p w14:paraId="7783F4CF" w14:textId="4E4925E2" w:rsidR="00B0429D" w:rsidRDefault="00B0429D" w:rsidP="006F4EE2">
            <w:pPr>
              <w:tabs>
                <w:tab w:val="center" w:pos="608"/>
              </w:tabs>
              <w:spacing w:after="0" w:line="259" w:lineRule="auto"/>
              <w:ind w:left="0" w:right="0" w:firstLine="0"/>
              <w:jc w:val="center"/>
            </w:pPr>
            <w:r>
              <w:rPr>
                <w:sz w:val="18"/>
              </w:rPr>
              <w:t>0.5</w:t>
            </w:r>
          </w:p>
        </w:tc>
        <w:tc>
          <w:tcPr>
            <w:tcW w:w="973" w:type="dxa"/>
            <w:tcBorders>
              <w:top w:val="single" w:sz="4" w:space="0" w:color="000000"/>
              <w:left w:val="single" w:sz="12" w:space="0" w:color="000000"/>
              <w:bottom w:val="single" w:sz="4" w:space="0" w:color="000000"/>
              <w:right w:val="single" w:sz="12" w:space="0" w:color="000000"/>
            </w:tcBorders>
          </w:tcPr>
          <w:p w14:paraId="1C53A6EE" w14:textId="673F1DED" w:rsidR="00B0429D" w:rsidRDefault="00B0429D" w:rsidP="006F4EE2">
            <w:pPr>
              <w:spacing w:after="0" w:line="259" w:lineRule="auto"/>
              <w:ind w:left="0" w:right="20" w:firstLine="0"/>
              <w:jc w:val="center"/>
            </w:pPr>
            <w:r>
              <w:rPr>
                <w:sz w:val="18"/>
              </w:rPr>
              <w:t>ug/L</w:t>
            </w:r>
          </w:p>
        </w:tc>
        <w:tc>
          <w:tcPr>
            <w:tcW w:w="935" w:type="dxa"/>
            <w:tcBorders>
              <w:top w:val="single" w:sz="4" w:space="0" w:color="000000"/>
              <w:left w:val="single" w:sz="12" w:space="0" w:color="000000"/>
              <w:bottom w:val="single" w:sz="4" w:space="0" w:color="000000"/>
              <w:right w:val="single" w:sz="12" w:space="0" w:color="000000"/>
            </w:tcBorders>
          </w:tcPr>
          <w:p w14:paraId="5037CA82" w14:textId="7B6BEA3B" w:rsidR="00B0429D" w:rsidRDefault="00B0429D" w:rsidP="006F4EE2">
            <w:pPr>
              <w:spacing w:after="0" w:line="259" w:lineRule="auto"/>
              <w:ind w:left="0" w:right="16" w:firstLine="0"/>
              <w:jc w:val="center"/>
            </w:pPr>
            <w:r>
              <w:rPr>
                <w:sz w:val="18"/>
              </w:rPr>
              <w:t>N/A</w:t>
            </w:r>
          </w:p>
        </w:tc>
        <w:tc>
          <w:tcPr>
            <w:tcW w:w="900" w:type="dxa"/>
            <w:tcBorders>
              <w:top w:val="single" w:sz="4" w:space="0" w:color="000000"/>
              <w:left w:val="single" w:sz="12" w:space="0" w:color="000000"/>
              <w:bottom w:val="single" w:sz="4" w:space="0" w:color="000000"/>
              <w:right w:val="single" w:sz="12" w:space="0" w:color="000000"/>
            </w:tcBorders>
          </w:tcPr>
          <w:p w14:paraId="0760B319" w14:textId="7605D12B" w:rsidR="00B0429D" w:rsidRDefault="00B0429D" w:rsidP="006F4EE2">
            <w:pPr>
              <w:spacing w:after="0" w:line="259" w:lineRule="auto"/>
              <w:ind w:left="0" w:right="16" w:firstLine="0"/>
              <w:jc w:val="center"/>
            </w:pPr>
            <w:r>
              <w:rPr>
                <w:sz w:val="18"/>
              </w:rPr>
              <w:t>N/A</w:t>
            </w:r>
          </w:p>
        </w:tc>
        <w:tc>
          <w:tcPr>
            <w:tcW w:w="1030" w:type="dxa"/>
            <w:tcBorders>
              <w:top w:val="single" w:sz="4" w:space="0" w:color="000000"/>
              <w:left w:val="single" w:sz="12" w:space="0" w:color="000000"/>
              <w:bottom w:val="single" w:sz="4" w:space="0" w:color="000000"/>
              <w:right w:val="single" w:sz="12" w:space="0" w:color="000000"/>
            </w:tcBorders>
          </w:tcPr>
          <w:p w14:paraId="23C37FB4" w14:textId="583642A6" w:rsidR="00B0429D" w:rsidRDefault="00B0429D" w:rsidP="006F4EE2">
            <w:pPr>
              <w:spacing w:after="0" w:line="259" w:lineRule="auto"/>
              <w:ind w:left="0" w:right="19" w:firstLine="0"/>
              <w:jc w:val="center"/>
            </w:pPr>
            <w:r>
              <w:rPr>
                <w:b/>
                <w:sz w:val="18"/>
              </w:rPr>
              <w:t>524.2</w:t>
            </w:r>
          </w:p>
        </w:tc>
        <w:tc>
          <w:tcPr>
            <w:tcW w:w="950" w:type="dxa"/>
            <w:tcBorders>
              <w:top w:val="single" w:sz="4" w:space="0" w:color="000000"/>
              <w:left w:val="single" w:sz="12" w:space="0" w:color="000000"/>
              <w:bottom w:val="single" w:sz="4" w:space="0" w:color="000000"/>
              <w:right w:val="single" w:sz="12" w:space="0" w:color="000000"/>
            </w:tcBorders>
          </w:tcPr>
          <w:p w14:paraId="1E06EA05" w14:textId="34A7C707" w:rsidR="00B0429D" w:rsidRDefault="00B0429D" w:rsidP="006F4EE2">
            <w:pPr>
              <w:spacing w:after="0" w:line="259" w:lineRule="auto"/>
              <w:ind w:left="0" w:right="16" w:firstLine="0"/>
              <w:jc w:val="center"/>
            </w:pPr>
            <w:r>
              <w:rPr>
                <w:sz w:val="18"/>
              </w:rPr>
              <w:t>502.2</w:t>
            </w:r>
          </w:p>
        </w:tc>
      </w:tr>
      <w:tr w:rsidR="00B0429D" w14:paraId="338E9E1C" w14:textId="77777777" w:rsidTr="00C23B62">
        <w:trPr>
          <w:trHeight w:val="250"/>
        </w:trPr>
        <w:tc>
          <w:tcPr>
            <w:tcW w:w="3448" w:type="dxa"/>
            <w:tcBorders>
              <w:top w:val="single" w:sz="4" w:space="0" w:color="000000"/>
              <w:left w:val="single" w:sz="12" w:space="0" w:color="000000"/>
              <w:bottom w:val="single" w:sz="4" w:space="0" w:color="000000"/>
              <w:right w:val="single" w:sz="12" w:space="0" w:color="000000"/>
            </w:tcBorders>
          </w:tcPr>
          <w:p w14:paraId="33450405" w14:textId="77777777" w:rsidR="00B0429D" w:rsidRDefault="00B0429D" w:rsidP="00B0429D">
            <w:pPr>
              <w:spacing w:after="0" w:line="259" w:lineRule="auto"/>
              <w:ind w:left="29" w:right="0" w:firstLine="0"/>
            </w:pPr>
            <w:r>
              <w:rPr>
                <w:sz w:val="18"/>
              </w:rPr>
              <w:t xml:space="preserve">Toluene </w:t>
            </w:r>
          </w:p>
        </w:tc>
        <w:tc>
          <w:tcPr>
            <w:tcW w:w="1232" w:type="dxa"/>
            <w:tcBorders>
              <w:top w:val="single" w:sz="4" w:space="0" w:color="000000"/>
              <w:left w:val="single" w:sz="12" w:space="0" w:color="000000"/>
              <w:bottom w:val="single" w:sz="4" w:space="0" w:color="000000"/>
              <w:right w:val="single" w:sz="12" w:space="0" w:color="000000"/>
            </w:tcBorders>
          </w:tcPr>
          <w:p w14:paraId="79B811B3" w14:textId="238B2086" w:rsidR="00B0429D" w:rsidRDefault="00B0429D" w:rsidP="006F4EE2">
            <w:pPr>
              <w:spacing w:after="0" w:line="259" w:lineRule="auto"/>
              <w:ind w:left="0" w:right="44" w:firstLine="0"/>
              <w:jc w:val="center"/>
            </w:pPr>
            <w:r>
              <w:rPr>
                <w:sz w:val="18"/>
              </w:rPr>
              <w:t>108-88-3</w:t>
            </w:r>
          </w:p>
        </w:tc>
        <w:tc>
          <w:tcPr>
            <w:tcW w:w="1062" w:type="dxa"/>
            <w:tcBorders>
              <w:top w:val="single" w:sz="4" w:space="0" w:color="000000"/>
              <w:left w:val="single" w:sz="12" w:space="0" w:color="000000"/>
              <w:bottom w:val="single" w:sz="4" w:space="0" w:color="000000"/>
              <w:right w:val="single" w:sz="12" w:space="0" w:color="000000"/>
            </w:tcBorders>
          </w:tcPr>
          <w:p w14:paraId="258BF0B9" w14:textId="2B6B8B60" w:rsidR="00B0429D" w:rsidRDefault="00B0429D" w:rsidP="006F4EE2">
            <w:pPr>
              <w:tabs>
                <w:tab w:val="center" w:pos="608"/>
              </w:tabs>
              <w:spacing w:after="0" w:line="259" w:lineRule="auto"/>
              <w:ind w:left="0" w:right="0" w:firstLine="0"/>
              <w:jc w:val="center"/>
            </w:pPr>
            <w:r>
              <w:rPr>
                <w:sz w:val="18"/>
              </w:rPr>
              <w:t>0.5</w:t>
            </w:r>
          </w:p>
        </w:tc>
        <w:tc>
          <w:tcPr>
            <w:tcW w:w="973" w:type="dxa"/>
            <w:tcBorders>
              <w:top w:val="single" w:sz="4" w:space="0" w:color="000000"/>
              <w:left w:val="single" w:sz="12" w:space="0" w:color="000000"/>
              <w:bottom w:val="single" w:sz="4" w:space="0" w:color="000000"/>
              <w:right w:val="single" w:sz="12" w:space="0" w:color="000000"/>
            </w:tcBorders>
          </w:tcPr>
          <w:p w14:paraId="049EA3E1" w14:textId="57CE9B6B" w:rsidR="00B0429D" w:rsidRDefault="00B0429D" w:rsidP="006F4EE2">
            <w:pPr>
              <w:spacing w:after="0" w:line="259" w:lineRule="auto"/>
              <w:ind w:left="0" w:right="20" w:firstLine="0"/>
              <w:jc w:val="center"/>
            </w:pPr>
            <w:r>
              <w:rPr>
                <w:sz w:val="18"/>
              </w:rPr>
              <w:t>ug/L</w:t>
            </w:r>
          </w:p>
        </w:tc>
        <w:tc>
          <w:tcPr>
            <w:tcW w:w="935" w:type="dxa"/>
            <w:tcBorders>
              <w:top w:val="single" w:sz="4" w:space="0" w:color="000000"/>
              <w:left w:val="single" w:sz="12" w:space="0" w:color="000000"/>
              <w:bottom w:val="single" w:sz="4" w:space="0" w:color="000000"/>
              <w:right w:val="single" w:sz="12" w:space="0" w:color="000000"/>
            </w:tcBorders>
          </w:tcPr>
          <w:p w14:paraId="5501AAD4" w14:textId="2C2D44E5" w:rsidR="00B0429D" w:rsidRDefault="00B0429D" w:rsidP="006F4EE2">
            <w:pPr>
              <w:spacing w:after="0" w:line="259" w:lineRule="auto"/>
              <w:ind w:left="0" w:right="16" w:firstLine="0"/>
              <w:jc w:val="center"/>
            </w:pPr>
            <w:r>
              <w:rPr>
                <w:sz w:val="18"/>
              </w:rPr>
              <w:t>N/A</w:t>
            </w:r>
          </w:p>
        </w:tc>
        <w:tc>
          <w:tcPr>
            <w:tcW w:w="900" w:type="dxa"/>
            <w:tcBorders>
              <w:top w:val="single" w:sz="4" w:space="0" w:color="000000"/>
              <w:left w:val="single" w:sz="12" w:space="0" w:color="000000"/>
              <w:bottom w:val="single" w:sz="4" w:space="0" w:color="000000"/>
              <w:right w:val="single" w:sz="12" w:space="0" w:color="000000"/>
            </w:tcBorders>
          </w:tcPr>
          <w:p w14:paraId="3C037AC8" w14:textId="5FB8C3AE" w:rsidR="00B0429D" w:rsidRDefault="00B0429D" w:rsidP="006F4EE2">
            <w:pPr>
              <w:spacing w:after="0" w:line="259" w:lineRule="auto"/>
              <w:ind w:left="0" w:right="16" w:firstLine="0"/>
              <w:jc w:val="center"/>
            </w:pPr>
            <w:r>
              <w:rPr>
                <w:sz w:val="18"/>
              </w:rPr>
              <w:t>N/A</w:t>
            </w:r>
          </w:p>
        </w:tc>
        <w:tc>
          <w:tcPr>
            <w:tcW w:w="1030" w:type="dxa"/>
            <w:tcBorders>
              <w:top w:val="single" w:sz="4" w:space="0" w:color="000000"/>
              <w:left w:val="single" w:sz="12" w:space="0" w:color="000000"/>
              <w:bottom w:val="single" w:sz="4" w:space="0" w:color="000000"/>
              <w:right w:val="single" w:sz="12" w:space="0" w:color="000000"/>
            </w:tcBorders>
          </w:tcPr>
          <w:p w14:paraId="6C8A167B" w14:textId="4E37D6C8" w:rsidR="00B0429D" w:rsidRDefault="00B0429D" w:rsidP="006F4EE2">
            <w:pPr>
              <w:spacing w:after="0" w:line="259" w:lineRule="auto"/>
              <w:ind w:left="0" w:right="19" w:firstLine="0"/>
              <w:jc w:val="center"/>
            </w:pPr>
            <w:r>
              <w:rPr>
                <w:b/>
                <w:sz w:val="18"/>
              </w:rPr>
              <w:t>524.2</w:t>
            </w:r>
          </w:p>
        </w:tc>
        <w:tc>
          <w:tcPr>
            <w:tcW w:w="950" w:type="dxa"/>
            <w:tcBorders>
              <w:top w:val="single" w:sz="4" w:space="0" w:color="000000"/>
              <w:left w:val="single" w:sz="12" w:space="0" w:color="000000"/>
              <w:bottom w:val="single" w:sz="4" w:space="0" w:color="000000"/>
              <w:right w:val="single" w:sz="12" w:space="0" w:color="000000"/>
            </w:tcBorders>
          </w:tcPr>
          <w:p w14:paraId="088D65FF" w14:textId="4F379810" w:rsidR="00B0429D" w:rsidRDefault="00B0429D" w:rsidP="006F4EE2">
            <w:pPr>
              <w:spacing w:after="0" w:line="259" w:lineRule="auto"/>
              <w:ind w:left="0" w:right="16" w:firstLine="0"/>
              <w:jc w:val="center"/>
            </w:pPr>
            <w:r>
              <w:rPr>
                <w:sz w:val="18"/>
              </w:rPr>
              <w:t>502.2</w:t>
            </w:r>
          </w:p>
        </w:tc>
      </w:tr>
      <w:tr w:rsidR="00B0429D" w14:paraId="65FF71D3" w14:textId="77777777" w:rsidTr="00C23B62">
        <w:trPr>
          <w:trHeight w:val="250"/>
        </w:trPr>
        <w:tc>
          <w:tcPr>
            <w:tcW w:w="3448" w:type="dxa"/>
            <w:tcBorders>
              <w:top w:val="single" w:sz="4" w:space="0" w:color="000000"/>
              <w:left w:val="single" w:sz="12" w:space="0" w:color="000000"/>
              <w:bottom w:val="single" w:sz="4" w:space="0" w:color="000000"/>
              <w:right w:val="single" w:sz="12" w:space="0" w:color="000000"/>
            </w:tcBorders>
          </w:tcPr>
          <w:p w14:paraId="0154740A" w14:textId="77777777" w:rsidR="00B0429D" w:rsidRDefault="00B0429D" w:rsidP="00B0429D">
            <w:pPr>
              <w:spacing w:after="0" w:line="259" w:lineRule="auto"/>
              <w:ind w:left="29" w:right="0" w:firstLine="0"/>
            </w:pPr>
            <w:r>
              <w:rPr>
                <w:sz w:val="18"/>
              </w:rPr>
              <w:t xml:space="preserve">1,2,3-Trichlorobenzene </w:t>
            </w:r>
          </w:p>
        </w:tc>
        <w:tc>
          <w:tcPr>
            <w:tcW w:w="1232" w:type="dxa"/>
            <w:tcBorders>
              <w:top w:val="single" w:sz="4" w:space="0" w:color="000000"/>
              <w:left w:val="single" w:sz="12" w:space="0" w:color="000000"/>
              <w:bottom w:val="single" w:sz="4" w:space="0" w:color="000000"/>
              <w:right w:val="single" w:sz="12" w:space="0" w:color="000000"/>
            </w:tcBorders>
          </w:tcPr>
          <w:p w14:paraId="1FF44B46" w14:textId="22D17CC0" w:rsidR="00B0429D" w:rsidRDefault="00B0429D" w:rsidP="006F4EE2">
            <w:pPr>
              <w:spacing w:after="0" w:line="259" w:lineRule="auto"/>
              <w:ind w:left="0" w:right="44" w:firstLine="0"/>
              <w:jc w:val="center"/>
            </w:pPr>
            <w:r>
              <w:rPr>
                <w:sz w:val="18"/>
              </w:rPr>
              <w:t>87-61-6</w:t>
            </w:r>
          </w:p>
        </w:tc>
        <w:tc>
          <w:tcPr>
            <w:tcW w:w="1062" w:type="dxa"/>
            <w:tcBorders>
              <w:top w:val="single" w:sz="4" w:space="0" w:color="000000"/>
              <w:left w:val="single" w:sz="12" w:space="0" w:color="000000"/>
              <w:bottom w:val="single" w:sz="4" w:space="0" w:color="000000"/>
              <w:right w:val="single" w:sz="12" w:space="0" w:color="000000"/>
            </w:tcBorders>
          </w:tcPr>
          <w:p w14:paraId="79F87346" w14:textId="59AB8A8B" w:rsidR="00B0429D" w:rsidRDefault="00B0429D" w:rsidP="006F4EE2">
            <w:pPr>
              <w:tabs>
                <w:tab w:val="center" w:pos="608"/>
              </w:tabs>
              <w:spacing w:after="0" w:line="259" w:lineRule="auto"/>
              <w:ind w:left="0" w:right="0" w:firstLine="0"/>
              <w:jc w:val="center"/>
            </w:pPr>
            <w:r>
              <w:rPr>
                <w:sz w:val="18"/>
              </w:rPr>
              <w:t>0.5</w:t>
            </w:r>
          </w:p>
        </w:tc>
        <w:tc>
          <w:tcPr>
            <w:tcW w:w="973" w:type="dxa"/>
            <w:tcBorders>
              <w:top w:val="single" w:sz="4" w:space="0" w:color="000000"/>
              <w:left w:val="single" w:sz="12" w:space="0" w:color="000000"/>
              <w:bottom w:val="single" w:sz="4" w:space="0" w:color="000000"/>
              <w:right w:val="single" w:sz="12" w:space="0" w:color="000000"/>
            </w:tcBorders>
          </w:tcPr>
          <w:p w14:paraId="4B6B4EA2" w14:textId="24EEEA90" w:rsidR="00B0429D" w:rsidRDefault="00B0429D" w:rsidP="006F4EE2">
            <w:pPr>
              <w:spacing w:after="0" w:line="259" w:lineRule="auto"/>
              <w:ind w:left="0" w:right="20" w:firstLine="0"/>
              <w:jc w:val="center"/>
            </w:pPr>
            <w:r>
              <w:rPr>
                <w:sz w:val="18"/>
              </w:rPr>
              <w:t>ug/L</w:t>
            </w:r>
          </w:p>
        </w:tc>
        <w:tc>
          <w:tcPr>
            <w:tcW w:w="935" w:type="dxa"/>
            <w:tcBorders>
              <w:top w:val="single" w:sz="4" w:space="0" w:color="000000"/>
              <w:left w:val="single" w:sz="12" w:space="0" w:color="000000"/>
              <w:bottom w:val="single" w:sz="4" w:space="0" w:color="000000"/>
              <w:right w:val="single" w:sz="12" w:space="0" w:color="000000"/>
            </w:tcBorders>
          </w:tcPr>
          <w:p w14:paraId="6EB48B5E" w14:textId="7CA957A6" w:rsidR="00B0429D" w:rsidRDefault="00B0429D" w:rsidP="006F4EE2">
            <w:pPr>
              <w:spacing w:after="0" w:line="259" w:lineRule="auto"/>
              <w:ind w:left="0" w:right="16" w:firstLine="0"/>
              <w:jc w:val="center"/>
            </w:pPr>
            <w:r>
              <w:rPr>
                <w:sz w:val="18"/>
              </w:rPr>
              <w:t>N/A</w:t>
            </w:r>
          </w:p>
        </w:tc>
        <w:tc>
          <w:tcPr>
            <w:tcW w:w="900" w:type="dxa"/>
            <w:tcBorders>
              <w:top w:val="single" w:sz="4" w:space="0" w:color="000000"/>
              <w:left w:val="single" w:sz="12" w:space="0" w:color="000000"/>
              <w:bottom w:val="single" w:sz="4" w:space="0" w:color="000000"/>
              <w:right w:val="single" w:sz="12" w:space="0" w:color="000000"/>
            </w:tcBorders>
          </w:tcPr>
          <w:p w14:paraId="1F539248" w14:textId="07946422" w:rsidR="00B0429D" w:rsidRDefault="00B0429D" w:rsidP="006F4EE2">
            <w:pPr>
              <w:spacing w:after="0" w:line="259" w:lineRule="auto"/>
              <w:ind w:left="0" w:right="16" w:firstLine="0"/>
              <w:jc w:val="center"/>
            </w:pPr>
            <w:r>
              <w:rPr>
                <w:sz w:val="18"/>
              </w:rPr>
              <w:t>N/A</w:t>
            </w:r>
          </w:p>
        </w:tc>
        <w:tc>
          <w:tcPr>
            <w:tcW w:w="1030" w:type="dxa"/>
            <w:tcBorders>
              <w:top w:val="single" w:sz="4" w:space="0" w:color="000000"/>
              <w:left w:val="single" w:sz="12" w:space="0" w:color="000000"/>
              <w:bottom w:val="single" w:sz="4" w:space="0" w:color="000000"/>
              <w:right w:val="single" w:sz="12" w:space="0" w:color="000000"/>
            </w:tcBorders>
          </w:tcPr>
          <w:p w14:paraId="641F94D1" w14:textId="62D22452" w:rsidR="00B0429D" w:rsidRDefault="00B0429D" w:rsidP="006F4EE2">
            <w:pPr>
              <w:spacing w:after="0" w:line="259" w:lineRule="auto"/>
              <w:ind w:left="0" w:right="19" w:firstLine="0"/>
              <w:jc w:val="center"/>
            </w:pPr>
            <w:r>
              <w:rPr>
                <w:b/>
                <w:sz w:val="18"/>
              </w:rPr>
              <w:t>524.2</w:t>
            </w:r>
          </w:p>
        </w:tc>
        <w:tc>
          <w:tcPr>
            <w:tcW w:w="950" w:type="dxa"/>
            <w:tcBorders>
              <w:top w:val="single" w:sz="4" w:space="0" w:color="000000"/>
              <w:left w:val="single" w:sz="12" w:space="0" w:color="000000"/>
              <w:bottom w:val="single" w:sz="4" w:space="0" w:color="000000"/>
              <w:right w:val="single" w:sz="12" w:space="0" w:color="000000"/>
            </w:tcBorders>
          </w:tcPr>
          <w:p w14:paraId="2A9D0CC4" w14:textId="32C851EE" w:rsidR="00B0429D" w:rsidRDefault="00B0429D" w:rsidP="006F4EE2">
            <w:pPr>
              <w:spacing w:after="0" w:line="259" w:lineRule="auto"/>
              <w:ind w:left="0" w:right="16" w:firstLine="0"/>
              <w:jc w:val="center"/>
            </w:pPr>
            <w:r>
              <w:rPr>
                <w:sz w:val="18"/>
              </w:rPr>
              <w:t>502.2</w:t>
            </w:r>
          </w:p>
        </w:tc>
      </w:tr>
      <w:tr w:rsidR="00B0429D" w14:paraId="09983B9C" w14:textId="77777777" w:rsidTr="00C23B62">
        <w:trPr>
          <w:trHeight w:val="250"/>
        </w:trPr>
        <w:tc>
          <w:tcPr>
            <w:tcW w:w="3448" w:type="dxa"/>
            <w:tcBorders>
              <w:top w:val="single" w:sz="4" w:space="0" w:color="000000"/>
              <w:left w:val="single" w:sz="12" w:space="0" w:color="000000"/>
              <w:bottom w:val="single" w:sz="4" w:space="0" w:color="000000"/>
              <w:right w:val="single" w:sz="12" w:space="0" w:color="000000"/>
            </w:tcBorders>
          </w:tcPr>
          <w:p w14:paraId="13BE9574" w14:textId="77777777" w:rsidR="00B0429D" w:rsidRDefault="00B0429D" w:rsidP="00B0429D">
            <w:pPr>
              <w:spacing w:after="0" w:line="259" w:lineRule="auto"/>
              <w:ind w:left="29" w:right="0" w:firstLine="0"/>
            </w:pPr>
            <w:r>
              <w:rPr>
                <w:sz w:val="18"/>
              </w:rPr>
              <w:t xml:space="preserve">1,2,4-Trichlorobenzene </w:t>
            </w:r>
          </w:p>
        </w:tc>
        <w:tc>
          <w:tcPr>
            <w:tcW w:w="1232" w:type="dxa"/>
            <w:tcBorders>
              <w:top w:val="single" w:sz="4" w:space="0" w:color="000000"/>
              <w:left w:val="single" w:sz="12" w:space="0" w:color="000000"/>
              <w:bottom w:val="single" w:sz="4" w:space="0" w:color="000000"/>
              <w:right w:val="single" w:sz="12" w:space="0" w:color="000000"/>
            </w:tcBorders>
          </w:tcPr>
          <w:p w14:paraId="117848E7" w14:textId="49FBDFC4" w:rsidR="00B0429D" w:rsidRDefault="00B0429D" w:rsidP="006F4EE2">
            <w:pPr>
              <w:spacing w:after="0" w:line="259" w:lineRule="auto"/>
              <w:ind w:left="0" w:right="44" w:firstLine="0"/>
              <w:jc w:val="center"/>
            </w:pPr>
            <w:r>
              <w:rPr>
                <w:sz w:val="18"/>
              </w:rPr>
              <w:t>120-82-1</w:t>
            </w:r>
          </w:p>
        </w:tc>
        <w:tc>
          <w:tcPr>
            <w:tcW w:w="1062" w:type="dxa"/>
            <w:tcBorders>
              <w:top w:val="single" w:sz="4" w:space="0" w:color="000000"/>
              <w:left w:val="single" w:sz="12" w:space="0" w:color="000000"/>
              <w:bottom w:val="single" w:sz="4" w:space="0" w:color="000000"/>
              <w:right w:val="single" w:sz="12" w:space="0" w:color="000000"/>
            </w:tcBorders>
          </w:tcPr>
          <w:p w14:paraId="4E917D84" w14:textId="5EC446E8" w:rsidR="00B0429D" w:rsidRDefault="00B0429D" w:rsidP="006F4EE2">
            <w:pPr>
              <w:tabs>
                <w:tab w:val="center" w:pos="608"/>
              </w:tabs>
              <w:spacing w:after="0" w:line="259" w:lineRule="auto"/>
              <w:ind w:left="0" w:right="0" w:firstLine="0"/>
              <w:jc w:val="center"/>
            </w:pPr>
            <w:r>
              <w:rPr>
                <w:sz w:val="18"/>
              </w:rPr>
              <w:t>0.5</w:t>
            </w:r>
          </w:p>
        </w:tc>
        <w:tc>
          <w:tcPr>
            <w:tcW w:w="973" w:type="dxa"/>
            <w:tcBorders>
              <w:top w:val="single" w:sz="4" w:space="0" w:color="000000"/>
              <w:left w:val="single" w:sz="12" w:space="0" w:color="000000"/>
              <w:bottom w:val="single" w:sz="4" w:space="0" w:color="000000"/>
              <w:right w:val="single" w:sz="12" w:space="0" w:color="000000"/>
            </w:tcBorders>
          </w:tcPr>
          <w:p w14:paraId="3E890240" w14:textId="2AE110EB" w:rsidR="00B0429D" w:rsidRDefault="00B0429D" w:rsidP="006F4EE2">
            <w:pPr>
              <w:spacing w:after="0" w:line="259" w:lineRule="auto"/>
              <w:ind w:left="0" w:right="20" w:firstLine="0"/>
              <w:jc w:val="center"/>
            </w:pPr>
            <w:r>
              <w:rPr>
                <w:sz w:val="18"/>
              </w:rPr>
              <w:t>ug/L</w:t>
            </w:r>
          </w:p>
        </w:tc>
        <w:tc>
          <w:tcPr>
            <w:tcW w:w="935" w:type="dxa"/>
            <w:tcBorders>
              <w:top w:val="single" w:sz="4" w:space="0" w:color="000000"/>
              <w:left w:val="single" w:sz="12" w:space="0" w:color="000000"/>
              <w:bottom w:val="single" w:sz="4" w:space="0" w:color="000000"/>
              <w:right w:val="single" w:sz="12" w:space="0" w:color="000000"/>
            </w:tcBorders>
          </w:tcPr>
          <w:p w14:paraId="29282E2A" w14:textId="1752CAA9" w:rsidR="00B0429D" w:rsidRDefault="00B0429D" w:rsidP="006F4EE2">
            <w:pPr>
              <w:spacing w:after="0" w:line="259" w:lineRule="auto"/>
              <w:ind w:left="0" w:right="16" w:firstLine="0"/>
              <w:jc w:val="center"/>
            </w:pPr>
            <w:r>
              <w:rPr>
                <w:sz w:val="18"/>
              </w:rPr>
              <w:t>N/A</w:t>
            </w:r>
          </w:p>
        </w:tc>
        <w:tc>
          <w:tcPr>
            <w:tcW w:w="900" w:type="dxa"/>
            <w:tcBorders>
              <w:top w:val="single" w:sz="4" w:space="0" w:color="000000"/>
              <w:left w:val="single" w:sz="12" w:space="0" w:color="000000"/>
              <w:bottom w:val="single" w:sz="4" w:space="0" w:color="000000"/>
              <w:right w:val="single" w:sz="12" w:space="0" w:color="000000"/>
            </w:tcBorders>
          </w:tcPr>
          <w:p w14:paraId="057FBDBB" w14:textId="5E356D37" w:rsidR="00B0429D" w:rsidRDefault="00B0429D" w:rsidP="006F4EE2">
            <w:pPr>
              <w:spacing w:after="0" w:line="259" w:lineRule="auto"/>
              <w:ind w:left="0" w:right="16" w:firstLine="0"/>
              <w:jc w:val="center"/>
            </w:pPr>
            <w:r>
              <w:rPr>
                <w:sz w:val="18"/>
              </w:rPr>
              <w:t>N/A</w:t>
            </w:r>
          </w:p>
        </w:tc>
        <w:tc>
          <w:tcPr>
            <w:tcW w:w="1030" w:type="dxa"/>
            <w:tcBorders>
              <w:top w:val="single" w:sz="4" w:space="0" w:color="000000"/>
              <w:left w:val="single" w:sz="12" w:space="0" w:color="000000"/>
              <w:bottom w:val="single" w:sz="4" w:space="0" w:color="000000"/>
              <w:right w:val="single" w:sz="12" w:space="0" w:color="000000"/>
            </w:tcBorders>
          </w:tcPr>
          <w:p w14:paraId="109E5274" w14:textId="42ABBD2F" w:rsidR="00B0429D" w:rsidRDefault="00B0429D" w:rsidP="006F4EE2">
            <w:pPr>
              <w:spacing w:after="0" w:line="259" w:lineRule="auto"/>
              <w:ind w:left="0" w:right="19" w:firstLine="0"/>
              <w:jc w:val="center"/>
            </w:pPr>
            <w:r>
              <w:rPr>
                <w:b/>
                <w:sz w:val="18"/>
              </w:rPr>
              <w:t>524.2</w:t>
            </w:r>
          </w:p>
        </w:tc>
        <w:tc>
          <w:tcPr>
            <w:tcW w:w="950" w:type="dxa"/>
            <w:tcBorders>
              <w:top w:val="single" w:sz="4" w:space="0" w:color="000000"/>
              <w:left w:val="single" w:sz="12" w:space="0" w:color="000000"/>
              <w:bottom w:val="single" w:sz="4" w:space="0" w:color="000000"/>
              <w:right w:val="single" w:sz="12" w:space="0" w:color="000000"/>
            </w:tcBorders>
          </w:tcPr>
          <w:p w14:paraId="24CDE35D" w14:textId="5185849F" w:rsidR="00B0429D" w:rsidRDefault="00B0429D" w:rsidP="006F4EE2">
            <w:pPr>
              <w:spacing w:after="0" w:line="259" w:lineRule="auto"/>
              <w:ind w:left="0" w:right="16" w:firstLine="0"/>
              <w:jc w:val="center"/>
            </w:pPr>
            <w:r>
              <w:rPr>
                <w:sz w:val="18"/>
              </w:rPr>
              <w:t>502.2</w:t>
            </w:r>
          </w:p>
        </w:tc>
      </w:tr>
      <w:tr w:rsidR="00B0429D" w14:paraId="402E5EF3" w14:textId="77777777" w:rsidTr="00C23B62">
        <w:trPr>
          <w:trHeight w:val="250"/>
        </w:trPr>
        <w:tc>
          <w:tcPr>
            <w:tcW w:w="3448" w:type="dxa"/>
            <w:tcBorders>
              <w:top w:val="single" w:sz="4" w:space="0" w:color="000000"/>
              <w:left w:val="single" w:sz="12" w:space="0" w:color="000000"/>
              <w:bottom w:val="single" w:sz="4" w:space="0" w:color="000000"/>
              <w:right w:val="single" w:sz="12" w:space="0" w:color="000000"/>
            </w:tcBorders>
          </w:tcPr>
          <w:p w14:paraId="30337477" w14:textId="77777777" w:rsidR="00B0429D" w:rsidRDefault="00B0429D" w:rsidP="00B0429D">
            <w:pPr>
              <w:spacing w:after="0" w:line="259" w:lineRule="auto"/>
              <w:ind w:left="29" w:right="0" w:firstLine="0"/>
            </w:pPr>
            <w:r>
              <w:rPr>
                <w:sz w:val="18"/>
              </w:rPr>
              <w:t xml:space="preserve">1,1,1-Trichloroethane </w:t>
            </w:r>
          </w:p>
        </w:tc>
        <w:tc>
          <w:tcPr>
            <w:tcW w:w="1232" w:type="dxa"/>
            <w:tcBorders>
              <w:top w:val="single" w:sz="4" w:space="0" w:color="000000"/>
              <w:left w:val="single" w:sz="12" w:space="0" w:color="000000"/>
              <w:bottom w:val="single" w:sz="4" w:space="0" w:color="000000"/>
              <w:right w:val="single" w:sz="12" w:space="0" w:color="000000"/>
            </w:tcBorders>
          </w:tcPr>
          <w:p w14:paraId="4107B3D3" w14:textId="0A3DABB8" w:rsidR="00B0429D" w:rsidRDefault="00B0429D" w:rsidP="006F4EE2">
            <w:pPr>
              <w:spacing w:after="0" w:line="259" w:lineRule="auto"/>
              <w:ind w:left="0" w:right="44" w:firstLine="0"/>
              <w:jc w:val="center"/>
            </w:pPr>
            <w:r>
              <w:rPr>
                <w:sz w:val="18"/>
              </w:rPr>
              <w:t>71-55-6</w:t>
            </w:r>
          </w:p>
        </w:tc>
        <w:tc>
          <w:tcPr>
            <w:tcW w:w="1062" w:type="dxa"/>
            <w:tcBorders>
              <w:top w:val="single" w:sz="4" w:space="0" w:color="000000"/>
              <w:left w:val="single" w:sz="12" w:space="0" w:color="000000"/>
              <w:bottom w:val="single" w:sz="4" w:space="0" w:color="000000"/>
              <w:right w:val="single" w:sz="12" w:space="0" w:color="000000"/>
            </w:tcBorders>
          </w:tcPr>
          <w:p w14:paraId="5F8A8123" w14:textId="7AF17128" w:rsidR="00B0429D" w:rsidRDefault="00B0429D" w:rsidP="006F4EE2">
            <w:pPr>
              <w:tabs>
                <w:tab w:val="center" w:pos="608"/>
              </w:tabs>
              <w:spacing w:after="0" w:line="259" w:lineRule="auto"/>
              <w:ind w:left="0" w:right="0" w:firstLine="0"/>
              <w:jc w:val="center"/>
            </w:pPr>
            <w:r>
              <w:rPr>
                <w:sz w:val="18"/>
              </w:rPr>
              <w:t>0.5</w:t>
            </w:r>
          </w:p>
        </w:tc>
        <w:tc>
          <w:tcPr>
            <w:tcW w:w="973" w:type="dxa"/>
            <w:tcBorders>
              <w:top w:val="single" w:sz="4" w:space="0" w:color="000000"/>
              <w:left w:val="single" w:sz="12" w:space="0" w:color="000000"/>
              <w:bottom w:val="single" w:sz="4" w:space="0" w:color="000000"/>
              <w:right w:val="single" w:sz="12" w:space="0" w:color="000000"/>
            </w:tcBorders>
          </w:tcPr>
          <w:p w14:paraId="5F891399" w14:textId="1B8EF808" w:rsidR="00B0429D" w:rsidRDefault="00B0429D" w:rsidP="006F4EE2">
            <w:pPr>
              <w:spacing w:after="0" w:line="259" w:lineRule="auto"/>
              <w:ind w:left="0" w:right="20" w:firstLine="0"/>
              <w:jc w:val="center"/>
            </w:pPr>
            <w:r>
              <w:rPr>
                <w:sz w:val="18"/>
              </w:rPr>
              <w:t>ug/L</w:t>
            </w:r>
          </w:p>
        </w:tc>
        <w:tc>
          <w:tcPr>
            <w:tcW w:w="935" w:type="dxa"/>
            <w:tcBorders>
              <w:top w:val="single" w:sz="4" w:space="0" w:color="000000"/>
              <w:left w:val="single" w:sz="12" w:space="0" w:color="000000"/>
              <w:bottom w:val="single" w:sz="4" w:space="0" w:color="000000"/>
              <w:right w:val="single" w:sz="12" w:space="0" w:color="000000"/>
            </w:tcBorders>
          </w:tcPr>
          <w:p w14:paraId="28C1C666" w14:textId="56CDFEFB" w:rsidR="00B0429D" w:rsidRDefault="00B0429D" w:rsidP="006F4EE2">
            <w:pPr>
              <w:spacing w:after="0" w:line="259" w:lineRule="auto"/>
              <w:ind w:left="0" w:right="16" w:firstLine="0"/>
              <w:jc w:val="center"/>
            </w:pPr>
            <w:r>
              <w:rPr>
                <w:sz w:val="18"/>
              </w:rPr>
              <w:t>N/A</w:t>
            </w:r>
          </w:p>
        </w:tc>
        <w:tc>
          <w:tcPr>
            <w:tcW w:w="900" w:type="dxa"/>
            <w:tcBorders>
              <w:top w:val="single" w:sz="4" w:space="0" w:color="000000"/>
              <w:left w:val="single" w:sz="12" w:space="0" w:color="000000"/>
              <w:bottom w:val="single" w:sz="4" w:space="0" w:color="000000"/>
              <w:right w:val="single" w:sz="12" w:space="0" w:color="000000"/>
            </w:tcBorders>
          </w:tcPr>
          <w:p w14:paraId="2CE50D86" w14:textId="37BBC63D" w:rsidR="00B0429D" w:rsidRDefault="00B0429D" w:rsidP="006F4EE2">
            <w:pPr>
              <w:spacing w:after="0" w:line="259" w:lineRule="auto"/>
              <w:ind w:left="0" w:right="16" w:firstLine="0"/>
              <w:jc w:val="center"/>
            </w:pPr>
            <w:r>
              <w:rPr>
                <w:sz w:val="18"/>
              </w:rPr>
              <w:t>N/A</w:t>
            </w:r>
          </w:p>
        </w:tc>
        <w:tc>
          <w:tcPr>
            <w:tcW w:w="1030" w:type="dxa"/>
            <w:tcBorders>
              <w:top w:val="single" w:sz="4" w:space="0" w:color="000000"/>
              <w:left w:val="single" w:sz="12" w:space="0" w:color="000000"/>
              <w:bottom w:val="single" w:sz="4" w:space="0" w:color="000000"/>
              <w:right w:val="single" w:sz="12" w:space="0" w:color="000000"/>
            </w:tcBorders>
          </w:tcPr>
          <w:p w14:paraId="6A4498AE" w14:textId="39B0F0F2" w:rsidR="00B0429D" w:rsidRDefault="00B0429D" w:rsidP="006F4EE2">
            <w:pPr>
              <w:spacing w:after="0" w:line="259" w:lineRule="auto"/>
              <w:ind w:left="0" w:right="19" w:firstLine="0"/>
              <w:jc w:val="center"/>
            </w:pPr>
            <w:r>
              <w:rPr>
                <w:b/>
                <w:sz w:val="18"/>
              </w:rPr>
              <w:t>524.2</w:t>
            </w:r>
          </w:p>
        </w:tc>
        <w:tc>
          <w:tcPr>
            <w:tcW w:w="950" w:type="dxa"/>
            <w:tcBorders>
              <w:top w:val="single" w:sz="4" w:space="0" w:color="000000"/>
              <w:left w:val="single" w:sz="12" w:space="0" w:color="000000"/>
              <w:bottom w:val="single" w:sz="4" w:space="0" w:color="000000"/>
              <w:right w:val="single" w:sz="12" w:space="0" w:color="000000"/>
            </w:tcBorders>
          </w:tcPr>
          <w:p w14:paraId="64A24498" w14:textId="54184523" w:rsidR="00B0429D" w:rsidRDefault="00B0429D" w:rsidP="006F4EE2">
            <w:pPr>
              <w:spacing w:after="0" w:line="259" w:lineRule="auto"/>
              <w:ind w:left="0" w:right="16" w:firstLine="0"/>
              <w:jc w:val="center"/>
            </w:pPr>
            <w:r>
              <w:rPr>
                <w:sz w:val="18"/>
              </w:rPr>
              <w:t>502.2</w:t>
            </w:r>
          </w:p>
        </w:tc>
      </w:tr>
      <w:tr w:rsidR="00B0429D" w14:paraId="4E7933C1" w14:textId="77777777" w:rsidTr="00C23B62">
        <w:trPr>
          <w:trHeight w:val="250"/>
        </w:trPr>
        <w:tc>
          <w:tcPr>
            <w:tcW w:w="3448" w:type="dxa"/>
            <w:tcBorders>
              <w:top w:val="single" w:sz="4" w:space="0" w:color="000000"/>
              <w:left w:val="single" w:sz="12" w:space="0" w:color="000000"/>
              <w:bottom w:val="single" w:sz="4" w:space="0" w:color="000000"/>
              <w:right w:val="single" w:sz="12" w:space="0" w:color="000000"/>
            </w:tcBorders>
          </w:tcPr>
          <w:p w14:paraId="4DFD610D" w14:textId="77777777" w:rsidR="00B0429D" w:rsidRDefault="00B0429D" w:rsidP="00B0429D">
            <w:pPr>
              <w:spacing w:after="0" w:line="259" w:lineRule="auto"/>
              <w:ind w:left="29" w:right="0" w:firstLine="0"/>
            </w:pPr>
            <w:r>
              <w:rPr>
                <w:sz w:val="18"/>
              </w:rPr>
              <w:t xml:space="preserve">1,1,2-Trichloroethane </w:t>
            </w:r>
          </w:p>
        </w:tc>
        <w:tc>
          <w:tcPr>
            <w:tcW w:w="1232" w:type="dxa"/>
            <w:tcBorders>
              <w:top w:val="single" w:sz="4" w:space="0" w:color="000000"/>
              <w:left w:val="single" w:sz="12" w:space="0" w:color="000000"/>
              <w:bottom w:val="single" w:sz="4" w:space="0" w:color="000000"/>
              <w:right w:val="single" w:sz="12" w:space="0" w:color="000000"/>
            </w:tcBorders>
          </w:tcPr>
          <w:p w14:paraId="0C810239" w14:textId="422125A8" w:rsidR="00B0429D" w:rsidRDefault="00B0429D" w:rsidP="006F4EE2">
            <w:pPr>
              <w:spacing w:after="0" w:line="259" w:lineRule="auto"/>
              <w:ind w:left="0" w:right="44" w:firstLine="0"/>
              <w:jc w:val="center"/>
            </w:pPr>
            <w:r>
              <w:rPr>
                <w:sz w:val="18"/>
              </w:rPr>
              <w:t>79-00-5</w:t>
            </w:r>
          </w:p>
        </w:tc>
        <w:tc>
          <w:tcPr>
            <w:tcW w:w="1062" w:type="dxa"/>
            <w:tcBorders>
              <w:top w:val="single" w:sz="4" w:space="0" w:color="000000"/>
              <w:left w:val="single" w:sz="12" w:space="0" w:color="000000"/>
              <w:bottom w:val="single" w:sz="4" w:space="0" w:color="000000"/>
              <w:right w:val="single" w:sz="12" w:space="0" w:color="000000"/>
            </w:tcBorders>
          </w:tcPr>
          <w:p w14:paraId="4C3EF7A8" w14:textId="0CAE84FC" w:rsidR="00B0429D" w:rsidRDefault="00B0429D" w:rsidP="006F4EE2">
            <w:pPr>
              <w:tabs>
                <w:tab w:val="center" w:pos="608"/>
              </w:tabs>
              <w:spacing w:after="0" w:line="259" w:lineRule="auto"/>
              <w:ind w:left="0" w:right="0" w:firstLine="0"/>
              <w:jc w:val="center"/>
            </w:pPr>
            <w:r>
              <w:rPr>
                <w:sz w:val="18"/>
              </w:rPr>
              <w:t>0.5</w:t>
            </w:r>
          </w:p>
        </w:tc>
        <w:tc>
          <w:tcPr>
            <w:tcW w:w="973" w:type="dxa"/>
            <w:tcBorders>
              <w:top w:val="single" w:sz="4" w:space="0" w:color="000000"/>
              <w:left w:val="single" w:sz="12" w:space="0" w:color="000000"/>
              <w:bottom w:val="single" w:sz="4" w:space="0" w:color="000000"/>
              <w:right w:val="single" w:sz="12" w:space="0" w:color="000000"/>
            </w:tcBorders>
          </w:tcPr>
          <w:p w14:paraId="26AFD5A7" w14:textId="1E30810E" w:rsidR="00B0429D" w:rsidRDefault="00B0429D" w:rsidP="006F4EE2">
            <w:pPr>
              <w:spacing w:after="0" w:line="259" w:lineRule="auto"/>
              <w:ind w:left="0" w:right="20" w:firstLine="0"/>
              <w:jc w:val="center"/>
            </w:pPr>
            <w:r>
              <w:rPr>
                <w:sz w:val="18"/>
              </w:rPr>
              <w:t>ug/L</w:t>
            </w:r>
          </w:p>
        </w:tc>
        <w:tc>
          <w:tcPr>
            <w:tcW w:w="935" w:type="dxa"/>
            <w:tcBorders>
              <w:top w:val="single" w:sz="4" w:space="0" w:color="000000"/>
              <w:left w:val="single" w:sz="12" w:space="0" w:color="000000"/>
              <w:bottom w:val="single" w:sz="4" w:space="0" w:color="000000"/>
              <w:right w:val="single" w:sz="12" w:space="0" w:color="000000"/>
            </w:tcBorders>
          </w:tcPr>
          <w:p w14:paraId="42A4378B" w14:textId="45D3B0D4" w:rsidR="00B0429D" w:rsidRDefault="00B0429D" w:rsidP="006F4EE2">
            <w:pPr>
              <w:spacing w:after="0" w:line="259" w:lineRule="auto"/>
              <w:ind w:left="0" w:right="16" w:firstLine="0"/>
              <w:jc w:val="center"/>
            </w:pPr>
            <w:r>
              <w:rPr>
                <w:sz w:val="18"/>
              </w:rPr>
              <w:t>N/A</w:t>
            </w:r>
          </w:p>
        </w:tc>
        <w:tc>
          <w:tcPr>
            <w:tcW w:w="900" w:type="dxa"/>
            <w:tcBorders>
              <w:top w:val="single" w:sz="4" w:space="0" w:color="000000"/>
              <w:left w:val="single" w:sz="12" w:space="0" w:color="000000"/>
              <w:bottom w:val="single" w:sz="4" w:space="0" w:color="000000"/>
              <w:right w:val="single" w:sz="12" w:space="0" w:color="000000"/>
            </w:tcBorders>
          </w:tcPr>
          <w:p w14:paraId="30F39B1A" w14:textId="65339E70" w:rsidR="00B0429D" w:rsidRDefault="00B0429D" w:rsidP="006F4EE2">
            <w:pPr>
              <w:spacing w:after="0" w:line="259" w:lineRule="auto"/>
              <w:ind w:left="0" w:right="16" w:firstLine="0"/>
              <w:jc w:val="center"/>
            </w:pPr>
            <w:r>
              <w:rPr>
                <w:sz w:val="18"/>
              </w:rPr>
              <w:t>N/A</w:t>
            </w:r>
          </w:p>
        </w:tc>
        <w:tc>
          <w:tcPr>
            <w:tcW w:w="1030" w:type="dxa"/>
            <w:tcBorders>
              <w:top w:val="single" w:sz="4" w:space="0" w:color="000000"/>
              <w:left w:val="single" w:sz="12" w:space="0" w:color="000000"/>
              <w:bottom w:val="single" w:sz="4" w:space="0" w:color="000000"/>
              <w:right w:val="single" w:sz="12" w:space="0" w:color="000000"/>
            </w:tcBorders>
          </w:tcPr>
          <w:p w14:paraId="0C91F27D" w14:textId="08521E56" w:rsidR="00B0429D" w:rsidRDefault="00B0429D" w:rsidP="006F4EE2">
            <w:pPr>
              <w:spacing w:after="0" w:line="259" w:lineRule="auto"/>
              <w:ind w:left="0" w:right="19" w:firstLine="0"/>
              <w:jc w:val="center"/>
            </w:pPr>
            <w:r>
              <w:rPr>
                <w:b/>
                <w:sz w:val="18"/>
              </w:rPr>
              <w:t>524.2</w:t>
            </w:r>
          </w:p>
        </w:tc>
        <w:tc>
          <w:tcPr>
            <w:tcW w:w="950" w:type="dxa"/>
            <w:tcBorders>
              <w:top w:val="single" w:sz="4" w:space="0" w:color="000000"/>
              <w:left w:val="single" w:sz="12" w:space="0" w:color="000000"/>
              <w:bottom w:val="single" w:sz="4" w:space="0" w:color="000000"/>
              <w:right w:val="single" w:sz="12" w:space="0" w:color="000000"/>
            </w:tcBorders>
          </w:tcPr>
          <w:p w14:paraId="5610682C" w14:textId="51626F15" w:rsidR="00B0429D" w:rsidRDefault="00B0429D" w:rsidP="006F4EE2">
            <w:pPr>
              <w:spacing w:after="0" w:line="259" w:lineRule="auto"/>
              <w:ind w:left="0" w:right="16" w:firstLine="0"/>
              <w:jc w:val="center"/>
            </w:pPr>
            <w:r>
              <w:rPr>
                <w:sz w:val="18"/>
              </w:rPr>
              <w:t>502.2</w:t>
            </w:r>
          </w:p>
        </w:tc>
      </w:tr>
      <w:tr w:rsidR="00B0429D" w14:paraId="79DC9E7D" w14:textId="77777777" w:rsidTr="00C23B62">
        <w:trPr>
          <w:trHeight w:val="252"/>
        </w:trPr>
        <w:tc>
          <w:tcPr>
            <w:tcW w:w="3448" w:type="dxa"/>
            <w:tcBorders>
              <w:top w:val="single" w:sz="4" w:space="0" w:color="000000"/>
              <w:left w:val="single" w:sz="12" w:space="0" w:color="000000"/>
              <w:bottom w:val="single" w:sz="4" w:space="0" w:color="000000"/>
              <w:right w:val="single" w:sz="12" w:space="0" w:color="000000"/>
            </w:tcBorders>
          </w:tcPr>
          <w:p w14:paraId="1AC34FCD" w14:textId="77777777" w:rsidR="00B0429D" w:rsidRDefault="00B0429D" w:rsidP="00B0429D">
            <w:pPr>
              <w:spacing w:after="0" w:line="259" w:lineRule="auto"/>
              <w:ind w:left="29" w:right="0" w:firstLine="0"/>
            </w:pPr>
            <w:r>
              <w:rPr>
                <w:sz w:val="18"/>
              </w:rPr>
              <w:t xml:space="preserve">Trichloroethene </w:t>
            </w:r>
          </w:p>
        </w:tc>
        <w:tc>
          <w:tcPr>
            <w:tcW w:w="1232" w:type="dxa"/>
            <w:tcBorders>
              <w:top w:val="single" w:sz="4" w:space="0" w:color="000000"/>
              <w:left w:val="single" w:sz="12" w:space="0" w:color="000000"/>
              <w:bottom w:val="single" w:sz="4" w:space="0" w:color="000000"/>
              <w:right w:val="single" w:sz="12" w:space="0" w:color="000000"/>
            </w:tcBorders>
          </w:tcPr>
          <w:p w14:paraId="51D93966" w14:textId="484C480D" w:rsidR="00B0429D" w:rsidRDefault="00B0429D" w:rsidP="006F4EE2">
            <w:pPr>
              <w:spacing w:after="0" w:line="259" w:lineRule="auto"/>
              <w:ind w:left="0" w:right="44" w:firstLine="0"/>
              <w:jc w:val="center"/>
            </w:pPr>
            <w:r>
              <w:rPr>
                <w:sz w:val="18"/>
              </w:rPr>
              <w:t>79-01-6</w:t>
            </w:r>
          </w:p>
        </w:tc>
        <w:tc>
          <w:tcPr>
            <w:tcW w:w="1062" w:type="dxa"/>
            <w:tcBorders>
              <w:top w:val="single" w:sz="4" w:space="0" w:color="000000"/>
              <w:left w:val="single" w:sz="12" w:space="0" w:color="000000"/>
              <w:bottom w:val="single" w:sz="4" w:space="0" w:color="000000"/>
              <w:right w:val="single" w:sz="12" w:space="0" w:color="000000"/>
            </w:tcBorders>
          </w:tcPr>
          <w:p w14:paraId="157BD44D" w14:textId="3175093E" w:rsidR="00B0429D" w:rsidRDefault="00B0429D" w:rsidP="006F4EE2">
            <w:pPr>
              <w:tabs>
                <w:tab w:val="center" w:pos="608"/>
              </w:tabs>
              <w:spacing w:after="0" w:line="259" w:lineRule="auto"/>
              <w:ind w:left="0" w:right="0" w:firstLine="0"/>
              <w:jc w:val="center"/>
            </w:pPr>
            <w:r>
              <w:rPr>
                <w:sz w:val="18"/>
              </w:rPr>
              <w:t>0.5</w:t>
            </w:r>
          </w:p>
        </w:tc>
        <w:tc>
          <w:tcPr>
            <w:tcW w:w="973" w:type="dxa"/>
            <w:tcBorders>
              <w:top w:val="single" w:sz="4" w:space="0" w:color="000000"/>
              <w:left w:val="single" w:sz="12" w:space="0" w:color="000000"/>
              <w:bottom w:val="single" w:sz="4" w:space="0" w:color="000000"/>
              <w:right w:val="single" w:sz="12" w:space="0" w:color="000000"/>
            </w:tcBorders>
          </w:tcPr>
          <w:p w14:paraId="4A8C4412" w14:textId="71F0664A" w:rsidR="00B0429D" w:rsidRDefault="00B0429D" w:rsidP="006F4EE2">
            <w:pPr>
              <w:spacing w:after="0" w:line="259" w:lineRule="auto"/>
              <w:ind w:left="0" w:right="20" w:firstLine="0"/>
              <w:jc w:val="center"/>
            </w:pPr>
            <w:r>
              <w:rPr>
                <w:sz w:val="18"/>
              </w:rPr>
              <w:t>ug/L</w:t>
            </w:r>
          </w:p>
        </w:tc>
        <w:tc>
          <w:tcPr>
            <w:tcW w:w="935" w:type="dxa"/>
            <w:tcBorders>
              <w:top w:val="single" w:sz="4" w:space="0" w:color="000000"/>
              <w:left w:val="single" w:sz="12" w:space="0" w:color="000000"/>
              <w:bottom w:val="single" w:sz="4" w:space="0" w:color="000000"/>
              <w:right w:val="single" w:sz="12" w:space="0" w:color="000000"/>
            </w:tcBorders>
          </w:tcPr>
          <w:p w14:paraId="021C45ED" w14:textId="2E910BC3" w:rsidR="00B0429D" w:rsidRDefault="00B0429D" w:rsidP="006F4EE2">
            <w:pPr>
              <w:spacing w:after="0" w:line="259" w:lineRule="auto"/>
              <w:ind w:left="0" w:right="16" w:firstLine="0"/>
              <w:jc w:val="center"/>
            </w:pPr>
            <w:r>
              <w:rPr>
                <w:sz w:val="18"/>
              </w:rPr>
              <w:t>N/A</w:t>
            </w:r>
          </w:p>
        </w:tc>
        <w:tc>
          <w:tcPr>
            <w:tcW w:w="900" w:type="dxa"/>
            <w:tcBorders>
              <w:top w:val="single" w:sz="4" w:space="0" w:color="000000"/>
              <w:left w:val="single" w:sz="12" w:space="0" w:color="000000"/>
              <w:bottom w:val="single" w:sz="4" w:space="0" w:color="000000"/>
              <w:right w:val="single" w:sz="12" w:space="0" w:color="000000"/>
            </w:tcBorders>
          </w:tcPr>
          <w:p w14:paraId="11B35158" w14:textId="0D7CFA74" w:rsidR="00B0429D" w:rsidRDefault="00B0429D" w:rsidP="006F4EE2">
            <w:pPr>
              <w:spacing w:after="0" w:line="259" w:lineRule="auto"/>
              <w:ind w:left="0" w:right="16" w:firstLine="0"/>
              <w:jc w:val="center"/>
            </w:pPr>
            <w:r>
              <w:rPr>
                <w:sz w:val="18"/>
              </w:rPr>
              <w:t>N/A</w:t>
            </w:r>
          </w:p>
        </w:tc>
        <w:tc>
          <w:tcPr>
            <w:tcW w:w="1030" w:type="dxa"/>
            <w:tcBorders>
              <w:top w:val="single" w:sz="4" w:space="0" w:color="000000"/>
              <w:left w:val="single" w:sz="12" w:space="0" w:color="000000"/>
              <w:bottom w:val="single" w:sz="4" w:space="0" w:color="000000"/>
              <w:right w:val="single" w:sz="12" w:space="0" w:color="000000"/>
            </w:tcBorders>
          </w:tcPr>
          <w:p w14:paraId="274451F2" w14:textId="0EA0F9FA" w:rsidR="00B0429D" w:rsidRDefault="00B0429D" w:rsidP="006F4EE2">
            <w:pPr>
              <w:spacing w:after="0" w:line="259" w:lineRule="auto"/>
              <w:ind w:left="0" w:right="19" w:firstLine="0"/>
              <w:jc w:val="center"/>
            </w:pPr>
            <w:r>
              <w:rPr>
                <w:b/>
                <w:sz w:val="18"/>
              </w:rPr>
              <w:t>524.2</w:t>
            </w:r>
          </w:p>
        </w:tc>
        <w:tc>
          <w:tcPr>
            <w:tcW w:w="950" w:type="dxa"/>
            <w:tcBorders>
              <w:top w:val="single" w:sz="4" w:space="0" w:color="000000"/>
              <w:left w:val="single" w:sz="12" w:space="0" w:color="000000"/>
              <w:bottom w:val="single" w:sz="4" w:space="0" w:color="000000"/>
              <w:right w:val="single" w:sz="12" w:space="0" w:color="000000"/>
            </w:tcBorders>
          </w:tcPr>
          <w:p w14:paraId="03088B82" w14:textId="50A2AA62" w:rsidR="00B0429D" w:rsidRDefault="00B0429D" w:rsidP="006F4EE2">
            <w:pPr>
              <w:spacing w:after="0" w:line="259" w:lineRule="auto"/>
              <w:ind w:left="0" w:right="16" w:firstLine="0"/>
              <w:jc w:val="center"/>
            </w:pPr>
            <w:r>
              <w:rPr>
                <w:sz w:val="18"/>
              </w:rPr>
              <w:t>502.2</w:t>
            </w:r>
          </w:p>
        </w:tc>
      </w:tr>
      <w:tr w:rsidR="00B0429D" w14:paraId="1C3F4087" w14:textId="77777777" w:rsidTr="00C23B62">
        <w:trPr>
          <w:trHeight w:val="250"/>
        </w:trPr>
        <w:tc>
          <w:tcPr>
            <w:tcW w:w="3448" w:type="dxa"/>
            <w:tcBorders>
              <w:top w:val="single" w:sz="4" w:space="0" w:color="000000"/>
              <w:left w:val="single" w:sz="12" w:space="0" w:color="000000"/>
              <w:bottom w:val="single" w:sz="4" w:space="0" w:color="000000"/>
              <w:right w:val="single" w:sz="12" w:space="0" w:color="000000"/>
            </w:tcBorders>
          </w:tcPr>
          <w:p w14:paraId="1FB91E52" w14:textId="77777777" w:rsidR="00B0429D" w:rsidRDefault="00B0429D" w:rsidP="00B0429D">
            <w:pPr>
              <w:spacing w:after="0" w:line="259" w:lineRule="auto"/>
              <w:ind w:left="29" w:right="0" w:firstLine="0"/>
            </w:pPr>
            <w:r>
              <w:rPr>
                <w:sz w:val="18"/>
              </w:rPr>
              <w:t xml:space="preserve">Trichlorofluoromethane </w:t>
            </w:r>
          </w:p>
        </w:tc>
        <w:tc>
          <w:tcPr>
            <w:tcW w:w="1232" w:type="dxa"/>
            <w:tcBorders>
              <w:top w:val="single" w:sz="4" w:space="0" w:color="000000"/>
              <w:left w:val="single" w:sz="12" w:space="0" w:color="000000"/>
              <w:bottom w:val="single" w:sz="4" w:space="0" w:color="000000"/>
              <w:right w:val="single" w:sz="12" w:space="0" w:color="000000"/>
            </w:tcBorders>
          </w:tcPr>
          <w:p w14:paraId="1BCCF267" w14:textId="0B6F6525" w:rsidR="00B0429D" w:rsidRDefault="00B0429D" w:rsidP="006F4EE2">
            <w:pPr>
              <w:spacing w:after="0" w:line="259" w:lineRule="auto"/>
              <w:ind w:left="0" w:right="44" w:firstLine="0"/>
              <w:jc w:val="center"/>
            </w:pPr>
            <w:r>
              <w:rPr>
                <w:sz w:val="18"/>
              </w:rPr>
              <w:t>75-69-4</w:t>
            </w:r>
          </w:p>
        </w:tc>
        <w:tc>
          <w:tcPr>
            <w:tcW w:w="1062" w:type="dxa"/>
            <w:tcBorders>
              <w:top w:val="single" w:sz="4" w:space="0" w:color="000000"/>
              <w:left w:val="single" w:sz="12" w:space="0" w:color="000000"/>
              <w:bottom w:val="single" w:sz="4" w:space="0" w:color="000000"/>
              <w:right w:val="single" w:sz="12" w:space="0" w:color="000000"/>
            </w:tcBorders>
          </w:tcPr>
          <w:p w14:paraId="207C1F41" w14:textId="4B87F35D" w:rsidR="00B0429D" w:rsidRDefault="00B0429D" w:rsidP="006F4EE2">
            <w:pPr>
              <w:tabs>
                <w:tab w:val="center" w:pos="608"/>
              </w:tabs>
              <w:spacing w:after="0" w:line="259" w:lineRule="auto"/>
              <w:ind w:left="0" w:right="0" w:firstLine="0"/>
              <w:jc w:val="center"/>
            </w:pPr>
            <w:r>
              <w:rPr>
                <w:sz w:val="18"/>
              </w:rPr>
              <w:t>0.5</w:t>
            </w:r>
          </w:p>
        </w:tc>
        <w:tc>
          <w:tcPr>
            <w:tcW w:w="973" w:type="dxa"/>
            <w:tcBorders>
              <w:top w:val="single" w:sz="4" w:space="0" w:color="000000"/>
              <w:left w:val="single" w:sz="12" w:space="0" w:color="000000"/>
              <w:bottom w:val="single" w:sz="4" w:space="0" w:color="000000"/>
              <w:right w:val="single" w:sz="12" w:space="0" w:color="000000"/>
            </w:tcBorders>
          </w:tcPr>
          <w:p w14:paraId="54C7BF2D" w14:textId="39901618" w:rsidR="00B0429D" w:rsidRDefault="00B0429D" w:rsidP="006F4EE2">
            <w:pPr>
              <w:spacing w:after="0" w:line="259" w:lineRule="auto"/>
              <w:ind w:left="0" w:right="20" w:firstLine="0"/>
              <w:jc w:val="center"/>
            </w:pPr>
            <w:r>
              <w:rPr>
                <w:sz w:val="18"/>
              </w:rPr>
              <w:t>ug/L</w:t>
            </w:r>
          </w:p>
        </w:tc>
        <w:tc>
          <w:tcPr>
            <w:tcW w:w="935" w:type="dxa"/>
            <w:tcBorders>
              <w:top w:val="single" w:sz="4" w:space="0" w:color="000000"/>
              <w:left w:val="single" w:sz="12" w:space="0" w:color="000000"/>
              <w:bottom w:val="single" w:sz="4" w:space="0" w:color="000000"/>
              <w:right w:val="single" w:sz="12" w:space="0" w:color="000000"/>
            </w:tcBorders>
          </w:tcPr>
          <w:p w14:paraId="0DFE14E4" w14:textId="67AC725B" w:rsidR="00B0429D" w:rsidRDefault="00B0429D" w:rsidP="006F4EE2">
            <w:pPr>
              <w:spacing w:after="0" w:line="259" w:lineRule="auto"/>
              <w:ind w:left="0" w:right="16" w:firstLine="0"/>
              <w:jc w:val="center"/>
            </w:pPr>
            <w:r>
              <w:rPr>
                <w:sz w:val="18"/>
              </w:rPr>
              <w:t>N/A</w:t>
            </w:r>
          </w:p>
        </w:tc>
        <w:tc>
          <w:tcPr>
            <w:tcW w:w="900" w:type="dxa"/>
            <w:tcBorders>
              <w:top w:val="single" w:sz="4" w:space="0" w:color="000000"/>
              <w:left w:val="single" w:sz="12" w:space="0" w:color="000000"/>
              <w:bottom w:val="single" w:sz="4" w:space="0" w:color="000000"/>
              <w:right w:val="single" w:sz="12" w:space="0" w:color="000000"/>
            </w:tcBorders>
          </w:tcPr>
          <w:p w14:paraId="677425C0" w14:textId="5DABEC84" w:rsidR="00B0429D" w:rsidRDefault="00B0429D" w:rsidP="006F4EE2">
            <w:pPr>
              <w:spacing w:after="0" w:line="259" w:lineRule="auto"/>
              <w:ind w:left="0" w:right="16" w:firstLine="0"/>
              <w:jc w:val="center"/>
            </w:pPr>
            <w:r>
              <w:rPr>
                <w:sz w:val="18"/>
              </w:rPr>
              <w:t>N/A</w:t>
            </w:r>
          </w:p>
        </w:tc>
        <w:tc>
          <w:tcPr>
            <w:tcW w:w="1030" w:type="dxa"/>
            <w:tcBorders>
              <w:top w:val="single" w:sz="4" w:space="0" w:color="000000"/>
              <w:left w:val="single" w:sz="12" w:space="0" w:color="000000"/>
              <w:bottom w:val="single" w:sz="4" w:space="0" w:color="000000"/>
              <w:right w:val="single" w:sz="12" w:space="0" w:color="000000"/>
            </w:tcBorders>
          </w:tcPr>
          <w:p w14:paraId="6DD9160E" w14:textId="279D6D87" w:rsidR="00B0429D" w:rsidRDefault="00B0429D" w:rsidP="006F4EE2">
            <w:pPr>
              <w:spacing w:after="0" w:line="259" w:lineRule="auto"/>
              <w:ind w:left="0" w:right="19" w:firstLine="0"/>
              <w:jc w:val="center"/>
            </w:pPr>
            <w:r>
              <w:rPr>
                <w:b/>
                <w:sz w:val="18"/>
              </w:rPr>
              <w:t>524.2</w:t>
            </w:r>
          </w:p>
        </w:tc>
        <w:tc>
          <w:tcPr>
            <w:tcW w:w="950" w:type="dxa"/>
            <w:tcBorders>
              <w:top w:val="single" w:sz="4" w:space="0" w:color="000000"/>
              <w:left w:val="single" w:sz="12" w:space="0" w:color="000000"/>
              <w:bottom w:val="single" w:sz="4" w:space="0" w:color="000000"/>
              <w:right w:val="single" w:sz="12" w:space="0" w:color="000000"/>
            </w:tcBorders>
          </w:tcPr>
          <w:p w14:paraId="3C301916" w14:textId="5D7FAB42" w:rsidR="00B0429D" w:rsidRDefault="00B0429D" w:rsidP="006F4EE2">
            <w:pPr>
              <w:spacing w:after="0" w:line="259" w:lineRule="auto"/>
              <w:ind w:left="0" w:right="16" w:firstLine="0"/>
              <w:jc w:val="center"/>
            </w:pPr>
            <w:r>
              <w:rPr>
                <w:sz w:val="18"/>
              </w:rPr>
              <w:t>502.2</w:t>
            </w:r>
          </w:p>
        </w:tc>
      </w:tr>
      <w:tr w:rsidR="00B0429D" w14:paraId="4086B342" w14:textId="77777777" w:rsidTr="00C23B62">
        <w:trPr>
          <w:trHeight w:val="250"/>
        </w:trPr>
        <w:tc>
          <w:tcPr>
            <w:tcW w:w="3448" w:type="dxa"/>
            <w:tcBorders>
              <w:top w:val="single" w:sz="4" w:space="0" w:color="000000"/>
              <w:left w:val="single" w:sz="12" w:space="0" w:color="000000"/>
              <w:bottom w:val="single" w:sz="4" w:space="0" w:color="000000"/>
              <w:right w:val="single" w:sz="12" w:space="0" w:color="000000"/>
            </w:tcBorders>
          </w:tcPr>
          <w:p w14:paraId="419B4539" w14:textId="77777777" w:rsidR="00B0429D" w:rsidRDefault="00B0429D" w:rsidP="00B0429D">
            <w:pPr>
              <w:spacing w:after="0" w:line="259" w:lineRule="auto"/>
              <w:ind w:left="29" w:right="0" w:firstLine="0"/>
            </w:pPr>
            <w:r>
              <w:rPr>
                <w:sz w:val="18"/>
              </w:rPr>
              <w:t xml:space="preserve">1,2,3-Trichloropropane </w:t>
            </w:r>
          </w:p>
        </w:tc>
        <w:tc>
          <w:tcPr>
            <w:tcW w:w="1232" w:type="dxa"/>
            <w:tcBorders>
              <w:top w:val="single" w:sz="4" w:space="0" w:color="000000"/>
              <w:left w:val="single" w:sz="12" w:space="0" w:color="000000"/>
              <w:bottom w:val="single" w:sz="4" w:space="0" w:color="000000"/>
              <w:right w:val="single" w:sz="12" w:space="0" w:color="000000"/>
            </w:tcBorders>
          </w:tcPr>
          <w:p w14:paraId="7CBB6ECD" w14:textId="05D9ED4E" w:rsidR="00B0429D" w:rsidRDefault="00B0429D" w:rsidP="006F4EE2">
            <w:pPr>
              <w:spacing w:after="0" w:line="259" w:lineRule="auto"/>
              <w:ind w:left="0" w:right="44" w:firstLine="0"/>
              <w:jc w:val="center"/>
            </w:pPr>
            <w:r>
              <w:rPr>
                <w:sz w:val="18"/>
              </w:rPr>
              <w:t>96-18-4</w:t>
            </w:r>
          </w:p>
        </w:tc>
        <w:tc>
          <w:tcPr>
            <w:tcW w:w="1062" w:type="dxa"/>
            <w:tcBorders>
              <w:top w:val="single" w:sz="4" w:space="0" w:color="000000"/>
              <w:left w:val="single" w:sz="12" w:space="0" w:color="000000"/>
              <w:bottom w:val="single" w:sz="4" w:space="0" w:color="000000"/>
              <w:right w:val="single" w:sz="12" w:space="0" w:color="000000"/>
            </w:tcBorders>
          </w:tcPr>
          <w:p w14:paraId="3D96992C" w14:textId="14717326" w:rsidR="00B0429D" w:rsidRDefault="00B0429D" w:rsidP="006F4EE2">
            <w:pPr>
              <w:tabs>
                <w:tab w:val="center" w:pos="608"/>
              </w:tabs>
              <w:spacing w:after="0" w:line="259" w:lineRule="auto"/>
              <w:ind w:left="0" w:right="0" w:firstLine="0"/>
              <w:jc w:val="center"/>
            </w:pPr>
            <w:r>
              <w:rPr>
                <w:sz w:val="18"/>
              </w:rPr>
              <w:t>0.5</w:t>
            </w:r>
          </w:p>
        </w:tc>
        <w:tc>
          <w:tcPr>
            <w:tcW w:w="973" w:type="dxa"/>
            <w:tcBorders>
              <w:top w:val="single" w:sz="4" w:space="0" w:color="000000"/>
              <w:left w:val="single" w:sz="12" w:space="0" w:color="000000"/>
              <w:bottom w:val="single" w:sz="4" w:space="0" w:color="000000"/>
              <w:right w:val="single" w:sz="12" w:space="0" w:color="000000"/>
            </w:tcBorders>
          </w:tcPr>
          <w:p w14:paraId="557EF9A3" w14:textId="5F5B39EA" w:rsidR="00B0429D" w:rsidRDefault="00B0429D" w:rsidP="006F4EE2">
            <w:pPr>
              <w:spacing w:after="0" w:line="259" w:lineRule="auto"/>
              <w:ind w:left="0" w:right="20" w:firstLine="0"/>
              <w:jc w:val="center"/>
            </w:pPr>
            <w:r>
              <w:rPr>
                <w:sz w:val="18"/>
              </w:rPr>
              <w:t>ug/L</w:t>
            </w:r>
          </w:p>
        </w:tc>
        <w:tc>
          <w:tcPr>
            <w:tcW w:w="935" w:type="dxa"/>
            <w:tcBorders>
              <w:top w:val="single" w:sz="4" w:space="0" w:color="000000"/>
              <w:left w:val="single" w:sz="12" w:space="0" w:color="000000"/>
              <w:bottom w:val="single" w:sz="4" w:space="0" w:color="000000"/>
              <w:right w:val="single" w:sz="12" w:space="0" w:color="000000"/>
            </w:tcBorders>
          </w:tcPr>
          <w:p w14:paraId="033BB517" w14:textId="49C9C04A" w:rsidR="00B0429D" w:rsidRDefault="00B0429D" w:rsidP="006F4EE2">
            <w:pPr>
              <w:spacing w:after="0" w:line="259" w:lineRule="auto"/>
              <w:ind w:left="0" w:right="16" w:firstLine="0"/>
              <w:jc w:val="center"/>
            </w:pPr>
            <w:r>
              <w:rPr>
                <w:sz w:val="18"/>
              </w:rPr>
              <w:t>N/A</w:t>
            </w:r>
          </w:p>
        </w:tc>
        <w:tc>
          <w:tcPr>
            <w:tcW w:w="900" w:type="dxa"/>
            <w:tcBorders>
              <w:top w:val="single" w:sz="4" w:space="0" w:color="000000"/>
              <w:left w:val="single" w:sz="12" w:space="0" w:color="000000"/>
              <w:bottom w:val="single" w:sz="4" w:space="0" w:color="000000"/>
              <w:right w:val="single" w:sz="12" w:space="0" w:color="000000"/>
            </w:tcBorders>
          </w:tcPr>
          <w:p w14:paraId="249EE2C9" w14:textId="5BE2C181" w:rsidR="00B0429D" w:rsidRDefault="00B0429D" w:rsidP="006F4EE2">
            <w:pPr>
              <w:spacing w:after="0" w:line="259" w:lineRule="auto"/>
              <w:ind w:left="0" w:right="16" w:firstLine="0"/>
              <w:jc w:val="center"/>
            </w:pPr>
            <w:r>
              <w:rPr>
                <w:sz w:val="18"/>
              </w:rPr>
              <w:t>N/A</w:t>
            </w:r>
          </w:p>
        </w:tc>
        <w:tc>
          <w:tcPr>
            <w:tcW w:w="1030" w:type="dxa"/>
            <w:tcBorders>
              <w:top w:val="single" w:sz="4" w:space="0" w:color="000000"/>
              <w:left w:val="single" w:sz="12" w:space="0" w:color="000000"/>
              <w:bottom w:val="single" w:sz="4" w:space="0" w:color="000000"/>
              <w:right w:val="single" w:sz="12" w:space="0" w:color="000000"/>
            </w:tcBorders>
          </w:tcPr>
          <w:p w14:paraId="7E6F1208" w14:textId="25265DE9" w:rsidR="00B0429D" w:rsidRDefault="00B0429D" w:rsidP="006F4EE2">
            <w:pPr>
              <w:spacing w:after="0" w:line="259" w:lineRule="auto"/>
              <w:ind w:left="0" w:right="19" w:firstLine="0"/>
              <w:jc w:val="center"/>
            </w:pPr>
            <w:r>
              <w:rPr>
                <w:b/>
                <w:sz w:val="18"/>
              </w:rPr>
              <w:t>524.2</w:t>
            </w:r>
          </w:p>
        </w:tc>
        <w:tc>
          <w:tcPr>
            <w:tcW w:w="950" w:type="dxa"/>
            <w:tcBorders>
              <w:top w:val="single" w:sz="4" w:space="0" w:color="000000"/>
              <w:left w:val="single" w:sz="12" w:space="0" w:color="000000"/>
              <w:bottom w:val="single" w:sz="4" w:space="0" w:color="000000"/>
              <w:right w:val="single" w:sz="12" w:space="0" w:color="000000"/>
            </w:tcBorders>
          </w:tcPr>
          <w:p w14:paraId="0613CC06" w14:textId="4BED8AA3" w:rsidR="00B0429D" w:rsidRDefault="00B0429D" w:rsidP="006F4EE2">
            <w:pPr>
              <w:spacing w:after="0" w:line="259" w:lineRule="auto"/>
              <w:ind w:left="0" w:right="16" w:firstLine="0"/>
              <w:jc w:val="center"/>
            </w:pPr>
            <w:r>
              <w:rPr>
                <w:sz w:val="18"/>
              </w:rPr>
              <w:t>502.2</w:t>
            </w:r>
          </w:p>
        </w:tc>
      </w:tr>
      <w:tr w:rsidR="00B0429D" w14:paraId="2B17D8E7" w14:textId="77777777" w:rsidTr="00C23B62">
        <w:trPr>
          <w:trHeight w:val="250"/>
        </w:trPr>
        <w:tc>
          <w:tcPr>
            <w:tcW w:w="3448" w:type="dxa"/>
            <w:tcBorders>
              <w:top w:val="single" w:sz="4" w:space="0" w:color="000000"/>
              <w:left w:val="single" w:sz="12" w:space="0" w:color="000000"/>
              <w:bottom w:val="single" w:sz="4" w:space="0" w:color="000000"/>
              <w:right w:val="single" w:sz="12" w:space="0" w:color="000000"/>
            </w:tcBorders>
          </w:tcPr>
          <w:p w14:paraId="0A97C3D8" w14:textId="77777777" w:rsidR="00B0429D" w:rsidRDefault="00B0429D" w:rsidP="00B0429D">
            <w:pPr>
              <w:spacing w:after="0" w:line="259" w:lineRule="auto"/>
              <w:ind w:left="29" w:right="0" w:firstLine="0"/>
            </w:pPr>
            <w:r>
              <w:rPr>
                <w:sz w:val="18"/>
              </w:rPr>
              <w:t xml:space="preserve">1,2,4-Trimethylbenzene </w:t>
            </w:r>
          </w:p>
        </w:tc>
        <w:tc>
          <w:tcPr>
            <w:tcW w:w="1232" w:type="dxa"/>
            <w:tcBorders>
              <w:top w:val="single" w:sz="4" w:space="0" w:color="000000"/>
              <w:left w:val="single" w:sz="12" w:space="0" w:color="000000"/>
              <w:bottom w:val="single" w:sz="4" w:space="0" w:color="000000"/>
              <w:right w:val="single" w:sz="12" w:space="0" w:color="000000"/>
            </w:tcBorders>
          </w:tcPr>
          <w:p w14:paraId="7B40F947" w14:textId="72EC64A1" w:rsidR="00B0429D" w:rsidRDefault="00B0429D" w:rsidP="006F4EE2">
            <w:pPr>
              <w:spacing w:after="0" w:line="259" w:lineRule="auto"/>
              <w:ind w:left="0" w:right="44" w:firstLine="0"/>
              <w:jc w:val="center"/>
            </w:pPr>
            <w:r>
              <w:rPr>
                <w:sz w:val="18"/>
              </w:rPr>
              <w:t>95-63-6</w:t>
            </w:r>
          </w:p>
        </w:tc>
        <w:tc>
          <w:tcPr>
            <w:tcW w:w="1062" w:type="dxa"/>
            <w:tcBorders>
              <w:top w:val="single" w:sz="4" w:space="0" w:color="000000"/>
              <w:left w:val="single" w:sz="12" w:space="0" w:color="000000"/>
              <w:bottom w:val="single" w:sz="4" w:space="0" w:color="000000"/>
              <w:right w:val="single" w:sz="12" w:space="0" w:color="000000"/>
            </w:tcBorders>
          </w:tcPr>
          <w:p w14:paraId="06A80166" w14:textId="71DD7763" w:rsidR="00B0429D" w:rsidRDefault="00B0429D" w:rsidP="006F4EE2">
            <w:pPr>
              <w:tabs>
                <w:tab w:val="center" w:pos="562"/>
              </w:tabs>
              <w:spacing w:after="0" w:line="259" w:lineRule="auto"/>
              <w:ind w:left="0" w:right="0" w:firstLine="0"/>
              <w:jc w:val="center"/>
            </w:pPr>
            <w:r>
              <w:rPr>
                <w:sz w:val="18"/>
              </w:rPr>
              <w:t>1</w:t>
            </w:r>
          </w:p>
        </w:tc>
        <w:tc>
          <w:tcPr>
            <w:tcW w:w="973" w:type="dxa"/>
            <w:tcBorders>
              <w:top w:val="single" w:sz="4" w:space="0" w:color="000000"/>
              <w:left w:val="single" w:sz="12" w:space="0" w:color="000000"/>
              <w:bottom w:val="single" w:sz="4" w:space="0" w:color="000000"/>
              <w:right w:val="single" w:sz="12" w:space="0" w:color="000000"/>
            </w:tcBorders>
          </w:tcPr>
          <w:p w14:paraId="764A490B" w14:textId="5839F764" w:rsidR="00B0429D" w:rsidRDefault="00B0429D" w:rsidP="006F4EE2">
            <w:pPr>
              <w:spacing w:after="0" w:line="259" w:lineRule="auto"/>
              <w:ind w:left="0" w:right="20" w:firstLine="0"/>
              <w:jc w:val="center"/>
            </w:pPr>
            <w:r>
              <w:rPr>
                <w:sz w:val="18"/>
              </w:rPr>
              <w:t>ug/L</w:t>
            </w:r>
          </w:p>
        </w:tc>
        <w:tc>
          <w:tcPr>
            <w:tcW w:w="935" w:type="dxa"/>
            <w:tcBorders>
              <w:top w:val="single" w:sz="4" w:space="0" w:color="000000"/>
              <w:left w:val="single" w:sz="12" w:space="0" w:color="000000"/>
              <w:bottom w:val="single" w:sz="4" w:space="0" w:color="000000"/>
              <w:right w:val="single" w:sz="12" w:space="0" w:color="000000"/>
            </w:tcBorders>
          </w:tcPr>
          <w:p w14:paraId="1AE12488" w14:textId="42D49CDB" w:rsidR="00B0429D" w:rsidRDefault="00B0429D" w:rsidP="006F4EE2">
            <w:pPr>
              <w:spacing w:after="0" w:line="259" w:lineRule="auto"/>
              <w:ind w:left="0" w:right="16" w:firstLine="0"/>
              <w:jc w:val="center"/>
            </w:pPr>
            <w:r>
              <w:rPr>
                <w:sz w:val="18"/>
              </w:rPr>
              <w:t>N/A</w:t>
            </w:r>
          </w:p>
        </w:tc>
        <w:tc>
          <w:tcPr>
            <w:tcW w:w="900" w:type="dxa"/>
            <w:tcBorders>
              <w:top w:val="single" w:sz="4" w:space="0" w:color="000000"/>
              <w:left w:val="single" w:sz="12" w:space="0" w:color="000000"/>
              <w:bottom w:val="single" w:sz="4" w:space="0" w:color="000000"/>
              <w:right w:val="single" w:sz="12" w:space="0" w:color="000000"/>
            </w:tcBorders>
          </w:tcPr>
          <w:p w14:paraId="4A4340DC" w14:textId="71925C1E" w:rsidR="00B0429D" w:rsidRDefault="00B0429D" w:rsidP="006F4EE2">
            <w:pPr>
              <w:spacing w:after="0" w:line="259" w:lineRule="auto"/>
              <w:ind w:left="0" w:right="16" w:firstLine="0"/>
              <w:jc w:val="center"/>
            </w:pPr>
            <w:r>
              <w:rPr>
                <w:sz w:val="18"/>
              </w:rPr>
              <w:t>N/A</w:t>
            </w:r>
          </w:p>
        </w:tc>
        <w:tc>
          <w:tcPr>
            <w:tcW w:w="1030" w:type="dxa"/>
            <w:tcBorders>
              <w:top w:val="single" w:sz="4" w:space="0" w:color="000000"/>
              <w:left w:val="single" w:sz="12" w:space="0" w:color="000000"/>
              <w:bottom w:val="single" w:sz="4" w:space="0" w:color="000000"/>
              <w:right w:val="single" w:sz="12" w:space="0" w:color="000000"/>
            </w:tcBorders>
          </w:tcPr>
          <w:p w14:paraId="111C0E64" w14:textId="16E4CD95" w:rsidR="00B0429D" w:rsidRDefault="00B0429D" w:rsidP="006F4EE2">
            <w:pPr>
              <w:spacing w:after="0" w:line="259" w:lineRule="auto"/>
              <w:ind w:left="0" w:right="19" w:firstLine="0"/>
              <w:jc w:val="center"/>
            </w:pPr>
            <w:r>
              <w:rPr>
                <w:b/>
                <w:sz w:val="18"/>
              </w:rPr>
              <w:t>524.2</w:t>
            </w:r>
          </w:p>
        </w:tc>
        <w:tc>
          <w:tcPr>
            <w:tcW w:w="950" w:type="dxa"/>
            <w:tcBorders>
              <w:top w:val="single" w:sz="4" w:space="0" w:color="000000"/>
              <w:left w:val="single" w:sz="12" w:space="0" w:color="000000"/>
              <w:bottom w:val="single" w:sz="4" w:space="0" w:color="000000"/>
              <w:right w:val="single" w:sz="12" w:space="0" w:color="000000"/>
            </w:tcBorders>
          </w:tcPr>
          <w:p w14:paraId="7C60DD54" w14:textId="62AF8925" w:rsidR="00B0429D" w:rsidRDefault="00B0429D" w:rsidP="006F4EE2">
            <w:pPr>
              <w:spacing w:after="0" w:line="259" w:lineRule="auto"/>
              <w:ind w:left="0" w:right="16" w:firstLine="0"/>
              <w:jc w:val="center"/>
            </w:pPr>
            <w:r>
              <w:rPr>
                <w:sz w:val="18"/>
              </w:rPr>
              <w:t>502.2</w:t>
            </w:r>
          </w:p>
        </w:tc>
      </w:tr>
      <w:tr w:rsidR="00B0429D" w14:paraId="05622243" w14:textId="77777777" w:rsidTr="00C23B62">
        <w:trPr>
          <w:trHeight w:val="250"/>
        </w:trPr>
        <w:tc>
          <w:tcPr>
            <w:tcW w:w="3448" w:type="dxa"/>
            <w:tcBorders>
              <w:top w:val="single" w:sz="4" w:space="0" w:color="000000"/>
              <w:left w:val="single" w:sz="12" w:space="0" w:color="000000"/>
              <w:bottom w:val="single" w:sz="4" w:space="0" w:color="000000"/>
              <w:right w:val="single" w:sz="12" w:space="0" w:color="000000"/>
            </w:tcBorders>
          </w:tcPr>
          <w:p w14:paraId="4CE8D349" w14:textId="77777777" w:rsidR="00B0429D" w:rsidRDefault="00B0429D" w:rsidP="00B0429D">
            <w:pPr>
              <w:spacing w:after="0" w:line="259" w:lineRule="auto"/>
              <w:ind w:left="29" w:right="0" w:firstLine="0"/>
            </w:pPr>
            <w:r>
              <w:rPr>
                <w:sz w:val="18"/>
              </w:rPr>
              <w:t xml:space="preserve">1,3,5-Trimethylbenzene </w:t>
            </w:r>
          </w:p>
        </w:tc>
        <w:tc>
          <w:tcPr>
            <w:tcW w:w="1232" w:type="dxa"/>
            <w:tcBorders>
              <w:top w:val="single" w:sz="4" w:space="0" w:color="000000"/>
              <w:left w:val="single" w:sz="12" w:space="0" w:color="000000"/>
              <w:bottom w:val="single" w:sz="4" w:space="0" w:color="000000"/>
              <w:right w:val="single" w:sz="12" w:space="0" w:color="000000"/>
            </w:tcBorders>
          </w:tcPr>
          <w:p w14:paraId="1AFE684B" w14:textId="032D3D3E" w:rsidR="00B0429D" w:rsidRDefault="00B0429D" w:rsidP="006F4EE2">
            <w:pPr>
              <w:spacing w:after="0" w:line="259" w:lineRule="auto"/>
              <w:ind w:left="0" w:right="44" w:firstLine="0"/>
              <w:jc w:val="center"/>
            </w:pPr>
            <w:r>
              <w:rPr>
                <w:sz w:val="18"/>
              </w:rPr>
              <w:t>108-67-8</w:t>
            </w:r>
          </w:p>
        </w:tc>
        <w:tc>
          <w:tcPr>
            <w:tcW w:w="1062" w:type="dxa"/>
            <w:tcBorders>
              <w:top w:val="single" w:sz="4" w:space="0" w:color="000000"/>
              <w:left w:val="single" w:sz="12" w:space="0" w:color="000000"/>
              <w:bottom w:val="single" w:sz="4" w:space="0" w:color="000000"/>
              <w:right w:val="single" w:sz="12" w:space="0" w:color="000000"/>
            </w:tcBorders>
          </w:tcPr>
          <w:p w14:paraId="2CF3D7BE" w14:textId="79931D1B" w:rsidR="00B0429D" w:rsidRDefault="00B0429D" w:rsidP="006F4EE2">
            <w:pPr>
              <w:tabs>
                <w:tab w:val="center" w:pos="562"/>
              </w:tabs>
              <w:spacing w:after="0" w:line="259" w:lineRule="auto"/>
              <w:ind w:left="0" w:right="0" w:firstLine="0"/>
              <w:jc w:val="center"/>
            </w:pPr>
            <w:r>
              <w:rPr>
                <w:sz w:val="18"/>
              </w:rPr>
              <w:t>1</w:t>
            </w:r>
          </w:p>
        </w:tc>
        <w:tc>
          <w:tcPr>
            <w:tcW w:w="973" w:type="dxa"/>
            <w:tcBorders>
              <w:top w:val="single" w:sz="4" w:space="0" w:color="000000"/>
              <w:left w:val="single" w:sz="12" w:space="0" w:color="000000"/>
              <w:bottom w:val="single" w:sz="4" w:space="0" w:color="000000"/>
              <w:right w:val="single" w:sz="12" w:space="0" w:color="000000"/>
            </w:tcBorders>
          </w:tcPr>
          <w:p w14:paraId="21A86D57" w14:textId="1BD08DBF" w:rsidR="00B0429D" w:rsidRDefault="00B0429D" w:rsidP="006F4EE2">
            <w:pPr>
              <w:spacing w:after="0" w:line="259" w:lineRule="auto"/>
              <w:ind w:left="0" w:right="20" w:firstLine="0"/>
              <w:jc w:val="center"/>
            </w:pPr>
            <w:r>
              <w:rPr>
                <w:sz w:val="18"/>
              </w:rPr>
              <w:t>ug/L</w:t>
            </w:r>
          </w:p>
        </w:tc>
        <w:tc>
          <w:tcPr>
            <w:tcW w:w="935" w:type="dxa"/>
            <w:tcBorders>
              <w:top w:val="single" w:sz="4" w:space="0" w:color="000000"/>
              <w:left w:val="single" w:sz="12" w:space="0" w:color="000000"/>
              <w:bottom w:val="single" w:sz="4" w:space="0" w:color="000000"/>
              <w:right w:val="single" w:sz="12" w:space="0" w:color="000000"/>
            </w:tcBorders>
          </w:tcPr>
          <w:p w14:paraId="557769DC" w14:textId="2ADAA963" w:rsidR="00B0429D" w:rsidRDefault="00B0429D" w:rsidP="006F4EE2">
            <w:pPr>
              <w:spacing w:after="0" w:line="259" w:lineRule="auto"/>
              <w:ind w:left="0" w:right="16" w:firstLine="0"/>
              <w:jc w:val="center"/>
            </w:pPr>
            <w:r>
              <w:rPr>
                <w:sz w:val="18"/>
              </w:rPr>
              <w:t>N/A</w:t>
            </w:r>
          </w:p>
        </w:tc>
        <w:tc>
          <w:tcPr>
            <w:tcW w:w="900" w:type="dxa"/>
            <w:tcBorders>
              <w:top w:val="single" w:sz="4" w:space="0" w:color="000000"/>
              <w:left w:val="single" w:sz="12" w:space="0" w:color="000000"/>
              <w:bottom w:val="single" w:sz="4" w:space="0" w:color="000000"/>
              <w:right w:val="single" w:sz="12" w:space="0" w:color="000000"/>
            </w:tcBorders>
          </w:tcPr>
          <w:p w14:paraId="61251328" w14:textId="21A0FC01" w:rsidR="00B0429D" w:rsidRDefault="00B0429D" w:rsidP="006F4EE2">
            <w:pPr>
              <w:spacing w:after="0" w:line="259" w:lineRule="auto"/>
              <w:ind w:left="0" w:right="16" w:firstLine="0"/>
              <w:jc w:val="center"/>
            </w:pPr>
            <w:r>
              <w:rPr>
                <w:sz w:val="18"/>
              </w:rPr>
              <w:t>N/A</w:t>
            </w:r>
          </w:p>
        </w:tc>
        <w:tc>
          <w:tcPr>
            <w:tcW w:w="1030" w:type="dxa"/>
            <w:tcBorders>
              <w:top w:val="single" w:sz="4" w:space="0" w:color="000000"/>
              <w:left w:val="single" w:sz="12" w:space="0" w:color="000000"/>
              <w:bottom w:val="single" w:sz="4" w:space="0" w:color="000000"/>
              <w:right w:val="single" w:sz="12" w:space="0" w:color="000000"/>
            </w:tcBorders>
          </w:tcPr>
          <w:p w14:paraId="665CD77F" w14:textId="37F07F51" w:rsidR="00B0429D" w:rsidRDefault="00B0429D" w:rsidP="006F4EE2">
            <w:pPr>
              <w:spacing w:after="0" w:line="259" w:lineRule="auto"/>
              <w:ind w:left="0" w:right="19" w:firstLine="0"/>
              <w:jc w:val="center"/>
            </w:pPr>
            <w:r>
              <w:rPr>
                <w:b/>
                <w:sz w:val="18"/>
              </w:rPr>
              <w:t>524.2</w:t>
            </w:r>
          </w:p>
        </w:tc>
        <w:tc>
          <w:tcPr>
            <w:tcW w:w="950" w:type="dxa"/>
            <w:tcBorders>
              <w:top w:val="single" w:sz="4" w:space="0" w:color="000000"/>
              <w:left w:val="single" w:sz="12" w:space="0" w:color="000000"/>
              <w:bottom w:val="single" w:sz="4" w:space="0" w:color="000000"/>
              <w:right w:val="single" w:sz="12" w:space="0" w:color="000000"/>
            </w:tcBorders>
          </w:tcPr>
          <w:p w14:paraId="12C4078B" w14:textId="20510ECF" w:rsidR="00B0429D" w:rsidRDefault="00B0429D" w:rsidP="006F4EE2">
            <w:pPr>
              <w:spacing w:after="0" w:line="259" w:lineRule="auto"/>
              <w:ind w:left="0" w:right="16" w:firstLine="0"/>
              <w:jc w:val="center"/>
            </w:pPr>
            <w:r>
              <w:rPr>
                <w:sz w:val="18"/>
              </w:rPr>
              <w:t>502.2</w:t>
            </w:r>
          </w:p>
        </w:tc>
      </w:tr>
      <w:tr w:rsidR="00B0429D" w14:paraId="23CC88D1" w14:textId="77777777" w:rsidTr="00C23B62">
        <w:trPr>
          <w:trHeight w:val="250"/>
        </w:trPr>
        <w:tc>
          <w:tcPr>
            <w:tcW w:w="3448" w:type="dxa"/>
            <w:tcBorders>
              <w:top w:val="single" w:sz="4" w:space="0" w:color="000000"/>
              <w:left w:val="single" w:sz="12" w:space="0" w:color="000000"/>
              <w:bottom w:val="single" w:sz="4" w:space="0" w:color="000000"/>
              <w:right w:val="single" w:sz="12" w:space="0" w:color="000000"/>
            </w:tcBorders>
          </w:tcPr>
          <w:p w14:paraId="20C911C0" w14:textId="77777777" w:rsidR="00B0429D" w:rsidRDefault="00B0429D" w:rsidP="00B0429D">
            <w:pPr>
              <w:spacing w:after="0" w:line="259" w:lineRule="auto"/>
              <w:ind w:left="29" w:right="0" w:firstLine="0"/>
            </w:pPr>
            <w:r>
              <w:rPr>
                <w:sz w:val="18"/>
              </w:rPr>
              <w:t xml:space="preserve">Vinyl chloride </w:t>
            </w:r>
          </w:p>
        </w:tc>
        <w:tc>
          <w:tcPr>
            <w:tcW w:w="1232" w:type="dxa"/>
            <w:tcBorders>
              <w:top w:val="single" w:sz="4" w:space="0" w:color="000000"/>
              <w:left w:val="single" w:sz="12" w:space="0" w:color="000000"/>
              <w:bottom w:val="single" w:sz="4" w:space="0" w:color="000000"/>
              <w:right w:val="single" w:sz="12" w:space="0" w:color="000000"/>
            </w:tcBorders>
          </w:tcPr>
          <w:p w14:paraId="5CBAA912" w14:textId="60B1E082" w:rsidR="00B0429D" w:rsidRDefault="00B0429D" w:rsidP="006F4EE2">
            <w:pPr>
              <w:spacing w:after="0" w:line="259" w:lineRule="auto"/>
              <w:ind w:left="0" w:right="44" w:firstLine="0"/>
              <w:jc w:val="center"/>
            </w:pPr>
            <w:r>
              <w:rPr>
                <w:sz w:val="18"/>
              </w:rPr>
              <w:t>75-01-4</w:t>
            </w:r>
          </w:p>
        </w:tc>
        <w:tc>
          <w:tcPr>
            <w:tcW w:w="1062" w:type="dxa"/>
            <w:tcBorders>
              <w:top w:val="single" w:sz="4" w:space="0" w:color="000000"/>
              <w:left w:val="single" w:sz="12" w:space="0" w:color="000000"/>
              <w:bottom w:val="single" w:sz="4" w:space="0" w:color="000000"/>
              <w:right w:val="single" w:sz="12" w:space="0" w:color="000000"/>
            </w:tcBorders>
          </w:tcPr>
          <w:p w14:paraId="7FF50BD3" w14:textId="22FEB5BE" w:rsidR="00B0429D" w:rsidRDefault="00B0429D" w:rsidP="006F4EE2">
            <w:pPr>
              <w:tabs>
                <w:tab w:val="center" w:pos="608"/>
              </w:tabs>
              <w:spacing w:after="0" w:line="259" w:lineRule="auto"/>
              <w:ind w:left="0" w:right="0" w:firstLine="0"/>
              <w:jc w:val="center"/>
            </w:pPr>
            <w:r>
              <w:rPr>
                <w:sz w:val="18"/>
              </w:rPr>
              <w:t>0.5</w:t>
            </w:r>
          </w:p>
        </w:tc>
        <w:tc>
          <w:tcPr>
            <w:tcW w:w="973" w:type="dxa"/>
            <w:tcBorders>
              <w:top w:val="single" w:sz="4" w:space="0" w:color="000000"/>
              <w:left w:val="single" w:sz="12" w:space="0" w:color="000000"/>
              <w:bottom w:val="single" w:sz="4" w:space="0" w:color="000000"/>
              <w:right w:val="single" w:sz="12" w:space="0" w:color="000000"/>
            </w:tcBorders>
          </w:tcPr>
          <w:p w14:paraId="76D39A41" w14:textId="208EFDB0" w:rsidR="00B0429D" w:rsidRDefault="00B0429D" w:rsidP="006F4EE2">
            <w:pPr>
              <w:spacing w:after="0" w:line="259" w:lineRule="auto"/>
              <w:ind w:left="0" w:right="20" w:firstLine="0"/>
              <w:jc w:val="center"/>
            </w:pPr>
            <w:r>
              <w:rPr>
                <w:sz w:val="18"/>
              </w:rPr>
              <w:t>ug/L</w:t>
            </w:r>
          </w:p>
        </w:tc>
        <w:tc>
          <w:tcPr>
            <w:tcW w:w="935" w:type="dxa"/>
            <w:tcBorders>
              <w:top w:val="single" w:sz="4" w:space="0" w:color="000000"/>
              <w:left w:val="single" w:sz="12" w:space="0" w:color="000000"/>
              <w:bottom w:val="single" w:sz="4" w:space="0" w:color="000000"/>
              <w:right w:val="single" w:sz="12" w:space="0" w:color="000000"/>
            </w:tcBorders>
          </w:tcPr>
          <w:p w14:paraId="2ED1B284" w14:textId="28A6FD3D" w:rsidR="00B0429D" w:rsidRDefault="00B0429D" w:rsidP="006F4EE2">
            <w:pPr>
              <w:spacing w:after="0" w:line="259" w:lineRule="auto"/>
              <w:ind w:left="0" w:right="16" w:firstLine="0"/>
              <w:jc w:val="center"/>
            </w:pPr>
            <w:r>
              <w:rPr>
                <w:sz w:val="18"/>
              </w:rPr>
              <w:t>N/A</w:t>
            </w:r>
          </w:p>
        </w:tc>
        <w:tc>
          <w:tcPr>
            <w:tcW w:w="900" w:type="dxa"/>
            <w:tcBorders>
              <w:top w:val="single" w:sz="4" w:space="0" w:color="000000"/>
              <w:left w:val="single" w:sz="12" w:space="0" w:color="000000"/>
              <w:bottom w:val="single" w:sz="4" w:space="0" w:color="000000"/>
              <w:right w:val="single" w:sz="12" w:space="0" w:color="000000"/>
            </w:tcBorders>
          </w:tcPr>
          <w:p w14:paraId="3DBA3204" w14:textId="294DDEC2" w:rsidR="00B0429D" w:rsidRDefault="00B0429D" w:rsidP="006F4EE2">
            <w:pPr>
              <w:spacing w:after="0" w:line="259" w:lineRule="auto"/>
              <w:ind w:left="0" w:right="16" w:firstLine="0"/>
              <w:jc w:val="center"/>
            </w:pPr>
            <w:r>
              <w:rPr>
                <w:sz w:val="18"/>
              </w:rPr>
              <w:t>N/A</w:t>
            </w:r>
          </w:p>
        </w:tc>
        <w:tc>
          <w:tcPr>
            <w:tcW w:w="1030" w:type="dxa"/>
            <w:tcBorders>
              <w:top w:val="single" w:sz="4" w:space="0" w:color="000000"/>
              <w:left w:val="single" w:sz="12" w:space="0" w:color="000000"/>
              <w:bottom w:val="single" w:sz="4" w:space="0" w:color="000000"/>
              <w:right w:val="single" w:sz="12" w:space="0" w:color="000000"/>
            </w:tcBorders>
          </w:tcPr>
          <w:p w14:paraId="2B1DA8E8" w14:textId="2B678AE6" w:rsidR="00B0429D" w:rsidRDefault="00B0429D" w:rsidP="006F4EE2">
            <w:pPr>
              <w:spacing w:after="0" w:line="259" w:lineRule="auto"/>
              <w:ind w:left="0" w:right="19" w:firstLine="0"/>
              <w:jc w:val="center"/>
            </w:pPr>
            <w:r>
              <w:rPr>
                <w:b/>
                <w:sz w:val="18"/>
              </w:rPr>
              <w:t>524.2</w:t>
            </w:r>
          </w:p>
        </w:tc>
        <w:tc>
          <w:tcPr>
            <w:tcW w:w="950" w:type="dxa"/>
            <w:tcBorders>
              <w:top w:val="single" w:sz="4" w:space="0" w:color="000000"/>
              <w:left w:val="single" w:sz="12" w:space="0" w:color="000000"/>
              <w:bottom w:val="single" w:sz="4" w:space="0" w:color="000000"/>
              <w:right w:val="single" w:sz="12" w:space="0" w:color="000000"/>
            </w:tcBorders>
          </w:tcPr>
          <w:p w14:paraId="2BE5A3E0" w14:textId="3E486BE7" w:rsidR="00B0429D" w:rsidRDefault="00B0429D" w:rsidP="006F4EE2">
            <w:pPr>
              <w:spacing w:after="0" w:line="259" w:lineRule="auto"/>
              <w:ind w:left="0" w:right="16" w:firstLine="0"/>
              <w:jc w:val="center"/>
            </w:pPr>
            <w:r>
              <w:rPr>
                <w:sz w:val="18"/>
              </w:rPr>
              <w:t>502.2</w:t>
            </w:r>
          </w:p>
        </w:tc>
      </w:tr>
      <w:tr w:rsidR="00B0429D" w14:paraId="75A3A6C5" w14:textId="77777777" w:rsidTr="00C23B62">
        <w:trPr>
          <w:trHeight w:val="252"/>
        </w:trPr>
        <w:tc>
          <w:tcPr>
            <w:tcW w:w="3448" w:type="dxa"/>
            <w:tcBorders>
              <w:top w:val="single" w:sz="4" w:space="0" w:color="000000"/>
              <w:left w:val="single" w:sz="12" w:space="0" w:color="000000"/>
              <w:bottom w:val="single" w:sz="4" w:space="0" w:color="000000"/>
              <w:right w:val="single" w:sz="12" w:space="0" w:color="000000"/>
            </w:tcBorders>
          </w:tcPr>
          <w:p w14:paraId="78A9757E" w14:textId="77777777" w:rsidR="00B0429D" w:rsidRDefault="00B0429D" w:rsidP="00B0429D">
            <w:pPr>
              <w:spacing w:after="0" w:line="259" w:lineRule="auto"/>
              <w:ind w:left="29" w:right="0" w:firstLine="0"/>
            </w:pPr>
            <w:r>
              <w:rPr>
                <w:sz w:val="18"/>
              </w:rPr>
              <w:t xml:space="preserve">o-Xylene </w:t>
            </w:r>
          </w:p>
        </w:tc>
        <w:tc>
          <w:tcPr>
            <w:tcW w:w="1232" w:type="dxa"/>
            <w:tcBorders>
              <w:top w:val="single" w:sz="4" w:space="0" w:color="000000"/>
              <w:left w:val="single" w:sz="12" w:space="0" w:color="000000"/>
              <w:bottom w:val="single" w:sz="4" w:space="0" w:color="000000"/>
              <w:right w:val="single" w:sz="12" w:space="0" w:color="000000"/>
            </w:tcBorders>
          </w:tcPr>
          <w:p w14:paraId="180D4C20" w14:textId="7B60484B" w:rsidR="00B0429D" w:rsidRDefault="00B0429D" w:rsidP="006F4EE2">
            <w:pPr>
              <w:spacing w:after="0" w:line="259" w:lineRule="auto"/>
              <w:ind w:left="0" w:right="44" w:firstLine="0"/>
              <w:jc w:val="center"/>
            </w:pPr>
            <w:r>
              <w:rPr>
                <w:sz w:val="18"/>
              </w:rPr>
              <w:t>95-47-6</w:t>
            </w:r>
          </w:p>
        </w:tc>
        <w:tc>
          <w:tcPr>
            <w:tcW w:w="1062" w:type="dxa"/>
            <w:tcBorders>
              <w:top w:val="single" w:sz="4" w:space="0" w:color="000000"/>
              <w:left w:val="single" w:sz="12" w:space="0" w:color="000000"/>
              <w:bottom w:val="single" w:sz="4" w:space="0" w:color="000000"/>
              <w:right w:val="single" w:sz="12" w:space="0" w:color="000000"/>
            </w:tcBorders>
          </w:tcPr>
          <w:p w14:paraId="512E2A16" w14:textId="37C25B1C" w:rsidR="00B0429D" w:rsidRDefault="00B0429D" w:rsidP="006F4EE2">
            <w:pPr>
              <w:tabs>
                <w:tab w:val="center" w:pos="608"/>
              </w:tabs>
              <w:spacing w:after="0" w:line="259" w:lineRule="auto"/>
              <w:ind w:left="0" w:right="0" w:firstLine="0"/>
              <w:jc w:val="center"/>
            </w:pPr>
            <w:r>
              <w:rPr>
                <w:sz w:val="18"/>
              </w:rPr>
              <w:t>0.5</w:t>
            </w:r>
          </w:p>
        </w:tc>
        <w:tc>
          <w:tcPr>
            <w:tcW w:w="973" w:type="dxa"/>
            <w:tcBorders>
              <w:top w:val="single" w:sz="4" w:space="0" w:color="000000"/>
              <w:left w:val="single" w:sz="12" w:space="0" w:color="000000"/>
              <w:bottom w:val="single" w:sz="4" w:space="0" w:color="000000"/>
              <w:right w:val="single" w:sz="12" w:space="0" w:color="000000"/>
            </w:tcBorders>
          </w:tcPr>
          <w:p w14:paraId="73116C40" w14:textId="362E105F" w:rsidR="00B0429D" w:rsidRDefault="00B0429D" w:rsidP="006F4EE2">
            <w:pPr>
              <w:spacing w:after="0" w:line="259" w:lineRule="auto"/>
              <w:ind w:left="0" w:right="20" w:firstLine="0"/>
              <w:jc w:val="center"/>
            </w:pPr>
            <w:r>
              <w:rPr>
                <w:sz w:val="18"/>
              </w:rPr>
              <w:t>ug/L</w:t>
            </w:r>
          </w:p>
        </w:tc>
        <w:tc>
          <w:tcPr>
            <w:tcW w:w="935" w:type="dxa"/>
            <w:tcBorders>
              <w:top w:val="single" w:sz="4" w:space="0" w:color="000000"/>
              <w:left w:val="single" w:sz="12" w:space="0" w:color="000000"/>
              <w:bottom w:val="single" w:sz="4" w:space="0" w:color="000000"/>
              <w:right w:val="single" w:sz="12" w:space="0" w:color="000000"/>
            </w:tcBorders>
          </w:tcPr>
          <w:p w14:paraId="7E72C06B" w14:textId="2036E621" w:rsidR="00B0429D" w:rsidRDefault="00B0429D" w:rsidP="006F4EE2">
            <w:pPr>
              <w:spacing w:after="0" w:line="259" w:lineRule="auto"/>
              <w:ind w:left="0" w:right="16" w:firstLine="0"/>
              <w:jc w:val="center"/>
            </w:pPr>
            <w:r>
              <w:rPr>
                <w:sz w:val="18"/>
              </w:rPr>
              <w:t>N/A</w:t>
            </w:r>
          </w:p>
        </w:tc>
        <w:tc>
          <w:tcPr>
            <w:tcW w:w="900" w:type="dxa"/>
            <w:tcBorders>
              <w:top w:val="single" w:sz="4" w:space="0" w:color="000000"/>
              <w:left w:val="single" w:sz="12" w:space="0" w:color="000000"/>
              <w:bottom w:val="single" w:sz="4" w:space="0" w:color="000000"/>
              <w:right w:val="single" w:sz="12" w:space="0" w:color="000000"/>
            </w:tcBorders>
          </w:tcPr>
          <w:p w14:paraId="134CBBBD" w14:textId="75273CC1" w:rsidR="00B0429D" w:rsidRDefault="00B0429D" w:rsidP="006F4EE2">
            <w:pPr>
              <w:spacing w:after="0" w:line="259" w:lineRule="auto"/>
              <w:ind w:left="0" w:right="16" w:firstLine="0"/>
              <w:jc w:val="center"/>
            </w:pPr>
            <w:r>
              <w:rPr>
                <w:sz w:val="18"/>
              </w:rPr>
              <w:t>N/A</w:t>
            </w:r>
          </w:p>
        </w:tc>
        <w:tc>
          <w:tcPr>
            <w:tcW w:w="1030" w:type="dxa"/>
            <w:tcBorders>
              <w:top w:val="single" w:sz="4" w:space="0" w:color="000000"/>
              <w:left w:val="single" w:sz="12" w:space="0" w:color="000000"/>
              <w:bottom w:val="single" w:sz="4" w:space="0" w:color="000000"/>
              <w:right w:val="single" w:sz="12" w:space="0" w:color="000000"/>
            </w:tcBorders>
          </w:tcPr>
          <w:p w14:paraId="01CB06AC" w14:textId="7D529DDD" w:rsidR="00B0429D" w:rsidRDefault="00B0429D" w:rsidP="006F4EE2">
            <w:pPr>
              <w:spacing w:after="0" w:line="259" w:lineRule="auto"/>
              <w:ind w:left="0" w:right="19" w:firstLine="0"/>
              <w:jc w:val="center"/>
            </w:pPr>
            <w:r>
              <w:rPr>
                <w:b/>
                <w:sz w:val="18"/>
              </w:rPr>
              <w:t>524.2</w:t>
            </w:r>
          </w:p>
        </w:tc>
        <w:tc>
          <w:tcPr>
            <w:tcW w:w="950" w:type="dxa"/>
            <w:tcBorders>
              <w:top w:val="single" w:sz="4" w:space="0" w:color="000000"/>
              <w:left w:val="single" w:sz="12" w:space="0" w:color="000000"/>
              <w:bottom w:val="single" w:sz="4" w:space="0" w:color="000000"/>
              <w:right w:val="single" w:sz="12" w:space="0" w:color="000000"/>
            </w:tcBorders>
          </w:tcPr>
          <w:p w14:paraId="64CBB31F" w14:textId="657F1AE6" w:rsidR="00B0429D" w:rsidRDefault="00B0429D" w:rsidP="006F4EE2">
            <w:pPr>
              <w:spacing w:after="0" w:line="259" w:lineRule="auto"/>
              <w:ind w:left="0" w:right="16" w:firstLine="0"/>
              <w:jc w:val="center"/>
            </w:pPr>
            <w:r>
              <w:rPr>
                <w:sz w:val="18"/>
              </w:rPr>
              <w:t>502.2</w:t>
            </w:r>
          </w:p>
        </w:tc>
      </w:tr>
      <w:tr w:rsidR="00B0429D" w14:paraId="72A496DF" w14:textId="77777777" w:rsidTr="00C23B62">
        <w:trPr>
          <w:trHeight w:val="250"/>
        </w:trPr>
        <w:tc>
          <w:tcPr>
            <w:tcW w:w="3448" w:type="dxa"/>
            <w:tcBorders>
              <w:top w:val="single" w:sz="4" w:space="0" w:color="000000"/>
              <w:left w:val="single" w:sz="12" w:space="0" w:color="000000"/>
              <w:bottom w:val="single" w:sz="4" w:space="0" w:color="000000"/>
              <w:right w:val="single" w:sz="12" w:space="0" w:color="000000"/>
            </w:tcBorders>
          </w:tcPr>
          <w:p w14:paraId="2241C3BC" w14:textId="77777777" w:rsidR="00B0429D" w:rsidRDefault="00B0429D" w:rsidP="00B0429D">
            <w:pPr>
              <w:spacing w:after="0" w:line="259" w:lineRule="auto"/>
              <w:ind w:left="29" w:right="0" w:firstLine="0"/>
            </w:pPr>
            <w:r>
              <w:rPr>
                <w:sz w:val="18"/>
              </w:rPr>
              <w:t xml:space="preserve">m-Xylene </w:t>
            </w:r>
          </w:p>
        </w:tc>
        <w:tc>
          <w:tcPr>
            <w:tcW w:w="1232" w:type="dxa"/>
            <w:tcBorders>
              <w:top w:val="single" w:sz="4" w:space="0" w:color="000000"/>
              <w:left w:val="single" w:sz="12" w:space="0" w:color="000000"/>
              <w:bottom w:val="single" w:sz="4" w:space="0" w:color="000000"/>
              <w:right w:val="single" w:sz="12" w:space="0" w:color="000000"/>
            </w:tcBorders>
          </w:tcPr>
          <w:p w14:paraId="4FFED9FD" w14:textId="6FE23941" w:rsidR="00B0429D" w:rsidRDefault="00B0429D" w:rsidP="006F4EE2">
            <w:pPr>
              <w:spacing w:after="0" w:line="259" w:lineRule="auto"/>
              <w:ind w:left="0" w:right="44" w:firstLine="0"/>
              <w:jc w:val="center"/>
            </w:pPr>
            <w:r>
              <w:rPr>
                <w:sz w:val="18"/>
              </w:rPr>
              <w:t>108-38-3</w:t>
            </w:r>
          </w:p>
        </w:tc>
        <w:tc>
          <w:tcPr>
            <w:tcW w:w="1062" w:type="dxa"/>
            <w:tcBorders>
              <w:top w:val="single" w:sz="4" w:space="0" w:color="000000"/>
              <w:left w:val="single" w:sz="12" w:space="0" w:color="000000"/>
              <w:bottom w:val="single" w:sz="4" w:space="0" w:color="000000"/>
              <w:right w:val="single" w:sz="12" w:space="0" w:color="000000"/>
            </w:tcBorders>
          </w:tcPr>
          <w:p w14:paraId="7EFD9ED1" w14:textId="54BB70DE" w:rsidR="00B0429D" w:rsidRDefault="00B0429D" w:rsidP="006F4EE2">
            <w:pPr>
              <w:tabs>
                <w:tab w:val="center" w:pos="608"/>
              </w:tabs>
              <w:spacing w:after="0" w:line="259" w:lineRule="auto"/>
              <w:ind w:left="0" w:right="0" w:firstLine="0"/>
              <w:jc w:val="center"/>
            </w:pPr>
            <w:r>
              <w:rPr>
                <w:sz w:val="18"/>
              </w:rPr>
              <w:t>0.5</w:t>
            </w:r>
          </w:p>
        </w:tc>
        <w:tc>
          <w:tcPr>
            <w:tcW w:w="973" w:type="dxa"/>
            <w:tcBorders>
              <w:top w:val="single" w:sz="4" w:space="0" w:color="000000"/>
              <w:left w:val="single" w:sz="12" w:space="0" w:color="000000"/>
              <w:bottom w:val="single" w:sz="4" w:space="0" w:color="000000"/>
              <w:right w:val="single" w:sz="12" w:space="0" w:color="000000"/>
            </w:tcBorders>
          </w:tcPr>
          <w:p w14:paraId="62C2A4F2" w14:textId="35E5D109" w:rsidR="00B0429D" w:rsidRDefault="00B0429D" w:rsidP="006F4EE2">
            <w:pPr>
              <w:spacing w:after="0" w:line="259" w:lineRule="auto"/>
              <w:ind w:left="0" w:right="20" w:firstLine="0"/>
              <w:jc w:val="center"/>
            </w:pPr>
            <w:r>
              <w:rPr>
                <w:sz w:val="18"/>
              </w:rPr>
              <w:t>ug/L</w:t>
            </w:r>
          </w:p>
        </w:tc>
        <w:tc>
          <w:tcPr>
            <w:tcW w:w="935" w:type="dxa"/>
            <w:tcBorders>
              <w:top w:val="single" w:sz="4" w:space="0" w:color="000000"/>
              <w:left w:val="single" w:sz="12" w:space="0" w:color="000000"/>
              <w:bottom w:val="single" w:sz="4" w:space="0" w:color="000000"/>
              <w:right w:val="single" w:sz="12" w:space="0" w:color="000000"/>
            </w:tcBorders>
          </w:tcPr>
          <w:p w14:paraId="603EBCD7" w14:textId="4C911EAF" w:rsidR="00B0429D" w:rsidRDefault="00B0429D" w:rsidP="006F4EE2">
            <w:pPr>
              <w:spacing w:after="0" w:line="259" w:lineRule="auto"/>
              <w:ind w:left="0" w:right="16" w:firstLine="0"/>
              <w:jc w:val="center"/>
            </w:pPr>
            <w:r>
              <w:rPr>
                <w:sz w:val="18"/>
              </w:rPr>
              <w:t>N/A</w:t>
            </w:r>
          </w:p>
        </w:tc>
        <w:tc>
          <w:tcPr>
            <w:tcW w:w="900" w:type="dxa"/>
            <w:tcBorders>
              <w:top w:val="single" w:sz="4" w:space="0" w:color="000000"/>
              <w:left w:val="single" w:sz="12" w:space="0" w:color="000000"/>
              <w:bottom w:val="single" w:sz="4" w:space="0" w:color="000000"/>
              <w:right w:val="single" w:sz="12" w:space="0" w:color="000000"/>
            </w:tcBorders>
          </w:tcPr>
          <w:p w14:paraId="61DF77A5" w14:textId="7653064C" w:rsidR="00B0429D" w:rsidRDefault="00B0429D" w:rsidP="006F4EE2">
            <w:pPr>
              <w:spacing w:after="0" w:line="259" w:lineRule="auto"/>
              <w:ind w:left="0" w:right="16" w:firstLine="0"/>
              <w:jc w:val="center"/>
            </w:pPr>
            <w:r>
              <w:rPr>
                <w:sz w:val="18"/>
              </w:rPr>
              <w:t>N/A</w:t>
            </w:r>
          </w:p>
        </w:tc>
        <w:tc>
          <w:tcPr>
            <w:tcW w:w="1030" w:type="dxa"/>
            <w:tcBorders>
              <w:top w:val="single" w:sz="4" w:space="0" w:color="000000"/>
              <w:left w:val="single" w:sz="12" w:space="0" w:color="000000"/>
              <w:bottom w:val="single" w:sz="4" w:space="0" w:color="000000"/>
              <w:right w:val="single" w:sz="12" w:space="0" w:color="000000"/>
            </w:tcBorders>
          </w:tcPr>
          <w:p w14:paraId="54FDD23A" w14:textId="6A2592EF" w:rsidR="00B0429D" w:rsidRDefault="00B0429D" w:rsidP="006F4EE2">
            <w:pPr>
              <w:spacing w:after="0" w:line="259" w:lineRule="auto"/>
              <w:ind w:left="0" w:right="19" w:firstLine="0"/>
              <w:jc w:val="center"/>
            </w:pPr>
            <w:r>
              <w:rPr>
                <w:b/>
                <w:sz w:val="18"/>
              </w:rPr>
              <w:t>524.2</w:t>
            </w:r>
          </w:p>
        </w:tc>
        <w:tc>
          <w:tcPr>
            <w:tcW w:w="950" w:type="dxa"/>
            <w:tcBorders>
              <w:top w:val="single" w:sz="4" w:space="0" w:color="000000"/>
              <w:left w:val="single" w:sz="12" w:space="0" w:color="000000"/>
              <w:bottom w:val="single" w:sz="4" w:space="0" w:color="000000"/>
              <w:right w:val="single" w:sz="12" w:space="0" w:color="000000"/>
            </w:tcBorders>
          </w:tcPr>
          <w:p w14:paraId="2876DA62" w14:textId="3E82C872" w:rsidR="00B0429D" w:rsidRDefault="00B0429D" w:rsidP="006F4EE2">
            <w:pPr>
              <w:spacing w:after="0" w:line="259" w:lineRule="auto"/>
              <w:ind w:left="0" w:right="16" w:firstLine="0"/>
              <w:jc w:val="center"/>
            </w:pPr>
            <w:r>
              <w:rPr>
                <w:sz w:val="18"/>
              </w:rPr>
              <w:t>502.2</w:t>
            </w:r>
          </w:p>
        </w:tc>
      </w:tr>
      <w:tr w:rsidR="00B0429D" w14:paraId="7E9584B2" w14:textId="77777777" w:rsidTr="00C23B62">
        <w:trPr>
          <w:trHeight w:val="257"/>
        </w:trPr>
        <w:tc>
          <w:tcPr>
            <w:tcW w:w="3448" w:type="dxa"/>
            <w:tcBorders>
              <w:top w:val="single" w:sz="4" w:space="0" w:color="000000"/>
              <w:left w:val="single" w:sz="12" w:space="0" w:color="000000"/>
              <w:bottom w:val="single" w:sz="12" w:space="0" w:color="000000"/>
              <w:right w:val="single" w:sz="12" w:space="0" w:color="000000"/>
            </w:tcBorders>
          </w:tcPr>
          <w:p w14:paraId="2F3CEED6" w14:textId="77777777" w:rsidR="00B0429D" w:rsidRDefault="00B0429D" w:rsidP="00B0429D">
            <w:pPr>
              <w:spacing w:after="0" w:line="259" w:lineRule="auto"/>
              <w:ind w:left="29" w:right="0" w:firstLine="0"/>
            </w:pPr>
            <w:r>
              <w:rPr>
                <w:sz w:val="18"/>
              </w:rPr>
              <w:t xml:space="preserve">p-Xylene  </w:t>
            </w:r>
          </w:p>
        </w:tc>
        <w:tc>
          <w:tcPr>
            <w:tcW w:w="1232" w:type="dxa"/>
            <w:tcBorders>
              <w:top w:val="single" w:sz="4" w:space="0" w:color="000000"/>
              <w:left w:val="single" w:sz="12" w:space="0" w:color="000000"/>
              <w:bottom w:val="single" w:sz="12" w:space="0" w:color="000000"/>
              <w:right w:val="single" w:sz="12" w:space="0" w:color="000000"/>
            </w:tcBorders>
          </w:tcPr>
          <w:p w14:paraId="4FA34B1A" w14:textId="3A508D4A" w:rsidR="00B0429D" w:rsidRDefault="00B0429D" w:rsidP="007237C2">
            <w:pPr>
              <w:spacing w:after="0" w:line="259" w:lineRule="auto"/>
              <w:ind w:left="0" w:right="44" w:firstLine="0"/>
              <w:jc w:val="center"/>
            </w:pPr>
            <w:r>
              <w:rPr>
                <w:sz w:val="18"/>
              </w:rPr>
              <w:t>106-42-3</w:t>
            </w:r>
          </w:p>
        </w:tc>
        <w:tc>
          <w:tcPr>
            <w:tcW w:w="1062" w:type="dxa"/>
            <w:tcBorders>
              <w:top w:val="single" w:sz="4" w:space="0" w:color="000000"/>
              <w:left w:val="single" w:sz="12" w:space="0" w:color="000000"/>
              <w:bottom w:val="single" w:sz="12" w:space="0" w:color="000000"/>
              <w:right w:val="single" w:sz="12" w:space="0" w:color="000000"/>
            </w:tcBorders>
          </w:tcPr>
          <w:p w14:paraId="46850999" w14:textId="3F491B7C" w:rsidR="00B0429D" w:rsidRDefault="00B0429D" w:rsidP="007237C2">
            <w:pPr>
              <w:tabs>
                <w:tab w:val="center" w:pos="608"/>
              </w:tabs>
              <w:spacing w:after="0" w:line="259" w:lineRule="auto"/>
              <w:ind w:left="0" w:right="0" w:firstLine="0"/>
              <w:jc w:val="center"/>
            </w:pPr>
            <w:r>
              <w:rPr>
                <w:sz w:val="18"/>
              </w:rPr>
              <w:t>0.5</w:t>
            </w:r>
          </w:p>
        </w:tc>
        <w:tc>
          <w:tcPr>
            <w:tcW w:w="973" w:type="dxa"/>
            <w:tcBorders>
              <w:top w:val="single" w:sz="4" w:space="0" w:color="000000"/>
              <w:left w:val="single" w:sz="12" w:space="0" w:color="000000"/>
              <w:bottom w:val="single" w:sz="12" w:space="0" w:color="000000"/>
              <w:right w:val="single" w:sz="12" w:space="0" w:color="000000"/>
            </w:tcBorders>
          </w:tcPr>
          <w:p w14:paraId="78CE14A9" w14:textId="72B04873" w:rsidR="00B0429D" w:rsidRDefault="00B0429D" w:rsidP="006F4EE2">
            <w:pPr>
              <w:spacing w:after="0" w:line="259" w:lineRule="auto"/>
              <w:ind w:left="0" w:right="20" w:firstLine="0"/>
              <w:jc w:val="center"/>
            </w:pPr>
            <w:r>
              <w:rPr>
                <w:sz w:val="18"/>
              </w:rPr>
              <w:t>ug/L</w:t>
            </w:r>
          </w:p>
        </w:tc>
        <w:tc>
          <w:tcPr>
            <w:tcW w:w="935" w:type="dxa"/>
            <w:tcBorders>
              <w:top w:val="single" w:sz="4" w:space="0" w:color="000000"/>
              <w:left w:val="single" w:sz="12" w:space="0" w:color="000000"/>
              <w:bottom w:val="single" w:sz="12" w:space="0" w:color="000000"/>
              <w:right w:val="single" w:sz="12" w:space="0" w:color="000000"/>
            </w:tcBorders>
          </w:tcPr>
          <w:p w14:paraId="14FB8EAF" w14:textId="6FD84CE6" w:rsidR="00B0429D" w:rsidRDefault="00B0429D" w:rsidP="006F4EE2">
            <w:pPr>
              <w:spacing w:after="0" w:line="259" w:lineRule="auto"/>
              <w:ind w:left="0" w:right="16" w:firstLine="0"/>
              <w:jc w:val="center"/>
            </w:pPr>
            <w:r>
              <w:rPr>
                <w:sz w:val="18"/>
              </w:rPr>
              <w:t>N/A</w:t>
            </w:r>
          </w:p>
        </w:tc>
        <w:tc>
          <w:tcPr>
            <w:tcW w:w="900" w:type="dxa"/>
            <w:tcBorders>
              <w:top w:val="single" w:sz="4" w:space="0" w:color="000000"/>
              <w:left w:val="single" w:sz="12" w:space="0" w:color="000000"/>
              <w:bottom w:val="single" w:sz="12" w:space="0" w:color="000000"/>
              <w:right w:val="single" w:sz="12" w:space="0" w:color="000000"/>
            </w:tcBorders>
          </w:tcPr>
          <w:p w14:paraId="119D89A6" w14:textId="580B0DC3" w:rsidR="00B0429D" w:rsidRDefault="00B0429D" w:rsidP="006F4EE2">
            <w:pPr>
              <w:spacing w:after="0" w:line="259" w:lineRule="auto"/>
              <w:ind w:left="0" w:right="16" w:firstLine="0"/>
              <w:jc w:val="center"/>
            </w:pPr>
            <w:r>
              <w:rPr>
                <w:sz w:val="18"/>
              </w:rPr>
              <w:t>N/A</w:t>
            </w:r>
          </w:p>
        </w:tc>
        <w:tc>
          <w:tcPr>
            <w:tcW w:w="1030" w:type="dxa"/>
            <w:tcBorders>
              <w:top w:val="single" w:sz="4" w:space="0" w:color="000000"/>
              <w:left w:val="single" w:sz="12" w:space="0" w:color="000000"/>
              <w:bottom w:val="single" w:sz="12" w:space="0" w:color="000000"/>
              <w:right w:val="single" w:sz="12" w:space="0" w:color="000000"/>
            </w:tcBorders>
          </w:tcPr>
          <w:p w14:paraId="63B65003" w14:textId="3B1BD592" w:rsidR="00B0429D" w:rsidRDefault="00B0429D" w:rsidP="006F4EE2">
            <w:pPr>
              <w:spacing w:after="0" w:line="259" w:lineRule="auto"/>
              <w:ind w:left="0" w:right="19" w:firstLine="0"/>
              <w:jc w:val="center"/>
            </w:pPr>
            <w:r>
              <w:rPr>
                <w:b/>
                <w:sz w:val="18"/>
              </w:rPr>
              <w:t>524.2</w:t>
            </w:r>
          </w:p>
        </w:tc>
        <w:tc>
          <w:tcPr>
            <w:tcW w:w="950" w:type="dxa"/>
            <w:tcBorders>
              <w:top w:val="single" w:sz="4" w:space="0" w:color="000000"/>
              <w:left w:val="single" w:sz="12" w:space="0" w:color="000000"/>
              <w:bottom w:val="single" w:sz="12" w:space="0" w:color="000000"/>
              <w:right w:val="single" w:sz="12" w:space="0" w:color="000000"/>
            </w:tcBorders>
          </w:tcPr>
          <w:p w14:paraId="64287175" w14:textId="35DD12D0" w:rsidR="00B0429D" w:rsidRDefault="00B0429D" w:rsidP="006F4EE2">
            <w:pPr>
              <w:spacing w:after="0" w:line="259" w:lineRule="auto"/>
              <w:ind w:left="0" w:right="16" w:firstLine="0"/>
              <w:jc w:val="center"/>
            </w:pPr>
            <w:r>
              <w:rPr>
                <w:sz w:val="18"/>
              </w:rPr>
              <w:t>502.2</w:t>
            </w:r>
          </w:p>
        </w:tc>
      </w:tr>
    </w:tbl>
    <w:p w14:paraId="499F7F80" w14:textId="5F64E6B3" w:rsidR="007471BC" w:rsidRPr="002F2B38" w:rsidRDefault="007471BC" w:rsidP="00F35F64">
      <w:pPr>
        <w:pStyle w:val="Heading3"/>
        <w:ind w:right="468"/>
        <w:jc w:val="left"/>
        <w:rPr>
          <w:b w:val="0"/>
          <w:bCs/>
        </w:rPr>
      </w:pPr>
    </w:p>
    <w:p w14:paraId="3DB1C200" w14:textId="77777777" w:rsidR="00D44F2A" w:rsidRDefault="00D44F2A" w:rsidP="00D44F2A"/>
    <w:p w14:paraId="5183405D" w14:textId="77777777" w:rsidR="00D44F2A" w:rsidRDefault="00D44F2A" w:rsidP="00D44F2A"/>
    <w:p w14:paraId="46189D8E" w14:textId="77777777" w:rsidR="00D44F2A" w:rsidRDefault="00D44F2A" w:rsidP="00D44F2A"/>
    <w:p w14:paraId="7247A71F" w14:textId="77777777" w:rsidR="007C2A39" w:rsidRDefault="007C2A39" w:rsidP="007C2A39">
      <w:pPr>
        <w:ind w:left="0" w:firstLine="0"/>
      </w:pPr>
    </w:p>
    <w:p w14:paraId="4764E4A2" w14:textId="77777777" w:rsidR="007C2A39" w:rsidRDefault="007C2A39" w:rsidP="007C2A39">
      <w:pPr>
        <w:ind w:left="0" w:firstLine="0"/>
        <w:jc w:val="center"/>
      </w:pPr>
      <w:r>
        <w:rPr>
          <w:b/>
        </w:rPr>
        <w:t>THE REMAINDER OF THIS PAGE HAS BEEN LEFT BLANK INTENTIONALLY</w:t>
      </w:r>
    </w:p>
    <w:p w14:paraId="279C31CF" w14:textId="555383F9" w:rsidR="000B2A16" w:rsidRDefault="000B2A16" w:rsidP="00D44F2A"/>
    <w:p w14:paraId="035C8818" w14:textId="77777777" w:rsidR="00B363AA" w:rsidRDefault="00B363AA" w:rsidP="00D44F2A"/>
    <w:p w14:paraId="089B4D5D" w14:textId="77777777" w:rsidR="00B363AA" w:rsidRDefault="00B363AA" w:rsidP="00D44F2A"/>
    <w:p w14:paraId="4726B11B" w14:textId="77777777" w:rsidR="00B363AA" w:rsidRDefault="00B363AA" w:rsidP="00D44F2A"/>
    <w:p w14:paraId="7D636020" w14:textId="59CEF1CC" w:rsidR="000E31D5" w:rsidRPr="002F2B38" w:rsidRDefault="000E31D5" w:rsidP="000E31D5">
      <w:pPr>
        <w:jc w:val="center"/>
      </w:pPr>
      <w:r w:rsidRPr="002F2B38">
        <w:rPr>
          <w:b/>
          <w:bCs/>
        </w:rPr>
        <w:lastRenderedPageBreak/>
        <w:t>D</w:t>
      </w:r>
      <w:r w:rsidR="00786A65" w:rsidRPr="002F2B38">
        <w:rPr>
          <w:b/>
          <w:bCs/>
        </w:rPr>
        <w:t>rinking</w:t>
      </w:r>
      <w:r w:rsidRPr="002F2B38">
        <w:rPr>
          <w:b/>
          <w:bCs/>
        </w:rPr>
        <w:t xml:space="preserve"> W</w:t>
      </w:r>
      <w:r w:rsidR="00786A65" w:rsidRPr="002F2B38">
        <w:rPr>
          <w:b/>
          <w:bCs/>
        </w:rPr>
        <w:t>ater</w:t>
      </w:r>
      <w:r w:rsidRPr="002F2B38">
        <w:rPr>
          <w:b/>
          <w:bCs/>
        </w:rPr>
        <w:t xml:space="preserve"> Semi-</w:t>
      </w:r>
      <w:proofErr w:type="gramStart"/>
      <w:r w:rsidRPr="002F2B38">
        <w:rPr>
          <w:b/>
          <w:bCs/>
        </w:rPr>
        <w:t>volatile</w:t>
      </w:r>
      <w:proofErr w:type="gramEnd"/>
      <w:r w:rsidRPr="002F2B38">
        <w:rPr>
          <w:b/>
          <w:bCs/>
        </w:rPr>
        <w:t xml:space="preserve"> Organic </w:t>
      </w:r>
      <w:r w:rsidR="000672A4" w:rsidRPr="002F2B38">
        <w:rPr>
          <w:b/>
          <w:bCs/>
        </w:rPr>
        <w:t>Analysis</w:t>
      </w:r>
    </w:p>
    <w:p w14:paraId="2E0628EA" w14:textId="77777777" w:rsidR="000B2A16" w:rsidRPr="000B2A16" w:rsidRDefault="000B2A16" w:rsidP="000E31D5">
      <w:pPr>
        <w:ind w:left="0" w:firstLine="0"/>
      </w:pPr>
    </w:p>
    <w:tbl>
      <w:tblPr>
        <w:tblStyle w:val="TableGrid1"/>
        <w:tblW w:w="10530" w:type="dxa"/>
        <w:tblInd w:w="-375" w:type="dxa"/>
        <w:tblLayout w:type="fixed"/>
        <w:tblCellMar>
          <w:top w:w="24" w:type="dxa"/>
          <w:left w:w="72" w:type="dxa"/>
          <w:right w:w="21" w:type="dxa"/>
        </w:tblCellMar>
        <w:tblLook w:val="04A0" w:firstRow="1" w:lastRow="0" w:firstColumn="1" w:lastColumn="0" w:noHBand="0" w:noVBand="1"/>
      </w:tblPr>
      <w:tblGrid>
        <w:gridCol w:w="3386"/>
        <w:gridCol w:w="17"/>
        <w:gridCol w:w="1097"/>
        <w:gridCol w:w="900"/>
        <w:gridCol w:w="911"/>
        <w:gridCol w:w="16"/>
        <w:gridCol w:w="873"/>
        <w:gridCol w:w="990"/>
        <w:gridCol w:w="900"/>
        <w:gridCol w:w="720"/>
        <w:gridCol w:w="720"/>
      </w:tblGrid>
      <w:tr w:rsidR="00B56D50" w14:paraId="18137F41" w14:textId="77777777" w:rsidTr="00C23B62">
        <w:trPr>
          <w:trHeight w:val="269"/>
        </w:trPr>
        <w:tc>
          <w:tcPr>
            <w:tcW w:w="8190" w:type="dxa"/>
            <w:gridSpan w:val="8"/>
            <w:tcBorders>
              <w:top w:val="single" w:sz="12" w:space="0" w:color="000000"/>
              <w:left w:val="single" w:sz="12" w:space="0" w:color="000000"/>
              <w:bottom w:val="single" w:sz="12" w:space="0" w:color="000000"/>
              <w:right w:val="nil"/>
            </w:tcBorders>
            <w:vAlign w:val="center"/>
          </w:tcPr>
          <w:p w14:paraId="78552B3A" w14:textId="12EDAE00" w:rsidR="00B56D50" w:rsidRDefault="001C3C42" w:rsidP="00375DBB">
            <w:pPr>
              <w:spacing w:after="0" w:line="259" w:lineRule="auto"/>
              <w:ind w:left="36" w:right="0" w:firstLine="0"/>
            </w:pPr>
            <w:r>
              <w:rPr>
                <w:b/>
                <w:sz w:val="18"/>
              </w:rPr>
              <w:t>Drinking Water Semi</w:t>
            </w:r>
            <w:r w:rsidR="000F4336">
              <w:rPr>
                <w:b/>
                <w:sz w:val="18"/>
              </w:rPr>
              <w:t>-</w:t>
            </w:r>
            <w:proofErr w:type="gramStart"/>
            <w:r>
              <w:rPr>
                <w:b/>
                <w:sz w:val="18"/>
              </w:rPr>
              <w:t>volatiles</w:t>
            </w:r>
            <w:proofErr w:type="gramEnd"/>
            <w:r>
              <w:rPr>
                <w:b/>
                <w:sz w:val="18"/>
              </w:rPr>
              <w:t xml:space="preserve"> Group A</w:t>
            </w:r>
            <w:proofErr w:type="gramStart"/>
            <w:r>
              <w:rPr>
                <w:b/>
                <w:sz w:val="18"/>
              </w:rPr>
              <w:t>:</w:t>
            </w:r>
            <w:r>
              <w:rPr>
                <w:sz w:val="18"/>
              </w:rPr>
              <w:t xml:space="preserve">  </w:t>
            </w:r>
            <w:r>
              <w:rPr>
                <w:b/>
                <w:sz w:val="18"/>
              </w:rPr>
              <w:t>Method</w:t>
            </w:r>
            <w:proofErr w:type="gramEnd"/>
            <w:r>
              <w:rPr>
                <w:b/>
                <w:sz w:val="18"/>
              </w:rPr>
              <w:t xml:space="preserve"> 525.2 SVOC Extractables </w:t>
            </w:r>
            <w:r w:rsidR="00F0016F">
              <w:rPr>
                <w:b/>
                <w:sz w:val="18"/>
              </w:rPr>
              <w:t>List</w:t>
            </w:r>
            <w:r w:rsidR="00F0016F">
              <w:rPr>
                <w:sz w:val="18"/>
                <w:vertAlign w:val="superscript"/>
              </w:rPr>
              <w:t xml:space="preserve"> </w:t>
            </w:r>
          </w:p>
        </w:tc>
        <w:tc>
          <w:tcPr>
            <w:tcW w:w="2340" w:type="dxa"/>
            <w:gridSpan w:val="3"/>
            <w:tcBorders>
              <w:top w:val="single" w:sz="12" w:space="0" w:color="000000"/>
              <w:left w:val="nil"/>
              <w:bottom w:val="single" w:sz="12" w:space="0" w:color="000000"/>
              <w:right w:val="single" w:sz="12" w:space="0" w:color="000000"/>
            </w:tcBorders>
            <w:vAlign w:val="center"/>
          </w:tcPr>
          <w:p w14:paraId="76683DB0" w14:textId="77777777" w:rsidR="00B56D50" w:rsidRDefault="00B56D50" w:rsidP="00375DBB">
            <w:pPr>
              <w:spacing w:after="0" w:line="259" w:lineRule="auto"/>
              <w:ind w:left="0" w:right="0" w:firstLine="0"/>
            </w:pPr>
          </w:p>
        </w:tc>
      </w:tr>
      <w:tr w:rsidR="006153D2" w14:paraId="268FDB48" w14:textId="77777777" w:rsidTr="00C23B62">
        <w:trPr>
          <w:trHeight w:val="271"/>
        </w:trPr>
        <w:tc>
          <w:tcPr>
            <w:tcW w:w="3403" w:type="dxa"/>
            <w:gridSpan w:val="2"/>
            <w:vMerge w:val="restart"/>
            <w:tcBorders>
              <w:top w:val="single" w:sz="12" w:space="0" w:color="000000"/>
              <w:left w:val="single" w:sz="12" w:space="0" w:color="000000"/>
              <w:bottom w:val="single" w:sz="12" w:space="0" w:color="000000"/>
              <w:right w:val="single" w:sz="12" w:space="0" w:color="000000"/>
            </w:tcBorders>
            <w:vAlign w:val="center"/>
          </w:tcPr>
          <w:p w14:paraId="3F058CE5" w14:textId="0515210B" w:rsidR="00B56D50" w:rsidRDefault="001C3C42" w:rsidP="00375DBB">
            <w:pPr>
              <w:spacing w:after="0" w:line="259" w:lineRule="auto"/>
              <w:ind w:left="0" w:right="55" w:firstLine="0"/>
              <w:jc w:val="center"/>
            </w:pPr>
            <w:r>
              <w:rPr>
                <w:b/>
                <w:sz w:val="18"/>
              </w:rPr>
              <w:t>Analyte</w:t>
            </w:r>
          </w:p>
        </w:tc>
        <w:tc>
          <w:tcPr>
            <w:tcW w:w="1097" w:type="dxa"/>
            <w:vMerge w:val="restart"/>
            <w:tcBorders>
              <w:top w:val="single" w:sz="12" w:space="0" w:color="000000"/>
              <w:left w:val="single" w:sz="12" w:space="0" w:color="000000"/>
              <w:bottom w:val="single" w:sz="12" w:space="0" w:color="000000"/>
              <w:right w:val="single" w:sz="12" w:space="0" w:color="000000"/>
            </w:tcBorders>
            <w:vAlign w:val="center"/>
          </w:tcPr>
          <w:p w14:paraId="52FB1471" w14:textId="16A15068" w:rsidR="00B56D50" w:rsidRDefault="001C3C42" w:rsidP="00375DBB">
            <w:pPr>
              <w:spacing w:after="0" w:line="259" w:lineRule="auto"/>
              <w:ind w:left="0" w:right="0" w:firstLine="0"/>
              <w:jc w:val="center"/>
            </w:pPr>
            <w:r>
              <w:rPr>
                <w:b/>
                <w:sz w:val="18"/>
              </w:rPr>
              <w:t>CAS Number</w:t>
            </w:r>
          </w:p>
        </w:tc>
        <w:tc>
          <w:tcPr>
            <w:tcW w:w="1827" w:type="dxa"/>
            <w:gridSpan w:val="3"/>
            <w:tcBorders>
              <w:top w:val="single" w:sz="12" w:space="0" w:color="000000"/>
              <w:left w:val="single" w:sz="12" w:space="0" w:color="000000"/>
              <w:bottom w:val="single" w:sz="12" w:space="0" w:color="000000"/>
              <w:right w:val="single" w:sz="12" w:space="0" w:color="000000"/>
            </w:tcBorders>
            <w:vAlign w:val="center"/>
          </w:tcPr>
          <w:p w14:paraId="054C186F" w14:textId="45965C1B" w:rsidR="00B56D50" w:rsidRDefault="001C3C42" w:rsidP="00375DBB">
            <w:pPr>
              <w:spacing w:after="0" w:line="259" w:lineRule="auto"/>
              <w:ind w:left="0" w:right="53" w:firstLine="0"/>
              <w:jc w:val="center"/>
            </w:pPr>
            <w:r>
              <w:rPr>
                <w:b/>
                <w:sz w:val="18"/>
              </w:rPr>
              <w:t>Aqueous</w:t>
            </w:r>
          </w:p>
        </w:tc>
        <w:tc>
          <w:tcPr>
            <w:tcW w:w="1863" w:type="dxa"/>
            <w:gridSpan w:val="2"/>
            <w:tcBorders>
              <w:top w:val="single" w:sz="12" w:space="0" w:color="000000"/>
              <w:left w:val="single" w:sz="12" w:space="0" w:color="000000"/>
              <w:bottom w:val="single" w:sz="12" w:space="0" w:color="000000"/>
              <w:right w:val="single" w:sz="12" w:space="0" w:color="000000"/>
            </w:tcBorders>
            <w:vAlign w:val="center"/>
          </w:tcPr>
          <w:p w14:paraId="53520495" w14:textId="0DCEE493" w:rsidR="00B56D50" w:rsidRDefault="009102EE" w:rsidP="00375DBB">
            <w:pPr>
              <w:spacing w:after="0" w:line="259" w:lineRule="auto"/>
              <w:ind w:left="0" w:right="6" w:firstLine="0"/>
              <w:jc w:val="center"/>
            </w:pPr>
            <w:r>
              <w:rPr>
                <w:b/>
                <w:sz w:val="18"/>
              </w:rPr>
              <w:t>Soil/Sediment</w:t>
            </w:r>
          </w:p>
        </w:tc>
        <w:tc>
          <w:tcPr>
            <w:tcW w:w="2340" w:type="dxa"/>
            <w:gridSpan w:val="3"/>
            <w:vMerge w:val="restart"/>
            <w:tcBorders>
              <w:top w:val="single" w:sz="12" w:space="0" w:color="000000"/>
              <w:left w:val="single" w:sz="12" w:space="0" w:color="000000"/>
              <w:bottom w:val="single" w:sz="12" w:space="0" w:color="000000"/>
              <w:right w:val="single" w:sz="12" w:space="0" w:color="000000"/>
            </w:tcBorders>
            <w:vAlign w:val="center"/>
          </w:tcPr>
          <w:p w14:paraId="0C86B30E" w14:textId="3978138A" w:rsidR="00B56D50" w:rsidRDefault="001C3C42" w:rsidP="00375DBB">
            <w:pPr>
              <w:spacing w:after="0" w:line="259" w:lineRule="auto"/>
              <w:ind w:left="0" w:right="54" w:firstLine="0"/>
              <w:jc w:val="center"/>
            </w:pPr>
            <w:r>
              <w:rPr>
                <w:b/>
                <w:sz w:val="18"/>
              </w:rPr>
              <w:t>Acceptable Methods</w:t>
            </w:r>
            <w:r w:rsidR="00331158">
              <w:rPr>
                <w:b/>
                <w:sz w:val="18"/>
              </w:rPr>
              <w:t xml:space="preserve"> </w:t>
            </w:r>
            <w:r w:rsidR="000B2A16">
              <w:rPr>
                <w:b/>
                <w:sz w:val="18"/>
                <w:vertAlign w:val="superscript"/>
              </w:rPr>
              <w:t>37</w:t>
            </w:r>
          </w:p>
        </w:tc>
      </w:tr>
      <w:tr w:rsidR="00C84A5D" w14:paraId="5370C73D" w14:textId="77777777" w:rsidTr="00C23B62">
        <w:trPr>
          <w:trHeight w:val="269"/>
        </w:trPr>
        <w:tc>
          <w:tcPr>
            <w:tcW w:w="3403" w:type="dxa"/>
            <w:gridSpan w:val="2"/>
            <w:vMerge/>
            <w:tcBorders>
              <w:top w:val="nil"/>
              <w:left w:val="single" w:sz="12" w:space="0" w:color="000000"/>
              <w:bottom w:val="single" w:sz="12" w:space="0" w:color="000000"/>
              <w:right w:val="single" w:sz="12" w:space="0" w:color="000000"/>
            </w:tcBorders>
            <w:vAlign w:val="center"/>
          </w:tcPr>
          <w:p w14:paraId="77DC1FA9" w14:textId="77777777" w:rsidR="00B56D50" w:rsidRDefault="00B56D50" w:rsidP="00017AB4">
            <w:pPr>
              <w:spacing w:after="160" w:line="259" w:lineRule="auto"/>
              <w:ind w:left="0" w:right="0" w:firstLine="0"/>
              <w:jc w:val="center"/>
            </w:pPr>
          </w:p>
        </w:tc>
        <w:tc>
          <w:tcPr>
            <w:tcW w:w="1097" w:type="dxa"/>
            <w:vMerge/>
            <w:tcBorders>
              <w:top w:val="nil"/>
              <w:left w:val="single" w:sz="12" w:space="0" w:color="000000"/>
              <w:bottom w:val="single" w:sz="12" w:space="0" w:color="000000"/>
              <w:right w:val="single" w:sz="12" w:space="0" w:color="000000"/>
            </w:tcBorders>
            <w:vAlign w:val="center"/>
          </w:tcPr>
          <w:p w14:paraId="52B793AC" w14:textId="77777777" w:rsidR="00B56D50" w:rsidRDefault="00B56D50" w:rsidP="00017AB4">
            <w:pPr>
              <w:spacing w:after="160" w:line="259" w:lineRule="auto"/>
              <w:ind w:left="0" w:right="0" w:firstLine="0"/>
              <w:jc w:val="center"/>
            </w:pPr>
          </w:p>
        </w:tc>
        <w:tc>
          <w:tcPr>
            <w:tcW w:w="900" w:type="dxa"/>
            <w:tcBorders>
              <w:top w:val="single" w:sz="12" w:space="0" w:color="000000"/>
              <w:left w:val="single" w:sz="12" w:space="0" w:color="000000"/>
              <w:bottom w:val="single" w:sz="12" w:space="0" w:color="000000"/>
              <w:right w:val="single" w:sz="12" w:space="0" w:color="000000"/>
            </w:tcBorders>
            <w:vAlign w:val="center"/>
          </w:tcPr>
          <w:p w14:paraId="67A9224C" w14:textId="4E927198" w:rsidR="00B56D50" w:rsidRDefault="001C3C42" w:rsidP="00375DBB">
            <w:pPr>
              <w:spacing w:after="0" w:line="259" w:lineRule="auto"/>
              <w:ind w:left="0" w:right="56" w:firstLine="0"/>
              <w:jc w:val="center"/>
            </w:pPr>
            <w:r>
              <w:rPr>
                <w:b/>
                <w:sz w:val="18"/>
              </w:rPr>
              <w:t>RL</w:t>
            </w:r>
            <w:r w:rsidR="00331158">
              <w:rPr>
                <w:b/>
                <w:sz w:val="18"/>
              </w:rPr>
              <w:t xml:space="preserve"> </w:t>
            </w:r>
            <w:r w:rsidR="00F0016F" w:rsidRPr="00675FD7">
              <w:rPr>
                <w:b/>
                <w:sz w:val="18"/>
                <w:vertAlign w:val="superscript"/>
              </w:rPr>
              <w:t>3</w:t>
            </w:r>
            <w:r w:rsidR="000B2A16">
              <w:rPr>
                <w:b/>
                <w:sz w:val="18"/>
                <w:vertAlign w:val="superscript"/>
              </w:rPr>
              <w:t>8</w:t>
            </w:r>
          </w:p>
        </w:tc>
        <w:tc>
          <w:tcPr>
            <w:tcW w:w="927" w:type="dxa"/>
            <w:gridSpan w:val="2"/>
            <w:tcBorders>
              <w:top w:val="single" w:sz="12" w:space="0" w:color="000000"/>
              <w:left w:val="single" w:sz="12" w:space="0" w:color="000000"/>
              <w:bottom w:val="single" w:sz="12" w:space="0" w:color="000000"/>
              <w:right w:val="single" w:sz="12" w:space="0" w:color="000000"/>
            </w:tcBorders>
            <w:vAlign w:val="center"/>
          </w:tcPr>
          <w:p w14:paraId="5E959E44" w14:textId="631CB39A" w:rsidR="00B56D50" w:rsidRDefault="001C3C42" w:rsidP="00375DBB">
            <w:pPr>
              <w:spacing w:after="0" w:line="259" w:lineRule="auto"/>
              <w:ind w:left="0" w:right="61" w:firstLine="0"/>
              <w:jc w:val="center"/>
            </w:pPr>
            <w:r>
              <w:rPr>
                <w:b/>
                <w:sz w:val="18"/>
              </w:rPr>
              <w:t>units</w:t>
            </w:r>
          </w:p>
        </w:tc>
        <w:tc>
          <w:tcPr>
            <w:tcW w:w="873" w:type="dxa"/>
            <w:tcBorders>
              <w:top w:val="single" w:sz="12" w:space="0" w:color="000000"/>
              <w:left w:val="single" w:sz="12" w:space="0" w:color="000000"/>
              <w:bottom w:val="single" w:sz="12" w:space="0" w:color="000000"/>
              <w:right w:val="single" w:sz="12" w:space="0" w:color="000000"/>
            </w:tcBorders>
            <w:vAlign w:val="center"/>
          </w:tcPr>
          <w:p w14:paraId="2CE57CAF" w14:textId="5F22FD8D" w:rsidR="00B56D50" w:rsidRDefault="001C3C42" w:rsidP="00375DBB">
            <w:pPr>
              <w:spacing w:after="0" w:line="259" w:lineRule="auto"/>
              <w:ind w:left="0" w:right="56" w:firstLine="0"/>
              <w:jc w:val="center"/>
            </w:pPr>
            <w:r>
              <w:rPr>
                <w:b/>
                <w:sz w:val="18"/>
              </w:rPr>
              <w:t>RL</w:t>
            </w:r>
          </w:p>
        </w:tc>
        <w:tc>
          <w:tcPr>
            <w:tcW w:w="990" w:type="dxa"/>
            <w:tcBorders>
              <w:top w:val="single" w:sz="12" w:space="0" w:color="000000"/>
              <w:left w:val="single" w:sz="12" w:space="0" w:color="000000"/>
              <w:bottom w:val="single" w:sz="12" w:space="0" w:color="000000"/>
              <w:right w:val="single" w:sz="12" w:space="0" w:color="000000"/>
            </w:tcBorders>
            <w:vAlign w:val="center"/>
          </w:tcPr>
          <w:p w14:paraId="7AED0137" w14:textId="5C65E58F" w:rsidR="00B56D50" w:rsidRDefault="001C3C42" w:rsidP="00375DBB">
            <w:pPr>
              <w:spacing w:after="0" w:line="259" w:lineRule="auto"/>
              <w:ind w:left="0" w:right="58" w:firstLine="0"/>
              <w:jc w:val="center"/>
            </w:pPr>
            <w:r>
              <w:rPr>
                <w:b/>
                <w:sz w:val="18"/>
              </w:rPr>
              <w:t>units</w:t>
            </w:r>
          </w:p>
        </w:tc>
        <w:tc>
          <w:tcPr>
            <w:tcW w:w="2340" w:type="dxa"/>
            <w:gridSpan w:val="3"/>
            <w:vMerge/>
            <w:tcBorders>
              <w:top w:val="nil"/>
              <w:left w:val="single" w:sz="12" w:space="0" w:color="000000"/>
              <w:bottom w:val="single" w:sz="12" w:space="0" w:color="000000"/>
              <w:right w:val="single" w:sz="12" w:space="0" w:color="000000"/>
            </w:tcBorders>
            <w:vAlign w:val="center"/>
          </w:tcPr>
          <w:p w14:paraId="71548B4C" w14:textId="77777777" w:rsidR="00B56D50" w:rsidRDefault="00B56D50" w:rsidP="00017AB4">
            <w:pPr>
              <w:spacing w:after="160" w:line="259" w:lineRule="auto"/>
              <w:ind w:left="0" w:right="0" w:firstLine="0"/>
              <w:jc w:val="center"/>
            </w:pPr>
          </w:p>
        </w:tc>
      </w:tr>
      <w:tr w:rsidR="0001496C" w14:paraId="6128ACCB" w14:textId="77777777" w:rsidTr="00C23B62">
        <w:trPr>
          <w:trHeight w:val="262"/>
        </w:trPr>
        <w:tc>
          <w:tcPr>
            <w:tcW w:w="3386" w:type="dxa"/>
            <w:tcBorders>
              <w:top w:val="single" w:sz="12" w:space="0" w:color="000000"/>
              <w:left w:val="single" w:sz="12" w:space="0" w:color="000000"/>
              <w:bottom w:val="single" w:sz="4" w:space="0" w:color="000000"/>
              <w:right w:val="single" w:sz="12" w:space="0" w:color="000000"/>
            </w:tcBorders>
          </w:tcPr>
          <w:p w14:paraId="289846E7" w14:textId="77777777" w:rsidR="00B0429D" w:rsidRDefault="00B0429D" w:rsidP="00B0429D">
            <w:pPr>
              <w:spacing w:after="0" w:line="259" w:lineRule="auto"/>
              <w:ind w:left="2" w:right="0" w:firstLine="0"/>
            </w:pPr>
            <w:r>
              <w:rPr>
                <w:sz w:val="18"/>
              </w:rPr>
              <w:t xml:space="preserve">Acenaphthylene </w:t>
            </w:r>
          </w:p>
        </w:tc>
        <w:tc>
          <w:tcPr>
            <w:tcW w:w="1114" w:type="dxa"/>
            <w:gridSpan w:val="2"/>
            <w:tcBorders>
              <w:top w:val="single" w:sz="12" w:space="0" w:color="000000"/>
              <w:left w:val="single" w:sz="12" w:space="0" w:color="000000"/>
              <w:bottom w:val="single" w:sz="4" w:space="0" w:color="000000"/>
              <w:right w:val="single" w:sz="12" w:space="0" w:color="000000"/>
            </w:tcBorders>
          </w:tcPr>
          <w:p w14:paraId="74E4DA4A" w14:textId="71F5D5EF" w:rsidR="00B0429D" w:rsidRDefault="00B0429D" w:rsidP="008A155E">
            <w:pPr>
              <w:spacing w:after="0" w:line="259" w:lineRule="auto"/>
              <w:ind w:left="0" w:right="50" w:firstLine="0"/>
              <w:jc w:val="center"/>
            </w:pPr>
            <w:r>
              <w:rPr>
                <w:sz w:val="18"/>
              </w:rPr>
              <w:t>208-96-8</w:t>
            </w:r>
          </w:p>
        </w:tc>
        <w:tc>
          <w:tcPr>
            <w:tcW w:w="900" w:type="dxa"/>
            <w:tcBorders>
              <w:top w:val="single" w:sz="12" w:space="0" w:color="000000"/>
              <w:left w:val="single" w:sz="12" w:space="0" w:color="000000"/>
              <w:bottom w:val="single" w:sz="4" w:space="0" w:color="000000"/>
              <w:right w:val="single" w:sz="12" w:space="0" w:color="000000"/>
            </w:tcBorders>
          </w:tcPr>
          <w:p w14:paraId="0A9748F0" w14:textId="7F1D2F40" w:rsidR="00B0429D" w:rsidRDefault="00B0429D" w:rsidP="008A155E">
            <w:pPr>
              <w:tabs>
                <w:tab w:val="center" w:pos="354"/>
              </w:tabs>
              <w:spacing w:after="0" w:line="259" w:lineRule="auto"/>
              <w:ind w:left="0" w:right="0" w:firstLine="0"/>
              <w:jc w:val="center"/>
            </w:pPr>
            <w:r>
              <w:rPr>
                <w:sz w:val="18"/>
              </w:rPr>
              <w:t>1</w:t>
            </w:r>
          </w:p>
        </w:tc>
        <w:tc>
          <w:tcPr>
            <w:tcW w:w="911" w:type="dxa"/>
            <w:tcBorders>
              <w:top w:val="single" w:sz="12" w:space="0" w:color="000000"/>
              <w:left w:val="single" w:sz="12" w:space="0" w:color="000000"/>
              <w:bottom w:val="single" w:sz="4" w:space="0" w:color="000000"/>
              <w:right w:val="single" w:sz="12" w:space="0" w:color="000000"/>
            </w:tcBorders>
          </w:tcPr>
          <w:p w14:paraId="68D5E2FF" w14:textId="1DAAAD27" w:rsidR="00B0429D" w:rsidRDefault="00B0429D" w:rsidP="008A155E">
            <w:pPr>
              <w:spacing w:after="0" w:line="259" w:lineRule="auto"/>
              <w:ind w:left="0" w:right="52" w:firstLine="0"/>
              <w:jc w:val="center"/>
            </w:pPr>
            <w:r>
              <w:rPr>
                <w:sz w:val="18"/>
              </w:rPr>
              <w:t>ug/L</w:t>
            </w:r>
          </w:p>
        </w:tc>
        <w:tc>
          <w:tcPr>
            <w:tcW w:w="889" w:type="dxa"/>
            <w:gridSpan w:val="2"/>
            <w:tcBorders>
              <w:top w:val="single" w:sz="12" w:space="0" w:color="000000"/>
              <w:left w:val="single" w:sz="12" w:space="0" w:color="000000"/>
              <w:bottom w:val="single" w:sz="4" w:space="0" w:color="000000"/>
              <w:right w:val="single" w:sz="12" w:space="0" w:color="000000"/>
            </w:tcBorders>
          </w:tcPr>
          <w:p w14:paraId="7072393C" w14:textId="37C1713C" w:rsidR="00B0429D" w:rsidRDefault="00B0429D" w:rsidP="008A155E">
            <w:pPr>
              <w:spacing w:after="0" w:line="259" w:lineRule="auto"/>
              <w:ind w:left="0" w:right="53" w:firstLine="0"/>
              <w:jc w:val="center"/>
            </w:pPr>
            <w:r>
              <w:rPr>
                <w:sz w:val="18"/>
              </w:rPr>
              <w:t>N/A</w:t>
            </w:r>
          </w:p>
        </w:tc>
        <w:tc>
          <w:tcPr>
            <w:tcW w:w="990" w:type="dxa"/>
            <w:tcBorders>
              <w:top w:val="single" w:sz="12" w:space="0" w:color="000000"/>
              <w:left w:val="single" w:sz="12" w:space="0" w:color="000000"/>
              <w:bottom w:val="single" w:sz="4" w:space="0" w:color="000000"/>
              <w:right w:val="single" w:sz="12" w:space="0" w:color="000000"/>
            </w:tcBorders>
          </w:tcPr>
          <w:p w14:paraId="690AA283" w14:textId="1321C9E4" w:rsidR="00B0429D" w:rsidRDefault="00B0429D" w:rsidP="008A155E">
            <w:pPr>
              <w:spacing w:after="0" w:line="259" w:lineRule="auto"/>
              <w:ind w:left="0" w:right="48" w:firstLine="0"/>
              <w:jc w:val="center"/>
            </w:pPr>
            <w:r>
              <w:rPr>
                <w:sz w:val="18"/>
              </w:rPr>
              <w:t>N/A</w:t>
            </w:r>
          </w:p>
        </w:tc>
        <w:tc>
          <w:tcPr>
            <w:tcW w:w="900" w:type="dxa"/>
            <w:tcBorders>
              <w:top w:val="single" w:sz="12" w:space="0" w:color="000000"/>
              <w:left w:val="single" w:sz="12" w:space="0" w:color="000000"/>
              <w:bottom w:val="single" w:sz="4" w:space="0" w:color="000000"/>
              <w:right w:val="single" w:sz="12" w:space="0" w:color="000000"/>
            </w:tcBorders>
          </w:tcPr>
          <w:p w14:paraId="58097533" w14:textId="124AE10F" w:rsidR="00B0429D" w:rsidRDefault="00B0429D" w:rsidP="008A155E">
            <w:pPr>
              <w:spacing w:after="0" w:line="259" w:lineRule="auto"/>
              <w:ind w:left="0" w:right="53" w:firstLine="0"/>
              <w:jc w:val="center"/>
            </w:pPr>
            <w:r>
              <w:rPr>
                <w:b/>
                <w:sz w:val="18"/>
              </w:rPr>
              <w:t>525.2</w:t>
            </w:r>
          </w:p>
        </w:tc>
        <w:tc>
          <w:tcPr>
            <w:tcW w:w="720" w:type="dxa"/>
            <w:tcBorders>
              <w:top w:val="single" w:sz="12" w:space="0" w:color="000000"/>
              <w:left w:val="single" w:sz="12" w:space="0" w:color="000000"/>
              <w:bottom w:val="single" w:sz="4" w:space="0" w:color="000000"/>
              <w:right w:val="single" w:sz="12" w:space="0" w:color="000000"/>
            </w:tcBorders>
          </w:tcPr>
          <w:p w14:paraId="7DE1F7CC" w14:textId="5DA8BCE3" w:rsidR="00B0429D" w:rsidRDefault="00B0429D" w:rsidP="008A155E">
            <w:pPr>
              <w:spacing w:after="0" w:line="259" w:lineRule="auto"/>
              <w:ind w:left="0" w:right="44" w:firstLine="0"/>
              <w:jc w:val="center"/>
            </w:pPr>
            <w:r>
              <w:rPr>
                <w:sz w:val="18"/>
              </w:rPr>
              <w:t>550.1</w:t>
            </w:r>
          </w:p>
        </w:tc>
        <w:tc>
          <w:tcPr>
            <w:tcW w:w="720" w:type="dxa"/>
            <w:tcBorders>
              <w:top w:val="single" w:sz="12" w:space="0" w:color="000000"/>
              <w:left w:val="single" w:sz="12" w:space="0" w:color="000000"/>
              <w:bottom w:val="single" w:sz="4" w:space="0" w:color="000000"/>
              <w:right w:val="single" w:sz="12" w:space="0" w:color="000000"/>
            </w:tcBorders>
          </w:tcPr>
          <w:p w14:paraId="60EC37E1" w14:textId="2D633266" w:rsidR="00B0429D" w:rsidRPr="00FC7081" w:rsidRDefault="00B0429D" w:rsidP="008A155E">
            <w:pPr>
              <w:spacing w:after="0" w:line="259" w:lineRule="auto"/>
              <w:ind w:left="0" w:right="2" w:firstLine="0"/>
              <w:jc w:val="center"/>
            </w:pPr>
          </w:p>
        </w:tc>
      </w:tr>
      <w:tr w:rsidR="0001496C" w14:paraId="1AEA5CD9" w14:textId="77777777" w:rsidTr="00C23B62">
        <w:trPr>
          <w:trHeight w:val="250"/>
        </w:trPr>
        <w:tc>
          <w:tcPr>
            <w:tcW w:w="3386" w:type="dxa"/>
            <w:tcBorders>
              <w:top w:val="single" w:sz="4" w:space="0" w:color="000000"/>
              <w:left w:val="single" w:sz="12" w:space="0" w:color="000000"/>
              <w:bottom w:val="single" w:sz="4" w:space="0" w:color="000000"/>
              <w:right w:val="single" w:sz="12" w:space="0" w:color="000000"/>
            </w:tcBorders>
          </w:tcPr>
          <w:p w14:paraId="7079E3D3" w14:textId="77777777" w:rsidR="00B0429D" w:rsidRDefault="00B0429D" w:rsidP="00B0429D">
            <w:pPr>
              <w:spacing w:after="0" w:line="259" w:lineRule="auto"/>
              <w:ind w:left="2" w:right="0" w:firstLine="0"/>
            </w:pPr>
            <w:r>
              <w:rPr>
                <w:sz w:val="18"/>
              </w:rPr>
              <w:t xml:space="preserve">Anthracene </w:t>
            </w:r>
          </w:p>
        </w:tc>
        <w:tc>
          <w:tcPr>
            <w:tcW w:w="1114" w:type="dxa"/>
            <w:gridSpan w:val="2"/>
            <w:tcBorders>
              <w:top w:val="single" w:sz="4" w:space="0" w:color="000000"/>
              <w:left w:val="single" w:sz="12" w:space="0" w:color="000000"/>
              <w:bottom w:val="single" w:sz="4" w:space="0" w:color="000000"/>
              <w:right w:val="single" w:sz="12" w:space="0" w:color="000000"/>
            </w:tcBorders>
          </w:tcPr>
          <w:p w14:paraId="0F260E11" w14:textId="5191360A" w:rsidR="00B0429D" w:rsidRDefault="00B0429D" w:rsidP="008A155E">
            <w:pPr>
              <w:spacing w:after="0" w:line="259" w:lineRule="auto"/>
              <w:ind w:left="0" w:right="50" w:firstLine="0"/>
              <w:jc w:val="center"/>
            </w:pPr>
            <w:r>
              <w:rPr>
                <w:sz w:val="18"/>
              </w:rPr>
              <w:t>120-12-7</w:t>
            </w:r>
          </w:p>
        </w:tc>
        <w:tc>
          <w:tcPr>
            <w:tcW w:w="900" w:type="dxa"/>
            <w:tcBorders>
              <w:top w:val="single" w:sz="4" w:space="0" w:color="000000"/>
              <w:left w:val="single" w:sz="12" w:space="0" w:color="000000"/>
              <w:bottom w:val="single" w:sz="4" w:space="0" w:color="000000"/>
              <w:right w:val="single" w:sz="12" w:space="0" w:color="000000"/>
            </w:tcBorders>
          </w:tcPr>
          <w:p w14:paraId="41F651C1" w14:textId="4AD3064F" w:rsidR="00B0429D" w:rsidRDefault="00B0429D" w:rsidP="008A155E">
            <w:pPr>
              <w:tabs>
                <w:tab w:val="center" w:pos="354"/>
              </w:tabs>
              <w:spacing w:after="0" w:line="259" w:lineRule="auto"/>
              <w:ind w:left="0" w:right="0" w:firstLine="0"/>
              <w:jc w:val="center"/>
            </w:pPr>
            <w:r>
              <w:rPr>
                <w:sz w:val="18"/>
              </w:rPr>
              <w:t>1</w:t>
            </w:r>
          </w:p>
        </w:tc>
        <w:tc>
          <w:tcPr>
            <w:tcW w:w="911" w:type="dxa"/>
            <w:tcBorders>
              <w:top w:val="single" w:sz="4" w:space="0" w:color="000000"/>
              <w:left w:val="single" w:sz="12" w:space="0" w:color="000000"/>
              <w:bottom w:val="single" w:sz="4" w:space="0" w:color="000000"/>
              <w:right w:val="single" w:sz="12" w:space="0" w:color="000000"/>
            </w:tcBorders>
          </w:tcPr>
          <w:p w14:paraId="21AB4011" w14:textId="1CA5D506" w:rsidR="00B0429D" w:rsidRDefault="00B0429D" w:rsidP="008A155E">
            <w:pPr>
              <w:spacing w:after="0" w:line="259" w:lineRule="auto"/>
              <w:ind w:left="0" w:right="52" w:firstLine="0"/>
              <w:jc w:val="center"/>
            </w:pPr>
            <w:r>
              <w:rPr>
                <w:sz w:val="18"/>
              </w:rPr>
              <w:t>ug/L</w:t>
            </w:r>
          </w:p>
        </w:tc>
        <w:tc>
          <w:tcPr>
            <w:tcW w:w="889" w:type="dxa"/>
            <w:gridSpan w:val="2"/>
            <w:tcBorders>
              <w:top w:val="single" w:sz="4" w:space="0" w:color="000000"/>
              <w:left w:val="single" w:sz="12" w:space="0" w:color="000000"/>
              <w:bottom w:val="single" w:sz="4" w:space="0" w:color="000000"/>
              <w:right w:val="single" w:sz="12" w:space="0" w:color="000000"/>
            </w:tcBorders>
          </w:tcPr>
          <w:p w14:paraId="41C595AE" w14:textId="20EA163B" w:rsidR="00B0429D" w:rsidRDefault="00B0429D" w:rsidP="008A155E">
            <w:pPr>
              <w:spacing w:after="0" w:line="259" w:lineRule="auto"/>
              <w:ind w:left="0" w:right="53" w:firstLine="0"/>
              <w:jc w:val="center"/>
            </w:pPr>
            <w:r>
              <w:rPr>
                <w:sz w:val="18"/>
              </w:rPr>
              <w:t>N/A</w:t>
            </w:r>
          </w:p>
        </w:tc>
        <w:tc>
          <w:tcPr>
            <w:tcW w:w="990" w:type="dxa"/>
            <w:tcBorders>
              <w:top w:val="single" w:sz="4" w:space="0" w:color="000000"/>
              <w:left w:val="single" w:sz="12" w:space="0" w:color="000000"/>
              <w:bottom w:val="single" w:sz="4" w:space="0" w:color="000000"/>
              <w:right w:val="single" w:sz="12" w:space="0" w:color="000000"/>
            </w:tcBorders>
          </w:tcPr>
          <w:p w14:paraId="540C1551" w14:textId="4F63A11C" w:rsidR="00B0429D" w:rsidRDefault="00B0429D" w:rsidP="008A155E">
            <w:pPr>
              <w:spacing w:after="0" w:line="259" w:lineRule="auto"/>
              <w:ind w:left="0" w:right="48" w:firstLine="0"/>
              <w:jc w:val="center"/>
            </w:pPr>
            <w:r>
              <w:rPr>
                <w:sz w:val="18"/>
              </w:rPr>
              <w:t>N/A</w:t>
            </w:r>
          </w:p>
        </w:tc>
        <w:tc>
          <w:tcPr>
            <w:tcW w:w="900" w:type="dxa"/>
            <w:tcBorders>
              <w:top w:val="single" w:sz="4" w:space="0" w:color="000000"/>
              <w:left w:val="single" w:sz="12" w:space="0" w:color="000000"/>
              <w:bottom w:val="single" w:sz="4" w:space="0" w:color="000000"/>
              <w:right w:val="single" w:sz="12" w:space="0" w:color="000000"/>
            </w:tcBorders>
          </w:tcPr>
          <w:p w14:paraId="6E9AADD9" w14:textId="3C289A8B" w:rsidR="00B0429D" w:rsidRDefault="00B0429D" w:rsidP="008A155E">
            <w:pPr>
              <w:spacing w:after="0" w:line="259" w:lineRule="auto"/>
              <w:ind w:left="0" w:right="53" w:firstLine="0"/>
              <w:jc w:val="center"/>
            </w:pPr>
            <w:r>
              <w:rPr>
                <w:b/>
                <w:sz w:val="18"/>
              </w:rPr>
              <w:t>525.2</w:t>
            </w:r>
          </w:p>
        </w:tc>
        <w:tc>
          <w:tcPr>
            <w:tcW w:w="720" w:type="dxa"/>
            <w:tcBorders>
              <w:top w:val="single" w:sz="4" w:space="0" w:color="000000"/>
              <w:left w:val="single" w:sz="12" w:space="0" w:color="000000"/>
              <w:bottom w:val="single" w:sz="4" w:space="0" w:color="000000"/>
              <w:right w:val="single" w:sz="12" w:space="0" w:color="000000"/>
            </w:tcBorders>
          </w:tcPr>
          <w:p w14:paraId="3F0C4D7A" w14:textId="7CBDAB7F" w:rsidR="00B0429D" w:rsidRDefault="00B0429D" w:rsidP="008A155E">
            <w:pPr>
              <w:spacing w:after="0" w:line="259" w:lineRule="auto"/>
              <w:ind w:left="0" w:right="44" w:firstLine="0"/>
              <w:jc w:val="center"/>
            </w:pPr>
            <w:r>
              <w:rPr>
                <w:sz w:val="18"/>
              </w:rPr>
              <w:t>550.1</w:t>
            </w:r>
          </w:p>
        </w:tc>
        <w:tc>
          <w:tcPr>
            <w:tcW w:w="720" w:type="dxa"/>
            <w:tcBorders>
              <w:top w:val="single" w:sz="4" w:space="0" w:color="000000"/>
              <w:left w:val="single" w:sz="12" w:space="0" w:color="000000"/>
              <w:bottom w:val="single" w:sz="4" w:space="0" w:color="000000"/>
              <w:right w:val="single" w:sz="12" w:space="0" w:color="000000"/>
            </w:tcBorders>
          </w:tcPr>
          <w:p w14:paraId="56050DAC" w14:textId="136921A6" w:rsidR="00B0429D" w:rsidRPr="00FC7081" w:rsidRDefault="00B0429D" w:rsidP="008A155E">
            <w:pPr>
              <w:spacing w:after="0" w:line="259" w:lineRule="auto"/>
              <w:ind w:left="0" w:right="2" w:firstLine="0"/>
              <w:jc w:val="center"/>
            </w:pPr>
          </w:p>
        </w:tc>
      </w:tr>
      <w:tr w:rsidR="0001496C" w14:paraId="68A21E86" w14:textId="77777777" w:rsidTr="00C23B62">
        <w:trPr>
          <w:trHeight w:val="250"/>
        </w:trPr>
        <w:tc>
          <w:tcPr>
            <w:tcW w:w="3386" w:type="dxa"/>
            <w:tcBorders>
              <w:top w:val="single" w:sz="4" w:space="0" w:color="000000"/>
              <w:left w:val="single" w:sz="12" w:space="0" w:color="000000"/>
              <w:bottom w:val="single" w:sz="4" w:space="0" w:color="000000"/>
              <w:right w:val="single" w:sz="12" w:space="0" w:color="000000"/>
            </w:tcBorders>
          </w:tcPr>
          <w:p w14:paraId="2BF8B0BF" w14:textId="77777777" w:rsidR="00B0429D" w:rsidRDefault="00B0429D" w:rsidP="00B0429D">
            <w:pPr>
              <w:spacing w:after="0" w:line="259" w:lineRule="auto"/>
              <w:ind w:left="2" w:right="0" w:firstLine="0"/>
            </w:pPr>
            <w:r>
              <w:rPr>
                <w:sz w:val="18"/>
              </w:rPr>
              <w:t xml:space="preserve">Benzo[a]anthracene </w:t>
            </w:r>
          </w:p>
        </w:tc>
        <w:tc>
          <w:tcPr>
            <w:tcW w:w="1114" w:type="dxa"/>
            <w:gridSpan w:val="2"/>
            <w:tcBorders>
              <w:top w:val="single" w:sz="4" w:space="0" w:color="000000"/>
              <w:left w:val="single" w:sz="12" w:space="0" w:color="000000"/>
              <w:bottom w:val="single" w:sz="4" w:space="0" w:color="000000"/>
              <w:right w:val="single" w:sz="12" w:space="0" w:color="000000"/>
            </w:tcBorders>
          </w:tcPr>
          <w:p w14:paraId="7EA166E6" w14:textId="433C902E" w:rsidR="00B0429D" w:rsidRDefault="00B0429D" w:rsidP="008A155E">
            <w:pPr>
              <w:spacing w:after="0" w:line="259" w:lineRule="auto"/>
              <w:ind w:left="0" w:right="50" w:firstLine="0"/>
              <w:jc w:val="center"/>
            </w:pPr>
            <w:r>
              <w:rPr>
                <w:sz w:val="18"/>
              </w:rPr>
              <w:t>56-55-3</w:t>
            </w:r>
          </w:p>
        </w:tc>
        <w:tc>
          <w:tcPr>
            <w:tcW w:w="900" w:type="dxa"/>
            <w:tcBorders>
              <w:top w:val="single" w:sz="4" w:space="0" w:color="000000"/>
              <w:left w:val="single" w:sz="12" w:space="0" w:color="000000"/>
              <w:bottom w:val="single" w:sz="4" w:space="0" w:color="000000"/>
              <w:right w:val="single" w:sz="12" w:space="0" w:color="000000"/>
            </w:tcBorders>
          </w:tcPr>
          <w:p w14:paraId="10F58BC1" w14:textId="05741B5E" w:rsidR="00B0429D" w:rsidRDefault="00B0429D" w:rsidP="008A155E">
            <w:pPr>
              <w:tabs>
                <w:tab w:val="center" w:pos="399"/>
              </w:tabs>
              <w:spacing w:after="0" w:line="259" w:lineRule="auto"/>
              <w:ind w:left="0" w:right="0" w:firstLine="0"/>
              <w:jc w:val="center"/>
            </w:pPr>
            <w:r>
              <w:rPr>
                <w:sz w:val="18"/>
              </w:rPr>
              <w:t>0.5</w:t>
            </w:r>
          </w:p>
        </w:tc>
        <w:tc>
          <w:tcPr>
            <w:tcW w:w="911" w:type="dxa"/>
            <w:tcBorders>
              <w:top w:val="single" w:sz="4" w:space="0" w:color="000000"/>
              <w:left w:val="single" w:sz="12" w:space="0" w:color="000000"/>
              <w:bottom w:val="single" w:sz="4" w:space="0" w:color="000000"/>
              <w:right w:val="single" w:sz="12" w:space="0" w:color="000000"/>
            </w:tcBorders>
          </w:tcPr>
          <w:p w14:paraId="36FF2AE1" w14:textId="524A92C7" w:rsidR="00B0429D" w:rsidRDefault="00B0429D" w:rsidP="008A155E">
            <w:pPr>
              <w:spacing w:after="0" w:line="259" w:lineRule="auto"/>
              <w:ind w:left="0" w:right="52" w:firstLine="0"/>
              <w:jc w:val="center"/>
            </w:pPr>
            <w:r>
              <w:rPr>
                <w:sz w:val="18"/>
              </w:rPr>
              <w:t>ug/L</w:t>
            </w:r>
          </w:p>
        </w:tc>
        <w:tc>
          <w:tcPr>
            <w:tcW w:w="889" w:type="dxa"/>
            <w:gridSpan w:val="2"/>
            <w:tcBorders>
              <w:top w:val="single" w:sz="4" w:space="0" w:color="000000"/>
              <w:left w:val="single" w:sz="12" w:space="0" w:color="000000"/>
              <w:bottom w:val="single" w:sz="4" w:space="0" w:color="000000"/>
              <w:right w:val="single" w:sz="12" w:space="0" w:color="000000"/>
            </w:tcBorders>
          </w:tcPr>
          <w:p w14:paraId="761CC351" w14:textId="11EDCDE3" w:rsidR="00B0429D" w:rsidRDefault="00B0429D" w:rsidP="008A155E">
            <w:pPr>
              <w:spacing w:after="0" w:line="259" w:lineRule="auto"/>
              <w:ind w:left="0" w:right="53" w:firstLine="0"/>
              <w:jc w:val="center"/>
            </w:pPr>
            <w:r>
              <w:rPr>
                <w:sz w:val="18"/>
              </w:rPr>
              <w:t>N/A</w:t>
            </w:r>
          </w:p>
        </w:tc>
        <w:tc>
          <w:tcPr>
            <w:tcW w:w="990" w:type="dxa"/>
            <w:tcBorders>
              <w:top w:val="single" w:sz="4" w:space="0" w:color="000000"/>
              <w:left w:val="single" w:sz="12" w:space="0" w:color="000000"/>
              <w:bottom w:val="single" w:sz="4" w:space="0" w:color="000000"/>
              <w:right w:val="single" w:sz="12" w:space="0" w:color="000000"/>
            </w:tcBorders>
          </w:tcPr>
          <w:p w14:paraId="487DE280" w14:textId="6B003F06" w:rsidR="00B0429D" w:rsidRDefault="00B0429D" w:rsidP="008A155E">
            <w:pPr>
              <w:spacing w:after="0" w:line="259" w:lineRule="auto"/>
              <w:ind w:left="0" w:right="48" w:firstLine="0"/>
              <w:jc w:val="center"/>
            </w:pPr>
            <w:r>
              <w:rPr>
                <w:sz w:val="18"/>
              </w:rPr>
              <w:t>N/A</w:t>
            </w:r>
          </w:p>
        </w:tc>
        <w:tc>
          <w:tcPr>
            <w:tcW w:w="900" w:type="dxa"/>
            <w:tcBorders>
              <w:top w:val="single" w:sz="4" w:space="0" w:color="000000"/>
              <w:left w:val="single" w:sz="12" w:space="0" w:color="000000"/>
              <w:bottom w:val="single" w:sz="4" w:space="0" w:color="000000"/>
              <w:right w:val="single" w:sz="12" w:space="0" w:color="000000"/>
            </w:tcBorders>
          </w:tcPr>
          <w:p w14:paraId="20672DE1" w14:textId="037EC6EA" w:rsidR="00B0429D" w:rsidRDefault="00B0429D" w:rsidP="008A155E">
            <w:pPr>
              <w:spacing w:after="0" w:line="259" w:lineRule="auto"/>
              <w:ind w:left="0" w:right="53" w:firstLine="0"/>
              <w:jc w:val="center"/>
            </w:pPr>
            <w:r>
              <w:rPr>
                <w:b/>
                <w:sz w:val="18"/>
              </w:rPr>
              <w:t>525.2</w:t>
            </w:r>
          </w:p>
        </w:tc>
        <w:tc>
          <w:tcPr>
            <w:tcW w:w="720" w:type="dxa"/>
            <w:tcBorders>
              <w:top w:val="single" w:sz="4" w:space="0" w:color="000000"/>
              <w:left w:val="single" w:sz="12" w:space="0" w:color="000000"/>
              <w:bottom w:val="single" w:sz="4" w:space="0" w:color="000000"/>
              <w:right w:val="single" w:sz="12" w:space="0" w:color="000000"/>
            </w:tcBorders>
          </w:tcPr>
          <w:p w14:paraId="3157E15D" w14:textId="31A1AAB1" w:rsidR="00B0429D" w:rsidRDefault="00B0429D" w:rsidP="008A155E">
            <w:pPr>
              <w:spacing w:after="0" w:line="259" w:lineRule="auto"/>
              <w:ind w:left="0" w:right="44" w:firstLine="0"/>
              <w:jc w:val="center"/>
            </w:pPr>
            <w:r>
              <w:rPr>
                <w:sz w:val="18"/>
              </w:rPr>
              <w:t>550.1</w:t>
            </w:r>
          </w:p>
        </w:tc>
        <w:tc>
          <w:tcPr>
            <w:tcW w:w="720" w:type="dxa"/>
            <w:tcBorders>
              <w:top w:val="single" w:sz="4" w:space="0" w:color="000000"/>
              <w:left w:val="single" w:sz="12" w:space="0" w:color="000000"/>
              <w:bottom w:val="single" w:sz="4" w:space="0" w:color="000000"/>
              <w:right w:val="single" w:sz="12" w:space="0" w:color="000000"/>
            </w:tcBorders>
          </w:tcPr>
          <w:p w14:paraId="136D7159" w14:textId="221E1E2C" w:rsidR="00B0429D" w:rsidRPr="00FC7081" w:rsidRDefault="00B0429D" w:rsidP="008A155E">
            <w:pPr>
              <w:spacing w:after="0" w:line="259" w:lineRule="auto"/>
              <w:ind w:left="0" w:right="2" w:firstLine="0"/>
              <w:jc w:val="center"/>
            </w:pPr>
          </w:p>
        </w:tc>
      </w:tr>
      <w:tr w:rsidR="0001496C" w14:paraId="6C55F25E" w14:textId="77777777" w:rsidTr="00C23B62">
        <w:trPr>
          <w:trHeight w:val="250"/>
        </w:trPr>
        <w:tc>
          <w:tcPr>
            <w:tcW w:w="3386" w:type="dxa"/>
            <w:tcBorders>
              <w:top w:val="single" w:sz="4" w:space="0" w:color="000000"/>
              <w:left w:val="single" w:sz="12" w:space="0" w:color="000000"/>
              <w:bottom w:val="single" w:sz="4" w:space="0" w:color="000000"/>
              <w:right w:val="single" w:sz="12" w:space="0" w:color="000000"/>
            </w:tcBorders>
          </w:tcPr>
          <w:p w14:paraId="2E79E78D" w14:textId="77777777" w:rsidR="00B0429D" w:rsidRDefault="00B0429D" w:rsidP="00B0429D">
            <w:pPr>
              <w:spacing w:after="0" w:line="259" w:lineRule="auto"/>
              <w:ind w:left="2" w:right="0" w:firstLine="0"/>
            </w:pPr>
            <w:r>
              <w:rPr>
                <w:sz w:val="18"/>
              </w:rPr>
              <w:t>Benzo[b]fluoranthene</w:t>
            </w:r>
            <w:r>
              <w:rPr>
                <w:b/>
                <w:sz w:val="18"/>
              </w:rPr>
              <w:t xml:space="preserve"> </w:t>
            </w:r>
          </w:p>
        </w:tc>
        <w:tc>
          <w:tcPr>
            <w:tcW w:w="1114" w:type="dxa"/>
            <w:gridSpan w:val="2"/>
            <w:tcBorders>
              <w:top w:val="single" w:sz="4" w:space="0" w:color="000000"/>
              <w:left w:val="single" w:sz="12" w:space="0" w:color="000000"/>
              <w:bottom w:val="single" w:sz="4" w:space="0" w:color="000000"/>
              <w:right w:val="single" w:sz="12" w:space="0" w:color="000000"/>
            </w:tcBorders>
          </w:tcPr>
          <w:p w14:paraId="15B4E324" w14:textId="7878379A" w:rsidR="00B0429D" w:rsidRDefault="00B0429D" w:rsidP="008A155E">
            <w:pPr>
              <w:spacing w:after="0" w:line="259" w:lineRule="auto"/>
              <w:ind w:left="0" w:right="50" w:firstLine="0"/>
              <w:jc w:val="center"/>
            </w:pPr>
            <w:r>
              <w:rPr>
                <w:sz w:val="18"/>
              </w:rPr>
              <w:t>205-99-2</w:t>
            </w:r>
          </w:p>
        </w:tc>
        <w:tc>
          <w:tcPr>
            <w:tcW w:w="900" w:type="dxa"/>
            <w:tcBorders>
              <w:top w:val="single" w:sz="4" w:space="0" w:color="000000"/>
              <w:left w:val="single" w:sz="12" w:space="0" w:color="000000"/>
              <w:bottom w:val="single" w:sz="4" w:space="0" w:color="000000"/>
              <w:right w:val="single" w:sz="12" w:space="0" w:color="000000"/>
            </w:tcBorders>
          </w:tcPr>
          <w:p w14:paraId="577AAA87" w14:textId="36FA02EF" w:rsidR="00B0429D" w:rsidRDefault="00B0429D" w:rsidP="008A155E">
            <w:pPr>
              <w:tabs>
                <w:tab w:val="center" w:pos="399"/>
              </w:tabs>
              <w:spacing w:after="0" w:line="259" w:lineRule="auto"/>
              <w:ind w:left="0" w:right="0" w:firstLine="0"/>
              <w:jc w:val="center"/>
            </w:pPr>
            <w:r>
              <w:rPr>
                <w:sz w:val="18"/>
              </w:rPr>
              <w:t>0.2</w:t>
            </w:r>
          </w:p>
        </w:tc>
        <w:tc>
          <w:tcPr>
            <w:tcW w:w="911" w:type="dxa"/>
            <w:tcBorders>
              <w:top w:val="single" w:sz="4" w:space="0" w:color="000000"/>
              <w:left w:val="single" w:sz="12" w:space="0" w:color="000000"/>
              <w:bottom w:val="single" w:sz="4" w:space="0" w:color="000000"/>
              <w:right w:val="single" w:sz="12" w:space="0" w:color="000000"/>
            </w:tcBorders>
          </w:tcPr>
          <w:p w14:paraId="17ECDDB4" w14:textId="304F6B8F" w:rsidR="00B0429D" w:rsidRDefault="00B0429D" w:rsidP="008A155E">
            <w:pPr>
              <w:spacing w:after="0" w:line="259" w:lineRule="auto"/>
              <w:ind w:left="0" w:right="52" w:firstLine="0"/>
              <w:jc w:val="center"/>
            </w:pPr>
            <w:r>
              <w:rPr>
                <w:sz w:val="18"/>
              </w:rPr>
              <w:t>ug/L</w:t>
            </w:r>
          </w:p>
        </w:tc>
        <w:tc>
          <w:tcPr>
            <w:tcW w:w="889" w:type="dxa"/>
            <w:gridSpan w:val="2"/>
            <w:tcBorders>
              <w:top w:val="single" w:sz="4" w:space="0" w:color="000000"/>
              <w:left w:val="single" w:sz="12" w:space="0" w:color="000000"/>
              <w:bottom w:val="single" w:sz="4" w:space="0" w:color="000000"/>
              <w:right w:val="single" w:sz="12" w:space="0" w:color="000000"/>
            </w:tcBorders>
          </w:tcPr>
          <w:p w14:paraId="75020200" w14:textId="71DE1387" w:rsidR="00B0429D" w:rsidRDefault="00B0429D" w:rsidP="008A155E">
            <w:pPr>
              <w:spacing w:after="0" w:line="259" w:lineRule="auto"/>
              <w:ind w:left="0" w:right="53" w:firstLine="0"/>
              <w:jc w:val="center"/>
            </w:pPr>
            <w:r>
              <w:rPr>
                <w:sz w:val="18"/>
              </w:rPr>
              <w:t>N/A</w:t>
            </w:r>
          </w:p>
        </w:tc>
        <w:tc>
          <w:tcPr>
            <w:tcW w:w="990" w:type="dxa"/>
            <w:tcBorders>
              <w:top w:val="single" w:sz="4" w:space="0" w:color="000000"/>
              <w:left w:val="single" w:sz="12" w:space="0" w:color="000000"/>
              <w:bottom w:val="single" w:sz="4" w:space="0" w:color="000000"/>
              <w:right w:val="single" w:sz="12" w:space="0" w:color="000000"/>
            </w:tcBorders>
          </w:tcPr>
          <w:p w14:paraId="6913C25E" w14:textId="6FA0264A" w:rsidR="00B0429D" w:rsidRDefault="00B0429D" w:rsidP="008A155E">
            <w:pPr>
              <w:spacing w:after="0" w:line="259" w:lineRule="auto"/>
              <w:ind w:left="0" w:right="48" w:firstLine="0"/>
              <w:jc w:val="center"/>
            </w:pPr>
            <w:r>
              <w:rPr>
                <w:sz w:val="18"/>
              </w:rPr>
              <w:t>N/A</w:t>
            </w:r>
          </w:p>
        </w:tc>
        <w:tc>
          <w:tcPr>
            <w:tcW w:w="900" w:type="dxa"/>
            <w:tcBorders>
              <w:top w:val="single" w:sz="4" w:space="0" w:color="000000"/>
              <w:left w:val="single" w:sz="12" w:space="0" w:color="000000"/>
              <w:bottom w:val="single" w:sz="4" w:space="0" w:color="000000"/>
              <w:right w:val="single" w:sz="12" w:space="0" w:color="000000"/>
            </w:tcBorders>
          </w:tcPr>
          <w:p w14:paraId="36148078" w14:textId="6DE9D5A6" w:rsidR="00B0429D" w:rsidRDefault="00B0429D" w:rsidP="008A155E">
            <w:pPr>
              <w:spacing w:after="0" w:line="259" w:lineRule="auto"/>
              <w:ind w:left="0" w:right="53" w:firstLine="0"/>
              <w:jc w:val="center"/>
            </w:pPr>
            <w:r>
              <w:rPr>
                <w:b/>
                <w:sz w:val="18"/>
              </w:rPr>
              <w:t>525.2</w:t>
            </w:r>
          </w:p>
        </w:tc>
        <w:tc>
          <w:tcPr>
            <w:tcW w:w="720" w:type="dxa"/>
            <w:tcBorders>
              <w:top w:val="single" w:sz="4" w:space="0" w:color="000000"/>
              <w:left w:val="single" w:sz="12" w:space="0" w:color="000000"/>
              <w:bottom w:val="single" w:sz="4" w:space="0" w:color="000000"/>
              <w:right w:val="single" w:sz="12" w:space="0" w:color="000000"/>
            </w:tcBorders>
          </w:tcPr>
          <w:p w14:paraId="4B9139C9" w14:textId="3EB62961" w:rsidR="00B0429D" w:rsidRDefault="00B0429D" w:rsidP="008A155E">
            <w:pPr>
              <w:spacing w:after="0" w:line="259" w:lineRule="auto"/>
              <w:ind w:left="0" w:right="44" w:firstLine="0"/>
              <w:jc w:val="center"/>
            </w:pPr>
            <w:r>
              <w:rPr>
                <w:sz w:val="18"/>
              </w:rPr>
              <w:t>550.1</w:t>
            </w:r>
          </w:p>
        </w:tc>
        <w:tc>
          <w:tcPr>
            <w:tcW w:w="720" w:type="dxa"/>
            <w:tcBorders>
              <w:top w:val="single" w:sz="4" w:space="0" w:color="000000"/>
              <w:left w:val="single" w:sz="12" w:space="0" w:color="000000"/>
              <w:bottom w:val="single" w:sz="4" w:space="0" w:color="000000"/>
              <w:right w:val="single" w:sz="12" w:space="0" w:color="000000"/>
            </w:tcBorders>
          </w:tcPr>
          <w:p w14:paraId="1D62A4B8" w14:textId="6D5E539D" w:rsidR="00B0429D" w:rsidRPr="00FC7081" w:rsidRDefault="00B0429D" w:rsidP="008A155E">
            <w:pPr>
              <w:spacing w:after="0" w:line="259" w:lineRule="auto"/>
              <w:ind w:left="0" w:right="2" w:firstLine="0"/>
              <w:jc w:val="center"/>
            </w:pPr>
          </w:p>
        </w:tc>
      </w:tr>
      <w:tr w:rsidR="0001496C" w14:paraId="178C4784" w14:textId="77777777" w:rsidTr="00C23B62">
        <w:trPr>
          <w:trHeight w:val="250"/>
        </w:trPr>
        <w:tc>
          <w:tcPr>
            <w:tcW w:w="3386" w:type="dxa"/>
            <w:tcBorders>
              <w:top w:val="single" w:sz="4" w:space="0" w:color="000000"/>
              <w:left w:val="single" w:sz="12" w:space="0" w:color="000000"/>
              <w:bottom w:val="single" w:sz="4" w:space="0" w:color="000000"/>
              <w:right w:val="single" w:sz="12" w:space="0" w:color="000000"/>
            </w:tcBorders>
          </w:tcPr>
          <w:p w14:paraId="384003F3" w14:textId="77777777" w:rsidR="00B0429D" w:rsidRDefault="00B0429D" w:rsidP="00B0429D">
            <w:pPr>
              <w:spacing w:after="0" w:line="259" w:lineRule="auto"/>
              <w:ind w:left="2" w:right="0" w:firstLine="0"/>
            </w:pPr>
            <w:r>
              <w:rPr>
                <w:sz w:val="18"/>
              </w:rPr>
              <w:t>Benzo[k]fluoranthene</w:t>
            </w:r>
            <w:r>
              <w:rPr>
                <w:b/>
                <w:sz w:val="18"/>
              </w:rPr>
              <w:t xml:space="preserve"> </w:t>
            </w:r>
          </w:p>
        </w:tc>
        <w:tc>
          <w:tcPr>
            <w:tcW w:w="1114" w:type="dxa"/>
            <w:gridSpan w:val="2"/>
            <w:tcBorders>
              <w:top w:val="single" w:sz="4" w:space="0" w:color="000000"/>
              <w:left w:val="single" w:sz="12" w:space="0" w:color="000000"/>
              <w:bottom w:val="single" w:sz="4" w:space="0" w:color="000000"/>
              <w:right w:val="single" w:sz="12" w:space="0" w:color="000000"/>
            </w:tcBorders>
          </w:tcPr>
          <w:p w14:paraId="0AE4483D" w14:textId="56BAA505" w:rsidR="00B0429D" w:rsidRDefault="00B0429D" w:rsidP="008A155E">
            <w:pPr>
              <w:spacing w:after="0" w:line="259" w:lineRule="auto"/>
              <w:ind w:left="0" w:right="50" w:firstLine="0"/>
              <w:jc w:val="center"/>
            </w:pPr>
            <w:r>
              <w:rPr>
                <w:sz w:val="18"/>
              </w:rPr>
              <w:t>207-08-9</w:t>
            </w:r>
          </w:p>
        </w:tc>
        <w:tc>
          <w:tcPr>
            <w:tcW w:w="900" w:type="dxa"/>
            <w:tcBorders>
              <w:top w:val="single" w:sz="4" w:space="0" w:color="000000"/>
              <w:left w:val="single" w:sz="12" w:space="0" w:color="000000"/>
              <w:bottom w:val="single" w:sz="4" w:space="0" w:color="000000"/>
              <w:right w:val="single" w:sz="12" w:space="0" w:color="000000"/>
            </w:tcBorders>
          </w:tcPr>
          <w:p w14:paraId="72B40028" w14:textId="51599BBD" w:rsidR="00B0429D" w:rsidRDefault="00B0429D" w:rsidP="008A155E">
            <w:pPr>
              <w:tabs>
                <w:tab w:val="center" w:pos="399"/>
              </w:tabs>
              <w:spacing w:after="0" w:line="259" w:lineRule="auto"/>
              <w:ind w:left="0" w:right="0" w:firstLine="0"/>
              <w:jc w:val="center"/>
            </w:pPr>
            <w:r>
              <w:rPr>
                <w:sz w:val="18"/>
              </w:rPr>
              <w:t>0.5</w:t>
            </w:r>
          </w:p>
        </w:tc>
        <w:tc>
          <w:tcPr>
            <w:tcW w:w="911" w:type="dxa"/>
            <w:tcBorders>
              <w:top w:val="single" w:sz="4" w:space="0" w:color="000000"/>
              <w:left w:val="single" w:sz="12" w:space="0" w:color="000000"/>
              <w:bottom w:val="single" w:sz="4" w:space="0" w:color="000000"/>
              <w:right w:val="single" w:sz="12" w:space="0" w:color="000000"/>
            </w:tcBorders>
          </w:tcPr>
          <w:p w14:paraId="7E7700FA" w14:textId="75B88337" w:rsidR="00B0429D" w:rsidRDefault="00B0429D" w:rsidP="008A155E">
            <w:pPr>
              <w:spacing w:after="0" w:line="259" w:lineRule="auto"/>
              <w:ind w:left="0" w:right="52" w:firstLine="0"/>
              <w:jc w:val="center"/>
            </w:pPr>
            <w:r>
              <w:rPr>
                <w:sz w:val="18"/>
              </w:rPr>
              <w:t>ug/L</w:t>
            </w:r>
          </w:p>
        </w:tc>
        <w:tc>
          <w:tcPr>
            <w:tcW w:w="889" w:type="dxa"/>
            <w:gridSpan w:val="2"/>
            <w:tcBorders>
              <w:top w:val="single" w:sz="4" w:space="0" w:color="000000"/>
              <w:left w:val="single" w:sz="12" w:space="0" w:color="000000"/>
              <w:bottom w:val="single" w:sz="4" w:space="0" w:color="000000"/>
              <w:right w:val="single" w:sz="12" w:space="0" w:color="000000"/>
            </w:tcBorders>
          </w:tcPr>
          <w:p w14:paraId="366D802A" w14:textId="428EC1DA" w:rsidR="00B0429D" w:rsidRDefault="00B0429D" w:rsidP="008A155E">
            <w:pPr>
              <w:spacing w:after="0" w:line="259" w:lineRule="auto"/>
              <w:ind w:left="0" w:right="53" w:firstLine="0"/>
              <w:jc w:val="center"/>
            </w:pPr>
            <w:r>
              <w:rPr>
                <w:sz w:val="18"/>
              </w:rPr>
              <w:t>N/A</w:t>
            </w:r>
          </w:p>
        </w:tc>
        <w:tc>
          <w:tcPr>
            <w:tcW w:w="990" w:type="dxa"/>
            <w:tcBorders>
              <w:top w:val="single" w:sz="4" w:space="0" w:color="000000"/>
              <w:left w:val="single" w:sz="12" w:space="0" w:color="000000"/>
              <w:bottom w:val="single" w:sz="4" w:space="0" w:color="000000"/>
              <w:right w:val="single" w:sz="12" w:space="0" w:color="000000"/>
            </w:tcBorders>
          </w:tcPr>
          <w:p w14:paraId="21DAA327" w14:textId="79AF9F2F" w:rsidR="00B0429D" w:rsidRDefault="00B0429D" w:rsidP="008A155E">
            <w:pPr>
              <w:spacing w:after="0" w:line="259" w:lineRule="auto"/>
              <w:ind w:left="0" w:right="48" w:firstLine="0"/>
              <w:jc w:val="center"/>
            </w:pPr>
            <w:r>
              <w:rPr>
                <w:sz w:val="18"/>
              </w:rPr>
              <w:t>N/A</w:t>
            </w:r>
          </w:p>
        </w:tc>
        <w:tc>
          <w:tcPr>
            <w:tcW w:w="900" w:type="dxa"/>
            <w:tcBorders>
              <w:top w:val="single" w:sz="4" w:space="0" w:color="000000"/>
              <w:left w:val="single" w:sz="12" w:space="0" w:color="000000"/>
              <w:bottom w:val="single" w:sz="4" w:space="0" w:color="000000"/>
              <w:right w:val="single" w:sz="12" w:space="0" w:color="000000"/>
            </w:tcBorders>
          </w:tcPr>
          <w:p w14:paraId="5BB1C51D" w14:textId="617AC9DB" w:rsidR="00B0429D" w:rsidRDefault="00B0429D" w:rsidP="008A155E">
            <w:pPr>
              <w:spacing w:after="0" w:line="259" w:lineRule="auto"/>
              <w:ind w:left="0" w:right="53" w:firstLine="0"/>
              <w:jc w:val="center"/>
            </w:pPr>
            <w:r>
              <w:rPr>
                <w:b/>
                <w:sz w:val="18"/>
              </w:rPr>
              <w:t>525.2</w:t>
            </w:r>
          </w:p>
        </w:tc>
        <w:tc>
          <w:tcPr>
            <w:tcW w:w="720" w:type="dxa"/>
            <w:tcBorders>
              <w:top w:val="single" w:sz="4" w:space="0" w:color="000000"/>
              <w:left w:val="single" w:sz="12" w:space="0" w:color="000000"/>
              <w:bottom w:val="single" w:sz="4" w:space="0" w:color="000000"/>
              <w:right w:val="single" w:sz="12" w:space="0" w:color="000000"/>
            </w:tcBorders>
          </w:tcPr>
          <w:p w14:paraId="4DE3E158" w14:textId="3E9EB318" w:rsidR="00B0429D" w:rsidRDefault="00B0429D" w:rsidP="008A155E">
            <w:pPr>
              <w:spacing w:after="0" w:line="259" w:lineRule="auto"/>
              <w:ind w:left="0" w:right="44" w:firstLine="0"/>
              <w:jc w:val="center"/>
            </w:pPr>
            <w:r>
              <w:rPr>
                <w:sz w:val="18"/>
              </w:rPr>
              <w:t>550.1</w:t>
            </w:r>
          </w:p>
        </w:tc>
        <w:tc>
          <w:tcPr>
            <w:tcW w:w="720" w:type="dxa"/>
            <w:tcBorders>
              <w:top w:val="single" w:sz="4" w:space="0" w:color="000000"/>
              <w:left w:val="single" w:sz="12" w:space="0" w:color="000000"/>
              <w:bottom w:val="single" w:sz="4" w:space="0" w:color="000000"/>
              <w:right w:val="single" w:sz="12" w:space="0" w:color="000000"/>
            </w:tcBorders>
          </w:tcPr>
          <w:p w14:paraId="3A48D7D1" w14:textId="69498612" w:rsidR="00B0429D" w:rsidRPr="00FC7081" w:rsidRDefault="00B0429D" w:rsidP="008A155E">
            <w:pPr>
              <w:spacing w:after="0" w:line="259" w:lineRule="auto"/>
              <w:ind w:left="0" w:right="2" w:firstLine="0"/>
              <w:jc w:val="center"/>
            </w:pPr>
          </w:p>
        </w:tc>
      </w:tr>
      <w:tr w:rsidR="0001496C" w14:paraId="1FC98437" w14:textId="77777777" w:rsidTr="00C23B62">
        <w:trPr>
          <w:trHeight w:val="252"/>
        </w:trPr>
        <w:tc>
          <w:tcPr>
            <w:tcW w:w="3386" w:type="dxa"/>
            <w:tcBorders>
              <w:top w:val="single" w:sz="4" w:space="0" w:color="000000"/>
              <w:left w:val="single" w:sz="12" w:space="0" w:color="000000"/>
              <w:bottom w:val="single" w:sz="4" w:space="0" w:color="000000"/>
              <w:right w:val="single" w:sz="12" w:space="0" w:color="000000"/>
            </w:tcBorders>
          </w:tcPr>
          <w:p w14:paraId="7BA05D94" w14:textId="77777777" w:rsidR="00B0429D" w:rsidRDefault="00B0429D" w:rsidP="00B0429D">
            <w:pPr>
              <w:spacing w:after="0" w:line="259" w:lineRule="auto"/>
              <w:ind w:left="2" w:right="0" w:firstLine="0"/>
            </w:pPr>
            <w:r>
              <w:rPr>
                <w:sz w:val="18"/>
              </w:rPr>
              <w:t>Benzo[</w:t>
            </w:r>
            <w:proofErr w:type="spellStart"/>
            <w:proofErr w:type="gramStart"/>
            <w:r>
              <w:rPr>
                <w:sz w:val="18"/>
              </w:rPr>
              <w:t>g,h</w:t>
            </w:r>
            <w:proofErr w:type="gramEnd"/>
            <w:r>
              <w:rPr>
                <w:sz w:val="18"/>
              </w:rPr>
              <w:t>,</w:t>
            </w:r>
            <w:proofErr w:type="gramStart"/>
            <w:r>
              <w:rPr>
                <w:sz w:val="18"/>
              </w:rPr>
              <w:t>i</w:t>
            </w:r>
            <w:proofErr w:type="spellEnd"/>
            <w:r>
              <w:rPr>
                <w:sz w:val="18"/>
              </w:rPr>
              <w:t>]perylene</w:t>
            </w:r>
            <w:proofErr w:type="gramEnd"/>
            <w:r>
              <w:rPr>
                <w:b/>
                <w:sz w:val="18"/>
              </w:rPr>
              <w:t xml:space="preserve"> </w:t>
            </w:r>
          </w:p>
        </w:tc>
        <w:tc>
          <w:tcPr>
            <w:tcW w:w="1114" w:type="dxa"/>
            <w:gridSpan w:val="2"/>
            <w:tcBorders>
              <w:top w:val="single" w:sz="4" w:space="0" w:color="000000"/>
              <w:left w:val="single" w:sz="12" w:space="0" w:color="000000"/>
              <w:bottom w:val="single" w:sz="4" w:space="0" w:color="000000"/>
              <w:right w:val="single" w:sz="12" w:space="0" w:color="000000"/>
            </w:tcBorders>
          </w:tcPr>
          <w:p w14:paraId="5232F3AC" w14:textId="44A93F06" w:rsidR="00B0429D" w:rsidRDefault="00B0429D" w:rsidP="008A155E">
            <w:pPr>
              <w:spacing w:after="0" w:line="259" w:lineRule="auto"/>
              <w:ind w:left="0" w:right="50" w:firstLine="0"/>
              <w:jc w:val="center"/>
            </w:pPr>
            <w:r>
              <w:rPr>
                <w:sz w:val="18"/>
              </w:rPr>
              <w:t>191-24-2</w:t>
            </w:r>
          </w:p>
        </w:tc>
        <w:tc>
          <w:tcPr>
            <w:tcW w:w="900" w:type="dxa"/>
            <w:tcBorders>
              <w:top w:val="single" w:sz="4" w:space="0" w:color="000000"/>
              <w:left w:val="single" w:sz="12" w:space="0" w:color="000000"/>
              <w:bottom w:val="single" w:sz="4" w:space="0" w:color="000000"/>
              <w:right w:val="single" w:sz="12" w:space="0" w:color="000000"/>
            </w:tcBorders>
          </w:tcPr>
          <w:p w14:paraId="07BADF89" w14:textId="2BE3A4E5" w:rsidR="00B0429D" w:rsidRDefault="00B0429D" w:rsidP="008A155E">
            <w:pPr>
              <w:tabs>
                <w:tab w:val="center" w:pos="354"/>
              </w:tabs>
              <w:spacing w:after="0" w:line="259" w:lineRule="auto"/>
              <w:ind w:left="0" w:right="0" w:firstLine="0"/>
              <w:jc w:val="center"/>
            </w:pPr>
            <w:r>
              <w:rPr>
                <w:sz w:val="18"/>
              </w:rPr>
              <w:t>2</w:t>
            </w:r>
          </w:p>
        </w:tc>
        <w:tc>
          <w:tcPr>
            <w:tcW w:w="911" w:type="dxa"/>
            <w:tcBorders>
              <w:top w:val="single" w:sz="4" w:space="0" w:color="000000"/>
              <w:left w:val="single" w:sz="12" w:space="0" w:color="000000"/>
              <w:bottom w:val="single" w:sz="4" w:space="0" w:color="000000"/>
              <w:right w:val="single" w:sz="12" w:space="0" w:color="000000"/>
            </w:tcBorders>
          </w:tcPr>
          <w:p w14:paraId="271E3A47" w14:textId="5739A541" w:rsidR="00B0429D" w:rsidRDefault="00B0429D" w:rsidP="008A155E">
            <w:pPr>
              <w:spacing w:after="0" w:line="259" w:lineRule="auto"/>
              <w:ind w:left="0" w:right="52" w:firstLine="0"/>
              <w:jc w:val="center"/>
            </w:pPr>
            <w:r>
              <w:rPr>
                <w:sz w:val="18"/>
              </w:rPr>
              <w:t>ug/L</w:t>
            </w:r>
          </w:p>
        </w:tc>
        <w:tc>
          <w:tcPr>
            <w:tcW w:w="889" w:type="dxa"/>
            <w:gridSpan w:val="2"/>
            <w:tcBorders>
              <w:top w:val="single" w:sz="4" w:space="0" w:color="000000"/>
              <w:left w:val="single" w:sz="12" w:space="0" w:color="000000"/>
              <w:bottom w:val="single" w:sz="4" w:space="0" w:color="000000"/>
              <w:right w:val="single" w:sz="12" w:space="0" w:color="000000"/>
            </w:tcBorders>
          </w:tcPr>
          <w:p w14:paraId="4DAE6F6A" w14:textId="59859411" w:rsidR="00B0429D" w:rsidRDefault="00B0429D" w:rsidP="008A155E">
            <w:pPr>
              <w:spacing w:after="0" w:line="259" w:lineRule="auto"/>
              <w:ind w:left="0" w:right="53" w:firstLine="0"/>
              <w:jc w:val="center"/>
            </w:pPr>
            <w:r>
              <w:rPr>
                <w:sz w:val="18"/>
              </w:rPr>
              <w:t>N/A</w:t>
            </w:r>
          </w:p>
        </w:tc>
        <w:tc>
          <w:tcPr>
            <w:tcW w:w="990" w:type="dxa"/>
            <w:tcBorders>
              <w:top w:val="single" w:sz="4" w:space="0" w:color="000000"/>
              <w:left w:val="single" w:sz="12" w:space="0" w:color="000000"/>
              <w:bottom w:val="single" w:sz="4" w:space="0" w:color="000000"/>
              <w:right w:val="single" w:sz="12" w:space="0" w:color="000000"/>
            </w:tcBorders>
          </w:tcPr>
          <w:p w14:paraId="37F50322" w14:textId="748E27C4" w:rsidR="00B0429D" w:rsidRDefault="00B0429D" w:rsidP="008A155E">
            <w:pPr>
              <w:spacing w:after="0" w:line="259" w:lineRule="auto"/>
              <w:ind w:left="0" w:right="48" w:firstLine="0"/>
              <w:jc w:val="center"/>
            </w:pPr>
            <w:r>
              <w:rPr>
                <w:sz w:val="18"/>
              </w:rPr>
              <w:t>N/A</w:t>
            </w:r>
          </w:p>
        </w:tc>
        <w:tc>
          <w:tcPr>
            <w:tcW w:w="900" w:type="dxa"/>
            <w:tcBorders>
              <w:top w:val="single" w:sz="4" w:space="0" w:color="000000"/>
              <w:left w:val="single" w:sz="12" w:space="0" w:color="000000"/>
              <w:bottom w:val="single" w:sz="4" w:space="0" w:color="000000"/>
              <w:right w:val="single" w:sz="12" w:space="0" w:color="000000"/>
            </w:tcBorders>
          </w:tcPr>
          <w:p w14:paraId="4D861015" w14:textId="0C987102" w:rsidR="00B0429D" w:rsidRDefault="00B0429D" w:rsidP="008A155E">
            <w:pPr>
              <w:spacing w:after="0" w:line="259" w:lineRule="auto"/>
              <w:ind w:left="0" w:right="53" w:firstLine="0"/>
              <w:jc w:val="center"/>
            </w:pPr>
            <w:r>
              <w:rPr>
                <w:b/>
                <w:sz w:val="18"/>
              </w:rPr>
              <w:t>525.2</w:t>
            </w:r>
          </w:p>
        </w:tc>
        <w:tc>
          <w:tcPr>
            <w:tcW w:w="720" w:type="dxa"/>
            <w:tcBorders>
              <w:top w:val="single" w:sz="4" w:space="0" w:color="000000"/>
              <w:left w:val="single" w:sz="12" w:space="0" w:color="000000"/>
              <w:bottom w:val="single" w:sz="4" w:space="0" w:color="000000"/>
              <w:right w:val="single" w:sz="12" w:space="0" w:color="000000"/>
            </w:tcBorders>
          </w:tcPr>
          <w:p w14:paraId="2B23E294" w14:textId="4F34154B" w:rsidR="00B0429D" w:rsidRDefault="00B0429D" w:rsidP="008A155E">
            <w:pPr>
              <w:spacing w:after="0" w:line="259" w:lineRule="auto"/>
              <w:ind w:left="0" w:right="44" w:firstLine="0"/>
              <w:jc w:val="center"/>
            </w:pPr>
            <w:r>
              <w:rPr>
                <w:sz w:val="18"/>
              </w:rPr>
              <w:t>550.1</w:t>
            </w:r>
          </w:p>
        </w:tc>
        <w:tc>
          <w:tcPr>
            <w:tcW w:w="720" w:type="dxa"/>
            <w:tcBorders>
              <w:top w:val="single" w:sz="4" w:space="0" w:color="000000"/>
              <w:left w:val="single" w:sz="12" w:space="0" w:color="000000"/>
              <w:bottom w:val="single" w:sz="4" w:space="0" w:color="000000"/>
              <w:right w:val="single" w:sz="12" w:space="0" w:color="000000"/>
            </w:tcBorders>
          </w:tcPr>
          <w:p w14:paraId="1AB7FF4A" w14:textId="1C21C799" w:rsidR="00B0429D" w:rsidRPr="00FC7081" w:rsidRDefault="00B0429D" w:rsidP="008A155E">
            <w:pPr>
              <w:spacing w:after="0" w:line="259" w:lineRule="auto"/>
              <w:ind w:left="0" w:right="2" w:firstLine="0"/>
              <w:jc w:val="center"/>
            </w:pPr>
          </w:p>
        </w:tc>
      </w:tr>
      <w:tr w:rsidR="0001496C" w14:paraId="06803BC3" w14:textId="77777777" w:rsidTr="00C23B62">
        <w:trPr>
          <w:trHeight w:val="250"/>
        </w:trPr>
        <w:tc>
          <w:tcPr>
            <w:tcW w:w="3386" w:type="dxa"/>
            <w:tcBorders>
              <w:top w:val="single" w:sz="4" w:space="0" w:color="000000"/>
              <w:left w:val="single" w:sz="12" w:space="0" w:color="000000"/>
              <w:bottom w:val="single" w:sz="4" w:space="0" w:color="000000"/>
              <w:right w:val="single" w:sz="12" w:space="0" w:color="000000"/>
            </w:tcBorders>
          </w:tcPr>
          <w:p w14:paraId="10E1ECA7" w14:textId="77777777" w:rsidR="00B0429D" w:rsidRDefault="00B0429D" w:rsidP="00B0429D">
            <w:pPr>
              <w:spacing w:after="0" w:line="259" w:lineRule="auto"/>
              <w:ind w:left="2" w:right="0" w:firstLine="0"/>
            </w:pPr>
            <w:r>
              <w:rPr>
                <w:sz w:val="18"/>
              </w:rPr>
              <w:t xml:space="preserve">Benzo[a]pyrene </w:t>
            </w:r>
          </w:p>
        </w:tc>
        <w:tc>
          <w:tcPr>
            <w:tcW w:w="1114" w:type="dxa"/>
            <w:gridSpan w:val="2"/>
            <w:tcBorders>
              <w:top w:val="single" w:sz="4" w:space="0" w:color="000000"/>
              <w:left w:val="single" w:sz="12" w:space="0" w:color="000000"/>
              <w:bottom w:val="single" w:sz="4" w:space="0" w:color="000000"/>
              <w:right w:val="single" w:sz="12" w:space="0" w:color="000000"/>
            </w:tcBorders>
          </w:tcPr>
          <w:p w14:paraId="46407EC3" w14:textId="56F2FAE4" w:rsidR="00B0429D" w:rsidRDefault="00B0429D" w:rsidP="008A155E">
            <w:pPr>
              <w:spacing w:after="0" w:line="259" w:lineRule="auto"/>
              <w:ind w:left="0" w:right="50" w:firstLine="0"/>
              <w:jc w:val="center"/>
            </w:pPr>
            <w:r>
              <w:rPr>
                <w:sz w:val="18"/>
              </w:rPr>
              <w:t>50-32-8</w:t>
            </w:r>
          </w:p>
        </w:tc>
        <w:tc>
          <w:tcPr>
            <w:tcW w:w="900" w:type="dxa"/>
            <w:tcBorders>
              <w:top w:val="single" w:sz="4" w:space="0" w:color="000000"/>
              <w:left w:val="single" w:sz="12" w:space="0" w:color="000000"/>
              <w:bottom w:val="single" w:sz="4" w:space="0" w:color="000000"/>
              <w:right w:val="single" w:sz="12" w:space="0" w:color="000000"/>
            </w:tcBorders>
          </w:tcPr>
          <w:p w14:paraId="334BCC3E" w14:textId="428FF384" w:rsidR="00B0429D" w:rsidRDefault="00B0429D" w:rsidP="008A155E">
            <w:pPr>
              <w:tabs>
                <w:tab w:val="center" w:pos="399"/>
              </w:tabs>
              <w:spacing w:after="0" w:line="259" w:lineRule="auto"/>
              <w:ind w:left="0" w:right="0" w:firstLine="0"/>
              <w:jc w:val="center"/>
            </w:pPr>
            <w:r>
              <w:rPr>
                <w:b/>
                <w:sz w:val="18"/>
              </w:rPr>
              <w:t>0.2</w:t>
            </w:r>
          </w:p>
        </w:tc>
        <w:tc>
          <w:tcPr>
            <w:tcW w:w="911" w:type="dxa"/>
            <w:tcBorders>
              <w:top w:val="single" w:sz="4" w:space="0" w:color="000000"/>
              <w:left w:val="single" w:sz="12" w:space="0" w:color="000000"/>
              <w:bottom w:val="single" w:sz="4" w:space="0" w:color="000000"/>
              <w:right w:val="single" w:sz="12" w:space="0" w:color="000000"/>
            </w:tcBorders>
          </w:tcPr>
          <w:p w14:paraId="7DE73259" w14:textId="277DDE01" w:rsidR="00B0429D" w:rsidRDefault="00B0429D" w:rsidP="008A155E">
            <w:pPr>
              <w:spacing w:after="0" w:line="259" w:lineRule="auto"/>
              <w:ind w:left="0" w:right="52" w:firstLine="0"/>
              <w:jc w:val="center"/>
            </w:pPr>
            <w:r>
              <w:rPr>
                <w:sz w:val="18"/>
              </w:rPr>
              <w:t>ug/L</w:t>
            </w:r>
          </w:p>
        </w:tc>
        <w:tc>
          <w:tcPr>
            <w:tcW w:w="889" w:type="dxa"/>
            <w:gridSpan w:val="2"/>
            <w:tcBorders>
              <w:top w:val="single" w:sz="4" w:space="0" w:color="000000"/>
              <w:left w:val="single" w:sz="12" w:space="0" w:color="000000"/>
              <w:bottom w:val="single" w:sz="4" w:space="0" w:color="000000"/>
              <w:right w:val="single" w:sz="12" w:space="0" w:color="000000"/>
            </w:tcBorders>
          </w:tcPr>
          <w:p w14:paraId="298379A5" w14:textId="22BA980B" w:rsidR="00B0429D" w:rsidRDefault="00B0429D" w:rsidP="008A155E">
            <w:pPr>
              <w:spacing w:after="0" w:line="259" w:lineRule="auto"/>
              <w:ind w:left="0" w:right="53" w:firstLine="0"/>
              <w:jc w:val="center"/>
            </w:pPr>
            <w:r>
              <w:rPr>
                <w:sz w:val="18"/>
              </w:rPr>
              <w:t>N/A</w:t>
            </w:r>
          </w:p>
        </w:tc>
        <w:tc>
          <w:tcPr>
            <w:tcW w:w="990" w:type="dxa"/>
            <w:tcBorders>
              <w:top w:val="single" w:sz="4" w:space="0" w:color="000000"/>
              <w:left w:val="single" w:sz="12" w:space="0" w:color="000000"/>
              <w:bottom w:val="single" w:sz="4" w:space="0" w:color="000000"/>
              <w:right w:val="single" w:sz="12" w:space="0" w:color="000000"/>
            </w:tcBorders>
          </w:tcPr>
          <w:p w14:paraId="33DE656A" w14:textId="6B67A301" w:rsidR="00B0429D" w:rsidRDefault="00B0429D" w:rsidP="008A155E">
            <w:pPr>
              <w:spacing w:after="0" w:line="259" w:lineRule="auto"/>
              <w:ind w:left="0" w:right="48" w:firstLine="0"/>
              <w:jc w:val="center"/>
            </w:pPr>
            <w:r>
              <w:rPr>
                <w:sz w:val="18"/>
              </w:rPr>
              <w:t>N/A</w:t>
            </w:r>
          </w:p>
        </w:tc>
        <w:tc>
          <w:tcPr>
            <w:tcW w:w="900" w:type="dxa"/>
            <w:tcBorders>
              <w:top w:val="single" w:sz="4" w:space="0" w:color="000000"/>
              <w:left w:val="single" w:sz="12" w:space="0" w:color="000000"/>
              <w:bottom w:val="single" w:sz="4" w:space="0" w:color="000000"/>
              <w:right w:val="single" w:sz="12" w:space="0" w:color="000000"/>
            </w:tcBorders>
          </w:tcPr>
          <w:p w14:paraId="75E56F5E" w14:textId="01E5425F" w:rsidR="00B0429D" w:rsidRDefault="00B0429D" w:rsidP="008A155E">
            <w:pPr>
              <w:spacing w:after="0" w:line="259" w:lineRule="auto"/>
              <w:ind w:left="0" w:right="53" w:firstLine="0"/>
              <w:jc w:val="center"/>
            </w:pPr>
            <w:r>
              <w:rPr>
                <w:b/>
                <w:sz w:val="18"/>
              </w:rPr>
              <w:t>525.2</w:t>
            </w:r>
          </w:p>
        </w:tc>
        <w:tc>
          <w:tcPr>
            <w:tcW w:w="720" w:type="dxa"/>
            <w:tcBorders>
              <w:top w:val="single" w:sz="4" w:space="0" w:color="000000"/>
              <w:left w:val="single" w:sz="12" w:space="0" w:color="000000"/>
              <w:bottom w:val="single" w:sz="4" w:space="0" w:color="000000"/>
              <w:right w:val="single" w:sz="12" w:space="0" w:color="000000"/>
            </w:tcBorders>
          </w:tcPr>
          <w:p w14:paraId="7DEE5D82" w14:textId="532FE44B" w:rsidR="00B0429D" w:rsidRDefault="00B0429D" w:rsidP="008A155E">
            <w:pPr>
              <w:spacing w:after="0" w:line="259" w:lineRule="auto"/>
              <w:ind w:left="0" w:right="44" w:firstLine="0"/>
              <w:jc w:val="center"/>
            </w:pPr>
            <w:r>
              <w:rPr>
                <w:sz w:val="18"/>
              </w:rPr>
              <w:t>550.1</w:t>
            </w:r>
          </w:p>
        </w:tc>
        <w:tc>
          <w:tcPr>
            <w:tcW w:w="720" w:type="dxa"/>
            <w:tcBorders>
              <w:top w:val="single" w:sz="4" w:space="0" w:color="000000"/>
              <w:left w:val="single" w:sz="12" w:space="0" w:color="000000"/>
              <w:bottom w:val="single" w:sz="4" w:space="0" w:color="000000"/>
              <w:right w:val="single" w:sz="12" w:space="0" w:color="000000"/>
            </w:tcBorders>
          </w:tcPr>
          <w:p w14:paraId="3C8647E0" w14:textId="6F55EA69" w:rsidR="00B0429D" w:rsidRPr="00FC7081" w:rsidRDefault="00B0429D" w:rsidP="008A155E">
            <w:pPr>
              <w:spacing w:after="0" w:line="259" w:lineRule="auto"/>
              <w:ind w:left="0" w:right="2" w:firstLine="0"/>
              <w:jc w:val="center"/>
            </w:pPr>
          </w:p>
        </w:tc>
      </w:tr>
      <w:tr w:rsidR="0001496C" w14:paraId="28ECBD60" w14:textId="77777777" w:rsidTr="00C23B62">
        <w:trPr>
          <w:trHeight w:val="250"/>
        </w:trPr>
        <w:tc>
          <w:tcPr>
            <w:tcW w:w="3386" w:type="dxa"/>
            <w:tcBorders>
              <w:top w:val="single" w:sz="4" w:space="0" w:color="000000"/>
              <w:left w:val="single" w:sz="12" w:space="0" w:color="000000"/>
              <w:bottom w:val="single" w:sz="4" w:space="0" w:color="000000"/>
              <w:right w:val="single" w:sz="12" w:space="0" w:color="000000"/>
            </w:tcBorders>
          </w:tcPr>
          <w:p w14:paraId="00816416" w14:textId="77777777" w:rsidR="00B0429D" w:rsidRDefault="00B0429D" w:rsidP="00B0429D">
            <w:pPr>
              <w:spacing w:after="0" w:line="259" w:lineRule="auto"/>
              <w:ind w:left="2" w:right="0" w:firstLine="0"/>
            </w:pPr>
            <w:r>
              <w:rPr>
                <w:sz w:val="18"/>
              </w:rPr>
              <w:t xml:space="preserve">Butyl benzyl phthalate </w:t>
            </w:r>
          </w:p>
        </w:tc>
        <w:tc>
          <w:tcPr>
            <w:tcW w:w="1114" w:type="dxa"/>
            <w:gridSpan w:val="2"/>
            <w:tcBorders>
              <w:top w:val="single" w:sz="4" w:space="0" w:color="000000"/>
              <w:left w:val="single" w:sz="12" w:space="0" w:color="000000"/>
              <w:bottom w:val="single" w:sz="4" w:space="0" w:color="000000"/>
              <w:right w:val="single" w:sz="12" w:space="0" w:color="000000"/>
            </w:tcBorders>
          </w:tcPr>
          <w:p w14:paraId="7EE954F7" w14:textId="4E0EB4D5" w:rsidR="00B0429D" w:rsidRDefault="00B0429D" w:rsidP="008A155E">
            <w:pPr>
              <w:spacing w:after="0" w:line="259" w:lineRule="auto"/>
              <w:ind w:left="0" w:right="50" w:firstLine="0"/>
              <w:jc w:val="center"/>
            </w:pPr>
            <w:r>
              <w:rPr>
                <w:sz w:val="18"/>
              </w:rPr>
              <w:t>85-68-7</w:t>
            </w:r>
          </w:p>
        </w:tc>
        <w:tc>
          <w:tcPr>
            <w:tcW w:w="900" w:type="dxa"/>
            <w:tcBorders>
              <w:top w:val="single" w:sz="4" w:space="0" w:color="000000"/>
              <w:left w:val="single" w:sz="12" w:space="0" w:color="000000"/>
              <w:bottom w:val="single" w:sz="4" w:space="0" w:color="000000"/>
              <w:right w:val="single" w:sz="12" w:space="0" w:color="000000"/>
            </w:tcBorders>
          </w:tcPr>
          <w:p w14:paraId="586D71AE" w14:textId="253C1E6E" w:rsidR="00B0429D" w:rsidRDefault="00B0429D" w:rsidP="008A155E">
            <w:pPr>
              <w:tabs>
                <w:tab w:val="center" w:pos="308"/>
              </w:tabs>
              <w:spacing w:after="0" w:line="259" w:lineRule="auto"/>
              <w:ind w:left="0" w:right="0" w:firstLine="0"/>
              <w:jc w:val="center"/>
            </w:pPr>
            <w:r>
              <w:rPr>
                <w:sz w:val="18"/>
              </w:rPr>
              <w:t>10</w:t>
            </w:r>
          </w:p>
        </w:tc>
        <w:tc>
          <w:tcPr>
            <w:tcW w:w="911" w:type="dxa"/>
            <w:tcBorders>
              <w:top w:val="single" w:sz="4" w:space="0" w:color="000000"/>
              <w:left w:val="single" w:sz="12" w:space="0" w:color="000000"/>
              <w:bottom w:val="single" w:sz="4" w:space="0" w:color="000000"/>
              <w:right w:val="single" w:sz="12" w:space="0" w:color="000000"/>
            </w:tcBorders>
          </w:tcPr>
          <w:p w14:paraId="79AEFF71" w14:textId="0E682DA4" w:rsidR="00B0429D" w:rsidRDefault="00B0429D" w:rsidP="008A155E">
            <w:pPr>
              <w:spacing w:after="0" w:line="259" w:lineRule="auto"/>
              <w:ind w:left="0" w:right="52" w:firstLine="0"/>
              <w:jc w:val="center"/>
            </w:pPr>
            <w:r>
              <w:rPr>
                <w:sz w:val="18"/>
              </w:rPr>
              <w:t>ug/L</w:t>
            </w:r>
          </w:p>
        </w:tc>
        <w:tc>
          <w:tcPr>
            <w:tcW w:w="889" w:type="dxa"/>
            <w:gridSpan w:val="2"/>
            <w:tcBorders>
              <w:top w:val="single" w:sz="4" w:space="0" w:color="000000"/>
              <w:left w:val="single" w:sz="12" w:space="0" w:color="000000"/>
              <w:bottom w:val="single" w:sz="4" w:space="0" w:color="000000"/>
              <w:right w:val="single" w:sz="12" w:space="0" w:color="000000"/>
            </w:tcBorders>
          </w:tcPr>
          <w:p w14:paraId="498A8D15" w14:textId="4DABB196" w:rsidR="00B0429D" w:rsidRDefault="00B0429D" w:rsidP="008A155E">
            <w:pPr>
              <w:spacing w:after="0" w:line="259" w:lineRule="auto"/>
              <w:ind w:left="0" w:right="53" w:firstLine="0"/>
              <w:jc w:val="center"/>
            </w:pPr>
            <w:r>
              <w:rPr>
                <w:sz w:val="18"/>
              </w:rPr>
              <w:t>N/A</w:t>
            </w:r>
          </w:p>
        </w:tc>
        <w:tc>
          <w:tcPr>
            <w:tcW w:w="990" w:type="dxa"/>
            <w:tcBorders>
              <w:top w:val="single" w:sz="4" w:space="0" w:color="000000"/>
              <w:left w:val="single" w:sz="12" w:space="0" w:color="000000"/>
              <w:bottom w:val="single" w:sz="4" w:space="0" w:color="000000"/>
              <w:right w:val="single" w:sz="12" w:space="0" w:color="000000"/>
            </w:tcBorders>
          </w:tcPr>
          <w:p w14:paraId="6353425B" w14:textId="4EC8AC7F" w:rsidR="00B0429D" w:rsidRDefault="00B0429D" w:rsidP="008A155E">
            <w:pPr>
              <w:spacing w:after="0" w:line="259" w:lineRule="auto"/>
              <w:ind w:left="0" w:right="48" w:firstLine="0"/>
              <w:jc w:val="center"/>
            </w:pPr>
            <w:r>
              <w:rPr>
                <w:sz w:val="18"/>
              </w:rPr>
              <w:t>N/A</w:t>
            </w:r>
          </w:p>
        </w:tc>
        <w:tc>
          <w:tcPr>
            <w:tcW w:w="900" w:type="dxa"/>
            <w:tcBorders>
              <w:top w:val="single" w:sz="4" w:space="0" w:color="000000"/>
              <w:left w:val="single" w:sz="12" w:space="0" w:color="000000"/>
              <w:bottom w:val="single" w:sz="4" w:space="0" w:color="000000"/>
              <w:right w:val="single" w:sz="12" w:space="0" w:color="000000"/>
            </w:tcBorders>
          </w:tcPr>
          <w:p w14:paraId="0C259433" w14:textId="038E5849" w:rsidR="00B0429D" w:rsidRDefault="00B0429D" w:rsidP="008A155E">
            <w:pPr>
              <w:spacing w:after="0" w:line="259" w:lineRule="auto"/>
              <w:ind w:left="0" w:right="53" w:firstLine="0"/>
              <w:jc w:val="center"/>
            </w:pPr>
            <w:r>
              <w:rPr>
                <w:b/>
                <w:sz w:val="18"/>
              </w:rPr>
              <w:t>525.2</w:t>
            </w:r>
          </w:p>
        </w:tc>
        <w:tc>
          <w:tcPr>
            <w:tcW w:w="720" w:type="dxa"/>
            <w:tcBorders>
              <w:top w:val="single" w:sz="4" w:space="0" w:color="000000"/>
              <w:left w:val="single" w:sz="12" w:space="0" w:color="000000"/>
              <w:bottom w:val="single" w:sz="4" w:space="0" w:color="000000"/>
              <w:right w:val="single" w:sz="12" w:space="0" w:color="000000"/>
            </w:tcBorders>
          </w:tcPr>
          <w:p w14:paraId="18B314AA" w14:textId="06DD9B53" w:rsidR="00B0429D" w:rsidRDefault="00B0429D" w:rsidP="008A155E">
            <w:pPr>
              <w:spacing w:after="0" w:line="259" w:lineRule="auto"/>
              <w:ind w:left="0" w:right="51" w:firstLine="0"/>
              <w:jc w:val="center"/>
            </w:pPr>
            <w:r>
              <w:rPr>
                <w:sz w:val="18"/>
              </w:rPr>
              <w:t>506</w:t>
            </w:r>
          </w:p>
        </w:tc>
        <w:tc>
          <w:tcPr>
            <w:tcW w:w="720" w:type="dxa"/>
            <w:tcBorders>
              <w:top w:val="single" w:sz="4" w:space="0" w:color="000000"/>
              <w:left w:val="single" w:sz="12" w:space="0" w:color="000000"/>
              <w:bottom w:val="single" w:sz="4" w:space="0" w:color="000000"/>
              <w:right w:val="single" w:sz="12" w:space="0" w:color="000000"/>
            </w:tcBorders>
          </w:tcPr>
          <w:p w14:paraId="292C70B6" w14:textId="7E9C7878" w:rsidR="00B0429D" w:rsidRPr="00FC7081" w:rsidRDefault="00B0429D" w:rsidP="008A155E">
            <w:pPr>
              <w:spacing w:after="0" w:line="259" w:lineRule="auto"/>
              <w:ind w:left="0" w:right="12" w:firstLine="0"/>
              <w:jc w:val="center"/>
            </w:pPr>
          </w:p>
        </w:tc>
      </w:tr>
      <w:tr w:rsidR="0001496C" w14:paraId="11E3EBCE" w14:textId="77777777" w:rsidTr="00C23B62">
        <w:trPr>
          <w:trHeight w:val="250"/>
        </w:trPr>
        <w:tc>
          <w:tcPr>
            <w:tcW w:w="3386" w:type="dxa"/>
            <w:tcBorders>
              <w:top w:val="single" w:sz="4" w:space="0" w:color="000000"/>
              <w:left w:val="single" w:sz="12" w:space="0" w:color="000000"/>
              <w:bottom w:val="single" w:sz="4" w:space="0" w:color="000000"/>
              <w:right w:val="single" w:sz="12" w:space="0" w:color="000000"/>
            </w:tcBorders>
          </w:tcPr>
          <w:p w14:paraId="1D29DBC0" w14:textId="77777777" w:rsidR="00B0429D" w:rsidRDefault="00B0429D" w:rsidP="00B0429D">
            <w:pPr>
              <w:spacing w:after="0" w:line="259" w:lineRule="auto"/>
              <w:ind w:left="2" w:right="0" w:firstLine="0"/>
            </w:pPr>
            <w:r>
              <w:rPr>
                <w:sz w:val="18"/>
              </w:rPr>
              <w:t>Chrysene</w:t>
            </w:r>
            <w:r>
              <w:rPr>
                <w:b/>
                <w:sz w:val="18"/>
              </w:rPr>
              <w:t xml:space="preserve"> </w:t>
            </w:r>
          </w:p>
        </w:tc>
        <w:tc>
          <w:tcPr>
            <w:tcW w:w="1114" w:type="dxa"/>
            <w:gridSpan w:val="2"/>
            <w:tcBorders>
              <w:top w:val="single" w:sz="4" w:space="0" w:color="000000"/>
              <w:left w:val="single" w:sz="12" w:space="0" w:color="000000"/>
              <w:bottom w:val="single" w:sz="4" w:space="0" w:color="000000"/>
              <w:right w:val="single" w:sz="12" w:space="0" w:color="000000"/>
            </w:tcBorders>
          </w:tcPr>
          <w:p w14:paraId="69E0205A" w14:textId="53C69212" w:rsidR="00B0429D" w:rsidRDefault="00B0429D" w:rsidP="008A155E">
            <w:pPr>
              <w:spacing w:after="0" w:line="259" w:lineRule="auto"/>
              <w:ind w:left="0" w:right="50" w:firstLine="0"/>
              <w:jc w:val="center"/>
            </w:pPr>
            <w:r>
              <w:rPr>
                <w:sz w:val="18"/>
              </w:rPr>
              <w:t>218-01-9</w:t>
            </w:r>
          </w:p>
        </w:tc>
        <w:tc>
          <w:tcPr>
            <w:tcW w:w="900" w:type="dxa"/>
            <w:tcBorders>
              <w:top w:val="single" w:sz="4" w:space="0" w:color="000000"/>
              <w:left w:val="single" w:sz="12" w:space="0" w:color="000000"/>
              <w:bottom w:val="single" w:sz="4" w:space="0" w:color="000000"/>
              <w:right w:val="single" w:sz="12" w:space="0" w:color="000000"/>
            </w:tcBorders>
          </w:tcPr>
          <w:p w14:paraId="56460119" w14:textId="03DEADC2" w:rsidR="00B0429D" w:rsidRDefault="00B0429D" w:rsidP="008A155E">
            <w:pPr>
              <w:tabs>
                <w:tab w:val="center" w:pos="354"/>
              </w:tabs>
              <w:spacing w:after="0" w:line="259" w:lineRule="auto"/>
              <w:ind w:left="0" w:right="0" w:firstLine="0"/>
              <w:jc w:val="center"/>
            </w:pPr>
            <w:r>
              <w:rPr>
                <w:sz w:val="18"/>
              </w:rPr>
              <w:t>1</w:t>
            </w:r>
          </w:p>
        </w:tc>
        <w:tc>
          <w:tcPr>
            <w:tcW w:w="911" w:type="dxa"/>
            <w:tcBorders>
              <w:top w:val="single" w:sz="4" w:space="0" w:color="000000"/>
              <w:left w:val="single" w:sz="12" w:space="0" w:color="000000"/>
              <w:bottom w:val="single" w:sz="4" w:space="0" w:color="000000"/>
              <w:right w:val="single" w:sz="12" w:space="0" w:color="000000"/>
            </w:tcBorders>
          </w:tcPr>
          <w:p w14:paraId="56A50535" w14:textId="10BCB090" w:rsidR="00B0429D" w:rsidRDefault="00B0429D" w:rsidP="008A155E">
            <w:pPr>
              <w:spacing w:after="0" w:line="259" w:lineRule="auto"/>
              <w:ind w:left="0" w:right="52" w:firstLine="0"/>
              <w:jc w:val="center"/>
            </w:pPr>
            <w:r>
              <w:rPr>
                <w:sz w:val="18"/>
              </w:rPr>
              <w:t>ug/L</w:t>
            </w:r>
          </w:p>
        </w:tc>
        <w:tc>
          <w:tcPr>
            <w:tcW w:w="889" w:type="dxa"/>
            <w:gridSpan w:val="2"/>
            <w:tcBorders>
              <w:top w:val="single" w:sz="4" w:space="0" w:color="000000"/>
              <w:left w:val="single" w:sz="12" w:space="0" w:color="000000"/>
              <w:bottom w:val="single" w:sz="4" w:space="0" w:color="000000"/>
              <w:right w:val="single" w:sz="12" w:space="0" w:color="000000"/>
            </w:tcBorders>
          </w:tcPr>
          <w:p w14:paraId="13C59607" w14:textId="31CE49EC" w:rsidR="00B0429D" w:rsidRDefault="00B0429D" w:rsidP="008A155E">
            <w:pPr>
              <w:spacing w:after="0" w:line="259" w:lineRule="auto"/>
              <w:ind w:left="0" w:right="53" w:firstLine="0"/>
              <w:jc w:val="center"/>
            </w:pPr>
            <w:r>
              <w:rPr>
                <w:sz w:val="18"/>
              </w:rPr>
              <w:t>N/A</w:t>
            </w:r>
          </w:p>
        </w:tc>
        <w:tc>
          <w:tcPr>
            <w:tcW w:w="990" w:type="dxa"/>
            <w:tcBorders>
              <w:top w:val="single" w:sz="4" w:space="0" w:color="000000"/>
              <w:left w:val="single" w:sz="12" w:space="0" w:color="000000"/>
              <w:bottom w:val="single" w:sz="4" w:space="0" w:color="000000"/>
              <w:right w:val="single" w:sz="12" w:space="0" w:color="000000"/>
            </w:tcBorders>
          </w:tcPr>
          <w:p w14:paraId="1E1940DE" w14:textId="51F6B2C2" w:rsidR="00B0429D" w:rsidRDefault="00B0429D" w:rsidP="008A155E">
            <w:pPr>
              <w:spacing w:after="0" w:line="259" w:lineRule="auto"/>
              <w:ind w:left="0" w:right="48" w:firstLine="0"/>
              <w:jc w:val="center"/>
            </w:pPr>
            <w:r>
              <w:rPr>
                <w:sz w:val="18"/>
              </w:rPr>
              <w:t>N/A</w:t>
            </w:r>
          </w:p>
        </w:tc>
        <w:tc>
          <w:tcPr>
            <w:tcW w:w="900" w:type="dxa"/>
            <w:tcBorders>
              <w:top w:val="single" w:sz="4" w:space="0" w:color="000000"/>
              <w:left w:val="single" w:sz="12" w:space="0" w:color="000000"/>
              <w:bottom w:val="single" w:sz="4" w:space="0" w:color="000000"/>
              <w:right w:val="single" w:sz="12" w:space="0" w:color="000000"/>
            </w:tcBorders>
          </w:tcPr>
          <w:p w14:paraId="49DA5293" w14:textId="00349605" w:rsidR="00B0429D" w:rsidRDefault="00B0429D" w:rsidP="008A155E">
            <w:pPr>
              <w:spacing w:after="0" w:line="259" w:lineRule="auto"/>
              <w:ind w:left="0" w:right="53" w:firstLine="0"/>
              <w:jc w:val="center"/>
            </w:pPr>
            <w:r>
              <w:rPr>
                <w:b/>
                <w:sz w:val="18"/>
              </w:rPr>
              <w:t>525.2</w:t>
            </w:r>
          </w:p>
        </w:tc>
        <w:tc>
          <w:tcPr>
            <w:tcW w:w="720" w:type="dxa"/>
            <w:tcBorders>
              <w:top w:val="single" w:sz="4" w:space="0" w:color="000000"/>
              <w:left w:val="single" w:sz="12" w:space="0" w:color="000000"/>
              <w:bottom w:val="single" w:sz="4" w:space="0" w:color="000000"/>
              <w:right w:val="single" w:sz="12" w:space="0" w:color="000000"/>
            </w:tcBorders>
          </w:tcPr>
          <w:p w14:paraId="579EA7A5" w14:textId="7C6BF39D" w:rsidR="00B0429D" w:rsidRDefault="00B0429D" w:rsidP="008A155E">
            <w:pPr>
              <w:spacing w:after="0" w:line="259" w:lineRule="auto"/>
              <w:ind w:left="0" w:right="52" w:firstLine="0"/>
              <w:jc w:val="center"/>
            </w:pPr>
            <w:r>
              <w:rPr>
                <w:sz w:val="18"/>
              </w:rPr>
              <w:t>550.1</w:t>
            </w:r>
          </w:p>
        </w:tc>
        <w:tc>
          <w:tcPr>
            <w:tcW w:w="720" w:type="dxa"/>
            <w:tcBorders>
              <w:top w:val="single" w:sz="4" w:space="0" w:color="000000"/>
              <w:left w:val="single" w:sz="12" w:space="0" w:color="000000"/>
              <w:bottom w:val="single" w:sz="4" w:space="0" w:color="000000"/>
              <w:right w:val="single" w:sz="12" w:space="0" w:color="000000"/>
            </w:tcBorders>
          </w:tcPr>
          <w:p w14:paraId="7C924166" w14:textId="546DB7E9" w:rsidR="00B0429D" w:rsidRPr="00FC7081" w:rsidRDefault="00B0429D" w:rsidP="008A155E">
            <w:pPr>
              <w:spacing w:after="0" w:line="259" w:lineRule="auto"/>
              <w:ind w:left="0" w:right="12" w:firstLine="0"/>
              <w:jc w:val="center"/>
            </w:pPr>
          </w:p>
        </w:tc>
      </w:tr>
      <w:tr w:rsidR="0001496C" w14:paraId="1B38342C" w14:textId="77777777" w:rsidTr="00C23B62">
        <w:trPr>
          <w:trHeight w:val="250"/>
        </w:trPr>
        <w:tc>
          <w:tcPr>
            <w:tcW w:w="3386" w:type="dxa"/>
            <w:tcBorders>
              <w:top w:val="single" w:sz="4" w:space="0" w:color="000000"/>
              <w:left w:val="single" w:sz="12" w:space="0" w:color="000000"/>
              <w:bottom w:val="single" w:sz="4" w:space="0" w:color="000000"/>
              <w:right w:val="single" w:sz="12" w:space="0" w:color="000000"/>
            </w:tcBorders>
          </w:tcPr>
          <w:p w14:paraId="6FD9FA27" w14:textId="77777777" w:rsidR="00B0429D" w:rsidRDefault="00B0429D" w:rsidP="00B0429D">
            <w:pPr>
              <w:spacing w:after="0" w:line="259" w:lineRule="auto"/>
              <w:ind w:left="2" w:right="0" w:firstLine="0"/>
            </w:pPr>
            <w:r>
              <w:rPr>
                <w:sz w:val="18"/>
              </w:rPr>
              <w:t>Dibenzo[</w:t>
            </w:r>
            <w:proofErr w:type="spellStart"/>
            <w:proofErr w:type="gramStart"/>
            <w:r>
              <w:rPr>
                <w:sz w:val="18"/>
              </w:rPr>
              <w:t>a,h</w:t>
            </w:r>
            <w:proofErr w:type="spellEnd"/>
            <w:proofErr w:type="gramEnd"/>
            <w:r>
              <w:rPr>
                <w:sz w:val="18"/>
              </w:rPr>
              <w:t>]anthracene</w:t>
            </w:r>
            <w:r>
              <w:rPr>
                <w:b/>
                <w:sz w:val="18"/>
              </w:rPr>
              <w:t xml:space="preserve"> </w:t>
            </w:r>
          </w:p>
        </w:tc>
        <w:tc>
          <w:tcPr>
            <w:tcW w:w="1114" w:type="dxa"/>
            <w:gridSpan w:val="2"/>
            <w:tcBorders>
              <w:top w:val="single" w:sz="4" w:space="0" w:color="000000"/>
              <w:left w:val="single" w:sz="12" w:space="0" w:color="000000"/>
              <w:bottom w:val="single" w:sz="4" w:space="0" w:color="000000"/>
              <w:right w:val="single" w:sz="12" w:space="0" w:color="000000"/>
            </w:tcBorders>
          </w:tcPr>
          <w:p w14:paraId="185E8C7A" w14:textId="103540D6" w:rsidR="00B0429D" w:rsidRDefault="00B0429D" w:rsidP="008A155E">
            <w:pPr>
              <w:spacing w:after="0" w:line="259" w:lineRule="auto"/>
              <w:ind w:left="0" w:right="50" w:firstLine="0"/>
              <w:jc w:val="center"/>
            </w:pPr>
            <w:r>
              <w:rPr>
                <w:sz w:val="18"/>
              </w:rPr>
              <w:t>53-70-3</w:t>
            </w:r>
          </w:p>
        </w:tc>
        <w:tc>
          <w:tcPr>
            <w:tcW w:w="900" w:type="dxa"/>
            <w:tcBorders>
              <w:top w:val="single" w:sz="4" w:space="0" w:color="000000"/>
              <w:left w:val="single" w:sz="12" w:space="0" w:color="000000"/>
              <w:bottom w:val="single" w:sz="4" w:space="0" w:color="000000"/>
              <w:right w:val="single" w:sz="12" w:space="0" w:color="000000"/>
            </w:tcBorders>
          </w:tcPr>
          <w:p w14:paraId="7E3FE3C8" w14:textId="66050764" w:rsidR="00B0429D" w:rsidRDefault="00B0429D" w:rsidP="008A155E">
            <w:pPr>
              <w:tabs>
                <w:tab w:val="center" w:pos="399"/>
              </w:tabs>
              <w:spacing w:after="0" w:line="259" w:lineRule="auto"/>
              <w:ind w:left="0" w:right="0" w:firstLine="0"/>
              <w:jc w:val="center"/>
            </w:pPr>
            <w:r>
              <w:rPr>
                <w:b/>
                <w:sz w:val="18"/>
              </w:rPr>
              <w:t>0.1</w:t>
            </w:r>
          </w:p>
        </w:tc>
        <w:tc>
          <w:tcPr>
            <w:tcW w:w="911" w:type="dxa"/>
            <w:tcBorders>
              <w:top w:val="single" w:sz="4" w:space="0" w:color="000000"/>
              <w:left w:val="single" w:sz="12" w:space="0" w:color="000000"/>
              <w:bottom w:val="single" w:sz="4" w:space="0" w:color="000000"/>
              <w:right w:val="single" w:sz="12" w:space="0" w:color="000000"/>
            </w:tcBorders>
          </w:tcPr>
          <w:p w14:paraId="74126A16" w14:textId="69F96343" w:rsidR="00B0429D" w:rsidRDefault="00B0429D" w:rsidP="008A155E">
            <w:pPr>
              <w:spacing w:after="0" w:line="259" w:lineRule="auto"/>
              <w:ind w:left="0" w:right="52" w:firstLine="0"/>
              <w:jc w:val="center"/>
            </w:pPr>
            <w:r>
              <w:rPr>
                <w:sz w:val="18"/>
              </w:rPr>
              <w:t>ug/L</w:t>
            </w:r>
          </w:p>
        </w:tc>
        <w:tc>
          <w:tcPr>
            <w:tcW w:w="889" w:type="dxa"/>
            <w:gridSpan w:val="2"/>
            <w:tcBorders>
              <w:top w:val="single" w:sz="4" w:space="0" w:color="000000"/>
              <w:left w:val="single" w:sz="12" w:space="0" w:color="000000"/>
              <w:bottom w:val="single" w:sz="4" w:space="0" w:color="000000"/>
              <w:right w:val="single" w:sz="12" w:space="0" w:color="000000"/>
            </w:tcBorders>
          </w:tcPr>
          <w:p w14:paraId="017CC6B5" w14:textId="1F61FCAD" w:rsidR="00B0429D" w:rsidRDefault="00B0429D" w:rsidP="008A155E">
            <w:pPr>
              <w:spacing w:after="0" w:line="259" w:lineRule="auto"/>
              <w:ind w:left="0" w:right="53" w:firstLine="0"/>
              <w:jc w:val="center"/>
            </w:pPr>
            <w:r>
              <w:rPr>
                <w:sz w:val="18"/>
              </w:rPr>
              <w:t>N/A</w:t>
            </w:r>
          </w:p>
        </w:tc>
        <w:tc>
          <w:tcPr>
            <w:tcW w:w="990" w:type="dxa"/>
            <w:tcBorders>
              <w:top w:val="single" w:sz="4" w:space="0" w:color="000000"/>
              <w:left w:val="single" w:sz="12" w:space="0" w:color="000000"/>
              <w:bottom w:val="single" w:sz="4" w:space="0" w:color="000000"/>
              <w:right w:val="single" w:sz="12" w:space="0" w:color="000000"/>
            </w:tcBorders>
          </w:tcPr>
          <w:p w14:paraId="2ADFB2D8" w14:textId="0D272B94" w:rsidR="00B0429D" w:rsidRDefault="00B0429D" w:rsidP="008A155E">
            <w:pPr>
              <w:spacing w:after="0" w:line="259" w:lineRule="auto"/>
              <w:ind w:left="0" w:right="48" w:firstLine="0"/>
              <w:jc w:val="center"/>
            </w:pPr>
            <w:r>
              <w:rPr>
                <w:sz w:val="18"/>
              </w:rPr>
              <w:t>N/A</w:t>
            </w:r>
          </w:p>
        </w:tc>
        <w:tc>
          <w:tcPr>
            <w:tcW w:w="900" w:type="dxa"/>
            <w:tcBorders>
              <w:top w:val="single" w:sz="4" w:space="0" w:color="000000"/>
              <w:left w:val="single" w:sz="12" w:space="0" w:color="000000"/>
              <w:bottom w:val="single" w:sz="4" w:space="0" w:color="000000"/>
              <w:right w:val="single" w:sz="12" w:space="0" w:color="000000"/>
            </w:tcBorders>
          </w:tcPr>
          <w:p w14:paraId="62DCDEEF" w14:textId="32BF7F1E" w:rsidR="00B0429D" w:rsidRDefault="00B0429D" w:rsidP="008A155E">
            <w:pPr>
              <w:spacing w:after="0" w:line="259" w:lineRule="auto"/>
              <w:ind w:left="0" w:right="53" w:firstLine="0"/>
              <w:jc w:val="center"/>
            </w:pPr>
            <w:r>
              <w:rPr>
                <w:b/>
                <w:sz w:val="18"/>
              </w:rPr>
              <w:t>525.2</w:t>
            </w:r>
          </w:p>
        </w:tc>
        <w:tc>
          <w:tcPr>
            <w:tcW w:w="720" w:type="dxa"/>
            <w:tcBorders>
              <w:top w:val="single" w:sz="4" w:space="0" w:color="000000"/>
              <w:left w:val="single" w:sz="12" w:space="0" w:color="000000"/>
              <w:bottom w:val="single" w:sz="4" w:space="0" w:color="000000"/>
              <w:right w:val="single" w:sz="12" w:space="0" w:color="000000"/>
            </w:tcBorders>
          </w:tcPr>
          <w:p w14:paraId="4E6173B1" w14:textId="777C7E22" w:rsidR="00B0429D" w:rsidRDefault="00B0429D" w:rsidP="008A155E">
            <w:pPr>
              <w:spacing w:after="0" w:line="259" w:lineRule="auto"/>
              <w:ind w:left="0" w:right="52" w:firstLine="0"/>
              <w:jc w:val="center"/>
            </w:pPr>
            <w:r>
              <w:rPr>
                <w:sz w:val="18"/>
              </w:rPr>
              <w:t>550.1</w:t>
            </w:r>
          </w:p>
        </w:tc>
        <w:tc>
          <w:tcPr>
            <w:tcW w:w="720" w:type="dxa"/>
            <w:tcBorders>
              <w:top w:val="single" w:sz="4" w:space="0" w:color="000000"/>
              <w:left w:val="single" w:sz="12" w:space="0" w:color="000000"/>
              <w:bottom w:val="single" w:sz="4" w:space="0" w:color="000000"/>
              <w:right w:val="single" w:sz="12" w:space="0" w:color="000000"/>
            </w:tcBorders>
          </w:tcPr>
          <w:p w14:paraId="0BA02F03" w14:textId="7DFFCF31" w:rsidR="00B0429D" w:rsidRPr="00FC7081" w:rsidRDefault="00B0429D" w:rsidP="008A155E">
            <w:pPr>
              <w:spacing w:after="0" w:line="259" w:lineRule="auto"/>
              <w:ind w:left="0" w:right="12" w:firstLine="0"/>
              <w:jc w:val="center"/>
            </w:pPr>
          </w:p>
        </w:tc>
      </w:tr>
      <w:tr w:rsidR="0001496C" w14:paraId="374AD212" w14:textId="77777777" w:rsidTr="00C23B62">
        <w:trPr>
          <w:trHeight w:val="250"/>
        </w:trPr>
        <w:tc>
          <w:tcPr>
            <w:tcW w:w="3386" w:type="dxa"/>
            <w:tcBorders>
              <w:top w:val="single" w:sz="4" w:space="0" w:color="000000"/>
              <w:left w:val="single" w:sz="12" w:space="0" w:color="000000"/>
              <w:bottom w:val="single" w:sz="4" w:space="0" w:color="000000"/>
              <w:right w:val="single" w:sz="12" w:space="0" w:color="000000"/>
            </w:tcBorders>
          </w:tcPr>
          <w:p w14:paraId="56364AA8" w14:textId="77777777" w:rsidR="00B0429D" w:rsidRDefault="00B0429D" w:rsidP="00B0429D">
            <w:pPr>
              <w:spacing w:after="0" w:line="259" w:lineRule="auto"/>
              <w:ind w:left="2" w:right="0" w:firstLine="0"/>
            </w:pPr>
            <w:r>
              <w:rPr>
                <w:sz w:val="18"/>
              </w:rPr>
              <w:t>Di-n-</w:t>
            </w:r>
            <w:proofErr w:type="spellStart"/>
            <w:r>
              <w:rPr>
                <w:sz w:val="18"/>
              </w:rPr>
              <w:t>butylphthalate</w:t>
            </w:r>
            <w:proofErr w:type="spellEnd"/>
            <w:r>
              <w:rPr>
                <w:sz w:val="18"/>
              </w:rPr>
              <w:t xml:space="preserve"> </w:t>
            </w:r>
          </w:p>
        </w:tc>
        <w:tc>
          <w:tcPr>
            <w:tcW w:w="1114" w:type="dxa"/>
            <w:gridSpan w:val="2"/>
            <w:tcBorders>
              <w:top w:val="single" w:sz="4" w:space="0" w:color="000000"/>
              <w:left w:val="single" w:sz="12" w:space="0" w:color="000000"/>
              <w:bottom w:val="single" w:sz="4" w:space="0" w:color="000000"/>
              <w:right w:val="single" w:sz="12" w:space="0" w:color="000000"/>
            </w:tcBorders>
          </w:tcPr>
          <w:p w14:paraId="7BDB0497" w14:textId="59BC79EB" w:rsidR="00B0429D" w:rsidRDefault="00B0429D" w:rsidP="008A155E">
            <w:pPr>
              <w:spacing w:after="0" w:line="259" w:lineRule="auto"/>
              <w:ind w:left="0" w:right="50" w:firstLine="0"/>
              <w:jc w:val="center"/>
            </w:pPr>
            <w:r>
              <w:rPr>
                <w:sz w:val="18"/>
              </w:rPr>
              <w:t>84-74-2</w:t>
            </w:r>
          </w:p>
        </w:tc>
        <w:tc>
          <w:tcPr>
            <w:tcW w:w="900" w:type="dxa"/>
            <w:tcBorders>
              <w:top w:val="single" w:sz="4" w:space="0" w:color="000000"/>
              <w:left w:val="single" w:sz="12" w:space="0" w:color="000000"/>
              <w:bottom w:val="single" w:sz="4" w:space="0" w:color="000000"/>
              <w:right w:val="single" w:sz="12" w:space="0" w:color="000000"/>
            </w:tcBorders>
          </w:tcPr>
          <w:p w14:paraId="1C4C14D6" w14:textId="2E9E1499" w:rsidR="00B0429D" w:rsidRDefault="00B0429D" w:rsidP="008A155E">
            <w:pPr>
              <w:tabs>
                <w:tab w:val="center" w:pos="308"/>
              </w:tabs>
              <w:spacing w:after="0" w:line="259" w:lineRule="auto"/>
              <w:ind w:left="0" w:right="0" w:firstLine="0"/>
              <w:jc w:val="center"/>
            </w:pPr>
            <w:r>
              <w:rPr>
                <w:sz w:val="18"/>
              </w:rPr>
              <w:t>10</w:t>
            </w:r>
          </w:p>
        </w:tc>
        <w:tc>
          <w:tcPr>
            <w:tcW w:w="911" w:type="dxa"/>
            <w:tcBorders>
              <w:top w:val="single" w:sz="4" w:space="0" w:color="000000"/>
              <w:left w:val="single" w:sz="12" w:space="0" w:color="000000"/>
              <w:bottom w:val="single" w:sz="4" w:space="0" w:color="000000"/>
              <w:right w:val="single" w:sz="12" w:space="0" w:color="000000"/>
            </w:tcBorders>
          </w:tcPr>
          <w:p w14:paraId="2DC81283" w14:textId="0188FE76" w:rsidR="00B0429D" w:rsidRDefault="00B0429D" w:rsidP="008A155E">
            <w:pPr>
              <w:spacing w:after="0" w:line="259" w:lineRule="auto"/>
              <w:ind w:left="0" w:right="52" w:firstLine="0"/>
              <w:jc w:val="center"/>
            </w:pPr>
            <w:r>
              <w:rPr>
                <w:sz w:val="18"/>
              </w:rPr>
              <w:t>ug/L</w:t>
            </w:r>
          </w:p>
        </w:tc>
        <w:tc>
          <w:tcPr>
            <w:tcW w:w="889" w:type="dxa"/>
            <w:gridSpan w:val="2"/>
            <w:tcBorders>
              <w:top w:val="single" w:sz="4" w:space="0" w:color="000000"/>
              <w:left w:val="single" w:sz="12" w:space="0" w:color="000000"/>
              <w:bottom w:val="single" w:sz="4" w:space="0" w:color="000000"/>
              <w:right w:val="single" w:sz="12" w:space="0" w:color="000000"/>
            </w:tcBorders>
          </w:tcPr>
          <w:p w14:paraId="6F7AEAFA" w14:textId="7F96B647" w:rsidR="00B0429D" w:rsidRDefault="00B0429D" w:rsidP="008A155E">
            <w:pPr>
              <w:spacing w:after="0" w:line="259" w:lineRule="auto"/>
              <w:ind w:left="0" w:right="53" w:firstLine="0"/>
              <w:jc w:val="center"/>
            </w:pPr>
            <w:r>
              <w:rPr>
                <w:sz w:val="18"/>
              </w:rPr>
              <w:t>N/A</w:t>
            </w:r>
          </w:p>
        </w:tc>
        <w:tc>
          <w:tcPr>
            <w:tcW w:w="990" w:type="dxa"/>
            <w:tcBorders>
              <w:top w:val="single" w:sz="4" w:space="0" w:color="000000"/>
              <w:left w:val="single" w:sz="12" w:space="0" w:color="000000"/>
              <w:bottom w:val="single" w:sz="4" w:space="0" w:color="000000"/>
              <w:right w:val="single" w:sz="12" w:space="0" w:color="000000"/>
            </w:tcBorders>
          </w:tcPr>
          <w:p w14:paraId="59956C49" w14:textId="53DBB196" w:rsidR="00B0429D" w:rsidRDefault="00B0429D" w:rsidP="008A155E">
            <w:pPr>
              <w:spacing w:after="0" w:line="259" w:lineRule="auto"/>
              <w:ind w:left="0" w:right="48" w:firstLine="0"/>
              <w:jc w:val="center"/>
            </w:pPr>
            <w:r>
              <w:rPr>
                <w:sz w:val="18"/>
              </w:rPr>
              <w:t>N/A</w:t>
            </w:r>
          </w:p>
        </w:tc>
        <w:tc>
          <w:tcPr>
            <w:tcW w:w="900" w:type="dxa"/>
            <w:tcBorders>
              <w:top w:val="single" w:sz="4" w:space="0" w:color="000000"/>
              <w:left w:val="single" w:sz="12" w:space="0" w:color="000000"/>
              <w:bottom w:val="single" w:sz="4" w:space="0" w:color="000000"/>
              <w:right w:val="single" w:sz="12" w:space="0" w:color="000000"/>
            </w:tcBorders>
          </w:tcPr>
          <w:p w14:paraId="546802E9" w14:textId="2E38AD2C" w:rsidR="00B0429D" w:rsidRDefault="00B0429D" w:rsidP="008A155E">
            <w:pPr>
              <w:spacing w:after="0" w:line="259" w:lineRule="auto"/>
              <w:ind w:left="0" w:right="53" w:firstLine="0"/>
              <w:jc w:val="center"/>
            </w:pPr>
            <w:r>
              <w:rPr>
                <w:b/>
                <w:sz w:val="18"/>
              </w:rPr>
              <w:t>525.2</w:t>
            </w:r>
          </w:p>
        </w:tc>
        <w:tc>
          <w:tcPr>
            <w:tcW w:w="720" w:type="dxa"/>
            <w:tcBorders>
              <w:top w:val="single" w:sz="4" w:space="0" w:color="000000"/>
              <w:left w:val="single" w:sz="12" w:space="0" w:color="000000"/>
              <w:bottom w:val="single" w:sz="4" w:space="0" w:color="000000"/>
              <w:right w:val="single" w:sz="12" w:space="0" w:color="000000"/>
            </w:tcBorders>
          </w:tcPr>
          <w:p w14:paraId="35448F0B" w14:textId="4F58371E" w:rsidR="00B0429D" w:rsidRDefault="00B0429D" w:rsidP="008A155E">
            <w:pPr>
              <w:spacing w:after="0" w:line="259" w:lineRule="auto"/>
              <w:ind w:left="0" w:right="51" w:firstLine="0"/>
              <w:jc w:val="center"/>
            </w:pPr>
            <w:r>
              <w:rPr>
                <w:sz w:val="18"/>
              </w:rPr>
              <w:t>506</w:t>
            </w:r>
          </w:p>
        </w:tc>
        <w:tc>
          <w:tcPr>
            <w:tcW w:w="720" w:type="dxa"/>
            <w:tcBorders>
              <w:top w:val="single" w:sz="4" w:space="0" w:color="000000"/>
              <w:left w:val="single" w:sz="12" w:space="0" w:color="000000"/>
              <w:bottom w:val="single" w:sz="4" w:space="0" w:color="000000"/>
              <w:right w:val="single" w:sz="12" w:space="0" w:color="000000"/>
            </w:tcBorders>
          </w:tcPr>
          <w:p w14:paraId="22307024" w14:textId="06475457" w:rsidR="00B0429D" w:rsidRPr="00FC7081" w:rsidRDefault="00B0429D" w:rsidP="008A155E">
            <w:pPr>
              <w:spacing w:after="0" w:line="259" w:lineRule="auto"/>
              <w:ind w:left="0" w:right="12" w:firstLine="0"/>
              <w:jc w:val="center"/>
            </w:pPr>
          </w:p>
        </w:tc>
      </w:tr>
      <w:tr w:rsidR="0001496C" w14:paraId="204404AD" w14:textId="77777777" w:rsidTr="00C23B62">
        <w:trPr>
          <w:trHeight w:val="252"/>
        </w:trPr>
        <w:tc>
          <w:tcPr>
            <w:tcW w:w="3386" w:type="dxa"/>
            <w:tcBorders>
              <w:top w:val="single" w:sz="4" w:space="0" w:color="000000"/>
              <w:left w:val="single" w:sz="12" w:space="0" w:color="000000"/>
              <w:bottom w:val="single" w:sz="4" w:space="0" w:color="000000"/>
              <w:right w:val="single" w:sz="12" w:space="0" w:color="000000"/>
            </w:tcBorders>
          </w:tcPr>
          <w:p w14:paraId="4C69D0D5" w14:textId="77777777" w:rsidR="00B0429D" w:rsidRDefault="00B0429D" w:rsidP="00B0429D">
            <w:pPr>
              <w:spacing w:after="0" w:line="259" w:lineRule="auto"/>
              <w:ind w:left="2" w:right="0" w:firstLine="0"/>
            </w:pPr>
            <w:r>
              <w:rPr>
                <w:sz w:val="18"/>
              </w:rPr>
              <w:t xml:space="preserve">Diethyl phthalate </w:t>
            </w:r>
          </w:p>
        </w:tc>
        <w:tc>
          <w:tcPr>
            <w:tcW w:w="1114" w:type="dxa"/>
            <w:gridSpan w:val="2"/>
            <w:tcBorders>
              <w:top w:val="single" w:sz="4" w:space="0" w:color="000000"/>
              <w:left w:val="single" w:sz="12" w:space="0" w:color="000000"/>
              <w:bottom w:val="single" w:sz="4" w:space="0" w:color="000000"/>
              <w:right w:val="single" w:sz="12" w:space="0" w:color="000000"/>
            </w:tcBorders>
          </w:tcPr>
          <w:p w14:paraId="127D627C" w14:textId="797B4A4B" w:rsidR="00B0429D" w:rsidRDefault="00B0429D" w:rsidP="008A155E">
            <w:pPr>
              <w:spacing w:after="0" w:line="259" w:lineRule="auto"/>
              <w:ind w:left="0" w:right="50" w:firstLine="0"/>
              <w:jc w:val="center"/>
            </w:pPr>
            <w:r>
              <w:rPr>
                <w:sz w:val="18"/>
              </w:rPr>
              <w:t>84-66-2</w:t>
            </w:r>
          </w:p>
        </w:tc>
        <w:tc>
          <w:tcPr>
            <w:tcW w:w="900" w:type="dxa"/>
            <w:tcBorders>
              <w:top w:val="single" w:sz="4" w:space="0" w:color="000000"/>
              <w:left w:val="single" w:sz="12" w:space="0" w:color="000000"/>
              <w:bottom w:val="single" w:sz="4" w:space="0" w:color="000000"/>
              <w:right w:val="single" w:sz="12" w:space="0" w:color="000000"/>
            </w:tcBorders>
          </w:tcPr>
          <w:p w14:paraId="6F37E01F" w14:textId="09DE2466" w:rsidR="00B0429D" w:rsidRDefault="00B0429D" w:rsidP="008A155E">
            <w:pPr>
              <w:tabs>
                <w:tab w:val="center" w:pos="308"/>
              </w:tabs>
              <w:spacing w:after="0" w:line="259" w:lineRule="auto"/>
              <w:ind w:left="0" w:right="0" w:firstLine="0"/>
              <w:jc w:val="center"/>
            </w:pPr>
            <w:r>
              <w:rPr>
                <w:sz w:val="18"/>
              </w:rPr>
              <w:t>10</w:t>
            </w:r>
          </w:p>
        </w:tc>
        <w:tc>
          <w:tcPr>
            <w:tcW w:w="911" w:type="dxa"/>
            <w:tcBorders>
              <w:top w:val="single" w:sz="4" w:space="0" w:color="000000"/>
              <w:left w:val="single" w:sz="12" w:space="0" w:color="000000"/>
              <w:bottom w:val="single" w:sz="4" w:space="0" w:color="000000"/>
              <w:right w:val="single" w:sz="12" w:space="0" w:color="000000"/>
            </w:tcBorders>
          </w:tcPr>
          <w:p w14:paraId="4D9E047D" w14:textId="2A2707FE" w:rsidR="00B0429D" w:rsidRDefault="00B0429D" w:rsidP="008A155E">
            <w:pPr>
              <w:spacing w:after="0" w:line="259" w:lineRule="auto"/>
              <w:ind w:left="0" w:right="52" w:firstLine="0"/>
              <w:jc w:val="center"/>
            </w:pPr>
            <w:r>
              <w:rPr>
                <w:sz w:val="18"/>
              </w:rPr>
              <w:t>ug/L</w:t>
            </w:r>
          </w:p>
        </w:tc>
        <w:tc>
          <w:tcPr>
            <w:tcW w:w="889" w:type="dxa"/>
            <w:gridSpan w:val="2"/>
            <w:tcBorders>
              <w:top w:val="single" w:sz="4" w:space="0" w:color="000000"/>
              <w:left w:val="single" w:sz="12" w:space="0" w:color="000000"/>
              <w:bottom w:val="single" w:sz="4" w:space="0" w:color="000000"/>
              <w:right w:val="single" w:sz="12" w:space="0" w:color="000000"/>
            </w:tcBorders>
          </w:tcPr>
          <w:p w14:paraId="421F19BC" w14:textId="366A51D2" w:rsidR="00B0429D" w:rsidRDefault="00B0429D" w:rsidP="008A155E">
            <w:pPr>
              <w:spacing w:after="0" w:line="259" w:lineRule="auto"/>
              <w:ind w:left="0" w:right="53" w:firstLine="0"/>
              <w:jc w:val="center"/>
            </w:pPr>
            <w:r>
              <w:rPr>
                <w:sz w:val="18"/>
              </w:rPr>
              <w:t>N/A</w:t>
            </w:r>
          </w:p>
        </w:tc>
        <w:tc>
          <w:tcPr>
            <w:tcW w:w="990" w:type="dxa"/>
            <w:tcBorders>
              <w:top w:val="single" w:sz="4" w:space="0" w:color="000000"/>
              <w:left w:val="single" w:sz="12" w:space="0" w:color="000000"/>
              <w:bottom w:val="single" w:sz="4" w:space="0" w:color="000000"/>
              <w:right w:val="single" w:sz="12" w:space="0" w:color="000000"/>
            </w:tcBorders>
          </w:tcPr>
          <w:p w14:paraId="3E2B1178" w14:textId="27D1C81F" w:rsidR="00B0429D" w:rsidRDefault="00B0429D" w:rsidP="008A155E">
            <w:pPr>
              <w:spacing w:after="0" w:line="259" w:lineRule="auto"/>
              <w:ind w:left="0" w:right="48" w:firstLine="0"/>
              <w:jc w:val="center"/>
            </w:pPr>
            <w:r>
              <w:rPr>
                <w:sz w:val="18"/>
              </w:rPr>
              <w:t>N/A</w:t>
            </w:r>
          </w:p>
        </w:tc>
        <w:tc>
          <w:tcPr>
            <w:tcW w:w="900" w:type="dxa"/>
            <w:tcBorders>
              <w:top w:val="single" w:sz="4" w:space="0" w:color="000000"/>
              <w:left w:val="single" w:sz="12" w:space="0" w:color="000000"/>
              <w:bottom w:val="single" w:sz="4" w:space="0" w:color="000000"/>
              <w:right w:val="single" w:sz="12" w:space="0" w:color="000000"/>
            </w:tcBorders>
          </w:tcPr>
          <w:p w14:paraId="154A1013" w14:textId="35F71724" w:rsidR="00B0429D" w:rsidRDefault="00B0429D" w:rsidP="008A155E">
            <w:pPr>
              <w:spacing w:after="0" w:line="259" w:lineRule="auto"/>
              <w:ind w:left="0" w:right="53" w:firstLine="0"/>
              <w:jc w:val="center"/>
            </w:pPr>
            <w:r>
              <w:rPr>
                <w:b/>
                <w:sz w:val="18"/>
              </w:rPr>
              <w:t>525.2</w:t>
            </w:r>
          </w:p>
        </w:tc>
        <w:tc>
          <w:tcPr>
            <w:tcW w:w="720" w:type="dxa"/>
            <w:tcBorders>
              <w:top w:val="single" w:sz="4" w:space="0" w:color="000000"/>
              <w:left w:val="single" w:sz="12" w:space="0" w:color="000000"/>
              <w:bottom w:val="single" w:sz="4" w:space="0" w:color="000000"/>
              <w:right w:val="single" w:sz="12" w:space="0" w:color="000000"/>
            </w:tcBorders>
          </w:tcPr>
          <w:p w14:paraId="55575675" w14:textId="633F9DA9" w:rsidR="00B0429D" w:rsidRDefault="00B0429D" w:rsidP="008A155E">
            <w:pPr>
              <w:spacing w:after="0" w:line="259" w:lineRule="auto"/>
              <w:ind w:left="0" w:right="51" w:firstLine="0"/>
              <w:jc w:val="center"/>
            </w:pPr>
            <w:r>
              <w:rPr>
                <w:sz w:val="18"/>
              </w:rPr>
              <w:t>506</w:t>
            </w:r>
          </w:p>
        </w:tc>
        <w:tc>
          <w:tcPr>
            <w:tcW w:w="720" w:type="dxa"/>
            <w:tcBorders>
              <w:top w:val="single" w:sz="4" w:space="0" w:color="000000"/>
              <w:left w:val="single" w:sz="12" w:space="0" w:color="000000"/>
              <w:bottom w:val="single" w:sz="4" w:space="0" w:color="000000"/>
              <w:right w:val="single" w:sz="12" w:space="0" w:color="000000"/>
            </w:tcBorders>
          </w:tcPr>
          <w:p w14:paraId="129CB121" w14:textId="1A905794" w:rsidR="00B0429D" w:rsidRPr="00FC7081" w:rsidRDefault="00B0429D" w:rsidP="008A155E">
            <w:pPr>
              <w:spacing w:after="0" w:line="259" w:lineRule="auto"/>
              <w:ind w:left="0" w:right="12" w:firstLine="0"/>
              <w:jc w:val="center"/>
            </w:pPr>
          </w:p>
        </w:tc>
      </w:tr>
      <w:tr w:rsidR="0001496C" w14:paraId="550E4624" w14:textId="77777777" w:rsidTr="00C23B62">
        <w:trPr>
          <w:trHeight w:val="250"/>
        </w:trPr>
        <w:tc>
          <w:tcPr>
            <w:tcW w:w="3386" w:type="dxa"/>
            <w:tcBorders>
              <w:top w:val="single" w:sz="4" w:space="0" w:color="000000"/>
              <w:left w:val="single" w:sz="12" w:space="0" w:color="000000"/>
              <w:bottom w:val="single" w:sz="4" w:space="0" w:color="000000"/>
              <w:right w:val="single" w:sz="12" w:space="0" w:color="000000"/>
            </w:tcBorders>
          </w:tcPr>
          <w:p w14:paraId="6C741179" w14:textId="036F28CC" w:rsidR="00B0429D" w:rsidRDefault="00B0429D" w:rsidP="00B0429D">
            <w:pPr>
              <w:spacing w:after="0" w:line="259" w:lineRule="auto"/>
              <w:ind w:left="2" w:right="0" w:firstLine="0"/>
            </w:pPr>
            <w:r>
              <w:rPr>
                <w:sz w:val="18"/>
              </w:rPr>
              <w:t xml:space="preserve">Di(2-ethylhexyl) adipate </w:t>
            </w:r>
          </w:p>
        </w:tc>
        <w:tc>
          <w:tcPr>
            <w:tcW w:w="1114" w:type="dxa"/>
            <w:gridSpan w:val="2"/>
            <w:tcBorders>
              <w:top w:val="single" w:sz="4" w:space="0" w:color="000000"/>
              <w:left w:val="single" w:sz="12" w:space="0" w:color="000000"/>
              <w:bottom w:val="single" w:sz="4" w:space="0" w:color="000000"/>
              <w:right w:val="single" w:sz="12" w:space="0" w:color="000000"/>
            </w:tcBorders>
          </w:tcPr>
          <w:p w14:paraId="3BCF4ABD" w14:textId="2E7C93EC" w:rsidR="00B0429D" w:rsidRDefault="00B0429D" w:rsidP="008A155E">
            <w:pPr>
              <w:spacing w:after="0" w:line="259" w:lineRule="auto"/>
              <w:ind w:left="0" w:right="50" w:firstLine="0"/>
              <w:jc w:val="center"/>
            </w:pPr>
            <w:r>
              <w:rPr>
                <w:sz w:val="18"/>
              </w:rPr>
              <w:t>103-23-1</w:t>
            </w:r>
          </w:p>
        </w:tc>
        <w:tc>
          <w:tcPr>
            <w:tcW w:w="900" w:type="dxa"/>
            <w:tcBorders>
              <w:top w:val="single" w:sz="4" w:space="0" w:color="000000"/>
              <w:left w:val="single" w:sz="12" w:space="0" w:color="000000"/>
              <w:bottom w:val="single" w:sz="4" w:space="0" w:color="000000"/>
              <w:right w:val="single" w:sz="12" w:space="0" w:color="000000"/>
            </w:tcBorders>
          </w:tcPr>
          <w:p w14:paraId="1A731133" w14:textId="7C437F53" w:rsidR="00B0429D" w:rsidRDefault="00B0429D" w:rsidP="008A155E">
            <w:pPr>
              <w:tabs>
                <w:tab w:val="center" w:pos="308"/>
              </w:tabs>
              <w:spacing w:after="0" w:line="259" w:lineRule="auto"/>
              <w:ind w:left="0" w:right="0" w:firstLine="0"/>
              <w:jc w:val="center"/>
            </w:pPr>
            <w:r>
              <w:rPr>
                <w:sz w:val="18"/>
              </w:rPr>
              <w:t>10</w:t>
            </w:r>
          </w:p>
        </w:tc>
        <w:tc>
          <w:tcPr>
            <w:tcW w:w="911" w:type="dxa"/>
            <w:tcBorders>
              <w:top w:val="single" w:sz="4" w:space="0" w:color="000000"/>
              <w:left w:val="single" w:sz="12" w:space="0" w:color="000000"/>
              <w:bottom w:val="single" w:sz="4" w:space="0" w:color="000000"/>
              <w:right w:val="single" w:sz="12" w:space="0" w:color="000000"/>
            </w:tcBorders>
          </w:tcPr>
          <w:p w14:paraId="4B679184" w14:textId="44789501" w:rsidR="00B0429D" w:rsidRDefault="00B0429D" w:rsidP="008A155E">
            <w:pPr>
              <w:spacing w:after="0" w:line="259" w:lineRule="auto"/>
              <w:ind w:left="0" w:right="52" w:firstLine="0"/>
              <w:jc w:val="center"/>
            </w:pPr>
            <w:r>
              <w:rPr>
                <w:sz w:val="18"/>
              </w:rPr>
              <w:t>ug/L</w:t>
            </w:r>
          </w:p>
        </w:tc>
        <w:tc>
          <w:tcPr>
            <w:tcW w:w="889" w:type="dxa"/>
            <w:gridSpan w:val="2"/>
            <w:tcBorders>
              <w:top w:val="single" w:sz="4" w:space="0" w:color="000000"/>
              <w:left w:val="single" w:sz="12" w:space="0" w:color="000000"/>
              <w:bottom w:val="single" w:sz="4" w:space="0" w:color="000000"/>
              <w:right w:val="single" w:sz="12" w:space="0" w:color="000000"/>
            </w:tcBorders>
          </w:tcPr>
          <w:p w14:paraId="5F465370" w14:textId="60F918F5" w:rsidR="00B0429D" w:rsidRDefault="00B0429D" w:rsidP="008A155E">
            <w:pPr>
              <w:spacing w:after="0" w:line="259" w:lineRule="auto"/>
              <w:ind w:left="0" w:right="53" w:firstLine="0"/>
              <w:jc w:val="center"/>
            </w:pPr>
            <w:r>
              <w:rPr>
                <w:sz w:val="18"/>
              </w:rPr>
              <w:t>N/A</w:t>
            </w:r>
          </w:p>
        </w:tc>
        <w:tc>
          <w:tcPr>
            <w:tcW w:w="990" w:type="dxa"/>
            <w:tcBorders>
              <w:top w:val="single" w:sz="4" w:space="0" w:color="000000"/>
              <w:left w:val="single" w:sz="12" w:space="0" w:color="000000"/>
              <w:bottom w:val="single" w:sz="4" w:space="0" w:color="000000"/>
              <w:right w:val="single" w:sz="12" w:space="0" w:color="000000"/>
            </w:tcBorders>
          </w:tcPr>
          <w:p w14:paraId="27FBCB67" w14:textId="4F3F67CA" w:rsidR="00B0429D" w:rsidRDefault="00B0429D" w:rsidP="008A155E">
            <w:pPr>
              <w:spacing w:after="0" w:line="259" w:lineRule="auto"/>
              <w:ind w:left="0" w:right="48" w:firstLine="0"/>
              <w:jc w:val="center"/>
            </w:pPr>
            <w:r>
              <w:rPr>
                <w:sz w:val="18"/>
              </w:rPr>
              <w:t>N/A</w:t>
            </w:r>
          </w:p>
        </w:tc>
        <w:tc>
          <w:tcPr>
            <w:tcW w:w="900" w:type="dxa"/>
            <w:tcBorders>
              <w:top w:val="single" w:sz="4" w:space="0" w:color="000000"/>
              <w:left w:val="single" w:sz="12" w:space="0" w:color="000000"/>
              <w:bottom w:val="single" w:sz="4" w:space="0" w:color="000000"/>
              <w:right w:val="single" w:sz="12" w:space="0" w:color="000000"/>
            </w:tcBorders>
          </w:tcPr>
          <w:p w14:paraId="01B6EE7C" w14:textId="4E7D82BA" w:rsidR="00B0429D" w:rsidRDefault="00B0429D" w:rsidP="008A155E">
            <w:pPr>
              <w:spacing w:after="0" w:line="259" w:lineRule="auto"/>
              <w:ind w:left="0" w:right="53" w:firstLine="0"/>
              <w:jc w:val="center"/>
            </w:pPr>
            <w:r>
              <w:rPr>
                <w:b/>
                <w:sz w:val="18"/>
              </w:rPr>
              <w:t>525.2</w:t>
            </w:r>
          </w:p>
        </w:tc>
        <w:tc>
          <w:tcPr>
            <w:tcW w:w="720" w:type="dxa"/>
            <w:tcBorders>
              <w:top w:val="single" w:sz="4" w:space="0" w:color="000000"/>
              <w:left w:val="single" w:sz="12" w:space="0" w:color="000000"/>
              <w:bottom w:val="single" w:sz="4" w:space="0" w:color="000000"/>
              <w:right w:val="single" w:sz="12" w:space="0" w:color="000000"/>
            </w:tcBorders>
          </w:tcPr>
          <w:p w14:paraId="61E7CA22" w14:textId="400D0B50" w:rsidR="00B0429D" w:rsidRDefault="00B0429D" w:rsidP="008A155E">
            <w:pPr>
              <w:spacing w:after="0" w:line="259" w:lineRule="auto"/>
              <w:ind w:left="0" w:right="51" w:firstLine="0"/>
              <w:jc w:val="center"/>
            </w:pPr>
            <w:r>
              <w:rPr>
                <w:sz w:val="18"/>
              </w:rPr>
              <w:t>506</w:t>
            </w:r>
          </w:p>
        </w:tc>
        <w:tc>
          <w:tcPr>
            <w:tcW w:w="720" w:type="dxa"/>
            <w:tcBorders>
              <w:top w:val="single" w:sz="4" w:space="0" w:color="000000"/>
              <w:left w:val="single" w:sz="12" w:space="0" w:color="000000"/>
              <w:bottom w:val="single" w:sz="4" w:space="0" w:color="000000"/>
              <w:right w:val="single" w:sz="12" w:space="0" w:color="000000"/>
            </w:tcBorders>
          </w:tcPr>
          <w:p w14:paraId="14427850" w14:textId="4F77CB90" w:rsidR="00B0429D" w:rsidRPr="00FC7081" w:rsidRDefault="00B0429D" w:rsidP="008A155E">
            <w:pPr>
              <w:spacing w:after="0" w:line="259" w:lineRule="auto"/>
              <w:ind w:left="0" w:right="12" w:firstLine="0"/>
              <w:jc w:val="center"/>
            </w:pPr>
          </w:p>
        </w:tc>
      </w:tr>
      <w:tr w:rsidR="0001496C" w14:paraId="18807017" w14:textId="77777777" w:rsidTr="00C23B62">
        <w:trPr>
          <w:trHeight w:val="250"/>
        </w:trPr>
        <w:tc>
          <w:tcPr>
            <w:tcW w:w="3386" w:type="dxa"/>
            <w:tcBorders>
              <w:top w:val="single" w:sz="4" w:space="0" w:color="000000"/>
              <w:left w:val="single" w:sz="12" w:space="0" w:color="000000"/>
              <w:bottom w:val="single" w:sz="4" w:space="0" w:color="000000"/>
              <w:right w:val="single" w:sz="12" w:space="0" w:color="000000"/>
            </w:tcBorders>
          </w:tcPr>
          <w:p w14:paraId="1FA5ABF2" w14:textId="4672C963" w:rsidR="00B0429D" w:rsidRDefault="00B0429D" w:rsidP="00B0429D">
            <w:pPr>
              <w:spacing w:after="0" w:line="259" w:lineRule="auto"/>
              <w:ind w:left="2" w:right="0" w:firstLine="0"/>
            </w:pPr>
            <w:r>
              <w:rPr>
                <w:sz w:val="18"/>
              </w:rPr>
              <w:t>Di(2-ethylhexyl) phthalate</w:t>
            </w:r>
            <w:r>
              <w:rPr>
                <w:i/>
                <w:sz w:val="18"/>
              </w:rPr>
              <w:t xml:space="preserve"> </w:t>
            </w:r>
          </w:p>
        </w:tc>
        <w:tc>
          <w:tcPr>
            <w:tcW w:w="1114" w:type="dxa"/>
            <w:gridSpan w:val="2"/>
            <w:tcBorders>
              <w:top w:val="single" w:sz="4" w:space="0" w:color="000000"/>
              <w:left w:val="single" w:sz="12" w:space="0" w:color="000000"/>
              <w:bottom w:val="single" w:sz="4" w:space="0" w:color="000000"/>
              <w:right w:val="single" w:sz="12" w:space="0" w:color="000000"/>
            </w:tcBorders>
          </w:tcPr>
          <w:p w14:paraId="31C226BA" w14:textId="41C92270" w:rsidR="00B0429D" w:rsidRDefault="00B0429D" w:rsidP="008A155E">
            <w:pPr>
              <w:spacing w:after="0" w:line="259" w:lineRule="auto"/>
              <w:ind w:left="0" w:right="50" w:firstLine="0"/>
              <w:jc w:val="center"/>
            </w:pPr>
            <w:r>
              <w:rPr>
                <w:sz w:val="18"/>
              </w:rPr>
              <w:t>117-81-7</w:t>
            </w:r>
          </w:p>
        </w:tc>
        <w:tc>
          <w:tcPr>
            <w:tcW w:w="900" w:type="dxa"/>
            <w:tcBorders>
              <w:top w:val="single" w:sz="4" w:space="0" w:color="000000"/>
              <w:left w:val="single" w:sz="12" w:space="0" w:color="000000"/>
              <w:bottom w:val="single" w:sz="4" w:space="0" w:color="000000"/>
              <w:right w:val="single" w:sz="12" w:space="0" w:color="000000"/>
            </w:tcBorders>
          </w:tcPr>
          <w:p w14:paraId="00546FD0" w14:textId="5C3AF555" w:rsidR="00B0429D" w:rsidRDefault="00B0429D" w:rsidP="008A155E">
            <w:pPr>
              <w:tabs>
                <w:tab w:val="center" w:pos="354"/>
              </w:tabs>
              <w:spacing w:after="0" w:line="259" w:lineRule="auto"/>
              <w:ind w:left="0" w:right="0" w:firstLine="0"/>
              <w:jc w:val="center"/>
            </w:pPr>
            <w:r>
              <w:rPr>
                <w:b/>
                <w:sz w:val="18"/>
              </w:rPr>
              <w:t>1</w:t>
            </w:r>
          </w:p>
        </w:tc>
        <w:tc>
          <w:tcPr>
            <w:tcW w:w="911" w:type="dxa"/>
            <w:tcBorders>
              <w:top w:val="single" w:sz="4" w:space="0" w:color="000000"/>
              <w:left w:val="single" w:sz="12" w:space="0" w:color="000000"/>
              <w:bottom w:val="single" w:sz="4" w:space="0" w:color="000000"/>
              <w:right w:val="single" w:sz="12" w:space="0" w:color="000000"/>
            </w:tcBorders>
          </w:tcPr>
          <w:p w14:paraId="4252218E" w14:textId="5CE2A521" w:rsidR="00B0429D" w:rsidRDefault="00B0429D" w:rsidP="008A155E">
            <w:pPr>
              <w:spacing w:after="0" w:line="259" w:lineRule="auto"/>
              <w:ind w:left="0" w:right="52" w:firstLine="0"/>
              <w:jc w:val="center"/>
            </w:pPr>
            <w:r>
              <w:rPr>
                <w:sz w:val="18"/>
              </w:rPr>
              <w:t>ug/L</w:t>
            </w:r>
          </w:p>
        </w:tc>
        <w:tc>
          <w:tcPr>
            <w:tcW w:w="889" w:type="dxa"/>
            <w:gridSpan w:val="2"/>
            <w:tcBorders>
              <w:top w:val="single" w:sz="4" w:space="0" w:color="000000"/>
              <w:left w:val="single" w:sz="12" w:space="0" w:color="000000"/>
              <w:bottom w:val="single" w:sz="4" w:space="0" w:color="000000"/>
              <w:right w:val="single" w:sz="12" w:space="0" w:color="000000"/>
            </w:tcBorders>
          </w:tcPr>
          <w:p w14:paraId="63DE17C2" w14:textId="7DE5C85D" w:rsidR="00B0429D" w:rsidRDefault="00B0429D" w:rsidP="008A155E">
            <w:pPr>
              <w:spacing w:after="0" w:line="259" w:lineRule="auto"/>
              <w:ind w:left="0" w:right="53" w:firstLine="0"/>
              <w:jc w:val="center"/>
            </w:pPr>
            <w:r>
              <w:rPr>
                <w:sz w:val="18"/>
              </w:rPr>
              <w:t>N/A</w:t>
            </w:r>
          </w:p>
        </w:tc>
        <w:tc>
          <w:tcPr>
            <w:tcW w:w="990" w:type="dxa"/>
            <w:tcBorders>
              <w:top w:val="single" w:sz="4" w:space="0" w:color="000000"/>
              <w:left w:val="single" w:sz="12" w:space="0" w:color="000000"/>
              <w:bottom w:val="single" w:sz="4" w:space="0" w:color="000000"/>
              <w:right w:val="single" w:sz="12" w:space="0" w:color="000000"/>
            </w:tcBorders>
          </w:tcPr>
          <w:p w14:paraId="5A42472A" w14:textId="73448EC5" w:rsidR="00B0429D" w:rsidRDefault="00B0429D" w:rsidP="008A155E">
            <w:pPr>
              <w:spacing w:after="0" w:line="259" w:lineRule="auto"/>
              <w:ind w:left="0" w:right="48" w:firstLine="0"/>
              <w:jc w:val="center"/>
            </w:pPr>
            <w:r>
              <w:rPr>
                <w:sz w:val="18"/>
              </w:rPr>
              <w:t>N/A</w:t>
            </w:r>
          </w:p>
        </w:tc>
        <w:tc>
          <w:tcPr>
            <w:tcW w:w="900" w:type="dxa"/>
            <w:tcBorders>
              <w:top w:val="single" w:sz="4" w:space="0" w:color="000000"/>
              <w:left w:val="single" w:sz="12" w:space="0" w:color="000000"/>
              <w:bottom w:val="single" w:sz="4" w:space="0" w:color="000000"/>
              <w:right w:val="single" w:sz="12" w:space="0" w:color="000000"/>
            </w:tcBorders>
          </w:tcPr>
          <w:p w14:paraId="3BB1005B" w14:textId="2826067E" w:rsidR="00B0429D" w:rsidRDefault="00B0429D" w:rsidP="008A155E">
            <w:pPr>
              <w:spacing w:after="0" w:line="259" w:lineRule="auto"/>
              <w:ind w:left="0" w:right="53" w:firstLine="0"/>
              <w:jc w:val="center"/>
            </w:pPr>
            <w:r>
              <w:rPr>
                <w:b/>
                <w:sz w:val="18"/>
              </w:rPr>
              <w:t>525.2</w:t>
            </w:r>
          </w:p>
        </w:tc>
        <w:tc>
          <w:tcPr>
            <w:tcW w:w="720" w:type="dxa"/>
            <w:tcBorders>
              <w:top w:val="single" w:sz="4" w:space="0" w:color="000000"/>
              <w:left w:val="single" w:sz="12" w:space="0" w:color="000000"/>
              <w:bottom w:val="single" w:sz="4" w:space="0" w:color="000000"/>
              <w:right w:val="single" w:sz="12" w:space="0" w:color="000000"/>
            </w:tcBorders>
          </w:tcPr>
          <w:p w14:paraId="106784B2" w14:textId="55D3CB0A" w:rsidR="00B0429D" w:rsidRDefault="00B0429D" w:rsidP="008A155E">
            <w:pPr>
              <w:spacing w:after="0" w:line="259" w:lineRule="auto"/>
              <w:ind w:left="0" w:right="52" w:firstLine="0"/>
              <w:jc w:val="center"/>
            </w:pPr>
            <w:r>
              <w:rPr>
                <w:sz w:val="18"/>
              </w:rPr>
              <w:t>525.1</w:t>
            </w:r>
          </w:p>
        </w:tc>
        <w:tc>
          <w:tcPr>
            <w:tcW w:w="720" w:type="dxa"/>
            <w:tcBorders>
              <w:top w:val="single" w:sz="4" w:space="0" w:color="000000"/>
              <w:left w:val="single" w:sz="12" w:space="0" w:color="000000"/>
              <w:bottom w:val="single" w:sz="4" w:space="0" w:color="000000"/>
              <w:right w:val="single" w:sz="12" w:space="0" w:color="000000"/>
            </w:tcBorders>
          </w:tcPr>
          <w:p w14:paraId="6E5A47C6" w14:textId="39213279" w:rsidR="00B0429D" w:rsidRPr="00FC7081" w:rsidRDefault="00B0429D" w:rsidP="008A155E">
            <w:pPr>
              <w:spacing w:after="0" w:line="259" w:lineRule="auto"/>
              <w:ind w:left="0" w:right="53" w:firstLine="0"/>
              <w:jc w:val="center"/>
            </w:pPr>
            <w:r w:rsidRPr="00FC7081">
              <w:rPr>
                <w:sz w:val="18"/>
              </w:rPr>
              <w:t>506</w:t>
            </w:r>
          </w:p>
        </w:tc>
      </w:tr>
      <w:tr w:rsidR="0001496C" w14:paraId="1044E5CD" w14:textId="77777777" w:rsidTr="00C23B62">
        <w:trPr>
          <w:trHeight w:val="250"/>
        </w:trPr>
        <w:tc>
          <w:tcPr>
            <w:tcW w:w="3386" w:type="dxa"/>
            <w:tcBorders>
              <w:top w:val="single" w:sz="4" w:space="0" w:color="000000"/>
              <w:left w:val="single" w:sz="12" w:space="0" w:color="000000"/>
              <w:bottom w:val="single" w:sz="4" w:space="0" w:color="000000"/>
              <w:right w:val="single" w:sz="12" w:space="0" w:color="000000"/>
            </w:tcBorders>
          </w:tcPr>
          <w:p w14:paraId="1258F142" w14:textId="77777777" w:rsidR="00B0429D" w:rsidRDefault="00B0429D" w:rsidP="00B0429D">
            <w:pPr>
              <w:spacing w:after="0" w:line="259" w:lineRule="auto"/>
              <w:ind w:left="2" w:right="0" w:firstLine="0"/>
            </w:pPr>
            <w:r>
              <w:rPr>
                <w:sz w:val="18"/>
              </w:rPr>
              <w:t xml:space="preserve">Dimethyl phthalate </w:t>
            </w:r>
          </w:p>
        </w:tc>
        <w:tc>
          <w:tcPr>
            <w:tcW w:w="1114" w:type="dxa"/>
            <w:gridSpan w:val="2"/>
            <w:tcBorders>
              <w:top w:val="single" w:sz="4" w:space="0" w:color="000000"/>
              <w:left w:val="single" w:sz="12" w:space="0" w:color="000000"/>
              <w:bottom w:val="single" w:sz="4" w:space="0" w:color="000000"/>
              <w:right w:val="single" w:sz="12" w:space="0" w:color="000000"/>
            </w:tcBorders>
          </w:tcPr>
          <w:p w14:paraId="792C2EB7" w14:textId="499A1EC1" w:rsidR="00B0429D" w:rsidRDefault="00B0429D" w:rsidP="008A155E">
            <w:pPr>
              <w:spacing w:after="0" w:line="259" w:lineRule="auto"/>
              <w:ind w:left="0" w:right="50" w:firstLine="0"/>
              <w:jc w:val="center"/>
            </w:pPr>
            <w:r>
              <w:rPr>
                <w:sz w:val="18"/>
              </w:rPr>
              <w:t>131-11-3</w:t>
            </w:r>
          </w:p>
        </w:tc>
        <w:tc>
          <w:tcPr>
            <w:tcW w:w="900" w:type="dxa"/>
            <w:tcBorders>
              <w:top w:val="single" w:sz="4" w:space="0" w:color="000000"/>
              <w:left w:val="single" w:sz="12" w:space="0" w:color="000000"/>
              <w:bottom w:val="single" w:sz="4" w:space="0" w:color="000000"/>
              <w:right w:val="single" w:sz="12" w:space="0" w:color="000000"/>
            </w:tcBorders>
          </w:tcPr>
          <w:p w14:paraId="2F091619" w14:textId="389AA0F0" w:rsidR="00B0429D" w:rsidRDefault="00B0429D" w:rsidP="008A155E">
            <w:pPr>
              <w:tabs>
                <w:tab w:val="center" w:pos="308"/>
              </w:tabs>
              <w:spacing w:after="0" w:line="259" w:lineRule="auto"/>
              <w:ind w:left="0" w:right="0" w:firstLine="0"/>
              <w:jc w:val="center"/>
            </w:pPr>
            <w:r>
              <w:rPr>
                <w:sz w:val="18"/>
              </w:rPr>
              <w:t>10</w:t>
            </w:r>
          </w:p>
        </w:tc>
        <w:tc>
          <w:tcPr>
            <w:tcW w:w="911" w:type="dxa"/>
            <w:tcBorders>
              <w:top w:val="single" w:sz="4" w:space="0" w:color="000000"/>
              <w:left w:val="single" w:sz="12" w:space="0" w:color="000000"/>
              <w:bottom w:val="single" w:sz="4" w:space="0" w:color="000000"/>
              <w:right w:val="single" w:sz="12" w:space="0" w:color="000000"/>
            </w:tcBorders>
          </w:tcPr>
          <w:p w14:paraId="0AA17B0D" w14:textId="1F1CF453" w:rsidR="00B0429D" w:rsidRDefault="00B0429D" w:rsidP="008A155E">
            <w:pPr>
              <w:spacing w:after="0" w:line="259" w:lineRule="auto"/>
              <w:ind w:left="0" w:right="52" w:firstLine="0"/>
              <w:jc w:val="center"/>
            </w:pPr>
            <w:r>
              <w:rPr>
                <w:sz w:val="18"/>
              </w:rPr>
              <w:t>ug/L</w:t>
            </w:r>
          </w:p>
        </w:tc>
        <w:tc>
          <w:tcPr>
            <w:tcW w:w="889" w:type="dxa"/>
            <w:gridSpan w:val="2"/>
            <w:tcBorders>
              <w:top w:val="single" w:sz="4" w:space="0" w:color="000000"/>
              <w:left w:val="single" w:sz="12" w:space="0" w:color="000000"/>
              <w:bottom w:val="single" w:sz="4" w:space="0" w:color="000000"/>
              <w:right w:val="single" w:sz="12" w:space="0" w:color="000000"/>
            </w:tcBorders>
          </w:tcPr>
          <w:p w14:paraId="6FFA5D83" w14:textId="34D5E587" w:rsidR="00B0429D" w:rsidRDefault="00B0429D" w:rsidP="008A155E">
            <w:pPr>
              <w:spacing w:after="0" w:line="259" w:lineRule="auto"/>
              <w:ind w:left="0" w:right="53" w:firstLine="0"/>
              <w:jc w:val="center"/>
            </w:pPr>
            <w:r>
              <w:rPr>
                <w:sz w:val="18"/>
              </w:rPr>
              <w:t>N/A</w:t>
            </w:r>
          </w:p>
        </w:tc>
        <w:tc>
          <w:tcPr>
            <w:tcW w:w="990" w:type="dxa"/>
            <w:tcBorders>
              <w:top w:val="single" w:sz="4" w:space="0" w:color="000000"/>
              <w:left w:val="single" w:sz="12" w:space="0" w:color="000000"/>
              <w:bottom w:val="single" w:sz="4" w:space="0" w:color="000000"/>
              <w:right w:val="single" w:sz="12" w:space="0" w:color="000000"/>
            </w:tcBorders>
          </w:tcPr>
          <w:p w14:paraId="72E268D7" w14:textId="0CD32990" w:rsidR="00B0429D" w:rsidRDefault="00B0429D" w:rsidP="008A155E">
            <w:pPr>
              <w:spacing w:after="0" w:line="259" w:lineRule="auto"/>
              <w:ind w:left="0" w:right="48" w:firstLine="0"/>
              <w:jc w:val="center"/>
            </w:pPr>
            <w:r>
              <w:rPr>
                <w:sz w:val="18"/>
              </w:rPr>
              <w:t>N/A</w:t>
            </w:r>
          </w:p>
        </w:tc>
        <w:tc>
          <w:tcPr>
            <w:tcW w:w="900" w:type="dxa"/>
            <w:tcBorders>
              <w:top w:val="single" w:sz="4" w:space="0" w:color="000000"/>
              <w:left w:val="single" w:sz="12" w:space="0" w:color="000000"/>
              <w:bottom w:val="single" w:sz="4" w:space="0" w:color="000000"/>
              <w:right w:val="single" w:sz="12" w:space="0" w:color="000000"/>
            </w:tcBorders>
          </w:tcPr>
          <w:p w14:paraId="72DD02DA" w14:textId="1BEE31A9" w:rsidR="00B0429D" w:rsidRDefault="00B0429D" w:rsidP="008A155E">
            <w:pPr>
              <w:spacing w:after="0" w:line="259" w:lineRule="auto"/>
              <w:ind w:left="0" w:right="53" w:firstLine="0"/>
              <w:jc w:val="center"/>
            </w:pPr>
            <w:r>
              <w:rPr>
                <w:b/>
                <w:sz w:val="18"/>
              </w:rPr>
              <w:t>525.2</w:t>
            </w:r>
          </w:p>
        </w:tc>
        <w:tc>
          <w:tcPr>
            <w:tcW w:w="720" w:type="dxa"/>
            <w:tcBorders>
              <w:top w:val="single" w:sz="4" w:space="0" w:color="000000"/>
              <w:left w:val="single" w:sz="12" w:space="0" w:color="000000"/>
              <w:bottom w:val="single" w:sz="4" w:space="0" w:color="000000"/>
              <w:right w:val="single" w:sz="12" w:space="0" w:color="000000"/>
            </w:tcBorders>
          </w:tcPr>
          <w:p w14:paraId="23C3640D" w14:textId="1BF3EAA7" w:rsidR="00B0429D" w:rsidRDefault="00B0429D" w:rsidP="008A155E">
            <w:pPr>
              <w:spacing w:after="0" w:line="259" w:lineRule="auto"/>
              <w:ind w:left="0" w:right="51" w:firstLine="0"/>
              <w:jc w:val="center"/>
            </w:pPr>
            <w:r>
              <w:rPr>
                <w:sz w:val="18"/>
              </w:rPr>
              <w:t>506</w:t>
            </w:r>
          </w:p>
        </w:tc>
        <w:tc>
          <w:tcPr>
            <w:tcW w:w="720" w:type="dxa"/>
            <w:tcBorders>
              <w:top w:val="single" w:sz="4" w:space="0" w:color="000000"/>
              <w:left w:val="single" w:sz="12" w:space="0" w:color="000000"/>
              <w:bottom w:val="single" w:sz="4" w:space="0" w:color="000000"/>
              <w:right w:val="single" w:sz="12" w:space="0" w:color="000000"/>
            </w:tcBorders>
          </w:tcPr>
          <w:p w14:paraId="19E20E22" w14:textId="777DBC5E" w:rsidR="00B0429D" w:rsidRPr="00FC7081" w:rsidRDefault="00B0429D" w:rsidP="008A155E">
            <w:pPr>
              <w:spacing w:after="0" w:line="259" w:lineRule="auto"/>
              <w:ind w:left="0" w:right="12" w:firstLine="0"/>
              <w:jc w:val="center"/>
            </w:pPr>
          </w:p>
        </w:tc>
      </w:tr>
      <w:tr w:rsidR="0001496C" w14:paraId="1A5A8286" w14:textId="77777777" w:rsidTr="00C23B62">
        <w:trPr>
          <w:trHeight w:val="250"/>
        </w:trPr>
        <w:tc>
          <w:tcPr>
            <w:tcW w:w="3386" w:type="dxa"/>
            <w:tcBorders>
              <w:top w:val="single" w:sz="4" w:space="0" w:color="000000"/>
              <w:left w:val="single" w:sz="12" w:space="0" w:color="000000"/>
              <w:bottom w:val="single" w:sz="4" w:space="0" w:color="000000"/>
              <w:right w:val="single" w:sz="12" w:space="0" w:color="000000"/>
            </w:tcBorders>
          </w:tcPr>
          <w:p w14:paraId="3E30ACD5" w14:textId="77777777" w:rsidR="00B0429D" w:rsidRDefault="00B0429D" w:rsidP="00B0429D">
            <w:pPr>
              <w:spacing w:after="0" w:line="259" w:lineRule="auto"/>
              <w:ind w:left="2" w:right="0" w:firstLine="0"/>
            </w:pPr>
            <w:r>
              <w:rPr>
                <w:sz w:val="18"/>
              </w:rPr>
              <w:t>2,4-Dinitrotoluene</w:t>
            </w:r>
            <w:r>
              <w:rPr>
                <w:b/>
                <w:sz w:val="18"/>
              </w:rPr>
              <w:t xml:space="preserve"> </w:t>
            </w:r>
          </w:p>
        </w:tc>
        <w:tc>
          <w:tcPr>
            <w:tcW w:w="1114" w:type="dxa"/>
            <w:gridSpan w:val="2"/>
            <w:tcBorders>
              <w:top w:val="single" w:sz="4" w:space="0" w:color="000000"/>
              <w:left w:val="single" w:sz="12" w:space="0" w:color="000000"/>
              <w:bottom w:val="single" w:sz="4" w:space="0" w:color="000000"/>
              <w:right w:val="single" w:sz="12" w:space="0" w:color="000000"/>
            </w:tcBorders>
          </w:tcPr>
          <w:p w14:paraId="6C634C88" w14:textId="2DB048BA" w:rsidR="00B0429D" w:rsidRDefault="00B0429D" w:rsidP="008A155E">
            <w:pPr>
              <w:spacing w:after="0" w:line="259" w:lineRule="auto"/>
              <w:ind w:left="0" w:right="50" w:firstLine="0"/>
              <w:jc w:val="center"/>
            </w:pPr>
            <w:r>
              <w:rPr>
                <w:sz w:val="18"/>
              </w:rPr>
              <w:t>121-14-2</w:t>
            </w:r>
          </w:p>
        </w:tc>
        <w:tc>
          <w:tcPr>
            <w:tcW w:w="900" w:type="dxa"/>
            <w:tcBorders>
              <w:top w:val="single" w:sz="4" w:space="0" w:color="000000"/>
              <w:left w:val="single" w:sz="12" w:space="0" w:color="000000"/>
              <w:bottom w:val="single" w:sz="4" w:space="0" w:color="000000"/>
              <w:right w:val="single" w:sz="12" w:space="0" w:color="000000"/>
            </w:tcBorders>
          </w:tcPr>
          <w:p w14:paraId="387BDF7D" w14:textId="5EE2D4AC" w:rsidR="00B0429D" w:rsidRDefault="00B0429D" w:rsidP="008A155E">
            <w:pPr>
              <w:tabs>
                <w:tab w:val="center" w:pos="422"/>
              </w:tabs>
              <w:spacing w:after="0" w:line="259" w:lineRule="auto"/>
              <w:ind w:left="0" w:right="0" w:firstLine="0"/>
              <w:jc w:val="center"/>
            </w:pPr>
            <w:r>
              <w:rPr>
                <w:sz w:val="18"/>
              </w:rPr>
              <w:t>0.5</w:t>
            </w:r>
          </w:p>
        </w:tc>
        <w:tc>
          <w:tcPr>
            <w:tcW w:w="911" w:type="dxa"/>
            <w:tcBorders>
              <w:top w:val="single" w:sz="4" w:space="0" w:color="000000"/>
              <w:left w:val="single" w:sz="12" w:space="0" w:color="000000"/>
              <w:bottom w:val="single" w:sz="4" w:space="0" w:color="000000"/>
              <w:right w:val="single" w:sz="12" w:space="0" w:color="000000"/>
            </w:tcBorders>
          </w:tcPr>
          <w:p w14:paraId="03398F69" w14:textId="3F05A0CD" w:rsidR="00B0429D" w:rsidRDefault="00B0429D" w:rsidP="008A155E">
            <w:pPr>
              <w:spacing w:after="0" w:line="259" w:lineRule="auto"/>
              <w:ind w:left="0" w:right="52" w:firstLine="0"/>
              <w:jc w:val="center"/>
            </w:pPr>
            <w:r>
              <w:rPr>
                <w:sz w:val="18"/>
              </w:rPr>
              <w:t>ug/L</w:t>
            </w:r>
          </w:p>
        </w:tc>
        <w:tc>
          <w:tcPr>
            <w:tcW w:w="889" w:type="dxa"/>
            <w:gridSpan w:val="2"/>
            <w:tcBorders>
              <w:top w:val="single" w:sz="4" w:space="0" w:color="000000"/>
              <w:left w:val="single" w:sz="12" w:space="0" w:color="000000"/>
              <w:bottom w:val="single" w:sz="4" w:space="0" w:color="000000"/>
              <w:right w:val="single" w:sz="12" w:space="0" w:color="000000"/>
            </w:tcBorders>
          </w:tcPr>
          <w:p w14:paraId="523F702E" w14:textId="55F6BBE7" w:rsidR="00B0429D" w:rsidRDefault="00B0429D" w:rsidP="008A155E">
            <w:pPr>
              <w:spacing w:after="0" w:line="259" w:lineRule="auto"/>
              <w:ind w:left="0" w:right="53" w:firstLine="0"/>
              <w:jc w:val="center"/>
            </w:pPr>
            <w:r>
              <w:rPr>
                <w:sz w:val="18"/>
              </w:rPr>
              <w:t>N/A</w:t>
            </w:r>
          </w:p>
        </w:tc>
        <w:tc>
          <w:tcPr>
            <w:tcW w:w="990" w:type="dxa"/>
            <w:tcBorders>
              <w:top w:val="single" w:sz="4" w:space="0" w:color="000000"/>
              <w:left w:val="single" w:sz="12" w:space="0" w:color="000000"/>
              <w:bottom w:val="single" w:sz="4" w:space="0" w:color="000000"/>
              <w:right w:val="single" w:sz="12" w:space="0" w:color="000000"/>
            </w:tcBorders>
          </w:tcPr>
          <w:p w14:paraId="66BF8807" w14:textId="7593682D" w:rsidR="00B0429D" w:rsidRDefault="00B0429D" w:rsidP="008A155E">
            <w:pPr>
              <w:spacing w:after="0" w:line="259" w:lineRule="auto"/>
              <w:ind w:left="0" w:right="48" w:firstLine="0"/>
              <w:jc w:val="center"/>
            </w:pPr>
            <w:r>
              <w:rPr>
                <w:sz w:val="18"/>
              </w:rPr>
              <w:t>N/A</w:t>
            </w:r>
          </w:p>
        </w:tc>
        <w:tc>
          <w:tcPr>
            <w:tcW w:w="900" w:type="dxa"/>
            <w:tcBorders>
              <w:top w:val="single" w:sz="4" w:space="0" w:color="000000"/>
              <w:left w:val="single" w:sz="12" w:space="0" w:color="000000"/>
              <w:bottom w:val="single" w:sz="4" w:space="0" w:color="000000"/>
              <w:right w:val="single" w:sz="12" w:space="0" w:color="000000"/>
            </w:tcBorders>
          </w:tcPr>
          <w:p w14:paraId="5CD253ED" w14:textId="33108FB1" w:rsidR="00B0429D" w:rsidRDefault="00B0429D" w:rsidP="008A155E">
            <w:pPr>
              <w:spacing w:after="0" w:line="259" w:lineRule="auto"/>
              <w:ind w:left="0" w:right="53" w:firstLine="0"/>
              <w:jc w:val="center"/>
            </w:pPr>
            <w:r>
              <w:rPr>
                <w:b/>
                <w:sz w:val="18"/>
              </w:rPr>
              <w:t>525.2</w:t>
            </w:r>
          </w:p>
        </w:tc>
        <w:tc>
          <w:tcPr>
            <w:tcW w:w="720" w:type="dxa"/>
            <w:tcBorders>
              <w:top w:val="single" w:sz="4" w:space="0" w:color="000000"/>
              <w:left w:val="single" w:sz="12" w:space="0" w:color="000000"/>
              <w:bottom w:val="single" w:sz="4" w:space="0" w:color="000000"/>
              <w:right w:val="single" w:sz="12" w:space="0" w:color="000000"/>
            </w:tcBorders>
          </w:tcPr>
          <w:p w14:paraId="0BEA8DB5" w14:textId="1D655132" w:rsidR="00B0429D" w:rsidRDefault="00B0429D" w:rsidP="008A155E">
            <w:pPr>
              <w:spacing w:after="0" w:line="259" w:lineRule="auto"/>
              <w:ind w:left="0" w:right="51" w:firstLine="0"/>
              <w:jc w:val="center"/>
            </w:pPr>
            <w:r>
              <w:rPr>
                <w:sz w:val="18"/>
              </w:rPr>
              <w:t>609</w:t>
            </w:r>
          </w:p>
        </w:tc>
        <w:tc>
          <w:tcPr>
            <w:tcW w:w="720" w:type="dxa"/>
            <w:tcBorders>
              <w:top w:val="single" w:sz="4" w:space="0" w:color="000000"/>
              <w:left w:val="single" w:sz="12" w:space="0" w:color="000000"/>
              <w:bottom w:val="single" w:sz="4" w:space="0" w:color="000000"/>
              <w:right w:val="single" w:sz="12" w:space="0" w:color="000000"/>
            </w:tcBorders>
          </w:tcPr>
          <w:p w14:paraId="404B0DBB" w14:textId="52E8A11D" w:rsidR="00B0429D" w:rsidRPr="00FC7081" w:rsidRDefault="00B0429D" w:rsidP="008A155E">
            <w:pPr>
              <w:spacing w:after="0" w:line="259" w:lineRule="auto"/>
              <w:ind w:left="0" w:right="12" w:firstLine="0"/>
              <w:jc w:val="center"/>
            </w:pPr>
          </w:p>
        </w:tc>
      </w:tr>
      <w:tr w:rsidR="0001496C" w14:paraId="7332E949" w14:textId="77777777" w:rsidTr="00C23B62">
        <w:trPr>
          <w:trHeight w:val="250"/>
        </w:trPr>
        <w:tc>
          <w:tcPr>
            <w:tcW w:w="3386" w:type="dxa"/>
            <w:tcBorders>
              <w:top w:val="single" w:sz="4" w:space="0" w:color="000000"/>
              <w:left w:val="single" w:sz="12" w:space="0" w:color="000000"/>
              <w:bottom w:val="single" w:sz="4" w:space="0" w:color="000000"/>
              <w:right w:val="single" w:sz="12" w:space="0" w:color="000000"/>
            </w:tcBorders>
          </w:tcPr>
          <w:p w14:paraId="1D4DFC04" w14:textId="77777777" w:rsidR="00B0429D" w:rsidRDefault="00B0429D" w:rsidP="00B0429D">
            <w:pPr>
              <w:spacing w:after="0" w:line="259" w:lineRule="auto"/>
              <w:ind w:left="2" w:right="0" w:firstLine="0"/>
            </w:pPr>
            <w:r>
              <w:rPr>
                <w:sz w:val="18"/>
              </w:rPr>
              <w:t>2,6-Dinitrotoluene</w:t>
            </w:r>
            <w:r>
              <w:rPr>
                <w:b/>
                <w:sz w:val="18"/>
              </w:rPr>
              <w:t xml:space="preserve"> </w:t>
            </w:r>
          </w:p>
        </w:tc>
        <w:tc>
          <w:tcPr>
            <w:tcW w:w="1114" w:type="dxa"/>
            <w:gridSpan w:val="2"/>
            <w:tcBorders>
              <w:top w:val="single" w:sz="4" w:space="0" w:color="000000"/>
              <w:left w:val="single" w:sz="12" w:space="0" w:color="000000"/>
              <w:bottom w:val="single" w:sz="4" w:space="0" w:color="000000"/>
              <w:right w:val="single" w:sz="12" w:space="0" w:color="000000"/>
            </w:tcBorders>
          </w:tcPr>
          <w:p w14:paraId="53C9D4CF" w14:textId="4179A6FC" w:rsidR="00B0429D" w:rsidRDefault="00B0429D" w:rsidP="008A155E">
            <w:pPr>
              <w:spacing w:after="0" w:line="259" w:lineRule="auto"/>
              <w:ind w:left="0" w:right="50" w:firstLine="0"/>
              <w:jc w:val="center"/>
            </w:pPr>
            <w:r>
              <w:rPr>
                <w:sz w:val="18"/>
              </w:rPr>
              <w:t>606-20-2</w:t>
            </w:r>
          </w:p>
        </w:tc>
        <w:tc>
          <w:tcPr>
            <w:tcW w:w="900" w:type="dxa"/>
            <w:tcBorders>
              <w:top w:val="single" w:sz="4" w:space="0" w:color="000000"/>
              <w:left w:val="single" w:sz="12" w:space="0" w:color="000000"/>
              <w:bottom w:val="single" w:sz="4" w:space="0" w:color="000000"/>
              <w:right w:val="single" w:sz="12" w:space="0" w:color="000000"/>
            </w:tcBorders>
          </w:tcPr>
          <w:p w14:paraId="00F5DB40" w14:textId="7307D607" w:rsidR="00B0429D" w:rsidRDefault="00B0429D" w:rsidP="008A155E">
            <w:pPr>
              <w:tabs>
                <w:tab w:val="center" w:pos="399"/>
              </w:tabs>
              <w:spacing w:after="0" w:line="259" w:lineRule="auto"/>
              <w:ind w:left="0" w:right="0" w:firstLine="0"/>
              <w:jc w:val="center"/>
            </w:pPr>
            <w:r>
              <w:rPr>
                <w:sz w:val="18"/>
              </w:rPr>
              <w:t>0.5</w:t>
            </w:r>
          </w:p>
        </w:tc>
        <w:tc>
          <w:tcPr>
            <w:tcW w:w="911" w:type="dxa"/>
            <w:tcBorders>
              <w:top w:val="single" w:sz="4" w:space="0" w:color="000000"/>
              <w:left w:val="single" w:sz="12" w:space="0" w:color="000000"/>
              <w:bottom w:val="single" w:sz="4" w:space="0" w:color="000000"/>
              <w:right w:val="single" w:sz="12" w:space="0" w:color="000000"/>
            </w:tcBorders>
          </w:tcPr>
          <w:p w14:paraId="72E8D5C0" w14:textId="0EAACB7F" w:rsidR="00B0429D" w:rsidRDefault="00B0429D" w:rsidP="008A155E">
            <w:pPr>
              <w:spacing w:after="0" w:line="259" w:lineRule="auto"/>
              <w:ind w:left="0" w:right="52" w:firstLine="0"/>
              <w:jc w:val="center"/>
            </w:pPr>
            <w:r>
              <w:rPr>
                <w:sz w:val="18"/>
              </w:rPr>
              <w:t>ug/L</w:t>
            </w:r>
          </w:p>
        </w:tc>
        <w:tc>
          <w:tcPr>
            <w:tcW w:w="889" w:type="dxa"/>
            <w:gridSpan w:val="2"/>
            <w:tcBorders>
              <w:top w:val="single" w:sz="4" w:space="0" w:color="000000"/>
              <w:left w:val="single" w:sz="12" w:space="0" w:color="000000"/>
              <w:bottom w:val="single" w:sz="4" w:space="0" w:color="000000"/>
              <w:right w:val="single" w:sz="12" w:space="0" w:color="000000"/>
            </w:tcBorders>
          </w:tcPr>
          <w:p w14:paraId="695D2D18" w14:textId="494D91D7" w:rsidR="00B0429D" w:rsidRDefault="00B0429D" w:rsidP="008A155E">
            <w:pPr>
              <w:spacing w:after="0" w:line="259" w:lineRule="auto"/>
              <w:ind w:left="0" w:right="53" w:firstLine="0"/>
              <w:jc w:val="center"/>
            </w:pPr>
            <w:r>
              <w:rPr>
                <w:sz w:val="18"/>
              </w:rPr>
              <w:t>N/A</w:t>
            </w:r>
          </w:p>
        </w:tc>
        <w:tc>
          <w:tcPr>
            <w:tcW w:w="990" w:type="dxa"/>
            <w:tcBorders>
              <w:top w:val="single" w:sz="4" w:space="0" w:color="000000"/>
              <w:left w:val="single" w:sz="12" w:space="0" w:color="000000"/>
              <w:bottom w:val="single" w:sz="4" w:space="0" w:color="000000"/>
              <w:right w:val="single" w:sz="12" w:space="0" w:color="000000"/>
            </w:tcBorders>
          </w:tcPr>
          <w:p w14:paraId="3697F153" w14:textId="3FE0C29E" w:rsidR="00B0429D" w:rsidRDefault="00B0429D" w:rsidP="008A155E">
            <w:pPr>
              <w:spacing w:after="0" w:line="259" w:lineRule="auto"/>
              <w:ind w:left="0" w:right="48" w:firstLine="0"/>
              <w:jc w:val="center"/>
            </w:pPr>
            <w:r>
              <w:rPr>
                <w:sz w:val="18"/>
              </w:rPr>
              <w:t>N/A</w:t>
            </w:r>
          </w:p>
        </w:tc>
        <w:tc>
          <w:tcPr>
            <w:tcW w:w="900" w:type="dxa"/>
            <w:tcBorders>
              <w:top w:val="single" w:sz="4" w:space="0" w:color="000000"/>
              <w:left w:val="single" w:sz="12" w:space="0" w:color="000000"/>
              <w:bottom w:val="single" w:sz="4" w:space="0" w:color="000000"/>
              <w:right w:val="single" w:sz="12" w:space="0" w:color="000000"/>
            </w:tcBorders>
          </w:tcPr>
          <w:p w14:paraId="7E11BD70" w14:textId="2C96F540" w:rsidR="00B0429D" w:rsidRDefault="00B0429D" w:rsidP="008A155E">
            <w:pPr>
              <w:spacing w:after="0" w:line="259" w:lineRule="auto"/>
              <w:ind w:left="0" w:right="53" w:firstLine="0"/>
              <w:jc w:val="center"/>
            </w:pPr>
            <w:r>
              <w:rPr>
                <w:b/>
                <w:sz w:val="18"/>
              </w:rPr>
              <w:t>525.2</w:t>
            </w:r>
          </w:p>
        </w:tc>
        <w:tc>
          <w:tcPr>
            <w:tcW w:w="720" w:type="dxa"/>
            <w:tcBorders>
              <w:top w:val="single" w:sz="4" w:space="0" w:color="000000"/>
              <w:left w:val="single" w:sz="12" w:space="0" w:color="000000"/>
              <w:bottom w:val="single" w:sz="4" w:space="0" w:color="000000"/>
              <w:right w:val="single" w:sz="12" w:space="0" w:color="000000"/>
            </w:tcBorders>
          </w:tcPr>
          <w:p w14:paraId="099D6C0D" w14:textId="364B6786" w:rsidR="00B0429D" w:rsidRDefault="00B0429D" w:rsidP="008A155E">
            <w:pPr>
              <w:spacing w:after="0" w:line="259" w:lineRule="auto"/>
              <w:ind w:left="0" w:right="51" w:firstLine="0"/>
              <w:jc w:val="center"/>
            </w:pPr>
            <w:r>
              <w:rPr>
                <w:sz w:val="18"/>
              </w:rPr>
              <w:t>609</w:t>
            </w:r>
          </w:p>
        </w:tc>
        <w:tc>
          <w:tcPr>
            <w:tcW w:w="720" w:type="dxa"/>
            <w:tcBorders>
              <w:top w:val="single" w:sz="4" w:space="0" w:color="000000"/>
              <w:left w:val="single" w:sz="12" w:space="0" w:color="000000"/>
              <w:bottom w:val="single" w:sz="4" w:space="0" w:color="000000"/>
              <w:right w:val="single" w:sz="12" w:space="0" w:color="000000"/>
            </w:tcBorders>
          </w:tcPr>
          <w:p w14:paraId="7746D3A9" w14:textId="05CF6044" w:rsidR="00B0429D" w:rsidRPr="00FC7081" w:rsidRDefault="00B0429D" w:rsidP="008A155E">
            <w:pPr>
              <w:spacing w:after="0" w:line="259" w:lineRule="auto"/>
              <w:ind w:left="0" w:right="12" w:firstLine="0"/>
              <w:jc w:val="center"/>
            </w:pPr>
          </w:p>
        </w:tc>
      </w:tr>
      <w:tr w:rsidR="0001496C" w14:paraId="7D2D5376" w14:textId="77777777" w:rsidTr="00C23B62">
        <w:trPr>
          <w:trHeight w:val="252"/>
        </w:trPr>
        <w:tc>
          <w:tcPr>
            <w:tcW w:w="3386" w:type="dxa"/>
            <w:tcBorders>
              <w:top w:val="single" w:sz="4" w:space="0" w:color="000000"/>
              <w:left w:val="single" w:sz="12" w:space="0" w:color="000000"/>
              <w:bottom w:val="single" w:sz="4" w:space="0" w:color="000000"/>
              <w:right w:val="single" w:sz="12" w:space="0" w:color="000000"/>
            </w:tcBorders>
          </w:tcPr>
          <w:p w14:paraId="032C8F22" w14:textId="77777777" w:rsidR="00B0429D" w:rsidRDefault="00B0429D" w:rsidP="00B0429D">
            <w:pPr>
              <w:spacing w:after="0" w:line="259" w:lineRule="auto"/>
              <w:ind w:left="2" w:right="0" w:firstLine="0"/>
            </w:pPr>
            <w:r>
              <w:rPr>
                <w:sz w:val="18"/>
              </w:rPr>
              <w:t xml:space="preserve">Fluorene </w:t>
            </w:r>
          </w:p>
        </w:tc>
        <w:tc>
          <w:tcPr>
            <w:tcW w:w="1114" w:type="dxa"/>
            <w:gridSpan w:val="2"/>
            <w:tcBorders>
              <w:top w:val="single" w:sz="4" w:space="0" w:color="000000"/>
              <w:left w:val="single" w:sz="12" w:space="0" w:color="000000"/>
              <w:bottom w:val="single" w:sz="4" w:space="0" w:color="000000"/>
              <w:right w:val="single" w:sz="12" w:space="0" w:color="000000"/>
            </w:tcBorders>
          </w:tcPr>
          <w:p w14:paraId="5F7BB755" w14:textId="7FACC958" w:rsidR="00B0429D" w:rsidRDefault="00B0429D" w:rsidP="008A155E">
            <w:pPr>
              <w:spacing w:after="0" w:line="259" w:lineRule="auto"/>
              <w:ind w:left="0" w:right="50" w:firstLine="0"/>
              <w:jc w:val="center"/>
            </w:pPr>
            <w:r>
              <w:rPr>
                <w:sz w:val="18"/>
              </w:rPr>
              <w:t>86-73-7</w:t>
            </w:r>
          </w:p>
        </w:tc>
        <w:tc>
          <w:tcPr>
            <w:tcW w:w="900" w:type="dxa"/>
            <w:tcBorders>
              <w:top w:val="single" w:sz="4" w:space="0" w:color="000000"/>
              <w:left w:val="single" w:sz="12" w:space="0" w:color="000000"/>
              <w:bottom w:val="single" w:sz="4" w:space="0" w:color="000000"/>
              <w:right w:val="single" w:sz="12" w:space="0" w:color="000000"/>
            </w:tcBorders>
          </w:tcPr>
          <w:p w14:paraId="283529A0" w14:textId="22B54176" w:rsidR="00B0429D" w:rsidRDefault="00B0429D" w:rsidP="008A155E">
            <w:pPr>
              <w:tabs>
                <w:tab w:val="center" w:pos="308"/>
              </w:tabs>
              <w:spacing w:after="0" w:line="259" w:lineRule="auto"/>
              <w:ind w:left="0" w:right="0" w:firstLine="0"/>
              <w:jc w:val="center"/>
            </w:pPr>
            <w:r>
              <w:rPr>
                <w:sz w:val="18"/>
              </w:rPr>
              <w:t>10</w:t>
            </w:r>
          </w:p>
        </w:tc>
        <w:tc>
          <w:tcPr>
            <w:tcW w:w="911" w:type="dxa"/>
            <w:tcBorders>
              <w:top w:val="single" w:sz="4" w:space="0" w:color="000000"/>
              <w:left w:val="single" w:sz="12" w:space="0" w:color="000000"/>
              <w:bottom w:val="single" w:sz="4" w:space="0" w:color="000000"/>
              <w:right w:val="single" w:sz="12" w:space="0" w:color="000000"/>
            </w:tcBorders>
          </w:tcPr>
          <w:p w14:paraId="1A8A9F44" w14:textId="1E9D1586" w:rsidR="00B0429D" w:rsidRDefault="00B0429D" w:rsidP="008A155E">
            <w:pPr>
              <w:spacing w:after="0" w:line="259" w:lineRule="auto"/>
              <w:ind w:left="0" w:right="52" w:firstLine="0"/>
              <w:jc w:val="center"/>
            </w:pPr>
            <w:r>
              <w:rPr>
                <w:sz w:val="18"/>
              </w:rPr>
              <w:t>ug/L</w:t>
            </w:r>
          </w:p>
        </w:tc>
        <w:tc>
          <w:tcPr>
            <w:tcW w:w="889" w:type="dxa"/>
            <w:gridSpan w:val="2"/>
            <w:tcBorders>
              <w:top w:val="single" w:sz="4" w:space="0" w:color="000000"/>
              <w:left w:val="single" w:sz="12" w:space="0" w:color="000000"/>
              <w:bottom w:val="single" w:sz="4" w:space="0" w:color="000000"/>
              <w:right w:val="single" w:sz="12" w:space="0" w:color="000000"/>
            </w:tcBorders>
          </w:tcPr>
          <w:p w14:paraId="530CB9C3" w14:textId="0B4F7E5D" w:rsidR="00B0429D" w:rsidRDefault="00B0429D" w:rsidP="008A155E">
            <w:pPr>
              <w:spacing w:after="0" w:line="259" w:lineRule="auto"/>
              <w:ind w:left="0" w:right="53" w:firstLine="0"/>
              <w:jc w:val="center"/>
            </w:pPr>
            <w:r>
              <w:rPr>
                <w:sz w:val="18"/>
              </w:rPr>
              <w:t>N/A</w:t>
            </w:r>
          </w:p>
        </w:tc>
        <w:tc>
          <w:tcPr>
            <w:tcW w:w="990" w:type="dxa"/>
            <w:tcBorders>
              <w:top w:val="single" w:sz="4" w:space="0" w:color="000000"/>
              <w:left w:val="single" w:sz="12" w:space="0" w:color="000000"/>
              <w:bottom w:val="single" w:sz="4" w:space="0" w:color="000000"/>
              <w:right w:val="single" w:sz="12" w:space="0" w:color="000000"/>
            </w:tcBorders>
          </w:tcPr>
          <w:p w14:paraId="2A3F4150" w14:textId="03AF709C" w:rsidR="00B0429D" w:rsidRDefault="00B0429D" w:rsidP="008A155E">
            <w:pPr>
              <w:spacing w:after="0" w:line="259" w:lineRule="auto"/>
              <w:ind w:left="0" w:right="48" w:firstLine="0"/>
              <w:jc w:val="center"/>
            </w:pPr>
            <w:r>
              <w:rPr>
                <w:sz w:val="18"/>
              </w:rPr>
              <w:t>N/A</w:t>
            </w:r>
          </w:p>
        </w:tc>
        <w:tc>
          <w:tcPr>
            <w:tcW w:w="900" w:type="dxa"/>
            <w:tcBorders>
              <w:top w:val="single" w:sz="4" w:space="0" w:color="000000"/>
              <w:left w:val="single" w:sz="12" w:space="0" w:color="000000"/>
              <w:bottom w:val="single" w:sz="4" w:space="0" w:color="000000"/>
              <w:right w:val="single" w:sz="12" w:space="0" w:color="000000"/>
            </w:tcBorders>
          </w:tcPr>
          <w:p w14:paraId="57B95AE0" w14:textId="7C7FB456" w:rsidR="00B0429D" w:rsidRDefault="00B0429D" w:rsidP="008A155E">
            <w:pPr>
              <w:spacing w:after="0" w:line="259" w:lineRule="auto"/>
              <w:ind w:left="0" w:right="53" w:firstLine="0"/>
              <w:jc w:val="center"/>
            </w:pPr>
            <w:r>
              <w:rPr>
                <w:b/>
                <w:sz w:val="18"/>
              </w:rPr>
              <w:t>525.2</w:t>
            </w:r>
          </w:p>
        </w:tc>
        <w:tc>
          <w:tcPr>
            <w:tcW w:w="720" w:type="dxa"/>
            <w:tcBorders>
              <w:top w:val="single" w:sz="4" w:space="0" w:color="000000"/>
              <w:left w:val="single" w:sz="12" w:space="0" w:color="000000"/>
              <w:bottom w:val="single" w:sz="4" w:space="0" w:color="000000"/>
              <w:right w:val="single" w:sz="12" w:space="0" w:color="000000"/>
            </w:tcBorders>
          </w:tcPr>
          <w:p w14:paraId="7CE021C8" w14:textId="4A3632C4" w:rsidR="00B0429D" w:rsidRDefault="00B0429D" w:rsidP="008A155E">
            <w:pPr>
              <w:spacing w:after="0" w:line="259" w:lineRule="auto"/>
              <w:ind w:left="0" w:right="52" w:firstLine="0"/>
              <w:jc w:val="center"/>
            </w:pPr>
            <w:r>
              <w:rPr>
                <w:sz w:val="18"/>
              </w:rPr>
              <w:t>550.1</w:t>
            </w:r>
          </w:p>
        </w:tc>
        <w:tc>
          <w:tcPr>
            <w:tcW w:w="720" w:type="dxa"/>
            <w:tcBorders>
              <w:top w:val="single" w:sz="4" w:space="0" w:color="000000"/>
              <w:left w:val="single" w:sz="12" w:space="0" w:color="000000"/>
              <w:bottom w:val="single" w:sz="4" w:space="0" w:color="000000"/>
              <w:right w:val="single" w:sz="12" w:space="0" w:color="000000"/>
            </w:tcBorders>
          </w:tcPr>
          <w:p w14:paraId="3D7CF0C4" w14:textId="1C4655DB" w:rsidR="00B0429D" w:rsidRPr="00FC7081" w:rsidRDefault="00B0429D" w:rsidP="008A155E">
            <w:pPr>
              <w:spacing w:after="0" w:line="259" w:lineRule="auto"/>
              <w:ind w:left="0" w:right="12" w:firstLine="0"/>
              <w:jc w:val="center"/>
            </w:pPr>
          </w:p>
        </w:tc>
      </w:tr>
      <w:tr w:rsidR="0001496C" w14:paraId="21767B2D" w14:textId="77777777" w:rsidTr="00C23B62">
        <w:trPr>
          <w:trHeight w:val="250"/>
        </w:trPr>
        <w:tc>
          <w:tcPr>
            <w:tcW w:w="3386" w:type="dxa"/>
            <w:tcBorders>
              <w:top w:val="single" w:sz="4" w:space="0" w:color="000000"/>
              <w:left w:val="single" w:sz="12" w:space="0" w:color="000000"/>
              <w:bottom w:val="single" w:sz="4" w:space="0" w:color="000000"/>
              <w:right w:val="single" w:sz="12" w:space="0" w:color="000000"/>
            </w:tcBorders>
          </w:tcPr>
          <w:p w14:paraId="4EE7C1EA" w14:textId="77777777" w:rsidR="00B0429D" w:rsidRDefault="00B0429D" w:rsidP="00B0429D">
            <w:pPr>
              <w:spacing w:after="0" w:line="259" w:lineRule="auto"/>
              <w:ind w:left="2" w:right="0" w:firstLine="0"/>
            </w:pPr>
            <w:r>
              <w:rPr>
                <w:sz w:val="18"/>
              </w:rPr>
              <w:t>Hexachlorobenzene</w:t>
            </w:r>
            <w:r>
              <w:rPr>
                <w:b/>
                <w:sz w:val="18"/>
              </w:rPr>
              <w:t xml:space="preserve"> </w:t>
            </w:r>
          </w:p>
        </w:tc>
        <w:tc>
          <w:tcPr>
            <w:tcW w:w="1114" w:type="dxa"/>
            <w:gridSpan w:val="2"/>
            <w:tcBorders>
              <w:top w:val="single" w:sz="4" w:space="0" w:color="000000"/>
              <w:left w:val="single" w:sz="12" w:space="0" w:color="000000"/>
              <w:bottom w:val="single" w:sz="4" w:space="0" w:color="000000"/>
              <w:right w:val="single" w:sz="12" w:space="0" w:color="000000"/>
            </w:tcBorders>
          </w:tcPr>
          <w:p w14:paraId="2C070527" w14:textId="5158856E" w:rsidR="00B0429D" w:rsidRDefault="00B0429D" w:rsidP="008A155E">
            <w:pPr>
              <w:spacing w:after="0" w:line="259" w:lineRule="auto"/>
              <w:ind w:left="0" w:right="50" w:firstLine="0"/>
              <w:jc w:val="center"/>
            </w:pPr>
            <w:r>
              <w:rPr>
                <w:sz w:val="18"/>
              </w:rPr>
              <w:t>118-74-1</w:t>
            </w:r>
          </w:p>
        </w:tc>
        <w:tc>
          <w:tcPr>
            <w:tcW w:w="900" w:type="dxa"/>
            <w:tcBorders>
              <w:top w:val="single" w:sz="4" w:space="0" w:color="000000"/>
              <w:left w:val="single" w:sz="12" w:space="0" w:color="000000"/>
              <w:bottom w:val="single" w:sz="4" w:space="0" w:color="000000"/>
              <w:right w:val="single" w:sz="12" w:space="0" w:color="000000"/>
            </w:tcBorders>
          </w:tcPr>
          <w:p w14:paraId="245D6629" w14:textId="4C03A2C1" w:rsidR="00B0429D" w:rsidRDefault="00B0429D" w:rsidP="008A155E">
            <w:pPr>
              <w:tabs>
                <w:tab w:val="center" w:pos="399"/>
              </w:tabs>
              <w:spacing w:after="0" w:line="259" w:lineRule="auto"/>
              <w:ind w:left="0" w:right="0" w:firstLine="0"/>
              <w:jc w:val="center"/>
            </w:pPr>
            <w:r>
              <w:rPr>
                <w:sz w:val="18"/>
              </w:rPr>
              <w:t>0.2</w:t>
            </w:r>
          </w:p>
        </w:tc>
        <w:tc>
          <w:tcPr>
            <w:tcW w:w="911" w:type="dxa"/>
            <w:tcBorders>
              <w:top w:val="single" w:sz="4" w:space="0" w:color="000000"/>
              <w:left w:val="single" w:sz="12" w:space="0" w:color="000000"/>
              <w:bottom w:val="single" w:sz="4" w:space="0" w:color="000000"/>
              <w:right w:val="single" w:sz="12" w:space="0" w:color="000000"/>
            </w:tcBorders>
          </w:tcPr>
          <w:p w14:paraId="2E250731" w14:textId="42879F21" w:rsidR="00B0429D" w:rsidRDefault="00B0429D" w:rsidP="008A155E">
            <w:pPr>
              <w:spacing w:after="0" w:line="259" w:lineRule="auto"/>
              <w:ind w:left="0" w:right="52" w:firstLine="0"/>
              <w:jc w:val="center"/>
            </w:pPr>
            <w:r>
              <w:rPr>
                <w:sz w:val="18"/>
              </w:rPr>
              <w:t>ug/L</w:t>
            </w:r>
          </w:p>
        </w:tc>
        <w:tc>
          <w:tcPr>
            <w:tcW w:w="889" w:type="dxa"/>
            <w:gridSpan w:val="2"/>
            <w:tcBorders>
              <w:top w:val="single" w:sz="4" w:space="0" w:color="000000"/>
              <w:left w:val="single" w:sz="12" w:space="0" w:color="000000"/>
              <w:bottom w:val="single" w:sz="4" w:space="0" w:color="000000"/>
              <w:right w:val="single" w:sz="12" w:space="0" w:color="000000"/>
            </w:tcBorders>
          </w:tcPr>
          <w:p w14:paraId="5D91A38A" w14:textId="67F086BC" w:rsidR="00B0429D" w:rsidRDefault="00B0429D" w:rsidP="008A155E">
            <w:pPr>
              <w:spacing w:after="0" w:line="259" w:lineRule="auto"/>
              <w:ind w:left="0" w:right="53" w:firstLine="0"/>
              <w:jc w:val="center"/>
            </w:pPr>
            <w:r>
              <w:rPr>
                <w:sz w:val="18"/>
              </w:rPr>
              <w:t>N/A</w:t>
            </w:r>
          </w:p>
        </w:tc>
        <w:tc>
          <w:tcPr>
            <w:tcW w:w="990" w:type="dxa"/>
            <w:tcBorders>
              <w:top w:val="single" w:sz="4" w:space="0" w:color="000000"/>
              <w:left w:val="single" w:sz="12" w:space="0" w:color="000000"/>
              <w:bottom w:val="single" w:sz="4" w:space="0" w:color="000000"/>
              <w:right w:val="single" w:sz="12" w:space="0" w:color="000000"/>
            </w:tcBorders>
          </w:tcPr>
          <w:p w14:paraId="373BBC93" w14:textId="116DBAA8" w:rsidR="00B0429D" w:rsidRDefault="00B0429D" w:rsidP="008A155E">
            <w:pPr>
              <w:spacing w:after="0" w:line="259" w:lineRule="auto"/>
              <w:ind w:left="0" w:right="48" w:firstLine="0"/>
              <w:jc w:val="center"/>
            </w:pPr>
            <w:r>
              <w:rPr>
                <w:sz w:val="18"/>
              </w:rPr>
              <w:t>N/A</w:t>
            </w:r>
          </w:p>
        </w:tc>
        <w:tc>
          <w:tcPr>
            <w:tcW w:w="900" w:type="dxa"/>
            <w:tcBorders>
              <w:top w:val="single" w:sz="4" w:space="0" w:color="000000"/>
              <w:left w:val="single" w:sz="12" w:space="0" w:color="000000"/>
              <w:bottom w:val="single" w:sz="4" w:space="0" w:color="000000"/>
              <w:right w:val="single" w:sz="12" w:space="0" w:color="000000"/>
            </w:tcBorders>
          </w:tcPr>
          <w:p w14:paraId="09BE2C45" w14:textId="399E8923" w:rsidR="00B0429D" w:rsidRDefault="00B0429D" w:rsidP="008A155E">
            <w:pPr>
              <w:spacing w:after="0" w:line="259" w:lineRule="auto"/>
              <w:ind w:left="0" w:right="53" w:firstLine="0"/>
              <w:jc w:val="center"/>
            </w:pPr>
            <w:r>
              <w:rPr>
                <w:b/>
                <w:sz w:val="18"/>
              </w:rPr>
              <w:t>525.2</w:t>
            </w:r>
          </w:p>
        </w:tc>
        <w:tc>
          <w:tcPr>
            <w:tcW w:w="720" w:type="dxa"/>
            <w:tcBorders>
              <w:top w:val="single" w:sz="4" w:space="0" w:color="000000"/>
              <w:left w:val="single" w:sz="12" w:space="0" w:color="000000"/>
              <w:bottom w:val="single" w:sz="4" w:space="0" w:color="000000"/>
              <w:right w:val="single" w:sz="12" w:space="0" w:color="000000"/>
            </w:tcBorders>
          </w:tcPr>
          <w:p w14:paraId="5FB516E0" w14:textId="11FFCFD8" w:rsidR="00B0429D" w:rsidRDefault="00B0429D" w:rsidP="008A155E">
            <w:pPr>
              <w:spacing w:after="0" w:line="259" w:lineRule="auto"/>
              <w:ind w:left="0" w:right="51" w:firstLine="0"/>
              <w:jc w:val="center"/>
            </w:pPr>
            <w:r>
              <w:rPr>
                <w:sz w:val="18"/>
              </w:rPr>
              <w:t>505</w:t>
            </w:r>
          </w:p>
        </w:tc>
        <w:tc>
          <w:tcPr>
            <w:tcW w:w="720" w:type="dxa"/>
            <w:tcBorders>
              <w:top w:val="single" w:sz="4" w:space="0" w:color="000000"/>
              <w:left w:val="single" w:sz="12" w:space="0" w:color="000000"/>
              <w:bottom w:val="single" w:sz="4" w:space="0" w:color="000000"/>
              <w:right w:val="single" w:sz="12" w:space="0" w:color="000000"/>
            </w:tcBorders>
          </w:tcPr>
          <w:p w14:paraId="413B77FA" w14:textId="1DD559ED" w:rsidR="00B0429D" w:rsidRPr="00FC7081" w:rsidRDefault="00B0429D" w:rsidP="008A155E">
            <w:pPr>
              <w:spacing w:after="0" w:line="259" w:lineRule="auto"/>
              <w:ind w:left="0" w:right="54" w:firstLine="0"/>
              <w:jc w:val="center"/>
            </w:pPr>
            <w:r w:rsidRPr="00FC7081">
              <w:rPr>
                <w:sz w:val="18"/>
              </w:rPr>
              <w:t>508.1</w:t>
            </w:r>
          </w:p>
        </w:tc>
      </w:tr>
      <w:tr w:rsidR="0001496C" w14:paraId="280B80CE" w14:textId="77777777" w:rsidTr="00C23B62">
        <w:trPr>
          <w:trHeight w:val="250"/>
        </w:trPr>
        <w:tc>
          <w:tcPr>
            <w:tcW w:w="3386" w:type="dxa"/>
            <w:tcBorders>
              <w:top w:val="single" w:sz="4" w:space="0" w:color="000000"/>
              <w:left w:val="single" w:sz="12" w:space="0" w:color="000000"/>
              <w:bottom w:val="single" w:sz="4" w:space="0" w:color="000000"/>
              <w:right w:val="single" w:sz="12" w:space="0" w:color="000000"/>
            </w:tcBorders>
          </w:tcPr>
          <w:p w14:paraId="59604084" w14:textId="77777777" w:rsidR="00B0429D" w:rsidRDefault="00B0429D" w:rsidP="00B0429D">
            <w:pPr>
              <w:spacing w:after="0" w:line="259" w:lineRule="auto"/>
              <w:ind w:left="2" w:right="0" w:firstLine="0"/>
            </w:pPr>
            <w:proofErr w:type="spellStart"/>
            <w:r>
              <w:rPr>
                <w:sz w:val="18"/>
              </w:rPr>
              <w:t>Hexachlorocyclopentadiene</w:t>
            </w:r>
            <w:proofErr w:type="spellEnd"/>
            <w:r>
              <w:rPr>
                <w:sz w:val="18"/>
              </w:rPr>
              <w:t xml:space="preserve"> </w:t>
            </w:r>
          </w:p>
        </w:tc>
        <w:tc>
          <w:tcPr>
            <w:tcW w:w="1114" w:type="dxa"/>
            <w:gridSpan w:val="2"/>
            <w:tcBorders>
              <w:top w:val="single" w:sz="4" w:space="0" w:color="000000"/>
              <w:left w:val="single" w:sz="12" w:space="0" w:color="000000"/>
              <w:bottom w:val="single" w:sz="4" w:space="0" w:color="000000"/>
              <w:right w:val="single" w:sz="12" w:space="0" w:color="000000"/>
            </w:tcBorders>
          </w:tcPr>
          <w:p w14:paraId="5C97F99E" w14:textId="1CE7A561" w:rsidR="00B0429D" w:rsidRDefault="00B0429D" w:rsidP="008A155E">
            <w:pPr>
              <w:spacing w:after="0" w:line="259" w:lineRule="auto"/>
              <w:ind w:left="0" w:right="50" w:firstLine="0"/>
              <w:jc w:val="center"/>
            </w:pPr>
            <w:r>
              <w:rPr>
                <w:sz w:val="18"/>
              </w:rPr>
              <w:t>77-47-4</w:t>
            </w:r>
          </w:p>
        </w:tc>
        <w:tc>
          <w:tcPr>
            <w:tcW w:w="900" w:type="dxa"/>
            <w:tcBorders>
              <w:top w:val="single" w:sz="4" w:space="0" w:color="000000"/>
              <w:left w:val="single" w:sz="12" w:space="0" w:color="000000"/>
              <w:bottom w:val="single" w:sz="4" w:space="0" w:color="000000"/>
              <w:right w:val="single" w:sz="12" w:space="0" w:color="000000"/>
            </w:tcBorders>
          </w:tcPr>
          <w:p w14:paraId="4D50114B" w14:textId="7DC02A44" w:rsidR="00B0429D" w:rsidRDefault="00B0429D" w:rsidP="008A155E">
            <w:pPr>
              <w:tabs>
                <w:tab w:val="center" w:pos="354"/>
              </w:tabs>
              <w:spacing w:after="0" w:line="259" w:lineRule="auto"/>
              <w:ind w:left="0" w:right="0" w:firstLine="0"/>
              <w:jc w:val="center"/>
            </w:pPr>
            <w:r>
              <w:rPr>
                <w:sz w:val="18"/>
              </w:rPr>
              <w:t>5</w:t>
            </w:r>
          </w:p>
        </w:tc>
        <w:tc>
          <w:tcPr>
            <w:tcW w:w="911" w:type="dxa"/>
            <w:tcBorders>
              <w:top w:val="single" w:sz="4" w:space="0" w:color="000000"/>
              <w:left w:val="single" w:sz="12" w:space="0" w:color="000000"/>
              <w:bottom w:val="single" w:sz="4" w:space="0" w:color="000000"/>
              <w:right w:val="single" w:sz="12" w:space="0" w:color="000000"/>
            </w:tcBorders>
          </w:tcPr>
          <w:p w14:paraId="13B43D7F" w14:textId="50225D1A" w:rsidR="00B0429D" w:rsidRDefault="00B0429D" w:rsidP="008A155E">
            <w:pPr>
              <w:spacing w:after="0" w:line="259" w:lineRule="auto"/>
              <w:ind w:left="0" w:right="52" w:firstLine="0"/>
              <w:jc w:val="center"/>
            </w:pPr>
            <w:r>
              <w:rPr>
                <w:sz w:val="18"/>
              </w:rPr>
              <w:t>ug/L</w:t>
            </w:r>
          </w:p>
        </w:tc>
        <w:tc>
          <w:tcPr>
            <w:tcW w:w="889" w:type="dxa"/>
            <w:gridSpan w:val="2"/>
            <w:tcBorders>
              <w:top w:val="single" w:sz="4" w:space="0" w:color="000000"/>
              <w:left w:val="single" w:sz="12" w:space="0" w:color="000000"/>
              <w:bottom w:val="single" w:sz="4" w:space="0" w:color="000000"/>
              <w:right w:val="single" w:sz="12" w:space="0" w:color="000000"/>
            </w:tcBorders>
          </w:tcPr>
          <w:p w14:paraId="04A7DD0C" w14:textId="515A8596" w:rsidR="00B0429D" w:rsidRDefault="00B0429D" w:rsidP="008A155E">
            <w:pPr>
              <w:spacing w:after="0" w:line="259" w:lineRule="auto"/>
              <w:ind w:left="0" w:right="53" w:firstLine="0"/>
              <w:jc w:val="center"/>
            </w:pPr>
            <w:r>
              <w:rPr>
                <w:sz w:val="18"/>
              </w:rPr>
              <w:t>N/A</w:t>
            </w:r>
          </w:p>
        </w:tc>
        <w:tc>
          <w:tcPr>
            <w:tcW w:w="990" w:type="dxa"/>
            <w:tcBorders>
              <w:top w:val="single" w:sz="4" w:space="0" w:color="000000"/>
              <w:left w:val="single" w:sz="12" w:space="0" w:color="000000"/>
              <w:bottom w:val="single" w:sz="4" w:space="0" w:color="000000"/>
              <w:right w:val="single" w:sz="12" w:space="0" w:color="000000"/>
            </w:tcBorders>
          </w:tcPr>
          <w:p w14:paraId="36D7D9C5" w14:textId="18C3AEDA" w:rsidR="00B0429D" w:rsidRDefault="00B0429D" w:rsidP="008A155E">
            <w:pPr>
              <w:spacing w:after="0" w:line="259" w:lineRule="auto"/>
              <w:ind w:left="0" w:right="48" w:firstLine="0"/>
              <w:jc w:val="center"/>
            </w:pPr>
            <w:r>
              <w:rPr>
                <w:sz w:val="18"/>
              </w:rPr>
              <w:t>N/A</w:t>
            </w:r>
          </w:p>
        </w:tc>
        <w:tc>
          <w:tcPr>
            <w:tcW w:w="900" w:type="dxa"/>
            <w:tcBorders>
              <w:top w:val="single" w:sz="4" w:space="0" w:color="000000"/>
              <w:left w:val="single" w:sz="12" w:space="0" w:color="000000"/>
              <w:bottom w:val="single" w:sz="4" w:space="0" w:color="000000"/>
              <w:right w:val="single" w:sz="12" w:space="0" w:color="000000"/>
            </w:tcBorders>
          </w:tcPr>
          <w:p w14:paraId="11CA2E31" w14:textId="26178F21" w:rsidR="00B0429D" w:rsidRDefault="00B0429D" w:rsidP="008A155E">
            <w:pPr>
              <w:spacing w:after="0" w:line="259" w:lineRule="auto"/>
              <w:ind w:left="0" w:right="53" w:firstLine="0"/>
              <w:jc w:val="center"/>
            </w:pPr>
            <w:r>
              <w:rPr>
                <w:b/>
                <w:sz w:val="18"/>
              </w:rPr>
              <w:t>525.2</w:t>
            </w:r>
          </w:p>
        </w:tc>
        <w:tc>
          <w:tcPr>
            <w:tcW w:w="720" w:type="dxa"/>
            <w:tcBorders>
              <w:top w:val="single" w:sz="4" w:space="0" w:color="000000"/>
              <w:left w:val="single" w:sz="12" w:space="0" w:color="000000"/>
              <w:bottom w:val="single" w:sz="4" w:space="0" w:color="000000"/>
              <w:right w:val="single" w:sz="12" w:space="0" w:color="000000"/>
            </w:tcBorders>
          </w:tcPr>
          <w:p w14:paraId="145AB631" w14:textId="70DAA5B9" w:rsidR="00B0429D" w:rsidRDefault="00B0429D" w:rsidP="008A155E">
            <w:pPr>
              <w:spacing w:after="0" w:line="259" w:lineRule="auto"/>
              <w:ind w:left="0" w:right="46" w:firstLine="0"/>
              <w:jc w:val="center"/>
            </w:pPr>
            <w:r>
              <w:rPr>
                <w:sz w:val="18"/>
              </w:rPr>
              <w:t>505</w:t>
            </w:r>
          </w:p>
        </w:tc>
        <w:tc>
          <w:tcPr>
            <w:tcW w:w="720" w:type="dxa"/>
            <w:tcBorders>
              <w:top w:val="single" w:sz="4" w:space="0" w:color="000000"/>
              <w:left w:val="single" w:sz="12" w:space="0" w:color="000000"/>
              <w:bottom w:val="single" w:sz="4" w:space="0" w:color="000000"/>
              <w:right w:val="single" w:sz="12" w:space="0" w:color="000000"/>
            </w:tcBorders>
          </w:tcPr>
          <w:p w14:paraId="770C259A" w14:textId="0F14A804" w:rsidR="00B0429D" w:rsidRPr="00FC7081" w:rsidRDefault="00B0429D" w:rsidP="008A155E">
            <w:pPr>
              <w:spacing w:after="0" w:line="259" w:lineRule="auto"/>
              <w:ind w:left="0" w:right="49" w:firstLine="0"/>
              <w:jc w:val="center"/>
            </w:pPr>
            <w:r w:rsidRPr="00FC7081">
              <w:rPr>
                <w:sz w:val="18"/>
              </w:rPr>
              <w:t>508.1</w:t>
            </w:r>
          </w:p>
        </w:tc>
      </w:tr>
      <w:tr w:rsidR="0001496C" w14:paraId="33899B9E" w14:textId="77777777" w:rsidTr="00C23B62">
        <w:trPr>
          <w:trHeight w:val="250"/>
        </w:trPr>
        <w:tc>
          <w:tcPr>
            <w:tcW w:w="3386" w:type="dxa"/>
            <w:tcBorders>
              <w:top w:val="single" w:sz="4" w:space="0" w:color="000000"/>
              <w:left w:val="single" w:sz="12" w:space="0" w:color="000000"/>
              <w:bottom w:val="single" w:sz="4" w:space="0" w:color="000000"/>
              <w:right w:val="single" w:sz="12" w:space="0" w:color="000000"/>
            </w:tcBorders>
          </w:tcPr>
          <w:p w14:paraId="5C591C0D" w14:textId="59FC8E8B" w:rsidR="00B0429D" w:rsidRDefault="00B0429D" w:rsidP="00B0429D">
            <w:pPr>
              <w:spacing w:after="0" w:line="259" w:lineRule="auto"/>
              <w:ind w:left="2" w:right="0" w:firstLine="0"/>
            </w:pPr>
            <w:proofErr w:type="spellStart"/>
            <w:r>
              <w:rPr>
                <w:sz w:val="18"/>
              </w:rPr>
              <w:t>Indeno</w:t>
            </w:r>
            <w:proofErr w:type="spellEnd"/>
            <w:r>
              <w:rPr>
                <w:sz w:val="18"/>
              </w:rPr>
              <w:t>[1,2,3-cd] pyrene</w:t>
            </w:r>
            <w:r>
              <w:rPr>
                <w:b/>
                <w:sz w:val="18"/>
              </w:rPr>
              <w:t xml:space="preserve"> </w:t>
            </w:r>
          </w:p>
        </w:tc>
        <w:tc>
          <w:tcPr>
            <w:tcW w:w="1114" w:type="dxa"/>
            <w:gridSpan w:val="2"/>
            <w:tcBorders>
              <w:top w:val="single" w:sz="4" w:space="0" w:color="000000"/>
              <w:left w:val="single" w:sz="12" w:space="0" w:color="000000"/>
              <w:bottom w:val="single" w:sz="4" w:space="0" w:color="000000"/>
              <w:right w:val="single" w:sz="12" w:space="0" w:color="000000"/>
            </w:tcBorders>
          </w:tcPr>
          <w:p w14:paraId="619607EC" w14:textId="267E5408" w:rsidR="00B0429D" w:rsidRDefault="00B0429D" w:rsidP="008A155E">
            <w:pPr>
              <w:spacing w:after="0" w:line="259" w:lineRule="auto"/>
              <w:ind w:left="0" w:right="50" w:firstLine="0"/>
              <w:jc w:val="center"/>
            </w:pPr>
            <w:r>
              <w:rPr>
                <w:sz w:val="18"/>
              </w:rPr>
              <w:t>193-39-5</w:t>
            </w:r>
          </w:p>
        </w:tc>
        <w:tc>
          <w:tcPr>
            <w:tcW w:w="900" w:type="dxa"/>
            <w:tcBorders>
              <w:top w:val="single" w:sz="4" w:space="0" w:color="000000"/>
              <w:left w:val="single" w:sz="12" w:space="0" w:color="000000"/>
              <w:bottom w:val="single" w:sz="4" w:space="0" w:color="000000"/>
              <w:right w:val="single" w:sz="12" w:space="0" w:color="000000"/>
            </w:tcBorders>
          </w:tcPr>
          <w:p w14:paraId="53BAC379" w14:textId="576A81AF" w:rsidR="00B0429D" w:rsidRDefault="00B0429D" w:rsidP="008A155E">
            <w:pPr>
              <w:tabs>
                <w:tab w:val="right" w:pos="718"/>
              </w:tabs>
              <w:spacing w:after="0" w:line="259" w:lineRule="auto"/>
              <w:ind w:left="0" w:right="0" w:firstLine="0"/>
              <w:jc w:val="center"/>
            </w:pPr>
            <w:r>
              <w:rPr>
                <w:b/>
                <w:sz w:val="18"/>
              </w:rPr>
              <w:t>0.02</w:t>
            </w:r>
          </w:p>
        </w:tc>
        <w:tc>
          <w:tcPr>
            <w:tcW w:w="911" w:type="dxa"/>
            <w:tcBorders>
              <w:top w:val="single" w:sz="4" w:space="0" w:color="000000"/>
              <w:left w:val="single" w:sz="12" w:space="0" w:color="000000"/>
              <w:bottom w:val="single" w:sz="4" w:space="0" w:color="000000"/>
              <w:right w:val="single" w:sz="12" w:space="0" w:color="000000"/>
            </w:tcBorders>
          </w:tcPr>
          <w:p w14:paraId="3EE9D186" w14:textId="2BFDFB0E" w:rsidR="00B0429D" w:rsidRDefault="00B0429D" w:rsidP="008A155E">
            <w:pPr>
              <w:spacing w:after="0" w:line="259" w:lineRule="auto"/>
              <w:ind w:left="0" w:right="52" w:firstLine="0"/>
              <w:jc w:val="center"/>
            </w:pPr>
            <w:r>
              <w:rPr>
                <w:sz w:val="18"/>
              </w:rPr>
              <w:t>ug/L</w:t>
            </w:r>
          </w:p>
        </w:tc>
        <w:tc>
          <w:tcPr>
            <w:tcW w:w="889" w:type="dxa"/>
            <w:gridSpan w:val="2"/>
            <w:tcBorders>
              <w:top w:val="single" w:sz="4" w:space="0" w:color="000000"/>
              <w:left w:val="single" w:sz="12" w:space="0" w:color="000000"/>
              <w:bottom w:val="single" w:sz="4" w:space="0" w:color="000000"/>
              <w:right w:val="single" w:sz="12" w:space="0" w:color="000000"/>
            </w:tcBorders>
          </w:tcPr>
          <w:p w14:paraId="2B17CFFB" w14:textId="499511D1" w:rsidR="00B0429D" w:rsidRDefault="00B0429D" w:rsidP="008A155E">
            <w:pPr>
              <w:spacing w:after="0" w:line="259" w:lineRule="auto"/>
              <w:ind w:left="0" w:right="53" w:firstLine="0"/>
              <w:jc w:val="center"/>
            </w:pPr>
            <w:r>
              <w:rPr>
                <w:sz w:val="18"/>
              </w:rPr>
              <w:t>N/A</w:t>
            </w:r>
          </w:p>
        </w:tc>
        <w:tc>
          <w:tcPr>
            <w:tcW w:w="990" w:type="dxa"/>
            <w:tcBorders>
              <w:top w:val="single" w:sz="4" w:space="0" w:color="000000"/>
              <w:left w:val="single" w:sz="12" w:space="0" w:color="000000"/>
              <w:bottom w:val="single" w:sz="4" w:space="0" w:color="000000"/>
              <w:right w:val="single" w:sz="12" w:space="0" w:color="000000"/>
            </w:tcBorders>
          </w:tcPr>
          <w:p w14:paraId="4B92A2E7" w14:textId="76D94E92" w:rsidR="00B0429D" w:rsidRDefault="00B0429D" w:rsidP="008A155E">
            <w:pPr>
              <w:spacing w:after="0" w:line="259" w:lineRule="auto"/>
              <w:ind w:left="0" w:right="48" w:firstLine="0"/>
              <w:jc w:val="center"/>
            </w:pPr>
            <w:r>
              <w:rPr>
                <w:sz w:val="18"/>
              </w:rPr>
              <w:t>N/A</w:t>
            </w:r>
          </w:p>
        </w:tc>
        <w:tc>
          <w:tcPr>
            <w:tcW w:w="900" w:type="dxa"/>
            <w:tcBorders>
              <w:top w:val="single" w:sz="4" w:space="0" w:color="000000"/>
              <w:left w:val="single" w:sz="12" w:space="0" w:color="000000"/>
              <w:bottom w:val="single" w:sz="4" w:space="0" w:color="000000"/>
              <w:right w:val="single" w:sz="12" w:space="0" w:color="000000"/>
            </w:tcBorders>
          </w:tcPr>
          <w:p w14:paraId="53806623" w14:textId="09A83A78" w:rsidR="00B0429D" w:rsidRDefault="00B0429D" w:rsidP="008A155E">
            <w:pPr>
              <w:spacing w:after="0" w:line="259" w:lineRule="auto"/>
              <w:ind w:left="0" w:right="53" w:firstLine="0"/>
              <w:jc w:val="center"/>
            </w:pPr>
            <w:r>
              <w:rPr>
                <w:b/>
                <w:sz w:val="18"/>
              </w:rPr>
              <w:t>525.2</w:t>
            </w:r>
          </w:p>
        </w:tc>
        <w:tc>
          <w:tcPr>
            <w:tcW w:w="720" w:type="dxa"/>
            <w:tcBorders>
              <w:top w:val="single" w:sz="4" w:space="0" w:color="000000"/>
              <w:left w:val="single" w:sz="12" w:space="0" w:color="000000"/>
              <w:bottom w:val="single" w:sz="4" w:space="0" w:color="000000"/>
              <w:right w:val="single" w:sz="12" w:space="0" w:color="000000"/>
            </w:tcBorders>
          </w:tcPr>
          <w:p w14:paraId="7FDB2DF8" w14:textId="15D7B1C9" w:rsidR="00B0429D" w:rsidRDefault="00B0429D" w:rsidP="008A155E">
            <w:pPr>
              <w:spacing w:after="0" w:line="259" w:lineRule="auto"/>
              <w:ind w:left="0" w:right="44" w:firstLine="0"/>
              <w:jc w:val="center"/>
            </w:pPr>
            <w:r>
              <w:rPr>
                <w:sz w:val="18"/>
              </w:rPr>
              <w:t>550.1</w:t>
            </w:r>
          </w:p>
        </w:tc>
        <w:tc>
          <w:tcPr>
            <w:tcW w:w="720" w:type="dxa"/>
            <w:tcBorders>
              <w:top w:val="single" w:sz="4" w:space="0" w:color="000000"/>
              <w:left w:val="single" w:sz="12" w:space="0" w:color="000000"/>
              <w:bottom w:val="single" w:sz="4" w:space="0" w:color="000000"/>
              <w:right w:val="single" w:sz="12" w:space="0" w:color="000000"/>
            </w:tcBorders>
          </w:tcPr>
          <w:p w14:paraId="167F7A75" w14:textId="0ECC3B99" w:rsidR="00B0429D" w:rsidRPr="00FC7081" w:rsidRDefault="00B0429D" w:rsidP="008A155E">
            <w:pPr>
              <w:spacing w:after="0" w:line="259" w:lineRule="auto"/>
              <w:ind w:left="0" w:right="2" w:firstLine="0"/>
              <w:jc w:val="center"/>
            </w:pPr>
          </w:p>
        </w:tc>
      </w:tr>
      <w:tr w:rsidR="0001496C" w14:paraId="72C368CF" w14:textId="77777777" w:rsidTr="00C23B62">
        <w:trPr>
          <w:trHeight w:val="250"/>
        </w:trPr>
        <w:tc>
          <w:tcPr>
            <w:tcW w:w="3386" w:type="dxa"/>
            <w:tcBorders>
              <w:top w:val="single" w:sz="4" w:space="0" w:color="000000"/>
              <w:left w:val="single" w:sz="12" w:space="0" w:color="000000"/>
              <w:bottom w:val="single" w:sz="4" w:space="0" w:color="000000"/>
              <w:right w:val="single" w:sz="12" w:space="0" w:color="000000"/>
            </w:tcBorders>
          </w:tcPr>
          <w:p w14:paraId="4123D052" w14:textId="77777777" w:rsidR="00B0429D" w:rsidRDefault="00B0429D" w:rsidP="00B0429D">
            <w:pPr>
              <w:spacing w:after="0" w:line="259" w:lineRule="auto"/>
              <w:ind w:left="2" w:right="0" w:firstLine="0"/>
            </w:pPr>
            <w:proofErr w:type="spellStart"/>
            <w:r>
              <w:rPr>
                <w:sz w:val="18"/>
              </w:rPr>
              <w:t>Isophorone</w:t>
            </w:r>
            <w:proofErr w:type="spellEnd"/>
            <w:r>
              <w:rPr>
                <w:sz w:val="18"/>
              </w:rPr>
              <w:t xml:space="preserve"> </w:t>
            </w:r>
          </w:p>
        </w:tc>
        <w:tc>
          <w:tcPr>
            <w:tcW w:w="1114" w:type="dxa"/>
            <w:gridSpan w:val="2"/>
            <w:tcBorders>
              <w:top w:val="single" w:sz="4" w:space="0" w:color="000000"/>
              <w:left w:val="single" w:sz="12" w:space="0" w:color="000000"/>
              <w:bottom w:val="single" w:sz="4" w:space="0" w:color="000000"/>
              <w:right w:val="single" w:sz="12" w:space="0" w:color="000000"/>
            </w:tcBorders>
          </w:tcPr>
          <w:p w14:paraId="15FB9E0D" w14:textId="4C170C50" w:rsidR="00B0429D" w:rsidRDefault="00B0429D" w:rsidP="008A155E">
            <w:pPr>
              <w:spacing w:after="0" w:line="259" w:lineRule="auto"/>
              <w:ind w:left="0" w:right="50" w:firstLine="0"/>
              <w:jc w:val="center"/>
            </w:pPr>
            <w:r>
              <w:rPr>
                <w:sz w:val="18"/>
              </w:rPr>
              <w:t>78-59-1</w:t>
            </w:r>
          </w:p>
        </w:tc>
        <w:tc>
          <w:tcPr>
            <w:tcW w:w="900" w:type="dxa"/>
            <w:tcBorders>
              <w:top w:val="single" w:sz="4" w:space="0" w:color="000000"/>
              <w:left w:val="single" w:sz="12" w:space="0" w:color="000000"/>
              <w:bottom w:val="single" w:sz="4" w:space="0" w:color="000000"/>
              <w:right w:val="single" w:sz="12" w:space="0" w:color="000000"/>
            </w:tcBorders>
          </w:tcPr>
          <w:p w14:paraId="70EB1E67" w14:textId="2B402797" w:rsidR="00B0429D" w:rsidRDefault="00B0429D" w:rsidP="008A155E">
            <w:pPr>
              <w:tabs>
                <w:tab w:val="center" w:pos="308"/>
              </w:tabs>
              <w:spacing w:after="0" w:line="259" w:lineRule="auto"/>
              <w:ind w:left="0" w:right="0" w:firstLine="0"/>
              <w:jc w:val="center"/>
            </w:pPr>
            <w:r>
              <w:rPr>
                <w:sz w:val="18"/>
              </w:rPr>
              <w:t>10</w:t>
            </w:r>
          </w:p>
        </w:tc>
        <w:tc>
          <w:tcPr>
            <w:tcW w:w="911" w:type="dxa"/>
            <w:tcBorders>
              <w:top w:val="single" w:sz="4" w:space="0" w:color="000000"/>
              <w:left w:val="single" w:sz="12" w:space="0" w:color="000000"/>
              <w:bottom w:val="single" w:sz="4" w:space="0" w:color="000000"/>
              <w:right w:val="single" w:sz="12" w:space="0" w:color="000000"/>
            </w:tcBorders>
          </w:tcPr>
          <w:p w14:paraId="06FA52C7" w14:textId="573B8D1E" w:rsidR="00B0429D" w:rsidRDefault="00B0429D" w:rsidP="008A155E">
            <w:pPr>
              <w:spacing w:after="0" w:line="259" w:lineRule="auto"/>
              <w:ind w:left="0" w:right="52" w:firstLine="0"/>
              <w:jc w:val="center"/>
            </w:pPr>
            <w:r>
              <w:rPr>
                <w:sz w:val="18"/>
              </w:rPr>
              <w:t>ug/L</w:t>
            </w:r>
          </w:p>
        </w:tc>
        <w:tc>
          <w:tcPr>
            <w:tcW w:w="889" w:type="dxa"/>
            <w:gridSpan w:val="2"/>
            <w:tcBorders>
              <w:top w:val="single" w:sz="4" w:space="0" w:color="000000"/>
              <w:left w:val="single" w:sz="12" w:space="0" w:color="000000"/>
              <w:bottom w:val="single" w:sz="4" w:space="0" w:color="000000"/>
              <w:right w:val="single" w:sz="12" w:space="0" w:color="000000"/>
            </w:tcBorders>
          </w:tcPr>
          <w:p w14:paraId="4C464B6C" w14:textId="22A199C2" w:rsidR="00B0429D" w:rsidRDefault="00B0429D" w:rsidP="008A155E">
            <w:pPr>
              <w:spacing w:after="0" w:line="259" w:lineRule="auto"/>
              <w:ind w:left="0" w:right="53" w:firstLine="0"/>
              <w:jc w:val="center"/>
            </w:pPr>
            <w:r>
              <w:rPr>
                <w:sz w:val="18"/>
              </w:rPr>
              <w:t>N/A</w:t>
            </w:r>
          </w:p>
        </w:tc>
        <w:tc>
          <w:tcPr>
            <w:tcW w:w="990" w:type="dxa"/>
            <w:tcBorders>
              <w:top w:val="single" w:sz="4" w:space="0" w:color="000000"/>
              <w:left w:val="single" w:sz="12" w:space="0" w:color="000000"/>
              <w:bottom w:val="single" w:sz="4" w:space="0" w:color="000000"/>
              <w:right w:val="single" w:sz="12" w:space="0" w:color="000000"/>
            </w:tcBorders>
          </w:tcPr>
          <w:p w14:paraId="3FC851BD" w14:textId="2C94637F" w:rsidR="00B0429D" w:rsidRDefault="00B0429D" w:rsidP="008A155E">
            <w:pPr>
              <w:spacing w:after="0" w:line="259" w:lineRule="auto"/>
              <w:ind w:left="0" w:right="48" w:firstLine="0"/>
              <w:jc w:val="center"/>
            </w:pPr>
            <w:r>
              <w:rPr>
                <w:sz w:val="18"/>
              </w:rPr>
              <w:t>N/A</w:t>
            </w:r>
          </w:p>
        </w:tc>
        <w:tc>
          <w:tcPr>
            <w:tcW w:w="900" w:type="dxa"/>
            <w:tcBorders>
              <w:top w:val="single" w:sz="4" w:space="0" w:color="000000"/>
              <w:left w:val="single" w:sz="12" w:space="0" w:color="000000"/>
              <w:bottom w:val="single" w:sz="4" w:space="0" w:color="000000"/>
              <w:right w:val="single" w:sz="12" w:space="0" w:color="000000"/>
            </w:tcBorders>
          </w:tcPr>
          <w:p w14:paraId="02F4A1E5" w14:textId="53B9C592" w:rsidR="00B0429D" w:rsidRDefault="00B0429D" w:rsidP="008A155E">
            <w:pPr>
              <w:spacing w:after="0" w:line="259" w:lineRule="auto"/>
              <w:ind w:left="0" w:right="53" w:firstLine="0"/>
              <w:jc w:val="center"/>
            </w:pPr>
            <w:r>
              <w:rPr>
                <w:b/>
                <w:sz w:val="18"/>
              </w:rPr>
              <w:t>525.2</w:t>
            </w:r>
          </w:p>
        </w:tc>
        <w:tc>
          <w:tcPr>
            <w:tcW w:w="720" w:type="dxa"/>
            <w:tcBorders>
              <w:top w:val="single" w:sz="4" w:space="0" w:color="000000"/>
              <w:left w:val="single" w:sz="12" w:space="0" w:color="000000"/>
              <w:bottom w:val="single" w:sz="4" w:space="0" w:color="000000"/>
              <w:right w:val="single" w:sz="12" w:space="0" w:color="000000"/>
            </w:tcBorders>
          </w:tcPr>
          <w:p w14:paraId="7DF386AF" w14:textId="18DD41FE" w:rsidR="00B0429D" w:rsidRDefault="00B0429D" w:rsidP="008A155E">
            <w:pPr>
              <w:spacing w:after="0" w:line="259" w:lineRule="auto"/>
              <w:ind w:left="0" w:right="46" w:firstLine="0"/>
              <w:jc w:val="center"/>
            </w:pPr>
            <w:r>
              <w:rPr>
                <w:sz w:val="18"/>
              </w:rPr>
              <w:t>609</w:t>
            </w:r>
          </w:p>
        </w:tc>
        <w:tc>
          <w:tcPr>
            <w:tcW w:w="720" w:type="dxa"/>
            <w:tcBorders>
              <w:top w:val="single" w:sz="4" w:space="0" w:color="000000"/>
              <w:left w:val="single" w:sz="12" w:space="0" w:color="000000"/>
              <w:bottom w:val="single" w:sz="4" w:space="0" w:color="000000"/>
              <w:right w:val="single" w:sz="12" w:space="0" w:color="000000"/>
            </w:tcBorders>
          </w:tcPr>
          <w:p w14:paraId="0282E622" w14:textId="7B39597A" w:rsidR="00B0429D" w:rsidRPr="00FC7081" w:rsidRDefault="00B0429D" w:rsidP="008A155E">
            <w:pPr>
              <w:spacing w:after="0" w:line="259" w:lineRule="auto"/>
              <w:ind w:left="0" w:right="2" w:firstLine="0"/>
              <w:jc w:val="center"/>
            </w:pPr>
          </w:p>
        </w:tc>
      </w:tr>
      <w:tr w:rsidR="0001496C" w14:paraId="3215B207" w14:textId="77777777" w:rsidTr="00C23B62">
        <w:trPr>
          <w:trHeight w:val="250"/>
        </w:trPr>
        <w:tc>
          <w:tcPr>
            <w:tcW w:w="3386" w:type="dxa"/>
            <w:tcBorders>
              <w:top w:val="single" w:sz="4" w:space="0" w:color="000000"/>
              <w:left w:val="single" w:sz="12" w:space="0" w:color="000000"/>
              <w:bottom w:val="single" w:sz="4" w:space="0" w:color="000000"/>
              <w:right w:val="single" w:sz="12" w:space="0" w:color="000000"/>
            </w:tcBorders>
          </w:tcPr>
          <w:p w14:paraId="4D98D1D3" w14:textId="77777777" w:rsidR="00B0429D" w:rsidRDefault="00B0429D" w:rsidP="00B0429D">
            <w:pPr>
              <w:spacing w:after="0" w:line="259" w:lineRule="auto"/>
              <w:ind w:left="2" w:right="0" w:firstLine="0"/>
            </w:pPr>
            <w:r>
              <w:rPr>
                <w:sz w:val="18"/>
              </w:rPr>
              <w:t>Pentachlorophenol</w:t>
            </w:r>
            <w:r>
              <w:rPr>
                <w:b/>
                <w:sz w:val="18"/>
              </w:rPr>
              <w:t xml:space="preserve"> </w:t>
            </w:r>
          </w:p>
        </w:tc>
        <w:tc>
          <w:tcPr>
            <w:tcW w:w="1114" w:type="dxa"/>
            <w:gridSpan w:val="2"/>
            <w:tcBorders>
              <w:top w:val="single" w:sz="4" w:space="0" w:color="000000"/>
              <w:left w:val="single" w:sz="12" w:space="0" w:color="000000"/>
              <w:bottom w:val="single" w:sz="4" w:space="0" w:color="000000"/>
              <w:right w:val="single" w:sz="12" w:space="0" w:color="000000"/>
            </w:tcBorders>
          </w:tcPr>
          <w:p w14:paraId="7AB66989" w14:textId="622AA3F7" w:rsidR="00B0429D" w:rsidRDefault="00B0429D" w:rsidP="008A155E">
            <w:pPr>
              <w:spacing w:after="0" w:line="259" w:lineRule="auto"/>
              <w:ind w:left="0" w:right="50" w:firstLine="0"/>
              <w:jc w:val="center"/>
            </w:pPr>
            <w:r>
              <w:rPr>
                <w:sz w:val="18"/>
              </w:rPr>
              <w:t>87-86-5</w:t>
            </w:r>
          </w:p>
        </w:tc>
        <w:tc>
          <w:tcPr>
            <w:tcW w:w="900" w:type="dxa"/>
            <w:tcBorders>
              <w:top w:val="single" w:sz="4" w:space="0" w:color="000000"/>
              <w:left w:val="single" w:sz="12" w:space="0" w:color="000000"/>
              <w:bottom w:val="single" w:sz="4" w:space="0" w:color="000000"/>
              <w:right w:val="single" w:sz="12" w:space="0" w:color="000000"/>
            </w:tcBorders>
          </w:tcPr>
          <w:p w14:paraId="42FB9D76" w14:textId="18E1244F" w:rsidR="00B0429D" w:rsidRDefault="00B0429D" w:rsidP="008A155E">
            <w:pPr>
              <w:tabs>
                <w:tab w:val="center" w:pos="399"/>
              </w:tabs>
              <w:spacing w:after="0" w:line="259" w:lineRule="auto"/>
              <w:ind w:left="0" w:right="0" w:firstLine="0"/>
              <w:jc w:val="center"/>
            </w:pPr>
            <w:r>
              <w:rPr>
                <w:sz w:val="18"/>
              </w:rPr>
              <w:t>0.2</w:t>
            </w:r>
          </w:p>
        </w:tc>
        <w:tc>
          <w:tcPr>
            <w:tcW w:w="911" w:type="dxa"/>
            <w:tcBorders>
              <w:top w:val="single" w:sz="4" w:space="0" w:color="000000"/>
              <w:left w:val="single" w:sz="12" w:space="0" w:color="000000"/>
              <w:bottom w:val="single" w:sz="4" w:space="0" w:color="000000"/>
              <w:right w:val="single" w:sz="12" w:space="0" w:color="000000"/>
            </w:tcBorders>
          </w:tcPr>
          <w:p w14:paraId="49D498E6" w14:textId="103A9B8E" w:rsidR="00B0429D" w:rsidRDefault="00B0429D" w:rsidP="008A155E">
            <w:pPr>
              <w:spacing w:after="0" w:line="259" w:lineRule="auto"/>
              <w:ind w:left="0" w:right="52" w:firstLine="0"/>
              <w:jc w:val="center"/>
            </w:pPr>
            <w:r>
              <w:rPr>
                <w:sz w:val="18"/>
              </w:rPr>
              <w:t>ug/L</w:t>
            </w:r>
          </w:p>
        </w:tc>
        <w:tc>
          <w:tcPr>
            <w:tcW w:w="889" w:type="dxa"/>
            <w:gridSpan w:val="2"/>
            <w:tcBorders>
              <w:top w:val="single" w:sz="4" w:space="0" w:color="000000"/>
              <w:left w:val="single" w:sz="12" w:space="0" w:color="000000"/>
              <w:bottom w:val="single" w:sz="4" w:space="0" w:color="000000"/>
              <w:right w:val="single" w:sz="12" w:space="0" w:color="000000"/>
            </w:tcBorders>
          </w:tcPr>
          <w:p w14:paraId="7BFA9202" w14:textId="336E5A8C" w:rsidR="00B0429D" w:rsidRDefault="00B0429D" w:rsidP="008A155E">
            <w:pPr>
              <w:spacing w:after="0" w:line="259" w:lineRule="auto"/>
              <w:ind w:left="0" w:right="53" w:firstLine="0"/>
              <w:jc w:val="center"/>
            </w:pPr>
            <w:r>
              <w:rPr>
                <w:sz w:val="18"/>
              </w:rPr>
              <w:t>N/A</w:t>
            </w:r>
          </w:p>
        </w:tc>
        <w:tc>
          <w:tcPr>
            <w:tcW w:w="990" w:type="dxa"/>
            <w:tcBorders>
              <w:top w:val="single" w:sz="4" w:space="0" w:color="000000"/>
              <w:left w:val="single" w:sz="12" w:space="0" w:color="000000"/>
              <w:bottom w:val="single" w:sz="4" w:space="0" w:color="000000"/>
              <w:right w:val="single" w:sz="12" w:space="0" w:color="000000"/>
            </w:tcBorders>
          </w:tcPr>
          <w:p w14:paraId="56C04A7D" w14:textId="2B947D09" w:rsidR="00B0429D" w:rsidRDefault="00B0429D" w:rsidP="008A155E">
            <w:pPr>
              <w:spacing w:after="0" w:line="259" w:lineRule="auto"/>
              <w:ind w:left="0" w:right="48" w:firstLine="0"/>
              <w:jc w:val="center"/>
            </w:pPr>
            <w:r>
              <w:rPr>
                <w:sz w:val="18"/>
              </w:rPr>
              <w:t>N/A</w:t>
            </w:r>
          </w:p>
        </w:tc>
        <w:tc>
          <w:tcPr>
            <w:tcW w:w="900" w:type="dxa"/>
            <w:tcBorders>
              <w:top w:val="single" w:sz="4" w:space="0" w:color="000000"/>
              <w:left w:val="single" w:sz="12" w:space="0" w:color="000000"/>
              <w:bottom w:val="single" w:sz="4" w:space="0" w:color="000000"/>
              <w:right w:val="single" w:sz="12" w:space="0" w:color="000000"/>
            </w:tcBorders>
          </w:tcPr>
          <w:p w14:paraId="29F68FAD" w14:textId="7A8D8361" w:rsidR="00B0429D" w:rsidRDefault="00B0429D" w:rsidP="008A155E">
            <w:pPr>
              <w:spacing w:after="0" w:line="259" w:lineRule="auto"/>
              <w:ind w:left="0" w:right="53" w:firstLine="0"/>
              <w:jc w:val="center"/>
            </w:pPr>
            <w:r>
              <w:rPr>
                <w:b/>
                <w:sz w:val="18"/>
              </w:rPr>
              <w:t>525.2</w:t>
            </w:r>
          </w:p>
        </w:tc>
        <w:tc>
          <w:tcPr>
            <w:tcW w:w="720" w:type="dxa"/>
            <w:tcBorders>
              <w:top w:val="single" w:sz="4" w:space="0" w:color="000000"/>
              <w:left w:val="single" w:sz="12" w:space="0" w:color="000000"/>
              <w:bottom w:val="single" w:sz="4" w:space="0" w:color="000000"/>
              <w:right w:val="single" w:sz="12" w:space="0" w:color="000000"/>
            </w:tcBorders>
          </w:tcPr>
          <w:p w14:paraId="72F2B9C2" w14:textId="21F61A86" w:rsidR="00B0429D" w:rsidRDefault="00B0429D" w:rsidP="008A155E">
            <w:pPr>
              <w:spacing w:after="0" w:line="259" w:lineRule="auto"/>
              <w:ind w:left="0" w:right="44" w:firstLine="0"/>
              <w:jc w:val="center"/>
            </w:pPr>
            <w:r>
              <w:rPr>
                <w:sz w:val="18"/>
              </w:rPr>
              <w:t>515.1</w:t>
            </w:r>
          </w:p>
        </w:tc>
        <w:tc>
          <w:tcPr>
            <w:tcW w:w="720" w:type="dxa"/>
            <w:tcBorders>
              <w:top w:val="single" w:sz="4" w:space="0" w:color="000000"/>
              <w:left w:val="single" w:sz="12" w:space="0" w:color="000000"/>
              <w:bottom w:val="single" w:sz="4" w:space="0" w:color="000000"/>
              <w:right w:val="single" w:sz="12" w:space="0" w:color="000000"/>
            </w:tcBorders>
          </w:tcPr>
          <w:p w14:paraId="64CD467A" w14:textId="79644AF0" w:rsidR="00B0429D" w:rsidRPr="00FC7081" w:rsidRDefault="00B0429D" w:rsidP="008A155E">
            <w:pPr>
              <w:spacing w:after="0" w:line="259" w:lineRule="auto"/>
              <w:ind w:left="0" w:right="49" w:firstLine="0"/>
              <w:jc w:val="center"/>
            </w:pPr>
            <w:r w:rsidRPr="00FC7081">
              <w:rPr>
                <w:sz w:val="18"/>
              </w:rPr>
              <w:t>515.2</w:t>
            </w:r>
          </w:p>
        </w:tc>
      </w:tr>
      <w:tr w:rsidR="0001496C" w14:paraId="7D537D6D" w14:textId="77777777" w:rsidTr="00C23B62">
        <w:trPr>
          <w:trHeight w:val="252"/>
        </w:trPr>
        <w:tc>
          <w:tcPr>
            <w:tcW w:w="3386" w:type="dxa"/>
            <w:tcBorders>
              <w:top w:val="single" w:sz="4" w:space="0" w:color="000000"/>
              <w:left w:val="single" w:sz="12" w:space="0" w:color="000000"/>
              <w:bottom w:val="single" w:sz="4" w:space="0" w:color="000000"/>
              <w:right w:val="single" w:sz="12" w:space="0" w:color="000000"/>
            </w:tcBorders>
          </w:tcPr>
          <w:p w14:paraId="055B8C1D" w14:textId="77777777" w:rsidR="00B0429D" w:rsidRDefault="00B0429D" w:rsidP="00B0429D">
            <w:pPr>
              <w:spacing w:after="0" w:line="259" w:lineRule="auto"/>
              <w:ind w:left="2" w:right="0" w:firstLine="0"/>
            </w:pPr>
            <w:r>
              <w:rPr>
                <w:sz w:val="18"/>
              </w:rPr>
              <w:t xml:space="preserve">Phenanthrene </w:t>
            </w:r>
          </w:p>
        </w:tc>
        <w:tc>
          <w:tcPr>
            <w:tcW w:w="1114" w:type="dxa"/>
            <w:gridSpan w:val="2"/>
            <w:tcBorders>
              <w:top w:val="single" w:sz="4" w:space="0" w:color="000000"/>
              <w:left w:val="single" w:sz="12" w:space="0" w:color="000000"/>
              <w:bottom w:val="single" w:sz="4" w:space="0" w:color="000000"/>
              <w:right w:val="single" w:sz="12" w:space="0" w:color="000000"/>
            </w:tcBorders>
          </w:tcPr>
          <w:p w14:paraId="241AF8A6" w14:textId="179BC53D" w:rsidR="00B0429D" w:rsidRDefault="00B0429D" w:rsidP="008A155E">
            <w:pPr>
              <w:spacing w:after="0" w:line="259" w:lineRule="auto"/>
              <w:ind w:left="0" w:right="50" w:firstLine="0"/>
              <w:jc w:val="center"/>
            </w:pPr>
            <w:r>
              <w:rPr>
                <w:sz w:val="18"/>
              </w:rPr>
              <w:t>85-01-8</w:t>
            </w:r>
          </w:p>
        </w:tc>
        <w:tc>
          <w:tcPr>
            <w:tcW w:w="900" w:type="dxa"/>
            <w:tcBorders>
              <w:top w:val="single" w:sz="4" w:space="0" w:color="000000"/>
              <w:left w:val="single" w:sz="12" w:space="0" w:color="000000"/>
              <w:bottom w:val="single" w:sz="4" w:space="0" w:color="000000"/>
              <w:right w:val="single" w:sz="12" w:space="0" w:color="000000"/>
            </w:tcBorders>
          </w:tcPr>
          <w:p w14:paraId="39C1B00D" w14:textId="4DEA65F0" w:rsidR="00B0429D" w:rsidRDefault="00B0429D" w:rsidP="008A155E">
            <w:pPr>
              <w:tabs>
                <w:tab w:val="center" w:pos="354"/>
              </w:tabs>
              <w:spacing w:after="0" w:line="259" w:lineRule="auto"/>
              <w:ind w:left="0" w:right="0" w:firstLine="0"/>
              <w:jc w:val="center"/>
            </w:pPr>
            <w:r>
              <w:rPr>
                <w:sz w:val="18"/>
              </w:rPr>
              <w:t>1</w:t>
            </w:r>
          </w:p>
        </w:tc>
        <w:tc>
          <w:tcPr>
            <w:tcW w:w="911" w:type="dxa"/>
            <w:tcBorders>
              <w:top w:val="single" w:sz="4" w:space="0" w:color="000000"/>
              <w:left w:val="single" w:sz="12" w:space="0" w:color="000000"/>
              <w:bottom w:val="single" w:sz="4" w:space="0" w:color="000000"/>
              <w:right w:val="single" w:sz="12" w:space="0" w:color="000000"/>
            </w:tcBorders>
          </w:tcPr>
          <w:p w14:paraId="568BC1F5" w14:textId="34558B8B" w:rsidR="00B0429D" w:rsidRDefault="00B0429D" w:rsidP="008A155E">
            <w:pPr>
              <w:spacing w:after="0" w:line="259" w:lineRule="auto"/>
              <w:ind w:left="0" w:right="52" w:firstLine="0"/>
              <w:jc w:val="center"/>
            </w:pPr>
            <w:r>
              <w:rPr>
                <w:sz w:val="18"/>
              </w:rPr>
              <w:t>ug/L</w:t>
            </w:r>
          </w:p>
        </w:tc>
        <w:tc>
          <w:tcPr>
            <w:tcW w:w="889" w:type="dxa"/>
            <w:gridSpan w:val="2"/>
            <w:tcBorders>
              <w:top w:val="single" w:sz="4" w:space="0" w:color="000000"/>
              <w:left w:val="single" w:sz="12" w:space="0" w:color="000000"/>
              <w:bottom w:val="single" w:sz="4" w:space="0" w:color="000000"/>
              <w:right w:val="single" w:sz="12" w:space="0" w:color="000000"/>
            </w:tcBorders>
          </w:tcPr>
          <w:p w14:paraId="4A9CA8AC" w14:textId="50D727CA" w:rsidR="00B0429D" w:rsidRDefault="00B0429D" w:rsidP="008A155E">
            <w:pPr>
              <w:spacing w:after="0" w:line="259" w:lineRule="auto"/>
              <w:ind w:left="0" w:right="53" w:firstLine="0"/>
              <w:jc w:val="center"/>
            </w:pPr>
            <w:r>
              <w:rPr>
                <w:sz w:val="18"/>
              </w:rPr>
              <w:t>N/A</w:t>
            </w:r>
          </w:p>
        </w:tc>
        <w:tc>
          <w:tcPr>
            <w:tcW w:w="990" w:type="dxa"/>
            <w:tcBorders>
              <w:top w:val="single" w:sz="4" w:space="0" w:color="000000"/>
              <w:left w:val="single" w:sz="12" w:space="0" w:color="000000"/>
              <w:bottom w:val="single" w:sz="4" w:space="0" w:color="000000"/>
              <w:right w:val="single" w:sz="12" w:space="0" w:color="000000"/>
            </w:tcBorders>
          </w:tcPr>
          <w:p w14:paraId="76FFB210" w14:textId="691E577B" w:rsidR="00B0429D" w:rsidRDefault="00B0429D" w:rsidP="008A155E">
            <w:pPr>
              <w:spacing w:after="0" w:line="259" w:lineRule="auto"/>
              <w:ind w:left="0" w:right="48" w:firstLine="0"/>
              <w:jc w:val="center"/>
            </w:pPr>
            <w:r>
              <w:rPr>
                <w:sz w:val="18"/>
              </w:rPr>
              <w:t>N/A</w:t>
            </w:r>
          </w:p>
        </w:tc>
        <w:tc>
          <w:tcPr>
            <w:tcW w:w="900" w:type="dxa"/>
            <w:tcBorders>
              <w:top w:val="single" w:sz="4" w:space="0" w:color="000000"/>
              <w:left w:val="single" w:sz="12" w:space="0" w:color="000000"/>
              <w:bottom w:val="single" w:sz="4" w:space="0" w:color="000000"/>
              <w:right w:val="single" w:sz="12" w:space="0" w:color="000000"/>
            </w:tcBorders>
          </w:tcPr>
          <w:p w14:paraId="4A5EF903" w14:textId="4C0F077D" w:rsidR="00B0429D" w:rsidRDefault="00B0429D" w:rsidP="008A155E">
            <w:pPr>
              <w:spacing w:after="0" w:line="259" w:lineRule="auto"/>
              <w:ind w:left="0" w:right="53" w:firstLine="0"/>
              <w:jc w:val="center"/>
            </w:pPr>
            <w:r>
              <w:rPr>
                <w:b/>
                <w:sz w:val="18"/>
              </w:rPr>
              <w:t>525.2</w:t>
            </w:r>
          </w:p>
        </w:tc>
        <w:tc>
          <w:tcPr>
            <w:tcW w:w="720" w:type="dxa"/>
            <w:tcBorders>
              <w:top w:val="single" w:sz="4" w:space="0" w:color="000000"/>
              <w:left w:val="single" w:sz="12" w:space="0" w:color="000000"/>
              <w:bottom w:val="single" w:sz="4" w:space="0" w:color="000000"/>
              <w:right w:val="single" w:sz="12" w:space="0" w:color="000000"/>
            </w:tcBorders>
          </w:tcPr>
          <w:p w14:paraId="3883C2D4" w14:textId="779F1F46" w:rsidR="00B0429D" w:rsidRDefault="00B0429D" w:rsidP="008A155E">
            <w:pPr>
              <w:spacing w:after="0" w:line="259" w:lineRule="auto"/>
              <w:ind w:left="0" w:right="44" w:firstLine="0"/>
              <w:jc w:val="center"/>
            </w:pPr>
            <w:r>
              <w:rPr>
                <w:sz w:val="18"/>
              </w:rPr>
              <w:t>550.1</w:t>
            </w:r>
          </w:p>
        </w:tc>
        <w:tc>
          <w:tcPr>
            <w:tcW w:w="720" w:type="dxa"/>
            <w:tcBorders>
              <w:top w:val="single" w:sz="4" w:space="0" w:color="000000"/>
              <w:left w:val="single" w:sz="12" w:space="0" w:color="000000"/>
              <w:bottom w:val="single" w:sz="4" w:space="0" w:color="000000"/>
              <w:right w:val="single" w:sz="12" w:space="0" w:color="000000"/>
            </w:tcBorders>
          </w:tcPr>
          <w:p w14:paraId="31D61795" w14:textId="2E7FAA9B" w:rsidR="00B0429D" w:rsidRPr="00FC7081" w:rsidRDefault="00B0429D" w:rsidP="008A155E">
            <w:pPr>
              <w:spacing w:after="0" w:line="259" w:lineRule="auto"/>
              <w:ind w:left="0" w:right="2" w:firstLine="0"/>
              <w:jc w:val="center"/>
            </w:pPr>
          </w:p>
        </w:tc>
      </w:tr>
      <w:tr w:rsidR="0001496C" w14:paraId="1549357C" w14:textId="77777777" w:rsidTr="00C23B62">
        <w:trPr>
          <w:trHeight w:val="257"/>
        </w:trPr>
        <w:tc>
          <w:tcPr>
            <w:tcW w:w="3386" w:type="dxa"/>
            <w:tcBorders>
              <w:top w:val="single" w:sz="4" w:space="0" w:color="000000"/>
              <w:left w:val="single" w:sz="12" w:space="0" w:color="000000"/>
              <w:bottom w:val="single" w:sz="12" w:space="0" w:color="000000"/>
              <w:right w:val="single" w:sz="12" w:space="0" w:color="000000"/>
            </w:tcBorders>
          </w:tcPr>
          <w:p w14:paraId="06FFB7B0" w14:textId="77777777" w:rsidR="00B0429D" w:rsidRDefault="00B0429D" w:rsidP="00B0429D">
            <w:pPr>
              <w:spacing w:after="0" w:line="259" w:lineRule="auto"/>
              <w:ind w:left="2" w:right="0" w:firstLine="0"/>
            </w:pPr>
            <w:r>
              <w:rPr>
                <w:sz w:val="18"/>
              </w:rPr>
              <w:t xml:space="preserve">Pyrene </w:t>
            </w:r>
          </w:p>
        </w:tc>
        <w:tc>
          <w:tcPr>
            <w:tcW w:w="1114" w:type="dxa"/>
            <w:gridSpan w:val="2"/>
            <w:tcBorders>
              <w:top w:val="single" w:sz="4" w:space="0" w:color="000000"/>
              <w:left w:val="single" w:sz="12" w:space="0" w:color="000000"/>
              <w:bottom w:val="single" w:sz="12" w:space="0" w:color="000000"/>
              <w:right w:val="single" w:sz="12" w:space="0" w:color="000000"/>
            </w:tcBorders>
          </w:tcPr>
          <w:p w14:paraId="1B367C6F" w14:textId="72C0BE9E" w:rsidR="00B0429D" w:rsidRDefault="00B0429D" w:rsidP="008A155E">
            <w:pPr>
              <w:spacing w:after="0" w:line="259" w:lineRule="auto"/>
              <w:ind w:left="0" w:right="50" w:firstLine="0"/>
              <w:jc w:val="center"/>
            </w:pPr>
            <w:r>
              <w:rPr>
                <w:sz w:val="18"/>
              </w:rPr>
              <w:t>129-00-0</w:t>
            </w:r>
          </w:p>
        </w:tc>
        <w:tc>
          <w:tcPr>
            <w:tcW w:w="900" w:type="dxa"/>
            <w:tcBorders>
              <w:top w:val="single" w:sz="4" w:space="0" w:color="000000"/>
              <w:left w:val="single" w:sz="12" w:space="0" w:color="000000"/>
              <w:bottom w:val="single" w:sz="12" w:space="0" w:color="000000"/>
              <w:right w:val="single" w:sz="12" w:space="0" w:color="000000"/>
            </w:tcBorders>
          </w:tcPr>
          <w:p w14:paraId="14506939" w14:textId="675DAA15" w:rsidR="00B0429D" w:rsidRDefault="00B0429D" w:rsidP="008A155E">
            <w:pPr>
              <w:tabs>
                <w:tab w:val="center" w:pos="308"/>
              </w:tabs>
              <w:spacing w:after="0" w:line="259" w:lineRule="auto"/>
              <w:ind w:left="0" w:right="0" w:firstLine="0"/>
              <w:jc w:val="center"/>
            </w:pPr>
            <w:r>
              <w:rPr>
                <w:sz w:val="18"/>
              </w:rPr>
              <w:t>10</w:t>
            </w:r>
          </w:p>
        </w:tc>
        <w:tc>
          <w:tcPr>
            <w:tcW w:w="911" w:type="dxa"/>
            <w:tcBorders>
              <w:top w:val="single" w:sz="4" w:space="0" w:color="000000"/>
              <w:left w:val="single" w:sz="12" w:space="0" w:color="000000"/>
              <w:bottom w:val="single" w:sz="12" w:space="0" w:color="000000"/>
              <w:right w:val="single" w:sz="12" w:space="0" w:color="000000"/>
            </w:tcBorders>
          </w:tcPr>
          <w:p w14:paraId="6BE15A57" w14:textId="0F52DD0B" w:rsidR="00B0429D" w:rsidRDefault="00B0429D" w:rsidP="008A155E">
            <w:pPr>
              <w:spacing w:after="0" w:line="259" w:lineRule="auto"/>
              <w:ind w:left="0" w:right="52" w:firstLine="0"/>
              <w:jc w:val="center"/>
            </w:pPr>
            <w:r>
              <w:rPr>
                <w:sz w:val="18"/>
              </w:rPr>
              <w:t>ug/L</w:t>
            </w:r>
          </w:p>
        </w:tc>
        <w:tc>
          <w:tcPr>
            <w:tcW w:w="889" w:type="dxa"/>
            <w:gridSpan w:val="2"/>
            <w:tcBorders>
              <w:top w:val="single" w:sz="4" w:space="0" w:color="000000"/>
              <w:left w:val="single" w:sz="12" w:space="0" w:color="000000"/>
              <w:bottom w:val="single" w:sz="12" w:space="0" w:color="000000"/>
              <w:right w:val="single" w:sz="12" w:space="0" w:color="000000"/>
            </w:tcBorders>
          </w:tcPr>
          <w:p w14:paraId="3F53A302" w14:textId="78F6BAAC" w:rsidR="00B0429D" w:rsidRDefault="00B0429D" w:rsidP="008A155E">
            <w:pPr>
              <w:spacing w:after="0" w:line="259" w:lineRule="auto"/>
              <w:ind w:left="0" w:right="53" w:firstLine="0"/>
              <w:jc w:val="center"/>
            </w:pPr>
            <w:r>
              <w:rPr>
                <w:sz w:val="18"/>
              </w:rPr>
              <w:t>N/A</w:t>
            </w:r>
          </w:p>
        </w:tc>
        <w:tc>
          <w:tcPr>
            <w:tcW w:w="990" w:type="dxa"/>
            <w:tcBorders>
              <w:top w:val="single" w:sz="4" w:space="0" w:color="000000"/>
              <w:left w:val="single" w:sz="12" w:space="0" w:color="000000"/>
              <w:bottom w:val="single" w:sz="12" w:space="0" w:color="000000"/>
              <w:right w:val="single" w:sz="12" w:space="0" w:color="000000"/>
            </w:tcBorders>
          </w:tcPr>
          <w:p w14:paraId="06A150AF" w14:textId="2C6443DC" w:rsidR="00B0429D" w:rsidRDefault="00B0429D" w:rsidP="008A155E">
            <w:pPr>
              <w:spacing w:after="0" w:line="259" w:lineRule="auto"/>
              <w:ind w:left="0" w:right="48" w:firstLine="0"/>
              <w:jc w:val="center"/>
            </w:pPr>
            <w:r>
              <w:rPr>
                <w:sz w:val="18"/>
              </w:rPr>
              <w:t>N/A</w:t>
            </w:r>
          </w:p>
        </w:tc>
        <w:tc>
          <w:tcPr>
            <w:tcW w:w="900" w:type="dxa"/>
            <w:tcBorders>
              <w:top w:val="single" w:sz="4" w:space="0" w:color="000000"/>
              <w:left w:val="single" w:sz="12" w:space="0" w:color="000000"/>
              <w:bottom w:val="single" w:sz="12" w:space="0" w:color="000000"/>
              <w:right w:val="single" w:sz="12" w:space="0" w:color="000000"/>
            </w:tcBorders>
          </w:tcPr>
          <w:p w14:paraId="75A0EB97" w14:textId="1D8C0DA4" w:rsidR="00B0429D" w:rsidRDefault="00B0429D" w:rsidP="008A155E">
            <w:pPr>
              <w:spacing w:after="0" w:line="259" w:lineRule="auto"/>
              <w:ind w:left="0" w:right="53" w:firstLine="0"/>
              <w:jc w:val="center"/>
            </w:pPr>
            <w:r>
              <w:rPr>
                <w:b/>
                <w:sz w:val="18"/>
              </w:rPr>
              <w:t>525.2</w:t>
            </w:r>
          </w:p>
        </w:tc>
        <w:tc>
          <w:tcPr>
            <w:tcW w:w="720" w:type="dxa"/>
            <w:tcBorders>
              <w:top w:val="single" w:sz="4" w:space="0" w:color="000000"/>
              <w:left w:val="single" w:sz="12" w:space="0" w:color="000000"/>
              <w:bottom w:val="single" w:sz="12" w:space="0" w:color="000000"/>
              <w:right w:val="single" w:sz="12" w:space="0" w:color="000000"/>
            </w:tcBorders>
          </w:tcPr>
          <w:p w14:paraId="397AEB87" w14:textId="20F40154" w:rsidR="00B0429D" w:rsidRDefault="00B0429D" w:rsidP="008A155E">
            <w:pPr>
              <w:spacing w:after="0" w:line="259" w:lineRule="auto"/>
              <w:ind w:left="0" w:right="44" w:firstLine="0"/>
              <w:jc w:val="center"/>
            </w:pPr>
            <w:r>
              <w:rPr>
                <w:sz w:val="18"/>
              </w:rPr>
              <w:t>550.1</w:t>
            </w:r>
          </w:p>
        </w:tc>
        <w:tc>
          <w:tcPr>
            <w:tcW w:w="720" w:type="dxa"/>
            <w:tcBorders>
              <w:top w:val="single" w:sz="4" w:space="0" w:color="000000"/>
              <w:left w:val="single" w:sz="12" w:space="0" w:color="000000"/>
              <w:bottom w:val="single" w:sz="12" w:space="0" w:color="000000"/>
              <w:right w:val="single" w:sz="12" w:space="0" w:color="000000"/>
            </w:tcBorders>
          </w:tcPr>
          <w:p w14:paraId="3BAA74A2" w14:textId="4BE3C88F" w:rsidR="00B0429D" w:rsidRPr="00FC7081" w:rsidRDefault="00B0429D" w:rsidP="008A155E">
            <w:pPr>
              <w:spacing w:after="0" w:line="259" w:lineRule="auto"/>
              <w:ind w:left="0" w:right="2" w:firstLine="0"/>
              <w:jc w:val="center"/>
            </w:pPr>
          </w:p>
        </w:tc>
      </w:tr>
    </w:tbl>
    <w:p w14:paraId="674B310A" w14:textId="4AA9F0F7" w:rsidR="00B56D50" w:rsidRPr="006D5296" w:rsidRDefault="00B56D50">
      <w:pPr>
        <w:spacing w:after="0" w:line="259" w:lineRule="auto"/>
        <w:ind w:left="269" w:right="0" w:firstLine="0"/>
      </w:pPr>
    </w:p>
    <w:tbl>
      <w:tblPr>
        <w:tblStyle w:val="TableGrid1"/>
        <w:tblW w:w="10530" w:type="dxa"/>
        <w:tblInd w:w="-375" w:type="dxa"/>
        <w:tblCellMar>
          <w:top w:w="24" w:type="dxa"/>
          <w:left w:w="72" w:type="dxa"/>
          <w:right w:w="27" w:type="dxa"/>
        </w:tblCellMar>
        <w:tblLook w:val="04A0" w:firstRow="1" w:lastRow="0" w:firstColumn="1" w:lastColumn="0" w:noHBand="0" w:noVBand="1"/>
      </w:tblPr>
      <w:tblGrid>
        <w:gridCol w:w="3386"/>
        <w:gridCol w:w="1172"/>
        <w:gridCol w:w="878"/>
        <w:gridCol w:w="954"/>
        <w:gridCol w:w="801"/>
        <w:gridCol w:w="1071"/>
        <w:gridCol w:w="976"/>
        <w:gridCol w:w="713"/>
        <w:gridCol w:w="579"/>
      </w:tblGrid>
      <w:tr w:rsidR="006153D2" w14:paraId="61374F89" w14:textId="77777777" w:rsidTr="00C23B62">
        <w:trPr>
          <w:trHeight w:val="269"/>
        </w:trPr>
        <w:tc>
          <w:tcPr>
            <w:tcW w:w="6390" w:type="dxa"/>
            <w:gridSpan w:val="4"/>
            <w:tcBorders>
              <w:top w:val="single" w:sz="12" w:space="0" w:color="000000"/>
              <w:left w:val="single" w:sz="12" w:space="0" w:color="000000"/>
              <w:bottom w:val="single" w:sz="12" w:space="0" w:color="000000"/>
              <w:right w:val="nil"/>
            </w:tcBorders>
            <w:vAlign w:val="center"/>
          </w:tcPr>
          <w:p w14:paraId="4AA541E5" w14:textId="42A981EE" w:rsidR="00B56D50" w:rsidRDefault="001C3C42" w:rsidP="00375DBB">
            <w:pPr>
              <w:spacing w:after="0" w:line="259" w:lineRule="auto"/>
              <w:ind w:left="36" w:right="0" w:firstLine="0"/>
            </w:pPr>
            <w:r>
              <w:rPr>
                <w:b/>
                <w:sz w:val="18"/>
              </w:rPr>
              <w:t>Drinking Water Semi</w:t>
            </w:r>
            <w:r w:rsidR="000D2CD3">
              <w:rPr>
                <w:b/>
                <w:sz w:val="18"/>
              </w:rPr>
              <w:t>-</w:t>
            </w:r>
            <w:proofErr w:type="gramStart"/>
            <w:r>
              <w:rPr>
                <w:b/>
                <w:sz w:val="18"/>
              </w:rPr>
              <w:t>volatiles</w:t>
            </w:r>
            <w:proofErr w:type="gramEnd"/>
            <w:r>
              <w:rPr>
                <w:b/>
                <w:sz w:val="18"/>
              </w:rPr>
              <w:t xml:space="preserve"> Group B:</w:t>
            </w:r>
            <w:r>
              <w:rPr>
                <w:sz w:val="18"/>
              </w:rPr>
              <w:t xml:space="preserve">  </w:t>
            </w:r>
            <w:proofErr w:type="spellStart"/>
            <w:r>
              <w:rPr>
                <w:b/>
                <w:sz w:val="18"/>
              </w:rPr>
              <w:t>Aroclors</w:t>
            </w:r>
            <w:proofErr w:type="spellEnd"/>
            <w:r>
              <w:rPr>
                <w:b/>
                <w:sz w:val="18"/>
              </w:rPr>
              <w:t xml:space="preserve"> List</w:t>
            </w:r>
          </w:p>
        </w:tc>
        <w:tc>
          <w:tcPr>
            <w:tcW w:w="801" w:type="dxa"/>
            <w:tcBorders>
              <w:top w:val="single" w:sz="12" w:space="0" w:color="000000"/>
              <w:left w:val="nil"/>
              <w:bottom w:val="single" w:sz="12" w:space="0" w:color="000000"/>
              <w:right w:val="nil"/>
            </w:tcBorders>
            <w:vAlign w:val="center"/>
          </w:tcPr>
          <w:p w14:paraId="40DDD24C" w14:textId="77777777" w:rsidR="00B56D50" w:rsidRDefault="00B56D50" w:rsidP="00375DBB">
            <w:pPr>
              <w:spacing w:after="0" w:line="259" w:lineRule="auto"/>
              <w:ind w:left="0" w:right="0" w:firstLine="0"/>
            </w:pPr>
          </w:p>
        </w:tc>
        <w:tc>
          <w:tcPr>
            <w:tcW w:w="1071" w:type="dxa"/>
            <w:tcBorders>
              <w:top w:val="single" w:sz="12" w:space="0" w:color="000000"/>
              <w:left w:val="nil"/>
              <w:bottom w:val="single" w:sz="12" w:space="0" w:color="000000"/>
              <w:right w:val="nil"/>
            </w:tcBorders>
            <w:vAlign w:val="center"/>
          </w:tcPr>
          <w:p w14:paraId="18D97ADD" w14:textId="77777777" w:rsidR="00B56D50" w:rsidRDefault="00B56D50" w:rsidP="00375DBB">
            <w:pPr>
              <w:spacing w:after="0" w:line="259" w:lineRule="auto"/>
              <w:ind w:left="0" w:right="0" w:firstLine="0"/>
            </w:pPr>
          </w:p>
        </w:tc>
        <w:tc>
          <w:tcPr>
            <w:tcW w:w="2268" w:type="dxa"/>
            <w:gridSpan w:val="3"/>
            <w:tcBorders>
              <w:top w:val="single" w:sz="12" w:space="0" w:color="000000"/>
              <w:left w:val="nil"/>
              <w:bottom w:val="single" w:sz="12" w:space="0" w:color="000000"/>
              <w:right w:val="single" w:sz="12" w:space="0" w:color="000000"/>
            </w:tcBorders>
            <w:vAlign w:val="center"/>
          </w:tcPr>
          <w:p w14:paraId="6A4B2E2C" w14:textId="77777777" w:rsidR="00B56D50" w:rsidRDefault="00B56D50" w:rsidP="00375DBB">
            <w:pPr>
              <w:spacing w:after="0" w:line="259" w:lineRule="auto"/>
              <w:ind w:left="0" w:right="0" w:firstLine="0"/>
            </w:pPr>
          </w:p>
        </w:tc>
      </w:tr>
      <w:tr w:rsidR="000E31D5" w14:paraId="73B48FF5" w14:textId="77777777" w:rsidTr="00C23B62">
        <w:trPr>
          <w:trHeight w:val="271"/>
        </w:trPr>
        <w:tc>
          <w:tcPr>
            <w:tcW w:w="3386" w:type="dxa"/>
            <w:vMerge w:val="restart"/>
            <w:tcBorders>
              <w:top w:val="single" w:sz="12" w:space="0" w:color="000000"/>
              <w:left w:val="single" w:sz="12" w:space="0" w:color="000000"/>
              <w:bottom w:val="single" w:sz="12" w:space="0" w:color="000000"/>
              <w:right w:val="single" w:sz="12" w:space="0" w:color="000000"/>
            </w:tcBorders>
            <w:vAlign w:val="center"/>
          </w:tcPr>
          <w:p w14:paraId="21F316C9" w14:textId="36893F48" w:rsidR="000E31D5" w:rsidRDefault="000E31D5" w:rsidP="00375DBB">
            <w:pPr>
              <w:spacing w:after="0" w:line="259" w:lineRule="auto"/>
              <w:ind w:left="0" w:right="49" w:firstLine="0"/>
              <w:jc w:val="center"/>
            </w:pPr>
            <w:r>
              <w:rPr>
                <w:b/>
                <w:sz w:val="18"/>
              </w:rPr>
              <w:t>Analyte</w:t>
            </w:r>
          </w:p>
        </w:tc>
        <w:tc>
          <w:tcPr>
            <w:tcW w:w="1172" w:type="dxa"/>
            <w:vMerge w:val="restart"/>
            <w:tcBorders>
              <w:top w:val="single" w:sz="12" w:space="0" w:color="000000"/>
              <w:left w:val="single" w:sz="12" w:space="0" w:color="000000"/>
              <w:bottom w:val="single" w:sz="12" w:space="0" w:color="000000"/>
              <w:right w:val="single" w:sz="12" w:space="0" w:color="000000"/>
            </w:tcBorders>
            <w:vAlign w:val="center"/>
          </w:tcPr>
          <w:p w14:paraId="05BDD299" w14:textId="4A4D75E9" w:rsidR="000E31D5" w:rsidRDefault="000E31D5" w:rsidP="00375DBB">
            <w:pPr>
              <w:spacing w:after="0" w:line="259" w:lineRule="auto"/>
              <w:ind w:left="0" w:right="0" w:firstLine="0"/>
              <w:jc w:val="center"/>
            </w:pPr>
            <w:r>
              <w:rPr>
                <w:b/>
                <w:sz w:val="18"/>
              </w:rPr>
              <w:t>CAS Number</w:t>
            </w:r>
          </w:p>
        </w:tc>
        <w:tc>
          <w:tcPr>
            <w:tcW w:w="1832" w:type="dxa"/>
            <w:gridSpan w:val="2"/>
            <w:tcBorders>
              <w:top w:val="single" w:sz="12" w:space="0" w:color="000000"/>
              <w:left w:val="single" w:sz="12" w:space="0" w:color="000000"/>
              <w:bottom w:val="single" w:sz="12" w:space="0" w:color="000000"/>
              <w:right w:val="single" w:sz="12" w:space="0" w:color="000000"/>
            </w:tcBorders>
            <w:vAlign w:val="center"/>
          </w:tcPr>
          <w:p w14:paraId="5E44E630" w14:textId="18B153CC" w:rsidR="000E31D5" w:rsidRDefault="000E31D5" w:rsidP="00375DBB">
            <w:pPr>
              <w:spacing w:after="0" w:line="259" w:lineRule="auto"/>
              <w:ind w:left="0" w:right="47" w:firstLine="0"/>
              <w:jc w:val="center"/>
            </w:pPr>
            <w:r>
              <w:rPr>
                <w:b/>
                <w:sz w:val="18"/>
              </w:rPr>
              <w:t>Aqueous</w:t>
            </w:r>
          </w:p>
        </w:tc>
        <w:tc>
          <w:tcPr>
            <w:tcW w:w="1872" w:type="dxa"/>
            <w:gridSpan w:val="2"/>
            <w:tcBorders>
              <w:top w:val="single" w:sz="12" w:space="0" w:color="000000"/>
              <w:left w:val="single" w:sz="12" w:space="0" w:color="000000"/>
              <w:bottom w:val="single" w:sz="12" w:space="0" w:color="000000"/>
              <w:right w:val="single" w:sz="12" w:space="0" w:color="000000"/>
            </w:tcBorders>
            <w:vAlign w:val="center"/>
          </w:tcPr>
          <w:p w14:paraId="66CB4BC2" w14:textId="6CDD2EBB" w:rsidR="000E31D5" w:rsidRDefault="00F06434" w:rsidP="00375DBB">
            <w:pPr>
              <w:spacing w:after="0" w:line="259" w:lineRule="auto"/>
              <w:ind w:left="17" w:right="0" w:firstLine="0"/>
              <w:jc w:val="center"/>
            </w:pPr>
            <w:r>
              <w:rPr>
                <w:b/>
                <w:sz w:val="18"/>
              </w:rPr>
              <w:t>Soil/Sediment</w:t>
            </w:r>
          </w:p>
        </w:tc>
        <w:tc>
          <w:tcPr>
            <w:tcW w:w="2268" w:type="dxa"/>
            <w:gridSpan w:val="3"/>
            <w:vMerge w:val="restart"/>
            <w:tcBorders>
              <w:top w:val="single" w:sz="12" w:space="0" w:color="000000"/>
              <w:left w:val="single" w:sz="12" w:space="0" w:color="000000"/>
              <w:bottom w:val="single" w:sz="12" w:space="0" w:color="000000"/>
              <w:right w:val="single" w:sz="12" w:space="0" w:color="000000"/>
            </w:tcBorders>
            <w:vAlign w:val="center"/>
          </w:tcPr>
          <w:p w14:paraId="20262DB7" w14:textId="0552518D" w:rsidR="000E31D5" w:rsidRPr="000E31D5" w:rsidRDefault="000E31D5" w:rsidP="00375DBB">
            <w:pPr>
              <w:spacing w:after="0" w:line="259" w:lineRule="auto"/>
              <w:ind w:left="0" w:right="50" w:firstLine="0"/>
              <w:jc w:val="center"/>
              <w:rPr>
                <w:b/>
                <w:bCs/>
              </w:rPr>
            </w:pPr>
            <w:r>
              <w:rPr>
                <w:b/>
                <w:sz w:val="18"/>
              </w:rPr>
              <w:t>Acceptable Methods</w:t>
            </w:r>
            <w:r>
              <w:rPr>
                <w:sz w:val="18"/>
                <w:vertAlign w:val="superscript"/>
              </w:rPr>
              <w:t xml:space="preserve"> </w:t>
            </w:r>
            <w:r w:rsidRPr="00786A65">
              <w:rPr>
                <w:b/>
                <w:bCs/>
                <w:sz w:val="18"/>
                <w:vertAlign w:val="superscript"/>
              </w:rPr>
              <w:t>37</w:t>
            </w:r>
          </w:p>
        </w:tc>
      </w:tr>
      <w:tr w:rsidR="00C84A5D" w14:paraId="2BA92581" w14:textId="77777777" w:rsidTr="00C23B62">
        <w:trPr>
          <w:trHeight w:val="269"/>
        </w:trPr>
        <w:tc>
          <w:tcPr>
            <w:tcW w:w="3386" w:type="dxa"/>
            <w:vMerge/>
            <w:tcBorders>
              <w:top w:val="nil"/>
              <w:left w:val="single" w:sz="12" w:space="0" w:color="000000"/>
              <w:bottom w:val="single" w:sz="12" w:space="0" w:color="000000"/>
              <w:right w:val="single" w:sz="12" w:space="0" w:color="000000"/>
            </w:tcBorders>
            <w:vAlign w:val="center"/>
          </w:tcPr>
          <w:p w14:paraId="710398F8" w14:textId="77777777" w:rsidR="00B56D50" w:rsidRDefault="00B56D50" w:rsidP="00375DBB">
            <w:pPr>
              <w:spacing w:after="160" w:line="259" w:lineRule="auto"/>
              <w:ind w:left="0" w:right="0" w:firstLine="0"/>
              <w:jc w:val="center"/>
            </w:pPr>
          </w:p>
        </w:tc>
        <w:tc>
          <w:tcPr>
            <w:tcW w:w="1172" w:type="dxa"/>
            <w:vMerge/>
            <w:tcBorders>
              <w:top w:val="nil"/>
              <w:left w:val="single" w:sz="12" w:space="0" w:color="000000"/>
              <w:bottom w:val="single" w:sz="12" w:space="0" w:color="000000"/>
              <w:right w:val="single" w:sz="12" w:space="0" w:color="000000"/>
            </w:tcBorders>
            <w:vAlign w:val="center"/>
          </w:tcPr>
          <w:p w14:paraId="321062BF" w14:textId="77777777" w:rsidR="00B56D50" w:rsidRDefault="00B56D50" w:rsidP="00375DBB">
            <w:pPr>
              <w:spacing w:after="160" w:line="259" w:lineRule="auto"/>
              <w:ind w:left="0" w:right="0" w:firstLine="0"/>
              <w:jc w:val="center"/>
            </w:pPr>
          </w:p>
        </w:tc>
        <w:tc>
          <w:tcPr>
            <w:tcW w:w="878" w:type="dxa"/>
            <w:tcBorders>
              <w:top w:val="single" w:sz="12" w:space="0" w:color="000000"/>
              <w:left w:val="single" w:sz="12" w:space="0" w:color="000000"/>
              <w:bottom w:val="single" w:sz="12" w:space="0" w:color="000000"/>
              <w:right w:val="single" w:sz="12" w:space="0" w:color="000000"/>
            </w:tcBorders>
            <w:vAlign w:val="center"/>
          </w:tcPr>
          <w:p w14:paraId="39A90E95" w14:textId="7EAE102E" w:rsidR="00B56D50" w:rsidRDefault="001C3C42" w:rsidP="00375DBB">
            <w:pPr>
              <w:spacing w:after="0" w:line="259" w:lineRule="auto"/>
              <w:ind w:left="0" w:right="50" w:firstLine="0"/>
              <w:jc w:val="center"/>
            </w:pPr>
            <w:r>
              <w:rPr>
                <w:b/>
                <w:sz w:val="18"/>
              </w:rPr>
              <w:t xml:space="preserve">RL </w:t>
            </w:r>
            <w:r w:rsidR="00CF3371" w:rsidRPr="00331158">
              <w:rPr>
                <w:b/>
                <w:sz w:val="18"/>
                <w:vertAlign w:val="superscript"/>
              </w:rPr>
              <w:t>3</w:t>
            </w:r>
            <w:r w:rsidR="004B0CB8">
              <w:rPr>
                <w:b/>
                <w:sz w:val="18"/>
                <w:vertAlign w:val="superscript"/>
              </w:rPr>
              <w:t>8</w:t>
            </w:r>
          </w:p>
        </w:tc>
        <w:tc>
          <w:tcPr>
            <w:tcW w:w="954" w:type="dxa"/>
            <w:tcBorders>
              <w:top w:val="single" w:sz="12" w:space="0" w:color="000000"/>
              <w:left w:val="single" w:sz="12" w:space="0" w:color="000000"/>
              <w:bottom w:val="single" w:sz="12" w:space="0" w:color="000000"/>
              <w:right w:val="single" w:sz="12" w:space="0" w:color="000000"/>
            </w:tcBorders>
            <w:vAlign w:val="center"/>
          </w:tcPr>
          <w:p w14:paraId="25A131C3" w14:textId="759D6DD1" w:rsidR="00B56D50" w:rsidRDefault="001C3C42" w:rsidP="00375DBB">
            <w:pPr>
              <w:spacing w:after="0" w:line="259" w:lineRule="auto"/>
              <w:ind w:left="0" w:right="55" w:firstLine="0"/>
              <w:jc w:val="center"/>
            </w:pPr>
            <w:r>
              <w:rPr>
                <w:b/>
                <w:sz w:val="18"/>
              </w:rPr>
              <w:t>units</w:t>
            </w:r>
          </w:p>
        </w:tc>
        <w:tc>
          <w:tcPr>
            <w:tcW w:w="801" w:type="dxa"/>
            <w:tcBorders>
              <w:top w:val="single" w:sz="12" w:space="0" w:color="000000"/>
              <w:left w:val="single" w:sz="12" w:space="0" w:color="000000"/>
              <w:bottom w:val="single" w:sz="12" w:space="0" w:color="000000"/>
              <w:right w:val="single" w:sz="12" w:space="0" w:color="000000"/>
            </w:tcBorders>
            <w:vAlign w:val="center"/>
          </w:tcPr>
          <w:p w14:paraId="33FED231" w14:textId="338AD7B9" w:rsidR="00B56D50" w:rsidRDefault="001C3C42" w:rsidP="00375DBB">
            <w:pPr>
              <w:spacing w:after="0" w:line="259" w:lineRule="auto"/>
              <w:ind w:left="0" w:right="50" w:firstLine="0"/>
              <w:jc w:val="center"/>
            </w:pPr>
            <w:r>
              <w:rPr>
                <w:b/>
                <w:sz w:val="18"/>
              </w:rPr>
              <w:t>RL</w:t>
            </w:r>
          </w:p>
        </w:tc>
        <w:tc>
          <w:tcPr>
            <w:tcW w:w="1071" w:type="dxa"/>
            <w:tcBorders>
              <w:top w:val="single" w:sz="12" w:space="0" w:color="000000"/>
              <w:left w:val="single" w:sz="12" w:space="0" w:color="000000"/>
              <w:bottom w:val="single" w:sz="12" w:space="0" w:color="000000"/>
              <w:right w:val="single" w:sz="12" w:space="0" w:color="000000"/>
            </w:tcBorders>
            <w:vAlign w:val="center"/>
          </w:tcPr>
          <w:p w14:paraId="51D27F29" w14:textId="7082A427" w:rsidR="00B56D50" w:rsidRDefault="001C3C42" w:rsidP="00375DBB">
            <w:pPr>
              <w:spacing w:after="0" w:line="259" w:lineRule="auto"/>
              <w:ind w:left="0" w:right="52" w:firstLine="0"/>
              <w:jc w:val="center"/>
            </w:pPr>
            <w:r>
              <w:rPr>
                <w:b/>
                <w:sz w:val="18"/>
              </w:rPr>
              <w:t>units</w:t>
            </w:r>
          </w:p>
        </w:tc>
        <w:tc>
          <w:tcPr>
            <w:tcW w:w="2268" w:type="dxa"/>
            <w:gridSpan w:val="3"/>
            <w:vMerge/>
            <w:tcBorders>
              <w:top w:val="nil"/>
              <w:left w:val="single" w:sz="12" w:space="0" w:color="000000"/>
              <w:bottom w:val="single" w:sz="12" w:space="0" w:color="000000"/>
              <w:right w:val="single" w:sz="12" w:space="0" w:color="000000"/>
            </w:tcBorders>
            <w:vAlign w:val="center"/>
          </w:tcPr>
          <w:p w14:paraId="13652E2D" w14:textId="77777777" w:rsidR="00B56D50" w:rsidRDefault="00B56D50" w:rsidP="00375DBB">
            <w:pPr>
              <w:spacing w:after="160" w:line="259" w:lineRule="auto"/>
              <w:ind w:left="0" w:right="0" w:firstLine="0"/>
              <w:jc w:val="center"/>
            </w:pPr>
          </w:p>
        </w:tc>
      </w:tr>
      <w:tr w:rsidR="00B0429D" w14:paraId="0BF6E259" w14:textId="77777777" w:rsidTr="00C23B62">
        <w:trPr>
          <w:trHeight w:val="262"/>
        </w:trPr>
        <w:tc>
          <w:tcPr>
            <w:tcW w:w="3386" w:type="dxa"/>
            <w:tcBorders>
              <w:top w:val="single" w:sz="12" w:space="0" w:color="000000"/>
              <w:left w:val="single" w:sz="12" w:space="0" w:color="000000"/>
              <w:bottom w:val="single" w:sz="4" w:space="0" w:color="000000"/>
              <w:right w:val="single" w:sz="12" w:space="0" w:color="000000"/>
            </w:tcBorders>
          </w:tcPr>
          <w:p w14:paraId="13107F56" w14:textId="77777777" w:rsidR="00B0429D" w:rsidRDefault="00B0429D" w:rsidP="00B0429D">
            <w:pPr>
              <w:spacing w:after="0" w:line="259" w:lineRule="auto"/>
              <w:ind w:left="2" w:right="0" w:firstLine="0"/>
            </w:pPr>
            <w:proofErr w:type="spellStart"/>
            <w:r>
              <w:rPr>
                <w:sz w:val="18"/>
              </w:rPr>
              <w:t>Aroclor</w:t>
            </w:r>
            <w:proofErr w:type="spellEnd"/>
            <w:r>
              <w:rPr>
                <w:sz w:val="18"/>
              </w:rPr>
              <w:t xml:space="preserve"> 1016 </w:t>
            </w:r>
          </w:p>
        </w:tc>
        <w:tc>
          <w:tcPr>
            <w:tcW w:w="1172" w:type="dxa"/>
            <w:tcBorders>
              <w:top w:val="single" w:sz="12" w:space="0" w:color="000000"/>
              <w:left w:val="single" w:sz="12" w:space="0" w:color="000000"/>
              <w:bottom w:val="single" w:sz="4" w:space="0" w:color="000000"/>
              <w:right w:val="single" w:sz="12" w:space="0" w:color="000000"/>
            </w:tcBorders>
          </w:tcPr>
          <w:p w14:paraId="7AF1C5EE" w14:textId="2226224E" w:rsidR="00B0429D" w:rsidRDefault="00B0429D" w:rsidP="008A155E">
            <w:pPr>
              <w:spacing w:after="0" w:line="259" w:lineRule="auto"/>
              <w:ind w:left="0" w:right="44" w:firstLine="0"/>
              <w:jc w:val="center"/>
            </w:pPr>
            <w:r>
              <w:rPr>
                <w:sz w:val="18"/>
              </w:rPr>
              <w:t>12674-11-2</w:t>
            </w:r>
          </w:p>
        </w:tc>
        <w:tc>
          <w:tcPr>
            <w:tcW w:w="878" w:type="dxa"/>
            <w:tcBorders>
              <w:top w:val="single" w:sz="12" w:space="0" w:color="000000"/>
              <w:left w:val="single" w:sz="12" w:space="0" w:color="000000"/>
              <w:bottom w:val="single" w:sz="4" w:space="0" w:color="000000"/>
              <w:right w:val="single" w:sz="12" w:space="0" w:color="000000"/>
            </w:tcBorders>
          </w:tcPr>
          <w:p w14:paraId="28432470" w14:textId="69796711" w:rsidR="00B0429D" w:rsidRDefault="00B0429D" w:rsidP="008A155E">
            <w:pPr>
              <w:tabs>
                <w:tab w:val="center" w:pos="399"/>
              </w:tabs>
              <w:spacing w:after="0" w:line="259" w:lineRule="auto"/>
              <w:ind w:left="0" w:right="0" w:firstLine="0"/>
              <w:jc w:val="center"/>
            </w:pPr>
            <w:r>
              <w:rPr>
                <w:b/>
                <w:sz w:val="18"/>
              </w:rPr>
              <w:t>0.5</w:t>
            </w:r>
          </w:p>
        </w:tc>
        <w:tc>
          <w:tcPr>
            <w:tcW w:w="954" w:type="dxa"/>
            <w:tcBorders>
              <w:top w:val="single" w:sz="12" w:space="0" w:color="000000"/>
              <w:left w:val="single" w:sz="12" w:space="0" w:color="000000"/>
              <w:bottom w:val="single" w:sz="4" w:space="0" w:color="000000"/>
              <w:right w:val="single" w:sz="12" w:space="0" w:color="000000"/>
            </w:tcBorders>
          </w:tcPr>
          <w:p w14:paraId="32D9A299" w14:textId="7173D4D5" w:rsidR="00B0429D" w:rsidRDefault="00B0429D" w:rsidP="008A155E">
            <w:pPr>
              <w:spacing w:after="0" w:line="259" w:lineRule="auto"/>
              <w:ind w:left="0" w:right="46" w:firstLine="0"/>
              <w:jc w:val="center"/>
            </w:pPr>
            <w:r>
              <w:rPr>
                <w:sz w:val="18"/>
              </w:rPr>
              <w:t>ug/L</w:t>
            </w:r>
          </w:p>
        </w:tc>
        <w:tc>
          <w:tcPr>
            <w:tcW w:w="801" w:type="dxa"/>
            <w:tcBorders>
              <w:top w:val="single" w:sz="12" w:space="0" w:color="000000"/>
              <w:left w:val="single" w:sz="12" w:space="0" w:color="000000"/>
              <w:bottom w:val="single" w:sz="4" w:space="0" w:color="000000"/>
              <w:right w:val="single" w:sz="12" w:space="0" w:color="000000"/>
            </w:tcBorders>
          </w:tcPr>
          <w:p w14:paraId="623F8D1D" w14:textId="03B8F189" w:rsidR="00B0429D" w:rsidRDefault="00B0429D" w:rsidP="008A155E">
            <w:pPr>
              <w:spacing w:after="0" w:line="259" w:lineRule="auto"/>
              <w:ind w:left="0" w:right="47" w:firstLine="0"/>
              <w:jc w:val="center"/>
            </w:pPr>
            <w:r>
              <w:rPr>
                <w:sz w:val="18"/>
              </w:rPr>
              <w:t>N/A</w:t>
            </w:r>
          </w:p>
        </w:tc>
        <w:tc>
          <w:tcPr>
            <w:tcW w:w="1071" w:type="dxa"/>
            <w:tcBorders>
              <w:top w:val="single" w:sz="12" w:space="0" w:color="000000"/>
              <w:left w:val="single" w:sz="12" w:space="0" w:color="000000"/>
              <w:bottom w:val="single" w:sz="4" w:space="0" w:color="000000"/>
              <w:right w:val="single" w:sz="12" w:space="0" w:color="000000"/>
            </w:tcBorders>
          </w:tcPr>
          <w:p w14:paraId="3B1580F4" w14:textId="6916B583" w:rsidR="00B0429D" w:rsidRDefault="00B0429D" w:rsidP="008A155E">
            <w:pPr>
              <w:spacing w:after="0" w:line="259" w:lineRule="auto"/>
              <w:ind w:left="0" w:right="42" w:firstLine="0"/>
              <w:jc w:val="center"/>
            </w:pPr>
            <w:r>
              <w:rPr>
                <w:sz w:val="18"/>
              </w:rPr>
              <w:t>N/A</w:t>
            </w:r>
          </w:p>
        </w:tc>
        <w:tc>
          <w:tcPr>
            <w:tcW w:w="976" w:type="dxa"/>
            <w:tcBorders>
              <w:top w:val="single" w:sz="12" w:space="0" w:color="000000"/>
              <w:left w:val="single" w:sz="12" w:space="0" w:color="000000"/>
              <w:bottom w:val="single" w:sz="4" w:space="0" w:color="000000"/>
              <w:right w:val="single" w:sz="12" w:space="0" w:color="000000"/>
            </w:tcBorders>
          </w:tcPr>
          <w:p w14:paraId="4300EE4D" w14:textId="273E4AE4" w:rsidR="00B0429D" w:rsidRDefault="00B0429D" w:rsidP="008A155E">
            <w:pPr>
              <w:spacing w:after="0" w:line="259" w:lineRule="auto"/>
              <w:ind w:left="0" w:right="45" w:firstLine="0"/>
              <w:jc w:val="center"/>
            </w:pPr>
            <w:r>
              <w:rPr>
                <w:b/>
                <w:sz w:val="18"/>
              </w:rPr>
              <w:t>525.2</w:t>
            </w:r>
          </w:p>
        </w:tc>
        <w:tc>
          <w:tcPr>
            <w:tcW w:w="713" w:type="dxa"/>
            <w:tcBorders>
              <w:top w:val="single" w:sz="12" w:space="0" w:color="000000"/>
              <w:left w:val="single" w:sz="12" w:space="0" w:color="000000"/>
              <w:bottom w:val="single" w:sz="4" w:space="0" w:color="000000"/>
              <w:right w:val="single" w:sz="12" w:space="0" w:color="000000"/>
            </w:tcBorders>
          </w:tcPr>
          <w:p w14:paraId="15C2DBC3" w14:textId="1BCBE0AD" w:rsidR="00B0429D" w:rsidRDefault="00B0429D" w:rsidP="008A155E">
            <w:pPr>
              <w:spacing w:after="0" w:line="259" w:lineRule="auto"/>
              <w:ind w:left="0" w:right="44" w:firstLine="0"/>
              <w:jc w:val="center"/>
            </w:pPr>
            <w:r>
              <w:rPr>
                <w:sz w:val="18"/>
              </w:rPr>
              <w:t>508.1</w:t>
            </w:r>
          </w:p>
        </w:tc>
        <w:tc>
          <w:tcPr>
            <w:tcW w:w="579" w:type="dxa"/>
            <w:tcBorders>
              <w:top w:val="single" w:sz="12" w:space="0" w:color="000000"/>
              <w:left w:val="single" w:sz="12" w:space="0" w:color="000000"/>
              <w:bottom w:val="single" w:sz="4" w:space="0" w:color="000000"/>
              <w:right w:val="single" w:sz="12" w:space="0" w:color="000000"/>
            </w:tcBorders>
          </w:tcPr>
          <w:p w14:paraId="6F758EDF" w14:textId="77770A23" w:rsidR="00B0429D" w:rsidRDefault="00B0429D" w:rsidP="008A155E">
            <w:pPr>
              <w:spacing w:after="0" w:line="259" w:lineRule="auto"/>
              <w:ind w:left="0" w:right="46" w:firstLine="0"/>
              <w:jc w:val="center"/>
            </w:pPr>
            <w:r>
              <w:rPr>
                <w:sz w:val="18"/>
              </w:rPr>
              <w:t>505</w:t>
            </w:r>
          </w:p>
        </w:tc>
      </w:tr>
      <w:tr w:rsidR="00B0429D" w14:paraId="51FA8D57" w14:textId="77777777" w:rsidTr="00C23B62">
        <w:trPr>
          <w:trHeight w:val="250"/>
        </w:trPr>
        <w:tc>
          <w:tcPr>
            <w:tcW w:w="3386" w:type="dxa"/>
            <w:tcBorders>
              <w:top w:val="single" w:sz="4" w:space="0" w:color="000000"/>
              <w:left w:val="single" w:sz="12" w:space="0" w:color="000000"/>
              <w:bottom w:val="single" w:sz="4" w:space="0" w:color="000000"/>
              <w:right w:val="single" w:sz="12" w:space="0" w:color="000000"/>
            </w:tcBorders>
          </w:tcPr>
          <w:p w14:paraId="19562203" w14:textId="77777777" w:rsidR="00B0429D" w:rsidRDefault="00B0429D" w:rsidP="00B0429D">
            <w:pPr>
              <w:spacing w:after="0" w:line="259" w:lineRule="auto"/>
              <w:ind w:left="2" w:right="0" w:firstLine="0"/>
            </w:pPr>
            <w:proofErr w:type="spellStart"/>
            <w:r>
              <w:rPr>
                <w:sz w:val="18"/>
              </w:rPr>
              <w:t>Aroclor</w:t>
            </w:r>
            <w:proofErr w:type="spellEnd"/>
            <w:r>
              <w:rPr>
                <w:sz w:val="18"/>
              </w:rPr>
              <w:t xml:space="preserve"> 1221 </w:t>
            </w:r>
          </w:p>
        </w:tc>
        <w:tc>
          <w:tcPr>
            <w:tcW w:w="1172" w:type="dxa"/>
            <w:tcBorders>
              <w:top w:val="single" w:sz="4" w:space="0" w:color="000000"/>
              <w:left w:val="single" w:sz="12" w:space="0" w:color="000000"/>
              <w:bottom w:val="single" w:sz="4" w:space="0" w:color="000000"/>
              <w:right w:val="single" w:sz="12" w:space="0" w:color="000000"/>
            </w:tcBorders>
          </w:tcPr>
          <w:p w14:paraId="186390FA" w14:textId="2CCCD0E2" w:rsidR="00B0429D" w:rsidRDefault="00B0429D" w:rsidP="008A155E">
            <w:pPr>
              <w:spacing w:after="0" w:line="259" w:lineRule="auto"/>
              <w:ind w:left="0" w:right="44" w:firstLine="0"/>
              <w:jc w:val="center"/>
            </w:pPr>
            <w:r>
              <w:rPr>
                <w:sz w:val="18"/>
              </w:rPr>
              <w:t>11104-28-2</w:t>
            </w:r>
          </w:p>
        </w:tc>
        <w:tc>
          <w:tcPr>
            <w:tcW w:w="878" w:type="dxa"/>
            <w:tcBorders>
              <w:top w:val="single" w:sz="4" w:space="0" w:color="000000"/>
              <w:left w:val="single" w:sz="12" w:space="0" w:color="000000"/>
              <w:bottom w:val="single" w:sz="4" w:space="0" w:color="000000"/>
              <w:right w:val="single" w:sz="12" w:space="0" w:color="000000"/>
            </w:tcBorders>
          </w:tcPr>
          <w:p w14:paraId="3EBD9007" w14:textId="7C39FFA7" w:rsidR="00B0429D" w:rsidRDefault="00B0429D" w:rsidP="008A155E">
            <w:pPr>
              <w:tabs>
                <w:tab w:val="center" w:pos="399"/>
              </w:tabs>
              <w:spacing w:after="0" w:line="259" w:lineRule="auto"/>
              <w:ind w:left="0" w:right="0" w:firstLine="0"/>
              <w:jc w:val="center"/>
            </w:pPr>
            <w:r>
              <w:rPr>
                <w:b/>
                <w:sz w:val="18"/>
              </w:rPr>
              <w:t>0.5</w:t>
            </w:r>
          </w:p>
        </w:tc>
        <w:tc>
          <w:tcPr>
            <w:tcW w:w="954" w:type="dxa"/>
            <w:tcBorders>
              <w:top w:val="single" w:sz="4" w:space="0" w:color="000000"/>
              <w:left w:val="single" w:sz="12" w:space="0" w:color="000000"/>
              <w:bottom w:val="single" w:sz="4" w:space="0" w:color="000000"/>
              <w:right w:val="single" w:sz="12" w:space="0" w:color="000000"/>
            </w:tcBorders>
          </w:tcPr>
          <w:p w14:paraId="094B21C8" w14:textId="581196B0" w:rsidR="00B0429D" w:rsidRDefault="00B0429D" w:rsidP="008A155E">
            <w:pPr>
              <w:spacing w:after="0" w:line="259" w:lineRule="auto"/>
              <w:ind w:left="0" w:right="46" w:firstLine="0"/>
              <w:jc w:val="center"/>
            </w:pPr>
            <w:r>
              <w:rPr>
                <w:sz w:val="18"/>
              </w:rPr>
              <w:t>ug/L</w:t>
            </w:r>
          </w:p>
        </w:tc>
        <w:tc>
          <w:tcPr>
            <w:tcW w:w="801" w:type="dxa"/>
            <w:tcBorders>
              <w:top w:val="single" w:sz="4" w:space="0" w:color="000000"/>
              <w:left w:val="single" w:sz="12" w:space="0" w:color="000000"/>
              <w:bottom w:val="single" w:sz="4" w:space="0" w:color="000000"/>
              <w:right w:val="single" w:sz="12" w:space="0" w:color="000000"/>
            </w:tcBorders>
          </w:tcPr>
          <w:p w14:paraId="225BA2D7" w14:textId="35CEC2DE" w:rsidR="00B0429D" w:rsidRDefault="00B0429D" w:rsidP="008A155E">
            <w:pPr>
              <w:spacing w:after="0" w:line="259" w:lineRule="auto"/>
              <w:ind w:left="0" w:right="47" w:firstLine="0"/>
              <w:jc w:val="center"/>
            </w:pPr>
            <w:r>
              <w:rPr>
                <w:sz w:val="18"/>
              </w:rPr>
              <w:t>N/A</w:t>
            </w:r>
          </w:p>
        </w:tc>
        <w:tc>
          <w:tcPr>
            <w:tcW w:w="1071" w:type="dxa"/>
            <w:tcBorders>
              <w:top w:val="single" w:sz="4" w:space="0" w:color="000000"/>
              <w:left w:val="single" w:sz="12" w:space="0" w:color="000000"/>
              <w:bottom w:val="single" w:sz="4" w:space="0" w:color="000000"/>
              <w:right w:val="single" w:sz="12" w:space="0" w:color="000000"/>
            </w:tcBorders>
          </w:tcPr>
          <w:p w14:paraId="3082D9E3" w14:textId="58168BD3" w:rsidR="00B0429D" w:rsidRDefault="00B0429D" w:rsidP="008A155E">
            <w:pPr>
              <w:spacing w:after="0" w:line="259" w:lineRule="auto"/>
              <w:ind w:left="0" w:right="42" w:firstLine="0"/>
              <w:jc w:val="center"/>
            </w:pPr>
            <w:r>
              <w:rPr>
                <w:sz w:val="18"/>
              </w:rPr>
              <w:t>N/A</w:t>
            </w:r>
          </w:p>
        </w:tc>
        <w:tc>
          <w:tcPr>
            <w:tcW w:w="976" w:type="dxa"/>
            <w:tcBorders>
              <w:top w:val="single" w:sz="4" w:space="0" w:color="000000"/>
              <w:left w:val="single" w:sz="12" w:space="0" w:color="000000"/>
              <w:bottom w:val="single" w:sz="4" w:space="0" w:color="000000"/>
              <w:right w:val="single" w:sz="12" w:space="0" w:color="000000"/>
            </w:tcBorders>
          </w:tcPr>
          <w:p w14:paraId="26EDB3C1" w14:textId="73FEFAEF" w:rsidR="00B0429D" w:rsidRDefault="00B0429D" w:rsidP="008A155E">
            <w:pPr>
              <w:spacing w:after="0" w:line="259" w:lineRule="auto"/>
              <w:ind w:left="0" w:right="45" w:firstLine="0"/>
              <w:jc w:val="center"/>
            </w:pPr>
            <w:r>
              <w:rPr>
                <w:b/>
                <w:sz w:val="18"/>
              </w:rPr>
              <w:t>525.2</w:t>
            </w:r>
          </w:p>
        </w:tc>
        <w:tc>
          <w:tcPr>
            <w:tcW w:w="713" w:type="dxa"/>
            <w:tcBorders>
              <w:top w:val="single" w:sz="4" w:space="0" w:color="000000"/>
              <w:left w:val="single" w:sz="12" w:space="0" w:color="000000"/>
              <w:bottom w:val="single" w:sz="4" w:space="0" w:color="000000"/>
              <w:right w:val="single" w:sz="12" w:space="0" w:color="000000"/>
            </w:tcBorders>
          </w:tcPr>
          <w:p w14:paraId="0815C83C" w14:textId="17EDA880" w:rsidR="00B0429D" w:rsidRDefault="00B0429D" w:rsidP="008A155E">
            <w:pPr>
              <w:spacing w:after="0" w:line="259" w:lineRule="auto"/>
              <w:ind w:left="0" w:right="44" w:firstLine="0"/>
              <w:jc w:val="center"/>
            </w:pPr>
            <w:r>
              <w:rPr>
                <w:sz w:val="18"/>
              </w:rPr>
              <w:t>508.1</w:t>
            </w:r>
          </w:p>
        </w:tc>
        <w:tc>
          <w:tcPr>
            <w:tcW w:w="579" w:type="dxa"/>
            <w:tcBorders>
              <w:top w:val="single" w:sz="4" w:space="0" w:color="000000"/>
              <w:left w:val="single" w:sz="12" w:space="0" w:color="000000"/>
              <w:bottom w:val="single" w:sz="4" w:space="0" w:color="000000"/>
              <w:right w:val="single" w:sz="12" w:space="0" w:color="000000"/>
            </w:tcBorders>
          </w:tcPr>
          <w:p w14:paraId="46AF6676" w14:textId="1365EBC7" w:rsidR="00B0429D" w:rsidRDefault="00B0429D" w:rsidP="008A155E">
            <w:pPr>
              <w:spacing w:after="0" w:line="259" w:lineRule="auto"/>
              <w:ind w:left="0" w:right="46" w:firstLine="0"/>
              <w:jc w:val="center"/>
            </w:pPr>
            <w:r>
              <w:rPr>
                <w:sz w:val="18"/>
              </w:rPr>
              <w:t>505</w:t>
            </w:r>
          </w:p>
        </w:tc>
      </w:tr>
      <w:tr w:rsidR="00B0429D" w14:paraId="13DE744F" w14:textId="77777777" w:rsidTr="00C23B62">
        <w:trPr>
          <w:trHeight w:val="250"/>
        </w:trPr>
        <w:tc>
          <w:tcPr>
            <w:tcW w:w="3386" w:type="dxa"/>
            <w:tcBorders>
              <w:top w:val="single" w:sz="4" w:space="0" w:color="000000"/>
              <w:left w:val="single" w:sz="12" w:space="0" w:color="000000"/>
              <w:bottom w:val="single" w:sz="4" w:space="0" w:color="000000"/>
              <w:right w:val="single" w:sz="12" w:space="0" w:color="000000"/>
            </w:tcBorders>
          </w:tcPr>
          <w:p w14:paraId="140D1F98" w14:textId="77777777" w:rsidR="00B0429D" w:rsidRDefault="00B0429D" w:rsidP="00B0429D">
            <w:pPr>
              <w:spacing w:after="0" w:line="259" w:lineRule="auto"/>
              <w:ind w:left="2" w:right="0" w:firstLine="0"/>
            </w:pPr>
            <w:proofErr w:type="spellStart"/>
            <w:r>
              <w:rPr>
                <w:sz w:val="18"/>
              </w:rPr>
              <w:t>Aroclor</w:t>
            </w:r>
            <w:proofErr w:type="spellEnd"/>
            <w:r>
              <w:rPr>
                <w:sz w:val="18"/>
              </w:rPr>
              <w:t xml:space="preserve"> 1232 </w:t>
            </w:r>
          </w:p>
        </w:tc>
        <w:tc>
          <w:tcPr>
            <w:tcW w:w="1172" w:type="dxa"/>
            <w:tcBorders>
              <w:top w:val="single" w:sz="4" w:space="0" w:color="000000"/>
              <w:left w:val="single" w:sz="12" w:space="0" w:color="000000"/>
              <w:bottom w:val="single" w:sz="4" w:space="0" w:color="000000"/>
              <w:right w:val="single" w:sz="12" w:space="0" w:color="000000"/>
            </w:tcBorders>
          </w:tcPr>
          <w:p w14:paraId="5681CDA7" w14:textId="4812EA63" w:rsidR="00B0429D" w:rsidRDefault="00B0429D" w:rsidP="008A155E">
            <w:pPr>
              <w:spacing w:after="0" w:line="259" w:lineRule="auto"/>
              <w:ind w:left="0" w:right="44" w:firstLine="0"/>
              <w:jc w:val="center"/>
            </w:pPr>
            <w:r>
              <w:rPr>
                <w:sz w:val="18"/>
              </w:rPr>
              <w:t>11141-16-5</w:t>
            </w:r>
          </w:p>
        </w:tc>
        <w:tc>
          <w:tcPr>
            <w:tcW w:w="878" w:type="dxa"/>
            <w:tcBorders>
              <w:top w:val="single" w:sz="4" w:space="0" w:color="000000"/>
              <w:left w:val="single" w:sz="12" w:space="0" w:color="000000"/>
              <w:bottom w:val="single" w:sz="4" w:space="0" w:color="000000"/>
              <w:right w:val="single" w:sz="12" w:space="0" w:color="000000"/>
            </w:tcBorders>
          </w:tcPr>
          <w:p w14:paraId="4CBB6BCA" w14:textId="362BA25A" w:rsidR="00B0429D" w:rsidRDefault="00B0429D" w:rsidP="008A155E">
            <w:pPr>
              <w:tabs>
                <w:tab w:val="center" w:pos="399"/>
              </w:tabs>
              <w:spacing w:after="0" w:line="259" w:lineRule="auto"/>
              <w:ind w:left="0" w:right="0" w:firstLine="0"/>
              <w:jc w:val="center"/>
            </w:pPr>
            <w:r>
              <w:rPr>
                <w:b/>
                <w:sz w:val="18"/>
              </w:rPr>
              <w:t>0.5</w:t>
            </w:r>
          </w:p>
        </w:tc>
        <w:tc>
          <w:tcPr>
            <w:tcW w:w="954" w:type="dxa"/>
            <w:tcBorders>
              <w:top w:val="single" w:sz="4" w:space="0" w:color="000000"/>
              <w:left w:val="single" w:sz="12" w:space="0" w:color="000000"/>
              <w:bottom w:val="single" w:sz="4" w:space="0" w:color="000000"/>
              <w:right w:val="single" w:sz="12" w:space="0" w:color="000000"/>
            </w:tcBorders>
          </w:tcPr>
          <w:p w14:paraId="4D230258" w14:textId="43001AA8" w:rsidR="00B0429D" w:rsidRDefault="00B0429D" w:rsidP="008A155E">
            <w:pPr>
              <w:spacing w:after="0" w:line="259" w:lineRule="auto"/>
              <w:ind w:left="0" w:right="46" w:firstLine="0"/>
              <w:jc w:val="center"/>
            </w:pPr>
            <w:r>
              <w:rPr>
                <w:sz w:val="18"/>
              </w:rPr>
              <w:t>ug/L</w:t>
            </w:r>
          </w:p>
        </w:tc>
        <w:tc>
          <w:tcPr>
            <w:tcW w:w="801" w:type="dxa"/>
            <w:tcBorders>
              <w:top w:val="single" w:sz="4" w:space="0" w:color="000000"/>
              <w:left w:val="single" w:sz="12" w:space="0" w:color="000000"/>
              <w:bottom w:val="single" w:sz="4" w:space="0" w:color="000000"/>
              <w:right w:val="single" w:sz="12" w:space="0" w:color="000000"/>
            </w:tcBorders>
          </w:tcPr>
          <w:p w14:paraId="531DBB44" w14:textId="760B6F34" w:rsidR="00B0429D" w:rsidRDefault="00B0429D" w:rsidP="008A155E">
            <w:pPr>
              <w:spacing w:after="0" w:line="259" w:lineRule="auto"/>
              <w:ind w:left="0" w:right="47" w:firstLine="0"/>
              <w:jc w:val="center"/>
            </w:pPr>
            <w:r>
              <w:rPr>
                <w:sz w:val="18"/>
              </w:rPr>
              <w:t>N/A</w:t>
            </w:r>
          </w:p>
        </w:tc>
        <w:tc>
          <w:tcPr>
            <w:tcW w:w="1071" w:type="dxa"/>
            <w:tcBorders>
              <w:top w:val="single" w:sz="4" w:space="0" w:color="000000"/>
              <w:left w:val="single" w:sz="12" w:space="0" w:color="000000"/>
              <w:bottom w:val="single" w:sz="4" w:space="0" w:color="000000"/>
              <w:right w:val="single" w:sz="12" w:space="0" w:color="000000"/>
            </w:tcBorders>
          </w:tcPr>
          <w:p w14:paraId="36A5FC9D" w14:textId="2FB6055E" w:rsidR="00B0429D" w:rsidRDefault="00B0429D" w:rsidP="008A155E">
            <w:pPr>
              <w:spacing w:after="0" w:line="259" w:lineRule="auto"/>
              <w:ind w:left="0" w:right="42" w:firstLine="0"/>
              <w:jc w:val="center"/>
            </w:pPr>
            <w:r>
              <w:rPr>
                <w:sz w:val="18"/>
              </w:rPr>
              <w:t>N/A</w:t>
            </w:r>
          </w:p>
        </w:tc>
        <w:tc>
          <w:tcPr>
            <w:tcW w:w="976" w:type="dxa"/>
            <w:tcBorders>
              <w:top w:val="single" w:sz="4" w:space="0" w:color="000000"/>
              <w:left w:val="single" w:sz="12" w:space="0" w:color="000000"/>
              <w:bottom w:val="single" w:sz="4" w:space="0" w:color="000000"/>
              <w:right w:val="single" w:sz="12" w:space="0" w:color="000000"/>
            </w:tcBorders>
          </w:tcPr>
          <w:p w14:paraId="18D8F5DE" w14:textId="74F8BB24" w:rsidR="00B0429D" w:rsidRDefault="00B0429D" w:rsidP="008A155E">
            <w:pPr>
              <w:spacing w:after="0" w:line="259" w:lineRule="auto"/>
              <w:ind w:left="0" w:right="45" w:firstLine="0"/>
              <w:jc w:val="center"/>
            </w:pPr>
            <w:r>
              <w:rPr>
                <w:b/>
                <w:sz w:val="18"/>
              </w:rPr>
              <w:t>525.2</w:t>
            </w:r>
          </w:p>
        </w:tc>
        <w:tc>
          <w:tcPr>
            <w:tcW w:w="713" w:type="dxa"/>
            <w:tcBorders>
              <w:top w:val="single" w:sz="4" w:space="0" w:color="000000"/>
              <w:left w:val="single" w:sz="12" w:space="0" w:color="000000"/>
              <w:bottom w:val="single" w:sz="4" w:space="0" w:color="000000"/>
              <w:right w:val="single" w:sz="12" w:space="0" w:color="000000"/>
            </w:tcBorders>
          </w:tcPr>
          <w:p w14:paraId="565D0F87" w14:textId="053045AC" w:rsidR="00B0429D" w:rsidRDefault="00B0429D" w:rsidP="008A155E">
            <w:pPr>
              <w:spacing w:after="0" w:line="259" w:lineRule="auto"/>
              <w:ind w:left="0" w:right="44" w:firstLine="0"/>
              <w:jc w:val="center"/>
            </w:pPr>
            <w:r>
              <w:rPr>
                <w:sz w:val="18"/>
              </w:rPr>
              <w:t>508.1</w:t>
            </w:r>
          </w:p>
        </w:tc>
        <w:tc>
          <w:tcPr>
            <w:tcW w:w="579" w:type="dxa"/>
            <w:tcBorders>
              <w:top w:val="single" w:sz="4" w:space="0" w:color="000000"/>
              <w:left w:val="single" w:sz="12" w:space="0" w:color="000000"/>
              <w:bottom w:val="single" w:sz="4" w:space="0" w:color="000000"/>
              <w:right w:val="single" w:sz="12" w:space="0" w:color="000000"/>
            </w:tcBorders>
          </w:tcPr>
          <w:p w14:paraId="4B298BA1" w14:textId="27ED990C" w:rsidR="00B0429D" w:rsidRDefault="00B0429D" w:rsidP="008A155E">
            <w:pPr>
              <w:spacing w:after="0" w:line="259" w:lineRule="auto"/>
              <w:ind w:left="0" w:right="46" w:firstLine="0"/>
              <w:jc w:val="center"/>
            </w:pPr>
            <w:r>
              <w:rPr>
                <w:sz w:val="18"/>
              </w:rPr>
              <w:t>505</w:t>
            </w:r>
          </w:p>
        </w:tc>
      </w:tr>
      <w:tr w:rsidR="00B0429D" w14:paraId="01DE8F3D" w14:textId="77777777" w:rsidTr="00C23B62">
        <w:trPr>
          <w:trHeight w:val="250"/>
        </w:trPr>
        <w:tc>
          <w:tcPr>
            <w:tcW w:w="3386" w:type="dxa"/>
            <w:tcBorders>
              <w:top w:val="single" w:sz="4" w:space="0" w:color="000000"/>
              <w:left w:val="single" w:sz="12" w:space="0" w:color="000000"/>
              <w:bottom w:val="single" w:sz="4" w:space="0" w:color="000000"/>
              <w:right w:val="single" w:sz="12" w:space="0" w:color="000000"/>
            </w:tcBorders>
          </w:tcPr>
          <w:p w14:paraId="5820C5DA" w14:textId="77777777" w:rsidR="00B0429D" w:rsidRDefault="00B0429D" w:rsidP="00B0429D">
            <w:pPr>
              <w:spacing w:after="0" w:line="259" w:lineRule="auto"/>
              <w:ind w:left="2" w:right="0" w:firstLine="0"/>
            </w:pPr>
            <w:proofErr w:type="spellStart"/>
            <w:r>
              <w:rPr>
                <w:sz w:val="18"/>
              </w:rPr>
              <w:t>Aroclor</w:t>
            </w:r>
            <w:proofErr w:type="spellEnd"/>
            <w:r>
              <w:rPr>
                <w:sz w:val="18"/>
              </w:rPr>
              <w:t xml:space="preserve"> 1242 </w:t>
            </w:r>
          </w:p>
        </w:tc>
        <w:tc>
          <w:tcPr>
            <w:tcW w:w="1172" w:type="dxa"/>
            <w:tcBorders>
              <w:top w:val="single" w:sz="4" w:space="0" w:color="000000"/>
              <w:left w:val="single" w:sz="12" w:space="0" w:color="000000"/>
              <w:bottom w:val="single" w:sz="4" w:space="0" w:color="000000"/>
              <w:right w:val="single" w:sz="12" w:space="0" w:color="000000"/>
            </w:tcBorders>
          </w:tcPr>
          <w:p w14:paraId="7C531D26" w14:textId="611538B9" w:rsidR="00B0429D" w:rsidRDefault="00B0429D" w:rsidP="008A155E">
            <w:pPr>
              <w:spacing w:after="0" w:line="259" w:lineRule="auto"/>
              <w:ind w:left="0" w:right="44" w:firstLine="0"/>
              <w:jc w:val="center"/>
            </w:pPr>
            <w:r>
              <w:rPr>
                <w:sz w:val="18"/>
              </w:rPr>
              <w:t>53469-21-9</w:t>
            </w:r>
          </w:p>
        </w:tc>
        <w:tc>
          <w:tcPr>
            <w:tcW w:w="878" w:type="dxa"/>
            <w:tcBorders>
              <w:top w:val="single" w:sz="4" w:space="0" w:color="000000"/>
              <w:left w:val="single" w:sz="12" w:space="0" w:color="000000"/>
              <w:bottom w:val="single" w:sz="4" w:space="0" w:color="000000"/>
              <w:right w:val="single" w:sz="12" w:space="0" w:color="000000"/>
            </w:tcBorders>
          </w:tcPr>
          <w:p w14:paraId="1B923CA8" w14:textId="2F2E0887" w:rsidR="00B0429D" w:rsidRDefault="00B0429D" w:rsidP="008A155E">
            <w:pPr>
              <w:tabs>
                <w:tab w:val="center" w:pos="399"/>
              </w:tabs>
              <w:spacing w:after="0" w:line="259" w:lineRule="auto"/>
              <w:ind w:left="0" w:right="0" w:firstLine="0"/>
              <w:jc w:val="center"/>
            </w:pPr>
            <w:r>
              <w:rPr>
                <w:b/>
                <w:sz w:val="18"/>
              </w:rPr>
              <w:t>0.5</w:t>
            </w:r>
          </w:p>
        </w:tc>
        <w:tc>
          <w:tcPr>
            <w:tcW w:w="954" w:type="dxa"/>
            <w:tcBorders>
              <w:top w:val="single" w:sz="4" w:space="0" w:color="000000"/>
              <w:left w:val="single" w:sz="12" w:space="0" w:color="000000"/>
              <w:bottom w:val="single" w:sz="4" w:space="0" w:color="000000"/>
              <w:right w:val="single" w:sz="12" w:space="0" w:color="000000"/>
            </w:tcBorders>
          </w:tcPr>
          <w:p w14:paraId="542DCAA1" w14:textId="1409E4E8" w:rsidR="00B0429D" w:rsidRDefault="00B0429D" w:rsidP="008A155E">
            <w:pPr>
              <w:spacing w:after="0" w:line="259" w:lineRule="auto"/>
              <w:ind w:left="0" w:right="46" w:firstLine="0"/>
              <w:jc w:val="center"/>
            </w:pPr>
            <w:r>
              <w:rPr>
                <w:sz w:val="18"/>
              </w:rPr>
              <w:t>ug/L</w:t>
            </w:r>
          </w:p>
        </w:tc>
        <w:tc>
          <w:tcPr>
            <w:tcW w:w="801" w:type="dxa"/>
            <w:tcBorders>
              <w:top w:val="single" w:sz="4" w:space="0" w:color="000000"/>
              <w:left w:val="single" w:sz="12" w:space="0" w:color="000000"/>
              <w:bottom w:val="single" w:sz="4" w:space="0" w:color="000000"/>
              <w:right w:val="single" w:sz="12" w:space="0" w:color="000000"/>
            </w:tcBorders>
          </w:tcPr>
          <w:p w14:paraId="7BC354E8" w14:textId="5A9F6528" w:rsidR="00B0429D" w:rsidRDefault="00B0429D" w:rsidP="008A155E">
            <w:pPr>
              <w:spacing w:after="0" w:line="259" w:lineRule="auto"/>
              <w:ind w:left="0" w:right="47" w:firstLine="0"/>
              <w:jc w:val="center"/>
            </w:pPr>
            <w:r>
              <w:rPr>
                <w:sz w:val="18"/>
              </w:rPr>
              <w:t>N/A</w:t>
            </w:r>
          </w:p>
        </w:tc>
        <w:tc>
          <w:tcPr>
            <w:tcW w:w="1071" w:type="dxa"/>
            <w:tcBorders>
              <w:top w:val="single" w:sz="4" w:space="0" w:color="000000"/>
              <w:left w:val="single" w:sz="12" w:space="0" w:color="000000"/>
              <w:bottom w:val="single" w:sz="4" w:space="0" w:color="000000"/>
              <w:right w:val="single" w:sz="12" w:space="0" w:color="000000"/>
            </w:tcBorders>
          </w:tcPr>
          <w:p w14:paraId="0F9D40FE" w14:textId="2FF8974F" w:rsidR="00B0429D" w:rsidRDefault="00B0429D" w:rsidP="008A155E">
            <w:pPr>
              <w:spacing w:after="0" w:line="259" w:lineRule="auto"/>
              <w:ind w:left="0" w:right="42" w:firstLine="0"/>
              <w:jc w:val="center"/>
            </w:pPr>
            <w:r>
              <w:rPr>
                <w:sz w:val="18"/>
              </w:rPr>
              <w:t>N/A</w:t>
            </w:r>
          </w:p>
        </w:tc>
        <w:tc>
          <w:tcPr>
            <w:tcW w:w="976" w:type="dxa"/>
            <w:tcBorders>
              <w:top w:val="single" w:sz="4" w:space="0" w:color="000000"/>
              <w:left w:val="single" w:sz="12" w:space="0" w:color="000000"/>
              <w:bottom w:val="single" w:sz="4" w:space="0" w:color="000000"/>
              <w:right w:val="single" w:sz="12" w:space="0" w:color="000000"/>
            </w:tcBorders>
          </w:tcPr>
          <w:p w14:paraId="1ED31BBB" w14:textId="6ED17B20" w:rsidR="00B0429D" w:rsidRDefault="00B0429D" w:rsidP="008A155E">
            <w:pPr>
              <w:spacing w:after="0" w:line="259" w:lineRule="auto"/>
              <w:ind w:left="0" w:right="45" w:firstLine="0"/>
              <w:jc w:val="center"/>
            </w:pPr>
            <w:r>
              <w:rPr>
                <w:b/>
                <w:sz w:val="18"/>
              </w:rPr>
              <w:t>525.2</w:t>
            </w:r>
          </w:p>
        </w:tc>
        <w:tc>
          <w:tcPr>
            <w:tcW w:w="713" w:type="dxa"/>
            <w:tcBorders>
              <w:top w:val="single" w:sz="4" w:space="0" w:color="000000"/>
              <w:left w:val="single" w:sz="12" w:space="0" w:color="000000"/>
              <w:bottom w:val="single" w:sz="4" w:space="0" w:color="000000"/>
              <w:right w:val="single" w:sz="12" w:space="0" w:color="000000"/>
            </w:tcBorders>
          </w:tcPr>
          <w:p w14:paraId="23DB850A" w14:textId="756D7B20" w:rsidR="00B0429D" w:rsidRDefault="00B0429D" w:rsidP="008A155E">
            <w:pPr>
              <w:spacing w:after="0" w:line="259" w:lineRule="auto"/>
              <w:ind w:left="0" w:right="44" w:firstLine="0"/>
              <w:jc w:val="center"/>
            </w:pPr>
            <w:r>
              <w:rPr>
                <w:sz w:val="18"/>
              </w:rPr>
              <w:t>508.1</w:t>
            </w:r>
          </w:p>
        </w:tc>
        <w:tc>
          <w:tcPr>
            <w:tcW w:w="579" w:type="dxa"/>
            <w:tcBorders>
              <w:top w:val="single" w:sz="4" w:space="0" w:color="000000"/>
              <w:left w:val="single" w:sz="12" w:space="0" w:color="000000"/>
              <w:bottom w:val="single" w:sz="4" w:space="0" w:color="000000"/>
              <w:right w:val="single" w:sz="12" w:space="0" w:color="000000"/>
            </w:tcBorders>
          </w:tcPr>
          <w:p w14:paraId="378B9BA3" w14:textId="04196840" w:rsidR="00B0429D" w:rsidRDefault="00B0429D" w:rsidP="008A155E">
            <w:pPr>
              <w:spacing w:after="0" w:line="259" w:lineRule="auto"/>
              <w:ind w:left="0" w:right="46" w:firstLine="0"/>
              <w:jc w:val="center"/>
            </w:pPr>
            <w:r>
              <w:rPr>
                <w:sz w:val="18"/>
              </w:rPr>
              <w:t>505</w:t>
            </w:r>
          </w:p>
        </w:tc>
      </w:tr>
      <w:tr w:rsidR="00B0429D" w14:paraId="6740F6B0" w14:textId="77777777" w:rsidTr="00C23B62">
        <w:trPr>
          <w:trHeight w:val="252"/>
        </w:trPr>
        <w:tc>
          <w:tcPr>
            <w:tcW w:w="3386" w:type="dxa"/>
            <w:tcBorders>
              <w:top w:val="single" w:sz="4" w:space="0" w:color="000000"/>
              <w:left w:val="single" w:sz="12" w:space="0" w:color="000000"/>
              <w:bottom w:val="single" w:sz="4" w:space="0" w:color="000000"/>
              <w:right w:val="single" w:sz="12" w:space="0" w:color="000000"/>
            </w:tcBorders>
          </w:tcPr>
          <w:p w14:paraId="5229D487" w14:textId="77777777" w:rsidR="00B0429D" w:rsidRDefault="00B0429D" w:rsidP="00B0429D">
            <w:pPr>
              <w:spacing w:after="0" w:line="259" w:lineRule="auto"/>
              <w:ind w:left="2" w:right="0" w:firstLine="0"/>
            </w:pPr>
            <w:proofErr w:type="spellStart"/>
            <w:r>
              <w:rPr>
                <w:sz w:val="18"/>
              </w:rPr>
              <w:t>Aroclor</w:t>
            </w:r>
            <w:proofErr w:type="spellEnd"/>
            <w:r>
              <w:rPr>
                <w:sz w:val="18"/>
              </w:rPr>
              <w:t xml:space="preserve"> 1248 </w:t>
            </w:r>
          </w:p>
        </w:tc>
        <w:tc>
          <w:tcPr>
            <w:tcW w:w="1172" w:type="dxa"/>
            <w:tcBorders>
              <w:top w:val="single" w:sz="4" w:space="0" w:color="000000"/>
              <w:left w:val="single" w:sz="12" w:space="0" w:color="000000"/>
              <w:bottom w:val="single" w:sz="4" w:space="0" w:color="000000"/>
              <w:right w:val="single" w:sz="12" w:space="0" w:color="000000"/>
            </w:tcBorders>
          </w:tcPr>
          <w:p w14:paraId="29CB0FD2" w14:textId="5DC108D5" w:rsidR="00B0429D" w:rsidRDefault="00B0429D" w:rsidP="008A155E">
            <w:pPr>
              <w:spacing w:after="0" w:line="259" w:lineRule="auto"/>
              <w:ind w:left="0" w:right="44" w:firstLine="0"/>
              <w:jc w:val="center"/>
            </w:pPr>
            <w:r>
              <w:rPr>
                <w:sz w:val="18"/>
              </w:rPr>
              <w:t>12672-29-6</w:t>
            </w:r>
          </w:p>
        </w:tc>
        <w:tc>
          <w:tcPr>
            <w:tcW w:w="878" w:type="dxa"/>
            <w:tcBorders>
              <w:top w:val="single" w:sz="4" w:space="0" w:color="000000"/>
              <w:left w:val="single" w:sz="12" w:space="0" w:color="000000"/>
              <w:bottom w:val="single" w:sz="4" w:space="0" w:color="000000"/>
              <w:right w:val="single" w:sz="12" w:space="0" w:color="000000"/>
            </w:tcBorders>
          </w:tcPr>
          <w:p w14:paraId="6E2AAE6C" w14:textId="3BB6F959" w:rsidR="00B0429D" w:rsidRDefault="00B0429D" w:rsidP="008A155E">
            <w:pPr>
              <w:tabs>
                <w:tab w:val="center" w:pos="399"/>
              </w:tabs>
              <w:spacing w:after="0" w:line="259" w:lineRule="auto"/>
              <w:ind w:left="0" w:right="0" w:firstLine="0"/>
              <w:jc w:val="center"/>
            </w:pPr>
            <w:r>
              <w:rPr>
                <w:b/>
                <w:sz w:val="18"/>
              </w:rPr>
              <w:t>0.5</w:t>
            </w:r>
          </w:p>
        </w:tc>
        <w:tc>
          <w:tcPr>
            <w:tcW w:w="954" w:type="dxa"/>
            <w:tcBorders>
              <w:top w:val="single" w:sz="4" w:space="0" w:color="000000"/>
              <w:left w:val="single" w:sz="12" w:space="0" w:color="000000"/>
              <w:bottom w:val="single" w:sz="4" w:space="0" w:color="000000"/>
              <w:right w:val="single" w:sz="12" w:space="0" w:color="000000"/>
            </w:tcBorders>
          </w:tcPr>
          <w:p w14:paraId="76725BD8" w14:textId="75888E77" w:rsidR="00B0429D" w:rsidRDefault="00B0429D" w:rsidP="008A155E">
            <w:pPr>
              <w:spacing w:after="0" w:line="259" w:lineRule="auto"/>
              <w:ind w:left="0" w:right="46" w:firstLine="0"/>
              <w:jc w:val="center"/>
            </w:pPr>
            <w:r>
              <w:rPr>
                <w:sz w:val="18"/>
              </w:rPr>
              <w:t>ug/L</w:t>
            </w:r>
          </w:p>
        </w:tc>
        <w:tc>
          <w:tcPr>
            <w:tcW w:w="801" w:type="dxa"/>
            <w:tcBorders>
              <w:top w:val="single" w:sz="4" w:space="0" w:color="000000"/>
              <w:left w:val="single" w:sz="12" w:space="0" w:color="000000"/>
              <w:bottom w:val="single" w:sz="4" w:space="0" w:color="000000"/>
              <w:right w:val="single" w:sz="12" w:space="0" w:color="000000"/>
            </w:tcBorders>
          </w:tcPr>
          <w:p w14:paraId="1C3A5BFE" w14:textId="12CE61D8" w:rsidR="00B0429D" w:rsidRDefault="00B0429D" w:rsidP="008A155E">
            <w:pPr>
              <w:spacing w:after="0" w:line="259" w:lineRule="auto"/>
              <w:ind w:left="0" w:right="47" w:firstLine="0"/>
              <w:jc w:val="center"/>
            </w:pPr>
            <w:r>
              <w:rPr>
                <w:sz w:val="18"/>
              </w:rPr>
              <w:t>N/A</w:t>
            </w:r>
          </w:p>
        </w:tc>
        <w:tc>
          <w:tcPr>
            <w:tcW w:w="1071" w:type="dxa"/>
            <w:tcBorders>
              <w:top w:val="single" w:sz="4" w:space="0" w:color="000000"/>
              <w:left w:val="single" w:sz="12" w:space="0" w:color="000000"/>
              <w:bottom w:val="single" w:sz="4" w:space="0" w:color="000000"/>
              <w:right w:val="single" w:sz="12" w:space="0" w:color="000000"/>
            </w:tcBorders>
          </w:tcPr>
          <w:p w14:paraId="05E7CFC2" w14:textId="128C63A1" w:rsidR="00B0429D" w:rsidRDefault="00B0429D" w:rsidP="008A155E">
            <w:pPr>
              <w:spacing w:after="0" w:line="259" w:lineRule="auto"/>
              <w:ind w:left="0" w:right="42" w:firstLine="0"/>
              <w:jc w:val="center"/>
            </w:pPr>
            <w:r>
              <w:rPr>
                <w:sz w:val="18"/>
              </w:rPr>
              <w:t>N/A</w:t>
            </w:r>
          </w:p>
        </w:tc>
        <w:tc>
          <w:tcPr>
            <w:tcW w:w="976" w:type="dxa"/>
            <w:tcBorders>
              <w:top w:val="single" w:sz="4" w:space="0" w:color="000000"/>
              <w:left w:val="single" w:sz="12" w:space="0" w:color="000000"/>
              <w:bottom w:val="single" w:sz="4" w:space="0" w:color="000000"/>
              <w:right w:val="single" w:sz="12" w:space="0" w:color="000000"/>
            </w:tcBorders>
          </w:tcPr>
          <w:p w14:paraId="2919E699" w14:textId="2ED6C7E5" w:rsidR="00B0429D" w:rsidRDefault="00B0429D" w:rsidP="008A155E">
            <w:pPr>
              <w:spacing w:after="0" w:line="259" w:lineRule="auto"/>
              <w:ind w:left="0" w:right="45" w:firstLine="0"/>
              <w:jc w:val="center"/>
            </w:pPr>
            <w:r>
              <w:rPr>
                <w:b/>
                <w:sz w:val="18"/>
              </w:rPr>
              <w:t>525.2</w:t>
            </w:r>
          </w:p>
        </w:tc>
        <w:tc>
          <w:tcPr>
            <w:tcW w:w="713" w:type="dxa"/>
            <w:tcBorders>
              <w:top w:val="single" w:sz="4" w:space="0" w:color="000000"/>
              <w:left w:val="single" w:sz="12" w:space="0" w:color="000000"/>
              <w:bottom w:val="single" w:sz="4" w:space="0" w:color="000000"/>
              <w:right w:val="single" w:sz="12" w:space="0" w:color="000000"/>
            </w:tcBorders>
          </w:tcPr>
          <w:p w14:paraId="61B039FF" w14:textId="00BF5CB5" w:rsidR="00B0429D" w:rsidRDefault="00B0429D" w:rsidP="008A155E">
            <w:pPr>
              <w:spacing w:after="0" w:line="259" w:lineRule="auto"/>
              <w:ind w:left="0" w:right="44" w:firstLine="0"/>
              <w:jc w:val="center"/>
            </w:pPr>
            <w:r>
              <w:rPr>
                <w:sz w:val="18"/>
              </w:rPr>
              <w:t>508.1</w:t>
            </w:r>
          </w:p>
        </w:tc>
        <w:tc>
          <w:tcPr>
            <w:tcW w:w="579" w:type="dxa"/>
            <w:tcBorders>
              <w:top w:val="single" w:sz="4" w:space="0" w:color="000000"/>
              <w:left w:val="single" w:sz="12" w:space="0" w:color="000000"/>
              <w:bottom w:val="single" w:sz="4" w:space="0" w:color="000000"/>
              <w:right w:val="single" w:sz="12" w:space="0" w:color="000000"/>
            </w:tcBorders>
          </w:tcPr>
          <w:p w14:paraId="40ADD13D" w14:textId="48544E4A" w:rsidR="00B0429D" w:rsidRDefault="00B0429D" w:rsidP="008A155E">
            <w:pPr>
              <w:spacing w:after="0" w:line="259" w:lineRule="auto"/>
              <w:ind w:left="0" w:right="46" w:firstLine="0"/>
              <w:jc w:val="center"/>
            </w:pPr>
            <w:r>
              <w:rPr>
                <w:sz w:val="18"/>
              </w:rPr>
              <w:t>505</w:t>
            </w:r>
          </w:p>
        </w:tc>
      </w:tr>
      <w:tr w:rsidR="00B0429D" w14:paraId="512CE9BC" w14:textId="77777777" w:rsidTr="00C23B62">
        <w:trPr>
          <w:trHeight w:val="272"/>
        </w:trPr>
        <w:tc>
          <w:tcPr>
            <w:tcW w:w="3386" w:type="dxa"/>
            <w:tcBorders>
              <w:top w:val="single" w:sz="4" w:space="0" w:color="000000"/>
              <w:left w:val="single" w:sz="12" w:space="0" w:color="000000"/>
              <w:bottom w:val="single" w:sz="4" w:space="0" w:color="000000"/>
              <w:right w:val="single" w:sz="12" w:space="0" w:color="000000"/>
            </w:tcBorders>
          </w:tcPr>
          <w:p w14:paraId="42449C7F" w14:textId="77777777" w:rsidR="00B0429D" w:rsidRDefault="00B0429D" w:rsidP="00B0429D">
            <w:pPr>
              <w:spacing w:after="0" w:line="259" w:lineRule="auto"/>
              <w:ind w:left="2" w:right="0" w:firstLine="0"/>
            </w:pPr>
            <w:proofErr w:type="spellStart"/>
            <w:r>
              <w:rPr>
                <w:sz w:val="18"/>
              </w:rPr>
              <w:t>Aroclor</w:t>
            </w:r>
            <w:proofErr w:type="spellEnd"/>
            <w:r>
              <w:rPr>
                <w:sz w:val="18"/>
              </w:rPr>
              <w:t xml:space="preserve"> 1254 </w:t>
            </w:r>
          </w:p>
        </w:tc>
        <w:tc>
          <w:tcPr>
            <w:tcW w:w="1172" w:type="dxa"/>
            <w:tcBorders>
              <w:top w:val="single" w:sz="4" w:space="0" w:color="000000"/>
              <w:left w:val="single" w:sz="12" w:space="0" w:color="000000"/>
              <w:bottom w:val="single" w:sz="4" w:space="0" w:color="000000"/>
              <w:right w:val="single" w:sz="12" w:space="0" w:color="000000"/>
            </w:tcBorders>
          </w:tcPr>
          <w:p w14:paraId="5D3496D1" w14:textId="654C521C" w:rsidR="00B0429D" w:rsidRDefault="00B0429D" w:rsidP="00996C44">
            <w:pPr>
              <w:spacing w:after="0" w:line="259" w:lineRule="auto"/>
              <w:ind w:left="0" w:right="44" w:firstLine="0"/>
              <w:jc w:val="center"/>
            </w:pPr>
            <w:r>
              <w:rPr>
                <w:sz w:val="18"/>
              </w:rPr>
              <w:t>11097-69-1</w:t>
            </w:r>
          </w:p>
        </w:tc>
        <w:tc>
          <w:tcPr>
            <w:tcW w:w="878" w:type="dxa"/>
            <w:tcBorders>
              <w:top w:val="single" w:sz="4" w:space="0" w:color="000000"/>
              <w:left w:val="single" w:sz="12" w:space="0" w:color="000000"/>
              <w:bottom w:val="single" w:sz="4" w:space="0" w:color="000000"/>
              <w:right w:val="single" w:sz="12" w:space="0" w:color="000000"/>
            </w:tcBorders>
          </w:tcPr>
          <w:p w14:paraId="458AB23B" w14:textId="0B7C54BA" w:rsidR="00B0429D" w:rsidRDefault="00B0429D" w:rsidP="00996C44">
            <w:pPr>
              <w:tabs>
                <w:tab w:val="center" w:pos="399"/>
              </w:tabs>
              <w:spacing w:after="0" w:line="259" w:lineRule="auto"/>
              <w:ind w:left="0" w:right="0" w:firstLine="0"/>
              <w:jc w:val="center"/>
            </w:pPr>
            <w:r>
              <w:rPr>
                <w:b/>
                <w:sz w:val="18"/>
              </w:rPr>
              <w:t>0.5</w:t>
            </w:r>
          </w:p>
        </w:tc>
        <w:tc>
          <w:tcPr>
            <w:tcW w:w="954" w:type="dxa"/>
            <w:tcBorders>
              <w:top w:val="single" w:sz="4" w:space="0" w:color="000000"/>
              <w:left w:val="single" w:sz="12" w:space="0" w:color="000000"/>
              <w:bottom w:val="single" w:sz="4" w:space="0" w:color="000000"/>
              <w:right w:val="single" w:sz="12" w:space="0" w:color="000000"/>
            </w:tcBorders>
          </w:tcPr>
          <w:p w14:paraId="74E46742" w14:textId="3BCB0D4E" w:rsidR="00B0429D" w:rsidRDefault="00B0429D" w:rsidP="008A155E">
            <w:pPr>
              <w:spacing w:after="0" w:line="259" w:lineRule="auto"/>
              <w:ind w:left="0" w:right="46" w:firstLine="0"/>
              <w:jc w:val="center"/>
            </w:pPr>
            <w:r>
              <w:rPr>
                <w:sz w:val="18"/>
              </w:rPr>
              <w:t>ug/L</w:t>
            </w:r>
          </w:p>
        </w:tc>
        <w:tc>
          <w:tcPr>
            <w:tcW w:w="801" w:type="dxa"/>
            <w:tcBorders>
              <w:top w:val="single" w:sz="4" w:space="0" w:color="000000"/>
              <w:left w:val="single" w:sz="12" w:space="0" w:color="000000"/>
              <w:bottom w:val="single" w:sz="4" w:space="0" w:color="000000"/>
              <w:right w:val="single" w:sz="12" w:space="0" w:color="000000"/>
            </w:tcBorders>
          </w:tcPr>
          <w:p w14:paraId="795A4968" w14:textId="77CA49D7" w:rsidR="00B0429D" w:rsidRDefault="00B0429D" w:rsidP="008A155E">
            <w:pPr>
              <w:spacing w:after="0" w:line="259" w:lineRule="auto"/>
              <w:ind w:left="0" w:right="47" w:firstLine="0"/>
              <w:jc w:val="center"/>
            </w:pPr>
            <w:r>
              <w:rPr>
                <w:sz w:val="18"/>
              </w:rPr>
              <w:t>N/A</w:t>
            </w:r>
          </w:p>
        </w:tc>
        <w:tc>
          <w:tcPr>
            <w:tcW w:w="1071" w:type="dxa"/>
            <w:tcBorders>
              <w:top w:val="single" w:sz="4" w:space="0" w:color="000000"/>
              <w:left w:val="single" w:sz="12" w:space="0" w:color="000000"/>
              <w:bottom w:val="single" w:sz="4" w:space="0" w:color="000000"/>
              <w:right w:val="single" w:sz="12" w:space="0" w:color="000000"/>
            </w:tcBorders>
          </w:tcPr>
          <w:p w14:paraId="17BF137E" w14:textId="267FBB83" w:rsidR="00B0429D" w:rsidRDefault="00B0429D" w:rsidP="008A155E">
            <w:pPr>
              <w:spacing w:after="0" w:line="259" w:lineRule="auto"/>
              <w:ind w:left="0" w:right="42" w:firstLine="0"/>
              <w:jc w:val="center"/>
            </w:pPr>
            <w:r>
              <w:rPr>
                <w:sz w:val="18"/>
              </w:rPr>
              <w:t>N/A</w:t>
            </w:r>
          </w:p>
        </w:tc>
        <w:tc>
          <w:tcPr>
            <w:tcW w:w="976" w:type="dxa"/>
            <w:tcBorders>
              <w:top w:val="single" w:sz="4" w:space="0" w:color="000000"/>
              <w:left w:val="single" w:sz="12" w:space="0" w:color="000000"/>
              <w:bottom w:val="single" w:sz="4" w:space="0" w:color="000000"/>
              <w:right w:val="single" w:sz="12" w:space="0" w:color="000000"/>
            </w:tcBorders>
          </w:tcPr>
          <w:p w14:paraId="185B943B" w14:textId="0D49548E" w:rsidR="00B0429D" w:rsidRDefault="00B0429D" w:rsidP="008A155E">
            <w:pPr>
              <w:spacing w:after="0" w:line="259" w:lineRule="auto"/>
              <w:ind w:left="0" w:right="45" w:firstLine="0"/>
              <w:jc w:val="center"/>
            </w:pPr>
            <w:r>
              <w:rPr>
                <w:b/>
                <w:sz w:val="18"/>
              </w:rPr>
              <w:t>525.2</w:t>
            </w:r>
          </w:p>
        </w:tc>
        <w:tc>
          <w:tcPr>
            <w:tcW w:w="713" w:type="dxa"/>
            <w:tcBorders>
              <w:top w:val="single" w:sz="4" w:space="0" w:color="000000"/>
              <w:left w:val="single" w:sz="12" w:space="0" w:color="000000"/>
              <w:bottom w:val="single" w:sz="4" w:space="0" w:color="000000"/>
              <w:right w:val="single" w:sz="12" w:space="0" w:color="000000"/>
            </w:tcBorders>
          </w:tcPr>
          <w:p w14:paraId="0C524B8B" w14:textId="513D7565" w:rsidR="00B0429D" w:rsidRDefault="00B0429D" w:rsidP="00996C44">
            <w:pPr>
              <w:spacing w:after="0" w:line="259" w:lineRule="auto"/>
              <w:ind w:left="0" w:right="44" w:firstLine="0"/>
              <w:jc w:val="center"/>
            </w:pPr>
            <w:r>
              <w:rPr>
                <w:sz w:val="18"/>
              </w:rPr>
              <w:t>508.1</w:t>
            </w:r>
          </w:p>
        </w:tc>
        <w:tc>
          <w:tcPr>
            <w:tcW w:w="579" w:type="dxa"/>
            <w:tcBorders>
              <w:top w:val="single" w:sz="4" w:space="0" w:color="000000"/>
              <w:left w:val="single" w:sz="12" w:space="0" w:color="000000"/>
              <w:bottom w:val="single" w:sz="4" w:space="0" w:color="000000"/>
              <w:right w:val="single" w:sz="12" w:space="0" w:color="000000"/>
            </w:tcBorders>
          </w:tcPr>
          <w:p w14:paraId="4C28B823" w14:textId="3DCD8B2B" w:rsidR="00B0429D" w:rsidRDefault="00B0429D" w:rsidP="008A155E">
            <w:pPr>
              <w:spacing w:after="0" w:line="259" w:lineRule="auto"/>
              <w:ind w:left="0" w:right="46" w:firstLine="0"/>
              <w:jc w:val="center"/>
            </w:pPr>
            <w:r>
              <w:rPr>
                <w:sz w:val="18"/>
              </w:rPr>
              <w:t>505</w:t>
            </w:r>
          </w:p>
        </w:tc>
      </w:tr>
      <w:tr w:rsidR="00B0429D" w14:paraId="25BE856A" w14:textId="77777777" w:rsidTr="00C23B62">
        <w:trPr>
          <w:trHeight w:val="326"/>
        </w:trPr>
        <w:tc>
          <w:tcPr>
            <w:tcW w:w="3386" w:type="dxa"/>
            <w:tcBorders>
              <w:top w:val="single" w:sz="4" w:space="0" w:color="000000"/>
              <w:left w:val="single" w:sz="12" w:space="0" w:color="000000"/>
              <w:bottom w:val="single" w:sz="12" w:space="0" w:color="000000"/>
              <w:right w:val="single" w:sz="12" w:space="0" w:color="000000"/>
            </w:tcBorders>
          </w:tcPr>
          <w:p w14:paraId="430FB507" w14:textId="77777777" w:rsidR="00B0429D" w:rsidRDefault="00B0429D" w:rsidP="00B0429D">
            <w:pPr>
              <w:spacing w:after="0" w:line="259" w:lineRule="auto"/>
              <w:ind w:left="2" w:right="0" w:firstLine="0"/>
            </w:pPr>
            <w:proofErr w:type="spellStart"/>
            <w:r>
              <w:rPr>
                <w:sz w:val="18"/>
              </w:rPr>
              <w:t>Aroclor</w:t>
            </w:r>
            <w:proofErr w:type="spellEnd"/>
            <w:r>
              <w:rPr>
                <w:sz w:val="18"/>
              </w:rPr>
              <w:t xml:space="preserve"> 1260 </w:t>
            </w:r>
          </w:p>
        </w:tc>
        <w:tc>
          <w:tcPr>
            <w:tcW w:w="1172" w:type="dxa"/>
            <w:tcBorders>
              <w:top w:val="single" w:sz="4" w:space="0" w:color="000000"/>
              <w:left w:val="single" w:sz="12" w:space="0" w:color="000000"/>
              <w:bottom w:val="single" w:sz="12" w:space="0" w:color="000000"/>
              <w:right w:val="single" w:sz="12" w:space="0" w:color="000000"/>
            </w:tcBorders>
          </w:tcPr>
          <w:p w14:paraId="4CA09E51" w14:textId="1160C48B" w:rsidR="00B0429D" w:rsidRDefault="00B0429D" w:rsidP="00996C44">
            <w:pPr>
              <w:spacing w:after="0" w:line="259" w:lineRule="auto"/>
              <w:ind w:left="0" w:right="44" w:firstLine="0"/>
              <w:jc w:val="center"/>
            </w:pPr>
            <w:r>
              <w:rPr>
                <w:sz w:val="18"/>
              </w:rPr>
              <w:t>11096-82-5</w:t>
            </w:r>
          </w:p>
        </w:tc>
        <w:tc>
          <w:tcPr>
            <w:tcW w:w="878" w:type="dxa"/>
            <w:tcBorders>
              <w:top w:val="single" w:sz="4" w:space="0" w:color="000000"/>
              <w:left w:val="single" w:sz="12" w:space="0" w:color="000000"/>
              <w:bottom w:val="single" w:sz="12" w:space="0" w:color="000000"/>
              <w:right w:val="single" w:sz="12" w:space="0" w:color="000000"/>
            </w:tcBorders>
          </w:tcPr>
          <w:p w14:paraId="48E65BEC" w14:textId="449BF429" w:rsidR="00B0429D" w:rsidRDefault="00B0429D" w:rsidP="00996C44">
            <w:pPr>
              <w:tabs>
                <w:tab w:val="center" w:pos="399"/>
              </w:tabs>
              <w:spacing w:after="0" w:line="259" w:lineRule="auto"/>
              <w:ind w:left="0" w:right="0" w:firstLine="0"/>
              <w:jc w:val="center"/>
            </w:pPr>
            <w:r>
              <w:rPr>
                <w:b/>
                <w:sz w:val="18"/>
              </w:rPr>
              <w:t>0.5</w:t>
            </w:r>
          </w:p>
        </w:tc>
        <w:tc>
          <w:tcPr>
            <w:tcW w:w="954" w:type="dxa"/>
            <w:tcBorders>
              <w:top w:val="single" w:sz="4" w:space="0" w:color="000000"/>
              <w:left w:val="single" w:sz="12" w:space="0" w:color="000000"/>
              <w:bottom w:val="single" w:sz="12" w:space="0" w:color="000000"/>
              <w:right w:val="single" w:sz="12" w:space="0" w:color="000000"/>
            </w:tcBorders>
          </w:tcPr>
          <w:p w14:paraId="4861460C" w14:textId="2DF29FE3" w:rsidR="00B0429D" w:rsidRDefault="00B0429D" w:rsidP="008A155E">
            <w:pPr>
              <w:spacing w:after="0" w:line="259" w:lineRule="auto"/>
              <w:ind w:left="0" w:right="46" w:firstLine="0"/>
              <w:jc w:val="center"/>
            </w:pPr>
            <w:r>
              <w:rPr>
                <w:sz w:val="18"/>
              </w:rPr>
              <w:t>ug/L</w:t>
            </w:r>
          </w:p>
        </w:tc>
        <w:tc>
          <w:tcPr>
            <w:tcW w:w="801" w:type="dxa"/>
            <w:tcBorders>
              <w:top w:val="single" w:sz="4" w:space="0" w:color="000000"/>
              <w:left w:val="single" w:sz="12" w:space="0" w:color="000000"/>
              <w:bottom w:val="single" w:sz="12" w:space="0" w:color="000000"/>
              <w:right w:val="single" w:sz="12" w:space="0" w:color="000000"/>
            </w:tcBorders>
          </w:tcPr>
          <w:p w14:paraId="56C927FA" w14:textId="4FEC9CE2" w:rsidR="00B0429D" w:rsidRDefault="00B0429D" w:rsidP="008A155E">
            <w:pPr>
              <w:spacing w:after="0" w:line="259" w:lineRule="auto"/>
              <w:ind w:left="0" w:right="47" w:firstLine="0"/>
              <w:jc w:val="center"/>
            </w:pPr>
            <w:r>
              <w:rPr>
                <w:sz w:val="18"/>
              </w:rPr>
              <w:t>N/A</w:t>
            </w:r>
          </w:p>
        </w:tc>
        <w:tc>
          <w:tcPr>
            <w:tcW w:w="1071" w:type="dxa"/>
            <w:tcBorders>
              <w:top w:val="single" w:sz="4" w:space="0" w:color="000000"/>
              <w:left w:val="single" w:sz="12" w:space="0" w:color="000000"/>
              <w:bottom w:val="single" w:sz="12" w:space="0" w:color="000000"/>
              <w:right w:val="single" w:sz="12" w:space="0" w:color="000000"/>
            </w:tcBorders>
          </w:tcPr>
          <w:p w14:paraId="7E0F980E" w14:textId="434B66A3" w:rsidR="00B0429D" w:rsidRDefault="00B0429D" w:rsidP="008A155E">
            <w:pPr>
              <w:spacing w:after="0" w:line="259" w:lineRule="auto"/>
              <w:ind w:left="0" w:right="42" w:firstLine="0"/>
              <w:jc w:val="center"/>
            </w:pPr>
            <w:r>
              <w:rPr>
                <w:sz w:val="18"/>
              </w:rPr>
              <w:t>N/A</w:t>
            </w:r>
          </w:p>
        </w:tc>
        <w:tc>
          <w:tcPr>
            <w:tcW w:w="976" w:type="dxa"/>
            <w:tcBorders>
              <w:top w:val="single" w:sz="4" w:space="0" w:color="000000"/>
              <w:left w:val="single" w:sz="12" w:space="0" w:color="000000"/>
              <w:bottom w:val="single" w:sz="12" w:space="0" w:color="000000"/>
              <w:right w:val="single" w:sz="12" w:space="0" w:color="000000"/>
            </w:tcBorders>
          </w:tcPr>
          <w:p w14:paraId="3749430D" w14:textId="3EAD6191" w:rsidR="00B0429D" w:rsidRDefault="00B0429D" w:rsidP="008A155E">
            <w:pPr>
              <w:spacing w:after="0" w:line="259" w:lineRule="auto"/>
              <w:ind w:left="0" w:right="45" w:firstLine="0"/>
              <w:jc w:val="center"/>
            </w:pPr>
            <w:r>
              <w:rPr>
                <w:b/>
                <w:sz w:val="18"/>
              </w:rPr>
              <w:t>525.2</w:t>
            </w:r>
          </w:p>
        </w:tc>
        <w:tc>
          <w:tcPr>
            <w:tcW w:w="713" w:type="dxa"/>
            <w:tcBorders>
              <w:top w:val="single" w:sz="4" w:space="0" w:color="000000"/>
              <w:left w:val="single" w:sz="12" w:space="0" w:color="000000"/>
              <w:bottom w:val="single" w:sz="12" w:space="0" w:color="000000"/>
              <w:right w:val="single" w:sz="12" w:space="0" w:color="000000"/>
            </w:tcBorders>
          </w:tcPr>
          <w:p w14:paraId="109E2E34" w14:textId="1C84D62A" w:rsidR="00B0429D" w:rsidRDefault="00B0429D" w:rsidP="00996C44">
            <w:pPr>
              <w:spacing w:after="0" w:line="259" w:lineRule="auto"/>
              <w:ind w:left="0" w:right="44" w:firstLine="0"/>
              <w:jc w:val="center"/>
            </w:pPr>
            <w:r>
              <w:rPr>
                <w:sz w:val="18"/>
              </w:rPr>
              <w:t>508.1</w:t>
            </w:r>
          </w:p>
        </w:tc>
        <w:tc>
          <w:tcPr>
            <w:tcW w:w="579" w:type="dxa"/>
            <w:tcBorders>
              <w:top w:val="single" w:sz="4" w:space="0" w:color="000000"/>
              <w:left w:val="single" w:sz="12" w:space="0" w:color="000000"/>
              <w:bottom w:val="single" w:sz="12" w:space="0" w:color="000000"/>
              <w:right w:val="single" w:sz="12" w:space="0" w:color="000000"/>
            </w:tcBorders>
          </w:tcPr>
          <w:p w14:paraId="1F5F4A9F" w14:textId="2F18BE9C" w:rsidR="00B0429D" w:rsidRDefault="00B0429D" w:rsidP="008A155E">
            <w:pPr>
              <w:spacing w:after="0" w:line="259" w:lineRule="auto"/>
              <w:ind w:left="0" w:right="46" w:firstLine="0"/>
              <w:jc w:val="center"/>
            </w:pPr>
            <w:r>
              <w:rPr>
                <w:sz w:val="18"/>
              </w:rPr>
              <w:t>505</w:t>
            </w:r>
          </w:p>
        </w:tc>
      </w:tr>
    </w:tbl>
    <w:p w14:paraId="0245EA6E" w14:textId="77777777" w:rsidR="008E221E" w:rsidRPr="009102EE" w:rsidRDefault="008E221E" w:rsidP="0079327F">
      <w:pPr>
        <w:rPr>
          <w:bCs/>
        </w:rPr>
      </w:pPr>
    </w:p>
    <w:p w14:paraId="7BC9B862" w14:textId="126349F9" w:rsidR="00FE49A2" w:rsidRPr="0003734F" w:rsidRDefault="00FE49A2" w:rsidP="00FE49A2">
      <w:pPr>
        <w:jc w:val="center"/>
        <w:rPr>
          <w:b/>
        </w:rPr>
      </w:pPr>
      <w:r w:rsidRPr="0003734F">
        <w:rPr>
          <w:b/>
        </w:rPr>
        <w:lastRenderedPageBreak/>
        <w:t>D</w:t>
      </w:r>
      <w:r w:rsidR="00192CEE" w:rsidRPr="0003734F">
        <w:rPr>
          <w:b/>
        </w:rPr>
        <w:t>rinking</w:t>
      </w:r>
      <w:r w:rsidR="001C3C42" w:rsidRPr="0003734F">
        <w:rPr>
          <w:b/>
        </w:rPr>
        <w:t xml:space="preserve"> W</w:t>
      </w:r>
      <w:r w:rsidR="00192CEE" w:rsidRPr="0003734F">
        <w:rPr>
          <w:b/>
        </w:rPr>
        <w:t>ater</w:t>
      </w:r>
      <w:r w:rsidR="001C3C42" w:rsidRPr="0003734F">
        <w:rPr>
          <w:b/>
        </w:rPr>
        <w:t xml:space="preserve"> Special Analytical Services (SAS) </w:t>
      </w:r>
      <w:r w:rsidR="00CD0A0C" w:rsidRPr="0003734F">
        <w:rPr>
          <w:b/>
        </w:rPr>
        <w:t xml:space="preserve">– Volatile </w:t>
      </w:r>
      <w:r w:rsidR="001C3C42" w:rsidRPr="0003734F">
        <w:rPr>
          <w:b/>
        </w:rPr>
        <w:t>O</w:t>
      </w:r>
      <w:r w:rsidR="00CD0A0C" w:rsidRPr="0003734F">
        <w:rPr>
          <w:b/>
        </w:rPr>
        <w:t>rganic</w:t>
      </w:r>
      <w:r w:rsidR="001C3C42" w:rsidRPr="0003734F">
        <w:rPr>
          <w:b/>
        </w:rPr>
        <w:t xml:space="preserve"> A</w:t>
      </w:r>
      <w:r w:rsidR="00CD0A0C" w:rsidRPr="0003734F">
        <w:rPr>
          <w:b/>
        </w:rPr>
        <w:t>nalysis</w:t>
      </w:r>
    </w:p>
    <w:p w14:paraId="3676D553" w14:textId="5CAD6473" w:rsidR="00B56D50" w:rsidRPr="0003734F" w:rsidRDefault="00B56D50" w:rsidP="00FE49A2">
      <w:pPr>
        <w:pStyle w:val="Heading3"/>
        <w:ind w:left="0" w:right="468" w:firstLine="0"/>
        <w:jc w:val="left"/>
        <w:rPr>
          <w:b w:val="0"/>
          <w:bCs/>
        </w:rPr>
      </w:pPr>
    </w:p>
    <w:tbl>
      <w:tblPr>
        <w:tblStyle w:val="TableGrid1"/>
        <w:tblW w:w="10530" w:type="dxa"/>
        <w:tblInd w:w="-375" w:type="dxa"/>
        <w:tblCellMar>
          <w:top w:w="24" w:type="dxa"/>
          <w:left w:w="72" w:type="dxa"/>
          <w:right w:w="27" w:type="dxa"/>
        </w:tblCellMar>
        <w:tblLook w:val="04A0" w:firstRow="1" w:lastRow="0" w:firstColumn="1" w:lastColumn="0" w:noHBand="0" w:noVBand="1"/>
      </w:tblPr>
      <w:tblGrid>
        <w:gridCol w:w="3389"/>
        <w:gridCol w:w="1173"/>
        <w:gridCol w:w="880"/>
        <w:gridCol w:w="878"/>
        <w:gridCol w:w="880"/>
        <w:gridCol w:w="1074"/>
        <w:gridCol w:w="831"/>
        <w:gridCol w:w="705"/>
        <w:gridCol w:w="720"/>
      </w:tblGrid>
      <w:tr w:rsidR="00A361C4" w14:paraId="47BABACA" w14:textId="77777777" w:rsidTr="00C23B62">
        <w:trPr>
          <w:trHeight w:val="198"/>
        </w:trPr>
        <w:tc>
          <w:tcPr>
            <w:tcW w:w="8274" w:type="dxa"/>
            <w:gridSpan w:val="6"/>
            <w:tcBorders>
              <w:top w:val="single" w:sz="12" w:space="0" w:color="000000"/>
              <w:left w:val="single" w:sz="12" w:space="0" w:color="000000"/>
              <w:bottom w:val="single" w:sz="12" w:space="0" w:color="000000"/>
              <w:right w:val="nil"/>
            </w:tcBorders>
            <w:vAlign w:val="center"/>
          </w:tcPr>
          <w:p w14:paraId="07E2909F" w14:textId="65A7FBDD" w:rsidR="00B56D50" w:rsidRDefault="001C3C42" w:rsidP="00326334">
            <w:pPr>
              <w:spacing w:after="0" w:line="259" w:lineRule="auto"/>
              <w:ind w:left="0" w:right="0" w:firstLine="0"/>
            </w:pPr>
            <w:r>
              <w:rPr>
                <w:b/>
                <w:sz w:val="18"/>
              </w:rPr>
              <w:t>Drinking Water</w:t>
            </w:r>
            <w:r w:rsidR="00C50B8A">
              <w:rPr>
                <w:b/>
                <w:sz w:val="18"/>
              </w:rPr>
              <w:t xml:space="preserve"> SAS</w:t>
            </w:r>
            <w:r>
              <w:rPr>
                <w:b/>
                <w:sz w:val="18"/>
              </w:rPr>
              <w:t xml:space="preserve"> Group A</w:t>
            </w:r>
            <w:proofErr w:type="gramStart"/>
            <w:r>
              <w:rPr>
                <w:b/>
                <w:sz w:val="18"/>
              </w:rPr>
              <w:t>:</w:t>
            </w:r>
            <w:r>
              <w:rPr>
                <w:sz w:val="18"/>
              </w:rPr>
              <w:t xml:space="preserve">  </w:t>
            </w:r>
            <w:r>
              <w:rPr>
                <w:b/>
                <w:sz w:val="18"/>
              </w:rPr>
              <w:t>Additional</w:t>
            </w:r>
            <w:proofErr w:type="gramEnd"/>
            <w:r>
              <w:rPr>
                <w:b/>
                <w:sz w:val="18"/>
              </w:rPr>
              <w:t xml:space="preserve"> Volatile Organic Compounds (not on 524.2 list)</w:t>
            </w:r>
          </w:p>
        </w:tc>
        <w:tc>
          <w:tcPr>
            <w:tcW w:w="2256" w:type="dxa"/>
            <w:gridSpan w:val="3"/>
            <w:tcBorders>
              <w:top w:val="single" w:sz="12" w:space="0" w:color="000000"/>
              <w:left w:val="nil"/>
              <w:bottom w:val="single" w:sz="12" w:space="0" w:color="000000"/>
              <w:right w:val="single" w:sz="12" w:space="0" w:color="000000"/>
            </w:tcBorders>
            <w:vAlign w:val="center"/>
          </w:tcPr>
          <w:p w14:paraId="19D2D178" w14:textId="77777777" w:rsidR="00B56D50" w:rsidRDefault="00B56D50" w:rsidP="001D1345">
            <w:pPr>
              <w:spacing w:after="160" w:line="259" w:lineRule="auto"/>
              <w:ind w:left="0" w:right="0" w:firstLine="0"/>
              <w:jc w:val="center"/>
            </w:pPr>
          </w:p>
        </w:tc>
      </w:tr>
      <w:tr w:rsidR="009E622E" w14:paraId="5870A554" w14:textId="77777777" w:rsidTr="00C23B62">
        <w:trPr>
          <w:trHeight w:val="269"/>
        </w:trPr>
        <w:tc>
          <w:tcPr>
            <w:tcW w:w="3389" w:type="dxa"/>
            <w:vMerge w:val="restart"/>
            <w:tcBorders>
              <w:top w:val="single" w:sz="12" w:space="0" w:color="000000"/>
              <w:left w:val="single" w:sz="12" w:space="0" w:color="000000"/>
              <w:bottom w:val="single" w:sz="12" w:space="0" w:color="000000"/>
              <w:right w:val="single" w:sz="12" w:space="0" w:color="000000"/>
            </w:tcBorders>
            <w:vAlign w:val="center"/>
          </w:tcPr>
          <w:p w14:paraId="619CBB30" w14:textId="7F78EA5F" w:rsidR="00B56D50" w:rsidRDefault="001C3C42" w:rsidP="00AC7558">
            <w:pPr>
              <w:spacing w:after="0" w:line="259" w:lineRule="auto"/>
              <w:ind w:left="0" w:right="49" w:firstLine="0"/>
              <w:jc w:val="center"/>
            </w:pPr>
            <w:r>
              <w:rPr>
                <w:b/>
                <w:sz w:val="18"/>
              </w:rPr>
              <w:t>Analyte</w:t>
            </w:r>
          </w:p>
        </w:tc>
        <w:tc>
          <w:tcPr>
            <w:tcW w:w="1173" w:type="dxa"/>
            <w:vMerge w:val="restart"/>
            <w:tcBorders>
              <w:top w:val="single" w:sz="12" w:space="0" w:color="000000"/>
              <w:left w:val="single" w:sz="12" w:space="0" w:color="000000"/>
              <w:bottom w:val="single" w:sz="12" w:space="0" w:color="000000"/>
              <w:right w:val="single" w:sz="12" w:space="0" w:color="000000"/>
            </w:tcBorders>
            <w:vAlign w:val="center"/>
          </w:tcPr>
          <w:p w14:paraId="54C5F82D" w14:textId="5CC42D1B" w:rsidR="00B56D50" w:rsidRDefault="001C3C42" w:rsidP="00AC7558">
            <w:pPr>
              <w:spacing w:after="0" w:line="259" w:lineRule="auto"/>
              <w:ind w:left="0" w:right="0" w:firstLine="0"/>
              <w:jc w:val="center"/>
            </w:pPr>
            <w:r>
              <w:rPr>
                <w:b/>
                <w:sz w:val="18"/>
              </w:rPr>
              <w:t>CAS Number</w:t>
            </w:r>
          </w:p>
        </w:tc>
        <w:tc>
          <w:tcPr>
            <w:tcW w:w="1758" w:type="dxa"/>
            <w:gridSpan w:val="2"/>
            <w:tcBorders>
              <w:top w:val="single" w:sz="12" w:space="0" w:color="000000"/>
              <w:left w:val="single" w:sz="12" w:space="0" w:color="000000"/>
              <w:bottom w:val="single" w:sz="12" w:space="0" w:color="000000"/>
              <w:right w:val="single" w:sz="12" w:space="0" w:color="000000"/>
            </w:tcBorders>
            <w:vAlign w:val="center"/>
          </w:tcPr>
          <w:p w14:paraId="49CECB16" w14:textId="6D03428B" w:rsidR="00B56D50" w:rsidRDefault="001C3C42" w:rsidP="00AC7558">
            <w:pPr>
              <w:spacing w:after="0" w:line="259" w:lineRule="auto"/>
              <w:ind w:left="0" w:right="47" w:firstLine="0"/>
              <w:jc w:val="center"/>
            </w:pPr>
            <w:r>
              <w:rPr>
                <w:b/>
                <w:sz w:val="18"/>
              </w:rPr>
              <w:t>Aqueous</w:t>
            </w:r>
          </w:p>
        </w:tc>
        <w:tc>
          <w:tcPr>
            <w:tcW w:w="1954" w:type="dxa"/>
            <w:gridSpan w:val="2"/>
            <w:tcBorders>
              <w:top w:val="single" w:sz="12" w:space="0" w:color="000000"/>
              <w:left w:val="single" w:sz="12" w:space="0" w:color="000000"/>
              <w:bottom w:val="single" w:sz="12" w:space="0" w:color="000000"/>
              <w:right w:val="single" w:sz="12" w:space="0" w:color="000000"/>
            </w:tcBorders>
            <w:vAlign w:val="center"/>
          </w:tcPr>
          <w:p w14:paraId="1D51E4AF" w14:textId="34D7445C" w:rsidR="00B56D50" w:rsidRDefault="001C6A1D" w:rsidP="00AC7558">
            <w:pPr>
              <w:spacing w:after="0" w:line="259" w:lineRule="auto"/>
              <w:ind w:left="0" w:right="0" w:firstLine="0"/>
              <w:jc w:val="center"/>
            </w:pPr>
            <w:r>
              <w:rPr>
                <w:b/>
                <w:sz w:val="18"/>
              </w:rPr>
              <w:t>Soil/Sediment</w:t>
            </w:r>
          </w:p>
        </w:tc>
        <w:tc>
          <w:tcPr>
            <w:tcW w:w="2256" w:type="dxa"/>
            <w:gridSpan w:val="3"/>
            <w:vMerge w:val="restart"/>
            <w:tcBorders>
              <w:top w:val="single" w:sz="12" w:space="0" w:color="000000"/>
              <w:left w:val="single" w:sz="12" w:space="0" w:color="000000"/>
              <w:bottom w:val="single" w:sz="12" w:space="0" w:color="000000"/>
              <w:right w:val="single" w:sz="12" w:space="0" w:color="000000"/>
            </w:tcBorders>
            <w:vAlign w:val="center"/>
          </w:tcPr>
          <w:p w14:paraId="69BED14F" w14:textId="548F860D" w:rsidR="00B56D50" w:rsidRDefault="001C3C42" w:rsidP="00A361C4">
            <w:pPr>
              <w:spacing w:after="0" w:line="259" w:lineRule="auto"/>
              <w:ind w:left="0" w:right="50" w:firstLine="0"/>
              <w:jc w:val="center"/>
            </w:pPr>
            <w:r>
              <w:rPr>
                <w:b/>
                <w:sz w:val="18"/>
              </w:rPr>
              <w:t>Acceptable Methods</w:t>
            </w:r>
          </w:p>
        </w:tc>
      </w:tr>
      <w:tr w:rsidR="00C84A5D" w14:paraId="4188BD77" w14:textId="77777777" w:rsidTr="00C23B62">
        <w:trPr>
          <w:trHeight w:val="271"/>
        </w:trPr>
        <w:tc>
          <w:tcPr>
            <w:tcW w:w="3389" w:type="dxa"/>
            <w:vMerge/>
            <w:tcBorders>
              <w:top w:val="nil"/>
              <w:left w:val="single" w:sz="12" w:space="0" w:color="000000"/>
              <w:bottom w:val="single" w:sz="12" w:space="0" w:color="000000"/>
              <w:right w:val="single" w:sz="12" w:space="0" w:color="000000"/>
            </w:tcBorders>
            <w:vAlign w:val="center"/>
          </w:tcPr>
          <w:p w14:paraId="74837B5A" w14:textId="77777777" w:rsidR="00B56D50" w:rsidRDefault="00B56D50" w:rsidP="00017AB4">
            <w:pPr>
              <w:spacing w:after="160" w:line="259" w:lineRule="auto"/>
              <w:ind w:left="0" w:right="0" w:firstLine="0"/>
              <w:jc w:val="center"/>
            </w:pPr>
          </w:p>
        </w:tc>
        <w:tc>
          <w:tcPr>
            <w:tcW w:w="0" w:type="auto"/>
            <w:vMerge/>
            <w:tcBorders>
              <w:top w:val="nil"/>
              <w:left w:val="single" w:sz="12" w:space="0" w:color="000000"/>
              <w:bottom w:val="single" w:sz="12" w:space="0" w:color="000000"/>
              <w:right w:val="single" w:sz="12" w:space="0" w:color="000000"/>
            </w:tcBorders>
            <w:vAlign w:val="center"/>
          </w:tcPr>
          <w:p w14:paraId="732024DA" w14:textId="77777777" w:rsidR="00B56D50" w:rsidRDefault="00B56D50" w:rsidP="00017AB4">
            <w:pPr>
              <w:spacing w:after="160" w:line="259" w:lineRule="auto"/>
              <w:ind w:left="0" w:right="0" w:firstLine="0"/>
              <w:jc w:val="center"/>
            </w:pPr>
          </w:p>
        </w:tc>
        <w:tc>
          <w:tcPr>
            <w:tcW w:w="880" w:type="dxa"/>
            <w:tcBorders>
              <w:top w:val="single" w:sz="12" w:space="0" w:color="000000"/>
              <w:left w:val="single" w:sz="12" w:space="0" w:color="000000"/>
              <w:bottom w:val="single" w:sz="12" w:space="0" w:color="000000"/>
              <w:right w:val="single" w:sz="12" w:space="0" w:color="000000"/>
            </w:tcBorders>
            <w:vAlign w:val="center"/>
          </w:tcPr>
          <w:p w14:paraId="3332B476" w14:textId="2460DF40" w:rsidR="00B56D50" w:rsidRDefault="001C3C42" w:rsidP="00AC7558">
            <w:pPr>
              <w:spacing w:after="0" w:line="259" w:lineRule="auto"/>
              <w:ind w:left="0" w:right="50" w:firstLine="0"/>
              <w:jc w:val="center"/>
            </w:pPr>
            <w:r>
              <w:rPr>
                <w:b/>
                <w:sz w:val="18"/>
              </w:rPr>
              <w:t>RL</w:t>
            </w:r>
            <w:r w:rsidR="00956387">
              <w:rPr>
                <w:b/>
                <w:sz w:val="18"/>
              </w:rPr>
              <w:t xml:space="preserve"> </w:t>
            </w:r>
            <w:r w:rsidR="00956387" w:rsidRPr="00956387">
              <w:rPr>
                <w:b/>
                <w:sz w:val="18"/>
                <w:vertAlign w:val="superscript"/>
              </w:rPr>
              <w:t>39</w:t>
            </w:r>
          </w:p>
        </w:tc>
        <w:tc>
          <w:tcPr>
            <w:tcW w:w="878" w:type="dxa"/>
            <w:tcBorders>
              <w:top w:val="single" w:sz="12" w:space="0" w:color="000000"/>
              <w:left w:val="single" w:sz="12" w:space="0" w:color="000000"/>
              <w:bottom w:val="single" w:sz="12" w:space="0" w:color="000000"/>
              <w:right w:val="single" w:sz="12" w:space="0" w:color="000000"/>
            </w:tcBorders>
            <w:vAlign w:val="center"/>
          </w:tcPr>
          <w:p w14:paraId="3B41D0AF" w14:textId="5B27D130" w:rsidR="00B56D50" w:rsidRDefault="001C3C42" w:rsidP="00AC7558">
            <w:pPr>
              <w:spacing w:after="0" w:line="259" w:lineRule="auto"/>
              <w:ind w:left="0" w:right="55" w:firstLine="0"/>
              <w:jc w:val="center"/>
            </w:pPr>
            <w:r>
              <w:rPr>
                <w:b/>
                <w:sz w:val="18"/>
              </w:rPr>
              <w:t>units</w:t>
            </w:r>
          </w:p>
        </w:tc>
        <w:tc>
          <w:tcPr>
            <w:tcW w:w="880" w:type="dxa"/>
            <w:tcBorders>
              <w:top w:val="single" w:sz="12" w:space="0" w:color="000000"/>
              <w:left w:val="single" w:sz="12" w:space="0" w:color="000000"/>
              <w:bottom w:val="single" w:sz="12" w:space="0" w:color="000000"/>
              <w:right w:val="single" w:sz="12" w:space="0" w:color="000000"/>
            </w:tcBorders>
            <w:vAlign w:val="center"/>
          </w:tcPr>
          <w:p w14:paraId="66EF9DCB" w14:textId="2191143A" w:rsidR="00B56D50" w:rsidRDefault="001C3C42" w:rsidP="00AC7558">
            <w:pPr>
              <w:spacing w:after="0" w:line="259" w:lineRule="auto"/>
              <w:ind w:left="0" w:right="50" w:firstLine="0"/>
              <w:jc w:val="center"/>
            </w:pPr>
            <w:r>
              <w:rPr>
                <w:b/>
                <w:sz w:val="18"/>
              </w:rPr>
              <w:t>RL</w:t>
            </w:r>
          </w:p>
        </w:tc>
        <w:tc>
          <w:tcPr>
            <w:tcW w:w="1074" w:type="dxa"/>
            <w:tcBorders>
              <w:top w:val="single" w:sz="12" w:space="0" w:color="000000"/>
              <w:left w:val="single" w:sz="12" w:space="0" w:color="000000"/>
              <w:bottom w:val="single" w:sz="12" w:space="0" w:color="000000"/>
              <w:right w:val="single" w:sz="12" w:space="0" w:color="000000"/>
            </w:tcBorders>
            <w:vAlign w:val="center"/>
          </w:tcPr>
          <w:p w14:paraId="118554E2" w14:textId="55C1BD3A" w:rsidR="00B56D50" w:rsidRDefault="001C3C42" w:rsidP="00AC7558">
            <w:pPr>
              <w:spacing w:after="0" w:line="259" w:lineRule="auto"/>
              <w:ind w:left="0" w:right="52" w:firstLine="0"/>
              <w:jc w:val="center"/>
            </w:pPr>
            <w:r>
              <w:rPr>
                <w:b/>
                <w:sz w:val="18"/>
              </w:rPr>
              <w:t>units</w:t>
            </w:r>
          </w:p>
        </w:tc>
        <w:tc>
          <w:tcPr>
            <w:tcW w:w="2256" w:type="dxa"/>
            <w:gridSpan w:val="3"/>
            <w:vMerge/>
            <w:tcBorders>
              <w:top w:val="nil"/>
              <w:left w:val="single" w:sz="12" w:space="0" w:color="000000"/>
              <w:bottom w:val="single" w:sz="12" w:space="0" w:color="000000"/>
              <w:right w:val="single" w:sz="12" w:space="0" w:color="000000"/>
            </w:tcBorders>
            <w:vAlign w:val="center"/>
          </w:tcPr>
          <w:p w14:paraId="4316174D" w14:textId="77777777" w:rsidR="00B56D50" w:rsidRDefault="00B56D50" w:rsidP="00A361C4">
            <w:pPr>
              <w:spacing w:after="160" w:line="259" w:lineRule="auto"/>
              <w:ind w:left="0" w:right="0" w:firstLine="0"/>
              <w:jc w:val="center"/>
            </w:pPr>
          </w:p>
        </w:tc>
      </w:tr>
      <w:tr w:rsidR="009E622E" w14:paraId="4827EB16" w14:textId="77777777" w:rsidTr="00C23B62">
        <w:trPr>
          <w:trHeight w:val="259"/>
        </w:trPr>
        <w:tc>
          <w:tcPr>
            <w:tcW w:w="3389" w:type="dxa"/>
            <w:tcBorders>
              <w:top w:val="single" w:sz="12" w:space="0" w:color="000000"/>
              <w:left w:val="single" w:sz="12" w:space="0" w:color="000000"/>
              <w:bottom w:val="single" w:sz="4" w:space="0" w:color="000000"/>
              <w:right w:val="single" w:sz="12" w:space="0" w:color="000000"/>
            </w:tcBorders>
            <w:vAlign w:val="center"/>
          </w:tcPr>
          <w:p w14:paraId="35D94590" w14:textId="14312F8B" w:rsidR="00B0429D" w:rsidRDefault="00B0429D" w:rsidP="00093A5F">
            <w:pPr>
              <w:spacing w:after="0" w:line="259" w:lineRule="auto"/>
              <w:ind w:left="2" w:right="0" w:firstLine="0"/>
            </w:pPr>
            <w:r>
              <w:rPr>
                <w:sz w:val="18"/>
              </w:rPr>
              <w:t>Acrolein</w:t>
            </w:r>
          </w:p>
        </w:tc>
        <w:tc>
          <w:tcPr>
            <w:tcW w:w="1173" w:type="dxa"/>
            <w:tcBorders>
              <w:top w:val="single" w:sz="12" w:space="0" w:color="000000"/>
              <w:left w:val="single" w:sz="12" w:space="0" w:color="000000"/>
              <w:bottom w:val="single" w:sz="4" w:space="0" w:color="000000"/>
              <w:right w:val="single" w:sz="12" w:space="0" w:color="000000"/>
            </w:tcBorders>
            <w:vAlign w:val="center"/>
          </w:tcPr>
          <w:p w14:paraId="6B4E7C27" w14:textId="0E92D97B" w:rsidR="00B0429D" w:rsidRDefault="00B0429D" w:rsidP="00093A5F">
            <w:pPr>
              <w:spacing w:after="0" w:line="259" w:lineRule="auto"/>
              <w:ind w:left="0" w:right="44" w:firstLine="0"/>
              <w:jc w:val="center"/>
            </w:pPr>
            <w:r>
              <w:rPr>
                <w:sz w:val="18"/>
              </w:rPr>
              <w:t>107-02-8</w:t>
            </w:r>
          </w:p>
        </w:tc>
        <w:tc>
          <w:tcPr>
            <w:tcW w:w="880" w:type="dxa"/>
            <w:tcBorders>
              <w:top w:val="single" w:sz="12" w:space="0" w:color="000000"/>
              <w:left w:val="single" w:sz="12" w:space="0" w:color="000000"/>
              <w:bottom w:val="single" w:sz="4" w:space="0" w:color="000000"/>
              <w:right w:val="single" w:sz="12" w:space="0" w:color="000000"/>
            </w:tcBorders>
            <w:vAlign w:val="center"/>
          </w:tcPr>
          <w:p w14:paraId="3CFDD203" w14:textId="57CA27BD" w:rsidR="00B0429D" w:rsidRDefault="00B0429D" w:rsidP="00093A5F">
            <w:pPr>
              <w:tabs>
                <w:tab w:val="center" w:pos="399"/>
              </w:tabs>
              <w:spacing w:after="0" w:line="259" w:lineRule="auto"/>
              <w:ind w:left="0" w:right="0" w:firstLine="0"/>
              <w:jc w:val="center"/>
            </w:pPr>
            <w:r>
              <w:rPr>
                <w:b/>
                <w:sz w:val="18"/>
              </w:rPr>
              <w:t>0.7</w:t>
            </w:r>
          </w:p>
        </w:tc>
        <w:tc>
          <w:tcPr>
            <w:tcW w:w="878" w:type="dxa"/>
            <w:tcBorders>
              <w:top w:val="single" w:sz="12" w:space="0" w:color="000000"/>
              <w:left w:val="single" w:sz="12" w:space="0" w:color="000000"/>
              <w:bottom w:val="single" w:sz="4" w:space="0" w:color="000000"/>
              <w:right w:val="single" w:sz="12" w:space="0" w:color="000000"/>
            </w:tcBorders>
            <w:vAlign w:val="center"/>
          </w:tcPr>
          <w:p w14:paraId="706EA204" w14:textId="016350C3" w:rsidR="00B0429D" w:rsidRDefault="00B0429D" w:rsidP="00093A5F">
            <w:pPr>
              <w:spacing w:after="0" w:line="259" w:lineRule="auto"/>
              <w:ind w:left="0" w:right="46" w:firstLine="0"/>
              <w:jc w:val="center"/>
            </w:pPr>
            <w:r>
              <w:rPr>
                <w:sz w:val="18"/>
              </w:rPr>
              <w:t>ug/L</w:t>
            </w:r>
          </w:p>
        </w:tc>
        <w:tc>
          <w:tcPr>
            <w:tcW w:w="880" w:type="dxa"/>
            <w:tcBorders>
              <w:top w:val="single" w:sz="12" w:space="0" w:color="000000"/>
              <w:left w:val="single" w:sz="12" w:space="0" w:color="000000"/>
              <w:bottom w:val="single" w:sz="4" w:space="0" w:color="000000"/>
              <w:right w:val="single" w:sz="12" w:space="0" w:color="000000"/>
            </w:tcBorders>
            <w:vAlign w:val="center"/>
          </w:tcPr>
          <w:p w14:paraId="5F4A66FE" w14:textId="5A1DE6CF" w:rsidR="00B0429D" w:rsidRDefault="00B0429D" w:rsidP="00093A5F">
            <w:pPr>
              <w:spacing w:after="0" w:line="259" w:lineRule="auto"/>
              <w:ind w:left="0" w:right="47" w:firstLine="0"/>
              <w:jc w:val="center"/>
            </w:pPr>
            <w:r>
              <w:rPr>
                <w:sz w:val="18"/>
              </w:rPr>
              <w:t>N/A</w:t>
            </w:r>
          </w:p>
        </w:tc>
        <w:tc>
          <w:tcPr>
            <w:tcW w:w="1074" w:type="dxa"/>
            <w:tcBorders>
              <w:top w:val="single" w:sz="12" w:space="0" w:color="000000"/>
              <w:left w:val="single" w:sz="12" w:space="0" w:color="000000"/>
              <w:bottom w:val="single" w:sz="4" w:space="0" w:color="000000"/>
              <w:right w:val="single" w:sz="12" w:space="0" w:color="000000"/>
            </w:tcBorders>
            <w:vAlign w:val="center"/>
          </w:tcPr>
          <w:p w14:paraId="445DFBB6" w14:textId="482C8637" w:rsidR="00B0429D" w:rsidRDefault="00B0429D" w:rsidP="00093A5F">
            <w:pPr>
              <w:spacing w:after="0" w:line="259" w:lineRule="auto"/>
              <w:ind w:left="0" w:right="42" w:firstLine="0"/>
              <w:jc w:val="center"/>
            </w:pPr>
            <w:r>
              <w:rPr>
                <w:sz w:val="18"/>
              </w:rPr>
              <w:t>N/A</w:t>
            </w:r>
          </w:p>
        </w:tc>
        <w:tc>
          <w:tcPr>
            <w:tcW w:w="831" w:type="dxa"/>
            <w:tcBorders>
              <w:top w:val="single" w:sz="12" w:space="0" w:color="000000"/>
              <w:left w:val="single" w:sz="12" w:space="0" w:color="000000"/>
              <w:bottom w:val="single" w:sz="4" w:space="0" w:color="000000"/>
              <w:right w:val="single" w:sz="12" w:space="0" w:color="000000"/>
            </w:tcBorders>
            <w:vAlign w:val="center"/>
          </w:tcPr>
          <w:p w14:paraId="648E3BFF" w14:textId="6F25CA50" w:rsidR="00B0429D" w:rsidRPr="008C77CD" w:rsidRDefault="00B0429D" w:rsidP="00093A5F">
            <w:pPr>
              <w:spacing w:after="0" w:line="259" w:lineRule="auto"/>
              <w:ind w:left="0" w:right="44" w:firstLine="0"/>
              <w:jc w:val="center"/>
              <w:rPr>
                <w:bCs/>
              </w:rPr>
            </w:pPr>
            <w:r w:rsidRPr="00115849">
              <w:rPr>
                <w:bCs/>
                <w:sz w:val="18"/>
              </w:rPr>
              <w:t>603</w:t>
            </w:r>
          </w:p>
        </w:tc>
        <w:tc>
          <w:tcPr>
            <w:tcW w:w="705" w:type="dxa"/>
            <w:tcBorders>
              <w:top w:val="single" w:sz="12" w:space="0" w:color="000000"/>
              <w:left w:val="single" w:sz="12" w:space="0" w:color="000000"/>
              <w:bottom w:val="single" w:sz="4" w:space="0" w:color="000000"/>
              <w:right w:val="single" w:sz="12" w:space="0" w:color="000000"/>
            </w:tcBorders>
            <w:vAlign w:val="center"/>
          </w:tcPr>
          <w:p w14:paraId="3FA09F65" w14:textId="17CF5334" w:rsidR="00B0429D" w:rsidRDefault="00B0429D" w:rsidP="00093A5F">
            <w:pPr>
              <w:spacing w:after="0" w:line="259" w:lineRule="auto"/>
              <w:ind w:left="0" w:right="0" w:firstLine="0"/>
              <w:jc w:val="center"/>
            </w:pPr>
          </w:p>
        </w:tc>
        <w:tc>
          <w:tcPr>
            <w:tcW w:w="720" w:type="dxa"/>
            <w:tcBorders>
              <w:top w:val="single" w:sz="12" w:space="0" w:color="000000"/>
              <w:left w:val="single" w:sz="12" w:space="0" w:color="000000"/>
              <w:bottom w:val="single" w:sz="4" w:space="0" w:color="000000"/>
              <w:right w:val="single" w:sz="12" w:space="0" w:color="000000"/>
            </w:tcBorders>
            <w:vAlign w:val="center"/>
          </w:tcPr>
          <w:p w14:paraId="100FC5E7" w14:textId="07B7BA5A" w:rsidR="00B0429D" w:rsidRDefault="00B0429D" w:rsidP="00093A5F">
            <w:pPr>
              <w:spacing w:after="0" w:line="259" w:lineRule="auto"/>
              <w:ind w:left="0" w:right="0" w:firstLine="0"/>
              <w:jc w:val="center"/>
            </w:pPr>
          </w:p>
        </w:tc>
      </w:tr>
      <w:tr w:rsidR="009E622E" w14:paraId="332439EC" w14:textId="77777777" w:rsidTr="00C23B62">
        <w:trPr>
          <w:trHeight w:val="250"/>
        </w:trPr>
        <w:tc>
          <w:tcPr>
            <w:tcW w:w="3389" w:type="dxa"/>
            <w:tcBorders>
              <w:top w:val="single" w:sz="4" w:space="0" w:color="000000"/>
              <w:left w:val="single" w:sz="12" w:space="0" w:color="000000"/>
              <w:bottom w:val="single" w:sz="4" w:space="0" w:color="000000"/>
              <w:right w:val="single" w:sz="12" w:space="0" w:color="000000"/>
            </w:tcBorders>
            <w:vAlign w:val="center"/>
          </w:tcPr>
          <w:p w14:paraId="3E727F5D" w14:textId="3DF9A1F1" w:rsidR="00B0429D" w:rsidRDefault="00B0429D" w:rsidP="00093A5F">
            <w:pPr>
              <w:spacing w:after="0" w:line="259" w:lineRule="auto"/>
              <w:ind w:left="2" w:right="0" w:firstLine="0"/>
            </w:pPr>
            <w:r>
              <w:rPr>
                <w:sz w:val="18"/>
              </w:rPr>
              <w:t>n-Butanol</w:t>
            </w:r>
          </w:p>
        </w:tc>
        <w:tc>
          <w:tcPr>
            <w:tcW w:w="1173" w:type="dxa"/>
            <w:tcBorders>
              <w:top w:val="single" w:sz="4" w:space="0" w:color="000000"/>
              <w:left w:val="single" w:sz="12" w:space="0" w:color="000000"/>
              <w:bottom w:val="single" w:sz="4" w:space="0" w:color="000000"/>
              <w:right w:val="single" w:sz="12" w:space="0" w:color="000000"/>
            </w:tcBorders>
            <w:vAlign w:val="center"/>
          </w:tcPr>
          <w:p w14:paraId="498CDA7E" w14:textId="2E74B49C" w:rsidR="00B0429D" w:rsidRDefault="00B0429D" w:rsidP="00093A5F">
            <w:pPr>
              <w:spacing w:after="0" w:line="259" w:lineRule="auto"/>
              <w:ind w:left="0" w:right="44" w:firstLine="0"/>
              <w:jc w:val="center"/>
            </w:pPr>
            <w:r>
              <w:rPr>
                <w:sz w:val="18"/>
              </w:rPr>
              <w:t>71-36-3</w:t>
            </w:r>
          </w:p>
        </w:tc>
        <w:tc>
          <w:tcPr>
            <w:tcW w:w="880" w:type="dxa"/>
            <w:tcBorders>
              <w:top w:val="single" w:sz="4" w:space="0" w:color="000000"/>
              <w:left w:val="single" w:sz="12" w:space="0" w:color="000000"/>
              <w:bottom w:val="single" w:sz="4" w:space="0" w:color="000000"/>
              <w:right w:val="single" w:sz="12" w:space="0" w:color="000000"/>
            </w:tcBorders>
            <w:vAlign w:val="center"/>
          </w:tcPr>
          <w:p w14:paraId="3BA6E718" w14:textId="2FB821B5" w:rsidR="00B0429D" w:rsidRDefault="00B0429D" w:rsidP="00093A5F">
            <w:pPr>
              <w:spacing w:after="0" w:line="259" w:lineRule="auto"/>
              <w:ind w:left="0" w:right="0" w:firstLine="0"/>
              <w:jc w:val="center"/>
            </w:pPr>
            <w:r>
              <w:rPr>
                <w:sz w:val="18"/>
              </w:rPr>
              <w:t>500</w:t>
            </w:r>
          </w:p>
        </w:tc>
        <w:tc>
          <w:tcPr>
            <w:tcW w:w="878" w:type="dxa"/>
            <w:tcBorders>
              <w:top w:val="single" w:sz="4" w:space="0" w:color="000000"/>
              <w:left w:val="single" w:sz="12" w:space="0" w:color="000000"/>
              <w:bottom w:val="single" w:sz="4" w:space="0" w:color="000000"/>
              <w:right w:val="single" w:sz="12" w:space="0" w:color="000000"/>
            </w:tcBorders>
            <w:vAlign w:val="center"/>
          </w:tcPr>
          <w:p w14:paraId="0CFC5CF6" w14:textId="3B76B1C2" w:rsidR="00B0429D" w:rsidRDefault="00B0429D" w:rsidP="00093A5F">
            <w:pPr>
              <w:spacing w:after="0" w:line="259" w:lineRule="auto"/>
              <w:ind w:left="0" w:right="46" w:firstLine="0"/>
              <w:jc w:val="center"/>
            </w:pPr>
            <w:r>
              <w:rPr>
                <w:sz w:val="18"/>
              </w:rPr>
              <w:t>ug/L</w:t>
            </w:r>
          </w:p>
        </w:tc>
        <w:tc>
          <w:tcPr>
            <w:tcW w:w="880" w:type="dxa"/>
            <w:tcBorders>
              <w:top w:val="single" w:sz="4" w:space="0" w:color="000000"/>
              <w:left w:val="single" w:sz="12" w:space="0" w:color="000000"/>
              <w:bottom w:val="single" w:sz="4" w:space="0" w:color="000000"/>
              <w:right w:val="single" w:sz="12" w:space="0" w:color="000000"/>
            </w:tcBorders>
            <w:vAlign w:val="center"/>
          </w:tcPr>
          <w:p w14:paraId="488709A8" w14:textId="538E42D5" w:rsidR="00B0429D" w:rsidRDefault="00B0429D" w:rsidP="00093A5F">
            <w:pPr>
              <w:spacing w:after="0" w:line="259" w:lineRule="auto"/>
              <w:ind w:left="0" w:right="47" w:firstLine="0"/>
              <w:jc w:val="center"/>
            </w:pPr>
            <w:r>
              <w:rPr>
                <w:sz w:val="18"/>
              </w:rPr>
              <w:t>N/A</w:t>
            </w:r>
          </w:p>
        </w:tc>
        <w:tc>
          <w:tcPr>
            <w:tcW w:w="1074" w:type="dxa"/>
            <w:tcBorders>
              <w:top w:val="single" w:sz="4" w:space="0" w:color="000000"/>
              <w:left w:val="single" w:sz="12" w:space="0" w:color="000000"/>
              <w:bottom w:val="single" w:sz="4" w:space="0" w:color="000000"/>
              <w:right w:val="single" w:sz="12" w:space="0" w:color="000000"/>
            </w:tcBorders>
            <w:vAlign w:val="center"/>
          </w:tcPr>
          <w:p w14:paraId="7F8A4606" w14:textId="13A6B9AD" w:rsidR="00B0429D" w:rsidRDefault="00B0429D" w:rsidP="00093A5F">
            <w:pPr>
              <w:spacing w:after="0" w:line="259" w:lineRule="auto"/>
              <w:ind w:left="0" w:right="42" w:firstLine="0"/>
              <w:jc w:val="center"/>
            </w:pPr>
            <w:r>
              <w:rPr>
                <w:sz w:val="18"/>
              </w:rPr>
              <w:t>N/A</w:t>
            </w:r>
          </w:p>
        </w:tc>
        <w:tc>
          <w:tcPr>
            <w:tcW w:w="831" w:type="dxa"/>
            <w:tcBorders>
              <w:top w:val="single" w:sz="4" w:space="0" w:color="000000"/>
              <w:left w:val="single" w:sz="12" w:space="0" w:color="000000"/>
              <w:bottom w:val="single" w:sz="4" w:space="0" w:color="000000"/>
              <w:right w:val="single" w:sz="12" w:space="0" w:color="000000"/>
            </w:tcBorders>
            <w:vAlign w:val="center"/>
          </w:tcPr>
          <w:p w14:paraId="76AD45C5" w14:textId="415A6BEF" w:rsidR="00B0429D" w:rsidRPr="008C77CD" w:rsidRDefault="00B0429D" w:rsidP="00093A5F">
            <w:pPr>
              <w:spacing w:after="0" w:line="259" w:lineRule="auto"/>
              <w:ind w:left="0" w:right="0" w:firstLine="0"/>
              <w:jc w:val="center"/>
              <w:rPr>
                <w:bCs/>
              </w:rPr>
            </w:pPr>
            <w:r w:rsidRPr="00115849">
              <w:rPr>
                <w:bCs/>
                <w:sz w:val="18"/>
              </w:rPr>
              <w:t>1666</w:t>
            </w:r>
          </w:p>
        </w:tc>
        <w:tc>
          <w:tcPr>
            <w:tcW w:w="705" w:type="dxa"/>
            <w:tcBorders>
              <w:top w:val="single" w:sz="4" w:space="0" w:color="000000"/>
              <w:left w:val="single" w:sz="12" w:space="0" w:color="000000"/>
              <w:bottom w:val="single" w:sz="4" w:space="0" w:color="000000"/>
              <w:right w:val="single" w:sz="12" w:space="0" w:color="000000"/>
            </w:tcBorders>
            <w:vAlign w:val="center"/>
          </w:tcPr>
          <w:p w14:paraId="705A7E7D" w14:textId="44EB88C4" w:rsidR="00B0429D" w:rsidRDefault="00B0429D" w:rsidP="00093A5F">
            <w:pPr>
              <w:spacing w:after="0" w:line="259" w:lineRule="auto"/>
              <w:ind w:left="0" w:right="0" w:firstLine="0"/>
              <w:jc w:val="center"/>
            </w:pPr>
          </w:p>
        </w:tc>
        <w:tc>
          <w:tcPr>
            <w:tcW w:w="720" w:type="dxa"/>
            <w:tcBorders>
              <w:top w:val="single" w:sz="4" w:space="0" w:color="000000"/>
              <w:left w:val="single" w:sz="12" w:space="0" w:color="000000"/>
              <w:bottom w:val="single" w:sz="4" w:space="0" w:color="000000"/>
              <w:right w:val="single" w:sz="12" w:space="0" w:color="000000"/>
            </w:tcBorders>
            <w:vAlign w:val="center"/>
          </w:tcPr>
          <w:p w14:paraId="5AB37F37" w14:textId="1AEA91FC" w:rsidR="00B0429D" w:rsidRDefault="00B0429D" w:rsidP="00093A5F">
            <w:pPr>
              <w:spacing w:after="0" w:line="259" w:lineRule="auto"/>
              <w:ind w:left="0" w:right="0" w:firstLine="0"/>
              <w:jc w:val="center"/>
            </w:pPr>
          </w:p>
        </w:tc>
      </w:tr>
      <w:tr w:rsidR="009E622E" w14:paraId="6E9C94E5" w14:textId="77777777" w:rsidTr="00C23B62">
        <w:trPr>
          <w:trHeight w:val="360"/>
        </w:trPr>
        <w:tc>
          <w:tcPr>
            <w:tcW w:w="3389" w:type="dxa"/>
            <w:tcBorders>
              <w:top w:val="single" w:sz="4" w:space="0" w:color="000000"/>
              <w:left w:val="single" w:sz="12" w:space="0" w:color="000000"/>
              <w:bottom w:val="single" w:sz="12" w:space="0" w:color="000000"/>
              <w:right w:val="single" w:sz="12" w:space="0" w:color="000000"/>
            </w:tcBorders>
            <w:vAlign w:val="center"/>
          </w:tcPr>
          <w:p w14:paraId="0FCEDD84" w14:textId="2CC6681A" w:rsidR="00B0429D" w:rsidRDefault="00B0429D" w:rsidP="00093A5F">
            <w:pPr>
              <w:spacing w:after="0" w:line="259" w:lineRule="auto"/>
              <w:ind w:left="2" w:right="0" w:firstLine="0"/>
            </w:pPr>
            <w:r>
              <w:rPr>
                <w:sz w:val="18"/>
              </w:rPr>
              <w:t>Vinyl acetate</w:t>
            </w:r>
          </w:p>
        </w:tc>
        <w:tc>
          <w:tcPr>
            <w:tcW w:w="1173" w:type="dxa"/>
            <w:tcBorders>
              <w:top w:val="single" w:sz="4" w:space="0" w:color="000000"/>
              <w:left w:val="single" w:sz="12" w:space="0" w:color="000000"/>
              <w:bottom w:val="single" w:sz="12" w:space="0" w:color="000000"/>
              <w:right w:val="single" w:sz="12" w:space="0" w:color="000000"/>
            </w:tcBorders>
            <w:vAlign w:val="center"/>
          </w:tcPr>
          <w:p w14:paraId="0E14CF12" w14:textId="33EF2EAA" w:rsidR="00B0429D" w:rsidRDefault="00B0429D" w:rsidP="00093A5F">
            <w:pPr>
              <w:spacing w:after="0" w:line="259" w:lineRule="auto"/>
              <w:ind w:left="0" w:right="44" w:firstLine="0"/>
              <w:jc w:val="center"/>
            </w:pPr>
            <w:r>
              <w:rPr>
                <w:sz w:val="18"/>
              </w:rPr>
              <w:t>108-05-4</w:t>
            </w:r>
          </w:p>
        </w:tc>
        <w:tc>
          <w:tcPr>
            <w:tcW w:w="880" w:type="dxa"/>
            <w:tcBorders>
              <w:top w:val="single" w:sz="4" w:space="0" w:color="000000"/>
              <w:left w:val="single" w:sz="12" w:space="0" w:color="000000"/>
              <w:bottom w:val="single" w:sz="12" w:space="0" w:color="000000"/>
              <w:right w:val="single" w:sz="12" w:space="0" w:color="000000"/>
            </w:tcBorders>
            <w:vAlign w:val="center"/>
          </w:tcPr>
          <w:p w14:paraId="4F58AF45" w14:textId="7E3896F7" w:rsidR="00B0429D" w:rsidRDefault="00B0429D" w:rsidP="00093A5F">
            <w:pPr>
              <w:tabs>
                <w:tab w:val="center" w:pos="308"/>
              </w:tabs>
              <w:spacing w:after="0" w:line="259" w:lineRule="auto"/>
              <w:ind w:left="0" w:right="0" w:firstLine="0"/>
              <w:jc w:val="center"/>
            </w:pPr>
            <w:r>
              <w:rPr>
                <w:sz w:val="18"/>
              </w:rPr>
              <w:t>50</w:t>
            </w:r>
          </w:p>
        </w:tc>
        <w:tc>
          <w:tcPr>
            <w:tcW w:w="878" w:type="dxa"/>
            <w:tcBorders>
              <w:top w:val="single" w:sz="4" w:space="0" w:color="000000"/>
              <w:left w:val="single" w:sz="12" w:space="0" w:color="000000"/>
              <w:bottom w:val="single" w:sz="12" w:space="0" w:color="000000"/>
              <w:right w:val="single" w:sz="12" w:space="0" w:color="000000"/>
            </w:tcBorders>
            <w:vAlign w:val="center"/>
          </w:tcPr>
          <w:p w14:paraId="1848B9B8" w14:textId="7B441C95" w:rsidR="00B0429D" w:rsidRDefault="00B0429D" w:rsidP="00093A5F">
            <w:pPr>
              <w:spacing w:after="0" w:line="259" w:lineRule="auto"/>
              <w:ind w:left="0" w:right="46" w:firstLine="0"/>
              <w:jc w:val="center"/>
            </w:pPr>
            <w:r>
              <w:rPr>
                <w:sz w:val="18"/>
              </w:rPr>
              <w:t>ug/L</w:t>
            </w:r>
          </w:p>
        </w:tc>
        <w:tc>
          <w:tcPr>
            <w:tcW w:w="880" w:type="dxa"/>
            <w:tcBorders>
              <w:top w:val="single" w:sz="4" w:space="0" w:color="000000"/>
              <w:left w:val="single" w:sz="12" w:space="0" w:color="000000"/>
              <w:bottom w:val="single" w:sz="12" w:space="0" w:color="000000"/>
              <w:right w:val="single" w:sz="12" w:space="0" w:color="000000"/>
            </w:tcBorders>
            <w:vAlign w:val="center"/>
          </w:tcPr>
          <w:p w14:paraId="39097E8B" w14:textId="7F0977DC" w:rsidR="00B0429D" w:rsidRDefault="00B0429D" w:rsidP="00093A5F">
            <w:pPr>
              <w:spacing w:after="0" w:line="259" w:lineRule="auto"/>
              <w:ind w:left="0" w:right="47" w:firstLine="0"/>
              <w:jc w:val="center"/>
            </w:pPr>
            <w:r>
              <w:rPr>
                <w:sz w:val="18"/>
              </w:rPr>
              <w:t>N/A</w:t>
            </w:r>
          </w:p>
        </w:tc>
        <w:tc>
          <w:tcPr>
            <w:tcW w:w="1074" w:type="dxa"/>
            <w:tcBorders>
              <w:top w:val="single" w:sz="4" w:space="0" w:color="000000"/>
              <w:left w:val="single" w:sz="12" w:space="0" w:color="000000"/>
              <w:bottom w:val="single" w:sz="12" w:space="0" w:color="000000"/>
              <w:right w:val="single" w:sz="12" w:space="0" w:color="000000"/>
            </w:tcBorders>
            <w:vAlign w:val="center"/>
          </w:tcPr>
          <w:p w14:paraId="3C4864E7" w14:textId="29483D51" w:rsidR="00B0429D" w:rsidRDefault="00B0429D" w:rsidP="00093A5F">
            <w:pPr>
              <w:spacing w:after="0" w:line="259" w:lineRule="auto"/>
              <w:ind w:left="0" w:right="42" w:firstLine="0"/>
              <w:jc w:val="center"/>
            </w:pPr>
            <w:r>
              <w:rPr>
                <w:sz w:val="18"/>
              </w:rPr>
              <w:t>N/A</w:t>
            </w:r>
          </w:p>
        </w:tc>
        <w:tc>
          <w:tcPr>
            <w:tcW w:w="831" w:type="dxa"/>
            <w:tcBorders>
              <w:top w:val="single" w:sz="4" w:space="0" w:color="000000"/>
              <w:left w:val="single" w:sz="12" w:space="0" w:color="000000"/>
              <w:bottom w:val="single" w:sz="12" w:space="0" w:color="000000"/>
              <w:right w:val="single" w:sz="12" w:space="0" w:color="000000"/>
            </w:tcBorders>
            <w:vAlign w:val="center"/>
          </w:tcPr>
          <w:p w14:paraId="4053B38E" w14:textId="536512C8" w:rsidR="00B0429D" w:rsidRPr="008C77CD" w:rsidRDefault="00B0429D" w:rsidP="00093A5F">
            <w:pPr>
              <w:spacing w:after="0" w:line="259" w:lineRule="auto"/>
              <w:ind w:right="0"/>
              <w:jc w:val="center"/>
              <w:rPr>
                <w:bCs/>
              </w:rPr>
            </w:pPr>
            <w:r w:rsidRPr="00115849">
              <w:rPr>
                <w:bCs/>
                <w:sz w:val="18"/>
              </w:rPr>
              <w:t>1624</w:t>
            </w:r>
          </w:p>
        </w:tc>
        <w:tc>
          <w:tcPr>
            <w:tcW w:w="705" w:type="dxa"/>
            <w:tcBorders>
              <w:top w:val="single" w:sz="4" w:space="0" w:color="000000"/>
              <w:left w:val="single" w:sz="12" w:space="0" w:color="000000"/>
              <w:bottom w:val="single" w:sz="12" w:space="0" w:color="000000"/>
              <w:right w:val="single" w:sz="12" w:space="0" w:color="000000"/>
            </w:tcBorders>
            <w:vAlign w:val="center"/>
          </w:tcPr>
          <w:p w14:paraId="661C2CEB" w14:textId="678E71FF" w:rsidR="00B0429D" w:rsidRDefault="00B0429D" w:rsidP="00093A5F">
            <w:pPr>
              <w:spacing w:after="0" w:line="259" w:lineRule="auto"/>
              <w:ind w:left="0" w:right="0" w:firstLine="0"/>
              <w:jc w:val="center"/>
            </w:pPr>
          </w:p>
        </w:tc>
        <w:tc>
          <w:tcPr>
            <w:tcW w:w="720" w:type="dxa"/>
            <w:tcBorders>
              <w:top w:val="single" w:sz="4" w:space="0" w:color="000000"/>
              <w:left w:val="single" w:sz="12" w:space="0" w:color="000000"/>
              <w:bottom w:val="single" w:sz="12" w:space="0" w:color="000000"/>
              <w:right w:val="single" w:sz="12" w:space="0" w:color="000000"/>
            </w:tcBorders>
            <w:vAlign w:val="center"/>
          </w:tcPr>
          <w:p w14:paraId="61F42782" w14:textId="5EB840B1" w:rsidR="00B0429D" w:rsidRDefault="00B0429D" w:rsidP="00093A5F">
            <w:pPr>
              <w:spacing w:after="0" w:line="259" w:lineRule="auto"/>
              <w:ind w:left="0" w:right="0" w:firstLine="0"/>
              <w:jc w:val="center"/>
            </w:pPr>
          </w:p>
        </w:tc>
      </w:tr>
    </w:tbl>
    <w:p w14:paraId="0808F9E6" w14:textId="5C1BBC78" w:rsidR="00B56D50" w:rsidRDefault="00B56D50" w:rsidP="00FE49A2">
      <w:pPr>
        <w:spacing w:after="0" w:line="259" w:lineRule="auto"/>
        <w:ind w:right="0"/>
      </w:pPr>
    </w:p>
    <w:p w14:paraId="53932B96" w14:textId="77777777" w:rsidR="008651DE" w:rsidRDefault="008651DE" w:rsidP="00FE49A2">
      <w:pPr>
        <w:spacing w:after="0" w:line="259" w:lineRule="auto"/>
        <w:ind w:right="0"/>
      </w:pPr>
    </w:p>
    <w:p w14:paraId="131159FF" w14:textId="77777777" w:rsidR="008651DE" w:rsidRDefault="008651DE" w:rsidP="00FE49A2">
      <w:pPr>
        <w:spacing w:after="0" w:line="259" w:lineRule="auto"/>
        <w:ind w:right="0"/>
      </w:pPr>
    </w:p>
    <w:p w14:paraId="39FEE8F1" w14:textId="77777777" w:rsidR="008651DE" w:rsidRDefault="008651DE" w:rsidP="00FE49A2">
      <w:pPr>
        <w:spacing w:after="0" w:line="259" w:lineRule="auto"/>
        <w:ind w:right="0"/>
      </w:pPr>
    </w:p>
    <w:p w14:paraId="34A9FF45" w14:textId="77777777" w:rsidR="00090928" w:rsidRDefault="00090928" w:rsidP="00FE49A2">
      <w:pPr>
        <w:spacing w:after="0" w:line="259" w:lineRule="auto"/>
        <w:ind w:right="0"/>
      </w:pPr>
    </w:p>
    <w:p w14:paraId="3BD6AA12" w14:textId="77777777" w:rsidR="005F34B8" w:rsidRDefault="005F34B8" w:rsidP="005F34B8">
      <w:pPr>
        <w:ind w:left="0" w:firstLine="0"/>
        <w:jc w:val="center"/>
      </w:pPr>
      <w:r>
        <w:rPr>
          <w:b/>
        </w:rPr>
        <w:t>THE REMAINDER OF THIS PAGE HAS BEEN LEFT BLANK INTENTIONALLY</w:t>
      </w:r>
    </w:p>
    <w:p w14:paraId="0FC875DC" w14:textId="77777777" w:rsidR="008651DE" w:rsidRDefault="008651DE" w:rsidP="00FE49A2">
      <w:pPr>
        <w:spacing w:after="0" w:line="259" w:lineRule="auto"/>
        <w:ind w:right="0"/>
      </w:pPr>
    </w:p>
    <w:p w14:paraId="735265C4" w14:textId="77777777" w:rsidR="008651DE" w:rsidRDefault="008651DE" w:rsidP="00FE49A2">
      <w:pPr>
        <w:spacing w:after="0" w:line="259" w:lineRule="auto"/>
        <w:ind w:right="0"/>
      </w:pPr>
    </w:p>
    <w:p w14:paraId="7C5394C1" w14:textId="77777777" w:rsidR="008651DE" w:rsidRDefault="008651DE" w:rsidP="00FE49A2">
      <w:pPr>
        <w:spacing w:after="0" w:line="259" w:lineRule="auto"/>
        <w:ind w:right="0"/>
      </w:pPr>
    </w:p>
    <w:p w14:paraId="6D1169B2" w14:textId="77777777" w:rsidR="008651DE" w:rsidRDefault="008651DE" w:rsidP="00FE49A2">
      <w:pPr>
        <w:spacing w:after="0" w:line="259" w:lineRule="auto"/>
        <w:ind w:right="0"/>
      </w:pPr>
    </w:p>
    <w:p w14:paraId="2CCC4BF3" w14:textId="77777777" w:rsidR="008651DE" w:rsidRDefault="008651DE" w:rsidP="00FE49A2">
      <w:pPr>
        <w:spacing w:after="0" w:line="259" w:lineRule="auto"/>
        <w:ind w:right="0"/>
      </w:pPr>
    </w:p>
    <w:p w14:paraId="40AF8940" w14:textId="77777777" w:rsidR="008651DE" w:rsidRDefault="008651DE" w:rsidP="00FE49A2">
      <w:pPr>
        <w:spacing w:after="0" w:line="259" w:lineRule="auto"/>
        <w:ind w:right="0"/>
      </w:pPr>
    </w:p>
    <w:p w14:paraId="622B288C" w14:textId="77777777" w:rsidR="008651DE" w:rsidRDefault="008651DE" w:rsidP="00FE49A2">
      <w:pPr>
        <w:spacing w:after="0" w:line="259" w:lineRule="auto"/>
        <w:ind w:right="0"/>
      </w:pPr>
    </w:p>
    <w:p w14:paraId="4913F9FE" w14:textId="77777777" w:rsidR="008651DE" w:rsidRDefault="008651DE" w:rsidP="00FE49A2">
      <w:pPr>
        <w:spacing w:after="0" w:line="259" w:lineRule="auto"/>
        <w:ind w:right="0"/>
      </w:pPr>
    </w:p>
    <w:p w14:paraId="74F768DD" w14:textId="77777777" w:rsidR="008651DE" w:rsidRDefault="008651DE" w:rsidP="00FE49A2">
      <w:pPr>
        <w:spacing w:after="0" w:line="259" w:lineRule="auto"/>
        <w:ind w:right="0"/>
      </w:pPr>
    </w:p>
    <w:p w14:paraId="683AC84B" w14:textId="77777777" w:rsidR="008651DE" w:rsidRDefault="008651DE" w:rsidP="00FE49A2">
      <w:pPr>
        <w:spacing w:after="0" w:line="259" w:lineRule="auto"/>
        <w:ind w:right="0"/>
      </w:pPr>
    </w:p>
    <w:p w14:paraId="7B319357" w14:textId="77777777" w:rsidR="008651DE" w:rsidRDefault="008651DE" w:rsidP="00FE49A2">
      <w:pPr>
        <w:spacing w:after="0" w:line="259" w:lineRule="auto"/>
        <w:ind w:right="0"/>
      </w:pPr>
    </w:p>
    <w:p w14:paraId="50FA6BEA" w14:textId="77777777" w:rsidR="008651DE" w:rsidRDefault="008651DE" w:rsidP="00FE49A2">
      <w:pPr>
        <w:spacing w:after="0" w:line="259" w:lineRule="auto"/>
        <w:ind w:right="0"/>
      </w:pPr>
    </w:p>
    <w:p w14:paraId="63F3EFBC" w14:textId="77777777" w:rsidR="008651DE" w:rsidRDefault="008651DE" w:rsidP="00FE49A2">
      <w:pPr>
        <w:spacing w:after="0" w:line="259" w:lineRule="auto"/>
        <w:ind w:right="0"/>
      </w:pPr>
    </w:p>
    <w:p w14:paraId="7410374A" w14:textId="77777777" w:rsidR="008651DE" w:rsidRDefault="008651DE" w:rsidP="00FE49A2">
      <w:pPr>
        <w:spacing w:after="0" w:line="259" w:lineRule="auto"/>
        <w:ind w:right="0"/>
      </w:pPr>
    </w:p>
    <w:p w14:paraId="246BF78A" w14:textId="77777777" w:rsidR="008651DE" w:rsidRDefault="008651DE" w:rsidP="00FE49A2">
      <w:pPr>
        <w:spacing w:after="0" w:line="259" w:lineRule="auto"/>
        <w:ind w:right="0"/>
      </w:pPr>
    </w:p>
    <w:p w14:paraId="01BBFEFF" w14:textId="77777777" w:rsidR="008651DE" w:rsidRDefault="008651DE" w:rsidP="00FE49A2">
      <w:pPr>
        <w:spacing w:after="0" w:line="259" w:lineRule="auto"/>
        <w:ind w:right="0"/>
      </w:pPr>
    </w:p>
    <w:p w14:paraId="31B219A3" w14:textId="77777777" w:rsidR="008651DE" w:rsidRDefault="008651DE" w:rsidP="00FE49A2">
      <w:pPr>
        <w:spacing w:after="0" w:line="259" w:lineRule="auto"/>
        <w:ind w:right="0"/>
      </w:pPr>
    </w:p>
    <w:p w14:paraId="26A82B31" w14:textId="77777777" w:rsidR="008651DE" w:rsidRDefault="008651DE" w:rsidP="00FE49A2">
      <w:pPr>
        <w:spacing w:after="0" w:line="259" w:lineRule="auto"/>
        <w:ind w:right="0"/>
      </w:pPr>
    </w:p>
    <w:p w14:paraId="075077D7" w14:textId="77777777" w:rsidR="008651DE" w:rsidRDefault="008651DE" w:rsidP="00FE49A2">
      <w:pPr>
        <w:spacing w:after="0" w:line="259" w:lineRule="auto"/>
        <w:ind w:right="0"/>
      </w:pPr>
    </w:p>
    <w:p w14:paraId="15282AC0" w14:textId="77777777" w:rsidR="008651DE" w:rsidRDefault="008651DE" w:rsidP="00FE49A2">
      <w:pPr>
        <w:spacing w:after="0" w:line="259" w:lineRule="auto"/>
        <w:ind w:right="0"/>
      </w:pPr>
    </w:p>
    <w:p w14:paraId="3D5952B4" w14:textId="77777777" w:rsidR="008651DE" w:rsidRDefault="008651DE" w:rsidP="00FE49A2">
      <w:pPr>
        <w:spacing w:after="0" w:line="259" w:lineRule="auto"/>
        <w:ind w:right="0"/>
      </w:pPr>
    </w:p>
    <w:p w14:paraId="6C7ABD4C" w14:textId="77777777" w:rsidR="008651DE" w:rsidRDefault="008651DE" w:rsidP="00FE49A2">
      <w:pPr>
        <w:spacing w:after="0" w:line="259" w:lineRule="auto"/>
        <w:ind w:right="0"/>
      </w:pPr>
    </w:p>
    <w:p w14:paraId="6BD55012" w14:textId="77777777" w:rsidR="008651DE" w:rsidRDefault="008651DE" w:rsidP="00FE49A2">
      <w:pPr>
        <w:spacing w:after="0" w:line="259" w:lineRule="auto"/>
        <w:ind w:right="0"/>
      </w:pPr>
    </w:p>
    <w:p w14:paraId="33B080F5" w14:textId="77777777" w:rsidR="008651DE" w:rsidRDefault="008651DE" w:rsidP="00FE49A2">
      <w:pPr>
        <w:spacing w:after="0" w:line="259" w:lineRule="auto"/>
        <w:ind w:right="0"/>
      </w:pPr>
    </w:p>
    <w:p w14:paraId="035D1E16" w14:textId="77777777" w:rsidR="008651DE" w:rsidRDefault="008651DE" w:rsidP="00FE49A2">
      <w:pPr>
        <w:spacing w:after="0" w:line="259" w:lineRule="auto"/>
        <w:ind w:right="0"/>
      </w:pPr>
    </w:p>
    <w:p w14:paraId="7FD38352" w14:textId="77777777" w:rsidR="008651DE" w:rsidRDefault="008651DE" w:rsidP="00FE49A2">
      <w:pPr>
        <w:spacing w:after="0" w:line="259" w:lineRule="auto"/>
        <w:ind w:right="0"/>
      </w:pPr>
    </w:p>
    <w:p w14:paraId="67E1EC38" w14:textId="77777777" w:rsidR="008651DE" w:rsidRDefault="008651DE" w:rsidP="00FE49A2">
      <w:pPr>
        <w:spacing w:after="0" w:line="259" w:lineRule="auto"/>
        <w:ind w:right="0"/>
      </w:pPr>
    </w:p>
    <w:p w14:paraId="6FDA9C10" w14:textId="77777777" w:rsidR="008651DE" w:rsidRDefault="008651DE" w:rsidP="00FE49A2">
      <w:pPr>
        <w:spacing w:after="0" w:line="259" w:lineRule="auto"/>
        <w:ind w:right="0"/>
      </w:pPr>
    </w:p>
    <w:p w14:paraId="1E7E1CFA" w14:textId="77777777" w:rsidR="008651DE" w:rsidRDefault="008651DE" w:rsidP="00FE49A2">
      <w:pPr>
        <w:spacing w:after="0" w:line="259" w:lineRule="auto"/>
        <w:ind w:right="0"/>
      </w:pPr>
    </w:p>
    <w:p w14:paraId="60C75811" w14:textId="77777777" w:rsidR="008651DE" w:rsidRDefault="008651DE" w:rsidP="00FE49A2">
      <w:pPr>
        <w:spacing w:after="0" w:line="259" w:lineRule="auto"/>
        <w:ind w:right="0"/>
      </w:pPr>
    </w:p>
    <w:p w14:paraId="492E9EC2" w14:textId="77777777" w:rsidR="008651DE" w:rsidRDefault="008651DE" w:rsidP="00FE49A2">
      <w:pPr>
        <w:spacing w:after="0" w:line="259" w:lineRule="auto"/>
        <w:ind w:right="0"/>
      </w:pPr>
    </w:p>
    <w:p w14:paraId="5B67A4D3" w14:textId="1AAF53C1" w:rsidR="00B56D50" w:rsidRPr="00265656" w:rsidRDefault="00FE49A2">
      <w:pPr>
        <w:pStyle w:val="Heading3"/>
        <w:ind w:left="1024" w:right="472"/>
      </w:pPr>
      <w:r w:rsidRPr="00265656">
        <w:lastRenderedPageBreak/>
        <w:t xml:space="preserve">Drinking Water </w:t>
      </w:r>
      <w:r w:rsidR="001C3C42" w:rsidRPr="00265656">
        <w:t>SAS – S</w:t>
      </w:r>
      <w:r w:rsidRPr="00265656">
        <w:t>emi</w:t>
      </w:r>
      <w:r w:rsidR="006617C8" w:rsidRPr="00265656">
        <w:t>-</w:t>
      </w:r>
      <w:r w:rsidRPr="00265656">
        <w:t>volatile</w:t>
      </w:r>
      <w:r w:rsidR="001C3C42" w:rsidRPr="00265656">
        <w:t xml:space="preserve"> O</w:t>
      </w:r>
      <w:r w:rsidRPr="00265656">
        <w:t>rganic</w:t>
      </w:r>
      <w:r w:rsidR="001C3C42" w:rsidRPr="00265656">
        <w:t xml:space="preserve"> A</w:t>
      </w:r>
      <w:r w:rsidRPr="00265656">
        <w:t>nalysis</w:t>
      </w:r>
      <w:r w:rsidR="001C3C42" w:rsidRPr="00265656">
        <w:t xml:space="preserve"> </w:t>
      </w:r>
    </w:p>
    <w:p w14:paraId="322B1C4D" w14:textId="74C189F2" w:rsidR="00B56D50" w:rsidRPr="0003734F" w:rsidRDefault="00B56D50" w:rsidP="00B73DF9">
      <w:pPr>
        <w:spacing w:after="0" w:line="259" w:lineRule="auto"/>
        <w:ind w:right="0"/>
      </w:pPr>
    </w:p>
    <w:tbl>
      <w:tblPr>
        <w:tblStyle w:val="TableGrid1"/>
        <w:tblW w:w="10530" w:type="dxa"/>
        <w:tblInd w:w="-375" w:type="dxa"/>
        <w:tblCellMar>
          <w:top w:w="20" w:type="dxa"/>
          <w:left w:w="72" w:type="dxa"/>
          <w:right w:w="27" w:type="dxa"/>
        </w:tblCellMar>
        <w:tblLook w:val="04A0" w:firstRow="1" w:lastRow="0" w:firstColumn="1" w:lastColumn="0" w:noHBand="0" w:noVBand="1"/>
      </w:tblPr>
      <w:tblGrid>
        <w:gridCol w:w="3393"/>
        <w:gridCol w:w="1173"/>
        <w:gridCol w:w="881"/>
        <w:gridCol w:w="879"/>
        <w:gridCol w:w="881"/>
        <w:gridCol w:w="1074"/>
        <w:gridCol w:w="843"/>
        <w:gridCol w:w="776"/>
        <w:gridCol w:w="630"/>
      </w:tblGrid>
      <w:tr w:rsidR="00B56D50" w14:paraId="2DE5A8BC" w14:textId="77777777" w:rsidTr="00C23B62">
        <w:trPr>
          <w:trHeight w:val="348"/>
          <w:tblHeader/>
        </w:trPr>
        <w:tc>
          <w:tcPr>
            <w:tcW w:w="10530" w:type="dxa"/>
            <w:gridSpan w:val="9"/>
            <w:tcBorders>
              <w:top w:val="single" w:sz="12" w:space="0" w:color="000000"/>
              <w:left w:val="single" w:sz="12" w:space="0" w:color="000000"/>
              <w:bottom w:val="single" w:sz="12" w:space="0" w:color="000000"/>
              <w:right w:val="single" w:sz="12" w:space="0" w:color="000000"/>
            </w:tcBorders>
            <w:vAlign w:val="center"/>
          </w:tcPr>
          <w:p w14:paraId="3AE99428" w14:textId="157B6CA8" w:rsidR="00EB0523" w:rsidRPr="00EB0523" w:rsidRDefault="001C3C42" w:rsidP="00C15C6E">
            <w:pPr>
              <w:spacing w:after="0" w:line="259" w:lineRule="auto"/>
              <w:ind w:left="36" w:right="0" w:firstLine="0"/>
              <w:rPr>
                <w:sz w:val="18"/>
                <w:szCs w:val="18"/>
              </w:rPr>
            </w:pPr>
            <w:r>
              <w:rPr>
                <w:b/>
                <w:sz w:val="18"/>
              </w:rPr>
              <w:t>Drinking Water</w:t>
            </w:r>
            <w:r w:rsidR="00C50B8A">
              <w:rPr>
                <w:b/>
                <w:sz w:val="18"/>
              </w:rPr>
              <w:t xml:space="preserve"> </w:t>
            </w:r>
            <w:r>
              <w:rPr>
                <w:b/>
                <w:sz w:val="18"/>
              </w:rPr>
              <w:t>SAS Group B</w:t>
            </w:r>
            <w:proofErr w:type="gramStart"/>
            <w:r>
              <w:rPr>
                <w:b/>
                <w:sz w:val="18"/>
              </w:rPr>
              <w:t>:</w:t>
            </w:r>
            <w:r>
              <w:rPr>
                <w:sz w:val="18"/>
              </w:rPr>
              <w:t xml:space="preserve">  </w:t>
            </w:r>
            <w:r>
              <w:rPr>
                <w:b/>
                <w:sz w:val="18"/>
              </w:rPr>
              <w:t>Method</w:t>
            </w:r>
            <w:proofErr w:type="gramEnd"/>
            <w:r>
              <w:rPr>
                <w:b/>
                <w:sz w:val="18"/>
              </w:rPr>
              <w:t xml:space="preserve"> 525.2 Organochlorine Pesticides Lis</w:t>
            </w:r>
            <w:r w:rsidR="00EB0523">
              <w:rPr>
                <w:b/>
                <w:sz w:val="18"/>
              </w:rPr>
              <w:t>t</w:t>
            </w:r>
          </w:p>
        </w:tc>
      </w:tr>
      <w:tr w:rsidR="00B56D50" w14:paraId="6A4DC0E6" w14:textId="77777777" w:rsidTr="00C23B62">
        <w:trPr>
          <w:trHeight w:val="269"/>
          <w:tblHeader/>
        </w:trPr>
        <w:tc>
          <w:tcPr>
            <w:tcW w:w="3393" w:type="dxa"/>
            <w:vMerge w:val="restart"/>
            <w:tcBorders>
              <w:top w:val="single" w:sz="12" w:space="0" w:color="000000"/>
              <w:left w:val="single" w:sz="12" w:space="0" w:color="000000"/>
              <w:bottom w:val="single" w:sz="12" w:space="0" w:color="000000"/>
              <w:right w:val="single" w:sz="12" w:space="0" w:color="000000"/>
            </w:tcBorders>
            <w:vAlign w:val="center"/>
          </w:tcPr>
          <w:p w14:paraId="5E8704D8" w14:textId="7FEEEA6B" w:rsidR="00B56D50" w:rsidRDefault="001C3C42" w:rsidP="00C15C6E">
            <w:pPr>
              <w:spacing w:after="0" w:line="259" w:lineRule="auto"/>
              <w:ind w:left="0" w:right="49" w:firstLine="0"/>
              <w:jc w:val="center"/>
            </w:pPr>
            <w:r>
              <w:rPr>
                <w:b/>
                <w:sz w:val="18"/>
              </w:rPr>
              <w:t>Analyte</w:t>
            </w:r>
          </w:p>
        </w:tc>
        <w:tc>
          <w:tcPr>
            <w:tcW w:w="1173" w:type="dxa"/>
            <w:vMerge w:val="restart"/>
            <w:tcBorders>
              <w:top w:val="single" w:sz="12" w:space="0" w:color="000000"/>
              <w:left w:val="single" w:sz="12" w:space="0" w:color="000000"/>
              <w:bottom w:val="single" w:sz="12" w:space="0" w:color="000000"/>
              <w:right w:val="single" w:sz="12" w:space="0" w:color="000000"/>
            </w:tcBorders>
            <w:vAlign w:val="center"/>
          </w:tcPr>
          <w:p w14:paraId="7CD1B66B" w14:textId="0BA40B74" w:rsidR="00B56D50" w:rsidRDefault="001C3C42" w:rsidP="00C15C6E">
            <w:pPr>
              <w:spacing w:after="0" w:line="259" w:lineRule="auto"/>
              <w:ind w:left="0" w:right="0" w:firstLine="0"/>
              <w:jc w:val="center"/>
            </w:pPr>
            <w:r>
              <w:rPr>
                <w:b/>
                <w:sz w:val="18"/>
              </w:rPr>
              <w:t>CAS Number</w:t>
            </w:r>
          </w:p>
        </w:tc>
        <w:tc>
          <w:tcPr>
            <w:tcW w:w="1760" w:type="dxa"/>
            <w:gridSpan w:val="2"/>
            <w:tcBorders>
              <w:top w:val="single" w:sz="12" w:space="0" w:color="000000"/>
              <w:left w:val="single" w:sz="12" w:space="0" w:color="000000"/>
              <w:bottom w:val="single" w:sz="12" w:space="0" w:color="000000"/>
              <w:right w:val="single" w:sz="12" w:space="0" w:color="000000"/>
            </w:tcBorders>
            <w:vAlign w:val="center"/>
          </w:tcPr>
          <w:p w14:paraId="145032EA" w14:textId="2F5808EE" w:rsidR="00B56D50" w:rsidRDefault="001C3C42" w:rsidP="00C15C6E">
            <w:pPr>
              <w:spacing w:after="0" w:line="259" w:lineRule="auto"/>
              <w:ind w:left="0" w:right="47" w:firstLine="0"/>
              <w:jc w:val="center"/>
            </w:pPr>
            <w:r>
              <w:rPr>
                <w:b/>
                <w:sz w:val="18"/>
              </w:rPr>
              <w:t>Aqueous</w:t>
            </w:r>
          </w:p>
        </w:tc>
        <w:tc>
          <w:tcPr>
            <w:tcW w:w="1955" w:type="dxa"/>
            <w:gridSpan w:val="2"/>
            <w:tcBorders>
              <w:top w:val="single" w:sz="12" w:space="0" w:color="000000"/>
              <w:left w:val="single" w:sz="12" w:space="0" w:color="000000"/>
              <w:bottom w:val="single" w:sz="12" w:space="0" w:color="000000"/>
              <w:right w:val="single" w:sz="12" w:space="0" w:color="000000"/>
            </w:tcBorders>
            <w:vAlign w:val="center"/>
          </w:tcPr>
          <w:p w14:paraId="63BE0137" w14:textId="6B94D2F1" w:rsidR="00B56D50" w:rsidRDefault="00265656" w:rsidP="00C15C6E">
            <w:pPr>
              <w:spacing w:after="0" w:line="259" w:lineRule="auto"/>
              <w:ind w:left="0" w:right="0" w:firstLine="0"/>
              <w:jc w:val="center"/>
            </w:pPr>
            <w:r>
              <w:rPr>
                <w:b/>
                <w:sz w:val="18"/>
              </w:rPr>
              <w:t>Soil/Sediment</w:t>
            </w:r>
          </w:p>
        </w:tc>
        <w:tc>
          <w:tcPr>
            <w:tcW w:w="2249" w:type="dxa"/>
            <w:gridSpan w:val="3"/>
            <w:vMerge w:val="restart"/>
            <w:tcBorders>
              <w:top w:val="single" w:sz="12" w:space="0" w:color="000000"/>
              <w:left w:val="single" w:sz="12" w:space="0" w:color="000000"/>
              <w:bottom w:val="single" w:sz="12" w:space="0" w:color="000000"/>
              <w:right w:val="single" w:sz="12" w:space="0" w:color="000000"/>
            </w:tcBorders>
            <w:vAlign w:val="center"/>
          </w:tcPr>
          <w:p w14:paraId="0B417C64" w14:textId="4E2EDBFC" w:rsidR="00B56D50" w:rsidRDefault="001C3C42" w:rsidP="00C15C6E">
            <w:pPr>
              <w:spacing w:after="0" w:line="259" w:lineRule="auto"/>
              <w:ind w:left="0" w:right="50" w:firstLine="0"/>
              <w:jc w:val="center"/>
            </w:pPr>
            <w:r>
              <w:rPr>
                <w:b/>
                <w:sz w:val="18"/>
              </w:rPr>
              <w:t>Acceptable Methods</w:t>
            </w:r>
            <w:r w:rsidR="008F7ACA">
              <w:rPr>
                <w:b/>
                <w:sz w:val="18"/>
              </w:rPr>
              <w:t xml:space="preserve"> </w:t>
            </w:r>
            <w:r w:rsidR="008F7ACA" w:rsidRPr="008F7ACA">
              <w:rPr>
                <w:b/>
                <w:sz w:val="18"/>
                <w:vertAlign w:val="superscript"/>
              </w:rPr>
              <w:t>37</w:t>
            </w:r>
          </w:p>
        </w:tc>
      </w:tr>
      <w:tr w:rsidR="00C84A5D" w14:paraId="17FB0B70" w14:textId="77777777" w:rsidTr="00C23B62">
        <w:trPr>
          <w:trHeight w:val="272"/>
          <w:tblHeader/>
        </w:trPr>
        <w:tc>
          <w:tcPr>
            <w:tcW w:w="3393" w:type="dxa"/>
            <w:vMerge/>
            <w:tcBorders>
              <w:top w:val="nil"/>
              <w:left w:val="single" w:sz="12" w:space="0" w:color="000000"/>
              <w:bottom w:val="single" w:sz="12" w:space="0" w:color="000000"/>
              <w:right w:val="single" w:sz="12" w:space="0" w:color="000000"/>
            </w:tcBorders>
            <w:vAlign w:val="center"/>
          </w:tcPr>
          <w:p w14:paraId="43EE16B7" w14:textId="77777777" w:rsidR="00B56D50" w:rsidRDefault="00B56D50" w:rsidP="00C15C6E">
            <w:pPr>
              <w:spacing w:after="160" w:line="259" w:lineRule="auto"/>
              <w:ind w:left="0" w:right="0" w:firstLine="0"/>
              <w:jc w:val="center"/>
            </w:pPr>
          </w:p>
        </w:tc>
        <w:tc>
          <w:tcPr>
            <w:tcW w:w="0" w:type="auto"/>
            <w:vMerge/>
            <w:tcBorders>
              <w:top w:val="nil"/>
              <w:left w:val="single" w:sz="12" w:space="0" w:color="000000"/>
              <w:bottom w:val="single" w:sz="12" w:space="0" w:color="000000"/>
              <w:right w:val="single" w:sz="12" w:space="0" w:color="000000"/>
            </w:tcBorders>
            <w:vAlign w:val="center"/>
          </w:tcPr>
          <w:p w14:paraId="1FEA382F" w14:textId="77777777" w:rsidR="00B56D50" w:rsidRDefault="00B56D50" w:rsidP="00C15C6E">
            <w:pPr>
              <w:spacing w:after="160" w:line="259" w:lineRule="auto"/>
              <w:ind w:left="0" w:right="0" w:firstLine="0"/>
              <w:jc w:val="center"/>
            </w:pPr>
          </w:p>
        </w:tc>
        <w:tc>
          <w:tcPr>
            <w:tcW w:w="881" w:type="dxa"/>
            <w:tcBorders>
              <w:top w:val="single" w:sz="12" w:space="0" w:color="000000"/>
              <w:left w:val="single" w:sz="12" w:space="0" w:color="000000"/>
              <w:bottom w:val="single" w:sz="12" w:space="0" w:color="000000"/>
              <w:right w:val="single" w:sz="12" w:space="0" w:color="000000"/>
            </w:tcBorders>
            <w:vAlign w:val="center"/>
          </w:tcPr>
          <w:p w14:paraId="777A2469" w14:textId="76BA330D" w:rsidR="00B56D50" w:rsidRDefault="001C3C42" w:rsidP="00C15C6E">
            <w:pPr>
              <w:spacing w:after="0" w:line="259" w:lineRule="auto"/>
              <w:ind w:left="0" w:right="50" w:firstLine="0"/>
              <w:jc w:val="center"/>
            </w:pPr>
            <w:r>
              <w:rPr>
                <w:b/>
                <w:sz w:val="18"/>
              </w:rPr>
              <w:t>RL</w:t>
            </w:r>
            <w:r w:rsidR="008F7ACA">
              <w:rPr>
                <w:b/>
                <w:sz w:val="18"/>
              </w:rPr>
              <w:t xml:space="preserve"> </w:t>
            </w:r>
            <w:r w:rsidR="008F7ACA" w:rsidRPr="002A7074">
              <w:rPr>
                <w:b/>
                <w:sz w:val="18"/>
                <w:vertAlign w:val="superscript"/>
              </w:rPr>
              <w:t>3</w:t>
            </w:r>
            <w:r w:rsidR="002A7074">
              <w:rPr>
                <w:b/>
                <w:sz w:val="18"/>
                <w:vertAlign w:val="superscript"/>
              </w:rPr>
              <w:t>8</w:t>
            </w:r>
          </w:p>
        </w:tc>
        <w:tc>
          <w:tcPr>
            <w:tcW w:w="879" w:type="dxa"/>
            <w:tcBorders>
              <w:top w:val="single" w:sz="12" w:space="0" w:color="000000"/>
              <w:left w:val="single" w:sz="12" w:space="0" w:color="000000"/>
              <w:bottom w:val="single" w:sz="12" w:space="0" w:color="000000"/>
              <w:right w:val="single" w:sz="12" w:space="0" w:color="000000"/>
            </w:tcBorders>
            <w:vAlign w:val="center"/>
          </w:tcPr>
          <w:p w14:paraId="23D3B8F9" w14:textId="60457820" w:rsidR="00B56D50" w:rsidRDefault="001C3C42" w:rsidP="00C15C6E">
            <w:pPr>
              <w:spacing w:after="0" w:line="259" w:lineRule="auto"/>
              <w:ind w:left="0" w:right="55" w:firstLine="0"/>
              <w:jc w:val="center"/>
            </w:pPr>
            <w:r>
              <w:rPr>
                <w:b/>
                <w:sz w:val="18"/>
              </w:rPr>
              <w:t>units</w:t>
            </w:r>
          </w:p>
        </w:tc>
        <w:tc>
          <w:tcPr>
            <w:tcW w:w="881" w:type="dxa"/>
            <w:tcBorders>
              <w:top w:val="single" w:sz="12" w:space="0" w:color="000000"/>
              <w:left w:val="single" w:sz="12" w:space="0" w:color="000000"/>
              <w:bottom w:val="single" w:sz="12" w:space="0" w:color="000000"/>
              <w:right w:val="single" w:sz="12" w:space="0" w:color="000000"/>
            </w:tcBorders>
            <w:vAlign w:val="center"/>
          </w:tcPr>
          <w:p w14:paraId="0C6BE06F" w14:textId="641E4DF2" w:rsidR="00B56D50" w:rsidRDefault="001C3C42" w:rsidP="00C15C6E">
            <w:pPr>
              <w:spacing w:after="0" w:line="259" w:lineRule="auto"/>
              <w:ind w:left="0" w:right="50" w:firstLine="0"/>
              <w:jc w:val="center"/>
            </w:pPr>
            <w:r>
              <w:rPr>
                <w:b/>
                <w:sz w:val="18"/>
              </w:rPr>
              <w:t>RL</w:t>
            </w:r>
          </w:p>
        </w:tc>
        <w:tc>
          <w:tcPr>
            <w:tcW w:w="1074" w:type="dxa"/>
            <w:tcBorders>
              <w:top w:val="single" w:sz="12" w:space="0" w:color="000000"/>
              <w:left w:val="single" w:sz="12" w:space="0" w:color="000000"/>
              <w:bottom w:val="single" w:sz="12" w:space="0" w:color="000000"/>
              <w:right w:val="single" w:sz="12" w:space="0" w:color="000000"/>
            </w:tcBorders>
            <w:vAlign w:val="center"/>
          </w:tcPr>
          <w:p w14:paraId="218DA9BD" w14:textId="79A13373" w:rsidR="00B56D50" w:rsidRDefault="001C3C42" w:rsidP="00C15C6E">
            <w:pPr>
              <w:spacing w:after="0" w:line="259" w:lineRule="auto"/>
              <w:ind w:left="0" w:right="52" w:firstLine="0"/>
              <w:jc w:val="center"/>
            </w:pPr>
            <w:r>
              <w:rPr>
                <w:b/>
                <w:sz w:val="18"/>
              </w:rPr>
              <w:t>units</w:t>
            </w:r>
          </w:p>
        </w:tc>
        <w:tc>
          <w:tcPr>
            <w:tcW w:w="2249" w:type="dxa"/>
            <w:gridSpan w:val="3"/>
            <w:vMerge/>
            <w:tcBorders>
              <w:top w:val="nil"/>
              <w:left w:val="single" w:sz="12" w:space="0" w:color="000000"/>
              <w:bottom w:val="single" w:sz="12" w:space="0" w:color="000000"/>
              <w:right w:val="single" w:sz="12" w:space="0" w:color="000000"/>
            </w:tcBorders>
            <w:vAlign w:val="center"/>
          </w:tcPr>
          <w:p w14:paraId="52B57FF7" w14:textId="77777777" w:rsidR="00B56D50" w:rsidRDefault="00B56D50" w:rsidP="00C15C6E">
            <w:pPr>
              <w:spacing w:after="160" w:line="259" w:lineRule="auto"/>
              <w:ind w:left="0" w:right="0" w:firstLine="0"/>
              <w:jc w:val="center"/>
            </w:pPr>
          </w:p>
        </w:tc>
      </w:tr>
      <w:tr w:rsidR="00B0429D" w14:paraId="638A3DD9" w14:textId="77777777" w:rsidTr="00C23B62">
        <w:trPr>
          <w:trHeight w:val="259"/>
        </w:trPr>
        <w:tc>
          <w:tcPr>
            <w:tcW w:w="3393" w:type="dxa"/>
            <w:tcBorders>
              <w:top w:val="single" w:sz="12" w:space="0" w:color="000000"/>
              <w:left w:val="single" w:sz="12" w:space="0" w:color="000000"/>
              <w:bottom w:val="single" w:sz="4" w:space="0" w:color="000000"/>
              <w:right w:val="single" w:sz="12" w:space="0" w:color="000000"/>
            </w:tcBorders>
          </w:tcPr>
          <w:p w14:paraId="14F27FF6" w14:textId="1A166697" w:rsidR="00B0429D" w:rsidRDefault="00B0429D" w:rsidP="00B0429D">
            <w:pPr>
              <w:spacing w:after="0" w:line="259" w:lineRule="auto"/>
              <w:ind w:left="2" w:right="0" w:firstLine="0"/>
            </w:pPr>
            <w:r>
              <w:rPr>
                <w:sz w:val="18"/>
              </w:rPr>
              <w:t>Alachlor (</w:t>
            </w:r>
            <w:r>
              <w:rPr>
                <w:i/>
                <w:sz w:val="18"/>
              </w:rPr>
              <w:t xml:space="preserve">Lasso) </w:t>
            </w:r>
          </w:p>
        </w:tc>
        <w:tc>
          <w:tcPr>
            <w:tcW w:w="1173" w:type="dxa"/>
            <w:tcBorders>
              <w:top w:val="single" w:sz="12" w:space="0" w:color="000000"/>
              <w:left w:val="single" w:sz="12" w:space="0" w:color="000000"/>
              <w:bottom w:val="single" w:sz="4" w:space="0" w:color="000000"/>
              <w:right w:val="single" w:sz="12" w:space="0" w:color="000000"/>
            </w:tcBorders>
          </w:tcPr>
          <w:p w14:paraId="3623C3A7" w14:textId="70DB3DAC" w:rsidR="00B0429D" w:rsidRDefault="00B0429D" w:rsidP="00CB5793">
            <w:pPr>
              <w:spacing w:after="0" w:line="259" w:lineRule="auto"/>
              <w:ind w:left="0" w:right="44" w:firstLine="0"/>
              <w:jc w:val="center"/>
            </w:pPr>
            <w:r>
              <w:rPr>
                <w:sz w:val="18"/>
              </w:rPr>
              <w:t>15972-60-8</w:t>
            </w:r>
          </w:p>
        </w:tc>
        <w:tc>
          <w:tcPr>
            <w:tcW w:w="881" w:type="dxa"/>
            <w:tcBorders>
              <w:top w:val="single" w:sz="12" w:space="0" w:color="000000"/>
              <w:left w:val="single" w:sz="12" w:space="0" w:color="000000"/>
              <w:bottom w:val="single" w:sz="4" w:space="0" w:color="000000"/>
              <w:right w:val="single" w:sz="12" w:space="0" w:color="000000"/>
            </w:tcBorders>
          </w:tcPr>
          <w:p w14:paraId="1515BBDB" w14:textId="25D9D444" w:rsidR="00B0429D" w:rsidRDefault="00B0429D" w:rsidP="00CB5793">
            <w:pPr>
              <w:tabs>
                <w:tab w:val="center" w:pos="354"/>
              </w:tabs>
              <w:spacing w:after="0" w:line="259" w:lineRule="auto"/>
              <w:ind w:left="0" w:right="0" w:firstLine="0"/>
              <w:jc w:val="center"/>
            </w:pPr>
            <w:r>
              <w:rPr>
                <w:sz w:val="18"/>
              </w:rPr>
              <w:t>1</w:t>
            </w:r>
          </w:p>
        </w:tc>
        <w:tc>
          <w:tcPr>
            <w:tcW w:w="879" w:type="dxa"/>
            <w:tcBorders>
              <w:top w:val="single" w:sz="12" w:space="0" w:color="000000"/>
              <w:left w:val="single" w:sz="12" w:space="0" w:color="000000"/>
              <w:bottom w:val="single" w:sz="4" w:space="0" w:color="000000"/>
              <w:right w:val="single" w:sz="12" w:space="0" w:color="000000"/>
            </w:tcBorders>
          </w:tcPr>
          <w:p w14:paraId="7DD48065" w14:textId="30B0F405" w:rsidR="00B0429D" w:rsidRDefault="00B0429D" w:rsidP="00CB5793">
            <w:pPr>
              <w:spacing w:after="0" w:line="259" w:lineRule="auto"/>
              <w:ind w:left="0" w:right="46" w:firstLine="0"/>
              <w:jc w:val="center"/>
            </w:pPr>
            <w:r>
              <w:rPr>
                <w:sz w:val="18"/>
              </w:rPr>
              <w:t>ug/L</w:t>
            </w:r>
          </w:p>
        </w:tc>
        <w:tc>
          <w:tcPr>
            <w:tcW w:w="881" w:type="dxa"/>
            <w:tcBorders>
              <w:top w:val="single" w:sz="12" w:space="0" w:color="000000"/>
              <w:left w:val="single" w:sz="12" w:space="0" w:color="000000"/>
              <w:bottom w:val="single" w:sz="4" w:space="0" w:color="000000"/>
              <w:right w:val="single" w:sz="12" w:space="0" w:color="000000"/>
            </w:tcBorders>
          </w:tcPr>
          <w:p w14:paraId="5C4E999A" w14:textId="0F8E29F4" w:rsidR="00B0429D" w:rsidRDefault="00B0429D" w:rsidP="00CB5793">
            <w:pPr>
              <w:spacing w:after="0" w:line="259" w:lineRule="auto"/>
              <w:ind w:left="0" w:right="47" w:firstLine="0"/>
              <w:jc w:val="center"/>
            </w:pPr>
            <w:r>
              <w:rPr>
                <w:sz w:val="18"/>
              </w:rPr>
              <w:t>N/A</w:t>
            </w:r>
          </w:p>
        </w:tc>
        <w:tc>
          <w:tcPr>
            <w:tcW w:w="1074" w:type="dxa"/>
            <w:tcBorders>
              <w:top w:val="single" w:sz="12" w:space="0" w:color="000000"/>
              <w:left w:val="single" w:sz="12" w:space="0" w:color="000000"/>
              <w:bottom w:val="single" w:sz="4" w:space="0" w:color="000000"/>
              <w:right w:val="single" w:sz="12" w:space="0" w:color="000000"/>
            </w:tcBorders>
          </w:tcPr>
          <w:p w14:paraId="4E678CF9" w14:textId="5BEC29B7" w:rsidR="00B0429D" w:rsidRDefault="00B0429D" w:rsidP="00CB5793">
            <w:pPr>
              <w:spacing w:after="0" w:line="259" w:lineRule="auto"/>
              <w:ind w:left="0" w:right="42" w:firstLine="0"/>
              <w:jc w:val="center"/>
            </w:pPr>
            <w:r>
              <w:rPr>
                <w:sz w:val="18"/>
              </w:rPr>
              <w:t>N/A</w:t>
            </w:r>
          </w:p>
        </w:tc>
        <w:tc>
          <w:tcPr>
            <w:tcW w:w="843" w:type="dxa"/>
            <w:tcBorders>
              <w:top w:val="single" w:sz="12" w:space="0" w:color="000000"/>
              <w:left w:val="single" w:sz="12" w:space="0" w:color="000000"/>
              <w:bottom w:val="single" w:sz="4" w:space="0" w:color="000000"/>
              <w:right w:val="single" w:sz="12" w:space="0" w:color="000000"/>
            </w:tcBorders>
          </w:tcPr>
          <w:p w14:paraId="7598191A" w14:textId="0E09348A" w:rsidR="00B0429D" w:rsidRDefault="00B0429D" w:rsidP="00CB5793">
            <w:pPr>
              <w:spacing w:after="0" w:line="259" w:lineRule="auto"/>
              <w:ind w:left="0" w:right="45" w:firstLine="0"/>
              <w:jc w:val="center"/>
            </w:pPr>
            <w:r>
              <w:rPr>
                <w:b/>
                <w:sz w:val="18"/>
              </w:rPr>
              <w:t>525.2</w:t>
            </w:r>
          </w:p>
        </w:tc>
        <w:tc>
          <w:tcPr>
            <w:tcW w:w="776" w:type="dxa"/>
            <w:tcBorders>
              <w:top w:val="single" w:sz="12" w:space="0" w:color="000000"/>
              <w:left w:val="single" w:sz="12" w:space="0" w:color="000000"/>
              <w:bottom w:val="single" w:sz="4" w:space="0" w:color="000000"/>
              <w:right w:val="single" w:sz="12" w:space="0" w:color="000000"/>
            </w:tcBorders>
          </w:tcPr>
          <w:p w14:paraId="6707E2D2" w14:textId="12314A8F" w:rsidR="00B0429D" w:rsidRDefault="00B0429D" w:rsidP="00CB5793">
            <w:pPr>
              <w:spacing w:after="0" w:line="259" w:lineRule="auto"/>
              <w:ind w:left="0" w:right="44" w:firstLine="0"/>
              <w:jc w:val="center"/>
            </w:pPr>
            <w:r>
              <w:rPr>
                <w:sz w:val="18"/>
              </w:rPr>
              <w:t>508.1</w:t>
            </w:r>
          </w:p>
        </w:tc>
        <w:tc>
          <w:tcPr>
            <w:tcW w:w="630" w:type="dxa"/>
            <w:tcBorders>
              <w:top w:val="single" w:sz="12" w:space="0" w:color="000000"/>
              <w:left w:val="single" w:sz="12" w:space="0" w:color="000000"/>
              <w:bottom w:val="single" w:sz="4" w:space="0" w:color="000000"/>
              <w:right w:val="single" w:sz="12" w:space="0" w:color="000000"/>
            </w:tcBorders>
          </w:tcPr>
          <w:p w14:paraId="34956D2E" w14:textId="0805FAD0" w:rsidR="00B0429D" w:rsidRDefault="00B0429D" w:rsidP="00CB5793">
            <w:pPr>
              <w:spacing w:after="0" w:line="259" w:lineRule="auto"/>
              <w:ind w:left="0" w:right="46" w:firstLine="0"/>
              <w:jc w:val="center"/>
            </w:pPr>
            <w:r>
              <w:rPr>
                <w:sz w:val="18"/>
              </w:rPr>
              <w:t>505</w:t>
            </w:r>
          </w:p>
        </w:tc>
      </w:tr>
      <w:tr w:rsidR="00B0429D" w14:paraId="3D7CA0B8" w14:textId="77777777" w:rsidTr="00C23B62">
        <w:trPr>
          <w:trHeight w:val="250"/>
        </w:trPr>
        <w:tc>
          <w:tcPr>
            <w:tcW w:w="3393" w:type="dxa"/>
            <w:tcBorders>
              <w:top w:val="single" w:sz="4" w:space="0" w:color="000000"/>
              <w:left w:val="single" w:sz="12" w:space="0" w:color="000000"/>
              <w:bottom w:val="single" w:sz="4" w:space="0" w:color="000000"/>
              <w:right w:val="single" w:sz="12" w:space="0" w:color="000000"/>
            </w:tcBorders>
          </w:tcPr>
          <w:p w14:paraId="49739A41" w14:textId="77777777" w:rsidR="00B0429D" w:rsidRDefault="00B0429D" w:rsidP="00B0429D">
            <w:pPr>
              <w:spacing w:after="0" w:line="259" w:lineRule="auto"/>
              <w:ind w:left="2" w:right="0" w:firstLine="0"/>
            </w:pPr>
            <w:r>
              <w:rPr>
                <w:sz w:val="18"/>
              </w:rPr>
              <w:t xml:space="preserve">Aldrin </w:t>
            </w:r>
          </w:p>
        </w:tc>
        <w:tc>
          <w:tcPr>
            <w:tcW w:w="1173" w:type="dxa"/>
            <w:tcBorders>
              <w:top w:val="single" w:sz="4" w:space="0" w:color="000000"/>
              <w:left w:val="single" w:sz="12" w:space="0" w:color="000000"/>
              <w:bottom w:val="single" w:sz="4" w:space="0" w:color="000000"/>
              <w:right w:val="single" w:sz="12" w:space="0" w:color="000000"/>
            </w:tcBorders>
          </w:tcPr>
          <w:p w14:paraId="72F18315" w14:textId="6873AD24" w:rsidR="00B0429D" w:rsidRDefault="00B0429D" w:rsidP="00CB5793">
            <w:pPr>
              <w:spacing w:after="0" w:line="259" w:lineRule="auto"/>
              <w:ind w:left="0" w:right="44" w:firstLine="0"/>
              <w:jc w:val="center"/>
            </w:pPr>
            <w:r>
              <w:rPr>
                <w:sz w:val="18"/>
              </w:rPr>
              <w:t>309-00-2</w:t>
            </w:r>
          </w:p>
        </w:tc>
        <w:tc>
          <w:tcPr>
            <w:tcW w:w="881" w:type="dxa"/>
            <w:tcBorders>
              <w:top w:val="single" w:sz="4" w:space="0" w:color="000000"/>
              <w:left w:val="single" w:sz="12" w:space="0" w:color="000000"/>
              <w:bottom w:val="single" w:sz="4" w:space="0" w:color="000000"/>
              <w:right w:val="single" w:sz="12" w:space="0" w:color="000000"/>
            </w:tcBorders>
          </w:tcPr>
          <w:p w14:paraId="363EA3CE" w14:textId="38C62508" w:rsidR="00B0429D" w:rsidRDefault="00B0429D" w:rsidP="00CB5793">
            <w:pPr>
              <w:tabs>
                <w:tab w:val="right" w:pos="712"/>
              </w:tabs>
              <w:spacing w:after="0" w:line="259" w:lineRule="auto"/>
              <w:ind w:left="0" w:right="0" w:firstLine="0"/>
              <w:jc w:val="center"/>
            </w:pPr>
            <w:r>
              <w:rPr>
                <w:b/>
                <w:sz w:val="18"/>
              </w:rPr>
              <w:t>0.05</w:t>
            </w:r>
          </w:p>
        </w:tc>
        <w:tc>
          <w:tcPr>
            <w:tcW w:w="879" w:type="dxa"/>
            <w:tcBorders>
              <w:top w:val="single" w:sz="4" w:space="0" w:color="000000"/>
              <w:left w:val="single" w:sz="12" w:space="0" w:color="000000"/>
              <w:bottom w:val="single" w:sz="4" w:space="0" w:color="000000"/>
              <w:right w:val="single" w:sz="12" w:space="0" w:color="000000"/>
            </w:tcBorders>
          </w:tcPr>
          <w:p w14:paraId="1C1EF453" w14:textId="24876D6A" w:rsidR="00B0429D" w:rsidRDefault="00B0429D" w:rsidP="00CB5793">
            <w:pPr>
              <w:spacing w:after="0" w:line="259" w:lineRule="auto"/>
              <w:ind w:left="0" w:right="46" w:firstLine="0"/>
              <w:jc w:val="center"/>
            </w:pPr>
            <w:r>
              <w:rPr>
                <w:sz w:val="18"/>
              </w:rPr>
              <w:t>ug/L</w:t>
            </w:r>
          </w:p>
        </w:tc>
        <w:tc>
          <w:tcPr>
            <w:tcW w:w="881" w:type="dxa"/>
            <w:tcBorders>
              <w:top w:val="single" w:sz="4" w:space="0" w:color="000000"/>
              <w:left w:val="single" w:sz="12" w:space="0" w:color="000000"/>
              <w:bottom w:val="single" w:sz="4" w:space="0" w:color="000000"/>
              <w:right w:val="single" w:sz="12" w:space="0" w:color="000000"/>
            </w:tcBorders>
          </w:tcPr>
          <w:p w14:paraId="6A8FC980" w14:textId="7A7D3640" w:rsidR="00B0429D" w:rsidRDefault="00B0429D" w:rsidP="00CB5793">
            <w:pPr>
              <w:spacing w:after="0" w:line="259" w:lineRule="auto"/>
              <w:ind w:left="0" w:right="47" w:firstLine="0"/>
              <w:jc w:val="center"/>
            </w:pPr>
            <w:r>
              <w:rPr>
                <w:sz w:val="18"/>
              </w:rPr>
              <w:t>N/A</w:t>
            </w:r>
          </w:p>
        </w:tc>
        <w:tc>
          <w:tcPr>
            <w:tcW w:w="1074" w:type="dxa"/>
            <w:tcBorders>
              <w:top w:val="single" w:sz="4" w:space="0" w:color="000000"/>
              <w:left w:val="single" w:sz="12" w:space="0" w:color="000000"/>
              <w:bottom w:val="single" w:sz="4" w:space="0" w:color="000000"/>
              <w:right w:val="single" w:sz="12" w:space="0" w:color="000000"/>
            </w:tcBorders>
          </w:tcPr>
          <w:p w14:paraId="293219EE" w14:textId="30971EAD" w:rsidR="00B0429D" w:rsidRDefault="00B0429D" w:rsidP="00CB5793">
            <w:pPr>
              <w:spacing w:after="0" w:line="259" w:lineRule="auto"/>
              <w:ind w:left="0" w:right="42" w:firstLine="0"/>
              <w:jc w:val="center"/>
            </w:pPr>
            <w:r>
              <w:rPr>
                <w:sz w:val="18"/>
              </w:rPr>
              <w:t>N/A</w:t>
            </w:r>
          </w:p>
        </w:tc>
        <w:tc>
          <w:tcPr>
            <w:tcW w:w="843" w:type="dxa"/>
            <w:tcBorders>
              <w:top w:val="single" w:sz="4" w:space="0" w:color="000000"/>
              <w:left w:val="single" w:sz="12" w:space="0" w:color="000000"/>
              <w:bottom w:val="single" w:sz="4" w:space="0" w:color="000000"/>
              <w:right w:val="single" w:sz="12" w:space="0" w:color="000000"/>
            </w:tcBorders>
          </w:tcPr>
          <w:p w14:paraId="02197E8E" w14:textId="30809C34" w:rsidR="00B0429D" w:rsidRDefault="00B0429D" w:rsidP="00CB5793">
            <w:pPr>
              <w:spacing w:after="0" w:line="259" w:lineRule="auto"/>
              <w:ind w:left="0" w:right="45" w:firstLine="0"/>
              <w:jc w:val="center"/>
            </w:pPr>
            <w:r>
              <w:rPr>
                <w:b/>
                <w:sz w:val="18"/>
              </w:rPr>
              <w:t>525.2</w:t>
            </w:r>
          </w:p>
        </w:tc>
        <w:tc>
          <w:tcPr>
            <w:tcW w:w="776" w:type="dxa"/>
            <w:tcBorders>
              <w:top w:val="single" w:sz="4" w:space="0" w:color="000000"/>
              <w:left w:val="single" w:sz="12" w:space="0" w:color="000000"/>
              <w:bottom w:val="single" w:sz="4" w:space="0" w:color="000000"/>
              <w:right w:val="single" w:sz="12" w:space="0" w:color="000000"/>
            </w:tcBorders>
          </w:tcPr>
          <w:p w14:paraId="2718BED1" w14:textId="50F54A0F" w:rsidR="00B0429D" w:rsidRDefault="00B0429D" w:rsidP="00CB5793">
            <w:pPr>
              <w:spacing w:after="0" w:line="259" w:lineRule="auto"/>
              <w:ind w:left="0" w:right="44" w:firstLine="0"/>
              <w:jc w:val="center"/>
            </w:pPr>
            <w:r>
              <w:rPr>
                <w:sz w:val="18"/>
              </w:rPr>
              <w:t>508.1</w:t>
            </w:r>
          </w:p>
        </w:tc>
        <w:tc>
          <w:tcPr>
            <w:tcW w:w="630" w:type="dxa"/>
            <w:tcBorders>
              <w:top w:val="single" w:sz="4" w:space="0" w:color="000000"/>
              <w:left w:val="single" w:sz="12" w:space="0" w:color="000000"/>
              <w:bottom w:val="single" w:sz="4" w:space="0" w:color="000000"/>
              <w:right w:val="single" w:sz="12" w:space="0" w:color="000000"/>
            </w:tcBorders>
          </w:tcPr>
          <w:p w14:paraId="7B5D185D" w14:textId="6D27131D" w:rsidR="00B0429D" w:rsidRDefault="00B0429D" w:rsidP="00CB5793">
            <w:pPr>
              <w:spacing w:after="0" w:line="259" w:lineRule="auto"/>
              <w:ind w:left="0" w:right="46" w:firstLine="0"/>
              <w:jc w:val="center"/>
            </w:pPr>
            <w:r>
              <w:rPr>
                <w:sz w:val="18"/>
              </w:rPr>
              <w:t>505</w:t>
            </w:r>
          </w:p>
        </w:tc>
      </w:tr>
      <w:tr w:rsidR="00B0429D" w14:paraId="04D9518D" w14:textId="77777777" w:rsidTr="00C23B62">
        <w:trPr>
          <w:trHeight w:val="252"/>
        </w:trPr>
        <w:tc>
          <w:tcPr>
            <w:tcW w:w="3393" w:type="dxa"/>
            <w:tcBorders>
              <w:top w:val="single" w:sz="4" w:space="0" w:color="000000"/>
              <w:left w:val="single" w:sz="12" w:space="0" w:color="000000"/>
              <w:bottom w:val="single" w:sz="4" w:space="0" w:color="000000"/>
              <w:right w:val="single" w:sz="12" w:space="0" w:color="000000"/>
            </w:tcBorders>
          </w:tcPr>
          <w:p w14:paraId="712E9346" w14:textId="588F7768" w:rsidR="00B0429D" w:rsidRDefault="00B0429D" w:rsidP="00B0429D">
            <w:pPr>
              <w:spacing w:after="0" w:line="259" w:lineRule="auto"/>
              <w:ind w:left="2" w:right="0" w:firstLine="0"/>
            </w:pPr>
            <w:r>
              <w:rPr>
                <w:sz w:val="18"/>
              </w:rPr>
              <w:t>Atrazine (</w:t>
            </w:r>
            <w:proofErr w:type="spellStart"/>
            <w:r>
              <w:rPr>
                <w:i/>
                <w:sz w:val="18"/>
              </w:rPr>
              <w:t>Aatrex</w:t>
            </w:r>
            <w:proofErr w:type="spellEnd"/>
            <w:r>
              <w:rPr>
                <w:i/>
                <w:sz w:val="18"/>
              </w:rPr>
              <w:t xml:space="preserve">) </w:t>
            </w:r>
          </w:p>
        </w:tc>
        <w:tc>
          <w:tcPr>
            <w:tcW w:w="1173" w:type="dxa"/>
            <w:tcBorders>
              <w:top w:val="single" w:sz="4" w:space="0" w:color="000000"/>
              <w:left w:val="single" w:sz="12" w:space="0" w:color="000000"/>
              <w:bottom w:val="single" w:sz="4" w:space="0" w:color="000000"/>
              <w:right w:val="single" w:sz="12" w:space="0" w:color="000000"/>
            </w:tcBorders>
          </w:tcPr>
          <w:p w14:paraId="22D4DBDE" w14:textId="0F152E6F" w:rsidR="00B0429D" w:rsidRDefault="00B0429D" w:rsidP="00CB5793">
            <w:pPr>
              <w:spacing w:after="0" w:line="259" w:lineRule="auto"/>
              <w:ind w:left="0" w:right="44" w:firstLine="0"/>
              <w:jc w:val="center"/>
            </w:pPr>
            <w:r>
              <w:rPr>
                <w:sz w:val="18"/>
              </w:rPr>
              <w:t>1912-24-9</w:t>
            </w:r>
          </w:p>
        </w:tc>
        <w:tc>
          <w:tcPr>
            <w:tcW w:w="881" w:type="dxa"/>
            <w:tcBorders>
              <w:top w:val="single" w:sz="4" w:space="0" w:color="000000"/>
              <w:left w:val="single" w:sz="12" w:space="0" w:color="000000"/>
              <w:bottom w:val="single" w:sz="4" w:space="0" w:color="000000"/>
              <w:right w:val="single" w:sz="12" w:space="0" w:color="000000"/>
            </w:tcBorders>
          </w:tcPr>
          <w:p w14:paraId="5B039BCE" w14:textId="3AA30535" w:rsidR="00B0429D" w:rsidRDefault="00B0429D" w:rsidP="00CB5793">
            <w:pPr>
              <w:tabs>
                <w:tab w:val="center" w:pos="399"/>
              </w:tabs>
              <w:spacing w:after="0" w:line="259" w:lineRule="auto"/>
              <w:ind w:left="0" w:right="0" w:firstLine="0"/>
              <w:jc w:val="center"/>
            </w:pPr>
            <w:r>
              <w:rPr>
                <w:b/>
                <w:sz w:val="18"/>
              </w:rPr>
              <w:t>0.3</w:t>
            </w:r>
          </w:p>
        </w:tc>
        <w:tc>
          <w:tcPr>
            <w:tcW w:w="879" w:type="dxa"/>
            <w:tcBorders>
              <w:top w:val="single" w:sz="4" w:space="0" w:color="000000"/>
              <w:left w:val="single" w:sz="12" w:space="0" w:color="000000"/>
              <w:bottom w:val="single" w:sz="4" w:space="0" w:color="000000"/>
              <w:right w:val="single" w:sz="12" w:space="0" w:color="000000"/>
            </w:tcBorders>
          </w:tcPr>
          <w:p w14:paraId="347D049B" w14:textId="1B0B9487" w:rsidR="00B0429D" w:rsidRDefault="00B0429D" w:rsidP="00CB5793">
            <w:pPr>
              <w:spacing w:after="0" w:line="259" w:lineRule="auto"/>
              <w:ind w:left="0" w:right="46" w:firstLine="0"/>
              <w:jc w:val="center"/>
            </w:pPr>
            <w:r>
              <w:rPr>
                <w:sz w:val="18"/>
              </w:rPr>
              <w:t>ug/L</w:t>
            </w:r>
          </w:p>
        </w:tc>
        <w:tc>
          <w:tcPr>
            <w:tcW w:w="881" w:type="dxa"/>
            <w:tcBorders>
              <w:top w:val="single" w:sz="4" w:space="0" w:color="000000"/>
              <w:left w:val="single" w:sz="12" w:space="0" w:color="000000"/>
              <w:bottom w:val="single" w:sz="4" w:space="0" w:color="000000"/>
              <w:right w:val="single" w:sz="12" w:space="0" w:color="000000"/>
            </w:tcBorders>
          </w:tcPr>
          <w:p w14:paraId="3B266ED3" w14:textId="264DC374" w:rsidR="00B0429D" w:rsidRDefault="00B0429D" w:rsidP="00CB5793">
            <w:pPr>
              <w:spacing w:after="0" w:line="259" w:lineRule="auto"/>
              <w:ind w:left="0" w:right="47" w:firstLine="0"/>
              <w:jc w:val="center"/>
            </w:pPr>
            <w:r>
              <w:rPr>
                <w:sz w:val="18"/>
              </w:rPr>
              <w:t>N/A</w:t>
            </w:r>
          </w:p>
        </w:tc>
        <w:tc>
          <w:tcPr>
            <w:tcW w:w="1074" w:type="dxa"/>
            <w:tcBorders>
              <w:top w:val="single" w:sz="4" w:space="0" w:color="000000"/>
              <w:left w:val="single" w:sz="12" w:space="0" w:color="000000"/>
              <w:bottom w:val="single" w:sz="4" w:space="0" w:color="000000"/>
              <w:right w:val="single" w:sz="12" w:space="0" w:color="000000"/>
            </w:tcBorders>
          </w:tcPr>
          <w:p w14:paraId="4C765730" w14:textId="10500CC4" w:rsidR="00B0429D" w:rsidRDefault="00B0429D" w:rsidP="00CB5793">
            <w:pPr>
              <w:spacing w:after="0" w:line="259" w:lineRule="auto"/>
              <w:ind w:left="0" w:right="42" w:firstLine="0"/>
              <w:jc w:val="center"/>
            </w:pPr>
            <w:r>
              <w:rPr>
                <w:sz w:val="18"/>
              </w:rPr>
              <w:t>N/A</w:t>
            </w:r>
          </w:p>
        </w:tc>
        <w:tc>
          <w:tcPr>
            <w:tcW w:w="843" w:type="dxa"/>
            <w:tcBorders>
              <w:top w:val="single" w:sz="4" w:space="0" w:color="000000"/>
              <w:left w:val="single" w:sz="12" w:space="0" w:color="000000"/>
              <w:bottom w:val="single" w:sz="4" w:space="0" w:color="000000"/>
              <w:right w:val="single" w:sz="12" w:space="0" w:color="000000"/>
            </w:tcBorders>
          </w:tcPr>
          <w:p w14:paraId="72FBB1AA" w14:textId="6A066396" w:rsidR="00B0429D" w:rsidRDefault="00B0429D" w:rsidP="00CB5793">
            <w:pPr>
              <w:spacing w:after="0" w:line="259" w:lineRule="auto"/>
              <w:ind w:left="0" w:right="45" w:firstLine="0"/>
              <w:jc w:val="center"/>
            </w:pPr>
            <w:r>
              <w:rPr>
                <w:b/>
                <w:sz w:val="18"/>
              </w:rPr>
              <w:t>525.2</w:t>
            </w:r>
          </w:p>
        </w:tc>
        <w:tc>
          <w:tcPr>
            <w:tcW w:w="776" w:type="dxa"/>
            <w:tcBorders>
              <w:top w:val="single" w:sz="4" w:space="0" w:color="000000"/>
              <w:left w:val="single" w:sz="12" w:space="0" w:color="000000"/>
              <w:bottom w:val="single" w:sz="4" w:space="0" w:color="000000"/>
              <w:right w:val="single" w:sz="12" w:space="0" w:color="000000"/>
            </w:tcBorders>
          </w:tcPr>
          <w:p w14:paraId="3CDBAFCF" w14:textId="12276E07" w:rsidR="00B0429D" w:rsidRDefault="00B0429D" w:rsidP="00CB5793">
            <w:pPr>
              <w:spacing w:after="0" w:line="259" w:lineRule="auto"/>
              <w:ind w:left="0" w:right="44" w:firstLine="0"/>
              <w:jc w:val="center"/>
            </w:pPr>
            <w:r>
              <w:rPr>
                <w:sz w:val="18"/>
              </w:rPr>
              <w:t>508.1</w:t>
            </w:r>
          </w:p>
        </w:tc>
        <w:tc>
          <w:tcPr>
            <w:tcW w:w="630" w:type="dxa"/>
            <w:tcBorders>
              <w:top w:val="single" w:sz="4" w:space="0" w:color="000000"/>
              <w:left w:val="single" w:sz="12" w:space="0" w:color="000000"/>
              <w:bottom w:val="single" w:sz="4" w:space="0" w:color="000000"/>
              <w:right w:val="single" w:sz="12" w:space="0" w:color="000000"/>
            </w:tcBorders>
          </w:tcPr>
          <w:p w14:paraId="52F46526" w14:textId="0DB4B1AD" w:rsidR="00B0429D" w:rsidRDefault="00B0429D" w:rsidP="00CB5793">
            <w:pPr>
              <w:spacing w:after="0" w:line="259" w:lineRule="auto"/>
              <w:ind w:left="0" w:right="46" w:firstLine="0"/>
              <w:jc w:val="center"/>
            </w:pPr>
            <w:r>
              <w:rPr>
                <w:sz w:val="18"/>
              </w:rPr>
              <w:t>507</w:t>
            </w:r>
          </w:p>
        </w:tc>
      </w:tr>
      <w:tr w:rsidR="00B0429D" w14:paraId="4D08500A" w14:textId="77777777" w:rsidTr="00C23B62">
        <w:trPr>
          <w:trHeight w:val="250"/>
        </w:trPr>
        <w:tc>
          <w:tcPr>
            <w:tcW w:w="3393" w:type="dxa"/>
            <w:tcBorders>
              <w:top w:val="single" w:sz="4" w:space="0" w:color="000000"/>
              <w:left w:val="single" w:sz="12" w:space="0" w:color="000000"/>
              <w:bottom w:val="single" w:sz="4" w:space="0" w:color="000000"/>
              <w:right w:val="single" w:sz="12" w:space="0" w:color="000000"/>
            </w:tcBorders>
          </w:tcPr>
          <w:p w14:paraId="201A5389" w14:textId="2FCC0EE8" w:rsidR="00B0429D" w:rsidRPr="00E25B5C" w:rsidRDefault="009C39F7" w:rsidP="00B0429D">
            <w:pPr>
              <w:spacing w:after="0" w:line="259" w:lineRule="auto"/>
              <w:ind w:left="2" w:right="0" w:firstLine="0"/>
            </w:pPr>
            <w:proofErr w:type="gramStart"/>
            <w:r w:rsidRPr="00E25B5C">
              <w:rPr>
                <w:rFonts w:eastAsia="Segoe UI Symbol"/>
                <w:sz w:val="18"/>
              </w:rPr>
              <w:t>alpha</w:t>
            </w:r>
            <w:proofErr w:type="gramEnd"/>
            <w:r w:rsidR="00B0429D" w:rsidRPr="00E25B5C">
              <w:rPr>
                <w:sz w:val="18"/>
              </w:rPr>
              <w:t xml:space="preserve">-Chlordane </w:t>
            </w:r>
          </w:p>
        </w:tc>
        <w:tc>
          <w:tcPr>
            <w:tcW w:w="1173" w:type="dxa"/>
            <w:tcBorders>
              <w:top w:val="single" w:sz="4" w:space="0" w:color="000000"/>
              <w:left w:val="single" w:sz="12" w:space="0" w:color="000000"/>
              <w:bottom w:val="single" w:sz="4" w:space="0" w:color="000000"/>
              <w:right w:val="single" w:sz="12" w:space="0" w:color="000000"/>
            </w:tcBorders>
          </w:tcPr>
          <w:p w14:paraId="2D0362EC" w14:textId="6810F6FD" w:rsidR="00B0429D" w:rsidRDefault="00B0429D" w:rsidP="00CB5793">
            <w:pPr>
              <w:spacing w:after="0" w:line="259" w:lineRule="auto"/>
              <w:ind w:left="0" w:right="44" w:firstLine="0"/>
              <w:jc w:val="center"/>
            </w:pPr>
            <w:r>
              <w:rPr>
                <w:sz w:val="18"/>
              </w:rPr>
              <w:t>5103-71-9</w:t>
            </w:r>
          </w:p>
        </w:tc>
        <w:tc>
          <w:tcPr>
            <w:tcW w:w="881" w:type="dxa"/>
            <w:tcBorders>
              <w:top w:val="single" w:sz="4" w:space="0" w:color="000000"/>
              <w:left w:val="single" w:sz="12" w:space="0" w:color="000000"/>
              <w:bottom w:val="single" w:sz="4" w:space="0" w:color="000000"/>
              <w:right w:val="single" w:sz="12" w:space="0" w:color="000000"/>
            </w:tcBorders>
          </w:tcPr>
          <w:p w14:paraId="75F6BB64" w14:textId="6DE02A23" w:rsidR="00B0429D" w:rsidRDefault="00B0429D" w:rsidP="00CB5793">
            <w:pPr>
              <w:tabs>
                <w:tab w:val="center" w:pos="399"/>
              </w:tabs>
              <w:spacing w:after="0" w:line="259" w:lineRule="auto"/>
              <w:ind w:left="0" w:right="0" w:firstLine="0"/>
              <w:jc w:val="center"/>
            </w:pPr>
            <w:r>
              <w:rPr>
                <w:sz w:val="18"/>
              </w:rPr>
              <w:t>0.2</w:t>
            </w:r>
          </w:p>
        </w:tc>
        <w:tc>
          <w:tcPr>
            <w:tcW w:w="879" w:type="dxa"/>
            <w:tcBorders>
              <w:top w:val="single" w:sz="4" w:space="0" w:color="000000"/>
              <w:left w:val="single" w:sz="12" w:space="0" w:color="000000"/>
              <w:bottom w:val="single" w:sz="4" w:space="0" w:color="000000"/>
              <w:right w:val="single" w:sz="12" w:space="0" w:color="000000"/>
            </w:tcBorders>
          </w:tcPr>
          <w:p w14:paraId="157FEC5C" w14:textId="4BBD85F0" w:rsidR="00B0429D" w:rsidRDefault="00B0429D" w:rsidP="00CB5793">
            <w:pPr>
              <w:spacing w:after="0" w:line="259" w:lineRule="auto"/>
              <w:ind w:left="0" w:right="46" w:firstLine="0"/>
              <w:jc w:val="center"/>
            </w:pPr>
            <w:r>
              <w:rPr>
                <w:sz w:val="18"/>
              </w:rPr>
              <w:t>ug/L</w:t>
            </w:r>
          </w:p>
        </w:tc>
        <w:tc>
          <w:tcPr>
            <w:tcW w:w="881" w:type="dxa"/>
            <w:tcBorders>
              <w:top w:val="single" w:sz="4" w:space="0" w:color="000000"/>
              <w:left w:val="single" w:sz="12" w:space="0" w:color="000000"/>
              <w:bottom w:val="single" w:sz="4" w:space="0" w:color="000000"/>
              <w:right w:val="single" w:sz="12" w:space="0" w:color="000000"/>
            </w:tcBorders>
          </w:tcPr>
          <w:p w14:paraId="679B30CE" w14:textId="40C82087" w:rsidR="00B0429D" w:rsidRDefault="00B0429D" w:rsidP="00CB5793">
            <w:pPr>
              <w:spacing w:after="0" w:line="259" w:lineRule="auto"/>
              <w:ind w:left="0" w:right="47" w:firstLine="0"/>
              <w:jc w:val="center"/>
            </w:pPr>
            <w:r>
              <w:rPr>
                <w:sz w:val="18"/>
              </w:rPr>
              <w:t>N/A</w:t>
            </w:r>
          </w:p>
        </w:tc>
        <w:tc>
          <w:tcPr>
            <w:tcW w:w="1074" w:type="dxa"/>
            <w:tcBorders>
              <w:top w:val="single" w:sz="4" w:space="0" w:color="000000"/>
              <w:left w:val="single" w:sz="12" w:space="0" w:color="000000"/>
              <w:bottom w:val="single" w:sz="4" w:space="0" w:color="000000"/>
              <w:right w:val="single" w:sz="12" w:space="0" w:color="000000"/>
            </w:tcBorders>
          </w:tcPr>
          <w:p w14:paraId="47AC2F32" w14:textId="5894BACD" w:rsidR="00B0429D" w:rsidRDefault="00B0429D" w:rsidP="00CB5793">
            <w:pPr>
              <w:spacing w:after="0" w:line="259" w:lineRule="auto"/>
              <w:ind w:left="0" w:right="42" w:firstLine="0"/>
              <w:jc w:val="center"/>
            </w:pPr>
            <w:r>
              <w:rPr>
                <w:sz w:val="18"/>
              </w:rPr>
              <w:t>N/A</w:t>
            </w:r>
          </w:p>
        </w:tc>
        <w:tc>
          <w:tcPr>
            <w:tcW w:w="843" w:type="dxa"/>
            <w:tcBorders>
              <w:top w:val="single" w:sz="4" w:space="0" w:color="000000"/>
              <w:left w:val="single" w:sz="12" w:space="0" w:color="000000"/>
              <w:bottom w:val="single" w:sz="4" w:space="0" w:color="000000"/>
              <w:right w:val="single" w:sz="12" w:space="0" w:color="000000"/>
            </w:tcBorders>
          </w:tcPr>
          <w:p w14:paraId="339B5B45" w14:textId="5CCF298E" w:rsidR="00B0429D" w:rsidRDefault="00B0429D" w:rsidP="00CB5793">
            <w:pPr>
              <w:spacing w:after="0" w:line="259" w:lineRule="auto"/>
              <w:ind w:left="0" w:right="45" w:firstLine="0"/>
              <w:jc w:val="center"/>
            </w:pPr>
            <w:r>
              <w:rPr>
                <w:b/>
                <w:sz w:val="18"/>
              </w:rPr>
              <w:t>525.2</w:t>
            </w:r>
          </w:p>
        </w:tc>
        <w:tc>
          <w:tcPr>
            <w:tcW w:w="776" w:type="dxa"/>
            <w:tcBorders>
              <w:top w:val="single" w:sz="4" w:space="0" w:color="000000"/>
              <w:left w:val="single" w:sz="12" w:space="0" w:color="000000"/>
              <w:bottom w:val="single" w:sz="4" w:space="0" w:color="000000"/>
              <w:right w:val="single" w:sz="12" w:space="0" w:color="000000"/>
            </w:tcBorders>
          </w:tcPr>
          <w:p w14:paraId="6A093231" w14:textId="127A19AF" w:rsidR="00B0429D" w:rsidRDefault="00B0429D" w:rsidP="00CB5793">
            <w:pPr>
              <w:spacing w:after="0" w:line="259" w:lineRule="auto"/>
              <w:ind w:left="0" w:right="44" w:firstLine="0"/>
              <w:jc w:val="center"/>
            </w:pPr>
            <w:r>
              <w:rPr>
                <w:sz w:val="18"/>
              </w:rPr>
              <w:t>508.1</w:t>
            </w:r>
          </w:p>
        </w:tc>
        <w:tc>
          <w:tcPr>
            <w:tcW w:w="630" w:type="dxa"/>
            <w:tcBorders>
              <w:top w:val="single" w:sz="4" w:space="0" w:color="000000"/>
              <w:left w:val="single" w:sz="12" w:space="0" w:color="000000"/>
              <w:bottom w:val="single" w:sz="4" w:space="0" w:color="000000"/>
              <w:right w:val="single" w:sz="12" w:space="0" w:color="000000"/>
            </w:tcBorders>
          </w:tcPr>
          <w:p w14:paraId="7DD7709E" w14:textId="71381408" w:rsidR="00B0429D" w:rsidRDefault="00B0429D" w:rsidP="00CB5793">
            <w:pPr>
              <w:spacing w:after="0" w:line="259" w:lineRule="auto"/>
              <w:ind w:left="0" w:right="46" w:firstLine="0"/>
              <w:jc w:val="center"/>
            </w:pPr>
            <w:r>
              <w:rPr>
                <w:sz w:val="18"/>
              </w:rPr>
              <w:t>505</w:t>
            </w:r>
          </w:p>
        </w:tc>
      </w:tr>
      <w:tr w:rsidR="00B0429D" w14:paraId="1FC487EB" w14:textId="77777777" w:rsidTr="00C23B62">
        <w:trPr>
          <w:trHeight w:val="250"/>
        </w:trPr>
        <w:tc>
          <w:tcPr>
            <w:tcW w:w="3393" w:type="dxa"/>
            <w:tcBorders>
              <w:top w:val="single" w:sz="4" w:space="0" w:color="000000"/>
              <w:left w:val="single" w:sz="12" w:space="0" w:color="000000"/>
              <w:bottom w:val="single" w:sz="4" w:space="0" w:color="000000"/>
              <w:right w:val="single" w:sz="12" w:space="0" w:color="000000"/>
            </w:tcBorders>
          </w:tcPr>
          <w:p w14:paraId="52F3662D" w14:textId="6903296F" w:rsidR="00B0429D" w:rsidRPr="00E25B5C" w:rsidRDefault="009C39F7" w:rsidP="00B0429D">
            <w:pPr>
              <w:spacing w:after="0" w:line="259" w:lineRule="auto"/>
              <w:ind w:left="2" w:right="0" w:firstLine="0"/>
            </w:pPr>
            <w:r w:rsidRPr="00E25B5C">
              <w:rPr>
                <w:rFonts w:eastAsia="Segoe UI Symbol"/>
                <w:sz w:val="18"/>
              </w:rPr>
              <w:t>gamma</w:t>
            </w:r>
            <w:r w:rsidR="00B0429D" w:rsidRPr="00E25B5C">
              <w:rPr>
                <w:sz w:val="18"/>
              </w:rPr>
              <w:t xml:space="preserve">-Chlordane </w:t>
            </w:r>
          </w:p>
        </w:tc>
        <w:tc>
          <w:tcPr>
            <w:tcW w:w="1173" w:type="dxa"/>
            <w:tcBorders>
              <w:top w:val="single" w:sz="4" w:space="0" w:color="000000"/>
              <w:left w:val="single" w:sz="12" w:space="0" w:color="000000"/>
              <w:bottom w:val="single" w:sz="4" w:space="0" w:color="000000"/>
              <w:right w:val="single" w:sz="12" w:space="0" w:color="000000"/>
            </w:tcBorders>
          </w:tcPr>
          <w:p w14:paraId="5EA39E51" w14:textId="0F655F5C" w:rsidR="00B0429D" w:rsidRDefault="00B0429D" w:rsidP="00CB5793">
            <w:pPr>
              <w:spacing w:after="0" w:line="259" w:lineRule="auto"/>
              <w:ind w:left="0" w:right="44" w:firstLine="0"/>
              <w:jc w:val="center"/>
            </w:pPr>
            <w:r>
              <w:rPr>
                <w:sz w:val="18"/>
              </w:rPr>
              <w:t>5103-74-2</w:t>
            </w:r>
          </w:p>
        </w:tc>
        <w:tc>
          <w:tcPr>
            <w:tcW w:w="881" w:type="dxa"/>
            <w:tcBorders>
              <w:top w:val="single" w:sz="4" w:space="0" w:color="000000"/>
              <w:left w:val="single" w:sz="12" w:space="0" w:color="000000"/>
              <w:bottom w:val="single" w:sz="4" w:space="0" w:color="000000"/>
              <w:right w:val="single" w:sz="12" w:space="0" w:color="000000"/>
            </w:tcBorders>
          </w:tcPr>
          <w:p w14:paraId="45FD7EB0" w14:textId="3F0807FE" w:rsidR="00B0429D" w:rsidRDefault="00B0429D" w:rsidP="00CB5793">
            <w:pPr>
              <w:tabs>
                <w:tab w:val="center" w:pos="399"/>
              </w:tabs>
              <w:spacing w:after="0" w:line="259" w:lineRule="auto"/>
              <w:ind w:left="0" w:right="0" w:firstLine="0"/>
              <w:jc w:val="center"/>
            </w:pPr>
            <w:r>
              <w:rPr>
                <w:sz w:val="18"/>
              </w:rPr>
              <w:t>0.2</w:t>
            </w:r>
          </w:p>
        </w:tc>
        <w:tc>
          <w:tcPr>
            <w:tcW w:w="879" w:type="dxa"/>
            <w:tcBorders>
              <w:top w:val="single" w:sz="4" w:space="0" w:color="000000"/>
              <w:left w:val="single" w:sz="12" w:space="0" w:color="000000"/>
              <w:bottom w:val="single" w:sz="4" w:space="0" w:color="000000"/>
              <w:right w:val="single" w:sz="12" w:space="0" w:color="000000"/>
            </w:tcBorders>
          </w:tcPr>
          <w:p w14:paraId="28F20A0B" w14:textId="32275E43" w:rsidR="00B0429D" w:rsidRDefault="00B0429D" w:rsidP="00CB5793">
            <w:pPr>
              <w:spacing w:after="0" w:line="259" w:lineRule="auto"/>
              <w:ind w:left="0" w:right="46" w:firstLine="0"/>
              <w:jc w:val="center"/>
            </w:pPr>
            <w:r>
              <w:rPr>
                <w:sz w:val="18"/>
              </w:rPr>
              <w:t>ug/L</w:t>
            </w:r>
          </w:p>
        </w:tc>
        <w:tc>
          <w:tcPr>
            <w:tcW w:w="881" w:type="dxa"/>
            <w:tcBorders>
              <w:top w:val="single" w:sz="4" w:space="0" w:color="000000"/>
              <w:left w:val="single" w:sz="12" w:space="0" w:color="000000"/>
              <w:bottom w:val="single" w:sz="4" w:space="0" w:color="000000"/>
              <w:right w:val="single" w:sz="12" w:space="0" w:color="000000"/>
            </w:tcBorders>
          </w:tcPr>
          <w:p w14:paraId="6878153F" w14:textId="2B57F2A7" w:rsidR="00B0429D" w:rsidRDefault="00B0429D" w:rsidP="00CB5793">
            <w:pPr>
              <w:spacing w:after="0" w:line="259" w:lineRule="auto"/>
              <w:ind w:left="0" w:right="47" w:firstLine="0"/>
              <w:jc w:val="center"/>
            </w:pPr>
            <w:r>
              <w:rPr>
                <w:sz w:val="18"/>
              </w:rPr>
              <w:t>N/A</w:t>
            </w:r>
          </w:p>
        </w:tc>
        <w:tc>
          <w:tcPr>
            <w:tcW w:w="1074" w:type="dxa"/>
            <w:tcBorders>
              <w:top w:val="single" w:sz="4" w:space="0" w:color="000000"/>
              <w:left w:val="single" w:sz="12" w:space="0" w:color="000000"/>
              <w:bottom w:val="single" w:sz="4" w:space="0" w:color="000000"/>
              <w:right w:val="single" w:sz="12" w:space="0" w:color="000000"/>
            </w:tcBorders>
          </w:tcPr>
          <w:p w14:paraId="61D3F624" w14:textId="6804C0FD" w:rsidR="00B0429D" w:rsidRDefault="00B0429D" w:rsidP="00CB5793">
            <w:pPr>
              <w:spacing w:after="0" w:line="259" w:lineRule="auto"/>
              <w:ind w:left="0" w:right="42" w:firstLine="0"/>
              <w:jc w:val="center"/>
            </w:pPr>
            <w:r>
              <w:rPr>
                <w:sz w:val="18"/>
              </w:rPr>
              <w:t>N/A</w:t>
            </w:r>
          </w:p>
        </w:tc>
        <w:tc>
          <w:tcPr>
            <w:tcW w:w="843" w:type="dxa"/>
            <w:tcBorders>
              <w:top w:val="single" w:sz="4" w:space="0" w:color="000000"/>
              <w:left w:val="single" w:sz="12" w:space="0" w:color="000000"/>
              <w:bottom w:val="single" w:sz="4" w:space="0" w:color="000000"/>
              <w:right w:val="single" w:sz="12" w:space="0" w:color="000000"/>
            </w:tcBorders>
          </w:tcPr>
          <w:p w14:paraId="1B969E45" w14:textId="196C9F53" w:rsidR="00B0429D" w:rsidRDefault="00B0429D" w:rsidP="00CB5793">
            <w:pPr>
              <w:spacing w:after="0" w:line="259" w:lineRule="auto"/>
              <w:ind w:left="0" w:right="45" w:firstLine="0"/>
              <w:jc w:val="center"/>
            </w:pPr>
            <w:r>
              <w:rPr>
                <w:b/>
                <w:sz w:val="18"/>
              </w:rPr>
              <w:t>525.2</w:t>
            </w:r>
          </w:p>
        </w:tc>
        <w:tc>
          <w:tcPr>
            <w:tcW w:w="776" w:type="dxa"/>
            <w:tcBorders>
              <w:top w:val="single" w:sz="4" w:space="0" w:color="000000"/>
              <w:left w:val="single" w:sz="12" w:space="0" w:color="000000"/>
              <w:bottom w:val="single" w:sz="4" w:space="0" w:color="000000"/>
              <w:right w:val="single" w:sz="12" w:space="0" w:color="000000"/>
            </w:tcBorders>
          </w:tcPr>
          <w:p w14:paraId="7C4272B6" w14:textId="7728FED4" w:rsidR="00B0429D" w:rsidRDefault="00B0429D" w:rsidP="00CB5793">
            <w:pPr>
              <w:spacing w:after="0" w:line="259" w:lineRule="auto"/>
              <w:ind w:left="0" w:right="44" w:firstLine="0"/>
              <w:jc w:val="center"/>
            </w:pPr>
            <w:r>
              <w:rPr>
                <w:sz w:val="18"/>
              </w:rPr>
              <w:t>508.1</w:t>
            </w:r>
          </w:p>
        </w:tc>
        <w:tc>
          <w:tcPr>
            <w:tcW w:w="630" w:type="dxa"/>
            <w:tcBorders>
              <w:top w:val="single" w:sz="4" w:space="0" w:color="000000"/>
              <w:left w:val="single" w:sz="12" w:space="0" w:color="000000"/>
              <w:bottom w:val="single" w:sz="4" w:space="0" w:color="000000"/>
              <w:right w:val="single" w:sz="12" w:space="0" w:color="000000"/>
            </w:tcBorders>
          </w:tcPr>
          <w:p w14:paraId="1C37B26C" w14:textId="7AC4F662" w:rsidR="00B0429D" w:rsidRDefault="00B0429D" w:rsidP="00CB5793">
            <w:pPr>
              <w:spacing w:after="0" w:line="259" w:lineRule="auto"/>
              <w:ind w:left="0" w:right="46" w:firstLine="0"/>
              <w:jc w:val="center"/>
            </w:pPr>
            <w:r>
              <w:rPr>
                <w:sz w:val="18"/>
              </w:rPr>
              <w:t>505</w:t>
            </w:r>
          </w:p>
        </w:tc>
      </w:tr>
      <w:tr w:rsidR="00B0429D" w14:paraId="5C4D31D4" w14:textId="77777777" w:rsidTr="00C23B62">
        <w:trPr>
          <w:trHeight w:val="250"/>
        </w:trPr>
        <w:tc>
          <w:tcPr>
            <w:tcW w:w="3393" w:type="dxa"/>
            <w:tcBorders>
              <w:top w:val="single" w:sz="4" w:space="0" w:color="000000"/>
              <w:left w:val="single" w:sz="12" w:space="0" w:color="000000"/>
              <w:bottom w:val="single" w:sz="4" w:space="0" w:color="000000"/>
              <w:right w:val="single" w:sz="12" w:space="0" w:color="000000"/>
            </w:tcBorders>
          </w:tcPr>
          <w:p w14:paraId="519EFC11" w14:textId="77777777" w:rsidR="00B0429D" w:rsidRDefault="00B0429D" w:rsidP="00B0429D">
            <w:pPr>
              <w:spacing w:after="0" w:line="259" w:lineRule="auto"/>
              <w:ind w:left="2" w:right="0" w:firstLine="0"/>
            </w:pPr>
            <w:proofErr w:type="spellStart"/>
            <w:r>
              <w:rPr>
                <w:sz w:val="18"/>
              </w:rPr>
              <w:t>Chlorneb</w:t>
            </w:r>
            <w:proofErr w:type="spellEnd"/>
            <w:r>
              <w:rPr>
                <w:sz w:val="18"/>
              </w:rPr>
              <w:t xml:space="preserve"> </w:t>
            </w:r>
          </w:p>
        </w:tc>
        <w:tc>
          <w:tcPr>
            <w:tcW w:w="1173" w:type="dxa"/>
            <w:tcBorders>
              <w:top w:val="single" w:sz="4" w:space="0" w:color="000000"/>
              <w:left w:val="single" w:sz="12" w:space="0" w:color="000000"/>
              <w:bottom w:val="single" w:sz="4" w:space="0" w:color="000000"/>
              <w:right w:val="single" w:sz="12" w:space="0" w:color="000000"/>
            </w:tcBorders>
          </w:tcPr>
          <w:p w14:paraId="5B38ECC5" w14:textId="712D190A" w:rsidR="00B0429D" w:rsidRDefault="00B0429D" w:rsidP="00CB5793">
            <w:pPr>
              <w:spacing w:after="0" w:line="259" w:lineRule="auto"/>
              <w:ind w:left="0" w:right="44" w:firstLine="0"/>
              <w:jc w:val="center"/>
            </w:pPr>
            <w:r>
              <w:rPr>
                <w:sz w:val="18"/>
              </w:rPr>
              <w:t>2675-77-6</w:t>
            </w:r>
          </w:p>
        </w:tc>
        <w:tc>
          <w:tcPr>
            <w:tcW w:w="881" w:type="dxa"/>
            <w:tcBorders>
              <w:top w:val="single" w:sz="4" w:space="0" w:color="000000"/>
              <w:left w:val="single" w:sz="12" w:space="0" w:color="000000"/>
              <w:bottom w:val="single" w:sz="4" w:space="0" w:color="000000"/>
              <w:right w:val="single" w:sz="12" w:space="0" w:color="000000"/>
            </w:tcBorders>
          </w:tcPr>
          <w:p w14:paraId="31E01E2E" w14:textId="6A26962E" w:rsidR="00B0429D" w:rsidRDefault="00B0429D" w:rsidP="00CB5793">
            <w:pPr>
              <w:tabs>
                <w:tab w:val="center" w:pos="354"/>
              </w:tabs>
              <w:spacing w:after="0" w:line="259" w:lineRule="auto"/>
              <w:ind w:left="0" w:right="0" w:firstLine="0"/>
              <w:jc w:val="center"/>
            </w:pPr>
            <w:r>
              <w:rPr>
                <w:sz w:val="18"/>
              </w:rPr>
              <w:t>1</w:t>
            </w:r>
          </w:p>
        </w:tc>
        <w:tc>
          <w:tcPr>
            <w:tcW w:w="879" w:type="dxa"/>
            <w:tcBorders>
              <w:top w:val="single" w:sz="4" w:space="0" w:color="000000"/>
              <w:left w:val="single" w:sz="12" w:space="0" w:color="000000"/>
              <w:bottom w:val="single" w:sz="4" w:space="0" w:color="000000"/>
              <w:right w:val="single" w:sz="12" w:space="0" w:color="000000"/>
            </w:tcBorders>
          </w:tcPr>
          <w:p w14:paraId="7DF291AA" w14:textId="655C6529" w:rsidR="00B0429D" w:rsidRDefault="00B0429D" w:rsidP="00CB5793">
            <w:pPr>
              <w:spacing w:after="0" w:line="259" w:lineRule="auto"/>
              <w:ind w:left="0" w:right="46" w:firstLine="0"/>
              <w:jc w:val="center"/>
            </w:pPr>
            <w:r>
              <w:rPr>
                <w:sz w:val="18"/>
              </w:rPr>
              <w:t>ug/L</w:t>
            </w:r>
          </w:p>
        </w:tc>
        <w:tc>
          <w:tcPr>
            <w:tcW w:w="881" w:type="dxa"/>
            <w:tcBorders>
              <w:top w:val="single" w:sz="4" w:space="0" w:color="000000"/>
              <w:left w:val="single" w:sz="12" w:space="0" w:color="000000"/>
              <w:bottom w:val="single" w:sz="4" w:space="0" w:color="000000"/>
              <w:right w:val="single" w:sz="12" w:space="0" w:color="000000"/>
            </w:tcBorders>
          </w:tcPr>
          <w:p w14:paraId="5DCB277C" w14:textId="24A1B8CD" w:rsidR="00B0429D" w:rsidRDefault="00B0429D" w:rsidP="00CB5793">
            <w:pPr>
              <w:spacing w:after="0" w:line="259" w:lineRule="auto"/>
              <w:ind w:left="0" w:right="47" w:firstLine="0"/>
              <w:jc w:val="center"/>
            </w:pPr>
            <w:r>
              <w:rPr>
                <w:sz w:val="18"/>
              </w:rPr>
              <w:t>N/A</w:t>
            </w:r>
          </w:p>
        </w:tc>
        <w:tc>
          <w:tcPr>
            <w:tcW w:w="1074" w:type="dxa"/>
            <w:tcBorders>
              <w:top w:val="single" w:sz="4" w:space="0" w:color="000000"/>
              <w:left w:val="single" w:sz="12" w:space="0" w:color="000000"/>
              <w:bottom w:val="single" w:sz="4" w:space="0" w:color="000000"/>
              <w:right w:val="single" w:sz="12" w:space="0" w:color="000000"/>
            </w:tcBorders>
          </w:tcPr>
          <w:p w14:paraId="55B69C48" w14:textId="6B3B6151" w:rsidR="00B0429D" w:rsidRDefault="00B0429D" w:rsidP="00CB5793">
            <w:pPr>
              <w:spacing w:after="0" w:line="259" w:lineRule="auto"/>
              <w:ind w:left="0" w:right="42" w:firstLine="0"/>
              <w:jc w:val="center"/>
            </w:pPr>
            <w:r>
              <w:rPr>
                <w:sz w:val="18"/>
              </w:rPr>
              <w:t>N/A</w:t>
            </w:r>
          </w:p>
        </w:tc>
        <w:tc>
          <w:tcPr>
            <w:tcW w:w="843" w:type="dxa"/>
            <w:tcBorders>
              <w:top w:val="single" w:sz="4" w:space="0" w:color="000000"/>
              <w:left w:val="single" w:sz="12" w:space="0" w:color="000000"/>
              <w:bottom w:val="single" w:sz="4" w:space="0" w:color="000000"/>
              <w:right w:val="single" w:sz="12" w:space="0" w:color="000000"/>
            </w:tcBorders>
          </w:tcPr>
          <w:p w14:paraId="599666FF" w14:textId="60116040" w:rsidR="00B0429D" w:rsidRDefault="00B0429D" w:rsidP="00CB5793">
            <w:pPr>
              <w:spacing w:after="0" w:line="259" w:lineRule="auto"/>
              <w:ind w:left="0" w:right="45" w:firstLine="0"/>
              <w:jc w:val="center"/>
            </w:pPr>
            <w:r>
              <w:rPr>
                <w:b/>
                <w:sz w:val="18"/>
              </w:rPr>
              <w:t>525.2</w:t>
            </w:r>
          </w:p>
        </w:tc>
        <w:tc>
          <w:tcPr>
            <w:tcW w:w="776" w:type="dxa"/>
            <w:tcBorders>
              <w:top w:val="single" w:sz="4" w:space="0" w:color="000000"/>
              <w:left w:val="single" w:sz="12" w:space="0" w:color="000000"/>
              <w:bottom w:val="single" w:sz="4" w:space="0" w:color="000000"/>
              <w:right w:val="single" w:sz="12" w:space="0" w:color="000000"/>
            </w:tcBorders>
          </w:tcPr>
          <w:p w14:paraId="79FA339A" w14:textId="15A672F6" w:rsidR="00B0429D" w:rsidRDefault="00B0429D" w:rsidP="00CB5793">
            <w:pPr>
              <w:spacing w:after="0" w:line="259" w:lineRule="auto"/>
              <w:ind w:left="0" w:right="44" w:firstLine="0"/>
              <w:jc w:val="center"/>
            </w:pPr>
            <w:r>
              <w:rPr>
                <w:sz w:val="18"/>
              </w:rPr>
              <w:t>508.1</w:t>
            </w:r>
          </w:p>
        </w:tc>
        <w:tc>
          <w:tcPr>
            <w:tcW w:w="630" w:type="dxa"/>
            <w:tcBorders>
              <w:top w:val="single" w:sz="4" w:space="0" w:color="000000"/>
              <w:left w:val="single" w:sz="12" w:space="0" w:color="000000"/>
              <w:bottom w:val="single" w:sz="4" w:space="0" w:color="000000"/>
              <w:right w:val="single" w:sz="12" w:space="0" w:color="000000"/>
            </w:tcBorders>
          </w:tcPr>
          <w:p w14:paraId="0E9A9B87" w14:textId="2D94F693" w:rsidR="00B0429D" w:rsidRDefault="00B0429D" w:rsidP="00CB5793">
            <w:pPr>
              <w:spacing w:after="0" w:line="259" w:lineRule="auto"/>
              <w:ind w:left="0" w:right="0" w:firstLine="0"/>
              <w:jc w:val="center"/>
            </w:pPr>
          </w:p>
        </w:tc>
      </w:tr>
      <w:tr w:rsidR="00B0429D" w14:paraId="35BB8071" w14:textId="77777777" w:rsidTr="00C23B62">
        <w:trPr>
          <w:trHeight w:val="250"/>
        </w:trPr>
        <w:tc>
          <w:tcPr>
            <w:tcW w:w="3393" w:type="dxa"/>
            <w:tcBorders>
              <w:top w:val="single" w:sz="4" w:space="0" w:color="000000"/>
              <w:left w:val="single" w:sz="12" w:space="0" w:color="000000"/>
              <w:bottom w:val="single" w:sz="4" w:space="0" w:color="000000"/>
              <w:right w:val="single" w:sz="12" w:space="0" w:color="000000"/>
            </w:tcBorders>
          </w:tcPr>
          <w:p w14:paraId="187D7D2A" w14:textId="77777777" w:rsidR="00B0429D" w:rsidRDefault="00B0429D" w:rsidP="00B0429D">
            <w:pPr>
              <w:spacing w:after="0" w:line="259" w:lineRule="auto"/>
              <w:ind w:left="2" w:right="0" w:firstLine="0"/>
            </w:pPr>
            <w:proofErr w:type="spellStart"/>
            <w:r>
              <w:rPr>
                <w:sz w:val="18"/>
              </w:rPr>
              <w:t>Chlorobenzilate</w:t>
            </w:r>
            <w:proofErr w:type="spellEnd"/>
            <w:r>
              <w:rPr>
                <w:sz w:val="18"/>
              </w:rPr>
              <w:t xml:space="preserve"> </w:t>
            </w:r>
          </w:p>
        </w:tc>
        <w:tc>
          <w:tcPr>
            <w:tcW w:w="1173" w:type="dxa"/>
            <w:tcBorders>
              <w:top w:val="single" w:sz="4" w:space="0" w:color="000000"/>
              <w:left w:val="single" w:sz="12" w:space="0" w:color="000000"/>
              <w:bottom w:val="single" w:sz="4" w:space="0" w:color="000000"/>
              <w:right w:val="single" w:sz="12" w:space="0" w:color="000000"/>
            </w:tcBorders>
          </w:tcPr>
          <w:p w14:paraId="2137845C" w14:textId="46C42983" w:rsidR="00B0429D" w:rsidRDefault="00B0429D" w:rsidP="00CB5793">
            <w:pPr>
              <w:spacing w:after="0" w:line="259" w:lineRule="auto"/>
              <w:ind w:left="0" w:right="44" w:firstLine="0"/>
              <w:jc w:val="center"/>
            </w:pPr>
            <w:r>
              <w:rPr>
                <w:sz w:val="18"/>
              </w:rPr>
              <w:t>510-15-6</w:t>
            </w:r>
          </w:p>
        </w:tc>
        <w:tc>
          <w:tcPr>
            <w:tcW w:w="881" w:type="dxa"/>
            <w:tcBorders>
              <w:top w:val="single" w:sz="4" w:space="0" w:color="000000"/>
              <w:left w:val="single" w:sz="12" w:space="0" w:color="000000"/>
              <w:bottom w:val="single" w:sz="4" w:space="0" w:color="000000"/>
              <w:right w:val="single" w:sz="12" w:space="0" w:color="000000"/>
            </w:tcBorders>
          </w:tcPr>
          <w:p w14:paraId="69DD7790" w14:textId="6E7964B3" w:rsidR="00B0429D" w:rsidRDefault="00B0429D" w:rsidP="00CB5793">
            <w:pPr>
              <w:tabs>
                <w:tab w:val="right" w:pos="712"/>
              </w:tabs>
              <w:spacing w:after="0" w:line="259" w:lineRule="auto"/>
              <w:ind w:left="0" w:right="0" w:firstLine="0"/>
              <w:jc w:val="center"/>
            </w:pPr>
            <w:r>
              <w:rPr>
                <w:sz w:val="18"/>
              </w:rPr>
              <w:t>0.25</w:t>
            </w:r>
          </w:p>
        </w:tc>
        <w:tc>
          <w:tcPr>
            <w:tcW w:w="879" w:type="dxa"/>
            <w:tcBorders>
              <w:top w:val="single" w:sz="4" w:space="0" w:color="000000"/>
              <w:left w:val="single" w:sz="12" w:space="0" w:color="000000"/>
              <w:bottom w:val="single" w:sz="4" w:space="0" w:color="000000"/>
              <w:right w:val="single" w:sz="12" w:space="0" w:color="000000"/>
            </w:tcBorders>
          </w:tcPr>
          <w:p w14:paraId="7040CDB7" w14:textId="42190643" w:rsidR="00B0429D" w:rsidRDefault="00B0429D" w:rsidP="00CB5793">
            <w:pPr>
              <w:spacing w:after="0" w:line="259" w:lineRule="auto"/>
              <w:ind w:left="0" w:right="46" w:firstLine="0"/>
              <w:jc w:val="center"/>
            </w:pPr>
            <w:r>
              <w:rPr>
                <w:sz w:val="18"/>
              </w:rPr>
              <w:t>ug/L</w:t>
            </w:r>
          </w:p>
        </w:tc>
        <w:tc>
          <w:tcPr>
            <w:tcW w:w="881" w:type="dxa"/>
            <w:tcBorders>
              <w:top w:val="single" w:sz="4" w:space="0" w:color="000000"/>
              <w:left w:val="single" w:sz="12" w:space="0" w:color="000000"/>
              <w:bottom w:val="single" w:sz="4" w:space="0" w:color="000000"/>
              <w:right w:val="single" w:sz="12" w:space="0" w:color="000000"/>
            </w:tcBorders>
          </w:tcPr>
          <w:p w14:paraId="0120CFBC" w14:textId="55120D15" w:rsidR="00B0429D" w:rsidRDefault="00B0429D" w:rsidP="00CB5793">
            <w:pPr>
              <w:spacing w:after="0" w:line="259" w:lineRule="auto"/>
              <w:ind w:left="0" w:right="47" w:firstLine="0"/>
              <w:jc w:val="center"/>
            </w:pPr>
            <w:r>
              <w:rPr>
                <w:sz w:val="18"/>
              </w:rPr>
              <w:t>N/A</w:t>
            </w:r>
          </w:p>
        </w:tc>
        <w:tc>
          <w:tcPr>
            <w:tcW w:w="1074" w:type="dxa"/>
            <w:tcBorders>
              <w:top w:val="single" w:sz="4" w:space="0" w:color="000000"/>
              <w:left w:val="single" w:sz="12" w:space="0" w:color="000000"/>
              <w:bottom w:val="single" w:sz="4" w:space="0" w:color="000000"/>
              <w:right w:val="single" w:sz="12" w:space="0" w:color="000000"/>
            </w:tcBorders>
          </w:tcPr>
          <w:p w14:paraId="62CE0249" w14:textId="308CC92E" w:rsidR="00B0429D" w:rsidRDefault="00B0429D" w:rsidP="00CB5793">
            <w:pPr>
              <w:spacing w:after="0" w:line="259" w:lineRule="auto"/>
              <w:ind w:left="0" w:right="42" w:firstLine="0"/>
              <w:jc w:val="center"/>
            </w:pPr>
            <w:r>
              <w:rPr>
                <w:sz w:val="18"/>
              </w:rPr>
              <w:t>N/A</w:t>
            </w:r>
          </w:p>
        </w:tc>
        <w:tc>
          <w:tcPr>
            <w:tcW w:w="843" w:type="dxa"/>
            <w:tcBorders>
              <w:top w:val="single" w:sz="4" w:space="0" w:color="000000"/>
              <w:left w:val="single" w:sz="12" w:space="0" w:color="000000"/>
              <w:bottom w:val="single" w:sz="4" w:space="0" w:color="000000"/>
              <w:right w:val="single" w:sz="12" w:space="0" w:color="000000"/>
            </w:tcBorders>
          </w:tcPr>
          <w:p w14:paraId="143AA40F" w14:textId="240EA86E" w:rsidR="00B0429D" w:rsidRDefault="00B0429D" w:rsidP="00CB5793">
            <w:pPr>
              <w:spacing w:after="0" w:line="259" w:lineRule="auto"/>
              <w:ind w:left="0" w:right="45" w:firstLine="0"/>
              <w:jc w:val="center"/>
            </w:pPr>
            <w:r>
              <w:rPr>
                <w:b/>
                <w:sz w:val="18"/>
              </w:rPr>
              <w:t>525.2</w:t>
            </w:r>
          </w:p>
        </w:tc>
        <w:tc>
          <w:tcPr>
            <w:tcW w:w="776" w:type="dxa"/>
            <w:tcBorders>
              <w:top w:val="single" w:sz="4" w:space="0" w:color="000000"/>
              <w:left w:val="single" w:sz="12" w:space="0" w:color="000000"/>
              <w:bottom w:val="single" w:sz="4" w:space="0" w:color="000000"/>
              <w:right w:val="single" w:sz="12" w:space="0" w:color="000000"/>
            </w:tcBorders>
          </w:tcPr>
          <w:p w14:paraId="28B483DB" w14:textId="616038B5" w:rsidR="00B0429D" w:rsidRDefault="00B0429D" w:rsidP="00CB5793">
            <w:pPr>
              <w:spacing w:after="0" w:line="259" w:lineRule="auto"/>
              <w:ind w:left="0" w:right="44" w:firstLine="0"/>
              <w:jc w:val="center"/>
            </w:pPr>
            <w:r>
              <w:rPr>
                <w:sz w:val="18"/>
              </w:rPr>
              <w:t>508.1</w:t>
            </w:r>
          </w:p>
        </w:tc>
        <w:tc>
          <w:tcPr>
            <w:tcW w:w="630" w:type="dxa"/>
            <w:tcBorders>
              <w:top w:val="single" w:sz="4" w:space="0" w:color="000000"/>
              <w:left w:val="single" w:sz="12" w:space="0" w:color="000000"/>
              <w:bottom w:val="single" w:sz="4" w:space="0" w:color="000000"/>
              <w:right w:val="single" w:sz="12" w:space="0" w:color="000000"/>
            </w:tcBorders>
          </w:tcPr>
          <w:p w14:paraId="30332913" w14:textId="436C7329" w:rsidR="00B0429D" w:rsidRDefault="00B0429D" w:rsidP="00CB5793">
            <w:pPr>
              <w:spacing w:after="0" w:line="259" w:lineRule="auto"/>
              <w:ind w:left="0" w:right="0" w:firstLine="0"/>
              <w:jc w:val="center"/>
            </w:pPr>
          </w:p>
        </w:tc>
      </w:tr>
      <w:tr w:rsidR="00B0429D" w14:paraId="57B35327" w14:textId="77777777" w:rsidTr="00C23B62">
        <w:trPr>
          <w:trHeight w:val="250"/>
        </w:trPr>
        <w:tc>
          <w:tcPr>
            <w:tcW w:w="3393" w:type="dxa"/>
            <w:tcBorders>
              <w:top w:val="single" w:sz="4" w:space="0" w:color="000000"/>
              <w:left w:val="single" w:sz="12" w:space="0" w:color="000000"/>
              <w:bottom w:val="single" w:sz="4" w:space="0" w:color="000000"/>
              <w:right w:val="single" w:sz="12" w:space="0" w:color="000000"/>
            </w:tcBorders>
          </w:tcPr>
          <w:p w14:paraId="753B2DEA" w14:textId="77777777" w:rsidR="00B0429D" w:rsidRDefault="00B0429D" w:rsidP="00B0429D">
            <w:pPr>
              <w:spacing w:after="0" w:line="259" w:lineRule="auto"/>
              <w:ind w:left="2" w:right="0" w:firstLine="0"/>
            </w:pPr>
            <w:r>
              <w:rPr>
                <w:sz w:val="18"/>
              </w:rPr>
              <w:t xml:space="preserve">Chlorothalonil </w:t>
            </w:r>
          </w:p>
        </w:tc>
        <w:tc>
          <w:tcPr>
            <w:tcW w:w="1173" w:type="dxa"/>
            <w:tcBorders>
              <w:top w:val="single" w:sz="4" w:space="0" w:color="000000"/>
              <w:left w:val="single" w:sz="12" w:space="0" w:color="000000"/>
              <w:bottom w:val="single" w:sz="4" w:space="0" w:color="000000"/>
              <w:right w:val="single" w:sz="12" w:space="0" w:color="000000"/>
            </w:tcBorders>
          </w:tcPr>
          <w:p w14:paraId="7A5D530E" w14:textId="328ACBF4" w:rsidR="00B0429D" w:rsidRDefault="00B0429D" w:rsidP="00CB5793">
            <w:pPr>
              <w:spacing w:after="0" w:line="259" w:lineRule="auto"/>
              <w:ind w:left="0" w:right="44" w:firstLine="0"/>
              <w:jc w:val="center"/>
            </w:pPr>
            <w:r>
              <w:rPr>
                <w:sz w:val="18"/>
              </w:rPr>
              <w:t>1897-45-6</w:t>
            </w:r>
          </w:p>
        </w:tc>
        <w:tc>
          <w:tcPr>
            <w:tcW w:w="881" w:type="dxa"/>
            <w:tcBorders>
              <w:top w:val="single" w:sz="4" w:space="0" w:color="000000"/>
              <w:left w:val="single" w:sz="12" w:space="0" w:color="000000"/>
              <w:bottom w:val="single" w:sz="4" w:space="0" w:color="000000"/>
              <w:right w:val="single" w:sz="12" w:space="0" w:color="000000"/>
            </w:tcBorders>
          </w:tcPr>
          <w:p w14:paraId="69483366" w14:textId="11BF243D" w:rsidR="00B0429D" w:rsidRDefault="00B0429D" w:rsidP="00CB5793">
            <w:pPr>
              <w:tabs>
                <w:tab w:val="center" w:pos="399"/>
              </w:tabs>
              <w:spacing w:after="0" w:line="259" w:lineRule="auto"/>
              <w:ind w:left="0" w:right="0" w:firstLine="0"/>
              <w:jc w:val="center"/>
            </w:pPr>
            <w:r>
              <w:rPr>
                <w:sz w:val="18"/>
              </w:rPr>
              <w:t>0.5</w:t>
            </w:r>
          </w:p>
        </w:tc>
        <w:tc>
          <w:tcPr>
            <w:tcW w:w="879" w:type="dxa"/>
            <w:tcBorders>
              <w:top w:val="single" w:sz="4" w:space="0" w:color="000000"/>
              <w:left w:val="single" w:sz="12" w:space="0" w:color="000000"/>
              <w:bottom w:val="single" w:sz="4" w:space="0" w:color="000000"/>
              <w:right w:val="single" w:sz="12" w:space="0" w:color="000000"/>
            </w:tcBorders>
          </w:tcPr>
          <w:p w14:paraId="11E8BEE0" w14:textId="6CDDEE68" w:rsidR="00B0429D" w:rsidRDefault="00B0429D" w:rsidP="00CB5793">
            <w:pPr>
              <w:spacing w:after="0" w:line="259" w:lineRule="auto"/>
              <w:ind w:left="0" w:right="46" w:firstLine="0"/>
              <w:jc w:val="center"/>
            </w:pPr>
            <w:r>
              <w:rPr>
                <w:sz w:val="18"/>
              </w:rPr>
              <w:t>ug/L</w:t>
            </w:r>
          </w:p>
        </w:tc>
        <w:tc>
          <w:tcPr>
            <w:tcW w:w="881" w:type="dxa"/>
            <w:tcBorders>
              <w:top w:val="single" w:sz="4" w:space="0" w:color="000000"/>
              <w:left w:val="single" w:sz="12" w:space="0" w:color="000000"/>
              <w:bottom w:val="single" w:sz="4" w:space="0" w:color="000000"/>
              <w:right w:val="single" w:sz="12" w:space="0" w:color="000000"/>
            </w:tcBorders>
          </w:tcPr>
          <w:p w14:paraId="28EF63A7" w14:textId="190FF91B" w:rsidR="00B0429D" w:rsidRDefault="00B0429D" w:rsidP="00CB5793">
            <w:pPr>
              <w:spacing w:after="0" w:line="259" w:lineRule="auto"/>
              <w:ind w:left="0" w:right="47" w:firstLine="0"/>
              <w:jc w:val="center"/>
            </w:pPr>
            <w:r>
              <w:rPr>
                <w:sz w:val="18"/>
              </w:rPr>
              <w:t>N/A</w:t>
            </w:r>
          </w:p>
        </w:tc>
        <w:tc>
          <w:tcPr>
            <w:tcW w:w="1074" w:type="dxa"/>
            <w:tcBorders>
              <w:top w:val="single" w:sz="4" w:space="0" w:color="000000"/>
              <w:left w:val="single" w:sz="12" w:space="0" w:color="000000"/>
              <w:bottom w:val="single" w:sz="4" w:space="0" w:color="000000"/>
              <w:right w:val="single" w:sz="12" w:space="0" w:color="000000"/>
            </w:tcBorders>
          </w:tcPr>
          <w:p w14:paraId="02CED410" w14:textId="14D434E3" w:rsidR="00B0429D" w:rsidRDefault="00B0429D" w:rsidP="00CB5793">
            <w:pPr>
              <w:spacing w:after="0" w:line="259" w:lineRule="auto"/>
              <w:ind w:left="0" w:right="42" w:firstLine="0"/>
              <w:jc w:val="center"/>
            </w:pPr>
            <w:r>
              <w:rPr>
                <w:sz w:val="18"/>
              </w:rPr>
              <w:t>N/A</w:t>
            </w:r>
          </w:p>
        </w:tc>
        <w:tc>
          <w:tcPr>
            <w:tcW w:w="843" w:type="dxa"/>
            <w:tcBorders>
              <w:top w:val="single" w:sz="4" w:space="0" w:color="000000"/>
              <w:left w:val="single" w:sz="12" w:space="0" w:color="000000"/>
              <w:bottom w:val="single" w:sz="4" w:space="0" w:color="000000"/>
              <w:right w:val="single" w:sz="12" w:space="0" w:color="000000"/>
            </w:tcBorders>
          </w:tcPr>
          <w:p w14:paraId="53AA2DD9" w14:textId="2BFDA529" w:rsidR="00B0429D" w:rsidRDefault="00B0429D" w:rsidP="00CB5793">
            <w:pPr>
              <w:spacing w:after="0" w:line="259" w:lineRule="auto"/>
              <w:ind w:left="0" w:right="45" w:firstLine="0"/>
              <w:jc w:val="center"/>
            </w:pPr>
            <w:r>
              <w:rPr>
                <w:b/>
                <w:sz w:val="18"/>
              </w:rPr>
              <w:t>525.2</w:t>
            </w:r>
          </w:p>
        </w:tc>
        <w:tc>
          <w:tcPr>
            <w:tcW w:w="776" w:type="dxa"/>
            <w:tcBorders>
              <w:top w:val="single" w:sz="4" w:space="0" w:color="000000"/>
              <w:left w:val="single" w:sz="12" w:space="0" w:color="000000"/>
              <w:bottom w:val="single" w:sz="4" w:space="0" w:color="000000"/>
              <w:right w:val="single" w:sz="12" w:space="0" w:color="000000"/>
            </w:tcBorders>
          </w:tcPr>
          <w:p w14:paraId="42ADB4FA" w14:textId="3CB5CE51" w:rsidR="00B0429D" w:rsidRDefault="00B0429D" w:rsidP="00CB5793">
            <w:pPr>
              <w:spacing w:after="0" w:line="259" w:lineRule="auto"/>
              <w:ind w:left="0" w:right="44" w:firstLine="0"/>
              <w:jc w:val="center"/>
            </w:pPr>
            <w:r>
              <w:rPr>
                <w:sz w:val="18"/>
              </w:rPr>
              <w:t>508.1</w:t>
            </w:r>
          </w:p>
        </w:tc>
        <w:tc>
          <w:tcPr>
            <w:tcW w:w="630" w:type="dxa"/>
            <w:tcBorders>
              <w:top w:val="single" w:sz="4" w:space="0" w:color="000000"/>
              <w:left w:val="single" w:sz="12" w:space="0" w:color="000000"/>
              <w:bottom w:val="single" w:sz="4" w:space="0" w:color="000000"/>
              <w:right w:val="single" w:sz="12" w:space="0" w:color="000000"/>
            </w:tcBorders>
          </w:tcPr>
          <w:p w14:paraId="1D04AED1" w14:textId="25B8CAA6" w:rsidR="00B0429D" w:rsidRDefault="00B0429D" w:rsidP="00CB5793">
            <w:pPr>
              <w:spacing w:after="0" w:line="259" w:lineRule="auto"/>
              <w:ind w:left="0" w:right="0" w:firstLine="0"/>
              <w:jc w:val="center"/>
            </w:pPr>
          </w:p>
        </w:tc>
      </w:tr>
      <w:tr w:rsidR="00B0429D" w14:paraId="6746A407" w14:textId="77777777" w:rsidTr="00C23B62">
        <w:trPr>
          <w:trHeight w:val="252"/>
        </w:trPr>
        <w:tc>
          <w:tcPr>
            <w:tcW w:w="3393" w:type="dxa"/>
            <w:tcBorders>
              <w:top w:val="single" w:sz="4" w:space="0" w:color="000000"/>
              <w:left w:val="single" w:sz="12" w:space="0" w:color="000000"/>
              <w:bottom w:val="single" w:sz="4" w:space="0" w:color="000000"/>
              <w:right w:val="single" w:sz="12" w:space="0" w:color="000000"/>
            </w:tcBorders>
          </w:tcPr>
          <w:p w14:paraId="1589E719" w14:textId="77777777" w:rsidR="00B0429D" w:rsidRDefault="00B0429D" w:rsidP="00B0429D">
            <w:pPr>
              <w:spacing w:after="0" w:line="259" w:lineRule="auto"/>
              <w:ind w:left="2" w:right="0" w:firstLine="0"/>
            </w:pPr>
            <w:proofErr w:type="spellStart"/>
            <w:r>
              <w:rPr>
                <w:sz w:val="18"/>
              </w:rPr>
              <w:t>Dacthal</w:t>
            </w:r>
            <w:proofErr w:type="spellEnd"/>
            <w:r>
              <w:rPr>
                <w:sz w:val="18"/>
              </w:rPr>
              <w:t xml:space="preserve"> (DCPA) </w:t>
            </w:r>
          </w:p>
        </w:tc>
        <w:tc>
          <w:tcPr>
            <w:tcW w:w="1173" w:type="dxa"/>
            <w:tcBorders>
              <w:top w:val="single" w:sz="4" w:space="0" w:color="000000"/>
              <w:left w:val="single" w:sz="12" w:space="0" w:color="000000"/>
              <w:bottom w:val="single" w:sz="4" w:space="0" w:color="000000"/>
              <w:right w:val="single" w:sz="12" w:space="0" w:color="000000"/>
            </w:tcBorders>
          </w:tcPr>
          <w:p w14:paraId="66735B15" w14:textId="3D43183F" w:rsidR="00B0429D" w:rsidRDefault="00B0429D" w:rsidP="00CB5793">
            <w:pPr>
              <w:spacing w:after="0" w:line="259" w:lineRule="auto"/>
              <w:ind w:left="0" w:right="44" w:firstLine="0"/>
              <w:jc w:val="center"/>
            </w:pPr>
            <w:r>
              <w:rPr>
                <w:sz w:val="18"/>
              </w:rPr>
              <w:t>1861-32-1</w:t>
            </w:r>
          </w:p>
        </w:tc>
        <w:tc>
          <w:tcPr>
            <w:tcW w:w="881" w:type="dxa"/>
            <w:tcBorders>
              <w:top w:val="single" w:sz="4" w:space="0" w:color="000000"/>
              <w:left w:val="single" w:sz="12" w:space="0" w:color="000000"/>
              <w:bottom w:val="single" w:sz="4" w:space="0" w:color="000000"/>
              <w:right w:val="single" w:sz="12" w:space="0" w:color="000000"/>
            </w:tcBorders>
          </w:tcPr>
          <w:p w14:paraId="727A2CE3" w14:textId="52060FD6" w:rsidR="00B0429D" w:rsidRDefault="00B0429D" w:rsidP="00CB5793">
            <w:pPr>
              <w:tabs>
                <w:tab w:val="center" w:pos="354"/>
              </w:tabs>
              <w:spacing w:after="0" w:line="259" w:lineRule="auto"/>
              <w:ind w:left="0" w:right="0" w:firstLine="0"/>
              <w:jc w:val="center"/>
            </w:pPr>
            <w:r>
              <w:rPr>
                <w:sz w:val="18"/>
              </w:rPr>
              <w:t>2</w:t>
            </w:r>
          </w:p>
        </w:tc>
        <w:tc>
          <w:tcPr>
            <w:tcW w:w="879" w:type="dxa"/>
            <w:tcBorders>
              <w:top w:val="single" w:sz="4" w:space="0" w:color="000000"/>
              <w:left w:val="single" w:sz="12" w:space="0" w:color="000000"/>
              <w:bottom w:val="single" w:sz="4" w:space="0" w:color="000000"/>
              <w:right w:val="single" w:sz="12" w:space="0" w:color="000000"/>
            </w:tcBorders>
          </w:tcPr>
          <w:p w14:paraId="5418EEC2" w14:textId="4D9A749C" w:rsidR="00B0429D" w:rsidRDefault="00B0429D" w:rsidP="00CB5793">
            <w:pPr>
              <w:spacing w:after="0" w:line="259" w:lineRule="auto"/>
              <w:ind w:left="0" w:right="46" w:firstLine="0"/>
              <w:jc w:val="center"/>
            </w:pPr>
            <w:r>
              <w:rPr>
                <w:sz w:val="18"/>
              </w:rPr>
              <w:t>ug/L</w:t>
            </w:r>
          </w:p>
        </w:tc>
        <w:tc>
          <w:tcPr>
            <w:tcW w:w="881" w:type="dxa"/>
            <w:tcBorders>
              <w:top w:val="single" w:sz="4" w:space="0" w:color="000000"/>
              <w:left w:val="single" w:sz="12" w:space="0" w:color="000000"/>
              <w:bottom w:val="single" w:sz="4" w:space="0" w:color="000000"/>
              <w:right w:val="single" w:sz="12" w:space="0" w:color="000000"/>
            </w:tcBorders>
          </w:tcPr>
          <w:p w14:paraId="5B8C70B3" w14:textId="397865C8" w:rsidR="00B0429D" w:rsidRDefault="00B0429D" w:rsidP="00CB5793">
            <w:pPr>
              <w:spacing w:after="0" w:line="259" w:lineRule="auto"/>
              <w:ind w:left="0" w:right="47" w:firstLine="0"/>
              <w:jc w:val="center"/>
            </w:pPr>
            <w:r>
              <w:rPr>
                <w:sz w:val="18"/>
              </w:rPr>
              <w:t>N/A</w:t>
            </w:r>
          </w:p>
        </w:tc>
        <w:tc>
          <w:tcPr>
            <w:tcW w:w="1074" w:type="dxa"/>
            <w:tcBorders>
              <w:top w:val="single" w:sz="4" w:space="0" w:color="000000"/>
              <w:left w:val="single" w:sz="12" w:space="0" w:color="000000"/>
              <w:bottom w:val="single" w:sz="4" w:space="0" w:color="000000"/>
              <w:right w:val="single" w:sz="12" w:space="0" w:color="000000"/>
            </w:tcBorders>
          </w:tcPr>
          <w:p w14:paraId="35CC7645" w14:textId="5AE56CB7" w:rsidR="00B0429D" w:rsidRDefault="00B0429D" w:rsidP="00CB5793">
            <w:pPr>
              <w:spacing w:after="0" w:line="259" w:lineRule="auto"/>
              <w:ind w:left="0" w:right="42" w:firstLine="0"/>
              <w:jc w:val="center"/>
            </w:pPr>
            <w:r>
              <w:rPr>
                <w:sz w:val="18"/>
              </w:rPr>
              <w:t>N/A</w:t>
            </w:r>
          </w:p>
        </w:tc>
        <w:tc>
          <w:tcPr>
            <w:tcW w:w="843" w:type="dxa"/>
            <w:tcBorders>
              <w:top w:val="single" w:sz="4" w:space="0" w:color="000000"/>
              <w:left w:val="single" w:sz="12" w:space="0" w:color="000000"/>
              <w:bottom w:val="single" w:sz="4" w:space="0" w:color="000000"/>
              <w:right w:val="single" w:sz="12" w:space="0" w:color="000000"/>
            </w:tcBorders>
          </w:tcPr>
          <w:p w14:paraId="7FE1F67A" w14:textId="2E889820" w:rsidR="00B0429D" w:rsidRDefault="00B0429D" w:rsidP="00CB5793">
            <w:pPr>
              <w:spacing w:after="0" w:line="259" w:lineRule="auto"/>
              <w:ind w:left="0" w:right="45" w:firstLine="0"/>
              <w:jc w:val="center"/>
            </w:pPr>
            <w:r>
              <w:rPr>
                <w:b/>
                <w:sz w:val="18"/>
              </w:rPr>
              <w:t>525.2</w:t>
            </w:r>
          </w:p>
        </w:tc>
        <w:tc>
          <w:tcPr>
            <w:tcW w:w="776" w:type="dxa"/>
            <w:tcBorders>
              <w:top w:val="single" w:sz="4" w:space="0" w:color="000000"/>
              <w:left w:val="single" w:sz="12" w:space="0" w:color="000000"/>
              <w:bottom w:val="single" w:sz="4" w:space="0" w:color="000000"/>
              <w:right w:val="single" w:sz="12" w:space="0" w:color="000000"/>
            </w:tcBorders>
          </w:tcPr>
          <w:p w14:paraId="1AB9961E" w14:textId="4940CFD4" w:rsidR="00B0429D" w:rsidRDefault="00B0429D" w:rsidP="00CB5793">
            <w:pPr>
              <w:spacing w:after="0" w:line="259" w:lineRule="auto"/>
              <w:ind w:left="0" w:right="44" w:firstLine="0"/>
              <w:jc w:val="center"/>
            </w:pPr>
            <w:r>
              <w:rPr>
                <w:sz w:val="18"/>
              </w:rPr>
              <w:t>508.1</w:t>
            </w:r>
          </w:p>
        </w:tc>
        <w:tc>
          <w:tcPr>
            <w:tcW w:w="630" w:type="dxa"/>
            <w:tcBorders>
              <w:top w:val="single" w:sz="4" w:space="0" w:color="000000"/>
              <w:left w:val="single" w:sz="12" w:space="0" w:color="000000"/>
              <w:bottom w:val="single" w:sz="4" w:space="0" w:color="000000"/>
              <w:right w:val="single" w:sz="12" w:space="0" w:color="000000"/>
            </w:tcBorders>
          </w:tcPr>
          <w:p w14:paraId="5CC0B0AC" w14:textId="5671C770" w:rsidR="00B0429D" w:rsidRDefault="00B0429D" w:rsidP="00CB5793">
            <w:pPr>
              <w:spacing w:after="0" w:line="259" w:lineRule="auto"/>
              <w:ind w:left="0" w:right="0" w:firstLine="0"/>
              <w:jc w:val="center"/>
            </w:pPr>
          </w:p>
        </w:tc>
      </w:tr>
      <w:tr w:rsidR="00B0429D" w14:paraId="7F9BB67E" w14:textId="77777777" w:rsidTr="00C23B62">
        <w:trPr>
          <w:trHeight w:val="250"/>
        </w:trPr>
        <w:tc>
          <w:tcPr>
            <w:tcW w:w="3393" w:type="dxa"/>
            <w:tcBorders>
              <w:top w:val="single" w:sz="4" w:space="0" w:color="000000"/>
              <w:left w:val="single" w:sz="12" w:space="0" w:color="000000"/>
              <w:bottom w:val="single" w:sz="4" w:space="0" w:color="000000"/>
              <w:right w:val="single" w:sz="12" w:space="0" w:color="000000"/>
            </w:tcBorders>
          </w:tcPr>
          <w:p w14:paraId="1C0F8FD0" w14:textId="77777777" w:rsidR="00B0429D" w:rsidRDefault="00B0429D" w:rsidP="00B0429D">
            <w:pPr>
              <w:spacing w:after="0" w:line="259" w:lineRule="auto"/>
              <w:ind w:left="2" w:right="0" w:firstLine="0"/>
            </w:pPr>
            <w:r>
              <w:rPr>
                <w:sz w:val="18"/>
              </w:rPr>
              <w:t xml:space="preserve">4,4’-DDD </w:t>
            </w:r>
          </w:p>
        </w:tc>
        <w:tc>
          <w:tcPr>
            <w:tcW w:w="1173" w:type="dxa"/>
            <w:tcBorders>
              <w:top w:val="single" w:sz="4" w:space="0" w:color="000000"/>
              <w:left w:val="single" w:sz="12" w:space="0" w:color="000000"/>
              <w:bottom w:val="single" w:sz="4" w:space="0" w:color="000000"/>
              <w:right w:val="single" w:sz="12" w:space="0" w:color="000000"/>
            </w:tcBorders>
          </w:tcPr>
          <w:p w14:paraId="1C0CEE4A" w14:textId="65FD0234" w:rsidR="00B0429D" w:rsidRDefault="00B0429D" w:rsidP="00CB5793">
            <w:pPr>
              <w:spacing w:after="0" w:line="259" w:lineRule="auto"/>
              <w:ind w:left="0" w:right="44" w:firstLine="0"/>
              <w:jc w:val="center"/>
            </w:pPr>
            <w:r>
              <w:rPr>
                <w:sz w:val="18"/>
              </w:rPr>
              <w:t>72-54-8</w:t>
            </w:r>
          </w:p>
        </w:tc>
        <w:tc>
          <w:tcPr>
            <w:tcW w:w="881" w:type="dxa"/>
            <w:tcBorders>
              <w:top w:val="single" w:sz="4" w:space="0" w:color="000000"/>
              <w:left w:val="single" w:sz="12" w:space="0" w:color="000000"/>
              <w:bottom w:val="single" w:sz="4" w:space="0" w:color="000000"/>
              <w:right w:val="single" w:sz="12" w:space="0" w:color="000000"/>
            </w:tcBorders>
          </w:tcPr>
          <w:p w14:paraId="371E4A8D" w14:textId="364A8206" w:rsidR="00B0429D" w:rsidRDefault="00B0429D" w:rsidP="00CB5793">
            <w:pPr>
              <w:tabs>
                <w:tab w:val="center" w:pos="399"/>
              </w:tabs>
              <w:spacing w:after="0" w:line="259" w:lineRule="auto"/>
              <w:ind w:left="0" w:right="0" w:firstLine="0"/>
              <w:jc w:val="center"/>
            </w:pPr>
            <w:r>
              <w:rPr>
                <w:sz w:val="18"/>
              </w:rPr>
              <w:t>0.5</w:t>
            </w:r>
          </w:p>
        </w:tc>
        <w:tc>
          <w:tcPr>
            <w:tcW w:w="879" w:type="dxa"/>
            <w:tcBorders>
              <w:top w:val="single" w:sz="4" w:space="0" w:color="000000"/>
              <w:left w:val="single" w:sz="12" w:space="0" w:color="000000"/>
              <w:bottom w:val="single" w:sz="4" w:space="0" w:color="000000"/>
              <w:right w:val="single" w:sz="12" w:space="0" w:color="000000"/>
            </w:tcBorders>
          </w:tcPr>
          <w:p w14:paraId="201EC982" w14:textId="636AE0B1" w:rsidR="00B0429D" w:rsidRDefault="00B0429D" w:rsidP="00CB5793">
            <w:pPr>
              <w:spacing w:after="0" w:line="259" w:lineRule="auto"/>
              <w:ind w:left="0" w:right="46" w:firstLine="0"/>
              <w:jc w:val="center"/>
            </w:pPr>
            <w:r>
              <w:rPr>
                <w:sz w:val="18"/>
              </w:rPr>
              <w:t>ug/L</w:t>
            </w:r>
          </w:p>
        </w:tc>
        <w:tc>
          <w:tcPr>
            <w:tcW w:w="881" w:type="dxa"/>
            <w:tcBorders>
              <w:top w:val="single" w:sz="4" w:space="0" w:color="000000"/>
              <w:left w:val="single" w:sz="12" w:space="0" w:color="000000"/>
              <w:bottom w:val="single" w:sz="4" w:space="0" w:color="000000"/>
              <w:right w:val="single" w:sz="12" w:space="0" w:color="000000"/>
            </w:tcBorders>
          </w:tcPr>
          <w:p w14:paraId="5825423D" w14:textId="163ACF34" w:rsidR="00B0429D" w:rsidRDefault="00B0429D" w:rsidP="00CB5793">
            <w:pPr>
              <w:spacing w:after="0" w:line="259" w:lineRule="auto"/>
              <w:ind w:left="0" w:right="47" w:firstLine="0"/>
              <w:jc w:val="center"/>
            </w:pPr>
            <w:r>
              <w:rPr>
                <w:sz w:val="18"/>
              </w:rPr>
              <w:t>N/A</w:t>
            </w:r>
          </w:p>
        </w:tc>
        <w:tc>
          <w:tcPr>
            <w:tcW w:w="1074" w:type="dxa"/>
            <w:tcBorders>
              <w:top w:val="single" w:sz="4" w:space="0" w:color="000000"/>
              <w:left w:val="single" w:sz="12" w:space="0" w:color="000000"/>
              <w:bottom w:val="single" w:sz="4" w:space="0" w:color="000000"/>
              <w:right w:val="single" w:sz="12" w:space="0" w:color="000000"/>
            </w:tcBorders>
          </w:tcPr>
          <w:p w14:paraId="286AF8FA" w14:textId="692BBCC1" w:rsidR="00B0429D" w:rsidRDefault="00B0429D" w:rsidP="00CB5793">
            <w:pPr>
              <w:spacing w:after="0" w:line="259" w:lineRule="auto"/>
              <w:ind w:left="0" w:right="42" w:firstLine="0"/>
              <w:jc w:val="center"/>
            </w:pPr>
            <w:r>
              <w:rPr>
                <w:sz w:val="18"/>
              </w:rPr>
              <w:t>N/A</w:t>
            </w:r>
          </w:p>
        </w:tc>
        <w:tc>
          <w:tcPr>
            <w:tcW w:w="843" w:type="dxa"/>
            <w:tcBorders>
              <w:top w:val="single" w:sz="4" w:space="0" w:color="000000"/>
              <w:left w:val="single" w:sz="12" w:space="0" w:color="000000"/>
              <w:bottom w:val="single" w:sz="4" w:space="0" w:color="000000"/>
              <w:right w:val="single" w:sz="12" w:space="0" w:color="000000"/>
            </w:tcBorders>
          </w:tcPr>
          <w:p w14:paraId="2ADE47FE" w14:textId="4DF5212A" w:rsidR="00B0429D" w:rsidRDefault="00B0429D" w:rsidP="00CB5793">
            <w:pPr>
              <w:spacing w:after="0" w:line="259" w:lineRule="auto"/>
              <w:ind w:left="0" w:right="45" w:firstLine="0"/>
              <w:jc w:val="center"/>
            </w:pPr>
            <w:r>
              <w:rPr>
                <w:b/>
                <w:sz w:val="18"/>
              </w:rPr>
              <w:t>525.2</w:t>
            </w:r>
          </w:p>
        </w:tc>
        <w:tc>
          <w:tcPr>
            <w:tcW w:w="776" w:type="dxa"/>
            <w:tcBorders>
              <w:top w:val="single" w:sz="4" w:space="0" w:color="000000"/>
              <w:left w:val="single" w:sz="12" w:space="0" w:color="000000"/>
              <w:bottom w:val="single" w:sz="4" w:space="0" w:color="000000"/>
              <w:right w:val="single" w:sz="12" w:space="0" w:color="000000"/>
            </w:tcBorders>
          </w:tcPr>
          <w:p w14:paraId="2C7CA574" w14:textId="5006150F" w:rsidR="00B0429D" w:rsidRDefault="00B0429D" w:rsidP="00CB5793">
            <w:pPr>
              <w:spacing w:after="0" w:line="259" w:lineRule="auto"/>
              <w:ind w:left="0" w:right="44" w:firstLine="0"/>
              <w:jc w:val="center"/>
            </w:pPr>
            <w:r>
              <w:rPr>
                <w:sz w:val="18"/>
              </w:rPr>
              <w:t>508.1</w:t>
            </w:r>
          </w:p>
        </w:tc>
        <w:tc>
          <w:tcPr>
            <w:tcW w:w="630" w:type="dxa"/>
            <w:tcBorders>
              <w:top w:val="single" w:sz="4" w:space="0" w:color="000000"/>
              <w:left w:val="single" w:sz="12" w:space="0" w:color="000000"/>
              <w:bottom w:val="single" w:sz="4" w:space="0" w:color="000000"/>
              <w:right w:val="single" w:sz="12" w:space="0" w:color="000000"/>
            </w:tcBorders>
          </w:tcPr>
          <w:p w14:paraId="44E4263C" w14:textId="1462C142" w:rsidR="00B0429D" w:rsidRDefault="00B0429D" w:rsidP="00CB5793">
            <w:pPr>
              <w:spacing w:after="0" w:line="259" w:lineRule="auto"/>
              <w:ind w:left="0" w:right="0" w:firstLine="0"/>
              <w:jc w:val="center"/>
            </w:pPr>
          </w:p>
        </w:tc>
      </w:tr>
      <w:tr w:rsidR="00B0429D" w14:paraId="2E4D7E5A" w14:textId="77777777" w:rsidTr="00C23B62">
        <w:trPr>
          <w:trHeight w:val="250"/>
        </w:trPr>
        <w:tc>
          <w:tcPr>
            <w:tcW w:w="3393" w:type="dxa"/>
            <w:tcBorders>
              <w:top w:val="single" w:sz="4" w:space="0" w:color="000000"/>
              <w:left w:val="single" w:sz="12" w:space="0" w:color="000000"/>
              <w:bottom w:val="single" w:sz="4" w:space="0" w:color="000000"/>
              <w:right w:val="single" w:sz="12" w:space="0" w:color="000000"/>
            </w:tcBorders>
          </w:tcPr>
          <w:p w14:paraId="13B4F2CB" w14:textId="77777777" w:rsidR="00B0429D" w:rsidRDefault="00B0429D" w:rsidP="00B0429D">
            <w:pPr>
              <w:spacing w:after="0" w:line="259" w:lineRule="auto"/>
              <w:ind w:left="2" w:right="0" w:firstLine="0"/>
            </w:pPr>
            <w:r>
              <w:rPr>
                <w:sz w:val="18"/>
              </w:rPr>
              <w:t xml:space="preserve">4,4’-DDE </w:t>
            </w:r>
          </w:p>
        </w:tc>
        <w:tc>
          <w:tcPr>
            <w:tcW w:w="1173" w:type="dxa"/>
            <w:tcBorders>
              <w:top w:val="single" w:sz="4" w:space="0" w:color="000000"/>
              <w:left w:val="single" w:sz="12" w:space="0" w:color="000000"/>
              <w:bottom w:val="single" w:sz="4" w:space="0" w:color="000000"/>
              <w:right w:val="single" w:sz="12" w:space="0" w:color="000000"/>
            </w:tcBorders>
          </w:tcPr>
          <w:p w14:paraId="1FD30255" w14:textId="2B9CCE87" w:rsidR="00B0429D" w:rsidRDefault="00B0429D" w:rsidP="00CB5793">
            <w:pPr>
              <w:spacing w:after="0" w:line="259" w:lineRule="auto"/>
              <w:ind w:left="0" w:right="44" w:firstLine="0"/>
              <w:jc w:val="center"/>
            </w:pPr>
            <w:r>
              <w:rPr>
                <w:sz w:val="18"/>
              </w:rPr>
              <w:t>72-55-9</w:t>
            </w:r>
          </w:p>
        </w:tc>
        <w:tc>
          <w:tcPr>
            <w:tcW w:w="881" w:type="dxa"/>
            <w:tcBorders>
              <w:top w:val="single" w:sz="4" w:space="0" w:color="000000"/>
              <w:left w:val="single" w:sz="12" w:space="0" w:color="000000"/>
              <w:bottom w:val="single" w:sz="4" w:space="0" w:color="000000"/>
              <w:right w:val="single" w:sz="12" w:space="0" w:color="000000"/>
            </w:tcBorders>
          </w:tcPr>
          <w:p w14:paraId="7D0D2D46" w14:textId="39ABEACF" w:rsidR="00B0429D" w:rsidRDefault="00B0429D" w:rsidP="00CB5793">
            <w:pPr>
              <w:tabs>
                <w:tab w:val="center" w:pos="399"/>
              </w:tabs>
              <w:spacing w:after="0" w:line="259" w:lineRule="auto"/>
              <w:ind w:left="0" w:right="0" w:firstLine="0"/>
              <w:jc w:val="center"/>
            </w:pPr>
            <w:r>
              <w:rPr>
                <w:sz w:val="18"/>
              </w:rPr>
              <w:t>0.5</w:t>
            </w:r>
          </w:p>
        </w:tc>
        <w:tc>
          <w:tcPr>
            <w:tcW w:w="879" w:type="dxa"/>
            <w:tcBorders>
              <w:top w:val="single" w:sz="4" w:space="0" w:color="000000"/>
              <w:left w:val="single" w:sz="12" w:space="0" w:color="000000"/>
              <w:bottom w:val="single" w:sz="4" w:space="0" w:color="000000"/>
              <w:right w:val="single" w:sz="12" w:space="0" w:color="000000"/>
            </w:tcBorders>
          </w:tcPr>
          <w:p w14:paraId="7D8ED1AF" w14:textId="135BD1E8" w:rsidR="00B0429D" w:rsidRDefault="00B0429D" w:rsidP="00CB5793">
            <w:pPr>
              <w:spacing w:after="0" w:line="259" w:lineRule="auto"/>
              <w:ind w:left="0" w:right="46" w:firstLine="0"/>
              <w:jc w:val="center"/>
            </w:pPr>
            <w:r>
              <w:rPr>
                <w:sz w:val="18"/>
              </w:rPr>
              <w:t>ug/L</w:t>
            </w:r>
          </w:p>
        </w:tc>
        <w:tc>
          <w:tcPr>
            <w:tcW w:w="881" w:type="dxa"/>
            <w:tcBorders>
              <w:top w:val="single" w:sz="4" w:space="0" w:color="000000"/>
              <w:left w:val="single" w:sz="12" w:space="0" w:color="000000"/>
              <w:bottom w:val="single" w:sz="4" w:space="0" w:color="000000"/>
              <w:right w:val="single" w:sz="12" w:space="0" w:color="000000"/>
            </w:tcBorders>
          </w:tcPr>
          <w:p w14:paraId="6B0F1F22" w14:textId="4490686E" w:rsidR="00B0429D" w:rsidRDefault="00B0429D" w:rsidP="00CB5793">
            <w:pPr>
              <w:spacing w:after="0" w:line="259" w:lineRule="auto"/>
              <w:ind w:left="0" w:right="47" w:firstLine="0"/>
              <w:jc w:val="center"/>
            </w:pPr>
            <w:r>
              <w:rPr>
                <w:sz w:val="18"/>
              </w:rPr>
              <w:t>N/A</w:t>
            </w:r>
          </w:p>
        </w:tc>
        <w:tc>
          <w:tcPr>
            <w:tcW w:w="1074" w:type="dxa"/>
            <w:tcBorders>
              <w:top w:val="single" w:sz="4" w:space="0" w:color="000000"/>
              <w:left w:val="single" w:sz="12" w:space="0" w:color="000000"/>
              <w:bottom w:val="single" w:sz="4" w:space="0" w:color="000000"/>
              <w:right w:val="single" w:sz="12" w:space="0" w:color="000000"/>
            </w:tcBorders>
          </w:tcPr>
          <w:p w14:paraId="3E2A3F3B" w14:textId="730311CF" w:rsidR="00B0429D" w:rsidRDefault="00B0429D" w:rsidP="00CB5793">
            <w:pPr>
              <w:spacing w:after="0" w:line="259" w:lineRule="auto"/>
              <w:ind w:left="0" w:right="42" w:firstLine="0"/>
              <w:jc w:val="center"/>
            </w:pPr>
            <w:r>
              <w:rPr>
                <w:sz w:val="18"/>
              </w:rPr>
              <w:t>N/A</w:t>
            </w:r>
          </w:p>
        </w:tc>
        <w:tc>
          <w:tcPr>
            <w:tcW w:w="843" w:type="dxa"/>
            <w:tcBorders>
              <w:top w:val="single" w:sz="4" w:space="0" w:color="000000"/>
              <w:left w:val="single" w:sz="12" w:space="0" w:color="000000"/>
              <w:bottom w:val="single" w:sz="4" w:space="0" w:color="000000"/>
              <w:right w:val="single" w:sz="12" w:space="0" w:color="000000"/>
            </w:tcBorders>
          </w:tcPr>
          <w:p w14:paraId="75C89937" w14:textId="57CF27D6" w:rsidR="00B0429D" w:rsidRDefault="00B0429D" w:rsidP="00CB5793">
            <w:pPr>
              <w:spacing w:after="0" w:line="259" w:lineRule="auto"/>
              <w:ind w:left="0" w:right="45" w:firstLine="0"/>
              <w:jc w:val="center"/>
            </w:pPr>
            <w:r>
              <w:rPr>
                <w:b/>
                <w:sz w:val="18"/>
              </w:rPr>
              <w:t>525.2</w:t>
            </w:r>
          </w:p>
        </w:tc>
        <w:tc>
          <w:tcPr>
            <w:tcW w:w="776" w:type="dxa"/>
            <w:tcBorders>
              <w:top w:val="single" w:sz="4" w:space="0" w:color="000000"/>
              <w:left w:val="single" w:sz="12" w:space="0" w:color="000000"/>
              <w:bottom w:val="single" w:sz="4" w:space="0" w:color="000000"/>
              <w:right w:val="single" w:sz="12" w:space="0" w:color="000000"/>
            </w:tcBorders>
          </w:tcPr>
          <w:p w14:paraId="2BAACA91" w14:textId="41381D7A" w:rsidR="00B0429D" w:rsidRDefault="00B0429D" w:rsidP="00CB5793">
            <w:pPr>
              <w:spacing w:after="0" w:line="259" w:lineRule="auto"/>
              <w:ind w:left="0" w:right="44" w:firstLine="0"/>
              <w:jc w:val="center"/>
            </w:pPr>
            <w:r>
              <w:rPr>
                <w:sz w:val="18"/>
              </w:rPr>
              <w:t>508.1</w:t>
            </w:r>
          </w:p>
        </w:tc>
        <w:tc>
          <w:tcPr>
            <w:tcW w:w="630" w:type="dxa"/>
            <w:tcBorders>
              <w:top w:val="single" w:sz="4" w:space="0" w:color="000000"/>
              <w:left w:val="single" w:sz="12" w:space="0" w:color="000000"/>
              <w:bottom w:val="single" w:sz="4" w:space="0" w:color="000000"/>
              <w:right w:val="single" w:sz="12" w:space="0" w:color="000000"/>
            </w:tcBorders>
          </w:tcPr>
          <w:p w14:paraId="5229F29E" w14:textId="20CF97E8" w:rsidR="00B0429D" w:rsidRDefault="00B0429D" w:rsidP="00CB5793">
            <w:pPr>
              <w:spacing w:after="0" w:line="259" w:lineRule="auto"/>
              <w:ind w:left="0" w:right="0" w:firstLine="0"/>
              <w:jc w:val="center"/>
            </w:pPr>
          </w:p>
        </w:tc>
      </w:tr>
      <w:tr w:rsidR="00B0429D" w14:paraId="7B4A3C15" w14:textId="77777777" w:rsidTr="00C23B62">
        <w:trPr>
          <w:trHeight w:val="250"/>
        </w:trPr>
        <w:tc>
          <w:tcPr>
            <w:tcW w:w="3393" w:type="dxa"/>
            <w:tcBorders>
              <w:top w:val="single" w:sz="4" w:space="0" w:color="000000"/>
              <w:left w:val="single" w:sz="12" w:space="0" w:color="000000"/>
              <w:bottom w:val="single" w:sz="4" w:space="0" w:color="000000"/>
              <w:right w:val="single" w:sz="12" w:space="0" w:color="000000"/>
            </w:tcBorders>
          </w:tcPr>
          <w:p w14:paraId="6DF50C33" w14:textId="77777777" w:rsidR="00B0429D" w:rsidRDefault="00B0429D" w:rsidP="00B0429D">
            <w:pPr>
              <w:spacing w:after="0" w:line="259" w:lineRule="auto"/>
              <w:ind w:left="2" w:right="0" w:firstLine="0"/>
            </w:pPr>
            <w:r>
              <w:rPr>
                <w:sz w:val="18"/>
              </w:rPr>
              <w:t xml:space="preserve">4,4’-DDT </w:t>
            </w:r>
          </w:p>
        </w:tc>
        <w:tc>
          <w:tcPr>
            <w:tcW w:w="1173" w:type="dxa"/>
            <w:tcBorders>
              <w:top w:val="single" w:sz="4" w:space="0" w:color="000000"/>
              <w:left w:val="single" w:sz="12" w:space="0" w:color="000000"/>
              <w:bottom w:val="single" w:sz="4" w:space="0" w:color="000000"/>
              <w:right w:val="single" w:sz="12" w:space="0" w:color="000000"/>
            </w:tcBorders>
          </w:tcPr>
          <w:p w14:paraId="6CE1E1A2" w14:textId="570356CD" w:rsidR="00B0429D" w:rsidRDefault="00B0429D" w:rsidP="00CB5793">
            <w:pPr>
              <w:spacing w:after="0" w:line="259" w:lineRule="auto"/>
              <w:ind w:left="0" w:right="44" w:firstLine="0"/>
              <w:jc w:val="center"/>
            </w:pPr>
            <w:r>
              <w:rPr>
                <w:sz w:val="18"/>
              </w:rPr>
              <w:t>50-29-3</w:t>
            </w:r>
          </w:p>
        </w:tc>
        <w:tc>
          <w:tcPr>
            <w:tcW w:w="881" w:type="dxa"/>
            <w:tcBorders>
              <w:top w:val="single" w:sz="4" w:space="0" w:color="000000"/>
              <w:left w:val="single" w:sz="12" w:space="0" w:color="000000"/>
              <w:bottom w:val="single" w:sz="4" w:space="0" w:color="000000"/>
              <w:right w:val="single" w:sz="12" w:space="0" w:color="000000"/>
            </w:tcBorders>
          </w:tcPr>
          <w:p w14:paraId="3099ED47" w14:textId="3625E72A" w:rsidR="00B0429D" w:rsidRDefault="00B0429D" w:rsidP="00CB5793">
            <w:pPr>
              <w:tabs>
                <w:tab w:val="center" w:pos="399"/>
              </w:tabs>
              <w:spacing w:after="0" w:line="259" w:lineRule="auto"/>
              <w:ind w:left="0" w:right="0" w:firstLine="0"/>
              <w:jc w:val="center"/>
            </w:pPr>
            <w:r>
              <w:rPr>
                <w:sz w:val="18"/>
              </w:rPr>
              <w:t>0.5</w:t>
            </w:r>
          </w:p>
        </w:tc>
        <w:tc>
          <w:tcPr>
            <w:tcW w:w="879" w:type="dxa"/>
            <w:tcBorders>
              <w:top w:val="single" w:sz="4" w:space="0" w:color="000000"/>
              <w:left w:val="single" w:sz="12" w:space="0" w:color="000000"/>
              <w:bottom w:val="single" w:sz="4" w:space="0" w:color="000000"/>
              <w:right w:val="single" w:sz="12" w:space="0" w:color="000000"/>
            </w:tcBorders>
          </w:tcPr>
          <w:p w14:paraId="1C308626" w14:textId="6722174A" w:rsidR="00B0429D" w:rsidRDefault="00B0429D" w:rsidP="00CB5793">
            <w:pPr>
              <w:spacing w:after="0" w:line="259" w:lineRule="auto"/>
              <w:ind w:left="0" w:right="46" w:firstLine="0"/>
              <w:jc w:val="center"/>
            </w:pPr>
            <w:r>
              <w:rPr>
                <w:sz w:val="18"/>
              </w:rPr>
              <w:t>ug/L</w:t>
            </w:r>
          </w:p>
        </w:tc>
        <w:tc>
          <w:tcPr>
            <w:tcW w:w="881" w:type="dxa"/>
            <w:tcBorders>
              <w:top w:val="single" w:sz="4" w:space="0" w:color="000000"/>
              <w:left w:val="single" w:sz="12" w:space="0" w:color="000000"/>
              <w:bottom w:val="single" w:sz="4" w:space="0" w:color="000000"/>
              <w:right w:val="single" w:sz="12" w:space="0" w:color="000000"/>
            </w:tcBorders>
          </w:tcPr>
          <w:p w14:paraId="0C9732FB" w14:textId="21E45457" w:rsidR="00B0429D" w:rsidRDefault="00B0429D" w:rsidP="00CB5793">
            <w:pPr>
              <w:spacing w:after="0" w:line="259" w:lineRule="auto"/>
              <w:ind w:left="0" w:right="47" w:firstLine="0"/>
              <w:jc w:val="center"/>
            </w:pPr>
            <w:r>
              <w:rPr>
                <w:sz w:val="18"/>
              </w:rPr>
              <w:t>N/A</w:t>
            </w:r>
          </w:p>
        </w:tc>
        <w:tc>
          <w:tcPr>
            <w:tcW w:w="1074" w:type="dxa"/>
            <w:tcBorders>
              <w:top w:val="single" w:sz="4" w:space="0" w:color="000000"/>
              <w:left w:val="single" w:sz="12" w:space="0" w:color="000000"/>
              <w:bottom w:val="single" w:sz="4" w:space="0" w:color="000000"/>
              <w:right w:val="single" w:sz="12" w:space="0" w:color="000000"/>
            </w:tcBorders>
          </w:tcPr>
          <w:p w14:paraId="1F8B6C20" w14:textId="4F845B01" w:rsidR="00B0429D" w:rsidRDefault="00B0429D" w:rsidP="00CB5793">
            <w:pPr>
              <w:spacing w:after="0" w:line="259" w:lineRule="auto"/>
              <w:ind w:left="0" w:right="42" w:firstLine="0"/>
              <w:jc w:val="center"/>
            </w:pPr>
            <w:r>
              <w:rPr>
                <w:sz w:val="18"/>
              </w:rPr>
              <w:t>N/A</w:t>
            </w:r>
          </w:p>
        </w:tc>
        <w:tc>
          <w:tcPr>
            <w:tcW w:w="843" w:type="dxa"/>
            <w:tcBorders>
              <w:top w:val="single" w:sz="4" w:space="0" w:color="000000"/>
              <w:left w:val="single" w:sz="12" w:space="0" w:color="000000"/>
              <w:bottom w:val="single" w:sz="4" w:space="0" w:color="000000"/>
              <w:right w:val="single" w:sz="12" w:space="0" w:color="000000"/>
            </w:tcBorders>
          </w:tcPr>
          <w:p w14:paraId="42BFD028" w14:textId="23A4278E" w:rsidR="00B0429D" w:rsidRDefault="00B0429D" w:rsidP="00CB5793">
            <w:pPr>
              <w:spacing w:after="0" w:line="259" w:lineRule="auto"/>
              <w:ind w:left="0" w:right="45" w:firstLine="0"/>
              <w:jc w:val="center"/>
            </w:pPr>
            <w:r>
              <w:rPr>
                <w:b/>
                <w:sz w:val="18"/>
              </w:rPr>
              <w:t>525.2</w:t>
            </w:r>
          </w:p>
        </w:tc>
        <w:tc>
          <w:tcPr>
            <w:tcW w:w="776" w:type="dxa"/>
            <w:tcBorders>
              <w:top w:val="single" w:sz="4" w:space="0" w:color="000000"/>
              <w:left w:val="single" w:sz="12" w:space="0" w:color="000000"/>
              <w:bottom w:val="single" w:sz="4" w:space="0" w:color="000000"/>
              <w:right w:val="single" w:sz="12" w:space="0" w:color="000000"/>
            </w:tcBorders>
          </w:tcPr>
          <w:p w14:paraId="53A161C7" w14:textId="6B8E4587" w:rsidR="00B0429D" w:rsidRDefault="00B0429D" w:rsidP="00CB5793">
            <w:pPr>
              <w:spacing w:after="0" w:line="259" w:lineRule="auto"/>
              <w:ind w:left="0" w:right="44" w:firstLine="0"/>
              <w:jc w:val="center"/>
            </w:pPr>
            <w:r>
              <w:rPr>
                <w:sz w:val="18"/>
              </w:rPr>
              <w:t>508.1</w:t>
            </w:r>
          </w:p>
        </w:tc>
        <w:tc>
          <w:tcPr>
            <w:tcW w:w="630" w:type="dxa"/>
            <w:tcBorders>
              <w:top w:val="single" w:sz="4" w:space="0" w:color="000000"/>
              <w:left w:val="single" w:sz="12" w:space="0" w:color="000000"/>
              <w:bottom w:val="single" w:sz="4" w:space="0" w:color="000000"/>
              <w:right w:val="single" w:sz="12" w:space="0" w:color="000000"/>
            </w:tcBorders>
          </w:tcPr>
          <w:p w14:paraId="7130E190" w14:textId="4C0E4F2B" w:rsidR="00B0429D" w:rsidRDefault="00B0429D" w:rsidP="00CB5793">
            <w:pPr>
              <w:spacing w:after="0" w:line="259" w:lineRule="auto"/>
              <w:ind w:left="0" w:right="0" w:firstLine="0"/>
              <w:jc w:val="center"/>
            </w:pPr>
          </w:p>
        </w:tc>
      </w:tr>
      <w:tr w:rsidR="00B0429D" w14:paraId="6366F54A" w14:textId="77777777" w:rsidTr="00C23B62">
        <w:trPr>
          <w:trHeight w:val="250"/>
        </w:trPr>
        <w:tc>
          <w:tcPr>
            <w:tcW w:w="3393" w:type="dxa"/>
            <w:tcBorders>
              <w:top w:val="single" w:sz="4" w:space="0" w:color="000000"/>
              <w:left w:val="single" w:sz="12" w:space="0" w:color="000000"/>
              <w:bottom w:val="single" w:sz="4" w:space="0" w:color="000000"/>
              <w:right w:val="single" w:sz="12" w:space="0" w:color="000000"/>
            </w:tcBorders>
          </w:tcPr>
          <w:p w14:paraId="69EFEBAF" w14:textId="77777777" w:rsidR="00B0429D" w:rsidRDefault="00B0429D" w:rsidP="00B0429D">
            <w:pPr>
              <w:spacing w:after="0" w:line="259" w:lineRule="auto"/>
              <w:ind w:left="2" w:right="0" w:firstLine="0"/>
            </w:pPr>
            <w:r>
              <w:rPr>
                <w:sz w:val="18"/>
              </w:rPr>
              <w:t xml:space="preserve">Dieldrin </w:t>
            </w:r>
          </w:p>
        </w:tc>
        <w:tc>
          <w:tcPr>
            <w:tcW w:w="1173" w:type="dxa"/>
            <w:tcBorders>
              <w:top w:val="single" w:sz="4" w:space="0" w:color="000000"/>
              <w:left w:val="single" w:sz="12" w:space="0" w:color="000000"/>
              <w:bottom w:val="single" w:sz="4" w:space="0" w:color="000000"/>
              <w:right w:val="single" w:sz="12" w:space="0" w:color="000000"/>
            </w:tcBorders>
          </w:tcPr>
          <w:p w14:paraId="343194BB" w14:textId="5BFFF9AA" w:rsidR="00B0429D" w:rsidRDefault="00B0429D" w:rsidP="00CB5793">
            <w:pPr>
              <w:spacing w:after="0" w:line="259" w:lineRule="auto"/>
              <w:ind w:left="0" w:right="44" w:firstLine="0"/>
              <w:jc w:val="center"/>
            </w:pPr>
            <w:r>
              <w:rPr>
                <w:sz w:val="18"/>
              </w:rPr>
              <w:t>60-57-1</w:t>
            </w:r>
          </w:p>
        </w:tc>
        <w:tc>
          <w:tcPr>
            <w:tcW w:w="881" w:type="dxa"/>
            <w:tcBorders>
              <w:top w:val="single" w:sz="4" w:space="0" w:color="000000"/>
              <w:left w:val="single" w:sz="12" w:space="0" w:color="000000"/>
              <w:bottom w:val="single" w:sz="4" w:space="0" w:color="000000"/>
              <w:right w:val="single" w:sz="12" w:space="0" w:color="000000"/>
            </w:tcBorders>
          </w:tcPr>
          <w:p w14:paraId="6D23A2F2" w14:textId="0619CED2" w:rsidR="00B0429D" w:rsidRDefault="00B0429D" w:rsidP="00CB5793">
            <w:pPr>
              <w:tabs>
                <w:tab w:val="right" w:pos="712"/>
              </w:tabs>
              <w:spacing w:after="0" w:line="259" w:lineRule="auto"/>
              <w:ind w:left="0" w:right="0" w:firstLine="0"/>
              <w:jc w:val="center"/>
            </w:pPr>
            <w:r>
              <w:rPr>
                <w:b/>
                <w:sz w:val="18"/>
              </w:rPr>
              <w:t>0.05</w:t>
            </w:r>
          </w:p>
        </w:tc>
        <w:tc>
          <w:tcPr>
            <w:tcW w:w="879" w:type="dxa"/>
            <w:tcBorders>
              <w:top w:val="single" w:sz="4" w:space="0" w:color="000000"/>
              <w:left w:val="single" w:sz="12" w:space="0" w:color="000000"/>
              <w:bottom w:val="single" w:sz="4" w:space="0" w:color="000000"/>
              <w:right w:val="single" w:sz="12" w:space="0" w:color="000000"/>
            </w:tcBorders>
          </w:tcPr>
          <w:p w14:paraId="0B2F1607" w14:textId="271FFC86" w:rsidR="00B0429D" w:rsidRDefault="00B0429D" w:rsidP="00CB5793">
            <w:pPr>
              <w:spacing w:after="0" w:line="259" w:lineRule="auto"/>
              <w:ind w:left="0" w:right="46" w:firstLine="0"/>
              <w:jc w:val="center"/>
            </w:pPr>
            <w:r>
              <w:rPr>
                <w:sz w:val="18"/>
              </w:rPr>
              <w:t>ug/L</w:t>
            </w:r>
          </w:p>
        </w:tc>
        <w:tc>
          <w:tcPr>
            <w:tcW w:w="881" w:type="dxa"/>
            <w:tcBorders>
              <w:top w:val="single" w:sz="4" w:space="0" w:color="000000"/>
              <w:left w:val="single" w:sz="12" w:space="0" w:color="000000"/>
              <w:bottom w:val="single" w:sz="4" w:space="0" w:color="000000"/>
              <w:right w:val="single" w:sz="12" w:space="0" w:color="000000"/>
            </w:tcBorders>
          </w:tcPr>
          <w:p w14:paraId="286CC49D" w14:textId="112756EE" w:rsidR="00B0429D" w:rsidRDefault="00B0429D" w:rsidP="00CB5793">
            <w:pPr>
              <w:spacing w:after="0" w:line="259" w:lineRule="auto"/>
              <w:ind w:left="0" w:right="47" w:firstLine="0"/>
              <w:jc w:val="center"/>
            </w:pPr>
            <w:r>
              <w:rPr>
                <w:sz w:val="18"/>
              </w:rPr>
              <w:t>N/A</w:t>
            </w:r>
          </w:p>
        </w:tc>
        <w:tc>
          <w:tcPr>
            <w:tcW w:w="1074" w:type="dxa"/>
            <w:tcBorders>
              <w:top w:val="single" w:sz="4" w:space="0" w:color="000000"/>
              <w:left w:val="single" w:sz="12" w:space="0" w:color="000000"/>
              <w:bottom w:val="single" w:sz="4" w:space="0" w:color="000000"/>
              <w:right w:val="single" w:sz="12" w:space="0" w:color="000000"/>
            </w:tcBorders>
          </w:tcPr>
          <w:p w14:paraId="6FBF8C1B" w14:textId="2D3EAF6B" w:rsidR="00B0429D" w:rsidRDefault="00B0429D" w:rsidP="00CB5793">
            <w:pPr>
              <w:spacing w:after="0" w:line="259" w:lineRule="auto"/>
              <w:ind w:left="0" w:right="42" w:firstLine="0"/>
              <w:jc w:val="center"/>
            </w:pPr>
            <w:r>
              <w:rPr>
                <w:sz w:val="18"/>
              </w:rPr>
              <w:t>N/A</w:t>
            </w:r>
          </w:p>
        </w:tc>
        <w:tc>
          <w:tcPr>
            <w:tcW w:w="843" w:type="dxa"/>
            <w:tcBorders>
              <w:top w:val="single" w:sz="4" w:space="0" w:color="000000"/>
              <w:left w:val="single" w:sz="12" w:space="0" w:color="000000"/>
              <w:bottom w:val="single" w:sz="4" w:space="0" w:color="000000"/>
              <w:right w:val="single" w:sz="12" w:space="0" w:color="000000"/>
            </w:tcBorders>
          </w:tcPr>
          <w:p w14:paraId="226ED62E" w14:textId="58DC763C" w:rsidR="00B0429D" w:rsidRDefault="00B0429D" w:rsidP="00CB5793">
            <w:pPr>
              <w:spacing w:after="0" w:line="259" w:lineRule="auto"/>
              <w:ind w:left="0" w:right="45" w:firstLine="0"/>
              <w:jc w:val="center"/>
            </w:pPr>
            <w:r>
              <w:rPr>
                <w:b/>
                <w:sz w:val="18"/>
              </w:rPr>
              <w:t>525.2</w:t>
            </w:r>
          </w:p>
        </w:tc>
        <w:tc>
          <w:tcPr>
            <w:tcW w:w="776" w:type="dxa"/>
            <w:tcBorders>
              <w:top w:val="single" w:sz="4" w:space="0" w:color="000000"/>
              <w:left w:val="single" w:sz="12" w:space="0" w:color="000000"/>
              <w:bottom w:val="single" w:sz="4" w:space="0" w:color="000000"/>
              <w:right w:val="single" w:sz="12" w:space="0" w:color="000000"/>
            </w:tcBorders>
          </w:tcPr>
          <w:p w14:paraId="111B6B9F" w14:textId="1CB0B7E3" w:rsidR="00B0429D" w:rsidRDefault="00B0429D" w:rsidP="00CB5793">
            <w:pPr>
              <w:spacing w:after="0" w:line="259" w:lineRule="auto"/>
              <w:ind w:left="0" w:right="44" w:firstLine="0"/>
              <w:jc w:val="center"/>
            </w:pPr>
            <w:r>
              <w:rPr>
                <w:sz w:val="18"/>
              </w:rPr>
              <w:t>508.1</w:t>
            </w:r>
          </w:p>
        </w:tc>
        <w:tc>
          <w:tcPr>
            <w:tcW w:w="630" w:type="dxa"/>
            <w:tcBorders>
              <w:top w:val="single" w:sz="4" w:space="0" w:color="000000"/>
              <w:left w:val="single" w:sz="12" w:space="0" w:color="000000"/>
              <w:bottom w:val="single" w:sz="4" w:space="0" w:color="000000"/>
              <w:right w:val="single" w:sz="12" w:space="0" w:color="000000"/>
            </w:tcBorders>
          </w:tcPr>
          <w:p w14:paraId="63FC5C1F" w14:textId="428B3C02" w:rsidR="00B0429D" w:rsidRDefault="00B0429D" w:rsidP="00CB5793">
            <w:pPr>
              <w:spacing w:after="0" w:line="259" w:lineRule="auto"/>
              <w:ind w:left="0" w:right="46" w:firstLine="0"/>
              <w:jc w:val="center"/>
            </w:pPr>
            <w:r>
              <w:rPr>
                <w:sz w:val="18"/>
              </w:rPr>
              <w:t>505</w:t>
            </w:r>
          </w:p>
        </w:tc>
      </w:tr>
      <w:tr w:rsidR="00B0429D" w14:paraId="1ECA5C43" w14:textId="77777777" w:rsidTr="00C23B62">
        <w:trPr>
          <w:trHeight w:val="247"/>
        </w:trPr>
        <w:tc>
          <w:tcPr>
            <w:tcW w:w="3393" w:type="dxa"/>
            <w:tcBorders>
              <w:top w:val="single" w:sz="4" w:space="0" w:color="000000"/>
              <w:left w:val="single" w:sz="12" w:space="0" w:color="000000"/>
              <w:bottom w:val="single" w:sz="2" w:space="0" w:color="000000"/>
              <w:right w:val="single" w:sz="12" w:space="0" w:color="000000"/>
            </w:tcBorders>
          </w:tcPr>
          <w:p w14:paraId="7FDD0486" w14:textId="77777777" w:rsidR="00B0429D" w:rsidRDefault="00B0429D" w:rsidP="00B0429D">
            <w:pPr>
              <w:spacing w:after="0" w:line="259" w:lineRule="auto"/>
              <w:ind w:left="2" w:right="0" w:firstLine="0"/>
            </w:pPr>
            <w:r>
              <w:rPr>
                <w:sz w:val="18"/>
              </w:rPr>
              <w:t xml:space="preserve">Endosulfan I </w:t>
            </w:r>
          </w:p>
        </w:tc>
        <w:tc>
          <w:tcPr>
            <w:tcW w:w="1173" w:type="dxa"/>
            <w:tcBorders>
              <w:top w:val="single" w:sz="4" w:space="0" w:color="000000"/>
              <w:left w:val="single" w:sz="12" w:space="0" w:color="000000"/>
              <w:bottom w:val="single" w:sz="2" w:space="0" w:color="000000"/>
              <w:right w:val="single" w:sz="12" w:space="0" w:color="000000"/>
            </w:tcBorders>
          </w:tcPr>
          <w:p w14:paraId="5D03976B" w14:textId="7289E992" w:rsidR="00B0429D" w:rsidRDefault="00B0429D" w:rsidP="00CB5793">
            <w:pPr>
              <w:spacing w:after="0" w:line="259" w:lineRule="auto"/>
              <w:ind w:left="0" w:right="44" w:firstLine="0"/>
              <w:jc w:val="center"/>
            </w:pPr>
            <w:r>
              <w:rPr>
                <w:sz w:val="18"/>
              </w:rPr>
              <w:t>959-98-8</w:t>
            </w:r>
          </w:p>
        </w:tc>
        <w:tc>
          <w:tcPr>
            <w:tcW w:w="881" w:type="dxa"/>
            <w:tcBorders>
              <w:top w:val="single" w:sz="4" w:space="0" w:color="000000"/>
              <w:left w:val="single" w:sz="12" w:space="0" w:color="000000"/>
              <w:bottom w:val="single" w:sz="2" w:space="0" w:color="000000"/>
              <w:right w:val="single" w:sz="12" w:space="0" w:color="000000"/>
            </w:tcBorders>
          </w:tcPr>
          <w:p w14:paraId="6DD4BEC2" w14:textId="2FD285DE" w:rsidR="00B0429D" w:rsidRDefault="00B0429D" w:rsidP="00CB5793">
            <w:pPr>
              <w:tabs>
                <w:tab w:val="center" w:pos="308"/>
              </w:tabs>
              <w:spacing w:after="0" w:line="259" w:lineRule="auto"/>
              <w:ind w:left="0" w:right="0" w:firstLine="0"/>
              <w:jc w:val="center"/>
            </w:pPr>
            <w:r>
              <w:rPr>
                <w:sz w:val="18"/>
              </w:rPr>
              <w:t>10</w:t>
            </w:r>
          </w:p>
        </w:tc>
        <w:tc>
          <w:tcPr>
            <w:tcW w:w="879" w:type="dxa"/>
            <w:tcBorders>
              <w:top w:val="single" w:sz="4" w:space="0" w:color="000000"/>
              <w:left w:val="single" w:sz="12" w:space="0" w:color="000000"/>
              <w:bottom w:val="single" w:sz="2" w:space="0" w:color="000000"/>
              <w:right w:val="single" w:sz="12" w:space="0" w:color="000000"/>
            </w:tcBorders>
          </w:tcPr>
          <w:p w14:paraId="15A6FEFB" w14:textId="3A666AFE" w:rsidR="00B0429D" w:rsidRDefault="00B0429D" w:rsidP="00CB5793">
            <w:pPr>
              <w:spacing w:after="0" w:line="259" w:lineRule="auto"/>
              <w:ind w:left="0" w:right="46" w:firstLine="0"/>
              <w:jc w:val="center"/>
            </w:pPr>
            <w:r>
              <w:rPr>
                <w:sz w:val="18"/>
              </w:rPr>
              <w:t>ug/L</w:t>
            </w:r>
          </w:p>
        </w:tc>
        <w:tc>
          <w:tcPr>
            <w:tcW w:w="881" w:type="dxa"/>
            <w:tcBorders>
              <w:top w:val="single" w:sz="4" w:space="0" w:color="000000"/>
              <w:left w:val="single" w:sz="12" w:space="0" w:color="000000"/>
              <w:bottom w:val="single" w:sz="2" w:space="0" w:color="000000"/>
              <w:right w:val="single" w:sz="12" w:space="0" w:color="000000"/>
            </w:tcBorders>
          </w:tcPr>
          <w:p w14:paraId="4290A93E" w14:textId="062367D8" w:rsidR="00B0429D" w:rsidRDefault="00B0429D" w:rsidP="00CB5793">
            <w:pPr>
              <w:spacing w:after="0" w:line="259" w:lineRule="auto"/>
              <w:ind w:left="0" w:right="47" w:firstLine="0"/>
              <w:jc w:val="center"/>
            </w:pPr>
            <w:r>
              <w:rPr>
                <w:sz w:val="18"/>
              </w:rPr>
              <w:t>N/A</w:t>
            </w:r>
          </w:p>
        </w:tc>
        <w:tc>
          <w:tcPr>
            <w:tcW w:w="1074" w:type="dxa"/>
            <w:tcBorders>
              <w:top w:val="single" w:sz="4" w:space="0" w:color="000000"/>
              <w:left w:val="single" w:sz="12" w:space="0" w:color="000000"/>
              <w:bottom w:val="single" w:sz="2" w:space="0" w:color="000000"/>
              <w:right w:val="single" w:sz="12" w:space="0" w:color="000000"/>
            </w:tcBorders>
          </w:tcPr>
          <w:p w14:paraId="42B982FE" w14:textId="17538D95" w:rsidR="00B0429D" w:rsidRDefault="00B0429D" w:rsidP="00CB5793">
            <w:pPr>
              <w:spacing w:after="0" w:line="259" w:lineRule="auto"/>
              <w:ind w:left="0" w:right="42" w:firstLine="0"/>
              <w:jc w:val="center"/>
            </w:pPr>
            <w:r>
              <w:rPr>
                <w:sz w:val="18"/>
              </w:rPr>
              <w:t>N/A</w:t>
            </w:r>
          </w:p>
        </w:tc>
        <w:tc>
          <w:tcPr>
            <w:tcW w:w="843" w:type="dxa"/>
            <w:tcBorders>
              <w:top w:val="single" w:sz="4" w:space="0" w:color="000000"/>
              <w:left w:val="single" w:sz="12" w:space="0" w:color="000000"/>
              <w:bottom w:val="single" w:sz="2" w:space="0" w:color="000000"/>
              <w:right w:val="single" w:sz="12" w:space="0" w:color="000000"/>
            </w:tcBorders>
          </w:tcPr>
          <w:p w14:paraId="61E33173" w14:textId="7B6B44DF" w:rsidR="00B0429D" w:rsidRDefault="00B0429D" w:rsidP="00CB5793">
            <w:pPr>
              <w:spacing w:after="0" w:line="259" w:lineRule="auto"/>
              <w:ind w:left="0" w:right="45" w:firstLine="0"/>
              <w:jc w:val="center"/>
            </w:pPr>
            <w:r>
              <w:rPr>
                <w:b/>
                <w:sz w:val="18"/>
              </w:rPr>
              <w:t>525.2</w:t>
            </w:r>
          </w:p>
        </w:tc>
        <w:tc>
          <w:tcPr>
            <w:tcW w:w="776" w:type="dxa"/>
            <w:tcBorders>
              <w:top w:val="single" w:sz="4" w:space="0" w:color="000000"/>
              <w:left w:val="single" w:sz="12" w:space="0" w:color="000000"/>
              <w:bottom w:val="single" w:sz="2" w:space="0" w:color="000000"/>
              <w:right w:val="single" w:sz="12" w:space="0" w:color="000000"/>
            </w:tcBorders>
          </w:tcPr>
          <w:p w14:paraId="63ECE72F" w14:textId="5D3E249B" w:rsidR="00B0429D" w:rsidRDefault="00B0429D" w:rsidP="00CB5793">
            <w:pPr>
              <w:spacing w:after="0" w:line="259" w:lineRule="auto"/>
              <w:ind w:left="0" w:right="44" w:firstLine="0"/>
              <w:jc w:val="center"/>
            </w:pPr>
            <w:r>
              <w:rPr>
                <w:sz w:val="18"/>
              </w:rPr>
              <w:t>508.1</w:t>
            </w:r>
          </w:p>
        </w:tc>
        <w:tc>
          <w:tcPr>
            <w:tcW w:w="630" w:type="dxa"/>
            <w:tcBorders>
              <w:top w:val="single" w:sz="4" w:space="0" w:color="000000"/>
              <w:left w:val="single" w:sz="12" w:space="0" w:color="000000"/>
              <w:bottom w:val="single" w:sz="2" w:space="0" w:color="000000"/>
              <w:right w:val="single" w:sz="12" w:space="0" w:color="000000"/>
            </w:tcBorders>
          </w:tcPr>
          <w:p w14:paraId="126DF12F" w14:textId="340F496B" w:rsidR="00B0429D" w:rsidRDefault="00B0429D" w:rsidP="00CB5793">
            <w:pPr>
              <w:spacing w:after="0" w:line="259" w:lineRule="auto"/>
              <w:ind w:left="0" w:right="0" w:firstLine="0"/>
              <w:jc w:val="center"/>
            </w:pPr>
          </w:p>
        </w:tc>
      </w:tr>
      <w:tr w:rsidR="00B0429D" w14:paraId="4FC5A70A" w14:textId="77777777" w:rsidTr="00C23B62">
        <w:trPr>
          <w:trHeight w:val="245"/>
        </w:trPr>
        <w:tc>
          <w:tcPr>
            <w:tcW w:w="3393" w:type="dxa"/>
            <w:tcBorders>
              <w:top w:val="single" w:sz="2" w:space="0" w:color="000000"/>
              <w:left w:val="single" w:sz="12" w:space="0" w:color="000000"/>
              <w:bottom w:val="single" w:sz="2" w:space="0" w:color="000000"/>
              <w:right w:val="single" w:sz="12" w:space="0" w:color="000000"/>
            </w:tcBorders>
          </w:tcPr>
          <w:p w14:paraId="5442350E" w14:textId="77777777" w:rsidR="00B0429D" w:rsidRDefault="00B0429D" w:rsidP="00B0429D">
            <w:pPr>
              <w:spacing w:after="0" w:line="259" w:lineRule="auto"/>
              <w:ind w:left="2" w:right="0" w:firstLine="0"/>
            </w:pPr>
            <w:r>
              <w:rPr>
                <w:sz w:val="18"/>
              </w:rPr>
              <w:t xml:space="preserve">Endosulfan II </w:t>
            </w:r>
          </w:p>
        </w:tc>
        <w:tc>
          <w:tcPr>
            <w:tcW w:w="1173" w:type="dxa"/>
            <w:tcBorders>
              <w:top w:val="single" w:sz="2" w:space="0" w:color="000000"/>
              <w:left w:val="single" w:sz="12" w:space="0" w:color="000000"/>
              <w:bottom w:val="single" w:sz="2" w:space="0" w:color="000000"/>
              <w:right w:val="single" w:sz="12" w:space="0" w:color="000000"/>
            </w:tcBorders>
          </w:tcPr>
          <w:p w14:paraId="0AFA3534" w14:textId="4980520E" w:rsidR="00B0429D" w:rsidRDefault="00B0429D" w:rsidP="00CB5793">
            <w:pPr>
              <w:spacing w:after="0" w:line="259" w:lineRule="auto"/>
              <w:ind w:left="0" w:right="44" w:firstLine="0"/>
              <w:jc w:val="center"/>
            </w:pPr>
            <w:r>
              <w:rPr>
                <w:sz w:val="18"/>
              </w:rPr>
              <w:t>33123-65-9</w:t>
            </w:r>
          </w:p>
        </w:tc>
        <w:tc>
          <w:tcPr>
            <w:tcW w:w="881" w:type="dxa"/>
            <w:tcBorders>
              <w:top w:val="single" w:sz="2" w:space="0" w:color="000000"/>
              <w:left w:val="single" w:sz="12" w:space="0" w:color="000000"/>
              <w:bottom w:val="single" w:sz="2" w:space="0" w:color="000000"/>
              <w:right w:val="single" w:sz="12" w:space="0" w:color="000000"/>
            </w:tcBorders>
          </w:tcPr>
          <w:p w14:paraId="3BD7BA92" w14:textId="5AD8C82A" w:rsidR="00B0429D" w:rsidRDefault="00B0429D" w:rsidP="00CB5793">
            <w:pPr>
              <w:tabs>
                <w:tab w:val="center" w:pos="308"/>
              </w:tabs>
              <w:spacing w:after="0" w:line="259" w:lineRule="auto"/>
              <w:ind w:left="0" w:right="0" w:firstLine="0"/>
              <w:jc w:val="center"/>
            </w:pPr>
            <w:r>
              <w:rPr>
                <w:sz w:val="18"/>
              </w:rPr>
              <w:t>10</w:t>
            </w:r>
          </w:p>
        </w:tc>
        <w:tc>
          <w:tcPr>
            <w:tcW w:w="879" w:type="dxa"/>
            <w:tcBorders>
              <w:top w:val="single" w:sz="2" w:space="0" w:color="000000"/>
              <w:left w:val="single" w:sz="12" w:space="0" w:color="000000"/>
              <w:bottom w:val="single" w:sz="2" w:space="0" w:color="000000"/>
              <w:right w:val="single" w:sz="12" w:space="0" w:color="000000"/>
            </w:tcBorders>
          </w:tcPr>
          <w:p w14:paraId="5E1D5318" w14:textId="4983CE5F" w:rsidR="00B0429D" w:rsidRDefault="00B0429D" w:rsidP="00CB5793">
            <w:pPr>
              <w:spacing w:after="0" w:line="259" w:lineRule="auto"/>
              <w:ind w:left="0" w:right="46" w:firstLine="0"/>
              <w:jc w:val="center"/>
            </w:pPr>
            <w:r>
              <w:rPr>
                <w:sz w:val="18"/>
              </w:rPr>
              <w:t>ug/L</w:t>
            </w:r>
          </w:p>
        </w:tc>
        <w:tc>
          <w:tcPr>
            <w:tcW w:w="881" w:type="dxa"/>
            <w:tcBorders>
              <w:top w:val="single" w:sz="2" w:space="0" w:color="000000"/>
              <w:left w:val="single" w:sz="12" w:space="0" w:color="000000"/>
              <w:bottom w:val="single" w:sz="2" w:space="0" w:color="000000"/>
              <w:right w:val="single" w:sz="12" w:space="0" w:color="000000"/>
            </w:tcBorders>
          </w:tcPr>
          <w:p w14:paraId="2609BAAE" w14:textId="6090E78E" w:rsidR="00B0429D" w:rsidRDefault="00B0429D" w:rsidP="00CB5793">
            <w:pPr>
              <w:spacing w:after="0" w:line="259" w:lineRule="auto"/>
              <w:ind w:left="0" w:right="47" w:firstLine="0"/>
              <w:jc w:val="center"/>
            </w:pPr>
            <w:r>
              <w:rPr>
                <w:sz w:val="18"/>
              </w:rPr>
              <w:t>N/A</w:t>
            </w:r>
          </w:p>
        </w:tc>
        <w:tc>
          <w:tcPr>
            <w:tcW w:w="1074" w:type="dxa"/>
            <w:tcBorders>
              <w:top w:val="single" w:sz="2" w:space="0" w:color="000000"/>
              <w:left w:val="single" w:sz="12" w:space="0" w:color="000000"/>
              <w:bottom w:val="single" w:sz="2" w:space="0" w:color="000000"/>
              <w:right w:val="single" w:sz="12" w:space="0" w:color="000000"/>
            </w:tcBorders>
          </w:tcPr>
          <w:p w14:paraId="5E4B5B75" w14:textId="321012A5" w:rsidR="00B0429D" w:rsidRDefault="00B0429D" w:rsidP="00CB5793">
            <w:pPr>
              <w:spacing w:after="0" w:line="259" w:lineRule="auto"/>
              <w:ind w:left="0" w:right="42" w:firstLine="0"/>
              <w:jc w:val="center"/>
            </w:pPr>
            <w:r>
              <w:rPr>
                <w:sz w:val="18"/>
              </w:rPr>
              <w:t>N/A</w:t>
            </w:r>
          </w:p>
        </w:tc>
        <w:tc>
          <w:tcPr>
            <w:tcW w:w="843" w:type="dxa"/>
            <w:tcBorders>
              <w:top w:val="single" w:sz="2" w:space="0" w:color="000000"/>
              <w:left w:val="single" w:sz="12" w:space="0" w:color="000000"/>
              <w:bottom w:val="single" w:sz="2" w:space="0" w:color="000000"/>
              <w:right w:val="single" w:sz="12" w:space="0" w:color="000000"/>
            </w:tcBorders>
          </w:tcPr>
          <w:p w14:paraId="0C0084D4" w14:textId="2DA81889" w:rsidR="00B0429D" w:rsidRDefault="00B0429D" w:rsidP="00CB5793">
            <w:pPr>
              <w:spacing w:after="0" w:line="259" w:lineRule="auto"/>
              <w:ind w:left="0" w:right="45" w:firstLine="0"/>
              <w:jc w:val="center"/>
            </w:pPr>
            <w:r>
              <w:rPr>
                <w:b/>
                <w:sz w:val="18"/>
              </w:rPr>
              <w:t>525.2</w:t>
            </w:r>
          </w:p>
        </w:tc>
        <w:tc>
          <w:tcPr>
            <w:tcW w:w="776" w:type="dxa"/>
            <w:tcBorders>
              <w:top w:val="single" w:sz="2" w:space="0" w:color="000000"/>
              <w:left w:val="single" w:sz="12" w:space="0" w:color="000000"/>
              <w:bottom w:val="single" w:sz="2" w:space="0" w:color="000000"/>
              <w:right w:val="single" w:sz="12" w:space="0" w:color="000000"/>
            </w:tcBorders>
          </w:tcPr>
          <w:p w14:paraId="0AF46D05" w14:textId="24C21C62" w:rsidR="00B0429D" w:rsidRDefault="00B0429D" w:rsidP="00CB5793">
            <w:pPr>
              <w:spacing w:after="0" w:line="259" w:lineRule="auto"/>
              <w:ind w:left="0" w:right="44" w:firstLine="0"/>
              <w:jc w:val="center"/>
            </w:pPr>
            <w:r>
              <w:rPr>
                <w:sz w:val="18"/>
              </w:rPr>
              <w:t>508.1</w:t>
            </w:r>
          </w:p>
        </w:tc>
        <w:tc>
          <w:tcPr>
            <w:tcW w:w="630" w:type="dxa"/>
            <w:tcBorders>
              <w:top w:val="single" w:sz="2" w:space="0" w:color="000000"/>
              <w:left w:val="single" w:sz="12" w:space="0" w:color="000000"/>
              <w:bottom w:val="single" w:sz="2" w:space="0" w:color="000000"/>
              <w:right w:val="single" w:sz="12" w:space="0" w:color="000000"/>
            </w:tcBorders>
          </w:tcPr>
          <w:p w14:paraId="5E070E8A" w14:textId="45C7A28F" w:rsidR="00B0429D" w:rsidRDefault="00B0429D" w:rsidP="00CB5793">
            <w:pPr>
              <w:spacing w:after="0" w:line="259" w:lineRule="auto"/>
              <w:ind w:left="0" w:right="0" w:firstLine="0"/>
              <w:jc w:val="center"/>
            </w:pPr>
          </w:p>
        </w:tc>
      </w:tr>
      <w:tr w:rsidR="00B0429D" w14:paraId="1881B414" w14:textId="77777777" w:rsidTr="00C23B62">
        <w:trPr>
          <w:trHeight w:val="247"/>
        </w:trPr>
        <w:tc>
          <w:tcPr>
            <w:tcW w:w="3393" w:type="dxa"/>
            <w:tcBorders>
              <w:top w:val="single" w:sz="2" w:space="0" w:color="000000"/>
              <w:left w:val="single" w:sz="12" w:space="0" w:color="000000"/>
              <w:bottom w:val="single" w:sz="2" w:space="0" w:color="000000"/>
              <w:right w:val="single" w:sz="12" w:space="0" w:color="000000"/>
            </w:tcBorders>
          </w:tcPr>
          <w:p w14:paraId="6CA5FB7A" w14:textId="77777777" w:rsidR="00B0429D" w:rsidRDefault="00B0429D" w:rsidP="00B0429D">
            <w:pPr>
              <w:spacing w:after="0" w:line="259" w:lineRule="auto"/>
              <w:ind w:left="2" w:right="0" w:firstLine="0"/>
            </w:pPr>
            <w:r>
              <w:rPr>
                <w:sz w:val="18"/>
              </w:rPr>
              <w:t xml:space="preserve">Endosulfan sulfate </w:t>
            </w:r>
          </w:p>
        </w:tc>
        <w:tc>
          <w:tcPr>
            <w:tcW w:w="1173" w:type="dxa"/>
            <w:tcBorders>
              <w:top w:val="single" w:sz="2" w:space="0" w:color="000000"/>
              <w:left w:val="single" w:sz="12" w:space="0" w:color="000000"/>
              <w:bottom w:val="single" w:sz="2" w:space="0" w:color="000000"/>
              <w:right w:val="single" w:sz="12" w:space="0" w:color="000000"/>
            </w:tcBorders>
          </w:tcPr>
          <w:p w14:paraId="36AD7726" w14:textId="16B42251" w:rsidR="00B0429D" w:rsidRDefault="00B0429D" w:rsidP="00CB5793">
            <w:pPr>
              <w:spacing w:after="0" w:line="259" w:lineRule="auto"/>
              <w:ind w:left="0" w:right="44" w:firstLine="0"/>
              <w:jc w:val="center"/>
            </w:pPr>
            <w:r>
              <w:rPr>
                <w:sz w:val="18"/>
              </w:rPr>
              <w:t>1031-07-8</w:t>
            </w:r>
          </w:p>
        </w:tc>
        <w:tc>
          <w:tcPr>
            <w:tcW w:w="881" w:type="dxa"/>
            <w:tcBorders>
              <w:top w:val="single" w:sz="2" w:space="0" w:color="000000"/>
              <w:left w:val="single" w:sz="12" w:space="0" w:color="000000"/>
              <w:bottom w:val="single" w:sz="2" w:space="0" w:color="000000"/>
              <w:right w:val="single" w:sz="12" w:space="0" w:color="000000"/>
            </w:tcBorders>
          </w:tcPr>
          <w:p w14:paraId="37C0C226" w14:textId="17953327" w:rsidR="00B0429D" w:rsidRDefault="00B0429D" w:rsidP="00CB5793">
            <w:pPr>
              <w:tabs>
                <w:tab w:val="center" w:pos="308"/>
              </w:tabs>
              <w:spacing w:after="0" w:line="259" w:lineRule="auto"/>
              <w:ind w:left="0" w:right="0" w:firstLine="0"/>
              <w:jc w:val="center"/>
            </w:pPr>
            <w:r>
              <w:rPr>
                <w:sz w:val="18"/>
              </w:rPr>
              <w:t>10</w:t>
            </w:r>
          </w:p>
        </w:tc>
        <w:tc>
          <w:tcPr>
            <w:tcW w:w="879" w:type="dxa"/>
            <w:tcBorders>
              <w:top w:val="single" w:sz="2" w:space="0" w:color="000000"/>
              <w:left w:val="single" w:sz="12" w:space="0" w:color="000000"/>
              <w:bottom w:val="single" w:sz="2" w:space="0" w:color="000000"/>
              <w:right w:val="single" w:sz="12" w:space="0" w:color="000000"/>
            </w:tcBorders>
          </w:tcPr>
          <w:p w14:paraId="78E5015F" w14:textId="51D81BB6" w:rsidR="00B0429D" w:rsidRDefault="00B0429D" w:rsidP="00CB5793">
            <w:pPr>
              <w:spacing w:after="0" w:line="259" w:lineRule="auto"/>
              <w:ind w:left="0" w:right="46" w:firstLine="0"/>
              <w:jc w:val="center"/>
            </w:pPr>
            <w:r>
              <w:rPr>
                <w:sz w:val="18"/>
              </w:rPr>
              <w:t>ug/L</w:t>
            </w:r>
          </w:p>
        </w:tc>
        <w:tc>
          <w:tcPr>
            <w:tcW w:w="881" w:type="dxa"/>
            <w:tcBorders>
              <w:top w:val="single" w:sz="2" w:space="0" w:color="000000"/>
              <w:left w:val="single" w:sz="12" w:space="0" w:color="000000"/>
              <w:bottom w:val="single" w:sz="2" w:space="0" w:color="000000"/>
              <w:right w:val="single" w:sz="12" w:space="0" w:color="000000"/>
            </w:tcBorders>
          </w:tcPr>
          <w:p w14:paraId="047283FD" w14:textId="6AABE5F6" w:rsidR="00B0429D" w:rsidRDefault="00B0429D" w:rsidP="00CB5793">
            <w:pPr>
              <w:spacing w:after="0" w:line="259" w:lineRule="auto"/>
              <w:ind w:left="0" w:right="47" w:firstLine="0"/>
              <w:jc w:val="center"/>
            </w:pPr>
            <w:r>
              <w:rPr>
                <w:sz w:val="18"/>
              </w:rPr>
              <w:t>N/A</w:t>
            </w:r>
          </w:p>
        </w:tc>
        <w:tc>
          <w:tcPr>
            <w:tcW w:w="1074" w:type="dxa"/>
            <w:tcBorders>
              <w:top w:val="single" w:sz="2" w:space="0" w:color="000000"/>
              <w:left w:val="single" w:sz="12" w:space="0" w:color="000000"/>
              <w:bottom w:val="single" w:sz="2" w:space="0" w:color="000000"/>
              <w:right w:val="single" w:sz="12" w:space="0" w:color="000000"/>
            </w:tcBorders>
          </w:tcPr>
          <w:p w14:paraId="383E38BC" w14:textId="5FA20E31" w:rsidR="00B0429D" w:rsidRDefault="00B0429D" w:rsidP="00CB5793">
            <w:pPr>
              <w:spacing w:after="0" w:line="259" w:lineRule="auto"/>
              <w:ind w:left="0" w:right="42" w:firstLine="0"/>
              <w:jc w:val="center"/>
            </w:pPr>
            <w:r>
              <w:rPr>
                <w:sz w:val="18"/>
              </w:rPr>
              <w:t>N/A</w:t>
            </w:r>
          </w:p>
        </w:tc>
        <w:tc>
          <w:tcPr>
            <w:tcW w:w="843" w:type="dxa"/>
            <w:tcBorders>
              <w:top w:val="single" w:sz="2" w:space="0" w:color="000000"/>
              <w:left w:val="single" w:sz="12" w:space="0" w:color="000000"/>
              <w:bottom w:val="single" w:sz="2" w:space="0" w:color="000000"/>
              <w:right w:val="single" w:sz="12" w:space="0" w:color="000000"/>
            </w:tcBorders>
          </w:tcPr>
          <w:p w14:paraId="46134423" w14:textId="6707695B" w:rsidR="00B0429D" w:rsidRDefault="00B0429D" w:rsidP="00CB5793">
            <w:pPr>
              <w:spacing w:after="0" w:line="259" w:lineRule="auto"/>
              <w:ind w:left="0" w:right="45" w:firstLine="0"/>
              <w:jc w:val="center"/>
            </w:pPr>
            <w:r>
              <w:rPr>
                <w:b/>
                <w:sz w:val="18"/>
              </w:rPr>
              <w:t>525.2</w:t>
            </w:r>
          </w:p>
        </w:tc>
        <w:tc>
          <w:tcPr>
            <w:tcW w:w="776" w:type="dxa"/>
            <w:tcBorders>
              <w:top w:val="single" w:sz="2" w:space="0" w:color="000000"/>
              <w:left w:val="single" w:sz="12" w:space="0" w:color="000000"/>
              <w:bottom w:val="single" w:sz="2" w:space="0" w:color="000000"/>
              <w:right w:val="single" w:sz="12" w:space="0" w:color="000000"/>
            </w:tcBorders>
          </w:tcPr>
          <w:p w14:paraId="6C29C343" w14:textId="2261B60E" w:rsidR="00B0429D" w:rsidRDefault="00B0429D" w:rsidP="00CB5793">
            <w:pPr>
              <w:spacing w:after="0" w:line="259" w:lineRule="auto"/>
              <w:ind w:left="0" w:right="44" w:firstLine="0"/>
              <w:jc w:val="center"/>
            </w:pPr>
            <w:r>
              <w:rPr>
                <w:sz w:val="18"/>
              </w:rPr>
              <w:t>508.1</w:t>
            </w:r>
          </w:p>
        </w:tc>
        <w:tc>
          <w:tcPr>
            <w:tcW w:w="630" w:type="dxa"/>
            <w:tcBorders>
              <w:top w:val="single" w:sz="2" w:space="0" w:color="000000"/>
              <w:left w:val="single" w:sz="12" w:space="0" w:color="000000"/>
              <w:bottom w:val="single" w:sz="2" w:space="0" w:color="000000"/>
              <w:right w:val="single" w:sz="12" w:space="0" w:color="000000"/>
            </w:tcBorders>
          </w:tcPr>
          <w:p w14:paraId="1934C54C" w14:textId="19920371" w:rsidR="00B0429D" w:rsidRDefault="00B0429D" w:rsidP="00CB5793">
            <w:pPr>
              <w:spacing w:after="0" w:line="259" w:lineRule="auto"/>
              <w:ind w:left="0" w:right="0" w:firstLine="0"/>
              <w:jc w:val="center"/>
            </w:pPr>
          </w:p>
        </w:tc>
      </w:tr>
      <w:tr w:rsidR="00B0429D" w14:paraId="0385BED9" w14:textId="77777777" w:rsidTr="00C23B62">
        <w:trPr>
          <w:trHeight w:val="245"/>
        </w:trPr>
        <w:tc>
          <w:tcPr>
            <w:tcW w:w="3393" w:type="dxa"/>
            <w:tcBorders>
              <w:top w:val="single" w:sz="2" w:space="0" w:color="000000"/>
              <w:left w:val="single" w:sz="12" w:space="0" w:color="000000"/>
              <w:bottom w:val="single" w:sz="2" w:space="0" w:color="000000"/>
              <w:right w:val="single" w:sz="12" w:space="0" w:color="000000"/>
            </w:tcBorders>
          </w:tcPr>
          <w:p w14:paraId="42E610F9" w14:textId="77777777" w:rsidR="00B0429D" w:rsidRDefault="00B0429D" w:rsidP="00B0429D">
            <w:pPr>
              <w:spacing w:after="0" w:line="259" w:lineRule="auto"/>
              <w:ind w:left="2" w:right="0" w:firstLine="0"/>
            </w:pPr>
            <w:r>
              <w:rPr>
                <w:sz w:val="18"/>
              </w:rPr>
              <w:t xml:space="preserve">Endrin </w:t>
            </w:r>
          </w:p>
        </w:tc>
        <w:tc>
          <w:tcPr>
            <w:tcW w:w="1173" w:type="dxa"/>
            <w:tcBorders>
              <w:top w:val="single" w:sz="2" w:space="0" w:color="000000"/>
              <w:left w:val="single" w:sz="12" w:space="0" w:color="000000"/>
              <w:bottom w:val="single" w:sz="2" w:space="0" w:color="000000"/>
              <w:right w:val="single" w:sz="12" w:space="0" w:color="000000"/>
            </w:tcBorders>
          </w:tcPr>
          <w:p w14:paraId="0F25F2A8" w14:textId="119ABD0D" w:rsidR="00B0429D" w:rsidRDefault="00B0429D" w:rsidP="00CB5793">
            <w:pPr>
              <w:spacing w:after="0" w:line="259" w:lineRule="auto"/>
              <w:ind w:left="0" w:right="44" w:firstLine="0"/>
              <w:jc w:val="center"/>
            </w:pPr>
            <w:r>
              <w:rPr>
                <w:sz w:val="18"/>
              </w:rPr>
              <w:t>72-20-8</w:t>
            </w:r>
          </w:p>
        </w:tc>
        <w:tc>
          <w:tcPr>
            <w:tcW w:w="881" w:type="dxa"/>
            <w:tcBorders>
              <w:top w:val="single" w:sz="2" w:space="0" w:color="000000"/>
              <w:left w:val="single" w:sz="12" w:space="0" w:color="000000"/>
              <w:bottom w:val="single" w:sz="2" w:space="0" w:color="000000"/>
              <w:right w:val="single" w:sz="12" w:space="0" w:color="000000"/>
            </w:tcBorders>
          </w:tcPr>
          <w:p w14:paraId="3DDAD479" w14:textId="78535BA2" w:rsidR="00B0429D" w:rsidRDefault="00B0429D" w:rsidP="00CB5793">
            <w:pPr>
              <w:tabs>
                <w:tab w:val="center" w:pos="354"/>
              </w:tabs>
              <w:spacing w:after="0" w:line="259" w:lineRule="auto"/>
              <w:ind w:left="0" w:right="0" w:firstLine="0"/>
              <w:jc w:val="center"/>
            </w:pPr>
            <w:r>
              <w:rPr>
                <w:sz w:val="18"/>
              </w:rPr>
              <w:t>1</w:t>
            </w:r>
          </w:p>
        </w:tc>
        <w:tc>
          <w:tcPr>
            <w:tcW w:w="879" w:type="dxa"/>
            <w:tcBorders>
              <w:top w:val="single" w:sz="2" w:space="0" w:color="000000"/>
              <w:left w:val="single" w:sz="12" w:space="0" w:color="000000"/>
              <w:bottom w:val="single" w:sz="2" w:space="0" w:color="000000"/>
              <w:right w:val="single" w:sz="12" w:space="0" w:color="000000"/>
            </w:tcBorders>
          </w:tcPr>
          <w:p w14:paraId="0F15FDB4" w14:textId="30EF53BB" w:rsidR="00B0429D" w:rsidRDefault="00B0429D" w:rsidP="00CB5793">
            <w:pPr>
              <w:spacing w:after="0" w:line="259" w:lineRule="auto"/>
              <w:ind w:left="0" w:right="46" w:firstLine="0"/>
              <w:jc w:val="center"/>
            </w:pPr>
            <w:r>
              <w:rPr>
                <w:sz w:val="18"/>
              </w:rPr>
              <w:t>ug/L</w:t>
            </w:r>
          </w:p>
        </w:tc>
        <w:tc>
          <w:tcPr>
            <w:tcW w:w="881" w:type="dxa"/>
            <w:tcBorders>
              <w:top w:val="single" w:sz="2" w:space="0" w:color="000000"/>
              <w:left w:val="single" w:sz="12" w:space="0" w:color="000000"/>
              <w:bottom w:val="single" w:sz="2" w:space="0" w:color="000000"/>
              <w:right w:val="single" w:sz="12" w:space="0" w:color="000000"/>
            </w:tcBorders>
          </w:tcPr>
          <w:p w14:paraId="59B28A67" w14:textId="686C0CC4" w:rsidR="00B0429D" w:rsidRDefault="00B0429D" w:rsidP="00CB5793">
            <w:pPr>
              <w:spacing w:after="0" w:line="259" w:lineRule="auto"/>
              <w:ind w:left="0" w:right="47" w:firstLine="0"/>
              <w:jc w:val="center"/>
            </w:pPr>
            <w:r>
              <w:rPr>
                <w:sz w:val="18"/>
              </w:rPr>
              <w:t>N/A</w:t>
            </w:r>
          </w:p>
        </w:tc>
        <w:tc>
          <w:tcPr>
            <w:tcW w:w="1074" w:type="dxa"/>
            <w:tcBorders>
              <w:top w:val="single" w:sz="2" w:space="0" w:color="000000"/>
              <w:left w:val="single" w:sz="12" w:space="0" w:color="000000"/>
              <w:bottom w:val="single" w:sz="2" w:space="0" w:color="000000"/>
              <w:right w:val="single" w:sz="12" w:space="0" w:color="000000"/>
            </w:tcBorders>
          </w:tcPr>
          <w:p w14:paraId="31746B1C" w14:textId="1432A142" w:rsidR="00B0429D" w:rsidRDefault="00B0429D" w:rsidP="00CB5793">
            <w:pPr>
              <w:spacing w:after="0" w:line="259" w:lineRule="auto"/>
              <w:ind w:left="0" w:right="42" w:firstLine="0"/>
              <w:jc w:val="center"/>
            </w:pPr>
            <w:r>
              <w:rPr>
                <w:sz w:val="18"/>
              </w:rPr>
              <w:t>N/A</w:t>
            </w:r>
          </w:p>
        </w:tc>
        <w:tc>
          <w:tcPr>
            <w:tcW w:w="843" w:type="dxa"/>
            <w:tcBorders>
              <w:top w:val="single" w:sz="2" w:space="0" w:color="000000"/>
              <w:left w:val="single" w:sz="12" w:space="0" w:color="000000"/>
              <w:bottom w:val="single" w:sz="2" w:space="0" w:color="000000"/>
              <w:right w:val="single" w:sz="12" w:space="0" w:color="000000"/>
            </w:tcBorders>
          </w:tcPr>
          <w:p w14:paraId="5A3DD4E8" w14:textId="75612396" w:rsidR="00B0429D" w:rsidRDefault="00B0429D" w:rsidP="00CB5793">
            <w:pPr>
              <w:spacing w:after="0" w:line="259" w:lineRule="auto"/>
              <w:ind w:left="0" w:right="45" w:firstLine="0"/>
              <w:jc w:val="center"/>
            </w:pPr>
            <w:r>
              <w:rPr>
                <w:b/>
                <w:sz w:val="18"/>
              </w:rPr>
              <w:t>525.2</w:t>
            </w:r>
          </w:p>
        </w:tc>
        <w:tc>
          <w:tcPr>
            <w:tcW w:w="776" w:type="dxa"/>
            <w:tcBorders>
              <w:top w:val="single" w:sz="2" w:space="0" w:color="000000"/>
              <w:left w:val="single" w:sz="12" w:space="0" w:color="000000"/>
              <w:bottom w:val="single" w:sz="2" w:space="0" w:color="000000"/>
              <w:right w:val="single" w:sz="12" w:space="0" w:color="000000"/>
            </w:tcBorders>
          </w:tcPr>
          <w:p w14:paraId="111DA9EA" w14:textId="2A9F1DB1" w:rsidR="00B0429D" w:rsidRDefault="00B0429D" w:rsidP="00CB5793">
            <w:pPr>
              <w:spacing w:after="0" w:line="259" w:lineRule="auto"/>
              <w:ind w:left="0" w:right="44" w:firstLine="0"/>
              <w:jc w:val="center"/>
            </w:pPr>
            <w:r>
              <w:rPr>
                <w:sz w:val="18"/>
              </w:rPr>
              <w:t>508.1</w:t>
            </w:r>
          </w:p>
        </w:tc>
        <w:tc>
          <w:tcPr>
            <w:tcW w:w="630" w:type="dxa"/>
            <w:tcBorders>
              <w:top w:val="single" w:sz="2" w:space="0" w:color="000000"/>
              <w:left w:val="single" w:sz="12" w:space="0" w:color="000000"/>
              <w:bottom w:val="single" w:sz="2" w:space="0" w:color="000000"/>
              <w:right w:val="single" w:sz="12" w:space="0" w:color="000000"/>
            </w:tcBorders>
          </w:tcPr>
          <w:p w14:paraId="3A0C437C" w14:textId="3542CDDE" w:rsidR="00B0429D" w:rsidRDefault="00B0429D" w:rsidP="00CB5793">
            <w:pPr>
              <w:spacing w:after="0" w:line="259" w:lineRule="auto"/>
              <w:ind w:left="0" w:right="46" w:firstLine="0"/>
              <w:jc w:val="center"/>
            </w:pPr>
            <w:r>
              <w:rPr>
                <w:sz w:val="18"/>
              </w:rPr>
              <w:t>505</w:t>
            </w:r>
          </w:p>
        </w:tc>
      </w:tr>
      <w:tr w:rsidR="00B0429D" w14:paraId="6D6DA30F" w14:textId="77777777" w:rsidTr="00C23B62">
        <w:trPr>
          <w:trHeight w:val="245"/>
        </w:trPr>
        <w:tc>
          <w:tcPr>
            <w:tcW w:w="3393" w:type="dxa"/>
            <w:tcBorders>
              <w:top w:val="single" w:sz="2" w:space="0" w:color="000000"/>
              <w:left w:val="single" w:sz="12" w:space="0" w:color="000000"/>
              <w:bottom w:val="single" w:sz="2" w:space="0" w:color="000000"/>
              <w:right w:val="single" w:sz="12" w:space="0" w:color="000000"/>
            </w:tcBorders>
          </w:tcPr>
          <w:p w14:paraId="3CF7334B" w14:textId="77777777" w:rsidR="00B0429D" w:rsidRDefault="00B0429D" w:rsidP="00B0429D">
            <w:pPr>
              <w:spacing w:after="0" w:line="259" w:lineRule="auto"/>
              <w:ind w:left="2" w:right="0" w:firstLine="0"/>
            </w:pPr>
            <w:r>
              <w:rPr>
                <w:sz w:val="18"/>
              </w:rPr>
              <w:t xml:space="preserve">Endrin aldehyde </w:t>
            </w:r>
          </w:p>
        </w:tc>
        <w:tc>
          <w:tcPr>
            <w:tcW w:w="1173" w:type="dxa"/>
            <w:tcBorders>
              <w:top w:val="single" w:sz="2" w:space="0" w:color="000000"/>
              <w:left w:val="single" w:sz="12" w:space="0" w:color="000000"/>
              <w:bottom w:val="single" w:sz="2" w:space="0" w:color="000000"/>
              <w:right w:val="single" w:sz="12" w:space="0" w:color="000000"/>
            </w:tcBorders>
          </w:tcPr>
          <w:p w14:paraId="7277A161" w14:textId="5EE08AD3" w:rsidR="00B0429D" w:rsidRDefault="00B0429D" w:rsidP="00CB5793">
            <w:pPr>
              <w:spacing w:after="0" w:line="259" w:lineRule="auto"/>
              <w:ind w:left="0" w:right="44" w:firstLine="0"/>
              <w:jc w:val="center"/>
            </w:pPr>
            <w:r>
              <w:rPr>
                <w:sz w:val="18"/>
              </w:rPr>
              <w:t>7421-93-4</w:t>
            </w:r>
          </w:p>
        </w:tc>
        <w:tc>
          <w:tcPr>
            <w:tcW w:w="881" w:type="dxa"/>
            <w:tcBorders>
              <w:top w:val="single" w:sz="2" w:space="0" w:color="000000"/>
              <w:left w:val="single" w:sz="12" w:space="0" w:color="000000"/>
              <w:bottom w:val="single" w:sz="2" w:space="0" w:color="000000"/>
              <w:right w:val="single" w:sz="12" w:space="0" w:color="000000"/>
            </w:tcBorders>
          </w:tcPr>
          <w:p w14:paraId="7276FDF9" w14:textId="673A9DF0" w:rsidR="00B0429D" w:rsidRDefault="00B0429D" w:rsidP="00CB5793">
            <w:pPr>
              <w:tabs>
                <w:tab w:val="center" w:pos="354"/>
              </w:tabs>
              <w:spacing w:after="0" w:line="259" w:lineRule="auto"/>
              <w:ind w:left="0" w:right="0" w:firstLine="0"/>
              <w:jc w:val="center"/>
            </w:pPr>
            <w:r>
              <w:rPr>
                <w:sz w:val="18"/>
              </w:rPr>
              <w:t>1</w:t>
            </w:r>
          </w:p>
        </w:tc>
        <w:tc>
          <w:tcPr>
            <w:tcW w:w="879" w:type="dxa"/>
            <w:tcBorders>
              <w:top w:val="single" w:sz="2" w:space="0" w:color="000000"/>
              <w:left w:val="single" w:sz="12" w:space="0" w:color="000000"/>
              <w:bottom w:val="single" w:sz="2" w:space="0" w:color="000000"/>
              <w:right w:val="single" w:sz="12" w:space="0" w:color="000000"/>
            </w:tcBorders>
          </w:tcPr>
          <w:p w14:paraId="59FA1D7C" w14:textId="4EC9DF7F" w:rsidR="00B0429D" w:rsidRDefault="00B0429D" w:rsidP="00CB5793">
            <w:pPr>
              <w:spacing w:after="0" w:line="259" w:lineRule="auto"/>
              <w:ind w:left="0" w:right="46" w:firstLine="0"/>
              <w:jc w:val="center"/>
            </w:pPr>
            <w:r>
              <w:rPr>
                <w:sz w:val="18"/>
              </w:rPr>
              <w:t>ug/L</w:t>
            </w:r>
          </w:p>
        </w:tc>
        <w:tc>
          <w:tcPr>
            <w:tcW w:w="881" w:type="dxa"/>
            <w:tcBorders>
              <w:top w:val="single" w:sz="2" w:space="0" w:color="000000"/>
              <w:left w:val="single" w:sz="12" w:space="0" w:color="000000"/>
              <w:bottom w:val="single" w:sz="2" w:space="0" w:color="000000"/>
              <w:right w:val="single" w:sz="12" w:space="0" w:color="000000"/>
            </w:tcBorders>
          </w:tcPr>
          <w:p w14:paraId="6B4A0AC4" w14:textId="318FE6C6" w:rsidR="00B0429D" w:rsidRDefault="00B0429D" w:rsidP="00CB5793">
            <w:pPr>
              <w:spacing w:after="0" w:line="259" w:lineRule="auto"/>
              <w:ind w:left="0" w:right="47" w:firstLine="0"/>
              <w:jc w:val="center"/>
            </w:pPr>
            <w:r>
              <w:rPr>
                <w:sz w:val="18"/>
              </w:rPr>
              <w:t>N/A</w:t>
            </w:r>
          </w:p>
        </w:tc>
        <w:tc>
          <w:tcPr>
            <w:tcW w:w="1074" w:type="dxa"/>
            <w:tcBorders>
              <w:top w:val="single" w:sz="2" w:space="0" w:color="000000"/>
              <w:left w:val="single" w:sz="12" w:space="0" w:color="000000"/>
              <w:bottom w:val="single" w:sz="2" w:space="0" w:color="000000"/>
              <w:right w:val="single" w:sz="12" w:space="0" w:color="000000"/>
            </w:tcBorders>
          </w:tcPr>
          <w:p w14:paraId="128BF08D" w14:textId="78951963" w:rsidR="00B0429D" w:rsidRDefault="00B0429D" w:rsidP="00CB5793">
            <w:pPr>
              <w:spacing w:after="0" w:line="259" w:lineRule="auto"/>
              <w:ind w:left="0" w:right="42" w:firstLine="0"/>
              <w:jc w:val="center"/>
            </w:pPr>
            <w:r>
              <w:rPr>
                <w:sz w:val="18"/>
              </w:rPr>
              <w:t>N/A</w:t>
            </w:r>
          </w:p>
        </w:tc>
        <w:tc>
          <w:tcPr>
            <w:tcW w:w="843" w:type="dxa"/>
            <w:tcBorders>
              <w:top w:val="single" w:sz="2" w:space="0" w:color="000000"/>
              <w:left w:val="single" w:sz="12" w:space="0" w:color="000000"/>
              <w:bottom w:val="single" w:sz="2" w:space="0" w:color="000000"/>
              <w:right w:val="single" w:sz="12" w:space="0" w:color="000000"/>
            </w:tcBorders>
          </w:tcPr>
          <w:p w14:paraId="1D9801B4" w14:textId="0AFBD48B" w:rsidR="00B0429D" w:rsidRDefault="00B0429D" w:rsidP="00CB5793">
            <w:pPr>
              <w:spacing w:after="0" w:line="259" w:lineRule="auto"/>
              <w:ind w:left="0" w:right="45" w:firstLine="0"/>
              <w:jc w:val="center"/>
            </w:pPr>
            <w:r>
              <w:rPr>
                <w:b/>
                <w:sz w:val="18"/>
              </w:rPr>
              <w:t>525.2</w:t>
            </w:r>
          </w:p>
        </w:tc>
        <w:tc>
          <w:tcPr>
            <w:tcW w:w="776" w:type="dxa"/>
            <w:tcBorders>
              <w:top w:val="single" w:sz="2" w:space="0" w:color="000000"/>
              <w:left w:val="single" w:sz="12" w:space="0" w:color="000000"/>
              <w:bottom w:val="single" w:sz="2" w:space="0" w:color="000000"/>
              <w:right w:val="single" w:sz="12" w:space="0" w:color="000000"/>
            </w:tcBorders>
          </w:tcPr>
          <w:p w14:paraId="6B861DDF" w14:textId="7A15896C" w:rsidR="00B0429D" w:rsidRDefault="00B0429D" w:rsidP="00CB5793">
            <w:pPr>
              <w:spacing w:after="0" w:line="259" w:lineRule="auto"/>
              <w:ind w:left="0" w:right="44" w:firstLine="0"/>
              <w:jc w:val="center"/>
            </w:pPr>
            <w:r>
              <w:rPr>
                <w:sz w:val="18"/>
              </w:rPr>
              <w:t>508.1</w:t>
            </w:r>
          </w:p>
        </w:tc>
        <w:tc>
          <w:tcPr>
            <w:tcW w:w="630" w:type="dxa"/>
            <w:tcBorders>
              <w:top w:val="single" w:sz="2" w:space="0" w:color="000000"/>
              <w:left w:val="single" w:sz="12" w:space="0" w:color="000000"/>
              <w:bottom w:val="single" w:sz="2" w:space="0" w:color="000000"/>
              <w:right w:val="single" w:sz="12" w:space="0" w:color="000000"/>
            </w:tcBorders>
          </w:tcPr>
          <w:p w14:paraId="1334D8CB" w14:textId="2745E587" w:rsidR="00B0429D" w:rsidRDefault="00B0429D" w:rsidP="00CB5793">
            <w:pPr>
              <w:spacing w:after="0" w:line="259" w:lineRule="auto"/>
              <w:ind w:left="0" w:right="0" w:firstLine="0"/>
              <w:jc w:val="center"/>
            </w:pPr>
          </w:p>
        </w:tc>
      </w:tr>
      <w:tr w:rsidR="00B0429D" w14:paraId="3975EA2A" w14:textId="77777777" w:rsidTr="00C23B62">
        <w:trPr>
          <w:trHeight w:val="245"/>
        </w:trPr>
        <w:tc>
          <w:tcPr>
            <w:tcW w:w="3393" w:type="dxa"/>
            <w:tcBorders>
              <w:top w:val="single" w:sz="2" w:space="0" w:color="000000"/>
              <w:left w:val="single" w:sz="12" w:space="0" w:color="000000"/>
              <w:bottom w:val="single" w:sz="2" w:space="0" w:color="000000"/>
              <w:right w:val="single" w:sz="12" w:space="0" w:color="000000"/>
            </w:tcBorders>
          </w:tcPr>
          <w:p w14:paraId="221562F3" w14:textId="77777777" w:rsidR="00B0429D" w:rsidRDefault="00B0429D" w:rsidP="00B0429D">
            <w:pPr>
              <w:spacing w:after="0" w:line="259" w:lineRule="auto"/>
              <w:ind w:left="2" w:right="0" w:firstLine="0"/>
            </w:pPr>
            <w:r>
              <w:rPr>
                <w:sz w:val="18"/>
              </w:rPr>
              <w:t xml:space="preserve">Etridiazole </w:t>
            </w:r>
          </w:p>
        </w:tc>
        <w:tc>
          <w:tcPr>
            <w:tcW w:w="1173" w:type="dxa"/>
            <w:tcBorders>
              <w:top w:val="single" w:sz="2" w:space="0" w:color="000000"/>
              <w:left w:val="single" w:sz="12" w:space="0" w:color="000000"/>
              <w:bottom w:val="single" w:sz="2" w:space="0" w:color="000000"/>
              <w:right w:val="single" w:sz="12" w:space="0" w:color="000000"/>
            </w:tcBorders>
          </w:tcPr>
          <w:p w14:paraId="2981B85B" w14:textId="3F833818" w:rsidR="00B0429D" w:rsidRDefault="00B0429D" w:rsidP="00CB5793">
            <w:pPr>
              <w:spacing w:after="0" w:line="259" w:lineRule="auto"/>
              <w:ind w:left="0" w:right="44" w:firstLine="0"/>
              <w:jc w:val="center"/>
            </w:pPr>
            <w:r>
              <w:rPr>
                <w:sz w:val="18"/>
              </w:rPr>
              <w:t>2593-15-9</w:t>
            </w:r>
          </w:p>
        </w:tc>
        <w:tc>
          <w:tcPr>
            <w:tcW w:w="881" w:type="dxa"/>
            <w:tcBorders>
              <w:top w:val="single" w:sz="2" w:space="0" w:color="000000"/>
              <w:left w:val="single" w:sz="12" w:space="0" w:color="000000"/>
              <w:bottom w:val="single" w:sz="2" w:space="0" w:color="000000"/>
              <w:right w:val="single" w:sz="12" w:space="0" w:color="000000"/>
            </w:tcBorders>
          </w:tcPr>
          <w:p w14:paraId="708A37BF" w14:textId="280BD892" w:rsidR="00B0429D" w:rsidRDefault="00B0429D" w:rsidP="00CB5793">
            <w:pPr>
              <w:tabs>
                <w:tab w:val="center" w:pos="354"/>
              </w:tabs>
              <w:spacing w:after="0" w:line="259" w:lineRule="auto"/>
              <w:ind w:left="0" w:right="0" w:firstLine="0"/>
              <w:jc w:val="center"/>
            </w:pPr>
            <w:r>
              <w:rPr>
                <w:sz w:val="18"/>
              </w:rPr>
              <w:t>2</w:t>
            </w:r>
          </w:p>
        </w:tc>
        <w:tc>
          <w:tcPr>
            <w:tcW w:w="879" w:type="dxa"/>
            <w:tcBorders>
              <w:top w:val="single" w:sz="2" w:space="0" w:color="000000"/>
              <w:left w:val="single" w:sz="12" w:space="0" w:color="000000"/>
              <w:bottom w:val="single" w:sz="2" w:space="0" w:color="000000"/>
              <w:right w:val="single" w:sz="12" w:space="0" w:color="000000"/>
            </w:tcBorders>
          </w:tcPr>
          <w:p w14:paraId="01899F8A" w14:textId="6980296F" w:rsidR="00B0429D" w:rsidRDefault="00B0429D" w:rsidP="00CB5793">
            <w:pPr>
              <w:spacing w:after="0" w:line="259" w:lineRule="auto"/>
              <w:ind w:left="0" w:right="46" w:firstLine="0"/>
              <w:jc w:val="center"/>
            </w:pPr>
            <w:r>
              <w:rPr>
                <w:sz w:val="18"/>
              </w:rPr>
              <w:t>ug/L</w:t>
            </w:r>
          </w:p>
        </w:tc>
        <w:tc>
          <w:tcPr>
            <w:tcW w:w="881" w:type="dxa"/>
            <w:tcBorders>
              <w:top w:val="single" w:sz="2" w:space="0" w:color="000000"/>
              <w:left w:val="single" w:sz="12" w:space="0" w:color="000000"/>
              <w:bottom w:val="single" w:sz="2" w:space="0" w:color="000000"/>
              <w:right w:val="single" w:sz="12" w:space="0" w:color="000000"/>
            </w:tcBorders>
          </w:tcPr>
          <w:p w14:paraId="17BA1C12" w14:textId="74C283B4" w:rsidR="00B0429D" w:rsidRDefault="00B0429D" w:rsidP="00CB5793">
            <w:pPr>
              <w:spacing w:after="0" w:line="259" w:lineRule="auto"/>
              <w:ind w:left="0" w:right="47" w:firstLine="0"/>
              <w:jc w:val="center"/>
            </w:pPr>
            <w:r>
              <w:rPr>
                <w:sz w:val="18"/>
              </w:rPr>
              <w:t>N/A</w:t>
            </w:r>
          </w:p>
        </w:tc>
        <w:tc>
          <w:tcPr>
            <w:tcW w:w="1074" w:type="dxa"/>
            <w:tcBorders>
              <w:top w:val="single" w:sz="2" w:space="0" w:color="000000"/>
              <w:left w:val="single" w:sz="12" w:space="0" w:color="000000"/>
              <w:bottom w:val="single" w:sz="2" w:space="0" w:color="000000"/>
              <w:right w:val="single" w:sz="12" w:space="0" w:color="000000"/>
            </w:tcBorders>
          </w:tcPr>
          <w:p w14:paraId="59D39516" w14:textId="65437E4F" w:rsidR="00B0429D" w:rsidRDefault="00B0429D" w:rsidP="00CB5793">
            <w:pPr>
              <w:spacing w:after="0" w:line="259" w:lineRule="auto"/>
              <w:ind w:left="0" w:right="42" w:firstLine="0"/>
              <w:jc w:val="center"/>
            </w:pPr>
            <w:r>
              <w:rPr>
                <w:sz w:val="18"/>
              </w:rPr>
              <w:t>N/A</w:t>
            </w:r>
          </w:p>
        </w:tc>
        <w:tc>
          <w:tcPr>
            <w:tcW w:w="843" w:type="dxa"/>
            <w:tcBorders>
              <w:top w:val="single" w:sz="2" w:space="0" w:color="000000"/>
              <w:left w:val="single" w:sz="12" w:space="0" w:color="000000"/>
              <w:bottom w:val="single" w:sz="2" w:space="0" w:color="000000"/>
              <w:right w:val="single" w:sz="12" w:space="0" w:color="000000"/>
            </w:tcBorders>
          </w:tcPr>
          <w:p w14:paraId="250B5B53" w14:textId="69518885" w:rsidR="00B0429D" w:rsidRDefault="00B0429D" w:rsidP="00CB5793">
            <w:pPr>
              <w:spacing w:after="0" w:line="259" w:lineRule="auto"/>
              <w:ind w:left="0" w:right="45" w:firstLine="0"/>
              <w:jc w:val="center"/>
            </w:pPr>
            <w:r>
              <w:rPr>
                <w:b/>
                <w:sz w:val="18"/>
              </w:rPr>
              <w:t>525.2</w:t>
            </w:r>
          </w:p>
        </w:tc>
        <w:tc>
          <w:tcPr>
            <w:tcW w:w="776" w:type="dxa"/>
            <w:tcBorders>
              <w:top w:val="single" w:sz="2" w:space="0" w:color="000000"/>
              <w:left w:val="single" w:sz="12" w:space="0" w:color="000000"/>
              <w:bottom w:val="single" w:sz="2" w:space="0" w:color="000000"/>
              <w:right w:val="single" w:sz="12" w:space="0" w:color="000000"/>
            </w:tcBorders>
          </w:tcPr>
          <w:p w14:paraId="3FBB57B8" w14:textId="77EF3EC3" w:rsidR="00B0429D" w:rsidRDefault="00B0429D" w:rsidP="00CB5793">
            <w:pPr>
              <w:spacing w:after="0" w:line="259" w:lineRule="auto"/>
              <w:ind w:left="0" w:right="44" w:firstLine="0"/>
              <w:jc w:val="center"/>
            </w:pPr>
            <w:r>
              <w:rPr>
                <w:sz w:val="18"/>
              </w:rPr>
              <w:t>508.1</w:t>
            </w:r>
          </w:p>
        </w:tc>
        <w:tc>
          <w:tcPr>
            <w:tcW w:w="630" w:type="dxa"/>
            <w:tcBorders>
              <w:top w:val="single" w:sz="2" w:space="0" w:color="000000"/>
              <w:left w:val="single" w:sz="12" w:space="0" w:color="000000"/>
              <w:bottom w:val="single" w:sz="2" w:space="0" w:color="000000"/>
              <w:right w:val="single" w:sz="12" w:space="0" w:color="000000"/>
            </w:tcBorders>
          </w:tcPr>
          <w:p w14:paraId="1120FC26" w14:textId="3047C6FC" w:rsidR="00B0429D" w:rsidRDefault="00B0429D" w:rsidP="00CB5793">
            <w:pPr>
              <w:spacing w:after="0" w:line="259" w:lineRule="auto"/>
              <w:ind w:left="0" w:right="0" w:firstLine="0"/>
              <w:jc w:val="center"/>
            </w:pPr>
          </w:p>
        </w:tc>
      </w:tr>
      <w:tr w:rsidR="00B0429D" w14:paraId="26DBEBA2" w14:textId="77777777" w:rsidTr="00C23B62">
        <w:trPr>
          <w:trHeight w:val="245"/>
        </w:trPr>
        <w:tc>
          <w:tcPr>
            <w:tcW w:w="3393" w:type="dxa"/>
            <w:tcBorders>
              <w:top w:val="single" w:sz="2" w:space="0" w:color="000000"/>
              <w:left w:val="single" w:sz="12" w:space="0" w:color="000000"/>
              <w:bottom w:val="single" w:sz="2" w:space="0" w:color="000000"/>
              <w:right w:val="single" w:sz="12" w:space="0" w:color="000000"/>
            </w:tcBorders>
          </w:tcPr>
          <w:p w14:paraId="7BA5151C" w14:textId="5145DE75" w:rsidR="00B0429D" w:rsidRDefault="008F5E34" w:rsidP="00B0429D">
            <w:pPr>
              <w:spacing w:after="0" w:line="259" w:lineRule="auto"/>
              <w:ind w:left="2" w:right="0" w:firstLine="0"/>
            </w:pPr>
            <w:r>
              <w:rPr>
                <w:rFonts w:ascii="Symbol" w:eastAsia="Symbol" w:hAnsi="Symbol" w:cs="Symbol"/>
                <w:sz w:val="18"/>
              </w:rPr>
              <w:t>a</w:t>
            </w:r>
            <w:r w:rsidR="00B0429D">
              <w:rPr>
                <w:sz w:val="18"/>
              </w:rPr>
              <w:t>-HCH (</w:t>
            </w:r>
            <w:r>
              <w:rPr>
                <w:rFonts w:ascii="Symbol" w:eastAsia="Symbol" w:hAnsi="Symbol" w:cs="Symbol"/>
                <w:sz w:val="18"/>
              </w:rPr>
              <w:t>a</w:t>
            </w:r>
            <w:r w:rsidR="00B0429D">
              <w:rPr>
                <w:i/>
                <w:sz w:val="18"/>
              </w:rPr>
              <w:t>-BHC)</w:t>
            </w:r>
            <w:r w:rsidR="00B0429D">
              <w:rPr>
                <w:sz w:val="18"/>
              </w:rPr>
              <w:t xml:space="preserve"> </w:t>
            </w:r>
          </w:p>
        </w:tc>
        <w:tc>
          <w:tcPr>
            <w:tcW w:w="1173" w:type="dxa"/>
            <w:tcBorders>
              <w:top w:val="single" w:sz="2" w:space="0" w:color="000000"/>
              <w:left w:val="single" w:sz="12" w:space="0" w:color="000000"/>
              <w:bottom w:val="single" w:sz="2" w:space="0" w:color="000000"/>
              <w:right w:val="single" w:sz="12" w:space="0" w:color="000000"/>
            </w:tcBorders>
          </w:tcPr>
          <w:p w14:paraId="0727DACC" w14:textId="4CA98D09" w:rsidR="00B0429D" w:rsidRDefault="00B0429D" w:rsidP="00CB5793">
            <w:pPr>
              <w:spacing w:after="0" w:line="259" w:lineRule="auto"/>
              <w:ind w:left="0" w:right="44" w:firstLine="0"/>
              <w:jc w:val="center"/>
            </w:pPr>
            <w:r>
              <w:rPr>
                <w:sz w:val="18"/>
              </w:rPr>
              <w:t>319-84-6</w:t>
            </w:r>
          </w:p>
        </w:tc>
        <w:tc>
          <w:tcPr>
            <w:tcW w:w="881" w:type="dxa"/>
            <w:tcBorders>
              <w:top w:val="single" w:sz="2" w:space="0" w:color="000000"/>
              <w:left w:val="single" w:sz="12" w:space="0" w:color="000000"/>
              <w:bottom w:val="single" w:sz="2" w:space="0" w:color="000000"/>
              <w:right w:val="single" w:sz="12" w:space="0" w:color="000000"/>
            </w:tcBorders>
          </w:tcPr>
          <w:p w14:paraId="1F016EE5" w14:textId="1F9463CB" w:rsidR="00B0429D" w:rsidRDefault="00B0429D" w:rsidP="00CB5793">
            <w:pPr>
              <w:tabs>
                <w:tab w:val="center" w:pos="399"/>
              </w:tabs>
              <w:spacing w:after="0" w:line="259" w:lineRule="auto"/>
              <w:ind w:left="0" w:right="0" w:firstLine="0"/>
              <w:jc w:val="center"/>
            </w:pPr>
            <w:r>
              <w:rPr>
                <w:b/>
                <w:sz w:val="18"/>
              </w:rPr>
              <w:t>0.1</w:t>
            </w:r>
          </w:p>
        </w:tc>
        <w:tc>
          <w:tcPr>
            <w:tcW w:w="879" w:type="dxa"/>
            <w:tcBorders>
              <w:top w:val="single" w:sz="2" w:space="0" w:color="000000"/>
              <w:left w:val="single" w:sz="12" w:space="0" w:color="000000"/>
              <w:bottom w:val="single" w:sz="2" w:space="0" w:color="000000"/>
              <w:right w:val="single" w:sz="12" w:space="0" w:color="000000"/>
            </w:tcBorders>
          </w:tcPr>
          <w:p w14:paraId="1508162B" w14:textId="1AC52E34" w:rsidR="00B0429D" w:rsidRDefault="00B0429D" w:rsidP="00CB5793">
            <w:pPr>
              <w:spacing w:after="0" w:line="259" w:lineRule="auto"/>
              <w:ind w:left="0" w:right="46" w:firstLine="0"/>
              <w:jc w:val="center"/>
            </w:pPr>
            <w:r>
              <w:rPr>
                <w:sz w:val="18"/>
              </w:rPr>
              <w:t>ug/L</w:t>
            </w:r>
          </w:p>
        </w:tc>
        <w:tc>
          <w:tcPr>
            <w:tcW w:w="881" w:type="dxa"/>
            <w:tcBorders>
              <w:top w:val="single" w:sz="2" w:space="0" w:color="000000"/>
              <w:left w:val="single" w:sz="12" w:space="0" w:color="000000"/>
              <w:bottom w:val="single" w:sz="2" w:space="0" w:color="000000"/>
              <w:right w:val="single" w:sz="12" w:space="0" w:color="000000"/>
            </w:tcBorders>
          </w:tcPr>
          <w:p w14:paraId="72473454" w14:textId="198A30FF" w:rsidR="00B0429D" w:rsidRDefault="00B0429D" w:rsidP="00CB5793">
            <w:pPr>
              <w:spacing w:after="0" w:line="259" w:lineRule="auto"/>
              <w:ind w:left="0" w:right="47" w:firstLine="0"/>
              <w:jc w:val="center"/>
            </w:pPr>
            <w:r>
              <w:rPr>
                <w:sz w:val="18"/>
              </w:rPr>
              <w:t>N/A</w:t>
            </w:r>
          </w:p>
        </w:tc>
        <w:tc>
          <w:tcPr>
            <w:tcW w:w="1074" w:type="dxa"/>
            <w:tcBorders>
              <w:top w:val="single" w:sz="2" w:space="0" w:color="000000"/>
              <w:left w:val="single" w:sz="12" w:space="0" w:color="000000"/>
              <w:bottom w:val="single" w:sz="2" w:space="0" w:color="000000"/>
              <w:right w:val="single" w:sz="12" w:space="0" w:color="000000"/>
            </w:tcBorders>
          </w:tcPr>
          <w:p w14:paraId="30AF6A03" w14:textId="658671A3" w:rsidR="00B0429D" w:rsidRDefault="00B0429D" w:rsidP="00CB5793">
            <w:pPr>
              <w:spacing w:after="0" w:line="259" w:lineRule="auto"/>
              <w:ind w:left="0" w:right="42" w:firstLine="0"/>
              <w:jc w:val="center"/>
            </w:pPr>
            <w:r>
              <w:rPr>
                <w:sz w:val="18"/>
              </w:rPr>
              <w:t>N/A</w:t>
            </w:r>
          </w:p>
        </w:tc>
        <w:tc>
          <w:tcPr>
            <w:tcW w:w="843" w:type="dxa"/>
            <w:tcBorders>
              <w:top w:val="single" w:sz="2" w:space="0" w:color="000000"/>
              <w:left w:val="single" w:sz="12" w:space="0" w:color="000000"/>
              <w:bottom w:val="single" w:sz="2" w:space="0" w:color="000000"/>
              <w:right w:val="single" w:sz="12" w:space="0" w:color="000000"/>
            </w:tcBorders>
          </w:tcPr>
          <w:p w14:paraId="5482B35B" w14:textId="71C27399" w:rsidR="00B0429D" w:rsidRDefault="00B0429D" w:rsidP="00CB5793">
            <w:pPr>
              <w:spacing w:after="0" w:line="259" w:lineRule="auto"/>
              <w:ind w:left="0" w:right="45" w:firstLine="0"/>
              <w:jc w:val="center"/>
            </w:pPr>
            <w:r>
              <w:rPr>
                <w:b/>
                <w:sz w:val="18"/>
              </w:rPr>
              <w:t>525.2</w:t>
            </w:r>
          </w:p>
        </w:tc>
        <w:tc>
          <w:tcPr>
            <w:tcW w:w="776" w:type="dxa"/>
            <w:tcBorders>
              <w:top w:val="single" w:sz="2" w:space="0" w:color="000000"/>
              <w:left w:val="single" w:sz="12" w:space="0" w:color="000000"/>
              <w:bottom w:val="single" w:sz="2" w:space="0" w:color="000000"/>
              <w:right w:val="single" w:sz="12" w:space="0" w:color="000000"/>
            </w:tcBorders>
          </w:tcPr>
          <w:p w14:paraId="352781BA" w14:textId="4BD99850" w:rsidR="00B0429D" w:rsidRDefault="00B0429D" w:rsidP="00CB5793">
            <w:pPr>
              <w:spacing w:after="0" w:line="259" w:lineRule="auto"/>
              <w:ind w:left="0" w:right="44" w:firstLine="0"/>
              <w:jc w:val="center"/>
            </w:pPr>
            <w:r>
              <w:rPr>
                <w:sz w:val="18"/>
              </w:rPr>
              <w:t>508.1</w:t>
            </w:r>
          </w:p>
        </w:tc>
        <w:tc>
          <w:tcPr>
            <w:tcW w:w="630" w:type="dxa"/>
            <w:tcBorders>
              <w:top w:val="single" w:sz="2" w:space="0" w:color="000000"/>
              <w:left w:val="single" w:sz="12" w:space="0" w:color="000000"/>
              <w:bottom w:val="single" w:sz="2" w:space="0" w:color="000000"/>
              <w:right w:val="single" w:sz="12" w:space="0" w:color="000000"/>
            </w:tcBorders>
          </w:tcPr>
          <w:p w14:paraId="47A883FA" w14:textId="75B505E8" w:rsidR="00B0429D" w:rsidRDefault="00B0429D" w:rsidP="00CB5793">
            <w:pPr>
              <w:spacing w:after="0" w:line="259" w:lineRule="auto"/>
              <w:ind w:left="0" w:right="0" w:firstLine="0"/>
              <w:jc w:val="center"/>
            </w:pPr>
          </w:p>
        </w:tc>
      </w:tr>
      <w:tr w:rsidR="00B0429D" w14:paraId="02B4278F" w14:textId="77777777" w:rsidTr="00C23B62">
        <w:trPr>
          <w:trHeight w:val="245"/>
        </w:trPr>
        <w:tc>
          <w:tcPr>
            <w:tcW w:w="3393" w:type="dxa"/>
            <w:tcBorders>
              <w:top w:val="single" w:sz="2" w:space="0" w:color="000000"/>
              <w:left w:val="single" w:sz="12" w:space="0" w:color="000000"/>
              <w:bottom w:val="single" w:sz="2" w:space="0" w:color="000000"/>
              <w:right w:val="single" w:sz="12" w:space="0" w:color="000000"/>
            </w:tcBorders>
          </w:tcPr>
          <w:p w14:paraId="5DEB6936" w14:textId="0F6B4E1D" w:rsidR="00B0429D" w:rsidRDefault="008F5E34" w:rsidP="00B0429D">
            <w:pPr>
              <w:spacing w:after="0" w:line="259" w:lineRule="auto"/>
              <w:ind w:left="2" w:right="0" w:firstLine="0"/>
            </w:pPr>
            <w:r>
              <w:rPr>
                <w:rFonts w:ascii="Symbol" w:eastAsia="Symbol" w:hAnsi="Symbol" w:cs="Symbol"/>
                <w:sz w:val="18"/>
              </w:rPr>
              <w:t>b</w:t>
            </w:r>
            <w:r w:rsidR="00B0429D">
              <w:rPr>
                <w:sz w:val="18"/>
              </w:rPr>
              <w:t>-HCH (</w:t>
            </w:r>
            <w:r>
              <w:rPr>
                <w:rFonts w:ascii="Symbol" w:eastAsia="Symbol" w:hAnsi="Symbol" w:cs="Symbol"/>
                <w:sz w:val="18"/>
              </w:rPr>
              <w:t>b</w:t>
            </w:r>
            <w:r w:rsidR="00B0429D">
              <w:rPr>
                <w:i/>
                <w:sz w:val="18"/>
              </w:rPr>
              <w:t>-BHC)</w:t>
            </w:r>
            <w:r w:rsidR="00B0429D">
              <w:rPr>
                <w:sz w:val="18"/>
              </w:rPr>
              <w:t xml:space="preserve"> </w:t>
            </w:r>
          </w:p>
        </w:tc>
        <w:tc>
          <w:tcPr>
            <w:tcW w:w="1173" w:type="dxa"/>
            <w:tcBorders>
              <w:top w:val="single" w:sz="2" w:space="0" w:color="000000"/>
              <w:left w:val="single" w:sz="12" w:space="0" w:color="000000"/>
              <w:bottom w:val="single" w:sz="2" w:space="0" w:color="000000"/>
              <w:right w:val="single" w:sz="12" w:space="0" w:color="000000"/>
            </w:tcBorders>
          </w:tcPr>
          <w:p w14:paraId="2B3021C6" w14:textId="3CB0951C" w:rsidR="00B0429D" w:rsidRDefault="00B0429D" w:rsidP="00CB5793">
            <w:pPr>
              <w:spacing w:after="0" w:line="259" w:lineRule="auto"/>
              <w:ind w:left="0" w:right="44" w:firstLine="0"/>
              <w:jc w:val="center"/>
            </w:pPr>
            <w:r>
              <w:rPr>
                <w:sz w:val="18"/>
              </w:rPr>
              <w:t>319-85-7</w:t>
            </w:r>
          </w:p>
        </w:tc>
        <w:tc>
          <w:tcPr>
            <w:tcW w:w="881" w:type="dxa"/>
            <w:tcBorders>
              <w:top w:val="single" w:sz="2" w:space="0" w:color="000000"/>
              <w:left w:val="single" w:sz="12" w:space="0" w:color="000000"/>
              <w:bottom w:val="single" w:sz="2" w:space="0" w:color="000000"/>
              <w:right w:val="single" w:sz="12" w:space="0" w:color="000000"/>
            </w:tcBorders>
          </w:tcPr>
          <w:p w14:paraId="708C64A5" w14:textId="5D552884" w:rsidR="00B0429D" w:rsidRDefault="00B0429D" w:rsidP="00CB5793">
            <w:pPr>
              <w:tabs>
                <w:tab w:val="center" w:pos="399"/>
              </w:tabs>
              <w:spacing w:after="0" w:line="259" w:lineRule="auto"/>
              <w:ind w:left="0" w:right="0" w:firstLine="0"/>
              <w:jc w:val="center"/>
            </w:pPr>
            <w:r>
              <w:rPr>
                <w:b/>
                <w:sz w:val="18"/>
              </w:rPr>
              <w:t>0.4</w:t>
            </w:r>
          </w:p>
        </w:tc>
        <w:tc>
          <w:tcPr>
            <w:tcW w:w="879" w:type="dxa"/>
            <w:tcBorders>
              <w:top w:val="single" w:sz="2" w:space="0" w:color="000000"/>
              <w:left w:val="single" w:sz="12" w:space="0" w:color="000000"/>
              <w:bottom w:val="single" w:sz="2" w:space="0" w:color="000000"/>
              <w:right w:val="single" w:sz="12" w:space="0" w:color="000000"/>
            </w:tcBorders>
          </w:tcPr>
          <w:p w14:paraId="54FE053A" w14:textId="27002586" w:rsidR="00B0429D" w:rsidRDefault="00B0429D" w:rsidP="00CB5793">
            <w:pPr>
              <w:spacing w:after="0" w:line="259" w:lineRule="auto"/>
              <w:ind w:left="0" w:right="46" w:firstLine="0"/>
              <w:jc w:val="center"/>
            </w:pPr>
            <w:r>
              <w:rPr>
                <w:sz w:val="18"/>
              </w:rPr>
              <w:t>ug/L</w:t>
            </w:r>
          </w:p>
        </w:tc>
        <w:tc>
          <w:tcPr>
            <w:tcW w:w="881" w:type="dxa"/>
            <w:tcBorders>
              <w:top w:val="single" w:sz="2" w:space="0" w:color="000000"/>
              <w:left w:val="single" w:sz="12" w:space="0" w:color="000000"/>
              <w:bottom w:val="single" w:sz="2" w:space="0" w:color="000000"/>
              <w:right w:val="single" w:sz="12" w:space="0" w:color="000000"/>
            </w:tcBorders>
          </w:tcPr>
          <w:p w14:paraId="301B6281" w14:textId="4BAC49CA" w:rsidR="00B0429D" w:rsidRDefault="00B0429D" w:rsidP="00CB5793">
            <w:pPr>
              <w:spacing w:after="0" w:line="259" w:lineRule="auto"/>
              <w:ind w:left="0" w:right="47" w:firstLine="0"/>
              <w:jc w:val="center"/>
            </w:pPr>
            <w:r>
              <w:rPr>
                <w:sz w:val="18"/>
              </w:rPr>
              <w:t>N/A</w:t>
            </w:r>
          </w:p>
        </w:tc>
        <w:tc>
          <w:tcPr>
            <w:tcW w:w="1074" w:type="dxa"/>
            <w:tcBorders>
              <w:top w:val="single" w:sz="2" w:space="0" w:color="000000"/>
              <w:left w:val="single" w:sz="12" w:space="0" w:color="000000"/>
              <w:bottom w:val="single" w:sz="2" w:space="0" w:color="000000"/>
              <w:right w:val="single" w:sz="12" w:space="0" w:color="000000"/>
            </w:tcBorders>
          </w:tcPr>
          <w:p w14:paraId="259EBFF0" w14:textId="2B97A87F" w:rsidR="00B0429D" w:rsidRDefault="00B0429D" w:rsidP="00CB5793">
            <w:pPr>
              <w:spacing w:after="0" w:line="259" w:lineRule="auto"/>
              <w:ind w:left="0" w:right="42" w:firstLine="0"/>
              <w:jc w:val="center"/>
            </w:pPr>
            <w:r>
              <w:rPr>
                <w:sz w:val="18"/>
              </w:rPr>
              <w:t>N/A</w:t>
            </w:r>
          </w:p>
        </w:tc>
        <w:tc>
          <w:tcPr>
            <w:tcW w:w="843" w:type="dxa"/>
            <w:tcBorders>
              <w:top w:val="single" w:sz="2" w:space="0" w:color="000000"/>
              <w:left w:val="single" w:sz="12" w:space="0" w:color="000000"/>
              <w:bottom w:val="single" w:sz="2" w:space="0" w:color="000000"/>
              <w:right w:val="single" w:sz="12" w:space="0" w:color="000000"/>
            </w:tcBorders>
          </w:tcPr>
          <w:p w14:paraId="56362231" w14:textId="7427C901" w:rsidR="00B0429D" w:rsidRDefault="00B0429D" w:rsidP="00CB5793">
            <w:pPr>
              <w:spacing w:after="0" w:line="259" w:lineRule="auto"/>
              <w:ind w:left="0" w:right="45" w:firstLine="0"/>
              <w:jc w:val="center"/>
            </w:pPr>
            <w:r>
              <w:rPr>
                <w:b/>
                <w:sz w:val="18"/>
              </w:rPr>
              <w:t>525.2</w:t>
            </w:r>
          </w:p>
        </w:tc>
        <w:tc>
          <w:tcPr>
            <w:tcW w:w="776" w:type="dxa"/>
            <w:tcBorders>
              <w:top w:val="single" w:sz="2" w:space="0" w:color="000000"/>
              <w:left w:val="single" w:sz="12" w:space="0" w:color="000000"/>
              <w:bottom w:val="single" w:sz="2" w:space="0" w:color="000000"/>
              <w:right w:val="single" w:sz="12" w:space="0" w:color="000000"/>
            </w:tcBorders>
          </w:tcPr>
          <w:p w14:paraId="75CAA0FE" w14:textId="35572666" w:rsidR="00B0429D" w:rsidRDefault="00B0429D" w:rsidP="00CB5793">
            <w:pPr>
              <w:spacing w:after="0" w:line="259" w:lineRule="auto"/>
              <w:ind w:left="0" w:right="44" w:firstLine="0"/>
              <w:jc w:val="center"/>
            </w:pPr>
            <w:r>
              <w:rPr>
                <w:sz w:val="18"/>
              </w:rPr>
              <w:t>508.1</w:t>
            </w:r>
          </w:p>
        </w:tc>
        <w:tc>
          <w:tcPr>
            <w:tcW w:w="630" w:type="dxa"/>
            <w:tcBorders>
              <w:top w:val="single" w:sz="2" w:space="0" w:color="000000"/>
              <w:left w:val="single" w:sz="12" w:space="0" w:color="000000"/>
              <w:bottom w:val="single" w:sz="2" w:space="0" w:color="000000"/>
              <w:right w:val="single" w:sz="12" w:space="0" w:color="000000"/>
            </w:tcBorders>
          </w:tcPr>
          <w:p w14:paraId="798F1F64" w14:textId="6B68D46B" w:rsidR="00B0429D" w:rsidRDefault="00B0429D" w:rsidP="00CB5793">
            <w:pPr>
              <w:spacing w:after="0" w:line="259" w:lineRule="auto"/>
              <w:ind w:left="0" w:right="0" w:firstLine="0"/>
              <w:jc w:val="center"/>
            </w:pPr>
          </w:p>
        </w:tc>
      </w:tr>
      <w:tr w:rsidR="00B0429D" w14:paraId="29185BAC" w14:textId="77777777" w:rsidTr="00C23B62">
        <w:trPr>
          <w:trHeight w:val="245"/>
        </w:trPr>
        <w:tc>
          <w:tcPr>
            <w:tcW w:w="3393" w:type="dxa"/>
            <w:tcBorders>
              <w:top w:val="single" w:sz="2" w:space="0" w:color="000000"/>
              <w:left w:val="single" w:sz="12" w:space="0" w:color="000000"/>
              <w:bottom w:val="single" w:sz="2" w:space="0" w:color="000000"/>
              <w:right w:val="single" w:sz="12" w:space="0" w:color="000000"/>
            </w:tcBorders>
          </w:tcPr>
          <w:p w14:paraId="545E3F89" w14:textId="05F2FAB1" w:rsidR="00B0429D" w:rsidRDefault="006F2403" w:rsidP="00B0429D">
            <w:pPr>
              <w:spacing w:after="0" w:line="259" w:lineRule="auto"/>
              <w:ind w:left="2" w:right="0" w:firstLine="0"/>
            </w:pPr>
            <w:r>
              <w:rPr>
                <w:rFonts w:ascii="Symbol" w:eastAsia="Symbol" w:hAnsi="Symbol" w:cs="Symbol"/>
                <w:sz w:val="18"/>
              </w:rPr>
              <w:t>d</w:t>
            </w:r>
            <w:r w:rsidR="00B0429D">
              <w:rPr>
                <w:sz w:val="18"/>
              </w:rPr>
              <w:t>-HCH (</w:t>
            </w:r>
            <w:r>
              <w:rPr>
                <w:rFonts w:ascii="Symbol" w:eastAsia="Symbol" w:hAnsi="Symbol" w:cs="Symbol"/>
                <w:sz w:val="18"/>
              </w:rPr>
              <w:t>d</w:t>
            </w:r>
            <w:r w:rsidR="00B0429D">
              <w:rPr>
                <w:i/>
                <w:sz w:val="18"/>
              </w:rPr>
              <w:t>-BHC)</w:t>
            </w:r>
            <w:r w:rsidR="00B0429D">
              <w:rPr>
                <w:sz w:val="18"/>
              </w:rPr>
              <w:t xml:space="preserve"> </w:t>
            </w:r>
          </w:p>
        </w:tc>
        <w:tc>
          <w:tcPr>
            <w:tcW w:w="1173" w:type="dxa"/>
            <w:tcBorders>
              <w:top w:val="single" w:sz="2" w:space="0" w:color="000000"/>
              <w:left w:val="single" w:sz="12" w:space="0" w:color="000000"/>
              <w:bottom w:val="single" w:sz="2" w:space="0" w:color="000000"/>
              <w:right w:val="single" w:sz="12" w:space="0" w:color="000000"/>
            </w:tcBorders>
          </w:tcPr>
          <w:p w14:paraId="3EB85984" w14:textId="2FAA0402" w:rsidR="00B0429D" w:rsidRDefault="00B0429D" w:rsidP="00CB5793">
            <w:pPr>
              <w:spacing w:after="0" w:line="259" w:lineRule="auto"/>
              <w:ind w:left="0" w:right="44" w:firstLine="0"/>
              <w:jc w:val="center"/>
            </w:pPr>
            <w:r>
              <w:rPr>
                <w:sz w:val="18"/>
              </w:rPr>
              <w:t>319-86-7</w:t>
            </w:r>
          </w:p>
        </w:tc>
        <w:tc>
          <w:tcPr>
            <w:tcW w:w="881" w:type="dxa"/>
            <w:tcBorders>
              <w:top w:val="single" w:sz="2" w:space="0" w:color="000000"/>
              <w:left w:val="single" w:sz="12" w:space="0" w:color="000000"/>
              <w:bottom w:val="single" w:sz="2" w:space="0" w:color="000000"/>
              <w:right w:val="single" w:sz="12" w:space="0" w:color="000000"/>
            </w:tcBorders>
          </w:tcPr>
          <w:p w14:paraId="414EF944" w14:textId="28689360" w:rsidR="00B0429D" w:rsidRDefault="00B0429D" w:rsidP="00CB5793">
            <w:pPr>
              <w:tabs>
                <w:tab w:val="center" w:pos="399"/>
              </w:tabs>
              <w:spacing w:after="0" w:line="259" w:lineRule="auto"/>
              <w:ind w:left="0" w:right="0" w:firstLine="0"/>
              <w:jc w:val="center"/>
            </w:pPr>
            <w:r>
              <w:rPr>
                <w:sz w:val="18"/>
              </w:rPr>
              <w:t>0.2</w:t>
            </w:r>
          </w:p>
        </w:tc>
        <w:tc>
          <w:tcPr>
            <w:tcW w:w="879" w:type="dxa"/>
            <w:tcBorders>
              <w:top w:val="single" w:sz="2" w:space="0" w:color="000000"/>
              <w:left w:val="single" w:sz="12" w:space="0" w:color="000000"/>
              <w:bottom w:val="single" w:sz="2" w:space="0" w:color="000000"/>
              <w:right w:val="single" w:sz="12" w:space="0" w:color="000000"/>
            </w:tcBorders>
          </w:tcPr>
          <w:p w14:paraId="0DBD7727" w14:textId="4EEA8AC3" w:rsidR="00B0429D" w:rsidRDefault="00B0429D" w:rsidP="00CB5793">
            <w:pPr>
              <w:spacing w:after="0" w:line="259" w:lineRule="auto"/>
              <w:ind w:left="0" w:right="46" w:firstLine="0"/>
              <w:jc w:val="center"/>
            </w:pPr>
            <w:r>
              <w:rPr>
                <w:sz w:val="18"/>
              </w:rPr>
              <w:t>ug/L</w:t>
            </w:r>
          </w:p>
        </w:tc>
        <w:tc>
          <w:tcPr>
            <w:tcW w:w="881" w:type="dxa"/>
            <w:tcBorders>
              <w:top w:val="single" w:sz="2" w:space="0" w:color="000000"/>
              <w:left w:val="single" w:sz="12" w:space="0" w:color="000000"/>
              <w:bottom w:val="single" w:sz="2" w:space="0" w:color="000000"/>
              <w:right w:val="single" w:sz="12" w:space="0" w:color="000000"/>
            </w:tcBorders>
          </w:tcPr>
          <w:p w14:paraId="3890D7A7" w14:textId="16DA4038" w:rsidR="00B0429D" w:rsidRDefault="00B0429D" w:rsidP="00CB5793">
            <w:pPr>
              <w:spacing w:after="0" w:line="259" w:lineRule="auto"/>
              <w:ind w:left="0" w:right="47" w:firstLine="0"/>
              <w:jc w:val="center"/>
            </w:pPr>
            <w:r>
              <w:rPr>
                <w:sz w:val="18"/>
              </w:rPr>
              <w:t>N/A</w:t>
            </w:r>
          </w:p>
        </w:tc>
        <w:tc>
          <w:tcPr>
            <w:tcW w:w="1074" w:type="dxa"/>
            <w:tcBorders>
              <w:top w:val="single" w:sz="2" w:space="0" w:color="000000"/>
              <w:left w:val="single" w:sz="12" w:space="0" w:color="000000"/>
              <w:bottom w:val="single" w:sz="2" w:space="0" w:color="000000"/>
              <w:right w:val="single" w:sz="12" w:space="0" w:color="000000"/>
            </w:tcBorders>
          </w:tcPr>
          <w:p w14:paraId="27ADFC42" w14:textId="4DDE74F7" w:rsidR="00B0429D" w:rsidRDefault="00B0429D" w:rsidP="00CB5793">
            <w:pPr>
              <w:spacing w:after="0" w:line="259" w:lineRule="auto"/>
              <w:ind w:left="0" w:right="42" w:firstLine="0"/>
              <w:jc w:val="center"/>
            </w:pPr>
            <w:r>
              <w:rPr>
                <w:sz w:val="18"/>
              </w:rPr>
              <w:t>N/A</w:t>
            </w:r>
          </w:p>
        </w:tc>
        <w:tc>
          <w:tcPr>
            <w:tcW w:w="843" w:type="dxa"/>
            <w:tcBorders>
              <w:top w:val="single" w:sz="2" w:space="0" w:color="000000"/>
              <w:left w:val="single" w:sz="12" w:space="0" w:color="000000"/>
              <w:bottom w:val="single" w:sz="2" w:space="0" w:color="000000"/>
              <w:right w:val="single" w:sz="12" w:space="0" w:color="000000"/>
            </w:tcBorders>
          </w:tcPr>
          <w:p w14:paraId="58B33A9B" w14:textId="6A3A12A7" w:rsidR="00B0429D" w:rsidRDefault="00B0429D" w:rsidP="00CB5793">
            <w:pPr>
              <w:spacing w:after="0" w:line="259" w:lineRule="auto"/>
              <w:ind w:left="0" w:right="45" w:firstLine="0"/>
              <w:jc w:val="center"/>
            </w:pPr>
            <w:r>
              <w:rPr>
                <w:b/>
                <w:sz w:val="18"/>
              </w:rPr>
              <w:t>525.2</w:t>
            </w:r>
          </w:p>
        </w:tc>
        <w:tc>
          <w:tcPr>
            <w:tcW w:w="776" w:type="dxa"/>
            <w:tcBorders>
              <w:top w:val="single" w:sz="2" w:space="0" w:color="000000"/>
              <w:left w:val="single" w:sz="12" w:space="0" w:color="000000"/>
              <w:bottom w:val="single" w:sz="2" w:space="0" w:color="000000"/>
              <w:right w:val="single" w:sz="12" w:space="0" w:color="000000"/>
            </w:tcBorders>
          </w:tcPr>
          <w:p w14:paraId="6EDC22D9" w14:textId="50EA7239" w:rsidR="00B0429D" w:rsidRDefault="00B0429D" w:rsidP="00CB5793">
            <w:pPr>
              <w:spacing w:after="0" w:line="259" w:lineRule="auto"/>
              <w:ind w:left="0" w:right="44" w:firstLine="0"/>
              <w:jc w:val="center"/>
            </w:pPr>
            <w:r>
              <w:rPr>
                <w:sz w:val="18"/>
              </w:rPr>
              <w:t>508.1</w:t>
            </w:r>
          </w:p>
        </w:tc>
        <w:tc>
          <w:tcPr>
            <w:tcW w:w="630" w:type="dxa"/>
            <w:tcBorders>
              <w:top w:val="single" w:sz="2" w:space="0" w:color="000000"/>
              <w:left w:val="single" w:sz="12" w:space="0" w:color="000000"/>
              <w:bottom w:val="single" w:sz="2" w:space="0" w:color="000000"/>
              <w:right w:val="single" w:sz="12" w:space="0" w:color="000000"/>
            </w:tcBorders>
          </w:tcPr>
          <w:p w14:paraId="0E31D72C" w14:textId="4D2CE194" w:rsidR="00B0429D" w:rsidRDefault="00B0429D" w:rsidP="00CB5793">
            <w:pPr>
              <w:spacing w:after="0" w:line="259" w:lineRule="auto"/>
              <w:ind w:left="0" w:right="0" w:firstLine="0"/>
              <w:jc w:val="center"/>
            </w:pPr>
          </w:p>
        </w:tc>
      </w:tr>
      <w:tr w:rsidR="00B0429D" w14:paraId="0415425B" w14:textId="77777777" w:rsidTr="00C23B62">
        <w:trPr>
          <w:trHeight w:val="245"/>
        </w:trPr>
        <w:tc>
          <w:tcPr>
            <w:tcW w:w="3393" w:type="dxa"/>
            <w:tcBorders>
              <w:top w:val="single" w:sz="2" w:space="0" w:color="000000"/>
              <w:left w:val="single" w:sz="12" w:space="0" w:color="000000"/>
              <w:bottom w:val="single" w:sz="2" w:space="0" w:color="000000"/>
              <w:right w:val="single" w:sz="12" w:space="0" w:color="000000"/>
            </w:tcBorders>
          </w:tcPr>
          <w:p w14:paraId="2681A12A" w14:textId="6A16DB7B" w:rsidR="00B0429D" w:rsidRDefault="003F50EE" w:rsidP="00B0429D">
            <w:pPr>
              <w:spacing w:after="0" w:line="259" w:lineRule="auto"/>
              <w:ind w:left="2" w:right="0" w:firstLine="0"/>
            </w:pPr>
            <w:r>
              <w:rPr>
                <w:rFonts w:ascii="Symbol" w:eastAsia="Symbol" w:hAnsi="Symbol" w:cs="Symbol"/>
                <w:sz w:val="18"/>
              </w:rPr>
              <w:t>g</w:t>
            </w:r>
            <w:r w:rsidR="00B0429D">
              <w:rPr>
                <w:sz w:val="18"/>
              </w:rPr>
              <w:t xml:space="preserve">-HCH </w:t>
            </w:r>
            <w:r w:rsidR="00B0429D">
              <w:rPr>
                <w:i/>
                <w:sz w:val="18"/>
              </w:rPr>
              <w:t>(Lindane,</w:t>
            </w:r>
            <w:r>
              <w:rPr>
                <w:i/>
                <w:sz w:val="18"/>
              </w:rPr>
              <w:t xml:space="preserve"> </w:t>
            </w:r>
            <w:r>
              <w:rPr>
                <w:rFonts w:ascii="Symbol" w:eastAsia="Symbol" w:hAnsi="Symbol" w:cs="Symbol"/>
                <w:i/>
                <w:sz w:val="18"/>
              </w:rPr>
              <w:t>g</w:t>
            </w:r>
            <w:r w:rsidR="00B0429D">
              <w:rPr>
                <w:i/>
                <w:sz w:val="18"/>
              </w:rPr>
              <w:t>-BHC)</w:t>
            </w:r>
            <w:r w:rsidR="00B0429D">
              <w:rPr>
                <w:sz w:val="18"/>
              </w:rPr>
              <w:t xml:space="preserve"> </w:t>
            </w:r>
          </w:p>
        </w:tc>
        <w:tc>
          <w:tcPr>
            <w:tcW w:w="1173" w:type="dxa"/>
            <w:tcBorders>
              <w:top w:val="single" w:sz="2" w:space="0" w:color="000000"/>
              <w:left w:val="single" w:sz="12" w:space="0" w:color="000000"/>
              <w:bottom w:val="single" w:sz="2" w:space="0" w:color="000000"/>
              <w:right w:val="single" w:sz="12" w:space="0" w:color="000000"/>
            </w:tcBorders>
          </w:tcPr>
          <w:p w14:paraId="56108D44" w14:textId="4DD6C1AF" w:rsidR="00B0429D" w:rsidRDefault="00B0429D" w:rsidP="00CB5793">
            <w:pPr>
              <w:spacing w:after="0" w:line="259" w:lineRule="auto"/>
              <w:ind w:left="0" w:right="44" w:firstLine="0"/>
              <w:jc w:val="center"/>
            </w:pPr>
            <w:r>
              <w:rPr>
                <w:sz w:val="18"/>
              </w:rPr>
              <w:t>58-89-9</w:t>
            </w:r>
          </w:p>
        </w:tc>
        <w:tc>
          <w:tcPr>
            <w:tcW w:w="881" w:type="dxa"/>
            <w:tcBorders>
              <w:top w:val="single" w:sz="2" w:space="0" w:color="000000"/>
              <w:left w:val="single" w:sz="12" w:space="0" w:color="000000"/>
              <w:bottom w:val="single" w:sz="2" w:space="0" w:color="000000"/>
              <w:right w:val="single" w:sz="12" w:space="0" w:color="000000"/>
            </w:tcBorders>
          </w:tcPr>
          <w:p w14:paraId="54084EB5" w14:textId="42D12506" w:rsidR="00B0429D" w:rsidRDefault="00B0429D" w:rsidP="00CB5793">
            <w:pPr>
              <w:tabs>
                <w:tab w:val="center" w:pos="399"/>
              </w:tabs>
              <w:spacing w:after="0" w:line="259" w:lineRule="auto"/>
              <w:ind w:left="0" w:right="0" w:firstLine="0"/>
              <w:jc w:val="center"/>
            </w:pPr>
            <w:r>
              <w:rPr>
                <w:b/>
                <w:sz w:val="18"/>
              </w:rPr>
              <w:t>0.2</w:t>
            </w:r>
          </w:p>
        </w:tc>
        <w:tc>
          <w:tcPr>
            <w:tcW w:w="879" w:type="dxa"/>
            <w:tcBorders>
              <w:top w:val="single" w:sz="2" w:space="0" w:color="000000"/>
              <w:left w:val="single" w:sz="12" w:space="0" w:color="000000"/>
              <w:bottom w:val="single" w:sz="2" w:space="0" w:color="000000"/>
              <w:right w:val="single" w:sz="12" w:space="0" w:color="000000"/>
            </w:tcBorders>
          </w:tcPr>
          <w:p w14:paraId="5DC049E6" w14:textId="6C8637D6" w:rsidR="00B0429D" w:rsidRDefault="00B0429D" w:rsidP="00CB5793">
            <w:pPr>
              <w:spacing w:after="0" w:line="259" w:lineRule="auto"/>
              <w:ind w:left="0" w:right="46" w:firstLine="0"/>
              <w:jc w:val="center"/>
            </w:pPr>
            <w:r>
              <w:rPr>
                <w:sz w:val="18"/>
              </w:rPr>
              <w:t>ug/L</w:t>
            </w:r>
          </w:p>
        </w:tc>
        <w:tc>
          <w:tcPr>
            <w:tcW w:w="881" w:type="dxa"/>
            <w:tcBorders>
              <w:top w:val="single" w:sz="2" w:space="0" w:color="000000"/>
              <w:left w:val="single" w:sz="12" w:space="0" w:color="000000"/>
              <w:bottom w:val="single" w:sz="2" w:space="0" w:color="000000"/>
              <w:right w:val="single" w:sz="12" w:space="0" w:color="000000"/>
            </w:tcBorders>
          </w:tcPr>
          <w:p w14:paraId="34DFD5B8" w14:textId="7418F2B7" w:rsidR="00B0429D" w:rsidRDefault="00B0429D" w:rsidP="00CB5793">
            <w:pPr>
              <w:spacing w:after="0" w:line="259" w:lineRule="auto"/>
              <w:ind w:left="0" w:right="47" w:firstLine="0"/>
              <w:jc w:val="center"/>
            </w:pPr>
            <w:r>
              <w:rPr>
                <w:sz w:val="18"/>
              </w:rPr>
              <w:t>N/A</w:t>
            </w:r>
          </w:p>
        </w:tc>
        <w:tc>
          <w:tcPr>
            <w:tcW w:w="1074" w:type="dxa"/>
            <w:tcBorders>
              <w:top w:val="single" w:sz="2" w:space="0" w:color="000000"/>
              <w:left w:val="single" w:sz="12" w:space="0" w:color="000000"/>
              <w:bottom w:val="single" w:sz="2" w:space="0" w:color="000000"/>
              <w:right w:val="single" w:sz="12" w:space="0" w:color="000000"/>
            </w:tcBorders>
          </w:tcPr>
          <w:p w14:paraId="0A16D388" w14:textId="7C245EEC" w:rsidR="00B0429D" w:rsidRDefault="00B0429D" w:rsidP="00CB5793">
            <w:pPr>
              <w:spacing w:after="0" w:line="259" w:lineRule="auto"/>
              <w:ind w:left="0" w:right="42" w:firstLine="0"/>
              <w:jc w:val="center"/>
            </w:pPr>
            <w:r>
              <w:rPr>
                <w:sz w:val="18"/>
              </w:rPr>
              <w:t>N/A</w:t>
            </w:r>
          </w:p>
        </w:tc>
        <w:tc>
          <w:tcPr>
            <w:tcW w:w="843" w:type="dxa"/>
            <w:tcBorders>
              <w:top w:val="single" w:sz="2" w:space="0" w:color="000000"/>
              <w:left w:val="single" w:sz="12" w:space="0" w:color="000000"/>
              <w:bottom w:val="single" w:sz="2" w:space="0" w:color="000000"/>
              <w:right w:val="single" w:sz="12" w:space="0" w:color="000000"/>
            </w:tcBorders>
          </w:tcPr>
          <w:p w14:paraId="28BDBA29" w14:textId="1A5A7B19" w:rsidR="00B0429D" w:rsidRDefault="00B0429D" w:rsidP="00CB5793">
            <w:pPr>
              <w:spacing w:after="0" w:line="259" w:lineRule="auto"/>
              <w:ind w:left="0" w:right="45" w:firstLine="0"/>
              <w:jc w:val="center"/>
            </w:pPr>
            <w:r>
              <w:rPr>
                <w:b/>
                <w:sz w:val="18"/>
              </w:rPr>
              <w:t>525.2</w:t>
            </w:r>
          </w:p>
        </w:tc>
        <w:tc>
          <w:tcPr>
            <w:tcW w:w="776" w:type="dxa"/>
            <w:tcBorders>
              <w:top w:val="single" w:sz="2" w:space="0" w:color="000000"/>
              <w:left w:val="single" w:sz="12" w:space="0" w:color="000000"/>
              <w:bottom w:val="single" w:sz="2" w:space="0" w:color="000000"/>
              <w:right w:val="single" w:sz="12" w:space="0" w:color="000000"/>
            </w:tcBorders>
          </w:tcPr>
          <w:p w14:paraId="119B81C0" w14:textId="1C312F32" w:rsidR="00B0429D" w:rsidRDefault="00B0429D" w:rsidP="00CB5793">
            <w:pPr>
              <w:spacing w:after="0" w:line="259" w:lineRule="auto"/>
              <w:ind w:left="0" w:right="44" w:firstLine="0"/>
              <w:jc w:val="center"/>
            </w:pPr>
            <w:r>
              <w:rPr>
                <w:sz w:val="18"/>
              </w:rPr>
              <w:t>508.1</w:t>
            </w:r>
          </w:p>
        </w:tc>
        <w:tc>
          <w:tcPr>
            <w:tcW w:w="630" w:type="dxa"/>
            <w:tcBorders>
              <w:top w:val="single" w:sz="2" w:space="0" w:color="000000"/>
              <w:left w:val="single" w:sz="12" w:space="0" w:color="000000"/>
              <w:bottom w:val="single" w:sz="2" w:space="0" w:color="000000"/>
              <w:right w:val="single" w:sz="12" w:space="0" w:color="000000"/>
            </w:tcBorders>
          </w:tcPr>
          <w:p w14:paraId="15CD67D6" w14:textId="25EC6516" w:rsidR="00B0429D" w:rsidRDefault="00B0429D" w:rsidP="00CB5793">
            <w:pPr>
              <w:spacing w:after="0" w:line="259" w:lineRule="auto"/>
              <w:ind w:left="0" w:right="46" w:firstLine="0"/>
              <w:jc w:val="center"/>
            </w:pPr>
            <w:r>
              <w:rPr>
                <w:sz w:val="18"/>
              </w:rPr>
              <w:t>505</w:t>
            </w:r>
          </w:p>
        </w:tc>
      </w:tr>
      <w:tr w:rsidR="00B0429D" w14:paraId="1C732082" w14:textId="77777777" w:rsidTr="00C23B62">
        <w:trPr>
          <w:trHeight w:val="245"/>
        </w:trPr>
        <w:tc>
          <w:tcPr>
            <w:tcW w:w="3393" w:type="dxa"/>
            <w:tcBorders>
              <w:top w:val="single" w:sz="2" w:space="0" w:color="000000"/>
              <w:left w:val="single" w:sz="12" w:space="0" w:color="000000"/>
              <w:bottom w:val="single" w:sz="2" w:space="0" w:color="000000"/>
              <w:right w:val="single" w:sz="12" w:space="0" w:color="000000"/>
            </w:tcBorders>
          </w:tcPr>
          <w:p w14:paraId="3E9F46B8" w14:textId="77777777" w:rsidR="00B0429D" w:rsidRDefault="00B0429D" w:rsidP="00B0429D">
            <w:pPr>
              <w:spacing w:after="0" w:line="259" w:lineRule="auto"/>
              <w:ind w:left="2" w:right="0" w:firstLine="0"/>
            </w:pPr>
            <w:r>
              <w:rPr>
                <w:sz w:val="18"/>
              </w:rPr>
              <w:t xml:space="preserve">Heptachlor </w:t>
            </w:r>
          </w:p>
        </w:tc>
        <w:tc>
          <w:tcPr>
            <w:tcW w:w="1173" w:type="dxa"/>
            <w:tcBorders>
              <w:top w:val="single" w:sz="2" w:space="0" w:color="000000"/>
              <w:left w:val="single" w:sz="12" w:space="0" w:color="000000"/>
              <w:bottom w:val="single" w:sz="2" w:space="0" w:color="000000"/>
              <w:right w:val="single" w:sz="12" w:space="0" w:color="000000"/>
            </w:tcBorders>
          </w:tcPr>
          <w:p w14:paraId="7F68DA61" w14:textId="78EEC140" w:rsidR="00B0429D" w:rsidRDefault="00B0429D" w:rsidP="00CB5793">
            <w:pPr>
              <w:spacing w:after="0" w:line="259" w:lineRule="auto"/>
              <w:ind w:left="0" w:right="44" w:firstLine="0"/>
              <w:jc w:val="center"/>
            </w:pPr>
            <w:r>
              <w:rPr>
                <w:sz w:val="18"/>
              </w:rPr>
              <w:t>76-44-8</w:t>
            </w:r>
          </w:p>
        </w:tc>
        <w:tc>
          <w:tcPr>
            <w:tcW w:w="881" w:type="dxa"/>
            <w:tcBorders>
              <w:top w:val="single" w:sz="2" w:space="0" w:color="000000"/>
              <w:left w:val="single" w:sz="12" w:space="0" w:color="000000"/>
              <w:bottom w:val="single" w:sz="2" w:space="0" w:color="000000"/>
              <w:right w:val="single" w:sz="12" w:space="0" w:color="000000"/>
            </w:tcBorders>
          </w:tcPr>
          <w:p w14:paraId="748EBDC3" w14:textId="7A78A04B" w:rsidR="00B0429D" w:rsidRDefault="00B0429D" w:rsidP="00CB5793">
            <w:pPr>
              <w:tabs>
                <w:tab w:val="center" w:pos="399"/>
              </w:tabs>
              <w:spacing w:after="0" w:line="259" w:lineRule="auto"/>
              <w:ind w:left="0" w:right="0" w:firstLine="0"/>
              <w:jc w:val="center"/>
            </w:pPr>
            <w:r>
              <w:rPr>
                <w:b/>
                <w:sz w:val="18"/>
              </w:rPr>
              <w:t>0.2</w:t>
            </w:r>
          </w:p>
        </w:tc>
        <w:tc>
          <w:tcPr>
            <w:tcW w:w="879" w:type="dxa"/>
            <w:tcBorders>
              <w:top w:val="single" w:sz="2" w:space="0" w:color="000000"/>
              <w:left w:val="single" w:sz="12" w:space="0" w:color="000000"/>
              <w:bottom w:val="single" w:sz="2" w:space="0" w:color="000000"/>
              <w:right w:val="single" w:sz="12" w:space="0" w:color="000000"/>
            </w:tcBorders>
          </w:tcPr>
          <w:p w14:paraId="2312CBDE" w14:textId="00AA5AC1" w:rsidR="00B0429D" w:rsidRDefault="00B0429D" w:rsidP="00CB5793">
            <w:pPr>
              <w:spacing w:after="0" w:line="259" w:lineRule="auto"/>
              <w:ind w:left="0" w:right="46" w:firstLine="0"/>
              <w:jc w:val="center"/>
            </w:pPr>
            <w:r>
              <w:rPr>
                <w:sz w:val="18"/>
              </w:rPr>
              <w:t>ug/L</w:t>
            </w:r>
          </w:p>
        </w:tc>
        <w:tc>
          <w:tcPr>
            <w:tcW w:w="881" w:type="dxa"/>
            <w:tcBorders>
              <w:top w:val="single" w:sz="2" w:space="0" w:color="000000"/>
              <w:left w:val="single" w:sz="12" w:space="0" w:color="000000"/>
              <w:bottom w:val="single" w:sz="2" w:space="0" w:color="000000"/>
              <w:right w:val="single" w:sz="12" w:space="0" w:color="000000"/>
            </w:tcBorders>
          </w:tcPr>
          <w:p w14:paraId="2323B807" w14:textId="22685B2F" w:rsidR="00B0429D" w:rsidRDefault="00B0429D" w:rsidP="00CB5793">
            <w:pPr>
              <w:spacing w:after="0" w:line="259" w:lineRule="auto"/>
              <w:ind w:left="0" w:right="47" w:firstLine="0"/>
              <w:jc w:val="center"/>
            </w:pPr>
            <w:r>
              <w:rPr>
                <w:sz w:val="18"/>
              </w:rPr>
              <w:t>N/A</w:t>
            </w:r>
          </w:p>
        </w:tc>
        <w:tc>
          <w:tcPr>
            <w:tcW w:w="1074" w:type="dxa"/>
            <w:tcBorders>
              <w:top w:val="single" w:sz="2" w:space="0" w:color="000000"/>
              <w:left w:val="single" w:sz="12" w:space="0" w:color="000000"/>
              <w:bottom w:val="single" w:sz="2" w:space="0" w:color="000000"/>
              <w:right w:val="single" w:sz="12" w:space="0" w:color="000000"/>
            </w:tcBorders>
          </w:tcPr>
          <w:p w14:paraId="2C5796BF" w14:textId="187ECEFA" w:rsidR="00B0429D" w:rsidRDefault="00B0429D" w:rsidP="00CB5793">
            <w:pPr>
              <w:spacing w:after="0" w:line="259" w:lineRule="auto"/>
              <w:ind w:left="0" w:right="42" w:firstLine="0"/>
              <w:jc w:val="center"/>
            </w:pPr>
            <w:r>
              <w:rPr>
                <w:sz w:val="18"/>
              </w:rPr>
              <w:t>N/A</w:t>
            </w:r>
          </w:p>
        </w:tc>
        <w:tc>
          <w:tcPr>
            <w:tcW w:w="843" w:type="dxa"/>
            <w:tcBorders>
              <w:top w:val="single" w:sz="2" w:space="0" w:color="000000"/>
              <w:left w:val="single" w:sz="12" w:space="0" w:color="000000"/>
              <w:bottom w:val="single" w:sz="2" w:space="0" w:color="000000"/>
              <w:right w:val="single" w:sz="12" w:space="0" w:color="000000"/>
            </w:tcBorders>
          </w:tcPr>
          <w:p w14:paraId="373EEBB0" w14:textId="53D714F0" w:rsidR="00B0429D" w:rsidRDefault="00B0429D" w:rsidP="00CB5793">
            <w:pPr>
              <w:spacing w:after="0" w:line="259" w:lineRule="auto"/>
              <w:ind w:left="0" w:right="45" w:firstLine="0"/>
              <w:jc w:val="center"/>
            </w:pPr>
            <w:r>
              <w:rPr>
                <w:b/>
                <w:sz w:val="18"/>
              </w:rPr>
              <w:t>525.2</w:t>
            </w:r>
          </w:p>
        </w:tc>
        <w:tc>
          <w:tcPr>
            <w:tcW w:w="776" w:type="dxa"/>
            <w:tcBorders>
              <w:top w:val="single" w:sz="2" w:space="0" w:color="000000"/>
              <w:left w:val="single" w:sz="12" w:space="0" w:color="000000"/>
              <w:bottom w:val="single" w:sz="2" w:space="0" w:color="000000"/>
              <w:right w:val="single" w:sz="12" w:space="0" w:color="000000"/>
            </w:tcBorders>
          </w:tcPr>
          <w:p w14:paraId="03E491AA" w14:textId="7D4B21A6" w:rsidR="00B0429D" w:rsidRDefault="00B0429D" w:rsidP="00CB5793">
            <w:pPr>
              <w:spacing w:after="0" w:line="259" w:lineRule="auto"/>
              <w:ind w:left="0" w:right="44" w:firstLine="0"/>
              <w:jc w:val="center"/>
            </w:pPr>
            <w:r>
              <w:rPr>
                <w:sz w:val="18"/>
              </w:rPr>
              <w:t>508.1</w:t>
            </w:r>
          </w:p>
        </w:tc>
        <w:tc>
          <w:tcPr>
            <w:tcW w:w="630" w:type="dxa"/>
            <w:tcBorders>
              <w:top w:val="single" w:sz="2" w:space="0" w:color="000000"/>
              <w:left w:val="single" w:sz="12" w:space="0" w:color="000000"/>
              <w:bottom w:val="single" w:sz="2" w:space="0" w:color="000000"/>
              <w:right w:val="single" w:sz="12" w:space="0" w:color="000000"/>
            </w:tcBorders>
          </w:tcPr>
          <w:p w14:paraId="72B4C83F" w14:textId="4656D963" w:rsidR="00B0429D" w:rsidRDefault="00B0429D" w:rsidP="00CB5793">
            <w:pPr>
              <w:spacing w:after="0" w:line="259" w:lineRule="auto"/>
              <w:ind w:left="0" w:right="46" w:firstLine="0"/>
              <w:jc w:val="center"/>
            </w:pPr>
            <w:r>
              <w:rPr>
                <w:sz w:val="18"/>
              </w:rPr>
              <w:t>505</w:t>
            </w:r>
          </w:p>
        </w:tc>
      </w:tr>
      <w:tr w:rsidR="00B0429D" w14:paraId="6788E2B5" w14:textId="77777777" w:rsidTr="00C23B62">
        <w:trPr>
          <w:trHeight w:val="247"/>
        </w:trPr>
        <w:tc>
          <w:tcPr>
            <w:tcW w:w="3393" w:type="dxa"/>
            <w:tcBorders>
              <w:top w:val="single" w:sz="2" w:space="0" w:color="000000"/>
              <w:left w:val="single" w:sz="12" w:space="0" w:color="000000"/>
              <w:bottom w:val="single" w:sz="4" w:space="0" w:color="000000"/>
              <w:right w:val="single" w:sz="12" w:space="0" w:color="000000"/>
            </w:tcBorders>
          </w:tcPr>
          <w:p w14:paraId="07B2EC61" w14:textId="77777777" w:rsidR="00B0429D" w:rsidRDefault="00B0429D" w:rsidP="00B0429D">
            <w:pPr>
              <w:spacing w:after="0" w:line="259" w:lineRule="auto"/>
              <w:ind w:left="2" w:right="0" w:firstLine="0"/>
            </w:pPr>
            <w:r>
              <w:rPr>
                <w:sz w:val="18"/>
              </w:rPr>
              <w:t xml:space="preserve">Heptachlor epoxide </w:t>
            </w:r>
          </w:p>
        </w:tc>
        <w:tc>
          <w:tcPr>
            <w:tcW w:w="1173" w:type="dxa"/>
            <w:tcBorders>
              <w:top w:val="single" w:sz="2" w:space="0" w:color="000000"/>
              <w:left w:val="single" w:sz="12" w:space="0" w:color="000000"/>
              <w:bottom w:val="single" w:sz="4" w:space="0" w:color="000000"/>
              <w:right w:val="single" w:sz="12" w:space="0" w:color="000000"/>
            </w:tcBorders>
          </w:tcPr>
          <w:p w14:paraId="7622EDD9" w14:textId="0CDE7D04" w:rsidR="00B0429D" w:rsidRDefault="00B0429D" w:rsidP="00CB5793">
            <w:pPr>
              <w:spacing w:after="0" w:line="259" w:lineRule="auto"/>
              <w:ind w:left="0" w:right="44" w:firstLine="0"/>
              <w:jc w:val="center"/>
            </w:pPr>
            <w:r>
              <w:rPr>
                <w:sz w:val="18"/>
              </w:rPr>
              <w:t>1024-57-3</w:t>
            </w:r>
          </w:p>
        </w:tc>
        <w:tc>
          <w:tcPr>
            <w:tcW w:w="881" w:type="dxa"/>
            <w:tcBorders>
              <w:top w:val="single" w:sz="2" w:space="0" w:color="000000"/>
              <w:left w:val="single" w:sz="12" w:space="0" w:color="000000"/>
              <w:bottom w:val="single" w:sz="4" w:space="0" w:color="000000"/>
              <w:right w:val="single" w:sz="12" w:space="0" w:color="000000"/>
            </w:tcBorders>
          </w:tcPr>
          <w:p w14:paraId="350B88E8" w14:textId="4E6EB1F5" w:rsidR="00B0429D" w:rsidRDefault="00B0429D" w:rsidP="00CB5793">
            <w:pPr>
              <w:tabs>
                <w:tab w:val="center" w:pos="422"/>
              </w:tabs>
              <w:spacing w:after="0" w:line="259" w:lineRule="auto"/>
              <w:ind w:left="0" w:right="0" w:firstLine="0"/>
              <w:jc w:val="center"/>
            </w:pPr>
            <w:r>
              <w:rPr>
                <w:b/>
                <w:sz w:val="18"/>
              </w:rPr>
              <w:t>0.2</w:t>
            </w:r>
          </w:p>
        </w:tc>
        <w:tc>
          <w:tcPr>
            <w:tcW w:w="879" w:type="dxa"/>
            <w:tcBorders>
              <w:top w:val="single" w:sz="2" w:space="0" w:color="000000"/>
              <w:left w:val="single" w:sz="12" w:space="0" w:color="000000"/>
              <w:bottom w:val="single" w:sz="4" w:space="0" w:color="000000"/>
              <w:right w:val="single" w:sz="12" w:space="0" w:color="000000"/>
            </w:tcBorders>
          </w:tcPr>
          <w:p w14:paraId="168FF57D" w14:textId="07ADE3FE" w:rsidR="00B0429D" w:rsidRDefault="00B0429D" w:rsidP="00CB5793">
            <w:pPr>
              <w:spacing w:after="0" w:line="259" w:lineRule="auto"/>
              <w:ind w:left="0" w:right="46" w:firstLine="0"/>
              <w:jc w:val="center"/>
            </w:pPr>
            <w:r>
              <w:rPr>
                <w:sz w:val="18"/>
              </w:rPr>
              <w:t>ug/L</w:t>
            </w:r>
          </w:p>
        </w:tc>
        <w:tc>
          <w:tcPr>
            <w:tcW w:w="881" w:type="dxa"/>
            <w:tcBorders>
              <w:top w:val="single" w:sz="2" w:space="0" w:color="000000"/>
              <w:left w:val="single" w:sz="12" w:space="0" w:color="000000"/>
              <w:bottom w:val="single" w:sz="4" w:space="0" w:color="000000"/>
              <w:right w:val="single" w:sz="12" w:space="0" w:color="000000"/>
            </w:tcBorders>
          </w:tcPr>
          <w:p w14:paraId="2BC981A5" w14:textId="35102E89" w:rsidR="00B0429D" w:rsidRDefault="00B0429D" w:rsidP="00CB5793">
            <w:pPr>
              <w:spacing w:after="0" w:line="259" w:lineRule="auto"/>
              <w:ind w:left="0" w:right="47" w:firstLine="0"/>
              <w:jc w:val="center"/>
            </w:pPr>
            <w:r>
              <w:rPr>
                <w:sz w:val="18"/>
              </w:rPr>
              <w:t>N/A</w:t>
            </w:r>
          </w:p>
        </w:tc>
        <w:tc>
          <w:tcPr>
            <w:tcW w:w="1074" w:type="dxa"/>
            <w:tcBorders>
              <w:top w:val="single" w:sz="2" w:space="0" w:color="000000"/>
              <w:left w:val="single" w:sz="12" w:space="0" w:color="000000"/>
              <w:bottom w:val="single" w:sz="4" w:space="0" w:color="000000"/>
              <w:right w:val="single" w:sz="12" w:space="0" w:color="000000"/>
            </w:tcBorders>
          </w:tcPr>
          <w:p w14:paraId="6C7F6A7C" w14:textId="48D61E80" w:rsidR="00B0429D" w:rsidRDefault="00B0429D" w:rsidP="00CB5793">
            <w:pPr>
              <w:spacing w:after="0" w:line="259" w:lineRule="auto"/>
              <w:ind w:left="0" w:right="42" w:firstLine="0"/>
              <w:jc w:val="center"/>
            </w:pPr>
            <w:r>
              <w:rPr>
                <w:sz w:val="18"/>
              </w:rPr>
              <w:t>N/A</w:t>
            </w:r>
          </w:p>
        </w:tc>
        <w:tc>
          <w:tcPr>
            <w:tcW w:w="843" w:type="dxa"/>
            <w:tcBorders>
              <w:top w:val="single" w:sz="2" w:space="0" w:color="000000"/>
              <w:left w:val="single" w:sz="12" w:space="0" w:color="000000"/>
              <w:bottom w:val="single" w:sz="4" w:space="0" w:color="000000"/>
              <w:right w:val="single" w:sz="12" w:space="0" w:color="000000"/>
            </w:tcBorders>
          </w:tcPr>
          <w:p w14:paraId="6F250530" w14:textId="595D0172" w:rsidR="00B0429D" w:rsidRDefault="00B0429D" w:rsidP="00CB5793">
            <w:pPr>
              <w:spacing w:after="0" w:line="259" w:lineRule="auto"/>
              <w:ind w:left="0" w:right="45" w:firstLine="0"/>
              <w:jc w:val="center"/>
            </w:pPr>
            <w:r>
              <w:rPr>
                <w:b/>
                <w:sz w:val="18"/>
              </w:rPr>
              <w:t>525.2</w:t>
            </w:r>
          </w:p>
        </w:tc>
        <w:tc>
          <w:tcPr>
            <w:tcW w:w="776" w:type="dxa"/>
            <w:tcBorders>
              <w:top w:val="single" w:sz="2" w:space="0" w:color="000000"/>
              <w:left w:val="single" w:sz="12" w:space="0" w:color="000000"/>
              <w:bottom w:val="single" w:sz="4" w:space="0" w:color="000000"/>
              <w:right w:val="single" w:sz="12" w:space="0" w:color="000000"/>
            </w:tcBorders>
          </w:tcPr>
          <w:p w14:paraId="7A45033C" w14:textId="600D504C" w:rsidR="00B0429D" w:rsidRDefault="00B0429D" w:rsidP="00CB5793">
            <w:pPr>
              <w:spacing w:after="0" w:line="259" w:lineRule="auto"/>
              <w:ind w:left="0" w:right="44" w:firstLine="0"/>
              <w:jc w:val="center"/>
            </w:pPr>
            <w:r>
              <w:rPr>
                <w:sz w:val="18"/>
              </w:rPr>
              <w:t>508.1</w:t>
            </w:r>
          </w:p>
        </w:tc>
        <w:tc>
          <w:tcPr>
            <w:tcW w:w="630" w:type="dxa"/>
            <w:tcBorders>
              <w:top w:val="single" w:sz="2" w:space="0" w:color="000000"/>
              <w:left w:val="single" w:sz="12" w:space="0" w:color="000000"/>
              <w:bottom w:val="single" w:sz="4" w:space="0" w:color="000000"/>
              <w:right w:val="single" w:sz="12" w:space="0" w:color="000000"/>
            </w:tcBorders>
          </w:tcPr>
          <w:p w14:paraId="449A1E4A" w14:textId="79CE644C" w:rsidR="00B0429D" w:rsidRDefault="00B0429D" w:rsidP="00CB5793">
            <w:pPr>
              <w:spacing w:after="0" w:line="259" w:lineRule="auto"/>
              <w:ind w:left="0" w:right="46" w:firstLine="0"/>
              <w:jc w:val="center"/>
            </w:pPr>
            <w:r>
              <w:rPr>
                <w:sz w:val="18"/>
              </w:rPr>
              <w:t>505</w:t>
            </w:r>
          </w:p>
        </w:tc>
      </w:tr>
      <w:tr w:rsidR="00B0429D" w14:paraId="3CEADB9B" w14:textId="77777777" w:rsidTr="00C23B62">
        <w:trPr>
          <w:trHeight w:val="250"/>
        </w:trPr>
        <w:tc>
          <w:tcPr>
            <w:tcW w:w="3393" w:type="dxa"/>
            <w:tcBorders>
              <w:top w:val="single" w:sz="4" w:space="0" w:color="000000"/>
              <w:left w:val="single" w:sz="12" w:space="0" w:color="000000"/>
              <w:bottom w:val="single" w:sz="4" w:space="0" w:color="000000"/>
              <w:right w:val="single" w:sz="12" w:space="0" w:color="000000"/>
            </w:tcBorders>
          </w:tcPr>
          <w:p w14:paraId="096E3431" w14:textId="77777777" w:rsidR="00B0429D" w:rsidRDefault="00B0429D" w:rsidP="00B0429D">
            <w:pPr>
              <w:spacing w:after="0" w:line="259" w:lineRule="auto"/>
              <w:ind w:left="2" w:right="0" w:firstLine="0"/>
            </w:pPr>
            <w:r>
              <w:rPr>
                <w:sz w:val="18"/>
              </w:rPr>
              <w:t xml:space="preserve">Methoxychlor </w:t>
            </w:r>
          </w:p>
        </w:tc>
        <w:tc>
          <w:tcPr>
            <w:tcW w:w="1173" w:type="dxa"/>
            <w:tcBorders>
              <w:top w:val="single" w:sz="4" w:space="0" w:color="000000"/>
              <w:left w:val="single" w:sz="12" w:space="0" w:color="000000"/>
              <w:bottom w:val="single" w:sz="4" w:space="0" w:color="000000"/>
              <w:right w:val="single" w:sz="12" w:space="0" w:color="000000"/>
            </w:tcBorders>
          </w:tcPr>
          <w:p w14:paraId="63D4E7A2" w14:textId="7DEABF00" w:rsidR="00B0429D" w:rsidRDefault="00B0429D" w:rsidP="00CB5793">
            <w:pPr>
              <w:spacing w:after="0" w:line="259" w:lineRule="auto"/>
              <w:ind w:left="0" w:right="44" w:firstLine="0"/>
              <w:jc w:val="center"/>
            </w:pPr>
            <w:r>
              <w:rPr>
                <w:sz w:val="18"/>
              </w:rPr>
              <w:t>72-43-5</w:t>
            </w:r>
          </w:p>
        </w:tc>
        <w:tc>
          <w:tcPr>
            <w:tcW w:w="881" w:type="dxa"/>
            <w:tcBorders>
              <w:top w:val="single" w:sz="4" w:space="0" w:color="000000"/>
              <w:left w:val="single" w:sz="12" w:space="0" w:color="000000"/>
              <w:bottom w:val="single" w:sz="4" w:space="0" w:color="000000"/>
              <w:right w:val="single" w:sz="12" w:space="0" w:color="000000"/>
            </w:tcBorders>
          </w:tcPr>
          <w:p w14:paraId="79C715A7" w14:textId="31AE6BE5" w:rsidR="00B0429D" w:rsidRDefault="00B0429D" w:rsidP="00CB5793">
            <w:pPr>
              <w:tabs>
                <w:tab w:val="center" w:pos="354"/>
              </w:tabs>
              <w:spacing w:after="0" w:line="259" w:lineRule="auto"/>
              <w:ind w:left="0" w:right="0" w:firstLine="0"/>
              <w:jc w:val="center"/>
            </w:pPr>
            <w:r>
              <w:rPr>
                <w:sz w:val="18"/>
              </w:rPr>
              <w:t>1</w:t>
            </w:r>
          </w:p>
        </w:tc>
        <w:tc>
          <w:tcPr>
            <w:tcW w:w="879" w:type="dxa"/>
            <w:tcBorders>
              <w:top w:val="single" w:sz="4" w:space="0" w:color="000000"/>
              <w:left w:val="single" w:sz="12" w:space="0" w:color="000000"/>
              <w:bottom w:val="single" w:sz="4" w:space="0" w:color="000000"/>
              <w:right w:val="single" w:sz="12" w:space="0" w:color="000000"/>
            </w:tcBorders>
          </w:tcPr>
          <w:p w14:paraId="6596A5C5" w14:textId="0B6E04A4" w:rsidR="00B0429D" w:rsidRDefault="00B0429D" w:rsidP="00CB5793">
            <w:pPr>
              <w:spacing w:after="0" w:line="259" w:lineRule="auto"/>
              <w:ind w:left="0" w:right="46" w:firstLine="0"/>
              <w:jc w:val="center"/>
            </w:pPr>
            <w:r>
              <w:rPr>
                <w:sz w:val="18"/>
              </w:rPr>
              <w:t>ug/L</w:t>
            </w:r>
          </w:p>
        </w:tc>
        <w:tc>
          <w:tcPr>
            <w:tcW w:w="881" w:type="dxa"/>
            <w:tcBorders>
              <w:top w:val="single" w:sz="4" w:space="0" w:color="000000"/>
              <w:left w:val="single" w:sz="12" w:space="0" w:color="000000"/>
              <w:bottom w:val="single" w:sz="4" w:space="0" w:color="000000"/>
              <w:right w:val="single" w:sz="12" w:space="0" w:color="000000"/>
            </w:tcBorders>
          </w:tcPr>
          <w:p w14:paraId="5F626B61" w14:textId="16B4AFE4" w:rsidR="00B0429D" w:rsidRDefault="00B0429D" w:rsidP="00CB5793">
            <w:pPr>
              <w:spacing w:after="0" w:line="259" w:lineRule="auto"/>
              <w:ind w:left="0" w:right="47" w:firstLine="0"/>
              <w:jc w:val="center"/>
            </w:pPr>
            <w:r>
              <w:rPr>
                <w:sz w:val="18"/>
              </w:rPr>
              <w:t>N/A</w:t>
            </w:r>
          </w:p>
        </w:tc>
        <w:tc>
          <w:tcPr>
            <w:tcW w:w="1074" w:type="dxa"/>
            <w:tcBorders>
              <w:top w:val="single" w:sz="4" w:space="0" w:color="000000"/>
              <w:left w:val="single" w:sz="12" w:space="0" w:color="000000"/>
              <w:bottom w:val="single" w:sz="4" w:space="0" w:color="000000"/>
              <w:right w:val="single" w:sz="12" w:space="0" w:color="000000"/>
            </w:tcBorders>
          </w:tcPr>
          <w:p w14:paraId="5DBE48E5" w14:textId="2CCC8D07" w:rsidR="00B0429D" w:rsidRDefault="00B0429D" w:rsidP="00CB5793">
            <w:pPr>
              <w:spacing w:after="0" w:line="259" w:lineRule="auto"/>
              <w:ind w:left="0" w:right="42" w:firstLine="0"/>
              <w:jc w:val="center"/>
            </w:pPr>
            <w:r>
              <w:rPr>
                <w:sz w:val="18"/>
              </w:rPr>
              <w:t>N/A</w:t>
            </w:r>
          </w:p>
        </w:tc>
        <w:tc>
          <w:tcPr>
            <w:tcW w:w="843" w:type="dxa"/>
            <w:tcBorders>
              <w:top w:val="single" w:sz="4" w:space="0" w:color="000000"/>
              <w:left w:val="single" w:sz="12" w:space="0" w:color="000000"/>
              <w:bottom w:val="single" w:sz="4" w:space="0" w:color="000000"/>
              <w:right w:val="single" w:sz="12" w:space="0" w:color="000000"/>
            </w:tcBorders>
          </w:tcPr>
          <w:p w14:paraId="67FF5F2B" w14:textId="3E4B1F28" w:rsidR="00B0429D" w:rsidRDefault="00B0429D" w:rsidP="00CB5793">
            <w:pPr>
              <w:spacing w:after="0" w:line="259" w:lineRule="auto"/>
              <w:ind w:left="0" w:right="45" w:firstLine="0"/>
              <w:jc w:val="center"/>
            </w:pPr>
            <w:r>
              <w:rPr>
                <w:b/>
                <w:sz w:val="18"/>
              </w:rPr>
              <w:t>525.2</w:t>
            </w:r>
          </w:p>
        </w:tc>
        <w:tc>
          <w:tcPr>
            <w:tcW w:w="776" w:type="dxa"/>
            <w:tcBorders>
              <w:top w:val="single" w:sz="4" w:space="0" w:color="000000"/>
              <w:left w:val="single" w:sz="12" w:space="0" w:color="000000"/>
              <w:bottom w:val="single" w:sz="4" w:space="0" w:color="000000"/>
              <w:right w:val="single" w:sz="12" w:space="0" w:color="000000"/>
            </w:tcBorders>
          </w:tcPr>
          <w:p w14:paraId="4AF2D6A1" w14:textId="62F724A9" w:rsidR="00B0429D" w:rsidRDefault="00B0429D" w:rsidP="00CB5793">
            <w:pPr>
              <w:spacing w:after="0" w:line="259" w:lineRule="auto"/>
              <w:ind w:left="0" w:right="44" w:firstLine="0"/>
              <w:jc w:val="center"/>
            </w:pPr>
            <w:r>
              <w:rPr>
                <w:sz w:val="18"/>
              </w:rPr>
              <w:t>508.1</w:t>
            </w:r>
          </w:p>
        </w:tc>
        <w:tc>
          <w:tcPr>
            <w:tcW w:w="630" w:type="dxa"/>
            <w:tcBorders>
              <w:top w:val="single" w:sz="4" w:space="0" w:color="000000"/>
              <w:left w:val="single" w:sz="12" w:space="0" w:color="000000"/>
              <w:bottom w:val="single" w:sz="4" w:space="0" w:color="000000"/>
              <w:right w:val="single" w:sz="12" w:space="0" w:color="000000"/>
            </w:tcBorders>
          </w:tcPr>
          <w:p w14:paraId="6120A871" w14:textId="3E464D26" w:rsidR="00B0429D" w:rsidRDefault="00B0429D" w:rsidP="00CB5793">
            <w:pPr>
              <w:spacing w:after="0" w:line="259" w:lineRule="auto"/>
              <w:ind w:left="0" w:right="46" w:firstLine="0"/>
              <w:jc w:val="center"/>
            </w:pPr>
            <w:r>
              <w:rPr>
                <w:sz w:val="18"/>
              </w:rPr>
              <w:t>505</w:t>
            </w:r>
          </w:p>
        </w:tc>
      </w:tr>
      <w:tr w:rsidR="00B0429D" w14:paraId="2EA08B20" w14:textId="77777777" w:rsidTr="00C23B62">
        <w:trPr>
          <w:trHeight w:val="253"/>
        </w:trPr>
        <w:tc>
          <w:tcPr>
            <w:tcW w:w="3393" w:type="dxa"/>
            <w:tcBorders>
              <w:top w:val="single" w:sz="4" w:space="0" w:color="000000"/>
              <w:left w:val="single" w:sz="12" w:space="0" w:color="000000"/>
              <w:bottom w:val="single" w:sz="4" w:space="0" w:color="000000"/>
              <w:right w:val="single" w:sz="12" w:space="0" w:color="000000"/>
            </w:tcBorders>
          </w:tcPr>
          <w:p w14:paraId="18F79A02" w14:textId="77777777" w:rsidR="00B0429D" w:rsidRDefault="00B0429D" w:rsidP="00B0429D">
            <w:pPr>
              <w:spacing w:after="0" w:line="259" w:lineRule="auto"/>
              <w:ind w:left="2" w:right="0" w:firstLine="0"/>
            </w:pPr>
            <w:r>
              <w:rPr>
                <w:i/>
                <w:sz w:val="18"/>
              </w:rPr>
              <w:t>cis-</w:t>
            </w:r>
            <w:proofErr w:type="spellStart"/>
            <w:r>
              <w:rPr>
                <w:sz w:val="18"/>
              </w:rPr>
              <w:t>Nonachlor</w:t>
            </w:r>
            <w:proofErr w:type="spellEnd"/>
            <w:r>
              <w:rPr>
                <w:sz w:val="18"/>
              </w:rPr>
              <w:t xml:space="preserve"> </w:t>
            </w:r>
          </w:p>
        </w:tc>
        <w:tc>
          <w:tcPr>
            <w:tcW w:w="1173" w:type="dxa"/>
            <w:tcBorders>
              <w:top w:val="single" w:sz="4" w:space="0" w:color="000000"/>
              <w:left w:val="single" w:sz="12" w:space="0" w:color="000000"/>
              <w:bottom w:val="single" w:sz="4" w:space="0" w:color="000000"/>
              <w:right w:val="single" w:sz="12" w:space="0" w:color="000000"/>
            </w:tcBorders>
          </w:tcPr>
          <w:p w14:paraId="6DDC0A40" w14:textId="2A0A77E8" w:rsidR="00B0429D" w:rsidRDefault="00B0429D" w:rsidP="00CB5793">
            <w:pPr>
              <w:spacing w:after="0" w:line="259" w:lineRule="auto"/>
              <w:ind w:left="0" w:right="44" w:firstLine="0"/>
              <w:jc w:val="center"/>
            </w:pPr>
            <w:r>
              <w:rPr>
                <w:sz w:val="18"/>
              </w:rPr>
              <w:t>5103-73-1</w:t>
            </w:r>
          </w:p>
        </w:tc>
        <w:tc>
          <w:tcPr>
            <w:tcW w:w="881" w:type="dxa"/>
            <w:tcBorders>
              <w:top w:val="single" w:sz="4" w:space="0" w:color="000000"/>
              <w:left w:val="single" w:sz="12" w:space="0" w:color="000000"/>
              <w:bottom w:val="single" w:sz="4" w:space="0" w:color="000000"/>
              <w:right w:val="single" w:sz="12" w:space="0" w:color="000000"/>
            </w:tcBorders>
          </w:tcPr>
          <w:p w14:paraId="2D823D0D" w14:textId="6EA6D599" w:rsidR="00B0429D" w:rsidRDefault="00B0429D" w:rsidP="00CB5793">
            <w:pPr>
              <w:tabs>
                <w:tab w:val="center" w:pos="354"/>
              </w:tabs>
              <w:spacing w:after="0" w:line="259" w:lineRule="auto"/>
              <w:ind w:left="0" w:right="0" w:firstLine="0"/>
              <w:jc w:val="center"/>
            </w:pPr>
            <w:r>
              <w:rPr>
                <w:sz w:val="18"/>
              </w:rPr>
              <w:t>1</w:t>
            </w:r>
          </w:p>
        </w:tc>
        <w:tc>
          <w:tcPr>
            <w:tcW w:w="879" w:type="dxa"/>
            <w:tcBorders>
              <w:top w:val="single" w:sz="4" w:space="0" w:color="000000"/>
              <w:left w:val="single" w:sz="12" w:space="0" w:color="000000"/>
              <w:bottom w:val="single" w:sz="4" w:space="0" w:color="000000"/>
              <w:right w:val="single" w:sz="12" w:space="0" w:color="000000"/>
            </w:tcBorders>
          </w:tcPr>
          <w:p w14:paraId="786CE2AD" w14:textId="115D3204" w:rsidR="00B0429D" w:rsidRDefault="00B0429D" w:rsidP="00CB5793">
            <w:pPr>
              <w:spacing w:after="0" w:line="259" w:lineRule="auto"/>
              <w:ind w:left="0" w:right="46" w:firstLine="0"/>
              <w:jc w:val="center"/>
            </w:pPr>
            <w:r>
              <w:rPr>
                <w:sz w:val="18"/>
              </w:rPr>
              <w:t>ug/L</w:t>
            </w:r>
          </w:p>
        </w:tc>
        <w:tc>
          <w:tcPr>
            <w:tcW w:w="881" w:type="dxa"/>
            <w:tcBorders>
              <w:top w:val="single" w:sz="4" w:space="0" w:color="000000"/>
              <w:left w:val="single" w:sz="12" w:space="0" w:color="000000"/>
              <w:bottom w:val="single" w:sz="4" w:space="0" w:color="000000"/>
              <w:right w:val="single" w:sz="12" w:space="0" w:color="000000"/>
            </w:tcBorders>
          </w:tcPr>
          <w:p w14:paraId="04410794" w14:textId="3F54786E" w:rsidR="00B0429D" w:rsidRDefault="00B0429D" w:rsidP="00CB5793">
            <w:pPr>
              <w:spacing w:after="0" w:line="259" w:lineRule="auto"/>
              <w:ind w:left="0" w:right="47" w:firstLine="0"/>
              <w:jc w:val="center"/>
            </w:pPr>
            <w:r>
              <w:rPr>
                <w:sz w:val="18"/>
              </w:rPr>
              <w:t>N/A</w:t>
            </w:r>
          </w:p>
        </w:tc>
        <w:tc>
          <w:tcPr>
            <w:tcW w:w="1074" w:type="dxa"/>
            <w:tcBorders>
              <w:top w:val="single" w:sz="4" w:space="0" w:color="000000"/>
              <w:left w:val="single" w:sz="12" w:space="0" w:color="000000"/>
              <w:bottom w:val="single" w:sz="4" w:space="0" w:color="000000"/>
              <w:right w:val="single" w:sz="12" w:space="0" w:color="000000"/>
            </w:tcBorders>
          </w:tcPr>
          <w:p w14:paraId="4DCC6EA3" w14:textId="269CD78C" w:rsidR="00B0429D" w:rsidRDefault="00B0429D" w:rsidP="00CB5793">
            <w:pPr>
              <w:spacing w:after="0" w:line="259" w:lineRule="auto"/>
              <w:ind w:left="0" w:right="42" w:firstLine="0"/>
              <w:jc w:val="center"/>
            </w:pPr>
            <w:r>
              <w:rPr>
                <w:sz w:val="18"/>
              </w:rPr>
              <w:t>N/A</w:t>
            </w:r>
          </w:p>
        </w:tc>
        <w:tc>
          <w:tcPr>
            <w:tcW w:w="843" w:type="dxa"/>
            <w:tcBorders>
              <w:top w:val="single" w:sz="4" w:space="0" w:color="000000"/>
              <w:left w:val="single" w:sz="12" w:space="0" w:color="000000"/>
              <w:bottom w:val="single" w:sz="4" w:space="0" w:color="000000"/>
              <w:right w:val="single" w:sz="12" w:space="0" w:color="000000"/>
            </w:tcBorders>
          </w:tcPr>
          <w:p w14:paraId="36BD540F" w14:textId="6A05E98D" w:rsidR="00B0429D" w:rsidRDefault="00B0429D" w:rsidP="00CB5793">
            <w:pPr>
              <w:spacing w:after="0" w:line="259" w:lineRule="auto"/>
              <w:ind w:left="0" w:right="3" w:firstLine="0"/>
              <w:jc w:val="center"/>
            </w:pPr>
          </w:p>
        </w:tc>
        <w:tc>
          <w:tcPr>
            <w:tcW w:w="776" w:type="dxa"/>
            <w:tcBorders>
              <w:top w:val="single" w:sz="4" w:space="0" w:color="000000"/>
              <w:left w:val="single" w:sz="12" w:space="0" w:color="000000"/>
              <w:bottom w:val="single" w:sz="4" w:space="0" w:color="000000"/>
              <w:right w:val="single" w:sz="12" w:space="0" w:color="000000"/>
            </w:tcBorders>
          </w:tcPr>
          <w:p w14:paraId="184E8C0F" w14:textId="7FDDC24D" w:rsidR="00B0429D" w:rsidRDefault="00B0429D" w:rsidP="00CB5793">
            <w:pPr>
              <w:spacing w:after="0" w:line="259" w:lineRule="auto"/>
              <w:ind w:left="0" w:right="0" w:firstLine="0"/>
              <w:jc w:val="center"/>
            </w:pPr>
          </w:p>
        </w:tc>
        <w:tc>
          <w:tcPr>
            <w:tcW w:w="630" w:type="dxa"/>
            <w:tcBorders>
              <w:top w:val="single" w:sz="4" w:space="0" w:color="000000"/>
              <w:left w:val="single" w:sz="12" w:space="0" w:color="000000"/>
              <w:bottom w:val="single" w:sz="4" w:space="0" w:color="000000"/>
              <w:right w:val="single" w:sz="12" w:space="0" w:color="000000"/>
            </w:tcBorders>
          </w:tcPr>
          <w:p w14:paraId="185FCF4D" w14:textId="7973FC61" w:rsidR="00B0429D" w:rsidRDefault="00B0429D" w:rsidP="00CB5793">
            <w:pPr>
              <w:spacing w:after="0" w:line="259" w:lineRule="auto"/>
              <w:ind w:left="0" w:right="46" w:firstLine="0"/>
              <w:jc w:val="center"/>
            </w:pPr>
            <w:r>
              <w:rPr>
                <w:b/>
                <w:sz w:val="18"/>
              </w:rPr>
              <w:t>505</w:t>
            </w:r>
          </w:p>
        </w:tc>
      </w:tr>
      <w:tr w:rsidR="00B0429D" w14:paraId="43DE5931" w14:textId="77777777" w:rsidTr="00C23B62">
        <w:trPr>
          <w:trHeight w:val="250"/>
        </w:trPr>
        <w:tc>
          <w:tcPr>
            <w:tcW w:w="3393" w:type="dxa"/>
            <w:tcBorders>
              <w:top w:val="single" w:sz="4" w:space="0" w:color="000000"/>
              <w:left w:val="single" w:sz="12" w:space="0" w:color="000000"/>
              <w:bottom w:val="single" w:sz="4" w:space="0" w:color="000000"/>
              <w:right w:val="single" w:sz="12" w:space="0" w:color="000000"/>
            </w:tcBorders>
          </w:tcPr>
          <w:p w14:paraId="60060F68" w14:textId="043147D7" w:rsidR="00B0429D" w:rsidRDefault="00B0429D" w:rsidP="00B0429D">
            <w:pPr>
              <w:spacing w:after="0" w:line="259" w:lineRule="auto"/>
              <w:ind w:left="2" w:right="0" w:firstLine="0"/>
            </w:pPr>
            <w:r>
              <w:rPr>
                <w:i/>
                <w:sz w:val="18"/>
              </w:rPr>
              <w:t>trans-</w:t>
            </w:r>
            <w:proofErr w:type="spellStart"/>
            <w:r>
              <w:rPr>
                <w:sz w:val="18"/>
              </w:rPr>
              <w:t>Nonachlor</w:t>
            </w:r>
            <w:proofErr w:type="spellEnd"/>
          </w:p>
        </w:tc>
        <w:tc>
          <w:tcPr>
            <w:tcW w:w="1173" w:type="dxa"/>
            <w:tcBorders>
              <w:top w:val="single" w:sz="4" w:space="0" w:color="000000"/>
              <w:left w:val="single" w:sz="12" w:space="0" w:color="000000"/>
              <w:bottom w:val="single" w:sz="4" w:space="0" w:color="000000"/>
              <w:right w:val="single" w:sz="12" w:space="0" w:color="000000"/>
            </w:tcBorders>
          </w:tcPr>
          <w:p w14:paraId="6389FF3E" w14:textId="71A6118B" w:rsidR="00B0429D" w:rsidRDefault="00B0429D" w:rsidP="00CB5793">
            <w:pPr>
              <w:spacing w:after="0" w:line="259" w:lineRule="auto"/>
              <w:ind w:left="0" w:right="44" w:firstLine="0"/>
              <w:jc w:val="center"/>
            </w:pPr>
            <w:r>
              <w:rPr>
                <w:sz w:val="18"/>
              </w:rPr>
              <w:t>39765-80-5</w:t>
            </w:r>
          </w:p>
        </w:tc>
        <w:tc>
          <w:tcPr>
            <w:tcW w:w="881" w:type="dxa"/>
            <w:tcBorders>
              <w:top w:val="single" w:sz="4" w:space="0" w:color="000000"/>
              <w:left w:val="single" w:sz="12" w:space="0" w:color="000000"/>
              <w:bottom w:val="single" w:sz="4" w:space="0" w:color="000000"/>
              <w:right w:val="single" w:sz="12" w:space="0" w:color="000000"/>
            </w:tcBorders>
          </w:tcPr>
          <w:p w14:paraId="4011CE08" w14:textId="0AFBE887" w:rsidR="00B0429D" w:rsidRDefault="00B0429D" w:rsidP="00CB5793">
            <w:pPr>
              <w:tabs>
                <w:tab w:val="center" w:pos="399"/>
              </w:tabs>
              <w:spacing w:after="0" w:line="259" w:lineRule="auto"/>
              <w:ind w:left="0" w:right="0" w:firstLine="0"/>
              <w:jc w:val="center"/>
            </w:pPr>
            <w:r>
              <w:rPr>
                <w:sz w:val="18"/>
              </w:rPr>
              <w:t>0.2</w:t>
            </w:r>
          </w:p>
        </w:tc>
        <w:tc>
          <w:tcPr>
            <w:tcW w:w="879" w:type="dxa"/>
            <w:tcBorders>
              <w:top w:val="single" w:sz="4" w:space="0" w:color="000000"/>
              <w:left w:val="single" w:sz="12" w:space="0" w:color="000000"/>
              <w:bottom w:val="single" w:sz="4" w:space="0" w:color="000000"/>
              <w:right w:val="single" w:sz="12" w:space="0" w:color="000000"/>
            </w:tcBorders>
          </w:tcPr>
          <w:p w14:paraId="0619E0F3" w14:textId="7D142D39" w:rsidR="00B0429D" w:rsidRDefault="00B0429D" w:rsidP="00CB5793">
            <w:pPr>
              <w:spacing w:after="0" w:line="259" w:lineRule="auto"/>
              <w:ind w:left="0" w:right="46" w:firstLine="0"/>
              <w:jc w:val="center"/>
            </w:pPr>
            <w:r>
              <w:rPr>
                <w:sz w:val="18"/>
              </w:rPr>
              <w:t>ug/L</w:t>
            </w:r>
          </w:p>
        </w:tc>
        <w:tc>
          <w:tcPr>
            <w:tcW w:w="881" w:type="dxa"/>
            <w:tcBorders>
              <w:top w:val="single" w:sz="4" w:space="0" w:color="000000"/>
              <w:left w:val="single" w:sz="12" w:space="0" w:color="000000"/>
              <w:bottom w:val="single" w:sz="4" w:space="0" w:color="000000"/>
              <w:right w:val="single" w:sz="12" w:space="0" w:color="000000"/>
            </w:tcBorders>
          </w:tcPr>
          <w:p w14:paraId="29D78E2A" w14:textId="0A17EE07" w:rsidR="00B0429D" w:rsidRDefault="00B0429D" w:rsidP="00CB5793">
            <w:pPr>
              <w:spacing w:after="0" w:line="259" w:lineRule="auto"/>
              <w:ind w:left="0" w:right="47" w:firstLine="0"/>
              <w:jc w:val="center"/>
            </w:pPr>
            <w:r>
              <w:rPr>
                <w:sz w:val="18"/>
              </w:rPr>
              <w:t>N/A</w:t>
            </w:r>
          </w:p>
        </w:tc>
        <w:tc>
          <w:tcPr>
            <w:tcW w:w="1074" w:type="dxa"/>
            <w:tcBorders>
              <w:top w:val="single" w:sz="4" w:space="0" w:color="000000"/>
              <w:left w:val="single" w:sz="12" w:space="0" w:color="000000"/>
              <w:bottom w:val="single" w:sz="4" w:space="0" w:color="000000"/>
              <w:right w:val="single" w:sz="12" w:space="0" w:color="000000"/>
            </w:tcBorders>
          </w:tcPr>
          <w:p w14:paraId="4D75AA76" w14:textId="53134202" w:rsidR="00B0429D" w:rsidRDefault="00B0429D" w:rsidP="00CB5793">
            <w:pPr>
              <w:spacing w:after="0" w:line="259" w:lineRule="auto"/>
              <w:ind w:left="0" w:right="42" w:firstLine="0"/>
              <w:jc w:val="center"/>
            </w:pPr>
            <w:r>
              <w:rPr>
                <w:sz w:val="18"/>
              </w:rPr>
              <w:t>N/A</w:t>
            </w:r>
          </w:p>
        </w:tc>
        <w:tc>
          <w:tcPr>
            <w:tcW w:w="843" w:type="dxa"/>
            <w:tcBorders>
              <w:top w:val="single" w:sz="4" w:space="0" w:color="000000"/>
              <w:left w:val="single" w:sz="12" w:space="0" w:color="000000"/>
              <w:bottom w:val="single" w:sz="4" w:space="0" w:color="000000"/>
              <w:right w:val="single" w:sz="12" w:space="0" w:color="000000"/>
            </w:tcBorders>
          </w:tcPr>
          <w:p w14:paraId="36195C77" w14:textId="24D81ACC" w:rsidR="00B0429D" w:rsidRDefault="00B0429D" w:rsidP="00CB5793">
            <w:pPr>
              <w:spacing w:after="0" w:line="259" w:lineRule="auto"/>
              <w:ind w:left="0" w:right="45" w:firstLine="0"/>
              <w:jc w:val="center"/>
            </w:pPr>
            <w:r>
              <w:rPr>
                <w:b/>
                <w:sz w:val="18"/>
              </w:rPr>
              <w:t>525.2</w:t>
            </w:r>
          </w:p>
        </w:tc>
        <w:tc>
          <w:tcPr>
            <w:tcW w:w="776" w:type="dxa"/>
            <w:tcBorders>
              <w:top w:val="single" w:sz="4" w:space="0" w:color="000000"/>
              <w:left w:val="single" w:sz="12" w:space="0" w:color="000000"/>
              <w:bottom w:val="single" w:sz="4" w:space="0" w:color="000000"/>
              <w:right w:val="single" w:sz="12" w:space="0" w:color="000000"/>
            </w:tcBorders>
          </w:tcPr>
          <w:p w14:paraId="05FD14C8" w14:textId="1188D64F" w:rsidR="00B0429D" w:rsidRDefault="00B0429D" w:rsidP="00CB5793">
            <w:pPr>
              <w:spacing w:after="0" w:line="259" w:lineRule="auto"/>
              <w:ind w:left="0" w:right="44" w:firstLine="0"/>
              <w:jc w:val="center"/>
            </w:pPr>
            <w:r>
              <w:rPr>
                <w:sz w:val="18"/>
              </w:rPr>
              <w:t>508.1</w:t>
            </w:r>
          </w:p>
        </w:tc>
        <w:tc>
          <w:tcPr>
            <w:tcW w:w="630" w:type="dxa"/>
            <w:tcBorders>
              <w:top w:val="single" w:sz="4" w:space="0" w:color="000000"/>
              <w:left w:val="single" w:sz="12" w:space="0" w:color="000000"/>
              <w:bottom w:val="single" w:sz="4" w:space="0" w:color="000000"/>
              <w:right w:val="single" w:sz="12" w:space="0" w:color="000000"/>
            </w:tcBorders>
          </w:tcPr>
          <w:p w14:paraId="5912DE13" w14:textId="49925224" w:rsidR="00B0429D" w:rsidRDefault="00B0429D" w:rsidP="00CB5793">
            <w:pPr>
              <w:spacing w:after="0" w:line="259" w:lineRule="auto"/>
              <w:ind w:left="0" w:right="46" w:firstLine="0"/>
              <w:jc w:val="center"/>
            </w:pPr>
            <w:r>
              <w:rPr>
                <w:sz w:val="18"/>
              </w:rPr>
              <w:t>505</w:t>
            </w:r>
          </w:p>
        </w:tc>
      </w:tr>
      <w:tr w:rsidR="00B0429D" w14:paraId="7E1D3B13" w14:textId="77777777" w:rsidTr="00C23B62">
        <w:trPr>
          <w:trHeight w:val="250"/>
        </w:trPr>
        <w:tc>
          <w:tcPr>
            <w:tcW w:w="3393" w:type="dxa"/>
            <w:tcBorders>
              <w:top w:val="single" w:sz="4" w:space="0" w:color="000000"/>
              <w:left w:val="single" w:sz="12" w:space="0" w:color="000000"/>
              <w:bottom w:val="single" w:sz="4" w:space="0" w:color="000000"/>
              <w:right w:val="single" w:sz="12" w:space="0" w:color="000000"/>
            </w:tcBorders>
          </w:tcPr>
          <w:p w14:paraId="441081EB" w14:textId="77777777" w:rsidR="00B0429D" w:rsidRDefault="00B0429D" w:rsidP="00B0429D">
            <w:pPr>
              <w:spacing w:after="0" w:line="259" w:lineRule="auto"/>
              <w:ind w:left="2" w:right="0" w:firstLine="0"/>
            </w:pPr>
            <w:r>
              <w:rPr>
                <w:i/>
                <w:sz w:val="18"/>
              </w:rPr>
              <w:t>cis-</w:t>
            </w:r>
            <w:r>
              <w:rPr>
                <w:sz w:val="18"/>
              </w:rPr>
              <w:t xml:space="preserve">Permethrin </w:t>
            </w:r>
          </w:p>
        </w:tc>
        <w:tc>
          <w:tcPr>
            <w:tcW w:w="1173" w:type="dxa"/>
            <w:tcBorders>
              <w:top w:val="single" w:sz="4" w:space="0" w:color="000000"/>
              <w:left w:val="single" w:sz="12" w:space="0" w:color="000000"/>
              <w:bottom w:val="single" w:sz="4" w:space="0" w:color="000000"/>
              <w:right w:val="single" w:sz="12" w:space="0" w:color="000000"/>
            </w:tcBorders>
          </w:tcPr>
          <w:p w14:paraId="4854FB66" w14:textId="0D6606D3" w:rsidR="00B0429D" w:rsidRDefault="00B0429D" w:rsidP="00CB5793">
            <w:pPr>
              <w:spacing w:after="0" w:line="259" w:lineRule="auto"/>
              <w:ind w:left="0" w:right="44" w:firstLine="0"/>
              <w:jc w:val="center"/>
            </w:pPr>
            <w:r>
              <w:rPr>
                <w:sz w:val="18"/>
              </w:rPr>
              <w:t>54774-45-7</w:t>
            </w:r>
          </w:p>
        </w:tc>
        <w:tc>
          <w:tcPr>
            <w:tcW w:w="881" w:type="dxa"/>
            <w:tcBorders>
              <w:top w:val="single" w:sz="4" w:space="0" w:color="000000"/>
              <w:left w:val="single" w:sz="12" w:space="0" w:color="000000"/>
              <w:bottom w:val="single" w:sz="4" w:space="0" w:color="000000"/>
              <w:right w:val="single" w:sz="12" w:space="0" w:color="000000"/>
            </w:tcBorders>
          </w:tcPr>
          <w:p w14:paraId="7F3D4886" w14:textId="1E2074AB" w:rsidR="00B0429D" w:rsidRDefault="00B0429D" w:rsidP="00CB5793">
            <w:pPr>
              <w:tabs>
                <w:tab w:val="center" w:pos="308"/>
              </w:tabs>
              <w:spacing w:after="0" w:line="259" w:lineRule="auto"/>
              <w:ind w:left="0" w:right="0" w:firstLine="0"/>
              <w:jc w:val="center"/>
            </w:pPr>
            <w:r>
              <w:rPr>
                <w:sz w:val="18"/>
              </w:rPr>
              <w:t>10</w:t>
            </w:r>
          </w:p>
        </w:tc>
        <w:tc>
          <w:tcPr>
            <w:tcW w:w="879" w:type="dxa"/>
            <w:tcBorders>
              <w:top w:val="single" w:sz="4" w:space="0" w:color="000000"/>
              <w:left w:val="single" w:sz="12" w:space="0" w:color="000000"/>
              <w:bottom w:val="single" w:sz="4" w:space="0" w:color="000000"/>
              <w:right w:val="single" w:sz="12" w:space="0" w:color="000000"/>
            </w:tcBorders>
          </w:tcPr>
          <w:p w14:paraId="6D144007" w14:textId="5E287772" w:rsidR="00B0429D" w:rsidRDefault="00B0429D" w:rsidP="00CB5793">
            <w:pPr>
              <w:spacing w:after="0" w:line="259" w:lineRule="auto"/>
              <w:ind w:left="0" w:right="46" w:firstLine="0"/>
              <w:jc w:val="center"/>
            </w:pPr>
            <w:r>
              <w:rPr>
                <w:sz w:val="18"/>
              </w:rPr>
              <w:t>ug/L</w:t>
            </w:r>
          </w:p>
        </w:tc>
        <w:tc>
          <w:tcPr>
            <w:tcW w:w="881" w:type="dxa"/>
            <w:tcBorders>
              <w:top w:val="single" w:sz="4" w:space="0" w:color="000000"/>
              <w:left w:val="single" w:sz="12" w:space="0" w:color="000000"/>
              <w:bottom w:val="single" w:sz="4" w:space="0" w:color="000000"/>
              <w:right w:val="single" w:sz="12" w:space="0" w:color="000000"/>
            </w:tcBorders>
          </w:tcPr>
          <w:p w14:paraId="3CE9366B" w14:textId="517B3A83" w:rsidR="00B0429D" w:rsidRDefault="00B0429D" w:rsidP="00CB5793">
            <w:pPr>
              <w:spacing w:after="0" w:line="259" w:lineRule="auto"/>
              <w:ind w:left="0" w:right="47" w:firstLine="0"/>
              <w:jc w:val="center"/>
            </w:pPr>
            <w:r>
              <w:rPr>
                <w:sz w:val="18"/>
              </w:rPr>
              <w:t>N/A</w:t>
            </w:r>
          </w:p>
        </w:tc>
        <w:tc>
          <w:tcPr>
            <w:tcW w:w="1074" w:type="dxa"/>
            <w:tcBorders>
              <w:top w:val="single" w:sz="4" w:space="0" w:color="000000"/>
              <w:left w:val="single" w:sz="12" w:space="0" w:color="000000"/>
              <w:bottom w:val="single" w:sz="4" w:space="0" w:color="000000"/>
              <w:right w:val="single" w:sz="12" w:space="0" w:color="000000"/>
            </w:tcBorders>
          </w:tcPr>
          <w:p w14:paraId="59D973AC" w14:textId="7F809538" w:rsidR="00B0429D" w:rsidRDefault="00B0429D" w:rsidP="00CB5793">
            <w:pPr>
              <w:spacing w:after="0" w:line="259" w:lineRule="auto"/>
              <w:ind w:left="0" w:right="42" w:firstLine="0"/>
              <w:jc w:val="center"/>
            </w:pPr>
            <w:r>
              <w:rPr>
                <w:sz w:val="18"/>
              </w:rPr>
              <w:t>N/A</w:t>
            </w:r>
          </w:p>
        </w:tc>
        <w:tc>
          <w:tcPr>
            <w:tcW w:w="843" w:type="dxa"/>
            <w:tcBorders>
              <w:top w:val="single" w:sz="4" w:space="0" w:color="000000"/>
              <w:left w:val="single" w:sz="12" w:space="0" w:color="000000"/>
              <w:bottom w:val="single" w:sz="4" w:space="0" w:color="000000"/>
              <w:right w:val="single" w:sz="12" w:space="0" w:color="000000"/>
            </w:tcBorders>
          </w:tcPr>
          <w:p w14:paraId="06376E4C" w14:textId="02E97930" w:rsidR="00B0429D" w:rsidRDefault="00B0429D" w:rsidP="00CB5793">
            <w:pPr>
              <w:spacing w:after="0" w:line="259" w:lineRule="auto"/>
              <w:ind w:left="0" w:right="45" w:firstLine="0"/>
              <w:jc w:val="center"/>
            </w:pPr>
            <w:r>
              <w:rPr>
                <w:b/>
                <w:sz w:val="18"/>
              </w:rPr>
              <w:t>525.2</w:t>
            </w:r>
          </w:p>
        </w:tc>
        <w:tc>
          <w:tcPr>
            <w:tcW w:w="776" w:type="dxa"/>
            <w:tcBorders>
              <w:top w:val="single" w:sz="4" w:space="0" w:color="000000"/>
              <w:left w:val="single" w:sz="12" w:space="0" w:color="000000"/>
              <w:bottom w:val="single" w:sz="4" w:space="0" w:color="000000"/>
              <w:right w:val="single" w:sz="12" w:space="0" w:color="000000"/>
            </w:tcBorders>
          </w:tcPr>
          <w:p w14:paraId="178F00CD" w14:textId="51DAD305" w:rsidR="00B0429D" w:rsidRDefault="00B0429D" w:rsidP="00CB5793">
            <w:pPr>
              <w:spacing w:after="0" w:line="259" w:lineRule="auto"/>
              <w:ind w:left="0" w:right="44" w:firstLine="0"/>
              <w:jc w:val="center"/>
            </w:pPr>
            <w:r>
              <w:rPr>
                <w:sz w:val="18"/>
              </w:rPr>
              <w:t>508.1</w:t>
            </w:r>
          </w:p>
        </w:tc>
        <w:tc>
          <w:tcPr>
            <w:tcW w:w="630" w:type="dxa"/>
            <w:tcBorders>
              <w:top w:val="single" w:sz="4" w:space="0" w:color="000000"/>
              <w:left w:val="single" w:sz="12" w:space="0" w:color="000000"/>
              <w:bottom w:val="single" w:sz="4" w:space="0" w:color="000000"/>
              <w:right w:val="single" w:sz="12" w:space="0" w:color="000000"/>
            </w:tcBorders>
          </w:tcPr>
          <w:p w14:paraId="641E6BDF" w14:textId="52DE4394" w:rsidR="00B0429D" w:rsidRDefault="00B0429D" w:rsidP="00CB5793">
            <w:pPr>
              <w:spacing w:after="0" w:line="259" w:lineRule="auto"/>
              <w:ind w:left="0" w:right="0" w:firstLine="0"/>
              <w:jc w:val="center"/>
            </w:pPr>
          </w:p>
        </w:tc>
      </w:tr>
      <w:tr w:rsidR="00B0429D" w14:paraId="573F9506" w14:textId="77777777" w:rsidTr="00C23B62">
        <w:trPr>
          <w:trHeight w:val="250"/>
        </w:trPr>
        <w:tc>
          <w:tcPr>
            <w:tcW w:w="3393" w:type="dxa"/>
            <w:tcBorders>
              <w:top w:val="single" w:sz="4" w:space="0" w:color="000000"/>
              <w:left w:val="single" w:sz="12" w:space="0" w:color="000000"/>
              <w:bottom w:val="single" w:sz="4" w:space="0" w:color="000000"/>
              <w:right w:val="single" w:sz="12" w:space="0" w:color="000000"/>
            </w:tcBorders>
          </w:tcPr>
          <w:p w14:paraId="42704BC7" w14:textId="77777777" w:rsidR="00B0429D" w:rsidRDefault="00B0429D" w:rsidP="00B0429D">
            <w:pPr>
              <w:spacing w:after="0" w:line="259" w:lineRule="auto"/>
              <w:ind w:left="2" w:right="0" w:firstLine="0"/>
            </w:pPr>
            <w:r>
              <w:rPr>
                <w:i/>
                <w:sz w:val="18"/>
              </w:rPr>
              <w:t>trans-</w:t>
            </w:r>
            <w:r>
              <w:rPr>
                <w:sz w:val="18"/>
              </w:rPr>
              <w:t xml:space="preserve">Permethrin </w:t>
            </w:r>
          </w:p>
        </w:tc>
        <w:tc>
          <w:tcPr>
            <w:tcW w:w="1173" w:type="dxa"/>
            <w:tcBorders>
              <w:top w:val="single" w:sz="4" w:space="0" w:color="000000"/>
              <w:left w:val="single" w:sz="12" w:space="0" w:color="000000"/>
              <w:bottom w:val="single" w:sz="4" w:space="0" w:color="000000"/>
              <w:right w:val="single" w:sz="12" w:space="0" w:color="000000"/>
            </w:tcBorders>
          </w:tcPr>
          <w:p w14:paraId="6917DF24" w14:textId="33D370AA" w:rsidR="00B0429D" w:rsidRDefault="00B0429D" w:rsidP="00CB5793">
            <w:pPr>
              <w:spacing w:after="0" w:line="259" w:lineRule="auto"/>
              <w:ind w:left="0" w:right="44" w:firstLine="0"/>
              <w:jc w:val="center"/>
            </w:pPr>
            <w:r>
              <w:rPr>
                <w:sz w:val="18"/>
              </w:rPr>
              <w:t>51877-74-8</w:t>
            </w:r>
          </w:p>
        </w:tc>
        <w:tc>
          <w:tcPr>
            <w:tcW w:w="881" w:type="dxa"/>
            <w:tcBorders>
              <w:top w:val="single" w:sz="4" w:space="0" w:color="000000"/>
              <w:left w:val="single" w:sz="12" w:space="0" w:color="000000"/>
              <w:bottom w:val="single" w:sz="4" w:space="0" w:color="000000"/>
              <w:right w:val="single" w:sz="12" w:space="0" w:color="000000"/>
            </w:tcBorders>
          </w:tcPr>
          <w:p w14:paraId="53D85DB7" w14:textId="5195F2D0" w:rsidR="00B0429D" w:rsidRDefault="00B0429D" w:rsidP="00CB5793">
            <w:pPr>
              <w:tabs>
                <w:tab w:val="center" w:pos="308"/>
              </w:tabs>
              <w:spacing w:after="0" w:line="259" w:lineRule="auto"/>
              <w:ind w:left="0" w:right="0" w:firstLine="0"/>
              <w:jc w:val="center"/>
            </w:pPr>
            <w:r>
              <w:rPr>
                <w:sz w:val="18"/>
              </w:rPr>
              <w:t>10</w:t>
            </w:r>
          </w:p>
        </w:tc>
        <w:tc>
          <w:tcPr>
            <w:tcW w:w="879" w:type="dxa"/>
            <w:tcBorders>
              <w:top w:val="single" w:sz="4" w:space="0" w:color="000000"/>
              <w:left w:val="single" w:sz="12" w:space="0" w:color="000000"/>
              <w:bottom w:val="single" w:sz="4" w:space="0" w:color="000000"/>
              <w:right w:val="single" w:sz="12" w:space="0" w:color="000000"/>
            </w:tcBorders>
          </w:tcPr>
          <w:p w14:paraId="2E901610" w14:textId="0090F33A" w:rsidR="00B0429D" w:rsidRDefault="00B0429D" w:rsidP="00CB5793">
            <w:pPr>
              <w:spacing w:after="0" w:line="259" w:lineRule="auto"/>
              <w:ind w:left="0" w:right="46" w:firstLine="0"/>
              <w:jc w:val="center"/>
            </w:pPr>
            <w:r>
              <w:rPr>
                <w:sz w:val="18"/>
              </w:rPr>
              <w:t>ug/L</w:t>
            </w:r>
          </w:p>
        </w:tc>
        <w:tc>
          <w:tcPr>
            <w:tcW w:w="881" w:type="dxa"/>
            <w:tcBorders>
              <w:top w:val="single" w:sz="4" w:space="0" w:color="000000"/>
              <w:left w:val="single" w:sz="12" w:space="0" w:color="000000"/>
              <w:bottom w:val="single" w:sz="4" w:space="0" w:color="000000"/>
              <w:right w:val="single" w:sz="12" w:space="0" w:color="000000"/>
            </w:tcBorders>
          </w:tcPr>
          <w:p w14:paraId="68AB42D2" w14:textId="53CFAD7E" w:rsidR="00B0429D" w:rsidRDefault="00B0429D" w:rsidP="00CB5793">
            <w:pPr>
              <w:spacing w:after="0" w:line="259" w:lineRule="auto"/>
              <w:ind w:left="0" w:right="47" w:firstLine="0"/>
              <w:jc w:val="center"/>
            </w:pPr>
            <w:r>
              <w:rPr>
                <w:sz w:val="18"/>
              </w:rPr>
              <w:t>N/A</w:t>
            </w:r>
          </w:p>
        </w:tc>
        <w:tc>
          <w:tcPr>
            <w:tcW w:w="1074" w:type="dxa"/>
            <w:tcBorders>
              <w:top w:val="single" w:sz="4" w:space="0" w:color="000000"/>
              <w:left w:val="single" w:sz="12" w:space="0" w:color="000000"/>
              <w:bottom w:val="single" w:sz="4" w:space="0" w:color="000000"/>
              <w:right w:val="single" w:sz="12" w:space="0" w:color="000000"/>
            </w:tcBorders>
          </w:tcPr>
          <w:p w14:paraId="0D2F586B" w14:textId="613FA82B" w:rsidR="00B0429D" w:rsidRDefault="00B0429D" w:rsidP="00CB5793">
            <w:pPr>
              <w:spacing w:after="0" w:line="259" w:lineRule="auto"/>
              <w:ind w:left="0" w:right="42" w:firstLine="0"/>
              <w:jc w:val="center"/>
            </w:pPr>
            <w:r>
              <w:rPr>
                <w:sz w:val="18"/>
              </w:rPr>
              <w:t>N/A</w:t>
            </w:r>
          </w:p>
        </w:tc>
        <w:tc>
          <w:tcPr>
            <w:tcW w:w="843" w:type="dxa"/>
            <w:tcBorders>
              <w:top w:val="single" w:sz="4" w:space="0" w:color="000000"/>
              <w:left w:val="single" w:sz="12" w:space="0" w:color="000000"/>
              <w:bottom w:val="single" w:sz="4" w:space="0" w:color="000000"/>
              <w:right w:val="single" w:sz="12" w:space="0" w:color="000000"/>
            </w:tcBorders>
          </w:tcPr>
          <w:p w14:paraId="6C5FCA73" w14:textId="6223666A" w:rsidR="00B0429D" w:rsidRDefault="00B0429D" w:rsidP="00CB5793">
            <w:pPr>
              <w:spacing w:after="0" w:line="259" w:lineRule="auto"/>
              <w:ind w:left="0" w:right="45" w:firstLine="0"/>
              <w:jc w:val="center"/>
            </w:pPr>
            <w:r>
              <w:rPr>
                <w:b/>
                <w:sz w:val="18"/>
              </w:rPr>
              <w:t>525.2</w:t>
            </w:r>
          </w:p>
        </w:tc>
        <w:tc>
          <w:tcPr>
            <w:tcW w:w="776" w:type="dxa"/>
            <w:tcBorders>
              <w:top w:val="single" w:sz="4" w:space="0" w:color="000000"/>
              <w:left w:val="single" w:sz="12" w:space="0" w:color="000000"/>
              <w:bottom w:val="single" w:sz="4" w:space="0" w:color="000000"/>
              <w:right w:val="single" w:sz="12" w:space="0" w:color="000000"/>
            </w:tcBorders>
          </w:tcPr>
          <w:p w14:paraId="31E685DB" w14:textId="031CE6D3" w:rsidR="00B0429D" w:rsidRDefault="00B0429D" w:rsidP="00CB5793">
            <w:pPr>
              <w:spacing w:after="0" w:line="259" w:lineRule="auto"/>
              <w:ind w:left="0" w:right="44" w:firstLine="0"/>
              <w:jc w:val="center"/>
            </w:pPr>
            <w:r>
              <w:rPr>
                <w:sz w:val="18"/>
              </w:rPr>
              <w:t>508.1</w:t>
            </w:r>
          </w:p>
        </w:tc>
        <w:tc>
          <w:tcPr>
            <w:tcW w:w="630" w:type="dxa"/>
            <w:tcBorders>
              <w:top w:val="single" w:sz="4" w:space="0" w:color="000000"/>
              <w:left w:val="single" w:sz="12" w:space="0" w:color="000000"/>
              <w:bottom w:val="single" w:sz="4" w:space="0" w:color="000000"/>
              <w:right w:val="single" w:sz="12" w:space="0" w:color="000000"/>
            </w:tcBorders>
          </w:tcPr>
          <w:p w14:paraId="73A9E192" w14:textId="06CFD8DD" w:rsidR="00B0429D" w:rsidRDefault="00B0429D" w:rsidP="00CB5793">
            <w:pPr>
              <w:spacing w:after="0" w:line="259" w:lineRule="auto"/>
              <w:ind w:left="0" w:right="0" w:firstLine="0"/>
              <w:jc w:val="center"/>
            </w:pPr>
          </w:p>
        </w:tc>
      </w:tr>
      <w:tr w:rsidR="00B0429D" w14:paraId="00B51FE2" w14:textId="77777777" w:rsidTr="00C23B62">
        <w:trPr>
          <w:trHeight w:val="247"/>
        </w:trPr>
        <w:tc>
          <w:tcPr>
            <w:tcW w:w="3393" w:type="dxa"/>
            <w:tcBorders>
              <w:top w:val="single" w:sz="4" w:space="0" w:color="000000"/>
              <w:left w:val="single" w:sz="12" w:space="0" w:color="000000"/>
              <w:bottom w:val="single" w:sz="2" w:space="0" w:color="000000"/>
              <w:right w:val="single" w:sz="12" w:space="0" w:color="000000"/>
            </w:tcBorders>
          </w:tcPr>
          <w:p w14:paraId="3D44F21A" w14:textId="467FEA17" w:rsidR="00B0429D" w:rsidRDefault="00B0429D" w:rsidP="00B0429D">
            <w:pPr>
              <w:spacing w:after="0" w:line="259" w:lineRule="auto"/>
              <w:ind w:left="2" w:right="0" w:firstLine="0"/>
            </w:pPr>
            <w:r>
              <w:rPr>
                <w:sz w:val="18"/>
              </w:rPr>
              <w:t>Simazine (</w:t>
            </w:r>
            <w:proofErr w:type="spellStart"/>
            <w:r>
              <w:rPr>
                <w:i/>
                <w:sz w:val="18"/>
              </w:rPr>
              <w:t>Princep</w:t>
            </w:r>
            <w:proofErr w:type="spellEnd"/>
            <w:r>
              <w:rPr>
                <w:i/>
                <w:sz w:val="18"/>
              </w:rPr>
              <w:t xml:space="preserve">) </w:t>
            </w:r>
          </w:p>
        </w:tc>
        <w:tc>
          <w:tcPr>
            <w:tcW w:w="1173" w:type="dxa"/>
            <w:tcBorders>
              <w:top w:val="single" w:sz="4" w:space="0" w:color="000000"/>
              <w:left w:val="single" w:sz="12" w:space="0" w:color="000000"/>
              <w:bottom w:val="single" w:sz="2" w:space="0" w:color="000000"/>
              <w:right w:val="single" w:sz="12" w:space="0" w:color="000000"/>
            </w:tcBorders>
          </w:tcPr>
          <w:p w14:paraId="1908B101" w14:textId="6EBF5034" w:rsidR="00B0429D" w:rsidRDefault="00B0429D" w:rsidP="00CB5793">
            <w:pPr>
              <w:spacing w:after="0" w:line="259" w:lineRule="auto"/>
              <w:ind w:left="0" w:right="44" w:firstLine="0"/>
              <w:jc w:val="center"/>
            </w:pPr>
            <w:r>
              <w:rPr>
                <w:sz w:val="18"/>
              </w:rPr>
              <w:t>122-34-9</w:t>
            </w:r>
          </w:p>
        </w:tc>
        <w:tc>
          <w:tcPr>
            <w:tcW w:w="881" w:type="dxa"/>
            <w:tcBorders>
              <w:top w:val="single" w:sz="4" w:space="0" w:color="000000"/>
              <w:left w:val="single" w:sz="12" w:space="0" w:color="000000"/>
              <w:bottom w:val="single" w:sz="2" w:space="0" w:color="000000"/>
              <w:right w:val="single" w:sz="12" w:space="0" w:color="000000"/>
            </w:tcBorders>
          </w:tcPr>
          <w:p w14:paraId="7D7B39DE" w14:textId="3C74DB62" w:rsidR="00B0429D" w:rsidRDefault="00B0429D" w:rsidP="00CB5793">
            <w:pPr>
              <w:tabs>
                <w:tab w:val="center" w:pos="399"/>
              </w:tabs>
              <w:spacing w:after="0" w:line="259" w:lineRule="auto"/>
              <w:ind w:left="0" w:right="0" w:firstLine="0"/>
              <w:jc w:val="center"/>
            </w:pPr>
            <w:r>
              <w:rPr>
                <w:sz w:val="18"/>
              </w:rPr>
              <w:t>0.5</w:t>
            </w:r>
          </w:p>
        </w:tc>
        <w:tc>
          <w:tcPr>
            <w:tcW w:w="879" w:type="dxa"/>
            <w:tcBorders>
              <w:top w:val="single" w:sz="4" w:space="0" w:color="000000"/>
              <w:left w:val="single" w:sz="12" w:space="0" w:color="000000"/>
              <w:bottom w:val="single" w:sz="2" w:space="0" w:color="000000"/>
              <w:right w:val="single" w:sz="12" w:space="0" w:color="000000"/>
            </w:tcBorders>
          </w:tcPr>
          <w:p w14:paraId="7B67F6ED" w14:textId="6A111CEF" w:rsidR="00B0429D" w:rsidRDefault="00B0429D" w:rsidP="00CB5793">
            <w:pPr>
              <w:spacing w:after="0" w:line="259" w:lineRule="auto"/>
              <w:ind w:left="0" w:right="46" w:firstLine="0"/>
              <w:jc w:val="center"/>
            </w:pPr>
            <w:r>
              <w:rPr>
                <w:sz w:val="18"/>
              </w:rPr>
              <w:t>ug/L</w:t>
            </w:r>
          </w:p>
        </w:tc>
        <w:tc>
          <w:tcPr>
            <w:tcW w:w="881" w:type="dxa"/>
            <w:tcBorders>
              <w:top w:val="single" w:sz="4" w:space="0" w:color="000000"/>
              <w:left w:val="single" w:sz="12" w:space="0" w:color="000000"/>
              <w:bottom w:val="single" w:sz="2" w:space="0" w:color="000000"/>
              <w:right w:val="single" w:sz="12" w:space="0" w:color="000000"/>
            </w:tcBorders>
          </w:tcPr>
          <w:p w14:paraId="5E78D6E9" w14:textId="2D8FF0F7" w:rsidR="00B0429D" w:rsidRDefault="00B0429D" w:rsidP="00CB5793">
            <w:pPr>
              <w:spacing w:after="0" w:line="259" w:lineRule="auto"/>
              <w:ind w:left="0" w:right="47" w:firstLine="0"/>
              <w:jc w:val="center"/>
            </w:pPr>
            <w:r>
              <w:rPr>
                <w:sz w:val="18"/>
              </w:rPr>
              <w:t>N/A</w:t>
            </w:r>
          </w:p>
        </w:tc>
        <w:tc>
          <w:tcPr>
            <w:tcW w:w="1074" w:type="dxa"/>
            <w:tcBorders>
              <w:top w:val="single" w:sz="4" w:space="0" w:color="000000"/>
              <w:left w:val="single" w:sz="12" w:space="0" w:color="000000"/>
              <w:bottom w:val="single" w:sz="2" w:space="0" w:color="000000"/>
              <w:right w:val="single" w:sz="12" w:space="0" w:color="000000"/>
            </w:tcBorders>
          </w:tcPr>
          <w:p w14:paraId="5CD98960" w14:textId="061BFC0A" w:rsidR="00B0429D" w:rsidRDefault="00B0429D" w:rsidP="00CB5793">
            <w:pPr>
              <w:spacing w:after="0" w:line="259" w:lineRule="auto"/>
              <w:ind w:left="0" w:right="42" w:firstLine="0"/>
              <w:jc w:val="center"/>
            </w:pPr>
            <w:r>
              <w:rPr>
                <w:sz w:val="18"/>
              </w:rPr>
              <w:t>N/A</w:t>
            </w:r>
          </w:p>
        </w:tc>
        <w:tc>
          <w:tcPr>
            <w:tcW w:w="843" w:type="dxa"/>
            <w:tcBorders>
              <w:top w:val="single" w:sz="4" w:space="0" w:color="000000"/>
              <w:left w:val="single" w:sz="12" w:space="0" w:color="000000"/>
              <w:bottom w:val="single" w:sz="2" w:space="0" w:color="000000"/>
              <w:right w:val="single" w:sz="12" w:space="0" w:color="000000"/>
            </w:tcBorders>
          </w:tcPr>
          <w:p w14:paraId="207814D3" w14:textId="7AA0C9F8" w:rsidR="00B0429D" w:rsidRDefault="00B0429D" w:rsidP="00CB5793">
            <w:pPr>
              <w:spacing w:after="0" w:line="259" w:lineRule="auto"/>
              <w:ind w:left="0" w:right="45" w:firstLine="0"/>
              <w:jc w:val="center"/>
            </w:pPr>
            <w:r>
              <w:rPr>
                <w:b/>
                <w:sz w:val="18"/>
              </w:rPr>
              <w:t>525.2</w:t>
            </w:r>
          </w:p>
        </w:tc>
        <w:tc>
          <w:tcPr>
            <w:tcW w:w="776" w:type="dxa"/>
            <w:tcBorders>
              <w:top w:val="single" w:sz="4" w:space="0" w:color="000000"/>
              <w:left w:val="single" w:sz="12" w:space="0" w:color="000000"/>
              <w:bottom w:val="single" w:sz="2" w:space="0" w:color="000000"/>
              <w:right w:val="single" w:sz="12" w:space="0" w:color="000000"/>
            </w:tcBorders>
          </w:tcPr>
          <w:p w14:paraId="39C39A2D" w14:textId="05713418" w:rsidR="00B0429D" w:rsidRDefault="00B0429D" w:rsidP="00CB5793">
            <w:pPr>
              <w:spacing w:after="0" w:line="259" w:lineRule="auto"/>
              <w:ind w:left="0" w:right="44" w:firstLine="0"/>
              <w:jc w:val="center"/>
            </w:pPr>
            <w:r>
              <w:rPr>
                <w:sz w:val="18"/>
              </w:rPr>
              <w:t>508.1</w:t>
            </w:r>
          </w:p>
        </w:tc>
        <w:tc>
          <w:tcPr>
            <w:tcW w:w="630" w:type="dxa"/>
            <w:tcBorders>
              <w:top w:val="single" w:sz="4" w:space="0" w:color="000000"/>
              <w:left w:val="single" w:sz="12" w:space="0" w:color="000000"/>
              <w:bottom w:val="single" w:sz="2" w:space="0" w:color="000000"/>
              <w:right w:val="single" w:sz="12" w:space="0" w:color="000000"/>
            </w:tcBorders>
          </w:tcPr>
          <w:p w14:paraId="1FFE7AAE" w14:textId="62E84014" w:rsidR="00B0429D" w:rsidRDefault="00B0429D" w:rsidP="00CB5793">
            <w:pPr>
              <w:spacing w:after="0" w:line="259" w:lineRule="auto"/>
              <w:ind w:left="0" w:right="46" w:firstLine="0"/>
              <w:jc w:val="center"/>
            </w:pPr>
            <w:r>
              <w:rPr>
                <w:sz w:val="18"/>
              </w:rPr>
              <w:t>507</w:t>
            </w:r>
          </w:p>
        </w:tc>
      </w:tr>
      <w:tr w:rsidR="00B0429D" w14:paraId="1C1CEC17" w14:textId="77777777" w:rsidTr="00C23B62">
        <w:trPr>
          <w:trHeight w:val="290"/>
        </w:trPr>
        <w:tc>
          <w:tcPr>
            <w:tcW w:w="3393" w:type="dxa"/>
            <w:tcBorders>
              <w:top w:val="single" w:sz="2" w:space="0" w:color="000000"/>
              <w:left w:val="single" w:sz="12" w:space="0" w:color="000000"/>
              <w:bottom w:val="single" w:sz="12" w:space="0" w:color="000000"/>
              <w:right w:val="single" w:sz="12" w:space="0" w:color="000000"/>
            </w:tcBorders>
          </w:tcPr>
          <w:p w14:paraId="3F94DD32" w14:textId="77777777" w:rsidR="00B0429D" w:rsidRDefault="00B0429D" w:rsidP="00B0429D">
            <w:pPr>
              <w:spacing w:after="0" w:line="259" w:lineRule="auto"/>
              <w:ind w:left="2" w:right="0" w:firstLine="0"/>
            </w:pPr>
            <w:r>
              <w:rPr>
                <w:sz w:val="18"/>
              </w:rPr>
              <w:t xml:space="preserve">Toxaphene </w:t>
            </w:r>
          </w:p>
        </w:tc>
        <w:tc>
          <w:tcPr>
            <w:tcW w:w="1173" w:type="dxa"/>
            <w:tcBorders>
              <w:top w:val="single" w:sz="2" w:space="0" w:color="000000"/>
              <w:left w:val="single" w:sz="12" w:space="0" w:color="000000"/>
              <w:bottom w:val="single" w:sz="12" w:space="0" w:color="000000"/>
              <w:right w:val="single" w:sz="12" w:space="0" w:color="000000"/>
            </w:tcBorders>
          </w:tcPr>
          <w:p w14:paraId="4CF69491" w14:textId="02EF246C" w:rsidR="00B0429D" w:rsidRDefault="00B0429D" w:rsidP="00CB5793">
            <w:pPr>
              <w:spacing w:after="0" w:line="259" w:lineRule="auto"/>
              <w:ind w:left="0" w:right="44" w:firstLine="0"/>
              <w:jc w:val="center"/>
            </w:pPr>
            <w:r>
              <w:rPr>
                <w:sz w:val="18"/>
              </w:rPr>
              <w:t>8001-35-2</w:t>
            </w:r>
          </w:p>
        </w:tc>
        <w:tc>
          <w:tcPr>
            <w:tcW w:w="881" w:type="dxa"/>
            <w:tcBorders>
              <w:top w:val="single" w:sz="2" w:space="0" w:color="000000"/>
              <w:left w:val="single" w:sz="12" w:space="0" w:color="000000"/>
              <w:bottom w:val="single" w:sz="12" w:space="0" w:color="000000"/>
              <w:right w:val="single" w:sz="12" w:space="0" w:color="000000"/>
            </w:tcBorders>
          </w:tcPr>
          <w:p w14:paraId="2AAE55F8" w14:textId="2B54FEF4" w:rsidR="00B0429D" w:rsidRDefault="00B0429D" w:rsidP="00CB5793">
            <w:pPr>
              <w:tabs>
                <w:tab w:val="center" w:pos="354"/>
              </w:tabs>
              <w:spacing w:after="0" w:line="259" w:lineRule="auto"/>
              <w:ind w:left="0" w:right="0" w:firstLine="0"/>
              <w:jc w:val="center"/>
            </w:pPr>
            <w:r>
              <w:rPr>
                <w:sz w:val="18"/>
              </w:rPr>
              <w:t>1</w:t>
            </w:r>
          </w:p>
        </w:tc>
        <w:tc>
          <w:tcPr>
            <w:tcW w:w="879" w:type="dxa"/>
            <w:tcBorders>
              <w:top w:val="single" w:sz="2" w:space="0" w:color="000000"/>
              <w:left w:val="single" w:sz="12" w:space="0" w:color="000000"/>
              <w:bottom w:val="single" w:sz="12" w:space="0" w:color="000000"/>
              <w:right w:val="single" w:sz="12" w:space="0" w:color="000000"/>
            </w:tcBorders>
          </w:tcPr>
          <w:p w14:paraId="7D24D605" w14:textId="76C5A790" w:rsidR="00B0429D" w:rsidRDefault="00B0429D" w:rsidP="00CB5793">
            <w:pPr>
              <w:spacing w:after="0" w:line="259" w:lineRule="auto"/>
              <w:ind w:left="0" w:right="46" w:firstLine="0"/>
              <w:jc w:val="center"/>
            </w:pPr>
            <w:r>
              <w:rPr>
                <w:sz w:val="18"/>
              </w:rPr>
              <w:t>ug/L</w:t>
            </w:r>
          </w:p>
        </w:tc>
        <w:tc>
          <w:tcPr>
            <w:tcW w:w="881" w:type="dxa"/>
            <w:tcBorders>
              <w:top w:val="single" w:sz="2" w:space="0" w:color="000000"/>
              <w:left w:val="single" w:sz="12" w:space="0" w:color="000000"/>
              <w:bottom w:val="single" w:sz="12" w:space="0" w:color="000000"/>
              <w:right w:val="single" w:sz="12" w:space="0" w:color="000000"/>
            </w:tcBorders>
          </w:tcPr>
          <w:p w14:paraId="0933703C" w14:textId="17BA36C0" w:rsidR="00B0429D" w:rsidRDefault="00B0429D" w:rsidP="00CB5793">
            <w:pPr>
              <w:spacing w:after="0" w:line="259" w:lineRule="auto"/>
              <w:ind w:left="0" w:right="47" w:firstLine="0"/>
              <w:jc w:val="center"/>
            </w:pPr>
            <w:r>
              <w:rPr>
                <w:sz w:val="18"/>
              </w:rPr>
              <w:t>N/A</w:t>
            </w:r>
          </w:p>
        </w:tc>
        <w:tc>
          <w:tcPr>
            <w:tcW w:w="1074" w:type="dxa"/>
            <w:tcBorders>
              <w:top w:val="single" w:sz="2" w:space="0" w:color="000000"/>
              <w:left w:val="single" w:sz="12" w:space="0" w:color="000000"/>
              <w:bottom w:val="single" w:sz="12" w:space="0" w:color="000000"/>
              <w:right w:val="single" w:sz="12" w:space="0" w:color="000000"/>
            </w:tcBorders>
          </w:tcPr>
          <w:p w14:paraId="15656F5D" w14:textId="5DD32BE8" w:rsidR="00B0429D" w:rsidRDefault="00B0429D" w:rsidP="00CB5793">
            <w:pPr>
              <w:spacing w:after="0" w:line="259" w:lineRule="auto"/>
              <w:ind w:left="0" w:right="42" w:firstLine="0"/>
              <w:jc w:val="center"/>
            </w:pPr>
            <w:r>
              <w:rPr>
                <w:sz w:val="18"/>
              </w:rPr>
              <w:t>N/A</w:t>
            </w:r>
          </w:p>
        </w:tc>
        <w:tc>
          <w:tcPr>
            <w:tcW w:w="843" w:type="dxa"/>
            <w:tcBorders>
              <w:top w:val="single" w:sz="2" w:space="0" w:color="000000"/>
              <w:left w:val="single" w:sz="12" w:space="0" w:color="000000"/>
              <w:bottom w:val="single" w:sz="12" w:space="0" w:color="000000"/>
              <w:right w:val="single" w:sz="12" w:space="0" w:color="000000"/>
            </w:tcBorders>
          </w:tcPr>
          <w:p w14:paraId="6F6DF3C9" w14:textId="09483A0D" w:rsidR="00B0429D" w:rsidRDefault="00B0429D" w:rsidP="00CB5793">
            <w:pPr>
              <w:spacing w:after="0" w:line="259" w:lineRule="auto"/>
              <w:ind w:left="0" w:right="45" w:firstLine="0"/>
              <w:jc w:val="center"/>
            </w:pPr>
            <w:r>
              <w:rPr>
                <w:b/>
                <w:sz w:val="18"/>
              </w:rPr>
              <w:t>525.2</w:t>
            </w:r>
          </w:p>
        </w:tc>
        <w:tc>
          <w:tcPr>
            <w:tcW w:w="776" w:type="dxa"/>
            <w:tcBorders>
              <w:top w:val="single" w:sz="2" w:space="0" w:color="000000"/>
              <w:left w:val="single" w:sz="12" w:space="0" w:color="000000"/>
              <w:bottom w:val="single" w:sz="12" w:space="0" w:color="000000"/>
              <w:right w:val="single" w:sz="12" w:space="0" w:color="000000"/>
            </w:tcBorders>
          </w:tcPr>
          <w:p w14:paraId="682E5E47" w14:textId="32E7C53D" w:rsidR="00B0429D" w:rsidRDefault="00B0429D" w:rsidP="00CB5793">
            <w:pPr>
              <w:spacing w:after="0" w:line="259" w:lineRule="auto"/>
              <w:ind w:left="0" w:right="44" w:firstLine="0"/>
              <w:jc w:val="center"/>
            </w:pPr>
            <w:r>
              <w:rPr>
                <w:sz w:val="18"/>
              </w:rPr>
              <w:t>508.1</w:t>
            </w:r>
          </w:p>
        </w:tc>
        <w:tc>
          <w:tcPr>
            <w:tcW w:w="630" w:type="dxa"/>
            <w:tcBorders>
              <w:top w:val="single" w:sz="2" w:space="0" w:color="000000"/>
              <w:left w:val="single" w:sz="12" w:space="0" w:color="000000"/>
              <w:bottom w:val="single" w:sz="12" w:space="0" w:color="000000"/>
              <w:right w:val="single" w:sz="12" w:space="0" w:color="000000"/>
            </w:tcBorders>
          </w:tcPr>
          <w:p w14:paraId="55E3B829" w14:textId="008677B3" w:rsidR="00B0429D" w:rsidRDefault="00B0429D" w:rsidP="00CB5793">
            <w:pPr>
              <w:spacing w:after="0" w:line="259" w:lineRule="auto"/>
              <w:ind w:left="0" w:right="46" w:firstLine="0"/>
              <w:jc w:val="center"/>
            </w:pPr>
            <w:r>
              <w:rPr>
                <w:sz w:val="18"/>
              </w:rPr>
              <w:t>505</w:t>
            </w:r>
          </w:p>
        </w:tc>
      </w:tr>
    </w:tbl>
    <w:p w14:paraId="167971F8" w14:textId="58E43F10" w:rsidR="00B56D50" w:rsidRDefault="001C3C42" w:rsidP="007E0C84">
      <w:pPr>
        <w:spacing w:after="0" w:line="259" w:lineRule="auto"/>
        <w:ind w:right="0"/>
      </w:pPr>
      <w:r w:rsidRPr="007E0C84">
        <w:rPr>
          <w:rFonts w:ascii="Arial" w:eastAsia="Arial" w:hAnsi="Arial" w:cs="Arial"/>
        </w:rPr>
        <w:tab/>
      </w:r>
    </w:p>
    <w:p w14:paraId="543B6925" w14:textId="77777777" w:rsidR="003C23E1" w:rsidRDefault="003C23E1" w:rsidP="00862FF1"/>
    <w:p w14:paraId="1A203E6E" w14:textId="77777777" w:rsidR="003C23E1" w:rsidRDefault="003C23E1" w:rsidP="00862FF1"/>
    <w:p w14:paraId="666BA003" w14:textId="77777777" w:rsidR="003C23E1" w:rsidRDefault="003C23E1" w:rsidP="00862FF1"/>
    <w:p w14:paraId="20DD37E3" w14:textId="77777777" w:rsidR="003C23E1" w:rsidRDefault="003C23E1" w:rsidP="00862FF1"/>
    <w:p w14:paraId="5EB1F218" w14:textId="77777777" w:rsidR="00F83A94" w:rsidRDefault="00F83A94" w:rsidP="00862FF1"/>
    <w:p w14:paraId="0A967916" w14:textId="77777777" w:rsidR="00F83A94" w:rsidRPr="003C23E1" w:rsidRDefault="00F83A94" w:rsidP="00E25B5C"/>
    <w:tbl>
      <w:tblPr>
        <w:tblStyle w:val="TableGrid1"/>
        <w:tblW w:w="10530" w:type="dxa"/>
        <w:tblInd w:w="-375" w:type="dxa"/>
        <w:tblCellMar>
          <w:top w:w="22" w:type="dxa"/>
          <w:left w:w="72" w:type="dxa"/>
          <w:right w:w="27" w:type="dxa"/>
        </w:tblCellMar>
        <w:tblLook w:val="04A0" w:firstRow="1" w:lastRow="0" w:firstColumn="1" w:lastColumn="0" w:noHBand="0" w:noVBand="1"/>
      </w:tblPr>
      <w:tblGrid>
        <w:gridCol w:w="3240"/>
        <w:gridCol w:w="1326"/>
        <w:gridCol w:w="744"/>
        <w:gridCol w:w="900"/>
        <w:gridCol w:w="1080"/>
        <w:gridCol w:w="991"/>
        <w:gridCol w:w="843"/>
        <w:gridCol w:w="776"/>
        <w:gridCol w:w="630"/>
      </w:tblGrid>
      <w:tr w:rsidR="00B56D50" w14:paraId="7F8FB7D0" w14:textId="77777777" w:rsidTr="00C23B62">
        <w:trPr>
          <w:trHeight w:val="288"/>
          <w:tblHeader/>
        </w:trPr>
        <w:tc>
          <w:tcPr>
            <w:tcW w:w="10530" w:type="dxa"/>
            <w:gridSpan w:val="9"/>
            <w:tcBorders>
              <w:top w:val="single" w:sz="12" w:space="0" w:color="000000"/>
              <w:left w:val="single" w:sz="12" w:space="0" w:color="000000"/>
              <w:bottom w:val="single" w:sz="12" w:space="0" w:color="000000"/>
              <w:right w:val="single" w:sz="12" w:space="0" w:color="000000"/>
            </w:tcBorders>
            <w:vAlign w:val="center"/>
          </w:tcPr>
          <w:p w14:paraId="4C15E8C5" w14:textId="1444E188" w:rsidR="00EB0523" w:rsidRDefault="001C3C42" w:rsidP="00AC7558">
            <w:pPr>
              <w:spacing w:after="0" w:line="259" w:lineRule="auto"/>
              <w:ind w:left="36" w:right="0" w:firstLine="0"/>
            </w:pPr>
            <w:r>
              <w:rPr>
                <w:b/>
                <w:sz w:val="18"/>
              </w:rPr>
              <w:lastRenderedPageBreak/>
              <w:t>Drinking Water SAS Group C</w:t>
            </w:r>
            <w:proofErr w:type="gramStart"/>
            <w:r>
              <w:rPr>
                <w:b/>
                <w:sz w:val="18"/>
              </w:rPr>
              <w:t>:</w:t>
            </w:r>
            <w:r>
              <w:rPr>
                <w:sz w:val="18"/>
              </w:rPr>
              <w:t xml:space="preserve">  </w:t>
            </w:r>
            <w:r>
              <w:rPr>
                <w:b/>
                <w:sz w:val="18"/>
              </w:rPr>
              <w:t>Method</w:t>
            </w:r>
            <w:proofErr w:type="gramEnd"/>
            <w:r>
              <w:rPr>
                <w:b/>
                <w:sz w:val="18"/>
              </w:rPr>
              <w:t xml:space="preserve"> 525.2 Nitrogen/Phosphorus Pesticides List</w:t>
            </w:r>
          </w:p>
        </w:tc>
      </w:tr>
      <w:tr w:rsidR="00B56D50" w14:paraId="03481A9A" w14:textId="77777777" w:rsidTr="00C23B62">
        <w:trPr>
          <w:trHeight w:val="271"/>
          <w:tblHeader/>
        </w:trPr>
        <w:tc>
          <w:tcPr>
            <w:tcW w:w="3240" w:type="dxa"/>
            <w:vMerge w:val="restart"/>
            <w:tcBorders>
              <w:top w:val="single" w:sz="12" w:space="0" w:color="000000"/>
              <w:left w:val="single" w:sz="12" w:space="0" w:color="000000"/>
              <w:bottom w:val="single" w:sz="12" w:space="0" w:color="000000"/>
              <w:right w:val="single" w:sz="12" w:space="0" w:color="000000"/>
            </w:tcBorders>
            <w:vAlign w:val="center"/>
          </w:tcPr>
          <w:p w14:paraId="478B9621" w14:textId="5DE7A31C" w:rsidR="00B56D50" w:rsidRDefault="001C3C42" w:rsidP="00AC7558">
            <w:pPr>
              <w:spacing w:after="0" w:line="259" w:lineRule="auto"/>
              <w:ind w:left="0" w:right="49" w:firstLine="0"/>
              <w:jc w:val="center"/>
            </w:pPr>
            <w:r>
              <w:rPr>
                <w:b/>
                <w:sz w:val="18"/>
              </w:rPr>
              <w:t>Analyte</w:t>
            </w:r>
          </w:p>
        </w:tc>
        <w:tc>
          <w:tcPr>
            <w:tcW w:w="1326" w:type="dxa"/>
            <w:vMerge w:val="restart"/>
            <w:tcBorders>
              <w:top w:val="single" w:sz="12" w:space="0" w:color="000000"/>
              <w:left w:val="single" w:sz="12" w:space="0" w:color="000000"/>
              <w:bottom w:val="single" w:sz="12" w:space="0" w:color="000000"/>
              <w:right w:val="single" w:sz="12" w:space="0" w:color="000000"/>
            </w:tcBorders>
            <w:vAlign w:val="center"/>
          </w:tcPr>
          <w:p w14:paraId="510B5BA9" w14:textId="1A694004" w:rsidR="00B56D50" w:rsidRDefault="001C3C42" w:rsidP="00AC7558">
            <w:pPr>
              <w:spacing w:after="0" w:line="259" w:lineRule="auto"/>
              <w:ind w:left="0" w:right="0" w:firstLine="0"/>
              <w:jc w:val="center"/>
            </w:pPr>
            <w:r>
              <w:rPr>
                <w:b/>
                <w:sz w:val="18"/>
              </w:rPr>
              <w:t>CAS Number</w:t>
            </w:r>
          </w:p>
        </w:tc>
        <w:tc>
          <w:tcPr>
            <w:tcW w:w="1644" w:type="dxa"/>
            <w:gridSpan w:val="2"/>
            <w:tcBorders>
              <w:top w:val="single" w:sz="12" w:space="0" w:color="000000"/>
              <w:left w:val="single" w:sz="12" w:space="0" w:color="000000"/>
              <w:bottom w:val="single" w:sz="12" w:space="0" w:color="000000"/>
              <w:right w:val="single" w:sz="12" w:space="0" w:color="000000"/>
            </w:tcBorders>
            <w:vAlign w:val="center"/>
          </w:tcPr>
          <w:p w14:paraId="3BC83CE9" w14:textId="52C9A0EF" w:rsidR="00B56D50" w:rsidRDefault="001C3C42" w:rsidP="00AC7558">
            <w:pPr>
              <w:spacing w:after="0" w:line="259" w:lineRule="auto"/>
              <w:ind w:left="0" w:right="47" w:firstLine="0"/>
              <w:jc w:val="center"/>
            </w:pPr>
            <w:r>
              <w:rPr>
                <w:b/>
                <w:sz w:val="18"/>
              </w:rPr>
              <w:t>Aqueous</w:t>
            </w:r>
          </w:p>
        </w:tc>
        <w:tc>
          <w:tcPr>
            <w:tcW w:w="2071" w:type="dxa"/>
            <w:gridSpan w:val="2"/>
            <w:tcBorders>
              <w:top w:val="single" w:sz="12" w:space="0" w:color="000000"/>
              <w:left w:val="single" w:sz="12" w:space="0" w:color="000000"/>
              <w:bottom w:val="single" w:sz="12" w:space="0" w:color="000000"/>
              <w:right w:val="single" w:sz="12" w:space="0" w:color="000000"/>
            </w:tcBorders>
            <w:vAlign w:val="center"/>
          </w:tcPr>
          <w:p w14:paraId="0BD57A4F" w14:textId="5FF4274A" w:rsidR="00B56D50" w:rsidRDefault="00B71D5E" w:rsidP="00AC7558">
            <w:pPr>
              <w:spacing w:after="0" w:line="259" w:lineRule="auto"/>
              <w:ind w:left="0" w:right="0" w:firstLine="0"/>
              <w:jc w:val="center"/>
            </w:pPr>
            <w:r>
              <w:rPr>
                <w:b/>
                <w:sz w:val="18"/>
              </w:rPr>
              <w:t>Soil/Sediment</w:t>
            </w:r>
          </w:p>
        </w:tc>
        <w:tc>
          <w:tcPr>
            <w:tcW w:w="2249" w:type="dxa"/>
            <w:gridSpan w:val="3"/>
            <w:vMerge w:val="restart"/>
            <w:tcBorders>
              <w:top w:val="single" w:sz="12" w:space="0" w:color="000000"/>
              <w:left w:val="single" w:sz="12" w:space="0" w:color="000000"/>
              <w:bottom w:val="single" w:sz="12" w:space="0" w:color="000000"/>
              <w:right w:val="single" w:sz="12" w:space="0" w:color="000000"/>
            </w:tcBorders>
            <w:vAlign w:val="center"/>
          </w:tcPr>
          <w:p w14:paraId="17C1DD00" w14:textId="569E95C0" w:rsidR="00B56D50" w:rsidRDefault="001C3C42" w:rsidP="00AC7558">
            <w:pPr>
              <w:spacing w:after="0" w:line="259" w:lineRule="auto"/>
              <w:ind w:left="0" w:right="50" w:firstLine="0"/>
              <w:jc w:val="center"/>
            </w:pPr>
            <w:r>
              <w:rPr>
                <w:b/>
                <w:sz w:val="18"/>
              </w:rPr>
              <w:t>Acceptable Methods</w:t>
            </w:r>
            <w:r w:rsidR="00EB0523">
              <w:rPr>
                <w:b/>
                <w:sz w:val="18"/>
              </w:rPr>
              <w:t xml:space="preserve"> </w:t>
            </w:r>
            <w:r w:rsidR="00EB0523" w:rsidRPr="00EB0523">
              <w:rPr>
                <w:b/>
                <w:sz w:val="18"/>
                <w:vertAlign w:val="superscript"/>
              </w:rPr>
              <w:t>37</w:t>
            </w:r>
          </w:p>
        </w:tc>
      </w:tr>
      <w:tr w:rsidR="00C84A5D" w14:paraId="0980F70D" w14:textId="77777777" w:rsidTr="00C23B62">
        <w:trPr>
          <w:trHeight w:val="235"/>
          <w:tblHeader/>
        </w:trPr>
        <w:tc>
          <w:tcPr>
            <w:tcW w:w="3240" w:type="dxa"/>
            <w:vMerge/>
            <w:tcBorders>
              <w:top w:val="nil"/>
              <w:left w:val="single" w:sz="12" w:space="0" w:color="000000"/>
              <w:bottom w:val="single" w:sz="12" w:space="0" w:color="000000"/>
              <w:right w:val="single" w:sz="12" w:space="0" w:color="000000"/>
            </w:tcBorders>
            <w:vAlign w:val="center"/>
          </w:tcPr>
          <w:p w14:paraId="00313202" w14:textId="77777777" w:rsidR="00B56D50" w:rsidRDefault="00B56D50" w:rsidP="00AC7558">
            <w:pPr>
              <w:spacing w:after="160" w:line="259" w:lineRule="auto"/>
              <w:ind w:left="0" w:right="0" w:firstLine="0"/>
              <w:jc w:val="center"/>
            </w:pPr>
          </w:p>
        </w:tc>
        <w:tc>
          <w:tcPr>
            <w:tcW w:w="1326" w:type="dxa"/>
            <w:vMerge/>
            <w:tcBorders>
              <w:top w:val="nil"/>
              <w:left w:val="single" w:sz="12" w:space="0" w:color="000000"/>
              <w:bottom w:val="single" w:sz="12" w:space="0" w:color="000000"/>
              <w:right w:val="single" w:sz="12" w:space="0" w:color="000000"/>
            </w:tcBorders>
            <w:vAlign w:val="center"/>
          </w:tcPr>
          <w:p w14:paraId="7A5822B5" w14:textId="77777777" w:rsidR="00B56D50" w:rsidRDefault="00B56D50" w:rsidP="00AC7558">
            <w:pPr>
              <w:spacing w:after="160" w:line="259" w:lineRule="auto"/>
              <w:ind w:left="0" w:right="0" w:firstLine="0"/>
              <w:jc w:val="center"/>
            </w:pPr>
          </w:p>
        </w:tc>
        <w:tc>
          <w:tcPr>
            <w:tcW w:w="744" w:type="dxa"/>
            <w:tcBorders>
              <w:top w:val="single" w:sz="12" w:space="0" w:color="000000"/>
              <w:left w:val="single" w:sz="12" w:space="0" w:color="000000"/>
              <w:bottom w:val="single" w:sz="12" w:space="0" w:color="000000"/>
              <w:right w:val="single" w:sz="12" w:space="0" w:color="000000"/>
            </w:tcBorders>
            <w:vAlign w:val="center"/>
          </w:tcPr>
          <w:p w14:paraId="2238827F" w14:textId="2486C8B1" w:rsidR="00B56D50" w:rsidRDefault="001C3C42" w:rsidP="00AC7558">
            <w:pPr>
              <w:spacing w:after="0" w:line="259" w:lineRule="auto"/>
              <w:ind w:left="0" w:right="50" w:firstLine="0"/>
              <w:jc w:val="center"/>
            </w:pPr>
            <w:r>
              <w:rPr>
                <w:b/>
                <w:sz w:val="18"/>
              </w:rPr>
              <w:t>RL</w:t>
            </w:r>
          </w:p>
        </w:tc>
        <w:tc>
          <w:tcPr>
            <w:tcW w:w="900" w:type="dxa"/>
            <w:tcBorders>
              <w:top w:val="single" w:sz="12" w:space="0" w:color="000000"/>
              <w:left w:val="single" w:sz="12" w:space="0" w:color="000000"/>
              <w:bottom w:val="single" w:sz="12" w:space="0" w:color="000000"/>
              <w:right w:val="single" w:sz="12" w:space="0" w:color="000000"/>
            </w:tcBorders>
            <w:vAlign w:val="center"/>
          </w:tcPr>
          <w:p w14:paraId="6CF2F875" w14:textId="2AF89264" w:rsidR="00B56D50" w:rsidRDefault="001C3C42" w:rsidP="00AC7558">
            <w:pPr>
              <w:spacing w:after="0" w:line="259" w:lineRule="auto"/>
              <w:ind w:left="0" w:right="55" w:firstLine="0"/>
              <w:jc w:val="center"/>
            </w:pPr>
            <w:r>
              <w:rPr>
                <w:b/>
                <w:sz w:val="18"/>
              </w:rPr>
              <w:t>units</w:t>
            </w:r>
          </w:p>
        </w:tc>
        <w:tc>
          <w:tcPr>
            <w:tcW w:w="1080" w:type="dxa"/>
            <w:tcBorders>
              <w:top w:val="single" w:sz="12" w:space="0" w:color="000000"/>
              <w:left w:val="single" w:sz="12" w:space="0" w:color="000000"/>
              <w:bottom w:val="single" w:sz="12" w:space="0" w:color="000000"/>
              <w:right w:val="single" w:sz="12" w:space="0" w:color="000000"/>
            </w:tcBorders>
            <w:vAlign w:val="center"/>
          </w:tcPr>
          <w:p w14:paraId="403294CB" w14:textId="1D14BE9A" w:rsidR="00B56D50" w:rsidRDefault="001C3C42" w:rsidP="00AC7558">
            <w:pPr>
              <w:spacing w:after="0" w:line="259" w:lineRule="auto"/>
              <w:ind w:left="0" w:right="50" w:firstLine="0"/>
              <w:jc w:val="center"/>
            </w:pPr>
            <w:r>
              <w:rPr>
                <w:b/>
                <w:sz w:val="18"/>
              </w:rPr>
              <w:t>RL</w:t>
            </w:r>
          </w:p>
        </w:tc>
        <w:tc>
          <w:tcPr>
            <w:tcW w:w="991" w:type="dxa"/>
            <w:tcBorders>
              <w:top w:val="single" w:sz="12" w:space="0" w:color="000000"/>
              <w:left w:val="single" w:sz="12" w:space="0" w:color="000000"/>
              <w:bottom w:val="single" w:sz="12" w:space="0" w:color="000000"/>
              <w:right w:val="single" w:sz="12" w:space="0" w:color="000000"/>
            </w:tcBorders>
            <w:vAlign w:val="center"/>
          </w:tcPr>
          <w:p w14:paraId="6F8305FC" w14:textId="3FE0DD3B" w:rsidR="00B56D50" w:rsidRDefault="001C3C42" w:rsidP="00AC7558">
            <w:pPr>
              <w:spacing w:after="0" w:line="259" w:lineRule="auto"/>
              <w:ind w:left="0" w:right="52" w:firstLine="0"/>
              <w:jc w:val="center"/>
            </w:pPr>
            <w:r>
              <w:rPr>
                <w:b/>
                <w:sz w:val="18"/>
              </w:rPr>
              <w:t>units</w:t>
            </w:r>
          </w:p>
        </w:tc>
        <w:tc>
          <w:tcPr>
            <w:tcW w:w="2249" w:type="dxa"/>
            <w:gridSpan w:val="3"/>
            <w:vMerge/>
            <w:tcBorders>
              <w:top w:val="nil"/>
              <w:left w:val="single" w:sz="12" w:space="0" w:color="000000"/>
              <w:bottom w:val="single" w:sz="12" w:space="0" w:color="000000"/>
              <w:right w:val="single" w:sz="12" w:space="0" w:color="000000"/>
            </w:tcBorders>
            <w:vAlign w:val="center"/>
          </w:tcPr>
          <w:p w14:paraId="10899760" w14:textId="77777777" w:rsidR="00B56D50" w:rsidRDefault="00B56D50" w:rsidP="00AC7558">
            <w:pPr>
              <w:spacing w:after="160" w:line="259" w:lineRule="auto"/>
              <w:ind w:left="0" w:right="0" w:firstLine="0"/>
              <w:jc w:val="center"/>
            </w:pPr>
          </w:p>
        </w:tc>
      </w:tr>
      <w:tr w:rsidR="00B0429D" w14:paraId="6E4D2337" w14:textId="77777777" w:rsidTr="00C23B62">
        <w:trPr>
          <w:trHeight w:val="262"/>
        </w:trPr>
        <w:tc>
          <w:tcPr>
            <w:tcW w:w="3240" w:type="dxa"/>
            <w:tcBorders>
              <w:top w:val="single" w:sz="12" w:space="0" w:color="000000"/>
              <w:left w:val="single" w:sz="12" w:space="0" w:color="000000"/>
              <w:bottom w:val="single" w:sz="4" w:space="0" w:color="000000"/>
              <w:right w:val="single" w:sz="12" w:space="0" w:color="000000"/>
            </w:tcBorders>
          </w:tcPr>
          <w:p w14:paraId="3392518A" w14:textId="77777777" w:rsidR="00B0429D" w:rsidRDefault="00B0429D" w:rsidP="00B0429D">
            <w:pPr>
              <w:spacing w:after="0" w:line="259" w:lineRule="auto"/>
              <w:ind w:left="2" w:right="0" w:firstLine="0"/>
            </w:pPr>
            <w:proofErr w:type="spellStart"/>
            <w:r>
              <w:rPr>
                <w:sz w:val="18"/>
              </w:rPr>
              <w:t>Ametryn</w:t>
            </w:r>
            <w:proofErr w:type="spellEnd"/>
            <w:r>
              <w:rPr>
                <w:sz w:val="18"/>
              </w:rPr>
              <w:t xml:space="preserve"> </w:t>
            </w:r>
          </w:p>
        </w:tc>
        <w:tc>
          <w:tcPr>
            <w:tcW w:w="1326" w:type="dxa"/>
            <w:tcBorders>
              <w:top w:val="single" w:sz="12" w:space="0" w:color="000000"/>
              <w:left w:val="single" w:sz="12" w:space="0" w:color="000000"/>
              <w:bottom w:val="single" w:sz="4" w:space="0" w:color="000000"/>
              <w:right w:val="single" w:sz="12" w:space="0" w:color="000000"/>
            </w:tcBorders>
          </w:tcPr>
          <w:p w14:paraId="0F4EEE3B" w14:textId="768FECF0" w:rsidR="00B0429D" w:rsidRDefault="00B0429D" w:rsidP="00B17831">
            <w:pPr>
              <w:spacing w:after="0" w:line="259" w:lineRule="auto"/>
              <w:ind w:left="0" w:right="44" w:firstLine="0"/>
              <w:jc w:val="center"/>
            </w:pPr>
            <w:r>
              <w:rPr>
                <w:sz w:val="18"/>
              </w:rPr>
              <w:t>834-12-8</w:t>
            </w:r>
          </w:p>
        </w:tc>
        <w:tc>
          <w:tcPr>
            <w:tcW w:w="744" w:type="dxa"/>
            <w:tcBorders>
              <w:top w:val="single" w:sz="12" w:space="0" w:color="000000"/>
              <w:left w:val="single" w:sz="12" w:space="0" w:color="000000"/>
              <w:bottom w:val="single" w:sz="4" w:space="0" w:color="000000"/>
              <w:right w:val="single" w:sz="12" w:space="0" w:color="000000"/>
            </w:tcBorders>
          </w:tcPr>
          <w:p w14:paraId="621611C4" w14:textId="0A81A754" w:rsidR="00B0429D" w:rsidRDefault="00B0429D" w:rsidP="00B17831">
            <w:pPr>
              <w:tabs>
                <w:tab w:val="center" w:pos="354"/>
              </w:tabs>
              <w:spacing w:after="0" w:line="259" w:lineRule="auto"/>
              <w:ind w:left="0" w:right="0" w:firstLine="0"/>
              <w:jc w:val="center"/>
            </w:pPr>
            <w:r>
              <w:rPr>
                <w:sz w:val="18"/>
              </w:rPr>
              <w:t>5</w:t>
            </w:r>
          </w:p>
        </w:tc>
        <w:tc>
          <w:tcPr>
            <w:tcW w:w="900" w:type="dxa"/>
            <w:tcBorders>
              <w:top w:val="single" w:sz="12" w:space="0" w:color="000000"/>
              <w:left w:val="single" w:sz="12" w:space="0" w:color="000000"/>
              <w:bottom w:val="single" w:sz="4" w:space="0" w:color="000000"/>
              <w:right w:val="single" w:sz="12" w:space="0" w:color="000000"/>
            </w:tcBorders>
          </w:tcPr>
          <w:p w14:paraId="03B47F39" w14:textId="2AFD09F9" w:rsidR="00B0429D" w:rsidRDefault="00B0429D" w:rsidP="00B2651C">
            <w:pPr>
              <w:spacing w:after="0" w:line="259" w:lineRule="auto"/>
              <w:ind w:left="0" w:right="46" w:firstLine="0"/>
              <w:jc w:val="center"/>
            </w:pPr>
            <w:r>
              <w:rPr>
                <w:sz w:val="18"/>
              </w:rPr>
              <w:t>ug/L</w:t>
            </w:r>
          </w:p>
        </w:tc>
        <w:tc>
          <w:tcPr>
            <w:tcW w:w="1080" w:type="dxa"/>
            <w:tcBorders>
              <w:top w:val="single" w:sz="12" w:space="0" w:color="000000"/>
              <w:left w:val="single" w:sz="12" w:space="0" w:color="000000"/>
              <w:bottom w:val="single" w:sz="4" w:space="0" w:color="000000"/>
              <w:right w:val="single" w:sz="12" w:space="0" w:color="000000"/>
            </w:tcBorders>
          </w:tcPr>
          <w:p w14:paraId="3E815A37" w14:textId="487461BC" w:rsidR="00B0429D" w:rsidRDefault="00B0429D" w:rsidP="00B17831">
            <w:pPr>
              <w:spacing w:after="0" w:line="259" w:lineRule="auto"/>
              <w:ind w:left="0" w:right="47" w:firstLine="0"/>
              <w:jc w:val="center"/>
            </w:pPr>
            <w:r>
              <w:rPr>
                <w:sz w:val="18"/>
              </w:rPr>
              <w:t>N/A</w:t>
            </w:r>
          </w:p>
        </w:tc>
        <w:tc>
          <w:tcPr>
            <w:tcW w:w="991" w:type="dxa"/>
            <w:tcBorders>
              <w:top w:val="single" w:sz="12" w:space="0" w:color="000000"/>
              <w:left w:val="single" w:sz="12" w:space="0" w:color="000000"/>
              <w:bottom w:val="single" w:sz="4" w:space="0" w:color="000000"/>
              <w:right w:val="single" w:sz="12" w:space="0" w:color="000000"/>
            </w:tcBorders>
          </w:tcPr>
          <w:p w14:paraId="036EC5C7" w14:textId="33D63FB1" w:rsidR="00B0429D" w:rsidRDefault="00B0429D" w:rsidP="00B17831">
            <w:pPr>
              <w:spacing w:after="0" w:line="259" w:lineRule="auto"/>
              <w:ind w:left="0" w:right="42" w:firstLine="0"/>
              <w:jc w:val="center"/>
            </w:pPr>
            <w:r>
              <w:rPr>
                <w:sz w:val="18"/>
              </w:rPr>
              <w:t>N/A</w:t>
            </w:r>
          </w:p>
        </w:tc>
        <w:tc>
          <w:tcPr>
            <w:tcW w:w="843" w:type="dxa"/>
            <w:tcBorders>
              <w:top w:val="single" w:sz="12" w:space="0" w:color="000000"/>
              <w:left w:val="single" w:sz="12" w:space="0" w:color="000000"/>
              <w:bottom w:val="single" w:sz="4" w:space="0" w:color="000000"/>
              <w:right w:val="single" w:sz="12" w:space="0" w:color="000000"/>
            </w:tcBorders>
          </w:tcPr>
          <w:p w14:paraId="4BA615F2" w14:textId="3D562D56" w:rsidR="00B0429D" w:rsidRDefault="00B0429D" w:rsidP="00B17831">
            <w:pPr>
              <w:spacing w:after="0" w:line="259" w:lineRule="auto"/>
              <w:ind w:left="0" w:right="45" w:firstLine="0"/>
              <w:jc w:val="center"/>
            </w:pPr>
            <w:r>
              <w:rPr>
                <w:b/>
                <w:sz w:val="18"/>
              </w:rPr>
              <w:t>525.2</w:t>
            </w:r>
          </w:p>
        </w:tc>
        <w:tc>
          <w:tcPr>
            <w:tcW w:w="776" w:type="dxa"/>
            <w:tcBorders>
              <w:top w:val="single" w:sz="12" w:space="0" w:color="000000"/>
              <w:left w:val="single" w:sz="12" w:space="0" w:color="000000"/>
              <w:bottom w:val="single" w:sz="4" w:space="0" w:color="000000"/>
              <w:right w:val="single" w:sz="12" w:space="0" w:color="000000"/>
            </w:tcBorders>
          </w:tcPr>
          <w:p w14:paraId="3DA4B6A9" w14:textId="2E161363" w:rsidR="00B0429D" w:rsidRDefault="00B0429D" w:rsidP="00B17831">
            <w:pPr>
              <w:spacing w:after="0" w:line="259" w:lineRule="auto"/>
              <w:ind w:left="0" w:right="46" w:firstLine="0"/>
              <w:jc w:val="center"/>
            </w:pPr>
            <w:r>
              <w:rPr>
                <w:sz w:val="18"/>
              </w:rPr>
              <w:t>507</w:t>
            </w:r>
          </w:p>
        </w:tc>
        <w:tc>
          <w:tcPr>
            <w:tcW w:w="630" w:type="dxa"/>
            <w:tcBorders>
              <w:top w:val="single" w:sz="12" w:space="0" w:color="000000"/>
              <w:left w:val="single" w:sz="12" w:space="0" w:color="000000"/>
              <w:bottom w:val="single" w:sz="4" w:space="0" w:color="000000"/>
              <w:right w:val="single" w:sz="12" w:space="0" w:color="000000"/>
            </w:tcBorders>
          </w:tcPr>
          <w:p w14:paraId="730051C0" w14:textId="1FF279F5" w:rsidR="00B0429D" w:rsidRDefault="00B0429D" w:rsidP="00B17831">
            <w:pPr>
              <w:spacing w:after="0" w:line="259" w:lineRule="auto"/>
              <w:ind w:left="0" w:right="0" w:firstLine="0"/>
              <w:jc w:val="center"/>
            </w:pPr>
          </w:p>
        </w:tc>
      </w:tr>
      <w:tr w:rsidR="00B0429D" w14:paraId="4E386A1B" w14:textId="77777777" w:rsidTr="00C23B62">
        <w:trPr>
          <w:trHeight w:val="250"/>
        </w:trPr>
        <w:tc>
          <w:tcPr>
            <w:tcW w:w="3240" w:type="dxa"/>
            <w:tcBorders>
              <w:top w:val="single" w:sz="4" w:space="0" w:color="000000"/>
              <w:left w:val="single" w:sz="12" w:space="0" w:color="000000"/>
              <w:bottom w:val="single" w:sz="4" w:space="0" w:color="000000"/>
              <w:right w:val="single" w:sz="12" w:space="0" w:color="000000"/>
            </w:tcBorders>
          </w:tcPr>
          <w:p w14:paraId="204CE78C" w14:textId="77777777" w:rsidR="00B0429D" w:rsidRDefault="00B0429D" w:rsidP="00B0429D">
            <w:pPr>
              <w:spacing w:after="0" w:line="259" w:lineRule="auto"/>
              <w:ind w:left="2" w:right="0" w:firstLine="0"/>
            </w:pPr>
            <w:proofErr w:type="spellStart"/>
            <w:r>
              <w:rPr>
                <w:sz w:val="18"/>
              </w:rPr>
              <w:t>Atroton</w:t>
            </w:r>
            <w:proofErr w:type="spellEnd"/>
            <w:r>
              <w:rPr>
                <w:sz w:val="18"/>
              </w:rPr>
              <w:t xml:space="preserve"> </w:t>
            </w:r>
          </w:p>
        </w:tc>
        <w:tc>
          <w:tcPr>
            <w:tcW w:w="1326" w:type="dxa"/>
            <w:tcBorders>
              <w:top w:val="single" w:sz="4" w:space="0" w:color="000000"/>
              <w:left w:val="single" w:sz="12" w:space="0" w:color="000000"/>
              <w:bottom w:val="single" w:sz="4" w:space="0" w:color="000000"/>
              <w:right w:val="single" w:sz="12" w:space="0" w:color="000000"/>
            </w:tcBorders>
          </w:tcPr>
          <w:p w14:paraId="415BB55C" w14:textId="343D804D" w:rsidR="00B0429D" w:rsidRDefault="00B0429D" w:rsidP="00B17831">
            <w:pPr>
              <w:spacing w:after="0" w:line="259" w:lineRule="auto"/>
              <w:ind w:left="0" w:right="44" w:firstLine="0"/>
              <w:jc w:val="center"/>
            </w:pPr>
            <w:r>
              <w:rPr>
                <w:sz w:val="18"/>
              </w:rPr>
              <w:t>1610-17-9</w:t>
            </w:r>
          </w:p>
        </w:tc>
        <w:tc>
          <w:tcPr>
            <w:tcW w:w="744" w:type="dxa"/>
            <w:tcBorders>
              <w:top w:val="single" w:sz="4" w:space="0" w:color="000000"/>
              <w:left w:val="single" w:sz="12" w:space="0" w:color="000000"/>
              <w:bottom w:val="single" w:sz="4" w:space="0" w:color="000000"/>
              <w:right w:val="single" w:sz="12" w:space="0" w:color="000000"/>
            </w:tcBorders>
          </w:tcPr>
          <w:p w14:paraId="7649598B" w14:textId="366FCAB6" w:rsidR="00B0429D" w:rsidRDefault="00B0429D" w:rsidP="00B17831">
            <w:pPr>
              <w:tabs>
                <w:tab w:val="center" w:pos="354"/>
              </w:tabs>
              <w:spacing w:after="0" w:line="259" w:lineRule="auto"/>
              <w:ind w:left="0" w:right="0" w:firstLine="0"/>
              <w:jc w:val="center"/>
            </w:pPr>
            <w:r>
              <w:rPr>
                <w:sz w:val="18"/>
              </w:rPr>
              <w:t>5</w:t>
            </w:r>
          </w:p>
        </w:tc>
        <w:tc>
          <w:tcPr>
            <w:tcW w:w="900" w:type="dxa"/>
            <w:tcBorders>
              <w:top w:val="single" w:sz="4" w:space="0" w:color="000000"/>
              <w:left w:val="single" w:sz="12" w:space="0" w:color="000000"/>
              <w:bottom w:val="single" w:sz="4" w:space="0" w:color="000000"/>
              <w:right w:val="single" w:sz="12" w:space="0" w:color="000000"/>
            </w:tcBorders>
          </w:tcPr>
          <w:p w14:paraId="76FD2281" w14:textId="79C07F8E" w:rsidR="00B0429D" w:rsidRDefault="00B0429D" w:rsidP="00B2651C">
            <w:pPr>
              <w:spacing w:after="0" w:line="259" w:lineRule="auto"/>
              <w:ind w:left="0" w:right="46" w:firstLine="0"/>
              <w:jc w:val="center"/>
            </w:pPr>
            <w:r>
              <w:rPr>
                <w:sz w:val="18"/>
              </w:rPr>
              <w:t>ug/L</w:t>
            </w:r>
          </w:p>
        </w:tc>
        <w:tc>
          <w:tcPr>
            <w:tcW w:w="1080" w:type="dxa"/>
            <w:tcBorders>
              <w:top w:val="single" w:sz="4" w:space="0" w:color="000000"/>
              <w:left w:val="single" w:sz="12" w:space="0" w:color="000000"/>
              <w:bottom w:val="single" w:sz="4" w:space="0" w:color="000000"/>
              <w:right w:val="single" w:sz="12" w:space="0" w:color="000000"/>
            </w:tcBorders>
          </w:tcPr>
          <w:p w14:paraId="68219630" w14:textId="68EA69D0" w:rsidR="00B0429D" w:rsidRDefault="00B0429D" w:rsidP="00B17831">
            <w:pPr>
              <w:spacing w:after="0" w:line="259" w:lineRule="auto"/>
              <w:ind w:left="0" w:right="47" w:firstLine="0"/>
              <w:jc w:val="center"/>
            </w:pPr>
            <w:r>
              <w:rPr>
                <w:sz w:val="18"/>
              </w:rPr>
              <w:t>N/A</w:t>
            </w:r>
          </w:p>
        </w:tc>
        <w:tc>
          <w:tcPr>
            <w:tcW w:w="991" w:type="dxa"/>
            <w:tcBorders>
              <w:top w:val="single" w:sz="4" w:space="0" w:color="000000"/>
              <w:left w:val="single" w:sz="12" w:space="0" w:color="000000"/>
              <w:bottom w:val="single" w:sz="4" w:space="0" w:color="000000"/>
              <w:right w:val="single" w:sz="12" w:space="0" w:color="000000"/>
            </w:tcBorders>
          </w:tcPr>
          <w:p w14:paraId="6B8B9BDB" w14:textId="03EA3AE4" w:rsidR="00B0429D" w:rsidRDefault="00B0429D" w:rsidP="00B17831">
            <w:pPr>
              <w:spacing w:after="0" w:line="259" w:lineRule="auto"/>
              <w:ind w:left="0" w:right="42" w:firstLine="0"/>
              <w:jc w:val="center"/>
            </w:pPr>
            <w:r>
              <w:rPr>
                <w:sz w:val="18"/>
              </w:rPr>
              <w:t>N/A</w:t>
            </w:r>
          </w:p>
        </w:tc>
        <w:tc>
          <w:tcPr>
            <w:tcW w:w="843" w:type="dxa"/>
            <w:tcBorders>
              <w:top w:val="single" w:sz="4" w:space="0" w:color="000000"/>
              <w:left w:val="single" w:sz="12" w:space="0" w:color="000000"/>
              <w:bottom w:val="single" w:sz="4" w:space="0" w:color="000000"/>
              <w:right w:val="single" w:sz="12" w:space="0" w:color="000000"/>
            </w:tcBorders>
          </w:tcPr>
          <w:p w14:paraId="65E71A64" w14:textId="4BE1E6A3" w:rsidR="00B0429D" w:rsidRDefault="00B0429D" w:rsidP="00B17831">
            <w:pPr>
              <w:spacing w:after="0" w:line="259" w:lineRule="auto"/>
              <w:ind w:left="0" w:right="45" w:firstLine="0"/>
              <w:jc w:val="center"/>
            </w:pPr>
            <w:r>
              <w:rPr>
                <w:b/>
                <w:sz w:val="18"/>
              </w:rPr>
              <w:t>525.2</w:t>
            </w:r>
          </w:p>
        </w:tc>
        <w:tc>
          <w:tcPr>
            <w:tcW w:w="776" w:type="dxa"/>
            <w:tcBorders>
              <w:top w:val="single" w:sz="4" w:space="0" w:color="000000"/>
              <w:left w:val="single" w:sz="12" w:space="0" w:color="000000"/>
              <w:bottom w:val="single" w:sz="4" w:space="0" w:color="000000"/>
              <w:right w:val="single" w:sz="12" w:space="0" w:color="000000"/>
            </w:tcBorders>
          </w:tcPr>
          <w:p w14:paraId="6DEC55A7" w14:textId="3459E2B1" w:rsidR="00B0429D" w:rsidRDefault="00B0429D" w:rsidP="00B17831">
            <w:pPr>
              <w:spacing w:after="0" w:line="259" w:lineRule="auto"/>
              <w:ind w:left="0" w:right="46" w:firstLine="0"/>
              <w:jc w:val="center"/>
            </w:pPr>
            <w:r>
              <w:rPr>
                <w:sz w:val="18"/>
              </w:rPr>
              <w:t>507</w:t>
            </w:r>
          </w:p>
        </w:tc>
        <w:tc>
          <w:tcPr>
            <w:tcW w:w="630" w:type="dxa"/>
            <w:tcBorders>
              <w:top w:val="single" w:sz="4" w:space="0" w:color="000000"/>
              <w:left w:val="single" w:sz="12" w:space="0" w:color="000000"/>
              <w:bottom w:val="single" w:sz="4" w:space="0" w:color="000000"/>
              <w:right w:val="single" w:sz="12" w:space="0" w:color="000000"/>
            </w:tcBorders>
          </w:tcPr>
          <w:p w14:paraId="1E9ED404" w14:textId="775A7438" w:rsidR="00B0429D" w:rsidRDefault="00B0429D" w:rsidP="00B17831">
            <w:pPr>
              <w:spacing w:after="0" w:line="259" w:lineRule="auto"/>
              <w:ind w:left="0" w:right="0" w:firstLine="0"/>
              <w:jc w:val="center"/>
            </w:pPr>
          </w:p>
        </w:tc>
      </w:tr>
      <w:tr w:rsidR="00B0429D" w14:paraId="09433885" w14:textId="77777777" w:rsidTr="00C23B62">
        <w:trPr>
          <w:trHeight w:val="250"/>
        </w:trPr>
        <w:tc>
          <w:tcPr>
            <w:tcW w:w="3240" w:type="dxa"/>
            <w:tcBorders>
              <w:top w:val="single" w:sz="4" w:space="0" w:color="000000"/>
              <w:left w:val="single" w:sz="12" w:space="0" w:color="000000"/>
              <w:bottom w:val="single" w:sz="4" w:space="0" w:color="000000"/>
              <w:right w:val="single" w:sz="12" w:space="0" w:color="000000"/>
            </w:tcBorders>
          </w:tcPr>
          <w:p w14:paraId="654B60AD" w14:textId="77777777" w:rsidR="00B0429D" w:rsidRDefault="00B0429D" w:rsidP="00B0429D">
            <w:pPr>
              <w:spacing w:after="0" w:line="259" w:lineRule="auto"/>
              <w:ind w:left="2" w:right="0" w:firstLine="0"/>
            </w:pPr>
            <w:proofErr w:type="spellStart"/>
            <w:r>
              <w:rPr>
                <w:sz w:val="18"/>
              </w:rPr>
              <w:t>Bromacil</w:t>
            </w:r>
            <w:proofErr w:type="spellEnd"/>
            <w:r>
              <w:rPr>
                <w:sz w:val="18"/>
              </w:rPr>
              <w:t xml:space="preserve"> </w:t>
            </w:r>
          </w:p>
        </w:tc>
        <w:tc>
          <w:tcPr>
            <w:tcW w:w="1326" w:type="dxa"/>
            <w:tcBorders>
              <w:top w:val="single" w:sz="4" w:space="0" w:color="000000"/>
              <w:left w:val="single" w:sz="12" w:space="0" w:color="000000"/>
              <w:bottom w:val="single" w:sz="4" w:space="0" w:color="000000"/>
              <w:right w:val="single" w:sz="12" w:space="0" w:color="000000"/>
            </w:tcBorders>
          </w:tcPr>
          <w:p w14:paraId="17C8C902" w14:textId="642972F7" w:rsidR="00B0429D" w:rsidRDefault="00B0429D" w:rsidP="00B17831">
            <w:pPr>
              <w:spacing w:after="0" w:line="259" w:lineRule="auto"/>
              <w:ind w:left="0" w:right="44" w:firstLine="0"/>
              <w:jc w:val="center"/>
            </w:pPr>
            <w:r>
              <w:rPr>
                <w:sz w:val="18"/>
              </w:rPr>
              <w:t>314-40-9</w:t>
            </w:r>
          </w:p>
        </w:tc>
        <w:tc>
          <w:tcPr>
            <w:tcW w:w="744" w:type="dxa"/>
            <w:tcBorders>
              <w:top w:val="single" w:sz="4" w:space="0" w:color="000000"/>
              <w:left w:val="single" w:sz="12" w:space="0" w:color="000000"/>
              <w:bottom w:val="single" w:sz="4" w:space="0" w:color="000000"/>
              <w:right w:val="single" w:sz="12" w:space="0" w:color="000000"/>
            </w:tcBorders>
          </w:tcPr>
          <w:p w14:paraId="0CD40462" w14:textId="252C59DB" w:rsidR="00B0429D" w:rsidRDefault="00B0429D" w:rsidP="00B17831">
            <w:pPr>
              <w:tabs>
                <w:tab w:val="center" w:pos="354"/>
              </w:tabs>
              <w:spacing w:after="0" w:line="259" w:lineRule="auto"/>
              <w:ind w:left="0" w:right="0" w:firstLine="0"/>
              <w:jc w:val="center"/>
            </w:pPr>
            <w:r>
              <w:rPr>
                <w:sz w:val="18"/>
              </w:rPr>
              <w:t>5</w:t>
            </w:r>
          </w:p>
        </w:tc>
        <w:tc>
          <w:tcPr>
            <w:tcW w:w="900" w:type="dxa"/>
            <w:tcBorders>
              <w:top w:val="single" w:sz="4" w:space="0" w:color="000000"/>
              <w:left w:val="single" w:sz="12" w:space="0" w:color="000000"/>
              <w:bottom w:val="single" w:sz="4" w:space="0" w:color="000000"/>
              <w:right w:val="single" w:sz="12" w:space="0" w:color="000000"/>
            </w:tcBorders>
          </w:tcPr>
          <w:p w14:paraId="3CB8CEFC" w14:textId="317FDE28" w:rsidR="00B0429D" w:rsidRDefault="00B0429D" w:rsidP="00B2651C">
            <w:pPr>
              <w:spacing w:after="0" w:line="259" w:lineRule="auto"/>
              <w:ind w:left="0" w:right="46" w:firstLine="0"/>
              <w:jc w:val="center"/>
            </w:pPr>
            <w:r>
              <w:rPr>
                <w:sz w:val="18"/>
              </w:rPr>
              <w:t>ug/L</w:t>
            </w:r>
          </w:p>
        </w:tc>
        <w:tc>
          <w:tcPr>
            <w:tcW w:w="1080" w:type="dxa"/>
            <w:tcBorders>
              <w:top w:val="single" w:sz="4" w:space="0" w:color="000000"/>
              <w:left w:val="single" w:sz="12" w:space="0" w:color="000000"/>
              <w:bottom w:val="single" w:sz="4" w:space="0" w:color="000000"/>
              <w:right w:val="single" w:sz="12" w:space="0" w:color="000000"/>
            </w:tcBorders>
          </w:tcPr>
          <w:p w14:paraId="18E979E8" w14:textId="117A75D5" w:rsidR="00B0429D" w:rsidRDefault="00B0429D" w:rsidP="00B17831">
            <w:pPr>
              <w:spacing w:after="0" w:line="259" w:lineRule="auto"/>
              <w:ind w:left="0" w:right="47" w:firstLine="0"/>
              <w:jc w:val="center"/>
            </w:pPr>
            <w:r>
              <w:rPr>
                <w:sz w:val="18"/>
              </w:rPr>
              <w:t>N/A</w:t>
            </w:r>
          </w:p>
        </w:tc>
        <w:tc>
          <w:tcPr>
            <w:tcW w:w="991" w:type="dxa"/>
            <w:tcBorders>
              <w:top w:val="single" w:sz="4" w:space="0" w:color="000000"/>
              <w:left w:val="single" w:sz="12" w:space="0" w:color="000000"/>
              <w:bottom w:val="single" w:sz="4" w:space="0" w:color="000000"/>
              <w:right w:val="single" w:sz="12" w:space="0" w:color="000000"/>
            </w:tcBorders>
          </w:tcPr>
          <w:p w14:paraId="4FF68362" w14:textId="220722EE" w:rsidR="00B0429D" w:rsidRDefault="00B0429D" w:rsidP="00B17831">
            <w:pPr>
              <w:spacing w:after="0" w:line="259" w:lineRule="auto"/>
              <w:ind w:left="0" w:right="42" w:firstLine="0"/>
              <w:jc w:val="center"/>
            </w:pPr>
            <w:r>
              <w:rPr>
                <w:sz w:val="18"/>
              </w:rPr>
              <w:t>N/A</w:t>
            </w:r>
          </w:p>
        </w:tc>
        <w:tc>
          <w:tcPr>
            <w:tcW w:w="843" w:type="dxa"/>
            <w:tcBorders>
              <w:top w:val="single" w:sz="4" w:space="0" w:color="000000"/>
              <w:left w:val="single" w:sz="12" w:space="0" w:color="000000"/>
              <w:bottom w:val="single" w:sz="4" w:space="0" w:color="000000"/>
              <w:right w:val="single" w:sz="12" w:space="0" w:color="000000"/>
            </w:tcBorders>
          </w:tcPr>
          <w:p w14:paraId="3F1B3918" w14:textId="06D3C0EF" w:rsidR="00B0429D" w:rsidRDefault="00B0429D" w:rsidP="00B17831">
            <w:pPr>
              <w:spacing w:after="0" w:line="259" w:lineRule="auto"/>
              <w:ind w:left="0" w:right="45" w:firstLine="0"/>
              <w:jc w:val="center"/>
            </w:pPr>
            <w:r>
              <w:rPr>
                <w:b/>
                <w:sz w:val="18"/>
              </w:rPr>
              <w:t>525.2</w:t>
            </w:r>
          </w:p>
        </w:tc>
        <w:tc>
          <w:tcPr>
            <w:tcW w:w="776" w:type="dxa"/>
            <w:tcBorders>
              <w:top w:val="single" w:sz="4" w:space="0" w:color="000000"/>
              <w:left w:val="single" w:sz="12" w:space="0" w:color="000000"/>
              <w:bottom w:val="single" w:sz="4" w:space="0" w:color="000000"/>
              <w:right w:val="single" w:sz="12" w:space="0" w:color="000000"/>
            </w:tcBorders>
          </w:tcPr>
          <w:p w14:paraId="126A162D" w14:textId="049D3458" w:rsidR="00B0429D" w:rsidRDefault="00B0429D" w:rsidP="00B17831">
            <w:pPr>
              <w:spacing w:after="0" w:line="259" w:lineRule="auto"/>
              <w:ind w:left="0" w:right="46" w:firstLine="0"/>
              <w:jc w:val="center"/>
            </w:pPr>
            <w:r>
              <w:rPr>
                <w:sz w:val="18"/>
              </w:rPr>
              <w:t>507</w:t>
            </w:r>
          </w:p>
        </w:tc>
        <w:tc>
          <w:tcPr>
            <w:tcW w:w="630" w:type="dxa"/>
            <w:tcBorders>
              <w:top w:val="single" w:sz="4" w:space="0" w:color="000000"/>
              <w:left w:val="single" w:sz="12" w:space="0" w:color="000000"/>
              <w:bottom w:val="single" w:sz="4" w:space="0" w:color="000000"/>
              <w:right w:val="single" w:sz="12" w:space="0" w:color="000000"/>
            </w:tcBorders>
          </w:tcPr>
          <w:p w14:paraId="0AE188A1" w14:textId="1DEDCB31" w:rsidR="00B0429D" w:rsidRDefault="00B0429D" w:rsidP="00B17831">
            <w:pPr>
              <w:spacing w:after="0" w:line="259" w:lineRule="auto"/>
              <w:ind w:left="0" w:right="0" w:firstLine="0"/>
              <w:jc w:val="center"/>
            </w:pPr>
          </w:p>
        </w:tc>
      </w:tr>
      <w:tr w:rsidR="00B0429D" w14:paraId="2D8D8225" w14:textId="77777777" w:rsidTr="00C23B62">
        <w:trPr>
          <w:trHeight w:val="250"/>
        </w:trPr>
        <w:tc>
          <w:tcPr>
            <w:tcW w:w="3240" w:type="dxa"/>
            <w:tcBorders>
              <w:top w:val="single" w:sz="4" w:space="0" w:color="000000"/>
              <w:left w:val="single" w:sz="12" w:space="0" w:color="000000"/>
              <w:bottom w:val="single" w:sz="4" w:space="0" w:color="000000"/>
              <w:right w:val="single" w:sz="12" w:space="0" w:color="000000"/>
            </w:tcBorders>
          </w:tcPr>
          <w:p w14:paraId="72DC0A59" w14:textId="77777777" w:rsidR="00B0429D" w:rsidRDefault="00B0429D" w:rsidP="00B0429D">
            <w:pPr>
              <w:spacing w:after="0" w:line="259" w:lineRule="auto"/>
              <w:ind w:left="2" w:right="0" w:firstLine="0"/>
            </w:pPr>
            <w:r>
              <w:rPr>
                <w:sz w:val="18"/>
              </w:rPr>
              <w:t xml:space="preserve">Butachlor </w:t>
            </w:r>
          </w:p>
        </w:tc>
        <w:tc>
          <w:tcPr>
            <w:tcW w:w="1326" w:type="dxa"/>
            <w:tcBorders>
              <w:top w:val="single" w:sz="4" w:space="0" w:color="000000"/>
              <w:left w:val="single" w:sz="12" w:space="0" w:color="000000"/>
              <w:bottom w:val="single" w:sz="4" w:space="0" w:color="000000"/>
              <w:right w:val="single" w:sz="12" w:space="0" w:color="000000"/>
            </w:tcBorders>
          </w:tcPr>
          <w:p w14:paraId="7E85F5D5" w14:textId="4698EB9F" w:rsidR="00B0429D" w:rsidRDefault="00B0429D" w:rsidP="00B17831">
            <w:pPr>
              <w:spacing w:after="0" w:line="259" w:lineRule="auto"/>
              <w:ind w:left="0" w:right="44" w:firstLine="0"/>
              <w:jc w:val="center"/>
            </w:pPr>
            <w:r>
              <w:rPr>
                <w:sz w:val="18"/>
              </w:rPr>
              <w:t>23184-66-9</w:t>
            </w:r>
          </w:p>
        </w:tc>
        <w:tc>
          <w:tcPr>
            <w:tcW w:w="744" w:type="dxa"/>
            <w:tcBorders>
              <w:top w:val="single" w:sz="4" w:space="0" w:color="000000"/>
              <w:left w:val="single" w:sz="12" w:space="0" w:color="000000"/>
              <w:bottom w:val="single" w:sz="4" w:space="0" w:color="000000"/>
              <w:right w:val="single" w:sz="12" w:space="0" w:color="000000"/>
            </w:tcBorders>
          </w:tcPr>
          <w:p w14:paraId="7434F62B" w14:textId="7393FDE9" w:rsidR="00B0429D" w:rsidRDefault="00B0429D" w:rsidP="00B17831">
            <w:pPr>
              <w:tabs>
                <w:tab w:val="center" w:pos="354"/>
              </w:tabs>
              <w:spacing w:after="0" w:line="259" w:lineRule="auto"/>
              <w:ind w:left="0" w:right="0" w:firstLine="0"/>
              <w:jc w:val="center"/>
            </w:pPr>
            <w:r>
              <w:rPr>
                <w:sz w:val="18"/>
              </w:rPr>
              <w:t>5</w:t>
            </w:r>
          </w:p>
        </w:tc>
        <w:tc>
          <w:tcPr>
            <w:tcW w:w="900" w:type="dxa"/>
            <w:tcBorders>
              <w:top w:val="single" w:sz="4" w:space="0" w:color="000000"/>
              <w:left w:val="single" w:sz="12" w:space="0" w:color="000000"/>
              <w:bottom w:val="single" w:sz="4" w:space="0" w:color="000000"/>
              <w:right w:val="single" w:sz="12" w:space="0" w:color="000000"/>
            </w:tcBorders>
          </w:tcPr>
          <w:p w14:paraId="2ED4D153" w14:textId="0F80DAF8" w:rsidR="00B0429D" w:rsidRDefault="00B0429D" w:rsidP="00B2651C">
            <w:pPr>
              <w:spacing w:after="0" w:line="259" w:lineRule="auto"/>
              <w:ind w:left="0" w:right="46" w:firstLine="0"/>
              <w:jc w:val="center"/>
            </w:pPr>
            <w:r>
              <w:rPr>
                <w:sz w:val="18"/>
              </w:rPr>
              <w:t>ug/L</w:t>
            </w:r>
          </w:p>
        </w:tc>
        <w:tc>
          <w:tcPr>
            <w:tcW w:w="1080" w:type="dxa"/>
            <w:tcBorders>
              <w:top w:val="single" w:sz="4" w:space="0" w:color="000000"/>
              <w:left w:val="single" w:sz="12" w:space="0" w:color="000000"/>
              <w:bottom w:val="single" w:sz="4" w:space="0" w:color="000000"/>
              <w:right w:val="single" w:sz="12" w:space="0" w:color="000000"/>
            </w:tcBorders>
          </w:tcPr>
          <w:p w14:paraId="356F20D0" w14:textId="5D5D115E" w:rsidR="00B0429D" w:rsidRDefault="00B0429D" w:rsidP="00B17831">
            <w:pPr>
              <w:spacing w:after="0" w:line="259" w:lineRule="auto"/>
              <w:ind w:left="0" w:right="47" w:firstLine="0"/>
              <w:jc w:val="center"/>
            </w:pPr>
            <w:r>
              <w:rPr>
                <w:sz w:val="18"/>
              </w:rPr>
              <w:t>N/A</w:t>
            </w:r>
          </w:p>
        </w:tc>
        <w:tc>
          <w:tcPr>
            <w:tcW w:w="991" w:type="dxa"/>
            <w:tcBorders>
              <w:top w:val="single" w:sz="4" w:space="0" w:color="000000"/>
              <w:left w:val="single" w:sz="12" w:space="0" w:color="000000"/>
              <w:bottom w:val="single" w:sz="4" w:space="0" w:color="000000"/>
              <w:right w:val="single" w:sz="12" w:space="0" w:color="000000"/>
            </w:tcBorders>
          </w:tcPr>
          <w:p w14:paraId="034AA63B" w14:textId="5670229B" w:rsidR="00B0429D" w:rsidRDefault="00B0429D" w:rsidP="00B17831">
            <w:pPr>
              <w:spacing w:after="0" w:line="259" w:lineRule="auto"/>
              <w:ind w:left="0" w:right="42" w:firstLine="0"/>
              <w:jc w:val="center"/>
            </w:pPr>
            <w:r>
              <w:rPr>
                <w:sz w:val="18"/>
              </w:rPr>
              <w:t>N/A</w:t>
            </w:r>
          </w:p>
        </w:tc>
        <w:tc>
          <w:tcPr>
            <w:tcW w:w="843" w:type="dxa"/>
            <w:tcBorders>
              <w:top w:val="single" w:sz="4" w:space="0" w:color="000000"/>
              <w:left w:val="single" w:sz="12" w:space="0" w:color="000000"/>
              <w:bottom w:val="single" w:sz="4" w:space="0" w:color="000000"/>
              <w:right w:val="single" w:sz="12" w:space="0" w:color="000000"/>
            </w:tcBorders>
          </w:tcPr>
          <w:p w14:paraId="61D7D0AA" w14:textId="26EC7DE2" w:rsidR="00B0429D" w:rsidRDefault="00B0429D" w:rsidP="00B17831">
            <w:pPr>
              <w:spacing w:after="0" w:line="259" w:lineRule="auto"/>
              <w:ind w:left="0" w:right="45" w:firstLine="0"/>
              <w:jc w:val="center"/>
            </w:pPr>
            <w:r>
              <w:rPr>
                <w:b/>
                <w:sz w:val="18"/>
              </w:rPr>
              <w:t>525.2</w:t>
            </w:r>
          </w:p>
        </w:tc>
        <w:tc>
          <w:tcPr>
            <w:tcW w:w="776" w:type="dxa"/>
            <w:tcBorders>
              <w:top w:val="single" w:sz="4" w:space="0" w:color="000000"/>
              <w:left w:val="single" w:sz="12" w:space="0" w:color="000000"/>
              <w:bottom w:val="single" w:sz="4" w:space="0" w:color="000000"/>
              <w:right w:val="single" w:sz="12" w:space="0" w:color="000000"/>
            </w:tcBorders>
          </w:tcPr>
          <w:p w14:paraId="2F6D028C" w14:textId="59A61E51" w:rsidR="00B0429D" w:rsidRDefault="00B0429D" w:rsidP="00B17831">
            <w:pPr>
              <w:spacing w:after="0" w:line="259" w:lineRule="auto"/>
              <w:ind w:left="0" w:right="46" w:firstLine="0"/>
              <w:jc w:val="center"/>
            </w:pPr>
            <w:r>
              <w:rPr>
                <w:sz w:val="18"/>
              </w:rPr>
              <w:t>507</w:t>
            </w:r>
          </w:p>
        </w:tc>
        <w:tc>
          <w:tcPr>
            <w:tcW w:w="630" w:type="dxa"/>
            <w:tcBorders>
              <w:top w:val="single" w:sz="4" w:space="0" w:color="000000"/>
              <w:left w:val="single" w:sz="12" w:space="0" w:color="000000"/>
              <w:bottom w:val="single" w:sz="4" w:space="0" w:color="000000"/>
              <w:right w:val="single" w:sz="12" w:space="0" w:color="000000"/>
            </w:tcBorders>
          </w:tcPr>
          <w:p w14:paraId="040777D9" w14:textId="54E5F3C0" w:rsidR="00B0429D" w:rsidRDefault="00B0429D" w:rsidP="00B17831">
            <w:pPr>
              <w:spacing w:after="0" w:line="259" w:lineRule="auto"/>
              <w:ind w:left="0" w:right="47" w:firstLine="0"/>
              <w:jc w:val="center"/>
            </w:pPr>
            <w:r>
              <w:rPr>
                <w:sz w:val="18"/>
              </w:rPr>
              <w:t>508.1</w:t>
            </w:r>
          </w:p>
        </w:tc>
      </w:tr>
      <w:tr w:rsidR="00B0429D" w14:paraId="11BA6A75" w14:textId="77777777" w:rsidTr="00C23B62">
        <w:trPr>
          <w:trHeight w:val="252"/>
        </w:trPr>
        <w:tc>
          <w:tcPr>
            <w:tcW w:w="3240" w:type="dxa"/>
            <w:tcBorders>
              <w:top w:val="single" w:sz="4" w:space="0" w:color="000000"/>
              <w:left w:val="single" w:sz="12" w:space="0" w:color="000000"/>
              <w:bottom w:val="single" w:sz="4" w:space="0" w:color="000000"/>
              <w:right w:val="single" w:sz="12" w:space="0" w:color="000000"/>
            </w:tcBorders>
          </w:tcPr>
          <w:p w14:paraId="28C695C4" w14:textId="3D898E0A" w:rsidR="00B0429D" w:rsidRDefault="00B0429D" w:rsidP="00B0429D">
            <w:pPr>
              <w:spacing w:after="0" w:line="259" w:lineRule="auto"/>
              <w:ind w:left="2" w:right="0" w:firstLine="0"/>
            </w:pPr>
            <w:r>
              <w:rPr>
                <w:sz w:val="18"/>
              </w:rPr>
              <w:t>Butylate (</w:t>
            </w:r>
            <w:r>
              <w:rPr>
                <w:i/>
                <w:sz w:val="18"/>
              </w:rPr>
              <w:t xml:space="preserve">Sutan Plus) </w:t>
            </w:r>
          </w:p>
        </w:tc>
        <w:tc>
          <w:tcPr>
            <w:tcW w:w="1326" w:type="dxa"/>
            <w:tcBorders>
              <w:top w:val="single" w:sz="4" w:space="0" w:color="000000"/>
              <w:left w:val="single" w:sz="12" w:space="0" w:color="000000"/>
              <w:bottom w:val="single" w:sz="4" w:space="0" w:color="000000"/>
              <w:right w:val="single" w:sz="12" w:space="0" w:color="000000"/>
            </w:tcBorders>
          </w:tcPr>
          <w:p w14:paraId="656C4F40" w14:textId="14C4DCED" w:rsidR="00B0429D" w:rsidRDefault="00B0429D" w:rsidP="00B17831">
            <w:pPr>
              <w:spacing w:after="0" w:line="259" w:lineRule="auto"/>
              <w:ind w:left="0" w:right="44" w:firstLine="0"/>
              <w:jc w:val="center"/>
            </w:pPr>
            <w:r>
              <w:rPr>
                <w:sz w:val="18"/>
              </w:rPr>
              <w:t>2008-41-5</w:t>
            </w:r>
          </w:p>
        </w:tc>
        <w:tc>
          <w:tcPr>
            <w:tcW w:w="744" w:type="dxa"/>
            <w:tcBorders>
              <w:top w:val="single" w:sz="4" w:space="0" w:color="000000"/>
              <w:left w:val="single" w:sz="12" w:space="0" w:color="000000"/>
              <w:bottom w:val="single" w:sz="4" w:space="0" w:color="000000"/>
              <w:right w:val="single" w:sz="12" w:space="0" w:color="000000"/>
            </w:tcBorders>
          </w:tcPr>
          <w:p w14:paraId="07293C4B" w14:textId="5F5C3135" w:rsidR="00B0429D" w:rsidRDefault="00B0429D" w:rsidP="00B17831">
            <w:pPr>
              <w:tabs>
                <w:tab w:val="center" w:pos="354"/>
              </w:tabs>
              <w:spacing w:after="0" w:line="259" w:lineRule="auto"/>
              <w:ind w:left="0" w:right="0" w:firstLine="0"/>
              <w:jc w:val="center"/>
            </w:pPr>
            <w:r>
              <w:rPr>
                <w:sz w:val="18"/>
              </w:rPr>
              <w:t>5</w:t>
            </w:r>
          </w:p>
        </w:tc>
        <w:tc>
          <w:tcPr>
            <w:tcW w:w="900" w:type="dxa"/>
            <w:tcBorders>
              <w:top w:val="single" w:sz="4" w:space="0" w:color="000000"/>
              <w:left w:val="single" w:sz="12" w:space="0" w:color="000000"/>
              <w:bottom w:val="single" w:sz="4" w:space="0" w:color="000000"/>
              <w:right w:val="single" w:sz="12" w:space="0" w:color="000000"/>
            </w:tcBorders>
          </w:tcPr>
          <w:p w14:paraId="53FACE41" w14:textId="6ED8B889" w:rsidR="00B0429D" w:rsidRDefault="00B0429D" w:rsidP="00B2651C">
            <w:pPr>
              <w:spacing w:after="0" w:line="259" w:lineRule="auto"/>
              <w:ind w:left="0" w:right="46" w:firstLine="0"/>
              <w:jc w:val="center"/>
            </w:pPr>
            <w:r>
              <w:rPr>
                <w:sz w:val="18"/>
              </w:rPr>
              <w:t>ug/L</w:t>
            </w:r>
          </w:p>
        </w:tc>
        <w:tc>
          <w:tcPr>
            <w:tcW w:w="1080" w:type="dxa"/>
            <w:tcBorders>
              <w:top w:val="single" w:sz="4" w:space="0" w:color="000000"/>
              <w:left w:val="single" w:sz="12" w:space="0" w:color="000000"/>
              <w:bottom w:val="single" w:sz="4" w:space="0" w:color="000000"/>
              <w:right w:val="single" w:sz="12" w:space="0" w:color="000000"/>
            </w:tcBorders>
          </w:tcPr>
          <w:p w14:paraId="57C7789E" w14:textId="0B2C4A65" w:rsidR="00B0429D" w:rsidRDefault="00B0429D" w:rsidP="00B17831">
            <w:pPr>
              <w:spacing w:after="0" w:line="259" w:lineRule="auto"/>
              <w:ind w:left="0" w:right="47" w:firstLine="0"/>
              <w:jc w:val="center"/>
            </w:pPr>
            <w:r>
              <w:rPr>
                <w:sz w:val="18"/>
              </w:rPr>
              <w:t>N/A</w:t>
            </w:r>
          </w:p>
        </w:tc>
        <w:tc>
          <w:tcPr>
            <w:tcW w:w="991" w:type="dxa"/>
            <w:tcBorders>
              <w:top w:val="single" w:sz="4" w:space="0" w:color="000000"/>
              <w:left w:val="single" w:sz="12" w:space="0" w:color="000000"/>
              <w:bottom w:val="single" w:sz="4" w:space="0" w:color="000000"/>
              <w:right w:val="single" w:sz="12" w:space="0" w:color="000000"/>
            </w:tcBorders>
          </w:tcPr>
          <w:p w14:paraId="1A6B198C" w14:textId="3D2ECA73" w:rsidR="00B0429D" w:rsidRDefault="00B0429D" w:rsidP="00B17831">
            <w:pPr>
              <w:spacing w:after="0" w:line="259" w:lineRule="auto"/>
              <w:ind w:left="0" w:right="42" w:firstLine="0"/>
              <w:jc w:val="center"/>
            </w:pPr>
            <w:r>
              <w:rPr>
                <w:sz w:val="18"/>
              </w:rPr>
              <w:t>N/A</w:t>
            </w:r>
          </w:p>
        </w:tc>
        <w:tc>
          <w:tcPr>
            <w:tcW w:w="843" w:type="dxa"/>
            <w:tcBorders>
              <w:top w:val="single" w:sz="4" w:space="0" w:color="000000"/>
              <w:left w:val="single" w:sz="12" w:space="0" w:color="000000"/>
              <w:bottom w:val="single" w:sz="4" w:space="0" w:color="000000"/>
              <w:right w:val="single" w:sz="12" w:space="0" w:color="000000"/>
            </w:tcBorders>
          </w:tcPr>
          <w:p w14:paraId="19BFC2AA" w14:textId="47197BBD" w:rsidR="00B0429D" w:rsidRDefault="00B0429D" w:rsidP="00B17831">
            <w:pPr>
              <w:spacing w:after="0" w:line="259" w:lineRule="auto"/>
              <w:ind w:left="0" w:right="45" w:firstLine="0"/>
              <w:jc w:val="center"/>
            </w:pPr>
            <w:r>
              <w:rPr>
                <w:b/>
                <w:sz w:val="18"/>
              </w:rPr>
              <w:t>525.2</w:t>
            </w:r>
          </w:p>
        </w:tc>
        <w:tc>
          <w:tcPr>
            <w:tcW w:w="776" w:type="dxa"/>
            <w:tcBorders>
              <w:top w:val="single" w:sz="4" w:space="0" w:color="000000"/>
              <w:left w:val="single" w:sz="12" w:space="0" w:color="000000"/>
              <w:bottom w:val="single" w:sz="4" w:space="0" w:color="000000"/>
              <w:right w:val="single" w:sz="12" w:space="0" w:color="000000"/>
            </w:tcBorders>
          </w:tcPr>
          <w:p w14:paraId="6C9BAD13" w14:textId="37ACD2F5" w:rsidR="00B0429D" w:rsidRDefault="00B0429D" w:rsidP="00B17831">
            <w:pPr>
              <w:spacing w:after="0" w:line="259" w:lineRule="auto"/>
              <w:ind w:left="0" w:right="46" w:firstLine="0"/>
              <w:jc w:val="center"/>
            </w:pPr>
            <w:r>
              <w:rPr>
                <w:sz w:val="18"/>
              </w:rPr>
              <w:t>507</w:t>
            </w:r>
          </w:p>
        </w:tc>
        <w:tc>
          <w:tcPr>
            <w:tcW w:w="630" w:type="dxa"/>
            <w:tcBorders>
              <w:top w:val="single" w:sz="4" w:space="0" w:color="000000"/>
              <w:left w:val="single" w:sz="12" w:space="0" w:color="000000"/>
              <w:bottom w:val="single" w:sz="4" w:space="0" w:color="000000"/>
              <w:right w:val="single" w:sz="12" w:space="0" w:color="000000"/>
            </w:tcBorders>
          </w:tcPr>
          <w:p w14:paraId="2B4BB062" w14:textId="7C25DDE9" w:rsidR="00B0429D" w:rsidRDefault="00B0429D" w:rsidP="00B17831">
            <w:pPr>
              <w:spacing w:after="0" w:line="259" w:lineRule="auto"/>
              <w:ind w:left="0" w:right="46" w:firstLine="0"/>
              <w:jc w:val="center"/>
            </w:pPr>
            <w:r>
              <w:rPr>
                <w:sz w:val="18"/>
              </w:rPr>
              <w:t>634</w:t>
            </w:r>
          </w:p>
        </w:tc>
      </w:tr>
      <w:tr w:rsidR="00B0429D" w14:paraId="72A182B1" w14:textId="77777777" w:rsidTr="00C23B62">
        <w:trPr>
          <w:trHeight w:val="250"/>
        </w:trPr>
        <w:tc>
          <w:tcPr>
            <w:tcW w:w="3240" w:type="dxa"/>
            <w:tcBorders>
              <w:top w:val="single" w:sz="4" w:space="0" w:color="000000"/>
              <w:left w:val="single" w:sz="12" w:space="0" w:color="000000"/>
              <w:bottom w:val="single" w:sz="4" w:space="0" w:color="000000"/>
              <w:right w:val="single" w:sz="12" w:space="0" w:color="000000"/>
            </w:tcBorders>
          </w:tcPr>
          <w:p w14:paraId="3792CF97" w14:textId="77777777" w:rsidR="00B0429D" w:rsidRDefault="00B0429D" w:rsidP="00B0429D">
            <w:pPr>
              <w:spacing w:after="0" w:line="259" w:lineRule="auto"/>
              <w:ind w:left="2" w:right="0" w:firstLine="0"/>
            </w:pPr>
            <w:r>
              <w:rPr>
                <w:sz w:val="18"/>
              </w:rPr>
              <w:t xml:space="preserve">Carboxin </w:t>
            </w:r>
          </w:p>
        </w:tc>
        <w:tc>
          <w:tcPr>
            <w:tcW w:w="1326" w:type="dxa"/>
            <w:tcBorders>
              <w:top w:val="single" w:sz="4" w:space="0" w:color="000000"/>
              <w:left w:val="single" w:sz="12" w:space="0" w:color="000000"/>
              <w:bottom w:val="single" w:sz="4" w:space="0" w:color="000000"/>
              <w:right w:val="single" w:sz="12" w:space="0" w:color="000000"/>
            </w:tcBorders>
          </w:tcPr>
          <w:p w14:paraId="16329977" w14:textId="53BF3CD6" w:rsidR="00B0429D" w:rsidRDefault="00B0429D" w:rsidP="00B17831">
            <w:pPr>
              <w:spacing w:after="0" w:line="259" w:lineRule="auto"/>
              <w:ind w:left="0" w:right="44" w:firstLine="0"/>
              <w:jc w:val="center"/>
            </w:pPr>
            <w:r>
              <w:rPr>
                <w:sz w:val="18"/>
              </w:rPr>
              <w:t>5234-68-4</w:t>
            </w:r>
          </w:p>
        </w:tc>
        <w:tc>
          <w:tcPr>
            <w:tcW w:w="744" w:type="dxa"/>
            <w:tcBorders>
              <w:top w:val="single" w:sz="4" w:space="0" w:color="000000"/>
              <w:left w:val="single" w:sz="12" w:space="0" w:color="000000"/>
              <w:bottom w:val="single" w:sz="4" w:space="0" w:color="000000"/>
              <w:right w:val="single" w:sz="12" w:space="0" w:color="000000"/>
            </w:tcBorders>
          </w:tcPr>
          <w:p w14:paraId="2E363A41" w14:textId="6A8DCE0F" w:rsidR="00B0429D" w:rsidRDefault="00B0429D" w:rsidP="00B17831">
            <w:pPr>
              <w:tabs>
                <w:tab w:val="center" w:pos="354"/>
              </w:tabs>
              <w:spacing w:after="0" w:line="259" w:lineRule="auto"/>
              <w:ind w:left="0" w:right="0" w:firstLine="0"/>
              <w:jc w:val="center"/>
            </w:pPr>
            <w:r>
              <w:rPr>
                <w:sz w:val="18"/>
              </w:rPr>
              <w:t>1</w:t>
            </w:r>
          </w:p>
        </w:tc>
        <w:tc>
          <w:tcPr>
            <w:tcW w:w="900" w:type="dxa"/>
            <w:tcBorders>
              <w:top w:val="single" w:sz="4" w:space="0" w:color="000000"/>
              <w:left w:val="single" w:sz="12" w:space="0" w:color="000000"/>
              <w:bottom w:val="single" w:sz="4" w:space="0" w:color="000000"/>
              <w:right w:val="single" w:sz="12" w:space="0" w:color="000000"/>
            </w:tcBorders>
          </w:tcPr>
          <w:p w14:paraId="7165A926" w14:textId="5D26FA00" w:rsidR="00B0429D" w:rsidRDefault="00B0429D" w:rsidP="00B2651C">
            <w:pPr>
              <w:spacing w:after="0" w:line="259" w:lineRule="auto"/>
              <w:ind w:left="0" w:right="46" w:firstLine="0"/>
              <w:jc w:val="center"/>
            </w:pPr>
            <w:r>
              <w:rPr>
                <w:sz w:val="18"/>
              </w:rPr>
              <w:t>ug/L</w:t>
            </w:r>
          </w:p>
        </w:tc>
        <w:tc>
          <w:tcPr>
            <w:tcW w:w="1080" w:type="dxa"/>
            <w:tcBorders>
              <w:top w:val="single" w:sz="4" w:space="0" w:color="000000"/>
              <w:left w:val="single" w:sz="12" w:space="0" w:color="000000"/>
              <w:bottom w:val="single" w:sz="4" w:space="0" w:color="000000"/>
              <w:right w:val="single" w:sz="12" w:space="0" w:color="000000"/>
            </w:tcBorders>
          </w:tcPr>
          <w:p w14:paraId="64171954" w14:textId="3B51C910" w:rsidR="00B0429D" w:rsidRDefault="00B0429D" w:rsidP="00B17831">
            <w:pPr>
              <w:spacing w:after="0" w:line="259" w:lineRule="auto"/>
              <w:ind w:left="0" w:right="47" w:firstLine="0"/>
              <w:jc w:val="center"/>
            </w:pPr>
            <w:r>
              <w:rPr>
                <w:sz w:val="18"/>
              </w:rPr>
              <w:t>N/A</w:t>
            </w:r>
          </w:p>
        </w:tc>
        <w:tc>
          <w:tcPr>
            <w:tcW w:w="991" w:type="dxa"/>
            <w:tcBorders>
              <w:top w:val="single" w:sz="4" w:space="0" w:color="000000"/>
              <w:left w:val="single" w:sz="12" w:space="0" w:color="000000"/>
              <w:bottom w:val="single" w:sz="4" w:space="0" w:color="000000"/>
              <w:right w:val="single" w:sz="12" w:space="0" w:color="000000"/>
            </w:tcBorders>
          </w:tcPr>
          <w:p w14:paraId="6533958A" w14:textId="4B9B3657" w:rsidR="00B0429D" w:rsidRDefault="00B0429D" w:rsidP="00B17831">
            <w:pPr>
              <w:spacing w:after="0" w:line="259" w:lineRule="auto"/>
              <w:ind w:left="0" w:right="42" w:firstLine="0"/>
              <w:jc w:val="center"/>
            </w:pPr>
            <w:r>
              <w:rPr>
                <w:sz w:val="18"/>
              </w:rPr>
              <w:t>N/A</w:t>
            </w:r>
          </w:p>
        </w:tc>
        <w:tc>
          <w:tcPr>
            <w:tcW w:w="843" w:type="dxa"/>
            <w:tcBorders>
              <w:top w:val="single" w:sz="4" w:space="0" w:color="000000"/>
              <w:left w:val="single" w:sz="12" w:space="0" w:color="000000"/>
              <w:bottom w:val="single" w:sz="4" w:space="0" w:color="000000"/>
              <w:right w:val="single" w:sz="12" w:space="0" w:color="000000"/>
            </w:tcBorders>
          </w:tcPr>
          <w:p w14:paraId="06FCA9CD" w14:textId="1C80850B" w:rsidR="00B0429D" w:rsidRDefault="00B0429D" w:rsidP="00B17831">
            <w:pPr>
              <w:spacing w:after="0" w:line="259" w:lineRule="auto"/>
              <w:ind w:left="0" w:right="45" w:firstLine="0"/>
              <w:jc w:val="center"/>
            </w:pPr>
            <w:r>
              <w:rPr>
                <w:b/>
                <w:sz w:val="18"/>
              </w:rPr>
              <w:t>525.2</w:t>
            </w:r>
          </w:p>
        </w:tc>
        <w:tc>
          <w:tcPr>
            <w:tcW w:w="776" w:type="dxa"/>
            <w:tcBorders>
              <w:top w:val="single" w:sz="4" w:space="0" w:color="000000"/>
              <w:left w:val="single" w:sz="12" w:space="0" w:color="000000"/>
              <w:bottom w:val="single" w:sz="4" w:space="0" w:color="000000"/>
              <w:right w:val="single" w:sz="12" w:space="0" w:color="000000"/>
            </w:tcBorders>
          </w:tcPr>
          <w:p w14:paraId="260AC8B5" w14:textId="097CBDE2" w:rsidR="00B0429D" w:rsidRDefault="00B0429D" w:rsidP="00B17831">
            <w:pPr>
              <w:spacing w:after="0" w:line="259" w:lineRule="auto"/>
              <w:ind w:left="0" w:right="46" w:firstLine="0"/>
              <w:jc w:val="center"/>
            </w:pPr>
            <w:r>
              <w:rPr>
                <w:sz w:val="18"/>
              </w:rPr>
              <w:t>507</w:t>
            </w:r>
          </w:p>
        </w:tc>
        <w:tc>
          <w:tcPr>
            <w:tcW w:w="630" w:type="dxa"/>
            <w:tcBorders>
              <w:top w:val="single" w:sz="4" w:space="0" w:color="000000"/>
              <w:left w:val="single" w:sz="12" w:space="0" w:color="000000"/>
              <w:bottom w:val="single" w:sz="4" w:space="0" w:color="000000"/>
              <w:right w:val="single" w:sz="12" w:space="0" w:color="000000"/>
            </w:tcBorders>
          </w:tcPr>
          <w:p w14:paraId="06C29A2E" w14:textId="118D3423" w:rsidR="00B0429D" w:rsidRDefault="00B0429D" w:rsidP="00B17831">
            <w:pPr>
              <w:spacing w:after="0" w:line="259" w:lineRule="auto"/>
              <w:ind w:left="0" w:right="0" w:firstLine="0"/>
              <w:jc w:val="center"/>
            </w:pPr>
          </w:p>
        </w:tc>
      </w:tr>
      <w:tr w:rsidR="00B0429D" w14:paraId="7787DFB5" w14:textId="77777777" w:rsidTr="00C23B62">
        <w:trPr>
          <w:trHeight w:val="250"/>
        </w:trPr>
        <w:tc>
          <w:tcPr>
            <w:tcW w:w="3240" w:type="dxa"/>
            <w:tcBorders>
              <w:top w:val="single" w:sz="4" w:space="0" w:color="000000"/>
              <w:left w:val="single" w:sz="12" w:space="0" w:color="000000"/>
              <w:bottom w:val="single" w:sz="4" w:space="0" w:color="000000"/>
              <w:right w:val="single" w:sz="12" w:space="0" w:color="000000"/>
            </w:tcBorders>
          </w:tcPr>
          <w:p w14:paraId="391FB20B" w14:textId="77777777" w:rsidR="00B0429D" w:rsidRDefault="00B0429D" w:rsidP="00B0429D">
            <w:pPr>
              <w:spacing w:after="0" w:line="259" w:lineRule="auto"/>
              <w:ind w:left="2" w:right="0" w:firstLine="0"/>
            </w:pPr>
            <w:proofErr w:type="spellStart"/>
            <w:r>
              <w:rPr>
                <w:sz w:val="18"/>
              </w:rPr>
              <w:t>Chlorpropham</w:t>
            </w:r>
            <w:proofErr w:type="spellEnd"/>
            <w:r>
              <w:rPr>
                <w:sz w:val="18"/>
              </w:rPr>
              <w:t xml:space="preserve"> </w:t>
            </w:r>
          </w:p>
        </w:tc>
        <w:tc>
          <w:tcPr>
            <w:tcW w:w="1326" w:type="dxa"/>
            <w:tcBorders>
              <w:top w:val="single" w:sz="4" w:space="0" w:color="000000"/>
              <w:left w:val="single" w:sz="12" w:space="0" w:color="000000"/>
              <w:bottom w:val="single" w:sz="4" w:space="0" w:color="000000"/>
              <w:right w:val="single" w:sz="12" w:space="0" w:color="000000"/>
            </w:tcBorders>
          </w:tcPr>
          <w:p w14:paraId="0FFE1FA6" w14:textId="7115DC8F" w:rsidR="00B0429D" w:rsidRDefault="00B0429D" w:rsidP="00B17831">
            <w:pPr>
              <w:spacing w:after="0" w:line="259" w:lineRule="auto"/>
              <w:ind w:left="0" w:right="44" w:firstLine="0"/>
              <w:jc w:val="center"/>
            </w:pPr>
            <w:r>
              <w:rPr>
                <w:sz w:val="18"/>
              </w:rPr>
              <w:t>101-21-3</w:t>
            </w:r>
          </w:p>
        </w:tc>
        <w:tc>
          <w:tcPr>
            <w:tcW w:w="744" w:type="dxa"/>
            <w:tcBorders>
              <w:top w:val="single" w:sz="4" w:space="0" w:color="000000"/>
              <w:left w:val="single" w:sz="12" w:space="0" w:color="000000"/>
              <w:bottom w:val="single" w:sz="4" w:space="0" w:color="000000"/>
              <w:right w:val="single" w:sz="12" w:space="0" w:color="000000"/>
            </w:tcBorders>
          </w:tcPr>
          <w:p w14:paraId="2310DA01" w14:textId="6EBB3C7A" w:rsidR="00B0429D" w:rsidRDefault="00B0429D" w:rsidP="00B17831">
            <w:pPr>
              <w:tabs>
                <w:tab w:val="center" w:pos="354"/>
              </w:tabs>
              <w:spacing w:after="0" w:line="259" w:lineRule="auto"/>
              <w:ind w:left="0" w:right="0" w:firstLine="0"/>
              <w:jc w:val="center"/>
            </w:pPr>
            <w:r>
              <w:rPr>
                <w:sz w:val="18"/>
              </w:rPr>
              <w:t>2</w:t>
            </w:r>
          </w:p>
        </w:tc>
        <w:tc>
          <w:tcPr>
            <w:tcW w:w="900" w:type="dxa"/>
            <w:tcBorders>
              <w:top w:val="single" w:sz="4" w:space="0" w:color="000000"/>
              <w:left w:val="single" w:sz="12" w:space="0" w:color="000000"/>
              <w:bottom w:val="single" w:sz="4" w:space="0" w:color="000000"/>
              <w:right w:val="single" w:sz="12" w:space="0" w:color="000000"/>
            </w:tcBorders>
          </w:tcPr>
          <w:p w14:paraId="588822C4" w14:textId="200C0F21" w:rsidR="00B0429D" w:rsidRDefault="00B0429D" w:rsidP="00B2651C">
            <w:pPr>
              <w:spacing w:after="0" w:line="259" w:lineRule="auto"/>
              <w:ind w:left="0" w:right="46" w:firstLine="0"/>
              <w:jc w:val="center"/>
            </w:pPr>
            <w:r>
              <w:rPr>
                <w:sz w:val="18"/>
              </w:rPr>
              <w:t>ug/L</w:t>
            </w:r>
          </w:p>
        </w:tc>
        <w:tc>
          <w:tcPr>
            <w:tcW w:w="1080" w:type="dxa"/>
            <w:tcBorders>
              <w:top w:val="single" w:sz="4" w:space="0" w:color="000000"/>
              <w:left w:val="single" w:sz="12" w:space="0" w:color="000000"/>
              <w:bottom w:val="single" w:sz="4" w:space="0" w:color="000000"/>
              <w:right w:val="single" w:sz="12" w:space="0" w:color="000000"/>
            </w:tcBorders>
          </w:tcPr>
          <w:p w14:paraId="79AAA133" w14:textId="09AD33BE" w:rsidR="00B0429D" w:rsidRDefault="00B0429D" w:rsidP="00B17831">
            <w:pPr>
              <w:spacing w:after="0" w:line="259" w:lineRule="auto"/>
              <w:ind w:left="0" w:right="47" w:firstLine="0"/>
              <w:jc w:val="center"/>
            </w:pPr>
            <w:r>
              <w:rPr>
                <w:sz w:val="18"/>
              </w:rPr>
              <w:t>N/A</w:t>
            </w:r>
          </w:p>
        </w:tc>
        <w:tc>
          <w:tcPr>
            <w:tcW w:w="991" w:type="dxa"/>
            <w:tcBorders>
              <w:top w:val="single" w:sz="4" w:space="0" w:color="000000"/>
              <w:left w:val="single" w:sz="12" w:space="0" w:color="000000"/>
              <w:bottom w:val="single" w:sz="4" w:space="0" w:color="000000"/>
              <w:right w:val="single" w:sz="12" w:space="0" w:color="000000"/>
            </w:tcBorders>
          </w:tcPr>
          <w:p w14:paraId="21F7263A" w14:textId="54A6AFD4" w:rsidR="00B0429D" w:rsidRDefault="00B0429D" w:rsidP="00B17831">
            <w:pPr>
              <w:spacing w:after="0" w:line="259" w:lineRule="auto"/>
              <w:ind w:left="0" w:right="42" w:firstLine="0"/>
              <w:jc w:val="center"/>
            </w:pPr>
            <w:r>
              <w:rPr>
                <w:sz w:val="18"/>
              </w:rPr>
              <w:t>N/A</w:t>
            </w:r>
          </w:p>
        </w:tc>
        <w:tc>
          <w:tcPr>
            <w:tcW w:w="843" w:type="dxa"/>
            <w:tcBorders>
              <w:top w:val="single" w:sz="4" w:space="0" w:color="000000"/>
              <w:left w:val="single" w:sz="12" w:space="0" w:color="000000"/>
              <w:bottom w:val="single" w:sz="4" w:space="0" w:color="000000"/>
              <w:right w:val="single" w:sz="12" w:space="0" w:color="000000"/>
            </w:tcBorders>
          </w:tcPr>
          <w:p w14:paraId="21824CEC" w14:textId="19B42D83" w:rsidR="00B0429D" w:rsidRDefault="00B0429D" w:rsidP="00B17831">
            <w:pPr>
              <w:spacing w:after="0" w:line="259" w:lineRule="auto"/>
              <w:ind w:left="0" w:right="45" w:firstLine="0"/>
              <w:jc w:val="center"/>
            </w:pPr>
            <w:r>
              <w:rPr>
                <w:b/>
                <w:sz w:val="18"/>
              </w:rPr>
              <w:t>525.2</w:t>
            </w:r>
          </w:p>
        </w:tc>
        <w:tc>
          <w:tcPr>
            <w:tcW w:w="776" w:type="dxa"/>
            <w:tcBorders>
              <w:top w:val="single" w:sz="4" w:space="0" w:color="000000"/>
              <w:left w:val="single" w:sz="12" w:space="0" w:color="000000"/>
              <w:bottom w:val="single" w:sz="4" w:space="0" w:color="000000"/>
              <w:right w:val="single" w:sz="12" w:space="0" w:color="000000"/>
            </w:tcBorders>
          </w:tcPr>
          <w:p w14:paraId="1ECDC903" w14:textId="3042B7BC" w:rsidR="00B0429D" w:rsidRDefault="00B0429D" w:rsidP="00B17831">
            <w:pPr>
              <w:spacing w:after="0" w:line="259" w:lineRule="auto"/>
              <w:ind w:left="0" w:right="46" w:firstLine="0"/>
              <w:jc w:val="center"/>
            </w:pPr>
            <w:r>
              <w:rPr>
                <w:sz w:val="18"/>
              </w:rPr>
              <w:t>507</w:t>
            </w:r>
          </w:p>
        </w:tc>
        <w:tc>
          <w:tcPr>
            <w:tcW w:w="630" w:type="dxa"/>
            <w:tcBorders>
              <w:top w:val="single" w:sz="4" w:space="0" w:color="000000"/>
              <w:left w:val="single" w:sz="12" w:space="0" w:color="000000"/>
              <w:bottom w:val="single" w:sz="4" w:space="0" w:color="000000"/>
              <w:right w:val="single" w:sz="12" w:space="0" w:color="000000"/>
            </w:tcBorders>
          </w:tcPr>
          <w:p w14:paraId="57A5324F" w14:textId="0A8F632B" w:rsidR="00B0429D" w:rsidRDefault="00B0429D" w:rsidP="00B17831">
            <w:pPr>
              <w:spacing w:after="0" w:line="259" w:lineRule="auto"/>
              <w:ind w:left="0" w:right="0" w:firstLine="0"/>
              <w:jc w:val="center"/>
            </w:pPr>
          </w:p>
        </w:tc>
      </w:tr>
      <w:tr w:rsidR="00B0429D" w14:paraId="5F1D2ED6" w14:textId="77777777" w:rsidTr="00C23B62">
        <w:trPr>
          <w:trHeight w:val="250"/>
        </w:trPr>
        <w:tc>
          <w:tcPr>
            <w:tcW w:w="3240" w:type="dxa"/>
            <w:tcBorders>
              <w:top w:val="single" w:sz="4" w:space="0" w:color="000000"/>
              <w:left w:val="single" w:sz="12" w:space="0" w:color="000000"/>
              <w:bottom w:val="single" w:sz="4" w:space="0" w:color="000000"/>
              <w:right w:val="single" w:sz="12" w:space="0" w:color="000000"/>
            </w:tcBorders>
          </w:tcPr>
          <w:p w14:paraId="329E08E2" w14:textId="62A977E2" w:rsidR="00B0429D" w:rsidRDefault="00B0429D" w:rsidP="00B0429D">
            <w:pPr>
              <w:spacing w:after="0" w:line="259" w:lineRule="auto"/>
              <w:ind w:left="2" w:right="0" w:firstLine="0"/>
            </w:pPr>
            <w:r>
              <w:rPr>
                <w:sz w:val="18"/>
              </w:rPr>
              <w:t>Chlorpyrifos (</w:t>
            </w:r>
            <w:proofErr w:type="spellStart"/>
            <w:r>
              <w:rPr>
                <w:i/>
                <w:sz w:val="18"/>
              </w:rPr>
              <w:t>Dursban</w:t>
            </w:r>
            <w:proofErr w:type="spellEnd"/>
            <w:r>
              <w:rPr>
                <w:i/>
                <w:sz w:val="18"/>
              </w:rPr>
              <w:t xml:space="preserve">) </w:t>
            </w:r>
          </w:p>
        </w:tc>
        <w:tc>
          <w:tcPr>
            <w:tcW w:w="1326" w:type="dxa"/>
            <w:tcBorders>
              <w:top w:val="single" w:sz="4" w:space="0" w:color="000000"/>
              <w:left w:val="single" w:sz="12" w:space="0" w:color="000000"/>
              <w:bottom w:val="single" w:sz="4" w:space="0" w:color="000000"/>
              <w:right w:val="single" w:sz="12" w:space="0" w:color="000000"/>
            </w:tcBorders>
          </w:tcPr>
          <w:p w14:paraId="73C78FC1" w14:textId="39DC211E" w:rsidR="00B0429D" w:rsidRDefault="00B0429D" w:rsidP="00B17831">
            <w:pPr>
              <w:spacing w:after="0" w:line="259" w:lineRule="auto"/>
              <w:ind w:left="0" w:right="44" w:firstLine="0"/>
              <w:jc w:val="center"/>
            </w:pPr>
            <w:r>
              <w:rPr>
                <w:sz w:val="18"/>
              </w:rPr>
              <w:t>2921-88-2</w:t>
            </w:r>
          </w:p>
        </w:tc>
        <w:tc>
          <w:tcPr>
            <w:tcW w:w="744" w:type="dxa"/>
            <w:tcBorders>
              <w:top w:val="single" w:sz="4" w:space="0" w:color="000000"/>
              <w:left w:val="single" w:sz="12" w:space="0" w:color="000000"/>
              <w:bottom w:val="single" w:sz="4" w:space="0" w:color="000000"/>
              <w:right w:val="single" w:sz="12" w:space="0" w:color="000000"/>
            </w:tcBorders>
          </w:tcPr>
          <w:p w14:paraId="49E2CE28" w14:textId="4CEF5417" w:rsidR="00B0429D" w:rsidRDefault="00B0429D" w:rsidP="00B17831">
            <w:pPr>
              <w:tabs>
                <w:tab w:val="center" w:pos="354"/>
              </w:tabs>
              <w:spacing w:after="0" w:line="259" w:lineRule="auto"/>
              <w:ind w:left="0" w:right="0" w:firstLine="0"/>
              <w:jc w:val="center"/>
            </w:pPr>
            <w:r>
              <w:rPr>
                <w:sz w:val="18"/>
              </w:rPr>
              <w:t>5</w:t>
            </w:r>
          </w:p>
        </w:tc>
        <w:tc>
          <w:tcPr>
            <w:tcW w:w="900" w:type="dxa"/>
            <w:tcBorders>
              <w:top w:val="single" w:sz="4" w:space="0" w:color="000000"/>
              <w:left w:val="single" w:sz="12" w:space="0" w:color="000000"/>
              <w:bottom w:val="single" w:sz="4" w:space="0" w:color="000000"/>
              <w:right w:val="single" w:sz="12" w:space="0" w:color="000000"/>
            </w:tcBorders>
          </w:tcPr>
          <w:p w14:paraId="1D0BB5DE" w14:textId="1479C82E" w:rsidR="00B0429D" w:rsidRDefault="00B0429D" w:rsidP="00B2651C">
            <w:pPr>
              <w:spacing w:after="0" w:line="259" w:lineRule="auto"/>
              <w:ind w:left="0" w:right="46" w:firstLine="0"/>
              <w:jc w:val="center"/>
            </w:pPr>
            <w:r>
              <w:rPr>
                <w:sz w:val="18"/>
              </w:rPr>
              <w:t>ug/L</w:t>
            </w:r>
          </w:p>
        </w:tc>
        <w:tc>
          <w:tcPr>
            <w:tcW w:w="1080" w:type="dxa"/>
            <w:tcBorders>
              <w:top w:val="single" w:sz="4" w:space="0" w:color="000000"/>
              <w:left w:val="single" w:sz="12" w:space="0" w:color="000000"/>
              <w:bottom w:val="single" w:sz="4" w:space="0" w:color="000000"/>
              <w:right w:val="single" w:sz="12" w:space="0" w:color="000000"/>
            </w:tcBorders>
          </w:tcPr>
          <w:p w14:paraId="654CB740" w14:textId="1F014DAD" w:rsidR="00B0429D" w:rsidRDefault="00B0429D" w:rsidP="00B17831">
            <w:pPr>
              <w:spacing w:after="0" w:line="259" w:lineRule="auto"/>
              <w:ind w:left="0" w:right="47" w:firstLine="0"/>
              <w:jc w:val="center"/>
            </w:pPr>
            <w:r>
              <w:rPr>
                <w:sz w:val="18"/>
              </w:rPr>
              <w:t>N/A</w:t>
            </w:r>
          </w:p>
        </w:tc>
        <w:tc>
          <w:tcPr>
            <w:tcW w:w="991" w:type="dxa"/>
            <w:tcBorders>
              <w:top w:val="single" w:sz="4" w:space="0" w:color="000000"/>
              <w:left w:val="single" w:sz="12" w:space="0" w:color="000000"/>
              <w:bottom w:val="single" w:sz="4" w:space="0" w:color="000000"/>
              <w:right w:val="single" w:sz="12" w:space="0" w:color="000000"/>
            </w:tcBorders>
          </w:tcPr>
          <w:p w14:paraId="4B1EF588" w14:textId="100DABD5" w:rsidR="00B0429D" w:rsidRDefault="00B0429D" w:rsidP="00B17831">
            <w:pPr>
              <w:spacing w:after="0" w:line="259" w:lineRule="auto"/>
              <w:ind w:left="0" w:right="42" w:firstLine="0"/>
              <w:jc w:val="center"/>
            </w:pPr>
            <w:r>
              <w:rPr>
                <w:sz w:val="18"/>
              </w:rPr>
              <w:t>N/A</w:t>
            </w:r>
          </w:p>
        </w:tc>
        <w:tc>
          <w:tcPr>
            <w:tcW w:w="843" w:type="dxa"/>
            <w:tcBorders>
              <w:top w:val="single" w:sz="4" w:space="0" w:color="000000"/>
              <w:left w:val="single" w:sz="12" w:space="0" w:color="000000"/>
              <w:bottom w:val="single" w:sz="4" w:space="0" w:color="000000"/>
              <w:right w:val="single" w:sz="12" w:space="0" w:color="000000"/>
            </w:tcBorders>
          </w:tcPr>
          <w:p w14:paraId="7DBE2FBB" w14:textId="7785D6E1" w:rsidR="00B0429D" w:rsidRDefault="00B0429D" w:rsidP="00B17831">
            <w:pPr>
              <w:spacing w:after="0" w:line="259" w:lineRule="auto"/>
              <w:ind w:left="0" w:right="45" w:firstLine="0"/>
              <w:jc w:val="center"/>
            </w:pPr>
            <w:r>
              <w:rPr>
                <w:b/>
                <w:sz w:val="18"/>
              </w:rPr>
              <w:t>525.2</w:t>
            </w:r>
          </w:p>
        </w:tc>
        <w:tc>
          <w:tcPr>
            <w:tcW w:w="776" w:type="dxa"/>
            <w:tcBorders>
              <w:top w:val="single" w:sz="4" w:space="0" w:color="000000"/>
              <w:left w:val="single" w:sz="12" w:space="0" w:color="000000"/>
              <w:bottom w:val="single" w:sz="4" w:space="0" w:color="000000"/>
              <w:right w:val="single" w:sz="12" w:space="0" w:color="000000"/>
            </w:tcBorders>
          </w:tcPr>
          <w:p w14:paraId="043A0429" w14:textId="64916109" w:rsidR="00B0429D" w:rsidRPr="00D42DEF" w:rsidRDefault="00B0429D" w:rsidP="00B17831">
            <w:pPr>
              <w:spacing w:after="0" w:line="259" w:lineRule="auto"/>
              <w:ind w:left="0" w:right="44" w:firstLine="0"/>
              <w:jc w:val="center"/>
              <w:rPr>
                <w:iCs/>
              </w:rPr>
            </w:pPr>
            <w:r w:rsidRPr="00824CE4">
              <w:rPr>
                <w:iCs/>
                <w:sz w:val="18"/>
              </w:rPr>
              <w:t>508.1</w:t>
            </w:r>
          </w:p>
        </w:tc>
        <w:tc>
          <w:tcPr>
            <w:tcW w:w="630" w:type="dxa"/>
            <w:tcBorders>
              <w:top w:val="single" w:sz="4" w:space="0" w:color="000000"/>
              <w:left w:val="single" w:sz="12" w:space="0" w:color="000000"/>
              <w:bottom w:val="single" w:sz="4" w:space="0" w:color="000000"/>
              <w:right w:val="single" w:sz="12" w:space="0" w:color="000000"/>
            </w:tcBorders>
          </w:tcPr>
          <w:p w14:paraId="40BE49AC" w14:textId="3844744E" w:rsidR="00B0429D" w:rsidRDefault="00B0429D" w:rsidP="00B2651C">
            <w:pPr>
              <w:spacing w:after="0" w:line="259" w:lineRule="auto"/>
              <w:ind w:left="0" w:right="46" w:firstLine="0"/>
              <w:jc w:val="center"/>
            </w:pPr>
            <w:r>
              <w:rPr>
                <w:sz w:val="18"/>
              </w:rPr>
              <w:t>622</w:t>
            </w:r>
          </w:p>
        </w:tc>
      </w:tr>
      <w:tr w:rsidR="00B0429D" w14:paraId="7AC68ABB" w14:textId="77777777" w:rsidTr="00C23B62">
        <w:trPr>
          <w:trHeight w:val="250"/>
        </w:trPr>
        <w:tc>
          <w:tcPr>
            <w:tcW w:w="3240" w:type="dxa"/>
            <w:tcBorders>
              <w:top w:val="single" w:sz="4" w:space="0" w:color="000000"/>
              <w:left w:val="single" w:sz="12" w:space="0" w:color="000000"/>
              <w:bottom w:val="single" w:sz="4" w:space="0" w:color="000000"/>
              <w:right w:val="single" w:sz="12" w:space="0" w:color="000000"/>
            </w:tcBorders>
          </w:tcPr>
          <w:p w14:paraId="7D9AC265" w14:textId="4B812814" w:rsidR="00B0429D" w:rsidRDefault="00B0429D" w:rsidP="00B0429D">
            <w:pPr>
              <w:spacing w:after="0" w:line="259" w:lineRule="auto"/>
              <w:ind w:left="2" w:right="0" w:firstLine="0"/>
            </w:pPr>
            <w:proofErr w:type="spellStart"/>
            <w:r>
              <w:rPr>
                <w:sz w:val="18"/>
              </w:rPr>
              <w:t>Cyanazine</w:t>
            </w:r>
            <w:proofErr w:type="spellEnd"/>
            <w:r>
              <w:rPr>
                <w:sz w:val="18"/>
              </w:rPr>
              <w:t xml:space="preserve"> (</w:t>
            </w:r>
            <w:r>
              <w:rPr>
                <w:i/>
                <w:sz w:val="18"/>
              </w:rPr>
              <w:t xml:space="preserve">Bladex) </w:t>
            </w:r>
          </w:p>
        </w:tc>
        <w:tc>
          <w:tcPr>
            <w:tcW w:w="1326" w:type="dxa"/>
            <w:tcBorders>
              <w:top w:val="single" w:sz="4" w:space="0" w:color="000000"/>
              <w:left w:val="single" w:sz="12" w:space="0" w:color="000000"/>
              <w:bottom w:val="single" w:sz="4" w:space="0" w:color="000000"/>
              <w:right w:val="single" w:sz="12" w:space="0" w:color="000000"/>
            </w:tcBorders>
          </w:tcPr>
          <w:p w14:paraId="3520AA28" w14:textId="352EAC9A" w:rsidR="00B0429D" w:rsidRDefault="00B0429D" w:rsidP="00B17831">
            <w:pPr>
              <w:spacing w:after="0" w:line="259" w:lineRule="auto"/>
              <w:ind w:left="0" w:right="44" w:firstLine="0"/>
              <w:jc w:val="center"/>
            </w:pPr>
            <w:r>
              <w:rPr>
                <w:sz w:val="18"/>
              </w:rPr>
              <w:t>21725-46-2</w:t>
            </w:r>
          </w:p>
        </w:tc>
        <w:tc>
          <w:tcPr>
            <w:tcW w:w="744" w:type="dxa"/>
            <w:tcBorders>
              <w:top w:val="single" w:sz="4" w:space="0" w:color="000000"/>
              <w:left w:val="single" w:sz="12" w:space="0" w:color="000000"/>
              <w:bottom w:val="single" w:sz="4" w:space="0" w:color="000000"/>
              <w:right w:val="single" w:sz="12" w:space="0" w:color="000000"/>
            </w:tcBorders>
          </w:tcPr>
          <w:p w14:paraId="412C97F9" w14:textId="5AA068BC" w:rsidR="00B0429D" w:rsidRDefault="00B0429D" w:rsidP="00B17831">
            <w:pPr>
              <w:tabs>
                <w:tab w:val="center" w:pos="399"/>
              </w:tabs>
              <w:spacing w:after="0" w:line="259" w:lineRule="auto"/>
              <w:ind w:left="0" w:right="0" w:firstLine="0"/>
              <w:jc w:val="center"/>
            </w:pPr>
            <w:r>
              <w:rPr>
                <w:sz w:val="18"/>
              </w:rPr>
              <w:t>0.2</w:t>
            </w:r>
          </w:p>
        </w:tc>
        <w:tc>
          <w:tcPr>
            <w:tcW w:w="900" w:type="dxa"/>
            <w:tcBorders>
              <w:top w:val="single" w:sz="4" w:space="0" w:color="000000"/>
              <w:left w:val="single" w:sz="12" w:space="0" w:color="000000"/>
              <w:bottom w:val="single" w:sz="4" w:space="0" w:color="000000"/>
              <w:right w:val="single" w:sz="12" w:space="0" w:color="000000"/>
            </w:tcBorders>
          </w:tcPr>
          <w:p w14:paraId="66CF0452" w14:textId="56DED780" w:rsidR="00B0429D" w:rsidRDefault="00B0429D" w:rsidP="00B2651C">
            <w:pPr>
              <w:spacing w:after="0" w:line="259" w:lineRule="auto"/>
              <w:ind w:left="0" w:right="46" w:firstLine="0"/>
              <w:jc w:val="center"/>
            </w:pPr>
            <w:r>
              <w:rPr>
                <w:sz w:val="18"/>
              </w:rPr>
              <w:t>ug/L</w:t>
            </w:r>
          </w:p>
        </w:tc>
        <w:tc>
          <w:tcPr>
            <w:tcW w:w="1080" w:type="dxa"/>
            <w:tcBorders>
              <w:top w:val="single" w:sz="4" w:space="0" w:color="000000"/>
              <w:left w:val="single" w:sz="12" w:space="0" w:color="000000"/>
              <w:bottom w:val="single" w:sz="4" w:space="0" w:color="000000"/>
              <w:right w:val="single" w:sz="12" w:space="0" w:color="000000"/>
            </w:tcBorders>
          </w:tcPr>
          <w:p w14:paraId="2EE5A7F7" w14:textId="3DFE3639" w:rsidR="00B0429D" w:rsidRDefault="00B0429D" w:rsidP="00B17831">
            <w:pPr>
              <w:spacing w:after="0" w:line="259" w:lineRule="auto"/>
              <w:ind w:left="0" w:right="47" w:firstLine="0"/>
              <w:jc w:val="center"/>
            </w:pPr>
            <w:r>
              <w:rPr>
                <w:sz w:val="18"/>
              </w:rPr>
              <w:t>N/A</w:t>
            </w:r>
          </w:p>
        </w:tc>
        <w:tc>
          <w:tcPr>
            <w:tcW w:w="991" w:type="dxa"/>
            <w:tcBorders>
              <w:top w:val="single" w:sz="4" w:space="0" w:color="000000"/>
              <w:left w:val="single" w:sz="12" w:space="0" w:color="000000"/>
              <w:bottom w:val="single" w:sz="4" w:space="0" w:color="000000"/>
              <w:right w:val="single" w:sz="12" w:space="0" w:color="000000"/>
            </w:tcBorders>
          </w:tcPr>
          <w:p w14:paraId="3B6970F8" w14:textId="5C72F1B0" w:rsidR="00B0429D" w:rsidRDefault="00B0429D" w:rsidP="00B17831">
            <w:pPr>
              <w:spacing w:after="0" w:line="259" w:lineRule="auto"/>
              <w:ind w:left="0" w:right="42" w:firstLine="0"/>
              <w:jc w:val="center"/>
            </w:pPr>
            <w:r>
              <w:rPr>
                <w:sz w:val="18"/>
              </w:rPr>
              <w:t>N/A</w:t>
            </w:r>
          </w:p>
        </w:tc>
        <w:tc>
          <w:tcPr>
            <w:tcW w:w="843" w:type="dxa"/>
            <w:tcBorders>
              <w:top w:val="single" w:sz="4" w:space="0" w:color="000000"/>
              <w:left w:val="single" w:sz="12" w:space="0" w:color="000000"/>
              <w:bottom w:val="single" w:sz="4" w:space="0" w:color="000000"/>
              <w:right w:val="single" w:sz="12" w:space="0" w:color="000000"/>
            </w:tcBorders>
          </w:tcPr>
          <w:p w14:paraId="571FA373" w14:textId="40AEC3A1" w:rsidR="00B0429D" w:rsidRDefault="00B0429D" w:rsidP="00B17831">
            <w:pPr>
              <w:spacing w:after="0" w:line="259" w:lineRule="auto"/>
              <w:ind w:left="0" w:right="45" w:firstLine="0"/>
              <w:jc w:val="center"/>
            </w:pPr>
            <w:r>
              <w:rPr>
                <w:b/>
                <w:sz w:val="18"/>
              </w:rPr>
              <w:t>525.2</w:t>
            </w:r>
          </w:p>
        </w:tc>
        <w:tc>
          <w:tcPr>
            <w:tcW w:w="776" w:type="dxa"/>
            <w:tcBorders>
              <w:top w:val="single" w:sz="4" w:space="0" w:color="000000"/>
              <w:left w:val="single" w:sz="12" w:space="0" w:color="000000"/>
              <w:bottom w:val="single" w:sz="4" w:space="0" w:color="000000"/>
              <w:right w:val="single" w:sz="12" w:space="0" w:color="000000"/>
            </w:tcBorders>
          </w:tcPr>
          <w:p w14:paraId="73CE45F2" w14:textId="0B93D766" w:rsidR="00B0429D" w:rsidRDefault="00B0429D" w:rsidP="00B17831">
            <w:pPr>
              <w:spacing w:after="0" w:line="259" w:lineRule="auto"/>
              <w:ind w:left="0" w:right="44" w:firstLine="0"/>
              <w:jc w:val="center"/>
            </w:pPr>
            <w:r>
              <w:rPr>
                <w:sz w:val="18"/>
              </w:rPr>
              <w:t>508.1</w:t>
            </w:r>
          </w:p>
        </w:tc>
        <w:tc>
          <w:tcPr>
            <w:tcW w:w="630" w:type="dxa"/>
            <w:tcBorders>
              <w:top w:val="single" w:sz="4" w:space="0" w:color="000000"/>
              <w:left w:val="single" w:sz="12" w:space="0" w:color="000000"/>
              <w:bottom w:val="single" w:sz="4" w:space="0" w:color="000000"/>
              <w:right w:val="single" w:sz="12" w:space="0" w:color="000000"/>
            </w:tcBorders>
          </w:tcPr>
          <w:p w14:paraId="4B5E4694" w14:textId="41BB2AB6" w:rsidR="00B0429D" w:rsidRDefault="00B0429D" w:rsidP="00B2651C">
            <w:pPr>
              <w:spacing w:after="0" w:line="259" w:lineRule="auto"/>
              <w:ind w:left="0" w:right="0" w:firstLine="0"/>
              <w:jc w:val="center"/>
            </w:pPr>
          </w:p>
        </w:tc>
      </w:tr>
      <w:tr w:rsidR="00B0429D" w14:paraId="5F6D3FF4" w14:textId="77777777" w:rsidTr="00C23B62">
        <w:trPr>
          <w:trHeight w:val="250"/>
        </w:trPr>
        <w:tc>
          <w:tcPr>
            <w:tcW w:w="3240" w:type="dxa"/>
            <w:tcBorders>
              <w:top w:val="single" w:sz="4" w:space="0" w:color="000000"/>
              <w:left w:val="single" w:sz="12" w:space="0" w:color="000000"/>
              <w:bottom w:val="single" w:sz="4" w:space="0" w:color="000000"/>
              <w:right w:val="single" w:sz="12" w:space="0" w:color="000000"/>
            </w:tcBorders>
          </w:tcPr>
          <w:p w14:paraId="2DC52883" w14:textId="77777777" w:rsidR="00B0429D" w:rsidRDefault="00B0429D" w:rsidP="00B0429D">
            <w:pPr>
              <w:spacing w:after="0" w:line="259" w:lineRule="auto"/>
              <w:ind w:left="2" w:right="0" w:firstLine="0"/>
            </w:pPr>
            <w:proofErr w:type="spellStart"/>
            <w:r>
              <w:rPr>
                <w:sz w:val="18"/>
              </w:rPr>
              <w:t>Cycloate</w:t>
            </w:r>
            <w:proofErr w:type="spellEnd"/>
            <w:r>
              <w:rPr>
                <w:sz w:val="18"/>
              </w:rPr>
              <w:t xml:space="preserve"> </w:t>
            </w:r>
          </w:p>
        </w:tc>
        <w:tc>
          <w:tcPr>
            <w:tcW w:w="1326" w:type="dxa"/>
            <w:tcBorders>
              <w:top w:val="single" w:sz="4" w:space="0" w:color="000000"/>
              <w:left w:val="single" w:sz="12" w:space="0" w:color="000000"/>
              <w:bottom w:val="single" w:sz="4" w:space="0" w:color="000000"/>
              <w:right w:val="single" w:sz="12" w:space="0" w:color="000000"/>
            </w:tcBorders>
          </w:tcPr>
          <w:p w14:paraId="7FAFF7BD" w14:textId="44626CF9" w:rsidR="00B0429D" w:rsidRDefault="00B0429D" w:rsidP="00B17831">
            <w:pPr>
              <w:spacing w:after="0" w:line="259" w:lineRule="auto"/>
              <w:ind w:left="0" w:right="44" w:firstLine="0"/>
              <w:jc w:val="center"/>
            </w:pPr>
            <w:r>
              <w:rPr>
                <w:sz w:val="18"/>
              </w:rPr>
              <w:t>1134-23-2</w:t>
            </w:r>
          </w:p>
        </w:tc>
        <w:tc>
          <w:tcPr>
            <w:tcW w:w="744" w:type="dxa"/>
            <w:tcBorders>
              <w:top w:val="single" w:sz="4" w:space="0" w:color="000000"/>
              <w:left w:val="single" w:sz="12" w:space="0" w:color="000000"/>
              <w:bottom w:val="single" w:sz="4" w:space="0" w:color="000000"/>
              <w:right w:val="single" w:sz="12" w:space="0" w:color="000000"/>
            </w:tcBorders>
          </w:tcPr>
          <w:p w14:paraId="1CBFF8CF" w14:textId="0EFB52AB" w:rsidR="00B0429D" w:rsidRDefault="00B0429D" w:rsidP="00B17831">
            <w:pPr>
              <w:tabs>
                <w:tab w:val="center" w:pos="354"/>
              </w:tabs>
              <w:spacing w:after="0" w:line="259" w:lineRule="auto"/>
              <w:ind w:left="0" w:right="0" w:firstLine="0"/>
              <w:jc w:val="center"/>
            </w:pPr>
            <w:r>
              <w:rPr>
                <w:sz w:val="18"/>
              </w:rPr>
              <w:t>1</w:t>
            </w:r>
          </w:p>
        </w:tc>
        <w:tc>
          <w:tcPr>
            <w:tcW w:w="900" w:type="dxa"/>
            <w:tcBorders>
              <w:top w:val="single" w:sz="4" w:space="0" w:color="000000"/>
              <w:left w:val="single" w:sz="12" w:space="0" w:color="000000"/>
              <w:bottom w:val="single" w:sz="4" w:space="0" w:color="000000"/>
              <w:right w:val="single" w:sz="12" w:space="0" w:color="000000"/>
            </w:tcBorders>
          </w:tcPr>
          <w:p w14:paraId="0BB8ED73" w14:textId="5A9F252A" w:rsidR="00B0429D" w:rsidRDefault="00B0429D" w:rsidP="00B2651C">
            <w:pPr>
              <w:spacing w:after="0" w:line="259" w:lineRule="auto"/>
              <w:ind w:left="0" w:right="46" w:firstLine="0"/>
              <w:jc w:val="center"/>
            </w:pPr>
            <w:r>
              <w:rPr>
                <w:sz w:val="18"/>
              </w:rPr>
              <w:t>ug/L</w:t>
            </w:r>
          </w:p>
        </w:tc>
        <w:tc>
          <w:tcPr>
            <w:tcW w:w="1080" w:type="dxa"/>
            <w:tcBorders>
              <w:top w:val="single" w:sz="4" w:space="0" w:color="000000"/>
              <w:left w:val="single" w:sz="12" w:space="0" w:color="000000"/>
              <w:bottom w:val="single" w:sz="4" w:space="0" w:color="000000"/>
              <w:right w:val="single" w:sz="12" w:space="0" w:color="000000"/>
            </w:tcBorders>
          </w:tcPr>
          <w:p w14:paraId="507A1CDC" w14:textId="26619B32" w:rsidR="00B0429D" w:rsidRDefault="00B0429D" w:rsidP="00B17831">
            <w:pPr>
              <w:spacing w:after="0" w:line="259" w:lineRule="auto"/>
              <w:ind w:left="0" w:right="47" w:firstLine="0"/>
              <w:jc w:val="center"/>
            </w:pPr>
            <w:r>
              <w:rPr>
                <w:sz w:val="18"/>
              </w:rPr>
              <w:t>N/A</w:t>
            </w:r>
          </w:p>
        </w:tc>
        <w:tc>
          <w:tcPr>
            <w:tcW w:w="991" w:type="dxa"/>
            <w:tcBorders>
              <w:top w:val="single" w:sz="4" w:space="0" w:color="000000"/>
              <w:left w:val="single" w:sz="12" w:space="0" w:color="000000"/>
              <w:bottom w:val="single" w:sz="4" w:space="0" w:color="000000"/>
              <w:right w:val="single" w:sz="12" w:space="0" w:color="000000"/>
            </w:tcBorders>
          </w:tcPr>
          <w:p w14:paraId="77B1F3B8" w14:textId="098B85F7" w:rsidR="00B0429D" w:rsidRDefault="00B0429D" w:rsidP="00B17831">
            <w:pPr>
              <w:spacing w:after="0" w:line="259" w:lineRule="auto"/>
              <w:ind w:left="0" w:right="42" w:firstLine="0"/>
              <w:jc w:val="center"/>
            </w:pPr>
            <w:r>
              <w:rPr>
                <w:sz w:val="18"/>
              </w:rPr>
              <w:t>N/A</w:t>
            </w:r>
          </w:p>
        </w:tc>
        <w:tc>
          <w:tcPr>
            <w:tcW w:w="843" w:type="dxa"/>
            <w:tcBorders>
              <w:top w:val="single" w:sz="4" w:space="0" w:color="000000"/>
              <w:left w:val="single" w:sz="12" w:space="0" w:color="000000"/>
              <w:bottom w:val="single" w:sz="4" w:space="0" w:color="000000"/>
              <w:right w:val="single" w:sz="12" w:space="0" w:color="000000"/>
            </w:tcBorders>
          </w:tcPr>
          <w:p w14:paraId="00DFC4D8" w14:textId="489EFC11" w:rsidR="00B0429D" w:rsidRDefault="00B0429D" w:rsidP="00B17831">
            <w:pPr>
              <w:spacing w:after="0" w:line="259" w:lineRule="auto"/>
              <w:ind w:left="0" w:right="45" w:firstLine="0"/>
              <w:jc w:val="center"/>
            </w:pPr>
            <w:r>
              <w:rPr>
                <w:b/>
                <w:sz w:val="18"/>
              </w:rPr>
              <w:t>525.2</w:t>
            </w:r>
          </w:p>
        </w:tc>
        <w:tc>
          <w:tcPr>
            <w:tcW w:w="776" w:type="dxa"/>
            <w:tcBorders>
              <w:top w:val="single" w:sz="4" w:space="0" w:color="000000"/>
              <w:left w:val="single" w:sz="12" w:space="0" w:color="000000"/>
              <w:bottom w:val="single" w:sz="4" w:space="0" w:color="000000"/>
              <w:right w:val="single" w:sz="12" w:space="0" w:color="000000"/>
            </w:tcBorders>
          </w:tcPr>
          <w:p w14:paraId="238F54A2" w14:textId="1638FFE1" w:rsidR="00B0429D" w:rsidRDefault="00B0429D" w:rsidP="00B17831">
            <w:pPr>
              <w:spacing w:after="0" w:line="259" w:lineRule="auto"/>
              <w:ind w:left="0" w:right="46" w:firstLine="0"/>
              <w:jc w:val="center"/>
            </w:pPr>
            <w:r>
              <w:rPr>
                <w:sz w:val="18"/>
              </w:rPr>
              <w:t>507</w:t>
            </w:r>
          </w:p>
        </w:tc>
        <w:tc>
          <w:tcPr>
            <w:tcW w:w="630" w:type="dxa"/>
            <w:tcBorders>
              <w:top w:val="single" w:sz="4" w:space="0" w:color="000000"/>
              <w:left w:val="single" w:sz="12" w:space="0" w:color="000000"/>
              <w:bottom w:val="single" w:sz="4" w:space="0" w:color="000000"/>
              <w:right w:val="single" w:sz="12" w:space="0" w:color="000000"/>
            </w:tcBorders>
          </w:tcPr>
          <w:p w14:paraId="4CAE8D3D" w14:textId="23BD1D34" w:rsidR="00B0429D" w:rsidRDefault="00B0429D" w:rsidP="00B17831">
            <w:pPr>
              <w:spacing w:after="0" w:line="259" w:lineRule="auto"/>
              <w:ind w:left="0" w:right="46" w:firstLine="0"/>
              <w:jc w:val="center"/>
            </w:pPr>
            <w:r>
              <w:rPr>
                <w:sz w:val="18"/>
              </w:rPr>
              <w:t>634</w:t>
            </w:r>
          </w:p>
        </w:tc>
      </w:tr>
      <w:tr w:rsidR="00B0429D" w14:paraId="3D1F38F9" w14:textId="77777777" w:rsidTr="00C23B62">
        <w:trPr>
          <w:trHeight w:val="252"/>
        </w:trPr>
        <w:tc>
          <w:tcPr>
            <w:tcW w:w="3240" w:type="dxa"/>
            <w:tcBorders>
              <w:top w:val="single" w:sz="4" w:space="0" w:color="000000"/>
              <w:left w:val="single" w:sz="12" w:space="0" w:color="000000"/>
              <w:bottom w:val="single" w:sz="4" w:space="0" w:color="000000"/>
              <w:right w:val="single" w:sz="12" w:space="0" w:color="000000"/>
            </w:tcBorders>
          </w:tcPr>
          <w:p w14:paraId="7D3B4D40" w14:textId="77777777" w:rsidR="00B0429D" w:rsidRDefault="00B0429D" w:rsidP="00B0429D">
            <w:pPr>
              <w:spacing w:after="0" w:line="259" w:lineRule="auto"/>
              <w:ind w:left="2" w:right="0" w:firstLine="0"/>
            </w:pPr>
            <w:r>
              <w:rPr>
                <w:sz w:val="18"/>
              </w:rPr>
              <w:t xml:space="preserve">Diazinon </w:t>
            </w:r>
          </w:p>
        </w:tc>
        <w:tc>
          <w:tcPr>
            <w:tcW w:w="1326" w:type="dxa"/>
            <w:tcBorders>
              <w:top w:val="single" w:sz="4" w:space="0" w:color="000000"/>
              <w:left w:val="single" w:sz="12" w:space="0" w:color="000000"/>
              <w:bottom w:val="single" w:sz="4" w:space="0" w:color="000000"/>
              <w:right w:val="single" w:sz="12" w:space="0" w:color="000000"/>
            </w:tcBorders>
          </w:tcPr>
          <w:p w14:paraId="670F99BE" w14:textId="29160BCA" w:rsidR="00B0429D" w:rsidRDefault="00B0429D" w:rsidP="00B17831">
            <w:pPr>
              <w:spacing w:after="0" w:line="259" w:lineRule="auto"/>
              <w:ind w:left="0" w:right="44" w:firstLine="0"/>
              <w:jc w:val="center"/>
            </w:pPr>
            <w:r>
              <w:rPr>
                <w:sz w:val="18"/>
              </w:rPr>
              <w:t>331-41-5</w:t>
            </w:r>
          </w:p>
        </w:tc>
        <w:tc>
          <w:tcPr>
            <w:tcW w:w="744" w:type="dxa"/>
            <w:tcBorders>
              <w:top w:val="single" w:sz="4" w:space="0" w:color="000000"/>
              <w:left w:val="single" w:sz="12" w:space="0" w:color="000000"/>
              <w:bottom w:val="single" w:sz="4" w:space="0" w:color="000000"/>
              <w:right w:val="single" w:sz="12" w:space="0" w:color="000000"/>
            </w:tcBorders>
          </w:tcPr>
          <w:p w14:paraId="5C89F3D9" w14:textId="4DCF0B31" w:rsidR="00B0429D" w:rsidRDefault="00B0429D" w:rsidP="00B17831">
            <w:pPr>
              <w:tabs>
                <w:tab w:val="center" w:pos="354"/>
              </w:tabs>
              <w:spacing w:after="0" w:line="259" w:lineRule="auto"/>
              <w:ind w:left="0" w:right="0" w:firstLine="0"/>
              <w:jc w:val="center"/>
            </w:pPr>
            <w:r>
              <w:rPr>
                <w:sz w:val="18"/>
              </w:rPr>
              <w:t>3</w:t>
            </w:r>
          </w:p>
        </w:tc>
        <w:tc>
          <w:tcPr>
            <w:tcW w:w="900" w:type="dxa"/>
            <w:tcBorders>
              <w:top w:val="single" w:sz="4" w:space="0" w:color="000000"/>
              <w:left w:val="single" w:sz="12" w:space="0" w:color="000000"/>
              <w:bottom w:val="single" w:sz="4" w:space="0" w:color="000000"/>
              <w:right w:val="single" w:sz="12" w:space="0" w:color="000000"/>
            </w:tcBorders>
          </w:tcPr>
          <w:p w14:paraId="335CC644" w14:textId="1AED233B" w:rsidR="00B0429D" w:rsidRDefault="00B0429D" w:rsidP="00B2651C">
            <w:pPr>
              <w:spacing w:after="0" w:line="259" w:lineRule="auto"/>
              <w:ind w:left="0" w:right="46" w:firstLine="0"/>
              <w:jc w:val="center"/>
            </w:pPr>
            <w:r>
              <w:rPr>
                <w:sz w:val="18"/>
              </w:rPr>
              <w:t>ug/L</w:t>
            </w:r>
          </w:p>
        </w:tc>
        <w:tc>
          <w:tcPr>
            <w:tcW w:w="1080" w:type="dxa"/>
            <w:tcBorders>
              <w:top w:val="single" w:sz="4" w:space="0" w:color="000000"/>
              <w:left w:val="single" w:sz="12" w:space="0" w:color="000000"/>
              <w:bottom w:val="single" w:sz="4" w:space="0" w:color="000000"/>
              <w:right w:val="single" w:sz="12" w:space="0" w:color="000000"/>
            </w:tcBorders>
          </w:tcPr>
          <w:p w14:paraId="092EF0E7" w14:textId="166D4C67" w:rsidR="00B0429D" w:rsidRDefault="00B0429D" w:rsidP="00B17831">
            <w:pPr>
              <w:spacing w:after="0" w:line="259" w:lineRule="auto"/>
              <w:ind w:left="0" w:right="47" w:firstLine="0"/>
              <w:jc w:val="center"/>
            </w:pPr>
            <w:r>
              <w:rPr>
                <w:sz w:val="18"/>
              </w:rPr>
              <w:t>N/A</w:t>
            </w:r>
          </w:p>
        </w:tc>
        <w:tc>
          <w:tcPr>
            <w:tcW w:w="991" w:type="dxa"/>
            <w:tcBorders>
              <w:top w:val="single" w:sz="4" w:space="0" w:color="000000"/>
              <w:left w:val="single" w:sz="12" w:space="0" w:color="000000"/>
              <w:bottom w:val="single" w:sz="4" w:space="0" w:color="000000"/>
              <w:right w:val="single" w:sz="12" w:space="0" w:color="000000"/>
            </w:tcBorders>
          </w:tcPr>
          <w:p w14:paraId="68DC8B5B" w14:textId="7A18C735" w:rsidR="00B0429D" w:rsidRDefault="00B0429D" w:rsidP="00B17831">
            <w:pPr>
              <w:spacing w:after="0" w:line="259" w:lineRule="auto"/>
              <w:ind w:left="0" w:right="42" w:firstLine="0"/>
              <w:jc w:val="center"/>
            </w:pPr>
            <w:r>
              <w:rPr>
                <w:sz w:val="18"/>
              </w:rPr>
              <w:t>N/A</w:t>
            </w:r>
          </w:p>
        </w:tc>
        <w:tc>
          <w:tcPr>
            <w:tcW w:w="843" w:type="dxa"/>
            <w:tcBorders>
              <w:top w:val="single" w:sz="4" w:space="0" w:color="000000"/>
              <w:left w:val="single" w:sz="12" w:space="0" w:color="000000"/>
              <w:bottom w:val="single" w:sz="4" w:space="0" w:color="000000"/>
              <w:right w:val="single" w:sz="12" w:space="0" w:color="000000"/>
            </w:tcBorders>
          </w:tcPr>
          <w:p w14:paraId="6FDB2029" w14:textId="239F3A83" w:rsidR="00B0429D" w:rsidRDefault="00B0429D" w:rsidP="00B17831">
            <w:pPr>
              <w:spacing w:after="0" w:line="259" w:lineRule="auto"/>
              <w:ind w:left="0" w:right="45" w:firstLine="0"/>
              <w:jc w:val="center"/>
            </w:pPr>
            <w:r>
              <w:rPr>
                <w:b/>
                <w:sz w:val="18"/>
              </w:rPr>
              <w:t>525.2</w:t>
            </w:r>
          </w:p>
        </w:tc>
        <w:tc>
          <w:tcPr>
            <w:tcW w:w="776" w:type="dxa"/>
            <w:tcBorders>
              <w:top w:val="single" w:sz="4" w:space="0" w:color="000000"/>
              <w:left w:val="single" w:sz="12" w:space="0" w:color="000000"/>
              <w:bottom w:val="single" w:sz="4" w:space="0" w:color="000000"/>
              <w:right w:val="single" w:sz="12" w:space="0" w:color="000000"/>
            </w:tcBorders>
          </w:tcPr>
          <w:p w14:paraId="446DB9A2" w14:textId="2E94699D" w:rsidR="00B0429D" w:rsidRDefault="00B0429D" w:rsidP="00B17831">
            <w:pPr>
              <w:spacing w:after="0" w:line="259" w:lineRule="auto"/>
              <w:ind w:left="0" w:right="46" w:firstLine="0"/>
              <w:jc w:val="center"/>
            </w:pPr>
            <w:r>
              <w:rPr>
                <w:sz w:val="18"/>
              </w:rPr>
              <w:t>507</w:t>
            </w:r>
          </w:p>
        </w:tc>
        <w:tc>
          <w:tcPr>
            <w:tcW w:w="630" w:type="dxa"/>
            <w:tcBorders>
              <w:top w:val="single" w:sz="4" w:space="0" w:color="000000"/>
              <w:left w:val="single" w:sz="12" w:space="0" w:color="000000"/>
              <w:bottom w:val="single" w:sz="4" w:space="0" w:color="000000"/>
              <w:right w:val="single" w:sz="12" w:space="0" w:color="000000"/>
            </w:tcBorders>
          </w:tcPr>
          <w:p w14:paraId="407755B1" w14:textId="0EA48474" w:rsidR="00B0429D" w:rsidRDefault="00B0429D" w:rsidP="00B17831">
            <w:pPr>
              <w:spacing w:after="0" w:line="259" w:lineRule="auto"/>
              <w:ind w:left="0" w:right="0" w:firstLine="0"/>
              <w:jc w:val="center"/>
            </w:pPr>
          </w:p>
        </w:tc>
      </w:tr>
      <w:tr w:rsidR="00B0429D" w14:paraId="69326F26" w14:textId="77777777" w:rsidTr="00C23B62">
        <w:trPr>
          <w:trHeight w:val="250"/>
        </w:trPr>
        <w:tc>
          <w:tcPr>
            <w:tcW w:w="3240" w:type="dxa"/>
            <w:tcBorders>
              <w:top w:val="single" w:sz="4" w:space="0" w:color="000000"/>
              <w:left w:val="single" w:sz="12" w:space="0" w:color="000000"/>
              <w:bottom w:val="single" w:sz="4" w:space="0" w:color="000000"/>
              <w:right w:val="single" w:sz="12" w:space="0" w:color="000000"/>
            </w:tcBorders>
          </w:tcPr>
          <w:p w14:paraId="71D981D8" w14:textId="77777777" w:rsidR="00B0429D" w:rsidRDefault="00B0429D" w:rsidP="00B0429D">
            <w:pPr>
              <w:spacing w:after="0" w:line="259" w:lineRule="auto"/>
              <w:ind w:left="2" w:right="0" w:firstLine="0"/>
            </w:pPr>
            <w:r>
              <w:rPr>
                <w:sz w:val="18"/>
              </w:rPr>
              <w:t xml:space="preserve">Dichlorvos </w:t>
            </w:r>
          </w:p>
        </w:tc>
        <w:tc>
          <w:tcPr>
            <w:tcW w:w="1326" w:type="dxa"/>
            <w:tcBorders>
              <w:top w:val="single" w:sz="4" w:space="0" w:color="000000"/>
              <w:left w:val="single" w:sz="12" w:space="0" w:color="000000"/>
              <w:bottom w:val="single" w:sz="4" w:space="0" w:color="000000"/>
              <w:right w:val="single" w:sz="12" w:space="0" w:color="000000"/>
            </w:tcBorders>
          </w:tcPr>
          <w:p w14:paraId="4057300F" w14:textId="587A1681" w:rsidR="00B0429D" w:rsidRDefault="00B0429D" w:rsidP="00B17831">
            <w:pPr>
              <w:spacing w:after="0" w:line="259" w:lineRule="auto"/>
              <w:ind w:left="0" w:right="44" w:firstLine="0"/>
              <w:jc w:val="center"/>
            </w:pPr>
            <w:r>
              <w:rPr>
                <w:sz w:val="18"/>
              </w:rPr>
              <w:t>62-73-7</w:t>
            </w:r>
          </w:p>
        </w:tc>
        <w:tc>
          <w:tcPr>
            <w:tcW w:w="744" w:type="dxa"/>
            <w:tcBorders>
              <w:top w:val="single" w:sz="4" w:space="0" w:color="000000"/>
              <w:left w:val="single" w:sz="12" w:space="0" w:color="000000"/>
              <w:bottom w:val="single" w:sz="4" w:space="0" w:color="000000"/>
              <w:right w:val="single" w:sz="12" w:space="0" w:color="000000"/>
            </w:tcBorders>
          </w:tcPr>
          <w:p w14:paraId="6BDB7B33" w14:textId="5EBE2DD3" w:rsidR="00B0429D" w:rsidRDefault="00B0429D" w:rsidP="00B17831">
            <w:pPr>
              <w:tabs>
                <w:tab w:val="center" w:pos="354"/>
              </w:tabs>
              <w:spacing w:after="0" w:line="259" w:lineRule="auto"/>
              <w:ind w:left="0" w:right="0" w:firstLine="0"/>
              <w:jc w:val="center"/>
            </w:pPr>
            <w:r>
              <w:rPr>
                <w:sz w:val="18"/>
              </w:rPr>
              <w:t>3</w:t>
            </w:r>
          </w:p>
        </w:tc>
        <w:tc>
          <w:tcPr>
            <w:tcW w:w="900" w:type="dxa"/>
            <w:tcBorders>
              <w:top w:val="single" w:sz="4" w:space="0" w:color="000000"/>
              <w:left w:val="single" w:sz="12" w:space="0" w:color="000000"/>
              <w:bottom w:val="single" w:sz="4" w:space="0" w:color="000000"/>
              <w:right w:val="single" w:sz="12" w:space="0" w:color="000000"/>
            </w:tcBorders>
          </w:tcPr>
          <w:p w14:paraId="5E1245DE" w14:textId="40F0E51F" w:rsidR="00B0429D" w:rsidRDefault="00B0429D" w:rsidP="00B2651C">
            <w:pPr>
              <w:spacing w:after="0" w:line="259" w:lineRule="auto"/>
              <w:ind w:left="0" w:right="46" w:firstLine="0"/>
              <w:jc w:val="center"/>
            </w:pPr>
            <w:r>
              <w:rPr>
                <w:sz w:val="18"/>
              </w:rPr>
              <w:t>ug/L</w:t>
            </w:r>
          </w:p>
        </w:tc>
        <w:tc>
          <w:tcPr>
            <w:tcW w:w="1080" w:type="dxa"/>
            <w:tcBorders>
              <w:top w:val="single" w:sz="4" w:space="0" w:color="000000"/>
              <w:left w:val="single" w:sz="12" w:space="0" w:color="000000"/>
              <w:bottom w:val="single" w:sz="4" w:space="0" w:color="000000"/>
              <w:right w:val="single" w:sz="12" w:space="0" w:color="000000"/>
            </w:tcBorders>
          </w:tcPr>
          <w:p w14:paraId="7E0F36AD" w14:textId="7492BE8F" w:rsidR="00B0429D" w:rsidRDefault="00B0429D" w:rsidP="00B17831">
            <w:pPr>
              <w:spacing w:after="0" w:line="259" w:lineRule="auto"/>
              <w:ind w:left="0" w:right="47" w:firstLine="0"/>
              <w:jc w:val="center"/>
            </w:pPr>
            <w:r>
              <w:rPr>
                <w:sz w:val="18"/>
              </w:rPr>
              <w:t>N/A</w:t>
            </w:r>
          </w:p>
        </w:tc>
        <w:tc>
          <w:tcPr>
            <w:tcW w:w="991" w:type="dxa"/>
            <w:tcBorders>
              <w:top w:val="single" w:sz="4" w:space="0" w:color="000000"/>
              <w:left w:val="single" w:sz="12" w:space="0" w:color="000000"/>
              <w:bottom w:val="single" w:sz="4" w:space="0" w:color="000000"/>
              <w:right w:val="single" w:sz="12" w:space="0" w:color="000000"/>
            </w:tcBorders>
          </w:tcPr>
          <w:p w14:paraId="28B193AB" w14:textId="3CA56E28" w:rsidR="00B0429D" w:rsidRDefault="00B0429D" w:rsidP="00B17831">
            <w:pPr>
              <w:spacing w:after="0" w:line="259" w:lineRule="auto"/>
              <w:ind w:left="0" w:right="42" w:firstLine="0"/>
              <w:jc w:val="center"/>
            </w:pPr>
            <w:r>
              <w:rPr>
                <w:sz w:val="18"/>
              </w:rPr>
              <w:t>N/A</w:t>
            </w:r>
          </w:p>
        </w:tc>
        <w:tc>
          <w:tcPr>
            <w:tcW w:w="843" w:type="dxa"/>
            <w:tcBorders>
              <w:top w:val="single" w:sz="4" w:space="0" w:color="000000"/>
              <w:left w:val="single" w:sz="12" w:space="0" w:color="000000"/>
              <w:bottom w:val="single" w:sz="4" w:space="0" w:color="000000"/>
              <w:right w:val="single" w:sz="12" w:space="0" w:color="000000"/>
            </w:tcBorders>
          </w:tcPr>
          <w:p w14:paraId="3F7AD4AC" w14:textId="317FD843" w:rsidR="00B0429D" w:rsidRDefault="00B0429D" w:rsidP="00B17831">
            <w:pPr>
              <w:spacing w:after="0" w:line="259" w:lineRule="auto"/>
              <w:ind w:left="0" w:right="45" w:firstLine="0"/>
              <w:jc w:val="center"/>
            </w:pPr>
            <w:r>
              <w:rPr>
                <w:b/>
                <w:sz w:val="18"/>
              </w:rPr>
              <w:t>525.2</w:t>
            </w:r>
          </w:p>
        </w:tc>
        <w:tc>
          <w:tcPr>
            <w:tcW w:w="776" w:type="dxa"/>
            <w:tcBorders>
              <w:top w:val="single" w:sz="4" w:space="0" w:color="000000"/>
              <w:left w:val="single" w:sz="12" w:space="0" w:color="000000"/>
              <w:bottom w:val="single" w:sz="4" w:space="0" w:color="000000"/>
              <w:right w:val="single" w:sz="12" w:space="0" w:color="000000"/>
            </w:tcBorders>
          </w:tcPr>
          <w:p w14:paraId="663DA43F" w14:textId="1098531E" w:rsidR="00B0429D" w:rsidRDefault="00B0429D" w:rsidP="00B17831">
            <w:pPr>
              <w:spacing w:after="0" w:line="259" w:lineRule="auto"/>
              <w:ind w:left="0" w:right="46" w:firstLine="0"/>
              <w:jc w:val="center"/>
            </w:pPr>
            <w:r>
              <w:rPr>
                <w:sz w:val="18"/>
              </w:rPr>
              <w:t>507</w:t>
            </w:r>
          </w:p>
        </w:tc>
        <w:tc>
          <w:tcPr>
            <w:tcW w:w="630" w:type="dxa"/>
            <w:tcBorders>
              <w:top w:val="single" w:sz="4" w:space="0" w:color="000000"/>
              <w:left w:val="single" w:sz="12" w:space="0" w:color="000000"/>
              <w:bottom w:val="single" w:sz="4" w:space="0" w:color="000000"/>
              <w:right w:val="single" w:sz="12" w:space="0" w:color="000000"/>
            </w:tcBorders>
          </w:tcPr>
          <w:p w14:paraId="65D2F5F4" w14:textId="3EB95208" w:rsidR="00B0429D" w:rsidRDefault="00B0429D" w:rsidP="00B17831">
            <w:pPr>
              <w:spacing w:after="0" w:line="259" w:lineRule="auto"/>
              <w:ind w:left="0" w:right="0" w:firstLine="0"/>
              <w:jc w:val="center"/>
            </w:pPr>
          </w:p>
        </w:tc>
      </w:tr>
      <w:tr w:rsidR="00B0429D" w14:paraId="23CBCAFF" w14:textId="77777777" w:rsidTr="00C23B62">
        <w:trPr>
          <w:trHeight w:val="250"/>
        </w:trPr>
        <w:tc>
          <w:tcPr>
            <w:tcW w:w="3240" w:type="dxa"/>
            <w:tcBorders>
              <w:top w:val="single" w:sz="4" w:space="0" w:color="000000"/>
              <w:left w:val="single" w:sz="12" w:space="0" w:color="000000"/>
              <w:bottom w:val="single" w:sz="4" w:space="0" w:color="000000"/>
              <w:right w:val="single" w:sz="12" w:space="0" w:color="000000"/>
            </w:tcBorders>
          </w:tcPr>
          <w:p w14:paraId="4EDEF905" w14:textId="77777777" w:rsidR="00B0429D" w:rsidRDefault="00B0429D" w:rsidP="00B0429D">
            <w:pPr>
              <w:spacing w:after="0" w:line="259" w:lineRule="auto"/>
              <w:ind w:left="2" w:right="0" w:firstLine="0"/>
            </w:pPr>
            <w:proofErr w:type="spellStart"/>
            <w:r>
              <w:rPr>
                <w:sz w:val="18"/>
              </w:rPr>
              <w:t>Diphenamid</w:t>
            </w:r>
            <w:proofErr w:type="spellEnd"/>
            <w:r>
              <w:rPr>
                <w:sz w:val="18"/>
              </w:rPr>
              <w:t xml:space="preserve"> </w:t>
            </w:r>
          </w:p>
        </w:tc>
        <w:tc>
          <w:tcPr>
            <w:tcW w:w="1326" w:type="dxa"/>
            <w:tcBorders>
              <w:top w:val="single" w:sz="4" w:space="0" w:color="000000"/>
              <w:left w:val="single" w:sz="12" w:space="0" w:color="000000"/>
              <w:bottom w:val="single" w:sz="4" w:space="0" w:color="000000"/>
              <w:right w:val="single" w:sz="12" w:space="0" w:color="000000"/>
            </w:tcBorders>
          </w:tcPr>
          <w:p w14:paraId="5B040417" w14:textId="668CD638" w:rsidR="00B0429D" w:rsidRDefault="00B0429D" w:rsidP="00B17831">
            <w:pPr>
              <w:spacing w:after="0" w:line="259" w:lineRule="auto"/>
              <w:ind w:left="0" w:right="44" w:firstLine="0"/>
              <w:jc w:val="center"/>
            </w:pPr>
            <w:r>
              <w:rPr>
                <w:sz w:val="18"/>
              </w:rPr>
              <w:t>957-51-7</w:t>
            </w:r>
          </w:p>
        </w:tc>
        <w:tc>
          <w:tcPr>
            <w:tcW w:w="744" w:type="dxa"/>
            <w:tcBorders>
              <w:top w:val="single" w:sz="4" w:space="0" w:color="000000"/>
              <w:left w:val="single" w:sz="12" w:space="0" w:color="000000"/>
              <w:bottom w:val="single" w:sz="4" w:space="0" w:color="000000"/>
              <w:right w:val="single" w:sz="12" w:space="0" w:color="000000"/>
            </w:tcBorders>
          </w:tcPr>
          <w:p w14:paraId="441DC6F0" w14:textId="44030FF7" w:rsidR="00B0429D" w:rsidRDefault="00B0429D" w:rsidP="00B17831">
            <w:pPr>
              <w:tabs>
                <w:tab w:val="center" w:pos="308"/>
              </w:tabs>
              <w:spacing w:after="0" w:line="259" w:lineRule="auto"/>
              <w:ind w:left="0" w:right="0" w:firstLine="0"/>
              <w:jc w:val="center"/>
            </w:pPr>
            <w:r>
              <w:rPr>
                <w:sz w:val="18"/>
              </w:rPr>
              <w:t>10</w:t>
            </w:r>
          </w:p>
        </w:tc>
        <w:tc>
          <w:tcPr>
            <w:tcW w:w="900" w:type="dxa"/>
            <w:tcBorders>
              <w:top w:val="single" w:sz="4" w:space="0" w:color="000000"/>
              <w:left w:val="single" w:sz="12" w:space="0" w:color="000000"/>
              <w:bottom w:val="single" w:sz="4" w:space="0" w:color="000000"/>
              <w:right w:val="single" w:sz="12" w:space="0" w:color="000000"/>
            </w:tcBorders>
          </w:tcPr>
          <w:p w14:paraId="4565C432" w14:textId="4488469B" w:rsidR="00B0429D" w:rsidRDefault="00B0429D" w:rsidP="00B2651C">
            <w:pPr>
              <w:spacing w:after="0" w:line="259" w:lineRule="auto"/>
              <w:ind w:left="0" w:right="46" w:firstLine="0"/>
              <w:jc w:val="center"/>
            </w:pPr>
            <w:r>
              <w:rPr>
                <w:sz w:val="18"/>
              </w:rPr>
              <w:t>ug/L</w:t>
            </w:r>
          </w:p>
        </w:tc>
        <w:tc>
          <w:tcPr>
            <w:tcW w:w="1080" w:type="dxa"/>
            <w:tcBorders>
              <w:top w:val="single" w:sz="4" w:space="0" w:color="000000"/>
              <w:left w:val="single" w:sz="12" w:space="0" w:color="000000"/>
              <w:bottom w:val="single" w:sz="4" w:space="0" w:color="000000"/>
              <w:right w:val="single" w:sz="12" w:space="0" w:color="000000"/>
            </w:tcBorders>
          </w:tcPr>
          <w:p w14:paraId="6C24984A" w14:textId="3B0973E9" w:rsidR="00B0429D" w:rsidRDefault="00B0429D" w:rsidP="00B17831">
            <w:pPr>
              <w:spacing w:after="0" w:line="259" w:lineRule="auto"/>
              <w:ind w:left="0" w:right="47" w:firstLine="0"/>
              <w:jc w:val="center"/>
            </w:pPr>
            <w:r>
              <w:rPr>
                <w:sz w:val="18"/>
              </w:rPr>
              <w:t>N/A</w:t>
            </w:r>
          </w:p>
        </w:tc>
        <w:tc>
          <w:tcPr>
            <w:tcW w:w="991" w:type="dxa"/>
            <w:tcBorders>
              <w:top w:val="single" w:sz="4" w:space="0" w:color="000000"/>
              <w:left w:val="single" w:sz="12" w:space="0" w:color="000000"/>
              <w:bottom w:val="single" w:sz="4" w:space="0" w:color="000000"/>
              <w:right w:val="single" w:sz="12" w:space="0" w:color="000000"/>
            </w:tcBorders>
          </w:tcPr>
          <w:p w14:paraId="52F33ED3" w14:textId="74B0960C" w:rsidR="00B0429D" w:rsidRDefault="00B0429D" w:rsidP="00B17831">
            <w:pPr>
              <w:spacing w:after="0" w:line="259" w:lineRule="auto"/>
              <w:ind w:left="0" w:right="42" w:firstLine="0"/>
              <w:jc w:val="center"/>
            </w:pPr>
            <w:r>
              <w:rPr>
                <w:sz w:val="18"/>
              </w:rPr>
              <w:t>N/A</w:t>
            </w:r>
          </w:p>
        </w:tc>
        <w:tc>
          <w:tcPr>
            <w:tcW w:w="843" w:type="dxa"/>
            <w:tcBorders>
              <w:top w:val="single" w:sz="4" w:space="0" w:color="000000"/>
              <w:left w:val="single" w:sz="12" w:space="0" w:color="000000"/>
              <w:bottom w:val="single" w:sz="4" w:space="0" w:color="000000"/>
              <w:right w:val="single" w:sz="12" w:space="0" w:color="000000"/>
            </w:tcBorders>
          </w:tcPr>
          <w:p w14:paraId="58BE0CE0" w14:textId="3579337C" w:rsidR="00B0429D" w:rsidRDefault="00B0429D" w:rsidP="00B17831">
            <w:pPr>
              <w:spacing w:after="0" w:line="259" w:lineRule="auto"/>
              <w:ind w:left="0" w:right="45" w:firstLine="0"/>
              <w:jc w:val="center"/>
            </w:pPr>
            <w:r>
              <w:rPr>
                <w:b/>
                <w:sz w:val="18"/>
              </w:rPr>
              <w:t>525.2</w:t>
            </w:r>
          </w:p>
        </w:tc>
        <w:tc>
          <w:tcPr>
            <w:tcW w:w="776" w:type="dxa"/>
            <w:tcBorders>
              <w:top w:val="single" w:sz="4" w:space="0" w:color="000000"/>
              <w:left w:val="single" w:sz="12" w:space="0" w:color="000000"/>
              <w:bottom w:val="single" w:sz="4" w:space="0" w:color="000000"/>
              <w:right w:val="single" w:sz="12" w:space="0" w:color="000000"/>
            </w:tcBorders>
          </w:tcPr>
          <w:p w14:paraId="0E00E09E" w14:textId="05B8EFE5" w:rsidR="00B0429D" w:rsidRDefault="00B0429D" w:rsidP="00B17831">
            <w:pPr>
              <w:spacing w:after="0" w:line="259" w:lineRule="auto"/>
              <w:ind w:left="0" w:right="46" w:firstLine="0"/>
              <w:jc w:val="center"/>
            </w:pPr>
            <w:r>
              <w:rPr>
                <w:sz w:val="18"/>
              </w:rPr>
              <w:t>507</w:t>
            </w:r>
          </w:p>
        </w:tc>
        <w:tc>
          <w:tcPr>
            <w:tcW w:w="630" w:type="dxa"/>
            <w:tcBorders>
              <w:top w:val="single" w:sz="4" w:space="0" w:color="000000"/>
              <w:left w:val="single" w:sz="12" w:space="0" w:color="000000"/>
              <w:bottom w:val="single" w:sz="4" w:space="0" w:color="000000"/>
              <w:right w:val="single" w:sz="12" w:space="0" w:color="000000"/>
            </w:tcBorders>
          </w:tcPr>
          <w:p w14:paraId="52B5CECF" w14:textId="22D7E17C" w:rsidR="00B0429D" w:rsidRDefault="00B0429D" w:rsidP="00B17831">
            <w:pPr>
              <w:spacing w:after="0" w:line="259" w:lineRule="auto"/>
              <w:ind w:left="0" w:right="0" w:firstLine="0"/>
              <w:jc w:val="center"/>
            </w:pPr>
          </w:p>
        </w:tc>
      </w:tr>
      <w:tr w:rsidR="00B0429D" w14:paraId="705EC01B" w14:textId="77777777" w:rsidTr="00C23B62">
        <w:trPr>
          <w:trHeight w:val="250"/>
        </w:trPr>
        <w:tc>
          <w:tcPr>
            <w:tcW w:w="3240" w:type="dxa"/>
            <w:tcBorders>
              <w:top w:val="single" w:sz="4" w:space="0" w:color="000000"/>
              <w:left w:val="single" w:sz="12" w:space="0" w:color="000000"/>
              <w:bottom w:val="single" w:sz="4" w:space="0" w:color="000000"/>
              <w:right w:val="single" w:sz="12" w:space="0" w:color="000000"/>
            </w:tcBorders>
          </w:tcPr>
          <w:p w14:paraId="5C374C69" w14:textId="77777777" w:rsidR="00B0429D" w:rsidRDefault="00B0429D" w:rsidP="00B0429D">
            <w:pPr>
              <w:spacing w:after="0" w:line="259" w:lineRule="auto"/>
              <w:ind w:left="2" w:right="0" w:firstLine="0"/>
            </w:pPr>
            <w:proofErr w:type="spellStart"/>
            <w:r>
              <w:rPr>
                <w:sz w:val="18"/>
              </w:rPr>
              <w:t>Disulfoton</w:t>
            </w:r>
            <w:proofErr w:type="spellEnd"/>
            <w:r>
              <w:rPr>
                <w:sz w:val="18"/>
              </w:rPr>
              <w:t xml:space="preserve"> </w:t>
            </w:r>
          </w:p>
        </w:tc>
        <w:tc>
          <w:tcPr>
            <w:tcW w:w="1326" w:type="dxa"/>
            <w:tcBorders>
              <w:top w:val="single" w:sz="4" w:space="0" w:color="000000"/>
              <w:left w:val="single" w:sz="12" w:space="0" w:color="000000"/>
              <w:bottom w:val="single" w:sz="4" w:space="0" w:color="000000"/>
              <w:right w:val="single" w:sz="12" w:space="0" w:color="000000"/>
            </w:tcBorders>
          </w:tcPr>
          <w:p w14:paraId="507B45B0" w14:textId="4EF21BDA" w:rsidR="00B0429D" w:rsidRDefault="00B0429D" w:rsidP="00B17831">
            <w:pPr>
              <w:spacing w:after="0" w:line="259" w:lineRule="auto"/>
              <w:ind w:left="0" w:right="44" w:firstLine="0"/>
              <w:jc w:val="center"/>
            </w:pPr>
            <w:r>
              <w:rPr>
                <w:sz w:val="18"/>
              </w:rPr>
              <w:t>298-04-4</w:t>
            </w:r>
          </w:p>
        </w:tc>
        <w:tc>
          <w:tcPr>
            <w:tcW w:w="744" w:type="dxa"/>
            <w:tcBorders>
              <w:top w:val="single" w:sz="4" w:space="0" w:color="000000"/>
              <w:left w:val="single" w:sz="12" w:space="0" w:color="000000"/>
              <w:bottom w:val="single" w:sz="4" w:space="0" w:color="000000"/>
              <w:right w:val="single" w:sz="12" w:space="0" w:color="000000"/>
            </w:tcBorders>
          </w:tcPr>
          <w:p w14:paraId="242D6035" w14:textId="392350D0" w:rsidR="00B0429D" w:rsidRDefault="00B0429D" w:rsidP="00B17831">
            <w:pPr>
              <w:tabs>
                <w:tab w:val="center" w:pos="354"/>
              </w:tabs>
              <w:spacing w:after="0" w:line="259" w:lineRule="auto"/>
              <w:ind w:left="0" w:right="0" w:firstLine="0"/>
              <w:jc w:val="center"/>
            </w:pPr>
            <w:r>
              <w:rPr>
                <w:sz w:val="18"/>
              </w:rPr>
              <w:t>1</w:t>
            </w:r>
          </w:p>
        </w:tc>
        <w:tc>
          <w:tcPr>
            <w:tcW w:w="900" w:type="dxa"/>
            <w:tcBorders>
              <w:top w:val="single" w:sz="4" w:space="0" w:color="000000"/>
              <w:left w:val="single" w:sz="12" w:space="0" w:color="000000"/>
              <w:bottom w:val="single" w:sz="4" w:space="0" w:color="000000"/>
              <w:right w:val="single" w:sz="12" w:space="0" w:color="000000"/>
            </w:tcBorders>
          </w:tcPr>
          <w:p w14:paraId="7BD0A0F9" w14:textId="1AE01481" w:rsidR="00B0429D" w:rsidRDefault="00B0429D" w:rsidP="00B2651C">
            <w:pPr>
              <w:spacing w:after="0" w:line="259" w:lineRule="auto"/>
              <w:ind w:left="0" w:right="46" w:firstLine="0"/>
              <w:jc w:val="center"/>
            </w:pPr>
            <w:r>
              <w:rPr>
                <w:sz w:val="18"/>
              </w:rPr>
              <w:t>ug/L</w:t>
            </w:r>
          </w:p>
        </w:tc>
        <w:tc>
          <w:tcPr>
            <w:tcW w:w="1080" w:type="dxa"/>
            <w:tcBorders>
              <w:top w:val="single" w:sz="4" w:space="0" w:color="000000"/>
              <w:left w:val="single" w:sz="12" w:space="0" w:color="000000"/>
              <w:bottom w:val="single" w:sz="4" w:space="0" w:color="000000"/>
              <w:right w:val="single" w:sz="12" w:space="0" w:color="000000"/>
            </w:tcBorders>
          </w:tcPr>
          <w:p w14:paraId="0DBC7ADA" w14:textId="217F63A5" w:rsidR="00B0429D" w:rsidRDefault="00B0429D" w:rsidP="00B17831">
            <w:pPr>
              <w:spacing w:after="0" w:line="259" w:lineRule="auto"/>
              <w:ind w:left="0" w:right="47" w:firstLine="0"/>
              <w:jc w:val="center"/>
            </w:pPr>
            <w:r>
              <w:rPr>
                <w:sz w:val="18"/>
              </w:rPr>
              <w:t>N/A</w:t>
            </w:r>
          </w:p>
        </w:tc>
        <w:tc>
          <w:tcPr>
            <w:tcW w:w="991" w:type="dxa"/>
            <w:tcBorders>
              <w:top w:val="single" w:sz="4" w:space="0" w:color="000000"/>
              <w:left w:val="single" w:sz="12" w:space="0" w:color="000000"/>
              <w:bottom w:val="single" w:sz="4" w:space="0" w:color="000000"/>
              <w:right w:val="single" w:sz="12" w:space="0" w:color="000000"/>
            </w:tcBorders>
          </w:tcPr>
          <w:p w14:paraId="12C1C38E" w14:textId="2F1E6F0F" w:rsidR="00B0429D" w:rsidRDefault="00B0429D" w:rsidP="00B17831">
            <w:pPr>
              <w:spacing w:after="0" w:line="259" w:lineRule="auto"/>
              <w:ind w:left="0" w:right="42" w:firstLine="0"/>
              <w:jc w:val="center"/>
            </w:pPr>
            <w:r>
              <w:rPr>
                <w:sz w:val="18"/>
              </w:rPr>
              <w:t>N/A</w:t>
            </w:r>
          </w:p>
        </w:tc>
        <w:tc>
          <w:tcPr>
            <w:tcW w:w="843" w:type="dxa"/>
            <w:tcBorders>
              <w:top w:val="single" w:sz="4" w:space="0" w:color="000000"/>
              <w:left w:val="single" w:sz="12" w:space="0" w:color="000000"/>
              <w:bottom w:val="single" w:sz="4" w:space="0" w:color="000000"/>
              <w:right w:val="single" w:sz="12" w:space="0" w:color="000000"/>
            </w:tcBorders>
          </w:tcPr>
          <w:p w14:paraId="2E77E791" w14:textId="3D975C2E" w:rsidR="00B0429D" w:rsidRDefault="00B0429D" w:rsidP="00B17831">
            <w:pPr>
              <w:spacing w:after="0" w:line="259" w:lineRule="auto"/>
              <w:ind w:left="0" w:right="45" w:firstLine="0"/>
              <w:jc w:val="center"/>
            </w:pPr>
            <w:r>
              <w:rPr>
                <w:b/>
                <w:sz w:val="18"/>
              </w:rPr>
              <w:t>525.2</w:t>
            </w:r>
          </w:p>
        </w:tc>
        <w:tc>
          <w:tcPr>
            <w:tcW w:w="776" w:type="dxa"/>
            <w:tcBorders>
              <w:top w:val="single" w:sz="4" w:space="0" w:color="000000"/>
              <w:left w:val="single" w:sz="12" w:space="0" w:color="000000"/>
              <w:bottom w:val="single" w:sz="4" w:space="0" w:color="000000"/>
              <w:right w:val="single" w:sz="12" w:space="0" w:color="000000"/>
            </w:tcBorders>
          </w:tcPr>
          <w:p w14:paraId="48FB7C5E" w14:textId="72B8205B" w:rsidR="00B0429D" w:rsidRDefault="00B0429D" w:rsidP="00B17831">
            <w:pPr>
              <w:spacing w:after="0" w:line="259" w:lineRule="auto"/>
              <w:ind w:left="0" w:right="46" w:firstLine="0"/>
              <w:jc w:val="center"/>
            </w:pPr>
            <w:r>
              <w:rPr>
                <w:sz w:val="18"/>
              </w:rPr>
              <w:t>507</w:t>
            </w:r>
          </w:p>
        </w:tc>
        <w:tc>
          <w:tcPr>
            <w:tcW w:w="630" w:type="dxa"/>
            <w:tcBorders>
              <w:top w:val="single" w:sz="4" w:space="0" w:color="000000"/>
              <w:left w:val="single" w:sz="12" w:space="0" w:color="000000"/>
              <w:bottom w:val="single" w:sz="4" w:space="0" w:color="000000"/>
              <w:right w:val="single" w:sz="12" w:space="0" w:color="000000"/>
            </w:tcBorders>
          </w:tcPr>
          <w:p w14:paraId="72DF020E" w14:textId="1CBE467C" w:rsidR="00B0429D" w:rsidRDefault="00B0429D" w:rsidP="00B17831">
            <w:pPr>
              <w:spacing w:after="0" w:line="259" w:lineRule="auto"/>
              <w:ind w:left="0" w:right="0" w:firstLine="0"/>
              <w:jc w:val="center"/>
            </w:pPr>
          </w:p>
        </w:tc>
      </w:tr>
      <w:tr w:rsidR="00B0429D" w14:paraId="432F0E11" w14:textId="77777777" w:rsidTr="00C23B62">
        <w:trPr>
          <w:trHeight w:val="250"/>
        </w:trPr>
        <w:tc>
          <w:tcPr>
            <w:tcW w:w="3240" w:type="dxa"/>
            <w:tcBorders>
              <w:top w:val="single" w:sz="4" w:space="0" w:color="000000"/>
              <w:left w:val="single" w:sz="12" w:space="0" w:color="000000"/>
              <w:bottom w:val="single" w:sz="4" w:space="0" w:color="000000"/>
              <w:right w:val="single" w:sz="12" w:space="0" w:color="000000"/>
            </w:tcBorders>
          </w:tcPr>
          <w:p w14:paraId="7DFCB0BC" w14:textId="77777777" w:rsidR="00B0429D" w:rsidRDefault="00B0429D" w:rsidP="00B0429D">
            <w:pPr>
              <w:spacing w:after="0" w:line="259" w:lineRule="auto"/>
              <w:ind w:left="2" w:right="0" w:firstLine="0"/>
            </w:pPr>
            <w:proofErr w:type="spellStart"/>
            <w:r>
              <w:rPr>
                <w:sz w:val="18"/>
              </w:rPr>
              <w:t>Disulfoton</w:t>
            </w:r>
            <w:proofErr w:type="spellEnd"/>
            <w:r>
              <w:rPr>
                <w:sz w:val="18"/>
              </w:rPr>
              <w:t xml:space="preserve"> sulfone </w:t>
            </w:r>
          </w:p>
        </w:tc>
        <w:tc>
          <w:tcPr>
            <w:tcW w:w="1326" w:type="dxa"/>
            <w:tcBorders>
              <w:top w:val="single" w:sz="4" w:space="0" w:color="000000"/>
              <w:left w:val="single" w:sz="12" w:space="0" w:color="000000"/>
              <w:bottom w:val="single" w:sz="4" w:space="0" w:color="000000"/>
              <w:right w:val="single" w:sz="12" w:space="0" w:color="000000"/>
            </w:tcBorders>
          </w:tcPr>
          <w:p w14:paraId="62150FE9" w14:textId="4AA2CD9A" w:rsidR="00B0429D" w:rsidRDefault="00B0429D" w:rsidP="00B17831">
            <w:pPr>
              <w:spacing w:after="0" w:line="259" w:lineRule="auto"/>
              <w:ind w:left="0" w:right="44" w:firstLine="0"/>
              <w:jc w:val="center"/>
            </w:pPr>
            <w:r>
              <w:rPr>
                <w:sz w:val="18"/>
              </w:rPr>
              <w:t>2497-06-5</w:t>
            </w:r>
          </w:p>
        </w:tc>
        <w:tc>
          <w:tcPr>
            <w:tcW w:w="744" w:type="dxa"/>
            <w:tcBorders>
              <w:top w:val="single" w:sz="4" w:space="0" w:color="000000"/>
              <w:left w:val="single" w:sz="12" w:space="0" w:color="000000"/>
              <w:bottom w:val="single" w:sz="4" w:space="0" w:color="000000"/>
              <w:right w:val="single" w:sz="12" w:space="0" w:color="000000"/>
            </w:tcBorders>
          </w:tcPr>
          <w:p w14:paraId="5D1041F9" w14:textId="62B65C84" w:rsidR="00B0429D" w:rsidRDefault="00B0429D" w:rsidP="00B17831">
            <w:pPr>
              <w:tabs>
                <w:tab w:val="center" w:pos="308"/>
              </w:tabs>
              <w:spacing w:after="0" w:line="259" w:lineRule="auto"/>
              <w:ind w:left="0" w:right="0" w:firstLine="0"/>
              <w:jc w:val="center"/>
            </w:pPr>
            <w:r>
              <w:rPr>
                <w:sz w:val="18"/>
              </w:rPr>
              <w:t>10</w:t>
            </w:r>
          </w:p>
        </w:tc>
        <w:tc>
          <w:tcPr>
            <w:tcW w:w="900" w:type="dxa"/>
            <w:tcBorders>
              <w:top w:val="single" w:sz="4" w:space="0" w:color="000000"/>
              <w:left w:val="single" w:sz="12" w:space="0" w:color="000000"/>
              <w:bottom w:val="single" w:sz="4" w:space="0" w:color="000000"/>
              <w:right w:val="single" w:sz="12" w:space="0" w:color="000000"/>
            </w:tcBorders>
          </w:tcPr>
          <w:p w14:paraId="53BFCF9D" w14:textId="0908306A" w:rsidR="00B0429D" w:rsidRDefault="00B0429D" w:rsidP="00B2651C">
            <w:pPr>
              <w:spacing w:after="0" w:line="259" w:lineRule="auto"/>
              <w:ind w:left="0" w:right="46" w:firstLine="0"/>
              <w:jc w:val="center"/>
            </w:pPr>
            <w:r>
              <w:rPr>
                <w:sz w:val="18"/>
              </w:rPr>
              <w:t>ug/L</w:t>
            </w:r>
          </w:p>
        </w:tc>
        <w:tc>
          <w:tcPr>
            <w:tcW w:w="1080" w:type="dxa"/>
            <w:tcBorders>
              <w:top w:val="single" w:sz="4" w:space="0" w:color="000000"/>
              <w:left w:val="single" w:sz="12" w:space="0" w:color="000000"/>
              <w:bottom w:val="single" w:sz="4" w:space="0" w:color="000000"/>
              <w:right w:val="single" w:sz="12" w:space="0" w:color="000000"/>
            </w:tcBorders>
          </w:tcPr>
          <w:p w14:paraId="008C91EE" w14:textId="1A35FAAC" w:rsidR="00B0429D" w:rsidRDefault="00B0429D" w:rsidP="00B17831">
            <w:pPr>
              <w:spacing w:after="0" w:line="259" w:lineRule="auto"/>
              <w:ind w:left="0" w:right="47" w:firstLine="0"/>
              <w:jc w:val="center"/>
            </w:pPr>
            <w:r>
              <w:rPr>
                <w:sz w:val="18"/>
              </w:rPr>
              <w:t>N/A</w:t>
            </w:r>
          </w:p>
        </w:tc>
        <w:tc>
          <w:tcPr>
            <w:tcW w:w="991" w:type="dxa"/>
            <w:tcBorders>
              <w:top w:val="single" w:sz="4" w:space="0" w:color="000000"/>
              <w:left w:val="single" w:sz="12" w:space="0" w:color="000000"/>
              <w:bottom w:val="single" w:sz="4" w:space="0" w:color="000000"/>
              <w:right w:val="single" w:sz="12" w:space="0" w:color="000000"/>
            </w:tcBorders>
          </w:tcPr>
          <w:p w14:paraId="2BC70D69" w14:textId="23DE59C0" w:rsidR="00B0429D" w:rsidRDefault="00B0429D" w:rsidP="00B17831">
            <w:pPr>
              <w:spacing w:after="0" w:line="259" w:lineRule="auto"/>
              <w:ind w:left="0" w:right="42" w:firstLine="0"/>
              <w:jc w:val="center"/>
            </w:pPr>
            <w:r>
              <w:rPr>
                <w:sz w:val="18"/>
              </w:rPr>
              <w:t>N/A</w:t>
            </w:r>
          </w:p>
        </w:tc>
        <w:tc>
          <w:tcPr>
            <w:tcW w:w="843" w:type="dxa"/>
            <w:tcBorders>
              <w:top w:val="single" w:sz="4" w:space="0" w:color="000000"/>
              <w:left w:val="single" w:sz="12" w:space="0" w:color="000000"/>
              <w:bottom w:val="single" w:sz="4" w:space="0" w:color="000000"/>
              <w:right w:val="single" w:sz="12" w:space="0" w:color="000000"/>
            </w:tcBorders>
          </w:tcPr>
          <w:p w14:paraId="0E5A4699" w14:textId="2425D63F" w:rsidR="00B0429D" w:rsidRDefault="00B0429D" w:rsidP="00B17831">
            <w:pPr>
              <w:spacing w:after="0" w:line="259" w:lineRule="auto"/>
              <w:ind w:left="0" w:right="45" w:firstLine="0"/>
              <w:jc w:val="center"/>
            </w:pPr>
            <w:r>
              <w:rPr>
                <w:b/>
                <w:sz w:val="18"/>
              </w:rPr>
              <w:t>525.2</w:t>
            </w:r>
          </w:p>
        </w:tc>
        <w:tc>
          <w:tcPr>
            <w:tcW w:w="776" w:type="dxa"/>
            <w:tcBorders>
              <w:top w:val="single" w:sz="4" w:space="0" w:color="000000"/>
              <w:left w:val="single" w:sz="12" w:space="0" w:color="000000"/>
              <w:bottom w:val="single" w:sz="4" w:space="0" w:color="000000"/>
              <w:right w:val="single" w:sz="12" w:space="0" w:color="000000"/>
            </w:tcBorders>
          </w:tcPr>
          <w:p w14:paraId="38530535" w14:textId="5A98EAE7" w:rsidR="00B0429D" w:rsidRDefault="00B0429D" w:rsidP="00B17831">
            <w:pPr>
              <w:spacing w:after="0" w:line="259" w:lineRule="auto"/>
              <w:ind w:left="0" w:right="46" w:firstLine="0"/>
              <w:jc w:val="center"/>
            </w:pPr>
            <w:r>
              <w:rPr>
                <w:sz w:val="18"/>
              </w:rPr>
              <w:t>507</w:t>
            </w:r>
          </w:p>
        </w:tc>
        <w:tc>
          <w:tcPr>
            <w:tcW w:w="630" w:type="dxa"/>
            <w:tcBorders>
              <w:top w:val="single" w:sz="4" w:space="0" w:color="000000"/>
              <w:left w:val="single" w:sz="12" w:space="0" w:color="000000"/>
              <w:bottom w:val="single" w:sz="4" w:space="0" w:color="000000"/>
              <w:right w:val="single" w:sz="12" w:space="0" w:color="000000"/>
            </w:tcBorders>
          </w:tcPr>
          <w:p w14:paraId="63FB8520" w14:textId="37788CB7" w:rsidR="00B0429D" w:rsidRDefault="00B0429D" w:rsidP="00B17831">
            <w:pPr>
              <w:spacing w:after="0" w:line="259" w:lineRule="auto"/>
              <w:ind w:left="0" w:right="0" w:firstLine="0"/>
              <w:jc w:val="center"/>
            </w:pPr>
          </w:p>
        </w:tc>
      </w:tr>
      <w:tr w:rsidR="00B0429D" w14:paraId="22AFE70C" w14:textId="77777777" w:rsidTr="00C23B62">
        <w:trPr>
          <w:trHeight w:val="250"/>
        </w:trPr>
        <w:tc>
          <w:tcPr>
            <w:tcW w:w="3240" w:type="dxa"/>
            <w:tcBorders>
              <w:top w:val="single" w:sz="4" w:space="0" w:color="000000"/>
              <w:left w:val="single" w:sz="12" w:space="0" w:color="000000"/>
              <w:bottom w:val="single" w:sz="4" w:space="0" w:color="000000"/>
              <w:right w:val="single" w:sz="12" w:space="0" w:color="000000"/>
            </w:tcBorders>
          </w:tcPr>
          <w:p w14:paraId="7F3B7C29" w14:textId="77777777" w:rsidR="00B0429D" w:rsidRDefault="00B0429D" w:rsidP="00B0429D">
            <w:pPr>
              <w:spacing w:after="0" w:line="259" w:lineRule="auto"/>
              <w:ind w:left="2" w:right="0" w:firstLine="0"/>
            </w:pPr>
            <w:proofErr w:type="spellStart"/>
            <w:r>
              <w:rPr>
                <w:sz w:val="18"/>
              </w:rPr>
              <w:t>Disulfoton</w:t>
            </w:r>
            <w:proofErr w:type="spellEnd"/>
            <w:r>
              <w:rPr>
                <w:sz w:val="18"/>
              </w:rPr>
              <w:t xml:space="preserve"> sulfoxide </w:t>
            </w:r>
          </w:p>
        </w:tc>
        <w:tc>
          <w:tcPr>
            <w:tcW w:w="1326" w:type="dxa"/>
            <w:tcBorders>
              <w:top w:val="single" w:sz="4" w:space="0" w:color="000000"/>
              <w:left w:val="single" w:sz="12" w:space="0" w:color="000000"/>
              <w:bottom w:val="single" w:sz="4" w:space="0" w:color="000000"/>
              <w:right w:val="single" w:sz="12" w:space="0" w:color="000000"/>
            </w:tcBorders>
          </w:tcPr>
          <w:p w14:paraId="281736DE" w14:textId="26BB186E" w:rsidR="00B0429D" w:rsidRDefault="00B0429D" w:rsidP="00B17831">
            <w:pPr>
              <w:spacing w:after="0" w:line="259" w:lineRule="auto"/>
              <w:ind w:left="0" w:right="44" w:firstLine="0"/>
              <w:jc w:val="center"/>
            </w:pPr>
            <w:r>
              <w:rPr>
                <w:sz w:val="18"/>
              </w:rPr>
              <w:t>2497-07-6</w:t>
            </w:r>
          </w:p>
        </w:tc>
        <w:tc>
          <w:tcPr>
            <w:tcW w:w="744" w:type="dxa"/>
            <w:tcBorders>
              <w:top w:val="single" w:sz="4" w:space="0" w:color="000000"/>
              <w:left w:val="single" w:sz="12" w:space="0" w:color="000000"/>
              <w:bottom w:val="single" w:sz="4" w:space="0" w:color="000000"/>
              <w:right w:val="single" w:sz="12" w:space="0" w:color="000000"/>
            </w:tcBorders>
          </w:tcPr>
          <w:p w14:paraId="1DA0B3CC" w14:textId="72A50687" w:rsidR="00B0429D" w:rsidRDefault="00B0429D" w:rsidP="00B17831">
            <w:pPr>
              <w:tabs>
                <w:tab w:val="center" w:pos="308"/>
              </w:tabs>
              <w:spacing w:after="0" w:line="259" w:lineRule="auto"/>
              <w:ind w:left="0" w:right="0" w:firstLine="0"/>
              <w:jc w:val="center"/>
            </w:pPr>
            <w:r>
              <w:rPr>
                <w:sz w:val="18"/>
              </w:rPr>
              <w:t>10</w:t>
            </w:r>
          </w:p>
        </w:tc>
        <w:tc>
          <w:tcPr>
            <w:tcW w:w="900" w:type="dxa"/>
            <w:tcBorders>
              <w:top w:val="single" w:sz="4" w:space="0" w:color="000000"/>
              <w:left w:val="single" w:sz="12" w:space="0" w:color="000000"/>
              <w:bottom w:val="single" w:sz="4" w:space="0" w:color="000000"/>
              <w:right w:val="single" w:sz="12" w:space="0" w:color="000000"/>
            </w:tcBorders>
          </w:tcPr>
          <w:p w14:paraId="391E6816" w14:textId="3FF86FB0" w:rsidR="00B0429D" w:rsidRDefault="00B0429D" w:rsidP="00B2651C">
            <w:pPr>
              <w:spacing w:after="0" w:line="259" w:lineRule="auto"/>
              <w:ind w:left="0" w:right="46" w:firstLine="0"/>
              <w:jc w:val="center"/>
            </w:pPr>
            <w:r>
              <w:rPr>
                <w:sz w:val="18"/>
              </w:rPr>
              <w:t>ug/L</w:t>
            </w:r>
          </w:p>
        </w:tc>
        <w:tc>
          <w:tcPr>
            <w:tcW w:w="1080" w:type="dxa"/>
            <w:tcBorders>
              <w:top w:val="single" w:sz="4" w:space="0" w:color="000000"/>
              <w:left w:val="single" w:sz="12" w:space="0" w:color="000000"/>
              <w:bottom w:val="single" w:sz="4" w:space="0" w:color="000000"/>
              <w:right w:val="single" w:sz="12" w:space="0" w:color="000000"/>
            </w:tcBorders>
          </w:tcPr>
          <w:p w14:paraId="5E8BD8B3" w14:textId="38E19C83" w:rsidR="00B0429D" w:rsidRDefault="00B0429D" w:rsidP="00B17831">
            <w:pPr>
              <w:spacing w:after="0" w:line="259" w:lineRule="auto"/>
              <w:ind w:left="0" w:right="47" w:firstLine="0"/>
              <w:jc w:val="center"/>
            </w:pPr>
            <w:r>
              <w:rPr>
                <w:sz w:val="18"/>
              </w:rPr>
              <w:t>N/A</w:t>
            </w:r>
          </w:p>
        </w:tc>
        <w:tc>
          <w:tcPr>
            <w:tcW w:w="991" w:type="dxa"/>
            <w:tcBorders>
              <w:top w:val="single" w:sz="4" w:space="0" w:color="000000"/>
              <w:left w:val="single" w:sz="12" w:space="0" w:color="000000"/>
              <w:bottom w:val="single" w:sz="4" w:space="0" w:color="000000"/>
              <w:right w:val="single" w:sz="12" w:space="0" w:color="000000"/>
            </w:tcBorders>
          </w:tcPr>
          <w:p w14:paraId="36053A86" w14:textId="423E24CE" w:rsidR="00B0429D" w:rsidRDefault="00B0429D" w:rsidP="00B17831">
            <w:pPr>
              <w:spacing w:after="0" w:line="259" w:lineRule="auto"/>
              <w:ind w:left="0" w:right="42" w:firstLine="0"/>
              <w:jc w:val="center"/>
            </w:pPr>
            <w:r>
              <w:rPr>
                <w:sz w:val="18"/>
              </w:rPr>
              <w:t>N/A</w:t>
            </w:r>
          </w:p>
        </w:tc>
        <w:tc>
          <w:tcPr>
            <w:tcW w:w="843" w:type="dxa"/>
            <w:tcBorders>
              <w:top w:val="single" w:sz="4" w:space="0" w:color="000000"/>
              <w:left w:val="single" w:sz="12" w:space="0" w:color="000000"/>
              <w:bottom w:val="single" w:sz="4" w:space="0" w:color="000000"/>
              <w:right w:val="single" w:sz="12" w:space="0" w:color="000000"/>
            </w:tcBorders>
          </w:tcPr>
          <w:p w14:paraId="01A2E4F3" w14:textId="6516DD28" w:rsidR="00B0429D" w:rsidRDefault="00B0429D" w:rsidP="00B17831">
            <w:pPr>
              <w:spacing w:after="0" w:line="259" w:lineRule="auto"/>
              <w:ind w:left="0" w:right="45" w:firstLine="0"/>
              <w:jc w:val="center"/>
            </w:pPr>
            <w:r>
              <w:rPr>
                <w:b/>
                <w:sz w:val="18"/>
              </w:rPr>
              <w:t>525.2</w:t>
            </w:r>
          </w:p>
        </w:tc>
        <w:tc>
          <w:tcPr>
            <w:tcW w:w="776" w:type="dxa"/>
            <w:tcBorders>
              <w:top w:val="single" w:sz="4" w:space="0" w:color="000000"/>
              <w:left w:val="single" w:sz="12" w:space="0" w:color="000000"/>
              <w:bottom w:val="single" w:sz="4" w:space="0" w:color="000000"/>
              <w:right w:val="single" w:sz="12" w:space="0" w:color="000000"/>
            </w:tcBorders>
          </w:tcPr>
          <w:p w14:paraId="6135EF94" w14:textId="392F3E12" w:rsidR="00B0429D" w:rsidRDefault="00B0429D" w:rsidP="00B17831">
            <w:pPr>
              <w:spacing w:after="0" w:line="259" w:lineRule="auto"/>
              <w:ind w:left="0" w:right="46" w:firstLine="0"/>
              <w:jc w:val="center"/>
            </w:pPr>
            <w:r>
              <w:rPr>
                <w:sz w:val="18"/>
              </w:rPr>
              <w:t>507</w:t>
            </w:r>
          </w:p>
        </w:tc>
        <w:tc>
          <w:tcPr>
            <w:tcW w:w="630" w:type="dxa"/>
            <w:tcBorders>
              <w:top w:val="single" w:sz="4" w:space="0" w:color="000000"/>
              <w:left w:val="single" w:sz="12" w:space="0" w:color="000000"/>
              <w:bottom w:val="single" w:sz="4" w:space="0" w:color="000000"/>
              <w:right w:val="single" w:sz="12" w:space="0" w:color="000000"/>
            </w:tcBorders>
          </w:tcPr>
          <w:p w14:paraId="6D34EE89" w14:textId="646CF9A6" w:rsidR="00B0429D" w:rsidRDefault="00B0429D" w:rsidP="00B17831">
            <w:pPr>
              <w:spacing w:after="0" w:line="259" w:lineRule="auto"/>
              <w:ind w:left="0" w:right="0" w:firstLine="0"/>
              <w:jc w:val="center"/>
            </w:pPr>
          </w:p>
        </w:tc>
      </w:tr>
      <w:tr w:rsidR="00B0429D" w14:paraId="4FA9769D" w14:textId="77777777" w:rsidTr="00C23B62">
        <w:trPr>
          <w:trHeight w:val="252"/>
        </w:trPr>
        <w:tc>
          <w:tcPr>
            <w:tcW w:w="3240" w:type="dxa"/>
            <w:tcBorders>
              <w:top w:val="single" w:sz="4" w:space="0" w:color="000000"/>
              <w:left w:val="single" w:sz="12" w:space="0" w:color="000000"/>
              <w:bottom w:val="single" w:sz="4" w:space="0" w:color="000000"/>
              <w:right w:val="single" w:sz="12" w:space="0" w:color="000000"/>
            </w:tcBorders>
          </w:tcPr>
          <w:p w14:paraId="513F72C7" w14:textId="45F04F5C" w:rsidR="00B0429D" w:rsidRDefault="00B0429D" w:rsidP="00B0429D">
            <w:pPr>
              <w:spacing w:after="0" w:line="259" w:lineRule="auto"/>
              <w:ind w:left="2" w:right="0" w:firstLine="0"/>
            </w:pPr>
            <w:r>
              <w:rPr>
                <w:sz w:val="18"/>
              </w:rPr>
              <w:t>EPTC (</w:t>
            </w:r>
            <w:proofErr w:type="spellStart"/>
            <w:r>
              <w:rPr>
                <w:i/>
                <w:sz w:val="18"/>
              </w:rPr>
              <w:t>Eradicane</w:t>
            </w:r>
            <w:proofErr w:type="spellEnd"/>
            <w:r>
              <w:rPr>
                <w:i/>
                <w:sz w:val="18"/>
              </w:rPr>
              <w:t xml:space="preserve">) </w:t>
            </w:r>
          </w:p>
        </w:tc>
        <w:tc>
          <w:tcPr>
            <w:tcW w:w="1326" w:type="dxa"/>
            <w:tcBorders>
              <w:top w:val="single" w:sz="4" w:space="0" w:color="000000"/>
              <w:left w:val="single" w:sz="12" w:space="0" w:color="000000"/>
              <w:bottom w:val="single" w:sz="4" w:space="0" w:color="000000"/>
              <w:right w:val="single" w:sz="12" w:space="0" w:color="000000"/>
            </w:tcBorders>
          </w:tcPr>
          <w:p w14:paraId="0A2317B6" w14:textId="43B24F96" w:rsidR="00B0429D" w:rsidRDefault="00B0429D" w:rsidP="00B17831">
            <w:pPr>
              <w:spacing w:after="0" w:line="259" w:lineRule="auto"/>
              <w:ind w:left="0" w:right="44" w:firstLine="0"/>
              <w:jc w:val="center"/>
            </w:pPr>
            <w:r>
              <w:rPr>
                <w:sz w:val="18"/>
              </w:rPr>
              <w:t>759-94-4</w:t>
            </w:r>
          </w:p>
        </w:tc>
        <w:tc>
          <w:tcPr>
            <w:tcW w:w="744" w:type="dxa"/>
            <w:tcBorders>
              <w:top w:val="single" w:sz="4" w:space="0" w:color="000000"/>
              <w:left w:val="single" w:sz="12" w:space="0" w:color="000000"/>
              <w:bottom w:val="single" w:sz="4" w:space="0" w:color="000000"/>
              <w:right w:val="single" w:sz="12" w:space="0" w:color="000000"/>
            </w:tcBorders>
          </w:tcPr>
          <w:p w14:paraId="7F51454E" w14:textId="2AA4181E" w:rsidR="00B0429D" w:rsidRDefault="00B0429D" w:rsidP="00B17831">
            <w:pPr>
              <w:tabs>
                <w:tab w:val="center" w:pos="308"/>
              </w:tabs>
              <w:spacing w:after="0" w:line="259" w:lineRule="auto"/>
              <w:ind w:left="0" w:right="0" w:firstLine="0"/>
              <w:jc w:val="center"/>
            </w:pPr>
            <w:r>
              <w:rPr>
                <w:sz w:val="18"/>
              </w:rPr>
              <w:t>10</w:t>
            </w:r>
          </w:p>
        </w:tc>
        <w:tc>
          <w:tcPr>
            <w:tcW w:w="900" w:type="dxa"/>
            <w:tcBorders>
              <w:top w:val="single" w:sz="4" w:space="0" w:color="000000"/>
              <w:left w:val="single" w:sz="12" w:space="0" w:color="000000"/>
              <w:bottom w:val="single" w:sz="4" w:space="0" w:color="000000"/>
              <w:right w:val="single" w:sz="12" w:space="0" w:color="000000"/>
            </w:tcBorders>
          </w:tcPr>
          <w:p w14:paraId="6BDCB745" w14:textId="743DFC94" w:rsidR="00B0429D" w:rsidRDefault="00B0429D" w:rsidP="00B2651C">
            <w:pPr>
              <w:spacing w:after="0" w:line="259" w:lineRule="auto"/>
              <w:ind w:left="0" w:right="46" w:firstLine="0"/>
              <w:jc w:val="center"/>
            </w:pPr>
            <w:r>
              <w:rPr>
                <w:sz w:val="18"/>
              </w:rPr>
              <w:t>ug/L</w:t>
            </w:r>
          </w:p>
        </w:tc>
        <w:tc>
          <w:tcPr>
            <w:tcW w:w="1080" w:type="dxa"/>
            <w:tcBorders>
              <w:top w:val="single" w:sz="4" w:space="0" w:color="000000"/>
              <w:left w:val="single" w:sz="12" w:space="0" w:color="000000"/>
              <w:bottom w:val="single" w:sz="4" w:space="0" w:color="000000"/>
              <w:right w:val="single" w:sz="12" w:space="0" w:color="000000"/>
            </w:tcBorders>
          </w:tcPr>
          <w:p w14:paraId="0D6FCEAD" w14:textId="090FB720" w:rsidR="00B0429D" w:rsidRDefault="00B0429D" w:rsidP="00B17831">
            <w:pPr>
              <w:spacing w:after="0" w:line="259" w:lineRule="auto"/>
              <w:ind w:left="0" w:right="47" w:firstLine="0"/>
              <w:jc w:val="center"/>
            </w:pPr>
            <w:r>
              <w:rPr>
                <w:sz w:val="18"/>
              </w:rPr>
              <w:t>N/A</w:t>
            </w:r>
          </w:p>
        </w:tc>
        <w:tc>
          <w:tcPr>
            <w:tcW w:w="991" w:type="dxa"/>
            <w:tcBorders>
              <w:top w:val="single" w:sz="4" w:space="0" w:color="000000"/>
              <w:left w:val="single" w:sz="12" w:space="0" w:color="000000"/>
              <w:bottom w:val="single" w:sz="4" w:space="0" w:color="000000"/>
              <w:right w:val="single" w:sz="12" w:space="0" w:color="000000"/>
            </w:tcBorders>
          </w:tcPr>
          <w:p w14:paraId="15587906" w14:textId="3AF0F5C1" w:rsidR="00B0429D" w:rsidRDefault="00B0429D" w:rsidP="00B17831">
            <w:pPr>
              <w:spacing w:after="0" w:line="259" w:lineRule="auto"/>
              <w:ind w:left="0" w:right="42" w:firstLine="0"/>
              <w:jc w:val="center"/>
            </w:pPr>
            <w:r>
              <w:rPr>
                <w:sz w:val="18"/>
              </w:rPr>
              <w:t>N/A</w:t>
            </w:r>
          </w:p>
        </w:tc>
        <w:tc>
          <w:tcPr>
            <w:tcW w:w="843" w:type="dxa"/>
            <w:tcBorders>
              <w:top w:val="single" w:sz="4" w:space="0" w:color="000000"/>
              <w:left w:val="single" w:sz="12" w:space="0" w:color="000000"/>
              <w:bottom w:val="single" w:sz="4" w:space="0" w:color="000000"/>
              <w:right w:val="single" w:sz="12" w:space="0" w:color="000000"/>
            </w:tcBorders>
          </w:tcPr>
          <w:p w14:paraId="7E279B2A" w14:textId="4910D09E" w:rsidR="00B0429D" w:rsidRDefault="00B0429D" w:rsidP="00B17831">
            <w:pPr>
              <w:spacing w:after="0" w:line="259" w:lineRule="auto"/>
              <w:ind w:left="0" w:right="45" w:firstLine="0"/>
              <w:jc w:val="center"/>
            </w:pPr>
            <w:r>
              <w:rPr>
                <w:b/>
                <w:sz w:val="18"/>
              </w:rPr>
              <w:t>525.2</w:t>
            </w:r>
          </w:p>
        </w:tc>
        <w:tc>
          <w:tcPr>
            <w:tcW w:w="776" w:type="dxa"/>
            <w:tcBorders>
              <w:top w:val="single" w:sz="4" w:space="0" w:color="000000"/>
              <w:left w:val="single" w:sz="12" w:space="0" w:color="000000"/>
              <w:bottom w:val="single" w:sz="4" w:space="0" w:color="000000"/>
              <w:right w:val="single" w:sz="12" w:space="0" w:color="000000"/>
            </w:tcBorders>
          </w:tcPr>
          <w:p w14:paraId="50789F1B" w14:textId="25201FA2" w:rsidR="00B0429D" w:rsidRDefault="00B0429D" w:rsidP="00B17831">
            <w:pPr>
              <w:spacing w:after="0" w:line="259" w:lineRule="auto"/>
              <w:ind w:left="0" w:right="46" w:firstLine="0"/>
              <w:jc w:val="center"/>
            </w:pPr>
            <w:r>
              <w:rPr>
                <w:sz w:val="18"/>
              </w:rPr>
              <w:t>507</w:t>
            </w:r>
          </w:p>
        </w:tc>
        <w:tc>
          <w:tcPr>
            <w:tcW w:w="630" w:type="dxa"/>
            <w:tcBorders>
              <w:top w:val="single" w:sz="4" w:space="0" w:color="000000"/>
              <w:left w:val="single" w:sz="12" w:space="0" w:color="000000"/>
              <w:bottom w:val="single" w:sz="4" w:space="0" w:color="000000"/>
              <w:right w:val="single" w:sz="12" w:space="0" w:color="000000"/>
            </w:tcBorders>
          </w:tcPr>
          <w:p w14:paraId="3E7CAA99" w14:textId="5C6A4259" w:rsidR="00B0429D" w:rsidRDefault="00B0429D" w:rsidP="00B17831">
            <w:pPr>
              <w:spacing w:after="0" w:line="259" w:lineRule="auto"/>
              <w:ind w:left="0" w:right="46" w:firstLine="0"/>
              <w:jc w:val="center"/>
            </w:pPr>
            <w:r>
              <w:rPr>
                <w:sz w:val="18"/>
              </w:rPr>
              <w:t>634</w:t>
            </w:r>
          </w:p>
        </w:tc>
      </w:tr>
      <w:tr w:rsidR="00B0429D" w14:paraId="4844F1E3" w14:textId="77777777" w:rsidTr="00C23B62">
        <w:trPr>
          <w:trHeight w:val="250"/>
        </w:trPr>
        <w:tc>
          <w:tcPr>
            <w:tcW w:w="3240" w:type="dxa"/>
            <w:tcBorders>
              <w:top w:val="single" w:sz="4" w:space="0" w:color="000000"/>
              <w:left w:val="single" w:sz="12" w:space="0" w:color="000000"/>
              <w:bottom w:val="single" w:sz="4" w:space="0" w:color="000000"/>
              <w:right w:val="single" w:sz="12" w:space="0" w:color="000000"/>
            </w:tcBorders>
          </w:tcPr>
          <w:p w14:paraId="3338465E" w14:textId="77777777" w:rsidR="00B0429D" w:rsidRDefault="00B0429D" w:rsidP="00B0429D">
            <w:pPr>
              <w:spacing w:after="0" w:line="259" w:lineRule="auto"/>
              <w:ind w:left="2" w:right="0" w:firstLine="0"/>
            </w:pPr>
            <w:proofErr w:type="spellStart"/>
            <w:r>
              <w:rPr>
                <w:sz w:val="18"/>
              </w:rPr>
              <w:t>Ethoprop</w:t>
            </w:r>
            <w:proofErr w:type="spellEnd"/>
            <w:r>
              <w:rPr>
                <w:sz w:val="18"/>
              </w:rPr>
              <w:t xml:space="preserve"> </w:t>
            </w:r>
          </w:p>
        </w:tc>
        <w:tc>
          <w:tcPr>
            <w:tcW w:w="1326" w:type="dxa"/>
            <w:tcBorders>
              <w:top w:val="single" w:sz="4" w:space="0" w:color="000000"/>
              <w:left w:val="single" w:sz="12" w:space="0" w:color="000000"/>
              <w:bottom w:val="single" w:sz="4" w:space="0" w:color="000000"/>
              <w:right w:val="single" w:sz="12" w:space="0" w:color="000000"/>
            </w:tcBorders>
          </w:tcPr>
          <w:p w14:paraId="10F05C1E" w14:textId="73802885" w:rsidR="00B0429D" w:rsidRDefault="00B0429D" w:rsidP="00B17831">
            <w:pPr>
              <w:spacing w:after="0" w:line="259" w:lineRule="auto"/>
              <w:ind w:left="0" w:right="44" w:firstLine="0"/>
              <w:jc w:val="center"/>
            </w:pPr>
            <w:r>
              <w:rPr>
                <w:sz w:val="18"/>
              </w:rPr>
              <w:t>13194-48-4</w:t>
            </w:r>
          </w:p>
        </w:tc>
        <w:tc>
          <w:tcPr>
            <w:tcW w:w="744" w:type="dxa"/>
            <w:tcBorders>
              <w:top w:val="single" w:sz="4" w:space="0" w:color="000000"/>
              <w:left w:val="single" w:sz="12" w:space="0" w:color="000000"/>
              <w:bottom w:val="single" w:sz="4" w:space="0" w:color="000000"/>
              <w:right w:val="single" w:sz="12" w:space="0" w:color="000000"/>
            </w:tcBorders>
          </w:tcPr>
          <w:p w14:paraId="700AA7D0" w14:textId="169F6E81" w:rsidR="00B0429D" w:rsidRDefault="00B0429D" w:rsidP="00B17831">
            <w:pPr>
              <w:tabs>
                <w:tab w:val="center" w:pos="354"/>
              </w:tabs>
              <w:spacing w:after="0" w:line="259" w:lineRule="auto"/>
              <w:ind w:left="0" w:right="0" w:firstLine="0"/>
              <w:jc w:val="center"/>
            </w:pPr>
            <w:r>
              <w:rPr>
                <w:sz w:val="18"/>
              </w:rPr>
              <w:t>1</w:t>
            </w:r>
          </w:p>
        </w:tc>
        <w:tc>
          <w:tcPr>
            <w:tcW w:w="900" w:type="dxa"/>
            <w:tcBorders>
              <w:top w:val="single" w:sz="4" w:space="0" w:color="000000"/>
              <w:left w:val="single" w:sz="12" w:space="0" w:color="000000"/>
              <w:bottom w:val="single" w:sz="4" w:space="0" w:color="000000"/>
              <w:right w:val="single" w:sz="12" w:space="0" w:color="000000"/>
            </w:tcBorders>
          </w:tcPr>
          <w:p w14:paraId="63D4CA40" w14:textId="7D5F0BD3" w:rsidR="00B0429D" w:rsidRDefault="00B0429D" w:rsidP="00B2651C">
            <w:pPr>
              <w:spacing w:after="0" w:line="259" w:lineRule="auto"/>
              <w:ind w:left="0" w:right="46" w:firstLine="0"/>
              <w:jc w:val="center"/>
            </w:pPr>
            <w:r>
              <w:rPr>
                <w:sz w:val="18"/>
              </w:rPr>
              <w:t>ug/L</w:t>
            </w:r>
          </w:p>
        </w:tc>
        <w:tc>
          <w:tcPr>
            <w:tcW w:w="1080" w:type="dxa"/>
            <w:tcBorders>
              <w:top w:val="single" w:sz="4" w:space="0" w:color="000000"/>
              <w:left w:val="single" w:sz="12" w:space="0" w:color="000000"/>
              <w:bottom w:val="single" w:sz="4" w:space="0" w:color="000000"/>
              <w:right w:val="single" w:sz="12" w:space="0" w:color="000000"/>
            </w:tcBorders>
          </w:tcPr>
          <w:p w14:paraId="755FE478" w14:textId="42558A00" w:rsidR="00B0429D" w:rsidRDefault="00B0429D" w:rsidP="00B17831">
            <w:pPr>
              <w:spacing w:after="0" w:line="259" w:lineRule="auto"/>
              <w:ind w:left="0" w:right="47" w:firstLine="0"/>
              <w:jc w:val="center"/>
            </w:pPr>
            <w:r>
              <w:rPr>
                <w:sz w:val="18"/>
              </w:rPr>
              <w:t>N/A</w:t>
            </w:r>
          </w:p>
        </w:tc>
        <w:tc>
          <w:tcPr>
            <w:tcW w:w="991" w:type="dxa"/>
            <w:tcBorders>
              <w:top w:val="single" w:sz="4" w:space="0" w:color="000000"/>
              <w:left w:val="single" w:sz="12" w:space="0" w:color="000000"/>
              <w:bottom w:val="single" w:sz="4" w:space="0" w:color="000000"/>
              <w:right w:val="single" w:sz="12" w:space="0" w:color="000000"/>
            </w:tcBorders>
          </w:tcPr>
          <w:p w14:paraId="7ACCCD05" w14:textId="669BEEA6" w:rsidR="00B0429D" w:rsidRDefault="00B0429D" w:rsidP="00B17831">
            <w:pPr>
              <w:spacing w:after="0" w:line="259" w:lineRule="auto"/>
              <w:ind w:left="0" w:right="42" w:firstLine="0"/>
              <w:jc w:val="center"/>
            </w:pPr>
            <w:r>
              <w:rPr>
                <w:sz w:val="18"/>
              </w:rPr>
              <w:t>N/A</w:t>
            </w:r>
          </w:p>
        </w:tc>
        <w:tc>
          <w:tcPr>
            <w:tcW w:w="843" w:type="dxa"/>
            <w:tcBorders>
              <w:top w:val="single" w:sz="4" w:space="0" w:color="000000"/>
              <w:left w:val="single" w:sz="12" w:space="0" w:color="000000"/>
              <w:bottom w:val="single" w:sz="4" w:space="0" w:color="000000"/>
              <w:right w:val="single" w:sz="12" w:space="0" w:color="000000"/>
            </w:tcBorders>
          </w:tcPr>
          <w:p w14:paraId="1DE23BB8" w14:textId="071F4F8B" w:rsidR="00B0429D" w:rsidRDefault="00B0429D" w:rsidP="00B17831">
            <w:pPr>
              <w:spacing w:after="0" w:line="259" w:lineRule="auto"/>
              <w:ind w:left="0" w:right="45" w:firstLine="0"/>
              <w:jc w:val="center"/>
            </w:pPr>
            <w:r>
              <w:rPr>
                <w:b/>
                <w:sz w:val="18"/>
              </w:rPr>
              <w:t>525.2</w:t>
            </w:r>
          </w:p>
        </w:tc>
        <w:tc>
          <w:tcPr>
            <w:tcW w:w="776" w:type="dxa"/>
            <w:tcBorders>
              <w:top w:val="single" w:sz="4" w:space="0" w:color="000000"/>
              <w:left w:val="single" w:sz="12" w:space="0" w:color="000000"/>
              <w:bottom w:val="single" w:sz="4" w:space="0" w:color="000000"/>
              <w:right w:val="single" w:sz="12" w:space="0" w:color="000000"/>
            </w:tcBorders>
          </w:tcPr>
          <w:p w14:paraId="0B19C1E9" w14:textId="573B36ED" w:rsidR="00B0429D" w:rsidRDefault="00B0429D" w:rsidP="00B17831">
            <w:pPr>
              <w:spacing w:after="0" w:line="259" w:lineRule="auto"/>
              <w:ind w:left="0" w:right="46" w:firstLine="0"/>
              <w:jc w:val="center"/>
            </w:pPr>
            <w:r>
              <w:rPr>
                <w:sz w:val="18"/>
              </w:rPr>
              <w:t>507</w:t>
            </w:r>
          </w:p>
        </w:tc>
        <w:tc>
          <w:tcPr>
            <w:tcW w:w="630" w:type="dxa"/>
            <w:tcBorders>
              <w:top w:val="single" w:sz="4" w:space="0" w:color="000000"/>
              <w:left w:val="single" w:sz="12" w:space="0" w:color="000000"/>
              <w:bottom w:val="single" w:sz="4" w:space="0" w:color="000000"/>
              <w:right w:val="single" w:sz="12" w:space="0" w:color="000000"/>
            </w:tcBorders>
          </w:tcPr>
          <w:p w14:paraId="7630C6BB" w14:textId="15B6FB1E" w:rsidR="00B0429D" w:rsidRDefault="00B0429D" w:rsidP="00B17831">
            <w:pPr>
              <w:spacing w:after="0" w:line="259" w:lineRule="auto"/>
              <w:ind w:left="0" w:right="0" w:firstLine="0"/>
              <w:jc w:val="center"/>
            </w:pPr>
          </w:p>
        </w:tc>
      </w:tr>
      <w:tr w:rsidR="00B0429D" w14:paraId="00E8DBDB" w14:textId="77777777" w:rsidTr="00C23B62">
        <w:trPr>
          <w:trHeight w:val="250"/>
        </w:trPr>
        <w:tc>
          <w:tcPr>
            <w:tcW w:w="3240" w:type="dxa"/>
            <w:tcBorders>
              <w:top w:val="single" w:sz="4" w:space="0" w:color="000000"/>
              <w:left w:val="single" w:sz="12" w:space="0" w:color="000000"/>
              <w:bottom w:val="single" w:sz="4" w:space="0" w:color="000000"/>
              <w:right w:val="single" w:sz="12" w:space="0" w:color="000000"/>
            </w:tcBorders>
          </w:tcPr>
          <w:p w14:paraId="18007858" w14:textId="77777777" w:rsidR="00B0429D" w:rsidRDefault="00B0429D" w:rsidP="00B0429D">
            <w:pPr>
              <w:spacing w:after="0" w:line="259" w:lineRule="auto"/>
              <w:ind w:left="2" w:right="0" w:firstLine="0"/>
            </w:pPr>
            <w:proofErr w:type="spellStart"/>
            <w:r>
              <w:rPr>
                <w:sz w:val="18"/>
              </w:rPr>
              <w:t>Fenamiphos</w:t>
            </w:r>
            <w:proofErr w:type="spellEnd"/>
            <w:r>
              <w:rPr>
                <w:sz w:val="18"/>
              </w:rPr>
              <w:t xml:space="preserve"> </w:t>
            </w:r>
          </w:p>
        </w:tc>
        <w:tc>
          <w:tcPr>
            <w:tcW w:w="1326" w:type="dxa"/>
            <w:tcBorders>
              <w:top w:val="single" w:sz="4" w:space="0" w:color="000000"/>
              <w:left w:val="single" w:sz="12" w:space="0" w:color="000000"/>
              <w:bottom w:val="single" w:sz="4" w:space="0" w:color="000000"/>
              <w:right w:val="single" w:sz="12" w:space="0" w:color="000000"/>
            </w:tcBorders>
          </w:tcPr>
          <w:p w14:paraId="65158A81" w14:textId="27CC5949" w:rsidR="00B0429D" w:rsidRDefault="00B0429D" w:rsidP="00B17831">
            <w:pPr>
              <w:spacing w:after="0" w:line="259" w:lineRule="auto"/>
              <w:ind w:left="0" w:right="44" w:firstLine="0"/>
              <w:jc w:val="center"/>
            </w:pPr>
            <w:r>
              <w:rPr>
                <w:sz w:val="18"/>
              </w:rPr>
              <w:t>22224-92-6</w:t>
            </w:r>
          </w:p>
        </w:tc>
        <w:tc>
          <w:tcPr>
            <w:tcW w:w="744" w:type="dxa"/>
            <w:tcBorders>
              <w:top w:val="single" w:sz="4" w:space="0" w:color="000000"/>
              <w:left w:val="single" w:sz="12" w:space="0" w:color="000000"/>
              <w:bottom w:val="single" w:sz="4" w:space="0" w:color="000000"/>
              <w:right w:val="single" w:sz="12" w:space="0" w:color="000000"/>
            </w:tcBorders>
          </w:tcPr>
          <w:p w14:paraId="066F5C18" w14:textId="6589FF83" w:rsidR="00B0429D" w:rsidRDefault="00B0429D" w:rsidP="00B17831">
            <w:pPr>
              <w:tabs>
                <w:tab w:val="center" w:pos="354"/>
              </w:tabs>
              <w:spacing w:after="0" w:line="259" w:lineRule="auto"/>
              <w:ind w:left="0" w:right="0" w:firstLine="0"/>
              <w:jc w:val="center"/>
            </w:pPr>
            <w:r>
              <w:rPr>
                <w:sz w:val="18"/>
              </w:rPr>
              <w:t>5</w:t>
            </w:r>
          </w:p>
        </w:tc>
        <w:tc>
          <w:tcPr>
            <w:tcW w:w="900" w:type="dxa"/>
            <w:tcBorders>
              <w:top w:val="single" w:sz="4" w:space="0" w:color="000000"/>
              <w:left w:val="single" w:sz="12" w:space="0" w:color="000000"/>
              <w:bottom w:val="single" w:sz="4" w:space="0" w:color="000000"/>
              <w:right w:val="single" w:sz="12" w:space="0" w:color="000000"/>
            </w:tcBorders>
          </w:tcPr>
          <w:p w14:paraId="792CC767" w14:textId="7A1C350E" w:rsidR="00B0429D" w:rsidRDefault="00B0429D" w:rsidP="00B2651C">
            <w:pPr>
              <w:spacing w:after="0" w:line="259" w:lineRule="auto"/>
              <w:ind w:left="0" w:right="46" w:firstLine="0"/>
              <w:jc w:val="center"/>
            </w:pPr>
            <w:r>
              <w:rPr>
                <w:sz w:val="18"/>
              </w:rPr>
              <w:t>ug/L</w:t>
            </w:r>
          </w:p>
        </w:tc>
        <w:tc>
          <w:tcPr>
            <w:tcW w:w="1080" w:type="dxa"/>
            <w:tcBorders>
              <w:top w:val="single" w:sz="4" w:space="0" w:color="000000"/>
              <w:left w:val="single" w:sz="12" w:space="0" w:color="000000"/>
              <w:bottom w:val="single" w:sz="4" w:space="0" w:color="000000"/>
              <w:right w:val="single" w:sz="12" w:space="0" w:color="000000"/>
            </w:tcBorders>
          </w:tcPr>
          <w:p w14:paraId="45EAAD95" w14:textId="272C4C94" w:rsidR="00B0429D" w:rsidRDefault="00B0429D" w:rsidP="00B17831">
            <w:pPr>
              <w:spacing w:after="0" w:line="259" w:lineRule="auto"/>
              <w:ind w:left="0" w:right="47" w:firstLine="0"/>
              <w:jc w:val="center"/>
            </w:pPr>
            <w:r>
              <w:rPr>
                <w:sz w:val="18"/>
              </w:rPr>
              <w:t>N/A</w:t>
            </w:r>
          </w:p>
        </w:tc>
        <w:tc>
          <w:tcPr>
            <w:tcW w:w="991" w:type="dxa"/>
            <w:tcBorders>
              <w:top w:val="single" w:sz="4" w:space="0" w:color="000000"/>
              <w:left w:val="single" w:sz="12" w:space="0" w:color="000000"/>
              <w:bottom w:val="single" w:sz="4" w:space="0" w:color="000000"/>
              <w:right w:val="single" w:sz="12" w:space="0" w:color="000000"/>
            </w:tcBorders>
          </w:tcPr>
          <w:p w14:paraId="57120E03" w14:textId="69829238" w:rsidR="00B0429D" w:rsidRDefault="00B0429D" w:rsidP="00B17831">
            <w:pPr>
              <w:spacing w:after="0" w:line="259" w:lineRule="auto"/>
              <w:ind w:left="0" w:right="42" w:firstLine="0"/>
              <w:jc w:val="center"/>
            </w:pPr>
            <w:r>
              <w:rPr>
                <w:sz w:val="18"/>
              </w:rPr>
              <w:t>N/A</w:t>
            </w:r>
          </w:p>
        </w:tc>
        <w:tc>
          <w:tcPr>
            <w:tcW w:w="843" w:type="dxa"/>
            <w:tcBorders>
              <w:top w:val="single" w:sz="4" w:space="0" w:color="000000"/>
              <w:left w:val="single" w:sz="12" w:space="0" w:color="000000"/>
              <w:bottom w:val="single" w:sz="4" w:space="0" w:color="000000"/>
              <w:right w:val="single" w:sz="12" w:space="0" w:color="000000"/>
            </w:tcBorders>
          </w:tcPr>
          <w:p w14:paraId="6AB05D9B" w14:textId="513060FC" w:rsidR="00B0429D" w:rsidRDefault="00B0429D" w:rsidP="00B17831">
            <w:pPr>
              <w:spacing w:after="0" w:line="259" w:lineRule="auto"/>
              <w:ind w:left="0" w:right="45" w:firstLine="0"/>
              <w:jc w:val="center"/>
            </w:pPr>
            <w:r>
              <w:rPr>
                <w:b/>
                <w:sz w:val="18"/>
              </w:rPr>
              <w:t>525.2</w:t>
            </w:r>
          </w:p>
        </w:tc>
        <w:tc>
          <w:tcPr>
            <w:tcW w:w="776" w:type="dxa"/>
            <w:tcBorders>
              <w:top w:val="single" w:sz="4" w:space="0" w:color="000000"/>
              <w:left w:val="single" w:sz="12" w:space="0" w:color="000000"/>
              <w:bottom w:val="single" w:sz="4" w:space="0" w:color="000000"/>
              <w:right w:val="single" w:sz="12" w:space="0" w:color="000000"/>
            </w:tcBorders>
          </w:tcPr>
          <w:p w14:paraId="0B03FF52" w14:textId="480579F0" w:rsidR="00B0429D" w:rsidRDefault="00B0429D" w:rsidP="00B17831">
            <w:pPr>
              <w:spacing w:after="0" w:line="259" w:lineRule="auto"/>
              <w:ind w:left="0" w:right="46" w:firstLine="0"/>
              <w:jc w:val="center"/>
            </w:pPr>
            <w:r>
              <w:rPr>
                <w:sz w:val="18"/>
              </w:rPr>
              <w:t>507</w:t>
            </w:r>
          </w:p>
        </w:tc>
        <w:tc>
          <w:tcPr>
            <w:tcW w:w="630" w:type="dxa"/>
            <w:tcBorders>
              <w:top w:val="single" w:sz="4" w:space="0" w:color="000000"/>
              <w:left w:val="single" w:sz="12" w:space="0" w:color="000000"/>
              <w:bottom w:val="single" w:sz="4" w:space="0" w:color="000000"/>
              <w:right w:val="single" w:sz="12" w:space="0" w:color="000000"/>
            </w:tcBorders>
          </w:tcPr>
          <w:p w14:paraId="33669181" w14:textId="1523D697" w:rsidR="00B0429D" w:rsidRDefault="00B0429D" w:rsidP="00B17831">
            <w:pPr>
              <w:spacing w:after="0" w:line="259" w:lineRule="auto"/>
              <w:ind w:left="0" w:right="0" w:firstLine="0"/>
              <w:jc w:val="center"/>
            </w:pPr>
          </w:p>
        </w:tc>
      </w:tr>
      <w:tr w:rsidR="00B0429D" w14:paraId="63333C4E" w14:textId="77777777" w:rsidTr="00C23B62">
        <w:trPr>
          <w:trHeight w:val="250"/>
        </w:trPr>
        <w:tc>
          <w:tcPr>
            <w:tcW w:w="3240" w:type="dxa"/>
            <w:tcBorders>
              <w:top w:val="single" w:sz="4" w:space="0" w:color="000000"/>
              <w:left w:val="single" w:sz="12" w:space="0" w:color="000000"/>
              <w:bottom w:val="single" w:sz="4" w:space="0" w:color="000000"/>
              <w:right w:val="single" w:sz="12" w:space="0" w:color="000000"/>
            </w:tcBorders>
          </w:tcPr>
          <w:p w14:paraId="004719CF" w14:textId="77777777" w:rsidR="00B0429D" w:rsidRDefault="00B0429D" w:rsidP="00B0429D">
            <w:pPr>
              <w:spacing w:after="0" w:line="259" w:lineRule="auto"/>
              <w:ind w:left="2" w:right="0" w:firstLine="0"/>
            </w:pPr>
            <w:r>
              <w:rPr>
                <w:sz w:val="18"/>
              </w:rPr>
              <w:t xml:space="preserve">Fenarimol </w:t>
            </w:r>
          </w:p>
        </w:tc>
        <w:tc>
          <w:tcPr>
            <w:tcW w:w="1326" w:type="dxa"/>
            <w:tcBorders>
              <w:top w:val="single" w:sz="4" w:space="0" w:color="000000"/>
              <w:left w:val="single" w:sz="12" w:space="0" w:color="000000"/>
              <w:bottom w:val="single" w:sz="4" w:space="0" w:color="000000"/>
              <w:right w:val="single" w:sz="12" w:space="0" w:color="000000"/>
            </w:tcBorders>
          </w:tcPr>
          <w:p w14:paraId="42B5C4FC" w14:textId="1AEC0FA3" w:rsidR="00B0429D" w:rsidRDefault="00B0429D" w:rsidP="00B17831">
            <w:pPr>
              <w:spacing w:after="0" w:line="259" w:lineRule="auto"/>
              <w:ind w:left="0" w:right="44" w:firstLine="0"/>
              <w:jc w:val="center"/>
            </w:pPr>
            <w:r>
              <w:rPr>
                <w:sz w:val="18"/>
              </w:rPr>
              <w:t>60168-88-9</w:t>
            </w:r>
          </w:p>
        </w:tc>
        <w:tc>
          <w:tcPr>
            <w:tcW w:w="744" w:type="dxa"/>
            <w:tcBorders>
              <w:top w:val="single" w:sz="4" w:space="0" w:color="000000"/>
              <w:left w:val="single" w:sz="12" w:space="0" w:color="000000"/>
              <w:bottom w:val="single" w:sz="4" w:space="0" w:color="000000"/>
              <w:right w:val="single" w:sz="12" w:space="0" w:color="000000"/>
            </w:tcBorders>
          </w:tcPr>
          <w:p w14:paraId="5252D205" w14:textId="6D209D34" w:rsidR="00B0429D" w:rsidRDefault="00B0429D" w:rsidP="00B17831">
            <w:pPr>
              <w:tabs>
                <w:tab w:val="center" w:pos="308"/>
              </w:tabs>
              <w:spacing w:after="0" w:line="259" w:lineRule="auto"/>
              <w:ind w:left="0" w:right="0" w:firstLine="0"/>
              <w:jc w:val="center"/>
            </w:pPr>
            <w:r>
              <w:rPr>
                <w:sz w:val="18"/>
              </w:rPr>
              <w:t>10</w:t>
            </w:r>
          </w:p>
        </w:tc>
        <w:tc>
          <w:tcPr>
            <w:tcW w:w="900" w:type="dxa"/>
            <w:tcBorders>
              <w:top w:val="single" w:sz="4" w:space="0" w:color="000000"/>
              <w:left w:val="single" w:sz="12" w:space="0" w:color="000000"/>
              <w:bottom w:val="single" w:sz="4" w:space="0" w:color="000000"/>
              <w:right w:val="single" w:sz="12" w:space="0" w:color="000000"/>
            </w:tcBorders>
          </w:tcPr>
          <w:p w14:paraId="4E4FEF6B" w14:textId="173BCE8D" w:rsidR="00B0429D" w:rsidRDefault="00B0429D" w:rsidP="00B2651C">
            <w:pPr>
              <w:spacing w:after="0" w:line="259" w:lineRule="auto"/>
              <w:ind w:left="0" w:right="46" w:firstLine="0"/>
              <w:jc w:val="center"/>
            </w:pPr>
            <w:r>
              <w:rPr>
                <w:sz w:val="18"/>
              </w:rPr>
              <w:t>ug/L</w:t>
            </w:r>
          </w:p>
        </w:tc>
        <w:tc>
          <w:tcPr>
            <w:tcW w:w="1080" w:type="dxa"/>
            <w:tcBorders>
              <w:top w:val="single" w:sz="4" w:space="0" w:color="000000"/>
              <w:left w:val="single" w:sz="12" w:space="0" w:color="000000"/>
              <w:bottom w:val="single" w:sz="4" w:space="0" w:color="000000"/>
              <w:right w:val="single" w:sz="12" w:space="0" w:color="000000"/>
            </w:tcBorders>
          </w:tcPr>
          <w:p w14:paraId="6BA0C166" w14:textId="6C6FB809" w:rsidR="00B0429D" w:rsidRDefault="00B0429D" w:rsidP="00B17831">
            <w:pPr>
              <w:spacing w:after="0" w:line="259" w:lineRule="auto"/>
              <w:ind w:left="0" w:right="47" w:firstLine="0"/>
              <w:jc w:val="center"/>
            </w:pPr>
            <w:r>
              <w:rPr>
                <w:sz w:val="18"/>
              </w:rPr>
              <w:t>N/A</w:t>
            </w:r>
          </w:p>
        </w:tc>
        <w:tc>
          <w:tcPr>
            <w:tcW w:w="991" w:type="dxa"/>
            <w:tcBorders>
              <w:top w:val="single" w:sz="4" w:space="0" w:color="000000"/>
              <w:left w:val="single" w:sz="12" w:space="0" w:color="000000"/>
              <w:bottom w:val="single" w:sz="4" w:space="0" w:color="000000"/>
              <w:right w:val="single" w:sz="12" w:space="0" w:color="000000"/>
            </w:tcBorders>
          </w:tcPr>
          <w:p w14:paraId="1128449E" w14:textId="14F40FAF" w:rsidR="00B0429D" w:rsidRDefault="00B0429D" w:rsidP="00B17831">
            <w:pPr>
              <w:spacing w:after="0" w:line="259" w:lineRule="auto"/>
              <w:ind w:left="0" w:right="42" w:firstLine="0"/>
              <w:jc w:val="center"/>
            </w:pPr>
            <w:r>
              <w:rPr>
                <w:sz w:val="18"/>
              </w:rPr>
              <w:t>N/A</w:t>
            </w:r>
          </w:p>
        </w:tc>
        <w:tc>
          <w:tcPr>
            <w:tcW w:w="843" w:type="dxa"/>
            <w:tcBorders>
              <w:top w:val="single" w:sz="4" w:space="0" w:color="000000"/>
              <w:left w:val="single" w:sz="12" w:space="0" w:color="000000"/>
              <w:bottom w:val="single" w:sz="4" w:space="0" w:color="000000"/>
              <w:right w:val="single" w:sz="12" w:space="0" w:color="000000"/>
            </w:tcBorders>
          </w:tcPr>
          <w:p w14:paraId="50DD1DDD" w14:textId="720A5AF4" w:rsidR="00B0429D" w:rsidRDefault="00B0429D" w:rsidP="00B17831">
            <w:pPr>
              <w:spacing w:after="0" w:line="259" w:lineRule="auto"/>
              <w:ind w:left="0" w:right="45" w:firstLine="0"/>
              <w:jc w:val="center"/>
            </w:pPr>
            <w:r>
              <w:rPr>
                <w:b/>
                <w:sz w:val="18"/>
              </w:rPr>
              <w:t>525.2</w:t>
            </w:r>
          </w:p>
        </w:tc>
        <w:tc>
          <w:tcPr>
            <w:tcW w:w="776" w:type="dxa"/>
            <w:tcBorders>
              <w:top w:val="single" w:sz="4" w:space="0" w:color="000000"/>
              <w:left w:val="single" w:sz="12" w:space="0" w:color="000000"/>
              <w:bottom w:val="single" w:sz="4" w:space="0" w:color="000000"/>
              <w:right w:val="single" w:sz="12" w:space="0" w:color="000000"/>
            </w:tcBorders>
          </w:tcPr>
          <w:p w14:paraId="4DCF9787" w14:textId="12502D31" w:rsidR="00B0429D" w:rsidRDefault="00B0429D" w:rsidP="00B17831">
            <w:pPr>
              <w:spacing w:after="0" w:line="259" w:lineRule="auto"/>
              <w:ind w:left="0" w:right="46" w:firstLine="0"/>
              <w:jc w:val="center"/>
            </w:pPr>
            <w:r>
              <w:rPr>
                <w:sz w:val="18"/>
              </w:rPr>
              <w:t>507</w:t>
            </w:r>
          </w:p>
        </w:tc>
        <w:tc>
          <w:tcPr>
            <w:tcW w:w="630" w:type="dxa"/>
            <w:tcBorders>
              <w:top w:val="single" w:sz="4" w:space="0" w:color="000000"/>
              <w:left w:val="single" w:sz="12" w:space="0" w:color="000000"/>
              <w:bottom w:val="single" w:sz="4" w:space="0" w:color="000000"/>
              <w:right w:val="single" w:sz="12" w:space="0" w:color="000000"/>
            </w:tcBorders>
          </w:tcPr>
          <w:p w14:paraId="2FF4F3A1" w14:textId="28E26FAB" w:rsidR="00B0429D" w:rsidRDefault="00B0429D" w:rsidP="00B17831">
            <w:pPr>
              <w:spacing w:after="0" w:line="259" w:lineRule="auto"/>
              <w:ind w:left="0" w:right="0" w:firstLine="0"/>
              <w:jc w:val="center"/>
            </w:pPr>
          </w:p>
        </w:tc>
      </w:tr>
      <w:tr w:rsidR="00B0429D" w14:paraId="471B86E1" w14:textId="77777777" w:rsidTr="00C23B62">
        <w:trPr>
          <w:trHeight w:val="250"/>
        </w:trPr>
        <w:tc>
          <w:tcPr>
            <w:tcW w:w="3240" w:type="dxa"/>
            <w:tcBorders>
              <w:top w:val="single" w:sz="4" w:space="0" w:color="000000"/>
              <w:left w:val="single" w:sz="12" w:space="0" w:color="000000"/>
              <w:bottom w:val="single" w:sz="4" w:space="0" w:color="000000"/>
              <w:right w:val="single" w:sz="12" w:space="0" w:color="000000"/>
            </w:tcBorders>
          </w:tcPr>
          <w:p w14:paraId="3F9D6DDA" w14:textId="77777777" w:rsidR="00B0429D" w:rsidRDefault="00B0429D" w:rsidP="00B0429D">
            <w:pPr>
              <w:spacing w:after="0" w:line="259" w:lineRule="auto"/>
              <w:ind w:left="2" w:right="0" w:firstLine="0"/>
            </w:pPr>
            <w:proofErr w:type="spellStart"/>
            <w:r>
              <w:rPr>
                <w:sz w:val="18"/>
              </w:rPr>
              <w:t>Fluridone</w:t>
            </w:r>
            <w:proofErr w:type="spellEnd"/>
            <w:r>
              <w:rPr>
                <w:sz w:val="18"/>
              </w:rPr>
              <w:t xml:space="preserve"> </w:t>
            </w:r>
          </w:p>
        </w:tc>
        <w:tc>
          <w:tcPr>
            <w:tcW w:w="1326" w:type="dxa"/>
            <w:tcBorders>
              <w:top w:val="single" w:sz="4" w:space="0" w:color="000000"/>
              <w:left w:val="single" w:sz="12" w:space="0" w:color="000000"/>
              <w:bottom w:val="single" w:sz="4" w:space="0" w:color="000000"/>
              <w:right w:val="single" w:sz="12" w:space="0" w:color="000000"/>
            </w:tcBorders>
          </w:tcPr>
          <w:p w14:paraId="158C2528" w14:textId="11E2B5CF" w:rsidR="00B0429D" w:rsidRDefault="00B0429D" w:rsidP="00B17831">
            <w:pPr>
              <w:spacing w:after="0" w:line="259" w:lineRule="auto"/>
              <w:ind w:left="0" w:right="44" w:firstLine="0"/>
              <w:jc w:val="center"/>
            </w:pPr>
            <w:r>
              <w:rPr>
                <w:sz w:val="18"/>
              </w:rPr>
              <w:t>59756-60-4</w:t>
            </w:r>
          </w:p>
        </w:tc>
        <w:tc>
          <w:tcPr>
            <w:tcW w:w="744" w:type="dxa"/>
            <w:tcBorders>
              <w:top w:val="single" w:sz="4" w:space="0" w:color="000000"/>
              <w:left w:val="single" w:sz="12" w:space="0" w:color="000000"/>
              <w:bottom w:val="single" w:sz="4" w:space="0" w:color="000000"/>
              <w:right w:val="single" w:sz="12" w:space="0" w:color="000000"/>
            </w:tcBorders>
          </w:tcPr>
          <w:p w14:paraId="3C7A24A8" w14:textId="41659300" w:rsidR="00B0429D" w:rsidRDefault="00B0429D" w:rsidP="00B17831">
            <w:pPr>
              <w:tabs>
                <w:tab w:val="center" w:pos="308"/>
              </w:tabs>
              <w:spacing w:after="0" w:line="259" w:lineRule="auto"/>
              <w:ind w:left="0" w:right="0" w:firstLine="0"/>
              <w:jc w:val="center"/>
            </w:pPr>
            <w:r>
              <w:rPr>
                <w:sz w:val="18"/>
              </w:rPr>
              <w:t>10</w:t>
            </w:r>
          </w:p>
        </w:tc>
        <w:tc>
          <w:tcPr>
            <w:tcW w:w="900" w:type="dxa"/>
            <w:tcBorders>
              <w:top w:val="single" w:sz="4" w:space="0" w:color="000000"/>
              <w:left w:val="single" w:sz="12" w:space="0" w:color="000000"/>
              <w:bottom w:val="single" w:sz="4" w:space="0" w:color="000000"/>
              <w:right w:val="single" w:sz="12" w:space="0" w:color="000000"/>
            </w:tcBorders>
          </w:tcPr>
          <w:p w14:paraId="34DD128E" w14:textId="70C547CE" w:rsidR="00B0429D" w:rsidRDefault="00B0429D" w:rsidP="00B2651C">
            <w:pPr>
              <w:spacing w:after="0" w:line="259" w:lineRule="auto"/>
              <w:ind w:left="0" w:right="46" w:firstLine="0"/>
              <w:jc w:val="center"/>
            </w:pPr>
            <w:r>
              <w:rPr>
                <w:sz w:val="18"/>
              </w:rPr>
              <w:t>ug/L</w:t>
            </w:r>
          </w:p>
        </w:tc>
        <w:tc>
          <w:tcPr>
            <w:tcW w:w="1080" w:type="dxa"/>
            <w:tcBorders>
              <w:top w:val="single" w:sz="4" w:space="0" w:color="000000"/>
              <w:left w:val="single" w:sz="12" w:space="0" w:color="000000"/>
              <w:bottom w:val="single" w:sz="4" w:space="0" w:color="000000"/>
              <w:right w:val="single" w:sz="12" w:space="0" w:color="000000"/>
            </w:tcBorders>
          </w:tcPr>
          <w:p w14:paraId="201D9D0A" w14:textId="5B609DC0" w:rsidR="00B0429D" w:rsidRDefault="00B0429D" w:rsidP="00B17831">
            <w:pPr>
              <w:spacing w:after="0" w:line="259" w:lineRule="auto"/>
              <w:ind w:left="0" w:right="47" w:firstLine="0"/>
              <w:jc w:val="center"/>
            </w:pPr>
            <w:r>
              <w:rPr>
                <w:sz w:val="18"/>
              </w:rPr>
              <w:t>N/A</w:t>
            </w:r>
          </w:p>
        </w:tc>
        <w:tc>
          <w:tcPr>
            <w:tcW w:w="991" w:type="dxa"/>
            <w:tcBorders>
              <w:top w:val="single" w:sz="4" w:space="0" w:color="000000"/>
              <w:left w:val="single" w:sz="12" w:space="0" w:color="000000"/>
              <w:bottom w:val="single" w:sz="4" w:space="0" w:color="000000"/>
              <w:right w:val="single" w:sz="12" w:space="0" w:color="000000"/>
            </w:tcBorders>
          </w:tcPr>
          <w:p w14:paraId="2B1E5F1A" w14:textId="2490A897" w:rsidR="00B0429D" w:rsidRDefault="00B0429D" w:rsidP="00B17831">
            <w:pPr>
              <w:spacing w:after="0" w:line="259" w:lineRule="auto"/>
              <w:ind w:left="0" w:right="42" w:firstLine="0"/>
              <w:jc w:val="center"/>
            </w:pPr>
            <w:r>
              <w:rPr>
                <w:sz w:val="18"/>
              </w:rPr>
              <w:t>N/A</w:t>
            </w:r>
          </w:p>
        </w:tc>
        <w:tc>
          <w:tcPr>
            <w:tcW w:w="843" w:type="dxa"/>
            <w:tcBorders>
              <w:top w:val="single" w:sz="4" w:space="0" w:color="000000"/>
              <w:left w:val="single" w:sz="12" w:space="0" w:color="000000"/>
              <w:bottom w:val="single" w:sz="4" w:space="0" w:color="000000"/>
              <w:right w:val="single" w:sz="12" w:space="0" w:color="000000"/>
            </w:tcBorders>
          </w:tcPr>
          <w:p w14:paraId="47333373" w14:textId="5CA07A87" w:rsidR="00B0429D" w:rsidRDefault="00B0429D" w:rsidP="00B17831">
            <w:pPr>
              <w:spacing w:after="0" w:line="259" w:lineRule="auto"/>
              <w:ind w:left="0" w:right="45" w:firstLine="0"/>
              <w:jc w:val="center"/>
            </w:pPr>
            <w:r>
              <w:rPr>
                <w:b/>
                <w:sz w:val="18"/>
              </w:rPr>
              <w:t>525.2</w:t>
            </w:r>
          </w:p>
        </w:tc>
        <w:tc>
          <w:tcPr>
            <w:tcW w:w="776" w:type="dxa"/>
            <w:tcBorders>
              <w:top w:val="single" w:sz="4" w:space="0" w:color="000000"/>
              <w:left w:val="single" w:sz="12" w:space="0" w:color="000000"/>
              <w:bottom w:val="single" w:sz="4" w:space="0" w:color="000000"/>
              <w:right w:val="single" w:sz="12" w:space="0" w:color="000000"/>
            </w:tcBorders>
          </w:tcPr>
          <w:p w14:paraId="124995CD" w14:textId="1389666F" w:rsidR="00B0429D" w:rsidRDefault="00B0429D" w:rsidP="00B17831">
            <w:pPr>
              <w:spacing w:after="0" w:line="259" w:lineRule="auto"/>
              <w:ind w:left="0" w:right="46" w:firstLine="0"/>
              <w:jc w:val="center"/>
            </w:pPr>
            <w:r>
              <w:rPr>
                <w:sz w:val="18"/>
              </w:rPr>
              <w:t>507</w:t>
            </w:r>
          </w:p>
        </w:tc>
        <w:tc>
          <w:tcPr>
            <w:tcW w:w="630" w:type="dxa"/>
            <w:tcBorders>
              <w:top w:val="single" w:sz="4" w:space="0" w:color="000000"/>
              <w:left w:val="single" w:sz="12" w:space="0" w:color="000000"/>
              <w:bottom w:val="single" w:sz="4" w:space="0" w:color="000000"/>
              <w:right w:val="single" w:sz="12" w:space="0" w:color="000000"/>
            </w:tcBorders>
          </w:tcPr>
          <w:p w14:paraId="2C0496D7" w14:textId="192B7E8D" w:rsidR="00B0429D" w:rsidRDefault="00B0429D" w:rsidP="00B17831">
            <w:pPr>
              <w:spacing w:after="0" w:line="259" w:lineRule="auto"/>
              <w:ind w:left="0" w:right="0" w:firstLine="0"/>
              <w:jc w:val="center"/>
            </w:pPr>
          </w:p>
        </w:tc>
      </w:tr>
      <w:tr w:rsidR="00B0429D" w14:paraId="0D48431E" w14:textId="77777777" w:rsidTr="00C23B62">
        <w:trPr>
          <w:trHeight w:val="250"/>
        </w:trPr>
        <w:tc>
          <w:tcPr>
            <w:tcW w:w="3240" w:type="dxa"/>
            <w:tcBorders>
              <w:top w:val="single" w:sz="4" w:space="0" w:color="000000"/>
              <w:left w:val="single" w:sz="12" w:space="0" w:color="000000"/>
              <w:bottom w:val="single" w:sz="4" w:space="0" w:color="000000"/>
              <w:right w:val="single" w:sz="12" w:space="0" w:color="000000"/>
            </w:tcBorders>
          </w:tcPr>
          <w:p w14:paraId="0612383D" w14:textId="77777777" w:rsidR="00B0429D" w:rsidRDefault="00B0429D" w:rsidP="00B0429D">
            <w:pPr>
              <w:spacing w:after="0" w:line="259" w:lineRule="auto"/>
              <w:ind w:left="2" w:right="0" w:firstLine="0"/>
            </w:pPr>
            <w:r>
              <w:rPr>
                <w:sz w:val="18"/>
              </w:rPr>
              <w:t xml:space="preserve">Hexazinone </w:t>
            </w:r>
          </w:p>
        </w:tc>
        <w:tc>
          <w:tcPr>
            <w:tcW w:w="1326" w:type="dxa"/>
            <w:tcBorders>
              <w:top w:val="single" w:sz="4" w:space="0" w:color="000000"/>
              <w:left w:val="single" w:sz="12" w:space="0" w:color="000000"/>
              <w:bottom w:val="single" w:sz="4" w:space="0" w:color="000000"/>
              <w:right w:val="single" w:sz="12" w:space="0" w:color="000000"/>
            </w:tcBorders>
          </w:tcPr>
          <w:p w14:paraId="04042F1E" w14:textId="34A2B2FA" w:rsidR="00B0429D" w:rsidRDefault="00B0429D" w:rsidP="00B17831">
            <w:pPr>
              <w:spacing w:after="0" w:line="259" w:lineRule="auto"/>
              <w:ind w:left="0" w:right="44" w:firstLine="0"/>
              <w:jc w:val="center"/>
            </w:pPr>
            <w:r>
              <w:rPr>
                <w:sz w:val="18"/>
              </w:rPr>
              <w:t>51235-04-2</w:t>
            </w:r>
          </w:p>
        </w:tc>
        <w:tc>
          <w:tcPr>
            <w:tcW w:w="744" w:type="dxa"/>
            <w:tcBorders>
              <w:top w:val="single" w:sz="4" w:space="0" w:color="000000"/>
              <w:left w:val="single" w:sz="12" w:space="0" w:color="000000"/>
              <w:bottom w:val="single" w:sz="4" w:space="0" w:color="000000"/>
              <w:right w:val="single" w:sz="12" w:space="0" w:color="000000"/>
            </w:tcBorders>
          </w:tcPr>
          <w:p w14:paraId="2F9032CB" w14:textId="60B8ECCC" w:rsidR="00B0429D" w:rsidRDefault="00B0429D" w:rsidP="00B17831">
            <w:pPr>
              <w:tabs>
                <w:tab w:val="center" w:pos="308"/>
              </w:tabs>
              <w:spacing w:after="0" w:line="259" w:lineRule="auto"/>
              <w:ind w:left="0" w:right="0" w:firstLine="0"/>
              <w:jc w:val="center"/>
            </w:pPr>
            <w:r>
              <w:rPr>
                <w:sz w:val="18"/>
              </w:rPr>
              <w:t>10</w:t>
            </w:r>
          </w:p>
        </w:tc>
        <w:tc>
          <w:tcPr>
            <w:tcW w:w="900" w:type="dxa"/>
            <w:tcBorders>
              <w:top w:val="single" w:sz="4" w:space="0" w:color="000000"/>
              <w:left w:val="single" w:sz="12" w:space="0" w:color="000000"/>
              <w:bottom w:val="single" w:sz="4" w:space="0" w:color="000000"/>
              <w:right w:val="single" w:sz="12" w:space="0" w:color="000000"/>
            </w:tcBorders>
          </w:tcPr>
          <w:p w14:paraId="49F9659F" w14:textId="31612EFE" w:rsidR="00B0429D" w:rsidRDefault="00B0429D" w:rsidP="00B2651C">
            <w:pPr>
              <w:spacing w:after="0" w:line="259" w:lineRule="auto"/>
              <w:ind w:left="0" w:right="46" w:firstLine="0"/>
              <w:jc w:val="center"/>
            </w:pPr>
            <w:r>
              <w:rPr>
                <w:sz w:val="18"/>
              </w:rPr>
              <w:t>ug/L</w:t>
            </w:r>
          </w:p>
        </w:tc>
        <w:tc>
          <w:tcPr>
            <w:tcW w:w="1080" w:type="dxa"/>
            <w:tcBorders>
              <w:top w:val="single" w:sz="4" w:space="0" w:color="000000"/>
              <w:left w:val="single" w:sz="12" w:space="0" w:color="000000"/>
              <w:bottom w:val="single" w:sz="4" w:space="0" w:color="000000"/>
              <w:right w:val="single" w:sz="12" w:space="0" w:color="000000"/>
            </w:tcBorders>
          </w:tcPr>
          <w:p w14:paraId="7FBC505C" w14:textId="78549ACA" w:rsidR="00B0429D" w:rsidRDefault="00B0429D" w:rsidP="00B17831">
            <w:pPr>
              <w:spacing w:after="0" w:line="259" w:lineRule="auto"/>
              <w:ind w:left="0" w:right="47" w:firstLine="0"/>
              <w:jc w:val="center"/>
            </w:pPr>
            <w:r>
              <w:rPr>
                <w:sz w:val="18"/>
              </w:rPr>
              <w:t>N/A</w:t>
            </w:r>
          </w:p>
        </w:tc>
        <w:tc>
          <w:tcPr>
            <w:tcW w:w="991" w:type="dxa"/>
            <w:tcBorders>
              <w:top w:val="single" w:sz="4" w:space="0" w:color="000000"/>
              <w:left w:val="single" w:sz="12" w:space="0" w:color="000000"/>
              <w:bottom w:val="single" w:sz="4" w:space="0" w:color="000000"/>
              <w:right w:val="single" w:sz="12" w:space="0" w:color="000000"/>
            </w:tcBorders>
          </w:tcPr>
          <w:p w14:paraId="7663E430" w14:textId="60C33363" w:rsidR="00B0429D" w:rsidRDefault="00B0429D" w:rsidP="00B17831">
            <w:pPr>
              <w:spacing w:after="0" w:line="259" w:lineRule="auto"/>
              <w:ind w:left="0" w:right="42" w:firstLine="0"/>
              <w:jc w:val="center"/>
            </w:pPr>
            <w:r>
              <w:rPr>
                <w:sz w:val="18"/>
              </w:rPr>
              <w:t>N/A</w:t>
            </w:r>
          </w:p>
        </w:tc>
        <w:tc>
          <w:tcPr>
            <w:tcW w:w="843" w:type="dxa"/>
            <w:tcBorders>
              <w:top w:val="single" w:sz="4" w:space="0" w:color="000000"/>
              <w:left w:val="single" w:sz="12" w:space="0" w:color="000000"/>
              <w:bottom w:val="single" w:sz="4" w:space="0" w:color="000000"/>
              <w:right w:val="single" w:sz="12" w:space="0" w:color="000000"/>
            </w:tcBorders>
          </w:tcPr>
          <w:p w14:paraId="7135EE8F" w14:textId="3B974E7B" w:rsidR="00B0429D" w:rsidRDefault="00B0429D" w:rsidP="00B17831">
            <w:pPr>
              <w:spacing w:after="0" w:line="259" w:lineRule="auto"/>
              <w:ind w:left="0" w:right="45" w:firstLine="0"/>
              <w:jc w:val="center"/>
            </w:pPr>
            <w:r>
              <w:rPr>
                <w:b/>
                <w:sz w:val="18"/>
              </w:rPr>
              <w:t>525.2</w:t>
            </w:r>
          </w:p>
        </w:tc>
        <w:tc>
          <w:tcPr>
            <w:tcW w:w="776" w:type="dxa"/>
            <w:tcBorders>
              <w:top w:val="single" w:sz="4" w:space="0" w:color="000000"/>
              <w:left w:val="single" w:sz="12" w:space="0" w:color="000000"/>
              <w:bottom w:val="single" w:sz="4" w:space="0" w:color="000000"/>
              <w:right w:val="single" w:sz="12" w:space="0" w:color="000000"/>
            </w:tcBorders>
          </w:tcPr>
          <w:p w14:paraId="3D0DDE28" w14:textId="36AAA5A4" w:rsidR="00B0429D" w:rsidRDefault="00B0429D" w:rsidP="00B17831">
            <w:pPr>
              <w:spacing w:after="0" w:line="259" w:lineRule="auto"/>
              <w:ind w:left="0" w:right="0" w:firstLine="0"/>
              <w:jc w:val="center"/>
            </w:pPr>
          </w:p>
        </w:tc>
        <w:tc>
          <w:tcPr>
            <w:tcW w:w="630" w:type="dxa"/>
            <w:tcBorders>
              <w:top w:val="single" w:sz="4" w:space="0" w:color="000000"/>
              <w:left w:val="single" w:sz="12" w:space="0" w:color="000000"/>
              <w:bottom w:val="single" w:sz="4" w:space="0" w:color="000000"/>
              <w:right w:val="single" w:sz="12" w:space="0" w:color="000000"/>
            </w:tcBorders>
          </w:tcPr>
          <w:p w14:paraId="58108842" w14:textId="4BA16011" w:rsidR="00B0429D" w:rsidRDefault="00B0429D" w:rsidP="00B17831">
            <w:pPr>
              <w:spacing w:after="0" w:line="259" w:lineRule="auto"/>
              <w:ind w:left="0" w:right="0" w:firstLine="0"/>
              <w:jc w:val="center"/>
            </w:pPr>
          </w:p>
        </w:tc>
      </w:tr>
      <w:tr w:rsidR="00B0429D" w14:paraId="1D0A482E" w14:textId="77777777" w:rsidTr="00C23B62">
        <w:trPr>
          <w:trHeight w:val="252"/>
        </w:trPr>
        <w:tc>
          <w:tcPr>
            <w:tcW w:w="3240" w:type="dxa"/>
            <w:tcBorders>
              <w:top w:val="single" w:sz="4" w:space="0" w:color="000000"/>
              <w:left w:val="single" w:sz="12" w:space="0" w:color="000000"/>
              <w:bottom w:val="single" w:sz="4" w:space="0" w:color="000000"/>
              <w:right w:val="single" w:sz="12" w:space="0" w:color="000000"/>
            </w:tcBorders>
          </w:tcPr>
          <w:p w14:paraId="28438208" w14:textId="77777777" w:rsidR="00B0429D" w:rsidRDefault="00B0429D" w:rsidP="00B0429D">
            <w:pPr>
              <w:spacing w:after="0" w:line="259" w:lineRule="auto"/>
              <w:ind w:left="2" w:right="0" w:firstLine="0"/>
            </w:pPr>
            <w:proofErr w:type="spellStart"/>
            <w:r>
              <w:rPr>
                <w:sz w:val="18"/>
              </w:rPr>
              <w:t>Merphos</w:t>
            </w:r>
            <w:proofErr w:type="spellEnd"/>
            <w:r>
              <w:rPr>
                <w:sz w:val="18"/>
              </w:rPr>
              <w:t xml:space="preserve"> </w:t>
            </w:r>
          </w:p>
        </w:tc>
        <w:tc>
          <w:tcPr>
            <w:tcW w:w="1326" w:type="dxa"/>
            <w:tcBorders>
              <w:top w:val="single" w:sz="4" w:space="0" w:color="000000"/>
              <w:left w:val="single" w:sz="12" w:space="0" w:color="000000"/>
              <w:bottom w:val="single" w:sz="4" w:space="0" w:color="000000"/>
              <w:right w:val="single" w:sz="12" w:space="0" w:color="000000"/>
            </w:tcBorders>
          </w:tcPr>
          <w:p w14:paraId="40E04639" w14:textId="08EF3DB4" w:rsidR="00B0429D" w:rsidRDefault="00B0429D" w:rsidP="00B17831">
            <w:pPr>
              <w:spacing w:after="0" w:line="259" w:lineRule="auto"/>
              <w:ind w:left="0" w:right="44" w:firstLine="0"/>
              <w:jc w:val="center"/>
            </w:pPr>
            <w:r>
              <w:rPr>
                <w:sz w:val="18"/>
              </w:rPr>
              <w:t>150-50-5</w:t>
            </w:r>
          </w:p>
        </w:tc>
        <w:tc>
          <w:tcPr>
            <w:tcW w:w="744" w:type="dxa"/>
            <w:tcBorders>
              <w:top w:val="single" w:sz="4" w:space="0" w:color="000000"/>
              <w:left w:val="single" w:sz="12" w:space="0" w:color="000000"/>
              <w:bottom w:val="single" w:sz="4" w:space="0" w:color="000000"/>
              <w:right w:val="single" w:sz="12" w:space="0" w:color="000000"/>
            </w:tcBorders>
          </w:tcPr>
          <w:p w14:paraId="76F2BFF6" w14:textId="5D1EC77B" w:rsidR="00B0429D" w:rsidRDefault="00B0429D" w:rsidP="00B17831">
            <w:pPr>
              <w:tabs>
                <w:tab w:val="center" w:pos="354"/>
              </w:tabs>
              <w:spacing w:after="0" w:line="259" w:lineRule="auto"/>
              <w:ind w:left="0" w:right="0" w:firstLine="0"/>
              <w:jc w:val="center"/>
            </w:pPr>
            <w:r>
              <w:rPr>
                <w:sz w:val="18"/>
              </w:rPr>
              <w:t>1</w:t>
            </w:r>
          </w:p>
        </w:tc>
        <w:tc>
          <w:tcPr>
            <w:tcW w:w="900" w:type="dxa"/>
            <w:tcBorders>
              <w:top w:val="single" w:sz="4" w:space="0" w:color="000000"/>
              <w:left w:val="single" w:sz="12" w:space="0" w:color="000000"/>
              <w:bottom w:val="single" w:sz="4" w:space="0" w:color="000000"/>
              <w:right w:val="single" w:sz="12" w:space="0" w:color="000000"/>
            </w:tcBorders>
          </w:tcPr>
          <w:p w14:paraId="59BB369A" w14:textId="00D79028" w:rsidR="00B0429D" w:rsidRDefault="00B0429D" w:rsidP="00B2651C">
            <w:pPr>
              <w:spacing w:after="0" w:line="259" w:lineRule="auto"/>
              <w:ind w:left="0" w:right="46" w:firstLine="0"/>
              <w:jc w:val="center"/>
            </w:pPr>
            <w:r>
              <w:rPr>
                <w:sz w:val="18"/>
              </w:rPr>
              <w:t>ug/L</w:t>
            </w:r>
          </w:p>
        </w:tc>
        <w:tc>
          <w:tcPr>
            <w:tcW w:w="1080" w:type="dxa"/>
            <w:tcBorders>
              <w:top w:val="single" w:sz="4" w:space="0" w:color="000000"/>
              <w:left w:val="single" w:sz="12" w:space="0" w:color="000000"/>
              <w:bottom w:val="single" w:sz="4" w:space="0" w:color="000000"/>
              <w:right w:val="single" w:sz="12" w:space="0" w:color="000000"/>
            </w:tcBorders>
          </w:tcPr>
          <w:p w14:paraId="7E2AA40F" w14:textId="68C1F32B" w:rsidR="00B0429D" w:rsidRDefault="00B0429D" w:rsidP="00B17831">
            <w:pPr>
              <w:spacing w:after="0" w:line="259" w:lineRule="auto"/>
              <w:ind w:left="0" w:right="47" w:firstLine="0"/>
              <w:jc w:val="center"/>
            </w:pPr>
            <w:r>
              <w:rPr>
                <w:sz w:val="18"/>
              </w:rPr>
              <w:t>N/A</w:t>
            </w:r>
          </w:p>
        </w:tc>
        <w:tc>
          <w:tcPr>
            <w:tcW w:w="991" w:type="dxa"/>
            <w:tcBorders>
              <w:top w:val="single" w:sz="4" w:space="0" w:color="000000"/>
              <w:left w:val="single" w:sz="12" w:space="0" w:color="000000"/>
              <w:bottom w:val="single" w:sz="4" w:space="0" w:color="000000"/>
              <w:right w:val="single" w:sz="12" w:space="0" w:color="000000"/>
            </w:tcBorders>
          </w:tcPr>
          <w:p w14:paraId="44E4C5CA" w14:textId="739AB201" w:rsidR="00B0429D" w:rsidRDefault="00B0429D" w:rsidP="00B17831">
            <w:pPr>
              <w:spacing w:after="0" w:line="259" w:lineRule="auto"/>
              <w:ind w:left="0" w:right="42" w:firstLine="0"/>
              <w:jc w:val="center"/>
            </w:pPr>
            <w:r>
              <w:rPr>
                <w:sz w:val="18"/>
              </w:rPr>
              <w:t>N/A</w:t>
            </w:r>
          </w:p>
        </w:tc>
        <w:tc>
          <w:tcPr>
            <w:tcW w:w="843" w:type="dxa"/>
            <w:tcBorders>
              <w:top w:val="single" w:sz="4" w:space="0" w:color="000000"/>
              <w:left w:val="single" w:sz="12" w:space="0" w:color="000000"/>
              <w:bottom w:val="single" w:sz="4" w:space="0" w:color="000000"/>
              <w:right w:val="single" w:sz="12" w:space="0" w:color="000000"/>
            </w:tcBorders>
          </w:tcPr>
          <w:p w14:paraId="1784B76B" w14:textId="10ABBF8F" w:rsidR="00B0429D" w:rsidRDefault="00B0429D" w:rsidP="00B17831">
            <w:pPr>
              <w:spacing w:after="0" w:line="259" w:lineRule="auto"/>
              <w:ind w:left="0" w:right="45" w:firstLine="0"/>
              <w:jc w:val="center"/>
            </w:pPr>
            <w:r>
              <w:rPr>
                <w:b/>
                <w:sz w:val="18"/>
              </w:rPr>
              <w:t>525.2</w:t>
            </w:r>
          </w:p>
        </w:tc>
        <w:tc>
          <w:tcPr>
            <w:tcW w:w="776" w:type="dxa"/>
            <w:tcBorders>
              <w:top w:val="single" w:sz="4" w:space="0" w:color="000000"/>
              <w:left w:val="single" w:sz="12" w:space="0" w:color="000000"/>
              <w:bottom w:val="single" w:sz="4" w:space="0" w:color="000000"/>
              <w:right w:val="single" w:sz="12" w:space="0" w:color="000000"/>
            </w:tcBorders>
          </w:tcPr>
          <w:p w14:paraId="597D3FF6" w14:textId="27E099B5" w:rsidR="00B0429D" w:rsidRDefault="00B0429D" w:rsidP="00B17831">
            <w:pPr>
              <w:spacing w:after="0" w:line="259" w:lineRule="auto"/>
              <w:ind w:left="0" w:right="46" w:firstLine="0"/>
              <w:jc w:val="center"/>
            </w:pPr>
            <w:r>
              <w:rPr>
                <w:sz w:val="18"/>
              </w:rPr>
              <w:t>507</w:t>
            </w:r>
          </w:p>
        </w:tc>
        <w:tc>
          <w:tcPr>
            <w:tcW w:w="630" w:type="dxa"/>
            <w:tcBorders>
              <w:top w:val="single" w:sz="4" w:space="0" w:color="000000"/>
              <w:left w:val="single" w:sz="12" w:space="0" w:color="000000"/>
              <w:bottom w:val="single" w:sz="4" w:space="0" w:color="000000"/>
              <w:right w:val="single" w:sz="12" w:space="0" w:color="000000"/>
            </w:tcBorders>
          </w:tcPr>
          <w:p w14:paraId="350BB422" w14:textId="6E75768A" w:rsidR="00B0429D" w:rsidRDefault="00B0429D" w:rsidP="00B17831">
            <w:pPr>
              <w:spacing w:after="0" w:line="259" w:lineRule="auto"/>
              <w:ind w:left="0" w:right="0" w:firstLine="0"/>
              <w:jc w:val="center"/>
            </w:pPr>
          </w:p>
        </w:tc>
      </w:tr>
      <w:tr w:rsidR="00B0429D" w14:paraId="25A83425" w14:textId="77777777" w:rsidTr="00C23B62">
        <w:trPr>
          <w:trHeight w:val="250"/>
        </w:trPr>
        <w:tc>
          <w:tcPr>
            <w:tcW w:w="3240" w:type="dxa"/>
            <w:tcBorders>
              <w:top w:val="single" w:sz="4" w:space="0" w:color="000000"/>
              <w:left w:val="single" w:sz="12" w:space="0" w:color="000000"/>
              <w:bottom w:val="single" w:sz="4" w:space="0" w:color="000000"/>
              <w:right w:val="single" w:sz="12" w:space="0" w:color="000000"/>
            </w:tcBorders>
          </w:tcPr>
          <w:p w14:paraId="2E7FDFA8" w14:textId="77777777" w:rsidR="00B0429D" w:rsidRDefault="00B0429D" w:rsidP="00B0429D">
            <w:pPr>
              <w:spacing w:after="0" w:line="259" w:lineRule="auto"/>
              <w:ind w:left="2" w:right="0" w:firstLine="0"/>
            </w:pPr>
            <w:r>
              <w:rPr>
                <w:sz w:val="18"/>
              </w:rPr>
              <w:t xml:space="preserve">Methyl paraoxon </w:t>
            </w:r>
          </w:p>
        </w:tc>
        <w:tc>
          <w:tcPr>
            <w:tcW w:w="1326" w:type="dxa"/>
            <w:tcBorders>
              <w:top w:val="single" w:sz="4" w:space="0" w:color="000000"/>
              <w:left w:val="single" w:sz="12" w:space="0" w:color="000000"/>
              <w:bottom w:val="single" w:sz="4" w:space="0" w:color="000000"/>
              <w:right w:val="single" w:sz="12" w:space="0" w:color="000000"/>
            </w:tcBorders>
          </w:tcPr>
          <w:p w14:paraId="7AB40CCA" w14:textId="2B517868" w:rsidR="00B0429D" w:rsidRDefault="00B0429D" w:rsidP="00B17831">
            <w:pPr>
              <w:spacing w:after="0" w:line="259" w:lineRule="auto"/>
              <w:ind w:left="0" w:right="44" w:firstLine="0"/>
              <w:jc w:val="center"/>
            </w:pPr>
            <w:r>
              <w:rPr>
                <w:sz w:val="18"/>
              </w:rPr>
              <w:t>950-35-6</w:t>
            </w:r>
          </w:p>
        </w:tc>
        <w:tc>
          <w:tcPr>
            <w:tcW w:w="744" w:type="dxa"/>
            <w:tcBorders>
              <w:top w:val="single" w:sz="4" w:space="0" w:color="000000"/>
              <w:left w:val="single" w:sz="12" w:space="0" w:color="000000"/>
              <w:bottom w:val="single" w:sz="4" w:space="0" w:color="000000"/>
              <w:right w:val="single" w:sz="12" w:space="0" w:color="000000"/>
            </w:tcBorders>
          </w:tcPr>
          <w:p w14:paraId="685B9CA3" w14:textId="6F84F363" w:rsidR="00B0429D" w:rsidRDefault="00B0429D" w:rsidP="00B17831">
            <w:pPr>
              <w:tabs>
                <w:tab w:val="center" w:pos="308"/>
              </w:tabs>
              <w:spacing w:after="0" w:line="259" w:lineRule="auto"/>
              <w:ind w:left="0" w:right="0" w:firstLine="0"/>
              <w:jc w:val="center"/>
            </w:pPr>
            <w:r>
              <w:rPr>
                <w:sz w:val="18"/>
              </w:rPr>
              <w:t>10</w:t>
            </w:r>
          </w:p>
        </w:tc>
        <w:tc>
          <w:tcPr>
            <w:tcW w:w="900" w:type="dxa"/>
            <w:tcBorders>
              <w:top w:val="single" w:sz="4" w:space="0" w:color="000000"/>
              <w:left w:val="single" w:sz="12" w:space="0" w:color="000000"/>
              <w:bottom w:val="single" w:sz="4" w:space="0" w:color="000000"/>
              <w:right w:val="single" w:sz="12" w:space="0" w:color="000000"/>
            </w:tcBorders>
          </w:tcPr>
          <w:p w14:paraId="1D9511C7" w14:textId="5A7A135A" w:rsidR="00B0429D" w:rsidRDefault="00B0429D" w:rsidP="00B2651C">
            <w:pPr>
              <w:spacing w:after="0" w:line="259" w:lineRule="auto"/>
              <w:ind w:left="0" w:right="46" w:firstLine="0"/>
              <w:jc w:val="center"/>
            </w:pPr>
            <w:r>
              <w:rPr>
                <w:sz w:val="18"/>
              </w:rPr>
              <w:t>ug/L</w:t>
            </w:r>
          </w:p>
        </w:tc>
        <w:tc>
          <w:tcPr>
            <w:tcW w:w="1080" w:type="dxa"/>
            <w:tcBorders>
              <w:top w:val="single" w:sz="4" w:space="0" w:color="000000"/>
              <w:left w:val="single" w:sz="12" w:space="0" w:color="000000"/>
              <w:bottom w:val="single" w:sz="4" w:space="0" w:color="000000"/>
              <w:right w:val="single" w:sz="12" w:space="0" w:color="000000"/>
            </w:tcBorders>
          </w:tcPr>
          <w:p w14:paraId="7AD7BCBB" w14:textId="18453D3D" w:rsidR="00B0429D" w:rsidRDefault="00B0429D" w:rsidP="00B17831">
            <w:pPr>
              <w:spacing w:after="0" w:line="259" w:lineRule="auto"/>
              <w:ind w:left="0" w:right="47" w:firstLine="0"/>
              <w:jc w:val="center"/>
            </w:pPr>
            <w:r>
              <w:rPr>
                <w:sz w:val="18"/>
              </w:rPr>
              <w:t>N/A</w:t>
            </w:r>
          </w:p>
        </w:tc>
        <w:tc>
          <w:tcPr>
            <w:tcW w:w="991" w:type="dxa"/>
            <w:tcBorders>
              <w:top w:val="single" w:sz="4" w:space="0" w:color="000000"/>
              <w:left w:val="single" w:sz="12" w:space="0" w:color="000000"/>
              <w:bottom w:val="single" w:sz="4" w:space="0" w:color="000000"/>
              <w:right w:val="single" w:sz="12" w:space="0" w:color="000000"/>
            </w:tcBorders>
          </w:tcPr>
          <w:p w14:paraId="4170500A" w14:textId="334B02F6" w:rsidR="00B0429D" w:rsidRDefault="00B0429D" w:rsidP="00B17831">
            <w:pPr>
              <w:spacing w:after="0" w:line="259" w:lineRule="auto"/>
              <w:ind w:left="0" w:right="42" w:firstLine="0"/>
              <w:jc w:val="center"/>
            </w:pPr>
            <w:r>
              <w:rPr>
                <w:sz w:val="18"/>
              </w:rPr>
              <w:t>N/A</w:t>
            </w:r>
          </w:p>
        </w:tc>
        <w:tc>
          <w:tcPr>
            <w:tcW w:w="843" w:type="dxa"/>
            <w:tcBorders>
              <w:top w:val="single" w:sz="4" w:space="0" w:color="000000"/>
              <w:left w:val="single" w:sz="12" w:space="0" w:color="000000"/>
              <w:bottom w:val="single" w:sz="4" w:space="0" w:color="000000"/>
              <w:right w:val="single" w:sz="12" w:space="0" w:color="000000"/>
            </w:tcBorders>
          </w:tcPr>
          <w:p w14:paraId="0CBB5E16" w14:textId="5FBD5AE0" w:rsidR="00B0429D" w:rsidRDefault="00B0429D" w:rsidP="00B17831">
            <w:pPr>
              <w:spacing w:after="0" w:line="259" w:lineRule="auto"/>
              <w:ind w:left="0" w:right="45" w:firstLine="0"/>
              <w:jc w:val="center"/>
            </w:pPr>
            <w:r>
              <w:rPr>
                <w:b/>
                <w:sz w:val="18"/>
              </w:rPr>
              <w:t>525.2</w:t>
            </w:r>
          </w:p>
        </w:tc>
        <w:tc>
          <w:tcPr>
            <w:tcW w:w="776" w:type="dxa"/>
            <w:tcBorders>
              <w:top w:val="single" w:sz="4" w:space="0" w:color="000000"/>
              <w:left w:val="single" w:sz="12" w:space="0" w:color="000000"/>
              <w:bottom w:val="single" w:sz="4" w:space="0" w:color="000000"/>
              <w:right w:val="single" w:sz="12" w:space="0" w:color="000000"/>
            </w:tcBorders>
          </w:tcPr>
          <w:p w14:paraId="0B152C4A" w14:textId="7E543676" w:rsidR="00B0429D" w:rsidRDefault="00B0429D" w:rsidP="00B17831">
            <w:pPr>
              <w:spacing w:after="0" w:line="259" w:lineRule="auto"/>
              <w:ind w:left="0" w:right="46" w:firstLine="0"/>
              <w:jc w:val="center"/>
            </w:pPr>
            <w:r>
              <w:rPr>
                <w:sz w:val="18"/>
              </w:rPr>
              <w:t>507</w:t>
            </w:r>
          </w:p>
        </w:tc>
        <w:tc>
          <w:tcPr>
            <w:tcW w:w="630" w:type="dxa"/>
            <w:tcBorders>
              <w:top w:val="single" w:sz="4" w:space="0" w:color="000000"/>
              <w:left w:val="single" w:sz="12" w:space="0" w:color="000000"/>
              <w:bottom w:val="single" w:sz="4" w:space="0" w:color="000000"/>
              <w:right w:val="single" w:sz="12" w:space="0" w:color="000000"/>
            </w:tcBorders>
          </w:tcPr>
          <w:p w14:paraId="4650D27F" w14:textId="7FBA4D11" w:rsidR="00B0429D" w:rsidRDefault="00B0429D" w:rsidP="00B17831">
            <w:pPr>
              <w:spacing w:after="0" w:line="259" w:lineRule="auto"/>
              <w:ind w:left="0" w:right="0" w:firstLine="0"/>
              <w:jc w:val="center"/>
            </w:pPr>
          </w:p>
        </w:tc>
      </w:tr>
      <w:tr w:rsidR="00B0429D" w14:paraId="6887927D" w14:textId="77777777" w:rsidTr="00C23B62">
        <w:trPr>
          <w:trHeight w:val="250"/>
        </w:trPr>
        <w:tc>
          <w:tcPr>
            <w:tcW w:w="3240" w:type="dxa"/>
            <w:tcBorders>
              <w:top w:val="single" w:sz="4" w:space="0" w:color="000000"/>
              <w:left w:val="single" w:sz="12" w:space="0" w:color="000000"/>
              <w:bottom w:val="single" w:sz="4" w:space="0" w:color="000000"/>
              <w:right w:val="single" w:sz="12" w:space="0" w:color="000000"/>
            </w:tcBorders>
          </w:tcPr>
          <w:p w14:paraId="40E53965" w14:textId="2B872A91" w:rsidR="00B0429D" w:rsidRDefault="00B0429D" w:rsidP="00B0429D">
            <w:pPr>
              <w:spacing w:after="0" w:line="259" w:lineRule="auto"/>
              <w:ind w:left="2" w:right="0" w:firstLine="0"/>
            </w:pPr>
            <w:r>
              <w:rPr>
                <w:sz w:val="18"/>
              </w:rPr>
              <w:t>Metolachlor (</w:t>
            </w:r>
            <w:r>
              <w:rPr>
                <w:i/>
                <w:sz w:val="18"/>
              </w:rPr>
              <w:t xml:space="preserve">Dual) </w:t>
            </w:r>
          </w:p>
        </w:tc>
        <w:tc>
          <w:tcPr>
            <w:tcW w:w="1326" w:type="dxa"/>
            <w:tcBorders>
              <w:top w:val="single" w:sz="4" w:space="0" w:color="000000"/>
              <w:left w:val="single" w:sz="12" w:space="0" w:color="000000"/>
              <w:bottom w:val="single" w:sz="4" w:space="0" w:color="000000"/>
              <w:right w:val="single" w:sz="12" w:space="0" w:color="000000"/>
            </w:tcBorders>
          </w:tcPr>
          <w:p w14:paraId="34D7BC3F" w14:textId="292B7D4A" w:rsidR="00B0429D" w:rsidRDefault="00B0429D" w:rsidP="00B17831">
            <w:pPr>
              <w:spacing w:after="0" w:line="259" w:lineRule="auto"/>
              <w:ind w:left="0" w:right="44" w:firstLine="0"/>
              <w:jc w:val="center"/>
            </w:pPr>
            <w:r>
              <w:rPr>
                <w:sz w:val="18"/>
              </w:rPr>
              <w:t>51218-45-2</w:t>
            </w:r>
          </w:p>
        </w:tc>
        <w:tc>
          <w:tcPr>
            <w:tcW w:w="744" w:type="dxa"/>
            <w:tcBorders>
              <w:top w:val="single" w:sz="4" w:space="0" w:color="000000"/>
              <w:left w:val="single" w:sz="12" w:space="0" w:color="000000"/>
              <w:bottom w:val="single" w:sz="4" w:space="0" w:color="000000"/>
              <w:right w:val="single" w:sz="12" w:space="0" w:color="000000"/>
            </w:tcBorders>
          </w:tcPr>
          <w:p w14:paraId="535D8D95" w14:textId="047239F5" w:rsidR="00B0429D" w:rsidRDefault="00B0429D" w:rsidP="00B17831">
            <w:pPr>
              <w:tabs>
                <w:tab w:val="center" w:pos="308"/>
              </w:tabs>
              <w:spacing w:after="0" w:line="259" w:lineRule="auto"/>
              <w:ind w:left="0" w:right="0" w:firstLine="0"/>
              <w:jc w:val="center"/>
            </w:pPr>
            <w:r>
              <w:rPr>
                <w:sz w:val="18"/>
              </w:rPr>
              <w:t>10</w:t>
            </w:r>
          </w:p>
        </w:tc>
        <w:tc>
          <w:tcPr>
            <w:tcW w:w="900" w:type="dxa"/>
            <w:tcBorders>
              <w:top w:val="single" w:sz="4" w:space="0" w:color="000000"/>
              <w:left w:val="single" w:sz="12" w:space="0" w:color="000000"/>
              <w:bottom w:val="single" w:sz="4" w:space="0" w:color="000000"/>
              <w:right w:val="single" w:sz="12" w:space="0" w:color="000000"/>
            </w:tcBorders>
          </w:tcPr>
          <w:p w14:paraId="470D7F05" w14:textId="2D2616B7" w:rsidR="00B0429D" w:rsidRDefault="00B0429D" w:rsidP="00B2651C">
            <w:pPr>
              <w:spacing w:after="0" w:line="259" w:lineRule="auto"/>
              <w:ind w:left="0" w:right="46" w:firstLine="0"/>
              <w:jc w:val="center"/>
            </w:pPr>
            <w:r>
              <w:rPr>
                <w:sz w:val="18"/>
              </w:rPr>
              <w:t>ug/L</w:t>
            </w:r>
          </w:p>
        </w:tc>
        <w:tc>
          <w:tcPr>
            <w:tcW w:w="1080" w:type="dxa"/>
            <w:tcBorders>
              <w:top w:val="single" w:sz="4" w:space="0" w:color="000000"/>
              <w:left w:val="single" w:sz="12" w:space="0" w:color="000000"/>
              <w:bottom w:val="single" w:sz="4" w:space="0" w:color="000000"/>
              <w:right w:val="single" w:sz="12" w:space="0" w:color="000000"/>
            </w:tcBorders>
          </w:tcPr>
          <w:p w14:paraId="6BCEC040" w14:textId="2942327D" w:rsidR="00B0429D" w:rsidRDefault="00B0429D" w:rsidP="00B17831">
            <w:pPr>
              <w:spacing w:after="0" w:line="259" w:lineRule="auto"/>
              <w:ind w:left="0" w:right="47" w:firstLine="0"/>
              <w:jc w:val="center"/>
            </w:pPr>
            <w:r>
              <w:rPr>
                <w:sz w:val="18"/>
              </w:rPr>
              <w:t>N/A</w:t>
            </w:r>
          </w:p>
        </w:tc>
        <w:tc>
          <w:tcPr>
            <w:tcW w:w="991" w:type="dxa"/>
            <w:tcBorders>
              <w:top w:val="single" w:sz="4" w:space="0" w:color="000000"/>
              <w:left w:val="single" w:sz="12" w:space="0" w:color="000000"/>
              <w:bottom w:val="single" w:sz="4" w:space="0" w:color="000000"/>
              <w:right w:val="single" w:sz="12" w:space="0" w:color="000000"/>
            </w:tcBorders>
          </w:tcPr>
          <w:p w14:paraId="75B2447E" w14:textId="6B97AE3D" w:rsidR="00B0429D" w:rsidRDefault="00B0429D" w:rsidP="00B17831">
            <w:pPr>
              <w:spacing w:after="0" w:line="259" w:lineRule="auto"/>
              <w:ind w:left="0" w:right="42" w:firstLine="0"/>
              <w:jc w:val="center"/>
            </w:pPr>
            <w:r>
              <w:rPr>
                <w:sz w:val="18"/>
              </w:rPr>
              <w:t>N/A</w:t>
            </w:r>
          </w:p>
        </w:tc>
        <w:tc>
          <w:tcPr>
            <w:tcW w:w="843" w:type="dxa"/>
            <w:tcBorders>
              <w:top w:val="single" w:sz="4" w:space="0" w:color="000000"/>
              <w:left w:val="single" w:sz="12" w:space="0" w:color="000000"/>
              <w:bottom w:val="single" w:sz="4" w:space="0" w:color="000000"/>
              <w:right w:val="single" w:sz="12" w:space="0" w:color="000000"/>
            </w:tcBorders>
          </w:tcPr>
          <w:p w14:paraId="52FA8FAE" w14:textId="35044948" w:rsidR="00B0429D" w:rsidRDefault="00B0429D" w:rsidP="00B17831">
            <w:pPr>
              <w:spacing w:after="0" w:line="259" w:lineRule="auto"/>
              <w:ind w:left="0" w:right="45" w:firstLine="0"/>
              <w:jc w:val="center"/>
            </w:pPr>
            <w:r>
              <w:rPr>
                <w:b/>
                <w:sz w:val="18"/>
              </w:rPr>
              <w:t>525.2</w:t>
            </w:r>
          </w:p>
        </w:tc>
        <w:tc>
          <w:tcPr>
            <w:tcW w:w="776" w:type="dxa"/>
            <w:tcBorders>
              <w:top w:val="single" w:sz="4" w:space="0" w:color="000000"/>
              <w:left w:val="single" w:sz="12" w:space="0" w:color="000000"/>
              <w:bottom w:val="single" w:sz="4" w:space="0" w:color="000000"/>
              <w:right w:val="single" w:sz="12" w:space="0" w:color="000000"/>
            </w:tcBorders>
          </w:tcPr>
          <w:p w14:paraId="7166F46E" w14:textId="007C1106" w:rsidR="00B0429D" w:rsidRDefault="00B0429D" w:rsidP="00B17831">
            <w:pPr>
              <w:spacing w:after="0" w:line="259" w:lineRule="auto"/>
              <w:ind w:left="0" w:right="46" w:firstLine="0"/>
              <w:jc w:val="center"/>
            </w:pPr>
            <w:r>
              <w:rPr>
                <w:sz w:val="18"/>
              </w:rPr>
              <w:t>507</w:t>
            </w:r>
          </w:p>
        </w:tc>
        <w:tc>
          <w:tcPr>
            <w:tcW w:w="630" w:type="dxa"/>
            <w:tcBorders>
              <w:top w:val="single" w:sz="4" w:space="0" w:color="000000"/>
              <w:left w:val="single" w:sz="12" w:space="0" w:color="000000"/>
              <w:bottom w:val="single" w:sz="4" w:space="0" w:color="000000"/>
              <w:right w:val="single" w:sz="12" w:space="0" w:color="000000"/>
            </w:tcBorders>
          </w:tcPr>
          <w:p w14:paraId="15BC0139" w14:textId="32A5B9B2" w:rsidR="00B0429D" w:rsidRDefault="00B0429D" w:rsidP="00B17831">
            <w:pPr>
              <w:spacing w:after="0" w:line="259" w:lineRule="auto"/>
              <w:ind w:left="0" w:right="47" w:firstLine="0"/>
              <w:jc w:val="center"/>
            </w:pPr>
            <w:r>
              <w:rPr>
                <w:sz w:val="18"/>
              </w:rPr>
              <w:t>508.1</w:t>
            </w:r>
          </w:p>
        </w:tc>
      </w:tr>
      <w:tr w:rsidR="00B0429D" w14:paraId="3D3A53AD" w14:textId="77777777" w:rsidTr="00C23B62">
        <w:trPr>
          <w:trHeight w:val="250"/>
        </w:trPr>
        <w:tc>
          <w:tcPr>
            <w:tcW w:w="3240" w:type="dxa"/>
            <w:tcBorders>
              <w:top w:val="single" w:sz="4" w:space="0" w:color="000000"/>
              <w:left w:val="single" w:sz="12" w:space="0" w:color="000000"/>
              <w:bottom w:val="single" w:sz="4" w:space="0" w:color="000000"/>
              <w:right w:val="single" w:sz="12" w:space="0" w:color="000000"/>
            </w:tcBorders>
          </w:tcPr>
          <w:p w14:paraId="340BBAC0" w14:textId="644928F4" w:rsidR="00B0429D" w:rsidRDefault="00B0429D" w:rsidP="00B0429D">
            <w:pPr>
              <w:spacing w:after="0" w:line="259" w:lineRule="auto"/>
              <w:ind w:left="2" w:right="0" w:firstLine="0"/>
            </w:pPr>
            <w:r>
              <w:rPr>
                <w:sz w:val="18"/>
              </w:rPr>
              <w:t>Metribuzin (</w:t>
            </w:r>
            <w:proofErr w:type="spellStart"/>
            <w:r>
              <w:rPr>
                <w:i/>
                <w:sz w:val="18"/>
              </w:rPr>
              <w:t>Lexone</w:t>
            </w:r>
            <w:proofErr w:type="spellEnd"/>
            <w:r>
              <w:rPr>
                <w:i/>
                <w:sz w:val="18"/>
              </w:rPr>
              <w:t xml:space="preserve">) </w:t>
            </w:r>
          </w:p>
        </w:tc>
        <w:tc>
          <w:tcPr>
            <w:tcW w:w="1326" w:type="dxa"/>
            <w:tcBorders>
              <w:top w:val="single" w:sz="4" w:space="0" w:color="000000"/>
              <w:left w:val="single" w:sz="12" w:space="0" w:color="000000"/>
              <w:bottom w:val="single" w:sz="4" w:space="0" w:color="000000"/>
              <w:right w:val="single" w:sz="12" w:space="0" w:color="000000"/>
            </w:tcBorders>
          </w:tcPr>
          <w:p w14:paraId="41081C76" w14:textId="1AD1A315" w:rsidR="00B0429D" w:rsidRDefault="00B0429D" w:rsidP="00B17831">
            <w:pPr>
              <w:spacing w:after="0" w:line="259" w:lineRule="auto"/>
              <w:ind w:left="0" w:right="44" w:firstLine="0"/>
              <w:jc w:val="center"/>
            </w:pPr>
            <w:r>
              <w:rPr>
                <w:sz w:val="18"/>
              </w:rPr>
              <w:t>21087-64-9</w:t>
            </w:r>
          </w:p>
        </w:tc>
        <w:tc>
          <w:tcPr>
            <w:tcW w:w="744" w:type="dxa"/>
            <w:tcBorders>
              <w:top w:val="single" w:sz="4" w:space="0" w:color="000000"/>
              <w:left w:val="single" w:sz="12" w:space="0" w:color="000000"/>
              <w:bottom w:val="single" w:sz="4" w:space="0" w:color="000000"/>
              <w:right w:val="single" w:sz="12" w:space="0" w:color="000000"/>
            </w:tcBorders>
          </w:tcPr>
          <w:p w14:paraId="6F38A3FF" w14:textId="776A0B32" w:rsidR="00B0429D" w:rsidRDefault="00B0429D" w:rsidP="00B17831">
            <w:pPr>
              <w:tabs>
                <w:tab w:val="center" w:pos="308"/>
              </w:tabs>
              <w:spacing w:after="0" w:line="259" w:lineRule="auto"/>
              <w:ind w:left="0" w:right="0" w:firstLine="0"/>
              <w:jc w:val="center"/>
            </w:pPr>
            <w:r>
              <w:rPr>
                <w:sz w:val="18"/>
              </w:rPr>
              <w:t>10</w:t>
            </w:r>
          </w:p>
        </w:tc>
        <w:tc>
          <w:tcPr>
            <w:tcW w:w="900" w:type="dxa"/>
            <w:tcBorders>
              <w:top w:val="single" w:sz="4" w:space="0" w:color="000000"/>
              <w:left w:val="single" w:sz="12" w:space="0" w:color="000000"/>
              <w:bottom w:val="single" w:sz="4" w:space="0" w:color="000000"/>
              <w:right w:val="single" w:sz="12" w:space="0" w:color="000000"/>
            </w:tcBorders>
          </w:tcPr>
          <w:p w14:paraId="6AF85243" w14:textId="3A3C65F4" w:rsidR="00B0429D" w:rsidRDefault="00B0429D" w:rsidP="00B2651C">
            <w:pPr>
              <w:spacing w:after="0" w:line="259" w:lineRule="auto"/>
              <w:ind w:left="0" w:right="46" w:firstLine="0"/>
              <w:jc w:val="center"/>
            </w:pPr>
            <w:r>
              <w:rPr>
                <w:sz w:val="18"/>
              </w:rPr>
              <w:t>ug/L</w:t>
            </w:r>
          </w:p>
        </w:tc>
        <w:tc>
          <w:tcPr>
            <w:tcW w:w="1080" w:type="dxa"/>
            <w:tcBorders>
              <w:top w:val="single" w:sz="4" w:space="0" w:color="000000"/>
              <w:left w:val="single" w:sz="12" w:space="0" w:color="000000"/>
              <w:bottom w:val="single" w:sz="4" w:space="0" w:color="000000"/>
              <w:right w:val="single" w:sz="12" w:space="0" w:color="000000"/>
            </w:tcBorders>
          </w:tcPr>
          <w:p w14:paraId="5378D271" w14:textId="3A200959" w:rsidR="00B0429D" w:rsidRDefault="00B0429D" w:rsidP="00B17831">
            <w:pPr>
              <w:spacing w:after="0" w:line="259" w:lineRule="auto"/>
              <w:ind w:left="0" w:right="47" w:firstLine="0"/>
              <w:jc w:val="center"/>
            </w:pPr>
            <w:r>
              <w:rPr>
                <w:sz w:val="18"/>
              </w:rPr>
              <w:t>N/A</w:t>
            </w:r>
          </w:p>
        </w:tc>
        <w:tc>
          <w:tcPr>
            <w:tcW w:w="991" w:type="dxa"/>
            <w:tcBorders>
              <w:top w:val="single" w:sz="4" w:space="0" w:color="000000"/>
              <w:left w:val="single" w:sz="12" w:space="0" w:color="000000"/>
              <w:bottom w:val="single" w:sz="4" w:space="0" w:color="000000"/>
              <w:right w:val="single" w:sz="12" w:space="0" w:color="000000"/>
            </w:tcBorders>
          </w:tcPr>
          <w:p w14:paraId="5D2E2DDD" w14:textId="7A136EA6" w:rsidR="00B0429D" w:rsidRDefault="00B0429D" w:rsidP="00B17831">
            <w:pPr>
              <w:spacing w:after="0" w:line="259" w:lineRule="auto"/>
              <w:ind w:left="0" w:right="42" w:firstLine="0"/>
              <w:jc w:val="center"/>
            </w:pPr>
            <w:r>
              <w:rPr>
                <w:sz w:val="18"/>
              </w:rPr>
              <w:t>N/A</w:t>
            </w:r>
          </w:p>
        </w:tc>
        <w:tc>
          <w:tcPr>
            <w:tcW w:w="843" w:type="dxa"/>
            <w:tcBorders>
              <w:top w:val="single" w:sz="4" w:space="0" w:color="000000"/>
              <w:left w:val="single" w:sz="12" w:space="0" w:color="000000"/>
              <w:bottom w:val="single" w:sz="4" w:space="0" w:color="000000"/>
              <w:right w:val="single" w:sz="12" w:space="0" w:color="000000"/>
            </w:tcBorders>
          </w:tcPr>
          <w:p w14:paraId="4FA257F1" w14:textId="5688D5E8" w:rsidR="00B0429D" w:rsidRDefault="00B0429D" w:rsidP="00B17831">
            <w:pPr>
              <w:spacing w:after="0" w:line="259" w:lineRule="auto"/>
              <w:ind w:left="0" w:right="45" w:firstLine="0"/>
              <w:jc w:val="center"/>
            </w:pPr>
            <w:r>
              <w:rPr>
                <w:b/>
                <w:sz w:val="18"/>
              </w:rPr>
              <w:t>525.2</w:t>
            </w:r>
          </w:p>
        </w:tc>
        <w:tc>
          <w:tcPr>
            <w:tcW w:w="776" w:type="dxa"/>
            <w:tcBorders>
              <w:top w:val="single" w:sz="4" w:space="0" w:color="000000"/>
              <w:left w:val="single" w:sz="12" w:space="0" w:color="000000"/>
              <w:bottom w:val="single" w:sz="4" w:space="0" w:color="000000"/>
              <w:right w:val="single" w:sz="12" w:space="0" w:color="000000"/>
            </w:tcBorders>
          </w:tcPr>
          <w:p w14:paraId="22149E88" w14:textId="5A830C02" w:rsidR="00B0429D" w:rsidRDefault="00B0429D" w:rsidP="00B17831">
            <w:pPr>
              <w:spacing w:after="0" w:line="259" w:lineRule="auto"/>
              <w:ind w:left="0" w:right="46" w:firstLine="0"/>
              <w:jc w:val="center"/>
            </w:pPr>
            <w:r>
              <w:rPr>
                <w:sz w:val="18"/>
              </w:rPr>
              <w:t>507</w:t>
            </w:r>
          </w:p>
        </w:tc>
        <w:tc>
          <w:tcPr>
            <w:tcW w:w="630" w:type="dxa"/>
            <w:tcBorders>
              <w:top w:val="single" w:sz="4" w:space="0" w:color="000000"/>
              <w:left w:val="single" w:sz="12" w:space="0" w:color="000000"/>
              <w:bottom w:val="single" w:sz="4" w:space="0" w:color="000000"/>
              <w:right w:val="single" w:sz="12" w:space="0" w:color="000000"/>
            </w:tcBorders>
          </w:tcPr>
          <w:p w14:paraId="0C12830D" w14:textId="707083B0" w:rsidR="00B0429D" w:rsidRDefault="00B0429D" w:rsidP="00B17831">
            <w:pPr>
              <w:spacing w:after="0" w:line="259" w:lineRule="auto"/>
              <w:ind w:left="0" w:right="47" w:firstLine="0"/>
              <w:jc w:val="center"/>
            </w:pPr>
            <w:r>
              <w:rPr>
                <w:sz w:val="18"/>
              </w:rPr>
              <w:t>508.1</w:t>
            </w:r>
          </w:p>
        </w:tc>
      </w:tr>
      <w:tr w:rsidR="00B0429D" w14:paraId="0C78F33B" w14:textId="77777777" w:rsidTr="00C23B62">
        <w:trPr>
          <w:trHeight w:val="250"/>
        </w:trPr>
        <w:tc>
          <w:tcPr>
            <w:tcW w:w="3240" w:type="dxa"/>
            <w:tcBorders>
              <w:top w:val="single" w:sz="4" w:space="0" w:color="000000"/>
              <w:left w:val="single" w:sz="12" w:space="0" w:color="000000"/>
              <w:bottom w:val="single" w:sz="4" w:space="0" w:color="000000"/>
              <w:right w:val="single" w:sz="12" w:space="0" w:color="000000"/>
            </w:tcBorders>
          </w:tcPr>
          <w:p w14:paraId="01A8F868" w14:textId="77777777" w:rsidR="00B0429D" w:rsidRDefault="00B0429D" w:rsidP="00B0429D">
            <w:pPr>
              <w:spacing w:after="0" w:line="259" w:lineRule="auto"/>
              <w:ind w:left="2" w:right="0" w:firstLine="0"/>
            </w:pPr>
            <w:proofErr w:type="spellStart"/>
            <w:r>
              <w:rPr>
                <w:sz w:val="18"/>
              </w:rPr>
              <w:t>Mevinphos</w:t>
            </w:r>
            <w:proofErr w:type="spellEnd"/>
            <w:r>
              <w:rPr>
                <w:sz w:val="18"/>
              </w:rPr>
              <w:t xml:space="preserve"> </w:t>
            </w:r>
          </w:p>
        </w:tc>
        <w:tc>
          <w:tcPr>
            <w:tcW w:w="1326" w:type="dxa"/>
            <w:tcBorders>
              <w:top w:val="single" w:sz="4" w:space="0" w:color="000000"/>
              <w:left w:val="single" w:sz="12" w:space="0" w:color="000000"/>
              <w:bottom w:val="single" w:sz="4" w:space="0" w:color="000000"/>
              <w:right w:val="single" w:sz="12" w:space="0" w:color="000000"/>
            </w:tcBorders>
          </w:tcPr>
          <w:p w14:paraId="4A4E581E" w14:textId="2778E469" w:rsidR="00B0429D" w:rsidRDefault="00B0429D" w:rsidP="00B17831">
            <w:pPr>
              <w:spacing w:after="0" w:line="259" w:lineRule="auto"/>
              <w:ind w:left="0" w:right="44" w:firstLine="0"/>
              <w:jc w:val="center"/>
            </w:pPr>
            <w:r>
              <w:rPr>
                <w:sz w:val="18"/>
              </w:rPr>
              <w:t>7786-34-7</w:t>
            </w:r>
          </w:p>
        </w:tc>
        <w:tc>
          <w:tcPr>
            <w:tcW w:w="744" w:type="dxa"/>
            <w:tcBorders>
              <w:top w:val="single" w:sz="4" w:space="0" w:color="000000"/>
              <w:left w:val="single" w:sz="12" w:space="0" w:color="000000"/>
              <w:bottom w:val="single" w:sz="4" w:space="0" w:color="000000"/>
              <w:right w:val="single" w:sz="12" w:space="0" w:color="000000"/>
            </w:tcBorders>
          </w:tcPr>
          <w:p w14:paraId="3A97426E" w14:textId="63DF5228" w:rsidR="00B0429D" w:rsidRDefault="00B0429D" w:rsidP="00B17831">
            <w:pPr>
              <w:tabs>
                <w:tab w:val="center" w:pos="308"/>
              </w:tabs>
              <w:spacing w:after="0" w:line="259" w:lineRule="auto"/>
              <w:ind w:left="0" w:right="0" w:firstLine="0"/>
              <w:jc w:val="center"/>
            </w:pPr>
            <w:r>
              <w:rPr>
                <w:sz w:val="18"/>
              </w:rPr>
              <w:t>10</w:t>
            </w:r>
          </w:p>
        </w:tc>
        <w:tc>
          <w:tcPr>
            <w:tcW w:w="900" w:type="dxa"/>
            <w:tcBorders>
              <w:top w:val="single" w:sz="4" w:space="0" w:color="000000"/>
              <w:left w:val="single" w:sz="12" w:space="0" w:color="000000"/>
              <w:bottom w:val="single" w:sz="4" w:space="0" w:color="000000"/>
              <w:right w:val="single" w:sz="12" w:space="0" w:color="000000"/>
            </w:tcBorders>
          </w:tcPr>
          <w:p w14:paraId="57DC387F" w14:textId="095FA359" w:rsidR="00B0429D" w:rsidRDefault="00B0429D" w:rsidP="00B2651C">
            <w:pPr>
              <w:spacing w:after="0" w:line="259" w:lineRule="auto"/>
              <w:ind w:left="0" w:right="46" w:firstLine="0"/>
              <w:jc w:val="center"/>
            </w:pPr>
            <w:r>
              <w:rPr>
                <w:sz w:val="18"/>
              </w:rPr>
              <w:t>ug/L</w:t>
            </w:r>
          </w:p>
        </w:tc>
        <w:tc>
          <w:tcPr>
            <w:tcW w:w="1080" w:type="dxa"/>
            <w:tcBorders>
              <w:top w:val="single" w:sz="4" w:space="0" w:color="000000"/>
              <w:left w:val="single" w:sz="12" w:space="0" w:color="000000"/>
              <w:bottom w:val="single" w:sz="4" w:space="0" w:color="000000"/>
              <w:right w:val="single" w:sz="12" w:space="0" w:color="000000"/>
            </w:tcBorders>
          </w:tcPr>
          <w:p w14:paraId="3670455E" w14:textId="350A4681" w:rsidR="00B0429D" w:rsidRDefault="00B0429D" w:rsidP="00B17831">
            <w:pPr>
              <w:spacing w:after="0" w:line="259" w:lineRule="auto"/>
              <w:ind w:left="0" w:right="47" w:firstLine="0"/>
              <w:jc w:val="center"/>
            </w:pPr>
            <w:r>
              <w:rPr>
                <w:sz w:val="18"/>
              </w:rPr>
              <w:t>N/A</w:t>
            </w:r>
          </w:p>
        </w:tc>
        <w:tc>
          <w:tcPr>
            <w:tcW w:w="991" w:type="dxa"/>
            <w:tcBorders>
              <w:top w:val="single" w:sz="4" w:space="0" w:color="000000"/>
              <w:left w:val="single" w:sz="12" w:space="0" w:color="000000"/>
              <w:bottom w:val="single" w:sz="4" w:space="0" w:color="000000"/>
              <w:right w:val="single" w:sz="12" w:space="0" w:color="000000"/>
            </w:tcBorders>
          </w:tcPr>
          <w:p w14:paraId="0C21E9D7" w14:textId="663F8D0A" w:rsidR="00B0429D" w:rsidRDefault="00B0429D" w:rsidP="00B17831">
            <w:pPr>
              <w:spacing w:after="0" w:line="259" w:lineRule="auto"/>
              <w:ind w:left="0" w:right="42" w:firstLine="0"/>
              <w:jc w:val="center"/>
            </w:pPr>
            <w:r>
              <w:rPr>
                <w:sz w:val="18"/>
              </w:rPr>
              <w:t>N/A</w:t>
            </w:r>
          </w:p>
        </w:tc>
        <w:tc>
          <w:tcPr>
            <w:tcW w:w="843" w:type="dxa"/>
            <w:tcBorders>
              <w:top w:val="single" w:sz="4" w:space="0" w:color="000000"/>
              <w:left w:val="single" w:sz="12" w:space="0" w:color="000000"/>
              <w:bottom w:val="single" w:sz="4" w:space="0" w:color="000000"/>
              <w:right w:val="single" w:sz="12" w:space="0" w:color="000000"/>
            </w:tcBorders>
          </w:tcPr>
          <w:p w14:paraId="0C14838C" w14:textId="2F12B218" w:rsidR="00B0429D" w:rsidRDefault="00B0429D" w:rsidP="00B17831">
            <w:pPr>
              <w:spacing w:after="0" w:line="259" w:lineRule="auto"/>
              <w:ind w:left="0" w:right="45" w:firstLine="0"/>
              <w:jc w:val="center"/>
            </w:pPr>
            <w:r>
              <w:rPr>
                <w:b/>
                <w:sz w:val="18"/>
              </w:rPr>
              <w:t>525.2</w:t>
            </w:r>
          </w:p>
        </w:tc>
        <w:tc>
          <w:tcPr>
            <w:tcW w:w="776" w:type="dxa"/>
            <w:tcBorders>
              <w:top w:val="single" w:sz="4" w:space="0" w:color="000000"/>
              <w:left w:val="single" w:sz="12" w:space="0" w:color="000000"/>
              <w:bottom w:val="single" w:sz="4" w:space="0" w:color="000000"/>
              <w:right w:val="single" w:sz="12" w:space="0" w:color="000000"/>
            </w:tcBorders>
          </w:tcPr>
          <w:p w14:paraId="0A074C4F" w14:textId="7B47070D" w:rsidR="00B0429D" w:rsidRDefault="00B0429D" w:rsidP="00B17831">
            <w:pPr>
              <w:spacing w:after="0" w:line="259" w:lineRule="auto"/>
              <w:ind w:left="0" w:right="46" w:firstLine="0"/>
              <w:jc w:val="center"/>
            </w:pPr>
            <w:r>
              <w:rPr>
                <w:sz w:val="18"/>
              </w:rPr>
              <w:t>507</w:t>
            </w:r>
          </w:p>
        </w:tc>
        <w:tc>
          <w:tcPr>
            <w:tcW w:w="630" w:type="dxa"/>
            <w:tcBorders>
              <w:top w:val="single" w:sz="4" w:space="0" w:color="000000"/>
              <w:left w:val="single" w:sz="12" w:space="0" w:color="000000"/>
              <w:bottom w:val="single" w:sz="4" w:space="0" w:color="000000"/>
              <w:right w:val="single" w:sz="12" w:space="0" w:color="000000"/>
            </w:tcBorders>
          </w:tcPr>
          <w:p w14:paraId="550719E3" w14:textId="6EE670BC" w:rsidR="00B0429D" w:rsidRDefault="00B0429D" w:rsidP="00B17831">
            <w:pPr>
              <w:spacing w:after="0" w:line="259" w:lineRule="auto"/>
              <w:ind w:left="0" w:right="0" w:firstLine="0"/>
              <w:jc w:val="center"/>
            </w:pPr>
          </w:p>
        </w:tc>
      </w:tr>
      <w:tr w:rsidR="00B0429D" w14:paraId="5A4EC6D2" w14:textId="77777777" w:rsidTr="00C23B62">
        <w:trPr>
          <w:trHeight w:val="250"/>
        </w:trPr>
        <w:tc>
          <w:tcPr>
            <w:tcW w:w="3240" w:type="dxa"/>
            <w:tcBorders>
              <w:top w:val="single" w:sz="4" w:space="0" w:color="000000"/>
              <w:left w:val="single" w:sz="12" w:space="0" w:color="000000"/>
              <w:bottom w:val="single" w:sz="4" w:space="0" w:color="000000"/>
              <w:right w:val="single" w:sz="12" w:space="0" w:color="000000"/>
            </w:tcBorders>
          </w:tcPr>
          <w:p w14:paraId="1717E924" w14:textId="77777777" w:rsidR="00B0429D" w:rsidRDefault="00B0429D" w:rsidP="00B0429D">
            <w:pPr>
              <w:spacing w:after="0" w:line="259" w:lineRule="auto"/>
              <w:ind w:left="2" w:right="0" w:firstLine="0"/>
            </w:pPr>
            <w:r>
              <w:rPr>
                <w:sz w:val="18"/>
              </w:rPr>
              <w:t xml:space="preserve">MGK 264 </w:t>
            </w:r>
          </w:p>
        </w:tc>
        <w:tc>
          <w:tcPr>
            <w:tcW w:w="1326" w:type="dxa"/>
            <w:tcBorders>
              <w:top w:val="single" w:sz="4" w:space="0" w:color="000000"/>
              <w:left w:val="single" w:sz="12" w:space="0" w:color="000000"/>
              <w:bottom w:val="single" w:sz="4" w:space="0" w:color="000000"/>
              <w:right w:val="single" w:sz="12" w:space="0" w:color="000000"/>
            </w:tcBorders>
          </w:tcPr>
          <w:p w14:paraId="0B57C13B" w14:textId="197FD59C" w:rsidR="00B0429D" w:rsidRDefault="00B0429D" w:rsidP="00B17831">
            <w:pPr>
              <w:spacing w:after="0" w:line="259" w:lineRule="auto"/>
              <w:ind w:left="0" w:right="44" w:firstLine="0"/>
              <w:jc w:val="center"/>
            </w:pPr>
            <w:r>
              <w:rPr>
                <w:sz w:val="18"/>
              </w:rPr>
              <w:t>113-48-4</w:t>
            </w:r>
          </w:p>
        </w:tc>
        <w:tc>
          <w:tcPr>
            <w:tcW w:w="744" w:type="dxa"/>
            <w:tcBorders>
              <w:top w:val="single" w:sz="4" w:space="0" w:color="000000"/>
              <w:left w:val="single" w:sz="12" w:space="0" w:color="000000"/>
              <w:bottom w:val="single" w:sz="4" w:space="0" w:color="000000"/>
              <w:right w:val="single" w:sz="12" w:space="0" w:color="000000"/>
            </w:tcBorders>
          </w:tcPr>
          <w:p w14:paraId="409C9BEC" w14:textId="58327825" w:rsidR="00B0429D" w:rsidRDefault="00B0429D" w:rsidP="00B17831">
            <w:pPr>
              <w:tabs>
                <w:tab w:val="center" w:pos="354"/>
              </w:tabs>
              <w:spacing w:after="0" w:line="259" w:lineRule="auto"/>
              <w:ind w:left="0" w:right="0" w:firstLine="0"/>
              <w:jc w:val="center"/>
            </w:pPr>
            <w:r>
              <w:rPr>
                <w:sz w:val="18"/>
              </w:rPr>
              <w:t>5</w:t>
            </w:r>
          </w:p>
        </w:tc>
        <w:tc>
          <w:tcPr>
            <w:tcW w:w="900" w:type="dxa"/>
            <w:tcBorders>
              <w:top w:val="single" w:sz="4" w:space="0" w:color="000000"/>
              <w:left w:val="single" w:sz="12" w:space="0" w:color="000000"/>
              <w:bottom w:val="single" w:sz="4" w:space="0" w:color="000000"/>
              <w:right w:val="single" w:sz="12" w:space="0" w:color="000000"/>
            </w:tcBorders>
          </w:tcPr>
          <w:p w14:paraId="53167C02" w14:textId="2337FF4E" w:rsidR="00B0429D" w:rsidRDefault="00B0429D" w:rsidP="00B2651C">
            <w:pPr>
              <w:spacing w:after="0" w:line="259" w:lineRule="auto"/>
              <w:ind w:left="0" w:right="46" w:firstLine="0"/>
              <w:jc w:val="center"/>
            </w:pPr>
            <w:r>
              <w:rPr>
                <w:sz w:val="18"/>
              </w:rPr>
              <w:t>ug/L</w:t>
            </w:r>
          </w:p>
        </w:tc>
        <w:tc>
          <w:tcPr>
            <w:tcW w:w="1080" w:type="dxa"/>
            <w:tcBorders>
              <w:top w:val="single" w:sz="4" w:space="0" w:color="000000"/>
              <w:left w:val="single" w:sz="12" w:space="0" w:color="000000"/>
              <w:bottom w:val="single" w:sz="4" w:space="0" w:color="000000"/>
              <w:right w:val="single" w:sz="12" w:space="0" w:color="000000"/>
            </w:tcBorders>
          </w:tcPr>
          <w:p w14:paraId="20A03950" w14:textId="364A2156" w:rsidR="00B0429D" w:rsidRDefault="00B0429D" w:rsidP="00B17831">
            <w:pPr>
              <w:spacing w:after="0" w:line="259" w:lineRule="auto"/>
              <w:ind w:left="0" w:right="47" w:firstLine="0"/>
              <w:jc w:val="center"/>
            </w:pPr>
            <w:r>
              <w:rPr>
                <w:sz w:val="18"/>
              </w:rPr>
              <w:t>N/A</w:t>
            </w:r>
          </w:p>
        </w:tc>
        <w:tc>
          <w:tcPr>
            <w:tcW w:w="991" w:type="dxa"/>
            <w:tcBorders>
              <w:top w:val="single" w:sz="4" w:space="0" w:color="000000"/>
              <w:left w:val="single" w:sz="12" w:space="0" w:color="000000"/>
              <w:bottom w:val="single" w:sz="4" w:space="0" w:color="000000"/>
              <w:right w:val="single" w:sz="12" w:space="0" w:color="000000"/>
            </w:tcBorders>
          </w:tcPr>
          <w:p w14:paraId="3DC36AB5" w14:textId="54EDBD74" w:rsidR="00B0429D" w:rsidRDefault="00B0429D" w:rsidP="00B17831">
            <w:pPr>
              <w:spacing w:after="0" w:line="259" w:lineRule="auto"/>
              <w:ind w:left="0" w:right="42" w:firstLine="0"/>
              <w:jc w:val="center"/>
            </w:pPr>
            <w:r>
              <w:rPr>
                <w:sz w:val="18"/>
              </w:rPr>
              <w:t>N/A</w:t>
            </w:r>
          </w:p>
        </w:tc>
        <w:tc>
          <w:tcPr>
            <w:tcW w:w="843" w:type="dxa"/>
            <w:tcBorders>
              <w:top w:val="single" w:sz="4" w:space="0" w:color="000000"/>
              <w:left w:val="single" w:sz="12" w:space="0" w:color="000000"/>
              <w:bottom w:val="single" w:sz="4" w:space="0" w:color="000000"/>
              <w:right w:val="single" w:sz="12" w:space="0" w:color="000000"/>
            </w:tcBorders>
          </w:tcPr>
          <w:p w14:paraId="0CE187E2" w14:textId="3F89E37B" w:rsidR="00B0429D" w:rsidRDefault="00B0429D" w:rsidP="00B17831">
            <w:pPr>
              <w:spacing w:after="0" w:line="259" w:lineRule="auto"/>
              <w:ind w:left="0" w:right="45" w:firstLine="0"/>
              <w:jc w:val="center"/>
            </w:pPr>
            <w:r>
              <w:rPr>
                <w:b/>
                <w:sz w:val="18"/>
              </w:rPr>
              <w:t>525.2</w:t>
            </w:r>
          </w:p>
        </w:tc>
        <w:tc>
          <w:tcPr>
            <w:tcW w:w="776" w:type="dxa"/>
            <w:tcBorders>
              <w:top w:val="single" w:sz="4" w:space="0" w:color="000000"/>
              <w:left w:val="single" w:sz="12" w:space="0" w:color="000000"/>
              <w:bottom w:val="single" w:sz="4" w:space="0" w:color="000000"/>
              <w:right w:val="single" w:sz="12" w:space="0" w:color="000000"/>
            </w:tcBorders>
          </w:tcPr>
          <w:p w14:paraId="4326B2AE" w14:textId="27E8C572" w:rsidR="00B0429D" w:rsidRDefault="00B0429D" w:rsidP="00B17831">
            <w:pPr>
              <w:spacing w:after="0" w:line="259" w:lineRule="auto"/>
              <w:ind w:left="0" w:right="46" w:firstLine="0"/>
              <w:jc w:val="center"/>
            </w:pPr>
            <w:r>
              <w:rPr>
                <w:sz w:val="18"/>
              </w:rPr>
              <w:t>507</w:t>
            </w:r>
          </w:p>
        </w:tc>
        <w:tc>
          <w:tcPr>
            <w:tcW w:w="630" w:type="dxa"/>
            <w:tcBorders>
              <w:top w:val="single" w:sz="4" w:space="0" w:color="000000"/>
              <w:left w:val="single" w:sz="12" w:space="0" w:color="000000"/>
              <w:bottom w:val="single" w:sz="4" w:space="0" w:color="000000"/>
              <w:right w:val="single" w:sz="12" w:space="0" w:color="000000"/>
            </w:tcBorders>
          </w:tcPr>
          <w:p w14:paraId="3EA1A549" w14:textId="27EB5F23" w:rsidR="00B0429D" w:rsidRDefault="00B0429D" w:rsidP="00B17831">
            <w:pPr>
              <w:spacing w:after="0" w:line="259" w:lineRule="auto"/>
              <w:ind w:left="0" w:right="0" w:firstLine="0"/>
              <w:jc w:val="center"/>
            </w:pPr>
          </w:p>
        </w:tc>
      </w:tr>
      <w:tr w:rsidR="00B0429D" w14:paraId="1316A997" w14:textId="77777777" w:rsidTr="00C23B62">
        <w:trPr>
          <w:trHeight w:val="252"/>
        </w:trPr>
        <w:tc>
          <w:tcPr>
            <w:tcW w:w="3240" w:type="dxa"/>
            <w:tcBorders>
              <w:top w:val="single" w:sz="4" w:space="0" w:color="000000"/>
              <w:left w:val="single" w:sz="12" w:space="0" w:color="000000"/>
              <w:bottom w:val="single" w:sz="4" w:space="0" w:color="000000"/>
              <w:right w:val="single" w:sz="12" w:space="0" w:color="000000"/>
            </w:tcBorders>
          </w:tcPr>
          <w:p w14:paraId="1B2E564F" w14:textId="6432C8EA" w:rsidR="00B0429D" w:rsidRDefault="00B0429D" w:rsidP="00B0429D">
            <w:pPr>
              <w:spacing w:after="0" w:line="259" w:lineRule="auto"/>
              <w:ind w:left="2" w:right="0" w:firstLine="0"/>
            </w:pPr>
            <w:proofErr w:type="spellStart"/>
            <w:r>
              <w:rPr>
                <w:sz w:val="18"/>
              </w:rPr>
              <w:t>Molinate</w:t>
            </w:r>
            <w:proofErr w:type="spellEnd"/>
            <w:r>
              <w:rPr>
                <w:sz w:val="18"/>
              </w:rPr>
              <w:t xml:space="preserve"> </w:t>
            </w:r>
            <w:r>
              <w:rPr>
                <w:i/>
                <w:sz w:val="18"/>
              </w:rPr>
              <w:t>(</w:t>
            </w:r>
            <w:proofErr w:type="spellStart"/>
            <w:r>
              <w:rPr>
                <w:i/>
                <w:sz w:val="18"/>
              </w:rPr>
              <w:t>Ordram</w:t>
            </w:r>
            <w:proofErr w:type="spellEnd"/>
            <w:r>
              <w:rPr>
                <w:i/>
                <w:sz w:val="18"/>
              </w:rPr>
              <w:t>)</w:t>
            </w:r>
            <w:r>
              <w:rPr>
                <w:sz w:val="18"/>
              </w:rPr>
              <w:t xml:space="preserve"> </w:t>
            </w:r>
          </w:p>
        </w:tc>
        <w:tc>
          <w:tcPr>
            <w:tcW w:w="1326" w:type="dxa"/>
            <w:tcBorders>
              <w:top w:val="single" w:sz="4" w:space="0" w:color="000000"/>
              <w:left w:val="single" w:sz="12" w:space="0" w:color="000000"/>
              <w:bottom w:val="single" w:sz="4" w:space="0" w:color="000000"/>
              <w:right w:val="single" w:sz="12" w:space="0" w:color="000000"/>
            </w:tcBorders>
          </w:tcPr>
          <w:p w14:paraId="5BB1DD61" w14:textId="0BAD8873" w:rsidR="00B0429D" w:rsidRDefault="00B0429D" w:rsidP="00B17831">
            <w:pPr>
              <w:spacing w:after="0" w:line="259" w:lineRule="auto"/>
              <w:ind w:left="0" w:right="44" w:firstLine="0"/>
              <w:jc w:val="center"/>
            </w:pPr>
            <w:r>
              <w:rPr>
                <w:sz w:val="18"/>
              </w:rPr>
              <w:t>2212-67-1</w:t>
            </w:r>
          </w:p>
        </w:tc>
        <w:tc>
          <w:tcPr>
            <w:tcW w:w="744" w:type="dxa"/>
            <w:tcBorders>
              <w:top w:val="single" w:sz="4" w:space="0" w:color="000000"/>
              <w:left w:val="single" w:sz="12" w:space="0" w:color="000000"/>
              <w:bottom w:val="single" w:sz="4" w:space="0" w:color="000000"/>
              <w:right w:val="single" w:sz="12" w:space="0" w:color="000000"/>
            </w:tcBorders>
          </w:tcPr>
          <w:p w14:paraId="5186B36B" w14:textId="1B58693D" w:rsidR="00B0429D" w:rsidRDefault="00B0429D" w:rsidP="00B17831">
            <w:pPr>
              <w:tabs>
                <w:tab w:val="center" w:pos="354"/>
              </w:tabs>
              <w:spacing w:after="0" w:line="259" w:lineRule="auto"/>
              <w:ind w:left="0" w:right="0" w:firstLine="0"/>
              <w:jc w:val="center"/>
            </w:pPr>
            <w:r>
              <w:rPr>
                <w:sz w:val="18"/>
              </w:rPr>
              <w:t>1</w:t>
            </w:r>
          </w:p>
        </w:tc>
        <w:tc>
          <w:tcPr>
            <w:tcW w:w="900" w:type="dxa"/>
            <w:tcBorders>
              <w:top w:val="single" w:sz="4" w:space="0" w:color="000000"/>
              <w:left w:val="single" w:sz="12" w:space="0" w:color="000000"/>
              <w:bottom w:val="single" w:sz="4" w:space="0" w:color="000000"/>
              <w:right w:val="single" w:sz="12" w:space="0" w:color="000000"/>
            </w:tcBorders>
          </w:tcPr>
          <w:p w14:paraId="379E0044" w14:textId="29CA0B40" w:rsidR="00B0429D" w:rsidRDefault="00B0429D" w:rsidP="00B2651C">
            <w:pPr>
              <w:spacing w:after="0" w:line="259" w:lineRule="auto"/>
              <w:ind w:left="0" w:right="46" w:firstLine="0"/>
              <w:jc w:val="center"/>
            </w:pPr>
            <w:r>
              <w:rPr>
                <w:sz w:val="18"/>
              </w:rPr>
              <w:t>ug/L</w:t>
            </w:r>
          </w:p>
        </w:tc>
        <w:tc>
          <w:tcPr>
            <w:tcW w:w="1080" w:type="dxa"/>
            <w:tcBorders>
              <w:top w:val="single" w:sz="4" w:space="0" w:color="000000"/>
              <w:left w:val="single" w:sz="12" w:space="0" w:color="000000"/>
              <w:bottom w:val="single" w:sz="4" w:space="0" w:color="000000"/>
              <w:right w:val="single" w:sz="12" w:space="0" w:color="000000"/>
            </w:tcBorders>
          </w:tcPr>
          <w:p w14:paraId="437CF5DD" w14:textId="471E51AB" w:rsidR="00B0429D" w:rsidRDefault="00B0429D" w:rsidP="00B17831">
            <w:pPr>
              <w:spacing w:after="0" w:line="259" w:lineRule="auto"/>
              <w:ind w:left="0" w:right="47" w:firstLine="0"/>
              <w:jc w:val="center"/>
            </w:pPr>
            <w:r>
              <w:rPr>
                <w:sz w:val="18"/>
              </w:rPr>
              <w:t>N/A</w:t>
            </w:r>
          </w:p>
        </w:tc>
        <w:tc>
          <w:tcPr>
            <w:tcW w:w="991" w:type="dxa"/>
            <w:tcBorders>
              <w:top w:val="single" w:sz="4" w:space="0" w:color="000000"/>
              <w:left w:val="single" w:sz="12" w:space="0" w:color="000000"/>
              <w:bottom w:val="single" w:sz="4" w:space="0" w:color="000000"/>
              <w:right w:val="single" w:sz="12" w:space="0" w:color="000000"/>
            </w:tcBorders>
          </w:tcPr>
          <w:p w14:paraId="2BF0EBDD" w14:textId="712FE888" w:rsidR="00B0429D" w:rsidRDefault="00B0429D" w:rsidP="00B17831">
            <w:pPr>
              <w:spacing w:after="0" w:line="259" w:lineRule="auto"/>
              <w:ind w:left="0" w:right="42" w:firstLine="0"/>
              <w:jc w:val="center"/>
            </w:pPr>
            <w:r>
              <w:rPr>
                <w:sz w:val="18"/>
              </w:rPr>
              <w:t>N/A</w:t>
            </w:r>
          </w:p>
        </w:tc>
        <w:tc>
          <w:tcPr>
            <w:tcW w:w="843" w:type="dxa"/>
            <w:tcBorders>
              <w:top w:val="single" w:sz="4" w:space="0" w:color="000000"/>
              <w:left w:val="single" w:sz="12" w:space="0" w:color="000000"/>
              <w:bottom w:val="single" w:sz="4" w:space="0" w:color="000000"/>
              <w:right w:val="single" w:sz="12" w:space="0" w:color="000000"/>
            </w:tcBorders>
          </w:tcPr>
          <w:p w14:paraId="54954930" w14:textId="55F89A52" w:rsidR="00B0429D" w:rsidRDefault="00B0429D" w:rsidP="00B17831">
            <w:pPr>
              <w:spacing w:after="0" w:line="259" w:lineRule="auto"/>
              <w:ind w:left="0" w:right="45" w:firstLine="0"/>
              <w:jc w:val="center"/>
            </w:pPr>
            <w:r>
              <w:rPr>
                <w:b/>
                <w:sz w:val="18"/>
              </w:rPr>
              <w:t>525.2</w:t>
            </w:r>
          </w:p>
        </w:tc>
        <w:tc>
          <w:tcPr>
            <w:tcW w:w="776" w:type="dxa"/>
            <w:tcBorders>
              <w:top w:val="single" w:sz="4" w:space="0" w:color="000000"/>
              <w:left w:val="single" w:sz="12" w:space="0" w:color="000000"/>
              <w:bottom w:val="single" w:sz="4" w:space="0" w:color="000000"/>
              <w:right w:val="single" w:sz="12" w:space="0" w:color="000000"/>
            </w:tcBorders>
          </w:tcPr>
          <w:p w14:paraId="7E259059" w14:textId="3D4531CD" w:rsidR="00B0429D" w:rsidRDefault="00B0429D" w:rsidP="00B17831">
            <w:pPr>
              <w:spacing w:after="0" w:line="259" w:lineRule="auto"/>
              <w:ind w:left="0" w:right="46" w:firstLine="0"/>
              <w:jc w:val="center"/>
            </w:pPr>
            <w:r>
              <w:rPr>
                <w:sz w:val="18"/>
              </w:rPr>
              <w:t>507</w:t>
            </w:r>
          </w:p>
        </w:tc>
        <w:tc>
          <w:tcPr>
            <w:tcW w:w="630" w:type="dxa"/>
            <w:tcBorders>
              <w:top w:val="single" w:sz="4" w:space="0" w:color="000000"/>
              <w:left w:val="single" w:sz="12" w:space="0" w:color="000000"/>
              <w:bottom w:val="single" w:sz="4" w:space="0" w:color="000000"/>
              <w:right w:val="single" w:sz="12" w:space="0" w:color="000000"/>
            </w:tcBorders>
          </w:tcPr>
          <w:p w14:paraId="021FA557" w14:textId="22946289" w:rsidR="00B0429D" w:rsidRDefault="00B0429D" w:rsidP="00B17831">
            <w:pPr>
              <w:spacing w:after="0" w:line="259" w:lineRule="auto"/>
              <w:ind w:left="0" w:right="46" w:firstLine="0"/>
              <w:jc w:val="center"/>
            </w:pPr>
            <w:r>
              <w:rPr>
                <w:sz w:val="18"/>
              </w:rPr>
              <w:t>634</w:t>
            </w:r>
          </w:p>
        </w:tc>
      </w:tr>
      <w:tr w:rsidR="00B0429D" w14:paraId="71A7944A" w14:textId="77777777" w:rsidTr="00C23B62">
        <w:trPr>
          <w:trHeight w:val="250"/>
        </w:trPr>
        <w:tc>
          <w:tcPr>
            <w:tcW w:w="3240" w:type="dxa"/>
            <w:tcBorders>
              <w:top w:val="single" w:sz="4" w:space="0" w:color="000000"/>
              <w:left w:val="single" w:sz="12" w:space="0" w:color="000000"/>
              <w:bottom w:val="single" w:sz="4" w:space="0" w:color="000000"/>
              <w:right w:val="single" w:sz="12" w:space="0" w:color="000000"/>
            </w:tcBorders>
          </w:tcPr>
          <w:p w14:paraId="6774B510" w14:textId="77777777" w:rsidR="00B0429D" w:rsidRDefault="00B0429D" w:rsidP="00B0429D">
            <w:pPr>
              <w:spacing w:after="0" w:line="259" w:lineRule="auto"/>
              <w:ind w:left="2" w:right="0" w:firstLine="0"/>
            </w:pPr>
            <w:proofErr w:type="spellStart"/>
            <w:r>
              <w:rPr>
                <w:sz w:val="18"/>
              </w:rPr>
              <w:t>Napropamide</w:t>
            </w:r>
            <w:proofErr w:type="spellEnd"/>
            <w:r>
              <w:rPr>
                <w:sz w:val="18"/>
              </w:rPr>
              <w:t xml:space="preserve"> </w:t>
            </w:r>
          </w:p>
        </w:tc>
        <w:tc>
          <w:tcPr>
            <w:tcW w:w="1326" w:type="dxa"/>
            <w:tcBorders>
              <w:top w:val="single" w:sz="4" w:space="0" w:color="000000"/>
              <w:left w:val="single" w:sz="12" w:space="0" w:color="000000"/>
              <w:bottom w:val="single" w:sz="4" w:space="0" w:color="000000"/>
              <w:right w:val="single" w:sz="12" w:space="0" w:color="000000"/>
            </w:tcBorders>
          </w:tcPr>
          <w:p w14:paraId="035301EE" w14:textId="3194EC2D" w:rsidR="00B0429D" w:rsidRDefault="00B0429D" w:rsidP="00B17831">
            <w:pPr>
              <w:spacing w:after="0" w:line="259" w:lineRule="auto"/>
              <w:ind w:left="0" w:right="44" w:firstLine="0"/>
              <w:jc w:val="center"/>
            </w:pPr>
            <w:r>
              <w:rPr>
                <w:sz w:val="18"/>
              </w:rPr>
              <w:t>15299-99-7</w:t>
            </w:r>
          </w:p>
        </w:tc>
        <w:tc>
          <w:tcPr>
            <w:tcW w:w="744" w:type="dxa"/>
            <w:tcBorders>
              <w:top w:val="single" w:sz="4" w:space="0" w:color="000000"/>
              <w:left w:val="single" w:sz="12" w:space="0" w:color="000000"/>
              <w:bottom w:val="single" w:sz="4" w:space="0" w:color="000000"/>
              <w:right w:val="single" w:sz="12" w:space="0" w:color="000000"/>
            </w:tcBorders>
          </w:tcPr>
          <w:p w14:paraId="227DB625" w14:textId="39353BFC" w:rsidR="00B0429D" w:rsidRDefault="00B0429D" w:rsidP="00B17831">
            <w:pPr>
              <w:tabs>
                <w:tab w:val="center" w:pos="308"/>
              </w:tabs>
              <w:spacing w:after="0" w:line="259" w:lineRule="auto"/>
              <w:ind w:left="0" w:right="0" w:firstLine="0"/>
              <w:jc w:val="center"/>
            </w:pPr>
            <w:r>
              <w:rPr>
                <w:sz w:val="18"/>
              </w:rPr>
              <w:t>10</w:t>
            </w:r>
          </w:p>
        </w:tc>
        <w:tc>
          <w:tcPr>
            <w:tcW w:w="900" w:type="dxa"/>
            <w:tcBorders>
              <w:top w:val="single" w:sz="4" w:space="0" w:color="000000"/>
              <w:left w:val="single" w:sz="12" w:space="0" w:color="000000"/>
              <w:bottom w:val="single" w:sz="4" w:space="0" w:color="000000"/>
              <w:right w:val="single" w:sz="12" w:space="0" w:color="000000"/>
            </w:tcBorders>
          </w:tcPr>
          <w:p w14:paraId="4BC16323" w14:textId="4A4B10E2" w:rsidR="00B0429D" w:rsidRDefault="00B0429D" w:rsidP="00B2651C">
            <w:pPr>
              <w:spacing w:after="0" w:line="259" w:lineRule="auto"/>
              <w:ind w:left="0" w:right="46" w:firstLine="0"/>
              <w:jc w:val="center"/>
            </w:pPr>
            <w:r>
              <w:rPr>
                <w:sz w:val="18"/>
              </w:rPr>
              <w:t>ug/L</w:t>
            </w:r>
          </w:p>
        </w:tc>
        <w:tc>
          <w:tcPr>
            <w:tcW w:w="1080" w:type="dxa"/>
            <w:tcBorders>
              <w:top w:val="single" w:sz="4" w:space="0" w:color="000000"/>
              <w:left w:val="single" w:sz="12" w:space="0" w:color="000000"/>
              <w:bottom w:val="single" w:sz="4" w:space="0" w:color="000000"/>
              <w:right w:val="single" w:sz="12" w:space="0" w:color="000000"/>
            </w:tcBorders>
          </w:tcPr>
          <w:p w14:paraId="55052150" w14:textId="3CD37BE1" w:rsidR="00B0429D" w:rsidRDefault="00B0429D" w:rsidP="00B17831">
            <w:pPr>
              <w:spacing w:after="0" w:line="259" w:lineRule="auto"/>
              <w:ind w:left="0" w:right="47" w:firstLine="0"/>
              <w:jc w:val="center"/>
            </w:pPr>
            <w:r>
              <w:rPr>
                <w:sz w:val="18"/>
              </w:rPr>
              <w:t>N/A</w:t>
            </w:r>
          </w:p>
        </w:tc>
        <w:tc>
          <w:tcPr>
            <w:tcW w:w="991" w:type="dxa"/>
            <w:tcBorders>
              <w:top w:val="single" w:sz="4" w:space="0" w:color="000000"/>
              <w:left w:val="single" w:sz="12" w:space="0" w:color="000000"/>
              <w:bottom w:val="single" w:sz="4" w:space="0" w:color="000000"/>
              <w:right w:val="single" w:sz="12" w:space="0" w:color="000000"/>
            </w:tcBorders>
          </w:tcPr>
          <w:p w14:paraId="40DBCD9C" w14:textId="18442F0C" w:rsidR="00B0429D" w:rsidRDefault="00B0429D" w:rsidP="00B17831">
            <w:pPr>
              <w:spacing w:after="0" w:line="259" w:lineRule="auto"/>
              <w:ind w:left="0" w:right="42" w:firstLine="0"/>
              <w:jc w:val="center"/>
            </w:pPr>
            <w:r>
              <w:rPr>
                <w:sz w:val="18"/>
              </w:rPr>
              <w:t>N/A</w:t>
            </w:r>
          </w:p>
        </w:tc>
        <w:tc>
          <w:tcPr>
            <w:tcW w:w="843" w:type="dxa"/>
            <w:tcBorders>
              <w:top w:val="single" w:sz="4" w:space="0" w:color="000000"/>
              <w:left w:val="single" w:sz="12" w:space="0" w:color="000000"/>
              <w:bottom w:val="single" w:sz="4" w:space="0" w:color="000000"/>
              <w:right w:val="single" w:sz="12" w:space="0" w:color="000000"/>
            </w:tcBorders>
          </w:tcPr>
          <w:p w14:paraId="4B6BA174" w14:textId="0ACD9DB4" w:rsidR="00B0429D" w:rsidRDefault="00B0429D" w:rsidP="00B17831">
            <w:pPr>
              <w:spacing w:after="0" w:line="259" w:lineRule="auto"/>
              <w:ind w:left="0" w:right="45" w:firstLine="0"/>
              <w:jc w:val="center"/>
            </w:pPr>
            <w:r>
              <w:rPr>
                <w:b/>
                <w:sz w:val="18"/>
              </w:rPr>
              <w:t>525.2</w:t>
            </w:r>
          </w:p>
        </w:tc>
        <w:tc>
          <w:tcPr>
            <w:tcW w:w="776" w:type="dxa"/>
            <w:tcBorders>
              <w:top w:val="single" w:sz="4" w:space="0" w:color="000000"/>
              <w:left w:val="single" w:sz="12" w:space="0" w:color="000000"/>
              <w:bottom w:val="single" w:sz="4" w:space="0" w:color="000000"/>
              <w:right w:val="single" w:sz="12" w:space="0" w:color="000000"/>
            </w:tcBorders>
          </w:tcPr>
          <w:p w14:paraId="7B1DB96D" w14:textId="0D27BAAA" w:rsidR="00B0429D" w:rsidRDefault="00B0429D" w:rsidP="00B17831">
            <w:pPr>
              <w:spacing w:after="0" w:line="259" w:lineRule="auto"/>
              <w:ind w:left="0" w:right="46" w:firstLine="0"/>
              <w:jc w:val="center"/>
            </w:pPr>
            <w:r>
              <w:rPr>
                <w:sz w:val="18"/>
              </w:rPr>
              <w:t>507</w:t>
            </w:r>
          </w:p>
        </w:tc>
        <w:tc>
          <w:tcPr>
            <w:tcW w:w="630" w:type="dxa"/>
            <w:tcBorders>
              <w:top w:val="single" w:sz="4" w:space="0" w:color="000000"/>
              <w:left w:val="single" w:sz="12" w:space="0" w:color="000000"/>
              <w:bottom w:val="single" w:sz="4" w:space="0" w:color="000000"/>
              <w:right w:val="single" w:sz="12" w:space="0" w:color="000000"/>
            </w:tcBorders>
          </w:tcPr>
          <w:p w14:paraId="3E5F8614" w14:textId="4830CF0B" w:rsidR="00B0429D" w:rsidRDefault="00B0429D" w:rsidP="00B17831">
            <w:pPr>
              <w:spacing w:after="0" w:line="259" w:lineRule="auto"/>
              <w:ind w:left="0" w:right="0" w:firstLine="0"/>
              <w:jc w:val="center"/>
            </w:pPr>
          </w:p>
        </w:tc>
      </w:tr>
      <w:tr w:rsidR="00B0429D" w14:paraId="28AA3276" w14:textId="77777777" w:rsidTr="00C23B62">
        <w:trPr>
          <w:trHeight w:val="250"/>
        </w:trPr>
        <w:tc>
          <w:tcPr>
            <w:tcW w:w="3240" w:type="dxa"/>
            <w:tcBorders>
              <w:top w:val="single" w:sz="4" w:space="0" w:color="000000"/>
              <w:left w:val="single" w:sz="12" w:space="0" w:color="000000"/>
              <w:bottom w:val="single" w:sz="4" w:space="0" w:color="000000"/>
              <w:right w:val="single" w:sz="12" w:space="0" w:color="000000"/>
            </w:tcBorders>
          </w:tcPr>
          <w:p w14:paraId="44F0D1B8" w14:textId="77777777" w:rsidR="00B0429D" w:rsidRDefault="00B0429D" w:rsidP="00B0429D">
            <w:pPr>
              <w:spacing w:after="0" w:line="259" w:lineRule="auto"/>
              <w:ind w:left="2" w:right="0" w:firstLine="0"/>
            </w:pPr>
            <w:r>
              <w:rPr>
                <w:sz w:val="18"/>
              </w:rPr>
              <w:t xml:space="preserve">Norflurazon </w:t>
            </w:r>
          </w:p>
        </w:tc>
        <w:tc>
          <w:tcPr>
            <w:tcW w:w="1326" w:type="dxa"/>
            <w:tcBorders>
              <w:top w:val="single" w:sz="4" w:space="0" w:color="000000"/>
              <w:left w:val="single" w:sz="12" w:space="0" w:color="000000"/>
              <w:bottom w:val="single" w:sz="4" w:space="0" w:color="000000"/>
              <w:right w:val="single" w:sz="12" w:space="0" w:color="000000"/>
            </w:tcBorders>
          </w:tcPr>
          <w:p w14:paraId="65AA5CFA" w14:textId="1383B72F" w:rsidR="00B0429D" w:rsidRDefault="00B0429D" w:rsidP="00B17831">
            <w:pPr>
              <w:spacing w:after="0" w:line="259" w:lineRule="auto"/>
              <w:ind w:left="0" w:right="44" w:firstLine="0"/>
              <w:jc w:val="center"/>
            </w:pPr>
            <w:r>
              <w:rPr>
                <w:sz w:val="18"/>
              </w:rPr>
              <w:t>27314-13-2</w:t>
            </w:r>
          </w:p>
        </w:tc>
        <w:tc>
          <w:tcPr>
            <w:tcW w:w="744" w:type="dxa"/>
            <w:tcBorders>
              <w:top w:val="single" w:sz="4" w:space="0" w:color="000000"/>
              <w:left w:val="single" w:sz="12" w:space="0" w:color="000000"/>
              <w:bottom w:val="single" w:sz="4" w:space="0" w:color="000000"/>
              <w:right w:val="single" w:sz="12" w:space="0" w:color="000000"/>
            </w:tcBorders>
          </w:tcPr>
          <w:p w14:paraId="53BDDA8E" w14:textId="3F1745EA" w:rsidR="00B0429D" w:rsidRDefault="00B0429D" w:rsidP="00B17831">
            <w:pPr>
              <w:tabs>
                <w:tab w:val="center" w:pos="308"/>
              </w:tabs>
              <w:spacing w:after="0" w:line="259" w:lineRule="auto"/>
              <w:ind w:left="0" w:right="0" w:firstLine="0"/>
              <w:jc w:val="center"/>
            </w:pPr>
            <w:r>
              <w:rPr>
                <w:sz w:val="18"/>
              </w:rPr>
              <w:t>10</w:t>
            </w:r>
          </w:p>
        </w:tc>
        <w:tc>
          <w:tcPr>
            <w:tcW w:w="900" w:type="dxa"/>
            <w:tcBorders>
              <w:top w:val="single" w:sz="4" w:space="0" w:color="000000"/>
              <w:left w:val="single" w:sz="12" w:space="0" w:color="000000"/>
              <w:bottom w:val="single" w:sz="4" w:space="0" w:color="000000"/>
              <w:right w:val="single" w:sz="12" w:space="0" w:color="000000"/>
            </w:tcBorders>
          </w:tcPr>
          <w:p w14:paraId="35765D77" w14:textId="7AE1F28D" w:rsidR="00B0429D" w:rsidRDefault="00B0429D" w:rsidP="00B2651C">
            <w:pPr>
              <w:spacing w:after="0" w:line="259" w:lineRule="auto"/>
              <w:ind w:left="0" w:right="46" w:firstLine="0"/>
              <w:jc w:val="center"/>
            </w:pPr>
            <w:r>
              <w:rPr>
                <w:sz w:val="18"/>
              </w:rPr>
              <w:t>ug/L</w:t>
            </w:r>
          </w:p>
        </w:tc>
        <w:tc>
          <w:tcPr>
            <w:tcW w:w="1080" w:type="dxa"/>
            <w:tcBorders>
              <w:top w:val="single" w:sz="4" w:space="0" w:color="000000"/>
              <w:left w:val="single" w:sz="12" w:space="0" w:color="000000"/>
              <w:bottom w:val="single" w:sz="4" w:space="0" w:color="000000"/>
              <w:right w:val="single" w:sz="12" w:space="0" w:color="000000"/>
            </w:tcBorders>
          </w:tcPr>
          <w:p w14:paraId="18EC7CF1" w14:textId="4923158A" w:rsidR="00B0429D" w:rsidRDefault="00B0429D" w:rsidP="00B17831">
            <w:pPr>
              <w:spacing w:after="0" w:line="259" w:lineRule="auto"/>
              <w:ind w:left="0" w:right="47" w:firstLine="0"/>
              <w:jc w:val="center"/>
            </w:pPr>
            <w:r>
              <w:rPr>
                <w:sz w:val="18"/>
              </w:rPr>
              <w:t>N/A</w:t>
            </w:r>
          </w:p>
        </w:tc>
        <w:tc>
          <w:tcPr>
            <w:tcW w:w="991" w:type="dxa"/>
            <w:tcBorders>
              <w:top w:val="single" w:sz="4" w:space="0" w:color="000000"/>
              <w:left w:val="single" w:sz="12" w:space="0" w:color="000000"/>
              <w:bottom w:val="single" w:sz="4" w:space="0" w:color="000000"/>
              <w:right w:val="single" w:sz="12" w:space="0" w:color="000000"/>
            </w:tcBorders>
          </w:tcPr>
          <w:p w14:paraId="4381F3CE" w14:textId="61FE34F5" w:rsidR="00B0429D" w:rsidRDefault="00B0429D" w:rsidP="00B17831">
            <w:pPr>
              <w:spacing w:after="0" w:line="259" w:lineRule="auto"/>
              <w:ind w:left="0" w:right="42" w:firstLine="0"/>
              <w:jc w:val="center"/>
            </w:pPr>
            <w:r>
              <w:rPr>
                <w:sz w:val="18"/>
              </w:rPr>
              <w:t>N/A</w:t>
            </w:r>
          </w:p>
        </w:tc>
        <w:tc>
          <w:tcPr>
            <w:tcW w:w="843" w:type="dxa"/>
            <w:tcBorders>
              <w:top w:val="single" w:sz="4" w:space="0" w:color="000000"/>
              <w:left w:val="single" w:sz="12" w:space="0" w:color="000000"/>
              <w:bottom w:val="single" w:sz="4" w:space="0" w:color="000000"/>
              <w:right w:val="single" w:sz="12" w:space="0" w:color="000000"/>
            </w:tcBorders>
          </w:tcPr>
          <w:p w14:paraId="6B72FFE6" w14:textId="7042956F" w:rsidR="00B0429D" w:rsidRDefault="00B0429D" w:rsidP="00B17831">
            <w:pPr>
              <w:spacing w:after="0" w:line="259" w:lineRule="auto"/>
              <w:ind w:left="0" w:right="45" w:firstLine="0"/>
              <w:jc w:val="center"/>
            </w:pPr>
            <w:r>
              <w:rPr>
                <w:b/>
                <w:sz w:val="18"/>
              </w:rPr>
              <w:t>525.2</w:t>
            </w:r>
          </w:p>
        </w:tc>
        <w:tc>
          <w:tcPr>
            <w:tcW w:w="776" w:type="dxa"/>
            <w:tcBorders>
              <w:top w:val="single" w:sz="4" w:space="0" w:color="000000"/>
              <w:left w:val="single" w:sz="12" w:space="0" w:color="000000"/>
              <w:bottom w:val="single" w:sz="4" w:space="0" w:color="000000"/>
              <w:right w:val="single" w:sz="12" w:space="0" w:color="000000"/>
            </w:tcBorders>
          </w:tcPr>
          <w:p w14:paraId="35D00122" w14:textId="456BBBE2" w:rsidR="00B0429D" w:rsidRDefault="00B0429D" w:rsidP="00B17831">
            <w:pPr>
              <w:spacing w:after="0" w:line="259" w:lineRule="auto"/>
              <w:ind w:left="0" w:right="46" w:firstLine="0"/>
              <w:jc w:val="center"/>
            </w:pPr>
            <w:r>
              <w:rPr>
                <w:sz w:val="18"/>
              </w:rPr>
              <w:t>507</w:t>
            </w:r>
          </w:p>
        </w:tc>
        <w:tc>
          <w:tcPr>
            <w:tcW w:w="630" w:type="dxa"/>
            <w:tcBorders>
              <w:top w:val="single" w:sz="4" w:space="0" w:color="000000"/>
              <w:left w:val="single" w:sz="12" w:space="0" w:color="000000"/>
              <w:bottom w:val="single" w:sz="4" w:space="0" w:color="000000"/>
              <w:right w:val="single" w:sz="12" w:space="0" w:color="000000"/>
            </w:tcBorders>
          </w:tcPr>
          <w:p w14:paraId="07C84275" w14:textId="5113B0FB" w:rsidR="00B0429D" w:rsidRDefault="00B0429D" w:rsidP="00B17831">
            <w:pPr>
              <w:spacing w:after="0" w:line="259" w:lineRule="auto"/>
              <w:ind w:left="0" w:right="0" w:firstLine="0"/>
              <w:jc w:val="center"/>
            </w:pPr>
          </w:p>
        </w:tc>
      </w:tr>
      <w:tr w:rsidR="00B0429D" w14:paraId="634B587F" w14:textId="77777777" w:rsidTr="00C23B62">
        <w:trPr>
          <w:trHeight w:val="250"/>
        </w:trPr>
        <w:tc>
          <w:tcPr>
            <w:tcW w:w="3240" w:type="dxa"/>
            <w:tcBorders>
              <w:top w:val="single" w:sz="4" w:space="0" w:color="000000"/>
              <w:left w:val="single" w:sz="12" w:space="0" w:color="000000"/>
              <w:bottom w:val="single" w:sz="4" w:space="0" w:color="000000"/>
              <w:right w:val="single" w:sz="12" w:space="0" w:color="000000"/>
            </w:tcBorders>
          </w:tcPr>
          <w:p w14:paraId="245E95F0" w14:textId="506F4571" w:rsidR="00B0429D" w:rsidRDefault="00B0429D" w:rsidP="00B0429D">
            <w:pPr>
              <w:spacing w:after="0" w:line="259" w:lineRule="auto"/>
              <w:ind w:left="2" w:right="0" w:firstLine="0"/>
            </w:pPr>
            <w:proofErr w:type="spellStart"/>
            <w:r>
              <w:rPr>
                <w:sz w:val="18"/>
              </w:rPr>
              <w:t>Pebulate</w:t>
            </w:r>
            <w:proofErr w:type="spellEnd"/>
            <w:r>
              <w:rPr>
                <w:sz w:val="18"/>
              </w:rPr>
              <w:t xml:space="preserve"> (</w:t>
            </w:r>
            <w:proofErr w:type="spellStart"/>
            <w:r>
              <w:rPr>
                <w:i/>
                <w:sz w:val="18"/>
              </w:rPr>
              <w:t>Tillam</w:t>
            </w:r>
            <w:proofErr w:type="spellEnd"/>
            <w:r>
              <w:rPr>
                <w:i/>
                <w:sz w:val="18"/>
              </w:rPr>
              <w:t>)</w:t>
            </w:r>
          </w:p>
        </w:tc>
        <w:tc>
          <w:tcPr>
            <w:tcW w:w="1326" w:type="dxa"/>
            <w:tcBorders>
              <w:top w:val="single" w:sz="4" w:space="0" w:color="000000"/>
              <w:left w:val="single" w:sz="12" w:space="0" w:color="000000"/>
              <w:bottom w:val="single" w:sz="4" w:space="0" w:color="000000"/>
              <w:right w:val="single" w:sz="12" w:space="0" w:color="000000"/>
            </w:tcBorders>
          </w:tcPr>
          <w:p w14:paraId="5BAACD16" w14:textId="7B796BE4" w:rsidR="00B0429D" w:rsidRDefault="00B0429D" w:rsidP="00B17831">
            <w:pPr>
              <w:spacing w:after="0" w:line="259" w:lineRule="auto"/>
              <w:ind w:left="0" w:right="44" w:firstLine="0"/>
              <w:jc w:val="center"/>
            </w:pPr>
            <w:r>
              <w:rPr>
                <w:sz w:val="18"/>
              </w:rPr>
              <w:t>1114-71-2</w:t>
            </w:r>
          </w:p>
        </w:tc>
        <w:tc>
          <w:tcPr>
            <w:tcW w:w="744" w:type="dxa"/>
            <w:tcBorders>
              <w:top w:val="single" w:sz="4" w:space="0" w:color="000000"/>
              <w:left w:val="single" w:sz="12" w:space="0" w:color="000000"/>
              <w:bottom w:val="single" w:sz="4" w:space="0" w:color="000000"/>
              <w:right w:val="single" w:sz="12" w:space="0" w:color="000000"/>
            </w:tcBorders>
          </w:tcPr>
          <w:p w14:paraId="428AA7F9" w14:textId="7C2CFA71" w:rsidR="00B0429D" w:rsidRDefault="00B0429D" w:rsidP="00B17831">
            <w:pPr>
              <w:tabs>
                <w:tab w:val="center" w:pos="308"/>
              </w:tabs>
              <w:spacing w:after="0" w:line="259" w:lineRule="auto"/>
              <w:ind w:left="0" w:right="0" w:firstLine="0"/>
              <w:jc w:val="center"/>
            </w:pPr>
            <w:r>
              <w:rPr>
                <w:sz w:val="18"/>
              </w:rPr>
              <w:t>10</w:t>
            </w:r>
          </w:p>
        </w:tc>
        <w:tc>
          <w:tcPr>
            <w:tcW w:w="900" w:type="dxa"/>
            <w:tcBorders>
              <w:top w:val="single" w:sz="4" w:space="0" w:color="000000"/>
              <w:left w:val="single" w:sz="12" w:space="0" w:color="000000"/>
              <w:bottom w:val="single" w:sz="4" w:space="0" w:color="000000"/>
              <w:right w:val="single" w:sz="12" w:space="0" w:color="000000"/>
            </w:tcBorders>
          </w:tcPr>
          <w:p w14:paraId="5C5AD346" w14:textId="6490C18D" w:rsidR="00B0429D" w:rsidRDefault="00B0429D" w:rsidP="00B2651C">
            <w:pPr>
              <w:spacing w:after="0" w:line="259" w:lineRule="auto"/>
              <w:ind w:left="0" w:right="46" w:firstLine="0"/>
              <w:jc w:val="center"/>
            </w:pPr>
            <w:r>
              <w:rPr>
                <w:sz w:val="18"/>
              </w:rPr>
              <w:t>ug/L</w:t>
            </w:r>
          </w:p>
        </w:tc>
        <w:tc>
          <w:tcPr>
            <w:tcW w:w="1080" w:type="dxa"/>
            <w:tcBorders>
              <w:top w:val="single" w:sz="4" w:space="0" w:color="000000"/>
              <w:left w:val="single" w:sz="12" w:space="0" w:color="000000"/>
              <w:bottom w:val="single" w:sz="4" w:space="0" w:color="000000"/>
              <w:right w:val="single" w:sz="12" w:space="0" w:color="000000"/>
            </w:tcBorders>
          </w:tcPr>
          <w:p w14:paraId="2367F9C6" w14:textId="205E2BD8" w:rsidR="00B0429D" w:rsidRDefault="00B0429D" w:rsidP="00B17831">
            <w:pPr>
              <w:spacing w:after="0" w:line="259" w:lineRule="auto"/>
              <w:ind w:left="0" w:right="47" w:firstLine="0"/>
              <w:jc w:val="center"/>
            </w:pPr>
            <w:r>
              <w:rPr>
                <w:sz w:val="18"/>
              </w:rPr>
              <w:t>N/A</w:t>
            </w:r>
          </w:p>
        </w:tc>
        <w:tc>
          <w:tcPr>
            <w:tcW w:w="991" w:type="dxa"/>
            <w:tcBorders>
              <w:top w:val="single" w:sz="4" w:space="0" w:color="000000"/>
              <w:left w:val="single" w:sz="12" w:space="0" w:color="000000"/>
              <w:bottom w:val="single" w:sz="4" w:space="0" w:color="000000"/>
              <w:right w:val="single" w:sz="12" w:space="0" w:color="000000"/>
            </w:tcBorders>
          </w:tcPr>
          <w:p w14:paraId="66E5F67F" w14:textId="57C4CD57" w:rsidR="00B0429D" w:rsidRDefault="00B0429D" w:rsidP="00B17831">
            <w:pPr>
              <w:spacing w:after="0" w:line="259" w:lineRule="auto"/>
              <w:ind w:left="0" w:right="42" w:firstLine="0"/>
              <w:jc w:val="center"/>
            </w:pPr>
            <w:r>
              <w:rPr>
                <w:sz w:val="18"/>
              </w:rPr>
              <w:t>N/A</w:t>
            </w:r>
          </w:p>
        </w:tc>
        <w:tc>
          <w:tcPr>
            <w:tcW w:w="843" w:type="dxa"/>
            <w:tcBorders>
              <w:top w:val="single" w:sz="4" w:space="0" w:color="000000"/>
              <w:left w:val="single" w:sz="12" w:space="0" w:color="000000"/>
              <w:bottom w:val="single" w:sz="4" w:space="0" w:color="000000"/>
              <w:right w:val="single" w:sz="12" w:space="0" w:color="000000"/>
            </w:tcBorders>
          </w:tcPr>
          <w:p w14:paraId="1F2E509D" w14:textId="34067493" w:rsidR="00B0429D" w:rsidRDefault="00B0429D" w:rsidP="00B17831">
            <w:pPr>
              <w:spacing w:after="0" w:line="259" w:lineRule="auto"/>
              <w:ind w:left="0" w:right="45" w:firstLine="0"/>
              <w:jc w:val="center"/>
            </w:pPr>
            <w:r>
              <w:rPr>
                <w:b/>
                <w:sz w:val="18"/>
              </w:rPr>
              <w:t>525.2</w:t>
            </w:r>
          </w:p>
        </w:tc>
        <w:tc>
          <w:tcPr>
            <w:tcW w:w="776" w:type="dxa"/>
            <w:tcBorders>
              <w:top w:val="single" w:sz="4" w:space="0" w:color="000000"/>
              <w:left w:val="single" w:sz="12" w:space="0" w:color="000000"/>
              <w:bottom w:val="single" w:sz="4" w:space="0" w:color="000000"/>
              <w:right w:val="single" w:sz="12" w:space="0" w:color="000000"/>
            </w:tcBorders>
          </w:tcPr>
          <w:p w14:paraId="4ED74EC8" w14:textId="76B2E971" w:rsidR="00B0429D" w:rsidRDefault="00B0429D" w:rsidP="00B17831">
            <w:pPr>
              <w:spacing w:after="0" w:line="259" w:lineRule="auto"/>
              <w:ind w:left="0" w:right="46" w:firstLine="0"/>
              <w:jc w:val="center"/>
            </w:pPr>
            <w:r>
              <w:rPr>
                <w:sz w:val="18"/>
              </w:rPr>
              <w:t>507</w:t>
            </w:r>
          </w:p>
        </w:tc>
        <w:tc>
          <w:tcPr>
            <w:tcW w:w="630" w:type="dxa"/>
            <w:tcBorders>
              <w:top w:val="single" w:sz="4" w:space="0" w:color="000000"/>
              <w:left w:val="single" w:sz="12" w:space="0" w:color="000000"/>
              <w:bottom w:val="single" w:sz="4" w:space="0" w:color="000000"/>
              <w:right w:val="single" w:sz="12" w:space="0" w:color="000000"/>
            </w:tcBorders>
          </w:tcPr>
          <w:p w14:paraId="34F62DE4" w14:textId="48B27D2D" w:rsidR="00B0429D" w:rsidRDefault="00B0429D" w:rsidP="00B17831">
            <w:pPr>
              <w:spacing w:after="0" w:line="259" w:lineRule="auto"/>
              <w:ind w:left="0" w:right="46" w:firstLine="0"/>
              <w:jc w:val="center"/>
            </w:pPr>
            <w:r>
              <w:rPr>
                <w:sz w:val="18"/>
              </w:rPr>
              <w:t>634</w:t>
            </w:r>
          </w:p>
        </w:tc>
      </w:tr>
      <w:tr w:rsidR="00B0429D" w14:paraId="2DA20C9D" w14:textId="77777777" w:rsidTr="00C23B62">
        <w:trPr>
          <w:trHeight w:val="250"/>
        </w:trPr>
        <w:tc>
          <w:tcPr>
            <w:tcW w:w="3240" w:type="dxa"/>
            <w:tcBorders>
              <w:top w:val="single" w:sz="4" w:space="0" w:color="000000"/>
              <w:left w:val="single" w:sz="12" w:space="0" w:color="000000"/>
              <w:bottom w:val="single" w:sz="4" w:space="0" w:color="000000"/>
              <w:right w:val="single" w:sz="12" w:space="0" w:color="000000"/>
            </w:tcBorders>
          </w:tcPr>
          <w:p w14:paraId="5C8EE3B7" w14:textId="55F477D2" w:rsidR="00B0429D" w:rsidRDefault="00B0429D" w:rsidP="00B0429D">
            <w:pPr>
              <w:spacing w:after="0" w:line="259" w:lineRule="auto"/>
              <w:ind w:left="2" w:right="0" w:firstLine="0"/>
            </w:pPr>
            <w:r>
              <w:rPr>
                <w:sz w:val="18"/>
              </w:rPr>
              <w:t>Prometon (</w:t>
            </w:r>
            <w:proofErr w:type="spellStart"/>
            <w:r>
              <w:rPr>
                <w:i/>
                <w:sz w:val="18"/>
              </w:rPr>
              <w:t>Pramitol</w:t>
            </w:r>
            <w:proofErr w:type="spellEnd"/>
            <w:r>
              <w:rPr>
                <w:i/>
                <w:sz w:val="18"/>
              </w:rPr>
              <w:t>)</w:t>
            </w:r>
            <w:r>
              <w:rPr>
                <w:sz w:val="18"/>
              </w:rPr>
              <w:t xml:space="preserve"> </w:t>
            </w:r>
          </w:p>
        </w:tc>
        <w:tc>
          <w:tcPr>
            <w:tcW w:w="1326" w:type="dxa"/>
            <w:tcBorders>
              <w:top w:val="single" w:sz="4" w:space="0" w:color="000000"/>
              <w:left w:val="single" w:sz="12" w:space="0" w:color="000000"/>
              <w:bottom w:val="single" w:sz="4" w:space="0" w:color="000000"/>
              <w:right w:val="single" w:sz="12" w:space="0" w:color="000000"/>
            </w:tcBorders>
          </w:tcPr>
          <w:p w14:paraId="70C2CCAD" w14:textId="0278FB32" w:rsidR="00B0429D" w:rsidRDefault="00B0429D" w:rsidP="00B17831">
            <w:pPr>
              <w:spacing w:after="0" w:line="259" w:lineRule="auto"/>
              <w:ind w:left="0" w:right="44" w:firstLine="0"/>
              <w:jc w:val="center"/>
            </w:pPr>
            <w:r>
              <w:rPr>
                <w:sz w:val="18"/>
              </w:rPr>
              <w:t>1610-18-0</w:t>
            </w:r>
          </w:p>
        </w:tc>
        <w:tc>
          <w:tcPr>
            <w:tcW w:w="744" w:type="dxa"/>
            <w:tcBorders>
              <w:top w:val="single" w:sz="4" w:space="0" w:color="000000"/>
              <w:left w:val="single" w:sz="12" w:space="0" w:color="000000"/>
              <w:bottom w:val="single" w:sz="4" w:space="0" w:color="000000"/>
              <w:right w:val="single" w:sz="12" w:space="0" w:color="000000"/>
            </w:tcBorders>
          </w:tcPr>
          <w:p w14:paraId="7C3309F2" w14:textId="76496A74" w:rsidR="00B0429D" w:rsidRDefault="00B0429D" w:rsidP="00B17831">
            <w:pPr>
              <w:tabs>
                <w:tab w:val="center" w:pos="308"/>
              </w:tabs>
              <w:spacing w:after="0" w:line="259" w:lineRule="auto"/>
              <w:ind w:left="0" w:right="0" w:firstLine="0"/>
              <w:jc w:val="center"/>
            </w:pPr>
            <w:r>
              <w:rPr>
                <w:sz w:val="18"/>
              </w:rPr>
              <w:t>10</w:t>
            </w:r>
          </w:p>
        </w:tc>
        <w:tc>
          <w:tcPr>
            <w:tcW w:w="900" w:type="dxa"/>
            <w:tcBorders>
              <w:top w:val="single" w:sz="4" w:space="0" w:color="000000"/>
              <w:left w:val="single" w:sz="12" w:space="0" w:color="000000"/>
              <w:bottom w:val="single" w:sz="4" w:space="0" w:color="000000"/>
              <w:right w:val="single" w:sz="12" w:space="0" w:color="000000"/>
            </w:tcBorders>
          </w:tcPr>
          <w:p w14:paraId="4D1187EB" w14:textId="7985D44F" w:rsidR="00B0429D" w:rsidRDefault="00B0429D" w:rsidP="00B2651C">
            <w:pPr>
              <w:spacing w:after="0" w:line="259" w:lineRule="auto"/>
              <w:ind w:left="0" w:right="46" w:firstLine="0"/>
              <w:jc w:val="center"/>
            </w:pPr>
            <w:r>
              <w:rPr>
                <w:sz w:val="18"/>
              </w:rPr>
              <w:t>ug/L</w:t>
            </w:r>
          </w:p>
        </w:tc>
        <w:tc>
          <w:tcPr>
            <w:tcW w:w="1080" w:type="dxa"/>
            <w:tcBorders>
              <w:top w:val="single" w:sz="4" w:space="0" w:color="000000"/>
              <w:left w:val="single" w:sz="12" w:space="0" w:color="000000"/>
              <w:bottom w:val="single" w:sz="4" w:space="0" w:color="000000"/>
              <w:right w:val="single" w:sz="12" w:space="0" w:color="000000"/>
            </w:tcBorders>
          </w:tcPr>
          <w:p w14:paraId="349817B7" w14:textId="1E2EC852" w:rsidR="00B0429D" w:rsidRDefault="00B0429D" w:rsidP="00B17831">
            <w:pPr>
              <w:spacing w:after="0" w:line="259" w:lineRule="auto"/>
              <w:ind w:left="0" w:right="47" w:firstLine="0"/>
              <w:jc w:val="center"/>
            </w:pPr>
            <w:r>
              <w:rPr>
                <w:sz w:val="18"/>
              </w:rPr>
              <w:t>N/A</w:t>
            </w:r>
          </w:p>
        </w:tc>
        <w:tc>
          <w:tcPr>
            <w:tcW w:w="991" w:type="dxa"/>
            <w:tcBorders>
              <w:top w:val="single" w:sz="4" w:space="0" w:color="000000"/>
              <w:left w:val="single" w:sz="12" w:space="0" w:color="000000"/>
              <w:bottom w:val="single" w:sz="4" w:space="0" w:color="000000"/>
              <w:right w:val="single" w:sz="12" w:space="0" w:color="000000"/>
            </w:tcBorders>
          </w:tcPr>
          <w:p w14:paraId="49D29D0C" w14:textId="03C7C1BE" w:rsidR="00B0429D" w:rsidRDefault="00B0429D" w:rsidP="00B17831">
            <w:pPr>
              <w:spacing w:after="0" w:line="259" w:lineRule="auto"/>
              <w:ind w:left="0" w:right="42" w:firstLine="0"/>
              <w:jc w:val="center"/>
            </w:pPr>
            <w:r>
              <w:rPr>
                <w:sz w:val="18"/>
              </w:rPr>
              <w:t>N/A</w:t>
            </w:r>
          </w:p>
        </w:tc>
        <w:tc>
          <w:tcPr>
            <w:tcW w:w="843" w:type="dxa"/>
            <w:tcBorders>
              <w:top w:val="single" w:sz="4" w:space="0" w:color="000000"/>
              <w:left w:val="single" w:sz="12" w:space="0" w:color="000000"/>
              <w:bottom w:val="single" w:sz="4" w:space="0" w:color="000000"/>
              <w:right w:val="single" w:sz="12" w:space="0" w:color="000000"/>
            </w:tcBorders>
          </w:tcPr>
          <w:p w14:paraId="2FDFBFD5" w14:textId="2160423C" w:rsidR="00B0429D" w:rsidRDefault="00B0429D" w:rsidP="00B17831">
            <w:pPr>
              <w:spacing w:after="0" w:line="259" w:lineRule="auto"/>
              <w:ind w:left="0" w:right="45" w:firstLine="0"/>
              <w:jc w:val="center"/>
            </w:pPr>
            <w:r>
              <w:rPr>
                <w:b/>
                <w:sz w:val="18"/>
              </w:rPr>
              <w:t>525.2</w:t>
            </w:r>
          </w:p>
        </w:tc>
        <w:tc>
          <w:tcPr>
            <w:tcW w:w="776" w:type="dxa"/>
            <w:tcBorders>
              <w:top w:val="single" w:sz="4" w:space="0" w:color="000000"/>
              <w:left w:val="single" w:sz="12" w:space="0" w:color="000000"/>
              <w:bottom w:val="single" w:sz="4" w:space="0" w:color="000000"/>
              <w:right w:val="single" w:sz="12" w:space="0" w:color="000000"/>
            </w:tcBorders>
          </w:tcPr>
          <w:p w14:paraId="35CF2C7D" w14:textId="04D9B1B8" w:rsidR="00B0429D" w:rsidRDefault="00B0429D" w:rsidP="00B17831">
            <w:pPr>
              <w:spacing w:after="0" w:line="259" w:lineRule="auto"/>
              <w:ind w:left="0" w:right="46" w:firstLine="0"/>
              <w:jc w:val="center"/>
            </w:pPr>
            <w:r>
              <w:rPr>
                <w:sz w:val="18"/>
              </w:rPr>
              <w:t>507</w:t>
            </w:r>
          </w:p>
        </w:tc>
        <w:tc>
          <w:tcPr>
            <w:tcW w:w="630" w:type="dxa"/>
            <w:tcBorders>
              <w:top w:val="single" w:sz="4" w:space="0" w:color="000000"/>
              <w:left w:val="single" w:sz="12" w:space="0" w:color="000000"/>
              <w:bottom w:val="single" w:sz="4" w:space="0" w:color="000000"/>
              <w:right w:val="single" w:sz="12" w:space="0" w:color="000000"/>
            </w:tcBorders>
          </w:tcPr>
          <w:p w14:paraId="67EA96A4" w14:textId="2E83A2FB" w:rsidR="00B0429D" w:rsidRDefault="00B0429D" w:rsidP="00B17831">
            <w:pPr>
              <w:spacing w:after="0" w:line="259" w:lineRule="auto"/>
              <w:ind w:left="0" w:right="0" w:firstLine="0"/>
              <w:jc w:val="center"/>
            </w:pPr>
          </w:p>
        </w:tc>
      </w:tr>
      <w:tr w:rsidR="00B0429D" w14:paraId="784B96A9" w14:textId="77777777" w:rsidTr="00C23B62">
        <w:trPr>
          <w:trHeight w:val="250"/>
        </w:trPr>
        <w:tc>
          <w:tcPr>
            <w:tcW w:w="3240" w:type="dxa"/>
            <w:tcBorders>
              <w:top w:val="single" w:sz="4" w:space="0" w:color="000000"/>
              <w:left w:val="single" w:sz="12" w:space="0" w:color="000000"/>
              <w:bottom w:val="single" w:sz="4" w:space="0" w:color="000000"/>
              <w:right w:val="single" w:sz="12" w:space="0" w:color="000000"/>
            </w:tcBorders>
          </w:tcPr>
          <w:p w14:paraId="3CCAA041" w14:textId="4F1E686E" w:rsidR="00B0429D" w:rsidRDefault="00B0429D" w:rsidP="00B0429D">
            <w:pPr>
              <w:spacing w:after="0" w:line="259" w:lineRule="auto"/>
              <w:ind w:left="2" w:right="0" w:firstLine="0"/>
            </w:pPr>
            <w:proofErr w:type="spellStart"/>
            <w:r>
              <w:rPr>
                <w:sz w:val="18"/>
              </w:rPr>
              <w:t>Prometryn</w:t>
            </w:r>
            <w:proofErr w:type="spellEnd"/>
            <w:r>
              <w:rPr>
                <w:sz w:val="18"/>
              </w:rPr>
              <w:t xml:space="preserve"> (</w:t>
            </w:r>
            <w:proofErr w:type="spellStart"/>
            <w:r>
              <w:rPr>
                <w:i/>
                <w:sz w:val="18"/>
              </w:rPr>
              <w:t>Caparol</w:t>
            </w:r>
            <w:proofErr w:type="spellEnd"/>
            <w:r>
              <w:rPr>
                <w:i/>
                <w:sz w:val="18"/>
              </w:rPr>
              <w:t xml:space="preserve">) </w:t>
            </w:r>
          </w:p>
        </w:tc>
        <w:tc>
          <w:tcPr>
            <w:tcW w:w="1326" w:type="dxa"/>
            <w:tcBorders>
              <w:top w:val="single" w:sz="4" w:space="0" w:color="000000"/>
              <w:left w:val="single" w:sz="12" w:space="0" w:color="000000"/>
              <w:bottom w:val="single" w:sz="4" w:space="0" w:color="000000"/>
              <w:right w:val="single" w:sz="12" w:space="0" w:color="000000"/>
            </w:tcBorders>
          </w:tcPr>
          <w:p w14:paraId="4472A073" w14:textId="0B10476F" w:rsidR="00B0429D" w:rsidRDefault="00B0429D" w:rsidP="00B17831">
            <w:pPr>
              <w:spacing w:after="0" w:line="259" w:lineRule="auto"/>
              <w:ind w:left="0" w:right="44" w:firstLine="0"/>
              <w:jc w:val="center"/>
            </w:pPr>
            <w:r>
              <w:rPr>
                <w:sz w:val="18"/>
              </w:rPr>
              <w:t>7287-19-6</w:t>
            </w:r>
          </w:p>
        </w:tc>
        <w:tc>
          <w:tcPr>
            <w:tcW w:w="744" w:type="dxa"/>
            <w:tcBorders>
              <w:top w:val="single" w:sz="4" w:space="0" w:color="000000"/>
              <w:left w:val="single" w:sz="12" w:space="0" w:color="000000"/>
              <w:bottom w:val="single" w:sz="4" w:space="0" w:color="000000"/>
              <w:right w:val="single" w:sz="12" w:space="0" w:color="000000"/>
            </w:tcBorders>
          </w:tcPr>
          <w:p w14:paraId="7C823683" w14:textId="0A913569" w:rsidR="00B0429D" w:rsidRDefault="00B0429D" w:rsidP="00B17831">
            <w:pPr>
              <w:tabs>
                <w:tab w:val="center" w:pos="308"/>
              </w:tabs>
              <w:spacing w:after="0" w:line="259" w:lineRule="auto"/>
              <w:ind w:left="0" w:right="0" w:firstLine="0"/>
              <w:jc w:val="center"/>
            </w:pPr>
            <w:r>
              <w:rPr>
                <w:sz w:val="18"/>
              </w:rPr>
              <w:t>10</w:t>
            </w:r>
          </w:p>
        </w:tc>
        <w:tc>
          <w:tcPr>
            <w:tcW w:w="900" w:type="dxa"/>
            <w:tcBorders>
              <w:top w:val="single" w:sz="4" w:space="0" w:color="000000"/>
              <w:left w:val="single" w:sz="12" w:space="0" w:color="000000"/>
              <w:bottom w:val="single" w:sz="4" w:space="0" w:color="000000"/>
              <w:right w:val="single" w:sz="12" w:space="0" w:color="000000"/>
            </w:tcBorders>
          </w:tcPr>
          <w:p w14:paraId="2A723E85" w14:textId="7FBAA694" w:rsidR="00B0429D" w:rsidRDefault="00B0429D" w:rsidP="00B2651C">
            <w:pPr>
              <w:spacing w:after="0" w:line="259" w:lineRule="auto"/>
              <w:ind w:left="0" w:right="46" w:firstLine="0"/>
              <w:jc w:val="center"/>
            </w:pPr>
            <w:r>
              <w:rPr>
                <w:sz w:val="18"/>
              </w:rPr>
              <w:t>ug/L</w:t>
            </w:r>
          </w:p>
        </w:tc>
        <w:tc>
          <w:tcPr>
            <w:tcW w:w="1080" w:type="dxa"/>
            <w:tcBorders>
              <w:top w:val="single" w:sz="4" w:space="0" w:color="000000"/>
              <w:left w:val="single" w:sz="12" w:space="0" w:color="000000"/>
              <w:bottom w:val="single" w:sz="4" w:space="0" w:color="000000"/>
              <w:right w:val="single" w:sz="12" w:space="0" w:color="000000"/>
            </w:tcBorders>
          </w:tcPr>
          <w:p w14:paraId="7BD542C3" w14:textId="369566C4" w:rsidR="00B0429D" w:rsidRDefault="00B0429D" w:rsidP="00B17831">
            <w:pPr>
              <w:spacing w:after="0" w:line="259" w:lineRule="auto"/>
              <w:ind w:left="0" w:right="47" w:firstLine="0"/>
              <w:jc w:val="center"/>
            </w:pPr>
            <w:r>
              <w:rPr>
                <w:sz w:val="18"/>
              </w:rPr>
              <w:t>N/A</w:t>
            </w:r>
          </w:p>
        </w:tc>
        <w:tc>
          <w:tcPr>
            <w:tcW w:w="991" w:type="dxa"/>
            <w:tcBorders>
              <w:top w:val="single" w:sz="4" w:space="0" w:color="000000"/>
              <w:left w:val="single" w:sz="12" w:space="0" w:color="000000"/>
              <w:bottom w:val="single" w:sz="4" w:space="0" w:color="000000"/>
              <w:right w:val="single" w:sz="12" w:space="0" w:color="000000"/>
            </w:tcBorders>
          </w:tcPr>
          <w:p w14:paraId="3F6F39DC" w14:textId="1C942F5E" w:rsidR="00B0429D" w:rsidRDefault="00B0429D" w:rsidP="00B17831">
            <w:pPr>
              <w:spacing w:after="0" w:line="259" w:lineRule="auto"/>
              <w:ind w:left="0" w:right="42" w:firstLine="0"/>
              <w:jc w:val="center"/>
            </w:pPr>
            <w:r>
              <w:rPr>
                <w:sz w:val="18"/>
              </w:rPr>
              <w:t>N/A</w:t>
            </w:r>
          </w:p>
        </w:tc>
        <w:tc>
          <w:tcPr>
            <w:tcW w:w="843" w:type="dxa"/>
            <w:tcBorders>
              <w:top w:val="single" w:sz="4" w:space="0" w:color="000000"/>
              <w:left w:val="single" w:sz="12" w:space="0" w:color="000000"/>
              <w:bottom w:val="single" w:sz="4" w:space="0" w:color="000000"/>
              <w:right w:val="single" w:sz="12" w:space="0" w:color="000000"/>
            </w:tcBorders>
          </w:tcPr>
          <w:p w14:paraId="290B930D" w14:textId="7BE9EB88" w:rsidR="00B0429D" w:rsidRDefault="00B0429D" w:rsidP="00B17831">
            <w:pPr>
              <w:spacing w:after="0" w:line="259" w:lineRule="auto"/>
              <w:ind w:left="0" w:right="45" w:firstLine="0"/>
              <w:jc w:val="center"/>
            </w:pPr>
            <w:r>
              <w:rPr>
                <w:b/>
                <w:sz w:val="18"/>
              </w:rPr>
              <w:t>525.2</w:t>
            </w:r>
          </w:p>
        </w:tc>
        <w:tc>
          <w:tcPr>
            <w:tcW w:w="776" w:type="dxa"/>
            <w:tcBorders>
              <w:top w:val="single" w:sz="4" w:space="0" w:color="000000"/>
              <w:left w:val="single" w:sz="12" w:space="0" w:color="000000"/>
              <w:bottom w:val="single" w:sz="4" w:space="0" w:color="000000"/>
              <w:right w:val="single" w:sz="12" w:space="0" w:color="000000"/>
            </w:tcBorders>
          </w:tcPr>
          <w:p w14:paraId="3C15234E" w14:textId="57FDBE0F" w:rsidR="00B0429D" w:rsidRDefault="00B0429D" w:rsidP="00B17831">
            <w:pPr>
              <w:spacing w:after="0" w:line="259" w:lineRule="auto"/>
              <w:ind w:left="0" w:right="46" w:firstLine="0"/>
              <w:jc w:val="center"/>
            </w:pPr>
            <w:r>
              <w:rPr>
                <w:sz w:val="18"/>
              </w:rPr>
              <w:t>507</w:t>
            </w:r>
          </w:p>
        </w:tc>
        <w:tc>
          <w:tcPr>
            <w:tcW w:w="630" w:type="dxa"/>
            <w:tcBorders>
              <w:top w:val="single" w:sz="4" w:space="0" w:color="000000"/>
              <w:left w:val="single" w:sz="12" w:space="0" w:color="000000"/>
              <w:bottom w:val="single" w:sz="4" w:space="0" w:color="000000"/>
              <w:right w:val="single" w:sz="12" w:space="0" w:color="000000"/>
            </w:tcBorders>
          </w:tcPr>
          <w:p w14:paraId="11F8290D" w14:textId="3C7136D1" w:rsidR="00B0429D" w:rsidRDefault="00B0429D" w:rsidP="00B17831">
            <w:pPr>
              <w:spacing w:after="0" w:line="259" w:lineRule="auto"/>
              <w:ind w:left="0" w:right="0" w:firstLine="0"/>
              <w:jc w:val="center"/>
            </w:pPr>
          </w:p>
        </w:tc>
      </w:tr>
      <w:tr w:rsidR="00B0429D" w14:paraId="0A18C371" w14:textId="77777777" w:rsidTr="00C23B62">
        <w:trPr>
          <w:trHeight w:val="252"/>
        </w:trPr>
        <w:tc>
          <w:tcPr>
            <w:tcW w:w="3240" w:type="dxa"/>
            <w:tcBorders>
              <w:top w:val="single" w:sz="4" w:space="0" w:color="000000"/>
              <w:left w:val="single" w:sz="12" w:space="0" w:color="000000"/>
              <w:bottom w:val="single" w:sz="4" w:space="0" w:color="000000"/>
              <w:right w:val="single" w:sz="12" w:space="0" w:color="000000"/>
            </w:tcBorders>
          </w:tcPr>
          <w:p w14:paraId="06DFC16B" w14:textId="77777777" w:rsidR="00B0429D" w:rsidRDefault="00B0429D" w:rsidP="00B0429D">
            <w:pPr>
              <w:spacing w:after="0" w:line="259" w:lineRule="auto"/>
              <w:ind w:left="2" w:right="0" w:firstLine="0"/>
            </w:pPr>
            <w:proofErr w:type="spellStart"/>
            <w:r>
              <w:rPr>
                <w:sz w:val="18"/>
              </w:rPr>
              <w:t>Pronamide</w:t>
            </w:r>
            <w:proofErr w:type="spellEnd"/>
            <w:r>
              <w:rPr>
                <w:sz w:val="18"/>
              </w:rPr>
              <w:t xml:space="preserve"> </w:t>
            </w:r>
          </w:p>
        </w:tc>
        <w:tc>
          <w:tcPr>
            <w:tcW w:w="1326" w:type="dxa"/>
            <w:tcBorders>
              <w:top w:val="single" w:sz="4" w:space="0" w:color="000000"/>
              <w:left w:val="single" w:sz="12" w:space="0" w:color="000000"/>
              <w:bottom w:val="single" w:sz="4" w:space="0" w:color="000000"/>
              <w:right w:val="single" w:sz="12" w:space="0" w:color="000000"/>
            </w:tcBorders>
          </w:tcPr>
          <w:p w14:paraId="510BC843" w14:textId="5E50C2F2" w:rsidR="00B0429D" w:rsidRDefault="00B0429D" w:rsidP="00B17831">
            <w:pPr>
              <w:spacing w:after="0" w:line="259" w:lineRule="auto"/>
              <w:ind w:left="0" w:right="44" w:firstLine="0"/>
              <w:jc w:val="center"/>
            </w:pPr>
            <w:r>
              <w:rPr>
                <w:sz w:val="18"/>
              </w:rPr>
              <w:t>23950-58-5</w:t>
            </w:r>
          </w:p>
        </w:tc>
        <w:tc>
          <w:tcPr>
            <w:tcW w:w="744" w:type="dxa"/>
            <w:tcBorders>
              <w:top w:val="single" w:sz="4" w:space="0" w:color="000000"/>
              <w:left w:val="single" w:sz="12" w:space="0" w:color="000000"/>
              <w:bottom w:val="single" w:sz="4" w:space="0" w:color="000000"/>
              <w:right w:val="single" w:sz="12" w:space="0" w:color="000000"/>
            </w:tcBorders>
          </w:tcPr>
          <w:p w14:paraId="4C0E9A7D" w14:textId="5B53A1A4" w:rsidR="00B0429D" w:rsidRDefault="00B0429D" w:rsidP="00B17831">
            <w:pPr>
              <w:tabs>
                <w:tab w:val="center" w:pos="308"/>
              </w:tabs>
              <w:spacing w:after="0" w:line="259" w:lineRule="auto"/>
              <w:ind w:left="0" w:right="0" w:firstLine="0"/>
              <w:jc w:val="center"/>
            </w:pPr>
            <w:r>
              <w:rPr>
                <w:sz w:val="18"/>
              </w:rPr>
              <w:t>10</w:t>
            </w:r>
          </w:p>
        </w:tc>
        <w:tc>
          <w:tcPr>
            <w:tcW w:w="900" w:type="dxa"/>
            <w:tcBorders>
              <w:top w:val="single" w:sz="4" w:space="0" w:color="000000"/>
              <w:left w:val="single" w:sz="12" w:space="0" w:color="000000"/>
              <w:bottom w:val="single" w:sz="4" w:space="0" w:color="000000"/>
              <w:right w:val="single" w:sz="12" w:space="0" w:color="000000"/>
            </w:tcBorders>
          </w:tcPr>
          <w:p w14:paraId="674999AE" w14:textId="326D07B7" w:rsidR="00B0429D" w:rsidRDefault="00B0429D" w:rsidP="00B2651C">
            <w:pPr>
              <w:spacing w:after="0" w:line="259" w:lineRule="auto"/>
              <w:ind w:left="0" w:right="46" w:firstLine="0"/>
              <w:jc w:val="center"/>
            </w:pPr>
            <w:r>
              <w:rPr>
                <w:sz w:val="18"/>
              </w:rPr>
              <w:t>ug/L</w:t>
            </w:r>
          </w:p>
        </w:tc>
        <w:tc>
          <w:tcPr>
            <w:tcW w:w="1080" w:type="dxa"/>
            <w:tcBorders>
              <w:top w:val="single" w:sz="4" w:space="0" w:color="000000"/>
              <w:left w:val="single" w:sz="12" w:space="0" w:color="000000"/>
              <w:bottom w:val="single" w:sz="4" w:space="0" w:color="000000"/>
              <w:right w:val="single" w:sz="12" w:space="0" w:color="000000"/>
            </w:tcBorders>
          </w:tcPr>
          <w:p w14:paraId="0D99941C" w14:textId="1BCDC9FB" w:rsidR="00B0429D" w:rsidRDefault="00B0429D" w:rsidP="00B17831">
            <w:pPr>
              <w:spacing w:after="0" w:line="259" w:lineRule="auto"/>
              <w:ind w:left="0" w:right="47" w:firstLine="0"/>
              <w:jc w:val="center"/>
            </w:pPr>
            <w:r>
              <w:rPr>
                <w:sz w:val="18"/>
              </w:rPr>
              <w:t>N/A</w:t>
            </w:r>
          </w:p>
        </w:tc>
        <w:tc>
          <w:tcPr>
            <w:tcW w:w="991" w:type="dxa"/>
            <w:tcBorders>
              <w:top w:val="single" w:sz="4" w:space="0" w:color="000000"/>
              <w:left w:val="single" w:sz="12" w:space="0" w:color="000000"/>
              <w:bottom w:val="single" w:sz="4" w:space="0" w:color="000000"/>
              <w:right w:val="single" w:sz="12" w:space="0" w:color="000000"/>
            </w:tcBorders>
          </w:tcPr>
          <w:p w14:paraId="57D3BF3A" w14:textId="40CA5523" w:rsidR="00B0429D" w:rsidRDefault="00B0429D" w:rsidP="00B17831">
            <w:pPr>
              <w:spacing w:after="0" w:line="259" w:lineRule="auto"/>
              <w:ind w:left="0" w:right="42" w:firstLine="0"/>
              <w:jc w:val="center"/>
            </w:pPr>
            <w:r>
              <w:rPr>
                <w:sz w:val="18"/>
              </w:rPr>
              <w:t>N/A</w:t>
            </w:r>
          </w:p>
        </w:tc>
        <w:tc>
          <w:tcPr>
            <w:tcW w:w="843" w:type="dxa"/>
            <w:tcBorders>
              <w:top w:val="single" w:sz="4" w:space="0" w:color="000000"/>
              <w:left w:val="single" w:sz="12" w:space="0" w:color="000000"/>
              <w:bottom w:val="single" w:sz="4" w:space="0" w:color="000000"/>
              <w:right w:val="single" w:sz="12" w:space="0" w:color="000000"/>
            </w:tcBorders>
          </w:tcPr>
          <w:p w14:paraId="715BF1BA" w14:textId="2D30E6F9" w:rsidR="00B0429D" w:rsidRDefault="00B0429D" w:rsidP="00B17831">
            <w:pPr>
              <w:spacing w:after="0" w:line="259" w:lineRule="auto"/>
              <w:ind w:left="0" w:right="45" w:firstLine="0"/>
              <w:jc w:val="center"/>
            </w:pPr>
            <w:r>
              <w:rPr>
                <w:b/>
                <w:sz w:val="18"/>
              </w:rPr>
              <w:t>525.2</w:t>
            </w:r>
          </w:p>
        </w:tc>
        <w:tc>
          <w:tcPr>
            <w:tcW w:w="776" w:type="dxa"/>
            <w:tcBorders>
              <w:top w:val="single" w:sz="4" w:space="0" w:color="000000"/>
              <w:left w:val="single" w:sz="12" w:space="0" w:color="000000"/>
              <w:bottom w:val="single" w:sz="4" w:space="0" w:color="000000"/>
              <w:right w:val="single" w:sz="12" w:space="0" w:color="000000"/>
            </w:tcBorders>
          </w:tcPr>
          <w:p w14:paraId="6F556EB8" w14:textId="4819AE55" w:rsidR="00B0429D" w:rsidRDefault="00B0429D" w:rsidP="00B17831">
            <w:pPr>
              <w:spacing w:after="0" w:line="259" w:lineRule="auto"/>
              <w:ind w:left="0" w:right="46" w:firstLine="0"/>
              <w:jc w:val="center"/>
            </w:pPr>
            <w:r>
              <w:rPr>
                <w:sz w:val="18"/>
              </w:rPr>
              <w:t>507</w:t>
            </w:r>
          </w:p>
        </w:tc>
        <w:tc>
          <w:tcPr>
            <w:tcW w:w="630" w:type="dxa"/>
            <w:tcBorders>
              <w:top w:val="single" w:sz="4" w:space="0" w:color="000000"/>
              <w:left w:val="single" w:sz="12" w:space="0" w:color="000000"/>
              <w:bottom w:val="single" w:sz="4" w:space="0" w:color="000000"/>
              <w:right w:val="single" w:sz="12" w:space="0" w:color="000000"/>
            </w:tcBorders>
          </w:tcPr>
          <w:p w14:paraId="3B857651" w14:textId="1C41BE7C" w:rsidR="00B0429D" w:rsidRDefault="00B0429D" w:rsidP="00B17831">
            <w:pPr>
              <w:spacing w:after="0" w:line="259" w:lineRule="auto"/>
              <w:ind w:left="0" w:right="0" w:firstLine="0"/>
              <w:jc w:val="center"/>
            </w:pPr>
          </w:p>
        </w:tc>
      </w:tr>
      <w:tr w:rsidR="00B0429D" w14:paraId="7E9DE2B2" w14:textId="77777777" w:rsidTr="00C23B62">
        <w:trPr>
          <w:trHeight w:val="250"/>
        </w:trPr>
        <w:tc>
          <w:tcPr>
            <w:tcW w:w="3240" w:type="dxa"/>
            <w:tcBorders>
              <w:top w:val="single" w:sz="4" w:space="0" w:color="000000"/>
              <w:left w:val="single" w:sz="12" w:space="0" w:color="000000"/>
              <w:bottom w:val="single" w:sz="4" w:space="0" w:color="000000"/>
              <w:right w:val="single" w:sz="12" w:space="0" w:color="000000"/>
            </w:tcBorders>
          </w:tcPr>
          <w:p w14:paraId="730E7A7F" w14:textId="77777777" w:rsidR="00B0429D" w:rsidRDefault="00B0429D" w:rsidP="00B0429D">
            <w:pPr>
              <w:spacing w:after="0" w:line="259" w:lineRule="auto"/>
              <w:ind w:left="2" w:right="0" w:firstLine="0"/>
            </w:pPr>
            <w:proofErr w:type="spellStart"/>
            <w:r>
              <w:rPr>
                <w:sz w:val="18"/>
              </w:rPr>
              <w:t>Propachlor</w:t>
            </w:r>
            <w:proofErr w:type="spellEnd"/>
            <w:r>
              <w:rPr>
                <w:sz w:val="18"/>
              </w:rPr>
              <w:t xml:space="preserve"> </w:t>
            </w:r>
          </w:p>
        </w:tc>
        <w:tc>
          <w:tcPr>
            <w:tcW w:w="1326" w:type="dxa"/>
            <w:tcBorders>
              <w:top w:val="single" w:sz="4" w:space="0" w:color="000000"/>
              <w:left w:val="single" w:sz="12" w:space="0" w:color="000000"/>
              <w:bottom w:val="single" w:sz="4" w:space="0" w:color="000000"/>
              <w:right w:val="single" w:sz="12" w:space="0" w:color="000000"/>
            </w:tcBorders>
          </w:tcPr>
          <w:p w14:paraId="0D7E6009" w14:textId="21355917" w:rsidR="00B0429D" w:rsidRDefault="00B0429D" w:rsidP="00B17831">
            <w:pPr>
              <w:spacing w:after="0" w:line="259" w:lineRule="auto"/>
              <w:ind w:left="0" w:right="44" w:firstLine="0"/>
              <w:jc w:val="center"/>
            </w:pPr>
            <w:r>
              <w:rPr>
                <w:sz w:val="18"/>
              </w:rPr>
              <w:t>1918-16-7</w:t>
            </w:r>
          </w:p>
        </w:tc>
        <w:tc>
          <w:tcPr>
            <w:tcW w:w="744" w:type="dxa"/>
            <w:tcBorders>
              <w:top w:val="single" w:sz="4" w:space="0" w:color="000000"/>
              <w:left w:val="single" w:sz="12" w:space="0" w:color="000000"/>
              <w:bottom w:val="single" w:sz="4" w:space="0" w:color="000000"/>
              <w:right w:val="single" w:sz="12" w:space="0" w:color="000000"/>
            </w:tcBorders>
          </w:tcPr>
          <w:p w14:paraId="44370386" w14:textId="16A78A1F" w:rsidR="00B0429D" w:rsidRDefault="00B0429D" w:rsidP="00B17831">
            <w:pPr>
              <w:tabs>
                <w:tab w:val="center" w:pos="308"/>
              </w:tabs>
              <w:spacing w:after="0" w:line="259" w:lineRule="auto"/>
              <w:ind w:left="0" w:right="0" w:firstLine="0"/>
              <w:jc w:val="center"/>
            </w:pPr>
            <w:r>
              <w:rPr>
                <w:sz w:val="18"/>
              </w:rPr>
              <w:t>10</w:t>
            </w:r>
          </w:p>
        </w:tc>
        <w:tc>
          <w:tcPr>
            <w:tcW w:w="900" w:type="dxa"/>
            <w:tcBorders>
              <w:top w:val="single" w:sz="4" w:space="0" w:color="000000"/>
              <w:left w:val="single" w:sz="12" w:space="0" w:color="000000"/>
              <w:bottom w:val="single" w:sz="4" w:space="0" w:color="000000"/>
              <w:right w:val="single" w:sz="12" w:space="0" w:color="000000"/>
            </w:tcBorders>
          </w:tcPr>
          <w:p w14:paraId="0D8F05BF" w14:textId="346A74AB" w:rsidR="00B0429D" w:rsidRDefault="00B0429D" w:rsidP="00B2651C">
            <w:pPr>
              <w:spacing w:after="0" w:line="259" w:lineRule="auto"/>
              <w:ind w:left="0" w:right="46" w:firstLine="0"/>
              <w:jc w:val="center"/>
            </w:pPr>
            <w:r>
              <w:rPr>
                <w:sz w:val="18"/>
              </w:rPr>
              <w:t>ug/L</w:t>
            </w:r>
          </w:p>
        </w:tc>
        <w:tc>
          <w:tcPr>
            <w:tcW w:w="1080" w:type="dxa"/>
            <w:tcBorders>
              <w:top w:val="single" w:sz="4" w:space="0" w:color="000000"/>
              <w:left w:val="single" w:sz="12" w:space="0" w:color="000000"/>
              <w:bottom w:val="single" w:sz="4" w:space="0" w:color="000000"/>
              <w:right w:val="single" w:sz="12" w:space="0" w:color="000000"/>
            </w:tcBorders>
          </w:tcPr>
          <w:p w14:paraId="42DC309A" w14:textId="730AA0CE" w:rsidR="00B0429D" w:rsidRDefault="00B0429D" w:rsidP="00B17831">
            <w:pPr>
              <w:spacing w:after="0" w:line="259" w:lineRule="auto"/>
              <w:ind w:left="0" w:right="47" w:firstLine="0"/>
              <w:jc w:val="center"/>
            </w:pPr>
            <w:r>
              <w:rPr>
                <w:sz w:val="18"/>
              </w:rPr>
              <w:t>N/A</w:t>
            </w:r>
          </w:p>
        </w:tc>
        <w:tc>
          <w:tcPr>
            <w:tcW w:w="991" w:type="dxa"/>
            <w:tcBorders>
              <w:top w:val="single" w:sz="4" w:space="0" w:color="000000"/>
              <w:left w:val="single" w:sz="12" w:space="0" w:color="000000"/>
              <w:bottom w:val="single" w:sz="4" w:space="0" w:color="000000"/>
              <w:right w:val="single" w:sz="12" w:space="0" w:color="000000"/>
            </w:tcBorders>
          </w:tcPr>
          <w:p w14:paraId="144150F9" w14:textId="79C7F31F" w:rsidR="00B0429D" w:rsidRDefault="00B0429D" w:rsidP="00B17831">
            <w:pPr>
              <w:spacing w:after="0" w:line="259" w:lineRule="auto"/>
              <w:ind w:left="0" w:right="42" w:firstLine="0"/>
              <w:jc w:val="center"/>
            </w:pPr>
            <w:r>
              <w:rPr>
                <w:sz w:val="18"/>
              </w:rPr>
              <w:t>N/A</w:t>
            </w:r>
          </w:p>
        </w:tc>
        <w:tc>
          <w:tcPr>
            <w:tcW w:w="843" w:type="dxa"/>
            <w:tcBorders>
              <w:top w:val="single" w:sz="4" w:space="0" w:color="000000"/>
              <w:left w:val="single" w:sz="12" w:space="0" w:color="000000"/>
              <w:bottom w:val="single" w:sz="4" w:space="0" w:color="000000"/>
              <w:right w:val="single" w:sz="12" w:space="0" w:color="000000"/>
            </w:tcBorders>
          </w:tcPr>
          <w:p w14:paraId="28CC2FCF" w14:textId="06C6E8DF" w:rsidR="00B0429D" w:rsidRDefault="00B0429D" w:rsidP="00B17831">
            <w:pPr>
              <w:spacing w:after="0" w:line="259" w:lineRule="auto"/>
              <w:ind w:left="0" w:right="45" w:firstLine="0"/>
              <w:jc w:val="center"/>
            </w:pPr>
            <w:r>
              <w:rPr>
                <w:b/>
                <w:sz w:val="18"/>
              </w:rPr>
              <w:t>525.2</w:t>
            </w:r>
          </w:p>
        </w:tc>
        <w:tc>
          <w:tcPr>
            <w:tcW w:w="776" w:type="dxa"/>
            <w:tcBorders>
              <w:top w:val="single" w:sz="4" w:space="0" w:color="000000"/>
              <w:left w:val="single" w:sz="12" w:space="0" w:color="000000"/>
              <w:bottom w:val="single" w:sz="4" w:space="0" w:color="000000"/>
              <w:right w:val="single" w:sz="12" w:space="0" w:color="000000"/>
            </w:tcBorders>
          </w:tcPr>
          <w:p w14:paraId="3C52D963" w14:textId="17E06930" w:rsidR="00B0429D" w:rsidRDefault="00B0429D" w:rsidP="00B17831">
            <w:pPr>
              <w:spacing w:after="0" w:line="259" w:lineRule="auto"/>
              <w:ind w:left="0" w:right="44" w:firstLine="0"/>
              <w:jc w:val="center"/>
            </w:pPr>
            <w:r>
              <w:rPr>
                <w:sz w:val="18"/>
              </w:rPr>
              <w:t>508.1</w:t>
            </w:r>
          </w:p>
        </w:tc>
        <w:tc>
          <w:tcPr>
            <w:tcW w:w="630" w:type="dxa"/>
            <w:tcBorders>
              <w:top w:val="single" w:sz="4" w:space="0" w:color="000000"/>
              <w:left w:val="single" w:sz="12" w:space="0" w:color="000000"/>
              <w:bottom w:val="single" w:sz="4" w:space="0" w:color="000000"/>
              <w:right w:val="single" w:sz="12" w:space="0" w:color="000000"/>
            </w:tcBorders>
          </w:tcPr>
          <w:p w14:paraId="516A85DA" w14:textId="1730166E" w:rsidR="00B0429D" w:rsidRDefault="00B0429D" w:rsidP="00B2651C">
            <w:pPr>
              <w:spacing w:after="0" w:line="259" w:lineRule="auto"/>
              <w:ind w:left="0" w:right="0" w:firstLine="0"/>
              <w:jc w:val="center"/>
            </w:pPr>
          </w:p>
        </w:tc>
      </w:tr>
      <w:tr w:rsidR="00B0429D" w14:paraId="1E90766A" w14:textId="77777777" w:rsidTr="00C23B62">
        <w:trPr>
          <w:trHeight w:val="250"/>
        </w:trPr>
        <w:tc>
          <w:tcPr>
            <w:tcW w:w="3240" w:type="dxa"/>
            <w:tcBorders>
              <w:top w:val="single" w:sz="4" w:space="0" w:color="000000"/>
              <w:left w:val="single" w:sz="12" w:space="0" w:color="000000"/>
              <w:bottom w:val="single" w:sz="4" w:space="0" w:color="000000"/>
              <w:right w:val="single" w:sz="12" w:space="0" w:color="000000"/>
            </w:tcBorders>
          </w:tcPr>
          <w:p w14:paraId="0A0EB317" w14:textId="77BD42CA" w:rsidR="00B0429D" w:rsidRDefault="00B0429D" w:rsidP="00B0429D">
            <w:pPr>
              <w:spacing w:after="0" w:line="259" w:lineRule="auto"/>
              <w:ind w:left="2" w:right="0" w:firstLine="0"/>
            </w:pPr>
            <w:r>
              <w:rPr>
                <w:sz w:val="18"/>
              </w:rPr>
              <w:t>Propazine (</w:t>
            </w:r>
            <w:proofErr w:type="spellStart"/>
            <w:r>
              <w:rPr>
                <w:i/>
                <w:sz w:val="18"/>
              </w:rPr>
              <w:t>Milogard</w:t>
            </w:r>
            <w:proofErr w:type="spellEnd"/>
            <w:r>
              <w:rPr>
                <w:i/>
                <w:sz w:val="18"/>
              </w:rPr>
              <w:t xml:space="preserve">) </w:t>
            </w:r>
          </w:p>
        </w:tc>
        <w:tc>
          <w:tcPr>
            <w:tcW w:w="1326" w:type="dxa"/>
            <w:tcBorders>
              <w:top w:val="single" w:sz="4" w:space="0" w:color="000000"/>
              <w:left w:val="single" w:sz="12" w:space="0" w:color="000000"/>
              <w:bottom w:val="single" w:sz="4" w:space="0" w:color="000000"/>
              <w:right w:val="single" w:sz="12" w:space="0" w:color="000000"/>
            </w:tcBorders>
          </w:tcPr>
          <w:p w14:paraId="70F92689" w14:textId="2AD93215" w:rsidR="00B0429D" w:rsidRDefault="00B0429D" w:rsidP="00B17831">
            <w:pPr>
              <w:spacing w:after="0" w:line="259" w:lineRule="auto"/>
              <w:ind w:left="0" w:right="44" w:firstLine="0"/>
              <w:jc w:val="center"/>
            </w:pPr>
            <w:r>
              <w:rPr>
                <w:sz w:val="18"/>
              </w:rPr>
              <w:t>139-40-2</w:t>
            </w:r>
          </w:p>
        </w:tc>
        <w:tc>
          <w:tcPr>
            <w:tcW w:w="744" w:type="dxa"/>
            <w:tcBorders>
              <w:top w:val="single" w:sz="4" w:space="0" w:color="000000"/>
              <w:left w:val="single" w:sz="12" w:space="0" w:color="000000"/>
              <w:bottom w:val="single" w:sz="4" w:space="0" w:color="000000"/>
              <w:right w:val="single" w:sz="12" w:space="0" w:color="000000"/>
            </w:tcBorders>
          </w:tcPr>
          <w:p w14:paraId="214843EB" w14:textId="69632B57" w:rsidR="00B0429D" w:rsidRDefault="00B0429D" w:rsidP="00B17831">
            <w:pPr>
              <w:tabs>
                <w:tab w:val="center" w:pos="308"/>
              </w:tabs>
              <w:spacing w:after="0" w:line="259" w:lineRule="auto"/>
              <w:ind w:left="0" w:right="0" w:firstLine="0"/>
              <w:jc w:val="center"/>
            </w:pPr>
            <w:r>
              <w:rPr>
                <w:sz w:val="18"/>
              </w:rPr>
              <w:t>10</w:t>
            </w:r>
          </w:p>
        </w:tc>
        <w:tc>
          <w:tcPr>
            <w:tcW w:w="900" w:type="dxa"/>
            <w:tcBorders>
              <w:top w:val="single" w:sz="4" w:space="0" w:color="000000"/>
              <w:left w:val="single" w:sz="12" w:space="0" w:color="000000"/>
              <w:bottom w:val="single" w:sz="4" w:space="0" w:color="000000"/>
              <w:right w:val="single" w:sz="12" w:space="0" w:color="000000"/>
            </w:tcBorders>
          </w:tcPr>
          <w:p w14:paraId="6C624272" w14:textId="1C828F09" w:rsidR="00B0429D" w:rsidRDefault="00B0429D" w:rsidP="00B2651C">
            <w:pPr>
              <w:spacing w:after="0" w:line="259" w:lineRule="auto"/>
              <w:ind w:left="0" w:right="46" w:firstLine="0"/>
              <w:jc w:val="center"/>
            </w:pPr>
            <w:r>
              <w:rPr>
                <w:sz w:val="18"/>
              </w:rPr>
              <w:t>ug/L</w:t>
            </w:r>
          </w:p>
        </w:tc>
        <w:tc>
          <w:tcPr>
            <w:tcW w:w="1080" w:type="dxa"/>
            <w:tcBorders>
              <w:top w:val="single" w:sz="4" w:space="0" w:color="000000"/>
              <w:left w:val="single" w:sz="12" w:space="0" w:color="000000"/>
              <w:bottom w:val="single" w:sz="4" w:space="0" w:color="000000"/>
              <w:right w:val="single" w:sz="12" w:space="0" w:color="000000"/>
            </w:tcBorders>
          </w:tcPr>
          <w:p w14:paraId="109BF279" w14:textId="57B60B5C" w:rsidR="00B0429D" w:rsidRDefault="00B0429D" w:rsidP="00B17831">
            <w:pPr>
              <w:spacing w:after="0" w:line="259" w:lineRule="auto"/>
              <w:ind w:left="0" w:right="47" w:firstLine="0"/>
              <w:jc w:val="center"/>
            </w:pPr>
            <w:r>
              <w:rPr>
                <w:sz w:val="18"/>
              </w:rPr>
              <w:t>N/A</w:t>
            </w:r>
          </w:p>
        </w:tc>
        <w:tc>
          <w:tcPr>
            <w:tcW w:w="991" w:type="dxa"/>
            <w:tcBorders>
              <w:top w:val="single" w:sz="4" w:space="0" w:color="000000"/>
              <w:left w:val="single" w:sz="12" w:space="0" w:color="000000"/>
              <w:bottom w:val="single" w:sz="4" w:space="0" w:color="000000"/>
              <w:right w:val="single" w:sz="12" w:space="0" w:color="000000"/>
            </w:tcBorders>
          </w:tcPr>
          <w:p w14:paraId="49B1C487" w14:textId="7DDEA002" w:rsidR="00B0429D" w:rsidRDefault="00B0429D" w:rsidP="00B17831">
            <w:pPr>
              <w:spacing w:after="0" w:line="259" w:lineRule="auto"/>
              <w:ind w:left="0" w:right="42" w:firstLine="0"/>
              <w:jc w:val="center"/>
            </w:pPr>
            <w:r>
              <w:rPr>
                <w:sz w:val="18"/>
              </w:rPr>
              <w:t>N/A</w:t>
            </w:r>
          </w:p>
        </w:tc>
        <w:tc>
          <w:tcPr>
            <w:tcW w:w="843" w:type="dxa"/>
            <w:tcBorders>
              <w:top w:val="single" w:sz="4" w:space="0" w:color="000000"/>
              <w:left w:val="single" w:sz="12" w:space="0" w:color="000000"/>
              <w:bottom w:val="single" w:sz="4" w:space="0" w:color="000000"/>
              <w:right w:val="single" w:sz="12" w:space="0" w:color="000000"/>
            </w:tcBorders>
          </w:tcPr>
          <w:p w14:paraId="43CD4E34" w14:textId="60AD79E4" w:rsidR="00B0429D" w:rsidRDefault="00B0429D" w:rsidP="00B17831">
            <w:pPr>
              <w:spacing w:after="0" w:line="259" w:lineRule="auto"/>
              <w:ind w:left="0" w:right="45" w:firstLine="0"/>
              <w:jc w:val="center"/>
            </w:pPr>
            <w:r>
              <w:rPr>
                <w:b/>
                <w:sz w:val="18"/>
              </w:rPr>
              <w:t>525.2</w:t>
            </w:r>
          </w:p>
        </w:tc>
        <w:tc>
          <w:tcPr>
            <w:tcW w:w="776" w:type="dxa"/>
            <w:tcBorders>
              <w:top w:val="single" w:sz="4" w:space="0" w:color="000000"/>
              <w:left w:val="single" w:sz="12" w:space="0" w:color="000000"/>
              <w:bottom w:val="single" w:sz="4" w:space="0" w:color="000000"/>
              <w:right w:val="single" w:sz="12" w:space="0" w:color="000000"/>
            </w:tcBorders>
          </w:tcPr>
          <w:p w14:paraId="363DEE98" w14:textId="7A2A01C2" w:rsidR="00B0429D" w:rsidRDefault="00B0429D" w:rsidP="00B17831">
            <w:pPr>
              <w:spacing w:after="0" w:line="259" w:lineRule="auto"/>
              <w:ind w:left="0" w:right="46" w:firstLine="0"/>
              <w:jc w:val="center"/>
            </w:pPr>
            <w:r>
              <w:rPr>
                <w:sz w:val="18"/>
              </w:rPr>
              <w:t>507</w:t>
            </w:r>
          </w:p>
        </w:tc>
        <w:tc>
          <w:tcPr>
            <w:tcW w:w="630" w:type="dxa"/>
            <w:tcBorders>
              <w:top w:val="single" w:sz="4" w:space="0" w:color="000000"/>
              <w:left w:val="single" w:sz="12" w:space="0" w:color="000000"/>
              <w:bottom w:val="single" w:sz="4" w:space="0" w:color="000000"/>
              <w:right w:val="single" w:sz="12" w:space="0" w:color="000000"/>
            </w:tcBorders>
          </w:tcPr>
          <w:p w14:paraId="00F6FE8F" w14:textId="389258D4" w:rsidR="00B0429D" w:rsidRDefault="00B0429D" w:rsidP="00B17831">
            <w:pPr>
              <w:spacing w:after="0" w:line="259" w:lineRule="auto"/>
              <w:ind w:left="0" w:right="0" w:firstLine="0"/>
              <w:jc w:val="center"/>
            </w:pPr>
          </w:p>
        </w:tc>
      </w:tr>
      <w:tr w:rsidR="00B0429D" w14:paraId="3EE82B1C" w14:textId="77777777" w:rsidTr="00C23B62">
        <w:trPr>
          <w:trHeight w:val="250"/>
        </w:trPr>
        <w:tc>
          <w:tcPr>
            <w:tcW w:w="3240" w:type="dxa"/>
            <w:tcBorders>
              <w:top w:val="single" w:sz="4" w:space="0" w:color="000000"/>
              <w:left w:val="single" w:sz="12" w:space="0" w:color="000000"/>
              <w:bottom w:val="single" w:sz="4" w:space="0" w:color="000000"/>
              <w:right w:val="single" w:sz="12" w:space="0" w:color="000000"/>
            </w:tcBorders>
          </w:tcPr>
          <w:p w14:paraId="271B7868" w14:textId="77777777" w:rsidR="00B0429D" w:rsidRDefault="00B0429D" w:rsidP="00B0429D">
            <w:pPr>
              <w:spacing w:after="0" w:line="259" w:lineRule="auto"/>
              <w:ind w:left="2" w:right="0" w:firstLine="0"/>
            </w:pPr>
            <w:r>
              <w:rPr>
                <w:sz w:val="18"/>
              </w:rPr>
              <w:t xml:space="preserve">Simetryn </w:t>
            </w:r>
          </w:p>
        </w:tc>
        <w:tc>
          <w:tcPr>
            <w:tcW w:w="1326" w:type="dxa"/>
            <w:tcBorders>
              <w:top w:val="single" w:sz="4" w:space="0" w:color="000000"/>
              <w:left w:val="single" w:sz="12" w:space="0" w:color="000000"/>
              <w:bottom w:val="single" w:sz="4" w:space="0" w:color="000000"/>
              <w:right w:val="single" w:sz="12" w:space="0" w:color="000000"/>
            </w:tcBorders>
          </w:tcPr>
          <w:p w14:paraId="63E70017" w14:textId="61667F7A" w:rsidR="00B0429D" w:rsidRDefault="00B0429D" w:rsidP="00B17831">
            <w:pPr>
              <w:spacing w:after="0" w:line="259" w:lineRule="auto"/>
              <w:ind w:left="0" w:right="44" w:firstLine="0"/>
              <w:jc w:val="center"/>
            </w:pPr>
            <w:r>
              <w:rPr>
                <w:sz w:val="18"/>
              </w:rPr>
              <w:t>1014-70-6</w:t>
            </w:r>
          </w:p>
        </w:tc>
        <w:tc>
          <w:tcPr>
            <w:tcW w:w="744" w:type="dxa"/>
            <w:tcBorders>
              <w:top w:val="single" w:sz="4" w:space="0" w:color="000000"/>
              <w:left w:val="single" w:sz="12" w:space="0" w:color="000000"/>
              <w:bottom w:val="single" w:sz="4" w:space="0" w:color="000000"/>
              <w:right w:val="single" w:sz="12" w:space="0" w:color="000000"/>
            </w:tcBorders>
          </w:tcPr>
          <w:p w14:paraId="2FFB4D6F" w14:textId="34354995" w:rsidR="00B0429D" w:rsidRDefault="00B0429D" w:rsidP="00B17831">
            <w:pPr>
              <w:tabs>
                <w:tab w:val="center" w:pos="354"/>
              </w:tabs>
              <w:spacing w:after="0" w:line="259" w:lineRule="auto"/>
              <w:ind w:left="0" w:right="0" w:firstLine="0"/>
              <w:jc w:val="center"/>
            </w:pPr>
            <w:r>
              <w:rPr>
                <w:sz w:val="18"/>
              </w:rPr>
              <w:t>1</w:t>
            </w:r>
          </w:p>
        </w:tc>
        <w:tc>
          <w:tcPr>
            <w:tcW w:w="900" w:type="dxa"/>
            <w:tcBorders>
              <w:top w:val="single" w:sz="4" w:space="0" w:color="000000"/>
              <w:left w:val="single" w:sz="12" w:space="0" w:color="000000"/>
              <w:bottom w:val="single" w:sz="4" w:space="0" w:color="000000"/>
              <w:right w:val="single" w:sz="12" w:space="0" w:color="000000"/>
            </w:tcBorders>
          </w:tcPr>
          <w:p w14:paraId="56D659AA" w14:textId="7B549FEF" w:rsidR="00B0429D" w:rsidRDefault="00B0429D" w:rsidP="00B2651C">
            <w:pPr>
              <w:spacing w:after="0" w:line="259" w:lineRule="auto"/>
              <w:ind w:left="0" w:right="46" w:firstLine="0"/>
              <w:jc w:val="center"/>
            </w:pPr>
            <w:r>
              <w:rPr>
                <w:sz w:val="18"/>
              </w:rPr>
              <w:t>ug/L</w:t>
            </w:r>
          </w:p>
        </w:tc>
        <w:tc>
          <w:tcPr>
            <w:tcW w:w="1080" w:type="dxa"/>
            <w:tcBorders>
              <w:top w:val="single" w:sz="4" w:space="0" w:color="000000"/>
              <w:left w:val="single" w:sz="12" w:space="0" w:color="000000"/>
              <w:bottom w:val="single" w:sz="4" w:space="0" w:color="000000"/>
              <w:right w:val="single" w:sz="12" w:space="0" w:color="000000"/>
            </w:tcBorders>
          </w:tcPr>
          <w:p w14:paraId="783AAD64" w14:textId="7888869C" w:rsidR="00B0429D" w:rsidRDefault="00B0429D" w:rsidP="00B17831">
            <w:pPr>
              <w:spacing w:after="0" w:line="259" w:lineRule="auto"/>
              <w:ind w:left="0" w:right="47" w:firstLine="0"/>
              <w:jc w:val="center"/>
            </w:pPr>
            <w:r>
              <w:rPr>
                <w:sz w:val="18"/>
              </w:rPr>
              <w:t>N/A</w:t>
            </w:r>
          </w:p>
        </w:tc>
        <w:tc>
          <w:tcPr>
            <w:tcW w:w="991" w:type="dxa"/>
            <w:tcBorders>
              <w:top w:val="single" w:sz="4" w:space="0" w:color="000000"/>
              <w:left w:val="single" w:sz="12" w:space="0" w:color="000000"/>
              <w:bottom w:val="single" w:sz="4" w:space="0" w:color="000000"/>
              <w:right w:val="single" w:sz="12" w:space="0" w:color="000000"/>
            </w:tcBorders>
          </w:tcPr>
          <w:p w14:paraId="7E1ABEF9" w14:textId="28A1195E" w:rsidR="00B0429D" w:rsidRDefault="00B0429D" w:rsidP="00B17831">
            <w:pPr>
              <w:spacing w:after="0" w:line="259" w:lineRule="auto"/>
              <w:ind w:left="0" w:right="42" w:firstLine="0"/>
              <w:jc w:val="center"/>
            </w:pPr>
            <w:r>
              <w:rPr>
                <w:sz w:val="18"/>
              </w:rPr>
              <w:t>N/A</w:t>
            </w:r>
          </w:p>
        </w:tc>
        <w:tc>
          <w:tcPr>
            <w:tcW w:w="843" w:type="dxa"/>
            <w:tcBorders>
              <w:top w:val="single" w:sz="4" w:space="0" w:color="000000"/>
              <w:left w:val="single" w:sz="12" w:space="0" w:color="000000"/>
              <w:bottom w:val="single" w:sz="4" w:space="0" w:color="000000"/>
              <w:right w:val="single" w:sz="12" w:space="0" w:color="000000"/>
            </w:tcBorders>
          </w:tcPr>
          <w:p w14:paraId="631D5B27" w14:textId="4756E704" w:rsidR="00B0429D" w:rsidRDefault="00B0429D" w:rsidP="00B17831">
            <w:pPr>
              <w:spacing w:after="0" w:line="259" w:lineRule="auto"/>
              <w:ind w:left="0" w:right="45" w:firstLine="0"/>
              <w:jc w:val="center"/>
            </w:pPr>
            <w:r>
              <w:rPr>
                <w:b/>
                <w:sz w:val="18"/>
              </w:rPr>
              <w:t>525.2</w:t>
            </w:r>
          </w:p>
        </w:tc>
        <w:tc>
          <w:tcPr>
            <w:tcW w:w="776" w:type="dxa"/>
            <w:tcBorders>
              <w:top w:val="single" w:sz="4" w:space="0" w:color="000000"/>
              <w:left w:val="single" w:sz="12" w:space="0" w:color="000000"/>
              <w:bottom w:val="single" w:sz="4" w:space="0" w:color="000000"/>
              <w:right w:val="single" w:sz="12" w:space="0" w:color="000000"/>
            </w:tcBorders>
          </w:tcPr>
          <w:p w14:paraId="783EDB61" w14:textId="6BE9634F" w:rsidR="00B0429D" w:rsidRDefault="00B0429D" w:rsidP="00B17831">
            <w:pPr>
              <w:spacing w:after="0" w:line="259" w:lineRule="auto"/>
              <w:ind w:left="0" w:right="46" w:firstLine="0"/>
              <w:jc w:val="center"/>
            </w:pPr>
            <w:r>
              <w:rPr>
                <w:sz w:val="18"/>
              </w:rPr>
              <w:t>507</w:t>
            </w:r>
          </w:p>
        </w:tc>
        <w:tc>
          <w:tcPr>
            <w:tcW w:w="630" w:type="dxa"/>
            <w:tcBorders>
              <w:top w:val="single" w:sz="4" w:space="0" w:color="000000"/>
              <w:left w:val="single" w:sz="12" w:space="0" w:color="000000"/>
              <w:bottom w:val="single" w:sz="4" w:space="0" w:color="000000"/>
              <w:right w:val="single" w:sz="12" w:space="0" w:color="000000"/>
            </w:tcBorders>
          </w:tcPr>
          <w:p w14:paraId="1E730DE1" w14:textId="7393CC40" w:rsidR="00B0429D" w:rsidRDefault="00B0429D" w:rsidP="00B17831">
            <w:pPr>
              <w:spacing w:after="0" w:line="259" w:lineRule="auto"/>
              <w:ind w:left="0" w:right="0" w:firstLine="0"/>
              <w:jc w:val="center"/>
            </w:pPr>
          </w:p>
        </w:tc>
      </w:tr>
      <w:tr w:rsidR="00B0429D" w14:paraId="376603E2" w14:textId="77777777" w:rsidTr="00C23B62">
        <w:trPr>
          <w:trHeight w:val="250"/>
        </w:trPr>
        <w:tc>
          <w:tcPr>
            <w:tcW w:w="3240" w:type="dxa"/>
            <w:tcBorders>
              <w:top w:val="single" w:sz="4" w:space="0" w:color="000000"/>
              <w:left w:val="single" w:sz="12" w:space="0" w:color="000000"/>
              <w:bottom w:val="single" w:sz="4" w:space="0" w:color="000000"/>
              <w:right w:val="single" w:sz="12" w:space="0" w:color="000000"/>
            </w:tcBorders>
          </w:tcPr>
          <w:p w14:paraId="6BCA97C1" w14:textId="77777777" w:rsidR="00B0429D" w:rsidRDefault="00B0429D" w:rsidP="00B0429D">
            <w:pPr>
              <w:spacing w:after="0" w:line="259" w:lineRule="auto"/>
              <w:ind w:left="2" w:right="0" w:firstLine="0"/>
            </w:pPr>
            <w:proofErr w:type="spellStart"/>
            <w:r>
              <w:rPr>
                <w:sz w:val="18"/>
              </w:rPr>
              <w:t>Stirofos</w:t>
            </w:r>
            <w:proofErr w:type="spellEnd"/>
            <w:r>
              <w:rPr>
                <w:sz w:val="18"/>
              </w:rPr>
              <w:t xml:space="preserve"> </w:t>
            </w:r>
          </w:p>
        </w:tc>
        <w:tc>
          <w:tcPr>
            <w:tcW w:w="1326" w:type="dxa"/>
            <w:tcBorders>
              <w:top w:val="single" w:sz="4" w:space="0" w:color="000000"/>
              <w:left w:val="single" w:sz="12" w:space="0" w:color="000000"/>
              <w:bottom w:val="single" w:sz="4" w:space="0" w:color="000000"/>
              <w:right w:val="single" w:sz="12" w:space="0" w:color="000000"/>
            </w:tcBorders>
          </w:tcPr>
          <w:p w14:paraId="562CA4FF" w14:textId="080FAB83" w:rsidR="00B0429D" w:rsidRDefault="00B0429D" w:rsidP="00B17831">
            <w:pPr>
              <w:spacing w:after="0" w:line="259" w:lineRule="auto"/>
              <w:ind w:left="0" w:right="44" w:firstLine="0"/>
              <w:jc w:val="center"/>
            </w:pPr>
            <w:r>
              <w:rPr>
                <w:sz w:val="18"/>
              </w:rPr>
              <w:t>22248-79-9</w:t>
            </w:r>
          </w:p>
        </w:tc>
        <w:tc>
          <w:tcPr>
            <w:tcW w:w="744" w:type="dxa"/>
            <w:tcBorders>
              <w:top w:val="single" w:sz="4" w:space="0" w:color="000000"/>
              <w:left w:val="single" w:sz="12" w:space="0" w:color="000000"/>
              <w:bottom w:val="single" w:sz="4" w:space="0" w:color="000000"/>
              <w:right w:val="single" w:sz="12" w:space="0" w:color="000000"/>
            </w:tcBorders>
          </w:tcPr>
          <w:p w14:paraId="09C2BB68" w14:textId="5C338898" w:rsidR="00B0429D" w:rsidRDefault="00B0429D" w:rsidP="00B17831">
            <w:pPr>
              <w:tabs>
                <w:tab w:val="center" w:pos="354"/>
              </w:tabs>
              <w:spacing w:after="0" w:line="259" w:lineRule="auto"/>
              <w:ind w:left="0" w:right="0" w:firstLine="0"/>
              <w:jc w:val="center"/>
            </w:pPr>
            <w:r>
              <w:rPr>
                <w:sz w:val="18"/>
              </w:rPr>
              <w:t>1</w:t>
            </w:r>
          </w:p>
        </w:tc>
        <w:tc>
          <w:tcPr>
            <w:tcW w:w="900" w:type="dxa"/>
            <w:tcBorders>
              <w:top w:val="single" w:sz="4" w:space="0" w:color="000000"/>
              <w:left w:val="single" w:sz="12" w:space="0" w:color="000000"/>
              <w:bottom w:val="single" w:sz="4" w:space="0" w:color="000000"/>
              <w:right w:val="single" w:sz="12" w:space="0" w:color="000000"/>
            </w:tcBorders>
          </w:tcPr>
          <w:p w14:paraId="0E9C466C" w14:textId="400C1E6A" w:rsidR="00B0429D" w:rsidRDefault="00B0429D" w:rsidP="00B2651C">
            <w:pPr>
              <w:spacing w:after="0" w:line="259" w:lineRule="auto"/>
              <w:ind w:left="0" w:right="46" w:firstLine="0"/>
              <w:jc w:val="center"/>
            </w:pPr>
            <w:r>
              <w:rPr>
                <w:sz w:val="18"/>
              </w:rPr>
              <w:t>ug/L</w:t>
            </w:r>
          </w:p>
        </w:tc>
        <w:tc>
          <w:tcPr>
            <w:tcW w:w="1080" w:type="dxa"/>
            <w:tcBorders>
              <w:top w:val="single" w:sz="4" w:space="0" w:color="000000"/>
              <w:left w:val="single" w:sz="12" w:space="0" w:color="000000"/>
              <w:bottom w:val="single" w:sz="4" w:space="0" w:color="000000"/>
              <w:right w:val="single" w:sz="12" w:space="0" w:color="000000"/>
            </w:tcBorders>
          </w:tcPr>
          <w:p w14:paraId="1C465535" w14:textId="2BF79144" w:rsidR="00B0429D" w:rsidRDefault="00B0429D" w:rsidP="00B17831">
            <w:pPr>
              <w:spacing w:after="0" w:line="259" w:lineRule="auto"/>
              <w:ind w:left="0" w:right="47" w:firstLine="0"/>
              <w:jc w:val="center"/>
            </w:pPr>
            <w:r>
              <w:rPr>
                <w:sz w:val="18"/>
              </w:rPr>
              <w:t>N/A</w:t>
            </w:r>
          </w:p>
        </w:tc>
        <w:tc>
          <w:tcPr>
            <w:tcW w:w="991" w:type="dxa"/>
            <w:tcBorders>
              <w:top w:val="single" w:sz="4" w:space="0" w:color="000000"/>
              <w:left w:val="single" w:sz="12" w:space="0" w:color="000000"/>
              <w:bottom w:val="single" w:sz="4" w:space="0" w:color="000000"/>
              <w:right w:val="single" w:sz="12" w:space="0" w:color="000000"/>
            </w:tcBorders>
          </w:tcPr>
          <w:p w14:paraId="513FA007" w14:textId="538C9F7D" w:rsidR="00B0429D" w:rsidRDefault="00B0429D" w:rsidP="00B17831">
            <w:pPr>
              <w:spacing w:after="0" w:line="259" w:lineRule="auto"/>
              <w:ind w:left="0" w:right="42" w:firstLine="0"/>
              <w:jc w:val="center"/>
            </w:pPr>
            <w:r>
              <w:rPr>
                <w:sz w:val="18"/>
              </w:rPr>
              <w:t>N/A</w:t>
            </w:r>
          </w:p>
        </w:tc>
        <w:tc>
          <w:tcPr>
            <w:tcW w:w="843" w:type="dxa"/>
            <w:tcBorders>
              <w:top w:val="single" w:sz="4" w:space="0" w:color="000000"/>
              <w:left w:val="single" w:sz="12" w:space="0" w:color="000000"/>
              <w:bottom w:val="single" w:sz="4" w:space="0" w:color="000000"/>
              <w:right w:val="single" w:sz="12" w:space="0" w:color="000000"/>
            </w:tcBorders>
          </w:tcPr>
          <w:p w14:paraId="10EB1B37" w14:textId="54CF6AAE" w:rsidR="00B0429D" w:rsidRDefault="00B0429D" w:rsidP="00B17831">
            <w:pPr>
              <w:spacing w:after="0" w:line="259" w:lineRule="auto"/>
              <w:ind w:left="0" w:right="45" w:firstLine="0"/>
              <w:jc w:val="center"/>
            </w:pPr>
            <w:r>
              <w:rPr>
                <w:b/>
                <w:sz w:val="18"/>
              </w:rPr>
              <w:t>525.2</w:t>
            </w:r>
          </w:p>
        </w:tc>
        <w:tc>
          <w:tcPr>
            <w:tcW w:w="776" w:type="dxa"/>
            <w:tcBorders>
              <w:top w:val="single" w:sz="4" w:space="0" w:color="000000"/>
              <w:left w:val="single" w:sz="12" w:space="0" w:color="000000"/>
              <w:bottom w:val="single" w:sz="4" w:space="0" w:color="000000"/>
              <w:right w:val="single" w:sz="12" w:space="0" w:color="000000"/>
            </w:tcBorders>
          </w:tcPr>
          <w:p w14:paraId="267FCB53" w14:textId="343C811C" w:rsidR="00B0429D" w:rsidRDefault="00B0429D" w:rsidP="00B17831">
            <w:pPr>
              <w:spacing w:after="0" w:line="259" w:lineRule="auto"/>
              <w:ind w:left="0" w:right="46" w:firstLine="0"/>
              <w:jc w:val="center"/>
            </w:pPr>
            <w:r>
              <w:rPr>
                <w:sz w:val="18"/>
              </w:rPr>
              <w:t>507</w:t>
            </w:r>
          </w:p>
        </w:tc>
        <w:tc>
          <w:tcPr>
            <w:tcW w:w="630" w:type="dxa"/>
            <w:tcBorders>
              <w:top w:val="single" w:sz="4" w:space="0" w:color="000000"/>
              <w:left w:val="single" w:sz="12" w:space="0" w:color="000000"/>
              <w:bottom w:val="single" w:sz="4" w:space="0" w:color="000000"/>
              <w:right w:val="single" w:sz="12" w:space="0" w:color="000000"/>
            </w:tcBorders>
          </w:tcPr>
          <w:p w14:paraId="0FA7E76D" w14:textId="1031D83B" w:rsidR="00B0429D" w:rsidRDefault="00B0429D" w:rsidP="00B17831">
            <w:pPr>
              <w:spacing w:after="0" w:line="259" w:lineRule="auto"/>
              <w:ind w:left="0" w:right="0" w:firstLine="0"/>
              <w:jc w:val="center"/>
            </w:pPr>
          </w:p>
        </w:tc>
      </w:tr>
      <w:tr w:rsidR="00B0429D" w14:paraId="26D18C15" w14:textId="77777777" w:rsidTr="00C23B62">
        <w:trPr>
          <w:trHeight w:val="250"/>
        </w:trPr>
        <w:tc>
          <w:tcPr>
            <w:tcW w:w="3240" w:type="dxa"/>
            <w:tcBorders>
              <w:top w:val="single" w:sz="4" w:space="0" w:color="000000"/>
              <w:left w:val="single" w:sz="12" w:space="0" w:color="000000"/>
              <w:bottom w:val="single" w:sz="4" w:space="0" w:color="000000"/>
              <w:right w:val="single" w:sz="12" w:space="0" w:color="000000"/>
            </w:tcBorders>
          </w:tcPr>
          <w:p w14:paraId="5FAFD349" w14:textId="77777777" w:rsidR="00B0429D" w:rsidRDefault="00B0429D" w:rsidP="00B0429D">
            <w:pPr>
              <w:spacing w:after="0" w:line="259" w:lineRule="auto"/>
              <w:ind w:left="2" w:right="0" w:firstLine="0"/>
            </w:pPr>
            <w:proofErr w:type="spellStart"/>
            <w:r>
              <w:rPr>
                <w:sz w:val="18"/>
              </w:rPr>
              <w:lastRenderedPageBreak/>
              <w:t>Tebuthiuron</w:t>
            </w:r>
            <w:proofErr w:type="spellEnd"/>
            <w:r>
              <w:rPr>
                <w:sz w:val="18"/>
              </w:rPr>
              <w:t xml:space="preserve"> </w:t>
            </w:r>
          </w:p>
        </w:tc>
        <w:tc>
          <w:tcPr>
            <w:tcW w:w="1326" w:type="dxa"/>
            <w:tcBorders>
              <w:top w:val="single" w:sz="4" w:space="0" w:color="000000"/>
              <w:left w:val="single" w:sz="12" w:space="0" w:color="000000"/>
              <w:bottom w:val="single" w:sz="4" w:space="0" w:color="000000"/>
              <w:right w:val="single" w:sz="12" w:space="0" w:color="000000"/>
            </w:tcBorders>
          </w:tcPr>
          <w:p w14:paraId="77497DB8" w14:textId="634106BB" w:rsidR="00B0429D" w:rsidRDefault="00B0429D" w:rsidP="00B17831">
            <w:pPr>
              <w:spacing w:after="0" w:line="259" w:lineRule="auto"/>
              <w:ind w:left="0" w:right="44" w:firstLine="0"/>
              <w:jc w:val="center"/>
            </w:pPr>
            <w:r>
              <w:rPr>
                <w:sz w:val="18"/>
              </w:rPr>
              <w:t>34014-18-1</w:t>
            </w:r>
          </w:p>
        </w:tc>
        <w:tc>
          <w:tcPr>
            <w:tcW w:w="744" w:type="dxa"/>
            <w:tcBorders>
              <w:top w:val="single" w:sz="4" w:space="0" w:color="000000"/>
              <w:left w:val="single" w:sz="12" w:space="0" w:color="000000"/>
              <w:bottom w:val="single" w:sz="4" w:space="0" w:color="000000"/>
              <w:right w:val="single" w:sz="12" w:space="0" w:color="000000"/>
            </w:tcBorders>
          </w:tcPr>
          <w:p w14:paraId="5968F2C1" w14:textId="50AC0FB8" w:rsidR="00B0429D" w:rsidRDefault="00B0429D" w:rsidP="00B17831">
            <w:pPr>
              <w:tabs>
                <w:tab w:val="center" w:pos="308"/>
              </w:tabs>
              <w:spacing w:after="0" w:line="259" w:lineRule="auto"/>
              <w:ind w:left="0" w:right="0" w:firstLine="0"/>
              <w:jc w:val="center"/>
            </w:pPr>
            <w:r>
              <w:rPr>
                <w:sz w:val="18"/>
              </w:rPr>
              <w:t>10</w:t>
            </w:r>
          </w:p>
        </w:tc>
        <w:tc>
          <w:tcPr>
            <w:tcW w:w="900" w:type="dxa"/>
            <w:tcBorders>
              <w:top w:val="single" w:sz="4" w:space="0" w:color="000000"/>
              <w:left w:val="single" w:sz="12" w:space="0" w:color="000000"/>
              <w:bottom w:val="single" w:sz="4" w:space="0" w:color="000000"/>
              <w:right w:val="single" w:sz="12" w:space="0" w:color="000000"/>
            </w:tcBorders>
          </w:tcPr>
          <w:p w14:paraId="2A35BA25" w14:textId="73E3F33C" w:rsidR="00B0429D" w:rsidRDefault="00B0429D" w:rsidP="00B2651C">
            <w:pPr>
              <w:spacing w:after="0" w:line="259" w:lineRule="auto"/>
              <w:ind w:left="0" w:right="46" w:firstLine="0"/>
              <w:jc w:val="center"/>
            </w:pPr>
            <w:r>
              <w:rPr>
                <w:sz w:val="18"/>
              </w:rPr>
              <w:t>ug/L</w:t>
            </w:r>
          </w:p>
        </w:tc>
        <w:tc>
          <w:tcPr>
            <w:tcW w:w="1080" w:type="dxa"/>
            <w:tcBorders>
              <w:top w:val="single" w:sz="4" w:space="0" w:color="000000"/>
              <w:left w:val="single" w:sz="12" w:space="0" w:color="000000"/>
              <w:bottom w:val="single" w:sz="4" w:space="0" w:color="000000"/>
              <w:right w:val="single" w:sz="12" w:space="0" w:color="000000"/>
            </w:tcBorders>
          </w:tcPr>
          <w:p w14:paraId="6A32E3B9" w14:textId="0AF74C7F" w:rsidR="00B0429D" w:rsidRDefault="00B0429D" w:rsidP="00B17831">
            <w:pPr>
              <w:spacing w:after="0" w:line="259" w:lineRule="auto"/>
              <w:ind w:left="0" w:right="47" w:firstLine="0"/>
              <w:jc w:val="center"/>
            </w:pPr>
            <w:r>
              <w:rPr>
                <w:sz w:val="18"/>
              </w:rPr>
              <w:t>N/A</w:t>
            </w:r>
          </w:p>
        </w:tc>
        <w:tc>
          <w:tcPr>
            <w:tcW w:w="991" w:type="dxa"/>
            <w:tcBorders>
              <w:top w:val="single" w:sz="4" w:space="0" w:color="000000"/>
              <w:left w:val="single" w:sz="12" w:space="0" w:color="000000"/>
              <w:bottom w:val="single" w:sz="4" w:space="0" w:color="000000"/>
              <w:right w:val="single" w:sz="12" w:space="0" w:color="000000"/>
            </w:tcBorders>
          </w:tcPr>
          <w:p w14:paraId="3D571895" w14:textId="4C3E55D0" w:rsidR="00B0429D" w:rsidRDefault="00B0429D" w:rsidP="00B17831">
            <w:pPr>
              <w:spacing w:after="0" w:line="259" w:lineRule="auto"/>
              <w:ind w:left="0" w:right="42" w:firstLine="0"/>
              <w:jc w:val="center"/>
            </w:pPr>
            <w:r>
              <w:rPr>
                <w:sz w:val="18"/>
              </w:rPr>
              <w:t>N/A</w:t>
            </w:r>
          </w:p>
        </w:tc>
        <w:tc>
          <w:tcPr>
            <w:tcW w:w="843" w:type="dxa"/>
            <w:tcBorders>
              <w:top w:val="single" w:sz="4" w:space="0" w:color="000000"/>
              <w:left w:val="single" w:sz="12" w:space="0" w:color="000000"/>
              <w:bottom w:val="single" w:sz="4" w:space="0" w:color="000000"/>
              <w:right w:val="single" w:sz="12" w:space="0" w:color="000000"/>
            </w:tcBorders>
          </w:tcPr>
          <w:p w14:paraId="5156E6F1" w14:textId="0E6EF6D0" w:rsidR="00B0429D" w:rsidRDefault="00B0429D" w:rsidP="00B17831">
            <w:pPr>
              <w:spacing w:after="0" w:line="259" w:lineRule="auto"/>
              <w:ind w:left="0" w:right="45" w:firstLine="0"/>
              <w:jc w:val="center"/>
            </w:pPr>
            <w:r>
              <w:rPr>
                <w:b/>
                <w:sz w:val="18"/>
              </w:rPr>
              <w:t>525.2</w:t>
            </w:r>
          </w:p>
        </w:tc>
        <w:tc>
          <w:tcPr>
            <w:tcW w:w="776" w:type="dxa"/>
            <w:tcBorders>
              <w:top w:val="single" w:sz="4" w:space="0" w:color="000000"/>
              <w:left w:val="single" w:sz="12" w:space="0" w:color="000000"/>
              <w:bottom w:val="single" w:sz="4" w:space="0" w:color="000000"/>
              <w:right w:val="single" w:sz="12" w:space="0" w:color="000000"/>
            </w:tcBorders>
          </w:tcPr>
          <w:p w14:paraId="0DE68B16" w14:textId="51FF52C4" w:rsidR="00B0429D" w:rsidRDefault="00B0429D" w:rsidP="00B17831">
            <w:pPr>
              <w:spacing w:after="0" w:line="259" w:lineRule="auto"/>
              <w:ind w:left="0" w:right="46" w:firstLine="0"/>
              <w:jc w:val="center"/>
            </w:pPr>
            <w:r>
              <w:rPr>
                <w:sz w:val="18"/>
              </w:rPr>
              <w:t>507</w:t>
            </w:r>
          </w:p>
        </w:tc>
        <w:tc>
          <w:tcPr>
            <w:tcW w:w="630" w:type="dxa"/>
            <w:tcBorders>
              <w:top w:val="single" w:sz="4" w:space="0" w:color="000000"/>
              <w:left w:val="single" w:sz="12" w:space="0" w:color="000000"/>
              <w:bottom w:val="single" w:sz="4" w:space="0" w:color="000000"/>
              <w:right w:val="single" w:sz="12" w:space="0" w:color="000000"/>
            </w:tcBorders>
          </w:tcPr>
          <w:p w14:paraId="6072952B" w14:textId="4B1714CD" w:rsidR="00B0429D" w:rsidRDefault="00B0429D" w:rsidP="00B17831">
            <w:pPr>
              <w:spacing w:after="0" w:line="259" w:lineRule="auto"/>
              <w:ind w:left="0" w:right="0" w:firstLine="0"/>
              <w:jc w:val="center"/>
            </w:pPr>
          </w:p>
        </w:tc>
      </w:tr>
      <w:tr w:rsidR="00B0429D" w14:paraId="675B0222" w14:textId="77777777" w:rsidTr="00C23B62">
        <w:trPr>
          <w:trHeight w:val="252"/>
        </w:trPr>
        <w:tc>
          <w:tcPr>
            <w:tcW w:w="3240" w:type="dxa"/>
            <w:tcBorders>
              <w:top w:val="single" w:sz="4" w:space="0" w:color="000000"/>
              <w:left w:val="single" w:sz="12" w:space="0" w:color="000000"/>
              <w:bottom w:val="single" w:sz="4" w:space="0" w:color="000000"/>
              <w:right w:val="single" w:sz="12" w:space="0" w:color="000000"/>
            </w:tcBorders>
          </w:tcPr>
          <w:p w14:paraId="4FF7C5F6" w14:textId="77777777" w:rsidR="00B0429D" w:rsidRDefault="00B0429D" w:rsidP="00B0429D">
            <w:pPr>
              <w:spacing w:after="0" w:line="259" w:lineRule="auto"/>
              <w:ind w:left="2" w:right="0" w:firstLine="0"/>
            </w:pPr>
            <w:proofErr w:type="spellStart"/>
            <w:r>
              <w:rPr>
                <w:sz w:val="18"/>
              </w:rPr>
              <w:t>Terbacil</w:t>
            </w:r>
            <w:proofErr w:type="spellEnd"/>
            <w:r>
              <w:rPr>
                <w:sz w:val="18"/>
              </w:rPr>
              <w:t xml:space="preserve"> </w:t>
            </w:r>
          </w:p>
        </w:tc>
        <w:tc>
          <w:tcPr>
            <w:tcW w:w="1326" w:type="dxa"/>
            <w:tcBorders>
              <w:top w:val="single" w:sz="4" w:space="0" w:color="000000"/>
              <w:left w:val="single" w:sz="12" w:space="0" w:color="000000"/>
              <w:bottom w:val="single" w:sz="4" w:space="0" w:color="000000"/>
              <w:right w:val="single" w:sz="12" w:space="0" w:color="000000"/>
            </w:tcBorders>
          </w:tcPr>
          <w:p w14:paraId="6F726161" w14:textId="4F85D004" w:rsidR="00B0429D" w:rsidRDefault="00B0429D" w:rsidP="00B17831">
            <w:pPr>
              <w:spacing w:after="0" w:line="259" w:lineRule="auto"/>
              <w:ind w:left="0" w:right="44" w:firstLine="0"/>
              <w:jc w:val="center"/>
            </w:pPr>
            <w:r>
              <w:rPr>
                <w:sz w:val="18"/>
              </w:rPr>
              <w:t>5902-51-2</w:t>
            </w:r>
          </w:p>
        </w:tc>
        <w:tc>
          <w:tcPr>
            <w:tcW w:w="744" w:type="dxa"/>
            <w:tcBorders>
              <w:top w:val="single" w:sz="4" w:space="0" w:color="000000"/>
              <w:left w:val="single" w:sz="12" w:space="0" w:color="000000"/>
              <w:bottom w:val="single" w:sz="4" w:space="0" w:color="000000"/>
              <w:right w:val="single" w:sz="12" w:space="0" w:color="000000"/>
            </w:tcBorders>
          </w:tcPr>
          <w:p w14:paraId="120EBF7A" w14:textId="5B8A1799" w:rsidR="00B0429D" w:rsidRDefault="00B0429D" w:rsidP="00B17831">
            <w:pPr>
              <w:tabs>
                <w:tab w:val="center" w:pos="308"/>
              </w:tabs>
              <w:spacing w:after="0" w:line="259" w:lineRule="auto"/>
              <w:ind w:left="0" w:right="0" w:firstLine="0"/>
              <w:jc w:val="center"/>
            </w:pPr>
            <w:r>
              <w:rPr>
                <w:sz w:val="18"/>
              </w:rPr>
              <w:t>10</w:t>
            </w:r>
          </w:p>
        </w:tc>
        <w:tc>
          <w:tcPr>
            <w:tcW w:w="900" w:type="dxa"/>
            <w:tcBorders>
              <w:top w:val="single" w:sz="4" w:space="0" w:color="000000"/>
              <w:left w:val="single" w:sz="12" w:space="0" w:color="000000"/>
              <w:bottom w:val="single" w:sz="4" w:space="0" w:color="000000"/>
              <w:right w:val="single" w:sz="12" w:space="0" w:color="000000"/>
            </w:tcBorders>
          </w:tcPr>
          <w:p w14:paraId="5AD45AE6" w14:textId="5BB822DF" w:rsidR="00B0429D" w:rsidRDefault="00B0429D" w:rsidP="00B2651C">
            <w:pPr>
              <w:spacing w:after="0" w:line="259" w:lineRule="auto"/>
              <w:ind w:left="0" w:right="46" w:firstLine="0"/>
              <w:jc w:val="center"/>
            </w:pPr>
            <w:r>
              <w:rPr>
                <w:sz w:val="18"/>
              </w:rPr>
              <w:t>ug/L</w:t>
            </w:r>
          </w:p>
        </w:tc>
        <w:tc>
          <w:tcPr>
            <w:tcW w:w="1080" w:type="dxa"/>
            <w:tcBorders>
              <w:top w:val="single" w:sz="4" w:space="0" w:color="000000"/>
              <w:left w:val="single" w:sz="12" w:space="0" w:color="000000"/>
              <w:bottom w:val="single" w:sz="4" w:space="0" w:color="000000"/>
              <w:right w:val="single" w:sz="12" w:space="0" w:color="000000"/>
            </w:tcBorders>
          </w:tcPr>
          <w:p w14:paraId="1FB01082" w14:textId="421E9A21" w:rsidR="00B0429D" w:rsidRDefault="00B0429D" w:rsidP="00B17831">
            <w:pPr>
              <w:spacing w:after="0" w:line="259" w:lineRule="auto"/>
              <w:ind w:left="0" w:right="47" w:firstLine="0"/>
              <w:jc w:val="center"/>
            </w:pPr>
            <w:r>
              <w:rPr>
                <w:sz w:val="18"/>
              </w:rPr>
              <w:t>N/A</w:t>
            </w:r>
          </w:p>
        </w:tc>
        <w:tc>
          <w:tcPr>
            <w:tcW w:w="991" w:type="dxa"/>
            <w:tcBorders>
              <w:top w:val="single" w:sz="4" w:space="0" w:color="000000"/>
              <w:left w:val="single" w:sz="12" w:space="0" w:color="000000"/>
              <w:bottom w:val="single" w:sz="4" w:space="0" w:color="000000"/>
              <w:right w:val="single" w:sz="12" w:space="0" w:color="000000"/>
            </w:tcBorders>
          </w:tcPr>
          <w:p w14:paraId="407614BB" w14:textId="2B0BCB04" w:rsidR="00B0429D" w:rsidRDefault="00B0429D" w:rsidP="00B17831">
            <w:pPr>
              <w:spacing w:after="0" w:line="259" w:lineRule="auto"/>
              <w:ind w:left="0" w:right="42" w:firstLine="0"/>
              <w:jc w:val="center"/>
            </w:pPr>
            <w:r>
              <w:rPr>
                <w:sz w:val="18"/>
              </w:rPr>
              <w:t>N/A</w:t>
            </w:r>
          </w:p>
        </w:tc>
        <w:tc>
          <w:tcPr>
            <w:tcW w:w="843" w:type="dxa"/>
            <w:tcBorders>
              <w:top w:val="single" w:sz="4" w:space="0" w:color="000000"/>
              <w:left w:val="single" w:sz="12" w:space="0" w:color="000000"/>
              <w:bottom w:val="single" w:sz="4" w:space="0" w:color="000000"/>
              <w:right w:val="single" w:sz="12" w:space="0" w:color="000000"/>
            </w:tcBorders>
          </w:tcPr>
          <w:p w14:paraId="0D062B0B" w14:textId="7E7828EC" w:rsidR="00B0429D" w:rsidRDefault="00B0429D" w:rsidP="00B17831">
            <w:pPr>
              <w:spacing w:after="0" w:line="259" w:lineRule="auto"/>
              <w:ind w:left="0" w:right="45" w:firstLine="0"/>
              <w:jc w:val="center"/>
            </w:pPr>
            <w:r>
              <w:rPr>
                <w:b/>
                <w:sz w:val="18"/>
              </w:rPr>
              <w:t>525.2</w:t>
            </w:r>
          </w:p>
        </w:tc>
        <w:tc>
          <w:tcPr>
            <w:tcW w:w="776" w:type="dxa"/>
            <w:tcBorders>
              <w:top w:val="single" w:sz="4" w:space="0" w:color="000000"/>
              <w:left w:val="single" w:sz="12" w:space="0" w:color="000000"/>
              <w:bottom w:val="single" w:sz="4" w:space="0" w:color="000000"/>
              <w:right w:val="single" w:sz="12" w:space="0" w:color="000000"/>
            </w:tcBorders>
          </w:tcPr>
          <w:p w14:paraId="40AE080F" w14:textId="62C6E915" w:rsidR="00B0429D" w:rsidRDefault="00B0429D" w:rsidP="00B17831">
            <w:pPr>
              <w:spacing w:after="0" w:line="259" w:lineRule="auto"/>
              <w:ind w:left="0" w:right="46" w:firstLine="0"/>
              <w:jc w:val="center"/>
            </w:pPr>
            <w:r>
              <w:rPr>
                <w:sz w:val="18"/>
              </w:rPr>
              <w:t>507</w:t>
            </w:r>
          </w:p>
        </w:tc>
        <w:tc>
          <w:tcPr>
            <w:tcW w:w="630" w:type="dxa"/>
            <w:tcBorders>
              <w:top w:val="single" w:sz="4" w:space="0" w:color="000000"/>
              <w:left w:val="single" w:sz="12" w:space="0" w:color="000000"/>
              <w:bottom w:val="single" w:sz="4" w:space="0" w:color="000000"/>
              <w:right w:val="single" w:sz="12" w:space="0" w:color="000000"/>
            </w:tcBorders>
          </w:tcPr>
          <w:p w14:paraId="6F77F0BA" w14:textId="03E8B482" w:rsidR="00B0429D" w:rsidRDefault="00B0429D" w:rsidP="00B17831">
            <w:pPr>
              <w:spacing w:after="0" w:line="259" w:lineRule="auto"/>
              <w:ind w:left="0" w:right="0" w:firstLine="0"/>
              <w:jc w:val="center"/>
            </w:pPr>
          </w:p>
        </w:tc>
      </w:tr>
      <w:tr w:rsidR="00B0429D" w14:paraId="4A87B4A7" w14:textId="77777777" w:rsidTr="00C23B62">
        <w:trPr>
          <w:trHeight w:val="250"/>
        </w:trPr>
        <w:tc>
          <w:tcPr>
            <w:tcW w:w="3240" w:type="dxa"/>
            <w:tcBorders>
              <w:top w:val="single" w:sz="4" w:space="0" w:color="000000"/>
              <w:left w:val="single" w:sz="12" w:space="0" w:color="000000"/>
              <w:bottom w:val="single" w:sz="4" w:space="0" w:color="000000"/>
              <w:right w:val="single" w:sz="12" w:space="0" w:color="000000"/>
            </w:tcBorders>
          </w:tcPr>
          <w:p w14:paraId="296DC837" w14:textId="61581011" w:rsidR="00B0429D" w:rsidRDefault="00B0429D" w:rsidP="00B0429D">
            <w:pPr>
              <w:spacing w:after="0" w:line="259" w:lineRule="auto"/>
              <w:ind w:left="2" w:right="0" w:firstLine="0"/>
            </w:pPr>
            <w:proofErr w:type="spellStart"/>
            <w:r>
              <w:rPr>
                <w:sz w:val="18"/>
              </w:rPr>
              <w:t>Terbufos</w:t>
            </w:r>
            <w:proofErr w:type="spellEnd"/>
            <w:r>
              <w:rPr>
                <w:sz w:val="18"/>
              </w:rPr>
              <w:t xml:space="preserve"> (</w:t>
            </w:r>
            <w:r>
              <w:rPr>
                <w:i/>
                <w:sz w:val="18"/>
              </w:rPr>
              <w:t xml:space="preserve">Counter) </w:t>
            </w:r>
          </w:p>
        </w:tc>
        <w:tc>
          <w:tcPr>
            <w:tcW w:w="1326" w:type="dxa"/>
            <w:tcBorders>
              <w:top w:val="single" w:sz="4" w:space="0" w:color="000000"/>
              <w:left w:val="single" w:sz="12" w:space="0" w:color="000000"/>
              <w:bottom w:val="single" w:sz="4" w:space="0" w:color="000000"/>
              <w:right w:val="single" w:sz="12" w:space="0" w:color="000000"/>
            </w:tcBorders>
          </w:tcPr>
          <w:p w14:paraId="73A6B51A" w14:textId="11618598" w:rsidR="00B0429D" w:rsidRDefault="00B0429D" w:rsidP="00B17831">
            <w:pPr>
              <w:spacing w:after="0" w:line="259" w:lineRule="auto"/>
              <w:ind w:left="0" w:right="44" w:firstLine="0"/>
              <w:jc w:val="center"/>
            </w:pPr>
            <w:r>
              <w:rPr>
                <w:sz w:val="18"/>
              </w:rPr>
              <w:t>13071-79-9</w:t>
            </w:r>
          </w:p>
        </w:tc>
        <w:tc>
          <w:tcPr>
            <w:tcW w:w="744" w:type="dxa"/>
            <w:tcBorders>
              <w:top w:val="single" w:sz="4" w:space="0" w:color="000000"/>
              <w:left w:val="single" w:sz="12" w:space="0" w:color="000000"/>
              <w:bottom w:val="single" w:sz="4" w:space="0" w:color="000000"/>
              <w:right w:val="single" w:sz="12" w:space="0" w:color="000000"/>
            </w:tcBorders>
          </w:tcPr>
          <w:p w14:paraId="5D7E9F74" w14:textId="654ECBB1" w:rsidR="00B0429D" w:rsidRDefault="00B0429D" w:rsidP="00B17831">
            <w:pPr>
              <w:tabs>
                <w:tab w:val="center" w:pos="399"/>
              </w:tabs>
              <w:spacing w:after="0" w:line="259" w:lineRule="auto"/>
              <w:ind w:left="0" w:right="0" w:firstLine="0"/>
              <w:jc w:val="center"/>
            </w:pPr>
            <w:r>
              <w:rPr>
                <w:sz w:val="18"/>
              </w:rPr>
              <w:t>0.5</w:t>
            </w:r>
          </w:p>
        </w:tc>
        <w:tc>
          <w:tcPr>
            <w:tcW w:w="900" w:type="dxa"/>
            <w:tcBorders>
              <w:top w:val="single" w:sz="4" w:space="0" w:color="000000"/>
              <w:left w:val="single" w:sz="12" w:space="0" w:color="000000"/>
              <w:bottom w:val="single" w:sz="4" w:space="0" w:color="000000"/>
              <w:right w:val="single" w:sz="12" w:space="0" w:color="000000"/>
            </w:tcBorders>
          </w:tcPr>
          <w:p w14:paraId="5DB80C77" w14:textId="1AE93D57" w:rsidR="00B0429D" w:rsidRDefault="00B0429D" w:rsidP="00B2651C">
            <w:pPr>
              <w:spacing w:after="0" w:line="259" w:lineRule="auto"/>
              <w:ind w:left="0" w:right="46" w:firstLine="0"/>
              <w:jc w:val="center"/>
            </w:pPr>
            <w:r>
              <w:rPr>
                <w:sz w:val="18"/>
              </w:rPr>
              <w:t>ug/L</w:t>
            </w:r>
          </w:p>
        </w:tc>
        <w:tc>
          <w:tcPr>
            <w:tcW w:w="1080" w:type="dxa"/>
            <w:tcBorders>
              <w:top w:val="single" w:sz="4" w:space="0" w:color="000000"/>
              <w:left w:val="single" w:sz="12" w:space="0" w:color="000000"/>
              <w:bottom w:val="single" w:sz="4" w:space="0" w:color="000000"/>
              <w:right w:val="single" w:sz="12" w:space="0" w:color="000000"/>
            </w:tcBorders>
          </w:tcPr>
          <w:p w14:paraId="78C31D93" w14:textId="00E2E5A3" w:rsidR="00B0429D" w:rsidRDefault="00B0429D" w:rsidP="00B17831">
            <w:pPr>
              <w:spacing w:after="0" w:line="259" w:lineRule="auto"/>
              <w:ind w:left="0" w:right="47" w:firstLine="0"/>
              <w:jc w:val="center"/>
            </w:pPr>
            <w:r>
              <w:rPr>
                <w:sz w:val="18"/>
              </w:rPr>
              <w:t>N/A</w:t>
            </w:r>
          </w:p>
        </w:tc>
        <w:tc>
          <w:tcPr>
            <w:tcW w:w="991" w:type="dxa"/>
            <w:tcBorders>
              <w:top w:val="single" w:sz="4" w:space="0" w:color="000000"/>
              <w:left w:val="single" w:sz="12" w:space="0" w:color="000000"/>
              <w:bottom w:val="single" w:sz="4" w:space="0" w:color="000000"/>
              <w:right w:val="single" w:sz="12" w:space="0" w:color="000000"/>
            </w:tcBorders>
          </w:tcPr>
          <w:p w14:paraId="70528344" w14:textId="1B904614" w:rsidR="00B0429D" w:rsidRDefault="00B0429D" w:rsidP="00B17831">
            <w:pPr>
              <w:spacing w:after="0" w:line="259" w:lineRule="auto"/>
              <w:ind w:left="0" w:right="42" w:firstLine="0"/>
              <w:jc w:val="center"/>
            </w:pPr>
            <w:r>
              <w:rPr>
                <w:sz w:val="18"/>
              </w:rPr>
              <w:t>N/A</w:t>
            </w:r>
          </w:p>
        </w:tc>
        <w:tc>
          <w:tcPr>
            <w:tcW w:w="843" w:type="dxa"/>
            <w:tcBorders>
              <w:top w:val="single" w:sz="4" w:space="0" w:color="000000"/>
              <w:left w:val="single" w:sz="12" w:space="0" w:color="000000"/>
              <w:bottom w:val="single" w:sz="4" w:space="0" w:color="000000"/>
              <w:right w:val="single" w:sz="12" w:space="0" w:color="000000"/>
            </w:tcBorders>
          </w:tcPr>
          <w:p w14:paraId="2882B314" w14:textId="08DD3906" w:rsidR="00B0429D" w:rsidRDefault="00B0429D" w:rsidP="00B17831">
            <w:pPr>
              <w:spacing w:after="0" w:line="259" w:lineRule="auto"/>
              <w:ind w:left="0" w:right="45" w:firstLine="0"/>
              <w:jc w:val="center"/>
            </w:pPr>
            <w:r>
              <w:rPr>
                <w:b/>
                <w:sz w:val="18"/>
              </w:rPr>
              <w:t>525.2</w:t>
            </w:r>
          </w:p>
        </w:tc>
        <w:tc>
          <w:tcPr>
            <w:tcW w:w="776" w:type="dxa"/>
            <w:tcBorders>
              <w:top w:val="single" w:sz="4" w:space="0" w:color="000000"/>
              <w:left w:val="single" w:sz="12" w:space="0" w:color="000000"/>
              <w:bottom w:val="single" w:sz="4" w:space="0" w:color="000000"/>
              <w:right w:val="single" w:sz="12" w:space="0" w:color="000000"/>
            </w:tcBorders>
          </w:tcPr>
          <w:p w14:paraId="391CC4FB" w14:textId="29E14C4C" w:rsidR="00B0429D" w:rsidRDefault="00B0429D" w:rsidP="00B17831">
            <w:pPr>
              <w:spacing w:after="0" w:line="259" w:lineRule="auto"/>
              <w:ind w:left="0" w:right="46" w:firstLine="0"/>
              <w:jc w:val="center"/>
            </w:pPr>
            <w:r>
              <w:rPr>
                <w:sz w:val="18"/>
              </w:rPr>
              <w:t>507</w:t>
            </w:r>
          </w:p>
        </w:tc>
        <w:tc>
          <w:tcPr>
            <w:tcW w:w="630" w:type="dxa"/>
            <w:tcBorders>
              <w:top w:val="single" w:sz="4" w:space="0" w:color="000000"/>
              <w:left w:val="single" w:sz="12" w:space="0" w:color="000000"/>
              <w:bottom w:val="single" w:sz="4" w:space="0" w:color="000000"/>
              <w:right w:val="single" w:sz="12" w:space="0" w:color="000000"/>
            </w:tcBorders>
          </w:tcPr>
          <w:p w14:paraId="1FBDAC4C" w14:textId="4338C8C7" w:rsidR="00B0429D" w:rsidRDefault="00B0429D" w:rsidP="00B17831">
            <w:pPr>
              <w:spacing w:after="0" w:line="259" w:lineRule="auto"/>
              <w:ind w:left="0" w:right="0" w:firstLine="0"/>
              <w:jc w:val="center"/>
            </w:pPr>
          </w:p>
        </w:tc>
      </w:tr>
      <w:tr w:rsidR="00B0429D" w14:paraId="47C8439C" w14:textId="77777777" w:rsidTr="00C23B62">
        <w:trPr>
          <w:trHeight w:val="250"/>
        </w:trPr>
        <w:tc>
          <w:tcPr>
            <w:tcW w:w="3240" w:type="dxa"/>
            <w:tcBorders>
              <w:top w:val="single" w:sz="4" w:space="0" w:color="000000"/>
              <w:left w:val="single" w:sz="12" w:space="0" w:color="000000"/>
              <w:bottom w:val="single" w:sz="4" w:space="0" w:color="000000"/>
              <w:right w:val="single" w:sz="12" w:space="0" w:color="000000"/>
            </w:tcBorders>
          </w:tcPr>
          <w:p w14:paraId="532A4ABA" w14:textId="77777777" w:rsidR="00B0429D" w:rsidRDefault="00B0429D" w:rsidP="00B0429D">
            <w:pPr>
              <w:spacing w:after="0" w:line="259" w:lineRule="auto"/>
              <w:ind w:left="2" w:right="0" w:firstLine="0"/>
            </w:pPr>
            <w:proofErr w:type="spellStart"/>
            <w:r>
              <w:rPr>
                <w:sz w:val="18"/>
              </w:rPr>
              <w:t>Terbutryn</w:t>
            </w:r>
            <w:proofErr w:type="spellEnd"/>
            <w:r>
              <w:rPr>
                <w:sz w:val="18"/>
              </w:rPr>
              <w:t xml:space="preserve"> </w:t>
            </w:r>
          </w:p>
        </w:tc>
        <w:tc>
          <w:tcPr>
            <w:tcW w:w="1326" w:type="dxa"/>
            <w:tcBorders>
              <w:top w:val="single" w:sz="4" w:space="0" w:color="000000"/>
              <w:left w:val="single" w:sz="12" w:space="0" w:color="000000"/>
              <w:bottom w:val="single" w:sz="4" w:space="0" w:color="000000"/>
              <w:right w:val="single" w:sz="12" w:space="0" w:color="000000"/>
            </w:tcBorders>
          </w:tcPr>
          <w:p w14:paraId="1881962B" w14:textId="747B4F39" w:rsidR="00B0429D" w:rsidRDefault="00B0429D" w:rsidP="00B17831">
            <w:pPr>
              <w:spacing w:after="0" w:line="259" w:lineRule="auto"/>
              <w:ind w:left="0" w:right="44" w:firstLine="0"/>
              <w:jc w:val="center"/>
            </w:pPr>
            <w:r>
              <w:rPr>
                <w:sz w:val="18"/>
              </w:rPr>
              <w:t>886-50-0</w:t>
            </w:r>
          </w:p>
        </w:tc>
        <w:tc>
          <w:tcPr>
            <w:tcW w:w="744" w:type="dxa"/>
            <w:tcBorders>
              <w:top w:val="single" w:sz="4" w:space="0" w:color="000000"/>
              <w:left w:val="single" w:sz="12" w:space="0" w:color="000000"/>
              <w:bottom w:val="single" w:sz="4" w:space="0" w:color="000000"/>
              <w:right w:val="single" w:sz="12" w:space="0" w:color="000000"/>
            </w:tcBorders>
          </w:tcPr>
          <w:p w14:paraId="3E6AA5DF" w14:textId="399B2675" w:rsidR="00B0429D" w:rsidRDefault="00B0429D" w:rsidP="00B17831">
            <w:pPr>
              <w:tabs>
                <w:tab w:val="center" w:pos="354"/>
              </w:tabs>
              <w:spacing w:after="0" w:line="259" w:lineRule="auto"/>
              <w:ind w:left="0" w:right="0" w:firstLine="0"/>
              <w:jc w:val="center"/>
            </w:pPr>
            <w:r>
              <w:rPr>
                <w:sz w:val="18"/>
              </w:rPr>
              <w:t>3</w:t>
            </w:r>
          </w:p>
        </w:tc>
        <w:tc>
          <w:tcPr>
            <w:tcW w:w="900" w:type="dxa"/>
            <w:tcBorders>
              <w:top w:val="single" w:sz="4" w:space="0" w:color="000000"/>
              <w:left w:val="single" w:sz="12" w:space="0" w:color="000000"/>
              <w:bottom w:val="single" w:sz="4" w:space="0" w:color="000000"/>
              <w:right w:val="single" w:sz="12" w:space="0" w:color="000000"/>
            </w:tcBorders>
          </w:tcPr>
          <w:p w14:paraId="1C6A22F9" w14:textId="101F2DF3" w:rsidR="00B0429D" w:rsidRDefault="00B0429D" w:rsidP="00B2651C">
            <w:pPr>
              <w:spacing w:after="0" w:line="259" w:lineRule="auto"/>
              <w:ind w:left="0" w:right="46" w:firstLine="0"/>
              <w:jc w:val="center"/>
            </w:pPr>
            <w:r>
              <w:rPr>
                <w:sz w:val="18"/>
              </w:rPr>
              <w:t>ug/L</w:t>
            </w:r>
          </w:p>
        </w:tc>
        <w:tc>
          <w:tcPr>
            <w:tcW w:w="1080" w:type="dxa"/>
            <w:tcBorders>
              <w:top w:val="single" w:sz="4" w:space="0" w:color="000000"/>
              <w:left w:val="single" w:sz="12" w:space="0" w:color="000000"/>
              <w:bottom w:val="single" w:sz="4" w:space="0" w:color="000000"/>
              <w:right w:val="single" w:sz="12" w:space="0" w:color="000000"/>
            </w:tcBorders>
          </w:tcPr>
          <w:p w14:paraId="2ECC5E75" w14:textId="173275C8" w:rsidR="00B0429D" w:rsidRDefault="00B0429D" w:rsidP="00B17831">
            <w:pPr>
              <w:spacing w:after="0" w:line="259" w:lineRule="auto"/>
              <w:ind w:left="0" w:right="47" w:firstLine="0"/>
              <w:jc w:val="center"/>
            </w:pPr>
            <w:r>
              <w:rPr>
                <w:sz w:val="18"/>
              </w:rPr>
              <w:t>N/A</w:t>
            </w:r>
          </w:p>
        </w:tc>
        <w:tc>
          <w:tcPr>
            <w:tcW w:w="991" w:type="dxa"/>
            <w:tcBorders>
              <w:top w:val="single" w:sz="4" w:space="0" w:color="000000"/>
              <w:left w:val="single" w:sz="12" w:space="0" w:color="000000"/>
              <w:bottom w:val="single" w:sz="4" w:space="0" w:color="000000"/>
              <w:right w:val="single" w:sz="12" w:space="0" w:color="000000"/>
            </w:tcBorders>
          </w:tcPr>
          <w:p w14:paraId="71508A97" w14:textId="05DD3D78" w:rsidR="00B0429D" w:rsidRDefault="00B0429D" w:rsidP="00B17831">
            <w:pPr>
              <w:spacing w:after="0" w:line="259" w:lineRule="auto"/>
              <w:ind w:left="0" w:right="42" w:firstLine="0"/>
              <w:jc w:val="center"/>
            </w:pPr>
            <w:r>
              <w:rPr>
                <w:sz w:val="18"/>
              </w:rPr>
              <w:t>N/A</w:t>
            </w:r>
          </w:p>
        </w:tc>
        <w:tc>
          <w:tcPr>
            <w:tcW w:w="843" w:type="dxa"/>
            <w:tcBorders>
              <w:top w:val="single" w:sz="4" w:space="0" w:color="000000"/>
              <w:left w:val="single" w:sz="12" w:space="0" w:color="000000"/>
              <w:bottom w:val="single" w:sz="4" w:space="0" w:color="000000"/>
              <w:right w:val="single" w:sz="12" w:space="0" w:color="000000"/>
            </w:tcBorders>
          </w:tcPr>
          <w:p w14:paraId="39E1A5C3" w14:textId="138BE6D5" w:rsidR="00B0429D" w:rsidRDefault="00B0429D" w:rsidP="00B17831">
            <w:pPr>
              <w:spacing w:after="0" w:line="259" w:lineRule="auto"/>
              <w:ind w:left="0" w:right="45" w:firstLine="0"/>
              <w:jc w:val="center"/>
            </w:pPr>
            <w:r>
              <w:rPr>
                <w:b/>
                <w:sz w:val="18"/>
              </w:rPr>
              <w:t>525.2</w:t>
            </w:r>
          </w:p>
        </w:tc>
        <w:tc>
          <w:tcPr>
            <w:tcW w:w="776" w:type="dxa"/>
            <w:tcBorders>
              <w:top w:val="single" w:sz="4" w:space="0" w:color="000000"/>
              <w:left w:val="single" w:sz="12" w:space="0" w:color="000000"/>
              <w:bottom w:val="single" w:sz="4" w:space="0" w:color="000000"/>
              <w:right w:val="single" w:sz="12" w:space="0" w:color="000000"/>
            </w:tcBorders>
          </w:tcPr>
          <w:p w14:paraId="20A0FAB1" w14:textId="792342BB" w:rsidR="00B0429D" w:rsidRDefault="00B0429D" w:rsidP="00B17831">
            <w:pPr>
              <w:spacing w:after="0" w:line="259" w:lineRule="auto"/>
              <w:ind w:left="0" w:right="46" w:firstLine="0"/>
              <w:jc w:val="center"/>
            </w:pPr>
            <w:r>
              <w:rPr>
                <w:sz w:val="18"/>
              </w:rPr>
              <w:t>507</w:t>
            </w:r>
          </w:p>
        </w:tc>
        <w:tc>
          <w:tcPr>
            <w:tcW w:w="630" w:type="dxa"/>
            <w:tcBorders>
              <w:top w:val="single" w:sz="4" w:space="0" w:color="000000"/>
              <w:left w:val="single" w:sz="12" w:space="0" w:color="000000"/>
              <w:bottom w:val="single" w:sz="4" w:space="0" w:color="000000"/>
              <w:right w:val="single" w:sz="12" w:space="0" w:color="000000"/>
            </w:tcBorders>
          </w:tcPr>
          <w:p w14:paraId="5ABE0B67" w14:textId="58C3F977" w:rsidR="00B0429D" w:rsidRDefault="00B0429D" w:rsidP="00B17831">
            <w:pPr>
              <w:spacing w:after="0" w:line="259" w:lineRule="auto"/>
              <w:ind w:left="0" w:right="0" w:firstLine="0"/>
              <w:jc w:val="center"/>
            </w:pPr>
          </w:p>
        </w:tc>
      </w:tr>
      <w:tr w:rsidR="00B0429D" w14:paraId="01200588" w14:textId="77777777" w:rsidTr="00C23B62">
        <w:trPr>
          <w:trHeight w:val="250"/>
        </w:trPr>
        <w:tc>
          <w:tcPr>
            <w:tcW w:w="3240" w:type="dxa"/>
            <w:tcBorders>
              <w:top w:val="single" w:sz="4" w:space="0" w:color="000000"/>
              <w:left w:val="single" w:sz="12" w:space="0" w:color="000000"/>
              <w:bottom w:val="single" w:sz="4" w:space="0" w:color="000000"/>
              <w:right w:val="single" w:sz="12" w:space="0" w:color="000000"/>
            </w:tcBorders>
          </w:tcPr>
          <w:p w14:paraId="68D6A5AA" w14:textId="77777777" w:rsidR="00B0429D" w:rsidRDefault="00B0429D" w:rsidP="00B0429D">
            <w:pPr>
              <w:spacing w:after="0" w:line="259" w:lineRule="auto"/>
              <w:ind w:left="2" w:right="0" w:firstLine="0"/>
            </w:pPr>
            <w:proofErr w:type="spellStart"/>
            <w:r>
              <w:rPr>
                <w:sz w:val="18"/>
              </w:rPr>
              <w:t>Triademefon</w:t>
            </w:r>
            <w:proofErr w:type="spellEnd"/>
            <w:r>
              <w:rPr>
                <w:sz w:val="18"/>
              </w:rPr>
              <w:t xml:space="preserve"> </w:t>
            </w:r>
          </w:p>
        </w:tc>
        <w:tc>
          <w:tcPr>
            <w:tcW w:w="1326" w:type="dxa"/>
            <w:tcBorders>
              <w:top w:val="single" w:sz="4" w:space="0" w:color="000000"/>
              <w:left w:val="single" w:sz="12" w:space="0" w:color="000000"/>
              <w:bottom w:val="single" w:sz="4" w:space="0" w:color="000000"/>
              <w:right w:val="single" w:sz="12" w:space="0" w:color="000000"/>
            </w:tcBorders>
          </w:tcPr>
          <w:p w14:paraId="0D9E5D7A" w14:textId="71463C0B" w:rsidR="00B0429D" w:rsidRDefault="00B0429D" w:rsidP="00B17831">
            <w:pPr>
              <w:spacing w:after="0" w:line="259" w:lineRule="auto"/>
              <w:ind w:left="0" w:right="44" w:firstLine="0"/>
              <w:jc w:val="center"/>
            </w:pPr>
            <w:r>
              <w:rPr>
                <w:sz w:val="18"/>
              </w:rPr>
              <w:t>43121-43-3</w:t>
            </w:r>
          </w:p>
        </w:tc>
        <w:tc>
          <w:tcPr>
            <w:tcW w:w="744" w:type="dxa"/>
            <w:tcBorders>
              <w:top w:val="single" w:sz="4" w:space="0" w:color="000000"/>
              <w:left w:val="single" w:sz="12" w:space="0" w:color="000000"/>
              <w:bottom w:val="single" w:sz="4" w:space="0" w:color="000000"/>
              <w:right w:val="single" w:sz="12" w:space="0" w:color="000000"/>
            </w:tcBorders>
          </w:tcPr>
          <w:p w14:paraId="0F74C852" w14:textId="2E7A6ED4" w:rsidR="00B0429D" w:rsidRDefault="00B0429D" w:rsidP="00B17831">
            <w:pPr>
              <w:tabs>
                <w:tab w:val="center" w:pos="354"/>
              </w:tabs>
              <w:spacing w:after="0" w:line="259" w:lineRule="auto"/>
              <w:ind w:left="0" w:right="0" w:firstLine="0"/>
              <w:jc w:val="center"/>
            </w:pPr>
            <w:r>
              <w:rPr>
                <w:sz w:val="18"/>
              </w:rPr>
              <w:t>3</w:t>
            </w:r>
          </w:p>
        </w:tc>
        <w:tc>
          <w:tcPr>
            <w:tcW w:w="900" w:type="dxa"/>
            <w:tcBorders>
              <w:top w:val="single" w:sz="4" w:space="0" w:color="000000"/>
              <w:left w:val="single" w:sz="12" w:space="0" w:color="000000"/>
              <w:bottom w:val="single" w:sz="4" w:space="0" w:color="000000"/>
              <w:right w:val="single" w:sz="12" w:space="0" w:color="000000"/>
            </w:tcBorders>
          </w:tcPr>
          <w:p w14:paraId="0E35B1B5" w14:textId="29FA862C" w:rsidR="00B0429D" w:rsidRDefault="00B0429D" w:rsidP="00B2651C">
            <w:pPr>
              <w:spacing w:after="0" w:line="259" w:lineRule="auto"/>
              <w:ind w:left="0" w:right="46" w:firstLine="0"/>
              <w:jc w:val="center"/>
            </w:pPr>
            <w:r>
              <w:rPr>
                <w:sz w:val="18"/>
              </w:rPr>
              <w:t>ug/L</w:t>
            </w:r>
          </w:p>
        </w:tc>
        <w:tc>
          <w:tcPr>
            <w:tcW w:w="1080" w:type="dxa"/>
            <w:tcBorders>
              <w:top w:val="single" w:sz="4" w:space="0" w:color="000000"/>
              <w:left w:val="single" w:sz="12" w:space="0" w:color="000000"/>
              <w:bottom w:val="single" w:sz="4" w:space="0" w:color="000000"/>
              <w:right w:val="single" w:sz="12" w:space="0" w:color="000000"/>
            </w:tcBorders>
          </w:tcPr>
          <w:p w14:paraId="3CEF1DE8" w14:textId="0AFA0095" w:rsidR="00B0429D" w:rsidRDefault="00B0429D" w:rsidP="00B17831">
            <w:pPr>
              <w:spacing w:after="0" w:line="259" w:lineRule="auto"/>
              <w:ind w:left="0" w:right="47" w:firstLine="0"/>
              <w:jc w:val="center"/>
            </w:pPr>
            <w:r>
              <w:rPr>
                <w:sz w:val="18"/>
              </w:rPr>
              <w:t>N/A</w:t>
            </w:r>
          </w:p>
        </w:tc>
        <w:tc>
          <w:tcPr>
            <w:tcW w:w="991" w:type="dxa"/>
            <w:tcBorders>
              <w:top w:val="single" w:sz="4" w:space="0" w:color="000000"/>
              <w:left w:val="single" w:sz="12" w:space="0" w:color="000000"/>
              <w:bottom w:val="single" w:sz="4" w:space="0" w:color="000000"/>
              <w:right w:val="single" w:sz="12" w:space="0" w:color="000000"/>
            </w:tcBorders>
          </w:tcPr>
          <w:p w14:paraId="3C5B2D1D" w14:textId="33F50941" w:rsidR="00B0429D" w:rsidRDefault="00B0429D" w:rsidP="00B17831">
            <w:pPr>
              <w:spacing w:after="0" w:line="259" w:lineRule="auto"/>
              <w:ind w:left="0" w:right="42" w:firstLine="0"/>
              <w:jc w:val="center"/>
            </w:pPr>
            <w:r>
              <w:rPr>
                <w:sz w:val="18"/>
              </w:rPr>
              <w:t>N/A</w:t>
            </w:r>
          </w:p>
        </w:tc>
        <w:tc>
          <w:tcPr>
            <w:tcW w:w="843" w:type="dxa"/>
            <w:tcBorders>
              <w:top w:val="single" w:sz="4" w:space="0" w:color="000000"/>
              <w:left w:val="single" w:sz="12" w:space="0" w:color="000000"/>
              <w:bottom w:val="single" w:sz="4" w:space="0" w:color="000000"/>
              <w:right w:val="single" w:sz="12" w:space="0" w:color="000000"/>
            </w:tcBorders>
          </w:tcPr>
          <w:p w14:paraId="10DE9797" w14:textId="5A70D422" w:rsidR="00B0429D" w:rsidRDefault="00B0429D" w:rsidP="00B17831">
            <w:pPr>
              <w:spacing w:after="0" w:line="259" w:lineRule="auto"/>
              <w:ind w:left="0" w:right="45" w:firstLine="0"/>
              <w:jc w:val="center"/>
            </w:pPr>
            <w:r>
              <w:rPr>
                <w:b/>
                <w:sz w:val="18"/>
              </w:rPr>
              <w:t>525.2</w:t>
            </w:r>
          </w:p>
        </w:tc>
        <w:tc>
          <w:tcPr>
            <w:tcW w:w="776" w:type="dxa"/>
            <w:tcBorders>
              <w:top w:val="single" w:sz="4" w:space="0" w:color="000000"/>
              <w:left w:val="single" w:sz="12" w:space="0" w:color="000000"/>
              <w:bottom w:val="single" w:sz="4" w:space="0" w:color="000000"/>
              <w:right w:val="single" w:sz="12" w:space="0" w:color="000000"/>
            </w:tcBorders>
          </w:tcPr>
          <w:p w14:paraId="466A3E77" w14:textId="35870E2B" w:rsidR="00B0429D" w:rsidRDefault="00B0429D" w:rsidP="00B17831">
            <w:pPr>
              <w:spacing w:after="0" w:line="259" w:lineRule="auto"/>
              <w:ind w:left="0" w:right="46" w:firstLine="0"/>
              <w:jc w:val="center"/>
            </w:pPr>
            <w:r>
              <w:rPr>
                <w:sz w:val="18"/>
              </w:rPr>
              <w:t>507</w:t>
            </w:r>
          </w:p>
        </w:tc>
        <w:tc>
          <w:tcPr>
            <w:tcW w:w="630" w:type="dxa"/>
            <w:tcBorders>
              <w:top w:val="single" w:sz="4" w:space="0" w:color="000000"/>
              <w:left w:val="single" w:sz="12" w:space="0" w:color="000000"/>
              <w:bottom w:val="single" w:sz="4" w:space="0" w:color="000000"/>
              <w:right w:val="single" w:sz="12" w:space="0" w:color="000000"/>
            </w:tcBorders>
          </w:tcPr>
          <w:p w14:paraId="74EB476D" w14:textId="19375E17" w:rsidR="00B0429D" w:rsidRDefault="00B0429D" w:rsidP="00B17831">
            <w:pPr>
              <w:spacing w:after="0" w:line="259" w:lineRule="auto"/>
              <w:ind w:left="0" w:right="0" w:firstLine="0"/>
              <w:jc w:val="center"/>
            </w:pPr>
          </w:p>
        </w:tc>
      </w:tr>
      <w:tr w:rsidR="00B0429D" w14:paraId="19E2ED65" w14:textId="77777777" w:rsidTr="00C23B62">
        <w:trPr>
          <w:trHeight w:val="250"/>
        </w:trPr>
        <w:tc>
          <w:tcPr>
            <w:tcW w:w="3240" w:type="dxa"/>
            <w:tcBorders>
              <w:top w:val="single" w:sz="4" w:space="0" w:color="000000"/>
              <w:left w:val="single" w:sz="12" w:space="0" w:color="000000"/>
              <w:bottom w:val="single" w:sz="4" w:space="0" w:color="000000"/>
              <w:right w:val="single" w:sz="12" w:space="0" w:color="000000"/>
            </w:tcBorders>
          </w:tcPr>
          <w:p w14:paraId="4480D94B" w14:textId="77777777" w:rsidR="00B0429D" w:rsidRDefault="00B0429D" w:rsidP="00B0429D">
            <w:pPr>
              <w:spacing w:after="0" w:line="259" w:lineRule="auto"/>
              <w:ind w:left="2" w:right="0" w:firstLine="0"/>
            </w:pPr>
            <w:r>
              <w:rPr>
                <w:sz w:val="18"/>
              </w:rPr>
              <w:t xml:space="preserve">Tricyclazole </w:t>
            </w:r>
          </w:p>
        </w:tc>
        <w:tc>
          <w:tcPr>
            <w:tcW w:w="1326" w:type="dxa"/>
            <w:tcBorders>
              <w:top w:val="single" w:sz="4" w:space="0" w:color="000000"/>
              <w:left w:val="single" w:sz="12" w:space="0" w:color="000000"/>
              <w:bottom w:val="single" w:sz="4" w:space="0" w:color="000000"/>
              <w:right w:val="single" w:sz="12" w:space="0" w:color="000000"/>
            </w:tcBorders>
          </w:tcPr>
          <w:p w14:paraId="1E1CF681" w14:textId="7C21635B" w:rsidR="00B0429D" w:rsidRDefault="00B0429D" w:rsidP="00B17831">
            <w:pPr>
              <w:spacing w:after="0" w:line="259" w:lineRule="auto"/>
              <w:ind w:left="0" w:right="44" w:firstLine="0"/>
              <w:jc w:val="center"/>
            </w:pPr>
            <w:r>
              <w:rPr>
                <w:sz w:val="18"/>
              </w:rPr>
              <w:t>41814-78-2</w:t>
            </w:r>
          </w:p>
        </w:tc>
        <w:tc>
          <w:tcPr>
            <w:tcW w:w="744" w:type="dxa"/>
            <w:tcBorders>
              <w:top w:val="single" w:sz="4" w:space="0" w:color="000000"/>
              <w:left w:val="single" w:sz="12" w:space="0" w:color="000000"/>
              <w:bottom w:val="single" w:sz="4" w:space="0" w:color="000000"/>
              <w:right w:val="single" w:sz="12" w:space="0" w:color="000000"/>
            </w:tcBorders>
          </w:tcPr>
          <w:p w14:paraId="58297327" w14:textId="27ED9372" w:rsidR="00B0429D" w:rsidRDefault="00B0429D" w:rsidP="00B17831">
            <w:pPr>
              <w:tabs>
                <w:tab w:val="center" w:pos="308"/>
              </w:tabs>
              <w:spacing w:after="0" w:line="259" w:lineRule="auto"/>
              <w:ind w:left="0" w:right="0" w:firstLine="0"/>
              <w:jc w:val="center"/>
            </w:pPr>
            <w:r>
              <w:rPr>
                <w:sz w:val="18"/>
              </w:rPr>
              <w:t>20</w:t>
            </w:r>
          </w:p>
        </w:tc>
        <w:tc>
          <w:tcPr>
            <w:tcW w:w="900" w:type="dxa"/>
            <w:tcBorders>
              <w:top w:val="single" w:sz="4" w:space="0" w:color="000000"/>
              <w:left w:val="single" w:sz="12" w:space="0" w:color="000000"/>
              <w:bottom w:val="single" w:sz="4" w:space="0" w:color="000000"/>
              <w:right w:val="single" w:sz="12" w:space="0" w:color="000000"/>
            </w:tcBorders>
          </w:tcPr>
          <w:p w14:paraId="4933732A" w14:textId="603E39C7" w:rsidR="00B0429D" w:rsidRDefault="00B0429D" w:rsidP="00B2651C">
            <w:pPr>
              <w:spacing w:after="0" w:line="259" w:lineRule="auto"/>
              <w:ind w:left="0" w:right="46" w:firstLine="0"/>
              <w:jc w:val="center"/>
            </w:pPr>
            <w:r>
              <w:rPr>
                <w:sz w:val="18"/>
              </w:rPr>
              <w:t>ug/L</w:t>
            </w:r>
          </w:p>
        </w:tc>
        <w:tc>
          <w:tcPr>
            <w:tcW w:w="1080" w:type="dxa"/>
            <w:tcBorders>
              <w:top w:val="single" w:sz="4" w:space="0" w:color="000000"/>
              <w:left w:val="single" w:sz="12" w:space="0" w:color="000000"/>
              <w:bottom w:val="single" w:sz="4" w:space="0" w:color="000000"/>
              <w:right w:val="single" w:sz="12" w:space="0" w:color="000000"/>
            </w:tcBorders>
          </w:tcPr>
          <w:p w14:paraId="55D5DD7C" w14:textId="4E3B7E6E" w:rsidR="00B0429D" w:rsidRDefault="00B0429D" w:rsidP="00B17831">
            <w:pPr>
              <w:spacing w:after="0" w:line="259" w:lineRule="auto"/>
              <w:ind w:left="0" w:right="47" w:firstLine="0"/>
              <w:jc w:val="center"/>
            </w:pPr>
            <w:r>
              <w:rPr>
                <w:sz w:val="18"/>
              </w:rPr>
              <w:t>N/A</w:t>
            </w:r>
          </w:p>
        </w:tc>
        <w:tc>
          <w:tcPr>
            <w:tcW w:w="991" w:type="dxa"/>
            <w:tcBorders>
              <w:top w:val="single" w:sz="4" w:space="0" w:color="000000"/>
              <w:left w:val="single" w:sz="12" w:space="0" w:color="000000"/>
              <w:bottom w:val="single" w:sz="4" w:space="0" w:color="000000"/>
              <w:right w:val="single" w:sz="12" w:space="0" w:color="000000"/>
            </w:tcBorders>
          </w:tcPr>
          <w:p w14:paraId="089EC5FA" w14:textId="5B6E1475" w:rsidR="00B0429D" w:rsidRDefault="00B0429D" w:rsidP="00B17831">
            <w:pPr>
              <w:spacing w:after="0" w:line="259" w:lineRule="auto"/>
              <w:ind w:left="0" w:right="42" w:firstLine="0"/>
              <w:jc w:val="center"/>
            </w:pPr>
            <w:r>
              <w:rPr>
                <w:sz w:val="18"/>
              </w:rPr>
              <w:t>N/A</w:t>
            </w:r>
          </w:p>
        </w:tc>
        <w:tc>
          <w:tcPr>
            <w:tcW w:w="843" w:type="dxa"/>
            <w:tcBorders>
              <w:top w:val="single" w:sz="4" w:space="0" w:color="000000"/>
              <w:left w:val="single" w:sz="12" w:space="0" w:color="000000"/>
              <w:bottom w:val="single" w:sz="4" w:space="0" w:color="000000"/>
              <w:right w:val="single" w:sz="12" w:space="0" w:color="000000"/>
            </w:tcBorders>
          </w:tcPr>
          <w:p w14:paraId="4E1DB8D3" w14:textId="2913A5D2" w:rsidR="00B0429D" w:rsidRDefault="00B0429D" w:rsidP="00B17831">
            <w:pPr>
              <w:spacing w:after="0" w:line="259" w:lineRule="auto"/>
              <w:ind w:left="0" w:right="45" w:firstLine="0"/>
              <w:jc w:val="center"/>
            </w:pPr>
            <w:r>
              <w:rPr>
                <w:b/>
                <w:sz w:val="18"/>
              </w:rPr>
              <w:t>525.2</w:t>
            </w:r>
          </w:p>
        </w:tc>
        <w:tc>
          <w:tcPr>
            <w:tcW w:w="776" w:type="dxa"/>
            <w:tcBorders>
              <w:top w:val="single" w:sz="4" w:space="0" w:color="000000"/>
              <w:left w:val="single" w:sz="12" w:space="0" w:color="000000"/>
              <w:bottom w:val="single" w:sz="4" w:space="0" w:color="000000"/>
              <w:right w:val="single" w:sz="12" w:space="0" w:color="000000"/>
            </w:tcBorders>
          </w:tcPr>
          <w:p w14:paraId="6548488C" w14:textId="71CD308B" w:rsidR="00B0429D" w:rsidRDefault="00B0429D" w:rsidP="00B17831">
            <w:pPr>
              <w:spacing w:after="0" w:line="259" w:lineRule="auto"/>
              <w:ind w:left="0" w:right="46" w:firstLine="0"/>
              <w:jc w:val="center"/>
            </w:pPr>
            <w:r>
              <w:rPr>
                <w:sz w:val="18"/>
              </w:rPr>
              <w:t>507</w:t>
            </w:r>
          </w:p>
        </w:tc>
        <w:tc>
          <w:tcPr>
            <w:tcW w:w="630" w:type="dxa"/>
            <w:tcBorders>
              <w:top w:val="single" w:sz="4" w:space="0" w:color="000000"/>
              <w:left w:val="single" w:sz="12" w:space="0" w:color="000000"/>
              <w:bottom w:val="single" w:sz="4" w:space="0" w:color="000000"/>
              <w:right w:val="single" w:sz="12" w:space="0" w:color="000000"/>
            </w:tcBorders>
          </w:tcPr>
          <w:p w14:paraId="21141128" w14:textId="67CC3ABB" w:rsidR="00B0429D" w:rsidRDefault="00B0429D" w:rsidP="00B17831">
            <w:pPr>
              <w:spacing w:after="0" w:line="259" w:lineRule="auto"/>
              <w:ind w:left="0" w:right="0" w:firstLine="0"/>
              <w:jc w:val="center"/>
            </w:pPr>
          </w:p>
        </w:tc>
      </w:tr>
      <w:tr w:rsidR="00B0429D" w14:paraId="5A78ACBE" w14:textId="77777777" w:rsidTr="00C23B62">
        <w:trPr>
          <w:trHeight w:val="250"/>
        </w:trPr>
        <w:tc>
          <w:tcPr>
            <w:tcW w:w="3240" w:type="dxa"/>
            <w:tcBorders>
              <w:top w:val="single" w:sz="4" w:space="0" w:color="000000"/>
              <w:left w:val="single" w:sz="12" w:space="0" w:color="000000"/>
              <w:bottom w:val="single" w:sz="4" w:space="0" w:color="000000"/>
              <w:right w:val="single" w:sz="12" w:space="0" w:color="000000"/>
            </w:tcBorders>
          </w:tcPr>
          <w:p w14:paraId="31BA0892" w14:textId="1EFF781D" w:rsidR="00B0429D" w:rsidRDefault="00B0429D" w:rsidP="00B0429D">
            <w:pPr>
              <w:spacing w:after="0" w:line="259" w:lineRule="auto"/>
              <w:ind w:left="2" w:right="0" w:firstLine="0"/>
            </w:pPr>
            <w:r>
              <w:rPr>
                <w:sz w:val="18"/>
              </w:rPr>
              <w:t>Trifluralin (</w:t>
            </w:r>
            <w:proofErr w:type="spellStart"/>
            <w:r>
              <w:rPr>
                <w:i/>
                <w:sz w:val="18"/>
              </w:rPr>
              <w:t>Treflan</w:t>
            </w:r>
            <w:proofErr w:type="spellEnd"/>
            <w:r>
              <w:rPr>
                <w:i/>
                <w:sz w:val="18"/>
              </w:rPr>
              <w:t xml:space="preserve">) </w:t>
            </w:r>
          </w:p>
        </w:tc>
        <w:tc>
          <w:tcPr>
            <w:tcW w:w="1326" w:type="dxa"/>
            <w:tcBorders>
              <w:top w:val="single" w:sz="4" w:space="0" w:color="000000"/>
              <w:left w:val="single" w:sz="12" w:space="0" w:color="000000"/>
              <w:bottom w:val="single" w:sz="4" w:space="0" w:color="000000"/>
              <w:right w:val="single" w:sz="12" w:space="0" w:color="000000"/>
            </w:tcBorders>
          </w:tcPr>
          <w:p w14:paraId="48E78A74" w14:textId="20F60A0D" w:rsidR="00B0429D" w:rsidRDefault="00B0429D" w:rsidP="00B17831">
            <w:pPr>
              <w:spacing w:after="0" w:line="259" w:lineRule="auto"/>
              <w:ind w:left="0" w:right="44" w:firstLine="0"/>
              <w:jc w:val="center"/>
            </w:pPr>
            <w:r>
              <w:rPr>
                <w:sz w:val="18"/>
              </w:rPr>
              <w:t>1582-09-8</w:t>
            </w:r>
          </w:p>
        </w:tc>
        <w:tc>
          <w:tcPr>
            <w:tcW w:w="744" w:type="dxa"/>
            <w:tcBorders>
              <w:top w:val="single" w:sz="4" w:space="0" w:color="000000"/>
              <w:left w:val="single" w:sz="12" w:space="0" w:color="000000"/>
              <w:bottom w:val="single" w:sz="4" w:space="0" w:color="000000"/>
              <w:right w:val="single" w:sz="12" w:space="0" w:color="000000"/>
            </w:tcBorders>
          </w:tcPr>
          <w:p w14:paraId="75B74D91" w14:textId="19EC60B4" w:rsidR="00B0429D" w:rsidRDefault="00B0429D" w:rsidP="00B17831">
            <w:pPr>
              <w:tabs>
                <w:tab w:val="center" w:pos="354"/>
              </w:tabs>
              <w:spacing w:after="0" w:line="259" w:lineRule="auto"/>
              <w:ind w:left="0" w:right="0" w:firstLine="0"/>
              <w:jc w:val="center"/>
            </w:pPr>
            <w:r>
              <w:rPr>
                <w:sz w:val="18"/>
              </w:rPr>
              <w:t>1</w:t>
            </w:r>
          </w:p>
        </w:tc>
        <w:tc>
          <w:tcPr>
            <w:tcW w:w="900" w:type="dxa"/>
            <w:tcBorders>
              <w:top w:val="single" w:sz="4" w:space="0" w:color="000000"/>
              <w:left w:val="single" w:sz="12" w:space="0" w:color="000000"/>
              <w:bottom w:val="single" w:sz="4" w:space="0" w:color="000000"/>
              <w:right w:val="single" w:sz="12" w:space="0" w:color="000000"/>
            </w:tcBorders>
          </w:tcPr>
          <w:p w14:paraId="1427B42E" w14:textId="1C4693EA" w:rsidR="00B0429D" w:rsidRDefault="00B0429D" w:rsidP="00B2651C">
            <w:pPr>
              <w:spacing w:after="0" w:line="259" w:lineRule="auto"/>
              <w:ind w:left="0" w:right="46" w:firstLine="0"/>
              <w:jc w:val="center"/>
            </w:pPr>
            <w:r>
              <w:rPr>
                <w:sz w:val="18"/>
              </w:rPr>
              <w:t>ug/L</w:t>
            </w:r>
          </w:p>
        </w:tc>
        <w:tc>
          <w:tcPr>
            <w:tcW w:w="1080" w:type="dxa"/>
            <w:tcBorders>
              <w:top w:val="single" w:sz="4" w:space="0" w:color="000000"/>
              <w:left w:val="single" w:sz="12" w:space="0" w:color="000000"/>
              <w:bottom w:val="single" w:sz="4" w:space="0" w:color="000000"/>
              <w:right w:val="single" w:sz="12" w:space="0" w:color="000000"/>
            </w:tcBorders>
          </w:tcPr>
          <w:p w14:paraId="52380FF8" w14:textId="5AA5262A" w:rsidR="00B0429D" w:rsidRDefault="00B0429D" w:rsidP="00B17831">
            <w:pPr>
              <w:spacing w:after="0" w:line="259" w:lineRule="auto"/>
              <w:ind w:left="0" w:right="47" w:firstLine="0"/>
              <w:jc w:val="center"/>
            </w:pPr>
            <w:r>
              <w:rPr>
                <w:sz w:val="18"/>
              </w:rPr>
              <w:t>N/A</w:t>
            </w:r>
          </w:p>
        </w:tc>
        <w:tc>
          <w:tcPr>
            <w:tcW w:w="991" w:type="dxa"/>
            <w:tcBorders>
              <w:top w:val="single" w:sz="4" w:space="0" w:color="000000"/>
              <w:left w:val="single" w:sz="12" w:space="0" w:color="000000"/>
              <w:bottom w:val="single" w:sz="4" w:space="0" w:color="000000"/>
              <w:right w:val="single" w:sz="12" w:space="0" w:color="000000"/>
            </w:tcBorders>
          </w:tcPr>
          <w:p w14:paraId="4BC96CF8" w14:textId="0CB5EEE8" w:rsidR="00B0429D" w:rsidRDefault="00B0429D" w:rsidP="00B17831">
            <w:pPr>
              <w:spacing w:after="0" w:line="259" w:lineRule="auto"/>
              <w:ind w:left="0" w:right="42" w:firstLine="0"/>
              <w:jc w:val="center"/>
            </w:pPr>
            <w:r>
              <w:rPr>
                <w:sz w:val="18"/>
              </w:rPr>
              <w:t>N/A</w:t>
            </w:r>
          </w:p>
        </w:tc>
        <w:tc>
          <w:tcPr>
            <w:tcW w:w="843" w:type="dxa"/>
            <w:tcBorders>
              <w:top w:val="single" w:sz="4" w:space="0" w:color="000000"/>
              <w:left w:val="single" w:sz="12" w:space="0" w:color="000000"/>
              <w:bottom w:val="single" w:sz="4" w:space="0" w:color="000000"/>
              <w:right w:val="single" w:sz="12" w:space="0" w:color="000000"/>
            </w:tcBorders>
          </w:tcPr>
          <w:p w14:paraId="096631B3" w14:textId="3A9ADEFF" w:rsidR="00B0429D" w:rsidRDefault="00B0429D" w:rsidP="00B17831">
            <w:pPr>
              <w:spacing w:after="0" w:line="259" w:lineRule="auto"/>
              <w:ind w:left="0" w:right="45" w:firstLine="0"/>
              <w:jc w:val="center"/>
            </w:pPr>
            <w:r>
              <w:rPr>
                <w:b/>
                <w:sz w:val="18"/>
              </w:rPr>
              <w:t>525.2</w:t>
            </w:r>
          </w:p>
        </w:tc>
        <w:tc>
          <w:tcPr>
            <w:tcW w:w="776" w:type="dxa"/>
            <w:tcBorders>
              <w:top w:val="single" w:sz="4" w:space="0" w:color="000000"/>
              <w:left w:val="single" w:sz="12" w:space="0" w:color="000000"/>
              <w:bottom w:val="single" w:sz="4" w:space="0" w:color="000000"/>
              <w:right w:val="single" w:sz="12" w:space="0" w:color="000000"/>
            </w:tcBorders>
          </w:tcPr>
          <w:p w14:paraId="308D5E12" w14:textId="6269B6A0" w:rsidR="00B0429D" w:rsidRDefault="00B0429D" w:rsidP="00B17831">
            <w:pPr>
              <w:spacing w:after="0" w:line="259" w:lineRule="auto"/>
              <w:ind w:left="0" w:right="44" w:firstLine="0"/>
              <w:jc w:val="center"/>
            </w:pPr>
            <w:r>
              <w:rPr>
                <w:sz w:val="18"/>
              </w:rPr>
              <w:t>508.1</w:t>
            </w:r>
          </w:p>
        </w:tc>
        <w:tc>
          <w:tcPr>
            <w:tcW w:w="630" w:type="dxa"/>
            <w:tcBorders>
              <w:top w:val="single" w:sz="4" w:space="0" w:color="000000"/>
              <w:left w:val="single" w:sz="12" w:space="0" w:color="000000"/>
              <w:bottom w:val="single" w:sz="4" w:space="0" w:color="000000"/>
              <w:right w:val="single" w:sz="12" w:space="0" w:color="000000"/>
            </w:tcBorders>
          </w:tcPr>
          <w:p w14:paraId="3A5E9B4D" w14:textId="0C8FF7BD" w:rsidR="00B0429D" w:rsidRDefault="00B0429D" w:rsidP="00B2651C">
            <w:pPr>
              <w:spacing w:after="0" w:line="259" w:lineRule="auto"/>
              <w:ind w:left="0" w:right="0" w:firstLine="0"/>
              <w:jc w:val="center"/>
            </w:pPr>
          </w:p>
        </w:tc>
      </w:tr>
      <w:tr w:rsidR="00B0429D" w14:paraId="0EED6E78" w14:textId="77777777" w:rsidTr="00C23B62">
        <w:trPr>
          <w:trHeight w:val="278"/>
        </w:trPr>
        <w:tc>
          <w:tcPr>
            <w:tcW w:w="3240" w:type="dxa"/>
            <w:tcBorders>
              <w:top w:val="single" w:sz="4" w:space="0" w:color="000000"/>
              <w:left w:val="single" w:sz="12" w:space="0" w:color="000000"/>
              <w:bottom w:val="single" w:sz="12" w:space="0" w:color="000000"/>
              <w:right w:val="single" w:sz="12" w:space="0" w:color="000000"/>
            </w:tcBorders>
          </w:tcPr>
          <w:p w14:paraId="6287D1B5" w14:textId="73C92686" w:rsidR="00B0429D" w:rsidRDefault="00B0429D" w:rsidP="00B0429D">
            <w:pPr>
              <w:spacing w:after="0" w:line="259" w:lineRule="auto"/>
              <w:ind w:left="2" w:right="0" w:firstLine="0"/>
            </w:pPr>
            <w:proofErr w:type="spellStart"/>
            <w:r>
              <w:rPr>
                <w:sz w:val="18"/>
              </w:rPr>
              <w:t>Vernolate</w:t>
            </w:r>
            <w:proofErr w:type="spellEnd"/>
            <w:r>
              <w:rPr>
                <w:sz w:val="18"/>
              </w:rPr>
              <w:t xml:space="preserve"> (</w:t>
            </w:r>
            <w:r>
              <w:rPr>
                <w:i/>
                <w:sz w:val="18"/>
              </w:rPr>
              <w:t xml:space="preserve">Vernam) </w:t>
            </w:r>
          </w:p>
        </w:tc>
        <w:tc>
          <w:tcPr>
            <w:tcW w:w="1326" w:type="dxa"/>
            <w:tcBorders>
              <w:top w:val="single" w:sz="4" w:space="0" w:color="000000"/>
              <w:left w:val="single" w:sz="12" w:space="0" w:color="000000"/>
              <w:bottom w:val="single" w:sz="12" w:space="0" w:color="000000"/>
              <w:right w:val="single" w:sz="12" w:space="0" w:color="000000"/>
            </w:tcBorders>
          </w:tcPr>
          <w:p w14:paraId="0F85010C" w14:textId="0A1FB873" w:rsidR="00B0429D" w:rsidRDefault="00B0429D" w:rsidP="00B17831">
            <w:pPr>
              <w:spacing w:after="0" w:line="259" w:lineRule="auto"/>
              <w:ind w:left="0" w:right="44" w:firstLine="0"/>
              <w:jc w:val="center"/>
            </w:pPr>
            <w:r>
              <w:rPr>
                <w:sz w:val="18"/>
              </w:rPr>
              <w:t>1929-77-7</w:t>
            </w:r>
          </w:p>
        </w:tc>
        <w:tc>
          <w:tcPr>
            <w:tcW w:w="744" w:type="dxa"/>
            <w:tcBorders>
              <w:top w:val="single" w:sz="4" w:space="0" w:color="000000"/>
              <w:left w:val="single" w:sz="12" w:space="0" w:color="000000"/>
              <w:bottom w:val="single" w:sz="12" w:space="0" w:color="000000"/>
              <w:right w:val="single" w:sz="12" w:space="0" w:color="000000"/>
            </w:tcBorders>
          </w:tcPr>
          <w:p w14:paraId="7C85D93C" w14:textId="7DF3BC63" w:rsidR="00B0429D" w:rsidRDefault="00B0429D" w:rsidP="00B17831">
            <w:pPr>
              <w:tabs>
                <w:tab w:val="center" w:pos="354"/>
              </w:tabs>
              <w:spacing w:after="0" w:line="259" w:lineRule="auto"/>
              <w:ind w:left="0" w:right="0" w:firstLine="0"/>
              <w:jc w:val="center"/>
            </w:pPr>
            <w:r>
              <w:rPr>
                <w:sz w:val="18"/>
              </w:rPr>
              <w:t>1</w:t>
            </w:r>
          </w:p>
        </w:tc>
        <w:tc>
          <w:tcPr>
            <w:tcW w:w="900" w:type="dxa"/>
            <w:tcBorders>
              <w:top w:val="single" w:sz="4" w:space="0" w:color="000000"/>
              <w:left w:val="single" w:sz="12" w:space="0" w:color="000000"/>
              <w:bottom w:val="single" w:sz="12" w:space="0" w:color="000000"/>
              <w:right w:val="single" w:sz="12" w:space="0" w:color="000000"/>
            </w:tcBorders>
          </w:tcPr>
          <w:p w14:paraId="35EBD59F" w14:textId="0A8F0D0A" w:rsidR="00B0429D" w:rsidRDefault="00B0429D" w:rsidP="00B2651C">
            <w:pPr>
              <w:spacing w:after="0" w:line="259" w:lineRule="auto"/>
              <w:ind w:left="0" w:right="46" w:firstLine="0"/>
              <w:jc w:val="center"/>
            </w:pPr>
            <w:r>
              <w:rPr>
                <w:sz w:val="18"/>
              </w:rPr>
              <w:t>ug/L</w:t>
            </w:r>
          </w:p>
        </w:tc>
        <w:tc>
          <w:tcPr>
            <w:tcW w:w="1080" w:type="dxa"/>
            <w:tcBorders>
              <w:top w:val="single" w:sz="4" w:space="0" w:color="000000"/>
              <w:left w:val="single" w:sz="12" w:space="0" w:color="000000"/>
              <w:bottom w:val="single" w:sz="12" w:space="0" w:color="000000"/>
              <w:right w:val="single" w:sz="12" w:space="0" w:color="000000"/>
            </w:tcBorders>
          </w:tcPr>
          <w:p w14:paraId="336F144C" w14:textId="2CF401D7" w:rsidR="00B0429D" w:rsidRDefault="00B0429D" w:rsidP="00B17831">
            <w:pPr>
              <w:spacing w:after="0" w:line="259" w:lineRule="auto"/>
              <w:ind w:left="0" w:right="47" w:firstLine="0"/>
              <w:jc w:val="center"/>
            </w:pPr>
            <w:r>
              <w:rPr>
                <w:sz w:val="18"/>
              </w:rPr>
              <w:t>N/A</w:t>
            </w:r>
          </w:p>
        </w:tc>
        <w:tc>
          <w:tcPr>
            <w:tcW w:w="991" w:type="dxa"/>
            <w:tcBorders>
              <w:top w:val="single" w:sz="4" w:space="0" w:color="000000"/>
              <w:left w:val="single" w:sz="12" w:space="0" w:color="000000"/>
              <w:bottom w:val="single" w:sz="12" w:space="0" w:color="000000"/>
              <w:right w:val="single" w:sz="12" w:space="0" w:color="000000"/>
            </w:tcBorders>
          </w:tcPr>
          <w:p w14:paraId="476A71CA" w14:textId="27F75A57" w:rsidR="00B0429D" w:rsidRDefault="00B0429D" w:rsidP="00B17831">
            <w:pPr>
              <w:spacing w:after="0" w:line="259" w:lineRule="auto"/>
              <w:ind w:left="0" w:right="42" w:firstLine="0"/>
              <w:jc w:val="center"/>
            </w:pPr>
            <w:r>
              <w:rPr>
                <w:sz w:val="18"/>
              </w:rPr>
              <w:t>N/A</w:t>
            </w:r>
          </w:p>
        </w:tc>
        <w:tc>
          <w:tcPr>
            <w:tcW w:w="843" w:type="dxa"/>
            <w:tcBorders>
              <w:top w:val="single" w:sz="4" w:space="0" w:color="000000"/>
              <w:left w:val="single" w:sz="12" w:space="0" w:color="000000"/>
              <w:bottom w:val="single" w:sz="12" w:space="0" w:color="000000"/>
              <w:right w:val="single" w:sz="12" w:space="0" w:color="000000"/>
            </w:tcBorders>
          </w:tcPr>
          <w:p w14:paraId="599C257A" w14:textId="57518F26" w:rsidR="00B0429D" w:rsidRDefault="00B0429D" w:rsidP="00B17831">
            <w:pPr>
              <w:spacing w:after="0" w:line="259" w:lineRule="auto"/>
              <w:ind w:left="0" w:right="45" w:firstLine="0"/>
              <w:jc w:val="center"/>
            </w:pPr>
            <w:r>
              <w:rPr>
                <w:b/>
                <w:sz w:val="18"/>
              </w:rPr>
              <w:t>525.2</w:t>
            </w:r>
          </w:p>
        </w:tc>
        <w:tc>
          <w:tcPr>
            <w:tcW w:w="776" w:type="dxa"/>
            <w:tcBorders>
              <w:top w:val="single" w:sz="4" w:space="0" w:color="000000"/>
              <w:left w:val="single" w:sz="12" w:space="0" w:color="000000"/>
              <w:bottom w:val="single" w:sz="12" w:space="0" w:color="000000"/>
              <w:right w:val="single" w:sz="12" w:space="0" w:color="000000"/>
            </w:tcBorders>
          </w:tcPr>
          <w:p w14:paraId="5656A404" w14:textId="6EED92F2" w:rsidR="00B0429D" w:rsidRDefault="00B0429D" w:rsidP="00B17831">
            <w:pPr>
              <w:spacing w:after="0" w:line="259" w:lineRule="auto"/>
              <w:ind w:left="0" w:right="46" w:firstLine="0"/>
              <w:jc w:val="center"/>
            </w:pPr>
            <w:r>
              <w:rPr>
                <w:sz w:val="18"/>
              </w:rPr>
              <w:t>507</w:t>
            </w:r>
          </w:p>
        </w:tc>
        <w:tc>
          <w:tcPr>
            <w:tcW w:w="630" w:type="dxa"/>
            <w:tcBorders>
              <w:top w:val="single" w:sz="4" w:space="0" w:color="000000"/>
              <w:left w:val="single" w:sz="12" w:space="0" w:color="000000"/>
              <w:bottom w:val="single" w:sz="12" w:space="0" w:color="000000"/>
              <w:right w:val="single" w:sz="12" w:space="0" w:color="000000"/>
            </w:tcBorders>
          </w:tcPr>
          <w:p w14:paraId="54DF2078" w14:textId="2B2B4E91" w:rsidR="00B0429D" w:rsidRDefault="00B0429D" w:rsidP="00B17831">
            <w:pPr>
              <w:spacing w:after="0" w:line="259" w:lineRule="auto"/>
              <w:ind w:left="0" w:right="47" w:firstLine="0"/>
              <w:jc w:val="center"/>
            </w:pPr>
            <w:r>
              <w:rPr>
                <w:sz w:val="18"/>
              </w:rPr>
              <w:t>508.1</w:t>
            </w:r>
          </w:p>
        </w:tc>
      </w:tr>
    </w:tbl>
    <w:p w14:paraId="71031271" w14:textId="39454255" w:rsidR="00B56D50" w:rsidRDefault="00B56D50" w:rsidP="008D298E">
      <w:pPr>
        <w:spacing w:after="0" w:line="259" w:lineRule="auto"/>
        <w:ind w:right="0"/>
      </w:pPr>
    </w:p>
    <w:tbl>
      <w:tblPr>
        <w:tblStyle w:val="TableGrid1"/>
        <w:tblW w:w="10530" w:type="dxa"/>
        <w:tblInd w:w="-375" w:type="dxa"/>
        <w:tblCellMar>
          <w:top w:w="24" w:type="dxa"/>
          <w:left w:w="72" w:type="dxa"/>
          <w:right w:w="3" w:type="dxa"/>
        </w:tblCellMar>
        <w:tblLook w:val="04A0" w:firstRow="1" w:lastRow="0" w:firstColumn="1" w:lastColumn="0" w:noHBand="0" w:noVBand="1"/>
      </w:tblPr>
      <w:tblGrid>
        <w:gridCol w:w="3240"/>
        <w:gridCol w:w="1350"/>
        <w:gridCol w:w="720"/>
        <w:gridCol w:w="887"/>
        <w:gridCol w:w="1093"/>
        <w:gridCol w:w="1036"/>
        <w:gridCol w:w="1034"/>
        <w:gridCol w:w="661"/>
        <w:gridCol w:w="509"/>
      </w:tblGrid>
      <w:tr w:rsidR="00B24FDD" w14:paraId="1F4797AB" w14:textId="77777777" w:rsidTr="00C23B62">
        <w:trPr>
          <w:trHeight w:val="288"/>
        </w:trPr>
        <w:tc>
          <w:tcPr>
            <w:tcW w:w="6197" w:type="dxa"/>
            <w:gridSpan w:val="4"/>
            <w:tcBorders>
              <w:top w:val="single" w:sz="12" w:space="0" w:color="000000"/>
              <w:left w:val="single" w:sz="12" w:space="0" w:color="000000"/>
              <w:bottom w:val="single" w:sz="12" w:space="0" w:color="000000"/>
              <w:right w:val="nil"/>
            </w:tcBorders>
            <w:vAlign w:val="center"/>
          </w:tcPr>
          <w:p w14:paraId="1DE76C71" w14:textId="7371C3ED" w:rsidR="00B56D50" w:rsidRDefault="001C3C42" w:rsidP="00AC7558">
            <w:pPr>
              <w:spacing w:after="0" w:line="259" w:lineRule="auto"/>
              <w:ind w:left="36" w:right="0" w:firstLine="0"/>
            </w:pPr>
            <w:r>
              <w:rPr>
                <w:b/>
                <w:sz w:val="18"/>
              </w:rPr>
              <w:t>Drinking Water</w:t>
            </w:r>
            <w:r w:rsidR="00C50B8A">
              <w:rPr>
                <w:b/>
                <w:sz w:val="18"/>
              </w:rPr>
              <w:t xml:space="preserve"> </w:t>
            </w:r>
            <w:r>
              <w:rPr>
                <w:b/>
                <w:sz w:val="18"/>
              </w:rPr>
              <w:t>SAS Group D</w:t>
            </w:r>
            <w:proofErr w:type="gramStart"/>
            <w:r>
              <w:rPr>
                <w:b/>
                <w:sz w:val="18"/>
              </w:rPr>
              <w:t>:</w:t>
            </w:r>
            <w:r>
              <w:rPr>
                <w:sz w:val="18"/>
              </w:rPr>
              <w:t xml:space="preserve">  </w:t>
            </w:r>
            <w:r>
              <w:rPr>
                <w:b/>
                <w:sz w:val="18"/>
              </w:rPr>
              <w:t>Method</w:t>
            </w:r>
            <w:proofErr w:type="gramEnd"/>
            <w:r>
              <w:rPr>
                <w:b/>
                <w:sz w:val="18"/>
              </w:rPr>
              <w:t xml:space="preserve"> 525.2 PCB Congeners List</w:t>
            </w:r>
          </w:p>
        </w:tc>
        <w:tc>
          <w:tcPr>
            <w:tcW w:w="1093" w:type="dxa"/>
            <w:tcBorders>
              <w:top w:val="single" w:sz="12" w:space="0" w:color="000000"/>
              <w:left w:val="nil"/>
              <w:bottom w:val="single" w:sz="12" w:space="0" w:color="000000"/>
              <w:right w:val="nil"/>
            </w:tcBorders>
            <w:vAlign w:val="center"/>
          </w:tcPr>
          <w:p w14:paraId="5237FA66" w14:textId="77777777" w:rsidR="00B56D50" w:rsidRDefault="00B56D50" w:rsidP="00AC7558">
            <w:pPr>
              <w:spacing w:after="0" w:line="259" w:lineRule="auto"/>
              <w:ind w:left="0" w:right="0" w:firstLine="0"/>
            </w:pPr>
          </w:p>
        </w:tc>
        <w:tc>
          <w:tcPr>
            <w:tcW w:w="1036" w:type="dxa"/>
            <w:tcBorders>
              <w:top w:val="single" w:sz="12" w:space="0" w:color="000000"/>
              <w:left w:val="nil"/>
              <w:bottom w:val="single" w:sz="12" w:space="0" w:color="000000"/>
              <w:right w:val="nil"/>
            </w:tcBorders>
            <w:vAlign w:val="center"/>
          </w:tcPr>
          <w:p w14:paraId="488E029B" w14:textId="77777777" w:rsidR="00B56D50" w:rsidRDefault="00B56D50" w:rsidP="00AC7558">
            <w:pPr>
              <w:spacing w:after="0" w:line="259" w:lineRule="auto"/>
              <w:ind w:left="0" w:right="0" w:firstLine="0"/>
            </w:pPr>
          </w:p>
        </w:tc>
        <w:tc>
          <w:tcPr>
            <w:tcW w:w="2204" w:type="dxa"/>
            <w:gridSpan w:val="3"/>
            <w:tcBorders>
              <w:top w:val="single" w:sz="12" w:space="0" w:color="000000"/>
              <w:left w:val="nil"/>
              <w:bottom w:val="single" w:sz="12" w:space="0" w:color="000000"/>
              <w:right w:val="single" w:sz="12" w:space="0" w:color="000000"/>
            </w:tcBorders>
            <w:vAlign w:val="center"/>
          </w:tcPr>
          <w:p w14:paraId="0B06CF33" w14:textId="77777777" w:rsidR="00B56D50" w:rsidRDefault="00B56D50" w:rsidP="00AC7558">
            <w:pPr>
              <w:spacing w:after="0" w:line="259" w:lineRule="auto"/>
              <w:ind w:left="0" w:right="0" w:firstLine="0"/>
            </w:pPr>
          </w:p>
        </w:tc>
      </w:tr>
      <w:tr w:rsidR="00B24FDD" w14:paraId="358D0B7E" w14:textId="77777777" w:rsidTr="00C23B62">
        <w:trPr>
          <w:trHeight w:val="271"/>
        </w:trPr>
        <w:tc>
          <w:tcPr>
            <w:tcW w:w="3240" w:type="dxa"/>
            <w:vMerge w:val="restart"/>
            <w:tcBorders>
              <w:top w:val="single" w:sz="12" w:space="0" w:color="000000"/>
              <w:left w:val="single" w:sz="12" w:space="0" w:color="000000"/>
              <w:bottom w:val="single" w:sz="12" w:space="0" w:color="000000"/>
              <w:right w:val="single" w:sz="12" w:space="0" w:color="000000"/>
            </w:tcBorders>
            <w:vAlign w:val="center"/>
          </w:tcPr>
          <w:p w14:paraId="1892412F" w14:textId="1298F010" w:rsidR="004935D5" w:rsidRDefault="004935D5" w:rsidP="00367F3C">
            <w:pPr>
              <w:spacing w:after="0" w:line="259" w:lineRule="auto"/>
              <w:ind w:left="0" w:right="76" w:firstLine="0"/>
              <w:jc w:val="center"/>
            </w:pPr>
            <w:r>
              <w:rPr>
                <w:b/>
                <w:sz w:val="18"/>
              </w:rPr>
              <w:t>Analyte</w:t>
            </w:r>
          </w:p>
        </w:tc>
        <w:tc>
          <w:tcPr>
            <w:tcW w:w="1350" w:type="dxa"/>
            <w:vMerge w:val="restart"/>
            <w:tcBorders>
              <w:top w:val="single" w:sz="12" w:space="0" w:color="000000"/>
              <w:left w:val="single" w:sz="12" w:space="0" w:color="000000"/>
              <w:bottom w:val="single" w:sz="12" w:space="0" w:color="000000"/>
              <w:right w:val="single" w:sz="12" w:space="0" w:color="000000"/>
            </w:tcBorders>
            <w:vAlign w:val="center"/>
          </w:tcPr>
          <w:p w14:paraId="3DDB552E" w14:textId="103E4399" w:rsidR="004935D5" w:rsidRDefault="004935D5" w:rsidP="00367F3C">
            <w:pPr>
              <w:spacing w:after="0" w:line="259" w:lineRule="auto"/>
              <w:ind w:left="57" w:right="84" w:firstLine="0"/>
              <w:jc w:val="center"/>
            </w:pPr>
            <w:r>
              <w:rPr>
                <w:b/>
                <w:sz w:val="18"/>
              </w:rPr>
              <w:t>CAS Number</w:t>
            </w:r>
          </w:p>
        </w:tc>
        <w:tc>
          <w:tcPr>
            <w:tcW w:w="1607" w:type="dxa"/>
            <w:gridSpan w:val="2"/>
            <w:tcBorders>
              <w:top w:val="single" w:sz="12" w:space="0" w:color="000000"/>
              <w:left w:val="single" w:sz="12" w:space="0" w:color="000000"/>
              <w:bottom w:val="single" w:sz="12" w:space="0" w:color="000000"/>
              <w:right w:val="single" w:sz="12" w:space="0" w:color="000000"/>
            </w:tcBorders>
            <w:vAlign w:val="center"/>
          </w:tcPr>
          <w:p w14:paraId="225FACE4" w14:textId="3FB3F762" w:rsidR="004935D5" w:rsidRDefault="004935D5" w:rsidP="00367F3C">
            <w:pPr>
              <w:spacing w:after="0" w:line="259" w:lineRule="auto"/>
              <w:ind w:left="0" w:right="74" w:firstLine="0"/>
              <w:jc w:val="center"/>
            </w:pPr>
            <w:r>
              <w:rPr>
                <w:b/>
                <w:sz w:val="18"/>
              </w:rPr>
              <w:t>Aqueous</w:t>
            </w:r>
          </w:p>
        </w:tc>
        <w:tc>
          <w:tcPr>
            <w:tcW w:w="2129" w:type="dxa"/>
            <w:gridSpan w:val="2"/>
            <w:tcBorders>
              <w:top w:val="single" w:sz="12" w:space="0" w:color="000000"/>
              <w:left w:val="single" w:sz="12" w:space="0" w:color="000000"/>
              <w:bottom w:val="single" w:sz="12" w:space="0" w:color="000000"/>
              <w:right w:val="single" w:sz="12" w:space="0" w:color="000000"/>
            </w:tcBorders>
            <w:vAlign w:val="center"/>
          </w:tcPr>
          <w:p w14:paraId="63DC8C1E" w14:textId="633C8444" w:rsidR="004935D5" w:rsidRPr="00CA4BD6" w:rsidRDefault="00A705C4" w:rsidP="00385D7E">
            <w:pPr>
              <w:spacing w:after="0" w:line="259" w:lineRule="auto"/>
              <w:ind w:left="0" w:right="0" w:firstLine="0"/>
              <w:jc w:val="center"/>
              <w:rPr>
                <w:b/>
                <w:bCs/>
                <w:sz w:val="18"/>
                <w:szCs w:val="18"/>
              </w:rPr>
            </w:pPr>
            <w:r w:rsidRPr="00CA4BD6">
              <w:rPr>
                <w:b/>
                <w:bCs/>
                <w:sz w:val="18"/>
                <w:szCs w:val="18"/>
              </w:rPr>
              <w:t>Soil/Sediment</w:t>
            </w:r>
          </w:p>
        </w:tc>
        <w:tc>
          <w:tcPr>
            <w:tcW w:w="2204" w:type="dxa"/>
            <w:gridSpan w:val="3"/>
            <w:vMerge w:val="restart"/>
            <w:tcBorders>
              <w:top w:val="single" w:sz="12" w:space="0" w:color="000000"/>
              <w:left w:val="single" w:sz="12" w:space="0" w:color="000000"/>
              <w:bottom w:val="single" w:sz="12" w:space="0" w:color="000000"/>
              <w:right w:val="single" w:sz="12" w:space="0" w:color="000000"/>
            </w:tcBorders>
            <w:vAlign w:val="center"/>
          </w:tcPr>
          <w:p w14:paraId="1EF84573" w14:textId="2CE1C5DB" w:rsidR="004935D5" w:rsidRPr="00A7461F" w:rsidRDefault="004935D5" w:rsidP="00367F3C">
            <w:pPr>
              <w:spacing w:after="0" w:line="259" w:lineRule="auto"/>
              <w:ind w:left="75" w:right="0" w:firstLine="0"/>
              <w:jc w:val="center"/>
              <w:rPr>
                <w:bCs/>
                <w:sz w:val="18"/>
                <w:szCs w:val="18"/>
              </w:rPr>
            </w:pPr>
            <w:r w:rsidRPr="00A7461F">
              <w:rPr>
                <w:b/>
                <w:sz w:val="18"/>
                <w:szCs w:val="18"/>
              </w:rPr>
              <w:t>Acceptable Methods</w:t>
            </w:r>
          </w:p>
        </w:tc>
      </w:tr>
      <w:tr w:rsidR="00C84A5D" w14:paraId="185CADE3" w14:textId="77777777" w:rsidTr="00C23B62">
        <w:trPr>
          <w:trHeight w:val="189"/>
        </w:trPr>
        <w:tc>
          <w:tcPr>
            <w:tcW w:w="3240" w:type="dxa"/>
            <w:vMerge/>
            <w:tcBorders>
              <w:top w:val="nil"/>
              <w:left w:val="single" w:sz="12" w:space="0" w:color="000000"/>
              <w:bottom w:val="single" w:sz="12" w:space="0" w:color="000000"/>
              <w:right w:val="single" w:sz="12" w:space="0" w:color="000000"/>
            </w:tcBorders>
            <w:vAlign w:val="center"/>
          </w:tcPr>
          <w:p w14:paraId="7EFEBBE2" w14:textId="77777777" w:rsidR="00B56D50" w:rsidRDefault="00B56D50" w:rsidP="00AC7558">
            <w:pPr>
              <w:spacing w:after="160" w:line="259" w:lineRule="auto"/>
              <w:ind w:left="0" w:right="0" w:firstLine="0"/>
              <w:jc w:val="center"/>
            </w:pPr>
          </w:p>
        </w:tc>
        <w:tc>
          <w:tcPr>
            <w:tcW w:w="1350" w:type="dxa"/>
            <w:vMerge/>
            <w:tcBorders>
              <w:top w:val="nil"/>
              <w:left w:val="single" w:sz="12" w:space="0" w:color="000000"/>
              <w:bottom w:val="single" w:sz="12" w:space="0" w:color="000000"/>
              <w:right w:val="single" w:sz="12" w:space="0" w:color="000000"/>
            </w:tcBorders>
            <w:vAlign w:val="center"/>
          </w:tcPr>
          <w:p w14:paraId="0D7AC883" w14:textId="77777777" w:rsidR="00B56D50" w:rsidRDefault="00B56D50" w:rsidP="00AC7558">
            <w:pPr>
              <w:spacing w:after="160" w:line="259" w:lineRule="auto"/>
              <w:ind w:left="0" w:right="0" w:firstLine="0"/>
              <w:jc w:val="center"/>
            </w:pPr>
          </w:p>
        </w:tc>
        <w:tc>
          <w:tcPr>
            <w:tcW w:w="720" w:type="dxa"/>
            <w:tcBorders>
              <w:top w:val="single" w:sz="12" w:space="0" w:color="000000"/>
              <w:left w:val="single" w:sz="12" w:space="0" w:color="000000"/>
              <w:bottom w:val="single" w:sz="12" w:space="0" w:color="000000"/>
              <w:right w:val="single" w:sz="12" w:space="0" w:color="000000"/>
            </w:tcBorders>
            <w:vAlign w:val="center"/>
          </w:tcPr>
          <w:p w14:paraId="3A6B035C" w14:textId="392AFA12" w:rsidR="00B56D50" w:rsidRDefault="001C3C42" w:rsidP="00AC7558">
            <w:pPr>
              <w:spacing w:after="0" w:line="259" w:lineRule="auto"/>
              <w:ind w:left="0" w:right="74" w:firstLine="0"/>
              <w:jc w:val="center"/>
            </w:pPr>
            <w:r>
              <w:rPr>
                <w:b/>
                <w:sz w:val="18"/>
              </w:rPr>
              <w:t>RL</w:t>
            </w:r>
          </w:p>
        </w:tc>
        <w:tc>
          <w:tcPr>
            <w:tcW w:w="887" w:type="dxa"/>
            <w:tcBorders>
              <w:top w:val="single" w:sz="12" w:space="0" w:color="000000"/>
              <w:left w:val="single" w:sz="12" w:space="0" w:color="000000"/>
              <w:bottom w:val="single" w:sz="12" w:space="0" w:color="000000"/>
              <w:right w:val="single" w:sz="12" w:space="0" w:color="000000"/>
            </w:tcBorders>
            <w:vAlign w:val="center"/>
          </w:tcPr>
          <w:p w14:paraId="366CBBFC" w14:textId="40C849A0" w:rsidR="00B56D50" w:rsidRDefault="001C3C42" w:rsidP="00AC7558">
            <w:pPr>
              <w:spacing w:after="0" w:line="259" w:lineRule="auto"/>
              <w:ind w:left="0" w:right="76" w:firstLine="0"/>
              <w:jc w:val="center"/>
            </w:pPr>
            <w:r>
              <w:rPr>
                <w:b/>
                <w:sz w:val="18"/>
              </w:rPr>
              <w:t>units</w:t>
            </w:r>
          </w:p>
        </w:tc>
        <w:tc>
          <w:tcPr>
            <w:tcW w:w="1093" w:type="dxa"/>
            <w:tcBorders>
              <w:top w:val="single" w:sz="12" w:space="0" w:color="000000"/>
              <w:left w:val="single" w:sz="12" w:space="0" w:color="000000"/>
              <w:bottom w:val="single" w:sz="12" w:space="0" w:color="000000"/>
              <w:right w:val="single" w:sz="12" w:space="0" w:color="000000"/>
            </w:tcBorders>
            <w:vAlign w:val="center"/>
          </w:tcPr>
          <w:p w14:paraId="04748B0B" w14:textId="5EBD44BB" w:rsidR="00B56D50" w:rsidRDefault="001C3C42" w:rsidP="00AC7558">
            <w:pPr>
              <w:spacing w:after="0" w:line="259" w:lineRule="auto"/>
              <w:ind w:left="0" w:right="76" w:firstLine="0"/>
              <w:jc w:val="center"/>
            </w:pPr>
            <w:r>
              <w:rPr>
                <w:b/>
                <w:sz w:val="18"/>
              </w:rPr>
              <w:t>RL</w:t>
            </w:r>
          </w:p>
        </w:tc>
        <w:tc>
          <w:tcPr>
            <w:tcW w:w="1036" w:type="dxa"/>
            <w:tcBorders>
              <w:top w:val="single" w:sz="12" w:space="0" w:color="000000"/>
              <w:left w:val="single" w:sz="12" w:space="0" w:color="000000"/>
              <w:bottom w:val="single" w:sz="12" w:space="0" w:color="000000"/>
              <w:right w:val="single" w:sz="12" w:space="0" w:color="000000"/>
            </w:tcBorders>
            <w:vAlign w:val="center"/>
          </w:tcPr>
          <w:p w14:paraId="0606C5F8" w14:textId="1E02B053" w:rsidR="00B56D50" w:rsidRDefault="001C3C42" w:rsidP="00AC7558">
            <w:pPr>
              <w:spacing w:after="0" w:line="259" w:lineRule="auto"/>
              <w:ind w:left="0" w:right="71" w:firstLine="0"/>
              <w:jc w:val="center"/>
            </w:pPr>
            <w:r>
              <w:rPr>
                <w:b/>
                <w:sz w:val="18"/>
              </w:rPr>
              <w:t>units</w:t>
            </w:r>
          </w:p>
        </w:tc>
        <w:tc>
          <w:tcPr>
            <w:tcW w:w="2204" w:type="dxa"/>
            <w:gridSpan w:val="3"/>
            <w:vMerge/>
            <w:tcBorders>
              <w:top w:val="nil"/>
              <w:left w:val="single" w:sz="12" w:space="0" w:color="000000"/>
              <w:bottom w:val="single" w:sz="12" w:space="0" w:color="000000"/>
              <w:right w:val="single" w:sz="12" w:space="0" w:color="000000"/>
            </w:tcBorders>
            <w:vAlign w:val="center"/>
          </w:tcPr>
          <w:p w14:paraId="4CE56B92" w14:textId="77777777" w:rsidR="00B56D50" w:rsidRDefault="00B56D50" w:rsidP="00AA3213">
            <w:pPr>
              <w:spacing w:after="160" w:line="259" w:lineRule="auto"/>
              <w:ind w:left="0" w:right="0" w:firstLine="0"/>
              <w:jc w:val="center"/>
            </w:pPr>
          </w:p>
        </w:tc>
      </w:tr>
      <w:tr w:rsidR="001B2371" w14:paraId="6F422CF1" w14:textId="77777777" w:rsidTr="00C23B62">
        <w:trPr>
          <w:trHeight w:val="262"/>
        </w:trPr>
        <w:tc>
          <w:tcPr>
            <w:tcW w:w="3240" w:type="dxa"/>
            <w:tcBorders>
              <w:top w:val="single" w:sz="12" w:space="0" w:color="000000"/>
              <w:left w:val="single" w:sz="12" w:space="0" w:color="000000"/>
              <w:bottom w:val="single" w:sz="4" w:space="0" w:color="000000"/>
              <w:right w:val="single" w:sz="12" w:space="0" w:color="000000"/>
            </w:tcBorders>
          </w:tcPr>
          <w:p w14:paraId="36879BE2" w14:textId="77777777" w:rsidR="00B0429D" w:rsidRDefault="00B0429D" w:rsidP="00B0429D">
            <w:pPr>
              <w:spacing w:after="0" w:line="259" w:lineRule="auto"/>
              <w:ind w:left="2" w:right="0" w:firstLine="0"/>
            </w:pPr>
            <w:r>
              <w:rPr>
                <w:sz w:val="18"/>
              </w:rPr>
              <w:t xml:space="preserve">2-Chlorobiphenyl </w:t>
            </w:r>
          </w:p>
        </w:tc>
        <w:tc>
          <w:tcPr>
            <w:tcW w:w="1350" w:type="dxa"/>
            <w:tcBorders>
              <w:top w:val="single" w:sz="12" w:space="0" w:color="000000"/>
              <w:left w:val="single" w:sz="12" w:space="0" w:color="000000"/>
              <w:bottom w:val="single" w:sz="4" w:space="0" w:color="000000"/>
              <w:right w:val="single" w:sz="12" w:space="0" w:color="000000"/>
            </w:tcBorders>
          </w:tcPr>
          <w:p w14:paraId="0B73EC58" w14:textId="4E1EA84C" w:rsidR="00B0429D" w:rsidRDefault="00B0429D" w:rsidP="0037652D">
            <w:pPr>
              <w:spacing w:after="0" w:line="259" w:lineRule="auto"/>
              <w:ind w:left="0" w:right="68" w:firstLine="0"/>
              <w:jc w:val="center"/>
            </w:pPr>
            <w:r>
              <w:rPr>
                <w:sz w:val="18"/>
              </w:rPr>
              <w:t>2051-60-7</w:t>
            </w:r>
          </w:p>
        </w:tc>
        <w:tc>
          <w:tcPr>
            <w:tcW w:w="720" w:type="dxa"/>
            <w:tcBorders>
              <w:top w:val="single" w:sz="12" w:space="0" w:color="000000"/>
              <w:left w:val="single" w:sz="12" w:space="0" w:color="000000"/>
              <w:bottom w:val="single" w:sz="4" w:space="0" w:color="000000"/>
              <w:right w:val="single" w:sz="12" w:space="0" w:color="000000"/>
            </w:tcBorders>
          </w:tcPr>
          <w:p w14:paraId="793EAB21" w14:textId="092B3F9C" w:rsidR="00B0429D" w:rsidRDefault="00B0429D" w:rsidP="0037652D">
            <w:pPr>
              <w:tabs>
                <w:tab w:val="center" w:pos="354"/>
              </w:tabs>
              <w:spacing w:after="0" w:line="259" w:lineRule="auto"/>
              <w:ind w:left="0" w:right="0" w:firstLine="0"/>
              <w:jc w:val="center"/>
            </w:pPr>
            <w:r>
              <w:rPr>
                <w:sz w:val="18"/>
              </w:rPr>
              <w:t>1</w:t>
            </w:r>
          </w:p>
        </w:tc>
        <w:tc>
          <w:tcPr>
            <w:tcW w:w="887" w:type="dxa"/>
            <w:tcBorders>
              <w:top w:val="single" w:sz="12" w:space="0" w:color="000000"/>
              <w:left w:val="single" w:sz="12" w:space="0" w:color="000000"/>
              <w:bottom w:val="single" w:sz="4" w:space="0" w:color="000000"/>
              <w:right w:val="single" w:sz="12" w:space="0" w:color="000000"/>
            </w:tcBorders>
          </w:tcPr>
          <w:p w14:paraId="743815E9" w14:textId="5B33E889" w:rsidR="00B0429D" w:rsidRDefault="00B0429D" w:rsidP="0037652D">
            <w:pPr>
              <w:spacing w:after="0" w:line="259" w:lineRule="auto"/>
              <w:ind w:left="0" w:right="72" w:firstLine="0"/>
              <w:jc w:val="center"/>
            </w:pPr>
            <w:r>
              <w:rPr>
                <w:sz w:val="18"/>
              </w:rPr>
              <w:t>ug/L</w:t>
            </w:r>
          </w:p>
        </w:tc>
        <w:tc>
          <w:tcPr>
            <w:tcW w:w="1093" w:type="dxa"/>
            <w:tcBorders>
              <w:top w:val="single" w:sz="12" w:space="0" w:color="000000"/>
              <w:left w:val="single" w:sz="12" w:space="0" w:color="000000"/>
              <w:bottom w:val="single" w:sz="4" w:space="0" w:color="000000"/>
              <w:right w:val="single" w:sz="12" w:space="0" w:color="000000"/>
            </w:tcBorders>
          </w:tcPr>
          <w:p w14:paraId="26AD6E7A" w14:textId="716CB7B1" w:rsidR="00B0429D" w:rsidRDefault="00B0429D" w:rsidP="0037652D">
            <w:pPr>
              <w:spacing w:after="0" w:line="259" w:lineRule="auto"/>
              <w:ind w:left="0" w:right="69" w:firstLine="0"/>
              <w:jc w:val="center"/>
            </w:pPr>
            <w:r>
              <w:rPr>
                <w:sz w:val="18"/>
              </w:rPr>
              <w:t>N/A</w:t>
            </w:r>
          </w:p>
        </w:tc>
        <w:tc>
          <w:tcPr>
            <w:tcW w:w="1036" w:type="dxa"/>
            <w:tcBorders>
              <w:top w:val="single" w:sz="12" w:space="0" w:color="000000"/>
              <w:left w:val="single" w:sz="12" w:space="0" w:color="000000"/>
              <w:bottom w:val="single" w:sz="4" w:space="0" w:color="000000"/>
              <w:right w:val="single" w:sz="12" w:space="0" w:color="000000"/>
            </w:tcBorders>
          </w:tcPr>
          <w:p w14:paraId="66740846" w14:textId="72CFFF07" w:rsidR="00B0429D" w:rsidRDefault="00B0429D" w:rsidP="0037652D">
            <w:pPr>
              <w:spacing w:after="0" w:line="259" w:lineRule="auto"/>
              <w:ind w:left="0" w:right="71" w:firstLine="0"/>
              <w:jc w:val="center"/>
            </w:pPr>
            <w:r>
              <w:rPr>
                <w:sz w:val="18"/>
              </w:rPr>
              <w:t>N/A</w:t>
            </w:r>
          </w:p>
        </w:tc>
        <w:tc>
          <w:tcPr>
            <w:tcW w:w="1034" w:type="dxa"/>
            <w:tcBorders>
              <w:top w:val="single" w:sz="12" w:space="0" w:color="000000"/>
              <w:left w:val="single" w:sz="12" w:space="0" w:color="000000"/>
              <w:bottom w:val="single" w:sz="4" w:space="0" w:color="000000"/>
              <w:right w:val="single" w:sz="12" w:space="0" w:color="000000"/>
            </w:tcBorders>
          </w:tcPr>
          <w:p w14:paraId="0C6E49FD" w14:textId="3077A7F4" w:rsidR="00B0429D" w:rsidRDefault="00B0429D" w:rsidP="00C21A82">
            <w:pPr>
              <w:spacing w:after="0" w:line="259" w:lineRule="auto"/>
              <w:ind w:left="56" w:right="0" w:firstLine="0"/>
              <w:jc w:val="center"/>
            </w:pPr>
            <w:r>
              <w:rPr>
                <w:b/>
                <w:sz w:val="18"/>
              </w:rPr>
              <w:t>525.2</w:t>
            </w:r>
          </w:p>
        </w:tc>
        <w:tc>
          <w:tcPr>
            <w:tcW w:w="661" w:type="dxa"/>
            <w:tcBorders>
              <w:top w:val="single" w:sz="12" w:space="0" w:color="000000"/>
              <w:left w:val="single" w:sz="12" w:space="0" w:color="000000"/>
              <w:bottom w:val="single" w:sz="4" w:space="0" w:color="000000"/>
              <w:right w:val="single" w:sz="12" w:space="0" w:color="000000"/>
            </w:tcBorders>
          </w:tcPr>
          <w:p w14:paraId="7E19193E" w14:textId="79731195" w:rsidR="00B0429D" w:rsidRDefault="00B0429D" w:rsidP="0037652D">
            <w:pPr>
              <w:spacing w:after="0" w:line="259" w:lineRule="auto"/>
              <w:ind w:left="0" w:right="26" w:firstLine="0"/>
              <w:jc w:val="center"/>
            </w:pPr>
          </w:p>
        </w:tc>
        <w:tc>
          <w:tcPr>
            <w:tcW w:w="509" w:type="dxa"/>
            <w:tcBorders>
              <w:top w:val="single" w:sz="12" w:space="0" w:color="000000"/>
              <w:left w:val="single" w:sz="12" w:space="0" w:color="000000"/>
              <w:bottom w:val="single" w:sz="4" w:space="0" w:color="000000"/>
              <w:right w:val="single" w:sz="12" w:space="0" w:color="000000"/>
            </w:tcBorders>
          </w:tcPr>
          <w:p w14:paraId="23EA516B" w14:textId="4E766814" w:rsidR="00B0429D" w:rsidRDefault="00B0429D" w:rsidP="0037652D">
            <w:pPr>
              <w:spacing w:after="0" w:line="259" w:lineRule="auto"/>
              <w:ind w:left="0" w:right="26" w:firstLine="0"/>
              <w:jc w:val="center"/>
            </w:pPr>
          </w:p>
        </w:tc>
      </w:tr>
      <w:tr w:rsidR="001B2371" w14:paraId="023B171B" w14:textId="77777777" w:rsidTr="00C23B62">
        <w:trPr>
          <w:trHeight w:val="250"/>
        </w:trPr>
        <w:tc>
          <w:tcPr>
            <w:tcW w:w="3240" w:type="dxa"/>
            <w:tcBorders>
              <w:top w:val="single" w:sz="4" w:space="0" w:color="000000"/>
              <w:left w:val="single" w:sz="12" w:space="0" w:color="000000"/>
              <w:bottom w:val="single" w:sz="4" w:space="0" w:color="000000"/>
              <w:right w:val="single" w:sz="12" w:space="0" w:color="000000"/>
            </w:tcBorders>
          </w:tcPr>
          <w:p w14:paraId="58C306CC" w14:textId="77777777" w:rsidR="00B0429D" w:rsidRDefault="00B0429D" w:rsidP="00B0429D">
            <w:pPr>
              <w:spacing w:after="0" w:line="259" w:lineRule="auto"/>
              <w:ind w:left="2" w:right="0" w:firstLine="0"/>
            </w:pPr>
            <w:r>
              <w:rPr>
                <w:sz w:val="18"/>
              </w:rPr>
              <w:t>2,3-Dichlorobiphenyl</w:t>
            </w:r>
            <w:r>
              <w:rPr>
                <w:b/>
                <w:sz w:val="18"/>
              </w:rPr>
              <w:t xml:space="preserve"> </w:t>
            </w:r>
          </w:p>
        </w:tc>
        <w:tc>
          <w:tcPr>
            <w:tcW w:w="1350" w:type="dxa"/>
            <w:tcBorders>
              <w:top w:val="single" w:sz="4" w:space="0" w:color="000000"/>
              <w:left w:val="single" w:sz="12" w:space="0" w:color="000000"/>
              <w:bottom w:val="single" w:sz="4" w:space="0" w:color="000000"/>
              <w:right w:val="single" w:sz="12" w:space="0" w:color="000000"/>
            </w:tcBorders>
          </w:tcPr>
          <w:p w14:paraId="4CE893A7" w14:textId="2F83B749" w:rsidR="00B0429D" w:rsidRDefault="00B0429D" w:rsidP="0037652D">
            <w:pPr>
              <w:spacing w:after="0" w:line="259" w:lineRule="auto"/>
              <w:ind w:left="0" w:right="68" w:firstLine="0"/>
              <w:jc w:val="center"/>
            </w:pPr>
            <w:r>
              <w:rPr>
                <w:sz w:val="18"/>
              </w:rPr>
              <w:t>16605-91-7</w:t>
            </w:r>
          </w:p>
        </w:tc>
        <w:tc>
          <w:tcPr>
            <w:tcW w:w="720" w:type="dxa"/>
            <w:tcBorders>
              <w:top w:val="single" w:sz="4" w:space="0" w:color="000000"/>
              <w:left w:val="single" w:sz="12" w:space="0" w:color="000000"/>
              <w:bottom w:val="single" w:sz="4" w:space="0" w:color="000000"/>
              <w:right w:val="single" w:sz="12" w:space="0" w:color="000000"/>
            </w:tcBorders>
          </w:tcPr>
          <w:p w14:paraId="11755BD1" w14:textId="6B1B3433" w:rsidR="00B0429D" w:rsidRDefault="00B0429D" w:rsidP="0037652D">
            <w:pPr>
              <w:tabs>
                <w:tab w:val="center" w:pos="354"/>
              </w:tabs>
              <w:spacing w:after="0" w:line="259" w:lineRule="auto"/>
              <w:ind w:left="0" w:right="0" w:firstLine="0"/>
              <w:jc w:val="center"/>
            </w:pPr>
            <w:r>
              <w:rPr>
                <w:sz w:val="18"/>
              </w:rPr>
              <w:t>1</w:t>
            </w:r>
          </w:p>
        </w:tc>
        <w:tc>
          <w:tcPr>
            <w:tcW w:w="887" w:type="dxa"/>
            <w:tcBorders>
              <w:top w:val="single" w:sz="4" w:space="0" w:color="000000"/>
              <w:left w:val="single" w:sz="12" w:space="0" w:color="000000"/>
              <w:bottom w:val="single" w:sz="4" w:space="0" w:color="000000"/>
              <w:right w:val="single" w:sz="12" w:space="0" w:color="000000"/>
            </w:tcBorders>
          </w:tcPr>
          <w:p w14:paraId="5E5014D9" w14:textId="0DAE69B6" w:rsidR="00B0429D" w:rsidRDefault="00B0429D" w:rsidP="0037652D">
            <w:pPr>
              <w:spacing w:after="0" w:line="259" w:lineRule="auto"/>
              <w:ind w:left="0" w:right="72" w:firstLine="0"/>
              <w:jc w:val="center"/>
            </w:pPr>
            <w:r>
              <w:rPr>
                <w:sz w:val="18"/>
              </w:rPr>
              <w:t>ug/L</w:t>
            </w:r>
          </w:p>
        </w:tc>
        <w:tc>
          <w:tcPr>
            <w:tcW w:w="1093" w:type="dxa"/>
            <w:tcBorders>
              <w:top w:val="single" w:sz="4" w:space="0" w:color="000000"/>
              <w:left w:val="single" w:sz="12" w:space="0" w:color="000000"/>
              <w:bottom w:val="single" w:sz="4" w:space="0" w:color="000000"/>
              <w:right w:val="single" w:sz="12" w:space="0" w:color="000000"/>
            </w:tcBorders>
          </w:tcPr>
          <w:p w14:paraId="413CC450" w14:textId="771A3538" w:rsidR="00B0429D" w:rsidRDefault="00B0429D" w:rsidP="0037652D">
            <w:pPr>
              <w:spacing w:after="0" w:line="259" w:lineRule="auto"/>
              <w:ind w:left="0" w:right="69" w:firstLine="0"/>
              <w:jc w:val="center"/>
            </w:pPr>
            <w:r>
              <w:rPr>
                <w:sz w:val="18"/>
              </w:rPr>
              <w:t>N/A</w:t>
            </w:r>
          </w:p>
        </w:tc>
        <w:tc>
          <w:tcPr>
            <w:tcW w:w="1036" w:type="dxa"/>
            <w:tcBorders>
              <w:top w:val="single" w:sz="4" w:space="0" w:color="000000"/>
              <w:left w:val="single" w:sz="12" w:space="0" w:color="000000"/>
              <w:bottom w:val="single" w:sz="4" w:space="0" w:color="000000"/>
              <w:right w:val="single" w:sz="12" w:space="0" w:color="000000"/>
            </w:tcBorders>
          </w:tcPr>
          <w:p w14:paraId="53441817" w14:textId="437897D6" w:rsidR="00B0429D" w:rsidRDefault="00B0429D" w:rsidP="0037652D">
            <w:pPr>
              <w:spacing w:after="0" w:line="259" w:lineRule="auto"/>
              <w:ind w:left="0" w:right="71" w:firstLine="0"/>
              <w:jc w:val="center"/>
            </w:pPr>
            <w:r>
              <w:rPr>
                <w:sz w:val="18"/>
              </w:rPr>
              <w:t>N/A</w:t>
            </w:r>
          </w:p>
        </w:tc>
        <w:tc>
          <w:tcPr>
            <w:tcW w:w="1034" w:type="dxa"/>
            <w:tcBorders>
              <w:top w:val="single" w:sz="4" w:space="0" w:color="000000"/>
              <w:left w:val="single" w:sz="12" w:space="0" w:color="000000"/>
              <w:bottom w:val="single" w:sz="4" w:space="0" w:color="000000"/>
              <w:right w:val="single" w:sz="12" w:space="0" w:color="000000"/>
            </w:tcBorders>
          </w:tcPr>
          <w:p w14:paraId="765CFAD3" w14:textId="0465B534" w:rsidR="00B0429D" w:rsidRDefault="00B0429D" w:rsidP="00C21A82">
            <w:pPr>
              <w:spacing w:after="0" w:line="259" w:lineRule="auto"/>
              <w:ind w:left="56" w:right="0" w:firstLine="0"/>
              <w:jc w:val="center"/>
            </w:pPr>
            <w:r>
              <w:rPr>
                <w:b/>
                <w:sz w:val="18"/>
              </w:rPr>
              <w:t>525.2</w:t>
            </w:r>
          </w:p>
        </w:tc>
        <w:tc>
          <w:tcPr>
            <w:tcW w:w="661" w:type="dxa"/>
            <w:tcBorders>
              <w:top w:val="single" w:sz="4" w:space="0" w:color="000000"/>
              <w:left w:val="single" w:sz="12" w:space="0" w:color="000000"/>
              <w:bottom w:val="single" w:sz="4" w:space="0" w:color="000000"/>
              <w:right w:val="single" w:sz="12" w:space="0" w:color="000000"/>
            </w:tcBorders>
          </w:tcPr>
          <w:p w14:paraId="680F7400" w14:textId="4CE531CE" w:rsidR="00B0429D" w:rsidRDefault="00B0429D" w:rsidP="0037652D">
            <w:pPr>
              <w:spacing w:after="0" w:line="259" w:lineRule="auto"/>
              <w:ind w:left="0" w:right="26" w:firstLine="0"/>
              <w:jc w:val="center"/>
            </w:pPr>
          </w:p>
        </w:tc>
        <w:tc>
          <w:tcPr>
            <w:tcW w:w="509" w:type="dxa"/>
            <w:tcBorders>
              <w:top w:val="single" w:sz="4" w:space="0" w:color="000000"/>
              <w:left w:val="single" w:sz="12" w:space="0" w:color="000000"/>
              <w:bottom w:val="single" w:sz="4" w:space="0" w:color="000000"/>
              <w:right w:val="single" w:sz="12" w:space="0" w:color="000000"/>
            </w:tcBorders>
          </w:tcPr>
          <w:p w14:paraId="33E20DE0" w14:textId="0FB4823B" w:rsidR="00B0429D" w:rsidRDefault="00B0429D" w:rsidP="0037652D">
            <w:pPr>
              <w:spacing w:after="0" w:line="259" w:lineRule="auto"/>
              <w:ind w:left="0" w:right="26" w:firstLine="0"/>
              <w:jc w:val="center"/>
            </w:pPr>
          </w:p>
        </w:tc>
      </w:tr>
      <w:tr w:rsidR="001B2371" w14:paraId="739FE1B6" w14:textId="77777777" w:rsidTr="00C23B62">
        <w:trPr>
          <w:trHeight w:val="250"/>
        </w:trPr>
        <w:tc>
          <w:tcPr>
            <w:tcW w:w="3240" w:type="dxa"/>
            <w:tcBorders>
              <w:top w:val="single" w:sz="4" w:space="0" w:color="000000"/>
              <w:left w:val="single" w:sz="12" w:space="0" w:color="000000"/>
              <w:bottom w:val="single" w:sz="4" w:space="0" w:color="000000"/>
              <w:right w:val="single" w:sz="12" w:space="0" w:color="000000"/>
            </w:tcBorders>
          </w:tcPr>
          <w:p w14:paraId="2FF21A49" w14:textId="77777777" w:rsidR="00B0429D" w:rsidRDefault="00B0429D" w:rsidP="00B0429D">
            <w:pPr>
              <w:spacing w:after="0" w:line="259" w:lineRule="auto"/>
              <w:ind w:left="2" w:right="0" w:firstLine="0"/>
            </w:pPr>
            <w:r>
              <w:rPr>
                <w:sz w:val="18"/>
              </w:rPr>
              <w:t xml:space="preserve">2,2’,3,3’,4,4’,6-Heptachlorobiphenyl </w:t>
            </w:r>
          </w:p>
        </w:tc>
        <w:tc>
          <w:tcPr>
            <w:tcW w:w="1350" w:type="dxa"/>
            <w:tcBorders>
              <w:top w:val="single" w:sz="4" w:space="0" w:color="000000"/>
              <w:left w:val="single" w:sz="12" w:space="0" w:color="000000"/>
              <w:bottom w:val="single" w:sz="4" w:space="0" w:color="000000"/>
              <w:right w:val="single" w:sz="12" w:space="0" w:color="000000"/>
            </w:tcBorders>
          </w:tcPr>
          <w:p w14:paraId="75E73431" w14:textId="1AF4D579" w:rsidR="00B0429D" w:rsidRDefault="00B0429D" w:rsidP="0037652D">
            <w:pPr>
              <w:spacing w:after="0" w:line="259" w:lineRule="auto"/>
              <w:ind w:left="0" w:right="68" w:firstLine="0"/>
              <w:jc w:val="center"/>
            </w:pPr>
            <w:r>
              <w:rPr>
                <w:sz w:val="18"/>
              </w:rPr>
              <w:t>52663-71-5</w:t>
            </w:r>
          </w:p>
        </w:tc>
        <w:tc>
          <w:tcPr>
            <w:tcW w:w="720" w:type="dxa"/>
            <w:tcBorders>
              <w:top w:val="single" w:sz="4" w:space="0" w:color="000000"/>
              <w:left w:val="single" w:sz="12" w:space="0" w:color="000000"/>
              <w:bottom w:val="single" w:sz="4" w:space="0" w:color="000000"/>
              <w:right w:val="single" w:sz="12" w:space="0" w:color="000000"/>
            </w:tcBorders>
          </w:tcPr>
          <w:p w14:paraId="41CA2C32" w14:textId="3DAE33BC" w:rsidR="00B0429D" w:rsidRDefault="00B0429D" w:rsidP="0037652D">
            <w:pPr>
              <w:tabs>
                <w:tab w:val="center" w:pos="399"/>
              </w:tabs>
              <w:spacing w:after="0" w:line="259" w:lineRule="auto"/>
              <w:ind w:left="0" w:right="0" w:firstLine="0"/>
              <w:jc w:val="center"/>
            </w:pPr>
            <w:r>
              <w:rPr>
                <w:sz w:val="18"/>
              </w:rPr>
              <w:t>0.5</w:t>
            </w:r>
          </w:p>
        </w:tc>
        <w:tc>
          <w:tcPr>
            <w:tcW w:w="887" w:type="dxa"/>
            <w:tcBorders>
              <w:top w:val="single" w:sz="4" w:space="0" w:color="000000"/>
              <w:left w:val="single" w:sz="12" w:space="0" w:color="000000"/>
              <w:bottom w:val="single" w:sz="4" w:space="0" w:color="000000"/>
              <w:right w:val="single" w:sz="12" w:space="0" w:color="000000"/>
            </w:tcBorders>
          </w:tcPr>
          <w:p w14:paraId="040E3F54" w14:textId="5F0396A6" w:rsidR="00B0429D" w:rsidRDefault="00B0429D" w:rsidP="0037652D">
            <w:pPr>
              <w:spacing w:after="0" w:line="259" w:lineRule="auto"/>
              <w:ind w:left="0" w:right="72" w:firstLine="0"/>
              <w:jc w:val="center"/>
            </w:pPr>
            <w:r>
              <w:rPr>
                <w:sz w:val="18"/>
              </w:rPr>
              <w:t>ug/L</w:t>
            </w:r>
          </w:p>
        </w:tc>
        <w:tc>
          <w:tcPr>
            <w:tcW w:w="1093" w:type="dxa"/>
            <w:tcBorders>
              <w:top w:val="single" w:sz="4" w:space="0" w:color="000000"/>
              <w:left w:val="single" w:sz="12" w:space="0" w:color="000000"/>
              <w:bottom w:val="single" w:sz="4" w:space="0" w:color="000000"/>
              <w:right w:val="single" w:sz="12" w:space="0" w:color="000000"/>
            </w:tcBorders>
          </w:tcPr>
          <w:p w14:paraId="31A01FBB" w14:textId="27B758F7" w:rsidR="00B0429D" w:rsidRDefault="00B0429D" w:rsidP="0037652D">
            <w:pPr>
              <w:spacing w:after="0" w:line="259" w:lineRule="auto"/>
              <w:ind w:left="0" w:right="69" w:firstLine="0"/>
              <w:jc w:val="center"/>
            </w:pPr>
            <w:r>
              <w:rPr>
                <w:sz w:val="18"/>
              </w:rPr>
              <w:t>N/A</w:t>
            </w:r>
          </w:p>
        </w:tc>
        <w:tc>
          <w:tcPr>
            <w:tcW w:w="1036" w:type="dxa"/>
            <w:tcBorders>
              <w:top w:val="single" w:sz="4" w:space="0" w:color="000000"/>
              <w:left w:val="single" w:sz="12" w:space="0" w:color="000000"/>
              <w:bottom w:val="single" w:sz="4" w:space="0" w:color="000000"/>
              <w:right w:val="single" w:sz="12" w:space="0" w:color="000000"/>
            </w:tcBorders>
          </w:tcPr>
          <w:p w14:paraId="66EE14D5" w14:textId="3FDCBC78" w:rsidR="00B0429D" w:rsidRDefault="00B0429D" w:rsidP="0037652D">
            <w:pPr>
              <w:spacing w:after="0" w:line="259" w:lineRule="auto"/>
              <w:ind w:left="0" w:right="71" w:firstLine="0"/>
              <w:jc w:val="center"/>
            </w:pPr>
            <w:r>
              <w:rPr>
                <w:sz w:val="18"/>
              </w:rPr>
              <w:t>N/A</w:t>
            </w:r>
          </w:p>
        </w:tc>
        <w:tc>
          <w:tcPr>
            <w:tcW w:w="1034" w:type="dxa"/>
            <w:tcBorders>
              <w:top w:val="single" w:sz="4" w:space="0" w:color="000000"/>
              <w:left w:val="single" w:sz="12" w:space="0" w:color="000000"/>
              <w:bottom w:val="single" w:sz="4" w:space="0" w:color="000000"/>
              <w:right w:val="single" w:sz="12" w:space="0" w:color="000000"/>
            </w:tcBorders>
          </w:tcPr>
          <w:p w14:paraId="56A22FA8" w14:textId="12371F0A" w:rsidR="00B0429D" w:rsidRDefault="00B0429D" w:rsidP="00C21A82">
            <w:pPr>
              <w:spacing w:after="0" w:line="259" w:lineRule="auto"/>
              <w:ind w:left="56" w:right="0" w:firstLine="0"/>
              <w:jc w:val="center"/>
            </w:pPr>
            <w:r>
              <w:rPr>
                <w:b/>
                <w:sz w:val="18"/>
              </w:rPr>
              <w:t>525.2</w:t>
            </w:r>
          </w:p>
        </w:tc>
        <w:tc>
          <w:tcPr>
            <w:tcW w:w="661" w:type="dxa"/>
            <w:tcBorders>
              <w:top w:val="single" w:sz="4" w:space="0" w:color="000000"/>
              <w:left w:val="single" w:sz="12" w:space="0" w:color="000000"/>
              <w:bottom w:val="single" w:sz="4" w:space="0" w:color="000000"/>
              <w:right w:val="single" w:sz="12" w:space="0" w:color="000000"/>
            </w:tcBorders>
          </w:tcPr>
          <w:p w14:paraId="270B18AC" w14:textId="67AE7522" w:rsidR="00B0429D" w:rsidRDefault="00B0429D" w:rsidP="0037652D">
            <w:pPr>
              <w:spacing w:after="0" w:line="259" w:lineRule="auto"/>
              <w:ind w:left="0" w:right="26" w:firstLine="0"/>
              <w:jc w:val="center"/>
            </w:pPr>
          </w:p>
        </w:tc>
        <w:tc>
          <w:tcPr>
            <w:tcW w:w="509" w:type="dxa"/>
            <w:tcBorders>
              <w:top w:val="single" w:sz="4" w:space="0" w:color="000000"/>
              <w:left w:val="single" w:sz="12" w:space="0" w:color="000000"/>
              <w:bottom w:val="single" w:sz="4" w:space="0" w:color="000000"/>
              <w:right w:val="single" w:sz="12" w:space="0" w:color="000000"/>
            </w:tcBorders>
          </w:tcPr>
          <w:p w14:paraId="6FBE53C0" w14:textId="2AD08387" w:rsidR="00B0429D" w:rsidRDefault="00B0429D" w:rsidP="0037652D">
            <w:pPr>
              <w:spacing w:after="0" w:line="259" w:lineRule="auto"/>
              <w:ind w:left="0" w:right="26" w:firstLine="0"/>
              <w:jc w:val="center"/>
            </w:pPr>
          </w:p>
        </w:tc>
      </w:tr>
      <w:tr w:rsidR="001B2371" w14:paraId="7B75F278" w14:textId="77777777" w:rsidTr="00C23B62">
        <w:trPr>
          <w:trHeight w:val="250"/>
        </w:trPr>
        <w:tc>
          <w:tcPr>
            <w:tcW w:w="3240" w:type="dxa"/>
            <w:tcBorders>
              <w:top w:val="single" w:sz="4" w:space="0" w:color="000000"/>
              <w:left w:val="single" w:sz="12" w:space="0" w:color="000000"/>
              <w:bottom w:val="single" w:sz="4" w:space="0" w:color="000000"/>
              <w:right w:val="single" w:sz="12" w:space="0" w:color="000000"/>
            </w:tcBorders>
          </w:tcPr>
          <w:p w14:paraId="57A2F1C9" w14:textId="77777777" w:rsidR="00B0429D" w:rsidRDefault="00B0429D" w:rsidP="00B0429D">
            <w:pPr>
              <w:spacing w:after="0" w:line="259" w:lineRule="auto"/>
              <w:ind w:left="2" w:right="0" w:firstLine="0"/>
            </w:pPr>
            <w:r>
              <w:rPr>
                <w:sz w:val="18"/>
              </w:rPr>
              <w:t>2,2’,4,4’,5,6’-Hexachlorobiphenyl</w:t>
            </w:r>
            <w:r>
              <w:rPr>
                <w:b/>
                <w:sz w:val="18"/>
              </w:rPr>
              <w:t xml:space="preserve"> </w:t>
            </w:r>
          </w:p>
        </w:tc>
        <w:tc>
          <w:tcPr>
            <w:tcW w:w="1350" w:type="dxa"/>
            <w:tcBorders>
              <w:top w:val="single" w:sz="4" w:space="0" w:color="000000"/>
              <w:left w:val="single" w:sz="12" w:space="0" w:color="000000"/>
              <w:bottom w:val="single" w:sz="4" w:space="0" w:color="000000"/>
              <w:right w:val="single" w:sz="12" w:space="0" w:color="000000"/>
            </w:tcBorders>
          </w:tcPr>
          <w:p w14:paraId="212290CD" w14:textId="1C529448" w:rsidR="00B0429D" w:rsidRDefault="00B0429D" w:rsidP="0037652D">
            <w:pPr>
              <w:spacing w:after="0" w:line="259" w:lineRule="auto"/>
              <w:ind w:left="0" w:right="68" w:firstLine="0"/>
              <w:jc w:val="center"/>
            </w:pPr>
            <w:r>
              <w:rPr>
                <w:sz w:val="18"/>
              </w:rPr>
              <w:t>60145-22-4</w:t>
            </w:r>
          </w:p>
        </w:tc>
        <w:tc>
          <w:tcPr>
            <w:tcW w:w="720" w:type="dxa"/>
            <w:tcBorders>
              <w:top w:val="single" w:sz="4" w:space="0" w:color="000000"/>
              <w:left w:val="single" w:sz="12" w:space="0" w:color="000000"/>
              <w:bottom w:val="single" w:sz="4" w:space="0" w:color="000000"/>
              <w:right w:val="single" w:sz="12" w:space="0" w:color="000000"/>
            </w:tcBorders>
          </w:tcPr>
          <w:p w14:paraId="4619C7B6" w14:textId="270F5783" w:rsidR="00B0429D" w:rsidRDefault="00B0429D" w:rsidP="0037652D">
            <w:pPr>
              <w:tabs>
                <w:tab w:val="center" w:pos="399"/>
              </w:tabs>
              <w:spacing w:after="0" w:line="259" w:lineRule="auto"/>
              <w:ind w:left="0" w:right="0" w:firstLine="0"/>
              <w:jc w:val="center"/>
            </w:pPr>
            <w:r>
              <w:rPr>
                <w:sz w:val="18"/>
              </w:rPr>
              <w:t>0.5</w:t>
            </w:r>
          </w:p>
        </w:tc>
        <w:tc>
          <w:tcPr>
            <w:tcW w:w="887" w:type="dxa"/>
            <w:tcBorders>
              <w:top w:val="single" w:sz="4" w:space="0" w:color="000000"/>
              <w:left w:val="single" w:sz="12" w:space="0" w:color="000000"/>
              <w:bottom w:val="single" w:sz="4" w:space="0" w:color="000000"/>
              <w:right w:val="single" w:sz="12" w:space="0" w:color="000000"/>
            </w:tcBorders>
          </w:tcPr>
          <w:p w14:paraId="660F76A5" w14:textId="129D0FC3" w:rsidR="00B0429D" w:rsidRDefault="00B0429D" w:rsidP="0037652D">
            <w:pPr>
              <w:spacing w:after="0" w:line="259" w:lineRule="auto"/>
              <w:ind w:left="0" w:right="72" w:firstLine="0"/>
              <w:jc w:val="center"/>
            </w:pPr>
            <w:r>
              <w:rPr>
                <w:sz w:val="18"/>
              </w:rPr>
              <w:t>ug/L</w:t>
            </w:r>
          </w:p>
        </w:tc>
        <w:tc>
          <w:tcPr>
            <w:tcW w:w="1093" w:type="dxa"/>
            <w:tcBorders>
              <w:top w:val="single" w:sz="4" w:space="0" w:color="000000"/>
              <w:left w:val="single" w:sz="12" w:space="0" w:color="000000"/>
              <w:bottom w:val="single" w:sz="4" w:space="0" w:color="000000"/>
              <w:right w:val="single" w:sz="12" w:space="0" w:color="000000"/>
            </w:tcBorders>
          </w:tcPr>
          <w:p w14:paraId="7A47767F" w14:textId="2E727725" w:rsidR="00B0429D" w:rsidRDefault="00B0429D" w:rsidP="0037652D">
            <w:pPr>
              <w:spacing w:after="0" w:line="259" w:lineRule="auto"/>
              <w:ind w:left="0" w:right="69" w:firstLine="0"/>
              <w:jc w:val="center"/>
            </w:pPr>
            <w:r>
              <w:rPr>
                <w:sz w:val="18"/>
              </w:rPr>
              <w:t>N/A</w:t>
            </w:r>
          </w:p>
        </w:tc>
        <w:tc>
          <w:tcPr>
            <w:tcW w:w="1036" w:type="dxa"/>
            <w:tcBorders>
              <w:top w:val="single" w:sz="4" w:space="0" w:color="000000"/>
              <w:left w:val="single" w:sz="12" w:space="0" w:color="000000"/>
              <w:bottom w:val="single" w:sz="4" w:space="0" w:color="000000"/>
              <w:right w:val="single" w:sz="12" w:space="0" w:color="000000"/>
            </w:tcBorders>
          </w:tcPr>
          <w:p w14:paraId="2299EF2F" w14:textId="78518EF8" w:rsidR="00B0429D" w:rsidRDefault="00B0429D" w:rsidP="0037652D">
            <w:pPr>
              <w:spacing w:after="0" w:line="259" w:lineRule="auto"/>
              <w:ind w:left="0" w:right="71" w:firstLine="0"/>
              <w:jc w:val="center"/>
            </w:pPr>
            <w:r>
              <w:rPr>
                <w:sz w:val="18"/>
              </w:rPr>
              <w:t>N/A</w:t>
            </w:r>
          </w:p>
        </w:tc>
        <w:tc>
          <w:tcPr>
            <w:tcW w:w="1034" w:type="dxa"/>
            <w:tcBorders>
              <w:top w:val="single" w:sz="4" w:space="0" w:color="000000"/>
              <w:left w:val="single" w:sz="12" w:space="0" w:color="000000"/>
              <w:bottom w:val="single" w:sz="4" w:space="0" w:color="000000"/>
              <w:right w:val="single" w:sz="12" w:space="0" w:color="000000"/>
            </w:tcBorders>
          </w:tcPr>
          <w:p w14:paraId="06799A18" w14:textId="6BE6B9B3" w:rsidR="00B0429D" w:rsidRDefault="00B0429D" w:rsidP="00C21A82">
            <w:pPr>
              <w:spacing w:after="0" w:line="259" w:lineRule="auto"/>
              <w:ind w:left="56" w:right="0" w:firstLine="0"/>
              <w:jc w:val="center"/>
            </w:pPr>
            <w:r>
              <w:rPr>
                <w:b/>
                <w:sz w:val="18"/>
              </w:rPr>
              <w:t>525.2</w:t>
            </w:r>
          </w:p>
        </w:tc>
        <w:tc>
          <w:tcPr>
            <w:tcW w:w="661" w:type="dxa"/>
            <w:tcBorders>
              <w:top w:val="single" w:sz="4" w:space="0" w:color="000000"/>
              <w:left w:val="single" w:sz="12" w:space="0" w:color="000000"/>
              <w:bottom w:val="single" w:sz="4" w:space="0" w:color="000000"/>
              <w:right w:val="single" w:sz="12" w:space="0" w:color="000000"/>
            </w:tcBorders>
          </w:tcPr>
          <w:p w14:paraId="02195128" w14:textId="0D6F00BE" w:rsidR="00B0429D" w:rsidRDefault="00B0429D" w:rsidP="0037652D">
            <w:pPr>
              <w:spacing w:after="0" w:line="259" w:lineRule="auto"/>
              <w:ind w:left="0" w:right="26" w:firstLine="0"/>
              <w:jc w:val="center"/>
            </w:pPr>
          </w:p>
        </w:tc>
        <w:tc>
          <w:tcPr>
            <w:tcW w:w="509" w:type="dxa"/>
            <w:tcBorders>
              <w:top w:val="single" w:sz="4" w:space="0" w:color="000000"/>
              <w:left w:val="single" w:sz="12" w:space="0" w:color="000000"/>
              <w:bottom w:val="single" w:sz="4" w:space="0" w:color="000000"/>
              <w:right w:val="single" w:sz="12" w:space="0" w:color="000000"/>
            </w:tcBorders>
          </w:tcPr>
          <w:p w14:paraId="204B151E" w14:textId="767C1E1C" w:rsidR="00B0429D" w:rsidRDefault="00B0429D" w:rsidP="0037652D">
            <w:pPr>
              <w:spacing w:after="0" w:line="259" w:lineRule="auto"/>
              <w:ind w:left="0" w:right="26" w:firstLine="0"/>
              <w:jc w:val="center"/>
            </w:pPr>
          </w:p>
        </w:tc>
      </w:tr>
      <w:tr w:rsidR="001B2371" w14:paraId="507E49A2" w14:textId="77777777" w:rsidTr="00C23B62">
        <w:trPr>
          <w:trHeight w:val="250"/>
        </w:trPr>
        <w:tc>
          <w:tcPr>
            <w:tcW w:w="3240" w:type="dxa"/>
            <w:tcBorders>
              <w:top w:val="single" w:sz="4" w:space="0" w:color="000000"/>
              <w:left w:val="single" w:sz="12" w:space="0" w:color="000000"/>
              <w:bottom w:val="single" w:sz="4" w:space="0" w:color="000000"/>
              <w:right w:val="single" w:sz="12" w:space="0" w:color="000000"/>
            </w:tcBorders>
          </w:tcPr>
          <w:p w14:paraId="76E3DCE0" w14:textId="77777777" w:rsidR="00B0429D" w:rsidRDefault="00B0429D" w:rsidP="00B0429D">
            <w:pPr>
              <w:spacing w:after="0" w:line="259" w:lineRule="auto"/>
              <w:ind w:left="2" w:right="0" w:firstLine="0"/>
            </w:pPr>
            <w:r>
              <w:rPr>
                <w:sz w:val="18"/>
              </w:rPr>
              <w:t xml:space="preserve">2,2’,3,3’,4,5’,6,6’-Octachlorobiphenyl </w:t>
            </w:r>
          </w:p>
        </w:tc>
        <w:tc>
          <w:tcPr>
            <w:tcW w:w="1350" w:type="dxa"/>
            <w:tcBorders>
              <w:top w:val="single" w:sz="4" w:space="0" w:color="000000"/>
              <w:left w:val="single" w:sz="12" w:space="0" w:color="000000"/>
              <w:bottom w:val="single" w:sz="4" w:space="0" w:color="000000"/>
              <w:right w:val="single" w:sz="12" w:space="0" w:color="000000"/>
            </w:tcBorders>
          </w:tcPr>
          <w:p w14:paraId="1E9D842C" w14:textId="129C1501" w:rsidR="00B0429D" w:rsidRDefault="00B0429D" w:rsidP="0037652D">
            <w:pPr>
              <w:spacing w:after="0" w:line="259" w:lineRule="auto"/>
              <w:ind w:left="0" w:right="68" w:firstLine="0"/>
              <w:jc w:val="center"/>
            </w:pPr>
            <w:r>
              <w:rPr>
                <w:sz w:val="18"/>
              </w:rPr>
              <w:t>50186-71-8</w:t>
            </w:r>
          </w:p>
        </w:tc>
        <w:tc>
          <w:tcPr>
            <w:tcW w:w="720" w:type="dxa"/>
            <w:tcBorders>
              <w:top w:val="single" w:sz="4" w:space="0" w:color="000000"/>
              <w:left w:val="single" w:sz="12" w:space="0" w:color="000000"/>
              <w:bottom w:val="single" w:sz="4" w:space="0" w:color="000000"/>
              <w:right w:val="single" w:sz="12" w:space="0" w:color="000000"/>
            </w:tcBorders>
          </w:tcPr>
          <w:p w14:paraId="1BE45D22" w14:textId="08DE9285" w:rsidR="00B0429D" w:rsidRDefault="00B0429D" w:rsidP="0037652D">
            <w:pPr>
              <w:tabs>
                <w:tab w:val="center" w:pos="399"/>
              </w:tabs>
              <w:spacing w:after="0" w:line="259" w:lineRule="auto"/>
              <w:ind w:left="0" w:right="0" w:firstLine="0"/>
              <w:jc w:val="center"/>
            </w:pPr>
            <w:r>
              <w:rPr>
                <w:sz w:val="18"/>
              </w:rPr>
              <w:t>0.5</w:t>
            </w:r>
          </w:p>
        </w:tc>
        <w:tc>
          <w:tcPr>
            <w:tcW w:w="887" w:type="dxa"/>
            <w:tcBorders>
              <w:top w:val="single" w:sz="4" w:space="0" w:color="000000"/>
              <w:left w:val="single" w:sz="12" w:space="0" w:color="000000"/>
              <w:bottom w:val="single" w:sz="4" w:space="0" w:color="000000"/>
              <w:right w:val="single" w:sz="12" w:space="0" w:color="000000"/>
            </w:tcBorders>
          </w:tcPr>
          <w:p w14:paraId="22D5B054" w14:textId="5DA7B2E9" w:rsidR="00B0429D" w:rsidRDefault="00B0429D" w:rsidP="0037652D">
            <w:pPr>
              <w:spacing w:after="0" w:line="259" w:lineRule="auto"/>
              <w:ind w:left="0" w:right="72" w:firstLine="0"/>
              <w:jc w:val="center"/>
            </w:pPr>
            <w:r>
              <w:rPr>
                <w:sz w:val="18"/>
              </w:rPr>
              <w:t>ug/L</w:t>
            </w:r>
          </w:p>
        </w:tc>
        <w:tc>
          <w:tcPr>
            <w:tcW w:w="1093" w:type="dxa"/>
            <w:tcBorders>
              <w:top w:val="single" w:sz="4" w:space="0" w:color="000000"/>
              <w:left w:val="single" w:sz="12" w:space="0" w:color="000000"/>
              <w:bottom w:val="single" w:sz="4" w:space="0" w:color="000000"/>
              <w:right w:val="single" w:sz="12" w:space="0" w:color="000000"/>
            </w:tcBorders>
          </w:tcPr>
          <w:p w14:paraId="7ADA4B39" w14:textId="05877023" w:rsidR="00B0429D" w:rsidRDefault="00B0429D" w:rsidP="0037652D">
            <w:pPr>
              <w:spacing w:after="0" w:line="259" w:lineRule="auto"/>
              <w:ind w:left="0" w:right="69" w:firstLine="0"/>
              <w:jc w:val="center"/>
            </w:pPr>
            <w:r>
              <w:rPr>
                <w:sz w:val="18"/>
              </w:rPr>
              <w:t>N/A</w:t>
            </w:r>
          </w:p>
        </w:tc>
        <w:tc>
          <w:tcPr>
            <w:tcW w:w="1036" w:type="dxa"/>
            <w:tcBorders>
              <w:top w:val="single" w:sz="4" w:space="0" w:color="000000"/>
              <w:left w:val="single" w:sz="12" w:space="0" w:color="000000"/>
              <w:bottom w:val="single" w:sz="4" w:space="0" w:color="000000"/>
              <w:right w:val="single" w:sz="12" w:space="0" w:color="000000"/>
            </w:tcBorders>
          </w:tcPr>
          <w:p w14:paraId="2384B934" w14:textId="37E599E0" w:rsidR="00B0429D" w:rsidRDefault="00B0429D" w:rsidP="0037652D">
            <w:pPr>
              <w:spacing w:after="0" w:line="259" w:lineRule="auto"/>
              <w:ind w:left="0" w:right="71" w:firstLine="0"/>
              <w:jc w:val="center"/>
            </w:pPr>
            <w:r>
              <w:rPr>
                <w:sz w:val="18"/>
              </w:rPr>
              <w:t>N/A</w:t>
            </w:r>
          </w:p>
        </w:tc>
        <w:tc>
          <w:tcPr>
            <w:tcW w:w="1034" w:type="dxa"/>
            <w:tcBorders>
              <w:top w:val="single" w:sz="4" w:space="0" w:color="000000"/>
              <w:left w:val="single" w:sz="12" w:space="0" w:color="000000"/>
              <w:bottom w:val="single" w:sz="4" w:space="0" w:color="000000"/>
              <w:right w:val="single" w:sz="12" w:space="0" w:color="000000"/>
            </w:tcBorders>
          </w:tcPr>
          <w:p w14:paraId="35C1BE28" w14:textId="7E4CF1D3" w:rsidR="00B0429D" w:rsidRDefault="00B0429D" w:rsidP="00C21A82">
            <w:pPr>
              <w:spacing w:after="0" w:line="259" w:lineRule="auto"/>
              <w:ind w:left="56" w:right="0" w:firstLine="0"/>
              <w:jc w:val="center"/>
            </w:pPr>
            <w:r>
              <w:rPr>
                <w:b/>
                <w:sz w:val="18"/>
              </w:rPr>
              <w:t>525.2</w:t>
            </w:r>
          </w:p>
        </w:tc>
        <w:tc>
          <w:tcPr>
            <w:tcW w:w="661" w:type="dxa"/>
            <w:tcBorders>
              <w:top w:val="single" w:sz="4" w:space="0" w:color="000000"/>
              <w:left w:val="single" w:sz="12" w:space="0" w:color="000000"/>
              <w:bottom w:val="single" w:sz="4" w:space="0" w:color="000000"/>
              <w:right w:val="single" w:sz="12" w:space="0" w:color="000000"/>
            </w:tcBorders>
          </w:tcPr>
          <w:p w14:paraId="64A8DC32" w14:textId="68E6287B" w:rsidR="00B0429D" w:rsidRDefault="00B0429D" w:rsidP="0037652D">
            <w:pPr>
              <w:spacing w:after="0" w:line="259" w:lineRule="auto"/>
              <w:ind w:left="0" w:right="26" w:firstLine="0"/>
              <w:jc w:val="center"/>
            </w:pPr>
          </w:p>
        </w:tc>
        <w:tc>
          <w:tcPr>
            <w:tcW w:w="509" w:type="dxa"/>
            <w:tcBorders>
              <w:top w:val="single" w:sz="4" w:space="0" w:color="000000"/>
              <w:left w:val="single" w:sz="12" w:space="0" w:color="000000"/>
              <w:bottom w:val="single" w:sz="4" w:space="0" w:color="000000"/>
              <w:right w:val="single" w:sz="12" w:space="0" w:color="000000"/>
            </w:tcBorders>
          </w:tcPr>
          <w:p w14:paraId="3D1457EF" w14:textId="60ABE833" w:rsidR="00B0429D" w:rsidRDefault="00B0429D" w:rsidP="0037652D">
            <w:pPr>
              <w:spacing w:after="0" w:line="259" w:lineRule="auto"/>
              <w:ind w:left="0" w:right="26" w:firstLine="0"/>
              <w:jc w:val="center"/>
            </w:pPr>
          </w:p>
        </w:tc>
      </w:tr>
      <w:tr w:rsidR="001B2371" w14:paraId="43C08042" w14:textId="77777777" w:rsidTr="00C23B62">
        <w:trPr>
          <w:trHeight w:val="250"/>
        </w:trPr>
        <w:tc>
          <w:tcPr>
            <w:tcW w:w="3240" w:type="dxa"/>
            <w:tcBorders>
              <w:top w:val="single" w:sz="4" w:space="0" w:color="000000"/>
              <w:left w:val="single" w:sz="12" w:space="0" w:color="000000"/>
              <w:bottom w:val="single" w:sz="4" w:space="0" w:color="000000"/>
              <w:right w:val="single" w:sz="12" w:space="0" w:color="000000"/>
            </w:tcBorders>
          </w:tcPr>
          <w:p w14:paraId="17DBB594" w14:textId="77777777" w:rsidR="00B0429D" w:rsidRDefault="00B0429D" w:rsidP="00B0429D">
            <w:pPr>
              <w:spacing w:after="0" w:line="259" w:lineRule="auto"/>
              <w:ind w:left="2" w:right="0" w:firstLine="0"/>
            </w:pPr>
            <w:r>
              <w:rPr>
                <w:sz w:val="18"/>
              </w:rPr>
              <w:t xml:space="preserve">2,2’,3’,4,6-Pentachlorobiphenyl </w:t>
            </w:r>
          </w:p>
        </w:tc>
        <w:tc>
          <w:tcPr>
            <w:tcW w:w="1350" w:type="dxa"/>
            <w:tcBorders>
              <w:top w:val="single" w:sz="4" w:space="0" w:color="000000"/>
              <w:left w:val="single" w:sz="12" w:space="0" w:color="000000"/>
              <w:bottom w:val="single" w:sz="4" w:space="0" w:color="000000"/>
              <w:right w:val="single" w:sz="12" w:space="0" w:color="000000"/>
            </w:tcBorders>
          </w:tcPr>
          <w:p w14:paraId="62D1AD8E" w14:textId="3DF7CD7C" w:rsidR="00B0429D" w:rsidRDefault="00B0429D" w:rsidP="0037652D">
            <w:pPr>
              <w:spacing w:after="0" w:line="259" w:lineRule="auto"/>
              <w:ind w:left="0" w:right="68" w:firstLine="0"/>
              <w:jc w:val="center"/>
            </w:pPr>
            <w:r>
              <w:rPr>
                <w:sz w:val="18"/>
              </w:rPr>
              <w:t>60233-25-2</w:t>
            </w:r>
          </w:p>
        </w:tc>
        <w:tc>
          <w:tcPr>
            <w:tcW w:w="720" w:type="dxa"/>
            <w:tcBorders>
              <w:top w:val="single" w:sz="4" w:space="0" w:color="000000"/>
              <w:left w:val="single" w:sz="12" w:space="0" w:color="000000"/>
              <w:bottom w:val="single" w:sz="4" w:space="0" w:color="000000"/>
              <w:right w:val="single" w:sz="12" w:space="0" w:color="000000"/>
            </w:tcBorders>
          </w:tcPr>
          <w:p w14:paraId="20FC02AB" w14:textId="6692E988" w:rsidR="00B0429D" w:rsidRDefault="00B0429D" w:rsidP="0037652D">
            <w:pPr>
              <w:tabs>
                <w:tab w:val="center" w:pos="354"/>
              </w:tabs>
              <w:spacing w:after="0" w:line="259" w:lineRule="auto"/>
              <w:ind w:left="0" w:right="0" w:firstLine="0"/>
              <w:jc w:val="center"/>
            </w:pPr>
            <w:r>
              <w:rPr>
                <w:sz w:val="18"/>
              </w:rPr>
              <w:t>1</w:t>
            </w:r>
          </w:p>
        </w:tc>
        <w:tc>
          <w:tcPr>
            <w:tcW w:w="887" w:type="dxa"/>
            <w:tcBorders>
              <w:top w:val="single" w:sz="4" w:space="0" w:color="000000"/>
              <w:left w:val="single" w:sz="12" w:space="0" w:color="000000"/>
              <w:bottom w:val="single" w:sz="4" w:space="0" w:color="000000"/>
              <w:right w:val="single" w:sz="12" w:space="0" w:color="000000"/>
            </w:tcBorders>
          </w:tcPr>
          <w:p w14:paraId="7EFF2B0A" w14:textId="2D15FE4B" w:rsidR="00B0429D" w:rsidRDefault="00B0429D" w:rsidP="0037652D">
            <w:pPr>
              <w:spacing w:after="0" w:line="259" w:lineRule="auto"/>
              <w:ind w:left="0" w:right="72" w:firstLine="0"/>
              <w:jc w:val="center"/>
            </w:pPr>
            <w:r>
              <w:rPr>
                <w:sz w:val="18"/>
              </w:rPr>
              <w:t>ug/L</w:t>
            </w:r>
          </w:p>
        </w:tc>
        <w:tc>
          <w:tcPr>
            <w:tcW w:w="1093" w:type="dxa"/>
            <w:tcBorders>
              <w:top w:val="single" w:sz="4" w:space="0" w:color="000000"/>
              <w:left w:val="single" w:sz="12" w:space="0" w:color="000000"/>
              <w:bottom w:val="single" w:sz="4" w:space="0" w:color="000000"/>
              <w:right w:val="single" w:sz="12" w:space="0" w:color="000000"/>
            </w:tcBorders>
          </w:tcPr>
          <w:p w14:paraId="1E23256E" w14:textId="3FC94EB3" w:rsidR="00B0429D" w:rsidRDefault="00B0429D" w:rsidP="0037652D">
            <w:pPr>
              <w:spacing w:after="0" w:line="259" w:lineRule="auto"/>
              <w:ind w:left="0" w:right="69" w:firstLine="0"/>
              <w:jc w:val="center"/>
            </w:pPr>
            <w:r>
              <w:rPr>
                <w:sz w:val="18"/>
              </w:rPr>
              <w:t>N/A</w:t>
            </w:r>
          </w:p>
        </w:tc>
        <w:tc>
          <w:tcPr>
            <w:tcW w:w="1036" w:type="dxa"/>
            <w:tcBorders>
              <w:top w:val="single" w:sz="4" w:space="0" w:color="000000"/>
              <w:left w:val="single" w:sz="12" w:space="0" w:color="000000"/>
              <w:bottom w:val="single" w:sz="4" w:space="0" w:color="000000"/>
              <w:right w:val="single" w:sz="12" w:space="0" w:color="000000"/>
            </w:tcBorders>
          </w:tcPr>
          <w:p w14:paraId="455FBE1C" w14:textId="28DCFF7F" w:rsidR="00B0429D" w:rsidRDefault="00B0429D" w:rsidP="0037652D">
            <w:pPr>
              <w:spacing w:after="0" w:line="259" w:lineRule="auto"/>
              <w:ind w:left="0" w:right="71" w:firstLine="0"/>
              <w:jc w:val="center"/>
            </w:pPr>
            <w:r>
              <w:rPr>
                <w:sz w:val="18"/>
              </w:rPr>
              <w:t>N/A</w:t>
            </w:r>
          </w:p>
        </w:tc>
        <w:tc>
          <w:tcPr>
            <w:tcW w:w="1034" w:type="dxa"/>
            <w:tcBorders>
              <w:top w:val="single" w:sz="4" w:space="0" w:color="000000"/>
              <w:left w:val="single" w:sz="12" w:space="0" w:color="000000"/>
              <w:bottom w:val="single" w:sz="4" w:space="0" w:color="000000"/>
              <w:right w:val="single" w:sz="12" w:space="0" w:color="000000"/>
            </w:tcBorders>
          </w:tcPr>
          <w:p w14:paraId="050D0726" w14:textId="41427624" w:rsidR="00B0429D" w:rsidRDefault="00B0429D" w:rsidP="00C21A82">
            <w:pPr>
              <w:spacing w:after="0" w:line="259" w:lineRule="auto"/>
              <w:ind w:left="56" w:right="0" w:firstLine="0"/>
              <w:jc w:val="center"/>
            </w:pPr>
            <w:r>
              <w:rPr>
                <w:b/>
                <w:sz w:val="18"/>
              </w:rPr>
              <w:t>525.2</w:t>
            </w:r>
          </w:p>
        </w:tc>
        <w:tc>
          <w:tcPr>
            <w:tcW w:w="661" w:type="dxa"/>
            <w:tcBorders>
              <w:top w:val="single" w:sz="4" w:space="0" w:color="000000"/>
              <w:left w:val="single" w:sz="12" w:space="0" w:color="000000"/>
              <w:bottom w:val="single" w:sz="4" w:space="0" w:color="000000"/>
              <w:right w:val="single" w:sz="12" w:space="0" w:color="000000"/>
            </w:tcBorders>
          </w:tcPr>
          <w:p w14:paraId="5FD80183" w14:textId="2DBB161A" w:rsidR="00B0429D" w:rsidRDefault="00B0429D" w:rsidP="0037652D">
            <w:pPr>
              <w:spacing w:after="0" w:line="259" w:lineRule="auto"/>
              <w:ind w:left="0" w:right="26" w:firstLine="0"/>
              <w:jc w:val="center"/>
            </w:pPr>
          </w:p>
        </w:tc>
        <w:tc>
          <w:tcPr>
            <w:tcW w:w="509" w:type="dxa"/>
            <w:tcBorders>
              <w:top w:val="single" w:sz="4" w:space="0" w:color="000000"/>
              <w:left w:val="single" w:sz="12" w:space="0" w:color="000000"/>
              <w:bottom w:val="single" w:sz="4" w:space="0" w:color="000000"/>
              <w:right w:val="single" w:sz="12" w:space="0" w:color="000000"/>
            </w:tcBorders>
          </w:tcPr>
          <w:p w14:paraId="7CBEEE14" w14:textId="7D4BA0CF" w:rsidR="00B0429D" w:rsidRDefault="00B0429D" w:rsidP="0037652D">
            <w:pPr>
              <w:spacing w:after="0" w:line="259" w:lineRule="auto"/>
              <w:ind w:left="0" w:right="26" w:firstLine="0"/>
              <w:jc w:val="center"/>
            </w:pPr>
          </w:p>
        </w:tc>
      </w:tr>
      <w:tr w:rsidR="001B2371" w14:paraId="14B09E91" w14:textId="77777777" w:rsidTr="00C23B62">
        <w:trPr>
          <w:trHeight w:val="252"/>
        </w:trPr>
        <w:tc>
          <w:tcPr>
            <w:tcW w:w="3240" w:type="dxa"/>
            <w:tcBorders>
              <w:top w:val="single" w:sz="4" w:space="0" w:color="000000"/>
              <w:left w:val="single" w:sz="12" w:space="0" w:color="000000"/>
              <w:bottom w:val="single" w:sz="4" w:space="0" w:color="000000"/>
              <w:right w:val="single" w:sz="12" w:space="0" w:color="000000"/>
            </w:tcBorders>
          </w:tcPr>
          <w:p w14:paraId="4B053BB8" w14:textId="77777777" w:rsidR="00B0429D" w:rsidRDefault="00B0429D" w:rsidP="00B0429D">
            <w:pPr>
              <w:spacing w:after="0" w:line="259" w:lineRule="auto"/>
              <w:ind w:left="2" w:right="0" w:firstLine="0"/>
            </w:pPr>
            <w:r>
              <w:rPr>
                <w:sz w:val="18"/>
              </w:rPr>
              <w:t xml:space="preserve">2,2’,4,4’-Tetrachlorobiphenyl </w:t>
            </w:r>
          </w:p>
        </w:tc>
        <w:tc>
          <w:tcPr>
            <w:tcW w:w="1350" w:type="dxa"/>
            <w:tcBorders>
              <w:top w:val="single" w:sz="4" w:space="0" w:color="000000"/>
              <w:left w:val="single" w:sz="12" w:space="0" w:color="000000"/>
              <w:bottom w:val="single" w:sz="4" w:space="0" w:color="000000"/>
              <w:right w:val="single" w:sz="12" w:space="0" w:color="000000"/>
            </w:tcBorders>
          </w:tcPr>
          <w:p w14:paraId="22D0D039" w14:textId="59651C56" w:rsidR="00B0429D" w:rsidRDefault="00B0429D" w:rsidP="0037652D">
            <w:pPr>
              <w:spacing w:after="0" w:line="259" w:lineRule="auto"/>
              <w:ind w:left="0" w:right="68" w:firstLine="0"/>
              <w:jc w:val="center"/>
            </w:pPr>
            <w:r>
              <w:rPr>
                <w:sz w:val="18"/>
              </w:rPr>
              <w:t>2437-79-8</w:t>
            </w:r>
          </w:p>
        </w:tc>
        <w:tc>
          <w:tcPr>
            <w:tcW w:w="720" w:type="dxa"/>
            <w:tcBorders>
              <w:top w:val="single" w:sz="4" w:space="0" w:color="000000"/>
              <w:left w:val="single" w:sz="12" w:space="0" w:color="000000"/>
              <w:bottom w:val="single" w:sz="4" w:space="0" w:color="000000"/>
              <w:right w:val="single" w:sz="12" w:space="0" w:color="000000"/>
            </w:tcBorders>
          </w:tcPr>
          <w:p w14:paraId="3FD0CE09" w14:textId="16FCE1E4" w:rsidR="00B0429D" w:rsidRDefault="00B0429D" w:rsidP="0037652D">
            <w:pPr>
              <w:tabs>
                <w:tab w:val="center" w:pos="399"/>
              </w:tabs>
              <w:spacing w:after="0" w:line="259" w:lineRule="auto"/>
              <w:ind w:left="0" w:right="0" w:firstLine="0"/>
              <w:jc w:val="center"/>
            </w:pPr>
            <w:r>
              <w:rPr>
                <w:sz w:val="18"/>
              </w:rPr>
              <w:t>0.5</w:t>
            </w:r>
          </w:p>
        </w:tc>
        <w:tc>
          <w:tcPr>
            <w:tcW w:w="887" w:type="dxa"/>
            <w:tcBorders>
              <w:top w:val="single" w:sz="4" w:space="0" w:color="000000"/>
              <w:left w:val="single" w:sz="12" w:space="0" w:color="000000"/>
              <w:bottom w:val="single" w:sz="4" w:space="0" w:color="000000"/>
              <w:right w:val="single" w:sz="12" w:space="0" w:color="000000"/>
            </w:tcBorders>
          </w:tcPr>
          <w:p w14:paraId="487CF301" w14:textId="7E72A8B6" w:rsidR="00B0429D" w:rsidRDefault="00B0429D" w:rsidP="0037652D">
            <w:pPr>
              <w:spacing w:after="0" w:line="259" w:lineRule="auto"/>
              <w:ind w:left="0" w:right="72" w:firstLine="0"/>
              <w:jc w:val="center"/>
            </w:pPr>
            <w:r>
              <w:rPr>
                <w:sz w:val="18"/>
              </w:rPr>
              <w:t>ug/L</w:t>
            </w:r>
          </w:p>
        </w:tc>
        <w:tc>
          <w:tcPr>
            <w:tcW w:w="1093" w:type="dxa"/>
            <w:tcBorders>
              <w:top w:val="single" w:sz="4" w:space="0" w:color="000000"/>
              <w:left w:val="single" w:sz="12" w:space="0" w:color="000000"/>
              <w:bottom w:val="single" w:sz="4" w:space="0" w:color="000000"/>
              <w:right w:val="single" w:sz="12" w:space="0" w:color="000000"/>
            </w:tcBorders>
          </w:tcPr>
          <w:p w14:paraId="7C834EFE" w14:textId="0FBF59DD" w:rsidR="00B0429D" w:rsidRDefault="00B0429D" w:rsidP="0037652D">
            <w:pPr>
              <w:spacing w:after="0" w:line="259" w:lineRule="auto"/>
              <w:ind w:left="0" w:right="69" w:firstLine="0"/>
              <w:jc w:val="center"/>
            </w:pPr>
            <w:r>
              <w:rPr>
                <w:sz w:val="18"/>
              </w:rPr>
              <w:t>N/A</w:t>
            </w:r>
          </w:p>
        </w:tc>
        <w:tc>
          <w:tcPr>
            <w:tcW w:w="1036" w:type="dxa"/>
            <w:tcBorders>
              <w:top w:val="single" w:sz="4" w:space="0" w:color="000000"/>
              <w:left w:val="single" w:sz="12" w:space="0" w:color="000000"/>
              <w:bottom w:val="single" w:sz="4" w:space="0" w:color="000000"/>
              <w:right w:val="single" w:sz="12" w:space="0" w:color="000000"/>
            </w:tcBorders>
          </w:tcPr>
          <w:p w14:paraId="547A5A1D" w14:textId="3AE71D9F" w:rsidR="00B0429D" w:rsidRDefault="00B0429D" w:rsidP="0037652D">
            <w:pPr>
              <w:spacing w:after="0" w:line="259" w:lineRule="auto"/>
              <w:ind w:left="0" w:right="71" w:firstLine="0"/>
              <w:jc w:val="center"/>
            </w:pPr>
            <w:r>
              <w:rPr>
                <w:sz w:val="18"/>
              </w:rPr>
              <w:t>N/A</w:t>
            </w:r>
          </w:p>
        </w:tc>
        <w:tc>
          <w:tcPr>
            <w:tcW w:w="1034" w:type="dxa"/>
            <w:tcBorders>
              <w:top w:val="single" w:sz="4" w:space="0" w:color="000000"/>
              <w:left w:val="single" w:sz="12" w:space="0" w:color="000000"/>
              <w:bottom w:val="single" w:sz="4" w:space="0" w:color="000000"/>
              <w:right w:val="single" w:sz="12" w:space="0" w:color="000000"/>
            </w:tcBorders>
          </w:tcPr>
          <w:p w14:paraId="74DFDD7A" w14:textId="4F68284A" w:rsidR="00B0429D" w:rsidRDefault="00B0429D" w:rsidP="00C21A82">
            <w:pPr>
              <w:spacing w:after="0" w:line="259" w:lineRule="auto"/>
              <w:ind w:left="56" w:right="0" w:firstLine="0"/>
              <w:jc w:val="center"/>
            </w:pPr>
            <w:r>
              <w:rPr>
                <w:b/>
                <w:sz w:val="18"/>
              </w:rPr>
              <w:t>525.2</w:t>
            </w:r>
          </w:p>
        </w:tc>
        <w:tc>
          <w:tcPr>
            <w:tcW w:w="661" w:type="dxa"/>
            <w:tcBorders>
              <w:top w:val="single" w:sz="4" w:space="0" w:color="000000"/>
              <w:left w:val="single" w:sz="12" w:space="0" w:color="000000"/>
              <w:bottom w:val="single" w:sz="4" w:space="0" w:color="000000"/>
              <w:right w:val="single" w:sz="12" w:space="0" w:color="000000"/>
            </w:tcBorders>
          </w:tcPr>
          <w:p w14:paraId="4B409472" w14:textId="69DE7C51" w:rsidR="00B0429D" w:rsidRDefault="00B0429D" w:rsidP="0037652D">
            <w:pPr>
              <w:spacing w:after="0" w:line="259" w:lineRule="auto"/>
              <w:ind w:left="0" w:right="26" w:firstLine="0"/>
              <w:jc w:val="center"/>
            </w:pPr>
          </w:p>
        </w:tc>
        <w:tc>
          <w:tcPr>
            <w:tcW w:w="509" w:type="dxa"/>
            <w:tcBorders>
              <w:top w:val="single" w:sz="4" w:space="0" w:color="000000"/>
              <w:left w:val="single" w:sz="12" w:space="0" w:color="000000"/>
              <w:bottom w:val="single" w:sz="4" w:space="0" w:color="000000"/>
              <w:right w:val="single" w:sz="12" w:space="0" w:color="000000"/>
            </w:tcBorders>
          </w:tcPr>
          <w:p w14:paraId="078BAE76" w14:textId="17541CAD" w:rsidR="00B0429D" w:rsidRDefault="00B0429D" w:rsidP="0037652D">
            <w:pPr>
              <w:spacing w:after="0" w:line="259" w:lineRule="auto"/>
              <w:ind w:left="0" w:right="26" w:firstLine="0"/>
              <w:jc w:val="center"/>
            </w:pPr>
          </w:p>
        </w:tc>
      </w:tr>
      <w:tr w:rsidR="001B2371" w14:paraId="1C5FC742" w14:textId="77777777" w:rsidTr="00C23B62">
        <w:trPr>
          <w:trHeight w:val="257"/>
        </w:trPr>
        <w:tc>
          <w:tcPr>
            <w:tcW w:w="3240" w:type="dxa"/>
            <w:tcBorders>
              <w:top w:val="single" w:sz="4" w:space="0" w:color="000000"/>
              <w:left w:val="single" w:sz="12" w:space="0" w:color="000000"/>
              <w:bottom w:val="single" w:sz="12" w:space="0" w:color="000000"/>
              <w:right w:val="single" w:sz="12" w:space="0" w:color="000000"/>
            </w:tcBorders>
          </w:tcPr>
          <w:p w14:paraId="56BFCEE8" w14:textId="77777777" w:rsidR="00B0429D" w:rsidRDefault="00B0429D" w:rsidP="00B0429D">
            <w:pPr>
              <w:spacing w:after="0" w:line="259" w:lineRule="auto"/>
              <w:ind w:left="2" w:right="0" w:firstLine="0"/>
            </w:pPr>
            <w:r>
              <w:rPr>
                <w:sz w:val="18"/>
              </w:rPr>
              <w:t xml:space="preserve">2,4,5-Trichlorobiphenyl </w:t>
            </w:r>
          </w:p>
        </w:tc>
        <w:tc>
          <w:tcPr>
            <w:tcW w:w="1350" w:type="dxa"/>
            <w:tcBorders>
              <w:top w:val="single" w:sz="4" w:space="0" w:color="000000"/>
              <w:left w:val="single" w:sz="12" w:space="0" w:color="000000"/>
              <w:bottom w:val="single" w:sz="12" w:space="0" w:color="000000"/>
              <w:right w:val="single" w:sz="12" w:space="0" w:color="000000"/>
            </w:tcBorders>
          </w:tcPr>
          <w:p w14:paraId="177176E5" w14:textId="10DCC5E2" w:rsidR="00B0429D" w:rsidRDefault="00B0429D" w:rsidP="0037652D">
            <w:pPr>
              <w:spacing w:after="0" w:line="259" w:lineRule="auto"/>
              <w:ind w:left="0" w:right="68" w:firstLine="0"/>
              <w:jc w:val="center"/>
            </w:pPr>
            <w:r>
              <w:rPr>
                <w:sz w:val="18"/>
              </w:rPr>
              <w:t>15862-07-4</w:t>
            </w:r>
          </w:p>
        </w:tc>
        <w:tc>
          <w:tcPr>
            <w:tcW w:w="720" w:type="dxa"/>
            <w:tcBorders>
              <w:top w:val="single" w:sz="4" w:space="0" w:color="000000"/>
              <w:left w:val="single" w:sz="12" w:space="0" w:color="000000"/>
              <w:bottom w:val="single" w:sz="12" w:space="0" w:color="000000"/>
              <w:right w:val="single" w:sz="12" w:space="0" w:color="000000"/>
            </w:tcBorders>
          </w:tcPr>
          <w:p w14:paraId="76EAF625" w14:textId="00A028F3" w:rsidR="00B0429D" w:rsidRDefault="00B0429D" w:rsidP="0037652D">
            <w:pPr>
              <w:tabs>
                <w:tab w:val="center" w:pos="399"/>
              </w:tabs>
              <w:spacing w:after="0" w:line="259" w:lineRule="auto"/>
              <w:ind w:left="0" w:right="0" w:firstLine="0"/>
              <w:jc w:val="center"/>
            </w:pPr>
            <w:r>
              <w:rPr>
                <w:sz w:val="18"/>
              </w:rPr>
              <w:t>0.5</w:t>
            </w:r>
          </w:p>
        </w:tc>
        <w:tc>
          <w:tcPr>
            <w:tcW w:w="887" w:type="dxa"/>
            <w:tcBorders>
              <w:top w:val="single" w:sz="4" w:space="0" w:color="000000"/>
              <w:left w:val="single" w:sz="12" w:space="0" w:color="000000"/>
              <w:bottom w:val="single" w:sz="12" w:space="0" w:color="000000"/>
              <w:right w:val="single" w:sz="12" w:space="0" w:color="000000"/>
            </w:tcBorders>
          </w:tcPr>
          <w:p w14:paraId="2EF1EA2B" w14:textId="1B4FAE73" w:rsidR="00B0429D" w:rsidRDefault="00B0429D" w:rsidP="0037652D">
            <w:pPr>
              <w:spacing w:after="0" w:line="259" w:lineRule="auto"/>
              <w:ind w:left="0" w:right="72" w:firstLine="0"/>
              <w:jc w:val="center"/>
            </w:pPr>
            <w:r>
              <w:rPr>
                <w:sz w:val="18"/>
              </w:rPr>
              <w:t>ug/L</w:t>
            </w:r>
          </w:p>
        </w:tc>
        <w:tc>
          <w:tcPr>
            <w:tcW w:w="1093" w:type="dxa"/>
            <w:tcBorders>
              <w:top w:val="single" w:sz="4" w:space="0" w:color="000000"/>
              <w:left w:val="single" w:sz="12" w:space="0" w:color="000000"/>
              <w:bottom w:val="single" w:sz="12" w:space="0" w:color="000000"/>
              <w:right w:val="single" w:sz="12" w:space="0" w:color="000000"/>
            </w:tcBorders>
          </w:tcPr>
          <w:p w14:paraId="11B14FDC" w14:textId="5AE41FC8" w:rsidR="00B0429D" w:rsidRDefault="00B0429D" w:rsidP="0037652D">
            <w:pPr>
              <w:spacing w:after="0" w:line="259" w:lineRule="auto"/>
              <w:ind w:left="0" w:right="69" w:firstLine="0"/>
              <w:jc w:val="center"/>
            </w:pPr>
            <w:r>
              <w:rPr>
                <w:sz w:val="18"/>
              </w:rPr>
              <w:t>N/A</w:t>
            </w:r>
          </w:p>
        </w:tc>
        <w:tc>
          <w:tcPr>
            <w:tcW w:w="1036" w:type="dxa"/>
            <w:tcBorders>
              <w:top w:val="single" w:sz="4" w:space="0" w:color="000000"/>
              <w:left w:val="single" w:sz="12" w:space="0" w:color="000000"/>
              <w:bottom w:val="single" w:sz="12" w:space="0" w:color="000000"/>
              <w:right w:val="single" w:sz="12" w:space="0" w:color="000000"/>
            </w:tcBorders>
          </w:tcPr>
          <w:p w14:paraId="5A517566" w14:textId="7CA43539" w:rsidR="00B0429D" w:rsidRDefault="00B0429D" w:rsidP="0037652D">
            <w:pPr>
              <w:spacing w:after="0" w:line="259" w:lineRule="auto"/>
              <w:ind w:left="0" w:right="71" w:firstLine="0"/>
              <w:jc w:val="center"/>
            </w:pPr>
            <w:r>
              <w:rPr>
                <w:sz w:val="18"/>
              </w:rPr>
              <w:t>N/A</w:t>
            </w:r>
          </w:p>
        </w:tc>
        <w:tc>
          <w:tcPr>
            <w:tcW w:w="1034" w:type="dxa"/>
            <w:tcBorders>
              <w:top w:val="single" w:sz="4" w:space="0" w:color="000000"/>
              <w:left w:val="single" w:sz="12" w:space="0" w:color="000000"/>
              <w:bottom w:val="single" w:sz="12" w:space="0" w:color="000000"/>
              <w:right w:val="single" w:sz="12" w:space="0" w:color="000000"/>
            </w:tcBorders>
          </w:tcPr>
          <w:p w14:paraId="0211B907" w14:textId="429AD414" w:rsidR="00B0429D" w:rsidRDefault="00B0429D" w:rsidP="00C21A82">
            <w:pPr>
              <w:spacing w:after="0" w:line="259" w:lineRule="auto"/>
              <w:ind w:left="56" w:right="0" w:firstLine="0"/>
              <w:jc w:val="center"/>
            </w:pPr>
            <w:r>
              <w:rPr>
                <w:b/>
                <w:sz w:val="18"/>
              </w:rPr>
              <w:t>525.2</w:t>
            </w:r>
          </w:p>
        </w:tc>
        <w:tc>
          <w:tcPr>
            <w:tcW w:w="661" w:type="dxa"/>
            <w:tcBorders>
              <w:top w:val="single" w:sz="4" w:space="0" w:color="000000"/>
              <w:left w:val="single" w:sz="12" w:space="0" w:color="000000"/>
              <w:bottom w:val="single" w:sz="12" w:space="0" w:color="000000"/>
              <w:right w:val="single" w:sz="12" w:space="0" w:color="000000"/>
            </w:tcBorders>
          </w:tcPr>
          <w:p w14:paraId="7CF3F564" w14:textId="48C6CD38" w:rsidR="00B0429D" w:rsidRDefault="00B0429D" w:rsidP="0037652D">
            <w:pPr>
              <w:spacing w:after="0" w:line="259" w:lineRule="auto"/>
              <w:ind w:left="0" w:right="26" w:firstLine="0"/>
              <w:jc w:val="center"/>
            </w:pPr>
          </w:p>
        </w:tc>
        <w:tc>
          <w:tcPr>
            <w:tcW w:w="509" w:type="dxa"/>
            <w:tcBorders>
              <w:top w:val="single" w:sz="4" w:space="0" w:color="000000"/>
              <w:left w:val="single" w:sz="12" w:space="0" w:color="000000"/>
              <w:bottom w:val="single" w:sz="12" w:space="0" w:color="000000"/>
              <w:right w:val="single" w:sz="12" w:space="0" w:color="000000"/>
            </w:tcBorders>
          </w:tcPr>
          <w:p w14:paraId="3619F1D8" w14:textId="0DBBC1E7" w:rsidR="00B0429D" w:rsidRDefault="00B0429D" w:rsidP="0037652D">
            <w:pPr>
              <w:spacing w:after="0" w:line="259" w:lineRule="auto"/>
              <w:ind w:left="0" w:right="26" w:firstLine="0"/>
              <w:jc w:val="center"/>
            </w:pPr>
          </w:p>
        </w:tc>
      </w:tr>
    </w:tbl>
    <w:p w14:paraId="1C8427D4" w14:textId="196003CF" w:rsidR="00B14A17" w:rsidRDefault="00B14A17" w:rsidP="00207DDE">
      <w:pPr>
        <w:spacing w:after="0" w:line="259" w:lineRule="auto"/>
        <w:ind w:left="0" w:right="0" w:firstLine="0"/>
      </w:pPr>
    </w:p>
    <w:tbl>
      <w:tblPr>
        <w:tblStyle w:val="TableGrid1"/>
        <w:tblW w:w="10530" w:type="dxa"/>
        <w:tblInd w:w="-375" w:type="dxa"/>
        <w:tblCellMar>
          <w:top w:w="24" w:type="dxa"/>
          <w:left w:w="36" w:type="dxa"/>
        </w:tblCellMar>
        <w:tblLook w:val="04A0" w:firstRow="1" w:lastRow="0" w:firstColumn="1" w:lastColumn="0" w:noHBand="0" w:noVBand="1"/>
      </w:tblPr>
      <w:tblGrid>
        <w:gridCol w:w="3406"/>
        <w:gridCol w:w="1367"/>
        <w:gridCol w:w="781"/>
        <w:gridCol w:w="881"/>
        <w:gridCol w:w="878"/>
        <w:gridCol w:w="1075"/>
        <w:gridCol w:w="702"/>
        <w:gridCol w:w="720"/>
        <w:gridCol w:w="720"/>
      </w:tblGrid>
      <w:tr w:rsidR="00B56D50" w14:paraId="389D0CCA" w14:textId="77777777" w:rsidTr="00C23B62">
        <w:trPr>
          <w:trHeight w:val="288"/>
          <w:tblHeader/>
        </w:trPr>
        <w:tc>
          <w:tcPr>
            <w:tcW w:w="8388" w:type="dxa"/>
            <w:gridSpan w:val="6"/>
            <w:tcBorders>
              <w:top w:val="single" w:sz="12" w:space="0" w:color="000000"/>
              <w:left w:val="single" w:sz="12" w:space="0" w:color="000000"/>
              <w:bottom w:val="single" w:sz="12" w:space="0" w:color="000000"/>
              <w:right w:val="nil"/>
            </w:tcBorders>
            <w:vAlign w:val="center"/>
          </w:tcPr>
          <w:p w14:paraId="45C98C0F" w14:textId="17865AB2" w:rsidR="00B56D50" w:rsidRDefault="001C3C42" w:rsidP="00AC7558">
            <w:pPr>
              <w:spacing w:after="0" w:line="259" w:lineRule="auto"/>
              <w:ind w:left="43" w:right="0" w:firstLine="0"/>
            </w:pPr>
            <w:r>
              <w:rPr>
                <w:b/>
                <w:sz w:val="18"/>
              </w:rPr>
              <w:t>Drinking Water SAS Group E:</w:t>
            </w:r>
            <w:r>
              <w:rPr>
                <w:sz w:val="18"/>
              </w:rPr>
              <w:t xml:space="preserve">  </w:t>
            </w:r>
            <w:r>
              <w:rPr>
                <w:b/>
                <w:sz w:val="18"/>
              </w:rPr>
              <w:t xml:space="preserve"> Semi</w:t>
            </w:r>
            <w:r w:rsidR="0037652D">
              <w:rPr>
                <w:b/>
                <w:sz w:val="18"/>
              </w:rPr>
              <w:t>-</w:t>
            </w:r>
            <w:r>
              <w:rPr>
                <w:b/>
                <w:sz w:val="18"/>
              </w:rPr>
              <w:t>volatile Organic Compound Extractables List</w:t>
            </w:r>
            <w:r>
              <w:rPr>
                <w:sz w:val="18"/>
              </w:rPr>
              <w:t xml:space="preserve"> </w:t>
            </w:r>
          </w:p>
        </w:tc>
        <w:tc>
          <w:tcPr>
            <w:tcW w:w="2142" w:type="dxa"/>
            <w:gridSpan w:val="3"/>
            <w:tcBorders>
              <w:top w:val="single" w:sz="12" w:space="0" w:color="000000"/>
              <w:left w:val="nil"/>
              <w:bottom w:val="single" w:sz="12" w:space="0" w:color="000000"/>
              <w:right w:val="single" w:sz="12" w:space="0" w:color="000000"/>
            </w:tcBorders>
            <w:vAlign w:val="center"/>
          </w:tcPr>
          <w:p w14:paraId="600EF36A" w14:textId="77777777" w:rsidR="00B56D50" w:rsidRDefault="00B56D50" w:rsidP="00AC7558">
            <w:pPr>
              <w:spacing w:after="0" w:line="259" w:lineRule="auto"/>
              <w:ind w:left="0" w:right="0" w:firstLine="0"/>
            </w:pPr>
          </w:p>
        </w:tc>
      </w:tr>
      <w:tr w:rsidR="00B56D50" w14:paraId="06A08F9B" w14:textId="77777777" w:rsidTr="00C23B62">
        <w:trPr>
          <w:trHeight w:val="269"/>
          <w:tblHeader/>
        </w:trPr>
        <w:tc>
          <w:tcPr>
            <w:tcW w:w="3406" w:type="dxa"/>
            <w:vMerge w:val="restart"/>
            <w:tcBorders>
              <w:top w:val="single" w:sz="12" w:space="0" w:color="000000"/>
              <w:left w:val="single" w:sz="12" w:space="0" w:color="000000"/>
              <w:bottom w:val="single" w:sz="12" w:space="0" w:color="000000"/>
              <w:right w:val="single" w:sz="12" w:space="0" w:color="000000"/>
            </w:tcBorders>
            <w:vAlign w:val="center"/>
          </w:tcPr>
          <w:p w14:paraId="7C006EB5" w14:textId="5AB2E933" w:rsidR="00B56D50" w:rsidRDefault="001C3C42" w:rsidP="00AC7558">
            <w:pPr>
              <w:spacing w:after="0" w:line="259" w:lineRule="auto"/>
              <w:ind w:left="0" w:right="36" w:firstLine="0"/>
              <w:jc w:val="center"/>
            </w:pPr>
            <w:r>
              <w:rPr>
                <w:b/>
                <w:sz w:val="18"/>
              </w:rPr>
              <w:t>Analyte</w:t>
            </w:r>
          </w:p>
        </w:tc>
        <w:tc>
          <w:tcPr>
            <w:tcW w:w="1367" w:type="dxa"/>
            <w:vMerge w:val="restart"/>
            <w:tcBorders>
              <w:top w:val="single" w:sz="12" w:space="0" w:color="000000"/>
              <w:left w:val="single" w:sz="12" w:space="0" w:color="000000"/>
              <w:bottom w:val="single" w:sz="12" w:space="0" w:color="000000"/>
              <w:right w:val="single" w:sz="12" w:space="0" w:color="000000"/>
            </w:tcBorders>
            <w:vAlign w:val="center"/>
          </w:tcPr>
          <w:p w14:paraId="37A400FA" w14:textId="1CA93461" w:rsidR="00B56D50" w:rsidRDefault="001C3C42" w:rsidP="00AC7558">
            <w:pPr>
              <w:spacing w:after="0" w:line="259" w:lineRule="auto"/>
              <w:ind w:left="72" w:right="0" w:firstLine="0"/>
              <w:jc w:val="center"/>
            </w:pPr>
            <w:r>
              <w:rPr>
                <w:b/>
                <w:sz w:val="18"/>
              </w:rPr>
              <w:t>CAS Number</w:t>
            </w:r>
          </w:p>
        </w:tc>
        <w:tc>
          <w:tcPr>
            <w:tcW w:w="1662" w:type="dxa"/>
            <w:gridSpan w:val="2"/>
            <w:tcBorders>
              <w:top w:val="single" w:sz="12" w:space="0" w:color="000000"/>
              <w:left w:val="single" w:sz="12" w:space="0" w:color="000000"/>
              <w:bottom w:val="single" w:sz="12" w:space="0" w:color="000000"/>
              <w:right w:val="single" w:sz="12" w:space="0" w:color="000000"/>
            </w:tcBorders>
            <w:vAlign w:val="center"/>
          </w:tcPr>
          <w:p w14:paraId="29C64DF7" w14:textId="224B2177" w:rsidR="00B56D50" w:rsidRDefault="001C3C42" w:rsidP="00AC7558">
            <w:pPr>
              <w:spacing w:after="0" w:line="259" w:lineRule="auto"/>
              <w:ind w:left="0" w:right="41" w:firstLine="0"/>
              <w:jc w:val="center"/>
            </w:pPr>
            <w:r>
              <w:rPr>
                <w:b/>
                <w:sz w:val="18"/>
              </w:rPr>
              <w:t>Aqueous</w:t>
            </w:r>
          </w:p>
        </w:tc>
        <w:tc>
          <w:tcPr>
            <w:tcW w:w="1953" w:type="dxa"/>
            <w:gridSpan w:val="2"/>
            <w:tcBorders>
              <w:top w:val="single" w:sz="12" w:space="0" w:color="000000"/>
              <w:left w:val="single" w:sz="12" w:space="0" w:color="000000"/>
              <w:bottom w:val="single" w:sz="12" w:space="0" w:color="000000"/>
              <w:right w:val="single" w:sz="12" w:space="0" w:color="000000"/>
            </w:tcBorders>
            <w:vAlign w:val="center"/>
          </w:tcPr>
          <w:p w14:paraId="37A9B9B9" w14:textId="6E813886" w:rsidR="00B56D50" w:rsidRPr="00385D7E" w:rsidRDefault="001D7C2F" w:rsidP="00AC7558">
            <w:pPr>
              <w:spacing w:after="0" w:line="259" w:lineRule="auto"/>
              <w:ind w:left="9" w:right="0" w:firstLine="0"/>
              <w:jc w:val="center"/>
              <w:rPr>
                <w:b/>
                <w:bCs/>
                <w:sz w:val="18"/>
                <w:szCs w:val="18"/>
              </w:rPr>
            </w:pPr>
            <w:r w:rsidRPr="00385D7E">
              <w:rPr>
                <w:b/>
                <w:bCs/>
                <w:sz w:val="18"/>
                <w:szCs w:val="18"/>
              </w:rPr>
              <w:t>Soil/Sediment</w:t>
            </w:r>
          </w:p>
        </w:tc>
        <w:tc>
          <w:tcPr>
            <w:tcW w:w="2142" w:type="dxa"/>
            <w:gridSpan w:val="3"/>
            <w:vMerge w:val="restart"/>
            <w:tcBorders>
              <w:top w:val="single" w:sz="12" w:space="0" w:color="000000"/>
              <w:left w:val="single" w:sz="12" w:space="0" w:color="000000"/>
              <w:bottom w:val="single" w:sz="12" w:space="0" w:color="000000"/>
              <w:right w:val="single" w:sz="12" w:space="0" w:color="000000"/>
            </w:tcBorders>
            <w:vAlign w:val="center"/>
          </w:tcPr>
          <w:p w14:paraId="0546C281" w14:textId="03255684" w:rsidR="00B56D50" w:rsidRDefault="001C3C42" w:rsidP="00AC7558">
            <w:pPr>
              <w:spacing w:after="0" w:line="259" w:lineRule="auto"/>
              <w:ind w:left="0" w:right="41" w:firstLine="0"/>
              <w:jc w:val="center"/>
            </w:pPr>
            <w:r>
              <w:rPr>
                <w:b/>
                <w:sz w:val="18"/>
              </w:rPr>
              <w:t>Acceptable Methods</w:t>
            </w:r>
          </w:p>
        </w:tc>
      </w:tr>
      <w:tr w:rsidR="006153D2" w14:paraId="3870075B" w14:textId="77777777" w:rsidTr="00C23B62">
        <w:trPr>
          <w:trHeight w:val="271"/>
          <w:tblHeader/>
        </w:trPr>
        <w:tc>
          <w:tcPr>
            <w:tcW w:w="3406" w:type="dxa"/>
            <w:vMerge/>
            <w:tcBorders>
              <w:top w:val="nil"/>
              <w:left w:val="single" w:sz="12" w:space="0" w:color="000000"/>
              <w:bottom w:val="single" w:sz="12" w:space="0" w:color="000000"/>
              <w:right w:val="single" w:sz="12" w:space="0" w:color="000000"/>
            </w:tcBorders>
            <w:vAlign w:val="center"/>
          </w:tcPr>
          <w:p w14:paraId="58B1DE63" w14:textId="77777777" w:rsidR="00B56D50" w:rsidRDefault="00B56D50" w:rsidP="00AC7558">
            <w:pPr>
              <w:spacing w:after="160" w:line="259" w:lineRule="auto"/>
              <w:ind w:left="0" w:right="0" w:firstLine="0"/>
              <w:jc w:val="center"/>
            </w:pPr>
          </w:p>
        </w:tc>
        <w:tc>
          <w:tcPr>
            <w:tcW w:w="0" w:type="auto"/>
            <w:vMerge/>
            <w:tcBorders>
              <w:top w:val="nil"/>
              <w:left w:val="single" w:sz="12" w:space="0" w:color="000000"/>
              <w:bottom w:val="single" w:sz="12" w:space="0" w:color="000000"/>
              <w:right w:val="single" w:sz="12" w:space="0" w:color="000000"/>
            </w:tcBorders>
            <w:vAlign w:val="center"/>
          </w:tcPr>
          <w:p w14:paraId="3AAD54D5" w14:textId="77777777" w:rsidR="00B56D50" w:rsidRDefault="00B56D50" w:rsidP="00AC7558">
            <w:pPr>
              <w:spacing w:after="160" w:line="259" w:lineRule="auto"/>
              <w:ind w:left="0" w:right="0" w:firstLine="0"/>
              <w:jc w:val="center"/>
            </w:pPr>
          </w:p>
        </w:tc>
        <w:tc>
          <w:tcPr>
            <w:tcW w:w="781" w:type="dxa"/>
            <w:tcBorders>
              <w:top w:val="single" w:sz="12" w:space="0" w:color="000000"/>
              <w:left w:val="single" w:sz="12" w:space="0" w:color="000000"/>
              <w:bottom w:val="single" w:sz="12" w:space="0" w:color="000000"/>
              <w:right w:val="single" w:sz="12" w:space="0" w:color="000000"/>
            </w:tcBorders>
            <w:vAlign w:val="center"/>
          </w:tcPr>
          <w:p w14:paraId="269C3331" w14:textId="57C2ACB5" w:rsidR="00B56D50" w:rsidRDefault="001C3C42" w:rsidP="00AC7558">
            <w:pPr>
              <w:spacing w:after="0" w:line="259" w:lineRule="auto"/>
              <w:ind w:left="0" w:right="36" w:firstLine="0"/>
              <w:jc w:val="center"/>
            </w:pPr>
            <w:r>
              <w:rPr>
                <w:b/>
                <w:sz w:val="18"/>
              </w:rPr>
              <w:t>RL</w:t>
            </w:r>
            <w:r w:rsidR="00095610">
              <w:rPr>
                <w:b/>
                <w:sz w:val="18"/>
              </w:rPr>
              <w:t xml:space="preserve"> </w:t>
            </w:r>
            <w:r w:rsidR="00E6685C">
              <w:rPr>
                <w:b/>
                <w:sz w:val="18"/>
                <w:vertAlign w:val="superscript"/>
              </w:rPr>
              <w:t>39</w:t>
            </w:r>
          </w:p>
        </w:tc>
        <w:tc>
          <w:tcPr>
            <w:tcW w:w="881" w:type="dxa"/>
            <w:tcBorders>
              <w:top w:val="single" w:sz="12" w:space="0" w:color="000000"/>
              <w:left w:val="single" w:sz="12" w:space="0" w:color="000000"/>
              <w:bottom w:val="single" w:sz="12" w:space="0" w:color="000000"/>
              <w:right w:val="single" w:sz="12" w:space="0" w:color="000000"/>
            </w:tcBorders>
            <w:vAlign w:val="center"/>
          </w:tcPr>
          <w:p w14:paraId="5164A109" w14:textId="367C0ECB" w:rsidR="00B56D50" w:rsidRDefault="001C3C42" w:rsidP="00AC7558">
            <w:pPr>
              <w:spacing w:after="0" w:line="259" w:lineRule="auto"/>
              <w:ind w:left="0" w:right="43" w:firstLine="0"/>
              <w:jc w:val="center"/>
            </w:pPr>
            <w:r>
              <w:rPr>
                <w:b/>
                <w:sz w:val="18"/>
              </w:rPr>
              <w:t>units</w:t>
            </w:r>
          </w:p>
        </w:tc>
        <w:tc>
          <w:tcPr>
            <w:tcW w:w="878" w:type="dxa"/>
            <w:tcBorders>
              <w:top w:val="single" w:sz="12" w:space="0" w:color="000000"/>
              <w:left w:val="single" w:sz="12" w:space="0" w:color="000000"/>
              <w:bottom w:val="single" w:sz="12" w:space="0" w:color="000000"/>
              <w:right w:val="single" w:sz="12" w:space="0" w:color="000000"/>
            </w:tcBorders>
            <w:vAlign w:val="center"/>
          </w:tcPr>
          <w:p w14:paraId="1C82C5FD" w14:textId="50503F7D" w:rsidR="00B56D50" w:rsidRDefault="001C3C42" w:rsidP="00AC7558">
            <w:pPr>
              <w:spacing w:after="0" w:line="259" w:lineRule="auto"/>
              <w:ind w:left="0" w:right="38" w:firstLine="0"/>
              <w:jc w:val="center"/>
            </w:pPr>
            <w:r>
              <w:rPr>
                <w:b/>
                <w:sz w:val="18"/>
              </w:rPr>
              <w:t>RL</w:t>
            </w:r>
          </w:p>
        </w:tc>
        <w:tc>
          <w:tcPr>
            <w:tcW w:w="1075" w:type="dxa"/>
            <w:tcBorders>
              <w:top w:val="single" w:sz="12" w:space="0" w:color="000000"/>
              <w:left w:val="single" w:sz="12" w:space="0" w:color="000000"/>
              <w:bottom w:val="single" w:sz="12" w:space="0" w:color="000000"/>
              <w:right w:val="single" w:sz="12" w:space="0" w:color="000000"/>
            </w:tcBorders>
            <w:vAlign w:val="center"/>
          </w:tcPr>
          <w:p w14:paraId="5FF24E14" w14:textId="31A06BAA" w:rsidR="00B56D50" w:rsidRDefault="001C3C42" w:rsidP="00AC7558">
            <w:pPr>
              <w:spacing w:after="0" w:line="259" w:lineRule="auto"/>
              <w:ind w:left="0" w:right="41" w:firstLine="0"/>
              <w:jc w:val="center"/>
            </w:pPr>
            <w:r>
              <w:rPr>
                <w:b/>
                <w:sz w:val="18"/>
              </w:rPr>
              <w:t>units</w:t>
            </w:r>
          </w:p>
        </w:tc>
        <w:tc>
          <w:tcPr>
            <w:tcW w:w="2142" w:type="dxa"/>
            <w:gridSpan w:val="3"/>
            <w:vMerge/>
            <w:tcBorders>
              <w:top w:val="nil"/>
              <w:left w:val="single" w:sz="12" w:space="0" w:color="000000"/>
              <w:bottom w:val="single" w:sz="12" w:space="0" w:color="000000"/>
              <w:right w:val="single" w:sz="12" w:space="0" w:color="000000"/>
            </w:tcBorders>
            <w:vAlign w:val="center"/>
          </w:tcPr>
          <w:p w14:paraId="6DAA46EE" w14:textId="77777777" w:rsidR="00B56D50" w:rsidRDefault="00B56D50" w:rsidP="00AC7558">
            <w:pPr>
              <w:spacing w:after="160" w:line="259" w:lineRule="auto"/>
              <w:ind w:left="0" w:right="0" w:firstLine="0"/>
              <w:jc w:val="center"/>
            </w:pPr>
          </w:p>
        </w:tc>
      </w:tr>
      <w:tr w:rsidR="000A75F9" w14:paraId="23E7E009" w14:textId="77777777" w:rsidTr="00C23B62">
        <w:trPr>
          <w:trHeight w:val="259"/>
        </w:trPr>
        <w:tc>
          <w:tcPr>
            <w:tcW w:w="3406" w:type="dxa"/>
            <w:tcBorders>
              <w:top w:val="single" w:sz="12" w:space="0" w:color="000000"/>
              <w:left w:val="single" w:sz="12" w:space="0" w:color="000000"/>
              <w:bottom w:val="single" w:sz="4" w:space="0" w:color="000000"/>
              <w:right w:val="single" w:sz="12" w:space="0" w:color="000000"/>
            </w:tcBorders>
          </w:tcPr>
          <w:p w14:paraId="3CD7014E" w14:textId="77777777" w:rsidR="000A75F9" w:rsidRDefault="000A75F9" w:rsidP="000A75F9">
            <w:pPr>
              <w:spacing w:after="0" w:line="259" w:lineRule="auto"/>
              <w:ind w:left="2" w:right="0" w:firstLine="0"/>
            </w:pPr>
            <w:r>
              <w:rPr>
                <w:sz w:val="18"/>
              </w:rPr>
              <w:t xml:space="preserve">Benzoic acid </w:t>
            </w:r>
          </w:p>
        </w:tc>
        <w:tc>
          <w:tcPr>
            <w:tcW w:w="1367" w:type="dxa"/>
            <w:tcBorders>
              <w:top w:val="single" w:sz="12" w:space="0" w:color="000000"/>
              <w:left w:val="single" w:sz="12" w:space="0" w:color="000000"/>
              <w:bottom w:val="single" w:sz="4" w:space="0" w:color="000000"/>
              <w:right w:val="single" w:sz="12" w:space="0" w:color="000000"/>
            </w:tcBorders>
          </w:tcPr>
          <w:p w14:paraId="1F59DF9C" w14:textId="261E510B" w:rsidR="000A75F9" w:rsidRDefault="000A75F9" w:rsidP="00A63D72">
            <w:pPr>
              <w:spacing w:after="0" w:line="259" w:lineRule="auto"/>
              <w:ind w:left="0" w:right="35" w:firstLine="0"/>
              <w:jc w:val="center"/>
            </w:pPr>
            <w:r>
              <w:rPr>
                <w:sz w:val="18"/>
              </w:rPr>
              <w:t>65-85-0</w:t>
            </w:r>
          </w:p>
        </w:tc>
        <w:tc>
          <w:tcPr>
            <w:tcW w:w="781" w:type="dxa"/>
            <w:tcBorders>
              <w:top w:val="single" w:sz="12" w:space="0" w:color="000000"/>
              <w:left w:val="single" w:sz="12" w:space="0" w:color="000000"/>
              <w:bottom w:val="single" w:sz="4" w:space="0" w:color="000000"/>
              <w:right w:val="single" w:sz="12" w:space="0" w:color="000000"/>
            </w:tcBorders>
          </w:tcPr>
          <w:p w14:paraId="55E42815" w14:textId="7417D0E2" w:rsidR="000A75F9" w:rsidRDefault="000A75F9" w:rsidP="00A63D72">
            <w:pPr>
              <w:tabs>
                <w:tab w:val="center" w:pos="308"/>
              </w:tabs>
              <w:spacing w:after="0" w:line="259" w:lineRule="auto"/>
              <w:ind w:left="0" w:right="0" w:firstLine="0"/>
              <w:jc w:val="center"/>
            </w:pPr>
            <w:r>
              <w:rPr>
                <w:sz w:val="18"/>
              </w:rPr>
              <w:t>10</w:t>
            </w:r>
          </w:p>
        </w:tc>
        <w:tc>
          <w:tcPr>
            <w:tcW w:w="881" w:type="dxa"/>
            <w:tcBorders>
              <w:top w:val="single" w:sz="12" w:space="0" w:color="000000"/>
              <w:left w:val="single" w:sz="12" w:space="0" w:color="000000"/>
              <w:bottom w:val="single" w:sz="4" w:space="0" w:color="000000"/>
              <w:right w:val="single" w:sz="12" w:space="0" w:color="000000"/>
            </w:tcBorders>
          </w:tcPr>
          <w:p w14:paraId="2CE28140" w14:textId="50B56FA7" w:rsidR="000A75F9" w:rsidRDefault="000A75F9" w:rsidP="00A63D72">
            <w:pPr>
              <w:spacing w:after="0" w:line="259" w:lineRule="auto"/>
              <w:ind w:left="0" w:right="40" w:firstLine="0"/>
              <w:jc w:val="center"/>
            </w:pPr>
            <w:r>
              <w:rPr>
                <w:sz w:val="18"/>
              </w:rPr>
              <w:t>ug/L</w:t>
            </w:r>
          </w:p>
        </w:tc>
        <w:tc>
          <w:tcPr>
            <w:tcW w:w="878" w:type="dxa"/>
            <w:tcBorders>
              <w:top w:val="single" w:sz="12" w:space="0" w:color="000000"/>
              <w:left w:val="single" w:sz="12" w:space="0" w:color="000000"/>
              <w:bottom w:val="single" w:sz="4" w:space="0" w:color="000000"/>
              <w:right w:val="single" w:sz="12" w:space="0" w:color="000000"/>
            </w:tcBorders>
          </w:tcPr>
          <w:p w14:paraId="08854301" w14:textId="5B8935C1" w:rsidR="000A75F9" w:rsidRDefault="000A75F9" w:rsidP="00A63D72">
            <w:pPr>
              <w:spacing w:after="0" w:line="259" w:lineRule="auto"/>
              <w:ind w:left="0" w:right="36" w:firstLine="0"/>
              <w:jc w:val="center"/>
            </w:pPr>
            <w:r>
              <w:rPr>
                <w:sz w:val="18"/>
              </w:rPr>
              <w:t>N/A</w:t>
            </w:r>
          </w:p>
        </w:tc>
        <w:tc>
          <w:tcPr>
            <w:tcW w:w="1075" w:type="dxa"/>
            <w:tcBorders>
              <w:top w:val="single" w:sz="12" w:space="0" w:color="000000"/>
              <w:left w:val="single" w:sz="12" w:space="0" w:color="000000"/>
              <w:bottom w:val="single" w:sz="4" w:space="0" w:color="000000"/>
              <w:right w:val="single" w:sz="12" w:space="0" w:color="000000"/>
            </w:tcBorders>
          </w:tcPr>
          <w:p w14:paraId="7B682D2A" w14:textId="39E01005" w:rsidR="000A75F9" w:rsidRDefault="000A75F9" w:rsidP="00A63D72">
            <w:pPr>
              <w:spacing w:after="0" w:line="259" w:lineRule="auto"/>
              <w:ind w:left="0" w:right="40" w:firstLine="0"/>
              <w:jc w:val="center"/>
            </w:pPr>
            <w:r>
              <w:rPr>
                <w:sz w:val="18"/>
              </w:rPr>
              <w:t>N/A</w:t>
            </w:r>
          </w:p>
        </w:tc>
        <w:tc>
          <w:tcPr>
            <w:tcW w:w="702" w:type="dxa"/>
            <w:tcBorders>
              <w:top w:val="single" w:sz="12" w:space="0" w:color="000000"/>
              <w:left w:val="single" w:sz="12" w:space="0" w:color="000000"/>
              <w:bottom w:val="single" w:sz="4" w:space="0" w:color="000000"/>
              <w:right w:val="single" w:sz="12" w:space="0" w:color="000000"/>
            </w:tcBorders>
          </w:tcPr>
          <w:p w14:paraId="6699A01D" w14:textId="63D360AA" w:rsidR="000A75F9" w:rsidRPr="00E6685C" w:rsidRDefault="000A75F9" w:rsidP="00D024C9">
            <w:pPr>
              <w:spacing w:after="0" w:line="259" w:lineRule="auto"/>
              <w:ind w:left="94" w:right="0" w:firstLine="0"/>
              <w:jc w:val="center"/>
              <w:rPr>
                <w:bCs/>
              </w:rPr>
            </w:pPr>
            <w:r w:rsidRPr="00E6685C">
              <w:rPr>
                <w:bCs/>
                <w:sz w:val="18"/>
              </w:rPr>
              <w:t>1625</w:t>
            </w:r>
          </w:p>
        </w:tc>
        <w:tc>
          <w:tcPr>
            <w:tcW w:w="720" w:type="dxa"/>
            <w:tcBorders>
              <w:top w:val="single" w:sz="12" w:space="0" w:color="000000"/>
              <w:left w:val="single" w:sz="12" w:space="0" w:color="000000"/>
              <w:bottom w:val="single" w:sz="4" w:space="0" w:color="000000"/>
              <w:right w:val="single" w:sz="12" w:space="0" w:color="000000"/>
            </w:tcBorders>
          </w:tcPr>
          <w:p w14:paraId="2EA05C1E" w14:textId="3F303339" w:rsidR="000A75F9" w:rsidRPr="00E6685C" w:rsidRDefault="000A75F9" w:rsidP="00A63D72">
            <w:pPr>
              <w:spacing w:after="0" w:line="259" w:lineRule="auto"/>
              <w:ind w:left="7" w:right="0" w:firstLine="0"/>
              <w:jc w:val="center"/>
              <w:rPr>
                <w:bCs/>
              </w:rPr>
            </w:pPr>
          </w:p>
        </w:tc>
        <w:tc>
          <w:tcPr>
            <w:tcW w:w="720" w:type="dxa"/>
            <w:tcBorders>
              <w:top w:val="single" w:sz="12" w:space="0" w:color="000000"/>
              <w:left w:val="single" w:sz="12" w:space="0" w:color="000000"/>
              <w:bottom w:val="single" w:sz="4" w:space="0" w:color="000000"/>
              <w:right w:val="single" w:sz="12" w:space="0" w:color="000000"/>
            </w:tcBorders>
          </w:tcPr>
          <w:p w14:paraId="58FAADBC" w14:textId="3729E6E7" w:rsidR="000A75F9" w:rsidRPr="00E6685C" w:rsidRDefault="000A75F9" w:rsidP="001A7E34">
            <w:pPr>
              <w:spacing w:after="0" w:line="259" w:lineRule="auto"/>
              <w:ind w:left="9" w:right="0" w:firstLine="0"/>
              <w:rPr>
                <w:bCs/>
              </w:rPr>
            </w:pPr>
          </w:p>
        </w:tc>
      </w:tr>
      <w:tr w:rsidR="000A75F9" w14:paraId="07BC3545" w14:textId="77777777" w:rsidTr="00C23B62">
        <w:trPr>
          <w:trHeight w:val="250"/>
        </w:trPr>
        <w:tc>
          <w:tcPr>
            <w:tcW w:w="3406" w:type="dxa"/>
            <w:tcBorders>
              <w:top w:val="single" w:sz="4" w:space="0" w:color="000000"/>
              <w:left w:val="single" w:sz="12" w:space="0" w:color="000000"/>
              <w:bottom w:val="single" w:sz="4" w:space="0" w:color="000000"/>
              <w:right w:val="single" w:sz="12" w:space="0" w:color="000000"/>
            </w:tcBorders>
          </w:tcPr>
          <w:p w14:paraId="118A91D7" w14:textId="77777777" w:rsidR="000A75F9" w:rsidRDefault="000A75F9" w:rsidP="000A75F9">
            <w:pPr>
              <w:spacing w:after="0" w:line="259" w:lineRule="auto"/>
              <w:ind w:left="2" w:right="0" w:firstLine="0"/>
            </w:pPr>
            <w:r>
              <w:rPr>
                <w:sz w:val="18"/>
              </w:rPr>
              <w:t xml:space="preserve">Benzyl alcohol </w:t>
            </w:r>
          </w:p>
        </w:tc>
        <w:tc>
          <w:tcPr>
            <w:tcW w:w="1367" w:type="dxa"/>
            <w:tcBorders>
              <w:top w:val="single" w:sz="4" w:space="0" w:color="000000"/>
              <w:left w:val="single" w:sz="12" w:space="0" w:color="000000"/>
              <w:bottom w:val="single" w:sz="4" w:space="0" w:color="000000"/>
              <w:right w:val="single" w:sz="12" w:space="0" w:color="000000"/>
            </w:tcBorders>
          </w:tcPr>
          <w:p w14:paraId="0C098D0C" w14:textId="5D8BF38C" w:rsidR="000A75F9" w:rsidRDefault="000A75F9" w:rsidP="00A63D72">
            <w:pPr>
              <w:spacing w:after="0" w:line="259" w:lineRule="auto"/>
              <w:ind w:left="0" w:right="35" w:firstLine="0"/>
              <w:jc w:val="center"/>
            </w:pPr>
            <w:r>
              <w:rPr>
                <w:sz w:val="18"/>
              </w:rPr>
              <w:t>100-51-6</w:t>
            </w:r>
          </w:p>
        </w:tc>
        <w:tc>
          <w:tcPr>
            <w:tcW w:w="781" w:type="dxa"/>
            <w:tcBorders>
              <w:top w:val="single" w:sz="4" w:space="0" w:color="000000"/>
              <w:left w:val="single" w:sz="12" w:space="0" w:color="000000"/>
              <w:bottom w:val="single" w:sz="4" w:space="0" w:color="000000"/>
              <w:right w:val="single" w:sz="12" w:space="0" w:color="000000"/>
            </w:tcBorders>
          </w:tcPr>
          <w:p w14:paraId="6574B1B7" w14:textId="5D0B3493" w:rsidR="000A75F9" w:rsidRDefault="000A75F9" w:rsidP="00A63D72">
            <w:pPr>
              <w:tabs>
                <w:tab w:val="center" w:pos="308"/>
              </w:tabs>
              <w:spacing w:after="0" w:line="259" w:lineRule="auto"/>
              <w:ind w:left="0" w:right="0" w:firstLine="0"/>
              <w:jc w:val="center"/>
            </w:pPr>
            <w:r>
              <w:rPr>
                <w:sz w:val="18"/>
              </w:rPr>
              <w:t>50</w:t>
            </w:r>
          </w:p>
        </w:tc>
        <w:tc>
          <w:tcPr>
            <w:tcW w:w="881" w:type="dxa"/>
            <w:tcBorders>
              <w:top w:val="single" w:sz="4" w:space="0" w:color="000000"/>
              <w:left w:val="single" w:sz="12" w:space="0" w:color="000000"/>
              <w:bottom w:val="single" w:sz="4" w:space="0" w:color="000000"/>
              <w:right w:val="single" w:sz="12" w:space="0" w:color="000000"/>
            </w:tcBorders>
          </w:tcPr>
          <w:p w14:paraId="48D2A7B3" w14:textId="11ECC8C4" w:rsidR="000A75F9" w:rsidRDefault="000A75F9" w:rsidP="00A63D72">
            <w:pPr>
              <w:spacing w:after="0" w:line="259" w:lineRule="auto"/>
              <w:ind w:left="0" w:right="40" w:firstLine="0"/>
              <w:jc w:val="center"/>
            </w:pPr>
            <w:r>
              <w:rPr>
                <w:sz w:val="18"/>
              </w:rPr>
              <w:t>ug/L</w:t>
            </w:r>
          </w:p>
        </w:tc>
        <w:tc>
          <w:tcPr>
            <w:tcW w:w="878" w:type="dxa"/>
            <w:tcBorders>
              <w:top w:val="single" w:sz="4" w:space="0" w:color="000000"/>
              <w:left w:val="single" w:sz="12" w:space="0" w:color="000000"/>
              <w:bottom w:val="single" w:sz="4" w:space="0" w:color="000000"/>
              <w:right w:val="single" w:sz="12" w:space="0" w:color="000000"/>
            </w:tcBorders>
          </w:tcPr>
          <w:p w14:paraId="54785F49" w14:textId="43DEC71E" w:rsidR="000A75F9" w:rsidRDefault="000A75F9" w:rsidP="00A63D72">
            <w:pPr>
              <w:spacing w:after="0" w:line="259" w:lineRule="auto"/>
              <w:ind w:left="0" w:right="36" w:firstLine="0"/>
              <w:jc w:val="center"/>
            </w:pPr>
            <w:r>
              <w:rPr>
                <w:sz w:val="18"/>
              </w:rPr>
              <w:t>N/A</w:t>
            </w:r>
          </w:p>
        </w:tc>
        <w:tc>
          <w:tcPr>
            <w:tcW w:w="1075" w:type="dxa"/>
            <w:tcBorders>
              <w:top w:val="single" w:sz="4" w:space="0" w:color="000000"/>
              <w:left w:val="single" w:sz="12" w:space="0" w:color="000000"/>
              <w:bottom w:val="single" w:sz="4" w:space="0" w:color="000000"/>
              <w:right w:val="single" w:sz="12" w:space="0" w:color="000000"/>
            </w:tcBorders>
          </w:tcPr>
          <w:p w14:paraId="28EC4485" w14:textId="5489A16A" w:rsidR="000A75F9" w:rsidRDefault="000A75F9" w:rsidP="00A63D72">
            <w:pPr>
              <w:spacing w:after="0" w:line="259" w:lineRule="auto"/>
              <w:ind w:left="0" w:right="40" w:firstLine="0"/>
              <w:jc w:val="center"/>
            </w:pPr>
            <w:r>
              <w:rPr>
                <w:sz w:val="18"/>
              </w:rPr>
              <w:t>N/A</w:t>
            </w:r>
          </w:p>
        </w:tc>
        <w:tc>
          <w:tcPr>
            <w:tcW w:w="702" w:type="dxa"/>
            <w:tcBorders>
              <w:top w:val="single" w:sz="4" w:space="0" w:color="000000"/>
              <w:left w:val="single" w:sz="12" w:space="0" w:color="000000"/>
              <w:bottom w:val="single" w:sz="4" w:space="0" w:color="000000"/>
              <w:right w:val="single" w:sz="12" w:space="0" w:color="000000"/>
            </w:tcBorders>
          </w:tcPr>
          <w:p w14:paraId="0B0D635C" w14:textId="3F023F57" w:rsidR="000A75F9" w:rsidRPr="00E6685C" w:rsidRDefault="000A75F9" w:rsidP="00D024C9">
            <w:pPr>
              <w:spacing w:after="0" w:line="259" w:lineRule="auto"/>
              <w:ind w:left="94" w:right="0" w:firstLine="0"/>
              <w:jc w:val="center"/>
              <w:rPr>
                <w:bCs/>
              </w:rPr>
            </w:pPr>
            <w:r w:rsidRPr="00E6685C">
              <w:rPr>
                <w:bCs/>
                <w:sz w:val="18"/>
              </w:rPr>
              <w:t>1625</w:t>
            </w:r>
          </w:p>
        </w:tc>
        <w:tc>
          <w:tcPr>
            <w:tcW w:w="720" w:type="dxa"/>
            <w:tcBorders>
              <w:top w:val="single" w:sz="4" w:space="0" w:color="000000"/>
              <w:left w:val="single" w:sz="12" w:space="0" w:color="000000"/>
              <w:bottom w:val="single" w:sz="4" w:space="0" w:color="000000"/>
              <w:right w:val="single" w:sz="12" w:space="0" w:color="000000"/>
            </w:tcBorders>
          </w:tcPr>
          <w:p w14:paraId="1BA96703" w14:textId="5444D2A8" w:rsidR="000A75F9" w:rsidRPr="00E6685C" w:rsidRDefault="000A75F9" w:rsidP="00A63D72">
            <w:pPr>
              <w:spacing w:after="0" w:line="259" w:lineRule="auto"/>
              <w:ind w:left="7" w:right="0" w:firstLine="0"/>
              <w:jc w:val="center"/>
              <w:rPr>
                <w:bCs/>
              </w:rPr>
            </w:pPr>
          </w:p>
        </w:tc>
        <w:tc>
          <w:tcPr>
            <w:tcW w:w="720" w:type="dxa"/>
            <w:tcBorders>
              <w:top w:val="single" w:sz="4" w:space="0" w:color="000000"/>
              <w:left w:val="single" w:sz="12" w:space="0" w:color="000000"/>
              <w:bottom w:val="single" w:sz="4" w:space="0" w:color="000000"/>
              <w:right w:val="single" w:sz="12" w:space="0" w:color="000000"/>
            </w:tcBorders>
          </w:tcPr>
          <w:p w14:paraId="4CE1A678" w14:textId="6F526001" w:rsidR="000A75F9" w:rsidRPr="00E6685C" w:rsidRDefault="000A75F9" w:rsidP="001A7E34">
            <w:pPr>
              <w:spacing w:after="0" w:line="259" w:lineRule="auto"/>
              <w:ind w:left="9" w:right="0" w:firstLine="0"/>
              <w:rPr>
                <w:bCs/>
              </w:rPr>
            </w:pPr>
          </w:p>
        </w:tc>
      </w:tr>
      <w:tr w:rsidR="000A75F9" w14:paraId="1FEB1CF0" w14:textId="77777777" w:rsidTr="00C23B62">
        <w:trPr>
          <w:trHeight w:val="250"/>
        </w:trPr>
        <w:tc>
          <w:tcPr>
            <w:tcW w:w="3406" w:type="dxa"/>
            <w:tcBorders>
              <w:top w:val="single" w:sz="4" w:space="0" w:color="000000"/>
              <w:left w:val="single" w:sz="12" w:space="0" w:color="000000"/>
              <w:bottom w:val="single" w:sz="4" w:space="0" w:color="000000"/>
              <w:right w:val="single" w:sz="12" w:space="0" w:color="000000"/>
            </w:tcBorders>
          </w:tcPr>
          <w:p w14:paraId="5A544C37" w14:textId="7A597B8B" w:rsidR="000A75F9" w:rsidRDefault="000A75F9" w:rsidP="000A75F9">
            <w:pPr>
              <w:spacing w:after="0" w:line="259" w:lineRule="auto"/>
              <w:ind w:left="2" w:right="0" w:firstLine="0"/>
            </w:pPr>
            <w:r>
              <w:rPr>
                <w:sz w:val="18"/>
              </w:rPr>
              <w:t xml:space="preserve">Bis(2-chloroethyl) ether </w:t>
            </w:r>
          </w:p>
        </w:tc>
        <w:tc>
          <w:tcPr>
            <w:tcW w:w="1367" w:type="dxa"/>
            <w:tcBorders>
              <w:top w:val="single" w:sz="4" w:space="0" w:color="000000"/>
              <w:left w:val="single" w:sz="12" w:space="0" w:color="000000"/>
              <w:bottom w:val="single" w:sz="4" w:space="0" w:color="000000"/>
              <w:right w:val="single" w:sz="12" w:space="0" w:color="000000"/>
            </w:tcBorders>
          </w:tcPr>
          <w:p w14:paraId="6EFCC400" w14:textId="4639F28F" w:rsidR="000A75F9" w:rsidRDefault="000A75F9" w:rsidP="00A63D72">
            <w:pPr>
              <w:spacing w:after="0" w:line="259" w:lineRule="auto"/>
              <w:ind w:left="0" w:right="35" w:firstLine="0"/>
              <w:jc w:val="center"/>
            </w:pPr>
            <w:r>
              <w:rPr>
                <w:sz w:val="18"/>
              </w:rPr>
              <w:t>111-44-4</w:t>
            </w:r>
          </w:p>
        </w:tc>
        <w:tc>
          <w:tcPr>
            <w:tcW w:w="781" w:type="dxa"/>
            <w:tcBorders>
              <w:top w:val="single" w:sz="4" w:space="0" w:color="000000"/>
              <w:left w:val="single" w:sz="12" w:space="0" w:color="000000"/>
              <w:bottom w:val="single" w:sz="4" w:space="0" w:color="000000"/>
              <w:right w:val="single" w:sz="12" w:space="0" w:color="000000"/>
            </w:tcBorders>
          </w:tcPr>
          <w:p w14:paraId="71F83506" w14:textId="381B3CE1" w:rsidR="000A75F9" w:rsidRDefault="000A75F9" w:rsidP="00A63D72">
            <w:pPr>
              <w:tabs>
                <w:tab w:val="center" w:pos="399"/>
              </w:tabs>
              <w:spacing w:after="0" w:line="259" w:lineRule="auto"/>
              <w:ind w:left="0" w:right="0" w:firstLine="0"/>
              <w:jc w:val="center"/>
            </w:pPr>
            <w:r>
              <w:rPr>
                <w:b/>
                <w:sz w:val="18"/>
              </w:rPr>
              <w:t>0.3</w:t>
            </w:r>
          </w:p>
        </w:tc>
        <w:tc>
          <w:tcPr>
            <w:tcW w:w="881" w:type="dxa"/>
            <w:tcBorders>
              <w:top w:val="single" w:sz="4" w:space="0" w:color="000000"/>
              <w:left w:val="single" w:sz="12" w:space="0" w:color="000000"/>
              <w:bottom w:val="single" w:sz="4" w:space="0" w:color="000000"/>
              <w:right w:val="single" w:sz="12" w:space="0" w:color="000000"/>
            </w:tcBorders>
          </w:tcPr>
          <w:p w14:paraId="5A171F4A" w14:textId="07FB50EB" w:rsidR="000A75F9" w:rsidRDefault="000A75F9" w:rsidP="00A63D72">
            <w:pPr>
              <w:spacing w:after="0" w:line="259" w:lineRule="auto"/>
              <w:ind w:left="0" w:right="40" w:firstLine="0"/>
              <w:jc w:val="center"/>
            </w:pPr>
            <w:r>
              <w:rPr>
                <w:sz w:val="18"/>
              </w:rPr>
              <w:t>ug/L</w:t>
            </w:r>
          </w:p>
        </w:tc>
        <w:tc>
          <w:tcPr>
            <w:tcW w:w="878" w:type="dxa"/>
            <w:tcBorders>
              <w:top w:val="single" w:sz="4" w:space="0" w:color="000000"/>
              <w:left w:val="single" w:sz="12" w:space="0" w:color="000000"/>
              <w:bottom w:val="single" w:sz="4" w:space="0" w:color="000000"/>
              <w:right w:val="single" w:sz="12" w:space="0" w:color="000000"/>
            </w:tcBorders>
          </w:tcPr>
          <w:p w14:paraId="44183A51" w14:textId="4F5BFE4B" w:rsidR="000A75F9" w:rsidRDefault="000A75F9" w:rsidP="00A63D72">
            <w:pPr>
              <w:spacing w:after="0" w:line="259" w:lineRule="auto"/>
              <w:ind w:left="0" w:right="36" w:firstLine="0"/>
              <w:jc w:val="center"/>
            </w:pPr>
            <w:r>
              <w:rPr>
                <w:sz w:val="18"/>
              </w:rPr>
              <w:t>N/A</w:t>
            </w:r>
          </w:p>
        </w:tc>
        <w:tc>
          <w:tcPr>
            <w:tcW w:w="1075" w:type="dxa"/>
            <w:tcBorders>
              <w:top w:val="single" w:sz="4" w:space="0" w:color="000000"/>
              <w:left w:val="single" w:sz="12" w:space="0" w:color="000000"/>
              <w:bottom w:val="single" w:sz="4" w:space="0" w:color="000000"/>
              <w:right w:val="single" w:sz="12" w:space="0" w:color="000000"/>
            </w:tcBorders>
          </w:tcPr>
          <w:p w14:paraId="7082067F" w14:textId="1737628F" w:rsidR="000A75F9" w:rsidRDefault="000A75F9" w:rsidP="00A63D72">
            <w:pPr>
              <w:spacing w:after="0" w:line="259" w:lineRule="auto"/>
              <w:ind w:left="0" w:right="40" w:firstLine="0"/>
              <w:jc w:val="center"/>
            </w:pPr>
            <w:r>
              <w:rPr>
                <w:sz w:val="18"/>
              </w:rPr>
              <w:t>N/A</w:t>
            </w:r>
          </w:p>
        </w:tc>
        <w:tc>
          <w:tcPr>
            <w:tcW w:w="702" w:type="dxa"/>
            <w:tcBorders>
              <w:top w:val="single" w:sz="4" w:space="0" w:color="000000"/>
              <w:left w:val="single" w:sz="12" w:space="0" w:color="000000"/>
              <w:bottom w:val="single" w:sz="4" w:space="0" w:color="000000"/>
              <w:right w:val="single" w:sz="12" w:space="0" w:color="000000"/>
            </w:tcBorders>
          </w:tcPr>
          <w:p w14:paraId="47402482" w14:textId="42CCBD39" w:rsidR="000A75F9" w:rsidRPr="00E6685C" w:rsidRDefault="000A75F9" w:rsidP="00D024C9">
            <w:pPr>
              <w:spacing w:after="0" w:line="259" w:lineRule="auto"/>
              <w:ind w:left="98" w:right="0" w:firstLine="0"/>
              <w:jc w:val="center"/>
              <w:rPr>
                <w:bCs/>
              </w:rPr>
            </w:pPr>
            <w:r w:rsidRPr="00E6685C">
              <w:rPr>
                <w:bCs/>
                <w:sz w:val="18"/>
              </w:rPr>
              <w:t>1625</w:t>
            </w:r>
          </w:p>
        </w:tc>
        <w:tc>
          <w:tcPr>
            <w:tcW w:w="720" w:type="dxa"/>
            <w:tcBorders>
              <w:top w:val="single" w:sz="4" w:space="0" w:color="000000"/>
              <w:left w:val="single" w:sz="12" w:space="0" w:color="000000"/>
              <w:bottom w:val="single" w:sz="4" w:space="0" w:color="000000"/>
              <w:right w:val="single" w:sz="12" w:space="0" w:color="000000"/>
            </w:tcBorders>
          </w:tcPr>
          <w:p w14:paraId="02C55823" w14:textId="4384132A" w:rsidR="000A75F9" w:rsidRPr="00E6685C" w:rsidRDefault="000A75F9" w:rsidP="00A63D72">
            <w:pPr>
              <w:spacing w:after="0" w:line="259" w:lineRule="auto"/>
              <w:ind w:left="0" w:right="40" w:firstLine="0"/>
              <w:jc w:val="center"/>
              <w:rPr>
                <w:bCs/>
              </w:rPr>
            </w:pPr>
            <w:r w:rsidRPr="00E6685C">
              <w:rPr>
                <w:bCs/>
                <w:sz w:val="18"/>
              </w:rPr>
              <w:t>611</w:t>
            </w:r>
          </w:p>
        </w:tc>
        <w:tc>
          <w:tcPr>
            <w:tcW w:w="720" w:type="dxa"/>
            <w:tcBorders>
              <w:top w:val="single" w:sz="4" w:space="0" w:color="000000"/>
              <w:left w:val="single" w:sz="12" w:space="0" w:color="000000"/>
              <w:bottom w:val="single" w:sz="4" w:space="0" w:color="000000"/>
              <w:right w:val="single" w:sz="12" w:space="0" w:color="000000"/>
            </w:tcBorders>
          </w:tcPr>
          <w:p w14:paraId="67D2E013" w14:textId="3CE01BD5" w:rsidR="000A75F9" w:rsidRPr="00E6685C" w:rsidRDefault="000A75F9" w:rsidP="001A7E34">
            <w:pPr>
              <w:spacing w:after="0" w:line="259" w:lineRule="auto"/>
              <w:ind w:left="9" w:right="0" w:firstLine="0"/>
              <w:rPr>
                <w:bCs/>
              </w:rPr>
            </w:pPr>
          </w:p>
        </w:tc>
      </w:tr>
      <w:tr w:rsidR="000A75F9" w14:paraId="74EAF9C5" w14:textId="77777777" w:rsidTr="00C23B62">
        <w:trPr>
          <w:trHeight w:val="252"/>
        </w:trPr>
        <w:tc>
          <w:tcPr>
            <w:tcW w:w="3406" w:type="dxa"/>
            <w:tcBorders>
              <w:top w:val="single" w:sz="4" w:space="0" w:color="000000"/>
              <w:left w:val="single" w:sz="12" w:space="0" w:color="000000"/>
              <w:bottom w:val="single" w:sz="4" w:space="0" w:color="000000"/>
              <w:right w:val="single" w:sz="12" w:space="0" w:color="000000"/>
            </w:tcBorders>
          </w:tcPr>
          <w:p w14:paraId="19C1DA1D" w14:textId="70D5128A" w:rsidR="000A75F9" w:rsidRDefault="000A75F9" w:rsidP="000A75F9">
            <w:pPr>
              <w:spacing w:after="0" w:line="259" w:lineRule="auto"/>
              <w:ind w:left="2" w:right="0" w:firstLine="0"/>
            </w:pPr>
            <w:r>
              <w:rPr>
                <w:sz w:val="18"/>
              </w:rPr>
              <w:t xml:space="preserve">Bis(2-chloroisopropyl) ether </w:t>
            </w:r>
          </w:p>
        </w:tc>
        <w:tc>
          <w:tcPr>
            <w:tcW w:w="1367" w:type="dxa"/>
            <w:tcBorders>
              <w:top w:val="single" w:sz="4" w:space="0" w:color="000000"/>
              <w:left w:val="single" w:sz="12" w:space="0" w:color="000000"/>
              <w:bottom w:val="single" w:sz="4" w:space="0" w:color="000000"/>
              <w:right w:val="single" w:sz="12" w:space="0" w:color="000000"/>
            </w:tcBorders>
          </w:tcPr>
          <w:p w14:paraId="3CD9437B" w14:textId="7C989198" w:rsidR="000A75F9" w:rsidRDefault="000A75F9" w:rsidP="00A63D72">
            <w:pPr>
              <w:spacing w:after="0" w:line="259" w:lineRule="auto"/>
              <w:ind w:left="0" w:right="35" w:firstLine="0"/>
              <w:jc w:val="center"/>
            </w:pPr>
            <w:r>
              <w:rPr>
                <w:sz w:val="18"/>
              </w:rPr>
              <w:t>108-60-1</w:t>
            </w:r>
          </w:p>
        </w:tc>
        <w:tc>
          <w:tcPr>
            <w:tcW w:w="781" w:type="dxa"/>
            <w:tcBorders>
              <w:top w:val="single" w:sz="4" w:space="0" w:color="000000"/>
              <w:left w:val="single" w:sz="12" w:space="0" w:color="000000"/>
              <w:bottom w:val="single" w:sz="4" w:space="0" w:color="000000"/>
              <w:right w:val="single" w:sz="12" w:space="0" w:color="000000"/>
            </w:tcBorders>
          </w:tcPr>
          <w:p w14:paraId="75FEA151" w14:textId="04165E8C" w:rsidR="000A75F9" w:rsidRDefault="000A75F9" w:rsidP="00A63D72">
            <w:pPr>
              <w:tabs>
                <w:tab w:val="center" w:pos="354"/>
              </w:tabs>
              <w:spacing w:after="0" w:line="259" w:lineRule="auto"/>
              <w:ind w:left="0" w:right="0" w:firstLine="0"/>
              <w:jc w:val="center"/>
            </w:pPr>
            <w:r>
              <w:rPr>
                <w:b/>
                <w:sz w:val="18"/>
              </w:rPr>
              <w:t>4</w:t>
            </w:r>
          </w:p>
        </w:tc>
        <w:tc>
          <w:tcPr>
            <w:tcW w:w="881" w:type="dxa"/>
            <w:tcBorders>
              <w:top w:val="single" w:sz="4" w:space="0" w:color="000000"/>
              <w:left w:val="single" w:sz="12" w:space="0" w:color="000000"/>
              <w:bottom w:val="single" w:sz="4" w:space="0" w:color="000000"/>
              <w:right w:val="single" w:sz="12" w:space="0" w:color="000000"/>
            </w:tcBorders>
          </w:tcPr>
          <w:p w14:paraId="447FA63F" w14:textId="6935CABE" w:rsidR="000A75F9" w:rsidRDefault="000A75F9" w:rsidP="00A63D72">
            <w:pPr>
              <w:spacing w:after="0" w:line="259" w:lineRule="auto"/>
              <w:ind w:left="0" w:right="40" w:firstLine="0"/>
              <w:jc w:val="center"/>
            </w:pPr>
            <w:r>
              <w:rPr>
                <w:sz w:val="18"/>
              </w:rPr>
              <w:t>ug/L</w:t>
            </w:r>
          </w:p>
        </w:tc>
        <w:tc>
          <w:tcPr>
            <w:tcW w:w="878" w:type="dxa"/>
            <w:tcBorders>
              <w:top w:val="single" w:sz="4" w:space="0" w:color="000000"/>
              <w:left w:val="single" w:sz="12" w:space="0" w:color="000000"/>
              <w:bottom w:val="single" w:sz="4" w:space="0" w:color="000000"/>
              <w:right w:val="single" w:sz="12" w:space="0" w:color="000000"/>
            </w:tcBorders>
          </w:tcPr>
          <w:p w14:paraId="7019A89C" w14:textId="4FAFC978" w:rsidR="000A75F9" w:rsidRDefault="000A75F9" w:rsidP="00A63D72">
            <w:pPr>
              <w:spacing w:after="0" w:line="259" w:lineRule="auto"/>
              <w:ind w:left="0" w:right="36" w:firstLine="0"/>
              <w:jc w:val="center"/>
            </w:pPr>
            <w:r>
              <w:rPr>
                <w:sz w:val="18"/>
              </w:rPr>
              <w:t>N/A</w:t>
            </w:r>
          </w:p>
        </w:tc>
        <w:tc>
          <w:tcPr>
            <w:tcW w:w="1075" w:type="dxa"/>
            <w:tcBorders>
              <w:top w:val="single" w:sz="4" w:space="0" w:color="000000"/>
              <w:left w:val="single" w:sz="12" w:space="0" w:color="000000"/>
              <w:bottom w:val="single" w:sz="4" w:space="0" w:color="000000"/>
              <w:right w:val="single" w:sz="12" w:space="0" w:color="000000"/>
            </w:tcBorders>
          </w:tcPr>
          <w:p w14:paraId="23664DD4" w14:textId="25D0D065" w:rsidR="000A75F9" w:rsidRDefault="000A75F9" w:rsidP="00A63D72">
            <w:pPr>
              <w:spacing w:after="0" w:line="259" w:lineRule="auto"/>
              <w:ind w:left="0" w:right="40" w:firstLine="0"/>
              <w:jc w:val="center"/>
            </w:pPr>
            <w:r>
              <w:rPr>
                <w:sz w:val="18"/>
              </w:rPr>
              <w:t>N/A</w:t>
            </w:r>
          </w:p>
        </w:tc>
        <w:tc>
          <w:tcPr>
            <w:tcW w:w="702" w:type="dxa"/>
            <w:tcBorders>
              <w:top w:val="single" w:sz="4" w:space="0" w:color="000000"/>
              <w:left w:val="single" w:sz="12" w:space="0" w:color="000000"/>
              <w:bottom w:val="single" w:sz="4" w:space="0" w:color="000000"/>
              <w:right w:val="single" w:sz="12" w:space="0" w:color="000000"/>
            </w:tcBorders>
          </w:tcPr>
          <w:p w14:paraId="26C479E3" w14:textId="56D77753" w:rsidR="000A75F9" w:rsidRPr="00E6685C" w:rsidRDefault="000A75F9" w:rsidP="00D024C9">
            <w:pPr>
              <w:spacing w:after="0" w:line="259" w:lineRule="auto"/>
              <w:ind w:left="98" w:right="0" w:firstLine="0"/>
              <w:jc w:val="center"/>
              <w:rPr>
                <w:bCs/>
              </w:rPr>
            </w:pPr>
            <w:r w:rsidRPr="00E6685C">
              <w:rPr>
                <w:bCs/>
                <w:sz w:val="18"/>
              </w:rPr>
              <w:t>1625</w:t>
            </w:r>
          </w:p>
        </w:tc>
        <w:tc>
          <w:tcPr>
            <w:tcW w:w="720" w:type="dxa"/>
            <w:tcBorders>
              <w:top w:val="single" w:sz="4" w:space="0" w:color="000000"/>
              <w:left w:val="single" w:sz="12" w:space="0" w:color="000000"/>
              <w:bottom w:val="single" w:sz="4" w:space="0" w:color="000000"/>
              <w:right w:val="single" w:sz="12" w:space="0" w:color="000000"/>
            </w:tcBorders>
          </w:tcPr>
          <w:p w14:paraId="5A84B1F6" w14:textId="230993AE" w:rsidR="000A75F9" w:rsidRPr="00E6685C" w:rsidRDefault="000A75F9" w:rsidP="00A63D72">
            <w:pPr>
              <w:spacing w:after="0" w:line="259" w:lineRule="auto"/>
              <w:ind w:left="0" w:right="40" w:firstLine="0"/>
              <w:jc w:val="center"/>
              <w:rPr>
                <w:bCs/>
              </w:rPr>
            </w:pPr>
            <w:r w:rsidRPr="00E6685C">
              <w:rPr>
                <w:bCs/>
                <w:sz w:val="18"/>
              </w:rPr>
              <w:t>611</w:t>
            </w:r>
          </w:p>
        </w:tc>
        <w:tc>
          <w:tcPr>
            <w:tcW w:w="720" w:type="dxa"/>
            <w:tcBorders>
              <w:top w:val="single" w:sz="4" w:space="0" w:color="000000"/>
              <w:left w:val="single" w:sz="12" w:space="0" w:color="000000"/>
              <w:bottom w:val="single" w:sz="4" w:space="0" w:color="000000"/>
              <w:right w:val="single" w:sz="12" w:space="0" w:color="000000"/>
            </w:tcBorders>
          </w:tcPr>
          <w:p w14:paraId="2FAC028F" w14:textId="41733C99" w:rsidR="000A75F9" w:rsidRPr="00E6685C" w:rsidRDefault="000A75F9" w:rsidP="001A7E34">
            <w:pPr>
              <w:spacing w:after="0" w:line="259" w:lineRule="auto"/>
              <w:ind w:left="9" w:right="0" w:firstLine="0"/>
              <w:rPr>
                <w:bCs/>
              </w:rPr>
            </w:pPr>
          </w:p>
        </w:tc>
      </w:tr>
      <w:tr w:rsidR="000A75F9" w14:paraId="5AA023C0" w14:textId="77777777" w:rsidTr="00C23B62">
        <w:trPr>
          <w:trHeight w:val="250"/>
        </w:trPr>
        <w:tc>
          <w:tcPr>
            <w:tcW w:w="3406" w:type="dxa"/>
            <w:tcBorders>
              <w:top w:val="single" w:sz="4" w:space="0" w:color="000000"/>
              <w:left w:val="single" w:sz="12" w:space="0" w:color="000000"/>
              <w:bottom w:val="single" w:sz="4" w:space="0" w:color="000000"/>
              <w:right w:val="single" w:sz="12" w:space="0" w:color="000000"/>
            </w:tcBorders>
          </w:tcPr>
          <w:p w14:paraId="757CE1E4" w14:textId="0CD0F57A" w:rsidR="000A75F9" w:rsidRDefault="000A75F9" w:rsidP="000A75F9">
            <w:pPr>
              <w:spacing w:after="0" w:line="259" w:lineRule="auto"/>
              <w:ind w:left="2" w:right="0" w:firstLine="0"/>
            </w:pPr>
            <w:r>
              <w:rPr>
                <w:sz w:val="18"/>
              </w:rPr>
              <w:t xml:space="preserve">Bis(2-ethylhexyl) phthalate </w:t>
            </w:r>
          </w:p>
        </w:tc>
        <w:tc>
          <w:tcPr>
            <w:tcW w:w="1367" w:type="dxa"/>
            <w:tcBorders>
              <w:top w:val="single" w:sz="4" w:space="0" w:color="000000"/>
              <w:left w:val="single" w:sz="12" w:space="0" w:color="000000"/>
              <w:bottom w:val="single" w:sz="4" w:space="0" w:color="000000"/>
              <w:right w:val="single" w:sz="12" w:space="0" w:color="000000"/>
            </w:tcBorders>
          </w:tcPr>
          <w:p w14:paraId="52F2D440" w14:textId="7CE890DF" w:rsidR="000A75F9" w:rsidRDefault="000A75F9" w:rsidP="00A63D72">
            <w:pPr>
              <w:spacing w:after="0" w:line="259" w:lineRule="auto"/>
              <w:ind w:left="0" w:right="35" w:firstLine="0"/>
              <w:jc w:val="center"/>
            </w:pPr>
            <w:r>
              <w:rPr>
                <w:sz w:val="18"/>
              </w:rPr>
              <w:t>117-81-7</w:t>
            </w:r>
          </w:p>
        </w:tc>
        <w:tc>
          <w:tcPr>
            <w:tcW w:w="781" w:type="dxa"/>
            <w:tcBorders>
              <w:top w:val="single" w:sz="4" w:space="0" w:color="000000"/>
              <w:left w:val="single" w:sz="12" w:space="0" w:color="000000"/>
              <w:bottom w:val="single" w:sz="4" w:space="0" w:color="000000"/>
              <w:right w:val="single" w:sz="12" w:space="0" w:color="000000"/>
            </w:tcBorders>
          </w:tcPr>
          <w:p w14:paraId="48C56ECB" w14:textId="010AAC4F" w:rsidR="000A75F9" w:rsidRDefault="000A75F9" w:rsidP="00A63D72">
            <w:pPr>
              <w:tabs>
                <w:tab w:val="center" w:pos="354"/>
              </w:tabs>
              <w:spacing w:after="0" w:line="259" w:lineRule="auto"/>
              <w:ind w:left="0" w:right="0" w:firstLine="0"/>
              <w:jc w:val="center"/>
            </w:pPr>
            <w:r>
              <w:rPr>
                <w:b/>
                <w:sz w:val="18"/>
              </w:rPr>
              <w:t>6</w:t>
            </w:r>
          </w:p>
        </w:tc>
        <w:tc>
          <w:tcPr>
            <w:tcW w:w="881" w:type="dxa"/>
            <w:tcBorders>
              <w:top w:val="single" w:sz="4" w:space="0" w:color="000000"/>
              <w:left w:val="single" w:sz="12" w:space="0" w:color="000000"/>
              <w:bottom w:val="single" w:sz="4" w:space="0" w:color="000000"/>
              <w:right w:val="single" w:sz="12" w:space="0" w:color="000000"/>
            </w:tcBorders>
          </w:tcPr>
          <w:p w14:paraId="59384FE4" w14:textId="1180F864" w:rsidR="000A75F9" w:rsidRDefault="000A75F9" w:rsidP="00A63D72">
            <w:pPr>
              <w:spacing w:after="0" w:line="259" w:lineRule="auto"/>
              <w:ind w:left="0" w:right="40" w:firstLine="0"/>
              <w:jc w:val="center"/>
            </w:pPr>
            <w:r>
              <w:rPr>
                <w:sz w:val="18"/>
              </w:rPr>
              <w:t>ug/L</w:t>
            </w:r>
          </w:p>
        </w:tc>
        <w:tc>
          <w:tcPr>
            <w:tcW w:w="878" w:type="dxa"/>
            <w:tcBorders>
              <w:top w:val="single" w:sz="4" w:space="0" w:color="000000"/>
              <w:left w:val="single" w:sz="12" w:space="0" w:color="000000"/>
              <w:bottom w:val="single" w:sz="4" w:space="0" w:color="000000"/>
              <w:right w:val="single" w:sz="12" w:space="0" w:color="000000"/>
            </w:tcBorders>
          </w:tcPr>
          <w:p w14:paraId="605DB81D" w14:textId="1BC5D5D2" w:rsidR="000A75F9" w:rsidRDefault="000A75F9" w:rsidP="00A63D72">
            <w:pPr>
              <w:spacing w:after="0" w:line="259" w:lineRule="auto"/>
              <w:ind w:left="0" w:right="36" w:firstLine="0"/>
              <w:jc w:val="center"/>
            </w:pPr>
            <w:r>
              <w:rPr>
                <w:sz w:val="18"/>
              </w:rPr>
              <w:t>N/A</w:t>
            </w:r>
          </w:p>
        </w:tc>
        <w:tc>
          <w:tcPr>
            <w:tcW w:w="1075" w:type="dxa"/>
            <w:tcBorders>
              <w:top w:val="single" w:sz="4" w:space="0" w:color="000000"/>
              <w:left w:val="single" w:sz="12" w:space="0" w:color="000000"/>
              <w:bottom w:val="single" w:sz="4" w:space="0" w:color="000000"/>
              <w:right w:val="single" w:sz="12" w:space="0" w:color="000000"/>
            </w:tcBorders>
          </w:tcPr>
          <w:p w14:paraId="066D2C05" w14:textId="0FA88ED4" w:rsidR="000A75F9" w:rsidRDefault="000A75F9" w:rsidP="00A63D72">
            <w:pPr>
              <w:spacing w:after="0" w:line="259" w:lineRule="auto"/>
              <w:ind w:left="0" w:right="40" w:firstLine="0"/>
              <w:jc w:val="center"/>
            </w:pPr>
            <w:r>
              <w:rPr>
                <w:sz w:val="18"/>
              </w:rPr>
              <w:t>N/A</w:t>
            </w:r>
          </w:p>
        </w:tc>
        <w:tc>
          <w:tcPr>
            <w:tcW w:w="702" w:type="dxa"/>
            <w:tcBorders>
              <w:top w:val="single" w:sz="4" w:space="0" w:color="000000"/>
              <w:left w:val="single" w:sz="12" w:space="0" w:color="000000"/>
              <w:bottom w:val="single" w:sz="4" w:space="0" w:color="000000"/>
              <w:right w:val="single" w:sz="12" w:space="0" w:color="000000"/>
            </w:tcBorders>
          </w:tcPr>
          <w:p w14:paraId="253E7C7B" w14:textId="507C1951" w:rsidR="000A75F9" w:rsidRPr="00E6685C" w:rsidRDefault="000A75F9" w:rsidP="00D024C9">
            <w:pPr>
              <w:spacing w:after="0" w:line="259" w:lineRule="auto"/>
              <w:ind w:left="98" w:right="0" w:firstLine="0"/>
              <w:jc w:val="center"/>
              <w:rPr>
                <w:bCs/>
              </w:rPr>
            </w:pPr>
            <w:r w:rsidRPr="00E6685C">
              <w:rPr>
                <w:bCs/>
                <w:sz w:val="18"/>
              </w:rPr>
              <w:t>1625</w:t>
            </w:r>
          </w:p>
        </w:tc>
        <w:tc>
          <w:tcPr>
            <w:tcW w:w="720" w:type="dxa"/>
            <w:tcBorders>
              <w:top w:val="single" w:sz="4" w:space="0" w:color="000000"/>
              <w:left w:val="single" w:sz="12" w:space="0" w:color="000000"/>
              <w:bottom w:val="single" w:sz="4" w:space="0" w:color="000000"/>
              <w:right w:val="single" w:sz="12" w:space="0" w:color="000000"/>
            </w:tcBorders>
          </w:tcPr>
          <w:p w14:paraId="693A4B28" w14:textId="43E426C2" w:rsidR="000A75F9" w:rsidRPr="00E6685C" w:rsidRDefault="000A75F9" w:rsidP="00A63D72">
            <w:pPr>
              <w:spacing w:after="0" w:line="259" w:lineRule="auto"/>
              <w:ind w:left="0" w:right="40" w:firstLine="0"/>
              <w:jc w:val="center"/>
              <w:rPr>
                <w:bCs/>
              </w:rPr>
            </w:pPr>
            <w:r w:rsidRPr="00E6685C">
              <w:rPr>
                <w:bCs/>
                <w:sz w:val="18"/>
              </w:rPr>
              <w:t>506</w:t>
            </w:r>
          </w:p>
        </w:tc>
        <w:tc>
          <w:tcPr>
            <w:tcW w:w="720" w:type="dxa"/>
            <w:tcBorders>
              <w:top w:val="single" w:sz="4" w:space="0" w:color="000000"/>
              <w:left w:val="single" w:sz="12" w:space="0" w:color="000000"/>
              <w:bottom w:val="single" w:sz="4" w:space="0" w:color="000000"/>
              <w:right w:val="single" w:sz="12" w:space="0" w:color="000000"/>
            </w:tcBorders>
          </w:tcPr>
          <w:p w14:paraId="7C621A84" w14:textId="4A5AA94C" w:rsidR="000A75F9" w:rsidRPr="00E6685C" w:rsidRDefault="000A75F9" w:rsidP="001A7E34">
            <w:pPr>
              <w:spacing w:after="0" w:line="259" w:lineRule="auto"/>
              <w:ind w:left="67" w:right="0" w:firstLine="0"/>
              <w:rPr>
                <w:bCs/>
              </w:rPr>
            </w:pPr>
            <w:r w:rsidRPr="00E6685C">
              <w:rPr>
                <w:bCs/>
                <w:sz w:val="18"/>
              </w:rPr>
              <w:t>525.2</w:t>
            </w:r>
          </w:p>
        </w:tc>
      </w:tr>
      <w:tr w:rsidR="000A75F9" w14:paraId="7CF6FFC6" w14:textId="77777777" w:rsidTr="00C23B62">
        <w:trPr>
          <w:trHeight w:val="250"/>
        </w:trPr>
        <w:tc>
          <w:tcPr>
            <w:tcW w:w="3406" w:type="dxa"/>
            <w:tcBorders>
              <w:top w:val="single" w:sz="4" w:space="0" w:color="000000"/>
              <w:left w:val="single" w:sz="12" w:space="0" w:color="000000"/>
              <w:bottom w:val="single" w:sz="4" w:space="0" w:color="000000"/>
              <w:right w:val="single" w:sz="12" w:space="0" w:color="000000"/>
            </w:tcBorders>
          </w:tcPr>
          <w:p w14:paraId="4C8868DF" w14:textId="77777777" w:rsidR="000A75F9" w:rsidRDefault="000A75F9" w:rsidP="000A75F9">
            <w:pPr>
              <w:spacing w:after="0" w:line="259" w:lineRule="auto"/>
              <w:ind w:left="2" w:right="0" w:firstLine="0"/>
            </w:pPr>
            <w:r>
              <w:rPr>
                <w:sz w:val="18"/>
              </w:rPr>
              <w:t xml:space="preserve">Butyl benzyl phthalate </w:t>
            </w:r>
          </w:p>
        </w:tc>
        <w:tc>
          <w:tcPr>
            <w:tcW w:w="1367" w:type="dxa"/>
            <w:tcBorders>
              <w:top w:val="single" w:sz="4" w:space="0" w:color="000000"/>
              <w:left w:val="single" w:sz="12" w:space="0" w:color="000000"/>
              <w:bottom w:val="single" w:sz="4" w:space="0" w:color="000000"/>
              <w:right w:val="single" w:sz="12" w:space="0" w:color="000000"/>
            </w:tcBorders>
          </w:tcPr>
          <w:p w14:paraId="282C10F9" w14:textId="131D9B55" w:rsidR="000A75F9" w:rsidRDefault="000A75F9" w:rsidP="00A63D72">
            <w:pPr>
              <w:spacing w:after="0" w:line="259" w:lineRule="auto"/>
              <w:ind w:left="0" w:right="35" w:firstLine="0"/>
              <w:jc w:val="center"/>
            </w:pPr>
            <w:r>
              <w:rPr>
                <w:sz w:val="18"/>
              </w:rPr>
              <w:t>85-68-7</w:t>
            </w:r>
          </w:p>
        </w:tc>
        <w:tc>
          <w:tcPr>
            <w:tcW w:w="781" w:type="dxa"/>
            <w:tcBorders>
              <w:top w:val="single" w:sz="4" w:space="0" w:color="000000"/>
              <w:left w:val="single" w:sz="12" w:space="0" w:color="000000"/>
              <w:bottom w:val="single" w:sz="4" w:space="0" w:color="000000"/>
              <w:right w:val="single" w:sz="12" w:space="0" w:color="000000"/>
            </w:tcBorders>
          </w:tcPr>
          <w:p w14:paraId="3D93F1C1" w14:textId="71DCD3BC" w:rsidR="000A75F9" w:rsidRDefault="000A75F9" w:rsidP="00A63D72">
            <w:pPr>
              <w:tabs>
                <w:tab w:val="center" w:pos="308"/>
              </w:tabs>
              <w:spacing w:after="0" w:line="259" w:lineRule="auto"/>
              <w:ind w:left="0" w:right="0" w:firstLine="0"/>
              <w:jc w:val="center"/>
            </w:pPr>
            <w:r>
              <w:rPr>
                <w:sz w:val="18"/>
              </w:rPr>
              <w:t>10</w:t>
            </w:r>
          </w:p>
        </w:tc>
        <w:tc>
          <w:tcPr>
            <w:tcW w:w="881" w:type="dxa"/>
            <w:tcBorders>
              <w:top w:val="single" w:sz="4" w:space="0" w:color="000000"/>
              <w:left w:val="single" w:sz="12" w:space="0" w:color="000000"/>
              <w:bottom w:val="single" w:sz="4" w:space="0" w:color="000000"/>
              <w:right w:val="single" w:sz="12" w:space="0" w:color="000000"/>
            </w:tcBorders>
          </w:tcPr>
          <w:p w14:paraId="6FAE5606" w14:textId="3FB3B48E" w:rsidR="000A75F9" w:rsidRDefault="000A75F9" w:rsidP="00A63D72">
            <w:pPr>
              <w:spacing w:after="0" w:line="259" w:lineRule="auto"/>
              <w:ind w:left="0" w:right="40" w:firstLine="0"/>
              <w:jc w:val="center"/>
            </w:pPr>
            <w:r>
              <w:rPr>
                <w:sz w:val="18"/>
              </w:rPr>
              <w:t>ug/L</w:t>
            </w:r>
          </w:p>
        </w:tc>
        <w:tc>
          <w:tcPr>
            <w:tcW w:w="878" w:type="dxa"/>
            <w:tcBorders>
              <w:top w:val="single" w:sz="4" w:space="0" w:color="000000"/>
              <w:left w:val="single" w:sz="12" w:space="0" w:color="000000"/>
              <w:bottom w:val="single" w:sz="4" w:space="0" w:color="000000"/>
              <w:right w:val="single" w:sz="12" w:space="0" w:color="000000"/>
            </w:tcBorders>
          </w:tcPr>
          <w:p w14:paraId="0E270703" w14:textId="6C227CBB" w:rsidR="000A75F9" w:rsidRDefault="000A75F9" w:rsidP="00A63D72">
            <w:pPr>
              <w:spacing w:after="0" w:line="259" w:lineRule="auto"/>
              <w:ind w:left="0" w:right="36" w:firstLine="0"/>
              <w:jc w:val="center"/>
            </w:pPr>
            <w:r>
              <w:rPr>
                <w:sz w:val="18"/>
              </w:rPr>
              <w:t>N/A</w:t>
            </w:r>
          </w:p>
        </w:tc>
        <w:tc>
          <w:tcPr>
            <w:tcW w:w="1075" w:type="dxa"/>
            <w:tcBorders>
              <w:top w:val="single" w:sz="4" w:space="0" w:color="000000"/>
              <w:left w:val="single" w:sz="12" w:space="0" w:color="000000"/>
              <w:bottom w:val="single" w:sz="4" w:space="0" w:color="000000"/>
              <w:right w:val="single" w:sz="12" w:space="0" w:color="000000"/>
            </w:tcBorders>
          </w:tcPr>
          <w:p w14:paraId="0A44C80C" w14:textId="02180747" w:rsidR="000A75F9" w:rsidRDefault="000A75F9" w:rsidP="00A63D72">
            <w:pPr>
              <w:spacing w:after="0" w:line="259" w:lineRule="auto"/>
              <w:ind w:left="0" w:right="40" w:firstLine="0"/>
              <w:jc w:val="center"/>
            </w:pPr>
            <w:r>
              <w:rPr>
                <w:sz w:val="18"/>
              </w:rPr>
              <w:t>N/A</w:t>
            </w:r>
          </w:p>
        </w:tc>
        <w:tc>
          <w:tcPr>
            <w:tcW w:w="702" w:type="dxa"/>
            <w:tcBorders>
              <w:top w:val="single" w:sz="4" w:space="0" w:color="000000"/>
              <w:left w:val="single" w:sz="12" w:space="0" w:color="000000"/>
              <w:bottom w:val="single" w:sz="4" w:space="0" w:color="000000"/>
              <w:right w:val="single" w:sz="12" w:space="0" w:color="000000"/>
            </w:tcBorders>
          </w:tcPr>
          <w:p w14:paraId="0BBB328E" w14:textId="6EDBCD49" w:rsidR="000A75F9" w:rsidRPr="00E6685C" w:rsidRDefault="000A75F9" w:rsidP="00D024C9">
            <w:pPr>
              <w:spacing w:after="0" w:line="259" w:lineRule="auto"/>
              <w:ind w:left="94" w:right="0" w:firstLine="0"/>
              <w:jc w:val="center"/>
              <w:rPr>
                <w:bCs/>
              </w:rPr>
            </w:pPr>
            <w:r w:rsidRPr="00E6685C">
              <w:rPr>
                <w:bCs/>
                <w:sz w:val="18"/>
              </w:rPr>
              <w:t>1625</w:t>
            </w:r>
          </w:p>
        </w:tc>
        <w:tc>
          <w:tcPr>
            <w:tcW w:w="720" w:type="dxa"/>
            <w:tcBorders>
              <w:top w:val="single" w:sz="4" w:space="0" w:color="000000"/>
              <w:left w:val="single" w:sz="12" w:space="0" w:color="000000"/>
              <w:bottom w:val="single" w:sz="4" w:space="0" w:color="000000"/>
              <w:right w:val="single" w:sz="12" w:space="0" w:color="000000"/>
            </w:tcBorders>
          </w:tcPr>
          <w:p w14:paraId="278F1BEC" w14:textId="015F66F5" w:rsidR="000A75F9" w:rsidRPr="00E6685C" w:rsidRDefault="000A75F9" w:rsidP="00A63D72">
            <w:pPr>
              <w:spacing w:after="0" w:line="259" w:lineRule="auto"/>
              <w:ind w:left="0" w:right="40" w:firstLine="0"/>
              <w:jc w:val="center"/>
              <w:rPr>
                <w:bCs/>
              </w:rPr>
            </w:pPr>
            <w:r w:rsidRPr="00E6685C">
              <w:rPr>
                <w:bCs/>
                <w:sz w:val="18"/>
              </w:rPr>
              <w:t>506</w:t>
            </w:r>
          </w:p>
        </w:tc>
        <w:tc>
          <w:tcPr>
            <w:tcW w:w="720" w:type="dxa"/>
            <w:tcBorders>
              <w:top w:val="single" w:sz="4" w:space="0" w:color="000000"/>
              <w:left w:val="single" w:sz="12" w:space="0" w:color="000000"/>
              <w:bottom w:val="single" w:sz="4" w:space="0" w:color="000000"/>
              <w:right w:val="single" w:sz="12" w:space="0" w:color="000000"/>
            </w:tcBorders>
          </w:tcPr>
          <w:p w14:paraId="382EF843" w14:textId="6C1B2E57" w:rsidR="000A75F9" w:rsidRPr="00E6685C" w:rsidRDefault="000A75F9" w:rsidP="001A7E34">
            <w:pPr>
              <w:spacing w:after="0" w:line="259" w:lineRule="auto"/>
              <w:ind w:left="67" w:right="0" w:firstLine="0"/>
              <w:rPr>
                <w:bCs/>
              </w:rPr>
            </w:pPr>
            <w:r w:rsidRPr="00E6685C">
              <w:rPr>
                <w:bCs/>
                <w:sz w:val="18"/>
              </w:rPr>
              <w:t>525.2</w:t>
            </w:r>
          </w:p>
        </w:tc>
      </w:tr>
      <w:tr w:rsidR="000A75F9" w14:paraId="36FADF98" w14:textId="77777777" w:rsidTr="00C23B62">
        <w:trPr>
          <w:trHeight w:val="250"/>
        </w:trPr>
        <w:tc>
          <w:tcPr>
            <w:tcW w:w="3406" w:type="dxa"/>
            <w:tcBorders>
              <w:top w:val="single" w:sz="4" w:space="0" w:color="000000"/>
              <w:left w:val="single" w:sz="12" w:space="0" w:color="000000"/>
              <w:bottom w:val="single" w:sz="4" w:space="0" w:color="000000"/>
              <w:right w:val="single" w:sz="12" w:space="0" w:color="000000"/>
            </w:tcBorders>
          </w:tcPr>
          <w:p w14:paraId="2ABF3C2D" w14:textId="77777777" w:rsidR="000A75F9" w:rsidRDefault="000A75F9" w:rsidP="000A75F9">
            <w:pPr>
              <w:spacing w:after="0" w:line="259" w:lineRule="auto"/>
              <w:ind w:left="2" w:right="0" w:firstLine="0"/>
            </w:pPr>
            <w:r>
              <w:rPr>
                <w:sz w:val="18"/>
              </w:rPr>
              <w:t xml:space="preserve">Carbazole </w:t>
            </w:r>
          </w:p>
        </w:tc>
        <w:tc>
          <w:tcPr>
            <w:tcW w:w="1367" w:type="dxa"/>
            <w:tcBorders>
              <w:top w:val="single" w:sz="4" w:space="0" w:color="000000"/>
              <w:left w:val="single" w:sz="12" w:space="0" w:color="000000"/>
              <w:bottom w:val="single" w:sz="4" w:space="0" w:color="000000"/>
              <w:right w:val="single" w:sz="12" w:space="0" w:color="000000"/>
            </w:tcBorders>
          </w:tcPr>
          <w:p w14:paraId="05745DE6" w14:textId="69CDAE7F" w:rsidR="000A75F9" w:rsidRDefault="000A75F9" w:rsidP="00A63D72">
            <w:pPr>
              <w:spacing w:after="0" w:line="259" w:lineRule="auto"/>
              <w:ind w:left="0" w:right="35" w:firstLine="0"/>
              <w:jc w:val="center"/>
            </w:pPr>
            <w:r>
              <w:rPr>
                <w:sz w:val="18"/>
              </w:rPr>
              <w:t>86-74-8</w:t>
            </w:r>
          </w:p>
        </w:tc>
        <w:tc>
          <w:tcPr>
            <w:tcW w:w="781" w:type="dxa"/>
            <w:tcBorders>
              <w:top w:val="single" w:sz="4" w:space="0" w:color="000000"/>
              <w:left w:val="single" w:sz="12" w:space="0" w:color="000000"/>
              <w:bottom w:val="single" w:sz="4" w:space="0" w:color="000000"/>
              <w:right w:val="single" w:sz="12" w:space="0" w:color="000000"/>
            </w:tcBorders>
          </w:tcPr>
          <w:p w14:paraId="5C42E1F9" w14:textId="12AC37C0" w:rsidR="000A75F9" w:rsidRDefault="000A75F9" w:rsidP="00A63D72">
            <w:pPr>
              <w:tabs>
                <w:tab w:val="center" w:pos="308"/>
              </w:tabs>
              <w:spacing w:after="0" w:line="259" w:lineRule="auto"/>
              <w:ind w:left="0" w:right="0" w:firstLine="0"/>
              <w:jc w:val="center"/>
            </w:pPr>
            <w:r>
              <w:rPr>
                <w:sz w:val="18"/>
              </w:rPr>
              <w:t>20</w:t>
            </w:r>
          </w:p>
        </w:tc>
        <w:tc>
          <w:tcPr>
            <w:tcW w:w="881" w:type="dxa"/>
            <w:tcBorders>
              <w:top w:val="single" w:sz="4" w:space="0" w:color="000000"/>
              <w:left w:val="single" w:sz="12" w:space="0" w:color="000000"/>
              <w:bottom w:val="single" w:sz="4" w:space="0" w:color="000000"/>
              <w:right w:val="single" w:sz="12" w:space="0" w:color="000000"/>
            </w:tcBorders>
          </w:tcPr>
          <w:p w14:paraId="0CE3E7C0" w14:textId="73E36CA8" w:rsidR="000A75F9" w:rsidRDefault="000A75F9" w:rsidP="00A63D72">
            <w:pPr>
              <w:spacing w:after="0" w:line="259" w:lineRule="auto"/>
              <w:ind w:left="0" w:right="40" w:firstLine="0"/>
              <w:jc w:val="center"/>
            </w:pPr>
            <w:r>
              <w:rPr>
                <w:sz w:val="18"/>
              </w:rPr>
              <w:t>ug/L</w:t>
            </w:r>
          </w:p>
        </w:tc>
        <w:tc>
          <w:tcPr>
            <w:tcW w:w="878" w:type="dxa"/>
            <w:tcBorders>
              <w:top w:val="single" w:sz="4" w:space="0" w:color="000000"/>
              <w:left w:val="single" w:sz="12" w:space="0" w:color="000000"/>
              <w:bottom w:val="single" w:sz="4" w:space="0" w:color="000000"/>
              <w:right w:val="single" w:sz="12" w:space="0" w:color="000000"/>
            </w:tcBorders>
          </w:tcPr>
          <w:p w14:paraId="1E3E5F82" w14:textId="76CC53CD" w:rsidR="000A75F9" w:rsidRDefault="000A75F9" w:rsidP="00A63D72">
            <w:pPr>
              <w:spacing w:after="0" w:line="259" w:lineRule="auto"/>
              <w:ind w:left="0" w:right="36" w:firstLine="0"/>
              <w:jc w:val="center"/>
            </w:pPr>
            <w:r>
              <w:rPr>
                <w:sz w:val="18"/>
              </w:rPr>
              <w:t>N/A</w:t>
            </w:r>
          </w:p>
        </w:tc>
        <w:tc>
          <w:tcPr>
            <w:tcW w:w="1075" w:type="dxa"/>
            <w:tcBorders>
              <w:top w:val="single" w:sz="4" w:space="0" w:color="000000"/>
              <w:left w:val="single" w:sz="12" w:space="0" w:color="000000"/>
              <w:bottom w:val="single" w:sz="4" w:space="0" w:color="000000"/>
              <w:right w:val="single" w:sz="12" w:space="0" w:color="000000"/>
            </w:tcBorders>
          </w:tcPr>
          <w:p w14:paraId="59E2BEE3" w14:textId="17B7D989" w:rsidR="000A75F9" w:rsidRDefault="000A75F9" w:rsidP="00A63D72">
            <w:pPr>
              <w:spacing w:after="0" w:line="259" w:lineRule="auto"/>
              <w:ind w:left="0" w:right="40" w:firstLine="0"/>
              <w:jc w:val="center"/>
            </w:pPr>
            <w:r>
              <w:rPr>
                <w:sz w:val="18"/>
              </w:rPr>
              <w:t>N/A</w:t>
            </w:r>
          </w:p>
        </w:tc>
        <w:tc>
          <w:tcPr>
            <w:tcW w:w="702" w:type="dxa"/>
            <w:tcBorders>
              <w:top w:val="single" w:sz="4" w:space="0" w:color="000000"/>
              <w:left w:val="single" w:sz="12" w:space="0" w:color="000000"/>
              <w:bottom w:val="single" w:sz="4" w:space="0" w:color="000000"/>
              <w:right w:val="single" w:sz="12" w:space="0" w:color="000000"/>
            </w:tcBorders>
          </w:tcPr>
          <w:p w14:paraId="6AC2014C" w14:textId="03210C34" w:rsidR="000A75F9" w:rsidRPr="00E6685C" w:rsidRDefault="000A75F9" w:rsidP="00D024C9">
            <w:pPr>
              <w:spacing w:after="0" w:line="259" w:lineRule="auto"/>
              <w:ind w:left="94" w:right="0" w:firstLine="0"/>
              <w:jc w:val="center"/>
              <w:rPr>
                <w:bCs/>
              </w:rPr>
            </w:pPr>
            <w:r w:rsidRPr="00E6685C">
              <w:rPr>
                <w:bCs/>
                <w:sz w:val="18"/>
              </w:rPr>
              <w:t>1625</w:t>
            </w:r>
          </w:p>
        </w:tc>
        <w:tc>
          <w:tcPr>
            <w:tcW w:w="720" w:type="dxa"/>
            <w:tcBorders>
              <w:top w:val="single" w:sz="4" w:space="0" w:color="000000"/>
              <w:left w:val="single" w:sz="12" w:space="0" w:color="000000"/>
              <w:bottom w:val="single" w:sz="4" w:space="0" w:color="000000"/>
              <w:right w:val="single" w:sz="12" w:space="0" w:color="000000"/>
            </w:tcBorders>
          </w:tcPr>
          <w:p w14:paraId="2FB8C3F6" w14:textId="25DDD98B" w:rsidR="000A75F9" w:rsidRPr="00E6685C" w:rsidRDefault="000A75F9" w:rsidP="00A63D72">
            <w:pPr>
              <w:spacing w:after="0" w:line="259" w:lineRule="auto"/>
              <w:ind w:left="7" w:right="0" w:firstLine="0"/>
              <w:jc w:val="center"/>
              <w:rPr>
                <w:bCs/>
              </w:rPr>
            </w:pPr>
          </w:p>
        </w:tc>
        <w:tc>
          <w:tcPr>
            <w:tcW w:w="720" w:type="dxa"/>
            <w:tcBorders>
              <w:top w:val="single" w:sz="4" w:space="0" w:color="000000"/>
              <w:left w:val="single" w:sz="12" w:space="0" w:color="000000"/>
              <w:bottom w:val="single" w:sz="4" w:space="0" w:color="000000"/>
              <w:right w:val="single" w:sz="12" w:space="0" w:color="000000"/>
            </w:tcBorders>
          </w:tcPr>
          <w:p w14:paraId="5E4277CD" w14:textId="4AEF7B3F" w:rsidR="000A75F9" w:rsidRPr="00E6685C" w:rsidRDefault="000A75F9" w:rsidP="001A7E34">
            <w:pPr>
              <w:spacing w:after="0" w:line="259" w:lineRule="auto"/>
              <w:ind w:left="9" w:right="0" w:firstLine="0"/>
              <w:rPr>
                <w:bCs/>
              </w:rPr>
            </w:pPr>
          </w:p>
        </w:tc>
      </w:tr>
      <w:tr w:rsidR="000A75F9" w14:paraId="373B8921" w14:textId="77777777" w:rsidTr="00C23B62">
        <w:trPr>
          <w:trHeight w:val="250"/>
        </w:trPr>
        <w:tc>
          <w:tcPr>
            <w:tcW w:w="3406" w:type="dxa"/>
            <w:tcBorders>
              <w:top w:val="single" w:sz="4" w:space="0" w:color="000000"/>
              <w:left w:val="single" w:sz="12" w:space="0" w:color="000000"/>
              <w:bottom w:val="single" w:sz="4" w:space="0" w:color="000000"/>
              <w:right w:val="single" w:sz="12" w:space="0" w:color="000000"/>
            </w:tcBorders>
          </w:tcPr>
          <w:p w14:paraId="5160A82E" w14:textId="77777777" w:rsidR="000A75F9" w:rsidRDefault="000A75F9" w:rsidP="000A75F9">
            <w:pPr>
              <w:spacing w:after="0" w:line="259" w:lineRule="auto"/>
              <w:ind w:left="2" w:right="0" w:firstLine="0"/>
            </w:pPr>
            <w:r>
              <w:rPr>
                <w:sz w:val="18"/>
              </w:rPr>
              <w:t>p-</w:t>
            </w:r>
            <w:proofErr w:type="spellStart"/>
            <w:r>
              <w:rPr>
                <w:sz w:val="18"/>
              </w:rPr>
              <w:t>Chloroaniline</w:t>
            </w:r>
            <w:proofErr w:type="spellEnd"/>
            <w:r>
              <w:rPr>
                <w:sz w:val="18"/>
              </w:rPr>
              <w:t xml:space="preserve"> </w:t>
            </w:r>
          </w:p>
        </w:tc>
        <w:tc>
          <w:tcPr>
            <w:tcW w:w="1367" w:type="dxa"/>
            <w:tcBorders>
              <w:top w:val="single" w:sz="4" w:space="0" w:color="000000"/>
              <w:left w:val="single" w:sz="12" w:space="0" w:color="000000"/>
              <w:bottom w:val="single" w:sz="4" w:space="0" w:color="000000"/>
              <w:right w:val="single" w:sz="12" w:space="0" w:color="000000"/>
            </w:tcBorders>
          </w:tcPr>
          <w:p w14:paraId="0420BE03" w14:textId="6057F0E2" w:rsidR="000A75F9" w:rsidRDefault="000A75F9" w:rsidP="00A63D72">
            <w:pPr>
              <w:spacing w:after="0" w:line="259" w:lineRule="auto"/>
              <w:ind w:left="0" w:right="35" w:firstLine="0"/>
              <w:jc w:val="center"/>
            </w:pPr>
            <w:r>
              <w:rPr>
                <w:sz w:val="18"/>
              </w:rPr>
              <w:t>106-47-8</w:t>
            </w:r>
          </w:p>
        </w:tc>
        <w:tc>
          <w:tcPr>
            <w:tcW w:w="781" w:type="dxa"/>
            <w:tcBorders>
              <w:top w:val="single" w:sz="4" w:space="0" w:color="000000"/>
              <w:left w:val="single" w:sz="12" w:space="0" w:color="000000"/>
              <w:bottom w:val="single" w:sz="4" w:space="0" w:color="000000"/>
              <w:right w:val="single" w:sz="12" w:space="0" w:color="000000"/>
            </w:tcBorders>
          </w:tcPr>
          <w:p w14:paraId="77262FA2" w14:textId="28C0F581" w:rsidR="000A75F9" w:rsidRDefault="000A75F9" w:rsidP="00A63D72">
            <w:pPr>
              <w:tabs>
                <w:tab w:val="center" w:pos="308"/>
              </w:tabs>
              <w:spacing w:after="0" w:line="259" w:lineRule="auto"/>
              <w:ind w:left="0" w:right="0" w:firstLine="0"/>
              <w:jc w:val="center"/>
            </w:pPr>
            <w:r>
              <w:rPr>
                <w:sz w:val="18"/>
              </w:rPr>
              <w:t>20</w:t>
            </w:r>
          </w:p>
        </w:tc>
        <w:tc>
          <w:tcPr>
            <w:tcW w:w="881" w:type="dxa"/>
            <w:tcBorders>
              <w:top w:val="single" w:sz="4" w:space="0" w:color="000000"/>
              <w:left w:val="single" w:sz="12" w:space="0" w:color="000000"/>
              <w:bottom w:val="single" w:sz="4" w:space="0" w:color="000000"/>
              <w:right w:val="single" w:sz="12" w:space="0" w:color="000000"/>
            </w:tcBorders>
          </w:tcPr>
          <w:p w14:paraId="0EFE630C" w14:textId="0D9722D1" w:rsidR="000A75F9" w:rsidRDefault="000A75F9" w:rsidP="00A63D72">
            <w:pPr>
              <w:spacing w:after="0" w:line="259" w:lineRule="auto"/>
              <w:ind w:left="0" w:right="40" w:firstLine="0"/>
              <w:jc w:val="center"/>
            </w:pPr>
            <w:r>
              <w:rPr>
                <w:sz w:val="18"/>
              </w:rPr>
              <w:t>ug/L</w:t>
            </w:r>
          </w:p>
        </w:tc>
        <w:tc>
          <w:tcPr>
            <w:tcW w:w="878" w:type="dxa"/>
            <w:tcBorders>
              <w:top w:val="single" w:sz="4" w:space="0" w:color="000000"/>
              <w:left w:val="single" w:sz="12" w:space="0" w:color="000000"/>
              <w:bottom w:val="single" w:sz="4" w:space="0" w:color="000000"/>
              <w:right w:val="single" w:sz="12" w:space="0" w:color="000000"/>
            </w:tcBorders>
          </w:tcPr>
          <w:p w14:paraId="502A8D50" w14:textId="7A1F744E" w:rsidR="000A75F9" w:rsidRDefault="000A75F9" w:rsidP="00A63D72">
            <w:pPr>
              <w:spacing w:after="0" w:line="259" w:lineRule="auto"/>
              <w:ind w:left="0" w:right="36" w:firstLine="0"/>
              <w:jc w:val="center"/>
            </w:pPr>
            <w:r>
              <w:rPr>
                <w:sz w:val="18"/>
              </w:rPr>
              <w:t>N/A</w:t>
            </w:r>
          </w:p>
        </w:tc>
        <w:tc>
          <w:tcPr>
            <w:tcW w:w="1075" w:type="dxa"/>
            <w:tcBorders>
              <w:top w:val="single" w:sz="4" w:space="0" w:color="000000"/>
              <w:left w:val="single" w:sz="12" w:space="0" w:color="000000"/>
              <w:bottom w:val="single" w:sz="4" w:space="0" w:color="000000"/>
              <w:right w:val="single" w:sz="12" w:space="0" w:color="000000"/>
            </w:tcBorders>
          </w:tcPr>
          <w:p w14:paraId="0B7C1A9F" w14:textId="23BDC003" w:rsidR="000A75F9" w:rsidRDefault="000A75F9" w:rsidP="00A63D72">
            <w:pPr>
              <w:spacing w:after="0" w:line="259" w:lineRule="auto"/>
              <w:ind w:left="0" w:right="40" w:firstLine="0"/>
              <w:jc w:val="center"/>
            </w:pPr>
            <w:r>
              <w:rPr>
                <w:sz w:val="18"/>
              </w:rPr>
              <w:t>N/A</w:t>
            </w:r>
          </w:p>
        </w:tc>
        <w:tc>
          <w:tcPr>
            <w:tcW w:w="702" w:type="dxa"/>
            <w:tcBorders>
              <w:top w:val="single" w:sz="4" w:space="0" w:color="000000"/>
              <w:left w:val="single" w:sz="12" w:space="0" w:color="000000"/>
              <w:bottom w:val="single" w:sz="4" w:space="0" w:color="000000"/>
              <w:right w:val="single" w:sz="12" w:space="0" w:color="000000"/>
            </w:tcBorders>
          </w:tcPr>
          <w:p w14:paraId="3315F019" w14:textId="417BE751" w:rsidR="000A75F9" w:rsidRPr="00E6685C" w:rsidRDefault="000A75F9" w:rsidP="00D024C9">
            <w:pPr>
              <w:spacing w:after="0" w:line="259" w:lineRule="auto"/>
              <w:ind w:left="94" w:right="0" w:firstLine="0"/>
              <w:jc w:val="center"/>
              <w:rPr>
                <w:bCs/>
              </w:rPr>
            </w:pPr>
            <w:r w:rsidRPr="00E6685C">
              <w:rPr>
                <w:bCs/>
                <w:sz w:val="18"/>
              </w:rPr>
              <w:t>1625</w:t>
            </w:r>
          </w:p>
        </w:tc>
        <w:tc>
          <w:tcPr>
            <w:tcW w:w="720" w:type="dxa"/>
            <w:tcBorders>
              <w:top w:val="single" w:sz="4" w:space="0" w:color="000000"/>
              <w:left w:val="single" w:sz="12" w:space="0" w:color="000000"/>
              <w:bottom w:val="single" w:sz="4" w:space="0" w:color="000000"/>
              <w:right w:val="single" w:sz="12" w:space="0" w:color="000000"/>
            </w:tcBorders>
          </w:tcPr>
          <w:p w14:paraId="6BA8BA9B" w14:textId="4965D90E" w:rsidR="000A75F9" w:rsidRPr="00E6685C" w:rsidRDefault="000A75F9" w:rsidP="00A63D72">
            <w:pPr>
              <w:spacing w:after="0" w:line="259" w:lineRule="auto"/>
              <w:ind w:left="7" w:right="0" w:firstLine="0"/>
              <w:jc w:val="center"/>
              <w:rPr>
                <w:bCs/>
              </w:rPr>
            </w:pPr>
          </w:p>
        </w:tc>
        <w:tc>
          <w:tcPr>
            <w:tcW w:w="720" w:type="dxa"/>
            <w:tcBorders>
              <w:top w:val="single" w:sz="4" w:space="0" w:color="000000"/>
              <w:left w:val="single" w:sz="12" w:space="0" w:color="000000"/>
              <w:bottom w:val="single" w:sz="4" w:space="0" w:color="000000"/>
              <w:right w:val="single" w:sz="12" w:space="0" w:color="000000"/>
            </w:tcBorders>
          </w:tcPr>
          <w:p w14:paraId="430BD01C" w14:textId="6344C4A0" w:rsidR="000A75F9" w:rsidRPr="00E6685C" w:rsidRDefault="000A75F9" w:rsidP="001A7E34">
            <w:pPr>
              <w:spacing w:after="0" w:line="259" w:lineRule="auto"/>
              <w:ind w:left="9" w:right="0" w:firstLine="0"/>
              <w:rPr>
                <w:bCs/>
              </w:rPr>
            </w:pPr>
          </w:p>
        </w:tc>
      </w:tr>
      <w:tr w:rsidR="000A75F9" w14:paraId="7AB9501E" w14:textId="77777777" w:rsidTr="00C23B62">
        <w:trPr>
          <w:trHeight w:val="250"/>
        </w:trPr>
        <w:tc>
          <w:tcPr>
            <w:tcW w:w="3406" w:type="dxa"/>
            <w:tcBorders>
              <w:top w:val="single" w:sz="4" w:space="0" w:color="000000"/>
              <w:left w:val="single" w:sz="12" w:space="0" w:color="000000"/>
              <w:bottom w:val="single" w:sz="4" w:space="0" w:color="000000"/>
              <w:right w:val="single" w:sz="12" w:space="0" w:color="000000"/>
            </w:tcBorders>
          </w:tcPr>
          <w:p w14:paraId="0208915B" w14:textId="77777777" w:rsidR="000A75F9" w:rsidRDefault="000A75F9" w:rsidP="000A75F9">
            <w:pPr>
              <w:spacing w:after="0" w:line="259" w:lineRule="auto"/>
              <w:ind w:left="2" w:right="0" w:firstLine="0"/>
            </w:pPr>
            <w:r>
              <w:rPr>
                <w:sz w:val="18"/>
              </w:rPr>
              <w:t xml:space="preserve">2-Chlorophenol </w:t>
            </w:r>
          </w:p>
        </w:tc>
        <w:tc>
          <w:tcPr>
            <w:tcW w:w="1367" w:type="dxa"/>
            <w:tcBorders>
              <w:top w:val="single" w:sz="4" w:space="0" w:color="000000"/>
              <w:left w:val="single" w:sz="12" w:space="0" w:color="000000"/>
              <w:bottom w:val="single" w:sz="4" w:space="0" w:color="000000"/>
              <w:right w:val="single" w:sz="12" w:space="0" w:color="000000"/>
            </w:tcBorders>
          </w:tcPr>
          <w:p w14:paraId="1DBD05C9" w14:textId="60382675" w:rsidR="000A75F9" w:rsidRDefault="000A75F9" w:rsidP="00A63D72">
            <w:pPr>
              <w:spacing w:after="0" w:line="259" w:lineRule="auto"/>
              <w:ind w:left="0" w:right="35" w:firstLine="0"/>
              <w:jc w:val="center"/>
            </w:pPr>
            <w:r>
              <w:rPr>
                <w:sz w:val="18"/>
              </w:rPr>
              <w:t>95-57-8</w:t>
            </w:r>
          </w:p>
        </w:tc>
        <w:tc>
          <w:tcPr>
            <w:tcW w:w="781" w:type="dxa"/>
            <w:tcBorders>
              <w:top w:val="single" w:sz="4" w:space="0" w:color="000000"/>
              <w:left w:val="single" w:sz="12" w:space="0" w:color="000000"/>
              <w:bottom w:val="single" w:sz="4" w:space="0" w:color="000000"/>
              <w:right w:val="single" w:sz="12" w:space="0" w:color="000000"/>
            </w:tcBorders>
          </w:tcPr>
          <w:p w14:paraId="7793AC90" w14:textId="65284BC4" w:rsidR="000A75F9" w:rsidRDefault="000A75F9" w:rsidP="00A63D72">
            <w:pPr>
              <w:tabs>
                <w:tab w:val="center" w:pos="308"/>
              </w:tabs>
              <w:spacing w:after="0" w:line="259" w:lineRule="auto"/>
              <w:ind w:left="0" w:right="0" w:firstLine="0"/>
              <w:jc w:val="center"/>
            </w:pPr>
            <w:r>
              <w:rPr>
                <w:sz w:val="18"/>
              </w:rPr>
              <w:t>10</w:t>
            </w:r>
          </w:p>
        </w:tc>
        <w:tc>
          <w:tcPr>
            <w:tcW w:w="881" w:type="dxa"/>
            <w:tcBorders>
              <w:top w:val="single" w:sz="4" w:space="0" w:color="000000"/>
              <w:left w:val="single" w:sz="12" w:space="0" w:color="000000"/>
              <w:bottom w:val="single" w:sz="4" w:space="0" w:color="000000"/>
              <w:right w:val="single" w:sz="12" w:space="0" w:color="000000"/>
            </w:tcBorders>
          </w:tcPr>
          <w:p w14:paraId="774FF829" w14:textId="55EF824E" w:rsidR="000A75F9" w:rsidRDefault="000A75F9" w:rsidP="00A63D72">
            <w:pPr>
              <w:spacing w:after="0" w:line="259" w:lineRule="auto"/>
              <w:ind w:left="0" w:right="40" w:firstLine="0"/>
              <w:jc w:val="center"/>
            </w:pPr>
            <w:r>
              <w:rPr>
                <w:sz w:val="18"/>
              </w:rPr>
              <w:t>ug/L</w:t>
            </w:r>
          </w:p>
        </w:tc>
        <w:tc>
          <w:tcPr>
            <w:tcW w:w="878" w:type="dxa"/>
            <w:tcBorders>
              <w:top w:val="single" w:sz="4" w:space="0" w:color="000000"/>
              <w:left w:val="single" w:sz="12" w:space="0" w:color="000000"/>
              <w:bottom w:val="single" w:sz="4" w:space="0" w:color="000000"/>
              <w:right w:val="single" w:sz="12" w:space="0" w:color="000000"/>
            </w:tcBorders>
          </w:tcPr>
          <w:p w14:paraId="51F033CE" w14:textId="6066DDF3" w:rsidR="000A75F9" w:rsidRDefault="000A75F9" w:rsidP="00A63D72">
            <w:pPr>
              <w:spacing w:after="0" w:line="259" w:lineRule="auto"/>
              <w:ind w:left="0" w:right="36" w:firstLine="0"/>
              <w:jc w:val="center"/>
            </w:pPr>
            <w:r>
              <w:rPr>
                <w:sz w:val="18"/>
              </w:rPr>
              <w:t>N/A</w:t>
            </w:r>
          </w:p>
        </w:tc>
        <w:tc>
          <w:tcPr>
            <w:tcW w:w="1075" w:type="dxa"/>
            <w:tcBorders>
              <w:top w:val="single" w:sz="4" w:space="0" w:color="000000"/>
              <w:left w:val="single" w:sz="12" w:space="0" w:color="000000"/>
              <w:bottom w:val="single" w:sz="4" w:space="0" w:color="000000"/>
              <w:right w:val="single" w:sz="12" w:space="0" w:color="000000"/>
            </w:tcBorders>
          </w:tcPr>
          <w:p w14:paraId="070049DE" w14:textId="655D9788" w:rsidR="000A75F9" w:rsidRDefault="000A75F9" w:rsidP="00A63D72">
            <w:pPr>
              <w:spacing w:after="0" w:line="259" w:lineRule="auto"/>
              <w:ind w:left="0" w:right="40" w:firstLine="0"/>
              <w:jc w:val="center"/>
            </w:pPr>
            <w:r>
              <w:rPr>
                <w:sz w:val="18"/>
              </w:rPr>
              <w:t>N/A</w:t>
            </w:r>
          </w:p>
        </w:tc>
        <w:tc>
          <w:tcPr>
            <w:tcW w:w="702" w:type="dxa"/>
            <w:tcBorders>
              <w:top w:val="single" w:sz="4" w:space="0" w:color="000000"/>
              <w:left w:val="single" w:sz="12" w:space="0" w:color="000000"/>
              <w:bottom w:val="single" w:sz="4" w:space="0" w:color="000000"/>
              <w:right w:val="single" w:sz="12" w:space="0" w:color="000000"/>
            </w:tcBorders>
          </w:tcPr>
          <w:p w14:paraId="311E8FEF" w14:textId="528B1798" w:rsidR="000A75F9" w:rsidRPr="00E6685C" w:rsidRDefault="000A75F9" w:rsidP="00D024C9">
            <w:pPr>
              <w:spacing w:after="0" w:line="259" w:lineRule="auto"/>
              <w:ind w:left="94" w:right="0" w:firstLine="0"/>
              <w:jc w:val="center"/>
              <w:rPr>
                <w:bCs/>
              </w:rPr>
            </w:pPr>
            <w:r w:rsidRPr="00E6685C">
              <w:rPr>
                <w:bCs/>
                <w:sz w:val="18"/>
              </w:rPr>
              <w:t>1625</w:t>
            </w:r>
          </w:p>
        </w:tc>
        <w:tc>
          <w:tcPr>
            <w:tcW w:w="720" w:type="dxa"/>
            <w:tcBorders>
              <w:top w:val="single" w:sz="4" w:space="0" w:color="000000"/>
              <w:left w:val="single" w:sz="12" w:space="0" w:color="000000"/>
              <w:bottom w:val="single" w:sz="4" w:space="0" w:color="000000"/>
              <w:right w:val="single" w:sz="12" w:space="0" w:color="000000"/>
            </w:tcBorders>
          </w:tcPr>
          <w:p w14:paraId="7C8485D5" w14:textId="3D14FE3B" w:rsidR="000A75F9" w:rsidRPr="00E6685C" w:rsidRDefault="000A75F9" w:rsidP="00A63D72">
            <w:pPr>
              <w:spacing w:after="0" w:line="259" w:lineRule="auto"/>
              <w:ind w:left="0" w:right="40" w:firstLine="0"/>
              <w:jc w:val="center"/>
              <w:rPr>
                <w:bCs/>
              </w:rPr>
            </w:pPr>
            <w:r w:rsidRPr="00E6685C">
              <w:rPr>
                <w:bCs/>
                <w:sz w:val="18"/>
              </w:rPr>
              <w:t>604</w:t>
            </w:r>
          </w:p>
        </w:tc>
        <w:tc>
          <w:tcPr>
            <w:tcW w:w="720" w:type="dxa"/>
            <w:tcBorders>
              <w:top w:val="single" w:sz="4" w:space="0" w:color="000000"/>
              <w:left w:val="single" w:sz="12" w:space="0" w:color="000000"/>
              <w:bottom w:val="single" w:sz="4" w:space="0" w:color="000000"/>
              <w:right w:val="single" w:sz="12" w:space="0" w:color="000000"/>
            </w:tcBorders>
          </w:tcPr>
          <w:p w14:paraId="030F3D8F" w14:textId="6969F95E" w:rsidR="000A75F9" w:rsidRPr="00E6685C" w:rsidRDefault="000A75F9" w:rsidP="00A63D72">
            <w:pPr>
              <w:spacing w:after="0" w:line="259" w:lineRule="auto"/>
              <w:ind w:left="0" w:right="37" w:firstLine="0"/>
              <w:jc w:val="center"/>
              <w:rPr>
                <w:bCs/>
              </w:rPr>
            </w:pPr>
            <w:r w:rsidRPr="00E6685C">
              <w:rPr>
                <w:bCs/>
                <w:sz w:val="18"/>
              </w:rPr>
              <w:t>625</w:t>
            </w:r>
          </w:p>
        </w:tc>
      </w:tr>
      <w:tr w:rsidR="000A75F9" w14:paraId="6B6971A5" w14:textId="77777777" w:rsidTr="00C23B62">
        <w:trPr>
          <w:trHeight w:val="252"/>
        </w:trPr>
        <w:tc>
          <w:tcPr>
            <w:tcW w:w="3406" w:type="dxa"/>
            <w:tcBorders>
              <w:top w:val="single" w:sz="4" w:space="0" w:color="000000"/>
              <w:left w:val="single" w:sz="12" w:space="0" w:color="000000"/>
              <w:bottom w:val="single" w:sz="4" w:space="0" w:color="000000"/>
              <w:right w:val="single" w:sz="12" w:space="0" w:color="000000"/>
            </w:tcBorders>
          </w:tcPr>
          <w:p w14:paraId="32437F72" w14:textId="77777777" w:rsidR="000A75F9" w:rsidRDefault="000A75F9" w:rsidP="000A75F9">
            <w:pPr>
              <w:spacing w:after="0" w:line="259" w:lineRule="auto"/>
              <w:ind w:left="2" w:right="0" w:firstLine="0"/>
            </w:pPr>
            <w:r>
              <w:rPr>
                <w:sz w:val="18"/>
              </w:rPr>
              <w:t xml:space="preserve">3,3’-Dichlorobenzidine </w:t>
            </w:r>
          </w:p>
        </w:tc>
        <w:tc>
          <w:tcPr>
            <w:tcW w:w="1367" w:type="dxa"/>
            <w:tcBorders>
              <w:top w:val="single" w:sz="4" w:space="0" w:color="000000"/>
              <w:left w:val="single" w:sz="12" w:space="0" w:color="000000"/>
              <w:bottom w:val="single" w:sz="4" w:space="0" w:color="000000"/>
              <w:right w:val="single" w:sz="12" w:space="0" w:color="000000"/>
            </w:tcBorders>
          </w:tcPr>
          <w:p w14:paraId="627CFC39" w14:textId="2190867C" w:rsidR="000A75F9" w:rsidRDefault="000A75F9" w:rsidP="00A63D72">
            <w:pPr>
              <w:spacing w:after="0" w:line="259" w:lineRule="auto"/>
              <w:ind w:left="0" w:right="35" w:firstLine="0"/>
              <w:jc w:val="center"/>
            </w:pPr>
            <w:r>
              <w:rPr>
                <w:sz w:val="18"/>
              </w:rPr>
              <w:t>91-94-1</w:t>
            </w:r>
          </w:p>
        </w:tc>
        <w:tc>
          <w:tcPr>
            <w:tcW w:w="781" w:type="dxa"/>
            <w:tcBorders>
              <w:top w:val="single" w:sz="4" w:space="0" w:color="000000"/>
              <w:left w:val="single" w:sz="12" w:space="0" w:color="000000"/>
              <w:bottom w:val="single" w:sz="4" w:space="0" w:color="000000"/>
              <w:right w:val="single" w:sz="12" w:space="0" w:color="000000"/>
            </w:tcBorders>
          </w:tcPr>
          <w:p w14:paraId="6FE4FF4E" w14:textId="4083F5C6" w:rsidR="000A75F9" w:rsidRDefault="000A75F9" w:rsidP="00A63D72">
            <w:pPr>
              <w:tabs>
                <w:tab w:val="center" w:pos="354"/>
              </w:tabs>
              <w:spacing w:after="0" w:line="259" w:lineRule="auto"/>
              <w:ind w:left="0" w:right="0" w:firstLine="0"/>
              <w:jc w:val="center"/>
            </w:pPr>
            <w:r>
              <w:rPr>
                <w:sz w:val="18"/>
              </w:rPr>
              <w:t>1</w:t>
            </w:r>
          </w:p>
        </w:tc>
        <w:tc>
          <w:tcPr>
            <w:tcW w:w="881" w:type="dxa"/>
            <w:tcBorders>
              <w:top w:val="single" w:sz="4" w:space="0" w:color="000000"/>
              <w:left w:val="single" w:sz="12" w:space="0" w:color="000000"/>
              <w:bottom w:val="single" w:sz="4" w:space="0" w:color="000000"/>
              <w:right w:val="single" w:sz="12" w:space="0" w:color="000000"/>
            </w:tcBorders>
          </w:tcPr>
          <w:p w14:paraId="3F23430E" w14:textId="217885A6" w:rsidR="000A75F9" w:rsidRDefault="000A75F9" w:rsidP="00A63D72">
            <w:pPr>
              <w:spacing w:after="0" w:line="259" w:lineRule="auto"/>
              <w:ind w:left="0" w:right="40" w:firstLine="0"/>
              <w:jc w:val="center"/>
            </w:pPr>
            <w:r>
              <w:rPr>
                <w:sz w:val="18"/>
              </w:rPr>
              <w:t>ug/L</w:t>
            </w:r>
          </w:p>
        </w:tc>
        <w:tc>
          <w:tcPr>
            <w:tcW w:w="878" w:type="dxa"/>
            <w:tcBorders>
              <w:top w:val="single" w:sz="4" w:space="0" w:color="000000"/>
              <w:left w:val="single" w:sz="12" w:space="0" w:color="000000"/>
              <w:bottom w:val="single" w:sz="4" w:space="0" w:color="000000"/>
              <w:right w:val="single" w:sz="12" w:space="0" w:color="000000"/>
            </w:tcBorders>
          </w:tcPr>
          <w:p w14:paraId="46D04355" w14:textId="27ABE72E" w:rsidR="000A75F9" w:rsidRDefault="000A75F9" w:rsidP="00A63D72">
            <w:pPr>
              <w:spacing w:after="0" w:line="259" w:lineRule="auto"/>
              <w:ind w:left="0" w:right="36" w:firstLine="0"/>
              <w:jc w:val="center"/>
            </w:pPr>
            <w:r>
              <w:rPr>
                <w:sz w:val="18"/>
              </w:rPr>
              <w:t>N/A</w:t>
            </w:r>
          </w:p>
        </w:tc>
        <w:tc>
          <w:tcPr>
            <w:tcW w:w="1075" w:type="dxa"/>
            <w:tcBorders>
              <w:top w:val="single" w:sz="4" w:space="0" w:color="000000"/>
              <w:left w:val="single" w:sz="12" w:space="0" w:color="000000"/>
              <w:bottom w:val="single" w:sz="4" w:space="0" w:color="000000"/>
              <w:right w:val="single" w:sz="12" w:space="0" w:color="000000"/>
            </w:tcBorders>
          </w:tcPr>
          <w:p w14:paraId="3EB3E627" w14:textId="08D09A31" w:rsidR="000A75F9" w:rsidRDefault="000A75F9" w:rsidP="00A63D72">
            <w:pPr>
              <w:spacing w:after="0" w:line="259" w:lineRule="auto"/>
              <w:ind w:left="0" w:right="40" w:firstLine="0"/>
              <w:jc w:val="center"/>
            </w:pPr>
            <w:r>
              <w:rPr>
                <w:sz w:val="18"/>
              </w:rPr>
              <w:t>N/A</w:t>
            </w:r>
          </w:p>
        </w:tc>
        <w:tc>
          <w:tcPr>
            <w:tcW w:w="702" w:type="dxa"/>
            <w:tcBorders>
              <w:top w:val="single" w:sz="4" w:space="0" w:color="000000"/>
              <w:left w:val="single" w:sz="12" w:space="0" w:color="000000"/>
              <w:bottom w:val="single" w:sz="4" w:space="0" w:color="000000"/>
              <w:right w:val="single" w:sz="12" w:space="0" w:color="000000"/>
            </w:tcBorders>
          </w:tcPr>
          <w:p w14:paraId="16912A95" w14:textId="45B81268" w:rsidR="000A75F9" w:rsidRPr="00E6685C" w:rsidRDefault="000A75F9" w:rsidP="00D024C9">
            <w:pPr>
              <w:spacing w:after="0" w:line="259" w:lineRule="auto"/>
              <w:ind w:left="98" w:right="0" w:firstLine="0"/>
              <w:jc w:val="center"/>
              <w:rPr>
                <w:bCs/>
              </w:rPr>
            </w:pPr>
            <w:r w:rsidRPr="00E6685C">
              <w:rPr>
                <w:bCs/>
                <w:sz w:val="18"/>
              </w:rPr>
              <w:t>1625</w:t>
            </w:r>
          </w:p>
        </w:tc>
        <w:tc>
          <w:tcPr>
            <w:tcW w:w="720" w:type="dxa"/>
            <w:tcBorders>
              <w:top w:val="single" w:sz="4" w:space="0" w:color="000000"/>
              <w:left w:val="single" w:sz="12" w:space="0" w:color="000000"/>
              <w:bottom w:val="single" w:sz="4" w:space="0" w:color="000000"/>
              <w:right w:val="single" w:sz="12" w:space="0" w:color="000000"/>
            </w:tcBorders>
          </w:tcPr>
          <w:p w14:paraId="5A1B4362" w14:textId="41A6F9FF" w:rsidR="000A75F9" w:rsidRPr="00E6685C" w:rsidRDefault="000A75F9" w:rsidP="00A63D72">
            <w:pPr>
              <w:spacing w:after="0" w:line="259" w:lineRule="auto"/>
              <w:ind w:left="0" w:right="40" w:firstLine="0"/>
              <w:jc w:val="center"/>
              <w:rPr>
                <w:bCs/>
              </w:rPr>
            </w:pPr>
            <w:r w:rsidRPr="00E6685C">
              <w:rPr>
                <w:bCs/>
                <w:sz w:val="18"/>
              </w:rPr>
              <w:t>605</w:t>
            </w:r>
          </w:p>
        </w:tc>
        <w:tc>
          <w:tcPr>
            <w:tcW w:w="720" w:type="dxa"/>
            <w:tcBorders>
              <w:top w:val="single" w:sz="4" w:space="0" w:color="000000"/>
              <w:left w:val="single" w:sz="12" w:space="0" w:color="000000"/>
              <w:bottom w:val="single" w:sz="4" w:space="0" w:color="000000"/>
              <w:right w:val="single" w:sz="12" w:space="0" w:color="000000"/>
            </w:tcBorders>
          </w:tcPr>
          <w:p w14:paraId="62F4FBB6" w14:textId="3DD179CA" w:rsidR="000A75F9" w:rsidRPr="00E6685C" w:rsidRDefault="000A75F9" w:rsidP="001A7E34">
            <w:pPr>
              <w:spacing w:after="0" w:line="259" w:lineRule="auto"/>
              <w:ind w:left="9" w:right="0" w:firstLine="0"/>
              <w:rPr>
                <w:bCs/>
              </w:rPr>
            </w:pPr>
          </w:p>
        </w:tc>
      </w:tr>
      <w:tr w:rsidR="000A75F9" w14:paraId="74081AE7" w14:textId="77777777" w:rsidTr="00C23B62">
        <w:trPr>
          <w:trHeight w:val="250"/>
        </w:trPr>
        <w:tc>
          <w:tcPr>
            <w:tcW w:w="3406" w:type="dxa"/>
            <w:tcBorders>
              <w:top w:val="single" w:sz="4" w:space="0" w:color="000000"/>
              <w:left w:val="single" w:sz="12" w:space="0" w:color="000000"/>
              <w:bottom w:val="single" w:sz="4" w:space="0" w:color="000000"/>
              <w:right w:val="single" w:sz="12" w:space="0" w:color="000000"/>
            </w:tcBorders>
          </w:tcPr>
          <w:p w14:paraId="4739C2CC" w14:textId="77777777" w:rsidR="000A75F9" w:rsidRDefault="000A75F9" w:rsidP="000A75F9">
            <w:pPr>
              <w:spacing w:after="0" w:line="259" w:lineRule="auto"/>
              <w:ind w:left="2" w:right="0" w:firstLine="0"/>
            </w:pPr>
            <w:r>
              <w:rPr>
                <w:sz w:val="18"/>
              </w:rPr>
              <w:t xml:space="preserve">2,4-Dichlorophenol </w:t>
            </w:r>
          </w:p>
        </w:tc>
        <w:tc>
          <w:tcPr>
            <w:tcW w:w="1367" w:type="dxa"/>
            <w:tcBorders>
              <w:top w:val="single" w:sz="4" w:space="0" w:color="000000"/>
              <w:left w:val="single" w:sz="12" w:space="0" w:color="000000"/>
              <w:bottom w:val="single" w:sz="4" w:space="0" w:color="000000"/>
              <w:right w:val="single" w:sz="12" w:space="0" w:color="000000"/>
            </w:tcBorders>
          </w:tcPr>
          <w:p w14:paraId="0DF2EFB1" w14:textId="2839FF2B" w:rsidR="000A75F9" w:rsidRDefault="000A75F9" w:rsidP="00A63D72">
            <w:pPr>
              <w:spacing w:after="0" w:line="259" w:lineRule="auto"/>
              <w:ind w:left="0" w:right="35" w:firstLine="0"/>
              <w:jc w:val="center"/>
            </w:pPr>
            <w:r>
              <w:rPr>
                <w:sz w:val="18"/>
              </w:rPr>
              <w:t>120-83-2</w:t>
            </w:r>
          </w:p>
        </w:tc>
        <w:tc>
          <w:tcPr>
            <w:tcW w:w="781" w:type="dxa"/>
            <w:tcBorders>
              <w:top w:val="single" w:sz="4" w:space="0" w:color="000000"/>
              <w:left w:val="single" w:sz="12" w:space="0" w:color="000000"/>
              <w:bottom w:val="single" w:sz="4" w:space="0" w:color="000000"/>
              <w:right w:val="single" w:sz="12" w:space="0" w:color="000000"/>
            </w:tcBorders>
          </w:tcPr>
          <w:p w14:paraId="3BE21C23" w14:textId="53FEE4B8" w:rsidR="000A75F9" w:rsidRDefault="000A75F9" w:rsidP="00A63D72">
            <w:pPr>
              <w:tabs>
                <w:tab w:val="center" w:pos="308"/>
              </w:tabs>
              <w:spacing w:after="0" w:line="259" w:lineRule="auto"/>
              <w:ind w:left="0" w:right="0" w:firstLine="0"/>
              <w:jc w:val="center"/>
            </w:pPr>
            <w:r>
              <w:rPr>
                <w:sz w:val="18"/>
              </w:rPr>
              <w:t>10</w:t>
            </w:r>
          </w:p>
        </w:tc>
        <w:tc>
          <w:tcPr>
            <w:tcW w:w="881" w:type="dxa"/>
            <w:tcBorders>
              <w:top w:val="single" w:sz="4" w:space="0" w:color="000000"/>
              <w:left w:val="single" w:sz="12" w:space="0" w:color="000000"/>
              <w:bottom w:val="single" w:sz="4" w:space="0" w:color="000000"/>
              <w:right w:val="single" w:sz="12" w:space="0" w:color="000000"/>
            </w:tcBorders>
          </w:tcPr>
          <w:p w14:paraId="6C5E4573" w14:textId="74994759" w:rsidR="000A75F9" w:rsidRDefault="000A75F9" w:rsidP="00A63D72">
            <w:pPr>
              <w:spacing w:after="0" w:line="259" w:lineRule="auto"/>
              <w:ind w:left="0" w:right="40" w:firstLine="0"/>
              <w:jc w:val="center"/>
            </w:pPr>
            <w:r>
              <w:rPr>
                <w:sz w:val="18"/>
              </w:rPr>
              <w:t>ug/L</w:t>
            </w:r>
          </w:p>
        </w:tc>
        <w:tc>
          <w:tcPr>
            <w:tcW w:w="878" w:type="dxa"/>
            <w:tcBorders>
              <w:top w:val="single" w:sz="4" w:space="0" w:color="000000"/>
              <w:left w:val="single" w:sz="12" w:space="0" w:color="000000"/>
              <w:bottom w:val="single" w:sz="4" w:space="0" w:color="000000"/>
              <w:right w:val="single" w:sz="12" w:space="0" w:color="000000"/>
            </w:tcBorders>
          </w:tcPr>
          <w:p w14:paraId="779B4BB4" w14:textId="37531FBD" w:rsidR="000A75F9" w:rsidRDefault="000A75F9" w:rsidP="00A63D72">
            <w:pPr>
              <w:spacing w:after="0" w:line="259" w:lineRule="auto"/>
              <w:ind w:left="0" w:right="36" w:firstLine="0"/>
              <w:jc w:val="center"/>
            </w:pPr>
            <w:r>
              <w:rPr>
                <w:sz w:val="18"/>
              </w:rPr>
              <w:t>N/A</w:t>
            </w:r>
          </w:p>
        </w:tc>
        <w:tc>
          <w:tcPr>
            <w:tcW w:w="1075" w:type="dxa"/>
            <w:tcBorders>
              <w:top w:val="single" w:sz="4" w:space="0" w:color="000000"/>
              <w:left w:val="single" w:sz="12" w:space="0" w:color="000000"/>
              <w:bottom w:val="single" w:sz="4" w:space="0" w:color="000000"/>
              <w:right w:val="single" w:sz="12" w:space="0" w:color="000000"/>
            </w:tcBorders>
          </w:tcPr>
          <w:p w14:paraId="1BB42D35" w14:textId="0AF559A0" w:rsidR="000A75F9" w:rsidRDefault="000A75F9" w:rsidP="00A63D72">
            <w:pPr>
              <w:spacing w:after="0" w:line="259" w:lineRule="auto"/>
              <w:ind w:left="0" w:right="40" w:firstLine="0"/>
              <w:jc w:val="center"/>
            </w:pPr>
            <w:r>
              <w:rPr>
                <w:sz w:val="18"/>
              </w:rPr>
              <w:t>N/A</w:t>
            </w:r>
          </w:p>
        </w:tc>
        <w:tc>
          <w:tcPr>
            <w:tcW w:w="702" w:type="dxa"/>
            <w:tcBorders>
              <w:top w:val="single" w:sz="4" w:space="0" w:color="000000"/>
              <w:left w:val="single" w:sz="12" w:space="0" w:color="000000"/>
              <w:bottom w:val="single" w:sz="4" w:space="0" w:color="000000"/>
              <w:right w:val="single" w:sz="12" w:space="0" w:color="000000"/>
            </w:tcBorders>
          </w:tcPr>
          <w:p w14:paraId="6A37049F" w14:textId="017BF8F0" w:rsidR="000A75F9" w:rsidRPr="00E6685C" w:rsidRDefault="000A75F9" w:rsidP="00D024C9">
            <w:pPr>
              <w:spacing w:after="0" w:line="259" w:lineRule="auto"/>
              <w:ind w:left="94" w:right="0" w:firstLine="0"/>
              <w:jc w:val="center"/>
              <w:rPr>
                <w:bCs/>
              </w:rPr>
            </w:pPr>
            <w:r w:rsidRPr="00E6685C">
              <w:rPr>
                <w:bCs/>
                <w:sz w:val="18"/>
              </w:rPr>
              <w:t>1625</w:t>
            </w:r>
          </w:p>
        </w:tc>
        <w:tc>
          <w:tcPr>
            <w:tcW w:w="720" w:type="dxa"/>
            <w:tcBorders>
              <w:top w:val="single" w:sz="4" w:space="0" w:color="000000"/>
              <w:left w:val="single" w:sz="12" w:space="0" w:color="000000"/>
              <w:bottom w:val="single" w:sz="4" w:space="0" w:color="000000"/>
              <w:right w:val="single" w:sz="12" w:space="0" w:color="000000"/>
            </w:tcBorders>
          </w:tcPr>
          <w:p w14:paraId="5BB934B5" w14:textId="0C09D04E" w:rsidR="000A75F9" w:rsidRPr="00E6685C" w:rsidRDefault="000A75F9" w:rsidP="00A63D72">
            <w:pPr>
              <w:spacing w:after="0" w:line="259" w:lineRule="auto"/>
              <w:ind w:left="0" w:right="40" w:firstLine="0"/>
              <w:jc w:val="center"/>
              <w:rPr>
                <w:bCs/>
              </w:rPr>
            </w:pPr>
            <w:r w:rsidRPr="00E6685C">
              <w:rPr>
                <w:bCs/>
                <w:sz w:val="18"/>
              </w:rPr>
              <w:t>604</w:t>
            </w:r>
          </w:p>
        </w:tc>
        <w:tc>
          <w:tcPr>
            <w:tcW w:w="720" w:type="dxa"/>
            <w:tcBorders>
              <w:top w:val="single" w:sz="4" w:space="0" w:color="000000"/>
              <w:left w:val="single" w:sz="12" w:space="0" w:color="000000"/>
              <w:bottom w:val="single" w:sz="4" w:space="0" w:color="000000"/>
              <w:right w:val="single" w:sz="12" w:space="0" w:color="000000"/>
            </w:tcBorders>
          </w:tcPr>
          <w:p w14:paraId="6B27E1A3" w14:textId="6F88EDE4" w:rsidR="000A75F9" w:rsidRPr="00E6685C" w:rsidRDefault="000A75F9" w:rsidP="00A63D72">
            <w:pPr>
              <w:spacing w:after="0" w:line="259" w:lineRule="auto"/>
              <w:ind w:left="0" w:right="37" w:firstLine="0"/>
              <w:jc w:val="center"/>
              <w:rPr>
                <w:bCs/>
              </w:rPr>
            </w:pPr>
            <w:r w:rsidRPr="00E6685C">
              <w:rPr>
                <w:bCs/>
                <w:sz w:val="18"/>
              </w:rPr>
              <w:t>625</w:t>
            </w:r>
          </w:p>
        </w:tc>
      </w:tr>
      <w:tr w:rsidR="000A75F9" w14:paraId="7FF6460F" w14:textId="77777777" w:rsidTr="00C23B62">
        <w:trPr>
          <w:trHeight w:val="250"/>
        </w:trPr>
        <w:tc>
          <w:tcPr>
            <w:tcW w:w="3406" w:type="dxa"/>
            <w:tcBorders>
              <w:top w:val="single" w:sz="4" w:space="0" w:color="000000"/>
              <w:left w:val="single" w:sz="12" w:space="0" w:color="000000"/>
              <w:bottom w:val="single" w:sz="4" w:space="0" w:color="000000"/>
              <w:right w:val="single" w:sz="12" w:space="0" w:color="000000"/>
            </w:tcBorders>
          </w:tcPr>
          <w:p w14:paraId="75FD174F" w14:textId="77777777" w:rsidR="000A75F9" w:rsidRDefault="000A75F9" w:rsidP="000A75F9">
            <w:pPr>
              <w:spacing w:after="0" w:line="259" w:lineRule="auto"/>
              <w:ind w:left="2" w:right="0" w:firstLine="0"/>
            </w:pPr>
            <w:r>
              <w:rPr>
                <w:sz w:val="18"/>
              </w:rPr>
              <w:t xml:space="preserve">Diethyl phthalate </w:t>
            </w:r>
          </w:p>
        </w:tc>
        <w:tc>
          <w:tcPr>
            <w:tcW w:w="1367" w:type="dxa"/>
            <w:tcBorders>
              <w:top w:val="single" w:sz="4" w:space="0" w:color="000000"/>
              <w:left w:val="single" w:sz="12" w:space="0" w:color="000000"/>
              <w:bottom w:val="single" w:sz="4" w:space="0" w:color="000000"/>
              <w:right w:val="single" w:sz="12" w:space="0" w:color="000000"/>
            </w:tcBorders>
          </w:tcPr>
          <w:p w14:paraId="09743A99" w14:textId="731B39F3" w:rsidR="000A75F9" w:rsidRDefault="000A75F9" w:rsidP="00A63D72">
            <w:pPr>
              <w:spacing w:after="0" w:line="259" w:lineRule="auto"/>
              <w:ind w:left="0" w:right="35" w:firstLine="0"/>
              <w:jc w:val="center"/>
            </w:pPr>
            <w:r>
              <w:rPr>
                <w:sz w:val="18"/>
              </w:rPr>
              <w:t>84-66-2</w:t>
            </w:r>
          </w:p>
        </w:tc>
        <w:tc>
          <w:tcPr>
            <w:tcW w:w="781" w:type="dxa"/>
            <w:tcBorders>
              <w:top w:val="single" w:sz="4" w:space="0" w:color="000000"/>
              <w:left w:val="single" w:sz="12" w:space="0" w:color="000000"/>
              <w:bottom w:val="single" w:sz="4" w:space="0" w:color="000000"/>
              <w:right w:val="single" w:sz="12" w:space="0" w:color="000000"/>
            </w:tcBorders>
          </w:tcPr>
          <w:p w14:paraId="4AF8ADAA" w14:textId="768B1A15" w:rsidR="000A75F9" w:rsidRDefault="000A75F9" w:rsidP="00A63D72">
            <w:pPr>
              <w:tabs>
                <w:tab w:val="center" w:pos="308"/>
              </w:tabs>
              <w:spacing w:after="0" w:line="259" w:lineRule="auto"/>
              <w:ind w:left="0" w:right="0" w:firstLine="0"/>
              <w:jc w:val="center"/>
            </w:pPr>
            <w:r>
              <w:rPr>
                <w:sz w:val="18"/>
              </w:rPr>
              <w:t>10</w:t>
            </w:r>
          </w:p>
        </w:tc>
        <w:tc>
          <w:tcPr>
            <w:tcW w:w="881" w:type="dxa"/>
            <w:tcBorders>
              <w:top w:val="single" w:sz="4" w:space="0" w:color="000000"/>
              <w:left w:val="single" w:sz="12" w:space="0" w:color="000000"/>
              <w:bottom w:val="single" w:sz="4" w:space="0" w:color="000000"/>
              <w:right w:val="single" w:sz="12" w:space="0" w:color="000000"/>
            </w:tcBorders>
          </w:tcPr>
          <w:p w14:paraId="412B216F" w14:textId="51748CBE" w:rsidR="000A75F9" w:rsidRDefault="000A75F9" w:rsidP="00A63D72">
            <w:pPr>
              <w:spacing w:after="0" w:line="259" w:lineRule="auto"/>
              <w:ind w:left="0" w:right="40" w:firstLine="0"/>
              <w:jc w:val="center"/>
            </w:pPr>
            <w:r>
              <w:rPr>
                <w:sz w:val="18"/>
              </w:rPr>
              <w:t>ug/L</w:t>
            </w:r>
          </w:p>
        </w:tc>
        <w:tc>
          <w:tcPr>
            <w:tcW w:w="878" w:type="dxa"/>
            <w:tcBorders>
              <w:top w:val="single" w:sz="4" w:space="0" w:color="000000"/>
              <w:left w:val="single" w:sz="12" w:space="0" w:color="000000"/>
              <w:bottom w:val="single" w:sz="4" w:space="0" w:color="000000"/>
              <w:right w:val="single" w:sz="12" w:space="0" w:color="000000"/>
            </w:tcBorders>
          </w:tcPr>
          <w:p w14:paraId="2EAE6E86" w14:textId="7F482B43" w:rsidR="000A75F9" w:rsidRDefault="000A75F9" w:rsidP="00A63D72">
            <w:pPr>
              <w:spacing w:after="0" w:line="259" w:lineRule="auto"/>
              <w:ind w:left="0" w:right="36" w:firstLine="0"/>
              <w:jc w:val="center"/>
            </w:pPr>
            <w:r>
              <w:rPr>
                <w:sz w:val="18"/>
              </w:rPr>
              <w:t>N/A</w:t>
            </w:r>
          </w:p>
        </w:tc>
        <w:tc>
          <w:tcPr>
            <w:tcW w:w="1075" w:type="dxa"/>
            <w:tcBorders>
              <w:top w:val="single" w:sz="4" w:space="0" w:color="000000"/>
              <w:left w:val="single" w:sz="12" w:space="0" w:color="000000"/>
              <w:bottom w:val="single" w:sz="4" w:space="0" w:color="000000"/>
              <w:right w:val="single" w:sz="12" w:space="0" w:color="000000"/>
            </w:tcBorders>
          </w:tcPr>
          <w:p w14:paraId="74D2E44B" w14:textId="0EB0AC2B" w:rsidR="000A75F9" w:rsidRDefault="000A75F9" w:rsidP="00A63D72">
            <w:pPr>
              <w:spacing w:after="0" w:line="259" w:lineRule="auto"/>
              <w:ind w:left="0" w:right="40" w:firstLine="0"/>
              <w:jc w:val="center"/>
            </w:pPr>
            <w:r>
              <w:rPr>
                <w:sz w:val="18"/>
              </w:rPr>
              <w:t>N/A</w:t>
            </w:r>
          </w:p>
        </w:tc>
        <w:tc>
          <w:tcPr>
            <w:tcW w:w="702" w:type="dxa"/>
            <w:tcBorders>
              <w:top w:val="single" w:sz="4" w:space="0" w:color="000000"/>
              <w:left w:val="single" w:sz="12" w:space="0" w:color="000000"/>
              <w:bottom w:val="single" w:sz="4" w:space="0" w:color="000000"/>
              <w:right w:val="single" w:sz="12" w:space="0" w:color="000000"/>
            </w:tcBorders>
          </w:tcPr>
          <w:p w14:paraId="598CF460" w14:textId="2AC9A6CB" w:rsidR="000A75F9" w:rsidRPr="00E6685C" w:rsidRDefault="000A75F9" w:rsidP="00D024C9">
            <w:pPr>
              <w:spacing w:after="0" w:line="259" w:lineRule="auto"/>
              <w:ind w:left="94" w:right="0" w:firstLine="0"/>
              <w:jc w:val="center"/>
              <w:rPr>
                <w:bCs/>
              </w:rPr>
            </w:pPr>
            <w:r w:rsidRPr="00E6685C">
              <w:rPr>
                <w:bCs/>
                <w:sz w:val="18"/>
              </w:rPr>
              <w:t>1625</w:t>
            </w:r>
          </w:p>
        </w:tc>
        <w:tc>
          <w:tcPr>
            <w:tcW w:w="720" w:type="dxa"/>
            <w:tcBorders>
              <w:top w:val="single" w:sz="4" w:space="0" w:color="000000"/>
              <w:left w:val="single" w:sz="12" w:space="0" w:color="000000"/>
              <w:bottom w:val="single" w:sz="4" w:space="0" w:color="000000"/>
              <w:right w:val="single" w:sz="12" w:space="0" w:color="000000"/>
            </w:tcBorders>
          </w:tcPr>
          <w:p w14:paraId="0F87ECB5" w14:textId="151083EE" w:rsidR="000A75F9" w:rsidRPr="00E6685C" w:rsidRDefault="000A75F9" w:rsidP="00A63D72">
            <w:pPr>
              <w:spacing w:after="0" w:line="259" w:lineRule="auto"/>
              <w:ind w:left="0" w:right="40" w:firstLine="0"/>
              <w:jc w:val="center"/>
              <w:rPr>
                <w:bCs/>
              </w:rPr>
            </w:pPr>
            <w:r w:rsidRPr="00E6685C">
              <w:rPr>
                <w:bCs/>
                <w:sz w:val="18"/>
              </w:rPr>
              <w:t>506</w:t>
            </w:r>
          </w:p>
        </w:tc>
        <w:tc>
          <w:tcPr>
            <w:tcW w:w="720" w:type="dxa"/>
            <w:tcBorders>
              <w:top w:val="single" w:sz="4" w:space="0" w:color="000000"/>
              <w:left w:val="single" w:sz="12" w:space="0" w:color="000000"/>
              <w:bottom w:val="single" w:sz="4" w:space="0" w:color="000000"/>
              <w:right w:val="single" w:sz="12" w:space="0" w:color="000000"/>
            </w:tcBorders>
          </w:tcPr>
          <w:p w14:paraId="6C908975" w14:textId="203BB880" w:rsidR="000A75F9" w:rsidRPr="00E6685C" w:rsidRDefault="000A75F9" w:rsidP="001A7E34">
            <w:pPr>
              <w:spacing w:after="0" w:line="259" w:lineRule="auto"/>
              <w:ind w:left="67" w:right="0" w:firstLine="0"/>
              <w:rPr>
                <w:bCs/>
              </w:rPr>
            </w:pPr>
            <w:r w:rsidRPr="00E6685C">
              <w:rPr>
                <w:bCs/>
                <w:sz w:val="18"/>
              </w:rPr>
              <w:t>525.2</w:t>
            </w:r>
          </w:p>
        </w:tc>
      </w:tr>
      <w:tr w:rsidR="000A75F9" w14:paraId="48A734B9" w14:textId="77777777" w:rsidTr="00C23B62">
        <w:trPr>
          <w:trHeight w:val="250"/>
        </w:trPr>
        <w:tc>
          <w:tcPr>
            <w:tcW w:w="3406" w:type="dxa"/>
            <w:tcBorders>
              <w:top w:val="single" w:sz="4" w:space="0" w:color="000000"/>
              <w:left w:val="single" w:sz="12" w:space="0" w:color="000000"/>
              <w:bottom w:val="single" w:sz="4" w:space="0" w:color="000000"/>
              <w:right w:val="single" w:sz="12" w:space="0" w:color="000000"/>
            </w:tcBorders>
          </w:tcPr>
          <w:p w14:paraId="25EAB7B2" w14:textId="77777777" w:rsidR="000A75F9" w:rsidRDefault="000A75F9" w:rsidP="000A75F9">
            <w:pPr>
              <w:spacing w:after="0" w:line="259" w:lineRule="auto"/>
              <w:ind w:left="2" w:right="0" w:firstLine="0"/>
            </w:pPr>
            <w:r>
              <w:rPr>
                <w:sz w:val="18"/>
              </w:rPr>
              <w:t xml:space="preserve">2,4-Dimethylphenol </w:t>
            </w:r>
          </w:p>
        </w:tc>
        <w:tc>
          <w:tcPr>
            <w:tcW w:w="1367" w:type="dxa"/>
            <w:tcBorders>
              <w:top w:val="single" w:sz="4" w:space="0" w:color="000000"/>
              <w:left w:val="single" w:sz="12" w:space="0" w:color="000000"/>
              <w:bottom w:val="single" w:sz="4" w:space="0" w:color="000000"/>
              <w:right w:val="single" w:sz="12" w:space="0" w:color="000000"/>
            </w:tcBorders>
          </w:tcPr>
          <w:p w14:paraId="3895E016" w14:textId="2E21D327" w:rsidR="000A75F9" w:rsidRDefault="000A75F9" w:rsidP="00A63D72">
            <w:pPr>
              <w:spacing w:after="0" w:line="259" w:lineRule="auto"/>
              <w:ind w:left="0" w:right="35" w:firstLine="0"/>
              <w:jc w:val="center"/>
            </w:pPr>
            <w:r>
              <w:rPr>
                <w:sz w:val="18"/>
              </w:rPr>
              <w:t>105-67-9</w:t>
            </w:r>
          </w:p>
        </w:tc>
        <w:tc>
          <w:tcPr>
            <w:tcW w:w="781" w:type="dxa"/>
            <w:tcBorders>
              <w:top w:val="single" w:sz="4" w:space="0" w:color="000000"/>
              <w:left w:val="single" w:sz="12" w:space="0" w:color="000000"/>
              <w:bottom w:val="single" w:sz="4" w:space="0" w:color="000000"/>
              <w:right w:val="single" w:sz="12" w:space="0" w:color="000000"/>
            </w:tcBorders>
          </w:tcPr>
          <w:p w14:paraId="68C27D36" w14:textId="62AE5209" w:rsidR="000A75F9" w:rsidRDefault="000A75F9" w:rsidP="00A63D72">
            <w:pPr>
              <w:tabs>
                <w:tab w:val="center" w:pos="308"/>
              </w:tabs>
              <w:spacing w:after="0" w:line="259" w:lineRule="auto"/>
              <w:ind w:left="0" w:right="0" w:firstLine="0"/>
              <w:jc w:val="center"/>
            </w:pPr>
            <w:r>
              <w:rPr>
                <w:sz w:val="18"/>
              </w:rPr>
              <w:t>10</w:t>
            </w:r>
          </w:p>
        </w:tc>
        <w:tc>
          <w:tcPr>
            <w:tcW w:w="881" w:type="dxa"/>
            <w:tcBorders>
              <w:top w:val="single" w:sz="4" w:space="0" w:color="000000"/>
              <w:left w:val="single" w:sz="12" w:space="0" w:color="000000"/>
              <w:bottom w:val="single" w:sz="4" w:space="0" w:color="000000"/>
              <w:right w:val="single" w:sz="12" w:space="0" w:color="000000"/>
            </w:tcBorders>
          </w:tcPr>
          <w:p w14:paraId="084A7CED" w14:textId="548E1F6D" w:rsidR="000A75F9" w:rsidRDefault="000A75F9" w:rsidP="00A63D72">
            <w:pPr>
              <w:spacing w:after="0" w:line="259" w:lineRule="auto"/>
              <w:ind w:left="0" w:right="40" w:firstLine="0"/>
              <w:jc w:val="center"/>
            </w:pPr>
            <w:r>
              <w:rPr>
                <w:sz w:val="18"/>
              </w:rPr>
              <w:t>ug/L</w:t>
            </w:r>
          </w:p>
        </w:tc>
        <w:tc>
          <w:tcPr>
            <w:tcW w:w="878" w:type="dxa"/>
            <w:tcBorders>
              <w:top w:val="single" w:sz="4" w:space="0" w:color="000000"/>
              <w:left w:val="single" w:sz="12" w:space="0" w:color="000000"/>
              <w:bottom w:val="single" w:sz="4" w:space="0" w:color="000000"/>
              <w:right w:val="single" w:sz="12" w:space="0" w:color="000000"/>
            </w:tcBorders>
          </w:tcPr>
          <w:p w14:paraId="2CA750B0" w14:textId="6B58719C" w:rsidR="000A75F9" w:rsidRDefault="000A75F9" w:rsidP="00A63D72">
            <w:pPr>
              <w:spacing w:after="0" w:line="259" w:lineRule="auto"/>
              <w:ind w:left="0" w:right="36" w:firstLine="0"/>
              <w:jc w:val="center"/>
            </w:pPr>
            <w:r>
              <w:rPr>
                <w:sz w:val="18"/>
              </w:rPr>
              <w:t>N/A</w:t>
            </w:r>
          </w:p>
        </w:tc>
        <w:tc>
          <w:tcPr>
            <w:tcW w:w="1075" w:type="dxa"/>
            <w:tcBorders>
              <w:top w:val="single" w:sz="4" w:space="0" w:color="000000"/>
              <w:left w:val="single" w:sz="12" w:space="0" w:color="000000"/>
              <w:bottom w:val="single" w:sz="4" w:space="0" w:color="000000"/>
              <w:right w:val="single" w:sz="12" w:space="0" w:color="000000"/>
            </w:tcBorders>
          </w:tcPr>
          <w:p w14:paraId="29CF3972" w14:textId="3B0B65C8" w:rsidR="000A75F9" w:rsidRDefault="000A75F9" w:rsidP="00A63D72">
            <w:pPr>
              <w:spacing w:after="0" w:line="259" w:lineRule="auto"/>
              <w:ind w:left="0" w:right="40" w:firstLine="0"/>
              <w:jc w:val="center"/>
            </w:pPr>
            <w:r>
              <w:rPr>
                <w:sz w:val="18"/>
              </w:rPr>
              <w:t>N/A</w:t>
            </w:r>
          </w:p>
        </w:tc>
        <w:tc>
          <w:tcPr>
            <w:tcW w:w="702" w:type="dxa"/>
            <w:tcBorders>
              <w:top w:val="single" w:sz="4" w:space="0" w:color="000000"/>
              <w:left w:val="single" w:sz="12" w:space="0" w:color="000000"/>
              <w:bottom w:val="single" w:sz="4" w:space="0" w:color="000000"/>
              <w:right w:val="single" w:sz="12" w:space="0" w:color="000000"/>
            </w:tcBorders>
          </w:tcPr>
          <w:p w14:paraId="0DDB8529" w14:textId="3F4C8A17" w:rsidR="000A75F9" w:rsidRPr="00E6685C" w:rsidRDefault="000A75F9" w:rsidP="00D024C9">
            <w:pPr>
              <w:spacing w:after="0" w:line="259" w:lineRule="auto"/>
              <w:ind w:left="94" w:right="0" w:firstLine="0"/>
              <w:jc w:val="center"/>
              <w:rPr>
                <w:bCs/>
              </w:rPr>
            </w:pPr>
            <w:r w:rsidRPr="00E6685C">
              <w:rPr>
                <w:bCs/>
                <w:sz w:val="18"/>
              </w:rPr>
              <w:t>1625</w:t>
            </w:r>
          </w:p>
        </w:tc>
        <w:tc>
          <w:tcPr>
            <w:tcW w:w="720" w:type="dxa"/>
            <w:tcBorders>
              <w:top w:val="single" w:sz="4" w:space="0" w:color="000000"/>
              <w:left w:val="single" w:sz="12" w:space="0" w:color="000000"/>
              <w:bottom w:val="single" w:sz="4" w:space="0" w:color="000000"/>
              <w:right w:val="single" w:sz="12" w:space="0" w:color="000000"/>
            </w:tcBorders>
          </w:tcPr>
          <w:p w14:paraId="399038F5" w14:textId="765A656D" w:rsidR="000A75F9" w:rsidRPr="00E6685C" w:rsidRDefault="000A75F9" w:rsidP="00A63D72">
            <w:pPr>
              <w:spacing w:after="0" w:line="259" w:lineRule="auto"/>
              <w:ind w:left="0" w:right="40" w:firstLine="0"/>
              <w:jc w:val="center"/>
              <w:rPr>
                <w:bCs/>
              </w:rPr>
            </w:pPr>
            <w:r w:rsidRPr="00E6685C">
              <w:rPr>
                <w:bCs/>
                <w:sz w:val="18"/>
              </w:rPr>
              <w:t>604</w:t>
            </w:r>
          </w:p>
        </w:tc>
        <w:tc>
          <w:tcPr>
            <w:tcW w:w="720" w:type="dxa"/>
            <w:tcBorders>
              <w:top w:val="single" w:sz="4" w:space="0" w:color="000000"/>
              <w:left w:val="single" w:sz="12" w:space="0" w:color="000000"/>
              <w:bottom w:val="single" w:sz="4" w:space="0" w:color="000000"/>
              <w:right w:val="single" w:sz="12" w:space="0" w:color="000000"/>
            </w:tcBorders>
          </w:tcPr>
          <w:p w14:paraId="6CE5D848" w14:textId="04F1F4F9" w:rsidR="000A75F9" w:rsidRPr="00E6685C" w:rsidRDefault="000A75F9" w:rsidP="00A63D72">
            <w:pPr>
              <w:spacing w:after="0" w:line="259" w:lineRule="auto"/>
              <w:ind w:left="0" w:right="37" w:firstLine="0"/>
              <w:jc w:val="center"/>
              <w:rPr>
                <w:bCs/>
              </w:rPr>
            </w:pPr>
            <w:r w:rsidRPr="00E6685C">
              <w:rPr>
                <w:bCs/>
                <w:sz w:val="18"/>
              </w:rPr>
              <w:t>625</w:t>
            </w:r>
          </w:p>
        </w:tc>
      </w:tr>
      <w:tr w:rsidR="000A75F9" w14:paraId="5D3B1BBE" w14:textId="77777777" w:rsidTr="00C23B62">
        <w:trPr>
          <w:trHeight w:val="250"/>
        </w:trPr>
        <w:tc>
          <w:tcPr>
            <w:tcW w:w="3406" w:type="dxa"/>
            <w:tcBorders>
              <w:top w:val="single" w:sz="4" w:space="0" w:color="000000"/>
              <w:left w:val="single" w:sz="12" w:space="0" w:color="000000"/>
              <w:bottom w:val="single" w:sz="4" w:space="0" w:color="000000"/>
              <w:right w:val="single" w:sz="12" w:space="0" w:color="000000"/>
            </w:tcBorders>
          </w:tcPr>
          <w:p w14:paraId="519E6CB5" w14:textId="77777777" w:rsidR="000A75F9" w:rsidRDefault="000A75F9" w:rsidP="000A75F9">
            <w:pPr>
              <w:spacing w:after="0" w:line="259" w:lineRule="auto"/>
              <w:ind w:left="2" w:right="0" w:firstLine="0"/>
            </w:pPr>
            <w:r>
              <w:rPr>
                <w:sz w:val="18"/>
              </w:rPr>
              <w:t xml:space="preserve">Dimethyl phthalate </w:t>
            </w:r>
          </w:p>
        </w:tc>
        <w:tc>
          <w:tcPr>
            <w:tcW w:w="1367" w:type="dxa"/>
            <w:tcBorders>
              <w:top w:val="single" w:sz="4" w:space="0" w:color="000000"/>
              <w:left w:val="single" w:sz="12" w:space="0" w:color="000000"/>
              <w:bottom w:val="single" w:sz="4" w:space="0" w:color="000000"/>
              <w:right w:val="single" w:sz="12" w:space="0" w:color="000000"/>
            </w:tcBorders>
          </w:tcPr>
          <w:p w14:paraId="45BD2AE1" w14:textId="514F9700" w:rsidR="000A75F9" w:rsidRDefault="000A75F9" w:rsidP="00A63D72">
            <w:pPr>
              <w:spacing w:after="0" w:line="259" w:lineRule="auto"/>
              <w:ind w:left="0" w:right="35" w:firstLine="0"/>
              <w:jc w:val="center"/>
            </w:pPr>
            <w:r>
              <w:rPr>
                <w:sz w:val="18"/>
              </w:rPr>
              <w:t>131-11-3</w:t>
            </w:r>
          </w:p>
        </w:tc>
        <w:tc>
          <w:tcPr>
            <w:tcW w:w="781" w:type="dxa"/>
            <w:tcBorders>
              <w:top w:val="single" w:sz="4" w:space="0" w:color="000000"/>
              <w:left w:val="single" w:sz="12" w:space="0" w:color="000000"/>
              <w:bottom w:val="single" w:sz="4" w:space="0" w:color="000000"/>
              <w:right w:val="single" w:sz="12" w:space="0" w:color="000000"/>
            </w:tcBorders>
          </w:tcPr>
          <w:p w14:paraId="0522CC63" w14:textId="7560AAB9" w:rsidR="000A75F9" w:rsidRDefault="000A75F9" w:rsidP="00A63D72">
            <w:pPr>
              <w:tabs>
                <w:tab w:val="center" w:pos="308"/>
              </w:tabs>
              <w:spacing w:after="0" w:line="259" w:lineRule="auto"/>
              <w:ind w:left="0" w:right="0" w:firstLine="0"/>
              <w:jc w:val="center"/>
            </w:pPr>
            <w:r>
              <w:rPr>
                <w:sz w:val="18"/>
              </w:rPr>
              <w:t>10</w:t>
            </w:r>
          </w:p>
        </w:tc>
        <w:tc>
          <w:tcPr>
            <w:tcW w:w="881" w:type="dxa"/>
            <w:tcBorders>
              <w:top w:val="single" w:sz="4" w:space="0" w:color="000000"/>
              <w:left w:val="single" w:sz="12" w:space="0" w:color="000000"/>
              <w:bottom w:val="single" w:sz="4" w:space="0" w:color="000000"/>
              <w:right w:val="single" w:sz="12" w:space="0" w:color="000000"/>
            </w:tcBorders>
          </w:tcPr>
          <w:p w14:paraId="2307B2DB" w14:textId="18825F3D" w:rsidR="000A75F9" w:rsidRDefault="000A75F9" w:rsidP="00A63D72">
            <w:pPr>
              <w:spacing w:after="0" w:line="259" w:lineRule="auto"/>
              <w:ind w:left="0" w:right="40" w:firstLine="0"/>
              <w:jc w:val="center"/>
            </w:pPr>
            <w:r>
              <w:rPr>
                <w:sz w:val="18"/>
              </w:rPr>
              <w:t>ug/L</w:t>
            </w:r>
          </w:p>
        </w:tc>
        <w:tc>
          <w:tcPr>
            <w:tcW w:w="878" w:type="dxa"/>
            <w:tcBorders>
              <w:top w:val="single" w:sz="4" w:space="0" w:color="000000"/>
              <w:left w:val="single" w:sz="12" w:space="0" w:color="000000"/>
              <w:bottom w:val="single" w:sz="4" w:space="0" w:color="000000"/>
              <w:right w:val="single" w:sz="12" w:space="0" w:color="000000"/>
            </w:tcBorders>
          </w:tcPr>
          <w:p w14:paraId="79653A92" w14:textId="5C8C6D84" w:rsidR="000A75F9" w:rsidRDefault="000A75F9" w:rsidP="00A63D72">
            <w:pPr>
              <w:spacing w:after="0" w:line="259" w:lineRule="auto"/>
              <w:ind w:left="0" w:right="36" w:firstLine="0"/>
              <w:jc w:val="center"/>
            </w:pPr>
            <w:r>
              <w:rPr>
                <w:sz w:val="18"/>
              </w:rPr>
              <w:t>N/A</w:t>
            </w:r>
          </w:p>
        </w:tc>
        <w:tc>
          <w:tcPr>
            <w:tcW w:w="1075" w:type="dxa"/>
            <w:tcBorders>
              <w:top w:val="single" w:sz="4" w:space="0" w:color="000000"/>
              <w:left w:val="single" w:sz="12" w:space="0" w:color="000000"/>
              <w:bottom w:val="single" w:sz="4" w:space="0" w:color="000000"/>
              <w:right w:val="single" w:sz="12" w:space="0" w:color="000000"/>
            </w:tcBorders>
          </w:tcPr>
          <w:p w14:paraId="3B84EA07" w14:textId="1252504D" w:rsidR="000A75F9" w:rsidRDefault="000A75F9" w:rsidP="00A63D72">
            <w:pPr>
              <w:spacing w:after="0" w:line="259" w:lineRule="auto"/>
              <w:ind w:left="0" w:right="40" w:firstLine="0"/>
              <w:jc w:val="center"/>
            </w:pPr>
            <w:r>
              <w:rPr>
                <w:sz w:val="18"/>
              </w:rPr>
              <w:t>N/A</w:t>
            </w:r>
          </w:p>
        </w:tc>
        <w:tc>
          <w:tcPr>
            <w:tcW w:w="702" w:type="dxa"/>
            <w:tcBorders>
              <w:top w:val="single" w:sz="4" w:space="0" w:color="000000"/>
              <w:left w:val="single" w:sz="12" w:space="0" w:color="000000"/>
              <w:bottom w:val="single" w:sz="4" w:space="0" w:color="000000"/>
              <w:right w:val="single" w:sz="12" w:space="0" w:color="000000"/>
            </w:tcBorders>
          </w:tcPr>
          <w:p w14:paraId="7512D319" w14:textId="7ADF4A4C" w:rsidR="000A75F9" w:rsidRPr="00E6685C" w:rsidRDefault="000A75F9" w:rsidP="00D024C9">
            <w:pPr>
              <w:spacing w:after="0" w:line="259" w:lineRule="auto"/>
              <w:ind w:left="94" w:right="0" w:firstLine="0"/>
              <w:jc w:val="center"/>
              <w:rPr>
                <w:bCs/>
              </w:rPr>
            </w:pPr>
            <w:r w:rsidRPr="00E6685C">
              <w:rPr>
                <w:bCs/>
                <w:sz w:val="18"/>
              </w:rPr>
              <w:t>1625</w:t>
            </w:r>
          </w:p>
        </w:tc>
        <w:tc>
          <w:tcPr>
            <w:tcW w:w="720" w:type="dxa"/>
            <w:tcBorders>
              <w:top w:val="single" w:sz="4" w:space="0" w:color="000000"/>
              <w:left w:val="single" w:sz="12" w:space="0" w:color="000000"/>
              <w:bottom w:val="single" w:sz="4" w:space="0" w:color="000000"/>
              <w:right w:val="single" w:sz="12" w:space="0" w:color="000000"/>
            </w:tcBorders>
          </w:tcPr>
          <w:p w14:paraId="6E396E00" w14:textId="63324BE1" w:rsidR="000A75F9" w:rsidRPr="00E6685C" w:rsidRDefault="000A75F9" w:rsidP="00A63D72">
            <w:pPr>
              <w:spacing w:after="0" w:line="259" w:lineRule="auto"/>
              <w:ind w:left="0" w:right="40" w:firstLine="0"/>
              <w:jc w:val="center"/>
              <w:rPr>
                <w:bCs/>
              </w:rPr>
            </w:pPr>
            <w:r w:rsidRPr="00E6685C">
              <w:rPr>
                <w:bCs/>
                <w:sz w:val="18"/>
              </w:rPr>
              <w:t>506</w:t>
            </w:r>
          </w:p>
        </w:tc>
        <w:tc>
          <w:tcPr>
            <w:tcW w:w="720" w:type="dxa"/>
            <w:tcBorders>
              <w:top w:val="single" w:sz="4" w:space="0" w:color="000000"/>
              <w:left w:val="single" w:sz="12" w:space="0" w:color="000000"/>
              <w:bottom w:val="single" w:sz="4" w:space="0" w:color="000000"/>
              <w:right w:val="single" w:sz="12" w:space="0" w:color="000000"/>
            </w:tcBorders>
          </w:tcPr>
          <w:p w14:paraId="2C3DE306" w14:textId="604F6E54" w:rsidR="000A75F9" w:rsidRPr="00E6685C" w:rsidRDefault="000A75F9" w:rsidP="001A7E34">
            <w:pPr>
              <w:spacing w:after="0" w:line="259" w:lineRule="auto"/>
              <w:ind w:left="67" w:right="0" w:firstLine="0"/>
              <w:rPr>
                <w:bCs/>
              </w:rPr>
            </w:pPr>
            <w:r w:rsidRPr="00E6685C">
              <w:rPr>
                <w:bCs/>
                <w:sz w:val="18"/>
              </w:rPr>
              <w:t>525.2</w:t>
            </w:r>
          </w:p>
        </w:tc>
      </w:tr>
      <w:tr w:rsidR="000A75F9" w14:paraId="39EA8F52" w14:textId="77777777" w:rsidTr="00C23B62">
        <w:trPr>
          <w:trHeight w:val="250"/>
        </w:trPr>
        <w:tc>
          <w:tcPr>
            <w:tcW w:w="3406" w:type="dxa"/>
            <w:tcBorders>
              <w:top w:val="single" w:sz="4" w:space="0" w:color="000000"/>
              <w:left w:val="single" w:sz="12" w:space="0" w:color="000000"/>
              <w:bottom w:val="single" w:sz="4" w:space="0" w:color="000000"/>
              <w:right w:val="single" w:sz="12" w:space="0" w:color="000000"/>
            </w:tcBorders>
          </w:tcPr>
          <w:p w14:paraId="3FA43B90" w14:textId="77777777" w:rsidR="000A75F9" w:rsidRDefault="000A75F9" w:rsidP="000A75F9">
            <w:pPr>
              <w:spacing w:after="0" w:line="259" w:lineRule="auto"/>
              <w:ind w:left="2" w:right="0" w:firstLine="0"/>
            </w:pPr>
            <w:r>
              <w:rPr>
                <w:sz w:val="18"/>
              </w:rPr>
              <w:t xml:space="preserve">2,4-Dinitrophenol </w:t>
            </w:r>
          </w:p>
        </w:tc>
        <w:tc>
          <w:tcPr>
            <w:tcW w:w="1367" w:type="dxa"/>
            <w:tcBorders>
              <w:top w:val="single" w:sz="4" w:space="0" w:color="000000"/>
              <w:left w:val="single" w:sz="12" w:space="0" w:color="000000"/>
              <w:bottom w:val="single" w:sz="4" w:space="0" w:color="000000"/>
              <w:right w:val="single" w:sz="12" w:space="0" w:color="000000"/>
            </w:tcBorders>
          </w:tcPr>
          <w:p w14:paraId="1A8DE09A" w14:textId="62487916" w:rsidR="000A75F9" w:rsidRDefault="000A75F9" w:rsidP="00A63D72">
            <w:pPr>
              <w:spacing w:after="0" w:line="259" w:lineRule="auto"/>
              <w:ind w:left="0" w:right="35" w:firstLine="0"/>
              <w:jc w:val="center"/>
            </w:pPr>
            <w:r>
              <w:rPr>
                <w:sz w:val="18"/>
              </w:rPr>
              <w:t>51-28-5</w:t>
            </w:r>
          </w:p>
        </w:tc>
        <w:tc>
          <w:tcPr>
            <w:tcW w:w="781" w:type="dxa"/>
            <w:tcBorders>
              <w:top w:val="single" w:sz="4" w:space="0" w:color="000000"/>
              <w:left w:val="single" w:sz="12" w:space="0" w:color="000000"/>
              <w:bottom w:val="single" w:sz="4" w:space="0" w:color="000000"/>
              <w:right w:val="single" w:sz="12" w:space="0" w:color="000000"/>
            </w:tcBorders>
          </w:tcPr>
          <w:p w14:paraId="4FEE2CE4" w14:textId="115A2267" w:rsidR="000A75F9" w:rsidRDefault="000A75F9" w:rsidP="00A63D72">
            <w:pPr>
              <w:tabs>
                <w:tab w:val="center" w:pos="308"/>
              </w:tabs>
              <w:spacing w:after="0" w:line="259" w:lineRule="auto"/>
              <w:ind w:left="0" w:right="0" w:firstLine="0"/>
              <w:jc w:val="center"/>
            </w:pPr>
            <w:r>
              <w:rPr>
                <w:sz w:val="18"/>
              </w:rPr>
              <w:t>50</w:t>
            </w:r>
          </w:p>
        </w:tc>
        <w:tc>
          <w:tcPr>
            <w:tcW w:w="881" w:type="dxa"/>
            <w:tcBorders>
              <w:top w:val="single" w:sz="4" w:space="0" w:color="000000"/>
              <w:left w:val="single" w:sz="12" w:space="0" w:color="000000"/>
              <w:bottom w:val="single" w:sz="4" w:space="0" w:color="000000"/>
              <w:right w:val="single" w:sz="12" w:space="0" w:color="000000"/>
            </w:tcBorders>
          </w:tcPr>
          <w:p w14:paraId="7F3D0276" w14:textId="49E681FD" w:rsidR="000A75F9" w:rsidRDefault="000A75F9" w:rsidP="00A63D72">
            <w:pPr>
              <w:spacing w:after="0" w:line="259" w:lineRule="auto"/>
              <w:ind w:left="0" w:right="40" w:firstLine="0"/>
              <w:jc w:val="center"/>
            </w:pPr>
            <w:r>
              <w:rPr>
                <w:sz w:val="18"/>
              </w:rPr>
              <w:t>ug/L</w:t>
            </w:r>
          </w:p>
        </w:tc>
        <w:tc>
          <w:tcPr>
            <w:tcW w:w="878" w:type="dxa"/>
            <w:tcBorders>
              <w:top w:val="single" w:sz="4" w:space="0" w:color="000000"/>
              <w:left w:val="single" w:sz="12" w:space="0" w:color="000000"/>
              <w:bottom w:val="single" w:sz="4" w:space="0" w:color="000000"/>
              <w:right w:val="single" w:sz="12" w:space="0" w:color="000000"/>
            </w:tcBorders>
          </w:tcPr>
          <w:p w14:paraId="62946EB0" w14:textId="2B15A612" w:rsidR="000A75F9" w:rsidRDefault="000A75F9" w:rsidP="00A63D72">
            <w:pPr>
              <w:spacing w:after="0" w:line="259" w:lineRule="auto"/>
              <w:ind w:left="0" w:right="36" w:firstLine="0"/>
              <w:jc w:val="center"/>
            </w:pPr>
            <w:r>
              <w:rPr>
                <w:sz w:val="18"/>
              </w:rPr>
              <w:t>N/A</w:t>
            </w:r>
          </w:p>
        </w:tc>
        <w:tc>
          <w:tcPr>
            <w:tcW w:w="1075" w:type="dxa"/>
            <w:tcBorders>
              <w:top w:val="single" w:sz="4" w:space="0" w:color="000000"/>
              <w:left w:val="single" w:sz="12" w:space="0" w:color="000000"/>
              <w:bottom w:val="single" w:sz="4" w:space="0" w:color="000000"/>
              <w:right w:val="single" w:sz="12" w:space="0" w:color="000000"/>
            </w:tcBorders>
          </w:tcPr>
          <w:p w14:paraId="73673FA9" w14:textId="7890CE3D" w:rsidR="000A75F9" w:rsidRDefault="000A75F9" w:rsidP="00A63D72">
            <w:pPr>
              <w:spacing w:after="0" w:line="259" w:lineRule="auto"/>
              <w:ind w:left="0" w:right="40" w:firstLine="0"/>
              <w:jc w:val="center"/>
            </w:pPr>
            <w:r>
              <w:rPr>
                <w:sz w:val="18"/>
              </w:rPr>
              <w:t>N/A</w:t>
            </w:r>
          </w:p>
        </w:tc>
        <w:tc>
          <w:tcPr>
            <w:tcW w:w="702" w:type="dxa"/>
            <w:tcBorders>
              <w:top w:val="single" w:sz="4" w:space="0" w:color="000000"/>
              <w:left w:val="single" w:sz="12" w:space="0" w:color="000000"/>
              <w:bottom w:val="single" w:sz="4" w:space="0" w:color="000000"/>
              <w:right w:val="single" w:sz="12" w:space="0" w:color="000000"/>
            </w:tcBorders>
          </w:tcPr>
          <w:p w14:paraId="5B021B8C" w14:textId="6644E1DC" w:rsidR="000A75F9" w:rsidRPr="00E6685C" w:rsidRDefault="000A75F9" w:rsidP="00D024C9">
            <w:pPr>
              <w:spacing w:after="0" w:line="259" w:lineRule="auto"/>
              <w:ind w:left="94" w:right="0" w:firstLine="0"/>
              <w:jc w:val="center"/>
              <w:rPr>
                <w:bCs/>
              </w:rPr>
            </w:pPr>
            <w:r w:rsidRPr="00E6685C">
              <w:rPr>
                <w:bCs/>
                <w:sz w:val="18"/>
              </w:rPr>
              <w:t>1625</w:t>
            </w:r>
          </w:p>
        </w:tc>
        <w:tc>
          <w:tcPr>
            <w:tcW w:w="720" w:type="dxa"/>
            <w:tcBorders>
              <w:top w:val="single" w:sz="4" w:space="0" w:color="000000"/>
              <w:left w:val="single" w:sz="12" w:space="0" w:color="000000"/>
              <w:bottom w:val="single" w:sz="4" w:space="0" w:color="000000"/>
              <w:right w:val="single" w:sz="12" w:space="0" w:color="000000"/>
            </w:tcBorders>
          </w:tcPr>
          <w:p w14:paraId="7AE7AC16" w14:textId="7B999DBE" w:rsidR="000A75F9" w:rsidRPr="00E6685C" w:rsidRDefault="000A75F9" w:rsidP="00A63D72">
            <w:pPr>
              <w:spacing w:after="0" w:line="259" w:lineRule="auto"/>
              <w:ind w:left="0" w:right="40" w:firstLine="0"/>
              <w:jc w:val="center"/>
              <w:rPr>
                <w:bCs/>
              </w:rPr>
            </w:pPr>
            <w:r w:rsidRPr="00E6685C">
              <w:rPr>
                <w:bCs/>
                <w:sz w:val="18"/>
              </w:rPr>
              <w:t>506</w:t>
            </w:r>
          </w:p>
        </w:tc>
        <w:tc>
          <w:tcPr>
            <w:tcW w:w="720" w:type="dxa"/>
            <w:tcBorders>
              <w:top w:val="single" w:sz="4" w:space="0" w:color="000000"/>
              <w:left w:val="single" w:sz="12" w:space="0" w:color="000000"/>
              <w:bottom w:val="single" w:sz="4" w:space="0" w:color="000000"/>
              <w:right w:val="single" w:sz="12" w:space="0" w:color="000000"/>
            </w:tcBorders>
          </w:tcPr>
          <w:p w14:paraId="24C1CD37" w14:textId="394B5543" w:rsidR="000A75F9" w:rsidRPr="00E6685C" w:rsidRDefault="000A75F9" w:rsidP="001A7E34">
            <w:pPr>
              <w:spacing w:after="0" w:line="259" w:lineRule="auto"/>
              <w:ind w:left="67" w:right="0" w:firstLine="0"/>
              <w:rPr>
                <w:bCs/>
              </w:rPr>
            </w:pPr>
            <w:r w:rsidRPr="00E6685C">
              <w:rPr>
                <w:bCs/>
                <w:sz w:val="18"/>
              </w:rPr>
              <w:t>525.2</w:t>
            </w:r>
          </w:p>
        </w:tc>
      </w:tr>
      <w:tr w:rsidR="000A75F9" w14:paraId="21AD9724" w14:textId="77777777" w:rsidTr="00C23B62">
        <w:trPr>
          <w:trHeight w:val="252"/>
        </w:trPr>
        <w:tc>
          <w:tcPr>
            <w:tcW w:w="3406" w:type="dxa"/>
            <w:tcBorders>
              <w:top w:val="single" w:sz="4" w:space="0" w:color="000000"/>
              <w:left w:val="single" w:sz="12" w:space="0" w:color="000000"/>
              <w:bottom w:val="single" w:sz="4" w:space="0" w:color="000000"/>
              <w:right w:val="single" w:sz="12" w:space="0" w:color="000000"/>
            </w:tcBorders>
          </w:tcPr>
          <w:p w14:paraId="76891C8B" w14:textId="77777777" w:rsidR="000A75F9" w:rsidRDefault="000A75F9" w:rsidP="000A75F9">
            <w:pPr>
              <w:spacing w:after="0" w:line="259" w:lineRule="auto"/>
              <w:ind w:left="2" w:right="0" w:firstLine="0"/>
            </w:pPr>
            <w:proofErr w:type="spellStart"/>
            <w:r>
              <w:rPr>
                <w:sz w:val="18"/>
              </w:rPr>
              <w:lastRenderedPageBreak/>
              <w:t>Dinitrotoluene</w:t>
            </w:r>
            <w:proofErr w:type="spellEnd"/>
            <w:r>
              <w:rPr>
                <w:sz w:val="18"/>
              </w:rPr>
              <w:t xml:space="preserve"> (mixed isomers) </w:t>
            </w:r>
          </w:p>
        </w:tc>
        <w:tc>
          <w:tcPr>
            <w:tcW w:w="1367" w:type="dxa"/>
            <w:tcBorders>
              <w:top w:val="single" w:sz="4" w:space="0" w:color="000000"/>
              <w:left w:val="single" w:sz="12" w:space="0" w:color="000000"/>
              <w:bottom w:val="single" w:sz="4" w:space="0" w:color="000000"/>
              <w:right w:val="single" w:sz="12" w:space="0" w:color="000000"/>
            </w:tcBorders>
          </w:tcPr>
          <w:p w14:paraId="051905F3" w14:textId="1A12C5B5" w:rsidR="000A75F9" w:rsidRDefault="000A75F9" w:rsidP="00A63D72">
            <w:pPr>
              <w:spacing w:after="0" w:line="259" w:lineRule="auto"/>
              <w:ind w:left="0" w:right="35" w:firstLine="0"/>
              <w:jc w:val="center"/>
            </w:pPr>
            <w:r>
              <w:rPr>
                <w:sz w:val="18"/>
              </w:rPr>
              <w:t>25321-14-16</w:t>
            </w:r>
          </w:p>
        </w:tc>
        <w:tc>
          <w:tcPr>
            <w:tcW w:w="781" w:type="dxa"/>
            <w:tcBorders>
              <w:top w:val="single" w:sz="4" w:space="0" w:color="000000"/>
              <w:left w:val="single" w:sz="12" w:space="0" w:color="000000"/>
              <w:bottom w:val="single" w:sz="4" w:space="0" w:color="000000"/>
              <w:right w:val="single" w:sz="12" w:space="0" w:color="000000"/>
            </w:tcBorders>
          </w:tcPr>
          <w:p w14:paraId="2C05DBB9" w14:textId="5D37667A" w:rsidR="000A75F9" w:rsidRDefault="000A75F9" w:rsidP="00A63D72">
            <w:pPr>
              <w:tabs>
                <w:tab w:val="center" w:pos="354"/>
              </w:tabs>
              <w:spacing w:after="0" w:line="259" w:lineRule="auto"/>
              <w:ind w:left="0" w:right="0" w:firstLine="0"/>
              <w:jc w:val="center"/>
            </w:pPr>
            <w:r>
              <w:rPr>
                <w:sz w:val="18"/>
              </w:rPr>
              <w:t>1</w:t>
            </w:r>
          </w:p>
        </w:tc>
        <w:tc>
          <w:tcPr>
            <w:tcW w:w="881" w:type="dxa"/>
            <w:tcBorders>
              <w:top w:val="single" w:sz="4" w:space="0" w:color="000000"/>
              <w:left w:val="single" w:sz="12" w:space="0" w:color="000000"/>
              <w:bottom w:val="single" w:sz="4" w:space="0" w:color="000000"/>
              <w:right w:val="single" w:sz="12" w:space="0" w:color="000000"/>
            </w:tcBorders>
          </w:tcPr>
          <w:p w14:paraId="77CB14A1" w14:textId="3163393A" w:rsidR="000A75F9" w:rsidRDefault="000A75F9" w:rsidP="00A63D72">
            <w:pPr>
              <w:spacing w:after="0" w:line="259" w:lineRule="auto"/>
              <w:ind w:left="0" w:right="40" w:firstLine="0"/>
              <w:jc w:val="center"/>
            </w:pPr>
            <w:r>
              <w:rPr>
                <w:sz w:val="18"/>
              </w:rPr>
              <w:t>ug/L</w:t>
            </w:r>
          </w:p>
        </w:tc>
        <w:tc>
          <w:tcPr>
            <w:tcW w:w="878" w:type="dxa"/>
            <w:tcBorders>
              <w:top w:val="single" w:sz="4" w:space="0" w:color="000000"/>
              <w:left w:val="single" w:sz="12" w:space="0" w:color="000000"/>
              <w:bottom w:val="single" w:sz="4" w:space="0" w:color="000000"/>
              <w:right w:val="single" w:sz="12" w:space="0" w:color="000000"/>
            </w:tcBorders>
          </w:tcPr>
          <w:p w14:paraId="44E36F2E" w14:textId="469736EB" w:rsidR="000A75F9" w:rsidRDefault="000A75F9" w:rsidP="00A63D72">
            <w:pPr>
              <w:spacing w:after="0" w:line="259" w:lineRule="auto"/>
              <w:ind w:left="0" w:right="36" w:firstLine="0"/>
              <w:jc w:val="center"/>
            </w:pPr>
            <w:r>
              <w:rPr>
                <w:sz w:val="18"/>
              </w:rPr>
              <w:t>N/A</w:t>
            </w:r>
          </w:p>
        </w:tc>
        <w:tc>
          <w:tcPr>
            <w:tcW w:w="1075" w:type="dxa"/>
            <w:tcBorders>
              <w:top w:val="single" w:sz="4" w:space="0" w:color="000000"/>
              <w:left w:val="single" w:sz="12" w:space="0" w:color="000000"/>
              <w:bottom w:val="single" w:sz="4" w:space="0" w:color="000000"/>
              <w:right w:val="single" w:sz="12" w:space="0" w:color="000000"/>
            </w:tcBorders>
          </w:tcPr>
          <w:p w14:paraId="642D19F1" w14:textId="3222AED6" w:rsidR="000A75F9" w:rsidRDefault="000A75F9" w:rsidP="00A63D72">
            <w:pPr>
              <w:spacing w:after="0" w:line="259" w:lineRule="auto"/>
              <w:ind w:left="0" w:right="40" w:firstLine="0"/>
              <w:jc w:val="center"/>
            </w:pPr>
            <w:r>
              <w:rPr>
                <w:sz w:val="18"/>
              </w:rPr>
              <w:t>N/A</w:t>
            </w:r>
          </w:p>
        </w:tc>
        <w:tc>
          <w:tcPr>
            <w:tcW w:w="702" w:type="dxa"/>
            <w:tcBorders>
              <w:top w:val="single" w:sz="4" w:space="0" w:color="000000"/>
              <w:left w:val="single" w:sz="12" w:space="0" w:color="000000"/>
              <w:bottom w:val="single" w:sz="4" w:space="0" w:color="000000"/>
              <w:right w:val="single" w:sz="12" w:space="0" w:color="000000"/>
            </w:tcBorders>
          </w:tcPr>
          <w:p w14:paraId="31491169" w14:textId="779A1CEF" w:rsidR="000A75F9" w:rsidRPr="00E6685C" w:rsidRDefault="000A75F9" w:rsidP="001C27CB">
            <w:pPr>
              <w:spacing w:after="0" w:line="259" w:lineRule="auto"/>
              <w:ind w:left="98" w:right="0" w:firstLine="0"/>
              <w:rPr>
                <w:bCs/>
              </w:rPr>
            </w:pPr>
            <w:r w:rsidRPr="00E6685C">
              <w:rPr>
                <w:bCs/>
                <w:sz w:val="18"/>
              </w:rPr>
              <w:t>1625</w:t>
            </w:r>
          </w:p>
        </w:tc>
        <w:tc>
          <w:tcPr>
            <w:tcW w:w="720" w:type="dxa"/>
            <w:tcBorders>
              <w:top w:val="single" w:sz="4" w:space="0" w:color="000000"/>
              <w:left w:val="single" w:sz="12" w:space="0" w:color="000000"/>
              <w:bottom w:val="single" w:sz="4" w:space="0" w:color="000000"/>
              <w:right w:val="single" w:sz="12" w:space="0" w:color="000000"/>
            </w:tcBorders>
          </w:tcPr>
          <w:p w14:paraId="5B2DC155" w14:textId="6E54EAD1" w:rsidR="000A75F9" w:rsidRPr="00E6685C" w:rsidRDefault="000A75F9" w:rsidP="00A63D72">
            <w:pPr>
              <w:spacing w:after="0" w:line="259" w:lineRule="auto"/>
              <w:ind w:left="0" w:right="40" w:firstLine="0"/>
              <w:jc w:val="center"/>
              <w:rPr>
                <w:bCs/>
              </w:rPr>
            </w:pPr>
            <w:r w:rsidRPr="00E6685C">
              <w:rPr>
                <w:bCs/>
                <w:sz w:val="18"/>
              </w:rPr>
              <w:t>609</w:t>
            </w:r>
          </w:p>
        </w:tc>
        <w:tc>
          <w:tcPr>
            <w:tcW w:w="720" w:type="dxa"/>
            <w:tcBorders>
              <w:top w:val="single" w:sz="4" w:space="0" w:color="000000"/>
              <w:left w:val="single" w:sz="12" w:space="0" w:color="000000"/>
              <w:bottom w:val="single" w:sz="4" w:space="0" w:color="000000"/>
              <w:right w:val="single" w:sz="12" w:space="0" w:color="000000"/>
            </w:tcBorders>
          </w:tcPr>
          <w:p w14:paraId="055ED211" w14:textId="73BFDF03" w:rsidR="000A75F9" w:rsidRPr="00E6685C" w:rsidRDefault="000A75F9" w:rsidP="00DC2064">
            <w:pPr>
              <w:spacing w:after="0" w:line="259" w:lineRule="auto"/>
              <w:ind w:left="67" w:right="0" w:firstLine="0"/>
              <w:rPr>
                <w:bCs/>
              </w:rPr>
            </w:pPr>
            <w:r w:rsidRPr="00E6685C">
              <w:rPr>
                <w:bCs/>
                <w:sz w:val="18"/>
              </w:rPr>
              <w:t>525.2</w:t>
            </w:r>
          </w:p>
        </w:tc>
      </w:tr>
      <w:tr w:rsidR="000A75F9" w14:paraId="12BCDA71" w14:textId="77777777" w:rsidTr="00C23B62">
        <w:trPr>
          <w:trHeight w:val="250"/>
        </w:trPr>
        <w:tc>
          <w:tcPr>
            <w:tcW w:w="3406" w:type="dxa"/>
            <w:tcBorders>
              <w:top w:val="single" w:sz="4" w:space="0" w:color="000000"/>
              <w:left w:val="single" w:sz="12" w:space="0" w:color="000000"/>
              <w:bottom w:val="single" w:sz="4" w:space="0" w:color="000000"/>
              <w:right w:val="single" w:sz="12" w:space="0" w:color="000000"/>
            </w:tcBorders>
          </w:tcPr>
          <w:p w14:paraId="1B8C0610" w14:textId="77777777" w:rsidR="000A75F9" w:rsidRDefault="000A75F9" w:rsidP="000A75F9">
            <w:pPr>
              <w:spacing w:after="0" w:line="259" w:lineRule="auto"/>
              <w:ind w:left="2" w:right="0" w:firstLine="0"/>
            </w:pPr>
            <w:r>
              <w:rPr>
                <w:sz w:val="18"/>
              </w:rPr>
              <w:t xml:space="preserve">Di-n-octyl phthalate </w:t>
            </w:r>
          </w:p>
        </w:tc>
        <w:tc>
          <w:tcPr>
            <w:tcW w:w="1367" w:type="dxa"/>
            <w:tcBorders>
              <w:top w:val="single" w:sz="4" w:space="0" w:color="000000"/>
              <w:left w:val="single" w:sz="12" w:space="0" w:color="000000"/>
              <w:bottom w:val="single" w:sz="4" w:space="0" w:color="000000"/>
              <w:right w:val="single" w:sz="12" w:space="0" w:color="000000"/>
            </w:tcBorders>
          </w:tcPr>
          <w:p w14:paraId="65D16050" w14:textId="22DB6356" w:rsidR="000A75F9" w:rsidRDefault="000A75F9" w:rsidP="00A63D72">
            <w:pPr>
              <w:spacing w:after="0" w:line="259" w:lineRule="auto"/>
              <w:ind w:left="0" w:right="35" w:firstLine="0"/>
              <w:jc w:val="center"/>
            </w:pPr>
            <w:r>
              <w:rPr>
                <w:sz w:val="18"/>
              </w:rPr>
              <w:t>117-84-0</w:t>
            </w:r>
          </w:p>
        </w:tc>
        <w:tc>
          <w:tcPr>
            <w:tcW w:w="781" w:type="dxa"/>
            <w:tcBorders>
              <w:top w:val="single" w:sz="4" w:space="0" w:color="000000"/>
              <w:left w:val="single" w:sz="12" w:space="0" w:color="000000"/>
              <w:bottom w:val="single" w:sz="4" w:space="0" w:color="000000"/>
              <w:right w:val="single" w:sz="12" w:space="0" w:color="000000"/>
            </w:tcBorders>
          </w:tcPr>
          <w:p w14:paraId="2C68C85D" w14:textId="557EADC9" w:rsidR="000A75F9" w:rsidRDefault="000A75F9" w:rsidP="00A63D72">
            <w:pPr>
              <w:tabs>
                <w:tab w:val="center" w:pos="308"/>
              </w:tabs>
              <w:spacing w:after="0" w:line="259" w:lineRule="auto"/>
              <w:ind w:left="0" w:right="0" w:firstLine="0"/>
              <w:jc w:val="center"/>
            </w:pPr>
            <w:r>
              <w:rPr>
                <w:sz w:val="18"/>
              </w:rPr>
              <w:t>10</w:t>
            </w:r>
          </w:p>
        </w:tc>
        <w:tc>
          <w:tcPr>
            <w:tcW w:w="881" w:type="dxa"/>
            <w:tcBorders>
              <w:top w:val="single" w:sz="4" w:space="0" w:color="000000"/>
              <w:left w:val="single" w:sz="12" w:space="0" w:color="000000"/>
              <w:bottom w:val="single" w:sz="4" w:space="0" w:color="000000"/>
              <w:right w:val="single" w:sz="12" w:space="0" w:color="000000"/>
            </w:tcBorders>
          </w:tcPr>
          <w:p w14:paraId="4ADB4F75" w14:textId="77DDE629" w:rsidR="000A75F9" w:rsidRDefault="000A75F9" w:rsidP="00A63D72">
            <w:pPr>
              <w:spacing w:after="0" w:line="259" w:lineRule="auto"/>
              <w:ind w:left="0" w:right="40" w:firstLine="0"/>
              <w:jc w:val="center"/>
            </w:pPr>
            <w:r>
              <w:rPr>
                <w:sz w:val="18"/>
              </w:rPr>
              <w:t>ug/L</w:t>
            </w:r>
          </w:p>
        </w:tc>
        <w:tc>
          <w:tcPr>
            <w:tcW w:w="878" w:type="dxa"/>
            <w:tcBorders>
              <w:top w:val="single" w:sz="4" w:space="0" w:color="000000"/>
              <w:left w:val="single" w:sz="12" w:space="0" w:color="000000"/>
              <w:bottom w:val="single" w:sz="4" w:space="0" w:color="000000"/>
              <w:right w:val="single" w:sz="12" w:space="0" w:color="000000"/>
            </w:tcBorders>
          </w:tcPr>
          <w:p w14:paraId="5A8413C5" w14:textId="16D3B38D" w:rsidR="000A75F9" w:rsidRDefault="000A75F9" w:rsidP="00A63D72">
            <w:pPr>
              <w:spacing w:after="0" w:line="259" w:lineRule="auto"/>
              <w:ind w:left="0" w:right="36" w:firstLine="0"/>
              <w:jc w:val="center"/>
            </w:pPr>
            <w:r>
              <w:rPr>
                <w:sz w:val="18"/>
              </w:rPr>
              <w:t>N/A</w:t>
            </w:r>
          </w:p>
        </w:tc>
        <w:tc>
          <w:tcPr>
            <w:tcW w:w="1075" w:type="dxa"/>
            <w:tcBorders>
              <w:top w:val="single" w:sz="4" w:space="0" w:color="000000"/>
              <w:left w:val="single" w:sz="12" w:space="0" w:color="000000"/>
              <w:bottom w:val="single" w:sz="4" w:space="0" w:color="000000"/>
              <w:right w:val="single" w:sz="12" w:space="0" w:color="000000"/>
            </w:tcBorders>
          </w:tcPr>
          <w:p w14:paraId="17F7455C" w14:textId="529BD70D" w:rsidR="000A75F9" w:rsidRDefault="000A75F9" w:rsidP="00A63D72">
            <w:pPr>
              <w:spacing w:after="0" w:line="259" w:lineRule="auto"/>
              <w:ind w:left="0" w:right="40" w:firstLine="0"/>
              <w:jc w:val="center"/>
            </w:pPr>
            <w:r>
              <w:rPr>
                <w:sz w:val="18"/>
              </w:rPr>
              <w:t>N/A</w:t>
            </w:r>
          </w:p>
        </w:tc>
        <w:tc>
          <w:tcPr>
            <w:tcW w:w="702" w:type="dxa"/>
            <w:tcBorders>
              <w:top w:val="single" w:sz="4" w:space="0" w:color="000000"/>
              <w:left w:val="single" w:sz="12" w:space="0" w:color="000000"/>
              <w:bottom w:val="single" w:sz="4" w:space="0" w:color="000000"/>
              <w:right w:val="single" w:sz="12" w:space="0" w:color="000000"/>
            </w:tcBorders>
          </w:tcPr>
          <w:p w14:paraId="042C9745" w14:textId="3F95FBB8" w:rsidR="000A75F9" w:rsidRPr="00E6685C" w:rsidRDefault="000A75F9" w:rsidP="001C27CB">
            <w:pPr>
              <w:spacing w:after="0" w:line="259" w:lineRule="auto"/>
              <w:ind w:left="94" w:right="0" w:firstLine="0"/>
              <w:rPr>
                <w:bCs/>
              </w:rPr>
            </w:pPr>
            <w:r w:rsidRPr="00E6685C">
              <w:rPr>
                <w:bCs/>
                <w:sz w:val="18"/>
              </w:rPr>
              <w:t>1625</w:t>
            </w:r>
          </w:p>
        </w:tc>
        <w:tc>
          <w:tcPr>
            <w:tcW w:w="720" w:type="dxa"/>
            <w:tcBorders>
              <w:top w:val="single" w:sz="4" w:space="0" w:color="000000"/>
              <w:left w:val="single" w:sz="12" w:space="0" w:color="000000"/>
              <w:bottom w:val="single" w:sz="4" w:space="0" w:color="000000"/>
              <w:right w:val="single" w:sz="12" w:space="0" w:color="000000"/>
            </w:tcBorders>
          </w:tcPr>
          <w:p w14:paraId="3DB3D210" w14:textId="77E68E31" w:rsidR="000A75F9" w:rsidRPr="00E6685C" w:rsidRDefault="000A75F9" w:rsidP="00A63D72">
            <w:pPr>
              <w:spacing w:after="0" w:line="259" w:lineRule="auto"/>
              <w:ind w:left="0" w:right="40" w:firstLine="0"/>
              <w:jc w:val="center"/>
              <w:rPr>
                <w:bCs/>
              </w:rPr>
            </w:pPr>
            <w:r w:rsidRPr="00E6685C">
              <w:rPr>
                <w:bCs/>
                <w:sz w:val="18"/>
              </w:rPr>
              <w:t>506</w:t>
            </w:r>
          </w:p>
        </w:tc>
        <w:tc>
          <w:tcPr>
            <w:tcW w:w="720" w:type="dxa"/>
            <w:tcBorders>
              <w:top w:val="single" w:sz="4" w:space="0" w:color="000000"/>
              <w:left w:val="single" w:sz="12" w:space="0" w:color="000000"/>
              <w:bottom w:val="single" w:sz="4" w:space="0" w:color="000000"/>
              <w:right w:val="single" w:sz="12" w:space="0" w:color="000000"/>
            </w:tcBorders>
          </w:tcPr>
          <w:p w14:paraId="368E78CB" w14:textId="62E9F186" w:rsidR="000A75F9" w:rsidRPr="00E6685C" w:rsidRDefault="000A75F9" w:rsidP="00A63D72">
            <w:pPr>
              <w:spacing w:after="0" w:line="259" w:lineRule="auto"/>
              <w:ind w:left="0" w:right="37" w:firstLine="0"/>
              <w:jc w:val="center"/>
              <w:rPr>
                <w:bCs/>
              </w:rPr>
            </w:pPr>
            <w:r w:rsidRPr="00E6685C">
              <w:rPr>
                <w:bCs/>
                <w:sz w:val="18"/>
              </w:rPr>
              <w:t>625</w:t>
            </w:r>
          </w:p>
        </w:tc>
      </w:tr>
      <w:tr w:rsidR="000A75F9" w14:paraId="68690BEA" w14:textId="77777777" w:rsidTr="00C23B62">
        <w:trPr>
          <w:trHeight w:val="250"/>
        </w:trPr>
        <w:tc>
          <w:tcPr>
            <w:tcW w:w="3406" w:type="dxa"/>
            <w:tcBorders>
              <w:top w:val="single" w:sz="4" w:space="0" w:color="000000"/>
              <w:left w:val="single" w:sz="12" w:space="0" w:color="000000"/>
              <w:bottom w:val="single" w:sz="4" w:space="0" w:color="000000"/>
              <w:right w:val="single" w:sz="12" w:space="0" w:color="000000"/>
            </w:tcBorders>
          </w:tcPr>
          <w:p w14:paraId="7214DA98" w14:textId="77777777" w:rsidR="000A75F9" w:rsidRDefault="000A75F9" w:rsidP="000A75F9">
            <w:pPr>
              <w:spacing w:after="0" w:line="259" w:lineRule="auto"/>
              <w:ind w:left="2" w:right="0" w:firstLine="0"/>
            </w:pPr>
            <w:r>
              <w:rPr>
                <w:sz w:val="18"/>
              </w:rPr>
              <w:t xml:space="preserve">Hexachlorobenzene </w:t>
            </w:r>
          </w:p>
        </w:tc>
        <w:tc>
          <w:tcPr>
            <w:tcW w:w="1367" w:type="dxa"/>
            <w:tcBorders>
              <w:top w:val="single" w:sz="4" w:space="0" w:color="000000"/>
              <w:left w:val="single" w:sz="12" w:space="0" w:color="000000"/>
              <w:bottom w:val="single" w:sz="4" w:space="0" w:color="000000"/>
              <w:right w:val="single" w:sz="12" w:space="0" w:color="000000"/>
            </w:tcBorders>
          </w:tcPr>
          <w:p w14:paraId="2512E63E" w14:textId="43E3881B" w:rsidR="000A75F9" w:rsidRDefault="000A75F9" w:rsidP="00A63D72">
            <w:pPr>
              <w:spacing w:after="0" w:line="259" w:lineRule="auto"/>
              <w:ind w:left="0" w:right="35" w:firstLine="0"/>
              <w:jc w:val="center"/>
            </w:pPr>
            <w:r>
              <w:rPr>
                <w:sz w:val="18"/>
              </w:rPr>
              <w:t>118-74-1</w:t>
            </w:r>
          </w:p>
        </w:tc>
        <w:tc>
          <w:tcPr>
            <w:tcW w:w="781" w:type="dxa"/>
            <w:tcBorders>
              <w:top w:val="single" w:sz="4" w:space="0" w:color="000000"/>
              <w:left w:val="single" w:sz="12" w:space="0" w:color="000000"/>
              <w:bottom w:val="single" w:sz="4" w:space="0" w:color="000000"/>
              <w:right w:val="single" w:sz="12" w:space="0" w:color="000000"/>
            </w:tcBorders>
          </w:tcPr>
          <w:p w14:paraId="61179716" w14:textId="0AE95944" w:rsidR="000A75F9" w:rsidRDefault="000A75F9" w:rsidP="00A63D72">
            <w:pPr>
              <w:tabs>
                <w:tab w:val="center" w:pos="354"/>
              </w:tabs>
              <w:spacing w:after="0" w:line="259" w:lineRule="auto"/>
              <w:ind w:left="0" w:right="0" w:firstLine="0"/>
              <w:jc w:val="center"/>
            </w:pPr>
            <w:r>
              <w:rPr>
                <w:b/>
                <w:sz w:val="18"/>
              </w:rPr>
              <w:t>1</w:t>
            </w:r>
          </w:p>
        </w:tc>
        <w:tc>
          <w:tcPr>
            <w:tcW w:w="881" w:type="dxa"/>
            <w:tcBorders>
              <w:top w:val="single" w:sz="4" w:space="0" w:color="000000"/>
              <w:left w:val="single" w:sz="12" w:space="0" w:color="000000"/>
              <w:bottom w:val="single" w:sz="4" w:space="0" w:color="000000"/>
              <w:right w:val="single" w:sz="12" w:space="0" w:color="000000"/>
            </w:tcBorders>
          </w:tcPr>
          <w:p w14:paraId="610C1A88" w14:textId="351236EF" w:rsidR="000A75F9" w:rsidRDefault="000A75F9" w:rsidP="00A63D72">
            <w:pPr>
              <w:spacing w:after="0" w:line="259" w:lineRule="auto"/>
              <w:ind w:left="0" w:right="40" w:firstLine="0"/>
              <w:jc w:val="center"/>
            </w:pPr>
            <w:r>
              <w:rPr>
                <w:sz w:val="18"/>
              </w:rPr>
              <w:t>ug/L</w:t>
            </w:r>
          </w:p>
        </w:tc>
        <w:tc>
          <w:tcPr>
            <w:tcW w:w="878" w:type="dxa"/>
            <w:tcBorders>
              <w:top w:val="single" w:sz="4" w:space="0" w:color="000000"/>
              <w:left w:val="single" w:sz="12" w:space="0" w:color="000000"/>
              <w:bottom w:val="single" w:sz="4" w:space="0" w:color="000000"/>
              <w:right w:val="single" w:sz="12" w:space="0" w:color="000000"/>
            </w:tcBorders>
          </w:tcPr>
          <w:p w14:paraId="2862B0B2" w14:textId="16D22F44" w:rsidR="000A75F9" w:rsidRDefault="000A75F9" w:rsidP="00A63D72">
            <w:pPr>
              <w:spacing w:after="0" w:line="259" w:lineRule="auto"/>
              <w:ind w:left="0" w:right="36" w:firstLine="0"/>
              <w:jc w:val="center"/>
            </w:pPr>
            <w:r>
              <w:rPr>
                <w:sz w:val="18"/>
              </w:rPr>
              <w:t>N/A</w:t>
            </w:r>
          </w:p>
        </w:tc>
        <w:tc>
          <w:tcPr>
            <w:tcW w:w="1075" w:type="dxa"/>
            <w:tcBorders>
              <w:top w:val="single" w:sz="4" w:space="0" w:color="000000"/>
              <w:left w:val="single" w:sz="12" w:space="0" w:color="000000"/>
              <w:bottom w:val="single" w:sz="4" w:space="0" w:color="000000"/>
              <w:right w:val="single" w:sz="12" w:space="0" w:color="000000"/>
            </w:tcBorders>
          </w:tcPr>
          <w:p w14:paraId="6D21559B" w14:textId="186BFF46" w:rsidR="000A75F9" w:rsidRDefault="000A75F9" w:rsidP="00A63D72">
            <w:pPr>
              <w:spacing w:after="0" w:line="259" w:lineRule="auto"/>
              <w:ind w:left="0" w:right="40" w:firstLine="0"/>
              <w:jc w:val="center"/>
            </w:pPr>
            <w:r>
              <w:rPr>
                <w:sz w:val="18"/>
              </w:rPr>
              <w:t>N/A</w:t>
            </w:r>
          </w:p>
        </w:tc>
        <w:tc>
          <w:tcPr>
            <w:tcW w:w="702" w:type="dxa"/>
            <w:tcBorders>
              <w:top w:val="single" w:sz="4" w:space="0" w:color="000000"/>
              <w:left w:val="single" w:sz="12" w:space="0" w:color="000000"/>
              <w:bottom w:val="single" w:sz="4" w:space="0" w:color="000000"/>
              <w:right w:val="single" w:sz="12" w:space="0" w:color="000000"/>
            </w:tcBorders>
          </w:tcPr>
          <w:p w14:paraId="32DE1D4F" w14:textId="022CE36B" w:rsidR="000A75F9" w:rsidRPr="00E6685C" w:rsidRDefault="000A75F9" w:rsidP="001C27CB">
            <w:pPr>
              <w:spacing w:after="0" w:line="259" w:lineRule="auto"/>
              <w:ind w:left="98" w:right="0" w:firstLine="0"/>
              <w:rPr>
                <w:bCs/>
              </w:rPr>
            </w:pPr>
            <w:r w:rsidRPr="00E6685C">
              <w:rPr>
                <w:bCs/>
                <w:sz w:val="18"/>
              </w:rPr>
              <w:t>1625</w:t>
            </w:r>
          </w:p>
        </w:tc>
        <w:tc>
          <w:tcPr>
            <w:tcW w:w="720" w:type="dxa"/>
            <w:tcBorders>
              <w:top w:val="single" w:sz="4" w:space="0" w:color="000000"/>
              <w:left w:val="single" w:sz="12" w:space="0" w:color="000000"/>
              <w:bottom w:val="single" w:sz="4" w:space="0" w:color="000000"/>
              <w:right w:val="single" w:sz="12" w:space="0" w:color="000000"/>
            </w:tcBorders>
          </w:tcPr>
          <w:p w14:paraId="0E173F3C" w14:textId="7080D566" w:rsidR="000A75F9" w:rsidRPr="00E6685C" w:rsidRDefault="000A75F9" w:rsidP="00A63D72">
            <w:pPr>
              <w:spacing w:after="0" w:line="259" w:lineRule="auto"/>
              <w:ind w:left="67" w:right="0" w:firstLine="0"/>
              <w:jc w:val="center"/>
              <w:rPr>
                <w:bCs/>
              </w:rPr>
            </w:pPr>
            <w:r w:rsidRPr="00E6685C">
              <w:rPr>
                <w:bCs/>
                <w:sz w:val="18"/>
              </w:rPr>
              <w:t>508.1</w:t>
            </w:r>
          </w:p>
        </w:tc>
        <w:tc>
          <w:tcPr>
            <w:tcW w:w="720" w:type="dxa"/>
            <w:tcBorders>
              <w:top w:val="single" w:sz="4" w:space="0" w:color="000000"/>
              <w:left w:val="single" w:sz="12" w:space="0" w:color="000000"/>
              <w:bottom w:val="single" w:sz="4" w:space="0" w:color="000000"/>
              <w:right w:val="single" w:sz="12" w:space="0" w:color="000000"/>
            </w:tcBorders>
          </w:tcPr>
          <w:p w14:paraId="2CE1AAFA" w14:textId="00B044F0" w:rsidR="000A75F9" w:rsidRPr="00E6685C" w:rsidRDefault="000A75F9" w:rsidP="00DC2064">
            <w:pPr>
              <w:spacing w:after="0" w:line="259" w:lineRule="auto"/>
              <w:ind w:left="67" w:right="0" w:firstLine="0"/>
              <w:rPr>
                <w:bCs/>
              </w:rPr>
            </w:pPr>
            <w:r w:rsidRPr="00E6685C">
              <w:rPr>
                <w:bCs/>
                <w:sz w:val="18"/>
              </w:rPr>
              <w:t>525.2</w:t>
            </w:r>
          </w:p>
        </w:tc>
      </w:tr>
      <w:tr w:rsidR="000A75F9" w14:paraId="07BD129B" w14:textId="77777777" w:rsidTr="00C23B62">
        <w:trPr>
          <w:trHeight w:val="250"/>
        </w:trPr>
        <w:tc>
          <w:tcPr>
            <w:tcW w:w="3406" w:type="dxa"/>
            <w:tcBorders>
              <w:top w:val="single" w:sz="4" w:space="0" w:color="000000"/>
              <w:left w:val="single" w:sz="12" w:space="0" w:color="000000"/>
              <w:bottom w:val="single" w:sz="4" w:space="0" w:color="000000"/>
              <w:right w:val="single" w:sz="12" w:space="0" w:color="000000"/>
            </w:tcBorders>
          </w:tcPr>
          <w:p w14:paraId="20FAFAB5" w14:textId="77777777" w:rsidR="000A75F9" w:rsidRDefault="000A75F9" w:rsidP="000A75F9">
            <w:pPr>
              <w:spacing w:after="0" w:line="259" w:lineRule="auto"/>
              <w:ind w:left="2" w:right="0" w:firstLine="0"/>
            </w:pPr>
            <w:proofErr w:type="spellStart"/>
            <w:r>
              <w:rPr>
                <w:sz w:val="18"/>
              </w:rPr>
              <w:t>Hexachlorocyclopentadiene</w:t>
            </w:r>
            <w:proofErr w:type="spellEnd"/>
            <w:r>
              <w:rPr>
                <w:sz w:val="18"/>
              </w:rPr>
              <w:t xml:space="preserve"> </w:t>
            </w:r>
          </w:p>
        </w:tc>
        <w:tc>
          <w:tcPr>
            <w:tcW w:w="1367" w:type="dxa"/>
            <w:tcBorders>
              <w:top w:val="single" w:sz="4" w:space="0" w:color="000000"/>
              <w:left w:val="single" w:sz="12" w:space="0" w:color="000000"/>
              <w:bottom w:val="single" w:sz="4" w:space="0" w:color="000000"/>
              <w:right w:val="single" w:sz="12" w:space="0" w:color="000000"/>
            </w:tcBorders>
          </w:tcPr>
          <w:p w14:paraId="5770BE68" w14:textId="05515899" w:rsidR="000A75F9" w:rsidRDefault="000A75F9" w:rsidP="00A63D72">
            <w:pPr>
              <w:spacing w:after="0" w:line="259" w:lineRule="auto"/>
              <w:ind w:left="0" w:right="35" w:firstLine="0"/>
              <w:jc w:val="center"/>
            </w:pPr>
            <w:r>
              <w:rPr>
                <w:sz w:val="18"/>
              </w:rPr>
              <w:t>77-47-4</w:t>
            </w:r>
          </w:p>
        </w:tc>
        <w:tc>
          <w:tcPr>
            <w:tcW w:w="781" w:type="dxa"/>
            <w:tcBorders>
              <w:top w:val="single" w:sz="4" w:space="0" w:color="000000"/>
              <w:left w:val="single" w:sz="12" w:space="0" w:color="000000"/>
              <w:bottom w:val="single" w:sz="4" w:space="0" w:color="000000"/>
              <w:right w:val="single" w:sz="12" w:space="0" w:color="000000"/>
            </w:tcBorders>
          </w:tcPr>
          <w:p w14:paraId="1B456EA8" w14:textId="1CC09BE9" w:rsidR="000A75F9" w:rsidRDefault="000A75F9" w:rsidP="00A63D72">
            <w:pPr>
              <w:tabs>
                <w:tab w:val="center" w:pos="354"/>
              </w:tabs>
              <w:spacing w:after="0" w:line="259" w:lineRule="auto"/>
              <w:ind w:left="0" w:right="0" w:firstLine="0"/>
              <w:jc w:val="center"/>
            </w:pPr>
            <w:r>
              <w:rPr>
                <w:sz w:val="18"/>
              </w:rPr>
              <w:t>5</w:t>
            </w:r>
          </w:p>
        </w:tc>
        <w:tc>
          <w:tcPr>
            <w:tcW w:w="881" w:type="dxa"/>
            <w:tcBorders>
              <w:top w:val="single" w:sz="4" w:space="0" w:color="000000"/>
              <w:left w:val="single" w:sz="12" w:space="0" w:color="000000"/>
              <w:bottom w:val="single" w:sz="4" w:space="0" w:color="000000"/>
              <w:right w:val="single" w:sz="12" w:space="0" w:color="000000"/>
            </w:tcBorders>
          </w:tcPr>
          <w:p w14:paraId="51B2D276" w14:textId="2429ECB5" w:rsidR="000A75F9" w:rsidRDefault="000A75F9" w:rsidP="00A63D72">
            <w:pPr>
              <w:spacing w:after="0" w:line="259" w:lineRule="auto"/>
              <w:ind w:left="0" w:right="40" w:firstLine="0"/>
              <w:jc w:val="center"/>
            </w:pPr>
            <w:r>
              <w:rPr>
                <w:sz w:val="18"/>
              </w:rPr>
              <w:t>ug/L</w:t>
            </w:r>
          </w:p>
        </w:tc>
        <w:tc>
          <w:tcPr>
            <w:tcW w:w="878" w:type="dxa"/>
            <w:tcBorders>
              <w:top w:val="single" w:sz="4" w:space="0" w:color="000000"/>
              <w:left w:val="single" w:sz="12" w:space="0" w:color="000000"/>
              <w:bottom w:val="single" w:sz="4" w:space="0" w:color="000000"/>
              <w:right w:val="single" w:sz="12" w:space="0" w:color="000000"/>
            </w:tcBorders>
          </w:tcPr>
          <w:p w14:paraId="5440D1E2" w14:textId="776A92A3" w:rsidR="000A75F9" w:rsidRDefault="000A75F9" w:rsidP="00A63D72">
            <w:pPr>
              <w:spacing w:after="0" w:line="259" w:lineRule="auto"/>
              <w:ind w:left="0" w:right="36" w:firstLine="0"/>
              <w:jc w:val="center"/>
            </w:pPr>
            <w:r>
              <w:rPr>
                <w:sz w:val="18"/>
              </w:rPr>
              <w:t>N/A</w:t>
            </w:r>
          </w:p>
        </w:tc>
        <w:tc>
          <w:tcPr>
            <w:tcW w:w="1075" w:type="dxa"/>
            <w:tcBorders>
              <w:top w:val="single" w:sz="4" w:space="0" w:color="000000"/>
              <w:left w:val="single" w:sz="12" w:space="0" w:color="000000"/>
              <w:bottom w:val="single" w:sz="4" w:space="0" w:color="000000"/>
              <w:right w:val="single" w:sz="12" w:space="0" w:color="000000"/>
            </w:tcBorders>
          </w:tcPr>
          <w:p w14:paraId="55C09CD9" w14:textId="4E886638" w:rsidR="000A75F9" w:rsidRDefault="000A75F9" w:rsidP="00A63D72">
            <w:pPr>
              <w:spacing w:after="0" w:line="259" w:lineRule="auto"/>
              <w:ind w:left="0" w:right="40" w:firstLine="0"/>
              <w:jc w:val="center"/>
            </w:pPr>
            <w:r>
              <w:rPr>
                <w:sz w:val="18"/>
              </w:rPr>
              <w:t>N/A</w:t>
            </w:r>
          </w:p>
        </w:tc>
        <w:tc>
          <w:tcPr>
            <w:tcW w:w="702" w:type="dxa"/>
            <w:tcBorders>
              <w:top w:val="single" w:sz="4" w:space="0" w:color="000000"/>
              <w:left w:val="single" w:sz="12" w:space="0" w:color="000000"/>
              <w:bottom w:val="single" w:sz="4" w:space="0" w:color="000000"/>
              <w:right w:val="single" w:sz="12" w:space="0" w:color="000000"/>
            </w:tcBorders>
          </w:tcPr>
          <w:p w14:paraId="594E1130" w14:textId="61C66342" w:rsidR="000A75F9" w:rsidRPr="00E6685C" w:rsidRDefault="000A75F9" w:rsidP="001C27CB">
            <w:pPr>
              <w:spacing w:after="0" w:line="259" w:lineRule="auto"/>
              <w:ind w:left="94" w:right="0" w:firstLine="0"/>
              <w:rPr>
                <w:bCs/>
              </w:rPr>
            </w:pPr>
            <w:r w:rsidRPr="00E6685C">
              <w:rPr>
                <w:bCs/>
                <w:sz w:val="18"/>
              </w:rPr>
              <w:t>1625</w:t>
            </w:r>
          </w:p>
        </w:tc>
        <w:tc>
          <w:tcPr>
            <w:tcW w:w="720" w:type="dxa"/>
            <w:tcBorders>
              <w:top w:val="single" w:sz="4" w:space="0" w:color="000000"/>
              <w:left w:val="single" w:sz="12" w:space="0" w:color="000000"/>
              <w:bottom w:val="single" w:sz="4" w:space="0" w:color="000000"/>
              <w:right w:val="single" w:sz="12" w:space="0" w:color="000000"/>
            </w:tcBorders>
          </w:tcPr>
          <w:p w14:paraId="22F64EE8" w14:textId="6F8D7719" w:rsidR="000A75F9" w:rsidRPr="00E6685C" w:rsidRDefault="000A75F9" w:rsidP="00A63D72">
            <w:pPr>
              <w:spacing w:after="0" w:line="259" w:lineRule="auto"/>
              <w:ind w:left="67" w:right="0" w:firstLine="0"/>
              <w:jc w:val="center"/>
              <w:rPr>
                <w:bCs/>
              </w:rPr>
            </w:pPr>
            <w:r w:rsidRPr="00E6685C">
              <w:rPr>
                <w:bCs/>
                <w:sz w:val="18"/>
              </w:rPr>
              <w:t>508.1</w:t>
            </w:r>
          </w:p>
        </w:tc>
        <w:tc>
          <w:tcPr>
            <w:tcW w:w="720" w:type="dxa"/>
            <w:tcBorders>
              <w:top w:val="single" w:sz="4" w:space="0" w:color="000000"/>
              <w:left w:val="single" w:sz="12" w:space="0" w:color="000000"/>
              <w:bottom w:val="single" w:sz="4" w:space="0" w:color="000000"/>
              <w:right w:val="single" w:sz="12" w:space="0" w:color="000000"/>
            </w:tcBorders>
          </w:tcPr>
          <w:p w14:paraId="5E3DE668" w14:textId="3AC287B8" w:rsidR="000A75F9" w:rsidRPr="00E6685C" w:rsidRDefault="000A75F9" w:rsidP="00DC2064">
            <w:pPr>
              <w:spacing w:after="0" w:line="259" w:lineRule="auto"/>
              <w:ind w:left="67" w:right="0" w:firstLine="0"/>
              <w:rPr>
                <w:bCs/>
              </w:rPr>
            </w:pPr>
            <w:r w:rsidRPr="00E6685C">
              <w:rPr>
                <w:bCs/>
                <w:sz w:val="18"/>
              </w:rPr>
              <w:t>525.2</w:t>
            </w:r>
          </w:p>
        </w:tc>
      </w:tr>
      <w:tr w:rsidR="000A75F9" w14:paraId="588644B1" w14:textId="77777777" w:rsidTr="00C23B62">
        <w:trPr>
          <w:trHeight w:val="250"/>
        </w:trPr>
        <w:tc>
          <w:tcPr>
            <w:tcW w:w="3406" w:type="dxa"/>
            <w:tcBorders>
              <w:top w:val="single" w:sz="4" w:space="0" w:color="000000"/>
              <w:left w:val="single" w:sz="12" w:space="0" w:color="000000"/>
              <w:bottom w:val="single" w:sz="4" w:space="0" w:color="000000"/>
              <w:right w:val="single" w:sz="12" w:space="0" w:color="000000"/>
            </w:tcBorders>
          </w:tcPr>
          <w:p w14:paraId="7B7F6A38" w14:textId="77777777" w:rsidR="000A75F9" w:rsidRDefault="000A75F9" w:rsidP="000A75F9">
            <w:pPr>
              <w:spacing w:after="0" w:line="259" w:lineRule="auto"/>
              <w:ind w:left="2" w:right="0" w:firstLine="0"/>
            </w:pPr>
            <w:proofErr w:type="spellStart"/>
            <w:r>
              <w:rPr>
                <w:sz w:val="18"/>
              </w:rPr>
              <w:t>Isophorone</w:t>
            </w:r>
            <w:proofErr w:type="spellEnd"/>
            <w:r>
              <w:rPr>
                <w:sz w:val="18"/>
              </w:rPr>
              <w:t xml:space="preserve"> </w:t>
            </w:r>
          </w:p>
        </w:tc>
        <w:tc>
          <w:tcPr>
            <w:tcW w:w="1367" w:type="dxa"/>
            <w:tcBorders>
              <w:top w:val="single" w:sz="4" w:space="0" w:color="000000"/>
              <w:left w:val="single" w:sz="12" w:space="0" w:color="000000"/>
              <w:bottom w:val="single" w:sz="4" w:space="0" w:color="000000"/>
              <w:right w:val="single" w:sz="12" w:space="0" w:color="000000"/>
            </w:tcBorders>
          </w:tcPr>
          <w:p w14:paraId="621AE319" w14:textId="53DD7FB3" w:rsidR="000A75F9" w:rsidRDefault="000A75F9" w:rsidP="00A63D72">
            <w:pPr>
              <w:spacing w:after="0" w:line="259" w:lineRule="auto"/>
              <w:ind w:left="0" w:right="35" w:firstLine="0"/>
              <w:jc w:val="center"/>
            </w:pPr>
            <w:r>
              <w:rPr>
                <w:sz w:val="18"/>
              </w:rPr>
              <w:t>78-59-1</w:t>
            </w:r>
          </w:p>
        </w:tc>
        <w:tc>
          <w:tcPr>
            <w:tcW w:w="781" w:type="dxa"/>
            <w:tcBorders>
              <w:top w:val="single" w:sz="4" w:space="0" w:color="000000"/>
              <w:left w:val="single" w:sz="12" w:space="0" w:color="000000"/>
              <w:bottom w:val="single" w:sz="4" w:space="0" w:color="000000"/>
              <w:right w:val="single" w:sz="12" w:space="0" w:color="000000"/>
            </w:tcBorders>
          </w:tcPr>
          <w:p w14:paraId="3C87208E" w14:textId="7378D868" w:rsidR="000A75F9" w:rsidRDefault="000A75F9" w:rsidP="00A63D72">
            <w:pPr>
              <w:tabs>
                <w:tab w:val="center" w:pos="308"/>
              </w:tabs>
              <w:spacing w:after="0" w:line="259" w:lineRule="auto"/>
              <w:ind w:left="0" w:right="0" w:firstLine="0"/>
              <w:jc w:val="center"/>
            </w:pPr>
            <w:r>
              <w:rPr>
                <w:sz w:val="18"/>
              </w:rPr>
              <w:t>10</w:t>
            </w:r>
          </w:p>
        </w:tc>
        <w:tc>
          <w:tcPr>
            <w:tcW w:w="881" w:type="dxa"/>
            <w:tcBorders>
              <w:top w:val="single" w:sz="4" w:space="0" w:color="000000"/>
              <w:left w:val="single" w:sz="12" w:space="0" w:color="000000"/>
              <w:bottom w:val="single" w:sz="4" w:space="0" w:color="000000"/>
              <w:right w:val="single" w:sz="12" w:space="0" w:color="000000"/>
            </w:tcBorders>
          </w:tcPr>
          <w:p w14:paraId="26F8C5B3" w14:textId="7E12FA93" w:rsidR="000A75F9" w:rsidRDefault="000A75F9" w:rsidP="00A63D72">
            <w:pPr>
              <w:spacing w:after="0" w:line="259" w:lineRule="auto"/>
              <w:ind w:left="0" w:right="40" w:firstLine="0"/>
              <w:jc w:val="center"/>
            </w:pPr>
            <w:r>
              <w:rPr>
                <w:sz w:val="18"/>
              </w:rPr>
              <w:t>ug/L</w:t>
            </w:r>
          </w:p>
        </w:tc>
        <w:tc>
          <w:tcPr>
            <w:tcW w:w="878" w:type="dxa"/>
            <w:tcBorders>
              <w:top w:val="single" w:sz="4" w:space="0" w:color="000000"/>
              <w:left w:val="single" w:sz="12" w:space="0" w:color="000000"/>
              <w:bottom w:val="single" w:sz="4" w:space="0" w:color="000000"/>
              <w:right w:val="single" w:sz="12" w:space="0" w:color="000000"/>
            </w:tcBorders>
          </w:tcPr>
          <w:p w14:paraId="30C51CE6" w14:textId="3923CFB7" w:rsidR="000A75F9" w:rsidRDefault="000A75F9" w:rsidP="00A63D72">
            <w:pPr>
              <w:spacing w:after="0" w:line="259" w:lineRule="auto"/>
              <w:ind w:left="0" w:right="36" w:firstLine="0"/>
              <w:jc w:val="center"/>
            </w:pPr>
            <w:r>
              <w:rPr>
                <w:sz w:val="18"/>
              </w:rPr>
              <w:t>N/A</w:t>
            </w:r>
          </w:p>
        </w:tc>
        <w:tc>
          <w:tcPr>
            <w:tcW w:w="1075" w:type="dxa"/>
            <w:tcBorders>
              <w:top w:val="single" w:sz="4" w:space="0" w:color="000000"/>
              <w:left w:val="single" w:sz="12" w:space="0" w:color="000000"/>
              <w:bottom w:val="single" w:sz="4" w:space="0" w:color="000000"/>
              <w:right w:val="single" w:sz="12" w:space="0" w:color="000000"/>
            </w:tcBorders>
          </w:tcPr>
          <w:p w14:paraId="14F2783A" w14:textId="2DE47221" w:rsidR="000A75F9" w:rsidRDefault="000A75F9" w:rsidP="00A63D72">
            <w:pPr>
              <w:spacing w:after="0" w:line="259" w:lineRule="auto"/>
              <w:ind w:left="0" w:right="40" w:firstLine="0"/>
              <w:jc w:val="center"/>
            </w:pPr>
            <w:r>
              <w:rPr>
                <w:sz w:val="18"/>
              </w:rPr>
              <w:t>N/A</w:t>
            </w:r>
          </w:p>
        </w:tc>
        <w:tc>
          <w:tcPr>
            <w:tcW w:w="702" w:type="dxa"/>
            <w:tcBorders>
              <w:top w:val="single" w:sz="4" w:space="0" w:color="000000"/>
              <w:left w:val="single" w:sz="12" w:space="0" w:color="000000"/>
              <w:bottom w:val="single" w:sz="4" w:space="0" w:color="000000"/>
              <w:right w:val="single" w:sz="12" w:space="0" w:color="000000"/>
            </w:tcBorders>
          </w:tcPr>
          <w:p w14:paraId="34FB064A" w14:textId="2FFB1CE1" w:rsidR="000A75F9" w:rsidRPr="00E6685C" w:rsidRDefault="000A75F9" w:rsidP="001C27CB">
            <w:pPr>
              <w:spacing w:after="0" w:line="259" w:lineRule="auto"/>
              <w:ind w:left="94" w:right="0" w:firstLine="0"/>
              <w:rPr>
                <w:bCs/>
              </w:rPr>
            </w:pPr>
            <w:r w:rsidRPr="00E6685C">
              <w:rPr>
                <w:bCs/>
                <w:sz w:val="18"/>
              </w:rPr>
              <w:t>1625</w:t>
            </w:r>
          </w:p>
        </w:tc>
        <w:tc>
          <w:tcPr>
            <w:tcW w:w="720" w:type="dxa"/>
            <w:tcBorders>
              <w:top w:val="single" w:sz="4" w:space="0" w:color="000000"/>
              <w:left w:val="single" w:sz="12" w:space="0" w:color="000000"/>
              <w:bottom w:val="single" w:sz="4" w:space="0" w:color="000000"/>
              <w:right w:val="single" w:sz="12" w:space="0" w:color="000000"/>
            </w:tcBorders>
          </w:tcPr>
          <w:p w14:paraId="1D2D07B9" w14:textId="4F8FA2C1" w:rsidR="000A75F9" w:rsidRPr="00E6685C" w:rsidRDefault="000A75F9" w:rsidP="00A63D72">
            <w:pPr>
              <w:spacing w:after="0" w:line="259" w:lineRule="auto"/>
              <w:ind w:left="0" w:right="40" w:firstLine="0"/>
              <w:jc w:val="center"/>
              <w:rPr>
                <w:bCs/>
              </w:rPr>
            </w:pPr>
            <w:r w:rsidRPr="00E6685C">
              <w:rPr>
                <w:bCs/>
                <w:sz w:val="18"/>
              </w:rPr>
              <w:t>609</w:t>
            </w:r>
          </w:p>
        </w:tc>
        <w:tc>
          <w:tcPr>
            <w:tcW w:w="720" w:type="dxa"/>
            <w:tcBorders>
              <w:top w:val="single" w:sz="4" w:space="0" w:color="000000"/>
              <w:left w:val="single" w:sz="12" w:space="0" w:color="000000"/>
              <w:bottom w:val="single" w:sz="4" w:space="0" w:color="000000"/>
              <w:right w:val="single" w:sz="12" w:space="0" w:color="000000"/>
            </w:tcBorders>
          </w:tcPr>
          <w:p w14:paraId="638DF894" w14:textId="0B9A9539" w:rsidR="000A75F9" w:rsidRPr="00E6685C" w:rsidRDefault="000A75F9" w:rsidP="00DC2064">
            <w:pPr>
              <w:spacing w:after="0" w:line="259" w:lineRule="auto"/>
              <w:ind w:left="67" w:right="0" w:firstLine="0"/>
              <w:rPr>
                <w:bCs/>
              </w:rPr>
            </w:pPr>
            <w:r w:rsidRPr="00E6685C">
              <w:rPr>
                <w:bCs/>
                <w:sz w:val="18"/>
              </w:rPr>
              <w:t>525.2</w:t>
            </w:r>
          </w:p>
        </w:tc>
      </w:tr>
      <w:tr w:rsidR="000A75F9" w14:paraId="5F9853D1" w14:textId="77777777" w:rsidTr="00C23B62">
        <w:trPr>
          <w:trHeight w:val="250"/>
        </w:trPr>
        <w:tc>
          <w:tcPr>
            <w:tcW w:w="3406" w:type="dxa"/>
            <w:tcBorders>
              <w:top w:val="single" w:sz="4" w:space="0" w:color="000000"/>
              <w:left w:val="single" w:sz="12" w:space="0" w:color="000000"/>
              <w:bottom w:val="single" w:sz="4" w:space="0" w:color="000000"/>
              <w:right w:val="single" w:sz="12" w:space="0" w:color="000000"/>
            </w:tcBorders>
          </w:tcPr>
          <w:p w14:paraId="32062EF7" w14:textId="77777777" w:rsidR="000A75F9" w:rsidRDefault="000A75F9" w:rsidP="000A75F9">
            <w:pPr>
              <w:spacing w:after="0" w:line="259" w:lineRule="auto"/>
              <w:ind w:left="2" w:right="0" w:firstLine="0"/>
            </w:pPr>
            <w:r>
              <w:rPr>
                <w:sz w:val="18"/>
              </w:rPr>
              <w:t>2-Methylphenol</w:t>
            </w:r>
            <w:r>
              <w:rPr>
                <w:i/>
                <w:sz w:val="18"/>
              </w:rPr>
              <w:t xml:space="preserve"> (o-cresol)</w:t>
            </w:r>
            <w:r>
              <w:rPr>
                <w:sz w:val="18"/>
              </w:rPr>
              <w:t xml:space="preserve"> </w:t>
            </w:r>
          </w:p>
        </w:tc>
        <w:tc>
          <w:tcPr>
            <w:tcW w:w="1367" w:type="dxa"/>
            <w:tcBorders>
              <w:top w:val="single" w:sz="4" w:space="0" w:color="000000"/>
              <w:left w:val="single" w:sz="12" w:space="0" w:color="000000"/>
              <w:bottom w:val="single" w:sz="4" w:space="0" w:color="000000"/>
              <w:right w:val="single" w:sz="12" w:space="0" w:color="000000"/>
            </w:tcBorders>
          </w:tcPr>
          <w:p w14:paraId="32448C74" w14:textId="445B66E7" w:rsidR="000A75F9" w:rsidRDefault="000A75F9" w:rsidP="00A63D72">
            <w:pPr>
              <w:spacing w:after="0" w:line="259" w:lineRule="auto"/>
              <w:ind w:left="0" w:right="35" w:firstLine="0"/>
              <w:jc w:val="center"/>
            </w:pPr>
            <w:r>
              <w:rPr>
                <w:sz w:val="18"/>
              </w:rPr>
              <w:t>95-48-7</w:t>
            </w:r>
          </w:p>
        </w:tc>
        <w:tc>
          <w:tcPr>
            <w:tcW w:w="781" w:type="dxa"/>
            <w:tcBorders>
              <w:top w:val="single" w:sz="4" w:space="0" w:color="000000"/>
              <w:left w:val="single" w:sz="12" w:space="0" w:color="000000"/>
              <w:bottom w:val="single" w:sz="4" w:space="0" w:color="000000"/>
              <w:right w:val="single" w:sz="12" w:space="0" w:color="000000"/>
            </w:tcBorders>
          </w:tcPr>
          <w:p w14:paraId="0ACD0600" w14:textId="0187726E" w:rsidR="000A75F9" w:rsidRDefault="000A75F9" w:rsidP="00A63D72">
            <w:pPr>
              <w:tabs>
                <w:tab w:val="center" w:pos="308"/>
              </w:tabs>
              <w:spacing w:after="0" w:line="259" w:lineRule="auto"/>
              <w:ind w:left="0" w:right="0" w:firstLine="0"/>
              <w:jc w:val="center"/>
            </w:pPr>
            <w:r>
              <w:rPr>
                <w:sz w:val="18"/>
              </w:rPr>
              <w:t>10</w:t>
            </w:r>
          </w:p>
        </w:tc>
        <w:tc>
          <w:tcPr>
            <w:tcW w:w="881" w:type="dxa"/>
            <w:tcBorders>
              <w:top w:val="single" w:sz="4" w:space="0" w:color="000000"/>
              <w:left w:val="single" w:sz="12" w:space="0" w:color="000000"/>
              <w:bottom w:val="single" w:sz="4" w:space="0" w:color="000000"/>
              <w:right w:val="single" w:sz="12" w:space="0" w:color="000000"/>
            </w:tcBorders>
          </w:tcPr>
          <w:p w14:paraId="766BE8E4" w14:textId="443D9684" w:rsidR="000A75F9" w:rsidRDefault="000A75F9" w:rsidP="00A63D72">
            <w:pPr>
              <w:spacing w:after="0" w:line="259" w:lineRule="auto"/>
              <w:ind w:left="0" w:right="40" w:firstLine="0"/>
              <w:jc w:val="center"/>
            </w:pPr>
            <w:r>
              <w:rPr>
                <w:sz w:val="18"/>
              </w:rPr>
              <w:t>ug/L</w:t>
            </w:r>
          </w:p>
        </w:tc>
        <w:tc>
          <w:tcPr>
            <w:tcW w:w="878" w:type="dxa"/>
            <w:tcBorders>
              <w:top w:val="single" w:sz="4" w:space="0" w:color="000000"/>
              <w:left w:val="single" w:sz="12" w:space="0" w:color="000000"/>
              <w:bottom w:val="single" w:sz="4" w:space="0" w:color="000000"/>
              <w:right w:val="single" w:sz="12" w:space="0" w:color="000000"/>
            </w:tcBorders>
          </w:tcPr>
          <w:p w14:paraId="24D26A31" w14:textId="09C41468" w:rsidR="000A75F9" w:rsidRDefault="000A75F9" w:rsidP="00A63D72">
            <w:pPr>
              <w:spacing w:after="0" w:line="259" w:lineRule="auto"/>
              <w:ind w:left="0" w:right="36" w:firstLine="0"/>
              <w:jc w:val="center"/>
            </w:pPr>
            <w:r>
              <w:rPr>
                <w:sz w:val="18"/>
              </w:rPr>
              <w:t>N/A</w:t>
            </w:r>
          </w:p>
        </w:tc>
        <w:tc>
          <w:tcPr>
            <w:tcW w:w="1075" w:type="dxa"/>
            <w:tcBorders>
              <w:top w:val="single" w:sz="4" w:space="0" w:color="000000"/>
              <w:left w:val="single" w:sz="12" w:space="0" w:color="000000"/>
              <w:bottom w:val="single" w:sz="4" w:space="0" w:color="000000"/>
              <w:right w:val="single" w:sz="12" w:space="0" w:color="000000"/>
            </w:tcBorders>
          </w:tcPr>
          <w:p w14:paraId="37409AEA" w14:textId="424F9F8A" w:rsidR="000A75F9" w:rsidRDefault="000A75F9" w:rsidP="00A63D72">
            <w:pPr>
              <w:spacing w:after="0" w:line="259" w:lineRule="auto"/>
              <w:ind w:left="0" w:right="40" w:firstLine="0"/>
              <w:jc w:val="center"/>
            </w:pPr>
            <w:r>
              <w:rPr>
                <w:sz w:val="18"/>
              </w:rPr>
              <w:t>N/A</w:t>
            </w:r>
          </w:p>
        </w:tc>
        <w:tc>
          <w:tcPr>
            <w:tcW w:w="702" w:type="dxa"/>
            <w:tcBorders>
              <w:top w:val="single" w:sz="4" w:space="0" w:color="000000"/>
              <w:left w:val="single" w:sz="12" w:space="0" w:color="000000"/>
              <w:bottom w:val="single" w:sz="4" w:space="0" w:color="000000"/>
              <w:right w:val="single" w:sz="12" w:space="0" w:color="000000"/>
            </w:tcBorders>
          </w:tcPr>
          <w:p w14:paraId="4483D6ED" w14:textId="03A84F19" w:rsidR="000A75F9" w:rsidRPr="00E6685C" w:rsidRDefault="000A75F9" w:rsidP="001C27CB">
            <w:pPr>
              <w:spacing w:after="0" w:line="259" w:lineRule="auto"/>
              <w:ind w:left="94" w:right="0" w:firstLine="0"/>
              <w:rPr>
                <w:bCs/>
              </w:rPr>
            </w:pPr>
            <w:r w:rsidRPr="00E6685C">
              <w:rPr>
                <w:bCs/>
                <w:sz w:val="18"/>
              </w:rPr>
              <w:t>1625</w:t>
            </w:r>
          </w:p>
        </w:tc>
        <w:tc>
          <w:tcPr>
            <w:tcW w:w="720" w:type="dxa"/>
            <w:tcBorders>
              <w:top w:val="single" w:sz="4" w:space="0" w:color="000000"/>
              <w:left w:val="single" w:sz="12" w:space="0" w:color="000000"/>
              <w:bottom w:val="single" w:sz="4" w:space="0" w:color="000000"/>
              <w:right w:val="single" w:sz="12" w:space="0" w:color="000000"/>
            </w:tcBorders>
          </w:tcPr>
          <w:p w14:paraId="10D92CB9" w14:textId="6AEF1D03" w:rsidR="000A75F9" w:rsidRPr="00E6685C" w:rsidRDefault="000A75F9" w:rsidP="00A63D72">
            <w:pPr>
              <w:spacing w:after="0" w:line="259" w:lineRule="auto"/>
              <w:ind w:left="7" w:right="0" w:firstLine="0"/>
              <w:jc w:val="center"/>
              <w:rPr>
                <w:bCs/>
              </w:rPr>
            </w:pPr>
          </w:p>
        </w:tc>
        <w:tc>
          <w:tcPr>
            <w:tcW w:w="720" w:type="dxa"/>
            <w:tcBorders>
              <w:top w:val="single" w:sz="4" w:space="0" w:color="000000"/>
              <w:left w:val="single" w:sz="12" w:space="0" w:color="000000"/>
              <w:bottom w:val="single" w:sz="4" w:space="0" w:color="000000"/>
              <w:right w:val="single" w:sz="12" w:space="0" w:color="000000"/>
            </w:tcBorders>
          </w:tcPr>
          <w:p w14:paraId="76957AE3" w14:textId="7238FF5D" w:rsidR="000A75F9" w:rsidRPr="00E6685C" w:rsidRDefault="000A75F9" w:rsidP="00DC2064">
            <w:pPr>
              <w:spacing w:after="0" w:line="259" w:lineRule="auto"/>
              <w:ind w:left="9" w:right="0" w:firstLine="0"/>
              <w:rPr>
                <w:bCs/>
              </w:rPr>
            </w:pPr>
          </w:p>
        </w:tc>
      </w:tr>
      <w:tr w:rsidR="000A75F9" w14:paraId="2C3C7E5F" w14:textId="77777777" w:rsidTr="00C23B62">
        <w:trPr>
          <w:trHeight w:val="252"/>
        </w:trPr>
        <w:tc>
          <w:tcPr>
            <w:tcW w:w="3406" w:type="dxa"/>
            <w:tcBorders>
              <w:top w:val="single" w:sz="4" w:space="0" w:color="000000"/>
              <w:left w:val="single" w:sz="12" w:space="0" w:color="000000"/>
              <w:bottom w:val="single" w:sz="4" w:space="0" w:color="000000"/>
              <w:right w:val="single" w:sz="12" w:space="0" w:color="000000"/>
            </w:tcBorders>
          </w:tcPr>
          <w:p w14:paraId="71D474C8" w14:textId="77777777" w:rsidR="000A75F9" w:rsidRDefault="000A75F9" w:rsidP="000A75F9">
            <w:pPr>
              <w:spacing w:after="0" w:line="259" w:lineRule="auto"/>
              <w:ind w:left="2" w:right="0" w:firstLine="0"/>
            </w:pPr>
            <w:r>
              <w:rPr>
                <w:sz w:val="18"/>
              </w:rPr>
              <w:t>3-Methylphenol</w:t>
            </w:r>
            <w:r>
              <w:rPr>
                <w:i/>
                <w:sz w:val="18"/>
              </w:rPr>
              <w:t xml:space="preserve"> (m-cresol)</w:t>
            </w:r>
            <w:r>
              <w:rPr>
                <w:sz w:val="18"/>
              </w:rPr>
              <w:t xml:space="preserve"> </w:t>
            </w:r>
          </w:p>
        </w:tc>
        <w:tc>
          <w:tcPr>
            <w:tcW w:w="1367" w:type="dxa"/>
            <w:tcBorders>
              <w:top w:val="single" w:sz="4" w:space="0" w:color="000000"/>
              <w:left w:val="single" w:sz="12" w:space="0" w:color="000000"/>
              <w:bottom w:val="single" w:sz="4" w:space="0" w:color="000000"/>
              <w:right w:val="single" w:sz="12" w:space="0" w:color="000000"/>
            </w:tcBorders>
          </w:tcPr>
          <w:p w14:paraId="7E910028" w14:textId="0FA9759E" w:rsidR="000A75F9" w:rsidRDefault="000A75F9" w:rsidP="00A63D72">
            <w:pPr>
              <w:spacing w:after="0" w:line="259" w:lineRule="auto"/>
              <w:ind w:left="0" w:right="35" w:firstLine="0"/>
              <w:jc w:val="center"/>
            </w:pPr>
            <w:r>
              <w:rPr>
                <w:sz w:val="18"/>
              </w:rPr>
              <w:t>108-39-4</w:t>
            </w:r>
          </w:p>
        </w:tc>
        <w:tc>
          <w:tcPr>
            <w:tcW w:w="781" w:type="dxa"/>
            <w:tcBorders>
              <w:top w:val="single" w:sz="4" w:space="0" w:color="000000"/>
              <w:left w:val="single" w:sz="12" w:space="0" w:color="000000"/>
              <w:bottom w:val="single" w:sz="4" w:space="0" w:color="000000"/>
              <w:right w:val="single" w:sz="12" w:space="0" w:color="000000"/>
            </w:tcBorders>
          </w:tcPr>
          <w:p w14:paraId="1BC00721" w14:textId="7311F85A" w:rsidR="000A75F9" w:rsidRDefault="000A75F9" w:rsidP="00A63D72">
            <w:pPr>
              <w:tabs>
                <w:tab w:val="center" w:pos="308"/>
              </w:tabs>
              <w:spacing w:after="0" w:line="259" w:lineRule="auto"/>
              <w:ind w:left="0" w:right="0" w:firstLine="0"/>
              <w:jc w:val="center"/>
            </w:pPr>
            <w:r>
              <w:rPr>
                <w:sz w:val="18"/>
              </w:rPr>
              <w:t>10</w:t>
            </w:r>
          </w:p>
        </w:tc>
        <w:tc>
          <w:tcPr>
            <w:tcW w:w="881" w:type="dxa"/>
            <w:tcBorders>
              <w:top w:val="single" w:sz="4" w:space="0" w:color="000000"/>
              <w:left w:val="single" w:sz="12" w:space="0" w:color="000000"/>
              <w:bottom w:val="single" w:sz="4" w:space="0" w:color="000000"/>
              <w:right w:val="single" w:sz="12" w:space="0" w:color="000000"/>
            </w:tcBorders>
          </w:tcPr>
          <w:p w14:paraId="30DE358F" w14:textId="13717941" w:rsidR="000A75F9" w:rsidRDefault="000A75F9" w:rsidP="00A63D72">
            <w:pPr>
              <w:spacing w:after="0" w:line="259" w:lineRule="auto"/>
              <w:ind w:left="0" w:right="40" w:firstLine="0"/>
              <w:jc w:val="center"/>
            </w:pPr>
            <w:r>
              <w:rPr>
                <w:sz w:val="18"/>
              </w:rPr>
              <w:t>ug/L</w:t>
            </w:r>
          </w:p>
        </w:tc>
        <w:tc>
          <w:tcPr>
            <w:tcW w:w="878" w:type="dxa"/>
            <w:tcBorders>
              <w:top w:val="single" w:sz="4" w:space="0" w:color="000000"/>
              <w:left w:val="single" w:sz="12" w:space="0" w:color="000000"/>
              <w:bottom w:val="single" w:sz="4" w:space="0" w:color="000000"/>
              <w:right w:val="single" w:sz="12" w:space="0" w:color="000000"/>
            </w:tcBorders>
          </w:tcPr>
          <w:p w14:paraId="57B98E1B" w14:textId="03455D1A" w:rsidR="000A75F9" w:rsidRDefault="000A75F9" w:rsidP="00A63D72">
            <w:pPr>
              <w:spacing w:after="0" w:line="259" w:lineRule="auto"/>
              <w:ind w:left="0" w:right="36" w:firstLine="0"/>
              <w:jc w:val="center"/>
            </w:pPr>
            <w:r>
              <w:rPr>
                <w:sz w:val="18"/>
              </w:rPr>
              <w:t>N/A</w:t>
            </w:r>
          </w:p>
        </w:tc>
        <w:tc>
          <w:tcPr>
            <w:tcW w:w="1075" w:type="dxa"/>
            <w:tcBorders>
              <w:top w:val="single" w:sz="4" w:space="0" w:color="000000"/>
              <w:left w:val="single" w:sz="12" w:space="0" w:color="000000"/>
              <w:bottom w:val="single" w:sz="4" w:space="0" w:color="000000"/>
              <w:right w:val="single" w:sz="12" w:space="0" w:color="000000"/>
            </w:tcBorders>
          </w:tcPr>
          <w:p w14:paraId="048D95E0" w14:textId="1711618D" w:rsidR="000A75F9" w:rsidRDefault="000A75F9" w:rsidP="00A63D72">
            <w:pPr>
              <w:spacing w:after="0" w:line="259" w:lineRule="auto"/>
              <w:ind w:left="0" w:right="40" w:firstLine="0"/>
              <w:jc w:val="center"/>
            </w:pPr>
            <w:r>
              <w:rPr>
                <w:sz w:val="18"/>
              </w:rPr>
              <w:t>N/A</w:t>
            </w:r>
          </w:p>
        </w:tc>
        <w:tc>
          <w:tcPr>
            <w:tcW w:w="702" w:type="dxa"/>
            <w:tcBorders>
              <w:top w:val="single" w:sz="4" w:space="0" w:color="000000"/>
              <w:left w:val="single" w:sz="12" w:space="0" w:color="000000"/>
              <w:bottom w:val="single" w:sz="4" w:space="0" w:color="000000"/>
              <w:right w:val="single" w:sz="12" w:space="0" w:color="000000"/>
            </w:tcBorders>
          </w:tcPr>
          <w:p w14:paraId="46BB73B6" w14:textId="10D80D0F" w:rsidR="000A75F9" w:rsidRPr="00E6685C" w:rsidRDefault="000A75F9" w:rsidP="001C27CB">
            <w:pPr>
              <w:spacing w:after="0" w:line="259" w:lineRule="auto"/>
              <w:ind w:left="98" w:right="0" w:firstLine="0"/>
              <w:rPr>
                <w:bCs/>
                <w:iCs/>
              </w:rPr>
            </w:pPr>
            <w:r w:rsidRPr="00E6685C">
              <w:rPr>
                <w:bCs/>
                <w:iCs/>
                <w:sz w:val="18"/>
              </w:rPr>
              <w:t>1625</w:t>
            </w:r>
          </w:p>
        </w:tc>
        <w:tc>
          <w:tcPr>
            <w:tcW w:w="720" w:type="dxa"/>
            <w:tcBorders>
              <w:top w:val="single" w:sz="4" w:space="0" w:color="000000"/>
              <w:left w:val="single" w:sz="12" w:space="0" w:color="000000"/>
              <w:bottom w:val="single" w:sz="4" w:space="0" w:color="000000"/>
              <w:right w:val="single" w:sz="12" w:space="0" w:color="000000"/>
            </w:tcBorders>
          </w:tcPr>
          <w:p w14:paraId="2052F5F2" w14:textId="4B79B0B8" w:rsidR="000A75F9" w:rsidRPr="00E6685C" w:rsidRDefault="000A75F9" w:rsidP="00A63D72">
            <w:pPr>
              <w:spacing w:after="0" w:line="259" w:lineRule="auto"/>
              <w:ind w:left="7" w:right="0" w:firstLine="0"/>
              <w:jc w:val="center"/>
              <w:rPr>
                <w:bCs/>
              </w:rPr>
            </w:pPr>
          </w:p>
        </w:tc>
        <w:tc>
          <w:tcPr>
            <w:tcW w:w="720" w:type="dxa"/>
            <w:tcBorders>
              <w:top w:val="single" w:sz="4" w:space="0" w:color="000000"/>
              <w:left w:val="single" w:sz="12" w:space="0" w:color="000000"/>
              <w:bottom w:val="single" w:sz="4" w:space="0" w:color="000000"/>
              <w:right w:val="single" w:sz="12" w:space="0" w:color="000000"/>
            </w:tcBorders>
          </w:tcPr>
          <w:p w14:paraId="29B1FCD0" w14:textId="167D6C7F" w:rsidR="000A75F9" w:rsidRPr="00E6685C" w:rsidRDefault="000A75F9" w:rsidP="00DC2064">
            <w:pPr>
              <w:spacing w:after="0" w:line="259" w:lineRule="auto"/>
              <w:ind w:left="9" w:right="0" w:firstLine="0"/>
              <w:rPr>
                <w:bCs/>
              </w:rPr>
            </w:pPr>
          </w:p>
        </w:tc>
      </w:tr>
      <w:tr w:rsidR="000A75F9" w14:paraId="591BA66E" w14:textId="77777777" w:rsidTr="00C23B62">
        <w:trPr>
          <w:trHeight w:val="250"/>
        </w:trPr>
        <w:tc>
          <w:tcPr>
            <w:tcW w:w="3406" w:type="dxa"/>
            <w:tcBorders>
              <w:top w:val="single" w:sz="4" w:space="0" w:color="000000"/>
              <w:left w:val="single" w:sz="12" w:space="0" w:color="000000"/>
              <w:bottom w:val="single" w:sz="4" w:space="0" w:color="000000"/>
              <w:right w:val="single" w:sz="12" w:space="0" w:color="000000"/>
            </w:tcBorders>
          </w:tcPr>
          <w:p w14:paraId="27C8CEF1" w14:textId="77777777" w:rsidR="000A75F9" w:rsidRDefault="000A75F9" w:rsidP="000A75F9">
            <w:pPr>
              <w:spacing w:after="0" w:line="259" w:lineRule="auto"/>
              <w:ind w:left="2" w:right="0" w:firstLine="0"/>
            </w:pPr>
            <w:r>
              <w:rPr>
                <w:sz w:val="18"/>
              </w:rPr>
              <w:t>4-Methylphenol</w:t>
            </w:r>
            <w:r>
              <w:rPr>
                <w:i/>
                <w:sz w:val="18"/>
              </w:rPr>
              <w:t xml:space="preserve"> (p-cresol)</w:t>
            </w:r>
            <w:r>
              <w:rPr>
                <w:sz w:val="18"/>
              </w:rPr>
              <w:t xml:space="preserve"> </w:t>
            </w:r>
          </w:p>
        </w:tc>
        <w:tc>
          <w:tcPr>
            <w:tcW w:w="1367" w:type="dxa"/>
            <w:tcBorders>
              <w:top w:val="single" w:sz="4" w:space="0" w:color="000000"/>
              <w:left w:val="single" w:sz="12" w:space="0" w:color="000000"/>
              <w:bottom w:val="single" w:sz="4" w:space="0" w:color="000000"/>
              <w:right w:val="single" w:sz="12" w:space="0" w:color="000000"/>
            </w:tcBorders>
          </w:tcPr>
          <w:p w14:paraId="5DB7B184" w14:textId="64B7FBF5" w:rsidR="000A75F9" w:rsidRDefault="000A75F9" w:rsidP="00A63D72">
            <w:pPr>
              <w:spacing w:after="0" w:line="259" w:lineRule="auto"/>
              <w:ind w:left="0" w:right="35" w:firstLine="0"/>
              <w:jc w:val="center"/>
            </w:pPr>
            <w:r>
              <w:rPr>
                <w:sz w:val="18"/>
              </w:rPr>
              <w:t>106-44-5</w:t>
            </w:r>
          </w:p>
        </w:tc>
        <w:tc>
          <w:tcPr>
            <w:tcW w:w="781" w:type="dxa"/>
            <w:tcBorders>
              <w:top w:val="single" w:sz="4" w:space="0" w:color="000000"/>
              <w:left w:val="single" w:sz="12" w:space="0" w:color="000000"/>
              <w:bottom w:val="single" w:sz="4" w:space="0" w:color="000000"/>
              <w:right w:val="single" w:sz="12" w:space="0" w:color="000000"/>
            </w:tcBorders>
          </w:tcPr>
          <w:p w14:paraId="6B21F71B" w14:textId="0149CC36" w:rsidR="000A75F9" w:rsidRDefault="000A75F9" w:rsidP="00A63D72">
            <w:pPr>
              <w:tabs>
                <w:tab w:val="center" w:pos="308"/>
              </w:tabs>
              <w:spacing w:after="0" w:line="259" w:lineRule="auto"/>
              <w:ind w:left="0" w:right="0" w:firstLine="0"/>
              <w:jc w:val="center"/>
            </w:pPr>
            <w:r>
              <w:rPr>
                <w:sz w:val="18"/>
              </w:rPr>
              <w:t>10</w:t>
            </w:r>
          </w:p>
        </w:tc>
        <w:tc>
          <w:tcPr>
            <w:tcW w:w="881" w:type="dxa"/>
            <w:tcBorders>
              <w:top w:val="single" w:sz="4" w:space="0" w:color="000000"/>
              <w:left w:val="single" w:sz="12" w:space="0" w:color="000000"/>
              <w:bottom w:val="single" w:sz="4" w:space="0" w:color="000000"/>
              <w:right w:val="single" w:sz="12" w:space="0" w:color="000000"/>
            </w:tcBorders>
          </w:tcPr>
          <w:p w14:paraId="1111C511" w14:textId="072BDDCE" w:rsidR="000A75F9" w:rsidRDefault="000A75F9" w:rsidP="00A63D72">
            <w:pPr>
              <w:spacing w:after="0" w:line="259" w:lineRule="auto"/>
              <w:ind w:left="0" w:right="40" w:firstLine="0"/>
              <w:jc w:val="center"/>
            </w:pPr>
            <w:r>
              <w:rPr>
                <w:sz w:val="18"/>
              </w:rPr>
              <w:t>ug/L</w:t>
            </w:r>
          </w:p>
        </w:tc>
        <w:tc>
          <w:tcPr>
            <w:tcW w:w="878" w:type="dxa"/>
            <w:tcBorders>
              <w:top w:val="single" w:sz="4" w:space="0" w:color="000000"/>
              <w:left w:val="single" w:sz="12" w:space="0" w:color="000000"/>
              <w:bottom w:val="single" w:sz="4" w:space="0" w:color="000000"/>
              <w:right w:val="single" w:sz="12" w:space="0" w:color="000000"/>
            </w:tcBorders>
          </w:tcPr>
          <w:p w14:paraId="71C1D332" w14:textId="38E8E56E" w:rsidR="000A75F9" w:rsidRDefault="000A75F9" w:rsidP="00A63D72">
            <w:pPr>
              <w:spacing w:after="0" w:line="259" w:lineRule="auto"/>
              <w:ind w:left="0" w:right="36" w:firstLine="0"/>
              <w:jc w:val="center"/>
            </w:pPr>
            <w:r>
              <w:rPr>
                <w:sz w:val="18"/>
              </w:rPr>
              <w:t>N/A</w:t>
            </w:r>
          </w:p>
        </w:tc>
        <w:tc>
          <w:tcPr>
            <w:tcW w:w="1075" w:type="dxa"/>
            <w:tcBorders>
              <w:top w:val="single" w:sz="4" w:space="0" w:color="000000"/>
              <w:left w:val="single" w:sz="12" w:space="0" w:color="000000"/>
              <w:bottom w:val="single" w:sz="4" w:space="0" w:color="000000"/>
              <w:right w:val="single" w:sz="12" w:space="0" w:color="000000"/>
            </w:tcBorders>
          </w:tcPr>
          <w:p w14:paraId="33D023F2" w14:textId="59B677C7" w:rsidR="000A75F9" w:rsidRDefault="000A75F9" w:rsidP="00A63D72">
            <w:pPr>
              <w:spacing w:after="0" w:line="259" w:lineRule="auto"/>
              <w:ind w:left="0" w:right="40" w:firstLine="0"/>
              <w:jc w:val="center"/>
            </w:pPr>
            <w:r>
              <w:rPr>
                <w:sz w:val="18"/>
              </w:rPr>
              <w:t>N/A</w:t>
            </w:r>
          </w:p>
        </w:tc>
        <w:tc>
          <w:tcPr>
            <w:tcW w:w="702" w:type="dxa"/>
            <w:tcBorders>
              <w:top w:val="single" w:sz="4" w:space="0" w:color="000000"/>
              <w:left w:val="single" w:sz="12" w:space="0" w:color="000000"/>
              <w:bottom w:val="single" w:sz="4" w:space="0" w:color="000000"/>
              <w:right w:val="single" w:sz="12" w:space="0" w:color="000000"/>
            </w:tcBorders>
          </w:tcPr>
          <w:p w14:paraId="52FFBB47" w14:textId="481DE21D" w:rsidR="000A75F9" w:rsidRPr="00E6685C" w:rsidRDefault="000A75F9" w:rsidP="001C27CB">
            <w:pPr>
              <w:spacing w:after="0" w:line="259" w:lineRule="auto"/>
              <w:ind w:left="94" w:right="0" w:firstLine="0"/>
              <w:rPr>
                <w:bCs/>
              </w:rPr>
            </w:pPr>
            <w:r w:rsidRPr="00E6685C">
              <w:rPr>
                <w:bCs/>
                <w:sz w:val="18"/>
              </w:rPr>
              <w:t>1625</w:t>
            </w:r>
          </w:p>
        </w:tc>
        <w:tc>
          <w:tcPr>
            <w:tcW w:w="720" w:type="dxa"/>
            <w:tcBorders>
              <w:top w:val="single" w:sz="4" w:space="0" w:color="000000"/>
              <w:left w:val="single" w:sz="12" w:space="0" w:color="000000"/>
              <w:bottom w:val="single" w:sz="4" w:space="0" w:color="000000"/>
              <w:right w:val="single" w:sz="12" w:space="0" w:color="000000"/>
            </w:tcBorders>
          </w:tcPr>
          <w:p w14:paraId="37C06DC2" w14:textId="3D783DB0" w:rsidR="000A75F9" w:rsidRPr="00E6685C" w:rsidRDefault="000A75F9" w:rsidP="00A63D72">
            <w:pPr>
              <w:spacing w:after="0" w:line="259" w:lineRule="auto"/>
              <w:ind w:left="7" w:right="0" w:firstLine="0"/>
              <w:jc w:val="center"/>
              <w:rPr>
                <w:bCs/>
              </w:rPr>
            </w:pPr>
          </w:p>
        </w:tc>
        <w:tc>
          <w:tcPr>
            <w:tcW w:w="720" w:type="dxa"/>
            <w:tcBorders>
              <w:top w:val="single" w:sz="4" w:space="0" w:color="000000"/>
              <w:left w:val="single" w:sz="12" w:space="0" w:color="000000"/>
              <w:bottom w:val="single" w:sz="4" w:space="0" w:color="000000"/>
              <w:right w:val="single" w:sz="12" w:space="0" w:color="000000"/>
            </w:tcBorders>
          </w:tcPr>
          <w:p w14:paraId="6C3F7295" w14:textId="48E369E5" w:rsidR="000A75F9" w:rsidRPr="00E6685C" w:rsidRDefault="000A75F9" w:rsidP="00DC2064">
            <w:pPr>
              <w:spacing w:after="0" w:line="259" w:lineRule="auto"/>
              <w:ind w:left="9" w:right="0" w:firstLine="0"/>
              <w:rPr>
                <w:bCs/>
              </w:rPr>
            </w:pPr>
          </w:p>
        </w:tc>
      </w:tr>
      <w:tr w:rsidR="000A75F9" w14:paraId="2A6B08BC" w14:textId="77777777" w:rsidTr="00C23B62">
        <w:trPr>
          <w:trHeight w:val="250"/>
        </w:trPr>
        <w:tc>
          <w:tcPr>
            <w:tcW w:w="3406" w:type="dxa"/>
            <w:tcBorders>
              <w:top w:val="single" w:sz="4" w:space="0" w:color="000000"/>
              <w:left w:val="single" w:sz="12" w:space="0" w:color="000000"/>
              <w:bottom w:val="single" w:sz="4" w:space="0" w:color="000000"/>
              <w:right w:val="single" w:sz="12" w:space="0" w:color="000000"/>
            </w:tcBorders>
          </w:tcPr>
          <w:p w14:paraId="14CC9DCF" w14:textId="77777777" w:rsidR="000A75F9" w:rsidRDefault="000A75F9" w:rsidP="000A75F9">
            <w:pPr>
              <w:spacing w:after="0" w:line="259" w:lineRule="auto"/>
              <w:ind w:left="2" w:right="0" w:firstLine="0"/>
            </w:pPr>
            <w:r>
              <w:rPr>
                <w:sz w:val="18"/>
              </w:rPr>
              <w:t>2-Nitroaniline</w:t>
            </w:r>
            <w:r>
              <w:rPr>
                <w:b/>
                <w:sz w:val="18"/>
              </w:rPr>
              <w:t xml:space="preserve"> </w:t>
            </w:r>
          </w:p>
        </w:tc>
        <w:tc>
          <w:tcPr>
            <w:tcW w:w="1367" w:type="dxa"/>
            <w:tcBorders>
              <w:top w:val="single" w:sz="4" w:space="0" w:color="000000"/>
              <w:left w:val="single" w:sz="12" w:space="0" w:color="000000"/>
              <w:bottom w:val="single" w:sz="4" w:space="0" w:color="000000"/>
              <w:right w:val="single" w:sz="12" w:space="0" w:color="000000"/>
            </w:tcBorders>
          </w:tcPr>
          <w:p w14:paraId="08CECB7F" w14:textId="576251AE" w:rsidR="000A75F9" w:rsidRDefault="000A75F9" w:rsidP="00A63D72">
            <w:pPr>
              <w:spacing w:after="0" w:line="259" w:lineRule="auto"/>
              <w:ind w:left="0" w:right="35" w:firstLine="0"/>
              <w:jc w:val="center"/>
            </w:pPr>
            <w:r>
              <w:rPr>
                <w:sz w:val="18"/>
              </w:rPr>
              <w:t>88-74-4</w:t>
            </w:r>
          </w:p>
        </w:tc>
        <w:tc>
          <w:tcPr>
            <w:tcW w:w="781" w:type="dxa"/>
            <w:tcBorders>
              <w:top w:val="single" w:sz="4" w:space="0" w:color="000000"/>
              <w:left w:val="single" w:sz="12" w:space="0" w:color="000000"/>
              <w:bottom w:val="single" w:sz="4" w:space="0" w:color="000000"/>
              <w:right w:val="single" w:sz="12" w:space="0" w:color="000000"/>
            </w:tcBorders>
          </w:tcPr>
          <w:p w14:paraId="00616A95" w14:textId="71E451BB" w:rsidR="000A75F9" w:rsidRDefault="000A75F9" w:rsidP="00A63D72">
            <w:pPr>
              <w:tabs>
                <w:tab w:val="center" w:pos="354"/>
              </w:tabs>
              <w:spacing w:after="0" w:line="259" w:lineRule="auto"/>
              <w:ind w:left="0" w:right="0" w:firstLine="0"/>
              <w:jc w:val="center"/>
            </w:pPr>
            <w:r>
              <w:rPr>
                <w:b/>
                <w:sz w:val="18"/>
              </w:rPr>
              <w:t>2</w:t>
            </w:r>
          </w:p>
        </w:tc>
        <w:tc>
          <w:tcPr>
            <w:tcW w:w="881" w:type="dxa"/>
            <w:tcBorders>
              <w:top w:val="single" w:sz="4" w:space="0" w:color="000000"/>
              <w:left w:val="single" w:sz="12" w:space="0" w:color="000000"/>
              <w:bottom w:val="single" w:sz="4" w:space="0" w:color="000000"/>
              <w:right w:val="single" w:sz="12" w:space="0" w:color="000000"/>
            </w:tcBorders>
          </w:tcPr>
          <w:p w14:paraId="34428662" w14:textId="5F2064C0" w:rsidR="000A75F9" w:rsidRDefault="000A75F9" w:rsidP="00A63D72">
            <w:pPr>
              <w:spacing w:after="0" w:line="259" w:lineRule="auto"/>
              <w:ind w:left="0" w:right="40" w:firstLine="0"/>
              <w:jc w:val="center"/>
            </w:pPr>
            <w:r>
              <w:rPr>
                <w:sz w:val="18"/>
              </w:rPr>
              <w:t>ug/L</w:t>
            </w:r>
          </w:p>
        </w:tc>
        <w:tc>
          <w:tcPr>
            <w:tcW w:w="878" w:type="dxa"/>
            <w:tcBorders>
              <w:top w:val="single" w:sz="4" w:space="0" w:color="000000"/>
              <w:left w:val="single" w:sz="12" w:space="0" w:color="000000"/>
              <w:bottom w:val="single" w:sz="4" w:space="0" w:color="000000"/>
              <w:right w:val="single" w:sz="12" w:space="0" w:color="000000"/>
            </w:tcBorders>
          </w:tcPr>
          <w:p w14:paraId="772A368A" w14:textId="78C5F04A" w:rsidR="000A75F9" w:rsidRDefault="000A75F9" w:rsidP="00A63D72">
            <w:pPr>
              <w:spacing w:after="0" w:line="259" w:lineRule="auto"/>
              <w:ind w:left="0" w:right="36" w:firstLine="0"/>
              <w:jc w:val="center"/>
            </w:pPr>
            <w:r>
              <w:rPr>
                <w:sz w:val="18"/>
              </w:rPr>
              <w:t>N/A</w:t>
            </w:r>
          </w:p>
        </w:tc>
        <w:tc>
          <w:tcPr>
            <w:tcW w:w="1075" w:type="dxa"/>
            <w:tcBorders>
              <w:top w:val="single" w:sz="4" w:space="0" w:color="000000"/>
              <w:left w:val="single" w:sz="12" w:space="0" w:color="000000"/>
              <w:bottom w:val="single" w:sz="4" w:space="0" w:color="000000"/>
              <w:right w:val="single" w:sz="12" w:space="0" w:color="000000"/>
            </w:tcBorders>
          </w:tcPr>
          <w:p w14:paraId="297B4BAA" w14:textId="5CA03F37" w:rsidR="000A75F9" w:rsidRDefault="000A75F9" w:rsidP="00A63D72">
            <w:pPr>
              <w:spacing w:after="0" w:line="259" w:lineRule="auto"/>
              <w:ind w:left="0" w:right="40" w:firstLine="0"/>
              <w:jc w:val="center"/>
            </w:pPr>
            <w:r>
              <w:rPr>
                <w:sz w:val="18"/>
              </w:rPr>
              <w:t>N/A</w:t>
            </w:r>
          </w:p>
        </w:tc>
        <w:tc>
          <w:tcPr>
            <w:tcW w:w="702" w:type="dxa"/>
            <w:tcBorders>
              <w:top w:val="single" w:sz="4" w:space="0" w:color="000000"/>
              <w:left w:val="single" w:sz="12" w:space="0" w:color="000000"/>
              <w:bottom w:val="single" w:sz="4" w:space="0" w:color="000000"/>
              <w:right w:val="single" w:sz="12" w:space="0" w:color="000000"/>
            </w:tcBorders>
          </w:tcPr>
          <w:p w14:paraId="7A127239" w14:textId="0AA61666" w:rsidR="000A75F9" w:rsidRPr="00E6685C" w:rsidRDefault="000A75F9" w:rsidP="001C27CB">
            <w:pPr>
              <w:spacing w:after="0" w:line="259" w:lineRule="auto"/>
              <w:ind w:left="94" w:right="0" w:firstLine="0"/>
              <w:rPr>
                <w:bCs/>
              </w:rPr>
            </w:pPr>
            <w:r w:rsidRPr="00E6685C">
              <w:rPr>
                <w:bCs/>
                <w:sz w:val="18"/>
              </w:rPr>
              <w:t>1625</w:t>
            </w:r>
          </w:p>
        </w:tc>
        <w:tc>
          <w:tcPr>
            <w:tcW w:w="720" w:type="dxa"/>
            <w:tcBorders>
              <w:top w:val="single" w:sz="4" w:space="0" w:color="000000"/>
              <w:left w:val="single" w:sz="12" w:space="0" w:color="000000"/>
              <w:bottom w:val="single" w:sz="4" w:space="0" w:color="000000"/>
              <w:right w:val="single" w:sz="12" w:space="0" w:color="000000"/>
            </w:tcBorders>
          </w:tcPr>
          <w:p w14:paraId="30B50120" w14:textId="20B5EC5F" w:rsidR="000A75F9" w:rsidRPr="00E6685C" w:rsidRDefault="000A75F9" w:rsidP="00A63D72">
            <w:pPr>
              <w:spacing w:after="0" w:line="259" w:lineRule="auto"/>
              <w:ind w:left="7" w:right="0" w:firstLine="0"/>
              <w:jc w:val="center"/>
              <w:rPr>
                <w:bCs/>
              </w:rPr>
            </w:pPr>
          </w:p>
        </w:tc>
        <w:tc>
          <w:tcPr>
            <w:tcW w:w="720" w:type="dxa"/>
            <w:tcBorders>
              <w:top w:val="single" w:sz="4" w:space="0" w:color="000000"/>
              <w:left w:val="single" w:sz="12" w:space="0" w:color="000000"/>
              <w:bottom w:val="single" w:sz="4" w:space="0" w:color="000000"/>
              <w:right w:val="single" w:sz="12" w:space="0" w:color="000000"/>
            </w:tcBorders>
          </w:tcPr>
          <w:p w14:paraId="2AF8EB63" w14:textId="7E39BD84" w:rsidR="000A75F9" w:rsidRPr="00E6685C" w:rsidRDefault="000A75F9" w:rsidP="00DC2064">
            <w:pPr>
              <w:spacing w:after="0" w:line="259" w:lineRule="auto"/>
              <w:ind w:left="9" w:right="0" w:firstLine="0"/>
              <w:rPr>
                <w:bCs/>
              </w:rPr>
            </w:pPr>
          </w:p>
        </w:tc>
      </w:tr>
      <w:tr w:rsidR="000A75F9" w14:paraId="06AAD4D7" w14:textId="77777777" w:rsidTr="00C23B62">
        <w:trPr>
          <w:trHeight w:val="250"/>
        </w:trPr>
        <w:tc>
          <w:tcPr>
            <w:tcW w:w="3406" w:type="dxa"/>
            <w:tcBorders>
              <w:top w:val="single" w:sz="4" w:space="0" w:color="000000"/>
              <w:left w:val="single" w:sz="12" w:space="0" w:color="000000"/>
              <w:bottom w:val="single" w:sz="4" w:space="0" w:color="000000"/>
              <w:right w:val="single" w:sz="12" w:space="0" w:color="000000"/>
            </w:tcBorders>
          </w:tcPr>
          <w:p w14:paraId="673AF0FB" w14:textId="77777777" w:rsidR="000A75F9" w:rsidRDefault="000A75F9" w:rsidP="000A75F9">
            <w:pPr>
              <w:spacing w:after="0" w:line="259" w:lineRule="auto"/>
              <w:ind w:left="2" w:right="0" w:firstLine="0"/>
            </w:pPr>
            <w:r>
              <w:rPr>
                <w:sz w:val="18"/>
              </w:rPr>
              <w:t>N-</w:t>
            </w:r>
            <w:proofErr w:type="spellStart"/>
            <w:r>
              <w:rPr>
                <w:sz w:val="18"/>
              </w:rPr>
              <w:t>Nitrosodiphenylamine</w:t>
            </w:r>
            <w:proofErr w:type="spellEnd"/>
            <w:r>
              <w:rPr>
                <w:sz w:val="18"/>
              </w:rPr>
              <w:t xml:space="preserve"> </w:t>
            </w:r>
          </w:p>
        </w:tc>
        <w:tc>
          <w:tcPr>
            <w:tcW w:w="1367" w:type="dxa"/>
            <w:tcBorders>
              <w:top w:val="single" w:sz="4" w:space="0" w:color="000000"/>
              <w:left w:val="single" w:sz="12" w:space="0" w:color="000000"/>
              <w:bottom w:val="single" w:sz="4" w:space="0" w:color="000000"/>
              <w:right w:val="single" w:sz="12" w:space="0" w:color="000000"/>
            </w:tcBorders>
          </w:tcPr>
          <w:p w14:paraId="5B3BC179" w14:textId="08287C53" w:rsidR="000A75F9" w:rsidRDefault="000A75F9" w:rsidP="00A63D72">
            <w:pPr>
              <w:spacing w:after="0" w:line="259" w:lineRule="auto"/>
              <w:ind w:left="0" w:right="35" w:firstLine="0"/>
              <w:jc w:val="center"/>
            </w:pPr>
            <w:r>
              <w:rPr>
                <w:sz w:val="18"/>
              </w:rPr>
              <w:t>86-30-6</w:t>
            </w:r>
          </w:p>
        </w:tc>
        <w:tc>
          <w:tcPr>
            <w:tcW w:w="781" w:type="dxa"/>
            <w:tcBorders>
              <w:top w:val="single" w:sz="4" w:space="0" w:color="000000"/>
              <w:left w:val="single" w:sz="12" w:space="0" w:color="000000"/>
              <w:bottom w:val="single" w:sz="4" w:space="0" w:color="000000"/>
              <w:right w:val="single" w:sz="12" w:space="0" w:color="000000"/>
            </w:tcBorders>
          </w:tcPr>
          <w:p w14:paraId="1E7A1534" w14:textId="143629F0" w:rsidR="000A75F9" w:rsidRDefault="000A75F9" w:rsidP="00A63D72">
            <w:pPr>
              <w:tabs>
                <w:tab w:val="center" w:pos="308"/>
              </w:tabs>
              <w:spacing w:after="0" w:line="259" w:lineRule="auto"/>
              <w:ind w:left="0" w:right="0" w:firstLine="0"/>
              <w:jc w:val="center"/>
            </w:pPr>
            <w:r>
              <w:rPr>
                <w:sz w:val="18"/>
              </w:rPr>
              <w:t>10</w:t>
            </w:r>
          </w:p>
        </w:tc>
        <w:tc>
          <w:tcPr>
            <w:tcW w:w="881" w:type="dxa"/>
            <w:tcBorders>
              <w:top w:val="single" w:sz="4" w:space="0" w:color="000000"/>
              <w:left w:val="single" w:sz="12" w:space="0" w:color="000000"/>
              <w:bottom w:val="single" w:sz="4" w:space="0" w:color="000000"/>
              <w:right w:val="single" w:sz="12" w:space="0" w:color="000000"/>
            </w:tcBorders>
          </w:tcPr>
          <w:p w14:paraId="4C8C21FD" w14:textId="7CF38EFC" w:rsidR="000A75F9" w:rsidRDefault="000A75F9" w:rsidP="00A63D72">
            <w:pPr>
              <w:spacing w:after="0" w:line="259" w:lineRule="auto"/>
              <w:ind w:left="0" w:right="40" w:firstLine="0"/>
              <w:jc w:val="center"/>
            </w:pPr>
            <w:r>
              <w:rPr>
                <w:sz w:val="18"/>
              </w:rPr>
              <w:t>ug/L</w:t>
            </w:r>
          </w:p>
        </w:tc>
        <w:tc>
          <w:tcPr>
            <w:tcW w:w="878" w:type="dxa"/>
            <w:tcBorders>
              <w:top w:val="single" w:sz="4" w:space="0" w:color="000000"/>
              <w:left w:val="single" w:sz="12" w:space="0" w:color="000000"/>
              <w:bottom w:val="single" w:sz="4" w:space="0" w:color="000000"/>
              <w:right w:val="single" w:sz="12" w:space="0" w:color="000000"/>
            </w:tcBorders>
          </w:tcPr>
          <w:p w14:paraId="3700C64B" w14:textId="26C15F98" w:rsidR="000A75F9" w:rsidRDefault="000A75F9" w:rsidP="00A63D72">
            <w:pPr>
              <w:spacing w:after="0" w:line="259" w:lineRule="auto"/>
              <w:ind w:left="0" w:right="36" w:firstLine="0"/>
              <w:jc w:val="center"/>
            </w:pPr>
            <w:r>
              <w:rPr>
                <w:sz w:val="18"/>
              </w:rPr>
              <w:t>N/A</w:t>
            </w:r>
          </w:p>
        </w:tc>
        <w:tc>
          <w:tcPr>
            <w:tcW w:w="1075" w:type="dxa"/>
            <w:tcBorders>
              <w:top w:val="single" w:sz="4" w:space="0" w:color="000000"/>
              <w:left w:val="single" w:sz="12" w:space="0" w:color="000000"/>
              <w:bottom w:val="single" w:sz="4" w:space="0" w:color="000000"/>
              <w:right w:val="single" w:sz="12" w:space="0" w:color="000000"/>
            </w:tcBorders>
          </w:tcPr>
          <w:p w14:paraId="33C40DDA" w14:textId="637D2268" w:rsidR="000A75F9" w:rsidRDefault="000A75F9" w:rsidP="00A63D72">
            <w:pPr>
              <w:spacing w:after="0" w:line="259" w:lineRule="auto"/>
              <w:ind w:left="0" w:right="40" w:firstLine="0"/>
              <w:jc w:val="center"/>
            </w:pPr>
            <w:r>
              <w:rPr>
                <w:sz w:val="18"/>
              </w:rPr>
              <w:t>N/A</w:t>
            </w:r>
          </w:p>
        </w:tc>
        <w:tc>
          <w:tcPr>
            <w:tcW w:w="702" w:type="dxa"/>
            <w:tcBorders>
              <w:top w:val="single" w:sz="4" w:space="0" w:color="000000"/>
              <w:left w:val="single" w:sz="12" w:space="0" w:color="000000"/>
              <w:bottom w:val="single" w:sz="4" w:space="0" w:color="000000"/>
              <w:right w:val="single" w:sz="12" w:space="0" w:color="000000"/>
            </w:tcBorders>
          </w:tcPr>
          <w:p w14:paraId="03543F89" w14:textId="529DE7F7" w:rsidR="000A75F9" w:rsidRPr="00E6685C" w:rsidRDefault="000A75F9" w:rsidP="001C27CB">
            <w:pPr>
              <w:spacing w:after="0" w:line="259" w:lineRule="auto"/>
              <w:ind w:left="94" w:right="0" w:firstLine="0"/>
              <w:rPr>
                <w:bCs/>
              </w:rPr>
            </w:pPr>
            <w:r w:rsidRPr="00E6685C">
              <w:rPr>
                <w:bCs/>
                <w:sz w:val="18"/>
              </w:rPr>
              <w:t>1625</w:t>
            </w:r>
          </w:p>
        </w:tc>
        <w:tc>
          <w:tcPr>
            <w:tcW w:w="720" w:type="dxa"/>
            <w:tcBorders>
              <w:top w:val="single" w:sz="4" w:space="0" w:color="000000"/>
              <w:left w:val="single" w:sz="12" w:space="0" w:color="000000"/>
              <w:bottom w:val="single" w:sz="4" w:space="0" w:color="000000"/>
              <w:right w:val="single" w:sz="12" w:space="0" w:color="000000"/>
            </w:tcBorders>
          </w:tcPr>
          <w:p w14:paraId="52162E5B" w14:textId="0ED8D60F" w:rsidR="000A75F9" w:rsidRPr="00E6685C" w:rsidRDefault="000A75F9" w:rsidP="00A63D72">
            <w:pPr>
              <w:spacing w:after="0" w:line="259" w:lineRule="auto"/>
              <w:ind w:left="0" w:right="40" w:firstLine="0"/>
              <w:jc w:val="center"/>
              <w:rPr>
                <w:bCs/>
              </w:rPr>
            </w:pPr>
            <w:r w:rsidRPr="00E6685C">
              <w:rPr>
                <w:bCs/>
                <w:sz w:val="18"/>
              </w:rPr>
              <w:t>607</w:t>
            </w:r>
          </w:p>
        </w:tc>
        <w:tc>
          <w:tcPr>
            <w:tcW w:w="720" w:type="dxa"/>
            <w:tcBorders>
              <w:top w:val="single" w:sz="4" w:space="0" w:color="000000"/>
              <w:left w:val="single" w:sz="12" w:space="0" w:color="000000"/>
              <w:bottom w:val="single" w:sz="4" w:space="0" w:color="000000"/>
              <w:right w:val="single" w:sz="12" w:space="0" w:color="000000"/>
            </w:tcBorders>
          </w:tcPr>
          <w:p w14:paraId="37FD2CC2" w14:textId="2F98C36F" w:rsidR="000A75F9" w:rsidRPr="00E6685C" w:rsidRDefault="000A75F9" w:rsidP="00A63D72">
            <w:pPr>
              <w:spacing w:after="0" w:line="259" w:lineRule="auto"/>
              <w:ind w:left="0" w:right="37" w:firstLine="0"/>
              <w:jc w:val="center"/>
              <w:rPr>
                <w:bCs/>
              </w:rPr>
            </w:pPr>
            <w:r w:rsidRPr="00E6685C">
              <w:rPr>
                <w:bCs/>
                <w:sz w:val="18"/>
              </w:rPr>
              <w:t>625</w:t>
            </w:r>
          </w:p>
        </w:tc>
      </w:tr>
      <w:tr w:rsidR="000A75F9" w14:paraId="4BC5CB8E" w14:textId="77777777" w:rsidTr="00C23B62">
        <w:trPr>
          <w:trHeight w:val="250"/>
        </w:trPr>
        <w:tc>
          <w:tcPr>
            <w:tcW w:w="3406" w:type="dxa"/>
            <w:tcBorders>
              <w:top w:val="single" w:sz="4" w:space="0" w:color="000000"/>
              <w:left w:val="single" w:sz="12" w:space="0" w:color="000000"/>
              <w:bottom w:val="single" w:sz="4" w:space="0" w:color="000000"/>
              <w:right w:val="single" w:sz="12" w:space="0" w:color="000000"/>
            </w:tcBorders>
          </w:tcPr>
          <w:p w14:paraId="62B3DEB8" w14:textId="77777777" w:rsidR="000A75F9" w:rsidRDefault="000A75F9" w:rsidP="000A75F9">
            <w:pPr>
              <w:spacing w:after="0" w:line="259" w:lineRule="auto"/>
              <w:ind w:left="2" w:right="0" w:firstLine="0"/>
            </w:pPr>
            <w:r>
              <w:rPr>
                <w:sz w:val="18"/>
              </w:rPr>
              <w:t>N-Nitroso-di-n-propylamine</w:t>
            </w:r>
            <w:r>
              <w:rPr>
                <w:b/>
                <w:sz w:val="18"/>
              </w:rPr>
              <w:t xml:space="preserve"> </w:t>
            </w:r>
          </w:p>
        </w:tc>
        <w:tc>
          <w:tcPr>
            <w:tcW w:w="1367" w:type="dxa"/>
            <w:tcBorders>
              <w:top w:val="single" w:sz="4" w:space="0" w:color="000000"/>
              <w:left w:val="single" w:sz="12" w:space="0" w:color="000000"/>
              <w:bottom w:val="single" w:sz="4" w:space="0" w:color="000000"/>
              <w:right w:val="single" w:sz="12" w:space="0" w:color="000000"/>
            </w:tcBorders>
          </w:tcPr>
          <w:p w14:paraId="297435E7" w14:textId="128E45D4" w:rsidR="000A75F9" w:rsidRDefault="000A75F9" w:rsidP="00A63D72">
            <w:pPr>
              <w:spacing w:after="0" w:line="259" w:lineRule="auto"/>
              <w:ind w:left="0" w:right="35" w:firstLine="0"/>
              <w:jc w:val="center"/>
            </w:pPr>
            <w:r>
              <w:rPr>
                <w:sz w:val="18"/>
              </w:rPr>
              <w:t>621-64-7</w:t>
            </w:r>
          </w:p>
        </w:tc>
        <w:tc>
          <w:tcPr>
            <w:tcW w:w="781" w:type="dxa"/>
            <w:tcBorders>
              <w:top w:val="single" w:sz="4" w:space="0" w:color="000000"/>
              <w:left w:val="single" w:sz="12" w:space="0" w:color="000000"/>
              <w:bottom w:val="single" w:sz="4" w:space="0" w:color="000000"/>
              <w:right w:val="single" w:sz="12" w:space="0" w:color="000000"/>
            </w:tcBorders>
          </w:tcPr>
          <w:p w14:paraId="6A449876" w14:textId="77199AF2" w:rsidR="000A75F9" w:rsidRDefault="000A75F9" w:rsidP="00A63D72">
            <w:pPr>
              <w:tabs>
                <w:tab w:val="center" w:pos="399"/>
              </w:tabs>
              <w:spacing w:after="0" w:line="259" w:lineRule="auto"/>
              <w:ind w:left="0" w:right="0" w:firstLine="0"/>
              <w:jc w:val="center"/>
            </w:pPr>
            <w:r>
              <w:rPr>
                <w:b/>
                <w:sz w:val="18"/>
              </w:rPr>
              <w:t>0.5</w:t>
            </w:r>
          </w:p>
        </w:tc>
        <w:tc>
          <w:tcPr>
            <w:tcW w:w="881" w:type="dxa"/>
            <w:tcBorders>
              <w:top w:val="single" w:sz="4" w:space="0" w:color="000000"/>
              <w:left w:val="single" w:sz="12" w:space="0" w:color="000000"/>
              <w:bottom w:val="single" w:sz="4" w:space="0" w:color="000000"/>
              <w:right w:val="single" w:sz="12" w:space="0" w:color="000000"/>
            </w:tcBorders>
          </w:tcPr>
          <w:p w14:paraId="6499D3E3" w14:textId="2C5A3A50" w:rsidR="000A75F9" w:rsidRDefault="000A75F9" w:rsidP="00A63D72">
            <w:pPr>
              <w:spacing w:after="0" w:line="259" w:lineRule="auto"/>
              <w:ind w:left="0" w:right="40" w:firstLine="0"/>
              <w:jc w:val="center"/>
            </w:pPr>
            <w:r>
              <w:rPr>
                <w:sz w:val="18"/>
              </w:rPr>
              <w:t>ug/L</w:t>
            </w:r>
          </w:p>
        </w:tc>
        <w:tc>
          <w:tcPr>
            <w:tcW w:w="878" w:type="dxa"/>
            <w:tcBorders>
              <w:top w:val="single" w:sz="4" w:space="0" w:color="000000"/>
              <w:left w:val="single" w:sz="12" w:space="0" w:color="000000"/>
              <w:bottom w:val="single" w:sz="4" w:space="0" w:color="000000"/>
              <w:right w:val="single" w:sz="12" w:space="0" w:color="000000"/>
            </w:tcBorders>
          </w:tcPr>
          <w:p w14:paraId="7C629051" w14:textId="1C7BE768" w:rsidR="000A75F9" w:rsidRDefault="000A75F9" w:rsidP="00A63D72">
            <w:pPr>
              <w:spacing w:after="0" w:line="259" w:lineRule="auto"/>
              <w:ind w:left="0" w:right="36" w:firstLine="0"/>
              <w:jc w:val="center"/>
            </w:pPr>
            <w:r>
              <w:rPr>
                <w:sz w:val="18"/>
              </w:rPr>
              <w:t>N/A</w:t>
            </w:r>
          </w:p>
        </w:tc>
        <w:tc>
          <w:tcPr>
            <w:tcW w:w="1075" w:type="dxa"/>
            <w:tcBorders>
              <w:top w:val="single" w:sz="4" w:space="0" w:color="000000"/>
              <w:left w:val="single" w:sz="12" w:space="0" w:color="000000"/>
              <w:bottom w:val="single" w:sz="4" w:space="0" w:color="000000"/>
              <w:right w:val="single" w:sz="12" w:space="0" w:color="000000"/>
            </w:tcBorders>
          </w:tcPr>
          <w:p w14:paraId="6C475FFF" w14:textId="58693A2D" w:rsidR="000A75F9" w:rsidRDefault="000A75F9" w:rsidP="00A63D72">
            <w:pPr>
              <w:spacing w:after="0" w:line="259" w:lineRule="auto"/>
              <w:ind w:left="0" w:right="40" w:firstLine="0"/>
              <w:jc w:val="center"/>
            </w:pPr>
            <w:r>
              <w:rPr>
                <w:sz w:val="18"/>
              </w:rPr>
              <w:t>N/A</w:t>
            </w:r>
          </w:p>
        </w:tc>
        <w:tc>
          <w:tcPr>
            <w:tcW w:w="702" w:type="dxa"/>
            <w:tcBorders>
              <w:top w:val="single" w:sz="4" w:space="0" w:color="000000"/>
              <w:left w:val="single" w:sz="12" w:space="0" w:color="000000"/>
              <w:bottom w:val="single" w:sz="4" w:space="0" w:color="000000"/>
              <w:right w:val="single" w:sz="12" w:space="0" w:color="000000"/>
            </w:tcBorders>
          </w:tcPr>
          <w:p w14:paraId="093A9B1F" w14:textId="57E9AF6E" w:rsidR="000A75F9" w:rsidRPr="00E6685C" w:rsidRDefault="000A75F9" w:rsidP="001C27CB">
            <w:pPr>
              <w:spacing w:after="0" w:line="259" w:lineRule="auto"/>
              <w:ind w:left="98" w:right="0" w:firstLine="0"/>
              <w:rPr>
                <w:bCs/>
              </w:rPr>
            </w:pPr>
            <w:r w:rsidRPr="00E6685C">
              <w:rPr>
                <w:bCs/>
                <w:sz w:val="18"/>
              </w:rPr>
              <w:t>1625</w:t>
            </w:r>
          </w:p>
        </w:tc>
        <w:tc>
          <w:tcPr>
            <w:tcW w:w="720" w:type="dxa"/>
            <w:tcBorders>
              <w:top w:val="single" w:sz="4" w:space="0" w:color="000000"/>
              <w:left w:val="single" w:sz="12" w:space="0" w:color="000000"/>
              <w:bottom w:val="single" w:sz="4" w:space="0" w:color="000000"/>
              <w:right w:val="single" w:sz="12" w:space="0" w:color="000000"/>
            </w:tcBorders>
          </w:tcPr>
          <w:p w14:paraId="285DB3E1" w14:textId="3AFBFC0F" w:rsidR="000A75F9" w:rsidRPr="00E6685C" w:rsidRDefault="000A75F9" w:rsidP="00A63D72">
            <w:pPr>
              <w:spacing w:after="0" w:line="259" w:lineRule="auto"/>
              <w:ind w:left="0" w:right="40" w:firstLine="0"/>
              <w:jc w:val="center"/>
              <w:rPr>
                <w:bCs/>
              </w:rPr>
            </w:pPr>
            <w:r w:rsidRPr="00E6685C">
              <w:rPr>
                <w:bCs/>
                <w:sz w:val="18"/>
              </w:rPr>
              <w:t>607</w:t>
            </w:r>
          </w:p>
        </w:tc>
        <w:tc>
          <w:tcPr>
            <w:tcW w:w="720" w:type="dxa"/>
            <w:tcBorders>
              <w:top w:val="single" w:sz="4" w:space="0" w:color="000000"/>
              <w:left w:val="single" w:sz="12" w:space="0" w:color="000000"/>
              <w:bottom w:val="single" w:sz="4" w:space="0" w:color="000000"/>
              <w:right w:val="single" w:sz="12" w:space="0" w:color="000000"/>
            </w:tcBorders>
          </w:tcPr>
          <w:p w14:paraId="2DCA7A62" w14:textId="700190E8" w:rsidR="000A75F9" w:rsidRPr="00E6685C" w:rsidRDefault="000A75F9" w:rsidP="00A63D72">
            <w:pPr>
              <w:spacing w:after="0" w:line="259" w:lineRule="auto"/>
              <w:ind w:left="0" w:right="37" w:firstLine="0"/>
              <w:jc w:val="center"/>
              <w:rPr>
                <w:bCs/>
              </w:rPr>
            </w:pPr>
            <w:r w:rsidRPr="00E6685C">
              <w:rPr>
                <w:bCs/>
                <w:sz w:val="18"/>
              </w:rPr>
              <w:t>625</w:t>
            </w:r>
          </w:p>
        </w:tc>
      </w:tr>
      <w:tr w:rsidR="000A75F9" w14:paraId="795AC314" w14:textId="77777777" w:rsidTr="00C23B62">
        <w:trPr>
          <w:trHeight w:val="250"/>
        </w:trPr>
        <w:tc>
          <w:tcPr>
            <w:tcW w:w="3406" w:type="dxa"/>
            <w:tcBorders>
              <w:top w:val="single" w:sz="4" w:space="0" w:color="000000"/>
              <w:left w:val="single" w:sz="12" w:space="0" w:color="000000"/>
              <w:bottom w:val="single" w:sz="4" w:space="0" w:color="000000"/>
              <w:right w:val="single" w:sz="12" w:space="0" w:color="000000"/>
            </w:tcBorders>
          </w:tcPr>
          <w:p w14:paraId="7E1EEB23" w14:textId="77777777" w:rsidR="000A75F9" w:rsidRDefault="000A75F9" w:rsidP="000A75F9">
            <w:pPr>
              <w:spacing w:after="0" w:line="259" w:lineRule="auto"/>
              <w:ind w:left="2" w:right="0" w:firstLine="0"/>
            </w:pPr>
            <w:r>
              <w:rPr>
                <w:sz w:val="18"/>
              </w:rPr>
              <w:t>Pentachlorophenol</w:t>
            </w:r>
            <w:r>
              <w:rPr>
                <w:b/>
                <w:sz w:val="18"/>
              </w:rPr>
              <w:t xml:space="preserve"> </w:t>
            </w:r>
          </w:p>
        </w:tc>
        <w:tc>
          <w:tcPr>
            <w:tcW w:w="1367" w:type="dxa"/>
            <w:tcBorders>
              <w:top w:val="single" w:sz="4" w:space="0" w:color="000000"/>
              <w:left w:val="single" w:sz="12" w:space="0" w:color="000000"/>
              <w:bottom w:val="single" w:sz="4" w:space="0" w:color="000000"/>
              <w:right w:val="single" w:sz="12" w:space="0" w:color="000000"/>
            </w:tcBorders>
          </w:tcPr>
          <w:p w14:paraId="032F94C8" w14:textId="0720FCBC" w:rsidR="000A75F9" w:rsidRDefault="000A75F9" w:rsidP="00A63D72">
            <w:pPr>
              <w:spacing w:after="0" w:line="259" w:lineRule="auto"/>
              <w:ind w:left="0" w:right="35" w:firstLine="0"/>
              <w:jc w:val="center"/>
            </w:pPr>
            <w:r>
              <w:rPr>
                <w:sz w:val="18"/>
              </w:rPr>
              <w:t>87-86-5</w:t>
            </w:r>
          </w:p>
        </w:tc>
        <w:tc>
          <w:tcPr>
            <w:tcW w:w="781" w:type="dxa"/>
            <w:tcBorders>
              <w:top w:val="single" w:sz="4" w:space="0" w:color="000000"/>
              <w:left w:val="single" w:sz="12" w:space="0" w:color="000000"/>
              <w:bottom w:val="single" w:sz="4" w:space="0" w:color="000000"/>
              <w:right w:val="single" w:sz="12" w:space="0" w:color="000000"/>
            </w:tcBorders>
          </w:tcPr>
          <w:p w14:paraId="536B61E5" w14:textId="178C73DE" w:rsidR="000A75F9" w:rsidRDefault="000A75F9" w:rsidP="00A63D72">
            <w:pPr>
              <w:tabs>
                <w:tab w:val="center" w:pos="399"/>
              </w:tabs>
              <w:spacing w:after="0" w:line="259" w:lineRule="auto"/>
              <w:ind w:left="0" w:right="0" w:firstLine="0"/>
              <w:jc w:val="center"/>
            </w:pPr>
            <w:r>
              <w:rPr>
                <w:b/>
                <w:sz w:val="18"/>
              </w:rPr>
              <w:t>0.2</w:t>
            </w:r>
          </w:p>
        </w:tc>
        <w:tc>
          <w:tcPr>
            <w:tcW w:w="881" w:type="dxa"/>
            <w:tcBorders>
              <w:top w:val="single" w:sz="4" w:space="0" w:color="000000"/>
              <w:left w:val="single" w:sz="12" w:space="0" w:color="000000"/>
              <w:bottom w:val="single" w:sz="4" w:space="0" w:color="000000"/>
              <w:right w:val="single" w:sz="12" w:space="0" w:color="000000"/>
            </w:tcBorders>
          </w:tcPr>
          <w:p w14:paraId="59977299" w14:textId="0245CEA3" w:rsidR="000A75F9" w:rsidRDefault="000A75F9" w:rsidP="00A63D72">
            <w:pPr>
              <w:spacing w:after="0" w:line="259" w:lineRule="auto"/>
              <w:ind w:left="0" w:right="40" w:firstLine="0"/>
              <w:jc w:val="center"/>
            </w:pPr>
            <w:r>
              <w:rPr>
                <w:sz w:val="18"/>
              </w:rPr>
              <w:t>ug/L</w:t>
            </w:r>
          </w:p>
        </w:tc>
        <w:tc>
          <w:tcPr>
            <w:tcW w:w="878" w:type="dxa"/>
            <w:tcBorders>
              <w:top w:val="single" w:sz="4" w:space="0" w:color="000000"/>
              <w:left w:val="single" w:sz="12" w:space="0" w:color="000000"/>
              <w:bottom w:val="single" w:sz="4" w:space="0" w:color="000000"/>
              <w:right w:val="single" w:sz="12" w:space="0" w:color="000000"/>
            </w:tcBorders>
          </w:tcPr>
          <w:p w14:paraId="22143159" w14:textId="4B150587" w:rsidR="000A75F9" w:rsidRDefault="000A75F9" w:rsidP="00A63D72">
            <w:pPr>
              <w:spacing w:after="0" w:line="259" w:lineRule="auto"/>
              <w:ind w:left="0" w:right="36" w:firstLine="0"/>
              <w:jc w:val="center"/>
            </w:pPr>
            <w:r>
              <w:rPr>
                <w:sz w:val="18"/>
              </w:rPr>
              <w:t>N/A</w:t>
            </w:r>
          </w:p>
        </w:tc>
        <w:tc>
          <w:tcPr>
            <w:tcW w:w="1075" w:type="dxa"/>
            <w:tcBorders>
              <w:top w:val="single" w:sz="4" w:space="0" w:color="000000"/>
              <w:left w:val="single" w:sz="12" w:space="0" w:color="000000"/>
              <w:bottom w:val="single" w:sz="4" w:space="0" w:color="000000"/>
              <w:right w:val="single" w:sz="12" w:space="0" w:color="000000"/>
            </w:tcBorders>
          </w:tcPr>
          <w:p w14:paraId="7BB5EE08" w14:textId="0081DC5F" w:rsidR="000A75F9" w:rsidRDefault="000A75F9" w:rsidP="00A63D72">
            <w:pPr>
              <w:spacing w:after="0" w:line="259" w:lineRule="auto"/>
              <w:ind w:left="0" w:right="40" w:firstLine="0"/>
              <w:jc w:val="center"/>
            </w:pPr>
            <w:r>
              <w:rPr>
                <w:sz w:val="18"/>
              </w:rPr>
              <w:t>N/A</w:t>
            </w:r>
          </w:p>
        </w:tc>
        <w:tc>
          <w:tcPr>
            <w:tcW w:w="702" w:type="dxa"/>
            <w:tcBorders>
              <w:top w:val="single" w:sz="4" w:space="0" w:color="000000"/>
              <w:left w:val="single" w:sz="12" w:space="0" w:color="000000"/>
              <w:bottom w:val="single" w:sz="4" w:space="0" w:color="000000"/>
              <w:right w:val="single" w:sz="12" w:space="0" w:color="000000"/>
            </w:tcBorders>
          </w:tcPr>
          <w:p w14:paraId="0D79ACC9" w14:textId="1837068B" w:rsidR="000A75F9" w:rsidRPr="00E6685C" w:rsidRDefault="00020AD7" w:rsidP="001C27CB">
            <w:pPr>
              <w:spacing w:after="0" w:line="259" w:lineRule="auto"/>
              <w:ind w:left="0" w:right="38" w:firstLine="0"/>
              <w:rPr>
                <w:bCs/>
              </w:rPr>
            </w:pPr>
            <w:r w:rsidRPr="00E6685C">
              <w:rPr>
                <w:bCs/>
                <w:sz w:val="18"/>
              </w:rPr>
              <w:t xml:space="preserve"> </w:t>
            </w:r>
            <w:r w:rsidR="000A75F9" w:rsidRPr="00E6685C">
              <w:rPr>
                <w:bCs/>
                <w:sz w:val="18"/>
              </w:rPr>
              <w:t>515.2</w:t>
            </w:r>
          </w:p>
        </w:tc>
        <w:tc>
          <w:tcPr>
            <w:tcW w:w="720" w:type="dxa"/>
            <w:tcBorders>
              <w:top w:val="single" w:sz="4" w:space="0" w:color="000000"/>
              <w:left w:val="single" w:sz="12" w:space="0" w:color="000000"/>
              <w:bottom w:val="single" w:sz="4" w:space="0" w:color="000000"/>
              <w:right w:val="single" w:sz="12" w:space="0" w:color="000000"/>
            </w:tcBorders>
          </w:tcPr>
          <w:p w14:paraId="0FE64283" w14:textId="012A8734" w:rsidR="000A75F9" w:rsidRPr="00E6685C" w:rsidRDefault="000A75F9" w:rsidP="00A63D72">
            <w:pPr>
              <w:spacing w:after="0" w:line="259" w:lineRule="auto"/>
              <w:ind w:left="67" w:right="0" w:firstLine="0"/>
              <w:jc w:val="center"/>
              <w:rPr>
                <w:bCs/>
              </w:rPr>
            </w:pPr>
            <w:r w:rsidRPr="00E6685C">
              <w:rPr>
                <w:bCs/>
                <w:sz w:val="18"/>
              </w:rPr>
              <w:t>515.1</w:t>
            </w:r>
          </w:p>
        </w:tc>
        <w:tc>
          <w:tcPr>
            <w:tcW w:w="720" w:type="dxa"/>
            <w:tcBorders>
              <w:top w:val="single" w:sz="4" w:space="0" w:color="000000"/>
              <w:left w:val="single" w:sz="12" w:space="0" w:color="000000"/>
              <w:bottom w:val="single" w:sz="4" w:space="0" w:color="000000"/>
              <w:right w:val="single" w:sz="12" w:space="0" w:color="000000"/>
            </w:tcBorders>
          </w:tcPr>
          <w:p w14:paraId="0F924481" w14:textId="0369E2AE" w:rsidR="000A75F9" w:rsidRPr="00E6685C" w:rsidRDefault="000A75F9" w:rsidP="00DC2064">
            <w:pPr>
              <w:spacing w:after="0" w:line="259" w:lineRule="auto"/>
              <w:ind w:left="67" w:right="0" w:firstLine="0"/>
              <w:rPr>
                <w:bCs/>
              </w:rPr>
            </w:pPr>
            <w:r w:rsidRPr="00E6685C">
              <w:rPr>
                <w:bCs/>
                <w:sz w:val="18"/>
              </w:rPr>
              <w:t>525.2</w:t>
            </w:r>
          </w:p>
        </w:tc>
      </w:tr>
      <w:tr w:rsidR="000A75F9" w14:paraId="10566A13" w14:textId="77777777" w:rsidTr="00C23B62">
        <w:trPr>
          <w:trHeight w:val="252"/>
        </w:trPr>
        <w:tc>
          <w:tcPr>
            <w:tcW w:w="3406" w:type="dxa"/>
            <w:tcBorders>
              <w:top w:val="single" w:sz="4" w:space="0" w:color="000000"/>
              <w:left w:val="single" w:sz="12" w:space="0" w:color="000000"/>
              <w:bottom w:val="single" w:sz="4" w:space="0" w:color="000000"/>
              <w:right w:val="single" w:sz="12" w:space="0" w:color="000000"/>
            </w:tcBorders>
          </w:tcPr>
          <w:p w14:paraId="29FADBA4" w14:textId="77777777" w:rsidR="000A75F9" w:rsidRDefault="000A75F9" w:rsidP="000A75F9">
            <w:pPr>
              <w:spacing w:after="0" w:line="259" w:lineRule="auto"/>
              <w:ind w:left="2" w:right="0" w:firstLine="0"/>
            </w:pPr>
            <w:r>
              <w:rPr>
                <w:sz w:val="18"/>
              </w:rPr>
              <w:t xml:space="preserve">Phenol </w:t>
            </w:r>
          </w:p>
        </w:tc>
        <w:tc>
          <w:tcPr>
            <w:tcW w:w="1367" w:type="dxa"/>
            <w:tcBorders>
              <w:top w:val="single" w:sz="4" w:space="0" w:color="000000"/>
              <w:left w:val="single" w:sz="12" w:space="0" w:color="000000"/>
              <w:bottom w:val="single" w:sz="4" w:space="0" w:color="000000"/>
              <w:right w:val="single" w:sz="12" w:space="0" w:color="000000"/>
            </w:tcBorders>
          </w:tcPr>
          <w:p w14:paraId="17C8E258" w14:textId="1029F1A0" w:rsidR="000A75F9" w:rsidRDefault="000A75F9" w:rsidP="00A63D72">
            <w:pPr>
              <w:spacing w:after="0" w:line="259" w:lineRule="auto"/>
              <w:ind w:left="0" w:right="35" w:firstLine="0"/>
              <w:jc w:val="center"/>
            </w:pPr>
            <w:r>
              <w:rPr>
                <w:sz w:val="18"/>
              </w:rPr>
              <w:t>108-95-2</w:t>
            </w:r>
          </w:p>
        </w:tc>
        <w:tc>
          <w:tcPr>
            <w:tcW w:w="781" w:type="dxa"/>
            <w:tcBorders>
              <w:top w:val="single" w:sz="4" w:space="0" w:color="000000"/>
              <w:left w:val="single" w:sz="12" w:space="0" w:color="000000"/>
              <w:bottom w:val="single" w:sz="4" w:space="0" w:color="000000"/>
              <w:right w:val="single" w:sz="12" w:space="0" w:color="000000"/>
            </w:tcBorders>
          </w:tcPr>
          <w:p w14:paraId="10A0138D" w14:textId="34273462" w:rsidR="000A75F9" w:rsidRDefault="000A75F9" w:rsidP="00A63D72">
            <w:pPr>
              <w:tabs>
                <w:tab w:val="center" w:pos="308"/>
              </w:tabs>
              <w:spacing w:after="0" w:line="259" w:lineRule="auto"/>
              <w:ind w:left="0" w:right="0" w:firstLine="0"/>
              <w:jc w:val="center"/>
            </w:pPr>
            <w:r>
              <w:rPr>
                <w:sz w:val="18"/>
              </w:rPr>
              <w:t>10</w:t>
            </w:r>
          </w:p>
        </w:tc>
        <w:tc>
          <w:tcPr>
            <w:tcW w:w="881" w:type="dxa"/>
            <w:tcBorders>
              <w:top w:val="single" w:sz="4" w:space="0" w:color="000000"/>
              <w:left w:val="single" w:sz="12" w:space="0" w:color="000000"/>
              <w:bottom w:val="single" w:sz="4" w:space="0" w:color="000000"/>
              <w:right w:val="single" w:sz="12" w:space="0" w:color="000000"/>
            </w:tcBorders>
          </w:tcPr>
          <w:p w14:paraId="681AC9EF" w14:textId="5F11625A" w:rsidR="000A75F9" w:rsidRDefault="000A75F9" w:rsidP="00A63D72">
            <w:pPr>
              <w:spacing w:after="0" w:line="259" w:lineRule="auto"/>
              <w:ind w:left="0" w:right="40" w:firstLine="0"/>
              <w:jc w:val="center"/>
            </w:pPr>
            <w:r>
              <w:rPr>
                <w:sz w:val="18"/>
              </w:rPr>
              <w:t>ug/L</w:t>
            </w:r>
          </w:p>
        </w:tc>
        <w:tc>
          <w:tcPr>
            <w:tcW w:w="878" w:type="dxa"/>
            <w:tcBorders>
              <w:top w:val="single" w:sz="4" w:space="0" w:color="000000"/>
              <w:left w:val="single" w:sz="12" w:space="0" w:color="000000"/>
              <w:bottom w:val="single" w:sz="4" w:space="0" w:color="000000"/>
              <w:right w:val="single" w:sz="12" w:space="0" w:color="000000"/>
            </w:tcBorders>
          </w:tcPr>
          <w:p w14:paraId="66C1BB20" w14:textId="38F6ECDD" w:rsidR="000A75F9" w:rsidRDefault="000A75F9" w:rsidP="00A63D72">
            <w:pPr>
              <w:spacing w:after="0" w:line="259" w:lineRule="auto"/>
              <w:ind w:left="0" w:right="36" w:firstLine="0"/>
              <w:jc w:val="center"/>
            </w:pPr>
            <w:r>
              <w:rPr>
                <w:sz w:val="18"/>
              </w:rPr>
              <w:t>N/A</w:t>
            </w:r>
          </w:p>
        </w:tc>
        <w:tc>
          <w:tcPr>
            <w:tcW w:w="1075" w:type="dxa"/>
            <w:tcBorders>
              <w:top w:val="single" w:sz="4" w:space="0" w:color="000000"/>
              <w:left w:val="single" w:sz="12" w:space="0" w:color="000000"/>
              <w:bottom w:val="single" w:sz="4" w:space="0" w:color="000000"/>
              <w:right w:val="single" w:sz="12" w:space="0" w:color="000000"/>
            </w:tcBorders>
          </w:tcPr>
          <w:p w14:paraId="3134AAA5" w14:textId="73E9AFC7" w:rsidR="000A75F9" w:rsidRDefault="000A75F9" w:rsidP="00A63D72">
            <w:pPr>
              <w:spacing w:after="0" w:line="259" w:lineRule="auto"/>
              <w:ind w:left="0" w:right="40" w:firstLine="0"/>
              <w:jc w:val="center"/>
            </w:pPr>
            <w:r>
              <w:rPr>
                <w:sz w:val="18"/>
              </w:rPr>
              <w:t>N/A</w:t>
            </w:r>
          </w:p>
        </w:tc>
        <w:tc>
          <w:tcPr>
            <w:tcW w:w="702" w:type="dxa"/>
            <w:tcBorders>
              <w:top w:val="single" w:sz="4" w:space="0" w:color="000000"/>
              <w:left w:val="single" w:sz="12" w:space="0" w:color="000000"/>
              <w:bottom w:val="single" w:sz="4" w:space="0" w:color="000000"/>
              <w:right w:val="single" w:sz="12" w:space="0" w:color="000000"/>
            </w:tcBorders>
          </w:tcPr>
          <w:p w14:paraId="4C83449F" w14:textId="670948CC" w:rsidR="000A75F9" w:rsidRPr="00E6685C" w:rsidRDefault="000A75F9" w:rsidP="001C27CB">
            <w:pPr>
              <w:spacing w:after="0" w:line="259" w:lineRule="auto"/>
              <w:ind w:left="94" w:right="0" w:firstLine="0"/>
              <w:rPr>
                <w:bCs/>
              </w:rPr>
            </w:pPr>
            <w:r w:rsidRPr="00E6685C">
              <w:rPr>
                <w:bCs/>
                <w:sz w:val="18"/>
              </w:rPr>
              <w:t>1625</w:t>
            </w:r>
          </w:p>
        </w:tc>
        <w:tc>
          <w:tcPr>
            <w:tcW w:w="720" w:type="dxa"/>
            <w:tcBorders>
              <w:top w:val="single" w:sz="4" w:space="0" w:color="000000"/>
              <w:left w:val="single" w:sz="12" w:space="0" w:color="000000"/>
              <w:bottom w:val="single" w:sz="4" w:space="0" w:color="000000"/>
              <w:right w:val="single" w:sz="12" w:space="0" w:color="000000"/>
            </w:tcBorders>
          </w:tcPr>
          <w:p w14:paraId="62EC68F1" w14:textId="6A3A9C57" w:rsidR="000A75F9" w:rsidRPr="00E6685C" w:rsidRDefault="000A75F9" w:rsidP="00A63D72">
            <w:pPr>
              <w:spacing w:after="0" w:line="259" w:lineRule="auto"/>
              <w:ind w:left="0" w:right="40" w:firstLine="0"/>
              <w:jc w:val="center"/>
              <w:rPr>
                <w:bCs/>
              </w:rPr>
            </w:pPr>
            <w:r w:rsidRPr="00E6685C">
              <w:rPr>
                <w:bCs/>
                <w:sz w:val="18"/>
              </w:rPr>
              <w:t>604</w:t>
            </w:r>
          </w:p>
        </w:tc>
        <w:tc>
          <w:tcPr>
            <w:tcW w:w="720" w:type="dxa"/>
            <w:tcBorders>
              <w:top w:val="single" w:sz="4" w:space="0" w:color="000000"/>
              <w:left w:val="single" w:sz="12" w:space="0" w:color="000000"/>
              <w:bottom w:val="single" w:sz="4" w:space="0" w:color="000000"/>
              <w:right w:val="single" w:sz="12" w:space="0" w:color="000000"/>
            </w:tcBorders>
          </w:tcPr>
          <w:p w14:paraId="2282D5F2" w14:textId="658C9476" w:rsidR="000A75F9" w:rsidRPr="00E6685C" w:rsidRDefault="000A75F9" w:rsidP="00A63D72">
            <w:pPr>
              <w:spacing w:after="0" w:line="259" w:lineRule="auto"/>
              <w:ind w:left="0" w:right="37" w:firstLine="0"/>
              <w:jc w:val="center"/>
              <w:rPr>
                <w:bCs/>
              </w:rPr>
            </w:pPr>
            <w:r w:rsidRPr="00E6685C">
              <w:rPr>
                <w:bCs/>
                <w:sz w:val="18"/>
              </w:rPr>
              <w:t>625</w:t>
            </w:r>
          </w:p>
        </w:tc>
      </w:tr>
      <w:tr w:rsidR="000A75F9" w14:paraId="0A7907D3" w14:textId="77777777" w:rsidTr="00C23B62">
        <w:trPr>
          <w:trHeight w:val="250"/>
        </w:trPr>
        <w:tc>
          <w:tcPr>
            <w:tcW w:w="3406" w:type="dxa"/>
            <w:tcBorders>
              <w:top w:val="single" w:sz="4" w:space="0" w:color="000000"/>
              <w:left w:val="single" w:sz="12" w:space="0" w:color="000000"/>
              <w:bottom w:val="single" w:sz="4" w:space="0" w:color="000000"/>
              <w:right w:val="single" w:sz="12" w:space="0" w:color="000000"/>
            </w:tcBorders>
          </w:tcPr>
          <w:p w14:paraId="5E30277A" w14:textId="77777777" w:rsidR="000A75F9" w:rsidRDefault="000A75F9" w:rsidP="000A75F9">
            <w:pPr>
              <w:spacing w:after="0" w:line="259" w:lineRule="auto"/>
              <w:ind w:left="2" w:right="0" w:firstLine="0"/>
            </w:pPr>
            <w:r>
              <w:rPr>
                <w:sz w:val="18"/>
              </w:rPr>
              <w:t xml:space="preserve">2,4,5-Trichlorophenol </w:t>
            </w:r>
          </w:p>
        </w:tc>
        <w:tc>
          <w:tcPr>
            <w:tcW w:w="1367" w:type="dxa"/>
            <w:tcBorders>
              <w:top w:val="single" w:sz="4" w:space="0" w:color="000000"/>
              <w:left w:val="single" w:sz="12" w:space="0" w:color="000000"/>
              <w:bottom w:val="single" w:sz="4" w:space="0" w:color="000000"/>
              <w:right w:val="single" w:sz="12" w:space="0" w:color="000000"/>
            </w:tcBorders>
          </w:tcPr>
          <w:p w14:paraId="78676595" w14:textId="5D28716B" w:rsidR="000A75F9" w:rsidRDefault="000A75F9" w:rsidP="00A63D72">
            <w:pPr>
              <w:spacing w:after="0" w:line="259" w:lineRule="auto"/>
              <w:ind w:left="0" w:right="35" w:firstLine="0"/>
              <w:jc w:val="center"/>
            </w:pPr>
            <w:r>
              <w:rPr>
                <w:sz w:val="18"/>
              </w:rPr>
              <w:t>95-95-4</w:t>
            </w:r>
          </w:p>
        </w:tc>
        <w:tc>
          <w:tcPr>
            <w:tcW w:w="781" w:type="dxa"/>
            <w:tcBorders>
              <w:top w:val="single" w:sz="4" w:space="0" w:color="000000"/>
              <w:left w:val="single" w:sz="12" w:space="0" w:color="000000"/>
              <w:bottom w:val="single" w:sz="4" w:space="0" w:color="000000"/>
              <w:right w:val="single" w:sz="12" w:space="0" w:color="000000"/>
            </w:tcBorders>
          </w:tcPr>
          <w:p w14:paraId="31B10568" w14:textId="73940E0E" w:rsidR="000A75F9" w:rsidRDefault="000A75F9" w:rsidP="00A63D72">
            <w:pPr>
              <w:tabs>
                <w:tab w:val="center" w:pos="308"/>
              </w:tabs>
              <w:spacing w:after="0" w:line="259" w:lineRule="auto"/>
              <w:ind w:left="0" w:right="0" w:firstLine="0"/>
              <w:jc w:val="center"/>
            </w:pPr>
            <w:r>
              <w:rPr>
                <w:sz w:val="18"/>
              </w:rPr>
              <w:t>10</w:t>
            </w:r>
          </w:p>
        </w:tc>
        <w:tc>
          <w:tcPr>
            <w:tcW w:w="881" w:type="dxa"/>
            <w:tcBorders>
              <w:top w:val="single" w:sz="4" w:space="0" w:color="000000"/>
              <w:left w:val="single" w:sz="12" w:space="0" w:color="000000"/>
              <w:bottom w:val="single" w:sz="4" w:space="0" w:color="000000"/>
              <w:right w:val="single" w:sz="12" w:space="0" w:color="000000"/>
            </w:tcBorders>
          </w:tcPr>
          <w:p w14:paraId="6F293F6B" w14:textId="11EC166A" w:rsidR="000A75F9" w:rsidRDefault="000A75F9" w:rsidP="00A63D72">
            <w:pPr>
              <w:spacing w:after="0" w:line="259" w:lineRule="auto"/>
              <w:ind w:left="0" w:right="40" w:firstLine="0"/>
              <w:jc w:val="center"/>
            </w:pPr>
            <w:r>
              <w:rPr>
                <w:sz w:val="18"/>
              </w:rPr>
              <w:t>ug/L</w:t>
            </w:r>
          </w:p>
        </w:tc>
        <w:tc>
          <w:tcPr>
            <w:tcW w:w="878" w:type="dxa"/>
            <w:tcBorders>
              <w:top w:val="single" w:sz="4" w:space="0" w:color="000000"/>
              <w:left w:val="single" w:sz="12" w:space="0" w:color="000000"/>
              <w:bottom w:val="single" w:sz="4" w:space="0" w:color="000000"/>
              <w:right w:val="single" w:sz="12" w:space="0" w:color="000000"/>
            </w:tcBorders>
          </w:tcPr>
          <w:p w14:paraId="1C72E781" w14:textId="2924A691" w:rsidR="000A75F9" w:rsidRDefault="000A75F9" w:rsidP="00A63D72">
            <w:pPr>
              <w:spacing w:after="0" w:line="259" w:lineRule="auto"/>
              <w:ind w:left="0" w:right="36" w:firstLine="0"/>
              <w:jc w:val="center"/>
            </w:pPr>
            <w:r>
              <w:rPr>
                <w:sz w:val="18"/>
              </w:rPr>
              <w:t>N/A</w:t>
            </w:r>
          </w:p>
        </w:tc>
        <w:tc>
          <w:tcPr>
            <w:tcW w:w="1075" w:type="dxa"/>
            <w:tcBorders>
              <w:top w:val="single" w:sz="4" w:space="0" w:color="000000"/>
              <w:left w:val="single" w:sz="12" w:space="0" w:color="000000"/>
              <w:bottom w:val="single" w:sz="4" w:space="0" w:color="000000"/>
              <w:right w:val="single" w:sz="12" w:space="0" w:color="000000"/>
            </w:tcBorders>
          </w:tcPr>
          <w:p w14:paraId="7F280E9C" w14:textId="7E16DC24" w:rsidR="000A75F9" w:rsidRDefault="000A75F9" w:rsidP="00A63D72">
            <w:pPr>
              <w:spacing w:after="0" w:line="259" w:lineRule="auto"/>
              <w:ind w:left="0" w:right="40" w:firstLine="0"/>
              <w:jc w:val="center"/>
            </w:pPr>
            <w:r>
              <w:rPr>
                <w:sz w:val="18"/>
              </w:rPr>
              <w:t>N/A</w:t>
            </w:r>
          </w:p>
        </w:tc>
        <w:tc>
          <w:tcPr>
            <w:tcW w:w="702" w:type="dxa"/>
            <w:tcBorders>
              <w:top w:val="single" w:sz="4" w:space="0" w:color="000000"/>
              <w:left w:val="single" w:sz="12" w:space="0" w:color="000000"/>
              <w:bottom w:val="single" w:sz="4" w:space="0" w:color="000000"/>
              <w:right w:val="single" w:sz="12" w:space="0" w:color="000000"/>
            </w:tcBorders>
          </w:tcPr>
          <w:p w14:paraId="3EC57334" w14:textId="4E085E9E" w:rsidR="000A75F9" w:rsidRPr="00E6685C" w:rsidRDefault="000A75F9" w:rsidP="001C27CB">
            <w:pPr>
              <w:spacing w:after="0" w:line="259" w:lineRule="auto"/>
              <w:ind w:left="94" w:right="0" w:firstLine="0"/>
              <w:rPr>
                <w:bCs/>
              </w:rPr>
            </w:pPr>
            <w:r w:rsidRPr="00E6685C">
              <w:rPr>
                <w:bCs/>
                <w:sz w:val="18"/>
              </w:rPr>
              <w:t>1625</w:t>
            </w:r>
          </w:p>
        </w:tc>
        <w:tc>
          <w:tcPr>
            <w:tcW w:w="720" w:type="dxa"/>
            <w:tcBorders>
              <w:top w:val="single" w:sz="4" w:space="0" w:color="000000"/>
              <w:left w:val="single" w:sz="12" w:space="0" w:color="000000"/>
              <w:bottom w:val="single" w:sz="4" w:space="0" w:color="000000"/>
              <w:right w:val="single" w:sz="12" w:space="0" w:color="000000"/>
            </w:tcBorders>
          </w:tcPr>
          <w:p w14:paraId="37E16789" w14:textId="3222B1E2" w:rsidR="000A75F9" w:rsidRPr="00E6685C" w:rsidRDefault="000A75F9" w:rsidP="00A63D72">
            <w:pPr>
              <w:spacing w:after="0" w:line="259" w:lineRule="auto"/>
              <w:ind w:left="0" w:right="40" w:firstLine="0"/>
              <w:jc w:val="center"/>
              <w:rPr>
                <w:bCs/>
                <w:iCs/>
              </w:rPr>
            </w:pPr>
            <w:r w:rsidRPr="00E6685C">
              <w:rPr>
                <w:bCs/>
                <w:iCs/>
                <w:sz w:val="18"/>
              </w:rPr>
              <w:t>604</w:t>
            </w:r>
          </w:p>
        </w:tc>
        <w:tc>
          <w:tcPr>
            <w:tcW w:w="720" w:type="dxa"/>
            <w:tcBorders>
              <w:top w:val="single" w:sz="4" w:space="0" w:color="000000"/>
              <w:left w:val="single" w:sz="12" w:space="0" w:color="000000"/>
              <w:bottom w:val="single" w:sz="4" w:space="0" w:color="000000"/>
              <w:right w:val="single" w:sz="12" w:space="0" w:color="000000"/>
            </w:tcBorders>
          </w:tcPr>
          <w:p w14:paraId="5D4DBDD9" w14:textId="780F06D0" w:rsidR="000A75F9" w:rsidRPr="00E6685C" w:rsidRDefault="000A75F9" w:rsidP="00A63D72">
            <w:pPr>
              <w:spacing w:after="0" w:line="259" w:lineRule="auto"/>
              <w:ind w:left="0" w:right="35" w:firstLine="0"/>
              <w:jc w:val="center"/>
              <w:rPr>
                <w:bCs/>
              </w:rPr>
            </w:pPr>
            <w:r w:rsidRPr="00E6685C">
              <w:rPr>
                <w:bCs/>
                <w:sz w:val="18"/>
              </w:rPr>
              <w:t>1653</w:t>
            </w:r>
          </w:p>
        </w:tc>
      </w:tr>
      <w:tr w:rsidR="000A75F9" w14:paraId="4DF8ACAD" w14:textId="77777777" w:rsidTr="00C23B62">
        <w:trPr>
          <w:trHeight w:val="257"/>
        </w:trPr>
        <w:tc>
          <w:tcPr>
            <w:tcW w:w="3406" w:type="dxa"/>
            <w:tcBorders>
              <w:top w:val="single" w:sz="4" w:space="0" w:color="000000"/>
              <w:left w:val="single" w:sz="12" w:space="0" w:color="000000"/>
              <w:bottom w:val="single" w:sz="12" w:space="0" w:color="000000"/>
              <w:right w:val="single" w:sz="12" w:space="0" w:color="000000"/>
            </w:tcBorders>
          </w:tcPr>
          <w:p w14:paraId="602DE2E5" w14:textId="77777777" w:rsidR="000A75F9" w:rsidRDefault="000A75F9" w:rsidP="000A75F9">
            <w:pPr>
              <w:spacing w:after="0" w:line="259" w:lineRule="auto"/>
              <w:ind w:left="2" w:right="0" w:firstLine="0"/>
            </w:pPr>
            <w:r>
              <w:rPr>
                <w:sz w:val="18"/>
              </w:rPr>
              <w:t xml:space="preserve">2,4,6-Trichlorophenol </w:t>
            </w:r>
          </w:p>
        </w:tc>
        <w:tc>
          <w:tcPr>
            <w:tcW w:w="1367" w:type="dxa"/>
            <w:tcBorders>
              <w:top w:val="single" w:sz="4" w:space="0" w:color="000000"/>
              <w:left w:val="single" w:sz="12" w:space="0" w:color="000000"/>
              <w:bottom w:val="single" w:sz="12" w:space="0" w:color="000000"/>
              <w:right w:val="single" w:sz="12" w:space="0" w:color="000000"/>
            </w:tcBorders>
          </w:tcPr>
          <w:p w14:paraId="5B6662B3" w14:textId="73853FFD" w:rsidR="000A75F9" w:rsidRDefault="000A75F9" w:rsidP="00A63D72">
            <w:pPr>
              <w:spacing w:after="0" w:line="259" w:lineRule="auto"/>
              <w:ind w:left="0" w:right="35" w:firstLine="0"/>
              <w:jc w:val="center"/>
            </w:pPr>
            <w:r>
              <w:rPr>
                <w:sz w:val="18"/>
              </w:rPr>
              <w:t>88-06-2</w:t>
            </w:r>
          </w:p>
        </w:tc>
        <w:tc>
          <w:tcPr>
            <w:tcW w:w="781" w:type="dxa"/>
            <w:tcBorders>
              <w:top w:val="single" w:sz="4" w:space="0" w:color="000000"/>
              <w:left w:val="single" w:sz="12" w:space="0" w:color="000000"/>
              <w:bottom w:val="single" w:sz="12" w:space="0" w:color="000000"/>
              <w:right w:val="single" w:sz="12" w:space="0" w:color="000000"/>
            </w:tcBorders>
          </w:tcPr>
          <w:p w14:paraId="01E5625F" w14:textId="59F4B270" w:rsidR="000A75F9" w:rsidRDefault="000A75F9" w:rsidP="00A63D72">
            <w:pPr>
              <w:tabs>
                <w:tab w:val="center" w:pos="308"/>
              </w:tabs>
              <w:spacing w:after="0" w:line="259" w:lineRule="auto"/>
              <w:ind w:left="0" w:right="0" w:firstLine="0"/>
              <w:jc w:val="center"/>
            </w:pPr>
            <w:r>
              <w:rPr>
                <w:sz w:val="18"/>
              </w:rPr>
              <w:t>10</w:t>
            </w:r>
          </w:p>
        </w:tc>
        <w:tc>
          <w:tcPr>
            <w:tcW w:w="881" w:type="dxa"/>
            <w:tcBorders>
              <w:top w:val="single" w:sz="4" w:space="0" w:color="000000"/>
              <w:left w:val="single" w:sz="12" w:space="0" w:color="000000"/>
              <w:bottom w:val="single" w:sz="12" w:space="0" w:color="000000"/>
              <w:right w:val="single" w:sz="12" w:space="0" w:color="000000"/>
            </w:tcBorders>
          </w:tcPr>
          <w:p w14:paraId="57FB74DB" w14:textId="1B6E5153" w:rsidR="000A75F9" w:rsidRDefault="000A75F9" w:rsidP="00A63D72">
            <w:pPr>
              <w:spacing w:after="0" w:line="259" w:lineRule="auto"/>
              <w:ind w:left="0" w:right="40" w:firstLine="0"/>
              <w:jc w:val="center"/>
            </w:pPr>
            <w:r>
              <w:rPr>
                <w:sz w:val="18"/>
              </w:rPr>
              <w:t>ug/L</w:t>
            </w:r>
          </w:p>
        </w:tc>
        <w:tc>
          <w:tcPr>
            <w:tcW w:w="878" w:type="dxa"/>
            <w:tcBorders>
              <w:top w:val="single" w:sz="4" w:space="0" w:color="000000"/>
              <w:left w:val="single" w:sz="12" w:space="0" w:color="000000"/>
              <w:bottom w:val="single" w:sz="12" w:space="0" w:color="000000"/>
              <w:right w:val="single" w:sz="12" w:space="0" w:color="000000"/>
            </w:tcBorders>
          </w:tcPr>
          <w:p w14:paraId="64BEE50D" w14:textId="7232A06F" w:rsidR="000A75F9" w:rsidRDefault="000A75F9" w:rsidP="00A63D72">
            <w:pPr>
              <w:spacing w:after="0" w:line="259" w:lineRule="auto"/>
              <w:ind w:left="0" w:right="36" w:firstLine="0"/>
              <w:jc w:val="center"/>
            </w:pPr>
            <w:r>
              <w:rPr>
                <w:sz w:val="18"/>
              </w:rPr>
              <w:t>N/A</w:t>
            </w:r>
          </w:p>
        </w:tc>
        <w:tc>
          <w:tcPr>
            <w:tcW w:w="1075" w:type="dxa"/>
            <w:tcBorders>
              <w:top w:val="single" w:sz="4" w:space="0" w:color="000000"/>
              <w:left w:val="single" w:sz="12" w:space="0" w:color="000000"/>
              <w:bottom w:val="single" w:sz="12" w:space="0" w:color="000000"/>
              <w:right w:val="single" w:sz="12" w:space="0" w:color="000000"/>
            </w:tcBorders>
          </w:tcPr>
          <w:p w14:paraId="0A661F5C" w14:textId="1B41C6E0" w:rsidR="000A75F9" w:rsidRDefault="000A75F9" w:rsidP="00A63D72">
            <w:pPr>
              <w:spacing w:after="0" w:line="259" w:lineRule="auto"/>
              <w:ind w:left="0" w:right="40" w:firstLine="0"/>
              <w:jc w:val="center"/>
            </w:pPr>
            <w:r>
              <w:rPr>
                <w:sz w:val="18"/>
              </w:rPr>
              <w:t>N/A</w:t>
            </w:r>
          </w:p>
        </w:tc>
        <w:tc>
          <w:tcPr>
            <w:tcW w:w="702" w:type="dxa"/>
            <w:tcBorders>
              <w:top w:val="single" w:sz="4" w:space="0" w:color="000000"/>
              <w:left w:val="single" w:sz="12" w:space="0" w:color="000000"/>
              <w:bottom w:val="single" w:sz="12" w:space="0" w:color="000000"/>
              <w:right w:val="single" w:sz="12" w:space="0" w:color="000000"/>
            </w:tcBorders>
          </w:tcPr>
          <w:p w14:paraId="0ACDB4A9" w14:textId="41539995" w:rsidR="000A75F9" w:rsidRPr="00E6685C" w:rsidRDefault="000A75F9" w:rsidP="001C27CB">
            <w:pPr>
              <w:spacing w:after="0" w:line="259" w:lineRule="auto"/>
              <w:ind w:left="94" w:right="0" w:firstLine="0"/>
              <w:rPr>
                <w:bCs/>
              </w:rPr>
            </w:pPr>
            <w:r w:rsidRPr="00E6685C">
              <w:rPr>
                <w:bCs/>
                <w:sz w:val="18"/>
              </w:rPr>
              <w:t>1625</w:t>
            </w:r>
          </w:p>
        </w:tc>
        <w:tc>
          <w:tcPr>
            <w:tcW w:w="720" w:type="dxa"/>
            <w:tcBorders>
              <w:top w:val="single" w:sz="4" w:space="0" w:color="000000"/>
              <w:left w:val="single" w:sz="12" w:space="0" w:color="000000"/>
              <w:bottom w:val="single" w:sz="12" w:space="0" w:color="000000"/>
              <w:right w:val="single" w:sz="12" w:space="0" w:color="000000"/>
            </w:tcBorders>
          </w:tcPr>
          <w:p w14:paraId="10987FA1" w14:textId="0AC3D167" w:rsidR="000A75F9" w:rsidRPr="00E6685C" w:rsidRDefault="000A75F9" w:rsidP="00A63D72">
            <w:pPr>
              <w:spacing w:after="0" w:line="259" w:lineRule="auto"/>
              <w:ind w:left="0" w:right="40" w:firstLine="0"/>
              <w:jc w:val="center"/>
              <w:rPr>
                <w:bCs/>
              </w:rPr>
            </w:pPr>
            <w:r w:rsidRPr="00E6685C">
              <w:rPr>
                <w:bCs/>
                <w:sz w:val="18"/>
              </w:rPr>
              <w:t>604</w:t>
            </w:r>
          </w:p>
        </w:tc>
        <w:tc>
          <w:tcPr>
            <w:tcW w:w="720" w:type="dxa"/>
            <w:tcBorders>
              <w:top w:val="single" w:sz="4" w:space="0" w:color="000000"/>
              <w:left w:val="single" w:sz="12" w:space="0" w:color="000000"/>
              <w:bottom w:val="single" w:sz="12" w:space="0" w:color="000000"/>
              <w:right w:val="single" w:sz="12" w:space="0" w:color="000000"/>
            </w:tcBorders>
          </w:tcPr>
          <w:p w14:paraId="4564FADC" w14:textId="154515E4" w:rsidR="000A75F9" w:rsidRPr="00E6685C" w:rsidRDefault="000A75F9" w:rsidP="00A63D72">
            <w:pPr>
              <w:spacing w:after="0" w:line="259" w:lineRule="auto"/>
              <w:ind w:left="0" w:right="35" w:firstLine="0"/>
              <w:jc w:val="center"/>
              <w:rPr>
                <w:bCs/>
              </w:rPr>
            </w:pPr>
            <w:r w:rsidRPr="00E6685C">
              <w:rPr>
                <w:bCs/>
                <w:sz w:val="18"/>
              </w:rPr>
              <w:t>1653</w:t>
            </w:r>
          </w:p>
        </w:tc>
      </w:tr>
    </w:tbl>
    <w:p w14:paraId="7D1DC8AA" w14:textId="46636373" w:rsidR="00B56D50" w:rsidRDefault="00B56D50" w:rsidP="002E3D58">
      <w:pPr>
        <w:spacing w:after="0" w:line="240" w:lineRule="auto"/>
        <w:ind w:left="0" w:right="0" w:firstLine="0"/>
      </w:pPr>
    </w:p>
    <w:tbl>
      <w:tblPr>
        <w:tblStyle w:val="TableGrid1"/>
        <w:tblW w:w="10530" w:type="dxa"/>
        <w:tblInd w:w="-375" w:type="dxa"/>
        <w:tblCellMar>
          <w:top w:w="24" w:type="dxa"/>
          <w:left w:w="72" w:type="dxa"/>
          <w:right w:w="27" w:type="dxa"/>
        </w:tblCellMar>
        <w:tblLook w:val="04A0" w:firstRow="1" w:lastRow="0" w:firstColumn="1" w:lastColumn="0" w:noHBand="0" w:noVBand="1"/>
      </w:tblPr>
      <w:tblGrid>
        <w:gridCol w:w="3404"/>
        <w:gridCol w:w="1366"/>
        <w:gridCol w:w="687"/>
        <w:gridCol w:w="1023"/>
        <w:gridCol w:w="736"/>
        <w:gridCol w:w="1154"/>
        <w:gridCol w:w="766"/>
        <w:gridCol w:w="764"/>
        <w:gridCol w:w="630"/>
      </w:tblGrid>
      <w:tr w:rsidR="006153D2" w14:paraId="23003850" w14:textId="77777777" w:rsidTr="00C23B62">
        <w:trPr>
          <w:trHeight w:val="271"/>
          <w:tblHeader/>
        </w:trPr>
        <w:tc>
          <w:tcPr>
            <w:tcW w:w="7216" w:type="dxa"/>
            <w:gridSpan w:val="5"/>
            <w:tcBorders>
              <w:top w:val="single" w:sz="12" w:space="0" w:color="000000"/>
              <w:left w:val="single" w:sz="12" w:space="0" w:color="000000"/>
              <w:bottom w:val="single" w:sz="12" w:space="0" w:color="000000"/>
              <w:right w:val="nil"/>
            </w:tcBorders>
            <w:vAlign w:val="center"/>
          </w:tcPr>
          <w:p w14:paraId="7AA82B3F" w14:textId="07C26FF8" w:rsidR="00B56D50" w:rsidRDefault="001C3C42" w:rsidP="00AC7558">
            <w:pPr>
              <w:spacing w:after="0" w:line="259" w:lineRule="auto"/>
              <w:ind w:left="36" w:right="0" w:firstLine="0"/>
            </w:pPr>
            <w:r>
              <w:rPr>
                <w:b/>
                <w:sz w:val="18"/>
              </w:rPr>
              <w:t>Drinking Water SAS Group F:</w:t>
            </w:r>
            <w:r>
              <w:rPr>
                <w:sz w:val="18"/>
              </w:rPr>
              <w:t xml:space="preserve">  </w:t>
            </w:r>
            <w:r>
              <w:rPr>
                <w:b/>
                <w:sz w:val="18"/>
              </w:rPr>
              <w:t xml:space="preserve"> Polynuclear Aromatic Hydrocarbons List</w:t>
            </w:r>
          </w:p>
        </w:tc>
        <w:tc>
          <w:tcPr>
            <w:tcW w:w="1154" w:type="dxa"/>
            <w:tcBorders>
              <w:top w:val="single" w:sz="12" w:space="0" w:color="000000"/>
              <w:left w:val="nil"/>
              <w:bottom w:val="single" w:sz="12" w:space="0" w:color="000000"/>
              <w:right w:val="nil"/>
            </w:tcBorders>
            <w:vAlign w:val="center"/>
          </w:tcPr>
          <w:p w14:paraId="20901C14" w14:textId="77777777" w:rsidR="00B56D50" w:rsidRDefault="00B56D50" w:rsidP="00AC7558">
            <w:pPr>
              <w:spacing w:after="0" w:line="259" w:lineRule="auto"/>
              <w:ind w:left="0" w:right="0" w:firstLine="0"/>
            </w:pPr>
          </w:p>
        </w:tc>
        <w:tc>
          <w:tcPr>
            <w:tcW w:w="2160" w:type="dxa"/>
            <w:gridSpan w:val="3"/>
            <w:tcBorders>
              <w:top w:val="single" w:sz="12" w:space="0" w:color="000000"/>
              <w:left w:val="nil"/>
              <w:bottom w:val="single" w:sz="12" w:space="0" w:color="000000"/>
              <w:right w:val="single" w:sz="12" w:space="0" w:color="000000"/>
            </w:tcBorders>
            <w:vAlign w:val="center"/>
          </w:tcPr>
          <w:p w14:paraId="5391FF69" w14:textId="77777777" w:rsidR="00B56D50" w:rsidRDefault="00B56D50" w:rsidP="00AC7558">
            <w:pPr>
              <w:spacing w:after="0" w:line="259" w:lineRule="auto"/>
              <w:ind w:left="0" w:right="0" w:firstLine="0"/>
            </w:pPr>
          </w:p>
        </w:tc>
      </w:tr>
      <w:tr w:rsidR="00C45BC7" w14:paraId="00FD89C6" w14:textId="77777777" w:rsidTr="00C23B62">
        <w:trPr>
          <w:trHeight w:val="269"/>
          <w:tblHeader/>
        </w:trPr>
        <w:tc>
          <w:tcPr>
            <w:tcW w:w="3404" w:type="dxa"/>
            <w:vMerge w:val="restart"/>
            <w:tcBorders>
              <w:top w:val="single" w:sz="12" w:space="0" w:color="000000"/>
              <w:left w:val="single" w:sz="12" w:space="0" w:color="000000"/>
              <w:bottom w:val="single" w:sz="12" w:space="0" w:color="000000"/>
              <w:right w:val="single" w:sz="12" w:space="0" w:color="000000"/>
            </w:tcBorders>
            <w:vAlign w:val="center"/>
          </w:tcPr>
          <w:p w14:paraId="5A7D0E62" w14:textId="4CB75E4E" w:rsidR="00C45BC7" w:rsidRDefault="00C45BC7" w:rsidP="00AC7558">
            <w:pPr>
              <w:spacing w:after="0" w:line="259" w:lineRule="auto"/>
              <w:ind w:left="0" w:right="49" w:firstLine="0"/>
              <w:jc w:val="center"/>
            </w:pPr>
            <w:r>
              <w:rPr>
                <w:b/>
                <w:sz w:val="18"/>
              </w:rPr>
              <w:t>Analyte</w:t>
            </w:r>
          </w:p>
        </w:tc>
        <w:tc>
          <w:tcPr>
            <w:tcW w:w="1366" w:type="dxa"/>
            <w:vMerge w:val="restart"/>
            <w:tcBorders>
              <w:top w:val="single" w:sz="12" w:space="0" w:color="000000"/>
              <w:left w:val="single" w:sz="12" w:space="0" w:color="000000"/>
              <w:bottom w:val="single" w:sz="12" w:space="0" w:color="000000"/>
              <w:right w:val="single" w:sz="12" w:space="0" w:color="000000"/>
            </w:tcBorders>
            <w:vAlign w:val="center"/>
          </w:tcPr>
          <w:p w14:paraId="0A9D9DB9" w14:textId="31A9C036" w:rsidR="00C45BC7" w:rsidRDefault="00C45BC7" w:rsidP="00AC7558">
            <w:pPr>
              <w:spacing w:after="0" w:line="259" w:lineRule="auto"/>
              <w:ind w:left="0" w:right="0" w:firstLine="0"/>
              <w:jc w:val="center"/>
            </w:pPr>
            <w:r>
              <w:rPr>
                <w:b/>
                <w:sz w:val="18"/>
              </w:rPr>
              <w:t>CAS Number</w:t>
            </w:r>
          </w:p>
        </w:tc>
        <w:tc>
          <w:tcPr>
            <w:tcW w:w="1710" w:type="dxa"/>
            <w:gridSpan w:val="2"/>
            <w:tcBorders>
              <w:top w:val="single" w:sz="12" w:space="0" w:color="000000"/>
              <w:left w:val="single" w:sz="12" w:space="0" w:color="000000"/>
              <w:bottom w:val="single" w:sz="12" w:space="0" w:color="000000"/>
              <w:right w:val="single" w:sz="12" w:space="0" w:color="000000"/>
            </w:tcBorders>
            <w:vAlign w:val="center"/>
          </w:tcPr>
          <w:p w14:paraId="5BB866B2" w14:textId="583FA458" w:rsidR="00C45BC7" w:rsidRDefault="00C45BC7" w:rsidP="00AC7558">
            <w:pPr>
              <w:spacing w:after="0" w:line="259" w:lineRule="auto"/>
              <w:ind w:left="0" w:right="47" w:firstLine="0"/>
              <w:jc w:val="center"/>
            </w:pPr>
            <w:r>
              <w:rPr>
                <w:b/>
                <w:sz w:val="18"/>
              </w:rPr>
              <w:t>Aqueous</w:t>
            </w:r>
          </w:p>
        </w:tc>
        <w:tc>
          <w:tcPr>
            <w:tcW w:w="1890" w:type="dxa"/>
            <w:gridSpan w:val="2"/>
            <w:tcBorders>
              <w:top w:val="single" w:sz="12" w:space="0" w:color="000000"/>
              <w:left w:val="single" w:sz="12" w:space="0" w:color="000000"/>
              <w:bottom w:val="single" w:sz="12" w:space="0" w:color="000000"/>
              <w:right w:val="single" w:sz="12" w:space="0" w:color="000000"/>
            </w:tcBorders>
            <w:vAlign w:val="center"/>
          </w:tcPr>
          <w:p w14:paraId="1A196C25" w14:textId="6568205B" w:rsidR="00C45BC7" w:rsidRPr="00323F18" w:rsidRDefault="00323F18" w:rsidP="00AC7558">
            <w:pPr>
              <w:spacing w:after="0" w:line="259" w:lineRule="auto"/>
              <w:ind w:left="17" w:right="0" w:firstLine="0"/>
              <w:jc w:val="center"/>
              <w:rPr>
                <w:b/>
                <w:bCs/>
                <w:sz w:val="18"/>
                <w:szCs w:val="18"/>
              </w:rPr>
            </w:pPr>
            <w:r w:rsidRPr="00323F18">
              <w:rPr>
                <w:b/>
                <w:bCs/>
                <w:sz w:val="18"/>
                <w:szCs w:val="18"/>
              </w:rPr>
              <w:t>Soil/Sediment</w:t>
            </w:r>
          </w:p>
        </w:tc>
        <w:tc>
          <w:tcPr>
            <w:tcW w:w="2160" w:type="dxa"/>
            <w:gridSpan w:val="3"/>
            <w:vMerge w:val="restart"/>
            <w:tcBorders>
              <w:top w:val="single" w:sz="12" w:space="0" w:color="000000"/>
              <w:left w:val="single" w:sz="12" w:space="0" w:color="000000"/>
              <w:bottom w:val="single" w:sz="12" w:space="0" w:color="000000"/>
              <w:right w:val="single" w:sz="12" w:space="0" w:color="000000"/>
            </w:tcBorders>
            <w:vAlign w:val="center"/>
          </w:tcPr>
          <w:p w14:paraId="5C569777" w14:textId="7302DFDE" w:rsidR="00C45BC7" w:rsidRDefault="00C45BC7" w:rsidP="00AC7558">
            <w:pPr>
              <w:spacing w:after="0" w:line="259" w:lineRule="auto"/>
              <w:ind w:left="0" w:right="50" w:firstLine="0"/>
              <w:jc w:val="center"/>
            </w:pPr>
            <w:r>
              <w:rPr>
                <w:b/>
                <w:sz w:val="18"/>
              </w:rPr>
              <w:t>Acceptable Methods</w:t>
            </w:r>
          </w:p>
        </w:tc>
      </w:tr>
      <w:tr w:rsidR="00C84A5D" w14:paraId="336DBC61" w14:textId="77777777" w:rsidTr="00C23B62">
        <w:trPr>
          <w:trHeight w:val="271"/>
          <w:tblHeader/>
        </w:trPr>
        <w:tc>
          <w:tcPr>
            <w:tcW w:w="3404" w:type="dxa"/>
            <w:vMerge/>
            <w:tcBorders>
              <w:top w:val="nil"/>
              <w:left w:val="single" w:sz="12" w:space="0" w:color="000000"/>
              <w:bottom w:val="single" w:sz="12" w:space="0" w:color="000000"/>
              <w:right w:val="single" w:sz="12" w:space="0" w:color="000000"/>
            </w:tcBorders>
            <w:vAlign w:val="center"/>
          </w:tcPr>
          <w:p w14:paraId="199B26BB" w14:textId="77777777" w:rsidR="00B56D50" w:rsidRDefault="00B56D50" w:rsidP="00017AB4">
            <w:pPr>
              <w:spacing w:after="160" w:line="259" w:lineRule="auto"/>
              <w:ind w:left="0" w:right="0" w:firstLine="0"/>
              <w:jc w:val="center"/>
            </w:pPr>
          </w:p>
        </w:tc>
        <w:tc>
          <w:tcPr>
            <w:tcW w:w="1366" w:type="dxa"/>
            <w:vMerge/>
            <w:tcBorders>
              <w:top w:val="nil"/>
              <w:left w:val="single" w:sz="12" w:space="0" w:color="000000"/>
              <w:bottom w:val="single" w:sz="12" w:space="0" w:color="000000"/>
              <w:right w:val="single" w:sz="12" w:space="0" w:color="000000"/>
            </w:tcBorders>
            <w:vAlign w:val="center"/>
          </w:tcPr>
          <w:p w14:paraId="70299771" w14:textId="77777777" w:rsidR="00B56D50" w:rsidRDefault="00B56D50" w:rsidP="00017AB4">
            <w:pPr>
              <w:spacing w:after="160" w:line="259" w:lineRule="auto"/>
              <w:ind w:left="0" w:right="0" w:firstLine="0"/>
              <w:jc w:val="center"/>
            </w:pPr>
          </w:p>
        </w:tc>
        <w:tc>
          <w:tcPr>
            <w:tcW w:w="687" w:type="dxa"/>
            <w:tcBorders>
              <w:top w:val="single" w:sz="12" w:space="0" w:color="000000"/>
              <w:left w:val="single" w:sz="12" w:space="0" w:color="000000"/>
              <w:bottom w:val="single" w:sz="12" w:space="0" w:color="000000"/>
              <w:right w:val="single" w:sz="12" w:space="0" w:color="000000"/>
            </w:tcBorders>
            <w:vAlign w:val="center"/>
          </w:tcPr>
          <w:p w14:paraId="06A3C8A5" w14:textId="215C092C" w:rsidR="00B56D50" w:rsidRDefault="001C3C42" w:rsidP="00AC7558">
            <w:pPr>
              <w:spacing w:after="0" w:line="259" w:lineRule="auto"/>
              <w:ind w:left="0" w:right="50" w:firstLine="0"/>
              <w:jc w:val="center"/>
            </w:pPr>
            <w:r>
              <w:rPr>
                <w:b/>
                <w:sz w:val="18"/>
              </w:rPr>
              <w:t>RL</w:t>
            </w:r>
            <w:r w:rsidR="00676464">
              <w:rPr>
                <w:b/>
                <w:sz w:val="18"/>
              </w:rPr>
              <w:t xml:space="preserve"> </w:t>
            </w:r>
            <w:r w:rsidR="00676464" w:rsidRPr="00676464">
              <w:rPr>
                <w:b/>
                <w:sz w:val="18"/>
                <w:vertAlign w:val="superscript"/>
              </w:rPr>
              <w:t>39</w:t>
            </w:r>
          </w:p>
        </w:tc>
        <w:tc>
          <w:tcPr>
            <w:tcW w:w="1023" w:type="dxa"/>
            <w:tcBorders>
              <w:top w:val="single" w:sz="12" w:space="0" w:color="000000"/>
              <w:left w:val="single" w:sz="12" w:space="0" w:color="000000"/>
              <w:bottom w:val="single" w:sz="12" w:space="0" w:color="000000"/>
              <w:right w:val="single" w:sz="12" w:space="0" w:color="000000"/>
            </w:tcBorders>
            <w:vAlign w:val="center"/>
          </w:tcPr>
          <w:p w14:paraId="5455241A" w14:textId="25E708B8" w:rsidR="00B56D50" w:rsidRDefault="001C3C42" w:rsidP="00AC7558">
            <w:pPr>
              <w:spacing w:after="0" w:line="259" w:lineRule="auto"/>
              <w:ind w:left="0" w:right="55" w:firstLine="0"/>
              <w:jc w:val="center"/>
            </w:pPr>
            <w:r>
              <w:rPr>
                <w:b/>
                <w:sz w:val="18"/>
              </w:rPr>
              <w:t>units</w:t>
            </w:r>
          </w:p>
        </w:tc>
        <w:tc>
          <w:tcPr>
            <w:tcW w:w="736" w:type="dxa"/>
            <w:tcBorders>
              <w:top w:val="single" w:sz="12" w:space="0" w:color="000000"/>
              <w:left w:val="single" w:sz="12" w:space="0" w:color="000000"/>
              <w:bottom w:val="single" w:sz="12" w:space="0" w:color="000000"/>
              <w:right w:val="single" w:sz="12" w:space="0" w:color="000000"/>
            </w:tcBorders>
            <w:vAlign w:val="center"/>
          </w:tcPr>
          <w:p w14:paraId="6156E231" w14:textId="2B464D91" w:rsidR="00B56D50" w:rsidRDefault="001C3C42" w:rsidP="00AC7558">
            <w:pPr>
              <w:spacing w:after="0" w:line="259" w:lineRule="auto"/>
              <w:ind w:left="0" w:right="50" w:firstLine="0"/>
              <w:jc w:val="center"/>
            </w:pPr>
            <w:r>
              <w:rPr>
                <w:b/>
                <w:sz w:val="18"/>
              </w:rPr>
              <w:t>RL</w:t>
            </w:r>
          </w:p>
        </w:tc>
        <w:tc>
          <w:tcPr>
            <w:tcW w:w="1154" w:type="dxa"/>
            <w:tcBorders>
              <w:top w:val="single" w:sz="12" w:space="0" w:color="000000"/>
              <w:left w:val="single" w:sz="12" w:space="0" w:color="000000"/>
              <w:bottom w:val="single" w:sz="12" w:space="0" w:color="000000"/>
              <w:right w:val="single" w:sz="12" w:space="0" w:color="000000"/>
            </w:tcBorders>
            <w:vAlign w:val="center"/>
          </w:tcPr>
          <w:p w14:paraId="5D306F74" w14:textId="431A7B88" w:rsidR="00B56D50" w:rsidRDefault="001C3C42" w:rsidP="00AC7558">
            <w:pPr>
              <w:spacing w:after="0" w:line="259" w:lineRule="auto"/>
              <w:ind w:left="0" w:right="52" w:firstLine="0"/>
              <w:jc w:val="center"/>
            </w:pPr>
            <w:r>
              <w:rPr>
                <w:b/>
                <w:sz w:val="18"/>
              </w:rPr>
              <w:t>units</w:t>
            </w:r>
          </w:p>
        </w:tc>
        <w:tc>
          <w:tcPr>
            <w:tcW w:w="2160" w:type="dxa"/>
            <w:gridSpan w:val="3"/>
            <w:vMerge/>
            <w:tcBorders>
              <w:top w:val="nil"/>
              <w:left w:val="single" w:sz="12" w:space="0" w:color="000000"/>
              <w:bottom w:val="single" w:sz="12" w:space="0" w:color="000000"/>
              <w:right w:val="single" w:sz="12" w:space="0" w:color="000000"/>
            </w:tcBorders>
            <w:vAlign w:val="center"/>
          </w:tcPr>
          <w:p w14:paraId="2630A66F" w14:textId="77777777" w:rsidR="00B56D50" w:rsidRDefault="00B56D50" w:rsidP="00017AB4">
            <w:pPr>
              <w:spacing w:after="160" w:line="259" w:lineRule="auto"/>
              <w:ind w:left="0" w:right="0" w:firstLine="0"/>
              <w:jc w:val="center"/>
            </w:pPr>
          </w:p>
        </w:tc>
      </w:tr>
      <w:tr w:rsidR="000A75F9" w14:paraId="0D991AF0" w14:textId="77777777" w:rsidTr="00C23B62">
        <w:trPr>
          <w:trHeight w:val="259"/>
        </w:trPr>
        <w:tc>
          <w:tcPr>
            <w:tcW w:w="3404" w:type="dxa"/>
            <w:tcBorders>
              <w:top w:val="single" w:sz="12" w:space="0" w:color="000000"/>
              <w:left w:val="single" w:sz="12" w:space="0" w:color="000000"/>
              <w:bottom w:val="single" w:sz="4" w:space="0" w:color="000000"/>
              <w:right w:val="single" w:sz="12" w:space="0" w:color="000000"/>
            </w:tcBorders>
          </w:tcPr>
          <w:p w14:paraId="13E096BB" w14:textId="77777777" w:rsidR="000A75F9" w:rsidRDefault="000A75F9" w:rsidP="000A75F9">
            <w:pPr>
              <w:spacing w:after="0" w:line="259" w:lineRule="auto"/>
              <w:ind w:left="2" w:right="0" w:firstLine="0"/>
            </w:pPr>
            <w:r>
              <w:rPr>
                <w:sz w:val="18"/>
              </w:rPr>
              <w:t xml:space="preserve">Acenaphthene </w:t>
            </w:r>
          </w:p>
        </w:tc>
        <w:tc>
          <w:tcPr>
            <w:tcW w:w="1366" w:type="dxa"/>
            <w:tcBorders>
              <w:top w:val="single" w:sz="12" w:space="0" w:color="000000"/>
              <w:left w:val="single" w:sz="12" w:space="0" w:color="000000"/>
              <w:bottom w:val="single" w:sz="4" w:space="0" w:color="000000"/>
              <w:right w:val="single" w:sz="12" w:space="0" w:color="000000"/>
            </w:tcBorders>
          </w:tcPr>
          <w:p w14:paraId="2A032DF8" w14:textId="1549D0D1" w:rsidR="000A75F9" w:rsidRDefault="000A75F9" w:rsidP="002305D6">
            <w:pPr>
              <w:spacing w:after="0" w:line="259" w:lineRule="auto"/>
              <w:ind w:left="0" w:right="44" w:firstLine="0"/>
              <w:jc w:val="center"/>
            </w:pPr>
            <w:r>
              <w:rPr>
                <w:sz w:val="18"/>
              </w:rPr>
              <w:t>83-32-9</w:t>
            </w:r>
          </w:p>
        </w:tc>
        <w:tc>
          <w:tcPr>
            <w:tcW w:w="687" w:type="dxa"/>
            <w:tcBorders>
              <w:top w:val="single" w:sz="12" w:space="0" w:color="000000"/>
              <w:left w:val="single" w:sz="12" w:space="0" w:color="000000"/>
              <w:bottom w:val="single" w:sz="4" w:space="0" w:color="000000"/>
              <w:right w:val="single" w:sz="12" w:space="0" w:color="000000"/>
            </w:tcBorders>
          </w:tcPr>
          <w:p w14:paraId="5707591C" w14:textId="4BDCA18A" w:rsidR="000A75F9" w:rsidRDefault="000A75F9" w:rsidP="002305D6">
            <w:pPr>
              <w:tabs>
                <w:tab w:val="center" w:pos="308"/>
              </w:tabs>
              <w:spacing w:after="0" w:line="259" w:lineRule="auto"/>
              <w:ind w:left="0" w:right="0" w:firstLine="0"/>
              <w:jc w:val="center"/>
            </w:pPr>
            <w:r>
              <w:rPr>
                <w:sz w:val="18"/>
              </w:rPr>
              <w:t>10</w:t>
            </w:r>
          </w:p>
        </w:tc>
        <w:tc>
          <w:tcPr>
            <w:tcW w:w="1023" w:type="dxa"/>
            <w:tcBorders>
              <w:top w:val="single" w:sz="12" w:space="0" w:color="000000"/>
              <w:left w:val="single" w:sz="12" w:space="0" w:color="000000"/>
              <w:bottom w:val="single" w:sz="4" w:space="0" w:color="000000"/>
              <w:right w:val="single" w:sz="12" w:space="0" w:color="000000"/>
            </w:tcBorders>
          </w:tcPr>
          <w:p w14:paraId="4FF27517" w14:textId="6A2E0D23" w:rsidR="000A75F9" w:rsidRDefault="000A75F9" w:rsidP="002305D6">
            <w:pPr>
              <w:spacing w:after="0" w:line="259" w:lineRule="auto"/>
              <w:ind w:left="0" w:right="46" w:firstLine="0"/>
              <w:jc w:val="center"/>
            </w:pPr>
            <w:r>
              <w:rPr>
                <w:sz w:val="18"/>
              </w:rPr>
              <w:t>ug/L</w:t>
            </w:r>
          </w:p>
        </w:tc>
        <w:tc>
          <w:tcPr>
            <w:tcW w:w="736" w:type="dxa"/>
            <w:tcBorders>
              <w:top w:val="single" w:sz="12" w:space="0" w:color="000000"/>
              <w:left w:val="single" w:sz="12" w:space="0" w:color="000000"/>
              <w:bottom w:val="single" w:sz="4" w:space="0" w:color="000000"/>
              <w:right w:val="single" w:sz="12" w:space="0" w:color="000000"/>
            </w:tcBorders>
          </w:tcPr>
          <w:p w14:paraId="2382DF1B" w14:textId="03BAE809" w:rsidR="000A75F9" w:rsidRDefault="000A75F9" w:rsidP="002305D6">
            <w:pPr>
              <w:spacing w:after="0" w:line="259" w:lineRule="auto"/>
              <w:ind w:left="0" w:right="47" w:firstLine="0"/>
              <w:jc w:val="center"/>
            </w:pPr>
            <w:r>
              <w:rPr>
                <w:sz w:val="18"/>
              </w:rPr>
              <w:t>N/A</w:t>
            </w:r>
          </w:p>
        </w:tc>
        <w:tc>
          <w:tcPr>
            <w:tcW w:w="1154" w:type="dxa"/>
            <w:tcBorders>
              <w:top w:val="single" w:sz="12" w:space="0" w:color="000000"/>
              <w:left w:val="single" w:sz="12" w:space="0" w:color="000000"/>
              <w:bottom w:val="single" w:sz="4" w:space="0" w:color="000000"/>
              <w:right w:val="single" w:sz="12" w:space="0" w:color="000000"/>
            </w:tcBorders>
          </w:tcPr>
          <w:p w14:paraId="6EB5C9ED" w14:textId="34645F76" w:rsidR="000A75F9" w:rsidRDefault="000A75F9" w:rsidP="002305D6">
            <w:pPr>
              <w:spacing w:after="0" w:line="259" w:lineRule="auto"/>
              <w:ind w:left="0" w:right="42" w:firstLine="0"/>
              <w:jc w:val="center"/>
            </w:pPr>
            <w:r>
              <w:rPr>
                <w:sz w:val="18"/>
              </w:rPr>
              <w:t>N/A</w:t>
            </w:r>
          </w:p>
        </w:tc>
        <w:tc>
          <w:tcPr>
            <w:tcW w:w="766" w:type="dxa"/>
            <w:tcBorders>
              <w:top w:val="single" w:sz="12" w:space="0" w:color="000000"/>
              <w:left w:val="single" w:sz="12" w:space="0" w:color="000000"/>
              <w:bottom w:val="single" w:sz="4" w:space="0" w:color="000000"/>
              <w:right w:val="single" w:sz="12" w:space="0" w:color="000000"/>
            </w:tcBorders>
          </w:tcPr>
          <w:p w14:paraId="4F106F00" w14:textId="09AF0292" w:rsidR="000A75F9" w:rsidRPr="00676464" w:rsidRDefault="000A75F9" w:rsidP="002305D6">
            <w:pPr>
              <w:spacing w:after="0" w:line="259" w:lineRule="auto"/>
              <w:ind w:left="0" w:right="45" w:firstLine="0"/>
              <w:jc w:val="center"/>
              <w:rPr>
                <w:bCs/>
              </w:rPr>
            </w:pPr>
            <w:r w:rsidRPr="00676464">
              <w:rPr>
                <w:bCs/>
                <w:sz w:val="18"/>
              </w:rPr>
              <w:t>550.1</w:t>
            </w:r>
          </w:p>
        </w:tc>
        <w:tc>
          <w:tcPr>
            <w:tcW w:w="764" w:type="dxa"/>
            <w:tcBorders>
              <w:top w:val="single" w:sz="12" w:space="0" w:color="000000"/>
              <w:left w:val="single" w:sz="12" w:space="0" w:color="000000"/>
              <w:bottom w:val="single" w:sz="4" w:space="0" w:color="000000"/>
              <w:right w:val="single" w:sz="12" w:space="0" w:color="000000"/>
            </w:tcBorders>
          </w:tcPr>
          <w:p w14:paraId="447F2E0A" w14:textId="65DC8371" w:rsidR="000A75F9" w:rsidRDefault="000A75F9" w:rsidP="007A7937">
            <w:pPr>
              <w:spacing w:after="0" w:line="259" w:lineRule="auto"/>
              <w:ind w:right="0"/>
              <w:jc w:val="center"/>
            </w:pPr>
            <w:r>
              <w:rPr>
                <w:sz w:val="18"/>
              </w:rPr>
              <w:t>1625</w:t>
            </w:r>
          </w:p>
        </w:tc>
        <w:tc>
          <w:tcPr>
            <w:tcW w:w="630" w:type="dxa"/>
            <w:tcBorders>
              <w:top w:val="single" w:sz="12" w:space="0" w:color="000000"/>
              <w:left w:val="single" w:sz="12" w:space="0" w:color="000000"/>
              <w:bottom w:val="single" w:sz="4" w:space="0" w:color="000000"/>
              <w:right w:val="single" w:sz="12" w:space="0" w:color="000000"/>
            </w:tcBorders>
          </w:tcPr>
          <w:p w14:paraId="5E1603B5" w14:textId="6365E853" w:rsidR="000A75F9" w:rsidRDefault="000A75F9" w:rsidP="002305D6">
            <w:pPr>
              <w:spacing w:after="0" w:line="259" w:lineRule="auto"/>
              <w:ind w:left="0" w:right="2" w:firstLine="0"/>
              <w:jc w:val="center"/>
            </w:pPr>
          </w:p>
        </w:tc>
      </w:tr>
      <w:tr w:rsidR="000A75F9" w14:paraId="41E3F42B" w14:textId="77777777" w:rsidTr="00C23B62">
        <w:trPr>
          <w:trHeight w:val="250"/>
        </w:trPr>
        <w:tc>
          <w:tcPr>
            <w:tcW w:w="3404" w:type="dxa"/>
            <w:tcBorders>
              <w:top w:val="single" w:sz="4" w:space="0" w:color="000000"/>
              <w:left w:val="single" w:sz="12" w:space="0" w:color="000000"/>
              <w:bottom w:val="single" w:sz="4" w:space="0" w:color="000000"/>
              <w:right w:val="single" w:sz="12" w:space="0" w:color="000000"/>
            </w:tcBorders>
          </w:tcPr>
          <w:p w14:paraId="45AB170B" w14:textId="77777777" w:rsidR="000A75F9" w:rsidRDefault="000A75F9" w:rsidP="000A75F9">
            <w:pPr>
              <w:spacing w:after="0" w:line="259" w:lineRule="auto"/>
              <w:ind w:left="2" w:right="0" w:firstLine="0"/>
            </w:pPr>
            <w:r>
              <w:rPr>
                <w:sz w:val="18"/>
              </w:rPr>
              <w:t xml:space="preserve">Anthracene </w:t>
            </w:r>
          </w:p>
        </w:tc>
        <w:tc>
          <w:tcPr>
            <w:tcW w:w="1366" w:type="dxa"/>
            <w:tcBorders>
              <w:top w:val="single" w:sz="4" w:space="0" w:color="000000"/>
              <w:left w:val="single" w:sz="12" w:space="0" w:color="000000"/>
              <w:bottom w:val="single" w:sz="4" w:space="0" w:color="000000"/>
              <w:right w:val="single" w:sz="12" w:space="0" w:color="000000"/>
            </w:tcBorders>
          </w:tcPr>
          <w:p w14:paraId="4F9FE121" w14:textId="578EA566" w:rsidR="000A75F9" w:rsidRDefault="000A75F9" w:rsidP="002305D6">
            <w:pPr>
              <w:spacing w:after="0" w:line="259" w:lineRule="auto"/>
              <w:ind w:left="0" w:right="44" w:firstLine="0"/>
              <w:jc w:val="center"/>
            </w:pPr>
            <w:r>
              <w:rPr>
                <w:sz w:val="18"/>
              </w:rPr>
              <w:t>120-12-7</w:t>
            </w:r>
          </w:p>
        </w:tc>
        <w:tc>
          <w:tcPr>
            <w:tcW w:w="687" w:type="dxa"/>
            <w:tcBorders>
              <w:top w:val="single" w:sz="4" w:space="0" w:color="000000"/>
              <w:left w:val="single" w:sz="12" w:space="0" w:color="000000"/>
              <w:bottom w:val="single" w:sz="4" w:space="0" w:color="000000"/>
              <w:right w:val="single" w:sz="12" w:space="0" w:color="000000"/>
            </w:tcBorders>
          </w:tcPr>
          <w:p w14:paraId="438C8A8D" w14:textId="166C0D74" w:rsidR="000A75F9" w:rsidRDefault="000A75F9" w:rsidP="002305D6">
            <w:pPr>
              <w:tabs>
                <w:tab w:val="center" w:pos="308"/>
              </w:tabs>
              <w:spacing w:after="0" w:line="259" w:lineRule="auto"/>
              <w:ind w:left="0" w:right="0" w:firstLine="0"/>
              <w:jc w:val="center"/>
            </w:pPr>
            <w:r>
              <w:rPr>
                <w:sz w:val="18"/>
              </w:rPr>
              <w:t>10</w:t>
            </w:r>
          </w:p>
        </w:tc>
        <w:tc>
          <w:tcPr>
            <w:tcW w:w="1023" w:type="dxa"/>
            <w:tcBorders>
              <w:top w:val="single" w:sz="4" w:space="0" w:color="000000"/>
              <w:left w:val="single" w:sz="12" w:space="0" w:color="000000"/>
              <w:bottom w:val="single" w:sz="4" w:space="0" w:color="000000"/>
              <w:right w:val="single" w:sz="12" w:space="0" w:color="000000"/>
            </w:tcBorders>
          </w:tcPr>
          <w:p w14:paraId="01AC1BB8" w14:textId="4A4CD4FC" w:rsidR="000A75F9" w:rsidRDefault="000A75F9" w:rsidP="002305D6">
            <w:pPr>
              <w:spacing w:after="0" w:line="259" w:lineRule="auto"/>
              <w:ind w:left="0" w:right="46" w:firstLine="0"/>
              <w:jc w:val="center"/>
            </w:pPr>
            <w:r>
              <w:rPr>
                <w:sz w:val="18"/>
              </w:rPr>
              <w:t>ug/L</w:t>
            </w:r>
          </w:p>
        </w:tc>
        <w:tc>
          <w:tcPr>
            <w:tcW w:w="736" w:type="dxa"/>
            <w:tcBorders>
              <w:top w:val="single" w:sz="4" w:space="0" w:color="000000"/>
              <w:left w:val="single" w:sz="12" w:space="0" w:color="000000"/>
              <w:bottom w:val="single" w:sz="4" w:space="0" w:color="000000"/>
              <w:right w:val="single" w:sz="12" w:space="0" w:color="000000"/>
            </w:tcBorders>
          </w:tcPr>
          <w:p w14:paraId="42B002D0" w14:textId="0093AA15" w:rsidR="000A75F9" w:rsidRDefault="000A75F9" w:rsidP="002305D6">
            <w:pPr>
              <w:spacing w:after="0" w:line="259" w:lineRule="auto"/>
              <w:ind w:left="0" w:right="47" w:firstLine="0"/>
              <w:jc w:val="center"/>
            </w:pPr>
            <w:r>
              <w:rPr>
                <w:sz w:val="18"/>
              </w:rPr>
              <w:t>N/A</w:t>
            </w:r>
          </w:p>
        </w:tc>
        <w:tc>
          <w:tcPr>
            <w:tcW w:w="1154" w:type="dxa"/>
            <w:tcBorders>
              <w:top w:val="single" w:sz="4" w:space="0" w:color="000000"/>
              <w:left w:val="single" w:sz="12" w:space="0" w:color="000000"/>
              <w:bottom w:val="single" w:sz="4" w:space="0" w:color="000000"/>
              <w:right w:val="single" w:sz="12" w:space="0" w:color="000000"/>
            </w:tcBorders>
          </w:tcPr>
          <w:p w14:paraId="7568BC67" w14:textId="3BF095A3" w:rsidR="000A75F9" w:rsidRDefault="000A75F9" w:rsidP="002305D6">
            <w:pPr>
              <w:spacing w:after="0" w:line="259" w:lineRule="auto"/>
              <w:ind w:left="0" w:right="42" w:firstLine="0"/>
              <w:jc w:val="center"/>
            </w:pPr>
            <w:r>
              <w:rPr>
                <w:sz w:val="18"/>
              </w:rPr>
              <w:t>N/A</w:t>
            </w:r>
          </w:p>
        </w:tc>
        <w:tc>
          <w:tcPr>
            <w:tcW w:w="766" w:type="dxa"/>
            <w:tcBorders>
              <w:top w:val="single" w:sz="4" w:space="0" w:color="000000"/>
              <w:left w:val="single" w:sz="12" w:space="0" w:color="000000"/>
              <w:bottom w:val="single" w:sz="4" w:space="0" w:color="000000"/>
              <w:right w:val="single" w:sz="12" w:space="0" w:color="000000"/>
            </w:tcBorders>
          </w:tcPr>
          <w:p w14:paraId="4E10C044" w14:textId="17A955ED" w:rsidR="000A75F9" w:rsidRPr="00676464" w:rsidRDefault="000A75F9" w:rsidP="002305D6">
            <w:pPr>
              <w:spacing w:after="0" w:line="259" w:lineRule="auto"/>
              <w:ind w:left="0" w:right="45" w:firstLine="0"/>
              <w:jc w:val="center"/>
              <w:rPr>
                <w:bCs/>
              </w:rPr>
            </w:pPr>
            <w:r w:rsidRPr="00676464">
              <w:rPr>
                <w:bCs/>
                <w:sz w:val="18"/>
              </w:rPr>
              <w:t>550.1</w:t>
            </w:r>
          </w:p>
        </w:tc>
        <w:tc>
          <w:tcPr>
            <w:tcW w:w="764" w:type="dxa"/>
            <w:tcBorders>
              <w:top w:val="single" w:sz="4" w:space="0" w:color="000000"/>
              <w:left w:val="single" w:sz="12" w:space="0" w:color="000000"/>
              <w:bottom w:val="single" w:sz="4" w:space="0" w:color="000000"/>
              <w:right w:val="single" w:sz="12" w:space="0" w:color="000000"/>
            </w:tcBorders>
          </w:tcPr>
          <w:p w14:paraId="73ACCC7D" w14:textId="5CF1E168" w:rsidR="000A75F9" w:rsidRDefault="000A75F9" w:rsidP="007A7937">
            <w:pPr>
              <w:spacing w:after="0" w:line="259" w:lineRule="auto"/>
              <w:ind w:right="0"/>
              <w:jc w:val="center"/>
            </w:pPr>
            <w:r>
              <w:rPr>
                <w:sz w:val="18"/>
              </w:rPr>
              <w:t>1625</w:t>
            </w:r>
          </w:p>
        </w:tc>
        <w:tc>
          <w:tcPr>
            <w:tcW w:w="630" w:type="dxa"/>
            <w:tcBorders>
              <w:top w:val="single" w:sz="4" w:space="0" w:color="000000"/>
              <w:left w:val="single" w:sz="12" w:space="0" w:color="000000"/>
              <w:bottom w:val="single" w:sz="4" w:space="0" w:color="000000"/>
              <w:right w:val="single" w:sz="12" w:space="0" w:color="000000"/>
            </w:tcBorders>
          </w:tcPr>
          <w:p w14:paraId="472DC4CE" w14:textId="2743488A" w:rsidR="000A75F9" w:rsidRDefault="000A75F9" w:rsidP="002305D6">
            <w:pPr>
              <w:spacing w:after="0" w:line="259" w:lineRule="auto"/>
              <w:ind w:left="0" w:right="44" w:firstLine="0"/>
              <w:jc w:val="center"/>
            </w:pPr>
            <w:r>
              <w:rPr>
                <w:sz w:val="18"/>
              </w:rPr>
              <w:t>525.2</w:t>
            </w:r>
          </w:p>
        </w:tc>
      </w:tr>
      <w:tr w:rsidR="000A75F9" w14:paraId="3E91395B" w14:textId="77777777" w:rsidTr="00C23B62">
        <w:trPr>
          <w:trHeight w:val="250"/>
        </w:trPr>
        <w:tc>
          <w:tcPr>
            <w:tcW w:w="3404" w:type="dxa"/>
            <w:tcBorders>
              <w:top w:val="single" w:sz="4" w:space="0" w:color="000000"/>
              <w:left w:val="single" w:sz="12" w:space="0" w:color="000000"/>
              <w:bottom w:val="single" w:sz="4" w:space="0" w:color="000000"/>
              <w:right w:val="single" w:sz="12" w:space="0" w:color="000000"/>
            </w:tcBorders>
          </w:tcPr>
          <w:p w14:paraId="611AED96" w14:textId="77777777" w:rsidR="000A75F9" w:rsidRDefault="000A75F9" w:rsidP="000A75F9">
            <w:pPr>
              <w:spacing w:after="0" w:line="259" w:lineRule="auto"/>
              <w:ind w:left="2" w:right="0" w:firstLine="0"/>
            </w:pPr>
            <w:r>
              <w:rPr>
                <w:sz w:val="18"/>
              </w:rPr>
              <w:t xml:space="preserve">Benzo[a]anthracene </w:t>
            </w:r>
          </w:p>
        </w:tc>
        <w:tc>
          <w:tcPr>
            <w:tcW w:w="1366" w:type="dxa"/>
            <w:tcBorders>
              <w:top w:val="single" w:sz="4" w:space="0" w:color="000000"/>
              <w:left w:val="single" w:sz="12" w:space="0" w:color="000000"/>
              <w:bottom w:val="single" w:sz="4" w:space="0" w:color="000000"/>
              <w:right w:val="single" w:sz="12" w:space="0" w:color="000000"/>
            </w:tcBorders>
          </w:tcPr>
          <w:p w14:paraId="611976C5" w14:textId="5B42AC13" w:rsidR="000A75F9" w:rsidRDefault="000A75F9" w:rsidP="002305D6">
            <w:pPr>
              <w:spacing w:after="0" w:line="259" w:lineRule="auto"/>
              <w:ind w:left="0" w:right="44" w:firstLine="0"/>
              <w:jc w:val="center"/>
            </w:pPr>
            <w:r>
              <w:rPr>
                <w:sz w:val="18"/>
              </w:rPr>
              <w:t>56-55-3</w:t>
            </w:r>
          </w:p>
        </w:tc>
        <w:tc>
          <w:tcPr>
            <w:tcW w:w="687" w:type="dxa"/>
            <w:tcBorders>
              <w:top w:val="single" w:sz="4" w:space="0" w:color="000000"/>
              <w:left w:val="single" w:sz="12" w:space="0" w:color="000000"/>
              <w:bottom w:val="single" w:sz="4" w:space="0" w:color="000000"/>
              <w:right w:val="single" w:sz="12" w:space="0" w:color="000000"/>
            </w:tcBorders>
          </w:tcPr>
          <w:p w14:paraId="28EE5742" w14:textId="27D03BDB" w:rsidR="000A75F9" w:rsidRDefault="000A75F9" w:rsidP="002305D6">
            <w:pPr>
              <w:tabs>
                <w:tab w:val="center" w:pos="399"/>
              </w:tabs>
              <w:spacing w:after="0" w:line="259" w:lineRule="auto"/>
              <w:ind w:left="0" w:right="0" w:firstLine="0"/>
              <w:jc w:val="center"/>
            </w:pPr>
            <w:r>
              <w:rPr>
                <w:sz w:val="18"/>
              </w:rPr>
              <w:t>0.5</w:t>
            </w:r>
          </w:p>
        </w:tc>
        <w:tc>
          <w:tcPr>
            <w:tcW w:w="1023" w:type="dxa"/>
            <w:tcBorders>
              <w:top w:val="single" w:sz="4" w:space="0" w:color="000000"/>
              <w:left w:val="single" w:sz="12" w:space="0" w:color="000000"/>
              <w:bottom w:val="single" w:sz="4" w:space="0" w:color="000000"/>
              <w:right w:val="single" w:sz="12" w:space="0" w:color="000000"/>
            </w:tcBorders>
          </w:tcPr>
          <w:p w14:paraId="5A9643D6" w14:textId="7A950A0F" w:rsidR="000A75F9" w:rsidRDefault="000A75F9" w:rsidP="002305D6">
            <w:pPr>
              <w:spacing w:after="0" w:line="259" w:lineRule="auto"/>
              <w:ind w:left="0" w:right="46" w:firstLine="0"/>
              <w:jc w:val="center"/>
            </w:pPr>
            <w:r>
              <w:rPr>
                <w:sz w:val="18"/>
              </w:rPr>
              <w:t>ug/L</w:t>
            </w:r>
          </w:p>
        </w:tc>
        <w:tc>
          <w:tcPr>
            <w:tcW w:w="736" w:type="dxa"/>
            <w:tcBorders>
              <w:top w:val="single" w:sz="4" w:space="0" w:color="000000"/>
              <w:left w:val="single" w:sz="12" w:space="0" w:color="000000"/>
              <w:bottom w:val="single" w:sz="4" w:space="0" w:color="000000"/>
              <w:right w:val="single" w:sz="12" w:space="0" w:color="000000"/>
            </w:tcBorders>
          </w:tcPr>
          <w:p w14:paraId="51B53FCF" w14:textId="42AFE8EB" w:rsidR="000A75F9" w:rsidRDefault="000A75F9" w:rsidP="002305D6">
            <w:pPr>
              <w:spacing w:after="0" w:line="259" w:lineRule="auto"/>
              <w:ind w:left="0" w:right="47" w:firstLine="0"/>
              <w:jc w:val="center"/>
            </w:pPr>
            <w:r>
              <w:rPr>
                <w:sz w:val="18"/>
              </w:rPr>
              <w:t>N/A</w:t>
            </w:r>
          </w:p>
        </w:tc>
        <w:tc>
          <w:tcPr>
            <w:tcW w:w="1154" w:type="dxa"/>
            <w:tcBorders>
              <w:top w:val="single" w:sz="4" w:space="0" w:color="000000"/>
              <w:left w:val="single" w:sz="12" w:space="0" w:color="000000"/>
              <w:bottom w:val="single" w:sz="4" w:space="0" w:color="000000"/>
              <w:right w:val="single" w:sz="12" w:space="0" w:color="000000"/>
            </w:tcBorders>
          </w:tcPr>
          <w:p w14:paraId="315DC496" w14:textId="718768CB" w:rsidR="000A75F9" w:rsidRDefault="000A75F9" w:rsidP="002305D6">
            <w:pPr>
              <w:spacing w:after="0" w:line="259" w:lineRule="auto"/>
              <w:ind w:left="0" w:right="42" w:firstLine="0"/>
              <w:jc w:val="center"/>
            </w:pPr>
            <w:r>
              <w:rPr>
                <w:sz w:val="18"/>
              </w:rPr>
              <w:t>N/A</w:t>
            </w:r>
          </w:p>
        </w:tc>
        <w:tc>
          <w:tcPr>
            <w:tcW w:w="766" w:type="dxa"/>
            <w:tcBorders>
              <w:top w:val="single" w:sz="4" w:space="0" w:color="000000"/>
              <w:left w:val="single" w:sz="12" w:space="0" w:color="000000"/>
              <w:bottom w:val="single" w:sz="4" w:space="0" w:color="000000"/>
              <w:right w:val="single" w:sz="12" w:space="0" w:color="000000"/>
            </w:tcBorders>
          </w:tcPr>
          <w:p w14:paraId="754B86E8" w14:textId="72CC2363" w:rsidR="000A75F9" w:rsidRPr="00676464" w:rsidRDefault="000A75F9" w:rsidP="002305D6">
            <w:pPr>
              <w:spacing w:after="0" w:line="259" w:lineRule="auto"/>
              <w:ind w:left="0" w:right="45" w:firstLine="0"/>
              <w:jc w:val="center"/>
              <w:rPr>
                <w:bCs/>
              </w:rPr>
            </w:pPr>
            <w:r w:rsidRPr="00676464">
              <w:rPr>
                <w:bCs/>
                <w:sz w:val="18"/>
              </w:rPr>
              <w:t>550.1</w:t>
            </w:r>
          </w:p>
        </w:tc>
        <w:tc>
          <w:tcPr>
            <w:tcW w:w="764" w:type="dxa"/>
            <w:tcBorders>
              <w:top w:val="single" w:sz="4" w:space="0" w:color="000000"/>
              <w:left w:val="single" w:sz="12" w:space="0" w:color="000000"/>
              <w:bottom w:val="single" w:sz="4" w:space="0" w:color="000000"/>
              <w:right w:val="single" w:sz="12" w:space="0" w:color="000000"/>
            </w:tcBorders>
          </w:tcPr>
          <w:p w14:paraId="6D835901" w14:textId="1C767FAF" w:rsidR="000A75F9" w:rsidRDefault="000A75F9" w:rsidP="007A7937">
            <w:pPr>
              <w:spacing w:after="0" w:line="259" w:lineRule="auto"/>
              <w:ind w:left="0" w:right="2" w:firstLine="0"/>
              <w:jc w:val="center"/>
            </w:pPr>
          </w:p>
        </w:tc>
        <w:tc>
          <w:tcPr>
            <w:tcW w:w="630" w:type="dxa"/>
            <w:tcBorders>
              <w:top w:val="single" w:sz="4" w:space="0" w:color="000000"/>
              <w:left w:val="single" w:sz="12" w:space="0" w:color="000000"/>
              <w:bottom w:val="single" w:sz="4" w:space="0" w:color="000000"/>
              <w:right w:val="single" w:sz="12" w:space="0" w:color="000000"/>
            </w:tcBorders>
          </w:tcPr>
          <w:p w14:paraId="62FA7CC3" w14:textId="090D13A6" w:rsidR="000A75F9" w:rsidRDefault="000A75F9" w:rsidP="002305D6">
            <w:pPr>
              <w:spacing w:after="0" w:line="259" w:lineRule="auto"/>
              <w:ind w:left="0" w:right="44" w:firstLine="0"/>
              <w:jc w:val="center"/>
            </w:pPr>
            <w:r>
              <w:rPr>
                <w:sz w:val="18"/>
              </w:rPr>
              <w:t>525.2</w:t>
            </w:r>
          </w:p>
        </w:tc>
      </w:tr>
      <w:tr w:rsidR="000A75F9" w14:paraId="19AC7D31" w14:textId="77777777" w:rsidTr="00C23B62">
        <w:trPr>
          <w:trHeight w:val="252"/>
        </w:trPr>
        <w:tc>
          <w:tcPr>
            <w:tcW w:w="3404" w:type="dxa"/>
            <w:tcBorders>
              <w:top w:val="single" w:sz="4" w:space="0" w:color="000000"/>
              <w:left w:val="single" w:sz="12" w:space="0" w:color="000000"/>
              <w:bottom w:val="single" w:sz="4" w:space="0" w:color="000000"/>
              <w:right w:val="single" w:sz="12" w:space="0" w:color="000000"/>
            </w:tcBorders>
          </w:tcPr>
          <w:p w14:paraId="64521CD7" w14:textId="77777777" w:rsidR="000A75F9" w:rsidRDefault="000A75F9" w:rsidP="000A75F9">
            <w:pPr>
              <w:spacing w:after="0" w:line="259" w:lineRule="auto"/>
              <w:ind w:left="2" w:right="0" w:firstLine="0"/>
            </w:pPr>
            <w:r>
              <w:rPr>
                <w:sz w:val="18"/>
              </w:rPr>
              <w:t>Benzo[b]fluoranthene</w:t>
            </w:r>
            <w:r>
              <w:rPr>
                <w:b/>
                <w:sz w:val="18"/>
              </w:rPr>
              <w:t xml:space="preserve"> </w:t>
            </w:r>
          </w:p>
        </w:tc>
        <w:tc>
          <w:tcPr>
            <w:tcW w:w="1366" w:type="dxa"/>
            <w:tcBorders>
              <w:top w:val="single" w:sz="4" w:space="0" w:color="000000"/>
              <w:left w:val="single" w:sz="12" w:space="0" w:color="000000"/>
              <w:bottom w:val="single" w:sz="4" w:space="0" w:color="000000"/>
              <w:right w:val="single" w:sz="12" w:space="0" w:color="000000"/>
            </w:tcBorders>
          </w:tcPr>
          <w:p w14:paraId="3D295A91" w14:textId="55B78E30" w:rsidR="000A75F9" w:rsidRDefault="000A75F9" w:rsidP="002305D6">
            <w:pPr>
              <w:spacing w:after="0" w:line="259" w:lineRule="auto"/>
              <w:ind w:left="0" w:right="44" w:firstLine="0"/>
              <w:jc w:val="center"/>
            </w:pPr>
            <w:r>
              <w:rPr>
                <w:sz w:val="18"/>
              </w:rPr>
              <w:t>205-99-2</w:t>
            </w:r>
          </w:p>
        </w:tc>
        <w:tc>
          <w:tcPr>
            <w:tcW w:w="687" w:type="dxa"/>
            <w:tcBorders>
              <w:top w:val="single" w:sz="4" w:space="0" w:color="000000"/>
              <w:left w:val="single" w:sz="12" w:space="0" w:color="000000"/>
              <w:bottom w:val="single" w:sz="4" w:space="0" w:color="000000"/>
              <w:right w:val="single" w:sz="12" w:space="0" w:color="000000"/>
            </w:tcBorders>
          </w:tcPr>
          <w:p w14:paraId="76844D2E" w14:textId="7DD69AD4" w:rsidR="000A75F9" w:rsidRDefault="000A75F9" w:rsidP="002305D6">
            <w:pPr>
              <w:tabs>
                <w:tab w:val="center" w:pos="399"/>
              </w:tabs>
              <w:spacing w:after="0" w:line="259" w:lineRule="auto"/>
              <w:ind w:left="0" w:right="0" w:firstLine="0"/>
              <w:jc w:val="center"/>
            </w:pPr>
            <w:r>
              <w:rPr>
                <w:sz w:val="18"/>
              </w:rPr>
              <w:t>0.2</w:t>
            </w:r>
          </w:p>
        </w:tc>
        <w:tc>
          <w:tcPr>
            <w:tcW w:w="1023" w:type="dxa"/>
            <w:tcBorders>
              <w:top w:val="single" w:sz="4" w:space="0" w:color="000000"/>
              <w:left w:val="single" w:sz="12" w:space="0" w:color="000000"/>
              <w:bottom w:val="single" w:sz="4" w:space="0" w:color="000000"/>
              <w:right w:val="single" w:sz="12" w:space="0" w:color="000000"/>
            </w:tcBorders>
          </w:tcPr>
          <w:p w14:paraId="4C91DC1D" w14:textId="2CFEBD97" w:rsidR="000A75F9" w:rsidRDefault="000A75F9" w:rsidP="002305D6">
            <w:pPr>
              <w:spacing w:after="0" w:line="259" w:lineRule="auto"/>
              <w:ind w:left="0" w:right="46" w:firstLine="0"/>
              <w:jc w:val="center"/>
            </w:pPr>
            <w:r>
              <w:rPr>
                <w:sz w:val="18"/>
              </w:rPr>
              <w:t>ug/L</w:t>
            </w:r>
          </w:p>
        </w:tc>
        <w:tc>
          <w:tcPr>
            <w:tcW w:w="736" w:type="dxa"/>
            <w:tcBorders>
              <w:top w:val="single" w:sz="4" w:space="0" w:color="000000"/>
              <w:left w:val="single" w:sz="12" w:space="0" w:color="000000"/>
              <w:bottom w:val="single" w:sz="4" w:space="0" w:color="000000"/>
              <w:right w:val="single" w:sz="12" w:space="0" w:color="000000"/>
            </w:tcBorders>
          </w:tcPr>
          <w:p w14:paraId="12B62EDD" w14:textId="43BC0606" w:rsidR="000A75F9" w:rsidRDefault="000A75F9" w:rsidP="002305D6">
            <w:pPr>
              <w:spacing w:after="0" w:line="259" w:lineRule="auto"/>
              <w:ind w:left="0" w:right="47" w:firstLine="0"/>
              <w:jc w:val="center"/>
            </w:pPr>
            <w:r>
              <w:rPr>
                <w:sz w:val="18"/>
              </w:rPr>
              <w:t>N/A</w:t>
            </w:r>
          </w:p>
        </w:tc>
        <w:tc>
          <w:tcPr>
            <w:tcW w:w="1154" w:type="dxa"/>
            <w:tcBorders>
              <w:top w:val="single" w:sz="4" w:space="0" w:color="000000"/>
              <w:left w:val="single" w:sz="12" w:space="0" w:color="000000"/>
              <w:bottom w:val="single" w:sz="4" w:space="0" w:color="000000"/>
              <w:right w:val="single" w:sz="12" w:space="0" w:color="000000"/>
            </w:tcBorders>
          </w:tcPr>
          <w:p w14:paraId="72307E18" w14:textId="1F3FE88D" w:rsidR="000A75F9" w:rsidRDefault="000A75F9" w:rsidP="002305D6">
            <w:pPr>
              <w:spacing w:after="0" w:line="259" w:lineRule="auto"/>
              <w:ind w:left="0" w:right="42" w:firstLine="0"/>
              <w:jc w:val="center"/>
            </w:pPr>
            <w:r>
              <w:rPr>
                <w:sz w:val="18"/>
              </w:rPr>
              <w:t>N/A</w:t>
            </w:r>
          </w:p>
        </w:tc>
        <w:tc>
          <w:tcPr>
            <w:tcW w:w="766" w:type="dxa"/>
            <w:tcBorders>
              <w:top w:val="single" w:sz="4" w:space="0" w:color="000000"/>
              <w:left w:val="single" w:sz="12" w:space="0" w:color="000000"/>
              <w:bottom w:val="single" w:sz="4" w:space="0" w:color="000000"/>
              <w:right w:val="single" w:sz="12" w:space="0" w:color="000000"/>
            </w:tcBorders>
          </w:tcPr>
          <w:p w14:paraId="49624632" w14:textId="71C930ED" w:rsidR="000A75F9" w:rsidRPr="00676464" w:rsidRDefault="000A75F9" w:rsidP="002305D6">
            <w:pPr>
              <w:spacing w:after="0" w:line="259" w:lineRule="auto"/>
              <w:ind w:left="0" w:right="45" w:firstLine="0"/>
              <w:jc w:val="center"/>
              <w:rPr>
                <w:bCs/>
              </w:rPr>
            </w:pPr>
            <w:r w:rsidRPr="00676464">
              <w:rPr>
                <w:bCs/>
                <w:sz w:val="18"/>
              </w:rPr>
              <w:t>550.1</w:t>
            </w:r>
          </w:p>
        </w:tc>
        <w:tc>
          <w:tcPr>
            <w:tcW w:w="764" w:type="dxa"/>
            <w:tcBorders>
              <w:top w:val="single" w:sz="4" w:space="0" w:color="000000"/>
              <w:left w:val="single" w:sz="12" w:space="0" w:color="000000"/>
              <w:bottom w:val="single" w:sz="4" w:space="0" w:color="000000"/>
              <w:right w:val="single" w:sz="12" w:space="0" w:color="000000"/>
            </w:tcBorders>
          </w:tcPr>
          <w:p w14:paraId="5A2BC028" w14:textId="4E66EDC8" w:rsidR="000A75F9" w:rsidRDefault="000A75F9" w:rsidP="007A7937">
            <w:pPr>
              <w:spacing w:after="0" w:line="259" w:lineRule="auto"/>
              <w:ind w:left="0" w:right="2" w:firstLine="0"/>
              <w:jc w:val="center"/>
            </w:pPr>
          </w:p>
        </w:tc>
        <w:tc>
          <w:tcPr>
            <w:tcW w:w="630" w:type="dxa"/>
            <w:tcBorders>
              <w:top w:val="single" w:sz="4" w:space="0" w:color="000000"/>
              <w:left w:val="single" w:sz="12" w:space="0" w:color="000000"/>
              <w:bottom w:val="single" w:sz="4" w:space="0" w:color="000000"/>
              <w:right w:val="single" w:sz="12" w:space="0" w:color="000000"/>
            </w:tcBorders>
          </w:tcPr>
          <w:p w14:paraId="5B77B01F" w14:textId="5DBCEAE5" w:rsidR="000A75F9" w:rsidRDefault="000A75F9" w:rsidP="002305D6">
            <w:pPr>
              <w:spacing w:after="0" w:line="259" w:lineRule="auto"/>
              <w:ind w:left="0" w:right="44" w:firstLine="0"/>
              <w:jc w:val="center"/>
            </w:pPr>
            <w:r>
              <w:rPr>
                <w:sz w:val="18"/>
              </w:rPr>
              <w:t>525.2</w:t>
            </w:r>
          </w:p>
        </w:tc>
      </w:tr>
      <w:tr w:rsidR="000A75F9" w14:paraId="68F7FEA8" w14:textId="77777777" w:rsidTr="00C23B62">
        <w:trPr>
          <w:trHeight w:val="250"/>
        </w:trPr>
        <w:tc>
          <w:tcPr>
            <w:tcW w:w="3404" w:type="dxa"/>
            <w:tcBorders>
              <w:top w:val="single" w:sz="4" w:space="0" w:color="000000"/>
              <w:left w:val="single" w:sz="12" w:space="0" w:color="000000"/>
              <w:bottom w:val="single" w:sz="4" w:space="0" w:color="000000"/>
              <w:right w:val="single" w:sz="12" w:space="0" w:color="000000"/>
            </w:tcBorders>
          </w:tcPr>
          <w:p w14:paraId="094B71CF" w14:textId="77777777" w:rsidR="000A75F9" w:rsidRDefault="000A75F9" w:rsidP="000A75F9">
            <w:pPr>
              <w:spacing w:after="0" w:line="259" w:lineRule="auto"/>
              <w:ind w:left="2" w:right="0" w:firstLine="0"/>
            </w:pPr>
            <w:r>
              <w:rPr>
                <w:sz w:val="18"/>
              </w:rPr>
              <w:t>Benzo[k]fluoranthene</w:t>
            </w:r>
            <w:r>
              <w:rPr>
                <w:b/>
                <w:sz w:val="18"/>
              </w:rPr>
              <w:t xml:space="preserve"> </w:t>
            </w:r>
          </w:p>
        </w:tc>
        <w:tc>
          <w:tcPr>
            <w:tcW w:w="1366" w:type="dxa"/>
            <w:tcBorders>
              <w:top w:val="single" w:sz="4" w:space="0" w:color="000000"/>
              <w:left w:val="single" w:sz="12" w:space="0" w:color="000000"/>
              <w:bottom w:val="single" w:sz="4" w:space="0" w:color="000000"/>
              <w:right w:val="single" w:sz="12" w:space="0" w:color="000000"/>
            </w:tcBorders>
          </w:tcPr>
          <w:p w14:paraId="2E59BDBC" w14:textId="338C39D8" w:rsidR="000A75F9" w:rsidRDefault="000A75F9" w:rsidP="002305D6">
            <w:pPr>
              <w:spacing w:after="0" w:line="259" w:lineRule="auto"/>
              <w:ind w:left="0" w:right="44" w:firstLine="0"/>
              <w:jc w:val="center"/>
            </w:pPr>
            <w:r>
              <w:rPr>
                <w:sz w:val="18"/>
              </w:rPr>
              <w:t>207-08-9</w:t>
            </w:r>
          </w:p>
        </w:tc>
        <w:tc>
          <w:tcPr>
            <w:tcW w:w="687" w:type="dxa"/>
            <w:tcBorders>
              <w:top w:val="single" w:sz="4" w:space="0" w:color="000000"/>
              <w:left w:val="single" w:sz="12" w:space="0" w:color="000000"/>
              <w:bottom w:val="single" w:sz="4" w:space="0" w:color="000000"/>
              <w:right w:val="single" w:sz="12" w:space="0" w:color="000000"/>
            </w:tcBorders>
          </w:tcPr>
          <w:p w14:paraId="43D09D3A" w14:textId="2593E777" w:rsidR="000A75F9" w:rsidRDefault="000A75F9" w:rsidP="002305D6">
            <w:pPr>
              <w:tabs>
                <w:tab w:val="center" w:pos="399"/>
              </w:tabs>
              <w:spacing w:after="0" w:line="259" w:lineRule="auto"/>
              <w:ind w:left="0" w:right="0" w:firstLine="0"/>
              <w:jc w:val="center"/>
            </w:pPr>
            <w:r>
              <w:rPr>
                <w:sz w:val="18"/>
              </w:rPr>
              <w:t>0.5</w:t>
            </w:r>
          </w:p>
        </w:tc>
        <w:tc>
          <w:tcPr>
            <w:tcW w:w="1023" w:type="dxa"/>
            <w:tcBorders>
              <w:top w:val="single" w:sz="4" w:space="0" w:color="000000"/>
              <w:left w:val="single" w:sz="12" w:space="0" w:color="000000"/>
              <w:bottom w:val="single" w:sz="4" w:space="0" w:color="000000"/>
              <w:right w:val="single" w:sz="12" w:space="0" w:color="000000"/>
            </w:tcBorders>
          </w:tcPr>
          <w:p w14:paraId="352CA24C" w14:textId="36238B76" w:rsidR="000A75F9" w:rsidRDefault="000A75F9" w:rsidP="002305D6">
            <w:pPr>
              <w:spacing w:after="0" w:line="259" w:lineRule="auto"/>
              <w:ind w:left="0" w:right="46" w:firstLine="0"/>
              <w:jc w:val="center"/>
            </w:pPr>
            <w:r>
              <w:rPr>
                <w:sz w:val="18"/>
              </w:rPr>
              <w:t>ug/L</w:t>
            </w:r>
          </w:p>
        </w:tc>
        <w:tc>
          <w:tcPr>
            <w:tcW w:w="736" w:type="dxa"/>
            <w:tcBorders>
              <w:top w:val="single" w:sz="4" w:space="0" w:color="000000"/>
              <w:left w:val="single" w:sz="12" w:space="0" w:color="000000"/>
              <w:bottom w:val="single" w:sz="4" w:space="0" w:color="000000"/>
              <w:right w:val="single" w:sz="12" w:space="0" w:color="000000"/>
            </w:tcBorders>
          </w:tcPr>
          <w:p w14:paraId="0C5B0A7D" w14:textId="0CA9EF6F" w:rsidR="000A75F9" w:rsidRDefault="000A75F9" w:rsidP="002305D6">
            <w:pPr>
              <w:spacing w:after="0" w:line="259" w:lineRule="auto"/>
              <w:ind w:left="0" w:right="47" w:firstLine="0"/>
              <w:jc w:val="center"/>
            </w:pPr>
            <w:r>
              <w:rPr>
                <w:sz w:val="18"/>
              </w:rPr>
              <w:t>N/A</w:t>
            </w:r>
          </w:p>
        </w:tc>
        <w:tc>
          <w:tcPr>
            <w:tcW w:w="1154" w:type="dxa"/>
            <w:tcBorders>
              <w:top w:val="single" w:sz="4" w:space="0" w:color="000000"/>
              <w:left w:val="single" w:sz="12" w:space="0" w:color="000000"/>
              <w:bottom w:val="single" w:sz="4" w:space="0" w:color="000000"/>
              <w:right w:val="single" w:sz="12" w:space="0" w:color="000000"/>
            </w:tcBorders>
          </w:tcPr>
          <w:p w14:paraId="1BAE1ED3" w14:textId="6E532653" w:rsidR="000A75F9" w:rsidRDefault="000A75F9" w:rsidP="002305D6">
            <w:pPr>
              <w:spacing w:after="0" w:line="259" w:lineRule="auto"/>
              <w:ind w:left="0" w:right="42" w:firstLine="0"/>
              <w:jc w:val="center"/>
            </w:pPr>
            <w:r>
              <w:rPr>
                <w:sz w:val="18"/>
              </w:rPr>
              <w:t>N/A</w:t>
            </w:r>
          </w:p>
        </w:tc>
        <w:tc>
          <w:tcPr>
            <w:tcW w:w="766" w:type="dxa"/>
            <w:tcBorders>
              <w:top w:val="single" w:sz="4" w:space="0" w:color="000000"/>
              <w:left w:val="single" w:sz="12" w:space="0" w:color="000000"/>
              <w:bottom w:val="single" w:sz="4" w:space="0" w:color="000000"/>
              <w:right w:val="single" w:sz="12" w:space="0" w:color="000000"/>
            </w:tcBorders>
          </w:tcPr>
          <w:p w14:paraId="01E14E16" w14:textId="06F2366B" w:rsidR="000A75F9" w:rsidRPr="00676464" w:rsidRDefault="000A75F9" w:rsidP="002305D6">
            <w:pPr>
              <w:spacing w:after="0" w:line="259" w:lineRule="auto"/>
              <w:ind w:left="0" w:right="45" w:firstLine="0"/>
              <w:jc w:val="center"/>
              <w:rPr>
                <w:bCs/>
              </w:rPr>
            </w:pPr>
            <w:r w:rsidRPr="00676464">
              <w:rPr>
                <w:bCs/>
                <w:sz w:val="18"/>
              </w:rPr>
              <w:t>550.1</w:t>
            </w:r>
          </w:p>
        </w:tc>
        <w:tc>
          <w:tcPr>
            <w:tcW w:w="764" w:type="dxa"/>
            <w:tcBorders>
              <w:top w:val="single" w:sz="4" w:space="0" w:color="000000"/>
              <w:left w:val="single" w:sz="12" w:space="0" w:color="000000"/>
              <w:bottom w:val="single" w:sz="4" w:space="0" w:color="000000"/>
              <w:right w:val="single" w:sz="12" w:space="0" w:color="000000"/>
            </w:tcBorders>
          </w:tcPr>
          <w:p w14:paraId="3B7D55C5" w14:textId="151E4884" w:rsidR="000A75F9" w:rsidRDefault="000A75F9" w:rsidP="007A7937">
            <w:pPr>
              <w:spacing w:after="0" w:line="259" w:lineRule="auto"/>
              <w:ind w:left="0" w:right="2" w:firstLine="0"/>
              <w:jc w:val="center"/>
            </w:pPr>
          </w:p>
        </w:tc>
        <w:tc>
          <w:tcPr>
            <w:tcW w:w="630" w:type="dxa"/>
            <w:tcBorders>
              <w:top w:val="single" w:sz="4" w:space="0" w:color="000000"/>
              <w:left w:val="single" w:sz="12" w:space="0" w:color="000000"/>
              <w:bottom w:val="single" w:sz="4" w:space="0" w:color="000000"/>
              <w:right w:val="single" w:sz="12" w:space="0" w:color="000000"/>
            </w:tcBorders>
          </w:tcPr>
          <w:p w14:paraId="52502DC0" w14:textId="45D0B8C9" w:rsidR="000A75F9" w:rsidRDefault="000A75F9" w:rsidP="002305D6">
            <w:pPr>
              <w:spacing w:after="0" w:line="259" w:lineRule="auto"/>
              <w:ind w:left="0" w:right="44" w:firstLine="0"/>
              <w:jc w:val="center"/>
            </w:pPr>
            <w:r>
              <w:rPr>
                <w:sz w:val="18"/>
              </w:rPr>
              <w:t>525.2</w:t>
            </w:r>
          </w:p>
        </w:tc>
      </w:tr>
      <w:tr w:rsidR="000A75F9" w14:paraId="3D36BF45" w14:textId="77777777" w:rsidTr="00C23B62">
        <w:trPr>
          <w:trHeight w:val="250"/>
        </w:trPr>
        <w:tc>
          <w:tcPr>
            <w:tcW w:w="3404" w:type="dxa"/>
            <w:tcBorders>
              <w:top w:val="single" w:sz="4" w:space="0" w:color="000000"/>
              <w:left w:val="single" w:sz="12" w:space="0" w:color="000000"/>
              <w:bottom w:val="single" w:sz="4" w:space="0" w:color="000000"/>
              <w:right w:val="single" w:sz="12" w:space="0" w:color="000000"/>
            </w:tcBorders>
          </w:tcPr>
          <w:p w14:paraId="0CF1600E" w14:textId="77777777" w:rsidR="000A75F9" w:rsidRDefault="000A75F9" w:rsidP="000A75F9">
            <w:pPr>
              <w:spacing w:after="0" w:line="259" w:lineRule="auto"/>
              <w:ind w:left="2" w:right="0" w:firstLine="0"/>
            </w:pPr>
            <w:r>
              <w:rPr>
                <w:sz w:val="18"/>
              </w:rPr>
              <w:t>Benzo[</w:t>
            </w:r>
            <w:proofErr w:type="spellStart"/>
            <w:proofErr w:type="gramStart"/>
            <w:r>
              <w:rPr>
                <w:sz w:val="18"/>
              </w:rPr>
              <w:t>g,h</w:t>
            </w:r>
            <w:proofErr w:type="gramEnd"/>
            <w:r>
              <w:rPr>
                <w:sz w:val="18"/>
              </w:rPr>
              <w:t>,</w:t>
            </w:r>
            <w:proofErr w:type="gramStart"/>
            <w:r>
              <w:rPr>
                <w:sz w:val="18"/>
              </w:rPr>
              <w:t>i</w:t>
            </w:r>
            <w:proofErr w:type="spellEnd"/>
            <w:r>
              <w:rPr>
                <w:sz w:val="18"/>
              </w:rPr>
              <w:t>]perylene</w:t>
            </w:r>
            <w:proofErr w:type="gramEnd"/>
            <w:r>
              <w:rPr>
                <w:b/>
                <w:sz w:val="18"/>
              </w:rPr>
              <w:t xml:space="preserve"> </w:t>
            </w:r>
          </w:p>
        </w:tc>
        <w:tc>
          <w:tcPr>
            <w:tcW w:w="1366" w:type="dxa"/>
            <w:tcBorders>
              <w:top w:val="single" w:sz="4" w:space="0" w:color="000000"/>
              <w:left w:val="single" w:sz="12" w:space="0" w:color="000000"/>
              <w:bottom w:val="single" w:sz="4" w:space="0" w:color="000000"/>
              <w:right w:val="single" w:sz="12" w:space="0" w:color="000000"/>
            </w:tcBorders>
          </w:tcPr>
          <w:p w14:paraId="22FEB794" w14:textId="734DBFC6" w:rsidR="000A75F9" w:rsidRDefault="000A75F9" w:rsidP="002305D6">
            <w:pPr>
              <w:spacing w:after="0" w:line="259" w:lineRule="auto"/>
              <w:ind w:left="0" w:right="44" w:firstLine="0"/>
              <w:jc w:val="center"/>
            </w:pPr>
            <w:r>
              <w:rPr>
                <w:sz w:val="18"/>
              </w:rPr>
              <w:t>191-24-2</w:t>
            </w:r>
          </w:p>
        </w:tc>
        <w:tc>
          <w:tcPr>
            <w:tcW w:w="687" w:type="dxa"/>
            <w:tcBorders>
              <w:top w:val="single" w:sz="4" w:space="0" w:color="000000"/>
              <w:left w:val="single" w:sz="12" w:space="0" w:color="000000"/>
              <w:bottom w:val="single" w:sz="4" w:space="0" w:color="000000"/>
              <w:right w:val="single" w:sz="12" w:space="0" w:color="000000"/>
            </w:tcBorders>
          </w:tcPr>
          <w:p w14:paraId="20D56EFA" w14:textId="08C2F715" w:rsidR="000A75F9" w:rsidRDefault="000A75F9" w:rsidP="002305D6">
            <w:pPr>
              <w:tabs>
                <w:tab w:val="center" w:pos="354"/>
              </w:tabs>
              <w:spacing w:after="0" w:line="259" w:lineRule="auto"/>
              <w:ind w:left="0" w:right="0" w:firstLine="0"/>
              <w:jc w:val="center"/>
            </w:pPr>
            <w:r>
              <w:rPr>
                <w:sz w:val="18"/>
              </w:rPr>
              <w:t>2</w:t>
            </w:r>
          </w:p>
        </w:tc>
        <w:tc>
          <w:tcPr>
            <w:tcW w:w="1023" w:type="dxa"/>
            <w:tcBorders>
              <w:top w:val="single" w:sz="4" w:space="0" w:color="000000"/>
              <w:left w:val="single" w:sz="12" w:space="0" w:color="000000"/>
              <w:bottom w:val="single" w:sz="4" w:space="0" w:color="000000"/>
              <w:right w:val="single" w:sz="12" w:space="0" w:color="000000"/>
            </w:tcBorders>
          </w:tcPr>
          <w:p w14:paraId="370F27DD" w14:textId="3A8DA6B0" w:rsidR="000A75F9" w:rsidRDefault="000A75F9" w:rsidP="002305D6">
            <w:pPr>
              <w:spacing w:after="0" w:line="259" w:lineRule="auto"/>
              <w:ind w:left="0" w:right="46" w:firstLine="0"/>
              <w:jc w:val="center"/>
            </w:pPr>
            <w:r>
              <w:rPr>
                <w:sz w:val="18"/>
              </w:rPr>
              <w:t>ug/L</w:t>
            </w:r>
          </w:p>
        </w:tc>
        <w:tc>
          <w:tcPr>
            <w:tcW w:w="736" w:type="dxa"/>
            <w:tcBorders>
              <w:top w:val="single" w:sz="4" w:space="0" w:color="000000"/>
              <w:left w:val="single" w:sz="12" w:space="0" w:color="000000"/>
              <w:bottom w:val="single" w:sz="4" w:space="0" w:color="000000"/>
              <w:right w:val="single" w:sz="12" w:space="0" w:color="000000"/>
            </w:tcBorders>
          </w:tcPr>
          <w:p w14:paraId="5B792838" w14:textId="67408168" w:rsidR="000A75F9" w:rsidRDefault="000A75F9" w:rsidP="002305D6">
            <w:pPr>
              <w:spacing w:after="0" w:line="259" w:lineRule="auto"/>
              <w:ind w:left="0" w:right="47" w:firstLine="0"/>
              <w:jc w:val="center"/>
            </w:pPr>
            <w:r>
              <w:rPr>
                <w:sz w:val="18"/>
              </w:rPr>
              <w:t>N/A</w:t>
            </w:r>
          </w:p>
        </w:tc>
        <w:tc>
          <w:tcPr>
            <w:tcW w:w="1154" w:type="dxa"/>
            <w:tcBorders>
              <w:top w:val="single" w:sz="4" w:space="0" w:color="000000"/>
              <w:left w:val="single" w:sz="12" w:space="0" w:color="000000"/>
              <w:bottom w:val="single" w:sz="4" w:space="0" w:color="000000"/>
              <w:right w:val="single" w:sz="12" w:space="0" w:color="000000"/>
            </w:tcBorders>
          </w:tcPr>
          <w:p w14:paraId="5208CB80" w14:textId="30B159F5" w:rsidR="000A75F9" w:rsidRDefault="000A75F9" w:rsidP="002305D6">
            <w:pPr>
              <w:spacing w:after="0" w:line="259" w:lineRule="auto"/>
              <w:ind w:left="0" w:right="42" w:firstLine="0"/>
              <w:jc w:val="center"/>
            </w:pPr>
            <w:r>
              <w:rPr>
                <w:sz w:val="18"/>
              </w:rPr>
              <w:t>N/A</w:t>
            </w:r>
          </w:p>
        </w:tc>
        <w:tc>
          <w:tcPr>
            <w:tcW w:w="766" w:type="dxa"/>
            <w:tcBorders>
              <w:top w:val="single" w:sz="4" w:space="0" w:color="000000"/>
              <w:left w:val="single" w:sz="12" w:space="0" w:color="000000"/>
              <w:bottom w:val="single" w:sz="4" w:space="0" w:color="000000"/>
              <w:right w:val="single" w:sz="12" w:space="0" w:color="000000"/>
            </w:tcBorders>
          </w:tcPr>
          <w:p w14:paraId="3673E191" w14:textId="1ED4EA6A" w:rsidR="000A75F9" w:rsidRPr="00676464" w:rsidRDefault="000A75F9" w:rsidP="002305D6">
            <w:pPr>
              <w:spacing w:after="0" w:line="259" w:lineRule="auto"/>
              <w:ind w:left="0" w:right="45" w:firstLine="0"/>
              <w:jc w:val="center"/>
              <w:rPr>
                <w:bCs/>
              </w:rPr>
            </w:pPr>
            <w:r w:rsidRPr="00676464">
              <w:rPr>
                <w:bCs/>
                <w:sz w:val="18"/>
              </w:rPr>
              <w:t>550.1</w:t>
            </w:r>
          </w:p>
        </w:tc>
        <w:tc>
          <w:tcPr>
            <w:tcW w:w="764" w:type="dxa"/>
            <w:tcBorders>
              <w:top w:val="single" w:sz="4" w:space="0" w:color="000000"/>
              <w:left w:val="single" w:sz="12" w:space="0" w:color="000000"/>
              <w:bottom w:val="single" w:sz="4" w:space="0" w:color="000000"/>
              <w:right w:val="single" w:sz="12" w:space="0" w:color="000000"/>
            </w:tcBorders>
          </w:tcPr>
          <w:p w14:paraId="16A13904" w14:textId="6931B940" w:rsidR="000A75F9" w:rsidRDefault="000A75F9" w:rsidP="007A7937">
            <w:pPr>
              <w:spacing w:after="0" w:line="259" w:lineRule="auto"/>
              <w:ind w:left="0" w:right="2" w:firstLine="0"/>
              <w:jc w:val="center"/>
            </w:pPr>
          </w:p>
        </w:tc>
        <w:tc>
          <w:tcPr>
            <w:tcW w:w="630" w:type="dxa"/>
            <w:tcBorders>
              <w:top w:val="single" w:sz="4" w:space="0" w:color="000000"/>
              <w:left w:val="single" w:sz="12" w:space="0" w:color="000000"/>
              <w:bottom w:val="single" w:sz="4" w:space="0" w:color="000000"/>
              <w:right w:val="single" w:sz="12" w:space="0" w:color="000000"/>
            </w:tcBorders>
          </w:tcPr>
          <w:p w14:paraId="421510EA" w14:textId="339CB6CD" w:rsidR="000A75F9" w:rsidRDefault="000A75F9" w:rsidP="002305D6">
            <w:pPr>
              <w:spacing w:after="0" w:line="259" w:lineRule="auto"/>
              <w:ind w:left="0" w:right="44" w:firstLine="0"/>
              <w:jc w:val="center"/>
            </w:pPr>
            <w:r>
              <w:rPr>
                <w:sz w:val="18"/>
              </w:rPr>
              <w:t>525.2</w:t>
            </w:r>
          </w:p>
        </w:tc>
      </w:tr>
      <w:tr w:rsidR="000A75F9" w14:paraId="429068A3" w14:textId="77777777" w:rsidTr="00C23B62">
        <w:trPr>
          <w:trHeight w:val="250"/>
        </w:trPr>
        <w:tc>
          <w:tcPr>
            <w:tcW w:w="3404" w:type="dxa"/>
            <w:tcBorders>
              <w:top w:val="single" w:sz="4" w:space="0" w:color="000000"/>
              <w:left w:val="single" w:sz="12" w:space="0" w:color="000000"/>
              <w:bottom w:val="single" w:sz="4" w:space="0" w:color="000000"/>
              <w:right w:val="single" w:sz="12" w:space="0" w:color="000000"/>
            </w:tcBorders>
          </w:tcPr>
          <w:p w14:paraId="785480DF" w14:textId="77777777" w:rsidR="000A75F9" w:rsidRDefault="000A75F9" w:rsidP="000A75F9">
            <w:pPr>
              <w:spacing w:after="0" w:line="259" w:lineRule="auto"/>
              <w:ind w:left="2" w:right="0" w:firstLine="0"/>
            </w:pPr>
            <w:r>
              <w:rPr>
                <w:sz w:val="18"/>
              </w:rPr>
              <w:t xml:space="preserve">Benzo[a]pyrene </w:t>
            </w:r>
          </w:p>
        </w:tc>
        <w:tc>
          <w:tcPr>
            <w:tcW w:w="1366" w:type="dxa"/>
            <w:tcBorders>
              <w:top w:val="single" w:sz="4" w:space="0" w:color="000000"/>
              <w:left w:val="single" w:sz="12" w:space="0" w:color="000000"/>
              <w:bottom w:val="single" w:sz="4" w:space="0" w:color="000000"/>
              <w:right w:val="single" w:sz="12" w:space="0" w:color="000000"/>
            </w:tcBorders>
          </w:tcPr>
          <w:p w14:paraId="5CE0DDCD" w14:textId="1E1D9531" w:rsidR="000A75F9" w:rsidRDefault="000A75F9" w:rsidP="002305D6">
            <w:pPr>
              <w:spacing w:after="0" w:line="259" w:lineRule="auto"/>
              <w:ind w:left="0" w:right="44" w:firstLine="0"/>
              <w:jc w:val="center"/>
            </w:pPr>
            <w:r>
              <w:rPr>
                <w:sz w:val="18"/>
              </w:rPr>
              <w:t>50-32-8</w:t>
            </w:r>
          </w:p>
        </w:tc>
        <w:tc>
          <w:tcPr>
            <w:tcW w:w="687" w:type="dxa"/>
            <w:tcBorders>
              <w:top w:val="single" w:sz="4" w:space="0" w:color="000000"/>
              <w:left w:val="single" w:sz="12" w:space="0" w:color="000000"/>
              <w:bottom w:val="single" w:sz="4" w:space="0" w:color="000000"/>
              <w:right w:val="single" w:sz="12" w:space="0" w:color="000000"/>
            </w:tcBorders>
          </w:tcPr>
          <w:p w14:paraId="39A9E5CD" w14:textId="6FF12D8C" w:rsidR="000A75F9" w:rsidRDefault="000A75F9" w:rsidP="002305D6">
            <w:pPr>
              <w:tabs>
                <w:tab w:val="center" w:pos="399"/>
              </w:tabs>
              <w:spacing w:after="0" w:line="259" w:lineRule="auto"/>
              <w:ind w:left="0" w:right="0" w:firstLine="0"/>
              <w:jc w:val="center"/>
            </w:pPr>
            <w:r>
              <w:rPr>
                <w:b/>
                <w:sz w:val="18"/>
              </w:rPr>
              <w:t>0.2</w:t>
            </w:r>
          </w:p>
        </w:tc>
        <w:tc>
          <w:tcPr>
            <w:tcW w:w="1023" w:type="dxa"/>
            <w:tcBorders>
              <w:top w:val="single" w:sz="4" w:space="0" w:color="000000"/>
              <w:left w:val="single" w:sz="12" w:space="0" w:color="000000"/>
              <w:bottom w:val="single" w:sz="4" w:space="0" w:color="000000"/>
              <w:right w:val="single" w:sz="12" w:space="0" w:color="000000"/>
            </w:tcBorders>
          </w:tcPr>
          <w:p w14:paraId="45E1CBA1" w14:textId="126D4F45" w:rsidR="000A75F9" w:rsidRDefault="000A75F9" w:rsidP="002305D6">
            <w:pPr>
              <w:spacing w:after="0" w:line="259" w:lineRule="auto"/>
              <w:ind w:left="0" w:right="46" w:firstLine="0"/>
              <w:jc w:val="center"/>
            </w:pPr>
            <w:r>
              <w:rPr>
                <w:sz w:val="18"/>
              </w:rPr>
              <w:t>ug/L</w:t>
            </w:r>
          </w:p>
        </w:tc>
        <w:tc>
          <w:tcPr>
            <w:tcW w:w="736" w:type="dxa"/>
            <w:tcBorders>
              <w:top w:val="single" w:sz="4" w:space="0" w:color="000000"/>
              <w:left w:val="single" w:sz="12" w:space="0" w:color="000000"/>
              <w:bottom w:val="single" w:sz="4" w:space="0" w:color="000000"/>
              <w:right w:val="single" w:sz="12" w:space="0" w:color="000000"/>
            </w:tcBorders>
          </w:tcPr>
          <w:p w14:paraId="024DB762" w14:textId="0686C3D7" w:rsidR="000A75F9" w:rsidRDefault="000A75F9" w:rsidP="002305D6">
            <w:pPr>
              <w:spacing w:after="0" w:line="259" w:lineRule="auto"/>
              <w:ind w:left="0" w:right="47" w:firstLine="0"/>
              <w:jc w:val="center"/>
            </w:pPr>
            <w:r>
              <w:rPr>
                <w:sz w:val="18"/>
              </w:rPr>
              <w:t>N/A</w:t>
            </w:r>
          </w:p>
        </w:tc>
        <w:tc>
          <w:tcPr>
            <w:tcW w:w="1154" w:type="dxa"/>
            <w:tcBorders>
              <w:top w:val="single" w:sz="4" w:space="0" w:color="000000"/>
              <w:left w:val="single" w:sz="12" w:space="0" w:color="000000"/>
              <w:bottom w:val="single" w:sz="4" w:space="0" w:color="000000"/>
              <w:right w:val="single" w:sz="12" w:space="0" w:color="000000"/>
            </w:tcBorders>
          </w:tcPr>
          <w:p w14:paraId="7A80E08C" w14:textId="7B13C44D" w:rsidR="000A75F9" w:rsidRDefault="000A75F9" w:rsidP="002305D6">
            <w:pPr>
              <w:spacing w:after="0" w:line="259" w:lineRule="auto"/>
              <w:ind w:left="0" w:right="42" w:firstLine="0"/>
              <w:jc w:val="center"/>
            </w:pPr>
            <w:r>
              <w:rPr>
                <w:sz w:val="18"/>
              </w:rPr>
              <w:t>N/A</w:t>
            </w:r>
          </w:p>
        </w:tc>
        <w:tc>
          <w:tcPr>
            <w:tcW w:w="766" w:type="dxa"/>
            <w:tcBorders>
              <w:top w:val="single" w:sz="4" w:space="0" w:color="000000"/>
              <w:left w:val="single" w:sz="12" w:space="0" w:color="000000"/>
              <w:bottom w:val="single" w:sz="4" w:space="0" w:color="000000"/>
              <w:right w:val="single" w:sz="12" w:space="0" w:color="000000"/>
            </w:tcBorders>
          </w:tcPr>
          <w:p w14:paraId="3D3352AC" w14:textId="405EBCD4" w:rsidR="000A75F9" w:rsidRPr="00676464" w:rsidRDefault="000A75F9" w:rsidP="002305D6">
            <w:pPr>
              <w:spacing w:after="0" w:line="259" w:lineRule="auto"/>
              <w:ind w:left="0" w:right="45" w:firstLine="0"/>
              <w:jc w:val="center"/>
              <w:rPr>
                <w:bCs/>
              </w:rPr>
            </w:pPr>
            <w:r w:rsidRPr="00676464">
              <w:rPr>
                <w:bCs/>
                <w:sz w:val="18"/>
              </w:rPr>
              <w:t>550.1</w:t>
            </w:r>
          </w:p>
        </w:tc>
        <w:tc>
          <w:tcPr>
            <w:tcW w:w="764" w:type="dxa"/>
            <w:tcBorders>
              <w:top w:val="single" w:sz="4" w:space="0" w:color="000000"/>
              <w:left w:val="single" w:sz="12" w:space="0" w:color="000000"/>
              <w:bottom w:val="single" w:sz="4" w:space="0" w:color="000000"/>
              <w:right w:val="single" w:sz="12" w:space="0" w:color="000000"/>
            </w:tcBorders>
          </w:tcPr>
          <w:p w14:paraId="74F76BF8" w14:textId="0D7ED86D" w:rsidR="000A75F9" w:rsidRDefault="000A75F9" w:rsidP="007A7937">
            <w:pPr>
              <w:spacing w:after="0" w:line="259" w:lineRule="auto"/>
              <w:ind w:left="0" w:right="2" w:firstLine="0"/>
              <w:jc w:val="center"/>
            </w:pPr>
          </w:p>
        </w:tc>
        <w:tc>
          <w:tcPr>
            <w:tcW w:w="630" w:type="dxa"/>
            <w:tcBorders>
              <w:top w:val="single" w:sz="4" w:space="0" w:color="000000"/>
              <w:left w:val="single" w:sz="12" w:space="0" w:color="000000"/>
              <w:bottom w:val="single" w:sz="4" w:space="0" w:color="000000"/>
              <w:right w:val="single" w:sz="12" w:space="0" w:color="000000"/>
            </w:tcBorders>
          </w:tcPr>
          <w:p w14:paraId="52F600FA" w14:textId="5641850B" w:rsidR="000A75F9" w:rsidRDefault="000A75F9" w:rsidP="002305D6">
            <w:pPr>
              <w:spacing w:after="0" w:line="259" w:lineRule="auto"/>
              <w:ind w:left="0" w:right="44" w:firstLine="0"/>
              <w:jc w:val="center"/>
            </w:pPr>
            <w:r>
              <w:rPr>
                <w:sz w:val="18"/>
              </w:rPr>
              <w:t>525.2</w:t>
            </w:r>
          </w:p>
        </w:tc>
      </w:tr>
      <w:tr w:rsidR="000A75F9" w14:paraId="59EC0D1E" w14:textId="77777777" w:rsidTr="00C23B62">
        <w:trPr>
          <w:trHeight w:val="250"/>
        </w:trPr>
        <w:tc>
          <w:tcPr>
            <w:tcW w:w="3404" w:type="dxa"/>
            <w:tcBorders>
              <w:top w:val="single" w:sz="4" w:space="0" w:color="000000"/>
              <w:left w:val="single" w:sz="12" w:space="0" w:color="000000"/>
              <w:bottom w:val="single" w:sz="4" w:space="0" w:color="000000"/>
              <w:right w:val="single" w:sz="12" w:space="0" w:color="000000"/>
            </w:tcBorders>
          </w:tcPr>
          <w:p w14:paraId="390B0BAF" w14:textId="77777777" w:rsidR="000A75F9" w:rsidRDefault="000A75F9" w:rsidP="000A75F9">
            <w:pPr>
              <w:spacing w:after="0" w:line="259" w:lineRule="auto"/>
              <w:ind w:left="2" w:right="0" w:firstLine="0"/>
            </w:pPr>
            <w:r>
              <w:rPr>
                <w:sz w:val="18"/>
              </w:rPr>
              <w:t xml:space="preserve">Chrysene </w:t>
            </w:r>
          </w:p>
        </w:tc>
        <w:tc>
          <w:tcPr>
            <w:tcW w:w="1366" w:type="dxa"/>
            <w:tcBorders>
              <w:top w:val="single" w:sz="4" w:space="0" w:color="000000"/>
              <w:left w:val="single" w:sz="12" w:space="0" w:color="000000"/>
              <w:bottom w:val="single" w:sz="4" w:space="0" w:color="000000"/>
              <w:right w:val="single" w:sz="12" w:space="0" w:color="000000"/>
            </w:tcBorders>
          </w:tcPr>
          <w:p w14:paraId="77CC0393" w14:textId="2A99E0B9" w:rsidR="000A75F9" w:rsidRDefault="000A75F9" w:rsidP="002305D6">
            <w:pPr>
              <w:spacing w:after="0" w:line="259" w:lineRule="auto"/>
              <w:ind w:left="0" w:right="44" w:firstLine="0"/>
              <w:jc w:val="center"/>
            </w:pPr>
            <w:r>
              <w:rPr>
                <w:sz w:val="18"/>
              </w:rPr>
              <w:t>218-01-9</w:t>
            </w:r>
          </w:p>
        </w:tc>
        <w:tc>
          <w:tcPr>
            <w:tcW w:w="687" w:type="dxa"/>
            <w:tcBorders>
              <w:top w:val="single" w:sz="4" w:space="0" w:color="000000"/>
              <w:left w:val="single" w:sz="12" w:space="0" w:color="000000"/>
              <w:bottom w:val="single" w:sz="4" w:space="0" w:color="000000"/>
              <w:right w:val="single" w:sz="12" w:space="0" w:color="000000"/>
            </w:tcBorders>
          </w:tcPr>
          <w:p w14:paraId="68B217C9" w14:textId="6C4ED7FF" w:rsidR="000A75F9" w:rsidRDefault="000A75F9" w:rsidP="002305D6">
            <w:pPr>
              <w:tabs>
                <w:tab w:val="center" w:pos="399"/>
              </w:tabs>
              <w:spacing w:after="0" w:line="259" w:lineRule="auto"/>
              <w:ind w:left="0" w:right="0" w:firstLine="0"/>
              <w:jc w:val="center"/>
            </w:pPr>
            <w:r>
              <w:rPr>
                <w:sz w:val="18"/>
              </w:rPr>
              <w:t>0.8</w:t>
            </w:r>
          </w:p>
        </w:tc>
        <w:tc>
          <w:tcPr>
            <w:tcW w:w="1023" w:type="dxa"/>
            <w:tcBorders>
              <w:top w:val="single" w:sz="4" w:space="0" w:color="000000"/>
              <w:left w:val="single" w:sz="12" w:space="0" w:color="000000"/>
              <w:bottom w:val="single" w:sz="4" w:space="0" w:color="000000"/>
              <w:right w:val="single" w:sz="12" w:space="0" w:color="000000"/>
            </w:tcBorders>
          </w:tcPr>
          <w:p w14:paraId="13475DC1" w14:textId="27C133B8" w:rsidR="000A75F9" w:rsidRDefault="000A75F9" w:rsidP="002305D6">
            <w:pPr>
              <w:spacing w:after="0" w:line="259" w:lineRule="auto"/>
              <w:ind w:left="0" w:right="46" w:firstLine="0"/>
              <w:jc w:val="center"/>
            </w:pPr>
            <w:r>
              <w:rPr>
                <w:sz w:val="18"/>
              </w:rPr>
              <w:t>ug/L</w:t>
            </w:r>
          </w:p>
        </w:tc>
        <w:tc>
          <w:tcPr>
            <w:tcW w:w="736" w:type="dxa"/>
            <w:tcBorders>
              <w:top w:val="single" w:sz="4" w:space="0" w:color="000000"/>
              <w:left w:val="single" w:sz="12" w:space="0" w:color="000000"/>
              <w:bottom w:val="single" w:sz="4" w:space="0" w:color="000000"/>
              <w:right w:val="single" w:sz="12" w:space="0" w:color="000000"/>
            </w:tcBorders>
          </w:tcPr>
          <w:p w14:paraId="33E45F86" w14:textId="39E9EAD8" w:rsidR="000A75F9" w:rsidRDefault="000A75F9" w:rsidP="002305D6">
            <w:pPr>
              <w:spacing w:after="0" w:line="259" w:lineRule="auto"/>
              <w:ind w:left="0" w:right="47" w:firstLine="0"/>
              <w:jc w:val="center"/>
            </w:pPr>
            <w:r>
              <w:rPr>
                <w:sz w:val="18"/>
              </w:rPr>
              <w:t>N/A</w:t>
            </w:r>
          </w:p>
        </w:tc>
        <w:tc>
          <w:tcPr>
            <w:tcW w:w="1154" w:type="dxa"/>
            <w:tcBorders>
              <w:top w:val="single" w:sz="4" w:space="0" w:color="000000"/>
              <w:left w:val="single" w:sz="12" w:space="0" w:color="000000"/>
              <w:bottom w:val="single" w:sz="4" w:space="0" w:color="000000"/>
              <w:right w:val="single" w:sz="12" w:space="0" w:color="000000"/>
            </w:tcBorders>
          </w:tcPr>
          <w:p w14:paraId="5B316A2D" w14:textId="5DE32181" w:rsidR="000A75F9" w:rsidRDefault="000A75F9" w:rsidP="002305D6">
            <w:pPr>
              <w:spacing w:after="0" w:line="259" w:lineRule="auto"/>
              <w:ind w:left="0" w:right="42" w:firstLine="0"/>
              <w:jc w:val="center"/>
            </w:pPr>
            <w:r>
              <w:rPr>
                <w:sz w:val="18"/>
              </w:rPr>
              <w:t>N/A</w:t>
            </w:r>
          </w:p>
        </w:tc>
        <w:tc>
          <w:tcPr>
            <w:tcW w:w="766" w:type="dxa"/>
            <w:tcBorders>
              <w:top w:val="single" w:sz="4" w:space="0" w:color="000000"/>
              <w:left w:val="single" w:sz="12" w:space="0" w:color="000000"/>
              <w:bottom w:val="single" w:sz="4" w:space="0" w:color="000000"/>
              <w:right w:val="single" w:sz="12" w:space="0" w:color="000000"/>
            </w:tcBorders>
          </w:tcPr>
          <w:p w14:paraId="11C319AA" w14:textId="6D89452D" w:rsidR="000A75F9" w:rsidRPr="00676464" w:rsidRDefault="000A75F9" w:rsidP="002305D6">
            <w:pPr>
              <w:spacing w:after="0" w:line="259" w:lineRule="auto"/>
              <w:ind w:left="0" w:right="45" w:firstLine="0"/>
              <w:jc w:val="center"/>
              <w:rPr>
                <w:bCs/>
              </w:rPr>
            </w:pPr>
            <w:r w:rsidRPr="00676464">
              <w:rPr>
                <w:bCs/>
                <w:sz w:val="18"/>
              </w:rPr>
              <w:t>550.1</w:t>
            </w:r>
          </w:p>
        </w:tc>
        <w:tc>
          <w:tcPr>
            <w:tcW w:w="764" w:type="dxa"/>
            <w:tcBorders>
              <w:top w:val="single" w:sz="4" w:space="0" w:color="000000"/>
              <w:left w:val="single" w:sz="12" w:space="0" w:color="000000"/>
              <w:bottom w:val="single" w:sz="4" w:space="0" w:color="000000"/>
              <w:right w:val="single" w:sz="12" w:space="0" w:color="000000"/>
            </w:tcBorders>
          </w:tcPr>
          <w:p w14:paraId="04BC5605" w14:textId="462FBE17" w:rsidR="000A75F9" w:rsidRDefault="000A75F9" w:rsidP="007A7937">
            <w:pPr>
              <w:spacing w:after="0" w:line="259" w:lineRule="auto"/>
              <w:ind w:left="0" w:right="2" w:firstLine="0"/>
              <w:jc w:val="center"/>
            </w:pPr>
          </w:p>
        </w:tc>
        <w:tc>
          <w:tcPr>
            <w:tcW w:w="630" w:type="dxa"/>
            <w:tcBorders>
              <w:top w:val="single" w:sz="4" w:space="0" w:color="000000"/>
              <w:left w:val="single" w:sz="12" w:space="0" w:color="000000"/>
              <w:bottom w:val="single" w:sz="4" w:space="0" w:color="000000"/>
              <w:right w:val="single" w:sz="12" w:space="0" w:color="000000"/>
            </w:tcBorders>
          </w:tcPr>
          <w:p w14:paraId="483CA754" w14:textId="309C642E" w:rsidR="000A75F9" w:rsidRDefault="000A75F9" w:rsidP="002305D6">
            <w:pPr>
              <w:spacing w:after="0" w:line="259" w:lineRule="auto"/>
              <w:ind w:left="0" w:right="44" w:firstLine="0"/>
              <w:jc w:val="center"/>
            </w:pPr>
            <w:r>
              <w:rPr>
                <w:sz w:val="18"/>
              </w:rPr>
              <w:t>525.2</w:t>
            </w:r>
          </w:p>
        </w:tc>
      </w:tr>
      <w:tr w:rsidR="000A75F9" w14:paraId="12AA2533" w14:textId="77777777" w:rsidTr="00C23B62">
        <w:trPr>
          <w:trHeight w:val="250"/>
        </w:trPr>
        <w:tc>
          <w:tcPr>
            <w:tcW w:w="3404" w:type="dxa"/>
            <w:tcBorders>
              <w:top w:val="single" w:sz="4" w:space="0" w:color="000000"/>
              <w:left w:val="single" w:sz="12" w:space="0" w:color="000000"/>
              <w:bottom w:val="single" w:sz="4" w:space="0" w:color="000000"/>
              <w:right w:val="single" w:sz="12" w:space="0" w:color="000000"/>
            </w:tcBorders>
          </w:tcPr>
          <w:p w14:paraId="4FC01C4D" w14:textId="77777777" w:rsidR="000A75F9" w:rsidRDefault="000A75F9" w:rsidP="000A75F9">
            <w:pPr>
              <w:spacing w:after="0" w:line="259" w:lineRule="auto"/>
              <w:ind w:left="2" w:right="0" w:firstLine="0"/>
            </w:pPr>
            <w:r>
              <w:rPr>
                <w:sz w:val="18"/>
              </w:rPr>
              <w:t>Dibenz[</w:t>
            </w:r>
            <w:proofErr w:type="spellStart"/>
            <w:proofErr w:type="gramStart"/>
            <w:r>
              <w:rPr>
                <w:sz w:val="18"/>
              </w:rPr>
              <w:t>a,h</w:t>
            </w:r>
            <w:proofErr w:type="spellEnd"/>
            <w:proofErr w:type="gramEnd"/>
            <w:r>
              <w:rPr>
                <w:sz w:val="18"/>
              </w:rPr>
              <w:t xml:space="preserve">]anthracene </w:t>
            </w:r>
          </w:p>
        </w:tc>
        <w:tc>
          <w:tcPr>
            <w:tcW w:w="1366" w:type="dxa"/>
            <w:tcBorders>
              <w:top w:val="single" w:sz="4" w:space="0" w:color="000000"/>
              <w:left w:val="single" w:sz="12" w:space="0" w:color="000000"/>
              <w:bottom w:val="single" w:sz="4" w:space="0" w:color="000000"/>
              <w:right w:val="single" w:sz="12" w:space="0" w:color="000000"/>
            </w:tcBorders>
          </w:tcPr>
          <w:p w14:paraId="180A9F1A" w14:textId="7ABBFACB" w:rsidR="000A75F9" w:rsidRDefault="000A75F9" w:rsidP="002305D6">
            <w:pPr>
              <w:spacing w:after="0" w:line="259" w:lineRule="auto"/>
              <w:ind w:left="0" w:right="44" w:firstLine="0"/>
              <w:jc w:val="center"/>
            </w:pPr>
            <w:r>
              <w:rPr>
                <w:sz w:val="18"/>
              </w:rPr>
              <w:t>53-70-3</w:t>
            </w:r>
          </w:p>
        </w:tc>
        <w:tc>
          <w:tcPr>
            <w:tcW w:w="687" w:type="dxa"/>
            <w:tcBorders>
              <w:top w:val="single" w:sz="4" w:space="0" w:color="000000"/>
              <w:left w:val="single" w:sz="12" w:space="0" w:color="000000"/>
              <w:bottom w:val="single" w:sz="4" w:space="0" w:color="000000"/>
              <w:right w:val="single" w:sz="12" w:space="0" w:color="000000"/>
            </w:tcBorders>
          </w:tcPr>
          <w:p w14:paraId="6A8655D9" w14:textId="189145E5" w:rsidR="000A75F9" w:rsidRDefault="000A75F9" w:rsidP="002305D6">
            <w:pPr>
              <w:tabs>
                <w:tab w:val="center" w:pos="399"/>
              </w:tabs>
              <w:spacing w:after="0" w:line="259" w:lineRule="auto"/>
              <w:ind w:left="0" w:right="0" w:firstLine="0"/>
              <w:jc w:val="center"/>
            </w:pPr>
            <w:r>
              <w:rPr>
                <w:sz w:val="18"/>
              </w:rPr>
              <w:t>0.6</w:t>
            </w:r>
          </w:p>
        </w:tc>
        <w:tc>
          <w:tcPr>
            <w:tcW w:w="1023" w:type="dxa"/>
            <w:tcBorders>
              <w:top w:val="single" w:sz="4" w:space="0" w:color="000000"/>
              <w:left w:val="single" w:sz="12" w:space="0" w:color="000000"/>
              <w:bottom w:val="single" w:sz="4" w:space="0" w:color="000000"/>
              <w:right w:val="single" w:sz="12" w:space="0" w:color="000000"/>
            </w:tcBorders>
          </w:tcPr>
          <w:p w14:paraId="3E9868E2" w14:textId="18331751" w:rsidR="000A75F9" w:rsidRDefault="000A75F9" w:rsidP="002305D6">
            <w:pPr>
              <w:spacing w:after="0" w:line="259" w:lineRule="auto"/>
              <w:ind w:left="0" w:right="46" w:firstLine="0"/>
              <w:jc w:val="center"/>
            </w:pPr>
            <w:r>
              <w:rPr>
                <w:sz w:val="18"/>
              </w:rPr>
              <w:t>ug/L</w:t>
            </w:r>
          </w:p>
        </w:tc>
        <w:tc>
          <w:tcPr>
            <w:tcW w:w="736" w:type="dxa"/>
            <w:tcBorders>
              <w:top w:val="single" w:sz="4" w:space="0" w:color="000000"/>
              <w:left w:val="single" w:sz="12" w:space="0" w:color="000000"/>
              <w:bottom w:val="single" w:sz="4" w:space="0" w:color="000000"/>
              <w:right w:val="single" w:sz="12" w:space="0" w:color="000000"/>
            </w:tcBorders>
          </w:tcPr>
          <w:p w14:paraId="77FC7406" w14:textId="7B124FF2" w:rsidR="000A75F9" w:rsidRDefault="000A75F9" w:rsidP="002305D6">
            <w:pPr>
              <w:spacing w:after="0" w:line="259" w:lineRule="auto"/>
              <w:ind w:left="0" w:right="47" w:firstLine="0"/>
              <w:jc w:val="center"/>
            </w:pPr>
            <w:r>
              <w:rPr>
                <w:sz w:val="18"/>
              </w:rPr>
              <w:t>N/A</w:t>
            </w:r>
          </w:p>
        </w:tc>
        <w:tc>
          <w:tcPr>
            <w:tcW w:w="1154" w:type="dxa"/>
            <w:tcBorders>
              <w:top w:val="single" w:sz="4" w:space="0" w:color="000000"/>
              <w:left w:val="single" w:sz="12" w:space="0" w:color="000000"/>
              <w:bottom w:val="single" w:sz="4" w:space="0" w:color="000000"/>
              <w:right w:val="single" w:sz="12" w:space="0" w:color="000000"/>
            </w:tcBorders>
          </w:tcPr>
          <w:p w14:paraId="2AFC06C9" w14:textId="0891E8BC" w:rsidR="000A75F9" w:rsidRDefault="000A75F9" w:rsidP="002305D6">
            <w:pPr>
              <w:spacing w:after="0" w:line="259" w:lineRule="auto"/>
              <w:ind w:left="0" w:right="42" w:firstLine="0"/>
              <w:jc w:val="center"/>
            </w:pPr>
            <w:r>
              <w:rPr>
                <w:sz w:val="18"/>
              </w:rPr>
              <w:t>N/A</w:t>
            </w:r>
          </w:p>
        </w:tc>
        <w:tc>
          <w:tcPr>
            <w:tcW w:w="766" w:type="dxa"/>
            <w:tcBorders>
              <w:top w:val="single" w:sz="4" w:space="0" w:color="000000"/>
              <w:left w:val="single" w:sz="12" w:space="0" w:color="000000"/>
              <w:bottom w:val="single" w:sz="4" w:space="0" w:color="000000"/>
              <w:right w:val="single" w:sz="12" w:space="0" w:color="000000"/>
            </w:tcBorders>
          </w:tcPr>
          <w:p w14:paraId="219D298F" w14:textId="609A2479" w:rsidR="000A75F9" w:rsidRPr="00676464" w:rsidRDefault="000A75F9" w:rsidP="002305D6">
            <w:pPr>
              <w:spacing w:after="0" w:line="259" w:lineRule="auto"/>
              <w:ind w:left="0" w:right="45" w:firstLine="0"/>
              <w:jc w:val="center"/>
              <w:rPr>
                <w:bCs/>
              </w:rPr>
            </w:pPr>
            <w:r w:rsidRPr="00676464">
              <w:rPr>
                <w:bCs/>
                <w:sz w:val="18"/>
              </w:rPr>
              <w:t>550.1</w:t>
            </w:r>
          </w:p>
        </w:tc>
        <w:tc>
          <w:tcPr>
            <w:tcW w:w="764" w:type="dxa"/>
            <w:tcBorders>
              <w:top w:val="single" w:sz="4" w:space="0" w:color="000000"/>
              <w:left w:val="single" w:sz="12" w:space="0" w:color="000000"/>
              <w:bottom w:val="single" w:sz="4" w:space="0" w:color="000000"/>
              <w:right w:val="single" w:sz="12" w:space="0" w:color="000000"/>
            </w:tcBorders>
          </w:tcPr>
          <w:p w14:paraId="255012F1" w14:textId="14762E4B" w:rsidR="000A75F9" w:rsidRDefault="000A75F9" w:rsidP="007A7937">
            <w:pPr>
              <w:spacing w:after="0" w:line="259" w:lineRule="auto"/>
              <w:ind w:left="0" w:right="2" w:firstLine="0"/>
              <w:jc w:val="center"/>
            </w:pPr>
          </w:p>
        </w:tc>
        <w:tc>
          <w:tcPr>
            <w:tcW w:w="630" w:type="dxa"/>
            <w:tcBorders>
              <w:top w:val="single" w:sz="4" w:space="0" w:color="000000"/>
              <w:left w:val="single" w:sz="12" w:space="0" w:color="000000"/>
              <w:bottom w:val="single" w:sz="4" w:space="0" w:color="000000"/>
              <w:right w:val="single" w:sz="12" w:space="0" w:color="000000"/>
            </w:tcBorders>
          </w:tcPr>
          <w:p w14:paraId="0BF35FAD" w14:textId="14DAC226" w:rsidR="000A75F9" w:rsidRDefault="000A75F9" w:rsidP="002305D6">
            <w:pPr>
              <w:spacing w:after="0" w:line="259" w:lineRule="auto"/>
              <w:ind w:left="0" w:right="44" w:firstLine="0"/>
              <w:jc w:val="center"/>
            </w:pPr>
            <w:r>
              <w:rPr>
                <w:sz w:val="18"/>
              </w:rPr>
              <w:t>525.2</w:t>
            </w:r>
          </w:p>
        </w:tc>
      </w:tr>
      <w:tr w:rsidR="000A75F9" w14:paraId="263F421C" w14:textId="77777777" w:rsidTr="00C23B62">
        <w:trPr>
          <w:trHeight w:val="252"/>
        </w:trPr>
        <w:tc>
          <w:tcPr>
            <w:tcW w:w="3404" w:type="dxa"/>
            <w:tcBorders>
              <w:top w:val="single" w:sz="4" w:space="0" w:color="000000"/>
              <w:left w:val="single" w:sz="12" w:space="0" w:color="000000"/>
              <w:bottom w:val="single" w:sz="4" w:space="0" w:color="000000"/>
              <w:right w:val="single" w:sz="12" w:space="0" w:color="000000"/>
            </w:tcBorders>
          </w:tcPr>
          <w:p w14:paraId="2461D598" w14:textId="77777777" w:rsidR="000A75F9" w:rsidRDefault="000A75F9" w:rsidP="000A75F9">
            <w:pPr>
              <w:spacing w:after="0" w:line="259" w:lineRule="auto"/>
              <w:ind w:left="2" w:right="0" w:firstLine="0"/>
            </w:pPr>
            <w:r>
              <w:rPr>
                <w:sz w:val="18"/>
              </w:rPr>
              <w:t xml:space="preserve">Fluoranthene </w:t>
            </w:r>
          </w:p>
        </w:tc>
        <w:tc>
          <w:tcPr>
            <w:tcW w:w="1366" w:type="dxa"/>
            <w:tcBorders>
              <w:top w:val="single" w:sz="4" w:space="0" w:color="000000"/>
              <w:left w:val="single" w:sz="12" w:space="0" w:color="000000"/>
              <w:bottom w:val="single" w:sz="4" w:space="0" w:color="000000"/>
              <w:right w:val="single" w:sz="12" w:space="0" w:color="000000"/>
            </w:tcBorders>
          </w:tcPr>
          <w:p w14:paraId="584BE74F" w14:textId="2756E98C" w:rsidR="000A75F9" w:rsidRDefault="000A75F9" w:rsidP="002305D6">
            <w:pPr>
              <w:spacing w:after="0" w:line="259" w:lineRule="auto"/>
              <w:ind w:left="0" w:right="44" w:firstLine="0"/>
              <w:jc w:val="center"/>
            </w:pPr>
            <w:r>
              <w:rPr>
                <w:sz w:val="18"/>
              </w:rPr>
              <w:t>206-44-0</w:t>
            </w:r>
          </w:p>
        </w:tc>
        <w:tc>
          <w:tcPr>
            <w:tcW w:w="687" w:type="dxa"/>
            <w:tcBorders>
              <w:top w:val="single" w:sz="4" w:space="0" w:color="000000"/>
              <w:left w:val="single" w:sz="12" w:space="0" w:color="000000"/>
              <w:bottom w:val="single" w:sz="4" w:space="0" w:color="000000"/>
              <w:right w:val="single" w:sz="12" w:space="0" w:color="000000"/>
            </w:tcBorders>
          </w:tcPr>
          <w:p w14:paraId="72F5994A" w14:textId="4C4A6D1C" w:rsidR="000A75F9" w:rsidRDefault="000A75F9" w:rsidP="002305D6">
            <w:pPr>
              <w:tabs>
                <w:tab w:val="center" w:pos="308"/>
              </w:tabs>
              <w:spacing w:after="0" w:line="259" w:lineRule="auto"/>
              <w:ind w:left="0" w:right="0" w:firstLine="0"/>
              <w:jc w:val="center"/>
            </w:pPr>
            <w:r>
              <w:rPr>
                <w:sz w:val="18"/>
              </w:rPr>
              <w:t>10</w:t>
            </w:r>
          </w:p>
        </w:tc>
        <w:tc>
          <w:tcPr>
            <w:tcW w:w="1023" w:type="dxa"/>
            <w:tcBorders>
              <w:top w:val="single" w:sz="4" w:space="0" w:color="000000"/>
              <w:left w:val="single" w:sz="12" w:space="0" w:color="000000"/>
              <w:bottom w:val="single" w:sz="4" w:space="0" w:color="000000"/>
              <w:right w:val="single" w:sz="12" w:space="0" w:color="000000"/>
            </w:tcBorders>
          </w:tcPr>
          <w:p w14:paraId="530692AF" w14:textId="5E48AF6D" w:rsidR="000A75F9" w:rsidRDefault="000A75F9" w:rsidP="002305D6">
            <w:pPr>
              <w:spacing w:after="0" w:line="259" w:lineRule="auto"/>
              <w:ind w:left="0" w:right="46" w:firstLine="0"/>
              <w:jc w:val="center"/>
            </w:pPr>
            <w:r>
              <w:rPr>
                <w:sz w:val="18"/>
              </w:rPr>
              <w:t>ug/L</w:t>
            </w:r>
          </w:p>
        </w:tc>
        <w:tc>
          <w:tcPr>
            <w:tcW w:w="736" w:type="dxa"/>
            <w:tcBorders>
              <w:top w:val="single" w:sz="4" w:space="0" w:color="000000"/>
              <w:left w:val="single" w:sz="12" w:space="0" w:color="000000"/>
              <w:bottom w:val="single" w:sz="4" w:space="0" w:color="000000"/>
              <w:right w:val="single" w:sz="12" w:space="0" w:color="000000"/>
            </w:tcBorders>
          </w:tcPr>
          <w:p w14:paraId="3E362582" w14:textId="257EC3CA" w:rsidR="000A75F9" w:rsidRDefault="000A75F9" w:rsidP="002305D6">
            <w:pPr>
              <w:spacing w:after="0" w:line="259" w:lineRule="auto"/>
              <w:ind w:left="0" w:right="47" w:firstLine="0"/>
              <w:jc w:val="center"/>
            </w:pPr>
            <w:r>
              <w:rPr>
                <w:sz w:val="18"/>
              </w:rPr>
              <w:t>N/A</w:t>
            </w:r>
          </w:p>
        </w:tc>
        <w:tc>
          <w:tcPr>
            <w:tcW w:w="1154" w:type="dxa"/>
            <w:tcBorders>
              <w:top w:val="single" w:sz="4" w:space="0" w:color="000000"/>
              <w:left w:val="single" w:sz="12" w:space="0" w:color="000000"/>
              <w:bottom w:val="single" w:sz="4" w:space="0" w:color="000000"/>
              <w:right w:val="single" w:sz="12" w:space="0" w:color="000000"/>
            </w:tcBorders>
          </w:tcPr>
          <w:p w14:paraId="3E49AF36" w14:textId="0B29D209" w:rsidR="000A75F9" w:rsidRDefault="000A75F9" w:rsidP="002305D6">
            <w:pPr>
              <w:spacing w:after="0" w:line="259" w:lineRule="auto"/>
              <w:ind w:left="0" w:right="42" w:firstLine="0"/>
              <w:jc w:val="center"/>
            </w:pPr>
            <w:r>
              <w:rPr>
                <w:sz w:val="18"/>
              </w:rPr>
              <w:t>N/A</w:t>
            </w:r>
          </w:p>
        </w:tc>
        <w:tc>
          <w:tcPr>
            <w:tcW w:w="766" w:type="dxa"/>
            <w:tcBorders>
              <w:top w:val="single" w:sz="4" w:space="0" w:color="000000"/>
              <w:left w:val="single" w:sz="12" w:space="0" w:color="000000"/>
              <w:bottom w:val="single" w:sz="4" w:space="0" w:color="000000"/>
              <w:right w:val="single" w:sz="12" w:space="0" w:color="000000"/>
            </w:tcBorders>
          </w:tcPr>
          <w:p w14:paraId="2BD3934B" w14:textId="5E6B58D7" w:rsidR="000A75F9" w:rsidRPr="00676464" w:rsidRDefault="000A75F9" w:rsidP="002305D6">
            <w:pPr>
              <w:spacing w:after="0" w:line="259" w:lineRule="auto"/>
              <w:ind w:left="0" w:right="45" w:firstLine="0"/>
              <w:jc w:val="center"/>
              <w:rPr>
                <w:bCs/>
              </w:rPr>
            </w:pPr>
            <w:r w:rsidRPr="00676464">
              <w:rPr>
                <w:bCs/>
                <w:sz w:val="18"/>
              </w:rPr>
              <w:t>550.1</w:t>
            </w:r>
          </w:p>
        </w:tc>
        <w:tc>
          <w:tcPr>
            <w:tcW w:w="764" w:type="dxa"/>
            <w:tcBorders>
              <w:top w:val="single" w:sz="4" w:space="0" w:color="000000"/>
              <w:left w:val="single" w:sz="12" w:space="0" w:color="000000"/>
              <w:bottom w:val="single" w:sz="4" w:space="0" w:color="000000"/>
              <w:right w:val="single" w:sz="12" w:space="0" w:color="000000"/>
            </w:tcBorders>
          </w:tcPr>
          <w:p w14:paraId="6EC67491" w14:textId="7675E926" w:rsidR="000A75F9" w:rsidRDefault="000A75F9" w:rsidP="007A7937">
            <w:pPr>
              <w:spacing w:after="0" w:line="259" w:lineRule="auto"/>
              <w:ind w:right="0"/>
              <w:jc w:val="center"/>
            </w:pPr>
            <w:r>
              <w:rPr>
                <w:sz w:val="18"/>
              </w:rPr>
              <w:t>1625</w:t>
            </w:r>
          </w:p>
        </w:tc>
        <w:tc>
          <w:tcPr>
            <w:tcW w:w="630" w:type="dxa"/>
            <w:tcBorders>
              <w:top w:val="single" w:sz="4" w:space="0" w:color="000000"/>
              <w:left w:val="single" w:sz="12" w:space="0" w:color="000000"/>
              <w:bottom w:val="single" w:sz="4" w:space="0" w:color="000000"/>
              <w:right w:val="single" w:sz="12" w:space="0" w:color="000000"/>
            </w:tcBorders>
          </w:tcPr>
          <w:p w14:paraId="4E72D416" w14:textId="3A5B40C7" w:rsidR="000A75F9" w:rsidRDefault="000A75F9" w:rsidP="002305D6">
            <w:pPr>
              <w:spacing w:after="0" w:line="259" w:lineRule="auto"/>
              <w:ind w:left="0" w:right="2" w:firstLine="0"/>
              <w:jc w:val="center"/>
            </w:pPr>
          </w:p>
        </w:tc>
      </w:tr>
      <w:tr w:rsidR="000A75F9" w14:paraId="37B55F45" w14:textId="77777777" w:rsidTr="00C23B62">
        <w:trPr>
          <w:trHeight w:val="250"/>
        </w:trPr>
        <w:tc>
          <w:tcPr>
            <w:tcW w:w="3404" w:type="dxa"/>
            <w:tcBorders>
              <w:top w:val="single" w:sz="4" w:space="0" w:color="000000"/>
              <w:left w:val="single" w:sz="12" w:space="0" w:color="000000"/>
              <w:bottom w:val="single" w:sz="4" w:space="0" w:color="000000"/>
              <w:right w:val="single" w:sz="12" w:space="0" w:color="000000"/>
            </w:tcBorders>
          </w:tcPr>
          <w:p w14:paraId="63D7F826" w14:textId="77777777" w:rsidR="000A75F9" w:rsidRDefault="000A75F9" w:rsidP="000A75F9">
            <w:pPr>
              <w:spacing w:after="0" w:line="259" w:lineRule="auto"/>
              <w:ind w:left="2" w:right="0" w:firstLine="0"/>
            </w:pPr>
            <w:r>
              <w:rPr>
                <w:sz w:val="18"/>
              </w:rPr>
              <w:t xml:space="preserve">Fluorene </w:t>
            </w:r>
          </w:p>
        </w:tc>
        <w:tc>
          <w:tcPr>
            <w:tcW w:w="1366" w:type="dxa"/>
            <w:tcBorders>
              <w:top w:val="single" w:sz="4" w:space="0" w:color="000000"/>
              <w:left w:val="single" w:sz="12" w:space="0" w:color="000000"/>
              <w:bottom w:val="single" w:sz="4" w:space="0" w:color="000000"/>
              <w:right w:val="single" w:sz="12" w:space="0" w:color="000000"/>
            </w:tcBorders>
          </w:tcPr>
          <w:p w14:paraId="6F57AAAF" w14:textId="59D0EB02" w:rsidR="000A75F9" w:rsidRDefault="000A75F9" w:rsidP="002305D6">
            <w:pPr>
              <w:spacing w:after="0" w:line="259" w:lineRule="auto"/>
              <w:ind w:left="0" w:right="44" w:firstLine="0"/>
              <w:jc w:val="center"/>
            </w:pPr>
            <w:r>
              <w:rPr>
                <w:sz w:val="18"/>
              </w:rPr>
              <w:t>86-73-7</w:t>
            </w:r>
          </w:p>
        </w:tc>
        <w:tc>
          <w:tcPr>
            <w:tcW w:w="687" w:type="dxa"/>
            <w:tcBorders>
              <w:top w:val="single" w:sz="4" w:space="0" w:color="000000"/>
              <w:left w:val="single" w:sz="12" w:space="0" w:color="000000"/>
              <w:bottom w:val="single" w:sz="4" w:space="0" w:color="000000"/>
              <w:right w:val="single" w:sz="12" w:space="0" w:color="000000"/>
            </w:tcBorders>
          </w:tcPr>
          <w:p w14:paraId="113BF676" w14:textId="3ED487F7" w:rsidR="000A75F9" w:rsidRDefault="000A75F9" w:rsidP="002305D6">
            <w:pPr>
              <w:tabs>
                <w:tab w:val="center" w:pos="308"/>
              </w:tabs>
              <w:spacing w:after="0" w:line="259" w:lineRule="auto"/>
              <w:ind w:left="0" w:right="0" w:firstLine="0"/>
              <w:jc w:val="center"/>
            </w:pPr>
            <w:r>
              <w:rPr>
                <w:sz w:val="18"/>
              </w:rPr>
              <w:t>10</w:t>
            </w:r>
          </w:p>
        </w:tc>
        <w:tc>
          <w:tcPr>
            <w:tcW w:w="1023" w:type="dxa"/>
            <w:tcBorders>
              <w:top w:val="single" w:sz="4" w:space="0" w:color="000000"/>
              <w:left w:val="single" w:sz="12" w:space="0" w:color="000000"/>
              <w:bottom w:val="single" w:sz="4" w:space="0" w:color="000000"/>
              <w:right w:val="single" w:sz="12" w:space="0" w:color="000000"/>
            </w:tcBorders>
          </w:tcPr>
          <w:p w14:paraId="446ABC26" w14:textId="7A70D935" w:rsidR="000A75F9" w:rsidRDefault="000A75F9" w:rsidP="002305D6">
            <w:pPr>
              <w:spacing w:after="0" w:line="259" w:lineRule="auto"/>
              <w:ind w:left="0" w:right="46" w:firstLine="0"/>
              <w:jc w:val="center"/>
            </w:pPr>
            <w:r>
              <w:rPr>
                <w:sz w:val="18"/>
              </w:rPr>
              <w:t>ug/L</w:t>
            </w:r>
          </w:p>
        </w:tc>
        <w:tc>
          <w:tcPr>
            <w:tcW w:w="736" w:type="dxa"/>
            <w:tcBorders>
              <w:top w:val="single" w:sz="4" w:space="0" w:color="000000"/>
              <w:left w:val="single" w:sz="12" w:space="0" w:color="000000"/>
              <w:bottom w:val="single" w:sz="4" w:space="0" w:color="000000"/>
              <w:right w:val="single" w:sz="12" w:space="0" w:color="000000"/>
            </w:tcBorders>
          </w:tcPr>
          <w:p w14:paraId="4DC0C8E2" w14:textId="5649B539" w:rsidR="000A75F9" w:rsidRDefault="000A75F9" w:rsidP="002305D6">
            <w:pPr>
              <w:spacing w:after="0" w:line="259" w:lineRule="auto"/>
              <w:ind w:left="0" w:right="47" w:firstLine="0"/>
              <w:jc w:val="center"/>
            </w:pPr>
            <w:r>
              <w:rPr>
                <w:sz w:val="18"/>
              </w:rPr>
              <w:t>N/A</w:t>
            </w:r>
          </w:p>
        </w:tc>
        <w:tc>
          <w:tcPr>
            <w:tcW w:w="1154" w:type="dxa"/>
            <w:tcBorders>
              <w:top w:val="single" w:sz="4" w:space="0" w:color="000000"/>
              <w:left w:val="single" w:sz="12" w:space="0" w:color="000000"/>
              <w:bottom w:val="single" w:sz="4" w:space="0" w:color="000000"/>
              <w:right w:val="single" w:sz="12" w:space="0" w:color="000000"/>
            </w:tcBorders>
          </w:tcPr>
          <w:p w14:paraId="77E76016" w14:textId="64BA25FE" w:rsidR="000A75F9" w:rsidRDefault="000A75F9" w:rsidP="002305D6">
            <w:pPr>
              <w:spacing w:after="0" w:line="259" w:lineRule="auto"/>
              <w:ind w:left="0" w:right="42" w:firstLine="0"/>
              <w:jc w:val="center"/>
            </w:pPr>
            <w:r>
              <w:rPr>
                <w:sz w:val="18"/>
              </w:rPr>
              <w:t>N/A</w:t>
            </w:r>
          </w:p>
        </w:tc>
        <w:tc>
          <w:tcPr>
            <w:tcW w:w="766" w:type="dxa"/>
            <w:tcBorders>
              <w:top w:val="single" w:sz="4" w:space="0" w:color="000000"/>
              <w:left w:val="single" w:sz="12" w:space="0" w:color="000000"/>
              <w:bottom w:val="single" w:sz="4" w:space="0" w:color="000000"/>
              <w:right w:val="single" w:sz="12" w:space="0" w:color="000000"/>
            </w:tcBorders>
          </w:tcPr>
          <w:p w14:paraId="025E31F8" w14:textId="54507CC1" w:rsidR="000A75F9" w:rsidRPr="00676464" w:rsidRDefault="000A75F9" w:rsidP="002305D6">
            <w:pPr>
              <w:spacing w:after="0" w:line="259" w:lineRule="auto"/>
              <w:ind w:left="0" w:right="45" w:firstLine="0"/>
              <w:jc w:val="center"/>
              <w:rPr>
                <w:bCs/>
              </w:rPr>
            </w:pPr>
            <w:r w:rsidRPr="00676464">
              <w:rPr>
                <w:bCs/>
                <w:sz w:val="18"/>
              </w:rPr>
              <w:t>550.1</w:t>
            </w:r>
          </w:p>
        </w:tc>
        <w:tc>
          <w:tcPr>
            <w:tcW w:w="764" w:type="dxa"/>
            <w:tcBorders>
              <w:top w:val="single" w:sz="4" w:space="0" w:color="000000"/>
              <w:left w:val="single" w:sz="12" w:space="0" w:color="000000"/>
              <w:bottom w:val="single" w:sz="4" w:space="0" w:color="000000"/>
              <w:right w:val="single" w:sz="12" w:space="0" w:color="000000"/>
            </w:tcBorders>
          </w:tcPr>
          <w:p w14:paraId="72AFA1E0" w14:textId="4ED1E9A9" w:rsidR="000A75F9" w:rsidRDefault="000A75F9" w:rsidP="007A7937">
            <w:pPr>
              <w:spacing w:after="0" w:line="259" w:lineRule="auto"/>
              <w:ind w:right="0"/>
              <w:jc w:val="center"/>
            </w:pPr>
            <w:r>
              <w:rPr>
                <w:sz w:val="18"/>
              </w:rPr>
              <w:t>1625</w:t>
            </w:r>
          </w:p>
        </w:tc>
        <w:tc>
          <w:tcPr>
            <w:tcW w:w="630" w:type="dxa"/>
            <w:tcBorders>
              <w:top w:val="single" w:sz="4" w:space="0" w:color="000000"/>
              <w:left w:val="single" w:sz="12" w:space="0" w:color="000000"/>
              <w:bottom w:val="single" w:sz="4" w:space="0" w:color="000000"/>
              <w:right w:val="single" w:sz="12" w:space="0" w:color="000000"/>
            </w:tcBorders>
          </w:tcPr>
          <w:p w14:paraId="56E203B7" w14:textId="5153388D" w:rsidR="000A75F9" w:rsidRDefault="000A75F9" w:rsidP="002305D6">
            <w:pPr>
              <w:spacing w:after="0" w:line="259" w:lineRule="auto"/>
              <w:ind w:left="0" w:right="44" w:firstLine="0"/>
              <w:jc w:val="center"/>
            </w:pPr>
            <w:r>
              <w:rPr>
                <w:sz w:val="18"/>
              </w:rPr>
              <w:t>525.2</w:t>
            </w:r>
          </w:p>
        </w:tc>
      </w:tr>
      <w:tr w:rsidR="000A75F9" w14:paraId="5F8271A1" w14:textId="77777777" w:rsidTr="00C23B62">
        <w:trPr>
          <w:trHeight w:val="250"/>
        </w:trPr>
        <w:tc>
          <w:tcPr>
            <w:tcW w:w="3404" w:type="dxa"/>
            <w:tcBorders>
              <w:top w:val="single" w:sz="4" w:space="0" w:color="000000"/>
              <w:left w:val="single" w:sz="12" w:space="0" w:color="000000"/>
              <w:bottom w:val="single" w:sz="4" w:space="0" w:color="000000"/>
              <w:right w:val="single" w:sz="12" w:space="0" w:color="000000"/>
            </w:tcBorders>
          </w:tcPr>
          <w:p w14:paraId="4414A119" w14:textId="2428E0DC" w:rsidR="000A75F9" w:rsidRDefault="000A75F9" w:rsidP="000A75F9">
            <w:pPr>
              <w:spacing w:after="0" w:line="259" w:lineRule="auto"/>
              <w:ind w:left="2" w:right="0" w:firstLine="0"/>
            </w:pPr>
            <w:proofErr w:type="spellStart"/>
            <w:r>
              <w:rPr>
                <w:sz w:val="18"/>
              </w:rPr>
              <w:t>Indeno</w:t>
            </w:r>
            <w:proofErr w:type="spellEnd"/>
            <w:r>
              <w:rPr>
                <w:sz w:val="18"/>
              </w:rPr>
              <w:t>[1,2,3-cd] pyrene</w:t>
            </w:r>
            <w:r>
              <w:rPr>
                <w:b/>
                <w:sz w:val="18"/>
              </w:rPr>
              <w:t xml:space="preserve"> </w:t>
            </w:r>
          </w:p>
        </w:tc>
        <w:tc>
          <w:tcPr>
            <w:tcW w:w="1366" w:type="dxa"/>
            <w:tcBorders>
              <w:top w:val="single" w:sz="4" w:space="0" w:color="000000"/>
              <w:left w:val="single" w:sz="12" w:space="0" w:color="000000"/>
              <w:bottom w:val="single" w:sz="4" w:space="0" w:color="000000"/>
              <w:right w:val="single" w:sz="12" w:space="0" w:color="000000"/>
            </w:tcBorders>
          </w:tcPr>
          <w:p w14:paraId="66751D69" w14:textId="00AD5636" w:rsidR="000A75F9" w:rsidRDefault="000A75F9" w:rsidP="002305D6">
            <w:pPr>
              <w:spacing w:after="0" w:line="259" w:lineRule="auto"/>
              <w:ind w:left="0" w:right="44" w:firstLine="0"/>
              <w:jc w:val="center"/>
            </w:pPr>
            <w:r>
              <w:rPr>
                <w:sz w:val="18"/>
              </w:rPr>
              <w:t>193-39-5</w:t>
            </w:r>
          </w:p>
        </w:tc>
        <w:tc>
          <w:tcPr>
            <w:tcW w:w="687" w:type="dxa"/>
            <w:tcBorders>
              <w:top w:val="single" w:sz="4" w:space="0" w:color="000000"/>
              <w:left w:val="single" w:sz="12" w:space="0" w:color="000000"/>
              <w:bottom w:val="single" w:sz="4" w:space="0" w:color="000000"/>
              <w:right w:val="single" w:sz="12" w:space="0" w:color="000000"/>
            </w:tcBorders>
          </w:tcPr>
          <w:p w14:paraId="35F64379" w14:textId="14D1190E" w:rsidR="000A75F9" w:rsidRDefault="000A75F9" w:rsidP="002305D6">
            <w:pPr>
              <w:tabs>
                <w:tab w:val="right" w:pos="712"/>
              </w:tabs>
              <w:spacing w:after="0" w:line="259" w:lineRule="auto"/>
              <w:ind w:left="0" w:right="0" w:firstLine="0"/>
              <w:jc w:val="center"/>
            </w:pPr>
            <w:r>
              <w:rPr>
                <w:b/>
                <w:sz w:val="18"/>
              </w:rPr>
              <w:t>0.02</w:t>
            </w:r>
          </w:p>
        </w:tc>
        <w:tc>
          <w:tcPr>
            <w:tcW w:w="1023" w:type="dxa"/>
            <w:tcBorders>
              <w:top w:val="single" w:sz="4" w:space="0" w:color="000000"/>
              <w:left w:val="single" w:sz="12" w:space="0" w:color="000000"/>
              <w:bottom w:val="single" w:sz="4" w:space="0" w:color="000000"/>
              <w:right w:val="single" w:sz="12" w:space="0" w:color="000000"/>
            </w:tcBorders>
          </w:tcPr>
          <w:p w14:paraId="43875C3D" w14:textId="34BAF3D9" w:rsidR="000A75F9" w:rsidRDefault="000A75F9" w:rsidP="002305D6">
            <w:pPr>
              <w:spacing w:after="0" w:line="259" w:lineRule="auto"/>
              <w:ind w:left="0" w:right="46" w:firstLine="0"/>
              <w:jc w:val="center"/>
            </w:pPr>
            <w:r>
              <w:rPr>
                <w:sz w:val="18"/>
              </w:rPr>
              <w:t>ug/L</w:t>
            </w:r>
          </w:p>
        </w:tc>
        <w:tc>
          <w:tcPr>
            <w:tcW w:w="736" w:type="dxa"/>
            <w:tcBorders>
              <w:top w:val="single" w:sz="4" w:space="0" w:color="000000"/>
              <w:left w:val="single" w:sz="12" w:space="0" w:color="000000"/>
              <w:bottom w:val="single" w:sz="4" w:space="0" w:color="000000"/>
              <w:right w:val="single" w:sz="12" w:space="0" w:color="000000"/>
            </w:tcBorders>
          </w:tcPr>
          <w:p w14:paraId="3AEA5D7D" w14:textId="03298EEF" w:rsidR="000A75F9" w:rsidRDefault="000A75F9" w:rsidP="002305D6">
            <w:pPr>
              <w:spacing w:after="0" w:line="259" w:lineRule="auto"/>
              <w:ind w:left="0" w:right="47" w:firstLine="0"/>
              <w:jc w:val="center"/>
            </w:pPr>
            <w:r>
              <w:rPr>
                <w:sz w:val="18"/>
              </w:rPr>
              <w:t>N/A</w:t>
            </w:r>
          </w:p>
        </w:tc>
        <w:tc>
          <w:tcPr>
            <w:tcW w:w="1154" w:type="dxa"/>
            <w:tcBorders>
              <w:top w:val="single" w:sz="4" w:space="0" w:color="000000"/>
              <w:left w:val="single" w:sz="12" w:space="0" w:color="000000"/>
              <w:bottom w:val="single" w:sz="4" w:space="0" w:color="000000"/>
              <w:right w:val="single" w:sz="12" w:space="0" w:color="000000"/>
            </w:tcBorders>
          </w:tcPr>
          <w:p w14:paraId="4C114945" w14:textId="6C5D2067" w:rsidR="000A75F9" w:rsidRDefault="000A75F9" w:rsidP="002305D6">
            <w:pPr>
              <w:spacing w:after="0" w:line="259" w:lineRule="auto"/>
              <w:ind w:left="0" w:right="42" w:firstLine="0"/>
              <w:jc w:val="center"/>
            </w:pPr>
            <w:r>
              <w:rPr>
                <w:sz w:val="18"/>
              </w:rPr>
              <w:t>N/A</w:t>
            </w:r>
          </w:p>
        </w:tc>
        <w:tc>
          <w:tcPr>
            <w:tcW w:w="766" w:type="dxa"/>
            <w:tcBorders>
              <w:top w:val="single" w:sz="4" w:space="0" w:color="000000"/>
              <w:left w:val="single" w:sz="12" w:space="0" w:color="000000"/>
              <w:bottom w:val="single" w:sz="4" w:space="0" w:color="000000"/>
              <w:right w:val="single" w:sz="12" w:space="0" w:color="000000"/>
            </w:tcBorders>
          </w:tcPr>
          <w:p w14:paraId="4E34B322" w14:textId="4BB1131B" w:rsidR="000A75F9" w:rsidRPr="00676464" w:rsidRDefault="000A75F9" w:rsidP="002305D6">
            <w:pPr>
              <w:spacing w:after="0" w:line="259" w:lineRule="auto"/>
              <w:ind w:left="0" w:right="45" w:firstLine="0"/>
              <w:jc w:val="center"/>
              <w:rPr>
                <w:bCs/>
              </w:rPr>
            </w:pPr>
            <w:r w:rsidRPr="00676464">
              <w:rPr>
                <w:bCs/>
                <w:sz w:val="18"/>
              </w:rPr>
              <w:t>550.1</w:t>
            </w:r>
          </w:p>
        </w:tc>
        <w:tc>
          <w:tcPr>
            <w:tcW w:w="764" w:type="dxa"/>
            <w:tcBorders>
              <w:top w:val="single" w:sz="4" w:space="0" w:color="000000"/>
              <w:left w:val="single" w:sz="12" w:space="0" w:color="000000"/>
              <w:bottom w:val="single" w:sz="4" w:space="0" w:color="000000"/>
              <w:right w:val="single" w:sz="12" w:space="0" w:color="000000"/>
            </w:tcBorders>
          </w:tcPr>
          <w:p w14:paraId="56C8FBBD" w14:textId="6336D989" w:rsidR="000A75F9" w:rsidRDefault="000A75F9" w:rsidP="007A7937">
            <w:pPr>
              <w:spacing w:after="0" w:line="259" w:lineRule="auto"/>
              <w:ind w:left="0" w:right="0" w:firstLine="0"/>
              <w:jc w:val="center"/>
            </w:pPr>
          </w:p>
        </w:tc>
        <w:tc>
          <w:tcPr>
            <w:tcW w:w="630" w:type="dxa"/>
            <w:tcBorders>
              <w:top w:val="single" w:sz="4" w:space="0" w:color="000000"/>
              <w:left w:val="single" w:sz="12" w:space="0" w:color="000000"/>
              <w:bottom w:val="single" w:sz="4" w:space="0" w:color="000000"/>
              <w:right w:val="single" w:sz="12" w:space="0" w:color="000000"/>
            </w:tcBorders>
          </w:tcPr>
          <w:p w14:paraId="776E5A13" w14:textId="4A4437BB" w:rsidR="000A75F9" w:rsidRDefault="000A75F9" w:rsidP="002305D6">
            <w:pPr>
              <w:spacing w:after="0" w:line="259" w:lineRule="auto"/>
              <w:ind w:left="0" w:right="44" w:firstLine="0"/>
              <w:jc w:val="center"/>
            </w:pPr>
            <w:r>
              <w:rPr>
                <w:sz w:val="18"/>
              </w:rPr>
              <w:t>525.2</w:t>
            </w:r>
          </w:p>
        </w:tc>
      </w:tr>
      <w:tr w:rsidR="000A75F9" w14:paraId="728330B3" w14:textId="77777777" w:rsidTr="00C23B62">
        <w:trPr>
          <w:trHeight w:val="259"/>
        </w:trPr>
        <w:tc>
          <w:tcPr>
            <w:tcW w:w="3404" w:type="dxa"/>
            <w:tcBorders>
              <w:top w:val="single" w:sz="4" w:space="0" w:color="000000"/>
              <w:left w:val="single" w:sz="12" w:space="0" w:color="000000"/>
              <w:bottom w:val="single" w:sz="12" w:space="0" w:color="000000"/>
              <w:right w:val="single" w:sz="12" w:space="0" w:color="000000"/>
            </w:tcBorders>
          </w:tcPr>
          <w:p w14:paraId="2A4E0887" w14:textId="77777777" w:rsidR="000A75F9" w:rsidRDefault="000A75F9" w:rsidP="000A75F9">
            <w:pPr>
              <w:spacing w:after="0" w:line="259" w:lineRule="auto"/>
              <w:ind w:left="2" w:right="0" w:firstLine="0"/>
            </w:pPr>
            <w:r>
              <w:rPr>
                <w:sz w:val="18"/>
              </w:rPr>
              <w:t xml:space="preserve">Pyrene </w:t>
            </w:r>
          </w:p>
        </w:tc>
        <w:tc>
          <w:tcPr>
            <w:tcW w:w="1366" w:type="dxa"/>
            <w:tcBorders>
              <w:top w:val="single" w:sz="4" w:space="0" w:color="000000"/>
              <w:left w:val="single" w:sz="12" w:space="0" w:color="000000"/>
              <w:bottom w:val="single" w:sz="12" w:space="0" w:color="000000"/>
              <w:right w:val="single" w:sz="12" w:space="0" w:color="000000"/>
            </w:tcBorders>
          </w:tcPr>
          <w:p w14:paraId="0EA9F11F" w14:textId="361AEE68" w:rsidR="000A75F9" w:rsidRDefault="000A75F9" w:rsidP="002305D6">
            <w:pPr>
              <w:spacing w:after="0" w:line="259" w:lineRule="auto"/>
              <w:ind w:left="0" w:right="44" w:firstLine="0"/>
              <w:jc w:val="center"/>
            </w:pPr>
            <w:r>
              <w:rPr>
                <w:sz w:val="18"/>
              </w:rPr>
              <w:t>129-00-0</w:t>
            </w:r>
          </w:p>
        </w:tc>
        <w:tc>
          <w:tcPr>
            <w:tcW w:w="687" w:type="dxa"/>
            <w:tcBorders>
              <w:top w:val="single" w:sz="4" w:space="0" w:color="000000"/>
              <w:left w:val="single" w:sz="12" w:space="0" w:color="000000"/>
              <w:bottom w:val="single" w:sz="12" w:space="0" w:color="000000"/>
              <w:right w:val="single" w:sz="12" w:space="0" w:color="000000"/>
            </w:tcBorders>
          </w:tcPr>
          <w:p w14:paraId="2893F014" w14:textId="4238CDB8" w:rsidR="000A75F9" w:rsidRDefault="000A75F9" w:rsidP="002305D6">
            <w:pPr>
              <w:tabs>
                <w:tab w:val="center" w:pos="308"/>
              </w:tabs>
              <w:spacing w:after="0" w:line="259" w:lineRule="auto"/>
              <w:ind w:left="0" w:right="0" w:firstLine="0"/>
              <w:jc w:val="center"/>
            </w:pPr>
            <w:r>
              <w:rPr>
                <w:sz w:val="18"/>
              </w:rPr>
              <w:t>10</w:t>
            </w:r>
          </w:p>
        </w:tc>
        <w:tc>
          <w:tcPr>
            <w:tcW w:w="1023" w:type="dxa"/>
            <w:tcBorders>
              <w:top w:val="single" w:sz="4" w:space="0" w:color="000000"/>
              <w:left w:val="single" w:sz="12" w:space="0" w:color="000000"/>
              <w:bottom w:val="single" w:sz="12" w:space="0" w:color="000000"/>
              <w:right w:val="single" w:sz="12" w:space="0" w:color="000000"/>
            </w:tcBorders>
          </w:tcPr>
          <w:p w14:paraId="4E6E037C" w14:textId="1838DFB1" w:rsidR="000A75F9" w:rsidRDefault="000A75F9" w:rsidP="002305D6">
            <w:pPr>
              <w:spacing w:after="0" w:line="259" w:lineRule="auto"/>
              <w:ind w:left="0" w:right="46" w:firstLine="0"/>
              <w:jc w:val="center"/>
            </w:pPr>
            <w:r>
              <w:rPr>
                <w:sz w:val="18"/>
              </w:rPr>
              <w:t>ug/L</w:t>
            </w:r>
          </w:p>
        </w:tc>
        <w:tc>
          <w:tcPr>
            <w:tcW w:w="736" w:type="dxa"/>
            <w:tcBorders>
              <w:top w:val="single" w:sz="4" w:space="0" w:color="000000"/>
              <w:left w:val="single" w:sz="12" w:space="0" w:color="000000"/>
              <w:bottom w:val="single" w:sz="12" w:space="0" w:color="000000"/>
              <w:right w:val="single" w:sz="12" w:space="0" w:color="000000"/>
            </w:tcBorders>
          </w:tcPr>
          <w:p w14:paraId="6D888C2D" w14:textId="58EA4697" w:rsidR="000A75F9" w:rsidRDefault="000A75F9" w:rsidP="002305D6">
            <w:pPr>
              <w:spacing w:after="0" w:line="259" w:lineRule="auto"/>
              <w:ind w:left="0" w:right="47" w:firstLine="0"/>
              <w:jc w:val="center"/>
            </w:pPr>
            <w:r>
              <w:rPr>
                <w:sz w:val="18"/>
              </w:rPr>
              <w:t>N/A</w:t>
            </w:r>
          </w:p>
        </w:tc>
        <w:tc>
          <w:tcPr>
            <w:tcW w:w="1154" w:type="dxa"/>
            <w:tcBorders>
              <w:top w:val="single" w:sz="4" w:space="0" w:color="000000"/>
              <w:left w:val="single" w:sz="12" w:space="0" w:color="000000"/>
              <w:bottom w:val="single" w:sz="12" w:space="0" w:color="000000"/>
              <w:right w:val="single" w:sz="12" w:space="0" w:color="000000"/>
            </w:tcBorders>
          </w:tcPr>
          <w:p w14:paraId="2A769C46" w14:textId="2EA2FF06" w:rsidR="000A75F9" w:rsidRDefault="000A75F9" w:rsidP="002305D6">
            <w:pPr>
              <w:spacing w:after="0" w:line="259" w:lineRule="auto"/>
              <w:ind w:left="0" w:right="42" w:firstLine="0"/>
              <w:jc w:val="center"/>
            </w:pPr>
            <w:r>
              <w:rPr>
                <w:sz w:val="18"/>
              </w:rPr>
              <w:t>N/A</w:t>
            </w:r>
          </w:p>
        </w:tc>
        <w:tc>
          <w:tcPr>
            <w:tcW w:w="766" w:type="dxa"/>
            <w:tcBorders>
              <w:top w:val="single" w:sz="4" w:space="0" w:color="000000"/>
              <w:left w:val="single" w:sz="12" w:space="0" w:color="000000"/>
              <w:bottom w:val="single" w:sz="12" w:space="0" w:color="000000"/>
              <w:right w:val="single" w:sz="12" w:space="0" w:color="000000"/>
            </w:tcBorders>
          </w:tcPr>
          <w:p w14:paraId="23560212" w14:textId="3E1E5FCC" w:rsidR="000A75F9" w:rsidRPr="00676464" w:rsidRDefault="000A75F9" w:rsidP="002305D6">
            <w:pPr>
              <w:spacing w:after="0" w:line="259" w:lineRule="auto"/>
              <w:ind w:left="0" w:right="45" w:firstLine="0"/>
              <w:jc w:val="center"/>
              <w:rPr>
                <w:bCs/>
              </w:rPr>
            </w:pPr>
            <w:r w:rsidRPr="00676464">
              <w:rPr>
                <w:bCs/>
                <w:sz w:val="18"/>
              </w:rPr>
              <w:t>550.1</w:t>
            </w:r>
          </w:p>
        </w:tc>
        <w:tc>
          <w:tcPr>
            <w:tcW w:w="764" w:type="dxa"/>
            <w:tcBorders>
              <w:top w:val="single" w:sz="4" w:space="0" w:color="000000"/>
              <w:left w:val="single" w:sz="12" w:space="0" w:color="000000"/>
              <w:bottom w:val="single" w:sz="12" w:space="0" w:color="000000"/>
              <w:right w:val="single" w:sz="12" w:space="0" w:color="000000"/>
            </w:tcBorders>
          </w:tcPr>
          <w:p w14:paraId="359A41CF" w14:textId="7507F729" w:rsidR="000A75F9" w:rsidRDefault="000A75F9" w:rsidP="007A7937">
            <w:pPr>
              <w:spacing w:after="0" w:line="259" w:lineRule="auto"/>
              <w:ind w:left="0" w:right="43" w:firstLine="0"/>
              <w:jc w:val="center"/>
            </w:pPr>
            <w:r>
              <w:rPr>
                <w:sz w:val="18"/>
              </w:rPr>
              <w:t>1625</w:t>
            </w:r>
          </w:p>
        </w:tc>
        <w:tc>
          <w:tcPr>
            <w:tcW w:w="630" w:type="dxa"/>
            <w:tcBorders>
              <w:top w:val="single" w:sz="4" w:space="0" w:color="000000"/>
              <w:left w:val="single" w:sz="12" w:space="0" w:color="000000"/>
              <w:bottom w:val="single" w:sz="12" w:space="0" w:color="000000"/>
              <w:right w:val="single" w:sz="12" w:space="0" w:color="000000"/>
            </w:tcBorders>
          </w:tcPr>
          <w:p w14:paraId="79DB70CC" w14:textId="7EB2337F" w:rsidR="000A75F9" w:rsidRDefault="000A75F9" w:rsidP="002305D6">
            <w:pPr>
              <w:spacing w:after="0" w:line="259" w:lineRule="auto"/>
              <w:ind w:left="0" w:right="44" w:firstLine="0"/>
              <w:jc w:val="center"/>
            </w:pPr>
            <w:r>
              <w:rPr>
                <w:sz w:val="18"/>
              </w:rPr>
              <w:t>525.2</w:t>
            </w:r>
          </w:p>
        </w:tc>
      </w:tr>
    </w:tbl>
    <w:p w14:paraId="75E57974" w14:textId="2A9E02A0" w:rsidR="00B56D50" w:rsidRDefault="00B56D50">
      <w:pPr>
        <w:spacing w:after="0" w:line="259" w:lineRule="auto"/>
        <w:ind w:left="272" w:right="0" w:firstLine="0"/>
      </w:pPr>
    </w:p>
    <w:p w14:paraId="0ADC97F3" w14:textId="77777777" w:rsidR="00AC5C46" w:rsidRDefault="00AC5C46">
      <w:pPr>
        <w:spacing w:after="0" w:line="259" w:lineRule="auto"/>
        <w:ind w:left="272" w:right="0" w:firstLine="0"/>
      </w:pPr>
    </w:p>
    <w:p w14:paraId="3E29B585" w14:textId="77777777" w:rsidR="00AC5C46" w:rsidRDefault="00AC5C46">
      <w:pPr>
        <w:spacing w:after="0" w:line="259" w:lineRule="auto"/>
        <w:ind w:left="272" w:right="0" w:firstLine="0"/>
      </w:pPr>
    </w:p>
    <w:p w14:paraId="5548F30E" w14:textId="77777777" w:rsidR="00AC5C46" w:rsidRDefault="00AC5C46">
      <w:pPr>
        <w:spacing w:after="0" w:line="259" w:lineRule="auto"/>
        <w:ind w:left="272" w:right="0" w:firstLine="0"/>
      </w:pPr>
    </w:p>
    <w:p w14:paraId="1C57B181" w14:textId="77777777" w:rsidR="00AC5C46" w:rsidRDefault="00AC5C46">
      <w:pPr>
        <w:spacing w:after="0" w:line="259" w:lineRule="auto"/>
        <w:ind w:left="272" w:right="0" w:firstLine="0"/>
      </w:pPr>
    </w:p>
    <w:p w14:paraId="02016277" w14:textId="77777777" w:rsidR="00AC5C46" w:rsidRDefault="00AC5C46">
      <w:pPr>
        <w:spacing w:after="0" w:line="259" w:lineRule="auto"/>
        <w:ind w:left="272" w:right="0" w:firstLine="0"/>
      </w:pPr>
    </w:p>
    <w:p w14:paraId="08B398A3" w14:textId="77777777" w:rsidR="00AC5C46" w:rsidRDefault="00AC5C46">
      <w:pPr>
        <w:spacing w:after="0" w:line="259" w:lineRule="auto"/>
        <w:ind w:left="272" w:right="0" w:firstLine="0"/>
      </w:pPr>
    </w:p>
    <w:tbl>
      <w:tblPr>
        <w:tblStyle w:val="TableGrid1"/>
        <w:tblW w:w="10530" w:type="dxa"/>
        <w:tblInd w:w="-375" w:type="dxa"/>
        <w:tblCellMar>
          <w:top w:w="20" w:type="dxa"/>
          <w:left w:w="12" w:type="dxa"/>
        </w:tblCellMar>
        <w:tblLook w:val="04A0" w:firstRow="1" w:lastRow="0" w:firstColumn="1" w:lastColumn="0" w:noHBand="0" w:noVBand="1"/>
      </w:tblPr>
      <w:tblGrid>
        <w:gridCol w:w="3406"/>
        <w:gridCol w:w="1173"/>
        <w:gridCol w:w="880"/>
        <w:gridCol w:w="1021"/>
        <w:gridCol w:w="810"/>
        <w:gridCol w:w="1080"/>
        <w:gridCol w:w="767"/>
        <w:gridCol w:w="846"/>
        <w:gridCol w:w="547"/>
      </w:tblGrid>
      <w:tr w:rsidR="00E8398B" w14:paraId="1EB6C558" w14:textId="77777777" w:rsidTr="00C23B62">
        <w:trPr>
          <w:trHeight w:val="288"/>
          <w:tblHeader/>
        </w:trPr>
        <w:tc>
          <w:tcPr>
            <w:tcW w:w="10530" w:type="dxa"/>
            <w:gridSpan w:val="9"/>
            <w:tcBorders>
              <w:top w:val="single" w:sz="12" w:space="0" w:color="000000"/>
              <w:left w:val="single" w:sz="12" w:space="0" w:color="000000"/>
              <w:bottom w:val="single" w:sz="12" w:space="0" w:color="000000"/>
              <w:right w:val="single" w:sz="12" w:space="0" w:color="000000"/>
            </w:tcBorders>
            <w:vAlign w:val="center"/>
          </w:tcPr>
          <w:p w14:paraId="0E0CDE3F" w14:textId="7F6B00F8" w:rsidR="00E8398B" w:rsidRPr="000B4FEB" w:rsidRDefault="00E8398B" w:rsidP="00FF762E">
            <w:pPr>
              <w:spacing w:after="0" w:line="259" w:lineRule="auto"/>
              <w:ind w:left="96" w:right="-9" w:firstLine="0"/>
              <w:rPr>
                <w:sz w:val="18"/>
                <w:szCs w:val="18"/>
              </w:rPr>
            </w:pPr>
            <w:r>
              <w:rPr>
                <w:b/>
                <w:sz w:val="18"/>
              </w:rPr>
              <w:lastRenderedPageBreak/>
              <w:t>Drinking Water SAS Group G:</w:t>
            </w:r>
            <w:r>
              <w:rPr>
                <w:sz w:val="18"/>
              </w:rPr>
              <w:t xml:space="preserve">  </w:t>
            </w:r>
            <w:r>
              <w:rPr>
                <w:b/>
                <w:sz w:val="18"/>
              </w:rPr>
              <w:t xml:space="preserve"> Pesticides List</w:t>
            </w:r>
          </w:p>
        </w:tc>
      </w:tr>
      <w:tr w:rsidR="002E3D58" w14:paraId="35C73830" w14:textId="77777777" w:rsidTr="00C23B62">
        <w:trPr>
          <w:trHeight w:val="269"/>
          <w:tblHeader/>
        </w:trPr>
        <w:tc>
          <w:tcPr>
            <w:tcW w:w="3406" w:type="dxa"/>
            <w:vMerge w:val="restart"/>
            <w:tcBorders>
              <w:top w:val="single" w:sz="12" w:space="0" w:color="000000"/>
              <w:left w:val="single" w:sz="12" w:space="0" w:color="000000"/>
              <w:bottom w:val="single" w:sz="12" w:space="0" w:color="000000"/>
              <w:right w:val="single" w:sz="12" w:space="0" w:color="000000"/>
            </w:tcBorders>
            <w:vAlign w:val="center"/>
          </w:tcPr>
          <w:p w14:paraId="64BD8C1F" w14:textId="259AC85D" w:rsidR="002E3D58" w:rsidRDefault="002E3D58" w:rsidP="00FF762E">
            <w:pPr>
              <w:spacing w:after="0" w:line="259" w:lineRule="auto"/>
              <w:ind w:left="0" w:right="16" w:firstLine="0"/>
              <w:jc w:val="center"/>
            </w:pPr>
            <w:r>
              <w:rPr>
                <w:b/>
                <w:sz w:val="18"/>
              </w:rPr>
              <w:t>Analyte</w:t>
            </w:r>
          </w:p>
        </w:tc>
        <w:tc>
          <w:tcPr>
            <w:tcW w:w="1173" w:type="dxa"/>
            <w:vMerge w:val="restart"/>
            <w:tcBorders>
              <w:top w:val="single" w:sz="12" w:space="0" w:color="000000"/>
              <w:left w:val="single" w:sz="12" w:space="0" w:color="000000"/>
              <w:bottom w:val="single" w:sz="12" w:space="0" w:color="000000"/>
              <w:right w:val="single" w:sz="12" w:space="0" w:color="000000"/>
            </w:tcBorders>
            <w:vAlign w:val="center"/>
          </w:tcPr>
          <w:p w14:paraId="56B56238" w14:textId="3E054F92" w:rsidR="002E3D58" w:rsidRDefault="002E3D58" w:rsidP="00FF762E">
            <w:pPr>
              <w:spacing w:after="0" w:line="259" w:lineRule="auto"/>
              <w:ind w:left="29" w:right="0" w:firstLine="0"/>
              <w:jc w:val="center"/>
            </w:pPr>
            <w:r>
              <w:rPr>
                <w:b/>
                <w:sz w:val="18"/>
              </w:rPr>
              <w:t>CAS Number</w:t>
            </w:r>
          </w:p>
        </w:tc>
        <w:tc>
          <w:tcPr>
            <w:tcW w:w="1901" w:type="dxa"/>
            <w:gridSpan w:val="2"/>
            <w:tcBorders>
              <w:top w:val="single" w:sz="12" w:space="0" w:color="000000"/>
              <w:left w:val="single" w:sz="12" w:space="0" w:color="000000"/>
              <w:bottom w:val="single" w:sz="12" w:space="0" w:color="000000"/>
              <w:right w:val="single" w:sz="12" w:space="0" w:color="000000"/>
            </w:tcBorders>
            <w:vAlign w:val="center"/>
          </w:tcPr>
          <w:p w14:paraId="0785D9D6" w14:textId="6CCA6393" w:rsidR="002E3D58" w:rsidRDefault="002E3D58" w:rsidP="00FF762E">
            <w:pPr>
              <w:spacing w:after="0" w:line="259" w:lineRule="auto"/>
              <w:ind w:left="0" w:right="14" w:firstLine="0"/>
              <w:jc w:val="center"/>
            </w:pPr>
            <w:r>
              <w:rPr>
                <w:b/>
                <w:sz w:val="18"/>
              </w:rPr>
              <w:t>Aqueous</w:t>
            </w:r>
          </w:p>
        </w:tc>
        <w:tc>
          <w:tcPr>
            <w:tcW w:w="1890" w:type="dxa"/>
            <w:gridSpan w:val="2"/>
            <w:tcBorders>
              <w:top w:val="single" w:sz="12" w:space="0" w:color="000000"/>
              <w:left w:val="single" w:sz="12" w:space="0" w:color="000000"/>
              <w:bottom w:val="single" w:sz="12" w:space="0" w:color="000000"/>
              <w:right w:val="single" w:sz="12" w:space="0" w:color="000000"/>
            </w:tcBorders>
            <w:vAlign w:val="center"/>
          </w:tcPr>
          <w:p w14:paraId="3EA4165F" w14:textId="206D2EA1" w:rsidR="002E3D58" w:rsidRDefault="00A23FAA" w:rsidP="00FF762E">
            <w:pPr>
              <w:spacing w:after="0" w:line="259" w:lineRule="auto"/>
              <w:ind w:left="77" w:right="0" w:firstLine="0"/>
              <w:jc w:val="center"/>
            </w:pPr>
            <w:r w:rsidRPr="00385D7E">
              <w:rPr>
                <w:b/>
                <w:bCs/>
                <w:sz w:val="18"/>
                <w:szCs w:val="18"/>
              </w:rPr>
              <w:t>Soil/Sediment</w:t>
            </w:r>
          </w:p>
        </w:tc>
        <w:tc>
          <w:tcPr>
            <w:tcW w:w="2160" w:type="dxa"/>
            <w:gridSpan w:val="3"/>
            <w:vMerge w:val="restart"/>
            <w:tcBorders>
              <w:top w:val="single" w:sz="12" w:space="0" w:color="000000"/>
              <w:left w:val="single" w:sz="12" w:space="0" w:color="000000"/>
              <w:bottom w:val="single" w:sz="12" w:space="0" w:color="000000"/>
              <w:right w:val="single" w:sz="12" w:space="0" w:color="000000"/>
            </w:tcBorders>
            <w:vAlign w:val="center"/>
          </w:tcPr>
          <w:p w14:paraId="37FB10FB" w14:textId="2906AC4B" w:rsidR="002E3D58" w:rsidRDefault="002E3D58" w:rsidP="00FF762E">
            <w:pPr>
              <w:spacing w:after="0" w:line="259" w:lineRule="auto"/>
              <w:ind w:left="0" w:right="17" w:firstLine="0"/>
              <w:jc w:val="center"/>
            </w:pPr>
            <w:r>
              <w:rPr>
                <w:b/>
                <w:sz w:val="18"/>
              </w:rPr>
              <w:t xml:space="preserve">Acceptable Methods </w:t>
            </w:r>
            <w:r w:rsidRPr="002C1BD8">
              <w:rPr>
                <w:b/>
                <w:sz w:val="18"/>
                <w:vertAlign w:val="superscript"/>
              </w:rPr>
              <w:t>37</w:t>
            </w:r>
          </w:p>
        </w:tc>
      </w:tr>
      <w:tr w:rsidR="00684831" w14:paraId="04C971F8" w14:textId="77777777" w:rsidTr="00C23B62">
        <w:trPr>
          <w:trHeight w:val="271"/>
          <w:tblHeader/>
        </w:trPr>
        <w:tc>
          <w:tcPr>
            <w:tcW w:w="3406" w:type="dxa"/>
            <w:vMerge/>
            <w:tcBorders>
              <w:top w:val="nil"/>
              <w:left w:val="single" w:sz="12" w:space="0" w:color="000000"/>
              <w:bottom w:val="single" w:sz="12" w:space="0" w:color="000000"/>
              <w:right w:val="single" w:sz="12" w:space="0" w:color="000000"/>
            </w:tcBorders>
            <w:vAlign w:val="center"/>
          </w:tcPr>
          <w:p w14:paraId="36C35C75" w14:textId="77777777" w:rsidR="00B56D50" w:rsidRDefault="00B56D50" w:rsidP="00017AB4">
            <w:pPr>
              <w:spacing w:after="160" w:line="259" w:lineRule="auto"/>
              <w:ind w:left="0" w:right="0" w:firstLine="0"/>
              <w:jc w:val="center"/>
            </w:pPr>
          </w:p>
        </w:tc>
        <w:tc>
          <w:tcPr>
            <w:tcW w:w="0" w:type="auto"/>
            <w:vMerge/>
            <w:tcBorders>
              <w:top w:val="nil"/>
              <w:left w:val="single" w:sz="12" w:space="0" w:color="000000"/>
              <w:bottom w:val="single" w:sz="12" w:space="0" w:color="000000"/>
              <w:right w:val="single" w:sz="12" w:space="0" w:color="000000"/>
            </w:tcBorders>
            <w:vAlign w:val="center"/>
          </w:tcPr>
          <w:p w14:paraId="7FBED83B" w14:textId="77777777" w:rsidR="00B56D50" w:rsidRDefault="00B56D50" w:rsidP="00017AB4">
            <w:pPr>
              <w:spacing w:after="160" w:line="259" w:lineRule="auto"/>
              <w:ind w:left="0" w:right="0" w:firstLine="0"/>
              <w:jc w:val="center"/>
            </w:pPr>
          </w:p>
        </w:tc>
        <w:tc>
          <w:tcPr>
            <w:tcW w:w="880" w:type="dxa"/>
            <w:tcBorders>
              <w:top w:val="single" w:sz="12" w:space="0" w:color="000000"/>
              <w:left w:val="single" w:sz="12" w:space="0" w:color="000000"/>
              <w:bottom w:val="single" w:sz="12" w:space="0" w:color="000000"/>
              <w:right w:val="single" w:sz="12" w:space="0" w:color="000000"/>
            </w:tcBorders>
            <w:vAlign w:val="center"/>
          </w:tcPr>
          <w:p w14:paraId="577A4692" w14:textId="050F6E08" w:rsidR="00B56D50" w:rsidRDefault="001C3C42" w:rsidP="00FF762E">
            <w:pPr>
              <w:spacing w:after="0" w:line="259" w:lineRule="auto"/>
              <w:ind w:left="0" w:right="17" w:firstLine="0"/>
              <w:jc w:val="center"/>
            </w:pPr>
            <w:r>
              <w:rPr>
                <w:b/>
                <w:sz w:val="18"/>
              </w:rPr>
              <w:t>RL</w:t>
            </w:r>
            <w:r w:rsidR="002C1BD8">
              <w:rPr>
                <w:b/>
                <w:sz w:val="18"/>
              </w:rPr>
              <w:t xml:space="preserve"> </w:t>
            </w:r>
            <w:r w:rsidR="002C1BD8" w:rsidRPr="002C1BD8">
              <w:rPr>
                <w:b/>
                <w:sz w:val="18"/>
                <w:vertAlign w:val="superscript"/>
              </w:rPr>
              <w:t>38</w:t>
            </w:r>
          </w:p>
        </w:tc>
        <w:tc>
          <w:tcPr>
            <w:tcW w:w="1021" w:type="dxa"/>
            <w:tcBorders>
              <w:top w:val="single" w:sz="12" w:space="0" w:color="000000"/>
              <w:left w:val="single" w:sz="12" w:space="0" w:color="000000"/>
              <w:bottom w:val="single" w:sz="12" w:space="0" w:color="000000"/>
              <w:right w:val="single" w:sz="12" w:space="0" w:color="000000"/>
            </w:tcBorders>
            <w:vAlign w:val="center"/>
          </w:tcPr>
          <w:p w14:paraId="08F221B0" w14:textId="33F088D5" w:rsidR="00B56D50" w:rsidRDefault="001C3C42" w:rsidP="00FF762E">
            <w:pPr>
              <w:spacing w:after="0" w:line="259" w:lineRule="auto"/>
              <w:ind w:left="0" w:right="22" w:firstLine="0"/>
              <w:jc w:val="center"/>
            </w:pPr>
            <w:r>
              <w:rPr>
                <w:b/>
                <w:sz w:val="18"/>
              </w:rPr>
              <w:t>units</w:t>
            </w:r>
          </w:p>
        </w:tc>
        <w:tc>
          <w:tcPr>
            <w:tcW w:w="810" w:type="dxa"/>
            <w:tcBorders>
              <w:top w:val="single" w:sz="12" w:space="0" w:color="000000"/>
              <w:left w:val="single" w:sz="12" w:space="0" w:color="000000"/>
              <w:bottom w:val="single" w:sz="12" w:space="0" w:color="000000"/>
              <w:right w:val="single" w:sz="12" w:space="0" w:color="000000"/>
            </w:tcBorders>
            <w:vAlign w:val="center"/>
          </w:tcPr>
          <w:p w14:paraId="4C031DD3" w14:textId="2DBE2F78" w:rsidR="00B56D50" w:rsidRDefault="001C3C42" w:rsidP="00FF762E">
            <w:pPr>
              <w:spacing w:after="0" w:line="259" w:lineRule="auto"/>
              <w:ind w:left="0" w:right="17" w:firstLine="0"/>
              <w:jc w:val="center"/>
            </w:pPr>
            <w:r>
              <w:rPr>
                <w:b/>
                <w:sz w:val="18"/>
              </w:rPr>
              <w:t>RL</w:t>
            </w:r>
          </w:p>
        </w:tc>
        <w:tc>
          <w:tcPr>
            <w:tcW w:w="1080" w:type="dxa"/>
            <w:tcBorders>
              <w:top w:val="single" w:sz="12" w:space="0" w:color="000000"/>
              <w:left w:val="single" w:sz="12" w:space="0" w:color="000000"/>
              <w:bottom w:val="single" w:sz="12" w:space="0" w:color="000000"/>
              <w:right w:val="single" w:sz="12" w:space="0" w:color="000000"/>
            </w:tcBorders>
            <w:vAlign w:val="center"/>
          </w:tcPr>
          <w:p w14:paraId="2E9C0D08" w14:textId="742FCB22" w:rsidR="00B56D50" w:rsidRDefault="001C3C42" w:rsidP="00FF762E">
            <w:pPr>
              <w:spacing w:after="0" w:line="259" w:lineRule="auto"/>
              <w:ind w:left="0" w:right="19" w:firstLine="0"/>
              <w:jc w:val="center"/>
            </w:pPr>
            <w:r>
              <w:rPr>
                <w:b/>
                <w:sz w:val="18"/>
              </w:rPr>
              <w:t>units</w:t>
            </w:r>
          </w:p>
        </w:tc>
        <w:tc>
          <w:tcPr>
            <w:tcW w:w="2160" w:type="dxa"/>
            <w:gridSpan w:val="3"/>
            <w:vMerge/>
            <w:tcBorders>
              <w:top w:val="nil"/>
              <w:left w:val="single" w:sz="12" w:space="0" w:color="000000"/>
              <w:bottom w:val="single" w:sz="12" w:space="0" w:color="000000"/>
              <w:right w:val="single" w:sz="12" w:space="0" w:color="000000"/>
            </w:tcBorders>
            <w:vAlign w:val="center"/>
          </w:tcPr>
          <w:p w14:paraId="33ACBC88" w14:textId="77777777" w:rsidR="00B56D50" w:rsidRDefault="00B56D50" w:rsidP="00017AB4">
            <w:pPr>
              <w:spacing w:after="160" w:line="259" w:lineRule="auto"/>
              <w:ind w:left="0" w:right="0" w:firstLine="0"/>
              <w:jc w:val="center"/>
            </w:pPr>
          </w:p>
        </w:tc>
      </w:tr>
      <w:tr w:rsidR="000A75F9" w14:paraId="781DD2EE" w14:textId="77777777" w:rsidTr="00C23B62">
        <w:trPr>
          <w:trHeight w:val="257"/>
        </w:trPr>
        <w:tc>
          <w:tcPr>
            <w:tcW w:w="3406" w:type="dxa"/>
            <w:tcBorders>
              <w:top w:val="single" w:sz="12" w:space="0" w:color="000000"/>
              <w:left w:val="single" w:sz="12" w:space="0" w:color="000000"/>
              <w:bottom w:val="single" w:sz="2" w:space="0" w:color="000000"/>
              <w:right w:val="single" w:sz="12" w:space="0" w:color="000000"/>
            </w:tcBorders>
          </w:tcPr>
          <w:p w14:paraId="3F25F24A" w14:textId="77777777" w:rsidR="000A75F9" w:rsidRDefault="000A75F9" w:rsidP="000A75F9">
            <w:pPr>
              <w:spacing w:after="0" w:line="259" w:lineRule="auto"/>
              <w:ind w:left="62" w:right="0" w:firstLine="0"/>
            </w:pPr>
            <w:r>
              <w:rPr>
                <w:sz w:val="18"/>
              </w:rPr>
              <w:t xml:space="preserve">Aldrin </w:t>
            </w:r>
          </w:p>
        </w:tc>
        <w:tc>
          <w:tcPr>
            <w:tcW w:w="1173" w:type="dxa"/>
            <w:tcBorders>
              <w:top w:val="single" w:sz="12" w:space="0" w:color="000000"/>
              <w:left w:val="single" w:sz="12" w:space="0" w:color="000000"/>
              <w:bottom w:val="single" w:sz="2" w:space="0" w:color="000000"/>
              <w:right w:val="single" w:sz="12" w:space="0" w:color="000000"/>
            </w:tcBorders>
            <w:vAlign w:val="center"/>
          </w:tcPr>
          <w:p w14:paraId="2DCCC764" w14:textId="50849633" w:rsidR="000A75F9" w:rsidRDefault="000A75F9" w:rsidP="00DC2064">
            <w:pPr>
              <w:spacing w:after="0" w:line="259" w:lineRule="auto"/>
              <w:ind w:left="0" w:right="71" w:firstLine="0"/>
              <w:jc w:val="center"/>
            </w:pPr>
            <w:r>
              <w:rPr>
                <w:sz w:val="18"/>
              </w:rPr>
              <w:t>309-00-2</w:t>
            </w:r>
          </w:p>
        </w:tc>
        <w:tc>
          <w:tcPr>
            <w:tcW w:w="880" w:type="dxa"/>
            <w:tcBorders>
              <w:top w:val="single" w:sz="12" w:space="0" w:color="000000"/>
              <w:left w:val="single" w:sz="12" w:space="0" w:color="000000"/>
              <w:bottom w:val="single" w:sz="2" w:space="0" w:color="000000"/>
              <w:right w:val="single" w:sz="12" w:space="0" w:color="000000"/>
            </w:tcBorders>
          </w:tcPr>
          <w:p w14:paraId="240A1E3F" w14:textId="1CCEF36B" w:rsidR="000A75F9" w:rsidRDefault="000A75F9" w:rsidP="009E79D2">
            <w:pPr>
              <w:tabs>
                <w:tab w:val="right" w:pos="799"/>
              </w:tabs>
              <w:spacing w:after="0" w:line="259" w:lineRule="auto"/>
              <w:ind w:left="0" w:right="0" w:firstLine="0"/>
              <w:jc w:val="center"/>
            </w:pPr>
            <w:r>
              <w:rPr>
                <w:b/>
                <w:sz w:val="18"/>
              </w:rPr>
              <w:t>0.05</w:t>
            </w:r>
          </w:p>
        </w:tc>
        <w:tc>
          <w:tcPr>
            <w:tcW w:w="1021" w:type="dxa"/>
            <w:tcBorders>
              <w:top w:val="single" w:sz="12" w:space="0" w:color="000000"/>
              <w:left w:val="single" w:sz="12" w:space="0" w:color="000000"/>
              <w:bottom w:val="single" w:sz="2" w:space="0" w:color="000000"/>
              <w:right w:val="single" w:sz="12" w:space="0" w:color="000000"/>
            </w:tcBorders>
          </w:tcPr>
          <w:p w14:paraId="33372556" w14:textId="21EE5BA4" w:rsidR="000A75F9" w:rsidRDefault="000A75F9" w:rsidP="000A75F9">
            <w:pPr>
              <w:spacing w:after="0" w:line="259" w:lineRule="auto"/>
              <w:ind w:left="0" w:right="13" w:firstLine="0"/>
              <w:jc w:val="center"/>
            </w:pPr>
            <w:r>
              <w:rPr>
                <w:sz w:val="18"/>
              </w:rPr>
              <w:t xml:space="preserve">ug/L </w:t>
            </w:r>
          </w:p>
        </w:tc>
        <w:tc>
          <w:tcPr>
            <w:tcW w:w="810" w:type="dxa"/>
            <w:tcBorders>
              <w:top w:val="single" w:sz="12" w:space="0" w:color="000000"/>
              <w:left w:val="single" w:sz="12" w:space="0" w:color="000000"/>
              <w:bottom w:val="single" w:sz="2" w:space="0" w:color="000000"/>
              <w:right w:val="single" w:sz="12" w:space="0" w:color="000000"/>
            </w:tcBorders>
          </w:tcPr>
          <w:p w14:paraId="65A034E6" w14:textId="77777777" w:rsidR="000A75F9" w:rsidRDefault="000A75F9" w:rsidP="000A75F9">
            <w:pPr>
              <w:spacing w:after="0" w:line="259" w:lineRule="auto"/>
              <w:ind w:left="0" w:right="14" w:firstLine="0"/>
              <w:jc w:val="center"/>
            </w:pPr>
            <w:r>
              <w:rPr>
                <w:sz w:val="18"/>
              </w:rPr>
              <w:t xml:space="preserve">N/A </w:t>
            </w:r>
          </w:p>
        </w:tc>
        <w:tc>
          <w:tcPr>
            <w:tcW w:w="1080" w:type="dxa"/>
            <w:tcBorders>
              <w:top w:val="single" w:sz="12" w:space="0" w:color="000000"/>
              <w:left w:val="single" w:sz="12" w:space="0" w:color="000000"/>
              <w:bottom w:val="single" w:sz="2" w:space="0" w:color="000000"/>
              <w:right w:val="single" w:sz="12" w:space="0" w:color="000000"/>
            </w:tcBorders>
          </w:tcPr>
          <w:p w14:paraId="4E1A4188" w14:textId="77777777" w:rsidR="000A75F9" w:rsidRDefault="000A75F9" w:rsidP="000A75F9">
            <w:pPr>
              <w:spacing w:after="0" w:line="259" w:lineRule="auto"/>
              <w:ind w:left="0" w:right="9" w:firstLine="0"/>
              <w:jc w:val="center"/>
            </w:pPr>
            <w:r>
              <w:rPr>
                <w:sz w:val="18"/>
              </w:rPr>
              <w:t xml:space="preserve">N/A </w:t>
            </w:r>
          </w:p>
        </w:tc>
        <w:tc>
          <w:tcPr>
            <w:tcW w:w="767" w:type="dxa"/>
            <w:tcBorders>
              <w:top w:val="single" w:sz="12" w:space="0" w:color="000000"/>
              <w:left w:val="single" w:sz="12" w:space="0" w:color="000000"/>
              <w:bottom w:val="single" w:sz="2" w:space="0" w:color="000000"/>
              <w:right w:val="single" w:sz="12" w:space="0" w:color="000000"/>
            </w:tcBorders>
          </w:tcPr>
          <w:p w14:paraId="6050E069" w14:textId="77777777" w:rsidR="000A75F9" w:rsidRDefault="000A75F9" w:rsidP="000A75F9">
            <w:pPr>
              <w:spacing w:after="0" w:line="259" w:lineRule="auto"/>
              <w:ind w:left="0" w:right="12" w:firstLine="0"/>
              <w:jc w:val="center"/>
            </w:pPr>
            <w:r>
              <w:rPr>
                <w:b/>
                <w:sz w:val="18"/>
              </w:rPr>
              <w:t xml:space="preserve">525.2 </w:t>
            </w:r>
          </w:p>
        </w:tc>
        <w:tc>
          <w:tcPr>
            <w:tcW w:w="846" w:type="dxa"/>
            <w:tcBorders>
              <w:top w:val="single" w:sz="12" w:space="0" w:color="000000"/>
              <w:left w:val="single" w:sz="12" w:space="0" w:color="000000"/>
              <w:bottom w:val="single" w:sz="2" w:space="0" w:color="000000"/>
              <w:right w:val="single" w:sz="12" w:space="0" w:color="000000"/>
            </w:tcBorders>
          </w:tcPr>
          <w:p w14:paraId="19BE0C77" w14:textId="41F48675" w:rsidR="000A75F9" w:rsidRDefault="000A75F9" w:rsidP="00DC2064">
            <w:pPr>
              <w:spacing w:after="0" w:line="259" w:lineRule="auto"/>
              <w:ind w:left="0" w:right="71" w:firstLine="0"/>
              <w:jc w:val="center"/>
            </w:pPr>
            <w:r>
              <w:rPr>
                <w:sz w:val="18"/>
              </w:rPr>
              <w:t>508.1</w:t>
            </w:r>
          </w:p>
        </w:tc>
        <w:tc>
          <w:tcPr>
            <w:tcW w:w="547" w:type="dxa"/>
            <w:tcBorders>
              <w:top w:val="single" w:sz="12" w:space="0" w:color="000000"/>
              <w:left w:val="single" w:sz="12" w:space="0" w:color="000000"/>
              <w:bottom w:val="single" w:sz="2" w:space="0" w:color="000000"/>
              <w:right w:val="single" w:sz="12" w:space="0" w:color="000000"/>
            </w:tcBorders>
          </w:tcPr>
          <w:p w14:paraId="2AF0EF6C" w14:textId="77777777" w:rsidR="000A75F9" w:rsidRDefault="000A75F9" w:rsidP="000A75F9">
            <w:pPr>
              <w:spacing w:after="0" w:line="259" w:lineRule="auto"/>
              <w:ind w:left="0" w:right="11" w:firstLine="0"/>
              <w:jc w:val="center"/>
            </w:pPr>
            <w:r>
              <w:rPr>
                <w:sz w:val="18"/>
              </w:rPr>
              <w:t xml:space="preserve">505 </w:t>
            </w:r>
          </w:p>
        </w:tc>
      </w:tr>
      <w:tr w:rsidR="000A75F9" w14:paraId="672500A9" w14:textId="77777777" w:rsidTr="00C23B62">
        <w:trPr>
          <w:trHeight w:val="245"/>
        </w:trPr>
        <w:tc>
          <w:tcPr>
            <w:tcW w:w="3406" w:type="dxa"/>
            <w:tcBorders>
              <w:top w:val="single" w:sz="2" w:space="0" w:color="000000"/>
              <w:left w:val="single" w:sz="12" w:space="0" w:color="000000"/>
              <w:bottom w:val="single" w:sz="2" w:space="0" w:color="000000"/>
              <w:right w:val="single" w:sz="12" w:space="0" w:color="000000"/>
            </w:tcBorders>
          </w:tcPr>
          <w:p w14:paraId="2B31E65B" w14:textId="77777777" w:rsidR="000A75F9" w:rsidRDefault="000A75F9" w:rsidP="000A75F9">
            <w:pPr>
              <w:spacing w:after="0" w:line="259" w:lineRule="auto"/>
              <w:ind w:left="62" w:right="0" w:firstLine="0"/>
            </w:pPr>
            <w:r>
              <w:rPr>
                <w:sz w:val="18"/>
              </w:rPr>
              <w:t xml:space="preserve">Chlordane </w:t>
            </w:r>
          </w:p>
        </w:tc>
        <w:tc>
          <w:tcPr>
            <w:tcW w:w="1173" w:type="dxa"/>
            <w:tcBorders>
              <w:top w:val="single" w:sz="2" w:space="0" w:color="000000"/>
              <w:left w:val="single" w:sz="12" w:space="0" w:color="000000"/>
              <w:bottom w:val="single" w:sz="2" w:space="0" w:color="000000"/>
              <w:right w:val="single" w:sz="12" w:space="0" w:color="000000"/>
            </w:tcBorders>
            <w:vAlign w:val="center"/>
          </w:tcPr>
          <w:p w14:paraId="345EE822" w14:textId="09830E47" w:rsidR="000A75F9" w:rsidRDefault="000A75F9" w:rsidP="00DC2064">
            <w:pPr>
              <w:spacing w:after="0" w:line="259" w:lineRule="auto"/>
              <w:ind w:left="0" w:right="71" w:firstLine="0"/>
              <w:jc w:val="center"/>
            </w:pPr>
            <w:r>
              <w:rPr>
                <w:sz w:val="18"/>
              </w:rPr>
              <w:t>57-74-9</w:t>
            </w:r>
          </w:p>
        </w:tc>
        <w:tc>
          <w:tcPr>
            <w:tcW w:w="880" w:type="dxa"/>
            <w:tcBorders>
              <w:top w:val="single" w:sz="2" w:space="0" w:color="000000"/>
              <w:left w:val="single" w:sz="12" w:space="0" w:color="000000"/>
              <w:bottom w:val="single" w:sz="2" w:space="0" w:color="000000"/>
              <w:right w:val="single" w:sz="12" w:space="0" w:color="000000"/>
            </w:tcBorders>
          </w:tcPr>
          <w:p w14:paraId="37FC273C" w14:textId="4A5D1960" w:rsidR="000A75F9" w:rsidRDefault="000A75F9" w:rsidP="009E79D2">
            <w:pPr>
              <w:tabs>
                <w:tab w:val="center" w:pos="459"/>
              </w:tabs>
              <w:spacing w:after="0" w:line="259" w:lineRule="auto"/>
              <w:ind w:left="0" w:right="0" w:firstLine="0"/>
              <w:jc w:val="center"/>
            </w:pPr>
            <w:r>
              <w:rPr>
                <w:sz w:val="18"/>
              </w:rPr>
              <w:t>0.2</w:t>
            </w:r>
          </w:p>
        </w:tc>
        <w:tc>
          <w:tcPr>
            <w:tcW w:w="1021" w:type="dxa"/>
            <w:tcBorders>
              <w:top w:val="single" w:sz="2" w:space="0" w:color="000000"/>
              <w:left w:val="single" w:sz="12" w:space="0" w:color="000000"/>
              <w:bottom w:val="single" w:sz="2" w:space="0" w:color="000000"/>
              <w:right w:val="single" w:sz="12" w:space="0" w:color="000000"/>
            </w:tcBorders>
          </w:tcPr>
          <w:p w14:paraId="5F79FC31" w14:textId="03CB5980" w:rsidR="000A75F9" w:rsidRDefault="000A75F9" w:rsidP="000A75F9">
            <w:pPr>
              <w:spacing w:after="0" w:line="259" w:lineRule="auto"/>
              <w:ind w:left="0" w:right="13" w:firstLine="0"/>
              <w:jc w:val="center"/>
            </w:pPr>
            <w:r>
              <w:rPr>
                <w:sz w:val="18"/>
              </w:rPr>
              <w:t xml:space="preserve">ug/L </w:t>
            </w:r>
          </w:p>
        </w:tc>
        <w:tc>
          <w:tcPr>
            <w:tcW w:w="810" w:type="dxa"/>
            <w:tcBorders>
              <w:top w:val="single" w:sz="2" w:space="0" w:color="000000"/>
              <w:left w:val="single" w:sz="12" w:space="0" w:color="000000"/>
              <w:bottom w:val="single" w:sz="2" w:space="0" w:color="000000"/>
              <w:right w:val="single" w:sz="12" w:space="0" w:color="000000"/>
            </w:tcBorders>
          </w:tcPr>
          <w:p w14:paraId="65CCC402" w14:textId="77777777" w:rsidR="000A75F9" w:rsidRDefault="000A75F9" w:rsidP="000A75F9">
            <w:pPr>
              <w:spacing w:after="0" w:line="259" w:lineRule="auto"/>
              <w:ind w:left="0" w:right="14" w:firstLine="0"/>
              <w:jc w:val="center"/>
            </w:pPr>
            <w:r>
              <w:rPr>
                <w:sz w:val="18"/>
              </w:rPr>
              <w:t xml:space="preserve">N/A </w:t>
            </w:r>
          </w:p>
        </w:tc>
        <w:tc>
          <w:tcPr>
            <w:tcW w:w="1080" w:type="dxa"/>
            <w:tcBorders>
              <w:top w:val="single" w:sz="2" w:space="0" w:color="000000"/>
              <w:left w:val="single" w:sz="12" w:space="0" w:color="000000"/>
              <w:bottom w:val="single" w:sz="2" w:space="0" w:color="000000"/>
              <w:right w:val="single" w:sz="12" w:space="0" w:color="000000"/>
            </w:tcBorders>
          </w:tcPr>
          <w:p w14:paraId="7B886341" w14:textId="77777777" w:rsidR="000A75F9" w:rsidRDefault="000A75F9" w:rsidP="000A75F9">
            <w:pPr>
              <w:spacing w:after="0" w:line="259" w:lineRule="auto"/>
              <w:ind w:left="0" w:right="9" w:firstLine="0"/>
              <w:jc w:val="center"/>
            </w:pPr>
            <w:r>
              <w:rPr>
                <w:sz w:val="18"/>
              </w:rPr>
              <w:t xml:space="preserve">N/A </w:t>
            </w:r>
          </w:p>
        </w:tc>
        <w:tc>
          <w:tcPr>
            <w:tcW w:w="767" w:type="dxa"/>
            <w:tcBorders>
              <w:top w:val="single" w:sz="2" w:space="0" w:color="000000"/>
              <w:left w:val="single" w:sz="12" w:space="0" w:color="000000"/>
              <w:bottom w:val="single" w:sz="2" w:space="0" w:color="000000"/>
              <w:right w:val="single" w:sz="12" w:space="0" w:color="000000"/>
            </w:tcBorders>
          </w:tcPr>
          <w:p w14:paraId="3A54AF59" w14:textId="77777777" w:rsidR="000A75F9" w:rsidRDefault="000A75F9" w:rsidP="000A75F9">
            <w:pPr>
              <w:spacing w:after="0" w:line="259" w:lineRule="auto"/>
              <w:ind w:left="0" w:right="12" w:firstLine="0"/>
              <w:jc w:val="center"/>
            </w:pPr>
            <w:r>
              <w:rPr>
                <w:b/>
                <w:sz w:val="18"/>
              </w:rPr>
              <w:t xml:space="preserve">525.2 </w:t>
            </w:r>
          </w:p>
        </w:tc>
        <w:tc>
          <w:tcPr>
            <w:tcW w:w="846" w:type="dxa"/>
            <w:tcBorders>
              <w:top w:val="single" w:sz="2" w:space="0" w:color="000000"/>
              <w:left w:val="single" w:sz="12" w:space="0" w:color="000000"/>
              <w:bottom w:val="single" w:sz="2" w:space="0" w:color="000000"/>
              <w:right w:val="single" w:sz="12" w:space="0" w:color="000000"/>
            </w:tcBorders>
          </w:tcPr>
          <w:p w14:paraId="5DD7B130" w14:textId="5CD70241" w:rsidR="000A75F9" w:rsidRDefault="000A75F9" w:rsidP="00DC2064">
            <w:pPr>
              <w:spacing w:after="0" w:line="259" w:lineRule="auto"/>
              <w:ind w:left="0" w:right="71" w:firstLine="0"/>
              <w:jc w:val="center"/>
            </w:pPr>
            <w:r>
              <w:rPr>
                <w:sz w:val="18"/>
              </w:rPr>
              <w:t>508.1</w:t>
            </w:r>
          </w:p>
        </w:tc>
        <w:tc>
          <w:tcPr>
            <w:tcW w:w="547" w:type="dxa"/>
            <w:tcBorders>
              <w:top w:val="single" w:sz="2" w:space="0" w:color="000000"/>
              <w:left w:val="single" w:sz="12" w:space="0" w:color="000000"/>
              <w:bottom w:val="single" w:sz="2" w:space="0" w:color="000000"/>
              <w:right w:val="single" w:sz="12" w:space="0" w:color="000000"/>
            </w:tcBorders>
          </w:tcPr>
          <w:p w14:paraId="36B55FB2" w14:textId="77777777" w:rsidR="000A75F9" w:rsidRDefault="000A75F9" w:rsidP="000A75F9">
            <w:pPr>
              <w:spacing w:after="0" w:line="259" w:lineRule="auto"/>
              <w:ind w:left="0" w:right="11" w:firstLine="0"/>
              <w:jc w:val="center"/>
            </w:pPr>
            <w:r>
              <w:rPr>
                <w:sz w:val="18"/>
              </w:rPr>
              <w:t xml:space="preserve">505 </w:t>
            </w:r>
          </w:p>
        </w:tc>
      </w:tr>
      <w:tr w:rsidR="000A75F9" w14:paraId="12F01D55" w14:textId="77777777" w:rsidTr="00C23B62">
        <w:trPr>
          <w:trHeight w:val="245"/>
        </w:trPr>
        <w:tc>
          <w:tcPr>
            <w:tcW w:w="3406" w:type="dxa"/>
            <w:tcBorders>
              <w:top w:val="single" w:sz="2" w:space="0" w:color="000000"/>
              <w:left w:val="single" w:sz="12" w:space="0" w:color="000000"/>
              <w:bottom w:val="single" w:sz="2" w:space="0" w:color="000000"/>
              <w:right w:val="single" w:sz="12" w:space="0" w:color="000000"/>
            </w:tcBorders>
          </w:tcPr>
          <w:p w14:paraId="11973ACC" w14:textId="77777777" w:rsidR="000A75F9" w:rsidRDefault="000A75F9" w:rsidP="000A75F9">
            <w:pPr>
              <w:spacing w:after="0" w:line="259" w:lineRule="auto"/>
              <w:ind w:left="62" w:right="0" w:firstLine="0"/>
            </w:pPr>
            <w:r>
              <w:rPr>
                <w:sz w:val="18"/>
              </w:rPr>
              <w:t xml:space="preserve">4,4’-DDD </w:t>
            </w:r>
          </w:p>
        </w:tc>
        <w:tc>
          <w:tcPr>
            <w:tcW w:w="1173" w:type="dxa"/>
            <w:tcBorders>
              <w:top w:val="single" w:sz="2" w:space="0" w:color="000000"/>
              <w:left w:val="single" w:sz="12" w:space="0" w:color="000000"/>
              <w:bottom w:val="single" w:sz="2" w:space="0" w:color="000000"/>
              <w:right w:val="single" w:sz="12" w:space="0" w:color="000000"/>
            </w:tcBorders>
            <w:vAlign w:val="center"/>
          </w:tcPr>
          <w:p w14:paraId="71B7710F" w14:textId="03C774EA" w:rsidR="000A75F9" w:rsidRDefault="000A75F9" w:rsidP="00DC2064">
            <w:pPr>
              <w:spacing w:after="0" w:line="259" w:lineRule="auto"/>
              <w:ind w:left="0" w:right="71" w:firstLine="0"/>
              <w:jc w:val="center"/>
            </w:pPr>
            <w:r>
              <w:rPr>
                <w:sz w:val="18"/>
              </w:rPr>
              <w:t>72-54-8</w:t>
            </w:r>
          </w:p>
        </w:tc>
        <w:tc>
          <w:tcPr>
            <w:tcW w:w="880" w:type="dxa"/>
            <w:tcBorders>
              <w:top w:val="single" w:sz="2" w:space="0" w:color="000000"/>
              <w:left w:val="single" w:sz="12" w:space="0" w:color="000000"/>
              <w:bottom w:val="single" w:sz="2" w:space="0" w:color="000000"/>
              <w:right w:val="single" w:sz="12" w:space="0" w:color="000000"/>
            </w:tcBorders>
          </w:tcPr>
          <w:p w14:paraId="25793B32" w14:textId="70A358FB" w:rsidR="000A75F9" w:rsidRDefault="000A75F9" w:rsidP="009E79D2">
            <w:pPr>
              <w:tabs>
                <w:tab w:val="center" w:pos="459"/>
              </w:tabs>
              <w:spacing w:after="0" w:line="259" w:lineRule="auto"/>
              <w:ind w:left="0" w:right="0" w:firstLine="0"/>
              <w:jc w:val="center"/>
            </w:pPr>
            <w:r>
              <w:rPr>
                <w:sz w:val="18"/>
              </w:rPr>
              <w:t>0.5</w:t>
            </w:r>
          </w:p>
        </w:tc>
        <w:tc>
          <w:tcPr>
            <w:tcW w:w="1021" w:type="dxa"/>
            <w:tcBorders>
              <w:top w:val="single" w:sz="2" w:space="0" w:color="000000"/>
              <w:left w:val="single" w:sz="12" w:space="0" w:color="000000"/>
              <w:bottom w:val="single" w:sz="2" w:space="0" w:color="000000"/>
              <w:right w:val="single" w:sz="12" w:space="0" w:color="000000"/>
            </w:tcBorders>
          </w:tcPr>
          <w:p w14:paraId="36E0B2A0" w14:textId="3556D1CD" w:rsidR="000A75F9" w:rsidRDefault="000A75F9" w:rsidP="000A75F9">
            <w:pPr>
              <w:spacing w:after="0" w:line="259" w:lineRule="auto"/>
              <w:ind w:left="0" w:right="13" w:firstLine="0"/>
              <w:jc w:val="center"/>
            </w:pPr>
            <w:r>
              <w:rPr>
                <w:sz w:val="18"/>
              </w:rPr>
              <w:t xml:space="preserve">ug/L </w:t>
            </w:r>
          </w:p>
        </w:tc>
        <w:tc>
          <w:tcPr>
            <w:tcW w:w="810" w:type="dxa"/>
            <w:tcBorders>
              <w:top w:val="single" w:sz="2" w:space="0" w:color="000000"/>
              <w:left w:val="single" w:sz="12" w:space="0" w:color="000000"/>
              <w:bottom w:val="single" w:sz="2" w:space="0" w:color="000000"/>
              <w:right w:val="single" w:sz="12" w:space="0" w:color="000000"/>
            </w:tcBorders>
          </w:tcPr>
          <w:p w14:paraId="65316636" w14:textId="77777777" w:rsidR="000A75F9" w:rsidRDefault="000A75F9" w:rsidP="000A75F9">
            <w:pPr>
              <w:spacing w:after="0" w:line="259" w:lineRule="auto"/>
              <w:ind w:left="0" w:right="14" w:firstLine="0"/>
              <w:jc w:val="center"/>
            </w:pPr>
            <w:r>
              <w:rPr>
                <w:sz w:val="18"/>
              </w:rPr>
              <w:t xml:space="preserve">N/A </w:t>
            </w:r>
          </w:p>
        </w:tc>
        <w:tc>
          <w:tcPr>
            <w:tcW w:w="1080" w:type="dxa"/>
            <w:tcBorders>
              <w:top w:val="single" w:sz="2" w:space="0" w:color="000000"/>
              <w:left w:val="single" w:sz="12" w:space="0" w:color="000000"/>
              <w:bottom w:val="single" w:sz="2" w:space="0" w:color="000000"/>
              <w:right w:val="single" w:sz="12" w:space="0" w:color="000000"/>
            </w:tcBorders>
          </w:tcPr>
          <w:p w14:paraId="332B0766" w14:textId="77777777" w:rsidR="000A75F9" w:rsidRDefault="000A75F9" w:rsidP="000A75F9">
            <w:pPr>
              <w:spacing w:after="0" w:line="259" w:lineRule="auto"/>
              <w:ind w:left="0" w:right="9" w:firstLine="0"/>
              <w:jc w:val="center"/>
            </w:pPr>
            <w:r>
              <w:rPr>
                <w:sz w:val="18"/>
              </w:rPr>
              <w:t xml:space="preserve">N/A </w:t>
            </w:r>
          </w:p>
        </w:tc>
        <w:tc>
          <w:tcPr>
            <w:tcW w:w="767" w:type="dxa"/>
            <w:tcBorders>
              <w:top w:val="single" w:sz="2" w:space="0" w:color="000000"/>
              <w:left w:val="single" w:sz="12" w:space="0" w:color="000000"/>
              <w:bottom w:val="single" w:sz="2" w:space="0" w:color="000000"/>
              <w:right w:val="single" w:sz="12" w:space="0" w:color="000000"/>
            </w:tcBorders>
          </w:tcPr>
          <w:p w14:paraId="14C7AF78" w14:textId="77777777" w:rsidR="000A75F9" w:rsidRDefault="000A75F9" w:rsidP="000A75F9">
            <w:pPr>
              <w:spacing w:after="0" w:line="259" w:lineRule="auto"/>
              <w:ind w:left="0" w:right="12" w:firstLine="0"/>
              <w:jc w:val="center"/>
            </w:pPr>
            <w:r>
              <w:rPr>
                <w:b/>
                <w:sz w:val="18"/>
              </w:rPr>
              <w:t xml:space="preserve">525.2 </w:t>
            </w:r>
          </w:p>
        </w:tc>
        <w:tc>
          <w:tcPr>
            <w:tcW w:w="846" w:type="dxa"/>
            <w:tcBorders>
              <w:top w:val="single" w:sz="2" w:space="0" w:color="000000"/>
              <w:left w:val="single" w:sz="12" w:space="0" w:color="000000"/>
              <w:bottom w:val="single" w:sz="2" w:space="0" w:color="000000"/>
              <w:right w:val="single" w:sz="12" w:space="0" w:color="000000"/>
            </w:tcBorders>
          </w:tcPr>
          <w:p w14:paraId="4BA35926" w14:textId="3F7E69F4" w:rsidR="000A75F9" w:rsidRDefault="000A75F9" w:rsidP="00DC2064">
            <w:pPr>
              <w:spacing w:after="0" w:line="259" w:lineRule="auto"/>
              <w:ind w:left="0" w:right="71" w:firstLine="0"/>
              <w:jc w:val="center"/>
            </w:pPr>
            <w:r>
              <w:rPr>
                <w:sz w:val="18"/>
              </w:rPr>
              <w:t>508.1</w:t>
            </w:r>
          </w:p>
        </w:tc>
        <w:tc>
          <w:tcPr>
            <w:tcW w:w="547" w:type="dxa"/>
            <w:tcBorders>
              <w:top w:val="single" w:sz="2" w:space="0" w:color="000000"/>
              <w:left w:val="single" w:sz="12" w:space="0" w:color="000000"/>
              <w:bottom w:val="single" w:sz="2" w:space="0" w:color="000000"/>
              <w:right w:val="single" w:sz="12" w:space="0" w:color="000000"/>
            </w:tcBorders>
          </w:tcPr>
          <w:p w14:paraId="549FD661" w14:textId="77777777" w:rsidR="000A75F9" w:rsidRDefault="000A75F9" w:rsidP="000A75F9">
            <w:pPr>
              <w:spacing w:after="0" w:line="259" w:lineRule="auto"/>
              <w:ind w:left="31" w:right="0" w:firstLine="0"/>
              <w:jc w:val="center"/>
            </w:pPr>
            <w:r>
              <w:rPr>
                <w:i/>
                <w:sz w:val="18"/>
              </w:rPr>
              <w:t xml:space="preserve"> </w:t>
            </w:r>
          </w:p>
        </w:tc>
      </w:tr>
      <w:tr w:rsidR="000A75F9" w14:paraId="585F75BB" w14:textId="77777777" w:rsidTr="00C23B62">
        <w:trPr>
          <w:trHeight w:val="247"/>
        </w:trPr>
        <w:tc>
          <w:tcPr>
            <w:tcW w:w="3406" w:type="dxa"/>
            <w:tcBorders>
              <w:top w:val="single" w:sz="2" w:space="0" w:color="000000"/>
              <w:left w:val="single" w:sz="12" w:space="0" w:color="000000"/>
              <w:bottom w:val="single" w:sz="2" w:space="0" w:color="000000"/>
              <w:right w:val="single" w:sz="12" w:space="0" w:color="000000"/>
            </w:tcBorders>
          </w:tcPr>
          <w:p w14:paraId="20A21468" w14:textId="77777777" w:rsidR="000A75F9" w:rsidRDefault="000A75F9" w:rsidP="000A75F9">
            <w:pPr>
              <w:spacing w:after="0" w:line="259" w:lineRule="auto"/>
              <w:ind w:left="62" w:right="0" w:firstLine="0"/>
            </w:pPr>
            <w:r>
              <w:rPr>
                <w:sz w:val="18"/>
              </w:rPr>
              <w:t xml:space="preserve">4,4’-DDE </w:t>
            </w:r>
          </w:p>
        </w:tc>
        <w:tc>
          <w:tcPr>
            <w:tcW w:w="1173" w:type="dxa"/>
            <w:tcBorders>
              <w:top w:val="single" w:sz="2" w:space="0" w:color="000000"/>
              <w:left w:val="single" w:sz="12" w:space="0" w:color="000000"/>
              <w:bottom w:val="single" w:sz="2" w:space="0" w:color="000000"/>
              <w:right w:val="single" w:sz="12" w:space="0" w:color="000000"/>
            </w:tcBorders>
            <w:vAlign w:val="center"/>
          </w:tcPr>
          <w:p w14:paraId="04F59B0C" w14:textId="15DCF48D" w:rsidR="000A75F9" w:rsidRDefault="000A75F9" w:rsidP="00DC2064">
            <w:pPr>
              <w:spacing w:after="0" w:line="259" w:lineRule="auto"/>
              <w:ind w:left="0" w:right="71" w:firstLine="0"/>
              <w:jc w:val="center"/>
            </w:pPr>
            <w:r>
              <w:rPr>
                <w:sz w:val="18"/>
              </w:rPr>
              <w:t>72-55-9</w:t>
            </w:r>
          </w:p>
        </w:tc>
        <w:tc>
          <w:tcPr>
            <w:tcW w:w="880" w:type="dxa"/>
            <w:tcBorders>
              <w:top w:val="single" w:sz="2" w:space="0" w:color="000000"/>
              <w:left w:val="single" w:sz="12" w:space="0" w:color="000000"/>
              <w:bottom w:val="single" w:sz="2" w:space="0" w:color="000000"/>
              <w:right w:val="single" w:sz="12" w:space="0" w:color="000000"/>
            </w:tcBorders>
          </w:tcPr>
          <w:p w14:paraId="5D49D6DA" w14:textId="45997E9C" w:rsidR="000A75F9" w:rsidRDefault="000A75F9" w:rsidP="009E79D2">
            <w:pPr>
              <w:tabs>
                <w:tab w:val="center" w:pos="459"/>
              </w:tabs>
              <w:spacing w:after="0" w:line="259" w:lineRule="auto"/>
              <w:ind w:left="0" w:right="0" w:firstLine="0"/>
              <w:jc w:val="center"/>
            </w:pPr>
            <w:r>
              <w:rPr>
                <w:sz w:val="18"/>
              </w:rPr>
              <w:t>0.5</w:t>
            </w:r>
          </w:p>
        </w:tc>
        <w:tc>
          <w:tcPr>
            <w:tcW w:w="1021" w:type="dxa"/>
            <w:tcBorders>
              <w:top w:val="single" w:sz="2" w:space="0" w:color="000000"/>
              <w:left w:val="single" w:sz="12" w:space="0" w:color="000000"/>
              <w:bottom w:val="single" w:sz="2" w:space="0" w:color="000000"/>
              <w:right w:val="single" w:sz="12" w:space="0" w:color="000000"/>
            </w:tcBorders>
          </w:tcPr>
          <w:p w14:paraId="74C44B93" w14:textId="58EABEED" w:rsidR="000A75F9" w:rsidRDefault="000A75F9" w:rsidP="000A75F9">
            <w:pPr>
              <w:spacing w:after="0" w:line="259" w:lineRule="auto"/>
              <w:ind w:left="0" w:right="13" w:firstLine="0"/>
              <w:jc w:val="center"/>
            </w:pPr>
            <w:r>
              <w:rPr>
                <w:sz w:val="18"/>
              </w:rPr>
              <w:t xml:space="preserve">ug/L </w:t>
            </w:r>
          </w:p>
        </w:tc>
        <w:tc>
          <w:tcPr>
            <w:tcW w:w="810" w:type="dxa"/>
            <w:tcBorders>
              <w:top w:val="single" w:sz="2" w:space="0" w:color="000000"/>
              <w:left w:val="single" w:sz="12" w:space="0" w:color="000000"/>
              <w:bottom w:val="single" w:sz="2" w:space="0" w:color="000000"/>
              <w:right w:val="single" w:sz="12" w:space="0" w:color="000000"/>
            </w:tcBorders>
          </w:tcPr>
          <w:p w14:paraId="29943333" w14:textId="77777777" w:rsidR="000A75F9" w:rsidRDefault="000A75F9" w:rsidP="000A75F9">
            <w:pPr>
              <w:spacing w:after="0" w:line="259" w:lineRule="auto"/>
              <w:ind w:left="0" w:right="14" w:firstLine="0"/>
              <w:jc w:val="center"/>
            </w:pPr>
            <w:r>
              <w:rPr>
                <w:sz w:val="18"/>
              </w:rPr>
              <w:t xml:space="preserve">N/A </w:t>
            </w:r>
          </w:p>
        </w:tc>
        <w:tc>
          <w:tcPr>
            <w:tcW w:w="1080" w:type="dxa"/>
            <w:tcBorders>
              <w:top w:val="single" w:sz="2" w:space="0" w:color="000000"/>
              <w:left w:val="single" w:sz="12" w:space="0" w:color="000000"/>
              <w:bottom w:val="single" w:sz="2" w:space="0" w:color="000000"/>
              <w:right w:val="single" w:sz="12" w:space="0" w:color="000000"/>
            </w:tcBorders>
          </w:tcPr>
          <w:p w14:paraId="357CFB7A" w14:textId="77777777" w:rsidR="000A75F9" w:rsidRDefault="000A75F9" w:rsidP="000A75F9">
            <w:pPr>
              <w:spacing w:after="0" w:line="259" w:lineRule="auto"/>
              <w:ind w:left="0" w:right="9" w:firstLine="0"/>
              <w:jc w:val="center"/>
            </w:pPr>
            <w:r>
              <w:rPr>
                <w:sz w:val="18"/>
              </w:rPr>
              <w:t xml:space="preserve">N/A </w:t>
            </w:r>
          </w:p>
        </w:tc>
        <w:tc>
          <w:tcPr>
            <w:tcW w:w="767" w:type="dxa"/>
            <w:tcBorders>
              <w:top w:val="single" w:sz="2" w:space="0" w:color="000000"/>
              <w:left w:val="single" w:sz="12" w:space="0" w:color="000000"/>
              <w:bottom w:val="single" w:sz="2" w:space="0" w:color="000000"/>
              <w:right w:val="single" w:sz="12" w:space="0" w:color="000000"/>
            </w:tcBorders>
          </w:tcPr>
          <w:p w14:paraId="16C849E5" w14:textId="77777777" w:rsidR="000A75F9" w:rsidRDefault="000A75F9" w:rsidP="000A75F9">
            <w:pPr>
              <w:spacing w:after="0" w:line="259" w:lineRule="auto"/>
              <w:ind w:left="0" w:right="12" w:firstLine="0"/>
              <w:jc w:val="center"/>
            </w:pPr>
            <w:r>
              <w:rPr>
                <w:b/>
                <w:sz w:val="18"/>
              </w:rPr>
              <w:t xml:space="preserve">525.2 </w:t>
            </w:r>
          </w:p>
        </w:tc>
        <w:tc>
          <w:tcPr>
            <w:tcW w:w="846" w:type="dxa"/>
            <w:tcBorders>
              <w:top w:val="single" w:sz="2" w:space="0" w:color="000000"/>
              <w:left w:val="single" w:sz="12" w:space="0" w:color="000000"/>
              <w:bottom w:val="single" w:sz="2" w:space="0" w:color="000000"/>
              <w:right w:val="single" w:sz="12" w:space="0" w:color="000000"/>
            </w:tcBorders>
          </w:tcPr>
          <w:p w14:paraId="1CC7901D" w14:textId="6FB39685" w:rsidR="000A75F9" w:rsidRDefault="000A75F9" w:rsidP="00DC2064">
            <w:pPr>
              <w:spacing w:after="0" w:line="259" w:lineRule="auto"/>
              <w:ind w:left="0" w:right="71" w:firstLine="0"/>
              <w:jc w:val="center"/>
            </w:pPr>
            <w:r>
              <w:rPr>
                <w:sz w:val="18"/>
              </w:rPr>
              <w:t>508.1</w:t>
            </w:r>
          </w:p>
        </w:tc>
        <w:tc>
          <w:tcPr>
            <w:tcW w:w="547" w:type="dxa"/>
            <w:tcBorders>
              <w:top w:val="single" w:sz="2" w:space="0" w:color="000000"/>
              <w:left w:val="single" w:sz="12" w:space="0" w:color="000000"/>
              <w:bottom w:val="single" w:sz="2" w:space="0" w:color="000000"/>
              <w:right w:val="single" w:sz="12" w:space="0" w:color="000000"/>
            </w:tcBorders>
          </w:tcPr>
          <w:p w14:paraId="2EF06BAC" w14:textId="77777777" w:rsidR="000A75F9" w:rsidRDefault="000A75F9" w:rsidP="000A75F9">
            <w:pPr>
              <w:spacing w:after="0" w:line="259" w:lineRule="auto"/>
              <w:ind w:left="31" w:right="0" w:firstLine="0"/>
              <w:jc w:val="center"/>
            </w:pPr>
            <w:r>
              <w:rPr>
                <w:i/>
                <w:sz w:val="18"/>
              </w:rPr>
              <w:t xml:space="preserve"> </w:t>
            </w:r>
          </w:p>
        </w:tc>
      </w:tr>
      <w:tr w:rsidR="000A75F9" w14:paraId="1648ABF8" w14:textId="77777777" w:rsidTr="00C23B62">
        <w:trPr>
          <w:trHeight w:val="245"/>
        </w:trPr>
        <w:tc>
          <w:tcPr>
            <w:tcW w:w="3406" w:type="dxa"/>
            <w:tcBorders>
              <w:top w:val="single" w:sz="2" w:space="0" w:color="000000"/>
              <w:left w:val="single" w:sz="12" w:space="0" w:color="000000"/>
              <w:bottom w:val="single" w:sz="2" w:space="0" w:color="000000"/>
              <w:right w:val="single" w:sz="12" w:space="0" w:color="000000"/>
            </w:tcBorders>
          </w:tcPr>
          <w:p w14:paraId="61347560" w14:textId="77777777" w:rsidR="000A75F9" w:rsidRDefault="000A75F9" w:rsidP="000A75F9">
            <w:pPr>
              <w:spacing w:after="0" w:line="259" w:lineRule="auto"/>
              <w:ind w:left="62" w:right="0" w:firstLine="0"/>
            </w:pPr>
            <w:r>
              <w:rPr>
                <w:sz w:val="18"/>
              </w:rPr>
              <w:t xml:space="preserve">4,4’-DDT </w:t>
            </w:r>
          </w:p>
        </w:tc>
        <w:tc>
          <w:tcPr>
            <w:tcW w:w="1173" w:type="dxa"/>
            <w:tcBorders>
              <w:top w:val="single" w:sz="2" w:space="0" w:color="000000"/>
              <w:left w:val="single" w:sz="12" w:space="0" w:color="000000"/>
              <w:bottom w:val="single" w:sz="2" w:space="0" w:color="000000"/>
              <w:right w:val="single" w:sz="12" w:space="0" w:color="000000"/>
            </w:tcBorders>
            <w:vAlign w:val="center"/>
          </w:tcPr>
          <w:p w14:paraId="3487DA0A" w14:textId="589E79E5" w:rsidR="000A75F9" w:rsidRDefault="000A75F9" w:rsidP="00DC2064">
            <w:pPr>
              <w:spacing w:after="0" w:line="259" w:lineRule="auto"/>
              <w:ind w:left="0" w:right="71" w:firstLine="0"/>
              <w:jc w:val="center"/>
            </w:pPr>
            <w:r>
              <w:rPr>
                <w:sz w:val="18"/>
              </w:rPr>
              <w:t>50-29-3</w:t>
            </w:r>
          </w:p>
        </w:tc>
        <w:tc>
          <w:tcPr>
            <w:tcW w:w="880" w:type="dxa"/>
            <w:tcBorders>
              <w:top w:val="single" w:sz="2" w:space="0" w:color="000000"/>
              <w:left w:val="single" w:sz="12" w:space="0" w:color="000000"/>
              <w:bottom w:val="single" w:sz="2" w:space="0" w:color="000000"/>
              <w:right w:val="single" w:sz="12" w:space="0" w:color="000000"/>
            </w:tcBorders>
          </w:tcPr>
          <w:p w14:paraId="5AC47644" w14:textId="2C9AF007" w:rsidR="000A75F9" w:rsidRDefault="000A75F9" w:rsidP="009E79D2">
            <w:pPr>
              <w:tabs>
                <w:tab w:val="center" w:pos="459"/>
              </w:tabs>
              <w:spacing w:after="0" w:line="259" w:lineRule="auto"/>
              <w:ind w:left="0" w:right="0" w:firstLine="0"/>
              <w:jc w:val="center"/>
            </w:pPr>
            <w:r>
              <w:rPr>
                <w:sz w:val="18"/>
              </w:rPr>
              <w:t>0.5</w:t>
            </w:r>
          </w:p>
        </w:tc>
        <w:tc>
          <w:tcPr>
            <w:tcW w:w="1021" w:type="dxa"/>
            <w:tcBorders>
              <w:top w:val="single" w:sz="2" w:space="0" w:color="000000"/>
              <w:left w:val="single" w:sz="12" w:space="0" w:color="000000"/>
              <w:bottom w:val="single" w:sz="2" w:space="0" w:color="000000"/>
              <w:right w:val="single" w:sz="12" w:space="0" w:color="000000"/>
            </w:tcBorders>
          </w:tcPr>
          <w:p w14:paraId="3DF9F73B" w14:textId="09D5437C" w:rsidR="000A75F9" w:rsidRDefault="000A75F9" w:rsidP="000A75F9">
            <w:pPr>
              <w:spacing w:after="0" w:line="259" w:lineRule="auto"/>
              <w:ind w:left="0" w:right="13" w:firstLine="0"/>
              <w:jc w:val="center"/>
            </w:pPr>
            <w:r>
              <w:rPr>
                <w:sz w:val="18"/>
              </w:rPr>
              <w:t xml:space="preserve">ug/L </w:t>
            </w:r>
          </w:p>
        </w:tc>
        <w:tc>
          <w:tcPr>
            <w:tcW w:w="810" w:type="dxa"/>
            <w:tcBorders>
              <w:top w:val="single" w:sz="2" w:space="0" w:color="000000"/>
              <w:left w:val="single" w:sz="12" w:space="0" w:color="000000"/>
              <w:bottom w:val="single" w:sz="2" w:space="0" w:color="000000"/>
              <w:right w:val="single" w:sz="12" w:space="0" w:color="000000"/>
            </w:tcBorders>
          </w:tcPr>
          <w:p w14:paraId="398E54D2" w14:textId="77777777" w:rsidR="000A75F9" w:rsidRDefault="000A75F9" w:rsidP="000A75F9">
            <w:pPr>
              <w:spacing w:after="0" w:line="259" w:lineRule="auto"/>
              <w:ind w:left="0" w:right="14" w:firstLine="0"/>
              <w:jc w:val="center"/>
            </w:pPr>
            <w:r>
              <w:rPr>
                <w:sz w:val="18"/>
              </w:rPr>
              <w:t xml:space="preserve">N/A </w:t>
            </w:r>
          </w:p>
        </w:tc>
        <w:tc>
          <w:tcPr>
            <w:tcW w:w="1080" w:type="dxa"/>
            <w:tcBorders>
              <w:top w:val="single" w:sz="2" w:space="0" w:color="000000"/>
              <w:left w:val="single" w:sz="12" w:space="0" w:color="000000"/>
              <w:bottom w:val="single" w:sz="2" w:space="0" w:color="000000"/>
              <w:right w:val="single" w:sz="12" w:space="0" w:color="000000"/>
            </w:tcBorders>
          </w:tcPr>
          <w:p w14:paraId="2458D395" w14:textId="77777777" w:rsidR="000A75F9" w:rsidRDefault="000A75F9" w:rsidP="000A75F9">
            <w:pPr>
              <w:spacing w:after="0" w:line="259" w:lineRule="auto"/>
              <w:ind w:left="0" w:right="9" w:firstLine="0"/>
              <w:jc w:val="center"/>
            </w:pPr>
            <w:r>
              <w:rPr>
                <w:sz w:val="18"/>
              </w:rPr>
              <w:t xml:space="preserve">N/A </w:t>
            </w:r>
          </w:p>
        </w:tc>
        <w:tc>
          <w:tcPr>
            <w:tcW w:w="767" w:type="dxa"/>
            <w:tcBorders>
              <w:top w:val="single" w:sz="2" w:space="0" w:color="000000"/>
              <w:left w:val="single" w:sz="12" w:space="0" w:color="000000"/>
              <w:bottom w:val="single" w:sz="2" w:space="0" w:color="000000"/>
              <w:right w:val="single" w:sz="12" w:space="0" w:color="000000"/>
            </w:tcBorders>
          </w:tcPr>
          <w:p w14:paraId="7EB9C60E" w14:textId="77777777" w:rsidR="000A75F9" w:rsidRDefault="000A75F9" w:rsidP="000A75F9">
            <w:pPr>
              <w:spacing w:after="0" w:line="259" w:lineRule="auto"/>
              <w:ind w:left="0" w:right="12" w:firstLine="0"/>
              <w:jc w:val="center"/>
            </w:pPr>
            <w:r>
              <w:rPr>
                <w:b/>
                <w:sz w:val="18"/>
              </w:rPr>
              <w:t xml:space="preserve">525.2 </w:t>
            </w:r>
          </w:p>
        </w:tc>
        <w:tc>
          <w:tcPr>
            <w:tcW w:w="846" w:type="dxa"/>
            <w:tcBorders>
              <w:top w:val="single" w:sz="2" w:space="0" w:color="000000"/>
              <w:left w:val="single" w:sz="12" w:space="0" w:color="000000"/>
              <w:bottom w:val="single" w:sz="2" w:space="0" w:color="000000"/>
              <w:right w:val="single" w:sz="12" w:space="0" w:color="000000"/>
            </w:tcBorders>
          </w:tcPr>
          <w:p w14:paraId="37EFF981" w14:textId="57A26733" w:rsidR="000A75F9" w:rsidRDefault="000A75F9" w:rsidP="00DC2064">
            <w:pPr>
              <w:spacing w:after="0" w:line="259" w:lineRule="auto"/>
              <w:ind w:left="0" w:right="71" w:firstLine="0"/>
              <w:jc w:val="center"/>
            </w:pPr>
            <w:r>
              <w:rPr>
                <w:sz w:val="18"/>
              </w:rPr>
              <w:t>508.1</w:t>
            </w:r>
          </w:p>
        </w:tc>
        <w:tc>
          <w:tcPr>
            <w:tcW w:w="547" w:type="dxa"/>
            <w:tcBorders>
              <w:top w:val="single" w:sz="2" w:space="0" w:color="000000"/>
              <w:left w:val="single" w:sz="12" w:space="0" w:color="000000"/>
              <w:bottom w:val="single" w:sz="2" w:space="0" w:color="000000"/>
              <w:right w:val="single" w:sz="12" w:space="0" w:color="000000"/>
            </w:tcBorders>
          </w:tcPr>
          <w:p w14:paraId="0C438B6E" w14:textId="77777777" w:rsidR="000A75F9" w:rsidRDefault="000A75F9" w:rsidP="000A75F9">
            <w:pPr>
              <w:spacing w:after="0" w:line="259" w:lineRule="auto"/>
              <w:ind w:left="31" w:right="0" w:firstLine="0"/>
              <w:jc w:val="center"/>
            </w:pPr>
            <w:r>
              <w:rPr>
                <w:sz w:val="18"/>
              </w:rPr>
              <w:t xml:space="preserve"> </w:t>
            </w:r>
          </w:p>
        </w:tc>
      </w:tr>
      <w:tr w:rsidR="000A75F9" w14:paraId="12E8AD93" w14:textId="77777777" w:rsidTr="00C23B62">
        <w:trPr>
          <w:trHeight w:val="245"/>
        </w:trPr>
        <w:tc>
          <w:tcPr>
            <w:tcW w:w="3406" w:type="dxa"/>
            <w:tcBorders>
              <w:top w:val="single" w:sz="2" w:space="0" w:color="000000"/>
              <w:left w:val="single" w:sz="12" w:space="0" w:color="000000"/>
              <w:bottom w:val="single" w:sz="2" w:space="0" w:color="000000"/>
              <w:right w:val="single" w:sz="12" w:space="0" w:color="000000"/>
            </w:tcBorders>
          </w:tcPr>
          <w:p w14:paraId="7CF9F4A0" w14:textId="77777777" w:rsidR="000A75F9" w:rsidRDefault="000A75F9" w:rsidP="000A75F9">
            <w:pPr>
              <w:spacing w:after="0" w:line="259" w:lineRule="auto"/>
              <w:ind w:left="62" w:right="0" w:firstLine="0"/>
            </w:pPr>
            <w:r>
              <w:rPr>
                <w:sz w:val="18"/>
              </w:rPr>
              <w:t xml:space="preserve">Dieldrin </w:t>
            </w:r>
          </w:p>
        </w:tc>
        <w:tc>
          <w:tcPr>
            <w:tcW w:w="1173" w:type="dxa"/>
            <w:tcBorders>
              <w:top w:val="single" w:sz="2" w:space="0" w:color="000000"/>
              <w:left w:val="single" w:sz="12" w:space="0" w:color="000000"/>
              <w:bottom w:val="single" w:sz="2" w:space="0" w:color="000000"/>
              <w:right w:val="single" w:sz="12" w:space="0" w:color="000000"/>
            </w:tcBorders>
            <w:vAlign w:val="center"/>
          </w:tcPr>
          <w:p w14:paraId="1C2A8C6C" w14:textId="52B73AA1" w:rsidR="000A75F9" w:rsidRDefault="000A75F9" w:rsidP="00DC2064">
            <w:pPr>
              <w:spacing w:after="0" w:line="259" w:lineRule="auto"/>
              <w:ind w:left="0" w:right="71" w:firstLine="0"/>
              <w:jc w:val="center"/>
            </w:pPr>
            <w:r>
              <w:rPr>
                <w:sz w:val="18"/>
              </w:rPr>
              <w:t>60-57-1</w:t>
            </w:r>
          </w:p>
        </w:tc>
        <w:tc>
          <w:tcPr>
            <w:tcW w:w="880" w:type="dxa"/>
            <w:tcBorders>
              <w:top w:val="single" w:sz="2" w:space="0" w:color="000000"/>
              <w:left w:val="single" w:sz="12" w:space="0" w:color="000000"/>
              <w:bottom w:val="single" w:sz="2" w:space="0" w:color="000000"/>
              <w:right w:val="single" w:sz="12" w:space="0" w:color="000000"/>
            </w:tcBorders>
          </w:tcPr>
          <w:p w14:paraId="2759CD19" w14:textId="4EF70FB6" w:rsidR="000A75F9" w:rsidRDefault="000A75F9" w:rsidP="009E79D2">
            <w:pPr>
              <w:tabs>
                <w:tab w:val="right" w:pos="799"/>
              </w:tabs>
              <w:spacing w:after="0" w:line="259" w:lineRule="auto"/>
              <w:ind w:left="0" w:right="0" w:firstLine="0"/>
              <w:jc w:val="center"/>
            </w:pPr>
            <w:r>
              <w:rPr>
                <w:b/>
                <w:sz w:val="18"/>
              </w:rPr>
              <w:t>0.05</w:t>
            </w:r>
          </w:p>
        </w:tc>
        <w:tc>
          <w:tcPr>
            <w:tcW w:w="1021" w:type="dxa"/>
            <w:tcBorders>
              <w:top w:val="single" w:sz="2" w:space="0" w:color="000000"/>
              <w:left w:val="single" w:sz="12" w:space="0" w:color="000000"/>
              <w:bottom w:val="single" w:sz="2" w:space="0" w:color="000000"/>
              <w:right w:val="single" w:sz="12" w:space="0" w:color="000000"/>
            </w:tcBorders>
          </w:tcPr>
          <w:p w14:paraId="3B1E04F6" w14:textId="4210E99C" w:rsidR="000A75F9" w:rsidRDefault="000A75F9" w:rsidP="000A75F9">
            <w:pPr>
              <w:spacing w:after="0" w:line="259" w:lineRule="auto"/>
              <w:ind w:left="0" w:right="13" w:firstLine="0"/>
              <w:jc w:val="center"/>
            </w:pPr>
            <w:r>
              <w:rPr>
                <w:sz w:val="18"/>
              </w:rPr>
              <w:t xml:space="preserve">ug/L </w:t>
            </w:r>
          </w:p>
        </w:tc>
        <w:tc>
          <w:tcPr>
            <w:tcW w:w="810" w:type="dxa"/>
            <w:tcBorders>
              <w:top w:val="single" w:sz="2" w:space="0" w:color="000000"/>
              <w:left w:val="single" w:sz="12" w:space="0" w:color="000000"/>
              <w:bottom w:val="single" w:sz="2" w:space="0" w:color="000000"/>
              <w:right w:val="single" w:sz="12" w:space="0" w:color="000000"/>
            </w:tcBorders>
          </w:tcPr>
          <w:p w14:paraId="09B112C9" w14:textId="77777777" w:rsidR="000A75F9" w:rsidRDefault="000A75F9" w:rsidP="000A75F9">
            <w:pPr>
              <w:spacing w:after="0" w:line="259" w:lineRule="auto"/>
              <w:ind w:left="0" w:right="14" w:firstLine="0"/>
              <w:jc w:val="center"/>
            </w:pPr>
            <w:r>
              <w:rPr>
                <w:sz w:val="18"/>
              </w:rPr>
              <w:t xml:space="preserve">N/A </w:t>
            </w:r>
          </w:p>
        </w:tc>
        <w:tc>
          <w:tcPr>
            <w:tcW w:w="1080" w:type="dxa"/>
            <w:tcBorders>
              <w:top w:val="single" w:sz="2" w:space="0" w:color="000000"/>
              <w:left w:val="single" w:sz="12" w:space="0" w:color="000000"/>
              <w:bottom w:val="single" w:sz="2" w:space="0" w:color="000000"/>
              <w:right w:val="single" w:sz="12" w:space="0" w:color="000000"/>
            </w:tcBorders>
          </w:tcPr>
          <w:p w14:paraId="692A4C15" w14:textId="77777777" w:rsidR="000A75F9" w:rsidRDefault="000A75F9" w:rsidP="000A75F9">
            <w:pPr>
              <w:spacing w:after="0" w:line="259" w:lineRule="auto"/>
              <w:ind w:left="0" w:right="9" w:firstLine="0"/>
              <w:jc w:val="center"/>
            </w:pPr>
            <w:r>
              <w:rPr>
                <w:sz w:val="18"/>
              </w:rPr>
              <w:t xml:space="preserve">N/A </w:t>
            </w:r>
          </w:p>
        </w:tc>
        <w:tc>
          <w:tcPr>
            <w:tcW w:w="767" w:type="dxa"/>
            <w:tcBorders>
              <w:top w:val="single" w:sz="2" w:space="0" w:color="000000"/>
              <w:left w:val="single" w:sz="12" w:space="0" w:color="000000"/>
              <w:bottom w:val="single" w:sz="2" w:space="0" w:color="000000"/>
              <w:right w:val="single" w:sz="12" w:space="0" w:color="000000"/>
            </w:tcBorders>
          </w:tcPr>
          <w:p w14:paraId="16B5C222" w14:textId="77777777" w:rsidR="000A75F9" w:rsidRDefault="000A75F9" w:rsidP="000A75F9">
            <w:pPr>
              <w:spacing w:after="0" w:line="259" w:lineRule="auto"/>
              <w:ind w:left="0" w:right="12" w:firstLine="0"/>
              <w:jc w:val="center"/>
            </w:pPr>
            <w:r>
              <w:rPr>
                <w:b/>
                <w:sz w:val="18"/>
              </w:rPr>
              <w:t xml:space="preserve">525.2 </w:t>
            </w:r>
          </w:p>
        </w:tc>
        <w:tc>
          <w:tcPr>
            <w:tcW w:w="846" w:type="dxa"/>
            <w:tcBorders>
              <w:top w:val="single" w:sz="2" w:space="0" w:color="000000"/>
              <w:left w:val="single" w:sz="12" w:space="0" w:color="000000"/>
              <w:bottom w:val="single" w:sz="2" w:space="0" w:color="000000"/>
              <w:right w:val="single" w:sz="12" w:space="0" w:color="000000"/>
            </w:tcBorders>
          </w:tcPr>
          <w:p w14:paraId="55E55988" w14:textId="0C5DE52D" w:rsidR="000A75F9" w:rsidRDefault="000A75F9" w:rsidP="00DC2064">
            <w:pPr>
              <w:spacing w:after="0" w:line="259" w:lineRule="auto"/>
              <w:ind w:left="0" w:right="71" w:firstLine="0"/>
              <w:jc w:val="center"/>
            </w:pPr>
            <w:r>
              <w:rPr>
                <w:sz w:val="18"/>
              </w:rPr>
              <w:t>508.1</w:t>
            </w:r>
          </w:p>
        </w:tc>
        <w:tc>
          <w:tcPr>
            <w:tcW w:w="547" w:type="dxa"/>
            <w:tcBorders>
              <w:top w:val="single" w:sz="2" w:space="0" w:color="000000"/>
              <w:left w:val="single" w:sz="12" w:space="0" w:color="000000"/>
              <w:bottom w:val="single" w:sz="2" w:space="0" w:color="000000"/>
              <w:right w:val="single" w:sz="12" w:space="0" w:color="000000"/>
            </w:tcBorders>
          </w:tcPr>
          <w:p w14:paraId="5AA8A5AC" w14:textId="77777777" w:rsidR="000A75F9" w:rsidRDefault="000A75F9" w:rsidP="000A75F9">
            <w:pPr>
              <w:spacing w:after="0" w:line="259" w:lineRule="auto"/>
              <w:ind w:left="0" w:right="11" w:firstLine="0"/>
              <w:jc w:val="center"/>
            </w:pPr>
            <w:r>
              <w:rPr>
                <w:sz w:val="18"/>
              </w:rPr>
              <w:t xml:space="preserve">505 </w:t>
            </w:r>
          </w:p>
        </w:tc>
      </w:tr>
      <w:tr w:rsidR="000A75F9" w14:paraId="2A440E45" w14:textId="77777777" w:rsidTr="00C23B62">
        <w:trPr>
          <w:trHeight w:val="245"/>
        </w:trPr>
        <w:tc>
          <w:tcPr>
            <w:tcW w:w="3406" w:type="dxa"/>
            <w:tcBorders>
              <w:top w:val="single" w:sz="2" w:space="0" w:color="000000"/>
              <w:left w:val="single" w:sz="12" w:space="0" w:color="000000"/>
              <w:bottom w:val="single" w:sz="2" w:space="0" w:color="000000"/>
              <w:right w:val="single" w:sz="12" w:space="0" w:color="000000"/>
            </w:tcBorders>
          </w:tcPr>
          <w:p w14:paraId="03579E13" w14:textId="77777777" w:rsidR="000A75F9" w:rsidRDefault="000A75F9" w:rsidP="000A75F9">
            <w:pPr>
              <w:spacing w:after="0" w:line="259" w:lineRule="auto"/>
              <w:ind w:left="62" w:right="0" w:firstLine="0"/>
            </w:pPr>
            <w:r>
              <w:rPr>
                <w:sz w:val="18"/>
              </w:rPr>
              <w:t xml:space="preserve">Endosulfan </w:t>
            </w:r>
          </w:p>
        </w:tc>
        <w:tc>
          <w:tcPr>
            <w:tcW w:w="1173" w:type="dxa"/>
            <w:tcBorders>
              <w:top w:val="single" w:sz="2" w:space="0" w:color="000000"/>
              <w:left w:val="single" w:sz="12" w:space="0" w:color="000000"/>
              <w:bottom w:val="single" w:sz="2" w:space="0" w:color="000000"/>
              <w:right w:val="single" w:sz="12" w:space="0" w:color="000000"/>
            </w:tcBorders>
            <w:vAlign w:val="center"/>
          </w:tcPr>
          <w:p w14:paraId="5357DED2" w14:textId="5A5116AB" w:rsidR="000A75F9" w:rsidRDefault="000A75F9" w:rsidP="00DC2064">
            <w:pPr>
              <w:spacing w:after="0" w:line="259" w:lineRule="auto"/>
              <w:ind w:left="0" w:right="71" w:firstLine="0"/>
              <w:jc w:val="center"/>
            </w:pPr>
            <w:r>
              <w:rPr>
                <w:sz w:val="18"/>
              </w:rPr>
              <w:t>115-29-7</w:t>
            </w:r>
          </w:p>
        </w:tc>
        <w:tc>
          <w:tcPr>
            <w:tcW w:w="880" w:type="dxa"/>
            <w:tcBorders>
              <w:top w:val="single" w:sz="2" w:space="0" w:color="000000"/>
              <w:left w:val="single" w:sz="12" w:space="0" w:color="000000"/>
              <w:bottom w:val="single" w:sz="2" w:space="0" w:color="000000"/>
              <w:right w:val="single" w:sz="12" w:space="0" w:color="000000"/>
            </w:tcBorders>
          </w:tcPr>
          <w:p w14:paraId="6D0C06A9" w14:textId="7722AAC8" w:rsidR="000A75F9" w:rsidRDefault="000A75F9" w:rsidP="009E79D2">
            <w:pPr>
              <w:tabs>
                <w:tab w:val="center" w:pos="368"/>
              </w:tabs>
              <w:spacing w:after="0" w:line="259" w:lineRule="auto"/>
              <w:ind w:left="0" w:right="0" w:firstLine="0"/>
              <w:jc w:val="center"/>
            </w:pPr>
            <w:r>
              <w:rPr>
                <w:sz w:val="18"/>
              </w:rPr>
              <w:t>10</w:t>
            </w:r>
          </w:p>
        </w:tc>
        <w:tc>
          <w:tcPr>
            <w:tcW w:w="1021" w:type="dxa"/>
            <w:tcBorders>
              <w:top w:val="single" w:sz="2" w:space="0" w:color="000000"/>
              <w:left w:val="single" w:sz="12" w:space="0" w:color="000000"/>
              <w:bottom w:val="single" w:sz="2" w:space="0" w:color="000000"/>
              <w:right w:val="single" w:sz="12" w:space="0" w:color="000000"/>
            </w:tcBorders>
          </w:tcPr>
          <w:p w14:paraId="01688293" w14:textId="0B5C68D1" w:rsidR="000A75F9" w:rsidRDefault="000A75F9" w:rsidP="000A75F9">
            <w:pPr>
              <w:spacing w:after="0" w:line="259" w:lineRule="auto"/>
              <w:ind w:left="0" w:right="13" w:firstLine="0"/>
              <w:jc w:val="center"/>
            </w:pPr>
            <w:r>
              <w:rPr>
                <w:sz w:val="18"/>
              </w:rPr>
              <w:t xml:space="preserve">ug/L </w:t>
            </w:r>
          </w:p>
        </w:tc>
        <w:tc>
          <w:tcPr>
            <w:tcW w:w="810" w:type="dxa"/>
            <w:tcBorders>
              <w:top w:val="single" w:sz="2" w:space="0" w:color="000000"/>
              <w:left w:val="single" w:sz="12" w:space="0" w:color="000000"/>
              <w:bottom w:val="single" w:sz="2" w:space="0" w:color="000000"/>
              <w:right w:val="single" w:sz="12" w:space="0" w:color="000000"/>
            </w:tcBorders>
          </w:tcPr>
          <w:p w14:paraId="2165FA93" w14:textId="77777777" w:rsidR="000A75F9" w:rsidRDefault="000A75F9" w:rsidP="000A75F9">
            <w:pPr>
              <w:spacing w:after="0" w:line="259" w:lineRule="auto"/>
              <w:ind w:left="0" w:right="14" w:firstLine="0"/>
              <w:jc w:val="center"/>
            </w:pPr>
            <w:r>
              <w:rPr>
                <w:sz w:val="18"/>
              </w:rPr>
              <w:t xml:space="preserve">N/A </w:t>
            </w:r>
          </w:p>
        </w:tc>
        <w:tc>
          <w:tcPr>
            <w:tcW w:w="1080" w:type="dxa"/>
            <w:tcBorders>
              <w:top w:val="single" w:sz="2" w:space="0" w:color="000000"/>
              <w:left w:val="single" w:sz="12" w:space="0" w:color="000000"/>
              <w:bottom w:val="single" w:sz="2" w:space="0" w:color="000000"/>
              <w:right w:val="single" w:sz="12" w:space="0" w:color="000000"/>
            </w:tcBorders>
          </w:tcPr>
          <w:p w14:paraId="604AA395" w14:textId="77777777" w:rsidR="000A75F9" w:rsidRDefault="000A75F9" w:rsidP="000A75F9">
            <w:pPr>
              <w:spacing w:after="0" w:line="259" w:lineRule="auto"/>
              <w:ind w:left="0" w:right="9" w:firstLine="0"/>
              <w:jc w:val="center"/>
            </w:pPr>
            <w:r>
              <w:rPr>
                <w:sz w:val="18"/>
              </w:rPr>
              <w:t xml:space="preserve">N/A </w:t>
            </w:r>
          </w:p>
        </w:tc>
        <w:tc>
          <w:tcPr>
            <w:tcW w:w="767" w:type="dxa"/>
            <w:tcBorders>
              <w:top w:val="single" w:sz="2" w:space="0" w:color="000000"/>
              <w:left w:val="single" w:sz="12" w:space="0" w:color="000000"/>
              <w:bottom w:val="single" w:sz="2" w:space="0" w:color="000000"/>
              <w:right w:val="single" w:sz="12" w:space="0" w:color="000000"/>
            </w:tcBorders>
          </w:tcPr>
          <w:p w14:paraId="2A7269BA" w14:textId="77777777" w:rsidR="000A75F9" w:rsidRDefault="000A75F9" w:rsidP="000A75F9">
            <w:pPr>
              <w:spacing w:after="0" w:line="259" w:lineRule="auto"/>
              <w:ind w:left="0" w:right="12" w:firstLine="0"/>
              <w:jc w:val="center"/>
            </w:pPr>
            <w:r>
              <w:rPr>
                <w:b/>
                <w:sz w:val="18"/>
              </w:rPr>
              <w:t xml:space="preserve">525.2 </w:t>
            </w:r>
          </w:p>
        </w:tc>
        <w:tc>
          <w:tcPr>
            <w:tcW w:w="846" w:type="dxa"/>
            <w:tcBorders>
              <w:top w:val="single" w:sz="2" w:space="0" w:color="000000"/>
              <w:left w:val="single" w:sz="12" w:space="0" w:color="000000"/>
              <w:bottom w:val="single" w:sz="2" w:space="0" w:color="000000"/>
              <w:right w:val="single" w:sz="12" w:space="0" w:color="000000"/>
            </w:tcBorders>
          </w:tcPr>
          <w:p w14:paraId="024ED798" w14:textId="092D9411" w:rsidR="000A75F9" w:rsidRDefault="000A75F9" w:rsidP="00DC2064">
            <w:pPr>
              <w:spacing w:after="0" w:line="259" w:lineRule="auto"/>
              <w:ind w:left="0" w:right="71" w:firstLine="0"/>
              <w:jc w:val="center"/>
            </w:pPr>
            <w:r>
              <w:rPr>
                <w:sz w:val="18"/>
              </w:rPr>
              <w:t>508.1</w:t>
            </w:r>
          </w:p>
        </w:tc>
        <w:tc>
          <w:tcPr>
            <w:tcW w:w="547" w:type="dxa"/>
            <w:tcBorders>
              <w:top w:val="single" w:sz="2" w:space="0" w:color="000000"/>
              <w:left w:val="single" w:sz="12" w:space="0" w:color="000000"/>
              <w:bottom w:val="single" w:sz="2" w:space="0" w:color="000000"/>
              <w:right w:val="single" w:sz="12" w:space="0" w:color="000000"/>
            </w:tcBorders>
          </w:tcPr>
          <w:p w14:paraId="25B19F96" w14:textId="77777777" w:rsidR="000A75F9" w:rsidRDefault="000A75F9" w:rsidP="000A75F9">
            <w:pPr>
              <w:spacing w:after="0" w:line="259" w:lineRule="auto"/>
              <w:ind w:left="31" w:right="0" w:firstLine="0"/>
              <w:jc w:val="center"/>
            </w:pPr>
            <w:r>
              <w:rPr>
                <w:sz w:val="18"/>
              </w:rPr>
              <w:t xml:space="preserve"> </w:t>
            </w:r>
          </w:p>
        </w:tc>
      </w:tr>
      <w:tr w:rsidR="000A75F9" w14:paraId="6B7FAFE8" w14:textId="77777777" w:rsidTr="00C23B62">
        <w:trPr>
          <w:trHeight w:val="245"/>
        </w:trPr>
        <w:tc>
          <w:tcPr>
            <w:tcW w:w="3406" w:type="dxa"/>
            <w:tcBorders>
              <w:top w:val="single" w:sz="2" w:space="0" w:color="000000"/>
              <w:left w:val="single" w:sz="12" w:space="0" w:color="000000"/>
              <w:bottom w:val="single" w:sz="2" w:space="0" w:color="000000"/>
              <w:right w:val="single" w:sz="12" w:space="0" w:color="000000"/>
            </w:tcBorders>
          </w:tcPr>
          <w:p w14:paraId="0FE43035" w14:textId="77777777" w:rsidR="000A75F9" w:rsidRDefault="000A75F9" w:rsidP="000A75F9">
            <w:pPr>
              <w:spacing w:after="0" w:line="259" w:lineRule="auto"/>
              <w:ind w:left="62" w:right="0" w:firstLine="0"/>
            </w:pPr>
            <w:r>
              <w:rPr>
                <w:sz w:val="18"/>
              </w:rPr>
              <w:t xml:space="preserve">Endrin </w:t>
            </w:r>
          </w:p>
        </w:tc>
        <w:tc>
          <w:tcPr>
            <w:tcW w:w="1173" w:type="dxa"/>
            <w:tcBorders>
              <w:top w:val="single" w:sz="2" w:space="0" w:color="000000"/>
              <w:left w:val="single" w:sz="12" w:space="0" w:color="000000"/>
              <w:bottom w:val="single" w:sz="2" w:space="0" w:color="000000"/>
              <w:right w:val="single" w:sz="12" w:space="0" w:color="000000"/>
            </w:tcBorders>
            <w:vAlign w:val="center"/>
          </w:tcPr>
          <w:p w14:paraId="401A0B24" w14:textId="73DF7256" w:rsidR="000A75F9" w:rsidRDefault="000A75F9" w:rsidP="00DC2064">
            <w:pPr>
              <w:spacing w:after="0" w:line="259" w:lineRule="auto"/>
              <w:ind w:left="0" w:right="71" w:firstLine="0"/>
              <w:jc w:val="center"/>
            </w:pPr>
            <w:r>
              <w:rPr>
                <w:sz w:val="18"/>
              </w:rPr>
              <w:t>72-20-8</w:t>
            </w:r>
          </w:p>
        </w:tc>
        <w:tc>
          <w:tcPr>
            <w:tcW w:w="880" w:type="dxa"/>
            <w:tcBorders>
              <w:top w:val="single" w:sz="2" w:space="0" w:color="000000"/>
              <w:left w:val="single" w:sz="12" w:space="0" w:color="000000"/>
              <w:bottom w:val="single" w:sz="2" w:space="0" w:color="000000"/>
              <w:right w:val="single" w:sz="12" w:space="0" w:color="000000"/>
            </w:tcBorders>
          </w:tcPr>
          <w:p w14:paraId="422A2C29" w14:textId="07FEA98E" w:rsidR="000A75F9" w:rsidRDefault="000A75F9" w:rsidP="009E79D2">
            <w:pPr>
              <w:tabs>
                <w:tab w:val="center" w:pos="414"/>
              </w:tabs>
              <w:spacing w:after="0" w:line="259" w:lineRule="auto"/>
              <w:ind w:left="0" w:right="0" w:firstLine="0"/>
              <w:jc w:val="center"/>
            </w:pPr>
            <w:r>
              <w:rPr>
                <w:sz w:val="18"/>
              </w:rPr>
              <w:t>1</w:t>
            </w:r>
          </w:p>
        </w:tc>
        <w:tc>
          <w:tcPr>
            <w:tcW w:w="1021" w:type="dxa"/>
            <w:tcBorders>
              <w:top w:val="single" w:sz="2" w:space="0" w:color="000000"/>
              <w:left w:val="single" w:sz="12" w:space="0" w:color="000000"/>
              <w:bottom w:val="single" w:sz="2" w:space="0" w:color="000000"/>
              <w:right w:val="single" w:sz="12" w:space="0" w:color="000000"/>
            </w:tcBorders>
          </w:tcPr>
          <w:p w14:paraId="66ECF0B1" w14:textId="5E6A355D" w:rsidR="000A75F9" w:rsidRDefault="000A75F9" w:rsidP="000A75F9">
            <w:pPr>
              <w:spacing w:after="0" w:line="259" w:lineRule="auto"/>
              <w:ind w:left="0" w:right="13" w:firstLine="0"/>
              <w:jc w:val="center"/>
            </w:pPr>
            <w:r>
              <w:rPr>
                <w:sz w:val="18"/>
              </w:rPr>
              <w:t xml:space="preserve">ug/L </w:t>
            </w:r>
          </w:p>
        </w:tc>
        <w:tc>
          <w:tcPr>
            <w:tcW w:w="810" w:type="dxa"/>
            <w:tcBorders>
              <w:top w:val="single" w:sz="2" w:space="0" w:color="000000"/>
              <w:left w:val="single" w:sz="12" w:space="0" w:color="000000"/>
              <w:bottom w:val="single" w:sz="2" w:space="0" w:color="000000"/>
              <w:right w:val="single" w:sz="12" w:space="0" w:color="000000"/>
            </w:tcBorders>
          </w:tcPr>
          <w:p w14:paraId="2ADAA14D" w14:textId="77777777" w:rsidR="000A75F9" w:rsidRDefault="000A75F9" w:rsidP="000A75F9">
            <w:pPr>
              <w:spacing w:after="0" w:line="259" w:lineRule="auto"/>
              <w:ind w:left="0" w:right="14" w:firstLine="0"/>
              <w:jc w:val="center"/>
            </w:pPr>
            <w:r>
              <w:rPr>
                <w:sz w:val="18"/>
              </w:rPr>
              <w:t xml:space="preserve">N/A </w:t>
            </w:r>
          </w:p>
        </w:tc>
        <w:tc>
          <w:tcPr>
            <w:tcW w:w="1080" w:type="dxa"/>
            <w:tcBorders>
              <w:top w:val="single" w:sz="2" w:space="0" w:color="000000"/>
              <w:left w:val="single" w:sz="12" w:space="0" w:color="000000"/>
              <w:bottom w:val="single" w:sz="2" w:space="0" w:color="000000"/>
              <w:right w:val="single" w:sz="12" w:space="0" w:color="000000"/>
            </w:tcBorders>
          </w:tcPr>
          <w:p w14:paraId="206AC923" w14:textId="77777777" w:rsidR="000A75F9" w:rsidRDefault="000A75F9" w:rsidP="000A75F9">
            <w:pPr>
              <w:spacing w:after="0" w:line="259" w:lineRule="auto"/>
              <w:ind w:left="0" w:right="9" w:firstLine="0"/>
              <w:jc w:val="center"/>
            </w:pPr>
            <w:r>
              <w:rPr>
                <w:sz w:val="18"/>
              </w:rPr>
              <w:t xml:space="preserve">N/A </w:t>
            </w:r>
          </w:p>
        </w:tc>
        <w:tc>
          <w:tcPr>
            <w:tcW w:w="767" w:type="dxa"/>
            <w:tcBorders>
              <w:top w:val="single" w:sz="2" w:space="0" w:color="000000"/>
              <w:left w:val="single" w:sz="12" w:space="0" w:color="000000"/>
              <w:bottom w:val="single" w:sz="2" w:space="0" w:color="000000"/>
              <w:right w:val="single" w:sz="12" w:space="0" w:color="000000"/>
            </w:tcBorders>
          </w:tcPr>
          <w:p w14:paraId="3BB3061A" w14:textId="77777777" w:rsidR="000A75F9" w:rsidRDefault="000A75F9" w:rsidP="000A75F9">
            <w:pPr>
              <w:spacing w:after="0" w:line="259" w:lineRule="auto"/>
              <w:ind w:left="0" w:right="12" w:firstLine="0"/>
              <w:jc w:val="center"/>
            </w:pPr>
            <w:r>
              <w:rPr>
                <w:b/>
                <w:sz w:val="18"/>
              </w:rPr>
              <w:t xml:space="preserve">525.2 </w:t>
            </w:r>
          </w:p>
        </w:tc>
        <w:tc>
          <w:tcPr>
            <w:tcW w:w="846" w:type="dxa"/>
            <w:tcBorders>
              <w:top w:val="single" w:sz="2" w:space="0" w:color="000000"/>
              <w:left w:val="single" w:sz="12" w:space="0" w:color="000000"/>
              <w:bottom w:val="single" w:sz="2" w:space="0" w:color="000000"/>
              <w:right w:val="single" w:sz="12" w:space="0" w:color="000000"/>
            </w:tcBorders>
          </w:tcPr>
          <w:p w14:paraId="5DFDEABC" w14:textId="349603CD" w:rsidR="000A75F9" w:rsidRDefault="000A75F9" w:rsidP="00DC2064">
            <w:pPr>
              <w:spacing w:after="0" w:line="259" w:lineRule="auto"/>
              <w:ind w:left="0" w:right="71" w:firstLine="0"/>
              <w:jc w:val="center"/>
            </w:pPr>
            <w:r>
              <w:rPr>
                <w:sz w:val="18"/>
              </w:rPr>
              <w:t>508.1</w:t>
            </w:r>
          </w:p>
        </w:tc>
        <w:tc>
          <w:tcPr>
            <w:tcW w:w="547" w:type="dxa"/>
            <w:tcBorders>
              <w:top w:val="single" w:sz="2" w:space="0" w:color="000000"/>
              <w:left w:val="single" w:sz="12" w:space="0" w:color="000000"/>
              <w:bottom w:val="single" w:sz="2" w:space="0" w:color="000000"/>
              <w:right w:val="single" w:sz="12" w:space="0" w:color="000000"/>
            </w:tcBorders>
          </w:tcPr>
          <w:p w14:paraId="71231F96" w14:textId="77777777" w:rsidR="000A75F9" w:rsidRDefault="000A75F9" w:rsidP="000A75F9">
            <w:pPr>
              <w:spacing w:after="0" w:line="259" w:lineRule="auto"/>
              <w:ind w:left="0" w:right="11" w:firstLine="0"/>
              <w:jc w:val="center"/>
            </w:pPr>
            <w:r>
              <w:rPr>
                <w:sz w:val="18"/>
              </w:rPr>
              <w:t xml:space="preserve">505 </w:t>
            </w:r>
          </w:p>
        </w:tc>
      </w:tr>
      <w:tr w:rsidR="000A75F9" w14:paraId="6C7F0AE4" w14:textId="77777777" w:rsidTr="00C23B62">
        <w:trPr>
          <w:trHeight w:val="245"/>
        </w:trPr>
        <w:tc>
          <w:tcPr>
            <w:tcW w:w="3406" w:type="dxa"/>
            <w:tcBorders>
              <w:top w:val="single" w:sz="2" w:space="0" w:color="000000"/>
              <w:left w:val="single" w:sz="12" w:space="0" w:color="000000"/>
              <w:bottom w:val="single" w:sz="2" w:space="0" w:color="000000"/>
              <w:right w:val="single" w:sz="12" w:space="0" w:color="000000"/>
            </w:tcBorders>
          </w:tcPr>
          <w:p w14:paraId="1C8C3F36" w14:textId="6FE10003" w:rsidR="000A75F9" w:rsidRDefault="008850F3" w:rsidP="000A75F9">
            <w:pPr>
              <w:spacing w:after="0" w:line="259" w:lineRule="auto"/>
              <w:ind w:left="62" w:right="0" w:firstLine="0"/>
            </w:pPr>
            <w:r>
              <w:rPr>
                <w:rFonts w:ascii="Symbol" w:eastAsia="Symbol" w:hAnsi="Symbol" w:cs="Symbol"/>
                <w:sz w:val="18"/>
              </w:rPr>
              <w:sym w:font="Symbol" w:char="F061"/>
            </w:r>
            <w:r w:rsidR="000A75F9">
              <w:rPr>
                <w:sz w:val="18"/>
              </w:rPr>
              <w:t>-HCH (</w:t>
            </w:r>
            <w:r>
              <w:rPr>
                <w:rFonts w:ascii="Symbol" w:eastAsia="Symbol" w:hAnsi="Symbol" w:cs="Symbol"/>
                <w:sz w:val="18"/>
              </w:rPr>
              <w:sym w:font="Symbol" w:char="F061"/>
            </w:r>
            <w:r w:rsidR="000A75F9">
              <w:rPr>
                <w:i/>
                <w:sz w:val="18"/>
              </w:rPr>
              <w:t>-BHC)</w:t>
            </w:r>
            <w:r w:rsidR="000A75F9">
              <w:rPr>
                <w:sz w:val="18"/>
              </w:rPr>
              <w:t xml:space="preserve"> </w:t>
            </w:r>
          </w:p>
        </w:tc>
        <w:tc>
          <w:tcPr>
            <w:tcW w:w="1173" w:type="dxa"/>
            <w:tcBorders>
              <w:top w:val="single" w:sz="2" w:space="0" w:color="000000"/>
              <w:left w:val="single" w:sz="12" w:space="0" w:color="000000"/>
              <w:bottom w:val="single" w:sz="2" w:space="0" w:color="000000"/>
              <w:right w:val="single" w:sz="12" w:space="0" w:color="000000"/>
            </w:tcBorders>
            <w:vAlign w:val="center"/>
          </w:tcPr>
          <w:p w14:paraId="4B61ABB2" w14:textId="5E3253BD" w:rsidR="000A75F9" w:rsidRDefault="000A75F9" w:rsidP="00DC2064">
            <w:pPr>
              <w:spacing w:after="0" w:line="259" w:lineRule="auto"/>
              <w:ind w:left="0" w:right="71" w:firstLine="0"/>
              <w:jc w:val="center"/>
            </w:pPr>
            <w:r>
              <w:rPr>
                <w:sz w:val="18"/>
              </w:rPr>
              <w:t>319-84-6</w:t>
            </w:r>
          </w:p>
        </w:tc>
        <w:tc>
          <w:tcPr>
            <w:tcW w:w="880" w:type="dxa"/>
            <w:tcBorders>
              <w:top w:val="single" w:sz="2" w:space="0" w:color="000000"/>
              <w:left w:val="single" w:sz="12" w:space="0" w:color="000000"/>
              <w:bottom w:val="single" w:sz="2" w:space="0" w:color="000000"/>
              <w:right w:val="single" w:sz="12" w:space="0" w:color="000000"/>
            </w:tcBorders>
          </w:tcPr>
          <w:p w14:paraId="7D04A487" w14:textId="4FBB5978" w:rsidR="000A75F9" w:rsidRDefault="000A75F9" w:rsidP="009E79D2">
            <w:pPr>
              <w:tabs>
                <w:tab w:val="center" w:pos="459"/>
              </w:tabs>
              <w:spacing w:after="0" w:line="259" w:lineRule="auto"/>
              <w:ind w:left="0" w:right="0" w:firstLine="0"/>
              <w:jc w:val="center"/>
            </w:pPr>
            <w:r>
              <w:rPr>
                <w:b/>
                <w:sz w:val="18"/>
              </w:rPr>
              <w:t>0.1</w:t>
            </w:r>
          </w:p>
        </w:tc>
        <w:tc>
          <w:tcPr>
            <w:tcW w:w="1021" w:type="dxa"/>
            <w:tcBorders>
              <w:top w:val="single" w:sz="2" w:space="0" w:color="000000"/>
              <w:left w:val="single" w:sz="12" w:space="0" w:color="000000"/>
              <w:bottom w:val="single" w:sz="2" w:space="0" w:color="000000"/>
              <w:right w:val="single" w:sz="12" w:space="0" w:color="000000"/>
            </w:tcBorders>
          </w:tcPr>
          <w:p w14:paraId="3628B938" w14:textId="04DB3B0C" w:rsidR="000A75F9" w:rsidRDefault="000A75F9" w:rsidP="000A75F9">
            <w:pPr>
              <w:spacing w:after="0" w:line="259" w:lineRule="auto"/>
              <w:ind w:left="0" w:right="13" w:firstLine="0"/>
              <w:jc w:val="center"/>
            </w:pPr>
            <w:r>
              <w:rPr>
                <w:sz w:val="18"/>
              </w:rPr>
              <w:t xml:space="preserve">ug/L </w:t>
            </w:r>
          </w:p>
        </w:tc>
        <w:tc>
          <w:tcPr>
            <w:tcW w:w="810" w:type="dxa"/>
            <w:tcBorders>
              <w:top w:val="single" w:sz="2" w:space="0" w:color="000000"/>
              <w:left w:val="single" w:sz="12" w:space="0" w:color="000000"/>
              <w:bottom w:val="single" w:sz="2" w:space="0" w:color="000000"/>
              <w:right w:val="single" w:sz="12" w:space="0" w:color="000000"/>
            </w:tcBorders>
          </w:tcPr>
          <w:p w14:paraId="53565BA8" w14:textId="77777777" w:rsidR="000A75F9" w:rsidRDefault="000A75F9" w:rsidP="000A75F9">
            <w:pPr>
              <w:spacing w:after="0" w:line="259" w:lineRule="auto"/>
              <w:ind w:left="0" w:right="14" w:firstLine="0"/>
              <w:jc w:val="center"/>
            </w:pPr>
            <w:r>
              <w:rPr>
                <w:sz w:val="18"/>
              </w:rPr>
              <w:t xml:space="preserve">N/A </w:t>
            </w:r>
          </w:p>
        </w:tc>
        <w:tc>
          <w:tcPr>
            <w:tcW w:w="1080" w:type="dxa"/>
            <w:tcBorders>
              <w:top w:val="single" w:sz="2" w:space="0" w:color="000000"/>
              <w:left w:val="single" w:sz="12" w:space="0" w:color="000000"/>
              <w:bottom w:val="single" w:sz="2" w:space="0" w:color="000000"/>
              <w:right w:val="single" w:sz="12" w:space="0" w:color="000000"/>
            </w:tcBorders>
          </w:tcPr>
          <w:p w14:paraId="33070C5B" w14:textId="77777777" w:rsidR="000A75F9" w:rsidRDefault="000A75F9" w:rsidP="000A75F9">
            <w:pPr>
              <w:spacing w:after="0" w:line="259" w:lineRule="auto"/>
              <w:ind w:left="0" w:right="9" w:firstLine="0"/>
              <w:jc w:val="center"/>
            </w:pPr>
            <w:r>
              <w:rPr>
                <w:sz w:val="18"/>
              </w:rPr>
              <w:t xml:space="preserve">N/A </w:t>
            </w:r>
          </w:p>
        </w:tc>
        <w:tc>
          <w:tcPr>
            <w:tcW w:w="767" w:type="dxa"/>
            <w:tcBorders>
              <w:top w:val="single" w:sz="2" w:space="0" w:color="000000"/>
              <w:left w:val="single" w:sz="12" w:space="0" w:color="000000"/>
              <w:bottom w:val="single" w:sz="2" w:space="0" w:color="000000"/>
              <w:right w:val="single" w:sz="12" w:space="0" w:color="000000"/>
            </w:tcBorders>
          </w:tcPr>
          <w:p w14:paraId="3071CE1C" w14:textId="77777777" w:rsidR="000A75F9" w:rsidRDefault="000A75F9" w:rsidP="000A75F9">
            <w:pPr>
              <w:spacing w:after="0" w:line="259" w:lineRule="auto"/>
              <w:ind w:left="0" w:right="12" w:firstLine="0"/>
              <w:jc w:val="center"/>
            </w:pPr>
            <w:r>
              <w:rPr>
                <w:b/>
                <w:sz w:val="18"/>
              </w:rPr>
              <w:t xml:space="preserve">525.2 </w:t>
            </w:r>
          </w:p>
        </w:tc>
        <w:tc>
          <w:tcPr>
            <w:tcW w:w="846" w:type="dxa"/>
            <w:tcBorders>
              <w:top w:val="single" w:sz="2" w:space="0" w:color="000000"/>
              <w:left w:val="single" w:sz="12" w:space="0" w:color="000000"/>
              <w:bottom w:val="single" w:sz="2" w:space="0" w:color="000000"/>
              <w:right w:val="single" w:sz="12" w:space="0" w:color="000000"/>
            </w:tcBorders>
          </w:tcPr>
          <w:p w14:paraId="18FCD3DA" w14:textId="7A1CAF14" w:rsidR="000A75F9" w:rsidRDefault="000A75F9" w:rsidP="00DC2064">
            <w:pPr>
              <w:spacing w:after="0" w:line="259" w:lineRule="auto"/>
              <w:ind w:left="0" w:right="71" w:firstLine="0"/>
              <w:jc w:val="center"/>
            </w:pPr>
            <w:r>
              <w:rPr>
                <w:sz w:val="18"/>
              </w:rPr>
              <w:t>508.1</w:t>
            </w:r>
          </w:p>
        </w:tc>
        <w:tc>
          <w:tcPr>
            <w:tcW w:w="547" w:type="dxa"/>
            <w:tcBorders>
              <w:top w:val="single" w:sz="2" w:space="0" w:color="000000"/>
              <w:left w:val="single" w:sz="12" w:space="0" w:color="000000"/>
              <w:bottom w:val="single" w:sz="2" w:space="0" w:color="000000"/>
              <w:right w:val="single" w:sz="12" w:space="0" w:color="000000"/>
            </w:tcBorders>
          </w:tcPr>
          <w:p w14:paraId="36581735" w14:textId="77777777" w:rsidR="000A75F9" w:rsidRDefault="000A75F9" w:rsidP="000A75F9">
            <w:pPr>
              <w:spacing w:after="0" w:line="259" w:lineRule="auto"/>
              <w:ind w:left="31" w:right="0" w:firstLine="0"/>
              <w:jc w:val="center"/>
            </w:pPr>
            <w:r>
              <w:rPr>
                <w:sz w:val="18"/>
              </w:rPr>
              <w:t xml:space="preserve"> </w:t>
            </w:r>
          </w:p>
        </w:tc>
      </w:tr>
      <w:tr w:rsidR="000A75F9" w14:paraId="5A2B924B" w14:textId="77777777" w:rsidTr="00C23B62">
        <w:trPr>
          <w:trHeight w:val="245"/>
        </w:trPr>
        <w:tc>
          <w:tcPr>
            <w:tcW w:w="3406" w:type="dxa"/>
            <w:tcBorders>
              <w:top w:val="single" w:sz="2" w:space="0" w:color="000000"/>
              <w:left w:val="single" w:sz="12" w:space="0" w:color="000000"/>
              <w:bottom w:val="single" w:sz="2" w:space="0" w:color="000000"/>
              <w:right w:val="single" w:sz="12" w:space="0" w:color="000000"/>
            </w:tcBorders>
          </w:tcPr>
          <w:p w14:paraId="60D1C756" w14:textId="6079BBA4" w:rsidR="000A75F9" w:rsidRDefault="008850F3" w:rsidP="000A75F9">
            <w:pPr>
              <w:spacing w:after="0" w:line="259" w:lineRule="auto"/>
              <w:ind w:left="62" w:right="0" w:firstLine="0"/>
            </w:pPr>
            <w:r>
              <w:rPr>
                <w:rFonts w:ascii="Symbol" w:eastAsia="Symbol" w:hAnsi="Symbol" w:cs="Symbol"/>
                <w:sz w:val="18"/>
              </w:rPr>
              <w:sym w:font="Symbol" w:char="F062"/>
            </w:r>
            <w:r w:rsidR="000A75F9">
              <w:rPr>
                <w:sz w:val="18"/>
              </w:rPr>
              <w:t>-HCH (</w:t>
            </w:r>
            <w:r>
              <w:rPr>
                <w:rFonts w:ascii="Symbol" w:eastAsia="Symbol" w:hAnsi="Symbol" w:cs="Symbol"/>
                <w:sz w:val="18"/>
              </w:rPr>
              <w:sym w:font="Symbol" w:char="F062"/>
            </w:r>
            <w:r w:rsidR="000A75F9">
              <w:rPr>
                <w:i/>
                <w:sz w:val="18"/>
              </w:rPr>
              <w:t>-BHC)</w:t>
            </w:r>
            <w:r w:rsidR="000A75F9">
              <w:rPr>
                <w:sz w:val="18"/>
              </w:rPr>
              <w:t xml:space="preserve"> </w:t>
            </w:r>
          </w:p>
        </w:tc>
        <w:tc>
          <w:tcPr>
            <w:tcW w:w="1173" w:type="dxa"/>
            <w:tcBorders>
              <w:top w:val="single" w:sz="2" w:space="0" w:color="000000"/>
              <w:left w:val="single" w:sz="12" w:space="0" w:color="000000"/>
              <w:bottom w:val="single" w:sz="2" w:space="0" w:color="000000"/>
              <w:right w:val="single" w:sz="12" w:space="0" w:color="000000"/>
            </w:tcBorders>
            <w:vAlign w:val="center"/>
          </w:tcPr>
          <w:p w14:paraId="6AD9077B" w14:textId="4BC3554C" w:rsidR="000A75F9" w:rsidRDefault="000A75F9" w:rsidP="00DC2064">
            <w:pPr>
              <w:spacing w:after="0" w:line="259" w:lineRule="auto"/>
              <w:ind w:left="0" w:right="71" w:firstLine="0"/>
              <w:jc w:val="center"/>
            </w:pPr>
            <w:r>
              <w:rPr>
                <w:sz w:val="18"/>
              </w:rPr>
              <w:t>319-85-7</w:t>
            </w:r>
          </w:p>
        </w:tc>
        <w:tc>
          <w:tcPr>
            <w:tcW w:w="880" w:type="dxa"/>
            <w:tcBorders>
              <w:top w:val="single" w:sz="2" w:space="0" w:color="000000"/>
              <w:left w:val="single" w:sz="12" w:space="0" w:color="000000"/>
              <w:bottom w:val="single" w:sz="2" w:space="0" w:color="000000"/>
              <w:right w:val="single" w:sz="12" w:space="0" w:color="000000"/>
            </w:tcBorders>
          </w:tcPr>
          <w:p w14:paraId="2300E056" w14:textId="616422DD" w:rsidR="000A75F9" w:rsidRDefault="000A75F9" w:rsidP="009E79D2">
            <w:pPr>
              <w:tabs>
                <w:tab w:val="center" w:pos="459"/>
              </w:tabs>
              <w:spacing w:after="0" w:line="259" w:lineRule="auto"/>
              <w:ind w:left="0" w:right="0" w:firstLine="0"/>
              <w:jc w:val="center"/>
            </w:pPr>
            <w:r>
              <w:rPr>
                <w:b/>
                <w:sz w:val="18"/>
              </w:rPr>
              <w:t>0.4</w:t>
            </w:r>
          </w:p>
        </w:tc>
        <w:tc>
          <w:tcPr>
            <w:tcW w:w="1021" w:type="dxa"/>
            <w:tcBorders>
              <w:top w:val="single" w:sz="2" w:space="0" w:color="000000"/>
              <w:left w:val="single" w:sz="12" w:space="0" w:color="000000"/>
              <w:bottom w:val="single" w:sz="2" w:space="0" w:color="000000"/>
              <w:right w:val="single" w:sz="12" w:space="0" w:color="000000"/>
            </w:tcBorders>
          </w:tcPr>
          <w:p w14:paraId="73AB1762" w14:textId="4859DE20" w:rsidR="000A75F9" w:rsidRDefault="000A75F9" w:rsidP="000A75F9">
            <w:pPr>
              <w:spacing w:after="0" w:line="259" w:lineRule="auto"/>
              <w:ind w:left="0" w:right="13" w:firstLine="0"/>
              <w:jc w:val="center"/>
            </w:pPr>
            <w:r>
              <w:rPr>
                <w:sz w:val="18"/>
              </w:rPr>
              <w:t xml:space="preserve">ug/L </w:t>
            </w:r>
          </w:p>
        </w:tc>
        <w:tc>
          <w:tcPr>
            <w:tcW w:w="810" w:type="dxa"/>
            <w:tcBorders>
              <w:top w:val="single" w:sz="2" w:space="0" w:color="000000"/>
              <w:left w:val="single" w:sz="12" w:space="0" w:color="000000"/>
              <w:bottom w:val="single" w:sz="2" w:space="0" w:color="000000"/>
              <w:right w:val="single" w:sz="12" w:space="0" w:color="000000"/>
            </w:tcBorders>
          </w:tcPr>
          <w:p w14:paraId="05AD0A22" w14:textId="77777777" w:rsidR="000A75F9" w:rsidRDefault="000A75F9" w:rsidP="000A75F9">
            <w:pPr>
              <w:spacing w:after="0" w:line="259" w:lineRule="auto"/>
              <w:ind w:left="0" w:right="14" w:firstLine="0"/>
              <w:jc w:val="center"/>
            </w:pPr>
            <w:r>
              <w:rPr>
                <w:sz w:val="18"/>
              </w:rPr>
              <w:t xml:space="preserve">N/A </w:t>
            </w:r>
          </w:p>
        </w:tc>
        <w:tc>
          <w:tcPr>
            <w:tcW w:w="1080" w:type="dxa"/>
            <w:tcBorders>
              <w:top w:val="single" w:sz="2" w:space="0" w:color="000000"/>
              <w:left w:val="single" w:sz="12" w:space="0" w:color="000000"/>
              <w:bottom w:val="single" w:sz="2" w:space="0" w:color="000000"/>
              <w:right w:val="single" w:sz="12" w:space="0" w:color="000000"/>
            </w:tcBorders>
          </w:tcPr>
          <w:p w14:paraId="5A6A73D2" w14:textId="77777777" w:rsidR="000A75F9" w:rsidRDefault="000A75F9" w:rsidP="000A75F9">
            <w:pPr>
              <w:spacing w:after="0" w:line="259" w:lineRule="auto"/>
              <w:ind w:left="0" w:right="9" w:firstLine="0"/>
              <w:jc w:val="center"/>
            </w:pPr>
            <w:r>
              <w:rPr>
                <w:sz w:val="18"/>
              </w:rPr>
              <w:t xml:space="preserve">N/A </w:t>
            </w:r>
          </w:p>
        </w:tc>
        <w:tc>
          <w:tcPr>
            <w:tcW w:w="767" w:type="dxa"/>
            <w:tcBorders>
              <w:top w:val="single" w:sz="2" w:space="0" w:color="000000"/>
              <w:left w:val="single" w:sz="12" w:space="0" w:color="000000"/>
              <w:bottom w:val="single" w:sz="2" w:space="0" w:color="000000"/>
              <w:right w:val="single" w:sz="12" w:space="0" w:color="000000"/>
            </w:tcBorders>
          </w:tcPr>
          <w:p w14:paraId="40EA2557" w14:textId="77777777" w:rsidR="000A75F9" w:rsidRDefault="000A75F9" w:rsidP="000A75F9">
            <w:pPr>
              <w:spacing w:after="0" w:line="259" w:lineRule="auto"/>
              <w:ind w:left="0" w:right="12" w:firstLine="0"/>
              <w:jc w:val="center"/>
            </w:pPr>
            <w:r>
              <w:rPr>
                <w:b/>
                <w:sz w:val="18"/>
              </w:rPr>
              <w:t xml:space="preserve">525.2 </w:t>
            </w:r>
          </w:p>
        </w:tc>
        <w:tc>
          <w:tcPr>
            <w:tcW w:w="846" w:type="dxa"/>
            <w:tcBorders>
              <w:top w:val="single" w:sz="2" w:space="0" w:color="000000"/>
              <w:left w:val="single" w:sz="12" w:space="0" w:color="000000"/>
              <w:bottom w:val="single" w:sz="2" w:space="0" w:color="000000"/>
              <w:right w:val="single" w:sz="12" w:space="0" w:color="000000"/>
            </w:tcBorders>
          </w:tcPr>
          <w:p w14:paraId="71A76394" w14:textId="397589C7" w:rsidR="000A75F9" w:rsidRDefault="000A75F9" w:rsidP="00DC2064">
            <w:pPr>
              <w:spacing w:after="0" w:line="259" w:lineRule="auto"/>
              <w:ind w:left="0" w:right="71" w:firstLine="0"/>
              <w:jc w:val="center"/>
            </w:pPr>
            <w:r>
              <w:rPr>
                <w:sz w:val="18"/>
              </w:rPr>
              <w:t>508.1</w:t>
            </w:r>
          </w:p>
        </w:tc>
        <w:tc>
          <w:tcPr>
            <w:tcW w:w="547" w:type="dxa"/>
            <w:tcBorders>
              <w:top w:val="single" w:sz="2" w:space="0" w:color="000000"/>
              <w:left w:val="single" w:sz="12" w:space="0" w:color="000000"/>
              <w:bottom w:val="single" w:sz="2" w:space="0" w:color="000000"/>
              <w:right w:val="single" w:sz="12" w:space="0" w:color="000000"/>
            </w:tcBorders>
          </w:tcPr>
          <w:p w14:paraId="3DA410F6" w14:textId="77777777" w:rsidR="000A75F9" w:rsidRDefault="000A75F9" w:rsidP="000A75F9">
            <w:pPr>
              <w:spacing w:after="0" w:line="259" w:lineRule="auto"/>
              <w:ind w:left="31" w:right="0" w:firstLine="0"/>
              <w:jc w:val="center"/>
            </w:pPr>
            <w:r>
              <w:rPr>
                <w:sz w:val="18"/>
              </w:rPr>
              <w:t xml:space="preserve"> </w:t>
            </w:r>
          </w:p>
        </w:tc>
      </w:tr>
      <w:tr w:rsidR="000A75F9" w14:paraId="34A93048" w14:textId="77777777" w:rsidTr="00C23B62">
        <w:trPr>
          <w:trHeight w:val="245"/>
        </w:trPr>
        <w:tc>
          <w:tcPr>
            <w:tcW w:w="3406" w:type="dxa"/>
            <w:tcBorders>
              <w:top w:val="single" w:sz="2" w:space="0" w:color="000000"/>
              <w:left w:val="single" w:sz="12" w:space="0" w:color="000000"/>
              <w:bottom w:val="single" w:sz="2" w:space="0" w:color="000000"/>
              <w:right w:val="single" w:sz="12" w:space="0" w:color="000000"/>
            </w:tcBorders>
          </w:tcPr>
          <w:p w14:paraId="54983AC9" w14:textId="5D3A4DDD" w:rsidR="000A75F9" w:rsidRDefault="008850F3" w:rsidP="000A75F9">
            <w:pPr>
              <w:spacing w:after="0" w:line="259" w:lineRule="auto"/>
              <w:ind w:left="62" w:right="0" w:firstLine="0"/>
            </w:pPr>
            <w:r>
              <w:rPr>
                <w:rFonts w:ascii="Symbol" w:eastAsia="Symbol" w:hAnsi="Symbol" w:cs="Symbol"/>
                <w:sz w:val="18"/>
              </w:rPr>
              <w:sym w:font="Symbol" w:char="F067"/>
            </w:r>
            <w:r w:rsidR="000A75F9">
              <w:rPr>
                <w:sz w:val="18"/>
              </w:rPr>
              <w:t xml:space="preserve">-HCH </w:t>
            </w:r>
            <w:r w:rsidR="000A75F9">
              <w:rPr>
                <w:i/>
                <w:sz w:val="18"/>
              </w:rPr>
              <w:t xml:space="preserve">(Lindane, </w:t>
            </w:r>
            <w:r>
              <w:rPr>
                <w:rFonts w:ascii="Symbol" w:eastAsia="Symbol" w:hAnsi="Symbol" w:cs="Symbol"/>
                <w:i/>
                <w:sz w:val="18"/>
              </w:rPr>
              <w:sym w:font="Symbol" w:char="F067"/>
            </w:r>
            <w:r w:rsidR="000A75F9">
              <w:rPr>
                <w:i/>
                <w:sz w:val="18"/>
              </w:rPr>
              <w:t>-BHC)</w:t>
            </w:r>
            <w:r w:rsidR="000A75F9">
              <w:rPr>
                <w:sz w:val="18"/>
              </w:rPr>
              <w:t xml:space="preserve"> </w:t>
            </w:r>
          </w:p>
        </w:tc>
        <w:tc>
          <w:tcPr>
            <w:tcW w:w="1173" w:type="dxa"/>
            <w:tcBorders>
              <w:top w:val="single" w:sz="2" w:space="0" w:color="000000"/>
              <w:left w:val="single" w:sz="12" w:space="0" w:color="000000"/>
              <w:bottom w:val="single" w:sz="2" w:space="0" w:color="000000"/>
              <w:right w:val="single" w:sz="12" w:space="0" w:color="000000"/>
            </w:tcBorders>
            <w:vAlign w:val="center"/>
          </w:tcPr>
          <w:p w14:paraId="6F140E4D" w14:textId="1FAC2412" w:rsidR="000A75F9" w:rsidRDefault="000A75F9" w:rsidP="00DC2064">
            <w:pPr>
              <w:spacing w:after="0" w:line="259" w:lineRule="auto"/>
              <w:ind w:left="0" w:right="71" w:firstLine="0"/>
              <w:jc w:val="center"/>
            </w:pPr>
            <w:r>
              <w:rPr>
                <w:sz w:val="18"/>
              </w:rPr>
              <w:t>58-89-9</w:t>
            </w:r>
          </w:p>
        </w:tc>
        <w:tc>
          <w:tcPr>
            <w:tcW w:w="880" w:type="dxa"/>
            <w:tcBorders>
              <w:top w:val="single" w:sz="2" w:space="0" w:color="000000"/>
              <w:left w:val="single" w:sz="12" w:space="0" w:color="000000"/>
              <w:bottom w:val="single" w:sz="2" w:space="0" w:color="000000"/>
              <w:right w:val="single" w:sz="12" w:space="0" w:color="000000"/>
            </w:tcBorders>
          </w:tcPr>
          <w:p w14:paraId="6F75A5A4" w14:textId="599A630F" w:rsidR="000A75F9" w:rsidRDefault="000A75F9" w:rsidP="009E79D2">
            <w:pPr>
              <w:tabs>
                <w:tab w:val="center" w:pos="459"/>
              </w:tabs>
              <w:spacing w:after="0" w:line="259" w:lineRule="auto"/>
              <w:ind w:left="0" w:right="0" w:firstLine="0"/>
              <w:jc w:val="center"/>
            </w:pPr>
            <w:r>
              <w:rPr>
                <w:b/>
                <w:sz w:val="18"/>
              </w:rPr>
              <w:t>0.2</w:t>
            </w:r>
          </w:p>
        </w:tc>
        <w:tc>
          <w:tcPr>
            <w:tcW w:w="1021" w:type="dxa"/>
            <w:tcBorders>
              <w:top w:val="single" w:sz="2" w:space="0" w:color="000000"/>
              <w:left w:val="single" w:sz="12" w:space="0" w:color="000000"/>
              <w:bottom w:val="single" w:sz="2" w:space="0" w:color="000000"/>
              <w:right w:val="single" w:sz="12" w:space="0" w:color="000000"/>
            </w:tcBorders>
          </w:tcPr>
          <w:p w14:paraId="0F608695" w14:textId="33FD52B5" w:rsidR="000A75F9" w:rsidRDefault="000A75F9" w:rsidP="000A75F9">
            <w:pPr>
              <w:spacing w:after="0" w:line="259" w:lineRule="auto"/>
              <w:ind w:left="0" w:right="13" w:firstLine="0"/>
              <w:jc w:val="center"/>
            </w:pPr>
            <w:r>
              <w:rPr>
                <w:sz w:val="18"/>
              </w:rPr>
              <w:t xml:space="preserve">ug/L </w:t>
            </w:r>
          </w:p>
        </w:tc>
        <w:tc>
          <w:tcPr>
            <w:tcW w:w="810" w:type="dxa"/>
            <w:tcBorders>
              <w:top w:val="single" w:sz="2" w:space="0" w:color="000000"/>
              <w:left w:val="single" w:sz="12" w:space="0" w:color="000000"/>
              <w:bottom w:val="single" w:sz="2" w:space="0" w:color="000000"/>
              <w:right w:val="single" w:sz="12" w:space="0" w:color="000000"/>
            </w:tcBorders>
          </w:tcPr>
          <w:p w14:paraId="0517BB4E" w14:textId="77777777" w:rsidR="000A75F9" w:rsidRDefault="000A75F9" w:rsidP="000A75F9">
            <w:pPr>
              <w:spacing w:after="0" w:line="259" w:lineRule="auto"/>
              <w:ind w:left="0" w:right="14" w:firstLine="0"/>
              <w:jc w:val="center"/>
            </w:pPr>
            <w:r>
              <w:rPr>
                <w:sz w:val="18"/>
              </w:rPr>
              <w:t xml:space="preserve">N/A </w:t>
            </w:r>
          </w:p>
        </w:tc>
        <w:tc>
          <w:tcPr>
            <w:tcW w:w="1080" w:type="dxa"/>
            <w:tcBorders>
              <w:top w:val="single" w:sz="2" w:space="0" w:color="000000"/>
              <w:left w:val="single" w:sz="12" w:space="0" w:color="000000"/>
              <w:bottom w:val="single" w:sz="2" w:space="0" w:color="000000"/>
              <w:right w:val="single" w:sz="12" w:space="0" w:color="000000"/>
            </w:tcBorders>
          </w:tcPr>
          <w:p w14:paraId="7A794326" w14:textId="77777777" w:rsidR="000A75F9" w:rsidRDefault="000A75F9" w:rsidP="000A75F9">
            <w:pPr>
              <w:spacing w:after="0" w:line="259" w:lineRule="auto"/>
              <w:ind w:left="0" w:right="9" w:firstLine="0"/>
              <w:jc w:val="center"/>
            </w:pPr>
            <w:r>
              <w:rPr>
                <w:sz w:val="18"/>
              </w:rPr>
              <w:t xml:space="preserve">N/A </w:t>
            </w:r>
          </w:p>
        </w:tc>
        <w:tc>
          <w:tcPr>
            <w:tcW w:w="767" w:type="dxa"/>
            <w:tcBorders>
              <w:top w:val="single" w:sz="2" w:space="0" w:color="000000"/>
              <w:left w:val="single" w:sz="12" w:space="0" w:color="000000"/>
              <w:bottom w:val="single" w:sz="2" w:space="0" w:color="000000"/>
              <w:right w:val="single" w:sz="12" w:space="0" w:color="000000"/>
            </w:tcBorders>
          </w:tcPr>
          <w:p w14:paraId="19120244" w14:textId="77777777" w:rsidR="000A75F9" w:rsidRDefault="000A75F9" w:rsidP="000A75F9">
            <w:pPr>
              <w:spacing w:after="0" w:line="259" w:lineRule="auto"/>
              <w:ind w:left="0" w:right="12" w:firstLine="0"/>
              <w:jc w:val="center"/>
            </w:pPr>
            <w:r>
              <w:rPr>
                <w:b/>
                <w:sz w:val="18"/>
              </w:rPr>
              <w:t xml:space="preserve">525.2 </w:t>
            </w:r>
          </w:p>
        </w:tc>
        <w:tc>
          <w:tcPr>
            <w:tcW w:w="846" w:type="dxa"/>
            <w:tcBorders>
              <w:top w:val="single" w:sz="2" w:space="0" w:color="000000"/>
              <w:left w:val="single" w:sz="12" w:space="0" w:color="000000"/>
              <w:bottom w:val="single" w:sz="2" w:space="0" w:color="000000"/>
              <w:right w:val="single" w:sz="12" w:space="0" w:color="000000"/>
            </w:tcBorders>
          </w:tcPr>
          <w:p w14:paraId="62EDAF1C" w14:textId="6D336657" w:rsidR="000A75F9" w:rsidRDefault="000A75F9" w:rsidP="00DC2064">
            <w:pPr>
              <w:spacing w:after="0" w:line="259" w:lineRule="auto"/>
              <w:ind w:left="0" w:right="71" w:firstLine="0"/>
              <w:jc w:val="center"/>
            </w:pPr>
            <w:r>
              <w:rPr>
                <w:sz w:val="18"/>
              </w:rPr>
              <w:t>508.1</w:t>
            </w:r>
          </w:p>
        </w:tc>
        <w:tc>
          <w:tcPr>
            <w:tcW w:w="547" w:type="dxa"/>
            <w:tcBorders>
              <w:top w:val="single" w:sz="2" w:space="0" w:color="000000"/>
              <w:left w:val="single" w:sz="12" w:space="0" w:color="000000"/>
              <w:bottom w:val="single" w:sz="2" w:space="0" w:color="000000"/>
              <w:right w:val="single" w:sz="12" w:space="0" w:color="000000"/>
            </w:tcBorders>
          </w:tcPr>
          <w:p w14:paraId="5363BF27" w14:textId="77777777" w:rsidR="000A75F9" w:rsidRDefault="000A75F9" w:rsidP="000A75F9">
            <w:pPr>
              <w:spacing w:after="0" w:line="259" w:lineRule="auto"/>
              <w:ind w:left="0" w:right="11" w:firstLine="0"/>
              <w:jc w:val="center"/>
            </w:pPr>
            <w:r>
              <w:rPr>
                <w:sz w:val="18"/>
              </w:rPr>
              <w:t xml:space="preserve">505 </w:t>
            </w:r>
          </w:p>
        </w:tc>
      </w:tr>
      <w:tr w:rsidR="000A75F9" w14:paraId="19205CE5" w14:textId="77777777" w:rsidTr="00C23B62">
        <w:trPr>
          <w:trHeight w:val="245"/>
        </w:trPr>
        <w:tc>
          <w:tcPr>
            <w:tcW w:w="3406" w:type="dxa"/>
            <w:tcBorders>
              <w:top w:val="single" w:sz="2" w:space="0" w:color="000000"/>
              <w:left w:val="single" w:sz="12" w:space="0" w:color="000000"/>
              <w:bottom w:val="single" w:sz="2" w:space="0" w:color="000000"/>
              <w:right w:val="single" w:sz="12" w:space="0" w:color="000000"/>
            </w:tcBorders>
          </w:tcPr>
          <w:p w14:paraId="59AE1053" w14:textId="77777777" w:rsidR="000A75F9" w:rsidRDefault="000A75F9" w:rsidP="000A75F9">
            <w:pPr>
              <w:spacing w:after="0" w:line="259" w:lineRule="auto"/>
              <w:ind w:left="62" w:right="0" w:firstLine="0"/>
            </w:pPr>
            <w:r>
              <w:rPr>
                <w:sz w:val="18"/>
              </w:rPr>
              <w:t xml:space="preserve">Heptachlor </w:t>
            </w:r>
          </w:p>
        </w:tc>
        <w:tc>
          <w:tcPr>
            <w:tcW w:w="1173" w:type="dxa"/>
            <w:tcBorders>
              <w:top w:val="single" w:sz="2" w:space="0" w:color="000000"/>
              <w:left w:val="single" w:sz="12" w:space="0" w:color="000000"/>
              <w:bottom w:val="single" w:sz="2" w:space="0" w:color="000000"/>
              <w:right w:val="single" w:sz="12" w:space="0" w:color="000000"/>
            </w:tcBorders>
            <w:vAlign w:val="center"/>
          </w:tcPr>
          <w:p w14:paraId="05B515A6" w14:textId="29F089C0" w:rsidR="000A75F9" w:rsidRDefault="000A75F9" w:rsidP="00DC2064">
            <w:pPr>
              <w:spacing w:after="0" w:line="259" w:lineRule="auto"/>
              <w:ind w:left="0" w:right="71" w:firstLine="0"/>
              <w:jc w:val="center"/>
            </w:pPr>
            <w:r>
              <w:rPr>
                <w:sz w:val="18"/>
              </w:rPr>
              <w:t>76-44-8</w:t>
            </w:r>
          </w:p>
        </w:tc>
        <w:tc>
          <w:tcPr>
            <w:tcW w:w="880" w:type="dxa"/>
            <w:tcBorders>
              <w:top w:val="single" w:sz="2" w:space="0" w:color="000000"/>
              <w:left w:val="single" w:sz="12" w:space="0" w:color="000000"/>
              <w:bottom w:val="single" w:sz="2" w:space="0" w:color="000000"/>
              <w:right w:val="single" w:sz="12" w:space="0" w:color="000000"/>
            </w:tcBorders>
          </w:tcPr>
          <w:p w14:paraId="0F0C3E73" w14:textId="12D70A13" w:rsidR="000A75F9" w:rsidRDefault="000A75F9" w:rsidP="009E79D2">
            <w:pPr>
              <w:tabs>
                <w:tab w:val="center" w:pos="459"/>
              </w:tabs>
              <w:spacing w:after="0" w:line="259" w:lineRule="auto"/>
              <w:ind w:left="0" w:right="0" w:firstLine="0"/>
              <w:jc w:val="center"/>
            </w:pPr>
            <w:r>
              <w:rPr>
                <w:b/>
                <w:sz w:val="18"/>
              </w:rPr>
              <w:t>0.2</w:t>
            </w:r>
          </w:p>
        </w:tc>
        <w:tc>
          <w:tcPr>
            <w:tcW w:w="1021" w:type="dxa"/>
            <w:tcBorders>
              <w:top w:val="single" w:sz="2" w:space="0" w:color="000000"/>
              <w:left w:val="single" w:sz="12" w:space="0" w:color="000000"/>
              <w:bottom w:val="single" w:sz="2" w:space="0" w:color="000000"/>
              <w:right w:val="single" w:sz="12" w:space="0" w:color="000000"/>
            </w:tcBorders>
          </w:tcPr>
          <w:p w14:paraId="63C47DA5" w14:textId="6B25C5E0" w:rsidR="000A75F9" w:rsidRDefault="000A75F9" w:rsidP="000A75F9">
            <w:pPr>
              <w:spacing w:after="0" w:line="259" w:lineRule="auto"/>
              <w:ind w:left="0" w:right="13" w:firstLine="0"/>
              <w:jc w:val="center"/>
            </w:pPr>
            <w:r>
              <w:rPr>
                <w:sz w:val="18"/>
              </w:rPr>
              <w:t xml:space="preserve">ug/L </w:t>
            </w:r>
          </w:p>
        </w:tc>
        <w:tc>
          <w:tcPr>
            <w:tcW w:w="810" w:type="dxa"/>
            <w:tcBorders>
              <w:top w:val="single" w:sz="2" w:space="0" w:color="000000"/>
              <w:left w:val="single" w:sz="12" w:space="0" w:color="000000"/>
              <w:bottom w:val="single" w:sz="2" w:space="0" w:color="000000"/>
              <w:right w:val="single" w:sz="12" w:space="0" w:color="000000"/>
            </w:tcBorders>
          </w:tcPr>
          <w:p w14:paraId="041501CE" w14:textId="77777777" w:rsidR="000A75F9" w:rsidRDefault="000A75F9" w:rsidP="000A75F9">
            <w:pPr>
              <w:spacing w:after="0" w:line="259" w:lineRule="auto"/>
              <w:ind w:left="0" w:right="14" w:firstLine="0"/>
              <w:jc w:val="center"/>
            </w:pPr>
            <w:r>
              <w:rPr>
                <w:sz w:val="18"/>
              </w:rPr>
              <w:t xml:space="preserve">N/A </w:t>
            </w:r>
          </w:p>
        </w:tc>
        <w:tc>
          <w:tcPr>
            <w:tcW w:w="1080" w:type="dxa"/>
            <w:tcBorders>
              <w:top w:val="single" w:sz="2" w:space="0" w:color="000000"/>
              <w:left w:val="single" w:sz="12" w:space="0" w:color="000000"/>
              <w:bottom w:val="single" w:sz="2" w:space="0" w:color="000000"/>
              <w:right w:val="single" w:sz="12" w:space="0" w:color="000000"/>
            </w:tcBorders>
          </w:tcPr>
          <w:p w14:paraId="34F2EDAA" w14:textId="77777777" w:rsidR="000A75F9" w:rsidRDefault="000A75F9" w:rsidP="000A75F9">
            <w:pPr>
              <w:spacing w:after="0" w:line="259" w:lineRule="auto"/>
              <w:ind w:left="0" w:right="9" w:firstLine="0"/>
              <w:jc w:val="center"/>
            </w:pPr>
            <w:r>
              <w:rPr>
                <w:sz w:val="18"/>
              </w:rPr>
              <w:t xml:space="preserve">N/A </w:t>
            </w:r>
          </w:p>
        </w:tc>
        <w:tc>
          <w:tcPr>
            <w:tcW w:w="767" w:type="dxa"/>
            <w:tcBorders>
              <w:top w:val="single" w:sz="2" w:space="0" w:color="000000"/>
              <w:left w:val="single" w:sz="12" w:space="0" w:color="000000"/>
              <w:bottom w:val="single" w:sz="2" w:space="0" w:color="000000"/>
              <w:right w:val="single" w:sz="12" w:space="0" w:color="000000"/>
            </w:tcBorders>
          </w:tcPr>
          <w:p w14:paraId="66946494" w14:textId="77777777" w:rsidR="000A75F9" w:rsidRDefault="000A75F9" w:rsidP="000A75F9">
            <w:pPr>
              <w:spacing w:after="0" w:line="259" w:lineRule="auto"/>
              <w:ind w:left="0" w:right="12" w:firstLine="0"/>
              <w:jc w:val="center"/>
            </w:pPr>
            <w:r>
              <w:rPr>
                <w:b/>
                <w:sz w:val="18"/>
              </w:rPr>
              <w:t xml:space="preserve">525.2 </w:t>
            </w:r>
          </w:p>
        </w:tc>
        <w:tc>
          <w:tcPr>
            <w:tcW w:w="846" w:type="dxa"/>
            <w:tcBorders>
              <w:top w:val="single" w:sz="2" w:space="0" w:color="000000"/>
              <w:left w:val="single" w:sz="12" w:space="0" w:color="000000"/>
              <w:bottom w:val="single" w:sz="2" w:space="0" w:color="000000"/>
              <w:right w:val="single" w:sz="12" w:space="0" w:color="000000"/>
            </w:tcBorders>
          </w:tcPr>
          <w:p w14:paraId="65E36917" w14:textId="67EA09A5" w:rsidR="000A75F9" w:rsidRDefault="000A75F9" w:rsidP="00DC2064">
            <w:pPr>
              <w:spacing w:after="0" w:line="259" w:lineRule="auto"/>
              <w:ind w:left="0" w:right="71" w:firstLine="0"/>
              <w:jc w:val="center"/>
            </w:pPr>
            <w:r>
              <w:rPr>
                <w:sz w:val="18"/>
              </w:rPr>
              <w:t>508.1</w:t>
            </w:r>
          </w:p>
        </w:tc>
        <w:tc>
          <w:tcPr>
            <w:tcW w:w="547" w:type="dxa"/>
            <w:tcBorders>
              <w:top w:val="single" w:sz="2" w:space="0" w:color="000000"/>
              <w:left w:val="single" w:sz="12" w:space="0" w:color="000000"/>
              <w:bottom w:val="single" w:sz="2" w:space="0" w:color="000000"/>
              <w:right w:val="single" w:sz="12" w:space="0" w:color="000000"/>
            </w:tcBorders>
          </w:tcPr>
          <w:p w14:paraId="604383B3" w14:textId="77777777" w:rsidR="000A75F9" w:rsidRDefault="000A75F9" w:rsidP="000A75F9">
            <w:pPr>
              <w:spacing w:after="0" w:line="259" w:lineRule="auto"/>
              <w:ind w:left="0" w:right="11" w:firstLine="0"/>
              <w:jc w:val="center"/>
            </w:pPr>
            <w:r>
              <w:rPr>
                <w:sz w:val="18"/>
              </w:rPr>
              <w:t xml:space="preserve">505 </w:t>
            </w:r>
          </w:p>
        </w:tc>
      </w:tr>
      <w:tr w:rsidR="000A75F9" w14:paraId="6E18FAF1" w14:textId="77777777" w:rsidTr="00C23B62">
        <w:trPr>
          <w:trHeight w:val="245"/>
        </w:trPr>
        <w:tc>
          <w:tcPr>
            <w:tcW w:w="3406" w:type="dxa"/>
            <w:tcBorders>
              <w:top w:val="single" w:sz="2" w:space="0" w:color="000000"/>
              <w:left w:val="single" w:sz="12" w:space="0" w:color="000000"/>
              <w:bottom w:val="single" w:sz="2" w:space="0" w:color="000000"/>
              <w:right w:val="single" w:sz="12" w:space="0" w:color="000000"/>
            </w:tcBorders>
          </w:tcPr>
          <w:p w14:paraId="09988221" w14:textId="77777777" w:rsidR="000A75F9" w:rsidRDefault="000A75F9" w:rsidP="000A75F9">
            <w:pPr>
              <w:spacing w:after="0" w:line="259" w:lineRule="auto"/>
              <w:ind w:left="62" w:right="0" w:firstLine="0"/>
            </w:pPr>
            <w:r>
              <w:rPr>
                <w:sz w:val="18"/>
              </w:rPr>
              <w:t xml:space="preserve">Heptachlor epoxide </w:t>
            </w:r>
          </w:p>
        </w:tc>
        <w:tc>
          <w:tcPr>
            <w:tcW w:w="1173" w:type="dxa"/>
            <w:tcBorders>
              <w:top w:val="single" w:sz="2" w:space="0" w:color="000000"/>
              <w:left w:val="single" w:sz="12" w:space="0" w:color="000000"/>
              <w:bottom w:val="single" w:sz="2" w:space="0" w:color="000000"/>
              <w:right w:val="single" w:sz="12" w:space="0" w:color="000000"/>
            </w:tcBorders>
            <w:vAlign w:val="center"/>
          </w:tcPr>
          <w:p w14:paraId="3AC4E3A9" w14:textId="0BE161F8" w:rsidR="000A75F9" w:rsidRDefault="000A75F9" w:rsidP="00DC2064">
            <w:pPr>
              <w:spacing w:after="0" w:line="259" w:lineRule="auto"/>
              <w:ind w:left="0" w:right="71" w:firstLine="0"/>
              <w:jc w:val="center"/>
            </w:pPr>
            <w:r>
              <w:rPr>
                <w:sz w:val="18"/>
              </w:rPr>
              <w:t>1024-57-3</w:t>
            </w:r>
          </w:p>
        </w:tc>
        <w:tc>
          <w:tcPr>
            <w:tcW w:w="880" w:type="dxa"/>
            <w:tcBorders>
              <w:top w:val="single" w:sz="2" w:space="0" w:color="000000"/>
              <w:left w:val="single" w:sz="12" w:space="0" w:color="000000"/>
              <w:bottom w:val="single" w:sz="2" w:space="0" w:color="000000"/>
              <w:right w:val="single" w:sz="12" w:space="0" w:color="000000"/>
            </w:tcBorders>
          </w:tcPr>
          <w:p w14:paraId="2E5EA2A9" w14:textId="5EAA234A" w:rsidR="000A75F9" w:rsidRDefault="000A75F9" w:rsidP="009E79D2">
            <w:pPr>
              <w:tabs>
                <w:tab w:val="center" w:pos="482"/>
              </w:tabs>
              <w:spacing w:after="0" w:line="259" w:lineRule="auto"/>
              <w:ind w:left="0" w:right="0" w:firstLine="0"/>
              <w:jc w:val="center"/>
            </w:pPr>
            <w:r>
              <w:rPr>
                <w:b/>
                <w:sz w:val="18"/>
              </w:rPr>
              <w:t>0.2</w:t>
            </w:r>
          </w:p>
        </w:tc>
        <w:tc>
          <w:tcPr>
            <w:tcW w:w="1021" w:type="dxa"/>
            <w:tcBorders>
              <w:top w:val="single" w:sz="2" w:space="0" w:color="000000"/>
              <w:left w:val="single" w:sz="12" w:space="0" w:color="000000"/>
              <w:bottom w:val="single" w:sz="2" w:space="0" w:color="000000"/>
              <w:right w:val="single" w:sz="12" w:space="0" w:color="000000"/>
            </w:tcBorders>
          </w:tcPr>
          <w:p w14:paraId="7F93062E" w14:textId="5E5C8B2C" w:rsidR="000A75F9" w:rsidRDefault="000A75F9" w:rsidP="000A75F9">
            <w:pPr>
              <w:spacing w:after="0" w:line="259" w:lineRule="auto"/>
              <w:ind w:left="0" w:right="13" w:firstLine="0"/>
              <w:jc w:val="center"/>
            </w:pPr>
            <w:r>
              <w:rPr>
                <w:sz w:val="18"/>
              </w:rPr>
              <w:t xml:space="preserve">ug/L </w:t>
            </w:r>
          </w:p>
        </w:tc>
        <w:tc>
          <w:tcPr>
            <w:tcW w:w="810" w:type="dxa"/>
            <w:tcBorders>
              <w:top w:val="single" w:sz="2" w:space="0" w:color="000000"/>
              <w:left w:val="single" w:sz="12" w:space="0" w:color="000000"/>
              <w:bottom w:val="single" w:sz="2" w:space="0" w:color="000000"/>
              <w:right w:val="single" w:sz="12" w:space="0" w:color="000000"/>
            </w:tcBorders>
          </w:tcPr>
          <w:p w14:paraId="46611C47" w14:textId="77777777" w:rsidR="000A75F9" w:rsidRDefault="000A75F9" w:rsidP="000A75F9">
            <w:pPr>
              <w:spacing w:after="0" w:line="259" w:lineRule="auto"/>
              <w:ind w:left="0" w:right="14" w:firstLine="0"/>
              <w:jc w:val="center"/>
            </w:pPr>
            <w:r>
              <w:rPr>
                <w:sz w:val="18"/>
              </w:rPr>
              <w:t xml:space="preserve">N/A </w:t>
            </w:r>
          </w:p>
        </w:tc>
        <w:tc>
          <w:tcPr>
            <w:tcW w:w="1080" w:type="dxa"/>
            <w:tcBorders>
              <w:top w:val="single" w:sz="2" w:space="0" w:color="000000"/>
              <w:left w:val="single" w:sz="12" w:space="0" w:color="000000"/>
              <w:bottom w:val="single" w:sz="2" w:space="0" w:color="000000"/>
              <w:right w:val="single" w:sz="12" w:space="0" w:color="000000"/>
            </w:tcBorders>
          </w:tcPr>
          <w:p w14:paraId="1686BC84" w14:textId="77777777" w:rsidR="000A75F9" w:rsidRDefault="000A75F9" w:rsidP="000A75F9">
            <w:pPr>
              <w:spacing w:after="0" w:line="259" w:lineRule="auto"/>
              <w:ind w:left="0" w:right="9" w:firstLine="0"/>
              <w:jc w:val="center"/>
            </w:pPr>
            <w:r>
              <w:rPr>
                <w:sz w:val="18"/>
              </w:rPr>
              <w:t xml:space="preserve">N/A </w:t>
            </w:r>
          </w:p>
        </w:tc>
        <w:tc>
          <w:tcPr>
            <w:tcW w:w="767" w:type="dxa"/>
            <w:tcBorders>
              <w:top w:val="single" w:sz="2" w:space="0" w:color="000000"/>
              <w:left w:val="single" w:sz="12" w:space="0" w:color="000000"/>
              <w:bottom w:val="single" w:sz="2" w:space="0" w:color="000000"/>
              <w:right w:val="single" w:sz="12" w:space="0" w:color="000000"/>
            </w:tcBorders>
          </w:tcPr>
          <w:p w14:paraId="49FADCEF" w14:textId="77777777" w:rsidR="000A75F9" w:rsidRDefault="000A75F9" w:rsidP="000A75F9">
            <w:pPr>
              <w:spacing w:after="0" w:line="259" w:lineRule="auto"/>
              <w:ind w:left="0" w:right="12" w:firstLine="0"/>
              <w:jc w:val="center"/>
            </w:pPr>
            <w:r>
              <w:rPr>
                <w:b/>
                <w:sz w:val="18"/>
              </w:rPr>
              <w:t xml:space="preserve">525.2 </w:t>
            </w:r>
          </w:p>
        </w:tc>
        <w:tc>
          <w:tcPr>
            <w:tcW w:w="846" w:type="dxa"/>
            <w:tcBorders>
              <w:top w:val="single" w:sz="2" w:space="0" w:color="000000"/>
              <w:left w:val="single" w:sz="12" w:space="0" w:color="000000"/>
              <w:bottom w:val="single" w:sz="2" w:space="0" w:color="000000"/>
              <w:right w:val="single" w:sz="12" w:space="0" w:color="000000"/>
            </w:tcBorders>
          </w:tcPr>
          <w:p w14:paraId="37FA9384" w14:textId="1880EA77" w:rsidR="000A75F9" w:rsidRDefault="000A75F9" w:rsidP="00DC2064">
            <w:pPr>
              <w:spacing w:after="0" w:line="259" w:lineRule="auto"/>
              <w:ind w:left="0" w:right="71" w:firstLine="0"/>
              <w:jc w:val="center"/>
            </w:pPr>
            <w:r>
              <w:rPr>
                <w:sz w:val="18"/>
              </w:rPr>
              <w:t>508.1</w:t>
            </w:r>
          </w:p>
        </w:tc>
        <w:tc>
          <w:tcPr>
            <w:tcW w:w="547" w:type="dxa"/>
            <w:tcBorders>
              <w:top w:val="single" w:sz="2" w:space="0" w:color="000000"/>
              <w:left w:val="single" w:sz="12" w:space="0" w:color="000000"/>
              <w:bottom w:val="single" w:sz="2" w:space="0" w:color="000000"/>
              <w:right w:val="single" w:sz="12" w:space="0" w:color="000000"/>
            </w:tcBorders>
          </w:tcPr>
          <w:p w14:paraId="22FA0EDD" w14:textId="77777777" w:rsidR="000A75F9" w:rsidRDefault="000A75F9" w:rsidP="000A75F9">
            <w:pPr>
              <w:spacing w:after="0" w:line="259" w:lineRule="auto"/>
              <w:ind w:left="0" w:right="11" w:firstLine="0"/>
              <w:jc w:val="center"/>
            </w:pPr>
            <w:r>
              <w:rPr>
                <w:sz w:val="18"/>
              </w:rPr>
              <w:t xml:space="preserve">505 </w:t>
            </w:r>
          </w:p>
        </w:tc>
      </w:tr>
      <w:tr w:rsidR="000A75F9" w14:paraId="0DB33FFD" w14:textId="77777777" w:rsidTr="00C23B62">
        <w:trPr>
          <w:trHeight w:val="247"/>
        </w:trPr>
        <w:tc>
          <w:tcPr>
            <w:tcW w:w="3406" w:type="dxa"/>
            <w:tcBorders>
              <w:top w:val="single" w:sz="2" w:space="0" w:color="000000"/>
              <w:left w:val="single" w:sz="12" w:space="0" w:color="000000"/>
              <w:bottom w:val="single" w:sz="4" w:space="0" w:color="000000"/>
              <w:right w:val="single" w:sz="12" w:space="0" w:color="000000"/>
            </w:tcBorders>
          </w:tcPr>
          <w:p w14:paraId="4F5FD467" w14:textId="77777777" w:rsidR="000A75F9" w:rsidRDefault="000A75F9" w:rsidP="000A75F9">
            <w:pPr>
              <w:spacing w:after="0" w:line="259" w:lineRule="auto"/>
              <w:ind w:left="62" w:right="0" w:firstLine="0"/>
            </w:pPr>
            <w:r>
              <w:rPr>
                <w:sz w:val="18"/>
              </w:rPr>
              <w:t xml:space="preserve">Methoxychlor </w:t>
            </w:r>
          </w:p>
        </w:tc>
        <w:tc>
          <w:tcPr>
            <w:tcW w:w="1173" w:type="dxa"/>
            <w:tcBorders>
              <w:top w:val="single" w:sz="2" w:space="0" w:color="000000"/>
              <w:left w:val="single" w:sz="12" w:space="0" w:color="000000"/>
              <w:bottom w:val="single" w:sz="4" w:space="0" w:color="000000"/>
              <w:right w:val="single" w:sz="12" w:space="0" w:color="000000"/>
            </w:tcBorders>
            <w:vAlign w:val="center"/>
          </w:tcPr>
          <w:p w14:paraId="2A646024" w14:textId="60782B0D" w:rsidR="000A75F9" w:rsidRDefault="000A75F9" w:rsidP="00DC2064">
            <w:pPr>
              <w:spacing w:after="0" w:line="259" w:lineRule="auto"/>
              <w:ind w:left="0" w:right="71" w:firstLine="0"/>
              <w:jc w:val="center"/>
            </w:pPr>
            <w:r>
              <w:rPr>
                <w:sz w:val="18"/>
              </w:rPr>
              <w:t>72-43-5</w:t>
            </w:r>
          </w:p>
        </w:tc>
        <w:tc>
          <w:tcPr>
            <w:tcW w:w="880" w:type="dxa"/>
            <w:tcBorders>
              <w:top w:val="single" w:sz="2" w:space="0" w:color="000000"/>
              <w:left w:val="single" w:sz="12" w:space="0" w:color="000000"/>
              <w:bottom w:val="single" w:sz="4" w:space="0" w:color="000000"/>
              <w:right w:val="single" w:sz="12" w:space="0" w:color="000000"/>
            </w:tcBorders>
          </w:tcPr>
          <w:p w14:paraId="67C90E0E" w14:textId="4018A40D" w:rsidR="000A75F9" w:rsidRDefault="000A75F9" w:rsidP="009E79D2">
            <w:pPr>
              <w:tabs>
                <w:tab w:val="center" w:pos="414"/>
              </w:tabs>
              <w:spacing w:after="0" w:line="259" w:lineRule="auto"/>
              <w:ind w:left="0" w:right="0" w:firstLine="0"/>
              <w:jc w:val="center"/>
            </w:pPr>
            <w:r>
              <w:rPr>
                <w:sz w:val="18"/>
              </w:rPr>
              <w:t>1</w:t>
            </w:r>
          </w:p>
        </w:tc>
        <w:tc>
          <w:tcPr>
            <w:tcW w:w="1021" w:type="dxa"/>
            <w:tcBorders>
              <w:top w:val="single" w:sz="2" w:space="0" w:color="000000"/>
              <w:left w:val="single" w:sz="12" w:space="0" w:color="000000"/>
              <w:bottom w:val="single" w:sz="4" w:space="0" w:color="000000"/>
              <w:right w:val="single" w:sz="12" w:space="0" w:color="000000"/>
            </w:tcBorders>
          </w:tcPr>
          <w:p w14:paraId="272D2C25" w14:textId="74B4A484" w:rsidR="000A75F9" w:rsidRDefault="000A75F9" w:rsidP="000A75F9">
            <w:pPr>
              <w:spacing w:after="0" w:line="259" w:lineRule="auto"/>
              <w:ind w:left="0" w:right="13" w:firstLine="0"/>
              <w:jc w:val="center"/>
            </w:pPr>
            <w:r>
              <w:rPr>
                <w:sz w:val="18"/>
              </w:rPr>
              <w:t xml:space="preserve">ug/L </w:t>
            </w:r>
          </w:p>
        </w:tc>
        <w:tc>
          <w:tcPr>
            <w:tcW w:w="810" w:type="dxa"/>
            <w:tcBorders>
              <w:top w:val="single" w:sz="2" w:space="0" w:color="000000"/>
              <w:left w:val="single" w:sz="12" w:space="0" w:color="000000"/>
              <w:bottom w:val="single" w:sz="4" w:space="0" w:color="000000"/>
              <w:right w:val="single" w:sz="12" w:space="0" w:color="000000"/>
            </w:tcBorders>
          </w:tcPr>
          <w:p w14:paraId="0B0340FD" w14:textId="77777777" w:rsidR="000A75F9" w:rsidRDefault="000A75F9" w:rsidP="000A75F9">
            <w:pPr>
              <w:spacing w:after="0" w:line="259" w:lineRule="auto"/>
              <w:ind w:left="0" w:right="14" w:firstLine="0"/>
              <w:jc w:val="center"/>
            </w:pPr>
            <w:r>
              <w:rPr>
                <w:sz w:val="18"/>
              </w:rPr>
              <w:t xml:space="preserve">N/A </w:t>
            </w:r>
          </w:p>
        </w:tc>
        <w:tc>
          <w:tcPr>
            <w:tcW w:w="1080" w:type="dxa"/>
            <w:tcBorders>
              <w:top w:val="single" w:sz="2" w:space="0" w:color="000000"/>
              <w:left w:val="single" w:sz="12" w:space="0" w:color="000000"/>
              <w:bottom w:val="single" w:sz="4" w:space="0" w:color="000000"/>
              <w:right w:val="single" w:sz="12" w:space="0" w:color="000000"/>
            </w:tcBorders>
          </w:tcPr>
          <w:p w14:paraId="16E0F092" w14:textId="77777777" w:rsidR="000A75F9" w:rsidRDefault="000A75F9" w:rsidP="000A75F9">
            <w:pPr>
              <w:spacing w:after="0" w:line="259" w:lineRule="auto"/>
              <w:ind w:left="0" w:right="9" w:firstLine="0"/>
              <w:jc w:val="center"/>
            </w:pPr>
            <w:r>
              <w:rPr>
                <w:sz w:val="18"/>
              </w:rPr>
              <w:t xml:space="preserve">N/A </w:t>
            </w:r>
          </w:p>
        </w:tc>
        <w:tc>
          <w:tcPr>
            <w:tcW w:w="767" w:type="dxa"/>
            <w:tcBorders>
              <w:top w:val="single" w:sz="2" w:space="0" w:color="000000"/>
              <w:left w:val="single" w:sz="12" w:space="0" w:color="000000"/>
              <w:bottom w:val="single" w:sz="4" w:space="0" w:color="000000"/>
              <w:right w:val="single" w:sz="12" w:space="0" w:color="000000"/>
            </w:tcBorders>
          </w:tcPr>
          <w:p w14:paraId="4E79CF87" w14:textId="77777777" w:rsidR="000A75F9" w:rsidRDefault="000A75F9" w:rsidP="000A75F9">
            <w:pPr>
              <w:spacing w:after="0" w:line="259" w:lineRule="auto"/>
              <w:ind w:left="0" w:right="12" w:firstLine="0"/>
              <w:jc w:val="center"/>
            </w:pPr>
            <w:r>
              <w:rPr>
                <w:b/>
                <w:sz w:val="18"/>
              </w:rPr>
              <w:t xml:space="preserve">525.2 </w:t>
            </w:r>
          </w:p>
        </w:tc>
        <w:tc>
          <w:tcPr>
            <w:tcW w:w="846" w:type="dxa"/>
            <w:tcBorders>
              <w:top w:val="single" w:sz="2" w:space="0" w:color="000000"/>
              <w:left w:val="single" w:sz="12" w:space="0" w:color="000000"/>
              <w:bottom w:val="single" w:sz="4" w:space="0" w:color="000000"/>
              <w:right w:val="single" w:sz="12" w:space="0" w:color="000000"/>
            </w:tcBorders>
          </w:tcPr>
          <w:p w14:paraId="321B5A9E" w14:textId="24AFA3CF" w:rsidR="000A75F9" w:rsidRDefault="000A75F9" w:rsidP="00DC2064">
            <w:pPr>
              <w:spacing w:after="0" w:line="259" w:lineRule="auto"/>
              <w:ind w:left="0" w:right="71" w:firstLine="0"/>
              <w:jc w:val="center"/>
            </w:pPr>
            <w:r>
              <w:rPr>
                <w:sz w:val="18"/>
              </w:rPr>
              <w:t>508.1</w:t>
            </w:r>
          </w:p>
        </w:tc>
        <w:tc>
          <w:tcPr>
            <w:tcW w:w="547" w:type="dxa"/>
            <w:tcBorders>
              <w:top w:val="single" w:sz="2" w:space="0" w:color="000000"/>
              <w:left w:val="single" w:sz="12" w:space="0" w:color="000000"/>
              <w:bottom w:val="single" w:sz="4" w:space="0" w:color="000000"/>
              <w:right w:val="single" w:sz="12" w:space="0" w:color="000000"/>
            </w:tcBorders>
          </w:tcPr>
          <w:p w14:paraId="5E701A71" w14:textId="77777777" w:rsidR="000A75F9" w:rsidRDefault="000A75F9" w:rsidP="000A75F9">
            <w:pPr>
              <w:spacing w:after="0" w:line="259" w:lineRule="auto"/>
              <w:ind w:left="0" w:right="11" w:firstLine="0"/>
              <w:jc w:val="center"/>
            </w:pPr>
            <w:r>
              <w:rPr>
                <w:sz w:val="18"/>
              </w:rPr>
              <w:t xml:space="preserve">505 </w:t>
            </w:r>
          </w:p>
        </w:tc>
      </w:tr>
      <w:tr w:rsidR="000A75F9" w14:paraId="791082C4" w14:textId="77777777" w:rsidTr="00C23B62">
        <w:trPr>
          <w:trHeight w:val="259"/>
        </w:trPr>
        <w:tc>
          <w:tcPr>
            <w:tcW w:w="3406" w:type="dxa"/>
            <w:tcBorders>
              <w:top w:val="single" w:sz="4" w:space="0" w:color="000000"/>
              <w:left w:val="single" w:sz="12" w:space="0" w:color="000000"/>
              <w:bottom w:val="single" w:sz="12" w:space="0" w:color="000000"/>
              <w:right w:val="single" w:sz="12" w:space="0" w:color="000000"/>
            </w:tcBorders>
          </w:tcPr>
          <w:p w14:paraId="30AA85B5" w14:textId="77777777" w:rsidR="000A75F9" w:rsidRDefault="000A75F9" w:rsidP="000A75F9">
            <w:pPr>
              <w:spacing w:after="0" w:line="259" w:lineRule="auto"/>
              <w:ind w:left="62" w:right="0" w:firstLine="0"/>
            </w:pPr>
            <w:r>
              <w:rPr>
                <w:sz w:val="18"/>
              </w:rPr>
              <w:t xml:space="preserve">Toxaphene </w:t>
            </w:r>
          </w:p>
        </w:tc>
        <w:tc>
          <w:tcPr>
            <w:tcW w:w="1173" w:type="dxa"/>
            <w:tcBorders>
              <w:top w:val="single" w:sz="4" w:space="0" w:color="000000"/>
              <w:left w:val="single" w:sz="12" w:space="0" w:color="000000"/>
              <w:bottom w:val="single" w:sz="12" w:space="0" w:color="000000"/>
              <w:right w:val="single" w:sz="12" w:space="0" w:color="000000"/>
            </w:tcBorders>
            <w:vAlign w:val="center"/>
          </w:tcPr>
          <w:p w14:paraId="18D83E75" w14:textId="7D188841" w:rsidR="000A75F9" w:rsidRDefault="000A75F9" w:rsidP="00DC2064">
            <w:pPr>
              <w:spacing w:after="0" w:line="259" w:lineRule="auto"/>
              <w:ind w:left="0" w:right="71" w:firstLine="0"/>
              <w:jc w:val="center"/>
            </w:pPr>
            <w:r>
              <w:rPr>
                <w:sz w:val="18"/>
              </w:rPr>
              <w:t>8001-35-2</w:t>
            </w:r>
          </w:p>
        </w:tc>
        <w:tc>
          <w:tcPr>
            <w:tcW w:w="880" w:type="dxa"/>
            <w:tcBorders>
              <w:top w:val="single" w:sz="4" w:space="0" w:color="000000"/>
              <w:left w:val="single" w:sz="12" w:space="0" w:color="000000"/>
              <w:bottom w:val="single" w:sz="12" w:space="0" w:color="000000"/>
              <w:right w:val="single" w:sz="12" w:space="0" w:color="000000"/>
            </w:tcBorders>
          </w:tcPr>
          <w:p w14:paraId="3AE0CFD8" w14:textId="0C5A5C38" w:rsidR="000A75F9" w:rsidRDefault="000A75F9" w:rsidP="009E79D2">
            <w:pPr>
              <w:tabs>
                <w:tab w:val="center" w:pos="414"/>
              </w:tabs>
              <w:spacing w:after="0" w:line="259" w:lineRule="auto"/>
              <w:ind w:left="0" w:right="0" w:firstLine="0"/>
              <w:jc w:val="center"/>
            </w:pPr>
            <w:r>
              <w:rPr>
                <w:sz w:val="18"/>
              </w:rPr>
              <w:t>1</w:t>
            </w:r>
          </w:p>
        </w:tc>
        <w:tc>
          <w:tcPr>
            <w:tcW w:w="1021" w:type="dxa"/>
            <w:tcBorders>
              <w:top w:val="single" w:sz="4" w:space="0" w:color="000000"/>
              <w:left w:val="single" w:sz="12" w:space="0" w:color="000000"/>
              <w:bottom w:val="single" w:sz="12" w:space="0" w:color="000000"/>
              <w:right w:val="single" w:sz="12" w:space="0" w:color="000000"/>
            </w:tcBorders>
          </w:tcPr>
          <w:p w14:paraId="5D9253EE" w14:textId="2DF62351" w:rsidR="000A75F9" w:rsidRDefault="000A75F9" w:rsidP="000A75F9">
            <w:pPr>
              <w:spacing w:after="0" w:line="259" w:lineRule="auto"/>
              <w:ind w:left="0" w:right="13" w:firstLine="0"/>
              <w:jc w:val="center"/>
            </w:pPr>
            <w:r>
              <w:rPr>
                <w:sz w:val="18"/>
              </w:rPr>
              <w:t xml:space="preserve">ug/L </w:t>
            </w:r>
          </w:p>
        </w:tc>
        <w:tc>
          <w:tcPr>
            <w:tcW w:w="810" w:type="dxa"/>
            <w:tcBorders>
              <w:top w:val="single" w:sz="4" w:space="0" w:color="000000"/>
              <w:left w:val="single" w:sz="12" w:space="0" w:color="000000"/>
              <w:bottom w:val="single" w:sz="12" w:space="0" w:color="000000"/>
              <w:right w:val="single" w:sz="12" w:space="0" w:color="000000"/>
            </w:tcBorders>
          </w:tcPr>
          <w:p w14:paraId="51AAAFB8" w14:textId="77777777" w:rsidR="000A75F9" w:rsidRDefault="000A75F9" w:rsidP="000A75F9">
            <w:pPr>
              <w:spacing w:after="0" w:line="259" w:lineRule="auto"/>
              <w:ind w:left="0" w:right="14" w:firstLine="0"/>
              <w:jc w:val="center"/>
            </w:pPr>
            <w:r>
              <w:rPr>
                <w:sz w:val="18"/>
              </w:rPr>
              <w:t xml:space="preserve">N/A </w:t>
            </w:r>
          </w:p>
        </w:tc>
        <w:tc>
          <w:tcPr>
            <w:tcW w:w="1080" w:type="dxa"/>
            <w:tcBorders>
              <w:top w:val="single" w:sz="4" w:space="0" w:color="000000"/>
              <w:left w:val="single" w:sz="12" w:space="0" w:color="000000"/>
              <w:bottom w:val="single" w:sz="12" w:space="0" w:color="000000"/>
              <w:right w:val="single" w:sz="12" w:space="0" w:color="000000"/>
            </w:tcBorders>
          </w:tcPr>
          <w:p w14:paraId="1C241304" w14:textId="77777777" w:rsidR="000A75F9" w:rsidRDefault="000A75F9" w:rsidP="000A75F9">
            <w:pPr>
              <w:spacing w:after="0" w:line="259" w:lineRule="auto"/>
              <w:ind w:left="0" w:right="9" w:firstLine="0"/>
              <w:jc w:val="center"/>
            </w:pPr>
            <w:r>
              <w:rPr>
                <w:sz w:val="18"/>
              </w:rPr>
              <w:t xml:space="preserve">N/A </w:t>
            </w:r>
          </w:p>
        </w:tc>
        <w:tc>
          <w:tcPr>
            <w:tcW w:w="767" w:type="dxa"/>
            <w:tcBorders>
              <w:top w:val="single" w:sz="4" w:space="0" w:color="000000"/>
              <w:left w:val="single" w:sz="12" w:space="0" w:color="000000"/>
              <w:bottom w:val="single" w:sz="12" w:space="0" w:color="000000"/>
              <w:right w:val="single" w:sz="12" w:space="0" w:color="000000"/>
            </w:tcBorders>
          </w:tcPr>
          <w:p w14:paraId="2EFA4CE2" w14:textId="77777777" w:rsidR="000A75F9" w:rsidRDefault="000A75F9" w:rsidP="000A75F9">
            <w:pPr>
              <w:spacing w:after="0" w:line="259" w:lineRule="auto"/>
              <w:ind w:left="0" w:right="12" w:firstLine="0"/>
              <w:jc w:val="center"/>
            </w:pPr>
            <w:r>
              <w:rPr>
                <w:b/>
                <w:sz w:val="18"/>
              </w:rPr>
              <w:t xml:space="preserve">525.2 </w:t>
            </w:r>
          </w:p>
        </w:tc>
        <w:tc>
          <w:tcPr>
            <w:tcW w:w="846" w:type="dxa"/>
            <w:tcBorders>
              <w:top w:val="single" w:sz="4" w:space="0" w:color="000000"/>
              <w:left w:val="single" w:sz="12" w:space="0" w:color="000000"/>
              <w:bottom w:val="single" w:sz="12" w:space="0" w:color="000000"/>
              <w:right w:val="single" w:sz="12" w:space="0" w:color="000000"/>
            </w:tcBorders>
          </w:tcPr>
          <w:p w14:paraId="53643811" w14:textId="012C081B" w:rsidR="000A75F9" w:rsidRDefault="000A75F9" w:rsidP="00853C08">
            <w:pPr>
              <w:spacing w:after="0" w:line="259" w:lineRule="auto"/>
              <w:ind w:left="0" w:right="71" w:firstLine="0"/>
              <w:jc w:val="center"/>
            </w:pPr>
            <w:r>
              <w:rPr>
                <w:sz w:val="18"/>
              </w:rPr>
              <w:t>508.1</w:t>
            </w:r>
          </w:p>
        </w:tc>
        <w:tc>
          <w:tcPr>
            <w:tcW w:w="547" w:type="dxa"/>
            <w:tcBorders>
              <w:top w:val="single" w:sz="4" w:space="0" w:color="000000"/>
              <w:left w:val="single" w:sz="12" w:space="0" w:color="000000"/>
              <w:bottom w:val="single" w:sz="12" w:space="0" w:color="000000"/>
              <w:right w:val="single" w:sz="12" w:space="0" w:color="000000"/>
            </w:tcBorders>
          </w:tcPr>
          <w:p w14:paraId="46C7C655" w14:textId="77777777" w:rsidR="000A75F9" w:rsidRDefault="000A75F9" w:rsidP="000A75F9">
            <w:pPr>
              <w:spacing w:after="0" w:line="259" w:lineRule="auto"/>
              <w:ind w:left="0" w:right="11" w:firstLine="0"/>
              <w:jc w:val="center"/>
            </w:pPr>
            <w:r>
              <w:rPr>
                <w:sz w:val="18"/>
              </w:rPr>
              <w:t xml:space="preserve">505 </w:t>
            </w:r>
          </w:p>
        </w:tc>
      </w:tr>
    </w:tbl>
    <w:p w14:paraId="5A4ECDFA" w14:textId="65082B69" w:rsidR="00B56D50" w:rsidRPr="00A139A2" w:rsidRDefault="00B56D50" w:rsidP="00E43A92">
      <w:pPr>
        <w:pStyle w:val="Heading3"/>
        <w:jc w:val="left"/>
        <w:rPr>
          <w:b w:val="0"/>
          <w:bCs/>
        </w:rPr>
      </w:pPr>
    </w:p>
    <w:tbl>
      <w:tblPr>
        <w:tblStyle w:val="TableGrid1"/>
        <w:tblW w:w="10530" w:type="dxa"/>
        <w:tblInd w:w="-375" w:type="dxa"/>
        <w:tblCellMar>
          <w:top w:w="24" w:type="dxa"/>
          <w:left w:w="72" w:type="dxa"/>
          <w:right w:w="27" w:type="dxa"/>
        </w:tblCellMar>
        <w:tblLook w:val="04A0" w:firstRow="1" w:lastRow="0" w:firstColumn="1" w:lastColumn="0" w:noHBand="0" w:noVBand="1"/>
      </w:tblPr>
      <w:tblGrid>
        <w:gridCol w:w="3404"/>
        <w:gridCol w:w="1172"/>
        <w:gridCol w:w="880"/>
        <w:gridCol w:w="878"/>
        <w:gridCol w:w="881"/>
        <w:gridCol w:w="1073"/>
        <w:gridCol w:w="802"/>
        <w:gridCol w:w="1440"/>
      </w:tblGrid>
      <w:tr w:rsidR="003A7E07" w14:paraId="0296D876" w14:textId="77777777" w:rsidTr="00C23B62">
        <w:trPr>
          <w:trHeight w:val="288"/>
        </w:trPr>
        <w:tc>
          <w:tcPr>
            <w:tcW w:w="10530" w:type="dxa"/>
            <w:gridSpan w:val="8"/>
            <w:tcBorders>
              <w:top w:val="single" w:sz="12" w:space="0" w:color="000000"/>
              <w:left w:val="single" w:sz="12" w:space="0" w:color="000000"/>
              <w:bottom w:val="single" w:sz="12" w:space="0" w:color="000000"/>
              <w:right w:val="single" w:sz="12" w:space="0" w:color="000000"/>
            </w:tcBorders>
            <w:vAlign w:val="center"/>
          </w:tcPr>
          <w:p w14:paraId="3C5E23F9" w14:textId="78147366" w:rsidR="003A7E07" w:rsidRPr="003A7E07" w:rsidRDefault="003A7E07" w:rsidP="005B1E44">
            <w:pPr>
              <w:spacing w:after="0" w:line="259" w:lineRule="auto"/>
              <w:ind w:left="0" w:right="0" w:firstLine="0"/>
              <w:rPr>
                <w:sz w:val="18"/>
              </w:rPr>
            </w:pPr>
            <w:r>
              <w:rPr>
                <w:b/>
                <w:sz w:val="18"/>
              </w:rPr>
              <w:t>Drinking Water SAS Group H</w:t>
            </w:r>
            <w:proofErr w:type="gramStart"/>
            <w:r>
              <w:rPr>
                <w:b/>
                <w:sz w:val="18"/>
              </w:rPr>
              <w:t>:</w:t>
            </w:r>
            <w:r>
              <w:rPr>
                <w:sz w:val="18"/>
              </w:rPr>
              <w:t xml:space="preserve">  </w:t>
            </w:r>
            <w:r>
              <w:rPr>
                <w:b/>
                <w:sz w:val="18"/>
              </w:rPr>
              <w:t>Chlorinated</w:t>
            </w:r>
            <w:proofErr w:type="gramEnd"/>
            <w:r>
              <w:rPr>
                <w:b/>
                <w:sz w:val="18"/>
              </w:rPr>
              <w:t xml:space="preserve"> Acid Pesticides and Herbicides</w:t>
            </w:r>
            <w:r>
              <w:rPr>
                <w:sz w:val="18"/>
              </w:rPr>
              <w:t xml:space="preserve"> </w:t>
            </w:r>
          </w:p>
        </w:tc>
      </w:tr>
      <w:tr w:rsidR="0082152C" w14:paraId="61875CFF" w14:textId="77777777" w:rsidTr="00C23B62">
        <w:trPr>
          <w:trHeight w:val="269"/>
        </w:trPr>
        <w:tc>
          <w:tcPr>
            <w:tcW w:w="3404" w:type="dxa"/>
            <w:vMerge w:val="restart"/>
            <w:tcBorders>
              <w:top w:val="single" w:sz="12" w:space="0" w:color="000000"/>
              <w:left w:val="single" w:sz="12" w:space="0" w:color="000000"/>
              <w:bottom w:val="single" w:sz="12" w:space="0" w:color="000000"/>
              <w:right w:val="single" w:sz="12" w:space="0" w:color="000000"/>
            </w:tcBorders>
            <w:vAlign w:val="center"/>
          </w:tcPr>
          <w:p w14:paraId="6FFACD01" w14:textId="66E5F430" w:rsidR="0082152C" w:rsidRDefault="0082152C" w:rsidP="005B1E44">
            <w:pPr>
              <w:spacing w:after="0" w:line="259" w:lineRule="auto"/>
              <w:ind w:left="0" w:right="49" w:firstLine="0"/>
              <w:jc w:val="center"/>
            </w:pPr>
            <w:r>
              <w:rPr>
                <w:b/>
                <w:sz w:val="18"/>
              </w:rPr>
              <w:t>Analyte</w:t>
            </w:r>
          </w:p>
        </w:tc>
        <w:tc>
          <w:tcPr>
            <w:tcW w:w="1172" w:type="dxa"/>
            <w:vMerge w:val="restart"/>
            <w:tcBorders>
              <w:top w:val="single" w:sz="12" w:space="0" w:color="000000"/>
              <w:left w:val="single" w:sz="12" w:space="0" w:color="000000"/>
              <w:bottom w:val="single" w:sz="12" w:space="0" w:color="000000"/>
              <w:right w:val="single" w:sz="12" w:space="0" w:color="000000"/>
            </w:tcBorders>
            <w:vAlign w:val="center"/>
          </w:tcPr>
          <w:p w14:paraId="03978AAB" w14:textId="1ED5BB7E" w:rsidR="0082152C" w:rsidRDefault="0082152C" w:rsidP="005B1E44">
            <w:pPr>
              <w:spacing w:after="0" w:line="259" w:lineRule="auto"/>
              <w:ind w:left="0" w:right="0" w:firstLine="0"/>
              <w:jc w:val="center"/>
            </w:pPr>
            <w:r>
              <w:rPr>
                <w:b/>
                <w:sz w:val="18"/>
              </w:rPr>
              <w:t>CAS Number</w:t>
            </w:r>
          </w:p>
        </w:tc>
        <w:tc>
          <w:tcPr>
            <w:tcW w:w="1758" w:type="dxa"/>
            <w:gridSpan w:val="2"/>
            <w:tcBorders>
              <w:top w:val="single" w:sz="12" w:space="0" w:color="000000"/>
              <w:left w:val="single" w:sz="12" w:space="0" w:color="000000"/>
              <w:bottom w:val="single" w:sz="12" w:space="0" w:color="000000"/>
              <w:right w:val="single" w:sz="12" w:space="0" w:color="000000"/>
            </w:tcBorders>
            <w:vAlign w:val="center"/>
          </w:tcPr>
          <w:p w14:paraId="67AF6A81" w14:textId="08869363" w:rsidR="0082152C" w:rsidRDefault="0082152C" w:rsidP="005B1E44">
            <w:pPr>
              <w:spacing w:after="0" w:line="259" w:lineRule="auto"/>
              <w:ind w:left="0" w:right="47" w:firstLine="0"/>
              <w:jc w:val="center"/>
            </w:pPr>
            <w:r>
              <w:rPr>
                <w:b/>
                <w:sz w:val="18"/>
              </w:rPr>
              <w:t>Aqueous</w:t>
            </w:r>
          </w:p>
        </w:tc>
        <w:tc>
          <w:tcPr>
            <w:tcW w:w="1954" w:type="dxa"/>
            <w:gridSpan w:val="2"/>
            <w:tcBorders>
              <w:top w:val="single" w:sz="12" w:space="0" w:color="000000"/>
              <w:left w:val="single" w:sz="12" w:space="0" w:color="000000"/>
              <w:bottom w:val="single" w:sz="12" w:space="0" w:color="000000"/>
              <w:right w:val="single" w:sz="12" w:space="0" w:color="000000"/>
            </w:tcBorders>
            <w:vAlign w:val="center"/>
          </w:tcPr>
          <w:p w14:paraId="41DB9F2F" w14:textId="2CAD2280" w:rsidR="0082152C" w:rsidRDefault="000D7292" w:rsidP="005B1E44">
            <w:pPr>
              <w:spacing w:after="0" w:line="259" w:lineRule="auto"/>
              <w:ind w:left="17" w:right="0" w:firstLine="0"/>
              <w:jc w:val="center"/>
            </w:pPr>
            <w:r w:rsidRPr="00385D7E">
              <w:rPr>
                <w:b/>
                <w:bCs/>
                <w:sz w:val="18"/>
                <w:szCs w:val="18"/>
              </w:rPr>
              <w:t>Soil/Sediment</w:t>
            </w:r>
          </w:p>
        </w:tc>
        <w:tc>
          <w:tcPr>
            <w:tcW w:w="2242" w:type="dxa"/>
            <w:gridSpan w:val="2"/>
            <w:vMerge w:val="restart"/>
            <w:tcBorders>
              <w:top w:val="single" w:sz="12" w:space="0" w:color="000000"/>
              <w:left w:val="single" w:sz="12" w:space="0" w:color="000000"/>
              <w:bottom w:val="single" w:sz="12" w:space="0" w:color="000000"/>
              <w:right w:val="single" w:sz="12" w:space="0" w:color="000000"/>
            </w:tcBorders>
            <w:vAlign w:val="center"/>
          </w:tcPr>
          <w:p w14:paraId="2176B195" w14:textId="4665310A" w:rsidR="0082152C" w:rsidRDefault="0082152C" w:rsidP="005B1E44">
            <w:pPr>
              <w:spacing w:after="0" w:line="259" w:lineRule="auto"/>
              <w:ind w:left="0" w:right="50" w:firstLine="0"/>
              <w:jc w:val="center"/>
            </w:pPr>
            <w:r>
              <w:rPr>
                <w:b/>
                <w:sz w:val="18"/>
              </w:rPr>
              <w:t>Acceptable Methods</w:t>
            </w:r>
          </w:p>
        </w:tc>
      </w:tr>
      <w:tr w:rsidR="00C84A5D" w14:paraId="4E83C3A2" w14:textId="77777777" w:rsidTr="00C23B62">
        <w:trPr>
          <w:trHeight w:val="271"/>
        </w:trPr>
        <w:tc>
          <w:tcPr>
            <w:tcW w:w="3404" w:type="dxa"/>
            <w:vMerge/>
            <w:tcBorders>
              <w:top w:val="nil"/>
              <w:left w:val="single" w:sz="12" w:space="0" w:color="000000"/>
              <w:bottom w:val="single" w:sz="12" w:space="0" w:color="000000"/>
              <w:right w:val="single" w:sz="12" w:space="0" w:color="000000"/>
            </w:tcBorders>
            <w:vAlign w:val="center"/>
          </w:tcPr>
          <w:p w14:paraId="21078180" w14:textId="77777777" w:rsidR="00B56D50" w:rsidRDefault="00B56D50" w:rsidP="005B1E44">
            <w:pPr>
              <w:spacing w:after="160" w:line="259" w:lineRule="auto"/>
              <w:ind w:left="0" w:right="0" w:firstLine="0"/>
              <w:jc w:val="center"/>
            </w:pPr>
          </w:p>
        </w:tc>
        <w:tc>
          <w:tcPr>
            <w:tcW w:w="0" w:type="auto"/>
            <w:vMerge/>
            <w:tcBorders>
              <w:top w:val="nil"/>
              <w:left w:val="single" w:sz="12" w:space="0" w:color="000000"/>
              <w:bottom w:val="single" w:sz="12" w:space="0" w:color="000000"/>
              <w:right w:val="single" w:sz="12" w:space="0" w:color="000000"/>
            </w:tcBorders>
            <w:vAlign w:val="center"/>
          </w:tcPr>
          <w:p w14:paraId="37FFBD54" w14:textId="77777777" w:rsidR="00B56D50" w:rsidRDefault="00B56D50" w:rsidP="005B1E44">
            <w:pPr>
              <w:spacing w:after="160" w:line="259" w:lineRule="auto"/>
              <w:ind w:left="0" w:right="0" w:firstLine="0"/>
              <w:jc w:val="center"/>
            </w:pPr>
          </w:p>
        </w:tc>
        <w:tc>
          <w:tcPr>
            <w:tcW w:w="880" w:type="dxa"/>
            <w:tcBorders>
              <w:top w:val="single" w:sz="12" w:space="0" w:color="000000"/>
              <w:left w:val="single" w:sz="12" w:space="0" w:color="000000"/>
              <w:bottom w:val="single" w:sz="12" w:space="0" w:color="000000"/>
              <w:right w:val="single" w:sz="12" w:space="0" w:color="000000"/>
            </w:tcBorders>
            <w:vAlign w:val="center"/>
          </w:tcPr>
          <w:p w14:paraId="690F1156" w14:textId="331719CF" w:rsidR="00B56D50" w:rsidRDefault="001C3C42" w:rsidP="005B1E44">
            <w:pPr>
              <w:spacing w:after="0" w:line="259" w:lineRule="auto"/>
              <w:ind w:left="0" w:right="50" w:firstLine="0"/>
              <w:jc w:val="center"/>
            </w:pPr>
            <w:r>
              <w:rPr>
                <w:b/>
                <w:sz w:val="18"/>
              </w:rPr>
              <w:t>RL</w:t>
            </w:r>
          </w:p>
        </w:tc>
        <w:tc>
          <w:tcPr>
            <w:tcW w:w="878" w:type="dxa"/>
            <w:tcBorders>
              <w:top w:val="single" w:sz="12" w:space="0" w:color="000000"/>
              <w:left w:val="single" w:sz="12" w:space="0" w:color="000000"/>
              <w:bottom w:val="single" w:sz="12" w:space="0" w:color="000000"/>
              <w:right w:val="single" w:sz="12" w:space="0" w:color="000000"/>
            </w:tcBorders>
            <w:vAlign w:val="center"/>
          </w:tcPr>
          <w:p w14:paraId="0218F793" w14:textId="1845F77D" w:rsidR="00B56D50" w:rsidRDefault="001C3C42" w:rsidP="005B1E44">
            <w:pPr>
              <w:spacing w:after="0" w:line="259" w:lineRule="auto"/>
              <w:ind w:left="0" w:right="55" w:firstLine="0"/>
              <w:jc w:val="center"/>
            </w:pPr>
            <w:r>
              <w:rPr>
                <w:b/>
                <w:sz w:val="18"/>
              </w:rPr>
              <w:t>units</w:t>
            </w:r>
          </w:p>
        </w:tc>
        <w:tc>
          <w:tcPr>
            <w:tcW w:w="881" w:type="dxa"/>
            <w:tcBorders>
              <w:top w:val="single" w:sz="12" w:space="0" w:color="000000"/>
              <w:left w:val="single" w:sz="12" w:space="0" w:color="000000"/>
              <w:bottom w:val="single" w:sz="12" w:space="0" w:color="000000"/>
              <w:right w:val="single" w:sz="12" w:space="0" w:color="000000"/>
            </w:tcBorders>
            <w:vAlign w:val="center"/>
          </w:tcPr>
          <w:p w14:paraId="12DE6206" w14:textId="4F342F5B" w:rsidR="00B56D50" w:rsidRDefault="001C3C42" w:rsidP="005B1E44">
            <w:pPr>
              <w:spacing w:after="0" w:line="259" w:lineRule="auto"/>
              <w:ind w:left="0" w:right="50" w:firstLine="0"/>
              <w:jc w:val="center"/>
            </w:pPr>
            <w:r>
              <w:rPr>
                <w:b/>
                <w:sz w:val="18"/>
              </w:rPr>
              <w:t>RL</w:t>
            </w:r>
          </w:p>
        </w:tc>
        <w:tc>
          <w:tcPr>
            <w:tcW w:w="1073" w:type="dxa"/>
            <w:tcBorders>
              <w:top w:val="single" w:sz="12" w:space="0" w:color="000000"/>
              <w:left w:val="single" w:sz="12" w:space="0" w:color="000000"/>
              <w:bottom w:val="single" w:sz="12" w:space="0" w:color="000000"/>
              <w:right w:val="single" w:sz="12" w:space="0" w:color="000000"/>
            </w:tcBorders>
            <w:vAlign w:val="center"/>
          </w:tcPr>
          <w:p w14:paraId="78634CAE" w14:textId="200991B3" w:rsidR="00B56D50" w:rsidRDefault="001C3C42" w:rsidP="005B1E44">
            <w:pPr>
              <w:spacing w:after="0" w:line="259" w:lineRule="auto"/>
              <w:ind w:left="0" w:right="52" w:firstLine="0"/>
              <w:jc w:val="center"/>
            </w:pPr>
            <w:r>
              <w:rPr>
                <w:b/>
                <w:sz w:val="18"/>
              </w:rPr>
              <w:t>units</w:t>
            </w:r>
          </w:p>
        </w:tc>
        <w:tc>
          <w:tcPr>
            <w:tcW w:w="2242" w:type="dxa"/>
            <w:gridSpan w:val="2"/>
            <w:vMerge/>
            <w:tcBorders>
              <w:top w:val="nil"/>
              <w:left w:val="single" w:sz="12" w:space="0" w:color="000000"/>
              <w:bottom w:val="single" w:sz="12" w:space="0" w:color="000000"/>
              <w:right w:val="single" w:sz="12" w:space="0" w:color="000000"/>
            </w:tcBorders>
            <w:vAlign w:val="center"/>
          </w:tcPr>
          <w:p w14:paraId="1481B184" w14:textId="77777777" w:rsidR="00B56D50" w:rsidRDefault="00B56D50" w:rsidP="005B1E44">
            <w:pPr>
              <w:spacing w:after="160" w:line="259" w:lineRule="auto"/>
              <w:ind w:left="0" w:right="0" w:firstLine="0"/>
              <w:jc w:val="center"/>
            </w:pPr>
          </w:p>
        </w:tc>
      </w:tr>
      <w:tr w:rsidR="000A75F9" w14:paraId="39BF63F6" w14:textId="77777777" w:rsidTr="00C23B62">
        <w:trPr>
          <w:trHeight w:val="259"/>
        </w:trPr>
        <w:tc>
          <w:tcPr>
            <w:tcW w:w="3404" w:type="dxa"/>
            <w:tcBorders>
              <w:top w:val="single" w:sz="12" w:space="0" w:color="000000"/>
              <w:left w:val="single" w:sz="12" w:space="0" w:color="000000"/>
              <w:bottom w:val="single" w:sz="4" w:space="0" w:color="000000"/>
              <w:right w:val="single" w:sz="12" w:space="0" w:color="000000"/>
            </w:tcBorders>
          </w:tcPr>
          <w:p w14:paraId="2FF4FDE9" w14:textId="77777777" w:rsidR="000A75F9" w:rsidRDefault="000A75F9" w:rsidP="000A75F9">
            <w:pPr>
              <w:spacing w:after="0" w:line="259" w:lineRule="auto"/>
              <w:ind w:left="2" w:right="0" w:firstLine="0"/>
            </w:pPr>
            <w:r>
              <w:rPr>
                <w:sz w:val="18"/>
              </w:rPr>
              <w:t xml:space="preserve">Acifluorfen </w:t>
            </w:r>
          </w:p>
        </w:tc>
        <w:tc>
          <w:tcPr>
            <w:tcW w:w="1172" w:type="dxa"/>
            <w:tcBorders>
              <w:top w:val="single" w:sz="12" w:space="0" w:color="000000"/>
              <w:left w:val="single" w:sz="12" w:space="0" w:color="000000"/>
              <w:bottom w:val="single" w:sz="4" w:space="0" w:color="000000"/>
              <w:right w:val="single" w:sz="12" w:space="0" w:color="000000"/>
            </w:tcBorders>
          </w:tcPr>
          <w:p w14:paraId="64BDA83D" w14:textId="1B0CC96B" w:rsidR="000A75F9" w:rsidRDefault="000A75F9" w:rsidP="00C2295D">
            <w:pPr>
              <w:spacing w:after="0" w:line="259" w:lineRule="auto"/>
              <w:ind w:left="0" w:right="44" w:firstLine="0"/>
              <w:jc w:val="center"/>
            </w:pPr>
            <w:r>
              <w:rPr>
                <w:sz w:val="18"/>
              </w:rPr>
              <w:t>50594-66-6</w:t>
            </w:r>
          </w:p>
        </w:tc>
        <w:tc>
          <w:tcPr>
            <w:tcW w:w="880" w:type="dxa"/>
            <w:tcBorders>
              <w:top w:val="single" w:sz="12" w:space="0" w:color="000000"/>
              <w:left w:val="single" w:sz="12" w:space="0" w:color="000000"/>
              <w:bottom w:val="single" w:sz="4" w:space="0" w:color="000000"/>
              <w:right w:val="single" w:sz="12" w:space="0" w:color="000000"/>
            </w:tcBorders>
          </w:tcPr>
          <w:p w14:paraId="5AEC08C5" w14:textId="5497CA56" w:rsidR="000A75F9" w:rsidRDefault="000A75F9" w:rsidP="00C2295D">
            <w:pPr>
              <w:tabs>
                <w:tab w:val="center" w:pos="354"/>
              </w:tabs>
              <w:spacing w:after="0" w:line="259" w:lineRule="auto"/>
              <w:ind w:left="0" w:right="0" w:firstLine="0"/>
              <w:jc w:val="center"/>
            </w:pPr>
            <w:r>
              <w:rPr>
                <w:sz w:val="18"/>
              </w:rPr>
              <w:t>1</w:t>
            </w:r>
          </w:p>
        </w:tc>
        <w:tc>
          <w:tcPr>
            <w:tcW w:w="878" w:type="dxa"/>
            <w:tcBorders>
              <w:top w:val="single" w:sz="12" w:space="0" w:color="000000"/>
              <w:left w:val="single" w:sz="12" w:space="0" w:color="000000"/>
              <w:bottom w:val="single" w:sz="4" w:space="0" w:color="000000"/>
              <w:right w:val="single" w:sz="12" w:space="0" w:color="000000"/>
            </w:tcBorders>
          </w:tcPr>
          <w:p w14:paraId="2C195AE3" w14:textId="5E3A357C" w:rsidR="000A75F9" w:rsidRDefault="000A75F9" w:rsidP="00C2295D">
            <w:pPr>
              <w:spacing w:after="0" w:line="259" w:lineRule="auto"/>
              <w:ind w:left="0" w:right="46" w:firstLine="0"/>
              <w:jc w:val="center"/>
            </w:pPr>
            <w:r>
              <w:rPr>
                <w:sz w:val="18"/>
              </w:rPr>
              <w:t>ug/L</w:t>
            </w:r>
          </w:p>
        </w:tc>
        <w:tc>
          <w:tcPr>
            <w:tcW w:w="881" w:type="dxa"/>
            <w:tcBorders>
              <w:top w:val="single" w:sz="12" w:space="0" w:color="000000"/>
              <w:left w:val="single" w:sz="12" w:space="0" w:color="000000"/>
              <w:bottom w:val="single" w:sz="4" w:space="0" w:color="000000"/>
              <w:right w:val="single" w:sz="12" w:space="0" w:color="000000"/>
            </w:tcBorders>
          </w:tcPr>
          <w:p w14:paraId="63C090D4" w14:textId="7A22B3A1" w:rsidR="000A75F9" w:rsidRDefault="000A75F9" w:rsidP="00C2295D">
            <w:pPr>
              <w:spacing w:after="0" w:line="259" w:lineRule="auto"/>
              <w:ind w:left="0" w:right="47" w:firstLine="0"/>
              <w:jc w:val="center"/>
            </w:pPr>
            <w:r>
              <w:rPr>
                <w:sz w:val="18"/>
              </w:rPr>
              <w:t>N/A</w:t>
            </w:r>
          </w:p>
        </w:tc>
        <w:tc>
          <w:tcPr>
            <w:tcW w:w="1073" w:type="dxa"/>
            <w:tcBorders>
              <w:top w:val="single" w:sz="12" w:space="0" w:color="000000"/>
              <w:left w:val="single" w:sz="12" w:space="0" w:color="000000"/>
              <w:bottom w:val="single" w:sz="4" w:space="0" w:color="000000"/>
              <w:right w:val="single" w:sz="12" w:space="0" w:color="000000"/>
            </w:tcBorders>
          </w:tcPr>
          <w:p w14:paraId="6D80F11A" w14:textId="205222AC" w:rsidR="000A75F9" w:rsidRDefault="000A75F9" w:rsidP="00C2295D">
            <w:pPr>
              <w:spacing w:after="0" w:line="259" w:lineRule="auto"/>
              <w:ind w:left="0" w:right="42" w:firstLine="0"/>
              <w:jc w:val="center"/>
            </w:pPr>
            <w:r>
              <w:rPr>
                <w:sz w:val="18"/>
              </w:rPr>
              <w:t>N/A</w:t>
            </w:r>
          </w:p>
        </w:tc>
        <w:tc>
          <w:tcPr>
            <w:tcW w:w="802" w:type="dxa"/>
            <w:tcBorders>
              <w:top w:val="single" w:sz="12" w:space="0" w:color="000000"/>
              <w:left w:val="single" w:sz="12" w:space="0" w:color="000000"/>
              <w:bottom w:val="single" w:sz="4" w:space="0" w:color="000000"/>
              <w:right w:val="single" w:sz="12" w:space="0" w:color="000000"/>
            </w:tcBorders>
          </w:tcPr>
          <w:p w14:paraId="06AE555B" w14:textId="0A08EBA4" w:rsidR="000A75F9" w:rsidRPr="00EB3079" w:rsidRDefault="000A75F9" w:rsidP="00C2295D">
            <w:pPr>
              <w:spacing w:after="0" w:line="259" w:lineRule="auto"/>
              <w:ind w:left="0" w:right="0" w:firstLine="0"/>
              <w:jc w:val="center"/>
              <w:rPr>
                <w:bCs/>
              </w:rPr>
            </w:pPr>
            <w:r w:rsidRPr="00EB3079">
              <w:rPr>
                <w:bCs/>
                <w:sz w:val="18"/>
              </w:rPr>
              <w:t>515.1</w:t>
            </w:r>
          </w:p>
        </w:tc>
        <w:tc>
          <w:tcPr>
            <w:tcW w:w="1440" w:type="dxa"/>
            <w:tcBorders>
              <w:top w:val="single" w:sz="12" w:space="0" w:color="000000"/>
              <w:left w:val="single" w:sz="12" w:space="0" w:color="000000"/>
              <w:bottom w:val="single" w:sz="4" w:space="0" w:color="000000"/>
              <w:right w:val="single" w:sz="12" w:space="0" w:color="000000"/>
            </w:tcBorders>
          </w:tcPr>
          <w:p w14:paraId="690D2E8A" w14:textId="1344AD2D" w:rsidR="000A75F9" w:rsidRDefault="000A75F9" w:rsidP="00C2295D">
            <w:pPr>
              <w:spacing w:after="0" w:line="259" w:lineRule="auto"/>
              <w:ind w:left="0" w:right="0" w:firstLine="0"/>
              <w:jc w:val="center"/>
            </w:pPr>
            <w:r>
              <w:rPr>
                <w:sz w:val="18"/>
              </w:rPr>
              <w:t>515.2</w:t>
            </w:r>
            <w:r w:rsidR="008830BE">
              <w:rPr>
                <w:sz w:val="18"/>
              </w:rPr>
              <w:t xml:space="preserve">, </w:t>
            </w:r>
            <w:r>
              <w:rPr>
                <w:sz w:val="18"/>
              </w:rPr>
              <w:t>515.3</w:t>
            </w:r>
            <w:r w:rsidR="008830BE">
              <w:rPr>
                <w:sz w:val="18"/>
              </w:rPr>
              <w:t xml:space="preserve">, </w:t>
            </w:r>
            <w:r>
              <w:rPr>
                <w:sz w:val="18"/>
              </w:rPr>
              <w:t>555</w:t>
            </w:r>
          </w:p>
        </w:tc>
      </w:tr>
      <w:tr w:rsidR="000A75F9" w14:paraId="789F1E62" w14:textId="77777777" w:rsidTr="00C23B62">
        <w:trPr>
          <w:trHeight w:val="252"/>
        </w:trPr>
        <w:tc>
          <w:tcPr>
            <w:tcW w:w="3404" w:type="dxa"/>
            <w:tcBorders>
              <w:top w:val="single" w:sz="4" w:space="0" w:color="000000"/>
              <w:left w:val="single" w:sz="12" w:space="0" w:color="000000"/>
              <w:bottom w:val="single" w:sz="4" w:space="0" w:color="000000"/>
              <w:right w:val="single" w:sz="12" w:space="0" w:color="000000"/>
            </w:tcBorders>
          </w:tcPr>
          <w:p w14:paraId="7E6AA98F" w14:textId="77777777" w:rsidR="000A75F9" w:rsidRDefault="000A75F9" w:rsidP="000A75F9">
            <w:pPr>
              <w:spacing w:after="0" w:line="259" w:lineRule="auto"/>
              <w:ind w:left="2" w:right="0" w:firstLine="0"/>
            </w:pPr>
            <w:proofErr w:type="spellStart"/>
            <w:r>
              <w:rPr>
                <w:sz w:val="18"/>
              </w:rPr>
              <w:t>Bentazon</w:t>
            </w:r>
            <w:proofErr w:type="spellEnd"/>
            <w:r>
              <w:rPr>
                <w:sz w:val="18"/>
              </w:rPr>
              <w:t xml:space="preserve"> </w:t>
            </w:r>
          </w:p>
        </w:tc>
        <w:tc>
          <w:tcPr>
            <w:tcW w:w="1172" w:type="dxa"/>
            <w:tcBorders>
              <w:top w:val="single" w:sz="4" w:space="0" w:color="000000"/>
              <w:left w:val="single" w:sz="12" w:space="0" w:color="000000"/>
              <w:bottom w:val="single" w:sz="4" w:space="0" w:color="000000"/>
              <w:right w:val="single" w:sz="12" w:space="0" w:color="000000"/>
            </w:tcBorders>
          </w:tcPr>
          <w:p w14:paraId="5CF7C0F1" w14:textId="4CB44C79" w:rsidR="000A75F9" w:rsidRDefault="000A75F9" w:rsidP="00C2295D">
            <w:pPr>
              <w:spacing w:after="0" w:line="259" w:lineRule="auto"/>
              <w:ind w:left="0" w:right="44" w:firstLine="0"/>
              <w:jc w:val="center"/>
            </w:pPr>
            <w:r>
              <w:rPr>
                <w:sz w:val="18"/>
              </w:rPr>
              <w:t>25057-89-0</w:t>
            </w:r>
          </w:p>
        </w:tc>
        <w:tc>
          <w:tcPr>
            <w:tcW w:w="880" w:type="dxa"/>
            <w:tcBorders>
              <w:top w:val="single" w:sz="4" w:space="0" w:color="000000"/>
              <w:left w:val="single" w:sz="12" w:space="0" w:color="000000"/>
              <w:bottom w:val="single" w:sz="4" w:space="0" w:color="000000"/>
              <w:right w:val="single" w:sz="12" w:space="0" w:color="000000"/>
            </w:tcBorders>
          </w:tcPr>
          <w:p w14:paraId="27B1D045" w14:textId="3BE68F7B" w:rsidR="000A75F9" w:rsidRDefault="000A75F9" w:rsidP="00C2295D">
            <w:pPr>
              <w:tabs>
                <w:tab w:val="center" w:pos="308"/>
              </w:tabs>
              <w:spacing w:after="0" w:line="259" w:lineRule="auto"/>
              <w:ind w:left="0" w:right="0" w:firstLine="0"/>
              <w:jc w:val="center"/>
            </w:pPr>
            <w:r>
              <w:rPr>
                <w:sz w:val="18"/>
              </w:rPr>
              <w:t>10</w:t>
            </w:r>
          </w:p>
        </w:tc>
        <w:tc>
          <w:tcPr>
            <w:tcW w:w="878" w:type="dxa"/>
            <w:tcBorders>
              <w:top w:val="single" w:sz="4" w:space="0" w:color="000000"/>
              <w:left w:val="single" w:sz="12" w:space="0" w:color="000000"/>
              <w:bottom w:val="single" w:sz="4" w:space="0" w:color="000000"/>
              <w:right w:val="single" w:sz="12" w:space="0" w:color="000000"/>
            </w:tcBorders>
          </w:tcPr>
          <w:p w14:paraId="6B8F9E10" w14:textId="171B2D24" w:rsidR="000A75F9" w:rsidRDefault="000A75F9" w:rsidP="00C2295D">
            <w:pPr>
              <w:spacing w:after="0" w:line="259" w:lineRule="auto"/>
              <w:ind w:left="0" w:right="46" w:firstLine="0"/>
              <w:jc w:val="center"/>
            </w:pPr>
            <w:r>
              <w:rPr>
                <w:sz w:val="18"/>
              </w:rPr>
              <w:t>ug/L</w:t>
            </w:r>
          </w:p>
        </w:tc>
        <w:tc>
          <w:tcPr>
            <w:tcW w:w="881" w:type="dxa"/>
            <w:tcBorders>
              <w:top w:val="single" w:sz="4" w:space="0" w:color="000000"/>
              <w:left w:val="single" w:sz="12" w:space="0" w:color="000000"/>
              <w:bottom w:val="single" w:sz="4" w:space="0" w:color="000000"/>
              <w:right w:val="single" w:sz="12" w:space="0" w:color="000000"/>
            </w:tcBorders>
          </w:tcPr>
          <w:p w14:paraId="7FAFB216" w14:textId="089F6E30" w:rsidR="000A75F9" w:rsidRDefault="000A75F9" w:rsidP="00C2295D">
            <w:pPr>
              <w:spacing w:after="0" w:line="259" w:lineRule="auto"/>
              <w:ind w:left="0" w:right="47" w:firstLine="0"/>
              <w:jc w:val="center"/>
            </w:pPr>
            <w:r>
              <w:rPr>
                <w:sz w:val="18"/>
              </w:rPr>
              <w:t>N/A</w:t>
            </w:r>
          </w:p>
        </w:tc>
        <w:tc>
          <w:tcPr>
            <w:tcW w:w="1073" w:type="dxa"/>
            <w:tcBorders>
              <w:top w:val="single" w:sz="4" w:space="0" w:color="000000"/>
              <w:left w:val="single" w:sz="12" w:space="0" w:color="000000"/>
              <w:bottom w:val="single" w:sz="4" w:space="0" w:color="000000"/>
              <w:right w:val="single" w:sz="12" w:space="0" w:color="000000"/>
            </w:tcBorders>
          </w:tcPr>
          <w:p w14:paraId="124FF3F3" w14:textId="6752CC13" w:rsidR="000A75F9" w:rsidRDefault="000A75F9" w:rsidP="00C2295D">
            <w:pPr>
              <w:spacing w:after="0" w:line="259" w:lineRule="auto"/>
              <w:ind w:left="0" w:right="42" w:firstLine="0"/>
              <w:jc w:val="center"/>
            </w:pPr>
            <w:r>
              <w:rPr>
                <w:sz w:val="18"/>
              </w:rPr>
              <w:t>N/A</w:t>
            </w:r>
          </w:p>
        </w:tc>
        <w:tc>
          <w:tcPr>
            <w:tcW w:w="802" w:type="dxa"/>
            <w:tcBorders>
              <w:top w:val="single" w:sz="4" w:space="0" w:color="000000"/>
              <w:left w:val="single" w:sz="12" w:space="0" w:color="000000"/>
              <w:bottom w:val="single" w:sz="4" w:space="0" w:color="000000"/>
              <w:right w:val="single" w:sz="12" w:space="0" w:color="000000"/>
            </w:tcBorders>
          </w:tcPr>
          <w:p w14:paraId="204E71CB" w14:textId="6E6BEE49" w:rsidR="000A75F9" w:rsidRPr="00EB3079" w:rsidRDefault="000A75F9" w:rsidP="00C2295D">
            <w:pPr>
              <w:spacing w:after="0" w:line="259" w:lineRule="auto"/>
              <w:ind w:left="0" w:right="0" w:firstLine="0"/>
              <w:jc w:val="center"/>
              <w:rPr>
                <w:bCs/>
              </w:rPr>
            </w:pPr>
            <w:r w:rsidRPr="00EB3079">
              <w:rPr>
                <w:bCs/>
                <w:sz w:val="18"/>
              </w:rPr>
              <w:t>515.1</w:t>
            </w:r>
          </w:p>
        </w:tc>
        <w:tc>
          <w:tcPr>
            <w:tcW w:w="1440" w:type="dxa"/>
            <w:tcBorders>
              <w:top w:val="single" w:sz="4" w:space="0" w:color="000000"/>
              <w:left w:val="single" w:sz="12" w:space="0" w:color="000000"/>
              <w:bottom w:val="single" w:sz="4" w:space="0" w:color="000000"/>
              <w:right w:val="single" w:sz="12" w:space="0" w:color="000000"/>
            </w:tcBorders>
          </w:tcPr>
          <w:p w14:paraId="7C703B47" w14:textId="3DA14A40" w:rsidR="000A75F9" w:rsidRDefault="000A75F9" w:rsidP="00C2295D">
            <w:pPr>
              <w:spacing w:after="0" w:line="259" w:lineRule="auto"/>
              <w:ind w:left="0" w:right="0" w:firstLine="0"/>
              <w:jc w:val="center"/>
            </w:pPr>
            <w:r>
              <w:rPr>
                <w:sz w:val="18"/>
              </w:rPr>
              <w:t>515.2</w:t>
            </w:r>
            <w:r w:rsidR="00040E56">
              <w:rPr>
                <w:sz w:val="18"/>
              </w:rPr>
              <w:t xml:space="preserve">, </w:t>
            </w:r>
            <w:r>
              <w:rPr>
                <w:sz w:val="18"/>
              </w:rPr>
              <w:t>515.3</w:t>
            </w:r>
            <w:r w:rsidR="00040E56">
              <w:rPr>
                <w:sz w:val="18"/>
              </w:rPr>
              <w:t xml:space="preserve">, </w:t>
            </w:r>
            <w:r>
              <w:rPr>
                <w:sz w:val="18"/>
              </w:rPr>
              <w:t>555</w:t>
            </w:r>
          </w:p>
        </w:tc>
      </w:tr>
      <w:tr w:rsidR="000A75F9" w14:paraId="12D5D5B1" w14:textId="77777777" w:rsidTr="00C23B62">
        <w:trPr>
          <w:trHeight w:val="250"/>
        </w:trPr>
        <w:tc>
          <w:tcPr>
            <w:tcW w:w="3404" w:type="dxa"/>
            <w:tcBorders>
              <w:top w:val="single" w:sz="4" w:space="0" w:color="000000"/>
              <w:left w:val="single" w:sz="12" w:space="0" w:color="000000"/>
              <w:bottom w:val="single" w:sz="4" w:space="0" w:color="000000"/>
              <w:right w:val="single" w:sz="12" w:space="0" w:color="000000"/>
            </w:tcBorders>
          </w:tcPr>
          <w:p w14:paraId="0B5D7EBB" w14:textId="77777777" w:rsidR="000A75F9" w:rsidRDefault="000A75F9" w:rsidP="000A75F9">
            <w:pPr>
              <w:spacing w:after="0" w:line="259" w:lineRule="auto"/>
              <w:ind w:left="2" w:right="0" w:firstLine="0"/>
            </w:pPr>
            <w:proofErr w:type="spellStart"/>
            <w:r>
              <w:rPr>
                <w:sz w:val="18"/>
              </w:rPr>
              <w:t>Chloramben</w:t>
            </w:r>
            <w:proofErr w:type="spellEnd"/>
            <w:r>
              <w:rPr>
                <w:sz w:val="18"/>
              </w:rPr>
              <w:t xml:space="preserve"> </w:t>
            </w:r>
          </w:p>
        </w:tc>
        <w:tc>
          <w:tcPr>
            <w:tcW w:w="1172" w:type="dxa"/>
            <w:tcBorders>
              <w:top w:val="single" w:sz="4" w:space="0" w:color="000000"/>
              <w:left w:val="single" w:sz="12" w:space="0" w:color="000000"/>
              <w:bottom w:val="single" w:sz="4" w:space="0" w:color="000000"/>
              <w:right w:val="single" w:sz="12" w:space="0" w:color="000000"/>
            </w:tcBorders>
          </w:tcPr>
          <w:p w14:paraId="1CD3796B" w14:textId="6FAA4A18" w:rsidR="000A75F9" w:rsidRDefault="000A75F9" w:rsidP="00C2295D">
            <w:pPr>
              <w:spacing w:after="0" w:line="259" w:lineRule="auto"/>
              <w:ind w:left="0" w:right="44" w:firstLine="0"/>
              <w:jc w:val="center"/>
            </w:pPr>
            <w:r>
              <w:rPr>
                <w:sz w:val="18"/>
              </w:rPr>
              <w:t>133-90-4</w:t>
            </w:r>
          </w:p>
        </w:tc>
        <w:tc>
          <w:tcPr>
            <w:tcW w:w="880" w:type="dxa"/>
            <w:tcBorders>
              <w:top w:val="single" w:sz="4" w:space="0" w:color="000000"/>
              <w:left w:val="single" w:sz="12" w:space="0" w:color="000000"/>
              <w:bottom w:val="single" w:sz="4" w:space="0" w:color="000000"/>
              <w:right w:val="single" w:sz="12" w:space="0" w:color="000000"/>
            </w:tcBorders>
          </w:tcPr>
          <w:p w14:paraId="77E5BB29" w14:textId="72E97A8B" w:rsidR="000A75F9" w:rsidRDefault="000A75F9" w:rsidP="00C2295D">
            <w:pPr>
              <w:tabs>
                <w:tab w:val="center" w:pos="354"/>
              </w:tabs>
              <w:spacing w:after="0" w:line="259" w:lineRule="auto"/>
              <w:ind w:left="0" w:right="0" w:firstLine="0"/>
              <w:jc w:val="center"/>
            </w:pPr>
            <w:r>
              <w:rPr>
                <w:sz w:val="18"/>
              </w:rPr>
              <w:t>1</w:t>
            </w:r>
          </w:p>
        </w:tc>
        <w:tc>
          <w:tcPr>
            <w:tcW w:w="878" w:type="dxa"/>
            <w:tcBorders>
              <w:top w:val="single" w:sz="4" w:space="0" w:color="000000"/>
              <w:left w:val="single" w:sz="12" w:space="0" w:color="000000"/>
              <w:bottom w:val="single" w:sz="4" w:space="0" w:color="000000"/>
              <w:right w:val="single" w:sz="12" w:space="0" w:color="000000"/>
            </w:tcBorders>
          </w:tcPr>
          <w:p w14:paraId="434A0410" w14:textId="020F2235" w:rsidR="000A75F9" w:rsidRDefault="000A75F9" w:rsidP="00C2295D">
            <w:pPr>
              <w:spacing w:after="0" w:line="259" w:lineRule="auto"/>
              <w:ind w:left="0" w:right="46" w:firstLine="0"/>
              <w:jc w:val="center"/>
            </w:pPr>
            <w:r>
              <w:rPr>
                <w:sz w:val="18"/>
              </w:rPr>
              <w:t>ug/L</w:t>
            </w:r>
          </w:p>
        </w:tc>
        <w:tc>
          <w:tcPr>
            <w:tcW w:w="881" w:type="dxa"/>
            <w:tcBorders>
              <w:top w:val="single" w:sz="4" w:space="0" w:color="000000"/>
              <w:left w:val="single" w:sz="12" w:space="0" w:color="000000"/>
              <w:bottom w:val="single" w:sz="4" w:space="0" w:color="000000"/>
              <w:right w:val="single" w:sz="12" w:space="0" w:color="000000"/>
            </w:tcBorders>
          </w:tcPr>
          <w:p w14:paraId="098AB082" w14:textId="199FFA89" w:rsidR="000A75F9" w:rsidRDefault="000A75F9" w:rsidP="00C2295D">
            <w:pPr>
              <w:spacing w:after="0" w:line="259" w:lineRule="auto"/>
              <w:ind w:left="0" w:right="47" w:firstLine="0"/>
              <w:jc w:val="center"/>
            </w:pPr>
            <w:r>
              <w:rPr>
                <w:sz w:val="18"/>
              </w:rPr>
              <w:t>N/A</w:t>
            </w:r>
          </w:p>
        </w:tc>
        <w:tc>
          <w:tcPr>
            <w:tcW w:w="1073" w:type="dxa"/>
            <w:tcBorders>
              <w:top w:val="single" w:sz="4" w:space="0" w:color="000000"/>
              <w:left w:val="single" w:sz="12" w:space="0" w:color="000000"/>
              <w:bottom w:val="single" w:sz="4" w:space="0" w:color="000000"/>
              <w:right w:val="single" w:sz="12" w:space="0" w:color="000000"/>
            </w:tcBorders>
          </w:tcPr>
          <w:p w14:paraId="28A224C6" w14:textId="295B24DA" w:rsidR="000A75F9" w:rsidRDefault="000A75F9" w:rsidP="00C2295D">
            <w:pPr>
              <w:spacing w:after="0" w:line="259" w:lineRule="auto"/>
              <w:ind w:left="0" w:right="42" w:firstLine="0"/>
              <w:jc w:val="center"/>
            </w:pPr>
            <w:r>
              <w:rPr>
                <w:sz w:val="18"/>
              </w:rPr>
              <w:t>N/A</w:t>
            </w:r>
          </w:p>
        </w:tc>
        <w:tc>
          <w:tcPr>
            <w:tcW w:w="802" w:type="dxa"/>
            <w:tcBorders>
              <w:top w:val="single" w:sz="4" w:space="0" w:color="000000"/>
              <w:left w:val="single" w:sz="12" w:space="0" w:color="000000"/>
              <w:bottom w:val="single" w:sz="4" w:space="0" w:color="000000"/>
              <w:right w:val="single" w:sz="12" w:space="0" w:color="000000"/>
            </w:tcBorders>
          </w:tcPr>
          <w:p w14:paraId="6F698696" w14:textId="28A189D3" w:rsidR="000A75F9" w:rsidRPr="00EB3079" w:rsidRDefault="000A75F9" w:rsidP="00C2295D">
            <w:pPr>
              <w:spacing w:after="0" w:line="259" w:lineRule="auto"/>
              <w:ind w:left="0" w:right="0" w:firstLine="0"/>
              <w:jc w:val="center"/>
              <w:rPr>
                <w:bCs/>
              </w:rPr>
            </w:pPr>
            <w:r w:rsidRPr="00EB3079">
              <w:rPr>
                <w:bCs/>
                <w:sz w:val="18"/>
              </w:rPr>
              <w:t>515.1</w:t>
            </w:r>
          </w:p>
        </w:tc>
        <w:tc>
          <w:tcPr>
            <w:tcW w:w="1440" w:type="dxa"/>
            <w:tcBorders>
              <w:top w:val="single" w:sz="4" w:space="0" w:color="000000"/>
              <w:left w:val="single" w:sz="12" w:space="0" w:color="000000"/>
              <w:bottom w:val="single" w:sz="4" w:space="0" w:color="000000"/>
              <w:right w:val="single" w:sz="12" w:space="0" w:color="000000"/>
            </w:tcBorders>
          </w:tcPr>
          <w:p w14:paraId="3E5D0D59" w14:textId="58313A32" w:rsidR="000A75F9" w:rsidRDefault="000A75F9" w:rsidP="00C2295D">
            <w:pPr>
              <w:spacing w:after="0" w:line="259" w:lineRule="auto"/>
              <w:ind w:left="0" w:right="0" w:firstLine="0"/>
              <w:jc w:val="center"/>
            </w:pPr>
            <w:r>
              <w:rPr>
                <w:sz w:val="18"/>
              </w:rPr>
              <w:t>515.2</w:t>
            </w:r>
            <w:r w:rsidR="00040E56">
              <w:rPr>
                <w:sz w:val="18"/>
              </w:rPr>
              <w:t xml:space="preserve">, </w:t>
            </w:r>
            <w:r>
              <w:rPr>
                <w:sz w:val="18"/>
              </w:rPr>
              <w:t>515.3</w:t>
            </w:r>
            <w:r w:rsidR="00040E56">
              <w:rPr>
                <w:sz w:val="18"/>
              </w:rPr>
              <w:t xml:space="preserve">, </w:t>
            </w:r>
            <w:r>
              <w:rPr>
                <w:sz w:val="18"/>
              </w:rPr>
              <w:t>555</w:t>
            </w:r>
          </w:p>
        </w:tc>
      </w:tr>
      <w:tr w:rsidR="000A75F9" w14:paraId="29ABBA8F" w14:textId="77777777" w:rsidTr="00C23B62">
        <w:trPr>
          <w:trHeight w:val="250"/>
        </w:trPr>
        <w:tc>
          <w:tcPr>
            <w:tcW w:w="3404" w:type="dxa"/>
            <w:tcBorders>
              <w:top w:val="single" w:sz="4" w:space="0" w:color="000000"/>
              <w:left w:val="single" w:sz="12" w:space="0" w:color="000000"/>
              <w:bottom w:val="single" w:sz="4" w:space="0" w:color="000000"/>
              <w:right w:val="single" w:sz="12" w:space="0" w:color="000000"/>
            </w:tcBorders>
          </w:tcPr>
          <w:p w14:paraId="3073B048" w14:textId="77777777" w:rsidR="000A75F9" w:rsidRDefault="000A75F9" w:rsidP="000A75F9">
            <w:pPr>
              <w:spacing w:after="0" w:line="259" w:lineRule="auto"/>
              <w:ind w:left="2" w:right="0" w:firstLine="0"/>
            </w:pPr>
            <w:r>
              <w:rPr>
                <w:sz w:val="18"/>
              </w:rPr>
              <w:t xml:space="preserve">2,4-D </w:t>
            </w:r>
          </w:p>
        </w:tc>
        <w:tc>
          <w:tcPr>
            <w:tcW w:w="1172" w:type="dxa"/>
            <w:tcBorders>
              <w:top w:val="single" w:sz="4" w:space="0" w:color="000000"/>
              <w:left w:val="single" w:sz="12" w:space="0" w:color="000000"/>
              <w:bottom w:val="single" w:sz="4" w:space="0" w:color="000000"/>
              <w:right w:val="single" w:sz="12" w:space="0" w:color="000000"/>
            </w:tcBorders>
          </w:tcPr>
          <w:p w14:paraId="613E90D9" w14:textId="73926222" w:rsidR="000A75F9" w:rsidRDefault="000A75F9" w:rsidP="00C2295D">
            <w:pPr>
              <w:spacing w:after="0" w:line="259" w:lineRule="auto"/>
              <w:ind w:left="0" w:right="44" w:firstLine="0"/>
              <w:jc w:val="center"/>
            </w:pPr>
            <w:r>
              <w:rPr>
                <w:sz w:val="18"/>
              </w:rPr>
              <w:t>94-75-7</w:t>
            </w:r>
          </w:p>
        </w:tc>
        <w:tc>
          <w:tcPr>
            <w:tcW w:w="880" w:type="dxa"/>
            <w:tcBorders>
              <w:top w:val="single" w:sz="4" w:space="0" w:color="000000"/>
              <w:left w:val="single" w:sz="12" w:space="0" w:color="000000"/>
              <w:bottom w:val="single" w:sz="4" w:space="0" w:color="000000"/>
              <w:right w:val="single" w:sz="12" w:space="0" w:color="000000"/>
            </w:tcBorders>
          </w:tcPr>
          <w:p w14:paraId="3847B4BE" w14:textId="51CBA79D" w:rsidR="000A75F9" w:rsidRDefault="000A75F9" w:rsidP="00C2295D">
            <w:pPr>
              <w:tabs>
                <w:tab w:val="center" w:pos="308"/>
              </w:tabs>
              <w:spacing w:after="0" w:line="259" w:lineRule="auto"/>
              <w:ind w:left="0" w:right="0" w:firstLine="0"/>
              <w:jc w:val="center"/>
            </w:pPr>
            <w:r>
              <w:rPr>
                <w:sz w:val="18"/>
              </w:rPr>
              <w:t>10</w:t>
            </w:r>
          </w:p>
        </w:tc>
        <w:tc>
          <w:tcPr>
            <w:tcW w:w="878" w:type="dxa"/>
            <w:tcBorders>
              <w:top w:val="single" w:sz="4" w:space="0" w:color="000000"/>
              <w:left w:val="single" w:sz="12" w:space="0" w:color="000000"/>
              <w:bottom w:val="single" w:sz="4" w:space="0" w:color="000000"/>
              <w:right w:val="single" w:sz="12" w:space="0" w:color="000000"/>
            </w:tcBorders>
          </w:tcPr>
          <w:p w14:paraId="31EDA3AF" w14:textId="0CEA1638" w:rsidR="000A75F9" w:rsidRDefault="000A75F9" w:rsidP="00C2295D">
            <w:pPr>
              <w:spacing w:after="0" w:line="259" w:lineRule="auto"/>
              <w:ind w:left="0" w:right="46" w:firstLine="0"/>
              <w:jc w:val="center"/>
            </w:pPr>
            <w:r>
              <w:rPr>
                <w:sz w:val="18"/>
              </w:rPr>
              <w:t>ug/L</w:t>
            </w:r>
          </w:p>
        </w:tc>
        <w:tc>
          <w:tcPr>
            <w:tcW w:w="881" w:type="dxa"/>
            <w:tcBorders>
              <w:top w:val="single" w:sz="4" w:space="0" w:color="000000"/>
              <w:left w:val="single" w:sz="12" w:space="0" w:color="000000"/>
              <w:bottom w:val="single" w:sz="4" w:space="0" w:color="000000"/>
              <w:right w:val="single" w:sz="12" w:space="0" w:color="000000"/>
            </w:tcBorders>
          </w:tcPr>
          <w:p w14:paraId="04AD2F12" w14:textId="0B631034" w:rsidR="000A75F9" w:rsidRDefault="000A75F9" w:rsidP="00C2295D">
            <w:pPr>
              <w:spacing w:after="0" w:line="259" w:lineRule="auto"/>
              <w:ind w:left="0" w:right="47" w:firstLine="0"/>
              <w:jc w:val="center"/>
            </w:pPr>
            <w:r>
              <w:rPr>
                <w:sz w:val="18"/>
              </w:rPr>
              <w:t>N/A</w:t>
            </w:r>
          </w:p>
        </w:tc>
        <w:tc>
          <w:tcPr>
            <w:tcW w:w="1073" w:type="dxa"/>
            <w:tcBorders>
              <w:top w:val="single" w:sz="4" w:space="0" w:color="000000"/>
              <w:left w:val="single" w:sz="12" w:space="0" w:color="000000"/>
              <w:bottom w:val="single" w:sz="4" w:space="0" w:color="000000"/>
              <w:right w:val="single" w:sz="12" w:space="0" w:color="000000"/>
            </w:tcBorders>
          </w:tcPr>
          <w:p w14:paraId="02F36563" w14:textId="727154A8" w:rsidR="000A75F9" w:rsidRDefault="000A75F9" w:rsidP="00C2295D">
            <w:pPr>
              <w:spacing w:after="0" w:line="259" w:lineRule="auto"/>
              <w:ind w:left="0" w:right="42" w:firstLine="0"/>
              <w:jc w:val="center"/>
            </w:pPr>
            <w:r>
              <w:rPr>
                <w:sz w:val="18"/>
              </w:rPr>
              <w:t>N/A</w:t>
            </w:r>
          </w:p>
        </w:tc>
        <w:tc>
          <w:tcPr>
            <w:tcW w:w="802" w:type="dxa"/>
            <w:tcBorders>
              <w:top w:val="single" w:sz="4" w:space="0" w:color="000000"/>
              <w:left w:val="single" w:sz="12" w:space="0" w:color="000000"/>
              <w:bottom w:val="single" w:sz="4" w:space="0" w:color="000000"/>
              <w:right w:val="single" w:sz="12" w:space="0" w:color="000000"/>
            </w:tcBorders>
          </w:tcPr>
          <w:p w14:paraId="4E854202" w14:textId="00C9B2F6" w:rsidR="000A75F9" w:rsidRPr="00EB3079" w:rsidRDefault="000A75F9" w:rsidP="00C2295D">
            <w:pPr>
              <w:spacing w:after="0" w:line="259" w:lineRule="auto"/>
              <w:ind w:left="0" w:right="0" w:firstLine="0"/>
              <w:jc w:val="center"/>
              <w:rPr>
                <w:bCs/>
              </w:rPr>
            </w:pPr>
            <w:r w:rsidRPr="00EB3079">
              <w:rPr>
                <w:bCs/>
                <w:sz w:val="18"/>
              </w:rPr>
              <w:t>515.1</w:t>
            </w:r>
          </w:p>
        </w:tc>
        <w:tc>
          <w:tcPr>
            <w:tcW w:w="1440" w:type="dxa"/>
            <w:tcBorders>
              <w:top w:val="single" w:sz="4" w:space="0" w:color="000000"/>
              <w:left w:val="single" w:sz="12" w:space="0" w:color="000000"/>
              <w:bottom w:val="single" w:sz="4" w:space="0" w:color="000000"/>
              <w:right w:val="single" w:sz="12" w:space="0" w:color="000000"/>
            </w:tcBorders>
          </w:tcPr>
          <w:p w14:paraId="694225A9" w14:textId="54E339A5" w:rsidR="000A75F9" w:rsidRDefault="000A75F9" w:rsidP="00C2295D">
            <w:pPr>
              <w:spacing w:after="0" w:line="259" w:lineRule="auto"/>
              <w:ind w:left="0" w:right="0" w:firstLine="0"/>
              <w:jc w:val="center"/>
            </w:pPr>
            <w:r>
              <w:rPr>
                <w:sz w:val="18"/>
              </w:rPr>
              <w:t>515.2</w:t>
            </w:r>
            <w:r w:rsidR="00040E56">
              <w:rPr>
                <w:sz w:val="18"/>
              </w:rPr>
              <w:t xml:space="preserve">, </w:t>
            </w:r>
            <w:r>
              <w:rPr>
                <w:sz w:val="18"/>
              </w:rPr>
              <w:t>515.3</w:t>
            </w:r>
            <w:r w:rsidR="00040E56">
              <w:rPr>
                <w:sz w:val="18"/>
              </w:rPr>
              <w:t xml:space="preserve">, </w:t>
            </w:r>
            <w:r>
              <w:rPr>
                <w:sz w:val="18"/>
              </w:rPr>
              <w:t>555</w:t>
            </w:r>
          </w:p>
        </w:tc>
      </w:tr>
      <w:tr w:rsidR="000A75F9" w14:paraId="543811D4" w14:textId="77777777" w:rsidTr="00C23B62">
        <w:trPr>
          <w:trHeight w:val="250"/>
        </w:trPr>
        <w:tc>
          <w:tcPr>
            <w:tcW w:w="3404" w:type="dxa"/>
            <w:tcBorders>
              <w:top w:val="single" w:sz="4" w:space="0" w:color="000000"/>
              <w:left w:val="single" w:sz="12" w:space="0" w:color="000000"/>
              <w:bottom w:val="single" w:sz="4" w:space="0" w:color="000000"/>
              <w:right w:val="single" w:sz="12" w:space="0" w:color="000000"/>
            </w:tcBorders>
          </w:tcPr>
          <w:p w14:paraId="3C20C496" w14:textId="77777777" w:rsidR="000A75F9" w:rsidRDefault="000A75F9" w:rsidP="000A75F9">
            <w:pPr>
              <w:spacing w:after="0" w:line="259" w:lineRule="auto"/>
              <w:ind w:left="2" w:right="0" w:firstLine="0"/>
            </w:pPr>
            <w:r>
              <w:rPr>
                <w:sz w:val="18"/>
              </w:rPr>
              <w:t xml:space="preserve">Dalapon </w:t>
            </w:r>
          </w:p>
        </w:tc>
        <w:tc>
          <w:tcPr>
            <w:tcW w:w="1172" w:type="dxa"/>
            <w:tcBorders>
              <w:top w:val="single" w:sz="4" w:space="0" w:color="000000"/>
              <w:left w:val="single" w:sz="12" w:space="0" w:color="000000"/>
              <w:bottom w:val="single" w:sz="4" w:space="0" w:color="000000"/>
              <w:right w:val="single" w:sz="12" w:space="0" w:color="000000"/>
            </w:tcBorders>
          </w:tcPr>
          <w:p w14:paraId="502270A7" w14:textId="2C274436" w:rsidR="000A75F9" w:rsidRDefault="000A75F9" w:rsidP="00C2295D">
            <w:pPr>
              <w:spacing w:after="0" w:line="259" w:lineRule="auto"/>
              <w:ind w:left="0" w:right="44" w:firstLine="0"/>
              <w:jc w:val="center"/>
            </w:pPr>
            <w:r>
              <w:rPr>
                <w:sz w:val="18"/>
              </w:rPr>
              <w:t>75-99-0</w:t>
            </w:r>
          </w:p>
        </w:tc>
        <w:tc>
          <w:tcPr>
            <w:tcW w:w="880" w:type="dxa"/>
            <w:tcBorders>
              <w:top w:val="single" w:sz="4" w:space="0" w:color="000000"/>
              <w:left w:val="single" w:sz="12" w:space="0" w:color="000000"/>
              <w:bottom w:val="single" w:sz="4" w:space="0" w:color="000000"/>
              <w:right w:val="single" w:sz="12" w:space="0" w:color="000000"/>
            </w:tcBorders>
          </w:tcPr>
          <w:p w14:paraId="54489F6B" w14:textId="7970A5AE" w:rsidR="000A75F9" w:rsidRDefault="000A75F9" w:rsidP="00C2295D">
            <w:pPr>
              <w:tabs>
                <w:tab w:val="center" w:pos="308"/>
              </w:tabs>
              <w:spacing w:after="0" w:line="259" w:lineRule="auto"/>
              <w:ind w:left="0" w:right="0" w:firstLine="0"/>
              <w:jc w:val="center"/>
            </w:pPr>
            <w:r>
              <w:rPr>
                <w:sz w:val="18"/>
              </w:rPr>
              <w:t>10</w:t>
            </w:r>
          </w:p>
        </w:tc>
        <w:tc>
          <w:tcPr>
            <w:tcW w:w="878" w:type="dxa"/>
            <w:tcBorders>
              <w:top w:val="single" w:sz="4" w:space="0" w:color="000000"/>
              <w:left w:val="single" w:sz="12" w:space="0" w:color="000000"/>
              <w:bottom w:val="single" w:sz="4" w:space="0" w:color="000000"/>
              <w:right w:val="single" w:sz="12" w:space="0" w:color="000000"/>
            </w:tcBorders>
          </w:tcPr>
          <w:p w14:paraId="0118A32B" w14:textId="7190EAC9" w:rsidR="000A75F9" w:rsidRDefault="000A75F9" w:rsidP="00C2295D">
            <w:pPr>
              <w:spacing w:after="0" w:line="259" w:lineRule="auto"/>
              <w:ind w:left="0" w:right="46" w:firstLine="0"/>
              <w:jc w:val="center"/>
            </w:pPr>
            <w:r>
              <w:rPr>
                <w:sz w:val="18"/>
              </w:rPr>
              <w:t>ug/L</w:t>
            </w:r>
          </w:p>
        </w:tc>
        <w:tc>
          <w:tcPr>
            <w:tcW w:w="881" w:type="dxa"/>
            <w:tcBorders>
              <w:top w:val="single" w:sz="4" w:space="0" w:color="000000"/>
              <w:left w:val="single" w:sz="12" w:space="0" w:color="000000"/>
              <w:bottom w:val="single" w:sz="4" w:space="0" w:color="000000"/>
              <w:right w:val="single" w:sz="12" w:space="0" w:color="000000"/>
            </w:tcBorders>
          </w:tcPr>
          <w:p w14:paraId="29384D30" w14:textId="5F8C147C" w:rsidR="000A75F9" w:rsidRDefault="000A75F9" w:rsidP="00C2295D">
            <w:pPr>
              <w:spacing w:after="0" w:line="259" w:lineRule="auto"/>
              <w:ind w:left="0" w:right="47" w:firstLine="0"/>
              <w:jc w:val="center"/>
            </w:pPr>
            <w:r>
              <w:rPr>
                <w:sz w:val="18"/>
              </w:rPr>
              <w:t>N/A</w:t>
            </w:r>
          </w:p>
        </w:tc>
        <w:tc>
          <w:tcPr>
            <w:tcW w:w="1073" w:type="dxa"/>
            <w:tcBorders>
              <w:top w:val="single" w:sz="4" w:space="0" w:color="000000"/>
              <w:left w:val="single" w:sz="12" w:space="0" w:color="000000"/>
              <w:bottom w:val="single" w:sz="4" w:space="0" w:color="000000"/>
              <w:right w:val="single" w:sz="12" w:space="0" w:color="000000"/>
            </w:tcBorders>
          </w:tcPr>
          <w:p w14:paraId="6FF5F67D" w14:textId="1BFAAF71" w:rsidR="000A75F9" w:rsidRDefault="000A75F9" w:rsidP="00C2295D">
            <w:pPr>
              <w:spacing w:after="0" w:line="259" w:lineRule="auto"/>
              <w:ind w:left="0" w:right="42" w:firstLine="0"/>
              <w:jc w:val="center"/>
            </w:pPr>
            <w:r>
              <w:rPr>
                <w:sz w:val="18"/>
              </w:rPr>
              <w:t>N/A</w:t>
            </w:r>
          </w:p>
        </w:tc>
        <w:tc>
          <w:tcPr>
            <w:tcW w:w="802" w:type="dxa"/>
            <w:tcBorders>
              <w:top w:val="single" w:sz="4" w:space="0" w:color="000000"/>
              <w:left w:val="single" w:sz="12" w:space="0" w:color="000000"/>
              <w:bottom w:val="single" w:sz="4" w:space="0" w:color="000000"/>
              <w:right w:val="single" w:sz="12" w:space="0" w:color="000000"/>
            </w:tcBorders>
          </w:tcPr>
          <w:p w14:paraId="49FE0CC3" w14:textId="7B294615" w:rsidR="000A75F9" w:rsidRPr="00EB3079" w:rsidRDefault="000A75F9" w:rsidP="00C2295D">
            <w:pPr>
              <w:spacing w:after="0" w:line="259" w:lineRule="auto"/>
              <w:ind w:left="0" w:right="0" w:firstLine="0"/>
              <w:jc w:val="center"/>
              <w:rPr>
                <w:bCs/>
              </w:rPr>
            </w:pPr>
            <w:r w:rsidRPr="00EB3079">
              <w:rPr>
                <w:bCs/>
                <w:sz w:val="18"/>
              </w:rPr>
              <w:t>515.1</w:t>
            </w:r>
          </w:p>
        </w:tc>
        <w:tc>
          <w:tcPr>
            <w:tcW w:w="1440" w:type="dxa"/>
            <w:tcBorders>
              <w:top w:val="single" w:sz="4" w:space="0" w:color="000000"/>
              <w:left w:val="single" w:sz="12" w:space="0" w:color="000000"/>
              <w:bottom w:val="single" w:sz="4" w:space="0" w:color="000000"/>
              <w:right w:val="single" w:sz="12" w:space="0" w:color="000000"/>
            </w:tcBorders>
          </w:tcPr>
          <w:p w14:paraId="323C73ED" w14:textId="79729121" w:rsidR="000A75F9" w:rsidRDefault="000A75F9" w:rsidP="00C2295D">
            <w:pPr>
              <w:spacing w:after="0" w:line="259" w:lineRule="auto"/>
              <w:ind w:left="0" w:right="0" w:firstLine="0"/>
              <w:jc w:val="center"/>
            </w:pPr>
            <w:r>
              <w:rPr>
                <w:sz w:val="18"/>
              </w:rPr>
              <w:t>515.2</w:t>
            </w:r>
            <w:r w:rsidR="00040E56">
              <w:rPr>
                <w:sz w:val="18"/>
              </w:rPr>
              <w:t xml:space="preserve">, </w:t>
            </w:r>
            <w:r>
              <w:rPr>
                <w:sz w:val="18"/>
              </w:rPr>
              <w:t>515.3</w:t>
            </w:r>
            <w:r w:rsidR="00040E56">
              <w:rPr>
                <w:sz w:val="18"/>
              </w:rPr>
              <w:t xml:space="preserve">, </w:t>
            </w:r>
            <w:r>
              <w:rPr>
                <w:sz w:val="18"/>
              </w:rPr>
              <w:t>555</w:t>
            </w:r>
          </w:p>
        </w:tc>
      </w:tr>
      <w:tr w:rsidR="000A75F9" w14:paraId="1768EABB" w14:textId="77777777" w:rsidTr="00C23B62">
        <w:trPr>
          <w:trHeight w:val="250"/>
        </w:trPr>
        <w:tc>
          <w:tcPr>
            <w:tcW w:w="3404" w:type="dxa"/>
            <w:tcBorders>
              <w:top w:val="single" w:sz="4" w:space="0" w:color="000000"/>
              <w:left w:val="single" w:sz="12" w:space="0" w:color="000000"/>
              <w:bottom w:val="single" w:sz="4" w:space="0" w:color="000000"/>
              <w:right w:val="single" w:sz="12" w:space="0" w:color="000000"/>
            </w:tcBorders>
          </w:tcPr>
          <w:p w14:paraId="0610DDD7" w14:textId="77777777" w:rsidR="000A75F9" w:rsidRDefault="000A75F9" w:rsidP="000A75F9">
            <w:pPr>
              <w:spacing w:after="0" w:line="259" w:lineRule="auto"/>
              <w:ind w:left="2" w:right="0" w:firstLine="0"/>
            </w:pPr>
            <w:r>
              <w:rPr>
                <w:sz w:val="18"/>
              </w:rPr>
              <w:t xml:space="preserve">2,4-DB </w:t>
            </w:r>
          </w:p>
        </w:tc>
        <w:tc>
          <w:tcPr>
            <w:tcW w:w="1172" w:type="dxa"/>
            <w:tcBorders>
              <w:top w:val="single" w:sz="4" w:space="0" w:color="000000"/>
              <w:left w:val="single" w:sz="12" w:space="0" w:color="000000"/>
              <w:bottom w:val="single" w:sz="4" w:space="0" w:color="000000"/>
              <w:right w:val="single" w:sz="12" w:space="0" w:color="000000"/>
            </w:tcBorders>
          </w:tcPr>
          <w:p w14:paraId="501B4331" w14:textId="3B36A8C8" w:rsidR="000A75F9" w:rsidRDefault="000A75F9" w:rsidP="00C2295D">
            <w:pPr>
              <w:spacing w:after="0" w:line="259" w:lineRule="auto"/>
              <w:ind w:left="0" w:right="44" w:firstLine="0"/>
              <w:jc w:val="center"/>
            </w:pPr>
            <w:r>
              <w:rPr>
                <w:sz w:val="18"/>
              </w:rPr>
              <w:t>94-82-6</w:t>
            </w:r>
          </w:p>
        </w:tc>
        <w:tc>
          <w:tcPr>
            <w:tcW w:w="880" w:type="dxa"/>
            <w:tcBorders>
              <w:top w:val="single" w:sz="4" w:space="0" w:color="000000"/>
              <w:left w:val="single" w:sz="12" w:space="0" w:color="000000"/>
              <w:bottom w:val="single" w:sz="4" w:space="0" w:color="000000"/>
              <w:right w:val="single" w:sz="12" w:space="0" w:color="000000"/>
            </w:tcBorders>
          </w:tcPr>
          <w:p w14:paraId="40ED9095" w14:textId="3AF5DBFF" w:rsidR="000A75F9" w:rsidRDefault="000A75F9" w:rsidP="00C2295D">
            <w:pPr>
              <w:tabs>
                <w:tab w:val="center" w:pos="308"/>
              </w:tabs>
              <w:spacing w:after="0" w:line="259" w:lineRule="auto"/>
              <w:ind w:left="0" w:right="0" w:firstLine="0"/>
              <w:jc w:val="center"/>
            </w:pPr>
            <w:r>
              <w:rPr>
                <w:sz w:val="18"/>
              </w:rPr>
              <w:t>10</w:t>
            </w:r>
          </w:p>
        </w:tc>
        <w:tc>
          <w:tcPr>
            <w:tcW w:w="878" w:type="dxa"/>
            <w:tcBorders>
              <w:top w:val="single" w:sz="4" w:space="0" w:color="000000"/>
              <w:left w:val="single" w:sz="12" w:space="0" w:color="000000"/>
              <w:bottom w:val="single" w:sz="4" w:space="0" w:color="000000"/>
              <w:right w:val="single" w:sz="12" w:space="0" w:color="000000"/>
            </w:tcBorders>
          </w:tcPr>
          <w:p w14:paraId="74D07F8A" w14:textId="0505893A" w:rsidR="000A75F9" w:rsidRDefault="000A75F9" w:rsidP="00C2295D">
            <w:pPr>
              <w:spacing w:after="0" w:line="259" w:lineRule="auto"/>
              <w:ind w:left="0" w:right="46" w:firstLine="0"/>
              <w:jc w:val="center"/>
            </w:pPr>
            <w:r>
              <w:rPr>
                <w:sz w:val="18"/>
              </w:rPr>
              <w:t>ug/L</w:t>
            </w:r>
          </w:p>
        </w:tc>
        <w:tc>
          <w:tcPr>
            <w:tcW w:w="881" w:type="dxa"/>
            <w:tcBorders>
              <w:top w:val="single" w:sz="4" w:space="0" w:color="000000"/>
              <w:left w:val="single" w:sz="12" w:space="0" w:color="000000"/>
              <w:bottom w:val="single" w:sz="4" w:space="0" w:color="000000"/>
              <w:right w:val="single" w:sz="12" w:space="0" w:color="000000"/>
            </w:tcBorders>
          </w:tcPr>
          <w:p w14:paraId="7DB9C20C" w14:textId="406E2367" w:rsidR="000A75F9" w:rsidRDefault="000A75F9" w:rsidP="00C2295D">
            <w:pPr>
              <w:spacing w:after="0" w:line="259" w:lineRule="auto"/>
              <w:ind w:left="0" w:right="47" w:firstLine="0"/>
              <w:jc w:val="center"/>
            </w:pPr>
            <w:r>
              <w:rPr>
                <w:sz w:val="18"/>
              </w:rPr>
              <w:t>N/A</w:t>
            </w:r>
          </w:p>
        </w:tc>
        <w:tc>
          <w:tcPr>
            <w:tcW w:w="1073" w:type="dxa"/>
            <w:tcBorders>
              <w:top w:val="single" w:sz="4" w:space="0" w:color="000000"/>
              <w:left w:val="single" w:sz="12" w:space="0" w:color="000000"/>
              <w:bottom w:val="single" w:sz="4" w:space="0" w:color="000000"/>
              <w:right w:val="single" w:sz="12" w:space="0" w:color="000000"/>
            </w:tcBorders>
          </w:tcPr>
          <w:p w14:paraId="5A563C5F" w14:textId="5C50FC22" w:rsidR="000A75F9" w:rsidRDefault="000A75F9" w:rsidP="00C2295D">
            <w:pPr>
              <w:spacing w:after="0" w:line="259" w:lineRule="auto"/>
              <w:ind w:left="0" w:right="42" w:firstLine="0"/>
              <w:jc w:val="center"/>
            </w:pPr>
            <w:r>
              <w:rPr>
                <w:sz w:val="18"/>
              </w:rPr>
              <w:t>N/A</w:t>
            </w:r>
          </w:p>
        </w:tc>
        <w:tc>
          <w:tcPr>
            <w:tcW w:w="802" w:type="dxa"/>
            <w:tcBorders>
              <w:top w:val="single" w:sz="4" w:space="0" w:color="000000"/>
              <w:left w:val="single" w:sz="12" w:space="0" w:color="000000"/>
              <w:bottom w:val="single" w:sz="4" w:space="0" w:color="000000"/>
              <w:right w:val="single" w:sz="12" w:space="0" w:color="000000"/>
            </w:tcBorders>
          </w:tcPr>
          <w:p w14:paraId="3956E5A6" w14:textId="29E59CC3" w:rsidR="000A75F9" w:rsidRPr="00EB3079" w:rsidRDefault="000A75F9" w:rsidP="00C2295D">
            <w:pPr>
              <w:spacing w:after="0" w:line="259" w:lineRule="auto"/>
              <w:ind w:left="0" w:right="0" w:firstLine="0"/>
              <w:jc w:val="center"/>
              <w:rPr>
                <w:bCs/>
              </w:rPr>
            </w:pPr>
            <w:r w:rsidRPr="00EB3079">
              <w:rPr>
                <w:bCs/>
                <w:sz w:val="18"/>
              </w:rPr>
              <w:t>515.1</w:t>
            </w:r>
          </w:p>
        </w:tc>
        <w:tc>
          <w:tcPr>
            <w:tcW w:w="1440" w:type="dxa"/>
            <w:tcBorders>
              <w:top w:val="single" w:sz="4" w:space="0" w:color="000000"/>
              <w:left w:val="single" w:sz="12" w:space="0" w:color="000000"/>
              <w:bottom w:val="single" w:sz="4" w:space="0" w:color="000000"/>
              <w:right w:val="single" w:sz="12" w:space="0" w:color="000000"/>
            </w:tcBorders>
          </w:tcPr>
          <w:p w14:paraId="55B4E2AD" w14:textId="68BBBAB5" w:rsidR="000A75F9" w:rsidRDefault="000A75F9" w:rsidP="00C2295D">
            <w:pPr>
              <w:spacing w:after="0" w:line="259" w:lineRule="auto"/>
              <w:ind w:left="0" w:right="0" w:firstLine="0"/>
              <w:jc w:val="center"/>
            </w:pPr>
            <w:r>
              <w:rPr>
                <w:sz w:val="18"/>
              </w:rPr>
              <w:t>515.2</w:t>
            </w:r>
            <w:r w:rsidR="00040E56">
              <w:rPr>
                <w:sz w:val="18"/>
              </w:rPr>
              <w:t xml:space="preserve">, </w:t>
            </w:r>
            <w:r>
              <w:rPr>
                <w:sz w:val="18"/>
              </w:rPr>
              <w:t>515.3</w:t>
            </w:r>
            <w:r w:rsidR="00040E56">
              <w:rPr>
                <w:sz w:val="18"/>
              </w:rPr>
              <w:t>, 5</w:t>
            </w:r>
            <w:r>
              <w:rPr>
                <w:sz w:val="18"/>
              </w:rPr>
              <w:t>55</w:t>
            </w:r>
          </w:p>
        </w:tc>
      </w:tr>
      <w:tr w:rsidR="000A75F9" w14:paraId="13261836" w14:textId="77777777" w:rsidTr="00C23B62">
        <w:trPr>
          <w:trHeight w:val="250"/>
        </w:trPr>
        <w:tc>
          <w:tcPr>
            <w:tcW w:w="3404" w:type="dxa"/>
            <w:tcBorders>
              <w:top w:val="single" w:sz="4" w:space="0" w:color="000000"/>
              <w:left w:val="single" w:sz="12" w:space="0" w:color="000000"/>
              <w:bottom w:val="single" w:sz="4" w:space="0" w:color="000000"/>
              <w:right w:val="single" w:sz="12" w:space="0" w:color="000000"/>
            </w:tcBorders>
          </w:tcPr>
          <w:p w14:paraId="2F01C048" w14:textId="77777777" w:rsidR="000A75F9" w:rsidRDefault="000A75F9" w:rsidP="000A75F9">
            <w:pPr>
              <w:spacing w:after="0" w:line="259" w:lineRule="auto"/>
              <w:ind w:left="2" w:right="0" w:firstLine="0"/>
            </w:pPr>
            <w:r>
              <w:rPr>
                <w:sz w:val="18"/>
              </w:rPr>
              <w:t xml:space="preserve">Dicamba </w:t>
            </w:r>
          </w:p>
        </w:tc>
        <w:tc>
          <w:tcPr>
            <w:tcW w:w="1172" w:type="dxa"/>
            <w:tcBorders>
              <w:top w:val="single" w:sz="4" w:space="0" w:color="000000"/>
              <w:left w:val="single" w:sz="12" w:space="0" w:color="000000"/>
              <w:bottom w:val="single" w:sz="4" w:space="0" w:color="000000"/>
              <w:right w:val="single" w:sz="12" w:space="0" w:color="000000"/>
            </w:tcBorders>
          </w:tcPr>
          <w:p w14:paraId="713A5468" w14:textId="04F691BE" w:rsidR="000A75F9" w:rsidRDefault="000A75F9" w:rsidP="00C2295D">
            <w:pPr>
              <w:spacing w:after="0" w:line="259" w:lineRule="auto"/>
              <w:ind w:left="0" w:right="44" w:firstLine="0"/>
              <w:jc w:val="center"/>
            </w:pPr>
            <w:r>
              <w:rPr>
                <w:sz w:val="18"/>
              </w:rPr>
              <w:t>1918-00-9</w:t>
            </w:r>
          </w:p>
        </w:tc>
        <w:tc>
          <w:tcPr>
            <w:tcW w:w="880" w:type="dxa"/>
            <w:tcBorders>
              <w:top w:val="single" w:sz="4" w:space="0" w:color="000000"/>
              <w:left w:val="single" w:sz="12" w:space="0" w:color="000000"/>
              <w:bottom w:val="single" w:sz="4" w:space="0" w:color="000000"/>
              <w:right w:val="single" w:sz="12" w:space="0" w:color="000000"/>
            </w:tcBorders>
          </w:tcPr>
          <w:p w14:paraId="65C51A35" w14:textId="0241CD4A" w:rsidR="000A75F9" w:rsidRDefault="000A75F9" w:rsidP="00C2295D">
            <w:pPr>
              <w:tabs>
                <w:tab w:val="center" w:pos="308"/>
              </w:tabs>
              <w:spacing w:after="0" w:line="259" w:lineRule="auto"/>
              <w:ind w:left="0" w:right="0" w:firstLine="0"/>
              <w:jc w:val="center"/>
            </w:pPr>
            <w:r>
              <w:rPr>
                <w:sz w:val="18"/>
              </w:rPr>
              <w:t>10</w:t>
            </w:r>
          </w:p>
        </w:tc>
        <w:tc>
          <w:tcPr>
            <w:tcW w:w="878" w:type="dxa"/>
            <w:tcBorders>
              <w:top w:val="single" w:sz="4" w:space="0" w:color="000000"/>
              <w:left w:val="single" w:sz="12" w:space="0" w:color="000000"/>
              <w:bottom w:val="single" w:sz="4" w:space="0" w:color="000000"/>
              <w:right w:val="single" w:sz="12" w:space="0" w:color="000000"/>
            </w:tcBorders>
          </w:tcPr>
          <w:p w14:paraId="558B49FB" w14:textId="316D4A41" w:rsidR="000A75F9" w:rsidRDefault="000A75F9" w:rsidP="00C2295D">
            <w:pPr>
              <w:spacing w:after="0" w:line="259" w:lineRule="auto"/>
              <w:ind w:left="0" w:right="46" w:firstLine="0"/>
              <w:jc w:val="center"/>
            </w:pPr>
            <w:r>
              <w:rPr>
                <w:sz w:val="18"/>
              </w:rPr>
              <w:t>ug/L</w:t>
            </w:r>
          </w:p>
        </w:tc>
        <w:tc>
          <w:tcPr>
            <w:tcW w:w="881" w:type="dxa"/>
            <w:tcBorders>
              <w:top w:val="single" w:sz="4" w:space="0" w:color="000000"/>
              <w:left w:val="single" w:sz="12" w:space="0" w:color="000000"/>
              <w:bottom w:val="single" w:sz="4" w:space="0" w:color="000000"/>
              <w:right w:val="single" w:sz="12" w:space="0" w:color="000000"/>
            </w:tcBorders>
          </w:tcPr>
          <w:p w14:paraId="5BA1FD25" w14:textId="48C66633" w:rsidR="000A75F9" w:rsidRDefault="000A75F9" w:rsidP="00C2295D">
            <w:pPr>
              <w:spacing w:after="0" w:line="259" w:lineRule="auto"/>
              <w:ind w:left="0" w:right="47" w:firstLine="0"/>
              <w:jc w:val="center"/>
            </w:pPr>
            <w:r>
              <w:rPr>
                <w:sz w:val="18"/>
              </w:rPr>
              <w:t>N/A</w:t>
            </w:r>
          </w:p>
        </w:tc>
        <w:tc>
          <w:tcPr>
            <w:tcW w:w="1073" w:type="dxa"/>
            <w:tcBorders>
              <w:top w:val="single" w:sz="4" w:space="0" w:color="000000"/>
              <w:left w:val="single" w:sz="12" w:space="0" w:color="000000"/>
              <w:bottom w:val="single" w:sz="4" w:space="0" w:color="000000"/>
              <w:right w:val="single" w:sz="12" w:space="0" w:color="000000"/>
            </w:tcBorders>
          </w:tcPr>
          <w:p w14:paraId="707961E9" w14:textId="7E4B810C" w:rsidR="000A75F9" w:rsidRDefault="000A75F9" w:rsidP="00C2295D">
            <w:pPr>
              <w:spacing w:after="0" w:line="259" w:lineRule="auto"/>
              <w:ind w:left="0" w:right="42" w:firstLine="0"/>
              <w:jc w:val="center"/>
            </w:pPr>
            <w:r>
              <w:rPr>
                <w:sz w:val="18"/>
              </w:rPr>
              <w:t>N/A</w:t>
            </w:r>
          </w:p>
        </w:tc>
        <w:tc>
          <w:tcPr>
            <w:tcW w:w="802" w:type="dxa"/>
            <w:tcBorders>
              <w:top w:val="single" w:sz="4" w:space="0" w:color="000000"/>
              <w:left w:val="single" w:sz="12" w:space="0" w:color="000000"/>
              <w:bottom w:val="single" w:sz="4" w:space="0" w:color="000000"/>
              <w:right w:val="single" w:sz="12" w:space="0" w:color="000000"/>
            </w:tcBorders>
          </w:tcPr>
          <w:p w14:paraId="7BAE0FF1" w14:textId="31A2B75A" w:rsidR="000A75F9" w:rsidRPr="00EB3079" w:rsidRDefault="000A75F9" w:rsidP="00C2295D">
            <w:pPr>
              <w:spacing w:after="0" w:line="259" w:lineRule="auto"/>
              <w:ind w:left="0" w:right="0" w:firstLine="0"/>
              <w:jc w:val="center"/>
              <w:rPr>
                <w:bCs/>
              </w:rPr>
            </w:pPr>
            <w:r w:rsidRPr="00EB3079">
              <w:rPr>
                <w:bCs/>
                <w:sz w:val="18"/>
              </w:rPr>
              <w:t>515.1</w:t>
            </w:r>
          </w:p>
        </w:tc>
        <w:tc>
          <w:tcPr>
            <w:tcW w:w="1440" w:type="dxa"/>
            <w:tcBorders>
              <w:top w:val="single" w:sz="4" w:space="0" w:color="000000"/>
              <w:left w:val="single" w:sz="12" w:space="0" w:color="000000"/>
              <w:bottom w:val="single" w:sz="4" w:space="0" w:color="000000"/>
              <w:right w:val="single" w:sz="12" w:space="0" w:color="000000"/>
            </w:tcBorders>
          </w:tcPr>
          <w:p w14:paraId="5FA68AC2" w14:textId="4A60B343" w:rsidR="000A75F9" w:rsidRDefault="000A75F9" w:rsidP="00C2295D">
            <w:pPr>
              <w:spacing w:after="0" w:line="259" w:lineRule="auto"/>
              <w:ind w:left="0" w:right="0" w:firstLine="0"/>
              <w:jc w:val="center"/>
            </w:pPr>
            <w:r>
              <w:rPr>
                <w:sz w:val="18"/>
              </w:rPr>
              <w:t>515.2</w:t>
            </w:r>
            <w:r w:rsidR="00040E56">
              <w:rPr>
                <w:sz w:val="18"/>
              </w:rPr>
              <w:t xml:space="preserve">, </w:t>
            </w:r>
            <w:r>
              <w:rPr>
                <w:sz w:val="18"/>
              </w:rPr>
              <w:t>515.3</w:t>
            </w:r>
            <w:r w:rsidR="00040E56">
              <w:rPr>
                <w:sz w:val="18"/>
              </w:rPr>
              <w:t xml:space="preserve">, </w:t>
            </w:r>
            <w:r>
              <w:rPr>
                <w:sz w:val="18"/>
              </w:rPr>
              <w:t>555</w:t>
            </w:r>
          </w:p>
        </w:tc>
      </w:tr>
      <w:tr w:rsidR="000A75F9" w14:paraId="00C3D8FD" w14:textId="77777777" w:rsidTr="00C23B62">
        <w:trPr>
          <w:trHeight w:val="252"/>
        </w:trPr>
        <w:tc>
          <w:tcPr>
            <w:tcW w:w="3404" w:type="dxa"/>
            <w:tcBorders>
              <w:top w:val="single" w:sz="4" w:space="0" w:color="000000"/>
              <w:left w:val="single" w:sz="12" w:space="0" w:color="000000"/>
              <w:bottom w:val="single" w:sz="4" w:space="0" w:color="000000"/>
              <w:right w:val="single" w:sz="12" w:space="0" w:color="000000"/>
            </w:tcBorders>
          </w:tcPr>
          <w:p w14:paraId="377B7A07" w14:textId="77777777" w:rsidR="000A75F9" w:rsidRDefault="000A75F9" w:rsidP="000A75F9">
            <w:pPr>
              <w:spacing w:after="0" w:line="259" w:lineRule="auto"/>
              <w:ind w:left="2" w:right="0" w:firstLine="0"/>
            </w:pPr>
            <w:r>
              <w:rPr>
                <w:sz w:val="18"/>
              </w:rPr>
              <w:t xml:space="preserve">3,5-Dichlorobenzoic Acid </w:t>
            </w:r>
          </w:p>
        </w:tc>
        <w:tc>
          <w:tcPr>
            <w:tcW w:w="1172" w:type="dxa"/>
            <w:tcBorders>
              <w:top w:val="single" w:sz="4" w:space="0" w:color="000000"/>
              <w:left w:val="single" w:sz="12" w:space="0" w:color="000000"/>
              <w:bottom w:val="single" w:sz="4" w:space="0" w:color="000000"/>
              <w:right w:val="single" w:sz="12" w:space="0" w:color="000000"/>
            </w:tcBorders>
          </w:tcPr>
          <w:p w14:paraId="1705310B" w14:textId="7AC9FAB0" w:rsidR="000A75F9" w:rsidRDefault="000A75F9" w:rsidP="00C2295D">
            <w:pPr>
              <w:spacing w:after="0" w:line="259" w:lineRule="auto"/>
              <w:ind w:left="0" w:right="44" w:firstLine="0"/>
              <w:jc w:val="center"/>
            </w:pPr>
            <w:r>
              <w:rPr>
                <w:sz w:val="18"/>
              </w:rPr>
              <w:t>51-36-5</w:t>
            </w:r>
          </w:p>
        </w:tc>
        <w:tc>
          <w:tcPr>
            <w:tcW w:w="880" w:type="dxa"/>
            <w:tcBorders>
              <w:top w:val="single" w:sz="4" w:space="0" w:color="000000"/>
              <w:left w:val="single" w:sz="12" w:space="0" w:color="000000"/>
              <w:bottom w:val="single" w:sz="4" w:space="0" w:color="000000"/>
              <w:right w:val="single" w:sz="12" w:space="0" w:color="000000"/>
            </w:tcBorders>
          </w:tcPr>
          <w:p w14:paraId="3D3725F3" w14:textId="31A31A9D" w:rsidR="000A75F9" w:rsidRDefault="000A75F9" w:rsidP="00C2295D">
            <w:pPr>
              <w:tabs>
                <w:tab w:val="center" w:pos="308"/>
              </w:tabs>
              <w:spacing w:after="0" w:line="259" w:lineRule="auto"/>
              <w:ind w:left="0" w:right="0" w:firstLine="0"/>
              <w:jc w:val="center"/>
            </w:pPr>
            <w:r>
              <w:rPr>
                <w:sz w:val="18"/>
              </w:rPr>
              <w:t>10</w:t>
            </w:r>
          </w:p>
        </w:tc>
        <w:tc>
          <w:tcPr>
            <w:tcW w:w="878" w:type="dxa"/>
            <w:tcBorders>
              <w:top w:val="single" w:sz="4" w:space="0" w:color="000000"/>
              <w:left w:val="single" w:sz="12" w:space="0" w:color="000000"/>
              <w:bottom w:val="single" w:sz="4" w:space="0" w:color="000000"/>
              <w:right w:val="single" w:sz="12" w:space="0" w:color="000000"/>
            </w:tcBorders>
          </w:tcPr>
          <w:p w14:paraId="07B7A28A" w14:textId="5940C96F" w:rsidR="000A75F9" w:rsidRDefault="000A75F9" w:rsidP="00C2295D">
            <w:pPr>
              <w:spacing w:after="0" w:line="259" w:lineRule="auto"/>
              <w:ind w:left="0" w:right="46" w:firstLine="0"/>
              <w:jc w:val="center"/>
            </w:pPr>
            <w:r>
              <w:rPr>
                <w:sz w:val="18"/>
              </w:rPr>
              <w:t>ug/L</w:t>
            </w:r>
          </w:p>
        </w:tc>
        <w:tc>
          <w:tcPr>
            <w:tcW w:w="881" w:type="dxa"/>
            <w:tcBorders>
              <w:top w:val="single" w:sz="4" w:space="0" w:color="000000"/>
              <w:left w:val="single" w:sz="12" w:space="0" w:color="000000"/>
              <w:bottom w:val="single" w:sz="4" w:space="0" w:color="000000"/>
              <w:right w:val="single" w:sz="12" w:space="0" w:color="000000"/>
            </w:tcBorders>
          </w:tcPr>
          <w:p w14:paraId="2AE331A5" w14:textId="257C7D58" w:rsidR="000A75F9" w:rsidRDefault="000A75F9" w:rsidP="00C2295D">
            <w:pPr>
              <w:spacing w:after="0" w:line="259" w:lineRule="auto"/>
              <w:ind w:left="0" w:right="47" w:firstLine="0"/>
              <w:jc w:val="center"/>
            </w:pPr>
            <w:r>
              <w:rPr>
                <w:sz w:val="18"/>
              </w:rPr>
              <w:t>N/A</w:t>
            </w:r>
          </w:p>
        </w:tc>
        <w:tc>
          <w:tcPr>
            <w:tcW w:w="1073" w:type="dxa"/>
            <w:tcBorders>
              <w:top w:val="single" w:sz="4" w:space="0" w:color="000000"/>
              <w:left w:val="single" w:sz="12" w:space="0" w:color="000000"/>
              <w:bottom w:val="single" w:sz="4" w:space="0" w:color="000000"/>
              <w:right w:val="single" w:sz="12" w:space="0" w:color="000000"/>
            </w:tcBorders>
          </w:tcPr>
          <w:p w14:paraId="68F4528B" w14:textId="33E16087" w:rsidR="000A75F9" w:rsidRDefault="000A75F9" w:rsidP="00C2295D">
            <w:pPr>
              <w:spacing w:after="0" w:line="259" w:lineRule="auto"/>
              <w:ind w:left="0" w:right="42" w:firstLine="0"/>
              <w:jc w:val="center"/>
            </w:pPr>
            <w:r>
              <w:rPr>
                <w:sz w:val="18"/>
              </w:rPr>
              <w:t>N/A</w:t>
            </w:r>
          </w:p>
        </w:tc>
        <w:tc>
          <w:tcPr>
            <w:tcW w:w="802" w:type="dxa"/>
            <w:tcBorders>
              <w:top w:val="single" w:sz="4" w:space="0" w:color="000000"/>
              <w:left w:val="single" w:sz="12" w:space="0" w:color="000000"/>
              <w:bottom w:val="single" w:sz="4" w:space="0" w:color="000000"/>
              <w:right w:val="single" w:sz="12" w:space="0" w:color="000000"/>
            </w:tcBorders>
          </w:tcPr>
          <w:p w14:paraId="000F82E7" w14:textId="6840E06D" w:rsidR="000A75F9" w:rsidRPr="00EB3079" w:rsidRDefault="000A75F9" w:rsidP="00C2295D">
            <w:pPr>
              <w:spacing w:after="0" w:line="259" w:lineRule="auto"/>
              <w:ind w:left="0" w:right="0" w:firstLine="0"/>
              <w:jc w:val="center"/>
              <w:rPr>
                <w:bCs/>
              </w:rPr>
            </w:pPr>
            <w:r w:rsidRPr="00EB3079">
              <w:rPr>
                <w:bCs/>
                <w:sz w:val="18"/>
              </w:rPr>
              <w:t>515.1</w:t>
            </w:r>
          </w:p>
        </w:tc>
        <w:tc>
          <w:tcPr>
            <w:tcW w:w="1440" w:type="dxa"/>
            <w:tcBorders>
              <w:top w:val="single" w:sz="4" w:space="0" w:color="000000"/>
              <w:left w:val="single" w:sz="12" w:space="0" w:color="000000"/>
              <w:bottom w:val="single" w:sz="4" w:space="0" w:color="000000"/>
              <w:right w:val="single" w:sz="12" w:space="0" w:color="000000"/>
            </w:tcBorders>
          </w:tcPr>
          <w:p w14:paraId="6E1D9AAD" w14:textId="1BEE9715" w:rsidR="000A75F9" w:rsidRDefault="000A75F9" w:rsidP="00C2295D">
            <w:pPr>
              <w:spacing w:after="0" w:line="259" w:lineRule="auto"/>
              <w:ind w:left="0" w:right="0" w:firstLine="0"/>
              <w:jc w:val="center"/>
            </w:pPr>
            <w:r>
              <w:rPr>
                <w:sz w:val="18"/>
              </w:rPr>
              <w:t>515.2</w:t>
            </w:r>
            <w:r w:rsidR="00040E56">
              <w:rPr>
                <w:sz w:val="18"/>
              </w:rPr>
              <w:t xml:space="preserve">, </w:t>
            </w:r>
            <w:r>
              <w:rPr>
                <w:sz w:val="18"/>
              </w:rPr>
              <w:t>515.3</w:t>
            </w:r>
            <w:r w:rsidR="00040E56">
              <w:rPr>
                <w:sz w:val="18"/>
              </w:rPr>
              <w:t xml:space="preserve">, </w:t>
            </w:r>
            <w:r>
              <w:rPr>
                <w:sz w:val="18"/>
              </w:rPr>
              <w:t>555</w:t>
            </w:r>
          </w:p>
        </w:tc>
      </w:tr>
      <w:tr w:rsidR="000A75F9" w14:paraId="5682564E" w14:textId="77777777" w:rsidTr="00C23B62">
        <w:trPr>
          <w:trHeight w:val="250"/>
        </w:trPr>
        <w:tc>
          <w:tcPr>
            <w:tcW w:w="3404" w:type="dxa"/>
            <w:tcBorders>
              <w:top w:val="single" w:sz="4" w:space="0" w:color="000000"/>
              <w:left w:val="single" w:sz="12" w:space="0" w:color="000000"/>
              <w:bottom w:val="single" w:sz="4" w:space="0" w:color="000000"/>
              <w:right w:val="single" w:sz="12" w:space="0" w:color="000000"/>
            </w:tcBorders>
          </w:tcPr>
          <w:p w14:paraId="7467FFA7" w14:textId="77777777" w:rsidR="000A75F9" w:rsidRDefault="000A75F9" w:rsidP="000A75F9">
            <w:pPr>
              <w:spacing w:after="0" w:line="259" w:lineRule="auto"/>
              <w:ind w:left="2" w:right="0" w:firstLine="0"/>
            </w:pPr>
            <w:proofErr w:type="spellStart"/>
            <w:r>
              <w:rPr>
                <w:sz w:val="18"/>
              </w:rPr>
              <w:t>Dichlorprop</w:t>
            </w:r>
            <w:proofErr w:type="spellEnd"/>
            <w:r>
              <w:rPr>
                <w:sz w:val="18"/>
              </w:rPr>
              <w:t xml:space="preserve"> </w:t>
            </w:r>
          </w:p>
        </w:tc>
        <w:tc>
          <w:tcPr>
            <w:tcW w:w="1172" w:type="dxa"/>
            <w:tcBorders>
              <w:top w:val="single" w:sz="4" w:space="0" w:color="000000"/>
              <w:left w:val="single" w:sz="12" w:space="0" w:color="000000"/>
              <w:bottom w:val="single" w:sz="4" w:space="0" w:color="000000"/>
              <w:right w:val="single" w:sz="12" w:space="0" w:color="000000"/>
            </w:tcBorders>
          </w:tcPr>
          <w:p w14:paraId="54C7AE24" w14:textId="2B26C02B" w:rsidR="000A75F9" w:rsidRDefault="000A75F9" w:rsidP="00C2295D">
            <w:pPr>
              <w:spacing w:after="0" w:line="259" w:lineRule="auto"/>
              <w:ind w:left="0" w:right="44" w:firstLine="0"/>
              <w:jc w:val="center"/>
            </w:pPr>
            <w:r>
              <w:rPr>
                <w:sz w:val="18"/>
              </w:rPr>
              <w:t>120-36-5</w:t>
            </w:r>
          </w:p>
        </w:tc>
        <w:tc>
          <w:tcPr>
            <w:tcW w:w="880" w:type="dxa"/>
            <w:tcBorders>
              <w:top w:val="single" w:sz="4" w:space="0" w:color="000000"/>
              <w:left w:val="single" w:sz="12" w:space="0" w:color="000000"/>
              <w:bottom w:val="single" w:sz="4" w:space="0" w:color="000000"/>
              <w:right w:val="single" w:sz="12" w:space="0" w:color="000000"/>
            </w:tcBorders>
          </w:tcPr>
          <w:p w14:paraId="0B7085DB" w14:textId="08A70CAA" w:rsidR="000A75F9" w:rsidRDefault="000A75F9" w:rsidP="00C2295D">
            <w:pPr>
              <w:tabs>
                <w:tab w:val="center" w:pos="354"/>
              </w:tabs>
              <w:spacing w:after="0" w:line="259" w:lineRule="auto"/>
              <w:ind w:left="0" w:right="0" w:firstLine="0"/>
              <w:jc w:val="center"/>
            </w:pPr>
            <w:r>
              <w:rPr>
                <w:sz w:val="18"/>
              </w:rPr>
              <w:t>5</w:t>
            </w:r>
          </w:p>
        </w:tc>
        <w:tc>
          <w:tcPr>
            <w:tcW w:w="878" w:type="dxa"/>
            <w:tcBorders>
              <w:top w:val="single" w:sz="4" w:space="0" w:color="000000"/>
              <w:left w:val="single" w:sz="12" w:space="0" w:color="000000"/>
              <w:bottom w:val="single" w:sz="4" w:space="0" w:color="000000"/>
              <w:right w:val="single" w:sz="12" w:space="0" w:color="000000"/>
            </w:tcBorders>
          </w:tcPr>
          <w:p w14:paraId="76CBCFD0" w14:textId="0B9D7D79" w:rsidR="000A75F9" w:rsidRDefault="000A75F9" w:rsidP="00C2295D">
            <w:pPr>
              <w:spacing w:after="0" w:line="259" w:lineRule="auto"/>
              <w:ind w:left="0" w:right="46" w:firstLine="0"/>
              <w:jc w:val="center"/>
            </w:pPr>
            <w:r>
              <w:rPr>
                <w:sz w:val="18"/>
              </w:rPr>
              <w:t>ug/L</w:t>
            </w:r>
          </w:p>
        </w:tc>
        <w:tc>
          <w:tcPr>
            <w:tcW w:w="881" w:type="dxa"/>
            <w:tcBorders>
              <w:top w:val="single" w:sz="4" w:space="0" w:color="000000"/>
              <w:left w:val="single" w:sz="12" w:space="0" w:color="000000"/>
              <w:bottom w:val="single" w:sz="4" w:space="0" w:color="000000"/>
              <w:right w:val="single" w:sz="12" w:space="0" w:color="000000"/>
            </w:tcBorders>
          </w:tcPr>
          <w:p w14:paraId="03F053AE" w14:textId="33E348C6" w:rsidR="000A75F9" w:rsidRDefault="000A75F9" w:rsidP="00C2295D">
            <w:pPr>
              <w:spacing w:after="0" w:line="259" w:lineRule="auto"/>
              <w:ind w:left="0" w:right="47" w:firstLine="0"/>
              <w:jc w:val="center"/>
            </w:pPr>
            <w:r>
              <w:rPr>
                <w:sz w:val="18"/>
              </w:rPr>
              <w:t>N/A</w:t>
            </w:r>
          </w:p>
        </w:tc>
        <w:tc>
          <w:tcPr>
            <w:tcW w:w="1073" w:type="dxa"/>
            <w:tcBorders>
              <w:top w:val="single" w:sz="4" w:space="0" w:color="000000"/>
              <w:left w:val="single" w:sz="12" w:space="0" w:color="000000"/>
              <w:bottom w:val="single" w:sz="4" w:space="0" w:color="000000"/>
              <w:right w:val="single" w:sz="12" w:space="0" w:color="000000"/>
            </w:tcBorders>
          </w:tcPr>
          <w:p w14:paraId="35C6EA17" w14:textId="316BA826" w:rsidR="000A75F9" w:rsidRDefault="000A75F9" w:rsidP="00C2295D">
            <w:pPr>
              <w:spacing w:after="0" w:line="259" w:lineRule="auto"/>
              <w:ind w:left="0" w:right="42" w:firstLine="0"/>
              <w:jc w:val="center"/>
            </w:pPr>
            <w:r>
              <w:rPr>
                <w:sz w:val="18"/>
              </w:rPr>
              <w:t>N/A</w:t>
            </w:r>
          </w:p>
        </w:tc>
        <w:tc>
          <w:tcPr>
            <w:tcW w:w="802" w:type="dxa"/>
            <w:tcBorders>
              <w:top w:val="single" w:sz="4" w:space="0" w:color="000000"/>
              <w:left w:val="single" w:sz="12" w:space="0" w:color="000000"/>
              <w:bottom w:val="single" w:sz="4" w:space="0" w:color="000000"/>
              <w:right w:val="single" w:sz="12" w:space="0" w:color="000000"/>
            </w:tcBorders>
          </w:tcPr>
          <w:p w14:paraId="2B0F50D2" w14:textId="0A1E99F1" w:rsidR="000A75F9" w:rsidRPr="00EB3079" w:rsidRDefault="000A75F9" w:rsidP="00C2295D">
            <w:pPr>
              <w:spacing w:after="0" w:line="259" w:lineRule="auto"/>
              <w:ind w:left="0" w:right="0" w:firstLine="0"/>
              <w:jc w:val="center"/>
              <w:rPr>
                <w:bCs/>
              </w:rPr>
            </w:pPr>
            <w:r w:rsidRPr="00EB3079">
              <w:rPr>
                <w:bCs/>
                <w:sz w:val="18"/>
              </w:rPr>
              <w:t>515.1</w:t>
            </w:r>
          </w:p>
        </w:tc>
        <w:tc>
          <w:tcPr>
            <w:tcW w:w="1440" w:type="dxa"/>
            <w:tcBorders>
              <w:top w:val="single" w:sz="4" w:space="0" w:color="000000"/>
              <w:left w:val="single" w:sz="12" w:space="0" w:color="000000"/>
              <w:bottom w:val="single" w:sz="4" w:space="0" w:color="000000"/>
              <w:right w:val="single" w:sz="12" w:space="0" w:color="000000"/>
            </w:tcBorders>
          </w:tcPr>
          <w:p w14:paraId="059C4150" w14:textId="530467C0" w:rsidR="000A75F9" w:rsidRDefault="000A75F9" w:rsidP="00C2295D">
            <w:pPr>
              <w:spacing w:after="0" w:line="259" w:lineRule="auto"/>
              <w:ind w:left="0" w:right="0" w:firstLine="0"/>
              <w:jc w:val="center"/>
            </w:pPr>
            <w:r>
              <w:rPr>
                <w:sz w:val="18"/>
              </w:rPr>
              <w:t>515.2</w:t>
            </w:r>
            <w:r w:rsidR="00040E56">
              <w:rPr>
                <w:sz w:val="18"/>
              </w:rPr>
              <w:t xml:space="preserve">, </w:t>
            </w:r>
            <w:r>
              <w:rPr>
                <w:sz w:val="18"/>
              </w:rPr>
              <w:t>515.3</w:t>
            </w:r>
            <w:r w:rsidR="00040E56">
              <w:rPr>
                <w:sz w:val="18"/>
              </w:rPr>
              <w:t xml:space="preserve">, </w:t>
            </w:r>
            <w:r>
              <w:rPr>
                <w:sz w:val="18"/>
              </w:rPr>
              <w:t>555</w:t>
            </w:r>
          </w:p>
        </w:tc>
      </w:tr>
      <w:tr w:rsidR="000A75F9" w14:paraId="403A4855" w14:textId="77777777" w:rsidTr="00C23B62">
        <w:trPr>
          <w:trHeight w:val="250"/>
        </w:trPr>
        <w:tc>
          <w:tcPr>
            <w:tcW w:w="3404" w:type="dxa"/>
            <w:tcBorders>
              <w:top w:val="single" w:sz="4" w:space="0" w:color="000000"/>
              <w:left w:val="single" w:sz="12" w:space="0" w:color="000000"/>
              <w:bottom w:val="single" w:sz="4" w:space="0" w:color="000000"/>
              <w:right w:val="single" w:sz="12" w:space="0" w:color="000000"/>
            </w:tcBorders>
          </w:tcPr>
          <w:p w14:paraId="6135C9AC" w14:textId="77777777" w:rsidR="000A75F9" w:rsidRDefault="000A75F9" w:rsidP="000A75F9">
            <w:pPr>
              <w:spacing w:after="0" w:line="259" w:lineRule="auto"/>
              <w:ind w:left="2" w:right="0" w:firstLine="0"/>
            </w:pPr>
            <w:proofErr w:type="spellStart"/>
            <w:r>
              <w:rPr>
                <w:sz w:val="18"/>
              </w:rPr>
              <w:t>Dinoseb</w:t>
            </w:r>
            <w:proofErr w:type="spellEnd"/>
            <w:r>
              <w:rPr>
                <w:sz w:val="18"/>
              </w:rPr>
              <w:t xml:space="preserve">  </w:t>
            </w:r>
          </w:p>
        </w:tc>
        <w:tc>
          <w:tcPr>
            <w:tcW w:w="1172" w:type="dxa"/>
            <w:tcBorders>
              <w:top w:val="single" w:sz="4" w:space="0" w:color="000000"/>
              <w:left w:val="single" w:sz="12" w:space="0" w:color="000000"/>
              <w:bottom w:val="single" w:sz="4" w:space="0" w:color="000000"/>
              <w:right w:val="single" w:sz="12" w:space="0" w:color="000000"/>
            </w:tcBorders>
          </w:tcPr>
          <w:p w14:paraId="6786B56E" w14:textId="6B0D093D" w:rsidR="000A75F9" w:rsidRDefault="000A75F9" w:rsidP="00C2295D">
            <w:pPr>
              <w:spacing w:after="0" w:line="259" w:lineRule="auto"/>
              <w:ind w:left="0" w:right="44" w:firstLine="0"/>
              <w:jc w:val="center"/>
            </w:pPr>
            <w:r>
              <w:rPr>
                <w:sz w:val="18"/>
              </w:rPr>
              <w:t>88-85-7</w:t>
            </w:r>
          </w:p>
        </w:tc>
        <w:tc>
          <w:tcPr>
            <w:tcW w:w="880" w:type="dxa"/>
            <w:tcBorders>
              <w:top w:val="single" w:sz="4" w:space="0" w:color="000000"/>
              <w:left w:val="single" w:sz="12" w:space="0" w:color="000000"/>
              <w:bottom w:val="single" w:sz="4" w:space="0" w:color="000000"/>
              <w:right w:val="single" w:sz="12" w:space="0" w:color="000000"/>
            </w:tcBorders>
          </w:tcPr>
          <w:p w14:paraId="35EB3705" w14:textId="6E2856DA" w:rsidR="000A75F9" w:rsidRDefault="000A75F9" w:rsidP="00C2295D">
            <w:pPr>
              <w:tabs>
                <w:tab w:val="center" w:pos="354"/>
              </w:tabs>
              <w:spacing w:after="0" w:line="259" w:lineRule="auto"/>
              <w:ind w:left="0" w:right="0" w:firstLine="0"/>
              <w:jc w:val="center"/>
            </w:pPr>
            <w:r>
              <w:rPr>
                <w:sz w:val="18"/>
              </w:rPr>
              <w:t>2</w:t>
            </w:r>
          </w:p>
        </w:tc>
        <w:tc>
          <w:tcPr>
            <w:tcW w:w="878" w:type="dxa"/>
            <w:tcBorders>
              <w:top w:val="single" w:sz="4" w:space="0" w:color="000000"/>
              <w:left w:val="single" w:sz="12" w:space="0" w:color="000000"/>
              <w:bottom w:val="single" w:sz="4" w:space="0" w:color="000000"/>
              <w:right w:val="single" w:sz="12" w:space="0" w:color="000000"/>
            </w:tcBorders>
          </w:tcPr>
          <w:p w14:paraId="1BAA9089" w14:textId="1C98E667" w:rsidR="000A75F9" w:rsidRDefault="000A75F9" w:rsidP="00C2295D">
            <w:pPr>
              <w:spacing w:after="0" w:line="259" w:lineRule="auto"/>
              <w:ind w:left="0" w:right="46" w:firstLine="0"/>
              <w:jc w:val="center"/>
            </w:pPr>
            <w:r>
              <w:rPr>
                <w:sz w:val="18"/>
              </w:rPr>
              <w:t>ug/L</w:t>
            </w:r>
          </w:p>
        </w:tc>
        <w:tc>
          <w:tcPr>
            <w:tcW w:w="881" w:type="dxa"/>
            <w:tcBorders>
              <w:top w:val="single" w:sz="4" w:space="0" w:color="000000"/>
              <w:left w:val="single" w:sz="12" w:space="0" w:color="000000"/>
              <w:bottom w:val="single" w:sz="4" w:space="0" w:color="000000"/>
              <w:right w:val="single" w:sz="12" w:space="0" w:color="000000"/>
            </w:tcBorders>
          </w:tcPr>
          <w:p w14:paraId="7977A9D0" w14:textId="30CBC4FA" w:rsidR="000A75F9" w:rsidRDefault="000A75F9" w:rsidP="00C2295D">
            <w:pPr>
              <w:spacing w:after="0" w:line="259" w:lineRule="auto"/>
              <w:ind w:left="0" w:right="47" w:firstLine="0"/>
              <w:jc w:val="center"/>
            </w:pPr>
            <w:r>
              <w:rPr>
                <w:sz w:val="18"/>
              </w:rPr>
              <w:t>N/A</w:t>
            </w:r>
          </w:p>
        </w:tc>
        <w:tc>
          <w:tcPr>
            <w:tcW w:w="1073" w:type="dxa"/>
            <w:tcBorders>
              <w:top w:val="single" w:sz="4" w:space="0" w:color="000000"/>
              <w:left w:val="single" w:sz="12" w:space="0" w:color="000000"/>
              <w:bottom w:val="single" w:sz="4" w:space="0" w:color="000000"/>
              <w:right w:val="single" w:sz="12" w:space="0" w:color="000000"/>
            </w:tcBorders>
          </w:tcPr>
          <w:p w14:paraId="7EBA8CCA" w14:textId="14507035" w:rsidR="000A75F9" w:rsidRDefault="000A75F9" w:rsidP="00C2295D">
            <w:pPr>
              <w:spacing w:after="0" w:line="259" w:lineRule="auto"/>
              <w:ind w:left="0" w:right="42" w:firstLine="0"/>
              <w:jc w:val="center"/>
            </w:pPr>
            <w:r>
              <w:rPr>
                <w:sz w:val="18"/>
              </w:rPr>
              <w:t>N/A</w:t>
            </w:r>
          </w:p>
        </w:tc>
        <w:tc>
          <w:tcPr>
            <w:tcW w:w="802" w:type="dxa"/>
            <w:tcBorders>
              <w:top w:val="single" w:sz="4" w:space="0" w:color="000000"/>
              <w:left w:val="single" w:sz="12" w:space="0" w:color="000000"/>
              <w:bottom w:val="single" w:sz="4" w:space="0" w:color="000000"/>
              <w:right w:val="single" w:sz="12" w:space="0" w:color="000000"/>
            </w:tcBorders>
          </w:tcPr>
          <w:p w14:paraId="55B827E1" w14:textId="6CED5C5F" w:rsidR="000A75F9" w:rsidRPr="00EB3079" w:rsidRDefault="000A75F9" w:rsidP="00C2295D">
            <w:pPr>
              <w:spacing w:after="0" w:line="259" w:lineRule="auto"/>
              <w:ind w:left="0" w:right="0" w:firstLine="0"/>
              <w:jc w:val="center"/>
              <w:rPr>
                <w:bCs/>
              </w:rPr>
            </w:pPr>
            <w:r w:rsidRPr="00EB3079">
              <w:rPr>
                <w:bCs/>
                <w:sz w:val="18"/>
              </w:rPr>
              <w:t>515.1</w:t>
            </w:r>
          </w:p>
        </w:tc>
        <w:tc>
          <w:tcPr>
            <w:tcW w:w="1440" w:type="dxa"/>
            <w:tcBorders>
              <w:top w:val="single" w:sz="4" w:space="0" w:color="000000"/>
              <w:left w:val="single" w:sz="12" w:space="0" w:color="000000"/>
              <w:bottom w:val="single" w:sz="4" w:space="0" w:color="000000"/>
              <w:right w:val="single" w:sz="12" w:space="0" w:color="000000"/>
            </w:tcBorders>
          </w:tcPr>
          <w:p w14:paraId="14DEBE61" w14:textId="68FD8E69" w:rsidR="000A75F9" w:rsidRDefault="000A75F9" w:rsidP="00C2295D">
            <w:pPr>
              <w:spacing w:after="0" w:line="259" w:lineRule="auto"/>
              <w:ind w:left="0" w:right="0" w:firstLine="0"/>
              <w:jc w:val="center"/>
            </w:pPr>
            <w:r>
              <w:rPr>
                <w:sz w:val="18"/>
              </w:rPr>
              <w:t>515.2</w:t>
            </w:r>
            <w:r w:rsidR="00040E56">
              <w:rPr>
                <w:sz w:val="18"/>
              </w:rPr>
              <w:t xml:space="preserve">, </w:t>
            </w:r>
            <w:r>
              <w:rPr>
                <w:sz w:val="18"/>
              </w:rPr>
              <w:t>515.3</w:t>
            </w:r>
            <w:r w:rsidR="00040E56">
              <w:rPr>
                <w:sz w:val="18"/>
              </w:rPr>
              <w:t xml:space="preserve">, </w:t>
            </w:r>
            <w:r>
              <w:rPr>
                <w:sz w:val="18"/>
              </w:rPr>
              <w:t>555</w:t>
            </w:r>
          </w:p>
        </w:tc>
      </w:tr>
      <w:tr w:rsidR="000A75F9" w14:paraId="1215BA99" w14:textId="77777777" w:rsidTr="00C23B62">
        <w:trPr>
          <w:trHeight w:val="250"/>
        </w:trPr>
        <w:tc>
          <w:tcPr>
            <w:tcW w:w="3404" w:type="dxa"/>
            <w:tcBorders>
              <w:top w:val="single" w:sz="4" w:space="0" w:color="000000"/>
              <w:left w:val="single" w:sz="12" w:space="0" w:color="000000"/>
              <w:bottom w:val="single" w:sz="4" w:space="0" w:color="000000"/>
              <w:right w:val="single" w:sz="12" w:space="0" w:color="000000"/>
            </w:tcBorders>
          </w:tcPr>
          <w:p w14:paraId="16F5CE75" w14:textId="77777777" w:rsidR="000A75F9" w:rsidRDefault="000A75F9" w:rsidP="000A75F9">
            <w:pPr>
              <w:spacing w:after="0" w:line="259" w:lineRule="auto"/>
              <w:ind w:left="2" w:right="0" w:firstLine="0"/>
            </w:pPr>
            <w:r>
              <w:rPr>
                <w:sz w:val="18"/>
              </w:rPr>
              <w:t xml:space="preserve">5-Hydroxydicamba  </w:t>
            </w:r>
          </w:p>
        </w:tc>
        <w:tc>
          <w:tcPr>
            <w:tcW w:w="1172" w:type="dxa"/>
            <w:tcBorders>
              <w:top w:val="single" w:sz="4" w:space="0" w:color="000000"/>
              <w:left w:val="single" w:sz="12" w:space="0" w:color="000000"/>
              <w:bottom w:val="single" w:sz="4" w:space="0" w:color="000000"/>
              <w:right w:val="single" w:sz="12" w:space="0" w:color="000000"/>
            </w:tcBorders>
          </w:tcPr>
          <w:p w14:paraId="6EFE0F5B" w14:textId="624D538B" w:rsidR="000A75F9" w:rsidRDefault="000A75F9" w:rsidP="00C2295D">
            <w:pPr>
              <w:spacing w:after="0" w:line="259" w:lineRule="auto"/>
              <w:ind w:left="0" w:right="44" w:firstLine="0"/>
              <w:jc w:val="center"/>
            </w:pPr>
            <w:r>
              <w:rPr>
                <w:sz w:val="18"/>
              </w:rPr>
              <w:t>7600-50-2</w:t>
            </w:r>
          </w:p>
        </w:tc>
        <w:tc>
          <w:tcPr>
            <w:tcW w:w="880" w:type="dxa"/>
            <w:tcBorders>
              <w:top w:val="single" w:sz="4" w:space="0" w:color="000000"/>
              <w:left w:val="single" w:sz="12" w:space="0" w:color="000000"/>
              <w:bottom w:val="single" w:sz="4" w:space="0" w:color="000000"/>
              <w:right w:val="single" w:sz="12" w:space="0" w:color="000000"/>
            </w:tcBorders>
          </w:tcPr>
          <w:p w14:paraId="23A00062" w14:textId="4B8AEFEF" w:rsidR="000A75F9" w:rsidRDefault="000A75F9" w:rsidP="00C2295D">
            <w:pPr>
              <w:tabs>
                <w:tab w:val="center" w:pos="354"/>
              </w:tabs>
              <w:spacing w:after="0" w:line="259" w:lineRule="auto"/>
              <w:ind w:left="0" w:right="0" w:firstLine="0"/>
              <w:jc w:val="center"/>
            </w:pPr>
            <w:r>
              <w:rPr>
                <w:sz w:val="18"/>
              </w:rPr>
              <w:t>1</w:t>
            </w:r>
          </w:p>
        </w:tc>
        <w:tc>
          <w:tcPr>
            <w:tcW w:w="878" w:type="dxa"/>
            <w:tcBorders>
              <w:top w:val="single" w:sz="4" w:space="0" w:color="000000"/>
              <w:left w:val="single" w:sz="12" w:space="0" w:color="000000"/>
              <w:bottom w:val="single" w:sz="4" w:space="0" w:color="000000"/>
              <w:right w:val="single" w:sz="12" w:space="0" w:color="000000"/>
            </w:tcBorders>
          </w:tcPr>
          <w:p w14:paraId="4C3B7FD9" w14:textId="2C238801" w:rsidR="000A75F9" w:rsidRDefault="000A75F9" w:rsidP="00C2295D">
            <w:pPr>
              <w:spacing w:after="0" w:line="259" w:lineRule="auto"/>
              <w:ind w:left="0" w:right="46" w:firstLine="0"/>
              <w:jc w:val="center"/>
            </w:pPr>
            <w:r>
              <w:rPr>
                <w:sz w:val="18"/>
              </w:rPr>
              <w:t>ug/L</w:t>
            </w:r>
          </w:p>
        </w:tc>
        <w:tc>
          <w:tcPr>
            <w:tcW w:w="881" w:type="dxa"/>
            <w:tcBorders>
              <w:top w:val="single" w:sz="4" w:space="0" w:color="000000"/>
              <w:left w:val="single" w:sz="12" w:space="0" w:color="000000"/>
              <w:bottom w:val="single" w:sz="4" w:space="0" w:color="000000"/>
              <w:right w:val="single" w:sz="12" w:space="0" w:color="000000"/>
            </w:tcBorders>
          </w:tcPr>
          <w:p w14:paraId="21A49647" w14:textId="6A256295" w:rsidR="000A75F9" w:rsidRDefault="000A75F9" w:rsidP="00C2295D">
            <w:pPr>
              <w:spacing w:after="0" w:line="259" w:lineRule="auto"/>
              <w:ind w:left="0" w:right="47" w:firstLine="0"/>
              <w:jc w:val="center"/>
            </w:pPr>
            <w:r>
              <w:rPr>
                <w:sz w:val="18"/>
              </w:rPr>
              <w:t>N/A</w:t>
            </w:r>
          </w:p>
        </w:tc>
        <w:tc>
          <w:tcPr>
            <w:tcW w:w="1073" w:type="dxa"/>
            <w:tcBorders>
              <w:top w:val="single" w:sz="4" w:space="0" w:color="000000"/>
              <w:left w:val="single" w:sz="12" w:space="0" w:color="000000"/>
              <w:bottom w:val="single" w:sz="4" w:space="0" w:color="000000"/>
              <w:right w:val="single" w:sz="12" w:space="0" w:color="000000"/>
            </w:tcBorders>
          </w:tcPr>
          <w:p w14:paraId="4225F197" w14:textId="3743CE43" w:rsidR="000A75F9" w:rsidRDefault="000A75F9" w:rsidP="00C2295D">
            <w:pPr>
              <w:spacing w:after="0" w:line="259" w:lineRule="auto"/>
              <w:ind w:left="0" w:right="42" w:firstLine="0"/>
              <w:jc w:val="center"/>
            </w:pPr>
            <w:r>
              <w:rPr>
                <w:sz w:val="18"/>
              </w:rPr>
              <w:t>N/A</w:t>
            </w:r>
          </w:p>
        </w:tc>
        <w:tc>
          <w:tcPr>
            <w:tcW w:w="802" w:type="dxa"/>
            <w:tcBorders>
              <w:top w:val="single" w:sz="4" w:space="0" w:color="000000"/>
              <w:left w:val="single" w:sz="12" w:space="0" w:color="000000"/>
              <w:bottom w:val="single" w:sz="4" w:space="0" w:color="000000"/>
              <w:right w:val="single" w:sz="12" w:space="0" w:color="000000"/>
            </w:tcBorders>
          </w:tcPr>
          <w:p w14:paraId="44B218DA" w14:textId="3F4CBBE7" w:rsidR="000A75F9" w:rsidRPr="00EB3079" w:rsidRDefault="000A75F9" w:rsidP="00C2295D">
            <w:pPr>
              <w:spacing w:after="0" w:line="259" w:lineRule="auto"/>
              <w:ind w:left="0" w:right="0" w:firstLine="0"/>
              <w:jc w:val="center"/>
              <w:rPr>
                <w:bCs/>
              </w:rPr>
            </w:pPr>
            <w:r w:rsidRPr="00EB3079">
              <w:rPr>
                <w:bCs/>
                <w:sz w:val="18"/>
              </w:rPr>
              <w:t>515.1</w:t>
            </w:r>
          </w:p>
        </w:tc>
        <w:tc>
          <w:tcPr>
            <w:tcW w:w="1440" w:type="dxa"/>
            <w:tcBorders>
              <w:top w:val="single" w:sz="4" w:space="0" w:color="000000"/>
              <w:left w:val="single" w:sz="12" w:space="0" w:color="000000"/>
              <w:bottom w:val="single" w:sz="4" w:space="0" w:color="000000"/>
              <w:right w:val="single" w:sz="12" w:space="0" w:color="000000"/>
            </w:tcBorders>
          </w:tcPr>
          <w:p w14:paraId="7F704BB7" w14:textId="7DD16568" w:rsidR="000A75F9" w:rsidRDefault="000A75F9" w:rsidP="00C2295D">
            <w:pPr>
              <w:spacing w:after="0" w:line="259" w:lineRule="auto"/>
              <w:ind w:left="0" w:right="0" w:firstLine="0"/>
              <w:jc w:val="center"/>
            </w:pPr>
            <w:r>
              <w:rPr>
                <w:sz w:val="18"/>
              </w:rPr>
              <w:t>515.3</w:t>
            </w:r>
            <w:r w:rsidR="00040E56">
              <w:rPr>
                <w:sz w:val="18"/>
              </w:rPr>
              <w:t xml:space="preserve">, </w:t>
            </w:r>
            <w:r>
              <w:rPr>
                <w:sz w:val="18"/>
              </w:rPr>
              <w:t>555</w:t>
            </w:r>
          </w:p>
        </w:tc>
      </w:tr>
      <w:tr w:rsidR="000A75F9" w14:paraId="7D93694A" w14:textId="77777777" w:rsidTr="00C23B62">
        <w:trPr>
          <w:trHeight w:val="250"/>
        </w:trPr>
        <w:tc>
          <w:tcPr>
            <w:tcW w:w="3404" w:type="dxa"/>
            <w:tcBorders>
              <w:top w:val="single" w:sz="4" w:space="0" w:color="000000"/>
              <w:left w:val="single" w:sz="12" w:space="0" w:color="000000"/>
              <w:bottom w:val="single" w:sz="4" w:space="0" w:color="000000"/>
              <w:right w:val="single" w:sz="12" w:space="0" w:color="000000"/>
            </w:tcBorders>
          </w:tcPr>
          <w:p w14:paraId="66A430A8" w14:textId="77777777" w:rsidR="000A75F9" w:rsidRDefault="000A75F9" w:rsidP="000A75F9">
            <w:pPr>
              <w:spacing w:after="0" w:line="259" w:lineRule="auto"/>
              <w:ind w:left="2" w:right="0" w:firstLine="0"/>
            </w:pPr>
            <w:r>
              <w:rPr>
                <w:sz w:val="18"/>
              </w:rPr>
              <w:t xml:space="preserve">4-Nitrophenol </w:t>
            </w:r>
          </w:p>
        </w:tc>
        <w:tc>
          <w:tcPr>
            <w:tcW w:w="1172" w:type="dxa"/>
            <w:tcBorders>
              <w:top w:val="single" w:sz="4" w:space="0" w:color="000000"/>
              <w:left w:val="single" w:sz="12" w:space="0" w:color="000000"/>
              <w:bottom w:val="single" w:sz="4" w:space="0" w:color="000000"/>
              <w:right w:val="single" w:sz="12" w:space="0" w:color="000000"/>
            </w:tcBorders>
          </w:tcPr>
          <w:p w14:paraId="43EB9C42" w14:textId="652C3479" w:rsidR="000A75F9" w:rsidRDefault="000A75F9" w:rsidP="00C2295D">
            <w:pPr>
              <w:spacing w:after="0" w:line="259" w:lineRule="auto"/>
              <w:ind w:left="0" w:right="44" w:firstLine="0"/>
              <w:jc w:val="center"/>
            </w:pPr>
            <w:r>
              <w:rPr>
                <w:sz w:val="18"/>
              </w:rPr>
              <w:t>100-02-7</w:t>
            </w:r>
          </w:p>
        </w:tc>
        <w:tc>
          <w:tcPr>
            <w:tcW w:w="880" w:type="dxa"/>
            <w:tcBorders>
              <w:top w:val="single" w:sz="4" w:space="0" w:color="000000"/>
              <w:left w:val="single" w:sz="12" w:space="0" w:color="000000"/>
              <w:bottom w:val="single" w:sz="4" w:space="0" w:color="000000"/>
              <w:right w:val="single" w:sz="12" w:space="0" w:color="000000"/>
            </w:tcBorders>
          </w:tcPr>
          <w:p w14:paraId="40D67A26" w14:textId="6BE60329" w:rsidR="000A75F9" w:rsidRDefault="000A75F9" w:rsidP="00C2295D">
            <w:pPr>
              <w:tabs>
                <w:tab w:val="center" w:pos="308"/>
              </w:tabs>
              <w:spacing w:after="0" w:line="259" w:lineRule="auto"/>
              <w:ind w:left="0" w:right="0" w:firstLine="0"/>
              <w:jc w:val="center"/>
            </w:pPr>
            <w:r>
              <w:rPr>
                <w:sz w:val="18"/>
              </w:rPr>
              <w:t>10</w:t>
            </w:r>
          </w:p>
        </w:tc>
        <w:tc>
          <w:tcPr>
            <w:tcW w:w="878" w:type="dxa"/>
            <w:tcBorders>
              <w:top w:val="single" w:sz="4" w:space="0" w:color="000000"/>
              <w:left w:val="single" w:sz="12" w:space="0" w:color="000000"/>
              <w:bottom w:val="single" w:sz="4" w:space="0" w:color="000000"/>
              <w:right w:val="single" w:sz="12" w:space="0" w:color="000000"/>
            </w:tcBorders>
          </w:tcPr>
          <w:p w14:paraId="7F18EC67" w14:textId="721429BD" w:rsidR="000A75F9" w:rsidRDefault="000A75F9" w:rsidP="00C2295D">
            <w:pPr>
              <w:spacing w:after="0" w:line="259" w:lineRule="auto"/>
              <w:ind w:left="0" w:right="46" w:firstLine="0"/>
              <w:jc w:val="center"/>
            </w:pPr>
            <w:r>
              <w:rPr>
                <w:sz w:val="18"/>
              </w:rPr>
              <w:t>ug/L</w:t>
            </w:r>
          </w:p>
        </w:tc>
        <w:tc>
          <w:tcPr>
            <w:tcW w:w="881" w:type="dxa"/>
            <w:tcBorders>
              <w:top w:val="single" w:sz="4" w:space="0" w:color="000000"/>
              <w:left w:val="single" w:sz="12" w:space="0" w:color="000000"/>
              <w:bottom w:val="single" w:sz="4" w:space="0" w:color="000000"/>
              <w:right w:val="single" w:sz="12" w:space="0" w:color="000000"/>
            </w:tcBorders>
          </w:tcPr>
          <w:p w14:paraId="7A321B22" w14:textId="0A921C98" w:rsidR="000A75F9" w:rsidRDefault="000A75F9" w:rsidP="00C2295D">
            <w:pPr>
              <w:spacing w:after="0" w:line="259" w:lineRule="auto"/>
              <w:ind w:left="0" w:right="47" w:firstLine="0"/>
              <w:jc w:val="center"/>
            </w:pPr>
            <w:r>
              <w:rPr>
                <w:sz w:val="18"/>
              </w:rPr>
              <w:t>N/A</w:t>
            </w:r>
          </w:p>
        </w:tc>
        <w:tc>
          <w:tcPr>
            <w:tcW w:w="1073" w:type="dxa"/>
            <w:tcBorders>
              <w:top w:val="single" w:sz="4" w:space="0" w:color="000000"/>
              <w:left w:val="single" w:sz="12" w:space="0" w:color="000000"/>
              <w:bottom w:val="single" w:sz="4" w:space="0" w:color="000000"/>
              <w:right w:val="single" w:sz="12" w:space="0" w:color="000000"/>
            </w:tcBorders>
          </w:tcPr>
          <w:p w14:paraId="6F47E0F5" w14:textId="225F9A1C" w:rsidR="000A75F9" w:rsidRDefault="000A75F9" w:rsidP="00C2295D">
            <w:pPr>
              <w:spacing w:after="0" w:line="259" w:lineRule="auto"/>
              <w:ind w:left="0" w:right="42" w:firstLine="0"/>
              <w:jc w:val="center"/>
            </w:pPr>
            <w:r>
              <w:rPr>
                <w:sz w:val="18"/>
              </w:rPr>
              <w:t>N/A</w:t>
            </w:r>
          </w:p>
        </w:tc>
        <w:tc>
          <w:tcPr>
            <w:tcW w:w="802" w:type="dxa"/>
            <w:tcBorders>
              <w:top w:val="single" w:sz="4" w:space="0" w:color="000000"/>
              <w:left w:val="single" w:sz="12" w:space="0" w:color="000000"/>
              <w:bottom w:val="single" w:sz="4" w:space="0" w:color="000000"/>
              <w:right w:val="single" w:sz="12" w:space="0" w:color="000000"/>
            </w:tcBorders>
          </w:tcPr>
          <w:p w14:paraId="338E0FB7" w14:textId="48A7E210" w:rsidR="000A75F9" w:rsidRPr="00EB3079" w:rsidRDefault="000A75F9" w:rsidP="00C2295D">
            <w:pPr>
              <w:spacing w:after="0" w:line="259" w:lineRule="auto"/>
              <w:ind w:left="0" w:right="0" w:firstLine="0"/>
              <w:jc w:val="center"/>
              <w:rPr>
                <w:bCs/>
              </w:rPr>
            </w:pPr>
            <w:r w:rsidRPr="00EB3079">
              <w:rPr>
                <w:bCs/>
                <w:sz w:val="18"/>
              </w:rPr>
              <w:t>515.1</w:t>
            </w:r>
          </w:p>
        </w:tc>
        <w:tc>
          <w:tcPr>
            <w:tcW w:w="1440" w:type="dxa"/>
            <w:tcBorders>
              <w:top w:val="single" w:sz="4" w:space="0" w:color="000000"/>
              <w:left w:val="single" w:sz="12" w:space="0" w:color="000000"/>
              <w:bottom w:val="single" w:sz="4" w:space="0" w:color="000000"/>
              <w:right w:val="single" w:sz="12" w:space="0" w:color="000000"/>
            </w:tcBorders>
          </w:tcPr>
          <w:p w14:paraId="6BFDAAEE" w14:textId="6B985AFF" w:rsidR="000A75F9" w:rsidRDefault="000A75F9" w:rsidP="00C2295D">
            <w:pPr>
              <w:spacing w:after="0" w:line="259" w:lineRule="auto"/>
              <w:ind w:left="0" w:right="0" w:firstLine="0"/>
              <w:jc w:val="center"/>
            </w:pPr>
            <w:r>
              <w:rPr>
                <w:sz w:val="18"/>
              </w:rPr>
              <w:t>515.3</w:t>
            </w:r>
            <w:r w:rsidR="00040E56">
              <w:rPr>
                <w:sz w:val="18"/>
              </w:rPr>
              <w:t xml:space="preserve">, </w:t>
            </w:r>
            <w:r>
              <w:rPr>
                <w:sz w:val="18"/>
              </w:rPr>
              <w:t>555</w:t>
            </w:r>
          </w:p>
        </w:tc>
      </w:tr>
      <w:tr w:rsidR="000A75F9" w14:paraId="3A93DACF" w14:textId="77777777" w:rsidTr="00C23B62">
        <w:trPr>
          <w:trHeight w:val="250"/>
        </w:trPr>
        <w:tc>
          <w:tcPr>
            <w:tcW w:w="3404" w:type="dxa"/>
            <w:tcBorders>
              <w:top w:val="single" w:sz="4" w:space="0" w:color="000000"/>
              <w:left w:val="single" w:sz="12" w:space="0" w:color="000000"/>
              <w:bottom w:val="single" w:sz="4" w:space="0" w:color="000000"/>
              <w:right w:val="single" w:sz="12" w:space="0" w:color="000000"/>
            </w:tcBorders>
          </w:tcPr>
          <w:p w14:paraId="1B3B2D67" w14:textId="77777777" w:rsidR="000A75F9" w:rsidRDefault="000A75F9" w:rsidP="000A75F9">
            <w:pPr>
              <w:spacing w:after="0" w:line="259" w:lineRule="auto"/>
              <w:ind w:left="2" w:right="0" w:firstLine="0"/>
            </w:pPr>
            <w:r>
              <w:rPr>
                <w:sz w:val="18"/>
              </w:rPr>
              <w:t xml:space="preserve">Picloram </w:t>
            </w:r>
          </w:p>
        </w:tc>
        <w:tc>
          <w:tcPr>
            <w:tcW w:w="1172" w:type="dxa"/>
            <w:tcBorders>
              <w:top w:val="single" w:sz="4" w:space="0" w:color="000000"/>
              <w:left w:val="single" w:sz="12" w:space="0" w:color="000000"/>
              <w:bottom w:val="single" w:sz="4" w:space="0" w:color="000000"/>
              <w:right w:val="single" w:sz="12" w:space="0" w:color="000000"/>
            </w:tcBorders>
          </w:tcPr>
          <w:p w14:paraId="48498316" w14:textId="4EE7EB03" w:rsidR="000A75F9" w:rsidRDefault="000A75F9" w:rsidP="00C2295D">
            <w:pPr>
              <w:spacing w:after="0" w:line="259" w:lineRule="auto"/>
              <w:ind w:left="0" w:right="44" w:firstLine="0"/>
              <w:jc w:val="center"/>
            </w:pPr>
            <w:r>
              <w:rPr>
                <w:sz w:val="18"/>
              </w:rPr>
              <w:t>1918-02-1</w:t>
            </w:r>
          </w:p>
        </w:tc>
        <w:tc>
          <w:tcPr>
            <w:tcW w:w="880" w:type="dxa"/>
            <w:tcBorders>
              <w:top w:val="single" w:sz="4" w:space="0" w:color="000000"/>
              <w:left w:val="single" w:sz="12" w:space="0" w:color="000000"/>
              <w:bottom w:val="single" w:sz="4" w:space="0" w:color="000000"/>
              <w:right w:val="single" w:sz="12" w:space="0" w:color="000000"/>
            </w:tcBorders>
          </w:tcPr>
          <w:p w14:paraId="4736C573" w14:textId="322FAE07" w:rsidR="000A75F9" w:rsidRDefault="000A75F9" w:rsidP="00C2295D">
            <w:pPr>
              <w:spacing w:after="0" w:line="259" w:lineRule="auto"/>
              <w:ind w:left="0" w:right="0" w:firstLine="0"/>
              <w:jc w:val="center"/>
            </w:pPr>
            <w:r>
              <w:rPr>
                <w:sz w:val="18"/>
              </w:rPr>
              <w:t>50</w:t>
            </w:r>
          </w:p>
        </w:tc>
        <w:tc>
          <w:tcPr>
            <w:tcW w:w="878" w:type="dxa"/>
            <w:tcBorders>
              <w:top w:val="single" w:sz="4" w:space="0" w:color="000000"/>
              <w:left w:val="single" w:sz="12" w:space="0" w:color="000000"/>
              <w:bottom w:val="single" w:sz="4" w:space="0" w:color="000000"/>
              <w:right w:val="single" w:sz="12" w:space="0" w:color="000000"/>
            </w:tcBorders>
          </w:tcPr>
          <w:p w14:paraId="1B419A2E" w14:textId="6A341782" w:rsidR="000A75F9" w:rsidRDefault="000A75F9" w:rsidP="00C2295D">
            <w:pPr>
              <w:spacing w:after="0" w:line="259" w:lineRule="auto"/>
              <w:ind w:left="0" w:right="46" w:firstLine="0"/>
              <w:jc w:val="center"/>
            </w:pPr>
            <w:r>
              <w:rPr>
                <w:sz w:val="18"/>
              </w:rPr>
              <w:t>ug/L</w:t>
            </w:r>
          </w:p>
        </w:tc>
        <w:tc>
          <w:tcPr>
            <w:tcW w:w="881" w:type="dxa"/>
            <w:tcBorders>
              <w:top w:val="single" w:sz="4" w:space="0" w:color="000000"/>
              <w:left w:val="single" w:sz="12" w:space="0" w:color="000000"/>
              <w:bottom w:val="single" w:sz="4" w:space="0" w:color="000000"/>
              <w:right w:val="single" w:sz="12" w:space="0" w:color="000000"/>
            </w:tcBorders>
          </w:tcPr>
          <w:p w14:paraId="3EC4A28A" w14:textId="6B76D5AD" w:rsidR="000A75F9" w:rsidRDefault="000A75F9" w:rsidP="00C2295D">
            <w:pPr>
              <w:spacing w:after="0" w:line="259" w:lineRule="auto"/>
              <w:ind w:left="0" w:right="47" w:firstLine="0"/>
              <w:jc w:val="center"/>
            </w:pPr>
            <w:r>
              <w:rPr>
                <w:sz w:val="18"/>
              </w:rPr>
              <w:t>N/A</w:t>
            </w:r>
          </w:p>
        </w:tc>
        <w:tc>
          <w:tcPr>
            <w:tcW w:w="1073" w:type="dxa"/>
            <w:tcBorders>
              <w:top w:val="single" w:sz="4" w:space="0" w:color="000000"/>
              <w:left w:val="single" w:sz="12" w:space="0" w:color="000000"/>
              <w:bottom w:val="single" w:sz="4" w:space="0" w:color="000000"/>
              <w:right w:val="single" w:sz="12" w:space="0" w:color="000000"/>
            </w:tcBorders>
          </w:tcPr>
          <w:p w14:paraId="189C5B15" w14:textId="48F04CED" w:rsidR="000A75F9" w:rsidRDefault="000A75F9" w:rsidP="00C2295D">
            <w:pPr>
              <w:spacing w:after="0" w:line="259" w:lineRule="auto"/>
              <w:ind w:left="0" w:right="42" w:firstLine="0"/>
              <w:jc w:val="center"/>
            </w:pPr>
            <w:r>
              <w:rPr>
                <w:sz w:val="18"/>
              </w:rPr>
              <w:t>N/A</w:t>
            </w:r>
          </w:p>
        </w:tc>
        <w:tc>
          <w:tcPr>
            <w:tcW w:w="802" w:type="dxa"/>
            <w:tcBorders>
              <w:top w:val="single" w:sz="4" w:space="0" w:color="000000"/>
              <w:left w:val="single" w:sz="12" w:space="0" w:color="000000"/>
              <w:bottom w:val="single" w:sz="4" w:space="0" w:color="000000"/>
              <w:right w:val="single" w:sz="12" w:space="0" w:color="000000"/>
            </w:tcBorders>
          </w:tcPr>
          <w:p w14:paraId="415EEB07" w14:textId="45C3FC56" w:rsidR="000A75F9" w:rsidRPr="00EB3079" w:rsidRDefault="000A75F9" w:rsidP="00C2295D">
            <w:pPr>
              <w:spacing w:after="0" w:line="259" w:lineRule="auto"/>
              <w:ind w:left="0" w:right="0" w:firstLine="0"/>
              <w:jc w:val="center"/>
              <w:rPr>
                <w:bCs/>
              </w:rPr>
            </w:pPr>
            <w:r w:rsidRPr="00EB3079">
              <w:rPr>
                <w:bCs/>
                <w:sz w:val="18"/>
              </w:rPr>
              <w:t>515.1</w:t>
            </w:r>
          </w:p>
        </w:tc>
        <w:tc>
          <w:tcPr>
            <w:tcW w:w="1440" w:type="dxa"/>
            <w:tcBorders>
              <w:top w:val="single" w:sz="4" w:space="0" w:color="000000"/>
              <w:left w:val="single" w:sz="12" w:space="0" w:color="000000"/>
              <w:bottom w:val="single" w:sz="4" w:space="0" w:color="000000"/>
              <w:right w:val="single" w:sz="12" w:space="0" w:color="000000"/>
            </w:tcBorders>
          </w:tcPr>
          <w:p w14:paraId="716B406F" w14:textId="0AB439B9" w:rsidR="000A75F9" w:rsidRDefault="000A75F9" w:rsidP="00C2295D">
            <w:pPr>
              <w:spacing w:after="0" w:line="259" w:lineRule="auto"/>
              <w:ind w:left="0" w:right="0" w:firstLine="0"/>
              <w:jc w:val="center"/>
            </w:pPr>
            <w:r>
              <w:rPr>
                <w:sz w:val="18"/>
              </w:rPr>
              <w:t>515.2</w:t>
            </w:r>
            <w:r w:rsidR="00040E56">
              <w:rPr>
                <w:sz w:val="18"/>
              </w:rPr>
              <w:t xml:space="preserve">, </w:t>
            </w:r>
            <w:r>
              <w:rPr>
                <w:sz w:val="18"/>
              </w:rPr>
              <w:t>515.3</w:t>
            </w:r>
            <w:r w:rsidR="00040E56">
              <w:rPr>
                <w:sz w:val="18"/>
              </w:rPr>
              <w:t xml:space="preserve">, </w:t>
            </w:r>
            <w:r>
              <w:rPr>
                <w:sz w:val="18"/>
              </w:rPr>
              <w:t>555</w:t>
            </w:r>
          </w:p>
        </w:tc>
      </w:tr>
      <w:tr w:rsidR="000A75F9" w14:paraId="5971D3A0" w14:textId="77777777" w:rsidTr="00C23B62">
        <w:trPr>
          <w:trHeight w:val="252"/>
        </w:trPr>
        <w:tc>
          <w:tcPr>
            <w:tcW w:w="3404" w:type="dxa"/>
            <w:tcBorders>
              <w:top w:val="single" w:sz="4" w:space="0" w:color="000000"/>
              <w:left w:val="single" w:sz="12" w:space="0" w:color="000000"/>
              <w:bottom w:val="single" w:sz="4" w:space="0" w:color="000000"/>
              <w:right w:val="single" w:sz="12" w:space="0" w:color="000000"/>
            </w:tcBorders>
          </w:tcPr>
          <w:p w14:paraId="553E1409" w14:textId="77777777" w:rsidR="000A75F9" w:rsidRDefault="000A75F9" w:rsidP="000A75F9">
            <w:pPr>
              <w:spacing w:after="0" w:line="259" w:lineRule="auto"/>
              <w:ind w:left="2" w:right="0" w:firstLine="0"/>
            </w:pPr>
            <w:r>
              <w:rPr>
                <w:sz w:val="18"/>
              </w:rPr>
              <w:t xml:space="preserve">2,4,5-T </w:t>
            </w:r>
          </w:p>
        </w:tc>
        <w:tc>
          <w:tcPr>
            <w:tcW w:w="1172" w:type="dxa"/>
            <w:tcBorders>
              <w:top w:val="single" w:sz="4" w:space="0" w:color="000000"/>
              <w:left w:val="single" w:sz="12" w:space="0" w:color="000000"/>
              <w:bottom w:val="single" w:sz="4" w:space="0" w:color="000000"/>
              <w:right w:val="single" w:sz="12" w:space="0" w:color="000000"/>
            </w:tcBorders>
          </w:tcPr>
          <w:p w14:paraId="49937922" w14:textId="3F1736D0" w:rsidR="000A75F9" w:rsidRDefault="000A75F9" w:rsidP="00C2295D">
            <w:pPr>
              <w:spacing w:after="0" w:line="259" w:lineRule="auto"/>
              <w:ind w:left="0" w:right="44" w:firstLine="0"/>
              <w:jc w:val="center"/>
            </w:pPr>
            <w:r>
              <w:rPr>
                <w:sz w:val="18"/>
              </w:rPr>
              <w:t>93-76-5</w:t>
            </w:r>
          </w:p>
        </w:tc>
        <w:tc>
          <w:tcPr>
            <w:tcW w:w="880" w:type="dxa"/>
            <w:tcBorders>
              <w:top w:val="single" w:sz="4" w:space="0" w:color="000000"/>
              <w:left w:val="single" w:sz="12" w:space="0" w:color="000000"/>
              <w:bottom w:val="single" w:sz="4" w:space="0" w:color="000000"/>
              <w:right w:val="single" w:sz="12" w:space="0" w:color="000000"/>
            </w:tcBorders>
          </w:tcPr>
          <w:p w14:paraId="399ADB5A" w14:textId="789EA3C6" w:rsidR="000A75F9" w:rsidRDefault="000A75F9" w:rsidP="00C2295D">
            <w:pPr>
              <w:spacing w:after="0" w:line="259" w:lineRule="auto"/>
              <w:ind w:left="0" w:right="0" w:firstLine="0"/>
              <w:jc w:val="center"/>
            </w:pPr>
            <w:r>
              <w:rPr>
                <w:sz w:val="18"/>
              </w:rPr>
              <w:t>50</w:t>
            </w:r>
          </w:p>
        </w:tc>
        <w:tc>
          <w:tcPr>
            <w:tcW w:w="878" w:type="dxa"/>
            <w:tcBorders>
              <w:top w:val="single" w:sz="4" w:space="0" w:color="000000"/>
              <w:left w:val="single" w:sz="12" w:space="0" w:color="000000"/>
              <w:bottom w:val="single" w:sz="4" w:space="0" w:color="000000"/>
              <w:right w:val="single" w:sz="12" w:space="0" w:color="000000"/>
            </w:tcBorders>
          </w:tcPr>
          <w:p w14:paraId="04DDE8E9" w14:textId="78FDD771" w:rsidR="000A75F9" w:rsidRDefault="000A75F9" w:rsidP="00C2295D">
            <w:pPr>
              <w:spacing w:after="0" w:line="259" w:lineRule="auto"/>
              <w:ind w:left="0" w:right="46" w:firstLine="0"/>
              <w:jc w:val="center"/>
            </w:pPr>
            <w:r>
              <w:rPr>
                <w:sz w:val="18"/>
              </w:rPr>
              <w:t>ug/L</w:t>
            </w:r>
          </w:p>
        </w:tc>
        <w:tc>
          <w:tcPr>
            <w:tcW w:w="881" w:type="dxa"/>
            <w:tcBorders>
              <w:top w:val="single" w:sz="4" w:space="0" w:color="000000"/>
              <w:left w:val="single" w:sz="12" w:space="0" w:color="000000"/>
              <w:bottom w:val="single" w:sz="4" w:space="0" w:color="000000"/>
              <w:right w:val="single" w:sz="12" w:space="0" w:color="000000"/>
            </w:tcBorders>
          </w:tcPr>
          <w:p w14:paraId="503CE49F" w14:textId="3D3EF546" w:rsidR="000A75F9" w:rsidRDefault="000A75F9" w:rsidP="00C2295D">
            <w:pPr>
              <w:spacing w:after="0" w:line="259" w:lineRule="auto"/>
              <w:ind w:left="0" w:right="47" w:firstLine="0"/>
              <w:jc w:val="center"/>
            </w:pPr>
            <w:r>
              <w:rPr>
                <w:sz w:val="18"/>
              </w:rPr>
              <w:t>N/A</w:t>
            </w:r>
          </w:p>
        </w:tc>
        <w:tc>
          <w:tcPr>
            <w:tcW w:w="1073" w:type="dxa"/>
            <w:tcBorders>
              <w:top w:val="single" w:sz="4" w:space="0" w:color="000000"/>
              <w:left w:val="single" w:sz="12" w:space="0" w:color="000000"/>
              <w:bottom w:val="single" w:sz="4" w:space="0" w:color="000000"/>
              <w:right w:val="single" w:sz="12" w:space="0" w:color="000000"/>
            </w:tcBorders>
          </w:tcPr>
          <w:p w14:paraId="4B1B8785" w14:textId="33545593" w:rsidR="000A75F9" w:rsidRDefault="000A75F9" w:rsidP="00C2295D">
            <w:pPr>
              <w:spacing w:after="0" w:line="259" w:lineRule="auto"/>
              <w:ind w:left="0" w:right="42" w:firstLine="0"/>
              <w:jc w:val="center"/>
            </w:pPr>
            <w:r>
              <w:rPr>
                <w:sz w:val="18"/>
              </w:rPr>
              <w:t>N/A</w:t>
            </w:r>
          </w:p>
        </w:tc>
        <w:tc>
          <w:tcPr>
            <w:tcW w:w="802" w:type="dxa"/>
            <w:tcBorders>
              <w:top w:val="single" w:sz="4" w:space="0" w:color="000000"/>
              <w:left w:val="single" w:sz="12" w:space="0" w:color="000000"/>
              <w:bottom w:val="single" w:sz="4" w:space="0" w:color="000000"/>
              <w:right w:val="single" w:sz="12" w:space="0" w:color="000000"/>
            </w:tcBorders>
          </w:tcPr>
          <w:p w14:paraId="7A2AD866" w14:textId="4563A565" w:rsidR="000A75F9" w:rsidRPr="00EB3079" w:rsidRDefault="000A75F9" w:rsidP="00C2295D">
            <w:pPr>
              <w:spacing w:after="0" w:line="259" w:lineRule="auto"/>
              <w:ind w:left="0" w:right="0" w:firstLine="0"/>
              <w:jc w:val="center"/>
              <w:rPr>
                <w:bCs/>
              </w:rPr>
            </w:pPr>
            <w:r w:rsidRPr="00EB3079">
              <w:rPr>
                <w:bCs/>
                <w:sz w:val="18"/>
              </w:rPr>
              <w:t>515.1</w:t>
            </w:r>
          </w:p>
        </w:tc>
        <w:tc>
          <w:tcPr>
            <w:tcW w:w="1440" w:type="dxa"/>
            <w:tcBorders>
              <w:top w:val="single" w:sz="4" w:space="0" w:color="000000"/>
              <w:left w:val="single" w:sz="12" w:space="0" w:color="000000"/>
              <w:bottom w:val="single" w:sz="4" w:space="0" w:color="000000"/>
              <w:right w:val="single" w:sz="12" w:space="0" w:color="000000"/>
            </w:tcBorders>
          </w:tcPr>
          <w:p w14:paraId="58BCAE26" w14:textId="1ACCE7FD" w:rsidR="000A75F9" w:rsidRDefault="000A75F9" w:rsidP="00C2295D">
            <w:pPr>
              <w:spacing w:after="0" w:line="259" w:lineRule="auto"/>
              <w:ind w:left="0" w:right="0" w:firstLine="0"/>
              <w:jc w:val="center"/>
            </w:pPr>
            <w:r>
              <w:rPr>
                <w:sz w:val="18"/>
              </w:rPr>
              <w:t>515.2</w:t>
            </w:r>
            <w:r w:rsidR="00040E56">
              <w:rPr>
                <w:sz w:val="18"/>
              </w:rPr>
              <w:t xml:space="preserve">, </w:t>
            </w:r>
            <w:r>
              <w:rPr>
                <w:sz w:val="18"/>
              </w:rPr>
              <w:t>515.3</w:t>
            </w:r>
            <w:r w:rsidR="00040E56">
              <w:rPr>
                <w:sz w:val="18"/>
              </w:rPr>
              <w:t xml:space="preserve">, </w:t>
            </w:r>
            <w:r>
              <w:rPr>
                <w:sz w:val="18"/>
              </w:rPr>
              <w:t>555</w:t>
            </w:r>
          </w:p>
        </w:tc>
      </w:tr>
      <w:tr w:rsidR="000A75F9" w14:paraId="499F4C7F" w14:textId="77777777" w:rsidTr="00C23B62">
        <w:trPr>
          <w:trHeight w:val="257"/>
        </w:trPr>
        <w:tc>
          <w:tcPr>
            <w:tcW w:w="3404" w:type="dxa"/>
            <w:tcBorders>
              <w:top w:val="single" w:sz="4" w:space="0" w:color="000000"/>
              <w:left w:val="single" w:sz="12" w:space="0" w:color="000000"/>
              <w:bottom w:val="single" w:sz="12" w:space="0" w:color="000000"/>
              <w:right w:val="single" w:sz="12" w:space="0" w:color="000000"/>
            </w:tcBorders>
          </w:tcPr>
          <w:p w14:paraId="7ED08992" w14:textId="2BC1CDA4" w:rsidR="000A75F9" w:rsidRDefault="000A75F9" w:rsidP="000A75F9">
            <w:pPr>
              <w:spacing w:after="0" w:line="259" w:lineRule="auto"/>
              <w:ind w:left="2" w:right="0" w:firstLine="0"/>
            </w:pPr>
            <w:r>
              <w:rPr>
                <w:sz w:val="18"/>
              </w:rPr>
              <w:t>2,4,5-TP (</w:t>
            </w:r>
            <w:r>
              <w:rPr>
                <w:i/>
                <w:sz w:val="18"/>
              </w:rPr>
              <w:t xml:space="preserve">Silvex) </w:t>
            </w:r>
          </w:p>
        </w:tc>
        <w:tc>
          <w:tcPr>
            <w:tcW w:w="1172" w:type="dxa"/>
            <w:tcBorders>
              <w:top w:val="single" w:sz="4" w:space="0" w:color="000000"/>
              <w:left w:val="single" w:sz="12" w:space="0" w:color="000000"/>
              <w:bottom w:val="single" w:sz="12" w:space="0" w:color="000000"/>
              <w:right w:val="single" w:sz="12" w:space="0" w:color="000000"/>
            </w:tcBorders>
          </w:tcPr>
          <w:p w14:paraId="213AAE30" w14:textId="41EC95A6" w:rsidR="000A75F9" w:rsidRDefault="000A75F9" w:rsidP="00C2295D">
            <w:pPr>
              <w:spacing w:after="0" w:line="259" w:lineRule="auto"/>
              <w:ind w:left="0" w:right="44" w:firstLine="0"/>
              <w:jc w:val="center"/>
            </w:pPr>
            <w:r>
              <w:rPr>
                <w:sz w:val="18"/>
              </w:rPr>
              <w:t>93-72-1</w:t>
            </w:r>
          </w:p>
        </w:tc>
        <w:tc>
          <w:tcPr>
            <w:tcW w:w="880" w:type="dxa"/>
            <w:tcBorders>
              <w:top w:val="single" w:sz="4" w:space="0" w:color="000000"/>
              <w:left w:val="single" w:sz="12" w:space="0" w:color="000000"/>
              <w:bottom w:val="single" w:sz="12" w:space="0" w:color="000000"/>
              <w:right w:val="single" w:sz="12" w:space="0" w:color="000000"/>
            </w:tcBorders>
          </w:tcPr>
          <w:p w14:paraId="63391C8F" w14:textId="2C35D8BF" w:rsidR="000A75F9" w:rsidRDefault="000A75F9" w:rsidP="00C2295D">
            <w:pPr>
              <w:spacing w:after="0" w:line="259" w:lineRule="auto"/>
              <w:ind w:left="0" w:right="0" w:firstLine="0"/>
              <w:jc w:val="center"/>
            </w:pPr>
            <w:r>
              <w:rPr>
                <w:sz w:val="18"/>
              </w:rPr>
              <w:t>50</w:t>
            </w:r>
          </w:p>
        </w:tc>
        <w:tc>
          <w:tcPr>
            <w:tcW w:w="878" w:type="dxa"/>
            <w:tcBorders>
              <w:top w:val="single" w:sz="4" w:space="0" w:color="000000"/>
              <w:left w:val="single" w:sz="12" w:space="0" w:color="000000"/>
              <w:bottom w:val="single" w:sz="12" w:space="0" w:color="000000"/>
              <w:right w:val="single" w:sz="12" w:space="0" w:color="000000"/>
            </w:tcBorders>
          </w:tcPr>
          <w:p w14:paraId="210991D6" w14:textId="28C8F041" w:rsidR="000A75F9" w:rsidRDefault="000A75F9" w:rsidP="00C2295D">
            <w:pPr>
              <w:spacing w:after="0" w:line="259" w:lineRule="auto"/>
              <w:ind w:left="0" w:right="46" w:firstLine="0"/>
              <w:jc w:val="center"/>
            </w:pPr>
            <w:r>
              <w:rPr>
                <w:sz w:val="18"/>
              </w:rPr>
              <w:t>ug/L</w:t>
            </w:r>
          </w:p>
        </w:tc>
        <w:tc>
          <w:tcPr>
            <w:tcW w:w="881" w:type="dxa"/>
            <w:tcBorders>
              <w:top w:val="single" w:sz="4" w:space="0" w:color="000000"/>
              <w:left w:val="single" w:sz="12" w:space="0" w:color="000000"/>
              <w:bottom w:val="single" w:sz="12" w:space="0" w:color="000000"/>
              <w:right w:val="single" w:sz="12" w:space="0" w:color="000000"/>
            </w:tcBorders>
          </w:tcPr>
          <w:p w14:paraId="072C8A33" w14:textId="3FB5B16C" w:rsidR="000A75F9" w:rsidRDefault="000A75F9" w:rsidP="00C2295D">
            <w:pPr>
              <w:spacing w:after="0" w:line="259" w:lineRule="auto"/>
              <w:ind w:left="0" w:right="47" w:firstLine="0"/>
              <w:jc w:val="center"/>
            </w:pPr>
            <w:r>
              <w:rPr>
                <w:sz w:val="18"/>
              </w:rPr>
              <w:t>N/A</w:t>
            </w:r>
          </w:p>
        </w:tc>
        <w:tc>
          <w:tcPr>
            <w:tcW w:w="1073" w:type="dxa"/>
            <w:tcBorders>
              <w:top w:val="single" w:sz="4" w:space="0" w:color="000000"/>
              <w:left w:val="single" w:sz="12" w:space="0" w:color="000000"/>
              <w:bottom w:val="single" w:sz="12" w:space="0" w:color="000000"/>
              <w:right w:val="single" w:sz="12" w:space="0" w:color="000000"/>
            </w:tcBorders>
          </w:tcPr>
          <w:p w14:paraId="52BE76A1" w14:textId="386464D6" w:rsidR="000A75F9" w:rsidRDefault="000A75F9" w:rsidP="00C2295D">
            <w:pPr>
              <w:spacing w:after="0" w:line="259" w:lineRule="auto"/>
              <w:ind w:left="0" w:right="42" w:firstLine="0"/>
              <w:jc w:val="center"/>
            </w:pPr>
            <w:r>
              <w:rPr>
                <w:sz w:val="18"/>
              </w:rPr>
              <w:t>N/A</w:t>
            </w:r>
          </w:p>
        </w:tc>
        <w:tc>
          <w:tcPr>
            <w:tcW w:w="802" w:type="dxa"/>
            <w:tcBorders>
              <w:top w:val="single" w:sz="4" w:space="0" w:color="000000"/>
              <w:left w:val="single" w:sz="12" w:space="0" w:color="000000"/>
              <w:bottom w:val="single" w:sz="12" w:space="0" w:color="000000"/>
              <w:right w:val="single" w:sz="12" w:space="0" w:color="000000"/>
            </w:tcBorders>
          </w:tcPr>
          <w:p w14:paraId="6FD9EFDA" w14:textId="7E7D2F18" w:rsidR="000A75F9" w:rsidRPr="00EB3079" w:rsidRDefault="000A75F9" w:rsidP="00C2295D">
            <w:pPr>
              <w:spacing w:after="0" w:line="259" w:lineRule="auto"/>
              <w:ind w:left="0" w:right="0" w:firstLine="0"/>
              <w:jc w:val="center"/>
              <w:rPr>
                <w:bCs/>
              </w:rPr>
            </w:pPr>
            <w:r w:rsidRPr="00EB3079">
              <w:rPr>
                <w:bCs/>
                <w:sz w:val="18"/>
              </w:rPr>
              <w:t>515.1</w:t>
            </w:r>
          </w:p>
        </w:tc>
        <w:tc>
          <w:tcPr>
            <w:tcW w:w="1440" w:type="dxa"/>
            <w:tcBorders>
              <w:top w:val="single" w:sz="4" w:space="0" w:color="000000"/>
              <w:left w:val="single" w:sz="12" w:space="0" w:color="000000"/>
              <w:bottom w:val="single" w:sz="12" w:space="0" w:color="000000"/>
              <w:right w:val="single" w:sz="12" w:space="0" w:color="000000"/>
            </w:tcBorders>
          </w:tcPr>
          <w:p w14:paraId="16D37795" w14:textId="2384A541" w:rsidR="000A75F9" w:rsidRDefault="000A75F9" w:rsidP="00C2295D">
            <w:pPr>
              <w:spacing w:after="0" w:line="259" w:lineRule="auto"/>
              <w:ind w:left="0" w:right="0" w:firstLine="0"/>
              <w:jc w:val="center"/>
            </w:pPr>
            <w:r>
              <w:rPr>
                <w:sz w:val="18"/>
              </w:rPr>
              <w:t>515.2</w:t>
            </w:r>
            <w:r w:rsidR="00040E56">
              <w:rPr>
                <w:sz w:val="18"/>
              </w:rPr>
              <w:t xml:space="preserve">, </w:t>
            </w:r>
            <w:r>
              <w:rPr>
                <w:sz w:val="18"/>
              </w:rPr>
              <w:t>515.3</w:t>
            </w:r>
            <w:r w:rsidR="00040E56">
              <w:rPr>
                <w:sz w:val="18"/>
              </w:rPr>
              <w:t xml:space="preserve">, </w:t>
            </w:r>
            <w:r>
              <w:rPr>
                <w:sz w:val="18"/>
              </w:rPr>
              <w:t>555</w:t>
            </w:r>
          </w:p>
        </w:tc>
      </w:tr>
    </w:tbl>
    <w:p w14:paraId="30BED93C" w14:textId="77777777" w:rsidR="00C45BC7" w:rsidRDefault="00C45BC7">
      <w:pPr>
        <w:spacing w:after="0" w:line="259" w:lineRule="auto"/>
        <w:ind w:left="0" w:right="0" w:firstLine="0"/>
      </w:pPr>
    </w:p>
    <w:p w14:paraId="229EF4F7" w14:textId="77777777" w:rsidR="005A4BC3" w:rsidRDefault="005A4BC3">
      <w:pPr>
        <w:spacing w:after="0" w:line="259" w:lineRule="auto"/>
        <w:ind w:left="0" w:right="0" w:firstLine="0"/>
      </w:pPr>
    </w:p>
    <w:p w14:paraId="67AC139A" w14:textId="77777777" w:rsidR="005A4BC3" w:rsidRDefault="005A4BC3">
      <w:pPr>
        <w:spacing w:after="0" w:line="259" w:lineRule="auto"/>
        <w:ind w:left="0" w:right="0" w:firstLine="0"/>
      </w:pPr>
    </w:p>
    <w:p w14:paraId="09318F82" w14:textId="77777777" w:rsidR="00CE7F62" w:rsidRDefault="00CE7F62">
      <w:pPr>
        <w:spacing w:after="0" w:line="259" w:lineRule="auto"/>
        <w:ind w:left="0" w:right="0" w:firstLine="0"/>
      </w:pPr>
    </w:p>
    <w:p w14:paraId="2AE068F5" w14:textId="77777777" w:rsidR="00CE7F62" w:rsidRDefault="00CE7F62">
      <w:pPr>
        <w:spacing w:after="0" w:line="259" w:lineRule="auto"/>
        <w:ind w:left="0" w:right="0" w:firstLine="0"/>
      </w:pPr>
    </w:p>
    <w:p w14:paraId="69C9D2C1" w14:textId="77777777" w:rsidR="00CE7F62" w:rsidRDefault="00CE7F62">
      <w:pPr>
        <w:spacing w:after="0" w:line="259" w:lineRule="auto"/>
        <w:ind w:left="0" w:right="0" w:firstLine="0"/>
      </w:pPr>
    </w:p>
    <w:p w14:paraId="2AE57B7F" w14:textId="77777777" w:rsidR="00CE7F62" w:rsidRDefault="00CE7F62">
      <w:pPr>
        <w:spacing w:after="0" w:line="259" w:lineRule="auto"/>
        <w:ind w:left="0" w:right="0" w:firstLine="0"/>
      </w:pPr>
    </w:p>
    <w:tbl>
      <w:tblPr>
        <w:tblStyle w:val="TableGrid1"/>
        <w:tblW w:w="10530" w:type="dxa"/>
        <w:tblInd w:w="-375" w:type="dxa"/>
        <w:tblCellMar>
          <w:top w:w="24" w:type="dxa"/>
          <w:left w:w="72" w:type="dxa"/>
          <w:right w:w="27" w:type="dxa"/>
        </w:tblCellMar>
        <w:tblLook w:val="04A0" w:firstRow="1" w:lastRow="0" w:firstColumn="1" w:lastColumn="0" w:noHBand="0" w:noVBand="1"/>
      </w:tblPr>
      <w:tblGrid>
        <w:gridCol w:w="3405"/>
        <w:gridCol w:w="1172"/>
        <w:gridCol w:w="880"/>
        <w:gridCol w:w="878"/>
        <w:gridCol w:w="880"/>
        <w:gridCol w:w="1073"/>
        <w:gridCol w:w="802"/>
        <w:gridCol w:w="720"/>
        <w:gridCol w:w="720"/>
      </w:tblGrid>
      <w:tr w:rsidR="00B56D50" w14:paraId="0F6CFB79" w14:textId="77777777" w:rsidTr="00C23B62">
        <w:trPr>
          <w:trHeight w:val="269"/>
          <w:tblHeader/>
        </w:trPr>
        <w:tc>
          <w:tcPr>
            <w:tcW w:w="10530" w:type="dxa"/>
            <w:gridSpan w:val="9"/>
            <w:tcBorders>
              <w:top w:val="single" w:sz="12" w:space="0" w:color="000000"/>
              <w:left w:val="single" w:sz="12" w:space="0" w:color="000000"/>
              <w:bottom w:val="single" w:sz="12" w:space="0" w:color="000000"/>
              <w:right w:val="single" w:sz="12" w:space="0" w:color="000000"/>
            </w:tcBorders>
            <w:vAlign w:val="center"/>
          </w:tcPr>
          <w:p w14:paraId="4CFFE124" w14:textId="0E24209A" w:rsidR="0076286F" w:rsidRPr="0076286F" w:rsidRDefault="001C3C42" w:rsidP="005B1E44">
            <w:pPr>
              <w:spacing w:after="0" w:line="259" w:lineRule="auto"/>
              <w:ind w:left="43" w:right="0" w:firstLine="0"/>
              <w:rPr>
                <w:sz w:val="18"/>
                <w:szCs w:val="18"/>
              </w:rPr>
            </w:pPr>
            <w:r>
              <w:rPr>
                <w:b/>
                <w:sz w:val="18"/>
              </w:rPr>
              <w:lastRenderedPageBreak/>
              <w:t>Drinking Water SAS Group I</w:t>
            </w:r>
            <w:proofErr w:type="gramStart"/>
            <w:r>
              <w:rPr>
                <w:b/>
                <w:sz w:val="18"/>
              </w:rPr>
              <w:t>:</w:t>
            </w:r>
            <w:r>
              <w:rPr>
                <w:sz w:val="18"/>
              </w:rPr>
              <w:t xml:space="preserve">  </w:t>
            </w:r>
            <w:r>
              <w:rPr>
                <w:b/>
                <w:sz w:val="18"/>
              </w:rPr>
              <w:t>N</w:t>
            </w:r>
            <w:proofErr w:type="gramEnd"/>
            <w:r>
              <w:rPr>
                <w:b/>
                <w:sz w:val="18"/>
              </w:rPr>
              <w:t>-</w:t>
            </w:r>
            <w:proofErr w:type="spellStart"/>
            <w:r>
              <w:rPr>
                <w:b/>
                <w:sz w:val="18"/>
              </w:rPr>
              <w:t>Methylcarbamoyloxime</w:t>
            </w:r>
            <w:proofErr w:type="spellEnd"/>
            <w:r>
              <w:rPr>
                <w:b/>
                <w:sz w:val="18"/>
              </w:rPr>
              <w:t xml:space="preserve"> and N-Methyl-Carbamate Pesticides</w:t>
            </w:r>
            <w:r>
              <w:rPr>
                <w:sz w:val="18"/>
              </w:rPr>
              <w:t xml:space="preserve"> </w:t>
            </w:r>
          </w:p>
        </w:tc>
      </w:tr>
      <w:tr w:rsidR="00B56D50" w14:paraId="7CC11144" w14:textId="77777777" w:rsidTr="00C23B62">
        <w:trPr>
          <w:trHeight w:val="271"/>
          <w:tblHeader/>
        </w:trPr>
        <w:tc>
          <w:tcPr>
            <w:tcW w:w="3405" w:type="dxa"/>
            <w:vMerge w:val="restart"/>
            <w:tcBorders>
              <w:top w:val="single" w:sz="12" w:space="0" w:color="000000"/>
              <w:left w:val="single" w:sz="12" w:space="0" w:color="000000"/>
              <w:bottom w:val="single" w:sz="12" w:space="0" w:color="000000"/>
              <w:right w:val="single" w:sz="12" w:space="0" w:color="000000"/>
            </w:tcBorders>
            <w:vAlign w:val="center"/>
          </w:tcPr>
          <w:p w14:paraId="62F7F8D1" w14:textId="5D38FDD4" w:rsidR="00B56D50" w:rsidRDefault="001C3C42" w:rsidP="005B1E44">
            <w:pPr>
              <w:spacing w:after="0" w:line="259" w:lineRule="auto"/>
              <w:ind w:left="0" w:right="49" w:firstLine="0"/>
              <w:jc w:val="center"/>
            </w:pPr>
            <w:r>
              <w:rPr>
                <w:b/>
                <w:sz w:val="18"/>
              </w:rPr>
              <w:t>Analyte</w:t>
            </w:r>
          </w:p>
        </w:tc>
        <w:tc>
          <w:tcPr>
            <w:tcW w:w="1172" w:type="dxa"/>
            <w:vMerge w:val="restart"/>
            <w:tcBorders>
              <w:top w:val="single" w:sz="12" w:space="0" w:color="000000"/>
              <w:left w:val="single" w:sz="12" w:space="0" w:color="000000"/>
              <w:bottom w:val="single" w:sz="12" w:space="0" w:color="000000"/>
              <w:right w:val="single" w:sz="12" w:space="0" w:color="000000"/>
            </w:tcBorders>
            <w:vAlign w:val="center"/>
          </w:tcPr>
          <w:p w14:paraId="5E115C0A" w14:textId="6E6E95A4" w:rsidR="00B56D50" w:rsidRDefault="001C3C42" w:rsidP="005B1E44">
            <w:pPr>
              <w:spacing w:after="0" w:line="259" w:lineRule="auto"/>
              <w:ind w:left="0" w:right="0" w:firstLine="0"/>
              <w:jc w:val="center"/>
            </w:pPr>
            <w:r>
              <w:rPr>
                <w:b/>
                <w:sz w:val="18"/>
              </w:rPr>
              <w:t>CAS Number</w:t>
            </w:r>
          </w:p>
        </w:tc>
        <w:tc>
          <w:tcPr>
            <w:tcW w:w="1758" w:type="dxa"/>
            <w:gridSpan w:val="2"/>
            <w:tcBorders>
              <w:top w:val="single" w:sz="12" w:space="0" w:color="000000"/>
              <w:left w:val="single" w:sz="12" w:space="0" w:color="000000"/>
              <w:bottom w:val="single" w:sz="12" w:space="0" w:color="000000"/>
              <w:right w:val="single" w:sz="12" w:space="0" w:color="000000"/>
            </w:tcBorders>
            <w:vAlign w:val="center"/>
          </w:tcPr>
          <w:p w14:paraId="5B04DDF9" w14:textId="236F9670" w:rsidR="00B56D50" w:rsidRDefault="001C3C42" w:rsidP="005B1E44">
            <w:pPr>
              <w:spacing w:after="0" w:line="259" w:lineRule="auto"/>
              <w:ind w:left="0" w:right="47" w:firstLine="0"/>
              <w:jc w:val="center"/>
            </w:pPr>
            <w:r>
              <w:rPr>
                <w:b/>
                <w:sz w:val="18"/>
              </w:rPr>
              <w:t>Aqueous</w:t>
            </w:r>
          </w:p>
        </w:tc>
        <w:tc>
          <w:tcPr>
            <w:tcW w:w="1953" w:type="dxa"/>
            <w:gridSpan w:val="2"/>
            <w:tcBorders>
              <w:top w:val="single" w:sz="12" w:space="0" w:color="000000"/>
              <w:left w:val="single" w:sz="12" w:space="0" w:color="000000"/>
              <w:bottom w:val="single" w:sz="12" w:space="0" w:color="000000"/>
              <w:right w:val="single" w:sz="12" w:space="0" w:color="000000"/>
            </w:tcBorders>
            <w:vAlign w:val="center"/>
          </w:tcPr>
          <w:p w14:paraId="64C47A56" w14:textId="3345C7E3" w:rsidR="00B56D50" w:rsidRPr="00EE5045" w:rsidRDefault="000D7292" w:rsidP="005B1E44">
            <w:pPr>
              <w:spacing w:after="0" w:line="259" w:lineRule="auto"/>
              <w:ind w:left="0" w:right="0" w:firstLine="0"/>
              <w:jc w:val="center"/>
              <w:rPr>
                <w:b/>
                <w:bCs/>
                <w:sz w:val="18"/>
                <w:szCs w:val="18"/>
              </w:rPr>
            </w:pPr>
            <w:r w:rsidRPr="00EE5045">
              <w:rPr>
                <w:b/>
                <w:bCs/>
                <w:sz w:val="18"/>
                <w:szCs w:val="18"/>
              </w:rPr>
              <w:t>Soil/Sediment</w:t>
            </w:r>
          </w:p>
        </w:tc>
        <w:tc>
          <w:tcPr>
            <w:tcW w:w="2242" w:type="dxa"/>
            <w:gridSpan w:val="3"/>
            <w:vMerge w:val="restart"/>
            <w:tcBorders>
              <w:top w:val="single" w:sz="12" w:space="0" w:color="000000"/>
              <w:left w:val="single" w:sz="12" w:space="0" w:color="000000"/>
              <w:bottom w:val="single" w:sz="12" w:space="0" w:color="000000"/>
              <w:right w:val="single" w:sz="12" w:space="0" w:color="000000"/>
            </w:tcBorders>
            <w:vAlign w:val="center"/>
          </w:tcPr>
          <w:p w14:paraId="6096301F" w14:textId="74D95FED" w:rsidR="00B56D50" w:rsidRDefault="001C3C42" w:rsidP="005B1E44">
            <w:pPr>
              <w:spacing w:after="0" w:line="259" w:lineRule="auto"/>
              <w:ind w:left="0" w:right="50" w:firstLine="0"/>
              <w:jc w:val="center"/>
            </w:pPr>
            <w:r>
              <w:rPr>
                <w:b/>
                <w:sz w:val="18"/>
              </w:rPr>
              <w:t>Acceptable Methods</w:t>
            </w:r>
          </w:p>
        </w:tc>
      </w:tr>
      <w:tr w:rsidR="00C84A5D" w14:paraId="4ECBE7E5" w14:textId="77777777" w:rsidTr="00C23B62">
        <w:trPr>
          <w:trHeight w:val="269"/>
          <w:tblHeader/>
        </w:trPr>
        <w:tc>
          <w:tcPr>
            <w:tcW w:w="3405" w:type="dxa"/>
            <w:vMerge/>
            <w:tcBorders>
              <w:top w:val="nil"/>
              <w:left w:val="single" w:sz="12" w:space="0" w:color="000000"/>
              <w:bottom w:val="single" w:sz="12" w:space="0" w:color="000000"/>
              <w:right w:val="single" w:sz="12" w:space="0" w:color="000000"/>
            </w:tcBorders>
            <w:vAlign w:val="center"/>
          </w:tcPr>
          <w:p w14:paraId="15C04F26" w14:textId="77777777" w:rsidR="00B56D50" w:rsidRDefault="00B56D50" w:rsidP="005B1E44">
            <w:pPr>
              <w:spacing w:after="160" w:line="259" w:lineRule="auto"/>
              <w:ind w:left="0" w:right="0" w:firstLine="0"/>
              <w:jc w:val="center"/>
            </w:pPr>
          </w:p>
        </w:tc>
        <w:tc>
          <w:tcPr>
            <w:tcW w:w="0" w:type="auto"/>
            <w:vMerge/>
            <w:tcBorders>
              <w:top w:val="nil"/>
              <w:left w:val="single" w:sz="12" w:space="0" w:color="000000"/>
              <w:bottom w:val="single" w:sz="12" w:space="0" w:color="000000"/>
              <w:right w:val="single" w:sz="12" w:space="0" w:color="000000"/>
            </w:tcBorders>
            <w:vAlign w:val="center"/>
          </w:tcPr>
          <w:p w14:paraId="0DA91895" w14:textId="77777777" w:rsidR="00B56D50" w:rsidRDefault="00B56D50" w:rsidP="005B1E44">
            <w:pPr>
              <w:spacing w:after="160" w:line="259" w:lineRule="auto"/>
              <w:ind w:left="0" w:right="0" w:firstLine="0"/>
              <w:jc w:val="center"/>
            </w:pPr>
          </w:p>
        </w:tc>
        <w:tc>
          <w:tcPr>
            <w:tcW w:w="880" w:type="dxa"/>
            <w:tcBorders>
              <w:top w:val="single" w:sz="12" w:space="0" w:color="000000"/>
              <w:left w:val="single" w:sz="12" w:space="0" w:color="000000"/>
              <w:bottom w:val="single" w:sz="12" w:space="0" w:color="000000"/>
              <w:right w:val="single" w:sz="12" w:space="0" w:color="000000"/>
            </w:tcBorders>
            <w:vAlign w:val="center"/>
          </w:tcPr>
          <w:p w14:paraId="2B20D350" w14:textId="5241F52B" w:rsidR="00B56D50" w:rsidRDefault="001C3C42" w:rsidP="005B1E44">
            <w:pPr>
              <w:spacing w:after="0" w:line="259" w:lineRule="auto"/>
              <w:ind w:left="0" w:right="50" w:firstLine="0"/>
              <w:jc w:val="center"/>
            </w:pPr>
            <w:r>
              <w:rPr>
                <w:b/>
                <w:sz w:val="18"/>
              </w:rPr>
              <w:t>RL</w:t>
            </w:r>
          </w:p>
        </w:tc>
        <w:tc>
          <w:tcPr>
            <w:tcW w:w="878" w:type="dxa"/>
            <w:tcBorders>
              <w:top w:val="single" w:sz="12" w:space="0" w:color="000000"/>
              <w:left w:val="single" w:sz="12" w:space="0" w:color="000000"/>
              <w:bottom w:val="single" w:sz="12" w:space="0" w:color="000000"/>
              <w:right w:val="single" w:sz="12" w:space="0" w:color="000000"/>
            </w:tcBorders>
            <w:vAlign w:val="center"/>
          </w:tcPr>
          <w:p w14:paraId="25576CF8" w14:textId="47674604" w:rsidR="00B56D50" w:rsidRDefault="001C3C42" w:rsidP="005B1E44">
            <w:pPr>
              <w:spacing w:after="0" w:line="259" w:lineRule="auto"/>
              <w:ind w:left="0" w:right="55" w:firstLine="0"/>
              <w:jc w:val="center"/>
            </w:pPr>
            <w:r>
              <w:rPr>
                <w:b/>
                <w:sz w:val="18"/>
              </w:rPr>
              <w:t>units</w:t>
            </w:r>
          </w:p>
        </w:tc>
        <w:tc>
          <w:tcPr>
            <w:tcW w:w="880" w:type="dxa"/>
            <w:tcBorders>
              <w:top w:val="single" w:sz="12" w:space="0" w:color="000000"/>
              <w:left w:val="single" w:sz="12" w:space="0" w:color="000000"/>
              <w:bottom w:val="single" w:sz="12" w:space="0" w:color="000000"/>
              <w:right w:val="single" w:sz="12" w:space="0" w:color="000000"/>
            </w:tcBorders>
            <w:vAlign w:val="center"/>
          </w:tcPr>
          <w:p w14:paraId="25FC35D2" w14:textId="5FF5E7A9" w:rsidR="00B56D50" w:rsidRDefault="001C3C42" w:rsidP="005B1E44">
            <w:pPr>
              <w:spacing w:after="0" w:line="259" w:lineRule="auto"/>
              <w:ind w:left="0" w:right="50" w:firstLine="0"/>
              <w:jc w:val="center"/>
            </w:pPr>
            <w:r>
              <w:rPr>
                <w:b/>
                <w:sz w:val="18"/>
              </w:rPr>
              <w:t>RL</w:t>
            </w:r>
          </w:p>
        </w:tc>
        <w:tc>
          <w:tcPr>
            <w:tcW w:w="1073" w:type="dxa"/>
            <w:tcBorders>
              <w:top w:val="single" w:sz="12" w:space="0" w:color="000000"/>
              <w:left w:val="single" w:sz="12" w:space="0" w:color="000000"/>
              <w:bottom w:val="single" w:sz="12" w:space="0" w:color="000000"/>
              <w:right w:val="single" w:sz="12" w:space="0" w:color="000000"/>
            </w:tcBorders>
            <w:vAlign w:val="center"/>
          </w:tcPr>
          <w:p w14:paraId="57A976F4" w14:textId="77C520EC" w:rsidR="00B56D50" w:rsidRDefault="001C3C42" w:rsidP="005B1E44">
            <w:pPr>
              <w:spacing w:after="0" w:line="259" w:lineRule="auto"/>
              <w:ind w:left="0" w:right="52" w:firstLine="0"/>
              <w:jc w:val="center"/>
            </w:pPr>
            <w:r>
              <w:rPr>
                <w:b/>
                <w:sz w:val="18"/>
              </w:rPr>
              <w:t>units</w:t>
            </w:r>
          </w:p>
        </w:tc>
        <w:tc>
          <w:tcPr>
            <w:tcW w:w="2242" w:type="dxa"/>
            <w:gridSpan w:val="3"/>
            <w:vMerge/>
            <w:tcBorders>
              <w:top w:val="nil"/>
              <w:left w:val="single" w:sz="12" w:space="0" w:color="000000"/>
              <w:bottom w:val="single" w:sz="12" w:space="0" w:color="000000"/>
              <w:right w:val="single" w:sz="12" w:space="0" w:color="000000"/>
            </w:tcBorders>
            <w:vAlign w:val="center"/>
          </w:tcPr>
          <w:p w14:paraId="1B455B4A" w14:textId="77777777" w:rsidR="00B56D50" w:rsidRDefault="00B56D50" w:rsidP="005B1E44">
            <w:pPr>
              <w:spacing w:after="160" w:line="259" w:lineRule="auto"/>
              <w:ind w:left="0" w:right="0" w:firstLine="0"/>
              <w:jc w:val="center"/>
            </w:pPr>
          </w:p>
        </w:tc>
      </w:tr>
      <w:tr w:rsidR="000A75F9" w14:paraId="06CBBD0F" w14:textId="77777777" w:rsidTr="00C23B62">
        <w:trPr>
          <w:trHeight w:val="262"/>
        </w:trPr>
        <w:tc>
          <w:tcPr>
            <w:tcW w:w="3405" w:type="dxa"/>
            <w:tcBorders>
              <w:top w:val="single" w:sz="12" w:space="0" w:color="000000"/>
              <w:left w:val="single" w:sz="12" w:space="0" w:color="000000"/>
              <w:bottom w:val="single" w:sz="4" w:space="0" w:color="000000"/>
              <w:right w:val="single" w:sz="12" w:space="0" w:color="000000"/>
            </w:tcBorders>
          </w:tcPr>
          <w:p w14:paraId="7F8C1700" w14:textId="77777777" w:rsidR="000A75F9" w:rsidRDefault="000A75F9" w:rsidP="000A75F9">
            <w:pPr>
              <w:spacing w:after="0" w:line="259" w:lineRule="auto"/>
              <w:ind w:left="2" w:right="0" w:firstLine="0"/>
            </w:pPr>
            <w:r>
              <w:rPr>
                <w:sz w:val="18"/>
              </w:rPr>
              <w:t xml:space="preserve">Aldicarb </w:t>
            </w:r>
          </w:p>
        </w:tc>
        <w:tc>
          <w:tcPr>
            <w:tcW w:w="1172" w:type="dxa"/>
            <w:tcBorders>
              <w:top w:val="single" w:sz="12" w:space="0" w:color="000000"/>
              <w:left w:val="single" w:sz="12" w:space="0" w:color="000000"/>
              <w:bottom w:val="single" w:sz="4" w:space="0" w:color="000000"/>
              <w:right w:val="single" w:sz="12" w:space="0" w:color="000000"/>
            </w:tcBorders>
          </w:tcPr>
          <w:p w14:paraId="3C5B60E6" w14:textId="0EFC62E9" w:rsidR="000A75F9" w:rsidRDefault="000A75F9" w:rsidP="00F55369">
            <w:pPr>
              <w:spacing w:after="0" w:line="259" w:lineRule="auto"/>
              <w:ind w:left="0" w:right="44" w:firstLine="0"/>
              <w:jc w:val="center"/>
            </w:pPr>
            <w:r>
              <w:rPr>
                <w:sz w:val="18"/>
              </w:rPr>
              <w:t>116-06-3</w:t>
            </w:r>
          </w:p>
        </w:tc>
        <w:tc>
          <w:tcPr>
            <w:tcW w:w="880" w:type="dxa"/>
            <w:tcBorders>
              <w:top w:val="single" w:sz="12" w:space="0" w:color="000000"/>
              <w:left w:val="single" w:sz="12" w:space="0" w:color="000000"/>
              <w:bottom w:val="single" w:sz="4" w:space="0" w:color="000000"/>
              <w:right w:val="single" w:sz="12" w:space="0" w:color="000000"/>
            </w:tcBorders>
          </w:tcPr>
          <w:p w14:paraId="18A121D0" w14:textId="036B3A39" w:rsidR="000A75F9" w:rsidRDefault="000A75F9" w:rsidP="00F55369">
            <w:pPr>
              <w:tabs>
                <w:tab w:val="center" w:pos="354"/>
              </w:tabs>
              <w:spacing w:after="0" w:line="259" w:lineRule="auto"/>
              <w:ind w:left="0" w:right="0" w:firstLine="0"/>
              <w:jc w:val="center"/>
            </w:pPr>
            <w:r>
              <w:rPr>
                <w:sz w:val="18"/>
              </w:rPr>
              <w:t>3</w:t>
            </w:r>
          </w:p>
        </w:tc>
        <w:tc>
          <w:tcPr>
            <w:tcW w:w="878" w:type="dxa"/>
            <w:tcBorders>
              <w:top w:val="single" w:sz="12" w:space="0" w:color="000000"/>
              <w:left w:val="single" w:sz="12" w:space="0" w:color="000000"/>
              <w:bottom w:val="single" w:sz="4" w:space="0" w:color="000000"/>
              <w:right w:val="single" w:sz="12" w:space="0" w:color="000000"/>
            </w:tcBorders>
          </w:tcPr>
          <w:p w14:paraId="789ADC43" w14:textId="43A54B50" w:rsidR="000A75F9" w:rsidRDefault="000A75F9" w:rsidP="00F55369">
            <w:pPr>
              <w:spacing w:after="0" w:line="259" w:lineRule="auto"/>
              <w:ind w:left="0" w:right="46" w:firstLine="0"/>
              <w:jc w:val="center"/>
            </w:pPr>
            <w:r>
              <w:rPr>
                <w:sz w:val="18"/>
              </w:rPr>
              <w:t>ug/L</w:t>
            </w:r>
          </w:p>
        </w:tc>
        <w:tc>
          <w:tcPr>
            <w:tcW w:w="880" w:type="dxa"/>
            <w:tcBorders>
              <w:top w:val="single" w:sz="12" w:space="0" w:color="000000"/>
              <w:left w:val="single" w:sz="12" w:space="0" w:color="000000"/>
              <w:bottom w:val="single" w:sz="4" w:space="0" w:color="000000"/>
              <w:right w:val="single" w:sz="12" w:space="0" w:color="000000"/>
            </w:tcBorders>
          </w:tcPr>
          <w:p w14:paraId="6800DCEA" w14:textId="37471527" w:rsidR="000A75F9" w:rsidRDefault="000A75F9" w:rsidP="00F55369">
            <w:pPr>
              <w:spacing w:after="0" w:line="259" w:lineRule="auto"/>
              <w:ind w:left="0" w:right="47" w:firstLine="0"/>
              <w:jc w:val="center"/>
            </w:pPr>
            <w:r>
              <w:rPr>
                <w:sz w:val="18"/>
              </w:rPr>
              <w:t>N/A</w:t>
            </w:r>
          </w:p>
        </w:tc>
        <w:tc>
          <w:tcPr>
            <w:tcW w:w="1073" w:type="dxa"/>
            <w:tcBorders>
              <w:top w:val="single" w:sz="12" w:space="0" w:color="000000"/>
              <w:left w:val="single" w:sz="12" w:space="0" w:color="000000"/>
              <w:bottom w:val="single" w:sz="4" w:space="0" w:color="000000"/>
              <w:right w:val="single" w:sz="12" w:space="0" w:color="000000"/>
            </w:tcBorders>
          </w:tcPr>
          <w:p w14:paraId="0427F07A" w14:textId="3D0351E2" w:rsidR="000A75F9" w:rsidRDefault="000A75F9" w:rsidP="00F55369">
            <w:pPr>
              <w:spacing w:after="0" w:line="259" w:lineRule="auto"/>
              <w:ind w:left="0" w:right="42" w:firstLine="0"/>
              <w:jc w:val="center"/>
            </w:pPr>
            <w:r>
              <w:rPr>
                <w:sz w:val="18"/>
              </w:rPr>
              <w:t>N/A</w:t>
            </w:r>
          </w:p>
        </w:tc>
        <w:tc>
          <w:tcPr>
            <w:tcW w:w="802" w:type="dxa"/>
            <w:tcBorders>
              <w:top w:val="single" w:sz="12" w:space="0" w:color="000000"/>
              <w:left w:val="single" w:sz="12" w:space="0" w:color="000000"/>
              <w:bottom w:val="single" w:sz="4" w:space="0" w:color="000000"/>
              <w:right w:val="single" w:sz="12" w:space="0" w:color="000000"/>
            </w:tcBorders>
            <w:vAlign w:val="center"/>
          </w:tcPr>
          <w:p w14:paraId="0B412847" w14:textId="43692757" w:rsidR="000A75F9" w:rsidRPr="00EB3079" w:rsidRDefault="000A75F9" w:rsidP="00497E51">
            <w:pPr>
              <w:spacing w:after="0" w:line="259" w:lineRule="auto"/>
              <w:ind w:left="41" w:right="0" w:firstLine="0"/>
              <w:jc w:val="center"/>
              <w:rPr>
                <w:bCs/>
              </w:rPr>
            </w:pPr>
            <w:r w:rsidRPr="00EB3079">
              <w:rPr>
                <w:bCs/>
                <w:sz w:val="18"/>
              </w:rPr>
              <w:t>531.1</w:t>
            </w:r>
          </w:p>
        </w:tc>
        <w:tc>
          <w:tcPr>
            <w:tcW w:w="720" w:type="dxa"/>
            <w:tcBorders>
              <w:top w:val="single" w:sz="12" w:space="0" w:color="000000"/>
              <w:left w:val="single" w:sz="12" w:space="0" w:color="000000"/>
              <w:bottom w:val="single" w:sz="4" w:space="0" w:color="000000"/>
              <w:right w:val="single" w:sz="12" w:space="0" w:color="000000"/>
            </w:tcBorders>
          </w:tcPr>
          <w:p w14:paraId="5DB2E8DC" w14:textId="3416FF16" w:rsidR="000A75F9" w:rsidRDefault="000A75F9" w:rsidP="00F55369">
            <w:pPr>
              <w:spacing w:after="0" w:line="259" w:lineRule="auto"/>
              <w:ind w:left="0" w:right="0" w:firstLine="0"/>
              <w:jc w:val="center"/>
            </w:pPr>
          </w:p>
        </w:tc>
        <w:tc>
          <w:tcPr>
            <w:tcW w:w="720" w:type="dxa"/>
            <w:tcBorders>
              <w:top w:val="single" w:sz="12" w:space="0" w:color="000000"/>
              <w:left w:val="single" w:sz="12" w:space="0" w:color="000000"/>
              <w:bottom w:val="single" w:sz="4" w:space="0" w:color="000000"/>
              <w:right w:val="single" w:sz="12" w:space="0" w:color="000000"/>
            </w:tcBorders>
          </w:tcPr>
          <w:p w14:paraId="339C1B30" w14:textId="7144B798" w:rsidR="000A75F9" w:rsidRDefault="000A75F9" w:rsidP="00F55369">
            <w:pPr>
              <w:spacing w:after="0" w:line="259" w:lineRule="auto"/>
              <w:ind w:left="0" w:right="0" w:firstLine="0"/>
              <w:jc w:val="center"/>
            </w:pPr>
          </w:p>
        </w:tc>
      </w:tr>
      <w:tr w:rsidR="000A75F9" w14:paraId="000C4B5D" w14:textId="77777777" w:rsidTr="00C23B62">
        <w:trPr>
          <w:trHeight w:val="250"/>
        </w:trPr>
        <w:tc>
          <w:tcPr>
            <w:tcW w:w="3405" w:type="dxa"/>
            <w:tcBorders>
              <w:top w:val="single" w:sz="4" w:space="0" w:color="000000"/>
              <w:left w:val="single" w:sz="12" w:space="0" w:color="000000"/>
              <w:bottom w:val="single" w:sz="4" w:space="0" w:color="000000"/>
              <w:right w:val="single" w:sz="12" w:space="0" w:color="000000"/>
            </w:tcBorders>
          </w:tcPr>
          <w:p w14:paraId="512099E7" w14:textId="77777777" w:rsidR="000A75F9" w:rsidRDefault="000A75F9" w:rsidP="000A75F9">
            <w:pPr>
              <w:spacing w:after="0" w:line="259" w:lineRule="auto"/>
              <w:ind w:left="2" w:right="0" w:firstLine="0"/>
            </w:pPr>
            <w:r>
              <w:rPr>
                <w:sz w:val="18"/>
              </w:rPr>
              <w:t xml:space="preserve">Aldicarb Sulfone  </w:t>
            </w:r>
          </w:p>
        </w:tc>
        <w:tc>
          <w:tcPr>
            <w:tcW w:w="1172" w:type="dxa"/>
            <w:tcBorders>
              <w:top w:val="single" w:sz="4" w:space="0" w:color="000000"/>
              <w:left w:val="single" w:sz="12" w:space="0" w:color="000000"/>
              <w:bottom w:val="single" w:sz="4" w:space="0" w:color="000000"/>
              <w:right w:val="single" w:sz="12" w:space="0" w:color="000000"/>
            </w:tcBorders>
          </w:tcPr>
          <w:p w14:paraId="6ABD0842" w14:textId="744442CB" w:rsidR="000A75F9" w:rsidRDefault="000A75F9" w:rsidP="00F55369">
            <w:pPr>
              <w:spacing w:after="0" w:line="259" w:lineRule="auto"/>
              <w:ind w:left="0" w:right="44" w:firstLine="0"/>
              <w:jc w:val="center"/>
            </w:pPr>
            <w:r>
              <w:rPr>
                <w:sz w:val="18"/>
              </w:rPr>
              <w:t>1646-88-4</w:t>
            </w:r>
          </w:p>
        </w:tc>
        <w:tc>
          <w:tcPr>
            <w:tcW w:w="880" w:type="dxa"/>
            <w:tcBorders>
              <w:top w:val="single" w:sz="4" w:space="0" w:color="000000"/>
              <w:left w:val="single" w:sz="12" w:space="0" w:color="000000"/>
              <w:bottom w:val="single" w:sz="4" w:space="0" w:color="000000"/>
              <w:right w:val="single" w:sz="12" w:space="0" w:color="000000"/>
            </w:tcBorders>
          </w:tcPr>
          <w:p w14:paraId="70F2C7E8" w14:textId="79C35A42" w:rsidR="000A75F9" w:rsidRDefault="000A75F9" w:rsidP="00F55369">
            <w:pPr>
              <w:tabs>
                <w:tab w:val="center" w:pos="354"/>
              </w:tabs>
              <w:spacing w:after="0" w:line="259" w:lineRule="auto"/>
              <w:ind w:left="0" w:right="0" w:firstLine="0"/>
              <w:jc w:val="center"/>
            </w:pPr>
            <w:r>
              <w:rPr>
                <w:sz w:val="18"/>
              </w:rPr>
              <w:t>3</w:t>
            </w:r>
          </w:p>
        </w:tc>
        <w:tc>
          <w:tcPr>
            <w:tcW w:w="878" w:type="dxa"/>
            <w:tcBorders>
              <w:top w:val="single" w:sz="4" w:space="0" w:color="000000"/>
              <w:left w:val="single" w:sz="12" w:space="0" w:color="000000"/>
              <w:bottom w:val="single" w:sz="4" w:space="0" w:color="000000"/>
              <w:right w:val="single" w:sz="12" w:space="0" w:color="000000"/>
            </w:tcBorders>
          </w:tcPr>
          <w:p w14:paraId="2CEBF9C1" w14:textId="566A8133" w:rsidR="000A75F9" w:rsidRDefault="000A75F9" w:rsidP="00F55369">
            <w:pPr>
              <w:spacing w:after="0" w:line="259" w:lineRule="auto"/>
              <w:ind w:left="0" w:right="46" w:firstLine="0"/>
              <w:jc w:val="center"/>
            </w:pPr>
            <w:r>
              <w:rPr>
                <w:sz w:val="18"/>
              </w:rPr>
              <w:t>ug/L</w:t>
            </w:r>
          </w:p>
        </w:tc>
        <w:tc>
          <w:tcPr>
            <w:tcW w:w="880" w:type="dxa"/>
            <w:tcBorders>
              <w:top w:val="single" w:sz="4" w:space="0" w:color="000000"/>
              <w:left w:val="single" w:sz="12" w:space="0" w:color="000000"/>
              <w:bottom w:val="single" w:sz="4" w:space="0" w:color="000000"/>
              <w:right w:val="single" w:sz="12" w:space="0" w:color="000000"/>
            </w:tcBorders>
          </w:tcPr>
          <w:p w14:paraId="73D93F4C" w14:textId="4EEB58AB" w:rsidR="000A75F9" w:rsidRDefault="000A75F9" w:rsidP="00F55369">
            <w:pPr>
              <w:spacing w:after="0" w:line="259" w:lineRule="auto"/>
              <w:ind w:left="0" w:right="47" w:firstLine="0"/>
              <w:jc w:val="center"/>
            </w:pPr>
            <w:r>
              <w:rPr>
                <w:sz w:val="18"/>
              </w:rPr>
              <w:t>N/A</w:t>
            </w:r>
          </w:p>
        </w:tc>
        <w:tc>
          <w:tcPr>
            <w:tcW w:w="1073" w:type="dxa"/>
            <w:tcBorders>
              <w:top w:val="single" w:sz="4" w:space="0" w:color="000000"/>
              <w:left w:val="single" w:sz="12" w:space="0" w:color="000000"/>
              <w:bottom w:val="single" w:sz="4" w:space="0" w:color="000000"/>
              <w:right w:val="single" w:sz="12" w:space="0" w:color="000000"/>
            </w:tcBorders>
          </w:tcPr>
          <w:p w14:paraId="705E2CCF" w14:textId="35B57B7A" w:rsidR="000A75F9" w:rsidRDefault="000A75F9" w:rsidP="00F55369">
            <w:pPr>
              <w:spacing w:after="0" w:line="259" w:lineRule="auto"/>
              <w:ind w:left="0" w:right="42" w:firstLine="0"/>
              <w:jc w:val="center"/>
            </w:pPr>
            <w:r>
              <w:rPr>
                <w:sz w:val="18"/>
              </w:rPr>
              <w:t>N/A</w:t>
            </w:r>
          </w:p>
        </w:tc>
        <w:tc>
          <w:tcPr>
            <w:tcW w:w="802" w:type="dxa"/>
            <w:tcBorders>
              <w:top w:val="single" w:sz="4" w:space="0" w:color="000000"/>
              <w:left w:val="single" w:sz="12" w:space="0" w:color="000000"/>
              <w:bottom w:val="single" w:sz="4" w:space="0" w:color="000000"/>
              <w:right w:val="single" w:sz="12" w:space="0" w:color="000000"/>
            </w:tcBorders>
            <w:vAlign w:val="center"/>
          </w:tcPr>
          <w:p w14:paraId="67E9F81C" w14:textId="0E4ECB9E" w:rsidR="000A75F9" w:rsidRPr="00EB3079" w:rsidRDefault="000A75F9" w:rsidP="00497E51">
            <w:pPr>
              <w:spacing w:after="0" w:line="259" w:lineRule="auto"/>
              <w:ind w:left="41" w:right="0" w:firstLine="0"/>
              <w:jc w:val="center"/>
              <w:rPr>
                <w:bCs/>
              </w:rPr>
            </w:pPr>
            <w:r w:rsidRPr="00EB3079">
              <w:rPr>
                <w:bCs/>
                <w:sz w:val="18"/>
              </w:rPr>
              <w:t>531.1</w:t>
            </w:r>
          </w:p>
        </w:tc>
        <w:tc>
          <w:tcPr>
            <w:tcW w:w="720" w:type="dxa"/>
            <w:tcBorders>
              <w:top w:val="single" w:sz="4" w:space="0" w:color="000000"/>
              <w:left w:val="single" w:sz="12" w:space="0" w:color="000000"/>
              <w:bottom w:val="single" w:sz="4" w:space="0" w:color="000000"/>
              <w:right w:val="single" w:sz="12" w:space="0" w:color="000000"/>
            </w:tcBorders>
          </w:tcPr>
          <w:p w14:paraId="15E02E34" w14:textId="7FE62D22" w:rsidR="000A75F9" w:rsidRDefault="000A75F9" w:rsidP="00F55369">
            <w:pPr>
              <w:spacing w:after="0" w:line="259" w:lineRule="auto"/>
              <w:ind w:left="0" w:right="0" w:firstLine="0"/>
              <w:jc w:val="center"/>
            </w:pPr>
          </w:p>
        </w:tc>
        <w:tc>
          <w:tcPr>
            <w:tcW w:w="720" w:type="dxa"/>
            <w:tcBorders>
              <w:top w:val="single" w:sz="4" w:space="0" w:color="000000"/>
              <w:left w:val="single" w:sz="12" w:space="0" w:color="000000"/>
              <w:bottom w:val="single" w:sz="4" w:space="0" w:color="000000"/>
              <w:right w:val="single" w:sz="12" w:space="0" w:color="000000"/>
            </w:tcBorders>
          </w:tcPr>
          <w:p w14:paraId="5459472C" w14:textId="3C5E6F28" w:rsidR="000A75F9" w:rsidRDefault="000A75F9" w:rsidP="00F55369">
            <w:pPr>
              <w:spacing w:after="0" w:line="259" w:lineRule="auto"/>
              <w:ind w:left="0" w:right="0" w:firstLine="0"/>
              <w:jc w:val="center"/>
            </w:pPr>
          </w:p>
        </w:tc>
      </w:tr>
      <w:tr w:rsidR="000A75F9" w14:paraId="56E7B69D" w14:textId="77777777" w:rsidTr="00C23B62">
        <w:trPr>
          <w:trHeight w:val="250"/>
        </w:trPr>
        <w:tc>
          <w:tcPr>
            <w:tcW w:w="3405" w:type="dxa"/>
            <w:tcBorders>
              <w:top w:val="single" w:sz="4" w:space="0" w:color="000000"/>
              <w:left w:val="single" w:sz="12" w:space="0" w:color="000000"/>
              <w:bottom w:val="single" w:sz="4" w:space="0" w:color="000000"/>
              <w:right w:val="single" w:sz="12" w:space="0" w:color="000000"/>
            </w:tcBorders>
          </w:tcPr>
          <w:p w14:paraId="72B3E33B" w14:textId="77777777" w:rsidR="000A75F9" w:rsidRDefault="000A75F9" w:rsidP="000A75F9">
            <w:pPr>
              <w:spacing w:after="0" w:line="259" w:lineRule="auto"/>
              <w:ind w:left="2" w:right="0" w:firstLine="0"/>
            </w:pPr>
            <w:r>
              <w:rPr>
                <w:sz w:val="18"/>
              </w:rPr>
              <w:t xml:space="preserve">Aldicarb Sulfoxide  </w:t>
            </w:r>
          </w:p>
        </w:tc>
        <w:tc>
          <w:tcPr>
            <w:tcW w:w="1172" w:type="dxa"/>
            <w:tcBorders>
              <w:top w:val="single" w:sz="4" w:space="0" w:color="000000"/>
              <w:left w:val="single" w:sz="12" w:space="0" w:color="000000"/>
              <w:bottom w:val="single" w:sz="4" w:space="0" w:color="000000"/>
              <w:right w:val="single" w:sz="12" w:space="0" w:color="000000"/>
            </w:tcBorders>
          </w:tcPr>
          <w:p w14:paraId="7A215454" w14:textId="0DDB2A79" w:rsidR="000A75F9" w:rsidRDefault="000A75F9" w:rsidP="00F55369">
            <w:pPr>
              <w:spacing w:after="0" w:line="259" w:lineRule="auto"/>
              <w:ind w:left="0" w:right="44" w:firstLine="0"/>
              <w:jc w:val="center"/>
            </w:pPr>
            <w:r>
              <w:rPr>
                <w:sz w:val="18"/>
              </w:rPr>
              <w:t>1646-87-3</w:t>
            </w:r>
          </w:p>
        </w:tc>
        <w:tc>
          <w:tcPr>
            <w:tcW w:w="880" w:type="dxa"/>
            <w:tcBorders>
              <w:top w:val="single" w:sz="4" w:space="0" w:color="000000"/>
              <w:left w:val="single" w:sz="12" w:space="0" w:color="000000"/>
              <w:bottom w:val="single" w:sz="4" w:space="0" w:color="000000"/>
              <w:right w:val="single" w:sz="12" w:space="0" w:color="000000"/>
            </w:tcBorders>
          </w:tcPr>
          <w:p w14:paraId="6BAD18C4" w14:textId="2BF92EBD" w:rsidR="000A75F9" w:rsidRDefault="000A75F9" w:rsidP="00F55369">
            <w:pPr>
              <w:tabs>
                <w:tab w:val="center" w:pos="354"/>
              </w:tabs>
              <w:spacing w:after="0" w:line="259" w:lineRule="auto"/>
              <w:ind w:left="0" w:right="0" w:firstLine="0"/>
              <w:jc w:val="center"/>
            </w:pPr>
            <w:r>
              <w:rPr>
                <w:sz w:val="18"/>
              </w:rPr>
              <w:t>3</w:t>
            </w:r>
          </w:p>
        </w:tc>
        <w:tc>
          <w:tcPr>
            <w:tcW w:w="878" w:type="dxa"/>
            <w:tcBorders>
              <w:top w:val="single" w:sz="4" w:space="0" w:color="000000"/>
              <w:left w:val="single" w:sz="12" w:space="0" w:color="000000"/>
              <w:bottom w:val="single" w:sz="4" w:space="0" w:color="000000"/>
              <w:right w:val="single" w:sz="12" w:space="0" w:color="000000"/>
            </w:tcBorders>
          </w:tcPr>
          <w:p w14:paraId="6A9C19F3" w14:textId="1182C6C7" w:rsidR="000A75F9" w:rsidRDefault="000A75F9" w:rsidP="00F55369">
            <w:pPr>
              <w:spacing w:after="0" w:line="259" w:lineRule="auto"/>
              <w:ind w:left="0" w:right="46" w:firstLine="0"/>
              <w:jc w:val="center"/>
            </w:pPr>
            <w:r>
              <w:rPr>
                <w:sz w:val="18"/>
              </w:rPr>
              <w:t>ug/L</w:t>
            </w:r>
          </w:p>
        </w:tc>
        <w:tc>
          <w:tcPr>
            <w:tcW w:w="880" w:type="dxa"/>
            <w:tcBorders>
              <w:top w:val="single" w:sz="4" w:space="0" w:color="000000"/>
              <w:left w:val="single" w:sz="12" w:space="0" w:color="000000"/>
              <w:bottom w:val="single" w:sz="4" w:space="0" w:color="000000"/>
              <w:right w:val="single" w:sz="12" w:space="0" w:color="000000"/>
            </w:tcBorders>
          </w:tcPr>
          <w:p w14:paraId="019C7E23" w14:textId="61108A05" w:rsidR="000A75F9" w:rsidRDefault="000A75F9" w:rsidP="00F55369">
            <w:pPr>
              <w:spacing w:after="0" w:line="259" w:lineRule="auto"/>
              <w:ind w:left="0" w:right="47" w:firstLine="0"/>
              <w:jc w:val="center"/>
            </w:pPr>
            <w:r>
              <w:rPr>
                <w:sz w:val="18"/>
              </w:rPr>
              <w:t>N/A</w:t>
            </w:r>
          </w:p>
        </w:tc>
        <w:tc>
          <w:tcPr>
            <w:tcW w:w="1073" w:type="dxa"/>
            <w:tcBorders>
              <w:top w:val="single" w:sz="4" w:space="0" w:color="000000"/>
              <w:left w:val="single" w:sz="12" w:space="0" w:color="000000"/>
              <w:bottom w:val="single" w:sz="4" w:space="0" w:color="000000"/>
              <w:right w:val="single" w:sz="12" w:space="0" w:color="000000"/>
            </w:tcBorders>
          </w:tcPr>
          <w:p w14:paraId="6B9FA5AE" w14:textId="528BD7D4" w:rsidR="000A75F9" w:rsidRDefault="000A75F9" w:rsidP="00F55369">
            <w:pPr>
              <w:spacing w:after="0" w:line="259" w:lineRule="auto"/>
              <w:ind w:left="0" w:right="42" w:firstLine="0"/>
              <w:jc w:val="center"/>
            </w:pPr>
            <w:r>
              <w:rPr>
                <w:sz w:val="18"/>
              </w:rPr>
              <w:t>N/A</w:t>
            </w:r>
          </w:p>
        </w:tc>
        <w:tc>
          <w:tcPr>
            <w:tcW w:w="802" w:type="dxa"/>
            <w:tcBorders>
              <w:top w:val="single" w:sz="4" w:space="0" w:color="000000"/>
              <w:left w:val="single" w:sz="12" w:space="0" w:color="000000"/>
              <w:bottom w:val="single" w:sz="4" w:space="0" w:color="000000"/>
              <w:right w:val="single" w:sz="12" w:space="0" w:color="000000"/>
            </w:tcBorders>
            <w:vAlign w:val="center"/>
          </w:tcPr>
          <w:p w14:paraId="66A4016A" w14:textId="59E3BD13" w:rsidR="000A75F9" w:rsidRPr="00EB3079" w:rsidRDefault="000A75F9" w:rsidP="00497E51">
            <w:pPr>
              <w:spacing w:after="0" w:line="259" w:lineRule="auto"/>
              <w:ind w:left="41" w:right="0" w:firstLine="0"/>
              <w:jc w:val="center"/>
              <w:rPr>
                <w:bCs/>
              </w:rPr>
            </w:pPr>
            <w:r w:rsidRPr="00EB3079">
              <w:rPr>
                <w:bCs/>
                <w:sz w:val="18"/>
              </w:rPr>
              <w:t>531.1</w:t>
            </w:r>
          </w:p>
        </w:tc>
        <w:tc>
          <w:tcPr>
            <w:tcW w:w="720" w:type="dxa"/>
            <w:tcBorders>
              <w:top w:val="single" w:sz="4" w:space="0" w:color="000000"/>
              <w:left w:val="single" w:sz="12" w:space="0" w:color="000000"/>
              <w:bottom w:val="single" w:sz="4" w:space="0" w:color="000000"/>
              <w:right w:val="single" w:sz="12" w:space="0" w:color="000000"/>
            </w:tcBorders>
          </w:tcPr>
          <w:p w14:paraId="3CD738F8" w14:textId="10D972AC" w:rsidR="000A75F9" w:rsidRDefault="000A75F9" w:rsidP="00F55369">
            <w:pPr>
              <w:spacing w:after="0" w:line="259" w:lineRule="auto"/>
              <w:ind w:left="0" w:right="0" w:firstLine="0"/>
              <w:jc w:val="center"/>
            </w:pPr>
          </w:p>
        </w:tc>
        <w:tc>
          <w:tcPr>
            <w:tcW w:w="720" w:type="dxa"/>
            <w:tcBorders>
              <w:top w:val="single" w:sz="4" w:space="0" w:color="000000"/>
              <w:left w:val="single" w:sz="12" w:space="0" w:color="000000"/>
              <w:bottom w:val="single" w:sz="4" w:space="0" w:color="000000"/>
              <w:right w:val="single" w:sz="12" w:space="0" w:color="000000"/>
            </w:tcBorders>
          </w:tcPr>
          <w:p w14:paraId="27B1466E" w14:textId="0110F220" w:rsidR="000A75F9" w:rsidRDefault="000A75F9" w:rsidP="00F55369">
            <w:pPr>
              <w:spacing w:after="0" w:line="259" w:lineRule="auto"/>
              <w:ind w:left="0" w:right="0" w:firstLine="0"/>
              <w:jc w:val="center"/>
            </w:pPr>
          </w:p>
        </w:tc>
      </w:tr>
      <w:tr w:rsidR="000A75F9" w14:paraId="59F8FFD6" w14:textId="77777777" w:rsidTr="00C23B62">
        <w:trPr>
          <w:trHeight w:val="250"/>
        </w:trPr>
        <w:tc>
          <w:tcPr>
            <w:tcW w:w="3405" w:type="dxa"/>
            <w:tcBorders>
              <w:top w:val="single" w:sz="4" w:space="0" w:color="000000"/>
              <w:left w:val="single" w:sz="12" w:space="0" w:color="000000"/>
              <w:bottom w:val="single" w:sz="4" w:space="0" w:color="000000"/>
              <w:right w:val="single" w:sz="12" w:space="0" w:color="000000"/>
            </w:tcBorders>
          </w:tcPr>
          <w:p w14:paraId="125577E9" w14:textId="75DBC327" w:rsidR="000A75F9" w:rsidRDefault="000A75F9" w:rsidP="000A75F9">
            <w:pPr>
              <w:spacing w:after="0" w:line="259" w:lineRule="auto"/>
              <w:ind w:left="2" w:right="0" w:firstLine="0"/>
            </w:pPr>
            <w:proofErr w:type="spellStart"/>
            <w:r>
              <w:rPr>
                <w:sz w:val="18"/>
              </w:rPr>
              <w:t>Baygon</w:t>
            </w:r>
            <w:proofErr w:type="spellEnd"/>
            <w:r>
              <w:rPr>
                <w:sz w:val="18"/>
              </w:rPr>
              <w:t xml:space="preserve"> </w:t>
            </w:r>
            <w:r>
              <w:rPr>
                <w:i/>
                <w:sz w:val="18"/>
              </w:rPr>
              <w:t>(Propoxur)</w:t>
            </w:r>
            <w:r>
              <w:rPr>
                <w:sz w:val="18"/>
              </w:rPr>
              <w:t xml:space="preserve"> </w:t>
            </w:r>
          </w:p>
        </w:tc>
        <w:tc>
          <w:tcPr>
            <w:tcW w:w="1172" w:type="dxa"/>
            <w:tcBorders>
              <w:top w:val="single" w:sz="4" w:space="0" w:color="000000"/>
              <w:left w:val="single" w:sz="12" w:space="0" w:color="000000"/>
              <w:bottom w:val="single" w:sz="4" w:space="0" w:color="000000"/>
              <w:right w:val="single" w:sz="12" w:space="0" w:color="000000"/>
            </w:tcBorders>
          </w:tcPr>
          <w:p w14:paraId="73E5D512" w14:textId="02256D9A" w:rsidR="000A75F9" w:rsidRDefault="000A75F9" w:rsidP="00F55369">
            <w:pPr>
              <w:spacing w:after="0" w:line="259" w:lineRule="auto"/>
              <w:ind w:left="0" w:right="44" w:firstLine="0"/>
              <w:jc w:val="center"/>
            </w:pPr>
            <w:r>
              <w:rPr>
                <w:sz w:val="18"/>
              </w:rPr>
              <w:t>114-26-1</w:t>
            </w:r>
          </w:p>
        </w:tc>
        <w:tc>
          <w:tcPr>
            <w:tcW w:w="880" w:type="dxa"/>
            <w:tcBorders>
              <w:top w:val="single" w:sz="4" w:space="0" w:color="000000"/>
              <w:left w:val="single" w:sz="12" w:space="0" w:color="000000"/>
              <w:bottom w:val="single" w:sz="4" w:space="0" w:color="000000"/>
              <w:right w:val="single" w:sz="12" w:space="0" w:color="000000"/>
            </w:tcBorders>
          </w:tcPr>
          <w:p w14:paraId="532C12EB" w14:textId="70EA545B" w:rsidR="000A75F9" w:rsidRDefault="000A75F9" w:rsidP="00F55369">
            <w:pPr>
              <w:tabs>
                <w:tab w:val="center" w:pos="308"/>
              </w:tabs>
              <w:spacing w:after="0" w:line="259" w:lineRule="auto"/>
              <w:ind w:left="0" w:right="0" w:firstLine="0"/>
              <w:jc w:val="center"/>
            </w:pPr>
            <w:r>
              <w:rPr>
                <w:sz w:val="18"/>
              </w:rPr>
              <w:t>10</w:t>
            </w:r>
          </w:p>
        </w:tc>
        <w:tc>
          <w:tcPr>
            <w:tcW w:w="878" w:type="dxa"/>
            <w:tcBorders>
              <w:top w:val="single" w:sz="4" w:space="0" w:color="000000"/>
              <w:left w:val="single" w:sz="12" w:space="0" w:color="000000"/>
              <w:bottom w:val="single" w:sz="4" w:space="0" w:color="000000"/>
              <w:right w:val="single" w:sz="12" w:space="0" w:color="000000"/>
            </w:tcBorders>
          </w:tcPr>
          <w:p w14:paraId="5CDE931E" w14:textId="68B3213A" w:rsidR="000A75F9" w:rsidRDefault="000A75F9" w:rsidP="00F55369">
            <w:pPr>
              <w:spacing w:after="0" w:line="259" w:lineRule="auto"/>
              <w:ind w:left="0" w:right="46" w:firstLine="0"/>
              <w:jc w:val="center"/>
            </w:pPr>
            <w:r>
              <w:rPr>
                <w:sz w:val="18"/>
              </w:rPr>
              <w:t>ug/L</w:t>
            </w:r>
          </w:p>
        </w:tc>
        <w:tc>
          <w:tcPr>
            <w:tcW w:w="880" w:type="dxa"/>
            <w:tcBorders>
              <w:top w:val="single" w:sz="4" w:space="0" w:color="000000"/>
              <w:left w:val="single" w:sz="12" w:space="0" w:color="000000"/>
              <w:bottom w:val="single" w:sz="4" w:space="0" w:color="000000"/>
              <w:right w:val="single" w:sz="12" w:space="0" w:color="000000"/>
            </w:tcBorders>
          </w:tcPr>
          <w:p w14:paraId="61BEC641" w14:textId="3B0E8A75" w:rsidR="000A75F9" w:rsidRDefault="000A75F9" w:rsidP="00F55369">
            <w:pPr>
              <w:spacing w:after="0" w:line="259" w:lineRule="auto"/>
              <w:ind w:left="0" w:right="47" w:firstLine="0"/>
              <w:jc w:val="center"/>
            </w:pPr>
            <w:r>
              <w:rPr>
                <w:sz w:val="18"/>
              </w:rPr>
              <w:t>N/A</w:t>
            </w:r>
          </w:p>
        </w:tc>
        <w:tc>
          <w:tcPr>
            <w:tcW w:w="1073" w:type="dxa"/>
            <w:tcBorders>
              <w:top w:val="single" w:sz="4" w:space="0" w:color="000000"/>
              <w:left w:val="single" w:sz="12" w:space="0" w:color="000000"/>
              <w:bottom w:val="single" w:sz="4" w:space="0" w:color="000000"/>
              <w:right w:val="single" w:sz="12" w:space="0" w:color="000000"/>
            </w:tcBorders>
          </w:tcPr>
          <w:p w14:paraId="6EC89C14" w14:textId="37E282EC" w:rsidR="000A75F9" w:rsidRDefault="000A75F9" w:rsidP="00F55369">
            <w:pPr>
              <w:spacing w:after="0" w:line="259" w:lineRule="auto"/>
              <w:ind w:left="0" w:right="42" w:firstLine="0"/>
              <w:jc w:val="center"/>
            </w:pPr>
            <w:r>
              <w:rPr>
                <w:sz w:val="18"/>
              </w:rPr>
              <w:t>N/A</w:t>
            </w:r>
          </w:p>
        </w:tc>
        <w:tc>
          <w:tcPr>
            <w:tcW w:w="802" w:type="dxa"/>
            <w:tcBorders>
              <w:top w:val="single" w:sz="4" w:space="0" w:color="000000"/>
              <w:left w:val="single" w:sz="12" w:space="0" w:color="000000"/>
              <w:bottom w:val="single" w:sz="4" w:space="0" w:color="000000"/>
              <w:right w:val="single" w:sz="12" w:space="0" w:color="000000"/>
            </w:tcBorders>
            <w:vAlign w:val="center"/>
          </w:tcPr>
          <w:p w14:paraId="21189DC2" w14:textId="07C5581A" w:rsidR="000A75F9" w:rsidRPr="00EB3079" w:rsidRDefault="000A75F9" w:rsidP="00497E51">
            <w:pPr>
              <w:spacing w:after="0" w:line="259" w:lineRule="auto"/>
              <w:ind w:left="41" w:right="0" w:firstLine="0"/>
              <w:jc w:val="center"/>
              <w:rPr>
                <w:bCs/>
              </w:rPr>
            </w:pPr>
            <w:r w:rsidRPr="00EB3079">
              <w:rPr>
                <w:bCs/>
                <w:sz w:val="18"/>
              </w:rPr>
              <w:t>531.1</w:t>
            </w:r>
          </w:p>
        </w:tc>
        <w:tc>
          <w:tcPr>
            <w:tcW w:w="720" w:type="dxa"/>
            <w:tcBorders>
              <w:top w:val="single" w:sz="4" w:space="0" w:color="000000"/>
              <w:left w:val="single" w:sz="12" w:space="0" w:color="000000"/>
              <w:bottom w:val="single" w:sz="4" w:space="0" w:color="000000"/>
              <w:right w:val="single" w:sz="12" w:space="0" w:color="000000"/>
            </w:tcBorders>
          </w:tcPr>
          <w:p w14:paraId="4868E3EF" w14:textId="38D1920C" w:rsidR="000A75F9" w:rsidRDefault="000A75F9" w:rsidP="00F55369">
            <w:pPr>
              <w:spacing w:after="0" w:line="259" w:lineRule="auto"/>
              <w:ind w:left="0" w:right="46" w:firstLine="0"/>
              <w:jc w:val="center"/>
            </w:pPr>
            <w:r>
              <w:rPr>
                <w:sz w:val="18"/>
              </w:rPr>
              <w:t>632</w:t>
            </w:r>
          </w:p>
        </w:tc>
        <w:tc>
          <w:tcPr>
            <w:tcW w:w="720" w:type="dxa"/>
            <w:tcBorders>
              <w:top w:val="single" w:sz="4" w:space="0" w:color="000000"/>
              <w:left w:val="single" w:sz="12" w:space="0" w:color="000000"/>
              <w:bottom w:val="single" w:sz="4" w:space="0" w:color="000000"/>
              <w:right w:val="single" w:sz="12" w:space="0" w:color="000000"/>
            </w:tcBorders>
          </w:tcPr>
          <w:p w14:paraId="7AFD1419" w14:textId="5ADC9D77" w:rsidR="000A75F9" w:rsidRDefault="000A75F9" w:rsidP="00F55369">
            <w:pPr>
              <w:spacing w:after="0" w:line="259" w:lineRule="auto"/>
              <w:ind w:left="0" w:right="0" w:firstLine="0"/>
              <w:jc w:val="center"/>
            </w:pPr>
          </w:p>
        </w:tc>
      </w:tr>
      <w:tr w:rsidR="000A75F9" w14:paraId="637E947D" w14:textId="77777777" w:rsidTr="00C23B62">
        <w:trPr>
          <w:trHeight w:val="250"/>
        </w:trPr>
        <w:tc>
          <w:tcPr>
            <w:tcW w:w="3405" w:type="dxa"/>
            <w:tcBorders>
              <w:top w:val="single" w:sz="4" w:space="0" w:color="000000"/>
              <w:left w:val="single" w:sz="12" w:space="0" w:color="000000"/>
              <w:bottom w:val="single" w:sz="4" w:space="0" w:color="000000"/>
              <w:right w:val="single" w:sz="12" w:space="0" w:color="000000"/>
            </w:tcBorders>
          </w:tcPr>
          <w:p w14:paraId="407B9F37" w14:textId="7FD4C04B" w:rsidR="000A75F9" w:rsidRDefault="000A75F9" w:rsidP="000A75F9">
            <w:pPr>
              <w:spacing w:after="0" w:line="259" w:lineRule="auto"/>
              <w:ind w:left="2" w:right="0" w:firstLine="0"/>
            </w:pPr>
            <w:r>
              <w:rPr>
                <w:sz w:val="18"/>
              </w:rPr>
              <w:t>Carbaryl (</w:t>
            </w:r>
            <w:r>
              <w:rPr>
                <w:i/>
                <w:sz w:val="18"/>
              </w:rPr>
              <w:t xml:space="preserve">Sevin) </w:t>
            </w:r>
          </w:p>
        </w:tc>
        <w:tc>
          <w:tcPr>
            <w:tcW w:w="1172" w:type="dxa"/>
            <w:tcBorders>
              <w:top w:val="single" w:sz="4" w:space="0" w:color="000000"/>
              <w:left w:val="single" w:sz="12" w:space="0" w:color="000000"/>
              <w:bottom w:val="single" w:sz="4" w:space="0" w:color="000000"/>
              <w:right w:val="single" w:sz="12" w:space="0" w:color="000000"/>
            </w:tcBorders>
          </w:tcPr>
          <w:p w14:paraId="6197DF17" w14:textId="5C91C687" w:rsidR="000A75F9" w:rsidRDefault="000A75F9" w:rsidP="00F55369">
            <w:pPr>
              <w:spacing w:after="0" w:line="259" w:lineRule="auto"/>
              <w:ind w:left="0" w:right="44" w:firstLine="0"/>
              <w:jc w:val="center"/>
            </w:pPr>
            <w:r>
              <w:rPr>
                <w:sz w:val="18"/>
              </w:rPr>
              <w:t>63-25-2</w:t>
            </w:r>
          </w:p>
        </w:tc>
        <w:tc>
          <w:tcPr>
            <w:tcW w:w="880" w:type="dxa"/>
            <w:tcBorders>
              <w:top w:val="single" w:sz="4" w:space="0" w:color="000000"/>
              <w:left w:val="single" w:sz="12" w:space="0" w:color="000000"/>
              <w:bottom w:val="single" w:sz="4" w:space="0" w:color="000000"/>
              <w:right w:val="single" w:sz="12" w:space="0" w:color="000000"/>
            </w:tcBorders>
          </w:tcPr>
          <w:p w14:paraId="1A565498" w14:textId="5F7A2340" w:rsidR="000A75F9" w:rsidRDefault="000A75F9" w:rsidP="00F55369">
            <w:pPr>
              <w:tabs>
                <w:tab w:val="center" w:pos="308"/>
              </w:tabs>
              <w:spacing w:after="0" w:line="259" w:lineRule="auto"/>
              <w:ind w:left="0" w:right="0" w:firstLine="0"/>
              <w:jc w:val="center"/>
            </w:pPr>
            <w:r>
              <w:rPr>
                <w:sz w:val="18"/>
              </w:rPr>
              <w:t>10</w:t>
            </w:r>
          </w:p>
        </w:tc>
        <w:tc>
          <w:tcPr>
            <w:tcW w:w="878" w:type="dxa"/>
            <w:tcBorders>
              <w:top w:val="single" w:sz="4" w:space="0" w:color="000000"/>
              <w:left w:val="single" w:sz="12" w:space="0" w:color="000000"/>
              <w:bottom w:val="single" w:sz="4" w:space="0" w:color="000000"/>
              <w:right w:val="single" w:sz="12" w:space="0" w:color="000000"/>
            </w:tcBorders>
          </w:tcPr>
          <w:p w14:paraId="7CF7F985" w14:textId="6BA731E7" w:rsidR="000A75F9" w:rsidRDefault="000A75F9" w:rsidP="00F55369">
            <w:pPr>
              <w:spacing w:after="0" w:line="259" w:lineRule="auto"/>
              <w:ind w:left="0" w:right="46" w:firstLine="0"/>
              <w:jc w:val="center"/>
            </w:pPr>
            <w:r>
              <w:rPr>
                <w:sz w:val="18"/>
              </w:rPr>
              <w:t>ug/L</w:t>
            </w:r>
          </w:p>
        </w:tc>
        <w:tc>
          <w:tcPr>
            <w:tcW w:w="880" w:type="dxa"/>
            <w:tcBorders>
              <w:top w:val="single" w:sz="4" w:space="0" w:color="000000"/>
              <w:left w:val="single" w:sz="12" w:space="0" w:color="000000"/>
              <w:bottom w:val="single" w:sz="4" w:space="0" w:color="000000"/>
              <w:right w:val="single" w:sz="12" w:space="0" w:color="000000"/>
            </w:tcBorders>
          </w:tcPr>
          <w:p w14:paraId="502C6D42" w14:textId="08325B17" w:rsidR="000A75F9" w:rsidRDefault="000A75F9" w:rsidP="00F55369">
            <w:pPr>
              <w:spacing w:after="0" w:line="259" w:lineRule="auto"/>
              <w:ind w:left="0" w:right="47" w:firstLine="0"/>
              <w:jc w:val="center"/>
            </w:pPr>
            <w:r>
              <w:rPr>
                <w:sz w:val="18"/>
              </w:rPr>
              <w:t>N/A</w:t>
            </w:r>
          </w:p>
        </w:tc>
        <w:tc>
          <w:tcPr>
            <w:tcW w:w="1073" w:type="dxa"/>
            <w:tcBorders>
              <w:top w:val="single" w:sz="4" w:space="0" w:color="000000"/>
              <w:left w:val="single" w:sz="12" w:space="0" w:color="000000"/>
              <w:bottom w:val="single" w:sz="4" w:space="0" w:color="000000"/>
              <w:right w:val="single" w:sz="12" w:space="0" w:color="000000"/>
            </w:tcBorders>
          </w:tcPr>
          <w:p w14:paraId="53686640" w14:textId="0EDD31B0" w:rsidR="000A75F9" w:rsidRDefault="000A75F9" w:rsidP="00F55369">
            <w:pPr>
              <w:spacing w:after="0" w:line="259" w:lineRule="auto"/>
              <w:ind w:left="0" w:right="42" w:firstLine="0"/>
              <w:jc w:val="center"/>
            </w:pPr>
            <w:r>
              <w:rPr>
                <w:sz w:val="18"/>
              </w:rPr>
              <w:t>N/A</w:t>
            </w:r>
          </w:p>
        </w:tc>
        <w:tc>
          <w:tcPr>
            <w:tcW w:w="802" w:type="dxa"/>
            <w:tcBorders>
              <w:top w:val="single" w:sz="4" w:space="0" w:color="000000"/>
              <w:left w:val="single" w:sz="12" w:space="0" w:color="000000"/>
              <w:bottom w:val="single" w:sz="4" w:space="0" w:color="000000"/>
              <w:right w:val="single" w:sz="12" w:space="0" w:color="000000"/>
            </w:tcBorders>
            <w:vAlign w:val="center"/>
          </w:tcPr>
          <w:p w14:paraId="672786F4" w14:textId="56C7E67B" w:rsidR="000A75F9" w:rsidRPr="00EB3079" w:rsidRDefault="000A75F9" w:rsidP="00497E51">
            <w:pPr>
              <w:spacing w:after="0" w:line="259" w:lineRule="auto"/>
              <w:ind w:left="41" w:right="0" w:firstLine="0"/>
              <w:jc w:val="center"/>
              <w:rPr>
                <w:bCs/>
              </w:rPr>
            </w:pPr>
            <w:r w:rsidRPr="00EB3079">
              <w:rPr>
                <w:bCs/>
                <w:sz w:val="18"/>
              </w:rPr>
              <w:t>531.1</w:t>
            </w:r>
          </w:p>
        </w:tc>
        <w:tc>
          <w:tcPr>
            <w:tcW w:w="720" w:type="dxa"/>
            <w:tcBorders>
              <w:top w:val="single" w:sz="4" w:space="0" w:color="000000"/>
              <w:left w:val="single" w:sz="12" w:space="0" w:color="000000"/>
              <w:bottom w:val="single" w:sz="4" w:space="0" w:color="000000"/>
              <w:right w:val="single" w:sz="12" w:space="0" w:color="000000"/>
            </w:tcBorders>
          </w:tcPr>
          <w:p w14:paraId="72713972" w14:textId="4DE1E9B4" w:rsidR="000A75F9" w:rsidRDefault="000A75F9" w:rsidP="00F55369">
            <w:pPr>
              <w:spacing w:after="0" w:line="259" w:lineRule="auto"/>
              <w:ind w:left="0" w:right="46" w:firstLine="0"/>
              <w:jc w:val="center"/>
            </w:pPr>
            <w:r>
              <w:rPr>
                <w:sz w:val="18"/>
              </w:rPr>
              <w:t>632</w:t>
            </w:r>
          </w:p>
        </w:tc>
        <w:tc>
          <w:tcPr>
            <w:tcW w:w="720" w:type="dxa"/>
            <w:tcBorders>
              <w:top w:val="single" w:sz="4" w:space="0" w:color="000000"/>
              <w:left w:val="single" w:sz="12" w:space="0" w:color="000000"/>
              <w:bottom w:val="single" w:sz="4" w:space="0" w:color="000000"/>
              <w:right w:val="single" w:sz="12" w:space="0" w:color="000000"/>
            </w:tcBorders>
          </w:tcPr>
          <w:p w14:paraId="7CB5BF73" w14:textId="6ECF833E" w:rsidR="000A75F9" w:rsidRDefault="000A75F9" w:rsidP="00F55369">
            <w:pPr>
              <w:spacing w:after="0" w:line="259" w:lineRule="auto"/>
              <w:ind w:left="0" w:right="0" w:firstLine="0"/>
              <w:jc w:val="center"/>
            </w:pPr>
          </w:p>
        </w:tc>
      </w:tr>
      <w:tr w:rsidR="000A75F9" w14:paraId="6249E079" w14:textId="77777777" w:rsidTr="00C23B62">
        <w:trPr>
          <w:trHeight w:val="250"/>
        </w:trPr>
        <w:tc>
          <w:tcPr>
            <w:tcW w:w="3405" w:type="dxa"/>
            <w:tcBorders>
              <w:top w:val="single" w:sz="4" w:space="0" w:color="000000"/>
              <w:left w:val="single" w:sz="12" w:space="0" w:color="000000"/>
              <w:bottom w:val="single" w:sz="4" w:space="0" w:color="000000"/>
              <w:right w:val="single" w:sz="12" w:space="0" w:color="000000"/>
            </w:tcBorders>
          </w:tcPr>
          <w:p w14:paraId="0A13670A" w14:textId="3B7D19D5" w:rsidR="000A75F9" w:rsidRDefault="000A75F9" w:rsidP="000A75F9">
            <w:pPr>
              <w:spacing w:after="0" w:line="259" w:lineRule="auto"/>
              <w:ind w:left="2" w:right="0" w:firstLine="0"/>
            </w:pPr>
            <w:r>
              <w:rPr>
                <w:sz w:val="18"/>
              </w:rPr>
              <w:t>Carbofuran (</w:t>
            </w:r>
            <w:proofErr w:type="spellStart"/>
            <w:r>
              <w:rPr>
                <w:i/>
                <w:sz w:val="18"/>
              </w:rPr>
              <w:t>Furadan</w:t>
            </w:r>
            <w:proofErr w:type="spellEnd"/>
            <w:r>
              <w:rPr>
                <w:i/>
                <w:sz w:val="18"/>
              </w:rPr>
              <w:t xml:space="preserve">) </w:t>
            </w:r>
          </w:p>
        </w:tc>
        <w:tc>
          <w:tcPr>
            <w:tcW w:w="1172" w:type="dxa"/>
            <w:tcBorders>
              <w:top w:val="single" w:sz="4" w:space="0" w:color="000000"/>
              <w:left w:val="single" w:sz="12" w:space="0" w:color="000000"/>
              <w:bottom w:val="single" w:sz="4" w:space="0" w:color="000000"/>
              <w:right w:val="single" w:sz="12" w:space="0" w:color="000000"/>
            </w:tcBorders>
          </w:tcPr>
          <w:p w14:paraId="2564A621" w14:textId="29EACE19" w:rsidR="000A75F9" w:rsidRDefault="000A75F9" w:rsidP="00F55369">
            <w:pPr>
              <w:spacing w:after="0" w:line="259" w:lineRule="auto"/>
              <w:ind w:left="0" w:right="44" w:firstLine="0"/>
              <w:jc w:val="center"/>
            </w:pPr>
            <w:r>
              <w:rPr>
                <w:sz w:val="18"/>
              </w:rPr>
              <w:t>1563-66-2</w:t>
            </w:r>
          </w:p>
        </w:tc>
        <w:tc>
          <w:tcPr>
            <w:tcW w:w="880" w:type="dxa"/>
            <w:tcBorders>
              <w:top w:val="single" w:sz="4" w:space="0" w:color="000000"/>
              <w:left w:val="single" w:sz="12" w:space="0" w:color="000000"/>
              <w:bottom w:val="single" w:sz="4" w:space="0" w:color="000000"/>
              <w:right w:val="single" w:sz="12" w:space="0" w:color="000000"/>
            </w:tcBorders>
          </w:tcPr>
          <w:p w14:paraId="2145FC02" w14:textId="2FF15034" w:rsidR="000A75F9" w:rsidRDefault="000A75F9" w:rsidP="00F55369">
            <w:pPr>
              <w:tabs>
                <w:tab w:val="center" w:pos="308"/>
              </w:tabs>
              <w:spacing w:after="0" w:line="259" w:lineRule="auto"/>
              <w:ind w:left="0" w:right="0" w:firstLine="0"/>
              <w:jc w:val="center"/>
            </w:pPr>
            <w:r>
              <w:rPr>
                <w:sz w:val="18"/>
              </w:rPr>
              <w:t>10</w:t>
            </w:r>
          </w:p>
        </w:tc>
        <w:tc>
          <w:tcPr>
            <w:tcW w:w="878" w:type="dxa"/>
            <w:tcBorders>
              <w:top w:val="single" w:sz="4" w:space="0" w:color="000000"/>
              <w:left w:val="single" w:sz="12" w:space="0" w:color="000000"/>
              <w:bottom w:val="single" w:sz="4" w:space="0" w:color="000000"/>
              <w:right w:val="single" w:sz="12" w:space="0" w:color="000000"/>
            </w:tcBorders>
          </w:tcPr>
          <w:p w14:paraId="14E19F2A" w14:textId="579E9A6E" w:rsidR="000A75F9" w:rsidRDefault="000A75F9" w:rsidP="00F55369">
            <w:pPr>
              <w:spacing w:after="0" w:line="259" w:lineRule="auto"/>
              <w:ind w:left="0" w:right="46" w:firstLine="0"/>
              <w:jc w:val="center"/>
            </w:pPr>
            <w:r>
              <w:rPr>
                <w:sz w:val="18"/>
              </w:rPr>
              <w:t>ug/L</w:t>
            </w:r>
          </w:p>
        </w:tc>
        <w:tc>
          <w:tcPr>
            <w:tcW w:w="880" w:type="dxa"/>
            <w:tcBorders>
              <w:top w:val="single" w:sz="4" w:space="0" w:color="000000"/>
              <w:left w:val="single" w:sz="12" w:space="0" w:color="000000"/>
              <w:bottom w:val="single" w:sz="4" w:space="0" w:color="000000"/>
              <w:right w:val="single" w:sz="12" w:space="0" w:color="000000"/>
            </w:tcBorders>
          </w:tcPr>
          <w:p w14:paraId="2EA3B7D8" w14:textId="7A9748FF" w:rsidR="000A75F9" w:rsidRDefault="000A75F9" w:rsidP="00F55369">
            <w:pPr>
              <w:spacing w:after="0" w:line="259" w:lineRule="auto"/>
              <w:ind w:left="0" w:right="47" w:firstLine="0"/>
              <w:jc w:val="center"/>
            </w:pPr>
            <w:r>
              <w:rPr>
                <w:sz w:val="18"/>
              </w:rPr>
              <w:t>N/A</w:t>
            </w:r>
          </w:p>
        </w:tc>
        <w:tc>
          <w:tcPr>
            <w:tcW w:w="1073" w:type="dxa"/>
            <w:tcBorders>
              <w:top w:val="single" w:sz="4" w:space="0" w:color="000000"/>
              <w:left w:val="single" w:sz="12" w:space="0" w:color="000000"/>
              <w:bottom w:val="single" w:sz="4" w:space="0" w:color="000000"/>
              <w:right w:val="single" w:sz="12" w:space="0" w:color="000000"/>
            </w:tcBorders>
          </w:tcPr>
          <w:p w14:paraId="59D0AC0A" w14:textId="18D85314" w:rsidR="000A75F9" w:rsidRDefault="000A75F9" w:rsidP="00F55369">
            <w:pPr>
              <w:spacing w:after="0" w:line="259" w:lineRule="auto"/>
              <w:ind w:left="0" w:right="42" w:firstLine="0"/>
              <w:jc w:val="center"/>
            </w:pPr>
            <w:r>
              <w:rPr>
                <w:sz w:val="18"/>
              </w:rPr>
              <w:t>N/A</w:t>
            </w:r>
          </w:p>
        </w:tc>
        <w:tc>
          <w:tcPr>
            <w:tcW w:w="802" w:type="dxa"/>
            <w:tcBorders>
              <w:top w:val="single" w:sz="4" w:space="0" w:color="000000"/>
              <w:left w:val="single" w:sz="12" w:space="0" w:color="000000"/>
              <w:bottom w:val="single" w:sz="4" w:space="0" w:color="000000"/>
              <w:right w:val="single" w:sz="12" w:space="0" w:color="000000"/>
            </w:tcBorders>
            <w:vAlign w:val="center"/>
          </w:tcPr>
          <w:p w14:paraId="3564DBEB" w14:textId="3DF7E43B" w:rsidR="000A75F9" w:rsidRPr="00EB3079" w:rsidRDefault="000A75F9" w:rsidP="00497E51">
            <w:pPr>
              <w:spacing w:after="0" w:line="259" w:lineRule="auto"/>
              <w:ind w:left="41" w:right="0" w:firstLine="0"/>
              <w:jc w:val="center"/>
              <w:rPr>
                <w:bCs/>
              </w:rPr>
            </w:pPr>
            <w:r w:rsidRPr="00EB3079">
              <w:rPr>
                <w:bCs/>
                <w:sz w:val="18"/>
              </w:rPr>
              <w:t>531.1</w:t>
            </w:r>
          </w:p>
        </w:tc>
        <w:tc>
          <w:tcPr>
            <w:tcW w:w="720" w:type="dxa"/>
            <w:tcBorders>
              <w:top w:val="single" w:sz="4" w:space="0" w:color="000000"/>
              <w:left w:val="single" w:sz="12" w:space="0" w:color="000000"/>
              <w:bottom w:val="single" w:sz="4" w:space="0" w:color="000000"/>
              <w:right w:val="single" w:sz="12" w:space="0" w:color="000000"/>
            </w:tcBorders>
          </w:tcPr>
          <w:p w14:paraId="79558981" w14:textId="69FB8D96" w:rsidR="000A75F9" w:rsidRDefault="000A75F9" w:rsidP="00F55369">
            <w:pPr>
              <w:spacing w:after="0" w:line="259" w:lineRule="auto"/>
              <w:ind w:left="0" w:right="46" w:firstLine="0"/>
              <w:jc w:val="center"/>
            </w:pPr>
            <w:r>
              <w:rPr>
                <w:sz w:val="18"/>
              </w:rPr>
              <w:t>632</w:t>
            </w:r>
          </w:p>
        </w:tc>
        <w:tc>
          <w:tcPr>
            <w:tcW w:w="720" w:type="dxa"/>
            <w:tcBorders>
              <w:top w:val="single" w:sz="4" w:space="0" w:color="000000"/>
              <w:left w:val="single" w:sz="12" w:space="0" w:color="000000"/>
              <w:bottom w:val="single" w:sz="4" w:space="0" w:color="000000"/>
              <w:right w:val="single" w:sz="12" w:space="0" w:color="000000"/>
            </w:tcBorders>
          </w:tcPr>
          <w:p w14:paraId="61891079" w14:textId="7273B1BE" w:rsidR="000A75F9" w:rsidRDefault="000A75F9" w:rsidP="00F55369">
            <w:pPr>
              <w:spacing w:after="0" w:line="259" w:lineRule="auto"/>
              <w:ind w:left="0" w:right="0" w:firstLine="0"/>
              <w:jc w:val="center"/>
            </w:pPr>
          </w:p>
        </w:tc>
      </w:tr>
      <w:tr w:rsidR="000A75F9" w14:paraId="4DC45241" w14:textId="77777777" w:rsidTr="00C23B62">
        <w:trPr>
          <w:trHeight w:val="252"/>
        </w:trPr>
        <w:tc>
          <w:tcPr>
            <w:tcW w:w="3405" w:type="dxa"/>
            <w:tcBorders>
              <w:top w:val="single" w:sz="4" w:space="0" w:color="000000"/>
              <w:left w:val="single" w:sz="12" w:space="0" w:color="000000"/>
              <w:bottom w:val="single" w:sz="4" w:space="0" w:color="000000"/>
              <w:right w:val="single" w:sz="12" w:space="0" w:color="000000"/>
            </w:tcBorders>
          </w:tcPr>
          <w:p w14:paraId="47357F16" w14:textId="77777777" w:rsidR="000A75F9" w:rsidRDefault="000A75F9" w:rsidP="000A75F9">
            <w:pPr>
              <w:spacing w:after="0" w:line="259" w:lineRule="auto"/>
              <w:ind w:left="2" w:right="0" w:firstLine="0"/>
            </w:pPr>
            <w:r>
              <w:rPr>
                <w:sz w:val="18"/>
              </w:rPr>
              <w:t xml:space="preserve">3-Hydroxycarbofuran  </w:t>
            </w:r>
          </w:p>
        </w:tc>
        <w:tc>
          <w:tcPr>
            <w:tcW w:w="1172" w:type="dxa"/>
            <w:tcBorders>
              <w:top w:val="single" w:sz="4" w:space="0" w:color="000000"/>
              <w:left w:val="single" w:sz="12" w:space="0" w:color="000000"/>
              <w:bottom w:val="single" w:sz="4" w:space="0" w:color="000000"/>
              <w:right w:val="single" w:sz="12" w:space="0" w:color="000000"/>
            </w:tcBorders>
          </w:tcPr>
          <w:p w14:paraId="6A5955DE" w14:textId="5B76C8B2" w:rsidR="000A75F9" w:rsidRDefault="000A75F9" w:rsidP="00F55369">
            <w:pPr>
              <w:spacing w:after="0" w:line="259" w:lineRule="auto"/>
              <w:ind w:left="0" w:right="44" w:firstLine="0"/>
              <w:jc w:val="center"/>
            </w:pPr>
            <w:r>
              <w:rPr>
                <w:sz w:val="18"/>
              </w:rPr>
              <w:t>16655-82-6</w:t>
            </w:r>
          </w:p>
        </w:tc>
        <w:tc>
          <w:tcPr>
            <w:tcW w:w="880" w:type="dxa"/>
            <w:tcBorders>
              <w:top w:val="single" w:sz="4" w:space="0" w:color="000000"/>
              <w:left w:val="single" w:sz="12" w:space="0" w:color="000000"/>
              <w:bottom w:val="single" w:sz="4" w:space="0" w:color="000000"/>
              <w:right w:val="single" w:sz="12" w:space="0" w:color="000000"/>
            </w:tcBorders>
          </w:tcPr>
          <w:p w14:paraId="00400E8D" w14:textId="76FE4C79" w:rsidR="000A75F9" w:rsidRDefault="000A75F9" w:rsidP="00F55369">
            <w:pPr>
              <w:tabs>
                <w:tab w:val="center" w:pos="354"/>
              </w:tabs>
              <w:spacing w:after="0" w:line="259" w:lineRule="auto"/>
              <w:ind w:left="0" w:right="0" w:firstLine="0"/>
              <w:jc w:val="center"/>
            </w:pPr>
            <w:r>
              <w:rPr>
                <w:sz w:val="18"/>
              </w:rPr>
              <w:t>5</w:t>
            </w:r>
          </w:p>
        </w:tc>
        <w:tc>
          <w:tcPr>
            <w:tcW w:w="878" w:type="dxa"/>
            <w:tcBorders>
              <w:top w:val="single" w:sz="4" w:space="0" w:color="000000"/>
              <w:left w:val="single" w:sz="12" w:space="0" w:color="000000"/>
              <w:bottom w:val="single" w:sz="4" w:space="0" w:color="000000"/>
              <w:right w:val="single" w:sz="12" w:space="0" w:color="000000"/>
            </w:tcBorders>
          </w:tcPr>
          <w:p w14:paraId="347AF617" w14:textId="14C8A8CF" w:rsidR="000A75F9" w:rsidRDefault="000A75F9" w:rsidP="00F55369">
            <w:pPr>
              <w:spacing w:after="0" w:line="259" w:lineRule="auto"/>
              <w:ind w:left="0" w:right="46" w:firstLine="0"/>
              <w:jc w:val="center"/>
            </w:pPr>
            <w:r>
              <w:rPr>
                <w:sz w:val="18"/>
              </w:rPr>
              <w:t>ug/L</w:t>
            </w:r>
          </w:p>
        </w:tc>
        <w:tc>
          <w:tcPr>
            <w:tcW w:w="880" w:type="dxa"/>
            <w:tcBorders>
              <w:top w:val="single" w:sz="4" w:space="0" w:color="000000"/>
              <w:left w:val="single" w:sz="12" w:space="0" w:color="000000"/>
              <w:bottom w:val="single" w:sz="4" w:space="0" w:color="000000"/>
              <w:right w:val="single" w:sz="12" w:space="0" w:color="000000"/>
            </w:tcBorders>
          </w:tcPr>
          <w:p w14:paraId="6C3F930A" w14:textId="7100C192" w:rsidR="000A75F9" w:rsidRDefault="000A75F9" w:rsidP="00F55369">
            <w:pPr>
              <w:spacing w:after="0" w:line="259" w:lineRule="auto"/>
              <w:ind w:left="0" w:right="47" w:firstLine="0"/>
              <w:jc w:val="center"/>
            </w:pPr>
            <w:r>
              <w:rPr>
                <w:sz w:val="18"/>
              </w:rPr>
              <w:t>N/A</w:t>
            </w:r>
          </w:p>
        </w:tc>
        <w:tc>
          <w:tcPr>
            <w:tcW w:w="1073" w:type="dxa"/>
            <w:tcBorders>
              <w:top w:val="single" w:sz="4" w:space="0" w:color="000000"/>
              <w:left w:val="single" w:sz="12" w:space="0" w:color="000000"/>
              <w:bottom w:val="single" w:sz="4" w:space="0" w:color="000000"/>
              <w:right w:val="single" w:sz="12" w:space="0" w:color="000000"/>
            </w:tcBorders>
          </w:tcPr>
          <w:p w14:paraId="5DF8E82F" w14:textId="450EFCF8" w:rsidR="000A75F9" w:rsidRDefault="000A75F9" w:rsidP="00F55369">
            <w:pPr>
              <w:spacing w:after="0" w:line="259" w:lineRule="auto"/>
              <w:ind w:left="0" w:right="42" w:firstLine="0"/>
              <w:jc w:val="center"/>
            </w:pPr>
            <w:r>
              <w:rPr>
                <w:sz w:val="18"/>
              </w:rPr>
              <w:t>N/A</w:t>
            </w:r>
          </w:p>
        </w:tc>
        <w:tc>
          <w:tcPr>
            <w:tcW w:w="802" w:type="dxa"/>
            <w:tcBorders>
              <w:top w:val="single" w:sz="4" w:space="0" w:color="000000"/>
              <w:left w:val="single" w:sz="12" w:space="0" w:color="000000"/>
              <w:bottom w:val="single" w:sz="4" w:space="0" w:color="000000"/>
              <w:right w:val="single" w:sz="12" w:space="0" w:color="000000"/>
            </w:tcBorders>
            <w:vAlign w:val="center"/>
          </w:tcPr>
          <w:p w14:paraId="30F02F2A" w14:textId="6B0B848B" w:rsidR="000A75F9" w:rsidRPr="00EB3079" w:rsidRDefault="000A75F9" w:rsidP="00497E51">
            <w:pPr>
              <w:spacing w:after="0" w:line="259" w:lineRule="auto"/>
              <w:ind w:left="41" w:right="0" w:firstLine="0"/>
              <w:jc w:val="center"/>
              <w:rPr>
                <w:bCs/>
              </w:rPr>
            </w:pPr>
            <w:r w:rsidRPr="00EB3079">
              <w:rPr>
                <w:bCs/>
                <w:sz w:val="18"/>
              </w:rPr>
              <w:t>531.1</w:t>
            </w:r>
          </w:p>
        </w:tc>
        <w:tc>
          <w:tcPr>
            <w:tcW w:w="720" w:type="dxa"/>
            <w:tcBorders>
              <w:top w:val="single" w:sz="4" w:space="0" w:color="000000"/>
              <w:left w:val="single" w:sz="12" w:space="0" w:color="000000"/>
              <w:bottom w:val="single" w:sz="4" w:space="0" w:color="000000"/>
              <w:right w:val="single" w:sz="12" w:space="0" w:color="000000"/>
            </w:tcBorders>
          </w:tcPr>
          <w:p w14:paraId="094E1ACE" w14:textId="33E8A928" w:rsidR="000A75F9" w:rsidRDefault="000A75F9" w:rsidP="00F55369">
            <w:pPr>
              <w:spacing w:after="0" w:line="259" w:lineRule="auto"/>
              <w:ind w:left="0" w:right="0" w:firstLine="0"/>
              <w:jc w:val="center"/>
            </w:pPr>
          </w:p>
        </w:tc>
        <w:tc>
          <w:tcPr>
            <w:tcW w:w="720" w:type="dxa"/>
            <w:tcBorders>
              <w:top w:val="single" w:sz="4" w:space="0" w:color="000000"/>
              <w:left w:val="single" w:sz="12" w:space="0" w:color="000000"/>
              <w:bottom w:val="single" w:sz="4" w:space="0" w:color="000000"/>
              <w:right w:val="single" w:sz="12" w:space="0" w:color="000000"/>
            </w:tcBorders>
          </w:tcPr>
          <w:p w14:paraId="1466FB53" w14:textId="7FAE234B" w:rsidR="000A75F9" w:rsidRDefault="000A75F9" w:rsidP="00F55369">
            <w:pPr>
              <w:spacing w:after="0" w:line="259" w:lineRule="auto"/>
              <w:ind w:left="0" w:right="0" w:firstLine="0"/>
              <w:jc w:val="center"/>
            </w:pPr>
          </w:p>
        </w:tc>
      </w:tr>
      <w:tr w:rsidR="000A75F9" w14:paraId="7A46E4DD" w14:textId="77777777" w:rsidTr="00C23B62">
        <w:trPr>
          <w:trHeight w:val="250"/>
        </w:trPr>
        <w:tc>
          <w:tcPr>
            <w:tcW w:w="3405" w:type="dxa"/>
            <w:tcBorders>
              <w:top w:val="single" w:sz="4" w:space="0" w:color="000000"/>
              <w:left w:val="single" w:sz="12" w:space="0" w:color="000000"/>
              <w:bottom w:val="single" w:sz="4" w:space="0" w:color="000000"/>
              <w:right w:val="single" w:sz="12" w:space="0" w:color="000000"/>
            </w:tcBorders>
          </w:tcPr>
          <w:p w14:paraId="7F945CCE" w14:textId="77777777" w:rsidR="000A75F9" w:rsidRDefault="000A75F9" w:rsidP="000A75F9">
            <w:pPr>
              <w:spacing w:after="0" w:line="259" w:lineRule="auto"/>
              <w:ind w:left="2" w:right="0" w:firstLine="0"/>
            </w:pPr>
            <w:r>
              <w:rPr>
                <w:sz w:val="18"/>
              </w:rPr>
              <w:t xml:space="preserve">Methiocarb  </w:t>
            </w:r>
          </w:p>
        </w:tc>
        <w:tc>
          <w:tcPr>
            <w:tcW w:w="1172" w:type="dxa"/>
            <w:tcBorders>
              <w:top w:val="single" w:sz="4" w:space="0" w:color="000000"/>
              <w:left w:val="single" w:sz="12" w:space="0" w:color="000000"/>
              <w:bottom w:val="single" w:sz="4" w:space="0" w:color="000000"/>
              <w:right w:val="single" w:sz="12" w:space="0" w:color="000000"/>
            </w:tcBorders>
          </w:tcPr>
          <w:p w14:paraId="79B938D4" w14:textId="568CE430" w:rsidR="000A75F9" w:rsidRDefault="000A75F9" w:rsidP="00F55369">
            <w:pPr>
              <w:spacing w:after="0" w:line="259" w:lineRule="auto"/>
              <w:ind w:left="0" w:right="44" w:firstLine="0"/>
              <w:jc w:val="center"/>
            </w:pPr>
            <w:r>
              <w:rPr>
                <w:sz w:val="18"/>
              </w:rPr>
              <w:t>2032-65-7</w:t>
            </w:r>
          </w:p>
        </w:tc>
        <w:tc>
          <w:tcPr>
            <w:tcW w:w="880" w:type="dxa"/>
            <w:tcBorders>
              <w:top w:val="single" w:sz="4" w:space="0" w:color="000000"/>
              <w:left w:val="single" w:sz="12" w:space="0" w:color="000000"/>
              <w:bottom w:val="single" w:sz="4" w:space="0" w:color="000000"/>
              <w:right w:val="single" w:sz="12" w:space="0" w:color="000000"/>
            </w:tcBorders>
          </w:tcPr>
          <w:p w14:paraId="51C60FBB" w14:textId="761AEDA9" w:rsidR="000A75F9" w:rsidRDefault="000A75F9" w:rsidP="00F55369">
            <w:pPr>
              <w:tabs>
                <w:tab w:val="center" w:pos="354"/>
              </w:tabs>
              <w:spacing w:after="0" w:line="259" w:lineRule="auto"/>
              <w:ind w:left="0" w:right="0" w:firstLine="0"/>
              <w:jc w:val="center"/>
            </w:pPr>
            <w:r>
              <w:rPr>
                <w:sz w:val="18"/>
              </w:rPr>
              <w:t>5</w:t>
            </w:r>
          </w:p>
        </w:tc>
        <w:tc>
          <w:tcPr>
            <w:tcW w:w="878" w:type="dxa"/>
            <w:tcBorders>
              <w:top w:val="single" w:sz="4" w:space="0" w:color="000000"/>
              <w:left w:val="single" w:sz="12" w:space="0" w:color="000000"/>
              <w:bottom w:val="single" w:sz="4" w:space="0" w:color="000000"/>
              <w:right w:val="single" w:sz="12" w:space="0" w:color="000000"/>
            </w:tcBorders>
          </w:tcPr>
          <w:p w14:paraId="3656565F" w14:textId="021C5FA3" w:rsidR="000A75F9" w:rsidRDefault="000A75F9" w:rsidP="00F55369">
            <w:pPr>
              <w:spacing w:after="0" w:line="259" w:lineRule="auto"/>
              <w:ind w:left="0" w:right="46" w:firstLine="0"/>
              <w:jc w:val="center"/>
            </w:pPr>
            <w:r>
              <w:rPr>
                <w:sz w:val="18"/>
              </w:rPr>
              <w:t>ug/L</w:t>
            </w:r>
          </w:p>
        </w:tc>
        <w:tc>
          <w:tcPr>
            <w:tcW w:w="880" w:type="dxa"/>
            <w:tcBorders>
              <w:top w:val="single" w:sz="4" w:space="0" w:color="000000"/>
              <w:left w:val="single" w:sz="12" w:space="0" w:color="000000"/>
              <w:bottom w:val="single" w:sz="4" w:space="0" w:color="000000"/>
              <w:right w:val="single" w:sz="12" w:space="0" w:color="000000"/>
            </w:tcBorders>
          </w:tcPr>
          <w:p w14:paraId="293C4165" w14:textId="158DB1C8" w:rsidR="000A75F9" w:rsidRDefault="000A75F9" w:rsidP="00F55369">
            <w:pPr>
              <w:spacing w:after="0" w:line="259" w:lineRule="auto"/>
              <w:ind w:left="0" w:right="47" w:firstLine="0"/>
              <w:jc w:val="center"/>
            </w:pPr>
            <w:r>
              <w:rPr>
                <w:sz w:val="18"/>
              </w:rPr>
              <w:t>N/A</w:t>
            </w:r>
          </w:p>
        </w:tc>
        <w:tc>
          <w:tcPr>
            <w:tcW w:w="1073" w:type="dxa"/>
            <w:tcBorders>
              <w:top w:val="single" w:sz="4" w:space="0" w:color="000000"/>
              <w:left w:val="single" w:sz="12" w:space="0" w:color="000000"/>
              <w:bottom w:val="single" w:sz="4" w:space="0" w:color="000000"/>
              <w:right w:val="single" w:sz="12" w:space="0" w:color="000000"/>
            </w:tcBorders>
          </w:tcPr>
          <w:p w14:paraId="07A59317" w14:textId="77E9F6A9" w:rsidR="000A75F9" w:rsidRDefault="000A75F9" w:rsidP="00F55369">
            <w:pPr>
              <w:spacing w:after="0" w:line="259" w:lineRule="auto"/>
              <w:ind w:left="0" w:right="42" w:firstLine="0"/>
              <w:jc w:val="center"/>
            </w:pPr>
            <w:r>
              <w:rPr>
                <w:sz w:val="18"/>
              </w:rPr>
              <w:t>N/A</w:t>
            </w:r>
          </w:p>
        </w:tc>
        <w:tc>
          <w:tcPr>
            <w:tcW w:w="802" w:type="dxa"/>
            <w:tcBorders>
              <w:top w:val="single" w:sz="4" w:space="0" w:color="000000"/>
              <w:left w:val="single" w:sz="12" w:space="0" w:color="000000"/>
              <w:bottom w:val="single" w:sz="4" w:space="0" w:color="000000"/>
              <w:right w:val="single" w:sz="12" w:space="0" w:color="000000"/>
            </w:tcBorders>
            <w:vAlign w:val="center"/>
          </w:tcPr>
          <w:p w14:paraId="76089332" w14:textId="65A89A4B" w:rsidR="000A75F9" w:rsidRPr="00EB3079" w:rsidRDefault="000A75F9" w:rsidP="00497E51">
            <w:pPr>
              <w:spacing w:after="0" w:line="259" w:lineRule="auto"/>
              <w:ind w:left="41" w:right="0" w:firstLine="0"/>
              <w:jc w:val="center"/>
              <w:rPr>
                <w:bCs/>
              </w:rPr>
            </w:pPr>
            <w:r w:rsidRPr="00EB3079">
              <w:rPr>
                <w:bCs/>
                <w:sz w:val="18"/>
              </w:rPr>
              <w:t>531.1</w:t>
            </w:r>
          </w:p>
        </w:tc>
        <w:tc>
          <w:tcPr>
            <w:tcW w:w="720" w:type="dxa"/>
            <w:tcBorders>
              <w:top w:val="single" w:sz="4" w:space="0" w:color="000000"/>
              <w:left w:val="single" w:sz="12" w:space="0" w:color="000000"/>
              <w:bottom w:val="single" w:sz="4" w:space="0" w:color="000000"/>
              <w:right w:val="single" w:sz="12" w:space="0" w:color="000000"/>
            </w:tcBorders>
          </w:tcPr>
          <w:p w14:paraId="4203EE0F" w14:textId="1034147A" w:rsidR="000A75F9" w:rsidRDefault="000A75F9" w:rsidP="00F55369">
            <w:pPr>
              <w:spacing w:after="0" w:line="259" w:lineRule="auto"/>
              <w:ind w:left="0" w:right="46" w:firstLine="0"/>
              <w:jc w:val="center"/>
            </w:pPr>
            <w:r>
              <w:rPr>
                <w:sz w:val="18"/>
              </w:rPr>
              <w:t>632</w:t>
            </w:r>
          </w:p>
        </w:tc>
        <w:tc>
          <w:tcPr>
            <w:tcW w:w="720" w:type="dxa"/>
            <w:tcBorders>
              <w:top w:val="single" w:sz="4" w:space="0" w:color="000000"/>
              <w:left w:val="single" w:sz="12" w:space="0" w:color="000000"/>
              <w:bottom w:val="single" w:sz="4" w:space="0" w:color="000000"/>
              <w:right w:val="single" w:sz="12" w:space="0" w:color="000000"/>
            </w:tcBorders>
          </w:tcPr>
          <w:p w14:paraId="2BD089E5" w14:textId="39024F02" w:rsidR="000A75F9" w:rsidRDefault="000A75F9" w:rsidP="00F55369">
            <w:pPr>
              <w:spacing w:after="0" w:line="259" w:lineRule="auto"/>
              <w:ind w:left="0" w:right="0" w:firstLine="0"/>
              <w:jc w:val="center"/>
            </w:pPr>
          </w:p>
        </w:tc>
      </w:tr>
      <w:tr w:rsidR="000A75F9" w14:paraId="2633B0E9" w14:textId="77777777" w:rsidTr="00C23B62">
        <w:trPr>
          <w:trHeight w:val="250"/>
        </w:trPr>
        <w:tc>
          <w:tcPr>
            <w:tcW w:w="3405" w:type="dxa"/>
            <w:tcBorders>
              <w:top w:val="single" w:sz="4" w:space="0" w:color="000000"/>
              <w:left w:val="single" w:sz="12" w:space="0" w:color="000000"/>
              <w:bottom w:val="single" w:sz="4" w:space="0" w:color="000000"/>
              <w:right w:val="single" w:sz="12" w:space="0" w:color="000000"/>
            </w:tcBorders>
          </w:tcPr>
          <w:p w14:paraId="0CC6E7DA" w14:textId="77777777" w:rsidR="000A75F9" w:rsidRDefault="000A75F9" w:rsidP="000A75F9">
            <w:pPr>
              <w:spacing w:after="0" w:line="259" w:lineRule="auto"/>
              <w:ind w:left="2" w:right="0" w:firstLine="0"/>
            </w:pPr>
            <w:r>
              <w:rPr>
                <w:sz w:val="18"/>
              </w:rPr>
              <w:t xml:space="preserve">Methomyl </w:t>
            </w:r>
          </w:p>
        </w:tc>
        <w:tc>
          <w:tcPr>
            <w:tcW w:w="1172" w:type="dxa"/>
            <w:tcBorders>
              <w:top w:val="single" w:sz="4" w:space="0" w:color="000000"/>
              <w:left w:val="single" w:sz="12" w:space="0" w:color="000000"/>
              <w:bottom w:val="single" w:sz="4" w:space="0" w:color="000000"/>
              <w:right w:val="single" w:sz="12" w:space="0" w:color="000000"/>
            </w:tcBorders>
          </w:tcPr>
          <w:p w14:paraId="45B94985" w14:textId="289DCC88" w:rsidR="000A75F9" w:rsidRDefault="000A75F9" w:rsidP="00F55369">
            <w:pPr>
              <w:spacing w:after="0" w:line="259" w:lineRule="auto"/>
              <w:ind w:left="0" w:right="44" w:firstLine="0"/>
              <w:jc w:val="center"/>
            </w:pPr>
            <w:r>
              <w:rPr>
                <w:sz w:val="18"/>
              </w:rPr>
              <w:t>16752-65-7</w:t>
            </w:r>
          </w:p>
        </w:tc>
        <w:tc>
          <w:tcPr>
            <w:tcW w:w="880" w:type="dxa"/>
            <w:tcBorders>
              <w:top w:val="single" w:sz="4" w:space="0" w:color="000000"/>
              <w:left w:val="single" w:sz="12" w:space="0" w:color="000000"/>
              <w:bottom w:val="single" w:sz="4" w:space="0" w:color="000000"/>
              <w:right w:val="single" w:sz="12" w:space="0" w:color="000000"/>
            </w:tcBorders>
          </w:tcPr>
          <w:p w14:paraId="70465D6A" w14:textId="48BC37DA" w:rsidR="000A75F9" w:rsidRDefault="000A75F9" w:rsidP="00F55369">
            <w:pPr>
              <w:tabs>
                <w:tab w:val="center" w:pos="308"/>
              </w:tabs>
              <w:spacing w:after="0" w:line="259" w:lineRule="auto"/>
              <w:ind w:left="0" w:right="0" w:firstLine="0"/>
              <w:jc w:val="center"/>
            </w:pPr>
            <w:r>
              <w:rPr>
                <w:sz w:val="18"/>
              </w:rPr>
              <w:t>10</w:t>
            </w:r>
          </w:p>
        </w:tc>
        <w:tc>
          <w:tcPr>
            <w:tcW w:w="878" w:type="dxa"/>
            <w:tcBorders>
              <w:top w:val="single" w:sz="4" w:space="0" w:color="000000"/>
              <w:left w:val="single" w:sz="12" w:space="0" w:color="000000"/>
              <w:bottom w:val="single" w:sz="4" w:space="0" w:color="000000"/>
              <w:right w:val="single" w:sz="12" w:space="0" w:color="000000"/>
            </w:tcBorders>
          </w:tcPr>
          <w:p w14:paraId="567A8D23" w14:textId="77B773BE" w:rsidR="000A75F9" w:rsidRDefault="000A75F9" w:rsidP="00F55369">
            <w:pPr>
              <w:spacing w:after="0" w:line="259" w:lineRule="auto"/>
              <w:ind w:left="0" w:right="46" w:firstLine="0"/>
              <w:jc w:val="center"/>
            </w:pPr>
            <w:r>
              <w:rPr>
                <w:sz w:val="18"/>
              </w:rPr>
              <w:t>ug/L</w:t>
            </w:r>
          </w:p>
        </w:tc>
        <w:tc>
          <w:tcPr>
            <w:tcW w:w="880" w:type="dxa"/>
            <w:tcBorders>
              <w:top w:val="single" w:sz="4" w:space="0" w:color="000000"/>
              <w:left w:val="single" w:sz="12" w:space="0" w:color="000000"/>
              <w:bottom w:val="single" w:sz="4" w:space="0" w:color="000000"/>
              <w:right w:val="single" w:sz="12" w:space="0" w:color="000000"/>
            </w:tcBorders>
          </w:tcPr>
          <w:p w14:paraId="36856BA1" w14:textId="53E04026" w:rsidR="000A75F9" w:rsidRDefault="000A75F9" w:rsidP="00F55369">
            <w:pPr>
              <w:spacing w:after="0" w:line="259" w:lineRule="auto"/>
              <w:ind w:left="0" w:right="47" w:firstLine="0"/>
              <w:jc w:val="center"/>
            </w:pPr>
            <w:r>
              <w:rPr>
                <w:sz w:val="18"/>
              </w:rPr>
              <w:t>N/A</w:t>
            </w:r>
          </w:p>
        </w:tc>
        <w:tc>
          <w:tcPr>
            <w:tcW w:w="1073" w:type="dxa"/>
            <w:tcBorders>
              <w:top w:val="single" w:sz="4" w:space="0" w:color="000000"/>
              <w:left w:val="single" w:sz="12" w:space="0" w:color="000000"/>
              <w:bottom w:val="single" w:sz="4" w:space="0" w:color="000000"/>
              <w:right w:val="single" w:sz="12" w:space="0" w:color="000000"/>
            </w:tcBorders>
          </w:tcPr>
          <w:p w14:paraId="377ED941" w14:textId="5D09E305" w:rsidR="000A75F9" w:rsidRDefault="000A75F9" w:rsidP="00F55369">
            <w:pPr>
              <w:spacing w:after="0" w:line="259" w:lineRule="auto"/>
              <w:ind w:left="0" w:right="42" w:firstLine="0"/>
              <w:jc w:val="center"/>
            </w:pPr>
            <w:r>
              <w:rPr>
                <w:sz w:val="18"/>
              </w:rPr>
              <w:t>N/A</w:t>
            </w:r>
          </w:p>
        </w:tc>
        <w:tc>
          <w:tcPr>
            <w:tcW w:w="802" w:type="dxa"/>
            <w:tcBorders>
              <w:top w:val="single" w:sz="4" w:space="0" w:color="000000"/>
              <w:left w:val="single" w:sz="12" w:space="0" w:color="000000"/>
              <w:bottom w:val="single" w:sz="4" w:space="0" w:color="000000"/>
              <w:right w:val="single" w:sz="12" w:space="0" w:color="000000"/>
            </w:tcBorders>
            <w:vAlign w:val="center"/>
          </w:tcPr>
          <w:p w14:paraId="18615D52" w14:textId="5F572243" w:rsidR="000A75F9" w:rsidRPr="00EB3079" w:rsidRDefault="000A75F9" w:rsidP="00497E51">
            <w:pPr>
              <w:spacing w:after="0" w:line="259" w:lineRule="auto"/>
              <w:ind w:left="41" w:right="0" w:firstLine="0"/>
              <w:jc w:val="center"/>
              <w:rPr>
                <w:bCs/>
              </w:rPr>
            </w:pPr>
            <w:r w:rsidRPr="00EB3079">
              <w:rPr>
                <w:bCs/>
                <w:sz w:val="18"/>
              </w:rPr>
              <w:t>531.1</w:t>
            </w:r>
          </w:p>
        </w:tc>
        <w:tc>
          <w:tcPr>
            <w:tcW w:w="720" w:type="dxa"/>
            <w:tcBorders>
              <w:top w:val="single" w:sz="4" w:space="0" w:color="000000"/>
              <w:left w:val="single" w:sz="12" w:space="0" w:color="000000"/>
              <w:bottom w:val="single" w:sz="4" w:space="0" w:color="000000"/>
              <w:right w:val="single" w:sz="12" w:space="0" w:color="000000"/>
            </w:tcBorders>
          </w:tcPr>
          <w:p w14:paraId="6A45C9EF" w14:textId="2CCA5050" w:rsidR="000A75F9" w:rsidRDefault="000A75F9" w:rsidP="00F55369">
            <w:pPr>
              <w:spacing w:after="0" w:line="259" w:lineRule="auto"/>
              <w:ind w:left="0" w:right="46" w:firstLine="0"/>
              <w:jc w:val="center"/>
            </w:pPr>
            <w:r>
              <w:rPr>
                <w:sz w:val="18"/>
              </w:rPr>
              <w:t>632</w:t>
            </w:r>
          </w:p>
        </w:tc>
        <w:tc>
          <w:tcPr>
            <w:tcW w:w="720" w:type="dxa"/>
            <w:tcBorders>
              <w:top w:val="single" w:sz="4" w:space="0" w:color="000000"/>
              <w:left w:val="single" w:sz="12" w:space="0" w:color="000000"/>
              <w:bottom w:val="single" w:sz="4" w:space="0" w:color="000000"/>
              <w:right w:val="single" w:sz="12" w:space="0" w:color="000000"/>
            </w:tcBorders>
          </w:tcPr>
          <w:p w14:paraId="1260CA0B" w14:textId="6877DD15" w:rsidR="000A75F9" w:rsidRDefault="000A75F9" w:rsidP="00F55369">
            <w:pPr>
              <w:spacing w:after="0" w:line="259" w:lineRule="auto"/>
              <w:ind w:left="0" w:right="0" w:firstLine="0"/>
              <w:jc w:val="center"/>
            </w:pPr>
          </w:p>
        </w:tc>
      </w:tr>
      <w:tr w:rsidR="000A75F9" w14:paraId="52929610" w14:textId="77777777" w:rsidTr="00C23B62">
        <w:trPr>
          <w:trHeight w:val="259"/>
        </w:trPr>
        <w:tc>
          <w:tcPr>
            <w:tcW w:w="3405" w:type="dxa"/>
            <w:tcBorders>
              <w:top w:val="single" w:sz="4" w:space="0" w:color="000000"/>
              <w:left w:val="single" w:sz="12" w:space="0" w:color="000000"/>
              <w:bottom w:val="single" w:sz="12" w:space="0" w:color="000000"/>
              <w:right w:val="single" w:sz="12" w:space="0" w:color="000000"/>
            </w:tcBorders>
          </w:tcPr>
          <w:p w14:paraId="281694DE" w14:textId="77777777" w:rsidR="000A75F9" w:rsidRDefault="000A75F9" w:rsidP="000A75F9">
            <w:pPr>
              <w:spacing w:after="0" w:line="259" w:lineRule="auto"/>
              <w:ind w:left="2" w:right="0" w:firstLine="0"/>
            </w:pPr>
            <w:proofErr w:type="spellStart"/>
            <w:r>
              <w:rPr>
                <w:sz w:val="18"/>
              </w:rPr>
              <w:t>Oxamyl</w:t>
            </w:r>
            <w:proofErr w:type="spellEnd"/>
            <w:r>
              <w:rPr>
                <w:sz w:val="18"/>
              </w:rPr>
              <w:t xml:space="preserve">  </w:t>
            </w:r>
          </w:p>
        </w:tc>
        <w:tc>
          <w:tcPr>
            <w:tcW w:w="1172" w:type="dxa"/>
            <w:tcBorders>
              <w:top w:val="single" w:sz="4" w:space="0" w:color="000000"/>
              <w:left w:val="single" w:sz="12" w:space="0" w:color="000000"/>
              <w:bottom w:val="single" w:sz="12" w:space="0" w:color="000000"/>
              <w:right w:val="single" w:sz="12" w:space="0" w:color="000000"/>
            </w:tcBorders>
          </w:tcPr>
          <w:p w14:paraId="0559C14C" w14:textId="59696E88" w:rsidR="000A75F9" w:rsidRDefault="000A75F9" w:rsidP="00F55369">
            <w:pPr>
              <w:spacing w:after="0" w:line="259" w:lineRule="auto"/>
              <w:ind w:left="0" w:right="44" w:firstLine="0"/>
              <w:jc w:val="center"/>
            </w:pPr>
            <w:r>
              <w:rPr>
                <w:sz w:val="18"/>
              </w:rPr>
              <w:t>23135-22-0</w:t>
            </w:r>
          </w:p>
        </w:tc>
        <w:tc>
          <w:tcPr>
            <w:tcW w:w="880" w:type="dxa"/>
            <w:tcBorders>
              <w:top w:val="single" w:sz="4" w:space="0" w:color="000000"/>
              <w:left w:val="single" w:sz="12" w:space="0" w:color="000000"/>
              <w:bottom w:val="single" w:sz="12" w:space="0" w:color="000000"/>
              <w:right w:val="single" w:sz="12" w:space="0" w:color="000000"/>
            </w:tcBorders>
          </w:tcPr>
          <w:p w14:paraId="5F59405F" w14:textId="3CC23392" w:rsidR="000A75F9" w:rsidRDefault="000A75F9" w:rsidP="00F55369">
            <w:pPr>
              <w:tabs>
                <w:tab w:val="center" w:pos="308"/>
              </w:tabs>
              <w:spacing w:after="0" w:line="259" w:lineRule="auto"/>
              <w:ind w:left="0" w:right="0" w:firstLine="0"/>
              <w:jc w:val="center"/>
            </w:pPr>
            <w:r>
              <w:rPr>
                <w:sz w:val="18"/>
              </w:rPr>
              <w:t>10</w:t>
            </w:r>
          </w:p>
        </w:tc>
        <w:tc>
          <w:tcPr>
            <w:tcW w:w="878" w:type="dxa"/>
            <w:tcBorders>
              <w:top w:val="single" w:sz="4" w:space="0" w:color="000000"/>
              <w:left w:val="single" w:sz="12" w:space="0" w:color="000000"/>
              <w:bottom w:val="single" w:sz="12" w:space="0" w:color="000000"/>
              <w:right w:val="single" w:sz="12" w:space="0" w:color="000000"/>
            </w:tcBorders>
          </w:tcPr>
          <w:p w14:paraId="7E076C73" w14:textId="01412B8E" w:rsidR="000A75F9" w:rsidRDefault="000A75F9" w:rsidP="00F55369">
            <w:pPr>
              <w:spacing w:after="0" w:line="259" w:lineRule="auto"/>
              <w:ind w:left="0" w:right="46" w:firstLine="0"/>
              <w:jc w:val="center"/>
            </w:pPr>
            <w:r>
              <w:rPr>
                <w:sz w:val="18"/>
              </w:rPr>
              <w:t>ug/L</w:t>
            </w:r>
          </w:p>
        </w:tc>
        <w:tc>
          <w:tcPr>
            <w:tcW w:w="880" w:type="dxa"/>
            <w:tcBorders>
              <w:top w:val="single" w:sz="4" w:space="0" w:color="000000"/>
              <w:left w:val="single" w:sz="12" w:space="0" w:color="000000"/>
              <w:bottom w:val="single" w:sz="12" w:space="0" w:color="000000"/>
              <w:right w:val="single" w:sz="12" w:space="0" w:color="000000"/>
            </w:tcBorders>
          </w:tcPr>
          <w:p w14:paraId="7DD88636" w14:textId="3C308CF3" w:rsidR="000A75F9" w:rsidRDefault="000A75F9" w:rsidP="00F55369">
            <w:pPr>
              <w:spacing w:after="0" w:line="259" w:lineRule="auto"/>
              <w:ind w:left="0" w:right="47" w:firstLine="0"/>
              <w:jc w:val="center"/>
            </w:pPr>
            <w:r>
              <w:rPr>
                <w:sz w:val="18"/>
              </w:rPr>
              <w:t>N/A</w:t>
            </w:r>
          </w:p>
        </w:tc>
        <w:tc>
          <w:tcPr>
            <w:tcW w:w="1073" w:type="dxa"/>
            <w:tcBorders>
              <w:top w:val="single" w:sz="4" w:space="0" w:color="000000"/>
              <w:left w:val="single" w:sz="12" w:space="0" w:color="000000"/>
              <w:bottom w:val="single" w:sz="12" w:space="0" w:color="000000"/>
              <w:right w:val="single" w:sz="12" w:space="0" w:color="000000"/>
            </w:tcBorders>
          </w:tcPr>
          <w:p w14:paraId="76A1D15B" w14:textId="2D9C201E" w:rsidR="000A75F9" w:rsidRDefault="000A75F9" w:rsidP="00F55369">
            <w:pPr>
              <w:spacing w:after="0" w:line="259" w:lineRule="auto"/>
              <w:ind w:left="0" w:right="42" w:firstLine="0"/>
              <w:jc w:val="center"/>
            </w:pPr>
            <w:r>
              <w:rPr>
                <w:sz w:val="18"/>
              </w:rPr>
              <w:t>N/A</w:t>
            </w:r>
          </w:p>
        </w:tc>
        <w:tc>
          <w:tcPr>
            <w:tcW w:w="802" w:type="dxa"/>
            <w:tcBorders>
              <w:top w:val="single" w:sz="4" w:space="0" w:color="000000"/>
              <w:left w:val="single" w:sz="12" w:space="0" w:color="000000"/>
              <w:bottom w:val="single" w:sz="12" w:space="0" w:color="000000"/>
              <w:right w:val="single" w:sz="12" w:space="0" w:color="000000"/>
            </w:tcBorders>
            <w:vAlign w:val="center"/>
          </w:tcPr>
          <w:p w14:paraId="38E9871F" w14:textId="5988FC08" w:rsidR="000A75F9" w:rsidRPr="00EB3079" w:rsidRDefault="000A75F9" w:rsidP="00497E51">
            <w:pPr>
              <w:spacing w:after="0" w:line="259" w:lineRule="auto"/>
              <w:ind w:left="41" w:right="0" w:firstLine="0"/>
              <w:jc w:val="center"/>
              <w:rPr>
                <w:bCs/>
              </w:rPr>
            </w:pPr>
            <w:r w:rsidRPr="00EB3079">
              <w:rPr>
                <w:bCs/>
                <w:sz w:val="18"/>
              </w:rPr>
              <w:t>531.1</w:t>
            </w:r>
          </w:p>
        </w:tc>
        <w:tc>
          <w:tcPr>
            <w:tcW w:w="720" w:type="dxa"/>
            <w:tcBorders>
              <w:top w:val="single" w:sz="4" w:space="0" w:color="000000"/>
              <w:left w:val="single" w:sz="12" w:space="0" w:color="000000"/>
              <w:bottom w:val="single" w:sz="12" w:space="0" w:color="000000"/>
              <w:right w:val="single" w:sz="12" w:space="0" w:color="000000"/>
            </w:tcBorders>
          </w:tcPr>
          <w:p w14:paraId="71F17BDD" w14:textId="7739B6A3" w:rsidR="000A75F9" w:rsidRDefault="000A75F9" w:rsidP="00F55369">
            <w:pPr>
              <w:spacing w:after="0" w:line="259" w:lineRule="auto"/>
              <w:ind w:left="0" w:right="46" w:firstLine="0"/>
              <w:jc w:val="center"/>
            </w:pPr>
            <w:r>
              <w:rPr>
                <w:sz w:val="18"/>
              </w:rPr>
              <w:t>632</w:t>
            </w:r>
          </w:p>
        </w:tc>
        <w:tc>
          <w:tcPr>
            <w:tcW w:w="720" w:type="dxa"/>
            <w:tcBorders>
              <w:top w:val="single" w:sz="4" w:space="0" w:color="000000"/>
              <w:left w:val="single" w:sz="12" w:space="0" w:color="000000"/>
              <w:bottom w:val="single" w:sz="12" w:space="0" w:color="000000"/>
              <w:right w:val="single" w:sz="12" w:space="0" w:color="000000"/>
            </w:tcBorders>
          </w:tcPr>
          <w:p w14:paraId="5829B1B0" w14:textId="7C209574" w:rsidR="000A75F9" w:rsidRDefault="000A75F9" w:rsidP="00F55369">
            <w:pPr>
              <w:spacing w:after="0" w:line="259" w:lineRule="auto"/>
              <w:ind w:left="0" w:right="0" w:firstLine="0"/>
              <w:jc w:val="center"/>
            </w:pPr>
          </w:p>
        </w:tc>
      </w:tr>
    </w:tbl>
    <w:p w14:paraId="75CF8405" w14:textId="77777777" w:rsidR="00B26197" w:rsidRPr="00091EFC" w:rsidRDefault="00B26197">
      <w:pPr>
        <w:spacing w:after="0" w:line="259" w:lineRule="auto"/>
        <w:ind w:left="0" w:right="0" w:firstLine="0"/>
      </w:pPr>
    </w:p>
    <w:tbl>
      <w:tblPr>
        <w:tblStyle w:val="TableGrid1"/>
        <w:tblW w:w="10530" w:type="dxa"/>
        <w:tblInd w:w="-375" w:type="dxa"/>
        <w:tblCellMar>
          <w:top w:w="24" w:type="dxa"/>
          <w:left w:w="72" w:type="dxa"/>
          <w:right w:w="27" w:type="dxa"/>
        </w:tblCellMar>
        <w:tblLook w:val="04A0" w:firstRow="1" w:lastRow="0" w:firstColumn="1" w:lastColumn="0" w:noHBand="0" w:noVBand="1"/>
      </w:tblPr>
      <w:tblGrid>
        <w:gridCol w:w="3404"/>
        <w:gridCol w:w="1172"/>
        <w:gridCol w:w="880"/>
        <w:gridCol w:w="878"/>
        <w:gridCol w:w="880"/>
        <w:gridCol w:w="1074"/>
        <w:gridCol w:w="802"/>
        <w:gridCol w:w="720"/>
        <w:gridCol w:w="720"/>
      </w:tblGrid>
      <w:tr w:rsidR="00D710A5" w14:paraId="2ABA0770" w14:textId="77777777" w:rsidTr="00C23B62">
        <w:trPr>
          <w:trHeight w:val="269"/>
          <w:tblHeader/>
        </w:trPr>
        <w:tc>
          <w:tcPr>
            <w:tcW w:w="10530" w:type="dxa"/>
            <w:gridSpan w:val="9"/>
            <w:tcBorders>
              <w:top w:val="single" w:sz="12" w:space="0" w:color="000000"/>
              <w:left w:val="single" w:sz="12" w:space="0" w:color="000000"/>
              <w:bottom w:val="single" w:sz="12" w:space="0" w:color="000000"/>
              <w:right w:val="single" w:sz="12" w:space="0" w:color="000000"/>
            </w:tcBorders>
            <w:vAlign w:val="center"/>
          </w:tcPr>
          <w:p w14:paraId="772A3ED9" w14:textId="1B6DBC27" w:rsidR="00F2288E" w:rsidRPr="00F2288E" w:rsidRDefault="00D710A5" w:rsidP="005B1E44">
            <w:pPr>
              <w:spacing w:after="0" w:line="259" w:lineRule="auto"/>
              <w:ind w:left="0" w:right="43" w:firstLine="0"/>
              <w:rPr>
                <w:sz w:val="18"/>
                <w:szCs w:val="18"/>
              </w:rPr>
            </w:pPr>
            <w:r>
              <w:rPr>
                <w:b/>
                <w:sz w:val="18"/>
              </w:rPr>
              <w:t>Drinking Water SAS Group J</w:t>
            </w:r>
            <w:proofErr w:type="gramStart"/>
            <w:r>
              <w:rPr>
                <w:b/>
                <w:sz w:val="18"/>
              </w:rPr>
              <w:t>:</w:t>
            </w:r>
            <w:r>
              <w:rPr>
                <w:sz w:val="18"/>
              </w:rPr>
              <w:t xml:space="preserve">  </w:t>
            </w:r>
            <w:r>
              <w:rPr>
                <w:b/>
                <w:sz w:val="18"/>
              </w:rPr>
              <w:t>Additional</w:t>
            </w:r>
            <w:proofErr w:type="gramEnd"/>
            <w:r>
              <w:rPr>
                <w:b/>
                <w:sz w:val="18"/>
              </w:rPr>
              <w:t xml:space="preserve"> Pesticides and Herbicides, Miscellaneous</w:t>
            </w:r>
            <w:r>
              <w:rPr>
                <w:sz w:val="18"/>
              </w:rPr>
              <w:t xml:space="preserve"> </w:t>
            </w:r>
          </w:p>
        </w:tc>
      </w:tr>
      <w:tr w:rsidR="00B56D50" w14:paraId="0B6B1183" w14:textId="77777777" w:rsidTr="00C23B62">
        <w:trPr>
          <w:trHeight w:val="271"/>
          <w:tblHeader/>
        </w:trPr>
        <w:tc>
          <w:tcPr>
            <w:tcW w:w="3404" w:type="dxa"/>
            <w:vMerge w:val="restart"/>
            <w:tcBorders>
              <w:top w:val="single" w:sz="12" w:space="0" w:color="000000"/>
              <w:left w:val="single" w:sz="12" w:space="0" w:color="000000"/>
              <w:bottom w:val="single" w:sz="12" w:space="0" w:color="000000"/>
              <w:right w:val="single" w:sz="12" w:space="0" w:color="000000"/>
            </w:tcBorders>
            <w:vAlign w:val="center"/>
          </w:tcPr>
          <w:p w14:paraId="3DBC3039" w14:textId="4BACF2B4" w:rsidR="00B56D50" w:rsidRDefault="001C3C42" w:rsidP="005B1E44">
            <w:pPr>
              <w:spacing w:after="0" w:line="259" w:lineRule="auto"/>
              <w:ind w:left="0" w:right="49" w:firstLine="0"/>
              <w:jc w:val="center"/>
            </w:pPr>
            <w:r>
              <w:rPr>
                <w:b/>
                <w:sz w:val="18"/>
              </w:rPr>
              <w:t>Analyte</w:t>
            </w:r>
          </w:p>
        </w:tc>
        <w:tc>
          <w:tcPr>
            <w:tcW w:w="1172" w:type="dxa"/>
            <w:vMerge w:val="restart"/>
            <w:tcBorders>
              <w:top w:val="single" w:sz="12" w:space="0" w:color="000000"/>
              <w:left w:val="single" w:sz="12" w:space="0" w:color="000000"/>
              <w:bottom w:val="single" w:sz="12" w:space="0" w:color="000000"/>
              <w:right w:val="single" w:sz="12" w:space="0" w:color="000000"/>
            </w:tcBorders>
            <w:vAlign w:val="center"/>
          </w:tcPr>
          <w:p w14:paraId="7792E10E" w14:textId="44E7C4B9" w:rsidR="00B56D50" w:rsidRDefault="001C3C42" w:rsidP="005B1E44">
            <w:pPr>
              <w:spacing w:after="0" w:line="259" w:lineRule="auto"/>
              <w:ind w:left="0" w:right="0" w:firstLine="0"/>
              <w:jc w:val="center"/>
            </w:pPr>
            <w:r>
              <w:rPr>
                <w:b/>
                <w:sz w:val="18"/>
              </w:rPr>
              <w:t>CAS Number</w:t>
            </w:r>
          </w:p>
        </w:tc>
        <w:tc>
          <w:tcPr>
            <w:tcW w:w="1758" w:type="dxa"/>
            <w:gridSpan w:val="2"/>
            <w:tcBorders>
              <w:top w:val="single" w:sz="12" w:space="0" w:color="000000"/>
              <w:left w:val="single" w:sz="12" w:space="0" w:color="000000"/>
              <w:bottom w:val="single" w:sz="12" w:space="0" w:color="000000"/>
              <w:right w:val="single" w:sz="12" w:space="0" w:color="000000"/>
            </w:tcBorders>
            <w:vAlign w:val="center"/>
          </w:tcPr>
          <w:p w14:paraId="58D0DAEF" w14:textId="0A72C52D" w:rsidR="00B56D50" w:rsidRDefault="001C3C42" w:rsidP="005B1E44">
            <w:pPr>
              <w:spacing w:after="0" w:line="259" w:lineRule="auto"/>
              <w:ind w:left="0" w:right="47" w:firstLine="0"/>
              <w:jc w:val="center"/>
            </w:pPr>
            <w:r>
              <w:rPr>
                <w:b/>
                <w:sz w:val="18"/>
              </w:rPr>
              <w:t>Aqueous</w:t>
            </w:r>
          </w:p>
        </w:tc>
        <w:tc>
          <w:tcPr>
            <w:tcW w:w="1954" w:type="dxa"/>
            <w:gridSpan w:val="2"/>
            <w:tcBorders>
              <w:top w:val="single" w:sz="12" w:space="0" w:color="000000"/>
              <w:left w:val="single" w:sz="12" w:space="0" w:color="000000"/>
              <w:bottom w:val="single" w:sz="12" w:space="0" w:color="000000"/>
              <w:right w:val="single" w:sz="12" w:space="0" w:color="000000"/>
            </w:tcBorders>
            <w:vAlign w:val="center"/>
          </w:tcPr>
          <w:p w14:paraId="5F6BDE9C" w14:textId="4CD871AB" w:rsidR="00B56D50" w:rsidRDefault="00EE5045" w:rsidP="005B1E44">
            <w:pPr>
              <w:spacing w:after="0" w:line="259" w:lineRule="auto"/>
              <w:ind w:left="0" w:right="0" w:firstLine="0"/>
              <w:jc w:val="center"/>
            </w:pPr>
            <w:r w:rsidRPr="00385D7E">
              <w:rPr>
                <w:b/>
                <w:bCs/>
                <w:sz w:val="18"/>
                <w:szCs w:val="18"/>
              </w:rPr>
              <w:t>Soil/Sediment</w:t>
            </w:r>
          </w:p>
        </w:tc>
        <w:tc>
          <w:tcPr>
            <w:tcW w:w="2242" w:type="dxa"/>
            <w:gridSpan w:val="3"/>
            <w:vMerge w:val="restart"/>
            <w:tcBorders>
              <w:top w:val="single" w:sz="12" w:space="0" w:color="000000"/>
              <w:left w:val="single" w:sz="12" w:space="0" w:color="000000"/>
              <w:bottom w:val="single" w:sz="12" w:space="0" w:color="000000"/>
              <w:right w:val="single" w:sz="12" w:space="0" w:color="000000"/>
            </w:tcBorders>
            <w:vAlign w:val="center"/>
          </w:tcPr>
          <w:p w14:paraId="4847F411" w14:textId="3FFA5A08" w:rsidR="00B56D50" w:rsidRDefault="001C3C42" w:rsidP="005B1E44">
            <w:pPr>
              <w:spacing w:after="0" w:line="259" w:lineRule="auto"/>
              <w:ind w:left="0" w:right="50" w:firstLine="0"/>
              <w:jc w:val="center"/>
            </w:pPr>
            <w:r>
              <w:rPr>
                <w:b/>
                <w:sz w:val="18"/>
              </w:rPr>
              <w:t>Acceptable Methods</w:t>
            </w:r>
          </w:p>
        </w:tc>
      </w:tr>
      <w:tr w:rsidR="00C84A5D" w14:paraId="687D34B8" w14:textId="77777777" w:rsidTr="00C23B62">
        <w:trPr>
          <w:trHeight w:val="269"/>
          <w:tblHeader/>
        </w:trPr>
        <w:tc>
          <w:tcPr>
            <w:tcW w:w="3404" w:type="dxa"/>
            <w:vMerge/>
            <w:tcBorders>
              <w:top w:val="nil"/>
              <w:left w:val="single" w:sz="12" w:space="0" w:color="000000"/>
              <w:bottom w:val="single" w:sz="12" w:space="0" w:color="000000"/>
              <w:right w:val="single" w:sz="12" w:space="0" w:color="000000"/>
            </w:tcBorders>
            <w:vAlign w:val="center"/>
          </w:tcPr>
          <w:p w14:paraId="258B8032" w14:textId="77777777" w:rsidR="00B56D50" w:rsidRDefault="00B56D50" w:rsidP="005B1E44">
            <w:pPr>
              <w:spacing w:after="160" w:line="259" w:lineRule="auto"/>
              <w:ind w:left="0" w:right="0" w:firstLine="0"/>
              <w:jc w:val="center"/>
            </w:pPr>
          </w:p>
        </w:tc>
        <w:tc>
          <w:tcPr>
            <w:tcW w:w="0" w:type="auto"/>
            <w:vMerge/>
            <w:tcBorders>
              <w:top w:val="nil"/>
              <w:left w:val="single" w:sz="12" w:space="0" w:color="000000"/>
              <w:bottom w:val="single" w:sz="12" w:space="0" w:color="000000"/>
              <w:right w:val="single" w:sz="12" w:space="0" w:color="000000"/>
            </w:tcBorders>
            <w:vAlign w:val="center"/>
          </w:tcPr>
          <w:p w14:paraId="73C1BB14" w14:textId="77777777" w:rsidR="00B56D50" w:rsidRDefault="00B56D50" w:rsidP="005B1E44">
            <w:pPr>
              <w:spacing w:after="160" w:line="259" w:lineRule="auto"/>
              <w:ind w:left="0" w:right="0" w:firstLine="0"/>
              <w:jc w:val="center"/>
            </w:pPr>
          </w:p>
        </w:tc>
        <w:tc>
          <w:tcPr>
            <w:tcW w:w="880" w:type="dxa"/>
            <w:tcBorders>
              <w:top w:val="single" w:sz="12" w:space="0" w:color="000000"/>
              <w:left w:val="single" w:sz="12" w:space="0" w:color="000000"/>
              <w:bottom w:val="single" w:sz="12" w:space="0" w:color="000000"/>
              <w:right w:val="single" w:sz="12" w:space="0" w:color="000000"/>
            </w:tcBorders>
            <w:vAlign w:val="center"/>
          </w:tcPr>
          <w:p w14:paraId="6A32E1F4" w14:textId="025CA9C5" w:rsidR="00B56D50" w:rsidRDefault="001C3C42" w:rsidP="005B1E44">
            <w:pPr>
              <w:spacing w:after="0" w:line="259" w:lineRule="auto"/>
              <w:ind w:left="0" w:right="50" w:firstLine="0"/>
              <w:jc w:val="center"/>
            </w:pPr>
            <w:r>
              <w:rPr>
                <w:b/>
                <w:sz w:val="18"/>
              </w:rPr>
              <w:t>RL</w:t>
            </w:r>
          </w:p>
        </w:tc>
        <w:tc>
          <w:tcPr>
            <w:tcW w:w="878" w:type="dxa"/>
            <w:tcBorders>
              <w:top w:val="single" w:sz="12" w:space="0" w:color="000000"/>
              <w:left w:val="single" w:sz="12" w:space="0" w:color="000000"/>
              <w:bottom w:val="single" w:sz="12" w:space="0" w:color="000000"/>
              <w:right w:val="single" w:sz="12" w:space="0" w:color="000000"/>
            </w:tcBorders>
            <w:vAlign w:val="center"/>
          </w:tcPr>
          <w:p w14:paraId="3D1338DD" w14:textId="37E99B45" w:rsidR="00B56D50" w:rsidRDefault="001C3C42" w:rsidP="005B1E44">
            <w:pPr>
              <w:spacing w:after="0" w:line="259" w:lineRule="auto"/>
              <w:ind w:left="0" w:right="55" w:firstLine="0"/>
              <w:jc w:val="center"/>
            </w:pPr>
            <w:r>
              <w:rPr>
                <w:b/>
                <w:sz w:val="18"/>
              </w:rPr>
              <w:t>units</w:t>
            </w:r>
          </w:p>
        </w:tc>
        <w:tc>
          <w:tcPr>
            <w:tcW w:w="880" w:type="dxa"/>
            <w:tcBorders>
              <w:top w:val="single" w:sz="12" w:space="0" w:color="000000"/>
              <w:left w:val="single" w:sz="12" w:space="0" w:color="000000"/>
              <w:bottom w:val="single" w:sz="12" w:space="0" w:color="000000"/>
              <w:right w:val="single" w:sz="12" w:space="0" w:color="000000"/>
            </w:tcBorders>
            <w:vAlign w:val="center"/>
          </w:tcPr>
          <w:p w14:paraId="25794D5B" w14:textId="17F68275" w:rsidR="00B56D50" w:rsidRDefault="001C3C42" w:rsidP="005B1E44">
            <w:pPr>
              <w:spacing w:after="0" w:line="259" w:lineRule="auto"/>
              <w:ind w:left="0" w:right="50" w:firstLine="0"/>
              <w:jc w:val="center"/>
            </w:pPr>
            <w:r>
              <w:rPr>
                <w:b/>
                <w:sz w:val="18"/>
              </w:rPr>
              <w:t>RL</w:t>
            </w:r>
          </w:p>
        </w:tc>
        <w:tc>
          <w:tcPr>
            <w:tcW w:w="1074" w:type="dxa"/>
            <w:tcBorders>
              <w:top w:val="single" w:sz="12" w:space="0" w:color="000000"/>
              <w:left w:val="single" w:sz="12" w:space="0" w:color="000000"/>
              <w:bottom w:val="single" w:sz="12" w:space="0" w:color="000000"/>
              <w:right w:val="single" w:sz="12" w:space="0" w:color="000000"/>
            </w:tcBorders>
            <w:vAlign w:val="center"/>
          </w:tcPr>
          <w:p w14:paraId="39995215" w14:textId="66F78B8F" w:rsidR="00B56D50" w:rsidRDefault="001C3C42" w:rsidP="005B1E44">
            <w:pPr>
              <w:spacing w:after="0" w:line="259" w:lineRule="auto"/>
              <w:ind w:left="0" w:right="52" w:firstLine="0"/>
              <w:jc w:val="center"/>
            </w:pPr>
            <w:r>
              <w:rPr>
                <w:b/>
                <w:sz w:val="18"/>
              </w:rPr>
              <w:t>units</w:t>
            </w:r>
          </w:p>
        </w:tc>
        <w:tc>
          <w:tcPr>
            <w:tcW w:w="2242" w:type="dxa"/>
            <w:gridSpan w:val="3"/>
            <w:vMerge/>
            <w:tcBorders>
              <w:top w:val="nil"/>
              <w:left w:val="single" w:sz="12" w:space="0" w:color="000000"/>
              <w:bottom w:val="single" w:sz="12" w:space="0" w:color="000000"/>
              <w:right w:val="single" w:sz="12" w:space="0" w:color="000000"/>
            </w:tcBorders>
            <w:vAlign w:val="center"/>
          </w:tcPr>
          <w:p w14:paraId="49EEC80B" w14:textId="77777777" w:rsidR="00B56D50" w:rsidRDefault="00B56D50" w:rsidP="005B1E44">
            <w:pPr>
              <w:spacing w:after="160" w:line="259" w:lineRule="auto"/>
              <w:ind w:left="0" w:right="0" w:firstLine="0"/>
              <w:jc w:val="center"/>
            </w:pPr>
          </w:p>
        </w:tc>
      </w:tr>
      <w:tr w:rsidR="000A75F9" w14:paraId="7C5890AA" w14:textId="77777777" w:rsidTr="00C23B62">
        <w:trPr>
          <w:trHeight w:val="262"/>
        </w:trPr>
        <w:tc>
          <w:tcPr>
            <w:tcW w:w="3404" w:type="dxa"/>
            <w:tcBorders>
              <w:top w:val="single" w:sz="12" w:space="0" w:color="000000"/>
              <w:left w:val="single" w:sz="12" w:space="0" w:color="000000"/>
              <w:bottom w:val="single" w:sz="4" w:space="0" w:color="000000"/>
              <w:right w:val="single" w:sz="12" w:space="0" w:color="000000"/>
            </w:tcBorders>
          </w:tcPr>
          <w:p w14:paraId="265C782C" w14:textId="77777777" w:rsidR="000A75F9" w:rsidRDefault="000A75F9" w:rsidP="000A75F9">
            <w:pPr>
              <w:spacing w:after="0" w:line="259" w:lineRule="auto"/>
              <w:ind w:left="2" w:right="0" w:firstLine="0"/>
            </w:pPr>
            <w:r>
              <w:rPr>
                <w:sz w:val="18"/>
              </w:rPr>
              <w:t xml:space="preserve">Diquat </w:t>
            </w:r>
          </w:p>
        </w:tc>
        <w:tc>
          <w:tcPr>
            <w:tcW w:w="1172" w:type="dxa"/>
            <w:tcBorders>
              <w:top w:val="single" w:sz="12" w:space="0" w:color="000000"/>
              <w:left w:val="single" w:sz="12" w:space="0" w:color="000000"/>
              <w:bottom w:val="single" w:sz="4" w:space="0" w:color="000000"/>
              <w:right w:val="single" w:sz="12" w:space="0" w:color="000000"/>
            </w:tcBorders>
          </w:tcPr>
          <w:p w14:paraId="447AF717" w14:textId="55607D2F" w:rsidR="000A75F9" w:rsidRDefault="000A75F9" w:rsidP="00F55369">
            <w:pPr>
              <w:spacing w:after="0" w:line="259" w:lineRule="auto"/>
              <w:ind w:left="0" w:right="44" w:firstLine="0"/>
              <w:jc w:val="center"/>
            </w:pPr>
            <w:r>
              <w:rPr>
                <w:sz w:val="18"/>
              </w:rPr>
              <w:t>85-00-7</w:t>
            </w:r>
          </w:p>
        </w:tc>
        <w:tc>
          <w:tcPr>
            <w:tcW w:w="880" w:type="dxa"/>
            <w:tcBorders>
              <w:top w:val="single" w:sz="12" w:space="0" w:color="000000"/>
              <w:left w:val="single" w:sz="12" w:space="0" w:color="000000"/>
              <w:bottom w:val="single" w:sz="4" w:space="0" w:color="000000"/>
              <w:right w:val="single" w:sz="12" w:space="0" w:color="000000"/>
            </w:tcBorders>
          </w:tcPr>
          <w:p w14:paraId="3C6615A8" w14:textId="71AF5B53" w:rsidR="000A75F9" w:rsidRDefault="000A75F9" w:rsidP="00F55369">
            <w:pPr>
              <w:tabs>
                <w:tab w:val="center" w:pos="354"/>
              </w:tabs>
              <w:spacing w:after="0" w:line="259" w:lineRule="auto"/>
              <w:ind w:left="0" w:right="0" w:firstLine="0"/>
              <w:jc w:val="center"/>
            </w:pPr>
            <w:r>
              <w:rPr>
                <w:sz w:val="18"/>
              </w:rPr>
              <w:t>8</w:t>
            </w:r>
          </w:p>
        </w:tc>
        <w:tc>
          <w:tcPr>
            <w:tcW w:w="878" w:type="dxa"/>
            <w:tcBorders>
              <w:top w:val="single" w:sz="12" w:space="0" w:color="000000"/>
              <w:left w:val="single" w:sz="12" w:space="0" w:color="000000"/>
              <w:bottom w:val="single" w:sz="4" w:space="0" w:color="000000"/>
              <w:right w:val="single" w:sz="12" w:space="0" w:color="000000"/>
            </w:tcBorders>
          </w:tcPr>
          <w:p w14:paraId="3359A1E1" w14:textId="6F4F6487" w:rsidR="000A75F9" w:rsidRDefault="000A75F9" w:rsidP="00F55369">
            <w:pPr>
              <w:spacing w:after="0" w:line="259" w:lineRule="auto"/>
              <w:ind w:left="0" w:right="46" w:firstLine="0"/>
              <w:jc w:val="center"/>
            </w:pPr>
            <w:r>
              <w:rPr>
                <w:sz w:val="18"/>
              </w:rPr>
              <w:t>ug/L</w:t>
            </w:r>
          </w:p>
        </w:tc>
        <w:tc>
          <w:tcPr>
            <w:tcW w:w="880" w:type="dxa"/>
            <w:tcBorders>
              <w:top w:val="single" w:sz="12" w:space="0" w:color="000000"/>
              <w:left w:val="single" w:sz="12" w:space="0" w:color="000000"/>
              <w:bottom w:val="single" w:sz="4" w:space="0" w:color="000000"/>
              <w:right w:val="single" w:sz="12" w:space="0" w:color="000000"/>
            </w:tcBorders>
          </w:tcPr>
          <w:p w14:paraId="10A3F208" w14:textId="53D0861A" w:rsidR="000A75F9" w:rsidRDefault="000A75F9" w:rsidP="00F55369">
            <w:pPr>
              <w:spacing w:after="0" w:line="259" w:lineRule="auto"/>
              <w:ind w:left="0" w:right="47" w:firstLine="0"/>
              <w:jc w:val="center"/>
            </w:pPr>
            <w:r>
              <w:rPr>
                <w:sz w:val="18"/>
              </w:rPr>
              <w:t>N/A</w:t>
            </w:r>
          </w:p>
        </w:tc>
        <w:tc>
          <w:tcPr>
            <w:tcW w:w="1074" w:type="dxa"/>
            <w:tcBorders>
              <w:top w:val="single" w:sz="12" w:space="0" w:color="000000"/>
              <w:left w:val="single" w:sz="12" w:space="0" w:color="000000"/>
              <w:bottom w:val="single" w:sz="4" w:space="0" w:color="000000"/>
              <w:right w:val="single" w:sz="12" w:space="0" w:color="000000"/>
            </w:tcBorders>
          </w:tcPr>
          <w:p w14:paraId="7C88E6B5" w14:textId="01B5856A" w:rsidR="000A75F9" w:rsidRDefault="000A75F9" w:rsidP="00F55369">
            <w:pPr>
              <w:spacing w:after="0" w:line="259" w:lineRule="auto"/>
              <w:ind w:left="0" w:right="42" w:firstLine="0"/>
              <w:jc w:val="center"/>
            </w:pPr>
            <w:r>
              <w:rPr>
                <w:sz w:val="18"/>
              </w:rPr>
              <w:t>N/A</w:t>
            </w:r>
          </w:p>
        </w:tc>
        <w:tc>
          <w:tcPr>
            <w:tcW w:w="802" w:type="dxa"/>
            <w:tcBorders>
              <w:top w:val="single" w:sz="12" w:space="0" w:color="000000"/>
              <w:left w:val="single" w:sz="12" w:space="0" w:color="000000"/>
              <w:bottom w:val="single" w:sz="4" w:space="0" w:color="000000"/>
              <w:right w:val="single" w:sz="12" w:space="0" w:color="000000"/>
            </w:tcBorders>
          </w:tcPr>
          <w:p w14:paraId="2B07AABC" w14:textId="2BCBF18D" w:rsidR="000A75F9" w:rsidRDefault="000A75F9" w:rsidP="00F55369">
            <w:pPr>
              <w:spacing w:after="0" w:line="259" w:lineRule="auto"/>
              <w:ind w:left="0" w:right="45" w:firstLine="0"/>
              <w:jc w:val="center"/>
            </w:pPr>
            <w:r>
              <w:rPr>
                <w:b/>
                <w:sz w:val="18"/>
              </w:rPr>
              <w:t>549.1</w:t>
            </w:r>
          </w:p>
        </w:tc>
        <w:tc>
          <w:tcPr>
            <w:tcW w:w="720" w:type="dxa"/>
            <w:tcBorders>
              <w:top w:val="single" w:sz="12" w:space="0" w:color="000000"/>
              <w:left w:val="single" w:sz="12" w:space="0" w:color="000000"/>
              <w:bottom w:val="single" w:sz="4" w:space="0" w:color="000000"/>
              <w:right w:val="single" w:sz="12" w:space="0" w:color="000000"/>
            </w:tcBorders>
          </w:tcPr>
          <w:p w14:paraId="602DC73C" w14:textId="49FE70FC" w:rsidR="000A75F9" w:rsidRDefault="000A75F9" w:rsidP="00F55369">
            <w:pPr>
              <w:spacing w:after="0" w:line="259" w:lineRule="auto"/>
              <w:ind w:left="0" w:right="47" w:firstLine="0"/>
              <w:jc w:val="center"/>
            </w:pPr>
            <w:r>
              <w:rPr>
                <w:sz w:val="18"/>
              </w:rPr>
              <w:t>549.2</w:t>
            </w:r>
          </w:p>
        </w:tc>
        <w:tc>
          <w:tcPr>
            <w:tcW w:w="720" w:type="dxa"/>
            <w:tcBorders>
              <w:top w:val="single" w:sz="12" w:space="0" w:color="000000"/>
              <w:left w:val="single" w:sz="12" w:space="0" w:color="000000"/>
              <w:bottom w:val="single" w:sz="4" w:space="0" w:color="000000"/>
              <w:right w:val="single" w:sz="12" w:space="0" w:color="000000"/>
            </w:tcBorders>
          </w:tcPr>
          <w:p w14:paraId="574139F0" w14:textId="41415E52" w:rsidR="000A75F9" w:rsidRDefault="000A75F9" w:rsidP="00F55369">
            <w:pPr>
              <w:spacing w:after="0" w:line="259" w:lineRule="auto"/>
              <w:ind w:left="0" w:right="0" w:firstLine="0"/>
              <w:jc w:val="center"/>
            </w:pPr>
          </w:p>
        </w:tc>
      </w:tr>
      <w:tr w:rsidR="000A75F9" w14:paraId="02DDF482" w14:textId="77777777" w:rsidTr="00C23B62">
        <w:trPr>
          <w:trHeight w:val="250"/>
        </w:trPr>
        <w:tc>
          <w:tcPr>
            <w:tcW w:w="3404" w:type="dxa"/>
            <w:tcBorders>
              <w:top w:val="single" w:sz="4" w:space="0" w:color="000000"/>
              <w:left w:val="single" w:sz="12" w:space="0" w:color="000000"/>
              <w:bottom w:val="single" w:sz="4" w:space="0" w:color="000000"/>
              <w:right w:val="single" w:sz="12" w:space="0" w:color="000000"/>
            </w:tcBorders>
          </w:tcPr>
          <w:p w14:paraId="6CB2B9D9" w14:textId="77777777" w:rsidR="000A75F9" w:rsidRDefault="000A75F9" w:rsidP="000A75F9">
            <w:pPr>
              <w:spacing w:after="0" w:line="259" w:lineRule="auto"/>
              <w:ind w:left="2" w:right="0" w:firstLine="0"/>
            </w:pPr>
            <w:r>
              <w:rPr>
                <w:sz w:val="18"/>
              </w:rPr>
              <w:t xml:space="preserve">Paraquat </w:t>
            </w:r>
          </w:p>
        </w:tc>
        <w:tc>
          <w:tcPr>
            <w:tcW w:w="1172" w:type="dxa"/>
            <w:tcBorders>
              <w:top w:val="single" w:sz="4" w:space="0" w:color="000000"/>
              <w:left w:val="single" w:sz="12" w:space="0" w:color="000000"/>
              <w:bottom w:val="single" w:sz="4" w:space="0" w:color="000000"/>
              <w:right w:val="single" w:sz="12" w:space="0" w:color="000000"/>
            </w:tcBorders>
          </w:tcPr>
          <w:p w14:paraId="1F90AFD9" w14:textId="12F4994C" w:rsidR="000A75F9" w:rsidRDefault="000A75F9" w:rsidP="00F55369">
            <w:pPr>
              <w:spacing w:after="0" w:line="259" w:lineRule="auto"/>
              <w:ind w:left="0" w:right="44" w:firstLine="0"/>
              <w:jc w:val="center"/>
            </w:pPr>
            <w:r>
              <w:rPr>
                <w:sz w:val="18"/>
              </w:rPr>
              <w:t>1910-42-5</w:t>
            </w:r>
          </w:p>
        </w:tc>
        <w:tc>
          <w:tcPr>
            <w:tcW w:w="880" w:type="dxa"/>
            <w:tcBorders>
              <w:top w:val="single" w:sz="4" w:space="0" w:color="000000"/>
              <w:left w:val="single" w:sz="12" w:space="0" w:color="000000"/>
              <w:bottom w:val="single" w:sz="4" w:space="0" w:color="000000"/>
              <w:right w:val="single" w:sz="12" w:space="0" w:color="000000"/>
            </w:tcBorders>
          </w:tcPr>
          <w:p w14:paraId="0CB6CE9C" w14:textId="4CA9ABDC" w:rsidR="000A75F9" w:rsidRDefault="000A75F9" w:rsidP="00F55369">
            <w:pPr>
              <w:tabs>
                <w:tab w:val="center" w:pos="308"/>
              </w:tabs>
              <w:spacing w:after="0" w:line="259" w:lineRule="auto"/>
              <w:ind w:left="0" w:right="0" w:firstLine="0"/>
              <w:jc w:val="center"/>
            </w:pPr>
            <w:r>
              <w:rPr>
                <w:sz w:val="18"/>
              </w:rPr>
              <w:t>10</w:t>
            </w:r>
          </w:p>
        </w:tc>
        <w:tc>
          <w:tcPr>
            <w:tcW w:w="878" w:type="dxa"/>
            <w:tcBorders>
              <w:top w:val="single" w:sz="4" w:space="0" w:color="000000"/>
              <w:left w:val="single" w:sz="12" w:space="0" w:color="000000"/>
              <w:bottom w:val="single" w:sz="4" w:space="0" w:color="000000"/>
              <w:right w:val="single" w:sz="12" w:space="0" w:color="000000"/>
            </w:tcBorders>
          </w:tcPr>
          <w:p w14:paraId="5C20E1AE" w14:textId="2432FA0E" w:rsidR="000A75F9" w:rsidRDefault="000A75F9" w:rsidP="00F55369">
            <w:pPr>
              <w:spacing w:after="0" w:line="259" w:lineRule="auto"/>
              <w:ind w:left="0" w:right="46" w:firstLine="0"/>
              <w:jc w:val="center"/>
            </w:pPr>
            <w:r>
              <w:rPr>
                <w:sz w:val="18"/>
              </w:rPr>
              <w:t>ug/L</w:t>
            </w:r>
          </w:p>
        </w:tc>
        <w:tc>
          <w:tcPr>
            <w:tcW w:w="880" w:type="dxa"/>
            <w:tcBorders>
              <w:top w:val="single" w:sz="4" w:space="0" w:color="000000"/>
              <w:left w:val="single" w:sz="12" w:space="0" w:color="000000"/>
              <w:bottom w:val="single" w:sz="4" w:space="0" w:color="000000"/>
              <w:right w:val="single" w:sz="12" w:space="0" w:color="000000"/>
            </w:tcBorders>
          </w:tcPr>
          <w:p w14:paraId="747EB416" w14:textId="52AFAA79" w:rsidR="000A75F9" w:rsidRDefault="000A75F9" w:rsidP="00F55369">
            <w:pPr>
              <w:spacing w:after="0" w:line="259" w:lineRule="auto"/>
              <w:ind w:left="0" w:right="47" w:firstLine="0"/>
              <w:jc w:val="center"/>
            </w:pPr>
            <w:r>
              <w:rPr>
                <w:sz w:val="18"/>
              </w:rPr>
              <w:t>N/A</w:t>
            </w:r>
          </w:p>
        </w:tc>
        <w:tc>
          <w:tcPr>
            <w:tcW w:w="1074" w:type="dxa"/>
            <w:tcBorders>
              <w:top w:val="single" w:sz="4" w:space="0" w:color="000000"/>
              <w:left w:val="single" w:sz="12" w:space="0" w:color="000000"/>
              <w:bottom w:val="single" w:sz="4" w:space="0" w:color="000000"/>
              <w:right w:val="single" w:sz="12" w:space="0" w:color="000000"/>
            </w:tcBorders>
          </w:tcPr>
          <w:p w14:paraId="3BCFB511" w14:textId="382BD76C" w:rsidR="000A75F9" w:rsidRDefault="000A75F9" w:rsidP="00F55369">
            <w:pPr>
              <w:spacing w:after="0" w:line="259" w:lineRule="auto"/>
              <w:ind w:left="0" w:right="42" w:firstLine="0"/>
              <w:jc w:val="center"/>
            </w:pPr>
            <w:r>
              <w:rPr>
                <w:sz w:val="18"/>
              </w:rPr>
              <w:t>N/A</w:t>
            </w:r>
          </w:p>
        </w:tc>
        <w:tc>
          <w:tcPr>
            <w:tcW w:w="802" w:type="dxa"/>
            <w:tcBorders>
              <w:top w:val="single" w:sz="4" w:space="0" w:color="000000"/>
              <w:left w:val="single" w:sz="12" w:space="0" w:color="000000"/>
              <w:bottom w:val="single" w:sz="4" w:space="0" w:color="000000"/>
              <w:right w:val="single" w:sz="12" w:space="0" w:color="000000"/>
            </w:tcBorders>
          </w:tcPr>
          <w:p w14:paraId="2A62176E" w14:textId="04F4208E" w:rsidR="000A75F9" w:rsidRDefault="000A75F9" w:rsidP="00F55369">
            <w:pPr>
              <w:spacing w:after="0" w:line="259" w:lineRule="auto"/>
              <w:ind w:left="41" w:right="0" w:firstLine="0"/>
              <w:jc w:val="center"/>
            </w:pPr>
            <w:r>
              <w:rPr>
                <w:b/>
                <w:sz w:val="18"/>
              </w:rPr>
              <w:t>549.1</w:t>
            </w:r>
          </w:p>
        </w:tc>
        <w:tc>
          <w:tcPr>
            <w:tcW w:w="720" w:type="dxa"/>
            <w:tcBorders>
              <w:top w:val="single" w:sz="4" w:space="0" w:color="000000"/>
              <w:left w:val="single" w:sz="12" w:space="0" w:color="000000"/>
              <w:bottom w:val="single" w:sz="4" w:space="0" w:color="000000"/>
              <w:right w:val="single" w:sz="12" w:space="0" w:color="000000"/>
            </w:tcBorders>
          </w:tcPr>
          <w:p w14:paraId="1029B107" w14:textId="2491A4A8" w:rsidR="000A75F9" w:rsidRDefault="000A75F9" w:rsidP="00F55369">
            <w:pPr>
              <w:spacing w:after="0" w:line="259" w:lineRule="auto"/>
              <w:ind w:left="0" w:right="47" w:firstLine="0"/>
              <w:jc w:val="center"/>
            </w:pPr>
            <w:r>
              <w:rPr>
                <w:sz w:val="18"/>
              </w:rPr>
              <w:t>549.2</w:t>
            </w:r>
          </w:p>
        </w:tc>
        <w:tc>
          <w:tcPr>
            <w:tcW w:w="720" w:type="dxa"/>
            <w:tcBorders>
              <w:top w:val="single" w:sz="4" w:space="0" w:color="000000"/>
              <w:left w:val="single" w:sz="12" w:space="0" w:color="000000"/>
              <w:bottom w:val="single" w:sz="4" w:space="0" w:color="000000"/>
              <w:right w:val="single" w:sz="12" w:space="0" w:color="000000"/>
            </w:tcBorders>
          </w:tcPr>
          <w:p w14:paraId="2A7919C2" w14:textId="026675EF" w:rsidR="000A75F9" w:rsidRDefault="000A75F9" w:rsidP="00F55369">
            <w:pPr>
              <w:spacing w:after="0" w:line="259" w:lineRule="auto"/>
              <w:ind w:left="0" w:right="0" w:firstLine="0"/>
              <w:jc w:val="center"/>
            </w:pPr>
          </w:p>
        </w:tc>
      </w:tr>
      <w:tr w:rsidR="000A75F9" w14:paraId="3B6BE9AF" w14:textId="77777777" w:rsidTr="00C23B62">
        <w:trPr>
          <w:trHeight w:val="250"/>
        </w:trPr>
        <w:tc>
          <w:tcPr>
            <w:tcW w:w="3404" w:type="dxa"/>
            <w:tcBorders>
              <w:top w:val="single" w:sz="4" w:space="0" w:color="000000"/>
              <w:left w:val="single" w:sz="12" w:space="0" w:color="000000"/>
              <w:bottom w:val="single" w:sz="4" w:space="0" w:color="000000"/>
              <w:right w:val="single" w:sz="12" w:space="0" w:color="000000"/>
            </w:tcBorders>
          </w:tcPr>
          <w:p w14:paraId="17F9C837" w14:textId="77777777" w:rsidR="000A75F9" w:rsidRDefault="000A75F9" w:rsidP="000A75F9">
            <w:pPr>
              <w:spacing w:after="0" w:line="259" w:lineRule="auto"/>
              <w:ind w:left="2" w:right="0" w:firstLine="0"/>
            </w:pPr>
            <w:r>
              <w:rPr>
                <w:sz w:val="18"/>
              </w:rPr>
              <w:t xml:space="preserve">Endothall </w:t>
            </w:r>
          </w:p>
        </w:tc>
        <w:tc>
          <w:tcPr>
            <w:tcW w:w="1172" w:type="dxa"/>
            <w:tcBorders>
              <w:top w:val="single" w:sz="4" w:space="0" w:color="000000"/>
              <w:left w:val="single" w:sz="12" w:space="0" w:color="000000"/>
              <w:bottom w:val="single" w:sz="4" w:space="0" w:color="000000"/>
              <w:right w:val="single" w:sz="12" w:space="0" w:color="000000"/>
            </w:tcBorders>
          </w:tcPr>
          <w:p w14:paraId="6482A72B" w14:textId="2FC70E71" w:rsidR="000A75F9" w:rsidRDefault="000A75F9" w:rsidP="00F55369">
            <w:pPr>
              <w:spacing w:after="0" w:line="259" w:lineRule="auto"/>
              <w:ind w:left="0" w:right="44" w:firstLine="0"/>
              <w:jc w:val="center"/>
            </w:pPr>
            <w:r>
              <w:rPr>
                <w:sz w:val="18"/>
              </w:rPr>
              <w:t>145-73-3</w:t>
            </w:r>
          </w:p>
        </w:tc>
        <w:tc>
          <w:tcPr>
            <w:tcW w:w="880" w:type="dxa"/>
            <w:tcBorders>
              <w:top w:val="single" w:sz="4" w:space="0" w:color="000000"/>
              <w:left w:val="single" w:sz="12" w:space="0" w:color="000000"/>
              <w:bottom w:val="single" w:sz="4" w:space="0" w:color="000000"/>
              <w:right w:val="single" w:sz="12" w:space="0" w:color="000000"/>
            </w:tcBorders>
          </w:tcPr>
          <w:p w14:paraId="03540E84" w14:textId="0281DCE0" w:rsidR="000A75F9" w:rsidRDefault="000A75F9" w:rsidP="00F55369">
            <w:pPr>
              <w:tabs>
                <w:tab w:val="center" w:pos="308"/>
              </w:tabs>
              <w:spacing w:after="0" w:line="259" w:lineRule="auto"/>
              <w:ind w:left="0" w:right="0" w:firstLine="0"/>
              <w:jc w:val="center"/>
            </w:pPr>
            <w:r>
              <w:rPr>
                <w:sz w:val="18"/>
              </w:rPr>
              <w:t>10</w:t>
            </w:r>
          </w:p>
        </w:tc>
        <w:tc>
          <w:tcPr>
            <w:tcW w:w="878" w:type="dxa"/>
            <w:tcBorders>
              <w:top w:val="single" w:sz="4" w:space="0" w:color="000000"/>
              <w:left w:val="single" w:sz="12" w:space="0" w:color="000000"/>
              <w:bottom w:val="single" w:sz="4" w:space="0" w:color="000000"/>
              <w:right w:val="single" w:sz="12" w:space="0" w:color="000000"/>
            </w:tcBorders>
          </w:tcPr>
          <w:p w14:paraId="4ABD9506" w14:textId="4B031CFF" w:rsidR="000A75F9" w:rsidRDefault="000A75F9" w:rsidP="00F55369">
            <w:pPr>
              <w:spacing w:after="0" w:line="259" w:lineRule="auto"/>
              <w:ind w:left="0" w:right="46" w:firstLine="0"/>
              <w:jc w:val="center"/>
            </w:pPr>
            <w:r>
              <w:rPr>
                <w:sz w:val="18"/>
              </w:rPr>
              <w:t>ug/L</w:t>
            </w:r>
          </w:p>
        </w:tc>
        <w:tc>
          <w:tcPr>
            <w:tcW w:w="880" w:type="dxa"/>
            <w:tcBorders>
              <w:top w:val="single" w:sz="4" w:space="0" w:color="000000"/>
              <w:left w:val="single" w:sz="12" w:space="0" w:color="000000"/>
              <w:bottom w:val="single" w:sz="4" w:space="0" w:color="000000"/>
              <w:right w:val="single" w:sz="12" w:space="0" w:color="000000"/>
            </w:tcBorders>
          </w:tcPr>
          <w:p w14:paraId="660AF46D" w14:textId="517C2F24" w:rsidR="000A75F9" w:rsidRDefault="000A75F9" w:rsidP="00F55369">
            <w:pPr>
              <w:spacing w:after="0" w:line="259" w:lineRule="auto"/>
              <w:ind w:left="0" w:right="47" w:firstLine="0"/>
              <w:jc w:val="center"/>
            </w:pPr>
            <w:r>
              <w:rPr>
                <w:sz w:val="18"/>
              </w:rPr>
              <w:t>N/A</w:t>
            </w:r>
          </w:p>
        </w:tc>
        <w:tc>
          <w:tcPr>
            <w:tcW w:w="1074" w:type="dxa"/>
            <w:tcBorders>
              <w:top w:val="single" w:sz="4" w:space="0" w:color="000000"/>
              <w:left w:val="single" w:sz="12" w:space="0" w:color="000000"/>
              <w:bottom w:val="single" w:sz="4" w:space="0" w:color="000000"/>
              <w:right w:val="single" w:sz="12" w:space="0" w:color="000000"/>
            </w:tcBorders>
          </w:tcPr>
          <w:p w14:paraId="4D4FE3FF" w14:textId="24295404" w:rsidR="000A75F9" w:rsidRDefault="000A75F9" w:rsidP="00F55369">
            <w:pPr>
              <w:spacing w:after="0" w:line="259" w:lineRule="auto"/>
              <w:ind w:left="0" w:right="42" w:firstLine="0"/>
              <w:jc w:val="center"/>
            </w:pPr>
            <w:r>
              <w:rPr>
                <w:sz w:val="18"/>
              </w:rPr>
              <w:t>N/A</w:t>
            </w:r>
          </w:p>
        </w:tc>
        <w:tc>
          <w:tcPr>
            <w:tcW w:w="802" w:type="dxa"/>
            <w:tcBorders>
              <w:top w:val="single" w:sz="4" w:space="0" w:color="000000"/>
              <w:left w:val="single" w:sz="12" w:space="0" w:color="000000"/>
              <w:bottom w:val="single" w:sz="4" w:space="0" w:color="000000"/>
              <w:right w:val="single" w:sz="12" w:space="0" w:color="000000"/>
            </w:tcBorders>
          </w:tcPr>
          <w:p w14:paraId="0CEA84C8" w14:textId="6088F26C" w:rsidR="000A75F9" w:rsidRDefault="000A75F9" w:rsidP="00F55369">
            <w:pPr>
              <w:spacing w:after="0" w:line="259" w:lineRule="auto"/>
              <w:ind w:left="0" w:right="45" w:firstLine="0"/>
              <w:jc w:val="center"/>
            </w:pPr>
            <w:r>
              <w:rPr>
                <w:b/>
                <w:sz w:val="18"/>
              </w:rPr>
              <w:t>548.1</w:t>
            </w:r>
          </w:p>
        </w:tc>
        <w:tc>
          <w:tcPr>
            <w:tcW w:w="720" w:type="dxa"/>
            <w:tcBorders>
              <w:top w:val="single" w:sz="4" w:space="0" w:color="000000"/>
              <w:left w:val="single" w:sz="12" w:space="0" w:color="000000"/>
              <w:bottom w:val="single" w:sz="4" w:space="0" w:color="000000"/>
              <w:right w:val="single" w:sz="12" w:space="0" w:color="000000"/>
            </w:tcBorders>
          </w:tcPr>
          <w:p w14:paraId="1BF4A9A7" w14:textId="00C8F254" w:rsidR="000A75F9" w:rsidRDefault="000A75F9" w:rsidP="00F55369">
            <w:pPr>
              <w:spacing w:after="0" w:line="259" w:lineRule="auto"/>
              <w:ind w:left="0" w:right="0" w:firstLine="0"/>
              <w:jc w:val="center"/>
            </w:pPr>
          </w:p>
        </w:tc>
        <w:tc>
          <w:tcPr>
            <w:tcW w:w="720" w:type="dxa"/>
            <w:tcBorders>
              <w:top w:val="single" w:sz="4" w:space="0" w:color="000000"/>
              <w:left w:val="single" w:sz="12" w:space="0" w:color="000000"/>
              <w:bottom w:val="single" w:sz="4" w:space="0" w:color="000000"/>
              <w:right w:val="single" w:sz="12" w:space="0" w:color="000000"/>
            </w:tcBorders>
          </w:tcPr>
          <w:p w14:paraId="141D199A" w14:textId="380532DE" w:rsidR="000A75F9" w:rsidRDefault="000A75F9" w:rsidP="00F55369">
            <w:pPr>
              <w:spacing w:after="0" w:line="259" w:lineRule="auto"/>
              <w:ind w:left="0" w:right="0" w:firstLine="0"/>
              <w:jc w:val="center"/>
            </w:pPr>
          </w:p>
        </w:tc>
      </w:tr>
      <w:tr w:rsidR="000A75F9" w14:paraId="3C54AFA0" w14:textId="77777777" w:rsidTr="00C23B62">
        <w:trPr>
          <w:trHeight w:val="250"/>
        </w:trPr>
        <w:tc>
          <w:tcPr>
            <w:tcW w:w="3404" w:type="dxa"/>
            <w:tcBorders>
              <w:top w:val="single" w:sz="4" w:space="0" w:color="000000"/>
              <w:left w:val="single" w:sz="12" w:space="0" w:color="000000"/>
              <w:bottom w:val="single" w:sz="4" w:space="0" w:color="000000"/>
              <w:right w:val="single" w:sz="12" w:space="0" w:color="000000"/>
            </w:tcBorders>
          </w:tcPr>
          <w:p w14:paraId="35F0B604" w14:textId="577B058F" w:rsidR="000A75F9" w:rsidRDefault="000A75F9" w:rsidP="000A75F9">
            <w:pPr>
              <w:spacing w:after="0" w:line="259" w:lineRule="auto"/>
              <w:ind w:left="2" w:right="0" w:firstLine="0"/>
            </w:pPr>
            <w:proofErr w:type="spellStart"/>
            <w:r>
              <w:rPr>
                <w:sz w:val="18"/>
              </w:rPr>
              <w:t>Ethafluralin</w:t>
            </w:r>
            <w:proofErr w:type="spellEnd"/>
            <w:r>
              <w:rPr>
                <w:sz w:val="18"/>
              </w:rPr>
              <w:t xml:space="preserve"> (</w:t>
            </w:r>
            <w:proofErr w:type="spellStart"/>
            <w:r>
              <w:rPr>
                <w:i/>
                <w:sz w:val="18"/>
              </w:rPr>
              <w:t>Sonalan</w:t>
            </w:r>
            <w:proofErr w:type="spellEnd"/>
            <w:r>
              <w:rPr>
                <w:i/>
                <w:sz w:val="18"/>
              </w:rPr>
              <w:t xml:space="preserve">) </w:t>
            </w:r>
          </w:p>
        </w:tc>
        <w:tc>
          <w:tcPr>
            <w:tcW w:w="1172" w:type="dxa"/>
            <w:tcBorders>
              <w:top w:val="single" w:sz="4" w:space="0" w:color="000000"/>
              <w:left w:val="single" w:sz="12" w:space="0" w:color="000000"/>
              <w:bottom w:val="single" w:sz="4" w:space="0" w:color="000000"/>
              <w:right w:val="single" w:sz="12" w:space="0" w:color="000000"/>
            </w:tcBorders>
          </w:tcPr>
          <w:p w14:paraId="6E839051" w14:textId="3A7D4AE3" w:rsidR="000A75F9" w:rsidRDefault="000A75F9" w:rsidP="00F55369">
            <w:pPr>
              <w:spacing w:after="0" w:line="259" w:lineRule="auto"/>
              <w:ind w:left="0" w:right="44" w:firstLine="0"/>
              <w:jc w:val="center"/>
            </w:pPr>
            <w:r>
              <w:rPr>
                <w:sz w:val="18"/>
              </w:rPr>
              <w:t>55283-68-6</w:t>
            </w:r>
          </w:p>
        </w:tc>
        <w:tc>
          <w:tcPr>
            <w:tcW w:w="880" w:type="dxa"/>
            <w:tcBorders>
              <w:top w:val="single" w:sz="4" w:space="0" w:color="000000"/>
              <w:left w:val="single" w:sz="12" w:space="0" w:color="000000"/>
              <w:bottom w:val="single" w:sz="4" w:space="0" w:color="000000"/>
              <w:right w:val="single" w:sz="12" w:space="0" w:color="000000"/>
            </w:tcBorders>
          </w:tcPr>
          <w:p w14:paraId="48445D99" w14:textId="73AEBC68" w:rsidR="000A75F9" w:rsidRDefault="000A75F9" w:rsidP="00F55369">
            <w:pPr>
              <w:tabs>
                <w:tab w:val="center" w:pos="354"/>
              </w:tabs>
              <w:spacing w:after="0" w:line="259" w:lineRule="auto"/>
              <w:ind w:left="0" w:right="0" w:firstLine="0"/>
              <w:jc w:val="center"/>
            </w:pPr>
            <w:r>
              <w:rPr>
                <w:sz w:val="18"/>
              </w:rPr>
              <w:t>1</w:t>
            </w:r>
          </w:p>
        </w:tc>
        <w:tc>
          <w:tcPr>
            <w:tcW w:w="878" w:type="dxa"/>
            <w:tcBorders>
              <w:top w:val="single" w:sz="4" w:space="0" w:color="000000"/>
              <w:left w:val="single" w:sz="12" w:space="0" w:color="000000"/>
              <w:bottom w:val="single" w:sz="4" w:space="0" w:color="000000"/>
              <w:right w:val="single" w:sz="12" w:space="0" w:color="000000"/>
            </w:tcBorders>
          </w:tcPr>
          <w:p w14:paraId="01C79F43" w14:textId="117EC8BC" w:rsidR="000A75F9" w:rsidRDefault="000A75F9" w:rsidP="00F55369">
            <w:pPr>
              <w:spacing w:after="0" w:line="259" w:lineRule="auto"/>
              <w:ind w:left="0" w:right="46" w:firstLine="0"/>
              <w:jc w:val="center"/>
            </w:pPr>
            <w:r>
              <w:rPr>
                <w:sz w:val="18"/>
              </w:rPr>
              <w:t>ug/L</w:t>
            </w:r>
          </w:p>
        </w:tc>
        <w:tc>
          <w:tcPr>
            <w:tcW w:w="880" w:type="dxa"/>
            <w:tcBorders>
              <w:top w:val="single" w:sz="4" w:space="0" w:color="000000"/>
              <w:left w:val="single" w:sz="12" w:space="0" w:color="000000"/>
              <w:bottom w:val="single" w:sz="4" w:space="0" w:color="000000"/>
              <w:right w:val="single" w:sz="12" w:space="0" w:color="000000"/>
            </w:tcBorders>
          </w:tcPr>
          <w:p w14:paraId="6235774C" w14:textId="47E79DF4" w:rsidR="000A75F9" w:rsidRDefault="000A75F9" w:rsidP="00F55369">
            <w:pPr>
              <w:spacing w:after="0" w:line="259" w:lineRule="auto"/>
              <w:ind w:left="0" w:right="47" w:firstLine="0"/>
              <w:jc w:val="center"/>
            </w:pPr>
            <w:r>
              <w:rPr>
                <w:sz w:val="18"/>
              </w:rPr>
              <w:t>N/A</w:t>
            </w:r>
          </w:p>
        </w:tc>
        <w:tc>
          <w:tcPr>
            <w:tcW w:w="1074" w:type="dxa"/>
            <w:tcBorders>
              <w:top w:val="single" w:sz="4" w:space="0" w:color="000000"/>
              <w:left w:val="single" w:sz="12" w:space="0" w:color="000000"/>
              <w:bottom w:val="single" w:sz="4" w:space="0" w:color="000000"/>
              <w:right w:val="single" w:sz="12" w:space="0" w:color="000000"/>
            </w:tcBorders>
          </w:tcPr>
          <w:p w14:paraId="382E9406" w14:textId="1BA36253" w:rsidR="000A75F9" w:rsidRDefault="000A75F9" w:rsidP="00F55369">
            <w:pPr>
              <w:spacing w:after="0" w:line="259" w:lineRule="auto"/>
              <w:ind w:left="0" w:right="42" w:firstLine="0"/>
              <w:jc w:val="center"/>
            </w:pPr>
            <w:r>
              <w:rPr>
                <w:sz w:val="18"/>
              </w:rPr>
              <w:t>N/A</w:t>
            </w:r>
          </w:p>
        </w:tc>
        <w:tc>
          <w:tcPr>
            <w:tcW w:w="802" w:type="dxa"/>
            <w:tcBorders>
              <w:top w:val="single" w:sz="4" w:space="0" w:color="000000"/>
              <w:left w:val="single" w:sz="12" w:space="0" w:color="000000"/>
              <w:bottom w:val="single" w:sz="4" w:space="0" w:color="000000"/>
              <w:right w:val="single" w:sz="12" w:space="0" w:color="000000"/>
            </w:tcBorders>
          </w:tcPr>
          <w:p w14:paraId="6DF18CDC" w14:textId="65FFC4F8" w:rsidR="000A75F9" w:rsidRDefault="000A75F9" w:rsidP="00F55369">
            <w:pPr>
              <w:spacing w:after="0" w:line="259" w:lineRule="auto"/>
              <w:ind w:left="0" w:right="0" w:firstLine="0"/>
              <w:jc w:val="center"/>
            </w:pPr>
            <w:r>
              <w:rPr>
                <w:b/>
                <w:sz w:val="18"/>
              </w:rPr>
              <w:t>627</w:t>
            </w:r>
          </w:p>
        </w:tc>
        <w:tc>
          <w:tcPr>
            <w:tcW w:w="720" w:type="dxa"/>
            <w:tcBorders>
              <w:top w:val="single" w:sz="4" w:space="0" w:color="000000"/>
              <w:left w:val="single" w:sz="12" w:space="0" w:color="000000"/>
              <w:bottom w:val="single" w:sz="4" w:space="0" w:color="000000"/>
              <w:right w:val="single" w:sz="12" w:space="0" w:color="000000"/>
            </w:tcBorders>
          </w:tcPr>
          <w:p w14:paraId="66B5B63A" w14:textId="20344E7D" w:rsidR="000A75F9" w:rsidRDefault="000A75F9" w:rsidP="00F55369">
            <w:pPr>
              <w:spacing w:after="0" w:line="259" w:lineRule="auto"/>
              <w:ind w:left="0" w:right="44" w:firstLine="0"/>
              <w:jc w:val="center"/>
            </w:pPr>
            <w:r>
              <w:rPr>
                <w:sz w:val="18"/>
              </w:rPr>
              <w:t>1656</w:t>
            </w:r>
          </w:p>
        </w:tc>
        <w:tc>
          <w:tcPr>
            <w:tcW w:w="720" w:type="dxa"/>
            <w:tcBorders>
              <w:top w:val="single" w:sz="4" w:space="0" w:color="000000"/>
              <w:left w:val="single" w:sz="12" w:space="0" w:color="000000"/>
              <w:bottom w:val="single" w:sz="4" w:space="0" w:color="000000"/>
              <w:right w:val="single" w:sz="12" w:space="0" w:color="000000"/>
            </w:tcBorders>
          </w:tcPr>
          <w:p w14:paraId="641CB4E5" w14:textId="11B3D692" w:rsidR="000A75F9" w:rsidRDefault="000A75F9" w:rsidP="00F55369">
            <w:pPr>
              <w:spacing w:after="0" w:line="259" w:lineRule="auto"/>
              <w:ind w:left="0" w:right="0" w:firstLine="0"/>
              <w:jc w:val="center"/>
            </w:pPr>
          </w:p>
        </w:tc>
      </w:tr>
      <w:tr w:rsidR="000A75F9" w14:paraId="30E3509B" w14:textId="77777777" w:rsidTr="00C23B62">
        <w:trPr>
          <w:trHeight w:val="250"/>
        </w:trPr>
        <w:tc>
          <w:tcPr>
            <w:tcW w:w="3404" w:type="dxa"/>
            <w:tcBorders>
              <w:top w:val="single" w:sz="4" w:space="0" w:color="000000"/>
              <w:left w:val="single" w:sz="12" w:space="0" w:color="000000"/>
              <w:bottom w:val="single" w:sz="4" w:space="0" w:color="000000"/>
              <w:right w:val="single" w:sz="12" w:space="0" w:color="000000"/>
            </w:tcBorders>
          </w:tcPr>
          <w:p w14:paraId="17E25F53" w14:textId="4A23328C" w:rsidR="000A75F9" w:rsidRDefault="000A75F9" w:rsidP="000A75F9">
            <w:pPr>
              <w:spacing w:after="0" w:line="259" w:lineRule="auto"/>
              <w:ind w:left="2" w:right="0" w:firstLine="0"/>
            </w:pPr>
            <w:proofErr w:type="spellStart"/>
            <w:r>
              <w:rPr>
                <w:sz w:val="18"/>
              </w:rPr>
              <w:t>Profluralin</w:t>
            </w:r>
            <w:proofErr w:type="spellEnd"/>
            <w:r>
              <w:rPr>
                <w:sz w:val="18"/>
              </w:rPr>
              <w:t xml:space="preserve"> (</w:t>
            </w:r>
            <w:proofErr w:type="spellStart"/>
            <w:r>
              <w:rPr>
                <w:i/>
                <w:sz w:val="18"/>
              </w:rPr>
              <w:t>Tolban</w:t>
            </w:r>
            <w:proofErr w:type="spellEnd"/>
            <w:r>
              <w:rPr>
                <w:i/>
                <w:sz w:val="18"/>
              </w:rPr>
              <w:t xml:space="preserve">) </w:t>
            </w:r>
          </w:p>
        </w:tc>
        <w:tc>
          <w:tcPr>
            <w:tcW w:w="1172" w:type="dxa"/>
            <w:tcBorders>
              <w:top w:val="single" w:sz="4" w:space="0" w:color="000000"/>
              <w:left w:val="single" w:sz="12" w:space="0" w:color="000000"/>
              <w:bottom w:val="single" w:sz="4" w:space="0" w:color="000000"/>
              <w:right w:val="single" w:sz="12" w:space="0" w:color="000000"/>
            </w:tcBorders>
          </w:tcPr>
          <w:p w14:paraId="626FB097" w14:textId="3B3B6B9E" w:rsidR="000A75F9" w:rsidRDefault="000A75F9" w:rsidP="00F55369">
            <w:pPr>
              <w:spacing w:after="0" w:line="259" w:lineRule="auto"/>
              <w:ind w:left="0" w:right="44" w:firstLine="0"/>
              <w:jc w:val="center"/>
            </w:pPr>
            <w:r>
              <w:rPr>
                <w:sz w:val="18"/>
              </w:rPr>
              <w:t>26399-36-0</w:t>
            </w:r>
          </w:p>
        </w:tc>
        <w:tc>
          <w:tcPr>
            <w:tcW w:w="880" w:type="dxa"/>
            <w:tcBorders>
              <w:top w:val="single" w:sz="4" w:space="0" w:color="000000"/>
              <w:left w:val="single" w:sz="12" w:space="0" w:color="000000"/>
              <w:bottom w:val="single" w:sz="4" w:space="0" w:color="000000"/>
              <w:right w:val="single" w:sz="12" w:space="0" w:color="000000"/>
            </w:tcBorders>
          </w:tcPr>
          <w:p w14:paraId="71D68EF5" w14:textId="719C584C" w:rsidR="000A75F9" w:rsidRDefault="000A75F9" w:rsidP="00F55369">
            <w:pPr>
              <w:tabs>
                <w:tab w:val="center" w:pos="308"/>
              </w:tabs>
              <w:spacing w:after="0" w:line="259" w:lineRule="auto"/>
              <w:ind w:left="0" w:right="0" w:firstLine="0"/>
              <w:jc w:val="center"/>
            </w:pPr>
            <w:r>
              <w:rPr>
                <w:sz w:val="18"/>
              </w:rPr>
              <w:t>10</w:t>
            </w:r>
          </w:p>
        </w:tc>
        <w:tc>
          <w:tcPr>
            <w:tcW w:w="878" w:type="dxa"/>
            <w:tcBorders>
              <w:top w:val="single" w:sz="4" w:space="0" w:color="000000"/>
              <w:left w:val="single" w:sz="12" w:space="0" w:color="000000"/>
              <w:bottom w:val="single" w:sz="4" w:space="0" w:color="000000"/>
              <w:right w:val="single" w:sz="12" w:space="0" w:color="000000"/>
            </w:tcBorders>
          </w:tcPr>
          <w:p w14:paraId="4F3741BE" w14:textId="15F45BE4" w:rsidR="000A75F9" w:rsidRDefault="000A75F9" w:rsidP="00F55369">
            <w:pPr>
              <w:spacing w:after="0" w:line="259" w:lineRule="auto"/>
              <w:ind w:left="0" w:right="46" w:firstLine="0"/>
              <w:jc w:val="center"/>
            </w:pPr>
            <w:r>
              <w:rPr>
                <w:sz w:val="18"/>
              </w:rPr>
              <w:t>ug/L</w:t>
            </w:r>
          </w:p>
        </w:tc>
        <w:tc>
          <w:tcPr>
            <w:tcW w:w="880" w:type="dxa"/>
            <w:tcBorders>
              <w:top w:val="single" w:sz="4" w:space="0" w:color="000000"/>
              <w:left w:val="single" w:sz="12" w:space="0" w:color="000000"/>
              <w:bottom w:val="single" w:sz="4" w:space="0" w:color="000000"/>
              <w:right w:val="single" w:sz="12" w:space="0" w:color="000000"/>
            </w:tcBorders>
          </w:tcPr>
          <w:p w14:paraId="15E1EFDE" w14:textId="5A75EC1B" w:rsidR="000A75F9" w:rsidRDefault="000A75F9" w:rsidP="00F55369">
            <w:pPr>
              <w:spacing w:after="0" w:line="259" w:lineRule="auto"/>
              <w:ind w:left="0" w:right="47" w:firstLine="0"/>
              <w:jc w:val="center"/>
            </w:pPr>
            <w:r>
              <w:rPr>
                <w:sz w:val="18"/>
              </w:rPr>
              <w:t>N/A</w:t>
            </w:r>
          </w:p>
        </w:tc>
        <w:tc>
          <w:tcPr>
            <w:tcW w:w="1074" w:type="dxa"/>
            <w:tcBorders>
              <w:top w:val="single" w:sz="4" w:space="0" w:color="000000"/>
              <w:left w:val="single" w:sz="12" w:space="0" w:color="000000"/>
              <w:bottom w:val="single" w:sz="4" w:space="0" w:color="000000"/>
              <w:right w:val="single" w:sz="12" w:space="0" w:color="000000"/>
            </w:tcBorders>
          </w:tcPr>
          <w:p w14:paraId="17BBC2F6" w14:textId="78EF9D13" w:rsidR="000A75F9" w:rsidRDefault="000A75F9" w:rsidP="00F55369">
            <w:pPr>
              <w:spacing w:after="0" w:line="259" w:lineRule="auto"/>
              <w:ind w:left="0" w:right="42" w:firstLine="0"/>
              <w:jc w:val="center"/>
            </w:pPr>
            <w:r>
              <w:rPr>
                <w:sz w:val="18"/>
              </w:rPr>
              <w:t>N/A</w:t>
            </w:r>
          </w:p>
        </w:tc>
        <w:tc>
          <w:tcPr>
            <w:tcW w:w="802" w:type="dxa"/>
            <w:tcBorders>
              <w:top w:val="single" w:sz="4" w:space="0" w:color="000000"/>
              <w:left w:val="single" w:sz="12" w:space="0" w:color="000000"/>
              <w:bottom w:val="single" w:sz="4" w:space="0" w:color="000000"/>
              <w:right w:val="single" w:sz="12" w:space="0" w:color="000000"/>
            </w:tcBorders>
          </w:tcPr>
          <w:p w14:paraId="19330A65" w14:textId="1B69D6DE" w:rsidR="000A75F9" w:rsidRDefault="000A75F9" w:rsidP="00F55369">
            <w:pPr>
              <w:spacing w:after="0" w:line="259" w:lineRule="auto"/>
              <w:ind w:left="0" w:right="0" w:firstLine="0"/>
              <w:jc w:val="center"/>
            </w:pPr>
            <w:r>
              <w:rPr>
                <w:b/>
                <w:sz w:val="18"/>
              </w:rPr>
              <w:t>627</w:t>
            </w:r>
          </w:p>
        </w:tc>
        <w:tc>
          <w:tcPr>
            <w:tcW w:w="720" w:type="dxa"/>
            <w:tcBorders>
              <w:top w:val="single" w:sz="4" w:space="0" w:color="000000"/>
              <w:left w:val="single" w:sz="12" w:space="0" w:color="000000"/>
              <w:bottom w:val="single" w:sz="4" w:space="0" w:color="000000"/>
              <w:right w:val="single" w:sz="12" w:space="0" w:color="000000"/>
            </w:tcBorders>
          </w:tcPr>
          <w:p w14:paraId="562292EA" w14:textId="4664CAF4" w:rsidR="000A75F9" w:rsidRDefault="000A75F9" w:rsidP="00F55369">
            <w:pPr>
              <w:spacing w:after="0" w:line="259" w:lineRule="auto"/>
              <w:ind w:left="0" w:right="0" w:firstLine="0"/>
              <w:jc w:val="center"/>
            </w:pPr>
          </w:p>
        </w:tc>
        <w:tc>
          <w:tcPr>
            <w:tcW w:w="720" w:type="dxa"/>
            <w:tcBorders>
              <w:top w:val="single" w:sz="4" w:space="0" w:color="000000"/>
              <w:left w:val="single" w:sz="12" w:space="0" w:color="000000"/>
              <w:bottom w:val="single" w:sz="4" w:space="0" w:color="000000"/>
              <w:right w:val="single" w:sz="12" w:space="0" w:color="000000"/>
            </w:tcBorders>
          </w:tcPr>
          <w:p w14:paraId="076B0D21" w14:textId="23CAD759" w:rsidR="000A75F9" w:rsidRDefault="000A75F9" w:rsidP="00F55369">
            <w:pPr>
              <w:spacing w:after="0" w:line="259" w:lineRule="auto"/>
              <w:ind w:left="0" w:right="0" w:firstLine="0"/>
              <w:jc w:val="center"/>
            </w:pPr>
          </w:p>
        </w:tc>
      </w:tr>
      <w:tr w:rsidR="000A75F9" w14:paraId="278CE990" w14:textId="77777777" w:rsidTr="00C23B62">
        <w:trPr>
          <w:trHeight w:val="252"/>
        </w:trPr>
        <w:tc>
          <w:tcPr>
            <w:tcW w:w="3404" w:type="dxa"/>
            <w:tcBorders>
              <w:top w:val="single" w:sz="4" w:space="0" w:color="000000"/>
              <w:left w:val="single" w:sz="12" w:space="0" w:color="000000"/>
              <w:bottom w:val="single" w:sz="4" w:space="0" w:color="000000"/>
              <w:right w:val="single" w:sz="12" w:space="0" w:color="000000"/>
            </w:tcBorders>
          </w:tcPr>
          <w:p w14:paraId="1B9804D5" w14:textId="77777777" w:rsidR="000A75F9" w:rsidRDefault="000A75F9" w:rsidP="000A75F9">
            <w:pPr>
              <w:spacing w:after="0" w:line="259" w:lineRule="auto"/>
              <w:ind w:left="2" w:right="0" w:firstLine="0"/>
            </w:pPr>
            <w:r>
              <w:rPr>
                <w:sz w:val="18"/>
              </w:rPr>
              <w:t xml:space="preserve">Pendimethalin </w:t>
            </w:r>
          </w:p>
        </w:tc>
        <w:tc>
          <w:tcPr>
            <w:tcW w:w="1172" w:type="dxa"/>
            <w:tcBorders>
              <w:top w:val="single" w:sz="4" w:space="0" w:color="000000"/>
              <w:left w:val="single" w:sz="12" w:space="0" w:color="000000"/>
              <w:bottom w:val="single" w:sz="4" w:space="0" w:color="000000"/>
              <w:right w:val="single" w:sz="12" w:space="0" w:color="000000"/>
            </w:tcBorders>
          </w:tcPr>
          <w:p w14:paraId="31FE0D89" w14:textId="37B4299B" w:rsidR="000A75F9" w:rsidRDefault="000A75F9" w:rsidP="00F55369">
            <w:pPr>
              <w:spacing w:after="0" w:line="259" w:lineRule="auto"/>
              <w:ind w:left="0" w:right="44" w:firstLine="0"/>
              <w:jc w:val="center"/>
            </w:pPr>
            <w:r>
              <w:rPr>
                <w:sz w:val="18"/>
              </w:rPr>
              <w:t>40487-42-1</w:t>
            </w:r>
          </w:p>
        </w:tc>
        <w:tc>
          <w:tcPr>
            <w:tcW w:w="880" w:type="dxa"/>
            <w:tcBorders>
              <w:top w:val="single" w:sz="4" w:space="0" w:color="000000"/>
              <w:left w:val="single" w:sz="12" w:space="0" w:color="000000"/>
              <w:bottom w:val="single" w:sz="4" w:space="0" w:color="000000"/>
              <w:right w:val="single" w:sz="12" w:space="0" w:color="000000"/>
            </w:tcBorders>
          </w:tcPr>
          <w:p w14:paraId="7A5A1669" w14:textId="15ACE299" w:rsidR="000A75F9" w:rsidRDefault="000A75F9" w:rsidP="00F55369">
            <w:pPr>
              <w:tabs>
                <w:tab w:val="center" w:pos="308"/>
              </w:tabs>
              <w:spacing w:after="0" w:line="259" w:lineRule="auto"/>
              <w:ind w:left="0" w:right="0" w:firstLine="0"/>
              <w:jc w:val="center"/>
            </w:pPr>
            <w:r>
              <w:rPr>
                <w:sz w:val="18"/>
              </w:rPr>
              <w:t>10</w:t>
            </w:r>
          </w:p>
        </w:tc>
        <w:tc>
          <w:tcPr>
            <w:tcW w:w="878" w:type="dxa"/>
            <w:tcBorders>
              <w:top w:val="single" w:sz="4" w:space="0" w:color="000000"/>
              <w:left w:val="single" w:sz="12" w:space="0" w:color="000000"/>
              <w:bottom w:val="single" w:sz="4" w:space="0" w:color="000000"/>
              <w:right w:val="single" w:sz="12" w:space="0" w:color="000000"/>
            </w:tcBorders>
          </w:tcPr>
          <w:p w14:paraId="6D1AAB95" w14:textId="247DBF68" w:rsidR="000A75F9" w:rsidRDefault="000A75F9" w:rsidP="00F55369">
            <w:pPr>
              <w:spacing w:after="0" w:line="259" w:lineRule="auto"/>
              <w:ind w:left="0" w:right="46" w:firstLine="0"/>
              <w:jc w:val="center"/>
            </w:pPr>
            <w:r>
              <w:rPr>
                <w:sz w:val="18"/>
              </w:rPr>
              <w:t>ug/L</w:t>
            </w:r>
          </w:p>
        </w:tc>
        <w:tc>
          <w:tcPr>
            <w:tcW w:w="880" w:type="dxa"/>
            <w:tcBorders>
              <w:top w:val="single" w:sz="4" w:space="0" w:color="000000"/>
              <w:left w:val="single" w:sz="12" w:space="0" w:color="000000"/>
              <w:bottom w:val="single" w:sz="4" w:space="0" w:color="000000"/>
              <w:right w:val="single" w:sz="12" w:space="0" w:color="000000"/>
            </w:tcBorders>
          </w:tcPr>
          <w:p w14:paraId="333573A2" w14:textId="0724B8A0" w:rsidR="000A75F9" w:rsidRDefault="000A75F9" w:rsidP="00F55369">
            <w:pPr>
              <w:spacing w:after="0" w:line="259" w:lineRule="auto"/>
              <w:ind w:left="0" w:right="47" w:firstLine="0"/>
              <w:jc w:val="center"/>
            </w:pPr>
            <w:r>
              <w:rPr>
                <w:sz w:val="18"/>
              </w:rPr>
              <w:t>N/A</w:t>
            </w:r>
          </w:p>
        </w:tc>
        <w:tc>
          <w:tcPr>
            <w:tcW w:w="1074" w:type="dxa"/>
            <w:tcBorders>
              <w:top w:val="single" w:sz="4" w:space="0" w:color="000000"/>
              <w:left w:val="single" w:sz="12" w:space="0" w:color="000000"/>
              <w:bottom w:val="single" w:sz="4" w:space="0" w:color="000000"/>
              <w:right w:val="single" w:sz="12" w:space="0" w:color="000000"/>
            </w:tcBorders>
          </w:tcPr>
          <w:p w14:paraId="24A1D51C" w14:textId="26CB7C50" w:rsidR="000A75F9" w:rsidRDefault="000A75F9" w:rsidP="00F55369">
            <w:pPr>
              <w:spacing w:after="0" w:line="259" w:lineRule="auto"/>
              <w:ind w:left="0" w:right="42" w:firstLine="0"/>
              <w:jc w:val="center"/>
            </w:pPr>
            <w:r>
              <w:rPr>
                <w:sz w:val="18"/>
              </w:rPr>
              <w:t>N/A</w:t>
            </w:r>
          </w:p>
        </w:tc>
        <w:tc>
          <w:tcPr>
            <w:tcW w:w="802" w:type="dxa"/>
            <w:tcBorders>
              <w:top w:val="single" w:sz="4" w:space="0" w:color="000000"/>
              <w:left w:val="single" w:sz="12" w:space="0" w:color="000000"/>
              <w:bottom w:val="single" w:sz="4" w:space="0" w:color="000000"/>
              <w:right w:val="single" w:sz="12" w:space="0" w:color="000000"/>
            </w:tcBorders>
          </w:tcPr>
          <w:p w14:paraId="6F79630B" w14:textId="676CC6A7" w:rsidR="000A75F9" w:rsidRDefault="000A75F9" w:rsidP="00F55369">
            <w:pPr>
              <w:spacing w:after="0" w:line="259" w:lineRule="auto"/>
              <w:ind w:left="0" w:right="0" w:firstLine="0"/>
              <w:jc w:val="center"/>
            </w:pPr>
            <w:r>
              <w:rPr>
                <w:b/>
                <w:sz w:val="18"/>
              </w:rPr>
              <w:t>1656</w:t>
            </w:r>
          </w:p>
        </w:tc>
        <w:tc>
          <w:tcPr>
            <w:tcW w:w="720" w:type="dxa"/>
            <w:tcBorders>
              <w:top w:val="single" w:sz="4" w:space="0" w:color="000000"/>
              <w:left w:val="single" w:sz="12" w:space="0" w:color="000000"/>
              <w:bottom w:val="single" w:sz="4" w:space="0" w:color="000000"/>
              <w:right w:val="single" w:sz="12" w:space="0" w:color="000000"/>
            </w:tcBorders>
          </w:tcPr>
          <w:p w14:paraId="1ED98EF7" w14:textId="530DDA58" w:rsidR="000A75F9" w:rsidRDefault="000A75F9" w:rsidP="00F55369">
            <w:pPr>
              <w:spacing w:after="0" w:line="259" w:lineRule="auto"/>
              <w:ind w:left="0" w:right="0" w:firstLine="0"/>
              <w:jc w:val="center"/>
            </w:pPr>
          </w:p>
        </w:tc>
        <w:tc>
          <w:tcPr>
            <w:tcW w:w="720" w:type="dxa"/>
            <w:tcBorders>
              <w:top w:val="single" w:sz="4" w:space="0" w:color="000000"/>
              <w:left w:val="single" w:sz="12" w:space="0" w:color="000000"/>
              <w:bottom w:val="single" w:sz="4" w:space="0" w:color="000000"/>
              <w:right w:val="single" w:sz="12" w:space="0" w:color="000000"/>
            </w:tcBorders>
          </w:tcPr>
          <w:p w14:paraId="1B4E57D9" w14:textId="557E4E77" w:rsidR="000A75F9" w:rsidRDefault="000A75F9" w:rsidP="00F55369">
            <w:pPr>
              <w:spacing w:after="0" w:line="259" w:lineRule="auto"/>
              <w:ind w:left="0" w:right="0" w:firstLine="0"/>
              <w:jc w:val="center"/>
            </w:pPr>
          </w:p>
        </w:tc>
      </w:tr>
      <w:tr w:rsidR="000A75F9" w14:paraId="278BD62A" w14:textId="77777777" w:rsidTr="00C23B62">
        <w:trPr>
          <w:trHeight w:val="250"/>
        </w:trPr>
        <w:tc>
          <w:tcPr>
            <w:tcW w:w="3404" w:type="dxa"/>
            <w:tcBorders>
              <w:top w:val="single" w:sz="4" w:space="0" w:color="000000"/>
              <w:left w:val="single" w:sz="12" w:space="0" w:color="000000"/>
              <w:bottom w:val="single" w:sz="4" w:space="0" w:color="000000"/>
              <w:right w:val="single" w:sz="12" w:space="0" w:color="000000"/>
            </w:tcBorders>
          </w:tcPr>
          <w:p w14:paraId="63E908F6" w14:textId="7AD21211" w:rsidR="000A75F9" w:rsidRDefault="000A75F9" w:rsidP="000A75F9">
            <w:pPr>
              <w:spacing w:after="0" w:line="259" w:lineRule="auto"/>
              <w:ind w:left="2" w:right="0" w:firstLine="0"/>
            </w:pPr>
            <w:proofErr w:type="spellStart"/>
            <w:r>
              <w:rPr>
                <w:sz w:val="18"/>
              </w:rPr>
              <w:t>Fluchloralin</w:t>
            </w:r>
            <w:proofErr w:type="spellEnd"/>
            <w:r>
              <w:rPr>
                <w:sz w:val="18"/>
              </w:rPr>
              <w:t xml:space="preserve"> (</w:t>
            </w:r>
            <w:proofErr w:type="spellStart"/>
            <w:r>
              <w:rPr>
                <w:i/>
                <w:sz w:val="18"/>
              </w:rPr>
              <w:t>Basalin</w:t>
            </w:r>
            <w:proofErr w:type="spellEnd"/>
            <w:r>
              <w:rPr>
                <w:i/>
                <w:sz w:val="18"/>
              </w:rPr>
              <w:t xml:space="preserve">) </w:t>
            </w:r>
          </w:p>
        </w:tc>
        <w:tc>
          <w:tcPr>
            <w:tcW w:w="1172" w:type="dxa"/>
            <w:tcBorders>
              <w:top w:val="single" w:sz="4" w:space="0" w:color="000000"/>
              <w:left w:val="single" w:sz="12" w:space="0" w:color="000000"/>
              <w:bottom w:val="single" w:sz="4" w:space="0" w:color="000000"/>
              <w:right w:val="single" w:sz="12" w:space="0" w:color="000000"/>
            </w:tcBorders>
          </w:tcPr>
          <w:p w14:paraId="7E09A26D" w14:textId="699505AB" w:rsidR="000A75F9" w:rsidRDefault="000A75F9" w:rsidP="00F55369">
            <w:pPr>
              <w:spacing w:after="0" w:line="259" w:lineRule="auto"/>
              <w:ind w:left="0" w:right="44" w:firstLine="0"/>
              <w:jc w:val="center"/>
            </w:pPr>
            <w:r>
              <w:rPr>
                <w:sz w:val="18"/>
              </w:rPr>
              <w:t>33245-39-5</w:t>
            </w:r>
          </w:p>
        </w:tc>
        <w:tc>
          <w:tcPr>
            <w:tcW w:w="880" w:type="dxa"/>
            <w:tcBorders>
              <w:top w:val="single" w:sz="4" w:space="0" w:color="000000"/>
              <w:left w:val="single" w:sz="12" w:space="0" w:color="000000"/>
              <w:bottom w:val="single" w:sz="4" w:space="0" w:color="000000"/>
              <w:right w:val="single" w:sz="12" w:space="0" w:color="000000"/>
            </w:tcBorders>
          </w:tcPr>
          <w:p w14:paraId="52A9205D" w14:textId="1507542E" w:rsidR="000A75F9" w:rsidRDefault="000A75F9" w:rsidP="00F55369">
            <w:pPr>
              <w:tabs>
                <w:tab w:val="center" w:pos="354"/>
              </w:tabs>
              <w:spacing w:after="0" w:line="259" w:lineRule="auto"/>
              <w:ind w:left="0" w:right="0" w:firstLine="0"/>
              <w:jc w:val="center"/>
            </w:pPr>
            <w:r>
              <w:rPr>
                <w:sz w:val="18"/>
              </w:rPr>
              <w:t>1</w:t>
            </w:r>
          </w:p>
        </w:tc>
        <w:tc>
          <w:tcPr>
            <w:tcW w:w="878" w:type="dxa"/>
            <w:tcBorders>
              <w:top w:val="single" w:sz="4" w:space="0" w:color="000000"/>
              <w:left w:val="single" w:sz="12" w:space="0" w:color="000000"/>
              <w:bottom w:val="single" w:sz="4" w:space="0" w:color="000000"/>
              <w:right w:val="single" w:sz="12" w:space="0" w:color="000000"/>
            </w:tcBorders>
          </w:tcPr>
          <w:p w14:paraId="3D4B77DC" w14:textId="55352122" w:rsidR="000A75F9" w:rsidRDefault="000A75F9" w:rsidP="00F55369">
            <w:pPr>
              <w:spacing w:after="0" w:line="259" w:lineRule="auto"/>
              <w:ind w:left="0" w:right="46" w:firstLine="0"/>
              <w:jc w:val="center"/>
            </w:pPr>
            <w:r>
              <w:rPr>
                <w:sz w:val="18"/>
              </w:rPr>
              <w:t>ug/L</w:t>
            </w:r>
          </w:p>
        </w:tc>
        <w:tc>
          <w:tcPr>
            <w:tcW w:w="880" w:type="dxa"/>
            <w:tcBorders>
              <w:top w:val="single" w:sz="4" w:space="0" w:color="000000"/>
              <w:left w:val="single" w:sz="12" w:space="0" w:color="000000"/>
              <w:bottom w:val="single" w:sz="4" w:space="0" w:color="000000"/>
              <w:right w:val="single" w:sz="12" w:space="0" w:color="000000"/>
            </w:tcBorders>
          </w:tcPr>
          <w:p w14:paraId="1342183A" w14:textId="7244E692" w:rsidR="000A75F9" w:rsidRDefault="000A75F9" w:rsidP="00F55369">
            <w:pPr>
              <w:spacing w:after="0" w:line="259" w:lineRule="auto"/>
              <w:ind w:left="0" w:right="47" w:firstLine="0"/>
              <w:jc w:val="center"/>
            </w:pPr>
            <w:r>
              <w:rPr>
                <w:sz w:val="18"/>
              </w:rPr>
              <w:t>N/A</w:t>
            </w:r>
          </w:p>
        </w:tc>
        <w:tc>
          <w:tcPr>
            <w:tcW w:w="1074" w:type="dxa"/>
            <w:tcBorders>
              <w:top w:val="single" w:sz="4" w:space="0" w:color="000000"/>
              <w:left w:val="single" w:sz="12" w:space="0" w:color="000000"/>
              <w:bottom w:val="single" w:sz="4" w:space="0" w:color="000000"/>
              <w:right w:val="single" w:sz="12" w:space="0" w:color="000000"/>
            </w:tcBorders>
          </w:tcPr>
          <w:p w14:paraId="69A832B9" w14:textId="584E6B58" w:rsidR="000A75F9" w:rsidRDefault="000A75F9" w:rsidP="00F55369">
            <w:pPr>
              <w:spacing w:after="0" w:line="259" w:lineRule="auto"/>
              <w:ind w:left="0" w:right="42" w:firstLine="0"/>
              <w:jc w:val="center"/>
            </w:pPr>
            <w:r>
              <w:rPr>
                <w:sz w:val="18"/>
              </w:rPr>
              <w:t>N/A</w:t>
            </w:r>
          </w:p>
        </w:tc>
        <w:tc>
          <w:tcPr>
            <w:tcW w:w="802" w:type="dxa"/>
            <w:tcBorders>
              <w:top w:val="single" w:sz="4" w:space="0" w:color="000000"/>
              <w:left w:val="single" w:sz="12" w:space="0" w:color="000000"/>
              <w:bottom w:val="single" w:sz="4" w:space="0" w:color="000000"/>
              <w:right w:val="single" w:sz="12" w:space="0" w:color="000000"/>
            </w:tcBorders>
          </w:tcPr>
          <w:p w14:paraId="74AED23F" w14:textId="5378F5FF" w:rsidR="000A75F9" w:rsidRDefault="000A75F9" w:rsidP="00F55369">
            <w:pPr>
              <w:spacing w:after="0" w:line="259" w:lineRule="auto"/>
              <w:ind w:left="0" w:right="0" w:firstLine="0"/>
              <w:jc w:val="center"/>
            </w:pPr>
            <w:r>
              <w:rPr>
                <w:b/>
                <w:sz w:val="18"/>
              </w:rPr>
              <w:t>646</w:t>
            </w:r>
          </w:p>
        </w:tc>
        <w:tc>
          <w:tcPr>
            <w:tcW w:w="720" w:type="dxa"/>
            <w:tcBorders>
              <w:top w:val="single" w:sz="4" w:space="0" w:color="000000"/>
              <w:left w:val="single" w:sz="12" w:space="0" w:color="000000"/>
              <w:bottom w:val="single" w:sz="4" w:space="0" w:color="000000"/>
              <w:right w:val="single" w:sz="12" w:space="0" w:color="000000"/>
            </w:tcBorders>
          </w:tcPr>
          <w:p w14:paraId="71C4C26E" w14:textId="6282081C" w:rsidR="000A75F9" w:rsidRDefault="000A75F9" w:rsidP="00F55369">
            <w:pPr>
              <w:spacing w:after="0" w:line="259" w:lineRule="auto"/>
              <w:ind w:left="0" w:right="0" w:firstLine="0"/>
              <w:jc w:val="center"/>
            </w:pPr>
          </w:p>
        </w:tc>
        <w:tc>
          <w:tcPr>
            <w:tcW w:w="720" w:type="dxa"/>
            <w:tcBorders>
              <w:top w:val="single" w:sz="4" w:space="0" w:color="000000"/>
              <w:left w:val="single" w:sz="12" w:space="0" w:color="000000"/>
              <w:bottom w:val="single" w:sz="4" w:space="0" w:color="000000"/>
              <w:right w:val="single" w:sz="12" w:space="0" w:color="000000"/>
            </w:tcBorders>
          </w:tcPr>
          <w:p w14:paraId="2463E66E" w14:textId="317DF729" w:rsidR="000A75F9" w:rsidRDefault="000A75F9" w:rsidP="00F55369">
            <w:pPr>
              <w:spacing w:after="0" w:line="259" w:lineRule="auto"/>
              <w:ind w:left="0" w:right="0" w:firstLine="0"/>
              <w:jc w:val="center"/>
            </w:pPr>
          </w:p>
        </w:tc>
      </w:tr>
      <w:tr w:rsidR="000A75F9" w14:paraId="14DC4CB6" w14:textId="77777777" w:rsidTr="00C23B62">
        <w:trPr>
          <w:trHeight w:val="257"/>
        </w:trPr>
        <w:tc>
          <w:tcPr>
            <w:tcW w:w="3404" w:type="dxa"/>
            <w:tcBorders>
              <w:top w:val="single" w:sz="4" w:space="0" w:color="000000"/>
              <w:left w:val="single" w:sz="12" w:space="0" w:color="000000"/>
              <w:bottom w:val="single" w:sz="12" w:space="0" w:color="000000"/>
              <w:right w:val="single" w:sz="12" w:space="0" w:color="000000"/>
            </w:tcBorders>
          </w:tcPr>
          <w:p w14:paraId="3AA3D8AF" w14:textId="77777777" w:rsidR="000A75F9" w:rsidRDefault="000A75F9" w:rsidP="000A75F9">
            <w:pPr>
              <w:spacing w:after="0" w:line="259" w:lineRule="auto"/>
              <w:ind w:left="2" w:right="0" w:firstLine="0"/>
            </w:pPr>
            <w:r>
              <w:rPr>
                <w:sz w:val="18"/>
              </w:rPr>
              <w:t xml:space="preserve">Glyphosate </w:t>
            </w:r>
          </w:p>
        </w:tc>
        <w:tc>
          <w:tcPr>
            <w:tcW w:w="1172" w:type="dxa"/>
            <w:tcBorders>
              <w:top w:val="single" w:sz="4" w:space="0" w:color="000000"/>
              <w:left w:val="single" w:sz="12" w:space="0" w:color="000000"/>
              <w:bottom w:val="single" w:sz="12" w:space="0" w:color="000000"/>
              <w:right w:val="single" w:sz="12" w:space="0" w:color="000000"/>
            </w:tcBorders>
          </w:tcPr>
          <w:p w14:paraId="3ABC79BB" w14:textId="487FA354" w:rsidR="000A75F9" w:rsidRDefault="000A75F9" w:rsidP="00F55369">
            <w:pPr>
              <w:spacing w:after="0" w:line="259" w:lineRule="auto"/>
              <w:ind w:left="0" w:right="44" w:firstLine="0"/>
              <w:jc w:val="center"/>
            </w:pPr>
            <w:r>
              <w:rPr>
                <w:sz w:val="18"/>
              </w:rPr>
              <w:t>1071-83-6</w:t>
            </w:r>
          </w:p>
        </w:tc>
        <w:tc>
          <w:tcPr>
            <w:tcW w:w="880" w:type="dxa"/>
            <w:tcBorders>
              <w:top w:val="single" w:sz="4" w:space="0" w:color="000000"/>
              <w:left w:val="single" w:sz="12" w:space="0" w:color="000000"/>
              <w:bottom w:val="single" w:sz="12" w:space="0" w:color="000000"/>
              <w:right w:val="single" w:sz="12" w:space="0" w:color="000000"/>
            </w:tcBorders>
          </w:tcPr>
          <w:p w14:paraId="6B96D1B3" w14:textId="63A9B9A3" w:rsidR="000A75F9" w:rsidRDefault="000A75F9" w:rsidP="00F55369">
            <w:pPr>
              <w:spacing w:after="0" w:line="259" w:lineRule="auto"/>
              <w:ind w:left="0" w:right="0" w:firstLine="0"/>
              <w:jc w:val="center"/>
            </w:pPr>
            <w:r>
              <w:rPr>
                <w:sz w:val="18"/>
              </w:rPr>
              <w:t>100</w:t>
            </w:r>
          </w:p>
        </w:tc>
        <w:tc>
          <w:tcPr>
            <w:tcW w:w="878" w:type="dxa"/>
            <w:tcBorders>
              <w:top w:val="single" w:sz="4" w:space="0" w:color="000000"/>
              <w:left w:val="single" w:sz="12" w:space="0" w:color="000000"/>
              <w:bottom w:val="single" w:sz="12" w:space="0" w:color="000000"/>
              <w:right w:val="single" w:sz="12" w:space="0" w:color="000000"/>
            </w:tcBorders>
          </w:tcPr>
          <w:p w14:paraId="13F7A6E8" w14:textId="0143802E" w:rsidR="000A75F9" w:rsidRDefault="000A75F9" w:rsidP="00F55369">
            <w:pPr>
              <w:spacing w:after="0" w:line="259" w:lineRule="auto"/>
              <w:ind w:left="0" w:right="46" w:firstLine="0"/>
              <w:jc w:val="center"/>
            </w:pPr>
            <w:r>
              <w:rPr>
                <w:sz w:val="18"/>
              </w:rPr>
              <w:t>ug/L</w:t>
            </w:r>
          </w:p>
        </w:tc>
        <w:tc>
          <w:tcPr>
            <w:tcW w:w="880" w:type="dxa"/>
            <w:tcBorders>
              <w:top w:val="single" w:sz="4" w:space="0" w:color="000000"/>
              <w:left w:val="single" w:sz="12" w:space="0" w:color="000000"/>
              <w:bottom w:val="single" w:sz="12" w:space="0" w:color="000000"/>
              <w:right w:val="single" w:sz="12" w:space="0" w:color="000000"/>
            </w:tcBorders>
          </w:tcPr>
          <w:p w14:paraId="1ECAD4E5" w14:textId="15990FA6" w:rsidR="000A75F9" w:rsidRDefault="000A75F9" w:rsidP="00F55369">
            <w:pPr>
              <w:spacing w:after="0" w:line="259" w:lineRule="auto"/>
              <w:ind w:left="0" w:right="47" w:firstLine="0"/>
              <w:jc w:val="center"/>
            </w:pPr>
            <w:r>
              <w:rPr>
                <w:sz w:val="18"/>
              </w:rPr>
              <w:t>N/A</w:t>
            </w:r>
          </w:p>
        </w:tc>
        <w:tc>
          <w:tcPr>
            <w:tcW w:w="1074" w:type="dxa"/>
            <w:tcBorders>
              <w:top w:val="single" w:sz="4" w:space="0" w:color="000000"/>
              <w:left w:val="single" w:sz="12" w:space="0" w:color="000000"/>
              <w:bottom w:val="single" w:sz="12" w:space="0" w:color="000000"/>
              <w:right w:val="single" w:sz="12" w:space="0" w:color="000000"/>
            </w:tcBorders>
          </w:tcPr>
          <w:p w14:paraId="66561B06" w14:textId="2BFA09DB" w:rsidR="000A75F9" w:rsidRDefault="000A75F9" w:rsidP="00F55369">
            <w:pPr>
              <w:spacing w:after="0" w:line="259" w:lineRule="auto"/>
              <w:ind w:left="0" w:right="42" w:firstLine="0"/>
              <w:jc w:val="center"/>
            </w:pPr>
            <w:r>
              <w:rPr>
                <w:sz w:val="18"/>
              </w:rPr>
              <w:t>N/A</w:t>
            </w:r>
          </w:p>
        </w:tc>
        <w:tc>
          <w:tcPr>
            <w:tcW w:w="802" w:type="dxa"/>
            <w:tcBorders>
              <w:top w:val="single" w:sz="4" w:space="0" w:color="000000"/>
              <w:left w:val="single" w:sz="12" w:space="0" w:color="000000"/>
              <w:bottom w:val="single" w:sz="12" w:space="0" w:color="000000"/>
              <w:right w:val="single" w:sz="12" w:space="0" w:color="000000"/>
            </w:tcBorders>
          </w:tcPr>
          <w:p w14:paraId="10579A1D" w14:textId="3258DE87" w:rsidR="000A75F9" w:rsidRDefault="000A75F9" w:rsidP="00F55369">
            <w:pPr>
              <w:spacing w:after="0" w:line="259" w:lineRule="auto"/>
              <w:ind w:left="0" w:right="0" w:firstLine="0"/>
              <w:jc w:val="center"/>
            </w:pPr>
            <w:r>
              <w:rPr>
                <w:b/>
                <w:sz w:val="18"/>
              </w:rPr>
              <w:t>547</w:t>
            </w:r>
          </w:p>
        </w:tc>
        <w:tc>
          <w:tcPr>
            <w:tcW w:w="720" w:type="dxa"/>
            <w:tcBorders>
              <w:top w:val="single" w:sz="4" w:space="0" w:color="000000"/>
              <w:left w:val="single" w:sz="12" w:space="0" w:color="000000"/>
              <w:bottom w:val="single" w:sz="12" w:space="0" w:color="000000"/>
              <w:right w:val="single" w:sz="12" w:space="0" w:color="000000"/>
            </w:tcBorders>
          </w:tcPr>
          <w:p w14:paraId="0BBFF15A" w14:textId="165DB993" w:rsidR="000A75F9" w:rsidRDefault="000A75F9" w:rsidP="00F55369">
            <w:pPr>
              <w:spacing w:after="0" w:line="259" w:lineRule="auto"/>
              <w:ind w:left="0" w:right="0" w:firstLine="0"/>
              <w:jc w:val="center"/>
            </w:pPr>
          </w:p>
        </w:tc>
        <w:tc>
          <w:tcPr>
            <w:tcW w:w="720" w:type="dxa"/>
            <w:tcBorders>
              <w:top w:val="single" w:sz="4" w:space="0" w:color="000000"/>
              <w:left w:val="single" w:sz="12" w:space="0" w:color="000000"/>
              <w:bottom w:val="single" w:sz="12" w:space="0" w:color="000000"/>
              <w:right w:val="single" w:sz="12" w:space="0" w:color="000000"/>
            </w:tcBorders>
          </w:tcPr>
          <w:p w14:paraId="5D9AC09E" w14:textId="24A4F40A" w:rsidR="000A75F9" w:rsidRDefault="000A75F9" w:rsidP="00F55369">
            <w:pPr>
              <w:spacing w:after="0" w:line="259" w:lineRule="auto"/>
              <w:ind w:left="0" w:right="0" w:firstLine="0"/>
              <w:jc w:val="center"/>
            </w:pPr>
          </w:p>
        </w:tc>
      </w:tr>
    </w:tbl>
    <w:p w14:paraId="169526C0" w14:textId="72FC584E" w:rsidR="009077D0" w:rsidRPr="002B22D9" w:rsidRDefault="009077D0" w:rsidP="00F505E4">
      <w:pPr>
        <w:spacing w:after="0" w:line="259" w:lineRule="auto"/>
        <w:ind w:left="0" w:right="0" w:firstLine="0"/>
      </w:pPr>
    </w:p>
    <w:p w14:paraId="7660F700" w14:textId="018F11CE" w:rsidR="00912BB6" w:rsidRDefault="00912BB6" w:rsidP="00F505E4">
      <w:pPr>
        <w:spacing w:after="0" w:line="259" w:lineRule="auto"/>
        <w:ind w:right="0"/>
      </w:pPr>
    </w:p>
    <w:p w14:paraId="6735A5F1" w14:textId="0DC2BC5E" w:rsidR="00AA4507" w:rsidRPr="00EE5045" w:rsidRDefault="00AA4507" w:rsidP="006E30EB">
      <w:pPr>
        <w:spacing w:after="0" w:line="259" w:lineRule="auto"/>
        <w:ind w:left="0" w:right="0" w:firstLine="0"/>
        <w:rPr>
          <w:rFonts w:eastAsia="Arial"/>
          <w:bCs/>
        </w:rPr>
      </w:pPr>
    </w:p>
    <w:p w14:paraId="02C11ACC" w14:textId="15984331" w:rsidR="00FF2314" w:rsidRPr="00EE5045" w:rsidRDefault="00FF2314" w:rsidP="006E30EB">
      <w:pPr>
        <w:spacing w:after="0" w:line="259" w:lineRule="auto"/>
        <w:ind w:left="0" w:right="0" w:firstLine="0"/>
        <w:rPr>
          <w:rFonts w:eastAsia="Arial"/>
          <w:bCs/>
        </w:rPr>
      </w:pPr>
    </w:p>
    <w:p w14:paraId="0D566161" w14:textId="45E29104" w:rsidR="00FF2314" w:rsidRPr="00EE5045" w:rsidRDefault="00FF2314" w:rsidP="006E30EB">
      <w:pPr>
        <w:spacing w:after="0" w:line="259" w:lineRule="auto"/>
        <w:ind w:left="0" w:right="0" w:firstLine="0"/>
        <w:rPr>
          <w:rFonts w:eastAsia="Arial"/>
          <w:bCs/>
        </w:rPr>
      </w:pPr>
    </w:p>
    <w:p w14:paraId="53A34FDB" w14:textId="3EA5907E" w:rsidR="00FF2314" w:rsidRDefault="00FF2314" w:rsidP="006E30EB">
      <w:pPr>
        <w:spacing w:after="0" w:line="259" w:lineRule="auto"/>
        <w:ind w:left="0" w:right="0" w:firstLine="0"/>
        <w:jc w:val="center"/>
        <w:rPr>
          <w:rFonts w:ascii="Arial" w:eastAsia="Arial" w:hAnsi="Arial" w:cs="Arial"/>
          <w:b/>
        </w:rPr>
      </w:pPr>
      <w:r>
        <w:rPr>
          <w:b/>
        </w:rPr>
        <w:t>THE REMAINDER OF THIS PAGE HAS BEEN LEFT BLANK INTENTIONALLY</w:t>
      </w:r>
    </w:p>
    <w:p w14:paraId="1ED294EF" w14:textId="0FA845AE" w:rsidR="00FF2314" w:rsidRPr="00EE5045" w:rsidRDefault="00FF2314" w:rsidP="006E30EB">
      <w:pPr>
        <w:spacing w:after="0" w:line="259" w:lineRule="auto"/>
        <w:ind w:left="0" w:right="0" w:firstLine="0"/>
        <w:rPr>
          <w:rFonts w:eastAsia="Arial"/>
          <w:bCs/>
        </w:rPr>
      </w:pPr>
    </w:p>
    <w:p w14:paraId="60C0C783" w14:textId="77777777" w:rsidR="0066710B" w:rsidRPr="00EE5045" w:rsidRDefault="0066710B" w:rsidP="006E30EB">
      <w:pPr>
        <w:spacing w:after="0" w:line="259" w:lineRule="auto"/>
        <w:ind w:left="0" w:right="0" w:firstLine="0"/>
        <w:rPr>
          <w:rFonts w:eastAsia="Arial"/>
          <w:bCs/>
        </w:rPr>
      </w:pPr>
    </w:p>
    <w:p w14:paraId="377D123B" w14:textId="77777777" w:rsidR="00F2216F" w:rsidRPr="00EE5045" w:rsidRDefault="00F2216F" w:rsidP="006E30EB">
      <w:pPr>
        <w:spacing w:after="0" w:line="259" w:lineRule="auto"/>
        <w:ind w:left="0" w:right="0" w:firstLine="0"/>
        <w:rPr>
          <w:rFonts w:eastAsia="Arial"/>
          <w:bCs/>
        </w:rPr>
      </w:pPr>
    </w:p>
    <w:p w14:paraId="7EB349FF" w14:textId="77777777" w:rsidR="00F2216F" w:rsidRPr="00EE5045" w:rsidRDefault="00F2216F" w:rsidP="006E30EB">
      <w:pPr>
        <w:spacing w:after="0" w:line="259" w:lineRule="auto"/>
        <w:ind w:left="0" w:right="0" w:firstLine="0"/>
        <w:rPr>
          <w:rFonts w:eastAsia="Arial"/>
          <w:bCs/>
        </w:rPr>
      </w:pPr>
    </w:p>
    <w:p w14:paraId="64B74163" w14:textId="77777777" w:rsidR="00F2216F" w:rsidRPr="00EE5045" w:rsidRDefault="00F2216F" w:rsidP="006E30EB">
      <w:pPr>
        <w:spacing w:after="0" w:line="259" w:lineRule="auto"/>
        <w:ind w:left="0" w:right="0" w:firstLine="0"/>
        <w:rPr>
          <w:rFonts w:eastAsia="Arial"/>
          <w:bCs/>
        </w:rPr>
      </w:pPr>
    </w:p>
    <w:p w14:paraId="652F5038" w14:textId="77777777" w:rsidR="00F2216F" w:rsidRPr="00EE5045" w:rsidRDefault="00F2216F" w:rsidP="006E30EB">
      <w:pPr>
        <w:spacing w:after="0" w:line="259" w:lineRule="auto"/>
        <w:ind w:left="0" w:right="0" w:firstLine="0"/>
        <w:rPr>
          <w:rFonts w:eastAsia="Arial"/>
          <w:bCs/>
        </w:rPr>
      </w:pPr>
    </w:p>
    <w:p w14:paraId="11D39181" w14:textId="77777777" w:rsidR="00F2216F" w:rsidRPr="00EE5045" w:rsidRDefault="00F2216F" w:rsidP="006E30EB">
      <w:pPr>
        <w:spacing w:after="0" w:line="259" w:lineRule="auto"/>
        <w:ind w:left="0" w:right="0" w:firstLine="0"/>
        <w:rPr>
          <w:rFonts w:eastAsia="Arial"/>
          <w:bCs/>
        </w:rPr>
      </w:pPr>
    </w:p>
    <w:p w14:paraId="5DD91EBC" w14:textId="77777777" w:rsidR="00A53618" w:rsidRPr="00EE5045" w:rsidRDefault="00A53618" w:rsidP="006E30EB">
      <w:pPr>
        <w:spacing w:after="0" w:line="259" w:lineRule="auto"/>
        <w:ind w:left="0" w:right="0" w:firstLine="0"/>
        <w:rPr>
          <w:rFonts w:eastAsia="Arial"/>
          <w:bCs/>
        </w:rPr>
      </w:pPr>
    </w:p>
    <w:p w14:paraId="48DDE23F" w14:textId="77777777" w:rsidR="00F2216F" w:rsidRPr="00EE5045" w:rsidRDefault="00F2216F" w:rsidP="006E30EB">
      <w:pPr>
        <w:spacing w:after="0" w:line="259" w:lineRule="auto"/>
        <w:ind w:left="0" w:right="0" w:firstLine="0"/>
        <w:rPr>
          <w:rFonts w:eastAsia="Arial"/>
          <w:bCs/>
        </w:rPr>
      </w:pPr>
    </w:p>
    <w:p w14:paraId="2B9BA7EB" w14:textId="77777777" w:rsidR="00F2216F" w:rsidRPr="00EE5045" w:rsidRDefault="00F2216F" w:rsidP="006E30EB">
      <w:pPr>
        <w:spacing w:after="0" w:line="259" w:lineRule="auto"/>
        <w:ind w:left="0" w:right="0" w:firstLine="0"/>
        <w:rPr>
          <w:rFonts w:eastAsia="Arial"/>
          <w:bCs/>
        </w:rPr>
      </w:pPr>
    </w:p>
    <w:p w14:paraId="6BB5F26F" w14:textId="77777777" w:rsidR="00F2216F" w:rsidRPr="00EE5045" w:rsidRDefault="00F2216F" w:rsidP="006E30EB">
      <w:pPr>
        <w:spacing w:after="0" w:line="259" w:lineRule="auto"/>
        <w:ind w:left="0" w:right="0" w:firstLine="0"/>
        <w:rPr>
          <w:rFonts w:eastAsia="Arial"/>
          <w:bCs/>
        </w:rPr>
      </w:pPr>
    </w:p>
    <w:p w14:paraId="1B9E198F" w14:textId="77777777" w:rsidR="00F2216F" w:rsidRPr="00EE5045" w:rsidRDefault="00F2216F" w:rsidP="006E30EB">
      <w:pPr>
        <w:spacing w:after="0" w:line="259" w:lineRule="auto"/>
        <w:ind w:left="0" w:right="0" w:firstLine="0"/>
        <w:rPr>
          <w:rFonts w:eastAsia="Arial"/>
          <w:bCs/>
        </w:rPr>
      </w:pPr>
    </w:p>
    <w:p w14:paraId="102BF67B" w14:textId="77777777" w:rsidR="00AA4507" w:rsidRPr="000C2C90" w:rsidDel="00F70D20" w:rsidRDefault="00AA4507" w:rsidP="00AA4507">
      <w:pPr>
        <w:spacing w:after="38"/>
        <w:ind w:right="186"/>
        <w:jc w:val="center"/>
        <w:rPr>
          <w:rFonts w:eastAsia="Arial"/>
          <w:b/>
          <w:u w:val="single"/>
        </w:rPr>
      </w:pPr>
      <w:r w:rsidRPr="000C2C90" w:rsidDel="00F70D20">
        <w:rPr>
          <w:b/>
          <w:u w:val="single"/>
        </w:rPr>
        <w:lastRenderedPageBreak/>
        <w:t>AMBIENT MONITORING TECHNOLOGY INFORMATION CENTER (AMTIC)</w:t>
      </w:r>
    </w:p>
    <w:p w14:paraId="019B7DB1" w14:textId="77777777" w:rsidR="00AA4507" w:rsidRPr="000C2C90" w:rsidDel="00F70D20" w:rsidRDefault="00AA4507" w:rsidP="00AA4507">
      <w:pPr>
        <w:spacing w:after="38"/>
        <w:ind w:right="186"/>
        <w:jc w:val="center"/>
        <w:rPr>
          <w:b/>
        </w:rPr>
      </w:pPr>
      <w:r w:rsidRPr="000C2C90" w:rsidDel="00F70D20">
        <w:rPr>
          <w:b/>
          <w:u w:val="single"/>
        </w:rPr>
        <w:t>USEPA INDOOR AIR and AMBIENT AIR PROTOCOL</w:t>
      </w:r>
    </w:p>
    <w:p w14:paraId="45319AD6" w14:textId="77777777" w:rsidR="00AA4507" w:rsidDel="00F70D20" w:rsidRDefault="00AA4507" w:rsidP="00AA4507">
      <w:pPr>
        <w:spacing w:after="38"/>
        <w:ind w:left="0" w:right="186" w:firstLine="0"/>
      </w:pPr>
    </w:p>
    <w:tbl>
      <w:tblPr>
        <w:tblStyle w:val="TableGrid1"/>
        <w:tblW w:w="10530" w:type="dxa"/>
        <w:tblInd w:w="-375" w:type="dxa"/>
        <w:tblCellMar>
          <w:top w:w="8" w:type="dxa"/>
          <w:left w:w="72" w:type="dxa"/>
          <w:right w:w="115" w:type="dxa"/>
        </w:tblCellMar>
        <w:tblLook w:val="04A0" w:firstRow="1" w:lastRow="0" w:firstColumn="1" w:lastColumn="0" w:noHBand="0" w:noVBand="1"/>
      </w:tblPr>
      <w:tblGrid>
        <w:gridCol w:w="3420"/>
        <w:gridCol w:w="3240"/>
        <w:gridCol w:w="3870"/>
      </w:tblGrid>
      <w:tr w:rsidR="00AA4507" w:rsidDel="00F70D20" w14:paraId="7B4B792C" w14:textId="77777777" w:rsidTr="00C23B62">
        <w:trPr>
          <w:trHeight w:val="302"/>
        </w:trPr>
        <w:tc>
          <w:tcPr>
            <w:tcW w:w="10530" w:type="dxa"/>
            <w:gridSpan w:val="3"/>
            <w:tcBorders>
              <w:top w:val="single" w:sz="12" w:space="0" w:color="000000"/>
              <w:left w:val="single" w:sz="12" w:space="0" w:color="000000"/>
              <w:bottom w:val="single" w:sz="12" w:space="0" w:color="000000"/>
              <w:right w:val="single" w:sz="12" w:space="0" w:color="000000"/>
            </w:tcBorders>
            <w:vAlign w:val="center"/>
          </w:tcPr>
          <w:p w14:paraId="1B0DCBAD" w14:textId="11222C2A" w:rsidR="00940EE3" w:rsidRPr="00940EE3" w:rsidDel="00F70D20" w:rsidRDefault="00AA4507" w:rsidP="00B81FF8">
            <w:pPr>
              <w:spacing w:after="0" w:line="259" w:lineRule="auto"/>
              <w:ind w:left="43" w:right="0" w:firstLine="0"/>
              <w:rPr>
                <w:sz w:val="18"/>
                <w:szCs w:val="18"/>
              </w:rPr>
            </w:pPr>
            <w:r w:rsidDel="00F70D20">
              <w:rPr>
                <w:b/>
                <w:sz w:val="18"/>
              </w:rPr>
              <w:t>Compendium of Methods for the Determination of Toxic Organic Compounds in Ambient Air</w:t>
            </w:r>
            <w:r w:rsidR="00940EE3">
              <w:rPr>
                <w:b/>
                <w:sz w:val="18"/>
              </w:rPr>
              <w:t xml:space="preserve"> </w:t>
            </w:r>
            <w:r w:rsidR="00940EE3">
              <w:rPr>
                <w:b/>
                <w:sz w:val="18"/>
                <w:vertAlign w:val="superscript"/>
              </w:rPr>
              <w:t>41</w:t>
            </w:r>
            <w:r w:rsidR="00940EE3" w:rsidDel="00F70D20">
              <w:rPr>
                <w:b/>
                <w:sz w:val="18"/>
              </w:rPr>
              <w:t xml:space="preserve">  </w:t>
            </w:r>
          </w:p>
        </w:tc>
      </w:tr>
      <w:tr w:rsidR="00AA4507" w:rsidDel="00F70D20" w14:paraId="55202EA7" w14:textId="77777777" w:rsidTr="00C23B62">
        <w:trPr>
          <w:trHeight w:val="317"/>
        </w:trPr>
        <w:tc>
          <w:tcPr>
            <w:tcW w:w="3420" w:type="dxa"/>
            <w:tcBorders>
              <w:top w:val="single" w:sz="12" w:space="0" w:color="000000"/>
              <w:left w:val="single" w:sz="12" w:space="0" w:color="000000"/>
              <w:bottom w:val="single" w:sz="12" w:space="0" w:color="000000"/>
              <w:right w:val="single" w:sz="12" w:space="0" w:color="000000"/>
            </w:tcBorders>
            <w:vAlign w:val="center"/>
          </w:tcPr>
          <w:p w14:paraId="19747836" w14:textId="1E4D4F6B" w:rsidR="00AA4507" w:rsidDel="00F70D20" w:rsidRDefault="00AA4507" w:rsidP="0029081C">
            <w:pPr>
              <w:spacing w:after="0" w:line="259" w:lineRule="auto"/>
              <w:ind w:left="-69" w:right="0" w:firstLine="0"/>
              <w:jc w:val="center"/>
            </w:pPr>
            <w:r w:rsidDel="00F70D20">
              <w:rPr>
                <w:b/>
                <w:sz w:val="18"/>
              </w:rPr>
              <w:t>Collection Units</w:t>
            </w:r>
          </w:p>
        </w:tc>
        <w:tc>
          <w:tcPr>
            <w:tcW w:w="3240" w:type="dxa"/>
            <w:tcBorders>
              <w:top w:val="single" w:sz="12" w:space="0" w:color="000000"/>
              <w:left w:val="single" w:sz="12" w:space="0" w:color="000000"/>
              <w:bottom w:val="single" w:sz="12" w:space="0" w:color="000000"/>
              <w:right w:val="single" w:sz="12" w:space="0" w:color="000000"/>
            </w:tcBorders>
            <w:vAlign w:val="center"/>
          </w:tcPr>
          <w:p w14:paraId="24346066" w14:textId="16EC6E00" w:rsidR="00AA4507" w:rsidDel="00F70D20" w:rsidRDefault="00AA4507" w:rsidP="00B81FF8">
            <w:pPr>
              <w:spacing w:after="0" w:line="259" w:lineRule="auto"/>
              <w:ind w:left="33" w:right="0" w:firstLine="0"/>
              <w:jc w:val="center"/>
            </w:pPr>
            <w:r w:rsidDel="00F70D20">
              <w:rPr>
                <w:b/>
                <w:sz w:val="18"/>
              </w:rPr>
              <w:t>Acceptable Methods</w:t>
            </w:r>
          </w:p>
        </w:tc>
        <w:tc>
          <w:tcPr>
            <w:tcW w:w="3870" w:type="dxa"/>
            <w:tcBorders>
              <w:top w:val="single" w:sz="12" w:space="0" w:color="000000"/>
              <w:left w:val="single" w:sz="12" w:space="0" w:color="000000"/>
              <w:bottom w:val="single" w:sz="12" w:space="0" w:color="000000"/>
              <w:right w:val="single" w:sz="12" w:space="0" w:color="000000"/>
            </w:tcBorders>
            <w:vAlign w:val="center"/>
          </w:tcPr>
          <w:p w14:paraId="0862E60D" w14:textId="0744BD56" w:rsidR="00AA4507" w:rsidDel="00F70D20" w:rsidRDefault="00AA4507" w:rsidP="00B81FF8">
            <w:pPr>
              <w:spacing w:after="0" w:line="259" w:lineRule="auto"/>
              <w:ind w:left="39" w:right="0" w:firstLine="0"/>
              <w:jc w:val="center"/>
            </w:pPr>
            <w:r w:rsidDel="00F70D20">
              <w:rPr>
                <w:b/>
                <w:sz w:val="18"/>
              </w:rPr>
              <w:t>Comments</w:t>
            </w:r>
          </w:p>
        </w:tc>
      </w:tr>
      <w:tr w:rsidR="00AA4507" w:rsidDel="00F70D20" w14:paraId="12013008" w14:textId="77777777" w:rsidTr="00C23B62">
        <w:trPr>
          <w:trHeight w:val="434"/>
        </w:trPr>
        <w:tc>
          <w:tcPr>
            <w:tcW w:w="3420" w:type="dxa"/>
            <w:tcBorders>
              <w:top w:val="single" w:sz="12" w:space="0" w:color="000000"/>
              <w:left w:val="single" w:sz="12" w:space="0" w:color="000000"/>
              <w:bottom w:val="single" w:sz="4" w:space="0" w:color="000000"/>
              <w:right w:val="single" w:sz="12" w:space="0" w:color="000000"/>
            </w:tcBorders>
            <w:vAlign w:val="center"/>
          </w:tcPr>
          <w:p w14:paraId="4EAAA3C5" w14:textId="3A9E706A" w:rsidR="00AA4507" w:rsidDel="00F70D20" w:rsidRDefault="00AA4507" w:rsidP="00C11996">
            <w:pPr>
              <w:spacing w:after="0" w:line="259" w:lineRule="auto"/>
              <w:ind w:right="0"/>
              <w:jc w:val="center"/>
            </w:pPr>
            <w:r w:rsidDel="00F70D20">
              <w:rPr>
                <w:sz w:val="18"/>
              </w:rPr>
              <w:t>1, 1.4 or 6-Liter Summa Canisters</w:t>
            </w:r>
          </w:p>
        </w:tc>
        <w:tc>
          <w:tcPr>
            <w:tcW w:w="3240" w:type="dxa"/>
            <w:tcBorders>
              <w:top w:val="single" w:sz="12" w:space="0" w:color="000000"/>
              <w:left w:val="single" w:sz="12" w:space="0" w:color="000000"/>
              <w:bottom w:val="single" w:sz="4" w:space="0" w:color="000000"/>
              <w:right w:val="single" w:sz="12" w:space="0" w:color="000000"/>
            </w:tcBorders>
            <w:vAlign w:val="center"/>
          </w:tcPr>
          <w:p w14:paraId="03599403" w14:textId="6704FE1B" w:rsidR="00AA4507" w:rsidDel="00F70D20" w:rsidRDefault="00AA4507" w:rsidP="00613BF9">
            <w:pPr>
              <w:spacing w:after="0" w:line="259" w:lineRule="auto"/>
              <w:ind w:left="47" w:right="0" w:firstLine="0"/>
              <w:jc w:val="center"/>
            </w:pPr>
            <w:r w:rsidDel="00F70D20">
              <w:rPr>
                <w:sz w:val="18"/>
              </w:rPr>
              <w:t>TO – 15</w:t>
            </w:r>
          </w:p>
        </w:tc>
        <w:tc>
          <w:tcPr>
            <w:tcW w:w="3870" w:type="dxa"/>
            <w:tcBorders>
              <w:top w:val="single" w:sz="12" w:space="0" w:color="000000"/>
              <w:left w:val="single" w:sz="12" w:space="0" w:color="000000"/>
              <w:bottom w:val="single" w:sz="4" w:space="0" w:color="000000"/>
              <w:right w:val="single" w:sz="12" w:space="0" w:color="000000"/>
            </w:tcBorders>
          </w:tcPr>
          <w:p w14:paraId="1E8FE998" w14:textId="1F0016C7" w:rsidR="00AA4507" w:rsidDel="00F70D20" w:rsidRDefault="00AA4507" w:rsidP="00613BF9">
            <w:pPr>
              <w:spacing w:after="0" w:line="259" w:lineRule="auto"/>
              <w:ind w:left="0" w:right="0" w:firstLine="0"/>
              <w:jc w:val="center"/>
            </w:pPr>
            <w:r w:rsidDel="00F70D20">
              <w:rPr>
                <w:sz w:val="18"/>
              </w:rPr>
              <w:t>Total Analyte List</w:t>
            </w:r>
            <w:r w:rsidR="004B6511">
              <w:rPr>
                <w:sz w:val="18"/>
              </w:rPr>
              <w:t>,</w:t>
            </w:r>
            <w:r w:rsidDel="00F70D20">
              <w:rPr>
                <w:sz w:val="18"/>
              </w:rPr>
              <w:t xml:space="preserve"> </w:t>
            </w:r>
            <w:r w:rsidR="00B71AF2">
              <w:rPr>
                <w:sz w:val="18"/>
              </w:rPr>
              <w:t>RLs</w:t>
            </w:r>
            <w:r w:rsidR="00616D0E">
              <w:rPr>
                <w:sz w:val="18"/>
              </w:rPr>
              <w:t xml:space="preserve">, </w:t>
            </w:r>
            <w:proofErr w:type="gramStart"/>
            <w:r w:rsidR="00616D0E">
              <w:rPr>
                <w:sz w:val="18"/>
              </w:rPr>
              <w:t xml:space="preserve">and </w:t>
            </w:r>
            <w:r w:rsidDel="00F70D20">
              <w:rPr>
                <w:sz w:val="18"/>
              </w:rPr>
              <w:t xml:space="preserve"> canister</w:t>
            </w:r>
            <w:proofErr w:type="gramEnd"/>
            <w:r w:rsidDel="00F70D20">
              <w:rPr>
                <w:sz w:val="18"/>
              </w:rPr>
              <w:t xml:space="preserve"> specifications </w:t>
            </w:r>
            <w:r w:rsidR="00BC4FE5">
              <w:rPr>
                <w:sz w:val="18"/>
              </w:rPr>
              <w:t>to be</w:t>
            </w:r>
            <w:r w:rsidDel="00F70D20">
              <w:rPr>
                <w:sz w:val="18"/>
              </w:rPr>
              <w:t xml:space="preserve"> provided at time of request.</w:t>
            </w:r>
          </w:p>
        </w:tc>
      </w:tr>
      <w:tr w:rsidR="00AA4507" w:rsidDel="00F70D20" w14:paraId="6B373375" w14:textId="77777777" w:rsidTr="00C23B62">
        <w:trPr>
          <w:trHeight w:val="425"/>
        </w:trPr>
        <w:tc>
          <w:tcPr>
            <w:tcW w:w="3420" w:type="dxa"/>
            <w:tcBorders>
              <w:top w:val="single" w:sz="4" w:space="0" w:color="000000"/>
              <w:left w:val="single" w:sz="12" w:space="0" w:color="000000"/>
              <w:bottom w:val="single" w:sz="4" w:space="0" w:color="000000"/>
              <w:right w:val="single" w:sz="12" w:space="0" w:color="000000"/>
            </w:tcBorders>
            <w:vAlign w:val="center"/>
          </w:tcPr>
          <w:p w14:paraId="529C6524" w14:textId="6B4B6261" w:rsidR="00AA4507" w:rsidDel="00F70D20" w:rsidRDefault="00AA4507" w:rsidP="00C11996">
            <w:pPr>
              <w:spacing w:after="0" w:line="259" w:lineRule="auto"/>
              <w:ind w:right="0"/>
              <w:jc w:val="center"/>
            </w:pPr>
            <w:r w:rsidDel="00F70D20">
              <w:rPr>
                <w:sz w:val="18"/>
              </w:rPr>
              <w:t>1, 1.4, or 6-Liter Summa Canisters</w:t>
            </w:r>
          </w:p>
        </w:tc>
        <w:tc>
          <w:tcPr>
            <w:tcW w:w="3240" w:type="dxa"/>
            <w:tcBorders>
              <w:top w:val="single" w:sz="4" w:space="0" w:color="000000"/>
              <w:left w:val="single" w:sz="12" w:space="0" w:color="000000"/>
              <w:bottom w:val="single" w:sz="4" w:space="0" w:color="000000"/>
              <w:right w:val="single" w:sz="12" w:space="0" w:color="000000"/>
            </w:tcBorders>
            <w:vAlign w:val="center"/>
          </w:tcPr>
          <w:p w14:paraId="54E105CC" w14:textId="09F14BDD" w:rsidR="00AA4507" w:rsidDel="00F70D20" w:rsidRDefault="00AA4507" w:rsidP="00613BF9">
            <w:pPr>
              <w:spacing w:after="0" w:line="259" w:lineRule="auto"/>
              <w:ind w:left="47" w:right="0" w:firstLine="0"/>
              <w:jc w:val="center"/>
            </w:pPr>
            <w:r w:rsidDel="00F70D20">
              <w:rPr>
                <w:sz w:val="18"/>
              </w:rPr>
              <w:t>TO – 15 SIM</w:t>
            </w:r>
          </w:p>
        </w:tc>
        <w:tc>
          <w:tcPr>
            <w:tcW w:w="3870" w:type="dxa"/>
            <w:tcBorders>
              <w:top w:val="single" w:sz="4" w:space="0" w:color="000000"/>
              <w:left w:val="single" w:sz="12" w:space="0" w:color="000000"/>
              <w:bottom w:val="single" w:sz="4" w:space="0" w:color="000000"/>
              <w:right w:val="single" w:sz="12" w:space="0" w:color="000000"/>
            </w:tcBorders>
          </w:tcPr>
          <w:p w14:paraId="57A83647" w14:textId="232F461C" w:rsidR="00AA4507" w:rsidDel="00F70D20" w:rsidRDefault="00AA4507" w:rsidP="00613BF9">
            <w:pPr>
              <w:spacing w:after="0" w:line="259" w:lineRule="auto"/>
              <w:ind w:left="0" w:right="0" w:firstLine="0"/>
              <w:jc w:val="center"/>
            </w:pPr>
            <w:r w:rsidDel="00F70D20">
              <w:rPr>
                <w:sz w:val="18"/>
              </w:rPr>
              <w:t>Specific Analytes</w:t>
            </w:r>
            <w:r w:rsidR="00715C15">
              <w:rPr>
                <w:sz w:val="18"/>
              </w:rPr>
              <w:t>, RLs, and c</w:t>
            </w:r>
            <w:r w:rsidR="00876D35">
              <w:rPr>
                <w:sz w:val="18"/>
              </w:rPr>
              <w:t>anister specifications</w:t>
            </w:r>
            <w:r w:rsidDel="00F70D20">
              <w:rPr>
                <w:sz w:val="18"/>
              </w:rPr>
              <w:t xml:space="preserve"> to be </w:t>
            </w:r>
            <w:r w:rsidR="00151107">
              <w:rPr>
                <w:sz w:val="18"/>
              </w:rPr>
              <w:t>p</w:t>
            </w:r>
            <w:r w:rsidDel="00F70D20">
              <w:rPr>
                <w:sz w:val="18"/>
              </w:rPr>
              <w:t xml:space="preserve">rovided at </w:t>
            </w:r>
            <w:r w:rsidR="00151107">
              <w:rPr>
                <w:sz w:val="18"/>
              </w:rPr>
              <w:t>t</w:t>
            </w:r>
            <w:r w:rsidDel="00F70D20">
              <w:rPr>
                <w:sz w:val="18"/>
              </w:rPr>
              <w:t xml:space="preserve">ime of </w:t>
            </w:r>
            <w:r w:rsidR="00151107">
              <w:rPr>
                <w:sz w:val="18"/>
              </w:rPr>
              <w:t>r</w:t>
            </w:r>
            <w:r w:rsidDel="00F70D20">
              <w:rPr>
                <w:sz w:val="18"/>
              </w:rPr>
              <w:t>equest</w:t>
            </w:r>
            <w:r w:rsidR="00151107">
              <w:rPr>
                <w:sz w:val="18"/>
              </w:rPr>
              <w:t>.</w:t>
            </w:r>
          </w:p>
        </w:tc>
      </w:tr>
      <w:tr w:rsidR="00AA4507" w:rsidDel="00F70D20" w14:paraId="057B9373" w14:textId="77777777" w:rsidTr="00C23B62">
        <w:trPr>
          <w:trHeight w:val="425"/>
        </w:trPr>
        <w:tc>
          <w:tcPr>
            <w:tcW w:w="3420" w:type="dxa"/>
            <w:tcBorders>
              <w:top w:val="single" w:sz="4" w:space="0" w:color="000000"/>
              <w:left w:val="single" w:sz="12" w:space="0" w:color="000000"/>
              <w:bottom w:val="single" w:sz="4" w:space="0" w:color="000000"/>
              <w:right w:val="single" w:sz="12" w:space="0" w:color="000000"/>
            </w:tcBorders>
            <w:vAlign w:val="center"/>
          </w:tcPr>
          <w:p w14:paraId="3FBDFE66" w14:textId="460A1534" w:rsidR="00AA4507" w:rsidDel="00F70D20" w:rsidRDefault="00AA4507" w:rsidP="00C11996">
            <w:pPr>
              <w:spacing w:after="0" w:line="259" w:lineRule="auto"/>
              <w:ind w:right="0"/>
              <w:jc w:val="center"/>
              <w:rPr>
                <w:sz w:val="18"/>
              </w:rPr>
            </w:pPr>
            <w:r w:rsidDel="00F70D20">
              <w:rPr>
                <w:sz w:val="18"/>
              </w:rPr>
              <w:t>Sorbent Samplers</w:t>
            </w:r>
          </w:p>
        </w:tc>
        <w:tc>
          <w:tcPr>
            <w:tcW w:w="3240" w:type="dxa"/>
            <w:tcBorders>
              <w:top w:val="single" w:sz="4" w:space="0" w:color="000000"/>
              <w:left w:val="single" w:sz="12" w:space="0" w:color="000000"/>
              <w:bottom w:val="single" w:sz="4" w:space="0" w:color="000000"/>
              <w:right w:val="single" w:sz="12" w:space="0" w:color="000000"/>
            </w:tcBorders>
            <w:vAlign w:val="center"/>
          </w:tcPr>
          <w:p w14:paraId="76D5624C" w14:textId="3090B00A" w:rsidR="00AA4507" w:rsidDel="00F70D20" w:rsidRDefault="00AA4507" w:rsidP="00613BF9">
            <w:pPr>
              <w:spacing w:after="0" w:line="259" w:lineRule="auto"/>
              <w:ind w:left="47" w:right="0" w:firstLine="0"/>
              <w:jc w:val="center"/>
              <w:rPr>
                <w:sz w:val="18"/>
              </w:rPr>
            </w:pPr>
            <w:r w:rsidDel="00F70D20">
              <w:rPr>
                <w:sz w:val="18"/>
              </w:rPr>
              <w:t>TO – 17</w:t>
            </w:r>
          </w:p>
        </w:tc>
        <w:tc>
          <w:tcPr>
            <w:tcW w:w="3870" w:type="dxa"/>
            <w:tcBorders>
              <w:top w:val="single" w:sz="4" w:space="0" w:color="000000"/>
              <w:left w:val="single" w:sz="12" w:space="0" w:color="000000"/>
              <w:bottom w:val="single" w:sz="4" w:space="0" w:color="000000"/>
              <w:right w:val="single" w:sz="12" w:space="0" w:color="000000"/>
            </w:tcBorders>
          </w:tcPr>
          <w:p w14:paraId="7328F63E" w14:textId="67A15957" w:rsidR="00AA4507" w:rsidDel="00F70D20" w:rsidRDefault="00AA4507" w:rsidP="00613BF9">
            <w:pPr>
              <w:spacing w:after="0" w:line="259" w:lineRule="auto"/>
              <w:ind w:left="0" w:right="0" w:firstLine="0"/>
              <w:jc w:val="center"/>
              <w:rPr>
                <w:sz w:val="18"/>
              </w:rPr>
            </w:pPr>
            <w:r w:rsidDel="00F70D20">
              <w:rPr>
                <w:sz w:val="18"/>
              </w:rPr>
              <w:t>Total Analyte List</w:t>
            </w:r>
            <w:r w:rsidR="00E5324C">
              <w:rPr>
                <w:sz w:val="18"/>
              </w:rPr>
              <w:t xml:space="preserve">, </w:t>
            </w:r>
            <w:r w:rsidR="003E36EE">
              <w:rPr>
                <w:sz w:val="18"/>
              </w:rPr>
              <w:t>RLs, and</w:t>
            </w:r>
            <w:r w:rsidDel="00F70D20">
              <w:rPr>
                <w:sz w:val="18"/>
              </w:rPr>
              <w:t xml:space="preserve"> sorbent samplers </w:t>
            </w:r>
            <w:r w:rsidR="00BC4FE5">
              <w:rPr>
                <w:sz w:val="18"/>
              </w:rPr>
              <w:t xml:space="preserve">to be </w:t>
            </w:r>
            <w:r w:rsidDel="00F70D20">
              <w:rPr>
                <w:sz w:val="18"/>
              </w:rPr>
              <w:t>provided at time of request</w:t>
            </w:r>
          </w:p>
        </w:tc>
      </w:tr>
      <w:tr w:rsidR="00AA4507" w:rsidDel="00F70D20" w14:paraId="684F07B2" w14:textId="77777777" w:rsidTr="00C23B62">
        <w:trPr>
          <w:trHeight w:val="425"/>
        </w:trPr>
        <w:tc>
          <w:tcPr>
            <w:tcW w:w="3420" w:type="dxa"/>
            <w:tcBorders>
              <w:top w:val="single" w:sz="4" w:space="0" w:color="000000"/>
              <w:left w:val="single" w:sz="12" w:space="0" w:color="000000"/>
              <w:bottom w:val="single" w:sz="12" w:space="0" w:color="000000"/>
              <w:right w:val="single" w:sz="12" w:space="0" w:color="000000"/>
            </w:tcBorders>
            <w:vAlign w:val="center"/>
          </w:tcPr>
          <w:p w14:paraId="70D45E0B" w14:textId="0BDC505F" w:rsidR="00AA4507" w:rsidDel="00F70D20" w:rsidRDefault="00AA4507" w:rsidP="00C11996">
            <w:pPr>
              <w:spacing w:after="0" w:line="259" w:lineRule="auto"/>
              <w:ind w:right="0"/>
              <w:jc w:val="center"/>
              <w:rPr>
                <w:sz w:val="18"/>
              </w:rPr>
            </w:pPr>
            <w:r w:rsidDel="00F70D20">
              <w:rPr>
                <w:sz w:val="18"/>
              </w:rPr>
              <w:t>Sorbent Samplers</w:t>
            </w:r>
          </w:p>
        </w:tc>
        <w:tc>
          <w:tcPr>
            <w:tcW w:w="3240" w:type="dxa"/>
            <w:tcBorders>
              <w:top w:val="single" w:sz="4" w:space="0" w:color="000000"/>
              <w:left w:val="single" w:sz="12" w:space="0" w:color="000000"/>
              <w:bottom w:val="single" w:sz="12" w:space="0" w:color="000000"/>
              <w:right w:val="single" w:sz="12" w:space="0" w:color="000000"/>
            </w:tcBorders>
            <w:vAlign w:val="center"/>
          </w:tcPr>
          <w:p w14:paraId="1E28BFD6" w14:textId="4FFC47D5" w:rsidR="00AA4507" w:rsidDel="00F70D20" w:rsidRDefault="00AA4507" w:rsidP="00613BF9">
            <w:pPr>
              <w:spacing w:after="0" w:line="259" w:lineRule="auto"/>
              <w:ind w:left="47" w:right="0" w:firstLine="0"/>
              <w:jc w:val="center"/>
              <w:rPr>
                <w:sz w:val="18"/>
              </w:rPr>
            </w:pPr>
            <w:r w:rsidDel="00F70D20">
              <w:rPr>
                <w:sz w:val="18"/>
              </w:rPr>
              <w:t>TO – 17 SIM</w:t>
            </w:r>
          </w:p>
        </w:tc>
        <w:tc>
          <w:tcPr>
            <w:tcW w:w="3870" w:type="dxa"/>
            <w:tcBorders>
              <w:top w:val="single" w:sz="4" w:space="0" w:color="000000"/>
              <w:left w:val="single" w:sz="12" w:space="0" w:color="000000"/>
              <w:bottom w:val="single" w:sz="12" w:space="0" w:color="000000"/>
              <w:right w:val="single" w:sz="12" w:space="0" w:color="000000"/>
            </w:tcBorders>
          </w:tcPr>
          <w:p w14:paraId="1C5447B1" w14:textId="02129518" w:rsidR="00AA4507" w:rsidDel="00F70D20" w:rsidRDefault="00AA4507" w:rsidP="00613BF9">
            <w:pPr>
              <w:spacing w:after="0" w:line="259" w:lineRule="auto"/>
              <w:ind w:left="0" w:right="0" w:firstLine="0"/>
              <w:jc w:val="center"/>
              <w:rPr>
                <w:sz w:val="18"/>
              </w:rPr>
            </w:pPr>
            <w:r w:rsidDel="00F70D20">
              <w:rPr>
                <w:sz w:val="18"/>
              </w:rPr>
              <w:t>Specific Analytes</w:t>
            </w:r>
            <w:r w:rsidR="00324797">
              <w:rPr>
                <w:sz w:val="18"/>
              </w:rPr>
              <w:t>, RLs, and</w:t>
            </w:r>
            <w:r w:rsidR="008E568F">
              <w:rPr>
                <w:sz w:val="18"/>
              </w:rPr>
              <w:t xml:space="preserve"> sorbent </w:t>
            </w:r>
            <w:r w:rsidR="0032444E">
              <w:rPr>
                <w:sz w:val="18"/>
              </w:rPr>
              <w:t>samplers</w:t>
            </w:r>
            <w:r w:rsidDel="00F70D20">
              <w:rPr>
                <w:sz w:val="18"/>
              </w:rPr>
              <w:t xml:space="preserve"> to be </w:t>
            </w:r>
            <w:r w:rsidR="00151107">
              <w:rPr>
                <w:sz w:val="18"/>
              </w:rPr>
              <w:t>p</w:t>
            </w:r>
            <w:r w:rsidDel="00F70D20">
              <w:rPr>
                <w:sz w:val="18"/>
              </w:rPr>
              <w:t xml:space="preserve">rovided at </w:t>
            </w:r>
            <w:r w:rsidR="00151107">
              <w:rPr>
                <w:sz w:val="18"/>
              </w:rPr>
              <w:t>t</w:t>
            </w:r>
            <w:r w:rsidDel="00F70D20">
              <w:rPr>
                <w:sz w:val="18"/>
              </w:rPr>
              <w:t xml:space="preserve">ime of </w:t>
            </w:r>
            <w:r w:rsidR="00151107">
              <w:rPr>
                <w:sz w:val="18"/>
              </w:rPr>
              <w:t>r</w:t>
            </w:r>
            <w:r w:rsidDel="00F70D20">
              <w:rPr>
                <w:sz w:val="18"/>
              </w:rPr>
              <w:t>equest</w:t>
            </w:r>
            <w:r w:rsidR="00E5324C">
              <w:rPr>
                <w:sz w:val="18"/>
              </w:rPr>
              <w:t>.</w:t>
            </w:r>
          </w:p>
        </w:tc>
      </w:tr>
    </w:tbl>
    <w:p w14:paraId="174D1A5C" w14:textId="30EB3B91" w:rsidR="00FF2314" w:rsidRDefault="00FF2314" w:rsidP="00AA4507"/>
    <w:p w14:paraId="7DD85B8D" w14:textId="703D3644" w:rsidR="00FF2314" w:rsidRDefault="00FF2314" w:rsidP="00AA4507"/>
    <w:p w14:paraId="7757CD41" w14:textId="652A69F7" w:rsidR="00FF2314" w:rsidRDefault="00FF2314" w:rsidP="00AA4507"/>
    <w:p w14:paraId="273021BE" w14:textId="7C8B36E8" w:rsidR="00FF2314" w:rsidRDefault="00FF2314" w:rsidP="00AA4507"/>
    <w:p w14:paraId="03C66E07" w14:textId="6E77ACE0" w:rsidR="00FF2314" w:rsidRDefault="00FF2314" w:rsidP="00AA4507"/>
    <w:p w14:paraId="7BB1E14F" w14:textId="77777777" w:rsidR="00FF2314" w:rsidRDefault="00FF2314" w:rsidP="00FF2314">
      <w:pPr>
        <w:jc w:val="center"/>
      </w:pPr>
      <w:r>
        <w:rPr>
          <w:b/>
        </w:rPr>
        <w:t>THE REMAINDER OF THIS PAGE HAS BEEN LEFT BLANK INTENTIONALLY</w:t>
      </w:r>
    </w:p>
    <w:p w14:paraId="002FFF45" w14:textId="4C60B123" w:rsidR="00FF2314" w:rsidRDefault="00FF2314" w:rsidP="00AA4507"/>
    <w:p w14:paraId="347878F6" w14:textId="0CC55727" w:rsidR="00FF2314" w:rsidRDefault="00FF2314" w:rsidP="00AA4507"/>
    <w:p w14:paraId="09AD2839" w14:textId="52ECB6E6" w:rsidR="00FF2314" w:rsidRDefault="00FF2314" w:rsidP="00AA4507"/>
    <w:p w14:paraId="49AA2C50" w14:textId="77777777" w:rsidR="00EF728F" w:rsidRDefault="00EF728F" w:rsidP="00AA4507"/>
    <w:p w14:paraId="711D0D8F" w14:textId="77777777" w:rsidR="00EF728F" w:rsidRDefault="00EF728F" w:rsidP="00AA4507"/>
    <w:p w14:paraId="084DF51F" w14:textId="77777777" w:rsidR="00EF728F" w:rsidRDefault="00EF728F" w:rsidP="00AA4507"/>
    <w:p w14:paraId="644011EF" w14:textId="77777777" w:rsidR="00EF728F" w:rsidRDefault="00EF728F" w:rsidP="00AA4507"/>
    <w:p w14:paraId="678CCF15" w14:textId="77777777" w:rsidR="00EF728F" w:rsidRDefault="00EF728F" w:rsidP="00AA4507"/>
    <w:p w14:paraId="07ECC06F" w14:textId="77777777" w:rsidR="00EF728F" w:rsidRDefault="00EF728F" w:rsidP="00AA4507"/>
    <w:p w14:paraId="149DCDEB" w14:textId="77777777" w:rsidR="00EF728F" w:rsidRDefault="00EF728F" w:rsidP="00AA4507"/>
    <w:p w14:paraId="3FA69E6E" w14:textId="77777777" w:rsidR="00EF728F" w:rsidRDefault="00EF728F" w:rsidP="00AA4507"/>
    <w:p w14:paraId="2D42C0A6" w14:textId="77777777" w:rsidR="00EF728F" w:rsidRDefault="00EF728F" w:rsidP="00AA4507"/>
    <w:p w14:paraId="1E0DE2D9" w14:textId="77777777" w:rsidR="00EF728F" w:rsidRDefault="00EF728F" w:rsidP="00AA4507"/>
    <w:p w14:paraId="275CF4F6" w14:textId="77777777" w:rsidR="00EF728F" w:rsidRDefault="00EF728F" w:rsidP="00AA4507"/>
    <w:p w14:paraId="6C774B16" w14:textId="77777777" w:rsidR="00EF728F" w:rsidRDefault="00EF728F" w:rsidP="00AA4507"/>
    <w:p w14:paraId="0942F217" w14:textId="77777777" w:rsidR="00EF728F" w:rsidRDefault="00EF728F" w:rsidP="00AA4507"/>
    <w:p w14:paraId="17FE3651" w14:textId="77777777" w:rsidR="00EF728F" w:rsidRDefault="00EF728F" w:rsidP="00AA4507"/>
    <w:p w14:paraId="74F34B1C" w14:textId="77777777" w:rsidR="00EF728F" w:rsidRDefault="00EF728F" w:rsidP="00AA4507"/>
    <w:p w14:paraId="60850BBA" w14:textId="77777777" w:rsidR="00EF728F" w:rsidRDefault="00EF728F" w:rsidP="00AA4507"/>
    <w:p w14:paraId="3C76745C" w14:textId="77777777" w:rsidR="00EF728F" w:rsidRDefault="00EF728F" w:rsidP="00AA4507"/>
    <w:p w14:paraId="5DAA08E5" w14:textId="77777777" w:rsidR="00EF728F" w:rsidRDefault="00EF728F" w:rsidP="00AA4507"/>
    <w:p w14:paraId="06BE62CA" w14:textId="77777777" w:rsidR="00EF728F" w:rsidRDefault="00EF728F" w:rsidP="00AA4507"/>
    <w:p w14:paraId="509D288B" w14:textId="77777777" w:rsidR="00EF728F" w:rsidRDefault="00EF728F" w:rsidP="00AA4507"/>
    <w:p w14:paraId="33F00C13" w14:textId="77777777" w:rsidR="008303E1" w:rsidRDefault="008303E1" w:rsidP="00D27382">
      <w:pPr>
        <w:ind w:left="0"/>
      </w:pPr>
    </w:p>
    <w:p w14:paraId="2255390D" w14:textId="77777777" w:rsidR="00EF728F" w:rsidRDefault="00EF728F" w:rsidP="00AA4507"/>
    <w:p w14:paraId="05EF23D6" w14:textId="77777777" w:rsidR="00EF728F" w:rsidRDefault="00EF728F" w:rsidP="00AA4507"/>
    <w:p w14:paraId="73C2AFE8" w14:textId="77777777" w:rsidR="00EF728F" w:rsidRDefault="00EF728F" w:rsidP="00AA4507"/>
    <w:p w14:paraId="42554528" w14:textId="77777777" w:rsidR="00EF728F" w:rsidRDefault="00EF728F" w:rsidP="00AA4507"/>
    <w:p w14:paraId="40B115A4" w14:textId="77777777" w:rsidR="00EF728F" w:rsidRDefault="00EF728F" w:rsidP="00AA4507"/>
    <w:p w14:paraId="3ACE5A67" w14:textId="2ACB0733" w:rsidR="00FF2314" w:rsidRPr="00F96F85" w:rsidRDefault="007167B5" w:rsidP="00502D62">
      <w:pPr>
        <w:spacing w:after="0" w:line="259" w:lineRule="auto"/>
        <w:ind w:left="269" w:right="0" w:firstLine="0"/>
        <w:jc w:val="center"/>
        <w:rPr>
          <w:b/>
          <w:bCs/>
        </w:rPr>
      </w:pPr>
      <w:r w:rsidRPr="00F96F85">
        <w:rPr>
          <w:b/>
          <w:bCs/>
        </w:rPr>
        <w:lastRenderedPageBreak/>
        <w:t>PER- and POLYFLUOROALKYL SUBSTANCES (</w:t>
      </w:r>
      <w:r w:rsidRPr="00F96F85">
        <w:rPr>
          <w:b/>
          <w:bCs/>
          <w:color w:val="auto"/>
        </w:rPr>
        <w:t xml:space="preserve">PFAS) </w:t>
      </w:r>
      <w:r w:rsidR="00FF3A4E" w:rsidRPr="00F96F85">
        <w:rPr>
          <w:b/>
          <w:bCs/>
          <w:color w:val="auto"/>
        </w:rPr>
        <w:t>PROTOCOLS</w:t>
      </w:r>
    </w:p>
    <w:p w14:paraId="0E60567B" w14:textId="77777777" w:rsidR="003E4127" w:rsidRDefault="003E4127" w:rsidP="00AA4507"/>
    <w:tbl>
      <w:tblPr>
        <w:tblStyle w:val="TableGrid1"/>
        <w:tblW w:w="10530" w:type="dxa"/>
        <w:tblInd w:w="-375" w:type="dxa"/>
        <w:tblCellMar>
          <w:top w:w="8" w:type="dxa"/>
          <w:left w:w="72" w:type="dxa"/>
          <w:right w:w="115" w:type="dxa"/>
        </w:tblCellMar>
        <w:tblLook w:val="04A0" w:firstRow="1" w:lastRow="0" w:firstColumn="1" w:lastColumn="0" w:noHBand="0" w:noVBand="1"/>
      </w:tblPr>
      <w:tblGrid>
        <w:gridCol w:w="3150"/>
        <w:gridCol w:w="2340"/>
        <w:gridCol w:w="5040"/>
      </w:tblGrid>
      <w:tr w:rsidR="00C84A5D" w14:paraId="0D5C0E44" w14:textId="77777777" w:rsidTr="00C23B62">
        <w:trPr>
          <w:trHeight w:val="317"/>
        </w:trPr>
        <w:tc>
          <w:tcPr>
            <w:tcW w:w="3150" w:type="dxa"/>
            <w:tcBorders>
              <w:top w:val="single" w:sz="12" w:space="0" w:color="000000"/>
              <w:left w:val="single" w:sz="12" w:space="0" w:color="000000"/>
              <w:bottom w:val="single" w:sz="12" w:space="0" w:color="000000"/>
              <w:right w:val="single" w:sz="12" w:space="0" w:color="000000"/>
            </w:tcBorders>
            <w:vAlign w:val="center"/>
          </w:tcPr>
          <w:p w14:paraId="61BE3D02" w14:textId="6AC31B24" w:rsidR="001806B3" w:rsidRDefault="00E43204" w:rsidP="00A5579E">
            <w:pPr>
              <w:spacing w:after="0" w:line="259" w:lineRule="auto"/>
              <w:ind w:left="5" w:right="0" w:firstLine="0"/>
              <w:jc w:val="center"/>
            </w:pPr>
            <w:r>
              <w:rPr>
                <w:b/>
                <w:sz w:val="18"/>
              </w:rPr>
              <w:t xml:space="preserve">Analytical </w:t>
            </w:r>
            <w:r w:rsidR="001806B3">
              <w:rPr>
                <w:b/>
                <w:sz w:val="18"/>
              </w:rPr>
              <w:t>Method No.</w:t>
            </w:r>
          </w:p>
        </w:tc>
        <w:tc>
          <w:tcPr>
            <w:tcW w:w="2340" w:type="dxa"/>
            <w:tcBorders>
              <w:top w:val="single" w:sz="12" w:space="0" w:color="000000"/>
              <w:left w:val="single" w:sz="12" w:space="0" w:color="000000"/>
              <w:bottom w:val="single" w:sz="12" w:space="0" w:color="000000"/>
              <w:right w:val="single" w:sz="12" w:space="0" w:color="000000"/>
            </w:tcBorders>
            <w:vAlign w:val="center"/>
          </w:tcPr>
          <w:p w14:paraId="5A37660B" w14:textId="77777777" w:rsidR="001806B3" w:rsidRDefault="001806B3">
            <w:pPr>
              <w:spacing w:after="0" w:line="259" w:lineRule="auto"/>
              <w:ind w:left="33" w:right="0" w:firstLine="0"/>
              <w:jc w:val="center"/>
            </w:pPr>
            <w:r>
              <w:rPr>
                <w:b/>
                <w:sz w:val="18"/>
              </w:rPr>
              <w:t>Sample Matrix</w:t>
            </w:r>
          </w:p>
        </w:tc>
        <w:tc>
          <w:tcPr>
            <w:tcW w:w="5040" w:type="dxa"/>
            <w:tcBorders>
              <w:top w:val="single" w:sz="12" w:space="0" w:color="000000"/>
              <w:left w:val="single" w:sz="12" w:space="0" w:color="000000"/>
              <w:bottom w:val="single" w:sz="12" w:space="0" w:color="000000"/>
              <w:right w:val="single" w:sz="12" w:space="0" w:color="000000"/>
            </w:tcBorders>
            <w:vAlign w:val="center"/>
          </w:tcPr>
          <w:p w14:paraId="1A52988D" w14:textId="77777777" w:rsidR="001806B3" w:rsidRDefault="001806B3">
            <w:pPr>
              <w:spacing w:after="0" w:line="259" w:lineRule="auto"/>
              <w:ind w:left="38" w:right="0" w:firstLine="0"/>
              <w:jc w:val="center"/>
            </w:pPr>
            <w:r>
              <w:rPr>
                <w:b/>
                <w:sz w:val="18"/>
              </w:rPr>
              <w:t>Procedure</w:t>
            </w:r>
          </w:p>
        </w:tc>
      </w:tr>
      <w:tr w:rsidR="00C84A5D" w14:paraId="1B3C71F8" w14:textId="77777777" w:rsidTr="00C23B62">
        <w:trPr>
          <w:trHeight w:val="261"/>
        </w:trPr>
        <w:tc>
          <w:tcPr>
            <w:tcW w:w="3150" w:type="dxa"/>
            <w:tcBorders>
              <w:top w:val="single" w:sz="12" w:space="0" w:color="000000"/>
              <w:left w:val="single" w:sz="12" w:space="0" w:color="000000"/>
              <w:bottom w:val="single" w:sz="2" w:space="0" w:color="000000"/>
              <w:right w:val="single" w:sz="12" w:space="0" w:color="000000"/>
            </w:tcBorders>
          </w:tcPr>
          <w:p w14:paraId="1F9BFDC7" w14:textId="51FAA964" w:rsidR="001806B3" w:rsidRPr="0022429B" w:rsidRDefault="005E11C7" w:rsidP="00212750">
            <w:pPr>
              <w:tabs>
                <w:tab w:val="center" w:pos="452"/>
              </w:tabs>
              <w:spacing w:after="0" w:line="259" w:lineRule="auto"/>
              <w:ind w:left="0" w:right="0" w:firstLine="0"/>
              <w:jc w:val="center"/>
              <w:rPr>
                <w:sz w:val="18"/>
                <w:szCs w:val="18"/>
              </w:rPr>
            </w:pPr>
            <w:r>
              <w:rPr>
                <w:sz w:val="18"/>
                <w:szCs w:val="18"/>
              </w:rPr>
              <w:t xml:space="preserve">DW </w:t>
            </w:r>
            <w:r w:rsidR="00BA0FEC" w:rsidRPr="00BA0FEC">
              <w:rPr>
                <w:sz w:val="18"/>
                <w:szCs w:val="18"/>
              </w:rPr>
              <w:t xml:space="preserve">537.1 </w:t>
            </w:r>
            <w:r w:rsidR="00BA0FEC">
              <w:rPr>
                <w:sz w:val="18"/>
                <w:szCs w:val="18"/>
              </w:rPr>
              <w:t>v</w:t>
            </w:r>
            <w:r w:rsidR="00BA0FEC" w:rsidRPr="00BA0FEC">
              <w:rPr>
                <w:sz w:val="18"/>
                <w:szCs w:val="18"/>
              </w:rPr>
              <w:t>2</w:t>
            </w:r>
            <w:r w:rsidR="00BA0FEC">
              <w:rPr>
                <w:sz w:val="18"/>
                <w:szCs w:val="18"/>
              </w:rPr>
              <w:t xml:space="preserve"> </w:t>
            </w:r>
            <w:r w:rsidR="00A356EE">
              <w:rPr>
                <w:sz w:val="18"/>
                <w:szCs w:val="18"/>
              </w:rPr>
              <w:t>PFAS (</w:t>
            </w:r>
            <w:r w:rsidR="006A5BB8">
              <w:rPr>
                <w:sz w:val="18"/>
                <w:szCs w:val="18"/>
              </w:rPr>
              <w:t>18 analytes</w:t>
            </w:r>
            <w:r w:rsidR="00BA0FEC">
              <w:rPr>
                <w:sz w:val="18"/>
                <w:szCs w:val="18"/>
              </w:rPr>
              <w:t>)</w:t>
            </w:r>
          </w:p>
        </w:tc>
        <w:tc>
          <w:tcPr>
            <w:tcW w:w="2340" w:type="dxa"/>
            <w:tcBorders>
              <w:top w:val="single" w:sz="12" w:space="0" w:color="000000"/>
              <w:left w:val="single" w:sz="12" w:space="0" w:color="000000"/>
              <w:bottom w:val="single" w:sz="4" w:space="0" w:color="000000"/>
              <w:right w:val="single" w:sz="12" w:space="0" w:color="000000"/>
            </w:tcBorders>
          </w:tcPr>
          <w:p w14:paraId="3E63822D" w14:textId="04C24BE7" w:rsidR="001806B3" w:rsidRDefault="00697CC8" w:rsidP="00113430">
            <w:pPr>
              <w:spacing w:after="0" w:line="259" w:lineRule="auto"/>
              <w:ind w:left="108" w:right="0" w:firstLine="0"/>
              <w:jc w:val="center"/>
            </w:pPr>
            <w:r>
              <w:rPr>
                <w:sz w:val="18"/>
              </w:rPr>
              <w:t>Drinking Water</w:t>
            </w:r>
          </w:p>
        </w:tc>
        <w:tc>
          <w:tcPr>
            <w:tcW w:w="5040" w:type="dxa"/>
            <w:tcBorders>
              <w:top w:val="single" w:sz="12" w:space="0" w:color="000000"/>
              <w:left w:val="single" w:sz="12" w:space="0" w:color="000000"/>
              <w:bottom w:val="single" w:sz="4" w:space="0" w:color="000000"/>
              <w:right w:val="single" w:sz="12" w:space="0" w:color="000000"/>
            </w:tcBorders>
          </w:tcPr>
          <w:p w14:paraId="0A85CBBF" w14:textId="06777CB0" w:rsidR="001806B3" w:rsidRDefault="00D92980" w:rsidP="00113430">
            <w:pPr>
              <w:tabs>
                <w:tab w:val="center" w:pos="848"/>
              </w:tabs>
              <w:spacing w:after="0" w:line="259" w:lineRule="auto"/>
              <w:ind w:left="0" w:right="0" w:firstLine="0"/>
              <w:jc w:val="center"/>
            </w:pPr>
            <w:r>
              <w:rPr>
                <w:sz w:val="18"/>
              </w:rPr>
              <w:t>S</w:t>
            </w:r>
            <w:r w:rsidRPr="00D92980">
              <w:rPr>
                <w:sz w:val="18"/>
              </w:rPr>
              <w:t>olid phase extraction</w:t>
            </w:r>
            <w:r w:rsidR="0004705D">
              <w:rPr>
                <w:sz w:val="18"/>
              </w:rPr>
              <w:t xml:space="preserve"> </w:t>
            </w:r>
            <w:r w:rsidRPr="00D92980">
              <w:rPr>
                <w:sz w:val="18"/>
              </w:rPr>
              <w:t xml:space="preserve">(SPE) </w:t>
            </w:r>
            <w:r w:rsidR="00131521">
              <w:rPr>
                <w:sz w:val="18"/>
              </w:rPr>
              <w:t xml:space="preserve">and </w:t>
            </w:r>
            <w:r w:rsidRPr="00D92980">
              <w:rPr>
                <w:sz w:val="18"/>
              </w:rPr>
              <w:t>liquid chromatography/tandem mass</w:t>
            </w:r>
            <w:r w:rsidR="0004705D">
              <w:rPr>
                <w:sz w:val="18"/>
              </w:rPr>
              <w:t xml:space="preserve"> </w:t>
            </w:r>
            <w:r w:rsidRPr="00D92980">
              <w:rPr>
                <w:sz w:val="18"/>
              </w:rPr>
              <w:t>spectrometry (LC/MS/MS)</w:t>
            </w:r>
          </w:p>
        </w:tc>
      </w:tr>
      <w:tr w:rsidR="00C84A5D" w14:paraId="01C98DDA" w14:textId="77777777" w:rsidTr="00C23B62">
        <w:trPr>
          <w:trHeight w:val="250"/>
        </w:trPr>
        <w:tc>
          <w:tcPr>
            <w:tcW w:w="3150" w:type="dxa"/>
            <w:tcBorders>
              <w:top w:val="single" w:sz="2" w:space="0" w:color="000000"/>
              <w:left w:val="single" w:sz="12" w:space="0" w:color="000000"/>
              <w:bottom w:val="single" w:sz="2" w:space="0" w:color="000000"/>
              <w:right w:val="single" w:sz="12" w:space="0" w:color="000000"/>
            </w:tcBorders>
            <w:vAlign w:val="center"/>
          </w:tcPr>
          <w:p w14:paraId="78ECE519" w14:textId="4C191621" w:rsidR="0047368E" w:rsidRPr="009E3732" w:rsidRDefault="005E11C7" w:rsidP="0047368E">
            <w:pPr>
              <w:tabs>
                <w:tab w:val="center" w:pos="452"/>
              </w:tabs>
              <w:spacing w:after="0" w:line="259" w:lineRule="auto"/>
              <w:ind w:left="0" w:right="0" w:firstLine="0"/>
              <w:jc w:val="center"/>
              <w:rPr>
                <w:sz w:val="18"/>
                <w:szCs w:val="18"/>
              </w:rPr>
            </w:pPr>
            <w:r>
              <w:rPr>
                <w:sz w:val="18"/>
                <w:szCs w:val="18"/>
              </w:rPr>
              <w:t xml:space="preserve">DW </w:t>
            </w:r>
            <w:r w:rsidR="00BA0FEC" w:rsidRPr="00BA0FEC">
              <w:rPr>
                <w:sz w:val="18"/>
                <w:szCs w:val="18"/>
              </w:rPr>
              <w:t xml:space="preserve">533 </w:t>
            </w:r>
            <w:r w:rsidR="0047368E" w:rsidRPr="009E3732">
              <w:rPr>
                <w:sz w:val="18"/>
                <w:szCs w:val="18"/>
              </w:rPr>
              <w:t>PFAS (</w:t>
            </w:r>
            <w:r w:rsidR="006A5BB8">
              <w:rPr>
                <w:sz w:val="18"/>
                <w:szCs w:val="18"/>
              </w:rPr>
              <w:t>25</w:t>
            </w:r>
            <w:r w:rsidR="0047368E" w:rsidRPr="009E3732">
              <w:rPr>
                <w:sz w:val="18"/>
                <w:szCs w:val="18"/>
              </w:rPr>
              <w:t xml:space="preserve"> </w:t>
            </w:r>
            <w:r w:rsidR="00CB3779">
              <w:rPr>
                <w:sz w:val="18"/>
                <w:szCs w:val="18"/>
              </w:rPr>
              <w:t>analytes</w:t>
            </w:r>
            <w:r w:rsidR="0047368E" w:rsidRPr="009E3732">
              <w:rPr>
                <w:sz w:val="18"/>
                <w:szCs w:val="18"/>
              </w:rPr>
              <w:t>)</w:t>
            </w:r>
          </w:p>
        </w:tc>
        <w:tc>
          <w:tcPr>
            <w:tcW w:w="2340" w:type="dxa"/>
            <w:tcBorders>
              <w:top w:val="single" w:sz="4" w:space="0" w:color="000000"/>
              <w:left w:val="single" w:sz="12" w:space="0" w:color="000000"/>
              <w:bottom w:val="single" w:sz="4" w:space="0" w:color="000000"/>
              <w:right w:val="single" w:sz="12" w:space="0" w:color="000000"/>
            </w:tcBorders>
          </w:tcPr>
          <w:p w14:paraId="331DDE27" w14:textId="0A1F02D5" w:rsidR="0047368E" w:rsidRPr="009E3732" w:rsidRDefault="00E00075" w:rsidP="0047368E">
            <w:pPr>
              <w:spacing w:after="0" w:line="259" w:lineRule="auto"/>
              <w:ind w:left="108" w:right="0" w:firstLine="0"/>
              <w:jc w:val="center"/>
              <w:rPr>
                <w:sz w:val="18"/>
                <w:szCs w:val="18"/>
              </w:rPr>
            </w:pPr>
            <w:r>
              <w:rPr>
                <w:sz w:val="18"/>
                <w:szCs w:val="18"/>
              </w:rPr>
              <w:t>Drinking Water</w:t>
            </w:r>
          </w:p>
        </w:tc>
        <w:tc>
          <w:tcPr>
            <w:tcW w:w="5040" w:type="dxa"/>
            <w:tcBorders>
              <w:top w:val="single" w:sz="4" w:space="0" w:color="000000"/>
              <w:left w:val="single" w:sz="12" w:space="0" w:color="000000"/>
              <w:bottom w:val="single" w:sz="4" w:space="0" w:color="000000"/>
              <w:right w:val="single" w:sz="12" w:space="0" w:color="000000"/>
            </w:tcBorders>
          </w:tcPr>
          <w:p w14:paraId="1BE05191" w14:textId="3EC01867" w:rsidR="0047368E" w:rsidRPr="009E3732" w:rsidRDefault="00E52F80" w:rsidP="0047368E">
            <w:pPr>
              <w:tabs>
                <w:tab w:val="center" w:pos="795"/>
              </w:tabs>
              <w:spacing w:after="0" w:line="259" w:lineRule="auto"/>
              <w:ind w:left="0" w:right="0" w:firstLine="0"/>
              <w:jc w:val="center"/>
              <w:rPr>
                <w:sz w:val="18"/>
                <w:szCs w:val="18"/>
              </w:rPr>
            </w:pPr>
            <w:r w:rsidRPr="00E52F80">
              <w:rPr>
                <w:sz w:val="18"/>
                <w:szCs w:val="18"/>
              </w:rPr>
              <w:t>SPE</w:t>
            </w:r>
            <w:r w:rsidR="00131521">
              <w:rPr>
                <w:sz w:val="18"/>
                <w:szCs w:val="18"/>
              </w:rPr>
              <w:t xml:space="preserve"> and</w:t>
            </w:r>
            <w:r w:rsidRPr="00E52F80">
              <w:rPr>
                <w:sz w:val="18"/>
                <w:szCs w:val="18"/>
              </w:rPr>
              <w:t xml:space="preserve"> LC/MS/MS</w:t>
            </w:r>
            <w:r w:rsidR="0038130F">
              <w:rPr>
                <w:sz w:val="18"/>
                <w:szCs w:val="18"/>
              </w:rPr>
              <w:t xml:space="preserve"> Isotope Dilution</w:t>
            </w:r>
            <w:r w:rsidR="00E4387E">
              <w:rPr>
                <w:sz w:val="18"/>
                <w:szCs w:val="18"/>
              </w:rPr>
              <w:t xml:space="preserve"> (ID)</w:t>
            </w:r>
          </w:p>
        </w:tc>
      </w:tr>
      <w:tr w:rsidR="00C84A5D" w14:paraId="38ACE8C4" w14:textId="77777777" w:rsidTr="00C23B62">
        <w:trPr>
          <w:trHeight w:val="250"/>
        </w:trPr>
        <w:tc>
          <w:tcPr>
            <w:tcW w:w="3150" w:type="dxa"/>
            <w:tcBorders>
              <w:top w:val="single" w:sz="2" w:space="0" w:color="000000"/>
              <w:left w:val="single" w:sz="12" w:space="0" w:color="000000"/>
              <w:bottom w:val="single" w:sz="4" w:space="0" w:color="000000"/>
              <w:right w:val="single" w:sz="12" w:space="0" w:color="000000"/>
            </w:tcBorders>
            <w:vAlign w:val="center"/>
          </w:tcPr>
          <w:p w14:paraId="2C539234" w14:textId="10895A4E" w:rsidR="0047368E" w:rsidRPr="009E3732" w:rsidRDefault="0097503D" w:rsidP="0047368E">
            <w:pPr>
              <w:tabs>
                <w:tab w:val="center" w:pos="452"/>
              </w:tabs>
              <w:spacing w:after="0" w:line="259" w:lineRule="auto"/>
              <w:ind w:left="0" w:right="0" w:firstLine="0"/>
              <w:jc w:val="center"/>
              <w:rPr>
                <w:sz w:val="18"/>
                <w:szCs w:val="18"/>
              </w:rPr>
            </w:pPr>
            <w:r>
              <w:rPr>
                <w:sz w:val="18"/>
                <w:szCs w:val="18"/>
              </w:rPr>
              <w:t xml:space="preserve">CWA </w:t>
            </w:r>
            <w:r w:rsidR="00337064">
              <w:rPr>
                <w:sz w:val="18"/>
                <w:szCs w:val="18"/>
              </w:rPr>
              <w:t>1633</w:t>
            </w:r>
            <w:r w:rsidR="00683241">
              <w:rPr>
                <w:sz w:val="18"/>
                <w:szCs w:val="18"/>
              </w:rPr>
              <w:t>A</w:t>
            </w:r>
            <w:r w:rsidR="00337064">
              <w:rPr>
                <w:sz w:val="18"/>
                <w:szCs w:val="18"/>
              </w:rPr>
              <w:t xml:space="preserve"> </w:t>
            </w:r>
            <w:r w:rsidR="0047368E" w:rsidRPr="009E3732">
              <w:rPr>
                <w:sz w:val="18"/>
                <w:szCs w:val="18"/>
              </w:rPr>
              <w:t>PFAS (</w:t>
            </w:r>
            <w:r w:rsidR="00D83CB2">
              <w:rPr>
                <w:sz w:val="18"/>
                <w:szCs w:val="18"/>
              </w:rPr>
              <w:t>40</w:t>
            </w:r>
            <w:r w:rsidR="00A31199">
              <w:rPr>
                <w:sz w:val="18"/>
                <w:szCs w:val="18"/>
              </w:rPr>
              <w:t xml:space="preserve"> analytes</w:t>
            </w:r>
            <w:r w:rsidR="0047368E" w:rsidRPr="009E3732">
              <w:rPr>
                <w:sz w:val="18"/>
                <w:szCs w:val="18"/>
              </w:rPr>
              <w:t>)</w:t>
            </w:r>
          </w:p>
        </w:tc>
        <w:tc>
          <w:tcPr>
            <w:tcW w:w="2340" w:type="dxa"/>
            <w:tcBorders>
              <w:top w:val="single" w:sz="4" w:space="0" w:color="000000"/>
              <w:left w:val="single" w:sz="12" w:space="0" w:color="000000"/>
              <w:bottom w:val="single" w:sz="4" w:space="0" w:color="000000"/>
              <w:right w:val="single" w:sz="12" w:space="0" w:color="000000"/>
            </w:tcBorders>
          </w:tcPr>
          <w:p w14:paraId="1D1C9C9A" w14:textId="0ECA090C" w:rsidR="0047368E" w:rsidRPr="009E3732" w:rsidRDefault="00AC1539" w:rsidP="0047368E">
            <w:pPr>
              <w:spacing w:after="0" w:line="259" w:lineRule="auto"/>
              <w:ind w:left="108" w:right="0" w:firstLine="0"/>
              <w:jc w:val="center"/>
              <w:rPr>
                <w:sz w:val="18"/>
                <w:szCs w:val="18"/>
              </w:rPr>
            </w:pPr>
            <w:r>
              <w:rPr>
                <w:sz w:val="18"/>
                <w:szCs w:val="18"/>
              </w:rPr>
              <w:t>Surface Water, Groundwater</w:t>
            </w:r>
            <w:r w:rsidR="00374011">
              <w:rPr>
                <w:sz w:val="18"/>
                <w:szCs w:val="18"/>
              </w:rPr>
              <w:t xml:space="preserve">, </w:t>
            </w:r>
            <w:proofErr w:type="gramStart"/>
            <w:r w:rsidR="00374011">
              <w:rPr>
                <w:sz w:val="18"/>
                <w:szCs w:val="18"/>
              </w:rPr>
              <w:t>Waste Water</w:t>
            </w:r>
            <w:proofErr w:type="gramEnd"/>
            <w:r w:rsidR="009C177B">
              <w:rPr>
                <w:sz w:val="18"/>
                <w:szCs w:val="18"/>
              </w:rPr>
              <w:t>,</w:t>
            </w:r>
            <w:r w:rsidR="00374011">
              <w:rPr>
                <w:sz w:val="18"/>
                <w:szCs w:val="18"/>
              </w:rPr>
              <w:t xml:space="preserve"> Leachate,</w:t>
            </w:r>
            <w:r w:rsidR="009C177B">
              <w:rPr>
                <w:sz w:val="18"/>
                <w:szCs w:val="18"/>
              </w:rPr>
              <w:t xml:space="preserve"> Solid</w:t>
            </w:r>
            <w:r w:rsidR="00D9226F">
              <w:rPr>
                <w:sz w:val="18"/>
                <w:szCs w:val="18"/>
              </w:rPr>
              <w:t>s</w:t>
            </w:r>
            <w:r w:rsidR="009C177B">
              <w:rPr>
                <w:sz w:val="18"/>
                <w:szCs w:val="18"/>
              </w:rPr>
              <w:t>, Biosolids</w:t>
            </w:r>
          </w:p>
        </w:tc>
        <w:tc>
          <w:tcPr>
            <w:tcW w:w="5040" w:type="dxa"/>
            <w:tcBorders>
              <w:top w:val="single" w:sz="4" w:space="0" w:color="000000"/>
              <w:left w:val="single" w:sz="12" w:space="0" w:color="000000"/>
              <w:bottom w:val="single" w:sz="4" w:space="0" w:color="000000"/>
              <w:right w:val="single" w:sz="12" w:space="0" w:color="000000"/>
            </w:tcBorders>
          </w:tcPr>
          <w:p w14:paraId="2B6D9932" w14:textId="25BBEA59" w:rsidR="008F59E9" w:rsidRDefault="0083352D" w:rsidP="003C6B10">
            <w:pPr>
              <w:tabs>
                <w:tab w:val="center" w:pos="1008"/>
              </w:tabs>
              <w:spacing w:after="0" w:line="259" w:lineRule="auto"/>
              <w:ind w:left="0" w:right="0" w:firstLine="0"/>
              <w:jc w:val="center"/>
              <w:rPr>
                <w:sz w:val="18"/>
                <w:szCs w:val="18"/>
              </w:rPr>
            </w:pPr>
            <w:r w:rsidRPr="0083352D">
              <w:rPr>
                <w:sz w:val="18"/>
                <w:szCs w:val="18"/>
              </w:rPr>
              <w:t>SPE and carbon cleanup</w:t>
            </w:r>
            <w:r w:rsidR="001E1F3C">
              <w:rPr>
                <w:sz w:val="18"/>
                <w:szCs w:val="18"/>
              </w:rPr>
              <w:t xml:space="preserve"> and </w:t>
            </w:r>
            <w:r w:rsidR="001E1F3C" w:rsidRPr="00E52F80">
              <w:rPr>
                <w:sz w:val="18"/>
                <w:szCs w:val="18"/>
              </w:rPr>
              <w:t>LC/MS/MS</w:t>
            </w:r>
            <w:r w:rsidR="00637596">
              <w:rPr>
                <w:sz w:val="18"/>
                <w:szCs w:val="18"/>
              </w:rPr>
              <w:t xml:space="preserve"> Isotope Dilution</w:t>
            </w:r>
          </w:p>
          <w:p w14:paraId="6DB083E7" w14:textId="5786577A" w:rsidR="0047368E" w:rsidRPr="009E3732" w:rsidRDefault="0047368E" w:rsidP="0047368E">
            <w:pPr>
              <w:tabs>
                <w:tab w:val="center" w:pos="1008"/>
              </w:tabs>
              <w:spacing w:after="0" w:line="259" w:lineRule="auto"/>
              <w:ind w:left="0" w:right="0" w:firstLine="0"/>
              <w:jc w:val="center"/>
              <w:rPr>
                <w:sz w:val="18"/>
                <w:szCs w:val="18"/>
              </w:rPr>
            </w:pPr>
          </w:p>
        </w:tc>
      </w:tr>
      <w:tr w:rsidR="00C84A5D" w14:paraId="614D1A29" w14:textId="77777777" w:rsidTr="00C23B62">
        <w:trPr>
          <w:trHeight w:val="250"/>
        </w:trPr>
        <w:tc>
          <w:tcPr>
            <w:tcW w:w="3150" w:type="dxa"/>
            <w:tcBorders>
              <w:top w:val="single" w:sz="4" w:space="0" w:color="000000"/>
              <w:left w:val="single" w:sz="12" w:space="0" w:color="000000"/>
              <w:bottom w:val="single" w:sz="12" w:space="0" w:color="000000"/>
              <w:right w:val="single" w:sz="12" w:space="0" w:color="000000"/>
            </w:tcBorders>
            <w:vAlign w:val="center"/>
          </w:tcPr>
          <w:p w14:paraId="5C6A890F" w14:textId="0DDCE0BF" w:rsidR="0047368E" w:rsidRPr="009E3732" w:rsidRDefault="00842C25" w:rsidP="0047368E">
            <w:pPr>
              <w:tabs>
                <w:tab w:val="center" w:pos="512"/>
              </w:tabs>
              <w:spacing w:after="0" w:line="259" w:lineRule="auto"/>
              <w:ind w:left="0" w:right="0" w:firstLine="0"/>
              <w:jc w:val="center"/>
              <w:rPr>
                <w:sz w:val="18"/>
                <w:szCs w:val="18"/>
              </w:rPr>
            </w:pPr>
            <w:r>
              <w:rPr>
                <w:sz w:val="18"/>
                <w:szCs w:val="18"/>
              </w:rPr>
              <w:t xml:space="preserve">SW 846 </w:t>
            </w:r>
            <w:r w:rsidR="00230EF6">
              <w:rPr>
                <w:sz w:val="18"/>
                <w:szCs w:val="18"/>
              </w:rPr>
              <w:t>83</w:t>
            </w:r>
            <w:r w:rsidR="007407E0">
              <w:rPr>
                <w:sz w:val="18"/>
                <w:szCs w:val="18"/>
              </w:rPr>
              <w:t xml:space="preserve">27 </w:t>
            </w:r>
            <w:r w:rsidR="0047368E" w:rsidRPr="009E3732">
              <w:rPr>
                <w:sz w:val="18"/>
                <w:szCs w:val="18"/>
              </w:rPr>
              <w:t>PFAS (</w:t>
            </w:r>
            <w:r w:rsidR="00FB79EE">
              <w:rPr>
                <w:sz w:val="18"/>
                <w:szCs w:val="18"/>
              </w:rPr>
              <w:t>24</w:t>
            </w:r>
            <w:r w:rsidR="00230EF6">
              <w:rPr>
                <w:sz w:val="18"/>
                <w:szCs w:val="18"/>
              </w:rPr>
              <w:t xml:space="preserve"> analytes</w:t>
            </w:r>
            <w:r w:rsidR="0047368E" w:rsidRPr="009E3732">
              <w:rPr>
                <w:sz w:val="18"/>
                <w:szCs w:val="18"/>
              </w:rPr>
              <w:t>)</w:t>
            </w:r>
          </w:p>
        </w:tc>
        <w:tc>
          <w:tcPr>
            <w:tcW w:w="2340" w:type="dxa"/>
            <w:tcBorders>
              <w:top w:val="single" w:sz="4" w:space="0" w:color="000000"/>
              <w:left w:val="single" w:sz="12" w:space="0" w:color="000000"/>
              <w:bottom w:val="single" w:sz="12" w:space="0" w:color="000000"/>
              <w:right w:val="single" w:sz="12" w:space="0" w:color="000000"/>
            </w:tcBorders>
          </w:tcPr>
          <w:p w14:paraId="7E18E6D4" w14:textId="1CCD21B4" w:rsidR="0047368E" w:rsidRPr="009E3732" w:rsidRDefault="00772F95" w:rsidP="0047368E">
            <w:pPr>
              <w:spacing w:after="0" w:line="259" w:lineRule="auto"/>
              <w:ind w:left="108" w:right="0" w:firstLine="0"/>
              <w:jc w:val="center"/>
              <w:rPr>
                <w:sz w:val="18"/>
                <w:szCs w:val="18"/>
              </w:rPr>
            </w:pPr>
            <w:r>
              <w:rPr>
                <w:sz w:val="18"/>
                <w:szCs w:val="18"/>
              </w:rPr>
              <w:t>Aqueous</w:t>
            </w:r>
          </w:p>
        </w:tc>
        <w:tc>
          <w:tcPr>
            <w:tcW w:w="5040" w:type="dxa"/>
            <w:tcBorders>
              <w:top w:val="single" w:sz="4" w:space="0" w:color="000000"/>
              <w:left w:val="single" w:sz="12" w:space="0" w:color="000000"/>
              <w:bottom w:val="single" w:sz="12" w:space="0" w:color="000000"/>
              <w:right w:val="single" w:sz="12" w:space="0" w:color="000000"/>
            </w:tcBorders>
          </w:tcPr>
          <w:p w14:paraId="1C5C3FD0" w14:textId="5E2484F0" w:rsidR="0047368E" w:rsidRPr="009E3732" w:rsidRDefault="00F815EC" w:rsidP="0047368E">
            <w:pPr>
              <w:tabs>
                <w:tab w:val="center" w:pos="766"/>
              </w:tabs>
              <w:spacing w:after="0" w:line="259" w:lineRule="auto"/>
              <w:ind w:left="0" w:right="0" w:firstLine="0"/>
              <w:jc w:val="center"/>
              <w:rPr>
                <w:sz w:val="18"/>
                <w:szCs w:val="18"/>
              </w:rPr>
            </w:pPr>
            <w:r>
              <w:rPr>
                <w:sz w:val="18"/>
                <w:szCs w:val="18"/>
              </w:rPr>
              <w:t>P</w:t>
            </w:r>
            <w:r w:rsidR="00DE57DC" w:rsidRPr="00DE57DC">
              <w:rPr>
                <w:sz w:val="18"/>
                <w:szCs w:val="18"/>
              </w:rPr>
              <w:t>repared samples or sample extracts</w:t>
            </w:r>
            <w:r>
              <w:rPr>
                <w:sz w:val="18"/>
                <w:szCs w:val="18"/>
              </w:rPr>
              <w:t xml:space="preserve"> by LC/MS/MS</w:t>
            </w:r>
            <w:r w:rsidR="005B062F">
              <w:rPr>
                <w:sz w:val="18"/>
                <w:szCs w:val="18"/>
              </w:rPr>
              <w:t xml:space="preserve"> and</w:t>
            </w:r>
            <w:r w:rsidR="00541526">
              <w:rPr>
                <w:sz w:val="18"/>
                <w:szCs w:val="18"/>
              </w:rPr>
              <w:t xml:space="preserve"> </w:t>
            </w:r>
            <w:r w:rsidR="00541526" w:rsidRPr="00541526">
              <w:rPr>
                <w:sz w:val="18"/>
                <w:szCs w:val="18"/>
              </w:rPr>
              <w:t>refer to Method 8000</w:t>
            </w:r>
          </w:p>
        </w:tc>
      </w:tr>
    </w:tbl>
    <w:p w14:paraId="135ECC84" w14:textId="6F746EE1" w:rsidR="00FF2314" w:rsidRDefault="00FF2314" w:rsidP="00AA4507"/>
    <w:tbl>
      <w:tblPr>
        <w:tblStyle w:val="TableGrid1"/>
        <w:tblW w:w="10530" w:type="dxa"/>
        <w:tblInd w:w="-375" w:type="dxa"/>
        <w:tblLayout w:type="fixed"/>
        <w:tblCellMar>
          <w:top w:w="22" w:type="dxa"/>
          <w:left w:w="72" w:type="dxa"/>
          <w:right w:w="27" w:type="dxa"/>
        </w:tblCellMar>
        <w:tblLook w:val="04A0" w:firstRow="1" w:lastRow="0" w:firstColumn="1" w:lastColumn="0" w:noHBand="0" w:noVBand="1"/>
      </w:tblPr>
      <w:tblGrid>
        <w:gridCol w:w="4320"/>
        <w:gridCol w:w="1170"/>
        <w:gridCol w:w="1170"/>
        <w:gridCol w:w="810"/>
        <w:gridCol w:w="720"/>
        <w:gridCol w:w="900"/>
        <w:gridCol w:w="1440"/>
      </w:tblGrid>
      <w:tr w:rsidR="00A5468F" w:rsidRPr="00A22220" w14:paraId="28FAE8D1" w14:textId="77777777" w:rsidTr="00C23B62">
        <w:trPr>
          <w:trHeight w:val="316"/>
          <w:tblHeader/>
        </w:trPr>
        <w:tc>
          <w:tcPr>
            <w:tcW w:w="10530" w:type="dxa"/>
            <w:gridSpan w:val="7"/>
            <w:tcBorders>
              <w:top w:val="single" w:sz="12" w:space="0" w:color="000000"/>
              <w:left w:val="single" w:sz="12" w:space="0" w:color="000000"/>
              <w:bottom w:val="single" w:sz="12" w:space="0" w:color="000000"/>
              <w:right w:val="single" w:sz="12" w:space="0" w:color="000000"/>
            </w:tcBorders>
            <w:vAlign w:val="center"/>
          </w:tcPr>
          <w:p w14:paraId="05FF2A00" w14:textId="54005589" w:rsidR="00A5468F" w:rsidRPr="00A22220" w:rsidRDefault="007049B8">
            <w:pPr>
              <w:spacing w:after="0" w:line="240" w:lineRule="auto"/>
              <w:ind w:left="0" w:right="0" w:firstLine="0"/>
              <w:rPr>
                <w:sz w:val="18"/>
                <w:szCs w:val="18"/>
              </w:rPr>
            </w:pPr>
            <w:r w:rsidRPr="00A22220">
              <w:rPr>
                <w:b/>
                <w:sz w:val="18"/>
                <w:szCs w:val="18"/>
              </w:rPr>
              <w:t>PFAS</w:t>
            </w:r>
            <w:r w:rsidR="00A5468F" w:rsidRPr="00A22220">
              <w:rPr>
                <w:b/>
                <w:sz w:val="18"/>
                <w:szCs w:val="18"/>
              </w:rPr>
              <w:t xml:space="preserve"> Group A</w:t>
            </w:r>
            <w:proofErr w:type="gramStart"/>
            <w:r w:rsidR="00A5468F" w:rsidRPr="00A22220">
              <w:rPr>
                <w:b/>
                <w:sz w:val="18"/>
                <w:szCs w:val="18"/>
              </w:rPr>
              <w:t>:</w:t>
            </w:r>
            <w:r w:rsidR="00A5468F" w:rsidRPr="00A22220">
              <w:rPr>
                <w:sz w:val="18"/>
                <w:szCs w:val="18"/>
              </w:rPr>
              <w:t xml:space="preserve">  </w:t>
            </w:r>
            <w:r w:rsidR="00A5468F" w:rsidRPr="00A22220">
              <w:rPr>
                <w:b/>
                <w:sz w:val="18"/>
                <w:szCs w:val="18"/>
              </w:rPr>
              <w:t>OLQ</w:t>
            </w:r>
            <w:proofErr w:type="gramEnd"/>
            <w:r w:rsidR="00A5468F" w:rsidRPr="00A22220">
              <w:rPr>
                <w:b/>
                <w:sz w:val="18"/>
                <w:szCs w:val="18"/>
              </w:rPr>
              <w:t xml:space="preserve"> Standard </w:t>
            </w:r>
            <w:r w:rsidR="006D5747">
              <w:rPr>
                <w:b/>
                <w:sz w:val="18"/>
                <w:szCs w:val="18"/>
              </w:rPr>
              <w:t xml:space="preserve">Drinking </w:t>
            </w:r>
            <w:r w:rsidR="006D5747" w:rsidRPr="006D5747">
              <w:rPr>
                <w:b/>
                <w:sz w:val="18"/>
                <w:szCs w:val="18"/>
              </w:rPr>
              <w:t>Water</w:t>
            </w:r>
            <w:r w:rsidR="00A5468F" w:rsidRPr="006D5747">
              <w:rPr>
                <w:b/>
                <w:sz w:val="18"/>
                <w:szCs w:val="18"/>
              </w:rPr>
              <w:t xml:space="preserve"> List </w:t>
            </w:r>
            <w:r w:rsidR="006D5747" w:rsidRPr="006D5747">
              <w:rPr>
                <w:b/>
                <w:sz w:val="18"/>
                <w:szCs w:val="18"/>
              </w:rPr>
              <w:t xml:space="preserve">537.1 </w:t>
            </w:r>
            <w:r w:rsidR="006121E0">
              <w:rPr>
                <w:b/>
                <w:sz w:val="18"/>
                <w:szCs w:val="18"/>
              </w:rPr>
              <w:t>v</w:t>
            </w:r>
            <w:r w:rsidR="006D5747" w:rsidRPr="006D5747">
              <w:rPr>
                <w:b/>
                <w:sz w:val="18"/>
                <w:szCs w:val="18"/>
              </w:rPr>
              <w:t>2</w:t>
            </w:r>
          </w:p>
        </w:tc>
      </w:tr>
      <w:tr w:rsidR="001E30AA" w:rsidRPr="00A22220" w14:paraId="1377470F" w14:textId="77777777" w:rsidTr="00C23B62">
        <w:trPr>
          <w:trHeight w:val="310"/>
          <w:tblHeader/>
        </w:trPr>
        <w:tc>
          <w:tcPr>
            <w:tcW w:w="4320" w:type="dxa"/>
            <w:vMerge w:val="restart"/>
            <w:tcBorders>
              <w:top w:val="single" w:sz="12" w:space="0" w:color="000000"/>
              <w:left w:val="single" w:sz="12" w:space="0" w:color="000000"/>
              <w:right w:val="single" w:sz="12" w:space="0" w:color="000000"/>
            </w:tcBorders>
            <w:vAlign w:val="center"/>
          </w:tcPr>
          <w:p w14:paraId="3CC250D9" w14:textId="77777777" w:rsidR="00A5468F" w:rsidRPr="00A22220" w:rsidRDefault="00A5468F">
            <w:pPr>
              <w:spacing w:after="0" w:line="259" w:lineRule="auto"/>
              <w:ind w:left="0" w:right="46" w:firstLine="0"/>
              <w:jc w:val="center"/>
              <w:rPr>
                <w:sz w:val="18"/>
                <w:szCs w:val="18"/>
              </w:rPr>
            </w:pPr>
            <w:r w:rsidRPr="00A22220">
              <w:rPr>
                <w:b/>
                <w:sz w:val="18"/>
                <w:szCs w:val="18"/>
              </w:rPr>
              <w:t>Analyte</w:t>
            </w:r>
          </w:p>
        </w:tc>
        <w:tc>
          <w:tcPr>
            <w:tcW w:w="1170" w:type="dxa"/>
            <w:vMerge w:val="restart"/>
            <w:tcBorders>
              <w:top w:val="single" w:sz="12" w:space="0" w:color="000000"/>
              <w:left w:val="single" w:sz="12" w:space="0" w:color="000000"/>
              <w:right w:val="single" w:sz="12" w:space="0" w:color="000000"/>
            </w:tcBorders>
            <w:vAlign w:val="center"/>
          </w:tcPr>
          <w:p w14:paraId="05A47425" w14:textId="77777777" w:rsidR="00A5468F" w:rsidRPr="00A22220" w:rsidRDefault="00A5468F">
            <w:pPr>
              <w:spacing w:after="0" w:line="259" w:lineRule="auto"/>
              <w:ind w:left="0" w:right="0" w:firstLine="0"/>
              <w:jc w:val="center"/>
              <w:rPr>
                <w:sz w:val="18"/>
                <w:szCs w:val="18"/>
              </w:rPr>
            </w:pPr>
            <w:r w:rsidRPr="00A22220">
              <w:rPr>
                <w:b/>
                <w:sz w:val="18"/>
                <w:szCs w:val="18"/>
              </w:rPr>
              <w:t>CAS Number</w:t>
            </w:r>
          </w:p>
        </w:tc>
        <w:tc>
          <w:tcPr>
            <w:tcW w:w="1980" w:type="dxa"/>
            <w:gridSpan w:val="2"/>
            <w:tcBorders>
              <w:top w:val="single" w:sz="12" w:space="0" w:color="000000"/>
              <w:left w:val="single" w:sz="12" w:space="0" w:color="000000"/>
              <w:bottom w:val="single" w:sz="12" w:space="0" w:color="000000"/>
              <w:right w:val="single" w:sz="12" w:space="0" w:color="000000"/>
            </w:tcBorders>
            <w:vAlign w:val="center"/>
          </w:tcPr>
          <w:p w14:paraId="110864B8" w14:textId="7CCF0AB4" w:rsidR="00A5468F" w:rsidRPr="00853C08" w:rsidRDefault="0011107E">
            <w:pPr>
              <w:spacing w:after="0" w:line="259" w:lineRule="auto"/>
              <w:ind w:left="442" w:right="487" w:firstLine="0"/>
              <w:jc w:val="center"/>
              <w:rPr>
                <w:b/>
                <w:sz w:val="18"/>
                <w:szCs w:val="18"/>
              </w:rPr>
            </w:pPr>
            <w:r w:rsidRPr="00853C08">
              <w:rPr>
                <w:b/>
                <w:sz w:val="18"/>
                <w:szCs w:val="18"/>
              </w:rPr>
              <w:t>Aqueous</w:t>
            </w:r>
            <w:r w:rsidR="00734419">
              <w:rPr>
                <w:b/>
                <w:bCs/>
                <w:sz w:val="18"/>
                <w:szCs w:val="18"/>
              </w:rPr>
              <w:t xml:space="preserve"> </w:t>
            </w:r>
            <w:r w:rsidR="00734419" w:rsidRPr="00853C08">
              <w:rPr>
                <w:b/>
                <w:sz w:val="18"/>
                <w:szCs w:val="18"/>
                <w:vertAlign w:val="superscript"/>
              </w:rPr>
              <w:t>**</w:t>
            </w:r>
          </w:p>
        </w:tc>
        <w:tc>
          <w:tcPr>
            <w:tcW w:w="1620" w:type="dxa"/>
            <w:gridSpan w:val="2"/>
            <w:tcBorders>
              <w:top w:val="single" w:sz="12" w:space="0" w:color="000000"/>
              <w:left w:val="single" w:sz="12" w:space="0" w:color="000000"/>
              <w:bottom w:val="single" w:sz="12" w:space="0" w:color="000000"/>
              <w:right w:val="single" w:sz="12" w:space="0" w:color="000000"/>
            </w:tcBorders>
            <w:vAlign w:val="center"/>
          </w:tcPr>
          <w:p w14:paraId="0A0C9FF1" w14:textId="458F1C17" w:rsidR="00A5468F" w:rsidRPr="00A22220" w:rsidRDefault="00A5468F">
            <w:pPr>
              <w:spacing w:after="0" w:line="259" w:lineRule="auto"/>
              <w:ind w:left="166" w:right="180" w:firstLine="0"/>
              <w:jc w:val="center"/>
              <w:rPr>
                <w:sz w:val="18"/>
                <w:szCs w:val="18"/>
              </w:rPr>
            </w:pPr>
            <w:r w:rsidRPr="00A22220">
              <w:rPr>
                <w:b/>
                <w:sz w:val="18"/>
                <w:szCs w:val="18"/>
              </w:rPr>
              <w:t>Soil/Sediment</w:t>
            </w:r>
          </w:p>
        </w:tc>
        <w:tc>
          <w:tcPr>
            <w:tcW w:w="1440" w:type="dxa"/>
            <w:vMerge w:val="restart"/>
            <w:tcBorders>
              <w:top w:val="single" w:sz="12" w:space="0" w:color="000000"/>
              <w:left w:val="single" w:sz="12" w:space="0" w:color="000000"/>
              <w:right w:val="single" w:sz="12" w:space="0" w:color="000000"/>
            </w:tcBorders>
            <w:vAlign w:val="center"/>
          </w:tcPr>
          <w:p w14:paraId="2160A3C3" w14:textId="5CB7C8F1" w:rsidR="00A5468F" w:rsidRPr="00A22220" w:rsidRDefault="00A5468F">
            <w:pPr>
              <w:spacing w:after="0" w:line="259" w:lineRule="auto"/>
              <w:ind w:left="0" w:right="51" w:firstLine="0"/>
              <w:jc w:val="center"/>
              <w:rPr>
                <w:sz w:val="18"/>
                <w:szCs w:val="18"/>
              </w:rPr>
            </w:pPr>
            <w:r w:rsidRPr="00A22220">
              <w:rPr>
                <w:b/>
                <w:sz w:val="18"/>
                <w:szCs w:val="18"/>
              </w:rPr>
              <w:t>Acceptable Method</w:t>
            </w:r>
          </w:p>
        </w:tc>
      </w:tr>
      <w:tr w:rsidR="005F3A69" w:rsidRPr="00A22220" w14:paraId="33A6574D" w14:textId="77777777" w:rsidTr="008B300D">
        <w:trPr>
          <w:trHeight w:val="269"/>
          <w:tblHeader/>
        </w:trPr>
        <w:tc>
          <w:tcPr>
            <w:tcW w:w="4320" w:type="dxa"/>
            <w:vMerge/>
            <w:tcBorders>
              <w:left w:val="single" w:sz="12" w:space="0" w:color="000000"/>
              <w:bottom w:val="single" w:sz="12" w:space="0" w:color="000000"/>
              <w:right w:val="single" w:sz="12" w:space="0" w:color="000000"/>
            </w:tcBorders>
            <w:vAlign w:val="center"/>
          </w:tcPr>
          <w:p w14:paraId="61EDCE68" w14:textId="77777777" w:rsidR="00A5468F" w:rsidRPr="00A22220" w:rsidRDefault="00A5468F">
            <w:pPr>
              <w:spacing w:after="160" w:line="259" w:lineRule="auto"/>
              <w:ind w:left="0" w:right="0" w:firstLine="0"/>
              <w:jc w:val="center"/>
              <w:rPr>
                <w:sz w:val="18"/>
                <w:szCs w:val="18"/>
              </w:rPr>
            </w:pPr>
          </w:p>
        </w:tc>
        <w:tc>
          <w:tcPr>
            <w:tcW w:w="1170" w:type="dxa"/>
            <w:vMerge/>
            <w:tcBorders>
              <w:left w:val="single" w:sz="12" w:space="0" w:color="000000"/>
              <w:bottom w:val="single" w:sz="12" w:space="0" w:color="000000"/>
              <w:right w:val="single" w:sz="12" w:space="0" w:color="000000"/>
            </w:tcBorders>
            <w:vAlign w:val="center"/>
          </w:tcPr>
          <w:p w14:paraId="7B146251" w14:textId="77777777" w:rsidR="00A5468F" w:rsidRPr="00A22220" w:rsidRDefault="00A5468F">
            <w:pPr>
              <w:spacing w:after="160" w:line="259" w:lineRule="auto"/>
              <w:ind w:left="0" w:right="0" w:firstLine="0"/>
              <w:jc w:val="center"/>
              <w:rPr>
                <w:sz w:val="18"/>
                <w:szCs w:val="18"/>
              </w:rPr>
            </w:pPr>
          </w:p>
        </w:tc>
        <w:tc>
          <w:tcPr>
            <w:tcW w:w="1170" w:type="dxa"/>
            <w:tcBorders>
              <w:top w:val="single" w:sz="12" w:space="0" w:color="000000"/>
              <w:left w:val="single" w:sz="12" w:space="0" w:color="000000"/>
              <w:bottom w:val="single" w:sz="12" w:space="0" w:color="000000"/>
              <w:right w:val="single" w:sz="12" w:space="0" w:color="000000"/>
            </w:tcBorders>
            <w:vAlign w:val="center"/>
          </w:tcPr>
          <w:p w14:paraId="580CA4E7" w14:textId="674755C2" w:rsidR="00A5468F" w:rsidRPr="00A22220" w:rsidRDefault="009A7AFC">
            <w:pPr>
              <w:spacing w:after="0" w:line="259" w:lineRule="auto"/>
              <w:ind w:left="0" w:right="47" w:firstLine="0"/>
              <w:jc w:val="center"/>
              <w:rPr>
                <w:sz w:val="18"/>
                <w:szCs w:val="18"/>
              </w:rPr>
            </w:pPr>
            <w:r>
              <w:rPr>
                <w:b/>
                <w:sz w:val="18"/>
                <w:szCs w:val="18"/>
              </w:rPr>
              <w:t>LCM</w:t>
            </w:r>
            <w:r w:rsidR="00A5468F" w:rsidRPr="00A22220">
              <w:rPr>
                <w:b/>
                <w:sz w:val="18"/>
                <w:szCs w:val="18"/>
              </w:rPr>
              <w:t>RL</w:t>
            </w:r>
            <w:r w:rsidR="00515420">
              <w:rPr>
                <w:b/>
                <w:sz w:val="18"/>
                <w:szCs w:val="18"/>
              </w:rPr>
              <w:t xml:space="preserve"> </w:t>
            </w:r>
            <w:r w:rsidR="00F23C38">
              <w:rPr>
                <w:b/>
                <w:sz w:val="18"/>
                <w:szCs w:val="18"/>
                <w:vertAlign w:val="superscript"/>
              </w:rPr>
              <w:t>4</w:t>
            </w:r>
            <w:r w:rsidR="0092560B" w:rsidRPr="008566A4">
              <w:rPr>
                <w:b/>
                <w:sz w:val="18"/>
                <w:szCs w:val="18"/>
                <w:vertAlign w:val="superscript"/>
              </w:rPr>
              <w:t>0</w:t>
            </w:r>
            <w:r w:rsidR="00F23C38">
              <w:rPr>
                <w:b/>
                <w:sz w:val="18"/>
                <w:szCs w:val="18"/>
                <w:vertAlign w:val="superscript"/>
              </w:rPr>
              <w:t>,</w:t>
            </w:r>
            <w:r w:rsidR="0092560B" w:rsidRPr="008566A4">
              <w:rPr>
                <w:b/>
                <w:sz w:val="18"/>
                <w:szCs w:val="18"/>
                <w:vertAlign w:val="superscript"/>
              </w:rPr>
              <w:t>50</w:t>
            </w:r>
          </w:p>
        </w:tc>
        <w:tc>
          <w:tcPr>
            <w:tcW w:w="810" w:type="dxa"/>
            <w:tcBorders>
              <w:top w:val="single" w:sz="12" w:space="0" w:color="000000"/>
              <w:left w:val="single" w:sz="12" w:space="0" w:color="000000"/>
              <w:bottom w:val="single" w:sz="12" w:space="0" w:color="000000"/>
              <w:right w:val="single" w:sz="12" w:space="0" w:color="000000"/>
            </w:tcBorders>
            <w:vAlign w:val="center"/>
          </w:tcPr>
          <w:p w14:paraId="781F05E9" w14:textId="77777777" w:rsidR="00A5468F" w:rsidRPr="00A22220" w:rsidRDefault="00A5468F">
            <w:pPr>
              <w:spacing w:after="0" w:line="259" w:lineRule="auto"/>
              <w:ind w:left="0" w:right="52" w:firstLine="0"/>
              <w:jc w:val="center"/>
              <w:rPr>
                <w:sz w:val="18"/>
                <w:szCs w:val="18"/>
              </w:rPr>
            </w:pPr>
            <w:r w:rsidRPr="00A22220">
              <w:rPr>
                <w:b/>
                <w:sz w:val="18"/>
                <w:szCs w:val="18"/>
              </w:rPr>
              <w:t>units</w:t>
            </w:r>
          </w:p>
        </w:tc>
        <w:tc>
          <w:tcPr>
            <w:tcW w:w="720" w:type="dxa"/>
            <w:tcBorders>
              <w:top w:val="single" w:sz="12" w:space="0" w:color="000000"/>
              <w:left w:val="single" w:sz="12" w:space="0" w:color="000000"/>
              <w:bottom w:val="single" w:sz="12" w:space="0" w:color="000000"/>
              <w:right w:val="single" w:sz="12" w:space="0" w:color="000000"/>
            </w:tcBorders>
            <w:vAlign w:val="center"/>
          </w:tcPr>
          <w:p w14:paraId="5932AD3C" w14:textId="77777777" w:rsidR="00A5468F" w:rsidRPr="00A22220" w:rsidRDefault="00A5468F">
            <w:pPr>
              <w:spacing w:after="0" w:line="259" w:lineRule="auto"/>
              <w:ind w:left="0" w:right="47" w:firstLine="0"/>
              <w:jc w:val="center"/>
              <w:rPr>
                <w:sz w:val="18"/>
                <w:szCs w:val="18"/>
              </w:rPr>
            </w:pPr>
            <w:r w:rsidRPr="00A22220">
              <w:rPr>
                <w:b/>
                <w:sz w:val="18"/>
                <w:szCs w:val="18"/>
              </w:rPr>
              <w:t>RL</w:t>
            </w:r>
          </w:p>
        </w:tc>
        <w:tc>
          <w:tcPr>
            <w:tcW w:w="900" w:type="dxa"/>
            <w:tcBorders>
              <w:top w:val="single" w:sz="12" w:space="0" w:color="000000"/>
              <w:left w:val="single" w:sz="12" w:space="0" w:color="000000"/>
              <w:bottom w:val="single" w:sz="12" w:space="0" w:color="000000"/>
              <w:right w:val="single" w:sz="12" w:space="0" w:color="000000"/>
            </w:tcBorders>
            <w:vAlign w:val="center"/>
          </w:tcPr>
          <w:p w14:paraId="082CBEBA" w14:textId="77777777" w:rsidR="00A5468F" w:rsidRPr="00A22220" w:rsidRDefault="00A5468F">
            <w:pPr>
              <w:spacing w:after="0" w:line="259" w:lineRule="auto"/>
              <w:ind w:left="0" w:right="50" w:firstLine="0"/>
              <w:jc w:val="center"/>
              <w:rPr>
                <w:sz w:val="18"/>
                <w:szCs w:val="18"/>
              </w:rPr>
            </w:pPr>
            <w:r w:rsidRPr="00A22220">
              <w:rPr>
                <w:b/>
                <w:sz w:val="18"/>
                <w:szCs w:val="18"/>
              </w:rPr>
              <w:t>units</w:t>
            </w:r>
          </w:p>
        </w:tc>
        <w:tc>
          <w:tcPr>
            <w:tcW w:w="1440" w:type="dxa"/>
            <w:vMerge/>
            <w:tcBorders>
              <w:left w:val="single" w:sz="12" w:space="0" w:color="000000"/>
              <w:bottom w:val="single" w:sz="12" w:space="0" w:color="000000"/>
              <w:right w:val="single" w:sz="12" w:space="0" w:color="000000"/>
            </w:tcBorders>
            <w:vAlign w:val="center"/>
          </w:tcPr>
          <w:p w14:paraId="379D9693" w14:textId="77777777" w:rsidR="00A5468F" w:rsidRPr="00A22220" w:rsidRDefault="00A5468F">
            <w:pPr>
              <w:spacing w:after="160" w:line="259" w:lineRule="auto"/>
              <w:ind w:left="0" w:right="0" w:firstLine="0"/>
              <w:jc w:val="center"/>
              <w:rPr>
                <w:sz w:val="18"/>
                <w:szCs w:val="18"/>
              </w:rPr>
            </w:pPr>
          </w:p>
        </w:tc>
      </w:tr>
      <w:tr w:rsidR="001E30AA" w:rsidRPr="00A22220" w14:paraId="2A0EFB8F" w14:textId="77777777" w:rsidTr="00C23B62">
        <w:trPr>
          <w:trHeight w:val="262"/>
        </w:trPr>
        <w:tc>
          <w:tcPr>
            <w:tcW w:w="4320" w:type="dxa"/>
            <w:tcBorders>
              <w:top w:val="single" w:sz="4" w:space="0" w:color="000000"/>
              <w:left w:val="single" w:sz="12" w:space="0" w:color="000000"/>
              <w:bottom w:val="single" w:sz="4" w:space="0" w:color="000000"/>
              <w:right w:val="single" w:sz="12" w:space="0" w:color="000000"/>
            </w:tcBorders>
            <w:vAlign w:val="center"/>
          </w:tcPr>
          <w:p w14:paraId="0F6FECE8" w14:textId="16E1D9CC" w:rsidR="00AE16B8" w:rsidRPr="00A22220" w:rsidRDefault="00AE16B8" w:rsidP="00D65E54">
            <w:pPr>
              <w:spacing w:after="0" w:line="259" w:lineRule="auto"/>
              <w:ind w:left="0" w:right="0" w:firstLine="0"/>
              <w:rPr>
                <w:sz w:val="18"/>
                <w:szCs w:val="18"/>
              </w:rPr>
            </w:pPr>
            <w:r w:rsidRPr="00230D0B">
              <w:rPr>
                <w:sz w:val="18"/>
                <w:szCs w:val="18"/>
              </w:rPr>
              <w:t>Hexafluoropropylene oxide dimer acid</w:t>
            </w:r>
            <w:r>
              <w:rPr>
                <w:sz w:val="18"/>
                <w:szCs w:val="18"/>
              </w:rPr>
              <w:t xml:space="preserve"> (</w:t>
            </w:r>
            <w:r w:rsidRPr="0000710F">
              <w:rPr>
                <w:sz w:val="18"/>
                <w:szCs w:val="18"/>
              </w:rPr>
              <w:t>HFPO-DA</w:t>
            </w:r>
            <w:r>
              <w:rPr>
                <w:sz w:val="18"/>
                <w:szCs w:val="18"/>
              </w:rPr>
              <w:t>)</w:t>
            </w:r>
          </w:p>
        </w:tc>
        <w:tc>
          <w:tcPr>
            <w:tcW w:w="1170" w:type="dxa"/>
            <w:tcBorders>
              <w:top w:val="single" w:sz="4" w:space="0" w:color="000000"/>
              <w:left w:val="single" w:sz="12" w:space="0" w:color="000000"/>
              <w:bottom w:val="single" w:sz="4" w:space="0" w:color="000000"/>
              <w:right w:val="single" w:sz="12" w:space="0" w:color="000000"/>
            </w:tcBorders>
            <w:vAlign w:val="center"/>
          </w:tcPr>
          <w:p w14:paraId="53E04224" w14:textId="0DDA5EEA" w:rsidR="00AE16B8" w:rsidRPr="00A22220" w:rsidRDefault="00AE16B8" w:rsidP="00D65E54">
            <w:pPr>
              <w:spacing w:after="0" w:line="259" w:lineRule="auto"/>
              <w:ind w:left="0" w:right="44" w:firstLine="0"/>
              <w:jc w:val="center"/>
              <w:rPr>
                <w:sz w:val="18"/>
                <w:szCs w:val="18"/>
              </w:rPr>
            </w:pPr>
            <w:r>
              <w:rPr>
                <w:sz w:val="18"/>
                <w:szCs w:val="18"/>
              </w:rPr>
              <w:t>13252-13-6</w:t>
            </w:r>
          </w:p>
        </w:tc>
        <w:tc>
          <w:tcPr>
            <w:tcW w:w="1170" w:type="dxa"/>
            <w:tcBorders>
              <w:top w:val="single" w:sz="4" w:space="0" w:color="000000"/>
              <w:left w:val="single" w:sz="12" w:space="0" w:color="000000"/>
              <w:bottom w:val="single" w:sz="4" w:space="0" w:color="000000"/>
              <w:right w:val="single" w:sz="12" w:space="0" w:color="000000"/>
            </w:tcBorders>
            <w:vAlign w:val="center"/>
          </w:tcPr>
          <w:p w14:paraId="5D565251" w14:textId="722A9595" w:rsidR="00AE16B8" w:rsidRPr="009C0CB4" w:rsidRDefault="00AE16B8" w:rsidP="00D65E54">
            <w:pPr>
              <w:tabs>
                <w:tab w:val="center" w:pos="488"/>
              </w:tabs>
              <w:spacing w:after="0" w:line="259" w:lineRule="auto"/>
              <w:ind w:left="0" w:right="0" w:firstLine="0"/>
              <w:jc w:val="center"/>
              <w:rPr>
                <w:sz w:val="18"/>
                <w:szCs w:val="18"/>
              </w:rPr>
            </w:pPr>
            <w:r w:rsidRPr="009C0CB4">
              <w:rPr>
                <w:sz w:val="18"/>
                <w:szCs w:val="18"/>
              </w:rPr>
              <w:t>4.3</w:t>
            </w:r>
          </w:p>
        </w:tc>
        <w:tc>
          <w:tcPr>
            <w:tcW w:w="810" w:type="dxa"/>
            <w:tcBorders>
              <w:top w:val="single" w:sz="4" w:space="0" w:color="000000"/>
              <w:left w:val="single" w:sz="12" w:space="0" w:color="000000"/>
              <w:bottom w:val="single" w:sz="4" w:space="0" w:color="000000"/>
              <w:right w:val="single" w:sz="12" w:space="0" w:color="000000"/>
            </w:tcBorders>
            <w:vAlign w:val="center"/>
          </w:tcPr>
          <w:p w14:paraId="53A0D533" w14:textId="623F6F53" w:rsidR="00AE16B8" w:rsidRPr="00A22220" w:rsidRDefault="00AE16B8" w:rsidP="00BA5B04">
            <w:pPr>
              <w:spacing w:after="0" w:line="259" w:lineRule="auto"/>
              <w:ind w:left="0" w:right="44" w:firstLine="0"/>
              <w:jc w:val="center"/>
              <w:rPr>
                <w:sz w:val="18"/>
                <w:szCs w:val="18"/>
              </w:rPr>
            </w:pPr>
            <w:r w:rsidRPr="00A22220">
              <w:rPr>
                <w:sz w:val="18"/>
                <w:szCs w:val="18"/>
              </w:rPr>
              <w:t>ng/L</w:t>
            </w:r>
          </w:p>
        </w:tc>
        <w:tc>
          <w:tcPr>
            <w:tcW w:w="720" w:type="dxa"/>
            <w:tcBorders>
              <w:top w:val="single" w:sz="4" w:space="0" w:color="000000"/>
              <w:left w:val="single" w:sz="12" w:space="0" w:color="000000"/>
              <w:bottom w:val="single" w:sz="4" w:space="0" w:color="000000"/>
              <w:right w:val="single" w:sz="12" w:space="0" w:color="000000"/>
            </w:tcBorders>
            <w:vAlign w:val="center"/>
          </w:tcPr>
          <w:p w14:paraId="5C1FF552" w14:textId="6AAB1FE8" w:rsidR="00AE16B8" w:rsidRPr="00A22220" w:rsidRDefault="00AE16B8" w:rsidP="00BA5B04">
            <w:pPr>
              <w:tabs>
                <w:tab w:val="center" w:pos="399"/>
              </w:tabs>
              <w:spacing w:after="0" w:line="259" w:lineRule="auto"/>
              <w:ind w:left="0" w:right="0" w:firstLine="0"/>
              <w:jc w:val="center"/>
              <w:rPr>
                <w:sz w:val="18"/>
                <w:szCs w:val="18"/>
              </w:rPr>
            </w:pPr>
            <w:r>
              <w:rPr>
                <w:sz w:val="18"/>
                <w:szCs w:val="18"/>
              </w:rPr>
              <w:t>N/A</w:t>
            </w:r>
          </w:p>
        </w:tc>
        <w:tc>
          <w:tcPr>
            <w:tcW w:w="900" w:type="dxa"/>
            <w:tcBorders>
              <w:top w:val="single" w:sz="4" w:space="0" w:color="000000"/>
              <w:left w:val="single" w:sz="12" w:space="0" w:color="000000"/>
              <w:bottom w:val="single" w:sz="4" w:space="0" w:color="000000"/>
              <w:right w:val="single" w:sz="12" w:space="0" w:color="000000"/>
            </w:tcBorders>
            <w:vAlign w:val="center"/>
          </w:tcPr>
          <w:p w14:paraId="511324ED" w14:textId="15B0077C" w:rsidR="00AE16B8" w:rsidRPr="00A22220" w:rsidRDefault="00AE16B8" w:rsidP="00BA5B04">
            <w:pPr>
              <w:spacing w:after="0" w:line="259" w:lineRule="auto"/>
              <w:ind w:left="0" w:right="46" w:firstLine="0"/>
              <w:jc w:val="center"/>
              <w:rPr>
                <w:sz w:val="18"/>
                <w:szCs w:val="18"/>
              </w:rPr>
            </w:pPr>
            <w:r w:rsidRPr="006A4FA4">
              <w:rPr>
                <w:sz w:val="18"/>
                <w:szCs w:val="18"/>
              </w:rPr>
              <w:t>N/A</w:t>
            </w:r>
          </w:p>
        </w:tc>
        <w:tc>
          <w:tcPr>
            <w:tcW w:w="1440" w:type="dxa"/>
            <w:tcBorders>
              <w:top w:val="single" w:sz="4" w:space="0" w:color="000000"/>
              <w:left w:val="single" w:sz="12" w:space="0" w:color="000000"/>
              <w:bottom w:val="single" w:sz="4" w:space="0" w:color="000000"/>
              <w:right w:val="single" w:sz="12" w:space="0" w:color="000000"/>
            </w:tcBorders>
            <w:vAlign w:val="center"/>
          </w:tcPr>
          <w:p w14:paraId="667C85A4" w14:textId="5BAD226F" w:rsidR="00AE16B8" w:rsidRPr="00A22220" w:rsidRDefault="00AE16B8" w:rsidP="00BA5B04">
            <w:pPr>
              <w:spacing w:after="0" w:line="259" w:lineRule="auto"/>
              <w:ind w:left="0" w:right="45" w:firstLine="0"/>
              <w:jc w:val="center"/>
              <w:rPr>
                <w:sz w:val="18"/>
                <w:szCs w:val="18"/>
              </w:rPr>
            </w:pPr>
            <w:r>
              <w:rPr>
                <w:sz w:val="18"/>
                <w:szCs w:val="18"/>
              </w:rPr>
              <w:t>537.1</w:t>
            </w:r>
          </w:p>
        </w:tc>
      </w:tr>
      <w:tr w:rsidR="001E30AA" w:rsidRPr="00A22220" w14:paraId="054D657C" w14:textId="77777777" w:rsidTr="00C23B62">
        <w:trPr>
          <w:trHeight w:val="250"/>
        </w:trPr>
        <w:tc>
          <w:tcPr>
            <w:tcW w:w="4320" w:type="dxa"/>
            <w:tcBorders>
              <w:top w:val="single" w:sz="4" w:space="0" w:color="000000"/>
              <w:left w:val="single" w:sz="12" w:space="0" w:color="000000"/>
              <w:bottom w:val="single" w:sz="4" w:space="0" w:color="000000"/>
              <w:right w:val="single" w:sz="12" w:space="0" w:color="000000"/>
            </w:tcBorders>
            <w:vAlign w:val="center"/>
          </w:tcPr>
          <w:p w14:paraId="1BD55A9E" w14:textId="5BAE8D88" w:rsidR="00AE16B8" w:rsidRPr="00A22220" w:rsidRDefault="00AE16B8" w:rsidP="00D65E54">
            <w:pPr>
              <w:spacing w:after="0" w:line="259" w:lineRule="auto"/>
              <w:ind w:left="0" w:right="0" w:firstLine="0"/>
              <w:rPr>
                <w:sz w:val="18"/>
                <w:szCs w:val="18"/>
              </w:rPr>
            </w:pPr>
            <w:r w:rsidRPr="006F5B3F">
              <w:rPr>
                <w:sz w:val="18"/>
                <w:szCs w:val="18"/>
              </w:rPr>
              <w:t xml:space="preserve">N-ethyl </w:t>
            </w:r>
            <w:proofErr w:type="spellStart"/>
            <w:r w:rsidRPr="006F5B3F">
              <w:rPr>
                <w:sz w:val="18"/>
                <w:szCs w:val="18"/>
              </w:rPr>
              <w:t>perfluorooctanesulfonamidoacetic</w:t>
            </w:r>
            <w:proofErr w:type="spellEnd"/>
            <w:r w:rsidRPr="006F5B3F">
              <w:rPr>
                <w:sz w:val="18"/>
                <w:szCs w:val="18"/>
              </w:rPr>
              <w:t xml:space="preserve"> acid</w:t>
            </w:r>
            <w:r>
              <w:rPr>
                <w:sz w:val="18"/>
                <w:szCs w:val="18"/>
              </w:rPr>
              <w:t xml:space="preserve"> (</w:t>
            </w:r>
            <w:proofErr w:type="spellStart"/>
            <w:r w:rsidRPr="000754EE">
              <w:rPr>
                <w:sz w:val="18"/>
                <w:szCs w:val="18"/>
              </w:rPr>
              <w:t>NEtFOSAA</w:t>
            </w:r>
            <w:proofErr w:type="spellEnd"/>
            <w:r>
              <w:rPr>
                <w:sz w:val="18"/>
                <w:szCs w:val="18"/>
              </w:rPr>
              <w:t>)</w:t>
            </w:r>
          </w:p>
        </w:tc>
        <w:tc>
          <w:tcPr>
            <w:tcW w:w="1170" w:type="dxa"/>
            <w:tcBorders>
              <w:top w:val="single" w:sz="4" w:space="0" w:color="000000"/>
              <w:left w:val="single" w:sz="12" w:space="0" w:color="000000"/>
              <w:bottom w:val="single" w:sz="4" w:space="0" w:color="000000"/>
              <w:right w:val="single" w:sz="12" w:space="0" w:color="000000"/>
            </w:tcBorders>
            <w:vAlign w:val="center"/>
          </w:tcPr>
          <w:p w14:paraId="630225AE" w14:textId="2AEB3CA2" w:rsidR="00AE16B8" w:rsidRPr="00A22220" w:rsidRDefault="00AE16B8" w:rsidP="00D65E54">
            <w:pPr>
              <w:spacing w:after="0" w:line="259" w:lineRule="auto"/>
              <w:ind w:left="0" w:right="44" w:firstLine="0"/>
              <w:jc w:val="center"/>
              <w:rPr>
                <w:sz w:val="18"/>
                <w:szCs w:val="18"/>
              </w:rPr>
            </w:pPr>
            <w:r>
              <w:rPr>
                <w:sz w:val="18"/>
                <w:szCs w:val="18"/>
              </w:rPr>
              <w:t>2991-50-6</w:t>
            </w:r>
          </w:p>
        </w:tc>
        <w:tc>
          <w:tcPr>
            <w:tcW w:w="1170" w:type="dxa"/>
            <w:tcBorders>
              <w:top w:val="single" w:sz="4" w:space="0" w:color="000000"/>
              <w:left w:val="single" w:sz="12" w:space="0" w:color="000000"/>
              <w:bottom w:val="single" w:sz="4" w:space="0" w:color="000000"/>
              <w:right w:val="single" w:sz="12" w:space="0" w:color="000000"/>
            </w:tcBorders>
            <w:vAlign w:val="center"/>
          </w:tcPr>
          <w:p w14:paraId="646C6C96" w14:textId="2FFA6BBA" w:rsidR="00AE16B8" w:rsidRPr="009C0CB4" w:rsidRDefault="00AE16B8" w:rsidP="00D65E54">
            <w:pPr>
              <w:tabs>
                <w:tab w:val="center" w:pos="467"/>
              </w:tabs>
              <w:spacing w:after="0" w:line="259" w:lineRule="auto"/>
              <w:ind w:left="0" w:right="0" w:firstLine="0"/>
              <w:jc w:val="center"/>
              <w:rPr>
                <w:sz w:val="18"/>
                <w:szCs w:val="18"/>
              </w:rPr>
            </w:pPr>
            <w:r w:rsidRPr="009C0CB4">
              <w:rPr>
                <w:sz w:val="18"/>
                <w:szCs w:val="18"/>
              </w:rPr>
              <w:t>4.8</w:t>
            </w:r>
          </w:p>
        </w:tc>
        <w:tc>
          <w:tcPr>
            <w:tcW w:w="810" w:type="dxa"/>
            <w:tcBorders>
              <w:top w:val="single" w:sz="4" w:space="0" w:color="000000"/>
              <w:left w:val="single" w:sz="12" w:space="0" w:color="000000"/>
              <w:bottom w:val="single" w:sz="4" w:space="0" w:color="000000"/>
              <w:right w:val="single" w:sz="12" w:space="0" w:color="000000"/>
            </w:tcBorders>
            <w:vAlign w:val="center"/>
          </w:tcPr>
          <w:p w14:paraId="2E8E914F" w14:textId="4CE10C41" w:rsidR="00AE16B8" w:rsidRPr="00A22220" w:rsidRDefault="00AE16B8" w:rsidP="00BA5B04">
            <w:pPr>
              <w:spacing w:after="0" w:line="259" w:lineRule="auto"/>
              <w:ind w:left="0" w:right="44" w:firstLine="0"/>
              <w:jc w:val="center"/>
              <w:rPr>
                <w:sz w:val="18"/>
                <w:szCs w:val="18"/>
              </w:rPr>
            </w:pPr>
            <w:r w:rsidRPr="00A22220">
              <w:rPr>
                <w:sz w:val="18"/>
                <w:szCs w:val="18"/>
              </w:rPr>
              <w:t>ng/L</w:t>
            </w:r>
          </w:p>
        </w:tc>
        <w:tc>
          <w:tcPr>
            <w:tcW w:w="720" w:type="dxa"/>
            <w:tcBorders>
              <w:top w:val="single" w:sz="4" w:space="0" w:color="000000"/>
              <w:left w:val="single" w:sz="12" w:space="0" w:color="000000"/>
              <w:bottom w:val="single" w:sz="4" w:space="0" w:color="000000"/>
              <w:right w:val="single" w:sz="12" w:space="0" w:color="000000"/>
            </w:tcBorders>
            <w:vAlign w:val="center"/>
          </w:tcPr>
          <w:p w14:paraId="2E693CDF" w14:textId="582A49AB" w:rsidR="00AE16B8" w:rsidRPr="00A22220" w:rsidRDefault="00AE16B8" w:rsidP="00BA5B04">
            <w:pPr>
              <w:tabs>
                <w:tab w:val="center" w:pos="379"/>
              </w:tabs>
              <w:spacing w:after="0" w:line="259" w:lineRule="auto"/>
              <w:ind w:left="0" w:right="0" w:firstLine="0"/>
              <w:jc w:val="center"/>
              <w:rPr>
                <w:sz w:val="18"/>
                <w:szCs w:val="18"/>
              </w:rPr>
            </w:pPr>
            <w:r w:rsidRPr="00426058">
              <w:rPr>
                <w:sz w:val="18"/>
                <w:szCs w:val="18"/>
              </w:rPr>
              <w:t>N/A</w:t>
            </w:r>
          </w:p>
        </w:tc>
        <w:tc>
          <w:tcPr>
            <w:tcW w:w="900" w:type="dxa"/>
            <w:tcBorders>
              <w:top w:val="single" w:sz="4" w:space="0" w:color="000000"/>
              <w:left w:val="single" w:sz="12" w:space="0" w:color="000000"/>
              <w:bottom w:val="single" w:sz="4" w:space="0" w:color="000000"/>
              <w:right w:val="single" w:sz="12" w:space="0" w:color="000000"/>
            </w:tcBorders>
            <w:vAlign w:val="center"/>
          </w:tcPr>
          <w:p w14:paraId="16510132" w14:textId="15746D5C" w:rsidR="00AE16B8" w:rsidRPr="00A22220" w:rsidRDefault="00AE16B8" w:rsidP="00BA5B04">
            <w:pPr>
              <w:spacing w:after="0" w:line="259" w:lineRule="auto"/>
              <w:ind w:left="0" w:right="46" w:firstLine="0"/>
              <w:jc w:val="center"/>
              <w:rPr>
                <w:sz w:val="18"/>
                <w:szCs w:val="18"/>
              </w:rPr>
            </w:pPr>
            <w:r w:rsidRPr="006A4FA4">
              <w:rPr>
                <w:sz w:val="18"/>
                <w:szCs w:val="18"/>
              </w:rPr>
              <w:t>N/A</w:t>
            </w:r>
          </w:p>
        </w:tc>
        <w:tc>
          <w:tcPr>
            <w:tcW w:w="1440" w:type="dxa"/>
            <w:tcBorders>
              <w:top w:val="single" w:sz="4" w:space="0" w:color="000000"/>
              <w:left w:val="single" w:sz="12" w:space="0" w:color="000000"/>
              <w:bottom w:val="single" w:sz="4" w:space="0" w:color="000000"/>
              <w:right w:val="single" w:sz="12" w:space="0" w:color="000000"/>
            </w:tcBorders>
            <w:vAlign w:val="center"/>
          </w:tcPr>
          <w:p w14:paraId="3CA787E6" w14:textId="6BC4D7B3" w:rsidR="00AE16B8" w:rsidRPr="00A22220" w:rsidRDefault="00AE16B8" w:rsidP="00BA5B04">
            <w:pPr>
              <w:spacing w:after="0" w:line="259" w:lineRule="auto"/>
              <w:ind w:left="0" w:right="45" w:firstLine="0"/>
              <w:jc w:val="center"/>
              <w:rPr>
                <w:sz w:val="18"/>
                <w:szCs w:val="18"/>
              </w:rPr>
            </w:pPr>
            <w:r w:rsidRPr="008F1026">
              <w:rPr>
                <w:sz w:val="18"/>
                <w:szCs w:val="18"/>
              </w:rPr>
              <w:t>537.1</w:t>
            </w:r>
          </w:p>
        </w:tc>
      </w:tr>
      <w:tr w:rsidR="001E30AA" w:rsidRPr="00A22220" w14:paraId="4DFE3862" w14:textId="77777777" w:rsidTr="00C23B62">
        <w:trPr>
          <w:trHeight w:val="250"/>
        </w:trPr>
        <w:tc>
          <w:tcPr>
            <w:tcW w:w="4320" w:type="dxa"/>
            <w:tcBorders>
              <w:top w:val="single" w:sz="4" w:space="0" w:color="000000"/>
              <w:left w:val="single" w:sz="12" w:space="0" w:color="000000"/>
              <w:bottom w:val="single" w:sz="4" w:space="0" w:color="000000"/>
              <w:right w:val="single" w:sz="12" w:space="0" w:color="000000"/>
            </w:tcBorders>
            <w:vAlign w:val="center"/>
          </w:tcPr>
          <w:p w14:paraId="053AF28F" w14:textId="2CA7D56D" w:rsidR="00AE16B8" w:rsidRPr="00A22220" w:rsidRDefault="00AE16B8" w:rsidP="00D65E54">
            <w:pPr>
              <w:spacing w:after="0" w:line="259" w:lineRule="auto"/>
              <w:ind w:left="0" w:right="0" w:firstLine="0"/>
              <w:rPr>
                <w:sz w:val="18"/>
                <w:szCs w:val="18"/>
              </w:rPr>
            </w:pPr>
            <w:r w:rsidRPr="00D901D7">
              <w:rPr>
                <w:sz w:val="18"/>
                <w:szCs w:val="18"/>
              </w:rPr>
              <w:t xml:space="preserve">N-methyl </w:t>
            </w:r>
            <w:proofErr w:type="spellStart"/>
            <w:r w:rsidRPr="00D901D7">
              <w:rPr>
                <w:sz w:val="18"/>
                <w:szCs w:val="18"/>
              </w:rPr>
              <w:t>perfluorooctanesulfonamidoacetic</w:t>
            </w:r>
            <w:proofErr w:type="spellEnd"/>
            <w:r w:rsidRPr="00D901D7">
              <w:rPr>
                <w:sz w:val="18"/>
                <w:szCs w:val="18"/>
              </w:rPr>
              <w:t xml:space="preserve"> acid</w:t>
            </w:r>
            <w:r>
              <w:rPr>
                <w:sz w:val="18"/>
                <w:szCs w:val="18"/>
              </w:rPr>
              <w:t xml:space="preserve"> (</w:t>
            </w:r>
            <w:proofErr w:type="spellStart"/>
            <w:r w:rsidRPr="003844F8">
              <w:rPr>
                <w:sz w:val="18"/>
                <w:szCs w:val="18"/>
              </w:rPr>
              <w:t>NMeFOSAA</w:t>
            </w:r>
            <w:proofErr w:type="spellEnd"/>
            <w:r>
              <w:rPr>
                <w:sz w:val="18"/>
                <w:szCs w:val="18"/>
              </w:rPr>
              <w:t>)</w:t>
            </w:r>
          </w:p>
        </w:tc>
        <w:tc>
          <w:tcPr>
            <w:tcW w:w="1170" w:type="dxa"/>
            <w:tcBorders>
              <w:top w:val="single" w:sz="4" w:space="0" w:color="000000"/>
              <w:left w:val="single" w:sz="12" w:space="0" w:color="000000"/>
              <w:bottom w:val="single" w:sz="4" w:space="0" w:color="000000"/>
              <w:right w:val="single" w:sz="12" w:space="0" w:color="000000"/>
            </w:tcBorders>
            <w:vAlign w:val="center"/>
          </w:tcPr>
          <w:p w14:paraId="41781E5F" w14:textId="7C27C830" w:rsidR="00AE16B8" w:rsidRPr="00A22220" w:rsidRDefault="00AE16B8" w:rsidP="00D65E54">
            <w:pPr>
              <w:spacing w:after="0" w:line="259" w:lineRule="auto"/>
              <w:ind w:left="0" w:right="44" w:firstLine="0"/>
              <w:jc w:val="center"/>
              <w:rPr>
                <w:sz w:val="18"/>
                <w:szCs w:val="18"/>
              </w:rPr>
            </w:pPr>
            <w:r>
              <w:rPr>
                <w:sz w:val="18"/>
                <w:szCs w:val="18"/>
              </w:rPr>
              <w:t>2355-31-9</w:t>
            </w:r>
          </w:p>
        </w:tc>
        <w:tc>
          <w:tcPr>
            <w:tcW w:w="1170" w:type="dxa"/>
            <w:tcBorders>
              <w:top w:val="single" w:sz="4" w:space="0" w:color="000000"/>
              <w:left w:val="single" w:sz="12" w:space="0" w:color="000000"/>
              <w:bottom w:val="single" w:sz="4" w:space="0" w:color="000000"/>
              <w:right w:val="single" w:sz="12" w:space="0" w:color="000000"/>
            </w:tcBorders>
            <w:vAlign w:val="center"/>
          </w:tcPr>
          <w:p w14:paraId="38320991" w14:textId="497D0CE4" w:rsidR="00AE16B8" w:rsidRPr="009C0CB4" w:rsidRDefault="00AE16B8" w:rsidP="00D65E54">
            <w:pPr>
              <w:tabs>
                <w:tab w:val="center" w:pos="534"/>
              </w:tabs>
              <w:spacing w:after="0" w:line="259" w:lineRule="auto"/>
              <w:ind w:left="0" w:right="0" w:firstLine="0"/>
              <w:jc w:val="center"/>
              <w:rPr>
                <w:sz w:val="18"/>
                <w:szCs w:val="18"/>
              </w:rPr>
            </w:pPr>
            <w:r w:rsidRPr="009C0CB4">
              <w:rPr>
                <w:sz w:val="18"/>
                <w:szCs w:val="18"/>
              </w:rPr>
              <w:t>4.3</w:t>
            </w:r>
          </w:p>
        </w:tc>
        <w:tc>
          <w:tcPr>
            <w:tcW w:w="810" w:type="dxa"/>
            <w:tcBorders>
              <w:top w:val="single" w:sz="4" w:space="0" w:color="000000"/>
              <w:left w:val="single" w:sz="12" w:space="0" w:color="000000"/>
              <w:bottom w:val="single" w:sz="4" w:space="0" w:color="000000"/>
              <w:right w:val="single" w:sz="12" w:space="0" w:color="000000"/>
            </w:tcBorders>
            <w:vAlign w:val="center"/>
          </w:tcPr>
          <w:p w14:paraId="72A5D790" w14:textId="425445EF" w:rsidR="00AE16B8" w:rsidRPr="00A22220" w:rsidRDefault="00AE16B8" w:rsidP="00BA5B04">
            <w:pPr>
              <w:spacing w:after="0" w:line="259" w:lineRule="auto"/>
              <w:ind w:left="0" w:right="44" w:firstLine="0"/>
              <w:jc w:val="center"/>
              <w:rPr>
                <w:sz w:val="18"/>
                <w:szCs w:val="18"/>
              </w:rPr>
            </w:pPr>
            <w:r w:rsidRPr="00A22220">
              <w:rPr>
                <w:sz w:val="18"/>
                <w:szCs w:val="18"/>
              </w:rPr>
              <w:t>ng/L</w:t>
            </w:r>
          </w:p>
        </w:tc>
        <w:tc>
          <w:tcPr>
            <w:tcW w:w="720" w:type="dxa"/>
            <w:tcBorders>
              <w:top w:val="single" w:sz="4" w:space="0" w:color="000000"/>
              <w:left w:val="single" w:sz="12" w:space="0" w:color="000000"/>
              <w:bottom w:val="single" w:sz="4" w:space="0" w:color="000000"/>
              <w:right w:val="single" w:sz="12" w:space="0" w:color="000000"/>
            </w:tcBorders>
            <w:vAlign w:val="center"/>
          </w:tcPr>
          <w:p w14:paraId="5F4BB1FC" w14:textId="6959191C" w:rsidR="00AE16B8" w:rsidRPr="00A22220" w:rsidRDefault="00AE16B8" w:rsidP="00BA5B04">
            <w:pPr>
              <w:tabs>
                <w:tab w:val="center" w:pos="445"/>
              </w:tabs>
              <w:spacing w:after="0" w:line="259" w:lineRule="auto"/>
              <w:ind w:left="0" w:right="0" w:firstLine="0"/>
              <w:jc w:val="center"/>
              <w:rPr>
                <w:sz w:val="18"/>
                <w:szCs w:val="18"/>
              </w:rPr>
            </w:pPr>
            <w:r w:rsidRPr="00426058">
              <w:rPr>
                <w:sz w:val="18"/>
                <w:szCs w:val="18"/>
              </w:rPr>
              <w:t>N/A</w:t>
            </w:r>
          </w:p>
        </w:tc>
        <w:tc>
          <w:tcPr>
            <w:tcW w:w="900" w:type="dxa"/>
            <w:tcBorders>
              <w:top w:val="single" w:sz="4" w:space="0" w:color="000000"/>
              <w:left w:val="single" w:sz="12" w:space="0" w:color="000000"/>
              <w:bottom w:val="single" w:sz="4" w:space="0" w:color="000000"/>
              <w:right w:val="single" w:sz="12" w:space="0" w:color="000000"/>
            </w:tcBorders>
            <w:vAlign w:val="center"/>
          </w:tcPr>
          <w:p w14:paraId="75F8085B" w14:textId="01FC2B86" w:rsidR="00AE16B8" w:rsidRPr="00A22220" w:rsidRDefault="00AE16B8" w:rsidP="00BA5B04">
            <w:pPr>
              <w:spacing w:after="0" w:line="259" w:lineRule="auto"/>
              <w:ind w:left="0" w:right="46" w:firstLine="0"/>
              <w:jc w:val="center"/>
              <w:rPr>
                <w:sz w:val="18"/>
                <w:szCs w:val="18"/>
              </w:rPr>
            </w:pPr>
            <w:r w:rsidRPr="006A4FA4">
              <w:rPr>
                <w:sz w:val="18"/>
                <w:szCs w:val="18"/>
              </w:rPr>
              <w:t>N/A</w:t>
            </w:r>
          </w:p>
        </w:tc>
        <w:tc>
          <w:tcPr>
            <w:tcW w:w="1440" w:type="dxa"/>
            <w:tcBorders>
              <w:top w:val="single" w:sz="4" w:space="0" w:color="000000"/>
              <w:left w:val="single" w:sz="12" w:space="0" w:color="000000"/>
              <w:bottom w:val="single" w:sz="4" w:space="0" w:color="000000"/>
              <w:right w:val="single" w:sz="12" w:space="0" w:color="000000"/>
            </w:tcBorders>
            <w:vAlign w:val="center"/>
          </w:tcPr>
          <w:p w14:paraId="476575E8" w14:textId="7993D6D9" w:rsidR="00AE16B8" w:rsidRPr="00A22220" w:rsidRDefault="00AE16B8" w:rsidP="00BA5B04">
            <w:pPr>
              <w:spacing w:after="0" w:line="259" w:lineRule="auto"/>
              <w:ind w:left="0" w:right="45" w:firstLine="0"/>
              <w:jc w:val="center"/>
              <w:rPr>
                <w:sz w:val="18"/>
                <w:szCs w:val="18"/>
              </w:rPr>
            </w:pPr>
            <w:r w:rsidRPr="008F1026">
              <w:rPr>
                <w:sz w:val="18"/>
                <w:szCs w:val="18"/>
              </w:rPr>
              <w:t>537.1</w:t>
            </w:r>
          </w:p>
        </w:tc>
      </w:tr>
      <w:tr w:rsidR="001E30AA" w:rsidRPr="00A22220" w14:paraId="77680649" w14:textId="77777777" w:rsidTr="00C23B62">
        <w:trPr>
          <w:trHeight w:val="250"/>
        </w:trPr>
        <w:tc>
          <w:tcPr>
            <w:tcW w:w="4320" w:type="dxa"/>
            <w:tcBorders>
              <w:top w:val="single" w:sz="4" w:space="0" w:color="000000"/>
              <w:left w:val="single" w:sz="12" w:space="0" w:color="000000"/>
              <w:bottom w:val="single" w:sz="4" w:space="0" w:color="000000"/>
              <w:right w:val="single" w:sz="12" w:space="0" w:color="000000"/>
            </w:tcBorders>
            <w:vAlign w:val="center"/>
          </w:tcPr>
          <w:p w14:paraId="2CC5D5E7" w14:textId="71C5FED8" w:rsidR="00AE16B8" w:rsidRPr="00A22220" w:rsidRDefault="00AE16B8" w:rsidP="00D65E54">
            <w:pPr>
              <w:spacing w:after="0" w:line="259" w:lineRule="auto"/>
              <w:ind w:left="0" w:right="0" w:firstLine="0"/>
              <w:rPr>
                <w:sz w:val="18"/>
                <w:szCs w:val="18"/>
              </w:rPr>
            </w:pPr>
            <w:proofErr w:type="spellStart"/>
            <w:r w:rsidRPr="00007BA0">
              <w:rPr>
                <w:sz w:val="18"/>
                <w:szCs w:val="18"/>
              </w:rPr>
              <w:t>Perfluorobutanesulfonic</w:t>
            </w:r>
            <w:proofErr w:type="spellEnd"/>
            <w:r w:rsidRPr="00007BA0">
              <w:rPr>
                <w:sz w:val="18"/>
                <w:szCs w:val="18"/>
              </w:rPr>
              <w:t xml:space="preserve"> acid</w:t>
            </w:r>
            <w:r>
              <w:rPr>
                <w:sz w:val="18"/>
                <w:szCs w:val="18"/>
              </w:rPr>
              <w:t xml:space="preserve"> (</w:t>
            </w:r>
            <w:r w:rsidRPr="003844F8">
              <w:rPr>
                <w:sz w:val="18"/>
                <w:szCs w:val="18"/>
              </w:rPr>
              <w:t>PFBS</w:t>
            </w:r>
            <w:r>
              <w:rPr>
                <w:sz w:val="18"/>
                <w:szCs w:val="18"/>
              </w:rPr>
              <w:t>)</w:t>
            </w:r>
          </w:p>
        </w:tc>
        <w:tc>
          <w:tcPr>
            <w:tcW w:w="1170" w:type="dxa"/>
            <w:tcBorders>
              <w:top w:val="single" w:sz="4" w:space="0" w:color="000000"/>
              <w:left w:val="single" w:sz="12" w:space="0" w:color="000000"/>
              <w:bottom w:val="single" w:sz="4" w:space="0" w:color="000000"/>
              <w:right w:val="single" w:sz="12" w:space="0" w:color="000000"/>
            </w:tcBorders>
            <w:vAlign w:val="center"/>
          </w:tcPr>
          <w:p w14:paraId="3CABD1A4" w14:textId="03DCAD4D" w:rsidR="00AE16B8" w:rsidRPr="00A22220" w:rsidRDefault="00AE16B8" w:rsidP="00D65E54">
            <w:pPr>
              <w:spacing w:after="0" w:line="259" w:lineRule="auto"/>
              <w:ind w:left="0" w:right="44" w:firstLine="0"/>
              <w:jc w:val="center"/>
              <w:rPr>
                <w:sz w:val="18"/>
                <w:szCs w:val="18"/>
              </w:rPr>
            </w:pPr>
            <w:r>
              <w:rPr>
                <w:sz w:val="18"/>
                <w:szCs w:val="18"/>
              </w:rPr>
              <w:t>375-73-5</w:t>
            </w:r>
          </w:p>
        </w:tc>
        <w:tc>
          <w:tcPr>
            <w:tcW w:w="1170" w:type="dxa"/>
            <w:tcBorders>
              <w:top w:val="single" w:sz="4" w:space="0" w:color="000000"/>
              <w:left w:val="single" w:sz="12" w:space="0" w:color="000000"/>
              <w:bottom w:val="single" w:sz="4" w:space="0" w:color="000000"/>
              <w:right w:val="single" w:sz="12" w:space="0" w:color="000000"/>
            </w:tcBorders>
            <w:vAlign w:val="center"/>
          </w:tcPr>
          <w:p w14:paraId="26964870" w14:textId="7707C1BB" w:rsidR="00AE16B8" w:rsidRPr="009C0CB4" w:rsidRDefault="00AE16B8" w:rsidP="00D65E54">
            <w:pPr>
              <w:tabs>
                <w:tab w:val="center" w:pos="534"/>
              </w:tabs>
              <w:spacing w:after="0" w:line="259" w:lineRule="auto"/>
              <w:ind w:left="0" w:right="0" w:firstLine="0"/>
              <w:jc w:val="center"/>
              <w:rPr>
                <w:sz w:val="18"/>
                <w:szCs w:val="18"/>
              </w:rPr>
            </w:pPr>
            <w:r w:rsidRPr="009C0CB4">
              <w:rPr>
                <w:sz w:val="18"/>
                <w:szCs w:val="18"/>
              </w:rPr>
              <w:t>6.3</w:t>
            </w:r>
          </w:p>
        </w:tc>
        <w:tc>
          <w:tcPr>
            <w:tcW w:w="810" w:type="dxa"/>
            <w:tcBorders>
              <w:top w:val="single" w:sz="4" w:space="0" w:color="000000"/>
              <w:left w:val="single" w:sz="12" w:space="0" w:color="000000"/>
              <w:bottom w:val="single" w:sz="4" w:space="0" w:color="000000"/>
              <w:right w:val="single" w:sz="12" w:space="0" w:color="000000"/>
            </w:tcBorders>
            <w:vAlign w:val="center"/>
          </w:tcPr>
          <w:p w14:paraId="6E65AB94" w14:textId="385F79F1" w:rsidR="00AE16B8" w:rsidRPr="00A22220" w:rsidRDefault="00AE16B8" w:rsidP="00BA5B04">
            <w:pPr>
              <w:spacing w:after="0" w:line="259" w:lineRule="auto"/>
              <w:ind w:left="0" w:right="44" w:firstLine="0"/>
              <w:jc w:val="center"/>
              <w:rPr>
                <w:sz w:val="18"/>
                <w:szCs w:val="18"/>
              </w:rPr>
            </w:pPr>
            <w:r w:rsidRPr="00ED4768">
              <w:rPr>
                <w:sz w:val="18"/>
                <w:szCs w:val="18"/>
              </w:rPr>
              <w:t>ng/L</w:t>
            </w:r>
          </w:p>
        </w:tc>
        <w:tc>
          <w:tcPr>
            <w:tcW w:w="720" w:type="dxa"/>
            <w:tcBorders>
              <w:top w:val="single" w:sz="4" w:space="0" w:color="000000"/>
              <w:left w:val="single" w:sz="12" w:space="0" w:color="000000"/>
              <w:bottom w:val="single" w:sz="4" w:space="0" w:color="000000"/>
              <w:right w:val="single" w:sz="12" w:space="0" w:color="000000"/>
            </w:tcBorders>
            <w:vAlign w:val="center"/>
          </w:tcPr>
          <w:p w14:paraId="4D744420" w14:textId="1A2527E8" w:rsidR="00AE16B8" w:rsidRPr="00A22220" w:rsidRDefault="00AE16B8" w:rsidP="00BA5B04">
            <w:pPr>
              <w:tabs>
                <w:tab w:val="center" w:pos="445"/>
              </w:tabs>
              <w:spacing w:after="0" w:line="259" w:lineRule="auto"/>
              <w:ind w:left="0" w:right="0" w:firstLine="0"/>
              <w:jc w:val="center"/>
              <w:rPr>
                <w:sz w:val="18"/>
                <w:szCs w:val="18"/>
              </w:rPr>
            </w:pPr>
            <w:r w:rsidRPr="00426058">
              <w:rPr>
                <w:sz w:val="18"/>
                <w:szCs w:val="18"/>
              </w:rPr>
              <w:t>N/A</w:t>
            </w:r>
          </w:p>
        </w:tc>
        <w:tc>
          <w:tcPr>
            <w:tcW w:w="900" w:type="dxa"/>
            <w:tcBorders>
              <w:top w:val="single" w:sz="4" w:space="0" w:color="000000"/>
              <w:left w:val="single" w:sz="12" w:space="0" w:color="000000"/>
              <w:bottom w:val="single" w:sz="4" w:space="0" w:color="000000"/>
              <w:right w:val="single" w:sz="12" w:space="0" w:color="000000"/>
            </w:tcBorders>
            <w:vAlign w:val="center"/>
          </w:tcPr>
          <w:p w14:paraId="0066671B" w14:textId="23C43712" w:rsidR="00AE16B8" w:rsidRPr="00A22220" w:rsidRDefault="00AE16B8" w:rsidP="00BA5B04">
            <w:pPr>
              <w:spacing w:after="0" w:line="259" w:lineRule="auto"/>
              <w:ind w:left="0" w:right="46" w:firstLine="0"/>
              <w:jc w:val="center"/>
              <w:rPr>
                <w:sz w:val="18"/>
                <w:szCs w:val="18"/>
              </w:rPr>
            </w:pPr>
            <w:r w:rsidRPr="006A4FA4">
              <w:rPr>
                <w:sz w:val="18"/>
                <w:szCs w:val="18"/>
              </w:rPr>
              <w:t>N/A</w:t>
            </w:r>
          </w:p>
        </w:tc>
        <w:tc>
          <w:tcPr>
            <w:tcW w:w="1440" w:type="dxa"/>
            <w:tcBorders>
              <w:top w:val="single" w:sz="4" w:space="0" w:color="000000"/>
              <w:left w:val="single" w:sz="12" w:space="0" w:color="000000"/>
              <w:bottom w:val="single" w:sz="4" w:space="0" w:color="000000"/>
              <w:right w:val="single" w:sz="12" w:space="0" w:color="000000"/>
            </w:tcBorders>
            <w:vAlign w:val="center"/>
          </w:tcPr>
          <w:p w14:paraId="738E245D" w14:textId="37A64788" w:rsidR="00AE16B8" w:rsidRPr="00A22220" w:rsidRDefault="00AE16B8" w:rsidP="00BA5B04">
            <w:pPr>
              <w:spacing w:after="0" w:line="259" w:lineRule="auto"/>
              <w:ind w:left="0" w:right="45" w:firstLine="0"/>
              <w:jc w:val="center"/>
              <w:rPr>
                <w:sz w:val="18"/>
                <w:szCs w:val="18"/>
              </w:rPr>
            </w:pPr>
            <w:r w:rsidRPr="008F1026">
              <w:rPr>
                <w:sz w:val="18"/>
                <w:szCs w:val="18"/>
              </w:rPr>
              <w:t>537.1</w:t>
            </w:r>
          </w:p>
        </w:tc>
      </w:tr>
      <w:tr w:rsidR="001E30AA" w:rsidRPr="00A22220" w14:paraId="4F1D84CB" w14:textId="77777777" w:rsidTr="00C23B62">
        <w:trPr>
          <w:trHeight w:val="252"/>
        </w:trPr>
        <w:tc>
          <w:tcPr>
            <w:tcW w:w="4320" w:type="dxa"/>
            <w:tcBorders>
              <w:top w:val="single" w:sz="4" w:space="0" w:color="000000"/>
              <w:left w:val="single" w:sz="12" w:space="0" w:color="000000"/>
              <w:bottom w:val="single" w:sz="4" w:space="0" w:color="000000"/>
              <w:right w:val="single" w:sz="12" w:space="0" w:color="000000"/>
            </w:tcBorders>
            <w:vAlign w:val="center"/>
          </w:tcPr>
          <w:p w14:paraId="6CC61E0C" w14:textId="59C9DB86" w:rsidR="00AE16B8" w:rsidRPr="00A22220" w:rsidRDefault="00AE16B8" w:rsidP="00D65E54">
            <w:pPr>
              <w:spacing w:after="0" w:line="259" w:lineRule="auto"/>
              <w:ind w:left="0" w:right="0" w:firstLine="0"/>
              <w:rPr>
                <w:sz w:val="18"/>
                <w:szCs w:val="18"/>
              </w:rPr>
            </w:pPr>
            <w:proofErr w:type="spellStart"/>
            <w:r w:rsidRPr="00F17076">
              <w:rPr>
                <w:sz w:val="18"/>
                <w:szCs w:val="18"/>
              </w:rPr>
              <w:t>Perfluorodecanoic</w:t>
            </w:r>
            <w:proofErr w:type="spellEnd"/>
            <w:r w:rsidRPr="00F17076">
              <w:rPr>
                <w:sz w:val="18"/>
                <w:szCs w:val="18"/>
              </w:rPr>
              <w:t xml:space="preserve"> acid</w:t>
            </w:r>
            <w:r>
              <w:rPr>
                <w:sz w:val="18"/>
                <w:szCs w:val="18"/>
              </w:rPr>
              <w:t xml:space="preserve"> (PFDA)</w:t>
            </w:r>
          </w:p>
        </w:tc>
        <w:tc>
          <w:tcPr>
            <w:tcW w:w="1170" w:type="dxa"/>
            <w:tcBorders>
              <w:top w:val="single" w:sz="4" w:space="0" w:color="000000"/>
              <w:left w:val="single" w:sz="12" w:space="0" w:color="000000"/>
              <w:bottom w:val="single" w:sz="4" w:space="0" w:color="000000"/>
              <w:right w:val="single" w:sz="12" w:space="0" w:color="000000"/>
            </w:tcBorders>
            <w:vAlign w:val="center"/>
          </w:tcPr>
          <w:p w14:paraId="077B9232" w14:textId="7D96EF71" w:rsidR="00AE16B8" w:rsidRPr="00A22220" w:rsidRDefault="00AE16B8" w:rsidP="00D65E54">
            <w:pPr>
              <w:spacing w:after="0" w:line="259" w:lineRule="auto"/>
              <w:ind w:left="0" w:right="44" w:firstLine="0"/>
              <w:jc w:val="center"/>
              <w:rPr>
                <w:sz w:val="18"/>
                <w:szCs w:val="18"/>
              </w:rPr>
            </w:pPr>
            <w:r>
              <w:rPr>
                <w:sz w:val="18"/>
                <w:szCs w:val="18"/>
              </w:rPr>
              <w:t>335-76-2</w:t>
            </w:r>
          </w:p>
        </w:tc>
        <w:tc>
          <w:tcPr>
            <w:tcW w:w="1170" w:type="dxa"/>
            <w:tcBorders>
              <w:top w:val="single" w:sz="4" w:space="0" w:color="000000"/>
              <w:left w:val="single" w:sz="12" w:space="0" w:color="000000"/>
              <w:bottom w:val="single" w:sz="4" w:space="0" w:color="000000"/>
              <w:right w:val="single" w:sz="12" w:space="0" w:color="000000"/>
            </w:tcBorders>
            <w:vAlign w:val="center"/>
          </w:tcPr>
          <w:p w14:paraId="2AA447EE" w14:textId="2C70EF2D" w:rsidR="00AE16B8" w:rsidRPr="003B5773" w:rsidRDefault="00AE16B8" w:rsidP="00D65E54">
            <w:pPr>
              <w:tabs>
                <w:tab w:val="center" w:pos="534"/>
              </w:tabs>
              <w:spacing w:after="0" w:line="259" w:lineRule="auto"/>
              <w:ind w:left="0" w:right="0" w:firstLine="0"/>
              <w:jc w:val="center"/>
              <w:rPr>
                <w:b/>
                <w:sz w:val="18"/>
                <w:szCs w:val="18"/>
              </w:rPr>
            </w:pPr>
            <w:r w:rsidRPr="003B5773">
              <w:rPr>
                <w:b/>
                <w:sz w:val="18"/>
                <w:szCs w:val="18"/>
              </w:rPr>
              <w:t>3.3</w:t>
            </w:r>
          </w:p>
        </w:tc>
        <w:tc>
          <w:tcPr>
            <w:tcW w:w="810" w:type="dxa"/>
            <w:tcBorders>
              <w:top w:val="single" w:sz="4" w:space="0" w:color="000000"/>
              <w:left w:val="single" w:sz="12" w:space="0" w:color="000000"/>
              <w:bottom w:val="single" w:sz="4" w:space="0" w:color="000000"/>
              <w:right w:val="single" w:sz="12" w:space="0" w:color="000000"/>
            </w:tcBorders>
            <w:vAlign w:val="center"/>
          </w:tcPr>
          <w:p w14:paraId="7B683F0A" w14:textId="474BF549" w:rsidR="00AE16B8" w:rsidRPr="00A22220" w:rsidRDefault="00AE16B8" w:rsidP="00BA5B04">
            <w:pPr>
              <w:spacing w:after="0" w:line="259" w:lineRule="auto"/>
              <w:ind w:left="0" w:right="44" w:firstLine="0"/>
              <w:jc w:val="center"/>
              <w:rPr>
                <w:sz w:val="18"/>
                <w:szCs w:val="18"/>
              </w:rPr>
            </w:pPr>
            <w:r w:rsidRPr="00ED4768">
              <w:rPr>
                <w:sz w:val="18"/>
                <w:szCs w:val="18"/>
              </w:rPr>
              <w:t>ng/L</w:t>
            </w:r>
          </w:p>
        </w:tc>
        <w:tc>
          <w:tcPr>
            <w:tcW w:w="720" w:type="dxa"/>
            <w:tcBorders>
              <w:top w:val="single" w:sz="4" w:space="0" w:color="000000"/>
              <w:left w:val="single" w:sz="12" w:space="0" w:color="000000"/>
              <w:bottom w:val="single" w:sz="4" w:space="0" w:color="000000"/>
              <w:right w:val="single" w:sz="12" w:space="0" w:color="000000"/>
            </w:tcBorders>
            <w:vAlign w:val="center"/>
          </w:tcPr>
          <w:p w14:paraId="69474AB5" w14:textId="1E78B5DE" w:rsidR="00AE16B8" w:rsidRPr="00A22220" w:rsidRDefault="00AE16B8" w:rsidP="00BA5B04">
            <w:pPr>
              <w:tabs>
                <w:tab w:val="center" w:pos="445"/>
              </w:tabs>
              <w:spacing w:after="0" w:line="259" w:lineRule="auto"/>
              <w:ind w:left="0" w:right="0" w:firstLine="0"/>
              <w:jc w:val="center"/>
              <w:rPr>
                <w:sz w:val="18"/>
                <w:szCs w:val="18"/>
              </w:rPr>
            </w:pPr>
            <w:r w:rsidRPr="00426058">
              <w:rPr>
                <w:sz w:val="18"/>
                <w:szCs w:val="18"/>
              </w:rPr>
              <w:t>N/A</w:t>
            </w:r>
          </w:p>
        </w:tc>
        <w:tc>
          <w:tcPr>
            <w:tcW w:w="900" w:type="dxa"/>
            <w:tcBorders>
              <w:top w:val="single" w:sz="4" w:space="0" w:color="000000"/>
              <w:left w:val="single" w:sz="12" w:space="0" w:color="000000"/>
              <w:bottom w:val="single" w:sz="4" w:space="0" w:color="000000"/>
              <w:right w:val="single" w:sz="12" w:space="0" w:color="000000"/>
            </w:tcBorders>
            <w:vAlign w:val="center"/>
          </w:tcPr>
          <w:p w14:paraId="6F09E721" w14:textId="3450FE2B" w:rsidR="00AE16B8" w:rsidRPr="00A22220" w:rsidRDefault="00AE16B8" w:rsidP="00BA5B04">
            <w:pPr>
              <w:spacing w:after="0" w:line="259" w:lineRule="auto"/>
              <w:ind w:left="0" w:right="46" w:firstLine="0"/>
              <w:jc w:val="center"/>
              <w:rPr>
                <w:sz w:val="18"/>
                <w:szCs w:val="18"/>
              </w:rPr>
            </w:pPr>
            <w:r w:rsidRPr="006A4FA4">
              <w:rPr>
                <w:sz w:val="18"/>
                <w:szCs w:val="18"/>
              </w:rPr>
              <w:t>N/A</w:t>
            </w:r>
          </w:p>
        </w:tc>
        <w:tc>
          <w:tcPr>
            <w:tcW w:w="1440" w:type="dxa"/>
            <w:tcBorders>
              <w:top w:val="single" w:sz="4" w:space="0" w:color="000000"/>
              <w:left w:val="single" w:sz="12" w:space="0" w:color="000000"/>
              <w:bottom w:val="single" w:sz="4" w:space="0" w:color="000000"/>
              <w:right w:val="single" w:sz="12" w:space="0" w:color="000000"/>
            </w:tcBorders>
            <w:vAlign w:val="center"/>
          </w:tcPr>
          <w:p w14:paraId="69F4D3F9" w14:textId="0112FA43" w:rsidR="00AE16B8" w:rsidRPr="00A22220" w:rsidRDefault="00AE16B8" w:rsidP="00BA5B04">
            <w:pPr>
              <w:spacing w:after="0" w:line="259" w:lineRule="auto"/>
              <w:ind w:left="0" w:right="45" w:firstLine="0"/>
              <w:jc w:val="center"/>
              <w:rPr>
                <w:sz w:val="18"/>
                <w:szCs w:val="18"/>
              </w:rPr>
            </w:pPr>
            <w:r w:rsidRPr="008F1026">
              <w:rPr>
                <w:sz w:val="18"/>
                <w:szCs w:val="18"/>
              </w:rPr>
              <w:t>537.1</w:t>
            </w:r>
          </w:p>
        </w:tc>
      </w:tr>
      <w:tr w:rsidR="001E30AA" w:rsidRPr="00A22220" w14:paraId="12CD5802" w14:textId="77777777" w:rsidTr="00C23B62">
        <w:trPr>
          <w:trHeight w:val="250"/>
        </w:trPr>
        <w:tc>
          <w:tcPr>
            <w:tcW w:w="4320" w:type="dxa"/>
            <w:tcBorders>
              <w:top w:val="single" w:sz="4" w:space="0" w:color="000000"/>
              <w:left w:val="single" w:sz="12" w:space="0" w:color="000000"/>
              <w:bottom w:val="single" w:sz="4" w:space="0" w:color="000000"/>
              <w:right w:val="single" w:sz="12" w:space="0" w:color="000000"/>
            </w:tcBorders>
            <w:vAlign w:val="center"/>
          </w:tcPr>
          <w:p w14:paraId="3A7C4CC4" w14:textId="3974890B" w:rsidR="00AE16B8" w:rsidRPr="00A22220" w:rsidRDefault="00AE16B8" w:rsidP="00D65E54">
            <w:pPr>
              <w:spacing w:after="0" w:line="259" w:lineRule="auto"/>
              <w:ind w:left="0" w:right="0" w:firstLine="0"/>
              <w:rPr>
                <w:sz w:val="18"/>
                <w:szCs w:val="18"/>
              </w:rPr>
            </w:pPr>
            <w:proofErr w:type="spellStart"/>
            <w:r w:rsidRPr="00F17076">
              <w:rPr>
                <w:sz w:val="18"/>
                <w:szCs w:val="18"/>
              </w:rPr>
              <w:t>Perfluorododecanoic</w:t>
            </w:r>
            <w:proofErr w:type="spellEnd"/>
            <w:r w:rsidRPr="00F17076">
              <w:rPr>
                <w:sz w:val="18"/>
                <w:szCs w:val="18"/>
              </w:rPr>
              <w:t xml:space="preserve"> acid</w:t>
            </w:r>
            <w:r>
              <w:rPr>
                <w:sz w:val="18"/>
                <w:szCs w:val="18"/>
              </w:rPr>
              <w:t xml:space="preserve"> (</w:t>
            </w:r>
            <w:proofErr w:type="spellStart"/>
            <w:r>
              <w:rPr>
                <w:sz w:val="18"/>
                <w:szCs w:val="18"/>
              </w:rPr>
              <w:t>PFDoA</w:t>
            </w:r>
            <w:proofErr w:type="spellEnd"/>
            <w:r>
              <w:rPr>
                <w:sz w:val="18"/>
                <w:szCs w:val="18"/>
              </w:rPr>
              <w:t>)</w:t>
            </w:r>
          </w:p>
        </w:tc>
        <w:tc>
          <w:tcPr>
            <w:tcW w:w="1170" w:type="dxa"/>
            <w:tcBorders>
              <w:top w:val="single" w:sz="4" w:space="0" w:color="000000"/>
              <w:left w:val="single" w:sz="12" w:space="0" w:color="000000"/>
              <w:bottom w:val="single" w:sz="4" w:space="0" w:color="000000"/>
              <w:right w:val="single" w:sz="12" w:space="0" w:color="000000"/>
            </w:tcBorders>
            <w:vAlign w:val="center"/>
          </w:tcPr>
          <w:p w14:paraId="4D99E00E" w14:textId="1A9EF903" w:rsidR="00AE16B8" w:rsidRPr="00A22220" w:rsidRDefault="00AE16B8" w:rsidP="00D65E54">
            <w:pPr>
              <w:spacing w:after="0" w:line="259" w:lineRule="auto"/>
              <w:ind w:left="0" w:right="44" w:firstLine="0"/>
              <w:jc w:val="center"/>
              <w:rPr>
                <w:sz w:val="18"/>
                <w:szCs w:val="18"/>
              </w:rPr>
            </w:pPr>
            <w:r>
              <w:rPr>
                <w:sz w:val="18"/>
                <w:szCs w:val="18"/>
              </w:rPr>
              <w:t>307-55-1</w:t>
            </w:r>
          </w:p>
        </w:tc>
        <w:tc>
          <w:tcPr>
            <w:tcW w:w="1170" w:type="dxa"/>
            <w:tcBorders>
              <w:top w:val="single" w:sz="4" w:space="0" w:color="000000"/>
              <w:left w:val="single" w:sz="12" w:space="0" w:color="000000"/>
              <w:bottom w:val="single" w:sz="4" w:space="0" w:color="000000"/>
              <w:right w:val="single" w:sz="12" w:space="0" w:color="000000"/>
            </w:tcBorders>
            <w:vAlign w:val="center"/>
          </w:tcPr>
          <w:p w14:paraId="233565A9" w14:textId="5794161A" w:rsidR="00AE16B8" w:rsidRPr="00FC6080" w:rsidRDefault="00AE16B8" w:rsidP="00D65E54">
            <w:pPr>
              <w:tabs>
                <w:tab w:val="center" w:pos="534"/>
              </w:tabs>
              <w:spacing w:after="0" w:line="259" w:lineRule="auto"/>
              <w:ind w:left="0" w:right="0" w:firstLine="0"/>
              <w:jc w:val="center"/>
              <w:rPr>
                <w:sz w:val="18"/>
                <w:szCs w:val="18"/>
              </w:rPr>
            </w:pPr>
            <w:r w:rsidRPr="00FC6080">
              <w:rPr>
                <w:sz w:val="18"/>
                <w:szCs w:val="18"/>
              </w:rPr>
              <w:t>1.3</w:t>
            </w:r>
          </w:p>
        </w:tc>
        <w:tc>
          <w:tcPr>
            <w:tcW w:w="810" w:type="dxa"/>
            <w:tcBorders>
              <w:top w:val="single" w:sz="4" w:space="0" w:color="000000"/>
              <w:left w:val="single" w:sz="12" w:space="0" w:color="000000"/>
              <w:bottom w:val="single" w:sz="4" w:space="0" w:color="000000"/>
              <w:right w:val="single" w:sz="12" w:space="0" w:color="000000"/>
            </w:tcBorders>
            <w:vAlign w:val="center"/>
          </w:tcPr>
          <w:p w14:paraId="5289BF70" w14:textId="71A2266A" w:rsidR="00AE16B8" w:rsidRPr="00A22220" w:rsidRDefault="00AE16B8" w:rsidP="00BA5B04">
            <w:pPr>
              <w:spacing w:after="0" w:line="259" w:lineRule="auto"/>
              <w:ind w:left="0" w:right="44" w:firstLine="0"/>
              <w:jc w:val="center"/>
              <w:rPr>
                <w:sz w:val="18"/>
                <w:szCs w:val="18"/>
              </w:rPr>
            </w:pPr>
            <w:r w:rsidRPr="00ED4768">
              <w:rPr>
                <w:sz w:val="18"/>
                <w:szCs w:val="18"/>
              </w:rPr>
              <w:t>ng/L</w:t>
            </w:r>
          </w:p>
        </w:tc>
        <w:tc>
          <w:tcPr>
            <w:tcW w:w="720" w:type="dxa"/>
            <w:tcBorders>
              <w:top w:val="single" w:sz="4" w:space="0" w:color="000000"/>
              <w:left w:val="single" w:sz="12" w:space="0" w:color="000000"/>
              <w:bottom w:val="single" w:sz="4" w:space="0" w:color="000000"/>
              <w:right w:val="single" w:sz="12" w:space="0" w:color="000000"/>
            </w:tcBorders>
            <w:vAlign w:val="center"/>
          </w:tcPr>
          <w:p w14:paraId="09820AA0" w14:textId="17E5BD2C" w:rsidR="00AE16B8" w:rsidRPr="00A22220" w:rsidRDefault="00AE16B8" w:rsidP="00BA5B04">
            <w:pPr>
              <w:tabs>
                <w:tab w:val="center" w:pos="399"/>
              </w:tabs>
              <w:spacing w:after="0" w:line="259" w:lineRule="auto"/>
              <w:ind w:left="0" w:right="0" w:firstLine="0"/>
              <w:jc w:val="center"/>
              <w:rPr>
                <w:sz w:val="18"/>
                <w:szCs w:val="18"/>
              </w:rPr>
            </w:pPr>
            <w:r w:rsidRPr="00426058">
              <w:rPr>
                <w:sz w:val="18"/>
                <w:szCs w:val="18"/>
              </w:rPr>
              <w:t>N/A</w:t>
            </w:r>
          </w:p>
        </w:tc>
        <w:tc>
          <w:tcPr>
            <w:tcW w:w="900" w:type="dxa"/>
            <w:tcBorders>
              <w:top w:val="single" w:sz="4" w:space="0" w:color="000000"/>
              <w:left w:val="single" w:sz="12" w:space="0" w:color="000000"/>
              <w:bottom w:val="single" w:sz="4" w:space="0" w:color="000000"/>
              <w:right w:val="single" w:sz="12" w:space="0" w:color="000000"/>
            </w:tcBorders>
            <w:vAlign w:val="center"/>
          </w:tcPr>
          <w:p w14:paraId="5CDE54EB" w14:textId="2DBF604B" w:rsidR="00AE16B8" w:rsidRPr="00A22220" w:rsidRDefault="00AE16B8" w:rsidP="00BA5B04">
            <w:pPr>
              <w:spacing w:after="0" w:line="259" w:lineRule="auto"/>
              <w:ind w:left="0" w:right="46" w:firstLine="0"/>
              <w:jc w:val="center"/>
              <w:rPr>
                <w:sz w:val="18"/>
                <w:szCs w:val="18"/>
              </w:rPr>
            </w:pPr>
            <w:r w:rsidRPr="006A4FA4">
              <w:rPr>
                <w:sz w:val="18"/>
                <w:szCs w:val="18"/>
              </w:rPr>
              <w:t>N/A</w:t>
            </w:r>
          </w:p>
        </w:tc>
        <w:tc>
          <w:tcPr>
            <w:tcW w:w="1440" w:type="dxa"/>
            <w:tcBorders>
              <w:top w:val="single" w:sz="4" w:space="0" w:color="000000"/>
              <w:left w:val="single" w:sz="12" w:space="0" w:color="000000"/>
              <w:bottom w:val="single" w:sz="4" w:space="0" w:color="000000"/>
              <w:right w:val="single" w:sz="12" w:space="0" w:color="000000"/>
            </w:tcBorders>
            <w:vAlign w:val="center"/>
          </w:tcPr>
          <w:p w14:paraId="586CAF6F" w14:textId="50178540" w:rsidR="00AE16B8" w:rsidRPr="00A22220" w:rsidRDefault="00AE16B8" w:rsidP="00BA5B04">
            <w:pPr>
              <w:spacing w:after="0" w:line="259" w:lineRule="auto"/>
              <w:ind w:left="0" w:right="45" w:firstLine="0"/>
              <w:jc w:val="center"/>
              <w:rPr>
                <w:sz w:val="18"/>
                <w:szCs w:val="18"/>
              </w:rPr>
            </w:pPr>
            <w:r w:rsidRPr="008F1026">
              <w:rPr>
                <w:sz w:val="18"/>
                <w:szCs w:val="18"/>
              </w:rPr>
              <w:t>537.1</w:t>
            </w:r>
          </w:p>
        </w:tc>
      </w:tr>
      <w:tr w:rsidR="001E30AA" w:rsidRPr="00A22220" w14:paraId="35AB1D17" w14:textId="77777777" w:rsidTr="00C23B62">
        <w:trPr>
          <w:trHeight w:val="250"/>
        </w:trPr>
        <w:tc>
          <w:tcPr>
            <w:tcW w:w="4320" w:type="dxa"/>
            <w:tcBorders>
              <w:top w:val="single" w:sz="4" w:space="0" w:color="000000"/>
              <w:left w:val="single" w:sz="12" w:space="0" w:color="000000"/>
              <w:bottom w:val="single" w:sz="4" w:space="0" w:color="000000"/>
              <w:right w:val="single" w:sz="12" w:space="0" w:color="000000"/>
            </w:tcBorders>
            <w:vAlign w:val="center"/>
          </w:tcPr>
          <w:p w14:paraId="6AB5FC9F" w14:textId="61C1CFBC" w:rsidR="00AE16B8" w:rsidRPr="00A22220" w:rsidRDefault="00AE16B8" w:rsidP="00D65E54">
            <w:pPr>
              <w:spacing w:after="0" w:line="259" w:lineRule="auto"/>
              <w:ind w:left="0" w:right="0" w:firstLine="0"/>
              <w:rPr>
                <w:sz w:val="18"/>
                <w:szCs w:val="18"/>
              </w:rPr>
            </w:pPr>
            <w:proofErr w:type="spellStart"/>
            <w:r w:rsidRPr="000C4435">
              <w:rPr>
                <w:sz w:val="18"/>
                <w:szCs w:val="18"/>
              </w:rPr>
              <w:t>Perfluoroheptanoic</w:t>
            </w:r>
            <w:proofErr w:type="spellEnd"/>
            <w:r w:rsidRPr="000C4435">
              <w:rPr>
                <w:sz w:val="18"/>
                <w:szCs w:val="18"/>
              </w:rPr>
              <w:t xml:space="preserve"> acid</w:t>
            </w:r>
            <w:r>
              <w:rPr>
                <w:sz w:val="18"/>
                <w:szCs w:val="18"/>
              </w:rPr>
              <w:t xml:space="preserve"> (</w:t>
            </w:r>
            <w:proofErr w:type="spellStart"/>
            <w:r>
              <w:rPr>
                <w:sz w:val="18"/>
                <w:szCs w:val="18"/>
              </w:rPr>
              <w:t>PFHpA</w:t>
            </w:r>
            <w:proofErr w:type="spellEnd"/>
            <w:r>
              <w:rPr>
                <w:sz w:val="18"/>
                <w:szCs w:val="18"/>
              </w:rPr>
              <w:t>)</w:t>
            </w:r>
          </w:p>
        </w:tc>
        <w:tc>
          <w:tcPr>
            <w:tcW w:w="1170" w:type="dxa"/>
            <w:tcBorders>
              <w:top w:val="single" w:sz="4" w:space="0" w:color="000000"/>
              <w:left w:val="single" w:sz="12" w:space="0" w:color="000000"/>
              <w:bottom w:val="single" w:sz="4" w:space="0" w:color="000000"/>
              <w:right w:val="single" w:sz="12" w:space="0" w:color="000000"/>
            </w:tcBorders>
            <w:vAlign w:val="center"/>
          </w:tcPr>
          <w:p w14:paraId="62A94CEE" w14:textId="6A9C52FB" w:rsidR="00AE16B8" w:rsidRPr="00A22220" w:rsidRDefault="00AE16B8" w:rsidP="00D65E54">
            <w:pPr>
              <w:spacing w:after="0" w:line="259" w:lineRule="auto"/>
              <w:ind w:left="0" w:right="44" w:firstLine="0"/>
              <w:jc w:val="center"/>
              <w:rPr>
                <w:sz w:val="18"/>
                <w:szCs w:val="18"/>
              </w:rPr>
            </w:pPr>
            <w:r>
              <w:rPr>
                <w:sz w:val="18"/>
                <w:szCs w:val="18"/>
              </w:rPr>
              <w:t>375-85-9</w:t>
            </w:r>
          </w:p>
        </w:tc>
        <w:tc>
          <w:tcPr>
            <w:tcW w:w="1170" w:type="dxa"/>
            <w:tcBorders>
              <w:top w:val="single" w:sz="4" w:space="0" w:color="000000"/>
              <w:left w:val="single" w:sz="12" w:space="0" w:color="000000"/>
              <w:bottom w:val="single" w:sz="4" w:space="0" w:color="000000"/>
              <w:right w:val="single" w:sz="12" w:space="0" w:color="000000"/>
            </w:tcBorders>
            <w:vAlign w:val="center"/>
          </w:tcPr>
          <w:p w14:paraId="13F93941" w14:textId="5233DB7A" w:rsidR="00AE16B8" w:rsidRPr="00FC6080" w:rsidRDefault="00AE16B8" w:rsidP="00D65E54">
            <w:pPr>
              <w:tabs>
                <w:tab w:val="center" w:pos="377"/>
              </w:tabs>
              <w:spacing w:after="0" w:line="259" w:lineRule="auto"/>
              <w:ind w:left="0" w:right="0" w:firstLine="0"/>
              <w:jc w:val="center"/>
              <w:rPr>
                <w:sz w:val="18"/>
                <w:szCs w:val="18"/>
              </w:rPr>
            </w:pPr>
            <w:r w:rsidRPr="00FC6080">
              <w:rPr>
                <w:sz w:val="18"/>
                <w:szCs w:val="18"/>
              </w:rPr>
              <w:t>0.63</w:t>
            </w:r>
          </w:p>
        </w:tc>
        <w:tc>
          <w:tcPr>
            <w:tcW w:w="810" w:type="dxa"/>
            <w:tcBorders>
              <w:top w:val="single" w:sz="4" w:space="0" w:color="000000"/>
              <w:left w:val="single" w:sz="12" w:space="0" w:color="000000"/>
              <w:bottom w:val="single" w:sz="4" w:space="0" w:color="000000"/>
              <w:right w:val="single" w:sz="12" w:space="0" w:color="000000"/>
            </w:tcBorders>
            <w:vAlign w:val="center"/>
          </w:tcPr>
          <w:p w14:paraId="5B163094" w14:textId="5A48A973" w:rsidR="00AE16B8" w:rsidRPr="00A22220" w:rsidRDefault="00AE16B8" w:rsidP="00BA5B04">
            <w:pPr>
              <w:spacing w:after="0" w:line="259" w:lineRule="auto"/>
              <w:ind w:left="0" w:right="44" w:firstLine="0"/>
              <w:jc w:val="center"/>
              <w:rPr>
                <w:sz w:val="18"/>
                <w:szCs w:val="18"/>
              </w:rPr>
            </w:pPr>
            <w:r w:rsidRPr="00ED4768">
              <w:rPr>
                <w:sz w:val="18"/>
                <w:szCs w:val="18"/>
              </w:rPr>
              <w:t>ng/L</w:t>
            </w:r>
          </w:p>
        </w:tc>
        <w:tc>
          <w:tcPr>
            <w:tcW w:w="720" w:type="dxa"/>
            <w:tcBorders>
              <w:top w:val="single" w:sz="4" w:space="0" w:color="000000"/>
              <w:left w:val="single" w:sz="12" w:space="0" w:color="000000"/>
              <w:bottom w:val="single" w:sz="4" w:space="0" w:color="000000"/>
              <w:right w:val="single" w:sz="12" w:space="0" w:color="000000"/>
            </w:tcBorders>
            <w:vAlign w:val="center"/>
          </w:tcPr>
          <w:p w14:paraId="7D527FEB" w14:textId="63970B50" w:rsidR="00AE16B8" w:rsidRPr="00A22220" w:rsidRDefault="00AE16B8" w:rsidP="00BA5B04">
            <w:pPr>
              <w:spacing w:after="0" w:line="259" w:lineRule="auto"/>
              <w:ind w:left="0" w:right="0" w:firstLine="0"/>
              <w:jc w:val="center"/>
              <w:rPr>
                <w:sz w:val="18"/>
                <w:szCs w:val="18"/>
              </w:rPr>
            </w:pPr>
            <w:r w:rsidRPr="00426058">
              <w:rPr>
                <w:sz w:val="18"/>
                <w:szCs w:val="18"/>
              </w:rPr>
              <w:t>N/A</w:t>
            </w:r>
          </w:p>
        </w:tc>
        <w:tc>
          <w:tcPr>
            <w:tcW w:w="900" w:type="dxa"/>
            <w:tcBorders>
              <w:top w:val="single" w:sz="4" w:space="0" w:color="000000"/>
              <w:left w:val="single" w:sz="12" w:space="0" w:color="000000"/>
              <w:bottom w:val="single" w:sz="4" w:space="0" w:color="000000"/>
              <w:right w:val="single" w:sz="12" w:space="0" w:color="000000"/>
            </w:tcBorders>
            <w:vAlign w:val="center"/>
          </w:tcPr>
          <w:p w14:paraId="610258A0" w14:textId="58DBD581" w:rsidR="00AE16B8" w:rsidRPr="00A22220" w:rsidRDefault="00AE16B8" w:rsidP="00BA5B04">
            <w:pPr>
              <w:spacing w:after="0" w:line="259" w:lineRule="auto"/>
              <w:ind w:left="0" w:right="46" w:firstLine="0"/>
              <w:jc w:val="center"/>
              <w:rPr>
                <w:sz w:val="18"/>
                <w:szCs w:val="18"/>
              </w:rPr>
            </w:pPr>
            <w:r w:rsidRPr="006A4FA4">
              <w:rPr>
                <w:sz w:val="18"/>
                <w:szCs w:val="18"/>
              </w:rPr>
              <w:t>N/A</w:t>
            </w:r>
          </w:p>
        </w:tc>
        <w:tc>
          <w:tcPr>
            <w:tcW w:w="1440" w:type="dxa"/>
            <w:tcBorders>
              <w:top w:val="single" w:sz="4" w:space="0" w:color="000000"/>
              <w:left w:val="single" w:sz="12" w:space="0" w:color="000000"/>
              <w:bottom w:val="single" w:sz="4" w:space="0" w:color="000000"/>
              <w:right w:val="single" w:sz="12" w:space="0" w:color="000000"/>
            </w:tcBorders>
            <w:vAlign w:val="center"/>
          </w:tcPr>
          <w:p w14:paraId="320ECE83" w14:textId="315FC8D6" w:rsidR="00AE16B8" w:rsidRPr="00A22220" w:rsidRDefault="00AE16B8" w:rsidP="00BA5B04">
            <w:pPr>
              <w:spacing w:after="0" w:line="259" w:lineRule="auto"/>
              <w:ind w:left="0" w:right="45" w:firstLine="0"/>
              <w:jc w:val="center"/>
              <w:rPr>
                <w:sz w:val="18"/>
                <w:szCs w:val="18"/>
              </w:rPr>
            </w:pPr>
            <w:r w:rsidRPr="008F1026">
              <w:rPr>
                <w:sz w:val="18"/>
                <w:szCs w:val="18"/>
              </w:rPr>
              <w:t>537.1</w:t>
            </w:r>
          </w:p>
        </w:tc>
      </w:tr>
      <w:tr w:rsidR="00C84A5D" w:rsidRPr="00A22220" w14:paraId="6E15CAF7" w14:textId="77777777" w:rsidTr="00C23B62">
        <w:trPr>
          <w:trHeight w:val="250"/>
        </w:trPr>
        <w:tc>
          <w:tcPr>
            <w:tcW w:w="4320" w:type="dxa"/>
            <w:tcBorders>
              <w:top w:val="single" w:sz="4" w:space="0" w:color="000000"/>
              <w:left w:val="single" w:sz="12" w:space="0" w:color="000000"/>
              <w:bottom w:val="single" w:sz="4" w:space="0" w:color="000000"/>
              <w:right w:val="single" w:sz="12" w:space="0" w:color="000000"/>
            </w:tcBorders>
            <w:vAlign w:val="center"/>
          </w:tcPr>
          <w:p w14:paraId="0087D666" w14:textId="57080232" w:rsidR="00AE16B8" w:rsidRPr="00A22220" w:rsidRDefault="00AE16B8" w:rsidP="00D65E54">
            <w:pPr>
              <w:spacing w:after="0" w:line="259" w:lineRule="auto"/>
              <w:ind w:left="0" w:right="0" w:firstLine="0"/>
              <w:rPr>
                <w:sz w:val="18"/>
                <w:szCs w:val="18"/>
              </w:rPr>
            </w:pPr>
            <w:proofErr w:type="spellStart"/>
            <w:r w:rsidRPr="00183860">
              <w:rPr>
                <w:sz w:val="18"/>
                <w:szCs w:val="18"/>
              </w:rPr>
              <w:t>Perfluorohexanesulfonic</w:t>
            </w:r>
            <w:proofErr w:type="spellEnd"/>
            <w:r w:rsidRPr="00183860">
              <w:rPr>
                <w:sz w:val="18"/>
                <w:szCs w:val="18"/>
              </w:rPr>
              <w:t xml:space="preserve"> acid</w:t>
            </w:r>
            <w:r>
              <w:rPr>
                <w:sz w:val="18"/>
                <w:szCs w:val="18"/>
              </w:rPr>
              <w:t xml:space="preserve"> (</w:t>
            </w:r>
            <w:proofErr w:type="spellStart"/>
            <w:r>
              <w:rPr>
                <w:sz w:val="18"/>
                <w:szCs w:val="18"/>
              </w:rPr>
              <w:t>PFHxS</w:t>
            </w:r>
            <w:proofErr w:type="spellEnd"/>
            <w:r>
              <w:rPr>
                <w:sz w:val="18"/>
                <w:szCs w:val="18"/>
              </w:rPr>
              <w:t>)</w:t>
            </w:r>
          </w:p>
        </w:tc>
        <w:tc>
          <w:tcPr>
            <w:tcW w:w="1170" w:type="dxa"/>
            <w:tcBorders>
              <w:top w:val="single" w:sz="4" w:space="0" w:color="000000"/>
              <w:left w:val="single" w:sz="12" w:space="0" w:color="000000"/>
              <w:bottom w:val="single" w:sz="4" w:space="0" w:color="000000"/>
              <w:right w:val="single" w:sz="12" w:space="0" w:color="000000"/>
            </w:tcBorders>
            <w:vAlign w:val="center"/>
          </w:tcPr>
          <w:p w14:paraId="7638AEC4" w14:textId="6F0DD601" w:rsidR="00AE16B8" w:rsidRPr="00A22220" w:rsidRDefault="00AE16B8" w:rsidP="00D65E54">
            <w:pPr>
              <w:spacing w:after="0" w:line="259" w:lineRule="auto"/>
              <w:ind w:left="0" w:right="44" w:firstLine="0"/>
              <w:jc w:val="center"/>
              <w:rPr>
                <w:sz w:val="18"/>
                <w:szCs w:val="18"/>
              </w:rPr>
            </w:pPr>
            <w:r>
              <w:rPr>
                <w:sz w:val="18"/>
                <w:szCs w:val="18"/>
              </w:rPr>
              <w:t>355-46-4</w:t>
            </w:r>
          </w:p>
        </w:tc>
        <w:tc>
          <w:tcPr>
            <w:tcW w:w="1170" w:type="dxa"/>
            <w:tcBorders>
              <w:top w:val="single" w:sz="4" w:space="0" w:color="000000"/>
              <w:left w:val="single" w:sz="12" w:space="0" w:color="000000"/>
              <w:bottom w:val="single" w:sz="4" w:space="0" w:color="000000"/>
              <w:right w:val="single" w:sz="12" w:space="0" w:color="000000"/>
            </w:tcBorders>
            <w:vAlign w:val="center"/>
          </w:tcPr>
          <w:p w14:paraId="77957961" w14:textId="72566F4B" w:rsidR="00AE16B8" w:rsidRPr="00E50FA6" w:rsidRDefault="00AE16B8" w:rsidP="00D65E54">
            <w:pPr>
              <w:tabs>
                <w:tab w:val="center" w:pos="488"/>
              </w:tabs>
              <w:spacing w:after="0" w:line="259" w:lineRule="auto"/>
              <w:ind w:left="0" w:right="0" w:firstLine="0"/>
              <w:jc w:val="center"/>
              <w:rPr>
                <w:sz w:val="18"/>
                <w:szCs w:val="18"/>
              </w:rPr>
            </w:pPr>
            <w:r w:rsidRPr="00E50FA6">
              <w:rPr>
                <w:sz w:val="18"/>
                <w:szCs w:val="18"/>
              </w:rPr>
              <w:t>2.4</w:t>
            </w:r>
          </w:p>
        </w:tc>
        <w:tc>
          <w:tcPr>
            <w:tcW w:w="810" w:type="dxa"/>
            <w:tcBorders>
              <w:top w:val="single" w:sz="4" w:space="0" w:color="000000"/>
              <w:left w:val="single" w:sz="12" w:space="0" w:color="000000"/>
              <w:bottom w:val="single" w:sz="4" w:space="0" w:color="000000"/>
              <w:right w:val="single" w:sz="12" w:space="0" w:color="000000"/>
            </w:tcBorders>
            <w:vAlign w:val="center"/>
          </w:tcPr>
          <w:p w14:paraId="3C5E846F" w14:textId="377791AB" w:rsidR="00AE16B8" w:rsidRPr="00A22220" w:rsidRDefault="00AE16B8" w:rsidP="00BA5B04">
            <w:pPr>
              <w:spacing w:after="0" w:line="259" w:lineRule="auto"/>
              <w:ind w:left="0" w:right="44" w:firstLine="0"/>
              <w:jc w:val="center"/>
              <w:rPr>
                <w:sz w:val="18"/>
                <w:szCs w:val="18"/>
              </w:rPr>
            </w:pPr>
            <w:r w:rsidRPr="00ED4768">
              <w:rPr>
                <w:sz w:val="18"/>
                <w:szCs w:val="18"/>
              </w:rPr>
              <w:t>ng/L</w:t>
            </w:r>
          </w:p>
        </w:tc>
        <w:tc>
          <w:tcPr>
            <w:tcW w:w="720" w:type="dxa"/>
            <w:tcBorders>
              <w:top w:val="single" w:sz="4" w:space="0" w:color="000000"/>
              <w:left w:val="single" w:sz="12" w:space="0" w:color="000000"/>
              <w:bottom w:val="single" w:sz="4" w:space="0" w:color="000000"/>
              <w:right w:val="single" w:sz="12" w:space="0" w:color="000000"/>
            </w:tcBorders>
            <w:vAlign w:val="center"/>
          </w:tcPr>
          <w:p w14:paraId="110B7C74" w14:textId="3499DD18" w:rsidR="00AE16B8" w:rsidRPr="00A22220" w:rsidRDefault="00AE16B8" w:rsidP="00BA5B04">
            <w:pPr>
              <w:tabs>
                <w:tab w:val="center" w:pos="399"/>
              </w:tabs>
              <w:spacing w:after="0" w:line="259" w:lineRule="auto"/>
              <w:ind w:left="0" w:right="0" w:firstLine="0"/>
              <w:jc w:val="center"/>
              <w:rPr>
                <w:sz w:val="18"/>
                <w:szCs w:val="18"/>
              </w:rPr>
            </w:pPr>
            <w:r w:rsidRPr="00426058">
              <w:rPr>
                <w:sz w:val="18"/>
                <w:szCs w:val="18"/>
              </w:rPr>
              <w:t>N/A</w:t>
            </w:r>
          </w:p>
        </w:tc>
        <w:tc>
          <w:tcPr>
            <w:tcW w:w="900" w:type="dxa"/>
            <w:tcBorders>
              <w:top w:val="single" w:sz="4" w:space="0" w:color="000000"/>
              <w:left w:val="single" w:sz="12" w:space="0" w:color="000000"/>
              <w:bottom w:val="single" w:sz="4" w:space="0" w:color="auto"/>
              <w:right w:val="single" w:sz="12" w:space="0" w:color="000000"/>
            </w:tcBorders>
            <w:vAlign w:val="center"/>
          </w:tcPr>
          <w:p w14:paraId="00B237B9" w14:textId="383461D0" w:rsidR="00AE16B8" w:rsidRPr="00A22220" w:rsidRDefault="00AE16B8" w:rsidP="00BA5B04">
            <w:pPr>
              <w:spacing w:after="0" w:line="259" w:lineRule="auto"/>
              <w:ind w:left="0" w:right="46" w:firstLine="0"/>
              <w:jc w:val="center"/>
              <w:rPr>
                <w:sz w:val="18"/>
                <w:szCs w:val="18"/>
              </w:rPr>
            </w:pPr>
            <w:r w:rsidRPr="006A4FA4">
              <w:rPr>
                <w:sz w:val="18"/>
                <w:szCs w:val="18"/>
              </w:rPr>
              <w:t>N/A</w:t>
            </w:r>
          </w:p>
        </w:tc>
        <w:tc>
          <w:tcPr>
            <w:tcW w:w="1440" w:type="dxa"/>
            <w:tcBorders>
              <w:top w:val="single" w:sz="4" w:space="0" w:color="000000"/>
              <w:left w:val="single" w:sz="12" w:space="0" w:color="000000"/>
              <w:bottom w:val="single" w:sz="4" w:space="0" w:color="000000"/>
              <w:right w:val="single" w:sz="12" w:space="0" w:color="000000"/>
            </w:tcBorders>
            <w:vAlign w:val="center"/>
          </w:tcPr>
          <w:p w14:paraId="501075EB" w14:textId="42A87DDA" w:rsidR="00AE16B8" w:rsidRPr="00A22220" w:rsidRDefault="00AE16B8" w:rsidP="00BA5B04">
            <w:pPr>
              <w:spacing w:after="0" w:line="259" w:lineRule="auto"/>
              <w:ind w:left="0" w:right="45" w:firstLine="0"/>
              <w:jc w:val="center"/>
              <w:rPr>
                <w:sz w:val="18"/>
                <w:szCs w:val="18"/>
              </w:rPr>
            </w:pPr>
            <w:r w:rsidRPr="008F1026">
              <w:rPr>
                <w:sz w:val="18"/>
                <w:szCs w:val="18"/>
              </w:rPr>
              <w:t>537.1</w:t>
            </w:r>
          </w:p>
        </w:tc>
      </w:tr>
      <w:tr w:rsidR="005F3A69" w:rsidRPr="00A22220" w14:paraId="3A9D98A9" w14:textId="77777777" w:rsidTr="008B300D">
        <w:trPr>
          <w:trHeight w:val="250"/>
        </w:trPr>
        <w:tc>
          <w:tcPr>
            <w:tcW w:w="4320" w:type="dxa"/>
            <w:tcBorders>
              <w:top w:val="single" w:sz="4" w:space="0" w:color="000000"/>
              <w:left w:val="single" w:sz="12" w:space="0" w:color="000000"/>
              <w:bottom w:val="single" w:sz="4" w:space="0" w:color="000000"/>
              <w:right w:val="single" w:sz="12" w:space="0" w:color="000000"/>
            </w:tcBorders>
            <w:vAlign w:val="center"/>
          </w:tcPr>
          <w:p w14:paraId="55184CC2" w14:textId="424E2671" w:rsidR="00AE16B8" w:rsidRPr="00A22220" w:rsidRDefault="00AE16B8" w:rsidP="00D65E54">
            <w:pPr>
              <w:spacing w:after="0" w:line="259" w:lineRule="auto"/>
              <w:ind w:left="0" w:right="0" w:firstLine="0"/>
              <w:rPr>
                <w:sz w:val="18"/>
                <w:szCs w:val="18"/>
              </w:rPr>
            </w:pPr>
            <w:proofErr w:type="spellStart"/>
            <w:r w:rsidRPr="00113CF3">
              <w:rPr>
                <w:sz w:val="18"/>
                <w:szCs w:val="18"/>
              </w:rPr>
              <w:t>Perfluorohexanoic</w:t>
            </w:r>
            <w:proofErr w:type="spellEnd"/>
            <w:r w:rsidRPr="00113CF3">
              <w:rPr>
                <w:sz w:val="18"/>
                <w:szCs w:val="18"/>
              </w:rPr>
              <w:t xml:space="preserve"> acid</w:t>
            </w:r>
            <w:r>
              <w:rPr>
                <w:sz w:val="18"/>
                <w:szCs w:val="18"/>
              </w:rPr>
              <w:t xml:space="preserve"> (</w:t>
            </w:r>
            <w:proofErr w:type="spellStart"/>
            <w:r>
              <w:rPr>
                <w:sz w:val="18"/>
                <w:szCs w:val="18"/>
              </w:rPr>
              <w:t>PFHxA</w:t>
            </w:r>
            <w:proofErr w:type="spellEnd"/>
            <w:r>
              <w:rPr>
                <w:sz w:val="18"/>
                <w:szCs w:val="18"/>
              </w:rPr>
              <w:t>)</w:t>
            </w:r>
          </w:p>
        </w:tc>
        <w:tc>
          <w:tcPr>
            <w:tcW w:w="1170" w:type="dxa"/>
            <w:tcBorders>
              <w:top w:val="single" w:sz="4" w:space="0" w:color="000000"/>
              <w:left w:val="single" w:sz="12" w:space="0" w:color="000000"/>
              <w:bottom w:val="single" w:sz="4" w:space="0" w:color="000000"/>
              <w:right w:val="single" w:sz="12" w:space="0" w:color="000000"/>
            </w:tcBorders>
            <w:vAlign w:val="center"/>
          </w:tcPr>
          <w:p w14:paraId="20457F07" w14:textId="6E2310D7" w:rsidR="00AE16B8" w:rsidRPr="00A22220" w:rsidRDefault="00AE16B8" w:rsidP="00D65E54">
            <w:pPr>
              <w:spacing w:after="0" w:line="259" w:lineRule="auto"/>
              <w:ind w:left="0" w:right="44" w:firstLine="0"/>
              <w:jc w:val="center"/>
              <w:rPr>
                <w:sz w:val="18"/>
                <w:szCs w:val="18"/>
              </w:rPr>
            </w:pPr>
            <w:r>
              <w:rPr>
                <w:sz w:val="18"/>
                <w:szCs w:val="18"/>
              </w:rPr>
              <w:t>307-24-4</w:t>
            </w:r>
          </w:p>
        </w:tc>
        <w:tc>
          <w:tcPr>
            <w:tcW w:w="1170" w:type="dxa"/>
            <w:tcBorders>
              <w:top w:val="single" w:sz="4" w:space="0" w:color="000000"/>
              <w:left w:val="single" w:sz="12" w:space="0" w:color="000000"/>
              <w:bottom w:val="single" w:sz="4" w:space="0" w:color="000000"/>
              <w:right w:val="single" w:sz="12" w:space="0" w:color="000000"/>
            </w:tcBorders>
            <w:vAlign w:val="center"/>
          </w:tcPr>
          <w:p w14:paraId="2526ED23" w14:textId="001CAFFE" w:rsidR="00AE16B8" w:rsidRPr="00FC6080" w:rsidRDefault="00AE16B8" w:rsidP="00D65E54">
            <w:pPr>
              <w:tabs>
                <w:tab w:val="center" w:pos="534"/>
              </w:tabs>
              <w:spacing w:after="0" w:line="259" w:lineRule="auto"/>
              <w:ind w:left="0" w:right="0" w:firstLine="0"/>
              <w:jc w:val="center"/>
              <w:rPr>
                <w:sz w:val="18"/>
                <w:szCs w:val="18"/>
              </w:rPr>
            </w:pPr>
            <w:r w:rsidRPr="00FC6080">
              <w:rPr>
                <w:sz w:val="18"/>
                <w:szCs w:val="18"/>
              </w:rPr>
              <w:t>1.7</w:t>
            </w:r>
          </w:p>
        </w:tc>
        <w:tc>
          <w:tcPr>
            <w:tcW w:w="810" w:type="dxa"/>
            <w:tcBorders>
              <w:top w:val="single" w:sz="4" w:space="0" w:color="000000"/>
              <w:left w:val="single" w:sz="12" w:space="0" w:color="000000"/>
              <w:bottom w:val="single" w:sz="4" w:space="0" w:color="000000"/>
              <w:right w:val="single" w:sz="12" w:space="0" w:color="000000"/>
            </w:tcBorders>
            <w:vAlign w:val="center"/>
          </w:tcPr>
          <w:p w14:paraId="61641707" w14:textId="7B1C2CE8" w:rsidR="00AE16B8" w:rsidRPr="00A22220" w:rsidRDefault="00AE16B8" w:rsidP="00BA5B04">
            <w:pPr>
              <w:spacing w:after="0" w:line="259" w:lineRule="auto"/>
              <w:ind w:left="0" w:right="44" w:firstLine="0"/>
              <w:jc w:val="center"/>
              <w:rPr>
                <w:sz w:val="18"/>
                <w:szCs w:val="18"/>
              </w:rPr>
            </w:pPr>
            <w:r w:rsidRPr="00ED4768">
              <w:rPr>
                <w:sz w:val="18"/>
                <w:szCs w:val="18"/>
              </w:rPr>
              <w:t>ng/L</w:t>
            </w:r>
          </w:p>
        </w:tc>
        <w:tc>
          <w:tcPr>
            <w:tcW w:w="720" w:type="dxa"/>
            <w:tcBorders>
              <w:top w:val="single" w:sz="4" w:space="0" w:color="000000"/>
              <w:left w:val="single" w:sz="12" w:space="0" w:color="000000"/>
              <w:bottom w:val="single" w:sz="4" w:space="0" w:color="000000"/>
              <w:right w:val="single" w:sz="12" w:space="0" w:color="auto"/>
            </w:tcBorders>
            <w:vAlign w:val="center"/>
          </w:tcPr>
          <w:p w14:paraId="57D4540A" w14:textId="0DC3C42E" w:rsidR="00AE16B8" w:rsidRPr="00A22220" w:rsidRDefault="00AE16B8" w:rsidP="00BA5B04">
            <w:pPr>
              <w:tabs>
                <w:tab w:val="center" w:pos="354"/>
              </w:tabs>
              <w:spacing w:after="0" w:line="259" w:lineRule="auto"/>
              <w:ind w:left="0" w:right="0" w:firstLine="0"/>
              <w:jc w:val="center"/>
              <w:rPr>
                <w:sz w:val="18"/>
                <w:szCs w:val="18"/>
              </w:rPr>
            </w:pPr>
            <w:r w:rsidRPr="00426058">
              <w:rPr>
                <w:sz w:val="18"/>
                <w:szCs w:val="18"/>
              </w:rPr>
              <w:t>N/A</w:t>
            </w:r>
          </w:p>
        </w:tc>
        <w:tc>
          <w:tcPr>
            <w:tcW w:w="900" w:type="dxa"/>
            <w:tcBorders>
              <w:top w:val="single" w:sz="4" w:space="0" w:color="auto"/>
              <w:left w:val="single" w:sz="12" w:space="0" w:color="auto"/>
              <w:bottom w:val="single" w:sz="4" w:space="0" w:color="auto"/>
              <w:right w:val="single" w:sz="12" w:space="0" w:color="000000"/>
            </w:tcBorders>
            <w:vAlign w:val="center"/>
          </w:tcPr>
          <w:p w14:paraId="07A8DE13" w14:textId="2F2D943D" w:rsidR="00AE16B8" w:rsidRPr="00A22220" w:rsidRDefault="00AE16B8" w:rsidP="00BA5B04">
            <w:pPr>
              <w:spacing w:after="0" w:line="259" w:lineRule="auto"/>
              <w:ind w:left="0" w:right="46" w:firstLine="0"/>
              <w:jc w:val="center"/>
              <w:rPr>
                <w:sz w:val="18"/>
                <w:szCs w:val="18"/>
              </w:rPr>
            </w:pPr>
            <w:r w:rsidRPr="006A4FA4">
              <w:rPr>
                <w:sz w:val="18"/>
                <w:szCs w:val="18"/>
              </w:rPr>
              <w:t>N/A</w:t>
            </w:r>
          </w:p>
        </w:tc>
        <w:tc>
          <w:tcPr>
            <w:tcW w:w="1440" w:type="dxa"/>
            <w:tcBorders>
              <w:top w:val="single" w:sz="4" w:space="0" w:color="000000"/>
              <w:left w:val="single" w:sz="12" w:space="0" w:color="000000"/>
              <w:bottom w:val="single" w:sz="4" w:space="0" w:color="000000"/>
              <w:right w:val="single" w:sz="12" w:space="0" w:color="000000"/>
            </w:tcBorders>
            <w:vAlign w:val="center"/>
          </w:tcPr>
          <w:p w14:paraId="745C3B97" w14:textId="54F0F24E" w:rsidR="00AE16B8" w:rsidRPr="00A22220" w:rsidRDefault="00AE16B8" w:rsidP="00BA5B04">
            <w:pPr>
              <w:spacing w:after="0" w:line="259" w:lineRule="auto"/>
              <w:ind w:left="0" w:right="45" w:firstLine="0"/>
              <w:jc w:val="center"/>
              <w:rPr>
                <w:sz w:val="18"/>
                <w:szCs w:val="18"/>
              </w:rPr>
            </w:pPr>
            <w:r w:rsidRPr="008F1026">
              <w:rPr>
                <w:sz w:val="18"/>
                <w:szCs w:val="18"/>
              </w:rPr>
              <w:t>537.1</w:t>
            </w:r>
          </w:p>
        </w:tc>
      </w:tr>
      <w:tr w:rsidR="00C84A5D" w:rsidRPr="00A22220" w14:paraId="5BC8B43D" w14:textId="77777777" w:rsidTr="00C23B62">
        <w:trPr>
          <w:trHeight w:val="250"/>
        </w:trPr>
        <w:tc>
          <w:tcPr>
            <w:tcW w:w="4320" w:type="dxa"/>
            <w:tcBorders>
              <w:top w:val="single" w:sz="4" w:space="0" w:color="000000"/>
              <w:left w:val="single" w:sz="12" w:space="0" w:color="000000"/>
              <w:bottom w:val="single" w:sz="4" w:space="0" w:color="000000"/>
              <w:right w:val="single" w:sz="12" w:space="0" w:color="000000"/>
            </w:tcBorders>
            <w:vAlign w:val="center"/>
          </w:tcPr>
          <w:p w14:paraId="4AF6684E" w14:textId="536E505A" w:rsidR="00AE16B8" w:rsidRPr="00A22220" w:rsidRDefault="00AE16B8" w:rsidP="00D65E54">
            <w:pPr>
              <w:spacing w:after="0" w:line="259" w:lineRule="auto"/>
              <w:ind w:left="0" w:right="0" w:firstLine="0"/>
              <w:rPr>
                <w:sz w:val="18"/>
                <w:szCs w:val="18"/>
              </w:rPr>
            </w:pPr>
            <w:proofErr w:type="spellStart"/>
            <w:r w:rsidRPr="00540C0D">
              <w:rPr>
                <w:sz w:val="18"/>
                <w:szCs w:val="18"/>
              </w:rPr>
              <w:t>Perfluorononanoic</w:t>
            </w:r>
            <w:proofErr w:type="spellEnd"/>
            <w:r w:rsidRPr="00540C0D">
              <w:rPr>
                <w:sz w:val="18"/>
                <w:szCs w:val="18"/>
              </w:rPr>
              <w:t xml:space="preserve"> acid</w:t>
            </w:r>
            <w:r>
              <w:rPr>
                <w:sz w:val="18"/>
                <w:szCs w:val="18"/>
              </w:rPr>
              <w:t xml:space="preserve"> (PFNA)</w:t>
            </w:r>
          </w:p>
        </w:tc>
        <w:tc>
          <w:tcPr>
            <w:tcW w:w="1170" w:type="dxa"/>
            <w:tcBorders>
              <w:top w:val="single" w:sz="4" w:space="0" w:color="000000"/>
              <w:left w:val="single" w:sz="12" w:space="0" w:color="000000"/>
              <w:bottom w:val="single" w:sz="4" w:space="0" w:color="000000"/>
              <w:right w:val="single" w:sz="12" w:space="0" w:color="000000"/>
            </w:tcBorders>
            <w:vAlign w:val="center"/>
          </w:tcPr>
          <w:p w14:paraId="6A0C5B2A" w14:textId="524756E3" w:rsidR="00AE16B8" w:rsidRPr="00A22220" w:rsidRDefault="00AE16B8" w:rsidP="00D65E54">
            <w:pPr>
              <w:spacing w:after="0" w:line="259" w:lineRule="auto"/>
              <w:ind w:left="0" w:right="44" w:firstLine="0"/>
              <w:jc w:val="center"/>
              <w:rPr>
                <w:sz w:val="18"/>
                <w:szCs w:val="18"/>
              </w:rPr>
            </w:pPr>
            <w:r>
              <w:rPr>
                <w:sz w:val="18"/>
                <w:szCs w:val="18"/>
              </w:rPr>
              <w:t>375-95-1</w:t>
            </w:r>
          </w:p>
        </w:tc>
        <w:tc>
          <w:tcPr>
            <w:tcW w:w="1170" w:type="dxa"/>
            <w:tcBorders>
              <w:top w:val="single" w:sz="4" w:space="0" w:color="000000"/>
              <w:left w:val="single" w:sz="12" w:space="0" w:color="000000"/>
              <w:bottom w:val="single" w:sz="4" w:space="0" w:color="000000"/>
              <w:right w:val="single" w:sz="12" w:space="0" w:color="000000"/>
            </w:tcBorders>
            <w:vAlign w:val="center"/>
          </w:tcPr>
          <w:p w14:paraId="77124A7F" w14:textId="2BD35869" w:rsidR="00AE16B8" w:rsidRPr="00E50FA6" w:rsidRDefault="00AE16B8" w:rsidP="00D65E54">
            <w:pPr>
              <w:tabs>
                <w:tab w:val="center" w:pos="534"/>
              </w:tabs>
              <w:spacing w:after="0" w:line="259" w:lineRule="auto"/>
              <w:ind w:left="0" w:right="0" w:firstLine="0"/>
              <w:jc w:val="center"/>
              <w:rPr>
                <w:sz w:val="18"/>
                <w:szCs w:val="18"/>
              </w:rPr>
            </w:pPr>
            <w:r w:rsidRPr="00E50FA6">
              <w:rPr>
                <w:sz w:val="18"/>
                <w:szCs w:val="18"/>
              </w:rPr>
              <w:t>0.83</w:t>
            </w:r>
          </w:p>
        </w:tc>
        <w:tc>
          <w:tcPr>
            <w:tcW w:w="810" w:type="dxa"/>
            <w:tcBorders>
              <w:top w:val="single" w:sz="4" w:space="0" w:color="000000"/>
              <w:left w:val="single" w:sz="12" w:space="0" w:color="000000"/>
              <w:bottom w:val="single" w:sz="4" w:space="0" w:color="000000"/>
              <w:right w:val="single" w:sz="12" w:space="0" w:color="000000"/>
            </w:tcBorders>
            <w:vAlign w:val="center"/>
          </w:tcPr>
          <w:p w14:paraId="13C0EE17" w14:textId="02148590" w:rsidR="00AE16B8" w:rsidRPr="00A22220" w:rsidRDefault="00AE16B8" w:rsidP="00BA5B04">
            <w:pPr>
              <w:spacing w:after="0" w:line="259" w:lineRule="auto"/>
              <w:ind w:left="0" w:right="44" w:firstLine="0"/>
              <w:jc w:val="center"/>
              <w:rPr>
                <w:sz w:val="18"/>
                <w:szCs w:val="18"/>
              </w:rPr>
            </w:pPr>
            <w:r w:rsidRPr="00ED4768">
              <w:rPr>
                <w:sz w:val="18"/>
                <w:szCs w:val="18"/>
              </w:rPr>
              <w:t>ng/L</w:t>
            </w:r>
          </w:p>
        </w:tc>
        <w:tc>
          <w:tcPr>
            <w:tcW w:w="720" w:type="dxa"/>
            <w:tcBorders>
              <w:top w:val="single" w:sz="4" w:space="0" w:color="000000"/>
              <w:left w:val="single" w:sz="12" w:space="0" w:color="000000"/>
              <w:bottom w:val="single" w:sz="4" w:space="0" w:color="000000"/>
              <w:right w:val="single" w:sz="12" w:space="0" w:color="000000"/>
            </w:tcBorders>
            <w:vAlign w:val="center"/>
          </w:tcPr>
          <w:p w14:paraId="6B7A96E2" w14:textId="2A49BFC0" w:rsidR="00AE16B8" w:rsidRPr="00A22220" w:rsidRDefault="00AE16B8" w:rsidP="00BA5B04">
            <w:pPr>
              <w:tabs>
                <w:tab w:val="center" w:pos="354"/>
              </w:tabs>
              <w:spacing w:after="0" w:line="259" w:lineRule="auto"/>
              <w:ind w:left="0" w:right="0" w:firstLine="0"/>
              <w:jc w:val="center"/>
              <w:rPr>
                <w:sz w:val="18"/>
                <w:szCs w:val="18"/>
              </w:rPr>
            </w:pPr>
            <w:r w:rsidRPr="00426058">
              <w:rPr>
                <w:sz w:val="18"/>
                <w:szCs w:val="18"/>
              </w:rPr>
              <w:t>N/A</w:t>
            </w:r>
          </w:p>
        </w:tc>
        <w:tc>
          <w:tcPr>
            <w:tcW w:w="900" w:type="dxa"/>
            <w:tcBorders>
              <w:top w:val="single" w:sz="4" w:space="0" w:color="auto"/>
              <w:left w:val="single" w:sz="12" w:space="0" w:color="000000"/>
              <w:bottom w:val="single" w:sz="4" w:space="0" w:color="000000"/>
              <w:right w:val="single" w:sz="12" w:space="0" w:color="000000"/>
            </w:tcBorders>
            <w:vAlign w:val="center"/>
          </w:tcPr>
          <w:p w14:paraId="58FB5496" w14:textId="4EBD9A5C" w:rsidR="00AE16B8" w:rsidRPr="00A22220" w:rsidRDefault="00AE16B8" w:rsidP="00BA5B04">
            <w:pPr>
              <w:spacing w:after="0" w:line="259" w:lineRule="auto"/>
              <w:ind w:left="0" w:right="46" w:firstLine="0"/>
              <w:jc w:val="center"/>
              <w:rPr>
                <w:sz w:val="18"/>
                <w:szCs w:val="18"/>
              </w:rPr>
            </w:pPr>
            <w:r w:rsidRPr="006A4FA4">
              <w:rPr>
                <w:sz w:val="18"/>
                <w:szCs w:val="18"/>
              </w:rPr>
              <w:t>N/A</w:t>
            </w:r>
          </w:p>
        </w:tc>
        <w:tc>
          <w:tcPr>
            <w:tcW w:w="1440" w:type="dxa"/>
            <w:tcBorders>
              <w:top w:val="single" w:sz="4" w:space="0" w:color="000000"/>
              <w:left w:val="single" w:sz="12" w:space="0" w:color="000000"/>
              <w:bottom w:val="single" w:sz="4" w:space="0" w:color="000000"/>
              <w:right w:val="single" w:sz="12" w:space="0" w:color="000000"/>
            </w:tcBorders>
            <w:vAlign w:val="center"/>
          </w:tcPr>
          <w:p w14:paraId="3CE8DB54" w14:textId="3A8C7992" w:rsidR="00AE16B8" w:rsidRPr="00A22220" w:rsidRDefault="00AE16B8" w:rsidP="00BA5B04">
            <w:pPr>
              <w:spacing w:after="0" w:line="259" w:lineRule="auto"/>
              <w:ind w:left="0" w:right="45" w:firstLine="0"/>
              <w:jc w:val="center"/>
              <w:rPr>
                <w:sz w:val="18"/>
                <w:szCs w:val="18"/>
              </w:rPr>
            </w:pPr>
            <w:r w:rsidRPr="008F1026">
              <w:rPr>
                <w:sz w:val="18"/>
                <w:szCs w:val="18"/>
              </w:rPr>
              <w:t>537.1</w:t>
            </w:r>
          </w:p>
        </w:tc>
      </w:tr>
      <w:tr w:rsidR="001E30AA" w:rsidRPr="00A22220" w14:paraId="5363E254" w14:textId="77777777" w:rsidTr="00C23B62">
        <w:trPr>
          <w:trHeight w:val="252"/>
        </w:trPr>
        <w:tc>
          <w:tcPr>
            <w:tcW w:w="4320" w:type="dxa"/>
            <w:tcBorders>
              <w:top w:val="single" w:sz="4" w:space="0" w:color="000000"/>
              <w:left w:val="single" w:sz="12" w:space="0" w:color="000000"/>
              <w:bottom w:val="single" w:sz="4" w:space="0" w:color="000000"/>
              <w:right w:val="single" w:sz="12" w:space="0" w:color="000000"/>
            </w:tcBorders>
            <w:vAlign w:val="center"/>
          </w:tcPr>
          <w:p w14:paraId="3DB7655F" w14:textId="7D046DBE" w:rsidR="00AE16B8" w:rsidRPr="00A22220" w:rsidRDefault="00AE16B8" w:rsidP="00D65E54">
            <w:pPr>
              <w:spacing w:after="0" w:line="259" w:lineRule="auto"/>
              <w:ind w:left="0" w:right="0" w:firstLine="0"/>
              <w:rPr>
                <w:sz w:val="18"/>
                <w:szCs w:val="18"/>
              </w:rPr>
            </w:pPr>
            <w:proofErr w:type="spellStart"/>
            <w:r w:rsidRPr="00380F7C">
              <w:rPr>
                <w:sz w:val="18"/>
                <w:szCs w:val="18"/>
              </w:rPr>
              <w:t>Perfluorooctanesulfonic</w:t>
            </w:r>
            <w:proofErr w:type="spellEnd"/>
            <w:r w:rsidRPr="00380F7C">
              <w:rPr>
                <w:sz w:val="18"/>
                <w:szCs w:val="18"/>
              </w:rPr>
              <w:t xml:space="preserve"> acid</w:t>
            </w:r>
            <w:r>
              <w:rPr>
                <w:sz w:val="18"/>
                <w:szCs w:val="18"/>
              </w:rPr>
              <w:t xml:space="preserve"> (PFOS)</w:t>
            </w:r>
          </w:p>
        </w:tc>
        <w:tc>
          <w:tcPr>
            <w:tcW w:w="1170" w:type="dxa"/>
            <w:tcBorders>
              <w:top w:val="single" w:sz="4" w:space="0" w:color="000000"/>
              <w:left w:val="single" w:sz="12" w:space="0" w:color="000000"/>
              <w:bottom w:val="single" w:sz="4" w:space="0" w:color="000000"/>
              <w:right w:val="single" w:sz="12" w:space="0" w:color="000000"/>
            </w:tcBorders>
            <w:vAlign w:val="center"/>
          </w:tcPr>
          <w:p w14:paraId="3FB8C5DA" w14:textId="78E810D6" w:rsidR="00AE16B8" w:rsidRPr="00A22220" w:rsidRDefault="00AE16B8" w:rsidP="00D65E54">
            <w:pPr>
              <w:spacing w:after="0" w:line="259" w:lineRule="auto"/>
              <w:ind w:left="0" w:right="44" w:firstLine="0"/>
              <w:jc w:val="center"/>
              <w:rPr>
                <w:sz w:val="18"/>
                <w:szCs w:val="18"/>
              </w:rPr>
            </w:pPr>
            <w:r>
              <w:rPr>
                <w:sz w:val="18"/>
                <w:szCs w:val="18"/>
              </w:rPr>
              <w:t>1763-23-1</w:t>
            </w:r>
          </w:p>
        </w:tc>
        <w:tc>
          <w:tcPr>
            <w:tcW w:w="1170" w:type="dxa"/>
            <w:tcBorders>
              <w:top w:val="single" w:sz="4" w:space="0" w:color="000000"/>
              <w:left w:val="single" w:sz="12" w:space="0" w:color="000000"/>
              <w:bottom w:val="single" w:sz="4" w:space="0" w:color="000000"/>
              <w:right w:val="single" w:sz="12" w:space="0" w:color="000000"/>
            </w:tcBorders>
            <w:vAlign w:val="center"/>
          </w:tcPr>
          <w:p w14:paraId="2E8B1BF4" w14:textId="4FE13983" w:rsidR="00AE16B8" w:rsidRPr="00E50FA6" w:rsidRDefault="00AE16B8" w:rsidP="00D65E54">
            <w:pPr>
              <w:tabs>
                <w:tab w:val="center" w:pos="534"/>
              </w:tabs>
              <w:spacing w:after="0" w:line="259" w:lineRule="auto"/>
              <w:ind w:left="0" w:right="0" w:firstLine="0"/>
              <w:jc w:val="center"/>
              <w:rPr>
                <w:sz w:val="18"/>
                <w:szCs w:val="18"/>
              </w:rPr>
            </w:pPr>
            <w:r w:rsidRPr="00E50FA6">
              <w:rPr>
                <w:sz w:val="18"/>
                <w:szCs w:val="18"/>
              </w:rPr>
              <w:t>2.7</w:t>
            </w:r>
          </w:p>
        </w:tc>
        <w:tc>
          <w:tcPr>
            <w:tcW w:w="810" w:type="dxa"/>
            <w:tcBorders>
              <w:top w:val="single" w:sz="4" w:space="0" w:color="000000"/>
              <w:left w:val="single" w:sz="12" w:space="0" w:color="000000"/>
              <w:bottom w:val="single" w:sz="4" w:space="0" w:color="000000"/>
              <w:right w:val="single" w:sz="12" w:space="0" w:color="000000"/>
            </w:tcBorders>
            <w:vAlign w:val="center"/>
          </w:tcPr>
          <w:p w14:paraId="29BC3EBA" w14:textId="0BBD05C0" w:rsidR="00AE16B8" w:rsidRPr="00A22220" w:rsidRDefault="00AE16B8" w:rsidP="00BA5B04">
            <w:pPr>
              <w:spacing w:after="0" w:line="259" w:lineRule="auto"/>
              <w:ind w:left="0" w:right="44" w:firstLine="0"/>
              <w:jc w:val="center"/>
              <w:rPr>
                <w:sz w:val="18"/>
                <w:szCs w:val="18"/>
              </w:rPr>
            </w:pPr>
            <w:r w:rsidRPr="00A22220">
              <w:rPr>
                <w:sz w:val="18"/>
                <w:szCs w:val="18"/>
              </w:rPr>
              <w:t>ng/L</w:t>
            </w:r>
          </w:p>
        </w:tc>
        <w:tc>
          <w:tcPr>
            <w:tcW w:w="720" w:type="dxa"/>
            <w:tcBorders>
              <w:top w:val="single" w:sz="4" w:space="0" w:color="000000"/>
              <w:left w:val="single" w:sz="12" w:space="0" w:color="000000"/>
              <w:bottom w:val="single" w:sz="4" w:space="0" w:color="000000"/>
              <w:right w:val="single" w:sz="12" w:space="0" w:color="000000"/>
            </w:tcBorders>
            <w:vAlign w:val="center"/>
          </w:tcPr>
          <w:p w14:paraId="35BF2C4E" w14:textId="6A4DF493" w:rsidR="00AE16B8" w:rsidRPr="00A22220" w:rsidRDefault="00AE16B8" w:rsidP="00BA5B04">
            <w:pPr>
              <w:tabs>
                <w:tab w:val="center" w:pos="354"/>
              </w:tabs>
              <w:spacing w:after="0" w:line="259" w:lineRule="auto"/>
              <w:ind w:left="0" w:right="0" w:firstLine="0"/>
              <w:jc w:val="center"/>
              <w:rPr>
                <w:sz w:val="18"/>
                <w:szCs w:val="18"/>
              </w:rPr>
            </w:pPr>
            <w:r w:rsidRPr="00426058">
              <w:rPr>
                <w:sz w:val="18"/>
                <w:szCs w:val="18"/>
              </w:rPr>
              <w:t>N/A</w:t>
            </w:r>
          </w:p>
        </w:tc>
        <w:tc>
          <w:tcPr>
            <w:tcW w:w="900" w:type="dxa"/>
            <w:tcBorders>
              <w:top w:val="single" w:sz="4" w:space="0" w:color="000000"/>
              <w:left w:val="single" w:sz="12" w:space="0" w:color="000000"/>
              <w:bottom w:val="single" w:sz="4" w:space="0" w:color="000000"/>
              <w:right w:val="single" w:sz="12" w:space="0" w:color="000000"/>
            </w:tcBorders>
            <w:vAlign w:val="center"/>
          </w:tcPr>
          <w:p w14:paraId="021371CC" w14:textId="1A300368" w:rsidR="00AE16B8" w:rsidRPr="00A22220" w:rsidRDefault="00AE16B8" w:rsidP="00BA5B04">
            <w:pPr>
              <w:spacing w:after="0" w:line="259" w:lineRule="auto"/>
              <w:ind w:left="0" w:right="46" w:firstLine="0"/>
              <w:jc w:val="center"/>
              <w:rPr>
                <w:sz w:val="18"/>
                <w:szCs w:val="18"/>
              </w:rPr>
            </w:pPr>
            <w:r w:rsidRPr="006A4FA4">
              <w:rPr>
                <w:sz w:val="18"/>
                <w:szCs w:val="18"/>
              </w:rPr>
              <w:t>N/A</w:t>
            </w:r>
          </w:p>
        </w:tc>
        <w:tc>
          <w:tcPr>
            <w:tcW w:w="1440" w:type="dxa"/>
            <w:tcBorders>
              <w:top w:val="single" w:sz="4" w:space="0" w:color="000000"/>
              <w:left w:val="single" w:sz="12" w:space="0" w:color="000000"/>
              <w:bottom w:val="single" w:sz="4" w:space="0" w:color="000000"/>
              <w:right w:val="single" w:sz="12" w:space="0" w:color="000000"/>
            </w:tcBorders>
            <w:vAlign w:val="center"/>
          </w:tcPr>
          <w:p w14:paraId="3F016132" w14:textId="3A20AAB5" w:rsidR="00AE16B8" w:rsidRPr="00A22220" w:rsidRDefault="00AE16B8" w:rsidP="00BA5B04">
            <w:pPr>
              <w:spacing w:after="0" w:line="259" w:lineRule="auto"/>
              <w:ind w:left="0" w:right="45" w:firstLine="0"/>
              <w:jc w:val="center"/>
              <w:rPr>
                <w:sz w:val="18"/>
                <w:szCs w:val="18"/>
              </w:rPr>
            </w:pPr>
            <w:r w:rsidRPr="008F1026">
              <w:rPr>
                <w:sz w:val="18"/>
                <w:szCs w:val="18"/>
              </w:rPr>
              <w:t>537.1</w:t>
            </w:r>
          </w:p>
        </w:tc>
      </w:tr>
      <w:tr w:rsidR="001E30AA" w:rsidRPr="00A22220" w14:paraId="12EC4339" w14:textId="77777777" w:rsidTr="00C23B62">
        <w:trPr>
          <w:trHeight w:val="250"/>
        </w:trPr>
        <w:tc>
          <w:tcPr>
            <w:tcW w:w="4320" w:type="dxa"/>
            <w:tcBorders>
              <w:top w:val="single" w:sz="4" w:space="0" w:color="000000"/>
              <w:left w:val="single" w:sz="12" w:space="0" w:color="000000"/>
              <w:bottom w:val="single" w:sz="4" w:space="0" w:color="000000"/>
              <w:right w:val="single" w:sz="12" w:space="0" w:color="000000"/>
            </w:tcBorders>
            <w:vAlign w:val="center"/>
          </w:tcPr>
          <w:p w14:paraId="39EE985E" w14:textId="4B5074D9" w:rsidR="00AE16B8" w:rsidRPr="00A22220" w:rsidRDefault="00AE16B8" w:rsidP="00D65E54">
            <w:pPr>
              <w:spacing w:after="0" w:line="259" w:lineRule="auto"/>
              <w:ind w:left="0" w:right="0" w:firstLine="0"/>
              <w:rPr>
                <w:sz w:val="18"/>
                <w:szCs w:val="18"/>
              </w:rPr>
            </w:pPr>
            <w:r w:rsidRPr="000653CB">
              <w:rPr>
                <w:sz w:val="18"/>
                <w:szCs w:val="18"/>
              </w:rPr>
              <w:t>Perfluorooctanoic acid</w:t>
            </w:r>
            <w:r>
              <w:rPr>
                <w:sz w:val="18"/>
                <w:szCs w:val="18"/>
              </w:rPr>
              <w:t xml:space="preserve"> (PFOA)</w:t>
            </w:r>
          </w:p>
        </w:tc>
        <w:tc>
          <w:tcPr>
            <w:tcW w:w="1170" w:type="dxa"/>
            <w:tcBorders>
              <w:top w:val="single" w:sz="4" w:space="0" w:color="000000"/>
              <w:left w:val="single" w:sz="12" w:space="0" w:color="000000"/>
              <w:bottom w:val="single" w:sz="4" w:space="0" w:color="000000"/>
              <w:right w:val="single" w:sz="12" w:space="0" w:color="000000"/>
            </w:tcBorders>
            <w:vAlign w:val="center"/>
          </w:tcPr>
          <w:p w14:paraId="11581E8D" w14:textId="7740C0D4" w:rsidR="00AE16B8" w:rsidRPr="00A22220" w:rsidRDefault="00AE16B8" w:rsidP="00D65E54">
            <w:pPr>
              <w:spacing w:after="0" w:line="259" w:lineRule="auto"/>
              <w:ind w:left="0" w:right="44" w:firstLine="0"/>
              <w:jc w:val="center"/>
              <w:rPr>
                <w:sz w:val="18"/>
                <w:szCs w:val="18"/>
              </w:rPr>
            </w:pPr>
            <w:r>
              <w:rPr>
                <w:sz w:val="18"/>
                <w:szCs w:val="18"/>
              </w:rPr>
              <w:t>335-67-1</w:t>
            </w:r>
          </w:p>
        </w:tc>
        <w:tc>
          <w:tcPr>
            <w:tcW w:w="1170" w:type="dxa"/>
            <w:tcBorders>
              <w:top w:val="single" w:sz="4" w:space="0" w:color="000000"/>
              <w:left w:val="single" w:sz="12" w:space="0" w:color="000000"/>
              <w:bottom w:val="single" w:sz="4" w:space="0" w:color="000000"/>
              <w:right w:val="single" w:sz="12" w:space="0" w:color="000000"/>
            </w:tcBorders>
            <w:vAlign w:val="center"/>
          </w:tcPr>
          <w:p w14:paraId="7C98B6E0" w14:textId="63C12237" w:rsidR="00AE16B8" w:rsidRPr="00E50FA6" w:rsidRDefault="00AE16B8" w:rsidP="00D65E54">
            <w:pPr>
              <w:tabs>
                <w:tab w:val="center" w:pos="488"/>
              </w:tabs>
              <w:spacing w:after="0" w:line="259" w:lineRule="auto"/>
              <w:ind w:left="0" w:right="0" w:firstLine="0"/>
              <w:jc w:val="center"/>
              <w:rPr>
                <w:sz w:val="18"/>
                <w:szCs w:val="18"/>
              </w:rPr>
            </w:pPr>
            <w:r w:rsidRPr="00E50FA6">
              <w:rPr>
                <w:sz w:val="18"/>
                <w:szCs w:val="18"/>
              </w:rPr>
              <w:t>0.82</w:t>
            </w:r>
          </w:p>
        </w:tc>
        <w:tc>
          <w:tcPr>
            <w:tcW w:w="810" w:type="dxa"/>
            <w:tcBorders>
              <w:top w:val="single" w:sz="4" w:space="0" w:color="000000"/>
              <w:left w:val="single" w:sz="12" w:space="0" w:color="000000"/>
              <w:bottom w:val="single" w:sz="4" w:space="0" w:color="000000"/>
              <w:right w:val="single" w:sz="12" w:space="0" w:color="000000"/>
            </w:tcBorders>
            <w:vAlign w:val="center"/>
          </w:tcPr>
          <w:p w14:paraId="09AC9D4C" w14:textId="0DB815C4" w:rsidR="00AE16B8" w:rsidRPr="00A22220" w:rsidRDefault="00AE16B8" w:rsidP="00BA5B04">
            <w:pPr>
              <w:spacing w:after="0" w:line="259" w:lineRule="auto"/>
              <w:ind w:left="0" w:right="44" w:firstLine="0"/>
              <w:jc w:val="center"/>
              <w:rPr>
                <w:sz w:val="18"/>
                <w:szCs w:val="18"/>
              </w:rPr>
            </w:pPr>
            <w:r w:rsidRPr="00A22220">
              <w:rPr>
                <w:sz w:val="18"/>
                <w:szCs w:val="18"/>
              </w:rPr>
              <w:t>ng/L</w:t>
            </w:r>
          </w:p>
        </w:tc>
        <w:tc>
          <w:tcPr>
            <w:tcW w:w="720" w:type="dxa"/>
            <w:tcBorders>
              <w:top w:val="single" w:sz="4" w:space="0" w:color="000000"/>
              <w:left w:val="single" w:sz="12" w:space="0" w:color="000000"/>
              <w:bottom w:val="single" w:sz="4" w:space="0" w:color="000000"/>
              <w:right w:val="single" w:sz="12" w:space="0" w:color="000000"/>
            </w:tcBorders>
            <w:vAlign w:val="center"/>
          </w:tcPr>
          <w:p w14:paraId="3E1B3211" w14:textId="4BACA4B6" w:rsidR="00AE16B8" w:rsidRPr="00A22220" w:rsidRDefault="00AE16B8" w:rsidP="00BA5B04">
            <w:pPr>
              <w:tabs>
                <w:tab w:val="center" w:pos="399"/>
              </w:tabs>
              <w:spacing w:after="0" w:line="259" w:lineRule="auto"/>
              <w:ind w:left="0" w:right="0" w:firstLine="0"/>
              <w:jc w:val="center"/>
              <w:rPr>
                <w:sz w:val="18"/>
                <w:szCs w:val="18"/>
              </w:rPr>
            </w:pPr>
            <w:r w:rsidRPr="00426058">
              <w:rPr>
                <w:sz w:val="18"/>
                <w:szCs w:val="18"/>
              </w:rPr>
              <w:t>N/A</w:t>
            </w:r>
          </w:p>
        </w:tc>
        <w:tc>
          <w:tcPr>
            <w:tcW w:w="900" w:type="dxa"/>
            <w:tcBorders>
              <w:top w:val="single" w:sz="4" w:space="0" w:color="000000"/>
              <w:left w:val="single" w:sz="12" w:space="0" w:color="000000"/>
              <w:bottom w:val="single" w:sz="4" w:space="0" w:color="000000"/>
              <w:right w:val="single" w:sz="12" w:space="0" w:color="000000"/>
            </w:tcBorders>
            <w:vAlign w:val="center"/>
          </w:tcPr>
          <w:p w14:paraId="345C9EA0" w14:textId="69303236" w:rsidR="00AE16B8" w:rsidRPr="00A22220" w:rsidRDefault="00AE16B8" w:rsidP="00BA5B04">
            <w:pPr>
              <w:spacing w:after="0" w:line="259" w:lineRule="auto"/>
              <w:ind w:left="0" w:right="46" w:firstLine="0"/>
              <w:jc w:val="center"/>
              <w:rPr>
                <w:sz w:val="18"/>
                <w:szCs w:val="18"/>
              </w:rPr>
            </w:pPr>
            <w:r w:rsidRPr="006A4FA4">
              <w:rPr>
                <w:sz w:val="18"/>
                <w:szCs w:val="18"/>
              </w:rPr>
              <w:t>N/A</w:t>
            </w:r>
          </w:p>
        </w:tc>
        <w:tc>
          <w:tcPr>
            <w:tcW w:w="1440" w:type="dxa"/>
            <w:tcBorders>
              <w:top w:val="single" w:sz="4" w:space="0" w:color="000000"/>
              <w:left w:val="single" w:sz="12" w:space="0" w:color="000000"/>
              <w:bottom w:val="single" w:sz="4" w:space="0" w:color="000000"/>
              <w:right w:val="single" w:sz="12" w:space="0" w:color="000000"/>
            </w:tcBorders>
            <w:vAlign w:val="center"/>
          </w:tcPr>
          <w:p w14:paraId="603E41E8" w14:textId="1241C556" w:rsidR="00AE16B8" w:rsidRPr="00A22220" w:rsidRDefault="00AE16B8" w:rsidP="00BA5B04">
            <w:pPr>
              <w:spacing w:after="0" w:line="259" w:lineRule="auto"/>
              <w:ind w:left="0" w:right="45" w:firstLine="0"/>
              <w:jc w:val="center"/>
              <w:rPr>
                <w:sz w:val="18"/>
                <w:szCs w:val="18"/>
              </w:rPr>
            </w:pPr>
            <w:r w:rsidRPr="008F1026">
              <w:rPr>
                <w:sz w:val="18"/>
                <w:szCs w:val="18"/>
              </w:rPr>
              <w:t>537.1</w:t>
            </w:r>
          </w:p>
        </w:tc>
      </w:tr>
      <w:tr w:rsidR="001E30AA" w:rsidRPr="00A22220" w14:paraId="4EA344C1" w14:textId="77777777" w:rsidTr="00C23B62">
        <w:trPr>
          <w:trHeight w:val="250"/>
        </w:trPr>
        <w:tc>
          <w:tcPr>
            <w:tcW w:w="4320" w:type="dxa"/>
            <w:tcBorders>
              <w:top w:val="single" w:sz="4" w:space="0" w:color="000000"/>
              <w:left w:val="single" w:sz="12" w:space="0" w:color="000000"/>
              <w:bottom w:val="single" w:sz="4" w:space="0" w:color="000000"/>
              <w:right w:val="single" w:sz="12" w:space="0" w:color="000000"/>
            </w:tcBorders>
            <w:vAlign w:val="center"/>
          </w:tcPr>
          <w:p w14:paraId="0CDB8AEC" w14:textId="11A93839" w:rsidR="00AE16B8" w:rsidRPr="00A22220" w:rsidRDefault="00AE16B8" w:rsidP="001E1D25">
            <w:pPr>
              <w:spacing w:after="0" w:line="259" w:lineRule="auto"/>
              <w:ind w:left="0" w:right="0" w:firstLine="0"/>
              <w:rPr>
                <w:sz w:val="18"/>
                <w:szCs w:val="18"/>
              </w:rPr>
            </w:pPr>
            <w:proofErr w:type="spellStart"/>
            <w:r w:rsidRPr="009307D0">
              <w:rPr>
                <w:sz w:val="18"/>
                <w:szCs w:val="18"/>
              </w:rPr>
              <w:t>Perfluorotetradecanoic</w:t>
            </w:r>
            <w:proofErr w:type="spellEnd"/>
            <w:r w:rsidRPr="009307D0">
              <w:rPr>
                <w:sz w:val="18"/>
                <w:szCs w:val="18"/>
              </w:rPr>
              <w:t xml:space="preserve"> acid</w:t>
            </w:r>
            <w:r>
              <w:rPr>
                <w:sz w:val="18"/>
                <w:szCs w:val="18"/>
              </w:rPr>
              <w:t xml:space="preserve"> (PFTA)</w:t>
            </w:r>
          </w:p>
        </w:tc>
        <w:tc>
          <w:tcPr>
            <w:tcW w:w="1170" w:type="dxa"/>
            <w:tcBorders>
              <w:top w:val="single" w:sz="4" w:space="0" w:color="000000"/>
              <w:left w:val="single" w:sz="12" w:space="0" w:color="000000"/>
              <w:bottom w:val="single" w:sz="4" w:space="0" w:color="000000"/>
              <w:right w:val="single" w:sz="12" w:space="0" w:color="000000"/>
            </w:tcBorders>
            <w:vAlign w:val="center"/>
          </w:tcPr>
          <w:p w14:paraId="5D6D2F76" w14:textId="7E0F4359" w:rsidR="00AE16B8" w:rsidRPr="00A22220" w:rsidRDefault="00AE16B8" w:rsidP="001E1D25">
            <w:pPr>
              <w:spacing w:after="0" w:line="259" w:lineRule="auto"/>
              <w:ind w:left="0" w:right="44" w:firstLine="0"/>
              <w:jc w:val="center"/>
              <w:rPr>
                <w:sz w:val="18"/>
                <w:szCs w:val="18"/>
              </w:rPr>
            </w:pPr>
            <w:r>
              <w:rPr>
                <w:sz w:val="18"/>
                <w:szCs w:val="18"/>
              </w:rPr>
              <w:t>376-06-7</w:t>
            </w:r>
          </w:p>
        </w:tc>
        <w:tc>
          <w:tcPr>
            <w:tcW w:w="1170" w:type="dxa"/>
            <w:tcBorders>
              <w:top w:val="single" w:sz="4" w:space="0" w:color="000000"/>
              <w:left w:val="single" w:sz="12" w:space="0" w:color="000000"/>
              <w:bottom w:val="single" w:sz="4" w:space="0" w:color="000000"/>
              <w:right w:val="single" w:sz="12" w:space="0" w:color="000000"/>
            </w:tcBorders>
            <w:vAlign w:val="center"/>
          </w:tcPr>
          <w:p w14:paraId="40C2B6C1" w14:textId="59147EB2" w:rsidR="00AE16B8" w:rsidRPr="00FC6080" w:rsidRDefault="00AE16B8" w:rsidP="001E1D25">
            <w:pPr>
              <w:tabs>
                <w:tab w:val="center" w:pos="534"/>
              </w:tabs>
              <w:spacing w:after="0" w:line="259" w:lineRule="auto"/>
              <w:ind w:left="0" w:right="0" w:firstLine="0"/>
              <w:jc w:val="center"/>
              <w:rPr>
                <w:sz w:val="18"/>
                <w:szCs w:val="18"/>
              </w:rPr>
            </w:pPr>
            <w:r w:rsidRPr="00FC6080">
              <w:rPr>
                <w:sz w:val="18"/>
                <w:szCs w:val="18"/>
              </w:rPr>
              <w:t>1.2</w:t>
            </w:r>
          </w:p>
        </w:tc>
        <w:tc>
          <w:tcPr>
            <w:tcW w:w="810" w:type="dxa"/>
            <w:tcBorders>
              <w:top w:val="single" w:sz="4" w:space="0" w:color="000000"/>
              <w:left w:val="single" w:sz="12" w:space="0" w:color="000000"/>
              <w:bottom w:val="single" w:sz="4" w:space="0" w:color="000000"/>
              <w:right w:val="single" w:sz="12" w:space="0" w:color="000000"/>
            </w:tcBorders>
            <w:vAlign w:val="center"/>
          </w:tcPr>
          <w:p w14:paraId="08E9F1BE" w14:textId="50B9AD3E" w:rsidR="00AE16B8" w:rsidRPr="00A22220" w:rsidRDefault="00AE16B8" w:rsidP="00BA5B04">
            <w:pPr>
              <w:spacing w:after="0" w:line="259" w:lineRule="auto"/>
              <w:ind w:left="0" w:right="44" w:firstLine="0"/>
              <w:jc w:val="center"/>
              <w:rPr>
                <w:sz w:val="18"/>
                <w:szCs w:val="18"/>
              </w:rPr>
            </w:pPr>
            <w:r w:rsidRPr="00ED4768">
              <w:rPr>
                <w:sz w:val="18"/>
                <w:szCs w:val="18"/>
              </w:rPr>
              <w:t>ng/L</w:t>
            </w:r>
          </w:p>
        </w:tc>
        <w:tc>
          <w:tcPr>
            <w:tcW w:w="720" w:type="dxa"/>
            <w:tcBorders>
              <w:top w:val="single" w:sz="4" w:space="0" w:color="000000"/>
              <w:left w:val="single" w:sz="12" w:space="0" w:color="000000"/>
              <w:bottom w:val="single" w:sz="4" w:space="0" w:color="000000"/>
              <w:right w:val="single" w:sz="12" w:space="0" w:color="000000"/>
            </w:tcBorders>
            <w:vAlign w:val="center"/>
          </w:tcPr>
          <w:p w14:paraId="11EBC185" w14:textId="3937B6E1" w:rsidR="00AE16B8" w:rsidRPr="00A22220" w:rsidRDefault="00AE16B8" w:rsidP="00BA5B04">
            <w:pPr>
              <w:tabs>
                <w:tab w:val="center" w:pos="445"/>
              </w:tabs>
              <w:spacing w:after="0" w:line="259" w:lineRule="auto"/>
              <w:ind w:left="0" w:right="0" w:firstLine="0"/>
              <w:jc w:val="center"/>
              <w:rPr>
                <w:sz w:val="18"/>
                <w:szCs w:val="18"/>
              </w:rPr>
            </w:pPr>
            <w:r w:rsidRPr="00426058">
              <w:rPr>
                <w:sz w:val="18"/>
                <w:szCs w:val="18"/>
              </w:rPr>
              <w:t>N/A</w:t>
            </w:r>
          </w:p>
        </w:tc>
        <w:tc>
          <w:tcPr>
            <w:tcW w:w="900" w:type="dxa"/>
            <w:tcBorders>
              <w:top w:val="single" w:sz="4" w:space="0" w:color="000000"/>
              <w:left w:val="single" w:sz="12" w:space="0" w:color="000000"/>
              <w:bottom w:val="single" w:sz="4" w:space="0" w:color="000000"/>
              <w:right w:val="single" w:sz="12" w:space="0" w:color="000000"/>
            </w:tcBorders>
            <w:vAlign w:val="center"/>
          </w:tcPr>
          <w:p w14:paraId="1C6BC756" w14:textId="0A718473" w:rsidR="00AE16B8" w:rsidRPr="00A22220" w:rsidRDefault="00AE16B8" w:rsidP="00BA5B04">
            <w:pPr>
              <w:spacing w:after="0" w:line="259" w:lineRule="auto"/>
              <w:ind w:left="0" w:right="46" w:firstLine="0"/>
              <w:jc w:val="center"/>
              <w:rPr>
                <w:sz w:val="18"/>
                <w:szCs w:val="18"/>
              </w:rPr>
            </w:pPr>
            <w:r w:rsidRPr="006A4FA4">
              <w:rPr>
                <w:sz w:val="18"/>
                <w:szCs w:val="18"/>
              </w:rPr>
              <w:t>N/A</w:t>
            </w:r>
          </w:p>
        </w:tc>
        <w:tc>
          <w:tcPr>
            <w:tcW w:w="1440" w:type="dxa"/>
            <w:tcBorders>
              <w:top w:val="single" w:sz="4" w:space="0" w:color="000000"/>
              <w:left w:val="single" w:sz="12" w:space="0" w:color="000000"/>
              <w:bottom w:val="single" w:sz="4" w:space="0" w:color="000000"/>
              <w:right w:val="single" w:sz="12" w:space="0" w:color="000000"/>
            </w:tcBorders>
            <w:vAlign w:val="center"/>
          </w:tcPr>
          <w:p w14:paraId="6DCAF4AC" w14:textId="003C3715" w:rsidR="00AE16B8" w:rsidRPr="00A22220" w:rsidRDefault="00AE16B8" w:rsidP="00BA5B04">
            <w:pPr>
              <w:spacing w:after="0" w:line="259" w:lineRule="auto"/>
              <w:ind w:left="0" w:right="45" w:firstLine="0"/>
              <w:jc w:val="center"/>
              <w:rPr>
                <w:sz w:val="18"/>
                <w:szCs w:val="18"/>
              </w:rPr>
            </w:pPr>
            <w:r w:rsidRPr="008F1026">
              <w:rPr>
                <w:sz w:val="18"/>
                <w:szCs w:val="18"/>
              </w:rPr>
              <w:t>537.1</w:t>
            </w:r>
          </w:p>
        </w:tc>
      </w:tr>
      <w:tr w:rsidR="001E30AA" w:rsidRPr="00A22220" w14:paraId="6B3704C3" w14:textId="77777777" w:rsidTr="00C23B62">
        <w:trPr>
          <w:trHeight w:val="250"/>
        </w:trPr>
        <w:tc>
          <w:tcPr>
            <w:tcW w:w="4320" w:type="dxa"/>
            <w:tcBorders>
              <w:top w:val="single" w:sz="4" w:space="0" w:color="000000"/>
              <w:left w:val="single" w:sz="12" w:space="0" w:color="000000"/>
              <w:bottom w:val="single" w:sz="4" w:space="0" w:color="000000"/>
              <w:right w:val="single" w:sz="12" w:space="0" w:color="000000"/>
            </w:tcBorders>
            <w:vAlign w:val="center"/>
          </w:tcPr>
          <w:p w14:paraId="6891875D" w14:textId="0D197A46" w:rsidR="00AE16B8" w:rsidRPr="00A22220" w:rsidRDefault="00AE16B8" w:rsidP="001E1D25">
            <w:pPr>
              <w:spacing w:after="0" w:line="259" w:lineRule="auto"/>
              <w:ind w:left="0" w:right="0" w:firstLine="0"/>
              <w:rPr>
                <w:sz w:val="18"/>
                <w:szCs w:val="18"/>
              </w:rPr>
            </w:pPr>
            <w:proofErr w:type="spellStart"/>
            <w:r w:rsidRPr="0080692A">
              <w:rPr>
                <w:sz w:val="18"/>
                <w:szCs w:val="18"/>
              </w:rPr>
              <w:t>Perfluorotridecanoic</w:t>
            </w:r>
            <w:proofErr w:type="spellEnd"/>
            <w:r w:rsidRPr="0080692A">
              <w:rPr>
                <w:sz w:val="18"/>
                <w:szCs w:val="18"/>
              </w:rPr>
              <w:t xml:space="preserve"> acid</w:t>
            </w:r>
            <w:r>
              <w:rPr>
                <w:sz w:val="18"/>
                <w:szCs w:val="18"/>
              </w:rPr>
              <w:t xml:space="preserve"> (</w:t>
            </w:r>
            <w:proofErr w:type="spellStart"/>
            <w:r>
              <w:rPr>
                <w:sz w:val="18"/>
                <w:szCs w:val="18"/>
              </w:rPr>
              <w:t>PFTrDA</w:t>
            </w:r>
            <w:proofErr w:type="spellEnd"/>
            <w:r>
              <w:rPr>
                <w:sz w:val="18"/>
                <w:szCs w:val="18"/>
              </w:rPr>
              <w:t>)</w:t>
            </w:r>
          </w:p>
        </w:tc>
        <w:tc>
          <w:tcPr>
            <w:tcW w:w="1170" w:type="dxa"/>
            <w:tcBorders>
              <w:top w:val="single" w:sz="4" w:space="0" w:color="000000"/>
              <w:left w:val="single" w:sz="12" w:space="0" w:color="000000"/>
              <w:bottom w:val="single" w:sz="4" w:space="0" w:color="000000"/>
              <w:right w:val="single" w:sz="12" w:space="0" w:color="000000"/>
            </w:tcBorders>
            <w:vAlign w:val="center"/>
          </w:tcPr>
          <w:p w14:paraId="3202E02A" w14:textId="6FC88491" w:rsidR="00AE16B8" w:rsidRPr="00A22220" w:rsidRDefault="00AE16B8" w:rsidP="001E1D25">
            <w:pPr>
              <w:spacing w:after="0" w:line="259" w:lineRule="auto"/>
              <w:ind w:left="0" w:right="44" w:firstLine="0"/>
              <w:jc w:val="center"/>
              <w:rPr>
                <w:sz w:val="18"/>
                <w:szCs w:val="18"/>
              </w:rPr>
            </w:pPr>
            <w:r>
              <w:rPr>
                <w:sz w:val="18"/>
                <w:szCs w:val="18"/>
              </w:rPr>
              <w:t>72629-94-8</w:t>
            </w:r>
          </w:p>
        </w:tc>
        <w:tc>
          <w:tcPr>
            <w:tcW w:w="1170" w:type="dxa"/>
            <w:tcBorders>
              <w:top w:val="single" w:sz="4" w:space="0" w:color="000000"/>
              <w:left w:val="single" w:sz="12" w:space="0" w:color="000000"/>
              <w:bottom w:val="single" w:sz="4" w:space="0" w:color="000000"/>
              <w:right w:val="single" w:sz="12" w:space="0" w:color="000000"/>
            </w:tcBorders>
            <w:vAlign w:val="center"/>
          </w:tcPr>
          <w:p w14:paraId="335E7BE2" w14:textId="02EC2FC8" w:rsidR="00AE16B8" w:rsidRPr="00FC6080" w:rsidRDefault="00AE16B8" w:rsidP="001E1D25">
            <w:pPr>
              <w:tabs>
                <w:tab w:val="center" w:pos="534"/>
              </w:tabs>
              <w:spacing w:after="0" w:line="259" w:lineRule="auto"/>
              <w:ind w:left="0" w:right="0" w:firstLine="0"/>
              <w:jc w:val="center"/>
              <w:rPr>
                <w:sz w:val="18"/>
                <w:szCs w:val="18"/>
              </w:rPr>
            </w:pPr>
            <w:r w:rsidRPr="00FC6080">
              <w:rPr>
                <w:sz w:val="18"/>
                <w:szCs w:val="18"/>
              </w:rPr>
              <w:t>0.53</w:t>
            </w:r>
          </w:p>
        </w:tc>
        <w:tc>
          <w:tcPr>
            <w:tcW w:w="810" w:type="dxa"/>
            <w:tcBorders>
              <w:top w:val="single" w:sz="4" w:space="0" w:color="000000"/>
              <w:left w:val="single" w:sz="12" w:space="0" w:color="000000"/>
              <w:bottom w:val="single" w:sz="4" w:space="0" w:color="000000"/>
              <w:right w:val="single" w:sz="12" w:space="0" w:color="000000"/>
            </w:tcBorders>
            <w:vAlign w:val="center"/>
          </w:tcPr>
          <w:p w14:paraId="4AC351A9" w14:textId="27BE865E" w:rsidR="00AE16B8" w:rsidRPr="00A22220" w:rsidRDefault="00AE16B8" w:rsidP="00BA5B04">
            <w:pPr>
              <w:spacing w:after="0" w:line="259" w:lineRule="auto"/>
              <w:ind w:left="0" w:right="44" w:firstLine="0"/>
              <w:jc w:val="center"/>
              <w:rPr>
                <w:sz w:val="18"/>
                <w:szCs w:val="18"/>
              </w:rPr>
            </w:pPr>
            <w:r w:rsidRPr="00ED4768">
              <w:rPr>
                <w:sz w:val="18"/>
                <w:szCs w:val="18"/>
              </w:rPr>
              <w:t>ng/L</w:t>
            </w:r>
          </w:p>
        </w:tc>
        <w:tc>
          <w:tcPr>
            <w:tcW w:w="720" w:type="dxa"/>
            <w:tcBorders>
              <w:top w:val="single" w:sz="4" w:space="0" w:color="000000"/>
              <w:left w:val="single" w:sz="12" w:space="0" w:color="000000"/>
              <w:bottom w:val="single" w:sz="4" w:space="0" w:color="000000"/>
              <w:right w:val="single" w:sz="12" w:space="0" w:color="000000"/>
            </w:tcBorders>
            <w:vAlign w:val="center"/>
          </w:tcPr>
          <w:p w14:paraId="4220A1F4" w14:textId="296FAAA2" w:rsidR="00AE16B8" w:rsidRPr="00A22220" w:rsidRDefault="00AE16B8" w:rsidP="00BA5B04">
            <w:pPr>
              <w:tabs>
                <w:tab w:val="center" w:pos="445"/>
              </w:tabs>
              <w:spacing w:after="0" w:line="259" w:lineRule="auto"/>
              <w:ind w:left="0" w:right="0" w:firstLine="0"/>
              <w:jc w:val="center"/>
              <w:rPr>
                <w:sz w:val="18"/>
                <w:szCs w:val="18"/>
              </w:rPr>
            </w:pPr>
            <w:r w:rsidRPr="00426058">
              <w:rPr>
                <w:sz w:val="18"/>
                <w:szCs w:val="18"/>
              </w:rPr>
              <w:t>N/A</w:t>
            </w:r>
          </w:p>
        </w:tc>
        <w:tc>
          <w:tcPr>
            <w:tcW w:w="900" w:type="dxa"/>
            <w:tcBorders>
              <w:top w:val="single" w:sz="4" w:space="0" w:color="000000"/>
              <w:left w:val="single" w:sz="12" w:space="0" w:color="000000"/>
              <w:bottom w:val="single" w:sz="4" w:space="0" w:color="000000"/>
              <w:right w:val="single" w:sz="12" w:space="0" w:color="000000"/>
            </w:tcBorders>
            <w:vAlign w:val="center"/>
          </w:tcPr>
          <w:p w14:paraId="78F1D425" w14:textId="66CDE636" w:rsidR="00AE16B8" w:rsidRPr="00A22220" w:rsidRDefault="00AE16B8" w:rsidP="00BA5B04">
            <w:pPr>
              <w:spacing w:after="0" w:line="259" w:lineRule="auto"/>
              <w:ind w:left="0" w:right="46" w:firstLine="0"/>
              <w:jc w:val="center"/>
              <w:rPr>
                <w:sz w:val="18"/>
                <w:szCs w:val="18"/>
              </w:rPr>
            </w:pPr>
            <w:r w:rsidRPr="006A4FA4">
              <w:rPr>
                <w:sz w:val="18"/>
                <w:szCs w:val="18"/>
              </w:rPr>
              <w:t>N/A</w:t>
            </w:r>
          </w:p>
        </w:tc>
        <w:tc>
          <w:tcPr>
            <w:tcW w:w="1440" w:type="dxa"/>
            <w:tcBorders>
              <w:top w:val="single" w:sz="4" w:space="0" w:color="000000"/>
              <w:left w:val="single" w:sz="12" w:space="0" w:color="000000"/>
              <w:bottom w:val="single" w:sz="4" w:space="0" w:color="000000"/>
              <w:right w:val="single" w:sz="12" w:space="0" w:color="000000"/>
            </w:tcBorders>
            <w:vAlign w:val="center"/>
          </w:tcPr>
          <w:p w14:paraId="70648CB8" w14:textId="2119D502" w:rsidR="00AE16B8" w:rsidRPr="00A22220" w:rsidRDefault="00AE16B8" w:rsidP="00BA5B04">
            <w:pPr>
              <w:spacing w:after="0" w:line="259" w:lineRule="auto"/>
              <w:ind w:left="0" w:right="45" w:firstLine="0"/>
              <w:jc w:val="center"/>
              <w:rPr>
                <w:sz w:val="18"/>
                <w:szCs w:val="18"/>
              </w:rPr>
            </w:pPr>
            <w:r w:rsidRPr="008F1026">
              <w:rPr>
                <w:sz w:val="18"/>
                <w:szCs w:val="18"/>
              </w:rPr>
              <w:t>537.1</w:t>
            </w:r>
          </w:p>
        </w:tc>
      </w:tr>
      <w:tr w:rsidR="001E30AA" w:rsidRPr="00A22220" w14:paraId="1188CE6E" w14:textId="77777777" w:rsidTr="00C23B62">
        <w:trPr>
          <w:trHeight w:val="250"/>
        </w:trPr>
        <w:tc>
          <w:tcPr>
            <w:tcW w:w="4320" w:type="dxa"/>
            <w:tcBorders>
              <w:top w:val="single" w:sz="4" w:space="0" w:color="000000"/>
              <w:left w:val="single" w:sz="12" w:space="0" w:color="000000"/>
              <w:bottom w:val="single" w:sz="4" w:space="0" w:color="000000"/>
              <w:right w:val="single" w:sz="12" w:space="0" w:color="000000"/>
            </w:tcBorders>
            <w:vAlign w:val="center"/>
          </w:tcPr>
          <w:p w14:paraId="38BE99C9" w14:textId="3FD72BEC" w:rsidR="00AE16B8" w:rsidRPr="00A22220" w:rsidRDefault="00AE16B8" w:rsidP="001E1D25">
            <w:pPr>
              <w:spacing w:after="0" w:line="259" w:lineRule="auto"/>
              <w:ind w:left="0" w:right="0" w:firstLine="0"/>
              <w:rPr>
                <w:sz w:val="18"/>
                <w:szCs w:val="18"/>
              </w:rPr>
            </w:pPr>
            <w:proofErr w:type="spellStart"/>
            <w:r w:rsidRPr="000F13B8">
              <w:rPr>
                <w:sz w:val="18"/>
                <w:szCs w:val="18"/>
              </w:rPr>
              <w:t>Perfluoroundecanoic</w:t>
            </w:r>
            <w:proofErr w:type="spellEnd"/>
            <w:r w:rsidRPr="000F13B8">
              <w:rPr>
                <w:sz w:val="18"/>
                <w:szCs w:val="18"/>
              </w:rPr>
              <w:t xml:space="preserve"> acid</w:t>
            </w:r>
            <w:r>
              <w:rPr>
                <w:sz w:val="18"/>
                <w:szCs w:val="18"/>
              </w:rPr>
              <w:t xml:space="preserve"> (</w:t>
            </w:r>
            <w:proofErr w:type="spellStart"/>
            <w:r>
              <w:rPr>
                <w:sz w:val="18"/>
                <w:szCs w:val="18"/>
              </w:rPr>
              <w:t>PFUnA</w:t>
            </w:r>
            <w:proofErr w:type="spellEnd"/>
            <w:r>
              <w:rPr>
                <w:sz w:val="18"/>
                <w:szCs w:val="18"/>
              </w:rPr>
              <w:t>)</w:t>
            </w:r>
          </w:p>
        </w:tc>
        <w:tc>
          <w:tcPr>
            <w:tcW w:w="1170" w:type="dxa"/>
            <w:tcBorders>
              <w:top w:val="single" w:sz="4" w:space="0" w:color="000000"/>
              <w:left w:val="single" w:sz="12" w:space="0" w:color="000000"/>
              <w:bottom w:val="single" w:sz="4" w:space="0" w:color="000000"/>
              <w:right w:val="single" w:sz="12" w:space="0" w:color="000000"/>
            </w:tcBorders>
            <w:vAlign w:val="center"/>
          </w:tcPr>
          <w:p w14:paraId="031E920F" w14:textId="11A7E82C" w:rsidR="00AE16B8" w:rsidRPr="00A22220" w:rsidRDefault="00AE16B8" w:rsidP="001E1D25">
            <w:pPr>
              <w:spacing w:after="0" w:line="259" w:lineRule="auto"/>
              <w:ind w:left="0" w:right="44" w:firstLine="0"/>
              <w:jc w:val="center"/>
              <w:rPr>
                <w:sz w:val="18"/>
                <w:szCs w:val="18"/>
              </w:rPr>
            </w:pPr>
            <w:r>
              <w:rPr>
                <w:sz w:val="18"/>
                <w:szCs w:val="18"/>
              </w:rPr>
              <w:t>2058-94-8</w:t>
            </w:r>
          </w:p>
        </w:tc>
        <w:tc>
          <w:tcPr>
            <w:tcW w:w="1170" w:type="dxa"/>
            <w:tcBorders>
              <w:top w:val="single" w:sz="4" w:space="0" w:color="000000"/>
              <w:left w:val="single" w:sz="12" w:space="0" w:color="000000"/>
              <w:bottom w:val="single" w:sz="4" w:space="0" w:color="000000"/>
              <w:right w:val="single" w:sz="12" w:space="0" w:color="000000"/>
            </w:tcBorders>
            <w:vAlign w:val="center"/>
          </w:tcPr>
          <w:p w14:paraId="46D5FB5A" w14:textId="5FC22F60" w:rsidR="00AE16B8" w:rsidRPr="009C0CB4" w:rsidRDefault="00AE16B8" w:rsidP="001E1D25">
            <w:pPr>
              <w:tabs>
                <w:tab w:val="center" w:pos="534"/>
              </w:tabs>
              <w:spacing w:after="0" w:line="259" w:lineRule="auto"/>
              <w:ind w:left="0" w:right="0" w:firstLine="0"/>
              <w:jc w:val="center"/>
              <w:rPr>
                <w:sz w:val="18"/>
                <w:szCs w:val="18"/>
              </w:rPr>
            </w:pPr>
            <w:r w:rsidRPr="009C0CB4">
              <w:rPr>
                <w:sz w:val="18"/>
                <w:szCs w:val="18"/>
              </w:rPr>
              <w:t>5.2</w:t>
            </w:r>
          </w:p>
        </w:tc>
        <w:tc>
          <w:tcPr>
            <w:tcW w:w="810" w:type="dxa"/>
            <w:tcBorders>
              <w:top w:val="single" w:sz="4" w:space="0" w:color="000000"/>
              <w:left w:val="single" w:sz="12" w:space="0" w:color="000000"/>
              <w:bottom w:val="single" w:sz="4" w:space="0" w:color="000000"/>
              <w:right w:val="single" w:sz="12" w:space="0" w:color="000000"/>
            </w:tcBorders>
            <w:vAlign w:val="center"/>
          </w:tcPr>
          <w:p w14:paraId="1A18847E" w14:textId="5BC66A0A" w:rsidR="00AE16B8" w:rsidRPr="00A22220" w:rsidRDefault="00AE16B8" w:rsidP="00BA5B04">
            <w:pPr>
              <w:spacing w:after="0" w:line="259" w:lineRule="auto"/>
              <w:ind w:left="0" w:right="44" w:firstLine="0"/>
              <w:jc w:val="center"/>
              <w:rPr>
                <w:sz w:val="18"/>
                <w:szCs w:val="18"/>
              </w:rPr>
            </w:pPr>
            <w:r w:rsidRPr="00ED4768">
              <w:rPr>
                <w:sz w:val="18"/>
                <w:szCs w:val="18"/>
              </w:rPr>
              <w:t>ng/L</w:t>
            </w:r>
          </w:p>
        </w:tc>
        <w:tc>
          <w:tcPr>
            <w:tcW w:w="720" w:type="dxa"/>
            <w:tcBorders>
              <w:top w:val="single" w:sz="4" w:space="0" w:color="000000"/>
              <w:left w:val="single" w:sz="12" w:space="0" w:color="000000"/>
              <w:bottom w:val="single" w:sz="4" w:space="0" w:color="000000"/>
              <w:right w:val="single" w:sz="12" w:space="0" w:color="000000"/>
            </w:tcBorders>
            <w:vAlign w:val="center"/>
          </w:tcPr>
          <w:p w14:paraId="399F8341" w14:textId="3BF1DAF9" w:rsidR="00AE16B8" w:rsidRPr="00A22220" w:rsidRDefault="00AE16B8" w:rsidP="00BA5B04">
            <w:pPr>
              <w:tabs>
                <w:tab w:val="center" w:pos="399"/>
              </w:tabs>
              <w:spacing w:after="0" w:line="259" w:lineRule="auto"/>
              <w:ind w:left="0" w:right="0" w:firstLine="0"/>
              <w:jc w:val="center"/>
              <w:rPr>
                <w:sz w:val="18"/>
                <w:szCs w:val="18"/>
              </w:rPr>
            </w:pPr>
            <w:r w:rsidRPr="00426058">
              <w:rPr>
                <w:sz w:val="18"/>
                <w:szCs w:val="18"/>
              </w:rPr>
              <w:t>N/A</w:t>
            </w:r>
          </w:p>
        </w:tc>
        <w:tc>
          <w:tcPr>
            <w:tcW w:w="900" w:type="dxa"/>
            <w:tcBorders>
              <w:top w:val="single" w:sz="4" w:space="0" w:color="000000"/>
              <w:left w:val="single" w:sz="12" w:space="0" w:color="000000"/>
              <w:bottom w:val="single" w:sz="4" w:space="0" w:color="000000"/>
              <w:right w:val="single" w:sz="12" w:space="0" w:color="000000"/>
            </w:tcBorders>
            <w:vAlign w:val="center"/>
          </w:tcPr>
          <w:p w14:paraId="377B3845" w14:textId="63F72627" w:rsidR="00AE16B8" w:rsidRPr="00A22220" w:rsidRDefault="00AE16B8" w:rsidP="00BA5B04">
            <w:pPr>
              <w:spacing w:after="0" w:line="259" w:lineRule="auto"/>
              <w:ind w:left="0" w:right="46" w:firstLine="0"/>
              <w:jc w:val="center"/>
              <w:rPr>
                <w:sz w:val="18"/>
                <w:szCs w:val="18"/>
              </w:rPr>
            </w:pPr>
            <w:r w:rsidRPr="006A4FA4">
              <w:rPr>
                <w:sz w:val="18"/>
                <w:szCs w:val="18"/>
              </w:rPr>
              <w:t>N/A</w:t>
            </w:r>
          </w:p>
        </w:tc>
        <w:tc>
          <w:tcPr>
            <w:tcW w:w="1440" w:type="dxa"/>
            <w:tcBorders>
              <w:top w:val="single" w:sz="4" w:space="0" w:color="000000"/>
              <w:left w:val="single" w:sz="12" w:space="0" w:color="000000"/>
              <w:bottom w:val="single" w:sz="4" w:space="0" w:color="000000"/>
              <w:right w:val="single" w:sz="12" w:space="0" w:color="000000"/>
            </w:tcBorders>
            <w:vAlign w:val="center"/>
          </w:tcPr>
          <w:p w14:paraId="0D2A78E0" w14:textId="770D5FED" w:rsidR="00AE16B8" w:rsidRPr="00A22220" w:rsidRDefault="00AE16B8" w:rsidP="00BA5B04">
            <w:pPr>
              <w:spacing w:after="0" w:line="259" w:lineRule="auto"/>
              <w:ind w:left="0" w:right="45" w:firstLine="0"/>
              <w:jc w:val="center"/>
              <w:rPr>
                <w:sz w:val="18"/>
                <w:szCs w:val="18"/>
              </w:rPr>
            </w:pPr>
            <w:r w:rsidRPr="008F1026">
              <w:rPr>
                <w:sz w:val="18"/>
                <w:szCs w:val="18"/>
              </w:rPr>
              <w:t>537.1</w:t>
            </w:r>
          </w:p>
        </w:tc>
      </w:tr>
      <w:tr w:rsidR="001E30AA" w:rsidRPr="00A22220" w14:paraId="549D24BF" w14:textId="77777777" w:rsidTr="00C23B62">
        <w:trPr>
          <w:trHeight w:val="250"/>
        </w:trPr>
        <w:tc>
          <w:tcPr>
            <w:tcW w:w="4320" w:type="dxa"/>
            <w:tcBorders>
              <w:top w:val="single" w:sz="4" w:space="0" w:color="000000"/>
              <w:left w:val="single" w:sz="12" w:space="0" w:color="000000"/>
              <w:bottom w:val="single" w:sz="4" w:space="0" w:color="000000"/>
              <w:right w:val="single" w:sz="12" w:space="0" w:color="000000"/>
            </w:tcBorders>
            <w:vAlign w:val="center"/>
          </w:tcPr>
          <w:p w14:paraId="48641CBD" w14:textId="0520160B" w:rsidR="00AE16B8" w:rsidRPr="00A22220" w:rsidRDefault="00AE16B8" w:rsidP="001E1D25">
            <w:pPr>
              <w:spacing w:after="0" w:line="259" w:lineRule="auto"/>
              <w:ind w:left="0" w:right="0" w:firstLine="0"/>
              <w:rPr>
                <w:sz w:val="18"/>
                <w:szCs w:val="18"/>
              </w:rPr>
            </w:pPr>
            <w:r w:rsidRPr="003946D1">
              <w:rPr>
                <w:sz w:val="18"/>
                <w:szCs w:val="18"/>
              </w:rPr>
              <w:t>11-chloroeicosafluoro-3-oxaundecane-1-sulfonicacid</w:t>
            </w:r>
            <w:r>
              <w:rPr>
                <w:sz w:val="18"/>
                <w:szCs w:val="18"/>
              </w:rPr>
              <w:t xml:space="preserve"> (11Cl-PF3OUdS)</w:t>
            </w:r>
          </w:p>
        </w:tc>
        <w:tc>
          <w:tcPr>
            <w:tcW w:w="1170" w:type="dxa"/>
            <w:tcBorders>
              <w:top w:val="single" w:sz="4" w:space="0" w:color="000000"/>
              <w:left w:val="single" w:sz="12" w:space="0" w:color="000000"/>
              <w:bottom w:val="single" w:sz="4" w:space="0" w:color="000000"/>
              <w:right w:val="single" w:sz="12" w:space="0" w:color="000000"/>
            </w:tcBorders>
            <w:vAlign w:val="center"/>
          </w:tcPr>
          <w:p w14:paraId="43AF6324" w14:textId="52990898" w:rsidR="00AE16B8" w:rsidRPr="00A22220" w:rsidRDefault="00AE16B8" w:rsidP="001E1D25">
            <w:pPr>
              <w:spacing w:after="0" w:line="259" w:lineRule="auto"/>
              <w:ind w:left="0" w:right="44" w:firstLine="0"/>
              <w:jc w:val="center"/>
              <w:rPr>
                <w:sz w:val="18"/>
                <w:szCs w:val="18"/>
              </w:rPr>
            </w:pPr>
            <w:r>
              <w:rPr>
                <w:sz w:val="18"/>
                <w:szCs w:val="18"/>
              </w:rPr>
              <w:t>763051-92-9</w:t>
            </w:r>
          </w:p>
        </w:tc>
        <w:tc>
          <w:tcPr>
            <w:tcW w:w="1170" w:type="dxa"/>
            <w:tcBorders>
              <w:top w:val="single" w:sz="4" w:space="0" w:color="000000"/>
              <w:left w:val="single" w:sz="12" w:space="0" w:color="000000"/>
              <w:bottom w:val="single" w:sz="4" w:space="0" w:color="000000"/>
              <w:right w:val="single" w:sz="12" w:space="0" w:color="000000"/>
            </w:tcBorders>
            <w:vAlign w:val="center"/>
          </w:tcPr>
          <w:p w14:paraId="3A7B25CF" w14:textId="51CBDB07" w:rsidR="00AE16B8" w:rsidRPr="009C0CB4" w:rsidRDefault="00AE16B8" w:rsidP="001E1D25">
            <w:pPr>
              <w:tabs>
                <w:tab w:val="center" w:pos="534"/>
              </w:tabs>
              <w:spacing w:after="0" w:line="259" w:lineRule="auto"/>
              <w:ind w:left="0" w:right="0" w:firstLine="0"/>
              <w:jc w:val="center"/>
              <w:rPr>
                <w:sz w:val="18"/>
                <w:szCs w:val="18"/>
              </w:rPr>
            </w:pPr>
            <w:r w:rsidRPr="009C0CB4">
              <w:rPr>
                <w:sz w:val="18"/>
                <w:szCs w:val="18"/>
              </w:rPr>
              <w:t>1.5</w:t>
            </w:r>
          </w:p>
        </w:tc>
        <w:tc>
          <w:tcPr>
            <w:tcW w:w="810" w:type="dxa"/>
            <w:tcBorders>
              <w:top w:val="single" w:sz="4" w:space="0" w:color="000000"/>
              <w:left w:val="single" w:sz="12" w:space="0" w:color="000000"/>
              <w:bottom w:val="single" w:sz="4" w:space="0" w:color="000000"/>
              <w:right w:val="single" w:sz="12" w:space="0" w:color="000000"/>
            </w:tcBorders>
            <w:vAlign w:val="center"/>
          </w:tcPr>
          <w:p w14:paraId="216645DA" w14:textId="22C00F61" w:rsidR="00AE16B8" w:rsidRPr="00A22220" w:rsidRDefault="00AE16B8" w:rsidP="00BA5B04">
            <w:pPr>
              <w:spacing w:after="0" w:line="259" w:lineRule="auto"/>
              <w:ind w:left="0" w:right="44" w:firstLine="0"/>
              <w:jc w:val="center"/>
              <w:rPr>
                <w:sz w:val="18"/>
                <w:szCs w:val="18"/>
              </w:rPr>
            </w:pPr>
            <w:r w:rsidRPr="00ED4768">
              <w:rPr>
                <w:sz w:val="18"/>
                <w:szCs w:val="18"/>
              </w:rPr>
              <w:t>ng/L</w:t>
            </w:r>
          </w:p>
        </w:tc>
        <w:tc>
          <w:tcPr>
            <w:tcW w:w="720" w:type="dxa"/>
            <w:tcBorders>
              <w:top w:val="single" w:sz="4" w:space="0" w:color="000000"/>
              <w:left w:val="single" w:sz="12" w:space="0" w:color="000000"/>
              <w:bottom w:val="single" w:sz="4" w:space="0" w:color="000000"/>
              <w:right w:val="single" w:sz="12" w:space="0" w:color="000000"/>
            </w:tcBorders>
            <w:vAlign w:val="center"/>
          </w:tcPr>
          <w:p w14:paraId="6B9272E4" w14:textId="486A5F4B" w:rsidR="00AE16B8" w:rsidRPr="00A22220" w:rsidRDefault="00AE16B8" w:rsidP="00BA5B04">
            <w:pPr>
              <w:tabs>
                <w:tab w:val="center" w:pos="445"/>
              </w:tabs>
              <w:spacing w:after="0" w:line="259" w:lineRule="auto"/>
              <w:ind w:left="0" w:right="0" w:firstLine="0"/>
              <w:jc w:val="center"/>
              <w:rPr>
                <w:sz w:val="18"/>
                <w:szCs w:val="18"/>
              </w:rPr>
            </w:pPr>
            <w:r w:rsidRPr="00426058">
              <w:rPr>
                <w:sz w:val="18"/>
                <w:szCs w:val="18"/>
              </w:rPr>
              <w:t>N/A</w:t>
            </w:r>
          </w:p>
        </w:tc>
        <w:tc>
          <w:tcPr>
            <w:tcW w:w="900" w:type="dxa"/>
            <w:tcBorders>
              <w:top w:val="single" w:sz="4" w:space="0" w:color="000000"/>
              <w:left w:val="single" w:sz="12" w:space="0" w:color="000000"/>
              <w:bottom w:val="single" w:sz="4" w:space="0" w:color="000000"/>
              <w:right w:val="single" w:sz="12" w:space="0" w:color="000000"/>
            </w:tcBorders>
            <w:vAlign w:val="center"/>
          </w:tcPr>
          <w:p w14:paraId="6C4E8598" w14:textId="0A5AE4FB" w:rsidR="00AE16B8" w:rsidRPr="00A22220" w:rsidRDefault="00AE16B8" w:rsidP="00BA5B04">
            <w:pPr>
              <w:spacing w:after="0" w:line="259" w:lineRule="auto"/>
              <w:ind w:left="0" w:right="46" w:firstLine="0"/>
              <w:jc w:val="center"/>
              <w:rPr>
                <w:sz w:val="18"/>
                <w:szCs w:val="18"/>
              </w:rPr>
            </w:pPr>
            <w:r w:rsidRPr="006A4FA4">
              <w:rPr>
                <w:sz w:val="18"/>
                <w:szCs w:val="18"/>
              </w:rPr>
              <w:t>N/A</w:t>
            </w:r>
          </w:p>
        </w:tc>
        <w:tc>
          <w:tcPr>
            <w:tcW w:w="1440" w:type="dxa"/>
            <w:tcBorders>
              <w:top w:val="single" w:sz="4" w:space="0" w:color="000000"/>
              <w:left w:val="single" w:sz="12" w:space="0" w:color="000000"/>
              <w:bottom w:val="single" w:sz="4" w:space="0" w:color="000000"/>
              <w:right w:val="single" w:sz="12" w:space="0" w:color="000000"/>
            </w:tcBorders>
            <w:vAlign w:val="center"/>
          </w:tcPr>
          <w:p w14:paraId="1B68004C" w14:textId="57260A25" w:rsidR="00AE16B8" w:rsidRPr="00A22220" w:rsidRDefault="00AE16B8" w:rsidP="00BA5B04">
            <w:pPr>
              <w:spacing w:after="0" w:line="259" w:lineRule="auto"/>
              <w:ind w:left="0" w:right="45" w:firstLine="0"/>
              <w:jc w:val="center"/>
              <w:rPr>
                <w:sz w:val="18"/>
                <w:szCs w:val="18"/>
              </w:rPr>
            </w:pPr>
            <w:r w:rsidRPr="008F1026">
              <w:rPr>
                <w:sz w:val="18"/>
                <w:szCs w:val="18"/>
              </w:rPr>
              <w:t>537.1</w:t>
            </w:r>
          </w:p>
        </w:tc>
      </w:tr>
      <w:tr w:rsidR="001E30AA" w:rsidRPr="00A22220" w14:paraId="51D072B6" w14:textId="77777777" w:rsidTr="00C23B62">
        <w:trPr>
          <w:trHeight w:val="252"/>
        </w:trPr>
        <w:tc>
          <w:tcPr>
            <w:tcW w:w="4320" w:type="dxa"/>
            <w:tcBorders>
              <w:top w:val="single" w:sz="4" w:space="0" w:color="000000"/>
              <w:left w:val="single" w:sz="12" w:space="0" w:color="000000"/>
              <w:bottom w:val="single" w:sz="4" w:space="0" w:color="000000"/>
              <w:right w:val="single" w:sz="12" w:space="0" w:color="000000"/>
            </w:tcBorders>
            <w:vAlign w:val="center"/>
          </w:tcPr>
          <w:p w14:paraId="2B979E50" w14:textId="3E84CDD0" w:rsidR="00AE16B8" w:rsidRPr="00A22220" w:rsidRDefault="00AE16B8" w:rsidP="001E1D25">
            <w:pPr>
              <w:spacing w:after="0" w:line="259" w:lineRule="auto"/>
              <w:ind w:left="0" w:right="0" w:firstLine="0"/>
              <w:rPr>
                <w:sz w:val="18"/>
                <w:szCs w:val="18"/>
              </w:rPr>
            </w:pPr>
            <w:r w:rsidRPr="00DF3BC1">
              <w:rPr>
                <w:sz w:val="18"/>
                <w:szCs w:val="18"/>
              </w:rPr>
              <w:t>9-chlorohexadecafluoro-3-oxanonane-1-sulfonic acid</w:t>
            </w:r>
            <w:r>
              <w:rPr>
                <w:sz w:val="18"/>
                <w:szCs w:val="18"/>
              </w:rPr>
              <w:t xml:space="preserve"> (9Cl-PF3ONS)</w:t>
            </w:r>
          </w:p>
        </w:tc>
        <w:tc>
          <w:tcPr>
            <w:tcW w:w="1170" w:type="dxa"/>
            <w:tcBorders>
              <w:top w:val="single" w:sz="4" w:space="0" w:color="000000"/>
              <w:left w:val="single" w:sz="12" w:space="0" w:color="000000"/>
              <w:bottom w:val="single" w:sz="4" w:space="0" w:color="000000"/>
              <w:right w:val="single" w:sz="12" w:space="0" w:color="000000"/>
            </w:tcBorders>
            <w:vAlign w:val="center"/>
          </w:tcPr>
          <w:p w14:paraId="72A11E41" w14:textId="498868D4" w:rsidR="00AE16B8" w:rsidRPr="00A22220" w:rsidRDefault="00AE16B8" w:rsidP="001E1D25">
            <w:pPr>
              <w:spacing w:after="0" w:line="259" w:lineRule="auto"/>
              <w:ind w:left="0" w:right="44" w:firstLine="0"/>
              <w:jc w:val="center"/>
              <w:rPr>
                <w:sz w:val="18"/>
                <w:szCs w:val="18"/>
              </w:rPr>
            </w:pPr>
            <w:r>
              <w:rPr>
                <w:sz w:val="18"/>
                <w:szCs w:val="18"/>
              </w:rPr>
              <w:t>756426-58-1</w:t>
            </w:r>
          </w:p>
        </w:tc>
        <w:tc>
          <w:tcPr>
            <w:tcW w:w="1170" w:type="dxa"/>
            <w:tcBorders>
              <w:top w:val="single" w:sz="4" w:space="0" w:color="000000"/>
              <w:left w:val="single" w:sz="12" w:space="0" w:color="000000"/>
              <w:bottom w:val="single" w:sz="4" w:space="0" w:color="000000"/>
              <w:right w:val="single" w:sz="12" w:space="0" w:color="000000"/>
            </w:tcBorders>
            <w:vAlign w:val="center"/>
          </w:tcPr>
          <w:p w14:paraId="2A12907C" w14:textId="76EFCA9B" w:rsidR="00AE16B8" w:rsidRPr="009C0CB4" w:rsidRDefault="00AE16B8" w:rsidP="001E1D25">
            <w:pPr>
              <w:tabs>
                <w:tab w:val="center" w:pos="534"/>
              </w:tabs>
              <w:spacing w:after="0" w:line="259" w:lineRule="auto"/>
              <w:ind w:left="0" w:right="0" w:firstLine="0"/>
              <w:jc w:val="center"/>
              <w:rPr>
                <w:sz w:val="18"/>
                <w:szCs w:val="18"/>
              </w:rPr>
            </w:pPr>
            <w:r w:rsidRPr="009C0CB4">
              <w:rPr>
                <w:sz w:val="18"/>
                <w:szCs w:val="18"/>
              </w:rPr>
              <w:t>1.8</w:t>
            </w:r>
          </w:p>
        </w:tc>
        <w:tc>
          <w:tcPr>
            <w:tcW w:w="810" w:type="dxa"/>
            <w:tcBorders>
              <w:top w:val="single" w:sz="4" w:space="0" w:color="000000"/>
              <w:left w:val="single" w:sz="12" w:space="0" w:color="000000"/>
              <w:bottom w:val="single" w:sz="4" w:space="0" w:color="000000"/>
              <w:right w:val="single" w:sz="12" w:space="0" w:color="000000"/>
            </w:tcBorders>
            <w:vAlign w:val="center"/>
          </w:tcPr>
          <w:p w14:paraId="253DBC0A" w14:textId="7358437B" w:rsidR="00AE16B8" w:rsidRPr="00A22220" w:rsidRDefault="00AE16B8" w:rsidP="00BA5B04">
            <w:pPr>
              <w:spacing w:after="0" w:line="259" w:lineRule="auto"/>
              <w:ind w:left="0" w:right="44" w:firstLine="0"/>
              <w:jc w:val="center"/>
              <w:rPr>
                <w:sz w:val="18"/>
                <w:szCs w:val="18"/>
              </w:rPr>
            </w:pPr>
            <w:r w:rsidRPr="00ED4768">
              <w:rPr>
                <w:sz w:val="18"/>
                <w:szCs w:val="18"/>
              </w:rPr>
              <w:t>ng/L</w:t>
            </w:r>
          </w:p>
        </w:tc>
        <w:tc>
          <w:tcPr>
            <w:tcW w:w="720" w:type="dxa"/>
            <w:tcBorders>
              <w:top w:val="single" w:sz="4" w:space="0" w:color="000000"/>
              <w:left w:val="single" w:sz="12" w:space="0" w:color="000000"/>
              <w:bottom w:val="single" w:sz="4" w:space="0" w:color="000000"/>
              <w:right w:val="single" w:sz="12" w:space="0" w:color="000000"/>
            </w:tcBorders>
            <w:vAlign w:val="center"/>
          </w:tcPr>
          <w:p w14:paraId="4C63A10D" w14:textId="33D69C1C" w:rsidR="00AE16B8" w:rsidRPr="00A22220" w:rsidRDefault="00AE16B8" w:rsidP="00BA5B04">
            <w:pPr>
              <w:tabs>
                <w:tab w:val="center" w:pos="399"/>
              </w:tabs>
              <w:spacing w:after="0" w:line="259" w:lineRule="auto"/>
              <w:ind w:left="0" w:right="0" w:firstLine="0"/>
              <w:jc w:val="center"/>
              <w:rPr>
                <w:sz w:val="18"/>
                <w:szCs w:val="18"/>
              </w:rPr>
            </w:pPr>
            <w:r w:rsidRPr="00426058">
              <w:rPr>
                <w:sz w:val="18"/>
                <w:szCs w:val="18"/>
              </w:rPr>
              <w:t>N/A</w:t>
            </w:r>
          </w:p>
        </w:tc>
        <w:tc>
          <w:tcPr>
            <w:tcW w:w="900" w:type="dxa"/>
            <w:tcBorders>
              <w:top w:val="single" w:sz="4" w:space="0" w:color="000000"/>
              <w:left w:val="single" w:sz="12" w:space="0" w:color="000000"/>
              <w:bottom w:val="single" w:sz="4" w:space="0" w:color="000000"/>
              <w:right w:val="single" w:sz="12" w:space="0" w:color="000000"/>
            </w:tcBorders>
            <w:vAlign w:val="center"/>
          </w:tcPr>
          <w:p w14:paraId="25264C43" w14:textId="4DAD65AB" w:rsidR="00AE16B8" w:rsidRPr="00A22220" w:rsidRDefault="00AE16B8" w:rsidP="00BA5B04">
            <w:pPr>
              <w:spacing w:after="0" w:line="259" w:lineRule="auto"/>
              <w:ind w:left="0" w:right="46" w:firstLine="0"/>
              <w:jc w:val="center"/>
              <w:rPr>
                <w:sz w:val="18"/>
                <w:szCs w:val="18"/>
              </w:rPr>
            </w:pPr>
            <w:r w:rsidRPr="006A4FA4">
              <w:rPr>
                <w:sz w:val="18"/>
                <w:szCs w:val="18"/>
              </w:rPr>
              <w:t>N/A</w:t>
            </w:r>
          </w:p>
        </w:tc>
        <w:tc>
          <w:tcPr>
            <w:tcW w:w="1440" w:type="dxa"/>
            <w:tcBorders>
              <w:top w:val="single" w:sz="4" w:space="0" w:color="000000"/>
              <w:left w:val="single" w:sz="12" w:space="0" w:color="000000"/>
              <w:bottom w:val="single" w:sz="4" w:space="0" w:color="000000"/>
              <w:right w:val="single" w:sz="12" w:space="0" w:color="000000"/>
            </w:tcBorders>
            <w:vAlign w:val="center"/>
          </w:tcPr>
          <w:p w14:paraId="49486654" w14:textId="696021CE" w:rsidR="00AE16B8" w:rsidRPr="00A22220" w:rsidRDefault="00AE16B8" w:rsidP="00BA5B04">
            <w:pPr>
              <w:spacing w:after="0" w:line="259" w:lineRule="auto"/>
              <w:ind w:left="0" w:right="45" w:firstLine="0"/>
              <w:jc w:val="center"/>
              <w:rPr>
                <w:sz w:val="18"/>
                <w:szCs w:val="18"/>
              </w:rPr>
            </w:pPr>
            <w:r w:rsidRPr="008F1026">
              <w:rPr>
                <w:sz w:val="18"/>
                <w:szCs w:val="18"/>
              </w:rPr>
              <w:t>537.1</w:t>
            </w:r>
          </w:p>
        </w:tc>
      </w:tr>
      <w:tr w:rsidR="001E30AA" w:rsidRPr="00A22220" w14:paraId="35428469" w14:textId="77777777" w:rsidTr="00C23B62">
        <w:trPr>
          <w:trHeight w:val="250"/>
        </w:trPr>
        <w:tc>
          <w:tcPr>
            <w:tcW w:w="4320" w:type="dxa"/>
            <w:tcBorders>
              <w:top w:val="single" w:sz="4" w:space="0" w:color="000000"/>
              <w:left w:val="single" w:sz="12" w:space="0" w:color="000000"/>
              <w:bottom w:val="single" w:sz="12" w:space="0" w:color="000000"/>
              <w:right w:val="single" w:sz="12" w:space="0" w:color="000000"/>
            </w:tcBorders>
            <w:vAlign w:val="center"/>
          </w:tcPr>
          <w:p w14:paraId="343ED199" w14:textId="0E77975B" w:rsidR="00AE16B8" w:rsidRPr="001E36F8" w:rsidRDefault="00AE16B8" w:rsidP="0012587A">
            <w:pPr>
              <w:spacing w:after="0" w:line="259" w:lineRule="auto"/>
              <w:ind w:left="0" w:right="0" w:firstLine="0"/>
              <w:rPr>
                <w:sz w:val="18"/>
                <w:szCs w:val="18"/>
              </w:rPr>
            </w:pPr>
            <w:r>
              <w:rPr>
                <w:sz w:val="18"/>
                <w:szCs w:val="18"/>
              </w:rPr>
              <w:t>4</w:t>
            </w:r>
            <w:r w:rsidRPr="001E36F8">
              <w:rPr>
                <w:sz w:val="18"/>
                <w:szCs w:val="18"/>
              </w:rPr>
              <w:t>,8-dioxa-3H-perfluorononanoic acid</w:t>
            </w:r>
            <w:r>
              <w:rPr>
                <w:sz w:val="18"/>
                <w:szCs w:val="18"/>
              </w:rPr>
              <w:t xml:space="preserve"> (ADONA)</w:t>
            </w:r>
          </w:p>
        </w:tc>
        <w:tc>
          <w:tcPr>
            <w:tcW w:w="1170" w:type="dxa"/>
            <w:tcBorders>
              <w:top w:val="single" w:sz="4" w:space="0" w:color="000000"/>
              <w:left w:val="single" w:sz="12" w:space="0" w:color="000000"/>
              <w:bottom w:val="single" w:sz="12" w:space="0" w:color="000000"/>
              <w:right w:val="single" w:sz="12" w:space="0" w:color="000000"/>
            </w:tcBorders>
            <w:vAlign w:val="center"/>
          </w:tcPr>
          <w:p w14:paraId="68FB970C" w14:textId="7A36175F" w:rsidR="00AE16B8" w:rsidRDefault="00AE16B8" w:rsidP="0012587A">
            <w:pPr>
              <w:spacing w:after="0" w:line="259" w:lineRule="auto"/>
              <w:ind w:left="0" w:right="44" w:firstLine="0"/>
              <w:jc w:val="center"/>
              <w:rPr>
                <w:sz w:val="18"/>
                <w:szCs w:val="18"/>
              </w:rPr>
            </w:pPr>
            <w:r>
              <w:rPr>
                <w:sz w:val="18"/>
                <w:szCs w:val="18"/>
              </w:rPr>
              <w:t>919005-14-4</w:t>
            </w:r>
          </w:p>
        </w:tc>
        <w:tc>
          <w:tcPr>
            <w:tcW w:w="1170" w:type="dxa"/>
            <w:tcBorders>
              <w:top w:val="single" w:sz="4" w:space="0" w:color="000000"/>
              <w:left w:val="single" w:sz="12" w:space="0" w:color="000000"/>
              <w:bottom w:val="single" w:sz="12" w:space="0" w:color="000000"/>
              <w:right w:val="single" w:sz="12" w:space="0" w:color="000000"/>
            </w:tcBorders>
            <w:vAlign w:val="center"/>
          </w:tcPr>
          <w:p w14:paraId="16DE979B" w14:textId="75FB613A" w:rsidR="00AE16B8" w:rsidRPr="009C0CB4" w:rsidRDefault="00AE16B8" w:rsidP="0012587A">
            <w:pPr>
              <w:tabs>
                <w:tab w:val="center" w:pos="534"/>
              </w:tabs>
              <w:spacing w:after="0" w:line="259" w:lineRule="auto"/>
              <w:ind w:left="0" w:right="0" w:firstLine="0"/>
              <w:jc w:val="center"/>
              <w:rPr>
                <w:sz w:val="18"/>
                <w:szCs w:val="18"/>
              </w:rPr>
            </w:pPr>
            <w:r w:rsidRPr="009C0CB4">
              <w:rPr>
                <w:sz w:val="18"/>
                <w:szCs w:val="18"/>
              </w:rPr>
              <w:t>0.55</w:t>
            </w:r>
          </w:p>
        </w:tc>
        <w:tc>
          <w:tcPr>
            <w:tcW w:w="810" w:type="dxa"/>
            <w:tcBorders>
              <w:top w:val="single" w:sz="4" w:space="0" w:color="000000"/>
              <w:left w:val="single" w:sz="12" w:space="0" w:color="000000"/>
              <w:bottom w:val="single" w:sz="12" w:space="0" w:color="000000"/>
              <w:right w:val="single" w:sz="12" w:space="0" w:color="000000"/>
            </w:tcBorders>
            <w:vAlign w:val="center"/>
          </w:tcPr>
          <w:p w14:paraId="746ACC87" w14:textId="54E07F7C" w:rsidR="00AE16B8" w:rsidRPr="00ED4768" w:rsidRDefault="00AE16B8" w:rsidP="00BA5B04">
            <w:pPr>
              <w:spacing w:after="0" w:line="259" w:lineRule="auto"/>
              <w:ind w:left="0" w:right="44" w:firstLine="0"/>
              <w:jc w:val="center"/>
              <w:rPr>
                <w:sz w:val="18"/>
                <w:szCs w:val="18"/>
              </w:rPr>
            </w:pPr>
            <w:r w:rsidRPr="00ED4768">
              <w:rPr>
                <w:sz w:val="18"/>
                <w:szCs w:val="18"/>
              </w:rPr>
              <w:t>ng/L</w:t>
            </w:r>
          </w:p>
        </w:tc>
        <w:tc>
          <w:tcPr>
            <w:tcW w:w="720" w:type="dxa"/>
            <w:tcBorders>
              <w:top w:val="single" w:sz="4" w:space="0" w:color="000000"/>
              <w:left w:val="single" w:sz="12" w:space="0" w:color="000000"/>
              <w:bottom w:val="single" w:sz="12" w:space="0" w:color="000000"/>
              <w:right w:val="single" w:sz="12" w:space="0" w:color="000000"/>
            </w:tcBorders>
            <w:vAlign w:val="center"/>
          </w:tcPr>
          <w:p w14:paraId="4035523A" w14:textId="4387A9DD" w:rsidR="00AE16B8" w:rsidRPr="00426058" w:rsidRDefault="00AE16B8" w:rsidP="00BA5B04">
            <w:pPr>
              <w:tabs>
                <w:tab w:val="center" w:pos="445"/>
              </w:tabs>
              <w:spacing w:after="0" w:line="259" w:lineRule="auto"/>
              <w:ind w:left="0" w:right="0" w:firstLine="0"/>
              <w:jc w:val="center"/>
              <w:rPr>
                <w:sz w:val="18"/>
                <w:szCs w:val="18"/>
              </w:rPr>
            </w:pPr>
            <w:r w:rsidRPr="00426058">
              <w:rPr>
                <w:sz w:val="18"/>
                <w:szCs w:val="18"/>
              </w:rPr>
              <w:t>N/A</w:t>
            </w:r>
          </w:p>
        </w:tc>
        <w:tc>
          <w:tcPr>
            <w:tcW w:w="900" w:type="dxa"/>
            <w:tcBorders>
              <w:top w:val="single" w:sz="4" w:space="0" w:color="000000"/>
              <w:left w:val="single" w:sz="12" w:space="0" w:color="000000"/>
              <w:bottom w:val="single" w:sz="12" w:space="0" w:color="000000"/>
              <w:right w:val="single" w:sz="12" w:space="0" w:color="000000"/>
            </w:tcBorders>
            <w:vAlign w:val="center"/>
          </w:tcPr>
          <w:p w14:paraId="58A04639" w14:textId="468C59C1" w:rsidR="00AE16B8" w:rsidRDefault="00AE16B8" w:rsidP="00BA5B04">
            <w:pPr>
              <w:spacing w:after="0" w:line="259" w:lineRule="auto"/>
              <w:ind w:left="0" w:right="46" w:firstLine="0"/>
              <w:jc w:val="center"/>
              <w:rPr>
                <w:sz w:val="18"/>
                <w:szCs w:val="18"/>
              </w:rPr>
            </w:pPr>
            <w:r w:rsidRPr="006A4FA4">
              <w:rPr>
                <w:sz w:val="18"/>
                <w:szCs w:val="18"/>
              </w:rPr>
              <w:t>N/A</w:t>
            </w:r>
          </w:p>
        </w:tc>
        <w:tc>
          <w:tcPr>
            <w:tcW w:w="1440" w:type="dxa"/>
            <w:tcBorders>
              <w:top w:val="single" w:sz="4" w:space="0" w:color="000000"/>
              <w:left w:val="single" w:sz="12" w:space="0" w:color="000000"/>
              <w:bottom w:val="single" w:sz="12" w:space="0" w:color="000000"/>
              <w:right w:val="single" w:sz="12" w:space="0" w:color="000000"/>
            </w:tcBorders>
            <w:vAlign w:val="center"/>
          </w:tcPr>
          <w:p w14:paraId="17B2D9AB" w14:textId="27FDB90C" w:rsidR="00AE16B8" w:rsidRPr="00A22220" w:rsidRDefault="00AE16B8" w:rsidP="00BA5B04">
            <w:pPr>
              <w:spacing w:after="0" w:line="259" w:lineRule="auto"/>
              <w:ind w:left="0" w:right="45" w:firstLine="0"/>
              <w:jc w:val="center"/>
              <w:rPr>
                <w:sz w:val="18"/>
                <w:szCs w:val="18"/>
              </w:rPr>
            </w:pPr>
            <w:r w:rsidRPr="008F1026">
              <w:rPr>
                <w:sz w:val="18"/>
                <w:szCs w:val="18"/>
              </w:rPr>
              <w:t>537.1</w:t>
            </w:r>
          </w:p>
        </w:tc>
      </w:tr>
    </w:tbl>
    <w:p w14:paraId="12EF3088" w14:textId="77777777" w:rsidR="00B32A95" w:rsidRDefault="00B32A95" w:rsidP="00AA4507"/>
    <w:tbl>
      <w:tblPr>
        <w:tblStyle w:val="TableGrid1"/>
        <w:tblW w:w="10530" w:type="dxa"/>
        <w:tblInd w:w="-375" w:type="dxa"/>
        <w:tblLayout w:type="fixed"/>
        <w:tblCellMar>
          <w:top w:w="22" w:type="dxa"/>
          <w:left w:w="72" w:type="dxa"/>
          <w:right w:w="27" w:type="dxa"/>
        </w:tblCellMar>
        <w:tblLook w:val="04A0" w:firstRow="1" w:lastRow="0" w:firstColumn="1" w:lastColumn="0" w:noHBand="0" w:noVBand="1"/>
      </w:tblPr>
      <w:tblGrid>
        <w:gridCol w:w="4140"/>
        <w:gridCol w:w="1080"/>
        <w:gridCol w:w="1170"/>
        <w:gridCol w:w="720"/>
        <w:gridCol w:w="810"/>
        <w:gridCol w:w="1080"/>
        <w:gridCol w:w="810"/>
        <w:gridCol w:w="720"/>
      </w:tblGrid>
      <w:tr w:rsidR="00B32A95" w:rsidRPr="005E4951" w14:paraId="76ECCF7A" w14:textId="77777777" w:rsidTr="00327A4B">
        <w:trPr>
          <w:trHeight w:val="316"/>
          <w:tblHeader/>
        </w:trPr>
        <w:tc>
          <w:tcPr>
            <w:tcW w:w="10530" w:type="dxa"/>
            <w:gridSpan w:val="8"/>
            <w:tcBorders>
              <w:top w:val="single" w:sz="12" w:space="0" w:color="000000"/>
              <w:left w:val="single" w:sz="12" w:space="0" w:color="000000"/>
              <w:bottom w:val="single" w:sz="12" w:space="0" w:color="000000"/>
              <w:right w:val="single" w:sz="12" w:space="0" w:color="000000"/>
            </w:tcBorders>
            <w:vAlign w:val="center"/>
          </w:tcPr>
          <w:p w14:paraId="02A45F68" w14:textId="77777777" w:rsidR="00B32A95" w:rsidRPr="006121E0" w:rsidRDefault="00B32A95">
            <w:pPr>
              <w:spacing w:after="0" w:line="240" w:lineRule="auto"/>
              <w:ind w:left="0" w:right="0" w:firstLine="0"/>
              <w:rPr>
                <w:b/>
                <w:bCs/>
                <w:sz w:val="18"/>
                <w:szCs w:val="18"/>
              </w:rPr>
            </w:pPr>
            <w:r w:rsidRPr="006121E0">
              <w:rPr>
                <w:b/>
                <w:bCs/>
                <w:sz w:val="18"/>
                <w:szCs w:val="18"/>
              </w:rPr>
              <w:t xml:space="preserve">PFAS Group </w:t>
            </w:r>
            <w:r>
              <w:rPr>
                <w:b/>
                <w:bCs/>
                <w:sz w:val="18"/>
                <w:szCs w:val="18"/>
              </w:rPr>
              <w:t>B</w:t>
            </w:r>
            <w:proofErr w:type="gramStart"/>
            <w:r w:rsidRPr="006121E0">
              <w:rPr>
                <w:b/>
                <w:bCs/>
                <w:sz w:val="18"/>
                <w:szCs w:val="18"/>
              </w:rPr>
              <w:t>:  OLQ</w:t>
            </w:r>
            <w:proofErr w:type="gramEnd"/>
            <w:r w:rsidRPr="006121E0">
              <w:rPr>
                <w:b/>
                <w:bCs/>
                <w:sz w:val="18"/>
                <w:szCs w:val="18"/>
              </w:rPr>
              <w:t xml:space="preserve"> Standard Drinking Water List Method 533</w:t>
            </w:r>
          </w:p>
        </w:tc>
      </w:tr>
      <w:tr w:rsidR="00634F0E" w14:paraId="07DD77D2" w14:textId="77777777" w:rsidTr="00327A4B">
        <w:trPr>
          <w:trHeight w:val="425"/>
          <w:tblHeader/>
        </w:trPr>
        <w:tc>
          <w:tcPr>
            <w:tcW w:w="4140" w:type="dxa"/>
            <w:vMerge w:val="restart"/>
            <w:tcBorders>
              <w:top w:val="single" w:sz="12" w:space="0" w:color="000000"/>
              <w:left w:val="single" w:sz="12" w:space="0" w:color="000000"/>
              <w:right w:val="single" w:sz="12" w:space="0" w:color="000000"/>
            </w:tcBorders>
            <w:vAlign w:val="center"/>
          </w:tcPr>
          <w:p w14:paraId="75E06C16" w14:textId="77777777" w:rsidR="00080D00" w:rsidRDefault="00080D00" w:rsidP="00327A4B">
            <w:pPr>
              <w:spacing w:after="0" w:line="259" w:lineRule="auto"/>
              <w:ind w:left="-435" w:right="46" w:firstLine="0"/>
              <w:jc w:val="center"/>
            </w:pPr>
            <w:r>
              <w:rPr>
                <w:b/>
                <w:sz w:val="18"/>
              </w:rPr>
              <w:t>Analyte</w:t>
            </w:r>
          </w:p>
        </w:tc>
        <w:tc>
          <w:tcPr>
            <w:tcW w:w="1080" w:type="dxa"/>
            <w:vMerge w:val="restart"/>
            <w:tcBorders>
              <w:top w:val="single" w:sz="12" w:space="0" w:color="000000"/>
              <w:left w:val="single" w:sz="12" w:space="0" w:color="000000"/>
              <w:right w:val="single" w:sz="12" w:space="0" w:color="000000"/>
            </w:tcBorders>
            <w:vAlign w:val="center"/>
          </w:tcPr>
          <w:p w14:paraId="3D9F86FF" w14:textId="77777777" w:rsidR="00080D00" w:rsidRDefault="00080D00">
            <w:pPr>
              <w:spacing w:after="0" w:line="259" w:lineRule="auto"/>
              <w:ind w:left="0" w:right="0" w:firstLine="0"/>
              <w:jc w:val="center"/>
            </w:pPr>
            <w:r>
              <w:rPr>
                <w:b/>
                <w:sz w:val="18"/>
              </w:rPr>
              <w:t>CAS Number</w:t>
            </w:r>
          </w:p>
        </w:tc>
        <w:tc>
          <w:tcPr>
            <w:tcW w:w="1890" w:type="dxa"/>
            <w:gridSpan w:val="2"/>
            <w:tcBorders>
              <w:top w:val="single" w:sz="12" w:space="0" w:color="000000"/>
              <w:left w:val="single" w:sz="12" w:space="0" w:color="000000"/>
              <w:bottom w:val="single" w:sz="12" w:space="0" w:color="000000"/>
              <w:right w:val="single" w:sz="12" w:space="0" w:color="000000"/>
            </w:tcBorders>
            <w:vAlign w:val="center"/>
          </w:tcPr>
          <w:p w14:paraId="2C0AB9FB" w14:textId="77777777" w:rsidR="00080D00" w:rsidRDefault="00080D00">
            <w:pPr>
              <w:spacing w:after="0" w:line="259" w:lineRule="auto"/>
              <w:ind w:left="442" w:right="487" w:firstLine="0"/>
              <w:jc w:val="center"/>
            </w:pPr>
            <w:r>
              <w:rPr>
                <w:b/>
                <w:sz w:val="18"/>
              </w:rPr>
              <w:t xml:space="preserve">Aqueous </w:t>
            </w:r>
            <w:r>
              <w:rPr>
                <w:b/>
                <w:i/>
                <w:sz w:val="18"/>
              </w:rPr>
              <w:t>25 mL purge</w:t>
            </w:r>
          </w:p>
        </w:tc>
        <w:tc>
          <w:tcPr>
            <w:tcW w:w="1890" w:type="dxa"/>
            <w:gridSpan w:val="2"/>
            <w:tcBorders>
              <w:top w:val="single" w:sz="12" w:space="0" w:color="000000"/>
              <w:left w:val="single" w:sz="12" w:space="0" w:color="000000"/>
              <w:bottom w:val="single" w:sz="12" w:space="0" w:color="000000"/>
              <w:right w:val="single" w:sz="12" w:space="0" w:color="000000"/>
            </w:tcBorders>
            <w:vAlign w:val="center"/>
          </w:tcPr>
          <w:p w14:paraId="328DA7C1" w14:textId="77777777" w:rsidR="00080D00" w:rsidRDefault="00080D00">
            <w:pPr>
              <w:spacing w:after="0" w:line="259" w:lineRule="auto"/>
              <w:ind w:left="166" w:right="180" w:firstLine="0"/>
              <w:jc w:val="center"/>
            </w:pPr>
            <w:r>
              <w:rPr>
                <w:b/>
                <w:sz w:val="18"/>
              </w:rPr>
              <w:t xml:space="preserve">Soil/Sediment </w:t>
            </w:r>
            <w:r>
              <w:rPr>
                <w:sz w:val="18"/>
              </w:rPr>
              <w:t>(low concentration)</w:t>
            </w:r>
          </w:p>
        </w:tc>
        <w:tc>
          <w:tcPr>
            <w:tcW w:w="1530" w:type="dxa"/>
            <w:gridSpan w:val="2"/>
            <w:vMerge w:val="restart"/>
            <w:tcBorders>
              <w:top w:val="single" w:sz="12" w:space="0" w:color="000000"/>
              <w:left w:val="single" w:sz="12" w:space="0" w:color="000000"/>
              <w:right w:val="single" w:sz="12" w:space="0" w:color="000000"/>
            </w:tcBorders>
            <w:vAlign w:val="center"/>
          </w:tcPr>
          <w:p w14:paraId="7F695B38" w14:textId="2DA98619" w:rsidR="00080D00" w:rsidRDefault="00080D00">
            <w:pPr>
              <w:spacing w:after="0" w:line="259" w:lineRule="auto"/>
              <w:ind w:left="0" w:right="51" w:firstLine="0"/>
              <w:jc w:val="center"/>
              <w:rPr>
                <w:b/>
                <w:sz w:val="18"/>
              </w:rPr>
            </w:pPr>
            <w:r>
              <w:rPr>
                <w:b/>
                <w:sz w:val="18"/>
              </w:rPr>
              <w:t>Acceptable Methods</w:t>
            </w:r>
          </w:p>
        </w:tc>
      </w:tr>
      <w:tr w:rsidR="00634F0E" w14:paraId="33EB38E8" w14:textId="77777777" w:rsidTr="00327A4B">
        <w:trPr>
          <w:trHeight w:val="335"/>
          <w:tblHeader/>
        </w:trPr>
        <w:tc>
          <w:tcPr>
            <w:tcW w:w="4140" w:type="dxa"/>
            <w:vMerge/>
            <w:tcBorders>
              <w:left w:val="single" w:sz="12" w:space="0" w:color="000000"/>
              <w:bottom w:val="single" w:sz="12" w:space="0" w:color="000000"/>
              <w:right w:val="single" w:sz="12" w:space="0" w:color="000000"/>
            </w:tcBorders>
            <w:vAlign w:val="center"/>
          </w:tcPr>
          <w:p w14:paraId="564A6C29" w14:textId="77777777" w:rsidR="00080D00" w:rsidRDefault="00080D00" w:rsidP="0051464B">
            <w:pPr>
              <w:spacing w:after="0" w:line="259" w:lineRule="auto"/>
              <w:ind w:left="0" w:right="0" w:firstLine="0"/>
              <w:jc w:val="center"/>
            </w:pPr>
          </w:p>
        </w:tc>
        <w:tc>
          <w:tcPr>
            <w:tcW w:w="1080" w:type="dxa"/>
            <w:vMerge/>
            <w:tcBorders>
              <w:left w:val="single" w:sz="12" w:space="0" w:color="000000"/>
              <w:bottom w:val="single" w:sz="12" w:space="0" w:color="000000"/>
              <w:right w:val="single" w:sz="12" w:space="0" w:color="000000"/>
            </w:tcBorders>
            <w:vAlign w:val="center"/>
          </w:tcPr>
          <w:p w14:paraId="00243591" w14:textId="77777777" w:rsidR="00080D00" w:rsidRDefault="00080D00" w:rsidP="0051464B">
            <w:pPr>
              <w:spacing w:after="0" w:line="259" w:lineRule="auto"/>
              <w:ind w:left="0" w:right="0" w:firstLine="0"/>
              <w:jc w:val="center"/>
            </w:pPr>
          </w:p>
        </w:tc>
        <w:tc>
          <w:tcPr>
            <w:tcW w:w="1170" w:type="dxa"/>
            <w:tcBorders>
              <w:top w:val="single" w:sz="12" w:space="0" w:color="000000"/>
              <w:left w:val="single" w:sz="12" w:space="0" w:color="000000"/>
              <w:bottom w:val="single" w:sz="12" w:space="0" w:color="000000"/>
              <w:right w:val="single" w:sz="12" w:space="0" w:color="000000"/>
            </w:tcBorders>
            <w:vAlign w:val="center"/>
          </w:tcPr>
          <w:p w14:paraId="0827B8E5" w14:textId="5AF42E05" w:rsidR="00080D00" w:rsidRDefault="00080D00" w:rsidP="00D9633F">
            <w:pPr>
              <w:spacing w:after="0" w:line="259" w:lineRule="auto"/>
              <w:ind w:left="0" w:right="47" w:firstLine="0"/>
              <w:jc w:val="center"/>
            </w:pPr>
            <w:r>
              <w:rPr>
                <w:b/>
                <w:sz w:val="18"/>
              </w:rPr>
              <w:t xml:space="preserve">LCMRL </w:t>
            </w:r>
            <w:r w:rsidR="00B94B12">
              <w:rPr>
                <w:b/>
                <w:sz w:val="18"/>
                <w:vertAlign w:val="superscript"/>
              </w:rPr>
              <w:t>4</w:t>
            </w:r>
            <w:r>
              <w:rPr>
                <w:b/>
                <w:sz w:val="18"/>
                <w:vertAlign w:val="superscript"/>
              </w:rPr>
              <w:t>0</w:t>
            </w:r>
            <w:r w:rsidR="00B94B12">
              <w:rPr>
                <w:b/>
                <w:sz w:val="18"/>
                <w:vertAlign w:val="superscript"/>
              </w:rPr>
              <w:t>,</w:t>
            </w:r>
            <w:r>
              <w:rPr>
                <w:b/>
                <w:sz w:val="18"/>
                <w:vertAlign w:val="superscript"/>
              </w:rPr>
              <w:t>50</w:t>
            </w:r>
          </w:p>
        </w:tc>
        <w:tc>
          <w:tcPr>
            <w:tcW w:w="720" w:type="dxa"/>
            <w:tcBorders>
              <w:top w:val="single" w:sz="12" w:space="0" w:color="000000"/>
              <w:left w:val="single" w:sz="12" w:space="0" w:color="000000"/>
              <w:bottom w:val="single" w:sz="12" w:space="0" w:color="000000"/>
              <w:right w:val="single" w:sz="12" w:space="0" w:color="000000"/>
            </w:tcBorders>
            <w:vAlign w:val="center"/>
          </w:tcPr>
          <w:p w14:paraId="76ECEC07" w14:textId="77777777" w:rsidR="00080D00" w:rsidRDefault="00080D00" w:rsidP="00D9633F">
            <w:pPr>
              <w:spacing w:after="0" w:line="259" w:lineRule="auto"/>
              <w:ind w:left="0" w:right="52" w:firstLine="0"/>
              <w:jc w:val="center"/>
            </w:pPr>
            <w:r>
              <w:rPr>
                <w:b/>
                <w:sz w:val="18"/>
              </w:rPr>
              <w:t>units</w:t>
            </w:r>
          </w:p>
        </w:tc>
        <w:tc>
          <w:tcPr>
            <w:tcW w:w="810" w:type="dxa"/>
            <w:tcBorders>
              <w:top w:val="single" w:sz="12" w:space="0" w:color="000000"/>
              <w:left w:val="single" w:sz="12" w:space="0" w:color="000000"/>
              <w:bottom w:val="single" w:sz="12" w:space="0" w:color="000000"/>
              <w:right w:val="single" w:sz="12" w:space="0" w:color="000000"/>
            </w:tcBorders>
            <w:vAlign w:val="center"/>
          </w:tcPr>
          <w:p w14:paraId="7A27B1A8" w14:textId="77777777" w:rsidR="00080D00" w:rsidRDefault="00080D00" w:rsidP="00D9633F">
            <w:pPr>
              <w:spacing w:after="0" w:line="259" w:lineRule="auto"/>
              <w:ind w:left="0" w:right="47" w:firstLine="0"/>
              <w:jc w:val="center"/>
            </w:pPr>
            <w:r>
              <w:rPr>
                <w:b/>
                <w:sz w:val="18"/>
              </w:rPr>
              <w:t>RL</w:t>
            </w:r>
          </w:p>
        </w:tc>
        <w:tc>
          <w:tcPr>
            <w:tcW w:w="1080" w:type="dxa"/>
            <w:tcBorders>
              <w:top w:val="single" w:sz="12" w:space="0" w:color="000000"/>
              <w:left w:val="single" w:sz="12" w:space="0" w:color="000000"/>
              <w:bottom w:val="single" w:sz="12" w:space="0" w:color="000000"/>
              <w:right w:val="single" w:sz="12" w:space="0" w:color="000000"/>
            </w:tcBorders>
            <w:vAlign w:val="center"/>
          </w:tcPr>
          <w:p w14:paraId="5FD764F4" w14:textId="77777777" w:rsidR="00080D00" w:rsidRDefault="00080D00" w:rsidP="00D9633F">
            <w:pPr>
              <w:spacing w:after="0" w:line="259" w:lineRule="auto"/>
              <w:ind w:left="0" w:right="50" w:firstLine="0"/>
              <w:jc w:val="center"/>
            </w:pPr>
            <w:r>
              <w:rPr>
                <w:b/>
                <w:sz w:val="18"/>
              </w:rPr>
              <w:t>units</w:t>
            </w:r>
          </w:p>
        </w:tc>
        <w:tc>
          <w:tcPr>
            <w:tcW w:w="1530" w:type="dxa"/>
            <w:gridSpan w:val="2"/>
            <w:vMerge/>
            <w:tcBorders>
              <w:left w:val="single" w:sz="12" w:space="0" w:color="000000"/>
              <w:bottom w:val="single" w:sz="12" w:space="0" w:color="000000"/>
              <w:right w:val="single" w:sz="12" w:space="0" w:color="000000"/>
            </w:tcBorders>
            <w:vAlign w:val="center"/>
          </w:tcPr>
          <w:p w14:paraId="6548C645" w14:textId="77777777" w:rsidR="00080D00" w:rsidRDefault="00080D00" w:rsidP="00D9633F">
            <w:pPr>
              <w:spacing w:after="0" w:line="259" w:lineRule="auto"/>
              <w:ind w:left="0" w:right="0" w:firstLine="0"/>
              <w:jc w:val="center"/>
            </w:pPr>
          </w:p>
        </w:tc>
      </w:tr>
      <w:tr w:rsidR="00634F0E" w14:paraId="672C54EC" w14:textId="77777777" w:rsidTr="00327A4B">
        <w:trPr>
          <w:trHeight w:val="262"/>
        </w:trPr>
        <w:tc>
          <w:tcPr>
            <w:tcW w:w="4140" w:type="dxa"/>
            <w:tcBorders>
              <w:top w:val="single" w:sz="12" w:space="0" w:color="000000"/>
              <w:left w:val="single" w:sz="12" w:space="0" w:color="000000"/>
              <w:bottom w:val="single" w:sz="4" w:space="0" w:color="000000"/>
              <w:right w:val="single" w:sz="12" w:space="0" w:color="000000"/>
            </w:tcBorders>
            <w:vAlign w:val="center"/>
          </w:tcPr>
          <w:p w14:paraId="61F2EF13" w14:textId="77777777" w:rsidR="00B32A95" w:rsidRPr="002977F9" w:rsidRDefault="00B32A95">
            <w:pPr>
              <w:spacing w:after="0" w:line="259" w:lineRule="auto"/>
              <w:ind w:left="0" w:right="0" w:firstLine="0"/>
              <w:rPr>
                <w:sz w:val="18"/>
                <w:szCs w:val="18"/>
              </w:rPr>
            </w:pPr>
            <w:r w:rsidRPr="002977F9">
              <w:rPr>
                <w:sz w:val="18"/>
                <w:szCs w:val="18"/>
              </w:rPr>
              <w:t>11-Chloroeicosafluoro-3-oxaundecane-1-sulfonic acid</w:t>
            </w:r>
            <w:r>
              <w:rPr>
                <w:sz w:val="18"/>
                <w:szCs w:val="18"/>
              </w:rPr>
              <w:t xml:space="preserve"> (11Cl-PF3OUdS)</w:t>
            </w:r>
          </w:p>
        </w:tc>
        <w:tc>
          <w:tcPr>
            <w:tcW w:w="1080" w:type="dxa"/>
            <w:tcBorders>
              <w:top w:val="single" w:sz="12" w:space="0" w:color="000000"/>
              <w:left w:val="single" w:sz="12" w:space="0" w:color="000000"/>
              <w:bottom w:val="single" w:sz="4" w:space="0" w:color="000000"/>
              <w:right w:val="single" w:sz="12" w:space="0" w:color="000000"/>
            </w:tcBorders>
            <w:vAlign w:val="center"/>
          </w:tcPr>
          <w:p w14:paraId="3FCAA117" w14:textId="77777777" w:rsidR="00B32A95" w:rsidRPr="00123BFF" w:rsidRDefault="00B32A95">
            <w:pPr>
              <w:spacing w:after="0" w:line="259" w:lineRule="auto"/>
              <w:ind w:left="0" w:right="44" w:firstLine="0"/>
              <w:jc w:val="center"/>
              <w:rPr>
                <w:sz w:val="18"/>
                <w:szCs w:val="18"/>
              </w:rPr>
            </w:pPr>
            <w:r w:rsidRPr="00123BFF">
              <w:rPr>
                <w:sz w:val="18"/>
                <w:szCs w:val="18"/>
              </w:rPr>
              <w:t>763051-92-9</w:t>
            </w:r>
          </w:p>
        </w:tc>
        <w:tc>
          <w:tcPr>
            <w:tcW w:w="1170" w:type="dxa"/>
            <w:tcBorders>
              <w:top w:val="single" w:sz="12" w:space="0" w:color="000000"/>
              <w:left w:val="single" w:sz="12" w:space="0" w:color="000000"/>
              <w:bottom w:val="single" w:sz="4" w:space="0" w:color="000000"/>
              <w:right w:val="single" w:sz="12" w:space="0" w:color="000000"/>
            </w:tcBorders>
            <w:vAlign w:val="center"/>
          </w:tcPr>
          <w:p w14:paraId="5B92CC7D" w14:textId="77777777" w:rsidR="00B32A95" w:rsidRPr="00275095" w:rsidRDefault="00B32A95">
            <w:pPr>
              <w:tabs>
                <w:tab w:val="center" w:pos="488"/>
              </w:tabs>
              <w:spacing w:after="0" w:line="259" w:lineRule="auto"/>
              <w:ind w:left="0" w:right="0" w:firstLine="0"/>
              <w:jc w:val="center"/>
              <w:rPr>
                <w:sz w:val="18"/>
                <w:szCs w:val="18"/>
              </w:rPr>
            </w:pPr>
            <w:r>
              <w:rPr>
                <w:sz w:val="18"/>
                <w:szCs w:val="18"/>
              </w:rPr>
              <w:t>1.6</w:t>
            </w:r>
          </w:p>
        </w:tc>
        <w:tc>
          <w:tcPr>
            <w:tcW w:w="720" w:type="dxa"/>
            <w:tcBorders>
              <w:top w:val="single" w:sz="12" w:space="0" w:color="000000"/>
              <w:left w:val="single" w:sz="12" w:space="0" w:color="000000"/>
              <w:bottom w:val="single" w:sz="4" w:space="0" w:color="000000"/>
              <w:right w:val="single" w:sz="12" w:space="0" w:color="000000"/>
            </w:tcBorders>
            <w:vAlign w:val="center"/>
          </w:tcPr>
          <w:p w14:paraId="29BBCF26" w14:textId="77777777" w:rsidR="00B32A95" w:rsidRPr="000376D7" w:rsidRDefault="00B32A95">
            <w:pPr>
              <w:spacing w:after="0" w:line="259" w:lineRule="auto"/>
              <w:ind w:left="0" w:right="44" w:firstLine="0"/>
              <w:jc w:val="center"/>
            </w:pPr>
            <w:r w:rsidRPr="00ED4768">
              <w:rPr>
                <w:sz w:val="18"/>
                <w:szCs w:val="18"/>
              </w:rPr>
              <w:t>ng/L</w:t>
            </w:r>
          </w:p>
        </w:tc>
        <w:tc>
          <w:tcPr>
            <w:tcW w:w="810" w:type="dxa"/>
            <w:tcBorders>
              <w:top w:val="single" w:sz="12" w:space="0" w:color="000000"/>
              <w:left w:val="single" w:sz="12" w:space="0" w:color="000000"/>
              <w:bottom w:val="single" w:sz="4" w:space="0" w:color="000000"/>
              <w:right w:val="single" w:sz="12" w:space="0" w:color="000000"/>
            </w:tcBorders>
            <w:vAlign w:val="center"/>
          </w:tcPr>
          <w:p w14:paraId="2506A253" w14:textId="77777777" w:rsidR="00B32A95" w:rsidRDefault="00B32A95">
            <w:pPr>
              <w:tabs>
                <w:tab w:val="center" w:pos="399"/>
              </w:tabs>
              <w:spacing w:after="0" w:line="259" w:lineRule="auto"/>
              <w:ind w:left="0" w:right="0" w:firstLine="0"/>
              <w:jc w:val="center"/>
            </w:pPr>
            <w:r w:rsidRPr="00426058">
              <w:rPr>
                <w:sz w:val="18"/>
                <w:szCs w:val="18"/>
              </w:rPr>
              <w:t>N/A</w:t>
            </w:r>
          </w:p>
        </w:tc>
        <w:tc>
          <w:tcPr>
            <w:tcW w:w="1080" w:type="dxa"/>
            <w:tcBorders>
              <w:top w:val="single" w:sz="12" w:space="0" w:color="000000"/>
              <w:left w:val="single" w:sz="12" w:space="0" w:color="000000"/>
              <w:bottom w:val="single" w:sz="4" w:space="0" w:color="000000"/>
              <w:right w:val="single" w:sz="12" w:space="0" w:color="000000"/>
            </w:tcBorders>
            <w:vAlign w:val="center"/>
          </w:tcPr>
          <w:p w14:paraId="0A8E0281" w14:textId="77777777" w:rsidR="00B32A95" w:rsidRDefault="00B32A95">
            <w:pPr>
              <w:spacing w:after="0" w:line="259" w:lineRule="auto"/>
              <w:ind w:left="0" w:right="46" w:firstLine="0"/>
              <w:jc w:val="center"/>
            </w:pPr>
            <w:r w:rsidRPr="00426058">
              <w:rPr>
                <w:sz w:val="18"/>
                <w:szCs w:val="18"/>
              </w:rPr>
              <w:t>N/A</w:t>
            </w:r>
          </w:p>
        </w:tc>
        <w:tc>
          <w:tcPr>
            <w:tcW w:w="810" w:type="dxa"/>
            <w:tcBorders>
              <w:top w:val="single" w:sz="12" w:space="0" w:color="000000"/>
              <w:left w:val="single" w:sz="12" w:space="0" w:color="000000"/>
              <w:bottom w:val="single" w:sz="4" w:space="0" w:color="000000"/>
              <w:right w:val="single" w:sz="12" w:space="0" w:color="000000"/>
            </w:tcBorders>
            <w:vAlign w:val="center"/>
          </w:tcPr>
          <w:p w14:paraId="0502B2C2" w14:textId="77777777" w:rsidR="00B32A95" w:rsidRPr="002C1B8B" w:rsidRDefault="00B32A95">
            <w:pPr>
              <w:spacing w:after="0" w:line="259" w:lineRule="auto"/>
              <w:ind w:left="0" w:right="45" w:firstLine="0"/>
              <w:jc w:val="center"/>
              <w:rPr>
                <w:sz w:val="18"/>
                <w:szCs w:val="18"/>
              </w:rPr>
            </w:pPr>
            <w:r w:rsidRPr="002C1B8B">
              <w:rPr>
                <w:sz w:val="18"/>
                <w:szCs w:val="18"/>
              </w:rPr>
              <w:t>533</w:t>
            </w:r>
          </w:p>
        </w:tc>
        <w:tc>
          <w:tcPr>
            <w:tcW w:w="720" w:type="dxa"/>
            <w:tcBorders>
              <w:top w:val="single" w:sz="12" w:space="0" w:color="000000"/>
              <w:left w:val="single" w:sz="12" w:space="0" w:color="000000"/>
              <w:bottom w:val="single" w:sz="4" w:space="0" w:color="000000"/>
              <w:right w:val="single" w:sz="12" w:space="0" w:color="000000"/>
            </w:tcBorders>
            <w:vAlign w:val="center"/>
          </w:tcPr>
          <w:p w14:paraId="5390702D" w14:textId="77777777" w:rsidR="00B32A95" w:rsidRPr="002C1B8B" w:rsidRDefault="00B32A95">
            <w:pPr>
              <w:spacing w:after="0" w:line="259" w:lineRule="auto"/>
              <w:ind w:left="0" w:right="48" w:firstLine="0"/>
              <w:jc w:val="center"/>
              <w:rPr>
                <w:sz w:val="18"/>
                <w:szCs w:val="18"/>
              </w:rPr>
            </w:pPr>
          </w:p>
        </w:tc>
      </w:tr>
      <w:tr w:rsidR="00634F0E" w14:paraId="179FDCF0" w14:textId="77777777" w:rsidTr="00327A4B">
        <w:trPr>
          <w:trHeight w:val="250"/>
        </w:trPr>
        <w:tc>
          <w:tcPr>
            <w:tcW w:w="4140" w:type="dxa"/>
            <w:tcBorders>
              <w:top w:val="single" w:sz="4" w:space="0" w:color="000000"/>
              <w:left w:val="single" w:sz="12" w:space="0" w:color="000000"/>
              <w:bottom w:val="single" w:sz="4" w:space="0" w:color="000000"/>
              <w:right w:val="single" w:sz="12" w:space="0" w:color="000000"/>
            </w:tcBorders>
            <w:vAlign w:val="center"/>
          </w:tcPr>
          <w:p w14:paraId="2AC2D520" w14:textId="77777777" w:rsidR="00B32A95" w:rsidRPr="002977F9" w:rsidRDefault="00B32A95">
            <w:pPr>
              <w:spacing w:after="0" w:line="259" w:lineRule="auto"/>
              <w:ind w:left="0" w:right="0" w:firstLine="0"/>
              <w:rPr>
                <w:sz w:val="18"/>
                <w:szCs w:val="18"/>
              </w:rPr>
            </w:pPr>
            <w:r>
              <w:rPr>
                <w:sz w:val="18"/>
                <w:szCs w:val="18"/>
              </w:rPr>
              <w:t>9-Chlorohexadecafluoro-3-oxanone-1-sulfonic acid (9Cl-PF3ONS)</w:t>
            </w:r>
          </w:p>
        </w:tc>
        <w:tc>
          <w:tcPr>
            <w:tcW w:w="1080" w:type="dxa"/>
            <w:tcBorders>
              <w:top w:val="single" w:sz="4" w:space="0" w:color="000000"/>
              <w:left w:val="single" w:sz="12" w:space="0" w:color="000000"/>
              <w:bottom w:val="single" w:sz="4" w:space="0" w:color="000000"/>
              <w:right w:val="single" w:sz="12" w:space="0" w:color="000000"/>
            </w:tcBorders>
            <w:vAlign w:val="center"/>
          </w:tcPr>
          <w:p w14:paraId="0F76FBFA" w14:textId="77777777" w:rsidR="00B32A95" w:rsidRPr="00123BFF" w:rsidRDefault="00B32A95">
            <w:pPr>
              <w:spacing w:after="0" w:line="259" w:lineRule="auto"/>
              <w:ind w:left="0" w:right="44" w:firstLine="0"/>
              <w:jc w:val="center"/>
              <w:rPr>
                <w:sz w:val="18"/>
                <w:szCs w:val="18"/>
              </w:rPr>
            </w:pPr>
            <w:r>
              <w:rPr>
                <w:sz w:val="18"/>
                <w:szCs w:val="18"/>
              </w:rPr>
              <w:t>756426-58-1</w:t>
            </w:r>
          </w:p>
        </w:tc>
        <w:tc>
          <w:tcPr>
            <w:tcW w:w="1170" w:type="dxa"/>
            <w:tcBorders>
              <w:top w:val="single" w:sz="4" w:space="0" w:color="000000"/>
              <w:left w:val="single" w:sz="12" w:space="0" w:color="000000"/>
              <w:bottom w:val="single" w:sz="4" w:space="0" w:color="000000"/>
              <w:right w:val="single" w:sz="12" w:space="0" w:color="000000"/>
            </w:tcBorders>
            <w:vAlign w:val="center"/>
          </w:tcPr>
          <w:p w14:paraId="62AD6702" w14:textId="77777777" w:rsidR="00B32A95" w:rsidRPr="00275095" w:rsidRDefault="00B32A95">
            <w:pPr>
              <w:tabs>
                <w:tab w:val="center" w:pos="467"/>
              </w:tabs>
              <w:spacing w:after="0" w:line="259" w:lineRule="auto"/>
              <w:ind w:left="0" w:right="0" w:firstLine="0"/>
              <w:jc w:val="center"/>
              <w:rPr>
                <w:sz w:val="18"/>
                <w:szCs w:val="18"/>
              </w:rPr>
            </w:pPr>
            <w:r>
              <w:rPr>
                <w:sz w:val="18"/>
                <w:szCs w:val="18"/>
              </w:rPr>
              <w:t>1.4</w:t>
            </w:r>
          </w:p>
        </w:tc>
        <w:tc>
          <w:tcPr>
            <w:tcW w:w="720" w:type="dxa"/>
            <w:tcBorders>
              <w:top w:val="single" w:sz="4" w:space="0" w:color="000000"/>
              <w:left w:val="single" w:sz="12" w:space="0" w:color="000000"/>
              <w:bottom w:val="single" w:sz="4" w:space="0" w:color="000000"/>
              <w:right w:val="single" w:sz="12" w:space="0" w:color="000000"/>
            </w:tcBorders>
            <w:vAlign w:val="center"/>
          </w:tcPr>
          <w:p w14:paraId="3155929E" w14:textId="77777777" w:rsidR="00B32A95" w:rsidRPr="000376D7" w:rsidRDefault="00B32A95">
            <w:pPr>
              <w:spacing w:after="0" w:line="259" w:lineRule="auto"/>
              <w:ind w:left="0" w:right="44" w:firstLine="0"/>
              <w:jc w:val="center"/>
            </w:pPr>
            <w:r w:rsidRPr="00430F48">
              <w:rPr>
                <w:sz w:val="18"/>
                <w:szCs w:val="18"/>
              </w:rPr>
              <w:t>ng/L</w:t>
            </w:r>
          </w:p>
        </w:tc>
        <w:tc>
          <w:tcPr>
            <w:tcW w:w="810" w:type="dxa"/>
            <w:tcBorders>
              <w:top w:val="single" w:sz="4" w:space="0" w:color="000000"/>
              <w:left w:val="single" w:sz="12" w:space="0" w:color="000000"/>
              <w:bottom w:val="single" w:sz="4" w:space="0" w:color="000000"/>
              <w:right w:val="single" w:sz="12" w:space="0" w:color="000000"/>
            </w:tcBorders>
            <w:vAlign w:val="center"/>
          </w:tcPr>
          <w:p w14:paraId="3AE6778A" w14:textId="77777777" w:rsidR="00B32A95" w:rsidRDefault="00B32A95">
            <w:pPr>
              <w:tabs>
                <w:tab w:val="center" w:pos="379"/>
              </w:tabs>
              <w:spacing w:after="0" w:line="259" w:lineRule="auto"/>
              <w:ind w:left="0" w:right="0" w:firstLine="0"/>
              <w:jc w:val="center"/>
            </w:pPr>
            <w:r w:rsidRPr="00426058">
              <w:rPr>
                <w:sz w:val="18"/>
                <w:szCs w:val="18"/>
              </w:rPr>
              <w:t>N/A</w:t>
            </w:r>
          </w:p>
        </w:tc>
        <w:tc>
          <w:tcPr>
            <w:tcW w:w="1080" w:type="dxa"/>
            <w:tcBorders>
              <w:top w:val="single" w:sz="4" w:space="0" w:color="000000"/>
              <w:left w:val="single" w:sz="12" w:space="0" w:color="000000"/>
              <w:bottom w:val="single" w:sz="4" w:space="0" w:color="000000"/>
              <w:right w:val="single" w:sz="12" w:space="0" w:color="000000"/>
            </w:tcBorders>
            <w:vAlign w:val="center"/>
          </w:tcPr>
          <w:p w14:paraId="3684AF31" w14:textId="77777777" w:rsidR="00B32A95" w:rsidRDefault="00B32A95">
            <w:pPr>
              <w:spacing w:after="0" w:line="259" w:lineRule="auto"/>
              <w:ind w:left="0" w:right="46" w:firstLine="0"/>
              <w:jc w:val="center"/>
            </w:pPr>
            <w:r w:rsidRPr="00426058">
              <w:rPr>
                <w:sz w:val="18"/>
                <w:szCs w:val="18"/>
              </w:rPr>
              <w:t>N/A</w:t>
            </w:r>
          </w:p>
        </w:tc>
        <w:tc>
          <w:tcPr>
            <w:tcW w:w="810" w:type="dxa"/>
            <w:tcBorders>
              <w:top w:val="single" w:sz="4" w:space="0" w:color="000000"/>
              <w:left w:val="single" w:sz="12" w:space="0" w:color="000000"/>
              <w:bottom w:val="single" w:sz="4" w:space="0" w:color="000000"/>
              <w:right w:val="single" w:sz="12" w:space="0" w:color="000000"/>
            </w:tcBorders>
            <w:vAlign w:val="center"/>
          </w:tcPr>
          <w:p w14:paraId="1B41BE46" w14:textId="77777777" w:rsidR="00B32A95" w:rsidRPr="002C1B8B" w:rsidRDefault="00B32A95">
            <w:pPr>
              <w:spacing w:after="0" w:line="259" w:lineRule="auto"/>
              <w:ind w:left="0" w:right="45" w:firstLine="0"/>
              <w:jc w:val="center"/>
              <w:rPr>
                <w:sz w:val="18"/>
                <w:szCs w:val="18"/>
              </w:rPr>
            </w:pPr>
            <w:r w:rsidRPr="00C9085E">
              <w:rPr>
                <w:sz w:val="18"/>
                <w:szCs w:val="18"/>
              </w:rPr>
              <w:t>533</w:t>
            </w:r>
          </w:p>
        </w:tc>
        <w:tc>
          <w:tcPr>
            <w:tcW w:w="720" w:type="dxa"/>
            <w:tcBorders>
              <w:top w:val="single" w:sz="4" w:space="0" w:color="000000"/>
              <w:left w:val="single" w:sz="12" w:space="0" w:color="000000"/>
              <w:bottom w:val="single" w:sz="4" w:space="0" w:color="000000"/>
              <w:right w:val="single" w:sz="12" w:space="0" w:color="000000"/>
            </w:tcBorders>
            <w:vAlign w:val="center"/>
          </w:tcPr>
          <w:p w14:paraId="442D443E" w14:textId="77777777" w:rsidR="00B32A95" w:rsidRPr="002C1B8B" w:rsidRDefault="00B32A95">
            <w:pPr>
              <w:spacing w:after="0" w:line="259" w:lineRule="auto"/>
              <w:ind w:left="0" w:right="48" w:firstLine="0"/>
              <w:jc w:val="center"/>
              <w:rPr>
                <w:sz w:val="18"/>
                <w:szCs w:val="18"/>
              </w:rPr>
            </w:pPr>
          </w:p>
        </w:tc>
      </w:tr>
      <w:tr w:rsidR="00634F0E" w14:paraId="67EA6B65" w14:textId="77777777" w:rsidTr="00327A4B">
        <w:trPr>
          <w:trHeight w:val="250"/>
        </w:trPr>
        <w:tc>
          <w:tcPr>
            <w:tcW w:w="4140" w:type="dxa"/>
            <w:tcBorders>
              <w:top w:val="single" w:sz="4" w:space="0" w:color="000000"/>
              <w:left w:val="single" w:sz="12" w:space="0" w:color="000000"/>
              <w:bottom w:val="single" w:sz="4" w:space="0" w:color="000000"/>
              <w:right w:val="single" w:sz="12" w:space="0" w:color="000000"/>
            </w:tcBorders>
            <w:vAlign w:val="center"/>
          </w:tcPr>
          <w:p w14:paraId="6AEB9191" w14:textId="77777777" w:rsidR="00B32A95" w:rsidRPr="002977F9" w:rsidRDefault="00B32A95">
            <w:pPr>
              <w:spacing w:after="0" w:line="259" w:lineRule="auto"/>
              <w:ind w:left="0" w:right="0" w:firstLine="0"/>
              <w:rPr>
                <w:sz w:val="18"/>
                <w:szCs w:val="18"/>
              </w:rPr>
            </w:pPr>
            <w:r>
              <w:rPr>
                <w:sz w:val="18"/>
                <w:szCs w:val="18"/>
              </w:rPr>
              <w:lastRenderedPageBreak/>
              <w:t>4,8-Dioxa-3H-perfluorononanoic acid (ADONA)</w:t>
            </w:r>
          </w:p>
        </w:tc>
        <w:tc>
          <w:tcPr>
            <w:tcW w:w="1080" w:type="dxa"/>
            <w:tcBorders>
              <w:top w:val="single" w:sz="4" w:space="0" w:color="000000"/>
              <w:left w:val="single" w:sz="12" w:space="0" w:color="000000"/>
              <w:bottom w:val="single" w:sz="4" w:space="0" w:color="000000"/>
              <w:right w:val="single" w:sz="12" w:space="0" w:color="000000"/>
            </w:tcBorders>
            <w:vAlign w:val="center"/>
          </w:tcPr>
          <w:p w14:paraId="6A3C5239" w14:textId="77777777" w:rsidR="00B32A95" w:rsidRPr="00123BFF" w:rsidRDefault="00B32A95">
            <w:pPr>
              <w:spacing w:after="0" w:line="259" w:lineRule="auto"/>
              <w:ind w:left="0" w:right="44" w:firstLine="0"/>
              <w:jc w:val="center"/>
              <w:rPr>
                <w:sz w:val="18"/>
                <w:szCs w:val="18"/>
              </w:rPr>
            </w:pPr>
            <w:r>
              <w:rPr>
                <w:sz w:val="18"/>
                <w:szCs w:val="18"/>
              </w:rPr>
              <w:t>919005-14-4</w:t>
            </w:r>
          </w:p>
        </w:tc>
        <w:tc>
          <w:tcPr>
            <w:tcW w:w="1170" w:type="dxa"/>
            <w:tcBorders>
              <w:top w:val="single" w:sz="4" w:space="0" w:color="000000"/>
              <w:left w:val="single" w:sz="12" w:space="0" w:color="000000"/>
              <w:bottom w:val="single" w:sz="4" w:space="0" w:color="000000"/>
              <w:right w:val="single" w:sz="12" w:space="0" w:color="000000"/>
            </w:tcBorders>
            <w:vAlign w:val="center"/>
          </w:tcPr>
          <w:p w14:paraId="272B39F0" w14:textId="77777777" w:rsidR="00B32A95" w:rsidRPr="00275095" w:rsidRDefault="00B32A95">
            <w:pPr>
              <w:tabs>
                <w:tab w:val="center" w:pos="534"/>
              </w:tabs>
              <w:spacing w:after="0" w:line="259" w:lineRule="auto"/>
              <w:ind w:left="0" w:right="0" w:firstLine="0"/>
              <w:jc w:val="center"/>
              <w:rPr>
                <w:sz w:val="18"/>
                <w:szCs w:val="18"/>
              </w:rPr>
            </w:pPr>
            <w:r>
              <w:rPr>
                <w:sz w:val="18"/>
                <w:szCs w:val="18"/>
              </w:rPr>
              <w:t>3.4</w:t>
            </w:r>
          </w:p>
        </w:tc>
        <w:tc>
          <w:tcPr>
            <w:tcW w:w="720" w:type="dxa"/>
            <w:tcBorders>
              <w:top w:val="single" w:sz="4" w:space="0" w:color="000000"/>
              <w:left w:val="single" w:sz="12" w:space="0" w:color="000000"/>
              <w:bottom w:val="single" w:sz="4" w:space="0" w:color="000000"/>
              <w:right w:val="single" w:sz="12" w:space="0" w:color="000000"/>
            </w:tcBorders>
            <w:vAlign w:val="center"/>
          </w:tcPr>
          <w:p w14:paraId="405A6EE0" w14:textId="77777777" w:rsidR="00B32A95" w:rsidRPr="000376D7" w:rsidRDefault="00B32A95">
            <w:pPr>
              <w:spacing w:after="0" w:line="259" w:lineRule="auto"/>
              <w:ind w:left="0" w:right="44" w:firstLine="0"/>
              <w:jc w:val="center"/>
            </w:pPr>
            <w:r w:rsidRPr="00430F48">
              <w:rPr>
                <w:sz w:val="18"/>
                <w:szCs w:val="18"/>
              </w:rPr>
              <w:t>ng/L</w:t>
            </w:r>
          </w:p>
        </w:tc>
        <w:tc>
          <w:tcPr>
            <w:tcW w:w="810" w:type="dxa"/>
            <w:tcBorders>
              <w:top w:val="single" w:sz="4" w:space="0" w:color="000000"/>
              <w:left w:val="single" w:sz="12" w:space="0" w:color="000000"/>
              <w:bottom w:val="single" w:sz="4" w:space="0" w:color="000000"/>
              <w:right w:val="single" w:sz="12" w:space="0" w:color="000000"/>
            </w:tcBorders>
            <w:vAlign w:val="center"/>
          </w:tcPr>
          <w:p w14:paraId="685C542D" w14:textId="77777777" w:rsidR="00B32A95" w:rsidRDefault="00B32A95">
            <w:pPr>
              <w:tabs>
                <w:tab w:val="center" w:pos="445"/>
              </w:tabs>
              <w:spacing w:after="0" w:line="259" w:lineRule="auto"/>
              <w:ind w:left="0" w:right="0" w:firstLine="0"/>
              <w:jc w:val="center"/>
            </w:pPr>
            <w:r w:rsidRPr="00426058">
              <w:rPr>
                <w:sz w:val="18"/>
                <w:szCs w:val="18"/>
              </w:rPr>
              <w:t>N/A</w:t>
            </w:r>
          </w:p>
        </w:tc>
        <w:tc>
          <w:tcPr>
            <w:tcW w:w="1080" w:type="dxa"/>
            <w:tcBorders>
              <w:top w:val="single" w:sz="4" w:space="0" w:color="000000"/>
              <w:left w:val="single" w:sz="12" w:space="0" w:color="000000"/>
              <w:bottom w:val="single" w:sz="4" w:space="0" w:color="000000"/>
              <w:right w:val="single" w:sz="12" w:space="0" w:color="000000"/>
            </w:tcBorders>
            <w:vAlign w:val="center"/>
          </w:tcPr>
          <w:p w14:paraId="39162328" w14:textId="77777777" w:rsidR="00B32A95" w:rsidRDefault="00B32A95">
            <w:pPr>
              <w:spacing w:after="0" w:line="259" w:lineRule="auto"/>
              <w:ind w:left="0" w:right="46" w:firstLine="0"/>
              <w:jc w:val="center"/>
            </w:pPr>
            <w:r w:rsidRPr="00426058">
              <w:rPr>
                <w:sz w:val="18"/>
                <w:szCs w:val="18"/>
              </w:rPr>
              <w:t>N/A</w:t>
            </w:r>
          </w:p>
        </w:tc>
        <w:tc>
          <w:tcPr>
            <w:tcW w:w="810" w:type="dxa"/>
            <w:tcBorders>
              <w:top w:val="single" w:sz="4" w:space="0" w:color="000000"/>
              <w:left w:val="single" w:sz="12" w:space="0" w:color="000000"/>
              <w:bottom w:val="single" w:sz="4" w:space="0" w:color="000000"/>
              <w:right w:val="single" w:sz="12" w:space="0" w:color="000000"/>
            </w:tcBorders>
            <w:vAlign w:val="center"/>
          </w:tcPr>
          <w:p w14:paraId="214F8316" w14:textId="77777777" w:rsidR="00B32A95" w:rsidRDefault="00B32A95">
            <w:pPr>
              <w:spacing w:after="0" w:line="259" w:lineRule="auto"/>
              <w:ind w:left="0" w:right="45" w:firstLine="0"/>
              <w:jc w:val="center"/>
            </w:pPr>
            <w:r w:rsidRPr="00C9085E">
              <w:rPr>
                <w:sz w:val="18"/>
                <w:szCs w:val="18"/>
              </w:rPr>
              <w:t>533</w:t>
            </w:r>
          </w:p>
        </w:tc>
        <w:tc>
          <w:tcPr>
            <w:tcW w:w="720" w:type="dxa"/>
            <w:tcBorders>
              <w:top w:val="single" w:sz="4" w:space="0" w:color="000000"/>
              <w:left w:val="single" w:sz="12" w:space="0" w:color="000000"/>
              <w:bottom w:val="single" w:sz="4" w:space="0" w:color="000000"/>
              <w:right w:val="single" w:sz="12" w:space="0" w:color="000000"/>
            </w:tcBorders>
            <w:vAlign w:val="center"/>
          </w:tcPr>
          <w:p w14:paraId="02649666" w14:textId="77777777" w:rsidR="00B32A95" w:rsidRDefault="00B32A95">
            <w:pPr>
              <w:spacing w:after="0" w:line="259" w:lineRule="auto"/>
              <w:ind w:left="0" w:right="48" w:firstLine="0"/>
              <w:jc w:val="center"/>
            </w:pPr>
          </w:p>
        </w:tc>
      </w:tr>
      <w:tr w:rsidR="00634F0E" w14:paraId="4E91F071" w14:textId="77777777" w:rsidTr="00327A4B">
        <w:trPr>
          <w:trHeight w:val="250"/>
        </w:trPr>
        <w:tc>
          <w:tcPr>
            <w:tcW w:w="4140" w:type="dxa"/>
            <w:tcBorders>
              <w:top w:val="single" w:sz="4" w:space="0" w:color="000000"/>
              <w:left w:val="single" w:sz="12" w:space="0" w:color="000000"/>
              <w:bottom w:val="single" w:sz="4" w:space="0" w:color="000000"/>
              <w:right w:val="single" w:sz="12" w:space="0" w:color="000000"/>
            </w:tcBorders>
            <w:vAlign w:val="center"/>
          </w:tcPr>
          <w:p w14:paraId="2726DF35" w14:textId="77777777" w:rsidR="00B32A95" w:rsidRPr="002977F9" w:rsidRDefault="00B32A95">
            <w:pPr>
              <w:spacing w:after="0" w:line="259" w:lineRule="auto"/>
              <w:ind w:left="0" w:right="0" w:firstLine="0"/>
              <w:rPr>
                <w:sz w:val="18"/>
                <w:szCs w:val="18"/>
              </w:rPr>
            </w:pPr>
            <w:r>
              <w:rPr>
                <w:sz w:val="18"/>
                <w:szCs w:val="18"/>
              </w:rPr>
              <w:t>Hexafluoropropylene oxide dimer acid (HFPO-DA)</w:t>
            </w:r>
          </w:p>
        </w:tc>
        <w:tc>
          <w:tcPr>
            <w:tcW w:w="1080" w:type="dxa"/>
            <w:tcBorders>
              <w:top w:val="single" w:sz="4" w:space="0" w:color="000000"/>
              <w:left w:val="single" w:sz="12" w:space="0" w:color="000000"/>
              <w:bottom w:val="single" w:sz="4" w:space="0" w:color="000000"/>
              <w:right w:val="single" w:sz="12" w:space="0" w:color="000000"/>
            </w:tcBorders>
            <w:vAlign w:val="center"/>
          </w:tcPr>
          <w:p w14:paraId="194DB2BF" w14:textId="77777777" w:rsidR="00B32A95" w:rsidRPr="00123BFF" w:rsidRDefault="00B32A95">
            <w:pPr>
              <w:spacing w:after="0" w:line="259" w:lineRule="auto"/>
              <w:ind w:left="0" w:right="44" w:firstLine="0"/>
              <w:jc w:val="center"/>
              <w:rPr>
                <w:sz w:val="18"/>
                <w:szCs w:val="18"/>
              </w:rPr>
            </w:pPr>
            <w:r>
              <w:rPr>
                <w:sz w:val="18"/>
                <w:szCs w:val="18"/>
              </w:rPr>
              <w:t>13252-13-6</w:t>
            </w:r>
          </w:p>
        </w:tc>
        <w:tc>
          <w:tcPr>
            <w:tcW w:w="1170" w:type="dxa"/>
            <w:tcBorders>
              <w:top w:val="single" w:sz="4" w:space="0" w:color="000000"/>
              <w:left w:val="single" w:sz="12" w:space="0" w:color="000000"/>
              <w:bottom w:val="single" w:sz="4" w:space="0" w:color="000000"/>
              <w:right w:val="single" w:sz="12" w:space="0" w:color="000000"/>
            </w:tcBorders>
            <w:vAlign w:val="center"/>
          </w:tcPr>
          <w:p w14:paraId="54CF0F98" w14:textId="77777777" w:rsidR="00B32A95" w:rsidRPr="00275095" w:rsidRDefault="00B32A95">
            <w:pPr>
              <w:tabs>
                <w:tab w:val="center" w:pos="534"/>
              </w:tabs>
              <w:spacing w:after="0" w:line="259" w:lineRule="auto"/>
              <w:ind w:left="0" w:right="0" w:firstLine="0"/>
              <w:jc w:val="center"/>
              <w:rPr>
                <w:sz w:val="18"/>
                <w:szCs w:val="18"/>
              </w:rPr>
            </w:pPr>
            <w:r>
              <w:rPr>
                <w:sz w:val="18"/>
                <w:szCs w:val="18"/>
              </w:rPr>
              <w:t>3.7</w:t>
            </w:r>
          </w:p>
        </w:tc>
        <w:tc>
          <w:tcPr>
            <w:tcW w:w="720" w:type="dxa"/>
            <w:tcBorders>
              <w:top w:val="single" w:sz="4" w:space="0" w:color="000000"/>
              <w:left w:val="single" w:sz="12" w:space="0" w:color="000000"/>
              <w:bottom w:val="single" w:sz="4" w:space="0" w:color="000000"/>
              <w:right w:val="single" w:sz="12" w:space="0" w:color="000000"/>
            </w:tcBorders>
            <w:vAlign w:val="center"/>
          </w:tcPr>
          <w:p w14:paraId="26961BA1" w14:textId="77777777" w:rsidR="00B32A95" w:rsidRPr="000376D7" w:rsidRDefault="00B32A95">
            <w:pPr>
              <w:spacing w:after="0" w:line="259" w:lineRule="auto"/>
              <w:ind w:left="0" w:right="44" w:firstLine="0"/>
              <w:jc w:val="center"/>
            </w:pPr>
            <w:r w:rsidRPr="00430F48">
              <w:rPr>
                <w:sz w:val="18"/>
                <w:szCs w:val="18"/>
              </w:rPr>
              <w:t>ng/L</w:t>
            </w:r>
          </w:p>
        </w:tc>
        <w:tc>
          <w:tcPr>
            <w:tcW w:w="810" w:type="dxa"/>
            <w:tcBorders>
              <w:top w:val="single" w:sz="4" w:space="0" w:color="000000"/>
              <w:left w:val="single" w:sz="12" w:space="0" w:color="000000"/>
              <w:bottom w:val="single" w:sz="4" w:space="0" w:color="000000"/>
              <w:right w:val="single" w:sz="12" w:space="0" w:color="000000"/>
            </w:tcBorders>
            <w:vAlign w:val="center"/>
          </w:tcPr>
          <w:p w14:paraId="67AEA80F" w14:textId="77777777" w:rsidR="00B32A95" w:rsidRDefault="00B32A95">
            <w:pPr>
              <w:tabs>
                <w:tab w:val="center" w:pos="445"/>
              </w:tabs>
              <w:spacing w:after="0" w:line="259" w:lineRule="auto"/>
              <w:ind w:left="0" w:right="0" w:firstLine="0"/>
              <w:jc w:val="center"/>
            </w:pPr>
            <w:r w:rsidRPr="00426058">
              <w:rPr>
                <w:sz w:val="18"/>
                <w:szCs w:val="18"/>
              </w:rPr>
              <w:t>N/A</w:t>
            </w:r>
          </w:p>
        </w:tc>
        <w:tc>
          <w:tcPr>
            <w:tcW w:w="1080" w:type="dxa"/>
            <w:tcBorders>
              <w:top w:val="single" w:sz="4" w:space="0" w:color="000000"/>
              <w:left w:val="single" w:sz="12" w:space="0" w:color="000000"/>
              <w:bottom w:val="single" w:sz="4" w:space="0" w:color="000000"/>
              <w:right w:val="single" w:sz="12" w:space="0" w:color="000000"/>
            </w:tcBorders>
            <w:vAlign w:val="center"/>
          </w:tcPr>
          <w:p w14:paraId="3272269C" w14:textId="77777777" w:rsidR="00B32A95" w:rsidRDefault="00B32A95">
            <w:pPr>
              <w:spacing w:after="0" w:line="259" w:lineRule="auto"/>
              <w:ind w:left="0" w:right="46" w:firstLine="0"/>
              <w:jc w:val="center"/>
            </w:pPr>
            <w:r w:rsidRPr="00426058">
              <w:rPr>
                <w:sz w:val="18"/>
                <w:szCs w:val="18"/>
              </w:rPr>
              <w:t>N/A</w:t>
            </w:r>
          </w:p>
        </w:tc>
        <w:tc>
          <w:tcPr>
            <w:tcW w:w="810" w:type="dxa"/>
            <w:tcBorders>
              <w:top w:val="single" w:sz="4" w:space="0" w:color="000000"/>
              <w:left w:val="single" w:sz="12" w:space="0" w:color="000000"/>
              <w:bottom w:val="single" w:sz="4" w:space="0" w:color="000000"/>
              <w:right w:val="single" w:sz="12" w:space="0" w:color="000000"/>
            </w:tcBorders>
            <w:vAlign w:val="center"/>
          </w:tcPr>
          <w:p w14:paraId="603FFC5F" w14:textId="77777777" w:rsidR="00B32A95" w:rsidRDefault="00B32A95">
            <w:pPr>
              <w:spacing w:after="0" w:line="259" w:lineRule="auto"/>
              <w:ind w:left="0" w:right="45" w:firstLine="0"/>
              <w:jc w:val="center"/>
            </w:pPr>
            <w:r w:rsidRPr="00C9085E">
              <w:rPr>
                <w:sz w:val="18"/>
                <w:szCs w:val="18"/>
              </w:rPr>
              <w:t>533</w:t>
            </w:r>
          </w:p>
        </w:tc>
        <w:tc>
          <w:tcPr>
            <w:tcW w:w="720" w:type="dxa"/>
            <w:tcBorders>
              <w:top w:val="single" w:sz="4" w:space="0" w:color="000000"/>
              <w:left w:val="single" w:sz="12" w:space="0" w:color="000000"/>
              <w:bottom w:val="single" w:sz="4" w:space="0" w:color="000000"/>
              <w:right w:val="single" w:sz="12" w:space="0" w:color="000000"/>
            </w:tcBorders>
            <w:vAlign w:val="center"/>
          </w:tcPr>
          <w:p w14:paraId="11C1B037" w14:textId="77777777" w:rsidR="00B32A95" w:rsidRDefault="00B32A95">
            <w:pPr>
              <w:spacing w:after="0" w:line="259" w:lineRule="auto"/>
              <w:ind w:left="0" w:right="48" w:firstLine="0"/>
              <w:jc w:val="center"/>
            </w:pPr>
          </w:p>
        </w:tc>
      </w:tr>
      <w:tr w:rsidR="00634F0E" w14:paraId="01B5A1F7" w14:textId="77777777" w:rsidTr="00327A4B">
        <w:trPr>
          <w:trHeight w:val="252"/>
        </w:trPr>
        <w:tc>
          <w:tcPr>
            <w:tcW w:w="4140" w:type="dxa"/>
            <w:tcBorders>
              <w:top w:val="single" w:sz="4" w:space="0" w:color="000000"/>
              <w:left w:val="single" w:sz="12" w:space="0" w:color="000000"/>
              <w:bottom w:val="single" w:sz="4" w:space="0" w:color="000000"/>
              <w:right w:val="single" w:sz="12" w:space="0" w:color="000000"/>
            </w:tcBorders>
            <w:vAlign w:val="center"/>
          </w:tcPr>
          <w:p w14:paraId="4FC1FD4F" w14:textId="77777777" w:rsidR="00B32A95" w:rsidRPr="002977F9" w:rsidRDefault="00B32A95">
            <w:pPr>
              <w:spacing w:after="0" w:line="259" w:lineRule="auto"/>
              <w:ind w:left="0" w:right="0" w:firstLine="0"/>
              <w:rPr>
                <w:sz w:val="18"/>
                <w:szCs w:val="18"/>
              </w:rPr>
            </w:pPr>
            <w:r>
              <w:rPr>
                <w:sz w:val="18"/>
                <w:szCs w:val="18"/>
              </w:rPr>
              <w:t>Nonafluoro-3,6-dioxaheptanoic acid (NFDHA)</w:t>
            </w:r>
          </w:p>
        </w:tc>
        <w:tc>
          <w:tcPr>
            <w:tcW w:w="1080" w:type="dxa"/>
            <w:tcBorders>
              <w:top w:val="single" w:sz="4" w:space="0" w:color="000000"/>
              <w:left w:val="single" w:sz="12" w:space="0" w:color="000000"/>
              <w:bottom w:val="single" w:sz="4" w:space="0" w:color="000000"/>
              <w:right w:val="single" w:sz="12" w:space="0" w:color="000000"/>
            </w:tcBorders>
            <w:vAlign w:val="center"/>
          </w:tcPr>
          <w:p w14:paraId="601FACDE" w14:textId="77777777" w:rsidR="00B32A95" w:rsidRPr="00123BFF" w:rsidRDefault="00B32A95">
            <w:pPr>
              <w:spacing w:after="0" w:line="259" w:lineRule="auto"/>
              <w:ind w:left="0" w:right="44" w:firstLine="0"/>
              <w:jc w:val="center"/>
              <w:rPr>
                <w:sz w:val="18"/>
                <w:szCs w:val="18"/>
              </w:rPr>
            </w:pPr>
            <w:r>
              <w:rPr>
                <w:sz w:val="18"/>
                <w:szCs w:val="18"/>
              </w:rPr>
              <w:t>151772-58-6</w:t>
            </w:r>
          </w:p>
        </w:tc>
        <w:tc>
          <w:tcPr>
            <w:tcW w:w="1170" w:type="dxa"/>
            <w:tcBorders>
              <w:top w:val="single" w:sz="4" w:space="0" w:color="000000"/>
              <w:left w:val="single" w:sz="12" w:space="0" w:color="000000"/>
              <w:bottom w:val="single" w:sz="4" w:space="0" w:color="000000"/>
              <w:right w:val="single" w:sz="12" w:space="0" w:color="000000"/>
            </w:tcBorders>
            <w:vAlign w:val="center"/>
          </w:tcPr>
          <w:p w14:paraId="3A37B370" w14:textId="77777777" w:rsidR="00B32A95" w:rsidRPr="00275095" w:rsidRDefault="00B32A95">
            <w:pPr>
              <w:tabs>
                <w:tab w:val="center" w:pos="534"/>
              </w:tabs>
              <w:spacing w:after="0" w:line="259" w:lineRule="auto"/>
              <w:ind w:left="0" w:right="0" w:firstLine="0"/>
              <w:jc w:val="center"/>
              <w:rPr>
                <w:sz w:val="18"/>
                <w:szCs w:val="18"/>
              </w:rPr>
            </w:pPr>
            <w:r>
              <w:rPr>
                <w:sz w:val="18"/>
                <w:szCs w:val="18"/>
              </w:rPr>
              <w:t>16</w:t>
            </w:r>
          </w:p>
        </w:tc>
        <w:tc>
          <w:tcPr>
            <w:tcW w:w="720" w:type="dxa"/>
            <w:tcBorders>
              <w:top w:val="single" w:sz="4" w:space="0" w:color="000000"/>
              <w:left w:val="single" w:sz="12" w:space="0" w:color="000000"/>
              <w:bottom w:val="single" w:sz="4" w:space="0" w:color="000000"/>
              <w:right w:val="single" w:sz="12" w:space="0" w:color="000000"/>
            </w:tcBorders>
            <w:vAlign w:val="center"/>
          </w:tcPr>
          <w:p w14:paraId="05EBB405" w14:textId="77777777" w:rsidR="00B32A95" w:rsidRPr="000376D7" w:rsidRDefault="00B32A95">
            <w:pPr>
              <w:spacing w:after="0" w:line="259" w:lineRule="auto"/>
              <w:ind w:left="0" w:right="44" w:firstLine="0"/>
              <w:jc w:val="center"/>
            </w:pPr>
            <w:r w:rsidRPr="00430F48">
              <w:rPr>
                <w:sz w:val="18"/>
                <w:szCs w:val="18"/>
              </w:rPr>
              <w:t>ng/L</w:t>
            </w:r>
          </w:p>
        </w:tc>
        <w:tc>
          <w:tcPr>
            <w:tcW w:w="810" w:type="dxa"/>
            <w:tcBorders>
              <w:top w:val="single" w:sz="4" w:space="0" w:color="000000"/>
              <w:left w:val="single" w:sz="12" w:space="0" w:color="000000"/>
              <w:bottom w:val="single" w:sz="4" w:space="0" w:color="000000"/>
              <w:right w:val="single" w:sz="12" w:space="0" w:color="000000"/>
            </w:tcBorders>
            <w:vAlign w:val="center"/>
          </w:tcPr>
          <w:p w14:paraId="3E65DF9C" w14:textId="77777777" w:rsidR="00B32A95" w:rsidRDefault="00B32A95">
            <w:pPr>
              <w:tabs>
                <w:tab w:val="center" w:pos="445"/>
              </w:tabs>
              <w:spacing w:after="0" w:line="259" w:lineRule="auto"/>
              <w:ind w:left="0" w:right="0" w:firstLine="0"/>
              <w:jc w:val="center"/>
            </w:pPr>
            <w:r w:rsidRPr="00426058">
              <w:rPr>
                <w:sz w:val="18"/>
                <w:szCs w:val="18"/>
              </w:rPr>
              <w:t>N/A</w:t>
            </w:r>
          </w:p>
        </w:tc>
        <w:tc>
          <w:tcPr>
            <w:tcW w:w="1080" w:type="dxa"/>
            <w:tcBorders>
              <w:top w:val="single" w:sz="4" w:space="0" w:color="000000"/>
              <w:left w:val="single" w:sz="12" w:space="0" w:color="000000"/>
              <w:bottom w:val="single" w:sz="4" w:space="0" w:color="000000"/>
              <w:right w:val="single" w:sz="12" w:space="0" w:color="000000"/>
            </w:tcBorders>
            <w:vAlign w:val="center"/>
          </w:tcPr>
          <w:p w14:paraId="65403B90" w14:textId="77777777" w:rsidR="00B32A95" w:rsidRDefault="00B32A95">
            <w:pPr>
              <w:spacing w:after="0" w:line="259" w:lineRule="auto"/>
              <w:ind w:left="0" w:right="46" w:firstLine="0"/>
              <w:jc w:val="center"/>
            </w:pPr>
            <w:r w:rsidRPr="00426058">
              <w:rPr>
                <w:sz w:val="18"/>
                <w:szCs w:val="18"/>
              </w:rPr>
              <w:t>N/A</w:t>
            </w:r>
          </w:p>
        </w:tc>
        <w:tc>
          <w:tcPr>
            <w:tcW w:w="810" w:type="dxa"/>
            <w:tcBorders>
              <w:top w:val="single" w:sz="4" w:space="0" w:color="000000"/>
              <w:left w:val="single" w:sz="12" w:space="0" w:color="000000"/>
              <w:bottom w:val="single" w:sz="4" w:space="0" w:color="000000"/>
              <w:right w:val="single" w:sz="12" w:space="0" w:color="000000"/>
            </w:tcBorders>
            <w:vAlign w:val="center"/>
          </w:tcPr>
          <w:p w14:paraId="6C39DF9F" w14:textId="77777777" w:rsidR="00B32A95" w:rsidRDefault="00B32A95">
            <w:pPr>
              <w:spacing w:after="0" w:line="259" w:lineRule="auto"/>
              <w:ind w:left="0" w:right="45" w:firstLine="0"/>
              <w:jc w:val="center"/>
            </w:pPr>
            <w:r w:rsidRPr="00C9085E">
              <w:rPr>
                <w:sz w:val="18"/>
                <w:szCs w:val="18"/>
              </w:rPr>
              <w:t>533</w:t>
            </w:r>
          </w:p>
        </w:tc>
        <w:tc>
          <w:tcPr>
            <w:tcW w:w="720" w:type="dxa"/>
            <w:tcBorders>
              <w:top w:val="single" w:sz="4" w:space="0" w:color="000000"/>
              <w:left w:val="single" w:sz="12" w:space="0" w:color="000000"/>
              <w:bottom w:val="single" w:sz="4" w:space="0" w:color="000000"/>
              <w:right w:val="single" w:sz="12" w:space="0" w:color="000000"/>
            </w:tcBorders>
            <w:vAlign w:val="center"/>
          </w:tcPr>
          <w:p w14:paraId="0344CE93" w14:textId="77777777" w:rsidR="00B32A95" w:rsidRDefault="00B32A95">
            <w:pPr>
              <w:spacing w:after="0" w:line="259" w:lineRule="auto"/>
              <w:ind w:left="0" w:right="48" w:firstLine="0"/>
              <w:jc w:val="center"/>
            </w:pPr>
          </w:p>
        </w:tc>
      </w:tr>
      <w:tr w:rsidR="00634F0E" w14:paraId="55668A65" w14:textId="77777777" w:rsidTr="00327A4B">
        <w:trPr>
          <w:trHeight w:val="250"/>
        </w:trPr>
        <w:tc>
          <w:tcPr>
            <w:tcW w:w="4140" w:type="dxa"/>
            <w:tcBorders>
              <w:top w:val="single" w:sz="4" w:space="0" w:color="000000"/>
              <w:left w:val="single" w:sz="12" w:space="0" w:color="000000"/>
              <w:bottom w:val="single" w:sz="4" w:space="0" w:color="000000"/>
              <w:right w:val="single" w:sz="12" w:space="0" w:color="000000"/>
            </w:tcBorders>
            <w:vAlign w:val="center"/>
          </w:tcPr>
          <w:p w14:paraId="30133BED" w14:textId="77777777" w:rsidR="00B32A95" w:rsidRPr="002977F9" w:rsidRDefault="00B32A95">
            <w:pPr>
              <w:spacing w:after="0" w:line="259" w:lineRule="auto"/>
              <w:ind w:left="0" w:right="0" w:firstLine="0"/>
              <w:rPr>
                <w:sz w:val="18"/>
                <w:szCs w:val="18"/>
              </w:rPr>
            </w:pPr>
            <w:proofErr w:type="spellStart"/>
            <w:r>
              <w:rPr>
                <w:sz w:val="18"/>
                <w:szCs w:val="18"/>
              </w:rPr>
              <w:t>Perfluorobutanoic</w:t>
            </w:r>
            <w:proofErr w:type="spellEnd"/>
            <w:r>
              <w:rPr>
                <w:sz w:val="18"/>
                <w:szCs w:val="18"/>
              </w:rPr>
              <w:t xml:space="preserve"> acid (PFBA)</w:t>
            </w:r>
          </w:p>
        </w:tc>
        <w:tc>
          <w:tcPr>
            <w:tcW w:w="1080" w:type="dxa"/>
            <w:tcBorders>
              <w:top w:val="single" w:sz="4" w:space="0" w:color="000000"/>
              <w:left w:val="single" w:sz="12" w:space="0" w:color="000000"/>
              <w:bottom w:val="single" w:sz="4" w:space="0" w:color="000000"/>
              <w:right w:val="single" w:sz="12" w:space="0" w:color="000000"/>
            </w:tcBorders>
            <w:vAlign w:val="center"/>
          </w:tcPr>
          <w:p w14:paraId="6CEED09A" w14:textId="77777777" w:rsidR="00B32A95" w:rsidRPr="00123BFF" w:rsidRDefault="00B32A95">
            <w:pPr>
              <w:spacing w:after="0" w:line="259" w:lineRule="auto"/>
              <w:ind w:left="0" w:right="44" w:firstLine="0"/>
              <w:jc w:val="center"/>
              <w:rPr>
                <w:sz w:val="18"/>
                <w:szCs w:val="18"/>
              </w:rPr>
            </w:pPr>
            <w:r>
              <w:rPr>
                <w:sz w:val="18"/>
                <w:szCs w:val="18"/>
              </w:rPr>
              <w:t>375-22-4</w:t>
            </w:r>
          </w:p>
        </w:tc>
        <w:tc>
          <w:tcPr>
            <w:tcW w:w="1170" w:type="dxa"/>
            <w:tcBorders>
              <w:top w:val="single" w:sz="4" w:space="0" w:color="000000"/>
              <w:left w:val="single" w:sz="12" w:space="0" w:color="000000"/>
              <w:bottom w:val="single" w:sz="4" w:space="0" w:color="000000"/>
              <w:right w:val="single" w:sz="12" w:space="0" w:color="000000"/>
            </w:tcBorders>
            <w:vAlign w:val="center"/>
          </w:tcPr>
          <w:p w14:paraId="20C59085" w14:textId="77777777" w:rsidR="00B32A95" w:rsidRPr="00275095" w:rsidRDefault="00B32A95">
            <w:pPr>
              <w:tabs>
                <w:tab w:val="center" w:pos="534"/>
              </w:tabs>
              <w:spacing w:after="0" w:line="259" w:lineRule="auto"/>
              <w:ind w:left="0" w:right="0" w:firstLine="0"/>
              <w:jc w:val="center"/>
              <w:rPr>
                <w:sz w:val="18"/>
                <w:szCs w:val="18"/>
              </w:rPr>
            </w:pPr>
            <w:r w:rsidRPr="00275095">
              <w:rPr>
                <w:sz w:val="18"/>
                <w:szCs w:val="18"/>
              </w:rPr>
              <w:t>13</w:t>
            </w:r>
          </w:p>
        </w:tc>
        <w:tc>
          <w:tcPr>
            <w:tcW w:w="720" w:type="dxa"/>
            <w:tcBorders>
              <w:top w:val="single" w:sz="4" w:space="0" w:color="000000"/>
              <w:left w:val="single" w:sz="12" w:space="0" w:color="000000"/>
              <w:bottom w:val="single" w:sz="4" w:space="0" w:color="000000"/>
              <w:right w:val="single" w:sz="12" w:space="0" w:color="000000"/>
            </w:tcBorders>
            <w:vAlign w:val="center"/>
          </w:tcPr>
          <w:p w14:paraId="5645F96F" w14:textId="77777777" w:rsidR="00B32A95" w:rsidRPr="000376D7" w:rsidRDefault="00B32A95">
            <w:pPr>
              <w:spacing w:after="0" w:line="259" w:lineRule="auto"/>
              <w:ind w:left="0" w:right="44" w:firstLine="0"/>
              <w:jc w:val="center"/>
            </w:pPr>
            <w:r w:rsidRPr="00430F48">
              <w:rPr>
                <w:sz w:val="18"/>
                <w:szCs w:val="18"/>
              </w:rPr>
              <w:t>ng/L</w:t>
            </w:r>
          </w:p>
        </w:tc>
        <w:tc>
          <w:tcPr>
            <w:tcW w:w="810" w:type="dxa"/>
            <w:tcBorders>
              <w:top w:val="single" w:sz="4" w:space="0" w:color="000000"/>
              <w:left w:val="single" w:sz="12" w:space="0" w:color="000000"/>
              <w:bottom w:val="single" w:sz="4" w:space="0" w:color="000000"/>
              <w:right w:val="single" w:sz="12" w:space="0" w:color="000000"/>
            </w:tcBorders>
            <w:vAlign w:val="center"/>
          </w:tcPr>
          <w:p w14:paraId="557EFD3A" w14:textId="77777777" w:rsidR="00B32A95" w:rsidRDefault="00B32A95">
            <w:pPr>
              <w:tabs>
                <w:tab w:val="center" w:pos="399"/>
              </w:tabs>
              <w:spacing w:after="0" w:line="259" w:lineRule="auto"/>
              <w:ind w:left="0" w:right="0" w:firstLine="0"/>
              <w:jc w:val="center"/>
            </w:pPr>
            <w:r w:rsidRPr="00426058">
              <w:rPr>
                <w:sz w:val="18"/>
                <w:szCs w:val="18"/>
              </w:rPr>
              <w:t>N/A</w:t>
            </w:r>
          </w:p>
        </w:tc>
        <w:tc>
          <w:tcPr>
            <w:tcW w:w="1080" w:type="dxa"/>
            <w:tcBorders>
              <w:top w:val="single" w:sz="4" w:space="0" w:color="000000"/>
              <w:left w:val="single" w:sz="12" w:space="0" w:color="000000"/>
              <w:bottom w:val="single" w:sz="4" w:space="0" w:color="000000"/>
              <w:right w:val="single" w:sz="12" w:space="0" w:color="000000"/>
            </w:tcBorders>
            <w:vAlign w:val="center"/>
          </w:tcPr>
          <w:p w14:paraId="03C5751D" w14:textId="77777777" w:rsidR="00B32A95" w:rsidRDefault="00B32A95">
            <w:pPr>
              <w:spacing w:after="0" w:line="259" w:lineRule="auto"/>
              <w:ind w:left="0" w:right="46" w:firstLine="0"/>
              <w:jc w:val="center"/>
            </w:pPr>
            <w:r w:rsidRPr="00426058">
              <w:rPr>
                <w:sz w:val="18"/>
                <w:szCs w:val="18"/>
              </w:rPr>
              <w:t>N/A</w:t>
            </w:r>
          </w:p>
        </w:tc>
        <w:tc>
          <w:tcPr>
            <w:tcW w:w="810" w:type="dxa"/>
            <w:tcBorders>
              <w:top w:val="single" w:sz="4" w:space="0" w:color="000000"/>
              <w:left w:val="single" w:sz="12" w:space="0" w:color="000000"/>
              <w:bottom w:val="single" w:sz="4" w:space="0" w:color="000000"/>
              <w:right w:val="single" w:sz="12" w:space="0" w:color="000000"/>
            </w:tcBorders>
            <w:vAlign w:val="center"/>
          </w:tcPr>
          <w:p w14:paraId="492A813F" w14:textId="77777777" w:rsidR="00B32A95" w:rsidRDefault="00B32A95">
            <w:pPr>
              <w:spacing w:after="0" w:line="259" w:lineRule="auto"/>
              <w:ind w:left="0" w:right="45" w:firstLine="0"/>
              <w:jc w:val="center"/>
            </w:pPr>
            <w:r w:rsidRPr="00C9085E">
              <w:rPr>
                <w:sz w:val="18"/>
                <w:szCs w:val="18"/>
              </w:rPr>
              <w:t>533</w:t>
            </w:r>
          </w:p>
        </w:tc>
        <w:tc>
          <w:tcPr>
            <w:tcW w:w="720" w:type="dxa"/>
            <w:tcBorders>
              <w:top w:val="single" w:sz="4" w:space="0" w:color="000000"/>
              <w:left w:val="single" w:sz="12" w:space="0" w:color="000000"/>
              <w:bottom w:val="single" w:sz="4" w:space="0" w:color="000000"/>
              <w:right w:val="single" w:sz="12" w:space="0" w:color="000000"/>
            </w:tcBorders>
            <w:vAlign w:val="center"/>
          </w:tcPr>
          <w:p w14:paraId="7EAD3210" w14:textId="77777777" w:rsidR="00B32A95" w:rsidRDefault="00B32A95">
            <w:pPr>
              <w:spacing w:after="0" w:line="259" w:lineRule="auto"/>
              <w:ind w:left="0" w:right="48" w:firstLine="0"/>
              <w:jc w:val="center"/>
            </w:pPr>
          </w:p>
        </w:tc>
      </w:tr>
      <w:tr w:rsidR="00634F0E" w14:paraId="3908F2C1" w14:textId="77777777" w:rsidTr="00327A4B">
        <w:trPr>
          <w:trHeight w:val="250"/>
        </w:trPr>
        <w:tc>
          <w:tcPr>
            <w:tcW w:w="4140" w:type="dxa"/>
            <w:tcBorders>
              <w:top w:val="single" w:sz="4" w:space="0" w:color="000000"/>
              <w:left w:val="single" w:sz="12" w:space="0" w:color="000000"/>
              <w:bottom w:val="single" w:sz="4" w:space="0" w:color="000000"/>
              <w:right w:val="single" w:sz="12" w:space="0" w:color="000000"/>
            </w:tcBorders>
            <w:vAlign w:val="center"/>
          </w:tcPr>
          <w:p w14:paraId="59D824D3" w14:textId="77777777" w:rsidR="00B32A95" w:rsidRPr="002977F9" w:rsidRDefault="00B32A95">
            <w:pPr>
              <w:spacing w:after="0" w:line="259" w:lineRule="auto"/>
              <w:ind w:left="0" w:right="0" w:firstLine="0"/>
              <w:rPr>
                <w:sz w:val="18"/>
                <w:szCs w:val="18"/>
              </w:rPr>
            </w:pPr>
            <w:proofErr w:type="spellStart"/>
            <w:r>
              <w:rPr>
                <w:sz w:val="18"/>
                <w:szCs w:val="18"/>
              </w:rPr>
              <w:t>Perfluorobutanesulfonic</w:t>
            </w:r>
            <w:proofErr w:type="spellEnd"/>
            <w:r>
              <w:rPr>
                <w:sz w:val="18"/>
                <w:szCs w:val="18"/>
              </w:rPr>
              <w:t xml:space="preserve"> acid (PFBS)</w:t>
            </w:r>
          </w:p>
        </w:tc>
        <w:tc>
          <w:tcPr>
            <w:tcW w:w="1080" w:type="dxa"/>
            <w:tcBorders>
              <w:top w:val="single" w:sz="4" w:space="0" w:color="000000"/>
              <w:left w:val="single" w:sz="12" w:space="0" w:color="000000"/>
              <w:bottom w:val="single" w:sz="4" w:space="0" w:color="000000"/>
              <w:right w:val="single" w:sz="12" w:space="0" w:color="000000"/>
            </w:tcBorders>
            <w:vAlign w:val="center"/>
          </w:tcPr>
          <w:p w14:paraId="54098E37" w14:textId="77777777" w:rsidR="00B32A95" w:rsidRPr="00123BFF" w:rsidRDefault="00B32A95">
            <w:pPr>
              <w:spacing w:after="0" w:line="259" w:lineRule="auto"/>
              <w:ind w:left="0" w:right="44" w:firstLine="0"/>
              <w:jc w:val="center"/>
              <w:rPr>
                <w:sz w:val="18"/>
                <w:szCs w:val="18"/>
              </w:rPr>
            </w:pPr>
            <w:r>
              <w:rPr>
                <w:sz w:val="18"/>
                <w:szCs w:val="18"/>
              </w:rPr>
              <w:t>375-73-5</w:t>
            </w:r>
          </w:p>
        </w:tc>
        <w:tc>
          <w:tcPr>
            <w:tcW w:w="1170" w:type="dxa"/>
            <w:tcBorders>
              <w:top w:val="single" w:sz="4" w:space="0" w:color="000000"/>
              <w:left w:val="single" w:sz="12" w:space="0" w:color="000000"/>
              <w:bottom w:val="single" w:sz="4" w:space="0" w:color="000000"/>
              <w:right w:val="single" w:sz="12" w:space="0" w:color="000000"/>
            </w:tcBorders>
            <w:vAlign w:val="center"/>
          </w:tcPr>
          <w:p w14:paraId="0DA1AC79" w14:textId="77777777" w:rsidR="00B32A95" w:rsidRPr="00275095" w:rsidRDefault="00B32A95">
            <w:pPr>
              <w:tabs>
                <w:tab w:val="center" w:pos="377"/>
              </w:tabs>
              <w:spacing w:after="0" w:line="259" w:lineRule="auto"/>
              <w:ind w:left="0" w:right="0" w:firstLine="0"/>
              <w:jc w:val="center"/>
              <w:rPr>
                <w:sz w:val="18"/>
                <w:szCs w:val="18"/>
              </w:rPr>
            </w:pPr>
            <w:r>
              <w:rPr>
                <w:sz w:val="18"/>
                <w:szCs w:val="18"/>
              </w:rPr>
              <w:t>3.5</w:t>
            </w:r>
          </w:p>
        </w:tc>
        <w:tc>
          <w:tcPr>
            <w:tcW w:w="720" w:type="dxa"/>
            <w:tcBorders>
              <w:top w:val="single" w:sz="4" w:space="0" w:color="000000"/>
              <w:left w:val="single" w:sz="12" w:space="0" w:color="000000"/>
              <w:bottom w:val="single" w:sz="4" w:space="0" w:color="000000"/>
              <w:right w:val="single" w:sz="12" w:space="0" w:color="000000"/>
            </w:tcBorders>
            <w:vAlign w:val="center"/>
          </w:tcPr>
          <w:p w14:paraId="0E62654B" w14:textId="77777777" w:rsidR="00B32A95" w:rsidRPr="000376D7" w:rsidRDefault="00B32A95">
            <w:pPr>
              <w:spacing w:after="0" w:line="259" w:lineRule="auto"/>
              <w:ind w:left="0" w:right="44" w:firstLine="0"/>
              <w:jc w:val="center"/>
            </w:pPr>
            <w:r w:rsidRPr="00430F48">
              <w:rPr>
                <w:sz w:val="18"/>
                <w:szCs w:val="18"/>
              </w:rPr>
              <w:t>ng/L</w:t>
            </w:r>
          </w:p>
        </w:tc>
        <w:tc>
          <w:tcPr>
            <w:tcW w:w="810" w:type="dxa"/>
            <w:tcBorders>
              <w:top w:val="single" w:sz="4" w:space="0" w:color="000000"/>
              <w:left w:val="single" w:sz="12" w:space="0" w:color="000000"/>
              <w:bottom w:val="single" w:sz="4" w:space="0" w:color="000000"/>
              <w:right w:val="single" w:sz="12" w:space="0" w:color="000000"/>
            </w:tcBorders>
            <w:vAlign w:val="center"/>
          </w:tcPr>
          <w:p w14:paraId="6FD49EB9" w14:textId="77777777" w:rsidR="00B32A95" w:rsidRDefault="00B32A95">
            <w:pPr>
              <w:spacing w:after="0" w:line="259" w:lineRule="auto"/>
              <w:ind w:left="0" w:right="0" w:firstLine="0"/>
              <w:jc w:val="center"/>
            </w:pPr>
            <w:r w:rsidRPr="00426058">
              <w:rPr>
                <w:sz w:val="18"/>
                <w:szCs w:val="18"/>
              </w:rPr>
              <w:t>N/A</w:t>
            </w:r>
          </w:p>
        </w:tc>
        <w:tc>
          <w:tcPr>
            <w:tcW w:w="1080" w:type="dxa"/>
            <w:tcBorders>
              <w:top w:val="single" w:sz="4" w:space="0" w:color="000000"/>
              <w:left w:val="single" w:sz="12" w:space="0" w:color="000000"/>
              <w:bottom w:val="single" w:sz="4" w:space="0" w:color="000000"/>
              <w:right w:val="single" w:sz="12" w:space="0" w:color="000000"/>
            </w:tcBorders>
            <w:vAlign w:val="center"/>
          </w:tcPr>
          <w:p w14:paraId="4ADA0D0D" w14:textId="77777777" w:rsidR="00B32A95" w:rsidRDefault="00B32A95">
            <w:pPr>
              <w:spacing w:after="0" w:line="259" w:lineRule="auto"/>
              <w:ind w:left="0" w:right="46" w:firstLine="0"/>
              <w:jc w:val="center"/>
            </w:pPr>
            <w:r w:rsidRPr="00426058">
              <w:rPr>
                <w:sz w:val="18"/>
                <w:szCs w:val="18"/>
              </w:rPr>
              <w:t>N/A</w:t>
            </w:r>
          </w:p>
        </w:tc>
        <w:tc>
          <w:tcPr>
            <w:tcW w:w="810" w:type="dxa"/>
            <w:tcBorders>
              <w:top w:val="single" w:sz="4" w:space="0" w:color="000000"/>
              <w:left w:val="single" w:sz="12" w:space="0" w:color="000000"/>
              <w:bottom w:val="single" w:sz="4" w:space="0" w:color="000000"/>
              <w:right w:val="single" w:sz="12" w:space="0" w:color="000000"/>
            </w:tcBorders>
            <w:vAlign w:val="center"/>
          </w:tcPr>
          <w:p w14:paraId="2A3390A7" w14:textId="77777777" w:rsidR="00B32A95" w:rsidRDefault="00B32A95">
            <w:pPr>
              <w:spacing w:after="0" w:line="259" w:lineRule="auto"/>
              <w:ind w:left="0" w:right="45" w:firstLine="0"/>
              <w:jc w:val="center"/>
            </w:pPr>
            <w:r w:rsidRPr="00C9085E">
              <w:rPr>
                <w:sz w:val="18"/>
                <w:szCs w:val="18"/>
              </w:rPr>
              <w:t>533</w:t>
            </w:r>
          </w:p>
        </w:tc>
        <w:tc>
          <w:tcPr>
            <w:tcW w:w="720" w:type="dxa"/>
            <w:tcBorders>
              <w:top w:val="single" w:sz="4" w:space="0" w:color="000000"/>
              <w:left w:val="single" w:sz="12" w:space="0" w:color="000000"/>
              <w:bottom w:val="single" w:sz="4" w:space="0" w:color="000000"/>
              <w:right w:val="single" w:sz="12" w:space="0" w:color="000000"/>
            </w:tcBorders>
            <w:vAlign w:val="center"/>
          </w:tcPr>
          <w:p w14:paraId="174123D9" w14:textId="77777777" w:rsidR="00B32A95" w:rsidRDefault="00B32A95">
            <w:pPr>
              <w:spacing w:after="0" w:line="259" w:lineRule="auto"/>
              <w:ind w:left="0" w:right="48" w:firstLine="0"/>
              <w:jc w:val="center"/>
            </w:pPr>
          </w:p>
        </w:tc>
      </w:tr>
      <w:tr w:rsidR="00634F0E" w14:paraId="19E96596" w14:textId="77777777" w:rsidTr="00327A4B">
        <w:trPr>
          <w:trHeight w:val="250"/>
        </w:trPr>
        <w:tc>
          <w:tcPr>
            <w:tcW w:w="4140" w:type="dxa"/>
            <w:tcBorders>
              <w:top w:val="single" w:sz="4" w:space="0" w:color="000000"/>
              <w:left w:val="single" w:sz="12" w:space="0" w:color="000000"/>
              <w:bottom w:val="single" w:sz="4" w:space="0" w:color="000000"/>
              <w:right w:val="single" w:sz="12" w:space="0" w:color="000000"/>
            </w:tcBorders>
            <w:vAlign w:val="center"/>
          </w:tcPr>
          <w:p w14:paraId="2755B56D" w14:textId="77777777" w:rsidR="00B32A95" w:rsidRPr="002977F9" w:rsidRDefault="00B32A95">
            <w:pPr>
              <w:spacing w:after="0" w:line="259" w:lineRule="auto"/>
              <w:ind w:left="0" w:right="0" w:firstLine="0"/>
              <w:rPr>
                <w:sz w:val="18"/>
                <w:szCs w:val="18"/>
              </w:rPr>
            </w:pPr>
            <w:r>
              <w:rPr>
                <w:sz w:val="18"/>
                <w:szCs w:val="18"/>
              </w:rPr>
              <w:t>1H, 1H, 2H, 2H-Perfluorodecane sulfonic acid (8:2FTS)</w:t>
            </w:r>
          </w:p>
        </w:tc>
        <w:tc>
          <w:tcPr>
            <w:tcW w:w="1080" w:type="dxa"/>
            <w:tcBorders>
              <w:top w:val="single" w:sz="4" w:space="0" w:color="000000"/>
              <w:left w:val="single" w:sz="12" w:space="0" w:color="000000"/>
              <w:bottom w:val="single" w:sz="4" w:space="0" w:color="000000"/>
              <w:right w:val="single" w:sz="12" w:space="0" w:color="000000"/>
            </w:tcBorders>
            <w:vAlign w:val="center"/>
          </w:tcPr>
          <w:p w14:paraId="1E1DCBE0" w14:textId="77777777" w:rsidR="00B32A95" w:rsidRPr="00123BFF" w:rsidRDefault="00B32A95">
            <w:pPr>
              <w:spacing w:after="0" w:line="259" w:lineRule="auto"/>
              <w:ind w:left="0" w:right="44" w:firstLine="0"/>
              <w:jc w:val="center"/>
              <w:rPr>
                <w:sz w:val="18"/>
                <w:szCs w:val="18"/>
              </w:rPr>
            </w:pPr>
            <w:r>
              <w:rPr>
                <w:sz w:val="18"/>
                <w:szCs w:val="18"/>
              </w:rPr>
              <w:t>39108-34-4</w:t>
            </w:r>
          </w:p>
        </w:tc>
        <w:tc>
          <w:tcPr>
            <w:tcW w:w="1170" w:type="dxa"/>
            <w:tcBorders>
              <w:top w:val="single" w:sz="4" w:space="0" w:color="000000"/>
              <w:left w:val="single" w:sz="12" w:space="0" w:color="000000"/>
              <w:bottom w:val="single" w:sz="4" w:space="0" w:color="000000"/>
              <w:right w:val="single" w:sz="12" w:space="0" w:color="000000"/>
            </w:tcBorders>
            <w:vAlign w:val="center"/>
          </w:tcPr>
          <w:p w14:paraId="78230978" w14:textId="77777777" w:rsidR="00B32A95" w:rsidRPr="00275095" w:rsidRDefault="00B32A95">
            <w:pPr>
              <w:tabs>
                <w:tab w:val="center" w:pos="488"/>
              </w:tabs>
              <w:spacing w:after="0" w:line="259" w:lineRule="auto"/>
              <w:ind w:left="0" w:right="0" w:firstLine="0"/>
              <w:jc w:val="center"/>
              <w:rPr>
                <w:sz w:val="18"/>
                <w:szCs w:val="18"/>
              </w:rPr>
            </w:pPr>
            <w:r>
              <w:rPr>
                <w:sz w:val="18"/>
                <w:szCs w:val="18"/>
              </w:rPr>
              <w:t>9.1</w:t>
            </w:r>
          </w:p>
        </w:tc>
        <w:tc>
          <w:tcPr>
            <w:tcW w:w="720" w:type="dxa"/>
            <w:tcBorders>
              <w:top w:val="single" w:sz="4" w:space="0" w:color="000000"/>
              <w:left w:val="single" w:sz="12" w:space="0" w:color="000000"/>
              <w:bottom w:val="single" w:sz="4" w:space="0" w:color="000000"/>
              <w:right w:val="single" w:sz="12" w:space="0" w:color="000000"/>
            </w:tcBorders>
            <w:vAlign w:val="center"/>
          </w:tcPr>
          <w:p w14:paraId="732F2A2A" w14:textId="77777777" w:rsidR="00B32A95" w:rsidRPr="000376D7" w:rsidRDefault="00B32A95">
            <w:pPr>
              <w:spacing w:after="0" w:line="259" w:lineRule="auto"/>
              <w:ind w:left="0" w:right="44" w:firstLine="0"/>
              <w:jc w:val="center"/>
            </w:pPr>
            <w:r w:rsidRPr="00430F48">
              <w:rPr>
                <w:sz w:val="18"/>
                <w:szCs w:val="18"/>
              </w:rPr>
              <w:t>ng/L</w:t>
            </w:r>
          </w:p>
        </w:tc>
        <w:tc>
          <w:tcPr>
            <w:tcW w:w="810" w:type="dxa"/>
            <w:tcBorders>
              <w:top w:val="single" w:sz="4" w:space="0" w:color="000000"/>
              <w:left w:val="single" w:sz="12" w:space="0" w:color="000000"/>
              <w:bottom w:val="single" w:sz="4" w:space="0" w:color="000000"/>
              <w:right w:val="single" w:sz="12" w:space="0" w:color="000000"/>
            </w:tcBorders>
            <w:vAlign w:val="center"/>
          </w:tcPr>
          <w:p w14:paraId="73718AE9" w14:textId="77777777" w:rsidR="00B32A95" w:rsidRDefault="00B32A95">
            <w:pPr>
              <w:tabs>
                <w:tab w:val="center" w:pos="399"/>
              </w:tabs>
              <w:spacing w:after="0" w:line="259" w:lineRule="auto"/>
              <w:ind w:left="0" w:right="0" w:firstLine="0"/>
              <w:jc w:val="center"/>
            </w:pPr>
            <w:r w:rsidRPr="00426058">
              <w:rPr>
                <w:sz w:val="18"/>
                <w:szCs w:val="18"/>
              </w:rPr>
              <w:t>N/A</w:t>
            </w:r>
          </w:p>
        </w:tc>
        <w:tc>
          <w:tcPr>
            <w:tcW w:w="1080" w:type="dxa"/>
            <w:tcBorders>
              <w:top w:val="single" w:sz="4" w:space="0" w:color="000000"/>
              <w:left w:val="single" w:sz="12" w:space="0" w:color="000000"/>
              <w:bottom w:val="single" w:sz="4" w:space="0" w:color="000000"/>
              <w:right w:val="single" w:sz="12" w:space="0" w:color="000000"/>
            </w:tcBorders>
            <w:vAlign w:val="center"/>
          </w:tcPr>
          <w:p w14:paraId="65EAFE02" w14:textId="77777777" w:rsidR="00B32A95" w:rsidRDefault="00B32A95">
            <w:pPr>
              <w:spacing w:after="0" w:line="259" w:lineRule="auto"/>
              <w:ind w:left="0" w:right="46" w:firstLine="0"/>
              <w:jc w:val="center"/>
            </w:pPr>
            <w:r w:rsidRPr="00426058">
              <w:rPr>
                <w:sz w:val="18"/>
                <w:szCs w:val="18"/>
              </w:rPr>
              <w:t>N/A</w:t>
            </w:r>
          </w:p>
        </w:tc>
        <w:tc>
          <w:tcPr>
            <w:tcW w:w="810" w:type="dxa"/>
            <w:tcBorders>
              <w:top w:val="single" w:sz="4" w:space="0" w:color="000000"/>
              <w:left w:val="single" w:sz="12" w:space="0" w:color="000000"/>
              <w:bottom w:val="single" w:sz="4" w:space="0" w:color="000000"/>
              <w:right w:val="single" w:sz="12" w:space="0" w:color="000000"/>
            </w:tcBorders>
            <w:vAlign w:val="center"/>
          </w:tcPr>
          <w:p w14:paraId="031F8C30" w14:textId="77777777" w:rsidR="00B32A95" w:rsidRDefault="00B32A95">
            <w:pPr>
              <w:spacing w:after="0" w:line="259" w:lineRule="auto"/>
              <w:ind w:left="0" w:right="45" w:firstLine="0"/>
              <w:jc w:val="center"/>
            </w:pPr>
            <w:r w:rsidRPr="00C9085E">
              <w:rPr>
                <w:sz w:val="18"/>
                <w:szCs w:val="18"/>
              </w:rPr>
              <w:t>533</w:t>
            </w:r>
          </w:p>
        </w:tc>
        <w:tc>
          <w:tcPr>
            <w:tcW w:w="720" w:type="dxa"/>
            <w:tcBorders>
              <w:top w:val="single" w:sz="4" w:space="0" w:color="000000"/>
              <w:left w:val="single" w:sz="12" w:space="0" w:color="000000"/>
              <w:bottom w:val="single" w:sz="4" w:space="0" w:color="000000"/>
              <w:right w:val="single" w:sz="12" w:space="0" w:color="000000"/>
            </w:tcBorders>
            <w:vAlign w:val="center"/>
          </w:tcPr>
          <w:p w14:paraId="6C51D1C5" w14:textId="77777777" w:rsidR="00B32A95" w:rsidRDefault="00B32A95">
            <w:pPr>
              <w:spacing w:after="0" w:line="259" w:lineRule="auto"/>
              <w:ind w:left="0" w:right="48" w:firstLine="0"/>
              <w:jc w:val="center"/>
            </w:pPr>
          </w:p>
        </w:tc>
      </w:tr>
      <w:tr w:rsidR="00634F0E" w14:paraId="60C25747" w14:textId="77777777" w:rsidTr="00327A4B">
        <w:trPr>
          <w:trHeight w:val="250"/>
        </w:trPr>
        <w:tc>
          <w:tcPr>
            <w:tcW w:w="4140" w:type="dxa"/>
            <w:tcBorders>
              <w:top w:val="single" w:sz="4" w:space="0" w:color="000000"/>
              <w:left w:val="single" w:sz="12" w:space="0" w:color="000000"/>
              <w:bottom w:val="single" w:sz="4" w:space="0" w:color="000000"/>
              <w:right w:val="single" w:sz="12" w:space="0" w:color="000000"/>
            </w:tcBorders>
            <w:vAlign w:val="center"/>
          </w:tcPr>
          <w:p w14:paraId="29EAEF01" w14:textId="77777777" w:rsidR="00B32A95" w:rsidRPr="002977F9" w:rsidRDefault="00B32A95">
            <w:pPr>
              <w:spacing w:after="0" w:line="259" w:lineRule="auto"/>
              <w:ind w:left="0" w:right="0" w:firstLine="0"/>
              <w:rPr>
                <w:sz w:val="18"/>
                <w:szCs w:val="18"/>
              </w:rPr>
            </w:pPr>
            <w:proofErr w:type="spellStart"/>
            <w:r>
              <w:rPr>
                <w:sz w:val="18"/>
                <w:szCs w:val="18"/>
              </w:rPr>
              <w:t>Perfluorodecanoic</w:t>
            </w:r>
            <w:proofErr w:type="spellEnd"/>
            <w:r>
              <w:rPr>
                <w:sz w:val="18"/>
                <w:szCs w:val="18"/>
              </w:rPr>
              <w:t xml:space="preserve"> acid (PFDA)</w:t>
            </w:r>
          </w:p>
        </w:tc>
        <w:tc>
          <w:tcPr>
            <w:tcW w:w="1080" w:type="dxa"/>
            <w:tcBorders>
              <w:top w:val="single" w:sz="4" w:space="0" w:color="000000"/>
              <w:left w:val="single" w:sz="12" w:space="0" w:color="000000"/>
              <w:bottom w:val="single" w:sz="4" w:space="0" w:color="000000"/>
              <w:right w:val="single" w:sz="12" w:space="0" w:color="000000"/>
            </w:tcBorders>
            <w:vAlign w:val="center"/>
          </w:tcPr>
          <w:p w14:paraId="34DFC617" w14:textId="77777777" w:rsidR="00B32A95" w:rsidRPr="00123BFF" w:rsidRDefault="00B32A95">
            <w:pPr>
              <w:spacing w:after="0" w:line="259" w:lineRule="auto"/>
              <w:ind w:left="0" w:right="44" w:firstLine="0"/>
              <w:jc w:val="center"/>
              <w:rPr>
                <w:sz w:val="18"/>
                <w:szCs w:val="18"/>
              </w:rPr>
            </w:pPr>
            <w:r>
              <w:rPr>
                <w:sz w:val="18"/>
                <w:szCs w:val="18"/>
              </w:rPr>
              <w:t>335-76-2</w:t>
            </w:r>
          </w:p>
        </w:tc>
        <w:tc>
          <w:tcPr>
            <w:tcW w:w="1170" w:type="dxa"/>
            <w:tcBorders>
              <w:top w:val="single" w:sz="4" w:space="0" w:color="000000"/>
              <w:left w:val="single" w:sz="12" w:space="0" w:color="000000"/>
              <w:bottom w:val="single" w:sz="4" w:space="0" w:color="000000"/>
              <w:right w:val="single" w:sz="12" w:space="0" w:color="000000"/>
            </w:tcBorders>
            <w:vAlign w:val="center"/>
          </w:tcPr>
          <w:p w14:paraId="07BF3A33" w14:textId="77777777" w:rsidR="00B32A95" w:rsidRPr="00355CAF" w:rsidRDefault="00B32A95">
            <w:pPr>
              <w:tabs>
                <w:tab w:val="center" w:pos="534"/>
              </w:tabs>
              <w:spacing w:after="0" w:line="259" w:lineRule="auto"/>
              <w:ind w:left="0" w:right="0" w:firstLine="0"/>
              <w:jc w:val="center"/>
              <w:rPr>
                <w:b/>
                <w:sz w:val="18"/>
                <w:szCs w:val="18"/>
              </w:rPr>
            </w:pPr>
            <w:r w:rsidRPr="00355CAF">
              <w:rPr>
                <w:b/>
                <w:sz w:val="18"/>
                <w:szCs w:val="18"/>
              </w:rPr>
              <w:t>2.3</w:t>
            </w:r>
          </w:p>
        </w:tc>
        <w:tc>
          <w:tcPr>
            <w:tcW w:w="720" w:type="dxa"/>
            <w:tcBorders>
              <w:top w:val="single" w:sz="4" w:space="0" w:color="000000"/>
              <w:left w:val="single" w:sz="12" w:space="0" w:color="000000"/>
              <w:bottom w:val="single" w:sz="4" w:space="0" w:color="000000"/>
              <w:right w:val="single" w:sz="12" w:space="0" w:color="000000"/>
            </w:tcBorders>
            <w:vAlign w:val="center"/>
          </w:tcPr>
          <w:p w14:paraId="4E2861D6" w14:textId="77777777" w:rsidR="00B32A95" w:rsidRPr="000376D7" w:rsidRDefault="00B32A95">
            <w:pPr>
              <w:spacing w:after="0" w:line="259" w:lineRule="auto"/>
              <w:ind w:left="0" w:right="44" w:firstLine="0"/>
              <w:jc w:val="center"/>
            </w:pPr>
            <w:r w:rsidRPr="00430F48">
              <w:rPr>
                <w:sz w:val="18"/>
                <w:szCs w:val="18"/>
              </w:rPr>
              <w:t>ng/L</w:t>
            </w:r>
          </w:p>
        </w:tc>
        <w:tc>
          <w:tcPr>
            <w:tcW w:w="810" w:type="dxa"/>
            <w:tcBorders>
              <w:top w:val="single" w:sz="4" w:space="0" w:color="000000"/>
              <w:left w:val="single" w:sz="12" w:space="0" w:color="000000"/>
              <w:bottom w:val="single" w:sz="4" w:space="0" w:color="000000"/>
              <w:right w:val="single" w:sz="12" w:space="0" w:color="000000"/>
            </w:tcBorders>
            <w:vAlign w:val="center"/>
          </w:tcPr>
          <w:p w14:paraId="7E3E2821" w14:textId="77777777" w:rsidR="00B32A95" w:rsidRDefault="00B32A95">
            <w:pPr>
              <w:tabs>
                <w:tab w:val="center" w:pos="354"/>
              </w:tabs>
              <w:spacing w:after="0" w:line="259" w:lineRule="auto"/>
              <w:ind w:left="0" w:right="0" w:firstLine="0"/>
              <w:jc w:val="center"/>
            </w:pPr>
            <w:r w:rsidRPr="00426058">
              <w:rPr>
                <w:sz w:val="18"/>
                <w:szCs w:val="18"/>
              </w:rPr>
              <w:t>N/A</w:t>
            </w:r>
          </w:p>
        </w:tc>
        <w:tc>
          <w:tcPr>
            <w:tcW w:w="1080" w:type="dxa"/>
            <w:tcBorders>
              <w:top w:val="single" w:sz="4" w:space="0" w:color="000000"/>
              <w:left w:val="single" w:sz="12" w:space="0" w:color="000000"/>
              <w:bottom w:val="single" w:sz="4" w:space="0" w:color="000000"/>
              <w:right w:val="single" w:sz="12" w:space="0" w:color="000000"/>
            </w:tcBorders>
            <w:vAlign w:val="center"/>
          </w:tcPr>
          <w:p w14:paraId="31966E94" w14:textId="77777777" w:rsidR="00B32A95" w:rsidRDefault="00B32A95">
            <w:pPr>
              <w:spacing w:after="0" w:line="259" w:lineRule="auto"/>
              <w:ind w:left="0" w:right="46" w:firstLine="0"/>
              <w:jc w:val="center"/>
            </w:pPr>
            <w:r w:rsidRPr="00426058">
              <w:rPr>
                <w:sz w:val="18"/>
                <w:szCs w:val="18"/>
              </w:rPr>
              <w:t>N/A</w:t>
            </w:r>
          </w:p>
        </w:tc>
        <w:tc>
          <w:tcPr>
            <w:tcW w:w="810" w:type="dxa"/>
            <w:tcBorders>
              <w:top w:val="single" w:sz="4" w:space="0" w:color="000000"/>
              <w:left w:val="single" w:sz="12" w:space="0" w:color="000000"/>
              <w:bottom w:val="single" w:sz="4" w:space="0" w:color="000000"/>
              <w:right w:val="single" w:sz="12" w:space="0" w:color="000000"/>
            </w:tcBorders>
            <w:vAlign w:val="center"/>
          </w:tcPr>
          <w:p w14:paraId="731CEF84" w14:textId="77777777" w:rsidR="00B32A95" w:rsidRDefault="00B32A95">
            <w:pPr>
              <w:spacing w:after="0" w:line="259" w:lineRule="auto"/>
              <w:ind w:left="0" w:right="45" w:firstLine="0"/>
              <w:jc w:val="center"/>
            </w:pPr>
            <w:r w:rsidRPr="00C9085E">
              <w:rPr>
                <w:sz w:val="18"/>
                <w:szCs w:val="18"/>
              </w:rPr>
              <w:t>533</w:t>
            </w:r>
          </w:p>
        </w:tc>
        <w:tc>
          <w:tcPr>
            <w:tcW w:w="720" w:type="dxa"/>
            <w:tcBorders>
              <w:top w:val="single" w:sz="4" w:space="0" w:color="000000"/>
              <w:left w:val="single" w:sz="12" w:space="0" w:color="000000"/>
              <w:bottom w:val="single" w:sz="4" w:space="0" w:color="000000"/>
              <w:right w:val="single" w:sz="12" w:space="0" w:color="000000"/>
            </w:tcBorders>
            <w:vAlign w:val="center"/>
          </w:tcPr>
          <w:p w14:paraId="381D8D4B" w14:textId="77777777" w:rsidR="00B32A95" w:rsidRDefault="00B32A95">
            <w:pPr>
              <w:spacing w:after="0" w:line="259" w:lineRule="auto"/>
              <w:ind w:left="0" w:right="5" w:firstLine="0"/>
              <w:jc w:val="center"/>
            </w:pPr>
          </w:p>
        </w:tc>
      </w:tr>
      <w:tr w:rsidR="00634F0E" w14:paraId="266B2D22" w14:textId="77777777" w:rsidTr="00327A4B">
        <w:trPr>
          <w:trHeight w:val="250"/>
        </w:trPr>
        <w:tc>
          <w:tcPr>
            <w:tcW w:w="4140" w:type="dxa"/>
            <w:tcBorders>
              <w:top w:val="single" w:sz="4" w:space="0" w:color="000000"/>
              <w:left w:val="single" w:sz="12" w:space="0" w:color="000000"/>
              <w:bottom w:val="single" w:sz="4" w:space="0" w:color="000000"/>
              <w:right w:val="single" w:sz="12" w:space="0" w:color="000000"/>
            </w:tcBorders>
            <w:vAlign w:val="center"/>
          </w:tcPr>
          <w:p w14:paraId="1A9B2140" w14:textId="77777777" w:rsidR="00B32A95" w:rsidRPr="002977F9" w:rsidRDefault="00B32A95">
            <w:pPr>
              <w:spacing w:after="0" w:line="259" w:lineRule="auto"/>
              <w:ind w:left="0" w:right="0" w:firstLine="0"/>
              <w:rPr>
                <w:sz w:val="18"/>
                <w:szCs w:val="18"/>
              </w:rPr>
            </w:pPr>
            <w:proofErr w:type="spellStart"/>
            <w:r>
              <w:rPr>
                <w:sz w:val="18"/>
                <w:szCs w:val="18"/>
              </w:rPr>
              <w:t>Perfluorododecanoic</w:t>
            </w:r>
            <w:proofErr w:type="spellEnd"/>
            <w:r>
              <w:rPr>
                <w:sz w:val="18"/>
                <w:szCs w:val="18"/>
              </w:rPr>
              <w:t xml:space="preserve"> acid (</w:t>
            </w:r>
            <w:proofErr w:type="spellStart"/>
            <w:r>
              <w:rPr>
                <w:sz w:val="18"/>
                <w:szCs w:val="18"/>
              </w:rPr>
              <w:t>PFDoA</w:t>
            </w:r>
            <w:proofErr w:type="spellEnd"/>
            <w:r>
              <w:rPr>
                <w:sz w:val="18"/>
                <w:szCs w:val="18"/>
              </w:rPr>
              <w:t>)</w:t>
            </w:r>
          </w:p>
        </w:tc>
        <w:tc>
          <w:tcPr>
            <w:tcW w:w="1080" w:type="dxa"/>
            <w:tcBorders>
              <w:top w:val="single" w:sz="4" w:space="0" w:color="000000"/>
              <w:left w:val="single" w:sz="12" w:space="0" w:color="000000"/>
              <w:bottom w:val="single" w:sz="4" w:space="0" w:color="000000"/>
              <w:right w:val="single" w:sz="12" w:space="0" w:color="000000"/>
            </w:tcBorders>
            <w:vAlign w:val="center"/>
          </w:tcPr>
          <w:p w14:paraId="4C5761A7" w14:textId="77777777" w:rsidR="00B32A95" w:rsidRPr="00123BFF" w:rsidRDefault="00B32A95">
            <w:pPr>
              <w:spacing w:after="0" w:line="259" w:lineRule="auto"/>
              <w:ind w:left="0" w:right="44" w:firstLine="0"/>
              <w:jc w:val="center"/>
              <w:rPr>
                <w:sz w:val="18"/>
                <w:szCs w:val="18"/>
              </w:rPr>
            </w:pPr>
            <w:r>
              <w:rPr>
                <w:sz w:val="18"/>
                <w:szCs w:val="18"/>
              </w:rPr>
              <w:t>307-55-1</w:t>
            </w:r>
          </w:p>
        </w:tc>
        <w:tc>
          <w:tcPr>
            <w:tcW w:w="1170" w:type="dxa"/>
            <w:tcBorders>
              <w:top w:val="single" w:sz="4" w:space="0" w:color="000000"/>
              <w:left w:val="single" w:sz="12" w:space="0" w:color="000000"/>
              <w:bottom w:val="single" w:sz="4" w:space="0" w:color="000000"/>
              <w:right w:val="single" w:sz="12" w:space="0" w:color="000000"/>
            </w:tcBorders>
            <w:vAlign w:val="center"/>
          </w:tcPr>
          <w:p w14:paraId="4F4A0F7F" w14:textId="77777777" w:rsidR="00B32A95" w:rsidRPr="00275095" w:rsidRDefault="00B32A95">
            <w:pPr>
              <w:tabs>
                <w:tab w:val="center" w:pos="534"/>
              </w:tabs>
              <w:spacing w:after="0" w:line="259" w:lineRule="auto"/>
              <w:ind w:left="0" w:right="0" w:firstLine="0"/>
              <w:jc w:val="center"/>
              <w:rPr>
                <w:sz w:val="18"/>
                <w:szCs w:val="18"/>
              </w:rPr>
            </w:pPr>
            <w:r>
              <w:rPr>
                <w:sz w:val="18"/>
                <w:szCs w:val="18"/>
              </w:rPr>
              <w:t>2.2</w:t>
            </w:r>
          </w:p>
        </w:tc>
        <w:tc>
          <w:tcPr>
            <w:tcW w:w="720" w:type="dxa"/>
            <w:tcBorders>
              <w:top w:val="single" w:sz="4" w:space="0" w:color="000000"/>
              <w:left w:val="single" w:sz="12" w:space="0" w:color="000000"/>
              <w:bottom w:val="single" w:sz="4" w:space="0" w:color="000000"/>
              <w:right w:val="single" w:sz="12" w:space="0" w:color="000000"/>
            </w:tcBorders>
            <w:vAlign w:val="center"/>
          </w:tcPr>
          <w:p w14:paraId="67414E15" w14:textId="77777777" w:rsidR="00B32A95" w:rsidRPr="000376D7" w:rsidRDefault="00B32A95">
            <w:pPr>
              <w:spacing w:after="0" w:line="259" w:lineRule="auto"/>
              <w:ind w:left="0" w:right="44" w:firstLine="0"/>
              <w:jc w:val="center"/>
            </w:pPr>
            <w:r w:rsidRPr="00430F48">
              <w:rPr>
                <w:sz w:val="18"/>
                <w:szCs w:val="18"/>
              </w:rPr>
              <w:t>ng/L</w:t>
            </w:r>
          </w:p>
        </w:tc>
        <w:tc>
          <w:tcPr>
            <w:tcW w:w="810" w:type="dxa"/>
            <w:tcBorders>
              <w:top w:val="single" w:sz="4" w:space="0" w:color="000000"/>
              <w:left w:val="single" w:sz="12" w:space="0" w:color="000000"/>
              <w:bottom w:val="single" w:sz="4" w:space="0" w:color="000000"/>
              <w:right w:val="single" w:sz="12" w:space="0" w:color="000000"/>
            </w:tcBorders>
            <w:vAlign w:val="center"/>
          </w:tcPr>
          <w:p w14:paraId="4F5D5864" w14:textId="77777777" w:rsidR="00B32A95" w:rsidRDefault="00B32A95">
            <w:pPr>
              <w:tabs>
                <w:tab w:val="center" w:pos="354"/>
              </w:tabs>
              <w:spacing w:after="0" w:line="259" w:lineRule="auto"/>
              <w:ind w:left="0" w:right="0" w:firstLine="0"/>
              <w:jc w:val="center"/>
            </w:pPr>
            <w:r w:rsidRPr="00426058">
              <w:rPr>
                <w:sz w:val="18"/>
                <w:szCs w:val="18"/>
              </w:rPr>
              <w:t>N/A</w:t>
            </w:r>
          </w:p>
        </w:tc>
        <w:tc>
          <w:tcPr>
            <w:tcW w:w="1080" w:type="dxa"/>
            <w:tcBorders>
              <w:top w:val="single" w:sz="4" w:space="0" w:color="000000"/>
              <w:left w:val="single" w:sz="12" w:space="0" w:color="000000"/>
              <w:bottom w:val="single" w:sz="4" w:space="0" w:color="auto"/>
              <w:right w:val="single" w:sz="12" w:space="0" w:color="000000"/>
            </w:tcBorders>
            <w:vAlign w:val="center"/>
          </w:tcPr>
          <w:p w14:paraId="4B14C939" w14:textId="77777777" w:rsidR="00B32A95" w:rsidRDefault="00B32A95">
            <w:pPr>
              <w:spacing w:after="0" w:line="259" w:lineRule="auto"/>
              <w:ind w:left="0" w:right="46" w:firstLine="0"/>
              <w:jc w:val="center"/>
            </w:pPr>
            <w:r w:rsidRPr="00426058">
              <w:rPr>
                <w:sz w:val="18"/>
                <w:szCs w:val="18"/>
              </w:rPr>
              <w:t>N/A</w:t>
            </w:r>
          </w:p>
        </w:tc>
        <w:tc>
          <w:tcPr>
            <w:tcW w:w="810" w:type="dxa"/>
            <w:tcBorders>
              <w:top w:val="single" w:sz="4" w:space="0" w:color="000000"/>
              <w:left w:val="single" w:sz="12" w:space="0" w:color="000000"/>
              <w:bottom w:val="single" w:sz="4" w:space="0" w:color="000000"/>
              <w:right w:val="single" w:sz="12" w:space="0" w:color="000000"/>
            </w:tcBorders>
            <w:vAlign w:val="center"/>
          </w:tcPr>
          <w:p w14:paraId="777861D3" w14:textId="77777777" w:rsidR="00B32A95" w:rsidRDefault="00B32A95">
            <w:pPr>
              <w:spacing w:after="0" w:line="259" w:lineRule="auto"/>
              <w:ind w:left="0" w:right="45" w:firstLine="0"/>
              <w:jc w:val="center"/>
            </w:pPr>
            <w:r w:rsidRPr="00C9085E">
              <w:rPr>
                <w:sz w:val="18"/>
                <w:szCs w:val="18"/>
              </w:rPr>
              <w:t>533</w:t>
            </w:r>
          </w:p>
        </w:tc>
        <w:tc>
          <w:tcPr>
            <w:tcW w:w="720" w:type="dxa"/>
            <w:tcBorders>
              <w:top w:val="single" w:sz="4" w:space="0" w:color="000000"/>
              <w:left w:val="single" w:sz="12" w:space="0" w:color="000000"/>
              <w:bottom w:val="single" w:sz="4" w:space="0" w:color="000000"/>
              <w:right w:val="single" w:sz="12" w:space="0" w:color="000000"/>
            </w:tcBorders>
            <w:vAlign w:val="center"/>
          </w:tcPr>
          <w:p w14:paraId="604DDEDA" w14:textId="77777777" w:rsidR="00B32A95" w:rsidRDefault="00B32A95">
            <w:pPr>
              <w:spacing w:after="0" w:line="259" w:lineRule="auto"/>
              <w:ind w:left="0" w:right="5" w:firstLine="0"/>
              <w:jc w:val="center"/>
            </w:pPr>
          </w:p>
        </w:tc>
      </w:tr>
      <w:tr w:rsidR="00634F0E" w14:paraId="7E280DF6" w14:textId="77777777" w:rsidTr="00327A4B">
        <w:trPr>
          <w:trHeight w:val="250"/>
        </w:trPr>
        <w:tc>
          <w:tcPr>
            <w:tcW w:w="4140" w:type="dxa"/>
            <w:tcBorders>
              <w:top w:val="single" w:sz="4" w:space="0" w:color="000000"/>
              <w:left w:val="single" w:sz="12" w:space="0" w:color="000000"/>
              <w:bottom w:val="single" w:sz="4" w:space="0" w:color="000000"/>
              <w:right w:val="single" w:sz="12" w:space="0" w:color="000000"/>
            </w:tcBorders>
            <w:vAlign w:val="center"/>
          </w:tcPr>
          <w:p w14:paraId="33860FC5" w14:textId="3E41D711" w:rsidR="008F2EDA" w:rsidRDefault="008F2EDA">
            <w:pPr>
              <w:spacing w:after="0" w:line="259" w:lineRule="auto"/>
              <w:ind w:left="0" w:right="0" w:firstLine="0"/>
              <w:rPr>
                <w:sz w:val="18"/>
                <w:szCs w:val="18"/>
              </w:rPr>
            </w:pPr>
            <w:r w:rsidRPr="008F2EDA">
              <w:rPr>
                <w:sz w:val="18"/>
                <w:szCs w:val="18"/>
              </w:rPr>
              <w:t>Perfluoro(2-</w:t>
            </w:r>
            <w:proofErr w:type="gramStart"/>
            <w:r w:rsidRPr="008F2EDA">
              <w:rPr>
                <w:sz w:val="18"/>
                <w:szCs w:val="18"/>
              </w:rPr>
              <w:t>ethoxyethane)sulfonic</w:t>
            </w:r>
            <w:proofErr w:type="gramEnd"/>
            <w:r w:rsidRPr="008F2EDA">
              <w:rPr>
                <w:sz w:val="18"/>
                <w:szCs w:val="18"/>
              </w:rPr>
              <w:t xml:space="preserve"> acid (PFEESA)</w:t>
            </w:r>
          </w:p>
        </w:tc>
        <w:tc>
          <w:tcPr>
            <w:tcW w:w="1080" w:type="dxa"/>
            <w:tcBorders>
              <w:top w:val="single" w:sz="4" w:space="0" w:color="000000"/>
              <w:left w:val="single" w:sz="12" w:space="0" w:color="000000"/>
              <w:bottom w:val="single" w:sz="4" w:space="0" w:color="000000"/>
              <w:right w:val="single" w:sz="12" w:space="0" w:color="000000"/>
            </w:tcBorders>
            <w:vAlign w:val="center"/>
          </w:tcPr>
          <w:p w14:paraId="3917BD47" w14:textId="25DCA227" w:rsidR="008F2EDA" w:rsidRDefault="008F2EDA">
            <w:pPr>
              <w:spacing w:after="0" w:line="259" w:lineRule="auto"/>
              <w:ind w:left="0" w:right="44" w:firstLine="0"/>
              <w:jc w:val="center"/>
              <w:rPr>
                <w:sz w:val="18"/>
                <w:szCs w:val="18"/>
              </w:rPr>
            </w:pPr>
            <w:r>
              <w:rPr>
                <w:sz w:val="18"/>
                <w:szCs w:val="18"/>
              </w:rPr>
              <w:t>113507-82-7</w:t>
            </w:r>
          </w:p>
        </w:tc>
        <w:tc>
          <w:tcPr>
            <w:tcW w:w="1170" w:type="dxa"/>
            <w:tcBorders>
              <w:top w:val="single" w:sz="4" w:space="0" w:color="000000"/>
              <w:left w:val="single" w:sz="12" w:space="0" w:color="000000"/>
              <w:bottom w:val="single" w:sz="4" w:space="0" w:color="000000"/>
              <w:right w:val="single" w:sz="12" w:space="0" w:color="000000"/>
            </w:tcBorders>
            <w:vAlign w:val="center"/>
          </w:tcPr>
          <w:p w14:paraId="5EC515EC" w14:textId="73CE75EC" w:rsidR="008F2EDA" w:rsidRDefault="008F2EDA">
            <w:pPr>
              <w:tabs>
                <w:tab w:val="center" w:pos="534"/>
              </w:tabs>
              <w:spacing w:after="0" w:line="259" w:lineRule="auto"/>
              <w:ind w:left="0" w:right="0" w:firstLine="0"/>
              <w:jc w:val="center"/>
              <w:rPr>
                <w:sz w:val="18"/>
                <w:szCs w:val="18"/>
              </w:rPr>
            </w:pPr>
            <w:r>
              <w:rPr>
                <w:sz w:val="18"/>
                <w:szCs w:val="18"/>
              </w:rPr>
              <w:t>2.6</w:t>
            </w:r>
          </w:p>
        </w:tc>
        <w:tc>
          <w:tcPr>
            <w:tcW w:w="720" w:type="dxa"/>
            <w:tcBorders>
              <w:top w:val="single" w:sz="4" w:space="0" w:color="000000"/>
              <w:left w:val="single" w:sz="12" w:space="0" w:color="000000"/>
              <w:bottom w:val="single" w:sz="4" w:space="0" w:color="000000"/>
              <w:right w:val="single" w:sz="12" w:space="0" w:color="000000"/>
            </w:tcBorders>
            <w:vAlign w:val="center"/>
          </w:tcPr>
          <w:p w14:paraId="49E6E35D" w14:textId="3F43BBEA" w:rsidR="008F2EDA" w:rsidRPr="00430F48" w:rsidRDefault="008F2EDA">
            <w:pPr>
              <w:spacing w:after="0" w:line="259" w:lineRule="auto"/>
              <w:ind w:left="0" w:right="44" w:firstLine="0"/>
              <w:jc w:val="center"/>
              <w:rPr>
                <w:sz w:val="18"/>
                <w:szCs w:val="18"/>
              </w:rPr>
            </w:pPr>
            <w:r w:rsidRPr="008F2EDA">
              <w:rPr>
                <w:sz w:val="18"/>
                <w:szCs w:val="18"/>
              </w:rPr>
              <w:t>ng/L</w:t>
            </w:r>
          </w:p>
        </w:tc>
        <w:tc>
          <w:tcPr>
            <w:tcW w:w="810" w:type="dxa"/>
            <w:tcBorders>
              <w:top w:val="single" w:sz="4" w:space="0" w:color="000000"/>
              <w:left w:val="single" w:sz="12" w:space="0" w:color="000000"/>
              <w:bottom w:val="single" w:sz="4" w:space="0" w:color="000000"/>
              <w:right w:val="single" w:sz="12" w:space="0" w:color="000000"/>
            </w:tcBorders>
            <w:vAlign w:val="center"/>
          </w:tcPr>
          <w:p w14:paraId="39AD3E74" w14:textId="7991B9AB" w:rsidR="008F2EDA" w:rsidRPr="00426058" w:rsidRDefault="008F2EDA">
            <w:pPr>
              <w:tabs>
                <w:tab w:val="center" w:pos="354"/>
              </w:tabs>
              <w:spacing w:after="0" w:line="259" w:lineRule="auto"/>
              <w:ind w:left="0" w:right="0" w:firstLine="0"/>
              <w:jc w:val="center"/>
              <w:rPr>
                <w:sz w:val="18"/>
                <w:szCs w:val="18"/>
              </w:rPr>
            </w:pPr>
            <w:r>
              <w:rPr>
                <w:sz w:val="18"/>
                <w:szCs w:val="18"/>
              </w:rPr>
              <w:t>N/A</w:t>
            </w:r>
          </w:p>
        </w:tc>
        <w:tc>
          <w:tcPr>
            <w:tcW w:w="1080" w:type="dxa"/>
            <w:tcBorders>
              <w:top w:val="single" w:sz="4" w:space="0" w:color="000000"/>
              <w:left w:val="single" w:sz="12" w:space="0" w:color="000000"/>
              <w:bottom w:val="single" w:sz="4" w:space="0" w:color="auto"/>
              <w:right w:val="single" w:sz="12" w:space="0" w:color="000000"/>
            </w:tcBorders>
            <w:vAlign w:val="center"/>
          </w:tcPr>
          <w:p w14:paraId="4641AF8C" w14:textId="35CF921D" w:rsidR="008F2EDA" w:rsidRPr="00426058" w:rsidRDefault="008F2EDA">
            <w:pPr>
              <w:spacing w:after="0" w:line="259" w:lineRule="auto"/>
              <w:ind w:left="0" w:right="46" w:firstLine="0"/>
              <w:jc w:val="center"/>
              <w:rPr>
                <w:sz w:val="18"/>
                <w:szCs w:val="18"/>
              </w:rPr>
            </w:pPr>
            <w:r>
              <w:rPr>
                <w:sz w:val="18"/>
                <w:szCs w:val="18"/>
              </w:rPr>
              <w:t>N/A</w:t>
            </w:r>
          </w:p>
        </w:tc>
        <w:tc>
          <w:tcPr>
            <w:tcW w:w="810" w:type="dxa"/>
            <w:tcBorders>
              <w:top w:val="single" w:sz="4" w:space="0" w:color="000000"/>
              <w:left w:val="single" w:sz="12" w:space="0" w:color="000000"/>
              <w:bottom w:val="single" w:sz="4" w:space="0" w:color="000000"/>
              <w:right w:val="single" w:sz="12" w:space="0" w:color="000000"/>
            </w:tcBorders>
            <w:vAlign w:val="center"/>
          </w:tcPr>
          <w:p w14:paraId="60F86BAB" w14:textId="53B6B394" w:rsidR="008F2EDA" w:rsidRPr="00C9085E" w:rsidRDefault="008F2EDA">
            <w:pPr>
              <w:spacing w:after="0" w:line="259" w:lineRule="auto"/>
              <w:ind w:left="0" w:right="45" w:firstLine="0"/>
              <w:jc w:val="center"/>
              <w:rPr>
                <w:sz w:val="18"/>
                <w:szCs w:val="18"/>
              </w:rPr>
            </w:pPr>
            <w:r>
              <w:rPr>
                <w:sz w:val="18"/>
                <w:szCs w:val="18"/>
              </w:rPr>
              <w:t>533</w:t>
            </w:r>
          </w:p>
        </w:tc>
        <w:tc>
          <w:tcPr>
            <w:tcW w:w="720" w:type="dxa"/>
            <w:tcBorders>
              <w:top w:val="single" w:sz="4" w:space="0" w:color="000000"/>
              <w:left w:val="single" w:sz="12" w:space="0" w:color="000000"/>
              <w:bottom w:val="single" w:sz="4" w:space="0" w:color="000000"/>
              <w:right w:val="single" w:sz="12" w:space="0" w:color="000000"/>
            </w:tcBorders>
            <w:vAlign w:val="center"/>
          </w:tcPr>
          <w:p w14:paraId="354768D9" w14:textId="77777777" w:rsidR="008F2EDA" w:rsidRDefault="008F2EDA">
            <w:pPr>
              <w:spacing w:after="0" w:line="259" w:lineRule="auto"/>
              <w:ind w:left="0" w:right="5" w:firstLine="0"/>
              <w:jc w:val="center"/>
            </w:pPr>
          </w:p>
        </w:tc>
      </w:tr>
      <w:tr w:rsidR="00634F0E" w14:paraId="576F9CEA" w14:textId="77777777" w:rsidTr="00327A4B">
        <w:trPr>
          <w:trHeight w:val="250"/>
        </w:trPr>
        <w:tc>
          <w:tcPr>
            <w:tcW w:w="4140" w:type="dxa"/>
            <w:tcBorders>
              <w:top w:val="single" w:sz="4" w:space="0" w:color="000000"/>
              <w:left w:val="single" w:sz="12" w:space="0" w:color="000000"/>
              <w:bottom w:val="single" w:sz="4" w:space="0" w:color="000000"/>
              <w:right w:val="single" w:sz="12" w:space="0" w:color="000000"/>
            </w:tcBorders>
            <w:vAlign w:val="center"/>
          </w:tcPr>
          <w:p w14:paraId="4118798F" w14:textId="77777777" w:rsidR="00B32A95" w:rsidRPr="002977F9" w:rsidRDefault="00B32A95">
            <w:pPr>
              <w:spacing w:after="0" w:line="259" w:lineRule="auto"/>
              <w:ind w:left="0" w:right="0" w:firstLine="0"/>
              <w:rPr>
                <w:sz w:val="18"/>
                <w:szCs w:val="18"/>
              </w:rPr>
            </w:pPr>
            <w:proofErr w:type="spellStart"/>
            <w:r>
              <w:rPr>
                <w:sz w:val="18"/>
                <w:szCs w:val="18"/>
              </w:rPr>
              <w:t>Perfluoroheptanesulfonic</w:t>
            </w:r>
            <w:proofErr w:type="spellEnd"/>
            <w:r>
              <w:rPr>
                <w:sz w:val="18"/>
                <w:szCs w:val="18"/>
              </w:rPr>
              <w:t xml:space="preserve"> acid (</w:t>
            </w:r>
            <w:proofErr w:type="spellStart"/>
            <w:r>
              <w:rPr>
                <w:sz w:val="18"/>
                <w:szCs w:val="18"/>
              </w:rPr>
              <w:t>PFHpS</w:t>
            </w:r>
            <w:proofErr w:type="spellEnd"/>
            <w:r>
              <w:rPr>
                <w:sz w:val="18"/>
                <w:szCs w:val="18"/>
              </w:rPr>
              <w:t>)</w:t>
            </w:r>
          </w:p>
        </w:tc>
        <w:tc>
          <w:tcPr>
            <w:tcW w:w="1080" w:type="dxa"/>
            <w:tcBorders>
              <w:top w:val="single" w:sz="4" w:space="0" w:color="000000"/>
              <w:left w:val="single" w:sz="12" w:space="0" w:color="000000"/>
              <w:bottom w:val="single" w:sz="4" w:space="0" w:color="000000"/>
              <w:right w:val="single" w:sz="12" w:space="0" w:color="000000"/>
            </w:tcBorders>
            <w:vAlign w:val="center"/>
          </w:tcPr>
          <w:p w14:paraId="62FC3EA9" w14:textId="77777777" w:rsidR="00B32A95" w:rsidRPr="00123BFF" w:rsidRDefault="00B32A95">
            <w:pPr>
              <w:spacing w:after="0" w:line="259" w:lineRule="auto"/>
              <w:ind w:left="0" w:right="44" w:firstLine="0"/>
              <w:jc w:val="center"/>
              <w:rPr>
                <w:sz w:val="18"/>
                <w:szCs w:val="18"/>
              </w:rPr>
            </w:pPr>
            <w:r>
              <w:rPr>
                <w:sz w:val="18"/>
                <w:szCs w:val="18"/>
              </w:rPr>
              <w:t>375-92-8</w:t>
            </w:r>
          </w:p>
        </w:tc>
        <w:tc>
          <w:tcPr>
            <w:tcW w:w="1170" w:type="dxa"/>
            <w:tcBorders>
              <w:top w:val="single" w:sz="4" w:space="0" w:color="000000"/>
              <w:left w:val="single" w:sz="12" w:space="0" w:color="000000"/>
              <w:bottom w:val="single" w:sz="4" w:space="0" w:color="000000"/>
              <w:right w:val="single" w:sz="12" w:space="0" w:color="000000"/>
            </w:tcBorders>
            <w:vAlign w:val="center"/>
          </w:tcPr>
          <w:p w14:paraId="01FCBFD3" w14:textId="77777777" w:rsidR="00B32A95" w:rsidRPr="00275095" w:rsidRDefault="00B32A95">
            <w:pPr>
              <w:tabs>
                <w:tab w:val="center" w:pos="488"/>
              </w:tabs>
              <w:spacing w:after="0" w:line="259" w:lineRule="auto"/>
              <w:ind w:left="0" w:right="0" w:firstLine="0"/>
              <w:jc w:val="center"/>
              <w:rPr>
                <w:sz w:val="18"/>
                <w:szCs w:val="18"/>
              </w:rPr>
            </w:pPr>
            <w:r>
              <w:rPr>
                <w:sz w:val="18"/>
                <w:szCs w:val="18"/>
              </w:rPr>
              <w:t>5.1</w:t>
            </w:r>
          </w:p>
        </w:tc>
        <w:tc>
          <w:tcPr>
            <w:tcW w:w="720" w:type="dxa"/>
            <w:tcBorders>
              <w:top w:val="single" w:sz="4" w:space="0" w:color="000000"/>
              <w:left w:val="single" w:sz="12" w:space="0" w:color="000000"/>
              <w:bottom w:val="single" w:sz="4" w:space="0" w:color="000000"/>
              <w:right w:val="single" w:sz="12" w:space="0" w:color="000000"/>
            </w:tcBorders>
            <w:vAlign w:val="center"/>
          </w:tcPr>
          <w:p w14:paraId="5857C0BE" w14:textId="77777777" w:rsidR="00B32A95" w:rsidRPr="000376D7" w:rsidRDefault="00B32A95">
            <w:pPr>
              <w:spacing w:after="0" w:line="259" w:lineRule="auto"/>
              <w:ind w:left="0" w:right="44" w:firstLine="0"/>
              <w:jc w:val="center"/>
            </w:pPr>
            <w:r w:rsidRPr="00430F48">
              <w:rPr>
                <w:sz w:val="18"/>
                <w:szCs w:val="18"/>
              </w:rPr>
              <w:t>ng/L</w:t>
            </w:r>
          </w:p>
        </w:tc>
        <w:tc>
          <w:tcPr>
            <w:tcW w:w="810" w:type="dxa"/>
            <w:tcBorders>
              <w:top w:val="single" w:sz="4" w:space="0" w:color="000000"/>
              <w:left w:val="single" w:sz="12" w:space="0" w:color="000000"/>
              <w:bottom w:val="single" w:sz="4" w:space="0" w:color="000000"/>
              <w:right w:val="single" w:sz="12" w:space="0" w:color="000000"/>
            </w:tcBorders>
            <w:vAlign w:val="center"/>
          </w:tcPr>
          <w:p w14:paraId="398A109E" w14:textId="77777777" w:rsidR="00B32A95" w:rsidRDefault="00B32A95">
            <w:pPr>
              <w:tabs>
                <w:tab w:val="center" w:pos="399"/>
              </w:tabs>
              <w:spacing w:after="0" w:line="259" w:lineRule="auto"/>
              <w:ind w:left="0" w:right="0" w:firstLine="0"/>
              <w:jc w:val="center"/>
            </w:pPr>
            <w:r w:rsidRPr="00426058">
              <w:rPr>
                <w:sz w:val="18"/>
                <w:szCs w:val="18"/>
              </w:rPr>
              <w:t>N/A</w:t>
            </w:r>
          </w:p>
        </w:tc>
        <w:tc>
          <w:tcPr>
            <w:tcW w:w="1080" w:type="dxa"/>
            <w:tcBorders>
              <w:top w:val="single" w:sz="4" w:space="0" w:color="auto"/>
              <w:left w:val="single" w:sz="12" w:space="0" w:color="000000"/>
              <w:bottom w:val="single" w:sz="4" w:space="0" w:color="000000"/>
              <w:right w:val="single" w:sz="12" w:space="0" w:color="000000"/>
            </w:tcBorders>
            <w:vAlign w:val="center"/>
          </w:tcPr>
          <w:p w14:paraId="00AC54D8" w14:textId="77777777" w:rsidR="00B32A95" w:rsidRDefault="00B32A95">
            <w:pPr>
              <w:spacing w:after="0" w:line="259" w:lineRule="auto"/>
              <w:ind w:left="0" w:right="46" w:firstLine="0"/>
              <w:jc w:val="center"/>
            </w:pPr>
            <w:r w:rsidRPr="00426058">
              <w:rPr>
                <w:sz w:val="18"/>
                <w:szCs w:val="18"/>
              </w:rPr>
              <w:t>N/A</w:t>
            </w:r>
          </w:p>
        </w:tc>
        <w:tc>
          <w:tcPr>
            <w:tcW w:w="810" w:type="dxa"/>
            <w:tcBorders>
              <w:top w:val="single" w:sz="4" w:space="0" w:color="000000"/>
              <w:left w:val="single" w:sz="12" w:space="0" w:color="000000"/>
              <w:bottom w:val="single" w:sz="4" w:space="0" w:color="000000"/>
              <w:right w:val="single" w:sz="12" w:space="0" w:color="000000"/>
            </w:tcBorders>
            <w:vAlign w:val="center"/>
          </w:tcPr>
          <w:p w14:paraId="6E3F94F8" w14:textId="77777777" w:rsidR="00B32A95" w:rsidRDefault="00B32A95">
            <w:pPr>
              <w:spacing w:after="0" w:line="259" w:lineRule="auto"/>
              <w:ind w:left="0" w:right="45" w:firstLine="0"/>
              <w:jc w:val="center"/>
            </w:pPr>
            <w:r w:rsidRPr="00C9085E">
              <w:rPr>
                <w:sz w:val="18"/>
                <w:szCs w:val="18"/>
              </w:rPr>
              <w:t>533</w:t>
            </w:r>
          </w:p>
        </w:tc>
        <w:tc>
          <w:tcPr>
            <w:tcW w:w="720" w:type="dxa"/>
            <w:tcBorders>
              <w:top w:val="single" w:sz="4" w:space="0" w:color="000000"/>
              <w:left w:val="single" w:sz="12" w:space="0" w:color="000000"/>
              <w:bottom w:val="single" w:sz="4" w:space="0" w:color="000000"/>
              <w:right w:val="single" w:sz="12" w:space="0" w:color="000000"/>
            </w:tcBorders>
            <w:vAlign w:val="center"/>
          </w:tcPr>
          <w:p w14:paraId="1842D845" w14:textId="77777777" w:rsidR="00B32A95" w:rsidRDefault="00B32A95">
            <w:pPr>
              <w:spacing w:after="0" w:line="259" w:lineRule="auto"/>
              <w:ind w:left="0" w:right="5" w:firstLine="0"/>
              <w:jc w:val="center"/>
            </w:pPr>
          </w:p>
        </w:tc>
      </w:tr>
      <w:tr w:rsidR="00634F0E" w14:paraId="559A820B" w14:textId="77777777" w:rsidTr="00327A4B">
        <w:trPr>
          <w:trHeight w:val="250"/>
        </w:trPr>
        <w:tc>
          <w:tcPr>
            <w:tcW w:w="4140" w:type="dxa"/>
            <w:tcBorders>
              <w:top w:val="single" w:sz="4" w:space="0" w:color="000000"/>
              <w:left w:val="single" w:sz="12" w:space="0" w:color="000000"/>
              <w:bottom w:val="single" w:sz="4" w:space="0" w:color="000000"/>
              <w:right w:val="single" w:sz="12" w:space="0" w:color="000000"/>
            </w:tcBorders>
            <w:vAlign w:val="center"/>
          </w:tcPr>
          <w:p w14:paraId="6FE3B2A5" w14:textId="77777777" w:rsidR="00B32A95" w:rsidRPr="002977F9" w:rsidRDefault="00B32A95">
            <w:pPr>
              <w:spacing w:after="0" w:line="259" w:lineRule="auto"/>
              <w:ind w:left="0" w:right="0" w:firstLine="0"/>
              <w:rPr>
                <w:sz w:val="18"/>
                <w:szCs w:val="18"/>
              </w:rPr>
            </w:pPr>
            <w:proofErr w:type="spellStart"/>
            <w:r>
              <w:rPr>
                <w:sz w:val="18"/>
                <w:szCs w:val="18"/>
              </w:rPr>
              <w:t>Perfluoroheptanoic</w:t>
            </w:r>
            <w:proofErr w:type="spellEnd"/>
            <w:r>
              <w:rPr>
                <w:sz w:val="18"/>
                <w:szCs w:val="18"/>
              </w:rPr>
              <w:t xml:space="preserve"> acid (</w:t>
            </w:r>
            <w:proofErr w:type="spellStart"/>
            <w:r>
              <w:rPr>
                <w:sz w:val="18"/>
                <w:szCs w:val="18"/>
              </w:rPr>
              <w:t>PFHpA</w:t>
            </w:r>
            <w:proofErr w:type="spellEnd"/>
            <w:r>
              <w:rPr>
                <w:sz w:val="18"/>
                <w:szCs w:val="18"/>
              </w:rPr>
              <w:t>)</w:t>
            </w:r>
          </w:p>
        </w:tc>
        <w:tc>
          <w:tcPr>
            <w:tcW w:w="1080" w:type="dxa"/>
            <w:tcBorders>
              <w:top w:val="single" w:sz="4" w:space="0" w:color="000000"/>
              <w:left w:val="single" w:sz="12" w:space="0" w:color="000000"/>
              <w:bottom w:val="single" w:sz="4" w:space="0" w:color="000000"/>
              <w:right w:val="single" w:sz="12" w:space="0" w:color="000000"/>
            </w:tcBorders>
            <w:vAlign w:val="center"/>
          </w:tcPr>
          <w:p w14:paraId="0D494487" w14:textId="77777777" w:rsidR="00B32A95" w:rsidRPr="00123BFF" w:rsidRDefault="00B32A95">
            <w:pPr>
              <w:spacing w:after="0" w:line="259" w:lineRule="auto"/>
              <w:ind w:left="0" w:right="44" w:firstLine="0"/>
              <w:jc w:val="center"/>
              <w:rPr>
                <w:sz w:val="18"/>
                <w:szCs w:val="18"/>
              </w:rPr>
            </w:pPr>
            <w:r>
              <w:rPr>
                <w:sz w:val="18"/>
                <w:szCs w:val="18"/>
              </w:rPr>
              <w:t>375-85-9</w:t>
            </w:r>
          </w:p>
        </w:tc>
        <w:tc>
          <w:tcPr>
            <w:tcW w:w="1170" w:type="dxa"/>
            <w:tcBorders>
              <w:top w:val="single" w:sz="4" w:space="0" w:color="000000"/>
              <w:left w:val="single" w:sz="12" w:space="0" w:color="000000"/>
              <w:bottom w:val="single" w:sz="4" w:space="0" w:color="000000"/>
              <w:right w:val="single" w:sz="12" w:space="0" w:color="000000"/>
            </w:tcBorders>
            <w:vAlign w:val="center"/>
          </w:tcPr>
          <w:p w14:paraId="4ED6A7C3" w14:textId="77777777" w:rsidR="00B32A95" w:rsidRPr="00275095" w:rsidRDefault="00B32A95">
            <w:pPr>
              <w:tabs>
                <w:tab w:val="center" w:pos="534"/>
              </w:tabs>
              <w:spacing w:after="0" w:line="259" w:lineRule="auto"/>
              <w:ind w:left="0" w:right="0" w:firstLine="0"/>
              <w:jc w:val="center"/>
              <w:rPr>
                <w:sz w:val="18"/>
                <w:szCs w:val="18"/>
              </w:rPr>
            </w:pPr>
            <w:r>
              <w:rPr>
                <w:sz w:val="18"/>
                <w:szCs w:val="18"/>
              </w:rPr>
              <w:t>2.6</w:t>
            </w:r>
          </w:p>
        </w:tc>
        <w:tc>
          <w:tcPr>
            <w:tcW w:w="720" w:type="dxa"/>
            <w:tcBorders>
              <w:top w:val="single" w:sz="4" w:space="0" w:color="000000"/>
              <w:left w:val="single" w:sz="12" w:space="0" w:color="000000"/>
              <w:bottom w:val="single" w:sz="4" w:space="0" w:color="000000"/>
              <w:right w:val="single" w:sz="12" w:space="0" w:color="000000"/>
            </w:tcBorders>
            <w:vAlign w:val="center"/>
          </w:tcPr>
          <w:p w14:paraId="1BEED0F0" w14:textId="77777777" w:rsidR="00B32A95" w:rsidRPr="000376D7" w:rsidRDefault="00B32A95">
            <w:pPr>
              <w:spacing w:after="0" w:line="259" w:lineRule="auto"/>
              <w:ind w:left="0" w:right="44" w:firstLine="0"/>
              <w:jc w:val="center"/>
            </w:pPr>
            <w:r w:rsidRPr="00430F48">
              <w:rPr>
                <w:sz w:val="18"/>
                <w:szCs w:val="18"/>
              </w:rPr>
              <w:t>ng/L</w:t>
            </w:r>
          </w:p>
        </w:tc>
        <w:tc>
          <w:tcPr>
            <w:tcW w:w="810" w:type="dxa"/>
            <w:tcBorders>
              <w:top w:val="single" w:sz="4" w:space="0" w:color="000000"/>
              <w:left w:val="single" w:sz="12" w:space="0" w:color="000000"/>
              <w:bottom w:val="single" w:sz="4" w:space="0" w:color="000000"/>
              <w:right w:val="single" w:sz="12" w:space="0" w:color="000000"/>
            </w:tcBorders>
            <w:vAlign w:val="center"/>
          </w:tcPr>
          <w:p w14:paraId="33D24CA6" w14:textId="77777777" w:rsidR="00B32A95" w:rsidRDefault="00B32A95">
            <w:pPr>
              <w:tabs>
                <w:tab w:val="center" w:pos="445"/>
              </w:tabs>
              <w:spacing w:after="0" w:line="259" w:lineRule="auto"/>
              <w:ind w:left="0" w:right="0" w:firstLine="0"/>
              <w:jc w:val="center"/>
            </w:pPr>
            <w:r w:rsidRPr="00426058">
              <w:rPr>
                <w:sz w:val="18"/>
                <w:szCs w:val="18"/>
              </w:rPr>
              <w:t>N/A</w:t>
            </w:r>
          </w:p>
        </w:tc>
        <w:tc>
          <w:tcPr>
            <w:tcW w:w="1080" w:type="dxa"/>
            <w:tcBorders>
              <w:top w:val="single" w:sz="4" w:space="0" w:color="000000"/>
              <w:left w:val="single" w:sz="12" w:space="0" w:color="000000"/>
              <w:bottom w:val="single" w:sz="4" w:space="0" w:color="000000"/>
              <w:right w:val="single" w:sz="12" w:space="0" w:color="000000"/>
            </w:tcBorders>
            <w:vAlign w:val="center"/>
          </w:tcPr>
          <w:p w14:paraId="25D33E65" w14:textId="77777777" w:rsidR="00B32A95" w:rsidRDefault="00B32A95">
            <w:pPr>
              <w:spacing w:after="0" w:line="259" w:lineRule="auto"/>
              <w:ind w:left="0" w:right="46" w:firstLine="0"/>
              <w:jc w:val="center"/>
            </w:pPr>
            <w:r w:rsidRPr="00426058">
              <w:rPr>
                <w:sz w:val="18"/>
                <w:szCs w:val="18"/>
              </w:rPr>
              <w:t>N/A</w:t>
            </w:r>
          </w:p>
        </w:tc>
        <w:tc>
          <w:tcPr>
            <w:tcW w:w="810" w:type="dxa"/>
            <w:tcBorders>
              <w:top w:val="single" w:sz="4" w:space="0" w:color="000000"/>
              <w:left w:val="single" w:sz="12" w:space="0" w:color="000000"/>
              <w:bottom w:val="single" w:sz="4" w:space="0" w:color="000000"/>
              <w:right w:val="single" w:sz="12" w:space="0" w:color="000000"/>
            </w:tcBorders>
            <w:vAlign w:val="center"/>
          </w:tcPr>
          <w:p w14:paraId="340D641C" w14:textId="77777777" w:rsidR="00B32A95" w:rsidRDefault="00B32A95">
            <w:pPr>
              <w:spacing w:after="0" w:line="259" w:lineRule="auto"/>
              <w:ind w:left="0" w:right="45" w:firstLine="0"/>
              <w:jc w:val="center"/>
            </w:pPr>
            <w:r w:rsidRPr="00C9085E">
              <w:rPr>
                <w:sz w:val="18"/>
                <w:szCs w:val="18"/>
              </w:rPr>
              <w:t>533</w:t>
            </w:r>
          </w:p>
        </w:tc>
        <w:tc>
          <w:tcPr>
            <w:tcW w:w="720" w:type="dxa"/>
            <w:tcBorders>
              <w:top w:val="single" w:sz="4" w:space="0" w:color="000000"/>
              <w:left w:val="single" w:sz="12" w:space="0" w:color="000000"/>
              <w:bottom w:val="single" w:sz="4" w:space="0" w:color="000000"/>
              <w:right w:val="single" w:sz="12" w:space="0" w:color="000000"/>
            </w:tcBorders>
            <w:vAlign w:val="center"/>
          </w:tcPr>
          <w:p w14:paraId="00C66197" w14:textId="77777777" w:rsidR="00B32A95" w:rsidRDefault="00B32A95">
            <w:pPr>
              <w:spacing w:after="0" w:line="259" w:lineRule="auto"/>
              <w:ind w:left="0" w:right="48" w:firstLine="0"/>
              <w:jc w:val="center"/>
            </w:pPr>
          </w:p>
        </w:tc>
      </w:tr>
      <w:tr w:rsidR="00634F0E" w14:paraId="35802B6F" w14:textId="77777777" w:rsidTr="00327A4B">
        <w:trPr>
          <w:trHeight w:val="250"/>
        </w:trPr>
        <w:tc>
          <w:tcPr>
            <w:tcW w:w="4140" w:type="dxa"/>
            <w:tcBorders>
              <w:top w:val="single" w:sz="4" w:space="0" w:color="000000"/>
              <w:left w:val="single" w:sz="12" w:space="0" w:color="000000"/>
              <w:bottom w:val="single" w:sz="4" w:space="0" w:color="000000"/>
              <w:right w:val="single" w:sz="12" w:space="0" w:color="000000"/>
            </w:tcBorders>
            <w:vAlign w:val="center"/>
          </w:tcPr>
          <w:p w14:paraId="237BD5F0" w14:textId="77777777" w:rsidR="00B32A95" w:rsidRPr="002977F9" w:rsidRDefault="00B32A95">
            <w:pPr>
              <w:spacing w:after="0" w:line="259" w:lineRule="auto"/>
              <w:ind w:left="0" w:right="0" w:firstLine="0"/>
              <w:rPr>
                <w:sz w:val="18"/>
                <w:szCs w:val="18"/>
              </w:rPr>
            </w:pPr>
            <w:r>
              <w:rPr>
                <w:sz w:val="18"/>
                <w:szCs w:val="18"/>
              </w:rPr>
              <w:t>1H, 1H, 2H, 2H-Perfluorohexane sulfonic acid (4:2FTS)</w:t>
            </w:r>
          </w:p>
        </w:tc>
        <w:tc>
          <w:tcPr>
            <w:tcW w:w="1080" w:type="dxa"/>
            <w:tcBorders>
              <w:top w:val="single" w:sz="4" w:space="0" w:color="000000"/>
              <w:left w:val="single" w:sz="12" w:space="0" w:color="000000"/>
              <w:bottom w:val="single" w:sz="4" w:space="0" w:color="000000"/>
              <w:right w:val="single" w:sz="12" w:space="0" w:color="000000"/>
            </w:tcBorders>
            <w:vAlign w:val="center"/>
          </w:tcPr>
          <w:p w14:paraId="60CB1361" w14:textId="77777777" w:rsidR="00B32A95" w:rsidRPr="00123BFF" w:rsidRDefault="00B32A95">
            <w:pPr>
              <w:spacing w:after="0" w:line="259" w:lineRule="auto"/>
              <w:ind w:left="0" w:right="44" w:firstLine="0"/>
              <w:jc w:val="center"/>
              <w:rPr>
                <w:sz w:val="18"/>
                <w:szCs w:val="18"/>
              </w:rPr>
            </w:pPr>
            <w:r>
              <w:rPr>
                <w:sz w:val="18"/>
                <w:szCs w:val="18"/>
              </w:rPr>
              <w:t>757124-72-4</w:t>
            </w:r>
          </w:p>
        </w:tc>
        <w:tc>
          <w:tcPr>
            <w:tcW w:w="1170" w:type="dxa"/>
            <w:tcBorders>
              <w:top w:val="single" w:sz="4" w:space="0" w:color="000000"/>
              <w:left w:val="single" w:sz="12" w:space="0" w:color="000000"/>
              <w:bottom w:val="single" w:sz="4" w:space="0" w:color="000000"/>
              <w:right w:val="single" w:sz="12" w:space="0" w:color="000000"/>
            </w:tcBorders>
            <w:vAlign w:val="center"/>
          </w:tcPr>
          <w:p w14:paraId="69B35D1B" w14:textId="77777777" w:rsidR="00B32A95" w:rsidRPr="00275095" w:rsidRDefault="00B32A95">
            <w:pPr>
              <w:tabs>
                <w:tab w:val="center" w:pos="534"/>
              </w:tabs>
              <w:spacing w:after="0" w:line="259" w:lineRule="auto"/>
              <w:ind w:left="0" w:right="0" w:firstLine="0"/>
              <w:jc w:val="center"/>
              <w:rPr>
                <w:sz w:val="18"/>
                <w:szCs w:val="18"/>
              </w:rPr>
            </w:pPr>
            <w:r>
              <w:rPr>
                <w:sz w:val="18"/>
                <w:szCs w:val="18"/>
              </w:rPr>
              <w:t>4.7</w:t>
            </w:r>
          </w:p>
        </w:tc>
        <w:tc>
          <w:tcPr>
            <w:tcW w:w="720" w:type="dxa"/>
            <w:tcBorders>
              <w:top w:val="single" w:sz="4" w:space="0" w:color="000000"/>
              <w:left w:val="single" w:sz="12" w:space="0" w:color="000000"/>
              <w:bottom w:val="single" w:sz="4" w:space="0" w:color="000000"/>
              <w:right w:val="single" w:sz="12" w:space="0" w:color="000000"/>
            </w:tcBorders>
            <w:vAlign w:val="center"/>
          </w:tcPr>
          <w:p w14:paraId="2107D217" w14:textId="77777777" w:rsidR="00B32A95" w:rsidRPr="000376D7" w:rsidRDefault="00B32A95">
            <w:pPr>
              <w:spacing w:after="0" w:line="259" w:lineRule="auto"/>
              <w:ind w:left="0" w:right="44" w:firstLine="0"/>
              <w:jc w:val="center"/>
            </w:pPr>
            <w:r w:rsidRPr="00430F48">
              <w:rPr>
                <w:sz w:val="18"/>
                <w:szCs w:val="18"/>
              </w:rPr>
              <w:t>ng/L</w:t>
            </w:r>
          </w:p>
        </w:tc>
        <w:tc>
          <w:tcPr>
            <w:tcW w:w="810" w:type="dxa"/>
            <w:tcBorders>
              <w:top w:val="single" w:sz="4" w:space="0" w:color="000000"/>
              <w:left w:val="single" w:sz="12" w:space="0" w:color="000000"/>
              <w:bottom w:val="single" w:sz="4" w:space="0" w:color="000000"/>
              <w:right w:val="single" w:sz="12" w:space="0" w:color="000000"/>
            </w:tcBorders>
            <w:vAlign w:val="center"/>
          </w:tcPr>
          <w:p w14:paraId="44138ACE" w14:textId="77777777" w:rsidR="00B32A95" w:rsidRDefault="00B32A95">
            <w:pPr>
              <w:tabs>
                <w:tab w:val="center" w:pos="445"/>
              </w:tabs>
              <w:spacing w:after="0" w:line="259" w:lineRule="auto"/>
              <w:ind w:left="0" w:right="0" w:firstLine="0"/>
              <w:jc w:val="center"/>
            </w:pPr>
            <w:r w:rsidRPr="00426058">
              <w:rPr>
                <w:sz w:val="18"/>
                <w:szCs w:val="18"/>
              </w:rPr>
              <w:t>N/A</w:t>
            </w:r>
          </w:p>
        </w:tc>
        <w:tc>
          <w:tcPr>
            <w:tcW w:w="1080" w:type="dxa"/>
            <w:tcBorders>
              <w:top w:val="single" w:sz="4" w:space="0" w:color="000000"/>
              <w:left w:val="single" w:sz="12" w:space="0" w:color="000000"/>
              <w:bottom w:val="single" w:sz="4" w:space="0" w:color="000000"/>
              <w:right w:val="single" w:sz="12" w:space="0" w:color="000000"/>
            </w:tcBorders>
            <w:vAlign w:val="center"/>
          </w:tcPr>
          <w:p w14:paraId="3CC0E17E" w14:textId="77777777" w:rsidR="00B32A95" w:rsidRDefault="00B32A95">
            <w:pPr>
              <w:spacing w:after="0" w:line="259" w:lineRule="auto"/>
              <w:ind w:left="0" w:right="46" w:firstLine="0"/>
              <w:jc w:val="center"/>
            </w:pPr>
            <w:r w:rsidRPr="00426058">
              <w:rPr>
                <w:sz w:val="18"/>
                <w:szCs w:val="18"/>
              </w:rPr>
              <w:t>N/A</w:t>
            </w:r>
          </w:p>
        </w:tc>
        <w:tc>
          <w:tcPr>
            <w:tcW w:w="810" w:type="dxa"/>
            <w:tcBorders>
              <w:top w:val="single" w:sz="4" w:space="0" w:color="000000"/>
              <w:left w:val="single" w:sz="12" w:space="0" w:color="000000"/>
              <w:bottom w:val="single" w:sz="4" w:space="0" w:color="000000"/>
              <w:right w:val="single" w:sz="12" w:space="0" w:color="000000"/>
            </w:tcBorders>
            <w:vAlign w:val="center"/>
          </w:tcPr>
          <w:p w14:paraId="4E9784C0" w14:textId="77777777" w:rsidR="00B32A95" w:rsidRDefault="00B32A95">
            <w:pPr>
              <w:spacing w:after="0" w:line="259" w:lineRule="auto"/>
              <w:ind w:left="0" w:right="45" w:firstLine="0"/>
              <w:jc w:val="center"/>
            </w:pPr>
            <w:r w:rsidRPr="00C9085E">
              <w:rPr>
                <w:sz w:val="18"/>
                <w:szCs w:val="18"/>
              </w:rPr>
              <w:t>533</w:t>
            </w:r>
          </w:p>
        </w:tc>
        <w:tc>
          <w:tcPr>
            <w:tcW w:w="720" w:type="dxa"/>
            <w:tcBorders>
              <w:top w:val="single" w:sz="4" w:space="0" w:color="000000"/>
              <w:left w:val="single" w:sz="12" w:space="0" w:color="000000"/>
              <w:bottom w:val="single" w:sz="4" w:space="0" w:color="000000"/>
              <w:right w:val="single" w:sz="12" w:space="0" w:color="000000"/>
            </w:tcBorders>
            <w:vAlign w:val="center"/>
          </w:tcPr>
          <w:p w14:paraId="25CC9BC2" w14:textId="77777777" w:rsidR="00B32A95" w:rsidRDefault="00B32A95">
            <w:pPr>
              <w:spacing w:after="0" w:line="259" w:lineRule="auto"/>
              <w:ind w:left="0" w:right="48" w:firstLine="0"/>
              <w:jc w:val="center"/>
            </w:pPr>
          </w:p>
        </w:tc>
      </w:tr>
      <w:tr w:rsidR="00634F0E" w14:paraId="3F6F7855" w14:textId="77777777" w:rsidTr="00327A4B">
        <w:trPr>
          <w:trHeight w:val="250"/>
        </w:trPr>
        <w:tc>
          <w:tcPr>
            <w:tcW w:w="4140" w:type="dxa"/>
            <w:tcBorders>
              <w:top w:val="single" w:sz="4" w:space="0" w:color="000000"/>
              <w:left w:val="single" w:sz="12" w:space="0" w:color="000000"/>
              <w:bottom w:val="single" w:sz="4" w:space="0" w:color="000000"/>
              <w:right w:val="single" w:sz="12" w:space="0" w:color="000000"/>
            </w:tcBorders>
            <w:vAlign w:val="center"/>
          </w:tcPr>
          <w:p w14:paraId="110EFF85" w14:textId="77777777" w:rsidR="00B32A95" w:rsidRPr="002977F9" w:rsidRDefault="00B32A95">
            <w:pPr>
              <w:spacing w:after="0" w:line="259" w:lineRule="auto"/>
              <w:ind w:left="0" w:right="0" w:firstLine="0"/>
              <w:rPr>
                <w:sz w:val="18"/>
                <w:szCs w:val="18"/>
              </w:rPr>
            </w:pPr>
            <w:proofErr w:type="spellStart"/>
            <w:r>
              <w:rPr>
                <w:sz w:val="18"/>
                <w:szCs w:val="18"/>
              </w:rPr>
              <w:t>Perfluorohexanesulfonic</w:t>
            </w:r>
            <w:proofErr w:type="spellEnd"/>
            <w:r>
              <w:rPr>
                <w:sz w:val="18"/>
                <w:szCs w:val="18"/>
              </w:rPr>
              <w:t xml:space="preserve"> acid (</w:t>
            </w:r>
            <w:proofErr w:type="spellStart"/>
            <w:r>
              <w:rPr>
                <w:sz w:val="18"/>
                <w:szCs w:val="18"/>
              </w:rPr>
              <w:t>PFHxS</w:t>
            </w:r>
            <w:proofErr w:type="spellEnd"/>
            <w:r>
              <w:rPr>
                <w:sz w:val="18"/>
                <w:szCs w:val="18"/>
              </w:rPr>
              <w:t>)</w:t>
            </w:r>
          </w:p>
        </w:tc>
        <w:tc>
          <w:tcPr>
            <w:tcW w:w="1080" w:type="dxa"/>
            <w:tcBorders>
              <w:top w:val="single" w:sz="4" w:space="0" w:color="000000"/>
              <w:left w:val="single" w:sz="12" w:space="0" w:color="000000"/>
              <w:bottom w:val="single" w:sz="4" w:space="0" w:color="000000"/>
              <w:right w:val="single" w:sz="12" w:space="0" w:color="000000"/>
            </w:tcBorders>
            <w:vAlign w:val="center"/>
          </w:tcPr>
          <w:p w14:paraId="076D3BA8" w14:textId="77777777" w:rsidR="00B32A95" w:rsidRPr="00123BFF" w:rsidRDefault="00B32A95">
            <w:pPr>
              <w:spacing w:after="0" w:line="259" w:lineRule="auto"/>
              <w:ind w:left="0" w:right="44" w:firstLine="0"/>
              <w:jc w:val="center"/>
              <w:rPr>
                <w:sz w:val="18"/>
                <w:szCs w:val="18"/>
              </w:rPr>
            </w:pPr>
            <w:r>
              <w:rPr>
                <w:sz w:val="18"/>
                <w:szCs w:val="18"/>
              </w:rPr>
              <w:t>355-46-4</w:t>
            </w:r>
          </w:p>
        </w:tc>
        <w:tc>
          <w:tcPr>
            <w:tcW w:w="1170" w:type="dxa"/>
            <w:tcBorders>
              <w:top w:val="single" w:sz="4" w:space="0" w:color="000000"/>
              <w:left w:val="single" w:sz="12" w:space="0" w:color="000000"/>
              <w:bottom w:val="single" w:sz="4" w:space="0" w:color="000000"/>
              <w:right w:val="single" w:sz="12" w:space="0" w:color="000000"/>
            </w:tcBorders>
            <w:vAlign w:val="center"/>
          </w:tcPr>
          <w:p w14:paraId="04964133" w14:textId="77777777" w:rsidR="00B32A95" w:rsidRPr="00E50FA6" w:rsidRDefault="00B32A95">
            <w:pPr>
              <w:tabs>
                <w:tab w:val="center" w:pos="534"/>
              </w:tabs>
              <w:spacing w:after="0" w:line="259" w:lineRule="auto"/>
              <w:ind w:left="0" w:right="0" w:firstLine="0"/>
              <w:jc w:val="center"/>
              <w:rPr>
                <w:bCs/>
                <w:sz w:val="18"/>
                <w:szCs w:val="18"/>
              </w:rPr>
            </w:pPr>
            <w:r w:rsidRPr="00E50FA6">
              <w:rPr>
                <w:bCs/>
                <w:sz w:val="18"/>
                <w:szCs w:val="18"/>
              </w:rPr>
              <w:t>3.7</w:t>
            </w:r>
          </w:p>
        </w:tc>
        <w:tc>
          <w:tcPr>
            <w:tcW w:w="720" w:type="dxa"/>
            <w:tcBorders>
              <w:top w:val="single" w:sz="4" w:space="0" w:color="000000"/>
              <w:left w:val="single" w:sz="12" w:space="0" w:color="000000"/>
              <w:bottom w:val="single" w:sz="4" w:space="0" w:color="000000"/>
              <w:right w:val="single" w:sz="12" w:space="0" w:color="000000"/>
            </w:tcBorders>
            <w:vAlign w:val="center"/>
          </w:tcPr>
          <w:p w14:paraId="134FF89A" w14:textId="77777777" w:rsidR="00B32A95" w:rsidRPr="000376D7" w:rsidRDefault="00B32A95">
            <w:pPr>
              <w:spacing w:after="0" w:line="259" w:lineRule="auto"/>
              <w:ind w:left="0" w:right="44" w:firstLine="0"/>
              <w:jc w:val="center"/>
            </w:pPr>
            <w:r w:rsidRPr="00430F48">
              <w:rPr>
                <w:sz w:val="18"/>
                <w:szCs w:val="18"/>
              </w:rPr>
              <w:t>ng/L</w:t>
            </w:r>
          </w:p>
        </w:tc>
        <w:tc>
          <w:tcPr>
            <w:tcW w:w="810" w:type="dxa"/>
            <w:tcBorders>
              <w:top w:val="single" w:sz="4" w:space="0" w:color="000000"/>
              <w:left w:val="single" w:sz="12" w:space="0" w:color="000000"/>
              <w:bottom w:val="single" w:sz="4" w:space="0" w:color="000000"/>
              <w:right w:val="single" w:sz="12" w:space="0" w:color="000000"/>
            </w:tcBorders>
            <w:vAlign w:val="center"/>
          </w:tcPr>
          <w:p w14:paraId="7E00F2D3" w14:textId="77777777" w:rsidR="00B32A95" w:rsidRDefault="00B32A95">
            <w:pPr>
              <w:tabs>
                <w:tab w:val="center" w:pos="399"/>
              </w:tabs>
              <w:spacing w:after="0" w:line="259" w:lineRule="auto"/>
              <w:ind w:left="0" w:right="0" w:firstLine="0"/>
              <w:jc w:val="center"/>
            </w:pPr>
            <w:r w:rsidRPr="00426058">
              <w:rPr>
                <w:sz w:val="18"/>
                <w:szCs w:val="18"/>
              </w:rPr>
              <w:t>N/A</w:t>
            </w:r>
          </w:p>
        </w:tc>
        <w:tc>
          <w:tcPr>
            <w:tcW w:w="1080" w:type="dxa"/>
            <w:tcBorders>
              <w:top w:val="single" w:sz="4" w:space="0" w:color="000000"/>
              <w:left w:val="single" w:sz="12" w:space="0" w:color="000000"/>
              <w:bottom w:val="single" w:sz="4" w:space="0" w:color="000000"/>
              <w:right w:val="single" w:sz="12" w:space="0" w:color="000000"/>
            </w:tcBorders>
            <w:vAlign w:val="center"/>
          </w:tcPr>
          <w:p w14:paraId="0570826A" w14:textId="77777777" w:rsidR="00B32A95" w:rsidRDefault="00B32A95">
            <w:pPr>
              <w:spacing w:after="0" w:line="259" w:lineRule="auto"/>
              <w:ind w:left="0" w:right="46" w:firstLine="0"/>
              <w:jc w:val="center"/>
            </w:pPr>
            <w:r w:rsidRPr="00426058">
              <w:rPr>
                <w:sz w:val="18"/>
                <w:szCs w:val="18"/>
              </w:rPr>
              <w:t>N/A</w:t>
            </w:r>
          </w:p>
        </w:tc>
        <w:tc>
          <w:tcPr>
            <w:tcW w:w="810" w:type="dxa"/>
            <w:tcBorders>
              <w:top w:val="single" w:sz="4" w:space="0" w:color="000000"/>
              <w:left w:val="single" w:sz="12" w:space="0" w:color="000000"/>
              <w:bottom w:val="single" w:sz="4" w:space="0" w:color="000000"/>
              <w:right w:val="single" w:sz="12" w:space="0" w:color="000000"/>
            </w:tcBorders>
            <w:vAlign w:val="center"/>
          </w:tcPr>
          <w:p w14:paraId="4847D66D" w14:textId="77777777" w:rsidR="00B32A95" w:rsidRDefault="00B32A95">
            <w:pPr>
              <w:spacing w:after="0" w:line="259" w:lineRule="auto"/>
              <w:ind w:left="0" w:right="45" w:firstLine="0"/>
              <w:jc w:val="center"/>
            </w:pPr>
            <w:r w:rsidRPr="00C9085E">
              <w:rPr>
                <w:sz w:val="18"/>
                <w:szCs w:val="18"/>
              </w:rPr>
              <w:t>533</w:t>
            </w:r>
          </w:p>
        </w:tc>
        <w:tc>
          <w:tcPr>
            <w:tcW w:w="720" w:type="dxa"/>
            <w:tcBorders>
              <w:top w:val="single" w:sz="4" w:space="0" w:color="000000"/>
              <w:left w:val="single" w:sz="12" w:space="0" w:color="000000"/>
              <w:bottom w:val="single" w:sz="4" w:space="0" w:color="000000"/>
              <w:right w:val="single" w:sz="12" w:space="0" w:color="000000"/>
            </w:tcBorders>
            <w:vAlign w:val="center"/>
          </w:tcPr>
          <w:p w14:paraId="06F9FD1A" w14:textId="77777777" w:rsidR="00B32A95" w:rsidRDefault="00B32A95">
            <w:pPr>
              <w:spacing w:after="0" w:line="259" w:lineRule="auto"/>
              <w:ind w:left="0" w:right="48" w:firstLine="0"/>
              <w:jc w:val="center"/>
            </w:pPr>
          </w:p>
        </w:tc>
      </w:tr>
      <w:tr w:rsidR="00634F0E" w14:paraId="0468003B" w14:textId="77777777" w:rsidTr="00327A4B">
        <w:trPr>
          <w:trHeight w:val="250"/>
        </w:trPr>
        <w:tc>
          <w:tcPr>
            <w:tcW w:w="4140" w:type="dxa"/>
            <w:tcBorders>
              <w:top w:val="single" w:sz="4" w:space="0" w:color="000000"/>
              <w:left w:val="single" w:sz="12" w:space="0" w:color="000000"/>
              <w:bottom w:val="single" w:sz="4" w:space="0" w:color="000000"/>
              <w:right w:val="single" w:sz="12" w:space="0" w:color="000000"/>
            </w:tcBorders>
            <w:vAlign w:val="center"/>
          </w:tcPr>
          <w:p w14:paraId="32681CF6" w14:textId="77777777" w:rsidR="00B32A95" w:rsidRPr="002977F9" w:rsidRDefault="00B32A95">
            <w:pPr>
              <w:spacing w:after="0" w:line="259" w:lineRule="auto"/>
              <w:ind w:left="0" w:right="0" w:firstLine="0"/>
              <w:rPr>
                <w:sz w:val="18"/>
                <w:szCs w:val="18"/>
              </w:rPr>
            </w:pPr>
            <w:proofErr w:type="spellStart"/>
            <w:r>
              <w:rPr>
                <w:sz w:val="18"/>
                <w:szCs w:val="18"/>
              </w:rPr>
              <w:t>Perfluorohexanoic</w:t>
            </w:r>
            <w:proofErr w:type="spellEnd"/>
            <w:r>
              <w:rPr>
                <w:sz w:val="18"/>
                <w:szCs w:val="18"/>
              </w:rPr>
              <w:t xml:space="preserve"> acid (</w:t>
            </w:r>
            <w:proofErr w:type="spellStart"/>
            <w:r>
              <w:rPr>
                <w:sz w:val="18"/>
                <w:szCs w:val="18"/>
              </w:rPr>
              <w:t>PFHxA</w:t>
            </w:r>
            <w:proofErr w:type="spellEnd"/>
            <w:r>
              <w:rPr>
                <w:sz w:val="18"/>
                <w:szCs w:val="18"/>
              </w:rPr>
              <w:t>)</w:t>
            </w:r>
          </w:p>
        </w:tc>
        <w:tc>
          <w:tcPr>
            <w:tcW w:w="1080" w:type="dxa"/>
            <w:tcBorders>
              <w:top w:val="single" w:sz="4" w:space="0" w:color="000000"/>
              <w:left w:val="single" w:sz="12" w:space="0" w:color="000000"/>
              <w:bottom w:val="single" w:sz="4" w:space="0" w:color="000000"/>
              <w:right w:val="single" w:sz="12" w:space="0" w:color="000000"/>
            </w:tcBorders>
            <w:vAlign w:val="center"/>
          </w:tcPr>
          <w:p w14:paraId="5F2BD92A" w14:textId="77777777" w:rsidR="00B32A95" w:rsidRPr="00123BFF" w:rsidRDefault="00B32A95">
            <w:pPr>
              <w:spacing w:after="0" w:line="259" w:lineRule="auto"/>
              <w:ind w:left="0" w:right="44" w:firstLine="0"/>
              <w:jc w:val="center"/>
              <w:rPr>
                <w:sz w:val="18"/>
                <w:szCs w:val="18"/>
              </w:rPr>
            </w:pPr>
            <w:r>
              <w:rPr>
                <w:sz w:val="18"/>
                <w:szCs w:val="18"/>
              </w:rPr>
              <w:t>307-24-4</w:t>
            </w:r>
          </w:p>
        </w:tc>
        <w:tc>
          <w:tcPr>
            <w:tcW w:w="1170" w:type="dxa"/>
            <w:tcBorders>
              <w:top w:val="single" w:sz="4" w:space="0" w:color="000000"/>
              <w:left w:val="single" w:sz="12" w:space="0" w:color="000000"/>
              <w:bottom w:val="single" w:sz="4" w:space="0" w:color="000000"/>
              <w:right w:val="single" w:sz="12" w:space="0" w:color="000000"/>
            </w:tcBorders>
            <w:vAlign w:val="center"/>
          </w:tcPr>
          <w:p w14:paraId="30370B42" w14:textId="77777777" w:rsidR="00B32A95" w:rsidRPr="00275095" w:rsidRDefault="00B32A95">
            <w:pPr>
              <w:tabs>
                <w:tab w:val="center" w:pos="534"/>
              </w:tabs>
              <w:spacing w:after="0" w:line="259" w:lineRule="auto"/>
              <w:ind w:left="0" w:right="0" w:firstLine="0"/>
              <w:jc w:val="center"/>
              <w:rPr>
                <w:sz w:val="18"/>
                <w:szCs w:val="18"/>
              </w:rPr>
            </w:pPr>
            <w:r>
              <w:rPr>
                <w:sz w:val="18"/>
                <w:szCs w:val="18"/>
              </w:rPr>
              <w:t>5.3</w:t>
            </w:r>
          </w:p>
        </w:tc>
        <w:tc>
          <w:tcPr>
            <w:tcW w:w="720" w:type="dxa"/>
            <w:tcBorders>
              <w:top w:val="single" w:sz="4" w:space="0" w:color="000000"/>
              <w:left w:val="single" w:sz="12" w:space="0" w:color="000000"/>
              <w:bottom w:val="single" w:sz="4" w:space="0" w:color="000000"/>
              <w:right w:val="single" w:sz="12" w:space="0" w:color="000000"/>
            </w:tcBorders>
            <w:vAlign w:val="center"/>
          </w:tcPr>
          <w:p w14:paraId="4AB7A523" w14:textId="77777777" w:rsidR="00B32A95" w:rsidRPr="000376D7" w:rsidRDefault="00B32A95">
            <w:pPr>
              <w:spacing w:after="0" w:line="259" w:lineRule="auto"/>
              <w:ind w:left="0" w:right="44" w:firstLine="0"/>
              <w:jc w:val="center"/>
            </w:pPr>
            <w:r w:rsidRPr="00430F48">
              <w:rPr>
                <w:sz w:val="18"/>
                <w:szCs w:val="18"/>
              </w:rPr>
              <w:t>ng/L</w:t>
            </w:r>
          </w:p>
        </w:tc>
        <w:tc>
          <w:tcPr>
            <w:tcW w:w="810" w:type="dxa"/>
            <w:tcBorders>
              <w:top w:val="single" w:sz="4" w:space="0" w:color="000000"/>
              <w:left w:val="single" w:sz="12" w:space="0" w:color="000000"/>
              <w:bottom w:val="single" w:sz="4" w:space="0" w:color="000000"/>
              <w:right w:val="single" w:sz="12" w:space="0" w:color="000000"/>
            </w:tcBorders>
            <w:vAlign w:val="center"/>
          </w:tcPr>
          <w:p w14:paraId="02471878" w14:textId="77777777" w:rsidR="00B32A95" w:rsidRDefault="00B32A95">
            <w:pPr>
              <w:tabs>
                <w:tab w:val="center" w:pos="445"/>
              </w:tabs>
              <w:spacing w:after="0" w:line="259" w:lineRule="auto"/>
              <w:ind w:left="0" w:right="0" w:firstLine="0"/>
              <w:jc w:val="center"/>
            </w:pPr>
            <w:r w:rsidRPr="00426058">
              <w:rPr>
                <w:sz w:val="18"/>
                <w:szCs w:val="18"/>
              </w:rPr>
              <w:t>N/A</w:t>
            </w:r>
          </w:p>
        </w:tc>
        <w:tc>
          <w:tcPr>
            <w:tcW w:w="1080" w:type="dxa"/>
            <w:tcBorders>
              <w:top w:val="single" w:sz="4" w:space="0" w:color="000000"/>
              <w:left w:val="single" w:sz="12" w:space="0" w:color="000000"/>
              <w:bottom w:val="single" w:sz="4" w:space="0" w:color="000000"/>
              <w:right w:val="single" w:sz="12" w:space="0" w:color="000000"/>
            </w:tcBorders>
            <w:vAlign w:val="center"/>
          </w:tcPr>
          <w:p w14:paraId="7C826485" w14:textId="77777777" w:rsidR="00B32A95" w:rsidRDefault="00B32A95">
            <w:pPr>
              <w:spacing w:after="0" w:line="259" w:lineRule="auto"/>
              <w:ind w:left="0" w:right="46" w:firstLine="0"/>
              <w:jc w:val="center"/>
            </w:pPr>
            <w:r w:rsidRPr="00426058">
              <w:rPr>
                <w:sz w:val="18"/>
                <w:szCs w:val="18"/>
              </w:rPr>
              <w:t>N/A</w:t>
            </w:r>
          </w:p>
        </w:tc>
        <w:tc>
          <w:tcPr>
            <w:tcW w:w="810" w:type="dxa"/>
            <w:tcBorders>
              <w:top w:val="single" w:sz="4" w:space="0" w:color="000000"/>
              <w:left w:val="single" w:sz="12" w:space="0" w:color="000000"/>
              <w:bottom w:val="single" w:sz="4" w:space="0" w:color="000000"/>
              <w:right w:val="single" w:sz="12" w:space="0" w:color="000000"/>
            </w:tcBorders>
            <w:vAlign w:val="center"/>
          </w:tcPr>
          <w:p w14:paraId="3157339D" w14:textId="77777777" w:rsidR="00B32A95" w:rsidRDefault="00B32A95">
            <w:pPr>
              <w:spacing w:after="0" w:line="259" w:lineRule="auto"/>
              <w:ind w:left="0" w:right="45" w:firstLine="0"/>
              <w:jc w:val="center"/>
            </w:pPr>
            <w:r w:rsidRPr="00C9085E">
              <w:rPr>
                <w:sz w:val="18"/>
                <w:szCs w:val="18"/>
              </w:rPr>
              <w:t>533</w:t>
            </w:r>
          </w:p>
        </w:tc>
        <w:tc>
          <w:tcPr>
            <w:tcW w:w="720" w:type="dxa"/>
            <w:tcBorders>
              <w:top w:val="single" w:sz="4" w:space="0" w:color="000000"/>
              <w:left w:val="single" w:sz="12" w:space="0" w:color="000000"/>
              <w:bottom w:val="single" w:sz="4" w:space="0" w:color="000000"/>
              <w:right w:val="single" w:sz="12" w:space="0" w:color="000000"/>
            </w:tcBorders>
            <w:vAlign w:val="center"/>
          </w:tcPr>
          <w:p w14:paraId="7963CACC" w14:textId="77777777" w:rsidR="00B32A95" w:rsidRDefault="00B32A95">
            <w:pPr>
              <w:spacing w:after="0" w:line="259" w:lineRule="auto"/>
              <w:ind w:left="0" w:right="48" w:firstLine="0"/>
              <w:jc w:val="center"/>
            </w:pPr>
          </w:p>
        </w:tc>
      </w:tr>
      <w:tr w:rsidR="00634F0E" w14:paraId="0F9DEAED" w14:textId="77777777" w:rsidTr="00327A4B">
        <w:trPr>
          <w:trHeight w:val="252"/>
        </w:trPr>
        <w:tc>
          <w:tcPr>
            <w:tcW w:w="4140" w:type="dxa"/>
            <w:tcBorders>
              <w:top w:val="single" w:sz="4" w:space="0" w:color="000000"/>
              <w:left w:val="single" w:sz="12" w:space="0" w:color="000000"/>
              <w:bottom w:val="single" w:sz="4" w:space="0" w:color="000000"/>
              <w:right w:val="single" w:sz="12" w:space="0" w:color="000000"/>
            </w:tcBorders>
            <w:vAlign w:val="center"/>
          </w:tcPr>
          <w:p w14:paraId="24DD7E53" w14:textId="77777777" w:rsidR="00B32A95" w:rsidRPr="002977F9" w:rsidRDefault="00B32A95">
            <w:pPr>
              <w:spacing w:after="0" w:line="259" w:lineRule="auto"/>
              <w:ind w:left="0" w:right="0" w:firstLine="0"/>
              <w:rPr>
                <w:sz w:val="18"/>
                <w:szCs w:val="18"/>
              </w:rPr>
            </w:pPr>
            <w:r>
              <w:rPr>
                <w:sz w:val="18"/>
                <w:szCs w:val="18"/>
              </w:rPr>
              <w:t>Perfluoro-3-methoxypropanoic acid (PFMPA)</w:t>
            </w:r>
          </w:p>
        </w:tc>
        <w:tc>
          <w:tcPr>
            <w:tcW w:w="1080" w:type="dxa"/>
            <w:tcBorders>
              <w:top w:val="single" w:sz="4" w:space="0" w:color="000000"/>
              <w:left w:val="single" w:sz="12" w:space="0" w:color="000000"/>
              <w:bottom w:val="single" w:sz="4" w:space="0" w:color="000000"/>
              <w:right w:val="single" w:sz="12" w:space="0" w:color="000000"/>
            </w:tcBorders>
            <w:vAlign w:val="center"/>
          </w:tcPr>
          <w:p w14:paraId="6043F40B" w14:textId="77777777" w:rsidR="00B32A95" w:rsidRPr="00123BFF" w:rsidRDefault="00B32A95">
            <w:pPr>
              <w:spacing w:after="0" w:line="259" w:lineRule="auto"/>
              <w:ind w:left="0" w:right="44" w:firstLine="0"/>
              <w:jc w:val="center"/>
              <w:rPr>
                <w:sz w:val="18"/>
                <w:szCs w:val="18"/>
              </w:rPr>
            </w:pPr>
            <w:r>
              <w:rPr>
                <w:sz w:val="18"/>
                <w:szCs w:val="18"/>
              </w:rPr>
              <w:t>377-73-1</w:t>
            </w:r>
          </w:p>
        </w:tc>
        <w:tc>
          <w:tcPr>
            <w:tcW w:w="1170" w:type="dxa"/>
            <w:tcBorders>
              <w:top w:val="single" w:sz="4" w:space="0" w:color="000000"/>
              <w:left w:val="single" w:sz="12" w:space="0" w:color="000000"/>
              <w:bottom w:val="single" w:sz="4" w:space="0" w:color="000000"/>
              <w:right w:val="single" w:sz="12" w:space="0" w:color="000000"/>
            </w:tcBorders>
            <w:vAlign w:val="center"/>
          </w:tcPr>
          <w:p w14:paraId="29F6252F" w14:textId="77777777" w:rsidR="00B32A95" w:rsidRPr="00275095" w:rsidRDefault="00B32A95">
            <w:pPr>
              <w:tabs>
                <w:tab w:val="center" w:pos="534"/>
              </w:tabs>
              <w:spacing w:after="0" w:line="259" w:lineRule="auto"/>
              <w:ind w:left="0" w:right="0" w:firstLine="0"/>
              <w:jc w:val="center"/>
              <w:rPr>
                <w:sz w:val="18"/>
                <w:szCs w:val="18"/>
              </w:rPr>
            </w:pPr>
            <w:r>
              <w:rPr>
                <w:sz w:val="18"/>
                <w:szCs w:val="18"/>
              </w:rPr>
              <w:t>3.8</w:t>
            </w:r>
          </w:p>
        </w:tc>
        <w:tc>
          <w:tcPr>
            <w:tcW w:w="720" w:type="dxa"/>
            <w:tcBorders>
              <w:top w:val="single" w:sz="4" w:space="0" w:color="000000"/>
              <w:left w:val="single" w:sz="12" w:space="0" w:color="000000"/>
              <w:bottom w:val="single" w:sz="4" w:space="0" w:color="000000"/>
              <w:right w:val="single" w:sz="12" w:space="0" w:color="000000"/>
            </w:tcBorders>
            <w:vAlign w:val="center"/>
          </w:tcPr>
          <w:p w14:paraId="62FD5816" w14:textId="77777777" w:rsidR="00B32A95" w:rsidRPr="000376D7" w:rsidRDefault="00B32A95">
            <w:pPr>
              <w:spacing w:after="0" w:line="259" w:lineRule="auto"/>
              <w:ind w:left="0" w:right="44" w:firstLine="0"/>
              <w:jc w:val="center"/>
            </w:pPr>
            <w:r w:rsidRPr="00430F48">
              <w:rPr>
                <w:sz w:val="18"/>
                <w:szCs w:val="18"/>
              </w:rPr>
              <w:t>ng/L</w:t>
            </w:r>
          </w:p>
        </w:tc>
        <w:tc>
          <w:tcPr>
            <w:tcW w:w="810" w:type="dxa"/>
            <w:tcBorders>
              <w:top w:val="single" w:sz="4" w:space="0" w:color="000000"/>
              <w:left w:val="single" w:sz="12" w:space="0" w:color="000000"/>
              <w:bottom w:val="single" w:sz="4" w:space="0" w:color="000000"/>
              <w:right w:val="single" w:sz="12" w:space="0" w:color="000000"/>
            </w:tcBorders>
            <w:vAlign w:val="center"/>
          </w:tcPr>
          <w:p w14:paraId="2C291FEE" w14:textId="77777777" w:rsidR="00B32A95" w:rsidRDefault="00B32A95">
            <w:pPr>
              <w:tabs>
                <w:tab w:val="center" w:pos="399"/>
              </w:tabs>
              <w:spacing w:after="0" w:line="259" w:lineRule="auto"/>
              <w:ind w:left="0" w:right="0" w:firstLine="0"/>
              <w:jc w:val="center"/>
            </w:pPr>
            <w:r w:rsidRPr="00426058">
              <w:rPr>
                <w:sz w:val="18"/>
                <w:szCs w:val="18"/>
              </w:rPr>
              <w:t>N/A</w:t>
            </w:r>
          </w:p>
        </w:tc>
        <w:tc>
          <w:tcPr>
            <w:tcW w:w="1080" w:type="dxa"/>
            <w:tcBorders>
              <w:top w:val="single" w:sz="4" w:space="0" w:color="000000"/>
              <w:left w:val="single" w:sz="12" w:space="0" w:color="000000"/>
              <w:bottom w:val="single" w:sz="4" w:space="0" w:color="000000"/>
              <w:right w:val="single" w:sz="12" w:space="0" w:color="000000"/>
            </w:tcBorders>
            <w:vAlign w:val="center"/>
          </w:tcPr>
          <w:p w14:paraId="40BAC26E" w14:textId="77777777" w:rsidR="00B32A95" w:rsidRDefault="00B32A95">
            <w:pPr>
              <w:spacing w:after="0" w:line="259" w:lineRule="auto"/>
              <w:ind w:left="0" w:right="46" w:firstLine="0"/>
              <w:jc w:val="center"/>
            </w:pPr>
            <w:r w:rsidRPr="00426058">
              <w:rPr>
                <w:sz w:val="18"/>
                <w:szCs w:val="18"/>
              </w:rPr>
              <w:t>N/A</w:t>
            </w:r>
          </w:p>
        </w:tc>
        <w:tc>
          <w:tcPr>
            <w:tcW w:w="810" w:type="dxa"/>
            <w:tcBorders>
              <w:top w:val="single" w:sz="4" w:space="0" w:color="000000"/>
              <w:left w:val="single" w:sz="12" w:space="0" w:color="000000"/>
              <w:bottom w:val="single" w:sz="4" w:space="0" w:color="000000"/>
              <w:right w:val="single" w:sz="12" w:space="0" w:color="000000"/>
            </w:tcBorders>
            <w:vAlign w:val="center"/>
          </w:tcPr>
          <w:p w14:paraId="57C1CF0D" w14:textId="77777777" w:rsidR="00B32A95" w:rsidRDefault="00B32A95">
            <w:pPr>
              <w:spacing w:after="0" w:line="259" w:lineRule="auto"/>
              <w:ind w:left="0" w:right="45" w:firstLine="0"/>
              <w:jc w:val="center"/>
            </w:pPr>
            <w:r w:rsidRPr="00C9085E">
              <w:rPr>
                <w:sz w:val="18"/>
                <w:szCs w:val="18"/>
              </w:rPr>
              <w:t>533</w:t>
            </w:r>
          </w:p>
        </w:tc>
        <w:tc>
          <w:tcPr>
            <w:tcW w:w="720" w:type="dxa"/>
            <w:tcBorders>
              <w:top w:val="single" w:sz="4" w:space="0" w:color="000000"/>
              <w:left w:val="single" w:sz="12" w:space="0" w:color="000000"/>
              <w:bottom w:val="single" w:sz="4" w:space="0" w:color="000000"/>
              <w:right w:val="single" w:sz="12" w:space="0" w:color="000000"/>
            </w:tcBorders>
            <w:vAlign w:val="center"/>
          </w:tcPr>
          <w:p w14:paraId="4130FE70" w14:textId="77777777" w:rsidR="00B32A95" w:rsidRDefault="00B32A95">
            <w:pPr>
              <w:spacing w:after="0" w:line="259" w:lineRule="auto"/>
              <w:ind w:left="0" w:right="48" w:firstLine="0"/>
              <w:jc w:val="center"/>
            </w:pPr>
          </w:p>
        </w:tc>
      </w:tr>
      <w:tr w:rsidR="00634F0E" w14:paraId="7DCF95CE" w14:textId="77777777" w:rsidTr="00327A4B">
        <w:trPr>
          <w:trHeight w:val="250"/>
        </w:trPr>
        <w:tc>
          <w:tcPr>
            <w:tcW w:w="4140" w:type="dxa"/>
            <w:tcBorders>
              <w:top w:val="single" w:sz="4" w:space="0" w:color="000000"/>
              <w:left w:val="single" w:sz="12" w:space="0" w:color="000000"/>
              <w:bottom w:val="single" w:sz="4" w:space="0" w:color="000000"/>
              <w:right w:val="single" w:sz="12" w:space="0" w:color="000000"/>
            </w:tcBorders>
            <w:vAlign w:val="center"/>
          </w:tcPr>
          <w:p w14:paraId="384A5094" w14:textId="77777777" w:rsidR="00B32A95" w:rsidRPr="002977F9" w:rsidRDefault="00B32A95">
            <w:pPr>
              <w:spacing w:after="0" w:line="259" w:lineRule="auto"/>
              <w:ind w:left="0" w:right="0" w:firstLine="0"/>
              <w:rPr>
                <w:sz w:val="18"/>
                <w:szCs w:val="18"/>
              </w:rPr>
            </w:pPr>
            <w:r>
              <w:rPr>
                <w:sz w:val="18"/>
                <w:szCs w:val="18"/>
              </w:rPr>
              <w:t>Perfluoro-4-methoxybutanoic acid (PFMBA)</w:t>
            </w:r>
          </w:p>
        </w:tc>
        <w:tc>
          <w:tcPr>
            <w:tcW w:w="1080" w:type="dxa"/>
            <w:tcBorders>
              <w:top w:val="single" w:sz="4" w:space="0" w:color="000000"/>
              <w:left w:val="single" w:sz="12" w:space="0" w:color="000000"/>
              <w:bottom w:val="single" w:sz="4" w:space="0" w:color="000000"/>
              <w:right w:val="single" w:sz="12" w:space="0" w:color="000000"/>
            </w:tcBorders>
            <w:vAlign w:val="center"/>
          </w:tcPr>
          <w:p w14:paraId="16020660" w14:textId="77777777" w:rsidR="00B32A95" w:rsidRPr="00123BFF" w:rsidRDefault="00B32A95">
            <w:pPr>
              <w:spacing w:after="0" w:line="259" w:lineRule="auto"/>
              <w:ind w:left="0" w:right="44" w:firstLine="0"/>
              <w:jc w:val="center"/>
              <w:rPr>
                <w:sz w:val="18"/>
                <w:szCs w:val="18"/>
              </w:rPr>
            </w:pPr>
            <w:r>
              <w:rPr>
                <w:sz w:val="18"/>
                <w:szCs w:val="18"/>
              </w:rPr>
              <w:t>863090-89-5</w:t>
            </w:r>
          </w:p>
        </w:tc>
        <w:tc>
          <w:tcPr>
            <w:tcW w:w="1170" w:type="dxa"/>
            <w:tcBorders>
              <w:top w:val="single" w:sz="4" w:space="0" w:color="000000"/>
              <w:left w:val="single" w:sz="12" w:space="0" w:color="000000"/>
              <w:bottom w:val="single" w:sz="4" w:space="0" w:color="000000"/>
              <w:right w:val="single" w:sz="12" w:space="0" w:color="000000"/>
            </w:tcBorders>
            <w:vAlign w:val="center"/>
          </w:tcPr>
          <w:p w14:paraId="66BB44B9" w14:textId="77777777" w:rsidR="00B32A95" w:rsidRPr="00275095" w:rsidRDefault="00B32A95">
            <w:pPr>
              <w:tabs>
                <w:tab w:val="center" w:pos="534"/>
              </w:tabs>
              <w:spacing w:after="0" w:line="259" w:lineRule="auto"/>
              <w:ind w:left="0" w:right="0" w:firstLine="0"/>
              <w:jc w:val="center"/>
              <w:rPr>
                <w:sz w:val="18"/>
                <w:szCs w:val="18"/>
              </w:rPr>
            </w:pPr>
            <w:r>
              <w:rPr>
                <w:sz w:val="18"/>
                <w:szCs w:val="18"/>
              </w:rPr>
              <w:t>3.7</w:t>
            </w:r>
          </w:p>
        </w:tc>
        <w:tc>
          <w:tcPr>
            <w:tcW w:w="720" w:type="dxa"/>
            <w:tcBorders>
              <w:top w:val="single" w:sz="4" w:space="0" w:color="000000"/>
              <w:left w:val="single" w:sz="12" w:space="0" w:color="000000"/>
              <w:bottom w:val="single" w:sz="4" w:space="0" w:color="000000"/>
              <w:right w:val="single" w:sz="12" w:space="0" w:color="000000"/>
            </w:tcBorders>
            <w:vAlign w:val="center"/>
          </w:tcPr>
          <w:p w14:paraId="394861B9" w14:textId="77777777" w:rsidR="00B32A95" w:rsidRPr="000376D7" w:rsidRDefault="00B32A95">
            <w:pPr>
              <w:spacing w:after="0" w:line="259" w:lineRule="auto"/>
              <w:ind w:left="0" w:right="44" w:firstLine="0"/>
              <w:jc w:val="center"/>
            </w:pPr>
            <w:r w:rsidRPr="00430F48">
              <w:rPr>
                <w:sz w:val="18"/>
                <w:szCs w:val="18"/>
              </w:rPr>
              <w:t>ng/L</w:t>
            </w:r>
          </w:p>
        </w:tc>
        <w:tc>
          <w:tcPr>
            <w:tcW w:w="810" w:type="dxa"/>
            <w:tcBorders>
              <w:top w:val="single" w:sz="4" w:space="0" w:color="000000"/>
              <w:left w:val="single" w:sz="12" w:space="0" w:color="000000"/>
              <w:bottom w:val="single" w:sz="4" w:space="0" w:color="000000"/>
              <w:right w:val="single" w:sz="12" w:space="0" w:color="000000"/>
            </w:tcBorders>
            <w:vAlign w:val="center"/>
          </w:tcPr>
          <w:p w14:paraId="28D9BAFE" w14:textId="77777777" w:rsidR="00B32A95" w:rsidRDefault="00B32A95">
            <w:pPr>
              <w:tabs>
                <w:tab w:val="center" w:pos="445"/>
              </w:tabs>
              <w:spacing w:after="0" w:line="259" w:lineRule="auto"/>
              <w:ind w:left="0" w:right="0" w:firstLine="0"/>
              <w:jc w:val="center"/>
            </w:pPr>
            <w:r w:rsidRPr="00426058">
              <w:rPr>
                <w:sz w:val="18"/>
                <w:szCs w:val="18"/>
              </w:rPr>
              <w:t>N/A</w:t>
            </w:r>
          </w:p>
        </w:tc>
        <w:tc>
          <w:tcPr>
            <w:tcW w:w="1080" w:type="dxa"/>
            <w:tcBorders>
              <w:top w:val="single" w:sz="4" w:space="0" w:color="000000"/>
              <w:left w:val="single" w:sz="12" w:space="0" w:color="000000"/>
              <w:bottom w:val="single" w:sz="4" w:space="0" w:color="000000"/>
              <w:right w:val="single" w:sz="12" w:space="0" w:color="000000"/>
            </w:tcBorders>
            <w:vAlign w:val="center"/>
          </w:tcPr>
          <w:p w14:paraId="43E7725F" w14:textId="77777777" w:rsidR="00B32A95" w:rsidRDefault="00B32A95">
            <w:pPr>
              <w:spacing w:after="0" w:line="259" w:lineRule="auto"/>
              <w:ind w:left="0" w:right="46" w:firstLine="0"/>
              <w:jc w:val="center"/>
            </w:pPr>
            <w:r w:rsidRPr="00426058">
              <w:rPr>
                <w:sz w:val="18"/>
                <w:szCs w:val="18"/>
              </w:rPr>
              <w:t>N/A</w:t>
            </w:r>
          </w:p>
        </w:tc>
        <w:tc>
          <w:tcPr>
            <w:tcW w:w="810" w:type="dxa"/>
            <w:tcBorders>
              <w:top w:val="single" w:sz="4" w:space="0" w:color="000000"/>
              <w:left w:val="single" w:sz="12" w:space="0" w:color="000000"/>
              <w:bottom w:val="single" w:sz="4" w:space="0" w:color="000000"/>
              <w:right w:val="single" w:sz="12" w:space="0" w:color="000000"/>
            </w:tcBorders>
            <w:vAlign w:val="center"/>
          </w:tcPr>
          <w:p w14:paraId="211B8706" w14:textId="77777777" w:rsidR="00B32A95" w:rsidRDefault="00B32A95">
            <w:pPr>
              <w:spacing w:after="0" w:line="259" w:lineRule="auto"/>
              <w:ind w:left="0" w:right="45" w:firstLine="0"/>
              <w:jc w:val="center"/>
            </w:pPr>
            <w:r w:rsidRPr="00C9085E">
              <w:rPr>
                <w:sz w:val="18"/>
                <w:szCs w:val="18"/>
              </w:rPr>
              <w:t>533</w:t>
            </w:r>
          </w:p>
        </w:tc>
        <w:tc>
          <w:tcPr>
            <w:tcW w:w="720" w:type="dxa"/>
            <w:tcBorders>
              <w:top w:val="single" w:sz="4" w:space="0" w:color="000000"/>
              <w:left w:val="single" w:sz="12" w:space="0" w:color="000000"/>
              <w:bottom w:val="single" w:sz="4" w:space="0" w:color="000000"/>
              <w:right w:val="single" w:sz="12" w:space="0" w:color="000000"/>
            </w:tcBorders>
            <w:vAlign w:val="center"/>
          </w:tcPr>
          <w:p w14:paraId="3817A2DC" w14:textId="77777777" w:rsidR="00B32A95" w:rsidRDefault="00B32A95">
            <w:pPr>
              <w:spacing w:after="0" w:line="259" w:lineRule="auto"/>
              <w:ind w:left="0" w:right="48" w:firstLine="0"/>
              <w:jc w:val="center"/>
            </w:pPr>
          </w:p>
        </w:tc>
      </w:tr>
      <w:tr w:rsidR="00634F0E" w14:paraId="504457C2" w14:textId="77777777" w:rsidTr="00327A4B">
        <w:trPr>
          <w:trHeight w:val="250"/>
        </w:trPr>
        <w:tc>
          <w:tcPr>
            <w:tcW w:w="4140" w:type="dxa"/>
            <w:tcBorders>
              <w:top w:val="single" w:sz="4" w:space="0" w:color="000000"/>
              <w:left w:val="single" w:sz="12" w:space="0" w:color="000000"/>
              <w:bottom w:val="single" w:sz="4" w:space="0" w:color="000000"/>
              <w:right w:val="single" w:sz="12" w:space="0" w:color="000000"/>
            </w:tcBorders>
            <w:vAlign w:val="center"/>
          </w:tcPr>
          <w:p w14:paraId="1FB2EF68" w14:textId="77777777" w:rsidR="00B32A95" w:rsidRPr="002977F9" w:rsidRDefault="00B32A95">
            <w:pPr>
              <w:spacing w:after="0" w:line="259" w:lineRule="auto"/>
              <w:ind w:left="0" w:right="0" w:firstLine="0"/>
              <w:rPr>
                <w:sz w:val="18"/>
                <w:szCs w:val="18"/>
              </w:rPr>
            </w:pPr>
            <w:proofErr w:type="spellStart"/>
            <w:r>
              <w:rPr>
                <w:sz w:val="18"/>
                <w:szCs w:val="18"/>
              </w:rPr>
              <w:t>Perfluorononanoic</w:t>
            </w:r>
            <w:proofErr w:type="spellEnd"/>
            <w:r>
              <w:rPr>
                <w:sz w:val="18"/>
                <w:szCs w:val="18"/>
              </w:rPr>
              <w:t xml:space="preserve"> acid (PFNA)</w:t>
            </w:r>
          </w:p>
        </w:tc>
        <w:tc>
          <w:tcPr>
            <w:tcW w:w="1080" w:type="dxa"/>
            <w:tcBorders>
              <w:top w:val="single" w:sz="4" w:space="0" w:color="000000"/>
              <w:left w:val="single" w:sz="12" w:space="0" w:color="000000"/>
              <w:bottom w:val="single" w:sz="4" w:space="0" w:color="000000"/>
              <w:right w:val="single" w:sz="12" w:space="0" w:color="000000"/>
            </w:tcBorders>
            <w:vAlign w:val="center"/>
          </w:tcPr>
          <w:p w14:paraId="2E972E17" w14:textId="77777777" w:rsidR="00B32A95" w:rsidRPr="00123BFF" w:rsidRDefault="00B32A95">
            <w:pPr>
              <w:spacing w:after="0" w:line="259" w:lineRule="auto"/>
              <w:ind w:left="0" w:right="44" w:firstLine="0"/>
              <w:jc w:val="center"/>
              <w:rPr>
                <w:sz w:val="18"/>
                <w:szCs w:val="18"/>
              </w:rPr>
            </w:pPr>
            <w:r>
              <w:rPr>
                <w:sz w:val="18"/>
                <w:szCs w:val="18"/>
              </w:rPr>
              <w:t>375-95-1</w:t>
            </w:r>
          </w:p>
        </w:tc>
        <w:tc>
          <w:tcPr>
            <w:tcW w:w="1170" w:type="dxa"/>
            <w:tcBorders>
              <w:top w:val="single" w:sz="4" w:space="0" w:color="000000"/>
              <w:left w:val="single" w:sz="12" w:space="0" w:color="000000"/>
              <w:bottom w:val="single" w:sz="4" w:space="0" w:color="000000"/>
              <w:right w:val="single" w:sz="12" w:space="0" w:color="000000"/>
            </w:tcBorders>
            <w:vAlign w:val="center"/>
          </w:tcPr>
          <w:p w14:paraId="78D002DE" w14:textId="77777777" w:rsidR="00B32A95" w:rsidRPr="00355CAF" w:rsidRDefault="00B32A95">
            <w:pPr>
              <w:tabs>
                <w:tab w:val="center" w:pos="534"/>
              </w:tabs>
              <w:spacing w:after="0" w:line="259" w:lineRule="auto"/>
              <w:ind w:left="0" w:right="0" w:firstLine="0"/>
              <w:jc w:val="center"/>
              <w:rPr>
                <w:bCs/>
                <w:sz w:val="18"/>
                <w:szCs w:val="18"/>
              </w:rPr>
            </w:pPr>
            <w:r w:rsidRPr="00355CAF">
              <w:rPr>
                <w:bCs/>
                <w:sz w:val="18"/>
                <w:szCs w:val="18"/>
              </w:rPr>
              <w:t>4.8</w:t>
            </w:r>
          </w:p>
        </w:tc>
        <w:tc>
          <w:tcPr>
            <w:tcW w:w="720" w:type="dxa"/>
            <w:tcBorders>
              <w:top w:val="single" w:sz="4" w:space="0" w:color="000000"/>
              <w:left w:val="single" w:sz="12" w:space="0" w:color="000000"/>
              <w:bottom w:val="single" w:sz="4" w:space="0" w:color="000000"/>
              <w:right w:val="single" w:sz="12" w:space="0" w:color="000000"/>
            </w:tcBorders>
            <w:vAlign w:val="center"/>
          </w:tcPr>
          <w:p w14:paraId="5F0AE8AC" w14:textId="77777777" w:rsidR="00B32A95" w:rsidRPr="002917E8" w:rsidRDefault="00B32A95">
            <w:pPr>
              <w:spacing w:after="0" w:line="259" w:lineRule="auto"/>
              <w:ind w:left="0" w:right="44" w:firstLine="0"/>
              <w:jc w:val="center"/>
              <w:rPr>
                <w:sz w:val="18"/>
                <w:szCs w:val="18"/>
              </w:rPr>
            </w:pPr>
            <w:r w:rsidRPr="002917E8">
              <w:rPr>
                <w:sz w:val="18"/>
                <w:szCs w:val="18"/>
              </w:rPr>
              <w:t>ng/L</w:t>
            </w:r>
          </w:p>
        </w:tc>
        <w:tc>
          <w:tcPr>
            <w:tcW w:w="810" w:type="dxa"/>
            <w:tcBorders>
              <w:top w:val="single" w:sz="4" w:space="0" w:color="000000"/>
              <w:left w:val="single" w:sz="12" w:space="0" w:color="000000"/>
              <w:bottom w:val="single" w:sz="4" w:space="0" w:color="000000"/>
              <w:right w:val="single" w:sz="12" w:space="0" w:color="000000"/>
            </w:tcBorders>
            <w:vAlign w:val="center"/>
          </w:tcPr>
          <w:p w14:paraId="408CE939" w14:textId="77777777" w:rsidR="00B32A95" w:rsidRDefault="00B32A95">
            <w:pPr>
              <w:tabs>
                <w:tab w:val="center" w:pos="445"/>
              </w:tabs>
              <w:spacing w:after="0" w:line="259" w:lineRule="auto"/>
              <w:ind w:left="0" w:right="0" w:firstLine="0"/>
              <w:jc w:val="center"/>
            </w:pPr>
            <w:r w:rsidRPr="00426058">
              <w:rPr>
                <w:sz w:val="18"/>
                <w:szCs w:val="18"/>
              </w:rPr>
              <w:t>N/A</w:t>
            </w:r>
          </w:p>
        </w:tc>
        <w:tc>
          <w:tcPr>
            <w:tcW w:w="1080" w:type="dxa"/>
            <w:tcBorders>
              <w:top w:val="single" w:sz="4" w:space="0" w:color="000000"/>
              <w:left w:val="single" w:sz="12" w:space="0" w:color="000000"/>
              <w:bottom w:val="single" w:sz="4" w:space="0" w:color="000000"/>
              <w:right w:val="single" w:sz="12" w:space="0" w:color="000000"/>
            </w:tcBorders>
            <w:vAlign w:val="center"/>
          </w:tcPr>
          <w:p w14:paraId="78DC0845" w14:textId="77777777" w:rsidR="00B32A95" w:rsidRDefault="00B32A95">
            <w:pPr>
              <w:spacing w:after="0" w:line="259" w:lineRule="auto"/>
              <w:ind w:left="0" w:right="46" w:firstLine="0"/>
              <w:jc w:val="center"/>
            </w:pPr>
            <w:r w:rsidRPr="00426058">
              <w:rPr>
                <w:sz w:val="18"/>
                <w:szCs w:val="18"/>
              </w:rPr>
              <w:t>N/A</w:t>
            </w:r>
          </w:p>
        </w:tc>
        <w:tc>
          <w:tcPr>
            <w:tcW w:w="810" w:type="dxa"/>
            <w:tcBorders>
              <w:top w:val="single" w:sz="4" w:space="0" w:color="000000"/>
              <w:left w:val="single" w:sz="12" w:space="0" w:color="000000"/>
              <w:bottom w:val="single" w:sz="4" w:space="0" w:color="000000"/>
              <w:right w:val="single" w:sz="12" w:space="0" w:color="000000"/>
            </w:tcBorders>
            <w:vAlign w:val="center"/>
          </w:tcPr>
          <w:p w14:paraId="2C3633BB" w14:textId="77777777" w:rsidR="00B32A95" w:rsidRDefault="00B32A95">
            <w:pPr>
              <w:spacing w:after="0" w:line="259" w:lineRule="auto"/>
              <w:ind w:left="0" w:right="45" w:firstLine="0"/>
              <w:jc w:val="center"/>
            </w:pPr>
            <w:r w:rsidRPr="00C9085E">
              <w:rPr>
                <w:sz w:val="18"/>
                <w:szCs w:val="18"/>
              </w:rPr>
              <w:t>533</w:t>
            </w:r>
          </w:p>
        </w:tc>
        <w:tc>
          <w:tcPr>
            <w:tcW w:w="720" w:type="dxa"/>
            <w:tcBorders>
              <w:top w:val="single" w:sz="4" w:space="0" w:color="000000"/>
              <w:left w:val="single" w:sz="12" w:space="0" w:color="000000"/>
              <w:bottom w:val="single" w:sz="4" w:space="0" w:color="000000"/>
              <w:right w:val="single" w:sz="12" w:space="0" w:color="000000"/>
            </w:tcBorders>
            <w:vAlign w:val="center"/>
          </w:tcPr>
          <w:p w14:paraId="366B5FBB" w14:textId="77777777" w:rsidR="00B32A95" w:rsidRDefault="00B32A95">
            <w:pPr>
              <w:spacing w:after="0" w:line="259" w:lineRule="auto"/>
              <w:ind w:left="0" w:right="48" w:firstLine="0"/>
              <w:jc w:val="center"/>
            </w:pPr>
          </w:p>
        </w:tc>
      </w:tr>
      <w:tr w:rsidR="00634F0E" w14:paraId="4BF69557" w14:textId="77777777" w:rsidTr="00327A4B">
        <w:trPr>
          <w:trHeight w:val="250"/>
        </w:trPr>
        <w:tc>
          <w:tcPr>
            <w:tcW w:w="4140" w:type="dxa"/>
            <w:tcBorders>
              <w:top w:val="single" w:sz="4" w:space="0" w:color="000000"/>
              <w:left w:val="single" w:sz="12" w:space="0" w:color="000000"/>
              <w:bottom w:val="single" w:sz="4" w:space="0" w:color="000000"/>
              <w:right w:val="single" w:sz="12" w:space="0" w:color="000000"/>
            </w:tcBorders>
            <w:vAlign w:val="center"/>
          </w:tcPr>
          <w:p w14:paraId="68E78A9C" w14:textId="77777777" w:rsidR="00B32A95" w:rsidRPr="002977F9" w:rsidRDefault="00B32A95">
            <w:pPr>
              <w:spacing w:after="0" w:line="259" w:lineRule="auto"/>
              <w:ind w:left="0" w:right="0" w:firstLine="0"/>
              <w:rPr>
                <w:sz w:val="18"/>
                <w:szCs w:val="18"/>
              </w:rPr>
            </w:pPr>
            <w:r>
              <w:rPr>
                <w:sz w:val="18"/>
                <w:szCs w:val="18"/>
              </w:rPr>
              <w:t>1H, 1H, 2H, 2H-Perfluorooctane sulfonic acid (6:2FTS)</w:t>
            </w:r>
          </w:p>
        </w:tc>
        <w:tc>
          <w:tcPr>
            <w:tcW w:w="1080" w:type="dxa"/>
            <w:tcBorders>
              <w:top w:val="single" w:sz="4" w:space="0" w:color="000000"/>
              <w:left w:val="single" w:sz="12" w:space="0" w:color="000000"/>
              <w:bottom w:val="single" w:sz="4" w:space="0" w:color="000000"/>
              <w:right w:val="single" w:sz="12" w:space="0" w:color="000000"/>
            </w:tcBorders>
            <w:vAlign w:val="center"/>
          </w:tcPr>
          <w:p w14:paraId="15BD7A69" w14:textId="77777777" w:rsidR="00B32A95" w:rsidRPr="00123BFF" w:rsidRDefault="00B32A95">
            <w:pPr>
              <w:spacing w:after="0" w:line="259" w:lineRule="auto"/>
              <w:ind w:left="0" w:right="44" w:firstLine="0"/>
              <w:jc w:val="center"/>
              <w:rPr>
                <w:sz w:val="18"/>
                <w:szCs w:val="18"/>
              </w:rPr>
            </w:pPr>
            <w:r>
              <w:rPr>
                <w:sz w:val="18"/>
                <w:szCs w:val="18"/>
              </w:rPr>
              <w:t>27619-97-2</w:t>
            </w:r>
          </w:p>
        </w:tc>
        <w:tc>
          <w:tcPr>
            <w:tcW w:w="1170" w:type="dxa"/>
            <w:tcBorders>
              <w:top w:val="single" w:sz="4" w:space="0" w:color="000000"/>
              <w:left w:val="single" w:sz="12" w:space="0" w:color="000000"/>
              <w:bottom w:val="single" w:sz="4" w:space="0" w:color="000000"/>
              <w:right w:val="single" w:sz="12" w:space="0" w:color="000000"/>
            </w:tcBorders>
            <w:vAlign w:val="center"/>
          </w:tcPr>
          <w:p w14:paraId="210DCBAA" w14:textId="77777777" w:rsidR="00B32A95" w:rsidRPr="00275095" w:rsidRDefault="00B32A95">
            <w:pPr>
              <w:tabs>
                <w:tab w:val="center" w:pos="534"/>
              </w:tabs>
              <w:spacing w:after="0" w:line="259" w:lineRule="auto"/>
              <w:ind w:left="0" w:right="0" w:firstLine="0"/>
              <w:jc w:val="center"/>
              <w:rPr>
                <w:sz w:val="18"/>
                <w:szCs w:val="18"/>
              </w:rPr>
            </w:pPr>
            <w:r>
              <w:rPr>
                <w:sz w:val="18"/>
                <w:szCs w:val="18"/>
              </w:rPr>
              <w:t>14</w:t>
            </w:r>
          </w:p>
        </w:tc>
        <w:tc>
          <w:tcPr>
            <w:tcW w:w="720" w:type="dxa"/>
            <w:tcBorders>
              <w:top w:val="single" w:sz="4" w:space="0" w:color="000000"/>
              <w:left w:val="single" w:sz="12" w:space="0" w:color="000000"/>
              <w:bottom w:val="single" w:sz="4" w:space="0" w:color="000000"/>
              <w:right w:val="single" w:sz="12" w:space="0" w:color="000000"/>
            </w:tcBorders>
            <w:vAlign w:val="center"/>
          </w:tcPr>
          <w:p w14:paraId="294AF11B" w14:textId="77777777" w:rsidR="00B32A95" w:rsidRPr="002917E8" w:rsidRDefault="00B32A95">
            <w:pPr>
              <w:spacing w:after="0" w:line="259" w:lineRule="auto"/>
              <w:ind w:left="0" w:right="44" w:firstLine="0"/>
              <w:jc w:val="center"/>
              <w:rPr>
                <w:sz w:val="18"/>
                <w:szCs w:val="18"/>
              </w:rPr>
            </w:pPr>
            <w:r w:rsidRPr="002917E8">
              <w:rPr>
                <w:sz w:val="18"/>
                <w:szCs w:val="18"/>
              </w:rPr>
              <w:t>ng/L</w:t>
            </w:r>
          </w:p>
        </w:tc>
        <w:tc>
          <w:tcPr>
            <w:tcW w:w="810" w:type="dxa"/>
            <w:tcBorders>
              <w:top w:val="single" w:sz="4" w:space="0" w:color="000000"/>
              <w:left w:val="single" w:sz="12" w:space="0" w:color="000000"/>
              <w:bottom w:val="single" w:sz="4" w:space="0" w:color="000000"/>
              <w:right w:val="single" w:sz="12" w:space="0" w:color="000000"/>
            </w:tcBorders>
            <w:vAlign w:val="center"/>
          </w:tcPr>
          <w:p w14:paraId="3B106310" w14:textId="77777777" w:rsidR="00B32A95" w:rsidRDefault="00B32A95">
            <w:pPr>
              <w:tabs>
                <w:tab w:val="center" w:pos="354"/>
              </w:tabs>
              <w:spacing w:after="0" w:line="259" w:lineRule="auto"/>
              <w:ind w:left="0" w:right="0" w:firstLine="0"/>
              <w:jc w:val="center"/>
            </w:pPr>
            <w:r w:rsidRPr="00426058">
              <w:rPr>
                <w:sz w:val="18"/>
                <w:szCs w:val="18"/>
              </w:rPr>
              <w:t>N/A</w:t>
            </w:r>
          </w:p>
        </w:tc>
        <w:tc>
          <w:tcPr>
            <w:tcW w:w="1080" w:type="dxa"/>
            <w:tcBorders>
              <w:top w:val="single" w:sz="4" w:space="0" w:color="000000"/>
              <w:left w:val="single" w:sz="12" w:space="0" w:color="000000"/>
              <w:bottom w:val="single" w:sz="4" w:space="0" w:color="000000"/>
              <w:right w:val="single" w:sz="12" w:space="0" w:color="000000"/>
            </w:tcBorders>
            <w:vAlign w:val="center"/>
          </w:tcPr>
          <w:p w14:paraId="7EB536DF" w14:textId="77777777" w:rsidR="00B32A95" w:rsidRDefault="00B32A95">
            <w:pPr>
              <w:spacing w:after="0" w:line="259" w:lineRule="auto"/>
              <w:ind w:left="0" w:right="46" w:firstLine="0"/>
              <w:jc w:val="center"/>
            </w:pPr>
            <w:r w:rsidRPr="00426058">
              <w:rPr>
                <w:sz w:val="18"/>
                <w:szCs w:val="18"/>
              </w:rPr>
              <w:t>N/A</w:t>
            </w:r>
          </w:p>
        </w:tc>
        <w:tc>
          <w:tcPr>
            <w:tcW w:w="810" w:type="dxa"/>
            <w:tcBorders>
              <w:top w:val="single" w:sz="4" w:space="0" w:color="000000"/>
              <w:left w:val="single" w:sz="12" w:space="0" w:color="000000"/>
              <w:bottom w:val="single" w:sz="4" w:space="0" w:color="000000"/>
              <w:right w:val="single" w:sz="12" w:space="0" w:color="000000"/>
            </w:tcBorders>
            <w:vAlign w:val="center"/>
          </w:tcPr>
          <w:p w14:paraId="090715F5" w14:textId="77777777" w:rsidR="00B32A95" w:rsidRDefault="00B32A95">
            <w:pPr>
              <w:spacing w:after="0" w:line="259" w:lineRule="auto"/>
              <w:ind w:left="0" w:right="45" w:firstLine="0"/>
              <w:jc w:val="center"/>
            </w:pPr>
            <w:r w:rsidRPr="00C9085E">
              <w:rPr>
                <w:sz w:val="18"/>
                <w:szCs w:val="18"/>
              </w:rPr>
              <w:t>533</w:t>
            </w:r>
          </w:p>
        </w:tc>
        <w:tc>
          <w:tcPr>
            <w:tcW w:w="720" w:type="dxa"/>
            <w:tcBorders>
              <w:top w:val="single" w:sz="4" w:space="0" w:color="000000"/>
              <w:left w:val="single" w:sz="12" w:space="0" w:color="000000"/>
              <w:bottom w:val="single" w:sz="4" w:space="0" w:color="000000"/>
              <w:right w:val="single" w:sz="12" w:space="0" w:color="000000"/>
            </w:tcBorders>
            <w:vAlign w:val="center"/>
          </w:tcPr>
          <w:p w14:paraId="6FE1FEBD" w14:textId="77777777" w:rsidR="00B32A95" w:rsidRDefault="00B32A95">
            <w:pPr>
              <w:spacing w:after="0" w:line="259" w:lineRule="auto"/>
              <w:ind w:left="0" w:right="48" w:firstLine="0"/>
              <w:jc w:val="center"/>
            </w:pPr>
          </w:p>
        </w:tc>
      </w:tr>
      <w:tr w:rsidR="00634F0E" w14:paraId="08E67275" w14:textId="77777777" w:rsidTr="00327A4B">
        <w:trPr>
          <w:trHeight w:val="250"/>
        </w:trPr>
        <w:tc>
          <w:tcPr>
            <w:tcW w:w="4140" w:type="dxa"/>
            <w:tcBorders>
              <w:top w:val="single" w:sz="4" w:space="0" w:color="000000"/>
              <w:left w:val="single" w:sz="12" w:space="0" w:color="000000"/>
              <w:bottom w:val="single" w:sz="4" w:space="0" w:color="000000"/>
              <w:right w:val="single" w:sz="12" w:space="0" w:color="000000"/>
            </w:tcBorders>
            <w:vAlign w:val="center"/>
          </w:tcPr>
          <w:p w14:paraId="4DCC0E09" w14:textId="77777777" w:rsidR="00B32A95" w:rsidRPr="002977F9" w:rsidRDefault="00B32A95">
            <w:pPr>
              <w:spacing w:after="0" w:line="259" w:lineRule="auto"/>
              <w:ind w:left="0" w:right="0" w:firstLine="0"/>
              <w:rPr>
                <w:sz w:val="18"/>
                <w:szCs w:val="18"/>
              </w:rPr>
            </w:pPr>
            <w:proofErr w:type="spellStart"/>
            <w:r>
              <w:rPr>
                <w:sz w:val="18"/>
                <w:szCs w:val="18"/>
              </w:rPr>
              <w:t>Perfluorooctanesulfonic</w:t>
            </w:r>
            <w:proofErr w:type="spellEnd"/>
            <w:r>
              <w:rPr>
                <w:sz w:val="18"/>
                <w:szCs w:val="18"/>
              </w:rPr>
              <w:t xml:space="preserve"> acid (PFOS)</w:t>
            </w:r>
          </w:p>
        </w:tc>
        <w:tc>
          <w:tcPr>
            <w:tcW w:w="1080" w:type="dxa"/>
            <w:tcBorders>
              <w:top w:val="single" w:sz="4" w:space="0" w:color="000000"/>
              <w:left w:val="single" w:sz="12" w:space="0" w:color="000000"/>
              <w:bottom w:val="single" w:sz="4" w:space="0" w:color="000000"/>
              <w:right w:val="single" w:sz="12" w:space="0" w:color="000000"/>
            </w:tcBorders>
            <w:vAlign w:val="center"/>
          </w:tcPr>
          <w:p w14:paraId="28434A89" w14:textId="77777777" w:rsidR="00B32A95" w:rsidRPr="00123BFF" w:rsidRDefault="00B32A95">
            <w:pPr>
              <w:spacing w:after="0" w:line="259" w:lineRule="auto"/>
              <w:ind w:left="0" w:right="44" w:firstLine="0"/>
              <w:jc w:val="center"/>
              <w:rPr>
                <w:sz w:val="18"/>
                <w:szCs w:val="18"/>
              </w:rPr>
            </w:pPr>
            <w:r>
              <w:rPr>
                <w:sz w:val="18"/>
                <w:szCs w:val="18"/>
              </w:rPr>
              <w:t>1763-23-1</w:t>
            </w:r>
          </w:p>
        </w:tc>
        <w:tc>
          <w:tcPr>
            <w:tcW w:w="1170" w:type="dxa"/>
            <w:tcBorders>
              <w:top w:val="single" w:sz="4" w:space="0" w:color="000000"/>
              <w:left w:val="single" w:sz="12" w:space="0" w:color="000000"/>
              <w:bottom w:val="single" w:sz="4" w:space="0" w:color="000000"/>
              <w:right w:val="single" w:sz="12" w:space="0" w:color="000000"/>
            </w:tcBorders>
            <w:vAlign w:val="center"/>
          </w:tcPr>
          <w:p w14:paraId="388F2663" w14:textId="77777777" w:rsidR="00B32A95" w:rsidRPr="00355CAF" w:rsidRDefault="00B32A95">
            <w:pPr>
              <w:tabs>
                <w:tab w:val="center" w:pos="534"/>
              </w:tabs>
              <w:spacing w:after="0" w:line="259" w:lineRule="auto"/>
              <w:ind w:left="0" w:right="0" w:firstLine="0"/>
              <w:jc w:val="center"/>
              <w:rPr>
                <w:b/>
                <w:sz w:val="18"/>
                <w:szCs w:val="18"/>
              </w:rPr>
            </w:pPr>
            <w:r w:rsidRPr="00355CAF">
              <w:rPr>
                <w:b/>
                <w:sz w:val="18"/>
                <w:szCs w:val="18"/>
              </w:rPr>
              <w:t>4.4</w:t>
            </w:r>
          </w:p>
        </w:tc>
        <w:tc>
          <w:tcPr>
            <w:tcW w:w="720" w:type="dxa"/>
            <w:tcBorders>
              <w:top w:val="single" w:sz="4" w:space="0" w:color="000000"/>
              <w:left w:val="single" w:sz="12" w:space="0" w:color="000000"/>
              <w:bottom w:val="single" w:sz="4" w:space="0" w:color="000000"/>
              <w:right w:val="single" w:sz="12" w:space="0" w:color="000000"/>
            </w:tcBorders>
            <w:vAlign w:val="center"/>
          </w:tcPr>
          <w:p w14:paraId="66C07BC7" w14:textId="77777777" w:rsidR="00B32A95" w:rsidRPr="002917E8" w:rsidRDefault="00B32A95">
            <w:pPr>
              <w:spacing w:after="0" w:line="259" w:lineRule="auto"/>
              <w:ind w:left="0" w:right="44" w:firstLine="0"/>
              <w:jc w:val="center"/>
              <w:rPr>
                <w:sz w:val="18"/>
                <w:szCs w:val="18"/>
              </w:rPr>
            </w:pPr>
            <w:r w:rsidRPr="002917E8">
              <w:rPr>
                <w:sz w:val="18"/>
                <w:szCs w:val="18"/>
              </w:rPr>
              <w:t>ng/L</w:t>
            </w:r>
          </w:p>
        </w:tc>
        <w:tc>
          <w:tcPr>
            <w:tcW w:w="810" w:type="dxa"/>
            <w:tcBorders>
              <w:top w:val="single" w:sz="4" w:space="0" w:color="000000"/>
              <w:left w:val="single" w:sz="12" w:space="0" w:color="000000"/>
              <w:bottom w:val="single" w:sz="4" w:space="0" w:color="000000"/>
              <w:right w:val="single" w:sz="12" w:space="0" w:color="000000"/>
            </w:tcBorders>
            <w:vAlign w:val="center"/>
          </w:tcPr>
          <w:p w14:paraId="01597D01" w14:textId="77777777" w:rsidR="00B32A95" w:rsidRDefault="00B32A95">
            <w:pPr>
              <w:tabs>
                <w:tab w:val="center" w:pos="354"/>
              </w:tabs>
              <w:spacing w:after="0" w:line="259" w:lineRule="auto"/>
              <w:ind w:left="0" w:right="0" w:firstLine="0"/>
              <w:jc w:val="center"/>
            </w:pPr>
            <w:r w:rsidRPr="00426058">
              <w:rPr>
                <w:sz w:val="18"/>
                <w:szCs w:val="18"/>
              </w:rPr>
              <w:t>N/A</w:t>
            </w:r>
          </w:p>
        </w:tc>
        <w:tc>
          <w:tcPr>
            <w:tcW w:w="1080" w:type="dxa"/>
            <w:tcBorders>
              <w:top w:val="single" w:sz="4" w:space="0" w:color="000000"/>
              <w:left w:val="single" w:sz="12" w:space="0" w:color="000000"/>
              <w:bottom w:val="single" w:sz="4" w:space="0" w:color="000000"/>
              <w:right w:val="single" w:sz="12" w:space="0" w:color="000000"/>
            </w:tcBorders>
            <w:vAlign w:val="center"/>
          </w:tcPr>
          <w:p w14:paraId="611D3E91" w14:textId="77777777" w:rsidR="00B32A95" w:rsidRDefault="00B32A95">
            <w:pPr>
              <w:spacing w:after="0" w:line="259" w:lineRule="auto"/>
              <w:ind w:left="0" w:right="46" w:firstLine="0"/>
              <w:jc w:val="center"/>
            </w:pPr>
            <w:r w:rsidRPr="00426058">
              <w:rPr>
                <w:sz w:val="18"/>
                <w:szCs w:val="18"/>
              </w:rPr>
              <w:t>N/A</w:t>
            </w:r>
          </w:p>
        </w:tc>
        <w:tc>
          <w:tcPr>
            <w:tcW w:w="810" w:type="dxa"/>
            <w:tcBorders>
              <w:top w:val="single" w:sz="4" w:space="0" w:color="000000"/>
              <w:left w:val="single" w:sz="12" w:space="0" w:color="000000"/>
              <w:bottom w:val="single" w:sz="4" w:space="0" w:color="000000"/>
              <w:right w:val="single" w:sz="12" w:space="0" w:color="000000"/>
            </w:tcBorders>
            <w:vAlign w:val="center"/>
          </w:tcPr>
          <w:p w14:paraId="39F62B27" w14:textId="77777777" w:rsidR="00B32A95" w:rsidRDefault="00B32A95">
            <w:pPr>
              <w:spacing w:after="0" w:line="259" w:lineRule="auto"/>
              <w:ind w:left="0" w:right="45" w:firstLine="0"/>
              <w:jc w:val="center"/>
            </w:pPr>
            <w:r w:rsidRPr="00C9085E">
              <w:rPr>
                <w:sz w:val="18"/>
                <w:szCs w:val="18"/>
              </w:rPr>
              <w:t>533</w:t>
            </w:r>
          </w:p>
        </w:tc>
        <w:tc>
          <w:tcPr>
            <w:tcW w:w="720" w:type="dxa"/>
            <w:tcBorders>
              <w:top w:val="single" w:sz="4" w:space="0" w:color="000000"/>
              <w:left w:val="single" w:sz="12" w:space="0" w:color="000000"/>
              <w:bottom w:val="single" w:sz="4" w:space="0" w:color="000000"/>
              <w:right w:val="single" w:sz="12" w:space="0" w:color="000000"/>
            </w:tcBorders>
            <w:vAlign w:val="center"/>
          </w:tcPr>
          <w:p w14:paraId="33E23A61" w14:textId="77777777" w:rsidR="00B32A95" w:rsidRDefault="00B32A95">
            <w:pPr>
              <w:spacing w:after="0" w:line="259" w:lineRule="auto"/>
              <w:ind w:left="0" w:right="48" w:firstLine="0"/>
              <w:jc w:val="center"/>
            </w:pPr>
          </w:p>
        </w:tc>
      </w:tr>
      <w:tr w:rsidR="00634F0E" w14:paraId="3FF86ACD" w14:textId="77777777" w:rsidTr="00327A4B">
        <w:trPr>
          <w:trHeight w:val="250"/>
        </w:trPr>
        <w:tc>
          <w:tcPr>
            <w:tcW w:w="4140" w:type="dxa"/>
            <w:tcBorders>
              <w:top w:val="single" w:sz="4" w:space="0" w:color="000000"/>
              <w:left w:val="single" w:sz="12" w:space="0" w:color="000000"/>
              <w:bottom w:val="single" w:sz="4" w:space="0" w:color="000000"/>
              <w:right w:val="single" w:sz="12" w:space="0" w:color="000000"/>
            </w:tcBorders>
            <w:vAlign w:val="center"/>
          </w:tcPr>
          <w:p w14:paraId="0BC1B678" w14:textId="77777777" w:rsidR="00B32A95" w:rsidRPr="002977F9" w:rsidRDefault="00B32A95">
            <w:pPr>
              <w:spacing w:after="0" w:line="259" w:lineRule="auto"/>
              <w:ind w:left="0" w:right="0" w:firstLine="0"/>
              <w:rPr>
                <w:sz w:val="18"/>
                <w:szCs w:val="18"/>
              </w:rPr>
            </w:pPr>
            <w:r>
              <w:rPr>
                <w:sz w:val="18"/>
                <w:szCs w:val="18"/>
              </w:rPr>
              <w:t>Perfluorooctanoic acid (PFOA)</w:t>
            </w:r>
          </w:p>
        </w:tc>
        <w:tc>
          <w:tcPr>
            <w:tcW w:w="1080" w:type="dxa"/>
            <w:tcBorders>
              <w:top w:val="single" w:sz="4" w:space="0" w:color="000000"/>
              <w:left w:val="single" w:sz="12" w:space="0" w:color="000000"/>
              <w:bottom w:val="single" w:sz="4" w:space="0" w:color="000000"/>
              <w:right w:val="single" w:sz="12" w:space="0" w:color="000000"/>
            </w:tcBorders>
            <w:vAlign w:val="center"/>
          </w:tcPr>
          <w:p w14:paraId="2181C368" w14:textId="77777777" w:rsidR="00B32A95" w:rsidRPr="00123BFF" w:rsidRDefault="00B32A95">
            <w:pPr>
              <w:spacing w:after="0" w:line="259" w:lineRule="auto"/>
              <w:ind w:left="0" w:right="44" w:firstLine="0"/>
              <w:jc w:val="center"/>
              <w:rPr>
                <w:sz w:val="18"/>
                <w:szCs w:val="18"/>
              </w:rPr>
            </w:pPr>
            <w:r>
              <w:rPr>
                <w:sz w:val="18"/>
                <w:szCs w:val="18"/>
              </w:rPr>
              <w:t>335-67-1</w:t>
            </w:r>
          </w:p>
        </w:tc>
        <w:tc>
          <w:tcPr>
            <w:tcW w:w="1170" w:type="dxa"/>
            <w:tcBorders>
              <w:top w:val="single" w:sz="4" w:space="0" w:color="000000"/>
              <w:left w:val="single" w:sz="12" w:space="0" w:color="000000"/>
              <w:bottom w:val="single" w:sz="4" w:space="0" w:color="000000"/>
              <w:right w:val="single" w:sz="12" w:space="0" w:color="000000"/>
            </w:tcBorders>
            <w:vAlign w:val="center"/>
          </w:tcPr>
          <w:p w14:paraId="0A322DE6" w14:textId="77777777" w:rsidR="00B32A95" w:rsidRPr="00355CAF" w:rsidRDefault="00B32A95">
            <w:pPr>
              <w:tabs>
                <w:tab w:val="center" w:pos="534"/>
              </w:tabs>
              <w:spacing w:after="0" w:line="259" w:lineRule="auto"/>
              <w:ind w:left="0" w:right="0" w:firstLine="0"/>
              <w:jc w:val="center"/>
              <w:rPr>
                <w:bCs/>
                <w:sz w:val="18"/>
                <w:szCs w:val="18"/>
              </w:rPr>
            </w:pPr>
            <w:r w:rsidRPr="00355CAF">
              <w:rPr>
                <w:bCs/>
                <w:sz w:val="18"/>
                <w:szCs w:val="18"/>
              </w:rPr>
              <w:t>3.4</w:t>
            </w:r>
          </w:p>
        </w:tc>
        <w:tc>
          <w:tcPr>
            <w:tcW w:w="720" w:type="dxa"/>
            <w:tcBorders>
              <w:top w:val="single" w:sz="4" w:space="0" w:color="000000"/>
              <w:left w:val="single" w:sz="12" w:space="0" w:color="000000"/>
              <w:bottom w:val="single" w:sz="4" w:space="0" w:color="000000"/>
              <w:right w:val="single" w:sz="12" w:space="0" w:color="000000"/>
            </w:tcBorders>
            <w:vAlign w:val="center"/>
          </w:tcPr>
          <w:p w14:paraId="42177E1C" w14:textId="77777777" w:rsidR="00B32A95" w:rsidRPr="002917E8" w:rsidRDefault="00B32A95">
            <w:pPr>
              <w:spacing w:after="0" w:line="259" w:lineRule="auto"/>
              <w:ind w:left="0" w:right="44" w:firstLine="0"/>
              <w:jc w:val="center"/>
              <w:rPr>
                <w:sz w:val="18"/>
                <w:szCs w:val="18"/>
              </w:rPr>
            </w:pPr>
            <w:r w:rsidRPr="002917E8">
              <w:rPr>
                <w:sz w:val="18"/>
                <w:szCs w:val="18"/>
              </w:rPr>
              <w:t>ng/L</w:t>
            </w:r>
          </w:p>
        </w:tc>
        <w:tc>
          <w:tcPr>
            <w:tcW w:w="810" w:type="dxa"/>
            <w:tcBorders>
              <w:top w:val="single" w:sz="4" w:space="0" w:color="000000"/>
              <w:left w:val="single" w:sz="12" w:space="0" w:color="000000"/>
              <w:bottom w:val="single" w:sz="4" w:space="0" w:color="000000"/>
              <w:right w:val="single" w:sz="12" w:space="0" w:color="000000"/>
            </w:tcBorders>
            <w:vAlign w:val="center"/>
          </w:tcPr>
          <w:p w14:paraId="1A4DE2CC" w14:textId="77777777" w:rsidR="00B32A95" w:rsidRDefault="00B32A95">
            <w:pPr>
              <w:tabs>
                <w:tab w:val="center" w:pos="354"/>
              </w:tabs>
              <w:spacing w:after="0" w:line="259" w:lineRule="auto"/>
              <w:ind w:left="0" w:right="0" w:firstLine="0"/>
              <w:jc w:val="center"/>
            </w:pPr>
            <w:r w:rsidRPr="00426058">
              <w:rPr>
                <w:sz w:val="18"/>
                <w:szCs w:val="18"/>
              </w:rPr>
              <w:t>N/A</w:t>
            </w:r>
          </w:p>
        </w:tc>
        <w:tc>
          <w:tcPr>
            <w:tcW w:w="1080" w:type="dxa"/>
            <w:tcBorders>
              <w:top w:val="single" w:sz="4" w:space="0" w:color="000000"/>
              <w:left w:val="single" w:sz="12" w:space="0" w:color="000000"/>
              <w:bottom w:val="single" w:sz="4" w:space="0" w:color="000000"/>
              <w:right w:val="single" w:sz="12" w:space="0" w:color="000000"/>
            </w:tcBorders>
            <w:vAlign w:val="center"/>
          </w:tcPr>
          <w:p w14:paraId="390271CB" w14:textId="77777777" w:rsidR="00B32A95" w:rsidRDefault="00B32A95">
            <w:pPr>
              <w:spacing w:after="0" w:line="259" w:lineRule="auto"/>
              <w:ind w:left="0" w:right="46" w:firstLine="0"/>
              <w:jc w:val="center"/>
            </w:pPr>
            <w:r w:rsidRPr="00426058">
              <w:rPr>
                <w:sz w:val="18"/>
                <w:szCs w:val="18"/>
              </w:rPr>
              <w:t>N/A</w:t>
            </w:r>
          </w:p>
        </w:tc>
        <w:tc>
          <w:tcPr>
            <w:tcW w:w="810" w:type="dxa"/>
            <w:tcBorders>
              <w:top w:val="single" w:sz="4" w:space="0" w:color="000000"/>
              <w:left w:val="single" w:sz="12" w:space="0" w:color="000000"/>
              <w:bottom w:val="single" w:sz="4" w:space="0" w:color="000000"/>
              <w:right w:val="single" w:sz="12" w:space="0" w:color="000000"/>
            </w:tcBorders>
            <w:vAlign w:val="center"/>
          </w:tcPr>
          <w:p w14:paraId="2DD44FBD" w14:textId="77777777" w:rsidR="00B32A95" w:rsidRDefault="00B32A95">
            <w:pPr>
              <w:spacing w:after="0" w:line="259" w:lineRule="auto"/>
              <w:ind w:left="0" w:right="45" w:firstLine="0"/>
              <w:jc w:val="center"/>
            </w:pPr>
            <w:r w:rsidRPr="00C9085E">
              <w:rPr>
                <w:sz w:val="18"/>
                <w:szCs w:val="18"/>
              </w:rPr>
              <w:t>533</w:t>
            </w:r>
          </w:p>
        </w:tc>
        <w:tc>
          <w:tcPr>
            <w:tcW w:w="720" w:type="dxa"/>
            <w:tcBorders>
              <w:top w:val="single" w:sz="4" w:space="0" w:color="000000"/>
              <w:left w:val="single" w:sz="12" w:space="0" w:color="000000"/>
              <w:bottom w:val="single" w:sz="4" w:space="0" w:color="000000"/>
              <w:right w:val="single" w:sz="12" w:space="0" w:color="000000"/>
            </w:tcBorders>
            <w:vAlign w:val="center"/>
          </w:tcPr>
          <w:p w14:paraId="4503DB14" w14:textId="77777777" w:rsidR="00B32A95" w:rsidRDefault="00B32A95">
            <w:pPr>
              <w:spacing w:after="0" w:line="259" w:lineRule="auto"/>
              <w:ind w:left="0" w:right="48" w:firstLine="0"/>
              <w:jc w:val="center"/>
            </w:pPr>
          </w:p>
        </w:tc>
      </w:tr>
      <w:tr w:rsidR="00634F0E" w14:paraId="038AF2FA" w14:textId="77777777" w:rsidTr="00327A4B">
        <w:trPr>
          <w:trHeight w:val="252"/>
        </w:trPr>
        <w:tc>
          <w:tcPr>
            <w:tcW w:w="4140" w:type="dxa"/>
            <w:tcBorders>
              <w:top w:val="single" w:sz="4" w:space="0" w:color="000000"/>
              <w:left w:val="single" w:sz="12" w:space="0" w:color="000000"/>
              <w:bottom w:val="single" w:sz="4" w:space="0" w:color="000000"/>
              <w:right w:val="single" w:sz="12" w:space="0" w:color="000000"/>
            </w:tcBorders>
            <w:vAlign w:val="center"/>
          </w:tcPr>
          <w:p w14:paraId="382620D3" w14:textId="77777777" w:rsidR="00B32A95" w:rsidRPr="002977F9" w:rsidRDefault="00B32A95">
            <w:pPr>
              <w:spacing w:after="0" w:line="259" w:lineRule="auto"/>
              <w:ind w:left="0" w:right="0" w:firstLine="0"/>
              <w:rPr>
                <w:sz w:val="18"/>
                <w:szCs w:val="18"/>
              </w:rPr>
            </w:pPr>
            <w:proofErr w:type="spellStart"/>
            <w:r>
              <w:rPr>
                <w:sz w:val="18"/>
                <w:szCs w:val="18"/>
              </w:rPr>
              <w:t>Perfluoropentanoic</w:t>
            </w:r>
            <w:proofErr w:type="spellEnd"/>
            <w:r>
              <w:rPr>
                <w:sz w:val="18"/>
                <w:szCs w:val="18"/>
              </w:rPr>
              <w:t xml:space="preserve"> acid (</w:t>
            </w:r>
            <w:proofErr w:type="spellStart"/>
            <w:r>
              <w:rPr>
                <w:sz w:val="18"/>
                <w:szCs w:val="18"/>
              </w:rPr>
              <w:t>PFPeA</w:t>
            </w:r>
            <w:proofErr w:type="spellEnd"/>
            <w:r>
              <w:rPr>
                <w:sz w:val="18"/>
                <w:szCs w:val="18"/>
              </w:rPr>
              <w:t>)</w:t>
            </w:r>
          </w:p>
        </w:tc>
        <w:tc>
          <w:tcPr>
            <w:tcW w:w="1080" w:type="dxa"/>
            <w:tcBorders>
              <w:top w:val="single" w:sz="4" w:space="0" w:color="000000"/>
              <w:left w:val="single" w:sz="12" w:space="0" w:color="000000"/>
              <w:bottom w:val="single" w:sz="4" w:space="0" w:color="000000"/>
              <w:right w:val="single" w:sz="12" w:space="0" w:color="000000"/>
            </w:tcBorders>
            <w:vAlign w:val="center"/>
          </w:tcPr>
          <w:p w14:paraId="29C61D23" w14:textId="77777777" w:rsidR="00B32A95" w:rsidRPr="00123BFF" w:rsidRDefault="00B32A95">
            <w:pPr>
              <w:spacing w:after="0" w:line="259" w:lineRule="auto"/>
              <w:ind w:left="0" w:right="44" w:firstLine="0"/>
              <w:jc w:val="center"/>
              <w:rPr>
                <w:sz w:val="18"/>
                <w:szCs w:val="18"/>
              </w:rPr>
            </w:pPr>
            <w:r>
              <w:rPr>
                <w:sz w:val="18"/>
                <w:szCs w:val="18"/>
              </w:rPr>
              <w:t>2706-90-3</w:t>
            </w:r>
          </w:p>
        </w:tc>
        <w:tc>
          <w:tcPr>
            <w:tcW w:w="1170" w:type="dxa"/>
            <w:tcBorders>
              <w:top w:val="single" w:sz="4" w:space="0" w:color="000000"/>
              <w:left w:val="single" w:sz="12" w:space="0" w:color="000000"/>
              <w:bottom w:val="single" w:sz="4" w:space="0" w:color="000000"/>
              <w:right w:val="single" w:sz="12" w:space="0" w:color="000000"/>
            </w:tcBorders>
            <w:vAlign w:val="center"/>
          </w:tcPr>
          <w:p w14:paraId="3058A36E" w14:textId="77777777" w:rsidR="00B32A95" w:rsidRPr="00275095" w:rsidRDefault="00B32A95">
            <w:pPr>
              <w:tabs>
                <w:tab w:val="center" w:pos="511"/>
              </w:tabs>
              <w:spacing w:after="0" w:line="259" w:lineRule="auto"/>
              <w:ind w:left="0" w:right="0" w:firstLine="0"/>
              <w:jc w:val="center"/>
              <w:rPr>
                <w:sz w:val="18"/>
                <w:szCs w:val="18"/>
              </w:rPr>
            </w:pPr>
            <w:r>
              <w:rPr>
                <w:sz w:val="18"/>
                <w:szCs w:val="18"/>
              </w:rPr>
              <w:t>3.9</w:t>
            </w:r>
          </w:p>
        </w:tc>
        <w:tc>
          <w:tcPr>
            <w:tcW w:w="720" w:type="dxa"/>
            <w:tcBorders>
              <w:top w:val="single" w:sz="4" w:space="0" w:color="000000"/>
              <w:left w:val="single" w:sz="12" w:space="0" w:color="000000"/>
              <w:bottom w:val="single" w:sz="4" w:space="0" w:color="000000"/>
              <w:right w:val="single" w:sz="12" w:space="0" w:color="000000"/>
            </w:tcBorders>
            <w:vAlign w:val="center"/>
          </w:tcPr>
          <w:p w14:paraId="53827306" w14:textId="77777777" w:rsidR="00B32A95" w:rsidRPr="002917E8" w:rsidRDefault="00B32A95">
            <w:pPr>
              <w:spacing w:after="0" w:line="259" w:lineRule="auto"/>
              <w:ind w:left="0" w:right="44" w:firstLine="0"/>
              <w:jc w:val="center"/>
              <w:rPr>
                <w:sz w:val="18"/>
                <w:szCs w:val="18"/>
              </w:rPr>
            </w:pPr>
            <w:r w:rsidRPr="002917E8">
              <w:rPr>
                <w:sz w:val="18"/>
                <w:szCs w:val="18"/>
              </w:rPr>
              <w:t>ng/L</w:t>
            </w:r>
          </w:p>
        </w:tc>
        <w:tc>
          <w:tcPr>
            <w:tcW w:w="810" w:type="dxa"/>
            <w:tcBorders>
              <w:top w:val="single" w:sz="4" w:space="0" w:color="000000"/>
              <w:left w:val="single" w:sz="12" w:space="0" w:color="000000"/>
              <w:bottom w:val="single" w:sz="4" w:space="0" w:color="000000"/>
              <w:right w:val="single" w:sz="12" w:space="0" w:color="000000"/>
            </w:tcBorders>
            <w:vAlign w:val="center"/>
          </w:tcPr>
          <w:p w14:paraId="4E8392A2" w14:textId="77777777" w:rsidR="00B32A95" w:rsidRDefault="00B32A95">
            <w:pPr>
              <w:tabs>
                <w:tab w:val="center" w:pos="308"/>
              </w:tabs>
              <w:spacing w:after="0" w:line="259" w:lineRule="auto"/>
              <w:ind w:left="0" w:right="0" w:firstLine="0"/>
              <w:jc w:val="center"/>
            </w:pPr>
            <w:r w:rsidRPr="00426058">
              <w:rPr>
                <w:sz w:val="18"/>
                <w:szCs w:val="18"/>
              </w:rPr>
              <w:t>N/A</w:t>
            </w:r>
          </w:p>
        </w:tc>
        <w:tc>
          <w:tcPr>
            <w:tcW w:w="1080" w:type="dxa"/>
            <w:tcBorders>
              <w:top w:val="single" w:sz="4" w:space="0" w:color="000000"/>
              <w:left w:val="single" w:sz="12" w:space="0" w:color="000000"/>
              <w:bottom w:val="single" w:sz="4" w:space="0" w:color="000000"/>
              <w:right w:val="single" w:sz="12" w:space="0" w:color="000000"/>
            </w:tcBorders>
            <w:vAlign w:val="center"/>
          </w:tcPr>
          <w:p w14:paraId="289D2872" w14:textId="77777777" w:rsidR="00B32A95" w:rsidRDefault="00B32A95">
            <w:pPr>
              <w:spacing w:after="0" w:line="259" w:lineRule="auto"/>
              <w:ind w:left="0" w:right="46" w:firstLine="0"/>
              <w:jc w:val="center"/>
            </w:pPr>
            <w:r w:rsidRPr="00426058">
              <w:rPr>
                <w:sz w:val="18"/>
                <w:szCs w:val="18"/>
              </w:rPr>
              <w:t>N/A</w:t>
            </w:r>
          </w:p>
        </w:tc>
        <w:tc>
          <w:tcPr>
            <w:tcW w:w="810" w:type="dxa"/>
            <w:tcBorders>
              <w:top w:val="single" w:sz="4" w:space="0" w:color="000000"/>
              <w:left w:val="single" w:sz="12" w:space="0" w:color="000000"/>
              <w:bottom w:val="single" w:sz="4" w:space="0" w:color="000000"/>
              <w:right w:val="single" w:sz="12" w:space="0" w:color="000000"/>
            </w:tcBorders>
            <w:vAlign w:val="center"/>
          </w:tcPr>
          <w:p w14:paraId="30255DDB" w14:textId="77777777" w:rsidR="00B32A95" w:rsidRDefault="00B32A95">
            <w:pPr>
              <w:spacing w:after="0" w:line="259" w:lineRule="auto"/>
              <w:ind w:left="0" w:right="45" w:firstLine="0"/>
              <w:jc w:val="center"/>
            </w:pPr>
            <w:r w:rsidRPr="00C9085E">
              <w:rPr>
                <w:sz w:val="18"/>
                <w:szCs w:val="18"/>
              </w:rPr>
              <w:t>533</w:t>
            </w:r>
          </w:p>
        </w:tc>
        <w:tc>
          <w:tcPr>
            <w:tcW w:w="720" w:type="dxa"/>
            <w:tcBorders>
              <w:top w:val="single" w:sz="4" w:space="0" w:color="000000"/>
              <w:left w:val="single" w:sz="12" w:space="0" w:color="000000"/>
              <w:bottom w:val="single" w:sz="4" w:space="0" w:color="000000"/>
              <w:right w:val="single" w:sz="12" w:space="0" w:color="000000"/>
            </w:tcBorders>
            <w:vAlign w:val="center"/>
          </w:tcPr>
          <w:p w14:paraId="248E5621" w14:textId="77777777" w:rsidR="00B32A95" w:rsidRDefault="00B32A95">
            <w:pPr>
              <w:spacing w:after="0" w:line="259" w:lineRule="auto"/>
              <w:ind w:left="0" w:right="48" w:firstLine="0"/>
              <w:jc w:val="center"/>
            </w:pPr>
          </w:p>
        </w:tc>
      </w:tr>
      <w:tr w:rsidR="00634F0E" w14:paraId="3ECD307B" w14:textId="77777777" w:rsidTr="00327A4B">
        <w:trPr>
          <w:trHeight w:val="250"/>
        </w:trPr>
        <w:tc>
          <w:tcPr>
            <w:tcW w:w="4140" w:type="dxa"/>
            <w:tcBorders>
              <w:top w:val="single" w:sz="4" w:space="0" w:color="000000"/>
              <w:left w:val="single" w:sz="12" w:space="0" w:color="000000"/>
              <w:bottom w:val="single" w:sz="4" w:space="0" w:color="000000"/>
              <w:right w:val="single" w:sz="12" w:space="0" w:color="000000"/>
            </w:tcBorders>
            <w:vAlign w:val="center"/>
          </w:tcPr>
          <w:p w14:paraId="04982323" w14:textId="77777777" w:rsidR="00B32A95" w:rsidRPr="002977F9" w:rsidRDefault="00B32A95">
            <w:pPr>
              <w:spacing w:after="0" w:line="259" w:lineRule="auto"/>
              <w:ind w:left="0" w:right="0" w:firstLine="0"/>
              <w:rPr>
                <w:sz w:val="18"/>
                <w:szCs w:val="18"/>
              </w:rPr>
            </w:pPr>
            <w:proofErr w:type="spellStart"/>
            <w:r>
              <w:rPr>
                <w:sz w:val="18"/>
                <w:szCs w:val="18"/>
              </w:rPr>
              <w:t>Perfluoropentanesulfonic</w:t>
            </w:r>
            <w:proofErr w:type="spellEnd"/>
            <w:r>
              <w:rPr>
                <w:sz w:val="18"/>
                <w:szCs w:val="18"/>
              </w:rPr>
              <w:t xml:space="preserve"> acid (</w:t>
            </w:r>
            <w:proofErr w:type="spellStart"/>
            <w:r>
              <w:rPr>
                <w:sz w:val="18"/>
                <w:szCs w:val="18"/>
              </w:rPr>
              <w:t>PFPeS</w:t>
            </w:r>
            <w:proofErr w:type="spellEnd"/>
            <w:r>
              <w:rPr>
                <w:sz w:val="18"/>
                <w:szCs w:val="18"/>
              </w:rPr>
              <w:t>)</w:t>
            </w:r>
          </w:p>
        </w:tc>
        <w:tc>
          <w:tcPr>
            <w:tcW w:w="1080" w:type="dxa"/>
            <w:tcBorders>
              <w:top w:val="single" w:sz="4" w:space="0" w:color="000000"/>
              <w:left w:val="single" w:sz="12" w:space="0" w:color="000000"/>
              <w:bottom w:val="single" w:sz="4" w:space="0" w:color="000000"/>
              <w:right w:val="single" w:sz="12" w:space="0" w:color="000000"/>
            </w:tcBorders>
            <w:vAlign w:val="center"/>
          </w:tcPr>
          <w:p w14:paraId="5B889FAC" w14:textId="77777777" w:rsidR="00B32A95" w:rsidRPr="00123BFF" w:rsidRDefault="00B32A95">
            <w:pPr>
              <w:spacing w:after="0" w:line="259" w:lineRule="auto"/>
              <w:ind w:left="0" w:right="44" w:firstLine="0"/>
              <w:jc w:val="center"/>
              <w:rPr>
                <w:sz w:val="18"/>
                <w:szCs w:val="18"/>
              </w:rPr>
            </w:pPr>
            <w:r>
              <w:rPr>
                <w:sz w:val="18"/>
                <w:szCs w:val="18"/>
              </w:rPr>
              <w:t>2706-91-4</w:t>
            </w:r>
          </w:p>
        </w:tc>
        <w:tc>
          <w:tcPr>
            <w:tcW w:w="1170" w:type="dxa"/>
            <w:tcBorders>
              <w:top w:val="single" w:sz="4" w:space="0" w:color="000000"/>
              <w:left w:val="single" w:sz="12" w:space="0" w:color="000000"/>
              <w:bottom w:val="single" w:sz="4" w:space="0" w:color="000000"/>
              <w:right w:val="single" w:sz="12" w:space="0" w:color="000000"/>
            </w:tcBorders>
            <w:vAlign w:val="center"/>
          </w:tcPr>
          <w:p w14:paraId="23627EE6" w14:textId="77777777" w:rsidR="00B32A95" w:rsidRPr="00275095" w:rsidRDefault="00B32A95">
            <w:pPr>
              <w:tabs>
                <w:tab w:val="center" w:pos="534"/>
              </w:tabs>
              <w:spacing w:after="0" w:line="259" w:lineRule="auto"/>
              <w:ind w:left="0" w:right="0" w:firstLine="0"/>
              <w:jc w:val="center"/>
              <w:rPr>
                <w:sz w:val="18"/>
                <w:szCs w:val="18"/>
              </w:rPr>
            </w:pPr>
            <w:r>
              <w:rPr>
                <w:sz w:val="18"/>
                <w:szCs w:val="18"/>
              </w:rPr>
              <w:t>6.3</w:t>
            </w:r>
          </w:p>
        </w:tc>
        <w:tc>
          <w:tcPr>
            <w:tcW w:w="720" w:type="dxa"/>
            <w:tcBorders>
              <w:top w:val="single" w:sz="4" w:space="0" w:color="000000"/>
              <w:left w:val="single" w:sz="12" w:space="0" w:color="000000"/>
              <w:bottom w:val="single" w:sz="4" w:space="0" w:color="000000"/>
              <w:right w:val="single" w:sz="12" w:space="0" w:color="000000"/>
            </w:tcBorders>
            <w:vAlign w:val="center"/>
          </w:tcPr>
          <w:p w14:paraId="14AB093C" w14:textId="77777777" w:rsidR="00B32A95" w:rsidRPr="002917E8" w:rsidRDefault="00B32A95">
            <w:pPr>
              <w:spacing w:after="0" w:line="259" w:lineRule="auto"/>
              <w:ind w:left="0" w:right="44" w:firstLine="0"/>
              <w:jc w:val="center"/>
              <w:rPr>
                <w:sz w:val="18"/>
                <w:szCs w:val="18"/>
              </w:rPr>
            </w:pPr>
            <w:r w:rsidRPr="002917E8">
              <w:rPr>
                <w:sz w:val="18"/>
                <w:szCs w:val="18"/>
              </w:rPr>
              <w:t>ng/L</w:t>
            </w:r>
          </w:p>
        </w:tc>
        <w:tc>
          <w:tcPr>
            <w:tcW w:w="810" w:type="dxa"/>
            <w:tcBorders>
              <w:top w:val="single" w:sz="4" w:space="0" w:color="000000"/>
              <w:left w:val="single" w:sz="12" w:space="0" w:color="000000"/>
              <w:bottom w:val="single" w:sz="4" w:space="0" w:color="000000"/>
              <w:right w:val="single" w:sz="12" w:space="0" w:color="000000"/>
            </w:tcBorders>
            <w:vAlign w:val="center"/>
          </w:tcPr>
          <w:p w14:paraId="008E07CF" w14:textId="77777777" w:rsidR="00B32A95" w:rsidRDefault="00B32A95">
            <w:pPr>
              <w:tabs>
                <w:tab w:val="center" w:pos="354"/>
              </w:tabs>
              <w:spacing w:after="0" w:line="259" w:lineRule="auto"/>
              <w:ind w:left="0" w:right="0" w:firstLine="0"/>
              <w:jc w:val="center"/>
            </w:pPr>
            <w:r w:rsidRPr="00426058">
              <w:rPr>
                <w:sz w:val="18"/>
                <w:szCs w:val="18"/>
              </w:rPr>
              <w:t>N/A</w:t>
            </w:r>
          </w:p>
        </w:tc>
        <w:tc>
          <w:tcPr>
            <w:tcW w:w="1080" w:type="dxa"/>
            <w:tcBorders>
              <w:top w:val="single" w:sz="4" w:space="0" w:color="000000"/>
              <w:left w:val="single" w:sz="12" w:space="0" w:color="000000"/>
              <w:bottom w:val="single" w:sz="4" w:space="0" w:color="000000"/>
              <w:right w:val="single" w:sz="12" w:space="0" w:color="000000"/>
            </w:tcBorders>
            <w:vAlign w:val="center"/>
          </w:tcPr>
          <w:p w14:paraId="63CE4ED6" w14:textId="77777777" w:rsidR="00B32A95" w:rsidRDefault="00B32A95">
            <w:pPr>
              <w:spacing w:after="0" w:line="259" w:lineRule="auto"/>
              <w:ind w:left="0" w:right="46" w:firstLine="0"/>
              <w:jc w:val="center"/>
            </w:pPr>
            <w:r w:rsidRPr="00426058">
              <w:rPr>
                <w:sz w:val="18"/>
                <w:szCs w:val="18"/>
              </w:rPr>
              <w:t>N/A</w:t>
            </w:r>
          </w:p>
        </w:tc>
        <w:tc>
          <w:tcPr>
            <w:tcW w:w="810" w:type="dxa"/>
            <w:tcBorders>
              <w:top w:val="single" w:sz="4" w:space="0" w:color="000000"/>
              <w:left w:val="single" w:sz="12" w:space="0" w:color="000000"/>
              <w:bottom w:val="single" w:sz="4" w:space="0" w:color="000000"/>
              <w:right w:val="single" w:sz="12" w:space="0" w:color="000000"/>
            </w:tcBorders>
            <w:vAlign w:val="center"/>
          </w:tcPr>
          <w:p w14:paraId="7CB3623F" w14:textId="77777777" w:rsidR="00B32A95" w:rsidRDefault="00B32A95">
            <w:pPr>
              <w:spacing w:after="0" w:line="259" w:lineRule="auto"/>
              <w:ind w:left="0" w:right="45" w:firstLine="0"/>
              <w:jc w:val="center"/>
            </w:pPr>
            <w:r w:rsidRPr="00C9085E">
              <w:rPr>
                <w:sz w:val="18"/>
                <w:szCs w:val="18"/>
              </w:rPr>
              <w:t>533</w:t>
            </w:r>
          </w:p>
        </w:tc>
        <w:tc>
          <w:tcPr>
            <w:tcW w:w="720" w:type="dxa"/>
            <w:tcBorders>
              <w:top w:val="single" w:sz="4" w:space="0" w:color="000000"/>
              <w:left w:val="single" w:sz="12" w:space="0" w:color="000000"/>
              <w:bottom w:val="single" w:sz="4" w:space="0" w:color="000000"/>
              <w:right w:val="single" w:sz="12" w:space="0" w:color="000000"/>
            </w:tcBorders>
            <w:vAlign w:val="center"/>
          </w:tcPr>
          <w:p w14:paraId="08CD15E2" w14:textId="77777777" w:rsidR="00B32A95" w:rsidRDefault="00B32A95">
            <w:pPr>
              <w:spacing w:after="0" w:line="259" w:lineRule="auto"/>
              <w:ind w:left="0" w:right="48" w:firstLine="0"/>
              <w:jc w:val="center"/>
            </w:pPr>
          </w:p>
        </w:tc>
      </w:tr>
      <w:tr w:rsidR="00634F0E" w14:paraId="1AF44D8B" w14:textId="77777777" w:rsidTr="00327A4B">
        <w:trPr>
          <w:trHeight w:val="250"/>
        </w:trPr>
        <w:tc>
          <w:tcPr>
            <w:tcW w:w="4140" w:type="dxa"/>
            <w:tcBorders>
              <w:top w:val="single" w:sz="4" w:space="0" w:color="000000"/>
              <w:left w:val="single" w:sz="12" w:space="0" w:color="000000"/>
              <w:bottom w:val="single" w:sz="12" w:space="0" w:color="000000"/>
              <w:right w:val="single" w:sz="12" w:space="0" w:color="000000"/>
            </w:tcBorders>
            <w:vAlign w:val="center"/>
          </w:tcPr>
          <w:p w14:paraId="6D5AD2E0" w14:textId="78F6FE8D" w:rsidR="00EE587F" w:rsidRDefault="00EE587F">
            <w:pPr>
              <w:spacing w:after="0" w:line="259" w:lineRule="auto"/>
              <w:ind w:left="0" w:right="0" w:firstLine="0"/>
              <w:rPr>
                <w:sz w:val="18"/>
                <w:szCs w:val="18"/>
              </w:rPr>
            </w:pPr>
            <w:proofErr w:type="spellStart"/>
            <w:r w:rsidRPr="00EE587F">
              <w:rPr>
                <w:sz w:val="18"/>
                <w:szCs w:val="18"/>
              </w:rPr>
              <w:t>Perfluoroundecanoic</w:t>
            </w:r>
            <w:proofErr w:type="spellEnd"/>
            <w:r w:rsidRPr="00EE587F">
              <w:rPr>
                <w:sz w:val="18"/>
                <w:szCs w:val="18"/>
              </w:rPr>
              <w:t xml:space="preserve"> acid (</w:t>
            </w:r>
            <w:proofErr w:type="spellStart"/>
            <w:r w:rsidRPr="00EE587F">
              <w:rPr>
                <w:sz w:val="18"/>
                <w:szCs w:val="18"/>
              </w:rPr>
              <w:t>PFUnA</w:t>
            </w:r>
            <w:proofErr w:type="spellEnd"/>
            <w:r w:rsidRPr="00EE587F">
              <w:rPr>
                <w:sz w:val="18"/>
                <w:szCs w:val="18"/>
              </w:rPr>
              <w:t>)</w:t>
            </w:r>
          </w:p>
        </w:tc>
        <w:tc>
          <w:tcPr>
            <w:tcW w:w="1080" w:type="dxa"/>
            <w:tcBorders>
              <w:top w:val="single" w:sz="4" w:space="0" w:color="000000"/>
              <w:left w:val="single" w:sz="12" w:space="0" w:color="000000"/>
              <w:bottom w:val="single" w:sz="12" w:space="0" w:color="000000"/>
              <w:right w:val="single" w:sz="12" w:space="0" w:color="000000"/>
            </w:tcBorders>
            <w:vAlign w:val="center"/>
          </w:tcPr>
          <w:p w14:paraId="5058C6E5" w14:textId="28B32277" w:rsidR="00EE587F" w:rsidRDefault="00EE587F">
            <w:pPr>
              <w:spacing w:after="0" w:line="259" w:lineRule="auto"/>
              <w:ind w:left="0" w:right="44" w:firstLine="0"/>
              <w:jc w:val="center"/>
              <w:rPr>
                <w:sz w:val="18"/>
                <w:szCs w:val="18"/>
              </w:rPr>
            </w:pPr>
            <w:r>
              <w:rPr>
                <w:sz w:val="18"/>
                <w:szCs w:val="18"/>
              </w:rPr>
              <w:t>2058-94-8</w:t>
            </w:r>
          </w:p>
        </w:tc>
        <w:tc>
          <w:tcPr>
            <w:tcW w:w="1170" w:type="dxa"/>
            <w:tcBorders>
              <w:top w:val="single" w:sz="4" w:space="0" w:color="000000"/>
              <w:left w:val="single" w:sz="12" w:space="0" w:color="000000"/>
              <w:bottom w:val="single" w:sz="12" w:space="0" w:color="000000"/>
              <w:right w:val="single" w:sz="12" w:space="0" w:color="000000"/>
            </w:tcBorders>
            <w:vAlign w:val="center"/>
          </w:tcPr>
          <w:p w14:paraId="78D33234" w14:textId="6DBD982E" w:rsidR="00EE587F" w:rsidRDefault="00EE587F">
            <w:pPr>
              <w:tabs>
                <w:tab w:val="center" w:pos="534"/>
              </w:tabs>
              <w:spacing w:after="0" w:line="259" w:lineRule="auto"/>
              <w:ind w:left="0" w:right="0" w:firstLine="0"/>
              <w:jc w:val="center"/>
              <w:rPr>
                <w:sz w:val="18"/>
                <w:szCs w:val="18"/>
              </w:rPr>
            </w:pPr>
            <w:r>
              <w:rPr>
                <w:sz w:val="18"/>
                <w:szCs w:val="18"/>
              </w:rPr>
              <w:t>2.7</w:t>
            </w:r>
          </w:p>
        </w:tc>
        <w:tc>
          <w:tcPr>
            <w:tcW w:w="720" w:type="dxa"/>
            <w:tcBorders>
              <w:top w:val="single" w:sz="4" w:space="0" w:color="000000"/>
              <w:left w:val="single" w:sz="12" w:space="0" w:color="000000"/>
              <w:bottom w:val="single" w:sz="12" w:space="0" w:color="000000"/>
              <w:right w:val="single" w:sz="12" w:space="0" w:color="000000"/>
            </w:tcBorders>
            <w:vAlign w:val="center"/>
          </w:tcPr>
          <w:p w14:paraId="5939EE20" w14:textId="6572A632" w:rsidR="00EE587F" w:rsidRPr="002917E8" w:rsidRDefault="00EE587F">
            <w:pPr>
              <w:spacing w:after="0" w:line="259" w:lineRule="auto"/>
              <w:ind w:left="0" w:right="44" w:firstLine="0"/>
              <w:jc w:val="center"/>
              <w:rPr>
                <w:sz w:val="18"/>
                <w:szCs w:val="18"/>
              </w:rPr>
            </w:pPr>
            <w:r w:rsidRPr="00EE587F">
              <w:rPr>
                <w:sz w:val="18"/>
                <w:szCs w:val="18"/>
              </w:rPr>
              <w:t>ng/L</w:t>
            </w:r>
          </w:p>
        </w:tc>
        <w:tc>
          <w:tcPr>
            <w:tcW w:w="810" w:type="dxa"/>
            <w:tcBorders>
              <w:top w:val="single" w:sz="4" w:space="0" w:color="000000"/>
              <w:left w:val="single" w:sz="12" w:space="0" w:color="000000"/>
              <w:bottom w:val="single" w:sz="12" w:space="0" w:color="000000"/>
              <w:right w:val="single" w:sz="12" w:space="0" w:color="000000"/>
            </w:tcBorders>
            <w:vAlign w:val="center"/>
          </w:tcPr>
          <w:p w14:paraId="1E711792" w14:textId="1BAA79BB" w:rsidR="00EE587F" w:rsidRPr="00426058" w:rsidRDefault="00EE587F">
            <w:pPr>
              <w:tabs>
                <w:tab w:val="center" w:pos="354"/>
              </w:tabs>
              <w:spacing w:after="0" w:line="259" w:lineRule="auto"/>
              <w:ind w:left="0" w:right="0" w:firstLine="0"/>
              <w:jc w:val="center"/>
              <w:rPr>
                <w:sz w:val="18"/>
                <w:szCs w:val="18"/>
              </w:rPr>
            </w:pPr>
            <w:r>
              <w:rPr>
                <w:sz w:val="18"/>
                <w:szCs w:val="18"/>
              </w:rPr>
              <w:t>N/A</w:t>
            </w:r>
          </w:p>
        </w:tc>
        <w:tc>
          <w:tcPr>
            <w:tcW w:w="1080" w:type="dxa"/>
            <w:tcBorders>
              <w:top w:val="single" w:sz="4" w:space="0" w:color="000000"/>
              <w:left w:val="single" w:sz="12" w:space="0" w:color="000000"/>
              <w:bottom w:val="single" w:sz="12" w:space="0" w:color="000000"/>
              <w:right w:val="single" w:sz="12" w:space="0" w:color="000000"/>
            </w:tcBorders>
            <w:vAlign w:val="center"/>
          </w:tcPr>
          <w:p w14:paraId="73A1FCA0" w14:textId="0BD3F764" w:rsidR="00EE587F" w:rsidRPr="00426058" w:rsidRDefault="00EE587F">
            <w:pPr>
              <w:spacing w:after="0" w:line="259" w:lineRule="auto"/>
              <w:ind w:left="0" w:right="46" w:firstLine="0"/>
              <w:jc w:val="center"/>
              <w:rPr>
                <w:sz w:val="18"/>
                <w:szCs w:val="18"/>
              </w:rPr>
            </w:pPr>
            <w:r>
              <w:rPr>
                <w:sz w:val="18"/>
                <w:szCs w:val="18"/>
              </w:rPr>
              <w:t>N/A</w:t>
            </w:r>
          </w:p>
        </w:tc>
        <w:tc>
          <w:tcPr>
            <w:tcW w:w="810" w:type="dxa"/>
            <w:tcBorders>
              <w:top w:val="single" w:sz="4" w:space="0" w:color="000000"/>
              <w:left w:val="single" w:sz="12" w:space="0" w:color="000000"/>
              <w:bottom w:val="single" w:sz="12" w:space="0" w:color="000000"/>
              <w:right w:val="single" w:sz="12" w:space="0" w:color="000000"/>
            </w:tcBorders>
            <w:vAlign w:val="center"/>
          </w:tcPr>
          <w:p w14:paraId="286575FF" w14:textId="2266658B" w:rsidR="00EE587F" w:rsidRPr="00C9085E" w:rsidRDefault="00EE587F">
            <w:pPr>
              <w:spacing w:after="0" w:line="259" w:lineRule="auto"/>
              <w:ind w:left="0" w:right="45" w:firstLine="0"/>
              <w:jc w:val="center"/>
              <w:rPr>
                <w:sz w:val="18"/>
                <w:szCs w:val="18"/>
              </w:rPr>
            </w:pPr>
            <w:r>
              <w:rPr>
                <w:sz w:val="18"/>
                <w:szCs w:val="18"/>
              </w:rPr>
              <w:t>533</w:t>
            </w:r>
          </w:p>
        </w:tc>
        <w:tc>
          <w:tcPr>
            <w:tcW w:w="720" w:type="dxa"/>
            <w:tcBorders>
              <w:top w:val="single" w:sz="4" w:space="0" w:color="000000"/>
              <w:left w:val="single" w:sz="12" w:space="0" w:color="000000"/>
              <w:bottom w:val="single" w:sz="12" w:space="0" w:color="000000"/>
              <w:right w:val="single" w:sz="12" w:space="0" w:color="000000"/>
            </w:tcBorders>
            <w:vAlign w:val="center"/>
          </w:tcPr>
          <w:p w14:paraId="576C7274" w14:textId="77777777" w:rsidR="00EE587F" w:rsidRDefault="00EE587F">
            <w:pPr>
              <w:spacing w:after="0" w:line="259" w:lineRule="auto"/>
              <w:ind w:left="0" w:right="48" w:firstLine="0"/>
              <w:jc w:val="center"/>
            </w:pPr>
          </w:p>
        </w:tc>
      </w:tr>
    </w:tbl>
    <w:p w14:paraId="0EC838FF" w14:textId="77777777" w:rsidR="00B32A95" w:rsidRDefault="00B32A95" w:rsidP="00A22C7E"/>
    <w:tbl>
      <w:tblPr>
        <w:tblStyle w:val="TableGrid1"/>
        <w:tblW w:w="10530" w:type="dxa"/>
        <w:tblInd w:w="-375" w:type="dxa"/>
        <w:tblLayout w:type="fixed"/>
        <w:tblCellMar>
          <w:top w:w="22" w:type="dxa"/>
          <w:left w:w="72" w:type="dxa"/>
          <w:right w:w="27" w:type="dxa"/>
        </w:tblCellMar>
        <w:tblLook w:val="04A0" w:firstRow="1" w:lastRow="0" w:firstColumn="1" w:lastColumn="0" w:noHBand="0" w:noVBand="1"/>
      </w:tblPr>
      <w:tblGrid>
        <w:gridCol w:w="4230"/>
        <w:gridCol w:w="1170"/>
        <w:gridCol w:w="990"/>
        <w:gridCol w:w="720"/>
        <w:gridCol w:w="1080"/>
        <w:gridCol w:w="810"/>
        <w:gridCol w:w="990"/>
        <w:gridCol w:w="540"/>
      </w:tblGrid>
      <w:tr w:rsidR="00A22C7E" w:rsidRPr="005E4951" w14:paraId="4DE64ADB" w14:textId="77777777" w:rsidTr="000C4B7A">
        <w:trPr>
          <w:trHeight w:val="316"/>
          <w:tblHeader/>
        </w:trPr>
        <w:tc>
          <w:tcPr>
            <w:tcW w:w="10530" w:type="dxa"/>
            <w:gridSpan w:val="8"/>
            <w:tcBorders>
              <w:top w:val="single" w:sz="12" w:space="0" w:color="000000"/>
              <w:left w:val="single" w:sz="12" w:space="0" w:color="000000"/>
              <w:bottom w:val="single" w:sz="12" w:space="0" w:color="000000"/>
              <w:right w:val="single" w:sz="12" w:space="0" w:color="000000"/>
            </w:tcBorders>
            <w:vAlign w:val="center"/>
          </w:tcPr>
          <w:p w14:paraId="3C1D5F85" w14:textId="5F63DDBE" w:rsidR="00A22C7E" w:rsidRPr="006121E0" w:rsidRDefault="00A22C7E">
            <w:pPr>
              <w:spacing w:after="0" w:line="240" w:lineRule="auto"/>
              <w:ind w:left="0" w:right="0" w:firstLine="0"/>
              <w:rPr>
                <w:b/>
                <w:bCs/>
                <w:sz w:val="18"/>
                <w:szCs w:val="18"/>
              </w:rPr>
            </w:pPr>
            <w:r w:rsidRPr="006121E0">
              <w:rPr>
                <w:b/>
                <w:bCs/>
                <w:sz w:val="18"/>
                <w:szCs w:val="18"/>
              </w:rPr>
              <w:t xml:space="preserve">PFAS – Group </w:t>
            </w:r>
            <w:r w:rsidR="0094254D">
              <w:rPr>
                <w:b/>
                <w:bCs/>
                <w:sz w:val="18"/>
                <w:szCs w:val="18"/>
              </w:rPr>
              <w:t>C</w:t>
            </w:r>
            <w:r w:rsidRPr="006121E0">
              <w:rPr>
                <w:b/>
                <w:bCs/>
                <w:sz w:val="18"/>
                <w:szCs w:val="18"/>
              </w:rPr>
              <w:t xml:space="preserve">:  OLQ Standard </w:t>
            </w:r>
            <w:r w:rsidR="00902A11">
              <w:rPr>
                <w:b/>
                <w:bCs/>
                <w:sz w:val="18"/>
                <w:szCs w:val="18"/>
              </w:rPr>
              <w:t xml:space="preserve">Clean </w:t>
            </w:r>
            <w:r w:rsidRPr="006121E0">
              <w:rPr>
                <w:b/>
                <w:bCs/>
                <w:sz w:val="18"/>
                <w:szCs w:val="18"/>
              </w:rPr>
              <w:t>Water</w:t>
            </w:r>
            <w:r w:rsidR="00902A11">
              <w:rPr>
                <w:b/>
                <w:bCs/>
                <w:sz w:val="18"/>
                <w:szCs w:val="18"/>
              </w:rPr>
              <w:t xml:space="preserve"> Act</w:t>
            </w:r>
            <w:r w:rsidRPr="006121E0">
              <w:rPr>
                <w:b/>
                <w:bCs/>
                <w:sz w:val="18"/>
                <w:szCs w:val="18"/>
              </w:rPr>
              <w:t xml:space="preserve"> List Method </w:t>
            </w:r>
            <w:r>
              <w:rPr>
                <w:b/>
                <w:bCs/>
                <w:sz w:val="18"/>
                <w:szCs w:val="18"/>
              </w:rPr>
              <w:t>16</w:t>
            </w:r>
            <w:r w:rsidRPr="006121E0">
              <w:rPr>
                <w:b/>
                <w:bCs/>
                <w:sz w:val="18"/>
                <w:szCs w:val="18"/>
              </w:rPr>
              <w:t>33</w:t>
            </w:r>
          </w:p>
        </w:tc>
      </w:tr>
      <w:tr w:rsidR="006B323E" w14:paraId="63D5DE89" w14:textId="77777777" w:rsidTr="000C4B7A">
        <w:trPr>
          <w:trHeight w:val="444"/>
          <w:tblHeader/>
        </w:trPr>
        <w:tc>
          <w:tcPr>
            <w:tcW w:w="4230" w:type="dxa"/>
            <w:vMerge w:val="restart"/>
            <w:tcBorders>
              <w:top w:val="single" w:sz="12" w:space="0" w:color="000000"/>
              <w:left w:val="single" w:sz="12" w:space="0" w:color="000000"/>
              <w:right w:val="single" w:sz="12" w:space="0" w:color="000000"/>
            </w:tcBorders>
            <w:vAlign w:val="center"/>
          </w:tcPr>
          <w:p w14:paraId="16D28FB9" w14:textId="77777777" w:rsidR="00A22C7E" w:rsidRDefault="00A22C7E">
            <w:pPr>
              <w:spacing w:after="0" w:line="259" w:lineRule="auto"/>
              <w:ind w:left="0" w:right="46" w:firstLine="0"/>
              <w:jc w:val="center"/>
            </w:pPr>
            <w:r>
              <w:rPr>
                <w:b/>
                <w:sz w:val="18"/>
              </w:rPr>
              <w:t>Analyte</w:t>
            </w:r>
          </w:p>
        </w:tc>
        <w:tc>
          <w:tcPr>
            <w:tcW w:w="1170" w:type="dxa"/>
            <w:vMerge w:val="restart"/>
            <w:tcBorders>
              <w:top w:val="single" w:sz="12" w:space="0" w:color="000000"/>
              <w:left w:val="single" w:sz="12" w:space="0" w:color="000000"/>
              <w:right w:val="single" w:sz="12" w:space="0" w:color="000000"/>
            </w:tcBorders>
            <w:vAlign w:val="center"/>
          </w:tcPr>
          <w:p w14:paraId="26E06FB8" w14:textId="77777777" w:rsidR="00A22C7E" w:rsidRDefault="00A22C7E">
            <w:pPr>
              <w:spacing w:after="0" w:line="259" w:lineRule="auto"/>
              <w:ind w:left="0" w:right="0" w:firstLine="0"/>
              <w:jc w:val="center"/>
            </w:pPr>
            <w:r>
              <w:rPr>
                <w:b/>
                <w:sz w:val="18"/>
              </w:rPr>
              <w:t>CAS Number</w:t>
            </w:r>
          </w:p>
        </w:tc>
        <w:tc>
          <w:tcPr>
            <w:tcW w:w="1710" w:type="dxa"/>
            <w:gridSpan w:val="2"/>
            <w:tcBorders>
              <w:top w:val="single" w:sz="12" w:space="0" w:color="000000"/>
              <w:left w:val="single" w:sz="12" w:space="0" w:color="000000"/>
              <w:bottom w:val="single" w:sz="12" w:space="0" w:color="000000"/>
              <w:right w:val="single" w:sz="12" w:space="0" w:color="000000"/>
            </w:tcBorders>
            <w:vAlign w:val="center"/>
          </w:tcPr>
          <w:p w14:paraId="0B2AB293" w14:textId="42B7274B" w:rsidR="00A22C7E" w:rsidRPr="0058250A" w:rsidRDefault="00A22C7E">
            <w:pPr>
              <w:spacing w:after="0" w:line="259" w:lineRule="auto"/>
              <w:ind w:left="442" w:right="487" w:firstLine="0"/>
              <w:jc w:val="center"/>
              <w:rPr>
                <w:b/>
              </w:rPr>
            </w:pPr>
            <w:r>
              <w:rPr>
                <w:b/>
                <w:sz w:val="18"/>
              </w:rPr>
              <w:t>Aqueous</w:t>
            </w:r>
          </w:p>
        </w:tc>
        <w:tc>
          <w:tcPr>
            <w:tcW w:w="1890" w:type="dxa"/>
            <w:gridSpan w:val="2"/>
            <w:tcBorders>
              <w:top w:val="single" w:sz="12" w:space="0" w:color="000000"/>
              <w:left w:val="single" w:sz="12" w:space="0" w:color="000000"/>
              <w:bottom w:val="single" w:sz="12" w:space="0" w:color="000000"/>
              <w:right w:val="single" w:sz="12" w:space="0" w:color="000000"/>
            </w:tcBorders>
            <w:vAlign w:val="center"/>
          </w:tcPr>
          <w:p w14:paraId="001164E2" w14:textId="77777777" w:rsidR="00A22C7E" w:rsidRDefault="00A22C7E">
            <w:pPr>
              <w:spacing w:after="0" w:line="259" w:lineRule="auto"/>
              <w:ind w:left="166" w:right="180" w:firstLine="0"/>
              <w:jc w:val="center"/>
            </w:pPr>
            <w:r>
              <w:rPr>
                <w:b/>
                <w:sz w:val="18"/>
              </w:rPr>
              <w:t xml:space="preserve">Soil/Sediment </w:t>
            </w:r>
            <w:r>
              <w:rPr>
                <w:sz w:val="18"/>
              </w:rPr>
              <w:t>(low concentration)</w:t>
            </w:r>
          </w:p>
        </w:tc>
        <w:tc>
          <w:tcPr>
            <w:tcW w:w="1530" w:type="dxa"/>
            <w:gridSpan w:val="2"/>
            <w:vMerge w:val="restart"/>
            <w:tcBorders>
              <w:top w:val="single" w:sz="12" w:space="0" w:color="000000"/>
              <w:left w:val="single" w:sz="12" w:space="0" w:color="000000"/>
              <w:right w:val="single" w:sz="12" w:space="0" w:color="000000"/>
            </w:tcBorders>
            <w:vAlign w:val="center"/>
          </w:tcPr>
          <w:p w14:paraId="3657DD69" w14:textId="2EF01531" w:rsidR="00A22C7E" w:rsidRDefault="00A22C7E">
            <w:pPr>
              <w:spacing w:after="0" w:line="259" w:lineRule="auto"/>
              <w:ind w:left="0" w:right="51" w:firstLine="0"/>
              <w:jc w:val="center"/>
            </w:pPr>
            <w:r>
              <w:rPr>
                <w:b/>
                <w:sz w:val="18"/>
              </w:rPr>
              <w:t>Acceptable Methods</w:t>
            </w:r>
          </w:p>
        </w:tc>
      </w:tr>
      <w:tr w:rsidR="00E91CEF" w14:paraId="00442E21" w14:textId="77777777" w:rsidTr="000C4B7A">
        <w:trPr>
          <w:trHeight w:val="269"/>
          <w:tblHeader/>
        </w:trPr>
        <w:tc>
          <w:tcPr>
            <w:tcW w:w="4230" w:type="dxa"/>
            <w:vMerge/>
            <w:tcBorders>
              <w:left w:val="single" w:sz="12" w:space="0" w:color="000000"/>
              <w:bottom w:val="single" w:sz="12" w:space="0" w:color="000000"/>
              <w:right w:val="single" w:sz="12" w:space="0" w:color="000000"/>
            </w:tcBorders>
            <w:vAlign w:val="center"/>
          </w:tcPr>
          <w:p w14:paraId="1EC709A2" w14:textId="77777777" w:rsidR="00A22C7E" w:rsidRDefault="00A22C7E">
            <w:pPr>
              <w:spacing w:after="160" w:line="259" w:lineRule="auto"/>
              <w:ind w:left="0" w:right="0" w:firstLine="0"/>
              <w:jc w:val="center"/>
            </w:pPr>
          </w:p>
        </w:tc>
        <w:tc>
          <w:tcPr>
            <w:tcW w:w="1170" w:type="dxa"/>
            <w:vMerge/>
            <w:tcBorders>
              <w:left w:val="single" w:sz="12" w:space="0" w:color="000000"/>
              <w:bottom w:val="single" w:sz="12" w:space="0" w:color="000000"/>
              <w:right w:val="single" w:sz="12" w:space="0" w:color="000000"/>
            </w:tcBorders>
            <w:vAlign w:val="center"/>
          </w:tcPr>
          <w:p w14:paraId="54C959DA" w14:textId="77777777" w:rsidR="00A22C7E" w:rsidRDefault="00A22C7E">
            <w:pPr>
              <w:spacing w:after="160" w:line="259" w:lineRule="auto"/>
              <w:ind w:left="0" w:right="0" w:firstLine="0"/>
              <w:jc w:val="center"/>
            </w:pPr>
          </w:p>
        </w:tc>
        <w:tc>
          <w:tcPr>
            <w:tcW w:w="990" w:type="dxa"/>
            <w:tcBorders>
              <w:top w:val="single" w:sz="12" w:space="0" w:color="000000"/>
              <w:left w:val="single" w:sz="12" w:space="0" w:color="000000"/>
              <w:bottom w:val="single" w:sz="12" w:space="0" w:color="000000"/>
              <w:right w:val="single" w:sz="12" w:space="0" w:color="000000"/>
            </w:tcBorders>
            <w:vAlign w:val="center"/>
          </w:tcPr>
          <w:p w14:paraId="4B88DD68" w14:textId="455F1079" w:rsidR="00A22C7E" w:rsidRDefault="00A22C7E">
            <w:pPr>
              <w:spacing w:after="0" w:line="259" w:lineRule="auto"/>
              <w:ind w:left="0" w:right="47" w:firstLine="0"/>
              <w:jc w:val="center"/>
            </w:pPr>
            <w:r>
              <w:rPr>
                <w:b/>
                <w:sz w:val="18"/>
              </w:rPr>
              <w:t>R</w:t>
            </w:r>
            <w:r w:rsidR="00953D59">
              <w:rPr>
                <w:b/>
                <w:sz w:val="18"/>
              </w:rPr>
              <w:t xml:space="preserve">ange of </w:t>
            </w:r>
            <w:r>
              <w:rPr>
                <w:b/>
                <w:sz w:val="18"/>
              </w:rPr>
              <w:t>L</w:t>
            </w:r>
            <w:r w:rsidR="00953D59">
              <w:rPr>
                <w:b/>
                <w:sz w:val="18"/>
              </w:rPr>
              <w:t>OQ</w:t>
            </w:r>
            <w:r w:rsidR="007E182E">
              <w:rPr>
                <w:b/>
                <w:sz w:val="18"/>
              </w:rPr>
              <w:t>s</w:t>
            </w:r>
            <w:r>
              <w:rPr>
                <w:b/>
                <w:sz w:val="18"/>
              </w:rPr>
              <w:t xml:space="preserve"> </w:t>
            </w:r>
            <w:r w:rsidR="00A44C27">
              <w:rPr>
                <w:b/>
                <w:sz w:val="18"/>
                <w:vertAlign w:val="superscript"/>
              </w:rPr>
              <w:t>5</w:t>
            </w:r>
            <w:r w:rsidR="00F75ED9">
              <w:rPr>
                <w:b/>
                <w:sz w:val="18"/>
                <w:vertAlign w:val="superscript"/>
              </w:rPr>
              <w:t>1</w:t>
            </w:r>
          </w:p>
        </w:tc>
        <w:tc>
          <w:tcPr>
            <w:tcW w:w="720" w:type="dxa"/>
            <w:tcBorders>
              <w:top w:val="single" w:sz="12" w:space="0" w:color="000000"/>
              <w:left w:val="single" w:sz="12" w:space="0" w:color="000000"/>
              <w:bottom w:val="single" w:sz="12" w:space="0" w:color="000000"/>
              <w:right w:val="single" w:sz="12" w:space="0" w:color="000000"/>
            </w:tcBorders>
            <w:vAlign w:val="center"/>
          </w:tcPr>
          <w:p w14:paraId="5CA2B71F" w14:textId="77777777" w:rsidR="00A22C7E" w:rsidRDefault="00A22C7E">
            <w:pPr>
              <w:spacing w:after="0" w:line="259" w:lineRule="auto"/>
              <w:ind w:left="0" w:right="52" w:firstLine="0"/>
              <w:jc w:val="center"/>
            </w:pPr>
            <w:r>
              <w:rPr>
                <w:b/>
                <w:sz w:val="18"/>
              </w:rPr>
              <w:t>units</w:t>
            </w:r>
          </w:p>
        </w:tc>
        <w:tc>
          <w:tcPr>
            <w:tcW w:w="1080" w:type="dxa"/>
            <w:tcBorders>
              <w:top w:val="single" w:sz="12" w:space="0" w:color="000000"/>
              <w:left w:val="single" w:sz="12" w:space="0" w:color="000000"/>
              <w:bottom w:val="single" w:sz="12" w:space="0" w:color="000000"/>
              <w:right w:val="single" w:sz="12" w:space="0" w:color="000000"/>
            </w:tcBorders>
            <w:vAlign w:val="center"/>
          </w:tcPr>
          <w:p w14:paraId="69580005" w14:textId="22833FFA" w:rsidR="00A22C7E" w:rsidRDefault="00A22C7E">
            <w:pPr>
              <w:spacing w:after="0" w:line="259" w:lineRule="auto"/>
              <w:ind w:left="0" w:right="47" w:firstLine="0"/>
              <w:jc w:val="center"/>
            </w:pPr>
            <w:r>
              <w:rPr>
                <w:b/>
                <w:sz w:val="18"/>
              </w:rPr>
              <w:t>R</w:t>
            </w:r>
            <w:r w:rsidR="00FD7F61">
              <w:rPr>
                <w:b/>
                <w:sz w:val="18"/>
              </w:rPr>
              <w:t xml:space="preserve">ange of </w:t>
            </w:r>
            <w:r>
              <w:rPr>
                <w:b/>
                <w:sz w:val="18"/>
              </w:rPr>
              <w:t>L</w:t>
            </w:r>
            <w:r w:rsidR="00FD7F61">
              <w:rPr>
                <w:b/>
                <w:sz w:val="18"/>
              </w:rPr>
              <w:t xml:space="preserve">OQs </w:t>
            </w:r>
            <w:r w:rsidR="00FD7F61" w:rsidRPr="0058250A">
              <w:rPr>
                <w:b/>
                <w:sz w:val="18"/>
                <w:vertAlign w:val="superscript"/>
              </w:rPr>
              <w:t>5</w:t>
            </w:r>
            <w:r w:rsidR="00F75ED9">
              <w:rPr>
                <w:b/>
                <w:sz w:val="18"/>
                <w:vertAlign w:val="superscript"/>
              </w:rPr>
              <w:t>1</w:t>
            </w:r>
          </w:p>
        </w:tc>
        <w:tc>
          <w:tcPr>
            <w:tcW w:w="810" w:type="dxa"/>
            <w:tcBorders>
              <w:top w:val="single" w:sz="12" w:space="0" w:color="000000"/>
              <w:left w:val="single" w:sz="12" w:space="0" w:color="000000"/>
              <w:bottom w:val="single" w:sz="12" w:space="0" w:color="000000"/>
              <w:right w:val="single" w:sz="12" w:space="0" w:color="000000"/>
            </w:tcBorders>
            <w:vAlign w:val="center"/>
          </w:tcPr>
          <w:p w14:paraId="70059EE6" w14:textId="77777777" w:rsidR="00A22C7E" w:rsidRDefault="00A22C7E">
            <w:pPr>
              <w:spacing w:after="0" w:line="259" w:lineRule="auto"/>
              <w:ind w:left="0" w:right="50" w:firstLine="0"/>
              <w:jc w:val="center"/>
            </w:pPr>
            <w:r>
              <w:rPr>
                <w:b/>
                <w:sz w:val="18"/>
              </w:rPr>
              <w:t>units</w:t>
            </w:r>
          </w:p>
        </w:tc>
        <w:tc>
          <w:tcPr>
            <w:tcW w:w="1530" w:type="dxa"/>
            <w:gridSpan w:val="2"/>
            <w:vMerge/>
            <w:tcBorders>
              <w:left w:val="single" w:sz="12" w:space="0" w:color="000000"/>
              <w:bottom w:val="single" w:sz="12" w:space="0" w:color="000000"/>
              <w:right w:val="single" w:sz="12" w:space="0" w:color="000000"/>
            </w:tcBorders>
            <w:vAlign w:val="center"/>
          </w:tcPr>
          <w:p w14:paraId="22ADCAA7" w14:textId="77777777" w:rsidR="00A22C7E" w:rsidRDefault="00A22C7E">
            <w:pPr>
              <w:spacing w:after="160" w:line="259" w:lineRule="auto"/>
              <w:ind w:left="0" w:right="0" w:firstLine="0"/>
              <w:jc w:val="center"/>
            </w:pPr>
          </w:p>
        </w:tc>
      </w:tr>
      <w:tr w:rsidR="00E91CEF" w14:paraId="3C0CE5F6" w14:textId="77777777" w:rsidTr="000C4B7A">
        <w:trPr>
          <w:trHeight w:val="262"/>
        </w:trPr>
        <w:tc>
          <w:tcPr>
            <w:tcW w:w="4230" w:type="dxa"/>
            <w:tcBorders>
              <w:top w:val="single" w:sz="12" w:space="0" w:color="000000"/>
              <w:left w:val="single" w:sz="12" w:space="0" w:color="000000"/>
              <w:bottom w:val="single" w:sz="4" w:space="0" w:color="000000"/>
              <w:right w:val="single" w:sz="12" w:space="0" w:color="000000"/>
            </w:tcBorders>
            <w:vAlign w:val="center"/>
          </w:tcPr>
          <w:p w14:paraId="52AA6A13" w14:textId="7A0BFEB6" w:rsidR="000C31CA" w:rsidRDefault="000C31CA" w:rsidP="000C31CA">
            <w:pPr>
              <w:spacing w:after="0" w:line="259" w:lineRule="auto"/>
              <w:ind w:left="0" w:right="0" w:firstLine="0"/>
            </w:pPr>
            <w:proofErr w:type="spellStart"/>
            <w:r>
              <w:rPr>
                <w:sz w:val="18"/>
                <w:szCs w:val="18"/>
              </w:rPr>
              <w:t>Perfluorobutanoic</w:t>
            </w:r>
            <w:proofErr w:type="spellEnd"/>
            <w:r>
              <w:rPr>
                <w:sz w:val="18"/>
                <w:szCs w:val="18"/>
              </w:rPr>
              <w:t xml:space="preserve"> acid (PFBA)</w:t>
            </w:r>
          </w:p>
        </w:tc>
        <w:tc>
          <w:tcPr>
            <w:tcW w:w="1170" w:type="dxa"/>
            <w:tcBorders>
              <w:top w:val="single" w:sz="12" w:space="0" w:color="000000"/>
              <w:left w:val="single" w:sz="12" w:space="0" w:color="000000"/>
              <w:bottom w:val="single" w:sz="4" w:space="0" w:color="000000"/>
              <w:right w:val="single" w:sz="12" w:space="0" w:color="000000"/>
            </w:tcBorders>
            <w:vAlign w:val="center"/>
          </w:tcPr>
          <w:p w14:paraId="6EB43CAF" w14:textId="39378760" w:rsidR="000C31CA" w:rsidRDefault="000C31CA" w:rsidP="000C31CA">
            <w:pPr>
              <w:spacing w:after="0" w:line="259" w:lineRule="auto"/>
              <w:ind w:left="0" w:right="44" w:firstLine="0"/>
              <w:jc w:val="center"/>
            </w:pPr>
            <w:r>
              <w:rPr>
                <w:sz w:val="18"/>
                <w:szCs w:val="18"/>
              </w:rPr>
              <w:t>375-22-4</w:t>
            </w:r>
          </w:p>
        </w:tc>
        <w:tc>
          <w:tcPr>
            <w:tcW w:w="990" w:type="dxa"/>
            <w:tcBorders>
              <w:top w:val="single" w:sz="12" w:space="0" w:color="000000"/>
              <w:left w:val="single" w:sz="12" w:space="0" w:color="000000"/>
              <w:bottom w:val="single" w:sz="4" w:space="0" w:color="000000"/>
              <w:right w:val="single" w:sz="12" w:space="0" w:color="000000"/>
            </w:tcBorders>
            <w:vAlign w:val="center"/>
          </w:tcPr>
          <w:p w14:paraId="1388EF60" w14:textId="3AA74814" w:rsidR="000C31CA" w:rsidRPr="008C39A2" w:rsidRDefault="00EC675C" w:rsidP="00586B1D">
            <w:pPr>
              <w:tabs>
                <w:tab w:val="center" w:pos="488"/>
              </w:tabs>
              <w:spacing w:after="0" w:line="259" w:lineRule="auto"/>
              <w:ind w:left="0" w:right="0" w:firstLine="0"/>
              <w:jc w:val="center"/>
              <w:rPr>
                <w:sz w:val="18"/>
                <w:szCs w:val="18"/>
              </w:rPr>
            </w:pPr>
            <w:r>
              <w:rPr>
                <w:sz w:val="18"/>
                <w:szCs w:val="18"/>
              </w:rPr>
              <w:t>4 – 16</w:t>
            </w:r>
          </w:p>
        </w:tc>
        <w:tc>
          <w:tcPr>
            <w:tcW w:w="720" w:type="dxa"/>
            <w:tcBorders>
              <w:top w:val="single" w:sz="12" w:space="0" w:color="000000"/>
              <w:left w:val="single" w:sz="12" w:space="0" w:color="000000"/>
              <w:bottom w:val="single" w:sz="4" w:space="0" w:color="000000"/>
              <w:right w:val="single" w:sz="12" w:space="0" w:color="000000"/>
            </w:tcBorders>
            <w:vAlign w:val="center"/>
          </w:tcPr>
          <w:p w14:paraId="0753FBA3" w14:textId="77777777" w:rsidR="000C31CA" w:rsidRPr="000A3190" w:rsidRDefault="000C31CA" w:rsidP="00586B1D">
            <w:pPr>
              <w:spacing w:after="0" w:line="259" w:lineRule="auto"/>
              <w:ind w:left="0" w:right="44" w:firstLine="0"/>
              <w:jc w:val="center"/>
              <w:rPr>
                <w:sz w:val="18"/>
                <w:szCs w:val="18"/>
              </w:rPr>
            </w:pPr>
            <w:r w:rsidRPr="00ED4768">
              <w:rPr>
                <w:sz w:val="18"/>
                <w:szCs w:val="18"/>
              </w:rPr>
              <w:t>ng/L</w:t>
            </w:r>
          </w:p>
        </w:tc>
        <w:tc>
          <w:tcPr>
            <w:tcW w:w="1080" w:type="dxa"/>
            <w:tcBorders>
              <w:top w:val="single" w:sz="12" w:space="0" w:color="000000"/>
              <w:left w:val="single" w:sz="12" w:space="0" w:color="000000"/>
              <w:bottom w:val="single" w:sz="4" w:space="0" w:color="000000"/>
              <w:right w:val="single" w:sz="12" w:space="0" w:color="000000"/>
            </w:tcBorders>
            <w:vAlign w:val="center"/>
          </w:tcPr>
          <w:p w14:paraId="3BE953D0" w14:textId="05147E97" w:rsidR="000C31CA" w:rsidRPr="000A3190" w:rsidRDefault="00D411EB" w:rsidP="00586B1D">
            <w:pPr>
              <w:tabs>
                <w:tab w:val="center" w:pos="399"/>
              </w:tabs>
              <w:spacing w:after="0" w:line="259" w:lineRule="auto"/>
              <w:ind w:left="0" w:right="0" w:firstLine="0"/>
              <w:jc w:val="center"/>
              <w:rPr>
                <w:sz w:val="18"/>
                <w:szCs w:val="18"/>
              </w:rPr>
            </w:pPr>
            <w:r>
              <w:rPr>
                <w:sz w:val="18"/>
                <w:szCs w:val="18"/>
              </w:rPr>
              <w:t>0.64 – 1.6</w:t>
            </w:r>
          </w:p>
        </w:tc>
        <w:tc>
          <w:tcPr>
            <w:tcW w:w="810" w:type="dxa"/>
            <w:tcBorders>
              <w:top w:val="single" w:sz="12" w:space="0" w:color="000000"/>
              <w:left w:val="single" w:sz="12" w:space="0" w:color="000000"/>
              <w:bottom w:val="single" w:sz="4" w:space="0" w:color="000000"/>
              <w:right w:val="single" w:sz="12" w:space="0" w:color="000000"/>
            </w:tcBorders>
            <w:vAlign w:val="center"/>
          </w:tcPr>
          <w:p w14:paraId="014123DD" w14:textId="325B6A76" w:rsidR="000C31CA" w:rsidRDefault="004345EC" w:rsidP="00586B1D">
            <w:pPr>
              <w:spacing w:after="0" w:line="259" w:lineRule="auto"/>
              <w:ind w:left="0" w:right="46" w:firstLine="0"/>
              <w:jc w:val="center"/>
            </w:pPr>
            <w:r w:rsidRPr="00B64759">
              <w:rPr>
                <w:rFonts w:eastAsia="Segoe UI Symbol"/>
                <w:sz w:val="18"/>
              </w:rPr>
              <w:t>u</w:t>
            </w:r>
            <w:r w:rsidRPr="00B64759">
              <w:rPr>
                <w:sz w:val="18"/>
              </w:rPr>
              <w:t>g/</w:t>
            </w:r>
            <w:r w:rsidRPr="005E0FBE">
              <w:rPr>
                <w:sz w:val="18"/>
                <w:szCs w:val="18"/>
              </w:rPr>
              <w:t>kg</w:t>
            </w:r>
          </w:p>
        </w:tc>
        <w:tc>
          <w:tcPr>
            <w:tcW w:w="990" w:type="dxa"/>
            <w:tcBorders>
              <w:top w:val="single" w:sz="12" w:space="0" w:color="000000"/>
              <w:left w:val="single" w:sz="12" w:space="0" w:color="000000"/>
              <w:bottom w:val="single" w:sz="4" w:space="0" w:color="000000"/>
              <w:right w:val="single" w:sz="12" w:space="0" w:color="000000"/>
            </w:tcBorders>
            <w:vAlign w:val="center"/>
          </w:tcPr>
          <w:p w14:paraId="3B098BD5" w14:textId="3B920EA7" w:rsidR="000C31CA" w:rsidRPr="002C1B8B" w:rsidRDefault="00A34F3B" w:rsidP="00586B1D">
            <w:pPr>
              <w:spacing w:after="0" w:line="259" w:lineRule="auto"/>
              <w:ind w:left="0" w:right="45" w:firstLine="0"/>
              <w:jc w:val="center"/>
              <w:rPr>
                <w:sz w:val="18"/>
                <w:szCs w:val="18"/>
              </w:rPr>
            </w:pPr>
            <w:r w:rsidRPr="00372D1A">
              <w:rPr>
                <w:sz w:val="18"/>
                <w:szCs w:val="18"/>
              </w:rPr>
              <w:t>1633</w:t>
            </w:r>
          </w:p>
        </w:tc>
        <w:tc>
          <w:tcPr>
            <w:tcW w:w="540" w:type="dxa"/>
            <w:tcBorders>
              <w:top w:val="single" w:sz="12" w:space="0" w:color="000000"/>
              <w:left w:val="single" w:sz="12" w:space="0" w:color="000000"/>
              <w:bottom w:val="single" w:sz="4" w:space="0" w:color="000000"/>
              <w:right w:val="single" w:sz="12" w:space="0" w:color="000000"/>
            </w:tcBorders>
            <w:vAlign w:val="center"/>
          </w:tcPr>
          <w:p w14:paraId="78464D35" w14:textId="77777777" w:rsidR="000C31CA" w:rsidRDefault="000C31CA" w:rsidP="000C31CA">
            <w:pPr>
              <w:spacing w:after="0" w:line="259" w:lineRule="auto"/>
              <w:ind w:left="0" w:right="48" w:firstLine="0"/>
              <w:jc w:val="center"/>
            </w:pPr>
          </w:p>
        </w:tc>
      </w:tr>
      <w:tr w:rsidR="00E91CEF" w14:paraId="5596015E" w14:textId="77777777" w:rsidTr="000C4B7A">
        <w:trPr>
          <w:trHeight w:val="250"/>
        </w:trPr>
        <w:tc>
          <w:tcPr>
            <w:tcW w:w="4230" w:type="dxa"/>
            <w:tcBorders>
              <w:top w:val="single" w:sz="4" w:space="0" w:color="000000"/>
              <w:left w:val="single" w:sz="12" w:space="0" w:color="000000"/>
              <w:bottom w:val="single" w:sz="4" w:space="0" w:color="000000"/>
              <w:right w:val="single" w:sz="12" w:space="0" w:color="000000"/>
            </w:tcBorders>
            <w:vAlign w:val="center"/>
          </w:tcPr>
          <w:p w14:paraId="1039EC3B" w14:textId="1AA49FDE" w:rsidR="000C31CA" w:rsidRDefault="000C31CA" w:rsidP="000C31CA">
            <w:pPr>
              <w:spacing w:after="0" w:line="259" w:lineRule="auto"/>
              <w:ind w:left="0" w:right="0" w:firstLine="0"/>
            </w:pPr>
            <w:proofErr w:type="spellStart"/>
            <w:r>
              <w:rPr>
                <w:sz w:val="18"/>
                <w:szCs w:val="18"/>
              </w:rPr>
              <w:t>Perfluoropentanoic</w:t>
            </w:r>
            <w:proofErr w:type="spellEnd"/>
            <w:r>
              <w:rPr>
                <w:sz w:val="18"/>
                <w:szCs w:val="18"/>
              </w:rPr>
              <w:t xml:space="preserve"> acid (</w:t>
            </w:r>
            <w:proofErr w:type="spellStart"/>
            <w:r>
              <w:rPr>
                <w:sz w:val="18"/>
                <w:szCs w:val="18"/>
              </w:rPr>
              <w:t>PFPeA</w:t>
            </w:r>
            <w:proofErr w:type="spellEnd"/>
            <w:r>
              <w:rPr>
                <w:sz w:val="18"/>
                <w:szCs w:val="18"/>
              </w:rPr>
              <w:t>)</w:t>
            </w:r>
          </w:p>
        </w:tc>
        <w:tc>
          <w:tcPr>
            <w:tcW w:w="1170" w:type="dxa"/>
            <w:tcBorders>
              <w:top w:val="single" w:sz="4" w:space="0" w:color="000000"/>
              <w:left w:val="single" w:sz="12" w:space="0" w:color="000000"/>
              <w:bottom w:val="single" w:sz="4" w:space="0" w:color="000000"/>
              <w:right w:val="single" w:sz="12" w:space="0" w:color="000000"/>
            </w:tcBorders>
            <w:vAlign w:val="center"/>
          </w:tcPr>
          <w:p w14:paraId="19285BAB" w14:textId="3895BBCD" w:rsidR="000C31CA" w:rsidRDefault="000C31CA" w:rsidP="000C31CA">
            <w:pPr>
              <w:spacing w:after="0" w:line="259" w:lineRule="auto"/>
              <w:ind w:left="0" w:right="44" w:firstLine="0"/>
              <w:jc w:val="center"/>
            </w:pPr>
            <w:r>
              <w:rPr>
                <w:sz w:val="18"/>
                <w:szCs w:val="18"/>
              </w:rPr>
              <w:t>2706-90-3</w:t>
            </w:r>
          </w:p>
        </w:tc>
        <w:tc>
          <w:tcPr>
            <w:tcW w:w="990" w:type="dxa"/>
            <w:tcBorders>
              <w:top w:val="single" w:sz="4" w:space="0" w:color="000000"/>
              <w:left w:val="single" w:sz="12" w:space="0" w:color="000000"/>
              <w:bottom w:val="single" w:sz="4" w:space="0" w:color="000000"/>
              <w:right w:val="single" w:sz="12" w:space="0" w:color="000000"/>
            </w:tcBorders>
            <w:vAlign w:val="center"/>
          </w:tcPr>
          <w:p w14:paraId="3C51667E" w14:textId="065C614D" w:rsidR="000C31CA" w:rsidRPr="00504DCB" w:rsidRDefault="00AB4B7F" w:rsidP="00586B1D">
            <w:pPr>
              <w:tabs>
                <w:tab w:val="center" w:pos="534"/>
              </w:tabs>
              <w:spacing w:after="0" w:line="259" w:lineRule="auto"/>
              <w:ind w:left="0" w:right="0" w:firstLine="0"/>
              <w:jc w:val="center"/>
              <w:rPr>
                <w:sz w:val="18"/>
                <w:szCs w:val="18"/>
              </w:rPr>
            </w:pPr>
            <w:r>
              <w:rPr>
                <w:sz w:val="18"/>
                <w:szCs w:val="18"/>
              </w:rPr>
              <w:t>2 – 8</w:t>
            </w:r>
          </w:p>
        </w:tc>
        <w:tc>
          <w:tcPr>
            <w:tcW w:w="720" w:type="dxa"/>
            <w:tcBorders>
              <w:top w:val="single" w:sz="4" w:space="0" w:color="000000"/>
              <w:left w:val="single" w:sz="12" w:space="0" w:color="000000"/>
              <w:bottom w:val="single" w:sz="4" w:space="0" w:color="000000"/>
              <w:right w:val="single" w:sz="12" w:space="0" w:color="000000"/>
            </w:tcBorders>
            <w:vAlign w:val="center"/>
          </w:tcPr>
          <w:p w14:paraId="19D5D288" w14:textId="77777777" w:rsidR="000C31CA" w:rsidRPr="00504DCB" w:rsidRDefault="000C31CA" w:rsidP="00586B1D">
            <w:pPr>
              <w:spacing w:after="0" w:line="259" w:lineRule="auto"/>
              <w:ind w:left="0" w:right="44" w:firstLine="0"/>
              <w:jc w:val="center"/>
              <w:rPr>
                <w:sz w:val="18"/>
                <w:szCs w:val="18"/>
              </w:rPr>
            </w:pPr>
            <w:r w:rsidRPr="00430F48">
              <w:rPr>
                <w:sz w:val="18"/>
                <w:szCs w:val="18"/>
              </w:rPr>
              <w:t>ng/L</w:t>
            </w:r>
          </w:p>
        </w:tc>
        <w:tc>
          <w:tcPr>
            <w:tcW w:w="1080" w:type="dxa"/>
            <w:tcBorders>
              <w:top w:val="single" w:sz="4" w:space="0" w:color="000000"/>
              <w:left w:val="single" w:sz="12" w:space="0" w:color="000000"/>
              <w:bottom w:val="single" w:sz="4" w:space="0" w:color="000000"/>
              <w:right w:val="single" w:sz="12" w:space="0" w:color="000000"/>
            </w:tcBorders>
            <w:vAlign w:val="center"/>
          </w:tcPr>
          <w:p w14:paraId="3AFA6E51" w14:textId="210FE56D" w:rsidR="000C31CA" w:rsidRPr="00504DCB" w:rsidRDefault="00113C78" w:rsidP="00586B1D">
            <w:pPr>
              <w:tabs>
                <w:tab w:val="center" w:pos="445"/>
              </w:tabs>
              <w:spacing w:after="0" w:line="259" w:lineRule="auto"/>
              <w:ind w:left="0" w:right="0" w:firstLine="0"/>
              <w:jc w:val="center"/>
              <w:rPr>
                <w:sz w:val="18"/>
                <w:szCs w:val="18"/>
              </w:rPr>
            </w:pPr>
            <w:r>
              <w:rPr>
                <w:sz w:val="18"/>
                <w:szCs w:val="18"/>
              </w:rPr>
              <w:t>0.32 – 0.8</w:t>
            </w:r>
          </w:p>
        </w:tc>
        <w:tc>
          <w:tcPr>
            <w:tcW w:w="810" w:type="dxa"/>
            <w:tcBorders>
              <w:top w:val="single" w:sz="4" w:space="0" w:color="000000"/>
              <w:left w:val="single" w:sz="12" w:space="0" w:color="000000"/>
              <w:bottom w:val="single" w:sz="4" w:space="0" w:color="000000"/>
              <w:right w:val="single" w:sz="12" w:space="0" w:color="000000"/>
            </w:tcBorders>
            <w:vAlign w:val="center"/>
          </w:tcPr>
          <w:p w14:paraId="3466FB22" w14:textId="26DCD008" w:rsidR="000C31CA" w:rsidRDefault="004345EC" w:rsidP="00586B1D">
            <w:pPr>
              <w:spacing w:after="0" w:line="259" w:lineRule="auto"/>
              <w:ind w:left="0" w:right="46" w:firstLine="0"/>
              <w:jc w:val="center"/>
            </w:pPr>
            <w:r w:rsidRPr="00B64759">
              <w:rPr>
                <w:rFonts w:eastAsia="Segoe UI Symbol"/>
                <w:sz w:val="18"/>
              </w:rPr>
              <w:t>u</w:t>
            </w:r>
            <w:r w:rsidRPr="00B64759">
              <w:rPr>
                <w:sz w:val="18"/>
              </w:rPr>
              <w:t>g/</w:t>
            </w:r>
            <w:r w:rsidRPr="005E0FBE">
              <w:rPr>
                <w:sz w:val="18"/>
                <w:szCs w:val="18"/>
              </w:rPr>
              <w:t>kg</w:t>
            </w:r>
          </w:p>
        </w:tc>
        <w:tc>
          <w:tcPr>
            <w:tcW w:w="990" w:type="dxa"/>
            <w:tcBorders>
              <w:top w:val="single" w:sz="4" w:space="0" w:color="000000"/>
              <w:left w:val="single" w:sz="12" w:space="0" w:color="000000"/>
              <w:bottom w:val="single" w:sz="4" w:space="0" w:color="000000"/>
              <w:right w:val="single" w:sz="12" w:space="0" w:color="000000"/>
            </w:tcBorders>
            <w:vAlign w:val="center"/>
          </w:tcPr>
          <w:p w14:paraId="6DBD1BCB" w14:textId="6D48FB74" w:rsidR="000C31CA" w:rsidRDefault="00A34F3B" w:rsidP="00586B1D">
            <w:pPr>
              <w:spacing w:after="0" w:line="259" w:lineRule="auto"/>
              <w:ind w:left="0" w:right="45" w:firstLine="0"/>
              <w:jc w:val="center"/>
            </w:pPr>
            <w:r w:rsidRPr="00372D1A">
              <w:rPr>
                <w:sz w:val="18"/>
                <w:szCs w:val="18"/>
              </w:rPr>
              <w:t>1633</w:t>
            </w:r>
          </w:p>
        </w:tc>
        <w:tc>
          <w:tcPr>
            <w:tcW w:w="540" w:type="dxa"/>
            <w:tcBorders>
              <w:top w:val="single" w:sz="4" w:space="0" w:color="000000"/>
              <w:left w:val="single" w:sz="12" w:space="0" w:color="000000"/>
              <w:bottom w:val="single" w:sz="4" w:space="0" w:color="000000"/>
              <w:right w:val="single" w:sz="12" w:space="0" w:color="000000"/>
            </w:tcBorders>
            <w:vAlign w:val="center"/>
          </w:tcPr>
          <w:p w14:paraId="0AE02FCA" w14:textId="77777777" w:rsidR="000C31CA" w:rsidRDefault="000C31CA" w:rsidP="000C31CA">
            <w:pPr>
              <w:spacing w:after="0" w:line="259" w:lineRule="auto"/>
              <w:ind w:left="0" w:right="48" w:firstLine="0"/>
              <w:jc w:val="center"/>
            </w:pPr>
          </w:p>
        </w:tc>
      </w:tr>
      <w:tr w:rsidR="00E91CEF" w14:paraId="51C1ACB2" w14:textId="77777777" w:rsidTr="000C4B7A">
        <w:trPr>
          <w:trHeight w:val="250"/>
        </w:trPr>
        <w:tc>
          <w:tcPr>
            <w:tcW w:w="4230" w:type="dxa"/>
            <w:tcBorders>
              <w:top w:val="single" w:sz="4" w:space="0" w:color="000000"/>
              <w:left w:val="single" w:sz="12" w:space="0" w:color="000000"/>
              <w:bottom w:val="single" w:sz="4" w:space="0" w:color="000000"/>
              <w:right w:val="single" w:sz="12" w:space="0" w:color="000000"/>
            </w:tcBorders>
            <w:vAlign w:val="center"/>
          </w:tcPr>
          <w:p w14:paraId="76BF5AB2" w14:textId="76F7F3E2" w:rsidR="000C31CA" w:rsidRDefault="000C31CA" w:rsidP="000C31CA">
            <w:pPr>
              <w:spacing w:after="0" w:line="259" w:lineRule="auto"/>
              <w:ind w:left="0" w:right="0" w:firstLine="0"/>
            </w:pPr>
            <w:proofErr w:type="spellStart"/>
            <w:r>
              <w:rPr>
                <w:sz w:val="18"/>
                <w:szCs w:val="18"/>
              </w:rPr>
              <w:t>Perfluorohexanoic</w:t>
            </w:r>
            <w:proofErr w:type="spellEnd"/>
            <w:r>
              <w:rPr>
                <w:sz w:val="18"/>
                <w:szCs w:val="18"/>
              </w:rPr>
              <w:t xml:space="preserve"> acid (</w:t>
            </w:r>
            <w:proofErr w:type="spellStart"/>
            <w:r>
              <w:rPr>
                <w:sz w:val="18"/>
                <w:szCs w:val="18"/>
              </w:rPr>
              <w:t>PFHxA</w:t>
            </w:r>
            <w:proofErr w:type="spellEnd"/>
            <w:r>
              <w:rPr>
                <w:sz w:val="18"/>
                <w:szCs w:val="18"/>
              </w:rPr>
              <w:t>)</w:t>
            </w:r>
          </w:p>
        </w:tc>
        <w:tc>
          <w:tcPr>
            <w:tcW w:w="1170" w:type="dxa"/>
            <w:tcBorders>
              <w:top w:val="single" w:sz="4" w:space="0" w:color="000000"/>
              <w:left w:val="single" w:sz="12" w:space="0" w:color="000000"/>
              <w:bottom w:val="single" w:sz="4" w:space="0" w:color="000000"/>
              <w:right w:val="single" w:sz="12" w:space="0" w:color="000000"/>
            </w:tcBorders>
            <w:vAlign w:val="center"/>
          </w:tcPr>
          <w:p w14:paraId="26075FEB" w14:textId="21541E1D" w:rsidR="000C31CA" w:rsidRDefault="000C31CA" w:rsidP="000C31CA">
            <w:pPr>
              <w:spacing w:after="0" w:line="259" w:lineRule="auto"/>
              <w:ind w:left="0" w:right="44" w:firstLine="0"/>
              <w:jc w:val="center"/>
            </w:pPr>
            <w:r>
              <w:rPr>
                <w:sz w:val="18"/>
                <w:szCs w:val="18"/>
              </w:rPr>
              <w:t>307-24-4</w:t>
            </w:r>
          </w:p>
        </w:tc>
        <w:tc>
          <w:tcPr>
            <w:tcW w:w="990" w:type="dxa"/>
            <w:tcBorders>
              <w:top w:val="single" w:sz="4" w:space="0" w:color="000000"/>
              <w:left w:val="single" w:sz="12" w:space="0" w:color="000000"/>
              <w:bottom w:val="single" w:sz="4" w:space="0" w:color="000000"/>
              <w:right w:val="single" w:sz="12" w:space="0" w:color="000000"/>
            </w:tcBorders>
            <w:vAlign w:val="center"/>
          </w:tcPr>
          <w:p w14:paraId="03F77A97" w14:textId="3A814800" w:rsidR="000C31CA" w:rsidRPr="00AA0948" w:rsidRDefault="00AB4B7F" w:rsidP="00586B1D">
            <w:pPr>
              <w:tabs>
                <w:tab w:val="center" w:pos="534"/>
              </w:tabs>
              <w:spacing w:after="0" w:line="259" w:lineRule="auto"/>
              <w:ind w:left="0" w:right="0" w:firstLine="0"/>
              <w:jc w:val="center"/>
              <w:rPr>
                <w:sz w:val="18"/>
                <w:szCs w:val="18"/>
              </w:rPr>
            </w:pPr>
            <w:r>
              <w:rPr>
                <w:sz w:val="18"/>
                <w:szCs w:val="18"/>
              </w:rPr>
              <w:t>1 - 4</w:t>
            </w:r>
          </w:p>
        </w:tc>
        <w:tc>
          <w:tcPr>
            <w:tcW w:w="720" w:type="dxa"/>
            <w:tcBorders>
              <w:top w:val="single" w:sz="4" w:space="0" w:color="000000"/>
              <w:left w:val="single" w:sz="12" w:space="0" w:color="000000"/>
              <w:bottom w:val="single" w:sz="4" w:space="0" w:color="000000"/>
              <w:right w:val="single" w:sz="12" w:space="0" w:color="000000"/>
            </w:tcBorders>
            <w:vAlign w:val="center"/>
          </w:tcPr>
          <w:p w14:paraId="48269985" w14:textId="77777777" w:rsidR="000C31CA" w:rsidRPr="00AA0948" w:rsidRDefault="000C31CA" w:rsidP="00586B1D">
            <w:pPr>
              <w:spacing w:after="0" w:line="259" w:lineRule="auto"/>
              <w:ind w:left="0" w:right="44" w:firstLine="0"/>
              <w:jc w:val="center"/>
              <w:rPr>
                <w:sz w:val="18"/>
                <w:szCs w:val="18"/>
              </w:rPr>
            </w:pPr>
            <w:r w:rsidRPr="00430F48">
              <w:rPr>
                <w:sz w:val="18"/>
                <w:szCs w:val="18"/>
              </w:rPr>
              <w:t>ng/L</w:t>
            </w:r>
          </w:p>
        </w:tc>
        <w:tc>
          <w:tcPr>
            <w:tcW w:w="1080" w:type="dxa"/>
            <w:tcBorders>
              <w:top w:val="single" w:sz="4" w:space="0" w:color="000000"/>
              <w:left w:val="single" w:sz="12" w:space="0" w:color="000000"/>
              <w:bottom w:val="single" w:sz="4" w:space="0" w:color="000000"/>
              <w:right w:val="single" w:sz="12" w:space="0" w:color="000000"/>
            </w:tcBorders>
            <w:vAlign w:val="center"/>
          </w:tcPr>
          <w:p w14:paraId="0BDC52AB" w14:textId="5062E7E1" w:rsidR="000C31CA" w:rsidRPr="00AA0948" w:rsidRDefault="00C366F2" w:rsidP="00586B1D">
            <w:pPr>
              <w:tabs>
                <w:tab w:val="center" w:pos="445"/>
              </w:tabs>
              <w:spacing w:after="0" w:line="259" w:lineRule="auto"/>
              <w:ind w:left="0" w:right="0" w:firstLine="0"/>
              <w:jc w:val="center"/>
              <w:rPr>
                <w:sz w:val="18"/>
                <w:szCs w:val="18"/>
              </w:rPr>
            </w:pPr>
            <w:r>
              <w:rPr>
                <w:sz w:val="18"/>
                <w:szCs w:val="18"/>
              </w:rPr>
              <w:t>0.16 – 0.4</w:t>
            </w:r>
          </w:p>
        </w:tc>
        <w:tc>
          <w:tcPr>
            <w:tcW w:w="810" w:type="dxa"/>
            <w:tcBorders>
              <w:top w:val="single" w:sz="4" w:space="0" w:color="000000"/>
              <w:left w:val="single" w:sz="12" w:space="0" w:color="000000"/>
              <w:bottom w:val="single" w:sz="4" w:space="0" w:color="000000"/>
              <w:right w:val="single" w:sz="12" w:space="0" w:color="000000"/>
            </w:tcBorders>
            <w:vAlign w:val="center"/>
          </w:tcPr>
          <w:p w14:paraId="1E5C2B50" w14:textId="65D66F20" w:rsidR="000C31CA" w:rsidRDefault="004345EC" w:rsidP="00586B1D">
            <w:pPr>
              <w:spacing w:after="0" w:line="259" w:lineRule="auto"/>
              <w:ind w:left="0" w:right="46" w:firstLine="0"/>
              <w:jc w:val="center"/>
            </w:pPr>
            <w:r w:rsidRPr="00B64759">
              <w:rPr>
                <w:rFonts w:eastAsia="Segoe UI Symbol"/>
                <w:sz w:val="18"/>
              </w:rPr>
              <w:t>u</w:t>
            </w:r>
            <w:r w:rsidRPr="00B64759">
              <w:rPr>
                <w:sz w:val="18"/>
              </w:rPr>
              <w:t>g/</w:t>
            </w:r>
            <w:r w:rsidRPr="005E0FBE">
              <w:rPr>
                <w:sz w:val="18"/>
                <w:szCs w:val="18"/>
              </w:rPr>
              <w:t>kg</w:t>
            </w:r>
          </w:p>
        </w:tc>
        <w:tc>
          <w:tcPr>
            <w:tcW w:w="990" w:type="dxa"/>
            <w:tcBorders>
              <w:top w:val="single" w:sz="4" w:space="0" w:color="000000"/>
              <w:left w:val="single" w:sz="12" w:space="0" w:color="000000"/>
              <w:bottom w:val="single" w:sz="4" w:space="0" w:color="000000"/>
              <w:right w:val="single" w:sz="12" w:space="0" w:color="000000"/>
            </w:tcBorders>
            <w:vAlign w:val="center"/>
          </w:tcPr>
          <w:p w14:paraId="50F65096" w14:textId="23E3795E" w:rsidR="000C31CA" w:rsidRDefault="00A34F3B" w:rsidP="00586B1D">
            <w:pPr>
              <w:spacing w:after="0" w:line="259" w:lineRule="auto"/>
              <w:ind w:left="0" w:right="45" w:firstLine="0"/>
              <w:jc w:val="center"/>
            </w:pPr>
            <w:r w:rsidRPr="00372D1A">
              <w:rPr>
                <w:sz w:val="18"/>
                <w:szCs w:val="18"/>
              </w:rPr>
              <w:t>1633</w:t>
            </w:r>
          </w:p>
        </w:tc>
        <w:tc>
          <w:tcPr>
            <w:tcW w:w="540" w:type="dxa"/>
            <w:tcBorders>
              <w:top w:val="single" w:sz="4" w:space="0" w:color="000000"/>
              <w:left w:val="single" w:sz="12" w:space="0" w:color="000000"/>
              <w:bottom w:val="single" w:sz="4" w:space="0" w:color="000000"/>
              <w:right w:val="single" w:sz="12" w:space="0" w:color="000000"/>
            </w:tcBorders>
            <w:vAlign w:val="center"/>
          </w:tcPr>
          <w:p w14:paraId="147E70FF" w14:textId="77777777" w:rsidR="000C31CA" w:rsidRDefault="000C31CA" w:rsidP="000C31CA">
            <w:pPr>
              <w:spacing w:after="0" w:line="259" w:lineRule="auto"/>
              <w:ind w:left="0" w:right="48" w:firstLine="0"/>
              <w:jc w:val="center"/>
            </w:pPr>
          </w:p>
        </w:tc>
      </w:tr>
      <w:tr w:rsidR="00E91CEF" w14:paraId="625B4CA0" w14:textId="77777777" w:rsidTr="000C4B7A">
        <w:trPr>
          <w:trHeight w:val="252"/>
        </w:trPr>
        <w:tc>
          <w:tcPr>
            <w:tcW w:w="4230" w:type="dxa"/>
            <w:tcBorders>
              <w:top w:val="single" w:sz="4" w:space="0" w:color="000000"/>
              <w:left w:val="single" w:sz="12" w:space="0" w:color="000000"/>
              <w:bottom w:val="single" w:sz="4" w:space="0" w:color="000000"/>
              <w:right w:val="single" w:sz="12" w:space="0" w:color="000000"/>
            </w:tcBorders>
            <w:vAlign w:val="center"/>
          </w:tcPr>
          <w:p w14:paraId="0E0AFC23" w14:textId="431E123E" w:rsidR="00AA38E8" w:rsidRDefault="00AA38E8" w:rsidP="00AA38E8">
            <w:pPr>
              <w:spacing w:after="0" w:line="259" w:lineRule="auto"/>
              <w:ind w:left="0" w:right="0" w:firstLine="0"/>
            </w:pPr>
            <w:proofErr w:type="spellStart"/>
            <w:r>
              <w:rPr>
                <w:sz w:val="18"/>
                <w:szCs w:val="18"/>
              </w:rPr>
              <w:t>Perfluoroheptanoic</w:t>
            </w:r>
            <w:proofErr w:type="spellEnd"/>
            <w:r>
              <w:rPr>
                <w:sz w:val="18"/>
                <w:szCs w:val="18"/>
              </w:rPr>
              <w:t xml:space="preserve"> acid (</w:t>
            </w:r>
            <w:proofErr w:type="spellStart"/>
            <w:r>
              <w:rPr>
                <w:sz w:val="18"/>
                <w:szCs w:val="18"/>
              </w:rPr>
              <w:t>PFHpA</w:t>
            </w:r>
            <w:proofErr w:type="spellEnd"/>
            <w:r>
              <w:rPr>
                <w:sz w:val="18"/>
                <w:szCs w:val="18"/>
              </w:rPr>
              <w:t>)</w:t>
            </w:r>
          </w:p>
        </w:tc>
        <w:tc>
          <w:tcPr>
            <w:tcW w:w="1170" w:type="dxa"/>
            <w:tcBorders>
              <w:top w:val="single" w:sz="4" w:space="0" w:color="000000"/>
              <w:left w:val="single" w:sz="12" w:space="0" w:color="000000"/>
              <w:bottom w:val="single" w:sz="4" w:space="0" w:color="000000"/>
              <w:right w:val="single" w:sz="12" w:space="0" w:color="000000"/>
            </w:tcBorders>
            <w:vAlign w:val="center"/>
          </w:tcPr>
          <w:p w14:paraId="56778B87" w14:textId="73AEA4EB" w:rsidR="00AA38E8" w:rsidRDefault="00AA38E8" w:rsidP="00AA38E8">
            <w:pPr>
              <w:spacing w:after="0" w:line="259" w:lineRule="auto"/>
              <w:ind w:left="0" w:right="44" w:firstLine="0"/>
              <w:jc w:val="center"/>
            </w:pPr>
            <w:r>
              <w:rPr>
                <w:sz w:val="18"/>
                <w:szCs w:val="18"/>
              </w:rPr>
              <w:t>375-85-9</w:t>
            </w:r>
          </w:p>
        </w:tc>
        <w:tc>
          <w:tcPr>
            <w:tcW w:w="990" w:type="dxa"/>
            <w:tcBorders>
              <w:top w:val="single" w:sz="4" w:space="0" w:color="000000"/>
              <w:left w:val="single" w:sz="12" w:space="0" w:color="000000"/>
              <w:bottom w:val="single" w:sz="4" w:space="0" w:color="000000"/>
              <w:right w:val="single" w:sz="12" w:space="0" w:color="000000"/>
            </w:tcBorders>
            <w:vAlign w:val="center"/>
          </w:tcPr>
          <w:p w14:paraId="43309874" w14:textId="44C29D04" w:rsidR="00AA38E8" w:rsidRPr="00AA0948" w:rsidRDefault="00AA38E8" w:rsidP="00586B1D">
            <w:pPr>
              <w:tabs>
                <w:tab w:val="center" w:pos="534"/>
              </w:tabs>
              <w:spacing w:after="0" w:line="259" w:lineRule="auto"/>
              <w:ind w:left="0" w:right="0" w:firstLine="0"/>
              <w:jc w:val="center"/>
              <w:rPr>
                <w:sz w:val="18"/>
                <w:szCs w:val="18"/>
              </w:rPr>
            </w:pPr>
            <w:r>
              <w:rPr>
                <w:sz w:val="18"/>
                <w:szCs w:val="18"/>
              </w:rPr>
              <w:t>1 – 4</w:t>
            </w:r>
          </w:p>
        </w:tc>
        <w:tc>
          <w:tcPr>
            <w:tcW w:w="720" w:type="dxa"/>
            <w:tcBorders>
              <w:top w:val="single" w:sz="4" w:space="0" w:color="000000"/>
              <w:left w:val="single" w:sz="12" w:space="0" w:color="000000"/>
              <w:bottom w:val="single" w:sz="4" w:space="0" w:color="000000"/>
              <w:right w:val="single" w:sz="12" w:space="0" w:color="000000"/>
            </w:tcBorders>
            <w:vAlign w:val="center"/>
          </w:tcPr>
          <w:p w14:paraId="3A556EE3" w14:textId="77777777" w:rsidR="00AA38E8" w:rsidRPr="00AA0948" w:rsidRDefault="00AA38E8" w:rsidP="00586B1D">
            <w:pPr>
              <w:spacing w:after="0" w:line="259" w:lineRule="auto"/>
              <w:ind w:left="0" w:right="44" w:firstLine="0"/>
              <w:jc w:val="center"/>
              <w:rPr>
                <w:sz w:val="18"/>
                <w:szCs w:val="18"/>
              </w:rPr>
            </w:pPr>
            <w:r w:rsidRPr="00430F48">
              <w:rPr>
                <w:sz w:val="18"/>
                <w:szCs w:val="18"/>
              </w:rPr>
              <w:t>ng/L</w:t>
            </w:r>
          </w:p>
        </w:tc>
        <w:tc>
          <w:tcPr>
            <w:tcW w:w="1080" w:type="dxa"/>
            <w:tcBorders>
              <w:top w:val="single" w:sz="4" w:space="0" w:color="000000"/>
              <w:left w:val="single" w:sz="12" w:space="0" w:color="000000"/>
              <w:bottom w:val="single" w:sz="4" w:space="0" w:color="000000"/>
              <w:right w:val="single" w:sz="12" w:space="0" w:color="000000"/>
            </w:tcBorders>
            <w:vAlign w:val="center"/>
          </w:tcPr>
          <w:p w14:paraId="7A8BBEA5" w14:textId="4968808F" w:rsidR="00AA38E8" w:rsidRPr="00AA0948" w:rsidRDefault="00AA38E8" w:rsidP="00586B1D">
            <w:pPr>
              <w:tabs>
                <w:tab w:val="center" w:pos="445"/>
              </w:tabs>
              <w:spacing w:after="0" w:line="259" w:lineRule="auto"/>
              <w:ind w:left="0" w:right="0" w:firstLine="0"/>
              <w:jc w:val="center"/>
              <w:rPr>
                <w:sz w:val="18"/>
                <w:szCs w:val="18"/>
              </w:rPr>
            </w:pPr>
            <w:r w:rsidRPr="00597F56">
              <w:rPr>
                <w:sz w:val="18"/>
                <w:szCs w:val="18"/>
              </w:rPr>
              <w:t>0.16 – 0.4</w:t>
            </w:r>
          </w:p>
        </w:tc>
        <w:tc>
          <w:tcPr>
            <w:tcW w:w="810" w:type="dxa"/>
            <w:tcBorders>
              <w:top w:val="single" w:sz="4" w:space="0" w:color="000000"/>
              <w:left w:val="single" w:sz="12" w:space="0" w:color="000000"/>
              <w:bottom w:val="single" w:sz="4" w:space="0" w:color="000000"/>
              <w:right w:val="single" w:sz="12" w:space="0" w:color="000000"/>
            </w:tcBorders>
            <w:vAlign w:val="center"/>
          </w:tcPr>
          <w:p w14:paraId="5E1DCB62" w14:textId="25AEDAE5" w:rsidR="00AA38E8" w:rsidRDefault="00AA38E8" w:rsidP="00586B1D">
            <w:pPr>
              <w:spacing w:after="0" w:line="259" w:lineRule="auto"/>
              <w:ind w:left="0" w:right="46" w:firstLine="0"/>
              <w:jc w:val="center"/>
            </w:pPr>
            <w:r w:rsidRPr="00B64759">
              <w:rPr>
                <w:rFonts w:eastAsia="Segoe UI Symbol"/>
                <w:sz w:val="18"/>
              </w:rPr>
              <w:t>u</w:t>
            </w:r>
            <w:r w:rsidRPr="00B64759">
              <w:rPr>
                <w:sz w:val="18"/>
              </w:rPr>
              <w:t>g/</w:t>
            </w:r>
            <w:r w:rsidRPr="005E0FBE">
              <w:rPr>
                <w:sz w:val="18"/>
                <w:szCs w:val="18"/>
              </w:rPr>
              <w:t>kg</w:t>
            </w:r>
          </w:p>
        </w:tc>
        <w:tc>
          <w:tcPr>
            <w:tcW w:w="990" w:type="dxa"/>
            <w:tcBorders>
              <w:top w:val="single" w:sz="4" w:space="0" w:color="000000"/>
              <w:left w:val="single" w:sz="12" w:space="0" w:color="000000"/>
              <w:bottom w:val="single" w:sz="4" w:space="0" w:color="000000"/>
              <w:right w:val="single" w:sz="12" w:space="0" w:color="000000"/>
            </w:tcBorders>
            <w:vAlign w:val="center"/>
          </w:tcPr>
          <w:p w14:paraId="381049CA" w14:textId="68B3D819" w:rsidR="00AA38E8" w:rsidRDefault="00AA38E8" w:rsidP="00586B1D">
            <w:pPr>
              <w:spacing w:after="0" w:line="259" w:lineRule="auto"/>
              <w:ind w:left="0" w:right="45" w:firstLine="0"/>
              <w:jc w:val="center"/>
            </w:pPr>
            <w:r w:rsidRPr="00372D1A">
              <w:rPr>
                <w:sz w:val="18"/>
                <w:szCs w:val="18"/>
              </w:rPr>
              <w:t>1633</w:t>
            </w:r>
          </w:p>
        </w:tc>
        <w:tc>
          <w:tcPr>
            <w:tcW w:w="540" w:type="dxa"/>
            <w:tcBorders>
              <w:top w:val="single" w:sz="4" w:space="0" w:color="000000"/>
              <w:left w:val="single" w:sz="12" w:space="0" w:color="000000"/>
              <w:bottom w:val="single" w:sz="4" w:space="0" w:color="000000"/>
              <w:right w:val="single" w:sz="12" w:space="0" w:color="000000"/>
            </w:tcBorders>
            <w:vAlign w:val="center"/>
          </w:tcPr>
          <w:p w14:paraId="63EBA665" w14:textId="77777777" w:rsidR="00AA38E8" w:rsidRDefault="00AA38E8" w:rsidP="00AA38E8">
            <w:pPr>
              <w:spacing w:after="0" w:line="259" w:lineRule="auto"/>
              <w:ind w:left="0" w:right="48" w:firstLine="0"/>
              <w:jc w:val="center"/>
            </w:pPr>
          </w:p>
        </w:tc>
      </w:tr>
      <w:tr w:rsidR="00E91CEF" w14:paraId="36D4ED66" w14:textId="77777777" w:rsidTr="000C4B7A">
        <w:trPr>
          <w:trHeight w:val="250"/>
        </w:trPr>
        <w:tc>
          <w:tcPr>
            <w:tcW w:w="4230" w:type="dxa"/>
            <w:tcBorders>
              <w:top w:val="single" w:sz="4" w:space="0" w:color="000000"/>
              <w:left w:val="single" w:sz="12" w:space="0" w:color="000000"/>
              <w:bottom w:val="single" w:sz="4" w:space="0" w:color="000000"/>
              <w:right w:val="single" w:sz="12" w:space="0" w:color="000000"/>
            </w:tcBorders>
            <w:vAlign w:val="center"/>
          </w:tcPr>
          <w:p w14:paraId="63979175" w14:textId="153CC14B" w:rsidR="00AA38E8" w:rsidRDefault="00AA38E8" w:rsidP="00AA38E8">
            <w:pPr>
              <w:spacing w:after="0" w:line="259" w:lineRule="auto"/>
              <w:ind w:left="0" w:right="0" w:firstLine="0"/>
            </w:pPr>
            <w:r>
              <w:rPr>
                <w:sz w:val="18"/>
                <w:szCs w:val="18"/>
              </w:rPr>
              <w:t>Perfluorooctanoic acid (PFOA)</w:t>
            </w:r>
          </w:p>
        </w:tc>
        <w:tc>
          <w:tcPr>
            <w:tcW w:w="1170" w:type="dxa"/>
            <w:tcBorders>
              <w:top w:val="single" w:sz="4" w:space="0" w:color="000000"/>
              <w:left w:val="single" w:sz="12" w:space="0" w:color="000000"/>
              <w:bottom w:val="single" w:sz="4" w:space="0" w:color="000000"/>
              <w:right w:val="single" w:sz="12" w:space="0" w:color="000000"/>
            </w:tcBorders>
            <w:vAlign w:val="center"/>
          </w:tcPr>
          <w:p w14:paraId="48B40E98" w14:textId="56D00C72" w:rsidR="00AA38E8" w:rsidRDefault="00AA38E8" w:rsidP="00AA38E8">
            <w:pPr>
              <w:spacing w:after="0" w:line="259" w:lineRule="auto"/>
              <w:ind w:left="0" w:right="44" w:firstLine="0"/>
              <w:jc w:val="center"/>
            </w:pPr>
            <w:r>
              <w:rPr>
                <w:sz w:val="18"/>
                <w:szCs w:val="18"/>
              </w:rPr>
              <w:t>335-67-1</w:t>
            </w:r>
          </w:p>
        </w:tc>
        <w:tc>
          <w:tcPr>
            <w:tcW w:w="990" w:type="dxa"/>
            <w:tcBorders>
              <w:top w:val="single" w:sz="4" w:space="0" w:color="000000"/>
              <w:left w:val="single" w:sz="12" w:space="0" w:color="000000"/>
              <w:bottom w:val="single" w:sz="4" w:space="0" w:color="000000"/>
              <w:right w:val="single" w:sz="12" w:space="0" w:color="000000"/>
            </w:tcBorders>
            <w:vAlign w:val="center"/>
          </w:tcPr>
          <w:p w14:paraId="3EA0B5EF" w14:textId="6ABA00DB" w:rsidR="00AA38E8" w:rsidRPr="00AA0948" w:rsidRDefault="00AA38E8" w:rsidP="00586B1D">
            <w:pPr>
              <w:tabs>
                <w:tab w:val="center" w:pos="534"/>
              </w:tabs>
              <w:spacing w:after="0" w:line="259" w:lineRule="auto"/>
              <w:ind w:left="0" w:right="0" w:firstLine="0"/>
              <w:jc w:val="center"/>
              <w:rPr>
                <w:sz w:val="18"/>
                <w:szCs w:val="18"/>
              </w:rPr>
            </w:pPr>
            <w:r>
              <w:rPr>
                <w:sz w:val="18"/>
                <w:szCs w:val="18"/>
              </w:rPr>
              <w:t>1 - 4</w:t>
            </w:r>
          </w:p>
        </w:tc>
        <w:tc>
          <w:tcPr>
            <w:tcW w:w="720" w:type="dxa"/>
            <w:tcBorders>
              <w:top w:val="single" w:sz="4" w:space="0" w:color="000000"/>
              <w:left w:val="single" w:sz="12" w:space="0" w:color="000000"/>
              <w:bottom w:val="single" w:sz="4" w:space="0" w:color="000000"/>
              <w:right w:val="single" w:sz="12" w:space="0" w:color="000000"/>
            </w:tcBorders>
            <w:vAlign w:val="center"/>
          </w:tcPr>
          <w:p w14:paraId="36706E10" w14:textId="77777777" w:rsidR="00AA38E8" w:rsidRPr="00AA0948" w:rsidRDefault="00AA38E8" w:rsidP="00586B1D">
            <w:pPr>
              <w:spacing w:after="0" w:line="259" w:lineRule="auto"/>
              <w:ind w:left="0" w:right="44" w:firstLine="0"/>
              <w:jc w:val="center"/>
              <w:rPr>
                <w:sz w:val="18"/>
                <w:szCs w:val="18"/>
              </w:rPr>
            </w:pPr>
            <w:r w:rsidRPr="00430F48">
              <w:rPr>
                <w:sz w:val="18"/>
                <w:szCs w:val="18"/>
              </w:rPr>
              <w:t>ng/L</w:t>
            </w:r>
          </w:p>
        </w:tc>
        <w:tc>
          <w:tcPr>
            <w:tcW w:w="1080" w:type="dxa"/>
            <w:tcBorders>
              <w:top w:val="single" w:sz="4" w:space="0" w:color="000000"/>
              <w:left w:val="single" w:sz="12" w:space="0" w:color="000000"/>
              <w:bottom w:val="single" w:sz="4" w:space="0" w:color="000000"/>
              <w:right w:val="single" w:sz="12" w:space="0" w:color="000000"/>
            </w:tcBorders>
            <w:vAlign w:val="center"/>
          </w:tcPr>
          <w:p w14:paraId="123B264B" w14:textId="4918CBD6" w:rsidR="00AA38E8" w:rsidRPr="00AA0948" w:rsidRDefault="00AA38E8" w:rsidP="00586B1D">
            <w:pPr>
              <w:tabs>
                <w:tab w:val="center" w:pos="399"/>
              </w:tabs>
              <w:spacing w:after="0" w:line="259" w:lineRule="auto"/>
              <w:ind w:left="0" w:right="0" w:firstLine="0"/>
              <w:jc w:val="center"/>
              <w:rPr>
                <w:sz w:val="18"/>
                <w:szCs w:val="18"/>
              </w:rPr>
            </w:pPr>
            <w:r w:rsidRPr="00597F56">
              <w:rPr>
                <w:sz w:val="18"/>
                <w:szCs w:val="18"/>
              </w:rPr>
              <w:t>0.16 – 0.4</w:t>
            </w:r>
          </w:p>
        </w:tc>
        <w:tc>
          <w:tcPr>
            <w:tcW w:w="810" w:type="dxa"/>
            <w:tcBorders>
              <w:top w:val="single" w:sz="4" w:space="0" w:color="000000"/>
              <w:left w:val="single" w:sz="12" w:space="0" w:color="000000"/>
              <w:bottom w:val="single" w:sz="4" w:space="0" w:color="000000"/>
              <w:right w:val="single" w:sz="12" w:space="0" w:color="000000"/>
            </w:tcBorders>
            <w:vAlign w:val="center"/>
          </w:tcPr>
          <w:p w14:paraId="0238D3DB" w14:textId="4CD9A415" w:rsidR="00AA38E8" w:rsidRDefault="00AA38E8" w:rsidP="00586B1D">
            <w:pPr>
              <w:spacing w:after="0" w:line="259" w:lineRule="auto"/>
              <w:ind w:left="0" w:right="46" w:firstLine="0"/>
              <w:jc w:val="center"/>
            </w:pPr>
            <w:r w:rsidRPr="00B64759">
              <w:rPr>
                <w:rFonts w:eastAsia="Segoe UI Symbol"/>
                <w:sz w:val="18"/>
              </w:rPr>
              <w:t>u</w:t>
            </w:r>
            <w:r w:rsidRPr="00B64759">
              <w:rPr>
                <w:sz w:val="18"/>
              </w:rPr>
              <w:t>g/</w:t>
            </w:r>
            <w:r w:rsidRPr="005E0FBE">
              <w:rPr>
                <w:sz w:val="18"/>
                <w:szCs w:val="18"/>
              </w:rPr>
              <w:t>kg</w:t>
            </w:r>
          </w:p>
        </w:tc>
        <w:tc>
          <w:tcPr>
            <w:tcW w:w="990" w:type="dxa"/>
            <w:tcBorders>
              <w:top w:val="single" w:sz="4" w:space="0" w:color="000000"/>
              <w:left w:val="single" w:sz="12" w:space="0" w:color="000000"/>
              <w:bottom w:val="single" w:sz="4" w:space="0" w:color="000000"/>
              <w:right w:val="single" w:sz="12" w:space="0" w:color="000000"/>
            </w:tcBorders>
            <w:vAlign w:val="center"/>
          </w:tcPr>
          <w:p w14:paraId="59242C68" w14:textId="567625D3" w:rsidR="00AA38E8" w:rsidRDefault="00AA38E8" w:rsidP="00586B1D">
            <w:pPr>
              <w:spacing w:after="0" w:line="259" w:lineRule="auto"/>
              <w:ind w:left="0" w:right="45" w:firstLine="0"/>
              <w:jc w:val="center"/>
            </w:pPr>
            <w:r w:rsidRPr="00372D1A">
              <w:rPr>
                <w:sz w:val="18"/>
                <w:szCs w:val="18"/>
              </w:rPr>
              <w:t>1633</w:t>
            </w:r>
          </w:p>
        </w:tc>
        <w:tc>
          <w:tcPr>
            <w:tcW w:w="540" w:type="dxa"/>
            <w:tcBorders>
              <w:top w:val="single" w:sz="4" w:space="0" w:color="000000"/>
              <w:left w:val="single" w:sz="12" w:space="0" w:color="000000"/>
              <w:bottom w:val="single" w:sz="4" w:space="0" w:color="000000"/>
              <w:right w:val="single" w:sz="12" w:space="0" w:color="000000"/>
            </w:tcBorders>
            <w:vAlign w:val="center"/>
          </w:tcPr>
          <w:p w14:paraId="5BC8864C" w14:textId="77777777" w:rsidR="00AA38E8" w:rsidRDefault="00AA38E8" w:rsidP="00AA38E8">
            <w:pPr>
              <w:spacing w:after="0" w:line="259" w:lineRule="auto"/>
              <w:ind w:left="0" w:right="48" w:firstLine="0"/>
              <w:jc w:val="center"/>
            </w:pPr>
          </w:p>
        </w:tc>
      </w:tr>
      <w:tr w:rsidR="00E91CEF" w14:paraId="536B17EE" w14:textId="77777777" w:rsidTr="000C4B7A">
        <w:trPr>
          <w:trHeight w:val="250"/>
        </w:trPr>
        <w:tc>
          <w:tcPr>
            <w:tcW w:w="4230" w:type="dxa"/>
            <w:tcBorders>
              <w:top w:val="single" w:sz="4" w:space="0" w:color="000000"/>
              <w:left w:val="single" w:sz="12" w:space="0" w:color="000000"/>
              <w:bottom w:val="single" w:sz="4" w:space="0" w:color="000000"/>
              <w:right w:val="single" w:sz="12" w:space="0" w:color="000000"/>
            </w:tcBorders>
            <w:vAlign w:val="center"/>
          </w:tcPr>
          <w:p w14:paraId="21A42917" w14:textId="66CF501D" w:rsidR="000C31CA" w:rsidRDefault="000C31CA" w:rsidP="000C31CA">
            <w:pPr>
              <w:spacing w:after="0" w:line="259" w:lineRule="auto"/>
              <w:ind w:left="0" w:right="0" w:firstLine="0"/>
            </w:pPr>
            <w:proofErr w:type="spellStart"/>
            <w:r>
              <w:rPr>
                <w:sz w:val="18"/>
                <w:szCs w:val="18"/>
              </w:rPr>
              <w:t>Perfluorononanoic</w:t>
            </w:r>
            <w:proofErr w:type="spellEnd"/>
            <w:r>
              <w:rPr>
                <w:sz w:val="18"/>
                <w:szCs w:val="18"/>
              </w:rPr>
              <w:t xml:space="preserve"> acid (PFNA)</w:t>
            </w:r>
          </w:p>
        </w:tc>
        <w:tc>
          <w:tcPr>
            <w:tcW w:w="1170" w:type="dxa"/>
            <w:tcBorders>
              <w:top w:val="single" w:sz="4" w:space="0" w:color="000000"/>
              <w:left w:val="single" w:sz="12" w:space="0" w:color="000000"/>
              <w:bottom w:val="single" w:sz="4" w:space="0" w:color="000000"/>
              <w:right w:val="single" w:sz="12" w:space="0" w:color="000000"/>
            </w:tcBorders>
            <w:vAlign w:val="center"/>
          </w:tcPr>
          <w:p w14:paraId="31C91253" w14:textId="3A415E9F" w:rsidR="000C31CA" w:rsidRDefault="000C31CA" w:rsidP="000C31CA">
            <w:pPr>
              <w:spacing w:after="0" w:line="259" w:lineRule="auto"/>
              <w:ind w:left="0" w:right="44" w:firstLine="0"/>
              <w:jc w:val="center"/>
            </w:pPr>
            <w:r>
              <w:rPr>
                <w:sz w:val="18"/>
                <w:szCs w:val="18"/>
              </w:rPr>
              <w:t>375-95-1</w:t>
            </w:r>
          </w:p>
        </w:tc>
        <w:tc>
          <w:tcPr>
            <w:tcW w:w="990" w:type="dxa"/>
            <w:tcBorders>
              <w:top w:val="single" w:sz="4" w:space="0" w:color="000000"/>
              <w:left w:val="single" w:sz="12" w:space="0" w:color="000000"/>
              <w:bottom w:val="single" w:sz="4" w:space="0" w:color="000000"/>
              <w:right w:val="single" w:sz="12" w:space="0" w:color="000000"/>
            </w:tcBorders>
            <w:vAlign w:val="center"/>
          </w:tcPr>
          <w:p w14:paraId="09D0D21F" w14:textId="2D21AE86" w:rsidR="000C31CA" w:rsidRPr="00AA0948" w:rsidRDefault="00AB4B7F" w:rsidP="00586B1D">
            <w:pPr>
              <w:tabs>
                <w:tab w:val="center" w:pos="377"/>
              </w:tabs>
              <w:spacing w:after="0" w:line="259" w:lineRule="auto"/>
              <w:ind w:left="0" w:right="0" w:firstLine="0"/>
              <w:jc w:val="center"/>
              <w:rPr>
                <w:sz w:val="18"/>
                <w:szCs w:val="18"/>
              </w:rPr>
            </w:pPr>
            <w:r>
              <w:rPr>
                <w:sz w:val="18"/>
                <w:szCs w:val="18"/>
              </w:rPr>
              <w:t>1 - 4</w:t>
            </w:r>
          </w:p>
        </w:tc>
        <w:tc>
          <w:tcPr>
            <w:tcW w:w="720" w:type="dxa"/>
            <w:tcBorders>
              <w:top w:val="single" w:sz="4" w:space="0" w:color="000000"/>
              <w:left w:val="single" w:sz="12" w:space="0" w:color="000000"/>
              <w:bottom w:val="single" w:sz="4" w:space="0" w:color="000000"/>
              <w:right w:val="single" w:sz="12" w:space="0" w:color="000000"/>
            </w:tcBorders>
            <w:vAlign w:val="center"/>
          </w:tcPr>
          <w:p w14:paraId="2B19AC2E" w14:textId="77777777" w:rsidR="000C31CA" w:rsidRPr="00AA0948" w:rsidRDefault="000C31CA" w:rsidP="00586B1D">
            <w:pPr>
              <w:spacing w:after="0" w:line="259" w:lineRule="auto"/>
              <w:ind w:left="0" w:right="44" w:firstLine="0"/>
              <w:jc w:val="center"/>
              <w:rPr>
                <w:sz w:val="18"/>
                <w:szCs w:val="18"/>
              </w:rPr>
            </w:pPr>
            <w:r w:rsidRPr="00430F48">
              <w:rPr>
                <w:sz w:val="18"/>
                <w:szCs w:val="18"/>
              </w:rPr>
              <w:t>ng/L</w:t>
            </w:r>
          </w:p>
        </w:tc>
        <w:tc>
          <w:tcPr>
            <w:tcW w:w="1080" w:type="dxa"/>
            <w:tcBorders>
              <w:top w:val="single" w:sz="4" w:space="0" w:color="000000"/>
              <w:left w:val="single" w:sz="12" w:space="0" w:color="000000"/>
              <w:bottom w:val="single" w:sz="4" w:space="0" w:color="000000"/>
              <w:right w:val="single" w:sz="12" w:space="0" w:color="000000"/>
            </w:tcBorders>
            <w:vAlign w:val="center"/>
          </w:tcPr>
          <w:p w14:paraId="12EF2E0A" w14:textId="5657F159" w:rsidR="000C31CA" w:rsidRPr="00AA0948" w:rsidRDefault="00244D0F" w:rsidP="00586B1D">
            <w:pPr>
              <w:spacing w:after="0" w:line="259" w:lineRule="auto"/>
              <w:ind w:left="0" w:right="0" w:firstLine="0"/>
              <w:jc w:val="center"/>
              <w:rPr>
                <w:sz w:val="18"/>
                <w:szCs w:val="18"/>
              </w:rPr>
            </w:pPr>
            <w:r>
              <w:rPr>
                <w:sz w:val="18"/>
                <w:szCs w:val="18"/>
              </w:rPr>
              <w:t>0.16 – 1.3</w:t>
            </w:r>
          </w:p>
        </w:tc>
        <w:tc>
          <w:tcPr>
            <w:tcW w:w="810" w:type="dxa"/>
            <w:tcBorders>
              <w:top w:val="single" w:sz="4" w:space="0" w:color="000000"/>
              <w:left w:val="single" w:sz="12" w:space="0" w:color="000000"/>
              <w:bottom w:val="single" w:sz="4" w:space="0" w:color="000000"/>
              <w:right w:val="single" w:sz="12" w:space="0" w:color="000000"/>
            </w:tcBorders>
            <w:vAlign w:val="center"/>
          </w:tcPr>
          <w:p w14:paraId="7CC5FA7D" w14:textId="55444089" w:rsidR="000C31CA" w:rsidRDefault="004345EC" w:rsidP="00586B1D">
            <w:pPr>
              <w:spacing w:after="0" w:line="259" w:lineRule="auto"/>
              <w:ind w:left="0" w:right="46" w:firstLine="0"/>
              <w:jc w:val="center"/>
            </w:pPr>
            <w:r w:rsidRPr="00B64759">
              <w:rPr>
                <w:rFonts w:eastAsia="Segoe UI Symbol"/>
                <w:sz w:val="18"/>
              </w:rPr>
              <w:t>u</w:t>
            </w:r>
            <w:r w:rsidRPr="00B64759">
              <w:rPr>
                <w:sz w:val="18"/>
              </w:rPr>
              <w:t>g/</w:t>
            </w:r>
            <w:r w:rsidRPr="005E0FBE">
              <w:rPr>
                <w:sz w:val="18"/>
                <w:szCs w:val="18"/>
              </w:rPr>
              <w:t>kg</w:t>
            </w:r>
          </w:p>
        </w:tc>
        <w:tc>
          <w:tcPr>
            <w:tcW w:w="990" w:type="dxa"/>
            <w:tcBorders>
              <w:top w:val="single" w:sz="4" w:space="0" w:color="000000"/>
              <w:left w:val="single" w:sz="12" w:space="0" w:color="000000"/>
              <w:bottom w:val="single" w:sz="4" w:space="0" w:color="000000"/>
              <w:right w:val="single" w:sz="12" w:space="0" w:color="000000"/>
            </w:tcBorders>
            <w:vAlign w:val="center"/>
          </w:tcPr>
          <w:p w14:paraId="52278AD7" w14:textId="0D95FB54" w:rsidR="000C31CA" w:rsidRDefault="00A34F3B" w:rsidP="00586B1D">
            <w:pPr>
              <w:spacing w:after="0" w:line="259" w:lineRule="auto"/>
              <w:ind w:left="0" w:right="45" w:firstLine="0"/>
              <w:jc w:val="center"/>
            </w:pPr>
            <w:r w:rsidRPr="00372D1A">
              <w:rPr>
                <w:sz w:val="18"/>
                <w:szCs w:val="18"/>
              </w:rPr>
              <w:t>1633</w:t>
            </w:r>
          </w:p>
        </w:tc>
        <w:tc>
          <w:tcPr>
            <w:tcW w:w="540" w:type="dxa"/>
            <w:tcBorders>
              <w:top w:val="single" w:sz="4" w:space="0" w:color="000000"/>
              <w:left w:val="single" w:sz="12" w:space="0" w:color="000000"/>
              <w:bottom w:val="single" w:sz="4" w:space="0" w:color="000000"/>
              <w:right w:val="single" w:sz="12" w:space="0" w:color="000000"/>
            </w:tcBorders>
            <w:vAlign w:val="center"/>
          </w:tcPr>
          <w:p w14:paraId="520636A4" w14:textId="77777777" w:rsidR="000C31CA" w:rsidRDefault="000C31CA" w:rsidP="000C31CA">
            <w:pPr>
              <w:spacing w:after="0" w:line="259" w:lineRule="auto"/>
              <w:ind w:left="0" w:right="48" w:firstLine="0"/>
              <w:jc w:val="center"/>
            </w:pPr>
          </w:p>
        </w:tc>
      </w:tr>
      <w:tr w:rsidR="00E91CEF" w14:paraId="3D65D351" w14:textId="77777777" w:rsidTr="000C4B7A">
        <w:trPr>
          <w:trHeight w:val="250"/>
        </w:trPr>
        <w:tc>
          <w:tcPr>
            <w:tcW w:w="4230" w:type="dxa"/>
            <w:tcBorders>
              <w:top w:val="single" w:sz="4" w:space="0" w:color="000000"/>
              <w:left w:val="single" w:sz="12" w:space="0" w:color="000000"/>
              <w:bottom w:val="single" w:sz="4" w:space="0" w:color="000000"/>
              <w:right w:val="single" w:sz="12" w:space="0" w:color="000000"/>
            </w:tcBorders>
            <w:vAlign w:val="center"/>
          </w:tcPr>
          <w:p w14:paraId="4E81E3F2" w14:textId="52AB0E41" w:rsidR="000C31CA" w:rsidRDefault="000C31CA" w:rsidP="000C31CA">
            <w:pPr>
              <w:spacing w:after="0" w:line="259" w:lineRule="auto"/>
              <w:ind w:left="0" w:right="0" w:firstLine="0"/>
            </w:pPr>
            <w:proofErr w:type="spellStart"/>
            <w:r>
              <w:rPr>
                <w:sz w:val="18"/>
                <w:szCs w:val="18"/>
              </w:rPr>
              <w:t>Perfluorodecanoic</w:t>
            </w:r>
            <w:proofErr w:type="spellEnd"/>
            <w:r>
              <w:rPr>
                <w:sz w:val="18"/>
                <w:szCs w:val="18"/>
              </w:rPr>
              <w:t xml:space="preserve"> acid (PFDA)</w:t>
            </w:r>
          </w:p>
        </w:tc>
        <w:tc>
          <w:tcPr>
            <w:tcW w:w="1170" w:type="dxa"/>
            <w:tcBorders>
              <w:top w:val="single" w:sz="4" w:space="0" w:color="000000"/>
              <w:left w:val="single" w:sz="12" w:space="0" w:color="000000"/>
              <w:bottom w:val="single" w:sz="4" w:space="0" w:color="000000"/>
              <w:right w:val="single" w:sz="12" w:space="0" w:color="000000"/>
            </w:tcBorders>
            <w:vAlign w:val="center"/>
          </w:tcPr>
          <w:p w14:paraId="681296A0" w14:textId="074EA5BD" w:rsidR="000C31CA" w:rsidRDefault="000C31CA" w:rsidP="000C31CA">
            <w:pPr>
              <w:spacing w:after="0" w:line="259" w:lineRule="auto"/>
              <w:ind w:left="0" w:right="44" w:firstLine="0"/>
              <w:jc w:val="center"/>
            </w:pPr>
            <w:r>
              <w:rPr>
                <w:sz w:val="18"/>
                <w:szCs w:val="18"/>
              </w:rPr>
              <w:t>335-76-2</w:t>
            </w:r>
          </w:p>
        </w:tc>
        <w:tc>
          <w:tcPr>
            <w:tcW w:w="990" w:type="dxa"/>
            <w:tcBorders>
              <w:top w:val="single" w:sz="4" w:space="0" w:color="000000"/>
              <w:left w:val="single" w:sz="12" w:space="0" w:color="000000"/>
              <w:bottom w:val="single" w:sz="4" w:space="0" w:color="000000"/>
              <w:right w:val="single" w:sz="12" w:space="0" w:color="000000"/>
            </w:tcBorders>
            <w:vAlign w:val="center"/>
          </w:tcPr>
          <w:p w14:paraId="2C295E8E" w14:textId="0CB4097C" w:rsidR="000C31CA" w:rsidRPr="00A82C85" w:rsidRDefault="007E4330" w:rsidP="00586B1D">
            <w:pPr>
              <w:tabs>
                <w:tab w:val="center" w:pos="488"/>
              </w:tabs>
              <w:spacing w:after="0" w:line="259" w:lineRule="auto"/>
              <w:ind w:left="0" w:right="0" w:firstLine="0"/>
              <w:jc w:val="center"/>
              <w:rPr>
                <w:sz w:val="18"/>
                <w:szCs w:val="18"/>
              </w:rPr>
            </w:pPr>
            <w:r>
              <w:rPr>
                <w:sz w:val="18"/>
                <w:szCs w:val="18"/>
              </w:rPr>
              <w:t>1 - 4</w:t>
            </w:r>
          </w:p>
        </w:tc>
        <w:tc>
          <w:tcPr>
            <w:tcW w:w="720" w:type="dxa"/>
            <w:tcBorders>
              <w:top w:val="single" w:sz="4" w:space="0" w:color="000000"/>
              <w:left w:val="single" w:sz="12" w:space="0" w:color="000000"/>
              <w:bottom w:val="single" w:sz="4" w:space="0" w:color="000000"/>
              <w:right w:val="single" w:sz="12" w:space="0" w:color="000000"/>
            </w:tcBorders>
            <w:vAlign w:val="center"/>
          </w:tcPr>
          <w:p w14:paraId="4A1D2CAD" w14:textId="77777777" w:rsidR="000C31CA" w:rsidRPr="00A82C85" w:rsidRDefault="000C31CA" w:rsidP="00586B1D">
            <w:pPr>
              <w:spacing w:after="0" w:line="259" w:lineRule="auto"/>
              <w:ind w:left="0" w:right="44" w:firstLine="0"/>
              <w:jc w:val="center"/>
              <w:rPr>
                <w:sz w:val="18"/>
                <w:szCs w:val="18"/>
              </w:rPr>
            </w:pPr>
            <w:r w:rsidRPr="00430F48">
              <w:rPr>
                <w:sz w:val="18"/>
                <w:szCs w:val="18"/>
              </w:rPr>
              <w:t>ng/L</w:t>
            </w:r>
          </w:p>
        </w:tc>
        <w:tc>
          <w:tcPr>
            <w:tcW w:w="1080" w:type="dxa"/>
            <w:tcBorders>
              <w:top w:val="single" w:sz="4" w:space="0" w:color="000000"/>
              <w:left w:val="single" w:sz="12" w:space="0" w:color="000000"/>
              <w:bottom w:val="single" w:sz="4" w:space="0" w:color="000000"/>
              <w:right w:val="single" w:sz="12" w:space="0" w:color="000000"/>
            </w:tcBorders>
            <w:vAlign w:val="center"/>
          </w:tcPr>
          <w:p w14:paraId="5C47C070" w14:textId="001A36A9" w:rsidR="000C31CA" w:rsidRPr="00A82C85" w:rsidRDefault="00AA38E8" w:rsidP="00586B1D">
            <w:pPr>
              <w:tabs>
                <w:tab w:val="center" w:pos="399"/>
              </w:tabs>
              <w:spacing w:after="0" w:line="259" w:lineRule="auto"/>
              <w:ind w:left="0" w:right="0" w:firstLine="0"/>
              <w:jc w:val="center"/>
              <w:rPr>
                <w:sz w:val="18"/>
                <w:szCs w:val="18"/>
              </w:rPr>
            </w:pPr>
            <w:r>
              <w:rPr>
                <w:sz w:val="18"/>
                <w:szCs w:val="18"/>
              </w:rPr>
              <w:t>0.16 – 0.4</w:t>
            </w:r>
          </w:p>
        </w:tc>
        <w:tc>
          <w:tcPr>
            <w:tcW w:w="810" w:type="dxa"/>
            <w:tcBorders>
              <w:top w:val="single" w:sz="4" w:space="0" w:color="000000"/>
              <w:left w:val="single" w:sz="12" w:space="0" w:color="000000"/>
              <w:bottom w:val="single" w:sz="4" w:space="0" w:color="000000"/>
              <w:right w:val="single" w:sz="12" w:space="0" w:color="000000"/>
            </w:tcBorders>
            <w:vAlign w:val="center"/>
          </w:tcPr>
          <w:p w14:paraId="47AE6F7D" w14:textId="03DF088D" w:rsidR="000C31CA" w:rsidRDefault="004345EC" w:rsidP="00586B1D">
            <w:pPr>
              <w:spacing w:after="0" w:line="259" w:lineRule="auto"/>
              <w:ind w:left="0" w:right="46" w:firstLine="0"/>
              <w:jc w:val="center"/>
            </w:pPr>
            <w:r w:rsidRPr="00B64759">
              <w:rPr>
                <w:rFonts w:eastAsia="Segoe UI Symbol"/>
                <w:sz w:val="18"/>
              </w:rPr>
              <w:t>u</w:t>
            </w:r>
            <w:r w:rsidRPr="00B64759">
              <w:rPr>
                <w:sz w:val="18"/>
              </w:rPr>
              <w:t>g/</w:t>
            </w:r>
            <w:r w:rsidRPr="005E0FBE">
              <w:rPr>
                <w:sz w:val="18"/>
                <w:szCs w:val="18"/>
              </w:rPr>
              <w:t>kg</w:t>
            </w:r>
          </w:p>
        </w:tc>
        <w:tc>
          <w:tcPr>
            <w:tcW w:w="990" w:type="dxa"/>
            <w:tcBorders>
              <w:top w:val="single" w:sz="4" w:space="0" w:color="000000"/>
              <w:left w:val="single" w:sz="12" w:space="0" w:color="000000"/>
              <w:bottom w:val="single" w:sz="4" w:space="0" w:color="000000"/>
              <w:right w:val="single" w:sz="12" w:space="0" w:color="000000"/>
            </w:tcBorders>
            <w:vAlign w:val="center"/>
          </w:tcPr>
          <w:p w14:paraId="09F7F058" w14:textId="4DD779AA" w:rsidR="000C31CA" w:rsidRDefault="00A34F3B" w:rsidP="00586B1D">
            <w:pPr>
              <w:spacing w:after="0" w:line="259" w:lineRule="auto"/>
              <w:ind w:left="0" w:right="45" w:firstLine="0"/>
              <w:jc w:val="center"/>
            </w:pPr>
            <w:r w:rsidRPr="00372D1A">
              <w:rPr>
                <w:sz w:val="18"/>
                <w:szCs w:val="18"/>
              </w:rPr>
              <w:t>1633</w:t>
            </w:r>
          </w:p>
        </w:tc>
        <w:tc>
          <w:tcPr>
            <w:tcW w:w="540" w:type="dxa"/>
            <w:tcBorders>
              <w:top w:val="single" w:sz="4" w:space="0" w:color="000000"/>
              <w:left w:val="single" w:sz="12" w:space="0" w:color="000000"/>
              <w:bottom w:val="single" w:sz="4" w:space="0" w:color="000000"/>
              <w:right w:val="single" w:sz="12" w:space="0" w:color="000000"/>
            </w:tcBorders>
            <w:vAlign w:val="center"/>
          </w:tcPr>
          <w:p w14:paraId="07CC22F5" w14:textId="77777777" w:rsidR="000C31CA" w:rsidRDefault="000C31CA" w:rsidP="000C31CA">
            <w:pPr>
              <w:spacing w:after="0" w:line="259" w:lineRule="auto"/>
              <w:ind w:left="0" w:right="48" w:firstLine="0"/>
              <w:jc w:val="center"/>
            </w:pPr>
          </w:p>
        </w:tc>
      </w:tr>
      <w:tr w:rsidR="00E91CEF" w14:paraId="12CE0425" w14:textId="77777777" w:rsidTr="000C4B7A">
        <w:trPr>
          <w:trHeight w:val="250"/>
        </w:trPr>
        <w:tc>
          <w:tcPr>
            <w:tcW w:w="4230" w:type="dxa"/>
            <w:tcBorders>
              <w:top w:val="single" w:sz="4" w:space="0" w:color="000000"/>
              <w:left w:val="single" w:sz="12" w:space="0" w:color="000000"/>
              <w:bottom w:val="single" w:sz="4" w:space="0" w:color="000000"/>
              <w:right w:val="single" w:sz="12" w:space="0" w:color="000000"/>
            </w:tcBorders>
            <w:vAlign w:val="center"/>
          </w:tcPr>
          <w:p w14:paraId="06689AC1" w14:textId="3315CE8E" w:rsidR="00AA38E8" w:rsidRDefault="00AA38E8" w:rsidP="00AA38E8">
            <w:pPr>
              <w:spacing w:after="0" w:line="259" w:lineRule="auto"/>
              <w:ind w:left="0" w:right="0" w:firstLine="0"/>
            </w:pPr>
            <w:proofErr w:type="spellStart"/>
            <w:r>
              <w:rPr>
                <w:sz w:val="18"/>
              </w:rPr>
              <w:lastRenderedPageBreak/>
              <w:t>Perfluoroundecanoic</w:t>
            </w:r>
            <w:proofErr w:type="spellEnd"/>
            <w:r>
              <w:rPr>
                <w:sz w:val="18"/>
              </w:rPr>
              <w:t xml:space="preserve"> acid (</w:t>
            </w:r>
            <w:proofErr w:type="spellStart"/>
            <w:r>
              <w:rPr>
                <w:sz w:val="18"/>
              </w:rPr>
              <w:t>PFUnA</w:t>
            </w:r>
            <w:proofErr w:type="spellEnd"/>
            <w:r>
              <w:rPr>
                <w:sz w:val="18"/>
              </w:rPr>
              <w:t>)</w:t>
            </w:r>
          </w:p>
        </w:tc>
        <w:tc>
          <w:tcPr>
            <w:tcW w:w="1170" w:type="dxa"/>
            <w:tcBorders>
              <w:top w:val="single" w:sz="4" w:space="0" w:color="000000"/>
              <w:left w:val="single" w:sz="12" w:space="0" w:color="000000"/>
              <w:bottom w:val="single" w:sz="4" w:space="0" w:color="000000"/>
              <w:right w:val="single" w:sz="12" w:space="0" w:color="000000"/>
            </w:tcBorders>
            <w:vAlign w:val="center"/>
          </w:tcPr>
          <w:p w14:paraId="760586CC" w14:textId="66A1E1D8" w:rsidR="00AA38E8" w:rsidRDefault="00AA38E8" w:rsidP="00AA38E8">
            <w:pPr>
              <w:spacing w:after="0" w:line="259" w:lineRule="auto"/>
              <w:ind w:left="0" w:right="44" w:firstLine="0"/>
              <w:jc w:val="center"/>
            </w:pPr>
            <w:r>
              <w:rPr>
                <w:sz w:val="18"/>
              </w:rPr>
              <w:t>2058-94-8</w:t>
            </w:r>
          </w:p>
        </w:tc>
        <w:tc>
          <w:tcPr>
            <w:tcW w:w="990" w:type="dxa"/>
            <w:tcBorders>
              <w:top w:val="single" w:sz="4" w:space="0" w:color="000000"/>
              <w:left w:val="single" w:sz="12" w:space="0" w:color="000000"/>
              <w:bottom w:val="single" w:sz="4" w:space="0" w:color="000000"/>
              <w:right w:val="single" w:sz="12" w:space="0" w:color="000000"/>
            </w:tcBorders>
            <w:vAlign w:val="center"/>
          </w:tcPr>
          <w:p w14:paraId="4D113226" w14:textId="00AB932D" w:rsidR="00AA38E8" w:rsidRPr="00A82C85" w:rsidRDefault="00AA38E8" w:rsidP="00586B1D">
            <w:pPr>
              <w:tabs>
                <w:tab w:val="center" w:pos="534"/>
              </w:tabs>
              <w:spacing w:after="0" w:line="259" w:lineRule="auto"/>
              <w:ind w:left="0" w:right="0" w:firstLine="0"/>
              <w:jc w:val="center"/>
              <w:rPr>
                <w:sz w:val="18"/>
                <w:szCs w:val="18"/>
              </w:rPr>
            </w:pPr>
            <w:r>
              <w:rPr>
                <w:sz w:val="18"/>
                <w:szCs w:val="18"/>
              </w:rPr>
              <w:t>1 – 4</w:t>
            </w:r>
          </w:p>
        </w:tc>
        <w:tc>
          <w:tcPr>
            <w:tcW w:w="720" w:type="dxa"/>
            <w:tcBorders>
              <w:top w:val="single" w:sz="4" w:space="0" w:color="000000"/>
              <w:left w:val="single" w:sz="12" w:space="0" w:color="000000"/>
              <w:bottom w:val="single" w:sz="4" w:space="0" w:color="000000"/>
              <w:right w:val="single" w:sz="12" w:space="0" w:color="000000"/>
            </w:tcBorders>
            <w:vAlign w:val="center"/>
          </w:tcPr>
          <w:p w14:paraId="27BDC754" w14:textId="77777777" w:rsidR="00AA38E8" w:rsidRPr="00A82C85" w:rsidRDefault="00AA38E8" w:rsidP="00586B1D">
            <w:pPr>
              <w:spacing w:after="0" w:line="259" w:lineRule="auto"/>
              <w:ind w:left="0" w:right="44" w:firstLine="0"/>
              <w:jc w:val="center"/>
              <w:rPr>
                <w:sz w:val="18"/>
                <w:szCs w:val="18"/>
              </w:rPr>
            </w:pPr>
            <w:r w:rsidRPr="00430F48">
              <w:rPr>
                <w:sz w:val="18"/>
                <w:szCs w:val="18"/>
              </w:rPr>
              <w:t>ng/L</w:t>
            </w:r>
          </w:p>
        </w:tc>
        <w:tc>
          <w:tcPr>
            <w:tcW w:w="1080" w:type="dxa"/>
            <w:tcBorders>
              <w:top w:val="single" w:sz="4" w:space="0" w:color="000000"/>
              <w:left w:val="single" w:sz="12" w:space="0" w:color="000000"/>
              <w:bottom w:val="single" w:sz="4" w:space="0" w:color="000000"/>
              <w:right w:val="single" w:sz="12" w:space="0" w:color="000000"/>
            </w:tcBorders>
            <w:vAlign w:val="center"/>
          </w:tcPr>
          <w:p w14:paraId="3694AE18" w14:textId="1198B913" w:rsidR="00AA38E8" w:rsidRPr="00A82C85" w:rsidRDefault="00AA38E8" w:rsidP="00586B1D">
            <w:pPr>
              <w:tabs>
                <w:tab w:val="center" w:pos="354"/>
              </w:tabs>
              <w:spacing w:after="0" w:line="259" w:lineRule="auto"/>
              <w:ind w:left="0" w:right="0" w:firstLine="0"/>
              <w:jc w:val="center"/>
              <w:rPr>
                <w:sz w:val="18"/>
                <w:szCs w:val="18"/>
              </w:rPr>
            </w:pPr>
            <w:r w:rsidRPr="002B752E">
              <w:rPr>
                <w:sz w:val="18"/>
                <w:szCs w:val="18"/>
              </w:rPr>
              <w:t>0.16 – 0.</w:t>
            </w:r>
            <w:r w:rsidR="00244D0F">
              <w:rPr>
                <w:sz w:val="18"/>
                <w:szCs w:val="18"/>
              </w:rPr>
              <w:t>5</w:t>
            </w:r>
          </w:p>
        </w:tc>
        <w:tc>
          <w:tcPr>
            <w:tcW w:w="810" w:type="dxa"/>
            <w:tcBorders>
              <w:top w:val="single" w:sz="4" w:space="0" w:color="000000"/>
              <w:left w:val="single" w:sz="12" w:space="0" w:color="000000"/>
              <w:bottom w:val="single" w:sz="4" w:space="0" w:color="000000"/>
              <w:right w:val="single" w:sz="12" w:space="0" w:color="000000"/>
            </w:tcBorders>
            <w:vAlign w:val="center"/>
          </w:tcPr>
          <w:p w14:paraId="00E79AA0" w14:textId="2590407B" w:rsidR="00AA38E8" w:rsidRDefault="00AA38E8" w:rsidP="00586B1D">
            <w:pPr>
              <w:spacing w:after="0" w:line="259" w:lineRule="auto"/>
              <w:ind w:left="0" w:right="46" w:firstLine="0"/>
              <w:jc w:val="center"/>
            </w:pPr>
            <w:r w:rsidRPr="00B64759">
              <w:rPr>
                <w:rFonts w:eastAsia="Segoe UI Symbol"/>
                <w:sz w:val="18"/>
              </w:rPr>
              <w:t>u</w:t>
            </w:r>
            <w:r w:rsidRPr="00B64759">
              <w:rPr>
                <w:sz w:val="18"/>
              </w:rPr>
              <w:t>g/</w:t>
            </w:r>
            <w:r w:rsidRPr="005E0FBE">
              <w:rPr>
                <w:sz w:val="18"/>
                <w:szCs w:val="18"/>
              </w:rPr>
              <w:t>kg</w:t>
            </w:r>
          </w:p>
        </w:tc>
        <w:tc>
          <w:tcPr>
            <w:tcW w:w="990" w:type="dxa"/>
            <w:tcBorders>
              <w:top w:val="single" w:sz="4" w:space="0" w:color="000000"/>
              <w:left w:val="single" w:sz="12" w:space="0" w:color="000000"/>
              <w:bottom w:val="single" w:sz="4" w:space="0" w:color="000000"/>
              <w:right w:val="single" w:sz="12" w:space="0" w:color="000000"/>
            </w:tcBorders>
            <w:vAlign w:val="center"/>
          </w:tcPr>
          <w:p w14:paraId="50239FAD" w14:textId="5E6358C8" w:rsidR="00AA38E8" w:rsidRDefault="00AA38E8" w:rsidP="00586B1D">
            <w:pPr>
              <w:spacing w:after="0" w:line="259" w:lineRule="auto"/>
              <w:ind w:left="0" w:right="45" w:firstLine="0"/>
              <w:jc w:val="center"/>
            </w:pPr>
            <w:r w:rsidRPr="00372D1A">
              <w:rPr>
                <w:sz w:val="18"/>
                <w:szCs w:val="18"/>
              </w:rPr>
              <w:t>1633</w:t>
            </w:r>
          </w:p>
        </w:tc>
        <w:tc>
          <w:tcPr>
            <w:tcW w:w="540" w:type="dxa"/>
            <w:tcBorders>
              <w:top w:val="single" w:sz="4" w:space="0" w:color="000000"/>
              <w:left w:val="single" w:sz="12" w:space="0" w:color="000000"/>
              <w:bottom w:val="single" w:sz="4" w:space="0" w:color="000000"/>
              <w:right w:val="single" w:sz="12" w:space="0" w:color="000000"/>
            </w:tcBorders>
            <w:vAlign w:val="center"/>
          </w:tcPr>
          <w:p w14:paraId="01B1887E" w14:textId="77777777" w:rsidR="00AA38E8" w:rsidRDefault="00AA38E8" w:rsidP="00AA38E8">
            <w:pPr>
              <w:spacing w:after="0" w:line="259" w:lineRule="auto"/>
              <w:ind w:left="0" w:right="5" w:firstLine="0"/>
              <w:jc w:val="center"/>
            </w:pPr>
          </w:p>
        </w:tc>
      </w:tr>
      <w:tr w:rsidR="00E91CEF" w14:paraId="5EB2234C" w14:textId="77777777" w:rsidTr="000C4B7A">
        <w:trPr>
          <w:trHeight w:val="250"/>
        </w:trPr>
        <w:tc>
          <w:tcPr>
            <w:tcW w:w="4230" w:type="dxa"/>
            <w:tcBorders>
              <w:top w:val="single" w:sz="4" w:space="0" w:color="000000"/>
              <w:left w:val="single" w:sz="12" w:space="0" w:color="000000"/>
              <w:bottom w:val="single" w:sz="4" w:space="0" w:color="000000"/>
              <w:right w:val="single" w:sz="12" w:space="0" w:color="000000"/>
            </w:tcBorders>
            <w:vAlign w:val="center"/>
          </w:tcPr>
          <w:p w14:paraId="0481C608" w14:textId="169EA241" w:rsidR="00AA38E8" w:rsidRDefault="00AA38E8" w:rsidP="00AA38E8">
            <w:pPr>
              <w:spacing w:after="0" w:line="259" w:lineRule="auto"/>
              <w:ind w:left="0" w:right="0" w:firstLine="0"/>
            </w:pPr>
            <w:proofErr w:type="spellStart"/>
            <w:r>
              <w:rPr>
                <w:sz w:val="18"/>
                <w:szCs w:val="18"/>
              </w:rPr>
              <w:t>Perfluorododecanoic</w:t>
            </w:r>
            <w:proofErr w:type="spellEnd"/>
            <w:r>
              <w:rPr>
                <w:sz w:val="18"/>
                <w:szCs w:val="18"/>
              </w:rPr>
              <w:t xml:space="preserve"> acid (</w:t>
            </w:r>
            <w:proofErr w:type="spellStart"/>
            <w:r>
              <w:rPr>
                <w:sz w:val="18"/>
                <w:szCs w:val="18"/>
              </w:rPr>
              <w:t>PFDoA</w:t>
            </w:r>
            <w:proofErr w:type="spellEnd"/>
            <w:r>
              <w:rPr>
                <w:sz w:val="18"/>
                <w:szCs w:val="18"/>
              </w:rPr>
              <w:t>)</w:t>
            </w:r>
          </w:p>
        </w:tc>
        <w:tc>
          <w:tcPr>
            <w:tcW w:w="1170" w:type="dxa"/>
            <w:tcBorders>
              <w:top w:val="single" w:sz="4" w:space="0" w:color="000000"/>
              <w:left w:val="single" w:sz="12" w:space="0" w:color="000000"/>
              <w:bottom w:val="single" w:sz="4" w:space="0" w:color="000000"/>
              <w:right w:val="single" w:sz="12" w:space="0" w:color="000000"/>
            </w:tcBorders>
            <w:vAlign w:val="center"/>
          </w:tcPr>
          <w:p w14:paraId="0196C912" w14:textId="5EC35D12" w:rsidR="00AA38E8" w:rsidRDefault="00AA38E8" w:rsidP="00AA38E8">
            <w:pPr>
              <w:spacing w:after="0" w:line="259" w:lineRule="auto"/>
              <w:ind w:left="0" w:right="44" w:firstLine="0"/>
              <w:jc w:val="center"/>
            </w:pPr>
            <w:r>
              <w:rPr>
                <w:sz w:val="18"/>
                <w:szCs w:val="18"/>
              </w:rPr>
              <w:t>307-55-1</w:t>
            </w:r>
          </w:p>
        </w:tc>
        <w:tc>
          <w:tcPr>
            <w:tcW w:w="990" w:type="dxa"/>
            <w:tcBorders>
              <w:top w:val="single" w:sz="4" w:space="0" w:color="000000"/>
              <w:left w:val="single" w:sz="12" w:space="0" w:color="000000"/>
              <w:bottom w:val="single" w:sz="4" w:space="0" w:color="000000"/>
              <w:right w:val="single" w:sz="12" w:space="0" w:color="000000"/>
            </w:tcBorders>
            <w:vAlign w:val="center"/>
          </w:tcPr>
          <w:p w14:paraId="10AC78CE" w14:textId="4EA428AF" w:rsidR="00AA38E8" w:rsidRPr="00A82C85" w:rsidRDefault="00AA38E8" w:rsidP="00586B1D">
            <w:pPr>
              <w:tabs>
                <w:tab w:val="center" w:pos="534"/>
              </w:tabs>
              <w:spacing w:after="0" w:line="259" w:lineRule="auto"/>
              <w:ind w:left="0" w:right="0" w:firstLine="0"/>
              <w:jc w:val="center"/>
              <w:rPr>
                <w:sz w:val="18"/>
                <w:szCs w:val="18"/>
              </w:rPr>
            </w:pPr>
            <w:r>
              <w:rPr>
                <w:sz w:val="18"/>
                <w:szCs w:val="18"/>
              </w:rPr>
              <w:t>1 - 4</w:t>
            </w:r>
          </w:p>
        </w:tc>
        <w:tc>
          <w:tcPr>
            <w:tcW w:w="720" w:type="dxa"/>
            <w:tcBorders>
              <w:top w:val="single" w:sz="4" w:space="0" w:color="000000"/>
              <w:left w:val="single" w:sz="12" w:space="0" w:color="000000"/>
              <w:bottom w:val="single" w:sz="4" w:space="0" w:color="000000"/>
              <w:right w:val="single" w:sz="12" w:space="0" w:color="000000"/>
            </w:tcBorders>
            <w:vAlign w:val="center"/>
          </w:tcPr>
          <w:p w14:paraId="43A33255" w14:textId="77777777" w:rsidR="00AA38E8" w:rsidRPr="00A82C85" w:rsidRDefault="00AA38E8" w:rsidP="00586B1D">
            <w:pPr>
              <w:spacing w:after="0" w:line="259" w:lineRule="auto"/>
              <w:ind w:left="0" w:right="44" w:firstLine="0"/>
              <w:jc w:val="center"/>
              <w:rPr>
                <w:sz w:val="18"/>
                <w:szCs w:val="18"/>
              </w:rPr>
            </w:pPr>
            <w:r w:rsidRPr="00430F48">
              <w:rPr>
                <w:sz w:val="18"/>
                <w:szCs w:val="18"/>
              </w:rPr>
              <w:t>ng/L</w:t>
            </w:r>
          </w:p>
        </w:tc>
        <w:tc>
          <w:tcPr>
            <w:tcW w:w="1080" w:type="dxa"/>
            <w:tcBorders>
              <w:top w:val="single" w:sz="4" w:space="0" w:color="000000"/>
              <w:left w:val="single" w:sz="12" w:space="0" w:color="000000"/>
              <w:bottom w:val="single" w:sz="4" w:space="0" w:color="000000"/>
              <w:right w:val="single" w:sz="12" w:space="0" w:color="000000"/>
            </w:tcBorders>
            <w:vAlign w:val="center"/>
          </w:tcPr>
          <w:p w14:paraId="66CEAE65" w14:textId="2E7C76D5" w:rsidR="00AA38E8" w:rsidRPr="00A82C85" w:rsidRDefault="00AA38E8" w:rsidP="00586B1D">
            <w:pPr>
              <w:tabs>
                <w:tab w:val="center" w:pos="354"/>
              </w:tabs>
              <w:spacing w:after="0" w:line="259" w:lineRule="auto"/>
              <w:ind w:left="0" w:right="0" w:firstLine="0"/>
              <w:jc w:val="center"/>
              <w:rPr>
                <w:sz w:val="18"/>
                <w:szCs w:val="18"/>
              </w:rPr>
            </w:pPr>
            <w:r w:rsidRPr="002B752E">
              <w:rPr>
                <w:sz w:val="18"/>
                <w:szCs w:val="18"/>
              </w:rPr>
              <w:t>0.16 – 0.4</w:t>
            </w:r>
          </w:p>
        </w:tc>
        <w:tc>
          <w:tcPr>
            <w:tcW w:w="810" w:type="dxa"/>
            <w:tcBorders>
              <w:top w:val="single" w:sz="4" w:space="0" w:color="000000"/>
              <w:left w:val="single" w:sz="12" w:space="0" w:color="000000"/>
              <w:bottom w:val="single" w:sz="4" w:space="0" w:color="auto"/>
              <w:right w:val="single" w:sz="12" w:space="0" w:color="000000"/>
            </w:tcBorders>
            <w:vAlign w:val="center"/>
          </w:tcPr>
          <w:p w14:paraId="2205542D" w14:textId="527A8A5C" w:rsidR="00AA38E8" w:rsidRDefault="00AA38E8" w:rsidP="00586B1D">
            <w:pPr>
              <w:spacing w:after="0" w:line="259" w:lineRule="auto"/>
              <w:ind w:left="0" w:right="46" w:firstLine="0"/>
              <w:jc w:val="center"/>
            </w:pPr>
            <w:r w:rsidRPr="00B64759">
              <w:rPr>
                <w:rFonts w:eastAsia="Segoe UI Symbol"/>
                <w:sz w:val="18"/>
              </w:rPr>
              <w:t>u</w:t>
            </w:r>
            <w:r w:rsidRPr="00B64759">
              <w:rPr>
                <w:sz w:val="18"/>
              </w:rPr>
              <w:t>g/</w:t>
            </w:r>
            <w:r w:rsidRPr="005E0FBE">
              <w:rPr>
                <w:sz w:val="18"/>
                <w:szCs w:val="18"/>
              </w:rPr>
              <w:t>kg</w:t>
            </w:r>
          </w:p>
        </w:tc>
        <w:tc>
          <w:tcPr>
            <w:tcW w:w="990" w:type="dxa"/>
            <w:tcBorders>
              <w:top w:val="single" w:sz="4" w:space="0" w:color="000000"/>
              <w:left w:val="single" w:sz="12" w:space="0" w:color="000000"/>
              <w:bottom w:val="single" w:sz="4" w:space="0" w:color="000000"/>
              <w:right w:val="single" w:sz="12" w:space="0" w:color="000000"/>
            </w:tcBorders>
            <w:vAlign w:val="center"/>
          </w:tcPr>
          <w:p w14:paraId="417B0303" w14:textId="2451CB52" w:rsidR="00AA38E8" w:rsidRDefault="00AA38E8" w:rsidP="00586B1D">
            <w:pPr>
              <w:spacing w:after="0" w:line="259" w:lineRule="auto"/>
              <w:ind w:left="0" w:right="45" w:firstLine="0"/>
              <w:jc w:val="center"/>
            </w:pPr>
            <w:r w:rsidRPr="00372D1A">
              <w:rPr>
                <w:sz w:val="18"/>
                <w:szCs w:val="18"/>
              </w:rPr>
              <w:t>1633</w:t>
            </w:r>
          </w:p>
        </w:tc>
        <w:tc>
          <w:tcPr>
            <w:tcW w:w="540" w:type="dxa"/>
            <w:tcBorders>
              <w:top w:val="single" w:sz="4" w:space="0" w:color="000000"/>
              <w:left w:val="single" w:sz="12" w:space="0" w:color="000000"/>
              <w:bottom w:val="single" w:sz="4" w:space="0" w:color="000000"/>
              <w:right w:val="single" w:sz="12" w:space="0" w:color="000000"/>
            </w:tcBorders>
            <w:vAlign w:val="center"/>
          </w:tcPr>
          <w:p w14:paraId="272F5A91" w14:textId="77777777" w:rsidR="00AA38E8" w:rsidRDefault="00AA38E8" w:rsidP="00AA38E8">
            <w:pPr>
              <w:spacing w:after="0" w:line="259" w:lineRule="auto"/>
              <w:ind w:left="0" w:right="5" w:firstLine="0"/>
              <w:jc w:val="center"/>
            </w:pPr>
          </w:p>
        </w:tc>
      </w:tr>
      <w:tr w:rsidR="00E91CEF" w14:paraId="3C8CCC0B" w14:textId="77777777" w:rsidTr="000C4B7A">
        <w:trPr>
          <w:trHeight w:val="252"/>
        </w:trPr>
        <w:tc>
          <w:tcPr>
            <w:tcW w:w="4230" w:type="dxa"/>
            <w:tcBorders>
              <w:top w:val="single" w:sz="4" w:space="0" w:color="000000"/>
              <w:left w:val="single" w:sz="12" w:space="0" w:color="000000"/>
              <w:bottom w:val="single" w:sz="4" w:space="0" w:color="000000"/>
              <w:right w:val="single" w:sz="12" w:space="0" w:color="000000"/>
            </w:tcBorders>
            <w:vAlign w:val="center"/>
          </w:tcPr>
          <w:p w14:paraId="73010468" w14:textId="416CEA8E" w:rsidR="00AA38E8" w:rsidRPr="00735EA6" w:rsidRDefault="00AA38E8" w:rsidP="00AA38E8">
            <w:pPr>
              <w:spacing w:after="0" w:line="259" w:lineRule="auto"/>
              <w:ind w:left="0" w:right="0" w:firstLine="0"/>
              <w:rPr>
                <w:sz w:val="18"/>
                <w:szCs w:val="18"/>
              </w:rPr>
            </w:pPr>
            <w:proofErr w:type="spellStart"/>
            <w:r w:rsidRPr="00735EA6">
              <w:rPr>
                <w:sz w:val="18"/>
                <w:szCs w:val="18"/>
              </w:rPr>
              <w:t>Perfluorotridecanoic</w:t>
            </w:r>
            <w:proofErr w:type="spellEnd"/>
            <w:r w:rsidRPr="00735EA6">
              <w:rPr>
                <w:sz w:val="18"/>
                <w:szCs w:val="18"/>
              </w:rPr>
              <w:t xml:space="preserve"> acid (</w:t>
            </w:r>
            <w:proofErr w:type="spellStart"/>
            <w:r w:rsidRPr="00735EA6">
              <w:rPr>
                <w:sz w:val="18"/>
                <w:szCs w:val="18"/>
              </w:rPr>
              <w:t>PFTrDA</w:t>
            </w:r>
            <w:proofErr w:type="spellEnd"/>
            <w:r w:rsidRPr="00735EA6">
              <w:rPr>
                <w:sz w:val="18"/>
                <w:szCs w:val="18"/>
              </w:rPr>
              <w:t>)</w:t>
            </w:r>
          </w:p>
        </w:tc>
        <w:tc>
          <w:tcPr>
            <w:tcW w:w="1170" w:type="dxa"/>
            <w:tcBorders>
              <w:top w:val="single" w:sz="4" w:space="0" w:color="000000"/>
              <w:left w:val="single" w:sz="12" w:space="0" w:color="000000"/>
              <w:bottom w:val="single" w:sz="4" w:space="0" w:color="000000"/>
              <w:right w:val="single" w:sz="12" w:space="0" w:color="000000"/>
            </w:tcBorders>
            <w:vAlign w:val="center"/>
          </w:tcPr>
          <w:p w14:paraId="0912F5E8" w14:textId="04AEA80A" w:rsidR="00AA38E8" w:rsidRPr="00735EA6" w:rsidRDefault="00AA38E8" w:rsidP="00AA38E8">
            <w:pPr>
              <w:spacing w:after="0" w:line="259" w:lineRule="auto"/>
              <w:ind w:left="0" w:right="44" w:firstLine="0"/>
              <w:jc w:val="center"/>
              <w:rPr>
                <w:sz w:val="18"/>
                <w:szCs w:val="18"/>
              </w:rPr>
            </w:pPr>
            <w:r>
              <w:rPr>
                <w:sz w:val="18"/>
                <w:szCs w:val="18"/>
              </w:rPr>
              <w:t>72629-94-8</w:t>
            </w:r>
          </w:p>
        </w:tc>
        <w:tc>
          <w:tcPr>
            <w:tcW w:w="990" w:type="dxa"/>
            <w:tcBorders>
              <w:top w:val="single" w:sz="4" w:space="0" w:color="000000"/>
              <w:left w:val="single" w:sz="12" w:space="0" w:color="000000"/>
              <w:bottom w:val="single" w:sz="4" w:space="0" w:color="000000"/>
              <w:right w:val="single" w:sz="12" w:space="0" w:color="000000"/>
            </w:tcBorders>
            <w:vAlign w:val="center"/>
          </w:tcPr>
          <w:p w14:paraId="37707CF4" w14:textId="3335CE92" w:rsidR="00AA38E8" w:rsidRPr="00A82C85" w:rsidRDefault="00AA38E8" w:rsidP="00586B1D">
            <w:pPr>
              <w:tabs>
                <w:tab w:val="center" w:pos="534"/>
              </w:tabs>
              <w:spacing w:after="0" w:line="259" w:lineRule="auto"/>
              <w:ind w:left="0" w:right="0" w:firstLine="0"/>
              <w:jc w:val="center"/>
              <w:rPr>
                <w:sz w:val="18"/>
                <w:szCs w:val="18"/>
              </w:rPr>
            </w:pPr>
            <w:r>
              <w:rPr>
                <w:sz w:val="18"/>
                <w:szCs w:val="18"/>
              </w:rPr>
              <w:t>1 – 4</w:t>
            </w:r>
          </w:p>
        </w:tc>
        <w:tc>
          <w:tcPr>
            <w:tcW w:w="720" w:type="dxa"/>
            <w:tcBorders>
              <w:top w:val="single" w:sz="4" w:space="0" w:color="000000"/>
              <w:left w:val="single" w:sz="12" w:space="0" w:color="000000"/>
              <w:bottom w:val="single" w:sz="4" w:space="0" w:color="000000"/>
              <w:right w:val="single" w:sz="12" w:space="0" w:color="000000"/>
            </w:tcBorders>
            <w:vAlign w:val="center"/>
          </w:tcPr>
          <w:p w14:paraId="717674E7" w14:textId="77777777" w:rsidR="00AA38E8" w:rsidRPr="00A82C85" w:rsidRDefault="00AA38E8" w:rsidP="00586B1D">
            <w:pPr>
              <w:spacing w:after="0" w:line="259" w:lineRule="auto"/>
              <w:ind w:left="0" w:right="44" w:firstLine="0"/>
              <w:jc w:val="center"/>
              <w:rPr>
                <w:sz w:val="18"/>
                <w:szCs w:val="18"/>
              </w:rPr>
            </w:pPr>
            <w:r w:rsidRPr="00430F48">
              <w:rPr>
                <w:sz w:val="18"/>
                <w:szCs w:val="18"/>
              </w:rPr>
              <w:t>ng/L</w:t>
            </w:r>
          </w:p>
        </w:tc>
        <w:tc>
          <w:tcPr>
            <w:tcW w:w="1080" w:type="dxa"/>
            <w:tcBorders>
              <w:top w:val="single" w:sz="4" w:space="0" w:color="000000"/>
              <w:left w:val="single" w:sz="12" w:space="0" w:color="000000"/>
              <w:bottom w:val="single" w:sz="4" w:space="0" w:color="000000"/>
              <w:right w:val="single" w:sz="12" w:space="0" w:color="auto"/>
            </w:tcBorders>
            <w:vAlign w:val="center"/>
          </w:tcPr>
          <w:p w14:paraId="686FC112" w14:textId="77E79222" w:rsidR="00AA38E8" w:rsidRPr="00A82C85" w:rsidRDefault="00AA38E8" w:rsidP="00586B1D">
            <w:pPr>
              <w:tabs>
                <w:tab w:val="center" w:pos="354"/>
              </w:tabs>
              <w:spacing w:after="0" w:line="259" w:lineRule="auto"/>
              <w:ind w:left="0" w:right="0" w:firstLine="0"/>
              <w:jc w:val="center"/>
              <w:rPr>
                <w:sz w:val="18"/>
                <w:szCs w:val="18"/>
              </w:rPr>
            </w:pPr>
            <w:r w:rsidRPr="002B752E">
              <w:rPr>
                <w:sz w:val="18"/>
                <w:szCs w:val="18"/>
              </w:rPr>
              <w:t>0.16 – 0.4</w:t>
            </w:r>
          </w:p>
        </w:tc>
        <w:tc>
          <w:tcPr>
            <w:tcW w:w="810" w:type="dxa"/>
            <w:tcBorders>
              <w:top w:val="single" w:sz="4" w:space="0" w:color="auto"/>
              <w:left w:val="single" w:sz="12" w:space="0" w:color="auto"/>
              <w:bottom w:val="single" w:sz="4" w:space="0" w:color="auto"/>
              <w:right w:val="single" w:sz="12" w:space="0" w:color="000000"/>
            </w:tcBorders>
            <w:vAlign w:val="center"/>
          </w:tcPr>
          <w:p w14:paraId="224EB2D2" w14:textId="17173823" w:rsidR="00AA38E8" w:rsidRDefault="00AA38E8" w:rsidP="00586B1D">
            <w:pPr>
              <w:spacing w:after="0" w:line="259" w:lineRule="auto"/>
              <w:ind w:left="0" w:right="46" w:firstLine="0"/>
              <w:jc w:val="center"/>
            </w:pPr>
            <w:r w:rsidRPr="00B64759">
              <w:rPr>
                <w:rFonts w:eastAsia="Segoe UI Symbol"/>
                <w:sz w:val="18"/>
              </w:rPr>
              <w:t>u</w:t>
            </w:r>
            <w:r w:rsidRPr="00B64759">
              <w:rPr>
                <w:sz w:val="18"/>
              </w:rPr>
              <w:t>g/</w:t>
            </w:r>
            <w:r w:rsidRPr="005E0FBE">
              <w:rPr>
                <w:sz w:val="18"/>
                <w:szCs w:val="18"/>
              </w:rPr>
              <w:t>kg</w:t>
            </w:r>
          </w:p>
        </w:tc>
        <w:tc>
          <w:tcPr>
            <w:tcW w:w="990" w:type="dxa"/>
            <w:tcBorders>
              <w:top w:val="single" w:sz="4" w:space="0" w:color="000000"/>
              <w:left w:val="single" w:sz="12" w:space="0" w:color="000000"/>
              <w:bottom w:val="single" w:sz="4" w:space="0" w:color="000000"/>
              <w:right w:val="single" w:sz="12" w:space="0" w:color="000000"/>
            </w:tcBorders>
            <w:vAlign w:val="center"/>
          </w:tcPr>
          <w:p w14:paraId="402EEF9E" w14:textId="70F1DA62" w:rsidR="00AA38E8" w:rsidRDefault="00AA38E8" w:rsidP="00586B1D">
            <w:pPr>
              <w:spacing w:after="0" w:line="259" w:lineRule="auto"/>
              <w:ind w:left="0" w:right="45" w:firstLine="0"/>
              <w:jc w:val="center"/>
            </w:pPr>
            <w:r w:rsidRPr="00372D1A">
              <w:rPr>
                <w:sz w:val="18"/>
                <w:szCs w:val="18"/>
              </w:rPr>
              <w:t>1633</w:t>
            </w:r>
          </w:p>
        </w:tc>
        <w:tc>
          <w:tcPr>
            <w:tcW w:w="540" w:type="dxa"/>
            <w:tcBorders>
              <w:top w:val="single" w:sz="4" w:space="0" w:color="000000"/>
              <w:left w:val="single" w:sz="12" w:space="0" w:color="000000"/>
              <w:bottom w:val="single" w:sz="4" w:space="0" w:color="000000"/>
              <w:right w:val="single" w:sz="12" w:space="0" w:color="000000"/>
            </w:tcBorders>
            <w:vAlign w:val="center"/>
          </w:tcPr>
          <w:p w14:paraId="63AB4541" w14:textId="77777777" w:rsidR="00AA38E8" w:rsidRDefault="00AA38E8" w:rsidP="00AA38E8">
            <w:pPr>
              <w:spacing w:after="0" w:line="259" w:lineRule="auto"/>
              <w:ind w:left="0" w:right="5" w:firstLine="0"/>
              <w:jc w:val="center"/>
            </w:pPr>
          </w:p>
        </w:tc>
      </w:tr>
      <w:tr w:rsidR="00E91CEF" w14:paraId="7A791401" w14:textId="77777777" w:rsidTr="000C4B7A">
        <w:trPr>
          <w:trHeight w:val="250"/>
        </w:trPr>
        <w:tc>
          <w:tcPr>
            <w:tcW w:w="4230" w:type="dxa"/>
            <w:tcBorders>
              <w:top w:val="single" w:sz="4" w:space="0" w:color="000000"/>
              <w:left w:val="single" w:sz="12" w:space="0" w:color="000000"/>
              <w:bottom w:val="single" w:sz="4" w:space="0" w:color="000000"/>
              <w:right w:val="single" w:sz="12" w:space="0" w:color="000000"/>
            </w:tcBorders>
            <w:vAlign w:val="center"/>
          </w:tcPr>
          <w:p w14:paraId="007C9E63" w14:textId="40DDA19B" w:rsidR="00AA38E8" w:rsidRPr="00735EA6" w:rsidRDefault="00AA38E8" w:rsidP="00AA38E8">
            <w:pPr>
              <w:spacing w:after="0" w:line="259" w:lineRule="auto"/>
              <w:ind w:left="0" w:right="0" w:firstLine="0"/>
              <w:rPr>
                <w:sz w:val="18"/>
                <w:szCs w:val="18"/>
              </w:rPr>
            </w:pPr>
            <w:proofErr w:type="spellStart"/>
            <w:r>
              <w:rPr>
                <w:sz w:val="18"/>
                <w:szCs w:val="18"/>
              </w:rPr>
              <w:t>Perfluorotetradecanoic</w:t>
            </w:r>
            <w:proofErr w:type="spellEnd"/>
            <w:r>
              <w:rPr>
                <w:sz w:val="18"/>
                <w:szCs w:val="18"/>
              </w:rPr>
              <w:t xml:space="preserve"> acid (</w:t>
            </w:r>
            <w:proofErr w:type="spellStart"/>
            <w:r>
              <w:rPr>
                <w:sz w:val="18"/>
                <w:szCs w:val="18"/>
              </w:rPr>
              <w:t>PFTeDA</w:t>
            </w:r>
            <w:proofErr w:type="spellEnd"/>
            <w:r>
              <w:rPr>
                <w:sz w:val="18"/>
                <w:szCs w:val="18"/>
              </w:rPr>
              <w:t>)</w:t>
            </w:r>
          </w:p>
        </w:tc>
        <w:tc>
          <w:tcPr>
            <w:tcW w:w="1170" w:type="dxa"/>
            <w:tcBorders>
              <w:top w:val="single" w:sz="4" w:space="0" w:color="000000"/>
              <w:left w:val="single" w:sz="12" w:space="0" w:color="000000"/>
              <w:bottom w:val="single" w:sz="4" w:space="0" w:color="000000"/>
              <w:right w:val="single" w:sz="12" w:space="0" w:color="000000"/>
            </w:tcBorders>
            <w:vAlign w:val="center"/>
          </w:tcPr>
          <w:p w14:paraId="47D4EE04" w14:textId="5029E69D" w:rsidR="00AA38E8" w:rsidRPr="00735EA6" w:rsidRDefault="00AA38E8" w:rsidP="00AA38E8">
            <w:pPr>
              <w:spacing w:after="0" w:line="259" w:lineRule="auto"/>
              <w:ind w:left="0" w:right="44" w:firstLine="0"/>
              <w:jc w:val="center"/>
              <w:rPr>
                <w:sz w:val="18"/>
                <w:szCs w:val="18"/>
              </w:rPr>
            </w:pPr>
            <w:r>
              <w:rPr>
                <w:sz w:val="18"/>
                <w:szCs w:val="18"/>
              </w:rPr>
              <w:t>376-06-7</w:t>
            </w:r>
          </w:p>
        </w:tc>
        <w:tc>
          <w:tcPr>
            <w:tcW w:w="990" w:type="dxa"/>
            <w:tcBorders>
              <w:top w:val="single" w:sz="4" w:space="0" w:color="000000"/>
              <w:left w:val="single" w:sz="12" w:space="0" w:color="000000"/>
              <w:bottom w:val="single" w:sz="4" w:space="0" w:color="000000"/>
              <w:right w:val="single" w:sz="12" w:space="0" w:color="000000"/>
            </w:tcBorders>
            <w:vAlign w:val="center"/>
          </w:tcPr>
          <w:p w14:paraId="4EBBF62E" w14:textId="56332F21" w:rsidR="00AA38E8" w:rsidRPr="00A82C85" w:rsidRDefault="00AA38E8" w:rsidP="00586B1D">
            <w:pPr>
              <w:tabs>
                <w:tab w:val="center" w:pos="488"/>
              </w:tabs>
              <w:spacing w:after="0" w:line="259" w:lineRule="auto"/>
              <w:ind w:left="0" w:right="0" w:firstLine="0"/>
              <w:jc w:val="center"/>
              <w:rPr>
                <w:sz w:val="18"/>
                <w:szCs w:val="18"/>
              </w:rPr>
            </w:pPr>
            <w:r>
              <w:rPr>
                <w:sz w:val="18"/>
                <w:szCs w:val="18"/>
              </w:rPr>
              <w:t>1 - 4</w:t>
            </w:r>
          </w:p>
        </w:tc>
        <w:tc>
          <w:tcPr>
            <w:tcW w:w="720" w:type="dxa"/>
            <w:tcBorders>
              <w:top w:val="single" w:sz="4" w:space="0" w:color="000000"/>
              <w:left w:val="single" w:sz="12" w:space="0" w:color="000000"/>
              <w:bottom w:val="single" w:sz="4" w:space="0" w:color="000000"/>
              <w:right w:val="single" w:sz="12" w:space="0" w:color="000000"/>
            </w:tcBorders>
            <w:vAlign w:val="center"/>
          </w:tcPr>
          <w:p w14:paraId="1BE02924" w14:textId="77777777" w:rsidR="00AA38E8" w:rsidRPr="00A82C85" w:rsidRDefault="00AA38E8" w:rsidP="00586B1D">
            <w:pPr>
              <w:spacing w:after="0" w:line="259" w:lineRule="auto"/>
              <w:ind w:left="0" w:right="44" w:firstLine="0"/>
              <w:jc w:val="center"/>
              <w:rPr>
                <w:sz w:val="18"/>
                <w:szCs w:val="18"/>
              </w:rPr>
            </w:pPr>
            <w:r w:rsidRPr="00430F48">
              <w:rPr>
                <w:sz w:val="18"/>
                <w:szCs w:val="18"/>
              </w:rPr>
              <w:t>ng/L</w:t>
            </w:r>
          </w:p>
        </w:tc>
        <w:tc>
          <w:tcPr>
            <w:tcW w:w="1080" w:type="dxa"/>
            <w:tcBorders>
              <w:top w:val="single" w:sz="4" w:space="0" w:color="000000"/>
              <w:left w:val="single" w:sz="12" w:space="0" w:color="000000"/>
              <w:bottom w:val="single" w:sz="4" w:space="0" w:color="000000"/>
              <w:right w:val="single" w:sz="12" w:space="0" w:color="000000"/>
            </w:tcBorders>
            <w:vAlign w:val="center"/>
          </w:tcPr>
          <w:p w14:paraId="0197092C" w14:textId="09DE0A81" w:rsidR="00AA38E8" w:rsidRPr="00A82C85" w:rsidRDefault="00AA38E8" w:rsidP="00586B1D">
            <w:pPr>
              <w:tabs>
                <w:tab w:val="center" w:pos="399"/>
              </w:tabs>
              <w:spacing w:after="0" w:line="259" w:lineRule="auto"/>
              <w:ind w:left="0" w:right="0" w:firstLine="0"/>
              <w:jc w:val="center"/>
              <w:rPr>
                <w:sz w:val="18"/>
                <w:szCs w:val="18"/>
              </w:rPr>
            </w:pPr>
            <w:r w:rsidRPr="002B752E">
              <w:rPr>
                <w:sz w:val="18"/>
                <w:szCs w:val="18"/>
              </w:rPr>
              <w:t>0.16 – 0.4</w:t>
            </w:r>
          </w:p>
        </w:tc>
        <w:tc>
          <w:tcPr>
            <w:tcW w:w="810" w:type="dxa"/>
            <w:tcBorders>
              <w:top w:val="single" w:sz="4" w:space="0" w:color="auto"/>
              <w:left w:val="single" w:sz="12" w:space="0" w:color="000000"/>
              <w:bottom w:val="single" w:sz="4" w:space="0" w:color="000000"/>
              <w:right w:val="single" w:sz="12" w:space="0" w:color="000000"/>
            </w:tcBorders>
            <w:vAlign w:val="center"/>
          </w:tcPr>
          <w:p w14:paraId="1A478E37" w14:textId="3BD5A1DF" w:rsidR="00AA38E8" w:rsidRDefault="00AA38E8" w:rsidP="00586B1D">
            <w:pPr>
              <w:spacing w:after="0" w:line="259" w:lineRule="auto"/>
              <w:ind w:left="0" w:right="46" w:firstLine="0"/>
              <w:jc w:val="center"/>
            </w:pPr>
            <w:r w:rsidRPr="00B64759">
              <w:rPr>
                <w:rFonts w:eastAsia="Segoe UI Symbol"/>
                <w:sz w:val="18"/>
              </w:rPr>
              <w:t>u</w:t>
            </w:r>
            <w:r w:rsidRPr="00B64759">
              <w:rPr>
                <w:sz w:val="18"/>
              </w:rPr>
              <w:t>g/</w:t>
            </w:r>
            <w:r w:rsidRPr="005E0FBE">
              <w:rPr>
                <w:sz w:val="18"/>
                <w:szCs w:val="18"/>
              </w:rPr>
              <w:t>kg</w:t>
            </w:r>
          </w:p>
        </w:tc>
        <w:tc>
          <w:tcPr>
            <w:tcW w:w="990" w:type="dxa"/>
            <w:tcBorders>
              <w:top w:val="single" w:sz="4" w:space="0" w:color="000000"/>
              <w:left w:val="single" w:sz="12" w:space="0" w:color="000000"/>
              <w:bottom w:val="single" w:sz="4" w:space="0" w:color="000000"/>
              <w:right w:val="single" w:sz="12" w:space="0" w:color="000000"/>
            </w:tcBorders>
            <w:vAlign w:val="center"/>
          </w:tcPr>
          <w:p w14:paraId="4627946C" w14:textId="0953DA64" w:rsidR="00AA38E8" w:rsidRDefault="00AA38E8" w:rsidP="00586B1D">
            <w:pPr>
              <w:spacing w:after="0" w:line="259" w:lineRule="auto"/>
              <w:ind w:left="0" w:right="45" w:firstLine="0"/>
              <w:jc w:val="center"/>
            </w:pPr>
            <w:r w:rsidRPr="00372D1A">
              <w:rPr>
                <w:sz w:val="18"/>
                <w:szCs w:val="18"/>
              </w:rPr>
              <w:t>1633</w:t>
            </w:r>
          </w:p>
        </w:tc>
        <w:tc>
          <w:tcPr>
            <w:tcW w:w="540" w:type="dxa"/>
            <w:tcBorders>
              <w:top w:val="single" w:sz="4" w:space="0" w:color="000000"/>
              <w:left w:val="single" w:sz="12" w:space="0" w:color="000000"/>
              <w:bottom w:val="single" w:sz="4" w:space="0" w:color="000000"/>
              <w:right w:val="single" w:sz="12" w:space="0" w:color="000000"/>
            </w:tcBorders>
            <w:vAlign w:val="center"/>
          </w:tcPr>
          <w:p w14:paraId="7775BA4D" w14:textId="77777777" w:rsidR="00AA38E8" w:rsidRDefault="00AA38E8" w:rsidP="00AA38E8">
            <w:pPr>
              <w:spacing w:after="0" w:line="259" w:lineRule="auto"/>
              <w:ind w:left="0" w:right="5" w:firstLine="0"/>
              <w:jc w:val="center"/>
            </w:pPr>
          </w:p>
        </w:tc>
      </w:tr>
      <w:tr w:rsidR="00E91CEF" w14:paraId="7996038F" w14:textId="77777777" w:rsidTr="000C4B7A">
        <w:trPr>
          <w:trHeight w:val="250"/>
        </w:trPr>
        <w:tc>
          <w:tcPr>
            <w:tcW w:w="4230" w:type="dxa"/>
            <w:tcBorders>
              <w:top w:val="single" w:sz="4" w:space="0" w:color="000000"/>
              <w:left w:val="single" w:sz="12" w:space="0" w:color="000000"/>
              <w:bottom w:val="single" w:sz="4" w:space="0" w:color="000000"/>
              <w:right w:val="single" w:sz="12" w:space="0" w:color="000000"/>
            </w:tcBorders>
            <w:vAlign w:val="center"/>
          </w:tcPr>
          <w:p w14:paraId="12016A45" w14:textId="27109194" w:rsidR="00AA38E8" w:rsidRPr="00735EA6" w:rsidRDefault="00AA38E8" w:rsidP="00AA38E8">
            <w:pPr>
              <w:spacing w:after="0" w:line="259" w:lineRule="auto"/>
              <w:ind w:left="0" w:right="0" w:firstLine="0"/>
              <w:rPr>
                <w:sz w:val="18"/>
                <w:szCs w:val="18"/>
              </w:rPr>
            </w:pPr>
            <w:proofErr w:type="spellStart"/>
            <w:r>
              <w:rPr>
                <w:sz w:val="18"/>
                <w:szCs w:val="18"/>
              </w:rPr>
              <w:t>Perfluorobutanesulfonic</w:t>
            </w:r>
            <w:proofErr w:type="spellEnd"/>
            <w:r>
              <w:rPr>
                <w:sz w:val="18"/>
                <w:szCs w:val="18"/>
              </w:rPr>
              <w:t xml:space="preserve"> acid (PFBS)</w:t>
            </w:r>
          </w:p>
        </w:tc>
        <w:tc>
          <w:tcPr>
            <w:tcW w:w="1170" w:type="dxa"/>
            <w:tcBorders>
              <w:top w:val="single" w:sz="4" w:space="0" w:color="000000"/>
              <w:left w:val="single" w:sz="12" w:space="0" w:color="000000"/>
              <w:bottom w:val="single" w:sz="4" w:space="0" w:color="000000"/>
              <w:right w:val="single" w:sz="12" w:space="0" w:color="000000"/>
            </w:tcBorders>
            <w:vAlign w:val="center"/>
          </w:tcPr>
          <w:p w14:paraId="5B568EF0" w14:textId="41ADAA57" w:rsidR="00AA38E8" w:rsidRPr="00735EA6" w:rsidRDefault="00AA38E8" w:rsidP="00AA38E8">
            <w:pPr>
              <w:spacing w:after="0" w:line="259" w:lineRule="auto"/>
              <w:ind w:left="0" w:right="44" w:firstLine="0"/>
              <w:jc w:val="center"/>
              <w:rPr>
                <w:sz w:val="18"/>
                <w:szCs w:val="18"/>
              </w:rPr>
            </w:pPr>
            <w:r>
              <w:rPr>
                <w:sz w:val="18"/>
                <w:szCs w:val="18"/>
              </w:rPr>
              <w:t>375-73-5</w:t>
            </w:r>
          </w:p>
        </w:tc>
        <w:tc>
          <w:tcPr>
            <w:tcW w:w="990" w:type="dxa"/>
            <w:tcBorders>
              <w:top w:val="single" w:sz="4" w:space="0" w:color="000000"/>
              <w:left w:val="single" w:sz="12" w:space="0" w:color="000000"/>
              <w:bottom w:val="single" w:sz="4" w:space="0" w:color="000000"/>
              <w:right w:val="single" w:sz="12" w:space="0" w:color="000000"/>
            </w:tcBorders>
            <w:vAlign w:val="center"/>
          </w:tcPr>
          <w:p w14:paraId="22B67E08" w14:textId="06DADF68" w:rsidR="00AA38E8" w:rsidRPr="00A82C85" w:rsidRDefault="00AA38E8" w:rsidP="00586B1D">
            <w:pPr>
              <w:tabs>
                <w:tab w:val="center" w:pos="534"/>
              </w:tabs>
              <w:spacing w:after="0" w:line="259" w:lineRule="auto"/>
              <w:ind w:left="0" w:right="0" w:firstLine="0"/>
              <w:jc w:val="center"/>
              <w:rPr>
                <w:sz w:val="18"/>
                <w:szCs w:val="18"/>
              </w:rPr>
            </w:pPr>
            <w:r w:rsidRPr="00E74315">
              <w:rPr>
                <w:sz w:val="18"/>
                <w:szCs w:val="18"/>
              </w:rPr>
              <w:t>1 - 4</w:t>
            </w:r>
          </w:p>
        </w:tc>
        <w:tc>
          <w:tcPr>
            <w:tcW w:w="720" w:type="dxa"/>
            <w:tcBorders>
              <w:top w:val="single" w:sz="4" w:space="0" w:color="000000"/>
              <w:left w:val="single" w:sz="12" w:space="0" w:color="000000"/>
              <w:bottom w:val="single" w:sz="4" w:space="0" w:color="000000"/>
              <w:right w:val="single" w:sz="12" w:space="0" w:color="000000"/>
            </w:tcBorders>
            <w:vAlign w:val="center"/>
          </w:tcPr>
          <w:p w14:paraId="4E0DC183" w14:textId="77777777" w:rsidR="00AA38E8" w:rsidRPr="00A82C85" w:rsidRDefault="00AA38E8" w:rsidP="00586B1D">
            <w:pPr>
              <w:spacing w:after="0" w:line="259" w:lineRule="auto"/>
              <w:ind w:left="0" w:right="44" w:firstLine="0"/>
              <w:jc w:val="center"/>
              <w:rPr>
                <w:sz w:val="18"/>
                <w:szCs w:val="18"/>
              </w:rPr>
            </w:pPr>
            <w:r w:rsidRPr="00430F48">
              <w:rPr>
                <w:sz w:val="18"/>
                <w:szCs w:val="18"/>
              </w:rPr>
              <w:t>ng/L</w:t>
            </w:r>
          </w:p>
        </w:tc>
        <w:tc>
          <w:tcPr>
            <w:tcW w:w="1080" w:type="dxa"/>
            <w:tcBorders>
              <w:top w:val="single" w:sz="4" w:space="0" w:color="000000"/>
              <w:left w:val="single" w:sz="12" w:space="0" w:color="000000"/>
              <w:bottom w:val="single" w:sz="4" w:space="0" w:color="000000"/>
              <w:right w:val="single" w:sz="12" w:space="0" w:color="000000"/>
            </w:tcBorders>
            <w:vAlign w:val="center"/>
          </w:tcPr>
          <w:p w14:paraId="00C598CF" w14:textId="2645BCEC" w:rsidR="00AA38E8" w:rsidRPr="00A82C85" w:rsidRDefault="00AA38E8" w:rsidP="00586B1D">
            <w:pPr>
              <w:tabs>
                <w:tab w:val="center" w:pos="445"/>
              </w:tabs>
              <w:spacing w:after="0" w:line="259" w:lineRule="auto"/>
              <w:ind w:left="0" w:right="0" w:firstLine="0"/>
              <w:jc w:val="center"/>
              <w:rPr>
                <w:sz w:val="18"/>
                <w:szCs w:val="18"/>
              </w:rPr>
            </w:pPr>
            <w:r w:rsidRPr="002B752E">
              <w:rPr>
                <w:sz w:val="18"/>
                <w:szCs w:val="18"/>
              </w:rPr>
              <w:t>0.16 – 0.4</w:t>
            </w:r>
          </w:p>
        </w:tc>
        <w:tc>
          <w:tcPr>
            <w:tcW w:w="810" w:type="dxa"/>
            <w:tcBorders>
              <w:top w:val="single" w:sz="4" w:space="0" w:color="000000"/>
              <w:left w:val="single" w:sz="12" w:space="0" w:color="000000"/>
              <w:bottom w:val="single" w:sz="4" w:space="0" w:color="000000"/>
              <w:right w:val="single" w:sz="12" w:space="0" w:color="000000"/>
            </w:tcBorders>
            <w:vAlign w:val="center"/>
          </w:tcPr>
          <w:p w14:paraId="3783E4FD" w14:textId="4BEFB464" w:rsidR="00AA38E8" w:rsidRDefault="00AA38E8" w:rsidP="00586B1D">
            <w:pPr>
              <w:spacing w:after="0" w:line="259" w:lineRule="auto"/>
              <w:ind w:left="0" w:right="46" w:firstLine="0"/>
              <w:jc w:val="center"/>
            </w:pPr>
            <w:r w:rsidRPr="00B64759">
              <w:rPr>
                <w:rFonts w:eastAsia="Segoe UI Symbol"/>
                <w:sz w:val="18"/>
              </w:rPr>
              <w:t>u</w:t>
            </w:r>
            <w:r w:rsidRPr="00B64759">
              <w:rPr>
                <w:sz w:val="18"/>
              </w:rPr>
              <w:t>g/</w:t>
            </w:r>
            <w:r w:rsidRPr="005E0FBE">
              <w:rPr>
                <w:sz w:val="18"/>
                <w:szCs w:val="18"/>
              </w:rPr>
              <w:t>kg</w:t>
            </w:r>
          </w:p>
        </w:tc>
        <w:tc>
          <w:tcPr>
            <w:tcW w:w="990" w:type="dxa"/>
            <w:tcBorders>
              <w:top w:val="single" w:sz="4" w:space="0" w:color="000000"/>
              <w:left w:val="single" w:sz="12" w:space="0" w:color="000000"/>
              <w:bottom w:val="single" w:sz="4" w:space="0" w:color="000000"/>
              <w:right w:val="single" w:sz="12" w:space="0" w:color="000000"/>
            </w:tcBorders>
            <w:vAlign w:val="center"/>
          </w:tcPr>
          <w:p w14:paraId="59F482B2" w14:textId="70EDDA4F" w:rsidR="00AA38E8" w:rsidRDefault="00AA38E8" w:rsidP="00586B1D">
            <w:pPr>
              <w:spacing w:after="0" w:line="259" w:lineRule="auto"/>
              <w:ind w:left="0" w:right="45" w:firstLine="0"/>
              <w:jc w:val="center"/>
            </w:pPr>
            <w:r w:rsidRPr="00372D1A">
              <w:rPr>
                <w:sz w:val="18"/>
                <w:szCs w:val="18"/>
              </w:rPr>
              <w:t>1633</w:t>
            </w:r>
          </w:p>
        </w:tc>
        <w:tc>
          <w:tcPr>
            <w:tcW w:w="540" w:type="dxa"/>
            <w:tcBorders>
              <w:top w:val="single" w:sz="4" w:space="0" w:color="000000"/>
              <w:left w:val="single" w:sz="12" w:space="0" w:color="000000"/>
              <w:bottom w:val="single" w:sz="4" w:space="0" w:color="000000"/>
              <w:right w:val="single" w:sz="12" w:space="0" w:color="000000"/>
            </w:tcBorders>
            <w:vAlign w:val="center"/>
          </w:tcPr>
          <w:p w14:paraId="1446C23B" w14:textId="77777777" w:rsidR="00AA38E8" w:rsidRDefault="00AA38E8" w:rsidP="00AA38E8">
            <w:pPr>
              <w:spacing w:after="0" w:line="259" w:lineRule="auto"/>
              <w:ind w:left="0" w:right="48" w:firstLine="0"/>
              <w:jc w:val="center"/>
            </w:pPr>
          </w:p>
        </w:tc>
      </w:tr>
      <w:tr w:rsidR="00E91CEF" w14:paraId="6150D708" w14:textId="77777777" w:rsidTr="000C4B7A">
        <w:trPr>
          <w:trHeight w:val="250"/>
        </w:trPr>
        <w:tc>
          <w:tcPr>
            <w:tcW w:w="4230" w:type="dxa"/>
            <w:tcBorders>
              <w:top w:val="single" w:sz="4" w:space="0" w:color="000000"/>
              <w:left w:val="single" w:sz="12" w:space="0" w:color="000000"/>
              <w:bottom w:val="single" w:sz="4" w:space="0" w:color="000000"/>
              <w:right w:val="single" w:sz="12" w:space="0" w:color="000000"/>
            </w:tcBorders>
            <w:vAlign w:val="center"/>
          </w:tcPr>
          <w:p w14:paraId="0B1372A6" w14:textId="187D013E" w:rsidR="00AA38E8" w:rsidRPr="00735EA6" w:rsidRDefault="00AA38E8" w:rsidP="00AA38E8">
            <w:pPr>
              <w:spacing w:after="0" w:line="259" w:lineRule="auto"/>
              <w:ind w:left="0" w:right="0" w:firstLine="0"/>
              <w:rPr>
                <w:sz w:val="18"/>
                <w:szCs w:val="18"/>
              </w:rPr>
            </w:pPr>
            <w:proofErr w:type="spellStart"/>
            <w:r>
              <w:rPr>
                <w:sz w:val="18"/>
                <w:szCs w:val="18"/>
              </w:rPr>
              <w:t>Perfluoropentanesulfonic</w:t>
            </w:r>
            <w:proofErr w:type="spellEnd"/>
            <w:r>
              <w:rPr>
                <w:sz w:val="18"/>
                <w:szCs w:val="18"/>
              </w:rPr>
              <w:t xml:space="preserve"> acid (</w:t>
            </w:r>
            <w:proofErr w:type="spellStart"/>
            <w:r>
              <w:rPr>
                <w:sz w:val="18"/>
                <w:szCs w:val="18"/>
              </w:rPr>
              <w:t>PFPeS</w:t>
            </w:r>
            <w:proofErr w:type="spellEnd"/>
            <w:r>
              <w:rPr>
                <w:sz w:val="18"/>
                <w:szCs w:val="18"/>
              </w:rPr>
              <w:t>)</w:t>
            </w:r>
          </w:p>
        </w:tc>
        <w:tc>
          <w:tcPr>
            <w:tcW w:w="1170" w:type="dxa"/>
            <w:tcBorders>
              <w:top w:val="single" w:sz="4" w:space="0" w:color="000000"/>
              <w:left w:val="single" w:sz="12" w:space="0" w:color="000000"/>
              <w:bottom w:val="single" w:sz="4" w:space="0" w:color="000000"/>
              <w:right w:val="single" w:sz="12" w:space="0" w:color="000000"/>
            </w:tcBorders>
            <w:vAlign w:val="center"/>
          </w:tcPr>
          <w:p w14:paraId="0421FACA" w14:textId="0EA5784D" w:rsidR="00AA38E8" w:rsidRPr="00735EA6" w:rsidRDefault="00AA38E8" w:rsidP="00AA38E8">
            <w:pPr>
              <w:spacing w:after="0" w:line="259" w:lineRule="auto"/>
              <w:ind w:left="0" w:right="44" w:firstLine="0"/>
              <w:jc w:val="center"/>
              <w:rPr>
                <w:sz w:val="18"/>
                <w:szCs w:val="18"/>
              </w:rPr>
            </w:pPr>
            <w:r>
              <w:rPr>
                <w:sz w:val="18"/>
                <w:szCs w:val="18"/>
              </w:rPr>
              <w:t>2706-91-4</w:t>
            </w:r>
          </w:p>
        </w:tc>
        <w:tc>
          <w:tcPr>
            <w:tcW w:w="990" w:type="dxa"/>
            <w:tcBorders>
              <w:top w:val="single" w:sz="4" w:space="0" w:color="000000"/>
              <w:left w:val="single" w:sz="12" w:space="0" w:color="000000"/>
              <w:bottom w:val="single" w:sz="4" w:space="0" w:color="000000"/>
              <w:right w:val="single" w:sz="12" w:space="0" w:color="000000"/>
            </w:tcBorders>
            <w:vAlign w:val="center"/>
          </w:tcPr>
          <w:p w14:paraId="269EB881" w14:textId="249EE0A1" w:rsidR="00AA38E8" w:rsidRPr="00A82C85" w:rsidRDefault="00AA38E8" w:rsidP="00586B1D">
            <w:pPr>
              <w:tabs>
                <w:tab w:val="center" w:pos="534"/>
              </w:tabs>
              <w:spacing w:after="0" w:line="259" w:lineRule="auto"/>
              <w:ind w:left="0" w:right="0" w:firstLine="0"/>
              <w:jc w:val="center"/>
              <w:rPr>
                <w:sz w:val="18"/>
                <w:szCs w:val="18"/>
              </w:rPr>
            </w:pPr>
            <w:r w:rsidRPr="00E74315">
              <w:rPr>
                <w:sz w:val="18"/>
                <w:szCs w:val="18"/>
              </w:rPr>
              <w:t>1 - 4</w:t>
            </w:r>
          </w:p>
        </w:tc>
        <w:tc>
          <w:tcPr>
            <w:tcW w:w="720" w:type="dxa"/>
            <w:tcBorders>
              <w:top w:val="single" w:sz="4" w:space="0" w:color="000000"/>
              <w:left w:val="single" w:sz="12" w:space="0" w:color="000000"/>
              <w:bottom w:val="single" w:sz="4" w:space="0" w:color="000000"/>
              <w:right w:val="single" w:sz="12" w:space="0" w:color="000000"/>
            </w:tcBorders>
            <w:vAlign w:val="center"/>
          </w:tcPr>
          <w:p w14:paraId="3218EB48" w14:textId="77777777" w:rsidR="00AA38E8" w:rsidRPr="00A82C85" w:rsidRDefault="00AA38E8" w:rsidP="00586B1D">
            <w:pPr>
              <w:spacing w:after="0" w:line="259" w:lineRule="auto"/>
              <w:ind w:left="0" w:right="44" w:firstLine="0"/>
              <w:jc w:val="center"/>
              <w:rPr>
                <w:sz w:val="18"/>
                <w:szCs w:val="18"/>
              </w:rPr>
            </w:pPr>
            <w:r w:rsidRPr="00430F48">
              <w:rPr>
                <w:sz w:val="18"/>
                <w:szCs w:val="18"/>
              </w:rPr>
              <w:t>ng/L</w:t>
            </w:r>
          </w:p>
        </w:tc>
        <w:tc>
          <w:tcPr>
            <w:tcW w:w="1080" w:type="dxa"/>
            <w:tcBorders>
              <w:top w:val="single" w:sz="4" w:space="0" w:color="000000"/>
              <w:left w:val="single" w:sz="12" w:space="0" w:color="000000"/>
              <w:bottom w:val="single" w:sz="4" w:space="0" w:color="000000"/>
              <w:right w:val="single" w:sz="12" w:space="0" w:color="000000"/>
            </w:tcBorders>
            <w:vAlign w:val="center"/>
          </w:tcPr>
          <w:p w14:paraId="0106E866" w14:textId="5C6D7D34" w:rsidR="00AA38E8" w:rsidRPr="00A82C85" w:rsidRDefault="00AA38E8" w:rsidP="00586B1D">
            <w:pPr>
              <w:tabs>
                <w:tab w:val="center" w:pos="445"/>
              </w:tabs>
              <w:spacing w:after="0" w:line="259" w:lineRule="auto"/>
              <w:ind w:left="0" w:right="0" w:firstLine="0"/>
              <w:jc w:val="center"/>
              <w:rPr>
                <w:sz w:val="18"/>
                <w:szCs w:val="18"/>
              </w:rPr>
            </w:pPr>
            <w:r w:rsidRPr="002B752E">
              <w:rPr>
                <w:sz w:val="18"/>
                <w:szCs w:val="18"/>
              </w:rPr>
              <w:t>0.16 – 0.4</w:t>
            </w:r>
          </w:p>
        </w:tc>
        <w:tc>
          <w:tcPr>
            <w:tcW w:w="810" w:type="dxa"/>
            <w:tcBorders>
              <w:top w:val="single" w:sz="4" w:space="0" w:color="000000"/>
              <w:left w:val="single" w:sz="12" w:space="0" w:color="000000"/>
              <w:bottom w:val="single" w:sz="4" w:space="0" w:color="000000"/>
              <w:right w:val="single" w:sz="12" w:space="0" w:color="000000"/>
            </w:tcBorders>
            <w:vAlign w:val="center"/>
          </w:tcPr>
          <w:p w14:paraId="010E5039" w14:textId="7C3CB090" w:rsidR="00AA38E8" w:rsidRDefault="00AA38E8" w:rsidP="00586B1D">
            <w:pPr>
              <w:spacing w:after="0" w:line="259" w:lineRule="auto"/>
              <w:ind w:left="0" w:right="46" w:firstLine="0"/>
              <w:jc w:val="center"/>
            </w:pPr>
            <w:r w:rsidRPr="00B64759">
              <w:rPr>
                <w:rFonts w:eastAsia="Segoe UI Symbol"/>
                <w:sz w:val="18"/>
              </w:rPr>
              <w:t>u</w:t>
            </w:r>
            <w:r w:rsidRPr="00B64759">
              <w:rPr>
                <w:sz w:val="18"/>
              </w:rPr>
              <w:t>g/</w:t>
            </w:r>
            <w:r w:rsidRPr="005E0FBE">
              <w:rPr>
                <w:sz w:val="18"/>
                <w:szCs w:val="18"/>
              </w:rPr>
              <w:t>kg</w:t>
            </w:r>
          </w:p>
        </w:tc>
        <w:tc>
          <w:tcPr>
            <w:tcW w:w="990" w:type="dxa"/>
            <w:tcBorders>
              <w:top w:val="single" w:sz="4" w:space="0" w:color="000000"/>
              <w:left w:val="single" w:sz="12" w:space="0" w:color="000000"/>
              <w:bottom w:val="single" w:sz="4" w:space="0" w:color="000000"/>
              <w:right w:val="single" w:sz="12" w:space="0" w:color="000000"/>
            </w:tcBorders>
            <w:vAlign w:val="center"/>
          </w:tcPr>
          <w:p w14:paraId="1D2852E8" w14:textId="6FDCFA70" w:rsidR="00AA38E8" w:rsidRDefault="00AA38E8" w:rsidP="00586B1D">
            <w:pPr>
              <w:spacing w:after="0" w:line="259" w:lineRule="auto"/>
              <w:ind w:left="0" w:right="45" w:firstLine="0"/>
              <w:jc w:val="center"/>
            </w:pPr>
            <w:r w:rsidRPr="00372D1A">
              <w:rPr>
                <w:sz w:val="18"/>
                <w:szCs w:val="18"/>
              </w:rPr>
              <w:t>1633</w:t>
            </w:r>
          </w:p>
        </w:tc>
        <w:tc>
          <w:tcPr>
            <w:tcW w:w="540" w:type="dxa"/>
            <w:tcBorders>
              <w:top w:val="single" w:sz="4" w:space="0" w:color="000000"/>
              <w:left w:val="single" w:sz="12" w:space="0" w:color="000000"/>
              <w:bottom w:val="single" w:sz="4" w:space="0" w:color="000000"/>
              <w:right w:val="single" w:sz="12" w:space="0" w:color="000000"/>
            </w:tcBorders>
            <w:vAlign w:val="center"/>
          </w:tcPr>
          <w:p w14:paraId="2F015619" w14:textId="77777777" w:rsidR="00AA38E8" w:rsidRDefault="00AA38E8" w:rsidP="00AA38E8">
            <w:pPr>
              <w:spacing w:after="0" w:line="259" w:lineRule="auto"/>
              <w:ind w:left="0" w:right="48" w:firstLine="0"/>
              <w:jc w:val="center"/>
            </w:pPr>
          </w:p>
        </w:tc>
      </w:tr>
      <w:tr w:rsidR="00E91CEF" w14:paraId="31C2C279" w14:textId="77777777" w:rsidTr="000C4B7A">
        <w:trPr>
          <w:trHeight w:val="250"/>
        </w:trPr>
        <w:tc>
          <w:tcPr>
            <w:tcW w:w="4230" w:type="dxa"/>
            <w:tcBorders>
              <w:top w:val="single" w:sz="4" w:space="0" w:color="000000"/>
              <w:left w:val="single" w:sz="12" w:space="0" w:color="000000"/>
              <w:bottom w:val="single" w:sz="4" w:space="0" w:color="000000"/>
              <w:right w:val="single" w:sz="12" w:space="0" w:color="000000"/>
            </w:tcBorders>
            <w:vAlign w:val="center"/>
          </w:tcPr>
          <w:p w14:paraId="75563D36" w14:textId="1F400E9C" w:rsidR="00AA38E8" w:rsidRPr="00735EA6" w:rsidRDefault="00AA38E8" w:rsidP="00AA38E8">
            <w:pPr>
              <w:spacing w:after="0" w:line="259" w:lineRule="auto"/>
              <w:ind w:left="0" w:right="0" w:firstLine="0"/>
              <w:rPr>
                <w:sz w:val="18"/>
                <w:szCs w:val="18"/>
              </w:rPr>
            </w:pPr>
            <w:proofErr w:type="spellStart"/>
            <w:r>
              <w:rPr>
                <w:sz w:val="18"/>
                <w:szCs w:val="18"/>
              </w:rPr>
              <w:t>Perfluorohexanesulfonic</w:t>
            </w:r>
            <w:proofErr w:type="spellEnd"/>
            <w:r>
              <w:rPr>
                <w:sz w:val="18"/>
                <w:szCs w:val="18"/>
              </w:rPr>
              <w:t xml:space="preserve"> acid (</w:t>
            </w:r>
            <w:proofErr w:type="spellStart"/>
            <w:r>
              <w:rPr>
                <w:sz w:val="18"/>
                <w:szCs w:val="18"/>
              </w:rPr>
              <w:t>PFHxS</w:t>
            </w:r>
            <w:proofErr w:type="spellEnd"/>
            <w:r>
              <w:rPr>
                <w:sz w:val="18"/>
                <w:szCs w:val="18"/>
              </w:rPr>
              <w:t>)</w:t>
            </w:r>
          </w:p>
        </w:tc>
        <w:tc>
          <w:tcPr>
            <w:tcW w:w="1170" w:type="dxa"/>
            <w:tcBorders>
              <w:top w:val="single" w:sz="4" w:space="0" w:color="000000"/>
              <w:left w:val="single" w:sz="12" w:space="0" w:color="000000"/>
              <w:bottom w:val="single" w:sz="4" w:space="0" w:color="000000"/>
              <w:right w:val="single" w:sz="12" w:space="0" w:color="000000"/>
            </w:tcBorders>
            <w:vAlign w:val="center"/>
          </w:tcPr>
          <w:p w14:paraId="087726F9" w14:textId="777D3A7B" w:rsidR="00AA38E8" w:rsidRPr="00735EA6" w:rsidRDefault="00AA38E8" w:rsidP="00AA38E8">
            <w:pPr>
              <w:spacing w:after="0" w:line="259" w:lineRule="auto"/>
              <w:ind w:left="0" w:right="44" w:firstLine="0"/>
              <w:jc w:val="center"/>
              <w:rPr>
                <w:sz w:val="18"/>
                <w:szCs w:val="18"/>
              </w:rPr>
            </w:pPr>
            <w:r>
              <w:rPr>
                <w:sz w:val="18"/>
                <w:szCs w:val="18"/>
              </w:rPr>
              <w:t>355-46-4</w:t>
            </w:r>
          </w:p>
        </w:tc>
        <w:tc>
          <w:tcPr>
            <w:tcW w:w="990" w:type="dxa"/>
            <w:tcBorders>
              <w:top w:val="single" w:sz="4" w:space="0" w:color="000000"/>
              <w:left w:val="single" w:sz="12" w:space="0" w:color="000000"/>
              <w:bottom w:val="single" w:sz="4" w:space="0" w:color="000000"/>
              <w:right w:val="single" w:sz="12" w:space="0" w:color="000000"/>
            </w:tcBorders>
            <w:vAlign w:val="center"/>
          </w:tcPr>
          <w:p w14:paraId="5E1ED6BA" w14:textId="6BBC9459" w:rsidR="00AA38E8" w:rsidRPr="00A82C85" w:rsidRDefault="00AA38E8" w:rsidP="00586B1D">
            <w:pPr>
              <w:tabs>
                <w:tab w:val="center" w:pos="534"/>
              </w:tabs>
              <w:spacing w:after="0" w:line="259" w:lineRule="auto"/>
              <w:ind w:left="0" w:right="0" w:firstLine="0"/>
              <w:jc w:val="center"/>
              <w:rPr>
                <w:sz w:val="18"/>
                <w:szCs w:val="18"/>
              </w:rPr>
            </w:pPr>
            <w:r w:rsidRPr="00E74315">
              <w:rPr>
                <w:sz w:val="18"/>
                <w:szCs w:val="18"/>
              </w:rPr>
              <w:t>1 - 4</w:t>
            </w:r>
          </w:p>
        </w:tc>
        <w:tc>
          <w:tcPr>
            <w:tcW w:w="720" w:type="dxa"/>
            <w:tcBorders>
              <w:top w:val="single" w:sz="4" w:space="0" w:color="000000"/>
              <w:left w:val="single" w:sz="12" w:space="0" w:color="000000"/>
              <w:bottom w:val="single" w:sz="4" w:space="0" w:color="000000"/>
              <w:right w:val="single" w:sz="12" w:space="0" w:color="000000"/>
            </w:tcBorders>
            <w:vAlign w:val="center"/>
          </w:tcPr>
          <w:p w14:paraId="60208738" w14:textId="77777777" w:rsidR="00AA38E8" w:rsidRPr="00A82C85" w:rsidRDefault="00AA38E8" w:rsidP="00586B1D">
            <w:pPr>
              <w:spacing w:after="0" w:line="259" w:lineRule="auto"/>
              <w:ind w:left="0" w:right="44" w:firstLine="0"/>
              <w:jc w:val="center"/>
              <w:rPr>
                <w:sz w:val="18"/>
                <w:szCs w:val="18"/>
              </w:rPr>
            </w:pPr>
            <w:r w:rsidRPr="00430F48">
              <w:rPr>
                <w:sz w:val="18"/>
                <w:szCs w:val="18"/>
              </w:rPr>
              <w:t>ng/L</w:t>
            </w:r>
          </w:p>
        </w:tc>
        <w:tc>
          <w:tcPr>
            <w:tcW w:w="1080" w:type="dxa"/>
            <w:tcBorders>
              <w:top w:val="single" w:sz="4" w:space="0" w:color="000000"/>
              <w:left w:val="single" w:sz="12" w:space="0" w:color="000000"/>
              <w:bottom w:val="single" w:sz="4" w:space="0" w:color="000000"/>
              <w:right w:val="single" w:sz="12" w:space="0" w:color="000000"/>
            </w:tcBorders>
            <w:vAlign w:val="center"/>
          </w:tcPr>
          <w:p w14:paraId="5AF04D87" w14:textId="6F691B10" w:rsidR="00AA38E8" w:rsidRPr="00A82C85" w:rsidRDefault="00AA38E8" w:rsidP="00586B1D">
            <w:pPr>
              <w:tabs>
                <w:tab w:val="center" w:pos="399"/>
              </w:tabs>
              <w:spacing w:after="0" w:line="259" w:lineRule="auto"/>
              <w:ind w:left="0" w:right="0" w:firstLine="0"/>
              <w:jc w:val="center"/>
              <w:rPr>
                <w:sz w:val="18"/>
                <w:szCs w:val="18"/>
              </w:rPr>
            </w:pPr>
            <w:r w:rsidRPr="002B752E">
              <w:rPr>
                <w:sz w:val="18"/>
                <w:szCs w:val="18"/>
              </w:rPr>
              <w:t>0.16 – 0.4</w:t>
            </w:r>
          </w:p>
        </w:tc>
        <w:tc>
          <w:tcPr>
            <w:tcW w:w="810" w:type="dxa"/>
            <w:tcBorders>
              <w:top w:val="single" w:sz="4" w:space="0" w:color="000000"/>
              <w:left w:val="single" w:sz="12" w:space="0" w:color="000000"/>
              <w:bottom w:val="single" w:sz="4" w:space="0" w:color="000000"/>
              <w:right w:val="single" w:sz="12" w:space="0" w:color="000000"/>
            </w:tcBorders>
            <w:vAlign w:val="center"/>
          </w:tcPr>
          <w:p w14:paraId="4FDB1A3F" w14:textId="3F41F01A" w:rsidR="00AA38E8" w:rsidRDefault="00AA38E8" w:rsidP="00586B1D">
            <w:pPr>
              <w:spacing w:after="0" w:line="259" w:lineRule="auto"/>
              <w:ind w:left="0" w:right="46" w:firstLine="0"/>
              <w:jc w:val="center"/>
            </w:pPr>
            <w:r w:rsidRPr="00B64759">
              <w:rPr>
                <w:rFonts w:eastAsia="Segoe UI Symbol"/>
                <w:sz w:val="18"/>
              </w:rPr>
              <w:t>u</w:t>
            </w:r>
            <w:r w:rsidRPr="00B64759">
              <w:rPr>
                <w:sz w:val="18"/>
              </w:rPr>
              <w:t>g/</w:t>
            </w:r>
            <w:r w:rsidRPr="005E0FBE">
              <w:rPr>
                <w:sz w:val="18"/>
                <w:szCs w:val="18"/>
              </w:rPr>
              <w:t>kg</w:t>
            </w:r>
          </w:p>
        </w:tc>
        <w:tc>
          <w:tcPr>
            <w:tcW w:w="990" w:type="dxa"/>
            <w:tcBorders>
              <w:top w:val="single" w:sz="4" w:space="0" w:color="000000"/>
              <w:left w:val="single" w:sz="12" w:space="0" w:color="000000"/>
              <w:bottom w:val="single" w:sz="4" w:space="0" w:color="000000"/>
              <w:right w:val="single" w:sz="12" w:space="0" w:color="000000"/>
            </w:tcBorders>
            <w:vAlign w:val="center"/>
          </w:tcPr>
          <w:p w14:paraId="238AB370" w14:textId="0B8090B4" w:rsidR="00AA38E8" w:rsidRDefault="00AA38E8" w:rsidP="00586B1D">
            <w:pPr>
              <w:spacing w:after="0" w:line="259" w:lineRule="auto"/>
              <w:ind w:left="0" w:right="45" w:firstLine="0"/>
              <w:jc w:val="center"/>
            </w:pPr>
            <w:r w:rsidRPr="00372D1A">
              <w:rPr>
                <w:sz w:val="18"/>
                <w:szCs w:val="18"/>
              </w:rPr>
              <w:t>1633</w:t>
            </w:r>
          </w:p>
        </w:tc>
        <w:tc>
          <w:tcPr>
            <w:tcW w:w="540" w:type="dxa"/>
            <w:tcBorders>
              <w:top w:val="single" w:sz="4" w:space="0" w:color="000000"/>
              <w:left w:val="single" w:sz="12" w:space="0" w:color="000000"/>
              <w:bottom w:val="single" w:sz="4" w:space="0" w:color="000000"/>
              <w:right w:val="single" w:sz="12" w:space="0" w:color="000000"/>
            </w:tcBorders>
            <w:vAlign w:val="center"/>
          </w:tcPr>
          <w:p w14:paraId="1B128D48" w14:textId="77777777" w:rsidR="00AA38E8" w:rsidRDefault="00AA38E8" w:rsidP="00AA38E8">
            <w:pPr>
              <w:spacing w:after="0" w:line="259" w:lineRule="auto"/>
              <w:ind w:left="0" w:right="48" w:firstLine="0"/>
              <w:jc w:val="center"/>
            </w:pPr>
          </w:p>
        </w:tc>
      </w:tr>
      <w:tr w:rsidR="00E91CEF" w14:paraId="1CBFE4E5" w14:textId="77777777" w:rsidTr="000C4B7A">
        <w:trPr>
          <w:trHeight w:val="250"/>
        </w:trPr>
        <w:tc>
          <w:tcPr>
            <w:tcW w:w="4230" w:type="dxa"/>
            <w:tcBorders>
              <w:top w:val="single" w:sz="4" w:space="0" w:color="000000"/>
              <w:left w:val="single" w:sz="12" w:space="0" w:color="000000"/>
              <w:bottom w:val="single" w:sz="4" w:space="0" w:color="000000"/>
              <w:right w:val="single" w:sz="12" w:space="0" w:color="000000"/>
            </w:tcBorders>
            <w:vAlign w:val="center"/>
          </w:tcPr>
          <w:p w14:paraId="17AB6218" w14:textId="7D109DEA" w:rsidR="00AA38E8" w:rsidRPr="00735EA6" w:rsidRDefault="00AA38E8" w:rsidP="00AA38E8">
            <w:pPr>
              <w:spacing w:after="0" w:line="259" w:lineRule="auto"/>
              <w:ind w:left="0" w:right="0" w:firstLine="0"/>
              <w:rPr>
                <w:sz w:val="18"/>
                <w:szCs w:val="18"/>
              </w:rPr>
            </w:pPr>
            <w:proofErr w:type="spellStart"/>
            <w:r>
              <w:rPr>
                <w:sz w:val="18"/>
                <w:szCs w:val="18"/>
              </w:rPr>
              <w:t>Perfluoroheptanesulfonic</w:t>
            </w:r>
            <w:proofErr w:type="spellEnd"/>
            <w:r>
              <w:rPr>
                <w:sz w:val="18"/>
                <w:szCs w:val="18"/>
              </w:rPr>
              <w:t xml:space="preserve"> acid (</w:t>
            </w:r>
            <w:proofErr w:type="spellStart"/>
            <w:r>
              <w:rPr>
                <w:sz w:val="18"/>
                <w:szCs w:val="18"/>
              </w:rPr>
              <w:t>PFHpS</w:t>
            </w:r>
            <w:proofErr w:type="spellEnd"/>
            <w:r>
              <w:rPr>
                <w:sz w:val="18"/>
                <w:szCs w:val="18"/>
              </w:rPr>
              <w:t>)</w:t>
            </w:r>
          </w:p>
        </w:tc>
        <w:tc>
          <w:tcPr>
            <w:tcW w:w="1170" w:type="dxa"/>
            <w:tcBorders>
              <w:top w:val="single" w:sz="4" w:space="0" w:color="000000"/>
              <w:left w:val="single" w:sz="12" w:space="0" w:color="000000"/>
              <w:bottom w:val="single" w:sz="4" w:space="0" w:color="000000"/>
              <w:right w:val="single" w:sz="12" w:space="0" w:color="000000"/>
            </w:tcBorders>
            <w:vAlign w:val="center"/>
          </w:tcPr>
          <w:p w14:paraId="24DEE6CC" w14:textId="01871472" w:rsidR="00AA38E8" w:rsidRPr="00735EA6" w:rsidRDefault="00AA38E8" w:rsidP="00AA38E8">
            <w:pPr>
              <w:spacing w:after="0" w:line="259" w:lineRule="auto"/>
              <w:ind w:left="0" w:right="44" w:firstLine="0"/>
              <w:jc w:val="center"/>
              <w:rPr>
                <w:sz w:val="18"/>
                <w:szCs w:val="18"/>
              </w:rPr>
            </w:pPr>
            <w:r>
              <w:rPr>
                <w:sz w:val="18"/>
                <w:szCs w:val="18"/>
              </w:rPr>
              <w:t>375-92-8</w:t>
            </w:r>
          </w:p>
        </w:tc>
        <w:tc>
          <w:tcPr>
            <w:tcW w:w="990" w:type="dxa"/>
            <w:tcBorders>
              <w:top w:val="single" w:sz="4" w:space="0" w:color="000000"/>
              <w:left w:val="single" w:sz="12" w:space="0" w:color="000000"/>
              <w:bottom w:val="single" w:sz="4" w:space="0" w:color="000000"/>
              <w:right w:val="single" w:sz="12" w:space="0" w:color="000000"/>
            </w:tcBorders>
            <w:vAlign w:val="center"/>
          </w:tcPr>
          <w:p w14:paraId="1648DCCE" w14:textId="1BC8B37B" w:rsidR="00AA38E8" w:rsidRPr="008E7BF5" w:rsidRDefault="00AA38E8" w:rsidP="00586B1D">
            <w:pPr>
              <w:tabs>
                <w:tab w:val="center" w:pos="534"/>
              </w:tabs>
              <w:spacing w:after="0" w:line="259" w:lineRule="auto"/>
              <w:ind w:left="0" w:right="0" w:firstLine="0"/>
              <w:jc w:val="center"/>
              <w:rPr>
                <w:sz w:val="18"/>
                <w:szCs w:val="18"/>
              </w:rPr>
            </w:pPr>
            <w:r w:rsidRPr="00E74315">
              <w:rPr>
                <w:sz w:val="18"/>
                <w:szCs w:val="18"/>
              </w:rPr>
              <w:t>1 - 4</w:t>
            </w:r>
          </w:p>
        </w:tc>
        <w:tc>
          <w:tcPr>
            <w:tcW w:w="720" w:type="dxa"/>
            <w:tcBorders>
              <w:top w:val="single" w:sz="4" w:space="0" w:color="000000"/>
              <w:left w:val="single" w:sz="12" w:space="0" w:color="000000"/>
              <w:bottom w:val="single" w:sz="4" w:space="0" w:color="000000"/>
              <w:right w:val="single" w:sz="12" w:space="0" w:color="000000"/>
            </w:tcBorders>
            <w:vAlign w:val="center"/>
          </w:tcPr>
          <w:p w14:paraId="044B8343" w14:textId="77777777" w:rsidR="00AA38E8" w:rsidRPr="008E7BF5" w:rsidRDefault="00AA38E8" w:rsidP="00586B1D">
            <w:pPr>
              <w:spacing w:after="0" w:line="259" w:lineRule="auto"/>
              <w:ind w:left="0" w:right="44" w:firstLine="0"/>
              <w:jc w:val="center"/>
              <w:rPr>
                <w:sz w:val="18"/>
                <w:szCs w:val="18"/>
              </w:rPr>
            </w:pPr>
            <w:r w:rsidRPr="00430F48">
              <w:rPr>
                <w:sz w:val="18"/>
                <w:szCs w:val="18"/>
              </w:rPr>
              <w:t>ng/L</w:t>
            </w:r>
          </w:p>
        </w:tc>
        <w:tc>
          <w:tcPr>
            <w:tcW w:w="1080" w:type="dxa"/>
            <w:tcBorders>
              <w:top w:val="single" w:sz="4" w:space="0" w:color="000000"/>
              <w:left w:val="single" w:sz="12" w:space="0" w:color="000000"/>
              <w:bottom w:val="single" w:sz="4" w:space="0" w:color="000000"/>
              <w:right w:val="single" w:sz="12" w:space="0" w:color="000000"/>
            </w:tcBorders>
            <w:vAlign w:val="center"/>
          </w:tcPr>
          <w:p w14:paraId="5FF74C32" w14:textId="2E403996" w:rsidR="00AA38E8" w:rsidRPr="008E7BF5" w:rsidRDefault="00AA38E8" w:rsidP="00586B1D">
            <w:pPr>
              <w:tabs>
                <w:tab w:val="center" w:pos="445"/>
              </w:tabs>
              <w:spacing w:after="0" w:line="259" w:lineRule="auto"/>
              <w:ind w:left="0" w:right="0" w:firstLine="0"/>
              <w:jc w:val="center"/>
              <w:rPr>
                <w:sz w:val="18"/>
                <w:szCs w:val="18"/>
              </w:rPr>
            </w:pPr>
            <w:r w:rsidRPr="002B752E">
              <w:rPr>
                <w:sz w:val="18"/>
                <w:szCs w:val="18"/>
              </w:rPr>
              <w:t>0.16 – 0.4</w:t>
            </w:r>
          </w:p>
        </w:tc>
        <w:tc>
          <w:tcPr>
            <w:tcW w:w="810" w:type="dxa"/>
            <w:tcBorders>
              <w:top w:val="single" w:sz="4" w:space="0" w:color="000000"/>
              <w:left w:val="single" w:sz="12" w:space="0" w:color="000000"/>
              <w:bottom w:val="single" w:sz="4" w:space="0" w:color="000000"/>
              <w:right w:val="single" w:sz="12" w:space="0" w:color="000000"/>
            </w:tcBorders>
            <w:vAlign w:val="center"/>
          </w:tcPr>
          <w:p w14:paraId="2D331679" w14:textId="513C54F6" w:rsidR="00AA38E8" w:rsidRDefault="00AA38E8" w:rsidP="00586B1D">
            <w:pPr>
              <w:spacing w:after="0" w:line="259" w:lineRule="auto"/>
              <w:ind w:left="0" w:right="46" w:firstLine="0"/>
              <w:jc w:val="center"/>
            </w:pPr>
            <w:r w:rsidRPr="00B64759">
              <w:rPr>
                <w:rFonts w:eastAsia="Segoe UI Symbol"/>
                <w:sz w:val="18"/>
              </w:rPr>
              <w:t>u</w:t>
            </w:r>
            <w:r w:rsidRPr="00B64759">
              <w:rPr>
                <w:sz w:val="18"/>
              </w:rPr>
              <w:t>g/</w:t>
            </w:r>
            <w:r w:rsidRPr="005E0FBE">
              <w:rPr>
                <w:sz w:val="18"/>
                <w:szCs w:val="18"/>
              </w:rPr>
              <w:t>kg</w:t>
            </w:r>
          </w:p>
        </w:tc>
        <w:tc>
          <w:tcPr>
            <w:tcW w:w="990" w:type="dxa"/>
            <w:tcBorders>
              <w:top w:val="single" w:sz="4" w:space="0" w:color="000000"/>
              <w:left w:val="single" w:sz="12" w:space="0" w:color="000000"/>
              <w:bottom w:val="single" w:sz="4" w:space="0" w:color="000000"/>
              <w:right w:val="single" w:sz="12" w:space="0" w:color="000000"/>
            </w:tcBorders>
            <w:vAlign w:val="center"/>
          </w:tcPr>
          <w:p w14:paraId="1BF1E08C" w14:textId="5E3C0029" w:rsidR="00AA38E8" w:rsidRDefault="00AA38E8" w:rsidP="00586B1D">
            <w:pPr>
              <w:spacing w:after="0" w:line="259" w:lineRule="auto"/>
              <w:ind w:left="0" w:right="45" w:firstLine="0"/>
              <w:jc w:val="center"/>
            </w:pPr>
            <w:r w:rsidRPr="00372D1A">
              <w:rPr>
                <w:sz w:val="18"/>
                <w:szCs w:val="18"/>
              </w:rPr>
              <w:t>1633</w:t>
            </w:r>
          </w:p>
        </w:tc>
        <w:tc>
          <w:tcPr>
            <w:tcW w:w="540" w:type="dxa"/>
            <w:tcBorders>
              <w:top w:val="single" w:sz="4" w:space="0" w:color="000000"/>
              <w:left w:val="single" w:sz="12" w:space="0" w:color="000000"/>
              <w:bottom w:val="single" w:sz="4" w:space="0" w:color="000000"/>
              <w:right w:val="single" w:sz="12" w:space="0" w:color="000000"/>
            </w:tcBorders>
            <w:vAlign w:val="center"/>
          </w:tcPr>
          <w:p w14:paraId="2940245E" w14:textId="77777777" w:rsidR="00AA38E8" w:rsidRDefault="00AA38E8" w:rsidP="00AA38E8">
            <w:pPr>
              <w:spacing w:after="0" w:line="259" w:lineRule="auto"/>
              <w:ind w:left="0" w:right="48" w:firstLine="0"/>
              <w:jc w:val="center"/>
            </w:pPr>
          </w:p>
        </w:tc>
      </w:tr>
      <w:tr w:rsidR="00E91CEF" w14:paraId="0ED984CA" w14:textId="77777777" w:rsidTr="000C4B7A">
        <w:trPr>
          <w:trHeight w:val="252"/>
        </w:trPr>
        <w:tc>
          <w:tcPr>
            <w:tcW w:w="4230" w:type="dxa"/>
            <w:tcBorders>
              <w:top w:val="single" w:sz="4" w:space="0" w:color="000000"/>
              <w:left w:val="single" w:sz="12" w:space="0" w:color="000000"/>
              <w:bottom w:val="single" w:sz="4" w:space="0" w:color="000000"/>
              <w:right w:val="single" w:sz="12" w:space="0" w:color="000000"/>
            </w:tcBorders>
            <w:vAlign w:val="center"/>
          </w:tcPr>
          <w:p w14:paraId="2EB1015B" w14:textId="68C0592D" w:rsidR="00AA38E8" w:rsidRPr="00735EA6" w:rsidRDefault="00AA38E8" w:rsidP="00AA38E8">
            <w:pPr>
              <w:spacing w:after="0" w:line="259" w:lineRule="auto"/>
              <w:ind w:left="0" w:right="0" w:firstLine="0"/>
              <w:rPr>
                <w:sz w:val="18"/>
                <w:szCs w:val="18"/>
              </w:rPr>
            </w:pPr>
            <w:proofErr w:type="spellStart"/>
            <w:r>
              <w:rPr>
                <w:sz w:val="18"/>
                <w:szCs w:val="18"/>
              </w:rPr>
              <w:t>Perfluorooctanesulfonic</w:t>
            </w:r>
            <w:proofErr w:type="spellEnd"/>
            <w:r>
              <w:rPr>
                <w:sz w:val="18"/>
                <w:szCs w:val="18"/>
              </w:rPr>
              <w:t xml:space="preserve"> acid (PFOS)</w:t>
            </w:r>
          </w:p>
        </w:tc>
        <w:tc>
          <w:tcPr>
            <w:tcW w:w="1170" w:type="dxa"/>
            <w:tcBorders>
              <w:top w:val="single" w:sz="4" w:space="0" w:color="000000"/>
              <w:left w:val="single" w:sz="12" w:space="0" w:color="000000"/>
              <w:bottom w:val="single" w:sz="4" w:space="0" w:color="000000"/>
              <w:right w:val="single" w:sz="12" w:space="0" w:color="000000"/>
            </w:tcBorders>
            <w:vAlign w:val="center"/>
          </w:tcPr>
          <w:p w14:paraId="578DBA94" w14:textId="362A0E15" w:rsidR="00AA38E8" w:rsidRPr="00735EA6" w:rsidRDefault="00AA38E8" w:rsidP="00AA38E8">
            <w:pPr>
              <w:spacing w:after="0" w:line="259" w:lineRule="auto"/>
              <w:ind w:left="0" w:right="44" w:firstLine="0"/>
              <w:jc w:val="center"/>
              <w:rPr>
                <w:sz w:val="18"/>
                <w:szCs w:val="18"/>
              </w:rPr>
            </w:pPr>
            <w:r>
              <w:rPr>
                <w:sz w:val="18"/>
                <w:szCs w:val="18"/>
              </w:rPr>
              <w:t>1763-23-1</w:t>
            </w:r>
          </w:p>
        </w:tc>
        <w:tc>
          <w:tcPr>
            <w:tcW w:w="990" w:type="dxa"/>
            <w:tcBorders>
              <w:top w:val="single" w:sz="4" w:space="0" w:color="000000"/>
              <w:left w:val="single" w:sz="12" w:space="0" w:color="000000"/>
              <w:bottom w:val="single" w:sz="4" w:space="0" w:color="000000"/>
              <w:right w:val="single" w:sz="12" w:space="0" w:color="000000"/>
            </w:tcBorders>
            <w:vAlign w:val="center"/>
          </w:tcPr>
          <w:p w14:paraId="733B9448" w14:textId="2B9AE8B9" w:rsidR="00AA38E8" w:rsidRPr="008E7BF5" w:rsidRDefault="00AA38E8" w:rsidP="00586B1D">
            <w:pPr>
              <w:tabs>
                <w:tab w:val="center" w:pos="534"/>
              </w:tabs>
              <w:spacing w:after="0" w:line="259" w:lineRule="auto"/>
              <w:ind w:left="0" w:right="0" w:firstLine="0"/>
              <w:jc w:val="center"/>
              <w:rPr>
                <w:sz w:val="18"/>
                <w:szCs w:val="18"/>
              </w:rPr>
            </w:pPr>
            <w:r w:rsidRPr="00E74315">
              <w:rPr>
                <w:sz w:val="18"/>
                <w:szCs w:val="18"/>
              </w:rPr>
              <w:t xml:space="preserve">1 </w:t>
            </w:r>
            <w:r>
              <w:rPr>
                <w:sz w:val="18"/>
                <w:szCs w:val="18"/>
              </w:rPr>
              <w:t>–</w:t>
            </w:r>
            <w:r w:rsidRPr="00E74315">
              <w:rPr>
                <w:sz w:val="18"/>
                <w:szCs w:val="18"/>
              </w:rPr>
              <w:t xml:space="preserve"> 4</w:t>
            </w:r>
          </w:p>
        </w:tc>
        <w:tc>
          <w:tcPr>
            <w:tcW w:w="720" w:type="dxa"/>
            <w:tcBorders>
              <w:top w:val="single" w:sz="4" w:space="0" w:color="000000"/>
              <w:left w:val="single" w:sz="12" w:space="0" w:color="000000"/>
              <w:bottom w:val="single" w:sz="4" w:space="0" w:color="000000"/>
              <w:right w:val="single" w:sz="12" w:space="0" w:color="000000"/>
            </w:tcBorders>
            <w:vAlign w:val="center"/>
          </w:tcPr>
          <w:p w14:paraId="4FB48A29" w14:textId="12BF5174" w:rsidR="00AA38E8" w:rsidRPr="00430F48" w:rsidRDefault="00AA38E8" w:rsidP="00586B1D">
            <w:pPr>
              <w:spacing w:after="0" w:line="259" w:lineRule="auto"/>
              <w:ind w:left="0" w:right="44" w:firstLine="0"/>
              <w:jc w:val="center"/>
              <w:rPr>
                <w:sz w:val="18"/>
                <w:szCs w:val="18"/>
              </w:rPr>
            </w:pPr>
            <w:r w:rsidRPr="00716878">
              <w:rPr>
                <w:sz w:val="18"/>
                <w:szCs w:val="18"/>
              </w:rPr>
              <w:t>ng/L</w:t>
            </w:r>
          </w:p>
        </w:tc>
        <w:tc>
          <w:tcPr>
            <w:tcW w:w="1080" w:type="dxa"/>
            <w:tcBorders>
              <w:top w:val="single" w:sz="4" w:space="0" w:color="000000"/>
              <w:left w:val="single" w:sz="12" w:space="0" w:color="000000"/>
              <w:bottom w:val="single" w:sz="4" w:space="0" w:color="000000"/>
              <w:right w:val="single" w:sz="12" w:space="0" w:color="000000"/>
            </w:tcBorders>
            <w:vAlign w:val="center"/>
          </w:tcPr>
          <w:p w14:paraId="5C253869" w14:textId="70EE043C" w:rsidR="00AA38E8" w:rsidRPr="008E7BF5" w:rsidRDefault="00AA38E8" w:rsidP="00586B1D">
            <w:pPr>
              <w:tabs>
                <w:tab w:val="center" w:pos="399"/>
              </w:tabs>
              <w:spacing w:after="0" w:line="259" w:lineRule="auto"/>
              <w:ind w:left="0" w:right="0" w:firstLine="0"/>
              <w:jc w:val="center"/>
              <w:rPr>
                <w:sz w:val="18"/>
                <w:szCs w:val="18"/>
              </w:rPr>
            </w:pPr>
            <w:r w:rsidRPr="002B752E">
              <w:rPr>
                <w:sz w:val="18"/>
                <w:szCs w:val="18"/>
              </w:rPr>
              <w:t>0.16 – 0.4</w:t>
            </w:r>
          </w:p>
        </w:tc>
        <w:tc>
          <w:tcPr>
            <w:tcW w:w="810" w:type="dxa"/>
            <w:tcBorders>
              <w:top w:val="single" w:sz="4" w:space="0" w:color="000000"/>
              <w:left w:val="single" w:sz="12" w:space="0" w:color="000000"/>
              <w:bottom w:val="single" w:sz="4" w:space="0" w:color="000000"/>
              <w:right w:val="single" w:sz="12" w:space="0" w:color="000000"/>
            </w:tcBorders>
            <w:vAlign w:val="center"/>
          </w:tcPr>
          <w:p w14:paraId="1AF1F51B" w14:textId="636D0032" w:rsidR="00AA38E8" w:rsidRDefault="00AA38E8" w:rsidP="00586B1D">
            <w:pPr>
              <w:spacing w:after="0" w:line="259" w:lineRule="auto"/>
              <w:ind w:left="0" w:right="46" w:firstLine="0"/>
              <w:jc w:val="center"/>
            </w:pPr>
            <w:r w:rsidRPr="00B64759">
              <w:rPr>
                <w:rFonts w:eastAsia="Segoe UI Symbol"/>
                <w:sz w:val="18"/>
              </w:rPr>
              <w:t>u</w:t>
            </w:r>
            <w:r w:rsidRPr="00B64759">
              <w:rPr>
                <w:sz w:val="18"/>
              </w:rPr>
              <w:t>g/</w:t>
            </w:r>
            <w:r w:rsidRPr="005E0FBE">
              <w:rPr>
                <w:sz w:val="18"/>
                <w:szCs w:val="18"/>
              </w:rPr>
              <w:t>kg</w:t>
            </w:r>
          </w:p>
        </w:tc>
        <w:tc>
          <w:tcPr>
            <w:tcW w:w="990" w:type="dxa"/>
            <w:tcBorders>
              <w:top w:val="single" w:sz="4" w:space="0" w:color="000000"/>
              <w:left w:val="single" w:sz="12" w:space="0" w:color="000000"/>
              <w:bottom w:val="single" w:sz="4" w:space="0" w:color="000000"/>
              <w:right w:val="single" w:sz="12" w:space="0" w:color="000000"/>
            </w:tcBorders>
            <w:vAlign w:val="center"/>
          </w:tcPr>
          <w:p w14:paraId="4F54C1EF" w14:textId="3EDF1CA1" w:rsidR="00AA38E8" w:rsidRDefault="00AA38E8" w:rsidP="00586B1D">
            <w:pPr>
              <w:spacing w:after="0" w:line="259" w:lineRule="auto"/>
              <w:ind w:left="0" w:right="45" w:firstLine="0"/>
              <w:jc w:val="center"/>
            </w:pPr>
            <w:r w:rsidRPr="00372D1A">
              <w:rPr>
                <w:sz w:val="18"/>
                <w:szCs w:val="18"/>
              </w:rPr>
              <w:t>1633</w:t>
            </w:r>
          </w:p>
        </w:tc>
        <w:tc>
          <w:tcPr>
            <w:tcW w:w="540" w:type="dxa"/>
            <w:tcBorders>
              <w:top w:val="single" w:sz="4" w:space="0" w:color="000000"/>
              <w:left w:val="single" w:sz="12" w:space="0" w:color="000000"/>
              <w:bottom w:val="single" w:sz="4" w:space="0" w:color="000000"/>
              <w:right w:val="single" w:sz="12" w:space="0" w:color="000000"/>
            </w:tcBorders>
            <w:vAlign w:val="center"/>
          </w:tcPr>
          <w:p w14:paraId="01A0BF5A" w14:textId="77777777" w:rsidR="00AA38E8" w:rsidRDefault="00AA38E8" w:rsidP="00AA38E8">
            <w:pPr>
              <w:spacing w:after="0" w:line="259" w:lineRule="auto"/>
              <w:ind w:left="0" w:right="48" w:firstLine="0"/>
              <w:jc w:val="center"/>
            </w:pPr>
          </w:p>
        </w:tc>
      </w:tr>
      <w:tr w:rsidR="00E91CEF" w14:paraId="299DD1CD" w14:textId="77777777" w:rsidTr="000C4B7A">
        <w:trPr>
          <w:trHeight w:val="252"/>
        </w:trPr>
        <w:tc>
          <w:tcPr>
            <w:tcW w:w="4230" w:type="dxa"/>
            <w:tcBorders>
              <w:top w:val="single" w:sz="4" w:space="0" w:color="000000"/>
              <w:left w:val="single" w:sz="12" w:space="0" w:color="000000"/>
              <w:bottom w:val="single" w:sz="4" w:space="0" w:color="000000"/>
              <w:right w:val="single" w:sz="12" w:space="0" w:color="000000"/>
            </w:tcBorders>
            <w:vAlign w:val="center"/>
          </w:tcPr>
          <w:p w14:paraId="49C7E97D" w14:textId="4FB53317" w:rsidR="00AA38E8" w:rsidRPr="00735EA6" w:rsidRDefault="00AA38E8" w:rsidP="00AA38E8">
            <w:pPr>
              <w:spacing w:after="0" w:line="259" w:lineRule="auto"/>
              <w:ind w:left="0" w:right="0" w:firstLine="0"/>
              <w:rPr>
                <w:sz w:val="18"/>
                <w:szCs w:val="18"/>
              </w:rPr>
            </w:pPr>
            <w:proofErr w:type="spellStart"/>
            <w:r>
              <w:rPr>
                <w:sz w:val="18"/>
                <w:szCs w:val="18"/>
              </w:rPr>
              <w:t>Perfluorononanesulfonic</w:t>
            </w:r>
            <w:proofErr w:type="spellEnd"/>
            <w:r>
              <w:rPr>
                <w:sz w:val="18"/>
                <w:szCs w:val="18"/>
              </w:rPr>
              <w:t xml:space="preserve"> acid (PFNS)</w:t>
            </w:r>
          </w:p>
        </w:tc>
        <w:tc>
          <w:tcPr>
            <w:tcW w:w="1170" w:type="dxa"/>
            <w:tcBorders>
              <w:top w:val="single" w:sz="4" w:space="0" w:color="000000"/>
              <w:left w:val="single" w:sz="12" w:space="0" w:color="000000"/>
              <w:bottom w:val="single" w:sz="4" w:space="0" w:color="000000"/>
              <w:right w:val="single" w:sz="12" w:space="0" w:color="000000"/>
            </w:tcBorders>
            <w:vAlign w:val="center"/>
          </w:tcPr>
          <w:p w14:paraId="155536EB" w14:textId="3712BEC5" w:rsidR="00AA38E8" w:rsidRPr="00735EA6" w:rsidRDefault="00AA38E8" w:rsidP="00AA38E8">
            <w:pPr>
              <w:spacing w:after="0" w:line="259" w:lineRule="auto"/>
              <w:ind w:left="0" w:right="44" w:firstLine="0"/>
              <w:jc w:val="center"/>
              <w:rPr>
                <w:sz w:val="18"/>
                <w:szCs w:val="18"/>
              </w:rPr>
            </w:pPr>
            <w:r>
              <w:rPr>
                <w:sz w:val="18"/>
                <w:szCs w:val="18"/>
              </w:rPr>
              <w:t>68259-12-1</w:t>
            </w:r>
          </w:p>
        </w:tc>
        <w:tc>
          <w:tcPr>
            <w:tcW w:w="990" w:type="dxa"/>
            <w:tcBorders>
              <w:top w:val="single" w:sz="4" w:space="0" w:color="000000"/>
              <w:left w:val="single" w:sz="12" w:space="0" w:color="000000"/>
              <w:bottom w:val="single" w:sz="4" w:space="0" w:color="000000"/>
              <w:right w:val="single" w:sz="12" w:space="0" w:color="000000"/>
            </w:tcBorders>
            <w:vAlign w:val="center"/>
          </w:tcPr>
          <w:p w14:paraId="012890B8" w14:textId="77C11524" w:rsidR="00AA38E8" w:rsidRPr="008E7BF5" w:rsidRDefault="00AA38E8" w:rsidP="00586B1D">
            <w:pPr>
              <w:tabs>
                <w:tab w:val="center" w:pos="534"/>
              </w:tabs>
              <w:spacing w:after="0" w:line="259" w:lineRule="auto"/>
              <w:ind w:left="0" w:right="0" w:firstLine="0"/>
              <w:jc w:val="center"/>
              <w:rPr>
                <w:sz w:val="18"/>
                <w:szCs w:val="18"/>
              </w:rPr>
            </w:pPr>
            <w:r w:rsidRPr="00E74315">
              <w:rPr>
                <w:sz w:val="18"/>
                <w:szCs w:val="18"/>
              </w:rPr>
              <w:t xml:space="preserve">1 </w:t>
            </w:r>
            <w:r>
              <w:rPr>
                <w:sz w:val="18"/>
                <w:szCs w:val="18"/>
              </w:rPr>
              <w:t>–</w:t>
            </w:r>
            <w:r w:rsidRPr="00E74315">
              <w:rPr>
                <w:sz w:val="18"/>
                <w:szCs w:val="18"/>
              </w:rPr>
              <w:t xml:space="preserve"> 4</w:t>
            </w:r>
          </w:p>
        </w:tc>
        <w:tc>
          <w:tcPr>
            <w:tcW w:w="720" w:type="dxa"/>
            <w:tcBorders>
              <w:top w:val="single" w:sz="4" w:space="0" w:color="000000"/>
              <w:left w:val="single" w:sz="12" w:space="0" w:color="000000"/>
              <w:bottom w:val="single" w:sz="4" w:space="0" w:color="000000"/>
              <w:right w:val="single" w:sz="12" w:space="0" w:color="000000"/>
            </w:tcBorders>
            <w:vAlign w:val="center"/>
          </w:tcPr>
          <w:p w14:paraId="0C4490EE" w14:textId="50A49C3E" w:rsidR="00AA38E8" w:rsidRPr="00430F48" w:rsidRDefault="00AA38E8" w:rsidP="00586B1D">
            <w:pPr>
              <w:spacing w:after="0" w:line="259" w:lineRule="auto"/>
              <w:ind w:left="0" w:right="44" w:firstLine="0"/>
              <w:jc w:val="center"/>
              <w:rPr>
                <w:sz w:val="18"/>
                <w:szCs w:val="18"/>
              </w:rPr>
            </w:pPr>
            <w:r w:rsidRPr="00716878">
              <w:rPr>
                <w:sz w:val="18"/>
                <w:szCs w:val="18"/>
              </w:rPr>
              <w:t>ng/L</w:t>
            </w:r>
          </w:p>
        </w:tc>
        <w:tc>
          <w:tcPr>
            <w:tcW w:w="1080" w:type="dxa"/>
            <w:tcBorders>
              <w:top w:val="single" w:sz="4" w:space="0" w:color="000000"/>
              <w:left w:val="single" w:sz="12" w:space="0" w:color="000000"/>
              <w:bottom w:val="single" w:sz="4" w:space="0" w:color="000000"/>
              <w:right w:val="single" w:sz="12" w:space="0" w:color="000000"/>
            </w:tcBorders>
            <w:vAlign w:val="center"/>
          </w:tcPr>
          <w:p w14:paraId="3D78A2C6" w14:textId="76255C58" w:rsidR="00AA38E8" w:rsidRPr="008E7BF5" w:rsidRDefault="00AA38E8" w:rsidP="00586B1D">
            <w:pPr>
              <w:tabs>
                <w:tab w:val="center" w:pos="399"/>
              </w:tabs>
              <w:spacing w:after="0" w:line="259" w:lineRule="auto"/>
              <w:ind w:left="0" w:right="0" w:firstLine="0"/>
              <w:jc w:val="center"/>
              <w:rPr>
                <w:sz w:val="18"/>
                <w:szCs w:val="18"/>
              </w:rPr>
            </w:pPr>
            <w:r w:rsidRPr="002B752E">
              <w:rPr>
                <w:sz w:val="18"/>
                <w:szCs w:val="18"/>
              </w:rPr>
              <w:t>0.16 – 0.4</w:t>
            </w:r>
          </w:p>
        </w:tc>
        <w:tc>
          <w:tcPr>
            <w:tcW w:w="810" w:type="dxa"/>
            <w:tcBorders>
              <w:top w:val="single" w:sz="4" w:space="0" w:color="000000"/>
              <w:left w:val="single" w:sz="12" w:space="0" w:color="000000"/>
              <w:bottom w:val="single" w:sz="4" w:space="0" w:color="000000"/>
              <w:right w:val="single" w:sz="12" w:space="0" w:color="000000"/>
            </w:tcBorders>
            <w:vAlign w:val="center"/>
          </w:tcPr>
          <w:p w14:paraId="580960A1" w14:textId="02F8AECD" w:rsidR="00AA38E8" w:rsidRDefault="00AA38E8" w:rsidP="00586B1D">
            <w:pPr>
              <w:spacing w:after="0" w:line="259" w:lineRule="auto"/>
              <w:ind w:left="0" w:right="46" w:firstLine="0"/>
              <w:jc w:val="center"/>
            </w:pPr>
            <w:r w:rsidRPr="00B64759">
              <w:rPr>
                <w:rFonts w:eastAsia="Segoe UI Symbol"/>
                <w:sz w:val="18"/>
              </w:rPr>
              <w:t>u</w:t>
            </w:r>
            <w:r w:rsidRPr="00B64759">
              <w:rPr>
                <w:sz w:val="18"/>
              </w:rPr>
              <w:t>g/</w:t>
            </w:r>
            <w:r w:rsidRPr="005E0FBE">
              <w:rPr>
                <w:sz w:val="18"/>
                <w:szCs w:val="18"/>
              </w:rPr>
              <w:t>kg</w:t>
            </w:r>
          </w:p>
        </w:tc>
        <w:tc>
          <w:tcPr>
            <w:tcW w:w="990" w:type="dxa"/>
            <w:tcBorders>
              <w:top w:val="single" w:sz="4" w:space="0" w:color="000000"/>
              <w:left w:val="single" w:sz="12" w:space="0" w:color="000000"/>
              <w:bottom w:val="single" w:sz="4" w:space="0" w:color="000000"/>
              <w:right w:val="single" w:sz="12" w:space="0" w:color="000000"/>
            </w:tcBorders>
            <w:vAlign w:val="center"/>
          </w:tcPr>
          <w:p w14:paraId="7ACCE8C9" w14:textId="105A305F" w:rsidR="00AA38E8" w:rsidRDefault="00AA38E8" w:rsidP="00586B1D">
            <w:pPr>
              <w:spacing w:after="0" w:line="259" w:lineRule="auto"/>
              <w:ind w:left="0" w:right="45" w:firstLine="0"/>
              <w:jc w:val="center"/>
            </w:pPr>
            <w:r w:rsidRPr="00372D1A">
              <w:rPr>
                <w:sz w:val="18"/>
                <w:szCs w:val="18"/>
              </w:rPr>
              <w:t>1633</w:t>
            </w:r>
          </w:p>
        </w:tc>
        <w:tc>
          <w:tcPr>
            <w:tcW w:w="540" w:type="dxa"/>
            <w:tcBorders>
              <w:top w:val="single" w:sz="4" w:space="0" w:color="000000"/>
              <w:left w:val="single" w:sz="12" w:space="0" w:color="000000"/>
              <w:bottom w:val="single" w:sz="4" w:space="0" w:color="000000"/>
              <w:right w:val="single" w:sz="12" w:space="0" w:color="000000"/>
            </w:tcBorders>
            <w:vAlign w:val="center"/>
          </w:tcPr>
          <w:p w14:paraId="220B613B" w14:textId="77777777" w:rsidR="00AA38E8" w:rsidRDefault="00AA38E8" w:rsidP="00AA38E8">
            <w:pPr>
              <w:spacing w:after="0" w:line="259" w:lineRule="auto"/>
              <w:ind w:left="0" w:right="48" w:firstLine="0"/>
              <w:jc w:val="center"/>
            </w:pPr>
          </w:p>
        </w:tc>
      </w:tr>
      <w:tr w:rsidR="00E91CEF" w14:paraId="4D6BAADD" w14:textId="77777777" w:rsidTr="000C4B7A">
        <w:trPr>
          <w:trHeight w:val="252"/>
        </w:trPr>
        <w:tc>
          <w:tcPr>
            <w:tcW w:w="4230" w:type="dxa"/>
            <w:tcBorders>
              <w:top w:val="single" w:sz="4" w:space="0" w:color="000000"/>
              <w:left w:val="single" w:sz="12" w:space="0" w:color="000000"/>
              <w:bottom w:val="single" w:sz="4" w:space="0" w:color="000000"/>
              <w:right w:val="single" w:sz="12" w:space="0" w:color="000000"/>
            </w:tcBorders>
            <w:vAlign w:val="center"/>
          </w:tcPr>
          <w:p w14:paraId="6B8F36F9" w14:textId="3C5AB277" w:rsidR="00AA38E8" w:rsidRPr="00735EA6" w:rsidRDefault="00AA38E8" w:rsidP="00AA38E8">
            <w:pPr>
              <w:spacing w:after="0" w:line="259" w:lineRule="auto"/>
              <w:ind w:left="0" w:right="0" w:firstLine="0"/>
              <w:rPr>
                <w:sz w:val="18"/>
                <w:szCs w:val="18"/>
              </w:rPr>
            </w:pPr>
            <w:proofErr w:type="spellStart"/>
            <w:r>
              <w:rPr>
                <w:sz w:val="18"/>
                <w:szCs w:val="18"/>
              </w:rPr>
              <w:t>Perfluorodecanesulfonic</w:t>
            </w:r>
            <w:proofErr w:type="spellEnd"/>
            <w:r>
              <w:rPr>
                <w:sz w:val="18"/>
                <w:szCs w:val="18"/>
              </w:rPr>
              <w:t xml:space="preserve"> acid (PFDS)</w:t>
            </w:r>
          </w:p>
        </w:tc>
        <w:tc>
          <w:tcPr>
            <w:tcW w:w="1170" w:type="dxa"/>
            <w:tcBorders>
              <w:top w:val="single" w:sz="4" w:space="0" w:color="000000"/>
              <w:left w:val="single" w:sz="12" w:space="0" w:color="000000"/>
              <w:bottom w:val="single" w:sz="4" w:space="0" w:color="000000"/>
              <w:right w:val="single" w:sz="12" w:space="0" w:color="000000"/>
            </w:tcBorders>
            <w:vAlign w:val="center"/>
          </w:tcPr>
          <w:p w14:paraId="703CDACD" w14:textId="78B48847" w:rsidR="00AA38E8" w:rsidRPr="00735EA6" w:rsidRDefault="00AA38E8" w:rsidP="00AA38E8">
            <w:pPr>
              <w:spacing w:after="0" w:line="259" w:lineRule="auto"/>
              <w:ind w:left="0" w:right="44" w:firstLine="0"/>
              <w:jc w:val="center"/>
              <w:rPr>
                <w:sz w:val="18"/>
                <w:szCs w:val="18"/>
              </w:rPr>
            </w:pPr>
            <w:r>
              <w:rPr>
                <w:sz w:val="18"/>
                <w:szCs w:val="18"/>
              </w:rPr>
              <w:t>335-77-3</w:t>
            </w:r>
          </w:p>
        </w:tc>
        <w:tc>
          <w:tcPr>
            <w:tcW w:w="990" w:type="dxa"/>
            <w:tcBorders>
              <w:top w:val="single" w:sz="4" w:space="0" w:color="000000"/>
              <w:left w:val="single" w:sz="12" w:space="0" w:color="000000"/>
              <w:bottom w:val="single" w:sz="4" w:space="0" w:color="000000"/>
              <w:right w:val="single" w:sz="12" w:space="0" w:color="000000"/>
            </w:tcBorders>
            <w:vAlign w:val="center"/>
          </w:tcPr>
          <w:p w14:paraId="69A2DD7C" w14:textId="65EAF76C" w:rsidR="00AA38E8" w:rsidRPr="008E7BF5" w:rsidRDefault="00AA38E8" w:rsidP="00586B1D">
            <w:pPr>
              <w:tabs>
                <w:tab w:val="center" w:pos="534"/>
              </w:tabs>
              <w:spacing w:after="0" w:line="259" w:lineRule="auto"/>
              <w:ind w:left="0" w:right="0" w:firstLine="0"/>
              <w:jc w:val="center"/>
              <w:rPr>
                <w:sz w:val="18"/>
                <w:szCs w:val="18"/>
              </w:rPr>
            </w:pPr>
            <w:r w:rsidRPr="00E74315">
              <w:rPr>
                <w:sz w:val="18"/>
                <w:szCs w:val="18"/>
              </w:rPr>
              <w:t xml:space="preserve">1 </w:t>
            </w:r>
            <w:r>
              <w:rPr>
                <w:sz w:val="18"/>
                <w:szCs w:val="18"/>
              </w:rPr>
              <w:t>–</w:t>
            </w:r>
            <w:r w:rsidRPr="00E74315">
              <w:rPr>
                <w:sz w:val="18"/>
                <w:szCs w:val="18"/>
              </w:rPr>
              <w:t xml:space="preserve"> 4</w:t>
            </w:r>
          </w:p>
        </w:tc>
        <w:tc>
          <w:tcPr>
            <w:tcW w:w="720" w:type="dxa"/>
            <w:tcBorders>
              <w:top w:val="single" w:sz="4" w:space="0" w:color="000000"/>
              <w:left w:val="single" w:sz="12" w:space="0" w:color="000000"/>
              <w:bottom w:val="single" w:sz="4" w:space="0" w:color="000000"/>
              <w:right w:val="single" w:sz="12" w:space="0" w:color="000000"/>
            </w:tcBorders>
            <w:vAlign w:val="center"/>
          </w:tcPr>
          <w:p w14:paraId="2817D75C" w14:textId="560ACCD7" w:rsidR="00AA38E8" w:rsidRPr="00430F48" w:rsidRDefault="00AA38E8" w:rsidP="00586B1D">
            <w:pPr>
              <w:spacing w:after="0" w:line="259" w:lineRule="auto"/>
              <w:ind w:left="0" w:right="44" w:firstLine="0"/>
              <w:jc w:val="center"/>
              <w:rPr>
                <w:sz w:val="18"/>
                <w:szCs w:val="18"/>
              </w:rPr>
            </w:pPr>
            <w:r w:rsidRPr="00716878">
              <w:rPr>
                <w:sz w:val="18"/>
                <w:szCs w:val="18"/>
              </w:rPr>
              <w:t>ng/L</w:t>
            </w:r>
          </w:p>
        </w:tc>
        <w:tc>
          <w:tcPr>
            <w:tcW w:w="1080" w:type="dxa"/>
            <w:tcBorders>
              <w:top w:val="single" w:sz="4" w:space="0" w:color="000000"/>
              <w:left w:val="single" w:sz="12" w:space="0" w:color="000000"/>
              <w:bottom w:val="single" w:sz="4" w:space="0" w:color="000000"/>
              <w:right w:val="single" w:sz="12" w:space="0" w:color="000000"/>
            </w:tcBorders>
            <w:vAlign w:val="center"/>
          </w:tcPr>
          <w:p w14:paraId="35AD9AD2" w14:textId="12548133" w:rsidR="00AA38E8" w:rsidRPr="008E7BF5" w:rsidRDefault="00AA38E8" w:rsidP="00586B1D">
            <w:pPr>
              <w:tabs>
                <w:tab w:val="center" w:pos="399"/>
              </w:tabs>
              <w:spacing w:after="0" w:line="259" w:lineRule="auto"/>
              <w:ind w:left="0" w:right="0" w:firstLine="0"/>
              <w:jc w:val="center"/>
              <w:rPr>
                <w:sz w:val="18"/>
                <w:szCs w:val="18"/>
              </w:rPr>
            </w:pPr>
            <w:r w:rsidRPr="002B752E">
              <w:rPr>
                <w:sz w:val="18"/>
                <w:szCs w:val="18"/>
              </w:rPr>
              <w:t>0.16 – 0.4</w:t>
            </w:r>
          </w:p>
        </w:tc>
        <w:tc>
          <w:tcPr>
            <w:tcW w:w="810" w:type="dxa"/>
            <w:tcBorders>
              <w:top w:val="single" w:sz="4" w:space="0" w:color="000000"/>
              <w:left w:val="single" w:sz="12" w:space="0" w:color="000000"/>
              <w:bottom w:val="single" w:sz="4" w:space="0" w:color="000000"/>
              <w:right w:val="single" w:sz="12" w:space="0" w:color="000000"/>
            </w:tcBorders>
            <w:vAlign w:val="center"/>
          </w:tcPr>
          <w:p w14:paraId="60193F2E" w14:textId="0D5C23D4" w:rsidR="00AA38E8" w:rsidRDefault="00AA38E8" w:rsidP="00586B1D">
            <w:pPr>
              <w:spacing w:after="0" w:line="259" w:lineRule="auto"/>
              <w:ind w:left="0" w:right="46" w:firstLine="0"/>
              <w:jc w:val="center"/>
            </w:pPr>
            <w:r w:rsidRPr="00B64759">
              <w:rPr>
                <w:rFonts w:eastAsia="Segoe UI Symbol"/>
                <w:sz w:val="18"/>
              </w:rPr>
              <w:t>u</w:t>
            </w:r>
            <w:r w:rsidRPr="00B64759">
              <w:rPr>
                <w:sz w:val="18"/>
              </w:rPr>
              <w:t>g/</w:t>
            </w:r>
            <w:r w:rsidRPr="005E0FBE">
              <w:rPr>
                <w:sz w:val="18"/>
                <w:szCs w:val="18"/>
              </w:rPr>
              <w:t>kg</w:t>
            </w:r>
          </w:p>
        </w:tc>
        <w:tc>
          <w:tcPr>
            <w:tcW w:w="990" w:type="dxa"/>
            <w:tcBorders>
              <w:top w:val="single" w:sz="4" w:space="0" w:color="000000"/>
              <w:left w:val="single" w:sz="12" w:space="0" w:color="000000"/>
              <w:bottom w:val="single" w:sz="4" w:space="0" w:color="000000"/>
              <w:right w:val="single" w:sz="12" w:space="0" w:color="000000"/>
            </w:tcBorders>
            <w:vAlign w:val="center"/>
          </w:tcPr>
          <w:p w14:paraId="4399C032" w14:textId="6EFE64DB" w:rsidR="00AA38E8" w:rsidRDefault="00AA38E8" w:rsidP="00586B1D">
            <w:pPr>
              <w:spacing w:after="0" w:line="259" w:lineRule="auto"/>
              <w:ind w:left="0" w:right="45" w:firstLine="0"/>
              <w:jc w:val="center"/>
            </w:pPr>
            <w:r w:rsidRPr="00372D1A">
              <w:rPr>
                <w:sz w:val="18"/>
                <w:szCs w:val="18"/>
              </w:rPr>
              <w:t>1633</w:t>
            </w:r>
          </w:p>
        </w:tc>
        <w:tc>
          <w:tcPr>
            <w:tcW w:w="540" w:type="dxa"/>
            <w:tcBorders>
              <w:top w:val="single" w:sz="4" w:space="0" w:color="000000"/>
              <w:left w:val="single" w:sz="12" w:space="0" w:color="000000"/>
              <w:bottom w:val="single" w:sz="4" w:space="0" w:color="000000"/>
              <w:right w:val="single" w:sz="12" w:space="0" w:color="000000"/>
            </w:tcBorders>
            <w:vAlign w:val="center"/>
          </w:tcPr>
          <w:p w14:paraId="7C6F1AFF" w14:textId="77777777" w:rsidR="00AA38E8" w:rsidRDefault="00AA38E8" w:rsidP="00AA38E8">
            <w:pPr>
              <w:spacing w:after="0" w:line="259" w:lineRule="auto"/>
              <w:ind w:left="0" w:right="48" w:firstLine="0"/>
              <w:jc w:val="center"/>
            </w:pPr>
          </w:p>
        </w:tc>
      </w:tr>
      <w:tr w:rsidR="00E91CEF" w14:paraId="2254CA17" w14:textId="77777777" w:rsidTr="000C4B7A">
        <w:trPr>
          <w:trHeight w:val="252"/>
        </w:trPr>
        <w:tc>
          <w:tcPr>
            <w:tcW w:w="4230" w:type="dxa"/>
            <w:tcBorders>
              <w:top w:val="single" w:sz="4" w:space="0" w:color="000000"/>
              <w:left w:val="single" w:sz="12" w:space="0" w:color="000000"/>
              <w:bottom w:val="single" w:sz="4" w:space="0" w:color="000000"/>
              <w:right w:val="single" w:sz="12" w:space="0" w:color="000000"/>
            </w:tcBorders>
            <w:vAlign w:val="center"/>
          </w:tcPr>
          <w:p w14:paraId="3686AE70" w14:textId="4401EC48" w:rsidR="00AA38E8" w:rsidRPr="00735EA6" w:rsidRDefault="00AA38E8" w:rsidP="00AA38E8">
            <w:pPr>
              <w:spacing w:after="0" w:line="259" w:lineRule="auto"/>
              <w:ind w:left="0" w:right="0" w:firstLine="0"/>
              <w:rPr>
                <w:sz w:val="18"/>
                <w:szCs w:val="18"/>
              </w:rPr>
            </w:pPr>
            <w:proofErr w:type="spellStart"/>
            <w:r>
              <w:rPr>
                <w:sz w:val="18"/>
                <w:szCs w:val="18"/>
              </w:rPr>
              <w:t>Perfluorododecanesulfonic</w:t>
            </w:r>
            <w:proofErr w:type="spellEnd"/>
            <w:r>
              <w:rPr>
                <w:sz w:val="18"/>
                <w:szCs w:val="18"/>
              </w:rPr>
              <w:t xml:space="preserve"> acid (</w:t>
            </w:r>
            <w:proofErr w:type="spellStart"/>
            <w:r>
              <w:rPr>
                <w:sz w:val="18"/>
                <w:szCs w:val="18"/>
              </w:rPr>
              <w:t>PFDoS</w:t>
            </w:r>
            <w:proofErr w:type="spellEnd"/>
            <w:r>
              <w:rPr>
                <w:sz w:val="18"/>
                <w:szCs w:val="18"/>
              </w:rPr>
              <w:t>)</w:t>
            </w:r>
          </w:p>
        </w:tc>
        <w:tc>
          <w:tcPr>
            <w:tcW w:w="1170" w:type="dxa"/>
            <w:tcBorders>
              <w:top w:val="single" w:sz="4" w:space="0" w:color="000000"/>
              <w:left w:val="single" w:sz="12" w:space="0" w:color="000000"/>
              <w:bottom w:val="single" w:sz="4" w:space="0" w:color="000000"/>
              <w:right w:val="single" w:sz="12" w:space="0" w:color="000000"/>
            </w:tcBorders>
            <w:vAlign w:val="center"/>
          </w:tcPr>
          <w:p w14:paraId="67DEC378" w14:textId="6BC1FAC7" w:rsidR="00AA38E8" w:rsidRPr="00735EA6" w:rsidRDefault="00AA38E8" w:rsidP="00AA38E8">
            <w:pPr>
              <w:spacing w:after="0" w:line="259" w:lineRule="auto"/>
              <w:ind w:left="0" w:right="44" w:firstLine="0"/>
              <w:jc w:val="center"/>
              <w:rPr>
                <w:sz w:val="18"/>
                <w:szCs w:val="18"/>
              </w:rPr>
            </w:pPr>
            <w:r>
              <w:rPr>
                <w:sz w:val="18"/>
                <w:szCs w:val="18"/>
              </w:rPr>
              <w:t>79780-39-5</w:t>
            </w:r>
          </w:p>
        </w:tc>
        <w:tc>
          <w:tcPr>
            <w:tcW w:w="990" w:type="dxa"/>
            <w:tcBorders>
              <w:top w:val="single" w:sz="4" w:space="0" w:color="000000"/>
              <w:left w:val="single" w:sz="12" w:space="0" w:color="000000"/>
              <w:bottom w:val="single" w:sz="4" w:space="0" w:color="000000"/>
              <w:right w:val="single" w:sz="12" w:space="0" w:color="000000"/>
            </w:tcBorders>
            <w:vAlign w:val="center"/>
          </w:tcPr>
          <w:p w14:paraId="67FDC90E" w14:textId="106EBD87" w:rsidR="00AA38E8" w:rsidRPr="008E7BF5" w:rsidRDefault="00AA38E8" w:rsidP="00586B1D">
            <w:pPr>
              <w:tabs>
                <w:tab w:val="center" w:pos="534"/>
              </w:tabs>
              <w:spacing w:after="0" w:line="259" w:lineRule="auto"/>
              <w:ind w:left="0" w:right="0" w:firstLine="0"/>
              <w:jc w:val="center"/>
              <w:rPr>
                <w:sz w:val="18"/>
                <w:szCs w:val="18"/>
              </w:rPr>
            </w:pPr>
            <w:r w:rsidRPr="00E74315">
              <w:rPr>
                <w:sz w:val="18"/>
                <w:szCs w:val="18"/>
              </w:rPr>
              <w:t xml:space="preserve">1 </w:t>
            </w:r>
            <w:r>
              <w:rPr>
                <w:sz w:val="18"/>
                <w:szCs w:val="18"/>
              </w:rPr>
              <w:t>–</w:t>
            </w:r>
            <w:r w:rsidRPr="00E74315">
              <w:rPr>
                <w:sz w:val="18"/>
                <w:szCs w:val="18"/>
              </w:rPr>
              <w:t xml:space="preserve"> 4</w:t>
            </w:r>
          </w:p>
        </w:tc>
        <w:tc>
          <w:tcPr>
            <w:tcW w:w="720" w:type="dxa"/>
            <w:tcBorders>
              <w:top w:val="single" w:sz="4" w:space="0" w:color="000000"/>
              <w:left w:val="single" w:sz="12" w:space="0" w:color="000000"/>
              <w:bottom w:val="single" w:sz="4" w:space="0" w:color="000000"/>
              <w:right w:val="single" w:sz="12" w:space="0" w:color="000000"/>
            </w:tcBorders>
            <w:vAlign w:val="center"/>
          </w:tcPr>
          <w:p w14:paraId="0E16FE99" w14:textId="77613788" w:rsidR="00AA38E8" w:rsidRPr="00430F48" w:rsidRDefault="00AA38E8" w:rsidP="00586B1D">
            <w:pPr>
              <w:spacing w:after="0" w:line="259" w:lineRule="auto"/>
              <w:ind w:left="0" w:right="44" w:firstLine="0"/>
              <w:jc w:val="center"/>
              <w:rPr>
                <w:sz w:val="18"/>
                <w:szCs w:val="18"/>
              </w:rPr>
            </w:pPr>
            <w:r w:rsidRPr="00716878">
              <w:rPr>
                <w:sz w:val="18"/>
                <w:szCs w:val="18"/>
              </w:rPr>
              <w:t>ng/L</w:t>
            </w:r>
          </w:p>
        </w:tc>
        <w:tc>
          <w:tcPr>
            <w:tcW w:w="1080" w:type="dxa"/>
            <w:tcBorders>
              <w:top w:val="single" w:sz="4" w:space="0" w:color="000000"/>
              <w:left w:val="single" w:sz="12" w:space="0" w:color="000000"/>
              <w:bottom w:val="single" w:sz="4" w:space="0" w:color="000000"/>
              <w:right w:val="single" w:sz="12" w:space="0" w:color="000000"/>
            </w:tcBorders>
            <w:vAlign w:val="center"/>
          </w:tcPr>
          <w:p w14:paraId="2331E543" w14:textId="4EED444A" w:rsidR="00AA38E8" w:rsidRPr="008E7BF5" w:rsidRDefault="00AA38E8" w:rsidP="00586B1D">
            <w:pPr>
              <w:tabs>
                <w:tab w:val="center" w:pos="399"/>
              </w:tabs>
              <w:spacing w:after="0" w:line="259" w:lineRule="auto"/>
              <w:ind w:left="0" w:right="0" w:firstLine="0"/>
              <w:jc w:val="center"/>
              <w:rPr>
                <w:sz w:val="18"/>
                <w:szCs w:val="18"/>
              </w:rPr>
            </w:pPr>
            <w:r w:rsidRPr="002B752E">
              <w:rPr>
                <w:sz w:val="18"/>
                <w:szCs w:val="18"/>
              </w:rPr>
              <w:t>0.16 – 0.4</w:t>
            </w:r>
          </w:p>
        </w:tc>
        <w:tc>
          <w:tcPr>
            <w:tcW w:w="810" w:type="dxa"/>
            <w:tcBorders>
              <w:top w:val="single" w:sz="4" w:space="0" w:color="000000"/>
              <w:left w:val="single" w:sz="12" w:space="0" w:color="000000"/>
              <w:bottom w:val="single" w:sz="4" w:space="0" w:color="000000"/>
              <w:right w:val="single" w:sz="12" w:space="0" w:color="000000"/>
            </w:tcBorders>
            <w:vAlign w:val="center"/>
          </w:tcPr>
          <w:p w14:paraId="4C34FF39" w14:textId="357C387B" w:rsidR="00AA38E8" w:rsidRDefault="00AA38E8" w:rsidP="00586B1D">
            <w:pPr>
              <w:spacing w:after="0" w:line="259" w:lineRule="auto"/>
              <w:ind w:left="0" w:right="46" w:firstLine="0"/>
              <w:jc w:val="center"/>
            </w:pPr>
            <w:r w:rsidRPr="00B64759">
              <w:rPr>
                <w:rFonts w:eastAsia="Segoe UI Symbol"/>
                <w:sz w:val="18"/>
              </w:rPr>
              <w:t>u</w:t>
            </w:r>
            <w:r w:rsidRPr="00B64759">
              <w:rPr>
                <w:sz w:val="18"/>
              </w:rPr>
              <w:t>g/</w:t>
            </w:r>
            <w:r w:rsidRPr="005E0FBE">
              <w:rPr>
                <w:sz w:val="18"/>
                <w:szCs w:val="18"/>
              </w:rPr>
              <w:t>kg</w:t>
            </w:r>
          </w:p>
        </w:tc>
        <w:tc>
          <w:tcPr>
            <w:tcW w:w="990" w:type="dxa"/>
            <w:tcBorders>
              <w:top w:val="single" w:sz="4" w:space="0" w:color="000000"/>
              <w:left w:val="single" w:sz="12" w:space="0" w:color="000000"/>
              <w:bottom w:val="single" w:sz="4" w:space="0" w:color="000000"/>
              <w:right w:val="single" w:sz="12" w:space="0" w:color="000000"/>
            </w:tcBorders>
            <w:vAlign w:val="center"/>
          </w:tcPr>
          <w:p w14:paraId="28301D47" w14:textId="3070162D" w:rsidR="00AA38E8" w:rsidRDefault="00AA38E8" w:rsidP="00586B1D">
            <w:pPr>
              <w:spacing w:after="0" w:line="259" w:lineRule="auto"/>
              <w:ind w:left="0" w:right="45" w:firstLine="0"/>
              <w:jc w:val="center"/>
            </w:pPr>
            <w:r w:rsidRPr="00372D1A">
              <w:rPr>
                <w:sz w:val="18"/>
                <w:szCs w:val="18"/>
              </w:rPr>
              <w:t>1633</w:t>
            </w:r>
          </w:p>
        </w:tc>
        <w:tc>
          <w:tcPr>
            <w:tcW w:w="540" w:type="dxa"/>
            <w:tcBorders>
              <w:top w:val="single" w:sz="4" w:space="0" w:color="000000"/>
              <w:left w:val="single" w:sz="12" w:space="0" w:color="000000"/>
              <w:bottom w:val="single" w:sz="4" w:space="0" w:color="000000"/>
              <w:right w:val="single" w:sz="12" w:space="0" w:color="000000"/>
            </w:tcBorders>
            <w:vAlign w:val="center"/>
          </w:tcPr>
          <w:p w14:paraId="58DFF207" w14:textId="77777777" w:rsidR="00AA38E8" w:rsidRDefault="00AA38E8" w:rsidP="00AA38E8">
            <w:pPr>
              <w:spacing w:after="0" w:line="259" w:lineRule="auto"/>
              <w:ind w:left="0" w:right="48" w:firstLine="0"/>
              <w:jc w:val="center"/>
            </w:pPr>
          </w:p>
        </w:tc>
      </w:tr>
      <w:tr w:rsidR="00E91CEF" w14:paraId="58FDE34F" w14:textId="77777777" w:rsidTr="000C4B7A">
        <w:trPr>
          <w:trHeight w:val="252"/>
        </w:trPr>
        <w:tc>
          <w:tcPr>
            <w:tcW w:w="4230" w:type="dxa"/>
            <w:tcBorders>
              <w:top w:val="single" w:sz="4" w:space="0" w:color="000000"/>
              <w:left w:val="single" w:sz="12" w:space="0" w:color="000000"/>
              <w:bottom w:val="single" w:sz="4" w:space="0" w:color="000000"/>
              <w:right w:val="single" w:sz="12" w:space="0" w:color="000000"/>
            </w:tcBorders>
            <w:vAlign w:val="center"/>
          </w:tcPr>
          <w:p w14:paraId="66F87458" w14:textId="09BDCBDF" w:rsidR="00143382" w:rsidRPr="00735EA6" w:rsidRDefault="00143382" w:rsidP="00143382">
            <w:pPr>
              <w:spacing w:after="0" w:line="259" w:lineRule="auto"/>
              <w:ind w:left="0" w:right="0" w:firstLine="0"/>
              <w:rPr>
                <w:sz w:val="18"/>
                <w:szCs w:val="18"/>
              </w:rPr>
            </w:pPr>
            <w:r>
              <w:rPr>
                <w:sz w:val="18"/>
                <w:szCs w:val="18"/>
              </w:rPr>
              <w:t>1H, 1H, 2H, 2H-Perfluorohexane sulfonic acid (4:2FTS)</w:t>
            </w:r>
          </w:p>
        </w:tc>
        <w:tc>
          <w:tcPr>
            <w:tcW w:w="1170" w:type="dxa"/>
            <w:tcBorders>
              <w:top w:val="single" w:sz="4" w:space="0" w:color="000000"/>
              <w:left w:val="single" w:sz="12" w:space="0" w:color="000000"/>
              <w:bottom w:val="single" w:sz="4" w:space="0" w:color="000000"/>
              <w:right w:val="single" w:sz="12" w:space="0" w:color="000000"/>
            </w:tcBorders>
            <w:vAlign w:val="center"/>
          </w:tcPr>
          <w:p w14:paraId="64944A6E" w14:textId="5142D59F" w:rsidR="00143382" w:rsidRPr="00735EA6" w:rsidRDefault="00143382" w:rsidP="00143382">
            <w:pPr>
              <w:spacing w:after="0" w:line="259" w:lineRule="auto"/>
              <w:ind w:left="0" w:right="44" w:firstLine="0"/>
              <w:jc w:val="center"/>
              <w:rPr>
                <w:sz w:val="18"/>
                <w:szCs w:val="18"/>
              </w:rPr>
            </w:pPr>
            <w:r>
              <w:rPr>
                <w:sz w:val="18"/>
                <w:szCs w:val="18"/>
              </w:rPr>
              <w:t>757124-72-4</w:t>
            </w:r>
          </w:p>
        </w:tc>
        <w:tc>
          <w:tcPr>
            <w:tcW w:w="990" w:type="dxa"/>
            <w:tcBorders>
              <w:top w:val="single" w:sz="4" w:space="0" w:color="000000"/>
              <w:left w:val="single" w:sz="12" w:space="0" w:color="000000"/>
              <w:bottom w:val="single" w:sz="4" w:space="0" w:color="000000"/>
              <w:right w:val="single" w:sz="12" w:space="0" w:color="000000"/>
            </w:tcBorders>
            <w:vAlign w:val="center"/>
          </w:tcPr>
          <w:p w14:paraId="27F83E78" w14:textId="45B3E1A4" w:rsidR="00143382" w:rsidRPr="002C33AB" w:rsidRDefault="00B3241D" w:rsidP="00586B1D">
            <w:pPr>
              <w:tabs>
                <w:tab w:val="center" w:pos="534"/>
              </w:tabs>
              <w:spacing w:after="0" w:line="259" w:lineRule="auto"/>
              <w:ind w:left="0" w:right="0" w:firstLine="0"/>
              <w:jc w:val="center"/>
              <w:rPr>
                <w:sz w:val="18"/>
                <w:szCs w:val="18"/>
              </w:rPr>
            </w:pPr>
            <w:r>
              <w:rPr>
                <w:sz w:val="18"/>
                <w:szCs w:val="18"/>
              </w:rPr>
              <w:t>4 – 15</w:t>
            </w:r>
          </w:p>
        </w:tc>
        <w:tc>
          <w:tcPr>
            <w:tcW w:w="720" w:type="dxa"/>
            <w:tcBorders>
              <w:top w:val="single" w:sz="4" w:space="0" w:color="000000"/>
              <w:left w:val="single" w:sz="12" w:space="0" w:color="000000"/>
              <w:bottom w:val="single" w:sz="4" w:space="0" w:color="000000"/>
              <w:right w:val="single" w:sz="12" w:space="0" w:color="000000"/>
            </w:tcBorders>
            <w:vAlign w:val="center"/>
          </w:tcPr>
          <w:p w14:paraId="798159A2" w14:textId="79B146B5" w:rsidR="00143382" w:rsidRPr="00716878" w:rsidRDefault="00143382" w:rsidP="00586B1D">
            <w:pPr>
              <w:spacing w:after="0" w:line="259" w:lineRule="auto"/>
              <w:ind w:left="0" w:right="44" w:firstLine="0"/>
              <w:jc w:val="center"/>
              <w:rPr>
                <w:sz w:val="18"/>
                <w:szCs w:val="18"/>
              </w:rPr>
            </w:pPr>
            <w:r w:rsidRPr="00716878">
              <w:rPr>
                <w:sz w:val="18"/>
                <w:szCs w:val="18"/>
              </w:rPr>
              <w:t>ng/L</w:t>
            </w:r>
          </w:p>
        </w:tc>
        <w:tc>
          <w:tcPr>
            <w:tcW w:w="1080" w:type="dxa"/>
            <w:tcBorders>
              <w:top w:val="single" w:sz="4" w:space="0" w:color="000000"/>
              <w:left w:val="single" w:sz="12" w:space="0" w:color="000000"/>
              <w:bottom w:val="single" w:sz="4" w:space="0" w:color="000000"/>
              <w:right w:val="single" w:sz="12" w:space="0" w:color="000000"/>
            </w:tcBorders>
            <w:vAlign w:val="center"/>
          </w:tcPr>
          <w:p w14:paraId="72588619" w14:textId="3043D02D" w:rsidR="00143382" w:rsidRPr="002C33AB" w:rsidRDefault="00244D0F" w:rsidP="00586B1D">
            <w:pPr>
              <w:tabs>
                <w:tab w:val="center" w:pos="399"/>
              </w:tabs>
              <w:spacing w:after="0" w:line="259" w:lineRule="auto"/>
              <w:ind w:left="0" w:right="0" w:firstLine="0"/>
              <w:jc w:val="center"/>
              <w:rPr>
                <w:sz w:val="18"/>
                <w:szCs w:val="18"/>
              </w:rPr>
            </w:pPr>
            <w:r>
              <w:rPr>
                <w:sz w:val="18"/>
                <w:szCs w:val="18"/>
              </w:rPr>
              <w:t xml:space="preserve">0.64 </w:t>
            </w:r>
            <w:r w:rsidR="00A47B23">
              <w:rPr>
                <w:sz w:val="18"/>
                <w:szCs w:val="18"/>
              </w:rPr>
              <w:t>–</w:t>
            </w:r>
            <w:r>
              <w:rPr>
                <w:sz w:val="18"/>
                <w:szCs w:val="18"/>
              </w:rPr>
              <w:t xml:space="preserve"> </w:t>
            </w:r>
            <w:r w:rsidR="00A47B23">
              <w:rPr>
                <w:sz w:val="18"/>
                <w:szCs w:val="18"/>
              </w:rPr>
              <w:t>1.5</w:t>
            </w:r>
          </w:p>
        </w:tc>
        <w:tc>
          <w:tcPr>
            <w:tcW w:w="810" w:type="dxa"/>
            <w:tcBorders>
              <w:top w:val="single" w:sz="4" w:space="0" w:color="000000"/>
              <w:left w:val="single" w:sz="12" w:space="0" w:color="000000"/>
              <w:bottom w:val="single" w:sz="4" w:space="0" w:color="000000"/>
              <w:right w:val="single" w:sz="12" w:space="0" w:color="000000"/>
            </w:tcBorders>
            <w:vAlign w:val="center"/>
          </w:tcPr>
          <w:p w14:paraId="491D5CCD" w14:textId="513A0CD5" w:rsidR="00143382" w:rsidRPr="005E0FBE" w:rsidRDefault="004345EC" w:rsidP="00586B1D">
            <w:pPr>
              <w:spacing w:after="0" w:line="259" w:lineRule="auto"/>
              <w:ind w:left="0" w:right="46" w:firstLine="0"/>
              <w:jc w:val="center"/>
              <w:rPr>
                <w:rFonts w:eastAsia="Segoe UI Symbol"/>
                <w:sz w:val="18"/>
                <w:szCs w:val="18"/>
              </w:rPr>
            </w:pPr>
            <w:r w:rsidRPr="00B64759">
              <w:rPr>
                <w:rFonts w:eastAsia="Segoe UI Symbol"/>
                <w:sz w:val="18"/>
              </w:rPr>
              <w:t>u</w:t>
            </w:r>
            <w:r w:rsidRPr="00B64759">
              <w:rPr>
                <w:sz w:val="18"/>
              </w:rPr>
              <w:t>g/</w:t>
            </w:r>
            <w:r w:rsidRPr="005E0FBE">
              <w:rPr>
                <w:sz w:val="18"/>
                <w:szCs w:val="18"/>
              </w:rPr>
              <w:t>kg</w:t>
            </w:r>
          </w:p>
        </w:tc>
        <w:tc>
          <w:tcPr>
            <w:tcW w:w="990" w:type="dxa"/>
            <w:tcBorders>
              <w:top w:val="single" w:sz="4" w:space="0" w:color="000000"/>
              <w:left w:val="single" w:sz="12" w:space="0" w:color="000000"/>
              <w:bottom w:val="single" w:sz="4" w:space="0" w:color="000000"/>
              <w:right w:val="single" w:sz="12" w:space="0" w:color="000000"/>
            </w:tcBorders>
            <w:vAlign w:val="center"/>
          </w:tcPr>
          <w:p w14:paraId="067DF7B9" w14:textId="570F967C" w:rsidR="00143382" w:rsidRDefault="00A34F3B" w:rsidP="00586B1D">
            <w:pPr>
              <w:spacing w:after="0" w:line="259" w:lineRule="auto"/>
              <w:ind w:left="0" w:right="45" w:firstLine="0"/>
              <w:jc w:val="center"/>
            </w:pPr>
            <w:r w:rsidRPr="00372D1A">
              <w:rPr>
                <w:sz w:val="18"/>
                <w:szCs w:val="18"/>
              </w:rPr>
              <w:t>1633</w:t>
            </w:r>
          </w:p>
        </w:tc>
        <w:tc>
          <w:tcPr>
            <w:tcW w:w="540" w:type="dxa"/>
            <w:tcBorders>
              <w:top w:val="single" w:sz="4" w:space="0" w:color="000000"/>
              <w:left w:val="single" w:sz="12" w:space="0" w:color="000000"/>
              <w:bottom w:val="single" w:sz="4" w:space="0" w:color="000000"/>
              <w:right w:val="single" w:sz="12" w:space="0" w:color="000000"/>
            </w:tcBorders>
            <w:vAlign w:val="center"/>
          </w:tcPr>
          <w:p w14:paraId="2995201E" w14:textId="77777777" w:rsidR="00143382" w:rsidRDefault="00143382" w:rsidP="00143382">
            <w:pPr>
              <w:spacing w:after="0" w:line="259" w:lineRule="auto"/>
              <w:ind w:left="0" w:right="48" w:firstLine="0"/>
              <w:jc w:val="center"/>
            </w:pPr>
          </w:p>
        </w:tc>
      </w:tr>
      <w:tr w:rsidR="00E91CEF" w14:paraId="348C2FA4" w14:textId="77777777" w:rsidTr="000C4B7A">
        <w:trPr>
          <w:trHeight w:val="252"/>
        </w:trPr>
        <w:tc>
          <w:tcPr>
            <w:tcW w:w="4230" w:type="dxa"/>
            <w:tcBorders>
              <w:top w:val="single" w:sz="4" w:space="0" w:color="000000"/>
              <w:left w:val="single" w:sz="12" w:space="0" w:color="000000"/>
              <w:bottom w:val="single" w:sz="4" w:space="0" w:color="000000"/>
              <w:right w:val="single" w:sz="12" w:space="0" w:color="000000"/>
            </w:tcBorders>
            <w:vAlign w:val="center"/>
          </w:tcPr>
          <w:p w14:paraId="669CF642" w14:textId="7E6B23A7" w:rsidR="00143382" w:rsidRPr="00735EA6" w:rsidRDefault="00143382" w:rsidP="00143382">
            <w:pPr>
              <w:spacing w:after="0" w:line="259" w:lineRule="auto"/>
              <w:ind w:left="0" w:right="0" w:firstLine="0"/>
              <w:rPr>
                <w:sz w:val="18"/>
                <w:szCs w:val="18"/>
              </w:rPr>
            </w:pPr>
            <w:r>
              <w:rPr>
                <w:sz w:val="18"/>
                <w:szCs w:val="18"/>
              </w:rPr>
              <w:t>1H, 1H, 2H, 2H-Perfluorooctane sulfonic acid (6:2FTS)</w:t>
            </w:r>
          </w:p>
        </w:tc>
        <w:tc>
          <w:tcPr>
            <w:tcW w:w="1170" w:type="dxa"/>
            <w:tcBorders>
              <w:top w:val="single" w:sz="4" w:space="0" w:color="000000"/>
              <w:left w:val="single" w:sz="12" w:space="0" w:color="000000"/>
              <w:bottom w:val="single" w:sz="4" w:space="0" w:color="000000"/>
              <w:right w:val="single" w:sz="12" w:space="0" w:color="000000"/>
            </w:tcBorders>
            <w:vAlign w:val="center"/>
          </w:tcPr>
          <w:p w14:paraId="2EA03FC8" w14:textId="6F43BB3F" w:rsidR="00143382" w:rsidRPr="00735EA6" w:rsidRDefault="00143382" w:rsidP="00143382">
            <w:pPr>
              <w:spacing w:after="0" w:line="259" w:lineRule="auto"/>
              <w:ind w:left="0" w:right="44" w:firstLine="0"/>
              <w:jc w:val="center"/>
              <w:rPr>
                <w:sz w:val="18"/>
                <w:szCs w:val="18"/>
              </w:rPr>
            </w:pPr>
            <w:r>
              <w:rPr>
                <w:sz w:val="18"/>
                <w:szCs w:val="18"/>
              </w:rPr>
              <w:t>27619-97-2</w:t>
            </w:r>
          </w:p>
        </w:tc>
        <w:tc>
          <w:tcPr>
            <w:tcW w:w="990" w:type="dxa"/>
            <w:tcBorders>
              <w:top w:val="single" w:sz="4" w:space="0" w:color="000000"/>
              <w:left w:val="single" w:sz="12" w:space="0" w:color="000000"/>
              <w:bottom w:val="single" w:sz="4" w:space="0" w:color="000000"/>
              <w:right w:val="single" w:sz="12" w:space="0" w:color="000000"/>
            </w:tcBorders>
            <w:vAlign w:val="center"/>
          </w:tcPr>
          <w:p w14:paraId="54BBB485" w14:textId="0C59DB2A" w:rsidR="00143382" w:rsidRPr="002C33AB" w:rsidRDefault="00B3241D" w:rsidP="00586B1D">
            <w:pPr>
              <w:tabs>
                <w:tab w:val="center" w:pos="534"/>
              </w:tabs>
              <w:spacing w:after="0" w:line="259" w:lineRule="auto"/>
              <w:ind w:left="0" w:right="0" w:firstLine="0"/>
              <w:jc w:val="center"/>
              <w:rPr>
                <w:sz w:val="18"/>
                <w:szCs w:val="18"/>
              </w:rPr>
            </w:pPr>
            <w:r>
              <w:rPr>
                <w:sz w:val="18"/>
                <w:szCs w:val="18"/>
              </w:rPr>
              <w:t>4 – 15</w:t>
            </w:r>
          </w:p>
        </w:tc>
        <w:tc>
          <w:tcPr>
            <w:tcW w:w="720" w:type="dxa"/>
            <w:tcBorders>
              <w:top w:val="single" w:sz="4" w:space="0" w:color="000000"/>
              <w:left w:val="single" w:sz="12" w:space="0" w:color="000000"/>
              <w:bottom w:val="single" w:sz="4" w:space="0" w:color="000000"/>
              <w:right w:val="single" w:sz="12" w:space="0" w:color="000000"/>
            </w:tcBorders>
            <w:vAlign w:val="center"/>
          </w:tcPr>
          <w:p w14:paraId="40093C7D" w14:textId="679C5E08" w:rsidR="00143382" w:rsidRPr="00430F48" w:rsidRDefault="00143382" w:rsidP="00586B1D">
            <w:pPr>
              <w:spacing w:after="0" w:line="259" w:lineRule="auto"/>
              <w:ind w:left="0" w:right="44" w:firstLine="0"/>
              <w:jc w:val="center"/>
              <w:rPr>
                <w:sz w:val="18"/>
                <w:szCs w:val="18"/>
              </w:rPr>
            </w:pPr>
            <w:r w:rsidRPr="00716878">
              <w:rPr>
                <w:sz w:val="18"/>
                <w:szCs w:val="18"/>
              </w:rPr>
              <w:t>ng/L</w:t>
            </w:r>
          </w:p>
        </w:tc>
        <w:tc>
          <w:tcPr>
            <w:tcW w:w="1080" w:type="dxa"/>
            <w:tcBorders>
              <w:top w:val="single" w:sz="4" w:space="0" w:color="000000"/>
              <w:left w:val="single" w:sz="12" w:space="0" w:color="000000"/>
              <w:bottom w:val="single" w:sz="4" w:space="0" w:color="000000"/>
              <w:right w:val="single" w:sz="12" w:space="0" w:color="000000"/>
            </w:tcBorders>
            <w:vAlign w:val="center"/>
          </w:tcPr>
          <w:p w14:paraId="3D627003" w14:textId="4E10F978" w:rsidR="00143382" w:rsidRPr="002C33AB" w:rsidRDefault="00A47B23" w:rsidP="00586B1D">
            <w:pPr>
              <w:tabs>
                <w:tab w:val="center" w:pos="399"/>
              </w:tabs>
              <w:spacing w:after="0" w:line="259" w:lineRule="auto"/>
              <w:ind w:left="0" w:right="0" w:firstLine="0"/>
              <w:jc w:val="center"/>
              <w:rPr>
                <w:sz w:val="18"/>
                <w:szCs w:val="18"/>
              </w:rPr>
            </w:pPr>
            <w:r>
              <w:rPr>
                <w:sz w:val="18"/>
                <w:szCs w:val="18"/>
              </w:rPr>
              <w:t>0.64 – 1.5</w:t>
            </w:r>
          </w:p>
        </w:tc>
        <w:tc>
          <w:tcPr>
            <w:tcW w:w="810" w:type="dxa"/>
            <w:tcBorders>
              <w:top w:val="single" w:sz="4" w:space="0" w:color="000000"/>
              <w:left w:val="single" w:sz="12" w:space="0" w:color="000000"/>
              <w:bottom w:val="single" w:sz="4" w:space="0" w:color="000000"/>
              <w:right w:val="single" w:sz="12" w:space="0" w:color="000000"/>
            </w:tcBorders>
            <w:vAlign w:val="center"/>
          </w:tcPr>
          <w:p w14:paraId="046FEC73" w14:textId="642F7B3B" w:rsidR="00143382" w:rsidRDefault="004345EC" w:rsidP="00586B1D">
            <w:pPr>
              <w:spacing w:after="0" w:line="259" w:lineRule="auto"/>
              <w:ind w:left="0" w:right="46" w:firstLine="0"/>
              <w:jc w:val="center"/>
            </w:pPr>
            <w:r w:rsidRPr="00B64759">
              <w:rPr>
                <w:rFonts w:eastAsia="Segoe UI Symbol"/>
                <w:sz w:val="18"/>
              </w:rPr>
              <w:t>u</w:t>
            </w:r>
            <w:r w:rsidRPr="00B64759">
              <w:rPr>
                <w:sz w:val="18"/>
              </w:rPr>
              <w:t>g/</w:t>
            </w:r>
            <w:r w:rsidRPr="005E0FBE">
              <w:rPr>
                <w:sz w:val="18"/>
                <w:szCs w:val="18"/>
              </w:rPr>
              <w:t>kg</w:t>
            </w:r>
          </w:p>
        </w:tc>
        <w:tc>
          <w:tcPr>
            <w:tcW w:w="990" w:type="dxa"/>
            <w:tcBorders>
              <w:top w:val="single" w:sz="4" w:space="0" w:color="000000"/>
              <w:left w:val="single" w:sz="12" w:space="0" w:color="000000"/>
              <w:bottom w:val="single" w:sz="4" w:space="0" w:color="000000"/>
              <w:right w:val="single" w:sz="12" w:space="0" w:color="000000"/>
            </w:tcBorders>
            <w:vAlign w:val="center"/>
          </w:tcPr>
          <w:p w14:paraId="54CEA495" w14:textId="0C0D0098" w:rsidR="00143382" w:rsidRDefault="00A34F3B" w:rsidP="00586B1D">
            <w:pPr>
              <w:spacing w:after="0" w:line="259" w:lineRule="auto"/>
              <w:ind w:left="0" w:right="45" w:firstLine="0"/>
              <w:jc w:val="center"/>
            </w:pPr>
            <w:r w:rsidRPr="00372D1A">
              <w:rPr>
                <w:sz w:val="18"/>
                <w:szCs w:val="18"/>
              </w:rPr>
              <w:t>1633</w:t>
            </w:r>
          </w:p>
        </w:tc>
        <w:tc>
          <w:tcPr>
            <w:tcW w:w="540" w:type="dxa"/>
            <w:tcBorders>
              <w:top w:val="single" w:sz="4" w:space="0" w:color="000000"/>
              <w:left w:val="single" w:sz="12" w:space="0" w:color="000000"/>
              <w:bottom w:val="single" w:sz="4" w:space="0" w:color="000000"/>
              <w:right w:val="single" w:sz="12" w:space="0" w:color="000000"/>
            </w:tcBorders>
            <w:vAlign w:val="center"/>
          </w:tcPr>
          <w:p w14:paraId="168CD9CC" w14:textId="77777777" w:rsidR="00143382" w:rsidRDefault="00143382" w:rsidP="00143382">
            <w:pPr>
              <w:spacing w:after="0" w:line="259" w:lineRule="auto"/>
              <w:ind w:left="0" w:right="48" w:firstLine="0"/>
              <w:jc w:val="center"/>
            </w:pPr>
          </w:p>
        </w:tc>
      </w:tr>
      <w:tr w:rsidR="00E91CEF" w14:paraId="22A98DF0" w14:textId="77777777" w:rsidTr="000C4B7A">
        <w:trPr>
          <w:trHeight w:val="252"/>
        </w:trPr>
        <w:tc>
          <w:tcPr>
            <w:tcW w:w="4230" w:type="dxa"/>
            <w:tcBorders>
              <w:top w:val="single" w:sz="4" w:space="0" w:color="000000"/>
              <w:left w:val="single" w:sz="12" w:space="0" w:color="000000"/>
              <w:bottom w:val="single" w:sz="4" w:space="0" w:color="000000"/>
              <w:right w:val="single" w:sz="12" w:space="0" w:color="000000"/>
            </w:tcBorders>
            <w:vAlign w:val="center"/>
          </w:tcPr>
          <w:p w14:paraId="010C79D4" w14:textId="61FF07AC" w:rsidR="00143382" w:rsidRPr="00735EA6" w:rsidRDefault="00143382" w:rsidP="00143382">
            <w:pPr>
              <w:spacing w:after="0" w:line="259" w:lineRule="auto"/>
              <w:ind w:left="0" w:right="0" w:firstLine="0"/>
              <w:rPr>
                <w:sz w:val="18"/>
                <w:szCs w:val="18"/>
              </w:rPr>
            </w:pPr>
            <w:r>
              <w:rPr>
                <w:sz w:val="18"/>
                <w:szCs w:val="18"/>
              </w:rPr>
              <w:t>1H, 1H, 2H, 2H-Perfluorodecane sulfonic acid (8:2FTS)</w:t>
            </w:r>
          </w:p>
        </w:tc>
        <w:tc>
          <w:tcPr>
            <w:tcW w:w="1170" w:type="dxa"/>
            <w:tcBorders>
              <w:top w:val="single" w:sz="4" w:space="0" w:color="000000"/>
              <w:left w:val="single" w:sz="12" w:space="0" w:color="000000"/>
              <w:bottom w:val="single" w:sz="4" w:space="0" w:color="000000"/>
              <w:right w:val="single" w:sz="12" w:space="0" w:color="000000"/>
            </w:tcBorders>
            <w:vAlign w:val="center"/>
          </w:tcPr>
          <w:p w14:paraId="56AA65EC" w14:textId="0FD642C7" w:rsidR="00143382" w:rsidRPr="00735EA6" w:rsidRDefault="00143382" w:rsidP="00143382">
            <w:pPr>
              <w:spacing w:after="0" w:line="259" w:lineRule="auto"/>
              <w:ind w:left="0" w:right="44" w:firstLine="0"/>
              <w:jc w:val="center"/>
              <w:rPr>
                <w:sz w:val="18"/>
                <w:szCs w:val="18"/>
              </w:rPr>
            </w:pPr>
            <w:r>
              <w:rPr>
                <w:sz w:val="18"/>
                <w:szCs w:val="18"/>
              </w:rPr>
              <w:t>39108-34-4</w:t>
            </w:r>
          </w:p>
        </w:tc>
        <w:tc>
          <w:tcPr>
            <w:tcW w:w="990" w:type="dxa"/>
            <w:tcBorders>
              <w:top w:val="single" w:sz="4" w:space="0" w:color="000000"/>
              <w:left w:val="single" w:sz="12" w:space="0" w:color="000000"/>
              <w:bottom w:val="single" w:sz="4" w:space="0" w:color="000000"/>
              <w:right w:val="single" w:sz="12" w:space="0" w:color="000000"/>
            </w:tcBorders>
            <w:vAlign w:val="center"/>
          </w:tcPr>
          <w:p w14:paraId="6214F982" w14:textId="5C2F533F" w:rsidR="00143382" w:rsidRPr="002C33AB" w:rsidRDefault="00B3241D" w:rsidP="00586B1D">
            <w:pPr>
              <w:tabs>
                <w:tab w:val="center" w:pos="534"/>
              </w:tabs>
              <w:spacing w:after="0" w:line="259" w:lineRule="auto"/>
              <w:ind w:left="0" w:right="0" w:firstLine="0"/>
              <w:jc w:val="center"/>
              <w:rPr>
                <w:sz w:val="18"/>
                <w:szCs w:val="18"/>
              </w:rPr>
            </w:pPr>
            <w:r>
              <w:rPr>
                <w:sz w:val="18"/>
                <w:szCs w:val="18"/>
              </w:rPr>
              <w:t>4 – 15</w:t>
            </w:r>
          </w:p>
        </w:tc>
        <w:tc>
          <w:tcPr>
            <w:tcW w:w="720" w:type="dxa"/>
            <w:tcBorders>
              <w:top w:val="single" w:sz="4" w:space="0" w:color="000000"/>
              <w:left w:val="single" w:sz="12" w:space="0" w:color="000000"/>
              <w:bottom w:val="single" w:sz="4" w:space="0" w:color="000000"/>
              <w:right w:val="single" w:sz="12" w:space="0" w:color="000000"/>
            </w:tcBorders>
            <w:vAlign w:val="center"/>
          </w:tcPr>
          <w:p w14:paraId="59B4CF4F" w14:textId="74D03C09" w:rsidR="00143382" w:rsidRPr="00430F48" w:rsidRDefault="00143382" w:rsidP="00586B1D">
            <w:pPr>
              <w:spacing w:after="0" w:line="259" w:lineRule="auto"/>
              <w:ind w:left="0" w:right="44" w:firstLine="0"/>
              <w:jc w:val="center"/>
              <w:rPr>
                <w:sz w:val="18"/>
                <w:szCs w:val="18"/>
              </w:rPr>
            </w:pPr>
            <w:r w:rsidRPr="00716878">
              <w:rPr>
                <w:sz w:val="18"/>
                <w:szCs w:val="18"/>
              </w:rPr>
              <w:t>ng/L</w:t>
            </w:r>
          </w:p>
        </w:tc>
        <w:tc>
          <w:tcPr>
            <w:tcW w:w="1080" w:type="dxa"/>
            <w:tcBorders>
              <w:top w:val="single" w:sz="4" w:space="0" w:color="000000"/>
              <w:left w:val="single" w:sz="12" w:space="0" w:color="000000"/>
              <w:bottom w:val="single" w:sz="4" w:space="0" w:color="000000"/>
              <w:right w:val="single" w:sz="12" w:space="0" w:color="000000"/>
            </w:tcBorders>
            <w:vAlign w:val="center"/>
          </w:tcPr>
          <w:p w14:paraId="0881F6CC" w14:textId="391F47DF" w:rsidR="00143382" w:rsidRPr="002C33AB" w:rsidRDefault="00A47B23" w:rsidP="00586B1D">
            <w:pPr>
              <w:tabs>
                <w:tab w:val="center" w:pos="399"/>
              </w:tabs>
              <w:spacing w:after="0" w:line="259" w:lineRule="auto"/>
              <w:ind w:left="0" w:right="0" w:firstLine="0"/>
              <w:jc w:val="center"/>
              <w:rPr>
                <w:sz w:val="18"/>
                <w:szCs w:val="18"/>
              </w:rPr>
            </w:pPr>
            <w:r>
              <w:rPr>
                <w:sz w:val="18"/>
                <w:szCs w:val="18"/>
              </w:rPr>
              <w:t>0.64 – 1.5</w:t>
            </w:r>
          </w:p>
        </w:tc>
        <w:tc>
          <w:tcPr>
            <w:tcW w:w="810" w:type="dxa"/>
            <w:tcBorders>
              <w:top w:val="single" w:sz="4" w:space="0" w:color="000000"/>
              <w:left w:val="single" w:sz="12" w:space="0" w:color="000000"/>
              <w:bottom w:val="single" w:sz="4" w:space="0" w:color="000000"/>
              <w:right w:val="single" w:sz="12" w:space="0" w:color="000000"/>
            </w:tcBorders>
            <w:vAlign w:val="center"/>
          </w:tcPr>
          <w:p w14:paraId="7CE5B591" w14:textId="6C223622" w:rsidR="00143382" w:rsidRDefault="004345EC" w:rsidP="00586B1D">
            <w:pPr>
              <w:spacing w:after="0" w:line="259" w:lineRule="auto"/>
              <w:ind w:left="0" w:right="46" w:firstLine="0"/>
              <w:jc w:val="center"/>
            </w:pPr>
            <w:r w:rsidRPr="00B64759">
              <w:rPr>
                <w:rFonts w:eastAsia="Segoe UI Symbol"/>
                <w:sz w:val="18"/>
              </w:rPr>
              <w:t>u</w:t>
            </w:r>
            <w:r w:rsidRPr="00B64759">
              <w:rPr>
                <w:sz w:val="18"/>
              </w:rPr>
              <w:t>g/</w:t>
            </w:r>
            <w:r w:rsidRPr="005E0FBE">
              <w:rPr>
                <w:sz w:val="18"/>
                <w:szCs w:val="18"/>
              </w:rPr>
              <w:t>kg</w:t>
            </w:r>
          </w:p>
        </w:tc>
        <w:tc>
          <w:tcPr>
            <w:tcW w:w="990" w:type="dxa"/>
            <w:tcBorders>
              <w:top w:val="single" w:sz="4" w:space="0" w:color="000000"/>
              <w:left w:val="single" w:sz="12" w:space="0" w:color="000000"/>
              <w:bottom w:val="single" w:sz="4" w:space="0" w:color="000000"/>
              <w:right w:val="single" w:sz="12" w:space="0" w:color="000000"/>
            </w:tcBorders>
            <w:vAlign w:val="center"/>
          </w:tcPr>
          <w:p w14:paraId="13736421" w14:textId="69DC901F" w:rsidR="00143382" w:rsidRDefault="00A34F3B" w:rsidP="00586B1D">
            <w:pPr>
              <w:spacing w:after="0" w:line="259" w:lineRule="auto"/>
              <w:ind w:left="0" w:right="45" w:firstLine="0"/>
              <w:jc w:val="center"/>
            </w:pPr>
            <w:r w:rsidRPr="00372D1A">
              <w:rPr>
                <w:sz w:val="18"/>
                <w:szCs w:val="18"/>
              </w:rPr>
              <w:t>1633</w:t>
            </w:r>
          </w:p>
        </w:tc>
        <w:tc>
          <w:tcPr>
            <w:tcW w:w="540" w:type="dxa"/>
            <w:tcBorders>
              <w:top w:val="single" w:sz="4" w:space="0" w:color="000000"/>
              <w:left w:val="single" w:sz="12" w:space="0" w:color="000000"/>
              <w:bottom w:val="single" w:sz="4" w:space="0" w:color="000000"/>
              <w:right w:val="single" w:sz="12" w:space="0" w:color="000000"/>
            </w:tcBorders>
            <w:vAlign w:val="center"/>
          </w:tcPr>
          <w:p w14:paraId="4CD5018E" w14:textId="77777777" w:rsidR="00143382" w:rsidRDefault="00143382" w:rsidP="00143382">
            <w:pPr>
              <w:spacing w:after="0" w:line="259" w:lineRule="auto"/>
              <w:ind w:left="0" w:right="48" w:firstLine="0"/>
              <w:jc w:val="center"/>
            </w:pPr>
          </w:p>
        </w:tc>
      </w:tr>
      <w:tr w:rsidR="00E91CEF" w14:paraId="231078EF" w14:textId="77777777" w:rsidTr="000C4B7A">
        <w:trPr>
          <w:trHeight w:val="252"/>
        </w:trPr>
        <w:tc>
          <w:tcPr>
            <w:tcW w:w="4230" w:type="dxa"/>
            <w:tcBorders>
              <w:top w:val="single" w:sz="4" w:space="0" w:color="000000"/>
              <w:left w:val="single" w:sz="12" w:space="0" w:color="000000"/>
              <w:bottom w:val="single" w:sz="4" w:space="0" w:color="000000"/>
              <w:right w:val="single" w:sz="12" w:space="0" w:color="000000"/>
            </w:tcBorders>
            <w:vAlign w:val="center"/>
          </w:tcPr>
          <w:p w14:paraId="69E99563" w14:textId="7F3223A1" w:rsidR="00AA38E8" w:rsidRPr="00735EA6" w:rsidRDefault="00AA38E8" w:rsidP="00AA38E8">
            <w:pPr>
              <w:spacing w:after="0" w:line="259" w:lineRule="auto"/>
              <w:ind w:left="0" w:right="0" w:firstLine="0"/>
              <w:rPr>
                <w:sz w:val="18"/>
                <w:szCs w:val="18"/>
              </w:rPr>
            </w:pPr>
            <w:proofErr w:type="spellStart"/>
            <w:r>
              <w:rPr>
                <w:sz w:val="18"/>
                <w:szCs w:val="18"/>
              </w:rPr>
              <w:t>Perfluorooctanesulfonamide</w:t>
            </w:r>
            <w:proofErr w:type="spellEnd"/>
            <w:r>
              <w:rPr>
                <w:sz w:val="18"/>
                <w:szCs w:val="18"/>
              </w:rPr>
              <w:t xml:space="preserve"> (PFOSA)</w:t>
            </w:r>
          </w:p>
        </w:tc>
        <w:tc>
          <w:tcPr>
            <w:tcW w:w="1170" w:type="dxa"/>
            <w:tcBorders>
              <w:top w:val="single" w:sz="4" w:space="0" w:color="000000"/>
              <w:left w:val="single" w:sz="12" w:space="0" w:color="000000"/>
              <w:bottom w:val="single" w:sz="4" w:space="0" w:color="000000"/>
              <w:right w:val="single" w:sz="12" w:space="0" w:color="000000"/>
            </w:tcBorders>
            <w:vAlign w:val="center"/>
          </w:tcPr>
          <w:p w14:paraId="4114EF60" w14:textId="71E32597" w:rsidR="00AA38E8" w:rsidRPr="00735EA6" w:rsidRDefault="00AA38E8" w:rsidP="00AA38E8">
            <w:pPr>
              <w:spacing w:after="0" w:line="259" w:lineRule="auto"/>
              <w:ind w:left="0" w:right="44" w:firstLine="0"/>
              <w:jc w:val="center"/>
              <w:rPr>
                <w:sz w:val="18"/>
                <w:szCs w:val="18"/>
              </w:rPr>
            </w:pPr>
            <w:r>
              <w:rPr>
                <w:sz w:val="18"/>
                <w:szCs w:val="18"/>
              </w:rPr>
              <w:t>754-19-6</w:t>
            </w:r>
          </w:p>
        </w:tc>
        <w:tc>
          <w:tcPr>
            <w:tcW w:w="990" w:type="dxa"/>
            <w:tcBorders>
              <w:top w:val="single" w:sz="4" w:space="0" w:color="000000"/>
              <w:left w:val="single" w:sz="12" w:space="0" w:color="000000"/>
              <w:bottom w:val="single" w:sz="4" w:space="0" w:color="000000"/>
              <w:right w:val="single" w:sz="12" w:space="0" w:color="000000"/>
            </w:tcBorders>
            <w:vAlign w:val="center"/>
          </w:tcPr>
          <w:p w14:paraId="5B300BBE" w14:textId="0DB3710E" w:rsidR="00AA38E8" w:rsidRPr="00557B06" w:rsidRDefault="00AA38E8" w:rsidP="00586B1D">
            <w:pPr>
              <w:tabs>
                <w:tab w:val="center" w:pos="534"/>
              </w:tabs>
              <w:spacing w:after="0" w:line="259" w:lineRule="auto"/>
              <w:ind w:left="0" w:right="0" w:firstLine="0"/>
              <w:jc w:val="center"/>
              <w:rPr>
                <w:sz w:val="18"/>
                <w:szCs w:val="18"/>
              </w:rPr>
            </w:pPr>
            <w:r w:rsidRPr="00CD346E">
              <w:rPr>
                <w:sz w:val="18"/>
                <w:szCs w:val="18"/>
              </w:rPr>
              <w:t xml:space="preserve">1 </w:t>
            </w:r>
            <w:r>
              <w:rPr>
                <w:sz w:val="18"/>
                <w:szCs w:val="18"/>
              </w:rPr>
              <w:t>–</w:t>
            </w:r>
            <w:r w:rsidRPr="00CD346E">
              <w:rPr>
                <w:sz w:val="18"/>
                <w:szCs w:val="18"/>
              </w:rPr>
              <w:t xml:space="preserve"> 4</w:t>
            </w:r>
          </w:p>
        </w:tc>
        <w:tc>
          <w:tcPr>
            <w:tcW w:w="720" w:type="dxa"/>
            <w:tcBorders>
              <w:top w:val="single" w:sz="4" w:space="0" w:color="000000"/>
              <w:left w:val="single" w:sz="12" w:space="0" w:color="000000"/>
              <w:bottom w:val="single" w:sz="4" w:space="0" w:color="000000"/>
              <w:right w:val="single" w:sz="12" w:space="0" w:color="000000"/>
            </w:tcBorders>
            <w:vAlign w:val="center"/>
          </w:tcPr>
          <w:p w14:paraId="5D3F5801" w14:textId="739C0B05" w:rsidR="00AA38E8" w:rsidRPr="00430F48" w:rsidRDefault="00AA38E8" w:rsidP="00586B1D">
            <w:pPr>
              <w:spacing w:after="0" w:line="259" w:lineRule="auto"/>
              <w:ind w:left="0" w:right="44" w:firstLine="0"/>
              <w:jc w:val="center"/>
              <w:rPr>
                <w:sz w:val="18"/>
                <w:szCs w:val="18"/>
              </w:rPr>
            </w:pPr>
            <w:r w:rsidRPr="00716878">
              <w:rPr>
                <w:sz w:val="18"/>
                <w:szCs w:val="18"/>
              </w:rPr>
              <w:t>ng/L</w:t>
            </w:r>
          </w:p>
        </w:tc>
        <w:tc>
          <w:tcPr>
            <w:tcW w:w="1080" w:type="dxa"/>
            <w:tcBorders>
              <w:top w:val="single" w:sz="4" w:space="0" w:color="000000"/>
              <w:left w:val="single" w:sz="12" w:space="0" w:color="000000"/>
              <w:bottom w:val="single" w:sz="4" w:space="0" w:color="000000"/>
              <w:right w:val="single" w:sz="12" w:space="0" w:color="000000"/>
            </w:tcBorders>
            <w:vAlign w:val="center"/>
          </w:tcPr>
          <w:p w14:paraId="6220125A" w14:textId="33674A87" w:rsidR="00AA38E8" w:rsidRPr="00557B06" w:rsidRDefault="00AA38E8" w:rsidP="00586B1D">
            <w:pPr>
              <w:tabs>
                <w:tab w:val="center" w:pos="399"/>
              </w:tabs>
              <w:spacing w:after="0" w:line="259" w:lineRule="auto"/>
              <w:ind w:left="0" w:right="0" w:firstLine="0"/>
              <w:jc w:val="center"/>
              <w:rPr>
                <w:sz w:val="18"/>
                <w:szCs w:val="18"/>
              </w:rPr>
            </w:pPr>
            <w:r w:rsidRPr="00162EB8">
              <w:rPr>
                <w:sz w:val="18"/>
                <w:szCs w:val="18"/>
              </w:rPr>
              <w:t>0.16 – 0.4</w:t>
            </w:r>
          </w:p>
        </w:tc>
        <w:tc>
          <w:tcPr>
            <w:tcW w:w="810" w:type="dxa"/>
            <w:tcBorders>
              <w:top w:val="single" w:sz="4" w:space="0" w:color="000000"/>
              <w:left w:val="single" w:sz="12" w:space="0" w:color="000000"/>
              <w:bottom w:val="single" w:sz="4" w:space="0" w:color="000000"/>
              <w:right w:val="single" w:sz="12" w:space="0" w:color="000000"/>
            </w:tcBorders>
            <w:vAlign w:val="center"/>
          </w:tcPr>
          <w:p w14:paraId="036CE76F" w14:textId="496AA659" w:rsidR="00AA38E8" w:rsidRDefault="00AA38E8" w:rsidP="00586B1D">
            <w:pPr>
              <w:spacing w:after="0" w:line="259" w:lineRule="auto"/>
              <w:ind w:left="0" w:right="46" w:firstLine="0"/>
              <w:jc w:val="center"/>
            </w:pPr>
            <w:r w:rsidRPr="00B64759">
              <w:rPr>
                <w:rFonts w:eastAsia="Segoe UI Symbol"/>
                <w:sz w:val="18"/>
              </w:rPr>
              <w:t>u</w:t>
            </w:r>
            <w:r w:rsidRPr="00B64759">
              <w:rPr>
                <w:sz w:val="18"/>
              </w:rPr>
              <w:t>g/</w:t>
            </w:r>
            <w:r w:rsidRPr="005E0FBE">
              <w:rPr>
                <w:sz w:val="18"/>
                <w:szCs w:val="18"/>
              </w:rPr>
              <w:t>kg</w:t>
            </w:r>
          </w:p>
        </w:tc>
        <w:tc>
          <w:tcPr>
            <w:tcW w:w="990" w:type="dxa"/>
            <w:tcBorders>
              <w:top w:val="single" w:sz="4" w:space="0" w:color="000000"/>
              <w:left w:val="single" w:sz="12" w:space="0" w:color="000000"/>
              <w:bottom w:val="single" w:sz="4" w:space="0" w:color="000000"/>
              <w:right w:val="single" w:sz="12" w:space="0" w:color="000000"/>
            </w:tcBorders>
            <w:vAlign w:val="center"/>
          </w:tcPr>
          <w:p w14:paraId="03F72D8C" w14:textId="4D91EB59" w:rsidR="00AA38E8" w:rsidRDefault="00AA38E8" w:rsidP="00586B1D">
            <w:pPr>
              <w:spacing w:after="0" w:line="259" w:lineRule="auto"/>
              <w:ind w:left="0" w:right="45" w:firstLine="0"/>
              <w:jc w:val="center"/>
            </w:pPr>
            <w:r w:rsidRPr="00372D1A">
              <w:rPr>
                <w:sz w:val="18"/>
                <w:szCs w:val="18"/>
              </w:rPr>
              <w:t>1633</w:t>
            </w:r>
          </w:p>
        </w:tc>
        <w:tc>
          <w:tcPr>
            <w:tcW w:w="540" w:type="dxa"/>
            <w:tcBorders>
              <w:top w:val="single" w:sz="4" w:space="0" w:color="000000"/>
              <w:left w:val="single" w:sz="12" w:space="0" w:color="000000"/>
              <w:bottom w:val="single" w:sz="4" w:space="0" w:color="000000"/>
              <w:right w:val="single" w:sz="12" w:space="0" w:color="000000"/>
            </w:tcBorders>
            <w:vAlign w:val="center"/>
          </w:tcPr>
          <w:p w14:paraId="3C9B0B62" w14:textId="77777777" w:rsidR="00AA38E8" w:rsidRDefault="00AA38E8" w:rsidP="00AA38E8">
            <w:pPr>
              <w:spacing w:after="0" w:line="259" w:lineRule="auto"/>
              <w:ind w:left="0" w:right="48" w:firstLine="0"/>
              <w:jc w:val="center"/>
            </w:pPr>
          </w:p>
        </w:tc>
      </w:tr>
      <w:tr w:rsidR="00E91CEF" w14:paraId="0423BEA1" w14:textId="77777777" w:rsidTr="000C4B7A">
        <w:trPr>
          <w:trHeight w:val="252"/>
        </w:trPr>
        <w:tc>
          <w:tcPr>
            <w:tcW w:w="4230" w:type="dxa"/>
            <w:tcBorders>
              <w:top w:val="single" w:sz="4" w:space="0" w:color="000000"/>
              <w:left w:val="single" w:sz="12" w:space="0" w:color="000000"/>
              <w:bottom w:val="single" w:sz="4" w:space="0" w:color="000000"/>
              <w:right w:val="single" w:sz="12" w:space="0" w:color="000000"/>
            </w:tcBorders>
            <w:vAlign w:val="center"/>
          </w:tcPr>
          <w:p w14:paraId="731F65EC" w14:textId="1E969ABF" w:rsidR="00AA38E8" w:rsidRPr="00735EA6" w:rsidRDefault="00AA38E8" w:rsidP="00AA38E8">
            <w:pPr>
              <w:spacing w:after="0" w:line="259" w:lineRule="auto"/>
              <w:ind w:left="0" w:right="0" w:firstLine="0"/>
              <w:rPr>
                <w:sz w:val="18"/>
                <w:szCs w:val="18"/>
              </w:rPr>
            </w:pPr>
            <w:r>
              <w:rPr>
                <w:sz w:val="18"/>
                <w:szCs w:val="18"/>
              </w:rPr>
              <w:t xml:space="preserve">N-methyl </w:t>
            </w:r>
            <w:proofErr w:type="spellStart"/>
            <w:r>
              <w:rPr>
                <w:sz w:val="18"/>
                <w:szCs w:val="18"/>
              </w:rPr>
              <w:t>perflurooctanesulfonamide</w:t>
            </w:r>
            <w:proofErr w:type="spellEnd"/>
            <w:r>
              <w:rPr>
                <w:sz w:val="18"/>
                <w:szCs w:val="18"/>
              </w:rPr>
              <w:t xml:space="preserve"> (</w:t>
            </w:r>
            <w:proofErr w:type="spellStart"/>
            <w:r>
              <w:rPr>
                <w:sz w:val="18"/>
                <w:szCs w:val="18"/>
              </w:rPr>
              <w:t>NMeFOSA</w:t>
            </w:r>
            <w:proofErr w:type="spellEnd"/>
            <w:r>
              <w:rPr>
                <w:sz w:val="18"/>
                <w:szCs w:val="18"/>
              </w:rPr>
              <w:t>)</w:t>
            </w:r>
          </w:p>
        </w:tc>
        <w:tc>
          <w:tcPr>
            <w:tcW w:w="1170" w:type="dxa"/>
            <w:tcBorders>
              <w:top w:val="single" w:sz="4" w:space="0" w:color="000000"/>
              <w:left w:val="single" w:sz="12" w:space="0" w:color="000000"/>
              <w:bottom w:val="single" w:sz="4" w:space="0" w:color="000000"/>
              <w:right w:val="single" w:sz="12" w:space="0" w:color="000000"/>
            </w:tcBorders>
            <w:vAlign w:val="center"/>
          </w:tcPr>
          <w:p w14:paraId="1695F444" w14:textId="4BC5AB89" w:rsidR="00AA38E8" w:rsidRPr="00735EA6" w:rsidRDefault="00AA38E8" w:rsidP="00AA38E8">
            <w:pPr>
              <w:spacing w:after="0" w:line="259" w:lineRule="auto"/>
              <w:ind w:left="0" w:right="44" w:firstLine="0"/>
              <w:jc w:val="center"/>
              <w:rPr>
                <w:sz w:val="18"/>
                <w:szCs w:val="18"/>
              </w:rPr>
            </w:pPr>
            <w:r>
              <w:rPr>
                <w:sz w:val="18"/>
                <w:szCs w:val="18"/>
              </w:rPr>
              <w:t>31506-32-8</w:t>
            </w:r>
          </w:p>
        </w:tc>
        <w:tc>
          <w:tcPr>
            <w:tcW w:w="990" w:type="dxa"/>
            <w:tcBorders>
              <w:top w:val="single" w:sz="4" w:space="0" w:color="000000"/>
              <w:left w:val="single" w:sz="12" w:space="0" w:color="000000"/>
              <w:bottom w:val="single" w:sz="4" w:space="0" w:color="000000"/>
              <w:right w:val="single" w:sz="12" w:space="0" w:color="000000"/>
            </w:tcBorders>
            <w:vAlign w:val="center"/>
          </w:tcPr>
          <w:p w14:paraId="11C88CFA" w14:textId="6310BED4" w:rsidR="00AA38E8" w:rsidRPr="00557B06" w:rsidRDefault="00AA38E8" w:rsidP="00586B1D">
            <w:pPr>
              <w:tabs>
                <w:tab w:val="center" w:pos="534"/>
              </w:tabs>
              <w:spacing w:after="0" w:line="259" w:lineRule="auto"/>
              <w:ind w:left="0" w:right="0" w:firstLine="0"/>
              <w:jc w:val="center"/>
              <w:rPr>
                <w:sz w:val="18"/>
                <w:szCs w:val="18"/>
              </w:rPr>
            </w:pPr>
            <w:r w:rsidRPr="00CD346E">
              <w:rPr>
                <w:sz w:val="18"/>
                <w:szCs w:val="18"/>
              </w:rPr>
              <w:t xml:space="preserve">1 </w:t>
            </w:r>
            <w:r>
              <w:rPr>
                <w:sz w:val="18"/>
                <w:szCs w:val="18"/>
              </w:rPr>
              <w:t>–</w:t>
            </w:r>
            <w:r w:rsidRPr="00CD346E">
              <w:rPr>
                <w:sz w:val="18"/>
                <w:szCs w:val="18"/>
              </w:rPr>
              <w:t xml:space="preserve"> 4</w:t>
            </w:r>
          </w:p>
        </w:tc>
        <w:tc>
          <w:tcPr>
            <w:tcW w:w="720" w:type="dxa"/>
            <w:tcBorders>
              <w:top w:val="single" w:sz="4" w:space="0" w:color="000000"/>
              <w:left w:val="single" w:sz="12" w:space="0" w:color="000000"/>
              <w:bottom w:val="single" w:sz="4" w:space="0" w:color="000000"/>
              <w:right w:val="single" w:sz="12" w:space="0" w:color="000000"/>
            </w:tcBorders>
            <w:vAlign w:val="center"/>
          </w:tcPr>
          <w:p w14:paraId="55D5161B" w14:textId="445FB26E" w:rsidR="00AA38E8" w:rsidRPr="00430F48" w:rsidRDefault="00AA38E8" w:rsidP="00586B1D">
            <w:pPr>
              <w:spacing w:after="0" w:line="259" w:lineRule="auto"/>
              <w:ind w:left="0" w:right="44" w:firstLine="0"/>
              <w:jc w:val="center"/>
              <w:rPr>
                <w:sz w:val="18"/>
                <w:szCs w:val="18"/>
              </w:rPr>
            </w:pPr>
            <w:r w:rsidRPr="00716878">
              <w:rPr>
                <w:sz w:val="18"/>
                <w:szCs w:val="18"/>
              </w:rPr>
              <w:t>ng/L</w:t>
            </w:r>
          </w:p>
        </w:tc>
        <w:tc>
          <w:tcPr>
            <w:tcW w:w="1080" w:type="dxa"/>
            <w:tcBorders>
              <w:top w:val="single" w:sz="4" w:space="0" w:color="000000"/>
              <w:left w:val="single" w:sz="12" w:space="0" w:color="000000"/>
              <w:bottom w:val="single" w:sz="4" w:space="0" w:color="000000"/>
              <w:right w:val="single" w:sz="12" w:space="0" w:color="000000"/>
            </w:tcBorders>
            <w:vAlign w:val="center"/>
          </w:tcPr>
          <w:p w14:paraId="6ABDE7FE" w14:textId="1CA2FA08" w:rsidR="00AA38E8" w:rsidRPr="00557B06" w:rsidRDefault="00AA38E8" w:rsidP="00586B1D">
            <w:pPr>
              <w:tabs>
                <w:tab w:val="center" w:pos="399"/>
              </w:tabs>
              <w:spacing w:after="0" w:line="259" w:lineRule="auto"/>
              <w:ind w:left="0" w:right="0" w:firstLine="0"/>
              <w:jc w:val="center"/>
              <w:rPr>
                <w:sz w:val="18"/>
                <w:szCs w:val="18"/>
              </w:rPr>
            </w:pPr>
            <w:r w:rsidRPr="00162EB8">
              <w:rPr>
                <w:sz w:val="18"/>
                <w:szCs w:val="18"/>
              </w:rPr>
              <w:t>0.16 – 0.4</w:t>
            </w:r>
          </w:p>
        </w:tc>
        <w:tc>
          <w:tcPr>
            <w:tcW w:w="810" w:type="dxa"/>
            <w:tcBorders>
              <w:top w:val="single" w:sz="4" w:space="0" w:color="000000"/>
              <w:left w:val="single" w:sz="12" w:space="0" w:color="000000"/>
              <w:bottom w:val="single" w:sz="4" w:space="0" w:color="000000"/>
              <w:right w:val="single" w:sz="12" w:space="0" w:color="000000"/>
            </w:tcBorders>
            <w:vAlign w:val="center"/>
          </w:tcPr>
          <w:p w14:paraId="1279E17B" w14:textId="71797DB3" w:rsidR="00AA38E8" w:rsidRDefault="00AA38E8" w:rsidP="00586B1D">
            <w:pPr>
              <w:spacing w:after="0" w:line="259" w:lineRule="auto"/>
              <w:ind w:left="0" w:right="46" w:firstLine="0"/>
              <w:jc w:val="center"/>
            </w:pPr>
            <w:r w:rsidRPr="00B64759">
              <w:rPr>
                <w:rFonts w:eastAsia="Segoe UI Symbol"/>
                <w:sz w:val="18"/>
              </w:rPr>
              <w:t>u</w:t>
            </w:r>
            <w:r w:rsidRPr="00B64759">
              <w:rPr>
                <w:sz w:val="18"/>
              </w:rPr>
              <w:t>g/</w:t>
            </w:r>
            <w:r w:rsidRPr="005E0FBE">
              <w:rPr>
                <w:sz w:val="18"/>
                <w:szCs w:val="18"/>
              </w:rPr>
              <w:t>kg</w:t>
            </w:r>
          </w:p>
        </w:tc>
        <w:tc>
          <w:tcPr>
            <w:tcW w:w="990" w:type="dxa"/>
            <w:tcBorders>
              <w:top w:val="single" w:sz="4" w:space="0" w:color="000000"/>
              <w:left w:val="single" w:sz="12" w:space="0" w:color="000000"/>
              <w:bottom w:val="single" w:sz="4" w:space="0" w:color="000000"/>
              <w:right w:val="single" w:sz="12" w:space="0" w:color="000000"/>
            </w:tcBorders>
            <w:vAlign w:val="center"/>
          </w:tcPr>
          <w:p w14:paraId="68CBD5DE" w14:textId="71FE995C" w:rsidR="00AA38E8" w:rsidRDefault="00AA38E8" w:rsidP="00586B1D">
            <w:pPr>
              <w:spacing w:after="0" w:line="259" w:lineRule="auto"/>
              <w:ind w:left="0" w:right="45" w:firstLine="0"/>
              <w:jc w:val="center"/>
            </w:pPr>
            <w:r w:rsidRPr="00372D1A">
              <w:rPr>
                <w:sz w:val="18"/>
                <w:szCs w:val="18"/>
              </w:rPr>
              <w:t>1633</w:t>
            </w:r>
          </w:p>
        </w:tc>
        <w:tc>
          <w:tcPr>
            <w:tcW w:w="540" w:type="dxa"/>
            <w:tcBorders>
              <w:top w:val="single" w:sz="4" w:space="0" w:color="000000"/>
              <w:left w:val="single" w:sz="12" w:space="0" w:color="000000"/>
              <w:bottom w:val="single" w:sz="4" w:space="0" w:color="000000"/>
              <w:right w:val="single" w:sz="12" w:space="0" w:color="000000"/>
            </w:tcBorders>
            <w:vAlign w:val="center"/>
          </w:tcPr>
          <w:p w14:paraId="6ED8899A" w14:textId="77777777" w:rsidR="00AA38E8" w:rsidRDefault="00AA38E8" w:rsidP="00AA38E8">
            <w:pPr>
              <w:spacing w:after="0" w:line="259" w:lineRule="auto"/>
              <w:ind w:left="0" w:right="48" w:firstLine="0"/>
              <w:jc w:val="center"/>
            </w:pPr>
          </w:p>
        </w:tc>
      </w:tr>
      <w:tr w:rsidR="00E91CEF" w14:paraId="261C11BC" w14:textId="77777777" w:rsidTr="000C4B7A">
        <w:trPr>
          <w:trHeight w:val="252"/>
        </w:trPr>
        <w:tc>
          <w:tcPr>
            <w:tcW w:w="4230" w:type="dxa"/>
            <w:tcBorders>
              <w:top w:val="single" w:sz="4" w:space="0" w:color="000000"/>
              <w:left w:val="single" w:sz="12" w:space="0" w:color="000000"/>
              <w:bottom w:val="single" w:sz="4" w:space="0" w:color="000000"/>
              <w:right w:val="single" w:sz="12" w:space="0" w:color="000000"/>
            </w:tcBorders>
            <w:vAlign w:val="center"/>
          </w:tcPr>
          <w:p w14:paraId="6A54C655" w14:textId="0EAA1B16" w:rsidR="00AA38E8" w:rsidRPr="00735EA6" w:rsidRDefault="00AA38E8" w:rsidP="00AA38E8">
            <w:pPr>
              <w:spacing w:after="0" w:line="259" w:lineRule="auto"/>
              <w:ind w:left="0" w:right="0" w:firstLine="0"/>
              <w:rPr>
                <w:sz w:val="18"/>
                <w:szCs w:val="18"/>
              </w:rPr>
            </w:pPr>
            <w:r>
              <w:rPr>
                <w:sz w:val="18"/>
                <w:szCs w:val="18"/>
              </w:rPr>
              <w:t xml:space="preserve">N-ethyl </w:t>
            </w:r>
            <w:proofErr w:type="spellStart"/>
            <w:r>
              <w:rPr>
                <w:sz w:val="18"/>
                <w:szCs w:val="18"/>
              </w:rPr>
              <w:t>perfluorooctanesulfonamide</w:t>
            </w:r>
            <w:proofErr w:type="spellEnd"/>
            <w:r>
              <w:rPr>
                <w:sz w:val="18"/>
                <w:szCs w:val="18"/>
              </w:rPr>
              <w:t xml:space="preserve"> (</w:t>
            </w:r>
            <w:proofErr w:type="spellStart"/>
            <w:r>
              <w:rPr>
                <w:sz w:val="18"/>
                <w:szCs w:val="18"/>
              </w:rPr>
              <w:t>NEtFOSA</w:t>
            </w:r>
            <w:proofErr w:type="spellEnd"/>
            <w:r>
              <w:rPr>
                <w:sz w:val="18"/>
                <w:szCs w:val="18"/>
              </w:rPr>
              <w:t>)</w:t>
            </w:r>
          </w:p>
        </w:tc>
        <w:tc>
          <w:tcPr>
            <w:tcW w:w="1170" w:type="dxa"/>
            <w:tcBorders>
              <w:top w:val="single" w:sz="4" w:space="0" w:color="000000"/>
              <w:left w:val="single" w:sz="12" w:space="0" w:color="000000"/>
              <w:bottom w:val="single" w:sz="4" w:space="0" w:color="000000"/>
              <w:right w:val="single" w:sz="12" w:space="0" w:color="000000"/>
            </w:tcBorders>
            <w:vAlign w:val="center"/>
          </w:tcPr>
          <w:p w14:paraId="51498C49" w14:textId="750B52F6" w:rsidR="00AA38E8" w:rsidRPr="00735EA6" w:rsidRDefault="00AA38E8" w:rsidP="00AA38E8">
            <w:pPr>
              <w:spacing w:after="0" w:line="259" w:lineRule="auto"/>
              <w:ind w:left="0" w:right="44" w:firstLine="0"/>
              <w:jc w:val="center"/>
              <w:rPr>
                <w:sz w:val="18"/>
                <w:szCs w:val="18"/>
              </w:rPr>
            </w:pPr>
            <w:r>
              <w:rPr>
                <w:sz w:val="18"/>
                <w:szCs w:val="18"/>
              </w:rPr>
              <w:t>4151-50-2</w:t>
            </w:r>
          </w:p>
        </w:tc>
        <w:tc>
          <w:tcPr>
            <w:tcW w:w="990" w:type="dxa"/>
            <w:tcBorders>
              <w:top w:val="single" w:sz="4" w:space="0" w:color="000000"/>
              <w:left w:val="single" w:sz="12" w:space="0" w:color="000000"/>
              <w:bottom w:val="single" w:sz="4" w:space="0" w:color="000000"/>
              <w:right w:val="single" w:sz="12" w:space="0" w:color="000000"/>
            </w:tcBorders>
            <w:vAlign w:val="center"/>
          </w:tcPr>
          <w:p w14:paraId="0D97AB75" w14:textId="0E3E0D83" w:rsidR="00AA38E8" w:rsidRPr="00557B06" w:rsidRDefault="00AA38E8" w:rsidP="00586B1D">
            <w:pPr>
              <w:tabs>
                <w:tab w:val="center" w:pos="534"/>
              </w:tabs>
              <w:spacing w:after="0" w:line="259" w:lineRule="auto"/>
              <w:ind w:left="0" w:right="0" w:firstLine="0"/>
              <w:jc w:val="center"/>
              <w:rPr>
                <w:sz w:val="18"/>
                <w:szCs w:val="18"/>
              </w:rPr>
            </w:pPr>
            <w:r w:rsidRPr="00CD346E">
              <w:rPr>
                <w:sz w:val="18"/>
                <w:szCs w:val="18"/>
              </w:rPr>
              <w:t xml:space="preserve">1 </w:t>
            </w:r>
            <w:r>
              <w:rPr>
                <w:sz w:val="18"/>
                <w:szCs w:val="18"/>
              </w:rPr>
              <w:t>–</w:t>
            </w:r>
            <w:r w:rsidRPr="00CD346E">
              <w:rPr>
                <w:sz w:val="18"/>
                <w:szCs w:val="18"/>
              </w:rPr>
              <w:t xml:space="preserve"> 4</w:t>
            </w:r>
          </w:p>
        </w:tc>
        <w:tc>
          <w:tcPr>
            <w:tcW w:w="720" w:type="dxa"/>
            <w:tcBorders>
              <w:top w:val="single" w:sz="4" w:space="0" w:color="000000"/>
              <w:left w:val="single" w:sz="12" w:space="0" w:color="000000"/>
              <w:bottom w:val="single" w:sz="4" w:space="0" w:color="000000"/>
              <w:right w:val="single" w:sz="12" w:space="0" w:color="000000"/>
            </w:tcBorders>
            <w:vAlign w:val="center"/>
          </w:tcPr>
          <w:p w14:paraId="0E99604E" w14:textId="264D0A4B" w:rsidR="00AA38E8" w:rsidRPr="00430F48" w:rsidRDefault="00AA38E8" w:rsidP="00586B1D">
            <w:pPr>
              <w:spacing w:after="0" w:line="259" w:lineRule="auto"/>
              <w:ind w:left="0" w:right="44" w:firstLine="0"/>
              <w:jc w:val="center"/>
              <w:rPr>
                <w:sz w:val="18"/>
                <w:szCs w:val="18"/>
              </w:rPr>
            </w:pPr>
            <w:r w:rsidRPr="00716878">
              <w:rPr>
                <w:sz w:val="18"/>
                <w:szCs w:val="18"/>
              </w:rPr>
              <w:t>ng/L</w:t>
            </w:r>
          </w:p>
        </w:tc>
        <w:tc>
          <w:tcPr>
            <w:tcW w:w="1080" w:type="dxa"/>
            <w:tcBorders>
              <w:top w:val="single" w:sz="4" w:space="0" w:color="000000"/>
              <w:left w:val="single" w:sz="12" w:space="0" w:color="000000"/>
              <w:bottom w:val="single" w:sz="4" w:space="0" w:color="000000"/>
              <w:right w:val="single" w:sz="12" w:space="0" w:color="000000"/>
            </w:tcBorders>
            <w:vAlign w:val="center"/>
          </w:tcPr>
          <w:p w14:paraId="2D1037AD" w14:textId="335EC858" w:rsidR="00AA38E8" w:rsidRPr="00557B06" w:rsidRDefault="00AA38E8" w:rsidP="00586B1D">
            <w:pPr>
              <w:tabs>
                <w:tab w:val="center" w:pos="399"/>
              </w:tabs>
              <w:spacing w:after="0" w:line="259" w:lineRule="auto"/>
              <w:ind w:left="0" w:right="0" w:firstLine="0"/>
              <w:jc w:val="center"/>
              <w:rPr>
                <w:sz w:val="18"/>
                <w:szCs w:val="18"/>
              </w:rPr>
            </w:pPr>
            <w:r w:rsidRPr="00162EB8">
              <w:rPr>
                <w:sz w:val="18"/>
                <w:szCs w:val="18"/>
              </w:rPr>
              <w:t>0.16 – 0.4</w:t>
            </w:r>
          </w:p>
        </w:tc>
        <w:tc>
          <w:tcPr>
            <w:tcW w:w="810" w:type="dxa"/>
            <w:tcBorders>
              <w:top w:val="single" w:sz="4" w:space="0" w:color="000000"/>
              <w:left w:val="single" w:sz="12" w:space="0" w:color="000000"/>
              <w:bottom w:val="single" w:sz="4" w:space="0" w:color="000000"/>
              <w:right w:val="single" w:sz="12" w:space="0" w:color="000000"/>
            </w:tcBorders>
            <w:vAlign w:val="center"/>
          </w:tcPr>
          <w:p w14:paraId="6234A92F" w14:textId="1FFD60EA" w:rsidR="00AA38E8" w:rsidRDefault="00AA38E8" w:rsidP="00586B1D">
            <w:pPr>
              <w:spacing w:after="0" w:line="259" w:lineRule="auto"/>
              <w:ind w:left="0" w:right="46" w:firstLine="0"/>
              <w:jc w:val="center"/>
            </w:pPr>
            <w:r w:rsidRPr="00B64759">
              <w:rPr>
                <w:rFonts w:eastAsia="Segoe UI Symbol"/>
                <w:sz w:val="18"/>
              </w:rPr>
              <w:t>u</w:t>
            </w:r>
            <w:r w:rsidRPr="00B64759">
              <w:rPr>
                <w:sz w:val="18"/>
              </w:rPr>
              <w:t>g/</w:t>
            </w:r>
            <w:r w:rsidRPr="005E0FBE">
              <w:rPr>
                <w:sz w:val="18"/>
                <w:szCs w:val="18"/>
              </w:rPr>
              <w:t>kg</w:t>
            </w:r>
          </w:p>
        </w:tc>
        <w:tc>
          <w:tcPr>
            <w:tcW w:w="990" w:type="dxa"/>
            <w:tcBorders>
              <w:top w:val="single" w:sz="4" w:space="0" w:color="000000"/>
              <w:left w:val="single" w:sz="12" w:space="0" w:color="000000"/>
              <w:bottom w:val="single" w:sz="4" w:space="0" w:color="000000"/>
              <w:right w:val="single" w:sz="12" w:space="0" w:color="000000"/>
            </w:tcBorders>
            <w:vAlign w:val="center"/>
          </w:tcPr>
          <w:p w14:paraId="194B58E7" w14:textId="4F4E4B11" w:rsidR="00AA38E8" w:rsidRDefault="00AA38E8" w:rsidP="00586B1D">
            <w:pPr>
              <w:spacing w:after="0" w:line="259" w:lineRule="auto"/>
              <w:ind w:left="0" w:right="45" w:firstLine="0"/>
              <w:jc w:val="center"/>
            </w:pPr>
            <w:r w:rsidRPr="00372D1A">
              <w:rPr>
                <w:sz w:val="18"/>
                <w:szCs w:val="18"/>
              </w:rPr>
              <w:t>1633</w:t>
            </w:r>
          </w:p>
        </w:tc>
        <w:tc>
          <w:tcPr>
            <w:tcW w:w="540" w:type="dxa"/>
            <w:tcBorders>
              <w:top w:val="single" w:sz="4" w:space="0" w:color="000000"/>
              <w:left w:val="single" w:sz="12" w:space="0" w:color="000000"/>
              <w:bottom w:val="single" w:sz="4" w:space="0" w:color="000000"/>
              <w:right w:val="single" w:sz="12" w:space="0" w:color="000000"/>
            </w:tcBorders>
            <w:vAlign w:val="center"/>
          </w:tcPr>
          <w:p w14:paraId="7A9E4DD0" w14:textId="77777777" w:rsidR="00AA38E8" w:rsidRDefault="00AA38E8" w:rsidP="00AA38E8">
            <w:pPr>
              <w:spacing w:after="0" w:line="259" w:lineRule="auto"/>
              <w:ind w:left="0" w:right="48" w:firstLine="0"/>
              <w:jc w:val="center"/>
            </w:pPr>
          </w:p>
        </w:tc>
      </w:tr>
      <w:tr w:rsidR="00E91CEF" w14:paraId="4F64AD92" w14:textId="77777777" w:rsidTr="000C4B7A">
        <w:trPr>
          <w:trHeight w:val="252"/>
        </w:trPr>
        <w:tc>
          <w:tcPr>
            <w:tcW w:w="4230" w:type="dxa"/>
            <w:tcBorders>
              <w:top w:val="single" w:sz="4" w:space="0" w:color="000000"/>
              <w:left w:val="single" w:sz="12" w:space="0" w:color="000000"/>
              <w:bottom w:val="single" w:sz="4" w:space="0" w:color="000000"/>
              <w:right w:val="single" w:sz="12" w:space="0" w:color="000000"/>
            </w:tcBorders>
            <w:vAlign w:val="center"/>
          </w:tcPr>
          <w:p w14:paraId="1DE125CD" w14:textId="2102CDAC" w:rsidR="00AA38E8" w:rsidRPr="00735EA6" w:rsidRDefault="00AA38E8" w:rsidP="00AA38E8">
            <w:pPr>
              <w:spacing w:after="0" w:line="259" w:lineRule="auto"/>
              <w:ind w:left="0" w:right="0" w:firstLine="0"/>
              <w:rPr>
                <w:sz w:val="18"/>
                <w:szCs w:val="18"/>
              </w:rPr>
            </w:pPr>
            <w:r>
              <w:rPr>
                <w:sz w:val="18"/>
                <w:szCs w:val="18"/>
              </w:rPr>
              <w:t xml:space="preserve">N-methyl </w:t>
            </w:r>
            <w:proofErr w:type="spellStart"/>
            <w:r>
              <w:rPr>
                <w:sz w:val="18"/>
                <w:szCs w:val="18"/>
              </w:rPr>
              <w:t>perfluorooctanesulfonamidoacetic</w:t>
            </w:r>
            <w:proofErr w:type="spellEnd"/>
            <w:r>
              <w:rPr>
                <w:sz w:val="18"/>
                <w:szCs w:val="18"/>
              </w:rPr>
              <w:t xml:space="preserve"> acid (</w:t>
            </w:r>
            <w:proofErr w:type="spellStart"/>
            <w:r>
              <w:rPr>
                <w:sz w:val="18"/>
                <w:szCs w:val="18"/>
              </w:rPr>
              <w:t>NMeFOSAA</w:t>
            </w:r>
            <w:proofErr w:type="spellEnd"/>
            <w:r>
              <w:rPr>
                <w:sz w:val="18"/>
                <w:szCs w:val="18"/>
              </w:rPr>
              <w:t>)</w:t>
            </w:r>
          </w:p>
        </w:tc>
        <w:tc>
          <w:tcPr>
            <w:tcW w:w="1170" w:type="dxa"/>
            <w:tcBorders>
              <w:top w:val="single" w:sz="4" w:space="0" w:color="000000"/>
              <w:left w:val="single" w:sz="12" w:space="0" w:color="000000"/>
              <w:bottom w:val="single" w:sz="4" w:space="0" w:color="000000"/>
              <w:right w:val="single" w:sz="12" w:space="0" w:color="000000"/>
            </w:tcBorders>
            <w:vAlign w:val="center"/>
          </w:tcPr>
          <w:p w14:paraId="6173EE68" w14:textId="679217EA" w:rsidR="00AA38E8" w:rsidRPr="00735EA6" w:rsidRDefault="00AA38E8" w:rsidP="00AA38E8">
            <w:pPr>
              <w:spacing w:after="0" w:line="259" w:lineRule="auto"/>
              <w:ind w:left="0" w:right="44" w:firstLine="0"/>
              <w:jc w:val="center"/>
              <w:rPr>
                <w:sz w:val="18"/>
                <w:szCs w:val="18"/>
              </w:rPr>
            </w:pPr>
            <w:r>
              <w:rPr>
                <w:sz w:val="18"/>
                <w:szCs w:val="18"/>
              </w:rPr>
              <w:t>2355-31-9</w:t>
            </w:r>
          </w:p>
        </w:tc>
        <w:tc>
          <w:tcPr>
            <w:tcW w:w="990" w:type="dxa"/>
            <w:tcBorders>
              <w:top w:val="single" w:sz="4" w:space="0" w:color="000000"/>
              <w:left w:val="single" w:sz="12" w:space="0" w:color="000000"/>
              <w:bottom w:val="single" w:sz="4" w:space="0" w:color="000000"/>
              <w:right w:val="single" w:sz="12" w:space="0" w:color="000000"/>
            </w:tcBorders>
            <w:vAlign w:val="center"/>
          </w:tcPr>
          <w:p w14:paraId="378DE9D1" w14:textId="5106D20E" w:rsidR="00AA38E8" w:rsidRPr="00557B06" w:rsidRDefault="00AA38E8" w:rsidP="00586B1D">
            <w:pPr>
              <w:tabs>
                <w:tab w:val="center" w:pos="534"/>
              </w:tabs>
              <w:spacing w:after="0" w:line="259" w:lineRule="auto"/>
              <w:ind w:left="0" w:right="0" w:firstLine="0"/>
              <w:jc w:val="center"/>
              <w:rPr>
                <w:sz w:val="18"/>
                <w:szCs w:val="18"/>
              </w:rPr>
            </w:pPr>
            <w:r w:rsidRPr="00CD346E">
              <w:rPr>
                <w:sz w:val="18"/>
                <w:szCs w:val="18"/>
              </w:rPr>
              <w:t xml:space="preserve">1 </w:t>
            </w:r>
            <w:r>
              <w:rPr>
                <w:sz w:val="18"/>
                <w:szCs w:val="18"/>
              </w:rPr>
              <w:t>–</w:t>
            </w:r>
            <w:r w:rsidRPr="00CD346E">
              <w:rPr>
                <w:sz w:val="18"/>
                <w:szCs w:val="18"/>
              </w:rPr>
              <w:t xml:space="preserve"> 4</w:t>
            </w:r>
          </w:p>
        </w:tc>
        <w:tc>
          <w:tcPr>
            <w:tcW w:w="720" w:type="dxa"/>
            <w:tcBorders>
              <w:top w:val="single" w:sz="4" w:space="0" w:color="000000"/>
              <w:left w:val="single" w:sz="12" w:space="0" w:color="000000"/>
              <w:bottom w:val="single" w:sz="4" w:space="0" w:color="000000"/>
              <w:right w:val="single" w:sz="12" w:space="0" w:color="000000"/>
            </w:tcBorders>
            <w:vAlign w:val="center"/>
          </w:tcPr>
          <w:p w14:paraId="5A4FCF31" w14:textId="74909B09" w:rsidR="00AA38E8" w:rsidRPr="00430F48" w:rsidRDefault="00AA38E8" w:rsidP="00586B1D">
            <w:pPr>
              <w:spacing w:after="0" w:line="259" w:lineRule="auto"/>
              <w:ind w:left="0" w:right="44" w:firstLine="0"/>
              <w:jc w:val="center"/>
              <w:rPr>
                <w:sz w:val="18"/>
                <w:szCs w:val="18"/>
              </w:rPr>
            </w:pPr>
            <w:r w:rsidRPr="00716878">
              <w:rPr>
                <w:sz w:val="18"/>
                <w:szCs w:val="18"/>
              </w:rPr>
              <w:t>ng/L</w:t>
            </w:r>
          </w:p>
        </w:tc>
        <w:tc>
          <w:tcPr>
            <w:tcW w:w="1080" w:type="dxa"/>
            <w:tcBorders>
              <w:top w:val="single" w:sz="4" w:space="0" w:color="000000"/>
              <w:left w:val="single" w:sz="12" w:space="0" w:color="000000"/>
              <w:bottom w:val="single" w:sz="4" w:space="0" w:color="000000"/>
              <w:right w:val="single" w:sz="12" w:space="0" w:color="000000"/>
            </w:tcBorders>
            <w:vAlign w:val="center"/>
          </w:tcPr>
          <w:p w14:paraId="42CC6397" w14:textId="56389DBA" w:rsidR="00AA38E8" w:rsidRPr="00557B06" w:rsidRDefault="00AA38E8" w:rsidP="00586B1D">
            <w:pPr>
              <w:tabs>
                <w:tab w:val="center" w:pos="399"/>
              </w:tabs>
              <w:spacing w:after="0" w:line="259" w:lineRule="auto"/>
              <w:ind w:left="0" w:right="0" w:firstLine="0"/>
              <w:jc w:val="center"/>
              <w:rPr>
                <w:sz w:val="18"/>
                <w:szCs w:val="18"/>
              </w:rPr>
            </w:pPr>
            <w:r w:rsidRPr="00162EB8">
              <w:rPr>
                <w:sz w:val="18"/>
                <w:szCs w:val="18"/>
              </w:rPr>
              <w:t>0.16 – 0.4</w:t>
            </w:r>
          </w:p>
        </w:tc>
        <w:tc>
          <w:tcPr>
            <w:tcW w:w="810" w:type="dxa"/>
            <w:tcBorders>
              <w:top w:val="single" w:sz="4" w:space="0" w:color="000000"/>
              <w:left w:val="single" w:sz="12" w:space="0" w:color="000000"/>
              <w:bottom w:val="single" w:sz="4" w:space="0" w:color="000000"/>
              <w:right w:val="single" w:sz="12" w:space="0" w:color="000000"/>
            </w:tcBorders>
            <w:vAlign w:val="center"/>
          </w:tcPr>
          <w:p w14:paraId="36157B10" w14:textId="49364101" w:rsidR="00AA38E8" w:rsidRDefault="00AA38E8" w:rsidP="00586B1D">
            <w:pPr>
              <w:spacing w:after="0" w:line="259" w:lineRule="auto"/>
              <w:ind w:left="0" w:right="46" w:firstLine="0"/>
              <w:jc w:val="center"/>
            </w:pPr>
            <w:r w:rsidRPr="00B64759">
              <w:rPr>
                <w:rFonts w:eastAsia="Segoe UI Symbol"/>
                <w:sz w:val="18"/>
              </w:rPr>
              <w:t>u</w:t>
            </w:r>
            <w:r w:rsidRPr="00B64759">
              <w:rPr>
                <w:sz w:val="18"/>
              </w:rPr>
              <w:t>g/</w:t>
            </w:r>
            <w:r w:rsidRPr="005E0FBE">
              <w:rPr>
                <w:sz w:val="18"/>
                <w:szCs w:val="18"/>
              </w:rPr>
              <w:t>kg</w:t>
            </w:r>
          </w:p>
        </w:tc>
        <w:tc>
          <w:tcPr>
            <w:tcW w:w="990" w:type="dxa"/>
            <w:tcBorders>
              <w:top w:val="single" w:sz="4" w:space="0" w:color="000000"/>
              <w:left w:val="single" w:sz="12" w:space="0" w:color="000000"/>
              <w:bottom w:val="single" w:sz="4" w:space="0" w:color="000000"/>
              <w:right w:val="single" w:sz="12" w:space="0" w:color="000000"/>
            </w:tcBorders>
            <w:vAlign w:val="center"/>
          </w:tcPr>
          <w:p w14:paraId="711EDB2B" w14:textId="09A2B3B4" w:rsidR="00AA38E8" w:rsidRDefault="00AA38E8" w:rsidP="00586B1D">
            <w:pPr>
              <w:spacing w:after="0" w:line="259" w:lineRule="auto"/>
              <w:ind w:left="0" w:right="45" w:firstLine="0"/>
              <w:jc w:val="center"/>
            </w:pPr>
            <w:r w:rsidRPr="00372D1A">
              <w:rPr>
                <w:sz w:val="18"/>
                <w:szCs w:val="18"/>
              </w:rPr>
              <w:t>1633</w:t>
            </w:r>
          </w:p>
        </w:tc>
        <w:tc>
          <w:tcPr>
            <w:tcW w:w="540" w:type="dxa"/>
            <w:tcBorders>
              <w:top w:val="single" w:sz="4" w:space="0" w:color="000000"/>
              <w:left w:val="single" w:sz="12" w:space="0" w:color="000000"/>
              <w:bottom w:val="single" w:sz="4" w:space="0" w:color="000000"/>
              <w:right w:val="single" w:sz="12" w:space="0" w:color="000000"/>
            </w:tcBorders>
            <w:vAlign w:val="center"/>
          </w:tcPr>
          <w:p w14:paraId="47CAEFF7" w14:textId="77777777" w:rsidR="00AA38E8" w:rsidRDefault="00AA38E8" w:rsidP="00AA38E8">
            <w:pPr>
              <w:spacing w:after="0" w:line="259" w:lineRule="auto"/>
              <w:ind w:left="0" w:right="48" w:firstLine="0"/>
              <w:jc w:val="center"/>
            </w:pPr>
          </w:p>
        </w:tc>
      </w:tr>
      <w:tr w:rsidR="00E91CEF" w14:paraId="239F8A79" w14:textId="77777777" w:rsidTr="000C4B7A">
        <w:trPr>
          <w:trHeight w:val="252"/>
        </w:trPr>
        <w:tc>
          <w:tcPr>
            <w:tcW w:w="4230" w:type="dxa"/>
            <w:tcBorders>
              <w:top w:val="single" w:sz="4" w:space="0" w:color="000000"/>
              <w:left w:val="single" w:sz="12" w:space="0" w:color="000000"/>
              <w:bottom w:val="single" w:sz="4" w:space="0" w:color="000000"/>
              <w:right w:val="single" w:sz="12" w:space="0" w:color="000000"/>
            </w:tcBorders>
            <w:vAlign w:val="center"/>
          </w:tcPr>
          <w:p w14:paraId="10333B87" w14:textId="56039C63" w:rsidR="00AA38E8" w:rsidRPr="00735EA6" w:rsidRDefault="00AA38E8" w:rsidP="00AA38E8">
            <w:pPr>
              <w:spacing w:after="0" w:line="259" w:lineRule="auto"/>
              <w:ind w:left="0" w:right="0" w:firstLine="0"/>
              <w:rPr>
                <w:sz w:val="18"/>
                <w:szCs w:val="18"/>
              </w:rPr>
            </w:pPr>
            <w:r>
              <w:rPr>
                <w:sz w:val="18"/>
                <w:szCs w:val="18"/>
              </w:rPr>
              <w:t xml:space="preserve">N-ethyl </w:t>
            </w:r>
            <w:proofErr w:type="spellStart"/>
            <w:r>
              <w:rPr>
                <w:sz w:val="18"/>
                <w:szCs w:val="18"/>
              </w:rPr>
              <w:t>perfluorooctanesulfonamidoacetic</w:t>
            </w:r>
            <w:proofErr w:type="spellEnd"/>
            <w:r>
              <w:rPr>
                <w:sz w:val="18"/>
                <w:szCs w:val="18"/>
              </w:rPr>
              <w:t xml:space="preserve"> acid (</w:t>
            </w:r>
            <w:proofErr w:type="spellStart"/>
            <w:r>
              <w:rPr>
                <w:sz w:val="18"/>
                <w:szCs w:val="18"/>
              </w:rPr>
              <w:t>NEtFOSAA</w:t>
            </w:r>
            <w:proofErr w:type="spellEnd"/>
            <w:r>
              <w:rPr>
                <w:sz w:val="18"/>
                <w:szCs w:val="18"/>
              </w:rPr>
              <w:t>)</w:t>
            </w:r>
          </w:p>
        </w:tc>
        <w:tc>
          <w:tcPr>
            <w:tcW w:w="1170" w:type="dxa"/>
            <w:tcBorders>
              <w:top w:val="single" w:sz="4" w:space="0" w:color="000000"/>
              <w:left w:val="single" w:sz="12" w:space="0" w:color="000000"/>
              <w:bottom w:val="single" w:sz="4" w:space="0" w:color="000000"/>
              <w:right w:val="single" w:sz="12" w:space="0" w:color="000000"/>
            </w:tcBorders>
            <w:vAlign w:val="center"/>
          </w:tcPr>
          <w:p w14:paraId="187F5D5F" w14:textId="12596928" w:rsidR="00AA38E8" w:rsidRPr="00735EA6" w:rsidRDefault="00AA38E8" w:rsidP="00AA38E8">
            <w:pPr>
              <w:spacing w:after="0" w:line="259" w:lineRule="auto"/>
              <w:ind w:left="0" w:right="44" w:firstLine="0"/>
              <w:jc w:val="center"/>
              <w:rPr>
                <w:sz w:val="18"/>
                <w:szCs w:val="18"/>
              </w:rPr>
            </w:pPr>
            <w:r>
              <w:rPr>
                <w:sz w:val="18"/>
                <w:szCs w:val="18"/>
              </w:rPr>
              <w:t>2991-50-6</w:t>
            </w:r>
          </w:p>
        </w:tc>
        <w:tc>
          <w:tcPr>
            <w:tcW w:w="990" w:type="dxa"/>
            <w:tcBorders>
              <w:top w:val="single" w:sz="4" w:space="0" w:color="000000"/>
              <w:left w:val="single" w:sz="12" w:space="0" w:color="000000"/>
              <w:bottom w:val="single" w:sz="4" w:space="0" w:color="000000"/>
              <w:right w:val="single" w:sz="12" w:space="0" w:color="000000"/>
            </w:tcBorders>
            <w:vAlign w:val="center"/>
          </w:tcPr>
          <w:p w14:paraId="692DC93F" w14:textId="0F1B2C8D" w:rsidR="00AA38E8" w:rsidRPr="00557B06" w:rsidRDefault="00AA38E8" w:rsidP="00586B1D">
            <w:pPr>
              <w:tabs>
                <w:tab w:val="center" w:pos="534"/>
              </w:tabs>
              <w:spacing w:after="0" w:line="259" w:lineRule="auto"/>
              <w:ind w:left="0" w:right="0" w:firstLine="0"/>
              <w:jc w:val="center"/>
              <w:rPr>
                <w:sz w:val="18"/>
                <w:szCs w:val="18"/>
              </w:rPr>
            </w:pPr>
            <w:r w:rsidRPr="00CD346E">
              <w:rPr>
                <w:sz w:val="18"/>
                <w:szCs w:val="18"/>
              </w:rPr>
              <w:t xml:space="preserve">1 </w:t>
            </w:r>
            <w:r>
              <w:rPr>
                <w:sz w:val="18"/>
                <w:szCs w:val="18"/>
              </w:rPr>
              <w:t>–</w:t>
            </w:r>
            <w:r w:rsidRPr="00CD346E">
              <w:rPr>
                <w:sz w:val="18"/>
                <w:szCs w:val="18"/>
              </w:rPr>
              <w:t xml:space="preserve"> 4</w:t>
            </w:r>
          </w:p>
        </w:tc>
        <w:tc>
          <w:tcPr>
            <w:tcW w:w="720" w:type="dxa"/>
            <w:tcBorders>
              <w:top w:val="single" w:sz="4" w:space="0" w:color="000000"/>
              <w:left w:val="single" w:sz="12" w:space="0" w:color="000000"/>
              <w:bottom w:val="single" w:sz="4" w:space="0" w:color="000000"/>
              <w:right w:val="single" w:sz="12" w:space="0" w:color="000000"/>
            </w:tcBorders>
            <w:vAlign w:val="center"/>
          </w:tcPr>
          <w:p w14:paraId="1C8E5785" w14:textId="6A98A685" w:rsidR="00AA38E8" w:rsidRPr="00430F48" w:rsidRDefault="00AA38E8" w:rsidP="00586B1D">
            <w:pPr>
              <w:spacing w:after="0" w:line="259" w:lineRule="auto"/>
              <w:ind w:left="0" w:right="44" w:firstLine="0"/>
              <w:jc w:val="center"/>
              <w:rPr>
                <w:sz w:val="18"/>
                <w:szCs w:val="18"/>
              </w:rPr>
            </w:pPr>
            <w:r w:rsidRPr="00716878">
              <w:rPr>
                <w:sz w:val="18"/>
                <w:szCs w:val="18"/>
              </w:rPr>
              <w:t>ng/L</w:t>
            </w:r>
          </w:p>
        </w:tc>
        <w:tc>
          <w:tcPr>
            <w:tcW w:w="1080" w:type="dxa"/>
            <w:tcBorders>
              <w:top w:val="single" w:sz="4" w:space="0" w:color="000000"/>
              <w:left w:val="single" w:sz="12" w:space="0" w:color="000000"/>
              <w:bottom w:val="single" w:sz="4" w:space="0" w:color="000000"/>
              <w:right w:val="single" w:sz="12" w:space="0" w:color="000000"/>
            </w:tcBorders>
            <w:vAlign w:val="center"/>
          </w:tcPr>
          <w:p w14:paraId="1BC056CB" w14:textId="5507C688" w:rsidR="00AA38E8" w:rsidRPr="00557B06" w:rsidRDefault="00AA38E8" w:rsidP="00586B1D">
            <w:pPr>
              <w:tabs>
                <w:tab w:val="center" w:pos="399"/>
              </w:tabs>
              <w:spacing w:after="0" w:line="259" w:lineRule="auto"/>
              <w:ind w:left="0" w:right="0" w:firstLine="0"/>
              <w:jc w:val="center"/>
              <w:rPr>
                <w:sz w:val="18"/>
                <w:szCs w:val="18"/>
              </w:rPr>
            </w:pPr>
            <w:r w:rsidRPr="00162EB8">
              <w:rPr>
                <w:sz w:val="18"/>
                <w:szCs w:val="18"/>
              </w:rPr>
              <w:t>0.16 – 0.4</w:t>
            </w:r>
          </w:p>
        </w:tc>
        <w:tc>
          <w:tcPr>
            <w:tcW w:w="810" w:type="dxa"/>
            <w:tcBorders>
              <w:top w:val="single" w:sz="4" w:space="0" w:color="000000"/>
              <w:left w:val="single" w:sz="12" w:space="0" w:color="000000"/>
              <w:bottom w:val="single" w:sz="4" w:space="0" w:color="000000"/>
              <w:right w:val="single" w:sz="12" w:space="0" w:color="000000"/>
            </w:tcBorders>
            <w:vAlign w:val="center"/>
          </w:tcPr>
          <w:p w14:paraId="3CCE7C8B" w14:textId="154E3194" w:rsidR="00AA38E8" w:rsidRDefault="00AA38E8" w:rsidP="00586B1D">
            <w:pPr>
              <w:spacing w:after="0" w:line="259" w:lineRule="auto"/>
              <w:ind w:left="0" w:right="46" w:firstLine="0"/>
              <w:jc w:val="center"/>
            </w:pPr>
            <w:r w:rsidRPr="00B64759">
              <w:rPr>
                <w:rFonts w:eastAsia="Segoe UI Symbol"/>
                <w:sz w:val="18"/>
              </w:rPr>
              <w:t>u</w:t>
            </w:r>
            <w:r w:rsidRPr="00B64759">
              <w:rPr>
                <w:sz w:val="18"/>
              </w:rPr>
              <w:t>g/</w:t>
            </w:r>
            <w:r w:rsidRPr="005E0FBE">
              <w:rPr>
                <w:sz w:val="18"/>
                <w:szCs w:val="18"/>
              </w:rPr>
              <w:t>kg</w:t>
            </w:r>
          </w:p>
        </w:tc>
        <w:tc>
          <w:tcPr>
            <w:tcW w:w="990" w:type="dxa"/>
            <w:tcBorders>
              <w:top w:val="single" w:sz="4" w:space="0" w:color="000000"/>
              <w:left w:val="single" w:sz="12" w:space="0" w:color="000000"/>
              <w:bottom w:val="single" w:sz="4" w:space="0" w:color="000000"/>
              <w:right w:val="single" w:sz="12" w:space="0" w:color="000000"/>
            </w:tcBorders>
            <w:vAlign w:val="center"/>
          </w:tcPr>
          <w:p w14:paraId="588CAF52" w14:textId="41D4C2C7" w:rsidR="00AA38E8" w:rsidRDefault="00AA38E8" w:rsidP="00586B1D">
            <w:pPr>
              <w:spacing w:after="0" w:line="259" w:lineRule="auto"/>
              <w:ind w:left="0" w:right="45" w:firstLine="0"/>
              <w:jc w:val="center"/>
            </w:pPr>
            <w:r w:rsidRPr="00372D1A">
              <w:rPr>
                <w:sz w:val="18"/>
                <w:szCs w:val="18"/>
              </w:rPr>
              <w:t>1633</w:t>
            </w:r>
          </w:p>
        </w:tc>
        <w:tc>
          <w:tcPr>
            <w:tcW w:w="540" w:type="dxa"/>
            <w:tcBorders>
              <w:top w:val="single" w:sz="4" w:space="0" w:color="000000"/>
              <w:left w:val="single" w:sz="12" w:space="0" w:color="000000"/>
              <w:bottom w:val="single" w:sz="4" w:space="0" w:color="000000"/>
              <w:right w:val="single" w:sz="12" w:space="0" w:color="000000"/>
            </w:tcBorders>
            <w:vAlign w:val="center"/>
          </w:tcPr>
          <w:p w14:paraId="282EB9ED" w14:textId="77777777" w:rsidR="00AA38E8" w:rsidRDefault="00AA38E8" w:rsidP="00AA38E8">
            <w:pPr>
              <w:spacing w:after="0" w:line="259" w:lineRule="auto"/>
              <w:ind w:left="0" w:right="48" w:firstLine="0"/>
              <w:jc w:val="center"/>
            </w:pPr>
          </w:p>
        </w:tc>
      </w:tr>
      <w:tr w:rsidR="00E91CEF" w14:paraId="72925224" w14:textId="77777777" w:rsidTr="000C4B7A">
        <w:trPr>
          <w:trHeight w:val="252"/>
        </w:trPr>
        <w:tc>
          <w:tcPr>
            <w:tcW w:w="4230" w:type="dxa"/>
            <w:tcBorders>
              <w:top w:val="single" w:sz="4" w:space="0" w:color="000000"/>
              <w:left w:val="single" w:sz="12" w:space="0" w:color="000000"/>
              <w:bottom w:val="single" w:sz="4" w:space="0" w:color="000000"/>
              <w:right w:val="single" w:sz="12" w:space="0" w:color="000000"/>
            </w:tcBorders>
            <w:vAlign w:val="center"/>
          </w:tcPr>
          <w:p w14:paraId="3A900179" w14:textId="24A1B6D7" w:rsidR="00143382" w:rsidRPr="00735EA6" w:rsidRDefault="006E5065" w:rsidP="00143382">
            <w:pPr>
              <w:spacing w:after="0" w:line="259" w:lineRule="auto"/>
              <w:ind w:left="0" w:right="0" w:firstLine="0"/>
              <w:rPr>
                <w:sz w:val="18"/>
                <w:szCs w:val="18"/>
              </w:rPr>
            </w:pPr>
            <w:r>
              <w:rPr>
                <w:sz w:val="18"/>
                <w:szCs w:val="18"/>
              </w:rPr>
              <w:t xml:space="preserve">N-methyl </w:t>
            </w:r>
            <w:proofErr w:type="spellStart"/>
            <w:r>
              <w:rPr>
                <w:sz w:val="18"/>
                <w:szCs w:val="18"/>
              </w:rPr>
              <w:t>perfluoro</w:t>
            </w:r>
            <w:r w:rsidR="00521D50">
              <w:rPr>
                <w:sz w:val="18"/>
                <w:szCs w:val="18"/>
              </w:rPr>
              <w:t>octanesulfonamidoethanol</w:t>
            </w:r>
            <w:proofErr w:type="spellEnd"/>
            <w:r w:rsidR="00521D50">
              <w:rPr>
                <w:sz w:val="18"/>
                <w:szCs w:val="18"/>
              </w:rPr>
              <w:t xml:space="preserve"> (</w:t>
            </w:r>
            <w:proofErr w:type="spellStart"/>
            <w:r w:rsidR="00521D50">
              <w:rPr>
                <w:sz w:val="18"/>
                <w:szCs w:val="18"/>
              </w:rPr>
              <w:t>NMeFOSE</w:t>
            </w:r>
            <w:proofErr w:type="spellEnd"/>
            <w:r w:rsidR="00521D50">
              <w:rPr>
                <w:sz w:val="18"/>
                <w:szCs w:val="18"/>
              </w:rPr>
              <w:t>)</w:t>
            </w:r>
          </w:p>
        </w:tc>
        <w:tc>
          <w:tcPr>
            <w:tcW w:w="1170" w:type="dxa"/>
            <w:tcBorders>
              <w:top w:val="single" w:sz="4" w:space="0" w:color="000000"/>
              <w:left w:val="single" w:sz="12" w:space="0" w:color="000000"/>
              <w:bottom w:val="single" w:sz="4" w:space="0" w:color="000000"/>
              <w:right w:val="single" w:sz="12" w:space="0" w:color="000000"/>
            </w:tcBorders>
            <w:vAlign w:val="center"/>
          </w:tcPr>
          <w:p w14:paraId="41955DAB" w14:textId="612DFC25" w:rsidR="00143382" w:rsidRPr="00735EA6" w:rsidRDefault="00400DED" w:rsidP="00143382">
            <w:pPr>
              <w:spacing w:after="0" w:line="259" w:lineRule="auto"/>
              <w:ind w:left="0" w:right="44" w:firstLine="0"/>
              <w:jc w:val="center"/>
              <w:rPr>
                <w:sz w:val="18"/>
                <w:szCs w:val="18"/>
              </w:rPr>
            </w:pPr>
            <w:r>
              <w:rPr>
                <w:sz w:val="18"/>
                <w:szCs w:val="18"/>
              </w:rPr>
              <w:t>24448-09-7</w:t>
            </w:r>
          </w:p>
        </w:tc>
        <w:tc>
          <w:tcPr>
            <w:tcW w:w="990" w:type="dxa"/>
            <w:tcBorders>
              <w:top w:val="single" w:sz="4" w:space="0" w:color="000000"/>
              <w:left w:val="single" w:sz="12" w:space="0" w:color="000000"/>
              <w:bottom w:val="single" w:sz="4" w:space="0" w:color="000000"/>
              <w:right w:val="single" w:sz="12" w:space="0" w:color="000000"/>
            </w:tcBorders>
            <w:vAlign w:val="center"/>
          </w:tcPr>
          <w:p w14:paraId="1A373361" w14:textId="2296B4FB" w:rsidR="00143382" w:rsidRPr="00557B06" w:rsidRDefault="00684A2D" w:rsidP="00586B1D">
            <w:pPr>
              <w:tabs>
                <w:tab w:val="center" w:pos="534"/>
              </w:tabs>
              <w:spacing w:after="0" w:line="259" w:lineRule="auto"/>
              <w:ind w:left="0" w:right="0" w:firstLine="0"/>
              <w:jc w:val="center"/>
              <w:rPr>
                <w:sz w:val="18"/>
                <w:szCs w:val="18"/>
              </w:rPr>
            </w:pPr>
            <w:r>
              <w:rPr>
                <w:sz w:val="18"/>
                <w:szCs w:val="18"/>
              </w:rPr>
              <w:t>10 – 40</w:t>
            </w:r>
          </w:p>
        </w:tc>
        <w:tc>
          <w:tcPr>
            <w:tcW w:w="720" w:type="dxa"/>
            <w:tcBorders>
              <w:top w:val="single" w:sz="4" w:space="0" w:color="000000"/>
              <w:left w:val="single" w:sz="12" w:space="0" w:color="000000"/>
              <w:bottom w:val="single" w:sz="4" w:space="0" w:color="000000"/>
              <w:right w:val="single" w:sz="12" w:space="0" w:color="000000"/>
            </w:tcBorders>
            <w:vAlign w:val="center"/>
          </w:tcPr>
          <w:p w14:paraId="52BAC3F0" w14:textId="7D393F10" w:rsidR="00143382" w:rsidRPr="00430F48" w:rsidRDefault="00143382" w:rsidP="00586B1D">
            <w:pPr>
              <w:spacing w:after="0" w:line="259" w:lineRule="auto"/>
              <w:ind w:left="0" w:right="44" w:firstLine="0"/>
              <w:jc w:val="center"/>
              <w:rPr>
                <w:sz w:val="18"/>
                <w:szCs w:val="18"/>
              </w:rPr>
            </w:pPr>
            <w:r w:rsidRPr="00716878">
              <w:rPr>
                <w:sz w:val="18"/>
                <w:szCs w:val="18"/>
              </w:rPr>
              <w:t>ng/L</w:t>
            </w:r>
          </w:p>
        </w:tc>
        <w:tc>
          <w:tcPr>
            <w:tcW w:w="1080" w:type="dxa"/>
            <w:tcBorders>
              <w:top w:val="single" w:sz="4" w:space="0" w:color="000000"/>
              <w:left w:val="single" w:sz="12" w:space="0" w:color="000000"/>
              <w:bottom w:val="single" w:sz="4" w:space="0" w:color="000000"/>
              <w:right w:val="single" w:sz="12" w:space="0" w:color="000000"/>
            </w:tcBorders>
            <w:vAlign w:val="center"/>
          </w:tcPr>
          <w:p w14:paraId="61FBB4C3" w14:textId="76ACAE8E" w:rsidR="00143382" w:rsidRPr="00557B06" w:rsidRDefault="00A47B23" w:rsidP="00586B1D">
            <w:pPr>
              <w:tabs>
                <w:tab w:val="center" w:pos="399"/>
              </w:tabs>
              <w:spacing w:after="0" w:line="259" w:lineRule="auto"/>
              <w:ind w:left="0" w:right="0" w:firstLine="0"/>
              <w:jc w:val="center"/>
              <w:rPr>
                <w:sz w:val="18"/>
                <w:szCs w:val="18"/>
              </w:rPr>
            </w:pPr>
            <w:r>
              <w:rPr>
                <w:sz w:val="18"/>
                <w:szCs w:val="18"/>
              </w:rPr>
              <w:t>1.6 – 4.0</w:t>
            </w:r>
          </w:p>
        </w:tc>
        <w:tc>
          <w:tcPr>
            <w:tcW w:w="810" w:type="dxa"/>
            <w:tcBorders>
              <w:top w:val="single" w:sz="4" w:space="0" w:color="000000"/>
              <w:left w:val="single" w:sz="12" w:space="0" w:color="000000"/>
              <w:bottom w:val="single" w:sz="4" w:space="0" w:color="000000"/>
              <w:right w:val="single" w:sz="12" w:space="0" w:color="000000"/>
            </w:tcBorders>
            <w:vAlign w:val="center"/>
          </w:tcPr>
          <w:p w14:paraId="1052903C" w14:textId="7F8CEA91" w:rsidR="00143382" w:rsidRDefault="004345EC" w:rsidP="00586B1D">
            <w:pPr>
              <w:spacing w:after="0" w:line="259" w:lineRule="auto"/>
              <w:ind w:left="0" w:right="46" w:firstLine="0"/>
              <w:jc w:val="center"/>
            </w:pPr>
            <w:r w:rsidRPr="00B64759">
              <w:rPr>
                <w:rFonts w:eastAsia="Segoe UI Symbol"/>
                <w:sz w:val="18"/>
              </w:rPr>
              <w:t>u</w:t>
            </w:r>
            <w:r w:rsidRPr="00B64759">
              <w:rPr>
                <w:sz w:val="18"/>
              </w:rPr>
              <w:t>g/</w:t>
            </w:r>
            <w:r w:rsidRPr="005E0FBE">
              <w:rPr>
                <w:sz w:val="18"/>
                <w:szCs w:val="18"/>
              </w:rPr>
              <w:t>kg</w:t>
            </w:r>
          </w:p>
        </w:tc>
        <w:tc>
          <w:tcPr>
            <w:tcW w:w="990" w:type="dxa"/>
            <w:tcBorders>
              <w:top w:val="single" w:sz="4" w:space="0" w:color="000000"/>
              <w:left w:val="single" w:sz="12" w:space="0" w:color="000000"/>
              <w:bottom w:val="single" w:sz="4" w:space="0" w:color="000000"/>
              <w:right w:val="single" w:sz="12" w:space="0" w:color="000000"/>
            </w:tcBorders>
            <w:vAlign w:val="center"/>
          </w:tcPr>
          <w:p w14:paraId="4A73F6C8" w14:textId="1A412396" w:rsidR="00143382" w:rsidRDefault="00A34F3B" w:rsidP="00586B1D">
            <w:pPr>
              <w:spacing w:after="0" w:line="259" w:lineRule="auto"/>
              <w:ind w:left="0" w:right="45" w:firstLine="0"/>
              <w:jc w:val="center"/>
            </w:pPr>
            <w:r w:rsidRPr="00372D1A">
              <w:rPr>
                <w:sz w:val="18"/>
                <w:szCs w:val="18"/>
              </w:rPr>
              <w:t>1633</w:t>
            </w:r>
          </w:p>
        </w:tc>
        <w:tc>
          <w:tcPr>
            <w:tcW w:w="540" w:type="dxa"/>
            <w:tcBorders>
              <w:top w:val="single" w:sz="4" w:space="0" w:color="000000"/>
              <w:left w:val="single" w:sz="12" w:space="0" w:color="000000"/>
              <w:bottom w:val="single" w:sz="4" w:space="0" w:color="000000"/>
              <w:right w:val="single" w:sz="12" w:space="0" w:color="000000"/>
            </w:tcBorders>
            <w:vAlign w:val="center"/>
          </w:tcPr>
          <w:p w14:paraId="5DCF3E35" w14:textId="77777777" w:rsidR="00143382" w:rsidRDefault="00143382" w:rsidP="00143382">
            <w:pPr>
              <w:spacing w:after="0" w:line="259" w:lineRule="auto"/>
              <w:ind w:left="0" w:right="48" w:firstLine="0"/>
              <w:jc w:val="center"/>
            </w:pPr>
          </w:p>
        </w:tc>
      </w:tr>
      <w:tr w:rsidR="00E91CEF" w14:paraId="16D81C5C" w14:textId="77777777" w:rsidTr="000C4B7A">
        <w:trPr>
          <w:trHeight w:val="252"/>
        </w:trPr>
        <w:tc>
          <w:tcPr>
            <w:tcW w:w="4230" w:type="dxa"/>
            <w:tcBorders>
              <w:top w:val="single" w:sz="4" w:space="0" w:color="000000"/>
              <w:left w:val="single" w:sz="12" w:space="0" w:color="000000"/>
              <w:bottom w:val="single" w:sz="4" w:space="0" w:color="000000"/>
              <w:right w:val="single" w:sz="12" w:space="0" w:color="000000"/>
            </w:tcBorders>
            <w:vAlign w:val="center"/>
          </w:tcPr>
          <w:p w14:paraId="72661594" w14:textId="197ACED9" w:rsidR="00143382" w:rsidRPr="00735EA6" w:rsidRDefault="00A97904" w:rsidP="00143382">
            <w:pPr>
              <w:spacing w:after="0" w:line="259" w:lineRule="auto"/>
              <w:ind w:left="0" w:right="0" w:firstLine="0"/>
              <w:rPr>
                <w:sz w:val="18"/>
                <w:szCs w:val="18"/>
              </w:rPr>
            </w:pPr>
            <w:r>
              <w:rPr>
                <w:sz w:val="18"/>
                <w:szCs w:val="18"/>
              </w:rPr>
              <w:t xml:space="preserve">N-ethyl </w:t>
            </w:r>
            <w:proofErr w:type="spellStart"/>
            <w:r>
              <w:rPr>
                <w:sz w:val="18"/>
                <w:szCs w:val="18"/>
              </w:rPr>
              <w:t>perfluorooctanesulfonamidoethanol</w:t>
            </w:r>
            <w:proofErr w:type="spellEnd"/>
            <w:r>
              <w:rPr>
                <w:sz w:val="18"/>
                <w:szCs w:val="18"/>
              </w:rPr>
              <w:t xml:space="preserve"> (</w:t>
            </w:r>
            <w:proofErr w:type="spellStart"/>
            <w:r>
              <w:rPr>
                <w:sz w:val="18"/>
                <w:szCs w:val="18"/>
              </w:rPr>
              <w:t>NEtFOSE</w:t>
            </w:r>
            <w:proofErr w:type="spellEnd"/>
            <w:r>
              <w:rPr>
                <w:sz w:val="18"/>
                <w:szCs w:val="18"/>
              </w:rPr>
              <w:t>)</w:t>
            </w:r>
          </w:p>
        </w:tc>
        <w:tc>
          <w:tcPr>
            <w:tcW w:w="1170" w:type="dxa"/>
            <w:tcBorders>
              <w:top w:val="single" w:sz="4" w:space="0" w:color="000000"/>
              <w:left w:val="single" w:sz="12" w:space="0" w:color="000000"/>
              <w:bottom w:val="single" w:sz="4" w:space="0" w:color="000000"/>
              <w:right w:val="single" w:sz="12" w:space="0" w:color="000000"/>
            </w:tcBorders>
            <w:vAlign w:val="center"/>
          </w:tcPr>
          <w:p w14:paraId="5156BB30" w14:textId="539DC8E5" w:rsidR="00143382" w:rsidRPr="00735EA6" w:rsidRDefault="00EF6391" w:rsidP="00143382">
            <w:pPr>
              <w:spacing w:after="0" w:line="259" w:lineRule="auto"/>
              <w:ind w:left="0" w:right="44" w:firstLine="0"/>
              <w:jc w:val="center"/>
              <w:rPr>
                <w:sz w:val="18"/>
                <w:szCs w:val="18"/>
              </w:rPr>
            </w:pPr>
            <w:r>
              <w:rPr>
                <w:sz w:val="18"/>
                <w:szCs w:val="18"/>
              </w:rPr>
              <w:t>1691-99-2</w:t>
            </w:r>
          </w:p>
        </w:tc>
        <w:tc>
          <w:tcPr>
            <w:tcW w:w="990" w:type="dxa"/>
            <w:tcBorders>
              <w:top w:val="single" w:sz="4" w:space="0" w:color="000000"/>
              <w:left w:val="single" w:sz="12" w:space="0" w:color="000000"/>
              <w:bottom w:val="single" w:sz="4" w:space="0" w:color="000000"/>
              <w:right w:val="single" w:sz="12" w:space="0" w:color="000000"/>
            </w:tcBorders>
            <w:vAlign w:val="center"/>
          </w:tcPr>
          <w:p w14:paraId="0757F3FD" w14:textId="29E9D280" w:rsidR="00143382" w:rsidRPr="00557B06" w:rsidRDefault="00684A2D" w:rsidP="00586B1D">
            <w:pPr>
              <w:tabs>
                <w:tab w:val="center" w:pos="534"/>
              </w:tabs>
              <w:spacing w:after="0" w:line="259" w:lineRule="auto"/>
              <w:ind w:left="0" w:right="0" w:firstLine="0"/>
              <w:jc w:val="center"/>
              <w:rPr>
                <w:sz w:val="18"/>
                <w:szCs w:val="18"/>
              </w:rPr>
            </w:pPr>
            <w:r>
              <w:rPr>
                <w:sz w:val="18"/>
                <w:szCs w:val="18"/>
              </w:rPr>
              <w:t>10 – 40</w:t>
            </w:r>
          </w:p>
        </w:tc>
        <w:tc>
          <w:tcPr>
            <w:tcW w:w="720" w:type="dxa"/>
            <w:tcBorders>
              <w:top w:val="single" w:sz="4" w:space="0" w:color="000000"/>
              <w:left w:val="single" w:sz="12" w:space="0" w:color="000000"/>
              <w:bottom w:val="single" w:sz="4" w:space="0" w:color="000000"/>
              <w:right w:val="single" w:sz="12" w:space="0" w:color="000000"/>
            </w:tcBorders>
            <w:vAlign w:val="center"/>
          </w:tcPr>
          <w:p w14:paraId="5437D254" w14:textId="18354798" w:rsidR="00143382" w:rsidRPr="00430F48" w:rsidRDefault="00143382" w:rsidP="00586B1D">
            <w:pPr>
              <w:spacing w:after="0" w:line="259" w:lineRule="auto"/>
              <w:ind w:left="0" w:right="44" w:firstLine="0"/>
              <w:jc w:val="center"/>
              <w:rPr>
                <w:sz w:val="18"/>
                <w:szCs w:val="18"/>
              </w:rPr>
            </w:pPr>
            <w:r w:rsidRPr="00716878">
              <w:rPr>
                <w:sz w:val="18"/>
                <w:szCs w:val="18"/>
              </w:rPr>
              <w:t>ng/L</w:t>
            </w:r>
          </w:p>
        </w:tc>
        <w:tc>
          <w:tcPr>
            <w:tcW w:w="1080" w:type="dxa"/>
            <w:tcBorders>
              <w:top w:val="single" w:sz="4" w:space="0" w:color="000000"/>
              <w:left w:val="single" w:sz="12" w:space="0" w:color="000000"/>
              <w:bottom w:val="single" w:sz="4" w:space="0" w:color="000000"/>
              <w:right w:val="single" w:sz="12" w:space="0" w:color="000000"/>
            </w:tcBorders>
            <w:vAlign w:val="center"/>
          </w:tcPr>
          <w:p w14:paraId="7C8CBACD" w14:textId="658D10DD" w:rsidR="00143382" w:rsidRPr="00557B06" w:rsidRDefault="00A47B23" w:rsidP="00586B1D">
            <w:pPr>
              <w:tabs>
                <w:tab w:val="center" w:pos="399"/>
              </w:tabs>
              <w:spacing w:after="0" w:line="259" w:lineRule="auto"/>
              <w:ind w:left="0" w:right="0" w:firstLine="0"/>
              <w:jc w:val="center"/>
              <w:rPr>
                <w:sz w:val="18"/>
                <w:szCs w:val="18"/>
              </w:rPr>
            </w:pPr>
            <w:r>
              <w:rPr>
                <w:sz w:val="18"/>
                <w:szCs w:val="18"/>
              </w:rPr>
              <w:t>1.6 – 4.0</w:t>
            </w:r>
          </w:p>
        </w:tc>
        <w:tc>
          <w:tcPr>
            <w:tcW w:w="810" w:type="dxa"/>
            <w:tcBorders>
              <w:top w:val="single" w:sz="4" w:space="0" w:color="000000"/>
              <w:left w:val="single" w:sz="12" w:space="0" w:color="000000"/>
              <w:bottom w:val="single" w:sz="4" w:space="0" w:color="000000"/>
              <w:right w:val="single" w:sz="12" w:space="0" w:color="000000"/>
            </w:tcBorders>
            <w:vAlign w:val="center"/>
          </w:tcPr>
          <w:p w14:paraId="3DE745F4" w14:textId="2E559795" w:rsidR="00143382" w:rsidRDefault="004345EC" w:rsidP="00586B1D">
            <w:pPr>
              <w:spacing w:after="0" w:line="259" w:lineRule="auto"/>
              <w:ind w:left="0" w:right="46" w:firstLine="0"/>
              <w:jc w:val="center"/>
            </w:pPr>
            <w:r w:rsidRPr="00B64759">
              <w:rPr>
                <w:rFonts w:eastAsia="Segoe UI Symbol"/>
                <w:sz w:val="18"/>
              </w:rPr>
              <w:t>u</w:t>
            </w:r>
            <w:r w:rsidRPr="00B64759">
              <w:rPr>
                <w:sz w:val="18"/>
              </w:rPr>
              <w:t>g/</w:t>
            </w:r>
            <w:r w:rsidRPr="005E0FBE">
              <w:rPr>
                <w:sz w:val="18"/>
                <w:szCs w:val="18"/>
              </w:rPr>
              <w:t>kg</w:t>
            </w:r>
          </w:p>
        </w:tc>
        <w:tc>
          <w:tcPr>
            <w:tcW w:w="990" w:type="dxa"/>
            <w:tcBorders>
              <w:top w:val="single" w:sz="4" w:space="0" w:color="000000"/>
              <w:left w:val="single" w:sz="12" w:space="0" w:color="000000"/>
              <w:bottom w:val="single" w:sz="4" w:space="0" w:color="000000"/>
              <w:right w:val="single" w:sz="12" w:space="0" w:color="000000"/>
            </w:tcBorders>
            <w:vAlign w:val="center"/>
          </w:tcPr>
          <w:p w14:paraId="6C7388AA" w14:textId="4FFEFC6B" w:rsidR="00143382" w:rsidRDefault="00A34F3B" w:rsidP="00586B1D">
            <w:pPr>
              <w:spacing w:after="0" w:line="259" w:lineRule="auto"/>
              <w:ind w:left="0" w:right="45" w:firstLine="0"/>
              <w:jc w:val="center"/>
            </w:pPr>
            <w:r w:rsidRPr="00372D1A">
              <w:rPr>
                <w:sz w:val="18"/>
                <w:szCs w:val="18"/>
              </w:rPr>
              <w:t>1633</w:t>
            </w:r>
          </w:p>
        </w:tc>
        <w:tc>
          <w:tcPr>
            <w:tcW w:w="540" w:type="dxa"/>
            <w:tcBorders>
              <w:top w:val="single" w:sz="4" w:space="0" w:color="000000"/>
              <w:left w:val="single" w:sz="12" w:space="0" w:color="000000"/>
              <w:bottom w:val="single" w:sz="4" w:space="0" w:color="000000"/>
              <w:right w:val="single" w:sz="12" w:space="0" w:color="000000"/>
            </w:tcBorders>
            <w:vAlign w:val="center"/>
          </w:tcPr>
          <w:p w14:paraId="274ED899" w14:textId="77777777" w:rsidR="00143382" w:rsidRDefault="00143382" w:rsidP="00143382">
            <w:pPr>
              <w:spacing w:after="0" w:line="259" w:lineRule="auto"/>
              <w:ind w:left="0" w:right="48" w:firstLine="0"/>
              <w:jc w:val="center"/>
            </w:pPr>
          </w:p>
        </w:tc>
      </w:tr>
      <w:tr w:rsidR="00E91CEF" w14:paraId="70D7182A" w14:textId="77777777" w:rsidTr="000C4B7A">
        <w:trPr>
          <w:trHeight w:val="252"/>
        </w:trPr>
        <w:tc>
          <w:tcPr>
            <w:tcW w:w="4230" w:type="dxa"/>
            <w:tcBorders>
              <w:top w:val="single" w:sz="4" w:space="0" w:color="000000"/>
              <w:left w:val="single" w:sz="12" w:space="0" w:color="000000"/>
              <w:bottom w:val="single" w:sz="4" w:space="0" w:color="000000"/>
              <w:right w:val="single" w:sz="12" w:space="0" w:color="000000"/>
            </w:tcBorders>
            <w:vAlign w:val="center"/>
          </w:tcPr>
          <w:p w14:paraId="7BC4A06D" w14:textId="20C6F925" w:rsidR="00143382" w:rsidRPr="00735EA6" w:rsidRDefault="007A4F96" w:rsidP="00143382">
            <w:pPr>
              <w:spacing w:after="0" w:line="259" w:lineRule="auto"/>
              <w:ind w:left="0" w:right="0" w:firstLine="0"/>
              <w:rPr>
                <w:sz w:val="18"/>
                <w:szCs w:val="18"/>
              </w:rPr>
            </w:pPr>
            <w:r>
              <w:rPr>
                <w:sz w:val="18"/>
                <w:szCs w:val="18"/>
              </w:rPr>
              <w:t>Hexafluoro</w:t>
            </w:r>
            <w:r w:rsidR="0008612E">
              <w:rPr>
                <w:sz w:val="18"/>
                <w:szCs w:val="18"/>
              </w:rPr>
              <w:t>propylene oxide dimer acid (</w:t>
            </w:r>
            <w:r w:rsidR="003560CD">
              <w:rPr>
                <w:sz w:val="18"/>
                <w:szCs w:val="18"/>
              </w:rPr>
              <w:t>HFPO-DA)</w:t>
            </w:r>
          </w:p>
        </w:tc>
        <w:tc>
          <w:tcPr>
            <w:tcW w:w="1170" w:type="dxa"/>
            <w:tcBorders>
              <w:top w:val="single" w:sz="4" w:space="0" w:color="000000"/>
              <w:left w:val="single" w:sz="12" w:space="0" w:color="000000"/>
              <w:bottom w:val="single" w:sz="4" w:space="0" w:color="000000"/>
              <w:right w:val="single" w:sz="12" w:space="0" w:color="000000"/>
            </w:tcBorders>
            <w:vAlign w:val="center"/>
          </w:tcPr>
          <w:p w14:paraId="414B7FD7" w14:textId="09403FEA" w:rsidR="00143382" w:rsidRPr="00735EA6" w:rsidRDefault="003560CD" w:rsidP="00143382">
            <w:pPr>
              <w:spacing w:after="0" w:line="259" w:lineRule="auto"/>
              <w:ind w:left="0" w:right="44" w:firstLine="0"/>
              <w:jc w:val="center"/>
              <w:rPr>
                <w:sz w:val="18"/>
                <w:szCs w:val="18"/>
              </w:rPr>
            </w:pPr>
            <w:r>
              <w:rPr>
                <w:sz w:val="18"/>
                <w:szCs w:val="18"/>
              </w:rPr>
              <w:t>13252-13-6</w:t>
            </w:r>
          </w:p>
        </w:tc>
        <w:tc>
          <w:tcPr>
            <w:tcW w:w="990" w:type="dxa"/>
            <w:tcBorders>
              <w:top w:val="single" w:sz="4" w:space="0" w:color="000000"/>
              <w:left w:val="single" w:sz="12" w:space="0" w:color="000000"/>
              <w:bottom w:val="single" w:sz="4" w:space="0" w:color="000000"/>
              <w:right w:val="single" w:sz="12" w:space="0" w:color="000000"/>
            </w:tcBorders>
            <w:vAlign w:val="center"/>
          </w:tcPr>
          <w:p w14:paraId="087439E5" w14:textId="019AE16A" w:rsidR="00143382" w:rsidRPr="00557B06" w:rsidRDefault="00684A2D" w:rsidP="00586B1D">
            <w:pPr>
              <w:tabs>
                <w:tab w:val="center" w:pos="534"/>
              </w:tabs>
              <w:spacing w:after="0" w:line="259" w:lineRule="auto"/>
              <w:ind w:left="0" w:right="0" w:firstLine="0"/>
              <w:jc w:val="center"/>
              <w:rPr>
                <w:sz w:val="18"/>
                <w:szCs w:val="18"/>
              </w:rPr>
            </w:pPr>
            <w:r>
              <w:rPr>
                <w:sz w:val="18"/>
                <w:szCs w:val="18"/>
              </w:rPr>
              <w:t>2 – 8</w:t>
            </w:r>
          </w:p>
        </w:tc>
        <w:tc>
          <w:tcPr>
            <w:tcW w:w="720" w:type="dxa"/>
            <w:tcBorders>
              <w:top w:val="single" w:sz="4" w:space="0" w:color="000000"/>
              <w:left w:val="single" w:sz="12" w:space="0" w:color="000000"/>
              <w:bottom w:val="single" w:sz="4" w:space="0" w:color="000000"/>
              <w:right w:val="single" w:sz="12" w:space="0" w:color="000000"/>
            </w:tcBorders>
            <w:vAlign w:val="center"/>
          </w:tcPr>
          <w:p w14:paraId="6DDDB10C" w14:textId="4F085295" w:rsidR="00143382" w:rsidRPr="00430F48" w:rsidRDefault="00143382" w:rsidP="00586B1D">
            <w:pPr>
              <w:spacing w:after="0" w:line="259" w:lineRule="auto"/>
              <w:ind w:left="0" w:right="44" w:firstLine="0"/>
              <w:jc w:val="center"/>
              <w:rPr>
                <w:sz w:val="18"/>
                <w:szCs w:val="18"/>
              </w:rPr>
            </w:pPr>
            <w:r w:rsidRPr="00716878">
              <w:rPr>
                <w:sz w:val="18"/>
                <w:szCs w:val="18"/>
              </w:rPr>
              <w:t>ng/L</w:t>
            </w:r>
          </w:p>
        </w:tc>
        <w:tc>
          <w:tcPr>
            <w:tcW w:w="1080" w:type="dxa"/>
            <w:tcBorders>
              <w:top w:val="single" w:sz="4" w:space="0" w:color="000000"/>
              <w:left w:val="single" w:sz="12" w:space="0" w:color="000000"/>
              <w:bottom w:val="single" w:sz="4" w:space="0" w:color="000000"/>
              <w:right w:val="single" w:sz="12" w:space="0" w:color="000000"/>
            </w:tcBorders>
            <w:vAlign w:val="center"/>
          </w:tcPr>
          <w:p w14:paraId="6CDE15AA" w14:textId="1CF8C649" w:rsidR="00143382" w:rsidRPr="00557B06" w:rsidRDefault="00A47B23" w:rsidP="00586B1D">
            <w:pPr>
              <w:tabs>
                <w:tab w:val="center" w:pos="399"/>
              </w:tabs>
              <w:spacing w:after="0" w:line="259" w:lineRule="auto"/>
              <w:ind w:left="0" w:right="0" w:firstLine="0"/>
              <w:jc w:val="center"/>
              <w:rPr>
                <w:sz w:val="18"/>
                <w:szCs w:val="18"/>
              </w:rPr>
            </w:pPr>
            <w:r>
              <w:rPr>
                <w:sz w:val="18"/>
                <w:szCs w:val="18"/>
              </w:rPr>
              <w:t>0.64 – 1.6</w:t>
            </w:r>
          </w:p>
        </w:tc>
        <w:tc>
          <w:tcPr>
            <w:tcW w:w="810" w:type="dxa"/>
            <w:tcBorders>
              <w:top w:val="single" w:sz="4" w:space="0" w:color="000000"/>
              <w:left w:val="single" w:sz="12" w:space="0" w:color="000000"/>
              <w:bottom w:val="single" w:sz="4" w:space="0" w:color="000000"/>
              <w:right w:val="single" w:sz="12" w:space="0" w:color="000000"/>
            </w:tcBorders>
            <w:vAlign w:val="center"/>
          </w:tcPr>
          <w:p w14:paraId="1EF201C9" w14:textId="2570ECF7" w:rsidR="00143382" w:rsidRDefault="00CB71DF" w:rsidP="00586B1D">
            <w:pPr>
              <w:spacing w:after="0" w:line="259" w:lineRule="auto"/>
              <w:ind w:left="0" w:right="46" w:firstLine="0"/>
              <w:jc w:val="center"/>
            </w:pPr>
            <w:r w:rsidRPr="00753644">
              <w:rPr>
                <w:rFonts w:eastAsia="Segoe UI Symbol"/>
                <w:sz w:val="18"/>
              </w:rPr>
              <w:t>u</w:t>
            </w:r>
            <w:r w:rsidRPr="00753644">
              <w:rPr>
                <w:sz w:val="18"/>
              </w:rPr>
              <w:t>g/</w:t>
            </w:r>
            <w:r w:rsidRPr="005E0FBE">
              <w:rPr>
                <w:sz w:val="18"/>
                <w:szCs w:val="18"/>
              </w:rPr>
              <w:t>kg</w:t>
            </w:r>
          </w:p>
        </w:tc>
        <w:tc>
          <w:tcPr>
            <w:tcW w:w="990" w:type="dxa"/>
            <w:tcBorders>
              <w:top w:val="single" w:sz="4" w:space="0" w:color="000000"/>
              <w:left w:val="single" w:sz="12" w:space="0" w:color="000000"/>
              <w:bottom w:val="single" w:sz="4" w:space="0" w:color="000000"/>
              <w:right w:val="single" w:sz="12" w:space="0" w:color="000000"/>
            </w:tcBorders>
            <w:vAlign w:val="center"/>
          </w:tcPr>
          <w:p w14:paraId="453B4C91" w14:textId="0426874A" w:rsidR="00143382" w:rsidRDefault="00A34F3B" w:rsidP="00586B1D">
            <w:pPr>
              <w:spacing w:after="0" w:line="259" w:lineRule="auto"/>
              <w:ind w:left="0" w:right="45" w:firstLine="0"/>
              <w:jc w:val="center"/>
            </w:pPr>
            <w:r w:rsidRPr="00372D1A">
              <w:rPr>
                <w:sz w:val="18"/>
                <w:szCs w:val="18"/>
              </w:rPr>
              <w:t>1633</w:t>
            </w:r>
          </w:p>
        </w:tc>
        <w:tc>
          <w:tcPr>
            <w:tcW w:w="540" w:type="dxa"/>
            <w:tcBorders>
              <w:top w:val="single" w:sz="4" w:space="0" w:color="000000"/>
              <w:left w:val="single" w:sz="12" w:space="0" w:color="000000"/>
              <w:bottom w:val="single" w:sz="4" w:space="0" w:color="000000"/>
              <w:right w:val="single" w:sz="12" w:space="0" w:color="000000"/>
            </w:tcBorders>
            <w:vAlign w:val="center"/>
          </w:tcPr>
          <w:p w14:paraId="0EF53AA2" w14:textId="77777777" w:rsidR="00143382" w:rsidRDefault="00143382" w:rsidP="00143382">
            <w:pPr>
              <w:spacing w:after="0" w:line="259" w:lineRule="auto"/>
              <w:ind w:left="0" w:right="48" w:firstLine="0"/>
              <w:jc w:val="center"/>
            </w:pPr>
          </w:p>
        </w:tc>
      </w:tr>
      <w:tr w:rsidR="00E91CEF" w14:paraId="12B56CCF" w14:textId="77777777" w:rsidTr="000C4B7A">
        <w:trPr>
          <w:trHeight w:val="252"/>
        </w:trPr>
        <w:tc>
          <w:tcPr>
            <w:tcW w:w="4230" w:type="dxa"/>
            <w:tcBorders>
              <w:top w:val="single" w:sz="4" w:space="0" w:color="000000"/>
              <w:left w:val="single" w:sz="12" w:space="0" w:color="000000"/>
              <w:bottom w:val="single" w:sz="4" w:space="0" w:color="000000"/>
              <w:right w:val="single" w:sz="12" w:space="0" w:color="000000"/>
            </w:tcBorders>
            <w:vAlign w:val="center"/>
          </w:tcPr>
          <w:p w14:paraId="06C6EFC2" w14:textId="77ACBFC1" w:rsidR="00944464" w:rsidRPr="00735EA6" w:rsidRDefault="00944464" w:rsidP="00944464">
            <w:pPr>
              <w:spacing w:after="0" w:line="259" w:lineRule="auto"/>
              <w:ind w:left="0" w:right="0" w:firstLine="0"/>
              <w:rPr>
                <w:sz w:val="18"/>
                <w:szCs w:val="18"/>
              </w:rPr>
            </w:pPr>
            <w:r>
              <w:rPr>
                <w:sz w:val="18"/>
                <w:szCs w:val="18"/>
              </w:rPr>
              <w:t>4,8-Dioxa-3H-perfluorononanoic acid (ADONA)</w:t>
            </w:r>
          </w:p>
        </w:tc>
        <w:tc>
          <w:tcPr>
            <w:tcW w:w="1170" w:type="dxa"/>
            <w:tcBorders>
              <w:top w:val="single" w:sz="4" w:space="0" w:color="000000"/>
              <w:left w:val="single" w:sz="12" w:space="0" w:color="000000"/>
              <w:bottom w:val="single" w:sz="4" w:space="0" w:color="000000"/>
              <w:right w:val="single" w:sz="12" w:space="0" w:color="000000"/>
            </w:tcBorders>
            <w:vAlign w:val="center"/>
          </w:tcPr>
          <w:p w14:paraId="18E8998E" w14:textId="3121B1F3" w:rsidR="00944464" w:rsidRPr="00735EA6" w:rsidRDefault="00944464" w:rsidP="00944464">
            <w:pPr>
              <w:spacing w:after="0" w:line="259" w:lineRule="auto"/>
              <w:ind w:left="0" w:right="44" w:firstLine="0"/>
              <w:jc w:val="center"/>
              <w:rPr>
                <w:sz w:val="18"/>
                <w:szCs w:val="18"/>
              </w:rPr>
            </w:pPr>
            <w:r>
              <w:rPr>
                <w:sz w:val="18"/>
                <w:szCs w:val="18"/>
              </w:rPr>
              <w:t>919005-14-4</w:t>
            </w:r>
          </w:p>
        </w:tc>
        <w:tc>
          <w:tcPr>
            <w:tcW w:w="990" w:type="dxa"/>
            <w:tcBorders>
              <w:top w:val="single" w:sz="4" w:space="0" w:color="000000"/>
              <w:left w:val="single" w:sz="12" w:space="0" w:color="000000"/>
              <w:bottom w:val="single" w:sz="4" w:space="0" w:color="000000"/>
              <w:right w:val="single" w:sz="12" w:space="0" w:color="000000"/>
            </w:tcBorders>
            <w:vAlign w:val="center"/>
          </w:tcPr>
          <w:p w14:paraId="2E579947" w14:textId="767B14E7" w:rsidR="00944464" w:rsidRPr="00557B06" w:rsidRDefault="00684A2D" w:rsidP="00586B1D">
            <w:pPr>
              <w:tabs>
                <w:tab w:val="center" w:pos="534"/>
              </w:tabs>
              <w:spacing w:after="0" w:line="259" w:lineRule="auto"/>
              <w:ind w:left="0" w:right="0" w:firstLine="0"/>
              <w:jc w:val="center"/>
              <w:rPr>
                <w:sz w:val="18"/>
                <w:szCs w:val="18"/>
              </w:rPr>
            </w:pPr>
            <w:r>
              <w:rPr>
                <w:sz w:val="18"/>
                <w:szCs w:val="18"/>
              </w:rPr>
              <w:t>2 – 8</w:t>
            </w:r>
          </w:p>
        </w:tc>
        <w:tc>
          <w:tcPr>
            <w:tcW w:w="720" w:type="dxa"/>
            <w:tcBorders>
              <w:top w:val="single" w:sz="4" w:space="0" w:color="000000"/>
              <w:left w:val="single" w:sz="12" w:space="0" w:color="000000"/>
              <w:bottom w:val="single" w:sz="4" w:space="0" w:color="000000"/>
              <w:right w:val="single" w:sz="12" w:space="0" w:color="000000"/>
            </w:tcBorders>
            <w:vAlign w:val="center"/>
          </w:tcPr>
          <w:p w14:paraId="71A01793" w14:textId="0D54F918" w:rsidR="00944464" w:rsidRPr="00430F48" w:rsidRDefault="00944464" w:rsidP="00586B1D">
            <w:pPr>
              <w:spacing w:after="0" w:line="259" w:lineRule="auto"/>
              <w:ind w:left="0" w:right="44" w:firstLine="0"/>
              <w:jc w:val="center"/>
              <w:rPr>
                <w:sz w:val="18"/>
                <w:szCs w:val="18"/>
              </w:rPr>
            </w:pPr>
            <w:r w:rsidRPr="00716878">
              <w:rPr>
                <w:sz w:val="18"/>
                <w:szCs w:val="18"/>
              </w:rPr>
              <w:t>ng/L</w:t>
            </w:r>
          </w:p>
        </w:tc>
        <w:tc>
          <w:tcPr>
            <w:tcW w:w="1080" w:type="dxa"/>
            <w:tcBorders>
              <w:top w:val="single" w:sz="4" w:space="0" w:color="000000"/>
              <w:left w:val="single" w:sz="12" w:space="0" w:color="000000"/>
              <w:bottom w:val="single" w:sz="4" w:space="0" w:color="000000"/>
              <w:right w:val="single" w:sz="12" w:space="0" w:color="000000"/>
            </w:tcBorders>
            <w:vAlign w:val="center"/>
          </w:tcPr>
          <w:p w14:paraId="25B559FD" w14:textId="19B4739E" w:rsidR="00944464" w:rsidRPr="00557B06" w:rsidRDefault="00A47B23" w:rsidP="00586B1D">
            <w:pPr>
              <w:tabs>
                <w:tab w:val="center" w:pos="399"/>
              </w:tabs>
              <w:spacing w:after="0" w:line="259" w:lineRule="auto"/>
              <w:ind w:left="0" w:right="0" w:firstLine="0"/>
              <w:jc w:val="center"/>
              <w:rPr>
                <w:sz w:val="18"/>
                <w:szCs w:val="18"/>
              </w:rPr>
            </w:pPr>
            <w:r>
              <w:rPr>
                <w:sz w:val="18"/>
                <w:szCs w:val="18"/>
              </w:rPr>
              <w:t>0.64 – 1.5</w:t>
            </w:r>
          </w:p>
        </w:tc>
        <w:tc>
          <w:tcPr>
            <w:tcW w:w="810" w:type="dxa"/>
            <w:tcBorders>
              <w:top w:val="single" w:sz="4" w:space="0" w:color="000000"/>
              <w:left w:val="single" w:sz="12" w:space="0" w:color="000000"/>
              <w:bottom w:val="single" w:sz="4" w:space="0" w:color="000000"/>
              <w:right w:val="single" w:sz="12" w:space="0" w:color="000000"/>
            </w:tcBorders>
            <w:vAlign w:val="center"/>
          </w:tcPr>
          <w:p w14:paraId="394A14DB" w14:textId="68BEF896" w:rsidR="00944464" w:rsidRDefault="00CB71DF" w:rsidP="00586B1D">
            <w:pPr>
              <w:spacing w:after="0" w:line="259" w:lineRule="auto"/>
              <w:ind w:left="0" w:right="46" w:firstLine="0"/>
              <w:jc w:val="center"/>
            </w:pPr>
            <w:r w:rsidRPr="00753644">
              <w:rPr>
                <w:rFonts w:eastAsia="Segoe UI Symbol"/>
                <w:sz w:val="18"/>
              </w:rPr>
              <w:t>u</w:t>
            </w:r>
            <w:r w:rsidRPr="00753644">
              <w:rPr>
                <w:sz w:val="18"/>
              </w:rPr>
              <w:t>g/</w:t>
            </w:r>
            <w:r w:rsidRPr="005E0FBE">
              <w:rPr>
                <w:sz w:val="18"/>
                <w:szCs w:val="18"/>
              </w:rPr>
              <w:t>kg</w:t>
            </w:r>
          </w:p>
        </w:tc>
        <w:tc>
          <w:tcPr>
            <w:tcW w:w="990" w:type="dxa"/>
            <w:tcBorders>
              <w:top w:val="single" w:sz="4" w:space="0" w:color="000000"/>
              <w:left w:val="single" w:sz="12" w:space="0" w:color="000000"/>
              <w:bottom w:val="single" w:sz="4" w:space="0" w:color="000000"/>
              <w:right w:val="single" w:sz="12" w:space="0" w:color="000000"/>
            </w:tcBorders>
            <w:vAlign w:val="center"/>
          </w:tcPr>
          <w:p w14:paraId="6A0ED625" w14:textId="5520E35F" w:rsidR="00944464" w:rsidRDefault="00A34F3B" w:rsidP="00586B1D">
            <w:pPr>
              <w:spacing w:after="0" w:line="259" w:lineRule="auto"/>
              <w:ind w:left="0" w:right="45" w:firstLine="0"/>
              <w:jc w:val="center"/>
            </w:pPr>
            <w:r w:rsidRPr="00372D1A">
              <w:rPr>
                <w:sz w:val="18"/>
                <w:szCs w:val="18"/>
              </w:rPr>
              <w:t>1633</w:t>
            </w:r>
          </w:p>
        </w:tc>
        <w:tc>
          <w:tcPr>
            <w:tcW w:w="540" w:type="dxa"/>
            <w:tcBorders>
              <w:top w:val="single" w:sz="4" w:space="0" w:color="000000"/>
              <w:left w:val="single" w:sz="12" w:space="0" w:color="000000"/>
              <w:bottom w:val="single" w:sz="4" w:space="0" w:color="000000"/>
              <w:right w:val="single" w:sz="12" w:space="0" w:color="000000"/>
            </w:tcBorders>
            <w:vAlign w:val="center"/>
          </w:tcPr>
          <w:p w14:paraId="563A394F" w14:textId="77777777" w:rsidR="00944464" w:rsidRDefault="00944464" w:rsidP="00944464">
            <w:pPr>
              <w:spacing w:after="0" w:line="259" w:lineRule="auto"/>
              <w:ind w:left="0" w:right="48" w:firstLine="0"/>
              <w:jc w:val="center"/>
            </w:pPr>
          </w:p>
        </w:tc>
      </w:tr>
      <w:tr w:rsidR="00E91CEF" w14:paraId="59B1532C" w14:textId="77777777" w:rsidTr="000C4B7A">
        <w:trPr>
          <w:trHeight w:val="252"/>
        </w:trPr>
        <w:tc>
          <w:tcPr>
            <w:tcW w:w="4230" w:type="dxa"/>
            <w:tcBorders>
              <w:top w:val="single" w:sz="4" w:space="0" w:color="000000"/>
              <w:left w:val="single" w:sz="12" w:space="0" w:color="000000"/>
              <w:bottom w:val="single" w:sz="4" w:space="0" w:color="000000"/>
              <w:right w:val="single" w:sz="12" w:space="0" w:color="000000"/>
            </w:tcBorders>
            <w:vAlign w:val="center"/>
          </w:tcPr>
          <w:p w14:paraId="551C0442" w14:textId="17993283" w:rsidR="008E7A61" w:rsidRPr="00735EA6" w:rsidRDefault="008E7A61" w:rsidP="008E7A61">
            <w:pPr>
              <w:spacing w:after="0" w:line="259" w:lineRule="auto"/>
              <w:ind w:left="0" w:right="0" w:firstLine="0"/>
              <w:rPr>
                <w:sz w:val="18"/>
                <w:szCs w:val="18"/>
              </w:rPr>
            </w:pPr>
            <w:r>
              <w:rPr>
                <w:sz w:val="18"/>
                <w:szCs w:val="18"/>
              </w:rPr>
              <w:t>Perfluoro-3-methoxypropanoic acid (PFMPA)</w:t>
            </w:r>
          </w:p>
        </w:tc>
        <w:tc>
          <w:tcPr>
            <w:tcW w:w="1170" w:type="dxa"/>
            <w:tcBorders>
              <w:top w:val="single" w:sz="4" w:space="0" w:color="000000"/>
              <w:left w:val="single" w:sz="12" w:space="0" w:color="000000"/>
              <w:bottom w:val="single" w:sz="4" w:space="0" w:color="000000"/>
              <w:right w:val="single" w:sz="12" w:space="0" w:color="000000"/>
            </w:tcBorders>
            <w:vAlign w:val="center"/>
          </w:tcPr>
          <w:p w14:paraId="2EDC479F" w14:textId="6B33911F" w:rsidR="008E7A61" w:rsidRPr="00735EA6" w:rsidRDefault="008E7A61" w:rsidP="008E7A61">
            <w:pPr>
              <w:spacing w:after="0" w:line="259" w:lineRule="auto"/>
              <w:ind w:left="0" w:right="44" w:firstLine="0"/>
              <w:jc w:val="center"/>
              <w:rPr>
                <w:sz w:val="18"/>
                <w:szCs w:val="18"/>
              </w:rPr>
            </w:pPr>
            <w:r>
              <w:rPr>
                <w:sz w:val="18"/>
                <w:szCs w:val="18"/>
              </w:rPr>
              <w:t>377-73-1</w:t>
            </w:r>
          </w:p>
        </w:tc>
        <w:tc>
          <w:tcPr>
            <w:tcW w:w="990" w:type="dxa"/>
            <w:tcBorders>
              <w:top w:val="single" w:sz="4" w:space="0" w:color="000000"/>
              <w:left w:val="single" w:sz="12" w:space="0" w:color="000000"/>
              <w:bottom w:val="single" w:sz="4" w:space="0" w:color="000000"/>
              <w:right w:val="single" w:sz="12" w:space="0" w:color="000000"/>
            </w:tcBorders>
            <w:vAlign w:val="center"/>
          </w:tcPr>
          <w:p w14:paraId="53B46AF7" w14:textId="441F782C" w:rsidR="00684A2D" w:rsidRPr="00E95004" w:rsidRDefault="00684A2D" w:rsidP="00586B1D">
            <w:pPr>
              <w:tabs>
                <w:tab w:val="center" w:pos="534"/>
              </w:tabs>
              <w:spacing w:after="0" w:line="259" w:lineRule="auto"/>
              <w:ind w:left="0" w:right="0" w:firstLine="0"/>
              <w:jc w:val="center"/>
              <w:rPr>
                <w:sz w:val="18"/>
                <w:szCs w:val="18"/>
              </w:rPr>
            </w:pPr>
            <w:r>
              <w:rPr>
                <w:sz w:val="18"/>
                <w:szCs w:val="18"/>
              </w:rPr>
              <w:t>4 – 16</w:t>
            </w:r>
          </w:p>
        </w:tc>
        <w:tc>
          <w:tcPr>
            <w:tcW w:w="720" w:type="dxa"/>
            <w:tcBorders>
              <w:top w:val="single" w:sz="4" w:space="0" w:color="000000"/>
              <w:left w:val="single" w:sz="12" w:space="0" w:color="000000"/>
              <w:bottom w:val="single" w:sz="4" w:space="0" w:color="000000"/>
              <w:right w:val="single" w:sz="12" w:space="0" w:color="000000"/>
            </w:tcBorders>
            <w:vAlign w:val="center"/>
          </w:tcPr>
          <w:p w14:paraId="4B785527" w14:textId="0FE4D4D4" w:rsidR="008E7A61" w:rsidRPr="00430F48" w:rsidRDefault="008E7A61" w:rsidP="00586B1D">
            <w:pPr>
              <w:spacing w:after="0" w:line="259" w:lineRule="auto"/>
              <w:ind w:left="0" w:right="44" w:firstLine="0"/>
              <w:jc w:val="center"/>
              <w:rPr>
                <w:sz w:val="18"/>
                <w:szCs w:val="18"/>
              </w:rPr>
            </w:pPr>
            <w:r w:rsidRPr="00716878">
              <w:rPr>
                <w:sz w:val="18"/>
                <w:szCs w:val="18"/>
              </w:rPr>
              <w:t>ng/L</w:t>
            </w:r>
          </w:p>
        </w:tc>
        <w:tc>
          <w:tcPr>
            <w:tcW w:w="1080" w:type="dxa"/>
            <w:tcBorders>
              <w:top w:val="single" w:sz="4" w:space="0" w:color="000000"/>
              <w:left w:val="single" w:sz="12" w:space="0" w:color="000000"/>
              <w:bottom w:val="single" w:sz="4" w:space="0" w:color="000000"/>
              <w:right w:val="single" w:sz="12" w:space="0" w:color="000000"/>
            </w:tcBorders>
            <w:vAlign w:val="center"/>
          </w:tcPr>
          <w:p w14:paraId="6267A7AF" w14:textId="79D31667" w:rsidR="008E7A61" w:rsidRPr="00E95004" w:rsidRDefault="00E3282B" w:rsidP="00586B1D">
            <w:pPr>
              <w:tabs>
                <w:tab w:val="center" w:pos="399"/>
              </w:tabs>
              <w:spacing w:after="0" w:line="259" w:lineRule="auto"/>
              <w:ind w:left="0" w:right="0" w:firstLine="0"/>
              <w:jc w:val="center"/>
              <w:rPr>
                <w:sz w:val="18"/>
                <w:szCs w:val="18"/>
              </w:rPr>
            </w:pPr>
            <w:r>
              <w:rPr>
                <w:sz w:val="18"/>
                <w:szCs w:val="18"/>
              </w:rPr>
              <w:t>0.32 – 0.8</w:t>
            </w:r>
          </w:p>
        </w:tc>
        <w:tc>
          <w:tcPr>
            <w:tcW w:w="810" w:type="dxa"/>
            <w:tcBorders>
              <w:top w:val="single" w:sz="4" w:space="0" w:color="000000"/>
              <w:left w:val="single" w:sz="12" w:space="0" w:color="000000"/>
              <w:bottom w:val="single" w:sz="4" w:space="0" w:color="000000"/>
              <w:right w:val="single" w:sz="12" w:space="0" w:color="000000"/>
            </w:tcBorders>
            <w:vAlign w:val="center"/>
          </w:tcPr>
          <w:p w14:paraId="3D98E1B4" w14:textId="7002DC5D" w:rsidR="008E7A61" w:rsidRDefault="00CB71DF" w:rsidP="00586B1D">
            <w:pPr>
              <w:spacing w:after="0" w:line="259" w:lineRule="auto"/>
              <w:ind w:left="0" w:right="46" w:firstLine="0"/>
              <w:jc w:val="center"/>
            </w:pPr>
            <w:r w:rsidRPr="00753644">
              <w:rPr>
                <w:rFonts w:eastAsia="Segoe UI Symbol"/>
                <w:sz w:val="18"/>
              </w:rPr>
              <w:t>u</w:t>
            </w:r>
            <w:r w:rsidRPr="00753644">
              <w:rPr>
                <w:sz w:val="18"/>
              </w:rPr>
              <w:t>g/</w:t>
            </w:r>
            <w:r w:rsidRPr="005E0FBE">
              <w:rPr>
                <w:sz w:val="18"/>
                <w:szCs w:val="18"/>
              </w:rPr>
              <w:t>kg</w:t>
            </w:r>
          </w:p>
        </w:tc>
        <w:tc>
          <w:tcPr>
            <w:tcW w:w="990" w:type="dxa"/>
            <w:tcBorders>
              <w:top w:val="single" w:sz="4" w:space="0" w:color="000000"/>
              <w:left w:val="single" w:sz="12" w:space="0" w:color="000000"/>
              <w:bottom w:val="single" w:sz="4" w:space="0" w:color="000000"/>
              <w:right w:val="single" w:sz="12" w:space="0" w:color="000000"/>
            </w:tcBorders>
            <w:vAlign w:val="center"/>
          </w:tcPr>
          <w:p w14:paraId="2D179D45" w14:textId="69BF83E8" w:rsidR="008E7A61" w:rsidRDefault="00A34F3B" w:rsidP="00586B1D">
            <w:pPr>
              <w:spacing w:after="0" w:line="259" w:lineRule="auto"/>
              <w:ind w:left="0" w:right="45" w:firstLine="0"/>
              <w:jc w:val="center"/>
            </w:pPr>
            <w:r w:rsidRPr="00372D1A">
              <w:rPr>
                <w:sz w:val="18"/>
                <w:szCs w:val="18"/>
              </w:rPr>
              <w:t>1633</w:t>
            </w:r>
          </w:p>
        </w:tc>
        <w:tc>
          <w:tcPr>
            <w:tcW w:w="540" w:type="dxa"/>
            <w:tcBorders>
              <w:top w:val="single" w:sz="4" w:space="0" w:color="000000"/>
              <w:left w:val="single" w:sz="12" w:space="0" w:color="000000"/>
              <w:bottom w:val="single" w:sz="4" w:space="0" w:color="000000"/>
              <w:right w:val="single" w:sz="12" w:space="0" w:color="000000"/>
            </w:tcBorders>
            <w:vAlign w:val="center"/>
          </w:tcPr>
          <w:p w14:paraId="7DF92299" w14:textId="77777777" w:rsidR="008E7A61" w:rsidRDefault="008E7A61" w:rsidP="008E7A61">
            <w:pPr>
              <w:spacing w:after="0" w:line="259" w:lineRule="auto"/>
              <w:ind w:left="0" w:right="48" w:firstLine="0"/>
              <w:jc w:val="center"/>
            </w:pPr>
          </w:p>
        </w:tc>
      </w:tr>
      <w:tr w:rsidR="00E91CEF" w14:paraId="530FBF5F" w14:textId="77777777" w:rsidTr="000C4B7A">
        <w:trPr>
          <w:trHeight w:val="252"/>
        </w:trPr>
        <w:tc>
          <w:tcPr>
            <w:tcW w:w="4230" w:type="dxa"/>
            <w:tcBorders>
              <w:top w:val="single" w:sz="4" w:space="0" w:color="000000"/>
              <w:left w:val="single" w:sz="12" w:space="0" w:color="000000"/>
              <w:bottom w:val="single" w:sz="4" w:space="0" w:color="000000"/>
              <w:right w:val="single" w:sz="12" w:space="0" w:color="000000"/>
            </w:tcBorders>
            <w:vAlign w:val="center"/>
          </w:tcPr>
          <w:p w14:paraId="50B2476E" w14:textId="4231D4CD" w:rsidR="00DC2EFD" w:rsidRPr="00735EA6" w:rsidRDefault="00DC2EFD" w:rsidP="00DC2EFD">
            <w:pPr>
              <w:spacing w:after="0" w:line="259" w:lineRule="auto"/>
              <w:ind w:left="0" w:right="0" w:firstLine="0"/>
              <w:rPr>
                <w:sz w:val="18"/>
                <w:szCs w:val="18"/>
              </w:rPr>
            </w:pPr>
            <w:r>
              <w:rPr>
                <w:sz w:val="18"/>
                <w:szCs w:val="18"/>
              </w:rPr>
              <w:t>Perfluoro-4-methoxybutanoic acid (PFMBA)</w:t>
            </w:r>
          </w:p>
        </w:tc>
        <w:tc>
          <w:tcPr>
            <w:tcW w:w="1170" w:type="dxa"/>
            <w:tcBorders>
              <w:top w:val="single" w:sz="4" w:space="0" w:color="000000"/>
              <w:left w:val="single" w:sz="12" w:space="0" w:color="000000"/>
              <w:bottom w:val="single" w:sz="4" w:space="0" w:color="000000"/>
              <w:right w:val="single" w:sz="12" w:space="0" w:color="000000"/>
            </w:tcBorders>
            <w:vAlign w:val="center"/>
          </w:tcPr>
          <w:p w14:paraId="626B17E2" w14:textId="0CBDA527" w:rsidR="00DC2EFD" w:rsidRPr="00735EA6" w:rsidRDefault="00DC2EFD" w:rsidP="00DC2EFD">
            <w:pPr>
              <w:spacing w:after="0" w:line="259" w:lineRule="auto"/>
              <w:ind w:left="0" w:right="44" w:firstLine="0"/>
              <w:jc w:val="center"/>
              <w:rPr>
                <w:sz w:val="18"/>
                <w:szCs w:val="18"/>
              </w:rPr>
            </w:pPr>
            <w:r>
              <w:rPr>
                <w:sz w:val="18"/>
                <w:szCs w:val="18"/>
              </w:rPr>
              <w:t>863090-89-5</w:t>
            </w:r>
          </w:p>
        </w:tc>
        <w:tc>
          <w:tcPr>
            <w:tcW w:w="990" w:type="dxa"/>
            <w:tcBorders>
              <w:top w:val="single" w:sz="4" w:space="0" w:color="000000"/>
              <w:left w:val="single" w:sz="12" w:space="0" w:color="000000"/>
              <w:bottom w:val="single" w:sz="4" w:space="0" w:color="000000"/>
              <w:right w:val="single" w:sz="12" w:space="0" w:color="000000"/>
            </w:tcBorders>
            <w:vAlign w:val="center"/>
          </w:tcPr>
          <w:p w14:paraId="41801989" w14:textId="40A1DF24" w:rsidR="00DC2EFD" w:rsidRPr="00287B9A" w:rsidRDefault="00684A2D" w:rsidP="00586B1D">
            <w:pPr>
              <w:tabs>
                <w:tab w:val="center" w:pos="534"/>
              </w:tabs>
              <w:spacing w:after="0" w:line="259" w:lineRule="auto"/>
              <w:ind w:left="0" w:right="0" w:firstLine="0"/>
              <w:jc w:val="center"/>
              <w:rPr>
                <w:sz w:val="18"/>
                <w:szCs w:val="18"/>
              </w:rPr>
            </w:pPr>
            <w:r>
              <w:rPr>
                <w:sz w:val="18"/>
                <w:szCs w:val="18"/>
              </w:rPr>
              <w:t>4 – 15</w:t>
            </w:r>
          </w:p>
        </w:tc>
        <w:tc>
          <w:tcPr>
            <w:tcW w:w="720" w:type="dxa"/>
            <w:tcBorders>
              <w:top w:val="single" w:sz="4" w:space="0" w:color="000000"/>
              <w:left w:val="single" w:sz="12" w:space="0" w:color="000000"/>
              <w:bottom w:val="single" w:sz="4" w:space="0" w:color="000000"/>
              <w:right w:val="single" w:sz="12" w:space="0" w:color="000000"/>
            </w:tcBorders>
            <w:vAlign w:val="center"/>
          </w:tcPr>
          <w:p w14:paraId="6A606DD7" w14:textId="58C58AF4" w:rsidR="00DC2EFD" w:rsidRPr="00430F48" w:rsidRDefault="00DC2EFD" w:rsidP="00586B1D">
            <w:pPr>
              <w:spacing w:after="0" w:line="259" w:lineRule="auto"/>
              <w:ind w:left="0" w:right="44" w:firstLine="0"/>
              <w:jc w:val="center"/>
              <w:rPr>
                <w:sz w:val="18"/>
                <w:szCs w:val="18"/>
              </w:rPr>
            </w:pPr>
            <w:r w:rsidRPr="00716878">
              <w:rPr>
                <w:sz w:val="18"/>
                <w:szCs w:val="18"/>
              </w:rPr>
              <w:t>ng/L</w:t>
            </w:r>
          </w:p>
        </w:tc>
        <w:tc>
          <w:tcPr>
            <w:tcW w:w="1080" w:type="dxa"/>
            <w:tcBorders>
              <w:top w:val="single" w:sz="4" w:space="0" w:color="000000"/>
              <w:left w:val="single" w:sz="12" w:space="0" w:color="000000"/>
              <w:bottom w:val="single" w:sz="4" w:space="0" w:color="000000"/>
              <w:right w:val="single" w:sz="12" w:space="0" w:color="000000"/>
            </w:tcBorders>
            <w:vAlign w:val="center"/>
          </w:tcPr>
          <w:p w14:paraId="1062BF7A" w14:textId="6044E26C" w:rsidR="00DC2EFD" w:rsidRPr="00287B9A" w:rsidRDefault="00E3282B" w:rsidP="00586B1D">
            <w:pPr>
              <w:tabs>
                <w:tab w:val="center" w:pos="399"/>
              </w:tabs>
              <w:spacing w:after="0" w:line="259" w:lineRule="auto"/>
              <w:ind w:left="0" w:right="0" w:firstLine="0"/>
              <w:jc w:val="center"/>
              <w:rPr>
                <w:sz w:val="18"/>
                <w:szCs w:val="18"/>
              </w:rPr>
            </w:pPr>
            <w:r>
              <w:rPr>
                <w:sz w:val="18"/>
                <w:szCs w:val="18"/>
              </w:rPr>
              <w:t>0.32 – 0.8</w:t>
            </w:r>
          </w:p>
        </w:tc>
        <w:tc>
          <w:tcPr>
            <w:tcW w:w="810" w:type="dxa"/>
            <w:tcBorders>
              <w:top w:val="single" w:sz="4" w:space="0" w:color="000000"/>
              <w:left w:val="single" w:sz="12" w:space="0" w:color="000000"/>
              <w:bottom w:val="single" w:sz="4" w:space="0" w:color="000000"/>
              <w:right w:val="single" w:sz="12" w:space="0" w:color="000000"/>
            </w:tcBorders>
            <w:vAlign w:val="center"/>
          </w:tcPr>
          <w:p w14:paraId="37587427" w14:textId="4975A263" w:rsidR="00DC2EFD" w:rsidRDefault="00CB71DF" w:rsidP="00586B1D">
            <w:pPr>
              <w:spacing w:after="0" w:line="259" w:lineRule="auto"/>
              <w:ind w:left="0" w:right="46" w:firstLine="0"/>
              <w:jc w:val="center"/>
            </w:pPr>
            <w:r w:rsidRPr="00753644">
              <w:rPr>
                <w:rFonts w:eastAsia="Segoe UI Symbol"/>
                <w:sz w:val="18"/>
              </w:rPr>
              <w:t>u</w:t>
            </w:r>
            <w:r w:rsidRPr="00753644">
              <w:rPr>
                <w:sz w:val="18"/>
              </w:rPr>
              <w:t>g/kg</w:t>
            </w:r>
          </w:p>
        </w:tc>
        <w:tc>
          <w:tcPr>
            <w:tcW w:w="990" w:type="dxa"/>
            <w:tcBorders>
              <w:top w:val="single" w:sz="4" w:space="0" w:color="000000"/>
              <w:left w:val="single" w:sz="12" w:space="0" w:color="000000"/>
              <w:bottom w:val="single" w:sz="4" w:space="0" w:color="000000"/>
              <w:right w:val="single" w:sz="12" w:space="0" w:color="000000"/>
            </w:tcBorders>
            <w:vAlign w:val="center"/>
          </w:tcPr>
          <w:p w14:paraId="576CC4EC" w14:textId="733457A9" w:rsidR="00DC2EFD" w:rsidRDefault="00A34F3B" w:rsidP="00586B1D">
            <w:pPr>
              <w:spacing w:after="0" w:line="259" w:lineRule="auto"/>
              <w:ind w:left="0" w:right="45" w:firstLine="0"/>
              <w:jc w:val="center"/>
            </w:pPr>
            <w:r w:rsidRPr="00372D1A">
              <w:rPr>
                <w:sz w:val="18"/>
                <w:szCs w:val="18"/>
              </w:rPr>
              <w:t>1633</w:t>
            </w:r>
          </w:p>
        </w:tc>
        <w:tc>
          <w:tcPr>
            <w:tcW w:w="540" w:type="dxa"/>
            <w:tcBorders>
              <w:top w:val="single" w:sz="4" w:space="0" w:color="000000"/>
              <w:left w:val="single" w:sz="12" w:space="0" w:color="000000"/>
              <w:bottom w:val="single" w:sz="4" w:space="0" w:color="000000"/>
              <w:right w:val="single" w:sz="12" w:space="0" w:color="000000"/>
            </w:tcBorders>
            <w:vAlign w:val="center"/>
          </w:tcPr>
          <w:p w14:paraId="02CB79E4" w14:textId="77777777" w:rsidR="00DC2EFD" w:rsidRDefault="00DC2EFD" w:rsidP="00DC2EFD">
            <w:pPr>
              <w:spacing w:after="0" w:line="259" w:lineRule="auto"/>
              <w:ind w:left="0" w:right="48" w:firstLine="0"/>
              <w:jc w:val="center"/>
            </w:pPr>
          </w:p>
        </w:tc>
      </w:tr>
      <w:tr w:rsidR="00E91CEF" w14:paraId="178D05EB" w14:textId="77777777" w:rsidTr="000C4B7A">
        <w:trPr>
          <w:trHeight w:val="252"/>
        </w:trPr>
        <w:tc>
          <w:tcPr>
            <w:tcW w:w="4230" w:type="dxa"/>
            <w:tcBorders>
              <w:top w:val="single" w:sz="4" w:space="0" w:color="000000"/>
              <w:left w:val="single" w:sz="12" w:space="0" w:color="000000"/>
              <w:bottom w:val="single" w:sz="4" w:space="0" w:color="000000"/>
              <w:right w:val="single" w:sz="12" w:space="0" w:color="000000"/>
            </w:tcBorders>
            <w:vAlign w:val="center"/>
          </w:tcPr>
          <w:p w14:paraId="08BCE842" w14:textId="409E79BD" w:rsidR="00DC2EFD" w:rsidRPr="00735EA6" w:rsidRDefault="00DC2EFD" w:rsidP="00DC2EFD">
            <w:pPr>
              <w:spacing w:after="0" w:line="259" w:lineRule="auto"/>
              <w:ind w:left="0" w:right="0" w:firstLine="0"/>
              <w:rPr>
                <w:sz w:val="18"/>
                <w:szCs w:val="18"/>
              </w:rPr>
            </w:pPr>
            <w:r>
              <w:rPr>
                <w:sz w:val="18"/>
                <w:szCs w:val="18"/>
              </w:rPr>
              <w:t>Nonafluoro-3,6-dioxaheptanoic acid (NFDHA)</w:t>
            </w:r>
          </w:p>
        </w:tc>
        <w:tc>
          <w:tcPr>
            <w:tcW w:w="1170" w:type="dxa"/>
            <w:tcBorders>
              <w:top w:val="single" w:sz="4" w:space="0" w:color="000000"/>
              <w:left w:val="single" w:sz="12" w:space="0" w:color="000000"/>
              <w:bottom w:val="single" w:sz="4" w:space="0" w:color="000000"/>
              <w:right w:val="single" w:sz="12" w:space="0" w:color="000000"/>
            </w:tcBorders>
            <w:vAlign w:val="center"/>
          </w:tcPr>
          <w:p w14:paraId="5226CEE4" w14:textId="1AB115BD" w:rsidR="00DC2EFD" w:rsidRPr="00735EA6" w:rsidRDefault="00DC2EFD" w:rsidP="00DC2EFD">
            <w:pPr>
              <w:spacing w:after="0" w:line="259" w:lineRule="auto"/>
              <w:ind w:left="0" w:right="44" w:firstLine="0"/>
              <w:jc w:val="center"/>
              <w:rPr>
                <w:sz w:val="18"/>
                <w:szCs w:val="18"/>
              </w:rPr>
            </w:pPr>
            <w:r>
              <w:rPr>
                <w:sz w:val="18"/>
                <w:szCs w:val="18"/>
              </w:rPr>
              <w:t>151772-58-6</w:t>
            </w:r>
          </w:p>
        </w:tc>
        <w:tc>
          <w:tcPr>
            <w:tcW w:w="990" w:type="dxa"/>
            <w:tcBorders>
              <w:top w:val="single" w:sz="4" w:space="0" w:color="000000"/>
              <w:left w:val="single" w:sz="12" w:space="0" w:color="000000"/>
              <w:bottom w:val="single" w:sz="4" w:space="0" w:color="000000"/>
              <w:right w:val="single" w:sz="12" w:space="0" w:color="000000"/>
            </w:tcBorders>
            <w:vAlign w:val="center"/>
          </w:tcPr>
          <w:p w14:paraId="35DBF365" w14:textId="51B464A1" w:rsidR="00DC2EFD" w:rsidRPr="00A11E0C" w:rsidRDefault="00F027E7" w:rsidP="00586B1D">
            <w:pPr>
              <w:tabs>
                <w:tab w:val="center" w:pos="534"/>
              </w:tabs>
              <w:spacing w:after="0" w:line="259" w:lineRule="auto"/>
              <w:ind w:left="0" w:right="0" w:firstLine="0"/>
              <w:jc w:val="center"/>
              <w:rPr>
                <w:sz w:val="18"/>
                <w:szCs w:val="18"/>
              </w:rPr>
            </w:pPr>
            <w:r>
              <w:rPr>
                <w:sz w:val="18"/>
                <w:szCs w:val="18"/>
              </w:rPr>
              <w:t>2 – 7</w:t>
            </w:r>
          </w:p>
        </w:tc>
        <w:tc>
          <w:tcPr>
            <w:tcW w:w="720" w:type="dxa"/>
            <w:tcBorders>
              <w:top w:val="single" w:sz="4" w:space="0" w:color="000000"/>
              <w:left w:val="single" w:sz="12" w:space="0" w:color="000000"/>
              <w:bottom w:val="single" w:sz="4" w:space="0" w:color="000000"/>
              <w:right w:val="single" w:sz="12" w:space="0" w:color="000000"/>
            </w:tcBorders>
            <w:vAlign w:val="center"/>
          </w:tcPr>
          <w:p w14:paraId="5215391D" w14:textId="77777777" w:rsidR="00DC2EFD" w:rsidRPr="00A11E0C" w:rsidRDefault="00DC2EFD" w:rsidP="00586B1D">
            <w:pPr>
              <w:spacing w:after="0" w:line="259" w:lineRule="auto"/>
              <w:ind w:left="0" w:right="44" w:firstLine="0"/>
              <w:jc w:val="center"/>
              <w:rPr>
                <w:sz w:val="18"/>
                <w:szCs w:val="18"/>
              </w:rPr>
            </w:pPr>
            <w:r w:rsidRPr="00430F48">
              <w:rPr>
                <w:sz w:val="18"/>
                <w:szCs w:val="18"/>
              </w:rPr>
              <w:t>ng/L</w:t>
            </w:r>
          </w:p>
        </w:tc>
        <w:tc>
          <w:tcPr>
            <w:tcW w:w="1080" w:type="dxa"/>
            <w:tcBorders>
              <w:top w:val="single" w:sz="4" w:space="0" w:color="000000"/>
              <w:left w:val="single" w:sz="12" w:space="0" w:color="000000"/>
              <w:bottom w:val="single" w:sz="4" w:space="0" w:color="000000"/>
              <w:right w:val="single" w:sz="12" w:space="0" w:color="000000"/>
            </w:tcBorders>
            <w:vAlign w:val="center"/>
          </w:tcPr>
          <w:p w14:paraId="133CFC0F" w14:textId="5357A197" w:rsidR="00DC2EFD" w:rsidRPr="00A11E0C" w:rsidRDefault="00E3282B" w:rsidP="00586B1D">
            <w:pPr>
              <w:tabs>
                <w:tab w:val="center" w:pos="399"/>
              </w:tabs>
              <w:spacing w:after="0" w:line="259" w:lineRule="auto"/>
              <w:ind w:left="0" w:right="0" w:firstLine="0"/>
              <w:jc w:val="center"/>
              <w:rPr>
                <w:sz w:val="18"/>
                <w:szCs w:val="18"/>
              </w:rPr>
            </w:pPr>
            <w:r>
              <w:rPr>
                <w:sz w:val="18"/>
                <w:szCs w:val="18"/>
              </w:rPr>
              <w:t>0.32 – 0.8</w:t>
            </w:r>
          </w:p>
        </w:tc>
        <w:tc>
          <w:tcPr>
            <w:tcW w:w="810" w:type="dxa"/>
            <w:tcBorders>
              <w:top w:val="single" w:sz="4" w:space="0" w:color="000000"/>
              <w:left w:val="single" w:sz="12" w:space="0" w:color="000000"/>
              <w:bottom w:val="single" w:sz="4" w:space="0" w:color="000000"/>
              <w:right w:val="single" w:sz="12" w:space="0" w:color="000000"/>
            </w:tcBorders>
            <w:vAlign w:val="center"/>
          </w:tcPr>
          <w:p w14:paraId="259E7BDB" w14:textId="02460AC6" w:rsidR="00DC2EFD" w:rsidRDefault="00CB71DF" w:rsidP="00586B1D">
            <w:pPr>
              <w:spacing w:after="0" w:line="259" w:lineRule="auto"/>
              <w:ind w:left="0" w:right="46" w:firstLine="0"/>
              <w:jc w:val="center"/>
            </w:pPr>
            <w:r w:rsidRPr="00753644">
              <w:rPr>
                <w:rFonts w:eastAsia="Segoe UI Symbol"/>
                <w:sz w:val="18"/>
              </w:rPr>
              <w:t>u</w:t>
            </w:r>
            <w:r w:rsidRPr="00753644">
              <w:rPr>
                <w:sz w:val="18"/>
              </w:rPr>
              <w:t>g/kg</w:t>
            </w:r>
          </w:p>
        </w:tc>
        <w:tc>
          <w:tcPr>
            <w:tcW w:w="990" w:type="dxa"/>
            <w:tcBorders>
              <w:top w:val="single" w:sz="4" w:space="0" w:color="000000"/>
              <w:left w:val="single" w:sz="12" w:space="0" w:color="000000"/>
              <w:bottom w:val="single" w:sz="4" w:space="0" w:color="000000"/>
              <w:right w:val="single" w:sz="12" w:space="0" w:color="000000"/>
            </w:tcBorders>
            <w:vAlign w:val="center"/>
          </w:tcPr>
          <w:p w14:paraId="4C024112" w14:textId="3A13DC51" w:rsidR="00DC2EFD" w:rsidRDefault="00A34F3B" w:rsidP="00586B1D">
            <w:pPr>
              <w:spacing w:after="0" w:line="259" w:lineRule="auto"/>
              <w:ind w:left="0" w:right="45" w:firstLine="0"/>
              <w:jc w:val="center"/>
            </w:pPr>
            <w:r w:rsidRPr="00372D1A">
              <w:rPr>
                <w:sz w:val="18"/>
                <w:szCs w:val="18"/>
              </w:rPr>
              <w:t>1633</w:t>
            </w:r>
          </w:p>
        </w:tc>
        <w:tc>
          <w:tcPr>
            <w:tcW w:w="540" w:type="dxa"/>
            <w:tcBorders>
              <w:top w:val="single" w:sz="4" w:space="0" w:color="000000"/>
              <w:left w:val="single" w:sz="12" w:space="0" w:color="000000"/>
              <w:bottom w:val="single" w:sz="4" w:space="0" w:color="000000"/>
              <w:right w:val="single" w:sz="12" w:space="0" w:color="000000"/>
            </w:tcBorders>
            <w:vAlign w:val="center"/>
          </w:tcPr>
          <w:p w14:paraId="0D873871" w14:textId="77777777" w:rsidR="00DC2EFD" w:rsidRDefault="00DC2EFD" w:rsidP="00DC2EFD">
            <w:pPr>
              <w:spacing w:after="0" w:line="259" w:lineRule="auto"/>
              <w:ind w:left="0" w:right="48" w:firstLine="0"/>
              <w:jc w:val="center"/>
            </w:pPr>
          </w:p>
        </w:tc>
      </w:tr>
      <w:tr w:rsidR="00E91CEF" w14:paraId="654338DB" w14:textId="77777777" w:rsidTr="000C4B7A">
        <w:trPr>
          <w:trHeight w:val="250"/>
        </w:trPr>
        <w:tc>
          <w:tcPr>
            <w:tcW w:w="4230" w:type="dxa"/>
            <w:tcBorders>
              <w:top w:val="single" w:sz="4" w:space="0" w:color="000000"/>
              <w:left w:val="single" w:sz="12" w:space="0" w:color="000000"/>
              <w:bottom w:val="single" w:sz="4" w:space="0" w:color="000000"/>
              <w:right w:val="single" w:sz="12" w:space="0" w:color="000000"/>
            </w:tcBorders>
            <w:vAlign w:val="center"/>
          </w:tcPr>
          <w:p w14:paraId="1828CB0F" w14:textId="66A1431C" w:rsidR="00696EAC" w:rsidRPr="00735EA6" w:rsidRDefault="00696EAC" w:rsidP="00696EAC">
            <w:pPr>
              <w:spacing w:after="0" w:line="259" w:lineRule="auto"/>
              <w:ind w:left="0" w:right="0" w:firstLine="0"/>
              <w:rPr>
                <w:sz w:val="18"/>
                <w:szCs w:val="18"/>
              </w:rPr>
            </w:pPr>
            <w:r w:rsidRPr="00DF3BC1">
              <w:rPr>
                <w:sz w:val="18"/>
                <w:szCs w:val="18"/>
              </w:rPr>
              <w:t>9-chlorohexadecafluoro-3-oxanonane-1-sulfonic acid</w:t>
            </w:r>
            <w:r>
              <w:rPr>
                <w:sz w:val="18"/>
                <w:szCs w:val="18"/>
              </w:rPr>
              <w:t xml:space="preserve"> (9Cl-PF3ONS)</w:t>
            </w:r>
          </w:p>
        </w:tc>
        <w:tc>
          <w:tcPr>
            <w:tcW w:w="1170" w:type="dxa"/>
            <w:tcBorders>
              <w:top w:val="single" w:sz="4" w:space="0" w:color="000000"/>
              <w:left w:val="single" w:sz="12" w:space="0" w:color="000000"/>
              <w:bottom w:val="single" w:sz="4" w:space="0" w:color="000000"/>
              <w:right w:val="single" w:sz="12" w:space="0" w:color="000000"/>
            </w:tcBorders>
            <w:vAlign w:val="center"/>
          </w:tcPr>
          <w:p w14:paraId="7002CB40" w14:textId="53986628" w:rsidR="00696EAC" w:rsidRPr="00735EA6" w:rsidRDefault="00696EAC" w:rsidP="00696EAC">
            <w:pPr>
              <w:spacing w:after="0" w:line="259" w:lineRule="auto"/>
              <w:ind w:left="0" w:right="44" w:firstLine="0"/>
              <w:jc w:val="center"/>
              <w:rPr>
                <w:sz w:val="18"/>
                <w:szCs w:val="18"/>
              </w:rPr>
            </w:pPr>
            <w:r>
              <w:rPr>
                <w:sz w:val="18"/>
                <w:szCs w:val="18"/>
              </w:rPr>
              <w:t>756426-58-1</w:t>
            </w:r>
          </w:p>
        </w:tc>
        <w:tc>
          <w:tcPr>
            <w:tcW w:w="990" w:type="dxa"/>
            <w:tcBorders>
              <w:top w:val="single" w:sz="4" w:space="0" w:color="000000"/>
              <w:left w:val="single" w:sz="12" w:space="0" w:color="000000"/>
              <w:bottom w:val="single" w:sz="4" w:space="0" w:color="000000"/>
              <w:right w:val="single" w:sz="12" w:space="0" w:color="000000"/>
            </w:tcBorders>
            <w:vAlign w:val="center"/>
          </w:tcPr>
          <w:p w14:paraId="363C370F" w14:textId="73887310" w:rsidR="00696EAC" w:rsidRPr="00A11E0C" w:rsidRDefault="00F027E7" w:rsidP="00586B1D">
            <w:pPr>
              <w:tabs>
                <w:tab w:val="center" w:pos="534"/>
              </w:tabs>
              <w:spacing w:after="0" w:line="259" w:lineRule="auto"/>
              <w:ind w:left="0" w:right="0" w:firstLine="0"/>
              <w:jc w:val="center"/>
              <w:rPr>
                <w:sz w:val="18"/>
                <w:szCs w:val="18"/>
              </w:rPr>
            </w:pPr>
            <w:r>
              <w:rPr>
                <w:sz w:val="18"/>
                <w:szCs w:val="18"/>
              </w:rPr>
              <w:t>4 – 15</w:t>
            </w:r>
          </w:p>
        </w:tc>
        <w:tc>
          <w:tcPr>
            <w:tcW w:w="720" w:type="dxa"/>
            <w:tcBorders>
              <w:top w:val="single" w:sz="4" w:space="0" w:color="000000"/>
              <w:left w:val="single" w:sz="12" w:space="0" w:color="000000"/>
              <w:bottom w:val="single" w:sz="4" w:space="0" w:color="000000"/>
              <w:right w:val="single" w:sz="12" w:space="0" w:color="000000"/>
            </w:tcBorders>
            <w:vAlign w:val="center"/>
          </w:tcPr>
          <w:p w14:paraId="3F190800" w14:textId="77777777" w:rsidR="00696EAC" w:rsidRPr="00A11E0C" w:rsidRDefault="00696EAC" w:rsidP="00586B1D">
            <w:pPr>
              <w:spacing w:after="0" w:line="259" w:lineRule="auto"/>
              <w:ind w:left="0" w:right="44" w:firstLine="0"/>
              <w:jc w:val="center"/>
              <w:rPr>
                <w:sz w:val="18"/>
                <w:szCs w:val="18"/>
              </w:rPr>
            </w:pPr>
            <w:r w:rsidRPr="00430F48">
              <w:rPr>
                <w:sz w:val="18"/>
                <w:szCs w:val="18"/>
              </w:rPr>
              <w:t>ng/L</w:t>
            </w:r>
          </w:p>
        </w:tc>
        <w:tc>
          <w:tcPr>
            <w:tcW w:w="1080" w:type="dxa"/>
            <w:tcBorders>
              <w:top w:val="single" w:sz="4" w:space="0" w:color="000000"/>
              <w:left w:val="single" w:sz="12" w:space="0" w:color="000000"/>
              <w:bottom w:val="single" w:sz="4" w:space="0" w:color="000000"/>
              <w:right w:val="single" w:sz="12" w:space="0" w:color="000000"/>
            </w:tcBorders>
            <w:vAlign w:val="center"/>
          </w:tcPr>
          <w:p w14:paraId="3E54C1C4" w14:textId="49F8A3AA" w:rsidR="00696EAC" w:rsidRPr="00A11E0C" w:rsidRDefault="00E3282B" w:rsidP="00586B1D">
            <w:pPr>
              <w:tabs>
                <w:tab w:val="center" w:pos="445"/>
              </w:tabs>
              <w:spacing w:after="0" w:line="259" w:lineRule="auto"/>
              <w:ind w:left="0" w:right="0" w:firstLine="0"/>
              <w:jc w:val="center"/>
              <w:rPr>
                <w:sz w:val="18"/>
                <w:szCs w:val="18"/>
              </w:rPr>
            </w:pPr>
            <w:r>
              <w:rPr>
                <w:sz w:val="18"/>
                <w:szCs w:val="18"/>
              </w:rPr>
              <w:t>0.64 – 1.5</w:t>
            </w:r>
          </w:p>
        </w:tc>
        <w:tc>
          <w:tcPr>
            <w:tcW w:w="810" w:type="dxa"/>
            <w:tcBorders>
              <w:top w:val="single" w:sz="4" w:space="0" w:color="000000"/>
              <w:left w:val="single" w:sz="12" w:space="0" w:color="000000"/>
              <w:bottom w:val="single" w:sz="4" w:space="0" w:color="000000"/>
              <w:right w:val="single" w:sz="12" w:space="0" w:color="000000"/>
            </w:tcBorders>
            <w:vAlign w:val="center"/>
          </w:tcPr>
          <w:p w14:paraId="549A46E8" w14:textId="37512C16" w:rsidR="00696EAC" w:rsidRDefault="00CB71DF" w:rsidP="00586B1D">
            <w:pPr>
              <w:spacing w:after="0" w:line="259" w:lineRule="auto"/>
              <w:ind w:left="0" w:right="46" w:firstLine="0"/>
              <w:jc w:val="center"/>
            </w:pPr>
            <w:r w:rsidRPr="00753644">
              <w:rPr>
                <w:rFonts w:eastAsia="Segoe UI Symbol"/>
                <w:sz w:val="18"/>
              </w:rPr>
              <w:t>u</w:t>
            </w:r>
            <w:r w:rsidRPr="00753644">
              <w:rPr>
                <w:sz w:val="18"/>
              </w:rPr>
              <w:t>g/kg</w:t>
            </w:r>
          </w:p>
        </w:tc>
        <w:tc>
          <w:tcPr>
            <w:tcW w:w="990" w:type="dxa"/>
            <w:tcBorders>
              <w:top w:val="single" w:sz="4" w:space="0" w:color="000000"/>
              <w:left w:val="single" w:sz="12" w:space="0" w:color="000000"/>
              <w:bottom w:val="single" w:sz="4" w:space="0" w:color="000000"/>
              <w:right w:val="single" w:sz="12" w:space="0" w:color="000000"/>
            </w:tcBorders>
            <w:vAlign w:val="center"/>
          </w:tcPr>
          <w:p w14:paraId="3D9F0FCB" w14:textId="26F7D4E3" w:rsidR="00696EAC" w:rsidRDefault="00A34F3B" w:rsidP="00586B1D">
            <w:pPr>
              <w:spacing w:after="0" w:line="259" w:lineRule="auto"/>
              <w:ind w:left="0" w:right="45" w:firstLine="0"/>
              <w:jc w:val="center"/>
            </w:pPr>
            <w:r w:rsidRPr="00372D1A">
              <w:rPr>
                <w:sz w:val="18"/>
                <w:szCs w:val="18"/>
              </w:rPr>
              <w:t>1633</w:t>
            </w:r>
          </w:p>
        </w:tc>
        <w:tc>
          <w:tcPr>
            <w:tcW w:w="540" w:type="dxa"/>
            <w:tcBorders>
              <w:top w:val="single" w:sz="4" w:space="0" w:color="000000"/>
              <w:left w:val="single" w:sz="12" w:space="0" w:color="000000"/>
              <w:bottom w:val="single" w:sz="4" w:space="0" w:color="000000"/>
              <w:right w:val="single" w:sz="12" w:space="0" w:color="000000"/>
            </w:tcBorders>
            <w:vAlign w:val="center"/>
          </w:tcPr>
          <w:p w14:paraId="1A2DAC99" w14:textId="77777777" w:rsidR="00696EAC" w:rsidRDefault="00696EAC" w:rsidP="00696EAC">
            <w:pPr>
              <w:spacing w:after="0" w:line="259" w:lineRule="auto"/>
              <w:ind w:left="0" w:right="48" w:firstLine="0"/>
              <w:jc w:val="center"/>
            </w:pPr>
          </w:p>
        </w:tc>
      </w:tr>
      <w:tr w:rsidR="00E91CEF" w14:paraId="55DF2895" w14:textId="77777777" w:rsidTr="000C4B7A">
        <w:trPr>
          <w:trHeight w:val="250"/>
        </w:trPr>
        <w:tc>
          <w:tcPr>
            <w:tcW w:w="4230" w:type="dxa"/>
            <w:tcBorders>
              <w:top w:val="single" w:sz="4" w:space="0" w:color="000000"/>
              <w:left w:val="single" w:sz="12" w:space="0" w:color="000000"/>
              <w:bottom w:val="single" w:sz="4" w:space="0" w:color="000000"/>
              <w:right w:val="single" w:sz="12" w:space="0" w:color="000000"/>
            </w:tcBorders>
            <w:vAlign w:val="center"/>
          </w:tcPr>
          <w:p w14:paraId="5EE90A24" w14:textId="4014C5DA" w:rsidR="00696EAC" w:rsidRPr="00735EA6" w:rsidRDefault="00696EAC" w:rsidP="00696EAC">
            <w:pPr>
              <w:spacing w:after="0" w:line="259" w:lineRule="auto"/>
              <w:ind w:left="0" w:right="0" w:firstLine="0"/>
              <w:rPr>
                <w:sz w:val="18"/>
                <w:szCs w:val="18"/>
              </w:rPr>
            </w:pPr>
            <w:r w:rsidRPr="003946D1">
              <w:rPr>
                <w:sz w:val="18"/>
                <w:szCs w:val="18"/>
              </w:rPr>
              <w:t>11-chloroeicosafluoro-3-oxaundecane-1-sulfonicacid</w:t>
            </w:r>
            <w:r>
              <w:rPr>
                <w:sz w:val="18"/>
                <w:szCs w:val="18"/>
              </w:rPr>
              <w:t xml:space="preserve"> (11Cl-PF3OUdS)</w:t>
            </w:r>
          </w:p>
        </w:tc>
        <w:tc>
          <w:tcPr>
            <w:tcW w:w="1170" w:type="dxa"/>
            <w:tcBorders>
              <w:top w:val="single" w:sz="4" w:space="0" w:color="000000"/>
              <w:left w:val="single" w:sz="12" w:space="0" w:color="000000"/>
              <w:bottom w:val="single" w:sz="4" w:space="0" w:color="000000"/>
              <w:right w:val="single" w:sz="12" w:space="0" w:color="000000"/>
            </w:tcBorders>
            <w:vAlign w:val="center"/>
          </w:tcPr>
          <w:p w14:paraId="2D36E617" w14:textId="77F7156F" w:rsidR="00696EAC" w:rsidRPr="00735EA6" w:rsidRDefault="00696EAC" w:rsidP="00696EAC">
            <w:pPr>
              <w:spacing w:after="0" w:line="259" w:lineRule="auto"/>
              <w:ind w:left="0" w:right="44" w:firstLine="0"/>
              <w:jc w:val="center"/>
              <w:rPr>
                <w:sz w:val="18"/>
                <w:szCs w:val="18"/>
              </w:rPr>
            </w:pPr>
            <w:r>
              <w:rPr>
                <w:sz w:val="18"/>
                <w:szCs w:val="18"/>
              </w:rPr>
              <w:t>763051-92-9</w:t>
            </w:r>
          </w:p>
        </w:tc>
        <w:tc>
          <w:tcPr>
            <w:tcW w:w="990" w:type="dxa"/>
            <w:tcBorders>
              <w:top w:val="single" w:sz="4" w:space="0" w:color="000000"/>
              <w:left w:val="single" w:sz="12" w:space="0" w:color="000000"/>
              <w:bottom w:val="single" w:sz="4" w:space="0" w:color="000000"/>
              <w:right w:val="single" w:sz="12" w:space="0" w:color="000000"/>
            </w:tcBorders>
            <w:vAlign w:val="center"/>
          </w:tcPr>
          <w:p w14:paraId="2E25C01F" w14:textId="59D115C8" w:rsidR="00696EAC" w:rsidRPr="00A11E0C" w:rsidRDefault="00F027E7" w:rsidP="00586B1D">
            <w:pPr>
              <w:tabs>
                <w:tab w:val="center" w:pos="534"/>
              </w:tabs>
              <w:spacing w:after="0" w:line="259" w:lineRule="auto"/>
              <w:ind w:left="0" w:right="0" w:firstLine="0"/>
              <w:jc w:val="center"/>
              <w:rPr>
                <w:sz w:val="18"/>
                <w:szCs w:val="18"/>
              </w:rPr>
            </w:pPr>
            <w:r>
              <w:rPr>
                <w:sz w:val="18"/>
                <w:szCs w:val="18"/>
              </w:rPr>
              <w:t>4 – 15</w:t>
            </w:r>
          </w:p>
        </w:tc>
        <w:tc>
          <w:tcPr>
            <w:tcW w:w="720" w:type="dxa"/>
            <w:tcBorders>
              <w:top w:val="single" w:sz="4" w:space="0" w:color="000000"/>
              <w:left w:val="single" w:sz="12" w:space="0" w:color="000000"/>
              <w:bottom w:val="single" w:sz="4" w:space="0" w:color="000000"/>
              <w:right w:val="single" w:sz="12" w:space="0" w:color="000000"/>
            </w:tcBorders>
            <w:vAlign w:val="center"/>
          </w:tcPr>
          <w:p w14:paraId="79482ED7" w14:textId="77777777" w:rsidR="00696EAC" w:rsidRPr="00913F78" w:rsidRDefault="00696EAC" w:rsidP="00586B1D">
            <w:pPr>
              <w:spacing w:after="0" w:line="259" w:lineRule="auto"/>
              <w:ind w:left="0" w:right="44" w:firstLine="0"/>
              <w:jc w:val="center"/>
              <w:rPr>
                <w:sz w:val="18"/>
                <w:szCs w:val="18"/>
              </w:rPr>
            </w:pPr>
            <w:r w:rsidRPr="00913F78">
              <w:rPr>
                <w:sz w:val="18"/>
                <w:szCs w:val="18"/>
              </w:rPr>
              <w:t>ng/L</w:t>
            </w:r>
          </w:p>
        </w:tc>
        <w:tc>
          <w:tcPr>
            <w:tcW w:w="1080" w:type="dxa"/>
            <w:tcBorders>
              <w:top w:val="single" w:sz="4" w:space="0" w:color="000000"/>
              <w:left w:val="single" w:sz="12" w:space="0" w:color="000000"/>
              <w:bottom w:val="single" w:sz="4" w:space="0" w:color="000000"/>
              <w:right w:val="single" w:sz="12" w:space="0" w:color="000000"/>
            </w:tcBorders>
            <w:vAlign w:val="center"/>
          </w:tcPr>
          <w:p w14:paraId="6139D62E" w14:textId="4087A0D3" w:rsidR="00696EAC" w:rsidRPr="00A11E0C" w:rsidRDefault="00E3282B" w:rsidP="00586B1D">
            <w:pPr>
              <w:tabs>
                <w:tab w:val="center" w:pos="445"/>
              </w:tabs>
              <w:spacing w:after="0" w:line="259" w:lineRule="auto"/>
              <w:ind w:left="0" w:right="0" w:firstLine="0"/>
              <w:jc w:val="center"/>
              <w:rPr>
                <w:sz w:val="18"/>
                <w:szCs w:val="18"/>
              </w:rPr>
            </w:pPr>
            <w:r>
              <w:rPr>
                <w:sz w:val="18"/>
                <w:szCs w:val="18"/>
              </w:rPr>
              <w:t>0.64 – 1.5</w:t>
            </w:r>
          </w:p>
        </w:tc>
        <w:tc>
          <w:tcPr>
            <w:tcW w:w="810" w:type="dxa"/>
            <w:tcBorders>
              <w:top w:val="single" w:sz="4" w:space="0" w:color="000000"/>
              <w:left w:val="single" w:sz="12" w:space="0" w:color="000000"/>
              <w:bottom w:val="single" w:sz="4" w:space="0" w:color="000000"/>
              <w:right w:val="single" w:sz="12" w:space="0" w:color="000000"/>
            </w:tcBorders>
            <w:vAlign w:val="center"/>
          </w:tcPr>
          <w:p w14:paraId="02DA8818" w14:textId="05527EF8" w:rsidR="00696EAC" w:rsidRDefault="00CB71DF" w:rsidP="00586B1D">
            <w:pPr>
              <w:spacing w:after="0" w:line="259" w:lineRule="auto"/>
              <w:ind w:left="0" w:right="46" w:firstLine="0"/>
              <w:jc w:val="center"/>
            </w:pPr>
            <w:r w:rsidRPr="00753644">
              <w:rPr>
                <w:rFonts w:eastAsia="Segoe UI Symbol"/>
                <w:sz w:val="18"/>
              </w:rPr>
              <w:t>u</w:t>
            </w:r>
            <w:r w:rsidRPr="00753644">
              <w:rPr>
                <w:sz w:val="18"/>
              </w:rPr>
              <w:t>g/kg</w:t>
            </w:r>
          </w:p>
        </w:tc>
        <w:tc>
          <w:tcPr>
            <w:tcW w:w="990" w:type="dxa"/>
            <w:tcBorders>
              <w:top w:val="single" w:sz="4" w:space="0" w:color="000000"/>
              <w:left w:val="single" w:sz="12" w:space="0" w:color="000000"/>
              <w:bottom w:val="single" w:sz="4" w:space="0" w:color="000000"/>
              <w:right w:val="single" w:sz="12" w:space="0" w:color="000000"/>
            </w:tcBorders>
            <w:vAlign w:val="center"/>
          </w:tcPr>
          <w:p w14:paraId="14A3AAFB" w14:textId="0CAECA8E" w:rsidR="00696EAC" w:rsidRDefault="00A34F3B" w:rsidP="00586B1D">
            <w:pPr>
              <w:spacing w:after="0" w:line="259" w:lineRule="auto"/>
              <w:ind w:left="0" w:right="45" w:firstLine="0"/>
              <w:jc w:val="center"/>
            </w:pPr>
            <w:r w:rsidRPr="00372D1A">
              <w:rPr>
                <w:sz w:val="18"/>
                <w:szCs w:val="18"/>
              </w:rPr>
              <w:t>1633</w:t>
            </w:r>
          </w:p>
        </w:tc>
        <w:tc>
          <w:tcPr>
            <w:tcW w:w="540" w:type="dxa"/>
            <w:tcBorders>
              <w:top w:val="single" w:sz="4" w:space="0" w:color="000000"/>
              <w:left w:val="single" w:sz="12" w:space="0" w:color="000000"/>
              <w:bottom w:val="single" w:sz="4" w:space="0" w:color="000000"/>
              <w:right w:val="single" w:sz="12" w:space="0" w:color="000000"/>
            </w:tcBorders>
            <w:vAlign w:val="center"/>
          </w:tcPr>
          <w:p w14:paraId="65E323BE" w14:textId="77777777" w:rsidR="00696EAC" w:rsidRDefault="00696EAC" w:rsidP="00696EAC">
            <w:pPr>
              <w:spacing w:after="0" w:line="259" w:lineRule="auto"/>
              <w:ind w:left="0" w:right="48" w:firstLine="0"/>
              <w:jc w:val="center"/>
            </w:pPr>
          </w:p>
        </w:tc>
      </w:tr>
      <w:tr w:rsidR="00E91CEF" w14:paraId="7D86E8DC" w14:textId="77777777" w:rsidTr="000C4B7A">
        <w:trPr>
          <w:trHeight w:val="250"/>
        </w:trPr>
        <w:tc>
          <w:tcPr>
            <w:tcW w:w="4230" w:type="dxa"/>
            <w:tcBorders>
              <w:top w:val="single" w:sz="4" w:space="0" w:color="000000"/>
              <w:left w:val="single" w:sz="12" w:space="0" w:color="000000"/>
              <w:bottom w:val="single" w:sz="4" w:space="0" w:color="000000"/>
              <w:right w:val="single" w:sz="12" w:space="0" w:color="000000"/>
            </w:tcBorders>
            <w:vAlign w:val="center"/>
          </w:tcPr>
          <w:p w14:paraId="6D24BFEE" w14:textId="4EA3F9CB" w:rsidR="002356E1" w:rsidRPr="00735EA6" w:rsidRDefault="002356E1" w:rsidP="002356E1">
            <w:pPr>
              <w:spacing w:after="0" w:line="259" w:lineRule="auto"/>
              <w:ind w:left="0" w:right="0" w:firstLine="0"/>
              <w:rPr>
                <w:sz w:val="18"/>
                <w:szCs w:val="18"/>
              </w:rPr>
            </w:pPr>
            <w:r>
              <w:rPr>
                <w:sz w:val="18"/>
                <w:szCs w:val="18"/>
              </w:rPr>
              <w:t>Perfluoro(2-</w:t>
            </w:r>
            <w:proofErr w:type="gramStart"/>
            <w:r>
              <w:rPr>
                <w:sz w:val="18"/>
                <w:szCs w:val="18"/>
              </w:rPr>
              <w:t>ethoxyethane)sulfonic</w:t>
            </w:r>
            <w:proofErr w:type="gramEnd"/>
            <w:r>
              <w:rPr>
                <w:sz w:val="18"/>
                <w:szCs w:val="18"/>
              </w:rPr>
              <w:t xml:space="preserve"> acid (PFEESA)</w:t>
            </w:r>
          </w:p>
        </w:tc>
        <w:tc>
          <w:tcPr>
            <w:tcW w:w="1170" w:type="dxa"/>
            <w:tcBorders>
              <w:top w:val="single" w:sz="4" w:space="0" w:color="000000"/>
              <w:left w:val="single" w:sz="12" w:space="0" w:color="000000"/>
              <w:bottom w:val="single" w:sz="4" w:space="0" w:color="000000"/>
              <w:right w:val="single" w:sz="12" w:space="0" w:color="000000"/>
            </w:tcBorders>
            <w:vAlign w:val="center"/>
          </w:tcPr>
          <w:p w14:paraId="35E40B91" w14:textId="03B2C89A" w:rsidR="002356E1" w:rsidRPr="00735EA6" w:rsidRDefault="002356E1" w:rsidP="002356E1">
            <w:pPr>
              <w:spacing w:after="0" w:line="259" w:lineRule="auto"/>
              <w:ind w:left="0" w:right="44" w:firstLine="0"/>
              <w:jc w:val="center"/>
              <w:rPr>
                <w:sz w:val="18"/>
                <w:szCs w:val="18"/>
              </w:rPr>
            </w:pPr>
            <w:r>
              <w:rPr>
                <w:sz w:val="18"/>
                <w:szCs w:val="18"/>
              </w:rPr>
              <w:t>113507-82-7</w:t>
            </w:r>
          </w:p>
        </w:tc>
        <w:tc>
          <w:tcPr>
            <w:tcW w:w="990" w:type="dxa"/>
            <w:tcBorders>
              <w:top w:val="single" w:sz="4" w:space="0" w:color="000000"/>
              <w:left w:val="single" w:sz="12" w:space="0" w:color="000000"/>
              <w:bottom w:val="single" w:sz="4" w:space="0" w:color="000000"/>
              <w:right w:val="single" w:sz="12" w:space="0" w:color="000000"/>
            </w:tcBorders>
            <w:vAlign w:val="center"/>
          </w:tcPr>
          <w:p w14:paraId="089C8821" w14:textId="58FED3F5" w:rsidR="002356E1" w:rsidRPr="00A11E0C" w:rsidRDefault="00F027E7" w:rsidP="00586B1D">
            <w:pPr>
              <w:tabs>
                <w:tab w:val="center" w:pos="534"/>
              </w:tabs>
              <w:spacing w:after="0" w:line="259" w:lineRule="auto"/>
              <w:ind w:left="0" w:right="0" w:firstLine="0"/>
              <w:jc w:val="center"/>
              <w:rPr>
                <w:sz w:val="18"/>
                <w:szCs w:val="18"/>
              </w:rPr>
            </w:pPr>
            <w:r>
              <w:rPr>
                <w:sz w:val="18"/>
                <w:szCs w:val="18"/>
              </w:rPr>
              <w:t>2 – 8</w:t>
            </w:r>
          </w:p>
        </w:tc>
        <w:tc>
          <w:tcPr>
            <w:tcW w:w="720" w:type="dxa"/>
            <w:tcBorders>
              <w:top w:val="single" w:sz="4" w:space="0" w:color="000000"/>
              <w:left w:val="single" w:sz="12" w:space="0" w:color="000000"/>
              <w:bottom w:val="single" w:sz="4" w:space="0" w:color="000000"/>
              <w:right w:val="single" w:sz="12" w:space="0" w:color="000000"/>
            </w:tcBorders>
            <w:vAlign w:val="center"/>
          </w:tcPr>
          <w:p w14:paraId="781F1448" w14:textId="77777777" w:rsidR="002356E1" w:rsidRPr="00913F78" w:rsidRDefault="002356E1" w:rsidP="00586B1D">
            <w:pPr>
              <w:spacing w:after="0" w:line="259" w:lineRule="auto"/>
              <w:ind w:left="0" w:right="44" w:firstLine="0"/>
              <w:jc w:val="center"/>
              <w:rPr>
                <w:sz w:val="18"/>
                <w:szCs w:val="18"/>
              </w:rPr>
            </w:pPr>
            <w:r w:rsidRPr="00913F78">
              <w:rPr>
                <w:sz w:val="18"/>
                <w:szCs w:val="18"/>
              </w:rPr>
              <w:t>ng/L</w:t>
            </w:r>
          </w:p>
        </w:tc>
        <w:tc>
          <w:tcPr>
            <w:tcW w:w="1080" w:type="dxa"/>
            <w:tcBorders>
              <w:top w:val="single" w:sz="4" w:space="0" w:color="000000"/>
              <w:left w:val="single" w:sz="12" w:space="0" w:color="000000"/>
              <w:bottom w:val="single" w:sz="4" w:space="0" w:color="000000"/>
              <w:right w:val="single" w:sz="12" w:space="0" w:color="000000"/>
            </w:tcBorders>
            <w:vAlign w:val="center"/>
          </w:tcPr>
          <w:p w14:paraId="5B59F422" w14:textId="3A2A4D25" w:rsidR="002356E1" w:rsidRPr="00A11E0C" w:rsidRDefault="004957FB" w:rsidP="00586B1D">
            <w:pPr>
              <w:tabs>
                <w:tab w:val="center" w:pos="354"/>
              </w:tabs>
              <w:spacing w:after="0" w:line="259" w:lineRule="auto"/>
              <w:ind w:left="0" w:right="0" w:firstLine="0"/>
              <w:jc w:val="center"/>
              <w:rPr>
                <w:sz w:val="18"/>
                <w:szCs w:val="18"/>
              </w:rPr>
            </w:pPr>
            <w:r>
              <w:rPr>
                <w:sz w:val="18"/>
                <w:szCs w:val="18"/>
              </w:rPr>
              <w:t>0.32 – 0.7</w:t>
            </w:r>
          </w:p>
        </w:tc>
        <w:tc>
          <w:tcPr>
            <w:tcW w:w="810" w:type="dxa"/>
            <w:tcBorders>
              <w:top w:val="single" w:sz="4" w:space="0" w:color="000000"/>
              <w:left w:val="single" w:sz="12" w:space="0" w:color="000000"/>
              <w:bottom w:val="single" w:sz="4" w:space="0" w:color="000000"/>
              <w:right w:val="single" w:sz="12" w:space="0" w:color="000000"/>
            </w:tcBorders>
            <w:vAlign w:val="center"/>
          </w:tcPr>
          <w:p w14:paraId="24F79E6F" w14:textId="7A40650D" w:rsidR="002356E1" w:rsidRDefault="00CB71DF" w:rsidP="00586B1D">
            <w:pPr>
              <w:spacing w:after="0" w:line="259" w:lineRule="auto"/>
              <w:ind w:left="0" w:right="46" w:firstLine="0"/>
              <w:jc w:val="center"/>
            </w:pPr>
            <w:r w:rsidRPr="00753644">
              <w:rPr>
                <w:rFonts w:eastAsia="Segoe UI Symbol"/>
                <w:sz w:val="18"/>
              </w:rPr>
              <w:t>u</w:t>
            </w:r>
            <w:r w:rsidRPr="00753644">
              <w:rPr>
                <w:sz w:val="18"/>
              </w:rPr>
              <w:t>g/kg</w:t>
            </w:r>
          </w:p>
        </w:tc>
        <w:tc>
          <w:tcPr>
            <w:tcW w:w="990" w:type="dxa"/>
            <w:tcBorders>
              <w:top w:val="single" w:sz="4" w:space="0" w:color="000000"/>
              <w:left w:val="single" w:sz="12" w:space="0" w:color="000000"/>
              <w:bottom w:val="single" w:sz="4" w:space="0" w:color="000000"/>
              <w:right w:val="single" w:sz="12" w:space="0" w:color="000000"/>
            </w:tcBorders>
            <w:vAlign w:val="center"/>
          </w:tcPr>
          <w:p w14:paraId="4A85D93F" w14:textId="289D6501" w:rsidR="002356E1" w:rsidRDefault="00A34F3B" w:rsidP="00586B1D">
            <w:pPr>
              <w:spacing w:after="0" w:line="259" w:lineRule="auto"/>
              <w:ind w:left="0" w:right="45" w:firstLine="0"/>
              <w:jc w:val="center"/>
            </w:pPr>
            <w:r w:rsidRPr="00372D1A">
              <w:rPr>
                <w:sz w:val="18"/>
                <w:szCs w:val="18"/>
              </w:rPr>
              <w:t>1633</w:t>
            </w:r>
          </w:p>
        </w:tc>
        <w:tc>
          <w:tcPr>
            <w:tcW w:w="540" w:type="dxa"/>
            <w:tcBorders>
              <w:top w:val="single" w:sz="4" w:space="0" w:color="000000"/>
              <w:left w:val="single" w:sz="12" w:space="0" w:color="000000"/>
              <w:bottom w:val="single" w:sz="4" w:space="0" w:color="000000"/>
              <w:right w:val="single" w:sz="12" w:space="0" w:color="000000"/>
            </w:tcBorders>
            <w:vAlign w:val="center"/>
          </w:tcPr>
          <w:p w14:paraId="0BEC2653" w14:textId="77777777" w:rsidR="002356E1" w:rsidRDefault="002356E1" w:rsidP="002356E1">
            <w:pPr>
              <w:spacing w:after="0" w:line="259" w:lineRule="auto"/>
              <w:ind w:left="0" w:right="48" w:firstLine="0"/>
              <w:jc w:val="center"/>
            </w:pPr>
          </w:p>
        </w:tc>
      </w:tr>
      <w:tr w:rsidR="00E91CEF" w14:paraId="73C02196" w14:textId="77777777" w:rsidTr="000C4B7A">
        <w:trPr>
          <w:trHeight w:val="250"/>
        </w:trPr>
        <w:tc>
          <w:tcPr>
            <w:tcW w:w="4230" w:type="dxa"/>
            <w:tcBorders>
              <w:top w:val="single" w:sz="4" w:space="0" w:color="000000"/>
              <w:left w:val="single" w:sz="12" w:space="0" w:color="000000"/>
              <w:bottom w:val="single" w:sz="4" w:space="0" w:color="000000"/>
              <w:right w:val="single" w:sz="12" w:space="0" w:color="000000"/>
            </w:tcBorders>
            <w:vAlign w:val="center"/>
          </w:tcPr>
          <w:p w14:paraId="3BA02E4B" w14:textId="7CEE5B4F" w:rsidR="002356E1" w:rsidRPr="00735EA6" w:rsidRDefault="00635E34" w:rsidP="002356E1">
            <w:pPr>
              <w:spacing w:after="0" w:line="259" w:lineRule="auto"/>
              <w:ind w:left="0" w:right="0" w:firstLine="0"/>
              <w:rPr>
                <w:sz w:val="18"/>
                <w:szCs w:val="18"/>
              </w:rPr>
            </w:pPr>
            <w:r>
              <w:rPr>
                <w:sz w:val="18"/>
                <w:szCs w:val="18"/>
              </w:rPr>
              <w:t>3-Perfluoropropyl</w:t>
            </w:r>
            <w:r w:rsidR="008416F8">
              <w:rPr>
                <w:sz w:val="18"/>
                <w:szCs w:val="18"/>
              </w:rPr>
              <w:t xml:space="preserve"> propanoic acid (3:3</w:t>
            </w:r>
            <w:r w:rsidR="00794CBF">
              <w:rPr>
                <w:sz w:val="18"/>
                <w:szCs w:val="18"/>
              </w:rPr>
              <w:t>FTCA)</w:t>
            </w:r>
          </w:p>
        </w:tc>
        <w:tc>
          <w:tcPr>
            <w:tcW w:w="1170" w:type="dxa"/>
            <w:tcBorders>
              <w:top w:val="single" w:sz="4" w:space="0" w:color="000000"/>
              <w:left w:val="single" w:sz="12" w:space="0" w:color="000000"/>
              <w:bottom w:val="single" w:sz="4" w:space="0" w:color="000000"/>
              <w:right w:val="single" w:sz="12" w:space="0" w:color="000000"/>
            </w:tcBorders>
            <w:vAlign w:val="center"/>
          </w:tcPr>
          <w:p w14:paraId="0B1CBC28" w14:textId="3163C3B5" w:rsidR="002356E1" w:rsidRPr="00735EA6" w:rsidRDefault="00794CBF" w:rsidP="002356E1">
            <w:pPr>
              <w:spacing w:after="0" w:line="259" w:lineRule="auto"/>
              <w:ind w:left="0" w:right="44" w:firstLine="0"/>
              <w:jc w:val="center"/>
              <w:rPr>
                <w:sz w:val="18"/>
                <w:szCs w:val="18"/>
              </w:rPr>
            </w:pPr>
            <w:r>
              <w:rPr>
                <w:sz w:val="18"/>
                <w:szCs w:val="18"/>
              </w:rPr>
              <w:t>356-02-5</w:t>
            </w:r>
          </w:p>
        </w:tc>
        <w:tc>
          <w:tcPr>
            <w:tcW w:w="990" w:type="dxa"/>
            <w:tcBorders>
              <w:top w:val="single" w:sz="4" w:space="0" w:color="000000"/>
              <w:left w:val="single" w:sz="12" w:space="0" w:color="000000"/>
              <w:bottom w:val="single" w:sz="4" w:space="0" w:color="000000"/>
              <w:right w:val="single" w:sz="12" w:space="0" w:color="000000"/>
            </w:tcBorders>
            <w:vAlign w:val="center"/>
          </w:tcPr>
          <w:p w14:paraId="686AF3E4" w14:textId="568F430B" w:rsidR="002356E1" w:rsidRPr="00A11E0C" w:rsidRDefault="00F027E7" w:rsidP="00586B1D">
            <w:pPr>
              <w:tabs>
                <w:tab w:val="center" w:pos="534"/>
              </w:tabs>
              <w:spacing w:after="0" w:line="259" w:lineRule="auto"/>
              <w:ind w:left="0" w:right="0" w:firstLine="0"/>
              <w:jc w:val="center"/>
              <w:rPr>
                <w:sz w:val="18"/>
                <w:szCs w:val="18"/>
              </w:rPr>
            </w:pPr>
            <w:r>
              <w:rPr>
                <w:sz w:val="18"/>
                <w:szCs w:val="18"/>
              </w:rPr>
              <w:t>5 – 20</w:t>
            </w:r>
          </w:p>
        </w:tc>
        <w:tc>
          <w:tcPr>
            <w:tcW w:w="720" w:type="dxa"/>
            <w:tcBorders>
              <w:top w:val="single" w:sz="4" w:space="0" w:color="000000"/>
              <w:left w:val="single" w:sz="12" w:space="0" w:color="000000"/>
              <w:bottom w:val="single" w:sz="4" w:space="0" w:color="000000"/>
              <w:right w:val="single" w:sz="12" w:space="0" w:color="000000"/>
            </w:tcBorders>
            <w:vAlign w:val="center"/>
          </w:tcPr>
          <w:p w14:paraId="6A1B55DB" w14:textId="77777777" w:rsidR="002356E1" w:rsidRPr="00913F78" w:rsidRDefault="002356E1" w:rsidP="00586B1D">
            <w:pPr>
              <w:spacing w:after="0" w:line="259" w:lineRule="auto"/>
              <w:ind w:left="0" w:right="44" w:firstLine="0"/>
              <w:jc w:val="center"/>
              <w:rPr>
                <w:sz w:val="18"/>
                <w:szCs w:val="18"/>
              </w:rPr>
            </w:pPr>
            <w:r w:rsidRPr="00913F78">
              <w:rPr>
                <w:sz w:val="18"/>
                <w:szCs w:val="18"/>
              </w:rPr>
              <w:t>ng/L</w:t>
            </w:r>
          </w:p>
        </w:tc>
        <w:tc>
          <w:tcPr>
            <w:tcW w:w="1080" w:type="dxa"/>
            <w:tcBorders>
              <w:top w:val="single" w:sz="4" w:space="0" w:color="000000"/>
              <w:left w:val="single" w:sz="12" w:space="0" w:color="000000"/>
              <w:bottom w:val="single" w:sz="4" w:space="0" w:color="000000"/>
              <w:right w:val="single" w:sz="12" w:space="0" w:color="000000"/>
            </w:tcBorders>
            <w:vAlign w:val="center"/>
          </w:tcPr>
          <w:p w14:paraId="35B99F35" w14:textId="3AEDD8DD" w:rsidR="002356E1" w:rsidRPr="00A11E0C" w:rsidRDefault="004957FB" w:rsidP="00586B1D">
            <w:pPr>
              <w:tabs>
                <w:tab w:val="center" w:pos="354"/>
              </w:tabs>
              <w:spacing w:after="0" w:line="259" w:lineRule="auto"/>
              <w:ind w:left="0" w:right="0" w:firstLine="0"/>
              <w:jc w:val="center"/>
              <w:rPr>
                <w:sz w:val="18"/>
                <w:szCs w:val="18"/>
              </w:rPr>
            </w:pPr>
            <w:r>
              <w:rPr>
                <w:sz w:val="18"/>
                <w:szCs w:val="18"/>
              </w:rPr>
              <w:t>0.80 – 5.0</w:t>
            </w:r>
          </w:p>
        </w:tc>
        <w:tc>
          <w:tcPr>
            <w:tcW w:w="810" w:type="dxa"/>
            <w:tcBorders>
              <w:top w:val="single" w:sz="4" w:space="0" w:color="000000"/>
              <w:left w:val="single" w:sz="12" w:space="0" w:color="000000"/>
              <w:bottom w:val="single" w:sz="4" w:space="0" w:color="000000"/>
              <w:right w:val="single" w:sz="12" w:space="0" w:color="000000"/>
            </w:tcBorders>
            <w:vAlign w:val="center"/>
          </w:tcPr>
          <w:p w14:paraId="2D1D7644" w14:textId="5E6ACF92" w:rsidR="002356E1" w:rsidRDefault="00CB71DF" w:rsidP="00586B1D">
            <w:pPr>
              <w:spacing w:after="0" w:line="259" w:lineRule="auto"/>
              <w:ind w:left="0" w:right="46" w:firstLine="0"/>
              <w:jc w:val="center"/>
            </w:pPr>
            <w:r w:rsidRPr="00753644">
              <w:rPr>
                <w:rFonts w:eastAsia="Segoe UI Symbol"/>
                <w:sz w:val="18"/>
              </w:rPr>
              <w:t>u</w:t>
            </w:r>
            <w:r w:rsidRPr="00753644">
              <w:rPr>
                <w:sz w:val="18"/>
              </w:rPr>
              <w:t>g/kg</w:t>
            </w:r>
          </w:p>
        </w:tc>
        <w:tc>
          <w:tcPr>
            <w:tcW w:w="990" w:type="dxa"/>
            <w:tcBorders>
              <w:top w:val="single" w:sz="4" w:space="0" w:color="000000"/>
              <w:left w:val="single" w:sz="12" w:space="0" w:color="000000"/>
              <w:bottom w:val="single" w:sz="4" w:space="0" w:color="000000"/>
              <w:right w:val="single" w:sz="12" w:space="0" w:color="000000"/>
            </w:tcBorders>
            <w:vAlign w:val="center"/>
          </w:tcPr>
          <w:p w14:paraId="5E4EE984" w14:textId="3938B2C7" w:rsidR="002356E1" w:rsidRDefault="00A34F3B" w:rsidP="00586B1D">
            <w:pPr>
              <w:spacing w:after="0" w:line="259" w:lineRule="auto"/>
              <w:ind w:left="0" w:right="45" w:firstLine="0"/>
              <w:jc w:val="center"/>
            </w:pPr>
            <w:r w:rsidRPr="00372D1A">
              <w:rPr>
                <w:sz w:val="18"/>
                <w:szCs w:val="18"/>
              </w:rPr>
              <w:t>1633</w:t>
            </w:r>
          </w:p>
        </w:tc>
        <w:tc>
          <w:tcPr>
            <w:tcW w:w="540" w:type="dxa"/>
            <w:tcBorders>
              <w:top w:val="single" w:sz="4" w:space="0" w:color="000000"/>
              <w:left w:val="single" w:sz="12" w:space="0" w:color="000000"/>
              <w:bottom w:val="single" w:sz="4" w:space="0" w:color="000000"/>
              <w:right w:val="single" w:sz="12" w:space="0" w:color="000000"/>
            </w:tcBorders>
            <w:vAlign w:val="center"/>
          </w:tcPr>
          <w:p w14:paraId="14614C7D" w14:textId="77777777" w:rsidR="002356E1" w:rsidRDefault="002356E1" w:rsidP="002356E1">
            <w:pPr>
              <w:spacing w:after="0" w:line="259" w:lineRule="auto"/>
              <w:ind w:left="0" w:right="48" w:firstLine="0"/>
              <w:jc w:val="center"/>
            </w:pPr>
          </w:p>
        </w:tc>
      </w:tr>
      <w:tr w:rsidR="00E91CEF" w14:paraId="22921E7E" w14:textId="77777777" w:rsidTr="000C4B7A">
        <w:trPr>
          <w:trHeight w:val="250"/>
        </w:trPr>
        <w:tc>
          <w:tcPr>
            <w:tcW w:w="4230" w:type="dxa"/>
            <w:tcBorders>
              <w:top w:val="single" w:sz="4" w:space="0" w:color="000000"/>
              <w:left w:val="single" w:sz="12" w:space="0" w:color="000000"/>
              <w:bottom w:val="single" w:sz="4" w:space="0" w:color="000000"/>
              <w:right w:val="single" w:sz="12" w:space="0" w:color="000000"/>
            </w:tcBorders>
            <w:vAlign w:val="center"/>
          </w:tcPr>
          <w:p w14:paraId="2CD570F4" w14:textId="5F164267" w:rsidR="002356E1" w:rsidRPr="00735EA6" w:rsidRDefault="00FC7772" w:rsidP="00644D08">
            <w:pPr>
              <w:spacing w:after="0" w:line="259" w:lineRule="auto"/>
              <w:ind w:left="0" w:right="0" w:firstLine="0"/>
              <w:rPr>
                <w:sz w:val="18"/>
                <w:szCs w:val="18"/>
              </w:rPr>
            </w:pPr>
            <w:r>
              <w:rPr>
                <w:sz w:val="18"/>
                <w:szCs w:val="18"/>
              </w:rPr>
              <w:t>2H, 2H, 3H, 3H-Perfluorooctanoic acid (5:3FTCA)</w:t>
            </w:r>
          </w:p>
        </w:tc>
        <w:tc>
          <w:tcPr>
            <w:tcW w:w="1170" w:type="dxa"/>
            <w:tcBorders>
              <w:top w:val="single" w:sz="4" w:space="0" w:color="000000"/>
              <w:left w:val="single" w:sz="12" w:space="0" w:color="000000"/>
              <w:bottom w:val="single" w:sz="4" w:space="0" w:color="000000"/>
              <w:right w:val="single" w:sz="12" w:space="0" w:color="000000"/>
            </w:tcBorders>
            <w:vAlign w:val="center"/>
          </w:tcPr>
          <w:p w14:paraId="135B050E" w14:textId="4C98C152" w:rsidR="002356E1" w:rsidRPr="00735EA6" w:rsidRDefault="007C499A" w:rsidP="002356E1">
            <w:pPr>
              <w:spacing w:after="0" w:line="259" w:lineRule="auto"/>
              <w:ind w:left="0" w:right="44" w:firstLine="0"/>
              <w:jc w:val="center"/>
              <w:rPr>
                <w:sz w:val="18"/>
                <w:szCs w:val="18"/>
              </w:rPr>
            </w:pPr>
            <w:r>
              <w:rPr>
                <w:sz w:val="18"/>
                <w:szCs w:val="18"/>
              </w:rPr>
              <w:t>914637-49-3</w:t>
            </w:r>
          </w:p>
        </w:tc>
        <w:tc>
          <w:tcPr>
            <w:tcW w:w="990" w:type="dxa"/>
            <w:tcBorders>
              <w:top w:val="single" w:sz="4" w:space="0" w:color="000000"/>
              <w:left w:val="single" w:sz="12" w:space="0" w:color="000000"/>
              <w:bottom w:val="single" w:sz="4" w:space="0" w:color="000000"/>
              <w:right w:val="single" w:sz="12" w:space="0" w:color="000000"/>
            </w:tcBorders>
            <w:vAlign w:val="center"/>
          </w:tcPr>
          <w:p w14:paraId="25DD9758" w14:textId="7455A466" w:rsidR="002356E1" w:rsidRPr="00A11E0C" w:rsidRDefault="00F027E7" w:rsidP="00586B1D">
            <w:pPr>
              <w:tabs>
                <w:tab w:val="center" w:pos="534"/>
              </w:tabs>
              <w:spacing w:after="0" w:line="259" w:lineRule="auto"/>
              <w:ind w:left="0" w:right="0" w:firstLine="0"/>
              <w:jc w:val="center"/>
              <w:rPr>
                <w:sz w:val="18"/>
                <w:szCs w:val="18"/>
              </w:rPr>
            </w:pPr>
            <w:r>
              <w:rPr>
                <w:sz w:val="18"/>
                <w:szCs w:val="18"/>
              </w:rPr>
              <w:t>25 – 100</w:t>
            </w:r>
          </w:p>
        </w:tc>
        <w:tc>
          <w:tcPr>
            <w:tcW w:w="720" w:type="dxa"/>
            <w:tcBorders>
              <w:top w:val="single" w:sz="4" w:space="0" w:color="000000"/>
              <w:left w:val="single" w:sz="12" w:space="0" w:color="000000"/>
              <w:bottom w:val="single" w:sz="4" w:space="0" w:color="000000"/>
              <w:right w:val="single" w:sz="12" w:space="0" w:color="000000"/>
            </w:tcBorders>
            <w:vAlign w:val="center"/>
          </w:tcPr>
          <w:p w14:paraId="4103D9B8" w14:textId="77777777" w:rsidR="002356E1" w:rsidRPr="00913F78" w:rsidRDefault="002356E1" w:rsidP="00586B1D">
            <w:pPr>
              <w:spacing w:after="0" w:line="259" w:lineRule="auto"/>
              <w:ind w:left="0" w:right="44" w:firstLine="0"/>
              <w:jc w:val="center"/>
              <w:rPr>
                <w:sz w:val="18"/>
                <w:szCs w:val="18"/>
              </w:rPr>
            </w:pPr>
            <w:r w:rsidRPr="00913F78">
              <w:rPr>
                <w:sz w:val="18"/>
                <w:szCs w:val="18"/>
              </w:rPr>
              <w:t>ng/L</w:t>
            </w:r>
          </w:p>
        </w:tc>
        <w:tc>
          <w:tcPr>
            <w:tcW w:w="1080" w:type="dxa"/>
            <w:tcBorders>
              <w:top w:val="single" w:sz="4" w:space="0" w:color="000000"/>
              <w:left w:val="single" w:sz="12" w:space="0" w:color="000000"/>
              <w:bottom w:val="single" w:sz="4" w:space="0" w:color="000000"/>
              <w:right w:val="single" w:sz="12" w:space="0" w:color="000000"/>
            </w:tcBorders>
            <w:vAlign w:val="center"/>
          </w:tcPr>
          <w:p w14:paraId="4BC43E03" w14:textId="67C92356" w:rsidR="002356E1" w:rsidRPr="00A11E0C" w:rsidRDefault="004957FB" w:rsidP="00586B1D">
            <w:pPr>
              <w:tabs>
                <w:tab w:val="center" w:pos="354"/>
              </w:tabs>
              <w:spacing w:after="0" w:line="259" w:lineRule="auto"/>
              <w:ind w:left="0" w:right="0" w:firstLine="0"/>
              <w:jc w:val="center"/>
              <w:rPr>
                <w:sz w:val="18"/>
                <w:szCs w:val="18"/>
              </w:rPr>
            </w:pPr>
            <w:r>
              <w:rPr>
                <w:sz w:val="18"/>
                <w:szCs w:val="18"/>
              </w:rPr>
              <w:t>4 – 10</w:t>
            </w:r>
          </w:p>
        </w:tc>
        <w:tc>
          <w:tcPr>
            <w:tcW w:w="810" w:type="dxa"/>
            <w:tcBorders>
              <w:top w:val="single" w:sz="4" w:space="0" w:color="000000"/>
              <w:left w:val="single" w:sz="12" w:space="0" w:color="000000"/>
              <w:bottom w:val="single" w:sz="4" w:space="0" w:color="000000"/>
              <w:right w:val="single" w:sz="12" w:space="0" w:color="000000"/>
            </w:tcBorders>
            <w:vAlign w:val="center"/>
          </w:tcPr>
          <w:p w14:paraId="428BCE95" w14:textId="2FD4F202" w:rsidR="002356E1" w:rsidRDefault="00CB71DF" w:rsidP="00586B1D">
            <w:pPr>
              <w:spacing w:after="0" w:line="259" w:lineRule="auto"/>
              <w:ind w:left="0" w:right="46" w:firstLine="0"/>
              <w:jc w:val="center"/>
            </w:pPr>
            <w:r w:rsidRPr="00753644">
              <w:rPr>
                <w:rFonts w:eastAsia="Segoe UI Symbol"/>
                <w:sz w:val="18"/>
              </w:rPr>
              <w:t>u</w:t>
            </w:r>
            <w:r w:rsidRPr="00753644">
              <w:rPr>
                <w:sz w:val="18"/>
              </w:rPr>
              <w:t>g/kg</w:t>
            </w:r>
          </w:p>
        </w:tc>
        <w:tc>
          <w:tcPr>
            <w:tcW w:w="990" w:type="dxa"/>
            <w:tcBorders>
              <w:top w:val="single" w:sz="4" w:space="0" w:color="000000"/>
              <w:left w:val="single" w:sz="12" w:space="0" w:color="000000"/>
              <w:bottom w:val="single" w:sz="4" w:space="0" w:color="000000"/>
              <w:right w:val="single" w:sz="12" w:space="0" w:color="000000"/>
            </w:tcBorders>
            <w:vAlign w:val="center"/>
          </w:tcPr>
          <w:p w14:paraId="08810DA3" w14:textId="4F2F46D9" w:rsidR="002356E1" w:rsidRDefault="00A34F3B" w:rsidP="00586B1D">
            <w:pPr>
              <w:spacing w:after="0" w:line="259" w:lineRule="auto"/>
              <w:ind w:left="0" w:right="45" w:firstLine="0"/>
              <w:jc w:val="center"/>
            </w:pPr>
            <w:r w:rsidRPr="00372D1A">
              <w:rPr>
                <w:sz w:val="18"/>
                <w:szCs w:val="18"/>
              </w:rPr>
              <w:t>1633</w:t>
            </w:r>
          </w:p>
        </w:tc>
        <w:tc>
          <w:tcPr>
            <w:tcW w:w="540" w:type="dxa"/>
            <w:tcBorders>
              <w:top w:val="single" w:sz="4" w:space="0" w:color="000000"/>
              <w:left w:val="single" w:sz="12" w:space="0" w:color="000000"/>
              <w:bottom w:val="single" w:sz="4" w:space="0" w:color="000000"/>
              <w:right w:val="single" w:sz="12" w:space="0" w:color="000000"/>
            </w:tcBorders>
            <w:vAlign w:val="center"/>
          </w:tcPr>
          <w:p w14:paraId="59F4E215" w14:textId="77777777" w:rsidR="002356E1" w:rsidRDefault="002356E1" w:rsidP="002356E1">
            <w:pPr>
              <w:spacing w:after="0" w:line="259" w:lineRule="auto"/>
              <w:ind w:left="0" w:right="48" w:firstLine="0"/>
              <w:jc w:val="center"/>
            </w:pPr>
          </w:p>
        </w:tc>
      </w:tr>
      <w:tr w:rsidR="00E91CEF" w14:paraId="0981826A" w14:textId="77777777" w:rsidTr="000C4B7A">
        <w:trPr>
          <w:trHeight w:val="264"/>
        </w:trPr>
        <w:tc>
          <w:tcPr>
            <w:tcW w:w="4230" w:type="dxa"/>
            <w:tcBorders>
              <w:top w:val="single" w:sz="8" w:space="0" w:color="000000"/>
              <w:left w:val="single" w:sz="12" w:space="0" w:color="000000"/>
              <w:bottom w:val="single" w:sz="12" w:space="0" w:color="000000"/>
              <w:right w:val="single" w:sz="12" w:space="0" w:color="000000"/>
            </w:tcBorders>
            <w:vAlign w:val="center"/>
          </w:tcPr>
          <w:p w14:paraId="51004794" w14:textId="1BFA62A5" w:rsidR="00F94BE9" w:rsidRDefault="004C3C08" w:rsidP="00644D08">
            <w:pPr>
              <w:spacing w:after="0" w:line="259" w:lineRule="auto"/>
              <w:ind w:left="0" w:right="0" w:firstLine="0"/>
              <w:rPr>
                <w:sz w:val="18"/>
              </w:rPr>
            </w:pPr>
            <w:r>
              <w:rPr>
                <w:sz w:val="18"/>
              </w:rPr>
              <w:t>3</w:t>
            </w:r>
            <w:r w:rsidRPr="004C3C08">
              <w:rPr>
                <w:sz w:val="18"/>
              </w:rPr>
              <w:t>-Perfluoro</w:t>
            </w:r>
            <w:r w:rsidR="00AF3D5D">
              <w:rPr>
                <w:sz w:val="18"/>
              </w:rPr>
              <w:t>heptyl propanoic</w:t>
            </w:r>
            <w:r w:rsidRPr="004C3C08">
              <w:rPr>
                <w:sz w:val="18"/>
              </w:rPr>
              <w:t xml:space="preserve"> acid (</w:t>
            </w:r>
            <w:r w:rsidR="00733751">
              <w:rPr>
                <w:sz w:val="18"/>
              </w:rPr>
              <w:t>7</w:t>
            </w:r>
            <w:r w:rsidRPr="004C3C08">
              <w:rPr>
                <w:sz w:val="18"/>
              </w:rPr>
              <w:t>:3FTCA)</w:t>
            </w:r>
          </w:p>
        </w:tc>
        <w:tc>
          <w:tcPr>
            <w:tcW w:w="1170" w:type="dxa"/>
            <w:tcBorders>
              <w:top w:val="single" w:sz="8" w:space="0" w:color="000000"/>
              <w:left w:val="single" w:sz="12" w:space="0" w:color="000000"/>
              <w:bottom w:val="single" w:sz="12" w:space="0" w:color="000000"/>
              <w:right w:val="single" w:sz="12" w:space="0" w:color="000000"/>
            </w:tcBorders>
            <w:vAlign w:val="center"/>
          </w:tcPr>
          <w:p w14:paraId="12C6D8AD" w14:textId="458362FD" w:rsidR="00F94BE9" w:rsidRDefault="00F94BE9" w:rsidP="00347950">
            <w:pPr>
              <w:spacing w:after="0" w:line="259" w:lineRule="auto"/>
              <w:ind w:left="0" w:right="44" w:firstLine="0"/>
              <w:jc w:val="center"/>
              <w:rPr>
                <w:sz w:val="18"/>
              </w:rPr>
            </w:pPr>
            <w:r>
              <w:rPr>
                <w:sz w:val="18"/>
                <w:szCs w:val="18"/>
              </w:rPr>
              <w:t>812-70-4</w:t>
            </w:r>
          </w:p>
        </w:tc>
        <w:tc>
          <w:tcPr>
            <w:tcW w:w="990" w:type="dxa"/>
            <w:tcBorders>
              <w:top w:val="single" w:sz="8" w:space="0" w:color="000000"/>
              <w:left w:val="single" w:sz="12" w:space="0" w:color="000000"/>
              <w:bottom w:val="single" w:sz="12" w:space="0" w:color="000000"/>
              <w:right w:val="single" w:sz="12" w:space="0" w:color="000000"/>
            </w:tcBorders>
            <w:vAlign w:val="center"/>
          </w:tcPr>
          <w:p w14:paraId="71732B81" w14:textId="5C796551" w:rsidR="00F94BE9" w:rsidRDefault="00F94BE9" w:rsidP="00347950">
            <w:pPr>
              <w:tabs>
                <w:tab w:val="center" w:pos="534"/>
              </w:tabs>
              <w:spacing w:after="0" w:line="259" w:lineRule="auto"/>
              <w:ind w:left="0" w:right="0" w:firstLine="0"/>
              <w:jc w:val="center"/>
              <w:rPr>
                <w:sz w:val="18"/>
              </w:rPr>
            </w:pPr>
            <w:r>
              <w:rPr>
                <w:sz w:val="18"/>
                <w:szCs w:val="18"/>
              </w:rPr>
              <w:t>25 – 100</w:t>
            </w:r>
          </w:p>
        </w:tc>
        <w:tc>
          <w:tcPr>
            <w:tcW w:w="720" w:type="dxa"/>
            <w:tcBorders>
              <w:top w:val="single" w:sz="8" w:space="0" w:color="000000"/>
              <w:left w:val="single" w:sz="12" w:space="0" w:color="000000"/>
              <w:bottom w:val="single" w:sz="12" w:space="0" w:color="000000"/>
              <w:right w:val="single" w:sz="12" w:space="0" w:color="auto"/>
            </w:tcBorders>
            <w:vAlign w:val="center"/>
          </w:tcPr>
          <w:p w14:paraId="6A58D8B7" w14:textId="5BE786A5" w:rsidR="00F94BE9" w:rsidRPr="00140536" w:rsidRDefault="00F94BE9" w:rsidP="00347950">
            <w:pPr>
              <w:spacing w:after="0" w:line="259" w:lineRule="auto"/>
              <w:ind w:left="0" w:right="44" w:firstLine="0"/>
              <w:jc w:val="center"/>
              <w:rPr>
                <w:rFonts w:eastAsia="Segoe UI Symbol"/>
                <w:sz w:val="18"/>
              </w:rPr>
            </w:pPr>
            <w:r w:rsidRPr="00913F78">
              <w:rPr>
                <w:sz w:val="18"/>
                <w:szCs w:val="18"/>
              </w:rPr>
              <w:t>ng/L</w:t>
            </w:r>
          </w:p>
        </w:tc>
        <w:tc>
          <w:tcPr>
            <w:tcW w:w="1080" w:type="dxa"/>
            <w:tcBorders>
              <w:top w:val="single" w:sz="8" w:space="0" w:color="000000"/>
              <w:left w:val="single" w:sz="12" w:space="0" w:color="auto"/>
              <w:bottom w:val="single" w:sz="12" w:space="0" w:color="000000"/>
              <w:right w:val="single" w:sz="12" w:space="0" w:color="000000"/>
            </w:tcBorders>
            <w:vAlign w:val="center"/>
          </w:tcPr>
          <w:p w14:paraId="6D7ED133" w14:textId="0825B4D5" w:rsidR="00F94BE9" w:rsidRDefault="00F94BE9" w:rsidP="00347950">
            <w:pPr>
              <w:tabs>
                <w:tab w:val="center" w:pos="354"/>
              </w:tabs>
              <w:spacing w:after="0" w:line="259" w:lineRule="auto"/>
              <w:ind w:left="0" w:right="0" w:firstLine="0"/>
              <w:jc w:val="center"/>
              <w:rPr>
                <w:sz w:val="18"/>
              </w:rPr>
            </w:pPr>
            <w:r>
              <w:rPr>
                <w:sz w:val="18"/>
                <w:szCs w:val="18"/>
              </w:rPr>
              <w:t>4 – 10</w:t>
            </w:r>
          </w:p>
        </w:tc>
        <w:tc>
          <w:tcPr>
            <w:tcW w:w="810" w:type="dxa"/>
            <w:tcBorders>
              <w:top w:val="single" w:sz="8" w:space="0" w:color="000000"/>
              <w:left w:val="single" w:sz="12" w:space="0" w:color="000000"/>
              <w:bottom w:val="single" w:sz="12" w:space="0" w:color="000000"/>
              <w:right w:val="single" w:sz="12" w:space="0" w:color="000000"/>
            </w:tcBorders>
            <w:vAlign w:val="center"/>
          </w:tcPr>
          <w:p w14:paraId="352C80DF" w14:textId="1D7938E8" w:rsidR="00F94BE9" w:rsidRDefault="00F94BE9" w:rsidP="00347950">
            <w:pPr>
              <w:spacing w:after="0" w:line="259" w:lineRule="auto"/>
              <w:ind w:left="0" w:right="46" w:firstLine="0"/>
              <w:jc w:val="center"/>
              <w:rPr>
                <w:rFonts w:eastAsia="Segoe UI Symbol"/>
                <w:sz w:val="18"/>
              </w:rPr>
            </w:pPr>
            <w:r w:rsidRPr="00753644">
              <w:rPr>
                <w:rFonts w:eastAsia="Segoe UI Symbol"/>
                <w:sz w:val="18"/>
              </w:rPr>
              <w:t>u</w:t>
            </w:r>
            <w:r w:rsidRPr="00753644">
              <w:rPr>
                <w:sz w:val="18"/>
              </w:rPr>
              <w:t>g/kg</w:t>
            </w:r>
          </w:p>
        </w:tc>
        <w:tc>
          <w:tcPr>
            <w:tcW w:w="990" w:type="dxa"/>
            <w:tcBorders>
              <w:top w:val="single" w:sz="8" w:space="0" w:color="000000"/>
              <w:left w:val="single" w:sz="12" w:space="0" w:color="000000"/>
              <w:bottom w:val="single" w:sz="12" w:space="0" w:color="000000"/>
              <w:right w:val="single" w:sz="12" w:space="0" w:color="000000"/>
            </w:tcBorders>
            <w:vAlign w:val="center"/>
          </w:tcPr>
          <w:p w14:paraId="0758C1DB" w14:textId="14173084" w:rsidR="00F94BE9" w:rsidRDefault="00F94BE9" w:rsidP="00347950">
            <w:pPr>
              <w:spacing w:after="0" w:line="259" w:lineRule="auto"/>
              <w:ind w:left="0" w:right="45" w:firstLine="0"/>
              <w:jc w:val="center"/>
              <w:rPr>
                <w:b/>
                <w:sz w:val="18"/>
              </w:rPr>
            </w:pPr>
            <w:r w:rsidRPr="00372D1A">
              <w:rPr>
                <w:sz w:val="18"/>
                <w:szCs w:val="18"/>
              </w:rPr>
              <w:t>1633</w:t>
            </w:r>
          </w:p>
        </w:tc>
        <w:tc>
          <w:tcPr>
            <w:tcW w:w="540" w:type="dxa"/>
            <w:tcBorders>
              <w:top w:val="single" w:sz="8" w:space="0" w:color="000000"/>
              <w:left w:val="single" w:sz="12" w:space="0" w:color="000000"/>
              <w:bottom w:val="single" w:sz="12" w:space="0" w:color="000000"/>
              <w:right w:val="single" w:sz="12" w:space="0" w:color="000000"/>
            </w:tcBorders>
            <w:vAlign w:val="center"/>
          </w:tcPr>
          <w:p w14:paraId="7311B60A" w14:textId="77777777" w:rsidR="00F94BE9" w:rsidRDefault="00F94BE9" w:rsidP="00347950">
            <w:pPr>
              <w:spacing w:after="0" w:line="259" w:lineRule="auto"/>
              <w:ind w:left="0" w:right="48" w:firstLine="0"/>
              <w:jc w:val="center"/>
              <w:rPr>
                <w:sz w:val="18"/>
              </w:rPr>
            </w:pPr>
          </w:p>
        </w:tc>
      </w:tr>
    </w:tbl>
    <w:p w14:paraId="4301B80C" w14:textId="77777777" w:rsidR="00A22C7E" w:rsidRDefault="00A22C7E" w:rsidP="00A22C7E"/>
    <w:tbl>
      <w:tblPr>
        <w:tblStyle w:val="TableGrid1"/>
        <w:tblW w:w="10530" w:type="dxa"/>
        <w:tblInd w:w="-375" w:type="dxa"/>
        <w:tblLayout w:type="fixed"/>
        <w:tblCellMar>
          <w:top w:w="22" w:type="dxa"/>
          <w:left w:w="72" w:type="dxa"/>
          <w:right w:w="27" w:type="dxa"/>
        </w:tblCellMar>
        <w:tblLook w:val="04A0" w:firstRow="1" w:lastRow="0" w:firstColumn="1" w:lastColumn="0" w:noHBand="0" w:noVBand="1"/>
      </w:tblPr>
      <w:tblGrid>
        <w:gridCol w:w="4230"/>
        <w:gridCol w:w="1170"/>
        <w:gridCol w:w="990"/>
        <w:gridCol w:w="990"/>
        <w:gridCol w:w="812"/>
        <w:gridCol w:w="1080"/>
        <w:gridCol w:w="720"/>
        <w:gridCol w:w="538"/>
      </w:tblGrid>
      <w:tr w:rsidR="00ED0BF9" w:rsidRPr="005E4951" w14:paraId="1CB33D56" w14:textId="77777777" w:rsidTr="00AD4C91">
        <w:trPr>
          <w:trHeight w:val="316"/>
          <w:tblHeader/>
        </w:trPr>
        <w:tc>
          <w:tcPr>
            <w:tcW w:w="10530" w:type="dxa"/>
            <w:gridSpan w:val="8"/>
            <w:tcBorders>
              <w:top w:val="single" w:sz="12" w:space="0" w:color="000000"/>
              <w:left w:val="single" w:sz="12" w:space="0" w:color="000000"/>
              <w:bottom w:val="single" w:sz="12" w:space="0" w:color="000000"/>
              <w:right w:val="single" w:sz="12" w:space="0" w:color="000000"/>
            </w:tcBorders>
            <w:vAlign w:val="center"/>
          </w:tcPr>
          <w:p w14:paraId="320FA17E" w14:textId="75B88D29" w:rsidR="00ED0BF9" w:rsidRPr="006121E0" w:rsidRDefault="00ED0BF9">
            <w:pPr>
              <w:spacing w:after="0" w:line="240" w:lineRule="auto"/>
              <w:ind w:left="0" w:right="0" w:firstLine="0"/>
              <w:rPr>
                <w:b/>
                <w:bCs/>
                <w:sz w:val="18"/>
                <w:szCs w:val="18"/>
              </w:rPr>
            </w:pPr>
            <w:r w:rsidRPr="006121E0">
              <w:rPr>
                <w:b/>
                <w:bCs/>
                <w:sz w:val="18"/>
                <w:szCs w:val="18"/>
              </w:rPr>
              <w:lastRenderedPageBreak/>
              <w:t xml:space="preserve">PFAS – Group </w:t>
            </w:r>
            <w:r w:rsidR="0094254D">
              <w:rPr>
                <w:b/>
                <w:bCs/>
                <w:sz w:val="18"/>
                <w:szCs w:val="18"/>
              </w:rPr>
              <w:t>D</w:t>
            </w:r>
            <w:r w:rsidRPr="006121E0">
              <w:rPr>
                <w:b/>
                <w:bCs/>
                <w:sz w:val="18"/>
                <w:szCs w:val="18"/>
              </w:rPr>
              <w:t xml:space="preserve">:  OLQ </w:t>
            </w:r>
            <w:r w:rsidR="004978CF">
              <w:rPr>
                <w:b/>
                <w:bCs/>
                <w:sz w:val="18"/>
                <w:szCs w:val="18"/>
              </w:rPr>
              <w:t>Standard List</w:t>
            </w:r>
            <w:r w:rsidR="00E744E0">
              <w:rPr>
                <w:b/>
                <w:bCs/>
                <w:sz w:val="18"/>
                <w:szCs w:val="18"/>
              </w:rPr>
              <w:t xml:space="preserve"> SW 846</w:t>
            </w:r>
            <w:r w:rsidR="004978CF">
              <w:rPr>
                <w:b/>
                <w:bCs/>
                <w:sz w:val="18"/>
                <w:szCs w:val="18"/>
              </w:rPr>
              <w:t xml:space="preserve"> </w:t>
            </w:r>
            <w:r w:rsidRPr="006121E0">
              <w:rPr>
                <w:b/>
                <w:bCs/>
                <w:sz w:val="18"/>
                <w:szCs w:val="18"/>
              </w:rPr>
              <w:t xml:space="preserve">Method </w:t>
            </w:r>
            <w:r w:rsidR="00E744E0">
              <w:rPr>
                <w:b/>
                <w:bCs/>
                <w:sz w:val="18"/>
                <w:szCs w:val="18"/>
              </w:rPr>
              <w:t>8327</w:t>
            </w:r>
          </w:p>
        </w:tc>
      </w:tr>
      <w:tr w:rsidR="00ED0BF9" w14:paraId="66FF694E" w14:textId="77777777" w:rsidTr="00AD4C91">
        <w:trPr>
          <w:trHeight w:val="444"/>
          <w:tblHeader/>
        </w:trPr>
        <w:tc>
          <w:tcPr>
            <w:tcW w:w="4230" w:type="dxa"/>
            <w:vMerge w:val="restart"/>
            <w:tcBorders>
              <w:top w:val="single" w:sz="12" w:space="0" w:color="000000"/>
              <w:left w:val="single" w:sz="12" w:space="0" w:color="000000"/>
              <w:right w:val="single" w:sz="12" w:space="0" w:color="000000"/>
            </w:tcBorders>
            <w:vAlign w:val="center"/>
          </w:tcPr>
          <w:p w14:paraId="2344C890" w14:textId="77777777" w:rsidR="00ED0BF9" w:rsidRDefault="00ED0BF9">
            <w:pPr>
              <w:spacing w:after="0" w:line="259" w:lineRule="auto"/>
              <w:ind w:left="0" w:right="46" w:firstLine="0"/>
              <w:jc w:val="center"/>
            </w:pPr>
            <w:r>
              <w:rPr>
                <w:b/>
                <w:sz w:val="18"/>
              </w:rPr>
              <w:t>Analyte</w:t>
            </w:r>
          </w:p>
        </w:tc>
        <w:tc>
          <w:tcPr>
            <w:tcW w:w="1170" w:type="dxa"/>
            <w:vMerge w:val="restart"/>
            <w:tcBorders>
              <w:top w:val="single" w:sz="12" w:space="0" w:color="000000"/>
              <w:left w:val="single" w:sz="12" w:space="0" w:color="000000"/>
              <w:right w:val="single" w:sz="12" w:space="0" w:color="000000"/>
            </w:tcBorders>
            <w:vAlign w:val="center"/>
          </w:tcPr>
          <w:p w14:paraId="20CEF842" w14:textId="77777777" w:rsidR="00ED0BF9" w:rsidRDefault="00ED0BF9">
            <w:pPr>
              <w:spacing w:after="0" w:line="259" w:lineRule="auto"/>
              <w:ind w:left="0" w:right="0" w:firstLine="0"/>
              <w:jc w:val="center"/>
            </w:pPr>
            <w:r>
              <w:rPr>
                <w:b/>
                <w:sz w:val="18"/>
              </w:rPr>
              <w:t>CAS Number</w:t>
            </w:r>
          </w:p>
        </w:tc>
        <w:tc>
          <w:tcPr>
            <w:tcW w:w="1980" w:type="dxa"/>
            <w:gridSpan w:val="2"/>
            <w:tcBorders>
              <w:top w:val="single" w:sz="12" w:space="0" w:color="000000"/>
              <w:left w:val="single" w:sz="12" w:space="0" w:color="000000"/>
              <w:bottom w:val="single" w:sz="12" w:space="0" w:color="000000"/>
              <w:right w:val="single" w:sz="12" w:space="0" w:color="000000"/>
            </w:tcBorders>
            <w:vAlign w:val="center"/>
          </w:tcPr>
          <w:p w14:paraId="3F16BB71" w14:textId="77777777" w:rsidR="00ED0BF9" w:rsidRDefault="00ED0BF9">
            <w:pPr>
              <w:spacing w:after="0" w:line="259" w:lineRule="auto"/>
              <w:ind w:left="442" w:right="487" w:firstLine="0"/>
              <w:jc w:val="center"/>
            </w:pPr>
            <w:r>
              <w:rPr>
                <w:b/>
                <w:sz w:val="18"/>
              </w:rPr>
              <w:t xml:space="preserve">Aqueous </w:t>
            </w:r>
            <w:r>
              <w:rPr>
                <w:b/>
                <w:i/>
                <w:sz w:val="18"/>
              </w:rPr>
              <w:t>25 mL purge</w:t>
            </w:r>
          </w:p>
        </w:tc>
        <w:tc>
          <w:tcPr>
            <w:tcW w:w="1892" w:type="dxa"/>
            <w:gridSpan w:val="2"/>
            <w:tcBorders>
              <w:top w:val="single" w:sz="12" w:space="0" w:color="000000"/>
              <w:left w:val="single" w:sz="12" w:space="0" w:color="000000"/>
              <w:bottom w:val="single" w:sz="12" w:space="0" w:color="000000"/>
              <w:right w:val="single" w:sz="12" w:space="0" w:color="000000"/>
            </w:tcBorders>
            <w:vAlign w:val="center"/>
          </w:tcPr>
          <w:p w14:paraId="6621B21E" w14:textId="77777777" w:rsidR="00ED0BF9" w:rsidRDefault="00ED0BF9">
            <w:pPr>
              <w:spacing w:after="0" w:line="259" w:lineRule="auto"/>
              <w:ind w:left="166" w:right="180" w:firstLine="0"/>
              <w:jc w:val="center"/>
            </w:pPr>
            <w:r>
              <w:rPr>
                <w:b/>
                <w:sz w:val="18"/>
              </w:rPr>
              <w:t xml:space="preserve">Soil/Sediment </w:t>
            </w:r>
            <w:r>
              <w:rPr>
                <w:sz w:val="18"/>
              </w:rPr>
              <w:t>(low concentration)</w:t>
            </w:r>
          </w:p>
        </w:tc>
        <w:tc>
          <w:tcPr>
            <w:tcW w:w="1258" w:type="dxa"/>
            <w:gridSpan w:val="2"/>
            <w:vMerge w:val="restart"/>
            <w:tcBorders>
              <w:top w:val="single" w:sz="12" w:space="0" w:color="000000"/>
              <w:left w:val="single" w:sz="12" w:space="0" w:color="000000"/>
              <w:right w:val="single" w:sz="12" w:space="0" w:color="000000"/>
            </w:tcBorders>
            <w:vAlign w:val="center"/>
          </w:tcPr>
          <w:p w14:paraId="35BB2176" w14:textId="63B22072" w:rsidR="00ED0BF9" w:rsidRDefault="00ED0BF9">
            <w:pPr>
              <w:spacing w:after="0" w:line="259" w:lineRule="auto"/>
              <w:ind w:left="0" w:right="51" w:firstLine="0"/>
              <w:jc w:val="center"/>
            </w:pPr>
            <w:r>
              <w:rPr>
                <w:b/>
                <w:sz w:val="18"/>
              </w:rPr>
              <w:t>Acceptable Methods</w:t>
            </w:r>
          </w:p>
        </w:tc>
      </w:tr>
      <w:tr w:rsidR="00EB2E0B" w14:paraId="33BFE3B1" w14:textId="77777777" w:rsidTr="00AD4C91">
        <w:trPr>
          <w:trHeight w:val="269"/>
          <w:tblHeader/>
        </w:trPr>
        <w:tc>
          <w:tcPr>
            <w:tcW w:w="4230" w:type="dxa"/>
            <w:vMerge/>
            <w:tcBorders>
              <w:left w:val="single" w:sz="12" w:space="0" w:color="000000"/>
              <w:bottom w:val="single" w:sz="12" w:space="0" w:color="000000"/>
              <w:right w:val="single" w:sz="12" w:space="0" w:color="000000"/>
            </w:tcBorders>
            <w:vAlign w:val="center"/>
          </w:tcPr>
          <w:p w14:paraId="6F77D370" w14:textId="77777777" w:rsidR="00ED0BF9" w:rsidRDefault="00ED0BF9">
            <w:pPr>
              <w:spacing w:after="160" w:line="259" w:lineRule="auto"/>
              <w:ind w:left="0" w:right="0" w:firstLine="0"/>
              <w:jc w:val="center"/>
            </w:pPr>
          </w:p>
        </w:tc>
        <w:tc>
          <w:tcPr>
            <w:tcW w:w="1170" w:type="dxa"/>
            <w:vMerge/>
            <w:tcBorders>
              <w:left w:val="single" w:sz="12" w:space="0" w:color="000000"/>
              <w:bottom w:val="single" w:sz="12" w:space="0" w:color="000000"/>
              <w:right w:val="single" w:sz="12" w:space="0" w:color="000000"/>
            </w:tcBorders>
            <w:vAlign w:val="center"/>
          </w:tcPr>
          <w:p w14:paraId="62F7646D" w14:textId="77777777" w:rsidR="00ED0BF9" w:rsidRDefault="00ED0BF9">
            <w:pPr>
              <w:spacing w:after="160" w:line="259" w:lineRule="auto"/>
              <w:ind w:left="0" w:right="0" w:firstLine="0"/>
              <w:jc w:val="center"/>
            </w:pPr>
          </w:p>
        </w:tc>
        <w:tc>
          <w:tcPr>
            <w:tcW w:w="990" w:type="dxa"/>
            <w:tcBorders>
              <w:top w:val="single" w:sz="12" w:space="0" w:color="000000"/>
              <w:left w:val="single" w:sz="12" w:space="0" w:color="000000"/>
              <w:bottom w:val="single" w:sz="12" w:space="0" w:color="000000"/>
              <w:right w:val="single" w:sz="12" w:space="0" w:color="000000"/>
            </w:tcBorders>
            <w:vAlign w:val="center"/>
          </w:tcPr>
          <w:p w14:paraId="47D48370" w14:textId="28AA966D" w:rsidR="00ED0BF9" w:rsidRDefault="00716C3F">
            <w:pPr>
              <w:spacing w:after="0" w:line="259" w:lineRule="auto"/>
              <w:ind w:left="0" w:right="47" w:firstLine="0"/>
              <w:jc w:val="center"/>
            </w:pPr>
            <w:r w:rsidRPr="00716C3F">
              <w:rPr>
                <w:b/>
                <w:sz w:val="18"/>
              </w:rPr>
              <w:t>**</w:t>
            </w:r>
            <w:r>
              <w:rPr>
                <w:b/>
                <w:sz w:val="18"/>
              </w:rPr>
              <w:t xml:space="preserve"> </w:t>
            </w:r>
            <w:r w:rsidR="00C27BF5">
              <w:rPr>
                <w:b/>
                <w:sz w:val="18"/>
                <w:vertAlign w:val="superscript"/>
              </w:rPr>
              <w:t>52</w:t>
            </w:r>
          </w:p>
        </w:tc>
        <w:tc>
          <w:tcPr>
            <w:tcW w:w="990" w:type="dxa"/>
            <w:tcBorders>
              <w:top w:val="single" w:sz="12" w:space="0" w:color="000000"/>
              <w:left w:val="single" w:sz="12" w:space="0" w:color="000000"/>
              <w:bottom w:val="single" w:sz="12" w:space="0" w:color="000000"/>
              <w:right w:val="single" w:sz="12" w:space="0" w:color="000000"/>
            </w:tcBorders>
            <w:vAlign w:val="center"/>
          </w:tcPr>
          <w:p w14:paraId="3EC3315C" w14:textId="77777777" w:rsidR="00ED0BF9" w:rsidRDefault="00ED0BF9">
            <w:pPr>
              <w:spacing w:after="0" w:line="259" w:lineRule="auto"/>
              <w:ind w:left="0" w:right="52" w:firstLine="0"/>
              <w:jc w:val="center"/>
            </w:pPr>
            <w:r>
              <w:rPr>
                <w:b/>
                <w:sz w:val="18"/>
              </w:rPr>
              <w:t>units</w:t>
            </w:r>
          </w:p>
        </w:tc>
        <w:tc>
          <w:tcPr>
            <w:tcW w:w="812" w:type="dxa"/>
            <w:tcBorders>
              <w:top w:val="single" w:sz="12" w:space="0" w:color="000000"/>
              <w:left w:val="single" w:sz="12" w:space="0" w:color="000000"/>
              <w:bottom w:val="single" w:sz="12" w:space="0" w:color="000000"/>
              <w:right w:val="single" w:sz="12" w:space="0" w:color="000000"/>
            </w:tcBorders>
            <w:vAlign w:val="center"/>
          </w:tcPr>
          <w:p w14:paraId="61496FCF" w14:textId="77777777" w:rsidR="00ED0BF9" w:rsidRDefault="00ED0BF9">
            <w:pPr>
              <w:spacing w:after="0" w:line="259" w:lineRule="auto"/>
              <w:ind w:left="0" w:right="47" w:firstLine="0"/>
              <w:jc w:val="center"/>
            </w:pPr>
            <w:r>
              <w:rPr>
                <w:b/>
                <w:sz w:val="18"/>
              </w:rPr>
              <w:t>RL</w:t>
            </w:r>
          </w:p>
        </w:tc>
        <w:tc>
          <w:tcPr>
            <w:tcW w:w="1080" w:type="dxa"/>
            <w:tcBorders>
              <w:top w:val="single" w:sz="12" w:space="0" w:color="000000"/>
              <w:left w:val="single" w:sz="12" w:space="0" w:color="000000"/>
              <w:bottom w:val="single" w:sz="12" w:space="0" w:color="000000"/>
              <w:right w:val="single" w:sz="12" w:space="0" w:color="000000"/>
            </w:tcBorders>
            <w:vAlign w:val="center"/>
          </w:tcPr>
          <w:p w14:paraId="59534CC9" w14:textId="77777777" w:rsidR="00ED0BF9" w:rsidRDefault="00ED0BF9">
            <w:pPr>
              <w:spacing w:after="0" w:line="259" w:lineRule="auto"/>
              <w:ind w:left="0" w:right="50" w:firstLine="0"/>
              <w:jc w:val="center"/>
            </w:pPr>
            <w:r>
              <w:rPr>
                <w:b/>
                <w:sz w:val="18"/>
              </w:rPr>
              <w:t>units</w:t>
            </w:r>
          </w:p>
        </w:tc>
        <w:tc>
          <w:tcPr>
            <w:tcW w:w="1258" w:type="dxa"/>
            <w:gridSpan w:val="2"/>
            <w:vMerge/>
            <w:tcBorders>
              <w:left w:val="single" w:sz="12" w:space="0" w:color="000000"/>
              <w:bottom w:val="single" w:sz="12" w:space="0" w:color="000000"/>
              <w:right w:val="single" w:sz="12" w:space="0" w:color="000000"/>
            </w:tcBorders>
            <w:vAlign w:val="center"/>
          </w:tcPr>
          <w:p w14:paraId="6BB5AD22" w14:textId="77777777" w:rsidR="00ED0BF9" w:rsidRDefault="00ED0BF9">
            <w:pPr>
              <w:spacing w:after="160" w:line="259" w:lineRule="auto"/>
              <w:ind w:left="0" w:right="0" w:firstLine="0"/>
              <w:jc w:val="center"/>
            </w:pPr>
          </w:p>
        </w:tc>
      </w:tr>
      <w:tr w:rsidR="00EB2E0B" w14:paraId="2326E191" w14:textId="77777777" w:rsidTr="00AD4C91">
        <w:trPr>
          <w:trHeight w:val="262"/>
        </w:trPr>
        <w:tc>
          <w:tcPr>
            <w:tcW w:w="4230" w:type="dxa"/>
            <w:tcBorders>
              <w:top w:val="single" w:sz="12" w:space="0" w:color="000000"/>
              <w:left w:val="single" w:sz="12" w:space="0" w:color="000000"/>
              <w:bottom w:val="single" w:sz="4" w:space="0" w:color="000000"/>
              <w:right w:val="single" w:sz="12" w:space="0" w:color="000000"/>
            </w:tcBorders>
            <w:vAlign w:val="center"/>
          </w:tcPr>
          <w:p w14:paraId="638EDE55" w14:textId="1546AC4E" w:rsidR="00ED0BF9" w:rsidRPr="00ED7184" w:rsidRDefault="00B872E7">
            <w:pPr>
              <w:spacing w:after="0" w:line="259" w:lineRule="auto"/>
              <w:ind w:left="0" w:right="0" w:firstLine="0"/>
            </w:pPr>
            <w:r w:rsidRPr="00ED7184">
              <w:rPr>
                <w:sz w:val="18"/>
                <w:szCs w:val="18"/>
              </w:rPr>
              <w:t>Perfluoro-1-butanesulfonic acid (PFBS)</w:t>
            </w:r>
          </w:p>
        </w:tc>
        <w:tc>
          <w:tcPr>
            <w:tcW w:w="1170" w:type="dxa"/>
            <w:tcBorders>
              <w:top w:val="single" w:sz="12" w:space="0" w:color="000000"/>
              <w:left w:val="single" w:sz="12" w:space="0" w:color="000000"/>
              <w:bottom w:val="single" w:sz="4" w:space="0" w:color="000000"/>
              <w:right w:val="single" w:sz="12" w:space="0" w:color="000000"/>
            </w:tcBorders>
            <w:vAlign w:val="center"/>
          </w:tcPr>
          <w:p w14:paraId="7AF44555" w14:textId="46B631A1" w:rsidR="00ED0BF9" w:rsidRDefault="00B872E7" w:rsidP="00766C30">
            <w:pPr>
              <w:spacing w:after="0" w:line="259" w:lineRule="auto"/>
              <w:ind w:left="0" w:right="44" w:firstLine="0"/>
              <w:jc w:val="center"/>
            </w:pPr>
            <w:r>
              <w:rPr>
                <w:sz w:val="18"/>
                <w:szCs w:val="18"/>
              </w:rPr>
              <w:t>375-73-5</w:t>
            </w:r>
          </w:p>
        </w:tc>
        <w:tc>
          <w:tcPr>
            <w:tcW w:w="990" w:type="dxa"/>
            <w:tcBorders>
              <w:top w:val="single" w:sz="12" w:space="0" w:color="000000"/>
              <w:left w:val="single" w:sz="12" w:space="0" w:color="000000"/>
              <w:bottom w:val="single" w:sz="4" w:space="0" w:color="000000"/>
              <w:right w:val="single" w:sz="12" w:space="0" w:color="000000"/>
            </w:tcBorders>
            <w:vAlign w:val="center"/>
          </w:tcPr>
          <w:p w14:paraId="0814C1A6" w14:textId="30A5693E" w:rsidR="00ED0BF9" w:rsidRPr="00ED7184" w:rsidRDefault="00716C3F" w:rsidP="00766C30">
            <w:pPr>
              <w:tabs>
                <w:tab w:val="center" w:pos="488"/>
              </w:tabs>
              <w:spacing w:after="0" w:line="259" w:lineRule="auto"/>
              <w:ind w:left="0" w:right="0" w:firstLine="0"/>
              <w:jc w:val="center"/>
            </w:pPr>
            <w:r w:rsidRPr="00ED7184">
              <w:t>**</w:t>
            </w:r>
          </w:p>
        </w:tc>
        <w:tc>
          <w:tcPr>
            <w:tcW w:w="990" w:type="dxa"/>
            <w:tcBorders>
              <w:top w:val="single" w:sz="12" w:space="0" w:color="000000"/>
              <w:left w:val="single" w:sz="12" w:space="0" w:color="000000"/>
              <w:bottom w:val="single" w:sz="4" w:space="0" w:color="000000"/>
              <w:right w:val="single" w:sz="12" w:space="0" w:color="000000"/>
            </w:tcBorders>
            <w:vAlign w:val="center"/>
          </w:tcPr>
          <w:p w14:paraId="1F55A2D9" w14:textId="77777777" w:rsidR="00ED0BF9" w:rsidRPr="000376D7" w:rsidRDefault="00ED0BF9" w:rsidP="00766C30">
            <w:pPr>
              <w:spacing w:after="0" w:line="259" w:lineRule="auto"/>
              <w:ind w:left="0" w:right="44" w:firstLine="0"/>
              <w:jc w:val="center"/>
            </w:pPr>
            <w:r w:rsidRPr="00ED4768">
              <w:rPr>
                <w:sz w:val="18"/>
                <w:szCs w:val="18"/>
              </w:rPr>
              <w:t>ng/L</w:t>
            </w:r>
          </w:p>
        </w:tc>
        <w:tc>
          <w:tcPr>
            <w:tcW w:w="812" w:type="dxa"/>
            <w:tcBorders>
              <w:top w:val="single" w:sz="12" w:space="0" w:color="000000"/>
              <w:left w:val="single" w:sz="12" w:space="0" w:color="000000"/>
              <w:bottom w:val="single" w:sz="4" w:space="0" w:color="000000"/>
              <w:right w:val="single" w:sz="12" w:space="0" w:color="000000"/>
            </w:tcBorders>
          </w:tcPr>
          <w:p w14:paraId="33551262" w14:textId="6C00D998" w:rsidR="00ED0BF9" w:rsidRDefault="007D4508" w:rsidP="00766C30">
            <w:pPr>
              <w:tabs>
                <w:tab w:val="center" w:pos="399"/>
              </w:tabs>
              <w:spacing w:after="0" w:line="259" w:lineRule="auto"/>
              <w:ind w:left="0" w:right="0" w:firstLine="0"/>
              <w:jc w:val="center"/>
            </w:pPr>
            <w:r w:rsidRPr="00BF2E19">
              <w:rPr>
                <w:sz w:val="18"/>
                <w:szCs w:val="18"/>
              </w:rPr>
              <w:t>N/A</w:t>
            </w:r>
          </w:p>
        </w:tc>
        <w:tc>
          <w:tcPr>
            <w:tcW w:w="1080" w:type="dxa"/>
            <w:tcBorders>
              <w:top w:val="single" w:sz="12" w:space="0" w:color="000000"/>
              <w:left w:val="single" w:sz="12" w:space="0" w:color="000000"/>
              <w:bottom w:val="single" w:sz="4" w:space="0" w:color="000000"/>
              <w:right w:val="single" w:sz="12" w:space="0" w:color="000000"/>
            </w:tcBorders>
          </w:tcPr>
          <w:p w14:paraId="61AF123D" w14:textId="365A8E35" w:rsidR="00ED0BF9" w:rsidRDefault="007D4508" w:rsidP="00766C30">
            <w:pPr>
              <w:spacing w:after="0" w:line="259" w:lineRule="auto"/>
              <w:ind w:left="0" w:right="46" w:firstLine="0"/>
              <w:jc w:val="center"/>
            </w:pPr>
            <w:r w:rsidRPr="00BF2E19">
              <w:rPr>
                <w:sz w:val="18"/>
                <w:szCs w:val="18"/>
              </w:rPr>
              <w:t>N/A</w:t>
            </w:r>
          </w:p>
        </w:tc>
        <w:tc>
          <w:tcPr>
            <w:tcW w:w="720" w:type="dxa"/>
            <w:tcBorders>
              <w:top w:val="single" w:sz="12" w:space="0" w:color="000000"/>
              <w:left w:val="single" w:sz="12" w:space="0" w:color="000000"/>
              <w:bottom w:val="single" w:sz="4" w:space="0" w:color="000000"/>
              <w:right w:val="single" w:sz="12" w:space="0" w:color="000000"/>
            </w:tcBorders>
          </w:tcPr>
          <w:p w14:paraId="145BA9CB" w14:textId="196A8614" w:rsidR="00ED0BF9" w:rsidRPr="0068567E" w:rsidRDefault="00A34F3B" w:rsidP="00766C30">
            <w:pPr>
              <w:spacing w:after="0" w:line="259" w:lineRule="auto"/>
              <w:ind w:left="0" w:right="45" w:firstLine="0"/>
              <w:jc w:val="center"/>
              <w:rPr>
                <w:sz w:val="18"/>
                <w:szCs w:val="18"/>
              </w:rPr>
            </w:pPr>
            <w:r w:rsidRPr="00192962">
              <w:rPr>
                <w:sz w:val="18"/>
                <w:szCs w:val="18"/>
              </w:rPr>
              <w:t>8327</w:t>
            </w:r>
          </w:p>
        </w:tc>
        <w:tc>
          <w:tcPr>
            <w:tcW w:w="538" w:type="dxa"/>
            <w:tcBorders>
              <w:top w:val="single" w:sz="12" w:space="0" w:color="000000"/>
              <w:left w:val="single" w:sz="12" w:space="0" w:color="000000"/>
              <w:bottom w:val="single" w:sz="4" w:space="0" w:color="000000"/>
              <w:right w:val="single" w:sz="12" w:space="0" w:color="000000"/>
            </w:tcBorders>
            <w:vAlign w:val="center"/>
          </w:tcPr>
          <w:p w14:paraId="1B8D9F59" w14:textId="77777777" w:rsidR="00ED0BF9" w:rsidRDefault="00ED0BF9" w:rsidP="00766C30">
            <w:pPr>
              <w:spacing w:after="0" w:line="259" w:lineRule="auto"/>
              <w:ind w:left="0" w:right="48" w:firstLine="0"/>
              <w:jc w:val="center"/>
            </w:pPr>
          </w:p>
        </w:tc>
      </w:tr>
      <w:tr w:rsidR="00EB2E0B" w14:paraId="2F5DB9A0" w14:textId="77777777" w:rsidTr="00AD4C91">
        <w:trPr>
          <w:trHeight w:val="250"/>
        </w:trPr>
        <w:tc>
          <w:tcPr>
            <w:tcW w:w="4230" w:type="dxa"/>
            <w:tcBorders>
              <w:top w:val="single" w:sz="4" w:space="0" w:color="000000"/>
              <w:left w:val="single" w:sz="12" w:space="0" w:color="000000"/>
              <w:bottom w:val="single" w:sz="4" w:space="0" w:color="000000"/>
              <w:right w:val="single" w:sz="12" w:space="0" w:color="000000"/>
            </w:tcBorders>
            <w:vAlign w:val="center"/>
          </w:tcPr>
          <w:p w14:paraId="25A82F0D" w14:textId="2FCF66C6" w:rsidR="00ED0BF9" w:rsidRPr="00ED7184" w:rsidRDefault="00B872E7">
            <w:pPr>
              <w:spacing w:after="0" w:line="259" w:lineRule="auto"/>
              <w:ind w:left="0" w:right="0" w:firstLine="0"/>
            </w:pPr>
            <w:r w:rsidRPr="00ED7184">
              <w:rPr>
                <w:sz w:val="18"/>
                <w:szCs w:val="18"/>
              </w:rPr>
              <w:t>Perfluoro-1-pentanesulfonic acid (</w:t>
            </w:r>
            <w:proofErr w:type="spellStart"/>
            <w:r w:rsidRPr="00ED7184">
              <w:rPr>
                <w:sz w:val="18"/>
                <w:szCs w:val="18"/>
              </w:rPr>
              <w:t>PFPeS</w:t>
            </w:r>
            <w:proofErr w:type="spellEnd"/>
            <w:r w:rsidRPr="00ED7184">
              <w:rPr>
                <w:sz w:val="18"/>
                <w:szCs w:val="18"/>
              </w:rPr>
              <w:t>)</w:t>
            </w:r>
          </w:p>
        </w:tc>
        <w:tc>
          <w:tcPr>
            <w:tcW w:w="1170" w:type="dxa"/>
            <w:tcBorders>
              <w:top w:val="single" w:sz="4" w:space="0" w:color="000000"/>
              <w:left w:val="single" w:sz="12" w:space="0" w:color="000000"/>
              <w:bottom w:val="single" w:sz="4" w:space="0" w:color="000000"/>
              <w:right w:val="single" w:sz="12" w:space="0" w:color="000000"/>
            </w:tcBorders>
            <w:vAlign w:val="center"/>
          </w:tcPr>
          <w:p w14:paraId="4021C21D" w14:textId="4E230C14" w:rsidR="00ED0BF9" w:rsidRDefault="00B872E7" w:rsidP="00766C30">
            <w:pPr>
              <w:spacing w:after="0" w:line="259" w:lineRule="auto"/>
              <w:ind w:left="0" w:right="44" w:firstLine="0"/>
              <w:jc w:val="center"/>
            </w:pPr>
            <w:r>
              <w:rPr>
                <w:sz w:val="18"/>
                <w:szCs w:val="18"/>
              </w:rPr>
              <w:t>2706-91-4</w:t>
            </w:r>
          </w:p>
        </w:tc>
        <w:tc>
          <w:tcPr>
            <w:tcW w:w="990" w:type="dxa"/>
            <w:tcBorders>
              <w:top w:val="single" w:sz="4" w:space="0" w:color="000000"/>
              <w:left w:val="single" w:sz="12" w:space="0" w:color="000000"/>
              <w:bottom w:val="single" w:sz="4" w:space="0" w:color="000000"/>
              <w:right w:val="single" w:sz="12" w:space="0" w:color="000000"/>
            </w:tcBorders>
          </w:tcPr>
          <w:p w14:paraId="6A20BBCF" w14:textId="3AB5F721" w:rsidR="00ED0BF9" w:rsidRPr="00A11E0C" w:rsidRDefault="00716C3F" w:rsidP="00766C30">
            <w:pPr>
              <w:tabs>
                <w:tab w:val="center" w:pos="467"/>
              </w:tabs>
              <w:spacing w:after="0" w:line="259" w:lineRule="auto"/>
              <w:ind w:left="0" w:right="0" w:firstLine="0"/>
              <w:jc w:val="center"/>
              <w:rPr>
                <w:sz w:val="18"/>
                <w:szCs w:val="18"/>
              </w:rPr>
            </w:pPr>
            <w:r w:rsidRPr="00E97FAF">
              <w:t>**</w:t>
            </w:r>
          </w:p>
        </w:tc>
        <w:tc>
          <w:tcPr>
            <w:tcW w:w="990" w:type="dxa"/>
            <w:tcBorders>
              <w:top w:val="single" w:sz="4" w:space="0" w:color="000000"/>
              <w:left w:val="single" w:sz="12" w:space="0" w:color="000000"/>
              <w:bottom w:val="single" w:sz="4" w:space="0" w:color="000000"/>
              <w:right w:val="single" w:sz="12" w:space="0" w:color="000000"/>
            </w:tcBorders>
          </w:tcPr>
          <w:p w14:paraId="04D1D5E9" w14:textId="77777777" w:rsidR="00ED0BF9" w:rsidRPr="000376D7" w:rsidRDefault="00ED0BF9" w:rsidP="00766C30">
            <w:pPr>
              <w:spacing w:after="0" w:line="259" w:lineRule="auto"/>
              <w:ind w:left="0" w:right="44" w:firstLine="0"/>
              <w:jc w:val="center"/>
            </w:pPr>
            <w:r w:rsidRPr="00430F48">
              <w:rPr>
                <w:sz w:val="18"/>
                <w:szCs w:val="18"/>
              </w:rPr>
              <w:t>ng/L</w:t>
            </w:r>
          </w:p>
        </w:tc>
        <w:tc>
          <w:tcPr>
            <w:tcW w:w="812" w:type="dxa"/>
            <w:tcBorders>
              <w:top w:val="single" w:sz="4" w:space="0" w:color="000000"/>
              <w:left w:val="single" w:sz="12" w:space="0" w:color="000000"/>
              <w:bottom w:val="single" w:sz="4" w:space="0" w:color="000000"/>
              <w:right w:val="single" w:sz="12" w:space="0" w:color="000000"/>
            </w:tcBorders>
          </w:tcPr>
          <w:p w14:paraId="0107F9BB" w14:textId="77A87CF3" w:rsidR="00ED0BF9" w:rsidRDefault="007D4508" w:rsidP="00766C30">
            <w:pPr>
              <w:tabs>
                <w:tab w:val="center" w:pos="379"/>
              </w:tabs>
              <w:spacing w:after="0" w:line="259" w:lineRule="auto"/>
              <w:ind w:left="0" w:right="0" w:firstLine="0"/>
              <w:jc w:val="center"/>
            </w:pPr>
            <w:r w:rsidRPr="00BF2E19">
              <w:rPr>
                <w:sz w:val="18"/>
                <w:szCs w:val="18"/>
              </w:rPr>
              <w:t>N/A</w:t>
            </w:r>
          </w:p>
        </w:tc>
        <w:tc>
          <w:tcPr>
            <w:tcW w:w="1080" w:type="dxa"/>
            <w:tcBorders>
              <w:top w:val="single" w:sz="4" w:space="0" w:color="000000"/>
              <w:left w:val="single" w:sz="12" w:space="0" w:color="000000"/>
              <w:bottom w:val="single" w:sz="4" w:space="0" w:color="000000"/>
              <w:right w:val="single" w:sz="12" w:space="0" w:color="000000"/>
            </w:tcBorders>
          </w:tcPr>
          <w:p w14:paraId="2A04233F" w14:textId="4B0E5A59" w:rsidR="00ED0BF9" w:rsidRDefault="007D4508" w:rsidP="00766C30">
            <w:pPr>
              <w:spacing w:after="0" w:line="259" w:lineRule="auto"/>
              <w:ind w:left="0" w:right="46" w:firstLine="0"/>
              <w:jc w:val="center"/>
            </w:pPr>
            <w:r w:rsidRPr="00BF2E19">
              <w:rPr>
                <w:sz w:val="18"/>
                <w:szCs w:val="18"/>
              </w:rPr>
              <w:t>N/A</w:t>
            </w:r>
          </w:p>
        </w:tc>
        <w:tc>
          <w:tcPr>
            <w:tcW w:w="720" w:type="dxa"/>
            <w:tcBorders>
              <w:top w:val="single" w:sz="4" w:space="0" w:color="000000"/>
              <w:left w:val="single" w:sz="12" w:space="0" w:color="000000"/>
              <w:bottom w:val="single" w:sz="4" w:space="0" w:color="000000"/>
              <w:right w:val="single" w:sz="12" w:space="0" w:color="000000"/>
            </w:tcBorders>
          </w:tcPr>
          <w:p w14:paraId="7BC8F715" w14:textId="26A6611E" w:rsidR="00ED0BF9" w:rsidRDefault="00A34F3B" w:rsidP="00766C30">
            <w:pPr>
              <w:spacing w:after="0" w:line="259" w:lineRule="auto"/>
              <w:ind w:left="0" w:right="45" w:firstLine="0"/>
              <w:jc w:val="center"/>
            </w:pPr>
            <w:r w:rsidRPr="00192962">
              <w:rPr>
                <w:sz w:val="18"/>
                <w:szCs w:val="18"/>
              </w:rPr>
              <w:t>8327</w:t>
            </w:r>
          </w:p>
        </w:tc>
        <w:tc>
          <w:tcPr>
            <w:tcW w:w="538" w:type="dxa"/>
            <w:tcBorders>
              <w:top w:val="single" w:sz="4" w:space="0" w:color="000000"/>
              <w:left w:val="single" w:sz="12" w:space="0" w:color="000000"/>
              <w:bottom w:val="single" w:sz="4" w:space="0" w:color="000000"/>
              <w:right w:val="single" w:sz="12" w:space="0" w:color="000000"/>
            </w:tcBorders>
            <w:vAlign w:val="center"/>
          </w:tcPr>
          <w:p w14:paraId="67BBEC1B" w14:textId="77777777" w:rsidR="00ED0BF9" w:rsidRDefault="00ED0BF9" w:rsidP="00766C30">
            <w:pPr>
              <w:spacing w:after="0" w:line="259" w:lineRule="auto"/>
              <w:ind w:left="0" w:right="48" w:firstLine="0"/>
              <w:jc w:val="center"/>
            </w:pPr>
          </w:p>
        </w:tc>
      </w:tr>
      <w:tr w:rsidR="00EB2E0B" w14:paraId="4C7BB49F" w14:textId="77777777" w:rsidTr="00AD4C91">
        <w:trPr>
          <w:trHeight w:val="250"/>
        </w:trPr>
        <w:tc>
          <w:tcPr>
            <w:tcW w:w="4230" w:type="dxa"/>
            <w:tcBorders>
              <w:top w:val="single" w:sz="4" w:space="0" w:color="000000"/>
              <w:left w:val="single" w:sz="12" w:space="0" w:color="000000"/>
              <w:bottom w:val="single" w:sz="4" w:space="0" w:color="000000"/>
              <w:right w:val="single" w:sz="12" w:space="0" w:color="000000"/>
            </w:tcBorders>
            <w:vAlign w:val="center"/>
          </w:tcPr>
          <w:p w14:paraId="39A70598" w14:textId="72A607D7" w:rsidR="00ED0BF9" w:rsidRPr="00ED7184" w:rsidRDefault="003C5AE2">
            <w:pPr>
              <w:spacing w:after="0" w:line="259" w:lineRule="auto"/>
              <w:ind w:left="0" w:right="0" w:firstLine="0"/>
            </w:pPr>
            <w:r w:rsidRPr="00ED7184">
              <w:rPr>
                <w:sz w:val="18"/>
                <w:szCs w:val="18"/>
              </w:rPr>
              <w:t>Perfluoro-1-hexanesulfonic acid (</w:t>
            </w:r>
            <w:proofErr w:type="spellStart"/>
            <w:r w:rsidRPr="00ED7184">
              <w:rPr>
                <w:sz w:val="18"/>
                <w:szCs w:val="18"/>
              </w:rPr>
              <w:t>PFHxS</w:t>
            </w:r>
            <w:proofErr w:type="spellEnd"/>
            <w:r w:rsidRPr="00ED7184">
              <w:rPr>
                <w:sz w:val="18"/>
                <w:szCs w:val="18"/>
              </w:rPr>
              <w:t>)</w:t>
            </w:r>
          </w:p>
        </w:tc>
        <w:tc>
          <w:tcPr>
            <w:tcW w:w="1170" w:type="dxa"/>
            <w:tcBorders>
              <w:top w:val="single" w:sz="4" w:space="0" w:color="000000"/>
              <w:left w:val="single" w:sz="12" w:space="0" w:color="000000"/>
              <w:bottom w:val="single" w:sz="4" w:space="0" w:color="000000"/>
              <w:right w:val="single" w:sz="12" w:space="0" w:color="000000"/>
            </w:tcBorders>
            <w:vAlign w:val="center"/>
          </w:tcPr>
          <w:p w14:paraId="578E6339" w14:textId="315DEB1B" w:rsidR="00ED0BF9" w:rsidRDefault="003C5AE2" w:rsidP="00766C30">
            <w:pPr>
              <w:spacing w:after="0" w:line="259" w:lineRule="auto"/>
              <w:ind w:left="0" w:right="44" w:firstLine="0"/>
              <w:jc w:val="center"/>
            </w:pPr>
            <w:r>
              <w:rPr>
                <w:sz w:val="18"/>
                <w:szCs w:val="18"/>
              </w:rPr>
              <w:t>355-46-4</w:t>
            </w:r>
          </w:p>
        </w:tc>
        <w:tc>
          <w:tcPr>
            <w:tcW w:w="990" w:type="dxa"/>
            <w:tcBorders>
              <w:top w:val="single" w:sz="4" w:space="0" w:color="000000"/>
              <w:left w:val="single" w:sz="12" w:space="0" w:color="000000"/>
              <w:bottom w:val="single" w:sz="4" w:space="0" w:color="000000"/>
              <w:right w:val="single" w:sz="12" w:space="0" w:color="000000"/>
            </w:tcBorders>
          </w:tcPr>
          <w:p w14:paraId="0C8154BB" w14:textId="2B10723A" w:rsidR="00ED0BF9" w:rsidRPr="00766C30" w:rsidRDefault="00716C3F" w:rsidP="00766C30">
            <w:pPr>
              <w:tabs>
                <w:tab w:val="center" w:pos="534"/>
              </w:tabs>
              <w:spacing w:after="0" w:line="259" w:lineRule="auto"/>
              <w:ind w:left="0" w:right="0" w:firstLine="0"/>
              <w:jc w:val="center"/>
              <w:rPr>
                <w:b/>
                <w:sz w:val="18"/>
                <w:szCs w:val="18"/>
              </w:rPr>
            </w:pPr>
            <w:r w:rsidRPr="00E97FAF">
              <w:t>**</w:t>
            </w:r>
          </w:p>
        </w:tc>
        <w:tc>
          <w:tcPr>
            <w:tcW w:w="990" w:type="dxa"/>
            <w:tcBorders>
              <w:top w:val="single" w:sz="4" w:space="0" w:color="000000"/>
              <w:left w:val="single" w:sz="12" w:space="0" w:color="000000"/>
              <w:bottom w:val="single" w:sz="4" w:space="0" w:color="000000"/>
              <w:right w:val="single" w:sz="12" w:space="0" w:color="000000"/>
            </w:tcBorders>
          </w:tcPr>
          <w:p w14:paraId="589C474C" w14:textId="77777777" w:rsidR="00ED0BF9" w:rsidRPr="000376D7" w:rsidRDefault="00ED0BF9" w:rsidP="00766C30">
            <w:pPr>
              <w:spacing w:after="0" w:line="259" w:lineRule="auto"/>
              <w:ind w:left="0" w:right="44" w:firstLine="0"/>
              <w:jc w:val="center"/>
            </w:pPr>
            <w:r w:rsidRPr="00430F48">
              <w:rPr>
                <w:sz w:val="18"/>
                <w:szCs w:val="18"/>
              </w:rPr>
              <w:t>ng/L</w:t>
            </w:r>
          </w:p>
        </w:tc>
        <w:tc>
          <w:tcPr>
            <w:tcW w:w="812" w:type="dxa"/>
            <w:tcBorders>
              <w:top w:val="single" w:sz="4" w:space="0" w:color="000000"/>
              <w:left w:val="single" w:sz="12" w:space="0" w:color="000000"/>
              <w:bottom w:val="single" w:sz="4" w:space="0" w:color="000000"/>
              <w:right w:val="single" w:sz="12" w:space="0" w:color="000000"/>
            </w:tcBorders>
          </w:tcPr>
          <w:p w14:paraId="7E6825BE" w14:textId="15CE634D" w:rsidR="00ED0BF9" w:rsidRDefault="007D4508" w:rsidP="00766C30">
            <w:pPr>
              <w:tabs>
                <w:tab w:val="center" w:pos="445"/>
              </w:tabs>
              <w:spacing w:after="0" w:line="259" w:lineRule="auto"/>
              <w:ind w:left="0" w:right="0" w:firstLine="0"/>
              <w:jc w:val="center"/>
            </w:pPr>
            <w:r w:rsidRPr="00BF2E19">
              <w:rPr>
                <w:sz w:val="18"/>
                <w:szCs w:val="18"/>
              </w:rPr>
              <w:t>N/A</w:t>
            </w:r>
          </w:p>
        </w:tc>
        <w:tc>
          <w:tcPr>
            <w:tcW w:w="1080" w:type="dxa"/>
            <w:tcBorders>
              <w:top w:val="single" w:sz="4" w:space="0" w:color="000000"/>
              <w:left w:val="single" w:sz="12" w:space="0" w:color="000000"/>
              <w:bottom w:val="single" w:sz="4" w:space="0" w:color="000000"/>
              <w:right w:val="single" w:sz="12" w:space="0" w:color="000000"/>
            </w:tcBorders>
          </w:tcPr>
          <w:p w14:paraId="7C7CE2E1" w14:textId="00ACF309" w:rsidR="00ED0BF9" w:rsidRDefault="007D4508" w:rsidP="00766C30">
            <w:pPr>
              <w:spacing w:after="0" w:line="259" w:lineRule="auto"/>
              <w:ind w:left="0" w:right="46" w:firstLine="0"/>
              <w:jc w:val="center"/>
            </w:pPr>
            <w:r w:rsidRPr="00BF2E19">
              <w:rPr>
                <w:sz w:val="18"/>
                <w:szCs w:val="18"/>
              </w:rPr>
              <w:t>N/A</w:t>
            </w:r>
          </w:p>
        </w:tc>
        <w:tc>
          <w:tcPr>
            <w:tcW w:w="720" w:type="dxa"/>
            <w:tcBorders>
              <w:top w:val="single" w:sz="4" w:space="0" w:color="000000"/>
              <w:left w:val="single" w:sz="12" w:space="0" w:color="000000"/>
              <w:bottom w:val="single" w:sz="4" w:space="0" w:color="000000"/>
              <w:right w:val="single" w:sz="12" w:space="0" w:color="000000"/>
            </w:tcBorders>
          </w:tcPr>
          <w:p w14:paraId="5E18D17D" w14:textId="57E88A0C" w:rsidR="00ED0BF9" w:rsidRDefault="00A34F3B" w:rsidP="00766C30">
            <w:pPr>
              <w:spacing w:after="0" w:line="259" w:lineRule="auto"/>
              <w:ind w:left="0" w:right="45" w:firstLine="0"/>
              <w:jc w:val="center"/>
            </w:pPr>
            <w:r w:rsidRPr="00192962">
              <w:rPr>
                <w:sz w:val="18"/>
                <w:szCs w:val="18"/>
              </w:rPr>
              <w:t>8327</w:t>
            </w:r>
          </w:p>
        </w:tc>
        <w:tc>
          <w:tcPr>
            <w:tcW w:w="538" w:type="dxa"/>
            <w:tcBorders>
              <w:top w:val="single" w:sz="4" w:space="0" w:color="000000"/>
              <w:left w:val="single" w:sz="12" w:space="0" w:color="000000"/>
              <w:bottom w:val="single" w:sz="4" w:space="0" w:color="000000"/>
              <w:right w:val="single" w:sz="12" w:space="0" w:color="000000"/>
            </w:tcBorders>
            <w:vAlign w:val="center"/>
          </w:tcPr>
          <w:p w14:paraId="79299D12" w14:textId="77777777" w:rsidR="00ED0BF9" w:rsidRDefault="00ED0BF9" w:rsidP="00766C30">
            <w:pPr>
              <w:spacing w:after="0" w:line="259" w:lineRule="auto"/>
              <w:ind w:left="0" w:right="48" w:firstLine="0"/>
              <w:jc w:val="center"/>
            </w:pPr>
          </w:p>
        </w:tc>
      </w:tr>
      <w:tr w:rsidR="00EB2E0B" w14:paraId="5D1DCF28" w14:textId="77777777" w:rsidTr="00AD4C91">
        <w:trPr>
          <w:trHeight w:val="250"/>
        </w:trPr>
        <w:tc>
          <w:tcPr>
            <w:tcW w:w="4230" w:type="dxa"/>
            <w:tcBorders>
              <w:top w:val="single" w:sz="4" w:space="0" w:color="000000"/>
              <w:left w:val="single" w:sz="12" w:space="0" w:color="000000"/>
              <w:bottom w:val="single" w:sz="4" w:space="0" w:color="000000"/>
              <w:right w:val="single" w:sz="12" w:space="0" w:color="000000"/>
            </w:tcBorders>
            <w:vAlign w:val="center"/>
          </w:tcPr>
          <w:p w14:paraId="40CD25FB" w14:textId="07D87F93" w:rsidR="00ED0BF9" w:rsidRPr="00ED7184" w:rsidRDefault="003C5AE2">
            <w:pPr>
              <w:spacing w:after="0" w:line="259" w:lineRule="auto"/>
              <w:ind w:left="0" w:right="0" w:firstLine="0"/>
            </w:pPr>
            <w:r w:rsidRPr="00ED7184">
              <w:rPr>
                <w:sz w:val="18"/>
                <w:szCs w:val="18"/>
              </w:rPr>
              <w:t>Perfluoro-1-heptanesulfonic acid (</w:t>
            </w:r>
            <w:proofErr w:type="spellStart"/>
            <w:r w:rsidRPr="00ED7184">
              <w:rPr>
                <w:sz w:val="18"/>
                <w:szCs w:val="18"/>
              </w:rPr>
              <w:t>PFHpS</w:t>
            </w:r>
            <w:proofErr w:type="spellEnd"/>
            <w:r w:rsidRPr="00ED7184">
              <w:rPr>
                <w:sz w:val="18"/>
                <w:szCs w:val="18"/>
              </w:rPr>
              <w:t>)</w:t>
            </w:r>
          </w:p>
        </w:tc>
        <w:tc>
          <w:tcPr>
            <w:tcW w:w="1170" w:type="dxa"/>
            <w:tcBorders>
              <w:top w:val="single" w:sz="4" w:space="0" w:color="000000"/>
              <w:left w:val="single" w:sz="12" w:space="0" w:color="000000"/>
              <w:bottom w:val="single" w:sz="4" w:space="0" w:color="000000"/>
              <w:right w:val="single" w:sz="12" w:space="0" w:color="000000"/>
            </w:tcBorders>
            <w:vAlign w:val="center"/>
          </w:tcPr>
          <w:p w14:paraId="1936EF71" w14:textId="4D6AA9A9" w:rsidR="00ED0BF9" w:rsidRDefault="003C5AE2" w:rsidP="00766C30">
            <w:pPr>
              <w:spacing w:after="0" w:line="259" w:lineRule="auto"/>
              <w:ind w:left="0" w:right="44" w:firstLine="0"/>
              <w:jc w:val="center"/>
            </w:pPr>
            <w:r>
              <w:rPr>
                <w:sz w:val="18"/>
                <w:szCs w:val="18"/>
              </w:rPr>
              <w:t>375-92-8</w:t>
            </w:r>
          </w:p>
        </w:tc>
        <w:tc>
          <w:tcPr>
            <w:tcW w:w="990" w:type="dxa"/>
            <w:tcBorders>
              <w:top w:val="single" w:sz="4" w:space="0" w:color="000000"/>
              <w:left w:val="single" w:sz="12" w:space="0" w:color="000000"/>
              <w:bottom w:val="single" w:sz="4" w:space="0" w:color="000000"/>
              <w:right w:val="single" w:sz="12" w:space="0" w:color="000000"/>
            </w:tcBorders>
          </w:tcPr>
          <w:p w14:paraId="6B8C930C" w14:textId="575E45F8" w:rsidR="00ED0BF9" w:rsidRPr="00A11E0C" w:rsidRDefault="00716C3F" w:rsidP="00766C30">
            <w:pPr>
              <w:tabs>
                <w:tab w:val="center" w:pos="534"/>
              </w:tabs>
              <w:spacing w:after="0" w:line="259" w:lineRule="auto"/>
              <w:ind w:left="0" w:right="0" w:firstLine="0"/>
              <w:jc w:val="center"/>
              <w:rPr>
                <w:sz w:val="18"/>
                <w:szCs w:val="18"/>
              </w:rPr>
            </w:pPr>
            <w:r w:rsidRPr="00E97FAF">
              <w:t>**</w:t>
            </w:r>
          </w:p>
        </w:tc>
        <w:tc>
          <w:tcPr>
            <w:tcW w:w="990" w:type="dxa"/>
            <w:tcBorders>
              <w:top w:val="single" w:sz="4" w:space="0" w:color="000000"/>
              <w:left w:val="single" w:sz="12" w:space="0" w:color="000000"/>
              <w:bottom w:val="single" w:sz="4" w:space="0" w:color="000000"/>
              <w:right w:val="single" w:sz="12" w:space="0" w:color="000000"/>
            </w:tcBorders>
          </w:tcPr>
          <w:p w14:paraId="0AF21AC4" w14:textId="77777777" w:rsidR="00ED0BF9" w:rsidRPr="000376D7" w:rsidRDefault="00ED0BF9" w:rsidP="00766C30">
            <w:pPr>
              <w:spacing w:after="0" w:line="259" w:lineRule="auto"/>
              <w:ind w:left="0" w:right="44" w:firstLine="0"/>
              <w:jc w:val="center"/>
            </w:pPr>
            <w:r w:rsidRPr="00430F48">
              <w:rPr>
                <w:sz w:val="18"/>
                <w:szCs w:val="18"/>
              </w:rPr>
              <w:t>ng/L</w:t>
            </w:r>
          </w:p>
        </w:tc>
        <w:tc>
          <w:tcPr>
            <w:tcW w:w="812" w:type="dxa"/>
            <w:tcBorders>
              <w:top w:val="single" w:sz="4" w:space="0" w:color="000000"/>
              <w:left w:val="single" w:sz="12" w:space="0" w:color="000000"/>
              <w:bottom w:val="single" w:sz="4" w:space="0" w:color="000000"/>
              <w:right w:val="single" w:sz="12" w:space="0" w:color="000000"/>
            </w:tcBorders>
          </w:tcPr>
          <w:p w14:paraId="04F977CC" w14:textId="29C43F8A" w:rsidR="00ED0BF9" w:rsidRDefault="007D4508" w:rsidP="00766C30">
            <w:pPr>
              <w:tabs>
                <w:tab w:val="center" w:pos="445"/>
              </w:tabs>
              <w:spacing w:after="0" w:line="259" w:lineRule="auto"/>
              <w:ind w:left="0" w:right="0" w:firstLine="0"/>
              <w:jc w:val="center"/>
            </w:pPr>
            <w:r w:rsidRPr="00BF2E19">
              <w:rPr>
                <w:sz w:val="18"/>
                <w:szCs w:val="18"/>
              </w:rPr>
              <w:t>N/A</w:t>
            </w:r>
          </w:p>
        </w:tc>
        <w:tc>
          <w:tcPr>
            <w:tcW w:w="1080" w:type="dxa"/>
            <w:tcBorders>
              <w:top w:val="single" w:sz="4" w:space="0" w:color="000000"/>
              <w:left w:val="single" w:sz="12" w:space="0" w:color="000000"/>
              <w:bottom w:val="single" w:sz="4" w:space="0" w:color="000000"/>
              <w:right w:val="single" w:sz="12" w:space="0" w:color="000000"/>
            </w:tcBorders>
          </w:tcPr>
          <w:p w14:paraId="71756F20" w14:textId="05F44690" w:rsidR="00ED0BF9" w:rsidRDefault="007D4508" w:rsidP="00766C30">
            <w:pPr>
              <w:spacing w:after="0" w:line="259" w:lineRule="auto"/>
              <w:ind w:left="0" w:right="46" w:firstLine="0"/>
              <w:jc w:val="center"/>
            </w:pPr>
            <w:r w:rsidRPr="00BF2E19">
              <w:rPr>
                <w:sz w:val="18"/>
                <w:szCs w:val="18"/>
              </w:rPr>
              <w:t>N/A</w:t>
            </w:r>
          </w:p>
        </w:tc>
        <w:tc>
          <w:tcPr>
            <w:tcW w:w="720" w:type="dxa"/>
            <w:tcBorders>
              <w:top w:val="single" w:sz="4" w:space="0" w:color="000000"/>
              <w:left w:val="single" w:sz="12" w:space="0" w:color="000000"/>
              <w:bottom w:val="single" w:sz="4" w:space="0" w:color="000000"/>
              <w:right w:val="single" w:sz="12" w:space="0" w:color="000000"/>
            </w:tcBorders>
          </w:tcPr>
          <w:p w14:paraId="41350A4C" w14:textId="0F04D983" w:rsidR="00ED0BF9" w:rsidRDefault="00A34F3B" w:rsidP="00766C30">
            <w:pPr>
              <w:spacing w:after="0" w:line="259" w:lineRule="auto"/>
              <w:ind w:left="0" w:right="45" w:firstLine="0"/>
              <w:jc w:val="center"/>
            </w:pPr>
            <w:r w:rsidRPr="00192962">
              <w:rPr>
                <w:sz w:val="18"/>
                <w:szCs w:val="18"/>
              </w:rPr>
              <w:t>8327</w:t>
            </w:r>
          </w:p>
        </w:tc>
        <w:tc>
          <w:tcPr>
            <w:tcW w:w="538" w:type="dxa"/>
            <w:tcBorders>
              <w:top w:val="single" w:sz="4" w:space="0" w:color="000000"/>
              <w:left w:val="single" w:sz="12" w:space="0" w:color="000000"/>
              <w:bottom w:val="single" w:sz="4" w:space="0" w:color="000000"/>
              <w:right w:val="single" w:sz="12" w:space="0" w:color="000000"/>
            </w:tcBorders>
            <w:vAlign w:val="center"/>
          </w:tcPr>
          <w:p w14:paraId="2AD8E033" w14:textId="77777777" w:rsidR="00ED0BF9" w:rsidRDefault="00ED0BF9" w:rsidP="00766C30">
            <w:pPr>
              <w:spacing w:after="0" w:line="259" w:lineRule="auto"/>
              <w:ind w:left="0" w:right="48" w:firstLine="0"/>
              <w:jc w:val="center"/>
            </w:pPr>
          </w:p>
        </w:tc>
      </w:tr>
      <w:tr w:rsidR="00EB2E0B" w14:paraId="34FA9411" w14:textId="77777777" w:rsidTr="00AD4C91">
        <w:trPr>
          <w:trHeight w:val="252"/>
        </w:trPr>
        <w:tc>
          <w:tcPr>
            <w:tcW w:w="4230" w:type="dxa"/>
            <w:tcBorders>
              <w:top w:val="single" w:sz="4" w:space="0" w:color="000000"/>
              <w:left w:val="single" w:sz="12" w:space="0" w:color="000000"/>
              <w:bottom w:val="single" w:sz="4" w:space="0" w:color="000000"/>
              <w:right w:val="single" w:sz="12" w:space="0" w:color="000000"/>
            </w:tcBorders>
            <w:vAlign w:val="center"/>
          </w:tcPr>
          <w:p w14:paraId="5BA10812" w14:textId="605F3FF5" w:rsidR="00ED0BF9" w:rsidRPr="00E24854" w:rsidRDefault="000A2FF3">
            <w:pPr>
              <w:spacing w:after="0" w:line="259" w:lineRule="auto"/>
              <w:ind w:left="0" w:right="0" w:firstLine="0"/>
            </w:pPr>
            <w:r w:rsidRPr="00E24854">
              <w:rPr>
                <w:sz w:val="18"/>
                <w:szCs w:val="18"/>
              </w:rPr>
              <w:t>Perfluoro-1-octanesulfonic acid (PFOS)</w:t>
            </w:r>
          </w:p>
        </w:tc>
        <w:tc>
          <w:tcPr>
            <w:tcW w:w="1170" w:type="dxa"/>
            <w:tcBorders>
              <w:top w:val="single" w:sz="4" w:space="0" w:color="000000"/>
              <w:left w:val="single" w:sz="12" w:space="0" w:color="000000"/>
              <w:bottom w:val="single" w:sz="4" w:space="0" w:color="000000"/>
              <w:right w:val="single" w:sz="12" w:space="0" w:color="000000"/>
            </w:tcBorders>
            <w:vAlign w:val="center"/>
          </w:tcPr>
          <w:p w14:paraId="4BBF92E0" w14:textId="17D2DA29" w:rsidR="00ED0BF9" w:rsidRDefault="000A2FF3" w:rsidP="00766C30">
            <w:pPr>
              <w:spacing w:after="0" w:line="259" w:lineRule="auto"/>
              <w:ind w:left="0" w:right="44" w:firstLine="0"/>
              <w:jc w:val="center"/>
            </w:pPr>
            <w:r>
              <w:rPr>
                <w:sz w:val="18"/>
                <w:szCs w:val="18"/>
              </w:rPr>
              <w:t>1763-23-1</w:t>
            </w:r>
          </w:p>
        </w:tc>
        <w:tc>
          <w:tcPr>
            <w:tcW w:w="990" w:type="dxa"/>
            <w:tcBorders>
              <w:top w:val="single" w:sz="4" w:space="0" w:color="000000"/>
              <w:left w:val="single" w:sz="12" w:space="0" w:color="000000"/>
              <w:bottom w:val="single" w:sz="4" w:space="0" w:color="000000"/>
              <w:right w:val="single" w:sz="12" w:space="0" w:color="000000"/>
            </w:tcBorders>
          </w:tcPr>
          <w:p w14:paraId="0F726A47" w14:textId="04E595D6" w:rsidR="00ED0BF9" w:rsidRPr="0058250A" w:rsidRDefault="00716C3F" w:rsidP="00766C30">
            <w:pPr>
              <w:tabs>
                <w:tab w:val="center" w:pos="534"/>
              </w:tabs>
              <w:spacing w:after="0" w:line="259" w:lineRule="auto"/>
              <w:ind w:left="0" w:right="0" w:firstLine="0"/>
              <w:jc w:val="center"/>
              <w:rPr>
                <w:b/>
                <w:sz w:val="18"/>
                <w:szCs w:val="18"/>
              </w:rPr>
            </w:pPr>
            <w:r w:rsidRPr="00E97FAF">
              <w:t>**</w:t>
            </w:r>
          </w:p>
        </w:tc>
        <w:tc>
          <w:tcPr>
            <w:tcW w:w="990" w:type="dxa"/>
            <w:tcBorders>
              <w:top w:val="single" w:sz="4" w:space="0" w:color="000000"/>
              <w:left w:val="single" w:sz="12" w:space="0" w:color="000000"/>
              <w:bottom w:val="single" w:sz="4" w:space="0" w:color="000000"/>
              <w:right w:val="single" w:sz="12" w:space="0" w:color="000000"/>
            </w:tcBorders>
          </w:tcPr>
          <w:p w14:paraId="3363E389" w14:textId="77777777" w:rsidR="00ED0BF9" w:rsidRPr="000376D7" w:rsidRDefault="00ED0BF9" w:rsidP="00766C30">
            <w:pPr>
              <w:spacing w:after="0" w:line="259" w:lineRule="auto"/>
              <w:ind w:left="0" w:right="44" w:firstLine="0"/>
              <w:jc w:val="center"/>
            </w:pPr>
            <w:r w:rsidRPr="00430F48">
              <w:rPr>
                <w:sz w:val="18"/>
                <w:szCs w:val="18"/>
              </w:rPr>
              <w:t>ng/L</w:t>
            </w:r>
          </w:p>
        </w:tc>
        <w:tc>
          <w:tcPr>
            <w:tcW w:w="812" w:type="dxa"/>
            <w:tcBorders>
              <w:top w:val="single" w:sz="4" w:space="0" w:color="000000"/>
              <w:left w:val="single" w:sz="12" w:space="0" w:color="000000"/>
              <w:bottom w:val="single" w:sz="4" w:space="0" w:color="000000"/>
              <w:right w:val="single" w:sz="12" w:space="0" w:color="000000"/>
            </w:tcBorders>
          </w:tcPr>
          <w:p w14:paraId="1A1CCC06" w14:textId="68C65E4F" w:rsidR="00ED0BF9" w:rsidRDefault="007D4508" w:rsidP="00766C30">
            <w:pPr>
              <w:tabs>
                <w:tab w:val="center" w:pos="445"/>
              </w:tabs>
              <w:spacing w:after="0" w:line="259" w:lineRule="auto"/>
              <w:ind w:left="0" w:right="0" w:firstLine="0"/>
              <w:jc w:val="center"/>
            </w:pPr>
            <w:r w:rsidRPr="00BF2E19">
              <w:rPr>
                <w:sz w:val="18"/>
                <w:szCs w:val="18"/>
              </w:rPr>
              <w:t>N/A</w:t>
            </w:r>
          </w:p>
        </w:tc>
        <w:tc>
          <w:tcPr>
            <w:tcW w:w="1080" w:type="dxa"/>
            <w:tcBorders>
              <w:top w:val="single" w:sz="4" w:space="0" w:color="000000"/>
              <w:left w:val="single" w:sz="12" w:space="0" w:color="000000"/>
              <w:bottom w:val="single" w:sz="4" w:space="0" w:color="000000"/>
              <w:right w:val="single" w:sz="12" w:space="0" w:color="000000"/>
            </w:tcBorders>
          </w:tcPr>
          <w:p w14:paraId="5DCBC012" w14:textId="0743AED3" w:rsidR="00ED0BF9" w:rsidRDefault="007D4508" w:rsidP="00766C30">
            <w:pPr>
              <w:spacing w:after="0" w:line="259" w:lineRule="auto"/>
              <w:ind w:left="0" w:right="46" w:firstLine="0"/>
              <w:jc w:val="center"/>
            </w:pPr>
            <w:r w:rsidRPr="00BF2E19">
              <w:rPr>
                <w:sz w:val="18"/>
                <w:szCs w:val="18"/>
              </w:rPr>
              <w:t>N/A</w:t>
            </w:r>
          </w:p>
        </w:tc>
        <w:tc>
          <w:tcPr>
            <w:tcW w:w="720" w:type="dxa"/>
            <w:tcBorders>
              <w:top w:val="single" w:sz="4" w:space="0" w:color="000000"/>
              <w:left w:val="single" w:sz="12" w:space="0" w:color="000000"/>
              <w:bottom w:val="single" w:sz="4" w:space="0" w:color="000000"/>
              <w:right w:val="single" w:sz="12" w:space="0" w:color="000000"/>
            </w:tcBorders>
          </w:tcPr>
          <w:p w14:paraId="6C944DB9" w14:textId="48192053" w:rsidR="00ED0BF9" w:rsidRDefault="00A34F3B" w:rsidP="00766C30">
            <w:pPr>
              <w:spacing w:after="0" w:line="259" w:lineRule="auto"/>
              <w:ind w:left="0" w:right="45" w:firstLine="0"/>
              <w:jc w:val="center"/>
            </w:pPr>
            <w:r w:rsidRPr="00192962">
              <w:rPr>
                <w:sz w:val="18"/>
                <w:szCs w:val="18"/>
              </w:rPr>
              <w:t>8327</w:t>
            </w:r>
          </w:p>
        </w:tc>
        <w:tc>
          <w:tcPr>
            <w:tcW w:w="538" w:type="dxa"/>
            <w:tcBorders>
              <w:top w:val="single" w:sz="4" w:space="0" w:color="000000"/>
              <w:left w:val="single" w:sz="12" w:space="0" w:color="000000"/>
              <w:bottom w:val="single" w:sz="4" w:space="0" w:color="000000"/>
              <w:right w:val="single" w:sz="12" w:space="0" w:color="000000"/>
            </w:tcBorders>
            <w:vAlign w:val="center"/>
          </w:tcPr>
          <w:p w14:paraId="1076B496" w14:textId="77777777" w:rsidR="00ED0BF9" w:rsidRDefault="00ED0BF9" w:rsidP="00766C30">
            <w:pPr>
              <w:spacing w:after="0" w:line="259" w:lineRule="auto"/>
              <w:ind w:left="0" w:right="48" w:firstLine="0"/>
              <w:jc w:val="center"/>
            </w:pPr>
          </w:p>
        </w:tc>
      </w:tr>
      <w:tr w:rsidR="00EB2E0B" w14:paraId="3D760F73" w14:textId="77777777" w:rsidTr="00AD4C91">
        <w:trPr>
          <w:trHeight w:val="250"/>
        </w:trPr>
        <w:tc>
          <w:tcPr>
            <w:tcW w:w="4230" w:type="dxa"/>
            <w:tcBorders>
              <w:top w:val="single" w:sz="4" w:space="0" w:color="000000"/>
              <w:left w:val="single" w:sz="12" w:space="0" w:color="000000"/>
              <w:bottom w:val="single" w:sz="4" w:space="0" w:color="000000"/>
              <w:right w:val="single" w:sz="12" w:space="0" w:color="000000"/>
            </w:tcBorders>
            <w:vAlign w:val="center"/>
          </w:tcPr>
          <w:p w14:paraId="0C0F2526" w14:textId="0B194765" w:rsidR="00ED0BF9" w:rsidRPr="00E24854" w:rsidRDefault="000A2FF3">
            <w:pPr>
              <w:spacing w:after="0" w:line="259" w:lineRule="auto"/>
              <w:ind w:left="0" w:right="0" w:firstLine="0"/>
            </w:pPr>
            <w:r w:rsidRPr="00E24854">
              <w:rPr>
                <w:sz w:val="18"/>
                <w:szCs w:val="18"/>
              </w:rPr>
              <w:t>Perfluoro-1-nonanesulfonic acid (PFNS)</w:t>
            </w:r>
          </w:p>
        </w:tc>
        <w:tc>
          <w:tcPr>
            <w:tcW w:w="1170" w:type="dxa"/>
            <w:tcBorders>
              <w:top w:val="single" w:sz="4" w:space="0" w:color="000000"/>
              <w:left w:val="single" w:sz="12" w:space="0" w:color="000000"/>
              <w:bottom w:val="single" w:sz="4" w:space="0" w:color="000000"/>
              <w:right w:val="single" w:sz="12" w:space="0" w:color="000000"/>
            </w:tcBorders>
            <w:vAlign w:val="center"/>
          </w:tcPr>
          <w:p w14:paraId="3C10D588" w14:textId="3F68410C" w:rsidR="00ED0BF9" w:rsidRDefault="000A2FF3" w:rsidP="00766C30">
            <w:pPr>
              <w:spacing w:after="0" w:line="259" w:lineRule="auto"/>
              <w:ind w:left="0" w:right="44" w:firstLine="0"/>
              <w:jc w:val="center"/>
            </w:pPr>
            <w:r>
              <w:rPr>
                <w:sz w:val="18"/>
                <w:szCs w:val="18"/>
              </w:rPr>
              <w:t>68259-12-1</w:t>
            </w:r>
          </w:p>
        </w:tc>
        <w:tc>
          <w:tcPr>
            <w:tcW w:w="990" w:type="dxa"/>
            <w:tcBorders>
              <w:top w:val="single" w:sz="4" w:space="0" w:color="000000"/>
              <w:left w:val="single" w:sz="12" w:space="0" w:color="000000"/>
              <w:bottom w:val="single" w:sz="4" w:space="0" w:color="000000"/>
              <w:right w:val="single" w:sz="12" w:space="0" w:color="000000"/>
            </w:tcBorders>
          </w:tcPr>
          <w:p w14:paraId="6CDC9B1E" w14:textId="71308CA1" w:rsidR="00ED0BF9" w:rsidRPr="00A11E0C" w:rsidRDefault="00716C3F" w:rsidP="00766C30">
            <w:pPr>
              <w:tabs>
                <w:tab w:val="center" w:pos="534"/>
              </w:tabs>
              <w:spacing w:after="0" w:line="259" w:lineRule="auto"/>
              <w:ind w:left="0" w:right="0" w:firstLine="0"/>
              <w:jc w:val="center"/>
              <w:rPr>
                <w:sz w:val="18"/>
                <w:szCs w:val="18"/>
              </w:rPr>
            </w:pPr>
            <w:r w:rsidRPr="00E97FAF">
              <w:t>**</w:t>
            </w:r>
          </w:p>
        </w:tc>
        <w:tc>
          <w:tcPr>
            <w:tcW w:w="990" w:type="dxa"/>
            <w:tcBorders>
              <w:top w:val="single" w:sz="4" w:space="0" w:color="000000"/>
              <w:left w:val="single" w:sz="12" w:space="0" w:color="000000"/>
              <w:bottom w:val="single" w:sz="4" w:space="0" w:color="000000"/>
              <w:right w:val="single" w:sz="12" w:space="0" w:color="000000"/>
            </w:tcBorders>
          </w:tcPr>
          <w:p w14:paraId="6637D07F" w14:textId="77777777" w:rsidR="00ED0BF9" w:rsidRPr="000376D7" w:rsidRDefault="00ED0BF9" w:rsidP="00766C30">
            <w:pPr>
              <w:spacing w:after="0" w:line="259" w:lineRule="auto"/>
              <w:ind w:left="0" w:right="44" w:firstLine="0"/>
              <w:jc w:val="center"/>
            </w:pPr>
            <w:r w:rsidRPr="00430F48">
              <w:rPr>
                <w:sz w:val="18"/>
                <w:szCs w:val="18"/>
              </w:rPr>
              <w:t>ng/L</w:t>
            </w:r>
          </w:p>
        </w:tc>
        <w:tc>
          <w:tcPr>
            <w:tcW w:w="812" w:type="dxa"/>
            <w:tcBorders>
              <w:top w:val="single" w:sz="4" w:space="0" w:color="000000"/>
              <w:left w:val="single" w:sz="12" w:space="0" w:color="000000"/>
              <w:bottom w:val="single" w:sz="4" w:space="0" w:color="000000"/>
              <w:right w:val="single" w:sz="12" w:space="0" w:color="000000"/>
            </w:tcBorders>
          </w:tcPr>
          <w:p w14:paraId="0646890F" w14:textId="1D1CD9FD" w:rsidR="00ED0BF9" w:rsidRDefault="007D4508" w:rsidP="00766C30">
            <w:pPr>
              <w:tabs>
                <w:tab w:val="center" w:pos="399"/>
              </w:tabs>
              <w:spacing w:after="0" w:line="259" w:lineRule="auto"/>
              <w:ind w:left="0" w:right="0" w:firstLine="0"/>
              <w:jc w:val="center"/>
            </w:pPr>
            <w:r w:rsidRPr="00BF2E19">
              <w:rPr>
                <w:sz w:val="18"/>
                <w:szCs w:val="18"/>
              </w:rPr>
              <w:t>N/A</w:t>
            </w:r>
          </w:p>
        </w:tc>
        <w:tc>
          <w:tcPr>
            <w:tcW w:w="1080" w:type="dxa"/>
            <w:tcBorders>
              <w:top w:val="single" w:sz="4" w:space="0" w:color="000000"/>
              <w:left w:val="single" w:sz="12" w:space="0" w:color="000000"/>
              <w:bottom w:val="single" w:sz="4" w:space="0" w:color="000000"/>
              <w:right w:val="single" w:sz="12" w:space="0" w:color="000000"/>
            </w:tcBorders>
          </w:tcPr>
          <w:p w14:paraId="5B04ADA9" w14:textId="4A968F94" w:rsidR="00ED0BF9" w:rsidRDefault="007D4508" w:rsidP="00766C30">
            <w:pPr>
              <w:spacing w:after="0" w:line="259" w:lineRule="auto"/>
              <w:ind w:left="0" w:right="46" w:firstLine="0"/>
              <w:jc w:val="center"/>
            </w:pPr>
            <w:r w:rsidRPr="00BF2E19">
              <w:rPr>
                <w:sz w:val="18"/>
                <w:szCs w:val="18"/>
              </w:rPr>
              <w:t>N/A</w:t>
            </w:r>
          </w:p>
        </w:tc>
        <w:tc>
          <w:tcPr>
            <w:tcW w:w="720" w:type="dxa"/>
            <w:tcBorders>
              <w:top w:val="single" w:sz="4" w:space="0" w:color="000000"/>
              <w:left w:val="single" w:sz="12" w:space="0" w:color="000000"/>
              <w:bottom w:val="single" w:sz="4" w:space="0" w:color="000000"/>
              <w:right w:val="single" w:sz="12" w:space="0" w:color="000000"/>
            </w:tcBorders>
          </w:tcPr>
          <w:p w14:paraId="5D87027C" w14:textId="06F9F0AA" w:rsidR="00ED0BF9" w:rsidRDefault="00A34F3B" w:rsidP="00766C30">
            <w:pPr>
              <w:spacing w:after="0" w:line="259" w:lineRule="auto"/>
              <w:ind w:left="0" w:right="45" w:firstLine="0"/>
              <w:jc w:val="center"/>
            </w:pPr>
            <w:r w:rsidRPr="00192962">
              <w:rPr>
                <w:sz w:val="18"/>
                <w:szCs w:val="18"/>
              </w:rPr>
              <w:t>8327</w:t>
            </w:r>
          </w:p>
        </w:tc>
        <w:tc>
          <w:tcPr>
            <w:tcW w:w="538" w:type="dxa"/>
            <w:tcBorders>
              <w:top w:val="single" w:sz="4" w:space="0" w:color="000000"/>
              <w:left w:val="single" w:sz="12" w:space="0" w:color="000000"/>
              <w:bottom w:val="single" w:sz="4" w:space="0" w:color="000000"/>
              <w:right w:val="single" w:sz="12" w:space="0" w:color="000000"/>
            </w:tcBorders>
            <w:vAlign w:val="center"/>
          </w:tcPr>
          <w:p w14:paraId="1F7743F0" w14:textId="77777777" w:rsidR="00ED0BF9" w:rsidRDefault="00ED0BF9" w:rsidP="00766C30">
            <w:pPr>
              <w:spacing w:after="0" w:line="259" w:lineRule="auto"/>
              <w:ind w:left="0" w:right="48" w:firstLine="0"/>
              <w:jc w:val="center"/>
            </w:pPr>
          </w:p>
        </w:tc>
      </w:tr>
      <w:tr w:rsidR="00EB2E0B" w14:paraId="2E97CC51" w14:textId="77777777" w:rsidTr="00AD4C91">
        <w:trPr>
          <w:trHeight w:val="250"/>
        </w:trPr>
        <w:tc>
          <w:tcPr>
            <w:tcW w:w="4230" w:type="dxa"/>
            <w:tcBorders>
              <w:top w:val="single" w:sz="4" w:space="0" w:color="000000"/>
              <w:left w:val="single" w:sz="12" w:space="0" w:color="000000"/>
              <w:bottom w:val="single" w:sz="4" w:space="0" w:color="000000"/>
              <w:right w:val="single" w:sz="12" w:space="0" w:color="000000"/>
            </w:tcBorders>
            <w:vAlign w:val="center"/>
          </w:tcPr>
          <w:p w14:paraId="753B90A1" w14:textId="58D1180E" w:rsidR="00ED0BF9" w:rsidRPr="00E24854" w:rsidRDefault="000A2FF3">
            <w:pPr>
              <w:spacing w:after="0" w:line="259" w:lineRule="auto"/>
              <w:ind w:left="0" w:right="0" w:firstLine="0"/>
            </w:pPr>
            <w:r w:rsidRPr="00E24854">
              <w:rPr>
                <w:sz w:val="18"/>
                <w:szCs w:val="18"/>
              </w:rPr>
              <w:t>Perfluoro-1-decanesulfonic acid (PFDS)</w:t>
            </w:r>
          </w:p>
        </w:tc>
        <w:tc>
          <w:tcPr>
            <w:tcW w:w="1170" w:type="dxa"/>
            <w:tcBorders>
              <w:top w:val="single" w:sz="4" w:space="0" w:color="000000"/>
              <w:left w:val="single" w:sz="12" w:space="0" w:color="000000"/>
              <w:bottom w:val="single" w:sz="4" w:space="0" w:color="000000"/>
              <w:right w:val="single" w:sz="12" w:space="0" w:color="000000"/>
            </w:tcBorders>
            <w:vAlign w:val="center"/>
          </w:tcPr>
          <w:p w14:paraId="0928793C" w14:textId="5CB4A3C2" w:rsidR="00ED0BF9" w:rsidRDefault="000A2FF3" w:rsidP="00766C30">
            <w:pPr>
              <w:spacing w:after="0" w:line="259" w:lineRule="auto"/>
              <w:ind w:left="0" w:right="44" w:firstLine="0"/>
              <w:jc w:val="center"/>
            </w:pPr>
            <w:r>
              <w:rPr>
                <w:sz w:val="18"/>
                <w:szCs w:val="18"/>
              </w:rPr>
              <w:t>335-77-3</w:t>
            </w:r>
          </w:p>
        </w:tc>
        <w:tc>
          <w:tcPr>
            <w:tcW w:w="990" w:type="dxa"/>
            <w:tcBorders>
              <w:top w:val="single" w:sz="4" w:space="0" w:color="000000"/>
              <w:left w:val="single" w:sz="12" w:space="0" w:color="000000"/>
              <w:bottom w:val="single" w:sz="4" w:space="0" w:color="000000"/>
              <w:right w:val="single" w:sz="12" w:space="0" w:color="000000"/>
            </w:tcBorders>
          </w:tcPr>
          <w:p w14:paraId="70BFB94D" w14:textId="6E8FFF16" w:rsidR="00ED0BF9" w:rsidRPr="00A11E0C" w:rsidRDefault="00716C3F" w:rsidP="00766C30">
            <w:pPr>
              <w:tabs>
                <w:tab w:val="center" w:pos="377"/>
              </w:tabs>
              <w:spacing w:after="0" w:line="259" w:lineRule="auto"/>
              <w:ind w:left="0" w:right="0" w:firstLine="0"/>
              <w:jc w:val="center"/>
              <w:rPr>
                <w:sz w:val="18"/>
                <w:szCs w:val="18"/>
              </w:rPr>
            </w:pPr>
            <w:r w:rsidRPr="00E97FAF">
              <w:t>**</w:t>
            </w:r>
          </w:p>
        </w:tc>
        <w:tc>
          <w:tcPr>
            <w:tcW w:w="990" w:type="dxa"/>
            <w:tcBorders>
              <w:top w:val="single" w:sz="4" w:space="0" w:color="000000"/>
              <w:left w:val="single" w:sz="12" w:space="0" w:color="000000"/>
              <w:bottom w:val="single" w:sz="4" w:space="0" w:color="000000"/>
              <w:right w:val="single" w:sz="12" w:space="0" w:color="000000"/>
            </w:tcBorders>
          </w:tcPr>
          <w:p w14:paraId="0634BC42" w14:textId="77777777" w:rsidR="00ED0BF9" w:rsidRPr="000376D7" w:rsidRDefault="00ED0BF9" w:rsidP="00766C30">
            <w:pPr>
              <w:spacing w:after="0" w:line="259" w:lineRule="auto"/>
              <w:ind w:left="0" w:right="44" w:firstLine="0"/>
              <w:jc w:val="center"/>
            </w:pPr>
            <w:r w:rsidRPr="00430F48">
              <w:rPr>
                <w:sz w:val="18"/>
                <w:szCs w:val="18"/>
              </w:rPr>
              <w:t>ng/L</w:t>
            </w:r>
          </w:p>
        </w:tc>
        <w:tc>
          <w:tcPr>
            <w:tcW w:w="812" w:type="dxa"/>
            <w:tcBorders>
              <w:top w:val="single" w:sz="4" w:space="0" w:color="000000"/>
              <w:left w:val="single" w:sz="12" w:space="0" w:color="000000"/>
              <w:bottom w:val="single" w:sz="4" w:space="0" w:color="000000"/>
              <w:right w:val="single" w:sz="12" w:space="0" w:color="000000"/>
            </w:tcBorders>
          </w:tcPr>
          <w:p w14:paraId="3026D811" w14:textId="76E377DA" w:rsidR="00ED0BF9" w:rsidRDefault="007D4508" w:rsidP="00766C30">
            <w:pPr>
              <w:spacing w:after="0" w:line="259" w:lineRule="auto"/>
              <w:ind w:left="0" w:right="0" w:firstLine="0"/>
              <w:jc w:val="center"/>
            </w:pPr>
            <w:r w:rsidRPr="00BF2E19">
              <w:rPr>
                <w:sz w:val="18"/>
                <w:szCs w:val="18"/>
              </w:rPr>
              <w:t>N/A</w:t>
            </w:r>
          </w:p>
        </w:tc>
        <w:tc>
          <w:tcPr>
            <w:tcW w:w="1080" w:type="dxa"/>
            <w:tcBorders>
              <w:top w:val="single" w:sz="4" w:space="0" w:color="000000"/>
              <w:left w:val="single" w:sz="12" w:space="0" w:color="000000"/>
              <w:bottom w:val="single" w:sz="4" w:space="0" w:color="000000"/>
              <w:right w:val="single" w:sz="12" w:space="0" w:color="000000"/>
            </w:tcBorders>
          </w:tcPr>
          <w:p w14:paraId="5D3BBE78" w14:textId="0D0F00CF" w:rsidR="00ED0BF9" w:rsidRDefault="007D4508" w:rsidP="00766C30">
            <w:pPr>
              <w:spacing w:after="0" w:line="259" w:lineRule="auto"/>
              <w:ind w:left="0" w:right="46" w:firstLine="0"/>
              <w:jc w:val="center"/>
            </w:pPr>
            <w:r w:rsidRPr="00BF2E19">
              <w:rPr>
                <w:sz w:val="18"/>
                <w:szCs w:val="18"/>
              </w:rPr>
              <w:t>N/A</w:t>
            </w:r>
          </w:p>
        </w:tc>
        <w:tc>
          <w:tcPr>
            <w:tcW w:w="720" w:type="dxa"/>
            <w:tcBorders>
              <w:top w:val="single" w:sz="4" w:space="0" w:color="000000"/>
              <w:left w:val="single" w:sz="12" w:space="0" w:color="000000"/>
              <w:bottom w:val="single" w:sz="4" w:space="0" w:color="000000"/>
              <w:right w:val="single" w:sz="12" w:space="0" w:color="000000"/>
            </w:tcBorders>
          </w:tcPr>
          <w:p w14:paraId="5806E792" w14:textId="3D925B70" w:rsidR="00ED0BF9" w:rsidRDefault="00A34F3B" w:rsidP="00766C30">
            <w:pPr>
              <w:spacing w:after="0" w:line="259" w:lineRule="auto"/>
              <w:ind w:left="0" w:right="45" w:firstLine="0"/>
              <w:jc w:val="center"/>
            </w:pPr>
            <w:r w:rsidRPr="00192962">
              <w:rPr>
                <w:sz w:val="18"/>
                <w:szCs w:val="18"/>
              </w:rPr>
              <w:t>8327</w:t>
            </w:r>
          </w:p>
        </w:tc>
        <w:tc>
          <w:tcPr>
            <w:tcW w:w="538" w:type="dxa"/>
            <w:tcBorders>
              <w:top w:val="single" w:sz="4" w:space="0" w:color="000000"/>
              <w:left w:val="single" w:sz="12" w:space="0" w:color="000000"/>
              <w:bottom w:val="single" w:sz="4" w:space="0" w:color="000000"/>
              <w:right w:val="single" w:sz="12" w:space="0" w:color="000000"/>
            </w:tcBorders>
            <w:vAlign w:val="center"/>
          </w:tcPr>
          <w:p w14:paraId="1BEEAE0C" w14:textId="77777777" w:rsidR="00ED0BF9" w:rsidRDefault="00ED0BF9" w:rsidP="00766C30">
            <w:pPr>
              <w:spacing w:after="0" w:line="259" w:lineRule="auto"/>
              <w:ind w:left="0" w:right="48" w:firstLine="0"/>
              <w:jc w:val="center"/>
            </w:pPr>
          </w:p>
        </w:tc>
      </w:tr>
      <w:tr w:rsidR="00EB2E0B" w14:paraId="5E6ECCCA" w14:textId="77777777" w:rsidTr="00AD4C91">
        <w:trPr>
          <w:trHeight w:val="250"/>
        </w:trPr>
        <w:tc>
          <w:tcPr>
            <w:tcW w:w="4230" w:type="dxa"/>
            <w:tcBorders>
              <w:top w:val="single" w:sz="4" w:space="0" w:color="000000"/>
              <w:left w:val="single" w:sz="12" w:space="0" w:color="000000"/>
              <w:bottom w:val="single" w:sz="4" w:space="0" w:color="000000"/>
              <w:right w:val="single" w:sz="12" w:space="0" w:color="000000"/>
            </w:tcBorders>
            <w:vAlign w:val="center"/>
          </w:tcPr>
          <w:p w14:paraId="1085FD9F" w14:textId="47B1D919" w:rsidR="00ED0BF9" w:rsidRDefault="000A2FF3">
            <w:pPr>
              <w:spacing w:after="0" w:line="259" w:lineRule="auto"/>
              <w:ind w:left="0" w:right="0" w:firstLine="0"/>
            </w:pPr>
            <w:r>
              <w:rPr>
                <w:sz w:val="18"/>
                <w:szCs w:val="18"/>
              </w:rPr>
              <w:t>1H, 1H, 2H, 2H-Perfluorohexane sulfonic acid (4:2FTS)</w:t>
            </w:r>
          </w:p>
        </w:tc>
        <w:tc>
          <w:tcPr>
            <w:tcW w:w="1170" w:type="dxa"/>
            <w:tcBorders>
              <w:top w:val="single" w:sz="4" w:space="0" w:color="000000"/>
              <w:left w:val="single" w:sz="12" w:space="0" w:color="000000"/>
              <w:bottom w:val="single" w:sz="4" w:space="0" w:color="000000"/>
              <w:right w:val="single" w:sz="12" w:space="0" w:color="000000"/>
            </w:tcBorders>
            <w:vAlign w:val="center"/>
          </w:tcPr>
          <w:p w14:paraId="7F5F6718" w14:textId="0CE2689B" w:rsidR="00ED0BF9" w:rsidRDefault="000A2FF3" w:rsidP="00766C30">
            <w:pPr>
              <w:spacing w:after="0" w:line="259" w:lineRule="auto"/>
              <w:ind w:left="0" w:right="44" w:firstLine="0"/>
              <w:jc w:val="center"/>
            </w:pPr>
            <w:r>
              <w:rPr>
                <w:sz w:val="18"/>
                <w:szCs w:val="18"/>
              </w:rPr>
              <w:t>757124-72-4</w:t>
            </w:r>
          </w:p>
        </w:tc>
        <w:tc>
          <w:tcPr>
            <w:tcW w:w="990" w:type="dxa"/>
            <w:tcBorders>
              <w:top w:val="single" w:sz="4" w:space="0" w:color="000000"/>
              <w:left w:val="single" w:sz="12" w:space="0" w:color="000000"/>
              <w:bottom w:val="single" w:sz="4" w:space="0" w:color="000000"/>
              <w:right w:val="single" w:sz="12" w:space="0" w:color="000000"/>
            </w:tcBorders>
          </w:tcPr>
          <w:p w14:paraId="0A02F59D" w14:textId="2539DFE9" w:rsidR="00ED0BF9" w:rsidRPr="00A11E0C" w:rsidRDefault="00716C3F" w:rsidP="00766C30">
            <w:pPr>
              <w:tabs>
                <w:tab w:val="center" w:pos="488"/>
              </w:tabs>
              <w:spacing w:after="0" w:line="259" w:lineRule="auto"/>
              <w:ind w:left="0" w:right="0" w:firstLine="0"/>
              <w:jc w:val="center"/>
              <w:rPr>
                <w:sz w:val="18"/>
                <w:szCs w:val="18"/>
              </w:rPr>
            </w:pPr>
            <w:r w:rsidRPr="00E97FAF">
              <w:t>**</w:t>
            </w:r>
          </w:p>
        </w:tc>
        <w:tc>
          <w:tcPr>
            <w:tcW w:w="990" w:type="dxa"/>
            <w:tcBorders>
              <w:top w:val="single" w:sz="4" w:space="0" w:color="000000"/>
              <w:left w:val="single" w:sz="12" w:space="0" w:color="000000"/>
              <w:bottom w:val="single" w:sz="4" w:space="0" w:color="000000"/>
              <w:right w:val="single" w:sz="12" w:space="0" w:color="000000"/>
            </w:tcBorders>
          </w:tcPr>
          <w:p w14:paraId="2E953F1C" w14:textId="77777777" w:rsidR="00ED0BF9" w:rsidRPr="000376D7" w:rsidRDefault="00ED0BF9" w:rsidP="00766C30">
            <w:pPr>
              <w:spacing w:after="0" w:line="259" w:lineRule="auto"/>
              <w:ind w:left="0" w:right="44" w:firstLine="0"/>
              <w:jc w:val="center"/>
            </w:pPr>
            <w:r w:rsidRPr="00430F48">
              <w:rPr>
                <w:sz w:val="18"/>
                <w:szCs w:val="18"/>
              </w:rPr>
              <w:t>ng/L</w:t>
            </w:r>
          </w:p>
        </w:tc>
        <w:tc>
          <w:tcPr>
            <w:tcW w:w="812" w:type="dxa"/>
            <w:tcBorders>
              <w:top w:val="single" w:sz="4" w:space="0" w:color="000000"/>
              <w:left w:val="single" w:sz="12" w:space="0" w:color="000000"/>
              <w:bottom w:val="single" w:sz="4" w:space="0" w:color="000000"/>
              <w:right w:val="single" w:sz="12" w:space="0" w:color="000000"/>
            </w:tcBorders>
          </w:tcPr>
          <w:p w14:paraId="2EA2DC0E" w14:textId="0F79E833" w:rsidR="00ED0BF9" w:rsidRDefault="007D4508" w:rsidP="00766C30">
            <w:pPr>
              <w:tabs>
                <w:tab w:val="center" w:pos="399"/>
              </w:tabs>
              <w:spacing w:after="0" w:line="259" w:lineRule="auto"/>
              <w:ind w:left="0" w:right="0" w:firstLine="0"/>
              <w:jc w:val="center"/>
            </w:pPr>
            <w:r w:rsidRPr="00BF2E19">
              <w:rPr>
                <w:sz w:val="18"/>
                <w:szCs w:val="18"/>
              </w:rPr>
              <w:t>N/A</w:t>
            </w:r>
          </w:p>
        </w:tc>
        <w:tc>
          <w:tcPr>
            <w:tcW w:w="1080" w:type="dxa"/>
            <w:tcBorders>
              <w:top w:val="single" w:sz="4" w:space="0" w:color="000000"/>
              <w:left w:val="single" w:sz="12" w:space="0" w:color="000000"/>
              <w:bottom w:val="single" w:sz="4" w:space="0" w:color="000000"/>
              <w:right w:val="single" w:sz="12" w:space="0" w:color="000000"/>
            </w:tcBorders>
          </w:tcPr>
          <w:p w14:paraId="38E0D87B" w14:textId="139EBB4D" w:rsidR="00ED0BF9" w:rsidRDefault="007D4508" w:rsidP="00766C30">
            <w:pPr>
              <w:spacing w:after="0" w:line="259" w:lineRule="auto"/>
              <w:ind w:left="0" w:right="46" w:firstLine="0"/>
              <w:jc w:val="center"/>
            </w:pPr>
            <w:r w:rsidRPr="00BF2E19">
              <w:rPr>
                <w:sz w:val="18"/>
                <w:szCs w:val="18"/>
              </w:rPr>
              <w:t>N/A</w:t>
            </w:r>
          </w:p>
        </w:tc>
        <w:tc>
          <w:tcPr>
            <w:tcW w:w="720" w:type="dxa"/>
            <w:tcBorders>
              <w:top w:val="single" w:sz="4" w:space="0" w:color="000000"/>
              <w:left w:val="single" w:sz="12" w:space="0" w:color="000000"/>
              <w:bottom w:val="single" w:sz="4" w:space="0" w:color="000000"/>
              <w:right w:val="single" w:sz="12" w:space="0" w:color="000000"/>
            </w:tcBorders>
          </w:tcPr>
          <w:p w14:paraId="24DDC6E5" w14:textId="32CA9B93" w:rsidR="00ED0BF9" w:rsidRDefault="00A34F3B" w:rsidP="00766C30">
            <w:pPr>
              <w:spacing w:after="0" w:line="259" w:lineRule="auto"/>
              <w:ind w:left="0" w:right="45" w:firstLine="0"/>
              <w:jc w:val="center"/>
            </w:pPr>
            <w:r w:rsidRPr="00192962">
              <w:rPr>
                <w:sz w:val="18"/>
                <w:szCs w:val="18"/>
              </w:rPr>
              <w:t>8327</w:t>
            </w:r>
          </w:p>
        </w:tc>
        <w:tc>
          <w:tcPr>
            <w:tcW w:w="538" w:type="dxa"/>
            <w:tcBorders>
              <w:top w:val="single" w:sz="4" w:space="0" w:color="000000"/>
              <w:left w:val="single" w:sz="12" w:space="0" w:color="000000"/>
              <w:bottom w:val="single" w:sz="4" w:space="0" w:color="000000"/>
              <w:right w:val="single" w:sz="12" w:space="0" w:color="000000"/>
            </w:tcBorders>
            <w:vAlign w:val="center"/>
          </w:tcPr>
          <w:p w14:paraId="6B23FB5B" w14:textId="77777777" w:rsidR="00ED0BF9" w:rsidRDefault="00ED0BF9" w:rsidP="00766C30">
            <w:pPr>
              <w:spacing w:after="0" w:line="259" w:lineRule="auto"/>
              <w:ind w:left="0" w:right="48" w:firstLine="0"/>
              <w:jc w:val="center"/>
            </w:pPr>
          </w:p>
        </w:tc>
      </w:tr>
      <w:tr w:rsidR="00EB2E0B" w14:paraId="35F98065" w14:textId="77777777" w:rsidTr="00AD4C91">
        <w:trPr>
          <w:trHeight w:val="250"/>
        </w:trPr>
        <w:tc>
          <w:tcPr>
            <w:tcW w:w="4230" w:type="dxa"/>
            <w:tcBorders>
              <w:top w:val="single" w:sz="4" w:space="0" w:color="000000"/>
              <w:left w:val="single" w:sz="12" w:space="0" w:color="000000"/>
              <w:bottom w:val="single" w:sz="4" w:space="0" w:color="000000"/>
              <w:right w:val="single" w:sz="12" w:space="0" w:color="000000"/>
            </w:tcBorders>
            <w:vAlign w:val="center"/>
          </w:tcPr>
          <w:p w14:paraId="5BB34F9A" w14:textId="64D3B196" w:rsidR="00ED0BF9" w:rsidRDefault="000A2FF3">
            <w:pPr>
              <w:spacing w:after="0" w:line="259" w:lineRule="auto"/>
              <w:ind w:left="0" w:right="0" w:firstLine="0"/>
            </w:pPr>
            <w:r>
              <w:rPr>
                <w:sz w:val="18"/>
                <w:szCs w:val="18"/>
              </w:rPr>
              <w:t>1H, 1H, 2H, 2H-Perfluorooctane sulfonic acid (6:2FTS)</w:t>
            </w:r>
          </w:p>
        </w:tc>
        <w:tc>
          <w:tcPr>
            <w:tcW w:w="1170" w:type="dxa"/>
            <w:tcBorders>
              <w:top w:val="single" w:sz="4" w:space="0" w:color="000000"/>
              <w:left w:val="single" w:sz="12" w:space="0" w:color="000000"/>
              <w:bottom w:val="single" w:sz="4" w:space="0" w:color="000000"/>
              <w:right w:val="single" w:sz="12" w:space="0" w:color="000000"/>
            </w:tcBorders>
            <w:vAlign w:val="center"/>
          </w:tcPr>
          <w:p w14:paraId="0901A835" w14:textId="2850B8EF" w:rsidR="00ED0BF9" w:rsidRDefault="000A2FF3" w:rsidP="00766C30">
            <w:pPr>
              <w:spacing w:after="0" w:line="259" w:lineRule="auto"/>
              <w:ind w:left="0" w:right="44" w:firstLine="0"/>
              <w:jc w:val="center"/>
            </w:pPr>
            <w:r>
              <w:rPr>
                <w:sz w:val="18"/>
                <w:szCs w:val="18"/>
              </w:rPr>
              <w:t>27619-97-2</w:t>
            </w:r>
          </w:p>
        </w:tc>
        <w:tc>
          <w:tcPr>
            <w:tcW w:w="990" w:type="dxa"/>
            <w:tcBorders>
              <w:top w:val="single" w:sz="4" w:space="0" w:color="000000"/>
              <w:left w:val="single" w:sz="12" w:space="0" w:color="000000"/>
              <w:bottom w:val="single" w:sz="4" w:space="0" w:color="000000"/>
              <w:right w:val="single" w:sz="12" w:space="0" w:color="000000"/>
            </w:tcBorders>
          </w:tcPr>
          <w:p w14:paraId="1F9EA3E4" w14:textId="384FBD4B" w:rsidR="00ED0BF9" w:rsidRPr="00A11E0C" w:rsidRDefault="00716C3F" w:rsidP="00766C30">
            <w:pPr>
              <w:tabs>
                <w:tab w:val="center" w:pos="534"/>
              </w:tabs>
              <w:spacing w:after="0" w:line="259" w:lineRule="auto"/>
              <w:ind w:left="0" w:right="0" w:firstLine="0"/>
              <w:jc w:val="center"/>
              <w:rPr>
                <w:sz w:val="18"/>
                <w:szCs w:val="18"/>
              </w:rPr>
            </w:pPr>
            <w:r w:rsidRPr="00E97FAF">
              <w:t>**</w:t>
            </w:r>
          </w:p>
        </w:tc>
        <w:tc>
          <w:tcPr>
            <w:tcW w:w="990" w:type="dxa"/>
            <w:tcBorders>
              <w:top w:val="single" w:sz="4" w:space="0" w:color="000000"/>
              <w:left w:val="single" w:sz="12" w:space="0" w:color="000000"/>
              <w:bottom w:val="single" w:sz="4" w:space="0" w:color="000000"/>
              <w:right w:val="single" w:sz="12" w:space="0" w:color="000000"/>
            </w:tcBorders>
          </w:tcPr>
          <w:p w14:paraId="240222DE" w14:textId="77777777" w:rsidR="00ED0BF9" w:rsidRPr="000376D7" w:rsidRDefault="00ED0BF9" w:rsidP="00766C30">
            <w:pPr>
              <w:spacing w:after="0" w:line="259" w:lineRule="auto"/>
              <w:ind w:left="0" w:right="44" w:firstLine="0"/>
              <w:jc w:val="center"/>
            </w:pPr>
            <w:r w:rsidRPr="00430F48">
              <w:rPr>
                <w:sz w:val="18"/>
                <w:szCs w:val="18"/>
              </w:rPr>
              <w:t>ng/L</w:t>
            </w:r>
          </w:p>
        </w:tc>
        <w:tc>
          <w:tcPr>
            <w:tcW w:w="812" w:type="dxa"/>
            <w:tcBorders>
              <w:top w:val="single" w:sz="4" w:space="0" w:color="000000"/>
              <w:left w:val="single" w:sz="12" w:space="0" w:color="000000"/>
              <w:bottom w:val="single" w:sz="4" w:space="0" w:color="000000"/>
              <w:right w:val="single" w:sz="12" w:space="0" w:color="000000"/>
            </w:tcBorders>
          </w:tcPr>
          <w:p w14:paraId="01006B9B" w14:textId="52CDA5B2" w:rsidR="00ED0BF9" w:rsidRDefault="007D4508" w:rsidP="00766C30">
            <w:pPr>
              <w:tabs>
                <w:tab w:val="center" w:pos="354"/>
              </w:tabs>
              <w:spacing w:after="0" w:line="259" w:lineRule="auto"/>
              <w:ind w:left="0" w:right="0" w:firstLine="0"/>
              <w:jc w:val="center"/>
            </w:pPr>
            <w:r w:rsidRPr="00BF2E19">
              <w:rPr>
                <w:sz w:val="18"/>
                <w:szCs w:val="18"/>
              </w:rPr>
              <w:t>N/A</w:t>
            </w:r>
          </w:p>
        </w:tc>
        <w:tc>
          <w:tcPr>
            <w:tcW w:w="1080" w:type="dxa"/>
            <w:tcBorders>
              <w:top w:val="single" w:sz="4" w:space="0" w:color="000000"/>
              <w:left w:val="single" w:sz="12" w:space="0" w:color="000000"/>
              <w:bottom w:val="single" w:sz="4" w:space="0" w:color="000000"/>
              <w:right w:val="single" w:sz="12" w:space="0" w:color="000000"/>
            </w:tcBorders>
          </w:tcPr>
          <w:p w14:paraId="082CBB54" w14:textId="4B8431FE" w:rsidR="00ED0BF9" w:rsidRDefault="007D4508" w:rsidP="00766C30">
            <w:pPr>
              <w:spacing w:after="0" w:line="259" w:lineRule="auto"/>
              <w:ind w:left="0" w:right="46" w:firstLine="0"/>
              <w:jc w:val="center"/>
            </w:pPr>
            <w:r w:rsidRPr="00BF2E19">
              <w:rPr>
                <w:sz w:val="18"/>
                <w:szCs w:val="18"/>
              </w:rPr>
              <w:t>N/A</w:t>
            </w:r>
          </w:p>
        </w:tc>
        <w:tc>
          <w:tcPr>
            <w:tcW w:w="720" w:type="dxa"/>
            <w:tcBorders>
              <w:top w:val="single" w:sz="4" w:space="0" w:color="000000"/>
              <w:left w:val="single" w:sz="12" w:space="0" w:color="000000"/>
              <w:bottom w:val="single" w:sz="4" w:space="0" w:color="000000"/>
              <w:right w:val="single" w:sz="12" w:space="0" w:color="000000"/>
            </w:tcBorders>
          </w:tcPr>
          <w:p w14:paraId="371B4AD4" w14:textId="21BF1F9C" w:rsidR="00ED0BF9" w:rsidRDefault="00A34F3B" w:rsidP="00766C30">
            <w:pPr>
              <w:spacing w:after="0" w:line="259" w:lineRule="auto"/>
              <w:ind w:left="0" w:right="45" w:firstLine="0"/>
              <w:jc w:val="center"/>
            </w:pPr>
            <w:r w:rsidRPr="00192962">
              <w:rPr>
                <w:sz w:val="18"/>
                <w:szCs w:val="18"/>
              </w:rPr>
              <w:t>8327</w:t>
            </w:r>
          </w:p>
        </w:tc>
        <w:tc>
          <w:tcPr>
            <w:tcW w:w="538" w:type="dxa"/>
            <w:tcBorders>
              <w:top w:val="single" w:sz="4" w:space="0" w:color="000000"/>
              <w:left w:val="single" w:sz="12" w:space="0" w:color="000000"/>
              <w:bottom w:val="single" w:sz="4" w:space="0" w:color="000000"/>
              <w:right w:val="single" w:sz="12" w:space="0" w:color="000000"/>
            </w:tcBorders>
            <w:vAlign w:val="center"/>
          </w:tcPr>
          <w:p w14:paraId="2D1266AB" w14:textId="77777777" w:rsidR="00ED0BF9" w:rsidRDefault="00ED0BF9" w:rsidP="00766C30">
            <w:pPr>
              <w:spacing w:after="0" w:line="259" w:lineRule="auto"/>
              <w:ind w:left="0" w:right="5" w:firstLine="0"/>
              <w:jc w:val="center"/>
            </w:pPr>
          </w:p>
        </w:tc>
      </w:tr>
      <w:tr w:rsidR="00EB2E0B" w14:paraId="607B1835" w14:textId="77777777" w:rsidTr="00AD4C91">
        <w:trPr>
          <w:trHeight w:val="250"/>
        </w:trPr>
        <w:tc>
          <w:tcPr>
            <w:tcW w:w="4230" w:type="dxa"/>
            <w:tcBorders>
              <w:top w:val="single" w:sz="4" w:space="0" w:color="000000"/>
              <w:left w:val="single" w:sz="12" w:space="0" w:color="000000"/>
              <w:bottom w:val="single" w:sz="4" w:space="0" w:color="000000"/>
              <w:right w:val="single" w:sz="12" w:space="0" w:color="000000"/>
            </w:tcBorders>
            <w:vAlign w:val="center"/>
          </w:tcPr>
          <w:p w14:paraId="3FBF671A" w14:textId="3BD382D0" w:rsidR="00ED0BF9" w:rsidRDefault="000A2FF3">
            <w:pPr>
              <w:spacing w:after="0" w:line="259" w:lineRule="auto"/>
              <w:ind w:left="0" w:right="0" w:firstLine="0"/>
            </w:pPr>
            <w:r>
              <w:rPr>
                <w:sz w:val="18"/>
                <w:szCs w:val="18"/>
              </w:rPr>
              <w:t>1H, 1H, 2H, 2H-Perfluorodecane sulfonic acid (8:2FTS)</w:t>
            </w:r>
          </w:p>
        </w:tc>
        <w:tc>
          <w:tcPr>
            <w:tcW w:w="1170" w:type="dxa"/>
            <w:tcBorders>
              <w:top w:val="single" w:sz="4" w:space="0" w:color="000000"/>
              <w:left w:val="single" w:sz="12" w:space="0" w:color="000000"/>
              <w:bottom w:val="single" w:sz="4" w:space="0" w:color="000000"/>
              <w:right w:val="single" w:sz="12" w:space="0" w:color="000000"/>
            </w:tcBorders>
            <w:vAlign w:val="center"/>
          </w:tcPr>
          <w:p w14:paraId="2CE32411" w14:textId="3C4E452C" w:rsidR="00ED0BF9" w:rsidRDefault="000A2FF3" w:rsidP="00766C30">
            <w:pPr>
              <w:spacing w:after="0" w:line="259" w:lineRule="auto"/>
              <w:ind w:left="0" w:right="44" w:firstLine="0"/>
              <w:jc w:val="center"/>
            </w:pPr>
            <w:r>
              <w:rPr>
                <w:sz w:val="18"/>
                <w:szCs w:val="18"/>
              </w:rPr>
              <w:t>39108-34-4</w:t>
            </w:r>
          </w:p>
        </w:tc>
        <w:tc>
          <w:tcPr>
            <w:tcW w:w="990" w:type="dxa"/>
            <w:tcBorders>
              <w:top w:val="single" w:sz="4" w:space="0" w:color="000000"/>
              <w:left w:val="single" w:sz="12" w:space="0" w:color="000000"/>
              <w:bottom w:val="single" w:sz="4" w:space="0" w:color="000000"/>
              <w:right w:val="single" w:sz="12" w:space="0" w:color="000000"/>
            </w:tcBorders>
          </w:tcPr>
          <w:p w14:paraId="20EB6EED" w14:textId="661DC34E" w:rsidR="00ED0BF9" w:rsidRPr="00A11E0C" w:rsidRDefault="00716C3F" w:rsidP="00766C30">
            <w:pPr>
              <w:tabs>
                <w:tab w:val="center" w:pos="534"/>
              </w:tabs>
              <w:spacing w:after="0" w:line="259" w:lineRule="auto"/>
              <w:ind w:left="0" w:right="0" w:firstLine="0"/>
              <w:jc w:val="center"/>
              <w:rPr>
                <w:sz w:val="18"/>
                <w:szCs w:val="18"/>
              </w:rPr>
            </w:pPr>
            <w:r w:rsidRPr="00E97FAF">
              <w:t>**</w:t>
            </w:r>
          </w:p>
        </w:tc>
        <w:tc>
          <w:tcPr>
            <w:tcW w:w="990" w:type="dxa"/>
            <w:tcBorders>
              <w:top w:val="single" w:sz="4" w:space="0" w:color="000000"/>
              <w:left w:val="single" w:sz="12" w:space="0" w:color="000000"/>
              <w:bottom w:val="single" w:sz="4" w:space="0" w:color="000000"/>
              <w:right w:val="single" w:sz="12" w:space="0" w:color="000000"/>
            </w:tcBorders>
          </w:tcPr>
          <w:p w14:paraId="030B5045" w14:textId="77777777" w:rsidR="00ED0BF9" w:rsidRPr="000376D7" w:rsidRDefault="00ED0BF9" w:rsidP="00766C30">
            <w:pPr>
              <w:spacing w:after="0" w:line="259" w:lineRule="auto"/>
              <w:ind w:left="0" w:right="44" w:firstLine="0"/>
              <w:jc w:val="center"/>
            </w:pPr>
            <w:r w:rsidRPr="00430F48">
              <w:rPr>
                <w:sz w:val="18"/>
                <w:szCs w:val="18"/>
              </w:rPr>
              <w:t>ng/L</w:t>
            </w:r>
          </w:p>
        </w:tc>
        <w:tc>
          <w:tcPr>
            <w:tcW w:w="812" w:type="dxa"/>
            <w:tcBorders>
              <w:top w:val="single" w:sz="4" w:space="0" w:color="000000"/>
              <w:left w:val="single" w:sz="12" w:space="0" w:color="000000"/>
              <w:bottom w:val="single" w:sz="4" w:space="0" w:color="000000"/>
              <w:right w:val="single" w:sz="12" w:space="0" w:color="000000"/>
            </w:tcBorders>
          </w:tcPr>
          <w:p w14:paraId="64131632" w14:textId="0B43CB18" w:rsidR="00ED0BF9" w:rsidRDefault="005E59D8" w:rsidP="00766C30">
            <w:pPr>
              <w:tabs>
                <w:tab w:val="center" w:pos="354"/>
              </w:tabs>
              <w:spacing w:after="0" w:line="259" w:lineRule="auto"/>
              <w:ind w:left="0" w:right="0" w:firstLine="0"/>
              <w:jc w:val="center"/>
            </w:pPr>
            <w:r w:rsidRPr="000A0749">
              <w:rPr>
                <w:sz w:val="18"/>
                <w:szCs w:val="18"/>
              </w:rPr>
              <w:t>N/A</w:t>
            </w:r>
          </w:p>
        </w:tc>
        <w:tc>
          <w:tcPr>
            <w:tcW w:w="1080" w:type="dxa"/>
            <w:tcBorders>
              <w:top w:val="single" w:sz="4" w:space="0" w:color="000000"/>
              <w:left w:val="single" w:sz="12" w:space="0" w:color="000000"/>
              <w:bottom w:val="single" w:sz="4" w:space="0" w:color="auto"/>
              <w:right w:val="single" w:sz="12" w:space="0" w:color="000000"/>
            </w:tcBorders>
          </w:tcPr>
          <w:p w14:paraId="4B475FAC" w14:textId="5C431E94" w:rsidR="00ED0BF9" w:rsidRDefault="005E59D8" w:rsidP="00766C30">
            <w:pPr>
              <w:spacing w:after="0" w:line="259" w:lineRule="auto"/>
              <w:ind w:left="0" w:right="46" w:firstLine="0"/>
              <w:jc w:val="center"/>
            </w:pPr>
            <w:r w:rsidRPr="00E742B7">
              <w:rPr>
                <w:sz w:val="18"/>
                <w:szCs w:val="18"/>
              </w:rPr>
              <w:t>N/A</w:t>
            </w:r>
          </w:p>
        </w:tc>
        <w:tc>
          <w:tcPr>
            <w:tcW w:w="720" w:type="dxa"/>
            <w:tcBorders>
              <w:top w:val="single" w:sz="4" w:space="0" w:color="000000"/>
              <w:left w:val="single" w:sz="12" w:space="0" w:color="000000"/>
              <w:bottom w:val="single" w:sz="4" w:space="0" w:color="000000"/>
              <w:right w:val="single" w:sz="12" w:space="0" w:color="000000"/>
            </w:tcBorders>
          </w:tcPr>
          <w:p w14:paraId="0C2E1C5C" w14:textId="3C2C68E8" w:rsidR="00ED0BF9" w:rsidRDefault="00A34F3B" w:rsidP="00766C30">
            <w:pPr>
              <w:spacing w:after="0" w:line="259" w:lineRule="auto"/>
              <w:ind w:left="0" w:right="45" w:firstLine="0"/>
              <w:jc w:val="center"/>
            </w:pPr>
            <w:r w:rsidRPr="00192962">
              <w:rPr>
                <w:sz w:val="18"/>
                <w:szCs w:val="18"/>
              </w:rPr>
              <w:t>8327</w:t>
            </w:r>
          </w:p>
        </w:tc>
        <w:tc>
          <w:tcPr>
            <w:tcW w:w="538" w:type="dxa"/>
            <w:tcBorders>
              <w:top w:val="single" w:sz="4" w:space="0" w:color="000000"/>
              <w:left w:val="single" w:sz="12" w:space="0" w:color="000000"/>
              <w:bottom w:val="single" w:sz="4" w:space="0" w:color="000000"/>
              <w:right w:val="single" w:sz="12" w:space="0" w:color="000000"/>
            </w:tcBorders>
            <w:vAlign w:val="center"/>
          </w:tcPr>
          <w:p w14:paraId="6002A4DA" w14:textId="77777777" w:rsidR="00ED0BF9" w:rsidRDefault="00ED0BF9" w:rsidP="00766C30">
            <w:pPr>
              <w:spacing w:after="0" w:line="259" w:lineRule="auto"/>
              <w:ind w:left="0" w:right="5" w:firstLine="0"/>
              <w:jc w:val="center"/>
            </w:pPr>
          </w:p>
        </w:tc>
      </w:tr>
      <w:tr w:rsidR="00EB2E0B" w14:paraId="34C37ACA" w14:textId="77777777" w:rsidTr="00AD4C91">
        <w:trPr>
          <w:trHeight w:val="250"/>
        </w:trPr>
        <w:tc>
          <w:tcPr>
            <w:tcW w:w="4230" w:type="dxa"/>
            <w:tcBorders>
              <w:top w:val="single" w:sz="4" w:space="0" w:color="000000"/>
              <w:left w:val="single" w:sz="12" w:space="0" w:color="000000"/>
              <w:bottom w:val="single" w:sz="4" w:space="0" w:color="000000"/>
              <w:right w:val="single" w:sz="12" w:space="0" w:color="000000"/>
            </w:tcBorders>
            <w:vAlign w:val="center"/>
          </w:tcPr>
          <w:p w14:paraId="7B26A14E" w14:textId="18D28ECC" w:rsidR="00ED0BF9" w:rsidRDefault="00EE01A3">
            <w:pPr>
              <w:spacing w:after="0" w:line="259" w:lineRule="auto"/>
              <w:ind w:left="0" w:right="0" w:firstLine="0"/>
            </w:pPr>
            <w:proofErr w:type="spellStart"/>
            <w:r>
              <w:rPr>
                <w:sz w:val="18"/>
                <w:szCs w:val="18"/>
              </w:rPr>
              <w:t>Perfluorobutanoic</w:t>
            </w:r>
            <w:proofErr w:type="spellEnd"/>
            <w:r>
              <w:rPr>
                <w:sz w:val="18"/>
                <w:szCs w:val="18"/>
              </w:rPr>
              <w:t xml:space="preserve"> acid (PFBA)</w:t>
            </w:r>
          </w:p>
        </w:tc>
        <w:tc>
          <w:tcPr>
            <w:tcW w:w="1170" w:type="dxa"/>
            <w:tcBorders>
              <w:top w:val="single" w:sz="4" w:space="0" w:color="000000"/>
              <w:left w:val="single" w:sz="12" w:space="0" w:color="000000"/>
              <w:bottom w:val="single" w:sz="4" w:space="0" w:color="000000"/>
              <w:right w:val="single" w:sz="12" w:space="0" w:color="000000"/>
            </w:tcBorders>
            <w:vAlign w:val="center"/>
          </w:tcPr>
          <w:p w14:paraId="140719C3" w14:textId="60BCF2E3" w:rsidR="00ED0BF9" w:rsidRDefault="00EE01A3" w:rsidP="00766C30">
            <w:pPr>
              <w:spacing w:after="0" w:line="259" w:lineRule="auto"/>
              <w:ind w:left="0" w:right="44" w:firstLine="0"/>
              <w:jc w:val="center"/>
            </w:pPr>
            <w:r>
              <w:rPr>
                <w:sz w:val="18"/>
                <w:szCs w:val="18"/>
              </w:rPr>
              <w:t>375-22-4</w:t>
            </w:r>
          </w:p>
        </w:tc>
        <w:tc>
          <w:tcPr>
            <w:tcW w:w="990" w:type="dxa"/>
            <w:tcBorders>
              <w:top w:val="single" w:sz="4" w:space="0" w:color="000000"/>
              <w:left w:val="single" w:sz="12" w:space="0" w:color="000000"/>
              <w:bottom w:val="single" w:sz="4" w:space="0" w:color="000000"/>
              <w:right w:val="single" w:sz="12" w:space="0" w:color="000000"/>
            </w:tcBorders>
          </w:tcPr>
          <w:p w14:paraId="6F73FB05" w14:textId="76B1F144" w:rsidR="00ED0BF9" w:rsidRPr="00A11E0C" w:rsidRDefault="00716C3F" w:rsidP="00766C30">
            <w:pPr>
              <w:tabs>
                <w:tab w:val="center" w:pos="488"/>
              </w:tabs>
              <w:spacing w:after="0" w:line="259" w:lineRule="auto"/>
              <w:ind w:left="0" w:right="0" w:firstLine="0"/>
              <w:jc w:val="center"/>
              <w:rPr>
                <w:sz w:val="18"/>
                <w:szCs w:val="18"/>
              </w:rPr>
            </w:pPr>
            <w:r w:rsidRPr="00E97FAF">
              <w:t>**</w:t>
            </w:r>
          </w:p>
        </w:tc>
        <w:tc>
          <w:tcPr>
            <w:tcW w:w="990" w:type="dxa"/>
            <w:tcBorders>
              <w:top w:val="single" w:sz="4" w:space="0" w:color="000000"/>
              <w:left w:val="single" w:sz="12" w:space="0" w:color="000000"/>
              <w:bottom w:val="single" w:sz="4" w:space="0" w:color="000000"/>
              <w:right w:val="single" w:sz="12" w:space="0" w:color="000000"/>
            </w:tcBorders>
          </w:tcPr>
          <w:p w14:paraId="4F71DCF6" w14:textId="77777777" w:rsidR="00ED0BF9" w:rsidRPr="000376D7" w:rsidRDefault="00ED0BF9" w:rsidP="00766C30">
            <w:pPr>
              <w:spacing w:after="0" w:line="259" w:lineRule="auto"/>
              <w:ind w:left="0" w:right="44" w:firstLine="0"/>
              <w:jc w:val="center"/>
            </w:pPr>
            <w:r w:rsidRPr="00430F48">
              <w:rPr>
                <w:sz w:val="18"/>
                <w:szCs w:val="18"/>
              </w:rPr>
              <w:t>ng/L</w:t>
            </w:r>
          </w:p>
        </w:tc>
        <w:tc>
          <w:tcPr>
            <w:tcW w:w="812" w:type="dxa"/>
            <w:tcBorders>
              <w:top w:val="single" w:sz="4" w:space="0" w:color="000000"/>
              <w:left w:val="single" w:sz="12" w:space="0" w:color="000000"/>
              <w:bottom w:val="single" w:sz="4" w:space="0" w:color="000000"/>
              <w:right w:val="single" w:sz="12" w:space="0" w:color="000000"/>
            </w:tcBorders>
          </w:tcPr>
          <w:p w14:paraId="5E36A3CE" w14:textId="42D30FD7" w:rsidR="00ED0BF9" w:rsidRDefault="005E59D8" w:rsidP="00766C30">
            <w:pPr>
              <w:tabs>
                <w:tab w:val="center" w:pos="399"/>
              </w:tabs>
              <w:spacing w:after="0" w:line="259" w:lineRule="auto"/>
              <w:ind w:left="0" w:right="0" w:firstLine="0"/>
              <w:jc w:val="center"/>
            </w:pPr>
            <w:r w:rsidRPr="000A0749">
              <w:rPr>
                <w:sz w:val="18"/>
                <w:szCs w:val="18"/>
              </w:rPr>
              <w:t>N/A</w:t>
            </w:r>
          </w:p>
        </w:tc>
        <w:tc>
          <w:tcPr>
            <w:tcW w:w="1080" w:type="dxa"/>
            <w:tcBorders>
              <w:top w:val="single" w:sz="4" w:space="0" w:color="auto"/>
              <w:left w:val="single" w:sz="12" w:space="0" w:color="000000"/>
              <w:bottom w:val="single" w:sz="4" w:space="0" w:color="000000"/>
              <w:right w:val="single" w:sz="12" w:space="0" w:color="000000"/>
            </w:tcBorders>
          </w:tcPr>
          <w:p w14:paraId="7136F8E3" w14:textId="15F8F2ED" w:rsidR="00ED0BF9" w:rsidRDefault="005E59D8" w:rsidP="00766C30">
            <w:pPr>
              <w:spacing w:after="0" w:line="259" w:lineRule="auto"/>
              <w:ind w:left="0" w:right="46" w:firstLine="0"/>
              <w:jc w:val="center"/>
            </w:pPr>
            <w:r w:rsidRPr="00E742B7">
              <w:rPr>
                <w:sz w:val="18"/>
                <w:szCs w:val="18"/>
              </w:rPr>
              <w:t>N/A</w:t>
            </w:r>
          </w:p>
        </w:tc>
        <w:tc>
          <w:tcPr>
            <w:tcW w:w="720" w:type="dxa"/>
            <w:tcBorders>
              <w:top w:val="single" w:sz="4" w:space="0" w:color="000000"/>
              <w:left w:val="single" w:sz="12" w:space="0" w:color="000000"/>
              <w:bottom w:val="single" w:sz="4" w:space="0" w:color="000000"/>
              <w:right w:val="single" w:sz="12" w:space="0" w:color="000000"/>
            </w:tcBorders>
          </w:tcPr>
          <w:p w14:paraId="64F7219C" w14:textId="0EC15FD4" w:rsidR="00ED0BF9" w:rsidRDefault="00A34F3B" w:rsidP="00766C30">
            <w:pPr>
              <w:spacing w:after="0" w:line="259" w:lineRule="auto"/>
              <w:ind w:left="0" w:right="45" w:firstLine="0"/>
              <w:jc w:val="center"/>
            </w:pPr>
            <w:r w:rsidRPr="00192962">
              <w:rPr>
                <w:sz w:val="18"/>
                <w:szCs w:val="18"/>
              </w:rPr>
              <w:t>8327</w:t>
            </w:r>
          </w:p>
        </w:tc>
        <w:tc>
          <w:tcPr>
            <w:tcW w:w="538" w:type="dxa"/>
            <w:tcBorders>
              <w:top w:val="single" w:sz="4" w:space="0" w:color="000000"/>
              <w:left w:val="single" w:sz="12" w:space="0" w:color="000000"/>
              <w:bottom w:val="single" w:sz="4" w:space="0" w:color="000000"/>
              <w:right w:val="single" w:sz="12" w:space="0" w:color="000000"/>
            </w:tcBorders>
            <w:vAlign w:val="center"/>
          </w:tcPr>
          <w:p w14:paraId="77D15554" w14:textId="77777777" w:rsidR="00ED0BF9" w:rsidRDefault="00ED0BF9" w:rsidP="00766C30">
            <w:pPr>
              <w:spacing w:after="0" w:line="259" w:lineRule="auto"/>
              <w:ind w:left="0" w:right="5" w:firstLine="0"/>
              <w:jc w:val="center"/>
            </w:pPr>
          </w:p>
        </w:tc>
      </w:tr>
      <w:tr w:rsidR="00EB2E0B" w14:paraId="1753831C" w14:textId="77777777" w:rsidTr="00AD4C91">
        <w:trPr>
          <w:trHeight w:val="250"/>
        </w:trPr>
        <w:tc>
          <w:tcPr>
            <w:tcW w:w="4230" w:type="dxa"/>
            <w:tcBorders>
              <w:top w:val="single" w:sz="4" w:space="0" w:color="000000"/>
              <w:left w:val="single" w:sz="12" w:space="0" w:color="000000"/>
              <w:bottom w:val="single" w:sz="4" w:space="0" w:color="000000"/>
              <w:right w:val="single" w:sz="12" w:space="0" w:color="000000"/>
            </w:tcBorders>
            <w:vAlign w:val="center"/>
          </w:tcPr>
          <w:p w14:paraId="4A4A7A37" w14:textId="4BBED2F1" w:rsidR="00ED0BF9" w:rsidRDefault="00EE01A3">
            <w:pPr>
              <w:spacing w:after="0" w:line="259" w:lineRule="auto"/>
              <w:ind w:left="0" w:right="0" w:firstLine="0"/>
            </w:pPr>
            <w:proofErr w:type="spellStart"/>
            <w:r>
              <w:rPr>
                <w:sz w:val="18"/>
                <w:szCs w:val="18"/>
              </w:rPr>
              <w:t>Perfluoropentanoic</w:t>
            </w:r>
            <w:proofErr w:type="spellEnd"/>
            <w:r>
              <w:rPr>
                <w:sz w:val="18"/>
                <w:szCs w:val="18"/>
              </w:rPr>
              <w:t xml:space="preserve"> acid (</w:t>
            </w:r>
            <w:proofErr w:type="spellStart"/>
            <w:r>
              <w:rPr>
                <w:sz w:val="18"/>
                <w:szCs w:val="18"/>
              </w:rPr>
              <w:t>PFPeA</w:t>
            </w:r>
            <w:proofErr w:type="spellEnd"/>
            <w:r>
              <w:rPr>
                <w:sz w:val="18"/>
                <w:szCs w:val="18"/>
              </w:rPr>
              <w:t>)</w:t>
            </w:r>
          </w:p>
        </w:tc>
        <w:tc>
          <w:tcPr>
            <w:tcW w:w="1170" w:type="dxa"/>
            <w:tcBorders>
              <w:top w:val="single" w:sz="4" w:space="0" w:color="000000"/>
              <w:left w:val="single" w:sz="12" w:space="0" w:color="000000"/>
              <w:bottom w:val="single" w:sz="4" w:space="0" w:color="000000"/>
              <w:right w:val="single" w:sz="12" w:space="0" w:color="000000"/>
            </w:tcBorders>
            <w:vAlign w:val="center"/>
          </w:tcPr>
          <w:p w14:paraId="263F59DD" w14:textId="72AF57A4" w:rsidR="00ED0BF9" w:rsidRDefault="00EE01A3" w:rsidP="00766C30">
            <w:pPr>
              <w:spacing w:after="0" w:line="259" w:lineRule="auto"/>
              <w:ind w:left="0" w:right="44" w:firstLine="0"/>
              <w:jc w:val="center"/>
            </w:pPr>
            <w:r>
              <w:rPr>
                <w:sz w:val="18"/>
                <w:szCs w:val="18"/>
              </w:rPr>
              <w:t>2706-90-3</w:t>
            </w:r>
          </w:p>
        </w:tc>
        <w:tc>
          <w:tcPr>
            <w:tcW w:w="990" w:type="dxa"/>
            <w:tcBorders>
              <w:top w:val="single" w:sz="4" w:space="0" w:color="000000"/>
              <w:left w:val="single" w:sz="12" w:space="0" w:color="000000"/>
              <w:bottom w:val="single" w:sz="4" w:space="0" w:color="000000"/>
              <w:right w:val="single" w:sz="12" w:space="0" w:color="000000"/>
            </w:tcBorders>
          </w:tcPr>
          <w:p w14:paraId="67672A81" w14:textId="7AC6A4BF" w:rsidR="00ED0BF9" w:rsidRPr="00A11E0C" w:rsidRDefault="00716C3F" w:rsidP="00766C30">
            <w:pPr>
              <w:tabs>
                <w:tab w:val="center" w:pos="534"/>
              </w:tabs>
              <w:spacing w:after="0" w:line="259" w:lineRule="auto"/>
              <w:ind w:left="0" w:right="0" w:firstLine="0"/>
              <w:jc w:val="center"/>
              <w:rPr>
                <w:sz w:val="18"/>
                <w:szCs w:val="18"/>
              </w:rPr>
            </w:pPr>
            <w:r w:rsidRPr="00E97FAF">
              <w:t>**</w:t>
            </w:r>
          </w:p>
        </w:tc>
        <w:tc>
          <w:tcPr>
            <w:tcW w:w="990" w:type="dxa"/>
            <w:tcBorders>
              <w:top w:val="single" w:sz="4" w:space="0" w:color="000000"/>
              <w:left w:val="single" w:sz="12" w:space="0" w:color="000000"/>
              <w:bottom w:val="single" w:sz="4" w:space="0" w:color="000000"/>
              <w:right w:val="single" w:sz="12" w:space="0" w:color="000000"/>
            </w:tcBorders>
          </w:tcPr>
          <w:p w14:paraId="7BD6920B" w14:textId="77777777" w:rsidR="00ED0BF9" w:rsidRPr="000376D7" w:rsidRDefault="00ED0BF9" w:rsidP="00766C30">
            <w:pPr>
              <w:spacing w:after="0" w:line="259" w:lineRule="auto"/>
              <w:ind w:left="0" w:right="44" w:firstLine="0"/>
              <w:jc w:val="center"/>
            </w:pPr>
            <w:r w:rsidRPr="00430F48">
              <w:rPr>
                <w:sz w:val="18"/>
                <w:szCs w:val="18"/>
              </w:rPr>
              <w:t>ng/L</w:t>
            </w:r>
          </w:p>
        </w:tc>
        <w:tc>
          <w:tcPr>
            <w:tcW w:w="812" w:type="dxa"/>
            <w:tcBorders>
              <w:top w:val="single" w:sz="4" w:space="0" w:color="000000"/>
              <w:left w:val="single" w:sz="12" w:space="0" w:color="000000"/>
              <w:bottom w:val="single" w:sz="4" w:space="0" w:color="000000"/>
              <w:right w:val="single" w:sz="12" w:space="0" w:color="000000"/>
            </w:tcBorders>
          </w:tcPr>
          <w:p w14:paraId="71ADA182" w14:textId="361386D2" w:rsidR="00ED0BF9" w:rsidRDefault="005E59D8" w:rsidP="00766C30">
            <w:pPr>
              <w:tabs>
                <w:tab w:val="center" w:pos="445"/>
              </w:tabs>
              <w:spacing w:after="0" w:line="259" w:lineRule="auto"/>
              <w:ind w:left="0" w:right="0" w:firstLine="0"/>
              <w:jc w:val="center"/>
            </w:pPr>
            <w:r w:rsidRPr="000A0749">
              <w:rPr>
                <w:sz w:val="18"/>
                <w:szCs w:val="18"/>
              </w:rPr>
              <w:t>N/A</w:t>
            </w:r>
          </w:p>
        </w:tc>
        <w:tc>
          <w:tcPr>
            <w:tcW w:w="1080" w:type="dxa"/>
            <w:tcBorders>
              <w:top w:val="single" w:sz="4" w:space="0" w:color="000000"/>
              <w:left w:val="single" w:sz="12" w:space="0" w:color="000000"/>
              <w:bottom w:val="single" w:sz="4" w:space="0" w:color="000000"/>
              <w:right w:val="single" w:sz="12" w:space="0" w:color="000000"/>
            </w:tcBorders>
          </w:tcPr>
          <w:p w14:paraId="2D19FFA0" w14:textId="0A8C3BCD" w:rsidR="00ED0BF9" w:rsidRDefault="005E59D8" w:rsidP="00766C30">
            <w:pPr>
              <w:spacing w:after="0" w:line="259" w:lineRule="auto"/>
              <w:ind w:left="0" w:right="46" w:firstLine="0"/>
              <w:jc w:val="center"/>
            </w:pPr>
            <w:r w:rsidRPr="00E742B7">
              <w:rPr>
                <w:sz w:val="18"/>
                <w:szCs w:val="18"/>
              </w:rPr>
              <w:t>N/A</w:t>
            </w:r>
          </w:p>
        </w:tc>
        <w:tc>
          <w:tcPr>
            <w:tcW w:w="720" w:type="dxa"/>
            <w:tcBorders>
              <w:top w:val="single" w:sz="4" w:space="0" w:color="000000"/>
              <w:left w:val="single" w:sz="12" w:space="0" w:color="000000"/>
              <w:bottom w:val="single" w:sz="4" w:space="0" w:color="000000"/>
              <w:right w:val="single" w:sz="12" w:space="0" w:color="000000"/>
            </w:tcBorders>
          </w:tcPr>
          <w:p w14:paraId="5970594B" w14:textId="2B860FCC" w:rsidR="00ED0BF9" w:rsidRDefault="00A34F3B" w:rsidP="00766C30">
            <w:pPr>
              <w:spacing w:after="0" w:line="259" w:lineRule="auto"/>
              <w:ind w:left="0" w:right="45" w:firstLine="0"/>
              <w:jc w:val="center"/>
            </w:pPr>
            <w:r w:rsidRPr="00192962">
              <w:rPr>
                <w:sz w:val="18"/>
                <w:szCs w:val="18"/>
              </w:rPr>
              <w:t>8327</w:t>
            </w:r>
          </w:p>
        </w:tc>
        <w:tc>
          <w:tcPr>
            <w:tcW w:w="538" w:type="dxa"/>
            <w:tcBorders>
              <w:top w:val="single" w:sz="4" w:space="0" w:color="000000"/>
              <w:left w:val="single" w:sz="12" w:space="0" w:color="000000"/>
              <w:bottom w:val="single" w:sz="4" w:space="0" w:color="000000"/>
              <w:right w:val="single" w:sz="12" w:space="0" w:color="000000"/>
            </w:tcBorders>
            <w:vAlign w:val="center"/>
          </w:tcPr>
          <w:p w14:paraId="461E669E" w14:textId="77777777" w:rsidR="00ED0BF9" w:rsidRDefault="00ED0BF9" w:rsidP="00766C30">
            <w:pPr>
              <w:spacing w:after="0" w:line="259" w:lineRule="auto"/>
              <w:ind w:left="0" w:right="48" w:firstLine="0"/>
              <w:jc w:val="center"/>
            </w:pPr>
          </w:p>
        </w:tc>
      </w:tr>
      <w:tr w:rsidR="00EB2E0B" w14:paraId="3436E091" w14:textId="77777777" w:rsidTr="00AD4C91">
        <w:trPr>
          <w:trHeight w:val="250"/>
        </w:trPr>
        <w:tc>
          <w:tcPr>
            <w:tcW w:w="4230" w:type="dxa"/>
            <w:tcBorders>
              <w:top w:val="single" w:sz="4" w:space="0" w:color="000000"/>
              <w:left w:val="single" w:sz="12" w:space="0" w:color="000000"/>
              <w:bottom w:val="single" w:sz="4" w:space="0" w:color="000000"/>
              <w:right w:val="single" w:sz="12" w:space="0" w:color="000000"/>
            </w:tcBorders>
            <w:vAlign w:val="center"/>
          </w:tcPr>
          <w:p w14:paraId="79D97620" w14:textId="4BC22497" w:rsidR="00ED0BF9" w:rsidRDefault="00EE01A3">
            <w:pPr>
              <w:spacing w:after="0" w:line="259" w:lineRule="auto"/>
              <w:ind w:left="0" w:right="0" w:firstLine="0"/>
            </w:pPr>
            <w:proofErr w:type="spellStart"/>
            <w:r>
              <w:rPr>
                <w:sz w:val="18"/>
                <w:szCs w:val="18"/>
              </w:rPr>
              <w:t>Perfluorohexanoic</w:t>
            </w:r>
            <w:proofErr w:type="spellEnd"/>
            <w:r>
              <w:rPr>
                <w:sz w:val="18"/>
                <w:szCs w:val="18"/>
              </w:rPr>
              <w:t xml:space="preserve"> acid (</w:t>
            </w:r>
            <w:proofErr w:type="spellStart"/>
            <w:r>
              <w:rPr>
                <w:sz w:val="18"/>
                <w:szCs w:val="18"/>
              </w:rPr>
              <w:t>PFHxA</w:t>
            </w:r>
            <w:proofErr w:type="spellEnd"/>
            <w:r>
              <w:rPr>
                <w:sz w:val="18"/>
                <w:szCs w:val="18"/>
              </w:rPr>
              <w:t>)</w:t>
            </w:r>
          </w:p>
        </w:tc>
        <w:tc>
          <w:tcPr>
            <w:tcW w:w="1170" w:type="dxa"/>
            <w:tcBorders>
              <w:top w:val="single" w:sz="4" w:space="0" w:color="000000"/>
              <w:left w:val="single" w:sz="12" w:space="0" w:color="000000"/>
              <w:bottom w:val="single" w:sz="4" w:space="0" w:color="000000"/>
              <w:right w:val="single" w:sz="12" w:space="0" w:color="000000"/>
            </w:tcBorders>
            <w:vAlign w:val="center"/>
          </w:tcPr>
          <w:p w14:paraId="2695A93B" w14:textId="720291FD" w:rsidR="00ED0BF9" w:rsidRDefault="00EE01A3" w:rsidP="00766C30">
            <w:pPr>
              <w:spacing w:after="0" w:line="259" w:lineRule="auto"/>
              <w:ind w:left="0" w:right="44" w:firstLine="0"/>
              <w:jc w:val="center"/>
            </w:pPr>
            <w:r>
              <w:rPr>
                <w:sz w:val="18"/>
                <w:szCs w:val="18"/>
              </w:rPr>
              <w:t>307-24-4</w:t>
            </w:r>
          </w:p>
        </w:tc>
        <w:tc>
          <w:tcPr>
            <w:tcW w:w="990" w:type="dxa"/>
            <w:tcBorders>
              <w:top w:val="single" w:sz="4" w:space="0" w:color="000000"/>
              <w:left w:val="single" w:sz="12" w:space="0" w:color="000000"/>
              <w:bottom w:val="single" w:sz="4" w:space="0" w:color="000000"/>
              <w:right w:val="single" w:sz="12" w:space="0" w:color="000000"/>
            </w:tcBorders>
          </w:tcPr>
          <w:p w14:paraId="5689FCCC" w14:textId="3E4C02FB" w:rsidR="00ED0BF9" w:rsidRPr="00A11E0C" w:rsidRDefault="00716C3F" w:rsidP="00766C30">
            <w:pPr>
              <w:tabs>
                <w:tab w:val="center" w:pos="534"/>
              </w:tabs>
              <w:spacing w:after="0" w:line="259" w:lineRule="auto"/>
              <w:ind w:left="0" w:right="0" w:firstLine="0"/>
              <w:jc w:val="center"/>
              <w:rPr>
                <w:sz w:val="18"/>
                <w:szCs w:val="18"/>
              </w:rPr>
            </w:pPr>
            <w:r w:rsidRPr="00E97FAF">
              <w:t>**</w:t>
            </w:r>
          </w:p>
        </w:tc>
        <w:tc>
          <w:tcPr>
            <w:tcW w:w="990" w:type="dxa"/>
            <w:tcBorders>
              <w:top w:val="single" w:sz="4" w:space="0" w:color="000000"/>
              <w:left w:val="single" w:sz="12" w:space="0" w:color="000000"/>
              <w:bottom w:val="single" w:sz="4" w:space="0" w:color="000000"/>
              <w:right w:val="single" w:sz="12" w:space="0" w:color="000000"/>
            </w:tcBorders>
          </w:tcPr>
          <w:p w14:paraId="06B3F913" w14:textId="77777777" w:rsidR="00ED0BF9" w:rsidRPr="000376D7" w:rsidRDefault="00ED0BF9" w:rsidP="00766C30">
            <w:pPr>
              <w:spacing w:after="0" w:line="259" w:lineRule="auto"/>
              <w:ind w:left="0" w:right="44" w:firstLine="0"/>
              <w:jc w:val="center"/>
            </w:pPr>
            <w:r w:rsidRPr="00430F48">
              <w:rPr>
                <w:sz w:val="18"/>
                <w:szCs w:val="18"/>
              </w:rPr>
              <w:t>ng/L</w:t>
            </w:r>
          </w:p>
        </w:tc>
        <w:tc>
          <w:tcPr>
            <w:tcW w:w="812" w:type="dxa"/>
            <w:tcBorders>
              <w:top w:val="single" w:sz="4" w:space="0" w:color="000000"/>
              <w:left w:val="single" w:sz="12" w:space="0" w:color="000000"/>
              <w:bottom w:val="single" w:sz="4" w:space="0" w:color="000000"/>
              <w:right w:val="single" w:sz="12" w:space="0" w:color="000000"/>
            </w:tcBorders>
          </w:tcPr>
          <w:p w14:paraId="41671502" w14:textId="2627E65B" w:rsidR="00ED0BF9" w:rsidRDefault="005E59D8" w:rsidP="00766C30">
            <w:pPr>
              <w:tabs>
                <w:tab w:val="center" w:pos="445"/>
              </w:tabs>
              <w:spacing w:after="0" w:line="259" w:lineRule="auto"/>
              <w:ind w:left="0" w:right="0" w:firstLine="0"/>
              <w:jc w:val="center"/>
            </w:pPr>
            <w:r w:rsidRPr="000A0749">
              <w:rPr>
                <w:sz w:val="18"/>
                <w:szCs w:val="18"/>
              </w:rPr>
              <w:t>N/A</w:t>
            </w:r>
          </w:p>
        </w:tc>
        <w:tc>
          <w:tcPr>
            <w:tcW w:w="1080" w:type="dxa"/>
            <w:tcBorders>
              <w:top w:val="single" w:sz="4" w:space="0" w:color="000000"/>
              <w:left w:val="single" w:sz="12" w:space="0" w:color="000000"/>
              <w:bottom w:val="single" w:sz="4" w:space="0" w:color="000000"/>
              <w:right w:val="single" w:sz="12" w:space="0" w:color="000000"/>
            </w:tcBorders>
          </w:tcPr>
          <w:p w14:paraId="2A9DD607" w14:textId="40DEE8CF" w:rsidR="00ED0BF9" w:rsidRDefault="005E59D8" w:rsidP="00766C30">
            <w:pPr>
              <w:spacing w:after="0" w:line="259" w:lineRule="auto"/>
              <w:ind w:left="0" w:right="46" w:firstLine="0"/>
              <w:jc w:val="center"/>
            </w:pPr>
            <w:r w:rsidRPr="00E742B7">
              <w:rPr>
                <w:sz w:val="18"/>
                <w:szCs w:val="18"/>
              </w:rPr>
              <w:t>N/A</w:t>
            </w:r>
          </w:p>
        </w:tc>
        <w:tc>
          <w:tcPr>
            <w:tcW w:w="720" w:type="dxa"/>
            <w:tcBorders>
              <w:top w:val="single" w:sz="4" w:space="0" w:color="000000"/>
              <w:left w:val="single" w:sz="12" w:space="0" w:color="000000"/>
              <w:bottom w:val="single" w:sz="4" w:space="0" w:color="000000"/>
              <w:right w:val="single" w:sz="12" w:space="0" w:color="000000"/>
            </w:tcBorders>
          </w:tcPr>
          <w:p w14:paraId="04289E64" w14:textId="5118DF66" w:rsidR="00ED0BF9" w:rsidRDefault="00A34F3B" w:rsidP="00766C30">
            <w:pPr>
              <w:spacing w:after="0" w:line="259" w:lineRule="auto"/>
              <w:ind w:left="0" w:right="45" w:firstLine="0"/>
              <w:jc w:val="center"/>
            </w:pPr>
            <w:r w:rsidRPr="00192962">
              <w:rPr>
                <w:sz w:val="18"/>
                <w:szCs w:val="18"/>
              </w:rPr>
              <w:t>8327</w:t>
            </w:r>
          </w:p>
        </w:tc>
        <w:tc>
          <w:tcPr>
            <w:tcW w:w="538" w:type="dxa"/>
            <w:tcBorders>
              <w:top w:val="single" w:sz="4" w:space="0" w:color="000000"/>
              <w:left w:val="single" w:sz="12" w:space="0" w:color="000000"/>
              <w:bottom w:val="single" w:sz="4" w:space="0" w:color="000000"/>
              <w:right w:val="single" w:sz="12" w:space="0" w:color="000000"/>
            </w:tcBorders>
            <w:vAlign w:val="center"/>
          </w:tcPr>
          <w:p w14:paraId="25511F9F" w14:textId="77777777" w:rsidR="00ED0BF9" w:rsidRDefault="00ED0BF9" w:rsidP="00766C30">
            <w:pPr>
              <w:spacing w:after="0" w:line="259" w:lineRule="auto"/>
              <w:ind w:left="0" w:right="48" w:firstLine="0"/>
              <w:jc w:val="center"/>
            </w:pPr>
          </w:p>
        </w:tc>
      </w:tr>
      <w:tr w:rsidR="00EB2E0B" w14:paraId="662E5222" w14:textId="77777777" w:rsidTr="00AD4C91">
        <w:trPr>
          <w:trHeight w:val="250"/>
        </w:trPr>
        <w:tc>
          <w:tcPr>
            <w:tcW w:w="4230" w:type="dxa"/>
            <w:tcBorders>
              <w:top w:val="single" w:sz="4" w:space="0" w:color="000000"/>
              <w:left w:val="single" w:sz="12" w:space="0" w:color="000000"/>
              <w:bottom w:val="single" w:sz="4" w:space="0" w:color="000000"/>
              <w:right w:val="single" w:sz="12" w:space="0" w:color="000000"/>
            </w:tcBorders>
            <w:vAlign w:val="center"/>
          </w:tcPr>
          <w:p w14:paraId="3851F14B" w14:textId="67A78EA5" w:rsidR="00ED0BF9" w:rsidRDefault="00EE01A3">
            <w:pPr>
              <w:spacing w:after="0" w:line="259" w:lineRule="auto"/>
              <w:ind w:left="0" w:right="0" w:firstLine="0"/>
            </w:pPr>
            <w:proofErr w:type="spellStart"/>
            <w:r>
              <w:rPr>
                <w:sz w:val="18"/>
                <w:szCs w:val="18"/>
              </w:rPr>
              <w:t>Perfluoroheptanoic</w:t>
            </w:r>
            <w:proofErr w:type="spellEnd"/>
            <w:r>
              <w:rPr>
                <w:sz w:val="18"/>
                <w:szCs w:val="18"/>
              </w:rPr>
              <w:t xml:space="preserve"> acid (</w:t>
            </w:r>
            <w:proofErr w:type="spellStart"/>
            <w:r>
              <w:rPr>
                <w:sz w:val="18"/>
                <w:szCs w:val="18"/>
              </w:rPr>
              <w:t>PFHpA</w:t>
            </w:r>
            <w:proofErr w:type="spellEnd"/>
            <w:r>
              <w:rPr>
                <w:sz w:val="18"/>
                <w:szCs w:val="18"/>
              </w:rPr>
              <w:t>)</w:t>
            </w:r>
          </w:p>
        </w:tc>
        <w:tc>
          <w:tcPr>
            <w:tcW w:w="1170" w:type="dxa"/>
            <w:tcBorders>
              <w:top w:val="single" w:sz="4" w:space="0" w:color="000000"/>
              <w:left w:val="single" w:sz="12" w:space="0" w:color="000000"/>
              <w:bottom w:val="single" w:sz="4" w:space="0" w:color="000000"/>
              <w:right w:val="single" w:sz="12" w:space="0" w:color="000000"/>
            </w:tcBorders>
            <w:vAlign w:val="center"/>
          </w:tcPr>
          <w:p w14:paraId="3AA2A330" w14:textId="221833F9" w:rsidR="00ED0BF9" w:rsidRDefault="00EE01A3" w:rsidP="00766C30">
            <w:pPr>
              <w:spacing w:after="0" w:line="259" w:lineRule="auto"/>
              <w:ind w:left="0" w:right="44" w:firstLine="0"/>
              <w:jc w:val="center"/>
            </w:pPr>
            <w:r>
              <w:rPr>
                <w:sz w:val="18"/>
                <w:szCs w:val="18"/>
              </w:rPr>
              <w:t>375-85-9</w:t>
            </w:r>
          </w:p>
        </w:tc>
        <w:tc>
          <w:tcPr>
            <w:tcW w:w="990" w:type="dxa"/>
            <w:tcBorders>
              <w:top w:val="single" w:sz="4" w:space="0" w:color="000000"/>
              <w:left w:val="single" w:sz="12" w:space="0" w:color="000000"/>
              <w:bottom w:val="single" w:sz="4" w:space="0" w:color="000000"/>
              <w:right w:val="single" w:sz="12" w:space="0" w:color="000000"/>
            </w:tcBorders>
          </w:tcPr>
          <w:p w14:paraId="0C5B3338" w14:textId="50BCB0C7" w:rsidR="00ED0BF9" w:rsidRPr="00A11E0C" w:rsidRDefault="00716C3F" w:rsidP="00766C30">
            <w:pPr>
              <w:tabs>
                <w:tab w:val="center" w:pos="534"/>
              </w:tabs>
              <w:spacing w:after="0" w:line="259" w:lineRule="auto"/>
              <w:ind w:left="0" w:right="0" w:firstLine="0"/>
              <w:jc w:val="center"/>
              <w:rPr>
                <w:sz w:val="18"/>
                <w:szCs w:val="18"/>
              </w:rPr>
            </w:pPr>
            <w:r w:rsidRPr="00E97FAF">
              <w:t>**</w:t>
            </w:r>
          </w:p>
        </w:tc>
        <w:tc>
          <w:tcPr>
            <w:tcW w:w="990" w:type="dxa"/>
            <w:tcBorders>
              <w:top w:val="single" w:sz="4" w:space="0" w:color="000000"/>
              <w:left w:val="single" w:sz="12" w:space="0" w:color="000000"/>
              <w:bottom w:val="single" w:sz="4" w:space="0" w:color="000000"/>
              <w:right w:val="single" w:sz="12" w:space="0" w:color="000000"/>
            </w:tcBorders>
          </w:tcPr>
          <w:p w14:paraId="21C8A976" w14:textId="77777777" w:rsidR="00ED0BF9" w:rsidRPr="000376D7" w:rsidRDefault="00ED0BF9" w:rsidP="00766C30">
            <w:pPr>
              <w:spacing w:after="0" w:line="259" w:lineRule="auto"/>
              <w:ind w:left="0" w:right="44" w:firstLine="0"/>
              <w:jc w:val="center"/>
            </w:pPr>
            <w:r w:rsidRPr="00430F48">
              <w:rPr>
                <w:sz w:val="18"/>
                <w:szCs w:val="18"/>
              </w:rPr>
              <w:t>ng/L</w:t>
            </w:r>
          </w:p>
        </w:tc>
        <w:tc>
          <w:tcPr>
            <w:tcW w:w="812" w:type="dxa"/>
            <w:tcBorders>
              <w:top w:val="single" w:sz="4" w:space="0" w:color="000000"/>
              <w:left w:val="single" w:sz="12" w:space="0" w:color="000000"/>
              <w:bottom w:val="single" w:sz="4" w:space="0" w:color="000000"/>
              <w:right w:val="single" w:sz="12" w:space="0" w:color="000000"/>
            </w:tcBorders>
          </w:tcPr>
          <w:p w14:paraId="2A19DD99" w14:textId="63BCF025" w:rsidR="00ED0BF9" w:rsidRDefault="005E59D8" w:rsidP="00766C30">
            <w:pPr>
              <w:tabs>
                <w:tab w:val="center" w:pos="399"/>
              </w:tabs>
              <w:spacing w:after="0" w:line="259" w:lineRule="auto"/>
              <w:ind w:left="0" w:right="0" w:firstLine="0"/>
              <w:jc w:val="center"/>
            </w:pPr>
            <w:r w:rsidRPr="000A0749">
              <w:rPr>
                <w:sz w:val="18"/>
                <w:szCs w:val="18"/>
              </w:rPr>
              <w:t>N/A</w:t>
            </w:r>
          </w:p>
        </w:tc>
        <w:tc>
          <w:tcPr>
            <w:tcW w:w="1080" w:type="dxa"/>
            <w:tcBorders>
              <w:top w:val="single" w:sz="4" w:space="0" w:color="000000"/>
              <w:left w:val="single" w:sz="12" w:space="0" w:color="000000"/>
              <w:bottom w:val="single" w:sz="4" w:space="0" w:color="000000"/>
              <w:right w:val="single" w:sz="12" w:space="0" w:color="000000"/>
            </w:tcBorders>
          </w:tcPr>
          <w:p w14:paraId="3D57063B" w14:textId="42963606" w:rsidR="00ED0BF9" w:rsidRDefault="005E59D8" w:rsidP="00766C30">
            <w:pPr>
              <w:spacing w:after="0" w:line="259" w:lineRule="auto"/>
              <w:ind w:left="0" w:right="46" w:firstLine="0"/>
              <w:jc w:val="center"/>
            </w:pPr>
            <w:r w:rsidRPr="00E742B7">
              <w:rPr>
                <w:sz w:val="18"/>
                <w:szCs w:val="18"/>
              </w:rPr>
              <w:t>N/A</w:t>
            </w:r>
          </w:p>
        </w:tc>
        <w:tc>
          <w:tcPr>
            <w:tcW w:w="720" w:type="dxa"/>
            <w:tcBorders>
              <w:top w:val="single" w:sz="4" w:space="0" w:color="000000"/>
              <w:left w:val="single" w:sz="12" w:space="0" w:color="000000"/>
              <w:bottom w:val="single" w:sz="4" w:space="0" w:color="000000"/>
              <w:right w:val="single" w:sz="12" w:space="0" w:color="000000"/>
            </w:tcBorders>
          </w:tcPr>
          <w:p w14:paraId="4E96E27E" w14:textId="423F212C" w:rsidR="00ED0BF9" w:rsidRDefault="00A34F3B" w:rsidP="00766C30">
            <w:pPr>
              <w:spacing w:after="0" w:line="259" w:lineRule="auto"/>
              <w:ind w:left="0" w:right="45" w:firstLine="0"/>
              <w:jc w:val="center"/>
            </w:pPr>
            <w:r w:rsidRPr="00192962">
              <w:rPr>
                <w:sz w:val="18"/>
                <w:szCs w:val="18"/>
              </w:rPr>
              <w:t>8327</w:t>
            </w:r>
          </w:p>
        </w:tc>
        <w:tc>
          <w:tcPr>
            <w:tcW w:w="538" w:type="dxa"/>
            <w:tcBorders>
              <w:top w:val="single" w:sz="4" w:space="0" w:color="000000"/>
              <w:left w:val="single" w:sz="12" w:space="0" w:color="000000"/>
              <w:bottom w:val="single" w:sz="4" w:space="0" w:color="000000"/>
              <w:right w:val="single" w:sz="12" w:space="0" w:color="000000"/>
            </w:tcBorders>
            <w:vAlign w:val="center"/>
          </w:tcPr>
          <w:p w14:paraId="0D7BEC8B" w14:textId="77777777" w:rsidR="00ED0BF9" w:rsidRDefault="00ED0BF9" w:rsidP="00766C30">
            <w:pPr>
              <w:spacing w:after="0" w:line="259" w:lineRule="auto"/>
              <w:ind w:left="0" w:right="48" w:firstLine="0"/>
              <w:jc w:val="center"/>
            </w:pPr>
          </w:p>
        </w:tc>
      </w:tr>
      <w:tr w:rsidR="00EB2E0B" w14:paraId="5BCA531C" w14:textId="77777777" w:rsidTr="00AD4C91">
        <w:trPr>
          <w:trHeight w:val="250"/>
        </w:trPr>
        <w:tc>
          <w:tcPr>
            <w:tcW w:w="4230" w:type="dxa"/>
            <w:tcBorders>
              <w:top w:val="single" w:sz="4" w:space="0" w:color="000000"/>
              <w:left w:val="single" w:sz="12" w:space="0" w:color="000000"/>
              <w:bottom w:val="single" w:sz="4" w:space="0" w:color="000000"/>
              <w:right w:val="single" w:sz="12" w:space="0" w:color="000000"/>
            </w:tcBorders>
            <w:vAlign w:val="center"/>
          </w:tcPr>
          <w:p w14:paraId="1A11C0B0" w14:textId="158E9DBE" w:rsidR="00ED0BF9" w:rsidRDefault="00EE01A3">
            <w:pPr>
              <w:spacing w:after="0" w:line="259" w:lineRule="auto"/>
              <w:ind w:left="0" w:right="0" w:firstLine="0"/>
            </w:pPr>
            <w:r>
              <w:rPr>
                <w:sz w:val="18"/>
                <w:szCs w:val="18"/>
              </w:rPr>
              <w:t>Perfluorooctanoic acid (PFOA)</w:t>
            </w:r>
          </w:p>
        </w:tc>
        <w:tc>
          <w:tcPr>
            <w:tcW w:w="1170" w:type="dxa"/>
            <w:tcBorders>
              <w:top w:val="single" w:sz="4" w:space="0" w:color="000000"/>
              <w:left w:val="single" w:sz="12" w:space="0" w:color="000000"/>
              <w:bottom w:val="single" w:sz="4" w:space="0" w:color="000000"/>
              <w:right w:val="single" w:sz="12" w:space="0" w:color="000000"/>
            </w:tcBorders>
            <w:vAlign w:val="center"/>
          </w:tcPr>
          <w:p w14:paraId="3619EDB7" w14:textId="1B46440A" w:rsidR="00ED0BF9" w:rsidRDefault="00EE01A3" w:rsidP="00766C30">
            <w:pPr>
              <w:spacing w:after="0" w:line="259" w:lineRule="auto"/>
              <w:ind w:left="0" w:right="44" w:firstLine="0"/>
              <w:jc w:val="center"/>
            </w:pPr>
            <w:r>
              <w:rPr>
                <w:sz w:val="18"/>
                <w:szCs w:val="18"/>
              </w:rPr>
              <w:t>335-67-1</w:t>
            </w:r>
          </w:p>
        </w:tc>
        <w:tc>
          <w:tcPr>
            <w:tcW w:w="990" w:type="dxa"/>
            <w:tcBorders>
              <w:top w:val="single" w:sz="4" w:space="0" w:color="000000"/>
              <w:left w:val="single" w:sz="12" w:space="0" w:color="000000"/>
              <w:bottom w:val="single" w:sz="4" w:space="0" w:color="000000"/>
              <w:right w:val="single" w:sz="12" w:space="0" w:color="000000"/>
            </w:tcBorders>
          </w:tcPr>
          <w:p w14:paraId="1BC14DCA" w14:textId="72E3076D" w:rsidR="00ED0BF9" w:rsidRPr="00BB3C27" w:rsidRDefault="00716C3F" w:rsidP="00766C30">
            <w:pPr>
              <w:tabs>
                <w:tab w:val="center" w:pos="534"/>
              </w:tabs>
              <w:spacing w:after="0" w:line="259" w:lineRule="auto"/>
              <w:ind w:left="0" w:right="0" w:firstLine="0"/>
              <w:jc w:val="center"/>
              <w:rPr>
                <w:b/>
                <w:sz w:val="18"/>
                <w:szCs w:val="18"/>
              </w:rPr>
            </w:pPr>
            <w:r w:rsidRPr="00E97FAF">
              <w:t>**</w:t>
            </w:r>
          </w:p>
        </w:tc>
        <w:tc>
          <w:tcPr>
            <w:tcW w:w="990" w:type="dxa"/>
            <w:tcBorders>
              <w:top w:val="single" w:sz="4" w:space="0" w:color="000000"/>
              <w:left w:val="single" w:sz="12" w:space="0" w:color="000000"/>
              <w:bottom w:val="single" w:sz="4" w:space="0" w:color="000000"/>
              <w:right w:val="single" w:sz="12" w:space="0" w:color="000000"/>
            </w:tcBorders>
          </w:tcPr>
          <w:p w14:paraId="61D1FCB9" w14:textId="77777777" w:rsidR="00ED0BF9" w:rsidRPr="000376D7" w:rsidRDefault="00ED0BF9" w:rsidP="00766C30">
            <w:pPr>
              <w:spacing w:after="0" w:line="259" w:lineRule="auto"/>
              <w:ind w:left="0" w:right="44" w:firstLine="0"/>
              <w:jc w:val="center"/>
            </w:pPr>
            <w:r w:rsidRPr="00430F48">
              <w:rPr>
                <w:sz w:val="18"/>
                <w:szCs w:val="18"/>
              </w:rPr>
              <w:t>ng/L</w:t>
            </w:r>
          </w:p>
        </w:tc>
        <w:tc>
          <w:tcPr>
            <w:tcW w:w="812" w:type="dxa"/>
            <w:tcBorders>
              <w:top w:val="single" w:sz="4" w:space="0" w:color="000000"/>
              <w:left w:val="single" w:sz="12" w:space="0" w:color="000000"/>
              <w:bottom w:val="single" w:sz="4" w:space="0" w:color="000000"/>
              <w:right w:val="single" w:sz="12" w:space="0" w:color="000000"/>
            </w:tcBorders>
          </w:tcPr>
          <w:p w14:paraId="4FD923D7" w14:textId="6255B965" w:rsidR="00ED0BF9" w:rsidRDefault="005E59D8" w:rsidP="00766C30">
            <w:pPr>
              <w:tabs>
                <w:tab w:val="center" w:pos="445"/>
              </w:tabs>
              <w:spacing w:after="0" w:line="259" w:lineRule="auto"/>
              <w:ind w:left="0" w:right="0" w:firstLine="0"/>
              <w:jc w:val="center"/>
            </w:pPr>
            <w:r w:rsidRPr="000A0749">
              <w:rPr>
                <w:sz w:val="18"/>
                <w:szCs w:val="18"/>
              </w:rPr>
              <w:t>N/A</w:t>
            </w:r>
          </w:p>
        </w:tc>
        <w:tc>
          <w:tcPr>
            <w:tcW w:w="1080" w:type="dxa"/>
            <w:tcBorders>
              <w:top w:val="single" w:sz="4" w:space="0" w:color="000000"/>
              <w:left w:val="single" w:sz="12" w:space="0" w:color="000000"/>
              <w:bottom w:val="single" w:sz="4" w:space="0" w:color="000000"/>
              <w:right w:val="single" w:sz="12" w:space="0" w:color="000000"/>
            </w:tcBorders>
          </w:tcPr>
          <w:p w14:paraId="5840D8C1" w14:textId="17A36271" w:rsidR="00ED0BF9" w:rsidRDefault="005E59D8" w:rsidP="00766C30">
            <w:pPr>
              <w:spacing w:after="0" w:line="259" w:lineRule="auto"/>
              <w:ind w:left="0" w:right="46" w:firstLine="0"/>
              <w:jc w:val="center"/>
            </w:pPr>
            <w:r w:rsidRPr="00E742B7">
              <w:rPr>
                <w:sz w:val="18"/>
                <w:szCs w:val="18"/>
              </w:rPr>
              <w:t>N/A</w:t>
            </w:r>
          </w:p>
        </w:tc>
        <w:tc>
          <w:tcPr>
            <w:tcW w:w="720" w:type="dxa"/>
            <w:tcBorders>
              <w:top w:val="single" w:sz="4" w:space="0" w:color="000000"/>
              <w:left w:val="single" w:sz="12" w:space="0" w:color="000000"/>
              <w:bottom w:val="single" w:sz="4" w:space="0" w:color="000000"/>
              <w:right w:val="single" w:sz="12" w:space="0" w:color="000000"/>
            </w:tcBorders>
          </w:tcPr>
          <w:p w14:paraId="4AC8424C" w14:textId="0AE87C04" w:rsidR="00ED0BF9" w:rsidRDefault="00A34F3B" w:rsidP="00766C30">
            <w:pPr>
              <w:spacing w:after="0" w:line="259" w:lineRule="auto"/>
              <w:ind w:left="0" w:right="45" w:firstLine="0"/>
              <w:jc w:val="center"/>
            </w:pPr>
            <w:r w:rsidRPr="00192962">
              <w:rPr>
                <w:sz w:val="18"/>
                <w:szCs w:val="18"/>
              </w:rPr>
              <w:t>8327</w:t>
            </w:r>
          </w:p>
        </w:tc>
        <w:tc>
          <w:tcPr>
            <w:tcW w:w="538" w:type="dxa"/>
            <w:tcBorders>
              <w:top w:val="single" w:sz="4" w:space="0" w:color="000000"/>
              <w:left w:val="single" w:sz="12" w:space="0" w:color="000000"/>
              <w:bottom w:val="single" w:sz="4" w:space="0" w:color="000000"/>
              <w:right w:val="single" w:sz="12" w:space="0" w:color="000000"/>
            </w:tcBorders>
            <w:vAlign w:val="center"/>
          </w:tcPr>
          <w:p w14:paraId="7FA443CF" w14:textId="77777777" w:rsidR="00ED0BF9" w:rsidRDefault="00ED0BF9" w:rsidP="00766C30">
            <w:pPr>
              <w:spacing w:after="0" w:line="259" w:lineRule="auto"/>
              <w:ind w:left="0" w:right="48" w:firstLine="0"/>
              <w:jc w:val="center"/>
            </w:pPr>
          </w:p>
        </w:tc>
      </w:tr>
      <w:tr w:rsidR="00EB2E0B" w14:paraId="0B86F621" w14:textId="77777777" w:rsidTr="00AD4C91">
        <w:trPr>
          <w:trHeight w:val="252"/>
        </w:trPr>
        <w:tc>
          <w:tcPr>
            <w:tcW w:w="4230" w:type="dxa"/>
            <w:tcBorders>
              <w:top w:val="single" w:sz="4" w:space="0" w:color="000000"/>
              <w:left w:val="single" w:sz="12" w:space="0" w:color="000000"/>
              <w:bottom w:val="single" w:sz="4" w:space="0" w:color="000000"/>
              <w:right w:val="single" w:sz="12" w:space="0" w:color="000000"/>
            </w:tcBorders>
            <w:vAlign w:val="center"/>
          </w:tcPr>
          <w:p w14:paraId="7BE33D33" w14:textId="71ACE814" w:rsidR="00ED0BF9" w:rsidRDefault="00EE01A3">
            <w:pPr>
              <w:spacing w:after="0" w:line="259" w:lineRule="auto"/>
              <w:ind w:left="0" w:right="0" w:firstLine="0"/>
            </w:pPr>
            <w:proofErr w:type="spellStart"/>
            <w:r>
              <w:rPr>
                <w:sz w:val="18"/>
                <w:szCs w:val="18"/>
              </w:rPr>
              <w:t>Perfluorononanoic</w:t>
            </w:r>
            <w:proofErr w:type="spellEnd"/>
            <w:r>
              <w:rPr>
                <w:sz w:val="18"/>
                <w:szCs w:val="18"/>
              </w:rPr>
              <w:t xml:space="preserve"> acid (PFNA)</w:t>
            </w:r>
          </w:p>
        </w:tc>
        <w:tc>
          <w:tcPr>
            <w:tcW w:w="1170" w:type="dxa"/>
            <w:tcBorders>
              <w:top w:val="single" w:sz="4" w:space="0" w:color="000000"/>
              <w:left w:val="single" w:sz="12" w:space="0" w:color="000000"/>
              <w:bottom w:val="single" w:sz="4" w:space="0" w:color="000000"/>
              <w:right w:val="single" w:sz="12" w:space="0" w:color="000000"/>
            </w:tcBorders>
            <w:vAlign w:val="center"/>
          </w:tcPr>
          <w:p w14:paraId="57AFBA2C" w14:textId="11504D2A" w:rsidR="00ED0BF9" w:rsidRDefault="00EE01A3" w:rsidP="00766C30">
            <w:pPr>
              <w:spacing w:after="0" w:line="259" w:lineRule="auto"/>
              <w:ind w:left="0" w:right="44" w:firstLine="0"/>
              <w:jc w:val="center"/>
            </w:pPr>
            <w:r>
              <w:rPr>
                <w:sz w:val="18"/>
                <w:szCs w:val="18"/>
              </w:rPr>
              <w:t>375-95-1</w:t>
            </w:r>
          </w:p>
        </w:tc>
        <w:tc>
          <w:tcPr>
            <w:tcW w:w="990" w:type="dxa"/>
            <w:tcBorders>
              <w:top w:val="single" w:sz="4" w:space="0" w:color="000000"/>
              <w:left w:val="single" w:sz="12" w:space="0" w:color="000000"/>
              <w:bottom w:val="single" w:sz="4" w:space="0" w:color="000000"/>
              <w:right w:val="single" w:sz="12" w:space="0" w:color="000000"/>
            </w:tcBorders>
          </w:tcPr>
          <w:p w14:paraId="0B861283" w14:textId="71209793" w:rsidR="00ED0BF9" w:rsidRPr="00BB3C27" w:rsidRDefault="00716C3F" w:rsidP="00766C30">
            <w:pPr>
              <w:tabs>
                <w:tab w:val="center" w:pos="534"/>
              </w:tabs>
              <w:spacing w:after="0" w:line="259" w:lineRule="auto"/>
              <w:ind w:left="0" w:right="0" w:firstLine="0"/>
              <w:jc w:val="center"/>
              <w:rPr>
                <w:b/>
                <w:sz w:val="18"/>
                <w:szCs w:val="18"/>
              </w:rPr>
            </w:pPr>
            <w:r w:rsidRPr="00E97FAF">
              <w:t>**</w:t>
            </w:r>
          </w:p>
        </w:tc>
        <w:tc>
          <w:tcPr>
            <w:tcW w:w="990" w:type="dxa"/>
            <w:tcBorders>
              <w:top w:val="single" w:sz="4" w:space="0" w:color="000000"/>
              <w:left w:val="single" w:sz="12" w:space="0" w:color="000000"/>
              <w:bottom w:val="single" w:sz="4" w:space="0" w:color="000000"/>
              <w:right w:val="single" w:sz="12" w:space="0" w:color="000000"/>
            </w:tcBorders>
          </w:tcPr>
          <w:p w14:paraId="3180EDFA" w14:textId="77777777" w:rsidR="00ED0BF9" w:rsidRPr="000376D7" w:rsidRDefault="00ED0BF9" w:rsidP="00766C30">
            <w:pPr>
              <w:spacing w:after="0" w:line="259" w:lineRule="auto"/>
              <w:ind w:left="0" w:right="44" w:firstLine="0"/>
              <w:jc w:val="center"/>
            </w:pPr>
            <w:r w:rsidRPr="00430F48">
              <w:rPr>
                <w:sz w:val="18"/>
                <w:szCs w:val="18"/>
              </w:rPr>
              <w:t>ng/L</w:t>
            </w:r>
          </w:p>
        </w:tc>
        <w:tc>
          <w:tcPr>
            <w:tcW w:w="812" w:type="dxa"/>
            <w:tcBorders>
              <w:top w:val="single" w:sz="4" w:space="0" w:color="000000"/>
              <w:left w:val="single" w:sz="12" w:space="0" w:color="000000"/>
              <w:bottom w:val="single" w:sz="4" w:space="0" w:color="000000"/>
              <w:right w:val="single" w:sz="12" w:space="0" w:color="000000"/>
            </w:tcBorders>
          </w:tcPr>
          <w:p w14:paraId="3A36671D" w14:textId="0DB63E7F" w:rsidR="00ED0BF9" w:rsidRDefault="005E59D8" w:rsidP="00766C30">
            <w:pPr>
              <w:tabs>
                <w:tab w:val="center" w:pos="399"/>
              </w:tabs>
              <w:spacing w:after="0" w:line="259" w:lineRule="auto"/>
              <w:ind w:left="0" w:right="0" w:firstLine="0"/>
              <w:jc w:val="center"/>
            </w:pPr>
            <w:r w:rsidRPr="000A0749">
              <w:rPr>
                <w:sz w:val="18"/>
                <w:szCs w:val="18"/>
              </w:rPr>
              <w:t>N/A</w:t>
            </w:r>
          </w:p>
        </w:tc>
        <w:tc>
          <w:tcPr>
            <w:tcW w:w="1080" w:type="dxa"/>
            <w:tcBorders>
              <w:top w:val="single" w:sz="4" w:space="0" w:color="000000"/>
              <w:left w:val="single" w:sz="12" w:space="0" w:color="000000"/>
              <w:bottom w:val="single" w:sz="4" w:space="0" w:color="000000"/>
              <w:right w:val="single" w:sz="12" w:space="0" w:color="000000"/>
            </w:tcBorders>
          </w:tcPr>
          <w:p w14:paraId="541E8E76" w14:textId="72044FDB" w:rsidR="00ED0BF9" w:rsidRDefault="005E59D8" w:rsidP="00766C30">
            <w:pPr>
              <w:spacing w:after="0" w:line="259" w:lineRule="auto"/>
              <w:ind w:left="0" w:right="46" w:firstLine="0"/>
              <w:jc w:val="center"/>
            </w:pPr>
            <w:r w:rsidRPr="00E742B7">
              <w:rPr>
                <w:sz w:val="18"/>
                <w:szCs w:val="18"/>
              </w:rPr>
              <w:t>N/A</w:t>
            </w:r>
          </w:p>
        </w:tc>
        <w:tc>
          <w:tcPr>
            <w:tcW w:w="720" w:type="dxa"/>
            <w:tcBorders>
              <w:top w:val="single" w:sz="4" w:space="0" w:color="000000"/>
              <w:left w:val="single" w:sz="12" w:space="0" w:color="000000"/>
              <w:bottom w:val="single" w:sz="4" w:space="0" w:color="000000"/>
              <w:right w:val="single" w:sz="12" w:space="0" w:color="000000"/>
            </w:tcBorders>
          </w:tcPr>
          <w:p w14:paraId="334C3749" w14:textId="13EA4F91" w:rsidR="00ED0BF9" w:rsidRDefault="00A34F3B" w:rsidP="00766C30">
            <w:pPr>
              <w:spacing w:after="0" w:line="259" w:lineRule="auto"/>
              <w:ind w:left="0" w:right="45" w:firstLine="0"/>
              <w:jc w:val="center"/>
            </w:pPr>
            <w:r w:rsidRPr="00192962">
              <w:rPr>
                <w:sz w:val="18"/>
                <w:szCs w:val="18"/>
              </w:rPr>
              <w:t>8327</w:t>
            </w:r>
          </w:p>
        </w:tc>
        <w:tc>
          <w:tcPr>
            <w:tcW w:w="538" w:type="dxa"/>
            <w:tcBorders>
              <w:top w:val="single" w:sz="4" w:space="0" w:color="000000"/>
              <w:left w:val="single" w:sz="12" w:space="0" w:color="000000"/>
              <w:bottom w:val="single" w:sz="4" w:space="0" w:color="000000"/>
              <w:right w:val="single" w:sz="12" w:space="0" w:color="000000"/>
            </w:tcBorders>
            <w:vAlign w:val="center"/>
          </w:tcPr>
          <w:p w14:paraId="0DF1AD03" w14:textId="77777777" w:rsidR="00ED0BF9" w:rsidRDefault="00ED0BF9" w:rsidP="00766C30">
            <w:pPr>
              <w:spacing w:after="0" w:line="259" w:lineRule="auto"/>
              <w:ind w:left="0" w:right="48" w:firstLine="0"/>
              <w:jc w:val="center"/>
            </w:pPr>
          </w:p>
        </w:tc>
      </w:tr>
      <w:tr w:rsidR="00EB2E0B" w14:paraId="41939293" w14:textId="77777777" w:rsidTr="00AD4C91">
        <w:trPr>
          <w:trHeight w:val="250"/>
        </w:trPr>
        <w:tc>
          <w:tcPr>
            <w:tcW w:w="4230" w:type="dxa"/>
            <w:tcBorders>
              <w:top w:val="single" w:sz="4" w:space="0" w:color="000000"/>
              <w:left w:val="single" w:sz="12" w:space="0" w:color="000000"/>
              <w:bottom w:val="single" w:sz="4" w:space="0" w:color="000000"/>
              <w:right w:val="single" w:sz="12" w:space="0" w:color="000000"/>
            </w:tcBorders>
            <w:vAlign w:val="center"/>
          </w:tcPr>
          <w:p w14:paraId="539CFFA4" w14:textId="50AD0E83" w:rsidR="00ED0BF9" w:rsidRDefault="00EE01A3">
            <w:pPr>
              <w:spacing w:after="0" w:line="259" w:lineRule="auto"/>
              <w:ind w:left="0" w:right="0" w:firstLine="0"/>
            </w:pPr>
            <w:proofErr w:type="spellStart"/>
            <w:r>
              <w:rPr>
                <w:sz w:val="18"/>
                <w:szCs w:val="18"/>
              </w:rPr>
              <w:t>Perfluorodecanoic</w:t>
            </w:r>
            <w:proofErr w:type="spellEnd"/>
            <w:r>
              <w:rPr>
                <w:sz w:val="18"/>
                <w:szCs w:val="18"/>
              </w:rPr>
              <w:t xml:space="preserve"> acid (PFDA)</w:t>
            </w:r>
          </w:p>
        </w:tc>
        <w:tc>
          <w:tcPr>
            <w:tcW w:w="1170" w:type="dxa"/>
            <w:tcBorders>
              <w:top w:val="single" w:sz="4" w:space="0" w:color="000000"/>
              <w:left w:val="single" w:sz="12" w:space="0" w:color="000000"/>
              <w:bottom w:val="single" w:sz="4" w:space="0" w:color="000000"/>
              <w:right w:val="single" w:sz="12" w:space="0" w:color="000000"/>
            </w:tcBorders>
            <w:vAlign w:val="center"/>
          </w:tcPr>
          <w:p w14:paraId="4908247F" w14:textId="1A1291A8" w:rsidR="00ED0BF9" w:rsidRDefault="00EE01A3" w:rsidP="00766C30">
            <w:pPr>
              <w:spacing w:after="0" w:line="259" w:lineRule="auto"/>
              <w:ind w:left="0" w:right="44" w:firstLine="0"/>
              <w:jc w:val="center"/>
            </w:pPr>
            <w:r>
              <w:rPr>
                <w:sz w:val="18"/>
                <w:szCs w:val="18"/>
              </w:rPr>
              <w:t>335-76-2</w:t>
            </w:r>
          </w:p>
        </w:tc>
        <w:tc>
          <w:tcPr>
            <w:tcW w:w="990" w:type="dxa"/>
            <w:tcBorders>
              <w:top w:val="single" w:sz="4" w:space="0" w:color="000000"/>
              <w:left w:val="single" w:sz="12" w:space="0" w:color="000000"/>
              <w:bottom w:val="single" w:sz="4" w:space="0" w:color="000000"/>
              <w:right w:val="single" w:sz="12" w:space="0" w:color="000000"/>
            </w:tcBorders>
          </w:tcPr>
          <w:p w14:paraId="586D07E2" w14:textId="0A63DE56" w:rsidR="00ED0BF9" w:rsidRPr="00BB3C27" w:rsidRDefault="00716C3F" w:rsidP="00766C30">
            <w:pPr>
              <w:tabs>
                <w:tab w:val="center" w:pos="534"/>
              </w:tabs>
              <w:spacing w:after="0" w:line="259" w:lineRule="auto"/>
              <w:ind w:left="0" w:right="0" w:firstLine="0"/>
              <w:jc w:val="center"/>
              <w:rPr>
                <w:b/>
                <w:sz w:val="18"/>
                <w:szCs w:val="18"/>
              </w:rPr>
            </w:pPr>
            <w:r w:rsidRPr="00E97FAF">
              <w:t>**</w:t>
            </w:r>
          </w:p>
        </w:tc>
        <w:tc>
          <w:tcPr>
            <w:tcW w:w="990" w:type="dxa"/>
            <w:tcBorders>
              <w:top w:val="single" w:sz="4" w:space="0" w:color="000000"/>
              <w:left w:val="single" w:sz="12" w:space="0" w:color="000000"/>
              <w:bottom w:val="single" w:sz="4" w:space="0" w:color="000000"/>
              <w:right w:val="single" w:sz="12" w:space="0" w:color="000000"/>
            </w:tcBorders>
          </w:tcPr>
          <w:p w14:paraId="69D44A95" w14:textId="77777777" w:rsidR="00ED0BF9" w:rsidRPr="000376D7" w:rsidRDefault="00ED0BF9" w:rsidP="00766C30">
            <w:pPr>
              <w:spacing w:after="0" w:line="259" w:lineRule="auto"/>
              <w:ind w:left="0" w:right="44" w:firstLine="0"/>
              <w:jc w:val="center"/>
            </w:pPr>
            <w:r w:rsidRPr="00430F48">
              <w:rPr>
                <w:sz w:val="18"/>
                <w:szCs w:val="18"/>
              </w:rPr>
              <w:t>ng/L</w:t>
            </w:r>
          </w:p>
        </w:tc>
        <w:tc>
          <w:tcPr>
            <w:tcW w:w="812" w:type="dxa"/>
            <w:tcBorders>
              <w:top w:val="single" w:sz="4" w:space="0" w:color="000000"/>
              <w:left w:val="single" w:sz="12" w:space="0" w:color="000000"/>
              <w:bottom w:val="single" w:sz="4" w:space="0" w:color="000000"/>
              <w:right w:val="single" w:sz="12" w:space="0" w:color="000000"/>
            </w:tcBorders>
          </w:tcPr>
          <w:p w14:paraId="103E1C09" w14:textId="238849B5" w:rsidR="00ED0BF9" w:rsidRDefault="005E59D8" w:rsidP="00766C30">
            <w:pPr>
              <w:tabs>
                <w:tab w:val="center" w:pos="445"/>
              </w:tabs>
              <w:spacing w:after="0" w:line="259" w:lineRule="auto"/>
              <w:ind w:left="0" w:right="0" w:firstLine="0"/>
              <w:jc w:val="center"/>
            </w:pPr>
            <w:r w:rsidRPr="000A0749">
              <w:rPr>
                <w:sz w:val="18"/>
                <w:szCs w:val="18"/>
              </w:rPr>
              <w:t>N/A</w:t>
            </w:r>
          </w:p>
        </w:tc>
        <w:tc>
          <w:tcPr>
            <w:tcW w:w="1080" w:type="dxa"/>
            <w:tcBorders>
              <w:top w:val="single" w:sz="4" w:space="0" w:color="000000"/>
              <w:left w:val="single" w:sz="12" w:space="0" w:color="000000"/>
              <w:bottom w:val="single" w:sz="4" w:space="0" w:color="000000"/>
              <w:right w:val="single" w:sz="12" w:space="0" w:color="000000"/>
            </w:tcBorders>
          </w:tcPr>
          <w:p w14:paraId="39C639F2" w14:textId="2A78775A" w:rsidR="00ED0BF9" w:rsidRDefault="005E59D8" w:rsidP="00766C30">
            <w:pPr>
              <w:spacing w:after="0" w:line="259" w:lineRule="auto"/>
              <w:ind w:left="0" w:right="46" w:firstLine="0"/>
              <w:jc w:val="center"/>
            </w:pPr>
            <w:r w:rsidRPr="00E742B7">
              <w:rPr>
                <w:sz w:val="18"/>
                <w:szCs w:val="18"/>
              </w:rPr>
              <w:t>N/A</w:t>
            </w:r>
          </w:p>
        </w:tc>
        <w:tc>
          <w:tcPr>
            <w:tcW w:w="720" w:type="dxa"/>
            <w:tcBorders>
              <w:top w:val="single" w:sz="4" w:space="0" w:color="000000"/>
              <w:left w:val="single" w:sz="12" w:space="0" w:color="000000"/>
              <w:bottom w:val="single" w:sz="4" w:space="0" w:color="000000"/>
              <w:right w:val="single" w:sz="12" w:space="0" w:color="000000"/>
            </w:tcBorders>
          </w:tcPr>
          <w:p w14:paraId="04A9C6FE" w14:textId="1EFB244D" w:rsidR="00ED0BF9" w:rsidRDefault="00A34F3B" w:rsidP="00766C30">
            <w:pPr>
              <w:spacing w:after="0" w:line="259" w:lineRule="auto"/>
              <w:ind w:left="0" w:right="45" w:firstLine="0"/>
              <w:jc w:val="center"/>
            </w:pPr>
            <w:r w:rsidRPr="00192962">
              <w:rPr>
                <w:sz w:val="18"/>
                <w:szCs w:val="18"/>
              </w:rPr>
              <w:t>8327</w:t>
            </w:r>
          </w:p>
        </w:tc>
        <w:tc>
          <w:tcPr>
            <w:tcW w:w="538" w:type="dxa"/>
            <w:tcBorders>
              <w:top w:val="single" w:sz="4" w:space="0" w:color="000000"/>
              <w:left w:val="single" w:sz="12" w:space="0" w:color="000000"/>
              <w:bottom w:val="single" w:sz="4" w:space="0" w:color="000000"/>
              <w:right w:val="single" w:sz="12" w:space="0" w:color="000000"/>
            </w:tcBorders>
            <w:vAlign w:val="center"/>
          </w:tcPr>
          <w:p w14:paraId="0043BC18" w14:textId="77777777" w:rsidR="00ED0BF9" w:rsidRDefault="00ED0BF9" w:rsidP="00766C30">
            <w:pPr>
              <w:spacing w:after="0" w:line="259" w:lineRule="auto"/>
              <w:ind w:left="0" w:right="48" w:firstLine="0"/>
              <w:jc w:val="center"/>
            </w:pPr>
          </w:p>
        </w:tc>
      </w:tr>
      <w:tr w:rsidR="00EB2E0B" w14:paraId="64726506" w14:textId="77777777" w:rsidTr="00AD4C91">
        <w:trPr>
          <w:trHeight w:val="250"/>
        </w:trPr>
        <w:tc>
          <w:tcPr>
            <w:tcW w:w="4230" w:type="dxa"/>
            <w:tcBorders>
              <w:top w:val="single" w:sz="4" w:space="0" w:color="000000"/>
              <w:left w:val="single" w:sz="12" w:space="0" w:color="000000"/>
              <w:bottom w:val="single" w:sz="4" w:space="0" w:color="000000"/>
              <w:right w:val="single" w:sz="12" w:space="0" w:color="000000"/>
            </w:tcBorders>
            <w:vAlign w:val="center"/>
          </w:tcPr>
          <w:p w14:paraId="556AF189" w14:textId="62421272" w:rsidR="00ED0BF9" w:rsidRPr="000B3009" w:rsidRDefault="00EE01A3">
            <w:pPr>
              <w:spacing w:after="0" w:line="259" w:lineRule="auto"/>
              <w:ind w:left="0" w:right="0" w:firstLine="0"/>
            </w:pPr>
            <w:proofErr w:type="spellStart"/>
            <w:r w:rsidRPr="000B3009">
              <w:rPr>
                <w:color w:val="auto"/>
                <w:sz w:val="18"/>
              </w:rPr>
              <w:t>Perfluoroundecanoic</w:t>
            </w:r>
            <w:proofErr w:type="spellEnd"/>
            <w:r w:rsidRPr="000B3009">
              <w:rPr>
                <w:color w:val="auto"/>
                <w:sz w:val="18"/>
              </w:rPr>
              <w:t xml:space="preserve"> acid (</w:t>
            </w:r>
            <w:proofErr w:type="spellStart"/>
            <w:r w:rsidRPr="000B3009">
              <w:rPr>
                <w:color w:val="auto"/>
                <w:sz w:val="18"/>
              </w:rPr>
              <w:t>PFUn</w:t>
            </w:r>
            <w:r w:rsidR="002B5F2C" w:rsidRPr="000B3009">
              <w:rPr>
                <w:color w:val="auto"/>
                <w:sz w:val="18"/>
              </w:rPr>
              <w:t>D</w:t>
            </w:r>
            <w:r w:rsidRPr="000B3009">
              <w:rPr>
                <w:color w:val="auto"/>
                <w:sz w:val="18"/>
              </w:rPr>
              <w:t>A</w:t>
            </w:r>
            <w:proofErr w:type="spellEnd"/>
            <w:r w:rsidRPr="000B3009">
              <w:rPr>
                <w:color w:val="auto"/>
                <w:sz w:val="18"/>
              </w:rPr>
              <w:t>)</w:t>
            </w:r>
          </w:p>
        </w:tc>
        <w:tc>
          <w:tcPr>
            <w:tcW w:w="1170" w:type="dxa"/>
            <w:tcBorders>
              <w:top w:val="single" w:sz="4" w:space="0" w:color="000000"/>
              <w:left w:val="single" w:sz="12" w:space="0" w:color="000000"/>
              <w:bottom w:val="single" w:sz="4" w:space="0" w:color="000000"/>
              <w:right w:val="single" w:sz="12" w:space="0" w:color="000000"/>
            </w:tcBorders>
            <w:vAlign w:val="center"/>
          </w:tcPr>
          <w:p w14:paraId="02C0FEB9" w14:textId="75AC2FE9" w:rsidR="00ED0BF9" w:rsidRDefault="00EE01A3" w:rsidP="00766C30">
            <w:pPr>
              <w:spacing w:after="0" w:line="259" w:lineRule="auto"/>
              <w:ind w:left="0" w:right="44" w:firstLine="0"/>
              <w:jc w:val="center"/>
            </w:pPr>
            <w:r>
              <w:rPr>
                <w:sz w:val="18"/>
              </w:rPr>
              <w:t>2058-94-8</w:t>
            </w:r>
          </w:p>
        </w:tc>
        <w:tc>
          <w:tcPr>
            <w:tcW w:w="990" w:type="dxa"/>
            <w:tcBorders>
              <w:top w:val="single" w:sz="4" w:space="0" w:color="000000"/>
              <w:left w:val="single" w:sz="12" w:space="0" w:color="000000"/>
              <w:bottom w:val="single" w:sz="4" w:space="0" w:color="000000"/>
              <w:right w:val="single" w:sz="12" w:space="0" w:color="000000"/>
            </w:tcBorders>
          </w:tcPr>
          <w:p w14:paraId="40F8AC8A" w14:textId="7EE38487" w:rsidR="00ED0BF9" w:rsidRPr="00210A7C" w:rsidRDefault="00716C3F" w:rsidP="00766C30">
            <w:pPr>
              <w:tabs>
                <w:tab w:val="center" w:pos="534"/>
              </w:tabs>
              <w:spacing w:after="0" w:line="259" w:lineRule="auto"/>
              <w:ind w:left="0" w:right="0" w:firstLine="0"/>
              <w:jc w:val="center"/>
              <w:rPr>
                <w:sz w:val="18"/>
                <w:szCs w:val="18"/>
              </w:rPr>
            </w:pPr>
            <w:r w:rsidRPr="00E97FAF">
              <w:t>**</w:t>
            </w:r>
          </w:p>
        </w:tc>
        <w:tc>
          <w:tcPr>
            <w:tcW w:w="990" w:type="dxa"/>
            <w:tcBorders>
              <w:top w:val="single" w:sz="4" w:space="0" w:color="000000"/>
              <w:left w:val="single" w:sz="12" w:space="0" w:color="000000"/>
              <w:bottom w:val="single" w:sz="4" w:space="0" w:color="000000"/>
              <w:right w:val="single" w:sz="12" w:space="0" w:color="000000"/>
            </w:tcBorders>
            <w:vAlign w:val="center"/>
          </w:tcPr>
          <w:p w14:paraId="1EFFFFDB" w14:textId="77777777" w:rsidR="00ED0BF9" w:rsidRPr="00944FD7" w:rsidRDefault="00ED0BF9" w:rsidP="00766C30">
            <w:pPr>
              <w:spacing w:after="0" w:line="259" w:lineRule="auto"/>
              <w:ind w:left="0" w:right="44" w:firstLine="0"/>
              <w:jc w:val="center"/>
              <w:rPr>
                <w:sz w:val="18"/>
                <w:szCs w:val="18"/>
              </w:rPr>
            </w:pPr>
            <w:r w:rsidRPr="00944FD7">
              <w:rPr>
                <w:sz w:val="18"/>
                <w:szCs w:val="18"/>
              </w:rPr>
              <w:t>ng/L</w:t>
            </w:r>
          </w:p>
        </w:tc>
        <w:tc>
          <w:tcPr>
            <w:tcW w:w="812" w:type="dxa"/>
            <w:tcBorders>
              <w:top w:val="single" w:sz="4" w:space="0" w:color="000000"/>
              <w:left w:val="single" w:sz="12" w:space="0" w:color="000000"/>
              <w:bottom w:val="single" w:sz="4" w:space="0" w:color="000000"/>
              <w:right w:val="single" w:sz="12" w:space="0" w:color="000000"/>
            </w:tcBorders>
          </w:tcPr>
          <w:p w14:paraId="5E07373E" w14:textId="3E8067BD" w:rsidR="00ED0BF9" w:rsidRDefault="005E59D8" w:rsidP="00766C30">
            <w:pPr>
              <w:tabs>
                <w:tab w:val="center" w:pos="445"/>
              </w:tabs>
              <w:spacing w:after="0" w:line="259" w:lineRule="auto"/>
              <w:ind w:left="0" w:right="0" w:firstLine="0"/>
              <w:jc w:val="center"/>
            </w:pPr>
            <w:r w:rsidRPr="000A0749">
              <w:rPr>
                <w:sz w:val="18"/>
                <w:szCs w:val="18"/>
              </w:rPr>
              <w:t>N/A</w:t>
            </w:r>
          </w:p>
        </w:tc>
        <w:tc>
          <w:tcPr>
            <w:tcW w:w="1080" w:type="dxa"/>
            <w:tcBorders>
              <w:top w:val="single" w:sz="4" w:space="0" w:color="000000"/>
              <w:left w:val="single" w:sz="12" w:space="0" w:color="000000"/>
              <w:bottom w:val="single" w:sz="4" w:space="0" w:color="000000"/>
              <w:right w:val="single" w:sz="12" w:space="0" w:color="000000"/>
            </w:tcBorders>
          </w:tcPr>
          <w:p w14:paraId="55DF38B0" w14:textId="6A8775A9" w:rsidR="00ED0BF9" w:rsidRDefault="005E59D8" w:rsidP="00766C30">
            <w:pPr>
              <w:spacing w:after="0" w:line="259" w:lineRule="auto"/>
              <w:ind w:left="0" w:right="46" w:firstLine="0"/>
              <w:jc w:val="center"/>
            </w:pPr>
            <w:r w:rsidRPr="00E742B7">
              <w:rPr>
                <w:sz w:val="18"/>
                <w:szCs w:val="18"/>
              </w:rPr>
              <w:t>N/A</w:t>
            </w:r>
          </w:p>
        </w:tc>
        <w:tc>
          <w:tcPr>
            <w:tcW w:w="720" w:type="dxa"/>
            <w:tcBorders>
              <w:top w:val="single" w:sz="4" w:space="0" w:color="000000"/>
              <w:left w:val="single" w:sz="12" w:space="0" w:color="000000"/>
              <w:bottom w:val="single" w:sz="4" w:space="0" w:color="000000"/>
              <w:right w:val="single" w:sz="12" w:space="0" w:color="000000"/>
            </w:tcBorders>
          </w:tcPr>
          <w:p w14:paraId="6F8E98BE" w14:textId="23AC6169" w:rsidR="00ED0BF9" w:rsidRDefault="00A34F3B" w:rsidP="00766C30">
            <w:pPr>
              <w:spacing w:after="0" w:line="259" w:lineRule="auto"/>
              <w:ind w:left="0" w:right="45" w:firstLine="0"/>
              <w:jc w:val="center"/>
            </w:pPr>
            <w:r w:rsidRPr="00192962">
              <w:rPr>
                <w:sz w:val="18"/>
                <w:szCs w:val="18"/>
              </w:rPr>
              <w:t>8327</w:t>
            </w:r>
          </w:p>
        </w:tc>
        <w:tc>
          <w:tcPr>
            <w:tcW w:w="538" w:type="dxa"/>
            <w:tcBorders>
              <w:top w:val="single" w:sz="4" w:space="0" w:color="000000"/>
              <w:left w:val="single" w:sz="12" w:space="0" w:color="000000"/>
              <w:bottom w:val="single" w:sz="4" w:space="0" w:color="000000"/>
              <w:right w:val="single" w:sz="12" w:space="0" w:color="000000"/>
            </w:tcBorders>
            <w:vAlign w:val="center"/>
          </w:tcPr>
          <w:p w14:paraId="4C86A4F0" w14:textId="77777777" w:rsidR="00ED0BF9" w:rsidRDefault="00ED0BF9" w:rsidP="00766C30">
            <w:pPr>
              <w:spacing w:after="0" w:line="259" w:lineRule="auto"/>
              <w:ind w:left="0" w:right="48" w:firstLine="0"/>
              <w:jc w:val="center"/>
            </w:pPr>
          </w:p>
        </w:tc>
      </w:tr>
      <w:tr w:rsidR="00EB2E0B" w14:paraId="5821313D" w14:textId="77777777" w:rsidTr="00AD4C91">
        <w:trPr>
          <w:trHeight w:val="250"/>
        </w:trPr>
        <w:tc>
          <w:tcPr>
            <w:tcW w:w="4230" w:type="dxa"/>
            <w:tcBorders>
              <w:top w:val="single" w:sz="4" w:space="0" w:color="000000"/>
              <w:left w:val="single" w:sz="12" w:space="0" w:color="000000"/>
              <w:bottom w:val="single" w:sz="4" w:space="0" w:color="000000"/>
              <w:right w:val="single" w:sz="12" w:space="0" w:color="000000"/>
            </w:tcBorders>
            <w:vAlign w:val="center"/>
          </w:tcPr>
          <w:p w14:paraId="139A8F38" w14:textId="0E40FC19" w:rsidR="00ED0BF9" w:rsidRPr="000B3009" w:rsidRDefault="00EE01A3">
            <w:pPr>
              <w:spacing w:after="0" w:line="259" w:lineRule="auto"/>
              <w:ind w:left="0" w:right="0" w:firstLine="0"/>
            </w:pPr>
            <w:proofErr w:type="spellStart"/>
            <w:r w:rsidRPr="000B3009">
              <w:rPr>
                <w:sz w:val="18"/>
                <w:szCs w:val="18"/>
              </w:rPr>
              <w:t>Perfluorododecanoic</w:t>
            </w:r>
            <w:proofErr w:type="spellEnd"/>
            <w:r w:rsidRPr="000B3009">
              <w:rPr>
                <w:sz w:val="18"/>
                <w:szCs w:val="18"/>
              </w:rPr>
              <w:t xml:space="preserve"> acid (</w:t>
            </w:r>
            <w:proofErr w:type="spellStart"/>
            <w:r w:rsidRPr="000B3009">
              <w:rPr>
                <w:sz w:val="18"/>
                <w:szCs w:val="18"/>
              </w:rPr>
              <w:t>PFDo</w:t>
            </w:r>
            <w:r w:rsidR="002B5F2C" w:rsidRPr="000B3009">
              <w:rPr>
                <w:sz w:val="18"/>
                <w:szCs w:val="18"/>
              </w:rPr>
              <w:t>D</w:t>
            </w:r>
            <w:r w:rsidRPr="000B3009">
              <w:rPr>
                <w:sz w:val="18"/>
                <w:szCs w:val="18"/>
              </w:rPr>
              <w:t>A</w:t>
            </w:r>
            <w:proofErr w:type="spellEnd"/>
            <w:r w:rsidRPr="000B3009">
              <w:rPr>
                <w:sz w:val="18"/>
                <w:szCs w:val="18"/>
              </w:rPr>
              <w:t>)</w:t>
            </w:r>
          </w:p>
        </w:tc>
        <w:tc>
          <w:tcPr>
            <w:tcW w:w="1170" w:type="dxa"/>
            <w:tcBorders>
              <w:top w:val="single" w:sz="4" w:space="0" w:color="000000"/>
              <w:left w:val="single" w:sz="12" w:space="0" w:color="000000"/>
              <w:bottom w:val="single" w:sz="4" w:space="0" w:color="000000"/>
              <w:right w:val="single" w:sz="12" w:space="0" w:color="000000"/>
            </w:tcBorders>
            <w:vAlign w:val="center"/>
          </w:tcPr>
          <w:p w14:paraId="2B750A5F" w14:textId="2AA2D1B0" w:rsidR="00ED0BF9" w:rsidRDefault="00EE01A3" w:rsidP="00766C30">
            <w:pPr>
              <w:spacing w:after="0" w:line="259" w:lineRule="auto"/>
              <w:ind w:left="0" w:right="44" w:firstLine="0"/>
              <w:jc w:val="center"/>
            </w:pPr>
            <w:r>
              <w:rPr>
                <w:sz w:val="18"/>
                <w:szCs w:val="18"/>
              </w:rPr>
              <w:t>307-55-1</w:t>
            </w:r>
          </w:p>
        </w:tc>
        <w:tc>
          <w:tcPr>
            <w:tcW w:w="990" w:type="dxa"/>
            <w:tcBorders>
              <w:top w:val="single" w:sz="4" w:space="0" w:color="000000"/>
              <w:left w:val="single" w:sz="12" w:space="0" w:color="000000"/>
              <w:bottom w:val="single" w:sz="4" w:space="0" w:color="000000"/>
              <w:right w:val="single" w:sz="12" w:space="0" w:color="000000"/>
            </w:tcBorders>
          </w:tcPr>
          <w:p w14:paraId="441BACBD" w14:textId="0C514269" w:rsidR="00ED0BF9" w:rsidRPr="00210A7C" w:rsidRDefault="00716C3F" w:rsidP="00766C30">
            <w:pPr>
              <w:tabs>
                <w:tab w:val="center" w:pos="534"/>
              </w:tabs>
              <w:spacing w:after="0" w:line="259" w:lineRule="auto"/>
              <w:ind w:left="0" w:right="0" w:firstLine="0"/>
              <w:jc w:val="center"/>
              <w:rPr>
                <w:sz w:val="18"/>
                <w:szCs w:val="18"/>
              </w:rPr>
            </w:pPr>
            <w:r w:rsidRPr="00E97FAF">
              <w:t>**</w:t>
            </w:r>
          </w:p>
        </w:tc>
        <w:tc>
          <w:tcPr>
            <w:tcW w:w="990" w:type="dxa"/>
            <w:tcBorders>
              <w:top w:val="single" w:sz="4" w:space="0" w:color="000000"/>
              <w:left w:val="single" w:sz="12" w:space="0" w:color="000000"/>
              <w:bottom w:val="single" w:sz="4" w:space="0" w:color="000000"/>
              <w:right w:val="single" w:sz="12" w:space="0" w:color="000000"/>
            </w:tcBorders>
            <w:vAlign w:val="center"/>
          </w:tcPr>
          <w:p w14:paraId="74BE9A69" w14:textId="77777777" w:rsidR="00ED0BF9" w:rsidRPr="00944FD7" w:rsidRDefault="00ED0BF9" w:rsidP="00766C30">
            <w:pPr>
              <w:spacing w:after="0" w:line="259" w:lineRule="auto"/>
              <w:ind w:left="0" w:right="44" w:firstLine="0"/>
              <w:jc w:val="center"/>
              <w:rPr>
                <w:sz w:val="18"/>
                <w:szCs w:val="18"/>
              </w:rPr>
            </w:pPr>
            <w:r w:rsidRPr="00944FD7">
              <w:rPr>
                <w:sz w:val="18"/>
                <w:szCs w:val="18"/>
              </w:rPr>
              <w:t>ng/L</w:t>
            </w:r>
          </w:p>
        </w:tc>
        <w:tc>
          <w:tcPr>
            <w:tcW w:w="812" w:type="dxa"/>
            <w:tcBorders>
              <w:top w:val="single" w:sz="4" w:space="0" w:color="000000"/>
              <w:left w:val="single" w:sz="12" w:space="0" w:color="000000"/>
              <w:bottom w:val="single" w:sz="4" w:space="0" w:color="000000"/>
              <w:right w:val="single" w:sz="12" w:space="0" w:color="000000"/>
            </w:tcBorders>
          </w:tcPr>
          <w:p w14:paraId="4F36A07C" w14:textId="5F18A655" w:rsidR="00ED0BF9" w:rsidRDefault="005E59D8" w:rsidP="00766C30">
            <w:pPr>
              <w:tabs>
                <w:tab w:val="center" w:pos="354"/>
              </w:tabs>
              <w:spacing w:after="0" w:line="259" w:lineRule="auto"/>
              <w:ind w:left="0" w:right="0" w:firstLine="0"/>
              <w:jc w:val="center"/>
            </w:pPr>
            <w:r w:rsidRPr="000A0749">
              <w:rPr>
                <w:sz w:val="18"/>
                <w:szCs w:val="18"/>
              </w:rPr>
              <w:t>N/A</w:t>
            </w:r>
          </w:p>
        </w:tc>
        <w:tc>
          <w:tcPr>
            <w:tcW w:w="1080" w:type="dxa"/>
            <w:tcBorders>
              <w:top w:val="single" w:sz="4" w:space="0" w:color="000000"/>
              <w:left w:val="single" w:sz="12" w:space="0" w:color="000000"/>
              <w:bottom w:val="single" w:sz="4" w:space="0" w:color="000000"/>
              <w:right w:val="single" w:sz="12" w:space="0" w:color="000000"/>
            </w:tcBorders>
          </w:tcPr>
          <w:p w14:paraId="7DB79613" w14:textId="69B9B68C" w:rsidR="00ED0BF9" w:rsidRDefault="005E59D8" w:rsidP="00766C30">
            <w:pPr>
              <w:spacing w:after="0" w:line="259" w:lineRule="auto"/>
              <w:ind w:left="0" w:right="46" w:firstLine="0"/>
              <w:jc w:val="center"/>
            </w:pPr>
            <w:r w:rsidRPr="00E742B7">
              <w:rPr>
                <w:sz w:val="18"/>
                <w:szCs w:val="18"/>
              </w:rPr>
              <w:t>N/A</w:t>
            </w:r>
          </w:p>
        </w:tc>
        <w:tc>
          <w:tcPr>
            <w:tcW w:w="720" w:type="dxa"/>
            <w:tcBorders>
              <w:top w:val="single" w:sz="4" w:space="0" w:color="000000"/>
              <w:left w:val="single" w:sz="12" w:space="0" w:color="000000"/>
              <w:bottom w:val="single" w:sz="4" w:space="0" w:color="000000"/>
              <w:right w:val="single" w:sz="12" w:space="0" w:color="000000"/>
            </w:tcBorders>
          </w:tcPr>
          <w:p w14:paraId="07055FBA" w14:textId="2721BEE8" w:rsidR="00ED0BF9" w:rsidRDefault="00A34F3B" w:rsidP="00766C30">
            <w:pPr>
              <w:spacing w:after="0" w:line="259" w:lineRule="auto"/>
              <w:ind w:left="0" w:right="45" w:firstLine="0"/>
              <w:jc w:val="center"/>
            </w:pPr>
            <w:r w:rsidRPr="00192962">
              <w:rPr>
                <w:sz w:val="18"/>
                <w:szCs w:val="18"/>
              </w:rPr>
              <w:t>8327</w:t>
            </w:r>
          </w:p>
        </w:tc>
        <w:tc>
          <w:tcPr>
            <w:tcW w:w="538" w:type="dxa"/>
            <w:tcBorders>
              <w:top w:val="single" w:sz="4" w:space="0" w:color="000000"/>
              <w:left w:val="single" w:sz="12" w:space="0" w:color="000000"/>
              <w:bottom w:val="single" w:sz="4" w:space="0" w:color="000000"/>
              <w:right w:val="single" w:sz="12" w:space="0" w:color="000000"/>
            </w:tcBorders>
            <w:vAlign w:val="center"/>
          </w:tcPr>
          <w:p w14:paraId="743609C1" w14:textId="77777777" w:rsidR="00ED0BF9" w:rsidRDefault="00ED0BF9" w:rsidP="00766C30">
            <w:pPr>
              <w:spacing w:after="0" w:line="259" w:lineRule="auto"/>
              <w:ind w:left="0" w:right="48" w:firstLine="0"/>
              <w:jc w:val="center"/>
            </w:pPr>
          </w:p>
        </w:tc>
      </w:tr>
      <w:tr w:rsidR="00EB2E0B" w14:paraId="652082FE" w14:textId="77777777" w:rsidTr="00AD4C91">
        <w:trPr>
          <w:trHeight w:val="250"/>
        </w:trPr>
        <w:tc>
          <w:tcPr>
            <w:tcW w:w="4230" w:type="dxa"/>
            <w:tcBorders>
              <w:top w:val="single" w:sz="4" w:space="0" w:color="000000"/>
              <w:left w:val="single" w:sz="12" w:space="0" w:color="000000"/>
              <w:bottom w:val="single" w:sz="4" w:space="0" w:color="000000"/>
              <w:right w:val="single" w:sz="12" w:space="0" w:color="000000"/>
            </w:tcBorders>
            <w:vAlign w:val="center"/>
          </w:tcPr>
          <w:p w14:paraId="0C6AE261" w14:textId="4353086E" w:rsidR="00ED0BF9" w:rsidRPr="00412F98" w:rsidRDefault="00EE01A3">
            <w:pPr>
              <w:spacing w:after="0" w:line="259" w:lineRule="auto"/>
              <w:ind w:left="0" w:right="0" w:firstLine="0"/>
            </w:pPr>
            <w:proofErr w:type="spellStart"/>
            <w:r w:rsidRPr="00412F98">
              <w:rPr>
                <w:sz w:val="18"/>
                <w:szCs w:val="18"/>
              </w:rPr>
              <w:t>Perfluorotridecanoic</w:t>
            </w:r>
            <w:proofErr w:type="spellEnd"/>
            <w:r w:rsidRPr="00412F98">
              <w:rPr>
                <w:sz w:val="18"/>
                <w:szCs w:val="18"/>
              </w:rPr>
              <w:t xml:space="preserve"> acid (</w:t>
            </w:r>
            <w:proofErr w:type="spellStart"/>
            <w:r w:rsidRPr="00412F98">
              <w:rPr>
                <w:sz w:val="18"/>
                <w:szCs w:val="18"/>
              </w:rPr>
              <w:t>PFTrDA</w:t>
            </w:r>
            <w:proofErr w:type="spellEnd"/>
            <w:r w:rsidRPr="00412F98">
              <w:rPr>
                <w:sz w:val="18"/>
                <w:szCs w:val="18"/>
              </w:rPr>
              <w:t>)</w:t>
            </w:r>
          </w:p>
        </w:tc>
        <w:tc>
          <w:tcPr>
            <w:tcW w:w="1170" w:type="dxa"/>
            <w:tcBorders>
              <w:top w:val="single" w:sz="4" w:space="0" w:color="000000"/>
              <w:left w:val="single" w:sz="12" w:space="0" w:color="000000"/>
              <w:bottom w:val="single" w:sz="4" w:space="0" w:color="000000"/>
              <w:right w:val="single" w:sz="12" w:space="0" w:color="000000"/>
            </w:tcBorders>
            <w:vAlign w:val="center"/>
          </w:tcPr>
          <w:p w14:paraId="7B7B6852" w14:textId="63774657" w:rsidR="00ED0BF9" w:rsidRDefault="00EE01A3" w:rsidP="00766C30">
            <w:pPr>
              <w:spacing w:after="0" w:line="259" w:lineRule="auto"/>
              <w:ind w:left="0" w:right="44" w:firstLine="0"/>
              <w:jc w:val="center"/>
            </w:pPr>
            <w:r>
              <w:rPr>
                <w:sz w:val="18"/>
                <w:szCs w:val="18"/>
              </w:rPr>
              <w:t>72629-94-8</w:t>
            </w:r>
          </w:p>
        </w:tc>
        <w:tc>
          <w:tcPr>
            <w:tcW w:w="990" w:type="dxa"/>
            <w:tcBorders>
              <w:top w:val="single" w:sz="4" w:space="0" w:color="000000"/>
              <w:left w:val="single" w:sz="12" w:space="0" w:color="000000"/>
              <w:bottom w:val="single" w:sz="4" w:space="0" w:color="000000"/>
              <w:right w:val="single" w:sz="12" w:space="0" w:color="000000"/>
            </w:tcBorders>
          </w:tcPr>
          <w:p w14:paraId="485DFDC3" w14:textId="3E41AB6B" w:rsidR="00ED0BF9" w:rsidRPr="00210A7C" w:rsidRDefault="00716C3F" w:rsidP="00766C30">
            <w:pPr>
              <w:tabs>
                <w:tab w:val="center" w:pos="534"/>
              </w:tabs>
              <w:spacing w:after="0" w:line="259" w:lineRule="auto"/>
              <w:ind w:left="0" w:right="0" w:firstLine="0"/>
              <w:jc w:val="center"/>
              <w:rPr>
                <w:sz w:val="18"/>
                <w:szCs w:val="18"/>
              </w:rPr>
            </w:pPr>
            <w:r w:rsidRPr="00E97FAF">
              <w:t>**</w:t>
            </w:r>
          </w:p>
        </w:tc>
        <w:tc>
          <w:tcPr>
            <w:tcW w:w="990" w:type="dxa"/>
            <w:tcBorders>
              <w:top w:val="single" w:sz="4" w:space="0" w:color="000000"/>
              <w:left w:val="single" w:sz="12" w:space="0" w:color="000000"/>
              <w:bottom w:val="single" w:sz="4" w:space="0" w:color="000000"/>
              <w:right w:val="single" w:sz="12" w:space="0" w:color="000000"/>
            </w:tcBorders>
            <w:vAlign w:val="center"/>
          </w:tcPr>
          <w:p w14:paraId="58DCF1F0" w14:textId="77777777" w:rsidR="00ED0BF9" w:rsidRPr="00944FD7" w:rsidRDefault="00ED0BF9" w:rsidP="00766C30">
            <w:pPr>
              <w:spacing w:after="0" w:line="259" w:lineRule="auto"/>
              <w:ind w:left="0" w:right="44" w:firstLine="0"/>
              <w:jc w:val="center"/>
              <w:rPr>
                <w:sz w:val="18"/>
                <w:szCs w:val="18"/>
              </w:rPr>
            </w:pPr>
            <w:r w:rsidRPr="00944FD7">
              <w:rPr>
                <w:sz w:val="18"/>
                <w:szCs w:val="18"/>
              </w:rPr>
              <w:t>ng/L</w:t>
            </w:r>
          </w:p>
        </w:tc>
        <w:tc>
          <w:tcPr>
            <w:tcW w:w="812" w:type="dxa"/>
            <w:tcBorders>
              <w:top w:val="single" w:sz="4" w:space="0" w:color="000000"/>
              <w:left w:val="single" w:sz="12" w:space="0" w:color="000000"/>
              <w:bottom w:val="single" w:sz="4" w:space="0" w:color="000000"/>
              <w:right w:val="single" w:sz="12" w:space="0" w:color="000000"/>
            </w:tcBorders>
          </w:tcPr>
          <w:p w14:paraId="2F3A64B2" w14:textId="4FB20191" w:rsidR="00ED0BF9" w:rsidRDefault="005E59D8" w:rsidP="00766C30">
            <w:pPr>
              <w:tabs>
                <w:tab w:val="center" w:pos="354"/>
              </w:tabs>
              <w:spacing w:after="0" w:line="259" w:lineRule="auto"/>
              <w:ind w:left="0" w:right="0" w:firstLine="0"/>
              <w:jc w:val="center"/>
            </w:pPr>
            <w:r w:rsidRPr="000A0749">
              <w:rPr>
                <w:sz w:val="18"/>
                <w:szCs w:val="18"/>
              </w:rPr>
              <w:t>N/A</w:t>
            </w:r>
          </w:p>
        </w:tc>
        <w:tc>
          <w:tcPr>
            <w:tcW w:w="1080" w:type="dxa"/>
            <w:tcBorders>
              <w:top w:val="single" w:sz="4" w:space="0" w:color="000000"/>
              <w:left w:val="single" w:sz="12" w:space="0" w:color="000000"/>
              <w:bottom w:val="single" w:sz="4" w:space="0" w:color="000000"/>
              <w:right w:val="single" w:sz="12" w:space="0" w:color="000000"/>
            </w:tcBorders>
          </w:tcPr>
          <w:p w14:paraId="6E35D8B4" w14:textId="149D171E" w:rsidR="00ED0BF9" w:rsidRDefault="005E59D8" w:rsidP="00766C30">
            <w:pPr>
              <w:spacing w:after="0" w:line="259" w:lineRule="auto"/>
              <w:ind w:left="0" w:right="46" w:firstLine="0"/>
              <w:jc w:val="center"/>
            </w:pPr>
            <w:r w:rsidRPr="00E742B7">
              <w:rPr>
                <w:sz w:val="18"/>
                <w:szCs w:val="18"/>
              </w:rPr>
              <w:t>N/A</w:t>
            </w:r>
          </w:p>
        </w:tc>
        <w:tc>
          <w:tcPr>
            <w:tcW w:w="720" w:type="dxa"/>
            <w:tcBorders>
              <w:top w:val="single" w:sz="4" w:space="0" w:color="000000"/>
              <w:left w:val="single" w:sz="12" w:space="0" w:color="000000"/>
              <w:bottom w:val="single" w:sz="4" w:space="0" w:color="000000"/>
              <w:right w:val="single" w:sz="12" w:space="0" w:color="000000"/>
            </w:tcBorders>
          </w:tcPr>
          <w:p w14:paraId="22C75BA4" w14:textId="54A581E1" w:rsidR="00ED0BF9" w:rsidRDefault="00A34F3B" w:rsidP="00766C30">
            <w:pPr>
              <w:spacing w:after="0" w:line="259" w:lineRule="auto"/>
              <w:ind w:left="0" w:right="45" w:firstLine="0"/>
              <w:jc w:val="center"/>
            </w:pPr>
            <w:r w:rsidRPr="00192962">
              <w:rPr>
                <w:sz w:val="18"/>
                <w:szCs w:val="18"/>
              </w:rPr>
              <w:t>8327</w:t>
            </w:r>
          </w:p>
        </w:tc>
        <w:tc>
          <w:tcPr>
            <w:tcW w:w="538" w:type="dxa"/>
            <w:tcBorders>
              <w:top w:val="single" w:sz="4" w:space="0" w:color="000000"/>
              <w:left w:val="single" w:sz="12" w:space="0" w:color="000000"/>
              <w:bottom w:val="single" w:sz="4" w:space="0" w:color="000000"/>
              <w:right w:val="single" w:sz="12" w:space="0" w:color="000000"/>
            </w:tcBorders>
            <w:vAlign w:val="center"/>
          </w:tcPr>
          <w:p w14:paraId="55136BEF" w14:textId="77777777" w:rsidR="00ED0BF9" w:rsidRDefault="00ED0BF9" w:rsidP="00766C30">
            <w:pPr>
              <w:spacing w:after="0" w:line="259" w:lineRule="auto"/>
              <w:ind w:left="0" w:right="48" w:firstLine="0"/>
              <w:jc w:val="center"/>
            </w:pPr>
          </w:p>
        </w:tc>
      </w:tr>
      <w:tr w:rsidR="00EB2E0B" w14:paraId="2A67B394" w14:textId="77777777" w:rsidTr="00AD4C91">
        <w:trPr>
          <w:trHeight w:val="250"/>
        </w:trPr>
        <w:tc>
          <w:tcPr>
            <w:tcW w:w="4230" w:type="dxa"/>
            <w:tcBorders>
              <w:top w:val="single" w:sz="4" w:space="0" w:color="000000"/>
              <w:left w:val="single" w:sz="12" w:space="0" w:color="000000"/>
              <w:bottom w:val="single" w:sz="4" w:space="0" w:color="000000"/>
              <w:right w:val="single" w:sz="12" w:space="0" w:color="000000"/>
            </w:tcBorders>
            <w:vAlign w:val="center"/>
          </w:tcPr>
          <w:p w14:paraId="2B4E3BF1" w14:textId="71D26466" w:rsidR="00ED0BF9" w:rsidRPr="00412F98" w:rsidRDefault="00EE01A3">
            <w:pPr>
              <w:spacing w:after="0" w:line="259" w:lineRule="auto"/>
              <w:ind w:left="0" w:right="0" w:firstLine="0"/>
            </w:pPr>
            <w:proofErr w:type="spellStart"/>
            <w:r w:rsidRPr="00412F98">
              <w:rPr>
                <w:sz w:val="18"/>
                <w:szCs w:val="18"/>
              </w:rPr>
              <w:t>Perfluorotetradecanoic</w:t>
            </w:r>
            <w:proofErr w:type="spellEnd"/>
            <w:r w:rsidRPr="00412F98">
              <w:rPr>
                <w:sz w:val="18"/>
                <w:szCs w:val="18"/>
              </w:rPr>
              <w:t xml:space="preserve"> acid (</w:t>
            </w:r>
            <w:proofErr w:type="spellStart"/>
            <w:r w:rsidRPr="00412F98">
              <w:rPr>
                <w:sz w:val="18"/>
                <w:szCs w:val="18"/>
              </w:rPr>
              <w:t>PFTeDA</w:t>
            </w:r>
            <w:proofErr w:type="spellEnd"/>
            <w:r w:rsidRPr="00412F98">
              <w:rPr>
                <w:sz w:val="18"/>
                <w:szCs w:val="18"/>
              </w:rPr>
              <w:t>)</w:t>
            </w:r>
          </w:p>
        </w:tc>
        <w:tc>
          <w:tcPr>
            <w:tcW w:w="1170" w:type="dxa"/>
            <w:tcBorders>
              <w:top w:val="single" w:sz="4" w:space="0" w:color="000000"/>
              <w:left w:val="single" w:sz="12" w:space="0" w:color="000000"/>
              <w:bottom w:val="single" w:sz="4" w:space="0" w:color="000000"/>
              <w:right w:val="single" w:sz="12" w:space="0" w:color="000000"/>
            </w:tcBorders>
            <w:vAlign w:val="center"/>
          </w:tcPr>
          <w:p w14:paraId="735E5514" w14:textId="2F62935E" w:rsidR="00ED0BF9" w:rsidRDefault="00EE01A3" w:rsidP="00766C30">
            <w:pPr>
              <w:spacing w:after="0" w:line="259" w:lineRule="auto"/>
              <w:ind w:left="0" w:right="44" w:firstLine="0"/>
              <w:jc w:val="center"/>
            </w:pPr>
            <w:r>
              <w:rPr>
                <w:sz w:val="18"/>
                <w:szCs w:val="18"/>
              </w:rPr>
              <w:t>376-06-7</w:t>
            </w:r>
          </w:p>
        </w:tc>
        <w:tc>
          <w:tcPr>
            <w:tcW w:w="990" w:type="dxa"/>
            <w:tcBorders>
              <w:top w:val="single" w:sz="4" w:space="0" w:color="000000"/>
              <w:left w:val="single" w:sz="12" w:space="0" w:color="000000"/>
              <w:bottom w:val="single" w:sz="4" w:space="0" w:color="000000"/>
              <w:right w:val="single" w:sz="12" w:space="0" w:color="000000"/>
            </w:tcBorders>
          </w:tcPr>
          <w:p w14:paraId="04F2D9E1" w14:textId="23CB5806" w:rsidR="00ED0BF9" w:rsidRPr="00210A7C" w:rsidRDefault="00716C3F" w:rsidP="00766C30">
            <w:pPr>
              <w:tabs>
                <w:tab w:val="center" w:pos="534"/>
              </w:tabs>
              <w:spacing w:after="0" w:line="259" w:lineRule="auto"/>
              <w:ind w:left="0" w:right="0" w:firstLine="0"/>
              <w:jc w:val="center"/>
              <w:rPr>
                <w:sz w:val="18"/>
                <w:szCs w:val="18"/>
              </w:rPr>
            </w:pPr>
            <w:r w:rsidRPr="00E97FAF">
              <w:t>**</w:t>
            </w:r>
          </w:p>
        </w:tc>
        <w:tc>
          <w:tcPr>
            <w:tcW w:w="990" w:type="dxa"/>
            <w:tcBorders>
              <w:top w:val="single" w:sz="4" w:space="0" w:color="000000"/>
              <w:left w:val="single" w:sz="12" w:space="0" w:color="000000"/>
              <w:bottom w:val="single" w:sz="4" w:space="0" w:color="000000"/>
              <w:right w:val="single" w:sz="12" w:space="0" w:color="000000"/>
            </w:tcBorders>
            <w:vAlign w:val="center"/>
          </w:tcPr>
          <w:p w14:paraId="739D38B8" w14:textId="77777777" w:rsidR="00ED0BF9" w:rsidRPr="00944FD7" w:rsidRDefault="00ED0BF9" w:rsidP="00766C30">
            <w:pPr>
              <w:spacing w:after="0" w:line="259" w:lineRule="auto"/>
              <w:ind w:left="0" w:right="44" w:firstLine="0"/>
              <w:jc w:val="center"/>
              <w:rPr>
                <w:sz w:val="18"/>
                <w:szCs w:val="18"/>
              </w:rPr>
            </w:pPr>
            <w:r w:rsidRPr="00944FD7">
              <w:rPr>
                <w:sz w:val="18"/>
                <w:szCs w:val="18"/>
              </w:rPr>
              <w:t>ng/L</w:t>
            </w:r>
          </w:p>
        </w:tc>
        <w:tc>
          <w:tcPr>
            <w:tcW w:w="812" w:type="dxa"/>
            <w:tcBorders>
              <w:top w:val="single" w:sz="4" w:space="0" w:color="000000"/>
              <w:left w:val="single" w:sz="12" w:space="0" w:color="000000"/>
              <w:bottom w:val="single" w:sz="4" w:space="0" w:color="000000"/>
              <w:right w:val="single" w:sz="12" w:space="0" w:color="000000"/>
            </w:tcBorders>
            <w:vAlign w:val="center"/>
          </w:tcPr>
          <w:p w14:paraId="7195DC95" w14:textId="7AF2E6B9" w:rsidR="00ED0BF9" w:rsidRDefault="005E59D8" w:rsidP="00BB3C27">
            <w:pPr>
              <w:tabs>
                <w:tab w:val="center" w:pos="354"/>
              </w:tabs>
              <w:spacing w:after="0" w:line="259" w:lineRule="auto"/>
              <w:ind w:left="0" w:right="0" w:firstLine="0"/>
              <w:jc w:val="center"/>
            </w:pPr>
            <w:r w:rsidRPr="000A0749">
              <w:rPr>
                <w:sz w:val="18"/>
                <w:szCs w:val="18"/>
              </w:rPr>
              <w:t>N/A</w:t>
            </w:r>
          </w:p>
        </w:tc>
        <w:tc>
          <w:tcPr>
            <w:tcW w:w="1080" w:type="dxa"/>
            <w:tcBorders>
              <w:top w:val="single" w:sz="4" w:space="0" w:color="000000"/>
              <w:left w:val="single" w:sz="12" w:space="0" w:color="000000"/>
              <w:bottom w:val="single" w:sz="4" w:space="0" w:color="000000"/>
              <w:right w:val="single" w:sz="12" w:space="0" w:color="000000"/>
            </w:tcBorders>
            <w:vAlign w:val="center"/>
          </w:tcPr>
          <w:p w14:paraId="1D3C3625" w14:textId="698C8FD8" w:rsidR="00ED0BF9" w:rsidRDefault="005E59D8" w:rsidP="00BB3C27">
            <w:pPr>
              <w:spacing w:after="0" w:line="259" w:lineRule="auto"/>
              <w:ind w:left="0" w:right="46" w:firstLine="0"/>
              <w:jc w:val="center"/>
            </w:pPr>
            <w:r w:rsidRPr="00E742B7">
              <w:rPr>
                <w:sz w:val="18"/>
                <w:szCs w:val="18"/>
              </w:rPr>
              <w:t>N/A</w:t>
            </w:r>
          </w:p>
        </w:tc>
        <w:tc>
          <w:tcPr>
            <w:tcW w:w="720" w:type="dxa"/>
            <w:tcBorders>
              <w:top w:val="single" w:sz="4" w:space="0" w:color="000000"/>
              <w:left w:val="single" w:sz="12" w:space="0" w:color="000000"/>
              <w:bottom w:val="single" w:sz="4" w:space="0" w:color="000000"/>
              <w:right w:val="single" w:sz="12" w:space="0" w:color="000000"/>
            </w:tcBorders>
            <w:vAlign w:val="center"/>
          </w:tcPr>
          <w:p w14:paraId="29F5E037" w14:textId="6C746608" w:rsidR="00ED0BF9" w:rsidRDefault="00A34F3B" w:rsidP="00BB3C27">
            <w:pPr>
              <w:spacing w:after="0" w:line="259" w:lineRule="auto"/>
              <w:ind w:left="0" w:right="45" w:firstLine="0"/>
              <w:jc w:val="center"/>
            </w:pPr>
            <w:r w:rsidRPr="00192962">
              <w:rPr>
                <w:sz w:val="18"/>
                <w:szCs w:val="18"/>
              </w:rPr>
              <w:t>8327</w:t>
            </w:r>
          </w:p>
        </w:tc>
        <w:tc>
          <w:tcPr>
            <w:tcW w:w="538" w:type="dxa"/>
            <w:tcBorders>
              <w:top w:val="single" w:sz="4" w:space="0" w:color="000000"/>
              <w:left w:val="single" w:sz="12" w:space="0" w:color="000000"/>
              <w:bottom w:val="single" w:sz="4" w:space="0" w:color="000000"/>
              <w:right w:val="single" w:sz="12" w:space="0" w:color="000000"/>
            </w:tcBorders>
            <w:vAlign w:val="center"/>
          </w:tcPr>
          <w:p w14:paraId="58A76F5A" w14:textId="77777777" w:rsidR="00ED0BF9" w:rsidRDefault="00ED0BF9" w:rsidP="00766C30">
            <w:pPr>
              <w:spacing w:after="0" w:line="259" w:lineRule="auto"/>
              <w:ind w:left="0" w:right="48" w:firstLine="0"/>
              <w:jc w:val="center"/>
            </w:pPr>
          </w:p>
        </w:tc>
      </w:tr>
      <w:tr w:rsidR="00EB2E0B" w14:paraId="25157C47" w14:textId="77777777" w:rsidTr="00AD4C91">
        <w:trPr>
          <w:trHeight w:val="252"/>
        </w:trPr>
        <w:tc>
          <w:tcPr>
            <w:tcW w:w="4230" w:type="dxa"/>
            <w:tcBorders>
              <w:top w:val="single" w:sz="4" w:space="0" w:color="000000"/>
              <w:left w:val="single" w:sz="12" w:space="0" w:color="000000"/>
              <w:bottom w:val="single" w:sz="4" w:space="0" w:color="000000"/>
              <w:right w:val="single" w:sz="12" w:space="0" w:color="000000"/>
            </w:tcBorders>
            <w:vAlign w:val="center"/>
          </w:tcPr>
          <w:p w14:paraId="6760ED1C" w14:textId="0DBE5B75" w:rsidR="00ED0BF9" w:rsidRPr="000B3009" w:rsidRDefault="00B90A08">
            <w:pPr>
              <w:spacing w:after="0" w:line="259" w:lineRule="auto"/>
              <w:ind w:left="0" w:right="0" w:firstLine="0"/>
            </w:pPr>
            <w:r w:rsidRPr="000B3009">
              <w:rPr>
                <w:sz w:val="18"/>
                <w:szCs w:val="18"/>
              </w:rPr>
              <w:t>N-ethyl perfluoro</w:t>
            </w:r>
            <w:r w:rsidR="00F72312" w:rsidRPr="000B3009">
              <w:rPr>
                <w:sz w:val="18"/>
                <w:szCs w:val="18"/>
              </w:rPr>
              <w:t>-1-</w:t>
            </w:r>
            <w:r w:rsidRPr="000B3009">
              <w:rPr>
                <w:sz w:val="18"/>
                <w:szCs w:val="18"/>
              </w:rPr>
              <w:t>octanesulfonamidoacetic acid (</w:t>
            </w:r>
            <w:proofErr w:type="spellStart"/>
            <w:r w:rsidRPr="000B3009">
              <w:rPr>
                <w:sz w:val="18"/>
                <w:szCs w:val="18"/>
              </w:rPr>
              <w:t>NEtFOSAA</w:t>
            </w:r>
            <w:proofErr w:type="spellEnd"/>
            <w:r w:rsidRPr="000B3009">
              <w:rPr>
                <w:sz w:val="18"/>
                <w:szCs w:val="18"/>
              </w:rPr>
              <w:t>)</w:t>
            </w:r>
          </w:p>
        </w:tc>
        <w:tc>
          <w:tcPr>
            <w:tcW w:w="1170" w:type="dxa"/>
            <w:tcBorders>
              <w:top w:val="single" w:sz="4" w:space="0" w:color="000000"/>
              <w:left w:val="single" w:sz="12" w:space="0" w:color="000000"/>
              <w:bottom w:val="single" w:sz="4" w:space="0" w:color="000000"/>
              <w:right w:val="single" w:sz="12" w:space="0" w:color="000000"/>
            </w:tcBorders>
            <w:vAlign w:val="center"/>
          </w:tcPr>
          <w:p w14:paraId="0C753BCB" w14:textId="632A8B20" w:rsidR="00ED0BF9" w:rsidRDefault="00B90A08" w:rsidP="00766C30">
            <w:pPr>
              <w:spacing w:after="0" w:line="259" w:lineRule="auto"/>
              <w:ind w:left="0" w:right="44" w:firstLine="0"/>
              <w:jc w:val="center"/>
            </w:pPr>
            <w:r>
              <w:rPr>
                <w:sz w:val="18"/>
                <w:szCs w:val="18"/>
              </w:rPr>
              <w:t>2991-50-6</w:t>
            </w:r>
          </w:p>
        </w:tc>
        <w:tc>
          <w:tcPr>
            <w:tcW w:w="990" w:type="dxa"/>
            <w:tcBorders>
              <w:top w:val="single" w:sz="4" w:space="0" w:color="000000"/>
              <w:left w:val="single" w:sz="12" w:space="0" w:color="000000"/>
              <w:bottom w:val="single" w:sz="4" w:space="0" w:color="000000"/>
              <w:right w:val="single" w:sz="12" w:space="0" w:color="000000"/>
            </w:tcBorders>
          </w:tcPr>
          <w:p w14:paraId="08838E73" w14:textId="4E0B5A3B" w:rsidR="00ED0BF9" w:rsidRPr="00210A7C" w:rsidRDefault="00716C3F" w:rsidP="00766C30">
            <w:pPr>
              <w:tabs>
                <w:tab w:val="center" w:pos="511"/>
              </w:tabs>
              <w:spacing w:after="0" w:line="259" w:lineRule="auto"/>
              <w:ind w:left="0" w:right="0" w:firstLine="0"/>
              <w:jc w:val="center"/>
              <w:rPr>
                <w:sz w:val="18"/>
                <w:szCs w:val="18"/>
              </w:rPr>
            </w:pPr>
            <w:r w:rsidRPr="00E97FAF">
              <w:t>**</w:t>
            </w:r>
          </w:p>
        </w:tc>
        <w:tc>
          <w:tcPr>
            <w:tcW w:w="990" w:type="dxa"/>
            <w:tcBorders>
              <w:top w:val="single" w:sz="4" w:space="0" w:color="000000"/>
              <w:left w:val="single" w:sz="12" w:space="0" w:color="000000"/>
              <w:bottom w:val="single" w:sz="4" w:space="0" w:color="000000"/>
              <w:right w:val="single" w:sz="12" w:space="0" w:color="000000"/>
            </w:tcBorders>
            <w:vAlign w:val="center"/>
          </w:tcPr>
          <w:p w14:paraId="39FC91FE" w14:textId="77777777" w:rsidR="00ED0BF9" w:rsidRPr="00944FD7" w:rsidRDefault="00ED0BF9" w:rsidP="00766C30">
            <w:pPr>
              <w:spacing w:after="0" w:line="259" w:lineRule="auto"/>
              <w:ind w:left="0" w:right="44" w:firstLine="0"/>
              <w:jc w:val="center"/>
              <w:rPr>
                <w:sz w:val="18"/>
                <w:szCs w:val="18"/>
              </w:rPr>
            </w:pPr>
            <w:r w:rsidRPr="00944FD7">
              <w:rPr>
                <w:sz w:val="18"/>
                <w:szCs w:val="18"/>
              </w:rPr>
              <w:t>ng/L</w:t>
            </w:r>
          </w:p>
        </w:tc>
        <w:tc>
          <w:tcPr>
            <w:tcW w:w="812" w:type="dxa"/>
            <w:tcBorders>
              <w:top w:val="single" w:sz="4" w:space="0" w:color="000000"/>
              <w:left w:val="single" w:sz="12" w:space="0" w:color="000000"/>
              <w:bottom w:val="single" w:sz="4" w:space="0" w:color="000000"/>
              <w:right w:val="single" w:sz="12" w:space="0" w:color="000000"/>
            </w:tcBorders>
            <w:vAlign w:val="center"/>
          </w:tcPr>
          <w:p w14:paraId="29798A4D" w14:textId="538A393F" w:rsidR="00ED0BF9" w:rsidRDefault="005E59D8" w:rsidP="00E87608">
            <w:pPr>
              <w:tabs>
                <w:tab w:val="center" w:pos="308"/>
              </w:tabs>
              <w:spacing w:after="0" w:line="259" w:lineRule="auto"/>
              <w:ind w:left="0" w:right="0" w:firstLine="0"/>
              <w:jc w:val="center"/>
            </w:pPr>
            <w:r w:rsidRPr="000A0749">
              <w:rPr>
                <w:sz w:val="18"/>
                <w:szCs w:val="18"/>
              </w:rPr>
              <w:t>N/A</w:t>
            </w:r>
          </w:p>
        </w:tc>
        <w:tc>
          <w:tcPr>
            <w:tcW w:w="1080" w:type="dxa"/>
            <w:tcBorders>
              <w:top w:val="single" w:sz="4" w:space="0" w:color="000000"/>
              <w:left w:val="single" w:sz="12" w:space="0" w:color="000000"/>
              <w:bottom w:val="single" w:sz="4" w:space="0" w:color="000000"/>
              <w:right w:val="single" w:sz="12" w:space="0" w:color="000000"/>
            </w:tcBorders>
            <w:vAlign w:val="center"/>
          </w:tcPr>
          <w:p w14:paraId="36BB7B53" w14:textId="50774947" w:rsidR="00ED0BF9" w:rsidRDefault="005E59D8" w:rsidP="00E87608">
            <w:pPr>
              <w:spacing w:after="0" w:line="259" w:lineRule="auto"/>
              <w:ind w:left="0" w:right="46" w:firstLine="0"/>
              <w:jc w:val="center"/>
            </w:pPr>
            <w:r w:rsidRPr="00E742B7">
              <w:rPr>
                <w:sz w:val="18"/>
                <w:szCs w:val="18"/>
              </w:rPr>
              <w:t>N/A</w:t>
            </w:r>
          </w:p>
        </w:tc>
        <w:tc>
          <w:tcPr>
            <w:tcW w:w="720" w:type="dxa"/>
            <w:tcBorders>
              <w:top w:val="single" w:sz="4" w:space="0" w:color="000000"/>
              <w:left w:val="single" w:sz="12" w:space="0" w:color="000000"/>
              <w:bottom w:val="single" w:sz="4" w:space="0" w:color="000000"/>
              <w:right w:val="single" w:sz="12" w:space="0" w:color="000000"/>
            </w:tcBorders>
            <w:vAlign w:val="center"/>
          </w:tcPr>
          <w:p w14:paraId="5176E057" w14:textId="487B442E" w:rsidR="00ED0BF9" w:rsidRDefault="00A34F3B" w:rsidP="00E87608">
            <w:pPr>
              <w:spacing w:after="0" w:line="259" w:lineRule="auto"/>
              <w:ind w:left="0" w:right="45" w:firstLine="0"/>
              <w:jc w:val="center"/>
            </w:pPr>
            <w:r w:rsidRPr="00192962">
              <w:rPr>
                <w:sz w:val="18"/>
                <w:szCs w:val="18"/>
              </w:rPr>
              <w:t>8327</w:t>
            </w:r>
          </w:p>
        </w:tc>
        <w:tc>
          <w:tcPr>
            <w:tcW w:w="538" w:type="dxa"/>
            <w:tcBorders>
              <w:top w:val="single" w:sz="4" w:space="0" w:color="000000"/>
              <w:left w:val="single" w:sz="12" w:space="0" w:color="000000"/>
              <w:bottom w:val="single" w:sz="4" w:space="0" w:color="000000"/>
              <w:right w:val="single" w:sz="12" w:space="0" w:color="000000"/>
            </w:tcBorders>
            <w:vAlign w:val="center"/>
          </w:tcPr>
          <w:p w14:paraId="5889447E" w14:textId="77777777" w:rsidR="00ED0BF9" w:rsidRDefault="00ED0BF9" w:rsidP="00766C30">
            <w:pPr>
              <w:spacing w:after="0" w:line="259" w:lineRule="auto"/>
              <w:ind w:left="0" w:right="48" w:firstLine="0"/>
              <w:jc w:val="center"/>
            </w:pPr>
          </w:p>
        </w:tc>
      </w:tr>
      <w:tr w:rsidR="00EB2E0B" w14:paraId="0300DC78" w14:textId="77777777" w:rsidTr="00AD4C91">
        <w:trPr>
          <w:trHeight w:val="250"/>
        </w:trPr>
        <w:tc>
          <w:tcPr>
            <w:tcW w:w="4230" w:type="dxa"/>
            <w:tcBorders>
              <w:top w:val="single" w:sz="4" w:space="0" w:color="000000"/>
              <w:left w:val="single" w:sz="12" w:space="0" w:color="000000"/>
              <w:bottom w:val="single" w:sz="8" w:space="0" w:color="000000"/>
              <w:right w:val="single" w:sz="12" w:space="0" w:color="000000"/>
            </w:tcBorders>
            <w:vAlign w:val="center"/>
          </w:tcPr>
          <w:p w14:paraId="444D75DA" w14:textId="05297259" w:rsidR="00ED0BF9" w:rsidRPr="000B3009" w:rsidRDefault="00B90A08">
            <w:pPr>
              <w:spacing w:after="0" w:line="259" w:lineRule="auto"/>
              <w:ind w:left="0" w:right="0" w:firstLine="0"/>
            </w:pPr>
            <w:r w:rsidRPr="000B3009">
              <w:rPr>
                <w:sz w:val="18"/>
                <w:szCs w:val="18"/>
              </w:rPr>
              <w:t>N-methyl perfluoro</w:t>
            </w:r>
            <w:r w:rsidR="00F72312" w:rsidRPr="000B3009">
              <w:rPr>
                <w:sz w:val="18"/>
                <w:szCs w:val="18"/>
              </w:rPr>
              <w:t>-1-</w:t>
            </w:r>
            <w:r w:rsidRPr="000B3009">
              <w:rPr>
                <w:sz w:val="18"/>
                <w:szCs w:val="18"/>
              </w:rPr>
              <w:t>octanesulfonamidoacetic acid (</w:t>
            </w:r>
            <w:proofErr w:type="spellStart"/>
            <w:r w:rsidRPr="000B3009">
              <w:rPr>
                <w:sz w:val="18"/>
                <w:szCs w:val="18"/>
              </w:rPr>
              <w:t>NMeFOSAA</w:t>
            </w:r>
            <w:proofErr w:type="spellEnd"/>
            <w:r w:rsidRPr="000B3009">
              <w:rPr>
                <w:sz w:val="18"/>
                <w:szCs w:val="18"/>
              </w:rPr>
              <w:t>)</w:t>
            </w:r>
          </w:p>
        </w:tc>
        <w:tc>
          <w:tcPr>
            <w:tcW w:w="1170" w:type="dxa"/>
            <w:tcBorders>
              <w:top w:val="single" w:sz="4" w:space="0" w:color="000000"/>
              <w:left w:val="single" w:sz="12" w:space="0" w:color="000000"/>
              <w:bottom w:val="single" w:sz="8" w:space="0" w:color="000000"/>
              <w:right w:val="single" w:sz="12" w:space="0" w:color="000000"/>
            </w:tcBorders>
            <w:vAlign w:val="center"/>
          </w:tcPr>
          <w:p w14:paraId="6AAEFFAA" w14:textId="07C15D2A" w:rsidR="00ED0BF9" w:rsidRDefault="00B90A08" w:rsidP="00766C30">
            <w:pPr>
              <w:spacing w:after="0" w:line="259" w:lineRule="auto"/>
              <w:ind w:left="0" w:right="44" w:firstLine="0"/>
              <w:jc w:val="center"/>
            </w:pPr>
            <w:r>
              <w:rPr>
                <w:sz w:val="18"/>
                <w:szCs w:val="18"/>
              </w:rPr>
              <w:t>2355-31-9</w:t>
            </w:r>
          </w:p>
        </w:tc>
        <w:tc>
          <w:tcPr>
            <w:tcW w:w="990" w:type="dxa"/>
            <w:tcBorders>
              <w:top w:val="single" w:sz="4" w:space="0" w:color="000000"/>
              <w:left w:val="single" w:sz="12" w:space="0" w:color="000000"/>
              <w:bottom w:val="single" w:sz="8" w:space="0" w:color="000000"/>
              <w:right w:val="single" w:sz="12" w:space="0" w:color="000000"/>
            </w:tcBorders>
          </w:tcPr>
          <w:p w14:paraId="569303EF" w14:textId="24915783" w:rsidR="00ED0BF9" w:rsidRPr="00210A7C" w:rsidRDefault="00716C3F" w:rsidP="00766C30">
            <w:pPr>
              <w:tabs>
                <w:tab w:val="center" w:pos="534"/>
              </w:tabs>
              <w:spacing w:after="0" w:line="259" w:lineRule="auto"/>
              <w:ind w:left="0" w:right="0" w:firstLine="0"/>
              <w:jc w:val="center"/>
              <w:rPr>
                <w:sz w:val="18"/>
                <w:szCs w:val="18"/>
              </w:rPr>
            </w:pPr>
            <w:r w:rsidRPr="00E97FAF">
              <w:t>**</w:t>
            </w:r>
          </w:p>
        </w:tc>
        <w:tc>
          <w:tcPr>
            <w:tcW w:w="990" w:type="dxa"/>
            <w:tcBorders>
              <w:top w:val="single" w:sz="4" w:space="0" w:color="000000"/>
              <w:left w:val="single" w:sz="12" w:space="0" w:color="000000"/>
              <w:bottom w:val="single" w:sz="8" w:space="0" w:color="000000"/>
              <w:right w:val="single" w:sz="12" w:space="0" w:color="000000"/>
            </w:tcBorders>
            <w:vAlign w:val="center"/>
          </w:tcPr>
          <w:p w14:paraId="610AC63B" w14:textId="77777777" w:rsidR="00ED0BF9" w:rsidRPr="00944FD7" w:rsidRDefault="00ED0BF9" w:rsidP="00766C30">
            <w:pPr>
              <w:spacing w:after="0" w:line="259" w:lineRule="auto"/>
              <w:ind w:left="0" w:right="44" w:firstLine="0"/>
              <w:jc w:val="center"/>
              <w:rPr>
                <w:sz w:val="18"/>
                <w:szCs w:val="18"/>
              </w:rPr>
            </w:pPr>
            <w:r w:rsidRPr="00944FD7">
              <w:rPr>
                <w:sz w:val="18"/>
                <w:szCs w:val="18"/>
              </w:rPr>
              <w:t>ng/L</w:t>
            </w:r>
          </w:p>
        </w:tc>
        <w:tc>
          <w:tcPr>
            <w:tcW w:w="812" w:type="dxa"/>
            <w:tcBorders>
              <w:top w:val="single" w:sz="4" w:space="0" w:color="000000"/>
              <w:left w:val="single" w:sz="12" w:space="0" w:color="000000"/>
              <w:bottom w:val="single" w:sz="8" w:space="0" w:color="000000"/>
              <w:right w:val="single" w:sz="12" w:space="0" w:color="000000"/>
            </w:tcBorders>
            <w:vAlign w:val="center"/>
          </w:tcPr>
          <w:p w14:paraId="7563C08A" w14:textId="78C31168" w:rsidR="00ED0BF9" w:rsidRDefault="005E59D8" w:rsidP="00E87608">
            <w:pPr>
              <w:tabs>
                <w:tab w:val="center" w:pos="354"/>
              </w:tabs>
              <w:spacing w:after="0" w:line="259" w:lineRule="auto"/>
              <w:ind w:left="0" w:right="0" w:firstLine="0"/>
              <w:jc w:val="center"/>
            </w:pPr>
            <w:r w:rsidRPr="000A0749">
              <w:rPr>
                <w:sz w:val="18"/>
                <w:szCs w:val="18"/>
              </w:rPr>
              <w:t>N/A</w:t>
            </w:r>
          </w:p>
        </w:tc>
        <w:tc>
          <w:tcPr>
            <w:tcW w:w="1080" w:type="dxa"/>
            <w:tcBorders>
              <w:top w:val="single" w:sz="4" w:space="0" w:color="000000"/>
              <w:left w:val="single" w:sz="12" w:space="0" w:color="000000"/>
              <w:bottom w:val="single" w:sz="8" w:space="0" w:color="000000"/>
              <w:right w:val="single" w:sz="12" w:space="0" w:color="000000"/>
            </w:tcBorders>
            <w:vAlign w:val="center"/>
          </w:tcPr>
          <w:p w14:paraId="0EDE58AF" w14:textId="0B4313A5" w:rsidR="00ED0BF9" w:rsidRDefault="005E59D8" w:rsidP="00E87608">
            <w:pPr>
              <w:spacing w:after="0" w:line="259" w:lineRule="auto"/>
              <w:ind w:left="0" w:right="46" w:firstLine="0"/>
              <w:jc w:val="center"/>
            </w:pPr>
            <w:r w:rsidRPr="00E742B7">
              <w:rPr>
                <w:sz w:val="18"/>
                <w:szCs w:val="18"/>
              </w:rPr>
              <w:t>N/A</w:t>
            </w:r>
          </w:p>
        </w:tc>
        <w:tc>
          <w:tcPr>
            <w:tcW w:w="720" w:type="dxa"/>
            <w:tcBorders>
              <w:top w:val="single" w:sz="4" w:space="0" w:color="000000"/>
              <w:left w:val="single" w:sz="12" w:space="0" w:color="000000"/>
              <w:bottom w:val="single" w:sz="8" w:space="0" w:color="000000"/>
              <w:right w:val="single" w:sz="12" w:space="0" w:color="000000"/>
            </w:tcBorders>
            <w:vAlign w:val="center"/>
          </w:tcPr>
          <w:p w14:paraId="02FCF071" w14:textId="3BF37B8B" w:rsidR="00ED0BF9" w:rsidRDefault="00A34F3B" w:rsidP="00E87608">
            <w:pPr>
              <w:spacing w:after="0" w:line="259" w:lineRule="auto"/>
              <w:ind w:left="0" w:right="45" w:firstLine="0"/>
              <w:jc w:val="center"/>
            </w:pPr>
            <w:r w:rsidRPr="00192962">
              <w:rPr>
                <w:sz w:val="18"/>
                <w:szCs w:val="18"/>
              </w:rPr>
              <w:t>8327</w:t>
            </w:r>
          </w:p>
        </w:tc>
        <w:tc>
          <w:tcPr>
            <w:tcW w:w="538" w:type="dxa"/>
            <w:tcBorders>
              <w:top w:val="single" w:sz="4" w:space="0" w:color="000000"/>
              <w:left w:val="single" w:sz="12" w:space="0" w:color="000000"/>
              <w:bottom w:val="single" w:sz="8" w:space="0" w:color="000000"/>
              <w:right w:val="single" w:sz="12" w:space="0" w:color="000000"/>
            </w:tcBorders>
            <w:vAlign w:val="center"/>
          </w:tcPr>
          <w:p w14:paraId="3CA0E1BD" w14:textId="77777777" w:rsidR="00ED0BF9" w:rsidRDefault="00ED0BF9" w:rsidP="00766C30">
            <w:pPr>
              <w:spacing w:after="0" w:line="259" w:lineRule="auto"/>
              <w:ind w:left="0" w:right="48" w:firstLine="0"/>
              <w:jc w:val="center"/>
            </w:pPr>
          </w:p>
        </w:tc>
      </w:tr>
      <w:tr w:rsidR="00EB2E0B" w14:paraId="4C529CF4" w14:textId="77777777" w:rsidTr="00AD4C91">
        <w:trPr>
          <w:trHeight w:val="507"/>
        </w:trPr>
        <w:tc>
          <w:tcPr>
            <w:tcW w:w="4230" w:type="dxa"/>
            <w:tcBorders>
              <w:top w:val="single" w:sz="8" w:space="0" w:color="000000"/>
              <w:left w:val="single" w:sz="12" w:space="0" w:color="000000"/>
              <w:bottom w:val="single" w:sz="12" w:space="0" w:color="000000"/>
              <w:right w:val="single" w:sz="12" w:space="0" w:color="000000"/>
            </w:tcBorders>
            <w:vAlign w:val="center"/>
          </w:tcPr>
          <w:p w14:paraId="531692AD" w14:textId="72A2BB3A" w:rsidR="00ED0BF9" w:rsidRDefault="00BD7578">
            <w:pPr>
              <w:spacing w:after="0" w:line="259" w:lineRule="auto"/>
              <w:ind w:left="0" w:right="0" w:firstLine="0"/>
              <w:rPr>
                <w:sz w:val="18"/>
              </w:rPr>
            </w:pPr>
            <w:proofErr w:type="spellStart"/>
            <w:r>
              <w:rPr>
                <w:sz w:val="18"/>
                <w:szCs w:val="18"/>
              </w:rPr>
              <w:t>Perfluorooctanesulfonamide</w:t>
            </w:r>
            <w:proofErr w:type="spellEnd"/>
            <w:r>
              <w:rPr>
                <w:sz w:val="18"/>
                <w:szCs w:val="18"/>
              </w:rPr>
              <w:t xml:space="preserve"> (PFOSA)</w:t>
            </w:r>
          </w:p>
        </w:tc>
        <w:tc>
          <w:tcPr>
            <w:tcW w:w="1170" w:type="dxa"/>
            <w:tcBorders>
              <w:top w:val="single" w:sz="8" w:space="0" w:color="000000"/>
              <w:left w:val="single" w:sz="12" w:space="0" w:color="000000"/>
              <w:bottom w:val="single" w:sz="12" w:space="0" w:color="000000"/>
              <w:right w:val="single" w:sz="12" w:space="0" w:color="000000"/>
            </w:tcBorders>
            <w:vAlign w:val="center"/>
          </w:tcPr>
          <w:p w14:paraId="2405E1B3" w14:textId="67F5A717" w:rsidR="00ED0BF9" w:rsidRDefault="00BD7578" w:rsidP="00766C30">
            <w:pPr>
              <w:spacing w:after="0" w:line="259" w:lineRule="auto"/>
              <w:ind w:left="0" w:right="44" w:firstLine="0"/>
              <w:jc w:val="center"/>
              <w:rPr>
                <w:sz w:val="18"/>
              </w:rPr>
            </w:pPr>
            <w:r>
              <w:rPr>
                <w:sz w:val="18"/>
                <w:szCs w:val="18"/>
              </w:rPr>
              <w:t>754-19-6</w:t>
            </w:r>
          </w:p>
        </w:tc>
        <w:tc>
          <w:tcPr>
            <w:tcW w:w="990" w:type="dxa"/>
            <w:tcBorders>
              <w:top w:val="single" w:sz="8" w:space="0" w:color="000000"/>
              <w:left w:val="single" w:sz="12" w:space="0" w:color="000000"/>
              <w:bottom w:val="single" w:sz="12" w:space="0" w:color="000000"/>
              <w:right w:val="single" w:sz="12" w:space="0" w:color="000000"/>
            </w:tcBorders>
          </w:tcPr>
          <w:p w14:paraId="10B05B42" w14:textId="76D6FA67" w:rsidR="00ED0BF9" w:rsidRDefault="00716C3F" w:rsidP="00766C30">
            <w:pPr>
              <w:tabs>
                <w:tab w:val="center" w:pos="534"/>
              </w:tabs>
              <w:spacing w:after="0" w:line="259" w:lineRule="auto"/>
              <w:ind w:left="0" w:right="0" w:firstLine="0"/>
              <w:jc w:val="center"/>
              <w:rPr>
                <w:sz w:val="18"/>
              </w:rPr>
            </w:pPr>
            <w:r w:rsidRPr="00E97FAF">
              <w:t>**</w:t>
            </w:r>
          </w:p>
        </w:tc>
        <w:tc>
          <w:tcPr>
            <w:tcW w:w="990" w:type="dxa"/>
            <w:tcBorders>
              <w:top w:val="single" w:sz="8" w:space="0" w:color="000000"/>
              <w:left w:val="single" w:sz="12" w:space="0" w:color="000000"/>
              <w:bottom w:val="single" w:sz="12" w:space="0" w:color="000000"/>
              <w:right w:val="single" w:sz="12" w:space="0" w:color="auto"/>
            </w:tcBorders>
            <w:vAlign w:val="center"/>
          </w:tcPr>
          <w:p w14:paraId="58A9B48A" w14:textId="77777777" w:rsidR="00ED0BF9" w:rsidRPr="00140536" w:rsidRDefault="00ED0BF9" w:rsidP="00766C30">
            <w:pPr>
              <w:spacing w:after="0" w:line="259" w:lineRule="auto"/>
              <w:ind w:left="0" w:right="44" w:firstLine="0"/>
              <w:jc w:val="center"/>
              <w:rPr>
                <w:rFonts w:eastAsia="Segoe UI Symbol"/>
                <w:sz w:val="18"/>
              </w:rPr>
            </w:pPr>
            <w:r>
              <w:rPr>
                <w:rFonts w:eastAsia="Segoe UI Symbol"/>
                <w:sz w:val="18"/>
              </w:rPr>
              <w:t>ng/L</w:t>
            </w:r>
          </w:p>
        </w:tc>
        <w:tc>
          <w:tcPr>
            <w:tcW w:w="812" w:type="dxa"/>
            <w:tcBorders>
              <w:top w:val="single" w:sz="8" w:space="0" w:color="000000"/>
              <w:left w:val="single" w:sz="12" w:space="0" w:color="auto"/>
              <w:bottom w:val="single" w:sz="12" w:space="0" w:color="000000"/>
              <w:right w:val="single" w:sz="12" w:space="0" w:color="000000"/>
            </w:tcBorders>
            <w:vAlign w:val="center"/>
          </w:tcPr>
          <w:p w14:paraId="017FE981" w14:textId="6E7FB5B8" w:rsidR="00ED0BF9" w:rsidRDefault="005E59D8" w:rsidP="00E87608">
            <w:pPr>
              <w:tabs>
                <w:tab w:val="center" w:pos="354"/>
              </w:tabs>
              <w:spacing w:after="0" w:line="259" w:lineRule="auto"/>
              <w:ind w:left="0" w:right="0" w:firstLine="0"/>
              <w:jc w:val="center"/>
              <w:rPr>
                <w:sz w:val="18"/>
              </w:rPr>
            </w:pPr>
            <w:r w:rsidRPr="000A0749">
              <w:rPr>
                <w:sz w:val="18"/>
                <w:szCs w:val="18"/>
              </w:rPr>
              <w:t>N/A</w:t>
            </w:r>
          </w:p>
        </w:tc>
        <w:tc>
          <w:tcPr>
            <w:tcW w:w="1080" w:type="dxa"/>
            <w:tcBorders>
              <w:top w:val="single" w:sz="8" w:space="0" w:color="000000"/>
              <w:left w:val="single" w:sz="12" w:space="0" w:color="000000"/>
              <w:bottom w:val="single" w:sz="12" w:space="0" w:color="000000"/>
              <w:right w:val="single" w:sz="12" w:space="0" w:color="000000"/>
            </w:tcBorders>
            <w:vAlign w:val="center"/>
          </w:tcPr>
          <w:p w14:paraId="232DA566" w14:textId="2755552B" w:rsidR="00ED0BF9" w:rsidRDefault="005E59D8" w:rsidP="00E87608">
            <w:pPr>
              <w:spacing w:after="0" w:line="259" w:lineRule="auto"/>
              <w:ind w:left="0" w:right="46" w:firstLine="0"/>
              <w:jc w:val="center"/>
              <w:rPr>
                <w:rFonts w:eastAsia="Segoe UI Symbol"/>
                <w:sz w:val="18"/>
              </w:rPr>
            </w:pPr>
            <w:r w:rsidRPr="00E742B7">
              <w:rPr>
                <w:sz w:val="18"/>
                <w:szCs w:val="18"/>
              </w:rPr>
              <w:t>N/A</w:t>
            </w:r>
          </w:p>
        </w:tc>
        <w:tc>
          <w:tcPr>
            <w:tcW w:w="720" w:type="dxa"/>
            <w:tcBorders>
              <w:top w:val="single" w:sz="8" w:space="0" w:color="000000"/>
              <w:left w:val="single" w:sz="12" w:space="0" w:color="000000"/>
              <w:bottom w:val="single" w:sz="12" w:space="0" w:color="000000"/>
              <w:right w:val="single" w:sz="12" w:space="0" w:color="000000"/>
            </w:tcBorders>
            <w:vAlign w:val="center"/>
          </w:tcPr>
          <w:p w14:paraId="292F01FD" w14:textId="06D74D61" w:rsidR="00ED0BF9" w:rsidRDefault="00A34F3B" w:rsidP="00E87608">
            <w:pPr>
              <w:spacing w:after="0" w:line="259" w:lineRule="auto"/>
              <w:ind w:left="0" w:right="45" w:firstLine="0"/>
              <w:jc w:val="center"/>
              <w:rPr>
                <w:b/>
                <w:sz w:val="18"/>
              </w:rPr>
            </w:pPr>
            <w:r w:rsidRPr="00192962">
              <w:rPr>
                <w:sz w:val="18"/>
                <w:szCs w:val="18"/>
              </w:rPr>
              <w:t>8327</w:t>
            </w:r>
          </w:p>
        </w:tc>
        <w:tc>
          <w:tcPr>
            <w:tcW w:w="538" w:type="dxa"/>
            <w:tcBorders>
              <w:top w:val="single" w:sz="8" w:space="0" w:color="000000"/>
              <w:left w:val="single" w:sz="12" w:space="0" w:color="000000"/>
              <w:bottom w:val="single" w:sz="12" w:space="0" w:color="000000"/>
              <w:right w:val="single" w:sz="12" w:space="0" w:color="000000"/>
            </w:tcBorders>
            <w:vAlign w:val="center"/>
          </w:tcPr>
          <w:p w14:paraId="0B6C1447" w14:textId="77777777" w:rsidR="00ED0BF9" w:rsidRDefault="00ED0BF9" w:rsidP="00766C30">
            <w:pPr>
              <w:spacing w:after="0" w:line="259" w:lineRule="auto"/>
              <w:ind w:left="0" w:right="48" w:firstLine="0"/>
              <w:jc w:val="center"/>
              <w:rPr>
                <w:sz w:val="18"/>
              </w:rPr>
            </w:pPr>
          </w:p>
        </w:tc>
      </w:tr>
    </w:tbl>
    <w:p w14:paraId="2A6268DA" w14:textId="77777777" w:rsidR="00CB1E7C" w:rsidRDefault="00CB1E7C" w:rsidP="00CB1E7C"/>
    <w:p w14:paraId="7E5ED768" w14:textId="77777777" w:rsidR="00CB1E7C" w:rsidRDefault="00CB1E7C" w:rsidP="00CB1E7C"/>
    <w:p w14:paraId="22FA92DC" w14:textId="77777777" w:rsidR="00541440" w:rsidRDefault="00541440" w:rsidP="00CB1E7C"/>
    <w:p w14:paraId="259E9017" w14:textId="77777777" w:rsidR="00541440" w:rsidRDefault="00541440" w:rsidP="00CB1E7C"/>
    <w:p w14:paraId="612EBFD8" w14:textId="77777777" w:rsidR="00541440" w:rsidRDefault="00541440" w:rsidP="00CB1E7C"/>
    <w:p w14:paraId="03534E74" w14:textId="7A46EADB" w:rsidR="00541440" w:rsidRDefault="00B20D69" w:rsidP="00D4344A">
      <w:pPr>
        <w:jc w:val="center"/>
      </w:pPr>
      <w:r>
        <w:rPr>
          <w:b/>
        </w:rPr>
        <w:t>THE REMAINDER OF THIS PAGE HAS BEEN LEFT BLANK INTENTIONALLY</w:t>
      </w:r>
    </w:p>
    <w:p w14:paraId="38BE9A23" w14:textId="77777777" w:rsidR="00541440" w:rsidRDefault="00541440" w:rsidP="00CB1E7C"/>
    <w:p w14:paraId="4B0841FB" w14:textId="77777777" w:rsidR="00541440" w:rsidRDefault="00541440" w:rsidP="00CB1E7C"/>
    <w:p w14:paraId="7DD22CD4" w14:textId="77777777" w:rsidR="00541440" w:rsidRDefault="00541440" w:rsidP="00CB1E7C"/>
    <w:p w14:paraId="13DE5779" w14:textId="77777777" w:rsidR="00EC4956" w:rsidRDefault="00EC4956" w:rsidP="00CB1E7C"/>
    <w:p w14:paraId="519FBAF9" w14:textId="77777777" w:rsidR="00EC4956" w:rsidRDefault="00EC4956" w:rsidP="00CB1E7C"/>
    <w:p w14:paraId="12779C6E" w14:textId="77777777" w:rsidR="00EC4956" w:rsidRDefault="00EC4956" w:rsidP="00CB1E7C"/>
    <w:p w14:paraId="12B300B7" w14:textId="77777777" w:rsidR="00C6108C" w:rsidRDefault="00C6108C" w:rsidP="00CB1E7C"/>
    <w:p w14:paraId="4F3AA4A4" w14:textId="77777777" w:rsidR="00C6108C" w:rsidRDefault="00C6108C" w:rsidP="00CB1E7C"/>
    <w:p w14:paraId="061586D7" w14:textId="77777777" w:rsidR="008B4505" w:rsidRDefault="006C3096" w:rsidP="00236165">
      <w:pPr>
        <w:spacing w:after="0"/>
        <w:ind w:right="0"/>
        <w:jc w:val="center"/>
        <w:rPr>
          <w:b/>
          <w:bCs/>
        </w:rPr>
      </w:pPr>
      <w:r>
        <w:rPr>
          <w:rFonts w:ascii="Calibri" w:eastAsia="Calibri" w:hAnsi="Calibri" w:cs="Calibri"/>
          <w:noProof/>
        </w:rPr>
        <w:lastRenderedPageBreak/>
        <mc:AlternateContent>
          <mc:Choice Requires="wpg">
            <w:drawing>
              <wp:inline distT="0" distB="0" distL="0" distR="0" wp14:anchorId="4BDC7C0E" wp14:editId="50699F32">
                <wp:extent cx="6169025" cy="45719"/>
                <wp:effectExtent l="0" t="0" r="3175" b="12065"/>
                <wp:docPr id="557900431" name="Group 557900431"/>
                <wp:cNvGraphicFramePr/>
                <a:graphic xmlns:a="http://schemas.openxmlformats.org/drawingml/2006/main">
                  <a:graphicData uri="http://schemas.microsoft.com/office/word/2010/wordprocessingGroup">
                    <wpg:wgp>
                      <wpg:cNvGrpSpPr/>
                      <wpg:grpSpPr>
                        <a:xfrm flipV="1">
                          <a:off x="0" y="0"/>
                          <a:ext cx="6169025" cy="45719"/>
                          <a:chOff x="0" y="0"/>
                          <a:chExt cx="6400800" cy="57150"/>
                        </a:xfrm>
                      </wpg:grpSpPr>
                      <wps:wsp>
                        <wps:cNvPr id="403444353" name="Shape 899779"/>
                        <wps:cNvSpPr/>
                        <wps:spPr>
                          <a:xfrm>
                            <a:off x="0" y="22860"/>
                            <a:ext cx="6400800" cy="34290"/>
                          </a:xfrm>
                          <a:custGeom>
                            <a:avLst/>
                            <a:gdLst/>
                            <a:ahLst/>
                            <a:cxnLst/>
                            <a:rect l="0" t="0" r="0" b="0"/>
                            <a:pathLst>
                              <a:path w="6400800" h="34290">
                                <a:moveTo>
                                  <a:pt x="0" y="0"/>
                                </a:moveTo>
                                <a:lnTo>
                                  <a:pt x="6400800" y="0"/>
                                </a:lnTo>
                                <a:lnTo>
                                  <a:pt x="6400800" y="34290"/>
                                </a:lnTo>
                                <a:lnTo>
                                  <a:pt x="0" y="34290"/>
                                </a:lnTo>
                                <a:lnTo>
                                  <a:pt x="0" y="0"/>
                                </a:lnTo>
                              </a:path>
                            </a:pathLst>
                          </a:custGeom>
                          <a:solidFill>
                            <a:srgbClr val="000000"/>
                          </a:solidFill>
                          <a:ln w="0" cap="flat">
                            <a:noFill/>
                            <a:miter lim="127000"/>
                          </a:ln>
                          <a:effectLst/>
                        </wps:spPr>
                        <wps:bodyPr/>
                      </wps:wsp>
                      <wps:wsp>
                        <wps:cNvPr id="543440534" name="Shape 899780"/>
                        <wps:cNvSpPr/>
                        <wps:spPr>
                          <a:xfrm>
                            <a:off x="0" y="0"/>
                            <a:ext cx="6400800" cy="11430"/>
                          </a:xfrm>
                          <a:custGeom>
                            <a:avLst/>
                            <a:gdLst/>
                            <a:ahLst/>
                            <a:cxnLst/>
                            <a:rect l="0" t="0" r="0" b="0"/>
                            <a:pathLst>
                              <a:path w="6400800" h="11430">
                                <a:moveTo>
                                  <a:pt x="0" y="0"/>
                                </a:moveTo>
                                <a:lnTo>
                                  <a:pt x="6400800" y="0"/>
                                </a:lnTo>
                                <a:lnTo>
                                  <a:pt x="6400800" y="11430"/>
                                </a:lnTo>
                                <a:lnTo>
                                  <a:pt x="0" y="11430"/>
                                </a:lnTo>
                                <a:lnTo>
                                  <a:pt x="0" y="0"/>
                                </a:lnTo>
                              </a:path>
                            </a:pathLst>
                          </a:custGeom>
                          <a:solidFill>
                            <a:srgbClr val="000000"/>
                          </a:solidFill>
                          <a:ln w="0" cap="flat">
                            <a:noFill/>
                            <a:miter lim="127000"/>
                          </a:ln>
                          <a:effectLst/>
                        </wps:spPr>
                        <wps:bodyPr/>
                      </wps:wsp>
                    </wpg:wgp>
                  </a:graphicData>
                </a:graphic>
              </wp:inline>
            </w:drawing>
          </mc:Choice>
          <mc:Fallback xmlns:arto="http://schemas.microsoft.com/office/word/2006/arto">
            <w:pict>
              <v:group w14:anchorId="52E9F9A5" id="Group 557900431" o:spid="_x0000_s1026" style="width:485.75pt;height:3.6pt;flip:y;mso-position-horizontal-relative:char;mso-position-vertical-relative:line" coordsize="64008,5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">
                <v:shape id="Shape 899779" o:spid="_x0000_s1027" style="position:absolute;top:228;width:64008;height:343;visibility:visible;mso-wrap-style:square;v-text-anchor:top" coordsize="6400800,34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" path="m,l6400800,r,34290l,34290,,e" fillcolor="black" stroked="f" strokeweight="0">
                  <v:stroke miterlimit="83231f" joinstyle="miter"/>
                  <v:path arrowok="t" textboxrect="0,0,6400800,34290"/>
                </v:shape>
                <v:shape id="Shape 899780" o:spid="_x0000_s1028" style="position:absolute;width:64008;height:114;visibility:visible;mso-wrap-style:square;v-text-anchor:top" coordsize="6400800,114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" path="m,l6400800,r,11430l,11430,,e" fillcolor="black" stroked="f" strokeweight="0">
                  <v:stroke miterlimit="83231f" joinstyle="miter"/>
                  <v:path arrowok="t" textboxrect="0,0,6400800,11430"/>
                </v:shape>
                <w10:anchorlock/>
              </v:group>
            </w:pict>
          </mc:Fallback>
        </mc:AlternateContent>
      </w:r>
    </w:p>
    <w:p w14:paraId="144308AA" w14:textId="77777777" w:rsidR="00541F3E" w:rsidRPr="00541F3E" w:rsidRDefault="00541F3E" w:rsidP="00236165">
      <w:pPr>
        <w:spacing w:after="0"/>
        <w:ind w:right="0"/>
        <w:jc w:val="center"/>
        <w:rPr>
          <w:b/>
          <w:bCs/>
          <w:sz w:val="10"/>
          <w:szCs w:val="10"/>
        </w:rPr>
      </w:pPr>
    </w:p>
    <w:p w14:paraId="5928CB05" w14:textId="29A6FBC5" w:rsidR="00042DA8" w:rsidRDefault="001C3C42" w:rsidP="00236165">
      <w:pPr>
        <w:spacing w:after="0"/>
        <w:ind w:right="0"/>
        <w:jc w:val="center"/>
        <w:rPr>
          <w:rFonts w:ascii="Cambria" w:eastAsia="Cambria" w:hAnsi="Cambria" w:cs="Cambria"/>
          <w:color w:val="365F91"/>
        </w:rPr>
      </w:pPr>
      <w:r w:rsidRPr="00C268E8">
        <w:rPr>
          <w:b/>
          <w:bCs/>
        </w:rPr>
        <w:t>IV. SAMPLE CONTAINERS, PRESERVATIVES AND HOLDING TIMES</w:t>
      </w:r>
      <w:r w:rsidR="00042DA8">
        <w:rPr>
          <w:rFonts w:ascii="Calibri" w:eastAsia="Calibri" w:hAnsi="Calibri" w:cs="Calibri"/>
          <w:noProof/>
        </w:rPr>
        <mc:AlternateContent>
          <mc:Choice Requires="wpg">
            <w:drawing>
              <wp:inline distT="0" distB="0" distL="0" distR="0" wp14:anchorId="43DD03C4" wp14:editId="72C7FC54">
                <wp:extent cx="6169025" cy="45719"/>
                <wp:effectExtent l="0" t="0" r="3175" b="0"/>
                <wp:docPr id="885361092" name="Group 885361092"/>
                <wp:cNvGraphicFramePr/>
                <a:graphic xmlns:a="http://schemas.openxmlformats.org/drawingml/2006/main">
                  <a:graphicData uri="http://schemas.microsoft.com/office/word/2010/wordprocessingGroup">
                    <wpg:wgp>
                      <wpg:cNvGrpSpPr/>
                      <wpg:grpSpPr>
                        <a:xfrm>
                          <a:off x="0" y="0"/>
                          <a:ext cx="6169025" cy="45719"/>
                          <a:chOff x="0" y="0"/>
                          <a:chExt cx="6400800" cy="57150"/>
                        </a:xfrm>
                      </wpg:grpSpPr>
                      <wps:wsp>
                        <wps:cNvPr id="251336180" name="Shape 899779"/>
                        <wps:cNvSpPr/>
                        <wps:spPr>
                          <a:xfrm>
                            <a:off x="0" y="22860"/>
                            <a:ext cx="6400800" cy="34290"/>
                          </a:xfrm>
                          <a:custGeom>
                            <a:avLst/>
                            <a:gdLst/>
                            <a:ahLst/>
                            <a:cxnLst/>
                            <a:rect l="0" t="0" r="0" b="0"/>
                            <a:pathLst>
                              <a:path w="6400800" h="34290">
                                <a:moveTo>
                                  <a:pt x="0" y="0"/>
                                </a:moveTo>
                                <a:lnTo>
                                  <a:pt x="6400800" y="0"/>
                                </a:lnTo>
                                <a:lnTo>
                                  <a:pt x="6400800" y="34290"/>
                                </a:lnTo>
                                <a:lnTo>
                                  <a:pt x="0" y="34290"/>
                                </a:lnTo>
                                <a:lnTo>
                                  <a:pt x="0" y="0"/>
                                </a:lnTo>
                              </a:path>
                            </a:pathLst>
                          </a:custGeom>
                          <a:solidFill>
                            <a:srgbClr val="000000"/>
                          </a:solidFill>
                          <a:ln w="0" cap="flat">
                            <a:noFill/>
                            <a:miter lim="127000"/>
                          </a:ln>
                          <a:effectLst/>
                        </wps:spPr>
                        <wps:bodyPr/>
                      </wps:wsp>
                      <wps:wsp>
                        <wps:cNvPr id="213490806" name="Shape 899780"/>
                        <wps:cNvSpPr/>
                        <wps:spPr>
                          <a:xfrm>
                            <a:off x="0" y="0"/>
                            <a:ext cx="6400800" cy="11430"/>
                          </a:xfrm>
                          <a:custGeom>
                            <a:avLst/>
                            <a:gdLst/>
                            <a:ahLst/>
                            <a:cxnLst/>
                            <a:rect l="0" t="0" r="0" b="0"/>
                            <a:pathLst>
                              <a:path w="6400800" h="11430">
                                <a:moveTo>
                                  <a:pt x="0" y="0"/>
                                </a:moveTo>
                                <a:lnTo>
                                  <a:pt x="6400800" y="0"/>
                                </a:lnTo>
                                <a:lnTo>
                                  <a:pt x="6400800" y="11430"/>
                                </a:lnTo>
                                <a:lnTo>
                                  <a:pt x="0" y="11430"/>
                                </a:lnTo>
                                <a:lnTo>
                                  <a:pt x="0" y="0"/>
                                </a:lnTo>
                              </a:path>
                            </a:pathLst>
                          </a:custGeom>
                          <a:solidFill>
                            <a:srgbClr val="000000"/>
                          </a:solidFill>
                          <a:ln w="0" cap="flat">
                            <a:noFill/>
                            <a:miter lim="127000"/>
                          </a:ln>
                          <a:effectLst/>
                        </wps:spPr>
                        <wps:bodyPr/>
                      </wps:wsp>
                    </wpg:wgp>
                  </a:graphicData>
                </a:graphic>
              </wp:inline>
            </w:drawing>
          </mc:Choice>
          <mc:Fallback>
            <w:pict>
              <v:group w14:anchorId="0DB60D2F" id="Group 885361092" o:spid="_x0000_s1026" style="width:485.75pt;height:3.6pt;mso-position-horizontal-relative:char;mso-position-vertical-relative:line" coordsize="64008,5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">
                <v:shape id="Shape 899779" o:spid="_x0000_s1027" style="position:absolute;top:228;width:64008;height:343;visibility:visible;mso-wrap-style:square;v-text-anchor:top" coordsize="6400800,34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" path="m,l6400800,r,34290l,34290,,e" fillcolor="black" stroked="f" strokeweight="0">
                  <v:stroke miterlimit="83231f" joinstyle="miter"/>
                  <v:path arrowok="t" textboxrect="0,0,6400800,34290"/>
                </v:shape>
                <v:shape id="Shape 899780" o:spid="_x0000_s1028" style="position:absolute;width:64008;height:114;visibility:visible;mso-wrap-style:square;v-text-anchor:top" coordsize="6400800,114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" path="m,l6400800,r,11430l,11430,,e" fillcolor="black" stroked="f" strokeweight="0">
                  <v:stroke miterlimit="83231f" joinstyle="miter"/>
                  <v:path arrowok="t" textboxrect="0,0,6400800,11430"/>
                </v:shape>
                <w10:anchorlock/>
              </v:group>
            </w:pict>
          </mc:Fallback>
        </mc:AlternateContent>
      </w:r>
    </w:p>
    <w:p w14:paraId="1BBB46E3" w14:textId="0C52A24B" w:rsidR="00B56D50" w:rsidRPr="003A2BEF" w:rsidRDefault="001C3C42" w:rsidP="00C268E8">
      <w:pPr>
        <w:spacing w:after="24" w:line="259" w:lineRule="auto"/>
        <w:ind w:left="0" w:right="-365" w:firstLine="0"/>
        <w:jc w:val="center"/>
        <w:rPr>
          <w:rFonts w:eastAsia="Cambria"/>
          <w:color w:val="365F91"/>
        </w:rPr>
      </w:pPr>
      <w:r w:rsidRPr="003A2BEF">
        <w:rPr>
          <w:rFonts w:eastAsia="Cambria"/>
          <w:color w:val="365F91"/>
        </w:rPr>
        <w:t xml:space="preserve"> </w:t>
      </w:r>
    </w:p>
    <w:p w14:paraId="7AA5C71A" w14:textId="7F83D5FC" w:rsidR="00083B73" w:rsidRDefault="00F45636" w:rsidP="00C268E8">
      <w:pPr>
        <w:spacing w:after="100" w:afterAutospacing="1" w:line="259" w:lineRule="auto"/>
        <w:ind w:left="0" w:right="0" w:firstLine="0"/>
      </w:pPr>
      <w:r>
        <w:t>The following specifications in Section IV</w:t>
      </w:r>
      <w:r w:rsidR="00222C4F">
        <w:t xml:space="preserve"> </w:t>
      </w:r>
      <w:r>
        <w:t>A apply to the SW-846</w:t>
      </w:r>
      <w:r w:rsidR="00A865D0">
        <w:t>,</w:t>
      </w:r>
      <w:r>
        <w:t xml:space="preserve"> Drinking Water</w:t>
      </w:r>
      <w:r w:rsidR="00A865D0">
        <w:t>, and PFAS</w:t>
      </w:r>
      <w:r>
        <w:t xml:space="preserve"> protocols.  </w:t>
      </w:r>
      <w:r w:rsidRPr="00C46317">
        <w:t xml:space="preserve">The Indoor Air and Ambient Air protocol requires different </w:t>
      </w:r>
      <w:r>
        <w:t>specifications</w:t>
      </w:r>
      <w:r w:rsidRPr="00C46317">
        <w:t xml:space="preserve"> as shown </w:t>
      </w:r>
      <w:r>
        <w:t>in</w:t>
      </w:r>
      <w:r w:rsidRPr="00C46317">
        <w:t xml:space="preserve"> </w:t>
      </w:r>
      <w:r>
        <w:t>S</w:t>
      </w:r>
      <w:r w:rsidRPr="00C46317">
        <w:t>ection</w:t>
      </w:r>
      <w:r>
        <w:t xml:space="preserve"> IV.B. below</w:t>
      </w:r>
      <w:r w:rsidRPr="00C46317">
        <w:t>.</w:t>
      </w:r>
    </w:p>
    <w:p w14:paraId="7A9B3FA3" w14:textId="3D751B5C" w:rsidR="00B56D50" w:rsidRDefault="001C3C42" w:rsidP="008B3F9A">
      <w:pPr>
        <w:spacing w:after="0" w:line="259" w:lineRule="auto"/>
        <w:ind w:left="0" w:right="0" w:firstLine="0"/>
      </w:pPr>
      <w:r w:rsidRPr="008B3F9A">
        <w:rPr>
          <w:b/>
        </w:rPr>
        <w:t>A.</w:t>
      </w:r>
      <w:r w:rsidRPr="008B3F9A">
        <w:rPr>
          <w:rFonts w:ascii="Arial" w:eastAsia="Arial" w:hAnsi="Arial" w:cs="Arial"/>
          <w:b/>
        </w:rPr>
        <w:t xml:space="preserve">  </w:t>
      </w:r>
      <w:r w:rsidRPr="008B3F9A">
        <w:rPr>
          <w:b/>
          <w:u w:val="single" w:color="000000"/>
        </w:rPr>
        <w:t>Containers and Preservatives - Mandatory Specification</w:t>
      </w:r>
      <w:r w:rsidR="00653E55" w:rsidRPr="008B3F9A">
        <w:rPr>
          <w:b/>
          <w:u w:val="single" w:color="000000"/>
        </w:rPr>
        <w:t xml:space="preserve">s </w:t>
      </w:r>
      <w:r w:rsidR="00A86832" w:rsidRPr="008B3F9A">
        <w:rPr>
          <w:b/>
          <w:u w:val="single" w:color="000000"/>
        </w:rPr>
        <w:t>SW-846</w:t>
      </w:r>
      <w:r w:rsidR="0017229C" w:rsidRPr="008B3F9A">
        <w:rPr>
          <w:b/>
          <w:u w:val="single" w:color="000000"/>
        </w:rPr>
        <w:t>,</w:t>
      </w:r>
      <w:r w:rsidR="00A86832" w:rsidRPr="008B3F9A">
        <w:rPr>
          <w:b/>
          <w:u w:val="single" w:color="000000"/>
        </w:rPr>
        <w:t xml:space="preserve"> </w:t>
      </w:r>
      <w:r w:rsidR="008977FA" w:rsidRPr="008B3F9A">
        <w:rPr>
          <w:b/>
          <w:u w:val="single" w:color="000000"/>
        </w:rPr>
        <w:t>Drinking Water</w:t>
      </w:r>
      <w:r w:rsidR="0017229C" w:rsidRPr="008B3F9A">
        <w:rPr>
          <w:b/>
          <w:u w:val="single" w:color="000000"/>
        </w:rPr>
        <w:t>, and PFAS</w:t>
      </w:r>
    </w:p>
    <w:p w14:paraId="6DBE96B9" w14:textId="4FAC0F08" w:rsidR="00B56D50" w:rsidRDefault="00B56D50">
      <w:pPr>
        <w:spacing w:after="0" w:line="259" w:lineRule="auto"/>
        <w:ind w:left="0" w:right="0" w:firstLine="0"/>
      </w:pPr>
    </w:p>
    <w:p w14:paraId="43A938E8" w14:textId="50A77A0E" w:rsidR="00B56D50" w:rsidRDefault="001C3C42" w:rsidP="008B3F9A">
      <w:pPr>
        <w:numPr>
          <w:ilvl w:val="0"/>
          <w:numId w:val="2"/>
        </w:numPr>
        <w:spacing w:after="100" w:afterAutospacing="1"/>
        <w:ind w:left="720" w:right="0" w:hanging="360"/>
      </w:pPr>
      <w:r>
        <w:t>The Contractor shall provide sample containers prepared with appropriate chemical preservatives for all sample delivery groups, unless instructed otherwise at time of analytical request.</w:t>
      </w:r>
    </w:p>
    <w:p w14:paraId="1EF12E9C" w14:textId="7ECD79E7" w:rsidR="00014DD7" w:rsidRDefault="001C3C42" w:rsidP="008B3F9A">
      <w:pPr>
        <w:numPr>
          <w:ilvl w:val="0"/>
          <w:numId w:val="2"/>
        </w:numPr>
        <w:spacing w:after="100" w:afterAutospacing="1"/>
        <w:ind w:left="720" w:right="0" w:hanging="360"/>
      </w:pPr>
      <w:r>
        <w:t xml:space="preserve">The Contractor shall provide prepared, pre-labeled sample containers.  Information on the label must include bottle lot number, identification of chemical preservative (if applicable), and lot number of chemical </w:t>
      </w:r>
      <w:r w:rsidR="00AC3F08">
        <w:t>preservatives</w:t>
      </w:r>
      <w:r>
        <w:t>.</w:t>
      </w:r>
    </w:p>
    <w:p w14:paraId="6AF4C3CE" w14:textId="74C9B90D" w:rsidR="00014DD7" w:rsidRDefault="001C3C42" w:rsidP="008B3F9A">
      <w:pPr>
        <w:numPr>
          <w:ilvl w:val="0"/>
          <w:numId w:val="2"/>
        </w:numPr>
        <w:spacing w:after="0" w:afterAutospacing="1" w:line="259" w:lineRule="auto"/>
        <w:ind w:left="720" w:right="0" w:hanging="360"/>
      </w:pPr>
      <w:r>
        <w:t xml:space="preserve">The Contractor shall provide prepared sample containers that must reach the State </w:t>
      </w:r>
      <w:r w:rsidR="00AC3F08">
        <w:t>to</w:t>
      </w:r>
      <w:r>
        <w:t xml:space="preserve"> allow timely sample collection by State personnel.  </w:t>
      </w:r>
      <w:bookmarkStart w:id="12" w:name="_Hlk66714421"/>
      <w:r>
        <w:t>For Contractors in the greater Indianapolis area, State staff may pick up prepared containers directly from the Contractor</w:t>
      </w:r>
      <w:r w:rsidR="00591A79">
        <w:t xml:space="preserve"> if warranted</w:t>
      </w:r>
      <w:r>
        <w:t>.</w:t>
      </w:r>
      <w:bookmarkEnd w:id="12"/>
      <w:r>
        <w:t xml:space="preserve">  </w:t>
      </w:r>
      <w:bookmarkStart w:id="13" w:name="_Hlk66714603"/>
      <w:r>
        <w:t>For Contractors located outside of the greater Indianapolis area, prepared containers must be delivered or shipped to the State at the Contractor's expense.</w:t>
      </w:r>
      <w:bookmarkEnd w:id="13"/>
    </w:p>
    <w:p w14:paraId="1FF10792" w14:textId="7720A8C8" w:rsidR="00B56D50" w:rsidRPr="001764C7" w:rsidRDefault="00C2320B" w:rsidP="008B3F9A">
      <w:pPr>
        <w:numPr>
          <w:ilvl w:val="0"/>
          <w:numId w:val="2"/>
        </w:numPr>
        <w:spacing w:after="100" w:afterAutospacing="1" w:line="259" w:lineRule="auto"/>
        <w:ind w:left="720" w:right="0" w:hanging="360"/>
      </w:pPr>
      <w:r>
        <w:t>The Contractor shall provide sample containers and preservatives that are not contaminated and not capable of reacting with the samples.  Documentation indicating that the container lot has passed all QA/QC requirements must be provided by the bottle vendor to the bottle purchaser with each container lot.</w:t>
      </w:r>
      <w:r w:rsidRPr="00E44583">
        <w:rPr>
          <w:b/>
        </w:rPr>
        <w:t xml:space="preserve">  </w:t>
      </w:r>
      <w:r w:rsidRPr="00E44583">
        <w:rPr>
          <w:b/>
          <w:u w:val="double" w:color="000000"/>
        </w:rPr>
        <w:t>A copy of this documentation must be included with</w:t>
      </w:r>
      <w:r w:rsidRPr="00E44583">
        <w:rPr>
          <w:b/>
        </w:rPr>
        <w:t xml:space="preserve"> </w:t>
      </w:r>
      <w:r w:rsidRPr="00E44583">
        <w:rPr>
          <w:b/>
          <w:u w:val="double" w:color="000000"/>
        </w:rPr>
        <w:t>each group of containers prepared for the State.</w:t>
      </w:r>
    </w:p>
    <w:p w14:paraId="5D50403A" w14:textId="1D06C8D0" w:rsidR="00B56D50" w:rsidRDefault="00E90AAF" w:rsidP="008B3F9A">
      <w:pPr>
        <w:numPr>
          <w:ilvl w:val="0"/>
          <w:numId w:val="2"/>
        </w:numPr>
        <w:spacing w:after="100" w:afterAutospacing="1" w:line="259" w:lineRule="auto"/>
        <w:ind w:left="720" w:right="0" w:hanging="360"/>
      </w:pPr>
      <w:r>
        <w:t>The Contractor shall provide containers and preservatives of sufficient size and quantity to provide adequate sample volume for the required analyses, including QC samples (i.e., matrix spike/matrix spike duplicates and laboratory duplicates).  For more information on the numbers and types of containers and preservatives required for the individual tests, see TABLE 1 on the following page.  Amounts may vary depending on laboratory requirements.</w:t>
      </w:r>
    </w:p>
    <w:p w14:paraId="6ABCEA87" w14:textId="6E800277" w:rsidR="00B56D50" w:rsidRDefault="00936103" w:rsidP="008B3F9A">
      <w:pPr>
        <w:numPr>
          <w:ilvl w:val="0"/>
          <w:numId w:val="2"/>
        </w:numPr>
        <w:ind w:left="720" w:right="0" w:hanging="360"/>
      </w:pPr>
      <w:r>
        <w:t xml:space="preserve">If sufficient sample volume in one container is available for multiple analytes requested, and container, preservative, and holding time requirements are identical for those </w:t>
      </w:r>
      <w:proofErr w:type="gramStart"/>
      <w:r>
        <w:t>analytes;</w:t>
      </w:r>
      <w:proofErr w:type="gramEnd"/>
      <w:r>
        <w:t xml:space="preserve"> then only one container need be furnished for those analytes.  For example, if pH, total solids, total dissolved solids, chloride, sulfate, nitrate, nitrite, and alkalinity are all requested to be run on the same water sample, only one 1-liter bottle need </w:t>
      </w:r>
      <w:proofErr w:type="gramStart"/>
      <w:r>
        <w:t>be</w:t>
      </w:r>
      <w:proofErr w:type="gramEnd"/>
      <w:r>
        <w:t xml:space="preserve"> furnished to obtain that water sample (not eight separate bottles)</w:t>
      </w:r>
      <w:r w:rsidR="001C3C42">
        <w:t>.</w:t>
      </w:r>
    </w:p>
    <w:p w14:paraId="5DAC6277" w14:textId="08200117" w:rsidR="00B20D69" w:rsidRDefault="00936103" w:rsidP="008B3F9A">
      <w:pPr>
        <w:numPr>
          <w:ilvl w:val="0"/>
          <w:numId w:val="2"/>
        </w:numPr>
        <w:ind w:left="720" w:right="0" w:hanging="360"/>
      </w:pPr>
      <w:r>
        <w:t xml:space="preserve">The holding times listed in TABLE 1 are from </w:t>
      </w:r>
      <w:proofErr w:type="gramStart"/>
      <w:r>
        <w:t>time of sampling</w:t>
      </w:r>
      <w:proofErr w:type="gramEnd"/>
      <w:r>
        <w:t>.  The Contractor will be responsible for ensuring that sample holding times indicated in TABLE 1 are met.  The sampling date on the chain-of-custody must be noted.  The State must be given two (2) days for collection and delivery of the samples to the Contractor</w:t>
      </w:r>
      <w:r w:rsidR="00B4516C">
        <w:t>.</w:t>
      </w:r>
    </w:p>
    <w:p w14:paraId="282F81CB" w14:textId="77777777" w:rsidR="008012B6" w:rsidRDefault="008012B6" w:rsidP="001764C7">
      <w:pPr>
        <w:ind w:right="0"/>
      </w:pPr>
    </w:p>
    <w:p w14:paraId="3555A75B" w14:textId="77777777" w:rsidR="008012B6" w:rsidRDefault="008012B6" w:rsidP="001764C7">
      <w:pPr>
        <w:ind w:right="0"/>
      </w:pPr>
    </w:p>
    <w:p w14:paraId="157FAE39" w14:textId="77777777" w:rsidR="008012B6" w:rsidRDefault="008012B6" w:rsidP="001764C7">
      <w:pPr>
        <w:ind w:right="0"/>
      </w:pPr>
    </w:p>
    <w:p w14:paraId="130ABA57" w14:textId="77777777" w:rsidR="008012B6" w:rsidRDefault="008012B6" w:rsidP="001764C7">
      <w:pPr>
        <w:ind w:right="0"/>
      </w:pPr>
    </w:p>
    <w:p w14:paraId="6AB144BD" w14:textId="77777777" w:rsidR="008012B6" w:rsidRDefault="008012B6" w:rsidP="001764C7">
      <w:pPr>
        <w:ind w:right="0"/>
      </w:pPr>
    </w:p>
    <w:p w14:paraId="781EA7BA" w14:textId="2C66AB7F" w:rsidR="008012B6" w:rsidRDefault="008012B6" w:rsidP="00F64480">
      <w:pPr>
        <w:ind w:right="0"/>
        <w:jc w:val="center"/>
      </w:pPr>
      <w:r>
        <w:rPr>
          <w:b/>
        </w:rPr>
        <w:t>THE REMAINDER OF THIS PAGE HAS BEEN LEFT BLANK INTENTIONALLY</w:t>
      </w:r>
    </w:p>
    <w:p w14:paraId="12AAD493" w14:textId="77777777" w:rsidR="008012B6" w:rsidRDefault="008012B6" w:rsidP="001764C7">
      <w:pPr>
        <w:ind w:right="0"/>
      </w:pPr>
    </w:p>
    <w:p w14:paraId="14C4049B" w14:textId="77777777" w:rsidR="008012B6" w:rsidRDefault="008012B6" w:rsidP="00F64480">
      <w:pPr>
        <w:ind w:right="0"/>
      </w:pPr>
    </w:p>
    <w:p w14:paraId="57F9C788" w14:textId="64CB0C93" w:rsidR="00B12273" w:rsidRDefault="00B12273" w:rsidP="00F64480">
      <w:pPr>
        <w:spacing w:after="0" w:line="259" w:lineRule="auto"/>
        <w:ind w:left="0" w:right="0" w:firstLine="0"/>
      </w:pPr>
    </w:p>
    <w:p w14:paraId="66029E70" w14:textId="77777777" w:rsidR="00B56D50" w:rsidRDefault="00B56D50" w:rsidP="0051464B">
      <w:pPr>
        <w:spacing w:after="0" w:line="259" w:lineRule="auto"/>
        <w:ind w:left="0" w:right="0" w:firstLine="0"/>
        <w:sectPr w:rsidR="00B56D50" w:rsidSect="00507AB3">
          <w:headerReference w:type="even" r:id="rId35"/>
          <w:headerReference w:type="default" r:id="rId36"/>
          <w:footerReference w:type="even" r:id="rId37"/>
          <w:footerReference w:type="default" r:id="rId38"/>
          <w:headerReference w:type="first" r:id="rId39"/>
          <w:footerReference w:type="first" r:id="rId40"/>
          <w:pgSz w:w="12240" w:h="15840"/>
          <w:pgMar w:top="1440" w:right="1085" w:bottom="1440" w:left="1440" w:header="720" w:footer="720" w:gutter="0"/>
          <w:cols w:space="720"/>
          <w:docGrid w:linePitch="299"/>
        </w:sectPr>
      </w:pPr>
    </w:p>
    <w:p w14:paraId="7F1C1B0E" w14:textId="5F659A78" w:rsidR="00D20CC4" w:rsidRDefault="001C3C42" w:rsidP="00D20CC4">
      <w:pPr>
        <w:pStyle w:val="Heading3"/>
        <w:spacing w:after="0" w:line="259" w:lineRule="auto"/>
        <w:ind w:left="853" w:right="1273"/>
        <w:rPr>
          <w:u w:val="single" w:color="000000"/>
        </w:rPr>
      </w:pPr>
      <w:r>
        <w:rPr>
          <w:u w:val="single" w:color="000000"/>
        </w:rPr>
        <w:lastRenderedPageBreak/>
        <w:t>TABLE 1</w:t>
      </w:r>
      <w:r w:rsidR="00C20244">
        <w:rPr>
          <w:u w:val="single" w:color="000000"/>
        </w:rPr>
        <w:t xml:space="preserve"> </w:t>
      </w:r>
      <w:r w:rsidR="00B70228" w:rsidRPr="00FC394E">
        <w:rPr>
          <w:u w:val="single" w:color="000000"/>
          <w:vertAlign w:val="superscript"/>
        </w:rPr>
        <w:t>42</w:t>
      </w:r>
    </w:p>
    <w:p w14:paraId="43F57118" w14:textId="46F245C2" w:rsidR="00B56D50" w:rsidRPr="00940BA8" w:rsidRDefault="00B56D50" w:rsidP="00AC55BF">
      <w:pPr>
        <w:rPr>
          <w:sz w:val="18"/>
          <w:szCs w:val="18"/>
        </w:rPr>
      </w:pPr>
    </w:p>
    <w:p w14:paraId="3A007ECF" w14:textId="77777777" w:rsidR="00B56D50" w:rsidRDefault="001C3C42">
      <w:pPr>
        <w:spacing w:after="2" w:line="259" w:lineRule="auto"/>
        <w:ind w:right="2368"/>
        <w:jc w:val="right"/>
      </w:pPr>
      <w:r>
        <w:rPr>
          <w:b/>
        </w:rPr>
        <w:t xml:space="preserve"> SAMPLE CONTAINERS, PRESERVATIVES, AND HOLDING TIME REQUIREMENTS </w:t>
      </w:r>
      <w:r>
        <w:t xml:space="preserve"> </w:t>
      </w:r>
    </w:p>
    <w:p w14:paraId="400DA3EA" w14:textId="2BBCE8F4" w:rsidR="00B56D50" w:rsidRPr="00940BA8" w:rsidRDefault="00B56D50">
      <w:pPr>
        <w:spacing w:after="0" w:line="259" w:lineRule="auto"/>
        <w:ind w:left="0" w:right="0" w:firstLine="0"/>
        <w:rPr>
          <w:sz w:val="18"/>
          <w:szCs w:val="18"/>
        </w:rPr>
      </w:pPr>
    </w:p>
    <w:tbl>
      <w:tblPr>
        <w:tblStyle w:val="TableGrid1"/>
        <w:tblW w:w="14760" w:type="dxa"/>
        <w:tblInd w:w="-825" w:type="dxa"/>
        <w:tblLayout w:type="fixed"/>
        <w:tblCellMar>
          <w:top w:w="5" w:type="dxa"/>
          <w:left w:w="139" w:type="dxa"/>
          <w:right w:w="100" w:type="dxa"/>
        </w:tblCellMar>
        <w:tblLook w:val="04A0" w:firstRow="1" w:lastRow="0" w:firstColumn="1" w:lastColumn="0" w:noHBand="0" w:noVBand="1"/>
      </w:tblPr>
      <w:tblGrid>
        <w:gridCol w:w="3960"/>
        <w:gridCol w:w="1530"/>
        <w:gridCol w:w="1710"/>
        <w:gridCol w:w="1980"/>
        <w:gridCol w:w="1620"/>
        <w:gridCol w:w="2520"/>
        <w:gridCol w:w="1440"/>
      </w:tblGrid>
      <w:tr w:rsidR="004174F4" w14:paraId="27FF2BAB" w14:textId="77777777" w:rsidTr="00AC55BF">
        <w:trPr>
          <w:trHeight w:val="295"/>
        </w:trPr>
        <w:tc>
          <w:tcPr>
            <w:tcW w:w="3960" w:type="dxa"/>
            <w:vMerge w:val="restart"/>
            <w:tcBorders>
              <w:top w:val="single" w:sz="12" w:space="0" w:color="000000"/>
              <w:left w:val="single" w:sz="12" w:space="0" w:color="000000"/>
              <w:bottom w:val="single" w:sz="12" w:space="0" w:color="000000"/>
              <w:right w:val="single" w:sz="12" w:space="0" w:color="000000"/>
            </w:tcBorders>
            <w:vAlign w:val="center"/>
          </w:tcPr>
          <w:p w14:paraId="6656243E" w14:textId="759187CC" w:rsidR="00B56D50" w:rsidRPr="005E6CFE" w:rsidRDefault="001C3C42" w:rsidP="008C74E7">
            <w:pPr>
              <w:spacing w:after="0" w:line="259" w:lineRule="auto"/>
              <w:ind w:left="0" w:right="48" w:firstLine="0"/>
              <w:jc w:val="center"/>
              <w:rPr>
                <w:sz w:val="18"/>
                <w:szCs w:val="18"/>
              </w:rPr>
            </w:pPr>
            <w:r w:rsidRPr="005E6CFE">
              <w:rPr>
                <w:b/>
                <w:sz w:val="18"/>
                <w:szCs w:val="18"/>
              </w:rPr>
              <w:t>ANALYTES</w:t>
            </w:r>
          </w:p>
        </w:tc>
        <w:tc>
          <w:tcPr>
            <w:tcW w:w="5220" w:type="dxa"/>
            <w:gridSpan w:val="3"/>
            <w:tcBorders>
              <w:top w:val="single" w:sz="12" w:space="0" w:color="000000"/>
              <w:left w:val="single" w:sz="12" w:space="0" w:color="000000"/>
              <w:bottom w:val="single" w:sz="12" w:space="0" w:color="000000"/>
              <w:right w:val="single" w:sz="12" w:space="0" w:color="000000"/>
            </w:tcBorders>
            <w:vAlign w:val="center"/>
          </w:tcPr>
          <w:p w14:paraId="11B94F5E" w14:textId="6B139C1C" w:rsidR="00B56D50" w:rsidRPr="005E6CFE" w:rsidRDefault="001C3C42" w:rsidP="0010194A">
            <w:pPr>
              <w:spacing w:after="0" w:line="259" w:lineRule="auto"/>
              <w:ind w:left="0" w:right="44" w:firstLine="0"/>
              <w:jc w:val="center"/>
              <w:rPr>
                <w:sz w:val="18"/>
                <w:szCs w:val="18"/>
              </w:rPr>
            </w:pPr>
            <w:r w:rsidRPr="005E6CFE">
              <w:rPr>
                <w:b/>
                <w:sz w:val="18"/>
                <w:szCs w:val="18"/>
              </w:rPr>
              <w:t>SOILS, SEDIMENTS, WASTES</w:t>
            </w:r>
          </w:p>
        </w:tc>
        <w:tc>
          <w:tcPr>
            <w:tcW w:w="4140" w:type="dxa"/>
            <w:gridSpan w:val="2"/>
            <w:tcBorders>
              <w:top w:val="single" w:sz="12" w:space="0" w:color="000000"/>
              <w:left w:val="single" w:sz="12" w:space="0" w:color="000000"/>
              <w:bottom w:val="single" w:sz="12" w:space="0" w:color="000000"/>
              <w:right w:val="nil"/>
            </w:tcBorders>
            <w:vAlign w:val="center"/>
          </w:tcPr>
          <w:p w14:paraId="0D2691C2" w14:textId="6A58D9E0" w:rsidR="00B56D50" w:rsidRPr="005E6CFE" w:rsidRDefault="001C3C42" w:rsidP="0010194A">
            <w:pPr>
              <w:spacing w:after="0" w:line="259" w:lineRule="auto"/>
              <w:ind w:left="1673" w:right="0" w:firstLine="0"/>
              <w:jc w:val="center"/>
              <w:rPr>
                <w:sz w:val="18"/>
                <w:szCs w:val="18"/>
              </w:rPr>
            </w:pPr>
            <w:r w:rsidRPr="005E6CFE">
              <w:rPr>
                <w:b/>
                <w:sz w:val="18"/>
                <w:szCs w:val="18"/>
              </w:rPr>
              <w:t>AQUEOUS SAMPLES</w:t>
            </w:r>
          </w:p>
        </w:tc>
        <w:tc>
          <w:tcPr>
            <w:tcW w:w="1440" w:type="dxa"/>
            <w:tcBorders>
              <w:top w:val="single" w:sz="12" w:space="0" w:color="000000"/>
              <w:left w:val="nil"/>
              <w:bottom w:val="single" w:sz="12" w:space="0" w:color="000000"/>
              <w:right w:val="single" w:sz="12" w:space="0" w:color="000000"/>
            </w:tcBorders>
            <w:vAlign w:val="center"/>
          </w:tcPr>
          <w:p w14:paraId="1BB27354" w14:textId="77777777" w:rsidR="00B56D50" w:rsidRPr="005E6CFE" w:rsidRDefault="00B56D50" w:rsidP="0010194A">
            <w:pPr>
              <w:spacing w:after="160" w:line="259" w:lineRule="auto"/>
              <w:ind w:left="0" w:right="0" w:firstLine="0"/>
              <w:jc w:val="center"/>
              <w:rPr>
                <w:sz w:val="18"/>
                <w:szCs w:val="18"/>
              </w:rPr>
            </w:pPr>
          </w:p>
        </w:tc>
      </w:tr>
      <w:tr w:rsidR="004174F4" w14:paraId="7819E17A" w14:textId="77777777" w:rsidTr="00AC55BF">
        <w:trPr>
          <w:trHeight w:val="394"/>
        </w:trPr>
        <w:tc>
          <w:tcPr>
            <w:tcW w:w="3960" w:type="dxa"/>
            <w:vMerge/>
            <w:tcBorders>
              <w:top w:val="nil"/>
              <w:left w:val="single" w:sz="12" w:space="0" w:color="000000"/>
              <w:bottom w:val="single" w:sz="12" w:space="0" w:color="000000"/>
              <w:right w:val="single" w:sz="12" w:space="0" w:color="000000"/>
            </w:tcBorders>
            <w:vAlign w:val="center"/>
          </w:tcPr>
          <w:p w14:paraId="033B03E9" w14:textId="77777777" w:rsidR="00B56D50" w:rsidRPr="00AC55BF" w:rsidRDefault="00B56D50" w:rsidP="00017AB4">
            <w:pPr>
              <w:spacing w:after="160" w:line="259" w:lineRule="auto"/>
              <w:ind w:left="0" w:right="0" w:firstLine="0"/>
              <w:jc w:val="center"/>
              <w:rPr>
                <w:sz w:val="18"/>
                <w:szCs w:val="18"/>
              </w:rPr>
            </w:pPr>
          </w:p>
        </w:tc>
        <w:tc>
          <w:tcPr>
            <w:tcW w:w="1530" w:type="dxa"/>
            <w:tcBorders>
              <w:top w:val="single" w:sz="12" w:space="0" w:color="000000"/>
              <w:left w:val="single" w:sz="12" w:space="0" w:color="000000"/>
              <w:bottom w:val="single" w:sz="12" w:space="0" w:color="000000"/>
              <w:right w:val="single" w:sz="12" w:space="0" w:color="000000"/>
            </w:tcBorders>
            <w:vAlign w:val="center"/>
          </w:tcPr>
          <w:p w14:paraId="0A11AB62" w14:textId="6DAB6261" w:rsidR="00B56D50" w:rsidRPr="00AC55BF" w:rsidRDefault="001C3C42" w:rsidP="008C74E7">
            <w:pPr>
              <w:spacing w:after="0" w:line="259" w:lineRule="auto"/>
              <w:ind w:left="0" w:right="43" w:firstLine="0"/>
              <w:jc w:val="center"/>
              <w:rPr>
                <w:sz w:val="18"/>
                <w:szCs w:val="18"/>
              </w:rPr>
            </w:pPr>
            <w:r w:rsidRPr="00AC55BF">
              <w:rPr>
                <w:b/>
                <w:sz w:val="18"/>
                <w:szCs w:val="18"/>
              </w:rPr>
              <w:t>Containers</w:t>
            </w:r>
          </w:p>
        </w:tc>
        <w:tc>
          <w:tcPr>
            <w:tcW w:w="1710" w:type="dxa"/>
            <w:tcBorders>
              <w:top w:val="single" w:sz="12" w:space="0" w:color="000000"/>
              <w:left w:val="single" w:sz="12" w:space="0" w:color="000000"/>
              <w:bottom w:val="single" w:sz="12" w:space="0" w:color="000000"/>
              <w:right w:val="single" w:sz="12" w:space="0" w:color="000000"/>
            </w:tcBorders>
            <w:vAlign w:val="center"/>
          </w:tcPr>
          <w:p w14:paraId="62E888BF" w14:textId="62EA14AE" w:rsidR="00B56D50" w:rsidRPr="00AC55BF" w:rsidRDefault="001C3C42" w:rsidP="0010194A">
            <w:pPr>
              <w:spacing w:after="0" w:line="259" w:lineRule="auto"/>
              <w:ind w:left="0" w:right="41" w:firstLine="0"/>
              <w:jc w:val="center"/>
              <w:rPr>
                <w:sz w:val="18"/>
                <w:szCs w:val="18"/>
              </w:rPr>
            </w:pPr>
            <w:r w:rsidRPr="00AC55BF">
              <w:rPr>
                <w:b/>
                <w:sz w:val="18"/>
                <w:szCs w:val="18"/>
              </w:rPr>
              <w:t>Preservatives</w:t>
            </w:r>
          </w:p>
        </w:tc>
        <w:tc>
          <w:tcPr>
            <w:tcW w:w="1980" w:type="dxa"/>
            <w:tcBorders>
              <w:top w:val="single" w:sz="12" w:space="0" w:color="000000"/>
              <w:left w:val="single" w:sz="12" w:space="0" w:color="000000"/>
              <w:bottom w:val="single" w:sz="12" w:space="0" w:color="000000"/>
              <w:right w:val="single" w:sz="12" w:space="0" w:color="000000"/>
            </w:tcBorders>
            <w:vAlign w:val="center"/>
          </w:tcPr>
          <w:p w14:paraId="0DD2F66D" w14:textId="49283159" w:rsidR="00B56D50" w:rsidRPr="00AC55BF" w:rsidRDefault="001C3C42" w:rsidP="0010194A">
            <w:pPr>
              <w:spacing w:after="0" w:line="259" w:lineRule="auto"/>
              <w:ind w:left="0" w:right="45" w:firstLine="0"/>
              <w:jc w:val="center"/>
              <w:rPr>
                <w:sz w:val="18"/>
                <w:szCs w:val="18"/>
              </w:rPr>
            </w:pPr>
            <w:r w:rsidRPr="00AC55BF">
              <w:rPr>
                <w:b/>
                <w:sz w:val="18"/>
                <w:szCs w:val="18"/>
              </w:rPr>
              <w:t>Holding Times</w:t>
            </w:r>
          </w:p>
        </w:tc>
        <w:tc>
          <w:tcPr>
            <w:tcW w:w="1620" w:type="dxa"/>
            <w:tcBorders>
              <w:top w:val="single" w:sz="12" w:space="0" w:color="000000"/>
              <w:left w:val="single" w:sz="12" w:space="0" w:color="000000"/>
              <w:bottom w:val="single" w:sz="12" w:space="0" w:color="000000"/>
              <w:right w:val="single" w:sz="12" w:space="0" w:color="000000"/>
            </w:tcBorders>
            <w:vAlign w:val="center"/>
          </w:tcPr>
          <w:p w14:paraId="71445F21" w14:textId="25FA10E1" w:rsidR="00B56D50" w:rsidRPr="00AC55BF" w:rsidRDefault="001C3C42" w:rsidP="0010194A">
            <w:pPr>
              <w:spacing w:after="0" w:line="259" w:lineRule="auto"/>
              <w:ind w:left="0" w:right="45" w:firstLine="0"/>
              <w:jc w:val="center"/>
              <w:rPr>
                <w:sz w:val="18"/>
                <w:szCs w:val="18"/>
              </w:rPr>
            </w:pPr>
            <w:r w:rsidRPr="00AC55BF">
              <w:rPr>
                <w:b/>
                <w:sz w:val="18"/>
                <w:szCs w:val="18"/>
              </w:rPr>
              <w:t>Containers</w:t>
            </w:r>
          </w:p>
        </w:tc>
        <w:tc>
          <w:tcPr>
            <w:tcW w:w="2520" w:type="dxa"/>
            <w:tcBorders>
              <w:top w:val="single" w:sz="12" w:space="0" w:color="000000"/>
              <w:left w:val="single" w:sz="12" w:space="0" w:color="000000"/>
              <w:bottom w:val="single" w:sz="12" w:space="0" w:color="000000"/>
              <w:right w:val="single" w:sz="12" w:space="0" w:color="000000"/>
            </w:tcBorders>
            <w:vAlign w:val="center"/>
          </w:tcPr>
          <w:p w14:paraId="67026348" w14:textId="056650A6" w:rsidR="00B56D50" w:rsidRPr="00AC55BF" w:rsidRDefault="001C3C42" w:rsidP="0010194A">
            <w:pPr>
              <w:spacing w:after="0" w:line="259" w:lineRule="auto"/>
              <w:ind w:left="0" w:right="42" w:firstLine="0"/>
              <w:jc w:val="center"/>
              <w:rPr>
                <w:sz w:val="18"/>
                <w:szCs w:val="18"/>
              </w:rPr>
            </w:pPr>
            <w:r w:rsidRPr="00AC55BF">
              <w:rPr>
                <w:b/>
                <w:sz w:val="18"/>
                <w:szCs w:val="18"/>
              </w:rPr>
              <w:t>Preservatives</w:t>
            </w:r>
          </w:p>
        </w:tc>
        <w:tc>
          <w:tcPr>
            <w:tcW w:w="1440" w:type="dxa"/>
            <w:tcBorders>
              <w:top w:val="single" w:sz="12" w:space="0" w:color="000000"/>
              <w:left w:val="single" w:sz="12" w:space="0" w:color="000000"/>
              <w:bottom w:val="single" w:sz="12" w:space="0" w:color="000000"/>
              <w:right w:val="single" w:sz="12" w:space="0" w:color="000000"/>
            </w:tcBorders>
            <w:vAlign w:val="center"/>
          </w:tcPr>
          <w:p w14:paraId="61A7A961" w14:textId="413099AA" w:rsidR="00B56D50" w:rsidRPr="00AC55BF" w:rsidRDefault="001C3C42" w:rsidP="0010194A">
            <w:pPr>
              <w:spacing w:after="0" w:line="259" w:lineRule="auto"/>
              <w:ind w:left="0" w:right="0" w:firstLine="0"/>
              <w:jc w:val="center"/>
              <w:rPr>
                <w:sz w:val="18"/>
                <w:szCs w:val="18"/>
              </w:rPr>
            </w:pPr>
            <w:r w:rsidRPr="00AC55BF">
              <w:rPr>
                <w:b/>
                <w:sz w:val="18"/>
                <w:szCs w:val="18"/>
              </w:rPr>
              <w:t>Holding Times</w:t>
            </w:r>
          </w:p>
        </w:tc>
      </w:tr>
      <w:tr w:rsidR="006153D2" w14:paraId="7022667D" w14:textId="77777777" w:rsidTr="00AC55BF">
        <w:trPr>
          <w:trHeight w:val="20"/>
        </w:trPr>
        <w:tc>
          <w:tcPr>
            <w:tcW w:w="3960" w:type="dxa"/>
            <w:tcBorders>
              <w:top w:val="single" w:sz="12" w:space="0" w:color="000000"/>
              <w:left w:val="single" w:sz="12" w:space="0" w:color="000000"/>
              <w:bottom w:val="single" w:sz="12" w:space="0" w:color="000000"/>
              <w:right w:val="single" w:sz="12" w:space="0" w:color="000000"/>
            </w:tcBorders>
            <w:shd w:val="clear" w:color="auto" w:fill="C0C0C0"/>
            <w:vAlign w:val="center"/>
          </w:tcPr>
          <w:p w14:paraId="13EBED19" w14:textId="398D6236" w:rsidR="00B56D50" w:rsidRDefault="001C3C42" w:rsidP="008C74E7">
            <w:pPr>
              <w:spacing w:after="0" w:line="259" w:lineRule="auto"/>
              <w:ind w:left="0" w:right="46" w:firstLine="0"/>
              <w:jc w:val="center"/>
            </w:pPr>
            <w:r>
              <w:rPr>
                <w:b/>
                <w:sz w:val="20"/>
              </w:rPr>
              <w:t>Pathogens</w:t>
            </w:r>
          </w:p>
        </w:tc>
        <w:tc>
          <w:tcPr>
            <w:tcW w:w="1530" w:type="dxa"/>
            <w:tcBorders>
              <w:top w:val="single" w:sz="12" w:space="0" w:color="000000"/>
              <w:left w:val="single" w:sz="12" w:space="0" w:color="000000"/>
              <w:bottom w:val="single" w:sz="12" w:space="0" w:color="000000"/>
              <w:right w:val="single" w:sz="12" w:space="0" w:color="000000"/>
            </w:tcBorders>
            <w:shd w:val="clear" w:color="auto" w:fill="C0C0C0"/>
            <w:vAlign w:val="center"/>
          </w:tcPr>
          <w:p w14:paraId="5CF3A196" w14:textId="7FFD8B4E" w:rsidR="00B56D50" w:rsidRDefault="00B56D50" w:rsidP="0010194A">
            <w:pPr>
              <w:spacing w:after="0" w:line="259" w:lineRule="auto"/>
              <w:ind w:left="8" w:right="0" w:firstLine="0"/>
              <w:jc w:val="center"/>
            </w:pPr>
          </w:p>
        </w:tc>
        <w:tc>
          <w:tcPr>
            <w:tcW w:w="1710" w:type="dxa"/>
            <w:tcBorders>
              <w:top w:val="single" w:sz="12" w:space="0" w:color="000000"/>
              <w:left w:val="single" w:sz="12" w:space="0" w:color="000000"/>
              <w:bottom w:val="single" w:sz="12" w:space="0" w:color="000000"/>
              <w:right w:val="single" w:sz="12" w:space="0" w:color="000000"/>
            </w:tcBorders>
            <w:shd w:val="clear" w:color="auto" w:fill="C0C0C0"/>
            <w:vAlign w:val="center"/>
          </w:tcPr>
          <w:p w14:paraId="098AD89A" w14:textId="3CD63070" w:rsidR="00B56D50" w:rsidRDefault="00B56D50" w:rsidP="0010194A">
            <w:pPr>
              <w:spacing w:after="0" w:line="259" w:lineRule="auto"/>
              <w:ind w:left="8" w:right="0" w:firstLine="0"/>
              <w:jc w:val="center"/>
            </w:pPr>
          </w:p>
        </w:tc>
        <w:tc>
          <w:tcPr>
            <w:tcW w:w="1980" w:type="dxa"/>
            <w:tcBorders>
              <w:top w:val="single" w:sz="12" w:space="0" w:color="000000"/>
              <w:left w:val="single" w:sz="12" w:space="0" w:color="000000"/>
              <w:bottom w:val="single" w:sz="12" w:space="0" w:color="000000"/>
              <w:right w:val="single" w:sz="12" w:space="0" w:color="000000"/>
            </w:tcBorders>
            <w:shd w:val="clear" w:color="auto" w:fill="C0C0C0"/>
            <w:vAlign w:val="center"/>
          </w:tcPr>
          <w:p w14:paraId="2EA44F02" w14:textId="000D1155" w:rsidR="00B56D50" w:rsidRDefault="00B56D50" w:rsidP="0010194A">
            <w:pPr>
              <w:spacing w:after="0" w:line="259" w:lineRule="auto"/>
              <w:ind w:left="7" w:right="0" w:firstLine="0"/>
              <w:jc w:val="center"/>
            </w:pPr>
          </w:p>
        </w:tc>
        <w:tc>
          <w:tcPr>
            <w:tcW w:w="1620" w:type="dxa"/>
            <w:tcBorders>
              <w:top w:val="single" w:sz="12" w:space="0" w:color="000000"/>
              <w:left w:val="single" w:sz="12" w:space="0" w:color="000000"/>
              <w:bottom w:val="single" w:sz="12" w:space="0" w:color="000000"/>
              <w:right w:val="single" w:sz="12" w:space="0" w:color="000000"/>
            </w:tcBorders>
            <w:shd w:val="clear" w:color="auto" w:fill="C0C0C0"/>
            <w:vAlign w:val="center"/>
          </w:tcPr>
          <w:p w14:paraId="7077C901" w14:textId="105E98CA" w:rsidR="00B56D50" w:rsidRDefault="00B56D50" w:rsidP="0010194A">
            <w:pPr>
              <w:spacing w:after="0" w:line="259" w:lineRule="auto"/>
              <w:ind w:left="7" w:right="0" w:firstLine="0"/>
              <w:jc w:val="center"/>
            </w:pPr>
          </w:p>
        </w:tc>
        <w:tc>
          <w:tcPr>
            <w:tcW w:w="2520" w:type="dxa"/>
            <w:tcBorders>
              <w:top w:val="single" w:sz="12" w:space="0" w:color="000000"/>
              <w:left w:val="single" w:sz="12" w:space="0" w:color="000000"/>
              <w:bottom w:val="single" w:sz="12" w:space="0" w:color="000000"/>
              <w:right w:val="single" w:sz="12" w:space="0" w:color="000000"/>
            </w:tcBorders>
            <w:shd w:val="clear" w:color="auto" w:fill="C0C0C0"/>
            <w:vAlign w:val="center"/>
          </w:tcPr>
          <w:p w14:paraId="3E671DEE" w14:textId="181825A0" w:rsidR="00B56D50" w:rsidRDefault="00B56D50" w:rsidP="0010194A">
            <w:pPr>
              <w:spacing w:after="0" w:line="259" w:lineRule="auto"/>
              <w:ind w:left="12" w:right="0" w:firstLine="0"/>
              <w:jc w:val="center"/>
            </w:pPr>
          </w:p>
        </w:tc>
        <w:tc>
          <w:tcPr>
            <w:tcW w:w="1440" w:type="dxa"/>
            <w:tcBorders>
              <w:top w:val="single" w:sz="12" w:space="0" w:color="000000"/>
              <w:left w:val="single" w:sz="12" w:space="0" w:color="000000"/>
              <w:bottom w:val="single" w:sz="12" w:space="0" w:color="000000"/>
              <w:right w:val="single" w:sz="12" w:space="0" w:color="000000"/>
            </w:tcBorders>
            <w:shd w:val="clear" w:color="auto" w:fill="C0C0C0"/>
            <w:vAlign w:val="center"/>
          </w:tcPr>
          <w:p w14:paraId="14F402F6" w14:textId="71681AA5" w:rsidR="00B56D50" w:rsidRDefault="00B56D50" w:rsidP="0010194A">
            <w:pPr>
              <w:spacing w:after="0" w:line="259" w:lineRule="auto"/>
              <w:ind w:left="15" w:right="0" w:firstLine="0"/>
              <w:jc w:val="center"/>
            </w:pPr>
          </w:p>
        </w:tc>
      </w:tr>
      <w:tr w:rsidR="002D5085" w14:paraId="5F82BE9E" w14:textId="77777777" w:rsidTr="005E6CFE">
        <w:trPr>
          <w:trHeight w:val="20"/>
        </w:trPr>
        <w:tc>
          <w:tcPr>
            <w:tcW w:w="3960" w:type="dxa"/>
            <w:tcBorders>
              <w:top w:val="single" w:sz="12" w:space="0" w:color="000000"/>
              <w:left w:val="single" w:sz="12" w:space="0" w:color="000000"/>
              <w:bottom w:val="single" w:sz="4" w:space="0" w:color="000000"/>
              <w:right w:val="single" w:sz="12" w:space="0" w:color="000000"/>
            </w:tcBorders>
            <w:vAlign w:val="center"/>
          </w:tcPr>
          <w:p w14:paraId="72C2C26B" w14:textId="77777777" w:rsidR="00B56D50" w:rsidRDefault="001C3C42" w:rsidP="009144EC">
            <w:pPr>
              <w:spacing w:after="0" w:line="259" w:lineRule="auto"/>
              <w:ind w:left="0" w:right="0" w:firstLine="0"/>
            </w:pPr>
            <w:r>
              <w:rPr>
                <w:sz w:val="20"/>
              </w:rPr>
              <w:t xml:space="preserve">Coliform, fecal and total  </w:t>
            </w:r>
          </w:p>
        </w:tc>
        <w:tc>
          <w:tcPr>
            <w:tcW w:w="1530" w:type="dxa"/>
            <w:tcBorders>
              <w:top w:val="single" w:sz="12" w:space="0" w:color="000000"/>
              <w:left w:val="single" w:sz="12" w:space="0" w:color="000000"/>
              <w:bottom w:val="single" w:sz="4" w:space="0" w:color="000000"/>
              <w:right w:val="single" w:sz="12" w:space="0" w:color="000000"/>
            </w:tcBorders>
            <w:vAlign w:val="center"/>
          </w:tcPr>
          <w:p w14:paraId="34A96A33" w14:textId="44503543" w:rsidR="00B56D50" w:rsidRDefault="001C3C42" w:rsidP="009144EC">
            <w:pPr>
              <w:spacing w:after="0" w:line="259" w:lineRule="auto"/>
              <w:ind w:left="0" w:right="41" w:firstLine="0"/>
              <w:jc w:val="center"/>
            </w:pPr>
            <w:r>
              <w:rPr>
                <w:sz w:val="20"/>
              </w:rPr>
              <w:t>NA</w:t>
            </w:r>
          </w:p>
        </w:tc>
        <w:tc>
          <w:tcPr>
            <w:tcW w:w="1710" w:type="dxa"/>
            <w:tcBorders>
              <w:top w:val="single" w:sz="12" w:space="0" w:color="000000"/>
              <w:left w:val="single" w:sz="12" w:space="0" w:color="000000"/>
              <w:bottom w:val="single" w:sz="4" w:space="0" w:color="000000"/>
              <w:right w:val="single" w:sz="12" w:space="0" w:color="000000"/>
            </w:tcBorders>
            <w:vAlign w:val="center"/>
          </w:tcPr>
          <w:p w14:paraId="625BEC95" w14:textId="54181585" w:rsidR="00B56D50" w:rsidRDefault="00B56D50" w:rsidP="009144EC">
            <w:pPr>
              <w:spacing w:after="0" w:line="259" w:lineRule="auto"/>
              <w:ind w:left="8" w:right="0" w:firstLine="0"/>
              <w:jc w:val="center"/>
            </w:pPr>
          </w:p>
        </w:tc>
        <w:tc>
          <w:tcPr>
            <w:tcW w:w="1980" w:type="dxa"/>
            <w:tcBorders>
              <w:top w:val="single" w:sz="12" w:space="0" w:color="000000"/>
              <w:left w:val="single" w:sz="12" w:space="0" w:color="000000"/>
              <w:bottom w:val="single" w:sz="4" w:space="0" w:color="000000"/>
              <w:right w:val="single" w:sz="12" w:space="0" w:color="000000"/>
            </w:tcBorders>
            <w:vAlign w:val="center"/>
          </w:tcPr>
          <w:p w14:paraId="7B9009F6" w14:textId="3AFE626A" w:rsidR="00B56D50" w:rsidRDefault="00B56D50" w:rsidP="009144EC">
            <w:pPr>
              <w:spacing w:after="0" w:line="259" w:lineRule="auto"/>
              <w:ind w:left="7" w:right="0" w:firstLine="0"/>
              <w:jc w:val="center"/>
            </w:pPr>
          </w:p>
        </w:tc>
        <w:tc>
          <w:tcPr>
            <w:tcW w:w="1620" w:type="dxa"/>
            <w:tcBorders>
              <w:top w:val="single" w:sz="12" w:space="0" w:color="000000"/>
              <w:left w:val="single" w:sz="12" w:space="0" w:color="000000"/>
              <w:bottom w:val="single" w:sz="4" w:space="0" w:color="000000"/>
              <w:right w:val="single" w:sz="12" w:space="0" w:color="000000"/>
            </w:tcBorders>
            <w:vAlign w:val="center"/>
          </w:tcPr>
          <w:p w14:paraId="5FDB098B" w14:textId="4C1240D8" w:rsidR="00B56D50" w:rsidRDefault="001C3C42" w:rsidP="00A13CDE">
            <w:pPr>
              <w:spacing w:after="0" w:line="259" w:lineRule="auto"/>
              <w:ind w:left="0" w:right="44" w:firstLine="0"/>
              <w:jc w:val="center"/>
            </w:pPr>
            <w:r>
              <w:rPr>
                <w:sz w:val="20"/>
              </w:rPr>
              <w:t>1-1 L   P, G</w:t>
            </w:r>
          </w:p>
        </w:tc>
        <w:tc>
          <w:tcPr>
            <w:tcW w:w="2520" w:type="dxa"/>
            <w:tcBorders>
              <w:top w:val="single" w:sz="12" w:space="0" w:color="000000"/>
              <w:left w:val="single" w:sz="12" w:space="0" w:color="000000"/>
              <w:bottom w:val="single" w:sz="4" w:space="0" w:color="000000"/>
              <w:right w:val="single" w:sz="12" w:space="0" w:color="000000"/>
            </w:tcBorders>
            <w:vAlign w:val="center"/>
          </w:tcPr>
          <w:p w14:paraId="7109F7FA" w14:textId="734E6B1E" w:rsidR="00B56D50" w:rsidRDefault="001C3C42" w:rsidP="00A13CDE">
            <w:pPr>
              <w:spacing w:after="0" w:line="259" w:lineRule="auto"/>
              <w:ind w:left="0" w:right="37" w:firstLine="0"/>
              <w:jc w:val="center"/>
            </w:pPr>
            <w:r>
              <w:rPr>
                <w:sz w:val="20"/>
              </w:rPr>
              <w:t>Ice (4</w:t>
            </w:r>
            <w:r>
              <w:rPr>
                <w:sz w:val="20"/>
                <w:vertAlign w:val="superscript"/>
              </w:rPr>
              <w:t>0</w:t>
            </w:r>
            <w:r>
              <w:rPr>
                <w:sz w:val="20"/>
              </w:rPr>
              <w:t>C)</w:t>
            </w:r>
          </w:p>
        </w:tc>
        <w:tc>
          <w:tcPr>
            <w:tcW w:w="1440" w:type="dxa"/>
            <w:tcBorders>
              <w:top w:val="single" w:sz="12" w:space="0" w:color="000000"/>
              <w:left w:val="single" w:sz="12" w:space="0" w:color="000000"/>
              <w:bottom w:val="single" w:sz="4" w:space="0" w:color="000000"/>
              <w:right w:val="single" w:sz="12" w:space="0" w:color="000000"/>
            </w:tcBorders>
            <w:vAlign w:val="center"/>
          </w:tcPr>
          <w:p w14:paraId="267B33E6" w14:textId="22705722" w:rsidR="00B56D50" w:rsidRDefault="001C3C42" w:rsidP="00017D90">
            <w:pPr>
              <w:spacing w:after="0" w:line="259" w:lineRule="auto"/>
              <w:ind w:left="0" w:right="37" w:firstLine="0"/>
              <w:jc w:val="center"/>
            </w:pPr>
            <w:r>
              <w:rPr>
                <w:sz w:val="20"/>
              </w:rPr>
              <w:t>6 hours</w:t>
            </w:r>
          </w:p>
        </w:tc>
      </w:tr>
      <w:tr w:rsidR="002D5085" w14:paraId="1F32497E" w14:textId="77777777" w:rsidTr="005E6CFE">
        <w:trPr>
          <w:trHeight w:val="20"/>
        </w:trPr>
        <w:tc>
          <w:tcPr>
            <w:tcW w:w="3960" w:type="dxa"/>
            <w:tcBorders>
              <w:top w:val="single" w:sz="4" w:space="0" w:color="000000"/>
              <w:left w:val="single" w:sz="12" w:space="0" w:color="000000"/>
              <w:bottom w:val="single" w:sz="4" w:space="0" w:color="000000"/>
              <w:right w:val="single" w:sz="12" w:space="0" w:color="000000"/>
            </w:tcBorders>
            <w:vAlign w:val="center"/>
          </w:tcPr>
          <w:p w14:paraId="35D798DA" w14:textId="77777777" w:rsidR="00B56D50" w:rsidRDefault="001C3C42" w:rsidP="009144EC">
            <w:pPr>
              <w:spacing w:after="0" w:line="259" w:lineRule="auto"/>
              <w:ind w:left="0" w:right="0" w:firstLine="0"/>
            </w:pPr>
            <w:r>
              <w:rPr>
                <w:sz w:val="20"/>
              </w:rPr>
              <w:t xml:space="preserve">Fecal Streptococci </w:t>
            </w:r>
          </w:p>
        </w:tc>
        <w:tc>
          <w:tcPr>
            <w:tcW w:w="1530" w:type="dxa"/>
            <w:tcBorders>
              <w:top w:val="single" w:sz="4" w:space="0" w:color="000000"/>
              <w:left w:val="single" w:sz="12" w:space="0" w:color="000000"/>
              <w:bottom w:val="single" w:sz="4" w:space="0" w:color="000000"/>
              <w:right w:val="single" w:sz="12" w:space="0" w:color="000000"/>
            </w:tcBorders>
            <w:vAlign w:val="center"/>
          </w:tcPr>
          <w:p w14:paraId="2B0FBACA" w14:textId="4ACB894B" w:rsidR="00B56D50" w:rsidRDefault="001C3C42" w:rsidP="009144EC">
            <w:pPr>
              <w:spacing w:after="0" w:line="259" w:lineRule="auto"/>
              <w:ind w:left="0" w:right="41" w:firstLine="0"/>
              <w:jc w:val="center"/>
            </w:pPr>
            <w:r>
              <w:rPr>
                <w:sz w:val="20"/>
              </w:rPr>
              <w:t>NA</w:t>
            </w:r>
          </w:p>
        </w:tc>
        <w:tc>
          <w:tcPr>
            <w:tcW w:w="1710" w:type="dxa"/>
            <w:tcBorders>
              <w:top w:val="single" w:sz="4" w:space="0" w:color="000000"/>
              <w:left w:val="single" w:sz="12" w:space="0" w:color="000000"/>
              <w:bottom w:val="single" w:sz="4" w:space="0" w:color="000000"/>
              <w:right w:val="single" w:sz="12" w:space="0" w:color="000000"/>
            </w:tcBorders>
            <w:vAlign w:val="center"/>
          </w:tcPr>
          <w:p w14:paraId="157D97D3" w14:textId="7D5EE932" w:rsidR="00B56D50" w:rsidRDefault="00B56D50" w:rsidP="009144EC">
            <w:pPr>
              <w:spacing w:after="0" w:line="259" w:lineRule="auto"/>
              <w:ind w:left="8" w:right="0" w:firstLine="0"/>
              <w:jc w:val="center"/>
            </w:pPr>
          </w:p>
        </w:tc>
        <w:tc>
          <w:tcPr>
            <w:tcW w:w="1980" w:type="dxa"/>
            <w:tcBorders>
              <w:top w:val="single" w:sz="4" w:space="0" w:color="000000"/>
              <w:left w:val="single" w:sz="12" w:space="0" w:color="000000"/>
              <w:bottom w:val="single" w:sz="4" w:space="0" w:color="000000"/>
              <w:right w:val="single" w:sz="12" w:space="0" w:color="000000"/>
            </w:tcBorders>
            <w:vAlign w:val="center"/>
          </w:tcPr>
          <w:p w14:paraId="0E363539" w14:textId="3D251308" w:rsidR="00B56D50" w:rsidRDefault="00B56D50" w:rsidP="009144EC">
            <w:pPr>
              <w:spacing w:after="0" w:line="259" w:lineRule="auto"/>
              <w:ind w:left="7" w:right="0" w:firstLine="0"/>
              <w:jc w:val="center"/>
            </w:pPr>
          </w:p>
        </w:tc>
        <w:tc>
          <w:tcPr>
            <w:tcW w:w="1620" w:type="dxa"/>
            <w:tcBorders>
              <w:top w:val="single" w:sz="4" w:space="0" w:color="000000"/>
              <w:left w:val="single" w:sz="12" w:space="0" w:color="000000"/>
              <w:bottom w:val="single" w:sz="4" w:space="0" w:color="000000"/>
              <w:right w:val="single" w:sz="12" w:space="0" w:color="000000"/>
            </w:tcBorders>
            <w:vAlign w:val="center"/>
          </w:tcPr>
          <w:p w14:paraId="50A48EB1" w14:textId="5257FB16" w:rsidR="00B56D50" w:rsidRDefault="001C3C42" w:rsidP="00A13CDE">
            <w:pPr>
              <w:spacing w:after="0" w:line="259" w:lineRule="auto"/>
              <w:ind w:left="0" w:right="45" w:firstLine="0"/>
              <w:jc w:val="center"/>
            </w:pPr>
            <w:r>
              <w:rPr>
                <w:sz w:val="20"/>
              </w:rPr>
              <w:t>1-1 L   P, G</w:t>
            </w:r>
          </w:p>
        </w:tc>
        <w:tc>
          <w:tcPr>
            <w:tcW w:w="2520" w:type="dxa"/>
            <w:tcBorders>
              <w:top w:val="single" w:sz="4" w:space="0" w:color="000000"/>
              <w:left w:val="single" w:sz="12" w:space="0" w:color="000000"/>
              <w:bottom w:val="single" w:sz="4" w:space="0" w:color="000000"/>
              <w:right w:val="single" w:sz="12" w:space="0" w:color="000000"/>
            </w:tcBorders>
            <w:vAlign w:val="center"/>
          </w:tcPr>
          <w:p w14:paraId="540304FA" w14:textId="14486B63" w:rsidR="00B56D50" w:rsidRDefault="001C3C42" w:rsidP="00A13CDE">
            <w:pPr>
              <w:spacing w:after="0" w:line="259" w:lineRule="auto"/>
              <w:ind w:left="0" w:right="37" w:firstLine="0"/>
              <w:jc w:val="center"/>
            </w:pPr>
            <w:r>
              <w:rPr>
                <w:sz w:val="20"/>
              </w:rPr>
              <w:t>Ice (4</w:t>
            </w:r>
            <w:r>
              <w:rPr>
                <w:sz w:val="20"/>
                <w:vertAlign w:val="superscript"/>
              </w:rPr>
              <w:t>0</w:t>
            </w:r>
            <w:r>
              <w:rPr>
                <w:sz w:val="20"/>
              </w:rPr>
              <w:t>C)</w:t>
            </w:r>
          </w:p>
        </w:tc>
        <w:tc>
          <w:tcPr>
            <w:tcW w:w="1440" w:type="dxa"/>
            <w:tcBorders>
              <w:top w:val="single" w:sz="4" w:space="0" w:color="000000"/>
              <w:left w:val="single" w:sz="12" w:space="0" w:color="000000"/>
              <w:bottom w:val="single" w:sz="4" w:space="0" w:color="000000"/>
              <w:right w:val="single" w:sz="12" w:space="0" w:color="000000"/>
            </w:tcBorders>
            <w:vAlign w:val="center"/>
          </w:tcPr>
          <w:p w14:paraId="12E2BB26" w14:textId="394C7A20" w:rsidR="00B56D50" w:rsidRDefault="001C3C42" w:rsidP="00017D90">
            <w:pPr>
              <w:spacing w:after="0" w:line="259" w:lineRule="auto"/>
              <w:ind w:left="0" w:right="37" w:firstLine="0"/>
              <w:jc w:val="center"/>
            </w:pPr>
            <w:r>
              <w:rPr>
                <w:sz w:val="20"/>
              </w:rPr>
              <w:t>6 hours</w:t>
            </w:r>
          </w:p>
        </w:tc>
      </w:tr>
      <w:tr w:rsidR="002D5085" w14:paraId="549542D1" w14:textId="77777777" w:rsidTr="005E6CFE">
        <w:trPr>
          <w:trHeight w:val="20"/>
        </w:trPr>
        <w:tc>
          <w:tcPr>
            <w:tcW w:w="3960" w:type="dxa"/>
            <w:tcBorders>
              <w:top w:val="single" w:sz="4" w:space="0" w:color="000000"/>
              <w:left w:val="single" w:sz="12" w:space="0" w:color="000000"/>
              <w:bottom w:val="single" w:sz="12" w:space="0" w:color="000000"/>
              <w:right w:val="single" w:sz="12" w:space="0" w:color="000000"/>
            </w:tcBorders>
            <w:vAlign w:val="center"/>
          </w:tcPr>
          <w:p w14:paraId="673A3273" w14:textId="77777777" w:rsidR="00B56D50" w:rsidRDefault="001C3C42" w:rsidP="009144EC">
            <w:pPr>
              <w:spacing w:after="0" w:line="259" w:lineRule="auto"/>
              <w:ind w:left="0" w:right="0" w:firstLine="0"/>
            </w:pPr>
            <w:r>
              <w:rPr>
                <w:sz w:val="20"/>
              </w:rPr>
              <w:t xml:space="preserve">Cryptosporidium + Giardia </w:t>
            </w:r>
          </w:p>
        </w:tc>
        <w:tc>
          <w:tcPr>
            <w:tcW w:w="1530" w:type="dxa"/>
            <w:tcBorders>
              <w:top w:val="single" w:sz="4" w:space="0" w:color="000000"/>
              <w:left w:val="single" w:sz="12" w:space="0" w:color="000000"/>
              <w:bottom w:val="single" w:sz="12" w:space="0" w:color="000000"/>
              <w:right w:val="single" w:sz="12" w:space="0" w:color="000000"/>
            </w:tcBorders>
            <w:vAlign w:val="center"/>
          </w:tcPr>
          <w:p w14:paraId="3EAE5126" w14:textId="45F5EA34" w:rsidR="00B56D50" w:rsidRDefault="001C3C42" w:rsidP="009144EC">
            <w:pPr>
              <w:spacing w:after="0" w:line="259" w:lineRule="auto"/>
              <w:ind w:left="0" w:right="41" w:firstLine="0"/>
              <w:jc w:val="center"/>
            </w:pPr>
            <w:r>
              <w:rPr>
                <w:sz w:val="20"/>
              </w:rPr>
              <w:t>NA</w:t>
            </w:r>
          </w:p>
        </w:tc>
        <w:tc>
          <w:tcPr>
            <w:tcW w:w="1710" w:type="dxa"/>
            <w:tcBorders>
              <w:top w:val="single" w:sz="4" w:space="0" w:color="000000"/>
              <w:left w:val="single" w:sz="12" w:space="0" w:color="000000"/>
              <w:bottom w:val="single" w:sz="12" w:space="0" w:color="000000"/>
              <w:right w:val="single" w:sz="12" w:space="0" w:color="000000"/>
            </w:tcBorders>
            <w:vAlign w:val="center"/>
          </w:tcPr>
          <w:p w14:paraId="406C03CF" w14:textId="062698CC" w:rsidR="00B56D50" w:rsidRDefault="00B56D50" w:rsidP="009144EC">
            <w:pPr>
              <w:spacing w:after="0" w:line="259" w:lineRule="auto"/>
              <w:ind w:left="8" w:right="0" w:firstLine="0"/>
              <w:jc w:val="center"/>
            </w:pPr>
          </w:p>
        </w:tc>
        <w:tc>
          <w:tcPr>
            <w:tcW w:w="1980" w:type="dxa"/>
            <w:tcBorders>
              <w:top w:val="single" w:sz="4" w:space="0" w:color="000000"/>
              <w:left w:val="single" w:sz="12" w:space="0" w:color="000000"/>
              <w:bottom w:val="single" w:sz="12" w:space="0" w:color="000000"/>
              <w:right w:val="single" w:sz="12" w:space="0" w:color="000000"/>
            </w:tcBorders>
            <w:vAlign w:val="center"/>
          </w:tcPr>
          <w:p w14:paraId="0ADAF059" w14:textId="11C07DAA" w:rsidR="00B56D50" w:rsidRDefault="00B56D50" w:rsidP="009144EC">
            <w:pPr>
              <w:spacing w:after="0" w:line="259" w:lineRule="auto"/>
              <w:ind w:left="7" w:right="0" w:firstLine="0"/>
              <w:jc w:val="center"/>
            </w:pPr>
          </w:p>
        </w:tc>
        <w:tc>
          <w:tcPr>
            <w:tcW w:w="1620" w:type="dxa"/>
            <w:tcBorders>
              <w:top w:val="single" w:sz="4" w:space="0" w:color="000000"/>
              <w:left w:val="single" w:sz="12" w:space="0" w:color="000000"/>
              <w:bottom w:val="single" w:sz="12" w:space="0" w:color="000000"/>
              <w:right w:val="single" w:sz="12" w:space="0" w:color="000000"/>
            </w:tcBorders>
            <w:vAlign w:val="center"/>
          </w:tcPr>
          <w:p w14:paraId="0C433923" w14:textId="20A19509" w:rsidR="00B56D50" w:rsidRDefault="001C3C42" w:rsidP="00A13CDE">
            <w:pPr>
              <w:spacing w:after="0" w:line="259" w:lineRule="auto"/>
              <w:ind w:left="0" w:right="45" w:firstLine="0"/>
              <w:jc w:val="center"/>
            </w:pPr>
            <w:r>
              <w:rPr>
                <w:sz w:val="20"/>
              </w:rPr>
              <w:t>1-1 L   P, G</w:t>
            </w:r>
          </w:p>
        </w:tc>
        <w:tc>
          <w:tcPr>
            <w:tcW w:w="2520" w:type="dxa"/>
            <w:tcBorders>
              <w:top w:val="single" w:sz="4" w:space="0" w:color="000000"/>
              <w:left w:val="single" w:sz="12" w:space="0" w:color="000000"/>
              <w:bottom w:val="single" w:sz="12" w:space="0" w:color="000000"/>
              <w:right w:val="single" w:sz="12" w:space="0" w:color="000000"/>
            </w:tcBorders>
            <w:vAlign w:val="center"/>
          </w:tcPr>
          <w:p w14:paraId="09F3AD0A" w14:textId="71DF4F89" w:rsidR="00B56D50" w:rsidRDefault="001C3C42" w:rsidP="00A13CDE">
            <w:pPr>
              <w:spacing w:after="0" w:line="259" w:lineRule="auto"/>
              <w:ind w:left="0" w:right="37" w:firstLine="0"/>
              <w:jc w:val="center"/>
            </w:pPr>
            <w:r>
              <w:rPr>
                <w:sz w:val="20"/>
              </w:rPr>
              <w:t>Ice (4</w:t>
            </w:r>
            <w:r>
              <w:rPr>
                <w:sz w:val="20"/>
                <w:vertAlign w:val="superscript"/>
              </w:rPr>
              <w:t>0</w:t>
            </w:r>
            <w:r>
              <w:rPr>
                <w:sz w:val="20"/>
              </w:rPr>
              <w:t>C)</w:t>
            </w:r>
          </w:p>
        </w:tc>
        <w:tc>
          <w:tcPr>
            <w:tcW w:w="1440" w:type="dxa"/>
            <w:tcBorders>
              <w:top w:val="single" w:sz="4" w:space="0" w:color="000000"/>
              <w:left w:val="single" w:sz="12" w:space="0" w:color="000000"/>
              <w:bottom w:val="single" w:sz="12" w:space="0" w:color="000000"/>
              <w:right w:val="single" w:sz="12" w:space="0" w:color="000000"/>
            </w:tcBorders>
            <w:vAlign w:val="center"/>
          </w:tcPr>
          <w:p w14:paraId="64420A62" w14:textId="1EFB2FBC" w:rsidR="00B56D50" w:rsidRDefault="00B56D50" w:rsidP="00017D90">
            <w:pPr>
              <w:spacing w:after="0" w:line="259" w:lineRule="auto"/>
              <w:ind w:left="15" w:right="0" w:firstLine="0"/>
              <w:jc w:val="center"/>
            </w:pPr>
          </w:p>
        </w:tc>
      </w:tr>
      <w:tr w:rsidR="006153D2" w14:paraId="3F69C252" w14:textId="77777777" w:rsidTr="005E6CFE">
        <w:trPr>
          <w:trHeight w:val="20"/>
        </w:trPr>
        <w:tc>
          <w:tcPr>
            <w:tcW w:w="3960" w:type="dxa"/>
            <w:tcBorders>
              <w:top w:val="single" w:sz="12" w:space="0" w:color="000000"/>
              <w:left w:val="single" w:sz="12" w:space="0" w:color="000000"/>
              <w:bottom w:val="single" w:sz="12" w:space="0" w:color="000000"/>
              <w:right w:val="single" w:sz="12" w:space="0" w:color="000000"/>
            </w:tcBorders>
            <w:shd w:val="clear" w:color="auto" w:fill="C0C0C0"/>
            <w:vAlign w:val="center"/>
          </w:tcPr>
          <w:p w14:paraId="7D31375F" w14:textId="41D32A70" w:rsidR="00B56D50" w:rsidRDefault="001C3C42" w:rsidP="00031F43">
            <w:pPr>
              <w:spacing w:after="0" w:line="259" w:lineRule="auto"/>
              <w:ind w:left="0" w:right="47" w:firstLine="0"/>
              <w:jc w:val="center"/>
            </w:pPr>
            <w:r>
              <w:rPr>
                <w:b/>
                <w:sz w:val="20"/>
              </w:rPr>
              <w:t>Metals</w:t>
            </w:r>
          </w:p>
        </w:tc>
        <w:tc>
          <w:tcPr>
            <w:tcW w:w="1530" w:type="dxa"/>
            <w:tcBorders>
              <w:top w:val="single" w:sz="12" w:space="0" w:color="000000"/>
              <w:left w:val="single" w:sz="12" w:space="0" w:color="000000"/>
              <w:bottom w:val="single" w:sz="12" w:space="0" w:color="000000"/>
              <w:right w:val="single" w:sz="12" w:space="0" w:color="000000"/>
            </w:tcBorders>
            <w:shd w:val="clear" w:color="auto" w:fill="C0C0C0"/>
            <w:vAlign w:val="center"/>
          </w:tcPr>
          <w:p w14:paraId="6426237B" w14:textId="5D0FF41C" w:rsidR="00B56D50" w:rsidRDefault="00B56D50" w:rsidP="00C67A7F">
            <w:pPr>
              <w:spacing w:after="0" w:line="259" w:lineRule="auto"/>
              <w:ind w:left="8" w:right="0" w:firstLine="0"/>
              <w:jc w:val="center"/>
            </w:pPr>
          </w:p>
        </w:tc>
        <w:tc>
          <w:tcPr>
            <w:tcW w:w="1710" w:type="dxa"/>
            <w:tcBorders>
              <w:top w:val="single" w:sz="12" w:space="0" w:color="000000"/>
              <w:left w:val="single" w:sz="12" w:space="0" w:color="000000"/>
              <w:bottom w:val="single" w:sz="12" w:space="0" w:color="000000"/>
              <w:right w:val="single" w:sz="12" w:space="0" w:color="000000"/>
            </w:tcBorders>
            <w:shd w:val="clear" w:color="auto" w:fill="C0C0C0"/>
            <w:vAlign w:val="center"/>
          </w:tcPr>
          <w:p w14:paraId="262C1C26" w14:textId="4814C5D1" w:rsidR="00B56D50" w:rsidRDefault="00B56D50" w:rsidP="005E6CFE">
            <w:pPr>
              <w:spacing w:after="0" w:line="259" w:lineRule="auto"/>
              <w:ind w:left="8" w:right="0" w:firstLine="0"/>
              <w:jc w:val="center"/>
            </w:pPr>
          </w:p>
        </w:tc>
        <w:tc>
          <w:tcPr>
            <w:tcW w:w="1980" w:type="dxa"/>
            <w:tcBorders>
              <w:top w:val="single" w:sz="12" w:space="0" w:color="000000"/>
              <w:left w:val="single" w:sz="12" w:space="0" w:color="000000"/>
              <w:bottom w:val="single" w:sz="12" w:space="0" w:color="000000"/>
              <w:right w:val="single" w:sz="12" w:space="0" w:color="000000"/>
            </w:tcBorders>
            <w:shd w:val="clear" w:color="auto" w:fill="C0C0C0"/>
            <w:vAlign w:val="center"/>
          </w:tcPr>
          <w:p w14:paraId="054097F4" w14:textId="5FF5AF20" w:rsidR="00B56D50" w:rsidRDefault="00B56D50" w:rsidP="005E6CFE">
            <w:pPr>
              <w:spacing w:after="0" w:line="259" w:lineRule="auto"/>
              <w:ind w:left="7" w:right="0" w:firstLine="0"/>
              <w:jc w:val="center"/>
            </w:pPr>
          </w:p>
        </w:tc>
        <w:tc>
          <w:tcPr>
            <w:tcW w:w="1620" w:type="dxa"/>
            <w:tcBorders>
              <w:top w:val="single" w:sz="12" w:space="0" w:color="000000"/>
              <w:left w:val="single" w:sz="12" w:space="0" w:color="000000"/>
              <w:bottom w:val="single" w:sz="12" w:space="0" w:color="000000"/>
              <w:right w:val="single" w:sz="12" w:space="0" w:color="000000"/>
            </w:tcBorders>
            <w:shd w:val="clear" w:color="auto" w:fill="C0C0C0"/>
            <w:vAlign w:val="center"/>
          </w:tcPr>
          <w:p w14:paraId="1A121D52" w14:textId="6F4C5469" w:rsidR="00B56D50" w:rsidRDefault="00B56D50" w:rsidP="008C74E7">
            <w:pPr>
              <w:spacing w:after="0" w:line="259" w:lineRule="auto"/>
              <w:ind w:left="7" w:right="0" w:firstLine="0"/>
              <w:jc w:val="center"/>
            </w:pPr>
          </w:p>
        </w:tc>
        <w:tc>
          <w:tcPr>
            <w:tcW w:w="2520" w:type="dxa"/>
            <w:tcBorders>
              <w:top w:val="single" w:sz="12" w:space="0" w:color="000000"/>
              <w:left w:val="single" w:sz="12" w:space="0" w:color="000000"/>
              <w:bottom w:val="single" w:sz="12" w:space="0" w:color="000000"/>
              <w:right w:val="single" w:sz="12" w:space="0" w:color="000000"/>
            </w:tcBorders>
            <w:shd w:val="clear" w:color="auto" w:fill="C0C0C0"/>
            <w:vAlign w:val="center"/>
          </w:tcPr>
          <w:p w14:paraId="43FB96AD" w14:textId="5E4F2EAA" w:rsidR="00B56D50" w:rsidRDefault="00B56D50" w:rsidP="0010194A">
            <w:pPr>
              <w:spacing w:after="0" w:line="259" w:lineRule="auto"/>
              <w:ind w:left="12" w:right="0" w:firstLine="0"/>
              <w:jc w:val="center"/>
            </w:pPr>
          </w:p>
        </w:tc>
        <w:tc>
          <w:tcPr>
            <w:tcW w:w="1440" w:type="dxa"/>
            <w:tcBorders>
              <w:top w:val="single" w:sz="12" w:space="0" w:color="000000"/>
              <w:left w:val="single" w:sz="12" w:space="0" w:color="000000"/>
              <w:bottom w:val="single" w:sz="12" w:space="0" w:color="000000"/>
              <w:right w:val="single" w:sz="12" w:space="0" w:color="000000"/>
            </w:tcBorders>
            <w:shd w:val="clear" w:color="auto" w:fill="C0C0C0"/>
            <w:vAlign w:val="center"/>
          </w:tcPr>
          <w:p w14:paraId="25D0340E" w14:textId="1EBE069A" w:rsidR="00B56D50" w:rsidRDefault="00B56D50" w:rsidP="0010194A">
            <w:pPr>
              <w:spacing w:after="0" w:line="259" w:lineRule="auto"/>
              <w:ind w:left="15" w:right="0" w:firstLine="0"/>
              <w:jc w:val="center"/>
            </w:pPr>
          </w:p>
        </w:tc>
      </w:tr>
      <w:tr w:rsidR="002D5085" w14:paraId="5C8D0D12" w14:textId="77777777" w:rsidTr="005E6CFE">
        <w:trPr>
          <w:trHeight w:val="20"/>
        </w:trPr>
        <w:tc>
          <w:tcPr>
            <w:tcW w:w="3960" w:type="dxa"/>
            <w:tcBorders>
              <w:top w:val="single" w:sz="12" w:space="0" w:color="000000"/>
              <w:left w:val="single" w:sz="12" w:space="0" w:color="000000"/>
              <w:bottom w:val="single" w:sz="7" w:space="0" w:color="000000"/>
              <w:right w:val="single" w:sz="12" w:space="0" w:color="000000"/>
            </w:tcBorders>
          </w:tcPr>
          <w:p w14:paraId="57509755" w14:textId="77777777" w:rsidR="00B56D50" w:rsidRDefault="001C3C42">
            <w:pPr>
              <w:spacing w:after="0" w:line="259" w:lineRule="auto"/>
              <w:ind w:left="0" w:right="0" w:firstLine="0"/>
            </w:pPr>
            <w:r>
              <w:rPr>
                <w:sz w:val="20"/>
              </w:rPr>
              <w:t>Total Metals (except Hg and Cr</w:t>
            </w:r>
            <w:r>
              <w:rPr>
                <w:sz w:val="20"/>
                <w:vertAlign w:val="superscript"/>
              </w:rPr>
              <w:t>+6</w:t>
            </w:r>
            <w:r>
              <w:rPr>
                <w:sz w:val="20"/>
              </w:rPr>
              <w:t xml:space="preserve">) </w:t>
            </w:r>
          </w:p>
        </w:tc>
        <w:tc>
          <w:tcPr>
            <w:tcW w:w="1530" w:type="dxa"/>
            <w:tcBorders>
              <w:top w:val="single" w:sz="12" w:space="0" w:color="000000"/>
              <w:left w:val="single" w:sz="12" w:space="0" w:color="000000"/>
              <w:bottom w:val="single" w:sz="7" w:space="0" w:color="000000"/>
              <w:right w:val="single" w:sz="12" w:space="0" w:color="000000"/>
            </w:tcBorders>
            <w:vAlign w:val="center"/>
          </w:tcPr>
          <w:p w14:paraId="49CA8606" w14:textId="28DD0799" w:rsidR="00B56D50" w:rsidRDefault="001C3C42" w:rsidP="008A34BE">
            <w:pPr>
              <w:spacing w:after="0" w:line="259" w:lineRule="auto"/>
              <w:ind w:left="0" w:right="47" w:firstLine="0"/>
              <w:jc w:val="center"/>
            </w:pPr>
            <w:r>
              <w:rPr>
                <w:sz w:val="20"/>
              </w:rPr>
              <w:t>500 mL G</w:t>
            </w:r>
          </w:p>
        </w:tc>
        <w:tc>
          <w:tcPr>
            <w:tcW w:w="1710" w:type="dxa"/>
            <w:tcBorders>
              <w:top w:val="single" w:sz="12" w:space="0" w:color="000000"/>
              <w:left w:val="single" w:sz="12" w:space="0" w:color="000000"/>
              <w:bottom w:val="single" w:sz="2" w:space="0" w:color="000000"/>
              <w:right w:val="single" w:sz="12" w:space="0" w:color="000000"/>
            </w:tcBorders>
            <w:vAlign w:val="center"/>
          </w:tcPr>
          <w:p w14:paraId="79846E77" w14:textId="42794156" w:rsidR="00B56D50" w:rsidRDefault="001C3C42" w:rsidP="00C67A7F">
            <w:pPr>
              <w:spacing w:after="0" w:line="259" w:lineRule="auto"/>
              <w:ind w:left="0" w:right="45" w:firstLine="0"/>
              <w:jc w:val="center"/>
            </w:pPr>
            <w:r>
              <w:rPr>
                <w:sz w:val="20"/>
              </w:rPr>
              <w:t>none</w:t>
            </w:r>
          </w:p>
        </w:tc>
        <w:tc>
          <w:tcPr>
            <w:tcW w:w="1980" w:type="dxa"/>
            <w:tcBorders>
              <w:top w:val="single" w:sz="12" w:space="0" w:color="000000"/>
              <w:left w:val="single" w:sz="12" w:space="0" w:color="000000"/>
              <w:bottom w:val="single" w:sz="7" w:space="0" w:color="000000"/>
              <w:right w:val="single" w:sz="12" w:space="0" w:color="000000"/>
            </w:tcBorders>
            <w:vAlign w:val="center"/>
          </w:tcPr>
          <w:p w14:paraId="688EC6B6" w14:textId="40CC6865" w:rsidR="00B56D50" w:rsidRDefault="001C3C42" w:rsidP="005E6CFE">
            <w:pPr>
              <w:spacing w:after="0" w:line="259" w:lineRule="auto"/>
              <w:ind w:left="0" w:right="45" w:firstLine="0"/>
              <w:jc w:val="center"/>
            </w:pPr>
            <w:r>
              <w:rPr>
                <w:sz w:val="20"/>
              </w:rPr>
              <w:t>6 months</w:t>
            </w:r>
          </w:p>
        </w:tc>
        <w:tc>
          <w:tcPr>
            <w:tcW w:w="1620" w:type="dxa"/>
            <w:tcBorders>
              <w:top w:val="single" w:sz="12" w:space="0" w:color="000000"/>
              <w:left w:val="single" w:sz="12" w:space="0" w:color="000000"/>
              <w:bottom w:val="single" w:sz="7" w:space="0" w:color="000000"/>
              <w:right w:val="single" w:sz="12" w:space="0" w:color="000000"/>
            </w:tcBorders>
            <w:vAlign w:val="center"/>
          </w:tcPr>
          <w:p w14:paraId="486A1B25" w14:textId="7CCDB099" w:rsidR="00B56D50" w:rsidRDefault="001C3C42" w:rsidP="005E6CFE">
            <w:pPr>
              <w:spacing w:after="0" w:line="259" w:lineRule="auto"/>
              <w:ind w:left="0" w:right="45" w:firstLine="0"/>
              <w:jc w:val="center"/>
            </w:pPr>
            <w:r>
              <w:rPr>
                <w:sz w:val="20"/>
              </w:rPr>
              <w:t>1-1 L   P, G</w:t>
            </w:r>
          </w:p>
        </w:tc>
        <w:tc>
          <w:tcPr>
            <w:tcW w:w="2520" w:type="dxa"/>
            <w:tcBorders>
              <w:top w:val="single" w:sz="12" w:space="0" w:color="000000"/>
              <w:left w:val="single" w:sz="12" w:space="0" w:color="000000"/>
              <w:bottom w:val="single" w:sz="7" w:space="0" w:color="000000"/>
              <w:right w:val="single" w:sz="12" w:space="0" w:color="000000"/>
            </w:tcBorders>
            <w:vAlign w:val="center"/>
          </w:tcPr>
          <w:p w14:paraId="29A02AEB" w14:textId="79FCC97A" w:rsidR="00B56D50" w:rsidRDefault="001C3C42" w:rsidP="008C74E7">
            <w:pPr>
              <w:spacing w:after="0" w:line="259" w:lineRule="auto"/>
              <w:ind w:left="0" w:right="43" w:firstLine="0"/>
              <w:jc w:val="center"/>
            </w:pPr>
            <w:r>
              <w:rPr>
                <w:sz w:val="20"/>
              </w:rPr>
              <w:t>HNO</w:t>
            </w:r>
            <w:r>
              <w:rPr>
                <w:sz w:val="20"/>
                <w:vertAlign w:val="subscript"/>
              </w:rPr>
              <w:t>3</w:t>
            </w:r>
            <w:r>
              <w:rPr>
                <w:sz w:val="20"/>
              </w:rPr>
              <w:t xml:space="preserve"> to pH&lt;2</w:t>
            </w:r>
          </w:p>
        </w:tc>
        <w:tc>
          <w:tcPr>
            <w:tcW w:w="1440" w:type="dxa"/>
            <w:tcBorders>
              <w:top w:val="single" w:sz="12" w:space="0" w:color="000000"/>
              <w:left w:val="single" w:sz="12" w:space="0" w:color="000000"/>
              <w:bottom w:val="single" w:sz="7" w:space="0" w:color="000000"/>
              <w:right w:val="single" w:sz="12" w:space="0" w:color="000000"/>
            </w:tcBorders>
            <w:vAlign w:val="center"/>
          </w:tcPr>
          <w:p w14:paraId="009B2FFF" w14:textId="71CA3CBC" w:rsidR="00B56D50" w:rsidRDefault="001C3C42" w:rsidP="0010194A">
            <w:pPr>
              <w:spacing w:after="0" w:line="259" w:lineRule="auto"/>
              <w:ind w:left="0" w:right="37" w:firstLine="0"/>
              <w:jc w:val="center"/>
            </w:pPr>
            <w:r>
              <w:rPr>
                <w:sz w:val="20"/>
              </w:rPr>
              <w:t>6 months</w:t>
            </w:r>
          </w:p>
        </w:tc>
      </w:tr>
      <w:tr w:rsidR="002D5085" w14:paraId="6F0D763B" w14:textId="77777777" w:rsidTr="005E6CFE">
        <w:trPr>
          <w:trHeight w:val="20"/>
        </w:trPr>
        <w:tc>
          <w:tcPr>
            <w:tcW w:w="3960" w:type="dxa"/>
            <w:tcBorders>
              <w:top w:val="single" w:sz="7" w:space="0" w:color="000000"/>
              <w:left w:val="single" w:sz="12" w:space="0" w:color="000000"/>
              <w:bottom w:val="single" w:sz="7" w:space="0" w:color="000000"/>
              <w:right w:val="single" w:sz="12" w:space="0" w:color="000000"/>
            </w:tcBorders>
          </w:tcPr>
          <w:p w14:paraId="2A3B57AA" w14:textId="77777777" w:rsidR="00B56D50" w:rsidRDefault="001C3C42">
            <w:pPr>
              <w:spacing w:after="0" w:line="259" w:lineRule="auto"/>
              <w:ind w:left="0" w:right="0" w:firstLine="0"/>
            </w:pPr>
            <w:r>
              <w:rPr>
                <w:sz w:val="20"/>
              </w:rPr>
              <w:t>Dissolved Metals (except Hg and Cr</w:t>
            </w:r>
            <w:r>
              <w:rPr>
                <w:sz w:val="20"/>
                <w:vertAlign w:val="superscript"/>
              </w:rPr>
              <w:t>+6</w:t>
            </w:r>
            <w:r>
              <w:rPr>
                <w:sz w:val="20"/>
              </w:rPr>
              <w:t xml:space="preserve">) </w:t>
            </w:r>
          </w:p>
        </w:tc>
        <w:tc>
          <w:tcPr>
            <w:tcW w:w="1530" w:type="dxa"/>
            <w:tcBorders>
              <w:top w:val="single" w:sz="7" w:space="0" w:color="000000"/>
              <w:left w:val="single" w:sz="12" w:space="0" w:color="000000"/>
              <w:bottom w:val="single" w:sz="7" w:space="0" w:color="000000"/>
              <w:right w:val="single" w:sz="12" w:space="0" w:color="000000"/>
            </w:tcBorders>
            <w:vAlign w:val="center"/>
          </w:tcPr>
          <w:p w14:paraId="419ED7D2" w14:textId="7688FC64" w:rsidR="00B56D50" w:rsidRDefault="001C3C42" w:rsidP="008A34BE">
            <w:pPr>
              <w:spacing w:after="0" w:line="259" w:lineRule="auto"/>
              <w:ind w:left="0" w:right="47" w:firstLine="0"/>
              <w:jc w:val="center"/>
            </w:pPr>
            <w:r>
              <w:rPr>
                <w:sz w:val="20"/>
              </w:rPr>
              <w:t>500 mL G</w:t>
            </w:r>
          </w:p>
        </w:tc>
        <w:tc>
          <w:tcPr>
            <w:tcW w:w="1710" w:type="dxa"/>
            <w:tcBorders>
              <w:top w:val="single" w:sz="2" w:space="0" w:color="000000"/>
              <w:left w:val="single" w:sz="12" w:space="0" w:color="000000"/>
              <w:bottom w:val="single" w:sz="2" w:space="0" w:color="000000"/>
              <w:right w:val="single" w:sz="12" w:space="0" w:color="000000"/>
            </w:tcBorders>
            <w:vAlign w:val="center"/>
          </w:tcPr>
          <w:p w14:paraId="05CA5C93" w14:textId="00479187" w:rsidR="00B56D50" w:rsidRDefault="001C3C42" w:rsidP="00C67A7F">
            <w:pPr>
              <w:spacing w:after="0" w:line="259" w:lineRule="auto"/>
              <w:ind w:left="0" w:right="45" w:firstLine="0"/>
              <w:jc w:val="center"/>
            </w:pPr>
            <w:r>
              <w:rPr>
                <w:sz w:val="20"/>
              </w:rPr>
              <w:t>none</w:t>
            </w:r>
          </w:p>
        </w:tc>
        <w:tc>
          <w:tcPr>
            <w:tcW w:w="1980" w:type="dxa"/>
            <w:tcBorders>
              <w:top w:val="single" w:sz="7" w:space="0" w:color="000000"/>
              <w:left w:val="single" w:sz="12" w:space="0" w:color="000000"/>
              <w:bottom w:val="single" w:sz="7" w:space="0" w:color="000000"/>
              <w:right w:val="single" w:sz="12" w:space="0" w:color="000000"/>
            </w:tcBorders>
            <w:vAlign w:val="center"/>
          </w:tcPr>
          <w:p w14:paraId="3F4E193E" w14:textId="54A68BA2" w:rsidR="00B56D50" w:rsidRDefault="001C3C42" w:rsidP="005E6CFE">
            <w:pPr>
              <w:spacing w:after="0" w:line="259" w:lineRule="auto"/>
              <w:ind w:left="0" w:right="45" w:firstLine="0"/>
              <w:jc w:val="center"/>
            </w:pPr>
            <w:r>
              <w:rPr>
                <w:sz w:val="20"/>
              </w:rPr>
              <w:t>6 months</w:t>
            </w:r>
          </w:p>
        </w:tc>
        <w:tc>
          <w:tcPr>
            <w:tcW w:w="1620" w:type="dxa"/>
            <w:tcBorders>
              <w:top w:val="single" w:sz="7" w:space="0" w:color="000000"/>
              <w:left w:val="single" w:sz="12" w:space="0" w:color="000000"/>
              <w:bottom w:val="single" w:sz="7" w:space="0" w:color="000000"/>
              <w:right w:val="single" w:sz="12" w:space="0" w:color="000000"/>
            </w:tcBorders>
            <w:vAlign w:val="center"/>
          </w:tcPr>
          <w:p w14:paraId="322B2EF3" w14:textId="1447AA69" w:rsidR="00B56D50" w:rsidRDefault="001C3C42" w:rsidP="005E6CFE">
            <w:pPr>
              <w:spacing w:after="0" w:line="259" w:lineRule="auto"/>
              <w:ind w:left="0" w:right="45" w:firstLine="0"/>
              <w:jc w:val="center"/>
            </w:pPr>
            <w:r>
              <w:rPr>
                <w:sz w:val="20"/>
              </w:rPr>
              <w:t>1-1 L   P, G</w:t>
            </w:r>
          </w:p>
        </w:tc>
        <w:tc>
          <w:tcPr>
            <w:tcW w:w="2520" w:type="dxa"/>
            <w:tcBorders>
              <w:top w:val="single" w:sz="7" w:space="0" w:color="000000"/>
              <w:left w:val="single" w:sz="12" w:space="0" w:color="000000"/>
              <w:bottom w:val="single" w:sz="7" w:space="0" w:color="000000"/>
              <w:right w:val="single" w:sz="12" w:space="0" w:color="000000"/>
            </w:tcBorders>
            <w:vAlign w:val="center"/>
          </w:tcPr>
          <w:p w14:paraId="3DB4E86F" w14:textId="1C6136DE" w:rsidR="00B56D50" w:rsidRDefault="001C3C42" w:rsidP="008C74E7">
            <w:pPr>
              <w:spacing w:after="0" w:line="259" w:lineRule="auto"/>
              <w:ind w:left="0" w:right="40" w:firstLine="0"/>
              <w:jc w:val="center"/>
            </w:pPr>
            <w:r>
              <w:rPr>
                <w:i/>
                <w:sz w:val="20"/>
              </w:rPr>
              <w:t>Filter,</w:t>
            </w:r>
            <w:r>
              <w:rPr>
                <w:sz w:val="20"/>
              </w:rPr>
              <w:t xml:space="preserve"> HNO</w:t>
            </w:r>
            <w:r>
              <w:rPr>
                <w:sz w:val="20"/>
                <w:vertAlign w:val="subscript"/>
              </w:rPr>
              <w:t>3</w:t>
            </w:r>
            <w:r>
              <w:rPr>
                <w:sz w:val="20"/>
              </w:rPr>
              <w:t xml:space="preserve"> to pH&lt;2</w:t>
            </w:r>
          </w:p>
        </w:tc>
        <w:tc>
          <w:tcPr>
            <w:tcW w:w="1440" w:type="dxa"/>
            <w:tcBorders>
              <w:top w:val="single" w:sz="7" w:space="0" w:color="000000"/>
              <w:left w:val="single" w:sz="12" w:space="0" w:color="000000"/>
              <w:bottom w:val="single" w:sz="7" w:space="0" w:color="000000"/>
              <w:right w:val="single" w:sz="12" w:space="0" w:color="000000"/>
            </w:tcBorders>
            <w:vAlign w:val="center"/>
          </w:tcPr>
          <w:p w14:paraId="6045C117" w14:textId="5882A961" w:rsidR="00B56D50" w:rsidRDefault="001C3C42" w:rsidP="0010194A">
            <w:pPr>
              <w:spacing w:after="0" w:line="259" w:lineRule="auto"/>
              <w:ind w:left="0" w:right="37" w:firstLine="0"/>
              <w:jc w:val="center"/>
            </w:pPr>
            <w:r>
              <w:rPr>
                <w:sz w:val="20"/>
              </w:rPr>
              <w:t>6 months</w:t>
            </w:r>
          </w:p>
        </w:tc>
      </w:tr>
      <w:tr w:rsidR="002D5085" w14:paraId="0E28909A" w14:textId="77777777" w:rsidTr="005E6CFE">
        <w:trPr>
          <w:trHeight w:val="20"/>
        </w:trPr>
        <w:tc>
          <w:tcPr>
            <w:tcW w:w="3960" w:type="dxa"/>
            <w:tcBorders>
              <w:top w:val="single" w:sz="7" w:space="0" w:color="000000"/>
              <w:left w:val="single" w:sz="12" w:space="0" w:color="000000"/>
              <w:bottom w:val="single" w:sz="7" w:space="0" w:color="000000"/>
              <w:right w:val="single" w:sz="12" w:space="0" w:color="000000"/>
            </w:tcBorders>
            <w:vAlign w:val="center"/>
          </w:tcPr>
          <w:p w14:paraId="727D9E55" w14:textId="77777777" w:rsidR="00B56D50" w:rsidRDefault="001C3C42">
            <w:pPr>
              <w:spacing w:after="0" w:line="259" w:lineRule="auto"/>
              <w:ind w:left="0" w:right="0" w:firstLine="0"/>
            </w:pPr>
            <w:r>
              <w:rPr>
                <w:sz w:val="20"/>
              </w:rPr>
              <w:t>Suspended</w:t>
            </w:r>
            <w:r>
              <w:rPr>
                <w:i/>
                <w:sz w:val="20"/>
              </w:rPr>
              <w:t xml:space="preserve"> </w:t>
            </w:r>
            <w:r>
              <w:rPr>
                <w:sz w:val="20"/>
              </w:rPr>
              <w:t>Metals (except Hg and Cr</w:t>
            </w:r>
            <w:r>
              <w:rPr>
                <w:sz w:val="20"/>
                <w:vertAlign w:val="superscript"/>
              </w:rPr>
              <w:t>+6</w:t>
            </w:r>
            <w:r>
              <w:rPr>
                <w:sz w:val="20"/>
              </w:rPr>
              <w:t xml:space="preserve">) </w:t>
            </w:r>
          </w:p>
        </w:tc>
        <w:tc>
          <w:tcPr>
            <w:tcW w:w="1530" w:type="dxa"/>
            <w:tcBorders>
              <w:top w:val="single" w:sz="7" w:space="0" w:color="000000"/>
              <w:left w:val="single" w:sz="12" w:space="0" w:color="000000"/>
              <w:bottom w:val="single" w:sz="7" w:space="0" w:color="000000"/>
              <w:right w:val="single" w:sz="12" w:space="0" w:color="000000"/>
            </w:tcBorders>
            <w:vAlign w:val="center"/>
          </w:tcPr>
          <w:p w14:paraId="5830081B" w14:textId="27A8DA10" w:rsidR="00B56D50" w:rsidRDefault="001C3C42" w:rsidP="008A34BE">
            <w:pPr>
              <w:spacing w:after="0" w:line="259" w:lineRule="auto"/>
              <w:ind w:left="0" w:right="47" w:firstLine="0"/>
              <w:jc w:val="center"/>
            </w:pPr>
            <w:r>
              <w:rPr>
                <w:sz w:val="20"/>
              </w:rPr>
              <w:t>500 mL G</w:t>
            </w:r>
          </w:p>
        </w:tc>
        <w:tc>
          <w:tcPr>
            <w:tcW w:w="1710" w:type="dxa"/>
            <w:tcBorders>
              <w:top w:val="single" w:sz="2" w:space="0" w:color="000000"/>
              <w:left w:val="single" w:sz="12" w:space="0" w:color="000000"/>
              <w:bottom w:val="single" w:sz="2" w:space="0" w:color="000000"/>
              <w:right w:val="single" w:sz="12" w:space="0" w:color="000000"/>
            </w:tcBorders>
            <w:vAlign w:val="center"/>
          </w:tcPr>
          <w:p w14:paraId="45B3DCEF" w14:textId="13C259E7" w:rsidR="00B56D50" w:rsidRDefault="001C3C42" w:rsidP="00C67A7F">
            <w:pPr>
              <w:spacing w:after="0" w:line="259" w:lineRule="auto"/>
              <w:ind w:left="0" w:right="45" w:firstLine="0"/>
              <w:jc w:val="center"/>
            </w:pPr>
            <w:r>
              <w:rPr>
                <w:sz w:val="20"/>
              </w:rPr>
              <w:t>none</w:t>
            </w:r>
          </w:p>
        </w:tc>
        <w:tc>
          <w:tcPr>
            <w:tcW w:w="1980" w:type="dxa"/>
            <w:tcBorders>
              <w:top w:val="single" w:sz="7" w:space="0" w:color="000000"/>
              <w:left w:val="single" w:sz="12" w:space="0" w:color="000000"/>
              <w:bottom w:val="single" w:sz="7" w:space="0" w:color="000000"/>
              <w:right w:val="single" w:sz="12" w:space="0" w:color="000000"/>
            </w:tcBorders>
            <w:vAlign w:val="center"/>
          </w:tcPr>
          <w:p w14:paraId="202F9099" w14:textId="21FFAE57" w:rsidR="00B56D50" w:rsidRDefault="001C3C42" w:rsidP="005E6CFE">
            <w:pPr>
              <w:spacing w:after="0" w:line="259" w:lineRule="auto"/>
              <w:ind w:left="0" w:right="45" w:firstLine="0"/>
              <w:jc w:val="center"/>
            </w:pPr>
            <w:r>
              <w:rPr>
                <w:sz w:val="20"/>
              </w:rPr>
              <w:t>6 months</w:t>
            </w:r>
          </w:p>
        </w:tc>
        <w:tc>
          <w:tcPr>
            <w:tcW w:w="1620" w:type="dxa"/>
            <w:tcBorders>
              <w:top w:val="single" w:sz="7" w:space="0" w:color="000000"/>
              <w:left w:val="single" w:sz="12" w:space="0" w:color="000000"/>
              <w:bottom w:val="single" w:sz="7" w:space="0" w:color="000000"/>
              <w:right w:val="single" w:sz="12" w:space="0" w:color="000000"/>
            </w:tcBorders>
            <w:vAlign w:val="center"/>
          </w:tcPr>
          <w:p w14:paraId="5BCAF3E7" w14:textId="68CFF4A7" w:rsidR="00B56D50" w:rsidRDefault="001C3C42" w:rsidP="005E6CFE">
            <w:pPr>
              <w:spacing w:after="0" w:line="259" w:lineRule="auto"/>
              <w:ind w:left="0" w:right="45" w:firstLine="0"/>
              <w:jc w:val="center"/>
            </w:pPr>
            <w:r>
              <w:rPr>
                <w:sz w:val="20"/>
              </w:rPr>
              <w:t>1-1 L   P, G</w:t>
            </w:r>
          </w:p>
        </w:tc>
        <w:tc>
          <w:tcPr>
            <w:tcW w:w="2520" w:type="dxa"/>
            <w:tcBorders>
              <w:top w:val="single" w:sz="7" w:space="0" w:color="000000"/>
              <w:left w:val="single" w:sz="12" w:space="0" w:color="000000"/>
              <w:bottom w:val="single" w:sz="7" w:space="0" w:color="000000"/>
              <w:right w:val="single" w:sz="12" w:space="0" w:color="000000"/>
            </w:tcBorders>
            <w:vAlign w:val="center"/>
          </w:tcPr>
          <w:p w14:paraId="13FBD936" w14:textId="58E612B7" w:rsidR="00B56D50" w:rsidRPr="006A0AC9" w:rsidRDefault="006A0AC9" w:rsidP="008C74E7">
            <w:pPr>
              <w:spacing w:after="0" w:line="259" w:lineRule="auto"/>
              <w:ind w:left="0" w:right="42" w:firstLine="0"/>
              <w:jc w:val="center"/>
              <w:rPr>
                <w:bCs/>
                <w:i/>
                <w:iCs/>
                <w:sz w:val="20"/>
                <w:szCs w:val="20"/>
              </w:rPr>
            </w:pPr>
            <w:r w:rsidRPr="006A0AC9">
              <w:rPr>
                <w:bCs/>
                <w:i/>
                <w:iCs/>
                <w:sz w:val="20"/>
                <w:szCs w:val="20"/>
              </w:rPr>
              <w:t>Filter</w:t>
            </w:r>
          </w:p>
        </w:tc>
        <w:tc>
          <w:tcPr>
            <w:tcW w:w="1440" w:type="dxa"/>
            <w:tcBorders>
              <w:top w:val="single" w:sz="7" w:space="0" w:color="000000"/>
              <w:left w:val="single" w:sz="12" w:space="0" w:color="000000"/>
              <w:bottom w:val="single" w:sz="7" w:space="0" w:color="000000"/>
              <w:right w:val="single" w:sz="12" w:space="0" w:color="000000"/>
            </w:tcBorders>
            <w:vAlign w:val="center"/>
          </w:tcPr>
          <w:p w14:paraId="3FC89C7F" w14:textId="0CE99B97" w:rsidR="00B56D50" w:rsidRDefault="001C3C42" w:rsidP="0010194A">
            <w:pPr>
              <w:spacing w:after="0" w:line="259" w:lineRule="auto"/>
              <w:ind w:left="0" w:right="37" w:firstLine="0"/>
              <w:jc w:val="center"/>
            </w:pPr>
            <w:r>
              <w:rPr>
                <w:sz w:val="20"/>
              </w:rPr>
              <w:t>6 months</w:t>
            </w:r>
          </w:p>
        </w:tc>
      </w:tr>
      <w:tr w:rsidR="004174F4" w14:paraId="0A8D09FC" w14:textId="77777777" w:rsidTr="005E6CFE">
        <w:trPr>
          <w:trHeight w:val="20"/>
        </w:trPr>
        <w:tc>
          <w:tcPr>
            <w:tcW w:w="3960" w:type="dxa"/>
            <w:tcBorders>
              <w:top w:val="single" w:sz="7" w:space="0" w:color="000000"/>
              <w:left w:val="single" w:sz="12" w:space="0" w:color="000000"/>
              <w:bottom w:val="single" w:sz="7" w:space="0" w:color="000000"/>
              <w:right w:val="single" w:sz="12" w:space="0" w:color="000000"/>
            </w:tcBorders>
          </w:tcPr>
          <w:p w14:paraId="45401CF7" w14:textId="77777777" w:rsidR="00B56D50" w:rsidRDefault="001C3C42">
            <w:pPr>
              <w:spacing w:after="0" w:line="259" w:lineRule="auto"/>
              <w:ind w:left="0" w:right="0" w:firstLine="0"/>
            </w:pPr>
            <w:r>
              <w:rPr>
                <w:sz w:val="20"/>
              </w:rPr>
              <w:t>Total</w:t>
            </w:r>
            <w:r>
              <w:rPr>
                <w:i/>
                <w:sz w:val="20"/>
              </w:rPr>
              <w:t xml:space="preserve"> </w:t>
            </w:r>
            <w:r>
              <w:rPr>
                <w:sz w:val="20"/>
              </w:rPr>
              <w:t xml:space="preserve">Mercury (Hg) </w:t>
            </w:r>
          </w:p>
        </w:tc>
        <w:tc>
          <w:tcPr>
            <w:tcW w:w="1530" w:type="dxa"/>
            <w:tcBorders>
              <w:top w:val="single" w:sz="7" w:space="0" w:color="000000"/>
              <w:left w:val="single" w:sz="12" w:space="0" w:color="000000"/>
              <w:bottom w:val="single" w:sz="7" w:space="0" w:color="000000"/>
              <w:right w:val="single" w:sz="12" w:space="0" w:color="000000"/>
            </w:tcBorders>
            <w:vAlign w:val="center"/>
          </w:tcPr>
          <w:p w14:paraId="47A41256" w14:textId="79029910" w:rsidR="00B56D50" w:rsidRDefault="001C3C42" w:rsidP="008A34BE">
            <w:pPr>
              <w:spacing w:after="0" w:line="259" w:lineRule="auto"/>
              <w:ind w:left="0" w:right="47" w:firstLine="0"/>
              <w:jc w:val="center"/>
            </w:pPr>
            <w:r>
              <w:rPr>
                <w:sz w:val="20"/>
              </w:rPr>
              <w:t>500 mL G</w:t>
            </w:r>
          </w:p>
        </w:tc>
        <w:tc>
          <w:tcPr>
            <w:tcW w:w="1710" w:type="dxa"/>
            <w:tcBorders>
              <w:top w:val="single" w:sz="2" w:space="0" w:color="000000"/>
              <w:left w:val="single" w:sz="12" w:space="0" w:color="000000"/>
              <w:bottom w:val="single" w:sz="4" w:space="0" w:color="000000"/>
              <w:right w:val="single" w:sz="12" w:space="0" w:color="000000"/>
            </w:tcBorders>
            <w:vAlign w:val="center"/>
          </w:tcPr>
          <w:p w14:paraId="7C604894" w14:textId="73B6F744" w:rsidR="00B56D50" w:rsidRDefault="001C3C42" w:rsidP="00C67A7F">
            <w:pPr>
              <w:spacing w:after="0" w:line="259" w:lineRule="auto"/>
              <w:ind w:left="0" w:right="40" w:firstLine="0"/>
              <w:jc w:val="center"/>
            </w:pPr>
            <w:r>
              <w:rPr>
                <w:sz w:val="20"/>
              </w:rPr>
              <w:t>Ice (4</w:t>
            </w:r>
            <w:r>
              <w:rPr>
                <w:sz w:val="20"/>
                <w:vertAlign w:val="superscript"/>
              </w:rPr>
              <w:t>0</w:t>
            </w:r>
            <w:r>
              <w:rPr>
                <w:sz w:val="20"/>
              </w:rPr>
              <w:t>C)</w:t>
            </w:r>
          </w:p>
        </w:tc>
        <w:tc>
          <w:tcPr>
            <w:tcW w:w="1980" w:type="dxa"/>
            <w:tcBorders>
              <w:top w:val="single" w:sz="7" w:space="0" w:color="000000"/>
              <w:left w:val="single" w:sz="12" w:space="0" w:color="000000"/>
              <w:bottom w:val="single" w:sz="7" w:space="0" w:color="000000"/>
              <w:right w:val="single" w:sz="12" w:space="0" w:color="000000"/>
            </w:tcBorders>
            <w:vAlign w:val="center"/>
          </w:tcPr>
          <w:p w14:paraId="14CD3FB8" w14:textId="4D38E0AA" w:rsidR="00B56D50" w:rsidRDefault="001C3C42" w:rsidP="005E6CFE">
            <w:pPr>
              <w:spacing w:after="0" w:line="259" w:lineRule="auto"/>
              <w:ind w:left="0" w:right="42" w:firstLine="0"/>
              <w:jc w:val="center"/>
            </w:pPr>
            <w:r>
              <w:rPr>
                <w:sz w:val="20"/>
              </w:rPr>
              <w:t>28 days</w:t>
            </w:r>
          </w:p>
        </w:tc>
        <w:tc>
          <w:tcPr>
            <w:tcW w:w="1620" w:type="dxa"/>
            <w:tcBorders>
              <w:top w:val="single" w:sz="7" w:space="0" w:color="000000"/>
              <w:left w:val="single" w:sz="12" w:space="0" w:color="000000"/>
              <w:bottom w:val="single" w:sz="7" w:space="0" w:color="000000"/>
              <w:right w:val="single" w:sz="12" w:space="0" w:color="000000"/>
            </w:tcBorders>
            <w:vAlign w:val="center"/>
          </w:tcPr>
          <w:p w14:paraId="21122354" w14:textId="1A0FC86E" w:rsidR="00B56D50" w:rsidRDefault="001C3C42" w:rsidP="005E6CFE">
            <w:pPr>
              <w:spacing w:after="0" w:line="259" w:lineRule="auto"/>
              <w:ind w:left="0" w:right="45" w:firstLine="0"/>
              <w:jc w:val="center"/>
            </w:pPr>
            <w:r>
              <w:rPr>
                <w:sz w:val="20"/>
              </w:rPr>
              <w:t>1-1 L   P, G</w:t>
            </w:r>
          </w:p>
        </w:tc>
        <w:tc>
          <w:tcPr>
            <w:tcW w:w="2520" w:type="dxa"/>
            <w:tcBorders>
              <w:top w:val="single" w:sz="7" w:space="0" w:color="000000"/>
              <w:left w:val="single" w:sz="12" w:space="0" w:color="000000"/>
              <w:bottom w:val="single" w:sz="7" w:space="0" w:color="000000"/>
              <w:right w:val="single" w:sz="12" w:space="0" w:color="000000"/>
            </w:tcBorders>
            <w:vAlign w:val="center"/>
          </w:tcPr>
          <w:p w14:paraId="4FE20ACE" w14:textId="6A88E24D" w:rsidR="00B56D50" w:rsidRDefault="001C3C42" w:rsidP="0010194A">
            <w:pPr>
              <w:spacing w:after="0" w:line="259" w:lineRule="auto"/>
              <w:ind w:left="6" w:right="0" w:firstLine="0"/>
              <w:jc w:val="center"/>
            </w:pPr>
            <w:r>
              <w:rPr>
                <w:sz w:val="20"/>
              </w:rPr>
              <w:t>HNO</w:t>
            </w:r>
            <w:r>
              <w:rPr>
                <w:sz w:val="20"/>
                <w:vertAlign w:val="subscript"/>
              </w:rPr>
              <w:t>3</w:t>
            </w:r>
            <w:r>
              <w:rPr>
                <w:sz w:val="20"/>
              </w:rPr>
              <w:t xml:space="preserve"> to pH&lt;2+Ice (4</w:t>
            </w:r>
            <w:r>
              <w:rPr>
                <w:sz w:val="20"/>
                <w:vertAlign w:val="superscript"/>
              </w:rPr>
              <w:t>0</w:t>
            </w:r>
            <w:r>
              <w:rPr>
                <w:sz w:val="20"/>
              </w:rPr>
              <w:t>C)</w:t>
            </w:r>
          </w:p>
        </w:tc>
        <w:tc>
          <w:tcPr>
            <w:tcW w:w="1440" w:type="dxa"/>
            <w:tcBorders>
              <w:top w:val="single" w:sz="7" w:space="0" w:color="000000"/>
              <w:left w:val="single" w:sz="12" w:space="0" w:color="000000"/>
              <w:bottom w:val="single" w:sz="7" w:space="0" w:color="000000"/>
              <w:right w:val="single" w:sz="12" w:space="0" w:color="000000"/>
            </w:tcBorders>
            <w:vAlign w:val="center"/>
          </w:tcPr>
          <w:p w14:paraId="2DC57101" w14:textId="205E829C" w:rsidR="00B56D50" w:rsidRDefault="001C3C42" w:rsidP="008A34BE">
            <w:pPr>
              <w:spacing w:after="0" w:line="259" w:lineRule="auto"/>
              <w:ind w:left="0" w:right="40" w:firstLine="0"/>
              <w:jc w:val="center"/>
            </w:pPr>
            <w:r>
              <w:rPr>
                <w:sz w:val="20"/>
              </w:rPr>
              <w:t>28 days</w:t>
            </w:r>
          </w:p>
        </w:tc>
      </w:tr>
      <w:tr w:rsidR="004174F4" w14:paraId="7B24CED3" w14:textId="77777777" w:rsidTr="005E6CFE">
        <w:trPr>
          <w:trHeight w:val="20"/>
        </w:trPr>
        <w:tc>
          <w:tcPr>
            <w:tcW w:w="3960" w:type="dxa"/>
            <w:tcBorders>
              <w:top w:val="single" w:sz="7" w:space="0" w:color="000000"/>
              <w:left w:val="single" w:sz="12" w:space="0" w:color="000000"/>
              <w:bottom w:val="single" w:sz="7" w:space="0" w:color="000000"/>
              <w:right w:val="single" w:sz="12" w:space="0" w:color="000000"/>
            </w:tcBorders>
            <w:vAlign w:val="center"/>
          </w:tcPr>
          <w:p w14:paraId="5FC4BB1F" w14:textId="77777777" w:rsidR="00B56D50" w:rsidRDefault="001C3C42">
            <w:pPr>
              <w:spacing w:after="0" w:line="259" w:lineRule="auto"/>
              <w:ind w:left="0" w:right="0" w:firstLine="0"/>
            </w:pPr>
            <w:r>
              <w:rPr>
                <w:sz w:val="20"/>
              </w:rPr>
              <w:t>Dissolved</w:t>
            </w:r>
            <w:r>
              <w:rPr>
                <w:i/>
                <w:sz w:val="20"/>
              </w:rPr>
              <w:t xml:space="preserve"> </w:t>
            </w:r>
            <w:r>
              <w:rPr>
                <w:sz w:val="20"/>
              </w:rPr>
              <w:t xml:space="preserve">Mercury (Hg) </w:t>
            </w:r>
          </w:p>
        </w:tc>
        <w:tc>
          <w:tcPr>
            <w:tcW w:w="1530" w:type="dxa"/>
            <w:tcBorders>
              <w:top w:val="single" w:sz="7" w:space="0" w:color="000000"/>
              <w:left w:val="single" w:sz="12" w:space="0" w:color="000000"/>
              <w:bottom w:val="single" w:sz="7" w:space="0" w:color="000000"/>
              <w:right w:val="single" w:sz="12" w:space="0" w:color="000000"/>
            </w:tcBorders>
            <w:vAlign w:val="center"/>
          </w:tcPr>
          <w:p w14:paraId="194B8568" w14:textId="175BE41D" w:rsidR="00B56D50" w:rsidRDefault="001C3C42" w:rsidP="008A34BE">
            <w:pPr>
              <w:spacing w:after="0" w:line="259" w:lineRule="auto"/>
              <w:ind w:left="0" w:right="47" w:firstLine="0"/>
              <w:jc w:val="center"/>
            </w:pPr>
            <w:r>
              <w:rPr>
                <w:sz w:val="20"/>
              </w:rPr>
              <w:t>500 mL G</w:t>
            </w:r>
          </w:p>
        </w:tc>
        <w:tc>
          <w:tcPr>
            <w:tcW w:w="1710" w:type="dxa"/>
            <w:tcBorders>
              <w:top w:val="single" w:sz="4" w:space="0" w:color="000000"/>
              <w:left w:val="single" w:sz="12" w:space="0" w:color="000000"/>
              <w:bottom w:val="single" w:sz="7" w:space="0" w:color="000000"/>
              <w:right w:val="single" w:sz="12" w:space="0" w:color="000000"/>
            </w:tcBorders>
            <w:vAlign w:val="center"/>
          </w:tcPr>
          <w:p w14:paraId="0149A4E7" w14:textId="3B4ADBE4" w:rsidR="00B56D50" w:rsidRDefault="001C3C42" w:rsidP="00C67A7F">
            <w:pPr>
              <w:spacing w:after="0" w:line="259" w:lineRule="auto"/>
              <w:ind w:left="0" w:right="40" w:firstLine="0"/>
              <w:jc w:val="center"/>
            </w:pPr>
            <w:r>
              <w:rPr>
                <w:sz w:val="20"/>
              </w:rPr>
              <w:t>Ice (4</w:t>
            </w:r>
            <w:r>
              <w:rPr>
                <w:sz w:val="20"/>
                <w:vertAlign w:val="superscript"/>
              </w:rPr>
              <w:t>0</w:t>
            </w:r>
            <w:r>
              <w:rPr>
                <w:sz w:val="20"/>
              </w:rPr>
              <w:t>C)</w:t>
            </w:r>
          </w:p>
        </w:tc>
        <w:tc>
          <w:tcPr>
            <w:tcW w:w="1980" w:type="dxa"/>
            <w:tcBorders>
              <w:top w:val="single" w:sz="7" w:space="0" w:color="000000"/>
              <w:left w:val="single" w:sz="12" w:space="0" w:color="000000"/>
              <w:bottom w:val="single" w:sz="7" w:space="0" w:color="000000"/>
              <w:right w:val="single" w:sz="12" w:space="0" w:color="000000"/>
            </w:tcBorders>
            <w:vAlign w:val="center"/>
          </w:tcPr>
          <w:p w14:paraId="0147D54A" w14:textId="41E28BE0" w:rsidR="00B56D50" w:rsidRDefault="001C3C42" w:rsidP="005E6CFE">
            <w:pPr>
              <w:spacing w:after="0" w:line="259" w:lineRule="auto"/>
              <w:ind w:left="0" w:right="42" w:firstLine="0"/>
              <w:jc w:val="center"/>
            </w:pPr>
            <w:r>
              <w:rPr>
                <w:sz w:val="20"/>
              </w:rPr>
              <w:t>28 days</w:t>
            </w:r>
          </w:p>
        </w:tc>
        <w:tc>
          <w:tcPr>
            <w:tcW w:w="1620" w:type="dxa"/>
            <w:tcBorders>
              <w:top w:val="single" w:sz="7" w:space="0" w:color="000000"/>
              <w:left w:val="single" w:sz="12" w:space="0" w:color="000000"/>
              <w:bottom w:val="single" w:sz="7" w:space="0" w:color="000000"/>
              <w:right w:val="single" w:sz="12" w:space="0" w:color="000000"/>
            </w:tcBorders>
            <w:vAlign w:val="center"/>
          </w:tcPr>
          <w:p w14:paraId="3BCE212C" w14:textId="2B1CE63F" w:rsidR="00B56D50" w:rsidRDefault="001C3C42" w:rsidP="005E6CFE">
            <w:pPr>
              <w:spacing w:after="0" w:line="259" w:lineRule="auto"/>
              <w:ind w:left="0" w:right="45" w:firstLine="0"/>
              <w:jc w:val="center"/>
            </w:pPr>
            <w:r>
              <w:rPr>
                <w:sz w:val="20"/>
              </w:rPr>
              <w:t>1-1 L   P, G</w:t>
            </w:r>
          </w:p>
        </w:tc>
        <w:tc>
          <w:tcPr>
            <w:tcW w:w="2520" w:type="dxa"/>
            <w:tcBorders>
              <w:top w:val="single" w:sz="7" w:space="0" w:color="000000"/>
              <w:left w:val="single" w:sz="12" w:space="0" w:color="000000"/>
              <w:bottom w:val="single" w:sz="7" w:space="0" w:color="000000"/>
              <w:right w:val="single" w:sz="12" w:space="0" w:color="000000"/>
            </w:tcBorders>
            <w:vAlign w:val="center"/>
          </w:tcPr>
          <w:p w14:paraId="6DDB572E" w14:textId="0EB9B883" w:rsidR="00B56D50" w:rsidRDefault="001C3C42" w:rsidP="008C74E7">
            <w:pPr>
              <w:spacing w:after="0" w:line="259" w:lineRule="auto"/>
              <w:ind w:left="192" w:right="181" w:firstLine="0"/>
              <w:jc w:val="center"/>
            </w:pPr>
            <w:r>
              <w:rPr>
                <w:i/>
                <w:sz w:val="20"/>
              </w:rPr>
              <w:t>Filter</w:t>
            </w:r>
            <w:r>
              <w:rPr>
                <w:sz w:val="20"/>
              </w:rPr>
              <w:t>, HNO</w:t>
            </w:r>
            <w:r>
              <w:rPr>
                <w:sz w:val="20"/>
                <w:vertAlign w:val="subscript"/>
              </w:rPr>
              <w:t>3</w:t>
            </w:r>
            <w:r>
              <w:rPr>
                <w:sz w:val="20"/>
              </w:rPr>
              <w:t xml:space="preserve"> to pH&lt;2 +Ice (4</w:t>
            </w:r>
            <w:r>
              <w:rPr>
                <w:sz w:val="20"/>
                <w:vertAlign w:val="superscript"/>
              </w:rPr>
              <w:t>0</w:t>
            </w:r>
            <w:r>
              <w:rPr>
                <w:sz w:val="20"/>
              </w:rPr>
              <w:t>C)</w:t>
            </w:r>
          </w:p>
        </w:tc>
        <w:tc>
          <w:tcPr>
            <w:tcW w:w="1440" w:type="dxa"/>
            <w:tcBorders>
              <w:top w:val="single" w:sz="7" w:space="0" w:color="000000"/>
              <w:left w:val="single" w:sz="12" w:space="0" w:color="000000"/>
              <w:bottom w:val="single" w:sz="7" w:space="0" w:color="000000"/>
              <w:right w:val="single" w:sz="12" w:space="0" w:color="000000"/>
            </w:tcBorders>
            <w:vAlign w:val="center"/>
          </w:tcPr>
          <w:p w14:paraId="12AC682A" w14:textId="05E820DB" w:rsidR="00B56D50" w:rsidRDefault="001C3C42" w:rsidP="0010194A">
            <w:pPr>
              <w:spacing w:after="0" w:line="259" w:lineRule="auto"/>
              <w:ind w:left="0" w:right="40" w:firstLine="0"/>
              <w:jc w:val="center"/>
            </w:pPr>
            <w:r>
              <w:rPr>
                <w:sz w:val="20"/>
              </w:rPr>
              <w:t>28 days</w:t>
            </w:r>
          </w:p>
        </w:tc>
      </w:tr>
      <w:tr w:rsidR="002D5085" w14:paraId="72238D39" w14:textId="77777777" w:rsidTr="005E6CFE">
        <w:trPr>
          <w:trHeight w:val="20"/>
        </w:trPr>
        <w:tc>
          <w:tcPr>
            <w:tcW w:w="3960" w:type="dxa"/>
            <w:tcBorders>
              <w:top w:val="single" w:sz="7" w:space="0" w:color="000000"/>
              <w:left w:val="single" w:sz="12" w:space="0" w:color="000000"/>
              <w:bottom w:val="single" w:sz="12" w:space="0" w:color="000000"/>
              <w:right w:val="single" w:sz="12" w:space="0" w:color="000000"/>
            </w:tcBorders>
            <w:vAlign w:val="center"/>
          </w:tcPr>
          <w:p w14:paraId="4E1F5E00" w14:textId="77777777" w:rsidR="00B56D50" w:rsidRDefault="001C3C42" w:rsidP="006B3BF8">
            <w:pPr>
              <w:spacing w:after="0" w:line="259" w:lineRule="auto"/>
              <w:ind w:left="0" w:right="0" w:firstLine="0"/>
            </w:pPr>
            <w:r>
              <w:rPr>
                <w:sz w:val="20"/>
              </w:rPr>
              <w:t>Chromium, Hexavalent (Cr</w:t>
            </w:r>
            <w:r>
              <w:rPr>
                <w:sz w:val="20"/>
                <w:vertAlign w:val="superscript"/>
              </w:rPr>
              <w:t>+6</w:t>
            </w:r>
            <w:r>
              <w:rPr>
                <w:sz w:val="20"/>
              </w:rPr>
              <w:t xml:space="preserve">) </w:t>
            </w:r>
          </w:p>
        </w:tc>
        <w:tc>
          <w:tcPr>
            <w:tcW w:w="1530" w:type="dxa"/>
            <w:tcBorders>
              <w:top w:val="single" w:sz="7" w:space="0" w:color="000000"/>
              <w:left w:val="single" w:sz="12" w:space="0" w:color="000000"/>
              <w:bottom w:val="single" w:sz="12" w:space="0" w:color="000000"/>
              <w:right w:val="single" w:sz="12" w:space="0" w:color="000000"/>
            </w:tcBorders>
            <w:vAlign w:val="center"/>
          </w:tcPr>
          <w:p w14:paraId="24660ED4" w14:textId="35412BEE" w:rsidR="00B56D50" w:rsidRDefault="001C3C42" w:rsidP="008A34BE">
            <w:pPr>
              <w:spacing w:after="0" w:line="259" w:lineRule="auto"/>
              <w:ind w:left="-53" w:right="47" w:firstLine="0"/>
              <w:jc w:val="center"/>
            </w:pPr>
            <w:r>
              <w:rPr>
                <w:sz w:val="20"/>
              </w:rPr>
              <w:t>500 mL G</w:t>
            </w:r>
          </w:p>
        </w:tc>
        <w:tc>
          <w:tcPr>
            <w:tcW w:w="1710" w:type="dxa"/>
            <w:tcBorders>
              <w:top w:val="single" w:sz="7" w:space="0" w:color="000000"/>
              <w:left w:val="single" w:sz="12" w:space="0" w:color="000000"/>
              <w:bottom w:val="single" w:sz="12" w:space="0" w:color="000000"/>
              <w:right w:val="single" w:sz="12" w:space="0" w:color="000000"/>
            </w:tcBorders>
            <w:vAlign w:val="center"/>
          </w:tcPr>
          <w:p w14:paraId="7A5392E9" w14:textId="203F100C" w:rsidR="00B56D50" w:rsidRDefault="001C3C42" w:rsidP="00C67A7F">
            <w:pPr>
              <w:spacing w:after="0" w:line="259" w:lineRule="auto"/>
              <w:ind w:left="-53" w:right="40" w:firstLine="0"/>
              <w:jc w:val="center"/>
            </w:pPr>
            <w:r>
              <w:rPr>
                <w:sz w:val="20"/>
              </w:rPr>
              <w:t>Ice (4</w:t>
            </w:r>
            <w:r>
              <w:rPr>
                <w:sz w:val="20"/>
                <w:vertAlign w:val="superscript"/>
              </w:rPr>
              <w:t>0</w:t>
            </w:r>
            <w:r>
              <w:rPr>
                <w:sz w:val="20"/>
              </w:rPr>
              <w:t>C)</w:t>
            </w:r>
          </w:p>
        </w:tc>
        <w:tc>
          <w:tcPr>
            <w:tcW w:w="1980" w:type="dxa"/>
            <w:tcBorders>
              <w:top w:val="single" w:sz="7" w:space="0" w:color="000000"/>
              <w:left w:val="single" w:sz="12" w:space="0" w:color="000000"/>
              <w:bottom w:val="single" w:sz="12" w:space="0" w:color="000000"/>
              <w:right w:val="single" w:sz="12" w:space="0" w:color="000000"/>
            </w:tcBorders>
            <w:vAlign w:val="center"/>
          </w:tcPr>
          <w:p w14:paraId="288D7E4B" w14:textId="2E5753E2" w:rsidR="00556FB5" w:rsidRDefault="009C5C91" w:rsidP="005E6CFE">
            <w:pPr>
              <w:spacing w:after="0" w:line="259" w:lineRule="auto"/>
              <w:ind w:left="-53" w:right="0" w:firstLine="0"/>
              <w:jc w:val="center"/>
              <w:rPr>
                <w:sz w:val="20"/>
              </w:rPr>
            </w:pPr>
            <w:r>
              <w:rPr>
                <w:sz w:val="20"/>
              </w:rPr>
              <w:t xml:space="preserve">30 </w:t>
            </w:r>
            <w:r w:rsidR="001C3C42">
              <w:rPr>
                <w:sz w:val="20"/>
              </w:rPr>
              <w:t xml:space="preserve">days to </w:t>
            </w:r>
            <w:proofErr w:type="gramStart"/>
            <w:r w:rsidR="001C3C42">
              <w:rPr>
                <w:sz w:val="20"/>
              </w:rPr>
              <w:t>extr</w:t>
            </w:r>
            <w:r w:rsidR="000010C0">
              <w:rPr>
                <w:sz w:val="20"/>
              </w:rPr>
              <w:t>a</w:t>
            </w:r>
            <w:r w:rsidR="00556FB5">
              <w:rPr>
                <w:sz w:val="20"/>
              </w:rPr>
              <w:t>ct</w:t>
            </w:r>
            <w:r w:rsidR="001C3C42">
              <w:rPr>
                <w:sz w:val="20"/>
              </w:rPr>
              <w:t>;</w:t>
            </w:r>
            <w:proofErr w:type="gramEnd"/>
          </w:p>
          <w:p w14:paraId="7337E1D0" w14:textId="6739CF6E" w:rsidR="00B56D50" w:rsidRDefault="001C3C42" w:rsidP="005E6CFE">
            <w:pPr>
              <w:spacing w:after="0" w:line="259" w:lineRule="auto"/>
              <w:ind w:left="-53" w:right="-103" w:firstLine="0"/>
              <w:jc w:val="center"/>
            </w:pPr>
            <w:r>
              <w:rPr>
                <w:sz w:val="20"/>
              </w:rPr>
              <w:t>7 days</w:t>
            </w:r>
            <w:r w:rsidR="00CF4BC5">
              <w:rPr>
                <w:sz w:val="20"/>
              </w:rPr>
              <w:t xml:space="preserve"> </w:t>
            </w:r>
            <w:r>
              <w:rPr>
                <w:sz w:val="20"/>
              </w:rPr>
              <w:t>to analysis</w:t>
            </w:r>
          </w:p>
        </w:tc>
        <w:tc>
          <w:tcPr>
            <w:tcW w:w="1620" w:type="dxa"/>
            <w:tcBorders>
              <w:top w:val="single" w:sz="7" w:space="0" w:color="000000"/>
              <w:left w:val="single" w:sz="12" w:space="0" w:color="000000"/>
              <w:bottom w:val="single" w:sz="12" w:space="0" w:color="000000"/>
              <w:right w:val="single" w:sz="12" w:space="0" w:color="000000"/>
            </w:tcBorders>
            <w:vAlign w:val="center"/>
          </w:tcPr>
          <w:p w14:paraId="41DEDB6E" w14:textId="2FD78FFF" w:rsidR="00B56D50" w:rsidRDefault="001C3C42" w:rsidP="008C74E7">
            <w:pPr>
              <w:spacing w:after="0" w:line="259" w:lineRule="auto"/>
              <w:ind w:left="-46" w:right="46" w:hanging="90"/>
              <w:jc w:val="center"/>
            </w:pPr>
            <w:r>
              <w:rPr>
                <w:sz w:val="20"/>
              </w:rPr>
              <w:t>1-250 mL P</w:t>
            </w:r>
          </w:p>
        </w:tc>
        <w:tc>
          <w:tcPr>
            <w:tcW w:w="2520" w:type="dxa"/>
            <w:tcBorders>
              <w:top w:val="single" w:sz="7" w:space="0" w:color="000000"/>
              <w:left w:val="single" w:sz="12" w:space="0" w:color="000000"/>
              <w:bottom w:val="single" w:sz="12" w:space="0" w:color="000000"/>
              <w:right w:val="single" w:sz="12" w:space="0" w:color="000000"/>
            </w:tcBorders>
            <w:vAlign w:val="center"/>
          </w:tcPr>
          <w:p w14:paraId="1D94CFF9" w14:textId="29B5CF80" w:rsidR="00B56D50" w:rsidRDefault="001C3C42" w:rsidP="0010194A">
            <w:pPr>
              <w:spacing w:after="0" w:line="259" w:lineRule="auto"/>
              <w:ind w:left="-53" w:right="0" w:firstLine="0"/>
              <w:jc w:val="center"/>
            </w:pPr>
            <w:r>
              <w:rPr>
                <w:sz w:val="20"/>
              </w:rPr>
              <w:t>Ice (4</w:t>
            </w:r>
            <w:r>
              <w:rPr>
                <w:sz w:val="20"/>
                <w:vertAlign w:val="superscript"/>
              </w:rPr>
              <w:t>0</w:t>
            </w:r>
            <w:r>
              <w:rPr>
                <w:sz w:val="20"/>
              </w:rPr>
              <w:t>C</w:t>
            </w:r>
            <w:r w:rsidR="006E75AF">
              <w:rPr>
                <w:sz w:val="20"/>
              </w:rPr>
              <w:t>) *</w:t>
            </w:r>
            <w:r w:rsidR="00025DAE">
              <w:rPr>
                <w:sz w:val="20"/>
              </w:rPr>
              <w:t xml:space="preserve"> </w:t>
            </w:r>
            <w:r>
              <w:rPr>
                <w:i/>
                <w:sz w:val="20"/>
              </w:rPr>
              <w:t xml:space="preserve">(See </w:t>
            </w:r>
            <w:r w:rsidR="003F018C">
              <w:rPr>
                <w:i/>
                <w:sz w:val="20"/>
              </w:rPr>
              <w:t xml:space="preserve">Footnote </w:t>
            </w:r>
            <w:r w:rsidR="00B471D0">
              <w:rPr>
                <w:i/>
                <w:sz w:val="20"/>
              </w:rPr>
              <w:t>5</w:t>
            </w:r>
            <w:r>
              <w:rPr>
                <w:i/>
                <w:sz w:val="20"/>
              </w:rPr>
              <w:t>)</w:t>
            </w:r>
          </w:p>
        </w:tc>
        <w:tc>
          <w:tcPr>
            <w:tcW w:w="1440" w:type="dxa"/>
            <w:tcBorders>
              <w:top w:val="single" w:sz="7" w:space="0" w:color="000000"/>
              <w:left w:val="single" w:sz="12" w:space="0" w:color="000000"/>
              <w:bottom w:val="single" w:sz="12" w:space="0" w:color="auto"/>
              <w:right w:val="single" w:sz="12" w:space="0" w:color="000000"/>
            </w:tcBorders>
            <w:vAlign w:val="center"/>
          </w:tcPr>
          <w:p w14:paraId="70FB4218" w14:textId="78382FD6" w:rsidR="00B56D50" w:rsidRPr="00733FA6" w:rsidRDefault="001C3C42" w:rsidP="0010194A">
            <w:pPr>
              <w:spacing w:after="0" w:line="259" w:lineRule="auto"/>
              <w:ind w:left="-53" w:right="35" w:firstLine="0"/>
              <w:jc w:val="center"/>
            </w:pPr>
            <w:r>
              <w:rPr>
                <w:sz w:val="20"/>
              </w:rPr>
              <w:t xml:space="preserve">24 </w:t>
            </w:r>
            <w:r w:rsidR="0016324E">
              <w:rPr>
                <w:sz w:val="20"/>
              </w:rPr>
              <w:t>hours</w:t>
            </w:r>
            <w:r>
              <w:rPr>
                <w:sz w:val="20"/>
              </w:rPr>
              <w:t xml:space="preserve"> </w:t>
            </w:r>
            <w:r w:rsidR="005A3A61" w:rsidRPr="00EC7569">
              <w:rPr>
                <w:b/>
                <w:bCs/>
                <w:sz w:val="20"/>
                <w:vertAlign w:val="superscript"/>
              </w:rPr>
              <w:t>5</w:t>
            </w:r>
            <w:r w:rsidRPr="00733FA6">
              <w:rPr>
                <w:sz w:val="20"/>
              </w:rPr>
              <w:t xml:space="preserve">  </w:t>
            </w:r>
          </w:p>
        </w:tc>
      </w:tr>
      <w:tr w:rsidR="0001496C" w14:paraId="7049CF7D" w14:textId="77777777" w:rsidTr="005E6CFE">
        <w:trPr>
          <w:trHeight w:val="20"/>
        </w:trPr>
        <w:tc>
          <w:tcPr>
            <w:tcW w:w="3960" w:type="dxa"/>
            <w:tcBorders>
              <w:top w:val="single" w:sz="12" w:space="0" w:color="000000"/>
              <w:left w:val="single" w:sz="12" w:space="0" w:color="000000"/>
              <w:bottom w:val="single" w:sz="12" w:space="0" w:color="000000"/>
              <w:right w:val="single" w:sz="12" w:space="0" w:color="000000"/>
            </w:tcBorders>
            <w:shd w:val="clear" w:color="auto" w:fill="C0C0C0"/>
            <w:vAlign w:val="center"/>
          </w:tcPr>
          <w:p w14:paraId="58EDC34F" w14:textId="64C55DF5" w:rsidR="00B56D50" w:rsidRDefault="001C3C42" w:rsidP="008A34BE">
            <w:pPr>
              <w:spacing w:after="0" w:line="259" w:lineRule="auto"/>
              <w:ind w:left="-53" w:right="53" w:firstLine="0"/>
              <w:jc w:val="center"/>
            </w:pPr>
            <w:r>
              <w:rPr>
                <w:b/>
                <w:sz w:val="20"/>
              </w:rPr>
              <w:t>General Chemistry</w:t>
            </w:r>
          </w:p>
        </w:tc>
        <w:tc>
          <w:tcPr>
            <w:tcW w:w="1530" w:type="dxa"/>
            <w:tcBorders>
              <w:top w:val="single" w:sz="12" w:space="0" w:color="000000"/>
              <w:left w:val="single" w:sz="12" w:space="0" w:color="000000"/>
              <w:bottom w:val="single" w:sz="12" w:space="0" w:color="000000"/>
              <w:right w:val="single" w:sz="12" w:space="0" w:color="000000"/>
            </w:tcBorders>
            <w:shd w:val="clear" w:color="auto" w:fill="C0C0C0"/>
            <w:vAlign w:val="center"/>
          </w:tcPr>
          <w:p w14:paraId="346A946D" w14:textId="02B25E31" w:rsidR="00B56D50" w:rsidRDefault="00B56D50" w:rsidP="00C67A7F">
            <w:pPr>
              <w:spacing w:after="0" w:line="259" w:lineRule="auto"/>
              <w:ind w:left="-53" w:right="0" w:firstLine="0"/>
              <w:jc w:val="center"/>
            </w:pPr>
          </w:p>
        </w:tc>
        <w:tc>
          <w:tcPr>
            <w:tcW w:w="1710" w:type="dxa"/>
            <w:tcBorders>
              <w:top w:val="single" w:sz="12" w:space="0" w:color="000000"/>
              <w:left w:val="single" w:sz="12" w:space="0" w:color="000000"/>
              <w:bottom w:val="single" w:sz="12" w:space="0" w:color="000000"/>
              <w:right w:val="single" w:sz="12" w:space="0" w:color="000000"/>
            </w:tcBorders>
            <w:shd w:val="clear" w:color="auto" w:fill="C0C0C0"/>
            <w:vAlign w:val="center"/>
          </w:tcPr>
          <w:p w14:paraId="77CCF48F" w14:textId="0FD43DA5" w:rsidR="00B56D50" w:rsidRDefault="00B56D50" w:rsidP="005E6CFE">
            <w:pPr>
              <w:spacing w:after="0" w:line="259" w:lineRule="auto"/>
              <w:ind w:left="-53" w:right="0" w:firstLine="0"/>
              <w:jc w:val="center"/>
            </w:pPr>
          </w:p>
        </w:tc>
        <w:tc>
          <w:tcPr>
            <w:tcW w:w="1980" w:type="dxa"/>
            <w:tcBorders>
              <w:top w:val="single" w:sz="12" w:space="0" w:color="000000"/>
              <w:left w:val="single" w:sz="12" w:space="0" w:color="000000"/>
              <w:bottom w:val="single" w:sz="12" w:space="0" w:color="000000"/>
              <w:right w:val="single" w:sz="12" w:space="0" w:color="000000"/>
            </w:tcBorders>
            <w:shd w:val="clear" w:color="auto" w:fill="C0C0C0"/>
            <w:vAlign w:val="center"/>
          </w:tcPr>
          <w:p w14:paraId="0CCEFF6C" w14:textId="5C4D8D21" w:rsidR="00B56D50" w:rsidRDefault="00B56D50" w:rsidP="005E6CFE">
            <w:pPr>
              <w:spacing w:after="0" w:line="259" w:lineRule="auto"/>
              <w:ind w:left="-53" w:right="0" w:firstLine="0"/>
              <w:jc w:val="center"/>
            </w:pPr>
          </w:p>
        </w:tc>
        <w:tc>
          <w:tcPr>
            <w:tcW w:w="1620" w:type="dxa"/>
            <w:tcBorders>
              <w:top w:val="single" w:sz="12" w:space="0" w:color="000000"/>
              <w:left w:val="single" w:sz="12" w:space="0" w:color="000000"/>
              <w:bottom w:val="single" w:sz="12" w:space="0" w:color="000000"/>
              <w:right w:val="single" w:sz="12" w:space="0" w:color="000000"/>
            </w:tcBorders>
            <w:shd w:val="clear" w:color="auto" w:fill="C0C0C0"/>
            <w:vAlign w:val="center"/>
          </w:tcPr>
          <w:p w14:paraId="7C29943E" w14:textId="262BFF96" w:rsidR="00B56D50" w:rsidRDefault="00B56D50" w:rsidP="008C74E7">
            <w:pPr>
              <w:spacing w:after="0" w:line="259" w:lineRule="auto"/>
              <w:ind w:left="-53" w:right="0" w:firstLine="0"/>
              <w:jc w:val="center"/>
            </w:pPr>
          </w:p>
        </w:tc>
        <w:tc>
          <w:tcPr>
            <w:tcW w:w="2520" w:type="dxa"/>
            <w:tcBorders>
              <w:top w:val="single" w:sz="12" w:space="0" w:color="000000"/>
              <w:left w:val="single" w:sz="12" w:space="0" w:color="000000"/>
              <w:bottom w:val="single" w:sz="12" w:space="0" w:color="000000"/>
              <w:right w:val="single" w:sz="12" w:space="0" w:color="000000"/>
            </w:tcBorders>
            <w:shd w:val="clear" w:color="auto" w:fill="C0C0C0"/>
            <w:vAlign w:val="center"/>
          </w:tcPr>
          <w:p w14:paraId="62290FB3" w14:textId="00F8D3BF" w:rsidR="00B56D50" w:rsidRDefault="00B56D50" w:rsidP="0010194A">
            <w:pPr>
              <w:spacing w:after="0" w:line="259" w:lineRule="auto"/>
              <w:ind w:left="-53" w:right="0" w:firstLine="0"/>
              <w:jc w:val="center"/>
            </w:pPr>
          </w:p>
        </w:tc>
        <w:tc>
          <w:tcPr>
            <w:tcW w:w="1440" w:type="dxa"/>
            <w:tcBorders>
              <w:top w:val="single" w:sz="12" w:space="0" w:color="auto"/>
              <w:left w:val="single" w:sz="12" w:space="0" w:color="000000"/>
              <w:bottom w:val="single" w:sz="12" w:space="0" w:color="000000"/>
              <w:right w:val="single" w:sz="12" w:space="0" w:color="000000"/>
            </w:tcBorders>
            <w:shd w:val="clear" w:color="auto" w:fill="C0C0C0"/>
            <w:vAlign w:val="center"/>
          </w:tcPr>
          <w:p w14:paraId="5C4C258F" w14:textId="64DFE6FB" w:rsidR="00B56D50" w:rsidRDefault="00B56D50" w:rsidP="0010194A">
            <w:pPr>
              <w:spacing w:after="0" w:line="259" w:lineRule="auto"/>
              <w:ind w:left="-53" w:right="0" w:firstLine="0"/>
              <w:jc w:val="center"/>
            </w:pPr>
          </w:p>
        </w:tc>
      </w:tr>
      <w:tr w:rsidR="002D5085" w14:paraId="4595285C" w14:textId="77777777" w:rsidTr="00813DE8">
        <w:trPr>
          <w:trHeight w:val="20"/>
        </w:trPr>
        <w:tc>
          <w:tcPr>
            <w:tcW w:w="3960" w:type="dxa"/>
            <w:tcBorders>
              <w:top w:val="single" w:sz="12" w:space="0" w:color="000000"/>
              <w:left w:val="single" w:sz="12" w:space="0" w:color="000000"/>
              <w:bottom w:val="single" w:sz="7" w:space="0" w:color="000000"/>
              <w:right w:val="single" w:sz="12" w:space="0" w:color="000000"/>
            </w:tcBorders>
          </w:tcPr>
          <w:p w14:paraId="5AA9E7DE" w14:textId="77777777" w:rsidR="00B56D50" w:rsidRDefault="001C3C42">
            <w:pPr>
              <w:spacing w:after="0" w:line="259" w:lineRule="auto"/>
              <w:ind w:left="0" w:right="0" w:firstLine="0"/>
            </w:pPr>
            <w:r>
              <w:rPr>
                <w:sz w:val="20"/>
              </w:rPr>
              <w:t xml:space="preserve">Acidity </w:t>
            </w:r>
          </w:p>
        </w:tc>
        <w:tc>
          <w:tcPr>
            <w:tcW w:w="1530" w:type="dxa"/>
            <w:tcBorders>
              <w:top w:val="single" w:sz="12" w:space="0" w:color="000000"/>
              <w:left w:val="single" w:sz="12" w:space="0" w:color="000000"/>
              <w:bottom w:val="single" w:sz="7" w:space="0" w:color="000000"/>
              <w:right w:val="single" w:sz="12" w:space="0" w:color="000000"/>
            </w:tcBorders>
            <w:vAlign w:val="center"/>
          </w:tcPr>
          <w:p w14:paraId="43311A6C" w14:textId="46DD1DB6" w:rsidR="00B56D50" w:rsidRDefault="001C3C42" w:rsidP="00813DE8">
            <w:pPr>
              <w:spacing w:after="0" w:line="259" w:lineRule="auto"/>
              <w:ind w:left="0" w:right="41" w:firstLine="0"/>
              <w:jc w:val="center"/>
            </w:pPr>
            <w:r>
              <w:rPr>
                <w:sz w:val="20"/>
              </w:rPr>
              <w:t>NA</w:t>
            </w:r>
          </w:p>
        </w:tc>
        <w:tc>
          <w:tcPr>
            <w:tcW w:w="1710" w:type="dxa"/>
            <w:tcBorders>
              <w:top w:val="single" w:sz="12" w:space="0" w:color="000000"/>
              <w:left w:val="single" w:sz="12" w:space="0" w:color="000000"/>
              <w:bottom w:val="single" w:sz="7" w:space="0" w:color="000000"/>
              <w:right w:val="single" w:sz="12" w:space="0" w:color="000000"/>
            </w:tcBorders>
            <w:vAlign w:val="center"/>
          </w:tcPr>
          <w:p w14:paraId="4DCF74DB" w14:textId="2BC9AFB4" w:rsidR="00B56D50" w:rsidRDefault="00B56D50" w:rsidP="00813DE8">
            <w:pPr>
              <w:spacing w:after="0" w:line="259" w:lineRule="auto"/>
              <w:ind w:left="8" w:right="0" w:firstLine="0"/>
              <w:jc w:val="center"/>
            </w:pPr>
          </w:p>
        </w:tc>
        <w:tc>
          <w:tcPr>
            <w:tcW w:w="1980" w:type="dxa"/>
            <w:tcBorders>
              <w:top w:val="single" w:sz="12" w:space="0" w:color="000000"/>
              <w:left w:val="single" w:sz="12" w:space="0" w:color="000000"/>
              <w:bottom w:val="single" w:sz="7" w:space="0" w:color="000000"/>
              <w:right w:val="single" w:sz="12" w:space="0" w:color="000000"/>
            </w:tcBorders>
            <w:vAlign w:val="center"/>
          </w:tcPr>
          <w:p w14:paraId="2AC2C44F" w14:textId="73665C09" w:rsidR="00B56D50" w:rsidRDefault="00B56D50" w:rsidP="00813DE8">
            <w:pPr>
              <w:spacing w:after="0" w:line="259" w:lineRule="auto"/>
              <w:ind w:left="7" w:right="0" w:firstLine="0"/>
              <w:jc w:val="center"/>
            </w:pPr>
          </w:p>
        </w:tc>
        <w:tc>
          <w:tcPr>
            <w:tcW w:w="1620" w:type="dxa"/>
            <w:tcBorders>
              <w:top w:val="single" w:sz="12" w:space="0" w:color="000000"/>
              <w:left w:val="single" w:sz="12" w:space="0" w:color="000000"/>
              <w:bottom w:val="single" w:sz="7" w:space="0" w:color="000000"/>
              <w:right w:val="single" w:sz="12" w:space="0" w:color="000000"/>
            </w:tcBorders>
            <w:vAlign w:val="center"/>
          </w:tcPr>
          <w:p w14:paraId="0CF1E0DF" w14:textId="38E5C8B2" w:rsidR="00B56D50" w:rsidRDefault="001C3C42" w:rsidP="00813DE8">
            <w:pPr>
              <w:spacing w:after="0" w:line="259" w:lineRule="auto"/>
              <w:ind w:left="0" w:right="45" w:firstLine="0"/>
              <w:jc w:val="center"/>
            </w:pPr>
            <w:r>
              <w:rPr>
                <w:sz w:val="20"/>
              </w:rPr>
              <w:t>1-1 L   P, G</w:t>
            </w:r>
          </w:p>
        </w:tc>
        <w:tc>
          <w:tcPr>
            <w:tcW w:w="2520" w:type="dxa"/>
            <w:tcBorders>
              <w:top w:val="single" w:sz="12" w:space="0" w:color="000000"/>
              <w:left w:val="single" w:sz="12" w:space="0" w:color="000000"/>
              <w:bottom w:val="single" w:sz="7" w:space="0" w:color="000000"/>
              <w:right w:val="single" w:sz="12" w:space="0" w:color="000000"/>
            </w:tcBorders>
            <w:vAlign w:val="center"/>
          </w:tcPr>
          <w:p w14:paraId="364C7A24" w14:textId="62511F37" w:rsidR="00B56D50" w:rsidRDefault="001C3C42" w:rsidP="00813DE8">
            <w:pPr>
              <w:spacing w:after="0" w:line="259" w:lineRule="auto"/>
              <w:ind w:left="0" w:right="37" w:firstLine="0"/>
              <w:jc w:val="center"/>
            </w:pPr>
            <w:r>
              <w:rPr>
                <w:sz w:val="20"/>
              </w:rPr>
              <w:t>Ice (4</w:t>
            </w:r>
            <w:r>
              <w:rPr>
                <w:sz w:val="20"/>
                <w:vertAlign w:val="superscript"/>
              </w:rPr>
              <w:t>0</w:t>
            </w:r>
            <w:r>
              <w:rPr>
                <w:sz w:val="20"/>
              </w:rPr>
              <w:t>C)</w:t>
            </w:r>
          </w:p>
        </w:tc>
        <w:tc>
          <w:tcPr>
            <w:tcW w:w="1440" w:type="dxa"/>
            <w:tcBorders>
              <w:top w:val="single" w:sz="12" w:space="0" w:color="000000"/>
              <w:left w:val="single" w:sz="12" w:space="0" w:color="000000"/>
              <w:bottom w:val="single" w:sz="7" w:space="0" w:color="000000"/>
              <w:right w:val="single" w:sz="12" w:space="0" w:color="000000"/>
            </w:tcBorders>
            <w:vAlign w:val="center"/>
          </w:tcPr>
          <w:p w14:paraId="2EF69A96" w14:textId="5D2776EB" w:rsidR="00B56D50" w:rsidRDefault="001C3C42" w:rsidP="00813DE8">
            <w:pPr>
              <w:spacing w:after="0" w:line="259" w:lineRule="auto"/>
              <w:ind w:left="0" w:right="40" w:firstLine="0"/>
              <w:jc w:val="center"/>
            </w:pPr>
            <w:r>
              <w:rPr>
                <w:sz w:val="20"/>
              </w:rPr>
              <w:t>14 days</w:t>
            </w:r>
          </w:p>
        </w:tc>
      </w:tr>
      <w:tr w:rsidR="002D5085" w14:paraId="0BEBBFD7" w14:textId="77777777" w:rsidTr="00813DE8">
        <w:trPr>
          <w:trHeight w:val="20"/>
        </w:trPr>
        <w:tc>
          <w:tcPr>
            <w:tcW w:w="3960" w:type="dxa"/>
            <w:tcBorders>
              <w:top w:val="single" w:sz="7" w:space="0" w:color="000000"/>
              <w:left w:val="single" w:sz="12" w:space="0" w:color="000000"/>
              <w:bottom w:val="single" w:sz="7" w:space="0" w:color="000000"/>
              <w:right w:val="single" w:sz="12" w:space="0" w:color="000000"/>
            </w:tcBorders>
          </w:tcPr>
          <w:p w14:paraId="063A3049" w14:textId="77777777" w:rsidR="00B56D50" w:rsidRDefault="001C3C42">
            <w:pPr>
              <w:spacing w:after="0" w:line="259" w:lineRule="auto"/>
              <w:ind w:left="0" w:right="0" w:firstLine="0"/>
            </w:pPr>
            <w:r>
              <w:rPr>
                <w:sz w:val="20"/>
              </w:rPr>
              <w:t xml:space="preserve">Alkalinity </w:t>
            </w:r>
          </w:p>
        </w:tc>
        <w:tc>
          <w:tcPr>
            <w:tcW w:w="1530" w:type="dxa"/>
            <w:tcBorders>
              <w:top w:val="single" w:sz="7" w:space="0" w:color="000000"/>
              <w:left w:val="single" w:sz="12" w:space="0" w:color="000000"/>
              <w:bottom w:val="single" w:sz="7" w:space="0" w:color="000000"/>
              <w:right w:val="single" w:sz="12" w:space="0" w:color="000000"/>
            </w:tcBorders>
            <w:vAlign w:val="center"/>
          </w:tcPr>
          <w:p w14:paraId="015B125A" w14:textId="4E09EB77" w:rsidR="00B56D50" w:rsidRDefault="001C3C42" w:rsidP="00813DE8">
            <w:pPr>
              <w:spacing w:after="0" w:line="259" w:lineRule="auto"/>
              <w:ind w:left="0" w:right="41" w:firstLine="0"/>
              <w:jc w:val="center"/>
            </w:pPr>
            <w:r>
              <w:rPr>
                <w:sz w:val="20"/>
              </w:rPr>
              <w:t>NA</w:t>
            </w:r>
          </w:p>
        </w:tc>
        <w:tc>
          <w:tcPr>
            <w:tcW w:w="1710" w:type="dxa"/>
            <w:tcBorders>
              <w:top w:val="single" w:sz="7" w:space="0" w:color="000000"/>
              <w:left w:val="single" w:sz="12" w:space="0" w:color="000000"/>
              <w:bottom w:val="single" w:sz="7" w:space="0" w:color="000000"/>
              <w:right w:val="single" w:sz="12" w:space="0" w:color="000000"/>
            </w:tcBorders>
            <w:vAlign w:val="center"/>
          </w:tcPr>
          <w:p w14:paraId="1DDBB228" w14:textId="6D9B02C1" w:rsidR="00B56D50" w:rsidRDefault="00B56D50" w:rsidP="00813DE8">
            <w:pPr>
              <w:spacing w:after="0" w:line="259" w:lineRule="auto"/>
              <w:ind w:left="8" w:right="0" w:firstLine="0"/>
              <w:jc w:val="center"/>
            </w:pPr>
          </w:p>
        </w:tc>
        <w:tc>
          <w:tcPr>
            <w:tcW w:w="1980" w:type="dxa"/>
            <w:tcBorders>
              <w:top w:val="single" w:sz="7" w:space="0" w:color="000000"/>
              <w:left w:val="single" w:sz="12" w:space="0" w:color="000000"/>
              <w:bottom w:val="single" w:sz="7" w:space="0" w:color="000000"/>
              <w:right w:val="single" w:sz="12" w:space="0" w:color="000000"/>
            </w:tcBorders>
            <w:vAlign w:val="center"/>
          </w:tcPr>
          <w:p w14:paraId="104E6980" w14:textId="6EC58DBD" w:rsidR="00B56D50" w:rsidRDefault="00B56D50" w:rsidP="00813DE8">
            <w:pPr>
              <w:spacing w:after="0" w:line="259" w:lineRule="auto"/>
              <w:ind w:left="7" w:right="0" w:firstLine="0"/>
              <w:jc w:val="center"/>
            </w:pPr>
          </w:p>
        </w:tc>
        <w:tc>
          <w:tcPr>
            <w:tcW w:w="1620" w:type="dxa"/>
            <w:tcBorders>
              <w:top w:val="single" w:sz="7" w:space="0" w:color="000000"/>
              <w:left w:val="single" w:sz="12" w:space="0" w:color="000000"/>
              <w:bottom w:val="single" w:sz="7" w:space="0" w:color="000000"/>
              <w:right w:val="single" w:sz="12" w:space="0" w:color="000000"/>
            </w:tcBorders>
            <w:vAlign w:val="center"/>
          </w:tcPr>
          <w:p w14:paraId="2B31FE9F" w14:textId="2BDB6D98" w:rsidR="00B56D50" w:rsidRDefault="001C3C42" w:rsidP="00813DE8">
            <w:pPr>
              <w:spacing w:after="0" w:line="259" w:lineRule="auto"/>
              <w:ind w:left="0" w:right="45" w:firstLine="0"/>
              <w:jc w:val="center"/>
            </w:pPr>
            <w:r>
              <w:rPr>
                <w:sz w:val="20"/>
              </w:rPr>
              <w:t>1-1 L   P, G</w:t>
            </w:r>
          </w:p>
        </w:tc>
        <w:tc>
          <w:tcPr>
            <w:tcW w:w="2520" w:type="dxa"/>
            <w:tcBorders>
              <w:top w:val="single" w:sz="7" w:space="0" w:color="000000"/>
              <w:left w:val="single" w:sz="12" w:space="0" w:color="000000"/>
              <w:bottom w:val="single" w:sz="7" w:space="0" w:color="000000"/>
              <w:right w:val="single" w:sz="12" w:space="0" w:color="000000"/>
            </w:tcBorders>
            <w:vAlign w:val="center"/>
          </w:tcPr>
          <w:p w14:paraId="3801F4EA" w14:textId="1C082348" w:rsidR="00B56D50" w:rsidRDefault="001C3C42" w:rsidP="00813DE8">
            <w:pPr>
              <w:spacing w:after="0" w:line="259" w:lineRule="auto"/>
              <w:ind w:left="0" w:right="37" w:firstLine="0"/>
              <w:jc w:val="center"/>
            </w:pPr>
            <w:r>
              <w:rPr>
                <w:sz w:val="20"/>
              </w:rPr>
              <w:t>Ice (4</w:t>
            </w:r>
            <w:r>
              <w:rPr>
                <w:sz w:val="20"/>
                <w:vertAlign w:val="superscript"/>
              </w:rPr>
              <w:t>0</w:t>
            </w:r>
            <w:r>
              <w:rPr>
                <w:sz w:val="20"/>
              </w:rPr>
              <w:t>C)</w:t>
            </w:r>
          </w:p>
        </w:tc>
        <w:tc>
          <w:tcPr>
            <w:tcW w:w="1440" w:type="dxa"/>
            <w:tcBorders>
              <w:top w:val="single" w:sz="7" w:space="0" w:color="000000"/>
              <w:left w:val="single" w:sz="12" w:space="0" w:color="000000"/>
              <w:bottom w:val="single" w:sz="7" w:space="0" w:color="000000"/>
              <w:right w:val="single" w:sz="12" w:space="0" w:color="000000"/>
            </w:tcBorders>
            <w:vAlign w:val="center"/>
          </w:tcPr>
          <w:p w14:paraId="3E1D7A5B" w14:textId="7F3E4A6F" w:rsidR="00B56D50" w:rsidRDefault="001C3C42" w:rsidP="00813DE8">
            <w:pPr>
              <w:spacing w:after="0" w:line="259" w:lineRule="auto"/>
              <w:ind w:left="0" w:right="40" w:firstLine="0"/>
              <w:jc w:val="center"/>
            </w:pPr>
            <w:r>
              <w:rPr>
                <w:sz w:val="20"/>
              </w:rPr>
              <w:t>14 days</w:t>
            </w:r>
          </w:p>
        </w:tc>
      </w:tr>
      <w:tr w:rsidR="002D5085" w14:paraId="0AEF85B6" w14:textId="77777777" w:rsidTr="00813DE8">
        <w:trPr>
          <w:trHeight w:val="20"/>
        </w:trPr>
        <w:tc>
          <w:tcPr>
            <w:tcW w:w="3960" w:type="dxa"/>
            <w:tcBorders>
              <w:top w:val="single" w:sz="7" w:space="0" w:color="000000"/>
              <w:left w:val="single" w:sz="12" w:space="0" w:color="000000"/>
              <w:bottom w:val="single" w:sz="7" w:space="0" w:color="000000"/>
              <w:right w:val="single" w:sz="12" w:space="0" w:color="000000"/>
            </w:tcBorders>
          </w:tcPr>
          <w:p w14:paraId="6E2B5938" w14:textId="77777777" w:rsidR="00B56D50" w:rsidRDefault="001C3C42">
            <w:pPr>
              <w:spacing w:after="0" w:line="259" w:lineRule="auto"/>
              <w:ind w:left="0" w:right="0" w:firstLine="0"/>
            </w:pPr>
            <w:r>
              <w:rPr>
                <w:sz w:val="20"/>
              </w:rPr>
              <w:t>Ammonia NH</w:t>
            </w:r>
            <w:r>
              <w:rPr>
                <w:sz w:val="20"/>
                <w:vertAlign w:val="subscript"/>
              </w:rPr>
              <w:t>3</w:t>
            </w:r>
            <w:r>
              <w:rPr>
                <w:sz w:val="20"/>
              </w:rPr>
              <w:t xml:space="preserve"> </w:t>
            </w:r>
          </w:p>
        </w:tc>
        <w:tc>
          <w:tcPr>
            <w:tcW w:w="1530" w:type="dxa"/>
            <w:tcBorders>
              <w:top w:val="single" w:sz="7" w:space="0" w:color="000000"/>
              <w:left w:val="single" w:sz="12" w:space="0" w:color="000000"/>
              <w:bottom w:val="single" w:sz="7" w:space="0" w:color="000000"/>
              <w:right w:val="single" w:sz="12" w:space="0" w:color="000000"/>
            </w:tcBorders>
            <w:vAlign w:val="center"/>
          </w:tcPr>
          <w:p w14:paraId="100AA971" w14:textId="13BA76E5" w:rsidR="00B56D50" w:rsidRDefault="001C3C42" w:rsidP="00813DE8">
            <w:pPr>
              <w:spacing w:after="0" w:line="259" w:lineRule="auto"/>
              <w:ind w:left="0" w:right="47" w:firstLine="0"/>
              <w:jc w:val="center"/>
            </w:pPr>
            <w:r>
              <w:rPr>
                <w:sz w:val="20"/>
              </w:rPr>
              <w:t>500 mL G</w:t>
            </w:r>
          </w:p>
        </w:tc>
        <w:tc>
          <w:tcPr>
            <w:tcW w:w="1710" w:type="dxa"/>
            <w:tcBorders>
              <w:top w:val="single" w:sz="7" w:space="0" w:color="000000"/>
              <w:left w:val="single" w:sz="12" w:space="0" w:color="000000"/>
              <w:bottom w:val="single" w:sz="7" w:space="0" w:color="000000"/>
              <w:right w:val="single" w:sz="12" w:space="0" w:color="000000"/>
            </w:tcBorders>
            <w:vAlign w:val="center"/>
          </w:tcPr>
          <w:p w14:paraId="0412FD57" w14:textId="736FD853" w:rsidR="00B56D50" w:rsidRDefault="001C3C42" w:rsidP="00813DE8">
            <w:pPr>
              <w:spacing w:after="0" w:line="259" w:lineRule="auto"/>
              <w:ind w:left="0" w:right="40" w:firstLine="0"/>
              <w:jc w:val="center"/>
            </w:pPr>
            <w:r>
              <w:rPr>
                <w:sz w:val="20"/>
              </w:rPr>
              <w:t>Ice (4</w:t>
            </w:r>
            <w:r>
              <w:rPr>
                <w:sz w:val="20"/>
                <w:vertAlign w:val="superscript"/>
              </w:rPr>
              <w:t>0</w:t>
            </w:r>
            <w:r>
              <w:rPr>
                <w:sz w:val="20"/>
              </w:rPr>
              <w:t>C)</w:t>
            </w:r>
          </w:p>
        </w:tc>
        <w:tc>
          <w:tcPr>
            <w:tcW w:w="1980" w:type="dxa"/>
            <w:tcBorders>
              <w:top w:val="single" w:sz="7" w:space="0" w:color="000000"/>
              <w:left w:val="single" w:sz="12" w:space="0" w:color="000000"/>
              <w:bottom w:val="single" w:sz="7" w:space="0" w:color="000000"/>
              <w:right w:val="single" w:sz="12" w:space="0" w:color="000000"/>
            </w:tcBorders>
            <w:vAlign w:val="center"/>
          </w:tcPr>
          <w:p w14:paraId="678DA94D" w14:textId="24CADDA4" w:rsidR="00B56D50" w:rsidRDefault="001C3C42" w:rsidP="00813DE8">
            <w:pPr>
              <w:spacing w:after="0" w:line="259" w:lineRule="auto"/>
              <w:ind w:left="0" w:right="42" w:firstLine="0"/>
              <w:jc w:val="center"/>
            </w:pPr>
            <w:r>
              <w:rPr>
                <w:sz w:val="20"/>
              </w:rPr>
              <w:t>28 days</w:t>
            </w:r>
          </w:p>
        </w:tc>
        <w:tc>
          <w:tcPr>
            <w:tcW w:w="1620" w:type="dxa"/>
            <w:tcBorders>
              <w:top w:val="single" w:sz="7" w:space="0" w:color="000000"/>
              <w:left w:val="single" w:sz="12" w:space="0" w:color="000000"/>
              <w:bottom w:val="single" w:sz="7" w:space="0" w:color="000000"/>
              <w:right w:val="single" w:sz="12" w:space="0" w:color="000000"/>
            </w:tcBorders>
            <w:vAlign w:val="center"/>
          </w:tcPr>
          <w:p w14:paraId="40A4DFBD" w14:textId="15A5AF3A" w:rsidR="00B56D50" w:rsidRDefault="001C3C42" w:rsidP="00813DE8">
            <w:pPr>
              <w:spacing w:after="0" w:line="259" w:lineRule="auto"/>
              <w:ind w:left="0" w:right="45" w:firstLine="0"/>
              <w:jc w:val="center"/>
            </w:pPr>
            <w:r>
              <w:rPr>
                <w:sz w:val="20"/>
              </w:rPr>
              <w:t>1-1 L   P, G</w:t>
            </w:r>
          </w:p>
        </w:tc>
        <w:tc>
          <w:tcPr>
            <w:tcW w:w="2520" w:type="dxa"/>
            <w:tcBorders>
              <w:top w:val="single" w:sz="7" w:space="0" w:color="000000"/>
              <w:left w:val="single" w:sz="12" w:space="0" w:color="000000"/>
              <w:bottom w:val="single" w:sz="7" w:space="0" w:color="000000"/>
              <w:right w:val="single" w:sz="12" w:space="0" w:color="000000"/>
            </w:tcBorders>
            <w:vAlign w:val="center"/>
          </w:tcPr>
          <w:p w14:paraId="10283DAA" w14:textId="7488B623" w:rsidR="00B56D50" w:rsidRDefault="001C3C42" w:rsidP="00813DE8">
            <w:pPr>
              <w:spacing w:after="0" w:line="259" w:lineRule="auto"/>
              <w:ind w:left="0" w:right="38" w:firstLine="0"/>
              <w:jc w:val="center"/>
            </w:pPr>
            <w:r>
              <w:rPr>
                <w:sz w:val="20"/>
              </w:rPr>
              <w:t>Ice (4</w:t>
            </w:r>
            <w:r>
              <w:rPr>
                <w:sz w:val="20"/>
                <w:vertAlign w:val="superscript"/>
              </w:rPr>
              <w:t>0</w:t>
            </w:r>
            <w:proofErr w:type="gramStart"/>
            <w:r w:rsidR="006E75AF">
              <w:rPr>
                <w:sz w:val="20"/>
              </w:rPr>
              <w:t>C)+</w:t>
            </w:r>
            <w:proofErr w:type="gramEnd"/>
            <w:r>
              <w:rPr>
                <w:sz w:val="20"/>
              </w:rPr>
              <w:t>H</w:t>
            </w:r>
            <w:r>
              <w:rPr>
                <w:sz w:val="20"/>
                <w:vertAlign w:val="subscript"/>
              </w:rPr>
              <w:t>2</w:t>
            </w:r>
            <w:r>
              <w:rPr>
                <w:sz w:val="20"/>
              </w:rPr>
              <w:t>SO</w:t>
            </w:r>
            <w:r>
              <w:rPr>
                <w:sz w:val="20"/>
                <w:vertAlign w:val="subscript"/>
              </w:rPr>
              <w:t>4</w:t>
            </w:r>
          </w:p>
        </w:tc>
        <w:tc>
          <w:tcPr>
            <w:tcW w:w="1440" w:type="dxa"/>
            <w:tcBorders>
              <w:top w:val="single" w:sz="7" w:space="0" w:color="000000"/>
              <w:left w:val="single" w:sz="12" w:space="0" w:color="000000"/>
              <w:bottom w:val="single" w:sz="7" w:space="0" w:color="000000"/>
              <w:right w:val="single" w:sz="12" w:space="0" w:color="000000"/>
            </w:tcBorders>
            <w:vAlign w:val="center"/>
          </w:tcPr>
          <w:p w14:paraId="72D25ABA" w14:textId="030B1063" w:rsidR="00B56D50" w:rsidRDefault="001C3C42" w:rsidP="00813DE8">
            <w:pPr>
              <w:spacing w:after="0" w:line="259" w:lineRule="auto"/>
              <w:ind w:left="0" w:right="40" w:firstLine="0"/>
              <w:jc w:val="center"/>
            </w:pPr>
            <w:r>
              <w:rPr>
                <w:sz w:val="20"/>
              </w:rPr>
              <w:t>28 days</w:t>
            </w:r>
          </w:p>
        </w:tc>
      </w:tr>
      <w:tr w:rsidR="002D5085" w14:paraId="4B83C03C" w14:textId="77777777" w:rsidTr="00813DE8">
        <w:trPr>
          <w:trHeight w:val="20"/>
        </w:trPr>
        <w:tc>
          <w:tcPr>
            <w:tcW w:w="3960" w:type="dxa"/>
            <w:tcBorders>
              <w:top w:val="single" w:sz="7" w:space="0" w:color="000000"/>
              <w:left w:val="single" w:sz="12" w:space="0" w:color="000000"/>
              <w:bottom w:val="single" w:sz="7" w:space="0" w:color="000000"/>
              <w:right w:val="single" w:sz="12" w:space="0" w:color="000000"/>
            </w:tcBorders>
          </w:tcPr>
          <w:p w14:paraId="21E95F93" w14:textId="77777777" w:rsidR="00B56D50" w:rsidRDefault="001C3C42">
            <w:pPr>
              <w:spacing w:after="0" w:line="259" w:lineRule="auto"/>
              <w:ind w:left="0" w:right="0" w:firstLine="0"/>
            </w:pPr>
            <w:r>
              <w:rPr>
                <w:sz w:val="20"/>
              </w:rPr>
              <w:t xml:space="preserve">Biochemical Oxygen Demand </w:t>
            </w:r>
          </w:p>
        </w:tc>
        <w:tc>
          <w:tcPr>
            <w:tcW w:w="1530" w:type="dxa"/>
            <w:tcBorders>
              <w:top w:val="single" w:sz="7" w:space="0" w:color="000000"/>
              <w:left w:val="single" w:sz="12" w:space="0" w:color="000000"/>
              <w:bottom w:val="single" w:sz="7" w:space="0" w:color="000000"/>
              <w:right w:val="single" w:sz="12" w:space="0" w:color="000000"/>
            </w:tcBorders>
            <w:vAlign w:val="center"/>
          </w:tcPr>
          <w:p w14:paraId="110456AF" w14:textId="5A805039" w:rsidR="00B56D50" w:rsidRDefault="001C3C42" w:rsidP="00813DE8">
            <w:pPr>
              <w:spacing w:after="0" w:line="259" w:lineRule="auto"/>
              <w:ind w:left="0" w:right="41" w:firstLine="0"/>
              <w:jc w:val="center"/>
            </w:pPr>
            <w:r>
              <w:rPr>
                <w:sz w:val="20"/>
              </w:rPr>
              <w:t>NA</w:t>
            </w:r>
          </w:p>
        </w:tc>
        <w:tc>
          <w:tcPr>
            <w:tcW w:w="1710" w:type="dxa"/>
            <w:tcBorders>
              <w:top w:val="single" w:sz="7" w:space="0" w:color="000000"/>
              <w:left w:val="single" w:sz="12" w:space="0" w:color="000000"/>
              <w:bottom w:val="single" w:sz="7" w:space="0" w:color="000000"/>
              <w:right w:val="single" w:sz="12" w:space="0" w:color="000000"/>
            </w:tcBorders>
            <w:vAlign w:val="center"/>
          </w:tcPr>
          <w:p w14:paraId="6E7E279A" w14:textId="079285A3" w:rsidR="00B56D50" w:rsidRDefault="00B56D50" w:rsidP="00813DE8">
            <w:pPr>
              <w:spacing w:after="0" w:line="259" w:lineRule="auto"/>
              <w:ind w:left="8" w:right="0" w:firstLine="0"/>
              <w:jc w:val="center"/>
            </w:pPr>
          </w:p>
        </w:tc>
        <w:tc>
          <w:tcPr>
            <w:tcW w:w="1980" w:type="dxa"/>
            <w:tcBorders>
              <w:top w:val="single" w:sz="7" w:space="0" w:color="000000"/>
              <w:left w:val="single" w:sz="12" w:space="0" w:color="000000"/>
              <w:bottom w:val="single" w:sz="7" w:space="0" w:color="000000"/>
              <w:right w:val="single" w:sz="12" w:space="0" w:color="000000"/>
            </w:tcBorders>
            <w:vAlign w:val="center"/>
          </w:tcPr>
          <w:p w14:paraId="78C22957" w14:textId="1B1D6A0D" w:rsidR="00B56D50" w:rsidRDefault="00B56D50" w:rsidP="00813DE8">
            <w:pPr>
              <w:spacing w:after="0" w:line="259" w:lineRule="auto"/>
              <w:ind w:left="7" w:right="0" w:firstLine="0"/>
              <w:jc w:val="center"/>
            </w:pPr>
          </w:p>
        </w:tc>
        <w:tc>
          <w:tcPr>
            <w:tcW w:w="1620" w:type="dxa"/>
            <w:tcBorders>
              <w:top w:val="single" w:sz="7" w:space="0" w:color="000000"/>
              <w:left w:val="single" w:sz="12" w:space="0" w:color="000000"/>
              <w:bottom w:val="single" w:sz="7" w:space="0" w:color="000000"/>
              <w:right w:val="single" w:sz="12" w:space="0" w:color="000000"/>
            </w:tcBorders>
            <w:vAlign w:val="center"/>
          </w:tcPr>
          <w:p w14:paraId="4BB8EC1C" w14:textId="527A322A" w:rsidR="00B56D50" w:rsidRDefault="001C3C42" w:rsidP="00813DE8">
            <w:pPr>
              <w:spacing w:after="0" w:line="259" w:lineRule="auto"/>
              <w:ind w:left="0" w:right="44" w:firstLine="0"/>
              <w:jc w:val="center"/>
            </w:pPr>
            <w:r>
              <w:rPr>
                <w:sz w:val="20"/>
              </w:rPr>
              <w:t>1-1 L   P, G</w:t>
            </w:r>
          </w:p>
        </w:tc>
        <w:tc>
          <w:tcPr>
            <w:tcW w:w="2520" w:type="dxa"/>
            <w:tcBorders>
              <w:top w:val="single" w:sz="7" w:space="0" w:color="000000"/>
              <w:left w:val="single" w:sz="12" w:space="0" w:color="000000"/>
              <w:bottom w:val="single" w:sz="7" w:space="0" w:color="000000"/>
              <w:right w:val="single" w:sz="12" w:space="0" w:color="000000"/>
            </w:tcBorders>
            <w:vAlign w:val="center"/>
          </w:tcPr>
          <w:p w14:paraId="1046D19B" w14:textId="34E34D00" w:rsidR="00B56D50" w:rsidRDefault="001C3C42" w:rsidP="00813DE8">
            <w:pPr>
              <w:spacing w:after="0" w:line="259" w:lineRule="auto"/>
              <w:ind w:left="0" w:right="37" w:firstLine="0"/>
              <w:jc w:val="center"/>
            </w:pPr>
            <w:r>
              <w:rPr>
                <w:sz w:val="20"/>
              </w:rPr>
              <w:t>Ice (4</w:t>
            </w:r>
            <w:r>
              <w:rPr>
                <w:sz w:val="20"/>
                <w:vertAlign w:val="superscript"/>
              </w:rPr>
              <w:t>0</w:t>
            </w:r>
            <w:r>
              <w:rPr>
                <w:sz w:val="20"/>
              </w:rPr>
              <w:t>C)</w:t>
            </w:r>
          </w:p>
        </w:tc>
        <w:tc>
          <w:tcPr>
            <w:tcW w:w="1440" w:type="dxa"/>
            <w:tcBorders>
              <w:top w:val="single" w:sz="7" w:space="0" w:color="000000"/>
              <w:left w:val="single" w:sz="12" w:space="0" w:color="000000"/>
              <w:bottom w:val="single" w:sz="7" w:space="0" w:color="000000"/>
              <w:right w:val="single" w:sz="12" w:space="0" w:color="000000"/>
            </w:tcBorders>
            <w:vAlign w:val="center"/>
          </w:tcPr>
          <w:p w14:paraId="07E3DC36" w14:textId="0F0DC761" w:rsidR="00B56D50" w:rsidRDefault="001C3C42" w:rsidP="00813DE8">
            <w:pPr>
              <w:spacing w:after="0" w:line="259" w:lineRule="auto"/>
              <w:ind w:left="0" w:right="39" w:firstLine="0"/>
              <w:jc w:val="center"/>
            </w:pPr>
            <w:r>
              <w:rPr>
                <w:sz w:val="20"/>
              </w:rPr>
              <w:t>2 days</w:t>
            </w:r>
          </w:p>
        </w:tc>
      </w:tr>
      <w:tr w:rsidR="002D5085" w14:paraId="71B8F334" w14:textId="77777777" w:rsidTr="000C714E">
        <w:trPr>
          <w:trHeight w:val="227"/>
        </w:trPr>
        <w:tc>
          <w:tcPr>
            <w:tcW w:w="3960" w:type="dxa"/>
            <w:tcBorders>
              <w:top w:val="single" w:sz="7" w:space="0" w:color="000000"/>
              <w:left w:val="single" w:sz="12" w:space="0" w:color="000000"/>
              <w:bottom w:val="single" w:sz="7" w:space="0" w:color="000000"/>
              <w:right w:val="single" w:sz="12" w:space="0" w:color="000000"/>
            </w:tcBorders>
          </w:tcPr>
          <w:p w14:paraId="1872959E" w14:textId="77777777" w:rsidR="00B56D50" w:rsidRDefault="001C3C42">
            <w:pPr>
              <w:spacing w:after="0" w:line="259" w:lineRule="auto"/>
              <w:ind w:left="0" w:right="0" w:firstLine="0"/>
            </w:pPr>
            <w:r>
              <w:rPr>
                <w:sz w:val="20"/>
              </w:rPr>
              <w:t xml:space="preserve">Biological Oxygen Demand, Carbonaceous </w:t>
            </w:r>
          </w:p>
        </w:tc>
        <w:tc>
          <w:tcPr>
            <w:tcW w:w="1530" w:type="dxa"/>
            <w:tcBorders>
              <w:top w:val="single" w:sz="7" w:space="0" w:color="000000"/>
              <w:left w:val="single" w:sz="12" w:space="0" w:color="000000"/>
              <w:bottom w:val="single" w:sz="7" w:space="0" w:color="000000"/>
              <w:right w:val="single" w:sz="12" w:space="0" w:color="000000"/>
            </w:tcBorders>
            <w:vAlign w:val="center"/>
          </w:tcPr>
          <w:p w14:paraId="7EE27D60" w14:textId="1EA68791" w:rsidR="00B56D50" w:rsidRDefault="001C3C42" w:rsidP="00813DE8">
            <w:pPr>
              <w:spacing w:after="0" w:line="259" w:lineRule="auto"/>
              <w:ind w:left="0" w:right="41" w:firstLine="0"/>
              <w:jc w:val="center"/>
            </w:pPr>
            <w:r>
              <w:rPr>
                <w:sz w:val="20"/>
              </w:rPr>
              <w:t>NA</w:t>
            </w:r>
          </w:p>
        </w:tc>
        <w:tc>
          <w:tcPr>
            <w:tcW w:w="1710" w:type="dxa"/>
            <w:tcBorders>
              <w:top w:val="single" w:sz="7" w:space="0" w:color="000000"/>
              <w:left w:val="single" w:sz="12" w:space="0" w:color="000000"/>
              <w:bottom w:val="single" w:sz="7" w:space="0" w:color="000000"/>
              <w:right w:val="single" w:sz="12" w:space="0" w:color="000000"/>
            </w:tcBorders>
            <w:vAlign w:val="center"/>
          </w:tcPr>
          <w:p w14:paraId="1D2E1476" w14:textId="50C362C7" w:rsidR="00B56D50" w:rsidRDefault="00B56D50" w:rsidP="00813DE8">
            <w:pPr>
              <w:spacing w:after="0" w:line="259" w:lineRule="auto"/>
              <w:ind w:left="8" w:right="0" w:firstLine="0"/>
              <w:jc w:val="center"/>
            </w:pPr>
          </w:p>
        </w:tc>
        <w:tc>
          <w:tcPr>
            <w:tcW w:w="1980" w:type="dxa"/>
            <w:tcBorders>
              <w:top w:val="single" w:sz="7" w:space="0" w:color="000000"/>
              <w:left w:val="single" w:sz="12" w:space="0" w:color="000000"/>
              <w:bottom w:val="single" w:sz="7" w:space="0" w:color="000000"/>
              <w:right w:val="single" w:sz="12" w:space="0" w:color="000000"/>
            </w:tcBorders>
            <w:vAlign w:val="center"/>
          </w:tcPr>
          <w:p w14:paraId="0BD3B88E" w14:textId="72B139D7" w:rsidR="00B56D50" w:rsidRDefault="00B56D50" w:rsidP="00813DE8">
            <w:pPr>
              <w:spacing w:after="0" w:line="259" w:lineRule="auto"/>
              <w:ind w:left="7" w:right="0" w:firstLine="0"/>
              <w:jc w:val="center"/>
            </w:pPr>
          </w:p>
        </w:tc>
        <w:tc>
          <w:tcPr>
            <w:tcW w:w="1620" w:type="dxa"/>
            <w:tcBorders>
              <w:top w:val="single" w:sz="7" w:space="0" w:color="000000"/>
              <w:left w:val="single" w:sz="12" w:space="0" w:color="000000"/>
              <w:bottom w:val="single" w:sz="7" w:space="0" w:color="000000"/>
              <w:right w:val="single" w:sz="12" w:space="0" w:color="000000"/>
            </w:tcBorders>
            <w:vAlign w:val="center"/>
          </w:tcPr>
          <w:p w14:paraId="545BD037" w14:textId="1404ED3C" w:rsidR="00B56D50" w:rsidRDefault="001C3C42" w:rsidP="00813DE8">
            <w:pPr>
              <w:spacing w:after="0" w:line="259" w:lineRule="auto"/>
              <w:ind w:left="0" w:right="45" w:firstLine="0"/>
              <w:jc w:val="center"/>
            </w:pPr>
            <w:r>
              <w:rPr>
                <w:sz w:val="20"/>
              </w:rPr>
              <w:t>1-1 L   P, G</w:t>
            </w:r>
          </w:p>
        </w:tc>
        <w:tc>
          <w:tcPr>
            <w:tcW w:w="2520" w:type="dxa"/>
            <w:tcBorders>
              <w:top w:val="single" w:sz="7" w:space="0" w:color="000000"/>
              <w:left w:val="single" w:sz="12" w:space="0" w:color="000000"/>
              <w:bottom w:val="single" w:sz="7" w:space="0" w:color="000000"/>
              <w:right w:val="single" w:sz="12" w:space="0" w:color="000000"/>
            </w:tcBorders>
            <w:vAlign w:val="center"/>
          </w:tcPr>
          <w:p w14:paraId="614FA366" w14:textId="1C0DE1A7" w:rsidR="00B56D50" w:rsidRDefault="001C3C42" w:rsidP="00813DE8">
            <w:pPr>
              <w:spacing w:after="0" w:line="259" w:lineRule="auto"/>
              <w:ind w:left="0" w:right="37" w:firstLine="0"/>
              <w:jc w:val="center"/>
            </w:pPr>
            <w:r>
              <w:rPr>
                <w:sz w:val="20"/>
              </w:rPr>
              <w:t>Ice (4</w:t>
            </w:r>
            <w:r>
              <w:rPr>
                <w:sz w:val="20"/>
                <w:vertAlign w:val="superscript"/>
              </w:rPr>
              <w:t>0</w:t>
            </w:r>
            <w:r>
              <w:rPr>
                <w:sz w:val="20"/>
              </w:rPr>
              <w:t>C)</w:t>
            </w:r>
          </w:p>
        </w:tc>
        <w:tc>
          <w:tcPr>
            <w:tcW w:w="1440" w:type="dxa"/>
            <w:tcBorders>
              <w:top w:val="single" w:sz="7" w:space="0" w:color="000000"/>
              <w:left w:val="single" w:sz="12" w:space="0" w:color="000000"/>
              <w:bottom w:val="single" w:sz="7" w:space="0" w:color="000000"/>
              <w:right w:val="single" w:sz="12" w:space="0" w:color="000000"/>
            </w:tcBorders>
            <w:vAlign w:val="center"/>
          </w:tcPr>
          <w:p w14:paraId="473C5C97" w14:textId="5B9688C0" w:rsidR="00B56D50" w:rsidRDefault="001C3C42" w:rsidP="00813DE8">
            <w:pPr>
              <w:spacing w:after="0" w:line="259" w:lineRule="auto"/>
              <w:ind w:left="0" w:right="39" w:firstLine="0"/>
              <w:jc w:val="center"/>
            </w:pPr>
            <w:r>
              <w:rPr>
                <w:sz w:val="20"/>
              </w:rPr>
              <w:t>2 days</w:t>
            </w:r>
          </w:p>
        </w:tc>
      </w:tr>
      <w:tr w:rsidR="002D5085" w14:paraId="7417868A" w14:textId="77777777" w:rsidTr="00813DE8">
        <w:trPr>
          <w:trHeight w:val="20"/>
        </w:trPr>
        <w:tc>
          <w:tcPr>
            <w:tcW w:w="3960" w:type="dxa"/>
            <w:tcBorders>
              <w:top w:val="single" w:sz="7" w:space="0" w:color="000000"/>
              <w:left w:val="single" w:sz="12" w:space="0" w:color="000000"/>
              <w:bottom w:val="single" w:sz="7" w:space="0" w:color="000000"/>
              <w:right w:val="single" w:sz="12" w:space="0" w:color="000000"/>
            </w:tcBorders>
          </w:tcPr>
          <w:p w14:paraId="5F5716BD" w14:textId="77777777" w:rsidR="00B56D50" w:rsidRDefault="001C3C42">
            <w:pPr>
              <w:spacing w:after="0" w:line="259" w:lineRule="auto"/>
              <w:ind w:left="0" w:right="0" w:firstLine="0"/>
            </w:pPr>
            <w:r>
              <w:rPr>
                <w:sz w:val="20"/>
              </w:rPr>
              <w:t>Bromide (Br</w:t>
            </w:r>
            <w:r>
              <w:rPr>
                <w:sz w:val="20"/>
                <w:vertAlign w:val="superscript"/>
              </w:rPr>
              <w:t>-</w:t>
            </w:r>
            <w:r>
              <w:rPr>
                <w:sz w:val="20"/>
              </w:rPr>
              <w:t xml:space="preserve">) </w:t>
            </w:r>
          </w:p>
        </w:tc>
        <w:tc>
          <w:tcPr>
            <w:tcW w:w="1530" w:type="dxa"/>
            <w:tcBorders>
              <w:top w:val="single" w:sz="7" w:space="0" w:color="000000"/>
              <w:left w:val="single" w:sz="12" w:space="0" w:color="000000"/>
              <w:bottom w:val="single" w:sz="7" w:space="0" w:color="000000"/>
              <w:right w:val="single" w:sz="12" w:space="0" w:color="000000"/>
            </w:tcBorders>
            <w:vAlign w:val="center"/>
          </w:tcPr>
          <w:p w14:paraId="2B102C73" w14:textId="390919B9" w:rsidR="00B56D50" w:rsidRDefault="001C3C42" w:rsidP="00813DE8">
            <w:pPr>
              <w:spacing w:after="0" w:line="259" w:lineRule="auto"/>
              <w:ind w:left="0" w:right="47" w:firstLine="0"/>
              <w:jc w:val="center"/>
            </w:pPr>
            <w:r>
              <w:rPr>
                <w:sz w:val="20"/>
              </w:rPr>
              <w:t>500 mL G</w:t>
            </w:r>
          </w:p>
        </w:tc>
        <w:tc>
          <w:tcPr>
            <w:tcW w:w="1710" w:type="dxa"/>
            <w:tcBorders>
              <w:top w:val="single" w:sz="7" w:space="0" w:color="000000"/>
              <w:left w:val="single" w:sz="12" w:space="0" w:color="000000"/>
              <w:bottom w:val="single" w:sz="7" w:space="0" w:color="000000"/>
              <w:right w:val="single" w:sz="12" w:space="0" w:color="000000"/>
            </w:tcBorders>
            <w:vAlign w:val="center"/>
          </w:tcPr>
          <w:p w14:paraId="2685FED0" w14:textId="2D2C9E3B" w:rsidR="00B56D50" w:rsidRDefault="001C3C42" w:rsidP="00813DE8">
            <w:pPr>
              <w:spacing w:after="0" w:line="259" w:lineRule="auto"/>
              <w:ind w:left="0" w:right="40" w:firstLine="0"/>
              <w:jc w:val="center"/>
            </w:pPr>
            <w:r>
              <w:rPr>
                <w:sz w:val="20"/>
              </w:rPr>
              <w:t>Ice (4</w:t>
            </w:r>
            <w:r>
              <w:rPr>
                <w:sz w:val="20"/>
                <w:vertAlign w:val="superscript"/>
              </w:rPr>
              <w:t>0</w:t>
            </w:r>
            <w:r>
              <w:rPr>
                <w:sz w:val="20"/>
              </w:rPr>
              <w:t>C)</w:t>
            </w:r>
          </w:p>
        </w:tc>
        <w:tc>
          <w:tcPr>
            <w:tcW w:w="1980" w:type="dxa"/>
            <w:tcBorders>
              <w:top w:val="single" w:sz="7" w:space="0" w:color="000000"/>
              <w:left w:val="single" w:sz="12" w:space="0" w:color="000000"/>
              <w:bottom w:val="single" w:sz="7" w:space="0" w:color="000000"/>
              <w:right w:val="single" w:sz="12" w:space="0" w:color="000000"/>
            </w:tcBorders>
            <w:vAlign w:val="center"/>
          </w:tcPr>
          <w:p w14:paraId="7D8D2C87" w14:textId="23BF16FA" w:rsidR="00B56D50" w:rsidRDefault="001C3C42" w:rsidP="00813DE8">
            <w:pPr>
              <w:spacing w:after="0" w:line="259" w:lineRule="auto"/>
              <w:ind w:left="0" w:right="42" w:firstLine="0"/>
              <w:jc w:val="center"/>
            </w:pPr>
            <w:r>
              <w:rPr>
                <w:sz w:val="20"/>
              </w:rPr>
              <w:t>28 days</w:t>
            </w:r>
          </w:p>
        </w:tc>
        <w:tc>
          <w:tcPr>
            <w:tcW w:w="1620" w:type="dxa"/>
            <w:tcBorders>
              <w:top w:val="single" w:sz="7" w:space="0" w:color="000000"/>
              <w:left w:val="single" w:sz="12" w:space="0" w:color="000000"/>
              <w:bottom w:val="single" w:sz="7" w:space="0" w:color="000000"/>
              <w:right w:val="single" w:sz="12" w:space="0" w:color="000000"/>
            </w:tcBorders>
            <w:vAlign w:val="center"/>
          </w:tcPr>
          <w:p w14:paraId="2BF23560" w14:textId="74E12A9E" w:rsidR="00B56D50" w:rsidRDefault="001C3C42" w:rsidP="00813DE8">
            <w:pPr>
              <w:spacing w:after="0" w:line="259" w:lineRule="auto"/>
              <w:ind w:left="0" w:right="45" w:firstLine="0"/>
              <w:jc w:val="center"/>
            </w:pPr>
            <w:r>
              <w:rPr>
                <w:sz w:val="20"/>
              </w:rPr>
              <w:t>1-1 L   P, G</w:t>
            </w:r>
          </w:p>
        </w:tc>
        <w:tc>
          <w:tcPr>
            <w:tcW w:w="2520" w:type="dxa"/>
            <w:tcBorders>
              <w:top w:val="single" w:sz="7" w:space="0" w:color="000000"/>
              <w:left w:val="single" w:sz="12" w:space="0" w:color="000000"/>
              <w:bottom w:val="single" w:sz="7" w:space="0" w:color="000000"/>
              <w:right w:val="single" w:sz="12" w:space="0" w:color="000000"/>
            </w:tcBorders>
            <w:vAlign w:val="center"/>
          </w:tcPr>
          <w:p w14:paraId="05F660F2" w14:textId="7D2CD945" w:rsidR="00B56D50" w:rsidRDefault="001C3C42" w:rsidP="00813DE8">
            <w:pPr>
              <w:spacing w:after="0" w:line="259" w:lineRule="auto"/>
              <w:ind w:left="0" w:right="37" w:firstLine="0"/>
              <w:jc w:val="center"/>
            </w:pPr>
            <w:r>
              <w:rPr>
                <w:sz w:val="20"/>
              </w:rPr>
              <w:t>Ice (4</w:t>
            </w:r>
            <w:r>
              <w:rPr>
                <w:sz w:val="20"/>
                <w:vertAlign w:val="superscript"/>
              </w:rPr>
              <w:t>0</w:t>
            </w:r>
            <w:r>
              <w:rPr>
                <w:sz w:val="20"/>
              </w:rPr>
              <w:t>C)</w:t>
            </w:r>
          </w:p>
        </w:tc>
        <w:tc>
          <w:tcPr>
            <w:tcW w:w="1440" w:type="dxa"/>
            <w:tcBorders>
              <w:top w:val="single" w:sz="7" w:space="0" w:color="000000"/>
              <w:left w:val="single" w:sz="12" w:space="0" w:color="000000"/>
              <w:bottom w:val="single" w:sz="7" w:space="0" w:color="000000"/>
              <w:right w:val="single" w:sz="12" w:space="0" w:color="000000"/>
            </w:tcBorders>
            <w:vAlign w:val="center"/>
          </w:tcPr>
          <w:p w14:paraId="57F1D8D0" w14:textId="3C981F3B" w:rsidR="00B56D50" w:rsidRDefault="001C3C42" w:rsidP="00813DE8">
            <w:pPr>
              <w:spacing w:after="0" w:line="259" w:lineRule="auto"/>
              <w:ind w:left="0" w:right="40" w:firstLine="0"/>
              <w:jc w:val="center"/>
            </w:pPr>
            <w:r>
              <w:rPr>
                <w:sz w:val="20"/>
              </w:rPr>
              <w:t>28 days</w:t>
            </w:r>
          </w:p>
        </w:tc>
      </w:tr>
      <w:tr w:rsidR="002D5085" w14:paraId="1A19F18E" w14:textId="77777777" w:rsidTr="00813DE8">
        <w:trPr>
          <w:trHeight w:val="20"/>
        </w:trPr>
        <w:tc>
          <w:tcPr>
            <w:tcW w:w="3960" w:type="dxa"/>
            <w:tcBorders>
              <w:top w:val="single" w:sz="7" w:space="0" w:color="000000"/>
              <w:left w:val="single" w:sz="12" w:space="0" w:color="000000"/>
              <w:bottom w:val="single" w:sz="7" w:space="0" w:color="000000"/>
              <w:right w:val="single" w:sz="12" w:space="0" w:color="000000"/>
            </w:tcBorders>
          </w:tcPr>
          <w:p w14:paraId="74428467" w14:textId="67ADD5DD" w:rsidR="00B56D50" w:rsidRDefault="001C3C42">
            <w:pPr>
              <w:spacing w:after="0" w:line="259" w:lineRule="auto"/>
              <w:ind w:left="0" w:right="0" w:firstLine="0"/>
            </w:pPr>
            <w:r>
              <w:rPr>
                <w:sz w:val="20"/>
              </w:rPr>
              <w:t xml:space="preserve">Carbonate or Bicarbonate </w:t>
            </w:r>
          </w:p>
        </w:tc>
        <w:tc>
          <w:tcPr>
            <w:tcW w:w="1530" w:type="dxa"/>
            <w:tcBorders>
              <w:top w:val="single" w:sz="7" w:space="0" w:color="000000"/>
              <w:left w:val="single" w:sz="12" w:space="0" w:color="000000"/>
              <w:bottom w:val="single" w:sz="7" w:space="0" w:color="000000"/>
              <w:right w:val="single" w:sz="12" w:space="0" w:color="000000"/>
            </w:tcBorders>
            <w:vAlign w:val="center"/>
          </w:tcPr>
          <w:p w14:paraId="36DE5F5A" w14:textId="32F2FB51" w:rsidR="00B56D50" w:rsidRDefault="001C3C42" w:rsidP="00813DE8">
            <w:pPr>
              <w:spacing w:after="0" w:line="259" w:lineRule="auto"/>
              <w:ind w:left="0" w:right="41" w:firstLine="0"/>
              <w:jc w:val="center"/>
            </w:pPr>
            <w:r>
              <w:rPr>
                <w:sz w:val="20"/>
              </w:rPr>
              <w:t>NA</w:t>
            </w:r>
          </w:p>
        </w:tc>
        <w:tc>
          <w:tcPr>
            <w:tcW w:w="1710" w:type="dxa"/>
            <w:tcBorders>
              <w:top w:val="single" w:sz="7" w:space="0" w:color="000000"/>
              <w:left w:val="single" w:sz="12" w:space="0" w:color="000000"/>
              <w:bottom w:val="single" w:sz="7" w:space="0" w:color="000000"/>
              <w:right w:val="single" w:sz="12" w:space="0" w:color="000000"/>
            </w:tcBorders>
            <w:vAlign w:val="center"/>
          </w:tcPr>
          <w:p w14:paraId="7AF653AF" w14:textId="5102E78E" w:rsidR="00B56D50" w:rsidRDefault="00B56D50" w:rsidP="00813DE8">
            <w:pPr>
              <w:spacing w:after="0" w:line="259" w:lineRule="auto"/>
              <w:ind w:left="0" w:right="0" w:firstLine="0"/>
            </w:pPr>
          </w:p>
        </w:tc>
        <w:tc>
          <w:tcPr>
            <w:tcW w:w="1980" w:type="dxa"/>
            <w:tcBorders>
              <w:top w:val="single" w:sz="7" w:space="0" w:color="000000"/>
              <w:left w:val="single" w:sz="12" w:space="0" w:color="000000"/>
              <w:bottom w:val="single" w:sz="7" w:space="0" w:color="000000"/>
              <w:right w:val="single" w:sz="12" w:space="0" w:color="000000"/>
            </w:tcBorders>
            <w:vAlign w:val="center"/>
          </w:tcPr>
          <w:p w14:paraId="1E2148F5" w14:textId="23C4FA89" w:rsidR="00B56D50" w:rsidRDefault="00B56D50" w:rsidP="00813DE8">
            <w:pPr>
              <w:spacing w:after="0" w:line="259" w:lineRule="auto"/>
              <w:ind w:left="7" w:right="0" w:firstLine="0"/>
              <w:jc w:val="center"/>
            </w:pPr>
          </w:p>
        </w:tc>
        <w:tc>
          <w:tcPr>
            <w:tcW w:w="1620" w:type="dxa"/>
            <w:tcBorders>
              <w:top w:val="single" w:sz="7" w:space="0" w:color="000000"/>
              <w:left w:val="single" w:sz="12" w:space="0" w:color="000000"/>
              <w:bottom w:val="single" w:sz="7" w:space="0" w:color="000000"/>
              <w:right w:val="single" w:sz="12" w:space="0" w:color="000000"/>
            </w:tcBorders>
            <w:vAlign w:val="center"/>
          </w:tcPr>
          <w:p w14:paraId="458B19AC" w14:textId="5F891445" w:rsidR="00B56D50" w:rsidRDefault="001C3C42" w:rsidP="00E02F2D">
            <w:pPr>
              <w:spacing w:after="0" w:line="259" w:lineRule="auto"/>
              <w:ind w:left="0" w:right="45" w:firstLine="0"/>
              <w:jc w:val="center"/>
            </w:pPr>
            <w:r>
              <w:rPr>
                <w:sz w:val="20"/>
              </w:rPr>
              <w:t>1-1 L   P, G</w:t>
            </w:r>
          </w:p>
        </w:tc>
        <w:tc>
          <w:tcPr>
            <w:tcW w:w="2520" w:type="dxa"/>
            <w:tcBorders>
              <w:top w:val="single" w:sz="7" w:space="0" w:color="000000"/>
              <w:left w:val="single" w:sz="12" w:space="0" w:color="000000"/>
              <w:bottom w:val="single" w:sz="7" w:space="0" w:color="000000"/>
              <w:right w:val="single" w:sz="12" w:space="0" w:color="000000"/>
            </w:tcBorders>
            <w:vAlign w:val="center"/>
          </w:tcPr>
          <w:p w14:paraId="27507A08" w14:textId="4F616521" w:rsidR="00B56D50" w:rsidRDefault="001C3C42" w:rsidP="00E02F2D">
            <w:pPr>
              <w:spacing w:after="0" w:line="259" w:lineRule="auto"/>
              <w:ind w:left="0" w:right="37" w:firstLine="0"/>
              <w:jc w:val="center"/>
            </w:pPr>
            <w:r>
              <w:rPr>
                <w:sz w:val="20"/>
              </w:rPr>
              <w:t>Ice (4</w:t>
            </w:r>
            <w:r>
              <w:rPr>
                <w:sz w:val="20"/>
                <w:vertAlign w:val="superscript"/>
              </w:rPr>
              <w:t>0</w:t>
            </w:r>
            <w:r>
              <w:rPr>
                <w:sz w:val="20"/>
              </w:rPr>
              <w:t>C)</w:t>
            </w:r>
          </w:p>
        </w:tc>
        <w:tc>
          <w:tcPr>
            <w:tcW w:w="1440" w:type="dxa"/>
            <w:tcBorders>
              <w:top w:val="single" w:sz="7" w:space="0" w:color="000000"/>
              <w:left w:val="single" w:sz="12" w:space="0" w:color="000000"/>
              <w:bottom w:val="single" w:sz="7" w:space="0" w:color="000000"/>
              <w:right w:val="single" w:sz="12" w:space="0" w:color="000000"/>
            </w:tcBorders>
            <w:vAlign w:val="center"/>
          </w:tcPr>
          <w:p w14:paraId="517BEC02" w14:textId="01B6284C" w:rsidR="00B56D50" w:rsidRDefault="001C3C42" w:rsidP="00D06C1C">
            <w:pPr>
              <w:spacing w:after="0" w:line="259" w:lineRule="auto"/>
              <w:ind w:left="0" w:right="40" w:firstLine="0"/>
              <w:jc w:val="center"/>
            </w:pPr>
            <w:r>
              <w:rPr>
                <w:sz w:val="20"/>
              </w:rPr>
              <w:t>14 days</w:t>
            </w:r>
          </w:p>
        </w:tc>
      </w:tr>
      <w:tr w:rsidR="002D5085" w14:paraId="0475CFA0" w14:textId="77777777" w:rsidTr="00813DE8">
        <w:trPr>
          <w:trHeight w:val="20"/>
        </w:trPr>
        <w:tc>
          <w:tcPr>
            <w:tcW w:w="3960" w:type="dxa"/>
            <w:tcBorders>
              <w:top w:val="single" w:sz="7" w:space="0" w:color="000000"/>
              <w:left w:val="single" w:sz="12" w:space="0" w:color="000000"/>
              <w:bottom w:val="single" w:sz="7" w:space="0" w:color="000000"/>
              <w:right w:val="single" w:sz="12" w:space="0" w:color="000000"/>
            </w:tcBorders>
          </w:tcPr>
          <w:p w14:paraId="70548C7B" w14:textId="77777777" w:rsidR="00B56D50" w:rsidRDefault="001C3C42">
            <w:pPr>
              <w:spacing w:after="0" w:line="259" w:lineRule="auto"/>
              <w:ind w:left="0" w:right="0" w:firstLine="0"/>
            </w:pPr>
            <w:r>
              <w:rPr>
                <w:sz w:val="20"/>
              </w:rPr>
              <w:t xml:space="preserve">Chemical Oxygen Demand COD </w:t>
            </w:r>
          </w:p>
        </w:tc>
        <w:tc>
          <w:tcPr>
            <w:tcW w:w="1530" w:type="dxa"/>
            <w:tcBorders>
              <w:top w:val="single" w:sz="7" w:space="0" w:color="000000"/>
              <w:left w:val="single" w:sz="12" w:space="0" w:color="000000"/>
              <w:bottom w:val="single" w:sz="7" w:space="0" w:color="000000"/>
              <w:right w:val="single" w:sz="12" w:space="0" w:color="000000"/>
            </w:tcBorders>
            <w:vAlign w:val="center"/>
          </w:tcPr>
          <w:p w14:paraId="769E37DA" w14:textId="09DD5FA7" w:rsidR="00B56D50" w:rsidRDefault="001C3C42" w:rsidP="00813DE8">
            <w:pPr>
              <w:spacing w:after="0" w:line="259" w:lineRule="auto"/>
              <w:ind w:left="0" w:right="41" w:firstLine="0"/>
              <w:jc w:val="center"/>
            </w:pPr>
            <w:r>
              <w:rPr>
                <w:sz w:val="20"/>
              </w:rPr>
              <w:t>NA</w:t>
            </w:r>
          </w:p>
        </w:tc>
        <w:tc>
          <w:tcPr>
            <w:tcW w:w="1710" w:type="dxa"/>
            <w:tcBorders>
              <w:top w:val="single" w:sz="7" w:space="0" w:color="000000"/>
              <w:left w:val="single" w:sz="12" w:space="0" w:color="000000"/>
              <w:bottom w:val="single" w:sz="7" w:space="0" w:color="000000"/>
              <w:right w:val="single" w:sz="12" w:space="0" w:color="000000"/>
            </w:tcBorders>
            <w:vAlign w:val="center"/>
          </w:tcPr>
          <w:p w14:paraId="39E9BFD2" w14:textId="2027882F" w:rsidR="00B56D50" w:rsidRDefault="00B56D50" w:rsidP="00D06C1C">
            <w:pPr>
              <w:spacing w:after="0" w:line="259" w:lineRule="auto"/>
              <w:ind w:left="0" w:right="0" w:firstLine="0"/>
            </w:pPr>
          </w:p>
        </w:tc>
        <w:tc>
          <w:tcPr>
            <w:tcW w:w="1980" w:type="dxa"/>
            <w:tcBorders>
              <w:top w:val="single" w:sz="7" w:space="0" w:color="000000"/>
              <w:left w:val="single" w:sz="12" w:space="0" w:color="000000"/>
              <w:bottom w:val="single" w:sz="7" w:space="0" w:color="000000"/>
              <w:right w:val="single" w:sz="12" w:space="0" w:color="000000"/>
            </w:tcBorders>
            <w:vAlign w:val="center"/>
          </w:tcPr>
          <w:p w14:paraId="5770C04B" w14:textId="27A041AD" w:rsidR="00B56D50" w:rsidRDefault="00B56D50" w:rsidP="00813DE8">
            <w:pPr>
              <w:spacing w:after="0" w:line="259" w:lineRule="auto"/>
              <w:ind w:left="7" w:right="0" w:firstLine="0"/>
              <w:jc w:val="center"/>
            </w:pPr>
          </w:p>
        </w:tc>
        <w:tc>
          <w:tcPr>
            <w:tcW w:w="1620" w:type="dxa"/>
            <w:tcBorders>
              <w:top w:val="single" w:sz="7" w:space="0" w:color="000000"/>
              <w:left w:val="single" w:sz="12" w:space="0" w:color="000000"/>
              <w:bottom w:val="single" w:sz="7" w:space="0" w:color="000000"/>
              <w:right w:val="single" w:sz="12" w:space="0" w:color="000000"/>
            </w:tcBorders>
            <w:vAlign w:val="center"/>
          </w:tcPr>
          <w:p w14:paraId="1B8DD165" w14:textId="4A045214" w:rsidR="00B56D50" w:rsidRDefault="001C3C42" w:rsidP="00813DE8">
            <w:pPr>
              <w:spacing w:after="0" w:line="259" w:lineRule="auto"/>
              <w:ind w:left="0" w:right="45" w:firstLine="0"/>
              <w:jc w:val="center"/>
            </w:pPr>
            <w:r>
              <w:rPr>
                <w:sz w:val="20"/>
              </w:rPr>
              <w:t>1-1 L   P, G</w:t>
            </w:r>
          </w:p>
        </w:tc>
        <w:tc>
          <w:tcPr>
            <w:tcW w:w="2520" w:type="dxa"/>
            <w:tcBorders>
              <w:top w:val="single" w:sz="7" w:space="0" w:color="000000"/>
              <w:left w:val="single" w:sz="12" w:space="0" w:color="000000"/>
              <w:bottom w:val="single" w:sz="7" w:space="0" w:color="000000"/>
              <w:right w:val="single" w:sz="12" w:space="0" w:color="000000"/>
            </w:tcBorders>
            <w:vAlign w:val="center"/>
          </w:tcPr>
          <w:p w14:paraId="2AA6C27F" w14:textId="231D0EF7" w:rsidR="00B56D50" w:rsidRDefault="001C3C42" w:rsidP="00813DE8">
            <w:pPr>
              <w:spacing w:after="0" w:line="259" w:lineRule="auto"/>
              <w:ind w:left="0" w:right="38" w:firstLine="0"/>
              <w:jc w:val="center"/>
            </w:pPr>
            <w:r>
              <w:rPr>
                <w:sz w:val="20"/>
              </w:rPr>
              <w:t>Ice (4</w:t>
            </w:r>
            <w:r>
              <w:rPr>
                <w:sz w:val="20"/>
                <w:vertAlign w:val="superscript"/>
              </w:rPr>
              <w:t>0</w:t>
            </w:r>
            <w:proofErr w:type="gramStart"/>
            <w:r w:rsidR="006E75AF">
              <w:rPr>
                <w:sz w:val="20"/>
              </w:rPr>
              <w:t>C)+</w:t>
            </w:r>
            <w:proofErr w:type="gramEnd"/>
            <w:r>
              <w:rPr>
                <w:sz w:val="20"/>
              </w:rPr>
              <w:t>H</w:t>
            </w:r>
            <w:r>
              <w:rPr>
                <w:sz w:val="20"/>
                <w:vertAlign w:val="subscript"/>
              </w:rPr>
              <w:t>2</w:t>
            </w:r>
            <w:r>
              <w:rPr>
                <w:sz w:val="20"/>
              </w:rPr>
              <w:t>SO</w:t>
            </w:r>
            <w:r>
              <w:rPr>
                <w:sz w:val="20"/>
                <w:vertAlign w:val="subscript"/>
              </w:rPr>
              <w:t>4</w:t>
            </w:r>
          </w:p>
        </w:tc>
        <w:tc>
          <w:tcPr>
            <w:tcW w:w="1440" w:type="dxa"/>
            <w:tcBorders>
              <w:top w:val="single" w:sz="7" w:space="0" w:color="000000"/>
              <w:left w:val="single" w:sz="12" w:space="0" w:color="000000"/>
              <w:bottom w:val="single" w:sz="7" w:space="0" w:color="000000"/>
              <w:right w:val="single" w:sz="12" w:space="0" w:color="000000"/>
            </w:tcBorders>
            <w:vAlign w:val="center"/>
          </w:tcPr>
          <w:p w14:paraId="5A803B75" w14:textId="468C8DC1" w:rsidR="00B56D50" w:rsidRDefault="001C3C42" w:rsidP="00813DE8">
            <w:pPr>
              <w:spacing w:after="0" w:line="259" w:lineRule="auto"/>
              <w:ind w:left="0" w:right="40" w:firstLine="0"/>
              <w:jc w:val="center"/>
            </w:pPr>
            <w:r>
              <w:rPr>
                <w:sz w:val="20"/>
              </w:rPr>
              <w:t>28 days</w:t>
            </w:r>
          </w:p>
        </w:tc>
      </w:tr>
      <w:tr w:rsidR="002D5085" w14:paraId="6405076B" w14:textId="77777777" w:rsidTr="008F2C33">
        <w:trPr>
          <w:trHeight w:val="20"/>
        </w:trPr>
        <w:tc>
          <w:tcPr>
            <w:tcW w:w="3960" w:type="dxa"/>
            <w:tcBorders>
              <w:top w:val="single" w:sz="7" w:space="0" w:color="000000"/>
              <w:left w:val="single" w:sz="12" w:space="0" w:color="000000"/>
              <w:bottom w:val="single" w:sz="7" w:space="0" w:color="000000"/>
              <w:right w:val="single" w:sz="12" w:space="0" w:color="000000"/>
            </w:tcBorders>
            <w:vAlign w:val="center"/>
          </w:tcPr>
          <w:p w14:paraId="36AAD19E" w14:textId="65392A7D" w:rsidR="00B56D50" w:rsidRDefault="001C3C42" w:rsidP="008F2C33">
            <w:pPr>
              <w:spacing w:after="0" w:line="259" w:lineRule="auto"/>
              <w:ind w:left="0" w:right="0" w:firstLine="0"/>
            </w:pPr>
            <w:r>
              <w:rPr>
                <w:sz w:val="20"/>
              </w:rPr>
              <w:t>Chloride (Cl</w:t>
            </w:r>
            <w:r>
              <w:rPr>
                <w:sz w:val="20"/>
                <w:vertAlign w:val="superscript"/>
              </w:rPr>
              <w:t>-</w:t>
            </w:r>
            <w:r>
              <w:rPr>
                <w:sz w:val="20"/>
              </w:rPr>
              <w:t>)</w:t>
            </w:r>
          </w:p>
        </w:tc>
        <w:tc>
          <w:tcPr>
            <w:tcW w:w="1530" w:type="dxa"/>
            <w:tcBorders>
              <w:top w:val="single" w:sz="7" w:space="0" w:color="000000"/>
              <w:left w:val="single" w:sz="12" w:space="0" w:color="000000"/>
              <w:bottom w:val="single" w:sz="7" w:space="0" w:color="000000"/>
              <w:right w:val="single" w:sz="12" w:space="0" w:color="000000"/>
            </w:tcBorders>
            <w:vAlign w:val="center"/>
          </w:tcPr>
          <w:p w14:paraId="52385F7B" w14:textId="19270E64" w:rsidR="00B56D50" w:rsidRDefault="001C3C42" w:rsidP="00813DE8">
            <w:pPr>
              <w:spacing w:after="0" w:line="259" w:lineRule="auto"/>
              <w:ind w:left="0" w:right="47" w:firstLine="0"/>
              <w:jc w:val="center"/>
            </w:pPr>
            <w:r>
              <w:rPr>
                <w:sz w:val="20"/>
              </w:rPr>
              <w:t>500 mL G</w:t>
            </w:r>
          </w:p>
        </w:tc>
        <w:tc>
          <w:tcPr>
            <w:tcW w:w="1710" w:type="dxa"/>
            <w:tcBorders>
              <w:top w:val="single" w:sz="7" w:space="0" w:color="000000"/>
              <w:left w:val="single" w:sz="12" w:space="0" w:color="000000"/>
              <w:bottom w:val="single" w:sz="7" w:space="0" w:color="000000"/>
              <w:right w:val="single" w:sz="12" w:space="0" w:color="000000"/>
            </w:tcBorders>
            <w:vAlign w:val="center"/>
          </w:tcPr>
          <w:p w14:paraId="57B3DDA7" w14:textId="0A5FCDAD" w:rsidR="00B56D50" w:rsidRDefault="001C3C42" w:rsidP="00813DE8">
            <w:pPr>
              <w:spacing w:after="0" w:line="259" w:lineRule="auto"/>
              <w:ind w:left="0" w:right="40" w:firstLine="0"/>
              <w:jc w:val="center"/>
            </w:pPr>
            <w:r>
              <w:rPr>
                <w:sz w:val="20"/>
              </w:rPr>
              <w:t>Ice (4</w:t>
            </w:r>
            <w:r>
              <w:rPr>
                <w:sz w:val="20"/>
                <w:vertAlign w:val="superscript"/>
              </w:rPr>
              <w:t>0</w:t>
            </w:r>
            <w:r>
              <w:rPr>
                <w:sz w:val="20"/>
              </w:rPr>
              <w:t>C)</w:t>
            </w:r>
          </w:p>
        </w:tc>
        <w:tc>
          <w:tcPr>
            <w:tcW w:w="1980" w:type="dxa"/>
            <w:tcBorders>
              <w:top w:val="single" w:sz="7" w:space="0" w:color="000000"/>
              <w:left w:val="single" w:sz="12" w:space="0" w:color="000000"/>
              <w:bottom w:val="single" w:sz="7" w:space="0" w:color="000000"/>
              <w:right w:val="single" w:sz="12" w:space="0" w:color="000000"/>
            </w:tcBorders>
            <w:vAlign w:val="center"/>
          </w:tcPr>
          <w:p w14:paraId="2A4B460E" w14:textId="186213EE" w:rsidR="00B56D50" w:rsidRDefault="001C3C42" w:rsidP="00813DE8">
            <w:pPr>
              <w:spacing w:after="0" w:line="259" w:lineRule="auto"/>
              <w:ind w:left="0" w:right="42" w:firstLine="0"/>
              <w:jc w:val="center"/>
            </w:pPr>
            <w:r>
              <w:rPr>
                <w:sz w:val="20"/>
              </w:rPr>
              <w:t>28 days</w:t>
            </w:r>
          </w:p>
        </w:tc>
        <w:tc>
          <w:tcPr>
            <w:tcW w:w="1620" w:type="dxa"/>
            <w:tcBorders>
              <w:top w:val="single" w:sz="7" w:space="0" w:color="000000"/>
              <w:left w:val="single" w:sz="12" w:space="0" w:color="000000"/>
              <w:bottom w:val="single" w:sz="7" w:space="0" w:color="000000"/>
              <w:right w:val="single" w:sz="12" w:space="0" w:color="000000"/>
            </w:tcBorders>
            <w:vAlign w:val="center"/>
          </w:tcPr>
          <w:p w14:paraId="24CB60A1" w14:textId="05A36024" w:rsidR="00B56D50" w:rsidRDefault="001C3C42" w:rsidP="00813DE8">
            <w:pPr>
              <w:spacing w:after="0" w:line="259" w:lineRule="auto"/>
              <w:ind w:left="0" w:right="45" w:firstLine="0"/>
              <w:jc w:val="center"/>
            </w:pPr>
            <w:r>
              <w:rPr>
                <w:sz w:val="20"/>
              </w:rPr>
              <w:t>1-1 L   P, G</w:t>
            </w:r>
          </w:p>
        </w:tc>
        <w:tc>
          <w:tcPr>
            <w:tcW w:w="2520" w:type="dxa"/>
            <w:tcBorders>
              <w:top w:val="single" w:sz="7" w:space="0" w:color="000000"/>
              <w:left w:val="single" w:sz="12" w:space="0" w:color="000000"/>
              <w:bottom w:val="single" w:sz="7" w:space="0" w:color="000000"/>
              <w:right w:val="single" w:sz="12" w:space="0" w:color="000000"/>
            </w:tcBorders>
            <w:vAlign w:val="center"/>
          </w:tcPr>
          <w:p w14:paraId="2946B64A" w14:textId="67ABEDE9" w:rsidR="00B56D50" w:rsidRDefault="001C3C42" w:rsidP="00813DE8">
            <w:pPr>
              <w:spacing w:after="0" w:line="259" w:lineRule="auto"/>
              <w:ind w:left="0" w:right="37" w:firstLine="0"/>
              <w:jc w:val="center"/>
            </w:pPr>
            <w:r>
              <w:rPr>
                <w:sz w:val="20"/>
              </w:rPr>
              <w:t>Ice (4</w:t>
            </w:r>
            <w:r>
              <w:rPr>
                <w:sz w:val="20"/>
                <w:vertAlign w:val="superscript"/>
              </w:rPr>
              <w:t>0</w:t>
            </w:r>
            <w:r>
              <w:rPr>
                <w:sz w:val="20"/>
              </w:rPr>
              <w:t>C)</w:t>
            </w:r>
          </w:p>
        </w:tc>
        <w:tc>
          <w:tcPr>
            <w:tcW w:w="1440" w:type="dxa"/>
            <w:tcBorders>
              <w:top w:val="single" w:sz="7" w:space="0" w:color="000000"/>
              <w:left w:val="single" w:sz="12" w:space="0" w:color="000000"/>
              <w:bottom w:val="single" w:sz="7" w:space="0" w:color="000000"/>
              <w:right w:val="single" w:sz="12" w:space="0" w:color="000000"/>
            </w:tcBorders>
            <w:vAlign w:val="center"/>
          </w:tcPr>
          <w:p w14:paraId="18CBF865" w14:textId="49D3039F" w:rsidR="00B56D50" w:rsidRDefault="001C3C42" w:rsidP="00813DE8">
            <w:pPr>
              <w:spacing w:after="0" w:line="259" w:lineRule="auto"/>
              <w:ind w:left="0" w:right="40" w:firstLine="0"/>
              <w:jc w:val="center"/>
            </w:pPr>
            <w:r>
              <w:rPr>
                <w:sz w:val="20"/>
              </w:rPr>
              <w:t>28 days</w:t>
            </w:r>
          </w:p>
        </w:tc>
      </w:tr>
      <w:tr w:rsidR="002D5085" w14:paraId="7D2620D7" w14:textId="77777777" w:rsidTr="008F2C33">
        <w:trPr>
          <w:trHeight w:val="20"/>
        </w:trPr>
        <w:tc>
          <w:tcPr>
            <w:tcW w:w="3960" w:type="dxa"/>
            <w:tcBorders>
              <w:top w:val="single" w:sz="7" w:space="0" w:color="000000"/>
              <w:left w:val="single" w:sz="12" w:space="0" w:color="000000"/>
              <w:bottom w:val="single" w:sz="7" w:space="0" w:color="000000"/>
              <w:right w:val="single" w:sz="12" w:space="0" w:color="000000"/>
            </w:tcBorders>
          </w:tcPr>
          <w:p w14:paraId="354FB0CA" w14:textId="30E53020" w:rsidR="00B56D50" w:rsidRDefault="001C3C42">
            <w:pPr>
              <w:spacing w:after="0" w:line="259" w:lineRule="auto"/>
              <w:ind w:left="0" w:right="0" w:firstLine="0"/>
            </w:pPr>
            <w:r>
              <w:rPr>
                <w:sz w:val="20"/>
              </w:rPr>
              <w:t xml:space="preserve">Chlorine, Residual </w:t>
            </w:r>
          </w:p>
        </w:tc>
        <w:tc>
          <w:tcPr>
            <w:tcW w:w="1530" w:type="dxa"/>
            <w:tcBorders>
              <w:top w:val="single" w:sz="7" w:space="0" w:color="000000"/>
              <w:left w:val="single" w:sz="12" w:space="0" w:color="000000"/>
              <w:bottom w:val="single" w:sz="7" w:space="0" w:color="000000"/>
              <w:right w:val="single" w:sz="12" w:space="0" w:color="000000"/>
            </w:tcBorders>
          </w:tcPr>
          <w:p w14:paraId="4D3E0EC6" w14:textId="6373F77E" w:rsidR="00B56D50" w:rsidRDefault="001C3C42">
            <w:pPr>
              <w:spacing w:after="0" w:line="259" w:lineRule="auto"/>
              <w:ind w:left="0" w:right="41" w:firstLine="0"/>
              <w:jc w:val="center"/>
            </w:pPr>
            <w:r>
              <w:rPr>
                <w:sz w:val="20"/>
              </w:rPr>
              <w:t>NA</w:t>
            </w:r>
          </w:p>
        </w:tc>
        <w:tc>
          <w:tcPr>
            <w:tcW w:w="1710" w:type="dxa"/>
            <w:tcBorders>
              <w:top w:val="single" w:sz="7" w:space="0" w:color="000000"/>
              <w:left w:val="single" w:sz="12" w:space="0" w:color="000000"/>
              <w:bottom w:val="single" w:sz="7" w:space="0" w:color="000000"/>
              <w:right w:val="single" w:sz="12" w:space="0" w:color="000000"/>
            </w:tcBorders>
          </w:tcPr>
          <w:p w14:paraId="2FAC1A49" w14:textId="3DCF121F" w:rsidR="00B56D50" w:rsidRDefault="00B56D50" w:rsidP="00D06C1C">
            <w:pPr>
              <w:spacing w:after="0" w:line="259" w:lineRule="auto"/>
              <w:ind w:left="8" w:right="0" w:firstLine="0"/>
              <w:jc w:val="center"/>
            </w:pPr>
          </w:p>
        </w:tc>
        <w:tc>
          <w:tcPr>
            <w:tcW w:w="1980" w:type="dxa"/>
            <w:tcBorders>
              <w:top w:val="single" w:sz="7" w:space="0" w:color="000000"/>
              <w:left w:val="single" w:sz="12" w:space="0" w:color="000000"/>
              <w:bottom w:val="single" w:sz="7" w:space="0" w:color="000000"/>
              <w:right w:val="single" w:sz="12" w:space="0" w:color="000000"/>
            </w:tcBorders>
          </w:tcPr>
          <w:p w14:paraId="5BF99F05" w14:textId="02C6E00B" w:rsidR="00B56D50" w:rsidRDefault="00B56D50" w:rsidP="00007B8B">
            <w:pPr>
              <w:spacing w:after="0" w:line="259" w:lineRule="auto"/>
              <w:ind w:left="7" w:right="0" w:firstLine="0"/>
              <w:jc w:val="center"/>
            </w:pPr>
          </w:p>
        </w:tc>
        <w:tc>
          <w:tcPr>
            <w:tcW w:w="1620" w:type="dxa"/>
            <w:tcBorders>
              <w:top w:val="single" w:sz="7" w:space="0" w:color="000000"/>
              <w:left w:val="single" w:sz="12" w:space="0" w:color="000000"/>
              <w:bottom w:val="single" w:sz="7" w:space="0" w:color="000000"/>
              <w:right w:val="single" w:sz="12" w:space="0" w:color="000000"/>
            </w:tcBorders>
          </w:tcPr>
          <w:p w14:paraId="156433C2" w14:textId="783CC364" w:rsidR="00B56D50" w:rsidRDefault="001C3C42" w:rsidP="00007B8B">
            <w:pPr>
              <w:spacing w:after="0" w:line="259" w:lineRule="auto"/>
              <w:ind w:left="0" w:right="46" w:firstLine="0"/>
              <w:jc w:val="center"/>
            </w:pPr>
            <w:r>
              <w:rPr>
                <w:sz w:val="20"/>
              </w:rPr>
              <w:t>1-500 mL P</w:t>
            </w:r>
          </w:p>
        </w:tc>
        <w:tc>
          <w:tcPr>
            <w:tcW w:w="2520" w:type="dxa"/>
            <w:tcBorders>
              <w:top w:val="single" w:sz="7" w:space="0" w:color="000000"/>
              <w:left w:val="single" w:sz="12" w:space="0" w:color="000000"/>
              <w:bottom w:val="single" w:sz="7" w:space="0" w:color="000000"/>
              <w:right w:val="single" w:sz="12" w:space="0" w:color="000000"/>
            </w:tcBorders>
          </w:tcPr>
          <w:p w14:paraId="01DA5CB1" w14:textId="4DEC9E41" w:rsidR="00B56D50" w:rsidRDefault="001C3C42" w:rsidP="00007B8B">
            <w:pPr>
              <w:spacing w:after="0" w:line="259" w:lineRule="auto"/>
              <w:ind w:left="0" w:right="37" w:firstLine="0"/>
              <w:jc w:val="center"/>
            </w:pPr>
            <w:r>
              <w:rPr>
                <w:sz w:val="20"/>
              </w:rPr>
              <w:t>Ice (4</w:t>
            </w:r>
            <w:r>
              <w:rPr>
                <w:sz w:val="20"/>
                <w:vertAlign w:val="superscript"/>
              </w:rPr>
              <w:t>0</w:t>
            </w:r>
            <w:r>
              <w:rPr>
                <w:sz w:val="20"/>
              </w:rPr>
              <w:t>C)</w:t>
            </w:r>
          </w:p>
        </w:tc>
        <w:tc>
          <w:tcPr>
            <w:tcW w:w="1440" w:type="dxa"/>
            <w:tcBorders>
              <w:top w:val="single" w:sz="7" w:space="0" w:color="000000"/>
              <w:left w:val="single" w:sz="12" w:space="0" w:color="000000"/>
              <w:bottom w:val="single" w:sz="7" w:space="0" w:color="000000"/>
              <w:right w:val="single" w:sz="12" w:space="0" w:color="000000"/>
            </w:tcBorders>
          </w:tcPr>
          <w:p w14:paraId="1994D117" w14:textId="3BFFFF53" w:rsidR="00B56D50" w:rsidRDefault="001C3C42" w:rsidP="00007B8B">
            <w:pPr>
              <w:spacing w:after="0" w:line="259" w:lineRule="auto"/>
              <w:ind w:left="19" w:right="0" w:firstLine="0"/>
            </w:pPr>
            <w:r>
              <w:rPr>
                <w:sz w:val="20"/>
              </w:rPr>
              <w:t>Immediately</w:t>
            </w:r>
          </w:p>
        </w:tc>
      </w:tr>
      <w:tr w:rsidR="002D5085" w14:paraId="643000AC" w14:textId="77777777" w:rsidTr="008F2C33">
        <w:trPr>
          <w:trHeight w:val="20"/>
        </w:trPr>
        <w:tc>
          <w:tcPr>
            <w:tcW w:w="3960" w:type="dxa"/>
            <w:tcBorders>
              <w:top w:val="single" w:sz="7" w:space="0" w:color="000000"/>
              <w:left w:val="single" w:sz="12" w:space="0" w:color="000000"/>
              <w:bottom w:val="single" w:sz="7" w:space="0" w:color="000000"/>
              <w:right w:val="single" w:sz="12" w:space="0" w:color="000000"/>
            </w:tcBorders>
          </w:tcPr>
          <w:p w14:paraId="3AC6CEDE" w14:textId="77777777" w:rsidR="00B56D50" w:rsidRDefault="001C3C42">
            <w:pPr>
              <w:spacing w:after="0" w:line="259" w:lineRule="auto"/>
              <w:ind w:left="0" w:right="0" w:firstLine="0"/>
            </w:pPr>
            <w:r>
              <w:rPr>
                <w:sz w:val="20"/>
              </w:rPr>
              <w:t>Cyanide (CN</w:t>
            </w:r>
            <w:r>
              <w:rPr>
                <w:sz w:val="20"/>
                <w:vertAlign w:val="superscript"/>
              </w:rPr>
              <w:t>-</w:t>
            </w:r>
            <w:r>
              <w:rPr>
                <w:sz w:val="20"/>
              </w:rPr>
              <w:t xml:space="preserve">) </w:t>
            </w:r>
          </w:p>
        </w:tc>
        <w:tc>
          <w:tcPr>
            <w:tcW w:w="1530" w:type="dxa"/>
            <w:tcBorders>
              <w:top w:val="single" w:sz="7" w:space="0" w:color="000000"/>
              <w:left w:val="single" w:sz="12" w:space="0" w:color="000000"/>
              <w:bottom w:val="single" w:sz="7" w:space="0" w:color="000000"/>
              <w:right w:val="single" w:sz="12" w:space="0" w:color="000000"/>
            </w:tcBorders>
          </w:tcPr>
          <w:p w14:paraId="77FAF0BD" w14:textId="77777777" w:rsidR="00B56D50" w:rsidRDefault="001C3C42">
            <w:pPr>
              <w:spacing w:after="0" w:line="259" w:lineRule="auto"/>
              <w:ind w:left="0" w:right="47" w:firstLine="0"/>
              <w:jc w:val="center"/>
            </w:pPr>
            <w:r>
              <w:rPr>
                <w:sz w:val="20"/>
              </w:rPr>
              <w:t xml:space="preserve">500 mL G </w:t>
            </w:r>
          </w:p>
        </w:tc>
        <w:tc>
          <w:tcPr>
            <w:tcW w:w="1710" w:type="dxa"/>
            <w:tcBorders>
              <w:top w:val="single" w:sz="7" w:space="0" w:color="000000"/>
              <w:left w:val="single" w:sz="12" w:space="0" w:color="000000"/>
              <w:bottom w:val="single" w:sz="7" w:space="0" w:color="000000"/>
              <w:right w:val="single" w:sz="12" w:space="0" w:color="000000"/>
            </w:tcBorders>
          </w:tcPr>
          <w:p w14:paraId="70F2778C" w14:textId="77777777" w:rsidR="00B56D50" w:rsidRDefault="001C3C42">
            <w:pPr>
              <w:spacing w:after="0" w:line="259" w:lineRule="auto"/>
              <w:ind w:left="0" w:right="40" w:firstLine="0"/>
              <w:jc w:val="center"/>
            </w:pPr>
            <w:r>
              <w:rPr>
                <w:sz w:val="20"/>
              </w:rPr>
              <w:t>Ice (4</w:t>
            </w:r>
            <w:r>
              <w:rPr>
                <w:sz w:val="20"/>
                <w:vertAlign w:val="superscript"/>
              </w:rPr>
              <w:t>0</w:t>
            </w:r>
            <w:r>
              <w:rPr>
                <w:sz w:val="20"/>
              </w:rPr>
              <w:t xml:space="preserve">C) </w:t>
            </w:r>
          </w:p>
        </w:tc>
        <w:tc>
          <w:tcPr>
            <w:tcW w:w="1980" w:type="dxa"/>
            <w:tcBorders>
              <w:top w:val="single" w:sz="7" w:space="0" w:color="000000"/>
              <w:left w:val="single" w:sz="12" w:space="0" w:color="000000"/>
              <w:bottom w:val="single" w:sz="7" w:space="0" w:color="000000"/>
              <w:right w:val="single" w:sz="12" w:space="0" w:color="000000"/>
            </w:tcBorders>
          </w:tcPr>
          <w:p w14:paraId="20E11D7D" w14:textId="77777777" w:rsidR="00B56D50" w:rsidRDefault="001C3C42">
            <w:pPr>
              <w:spacing w:after="0" w:line="259" w:lineRule="auto"/>
              <w:ind w:left="0" w:right="42" w:firstLine="0"/>
              <w:jc w:val="center"/>
            </w:pPr>
            <w:r>
              <w:rPr>
                <w:sz w:val="20"/>
              </w:rPr>
              <w:t xml:space="preserve">14 days </w:t>
            </w:r>
          </w:p>
        </w:tc>
        <w:tc>
          <w:tcPr>
            <w:tcW w:w="1620" w:type="dxa"/>
            <w:tcBorders>
              <w:top w:val="single" w:sz="7" w:space="0" w:color="000000"/>
              <w:left w:val="single" w:sz="12" w:space="0" w:color="000000"/>
              <w:bottom w:val="single" w:sz="7" w:space="0" w:color="000000"/>
              <w:right w:val="single" w:sz="12" w:space="0" w:color="000000"/>
            </w:tcBorders>
          </w:tcPr>
          <w:p w14:paraId="7734FFFA" w14:textId="77777777" w:rsidR="00B56D50" w:rsidRDefault="001C3C42">
            <w:pPr>
              <w:spacing w:after="0" w:line="259" w:lineRule="auto"/>
              <w:ind w:left="0" w:right="45" w:firstLine="0"/>
              <w:jc w:val="center"/>
            </w:pPr>
            <w:r>
              <w:rPr>
                <w:sz w:val="20"/>
              </w:rPr>
              <w:t xml:space="preserve">1-1 L   P, G </w:t>
            </w:r>
          </w:p>
        </w:tc>
        <w:tc>
          <w:tcPr>
            <w:tcW w:w="2520" w:type="dxa"/>
            <w:tcBorders>
              <w:top w:val="single" w:sz="7" w:space="0" w:color="000000"/>
              <w:left w:val="single" w:sz="12" w:space="0" w:color="000000"/>
              <w:bottom w:val="single" w:sz="7" w:space="0" w:color="000000"/>
              <w:right w:val="single" w:sz="12" w:space="0" w:color="000000"/>
            </w:tcBorders>
          </w:tcPr>
          <w:p w14:paraId="474D032B" w14:textId="21C539C7" w:rsidR="00B56D50" w:rsidRDefault="001C3C42">
            <w:pPr>
              <w:spacing w:after="0" w:line="259" w:lineRule="auto"/>
              <w:ind w:left="0" w:right="44" w:firstLine="0"/>
              <w:jc w:val="center"/>
            </w:pPr>
            <w:r>
              <w:rPr>
                <w:sz w:val="20"/>
              </w:rPr>
              <w:t xml:space="preserve">1 ml 50% </w:t>
            </w:r>
            <w:proofErr w:type="spellStart"/>
            <w:r>
              <w:rPr>
                <w:sz w:val="20"/>
              </w:rPr>
              <w:t>NaOH+Ice</w:t>
            </w:r>
            <w:proofErr w:type="spellEnd"/>
            <w:r>
              <w:rPr>
                <w:sz w:val="20"/>
              </w:rPr>
              <w:t xml:space="preserve"> </w:t>
            </w:r>
            <w:r w:rsidR="007451B1">
              <w:rPr>
                <w:sz w:val="20"/>
              </w:rPr>
              <w:t>(</w:t>
            </w:r>
            <w:r>
              <w:rPr>
                <w:sz w:val="20"/>
              </w:rPr>
              <w:t>4</w:t>
            </w:r>
            <w:r>
              <w:rPr>
                <w:sz w:val="20"/>
                <w:vertAlign w:val="superscript"/>
              </w:rPr>
              <w:t>0</w:t>
            </w:r>
            <w:r>
              <w:rPr>
                <w:sz w:val="20"/>
              </w:rPr>
              <w:t>C</w:t>
            </w:r>
            <w:r w:rsidR="007451B1">
              <w:rPr>
                <w:sz w:val="20"/>
              </w:rPr>
              <w:t>)</w:t>
            </w:r>
            <w:r>
              <w:rPr>
                <w:sz w:val="20"/>
              </w:rPr>
              <w:t xml:space="preserve"> </w:t>
            </w:r>
          </w:p>
        </w:tc>
        <w:tc>
          <w:tcPr>
            <w:tcW w:w="1440" w:type="dxa"/>
            <w:tcBorders>
              <w:top w:val="single" w:sz="7" w:space="0" w:color="000000"/>
              <w:left w:val="single" w:sz="12" w:space="0" w:color="000000"/>
              <w:bottom w:val="single" w:sz="7" w:space="0" w:color="000000"/>
              <w:right w:val="single" w:sz="12" w:space="0" w:color="000000"/>
            </w:tcBorders>
          </w:tcPr>
          <w:p w14:paraId="707F7171" w14:textId="77777777" w:rsidR="00B56D50" w:rsidRDefault="001C3C42">
            <w:pPr>
              <w:spacing w:after="0" w:line="259" w:lineRule="auto"/>
              <w:ind w:left="0" w:right="40" w:firstLine="0"/>
              <w:jc w:val="center"/>
            </w:pPr>
            <w:r>
              <w:rPr>
                <w:sz w:val="20"/>
              </w:rPr>
              <w:t xml:space="preserve">14 days </w:t>
            </w:r>
          </w:p>
        </w:tc>
      </w:tr>
      <w:tr w:rsidR="002D5085" w14:paraId="52CFF874" w14:textId="77777777" w:rsidTr="00F105E6">
        <w:trPr>
          <w:trHeight w:val="20"/>
        </w:trPr>
        <w:tc>
          <w:tcPr>
            <w:tcW w:w="3960" w:type="dxa"/>
            <w:tcBorders>
              <w:top w:val="single" w:sz="7" w:space="0" w:color="000000"/>
              <w:left w:val="single" w:sz="12" w:space="0" w:color="000000"/>
              <w:bottom w:val="single" w:sz="7" w:space="0" w:color="000000"/>
              <w:right w:val="single" w:sz="12" w:space="0" w:color="000000"/>
            </w:tcBorders>
          </w:tcPr>
          <w:p w14:paraId="507CC033" w14:textId="1A2F02D9" w:rsidR="00B56D50" w:rsidRDefault="001C3C42">
            <w:pPr>
              <w:spacing w:after="0" w:line="259" w:lineRule="auto"/>
              <w:ind w:left="0" w:right="0" w:firstLine="0"/>
            </w:pPr>
            <w:r>
              <w:rPr>
                <w:sz w:val="20"/>
              </w:rPr>
              <w:t>Fluoride</w:t>
            </w:r>
          </w:p>
        </w:tc>
        <w:tc>
          <w:tcPr>
            <w:tcW w:w="1530" w:type="dxa"/>
            <w:tcBorders>
              <w:top w:val="single" w:sz="7" w:space="0" w:color="000000"/>
              <w:left w:val="single" w:sz="12" w:space="0" w:color="000000"/>
              <w:bottom w:val="single" w:sz="2" w:space="0" w:color="000000"/>
              <w:right w:val="single" w:sz="12" w:space="0" w:color="000000"/>
            </w:tcBorders>
          </w:tcPr>
          <w:p w14:paraId="5CE6409D" w14:textId="77777777" w:rsidR="00B56D50" w:rsidRDefault="001C3C42">
            <w:pPr>
              <w:spacing w:after="0" w:line="259" w:lineRule="auto"/>
              <w:ind w:left="0" w:right="47" w:firstLine="0"/>
              <w:jc w:val="center"/>
            </w:pPr>
            <w:r>
              <w:rPr>
                <w:sz w:val="20"/>
              </w:rPr>
              <w:t xml:space="preserve">500 mL G </w:t>
            </w:r>
          </w:p>
        </w:tc>
        <w:tc>
          <w:tcPr>
            <w:tcW w:w="1710" w:type="dxa"/>
            <w:tcBorders>
              <w:top w:val="single" w:sz="7" w:space="0" w:color="000000"/>
              <w:left w:val="single" w:sz="12" w:space="0" w:color="000000"/>
              <w:bottom w:val="single" w:sz="7" w:space="0" w:color="000000"/>
              <w:right w:val="single" w:sz="12" w:space="0" w:color="000000"/>
            </w:tcBorders>
          </w:tcPr>
          <w:p w14:paraId="0D095367" w14:textId="061171D3" w:rsidR="00B56D50" w:rsidRDefault="001C3C42" w:rsidP="0010194A">
            <w:pPr>
              <w:spacing w:after="0" w:line="259" w:lineRule="auto"/>
              <w:ind w:left="0" w:right="40" w:firstLine="0"/>
              <w:jc w:val="center"/>
            </w:pPr>
            <w:r>
              <w:rPr>
                <w:sz w:val="20"/>
              </w:rPr>
              <w:t>Ice (4</w:t>
            </w:r>
            <w:r>
              <w:rPr>
                <w:sz w:val="20"/>
                <w:vertAlign w:val="superscript"/>
              </w:rPr>
              <w:t>0</w:t>
            </w:r>
            <w:r>
              <w:rPr>
                <w:sz w:val="20"/>
              </w:rPr>
              <w:t xml:space="preserve">C) </w:t>
            </w:r>
          </w:p>
        </w:tc>
        <w:tc>
          <w:tcPr>
            <w:tcW w:w="1980" w:type="dxa"/>
            <w:tcBorders>
              <w:top w:val="single" w:sz="7" w:space="0" w:color="000000"/>
              <w:left w:val="single" w:sz="12" w:space="0" w:color="000000"/>
              <w:bottom w:val="single" w:sz="7" w:space="0" w:color="000000"/>
              <w:right w:val="single" w:sz="12" w:space="0" w:color="000000"/>
            </w:tcBorders>
          </w:tcPr>
          <w:p w14:paraId="2CFE4883" w14:textId="206E8310" w:rsidR="00B56D50" w:rsidRDefault="001C3C42" w:rsidP="004703D4">
            <w:pPr>
              <w:spacing w:after="0" w:line="259" w:lineRule="auto"/>
              <w:ind w:left="0" w:right="42" w:firstLine="0"/>
              <w:jc w:val="center"/>
            </w:pPr>
            <w:r>
              <w:rPr>
                <w:sz w:val="20"/>
              </w:rPr>
              <w:t>28 days</w:t>
            </w:r>
          </w:p>
        </w:tc>
        <w:tc>
          <w:tcPr>
            <w:tcW w:w="1620" w:type="dxa"/>
            <w:tcBorders>
              <w:top w:val="single" w:sz="7" w:space="0" w:color="000000"/>
              <w:left w:val="single" w:sz="12" w:space="0" w:color="000000"/>
              <w:bottom w:val="single" w:sz="7" w:space="0" w:color="000000"/>
              <w:right w:val="single" w:sz="12" w:space="0" w:color="000000"/>
            </w:tcBorders>
          </w:tcPr>
          <w:p w14:paraId="0C400410" w14:textId="76A19C02" w:rsidR="00B56D50" w:rsidRDefault="001C3C42" w:rsidP="004703D4">
            <w:pPr>
              <w:spacing w:after="0" w:line="259" w:lineRule="auto"/>
              <w:ind w:left="0" w:right="45" w:firstLine="0"/>
              <w:jc w:val="center"/>
            </w:pPr>
            <w:r>
              <w:rPr>
                <w:sz w:val="20"/>
              </w:rPr>
              <w:t>1-1 L   P, G</w:t>
            </w:r>
          </w:p>
        </w:tc>
        <w:tc>
          <w:tcPr>
            <w:tcW w:w="2520" w:type="dxa"/>
            <w:tcBorders>
              <w:top w:val="single" w:sz="7" w:space="0" w:color="000000"/>
              <w:left w:val="single" w:sz="12" w:space="0" w:color="000000"/>
              <w:bottom w:val="single" w:sz="7" w:space="0" w:color="000000"/>
              <w:right w:val="single" w:sz="12" w:space="0" w:color="000000"/>
            </w:tcBorders>
          </w:tcPr>
          <w:p w14:paraId="0B083B7B" w14:textId="4135BFAC" w:rsidR="00B56D50" w:rsidRDefault="001C3C42" w:rsidP="004703D4">
            <w:pPr>
              <w:spacing w:after="0" w:line="259" w:lineRule="auto"/>
              <w:ind w:left="0" w:right="37" w:firstLine="0"/>
              <w:jc w:val="center"/>
            </w:pPr>
            <w:r>
              <w:rPr>
                <w:sz w:val="20"/>
              </w:rPr>
              <w:t>Ice (4</w:t>
            </w:r>
            <w:r>
              <w:rPr>
                <w:sz w:val="20"/>
                <w:vertAlign w:val="superscript"/>
              </w:rPr>
              <w:t>0</w:t>
            </w:r>
            <w:r>
              <w:rPr>
                <w:sz w:val="20"/>
              </w:rPr>
              <w:t>C)</w:t>
            </w:r>
          </w:p>
        </w:tc>
        <w:tc>
          <w:tcPr>
            <w:tcW w:w="1440" w:type="dxa"/>
            <w:tcBorders>
              <w:top w:val="single" w:sz="7" w:space="0" w:color="000000"/>
              <w:left w:val="single" w:sz="12" w:space="0" w:color="000000"/>
              <w:bottom w:val="single" w:sz="7" w:space="0" w:color="000000"/>
              <w:right w:val="single" w:sz="12" w:space="0" w:color="000000"/>
            </w:tcBorders>
            <w:vAlign w:val="center"/>
          </w:tcPr>
          <w:p w14:paraId="561A8793" w14:textId="1CE5615D" w:rsidR="00B56D50" w:rsidRDefault="001C3C42" w:rsidP="00EC7569">
            <w:pPr>
              <w:spacing w:after="0" w:line="259" w:lineRule="auto"/>
              <w:ind w:left="0" w:right="40" w:firstLine="0"/>
              <w:jc w:val="center"/>
            </w:pPr>
            <w:r>
              <w:rPr>
                <w:sz w:val="20"/>
              </w:rPr>
              <w:t>28 days</w:t>
            </w:r>
          </w:p>
        </w:tc>
      </w:tr>
      <w:tr w:rsidR="006153D2" w14:paraId="18D6F877" w14:textId="77777777" w:rsidTr="00F105E6">
        <w:trPr>
          <w:trHeight w:val="20"/>
        </w:trPr>
        <w:tc>
          <w:tcPr>
            <w:tcW w:w="3960" w:type="dxa"/>
            <w:tcBorders>
              <w:top w:val="single" w:sz="7" w:space="0" w:color="000000"/>
              <w:left w:val="single" w:sz="12" w:space="0" w:color="000000"/>
              <w:bottom w:val="single" w:sz="12" w:space="0" w:color="000000"/>
              <w:right w:val="single" w:sz="12" w:space="0" w:color="000000"/>
            </w:tcBorders>
          </w:tcPr>
          <w:p w14:paraId="0F7B631E" w14:textId="77777777" w:rsidR="00B56D50" w:rsidRDefault="001C3C42">
            <w:pPr>
              <w:spacing w:after="0" w:line="259" w:lineRule="auto"/>
              <w:ind w:left="0" w:right="0" w:firstLine="0"/>
            </w:pPr>
            <w:r>
              <w:rPr>
                <w:sz w:val="20"/>
              </w:rPr>
              <w:t xml:space="preserve">Hardness </w:t>
            </w:r>
          </w:p>
        </w:tc>
        <w:tc>
          <w:tcPr>
            <w:tcW w:w="1530" w:type="dxa"/>
            <w:tcBorders>
              <w:top w:val="single" w:sz="2" w:space="0" w:color="000000"/>
              <w:left w:val="single" w:sz="12" w:space="0" w:color="000000"/>
              <w:bottom w:val="single" w:sz="12" w:space="0" w:color="000000"/>
              <w:right w:val="single" w:sz="12" w:space="0" w:color="000000"/>
            </w:tcBorders>
          </w:tcPr>
          <w:p w14:paraId="0B963BBC" w14:textId="77777777" w:rsidR="00B56D50" w:rsidRDefault="001C3C42">
            <w:pPr>
              <w:spacing w:after="0" w:line="259" w:lineRule="auto"/>
              <w:ind w:left="0" w:right="41" w:firstLine="0"/>
              <w:jc w:val="center"/>
            </w:pPr>
            <w:r>
              <w:rPr>
                <w:sz w:val="20"/>
              </w:rPr>
              <w:t xml:space="preserve">NA </w:t>
            </w:r>
          </w:p>
        </w:tc>
        <w:tc>
          <w:tcPr>
            <w:tcW w:w="1710" w:type="dxa"/>
            <w:tcBorders>
              <w:top w:val="single" w:sz="7" w:space="0" w:color="000000"/>
              <w:left w:val="single" w:sz="12" w:space="0" w:color="000000"/>
              <w:bottom w:val="single" w:sz="12" w:space="0" w:color="000000"/>
              <w:right w:val="single" w:sz="12" w:space="0" w:color="000000"/>
            </w:tcBorders>
          </w:tcPr>
          <w:p w14:paraId="1D7E59DD" w14:textId="77777777" w:rsidR="00B56D50" w:rsidRDefault="001C3C42">
            <w:pPr>
              <w:spacing w:after="0" w:line="259" w:lineRule="auto"/>
              <w:ind w:left="8" w:right="0" w:firstLine="0"/>
              <w:jc w:val="center"/>
            </w:pPr>
            <w:r>
              <w:rPr>
                <w:sz w:val="20"/>
              </w:rPr>
              <w:t xml:space="preserve"> </w:t>
            </w:r>
          </w:p>
        </w:tc>
        <w:tc>
          <w:tcPr>
            <w:tcW w:w="1980" w:type="dxa"/>
            <w:tcBorders>
              <w:top w:val="single" w:sz="7" w:space="0" w:color="000000"/>
              <w:left w:val="single" w:sz="12" w:space="0" w:color="000000"/>
              <w:bottom w:val="single" w:sz="12" w:space="0" w:color="000000"/>
              <w:right w:val="single" w:sz="12" w:space="0" w:color="000000"/>
            </w:tcBorders>
          </w:tcPr>
          <w:p w14:paraId="134A4077" w14:textId="77777777" w:rsidR="00B56D50" w:rsidRDefault="001C3C42">
            <w:pPr>
              <w:spacing w:after="0" w:line="259" w:lineRule="auto"/>
              <w:ind w:left="7" w:right="0" w:firstLine="0"/>
              <w:jc w:val="center"/>
            </w:pPr>
            <w:r>
              <w:rPr>
                <w:sz w:val="20"/>
              </w:rPr>
              <w:t xml:space="preserve"> </w:t>
            </w:r>
          </w:p>
        </w:tc>
        <w:tc>
          <w:tcPr>
            <w:tcW w:w="1620" w:type="dxa"/>
            <w:tcBorders>
              <w:top w:val="single" w:sz="7" w:space="0" w:color="000000"/>
              <w:left w:val="single" w:sz="12" w:space="0" w:color="000000"/>
              <w:bottom w:val="single" w:sz="12" w:space="0" w:color="000000"/>
              <w:right w:val="single" w:sz="12" w:space="0" w:color="000000"/>
            </w:tcBorders>
          </w:tcPr>
          <w:p w14:paraId="2297CC28" w14:textId="77777777" w:rsidR="00B56D50" w:rsidRDefault="001C3C42">
            <w:pPr>
              <w:spacing w:after="0" w:line="259" w:lineRule="auto"/>
              <w:ind w:left="0" w:right="45" w:firstLine="0"/>
              <w:jc w:val="center"/>
            </w:pPr>
            <w:r>
              <w:rPr>
                <w:sz w:val="20"/>
              </w:rPr>
              <w:t xml:space="preserve">1-1 L   P, G </w:t>
            </w:r>
          </w:p>
        </w:tc>
        <w:tc>
          <w:tcPr>
            <w:tcW w:w="2520" w:type="dxa"/>
            <w:tcBorders>
              <w:top w:val="single" w:sz="7" w:space="0" w:color="000000"/>
              <w:left w:val="single" w:sz="12" w:space="0" w:color="000000"/>
              <w:bottom w:val="single" w:sz="12" w:space="0" w:color="000000"/>
              <w:right w:val="single" w:sz="12" w:space="0" w:color="000000"/>
            </w:tcBorders>
          </w:tcPr>
          <w:p w14:paraId="347FD37A" w14:textId="75CB7431" w:rsidR="00B56D50" w:rsidRDefault="001C3C42">
            <w:pPr>
              <w:spacing w:after="0" w:line="259" w:lineRule="auto"/>
              <w:ind w:left="0" w:right="38" w:firstLine="0"/>
              <w:jc w:val="center"/>
            </w:pPr>
            <w:r>
              <w:rPr>
                <w:sz w:val="20"/>
              </w:rPr>
              <w:t>Ice (4</w:t>
            </w:r>
            <w:r>
              <w:rPr>
                <w:sz w:val="20"/>
                <w:vertAlign w:val="superscript"/>
              </w:rPr>
              <w:t>0</w:t>
            </w:r>
            <w:proofErr w:type="gramStart"/>
            <w:r w:rsidR="006E75AF">
              <w:rPr>
                <w:sz w:val="20"/>
              </w:rPr>
              <w:t>C)+</w:t>
            </w:r>
            <w:proofErr w:type="gramEnd"/>
            <w:r>
              <w:rPr>
                <w:sz w:val="20"/>
              </w:rPr>
              <w:t>H</w:t>
            </w:r>
            <w:r>
              <w:rPr>
                <w:sz w:val="20"/>
                <w:vertAlign w:val="subscript"/>
              </w:rPr>
              <w:t>2</w:t>
            </w:r>
            <w:r>
              <w:rPr>
                <w:sz w:val="20"/>
              </w:rPr>
              <w:t>SO</w:t>
            </w:r>
            <w:r>
              <w:rPr>
                <w:sz w:val="20"/>
                <w:vertAlign w:val="subscript"/>
              </w:rPr>
              <w:t>4</w:t>
            </w:r>
            <w:r>
              <w:rPr>
                <w:sz w:val="20"/>
              </w:rPr>
              <w:t xml:space="preserve"> </w:t>
            </w:r>
          </w:p>
        </w:tc>
        <w:tc>
          <w:tcPr>
            <w:tcW w:w="1440" w:type="dxa"/>
            <w:tcBorders>
              <w:top w:val="single" w:sz="7" w:space="0" w:color="000000"/>
              <w:left w:val="single" w:sz="12" w:space="0" w:color="000000"/>
              <w:bottom w:val="single" w:sz="12" w:space="0" w:color="000000"/>
              <w:right w:val="single" w:sz="12" w:space="0" w:color="000000"/>
            </w:tcBorders>
          </w:tcPr>
          <w:p w14:paraId="26E0CAF6" w14:textId="77777777" w:rsidR="00B56D50" w:rsidRDefault="001C3C42">
            <w:pPr>
              <w:spacing w:after="0" w:line="259" w:lineRule="auto"/>
              <w:ind w:left="0" w:right="37" w:firstLine="0"/>
              <w:jc w:val="center"/>
            </w:pPr>
            <w:r>
              <w:rPr>
                <w:sz w:val="20"/>
              </w:rPr>
              <w:t xml:space="preserve">6 months </w:t>
            </w:r>
          </w:p>
        </w:tc>
      </w:tr>
    </w:tbl>
    <w:p w14:paraId="0A06B072" w14:textId="69B5C520" w:rsidR="00B56D50" w:rsidRPr="00461480" w:rsidRDefault="001C3C42" w:rsidP="000F7281">
      <w:pPr>
        <w:pStyle w:val="Heading3"/>
        <w:tabs>
          <w:tab w:val="center" w:pos="720"/>
          <w:tab w:val="center" w:pos="1440"/>
          <w:tab w:val="center" w:pos="2160"/>
          <w:tab w:val="center" w:pos="2880"/>
          <w:tab w:val="center" w:pos="3600"/>
          <w:tab w:val="center" w:pos="4321"/>
          <w:tab w:val="center" w:pos="5041"/>
          <w:tab w:val="center" w:pos="6725"/>
        </w:tabs>
        <w:spacing w:after="10" w:line="249" w:lineRule="auto"/>
        <w:ind w:left="-15" w:firstLine="0"/>
      </w:pPr>
      <w:r w:rsidRPr="00461480">
        <w:lastRenderedPageBreak/>
        <w:t>Table 1</w:t>
      </w:r>
      <w:r w:rsidR="00461480" w:rsidRPr="00461480">
        <w:t xml:space="preserve"> – Co</w:t>
      </w:r>
      <w:r w:rsidRPr="00461480">
        <w:t>ntinued</w:t>
      </w:r>
    </w:p>
    <w:p w14:paraId="3DABB645" w14:textId="047FC983" w:rsidR="00B56D50" w:rsidRPr="001C4F38" w:rsidRDefault="00B56D50" w:rsidP="001C4F38">
      <w:pPr>
        <w:spacing w:after="0" w:line="259" w:lineRule="auto"/>
        <w:ind w:left="0" w:right="0" w:firstLine="0"/>
        <w:rPr>
          <w:sz w:val="18"/>
          <w:szCs w:val="18"/>
        </w:rPr>
      </w:pPr>
    </w:p>
    <w:tbl>
      <w:tblPr>
        <w:tblStyle w:val="TableGrid1"/>
        <w:tblW w:w="14731" w:type="dxa"/>
        <w:tblInd w:w="-796" w:type="dxa"/>
        <w:tblCellMar>
          <w:left w:w="140" w:type="dxa"/>
          <w:right w:w="112" w:type="dxa"/>
        </w:tblCellMar>
        <w:tblLook w:val="04A0" w:firstRow="1" w:lastRow="0" w:firstColumn="1" w:lastColumn="0" w:noHBand="0" w:noVBand="1"/>
      </w:tblPr>
      <w:tblGrid>
        <w:gridCol w:w="3790"/>
        <w:gridCol w:w="1618"/>
        <w:gridCol w:w="1622"/>
        <w:gridCol w:w="2037"/>
        <w:gridCol w:w="1574"/>
        <w:gridCol w:w="2650"/>
        <w:gridCol w:w="1440"/>
      </w:tblGrid>
      <w:tr w:rsidR="00F95666" w14:paraId="17724AAB" w14:textId="77777777" w:rsidTr="00657FB5">
        <w:trPr>
          <w:trHeight w:val="302"/>
        </w:trPr>
        <w:tc>
          <w:tcPr>
            <w:tcW w:w="3790" w:type="dxa"/>
            <w:vMerge w:val="restart"/>
            <w:tcBorders>
              <w:top w:val="single" w:sz="12" w:space="0" w:color="000000"/>
              <w:left w:val="single" w:sz="12" w:space="0" w:color="000000"/>
              <w:bottom w:val="single" w:sz="12" w:space="0" w:color="000000"/>
              <w:right w:val="single" w:sz="12" w:space="0" w:color="000000"/>
            </w:tcBorders>
            <w:vAlign w:val="center"/>
          </w:tcPr>
          <w:p w14:paraId="7F7C3906" w14:textId="034C905B" w:rsidR="00B56D50" w:rsidRPr="00276555" w:rsidRDefault="001C3C42">
            <w:pPr>
              <w:spacing w:after="0" w:line="259" w:lineRule="auto"/>
              <w:ind w:left="0" w:right="34" w:firstLine="0"/>
              <w:jc w:val="center"/>
              <w:rPr>
                <w:sz w:val="18"/>
                <w:szCs w:val="18"/>
              </w:rPr>
            </w:pPr>
            <w:r w:rsidRPr="00276555">
              <w:rPr>
                <w:b/>
                <w:sz w:val="18"/>
                <w:szCs w:val="18"/>
              </w:rPr>
              <w:t>ANALYTES</w:t>
            </w:r>
          </w:p>
        </w:tc>
        <w:tc>
          <w:tcPr>
            <w:tcW w:w="5277" w:type="dxa"/>
            <w:gridSpan w:val="3"/>
            <w:tcBorders>
              <w:top w:val="single" w:sz="12" w:space="0" w:color="000000"/>
              <w:left w:val="single" w:sz="12" w:space="0" w:color="000000"/>
              <w:bottom w:val="single" w:sz="12" w:space="0" w:color="000000"/>
              <w:right w:val="single" w:sz="12" w:space="0" w:color="000000"/>
            </w:tcBorders>
            <w:vAlign w:val="center"/>
          </w:tcPr>
          <w:p w14:paraId="5BA491B7" w14:textId="0C348D59" w:rsidR="00B56D50" w:rsidRPr="00276555" w:rsidRDefault="001C3C42" w:rsidP="00276555">
            <w:pPr>
              <w:spacing w:after="0" w:line="259" w:lineRule="auto"/>
              <w:ind w:left="0" w:right="34" w:firstLine="0"/>
              <w:jc w:val="center"/>
              <w:rPr>
                <w:sz w:val="18"/>
                <w:szCs w:val="18"/>
              </w:rPr>
            </w:pPr>
            <w:r w:rsidRPr="00276555">
              <w:rPr>
                <w:b/>
                <w:sz w:val="18"/>
                <w:szCs w:val="18"/>
              </w:rPr>
              <w:t>SOILS, SEDIMENTS, WASTES</w:t>
            </w:r>
          </w:p>
        </w:tc>
        <w:tc>
          <w:tcPr>
            <w:tcW w:w="5664" w:type="dxa"/>
            <w:gridSpan w:val="3"/>
            <w:tcBorders>
              <w:top w:val="single" w:sz="12" w:space="0" w:color="000000"/>
              <w:left w:val="single" w:sz="12" w:space="0" w:color="000000"/>
              <w:bottom w:val="single" w:sz="12" w:space="0" w:color="000000"/>
              <w:right w:val="single" w:sz="12" w:space="0" w:color="000000"/>
            </w:tcBorders>
            <w:vAlign w:val="center"/>
          </w:tcPr>
          <w:p w14:paraId="5377011B" w14:textId="571F420F" w:rsidR="00B56D50" w:rsidRPr="00276555" w:rsidRDefault="001C3C42" w:rsidP="00276555">
            <w:pPr>
              <w:spacing w:after="0" w:line="259" w:lineRule="auto"/>
              <w:ind w:left="0" w:right="28" w:firstLine="0"/>
              <w:jc w:val="center"/>
              <w:rPr>
                <w:sz w:val="18"/>
                <w:szCs w:val="18"/>
              </w:rPr>
            </w:pPr>
            <w:r w:rsidRPr="00276555">
              <w:rPr>
                <w:b/>
                <w:sz w:val="18"/>
                <w:szCs w:val="18"/>
              </w:rPr>
              <w:t>AQUEOUS SAMPLES</w:t>
            </w:r>
          </w:p>
        </w:tc>
      </w:tr>
      <w:tr w:rsidR="00F95666" w14:paraId="09ACCB32" w14:textId="77777777" w:rsidTr="00877845">
        <w:trPr>
          <w:trHeight w:val="389"/>
        </w:trPr>
        <w:tc>
          <w:tcPr>
            <w:tcW w:w="0" w:type="auto"/>
            <w:vMerge/>
            <w:tcBorders>
              <w:top w:val="nil"/>
              <w:left w:val="single" w:sz="12" w:space="0" w:color="000000"/>
              <w:bottom w:val="single" w:sz="12" w:space="0" w:color="000000"/>
              <w:right w:val="single" w:sz="12" w:space="0" w:color="000000"/>
            </w:tcBorders>
          </w:tcPr>
          <w:p w14:paraId="16A73E24" w14:textId="77777777" w:rsidR="00B56D50" w:rsidRPr="00017AB4" w:rsidRDefault="00B56D50">
            <w:pPr>
              <w:spacing w:after="160" w:line="259" w:lineRule="auto"/>
              <w:ind w:left="0" w:right="0" w:firstLine="0"/>
              <w:rPr>
                <w:sz w:val="18"/>
                <w:szCs w:val="18"/>
              </w:rPr>
            </w:pPr>
          </w:p>
        </w:tc>
        <w:tc>
          <w:tcPr>
            <w:tcW w:w="1618" w:type="dxa"/>
            <w:tcBorders>
              <w:top w:val="single" w:sz="12" w:space="0" w:color="000000"/>
              <w:left w:val="single" w:sz="12" w:space="0" w:color="000000"/>
              <w:bottom w:val="single" w:sz="12" w:space="0" w:color="000000"/>
              <w:right w:val="single" w:sz="12" w:space="0" w:color="000000"/>
            </w:tcBorders>
            <w:vAlign w:val="center"/>
          </w:tcPr>
          <w:p w14:paraId="2907B183" w14:textId="721A254D" w:rsidR="00B56D50" w:rsidRPr="00017AB4" w:rsidRDefault="001C3C42" w:rsidP="00276555">
            <w:pPr>
              <w:spacing w:after="0" w:line="259" w:lineRule="auto"/>
              <w:ind w:left="0" w:right="30" w:firstLine="0"/>
              <w:jc w:val="center"/>
              <w:rPr>
                <w:sz w:val="18"/>
                <w:szCs w:val="18"/>
              </w:rPr>
            </w:pPr>
            <w:r w:rsidRPr="00017AB4">
              <w:rPr>
                <w:b/>
                <w:sz w:val="18"/>
                <w:szCs w:val="18"/>
              </w:rPr>
              <w:t>Containers</w:t>
            </w:r>
          </w:p>
        </w:tc>
        <w:tc>
          <w:tcPr>
            <w:tcW w:w="1622" w:type="dxa"/>
            <w:tcBorders>
              <w:top w:val="single" w:sz="12" w:space="0" w:color="000000"/>
              <w:left w:val="single" w:sz="12" w:space="0" w:color="000000"/>
              <w:bottom w:val="single" w:sz="12" w:space="0" w:color="000000"/>
              <w:right w:val="single" w:sz="12" w:space="0" w:color="000000"/>
            </w:tcBorders>
            <w:vAlign w:val="center"/>
          </w:tcPr>
          <w:p w14:paraId="2731BE8A" w14:textId="7015F361" w:rsidR="00B56D50" w:rsidRPr="00017AB4" w:rsidRDefault="001C3C42" w:rsidP="00276555">
            <w:pPr>
              <w:spacing w:after="0" w:line="259" w:lineRule="auto"/>
              <w:ind w:left="0" w:right="29" w:firstLine="0"/>
              <w:jc w:val="center"/>
              <w:rPr>
                <w:sz w:val="18"/>
                <w:szCs w:val="18"/>
              </w:rPr>
            </w:pPr>
            <w:r w:rsidRPr="00017AB4">
              <w:rPr>
                <w:b/>
                <w:sz w:val="18"/>
                <w:szCs w:val="18"/>
              </w:rPr>
              <w:t>Preservatives</w:t>
            </w:r>
          </w:p>
        </w:tc>
        <w:tc>
          <w:tcPr>
            <w:tcW w:w="2037" w:type="dxa"/>
            <w:tcBorders>
              <w:top w:val="single" w:sz="12" w:space="0" w:color="000000"/>
              <w:left w:val="single" w:sz="12" w:space="0" w:color="000000"/>
              <w:bottom w:val="single" w:sz="12" w:space="0" w:color="000000"/>
              <w:right w:val="single" w:sz="12" w:space="0" w:color="000000"/>
            </w:tcBorders>
            <w:vAlign w:val="center"/>
          </w:tcPr>
          <w:p w14:paraId="3A6786B4" w14:textId="1526CC8C" w:rsidR="00B56D50" w:rsidRPr="00017AB4" w:rsidRDefault="001C3C42" w:rsidP="00276555">
            <w:pPr>
              <w:spacing w:after="0" w:line="259" w:lineRule="auto"/>
              <w:ind w:left="0" w:right="28" w:firstLine="0"/>
              <w:jc w:val="center"/>
              <w:rPr>
                <w:sz w:val="18"/>
                <w:szCs w:val="18"/>
              </w:rPr>
            </w:pPr>
            <w:r w:rsidRPr="00017AB4">
              <w:rPr>
                <w:b/>
                <w:sz w:val="18"/>
                <w:szCs w:val="18"/>
              </w:rPr>
              <w:t>Holding Times</w:t>
            </w:r>
          </w:p>
        </w:tc>
        <w:tc>
          <w:tcPr>
            <w:tcW w:w="1574" w:type="dxa"/>
            <w:tcBorders>
              <w:top w:val="single" w:sz="12" w:space="0" w:color="000000"/>
              <w:left w:val="single" w:sz="12" w:space="0" w:color="000000"/>
              <w:bottom w:val="single" w:sz="12" w:space="0" w:color="000000"/>
              <w:right w:val="single" w:sz="12" w:space="0" w:color="000000"/>
            </w:tcBorders>
            <w:vAlign w:val="center"/>
          </w:tcPr>
          <w:p w14:paraId="30A787AD" w14:textId="0C81D787" w:rsidR="00B56D50" w:rsidRPr="00017AB4" w:rsidRDefault="001C3C42" w:rsidP="00276555">
            <w:pPr>
              <w:spacing w:after="0" w:line="259" w:lineRule="auto"/>
              <w:ind w:left="0" w:right="30" w:firstLine="0"/>
              <w:jc w:val="center"/>
              <w:rPr>
                <w:sz w:val="18"/>
                <w:szCs w:val="18"/>
              </w:rPr>
            </w:pPr>
            <w:r w:rsidRPr="00017AB4">
              <w:rPr>
                <w:b/>
                <w:sz w:val="18"/>
                <w:szCs w:val="18"/>
              </w:rPr>
              <w:t>Containers</w:t>
            </w:r>
          </w:p>
        </w:tc>
        <w:tc>
          <w:tcPr>
            <w:tcW w:w="2650" w:type="dxa"/>
            <w:tcBorders>
              <w:top w:val="single" w:sz="12" w:space="0" w:color="000000"/>
              <w:left w:val="single" w:sz="12" w:space="0" w:color="000000"/>
              <w:bottom w:val="single" w:sz="12" w:space="0" w:color="000000"/>
              <w:right w:val="single" w:sz="12" w:space="0" w:color="000000"/>
            </w:tcBorders>
            <w:vAlign w:val="center"/>
          </w:tcPr>
          <w:p w14:paraId="260CBAFC" w14:textId="6C360026" w:rsidR="00B56D50" w:rsidRPr="00017AB4" w:rsidRDefault="001C3C42" w:rsidP="00276555">
            <w:pPr>
              <w:spacing w:after="0" w:line="259" w:lineRule="auto"/>
              <w:ind w:left="0" w:right="28" w:firstLine="0"/>
              <w:jc w:val="center"/>
              <w:rPr>
                <w:sz w:val="18"/>
                <w:szCs w:val="18"/>
              </w:rPr>
            </w:pPr>
            <w:r w:rsidRPr="00017AB4">
              <w:rPr>
                <w:b/>
                <w:sz w:val="18"/>
                <w:szCs w:val="18"/>
              </w:rPr>
              <w:t>Preservatives</w:t>
            </w:r>
          </w:p>
        </w:tc>
        <w:tc>
          <w:tcPr>
            <w:tcW w:w="1440" w:type="dxa"/>
            <w:tcBorders>
              <w:top w:val="single" w:sz="12" w:space="0" w:color="000000"/>
              <w:left w:val="single" w:sz="12" w:space="0" w:color="000000"/>
              <w:bottom w:val="single" w:sz="12" w:space="0" w:color="000000"/>
              <w:right w:val="single" w:sz="12" w:space="0" w:color="000000"/>
            </w:tcBorders>
            <w:vAlign w:val="center"/>
          </w:tcPr>
          <w:p w14:paraId="516E25CB" w14:textId="6EB0B527" w:rsidR="00B56D50" w:rsidRPr="00017AB4" w:rsidRDefault="001C3C42" w:rsidP="00276555">
            <w:pPr>
              <w:spacing w:after="0" w:line="259" w:lineRule="auto"/>
              <w:ind w:left="0" w:right="0" w:firstLine="0"/>
              <w:jc w:val="center"/>
              <w:rPr>
                <w:sz w:val="18"/>
                <w:szCs w:val="18"/>
              </w:rPr>
            </w:pPr>
            <w:r w:rsidRPr="00017AB4">
              <w:rPr>
                <w:b/>
                <w:sz w:val="18"/>
                <w:szCs w:val="18"/>
              </w:rPr>
              <w:t>Holding Times</w:t>
            </w:r>
          </w:p>
        </w:tc>
      </w:tr>
      <w:tr w:rsidR="006153D2" w14:paraId="21EE0604" w14:textId="77777777" w:rsidTr="00CB6B47">
        <w:trPr>
          <w:trHeight w:val="20"/>
        </w:trPr>
        <w:tc>
          <w:tcPr>
            <w:tcW w:w="3790" w:type="dxa"/>
            <w:tcBorders>
              <w:top w:val="single" w:sz="12" w:space="0" w:color="000000"/>
              <w:left w:val="single" w:sz="12" w:space="0" w:color="000000"/>
              <w:bottom w:val="single" w:sz="12" w:space="0" w:color="000000"/>
              <w:right w:val="single" w:sz="12" w:space="0" w:color="000000"/>
            </w:tcBorders>
            <w:shd w:val="clear" w:color="auto" w:fill="C0C0C0"/>
            <w:vAlign w:val="center"/>
          </w:tcPr>
          <w:p w14:paraId="0ECA6695" w14:textId="21E634E5" w:rsidR="00B56D50" w:rsidRDefault="001C3C42" w:rsidP="00C327C2">
            <w:pPr>
              <w:spacing w:after="0" w:line="259" w:lineRule="auto"/>
              <w:ind w:left="0" w:right="37" w:firstLine="0"/>
              <w:jc w:val="center"/>
            </w:pPr>
            <w:r>
              <w:rPr>
                <w:b/>
                <w:sz w:val="20"/>
              </w:rPr>
              <w:t>General Chemistry (continued)</w:t>
            </w:r>
          </w:p>
        </w:tc>
        <w:tc>
          <w:tcPr>
            <w:tcW w:w="1618" w:type="dxa"/>
            <w:tcBorders>
              <w:top w:val="single" w:sz="12" w:space="0" w:color="000000"/>
              <w:left w:val="single" w:sz="12" w:space="0" w:color="000000"/>
              <w:bottom w:val="single" w:sz="12" w:space="0" w:color="000000"/>
              <w:right w:val="single" w:sz="12" w:space="0" w:color="000000"/>
            </w:tcBorders>
            <w:shd w:val="clear" w:color="auto" w:fill="C0C0C0"/>
            <w:vAlign w:val="center"/>
          </w:tcPr>
          <w:p w14:paraId="05CE244B" w14:textId="5B7B584C" w:rsidR="00B56D50" w:rsidRDefault="00B56D50" w:rsidP="001C4F38">
            <w:pPr>
              <w:spacing w:after="0" w:line="259" w:lineRule="auto"/>
              <w:ind w:left="22" w:right="0" w:firstLine="0"/>
              <w:jc w:val="center"/>
            </w:pPr>
          </w:p>
        </w:tc>
        <w:tc>
          <w:tcPr>
            <w:tcW w:w="1622" w:type="dxa"/>
            <w:tcBorders>
              <w:top w:val="single" w:sz="12" w:space="0" w:color="000000"/>
              <w:left w:val="single" w:sz="12" w:space="0" w:color="000000"/>
              <w:bottom w:val="single" w:sz="12" w:space="0" w:color="000000"/>
              <w:right w:val="single" w:sz="12" w:space="0" w:color="000000"/>
            </w:tcBorders>
            <w:shd w:val="clear" w:color="auto" w:fill="C0C0C0"/>
            <w:vAlign w:val="center"/>
          </w:tcPr>
          <w:p w14:paraId="1E250525" w14:textId="172395F4" w:rsidR="00B56D50" w:rsidRDefault="00B56D50" w:rsidP="00C327C2">
            <w:pPr>
              <w:spacing w:after="0" w:line="259" w:lineRule="auto"/>
              <w:ind w:left="0" w:right="0" w:firstLine="0"/>
              <w:jc w:val="center"/>
            </w:pPr>
          </w:p>
        </w:tc>
        <w:tc>
          <w:tcPr>
            <w:tcW w:w="2037" w:type="dxa"/>
            <w:tcBorders>
              <w:top w:val="single" w:sz="12" w:space="0" w:color="000000"/>
              <w:left w:val="single" w:sz="12" w:space="0" w:color="000000"/>
              <w:bottom w:val="single" w:sz="12" w:space="0" w:color="000000"/>
              <w:right w:val="single" w:sz="12" w:space="0" w:color="000000"/>
            </w:tcBorders>
            <w:shd w:val="clear" w:color="auto" w:fill="C0C0C0"/>
            <w:vAlign w:val="center"/>
          </w:tcPr>
          <w:p w14:paraId="644A3390" w14:textId="6841F315" w:rsidR="00B56D50" w:rsidRDefault="00B56D50" w:rsidP="00C327C2">
            <w:pPr>
              <w:spacing w:after="0" w:line="259" w:lineRule="auto"/>
              <w:ind w:left="0" w:right="0" w:firstLine="0"/>
              <w:jc w:val="center"/>
            </w:pPr>
          </w:p>
        </w:tc>
        <w:tc>
          <w:tcPr>
            <w:tcW w:w="1574" w:type="dxa"/>
            <w:tcBorders>
              <w:top w:val="single" w:sz="12" w:space="0" w:color="000000"/>
              <w:left w:val="single" w:sz="12" w:space="0" w:color="000000"/>
              <w:bottom w:val="single" w:sz="12" w:space="0" w:color="000000"/>
              <w:right w:val="single" w:sz="12" w:space="0" w:color="000000"/>
            </w:tcBorders>
            <w:shd w:val="clear" w:color="auto" w:fill="C0C0C0"/>
            <w:vAlign w:val="center"/>
          </w:tcPr>
          <w:p w14:paraId="27EB32A8" w14:textId="2E77BBE6" w:rsidR="00B56D50" w:rsidRDefault="00B56D50" w:rsidP="00C327C2">
            <w:pPr>
              <w:spacing w:after="0" w:line="259" w:lineRule="auto"/>
              <w:ind w:left="0" w:right="0" w:firstLine="0"/>
              <w:jc w:val="center"/>
            </w:pPr>
          </w:p>
        </w:tc>
        <w:tc>
          <w:tcPr>
            <w:tcW w:w="2650" w:type="dxa"/>
            <w:tcBorders>
              <w:top w:val="single" w:sz="12" w:space="0" w:color="000000"/>
              <w:left w:val="single" w:sz="12" w:space="0" w:color="000000"/>
              <w:bottom w:val="single" w:sz="12" w:space="0" w:color="000000"/>
              <w:right w:val="single" w:sz="12" w:space="0" w:color="000000"/>
            </w:tcBorders>
            <w:shd w:val="clear" w:color="auto" w:fill="C0C0C0"/>
            <w:vAlign w:val="center"/>
          </w:tcPr>
          <w:p w14:paraId="65E41347" w14:textId="63A8DF4C" w:rsidR="00B56D50" w:rsidRDefault="00B56D50" w:rsidP="00C327C2">
            <w:pPr>
              <w:spacing w:after="0" w:line="259" w:lineRule="auto"/>
              <w:ind w:left="0" w:right="0" w:firstLine="0"/>
              <w:jc w:val="center"/>
            </w:pPr>
          </w:p>
        </w:tc>
        <w:tc>
          <w:tcPr>
            <w:tcW w:w="1440" w:type="dxa"/>
            <w:tcBorders>
              <w:top w:val="single" w:sz="12" w:space="0" w:color="000000"/>
              <w:left w:val="single" w:sz="12" w:space="0" w:color="000000"/>
              <w:bottom w:val="single" w:sz="12" w:space="0" w:color="000000"/>
              <w:right w:val="single" w:sz="12" w:space="0" w:color="000000"/>
            </w:tcBorders>
            <w:shd w:val="clear" w:color="auto" w:fill="C0C0C0"/>
            <w:vAlign w:val="center"/>
          </w:tcPr>
          <w:p w14:paraId="01046D9E" w14:textId="5CF46241" w:rsidR="00B56D50" w:rsidRDefault="00B56D50" w:rsidP="00C327C2">
            <w:pPr>
              <w:spacing w:after="0" w:line="259" w:lineRule="auto"/>
              <w:ind w:left="0" w:right="0" w:firstLine="0"/>
              <w:jc w:val="center"/>
            </w:pPr>
          </w:p>
        </w:tc>
      </w:tr>
      <w:tr w:rsidR="00F95666" w14:paraId="6DA415EA" w14:textId="77777777" w:rsidTr="00877845">
        <w:trPr>
          <w:trHeight w:val="20"/>
        </w:trPr>
        <w:tc>
          <w:tcPr>
            <w:tcW w:w="3790" w:type="dxa"/>
            <w:tcBorders>
              <w:top w:val="single" w:sz="12" w:space="0" w:color="000000"/>
              <w:left w:val="single" w:sz="12" w:space="0" w:color="000000"/>
              <w:bottom w:val="single" w:sz="4" w:space="0" w:color="000000"/>
              <w:right w:val="single" w:sz="12" w:space="0" w:color="000000"/>
            </w:tcBorders>
            <w:vAlign w:val="center"/>
          </w:tcPr>
          <w:p w14:paraId="43698319" w14:textId="77777777" w:rsidR="00B56D50" w:rsidRPr="006B0147" w:rsidRDefault="001C3C42" w:rsidP="006B0147">
            <w:pPr>
              <w:spacing w:after="0" w:line="259" w:lineRule="auto"/>
              <w:ind w:left="0" w:right="0" w:firstLine="0"/>
              <w:rPr>
                <w:sz w:val="20"/>
                <w:szCs w:val="20"/>
              </w:rPr>
            </w:pPr>
            <w:r w:rsidRPr="006B0147">
              <w:rPr>
                <w:sz w:val="20"/>
                <w:szCs w:val="20"/>
              </w:rPr>
              <w:t xml:space="preserve">Kjeldahl Nitrogen, Total (TKN) </w:t>
            </w:r>
          </w:p>
        </w:tc>
        <w:tc>
          <w:tcPr>
            <w:tcW w:w="1618" w:type="dxa"/>
            <w:tcBorders>
              <w:top w:val="single" w:sz="12" w:space="0" w:color="000000"/>
              <w:left w:val="single" w:sz="12" w:space="0" w:color="000000"/>
              <w:bottom w:val="single" w:sz="7" w:space="0" w:color="000000"/>
              <w:right w:val="single" w:sz="12" w:space="0" w:color="000000"/>
            </w:tcBorders>
            <w:vAlign w:val="center"/>
          </w:tcPr>
          <w:p w14:paraId="41D72B8A" w14:textId="2CCEEABB" w:rsidR="00B56D50" w:rsidRPr="006B0147" w:rsidRDefault="001C3C42" w:rsidP="006B0147">
            <w:pPr>
              <w:spacing w:after="0" w:line="259" w:lineRule="auto"/>
              <w:ind w:left="0" w:right="34" w:firstLine="0"/>
              <w:jc w:val="center"/>
              <w:rPr>
                <w:sz w:val="20"/>
                <w:szCs w:val="20"/>
              </w:rPr>
            </w:pPr>
            <w:r w:rsidRPr="006B0147">
              <w:rPr>
                <w:sz w:val="20"/>
                <w:szCs w:val="20"/>
              </w:rPr>
              <w:t>500 mL G</w:t>
            </w:r>
          </w:p>
        </w:tc>
        <w:tc>
          <w:tcPr>
            <w:tcW w:w="1622" w:type="dxa"/>
            <w:tcBorders>
              <w:top w:val="single" w:sz="12" w:space="0" w:color="000000"/>
              <w:left w:val="single" w:sz="12" w:space="0" w:color="000000"/>
              <w:bottom w:val="single" w:sz="7" w:space="0" w:color="000000"/>
              <w:right w:val="single" w:sz="12" w:space="0" w:color="000000"/>
            </w:tcBorders>
            <w:vAlign w:val="center"/>
          </w:tcPr>
          <w:p w14:paraId="76AE1A02" w14:textId="190FD111" w:rsidR="00B56D50" w:rsidRPr="006B0147" w:rsidRDefault="001C3C42" w:rsidP="006B0147">
            <w:pPr>
              <w:spacing w:after="0" w:line="259" w:lineRule="auto"/>
              <w:ind w:left="0" w:right="24" w:firstLine="0"/>
              <w:jc w:val="center"/>
              <w:rPr>
                <w:sz w:val="20"/>
                <w:szCs w:val="20"/>
              </w:rPr>
            </w:pPr>
            <w:r w:rsidRPr="006B0147">
              <w:rPr>
                <w:sz w:val="20"/>
                <w:szCs w:val="20"/>
              </w:rPr>
              <w:t>Ice (4</w:t>
            </w:r>
            <w:r w:rsidRPr="006B0147">
              <w:rPr>
                <w:sz w:val="20"/>
                <w:szCs w:val="20"/>
                <w:vertAlign w:val="superscript"/>
              </w:rPr>
              <w:t>0</w:t>
            </w:r>
            <w:r w:rsidRPr="006B0147">
              <w:rPr>
                <w:sz w:val="20"/>
                <w:szCs w:val="20"/>
              </w:rPr>
              <w:t>C)</w:t>
            </w:r>
          </w:p>
        </w:tc>
        <w:tc>
          <w:tcPr>
            <w:tcW w:w="2037" w:type="dxa"/>
            <w:tcBorders>
              <w:top w:val="single" w:sz="12" w:space="0" w:color="000000"/>
              <w:left w:val="single" w:sz="12" w:space="0" w:color="000000"/>
              <w:bottom w:val="single" w:sz="7" w:space="0" w:color="000000"/>
              <w:right w:val="single" w:sz="12" w:space="0" w:color="000000"/>
            </w:tcBorders>
            <w:vAlign w:val="center"/>
          </w:tcPr>
          <w:p w14:paraId="1028A681" w14:textId="0ED43772" w:rsidR="00B56D50" w:rsidRPr="006B0147" w:rsidRDefault="001C3C42" w:rsidP="006B0147">
            <w:pPr>
              <w:spacing w:after="0" w:line="259" w:lineRule="auto"/>
              <w:ind w:left="0" w:right="30" w:firstLine="0"/>
              <w:jc w:val="center"/>
              <w:rPr>
                <w:sz w:val="20"/>
                <w:szCs w:val="20"/>
              </w:rPr>
            </w:pPr>
            <w:r w:rsidRPr="006B0147">
              <w:rPr>
                <w:sz w:val="20"/>
                <w:szCs w:val="20"/>
              </w:rPr>
              <w:t>28 days</w:t>
            </w:r>
          </w:p>
        </w:tc>
        <w:tc>
          <w:tcPr>
            <w:tcW w:w="1574" w:type="dxa"/>
            <w:tcBorders>
              <w:top w:val="single" w:sz="12" w:space="0" w:color="000000"/>
              <w:left w:val="single" w:sz="12" w:space="0" w:color="000000"/>
              <w:bottom w:val="single" w:sz="7" w:space="0" w:color="000000"/>
              <w:right w:val="single" w:sz="12" w:space="0" w:color="000000"/>
            </w:tcBorders>
            <w:vAlign w:val="center"/>
          </w:tcPr>
          <w:p w14:paraId="02886C5F" w14:textId="7E5FC1B7" w:rsidR="00B56D50" w:rsidRPr="006B0147" w:rsidRDefault="001C3C42" w:rsidP="006B0147">
            <w:pPr>
              <w:spacing w:after="0" w:line="259" w:lineRule="auto"/>
              <w:ind w:left="0" w:right="30" w:firstLine="0"/>
              <w:jc w:val="center"/>
              <w:rPr>
                <w:sz w:val="20"/>
                <w:szCs w:val="20"/>
              </w:rPr>
            </w:pPr>
            <w:r w:rsidRPr="006B0147">
              <w:rPr>
                <w:sz w:val="20"/>
                <w:szCs w:val="20"/>
              </w:rPr>
              <w:t>1-1 L   P, G</w:t>
            </w:r>
          </w:p>
        </w:tc>
        <w:tc>
          <w:tcPr>
            <w:tcW w:w="2650" w:type="dxa"/>
            <w:tcBorders>
              <w:top w:val="single" w:sz="12" w:space="0" w:color="000000"/>
              <w:left w:val="single" w:sz="12" w:space="0" w:color="000000"/>
              <w:bottom w:val="single" w:sz="7" w:space="0" w:color="000000"/>
              <w:right w:val="single" w:sz="12" w:space="0" w:color="000000"/>
            </w:tcBorders>
            <w:vAlign w:val="center"/>
          </w:tcPr>
          <w:p w14:paraId="46B23341" w14:textId="3A977740" w:rsidR="00B56D50" w:rsidRPr="006B0147" w:rsidRDefault="001C3C42" w:rsidP="006B0147">
            <w:pPr>
              <w:spacing w:after="0" w:line="259" w:lineRule="auto"/>
              <w:ind w:left="0" w:right="29" w:firstLine="0"/>
              <w:jc w:val="center"/>
              <w:rPr>
                <w:sz w:val="20"/>
                <w:szCs w:val="20"/>
              </w:rPr>
            </w:pPr>
            <w:r w:rsidRPr="006B0147">
              <w:rPr>
                <w:sz w:val="20"/>
                <w:szCs w:val="20"/>
              </w:rPr>
              <w:t>Ice (4</w:t>
            </w:r>
            <w:r w:rsidRPr="006B0147">
              <w:rPr>
                <w:sz w:val="20"/>
                <w:szCs w:val="20"/>
                <w:vertAlign w:val="superscript"/>
              </w:rPr>
              <w:t>0</w:t>
            </w:r>
            <w:r w:rsidR="006E75AF" w:rsidRPr="006B0147">
              <w:rPr>
                <w:sz w:val="20"/>
                <w:szCs w:val="20"/>
              </w:rPr>
              <w:t>C) +</w:t>
            </w:r>
            <w:r w:rsidRPr="006B0147">
              <w:rPr>
                <w:sz w:val="20"/>
                <w:szCs w:val="20"/>
              </w:rPr>
              <w:t>H</w:t>
            </w:r>
            <w:r w:rsidRPr="006B0147">
              <w:rPr>
                <w:sz w:val="20"/>
                <w:szCs w:val="20"/>
                <w:vertAlign w:val="subscript"/>
              </w:rPr>
              <w:t>2</w:t>
            </w:r>
            <w:r w:rsidRPr="006B0147">
              <w:rPr>
                <w:sz w:val="20"/>
                <w:szCs w:val="20"/>
              </w:rPr>
              <w:t>SO</w:t>
            </w:r>
            <w:r w:rsidRPr="006B0147">
              <w:rPr>
                <w:sz w:val="20"/>
                <w:szCs w:val="20"/>
                <w:vertAlign w:val="subscript"/>
              </w:rPr>
              <w:t>4</w:t>
            </w:r>
          </w:p>
        </w:tc>
        <w:tc>
          <w:tcPr>
            <w:tcW w:w="1440" w:type="dxa"/>
            <w:tcBorders>
              <w:top w:val="single" w:sz="12" w:space="0" w:color="000000"/>
              <w:left w:val="single" w:sz="12" w:space="0" w:color="000000"/>
              <w:bottom w:val="single" w:sz="7" w:space="0" w:color="000000"/>
              <w:right w:val="single" w:sz="12" w:space="0" w:color="000000"/>
            </w:tcBorders>
            <w:vAlign w:val="center"/>
          </w:tcPr>
          <w:p w14:paraId="3D652E0A" w14:textId="5FC6B022" w:rsidR="00B56D50" w:rsidRPr="006B0147" w:rsidRDefault="001C3C42" w:rsidP="006B0147">
            <w:pPr>
              <w:spacing w:after="0" w:line="259" w:lineRule="auto"/>
              <w:ind w:left="0" w:right="28" w:firstLine="0"/>
              <w:jc w:val="center"/>
              <w:rPr>
                <w:sz w:val="20"/>
                <w:szCs w:val="20"/>
              </w:rPr>
            </w:pPr>
            <w:r w:rsidRPr="006B0147">
              <w:rPr>
                <w:sz w:val="20"/>
                <w:szCs w:val="20"/>
              </w:rPr>
              <w:t>28 days</w:t>
            </w:r>
          </w:p>
        </w:tc>
      </w:tr>
      <w:tr w:rsidR="00F95666" w14:paraId="13CE78E0" w14:textId="77777777" w:rsidTr="00877845">
        <w:trPr>
          <w:trHeight w:val="20"/>
        </w:trPr>
        <w:tc>
          <w:tcPr>
            <w:tcW w:w="3790" w:type="dxa"/>
            <w:tcBorders>
              <w:top w:val="single" w:sz="4" w:space="0" w:color="000000"/>
              <w:left w:val="single" w:sz="12" w:space="0" w:color="000000"/>
              <w:bottom w:val="single" w:sz="7" w:space="0" w:color="000000"/>
              <w:right w:val="single" w:sz="12" w:space="0" w:color="000000"/>
            </w:tcBorders>
            <w:vAlign w:val="center"/>
          </w:tcPr>
          <w:p w14:paraId="4AE99B82" w14:textId="77777777" w:rsidR="00B56D50" w:rsidRPr="006B0147" w:rsidRDefault="001C3C42" w:rsidP="006B0147">
            <w:pPr>
              <w:spacing w:after="0" w:line="259" w:lineRule="auto"/>
              <w:ind w:left="0" w:right="0" w:firstLine="0"/>
              <w:rPr>
                <w:sz w:val="20"/>
                <w:szCs w:val="20"/>
              </w:rPr>
            </w:pPr>
            <w:r w:rsidRPr="006B0147">
              <w:rPr>
                <w:sz w:val="20"/>
                <w:szCs w:val="20"/>
              </w:rPr>
              <w:t>Nitrates (NO</w:t>
            </w:r>
            <w:r w:rsidRPr="006B0147">
              <w:rPr>
                <w:sz w:val="20"/>
                <w:szCs w:val="20"/>
                <w:vertAlign w:val="subscript"/>
              </w:rPr>
              <w:t>3</w:t>
            </w:r>
            <w:r w:rsidRPr="006B0147">
              <w:rPr>
                <w:sz w:val="20"/>
                <w:szCs w:val="20"/>
                <w:vertAlign w:val="superscript"/>
              </w:rPr>
              <w:t>2-</w:t>
            </w:r>
            <w:r w:rsidRPr="006B0147">
              <w:rPr>
                <w:sz w:val="20"/>
                <w:szCs w:val="20"/>
              </w:rPr>
              <w:t xml:space="preserve">) </w:t>
            </w:r>
          </w:p>
        </w:tc>
        <w:tc>
          <w:tcPr>
            <w:tcW w:w="1618" w:type="dxa"/>
            <w:tcBorders>
              <w:top w:val="single" w:sz="7" w:space="0" w:color="000000"/>
              <w:left w:val="single" w:sz="12" w:space="0" w:color="000000"/>
              <w:bottom w:val="single" w:sz="7" w:space="0" w:color="000000"/>
              <w:right w:val="single" w:sz="12" w:space="0" w:color="000000"/>
            </w:tcBorders>
            <w:vAlign w:val="center"/>
          </w:tcPr>
          <w:p w14:paraId="7EFF9A79" w14:textId="645FF90B" w:rsidR="00B56D50" w:rsidRPr="006B0147" w:rsidRDefault="001C3C42" w:rsidP="006B0147">
            <w:pPr>
              <w:spacing w:after="0" w:line="259" w:lineRule="auto"/>
              <w:ind w:left="0" w:right="34" w:firstLine="0"/>
              <w:jc w:val="center"/>
              <w:rPr>
                <w:sz w:val="20"/>
                <w:szCs w:val="20"/>
              </w:rPr>
            </w:pPr>
            <w:r w:rsidRPr="006B0147">
              <w:rPr>
                <w:sz w:val="20"/>
                <w:szCs w:val="20"/>
              </w:rPr>
              <w:t>500 mL G</w:t>
            </w:r>
          </w:p>
        </w:tc>
        <w:tc>
          <w:tcPr>
            <w:tcW w:w="1622" w:type="dxa"/>
            <w:tcBorders>
              <w:top w:val="single" w:sz="7" w:space="0" w:color="000000"/>
              <w:left w:val="single" w:sz="12" w:space="0" w:color="000000"/>
              <w:bottom w:val="single" w:sz="7" w:space="0" w:color="000000"/>
              <w:right w:val="single" w:sz="12" w:space="0" w:color="000000"/>
            </w:tcBorders>
            <w:vAlign w:val="center"/>
          </w:tcPr>
          <w:p w14:paraId="2ED60267" w14:textId="50E1FC07" w:rsidR="00B56D50" w:rsidRPr="006B0147" w:rsidRDefault="001C3C42" w:rsidP="006B0147">
            <w:pPr>
              <w:spacing w:after="0" w:line="259" w:lineRule="auto"/>
              <w:ind w:left="0" w:right="24" w:firstLine="0"/>
              <w:jc w:val="center"/>
              <w:rPr>
                <w:sz w:val="20"/>
                <w:szCs w:val="20"/>
              </w:rPr>
            </w:pPr>
            <w:r w:rsidRPr="006B0147">
              <w:rPr>
                <w:sz w:val="20"/>
                <w:szCs w:val="20"/>
              </w:rPr>
              <w:t>Ice (4</w:t>
            </w:r>
            <w:r w:rsidRPr="006B0147">
              <w:rPr>
                <w:sz w:val="20"/>
                <w:szCs w:val="20"/>
                <w:vertAlign w:val="superscript"/>
              </w:rPr>
              <w:t>0</w:t>
            </w:r>
            <w:r w:rsidRPr="006B0147">
              <w:rPr>
                <w:sz w:val="20"/>
                <w:szCs w:val="20"/>
              </w:rPr>
              <w:t>C)</w:t>
            </w:r>
          </w:p>
        </w:tc>
        <w:tc>
          <w:tcPr>
            <w:tcW w:w="2037" w:type="dxa"/>
            <w:tcBorders>
              <w:top w:val="single" w:sz="7" w:space="0" w:color="000000"/>
              <w:left w:val="single" w:sz="12" w:space="0" w:color="000000"/>
              <w:bottom w:val="single" w:sz="7" w:space="0" w:color="000000"/>
              <w:right w:val="single" w:sz="12" w:space="0" w:color="000000"/>
            </w:tcBorders>
            <w:vAlign w:val="center"/>
          </w:tcPr>
          <w:p w14:paraId="6326F95D" w14:textId="088E7B01" w:rsidR="00B56D50" w:rsidRPr="006B0147" w:rsidRDefault="001C3C42" w:rsidP="006B0147">
            <w:pPr>
              <w:spacing w:after="0" w:line="259" w:lineRule="auto"/>
              <w:ind w:left="0" w:right="30" w:firstLine="0"/>
              <w:jc w:val="center"/>
              <w:rPr>
                <w:sz w:val="20"/>
                <w:szCs w:val="20"/>
              </w:rPr>
            </w:pPr>
            <w:r w:rsidRPr="006B0147">
              <w:rPr>
                <w:sz w:val="20"/>
                <w:szCs w:val="20"/>
              </w:rPr>
              <w:t>2 days</w:t>
            </w:r>
          </w:p>
        </w:tc>
        <w:tc>
          <w:tcPr>
            <w:tcW w:w="1574" w:type="dxa"/>
            <w:tcBorders>
              <w:top w:val="single" w:sz="7" w:space="0" w:color="000000"/>
              <w:left w:val="single" w:sz="12" w:space="0" w:color="000000"/>
              <w:bottom w:val="single" w:sz="7" w:space="0" w:color="000000"/>
              <w:right w:val="single" w:sz="12" w:space="0" w:color="000000"/>
            </w:tcBorders>
            <w:vAlign w:val="center"/>
          </w:tcPr>
          <w:p w14:paraId="69395DB8" w14:textId="5D117C66" w:rsidR="00B56D50" w:rsidRPr="006B0147" w:rsidRDefault="001C3C42" w:rsidP="006B0147">
            <w:pPr>
              <w:spacing w:after="0" w:line="259" w:lineRule="auto"/>
              <w:ind w:left="0" w:right="29" w:firstLine="0"/>
              <w:jc w:val="center"/>
              <w:rPr>
                <w:sz w:val="20"/>
                <w:szCs w:val="20"/>
              </w:rPr>
            </w:pPr>
            <w:r w:rsidRPr="006B0147">
              <w:rPr>
                <w:sz w:val="20"/>
                <w:szCs w:val="20"/>
              </w:rPr>
              <w:t>1-1 L   P, G</w:t>
            </w:r>
          </w:p>
        </w:tc>
        <w:tc>
          <w:tcPr>
            <w:tcW w:w="2650" w:type="dxa"/>
            <w:tcBorders>
              <w:top w:val="single" w:sz="7" w:space="0" w:color="000000"/>
              <w:left w:val="single" w:sz="12" w:space="0" w:color="000000"/>
              <w:bottom w:val="single" w:sz="7" w:space="0" w:color="000000"/>
              <w:right w:val="single" w:sz="12" w:space="0" w:color="000000"/>
            </w:tcBorders>
            <w:vAlign w:val="center"/>
          </w:tcPr>
          <w:p w14:paraId="58CD3C20" w14:textId="02DE4740" w:rsidR="00B56D50" w:rsidRPr="006B0147" w:rsidRDefault="001C3C42" w:rsidP="006B0147">
            <w:pPr>
              <w:spacing w:after="0" w:line="259" w:lineRule="auto"/>
              <w:ind w:left="0" w:right="28" w:firstLine="0"/>
              <w:jc w:val="center"/>
              <w:rPr>
                <w:sz w:val="20"/>
                <w:szCs w:val="20"/>
              </w:rPr>
            </w:pPr>
            <w:r w:rsidRPr="006B0147">
              <w:rPr>
                <w:sz w:val="20"/>
                <w:szCs w:val="20"/>
              </w:rPr>
              <w:t>Ice (4</w:t>
            </w:r>
            <w:r w:rsidRPr="006B0147">
              <w:rPr>
                <w:sz w:val="20"/>
                <w:szCs w:val="20"/>
                <w:vertAlign w:val="superscript"/>
              </w:rPr>
              <w:t>0</w:t>
            </w:r>
            <w:r w:rsidRPr="006B0147">
              <w:rPr>
                <w:sz w:val="20"/>
                <w:szCs w:val="20"/>
              </w:rPr>
              <w:t>C)</w:t>
            </w:r>
          </w:p>
        </w:tc>
        <w:tc>
          <w:tcPr>
            <w:tcW w:w="1440" w:type="dxa"/>
            <w:tcBorders>
              <w:top w:val="single" w:sz="7" w:space="0" w:color="000000"/>
              <w:left w:val="single" w:sz="12" w:space="0" w:color="000000"/>
              <w:bottom w:val="single" w:sz="7" w:space="0" w:color="000000"/>
              <w:right w:val="single" w:sz="12" w:space="0" w:color="000000"/>
            </w:tcBorders>
            <w:vAlign w:val="center"/>
          </w:tcPr>
          <w:p w14:paraId="54888120" w14:textId="24600ED6" w:rsidR="00B56D50" w:rsidRPr="006B0147" w:rsidRDefault="001C3C42" w:rsidP="006B0147">
            <w:pPr>
              <w:spacing w:after="0" w:line="259" w:lineRule="auto"/>
              <w:ind w:left="0" w:right="28" w:firstLine="0"/>
              <w:jc w:val="center"/>
              <w:rPr>
                <w:sz w:val="20"/>
                <w:szCs w:val="20"/>
              </w:rPr>
            </w:pPr>
            <w:r w:rsidRPr="006B0147">
              <w:rPr>
                <w:sz w:val="20"/>
                <w:szCs w:val="20"/>
              </w:rPr>
              <w:t>2 days</w:t>
            </w:r>
          </w:p>
        </w:tc>
      </w:tr>
      <w:tr w:rsidR="00F95666" w14:paraId="7F5755DC" w14:textId="77777777" w:rsidTr="00877845">
        <w:trPr>
          <w:trHeight w:val="20"/>
        </w:trPr>
        <w:tc>
          <w:tcPr>
            <w:tcW w:w="3790" w:type="dxa"/>
            <w:tcBorders>
              <w:top w:val="single" w:sz="7" w:space="0" w:color="000000"/>
              <w:left w:val="single" w:sz="12" w:space="0" w:color="000000"/>
              <w:bottom w:val="single" w:sz="7" w:space="0" w:color="000000"/>
              <w:right w:val="single" w:sz="12" w:space="0" w:color="000000"/>
            </w:tcBorders>
            <w:vAlign w:val="center"/>
          </w:tcPr>
          <w:p w14:paraId="72FFF174" w14:textId="77777777" w:rsidR="00B56D50" w:rsidRPr="006B0147" w:rsidRDefault="001C3C42" w:rsidP="006B0147">
            <w:pPr>
              <w:spacing w:after="0" w:line="259" w:lineRule="auto"/>
              <w:ind w:left="0" w:right="0" w:firstLine="0"/>
              <w:rPr>
                <w:sz w:val="20"/>
                <w:szCs w:val="20"/>
              </w:rPr>
            </w:pPr>
            <w:r w:rsidRPr="006B0147">
              <w:rPr>
                <w:sz w:val="20"/>
                <w:szCs w:val="20"/>
              </w:rPr>
              <w:t>Nitrites (NO</w:t>
            </w:r>
            <w:r w:rsidRPr="006B0147">
              <w:rPr>
                <w:sz w:val="20"/>
                <w:szCs w:val="20"/>
                <w:vertAlign w:val="subscript"/>
              </w:rPr>
              <w:t>2</w:t>
            </w:r>
            <w:r w:rsidRPr="006B0147">
              <w:rPr>
                <w:sz w:val="20"/>
                <w:szCs w:val="20"/>
                <w:vertAlign w:val="superscript"/>
              </w:rPr>
              <w:t>-</w:t>
            </w:r>
            <w:r w:rsidRPr="006B0147">
              <w:rPr>
                <w:sz w:val="20"/>
                <w:szCs w:val="20"/>
              </w:rPr>
              <w:t xml:space="preserve">) </w:t>
            </w:r>
          </w:p>
        </w:tc>
        <w:tc>
          <w:tcPr>
            <w:tcW w:w="1618" w:type="dxa"/>
            <w:tcBorders>
              <w:top w:val="single" w:sz="7" w:space="0" w:color="000000"/>
              <w:left w:val="single" w:sz="12" w:space="0" w:color="000000"/>
              <w:bottom w:val="single" w:sz="7" w:space="0" w:color="000000"/>
              <w:right w:val="single" w:sz="12" w:space="0" w:color="000000"/>
            </w:tcBorders>
            <w:vAlign w:val="center"/>
          </w:tcPr>
          <w:p w14:paraId="5FDEE54D" w14:textId="1425DE25" w:rsidR="00B56D50" w:rsidRPr="006B0147" w:rsidRDefault="001C3C42" w:rsidP="006B0147">
            <w:pPr>
              <w:spacing w:after="0" w:line="259" w:lineRule="auto"/>
              <w:ind w:left="0" w:right="34" w:firstLine="0"/>
              <w:jc w:val="center"/>
              <w:rPr>
                <w:sz w:val="20"/>
                <w:szCs w:val="20"/>
              </w:rPr>
            </w:pPr>
            <w:r w:rsidRPr="006B0147">
              <w:rPr>
                <w:sz w:val="20"/>
                <w:szCs w:val="20"/>
              </w:rPr>
              <w:t>500 mL G</w:t>
            </w:r>
          </w:p>
        </w:tc>
        <w:tc>
          <w:tcPr>
            <w:tcW w:w="1622" w:type="dxa"/>
            <w:tcBorders>
              <w:top w:val="single" w:sz="7" w:space="0" w:color="000000"/>
              <w:left w:val="single" w:sz="12" w:space="0" w:color="000000"/>
              <w:bottom w:val="single" w:sz="7" w:space="0" w:color="000000"/>
              <w:right w:val="single" w:sz="12" w:space="0" w:color="000000"/>
            </w:tcBorders>
            <w:vAlign w:val="center"/>
          </w:tcPr>
          <w:p w14:paraId="050FA60D" w14:textId="0BC7F6FA" w:rsidR="00B56D50" w:rsidRPr="006B0147" w:rsidRDefault="001C3C42" w:rsidP="006B0147">
            <w:pPr>
              <w:spacing w:after="0" w:line="259" w:lineRule="auto"/>
              <w:ind w:left="0" w:right="24" w:firstLine="0"/>
              <w:jc w:val="center"/>
              <w:rPr>
                <w:sz w:val="20"/>
                <w:szCs w:val="20"/>
              </w:rPr>
            </w:pPr>
            <w:r w:rsidRPr="006B0147">
              <w:rPr>
                <w:sz w:val="20"/>
                <w:szCs w:val="20"/>
              </w:rPr>
              <w:t>Ice (4</w:t>
            </w:r>
            <w:r w:rsidRPr="006B0147">
              <w:rPr>
                <w:sz w:val="20"/>
                <w:szCs w:val="20"/>
                <w:vertAlign w:val="superscript"/>
              </w:rPr>
              <w:t>0</w:t>
            </w:r>
            <w:r w:rsidRPr="006B0147">
              <w:rPr>
                <w:sz w:val="20"/>
                <w:szCs w:val="20"/>
              </w:rPr>
              <w:t>C)</w:t>
            </w:r>
          </w:p>
        </w:tc>
        <w:tc>
          <w:tcPr>
            <w:tcW w:w="2037" w:type="dxa"/>
            <w:tcBorders>
              <w:top w:val="single" w:sz="7" w:space="0" w:color="000000"/>
              <w:left w:val="single" w:sz="12" w:space="0" w:color="000000"/>
              <w:bottom w:val="single" w:sz="7" w:space="0" w:color="000000"/>
              <w:right w:val="single" w:sz="12" w:space="0" w:color="000000"/>
            </w:tcBorders>
            <w:vAlign w:val="center"/>
          </w:tcPr>
          <w:p w14:paraId="4461E37D" w14:textId="115A9DE1" w:rsidR="00B56D50" w:rsidRPr="006B0147" w:rsidRDefault="001C3C42" w:rsidP="006B0147">
            <w:pPr>
              <w:spacing w:after="0" w:line="259" w:lineRule="auto"/>
              <w:ind w:left="0" w:right="30" w:firstLine="0"/>
              <w:jc w:val="center"/>
              <w:rPr>
                <w:sz w:val="20"/>
                <w:szCs w:val="20"/>
              </w:rPr>
            </w:pPr>
            <w:r w:rsidRPr="006B0147">
              <w:rPr>
                <w:sz w:val="20"/>
                <w:szCs w:val="20"/>
              </w:rPr>
              <w:t>2 days</w:t>
            </w:r>
          </w:p>
        </w:tc>
        <w:tc>
          <w:tcPr>
            <w:tcW w:w="1574" w:type="dxa"/>
            <w:tcBorders>
              <w:top w:val="single" w:sz="7" w:space="0" w:color="000000"/>
              <w:left w:val="single" w:sz="12" w:space="0" w:color="000000"/>
              <w:bottom w:val="single" w:sz="7" w:space="0" w:color="000000"/>
              <w:right w:val="single" w:sz="12" w:space="0" w:color="000000"/>
            </w:tcBorders>
            <w:vAlign w:val="center"/>
          </w:tcPr>
          <w:p w14:paraId="7A611709" w14:textId="5C677809" w:rsidR="00B56D50" w:rsidRPr="006B0147" w:rsidRDefault="001C3C42" w:rsidP="006B0147">
            <w:pPr>
              <w:spacing w:after="0" w:line="259" w:lineRule="auto"/>
              <w:ind w:left="0" w:right="30" w:firstLine="0"/>
              <w:jc w:val="center"/>
              <w:rPr>
                <w:sz w:val="20"/>
                <w:szCs w:val="20"/>
              </w:rPr>
            </w:pPr>
            <w:r w:rsidRPr="006B0147">
              <w:rPr>
                <w:sz w:val="20"/>
                <w:szCs w:val="20"/>
              </w:rPr>
              <w:t>1-1 L   P, G</w:t>
            </w:r>
          </w:p>
        </w:tc>
        <w:tc>
          <w:tcPr>
            <w:tcW w:w="2650" w:type="dxa"/>
            <w:tcBorders>
              <w:top w:val="single" w:sz="7" w:space="0" w:color="000000"/>
              <w:left w:val="single" w:sz="12" w:space="0" w:color="000000"/>
              <w:bottom w:val="single" w:sz="7" w:space="0" w:color="000000"/>
              <w:right w:val="single" w:sz="12" w:space="0" w:color="000000"/>
            </w:tcBorders>
            <w:vAlign w:val="center"/>
          </w:tcPr>
          <w:p w14:paraId="79BDB24C" w14:textId="0874CD0F" w:rsidR="00B56D50" w:rsidRPr="006B0147" w:rsidRDefault="001C3C42" w:rsidP="006B0147">
            <w:pPr>
              <w:spacing w:after="0" w:line="259" w:lineRule="auto"/>
              <w:ind w:left="0" w:right="28" w:firstLine="0"/>
              <w:jc w:val="center"/>
              <w:rPr>
                <w:sz w:val="20"/>
                <w:szCs w:val="20"/>
              </w:rPr>
            </w:pPr>
            <w:r w:rsidRPr="006B0147">
              <w:rPr>
                <w:sz w:val="20"/>
                <w:szCs w:val="20"/>
              </w:rPr>
              <w:t>Ice (4</w:t>
            </w:r>
            <w:r w:rsidRPr="006B0147">
              <w:rPr>
                <w:sz w:val="20"/>
                <w:szCs w:val="20"/>
                <w:vertAlign w:val="superscript"/>
              </w:rPr>
              <w:t>0</w:t>
            </w:r>
            <w:r w:rsidRPr="006B0147">
              <w:rPr>
                <w:sz w:val="20"/>
                <w:szCs w:val="20"/>
              </w:rPr>
              <w:t>C)</w:t>
            </w:r>
          </w:p>
        </w:tc>
        <w:tc>
          <w:tcPr>
            <w:tcW w:w="1440" w:type="dxa"/>
            <w:tcBorders>
              <w:top w:val="single" w:sz="7" w:space="0" w:color="000000"/>
              <w:left w:val="single" w:sz="12" w:space="0" w:color="000000"/>
              <w:bottom w:val="single" w:sz="7" w:space="0" w:color="000000"/>
              <w:right w:val="single" w:sz="12" w:space="0" w:color="000000"/>
            </w:tcBorders>
            <w:vAlign w:val="center"/>
          </w:tcPr>
          <w:p w14:paraId="7D6DFB87" w14:textId="03EB7F7C" w:rsidR="00B56D50" w:rsidRPr="006B0147" w:rsidRDefault="001C3C42" w:rsidP="006B0147">
            <w:pPr>
              <w:spacing w:after="0" w:line="259" w:lineRule="auto"/>
              <w:ind w:left="0" w:right="28" w:firstLine="0"/>
              <w:jc w:val="center"/>
              <w:rPr>
                <w:sz w:val="20"/>
                <w:szCs w:val="20"/>
              </w:rPr>
            </w:pPr>
            <w:r w:rsidRPr="006B0147">
              <w:rPr>
                <w:sz w:val="20"/>
                <w:szCs w:val="20"/>
              </w:rPr>
              <w:t>2 days</w:t>
            </w:r>
          </w:p>
        </w:tc>
      </w:tr>
      <w:tr w:rsidR="00F95666" w14:paraId="3A01021D" w14:textId="77777777" w:rsidTr="00877845">
        <w:trPr>
          <w:trHeight w:val="20"/>
        </w:trPr>
        <w:tc>
          <w:tcPr>
            <w:tcW w:w="3790" w:type="dxa"/>
            <w:tcBorders>
              <w:top w:val="single" w:sz="7" w:space="0" w:color="000000"/>
              <w:left w:val="single" w:sz="12" w:space="0" w:color="000000"/>
              <w:bottom w:val="single" w:sz="7" w:space="0" w:color="000000"/>
              <w:right w:val="single" w:sz="12" w:space="0" w:color="000000"/>
            </w:tcBorders>
            <w:vAlign w:val="center"/>
          </w:tcPr>
          <w:p w14:paraId="5485E7CF" w14:textId="77777777" w:rsidR="00B56D50" w:rsidRPr="006B0147" w:rsidRDefault="001C3C42" w:rsidP="006B0147">
            <w:pPr>
              <w:spacing w:after="0" w:line="259" w:lineRule="auto"/>
              <w:ind w:left="0" w:right="0" w:firstLine="0"/>
              <w:rPr>
                <w:sz w:val="20"/>
                <w:szCs w:val="20"/>
              </w:rPr>
            </w:pPr>
            <w:r w:rsidRPr="006B0147">
              <w:rPr>
                <w:sz w:val="20"/>
                <w:szCs w:val="20"/>
              </w:rPr>
              <w:t>Nitrates &amp; Nitrites (NO</w:t>
            </w:r>
            <w:r w:rsidRPr="006B0147">
              <w:rPr>
                <w:sz w:val="20"/>
                <w:szCs w:val="20"/>
                <w:vertAlign w:val="subscript"/>
              </w:rPr>
              <w:t>3</w:t>
            </w:r>
            <w:r w:rsidRPr="006B0147">
              <w:rPr>
                <w:sz w:val="20"/>
                <w:szCs w:val="20"/>
                <w:vertAlign w:val="superscript"/>
              </w:rPr>
              <w:t>2-</w:t>
            </w:r>
            <w:r w:rsidRPr="006B0147">
              <w:rPr>
                <w:sz w:val="20"/>
                <w:szCs w:val="20"/>
              </w:rPr>
              <w:t>+NO</w:t>
            </w:r>
            <w:r w:rsidRPr="006B0147">
              <w:rPr>
                <w:sz w:val="20"/>
                <w:szCs w:val="20"/>
                <w:vertAlign w:val="subscript"/>
              </w:rPr>
              <w:t>2</w:t>
            </w:r>
            <w:r w:rsidRPr="006B0147">
              <w:rPr>
                <w:sz w:val="20"/>
                <w:szCs w:val="20"/>
                <w:vertAlign w:val="superscript"/>
              </w:rPr>
              <w:t>-</w:t>
            </w:r>
            <w:r w:rsidRPr="006B0147">
              <w:rPr>
                <w:sz w:val="20"/>
                <w:szCs w:val="20"/>
              </w:rPr>
              <w:t xml:space="preserve">) </w:t>
            </w:r>
          </w:p>
        </w:tc>
        <w:tc>
          <w:tcPr>
            <w:tcW w:w="1618" w:type="dxa"/>
            <w:tcBorders>
              <w:top w:val="single" w:sz="7" w:space="0" w:color="000000"/>
              <w:left w:val="single" w:sz="12" w:space="0" w:color="000000"/>
              <w:bottom w:val="single" w:sz="7" w:space="0" w:color="000000"/>
              <w:right w:val="single" w:sz="12" w:space="0" w:color="000000"/>
            </w:tcBorders>
            <w:vAlign w:val="center"/>
          </w:tcPr>
          <w:p w14:paraId="301AD906" w14:textId="7C867303" w:rsidR="00B56D50" w:rsidRPr="006B0147" w:rsidRDefault="001C3C42" w:rsidP="006B0147">
            <w:pPr>
              <w:spacing w:after="0" w:line="259" w:lineRule="auto"/>
              <w:ind w:left="0" w:right="34" w:firstLine="0"/>
              <w:jc w:val="center"/>
              <w:rPr>
                <w:sz w:val="20"/>
                <w:szCs w:val="20"/>
              </w:rPr>
            </w:pPr>
            <w:r w:rsidRPr="006B0147">
              <w:rPr>
                <w:sz w:val="20"/>
                <w:szCs w:val="20"/>
              </w:rPr>
              <w:t>500 mL G</w:t>
            </w:r>
          </w:p>
        </w:tc>
        <w:tc>
          <w:tcPr>
            <w:tcW w:w="1622" w:type="dxa"/>
            <w:tcBorders>
              <w:top w:val="single" w:sz="7" w:space="0" w:color="000000"/>
              <w:left w:val="single" w:sz="12" w:space="0" w:color="000000"/>
              <w:bottom w:val="single" w:sz="7" w:space="0" w:color="000000"/>
              <w:right w:val="single" w:sz="12" w:space="0" w:color="000000"/>
            </w:tcBorders>
            <w:vAlign w:val="center"/>
          </w:tcPr>
          <w:p w14:paraId="11049971" w14:textId="4CF7386B" w:rsidR="00B56D50" w:rsidRPr="006B0147" w:rsidRDefault="001C3C42" w:rsidP="006B0147">
            <w:pPr>
              <w:spacing w:after="0" w:line="259" w:lineRule="auto"/>
              <w:ind w:left="0" w:right="24" w:firstLine="0"/>
              <w:jc w:val="center"/>
              <w:rPr>
                <w:sz w:val="20"/>
                <w:szCs w:val="20"/>
              </w:rPr>
            </w:pPr>
            <w:r w:rsidRPr="006B0147">
              <w:rPr>
                <w:sz w:val="20"/>
                <w:szCs w:val="20"/>
              </w:rPr>
              <w:t>Ice (4</w:t>
            </w:r>
            <w:r w:rsidRPr="006B0147">
              <w:rPr>
                <w:sz w:val="20"/>
                <w:szCs w:val="20"/>
                <w:vertAlign w:val="superscript"/>
              </w:rPr>
              <w:t>0</w:t>
            </w:r>
            <w:r w:rsidRPr="006B0147">
              <w:rPr>
                <w:sz w:val="20"/>
                <w:szCs w:val="20"/>
              </w:rPr>
              <w:t>C)</w:t>
            </w:r>
          </w:p>
        </w:tc>
        <w:tc>
          <w:tcPr>
            <w:tcW w:w="2037" w:type="dxa"/>
            <w:tcBorders>
              <w:top w:val="single" w:sz="7" w:space="0" w:color="000000"/>
              <w:left w:val="single" w:sz="12" w:space="0" w:color="000000"/>
              <w:bottom w:val="single" w:sz="7" w:space="0" w:color="000000"/>
              <w:right w:val="single" w:sz="12" w:space="0" w:color="000000"/>
            </w:tcBorders>
            <w:vAlign w:val="center"/>
          </w:tcPr>
          <w:p w14:paraId="787F4ADB" w14:textId="433C444D" w:rsidR="00B56D50" w:rsidRPr="006B0147" w:rsidRDefault="001C3C42" w:rsidP="006B0147">
            <w:pPr>
              <w:spacing w:after="0" w:line="259" w:lineRule="auto"/>
              <w:ind w:left="0" w:right="30" w:firstLine="0"/>
              <w:jc w:val="center"/>
              <w:rPr>
                <w:sz w:val="20"/>
                <w:szCs w:val="20"/>
              </w:rPr>
            </w:pPr>
            <w:r w:rsidRPr="006B0147">
              <w:rPr>
                <w:sz w:val="20"/>
                <w:szCs w:val="20"/>
              </w:rPr>
              <w:t>28 days</w:t>
            </w:r>
          </w:p>
        </w:tc>
        <w:tc>
          <w:tcPr>
            <w:tcW w:w="1574" w:type="dxa"/>
            <w:tcBorders>
              <w:top w:val="single" w:sz="7" w:space="0" w:color="000000"/>
              <w:left w:val="single" w:sz="12" w:space="0" w:color="000000"/>
              <w:bottom w:val="single" w:sz="7" w:space="0" w:color="000000"/>
              <w:right w:val="single" w:sz="12" w:space="0" w:color="000000"/>
            </w:tcBorders>
            <w:vAlign w:val="center"/>
          </w:tcPr>
          <w:p w14:paraId="4667A659" w14:textId="7A15193B" w:rsidR="00B56D50" w:rsidRPr="006B0147" w:rsidRDefault="001C3C42" w:rsidP="006B0147">
            <w:pPr>
              <w:spacing w:after="0" w:line="259" w:lineRule="auto"/>
              <w:ind w:left="0" w:right="30" w:firstLine="0"/>
              <w:jc w:val="center"/>
              <w:rPr>
                <w:sz w:val="20"/>
                <w:szCs w:val="20"/>
              </w:rPr>
            </w:pPr>
            <w:r w:rsidRPr="006B0147">
              <w:rPr>
                <w:sz w:val="20"/>
                <w:szCs w:val="20"/>
              </w:rPr>
              <w:t>1-1 L   P, G</w:t>
            </w:r>
          </w:p>
        </w:tc>
        <w:tc>
          <w:tcPr>
            <w:tcW w:w="2650" w:type="dxa"/>
            <w:tcBorders>
              <w:top w:val="single" w:sz="7" w:space="0" w:color="000000"/>
              <w:left w:val="single" w:sz="12" w:space="0" w:color="000000"/>
              <w:bottom w:val="single" w:sz="7" w:space="0" w:color="000000"/>
              <w:right w:val="single" w:sz="12" w:space="0" w:color="000000"/>
            </w:tcBorders>
            <w:vAlign w:val="center"/>
          </w:tcPr>
          <w:p w14:paraId="116588AA" w14:textId="1675F5C8" w:rsidR="00B56D50" w:rsidRPr="006B0147" w:rsidRDefault="001C3C42" w:rsidP="006B0147">
            <w:pPr>
              <w:spacing w:after="0" w:line="259" w:lineRule="auto"/>
              <w:ind w:left="0" w:right="29" w:firstLine="0"/>
              <w:jc w:val="center"/>
              <w:rPr>
                <w:sz w:val="20"/>
                <w:szCs w:val="20"/>
              </w:rPr>
            </w:pPr>
            <w:r w:rsidRPr="006B0147">
              <w:rPr>
                <w:sz w:val="20"/>
                <w:szCs w:val="20"/>
              </w:rPr>
              <w:t>Ice (4</w:t>
            </w:r>
            <w:r w:rsidRPr="006B0147">
              <w:rPr>
                <w:sz w:val="20"/>
                <w:szCs w:val="20"/>
                <w:vertAlign w:val="superscript"/>
              </w:rPr>
              <w:t>0</w:t>
            </w:r>
            <w:r w:rsidR="006E75AF" w:rsidRPr="006B0147">
              <w:rPr>
                <w:sz w:val="20"/>
                <w:szCs w:val="20"/>
              </w:rPr>
              <w:t>C) +</w:t>
            </w:r>
            <w:r w:rsidRPr="006B0147">
              <w:rPr>
                <w:sz w:val="20"/>
                <w:szCs w:val="20"/>
              </w:rPr>
              <w:t>H</w:t>
            </w:r>
            <w:r w:rsidRPr="006B0147">
              <w:rPr>
                <w:sz w:val="20"/>
                <w:szCs w:val="20"/>
                <w:vertAlign w:val="subscript"/>
              </w:rPr>
              <w:t>2</w:t>
            </w:r>
            <w:r w:rsidRPr="006B0147">
              <w:rPr>
                <w:sz w:val="20"/>
                <w:szCs w:val="20"/>
              </w:rPr>
              <w:t>SO</w:t>
            </w:r>
            <w:r w:rsidRPr="006B0147">
              <w:rPr>
                <w:sz w:val="20"/>
                <w:szCs w:val="20"/>
                <w:vertAlign w:val="subscript"/>
              </w:rPr>
              <w:t>4</w:t>
            </w:r>
          </w:p>
        </w:tc>
        <w:tc>
          <w:tcPr>
            <w:tcW w:w="1440" w:type="dxa"/>
            <w:tcBorders>
              <w:top w:val="single" w:sz="7" w:space="0" w:color="000000"/>
              <w:left w:val="single" w:sz="12" w:space="0" w:color="000000"/>
              <w:bottom w:val="single" w:sz="7" w:space="0" w:color="000000"/>
              <w:right w:val="single" w:sz="12" w:space="0" w:color="000000"/>
            </w:tcBorders>
            <w:vAlign w:val="center"/>
          </w:tcPr>
          <w:p w14:paraId="7F389D8C" w14:textId="4662AB2F" w:rsidR="00B56D50" w:rsidRPr="006B0147" w:rsidRDefault="001C3C42" w:rsidP="006B0147">
            <w:pPr>
              <w:spacing w:after="0" w:line="259" w:lineRule="auto"/>
              <w:ind w:left="0" w:right="28" w:firstLine="0"/>
              <w:jc w:val="center"/>
              <w:rPr>
                <w:sz w:val="20"/>
                <w:szCs w:val="20"/>
              </w:rPr>
            </w:pPr>
            <w:r w:rsidRPr="006B0147">
              <w:rPr>
                <w:sz w:val="20"/>
                <w:szCs w:val="20"/>
              </w:rPr>
              <w:t>28 days</w:t>
            </w:r>
          </w:p>
        </w:tc>
      </w:tr>
      <w:tr w:rsidR="00F95666" w14:paraId="75E4C912" w14:textId="77777777" w:rsidTr="00877845">
        <w:trPr>
          <w:trHeight w:val="20"/>
        </w:trPr>
        <w:tc>
          <w:tcPr>
            <w:tcW w:w="3790" w:type="dxa"/>
            <w:tcBorders>
              <w:top w:val="single" w:sz="7" w:space="0" w:color="000000"/>
              <w:left w:val="single" w:sz="12" w:space="0" w:color="000000"/>
              <w:bottom w:val="single" w:sz="7" w:space="0" w:color="000000"/>
              <w:right w:val="single" w:sz="12" w:space="0" w:color="000000"/>
            </w:tcBorders>
            <w:vAlign w:val="center"/>
          </w:tcPr>
          <w:p w14:paraId="53BAEEEC" w14:textId="77777777" w:rsidR="00B56D50" w:rsidRPr="006B0147" w:rsidRDefault="001C3C42" w:rsidP="006B0147">
            <w:pPr>
              <w:spacing w:after="0" w:line="259" w:lineRule="auto"/>
              <w:ind w:left="0" w:right="0" w:firstLine="0"/>
              <w:rPr>
                <w:sz w:val="20"/>
                <w:szCs w:val="20"/>
              </w:rPr>
            </w:pPr>
            <w:r w:rsidRPr="006B0147">
              <w:rPr>
                <w:sz w:val="20"/>
                <w:szCs w:val="20"/>
              </w:rPr>
              <w:t xml:space="preserve">Oil and </w:t>
            </w:r>
            <w:proofErr w:type="gramStart"/>
            <w:r w:rsidRPr="006B0147">
              <w:rPr>
                <w:sz w:val="20"/>
                <w:szCs w:val="20"/>
              </w:rPr>
              <w:t>Grease</w:t>
            </w:r>
            <w:proofErr w:type="gramEnd"/>
            <w:r w:rsidRPr="006B0147">
              <w:rPr>
                <w:sz w:val="20"/>
                <w:szCs w:val="20"/>
              </w:rPr>
              <w:t xml:space="preserve"> </w:t>
            </w:r>
          </w:p>
        </w:tc>
        <w:tc>
          <w:tcPr>
            <w:tcW w:w="1618" w:type="dxa"/>
            <w:tcBorders>
              <w:top w:val="single" w:sz="7" w:space="0" w:color="000000"/>
              <w:left w:val="single" w:sz="12" w:space="0" w:color="000000"/>
              <w:bottom w:val="single" w:sz="7" w:space="0" w:color="000000"/>
              <w:right w:val="single" w:sz="12" w:space="0" w:color="000000"/>
            </w:tcBorders>
            <w:vAlign w:val="center"/>
          </w:tcPr>
          <w:p w14:paraId="456CAC26" w14:textId="524E0663" w:rsidR="00B56D50" w:rsidRPr="006B0147" w:rsidRDefault="001C3C42" w:rsidP="006B0147">
            <w:pPr>
              <w:spacing w:after="0" w:line="259" w:lineRule="auto"/>
              <w:ind w:left="0" w:right="28" w:firstLine="0"/>
              <w:jc w:val="center"/>
              <w:rPr>
                <w:sz w:val="20"/>
                <w:szCs w:val="20"/>
              </w:rPr>
            </w:pPr>
            <w:r w:rsidRPr="006B0147">
              <w:rPr>
                <w:sz w:val="20"/>
                <w:szCs w:val="20"/>
              </w:rPr>
              <w:t>NA</w:t>
            </w:r>
          </w:p>
        </w:tc>
        <w:tc>
          <w:tcPr>
            <w:tcW w:w="1622" w:type="dxa"/>
            <w:tcBorders>
              <w:top w:val="single" w:sz="7" w:space="0" w:color="000000"/>
              <w:left w:val="single" w:sz="12" w:space="0" w:color="000000"/>
              <w:bottom w:val="single" w:sz="7" w:space="0" w:color="000000"/>
              <w:right w:val="single" w:sz="12" w:space="0" w:color="000000"/>
            </w:tcBorders>
            <w:vAlign w:val="center"/>
          </w:tcPr>
          <w:p w14:paraId="75151487" w14:textId="1657D56A" w:rsidR="00B56D50" w:rsidRPr="006B0147" w:rsidRDefault="00B56D50" w:rsidP="006B0147">
            <w:pPr>
              <w:spacing w:after="0" w:line="259" w:lineRule="auto"/>
              <w:ind w:left="24" w:right="0" w:firstLine="0"/>
              <w:jc w:val="center"/>
              <w:rPr>
                <w:sz w:val="20"/>
                <w:szCs w:val="20"/>
              </w:rPr>
            </w:pPr>
          </w:p>
        </w:tc>
        <w:tc>
          <w:tcPr>
            <w:tcW w:w="2037" w:type="dxa"/>
            <w:tcBorders>
              <w:top w:val="single" w:sz="7" w:space="0" w:color="000000"/>
              <w:left w:val="single" w:sz="12" w:space="0" w:color="000000"/>
              <w:bottom w:val="single" w:sz="7" w:space="0" w:color="000000"/>
              <w:right w:val="single" w:sz="12" w:space="0" w:color="000000"/>
            </w:tcBorders>
            <w:vAlign w:val="center"/>
          </w:tcPr>
          <w:p w14:paraId="44C1805F" w14:textId="42A307FE" w:rsidR="00B56D50" w:rsidRPr="006B0147" w:rsidRDefault="00B56D50" w:rsidP="006B0147">
            <w:pPr>
              <w:spacing w:after="0" w:line="259" w:lineRule="auto"/>
              <w:ind w:left="25" w:right="0" w:firstLine="0"/>
              <w:jc w:val="center"/>
              <w:rPr>
                <w:sz w:val="20"/>
                <w:szCs w:val="20"/>
              </w:rPr>
            </w:pPr>
          </w:p>
        </w:tc>
        <w:tc>
          <w:tcPr>
            <w:tcW w:w="1574" w:type="dxa"/>
            <w:tcBorders>
              <w:top w:val="single" w:sz="7" w:space="0" w:color="000000"/>
              <w:left w:val="single" w:sz="12" w:space="0" w:color="000000"/>
              <w:bottom w:val="single" w:sz="7" w:space="0" w:color="000000"/>
              <w:right w:val="single" w:sz="12" w:space="0" w:color="000000"/>
            </w:tcBorders>
            <w:vAlign w:val="center"/>
          </w:tcPr>
          <w:p w14:paraId="4E6683C5" w14:textId="729469E9" w:rsidR="00B56D50" w:rsidRPr="006B0147" w:rsidRDefault="001C3C42" w:rsidP="006B0147">
            <w:pPr>
              <w:spacing w:after="0" w:line="259" w:lineRule="auto"/>
              <w:ind w:left="4" w:right="0" w:firstLine="0"/>
              <w:jc w:val="center"/>
              <w:rPr>
                <w:sz w:val="20"/>
                <w:szCs w:val="20"/>
              </w:rPr>
            </w:pPr>
            <w:r w:rsidRPr="006B0147">
              <w:rPr>
                <w:sz w:val="20"/>
                <w:szCs w:val="20"/>
              </w:rPr>
              <w:t>1-1 L   G</w:t>
            </w:r>
          </w:p>
        </w:tc>
        <w:tc>
          <w:tcPr>
            <w:tcW w:w="2650" w:type="dxa"/>
            <w:tcBorders>
              <w:top w:val="single" w:sz="7" w:space="0" w:color="000000"/>
              <w:left w:val="single" w:sz="12" w:space="0" w:color="000000"/>
              <w:bottom w:val="single" w:sz="7" w:space="0" w:color="000000"/>
              <w:right w:val="single" w:sz="12" w:space="0" w:color="000000"/>
            </w:tcBorders>
            <w:vAlign w:val="center"/>
          </w:tcPr>
          <w:p w14:paraId="4DD9EC70" w14:textId="42B00C8D" w:rsidR="00B56D50" w:rsidRPr="006F5AD1" w:rsidRDefault="001C3C42" w:rsidP="006B0147">
            <w:pPr>
              <w:spacing w:after="0" w:line="259" w:lineRule="auto"/>
              <w:ind w:left="0" w:right="27" w:firstLine="0"/>
              <w:jc w:val="center"/>
              <w:rPr>
                <w:sz w:val="20"/>
                <w:szCs w:val="20"/>
              </w:rPr>
            </w:pPr>
            <w:r w:rsidRPr="006B0147">
              <w:rPr>
                <w:sz w:val="20"/>
                <w:szCs w:val="20"/>
              </w:rPr>
              <w:t>Ice (4</w:t>
            </w:r>
            <w:r w:rsidRPr="006B0147">
              <w:rPr>
                <w:sz w:val="20"/>
                <w:szCs w:val="20"/>
                <w:vertAlign w:val="superscript"/>
              </w:rPr>
              <w:t>0</w:t>
            </w:r>
            <w:r w:rsidR="006E75AF" w:rsidRPr="006B0147">
              <w:rPr>
                <w:sz w:val="20"/>
                <w:szCs w:val="20"/>
              </w:rPr>
              <w:t>C) +</w:t>
            </w:r>
            <w:r w:rsidRPr="006B0147">
              <w:rPr>
                <w:sz w:val="20"/>
                <w:szCs w:val="20"/>
              </w:rPr>
              <w:t>H</w:t>
            </w:r>
            <w:r w:rsidRPr="006B0147">
              <w:rPr>
                <w:sz w:val="20"/>
                <w:szCs w:val="20"/>
                <w:vertAlign w:val="subscript"/>
              </w:rPr>
              <w:t>2</w:t>
            </w:r>
            <w:r w:rsidRPr="006B0147">
              <w:rPr>
                <w:sz w:val="20"/>
                <w:szCs w:val="20"/>
              </w:rPr>
              <w:t>SO</w:t>
            </w:r>
            <w:r w:rsidR="00CC24F4" w:rsidRPr="006B0147">
              <w:rPr>
                <w:sz w:val="20"/>
                <w:szCs w:val="20"/>
                <w:vertAlign w:val="subscript"/>
              </w:rPr>
              <w:t xml:space="preserve">4 </w:t>
            </w:r>
            <w:r w:rsidR="00CC24F4" w:rsidRPr="006B0147">
              <w:rPr>
                <w:sz w:val="20"/>
                <w:szCs w:val="20"/>
              </w:rPr>
              <w:t>to</w:t>
            </w:r>
            <w:r w:rsidRPr="006B0147">
              <w:rPr>
                <w:sz w:val="20"/>
                <w:szCs w:val="20"/>
              </w:rPr>
              <w:t xml:space="preserve"> pH&lt;2</w:t>
            </w:r>
          </w:p>
        </w:tc>
        <w:tc>
          <w:tcPr>
            <w:tcW w:w="1440" w:type="dxa"/>
            <w:tcBorders>
              <w:top w:val="single" w:sz="7" w:space="0" w:color="000000"/>
              <w:left w:val="single" w:sz="12" w:space="0" w:color="000000"/>
              <w:bottom w:val="single" w:sz="7" w:space="0" w:color="000000"/>
              <w:right w:val="single" w:sz="12" w:space="0" w:color="000000"/>
            </w:tcBorders>
            <w:vAlign w:val="center"/>
          </w:tcPr>
          <w:p w14:paraId="3C5076A7" w14:textId="76DE4F44" w:rsidR="00B56D50" w:rsidRPr="006F5AD1" w:rsidRDefault="001C3C42" w:rsidP="006B0147">
            <w:pPr>
              <w:spacing w:after="0" w:line="259" w:lineRule="auto"/>
              <w:ind w:left="0" w:right="26" w:firstLine="0"/>
              <w:jc w:val="center"/>
              <w:rPr>
                <w:sz w:val="20"/>
                <w:szCs w:val="20"/>
              </w:rPr>
            </w:pPr>
            <w:r w:rsidRPr="006B0147">
              <w:rPr>
                <w:sz w:val="20"/>
                <w:szCs w:val="20"/>
              </w:rPr>
              <w:t>28days</w:t>
            </w:r>
          </w:p>
        </w:tc>
      </w:tr>
      <w:tr w:rsidR="00F95666" w14:paraId="6BF508F0" w14:textId="77777777" w:rsidTr="00877845">
        <w:trPr>
          <w:trHeight w:val="20"/>
        </w:trPr>
        <w:tc>
          <w:tcPr>
            <w:tcW w:w="3790" w:type="dxa"/>
            <w:tcBorders>
              <w:top w:val="single" w:sz="7" w:space="0" w:color="000000"/>
              <w:left w:val="single" w:sz="12" w:space="0" w:color="000000"/>
              <w:bottom w:val="single" w:sz="7" w:space="0" w:color="000000"/>
              <w:right w:val="single" w:sz="12" w:space="0" w:color="000000"/>
            </w:tcBorders>
            <w:vAlign w:val="center"/>
          </w:tcPr>
          <w:p w14:paraId="30DA6D9B" w14:textId="7955226D" w:rsidR="00B56D50" w:rsidRPr="006F5AD1" w:rsidRDefault="001C3C42" w:rsidP="006B0147">
            <w:pPr>
              <w:spacing w:after="0" w:line="259" w:lineRule="auto"/>
              <w:ind w:left="0" w:right="0" w:firstLine="0"/>
              <w:rPr>
                <w:sz w:val="20"/>
                <w:szCs w:val="20"/>
              </w:rPr>
            </w:pPr>
            <w:r w:rsidRPr="006B0147">
              <w:rPr>
                <w:sz w:val="20"/>
                <w:szCs w:val="20"/>
              </w:rPr>
              <w:t>Orthophosphate, Dissolved</w:t>
            </w:r>
          </w:p>
        </w:tc>
        <w:tc>
          <w:tcPr>
            <w:tcW w:w="1618" w:type="dxa"/>
            <w:tcBorders>
              <w:top w:val="single" w:sz="7" w:space="0" w:color="000000"/>
              <w:left w:val="single" w:sz="12" w:space="0" w:color="000000"/>
              <w:bottom w:val="single" w:sz="7" w:space="0" w:color="000000"/>
              <w:right w:val="single" w:sz="12" w:space="0" w:color="000000"/>
            </w:tcBorders>
            <w:vAlign w:val="center"/>
          </w:tcPr>
          <w:p w14:paraId="46AB909A" w14:textId="4993DFEF" w:rsidR="00B56D50" w:rsidRPr="006F5AD1" w:rsidRDefault="001C3C42" w:rsidP="006B0147">
            <w:pPr>
              <w:spacing w:after="0" w:line="259" w:lineRule="auto"/>
              <w:ind w:left="0" w:right="28" w:firstLine="0"/>
              <w:jc w:val="center"/>
              <w:rPr>
                <w:sz w:val="20"/>
                <w:szCs w:val="20"/>
              </w:rPr>
            </w:pPr>
            <w:r w:rsidRPr="006B0147">
              <w:rPr>
                <w:sz w:val="20"/>
                <w:szCs w:val="20"/>
              </w:rPr>
              <w:t>NA</w:t>
            </w:r>
          </w:p>
        </w:tc>
        <w:tc>
          <w:tcPr>
            <w:tcW w:w="1622" w:type="dxa"/>
            <w:tcBorders>
              <w:top w:val="single" w:sz="7" w:space="0" w:color="000000"/>
              <w:left w:val="single" w:sz="12" w:space="0" w:color="000000"/>
              <w:bottom w:val="single" w:sz="7" w:space="0" w:color="000000"/>
              <w:right w:val="single" w:sz="12" w:space="0" w:color="000000"/>
            </w:tcBorders>
            <w:vAlign w:val="center"/>
          </w:tcPr>
          <w:p w14:paraId="6002F55E" w14:textId="07BE9992" w:rsidR="00B56D50" w:rsidRPr="006F5AD1" w:rsidRDefault="00B56D50" w:rsidP="006B0147">
            <w:pPr>
              <w:spacing w:after="0" w:line="259" w:lineRule="auto"/>
              <w:ind w:left="0" w:right="0" w:firstLine="0"/>
              <w:jc w:val="center"/>
              <w:rPr>
                <w:sz w:val="20"/>
                <w:szCs w:val="20"/>
              </w:rPr>
            </w:pPr>
          </w:p>
        </w:tc>
        <w:tc>
          <w:tcPr>
            <w:tcW w:w="2037" w:type="dxa"/>
            <w:tcBorders>
              <w:top w:val="single" w:sz="7" w:space="0" w:color="000000"/>
              <w:left w:val="single" w:sz="12" w:space="0" w:color="000000"/>
              <w:bottom w:val="single" w:sz="7" w:space="0" w:color="000000"/>
              <w:right w:val="single" w:sz="12" w:space="0" w:color="000000"/>
            </w:tcBorders>
            <w:vAlign w:val="center"/>
          </w:tcPr>
          <w:p w14:paraId="4F866D22" w14:textId="0B0FC0F5" w:rsidR="00B56D50" w:rsidRPr="006F5AD1" w:rsidRDefault="00B56D50" w:rsidP="006B0147">
            <w:pPr>
              <w:spacing w:after="0" w:line="259" w:lineRule="auto"/>
              <w:ind w:left="0" w:right="0" w:firstLine="0"/>
              <w:jc w:val="center"/>
              <w:rPr>
                <w:sz w:val="20"/>
                <w:szCs w:val="20"/>
              </w:rPr>
            </w:pPr>
          </w:p>
        </w:tc>
        <w:tc>
          <w:tcPr>
            <w:tcW w:w="1574" w:type="dxa"/>
            <w:tcBorders>
              <w:top w:val="single" w:sz="7" w:space="0" w:color="000000"/>
              <w:left w:val="single" w:sz="12" w:space="0" w:color="000000"/>
              <w:bottom w:val="single" w:sz="7" w:space="0" w:color="000000"/>
              <w:right w:val="single" w:sz="12" w:space="0" w:color="000000"/>
            </w:tcBorders>
            <w:vAlign w:val="center"/>
          </w:tcPr>
          <w:p w14:paraId="1E2795DA" w14:textId="33BA5E4B" w:rsidR="00B56D50" w:rsidRPr="006F5AD1" w:rsidRDefault="001C3C42" w:rsidP="006B0147">
            <w:pPr>
              <w:spacing w:after="0" w:line="259" w:lineRule="auto"/>
              <w:ind w:left="0" w:right="30" w:firstLine="0"/>
              <w:jc w:val="center"/>
              <w:rPr>
                <w:sz w:val="20"/>
                <w:szCs w:val="20"/>
              </w:rPr>
            </w:pPr>
            <w:r w:rsidRPr="006B0147">
              <w:rPr>
                <w:sz w:val="20"/>
                <w:szCs w:val="20"/>
              </w:rPr>
              <w:t>1-1 L   P, G</w:t>
            </w:r>
          </w:p>
        </w:tc>
        <w:tc>
          <w:tcPr>
            <w:tcW w:w="2650" w:type="dxa"/>
            <w:tcBorders>
              <w:top w:val="single" w:sz="7" w:space="0" w:color="000000"/>
              <w:left w:val="single" w:sz="12" w:space="0" w:color="000000"/>
              <w:bottom w:val="single" w:sz="7" w:space="0" w:color="000000"/>
              <w:right w:val="single" w:sz="12" w:space="0" w:color="000000"/>
            </w:tcBorders>
            <w:vAlign w:val="center"/>
          </w:tcPr>
          <w:p w14:paraId="4AAD187F" w14:textId="2C086FAF" w:rsidR="00B56D50" w:rsidRPr="006F5AD1" w:rsidRDefault="001C3C42" w:rsidP="006B0147">
            <w:pPr>
              <w:spacing w:after="0" w:line="259" w:lineRule="auto"/>
              <w:ind w:left="0" w:right="30" w:firstLine="0"/>
              <w:jc w:val="center"/>
              <w:rPr>
                <w:sz w:val="20"/>
                <w:szCs w:val="20"/>
              </w:rPr>
            </w:pPr>
            <w:r w:rsidRPr="006B0147">
              <w:rPr>
                <w:sz w:val="20"/>
                <w:szCs w:val="20"/>
              </w:rPr>
              <w:t>filter, Ice (4</w:t>
            </w:r>
            <w:r w:rsidRPr="006B0147">
              <w:rPr>
                <w:sz w:val="20"/>
                <w:szCs w:val="20"/>
                <w:vertAlign w:val="superscript"/>
              </w:rPr>
              <w:t>0</w:t>
            </w:r>
            <w:r w:rsidRPr="006B0147">
              <w:rPr>
                <w:sz w:val="20"/>
                <w:szCs w:val="20"/>
              </w:rPr>
              <w:t>C)</w:t>
            </w:r>
          </w:p>
        </w:tc>
        <w:tc>
          <w:tcPr>
            <w:tcW w:w="1440" w:type="dxa"/>
            <w:tcBorders>
              <w:top w:val="single" w:sz="7" w:space="0" w:color="000000"/>
              <w:left w:val="single" w:sz="12" w:space="0" w:color="000000"/>
              <w:bottom w:val="single" w:sz="7" w:space="0" w:color="000000"/>
              <w:right w:val="single" w:sz="12" w:space="0" w:color="000000"/>
            </w:tcBorders>
            <w:vAlign w:val="center"/>
          </w:tcPr>
          <w:p w14:paraId="06F7D00C" w14:textId="5E1DBBB1" w:rsidR="00B56D50" w:rsidRPr="006F5AD1" w:rsidRDefault="001C3C42" w:rsidP="006B0147">
            <w:pPr>
              <w:spacing w:after="0" w:line="259" w:lineRule="auto"/>
              <w:ind w:left="0" w:right="28" w:firstLine="0"/>
              <w:jc w:val="center"/>
              <w:rPr>
                <w:sz w:val="20"/>
                <w:szCs w:val="20"/>
              </w:rPr>
            </w:pPr>
            <w:r w:rsidRPr="006B0147">
              <w:rPr>
                <w:sz w:val="20"/>
                <w:szCs w:val="20"/>
              </w:rPr>
              <w:t>2 days</w:t>
            </w:r>
          </w:p>
        </w:tc>
      </w:tr>
      <w:tr w:rsidR="00F95666" w14:paraId="1E493FAE" w14:textId="77777777" w:rsidTr="00877845">
        <w:trPr>
          <w:trHeight w:val="20"/>
        </w:trPr>
        <w:tc>
          <w:tcPr>
            <w:tcW w:w="3790" w:type="dxa"/>
            <w:tcBorders>
              <w:top w:val="single" w:sz="7" w:space="0" w:color="000000"/>
              <w:left w:val="single" w:sz="12" w:space="0" w:color="000000"/>
              <w:bottom w:val="single" w:sz="7" w:space="0" w:color="000000"/>
              <w:right w:val="single" w:sz="12" w:space="0" w:color="000000"/>
            </w:tcBorders>
            <w:vAlign w:val="center"/>
          </w:tcPr>
          <w:p w14:paraId="634AEC1B" w14:textId="738F9D2A" w:rsidR="00B56D50" w:rsidRPr="006F5AD1" w:rsidRDefault="001C3C42" w:rsidP="006B0147">
            <w:pPr>
              <w:spacing w:after="0" w:line="259" w:lineRule="auto"/>
              <w:ind w:left="0" w:right="0" w:firstLine="0"/>
              <w:rPr>
                <w:sz w:val="20"/>
                <w:szCs w:val="20"/>
              </w:rPr>
            </w:pPr>
            <w:r w:rsidRPr="006B0147">
              <w:rPr>
                <w:sz w:val="20"/>
                <w:szCs w:val="20"/>
              </w:rPr>
              <w:t>pH</w:t>
            </w:r>
          </w:p>
        </w:tc>
        <w:tc>
          <w:tcPr>
            <w:tcW w:w="1618" w:type="dxa"/>
            <w:tcBorders>
              <w:top w:val="single" w:sz="7" w:space="0" w:color="000000"/>
              <w:left w:val="single" w:sz="12" w:space="0" w:color="000000"/>
              <w:bottom w:val="single" w:sz="7" w:space="0" w:color="000000"/>
              <w:right w:val="single" w:sz="12" w:space="0" w:color="000000"/>
            </w:tcBorders>
            <w:vAlign w:val="center"/>
          </w:tcPr>
          <w:p w14:paraId="4C50A7DE" w14:textId="1DAF75E8" w:rsidR="00B56D50" w:rsidRPr="006F5AD1" w:rsidRDefault="001C3C42" w:rsidP="006B0147">
            <w:pPr>
              <w:spacing w:after="0" w:line="259" w:lineRule="auto"/>
              <w:ind w:left="0" w:right="34" w:firstLine="0"/>
              <w:jc w:val="center"/>
              <w:rPr>
                <w:sz w:val="20"/>
                <w:szCs w:val="20"/>
              </w:rPr>
            </w:pPr>
            <w:r w:rsidRPr="006B0147">
              <w:rPr>
                <w:sz w:val="20"/>
                <w:szCs w:val="20"/>
              </w:rPr>
              <w:t>500 mL G</w:t>
            </w:r>
          </w:p>
        </w:tc>
        <w:tc>
          <w:tcPr>
            <w:tcW w:w="1622" w:type="dxa"/>
            <w:tcBorders>
              <w:top w:val="single" w:sz="7" w:space="0" w:color="000000"/>
              <w:left w:val="single" w:sz="12" w:space="0" w:color="000000"/>
              <w:bottom w:val="single" w:sz="7" w:space="0" w:color="000000"/>
              <w:right w:val="single" w:sz="12" w:space="0" w:color="000000"/>
            </w:tcBorders>
            <w:vAlign w:val="center"/>
          </w:tcPr>
          <w:p w14:paraId="62295B22" w14:textId="136AED0D" w:rsidR="00B56D50" w:rsidRPr="006F5AD1" w:rsidRDefault="001C3C42" w:rsidP="006B0147">
            <w:pPr>
              <w:spacing w:after="0" w:line="259" w:lineRule="auto"/>
              <w:ind w:left="0" w:right="24" w:firstLine="0"/>
              <w:jc w:val="center"/>
              <w:rPr>
                <w:sz w:val="20"/>
                <w:szCs w:val="20"/>
              </w:rPr>
            </w:pPr>
            <w:r w:rsidRPr="006B0147">
              <w:rPr>
                <w:sz w:val="20"/>
                <w:szCs w:val="20"/>
              </w:rPr>
              <w:t>Ice (4</w:t>
            </w:r>
            <w:r w:rsidRPr="006B0147">
              <w:rPr>
                <w:sz w:val="20"/>
                <w:szCs w:val="20"/>
                <w:vertAlign w:val="superscript"/>
              </w:rPr>
              <w:t>0</w:t>
            </w:r>
            <w:r w:rsidRPr="006B0147">
              <w:rPr>
                <w:sz w:val="20"/>
                <w:szCs w:val="20"/>
              </w:rPr>
              <w:t>C)</w:t>
            </w:r>
          </w:p>
        </w:tc>
        <w:tc>
          <w:tcPr>
            <w:tcW w:w="2037" w:type="dxa"/>
            <w:tcBorders>
              <w:top w:val="single" w:sz="7" w:space="0" w:color="000000"/>
              <w:left w:val="single" w:sz="12" w:space="0" w:color="000000"/>
              <w:bottom w:val="single" w:sz="7" w:space="0" w:color="000000"/>
              <w:right w:val="single" w:sz="12" w:space="0" w:color="000000"/>
            </w:tcBorders>
            <w:vAlign w:val="center"/>
          </w:tcPr>
          <w:p w14:paraId="1D17E4DA" w14:textId="36917499" w:rsidR="00B56D50" w:rsidRPr="006F5AD1" w:rsidRDefault="001C3C42" w:rsidP="006B0147">
            <w:pPr>
              <w:spacing w:after="0" w:line="259" w:lineRule="auto"/>
              <w:ind w:left="0" w:right="27" w:firstLine="0"/>
              <w:jc w:val="center"/>
              <w:rPr>
                <w:sz w:val="20"/>
                <w:szCs w:val="20"/>
              </w:rPr>
            </w:pPr>
            <w:r w:rsidRPr="006B0147">
              <w:rPr>
                <w:sz w:val="20"/>
                <w:szCs w:val="20"/>
              </w:rPr>
              <w:t>Immediately</w:t>
            </w:r>
          </w:p>
        </w:tc>
        <w:tc>
          <w:tcPr>
            <w:tcW w:w="1574" w:type="dxa"/>
            <w:tcBorders>
              <w:top w:val="single" w:sz="7" w:space="0" w:color="000000"/>
              <w:left w:val="single" w:sz="12" w:space="0" w:color="000000"/>
              <w:bottom w:val="single" w:sz="7" w:space="0" w:color="000000"/>
              <w:right w:val="single" w:sz="12" w:space="0" w:color="000000"/>
            </w:tcBorders>
            <w:vAlign w:val="center"/>
          </w:tcPr>
          <w:p w14:paraId="4E01FE47" w14:textId="3C1A1BFD" w:rsidR="00B56D50" w:rsidRPr="006F5AD1" w:rsidRDefault="001C3C42" w:rsidP="006B0147">
            <w:pPr>
              <w:spacing w:after="0" w:line="259" w:lineRule="auto"/>
              <w:ind w:left="0" w:right="30" w:firstLine="0"/>
              <w:jc w:val="center"/>
              <w:rPr>
                <w:sz w:val="20"/>
                <w:szCs w:val="20"/>
              </w:rPr>
            </w:pPr>
            <w:r w:rsidRPr="006B0147">
              <w:rPr>
                <w:sz w:val="20"/>
                <w:szCs w:val="20"/>
              </w:rPr>
              <w:t>1-1 L   P, G</w:t>
            </w:r>
          </w:p>
        </w:tc>
        <w:tc>
          <w:tcPr>
            <w:tcW w:w="2650" w:type="dxa"/>
            <w:tcBorders>
              <w:top w:val="single" w:sz="7" w:space="0" w:color="000000"/>
              <w:left w:val="single" w:sz="12" w:space="0" w:color="000000"/>
              <w:bottom w:val="single" w:sz="7" w:space="0" w:color="000000"/>
              <w:right w:val="single" w:sz="12" w:space="0" w:color="000000"/>
            </w:tcBorders>
            <w:vAlign w:val="center"/>
          </w:tcPr>
          <w:p w14:paraId="27F8FF0B" w14:textId="132A48F5" w:rsidR="00B56D50" w:rsidRPr="006F5AD1" w:rsidRDefault="001C3C42" w:rsidP="006B0147">
            <w:pPr>
              <w:spacing w:after="0" w:line="259" w:lineRule="auto"/>
              <w:ind w:left="0" w:right="28" w:firstLine="0"/>
              <w:jc w:val="center"/>
              <w:rPr>
                <w:sz w:val="20"/>
                <w:szCs w:val="20"/>
              </w:rPr>
            </w:pPr>
            <w:r w:rsidRPr="006B0147">
              <w:rPr>
                <w:sz w:val="20"/>
                <w:szCs w:val="20"/>
              </w:rPr>
              <w:t>Ice (4</w:t>
            </w:r>
            <w:r w:rsidRPr="006B0147">
              <w:rPr>
                <w:sz w:val="20"/>
                <w:szCs w:val="20"/>
                <w:vertAlign w:val="superscript"/>
              </w:rPr>
              <w:t>0</w:t>
            </w:r>
            <w:r w:rsidRPr="006B0147">
              <w:rPr>
                <w:sz w:val="20"/>
                <w:szCs w:val="20"/>
              </w:rPr>
              <w:t>C)</w:t>
            </w:r>
          </w:p>
        </w:tc>
        <w:tc>
          <w:tcPr>
            <w:tcW w:w="1440" w:type="dxa"/>
            <w:tcBorders>
              <w:top w:val="single" w:sz="7" w:space="0" w:color="000000"/>
              <w:left w:val="single" w:sz="12" w:space="0" w:color="000000"/>
              <w:bottom w:val="single" w:sz="7" w:space="0" w:color="000000"/>
              <w:right w:val="single" w:sz="12" w:space="0" w:color="000000"/>
            </w:tcBorders>
            <w:vAlign w:val="center"/>
          </w:tcPr>
          <w:p w14:paraId="0D5C0570" w14:textId="3077F538" w:rsidR="00B56D50" w:rsidRPr="006F5AD1" w:rsidRDefault="001C3C42" w:rsidP="006B0147">
            <w:pPr>
              <w:spacing w:after="0" w:line="259" w:lineRule="auto"/>
              <w:ind w:left="24" w:right="0" w:firstLine="0"/>
              <w:jc w:val="center"/>
              <w:rPr>
                <w:sz w:val="20"/>
                <w:szCs w:val="20"/>
              </w:rPr>
            </w:pPr>
            <w:r w:rsidRPr="006B0147">
              <w:rPr>
                <w:sz w:val="20"/>
                <w:szCs w:val="20"/>
              </w:rPr>
              <w:t>Immediately</w:t>
            </w:r>
          </w:p>
        </w:tc>
      </w:tr>
      <w:tr w:rsidR="00F95666" w14:paraId="3AA512C6" w14:textId="77777777" w:rsidTr="00877845">
        <w:trPr>
          <w:trHeight w:val="20"/>
        </w:trPr>
        <w:tc>
          <w:tcPr>
            <w:tcW w:w="3790" w:type="dxa"/>
            <w:tcBorders>
              <w:top w:val="single" w:sz="7" w:space="0" w:color="000000"/>
              <w:left w:val="single" w:sz="12" w:space="0" w:color="000000"/>
              <w:bottom w:val="single" w:sz="7" w:space="0" w:color="000000"/>
              <w:right w:val="single" w:sz="12" w:space="0" w:color="000000"/>
            </w:tcBorders>
            <w:vAlign w:val="center"/>
          </w:tcPr>
          <w:p w14:paraId="162DB089" w14:textId="57328ACE" w:rsidR="00B56D50" w:rsidRPr="006F5AD1" w:rsidRDefault="001C3C42" w:rsidP="006B0147">
            <w:pPr>
              <w:spacing w:after="0" w:line="259" w:lineRule="auto"/>
              <w:ind w:left="0" w:right="0" w:firstLine="0"/>
              <w:rPr>
                <w:sz w:val="20"/>
                <w:szCs w:val="20"/>
              </w:rPr>
            </w:pPr>
            <w:r w:rsidRPr="006B0147">
              <w:rPr>
                <w:sz w:val="20"/>
                <w:szCs w:val="20"/>
              </w:rPr>
              <w:t>Phenols</w:t>
            </w:r>
          </w:p>
        </w:tc>
        <w:tc>
          <w:tcPr>
            <w:tcW w:w="1618" w:type="dxa"/>
            <w:tcBorders>
              <w:top w:val="single" w:sz="7" w:space="0" w:color="000000"/>
              <w:left w:val="single" w:sz="12" w:space="0" w:color="000000"/>
              <w:bottom w:val="single" w:sz="7" w:space="0" w:color="000000"/>
              <w:right w:val="single" w:sz="12" w:space="0" w:color="000000"/>
            </w:tcBorders>
            <w:vAlign w:val="center"/>
          </w:tcPr>
          <w:p w14:paraId="71DA28FF" w14:textId="4903D40B" w:rsidR="00B56D50" w:rsidRPr="006F5AD1" w:rsidRDefault="001C3C42" w:rsidP="006B0147">
            <w:pPr>
              <w:spacing w:after="0" w:line="259" w:lineRule="auto"/>
              <w:ind w:left="0" w:right="34" w:firstLine="0"/>
              <w:jc w:val="center"/>
              <w:rPr>
                <w:sz w:val="20"/>
                <w:szCs w:val="20"/>
              </w:rPr>
            </w:pPr>
            <w:r w:rsidRPr="006B0147">
              <w:rPr>
                <w:sz w:val="20"/>
                <w:szCs w:val="20"/>
              </w:rPr>
              <w:t>500 mL G</w:t>
            </w:r>
          </w:p>
        </w:tc>
        <w:tc>
          <w:tcPr>
            <w:tcW w:w="1622" w:type="dxa"/>
            <w:tcBorders>
              <w:top w:val="single" w:sz="7" w:space="0" w:color="000000"/>
              <w:left w:val="single" w:sz="12" w:space="0" w:color="000000"/>
              <w:bottom w:val="single" w:sz="7" w:space="0" w:color="000000"/>
              <w:right w:val="single" w:sz="12" w:space="0" w:color="000000"/>
            </w:tcBorders>
            <w:vAlign w:val="center"/>
          </w:tcPr>
          <w:p w14:paraId="5ECE9B9E" w14:textId="55167D72" w:rsidR="00B56D50" w:rsidRPr="006F5AD1" w:rsidRDefault="001C3C42" w:rsidP="006B0147">
            <w:pPr>
              <w:spacing w:after="0" w:line="259" w:lineRule="auto"/>
              <w:ind w:left="0" w:right="24" w:firstLine="0"/>
              <w:jc w:val="center"/>
              <w:rPr>
                <w:sz w:val="20"/>
                <w:szCs w:val="20"/>
              </w:rPr>
            </w:pPr>
            <w:r w:rsidRPr="006B0147">
              <w:rPr>
                <w:sz w:val="20"/>
                <w:szCs w:val="20"/>
              </w:rPr>
              <w:t>Ice (4</w:t>
            </w:r>
            <w:r w:rsidRPr="006B0147">
              <w:rPr>
                <w:sz w:val="20"/>
                <w:szCs w:val="20"/>
                <w:vertAlign w:val="superscript"/>
              </w:rPr>
              <w:t>0</w:t>
            </w:r>
            <w:r w:rsidRPr="006B0147">
              <w:rPr>
                <w:sz w:val="20"/>
                <w:szCs w:val="20"/>
              </w:rPr>
              <w:t>C)</w:t>
            </w:r>
          </w:p>
        </w:tc>
        <w:tc>
          <w:tcPr>
            <w:tcW w:w="2037" w:type="dxa"/>
            <w:tcBorders>
              <w:top w:val="single" w:sz="7" w:space="0" w:color="000000"/>
              <w:left w:val="single" w:sz="12" w:space="0" w:color="000000"/>
              <w:bottom w:val="single" w:sz="7" w:space="0" w:color="000000"/>
              <w:right w:val="single" w:sz="12" w:space="0" w:color="000000"/>
            </w:tcBorders>
            <w:vAlign w:val="center"/>
          </w:tcPr>
          <w:p w14:paraId="035EB911" w14:textId="7CBF9733" w:rsidR="00B56D50" w:rsidRPr="006F5AD1" w:rsidRDefault="001C3C42" w:rsidP="006B0147">
            <w:pPr>
              <w:spacing w:after="0" w:line="259" w:lineRule="auto"/>
              <w:ind w:left="0" w:right="30" w:firstLine="0"/>
              <w:jc w:val="center"/>
              <w:rPr>
                <w:sz w:val="20"/>
                <w:szCs w:val="20"/>
              </w:rPr>
            </w:pPr>
            <w:r w:rsidRPr="006B0147">
              <w:rPr>
                <w:sz w:val="20"/>
                <w:szCs w:val="20"/>
              </w:rPr>
              <w:t>28 days</w:t>
            </w:r>
          </w:p>
        </w:tc>
        <w:tc>
          <w:tcPr>
            <w:tcW w:w="1574" w:type="dxa"/>
            <w:tcBorders>
              <w:top w:val="single" w:sz="7" w:space="0" w:color="000000"/>
              <w:left w:val="single" w:sz="12" w:space="0" w:color="000000"/>
              <w:bottom w:val="single" w:sz="7" w:space="0" w:color="000000"/>
              <w:right w:val="single" w:sz="12" w:space="0" w:color="000000"/>
            </w:tcBorders>
            <w:vAlign w:val="center"/>
          </w:tcPr>
          <w:p w14:paraId="4C90ECC4" w14:textId="4E88B9C8" w:rsidR="00B56D50" w:rsidRPr="006F5AD1" w:rsidRDefault="001C3C42" w:rsidP="006B0147">
            <w:pPr>
              <w:spacing w:after="0" w:line="259" w:lineRule="auto"/>
              <w:ind w:left="0" w:right="30" w:firstLine="0"/>
              <w:jc w:val="center"/>
              <w:rPr>
                <w:sz w:val="20"/>
                <w:szCs w:val="20"/>
              </w:rPr>
            </w:pPr>
            <w:r w:rsidRPr="006B0147">
              <w:rPr>
                <w:sz w:val="20"/>
                <w:szCs w:val="20"/>
              </w:rPr>
              <w:t>1-1 L   P, G</w:t>
            </w:r>
          </w:p>
        </w:tc>
        <w:tc>
          <w:tcPr>
            <w:tcW w:w="2650" w:type="dxa"/>
            <w:tcBorders>
              <w:top w:val="single" w:sz="7" w:space="0" w:color="000000"/>
              <w:left w:val="single" w:sz="12" w:space="0" w:color="000000"/>
              <w:bottom w:val="single" w:sz="7" w:space="0" w:color="000000"/>
              <w:right w:val="single" w:sz="12" w:space="0" w:color="000000"/>
            </w:tcBorders>
            <w:vAlign w:val="center"/>
          </w:tcPr>
          <w:p w14:paraId="6BC1311C" w14:textId="479D548A" w:rsidR="00B56D50" w:rsidRPr="006F5AD1" w:rsidRDefault="001C3C42" w:rsidP="006B0147">
            <w:pPr>
              <w:spacing w:after="0" w:line="259" w:lineRule="auto"/>
              <w:ind w:left="0" w:right="29" w:firstLine="0"/>
              <w:jc w:val="center"/>
              <w:rPr>
                <w:sz w:val="20"/>
                <w:szCs w:val="20"/>
              </w:rPr>
            </w:pPr>
            <w:r w:rsidRPr="006B0147">
              <w:rPr>
                <w:sz w:val="20"/>
                <w:szCs w:val="20"/>
              </w:rPr>
              <w:t>Ice (4</w:t>
            </w:r>
            <w:r w:rsidRPr="006B0147">
              <w:rPr>
                <w:sz w:val="20"/>
                <w:szCs w:val="20"/>
                <w:vertAlign w:val="superscript"/>
              </w:rPr>
              <w:t>0</w:t>
            </w:r>
            <w:r w:rsidR="006E75AF" w:rsidRPr="006B0147">
              <w:rPr>
                <w:sz w:val="20"/>
                <w:szCs w:val="20"/>
              </w:rPr>
              <w:t>C) +</w:t>
            </w:r>
            <w:r w:rsidRPr="006B0147">
              <w:rPr>
                <w:sz w:val="20"/>
                <w:szCs w:val="20"/>
              </w:rPr>
              <w:t>H</w:t>
            </w:r>
            <w:r w:rsidRPr="006B0147">
              <w:rPr>
                <w:sz w:val="20"/>
                <w:szCs w:val="20"/>
                <w:vertAlign w:val="subscript"/>
              </w:rPr>
              <w:t>2</w:t>
            </w:r>
            <w:r w:rsidRPr="006B0147">
              <w:rPr>
                <w:sz w:val="20"/>
                <w:szCs w:val="20"/>
              </w:rPr>
              <w:t>SO</w:t>
            </w:r>
            <w:r w:rsidRPr="006B0147">
              <w:rPr>
                <w:sz w:val="20"/>
                <w:szCs w:val="20"/>
                <w:vertAlign w:val="subscript"/>
              </w:rPr>
              <w:t>4</w:t>
            </w:r>
          </w:p>
        </w:tc>
        <w:tc>
          <w:tcPr>
            <w:tcW w:w="1440" w:type="dxa"/>
            <w:tcBorders>
              <w:top w:val="single" w:sz="7" w:space="0" w:color="000000"/>
              <w:left w:val="single" w:sz="12" w:space="0" w:color="000000"/>
              <w:bottom w:val="single" w:sz="7" w:space="0" w:color="000000"/>
              <w:right w:val="single" w:sz="12" w:space="0" w:color="000000"/>
            </w:tcBorders>
            <w:vAlign w:val="center"/>
          </w:tcPr>
          <w:p w14:paraId="44924670" w14:textId="2A829670" w:rsidR="00B56D50" w:rsidRPr="006F5AD1" w:rsidRDefault="001C3C42" w:rsidP="006B0147">
            <w:pPr>
              <w:spacing w:after="0" w:line="259" w:lineRule="auto"/>
              <w:ind w:left="0" w:right="28" w:firstLine="0"/>
              <w:jc w:val="center"/>
              <w:rPr>
                <w:sz w:val="20"/>
                <w:szCs w:val="20"/>
              </w:rPr>
            </w:pPr>
            <w:r w:rsidRPr="006B0147">
              <w:rPr>
                <w:sz w:val="20"/>
                <w:szCs w:val="20"/>
              </w:rPr>
              <w:t>28 days</w:t>
            </w:r>
          </w:p>
        </w:tc>
      </w:tr>
      <w:tr w:rsidR="00F95666" w14:paraId="089DFF44" w14:textId="77777777" w:rsidTr="00877845">
        <w:trPr>
          <w:trHeight w:val="20"/>
        </w:trPr>
        <w:tc>
          <w:tcPr>
            <w:tcW w:w="3790" w:type="dxa"/>
            <w:tcBorders>
              <w:top w:val="single" w:sz="7" w:space="0" w:color="000000"/>
              <w:left w:val="single" w:sz="12" w:space="0" w:color="000000"/>
              <w:bottom w:val="single" w:sz="7" w:space="0" w:color="000000"/>
              <w:right w:val="single" w:sz="12" w:space="0" w:color="000000"/>
            </w:tcBorders>
            <w:vAlign w:val="center"/>
          </w:tcPr>
          <w:p w14:paraId="69CE18D5" w14:textId="566262DE" w:rsidR="00B56D50" w:rsidRPr="006F5AD1" w:rsidRDefault="001C3C42" w:rsidP="006B0147">
            <w:pPr>
              <w:spacing w:after="0" w:line="259" w:lineRule="auto"/>
              <w:ind w:left="0" w:right="0" w:firstLine="0"/>
              <w:rPr>
                <w:sz w:val="20"/>
                <w:szCs w:val="20"/>
              </w:rPr>
            </w:pPr>
            <w:r w:rsidRPr="006B0147">
              <w:rPr>
                <w:sz w:val="20"/>
                <w:szCs w:val="20"/>
              </w:rPr>
              <w:t>Phosphorus, Total</w:t>
            </w:r>
          </w:p>
        </w:tc>
        <w:tc>
          <w:tcPr>
            <w:tcW w:w="1618" w:type="dxa"/>
            <w:tcBorders>
              <w:top w:val="single" w:sz="7" w:space="0" w:color="000000"/>
              <w:left w:val="single" w:sz="12" w:space="0" w:color="000000"/>
              <w:bottom w:val="single" w:sz="7" w:space="0" w:color="000000"/>
              <w:right w:val="single" w:sz="12" w:space="0" w:color="000000"/>
            </w:tcBorders>
            <w:vAlign w:val="center"/>
          </w:tcPr>
          <w:p w14:paraId="229B9A98" w14:textId="1777D38A" w:rsidR="00B56D50" w:rsidRPr="006F5AD1" w:rsidRDefault="001C3C42" w:rsidP="006B0147">
            <w:pPr>
              <w:spacing w:after="0" w:line="259" w:lineRule="auto"/>
              <w:ind w:left="0" w:right="33" w:firstLine="0"/>
              <w:jc w:val="center"/>
              <w:rPr>
                <w:sz w:val="20"/>
                <w:szCs w:val="20"/>
              </w:rPr>
            </w:pPr>
            <w:r w:rsidRPr="006B0147">
              <w:rPr>
                <w:sz w:val="20"/>
                <w:szCs w:val="20"/>
              </w:rPr>
              <w:t>500 mL G</w:t>
            </w:r>
          </w:p>
        </w:tc>
        <w:tc>
          <w:tcPr>
            <w:tcW w:w="1622" w:type="dxa"/>
            <w:tcBorders>
              <w:top w:val="single" w:sz="7" w:space="0" w:color="000000"/>
              <w:left w:val="single" w:sz="12" w:space="0" w:color="000000"/>
              <w:bottom w:val="single" w:sz="7" w:space="0" w:color="000000"/>
              <w:right w:val="single" w:sz="12" w:space="0" w:color="000000"/>
            </w:tcBorders>
            <w:vAlign w:val="center"/>
          </w:tcPr>
          <w:p w14:paraId="46866C52" w14:textId="6AFB1665" w:rsidR="00B56D50" w:rsidRPr="006F5AD1" w:rsidRDefault="001C3C42" w:rsidP="006B0147">
            <w:pPr>
              <w:spacing w:after="0" w:line="259" w:lineRule="auto"/>
              <w:ind w:left="0" w:right="24" w:firstLine="0"/>
              <w:jc w:val="center"/>
              <w:rPr>
                <w:sz w:val="20"/>
                <w:szCs w:val="20"/>
              </w:rPr>
            </w:pPr>
            <w:r w:rsidRPr="006B0147">
              <w:rPr>
                <w:sz w:val="20"/>
                <w:szCs w:val="20"/>
              </w:rPr>
              <w:t>Ice (4</w:t>
            </w:r>
            <w:r w:rsidRPr="006B0147">
              <w:rPr>
                <w:sz w:val="20"/>
                <w:szCs w:val="20"/>
                <w:vertAlign w:val="superscript"/>
              </w:rPr>
              <w:t>0</w:t>
            </w:r>
            <w:r w:rsidRPr="006B0147">
              <w:rPr>
                <w:sz w:val="20"/>
                <w:szCs w:val="20"/>
              </w:rPr>
              <w:t>C)</w:t>
            </w:r>
          </w:p>
        </w:tc>
        <w:tc>
          <w:tcPr>
            <w:tcW w:w="2037" w:type="dxa"/>
            <w:tcBorders>
              <w:top w:val="single" w:sz="7" w:space="0" w:color="000000"/>
              <w:left w:val="single" w:sz="12" w:space="0" w:color="000000"/>
              <w:bottom w:val="single" w:sz="7" w:space="0" w:color="000000"/>
              <w:right w:val="single" w:sz="12" w:space="0" w:color="000000"/>
            </w:tcBorders>
            <w:vAlign w:val="center"/>
          </w:tcPr>
          <w:p w14:paraId="2DF65AFC" w14:textId="3D97028C" w:rsidR="00B56D50" w:rsidRPr="006F5AD1" w:rsidRDefault="001C3C42" w:rsidP="006B0147">
            <w:pPr>
              <w:spacing w:after="0" w:line="259" w:lineRule="auto"/>
              <w:ind w:left="0" w:right="30" w:firstLine="0"/>
              <w:jc w:val="center"/>
              <w:rPr>
                <w:sz w:val="20"/>
                <w:szCs w:val="20"/>
              </w:rPr>
            </w:pPr>
            <w:r w:rsidRPr="006B0147">
              <w:rPr>
                <w:sz w:val="20"/>
                <w:szCs w:val="20"/>
              </w:rPr>
              <w:t>28 days</w:t>
            </w:r>
          </w:p>
        </w:tc>
        <w:tc>
          <w:tcPr>
            <w:tcW w:w="1574" w:type="dxa"/>
            <w:tcBorders>
              <w:top w:val="single" w:sz="7" w:space="0" w:color="000000"/>
              <w:left w:val="single" w:sz="12" w:space="0" w:color="000000"/>
              <w:bottom w:val="single" w:sz="7" w:space="0" w:color="000000"/>
              <w:right w:val="single" w:sz="12" w:space="0" w:color="000000"/>
            </w:tcBorders>
            <w:vAlign w:val="center"/>
          </w:tcPr>
          <w:p w14:paraId="5F0D3D2D" w14:textId="65499763" w:rsidR="00B56D50" w:rsidRPr="006F5AD1" w:rsidRDefault="001C3C42" w:rsidP="006B0147">
            <w:pPr>
              <w:spacing w:after="0" w:line="259" w:lineRule="auto"/>
              <w:ind w:left="0" w:right="30" w:firstLine="0"/>
              <w:jc w:val="center"/>
              <w:rPr>
                <w:sz w:val="20"/>
                <w:szCs w:val="20"/>
              </w:rPr>
            </w:pPr>
            <w:r w:rsidRPr="006B0147">
              <w:rPr>
                <w:sz w:val="20"/>
                <w:szCs w:val="20"/>
              </w:rPr>
              <w:t>1-1 L   P, G</w:t>
            </w:r>
          </w:p>
        </w:tc>
        <w:tc>
          <w:tcPr>
            <w:tcW w:w="2650" w:type="dxa"/>
            <w:tcBorders>
              <w:top w:val="single" w:sz="7" w:space="0" w:color="000000"/>
              <w:left w:val="single" w:sz="12" w:space="0" w:color="000000"/>
              <w:bottom w:val="single" w:sz="7" w:space="0" w:color="000000"/>
              <w:right w:val="single" w:sz="12" w:space="0" w:color="000000"/>
            </w:tcBorders>
            <w:vAlign w:val="center"/>
          </w:tcPr>
          <w:p w14:paraId="19F0DA11" w14:textId="4836349E" w:rsidR="00B56D50" w:rsidRPr="006F5AD1" w:rsidRDefault="001C3C42" w:rsidP="006B0147">
            <w:pPr>
              <w:spacing w:after="0" w:line="259" w:lineRule="auto"/>
              <w:ind w:left="0" w:right="29" w:firstLine="0"/>
              <w:jc w:val="center"/>
              <w:rPr>
                <w:sz w:val="20"/>
                <w:szCs w:val="20"/>
              </w:rPr>
            </w:pPr>
            <w:r w:rsidRPr="006B0147">
              <w:rPr>
                <w:sz w:val="20"/>
                <w:szCs w:val="20"/>
              </w:rPr>
              <w:t>Ice (4</w:t>
            </w:r>
            <w:r w:rsidRPr="006B0147">
              <w:rPr>
                <w:sz w:val="20"/>
                <w:szCs w:val="20"/>
                <w:vertAlign w:val="superscript"/>
              </w:rPr>
              <w:t>0</w:t>
            </w:r>
            <w:r w:rsidR="006E75AF" w:rsidRPr="006B0147">
              <w:rPr>
                <w:sz w:val="20"/>
                <w:szCs w:val="20"/>
              </w:rPr>
              <w:t>C) +</w:t>
            </w:r>
            <w:r w:rsidRPr="006B0147">
              <w:rPr>
                <w:sz w:val="20"/>
                <w:szCs w:val="20"/>
              </w:rPr>
              <w:t>H</w:t>
            </w:r>
            <w:r w:rsidRPr="006B0147">
              <w:rPr>
                <w:sz w:val="20"/>
                <w:szCs w:val="20"/>
                <w:vertAlign w:val="subscript"/>
              </w:rPr>
              <w:t>2</w:t>
            </w:r>
            <w:r w:rsidRPr="006B0147">
              <w:rPr>
                <w:sz w:val="20"/>
                <w:szCs w:val="20"/>
              </w:rPr>
              <w:t>SO</w:t>
            </w:r>
            <w:r w:rsidRPr="006B0147">
              <w:rPr>
                <w:sz w:val="20"/>
                <w:szCs w:val="20"/>
                <w:vertAlign w:val="subscript"/>
              </w:rPr>
              <w:t>4</w:t>
            </w:r>
          </w:p>
        </w:tc>
        <w:tc>
          <w:tcPr>
            <w:tcW w:w="1440" w:type="dxa"/>
            <w:tcBorders>
              <w:top w:val="single" w:sz="7" w:space="0" w:color="000000"/>
              <w:left w:val="single" w:sz="12" w:space="0" w:color="000000"/>
              <w:bottom w:val="single" w:sz="7" w:space="0" w:color="000000"/>
              <w:right w:val="single" w:sz="12" w:space="0" w:color="000000"/>
            </w:tcBorders>
            <w:vAlign w:val="center"/>
          </w:tcPr>
          <w:p w14:paraId="47EA752C" w14:textId="3D5109DF" w:rsidR="00B56D50" w:rsidRPr="006F5AD1" w:rsidRDefault="001C3C42" w:rsidP="006B0147">
            <w:pPr>
              <w:spacing w:after="0" w:line="259" w:lineRule="auto"/>
              <w:ind w:left="0" w:right="28" w:firstLine="0"/>
              <w:jc w:val="center"/>
              <w:rPr>
                <w:sz w:val="20"/>
                <w:szCs w:val="20"/>
              </w:rPr>
            </w:pPr>
            <w:r w:rsidRPr="006B0147">
              <w:rPr>
                <w:sz w:val="20"/>
                <w:szCs w:val="20"/>
              </w:rPr>
              <w:t>28 days</w:t>
            </w:r>
          </w:p>
        </w:tc>
      </w:tr>
      <w:tr w:rsidR="00F95666" w14:paraId="575EB3E3" w14:textId="77777777" w:rsidTr="00877845">
        <w:trPr>
          <w:trHeight w:val="20"/>
        </w:trPr>
        <w:tc>
          <w:tcPr>
            <w:tcW w:w="3790" w:type="dxa"/>
            <w:tcBorders>
              <w:top w:val="single" w:sz="7" w:space="0" w:color="000000"/>
              <w:left w:val="single" w:sz="12" w:space="0" w:color="000000"/>
              <w:bottom w:val="single" w:sz="7" w:space="0" w:color="000000"/>
              <w:right w:val="single" w:sz="12" w:space="0" w:color="000000"/>
            </w:tcBorders>
            <w:vAlign w:val="center"/>
          </w:tcPr>
          <w:p w14:paraId="305684DB" w14:textId="6757CFAE" w:rsidR="00B56D50" w:rsidRPr="006F5AD1" w:rsidRDefault="001C3C42" w:rsidP="006B0147">
            <w:pPr>
              <w:spacing w:after="0" w:line="259" w:lineRule="auto"/>
              <w:ind w:left="0" w:right="0" w:firstLine="0"/>
              <w:rPr>
                <w:sz w:val="20"/>
                <w:szCs w:val="20"/>
              </w:rPr>
            </w:pPr>
            <w:r w:rsidRPr="006B0147">
              <w:rPr>
                <w:sz w:val="20"/>
                <w:szCs w:val="20"/>
              </w:rPr>
              <w:t>Radiochemistry (except Tritium, Radon, I)</w:t>
            </w:r>
          </w:p>
        </w:tc>
        <w:tc>
          <w:tcPr>
            <w:tcW w:w="1618" w:type="dxa"/>
            <w:tcBorders>
              <w:top w:val="single" w:sz="7" w:space="0" w:color="000000"/>
              <w:left w:val="single" w:sz="12" w:space="0" w:color="000000"/>
              <w:bottom w:val="single" w:sz="7" w:space="0" w:color="000000"/>
              <w:right w:val="single" w:sz="12" w:space="0" w:color="000000"/>
            </w:tcBorders>
            <w:vAlign w:val="center"/>
          </w:tcPr>
          <w:p w14:paraId="0233A565" w14:textId="421B5B3A" w:rsidR="00B56D50" w:rsidRPr="006F5AD1" w:rsidRDefault="001C3C42" w:rsidP="006B0147">
            <w:pPr>
              <w:spacing w:after="0" w:line="259" w:lineRule="auto"/>
              <w:ind w:left="0" w:right="28" w:firstLine="0"/>
              <w:jc w:val="center"/>
              <w:rPr>
                <w:sz w:val="20"/>
                <w:szCs w:val="20"/>
              </w:rPr>
            </w:pPr>
            <w:r w:rsidRPr="006B0147">
              <w:rPr>
                <w:sz w:val="20"/>
                <w:szCs w:val="20"/>
              </w:rPr>
              <w:t>NA</w:t>
            </w:r>
          </w:p>
        </w:tc>
        <w:tc>
          <w:tcPr>
            <w:tcW w:w="1622" w:type="dxa"/>
            <w:tcBorders>
              <w:top w:val="single" w:sz="7" w:space="0" w:color="000000"/>
              <w:left w:val="single" w:sz="12" w:space="0" w:color="000000"/>
              <w:bottom w:val="single" w:sz="7" w:space="0" w:color="000000"/>
              <w:right w:val="single" w:sz="12" w:space="0" w:color="000000"/>
            </w:tcBorders>
            <w:vAlign w:val="center"/>
          </w:tcPr>
          <w:p w14:paraId="125CD362" w14:textId="2E87A680" w:rsidR="00B56D50" w:rsidRPr="006F5AD1" w:rsidRDefault="00B56D50" w:rsidP="006B0147">
            <w:pPr>
              <w:spacing w:after="0" w:line="259" w:lineRule="auto"/>
              <w:ind w:left="24" w:right="0" w:firstLine="0"/>
              <w:jc w:val="center"/>
              <w:rPr>
                <w:sz w:val="20"/>
                <w:szCs w:val="20"/>
              </w:rPr>
            </w:pPr>
          </w:p>
        </w:tc>
        <w:tc>
          <w:tcPr>
            <w:tcW w:w="2037" w:type="dxa"/>
            <w:tcBorders>
              <w:top w:val="single" w:sz="7" w:space="0" w:color="000000"/>
              <w:left w:val="single" w:sz="12" w:space="0" w:color="000000"/>
              <w:bottom w:val="single" w:sz="7" w:space="0" w:color="000000"/>
              <w:right w:val="single" w:sz="12" w:space="0" w:color="000000"/>
            </w:tcBorders>
            <w:vAlign w:val="center"/>
          </w:tcPr>
          <w:p w14:paraId="0E261938" w14:textId="250B3B97" w:rsidR="00B56D50" w:rsidRPr="006F5AD1" w:rsidRDefault="00B56D50" w:rsidP="006B0147">
            <w:pPr>
              <w:spacing w:after="0" w:line="259" w:lineRule="auto"/>
              <w:ind w:left="25" w:right="0" w:firstLine="0"/>
              <w:jc w:val="center"/>
              <w:rPr>
                <w:sz w:val="20"/>
                <w:szCs w:val="20"/>
              </w:rPr>
            </w:pPr>
          </w:p>
        </w:tc>
        <w:tc>
          <w:tcPr>
            <w:tcW w:w="1574" w:type="dxa"/>
            <w:tcBorders>
              <w:top w:val="single" w:sz="7" w:space="0" w:color="000000"/>
              <w:left w:val="single" w:sz="12" w:space="0" w:color="000000"/>
              <w:bottom w:val="single" w:sz="7" w:space="0" w:color="000000"/>
              <w:right w:val="single" w:sz="12" w:space="0" w:color="000000"/>
            </w:tcBorders>
            <w:vAlign w:val="center"/>
          </w:tcPr>
          <w:p w14:paraId="66A22FD1" w14:textId="2030E738" w:rsidR="00B56D50" w:rsidRPr="006F5AD1" w:rsidRDefault="001C3C42" w:rsidP="006F5AD1">
            <w:pPr>
              <w:spacing w:after="0" w:line="259" w:lineRule="auto"/>
              <w:ind w:left="4" w:right="0" w:firstLine="0"/>
              <w:jc w:val="center"/>
              <w:rPr>
                <w:sz w:val="20"/>
                <w:szCs w:val="20"/>
              </w:rPr>
            </w:pPr>
            <w:r w:rsidRPr="006B0147">
              <w:rPr>
                <w:sz w:val="20"/>
                <w:szCs w:val="20"/>
              </w:rPr>
              <w:t>2-1L   P</w:t>
            </w:r>
          </w:p>
        </w:tc>
        <w:tc>
          <w:tcPr>
            <w:tcW w:w="2650" w:type="dxa"/>
            <w:tcBorders>
              <w:top w:val="single" w:sz="7" w:space="0" w:color="000000"/>
              <w:left w:val="single" w:sz="12" w:space="0" w:color="000000"/>
              <w:bottom w:val="single" w:sz="7" w:space="0" w:color="000000"/>
              <w:right w:val="single" w:sz="12" w:space="0" w:color="000000"/>
            </w:tcBorders>
            <w:vAlign w:val="center"/>
          </w:tcPr>
          <w:p w14:paraId="771140C9" w14:textId="0F230AEA" w:rsidR="00B56D50" w:rsidRPr="006F5AD1" w:rsidRDefault="001C3C42" w:rsidP="006B0147">
            <w:pPr>
              <w:spacing w:after="0" w:line="259" w:lineRule="auto"/>
              <w:ind w:left="0" w:right="29" w:firstLine="0"/>
              <w:jc w:val="center"/>
              <w:rPr>
                <w:sz w:val="20"/>
                <w:szCs w:val="20"/>
              </w:rPr>
            </w:pPr>
            <w:r w:rsidRPr="006B0147">
              <w:rPr>
                <w:sz w:val="20"/>
                <w:szCs w:val="20"/>
              </w:rPr>
              <w:t>HNO</w:t>
            </w:r>
            <w:r w:rsidRPr="006B0147">
              <w:rPr>
                <w:sz w:val="20"/>
                <w:szCs w:val="20"/>
                <w:vertAlign w:val="subscript"/>
              </w:rPr>
              <w:t>3</w:t>
            </w:r>
            <w:r w:rsidRPr="006B0147">
              <w:rPr>
                <w:sz w:val="20"/>
                <w:szCs w:val="20"/>
              </w:rPr>
              <w:t xml:space="preserve"> to pH&lt;2</w:t>
            </w:r>
          </w:p>
        </w:tc>
        <w:tc>
          <w:tcPr>
            <w:tcW w:w="1440" w:type="dxa"/>
            <w:tcBorders>
              <w:top w:val="single" w:sz="7" w:space="0" w:color="000000"/>
              <w:left w:val="single" w:sz="12" w:space="0" w:color="000000"/>
              <w:bottom w:val="single" w:sz="7" w:space="0" w:color="000000"/>
              <w:right w:val="single" w:sz="12" w:space="0" w:color="000000"/>
            </w:tcBorders>
            <w:vAlign w:val="center"/>
          </w:tcPr>
          <w:p w14:paraId="6BEF5361" w14:textId="4E6675FE" w:rsidR="00B56D50" w:rsidRPr="006F5AD1" w:rsidRDefault="001C3C42" w:rsidP="006B0147">
            <w:pPr>
              <w:spacing w:after="0" w:line="259" w:lineRule="auto"/>
              <w:ind w:left="0" w:right="26" w:firstLine="0"/>
              <w:jc w:val="center"/>
              <w:rPr>
                <w:sz w:val="20"/>
                <w:szCs w:val="20"/>
              </w:rPr>
            </w:pPr>
            <w:r w:rsidRPr="006B0147">
              <w:rPr>
                <w:sz w:val="20"/>
                <w:szCs w:val="20"/>
              </w:rPr>
              <w:t>6 months</w:t>
            </w:r>
          </w:p>
        </w:tc>
      </w:tr>
      <w:tr w:rsidR="00F95666" w14:paraId="701FDA01" w14:textId="77777777" w:rsidTr="00877845">
        <w:trPr>
          <w:trHeight w:val="20"/>
        </w:trPr>
        <w:tc>
          <w:tcPr>
            <w:tcW w:w="3790" w:type="dxa"/>
            <w:tcBorders>
              <w:top w:val="single" w:sz="7" w:space="0" w:color="000000"/>
              <w:left w:val="single" w:sz="12" w:space="0" w:color="000000"/>
              <w:bottom w:val="single" w:sz="7" w:space="0" w:color="000000"/>
              <w:right w:val="single" w:sz="12" w:space="0" w:color="000000"/>
            </w:tcBorders>
            <w:vAlign w:val="center"/>
          </w:tcPr>
          <w:p w14:paraId="6727EAD9" w14:textId="5D255158" w:rsidR="00B56D50" w:rsidRPr="006F5AD1" w:rsidRDefault="001C3C42" w:rsidP="006B0147">
            <w:pPr>
              <w:spacing w:after="0" w:line="259" w:lineRule="auto"/>
              <w:ind w:left="0" w:right="0" w:firstLine="0"/>
              <w:rPr>
                <w:sz w:val="20"/>
                <w:szCs w:val="20"/>
              </w:rPr>
            </w:pPr>
            <w:r w:rsidRPr="006B0147">
              <w:rPr>
                <w:sz w:val="20"/>
                <w:szCs w:val="20"/>
              </w:rPr>
              <w:t>Radiochemistry – Tritium</w:t>
            </w:r>
          </w:p>
        </w:tc>
        <w:tc>
          <w:tcPr>
            <w:tcW w:w="1618" w:type="dxa"/>
            <w:tcBorders>
              <w:top w:val="single" w:sz="7" w:space="0" w:color="000000"/>
              <w:left w:val="single" w:sz="12" w:space="0" w:color="000000"/>
              <w:bottom w:val="single" w:sz="7" w:space="0" w:color="000000"/>
              <w:right w:val="single" w:sz="12" w:space="0" w:color="000000"/>
            </w:tcBorders>
            <w:vAlign w:val="center"/>
          </w:tcPr>
          <w:p w14:paraId="01696971" w14:textId="4BC979F3" w:rsidR="00B56D50" w:rsidRPr="006F5AD1" w:rsidRDefault="001C3C42" w:rsidP="006B0147">
            <w:pPr>
              <w:spacing w:after="0" w:line="259" w:lineRule="auto"/>
              <w:ind w:left="0" w:right="28" w:firstLine="0"/>
              <w:jc w:val="center"/>
              <w:rPr>
                <w:sz w:val="20"/>
                <w:szCs w:val="20"/>
              </w:rPr>
            </w:pPr>
            <w:r w:rsidRPr="006B0147">
              <w:rPr>
                <w:sz w:val="20"/>
                <w:szCs w:val="20"/>
              </w:rPr>
              <w:t>NA</w:t>
            </w:r>
          </w:p>
        </w:tc>
        <w:tc>
          <w:tcPr>
            <w:tcW w:w="1622" w:type="dxa"/>
            <w:tcBorders>
              <w:top w:val="single" w:sz="7" w:space="0" w:color="000000"/>
              <w:left w:val="single" w:sz="12" w:space="0" w:color="000000"/>
              <w:bottom w:val="single" w:sz="7" w:space="0" w:color="000000"/>
              <w:right w:val="single" w:sz="12" w:space="0" w:color="000000"/>
            </w:tcBorders>
            <w:vAlign w:val="center"/>
          </w:tcPr>
          <w:p w14:paraId="43FEC906" w14:textId="0B582F9B" w:rsidR="00B56D50" w:rsidRPr="006F5AD1" w:rsidRDefault="00B56D50" w:rsidP="006B0147">
            <w:pPr>
              <w:spacing w:after="0" w:line="259" w:lineRule="auto"/>
              <w:ind w:left="24" w:right="0" w:firstLine="0"/>
              <w:jc w:val="center"/>
              <w:rPr>
                <w:sz w:val="20"/>
                <w:szCs w:val="20"/>
              </w:rPr>
            </w:pPr>
          </w:p>
        </w:tc>
        <w:tc>
          <w:tcPr>
            <w:tcW w:w="2037" w:type="dxa"/>
            <w:tcBorders>
              <w:top w:val="single" w:sz="7" w:space="0" w:color="000000"/>
              <w:left w:val="single" w:sz="12" w:space="0" w:color="000000"/>
              <w:bottom w:val="single" w:sz="7" w:space="0" w:color="000000"/>
              <w:right w:val="single" w:sz="12" w:space="0" w:color="000000"/>
            </w:tcBorders>
            <w:vAlign w:val="center"/>
          </w:tcPr>
          <w:p w14:paraId="2072D522" w14:textId="5126F5FE" w:rsidR="00B56D50" w:rsidRPr="006F5AD1" w:rsidRDefault="00B56D50" w:rsidP="006B0147">
            <w:pPr>
              <w:spacing w:after="0" w:line="259" w:lineRule="auto"/>
              <w:ind w:left="25" w:right="0" w:firstLine="0"/>
              <w:jc w:val="center"/>
              <w:rPr>
                <w:sz w:val="20"/>
                <w:szCs w:val="20"/>
              </w:rPr>
            </w:pPr>
          </w:p>
        </w:tc>
        <w:tc>
          <w:tcPr>
            <w:tcW w:w="1574" w:type="dxa"/>
            <w:tcBorders>
              <w:top w:val="single" w:sz="7" w:space="0" w:color="000000"/>
              <w:left w:val="single" w:sz="12" w:space="0" w:color="000000"/>
              <w:bottom w:val="single" w:sz="7" w:space="0" w:color="000000"/>
              <w:right w:val="single" w:sz="12" w:space="0" w:color="000000"/>
            </w:tcBorders>
            <w:vAlign w:val="center"/>
          </w:tcPr>
          <w:p w14:paraId="70673225" w14:textId="5EB80350" w:rsidR="00B56D50" w:rsidRPr="006F5AD1" w:rsidRDefault="001C3C42" w:rsidP="006B0147">
            <w:pPr>
              <w:spacing w:after="0" w:line="259" w:lineRule="auto"/>
              <w:ind w:left="0" w:right="34" w:firstLine="0"/>
              <w:jc w:val="center"/>
              <w:rPr>
                <w:sz w:val="20"/>
                <w:szCs w:val="20"/>
              </w:rPr>
            </w:pPr>
            <w:r w:rsidRPr="006B0147">
              <w:rPr>
                <w:sz w:val="20"/>
                <w:szCs w:val="20"/>
              </w:rPr>
              <w:t>1-100mL G</w:t>
            </w:r>
          </w:p>
        </w:tc>
        <w:tc>
          <w:tcPr>
            <w:tcW w:w="2650" w:type="dxa"/>
            <w:tcBorders>
              <w:top w:val="single" w:sz="7" w:space="0" w:color="000000"/>
              <w:left w:val="single" w:sz="12" w:space="0" w:color="000000"/>
              <w:bottom w:val="single" w:sz="7" w:space="0" w:color="000000"/>
              <w:right w:val="single" w:sz="12" w:space="0" w:color="000000"/>
            </w:tcBorders>
            <w:vAlign w:val="center"/>
          </w:tcPr>
          <w:p w14:paraId="41FBA981" w14:textId="5463FF6F" w:rsidR="00B56D50" w:rsidRPr="006F5AD1" w:rsidRDefault="001C3C42" w:rsidP="006B0147">
            <w:pPr>
              <w:spacing w:after="0" w:line="259" w:lineRule="auto"/>
              <w:ind w:left="0" w:right="32" w:firstLine="0"/>
              <w:jc w:val="center"/>
              <w:rPr>
                <w:sz w:val="20"/>
                <w:szCs w:val="20"/>
              </w:rPr>
            </w:pPr>
            <w:r w:rsidRPr="006B0147">
              <w:rPr>
                <w:sz w:val="20"/>
                <w:szCs w:val="20"/>
              </w:rPr>
              <w:t>none</w:t>
            </w:r>
          </w:p>
        </w:tc>
        <w:tc>
          <w:tcPr>
            <w:tcW w:w="1440" w:type="dxa"/>
            <w:tcBorders>
              <w:top w:val="single" w:sz="7" w:space="0" w:color="000000"/>
              <w:left w:val="single" w:sz="12" w:space="0" w:color="000000"/>
              <w:bottom w:val="single" w:sz="7" w:space="0" w:color="000000"/>
              <w:right w:val="single" w:sz="12" w:space="0" w:color="000000"/>
            </w:tcBorders>
            <w:vAlign w:val="center"/>
          </w:tcPr>
          <w:p w14:paraId="6EA2A1A3" w14:textId="1B4B2A55" w:rsidR="00B56D50" w:rsidRPr="006F5AD1" w:rsidRDefault="001C3C42" w:rsidP="006B0147">
            <w:pPr>
              <w:spacing w:after="0" w:line="259" w:lineRule="auto"/>
              <w:ind w:left="0" w:right="26" w:firstLine="0"/>
              <w:jc w:val="center"/>
              <w:rPr>
                <w:sz w:val="20"/>
                <w:szCs w:val="20"/>
              </w:rPr>
            </w:pPr>
            <w:r w:rsidRPr="006B0147">
              <w:rPr>
                <w:sz w:val="20"/>
                <w:szCs w:val="20"/>
              </w:rPr>
              <w:t>6 months</w:t>
            </w:r>
          </w:p>
        </w:tc>
      </w:tr>
      <w:tr w:rsidR="00F95666" w14:paraId="77B6A425" w14:textId="77777777" w:rsidTr="00877845">
        <w:trPr>
          <w:trHeight w:val="20"/>
        </w:trPr>
        <w:tc>
          <w:tcPr>
            <w:tcW w:w="3790" w:type="dxa"/>
            <w:tcBorders>
              <w:top w:val="single" w:sz="7" w:space="0" w:color="000000"/>
              <w:left w:val="single" w:sz="12" w:space="0" w:color="000000"/>
              <w:bottom w:val="single" w:sz="7" w:space="0" w:color="000000"/>
              <w:right w:val="single" w:sz="12" w:space="0" w:color="000000"/>
            </w:tcBorders>
            <w:vAlign w:val="center"/>
          </w:tcPr>
          <w:p w14:paraId="10FB58DE" w14:textId="77777777" w:rsidR="00B56D50" w:rsidRPr="006F5AD1" w:rsidRDefault="001C3C42" w:rsidP="006B0147">
            <w:pPr>
              <w:spacing w:after="0" w:line="259" w:lineRule="auto"/>
              <w:ind w:left="0" w:right="0" w:firstLine="0"/>
              <w:rPr>
                <w:sz w:val="20"/>
                <w:szCs w:val="20"/>
              </w:rPr>
            </w:pPr>
            <w:r w:rsidRPr="006B0147">
              <w:rPr>
                <w:sz w:val="20"/>
                <w:szCs w:val="20"/>
              </w:rPr>
              <w:t xml:space="preserve">Radiochemistry – Radon </w:t>
            </w:r>
          </w:p>
        </w:tc>
        <w:tc>
          <w:tcPr>
            <w:tcW w:w="1618" w:type="dxa"/>
            <w:tcBorders>
              <w:top w:val="single" w:sz="7" w:space="0" w:color="000000"/>
              <w:left w:val="single" w:sz="12" w:space="0" w:color="000000"/>
              <w:bottom w:val="single" w:sz="7" w:space="0" w:color="000000"/>
              <w:right w:val="single" w:sz="12" w:space="0" w:color="000000"/>
            </w:tcBorders>
            <w:vAlign w:val="center"/>
          </w:tcPr>
          <w:p w14:paraId="158D03E8" w14:textId="2DA3ACA9" w:rsidR="00B56D50" w:rsidRPr="006F5AD1" w:rsidRDefault="001C3C42" w:rsidP="006B0147">
            <w:pPr>
              <w:spacing w:after="0" w:line="259" w:lineRule="auto"/>
              <w:ind w:left="0" w:right="28" w:firstLine="0"/>
              <w:jc w:val="center"/>
              <w:rPr>
                <w:sz w:val="20"/>
                <w:szCs w:val="20"/>
              </w:rPr>
            </w:pPr>
            <w:r w:rsidRPr="006B0147">
              <w:rPr>
                <w:sz w:val="20"/>
                <w:szCs w:val="20"/>
              </w:rPr>
              <w:t>NA</w:t>
            </w:r>
          </w:p>
        </w:tc>
        <w:tc>
          <w:tcPr>
            <w:tcW w:w="1622" w:type="dxa"/>
            <w:tcBorders>
              <w:top w:val="single" w:sz="7" w:space="0" w:color="000000"/>
              <w:left w:val="single" w:sz="12" w:space="0" w:color="000000"/>
              <w:bottom w:val="single" w:sz="7" w:space="0" w:color="000000"/>
              <w:right w:val="single" w:sz="12" w:space="0" w:color="000000"/>
            </w:tcBorders>
            <w:vAlign w:val="center"/>
          </w:tcPr>
          <w:p w14:paraId="5DDBAB27" w14:textId="7B23A88E" w:rsidR="00B56D50" w:rsidRPr="006F5AD1" w:rsidRDefault="00B56D50" w:rsidP="006B0147">
            <w:pPr>
              <w:spacing w:after="0" w:line="259" w:lineRule="auto"/>
              <w:ind w:left="24" w:right="0" w:firstLine="0"/>
              <w:jc w:val="center"/>
              <w:rPr>
                <w:sz w:val="20"/>
                <w:szCs w:val="20"/>
              </w:rPr>
            </w:pPr>
          </w:p>
        </w:tc>
        <w:tc>
          <w:tcPr>
            <w:tcW w:w="2037" w:type="dxa"/>
            <w:tcBorders>
              <w:top w:val="single" w:sz="7" w:space="0" w:color="000000"/>
              <w:left w:val="single" w:sz="12" w:space="0" w:color="000000"/>
              <w:bottom w:val="single" w:sz="7" w:space="0" w:color="000000"/>
              <w:right w:val="single" w:sz="12" w:space="0" w:color="000000"/>
            </w:tcBorders>
            <w:vAlign w:val="center"/>
          </w:tcPr>
          <w:p w14:paraId="4F41E922" w14:textId="220655A3" w:rsidR="00B56D50" w:rsidRPr="006F5AD1" w:rsidRDefault="00B56D50" w:rsidP="006B0147">
            <w:pPr>
              <w:spacing w:after="0" w:line="259" w:lineRule="auto"/>
              <w:ind w:left="25" w:right="0" w:firstLine="0"/>
              <w:jc w:val="center"/>
              <w:rPr>
                <w:sz w:val="20"/>
                <w:szCs w:val="20"/>
              </w:rPr>
            </w:pPr>
          </w:p>
        </w:tc>
        <w:tc>
          <w:tcPr>
            <w:tcW w:w="1574" w:type="dxa"/>
            <w:tcBorders>
              <w:top w:val="single" w:sz="7" w:space="0" w:color="000000"/>
              <w:left w:val="single" w:sz="12" w:space="0" w:color="000000"/>
              <w:bottom w:val="single" w:sz="7" w:space="0" w:color="000000"/>
              <w:right w:val="single" w:sz="12" w:space="0" w:color="000000"/>
            </w:tcBorders>
            <w:vAlign w:val="center"/>
          </w:tcPr>
          <w:p w14:paraId="2E99A1C2" w14:textId="6810000A" w:rsidR="00B56D50" w:rsidRPr="006F5AD1" w:rsidRDefault="001C3C42" w:rsidP="006B0147">
            <w:pPr>
              <w:spacing w:after="0" w:line="259" w:lineRule="auto"/>
              <w:ind w:left="0" w:right="32" w:firstLine="0"/>
              <w:jc w:val="center"/>
              <w:rPr>
                <w:sz w:val="20"/>
                <w:szCs w:val="20"/>
              </w:rPr>
            </w:pPr>
            <w:r w:rsidRPr="006B0147">
              <w:rPr>
                <w:sz w:val="20"/>
                <w:szCs w:val="20"/>
              </w:rPr>
              <w:t>3-40 mL G</w:t>
            </w:r>
          </w:p>
        </w:tc>
        <w:tc>
          <w:tcPr>
            <w:tcW w:w="2650" w:type="dxa"/>
            <w:tcBorders>
              <w:top w:val="single" w:sz="7" w:space="0" w:color="000000"/>
              <w:left w:val="single" w:sz="12" w:space="0" w:color="000000"/>
              <w:bottom w:val="single" w:sz="7" w:space="0" w:color="000000"/>
              <w:right w:val="single" w:sz="12" w:space="0" w:color="000000"/>
            </w:tcBorders>
            <w:vAlign w:val="center"/>
          </w:tcPr>
          <w:p w14:paraId="56DF523D" w14:textId="48DE77D1" w:rsidR="00B56D50" w:rsidRPr="006F5AD1" w:rsidRDefault="001C3C42" w:rsidP="006B0147">
            <w:pPr>
              <w:spacing w:after="0" w:line="259" w:lineRule="auto"/>
              <w:ind w:left="0" w:right="32" w:firstLine="0"/>
              <w:jc w:val="center"/>
              <w:rPr>
                <w:sz w:val="20"/>
                <w:szCs w:val="20"/>
              </w:rPr>
            </w:pPr>
            <w:r w:rsidRPr="006B0147">
              <w:rPr>
                <w:sz w:val="20"/>
                <w:szCs w:val="20"/>
              </w:rPr>
              <w:t>none</w:t>
            </w:r>
          </w:p>
        </w:tc>
        <w:tc>
          <w:tcPr>
            <w:tcW w:w="1440" w:type="dxa"/>
            <w:tcBorders>
              <w:top w:val="single" w:sz="7" w:space="0" w:color="000000"/>
              <w:left w:val="single" w:sz="12" w:space="0" w:color="000000"/>
              <w:bottom w:val="single" w:sz="7" w:space="0" w:color="000000"/>
              <w:right w:val="single" w:sz="12" w:space="0" w:color="000000"/>
            </w:tcBorders>
            <w:vAlign w:val="center"/>
          </w:tcPr>
          <w:p w14:paraId="5062C1EE" w14:textId="19A77441" w:rsidR="00B56D50" w:rsidRPr="006F5AD1" w:rsidRDefault="001C3C42" w:rsidP="006B0147">
            <w:pPr>
              <w:spacing w:after="0" w:line="259" w:lineRule="auto"/>
              <w:ind w:left="0" w:right="28" w:firstLine="0"/>
              <w:jc w:val="center"/>
              <w:rPr>
                <w:sz w:val="20"/>
                <w:szCs w:val="20"/>
              </w:rPr>
            </w:pPr>
            <w:r w:rsidRPr="006B0147">
              <w:rPr>
                <w:sz w:val="20"/>
                <w:szCs w:val="20"/>
              </w:rPr>
              <w:t>4 days</w:t>
            </w:r>
          </w:p>
        </w:tc>
      </w:tr>
      <w:tr w:rsidR="00F95666" w14:paraId="548E4A2B" w14:textId="77777777" w:rsidTr="00877845">
        <w:trPr>
          <w:trHeight w:val="20"/>
        </w:trPr>
        <w:tc>
          <w:tcPr>
            <w:tcW w:w="3790" w:type="dxa"/>
            <w:tcBorders>
              <w:top w:val="single" w:sz="7" w:space="0" w:color="000000"/>
              <w:left w:val="single" w:sz="12" w:space="0" w:color="000000"/>
              <w:bottom w:val="single" w:sz="7" w:space="0" w:color="000000"/>
              <w:right w:val="single" w:sz="12" w:space="0" w:color="000000"/>
            </w:tcBorders>
            <w:vAlign w:val="center"/>
          </w:tcPr>
          <w:p w14:paraId="34C413BB" w14:textId="60848D9D" w:rsidR="00B56D50" w:rsidRPr="006F5AD1" w:rsidRDefault="001C3C42" w:rsidP="006B0147">
            <w:pPr>
              <w:spacing w:after="0" w:line="259" w:lineRule="auto"/>
              <w:ind w:left="0" w:right="0" w:firstLine="0"/>
              <w:rPr>
                <w:sz w:val="20"/>
                <w:szCs w:val="20"/>
              </w:rPr>
            </w:pPr>
            <w:r w:rsidRPr="006B0147">
              <w:rPr>
                <w:sz w:val="20"/>
                <w:szCs w:val="20"/>
              </w:rPr>
              <w:t>Radiochemistry – Iodine-131</w:t>
            </w:r>
          </w:p>
        </w:tc>
        <w:tc>
          <w:tcPr>
            <w:tcW w:w="1618" w:type="dxa"/>
            <w:tcBorders>
              <w:top w:val="single" w:sz="7" w:space="0" w:color="000000"/>
              <w:left w:val="single" w:sz="12" w:space="0" w:color="000000"/>
              <w:bottom w:val="single" w:sz="7" w:space="0" w:color="000000"/>
              <w:right w:val="single" w:sz="12" w:space="0" w:color="000000"/>
            </w:tcBorders>
            <w:vAlign w:val="center"/>
          </w:tcPr>
          <w:p w14:paraId="6135C32D" w14:textId="4823A799" w:rsidR="00B56D50" w:rsidRPr="006F5AD1" w:rsidRDefault="001C3C42" w:rsidP="006B0147">
            <w:pPr>
              <w:spacing w:after="0" w:line="259" w:lineRule="auto"/>
              <w:ind w:left="0" w:right="28" w:firstLine="0"/>
              <w:jc w:val="center"/>
              <w:rPr>
                <w:sz w:val="20"/>
                <w:szCs w:val="20"/>
              </w:rPr>
            </w:pPr>
            <w:r w:rsidRPr="006B0147">
              <w:rPr>
                <w:sz w:val="20"/>
                <w:szCs w:val="20"/>
              </w:rPr>
              <w:t>NA</w:t>
            </w:r>
          </w:p>
        </w:tc>
        <w:tc>
          <w:tcPr>
            <w:tcW w:w="1622" w:type="dxa"/>
            <w:tcBorders>
              <w:top w:val="single" w:sz="7" w:space="0" w:color="000000"/>
              <w:left w:val="single" w:sz="12" w:space="0" w:color="000000"/>
              <w:bottom w:val="single" w:sz="7" w:space="0" w:color="000000"/>
              <w:right w:val="single" w:sz="12" w:space="0" w:color="000000"/>
            </w:tcBorders>
            <w:vAlign w:val="center"/>
          </w:tcPr>
          <w:p w14:paraId="668D71CF" w14:textId="1AE16516" w:rsidR="00B56D50" w:rsidRPr="006F5AD1" w:rsidRDefault="00B56D50" w:rsidP="006B0147">
            <w:pPr>
              <w:spacing w:after="0" w:line="259" w:lineRule="auto"/>
              <w:ind w:left="24" w:right="0" w:firstLine="0"/>
              <w:jc w:val="center"/>
              <w:rPr>
                <w:sz w:val="20"/>
                <w:szCs w:val="20"/>
              </w:rPr>
            </w:pPr>
          </w:p>
        </w:tc>
        <w:tc>
          <w:tcPr>
            <w:tcW w:w="2037" w:type="dxa"/>
            <w:tcBorders>
              <w:top w:val="single" w:sz="7" w:space="0" w:color="000000"/>
              <w:left w:val="single" w:sz="12" w:space="0" w:color="000000"/>
              <w:bottom w:val="single" w:sz="7" w:space="0" w:color="000000"/>
              <w:right w:val="single" w:sz="12" w:space="0" w:color="000000"/>
            </w:tcBorders>
            <w:vAlign w:val="center"/>
          </w:tcPr>
          <w:p w14:paraId="5B53F195" w14:textId="53EFC1ED" w:rsidR="00B56D50" w:rsidRPr="006F5AD1" w:rsidRDefault="00B56D50" w:rsidP="006B0147">
            <w:pPr>
              <w:spacing w:after="0" w:line="259" w:lineRule="auto"/>
              <w:ind w:left="25" w:right="0" w:firstLine="0"/>
              <w:jc w:val="center"/>
              <w:rPr>
                <w:sz w:val="20"/>
                <w:szCs w:val="20"/>
              </w:rPr>
            </w:pPr>
          </w:p>
        </w:tc>
        <w:tc>
          <w:tcPr>
            <w:tcW w:w="1574" w:type="dxa"/>
            <w:tcBorders>
              <w:top w:val="single" w:sz="7" w:space="0" w:color="000000"/>
              <w:left w:val="single" w:sz="12" w:space="0" w:color="000000"/>
              <w:bottom w:val="single" w:sz="7" w:space="0" w:color="000000"/>
              <w:right w:val="single" w:sz="12" w:space="0" w:color="000000"/>
            </w:tcBorders>
            <w:vAlign w:val="center"/>
          </w:tcPr>
          <w:p w14:paraId="3E67C3BC" w14:textId="2FEF7F22" w:rsidR="00B56D50" w:rsidRPr="006F5AD1" w:rsidRDefault="001C3C42" w:rsidP="006B0147">
            <w:pPr>
              <w:spacing w:after="0" w:line="259" w:lineRule="auto"/>
              <w:ind w:left="0" w:right="32" w:firstLine="0"/>
              <w:jc w:val="center"/>
              <w:rPr>
                <w:sz w:val="20"/>
                <w:szCs w:val="20"/>
              </w:rPr>
            </w:pPr>
            <w:r w:rsidRPr="006B0147">
              <w:rPr>
                <w:sz w:val="20"/>
                <w:szCs w:val="20"/>
              </w:rPr>
              <w:t>1-1L   P, G</w:t>
            </w:r>
          </w:p>
        </w:tc>
        <w:tc>
          <w:tcPr>
            <w:tcW w:w="2650" w:type="dxa"/>
            <w:tcBorders>
              <w:top w:val="single" w:sz="7" w:space="0" w:color="000000"/>
              <w:left w:val="single" w:sz="12" w:space="0" w:color="000000"/>
              <w:bottom w:val="single" w:sz="7" w:space="0" w:color="000000"/>
              <w:right w:val="single" w:sz="12" w:space="0" w:color="000000"/>
            </w:tcBorders>
            <w:vAlign w:val="center"/>
          </w:tcPr>
          <w:p w14:paraId="2DCCDEA3" w14:textId="11ED139F" w:rsidR="00B56D50" w:rsidRPr="006F5AD1" w:rsidRDefault="001C3C42" w:rsidP="006B0147">
            <w:pPr>
              <w:spacing w:after="0" w:line="259" w:lineRule="auto"/>
              <w:ind w:left="0" w:right="30" w:firstLine="0"/>
              <w:jc w:val="center"/>
              <w:rPr>
                <w:sz w:val="20"/>
                <w:szCs w:val="20"/>
              </w:rPr>
            </w:pPr>
            <w:r w:rsidRPr="006B0147">
              <w:rPr>
                <w:sz w:val="20"/>
                <w:szCs w:val="20"/>
              </w:rPr>
              <w:t>NaOH to pH&gt;8</w:t>
            </w:r>
          </w:p>
        </w:tc>
        <w:tc>
          <w:tcPr>
            <w:tcW w:w="1440" w:type="dxa"/>
            <w:tcBorders>
              <w:top w:val="single" w:sz="7" w:space="0" w:color="000000"/>
              <w:left w:val="single" w:sz="12" w:space="0" w:color="000000"/>
              <w:bottom w:val="single" w:sz="7" w:space="0" w:color="000000"/>
              <w:right w:val="single" w:sz="12" w:space="0" w:color="000000"/>
            </w:tcBorders>
            <w:vAlign w:val="center"/>
          </w:tcPr>
          <w:p w14:paraId="2785D6CD" w14:textId="4F166D30" w:rsidR="00B56D50" w:rsidRPr="006F5AD1" w:rsidRDefault="001C3C42" w:rsidP="006B0147">
            <w:pPr>
              <w:spacing w:after="0" w:line="259" w:lineRule="auto"/>
              <w:ind w:left="0" w:right="28" w:firstLine="0"/>
              <w:jc w:val="center"/>
              <w:rPr>
                <w:sz w:val="20"/>
                <w:szCs w:val="20"/>
              </w:rPr>
            </w:pPr>
            <w:r w:rsidRPr="006B0147">
              <w:rPr>
                <w:sz w:val="20"/>
                <w:szCs w:val="20"/>
              </w:rPr>
              <w:t>16 days</w:t>
            </w:r>
          </w:p>
        </w:tc>
      </w:tr>
      <w:tr w:rsidR="00F95666" w14:paraId="28F11960" w14:textId="77777777" w:rsidTr="00877845">
        <w:trPr>
          <w:trHeight w:val="20"/>
        </w:trPr>
        <w:tc>
          <w:tcPr>
            <w:tcW w:w="3790" w:type="dxa"/>
            <w:tcBorders>
              <w:top w:val="single" w:sz="7" w:space="0" w:color="000000"/>
              <w:left w:val="single" w:sz="12" w:space="0" w:color="000000"/>
              <w:bottom w:val="single" w:sz="7" w:space="0" w:color="000000"/>
              <w:right w:val="single" w:sz="12" w:space="0" w:color="000000"/>
            </w:tcBorders>
            <w:vAlign w:val="center"/>
          </w:tcPr>
          <w:p w14:paraId="71C02956" w14:textId="625AD5CC" w:rsidR="00B56D50" w:rsidRPr="006F5AD1" w:rsidRDefault="001C3C42" w:rsidP="006B0147">
            <w:pPr>
              <w:spacing w:after="0" w:line="259" w:lineRule="auto"/>
              <w:ind w:left="0" w:right="0" w:firstLine="0"/>
              <w:rPr>
                <w:sz w:val="20"/>
                <w:szCs w:val="20"/>
              </w:rPr>
            </w:pPr>
            <w:r w:rsidRPr="006B0147">
              <w:rPr>
                <w:sz w:val="20"/>
                <w:szCs w:val="20"/>
              </w:rPr>
              <w:t>Residue, Settleable</w:t>
            </w:r>
          </w:p>
        </w:tc>
        <w:tc>
          <w:tcPr>
            <w:tcW w:w="1618" w:type="dxa"/>
            <w:tcBorders>
              <w:top w:val="single" w:sz="7" w:space="0" w:color="000000"/>
              <w:left w:val="single" w:sz="12" w:space="0" w:color="000000"/>
              <w:bottom w:val="single" w:sz="7" w:space="0" w:color="000000"/>
              <w:right w:val="single" w:sz="12" w:space="0" w:color="000000"/>
            </w:tcBorders>
            <w:vAlign w:val="center"/>
          </w:tcPr>
          <w:p w14:paraId="73FEC0A6" w14:textId="2A67ADA5" w:rsidR="00B56D50" w:rsidRPr="006F5AD1" w:rsidRDefault="001C3C42" w:rsidP="006B0147">
            <w:pPr>
              <w:spacing w:after="0" w:line="259" w:lineRule="auto"/>
              <w:ind w:left="0" w:right="28" w:firstLine="0"/>
              <w:jc w:val="center"/>
              <w:rPr>
                <w:sz w:val="20"/>
                <w:szCs w:val="20"/>
              </w:rPr>
            </w:pPr>
            <w:r w:rsidRPr="006B0147">
              <w:rPr>
                <w:sz w:val="20"/>
                <w:szCs w:val="20"/>
              </w:rPr>
              <w:t>NA</w:t>
            </w:r>
          </w:p>
        </w:tc>
        <w:tc>
          <w:tcPr>
            <w:tcW w:w="1622" w:type="dxa"/>
            <w:tcBorders>
              <w:top w:val="single" w:sz="7" w:space="0" w:color="000000"/>
              <w:left w:val="single" w:sz="12" w:space="0" w:color="000000"/>
              <w:bottom w:val="single" w:sz="7" w:space="0" w:color="000000"/>
              <w:right w:val="single" w:sz="12" w:space="0" w:color="000000"/>
            </w:tcBorders>
            <w:vAlign w:val="center"/>
          </w:tcPr>
          <w:p w14:paraId="0F319C9D" w14:textId="667D594C" w:rsidR="00B56D50" w:rsidRPr="006F5AD1" w:rsidRDefault="00B56D50" w:rsidP="006B0147">
            <w:pPr>
              <w:spacing w:after="0" w:line="259" w:lineRule="auto"/>
              <w:ind w:left="24" w:right="0" w:firstLine="0"/>
              <w:jc w:val="center"/>
              <w:rPr>
                <w:sz w:val="20"/>
                <w:szCs w:val="20"/>
              </w:rPr>
            </w:pPr>
          </w:p>
        </w:tc>
        <w:tc>
          <w:tcPr>
            <w:tcW w:w="2037" w:type="dxa"/>
            <w:tcBorders>
              <w:top w:val="single" w:sz="7" w:space="0" w:color="000000"/>
              <w:left w:val="single" w:sz="12" w:space="0" w:color="000000"/>
              <w:bottom w:val="single" w:sz="7" w:space="0" w:color="000000"/>
              <w:right w:val="single" w:sz="12" w:space="0" w:color="000000"/>
            </w:tcBorders>
            <w:vAlign w:val="center"/>
          </w:tcPr>
          <w:p w14:paraId="7D51F3B2" w14:textId="71D7A7F3" w:rsidR="00B56D50" w:rsidRPr="006F5AD1" w:rsidRDefault="00B56D50" w:rsidP="006B0147">
            <w:pPr>
              <w:spacing w:after="0" w:line="259" w:lineRule="auto"/>
              <w:ind w:left="25" w:right="0" w:firstLine="0"/>
              <w:jc w:val="center"/>
              <w:rPr>
                <w:sz w:val="20"/>
                <w:szCs w:val="20"/>
              </w:rPr>
            </w:pPr>
          </w:p>
        </w:tc>
        <w:tc>
          <w:tcPr>
            <w:tcW w:w="1574" w:type="dxa"/>
            <w:tcBorders>
              <w:top w:val="single" w:sz="7" w:space="0" w:color="000000"/>
              <w:left w:val="single" w:sz="12" w:space="0" w:color="000000"/>
              <w:bottom w:val="single" w:sz="7" w:space="0" w:color="000000"/>
              <w:right w:val="single" w:sz="12" w:space="0" w:color="000000"/>
            </w:tcBorders>
            <w:vAlign w:val="center"/>
          </w:tcPr>
          <w:p w14:paraId="4BFEEA80" w14:textId="79531254" w:rsidR="00B56D50" w:rsidRPr="006F5AD1" w:rsidRDefault="001C3C42" w:rsidP="006B0147">
            <w:pPr>
              <w:spacing w:after="0" w:line="259" w:lineRule="auto"/>
              <w:ind w:left="0" w:right="30" w:firstLine="0"/>
              <w:jc w:val="center"/>
              <w:rPr>
                <w:sz w:val="20"/>
                <w:szCs w:val="20"/>
              </w:rPr>
            </w:pPr>
            <w:r w:rsidRPr="006B0147">
              <w:rPr>
                <w:sz w:val="20"/>
                <w:szCs w:val="20"/>
              </w:rPr>
              <w:t>1-1 L   P, G</w:t>
            </w:r>
          </w:p>
        </w:tc>
        <w:tc>
          <w:tcPr>
            <w:tcW w:w="2650" w:type="dxa"/>
            <w:tcBorders>
              <w:top w:val="single" w:sz="7" w:space="0" w:color="000000"/>
              <w:left w:val="single" w:sz="12" w:space="0" w:color="000000"/>
              <w:bottom w:val="single" w:sz="7" w:space="0" w:color="000000"/>
              <w:right w:val="single" w:sz="12" w:space="0" w:color="000000"/>
            </w:tcBorders>
            <w:vAlign w:val="center"/>
          </w:tcPr>
          <w:p w14:paraId="0D770DA4" w14:textId="02F326DE" w:rsidR="00B56D50" w:rsidRPr="006F5AD1" w:rsidRDefault="001C3C42" w:rsidP="006B0147">
            <w:pPr>
              <w:spacing w:after="0" w:line="259" w:lineRule="auto"/>
              <w:ind w:left="0" w:right="28" w:firstLine="0"/>
              <w:jc w:val="center"/>
              <w:rPr>
                <w:sz w:val="20"/>
                <w:szCs w:val="20"/>
              </w:rPr>
            </w:pPr>
            <w:r w:rsidRPr="006B0147">
              <w:rPr>
                <w:sz w:val="20"/>
                <w:szCs w:val="20"/>
              </w:rPr>
              <w:t>Ice (4</w:t>
            </w:r>
            <w:r w:rsidRPr="006B0147">
              <w:rPr>
                <w:sz w:val="20"/>
                <w:szCs w:val="20"/>
                <w:vertAlign w:val="superscript"/>
              </w:rPr>
              <w:t>0</w:t>
            </w:r>
            <w:r w:rsidRPr="006B0147">
              <w:rPr>
                <w:sz w:val="20"/>
                <w:szCs w:val="20"/>
              </w:rPr>
              <w:t>C)</w:t>
            </w:r>
          </w:p>
        </w:tc>
        <w:tc>
          <w:tcPr>
            <w:tcW w:w="1440" w:type="dxa"/>
            <w:tcBorders>
              <w:top w:val="single" w:sz="7" w:space="0" w:color="000000"/>
              <w:left w:val="single" w:sz="12" w:space="0" w:color="000000"/>
              <w:bottom w:val="single" w:sz="7" w:space="0" w:color="000000"/>
              <w:right w:val="single" w:sz="12" w:space="0" w:color="000000"/>
            </w:tcBorders>
            <w:vAlign w:val="center"/>
          </w:tcPr>
          <w:p w14:paraId="2B52F797" w14:textId="4526B9FC" w:rsidR="00B56D50" w:rsidRPr="006F5AD1" w:rsidRDefault="001C3C42" w:rsidP="006B0147">
            <w:pPr>
              <w:spacing w:after="0" w:line="259" w:lineRule="auto"/>
              <w:ind w:left="0" w:right="28" w:firstLine="0"/>
              <w:jc w:val="center"/>
              <w:rPr>
                <w:sz w:val="20"/>
                <w:szCs w:val="20"/>
              </w:rPr>
            </w:pPr>
            <w:r w:rsidRPr="006B0147">
              <w:rPr>
                <w:sz w:val="20"/>
                <w:szCs w:val="20"/>
              </w:rPr>
              <w:t>2 days</w:t>
            </w:r>
          </w:p>
        </w:tc>
      </w:tr>
      <w:tr w:rsidR="00F95666" w14:paraId="60941A26" w14:textId="77777777" w:rsidTr="00877845">
        <w:trPr>
          <w:trHeight w:val="20"/>
        </w:trPr>
        <w:tc>
          <w:tcPr>
            <w:tcW w:w="3790" w:type="dxa"/>
            <w:tcBorders>
              <w:top w:val="single" w:sz="7" w:space="0" w:color="000000"/>
              <w:left w:val="single" w:sz="12" w:space="0" w:color="000000"/>
              <w:bottom w:val="single" w:sz="7" w:space="0" w:color="000000"/>
              <w:right w:val="single" w:sz="12" w:space="0" w:color="000000"/>
            </w:tcBorders>
            <w:vAlign w:val="center"/>
          </w:tcPr>
          <w:p w14:paraId="44673039" w14:textId="39E1D1CA" w:rsidR="00B56D50" w:rsidRDefault="001C3C42" w:rsidP="0045454F">
            <w:pPr>
              <w:spacing w:after="0" w:line="259" w:lineRule="auto"/>
              <w:ind w:left="0" w:right="0" w:firstLine="0"/>
            </w:pPr>
            <w:r>
              <w:rPr>
                <w:sz w:val="20"/>
              </w:rPr>
              <w:t>Residue, Volatile</w:t>
            </w:r>
          </w:p>
        </w:tc>
        <w:tc>
          <w:tcPr>
            <w:tcW w:w="1618" w:type="dxa"/>
            <w:tcBorders>
              <w:top w:val="single" w:sz="7" w:space="0" w:color="000000"/>
              <w:left w:val="single" w:sz="12" w:space="0" w:color="000000"/>
              <w:bottom w:val="single" w:sz="7" w:space="0" w:color="000000"/>
              <w:right w:val="single" w:sz="12" w:space="0" w:color="000000"/>
            </w:tcBorders>
            <w:vAlign w:val="center"/>
          </w:tcPr>
          <w:p w14:paraId="45B1C4F6" w14:textId="0545DCEE" w:rsidR="00B56D50" w:rsidRDefault="001C3C42" w:rsidP="0045454F">
            <w:pPr>
              <w:spacing w:after="0" w:line="259" w:lineRule="auto"/>
              <w:ind w:left="0" w:right="28" w:firstLine="0"/>
              <w:jc w:val="center"/>
            </w:pPr>
            <w:r>
              <w:rPr>
                <w:sz w:val="20"/>
              </w:rPr>
              <w:t>NA</w:t>
            </w:r>
          </w:p>
        </w:tc>
        <w:tc>
          <w:tcPr>
            <w:tcW w:w="1622" w:type="dxa"/>
            <w:tcBorders>
              <w:top w:val="single" w:sz="7" w:space="0" w:color="000000"/>
              <w:left w:val="single" w:sz="12" w:space="0" w:color="000000"/>
              <w:bottom w:val="single" w:sz="7" w:space="0" w:color="000000"/>
              <w:right w:val="single" w:sz="12" w:space="0" w:color="000000"/>
            </w:tcBorders>
            <w:vAlign w:val="center"/>
          </w:tcPr>
          <w:p w14:paraId="4FDDEB6E" w14:textId="09E00923" w:rsidR="00B56D50" w:rsidRDefault="00B56D50" w:rsidP="0045454F">
            <w:pPr>
              <w:spacing w:after="0" w:line="259" w:lineRule="auto"/>
              <w:ind w:left="24" w:right="0" w:firstLine="0"/>
              <w:jc w:val="center"/>
            </w:pPr>
          </w:p>
        </w:tc>
        <w:tc>
          <w:tcPr>
            <w:tcW w:w="2037" w:type="dxa"/>
            <w:tcBorders>
              <w:top w:val="single" w:sz="7" w:space="0" w:color="000000"/>
              <w:left w:val="single" w:sz="12" w:space="0" w:color="000000"/>
              <w:bottom w:val="single" w:sz="7" w:space="0" w:color="000000"/>
              <w:right w:val="single" w:sz="12" w:space="0" w:color="000000"/>
            </w:tcBorders>
            <w:vAlign w:val="center"/>
          </w:tcPr>
          <w:p w14:paraId="0F9DC18B" w14:textId="52C61CC9" w:rsidR="00B56D50" w:rsidRDefault="00B56D50" w:rsidP="0045454F">
            <w:pPr>
              <w:spacing w:after="0" w:line="259" w:lineRule="auto"/>
              <w:ind w:left="25" w:right="0" w:firstLine="0"/>
              <w:jc w:val="center"/>
            </w:pPr>
          </w:p>
        </w:tc>
        <w:tc>
          <w:tcPr>
            <w:tcW w:w="1574" w:type="dxa"/>
            <w:tcBorders>
              <w:top w:val="single" w:sz="7" w:space="0" w:color="000000"/>
              <w:left w:val="single" w:sz="12" w:space="0" w:color="000000"/>
              <w:bottom w:val="single" w:sz="7" w:space="0" w:color="000000"/>
              <w:right w:val="single" w:sz="12" w:space="0" w:color="000000"/>
            </w:tcBorders>
            <w:vAlign w:val="center"/>
          </w:tcPr>
          <w:p w14:paraId="27D82C3F" w14:textId="68B62FD5" w:rsidR="00B56D50" w:rsidRDefault="001C3C42" w:rsidP="0045454F">
            <w:pPr>
              <w:spacing w:after="0" w:line="259" w:lineRule="auto"/>
              <w:ind w:left="0" w:right="30" w:firstLine="0"/>
              <w:jc w:val="center"/>
            </w:pPr>
            <w:r>
              <w:rPr>
                <w:sz w:val="20"/>
              </w:rPr>
              <w:t>1-1 L   P, G</w:t>
            </w:r>
          </w:p>
        </w:tc>
        <w:tc>
          <w:tcPr>
            <w:tcW w:w="2650" w:type="dxa"/>
            <w:tcBorders>
              <w:top w:val="single" w:sz="7" w:space="0" w:color="000000"/>
              <w:left w:val="single" w:sz="12" w:space="0" w:color="000000"/>
              <w:bottom w:val="single" w:sz="7" w:space="0" w:color="000000"/>
              <w:right w:val="single" w:sz="12" w:space="0" w:color="000000"/>
            </w:tcBorders>
            <w:vAlign w:val="center"/>
          </w:tcPr>
          <w:p w14:paraId="72C269CA" w14:textId="3B9071A2" w:rsidR="00B56D50" w:rsidRDefault="001C3C42" w:rsidP="0045454F">
            <w:pPr>
              <w:spacing w:after="0" w:line="259" w:lineRule="auto"/>
              <w:ind w:left="0" w:right="28" w:firstLine="0"/>
              <w:jc w:val="center"/>
            </w:pPr>
            <w:r>
              <w:rPr>
                <w:sz w:val="20"/>
              </w:rPr>
              <w:t>Ice (4</w:t>
            </w:r>
            <w:r>
              <w:rPr>
                <w:sz w:val="20"/>
                <w:vertAlign w:val="superscript"/>
              </w:rPr>
              <w:t>0</w:t>
            </w:r>
            <w:r>
              <w:rPr>
                <w:sz w:val="20"/>
              </w:rPr>
              <w:t>C)</w:t>
            </w:r>
          </w:p>
        </w:tc>
        <w:tc>
          <w:tcPr>
            <w:tcW w:w="1440" w:type="dxa"/>
            <w:tcBorders>
              <w:top w:val="single" w:sz="7" w:space="0" w:color="000000"/>
              <w:left w:val="single" w:sz="12" w:space="0" w:color="000000"/>
              <w:bottom w:val="single" w:sz="7" w:space="0" w:color="000000"/>
              <w:right w:val="single" w:sz="12" w:space="0" w:color="000000"/>
            </w:tcBorders>
            <w:vAlign w:val="center"/>
          </w:tcPr>
          <w:p w14:paraId="5B68DA85" w14:textId="6203646A" w:rsidR="00B56D50" w:rsidRDefault="001C3C42" w:rsidP="0045454F">
            <w:pPr>
              <w:spacing w:after="0" w:line="259" w:lineRule="auto"/>
              <w:ind w:left="0" w:right="28" w:firstLine="0"/>
              <w:jc w:val="center"/>
            </w:pPr>
            <w:r>
              <w:rPr>
                <w:sz w:val="20"/>
              </w:rPr>
              <w:t>7 days</w:t>
            </w:r>
          </w:p>
        </w:tc>
      </w:tr>
      <w:tr w:rsidR="00F95666" w14:paraId="46F5C9B5" w14:textId="77777777" w:rsidTr="00877845">
        <w:trPr>
          <w:trHeight w:val="20"/>
        </w:trPr>
        <w:tc>
          <w:tcPr>
            <w:tcW w:w="3790" w:type="dxa"/>
            <w:tcBorders>
              <w:top w:val="single" w:sz="7" w:space="0" w:color="000000"/>
              <w:left w:val="single" w:sz="12" w:space="0" w:color="000000"/>
              <w:bottom w:val="single" w:sz="7" w:space="0" w:color="000000"/>
              <w:right w:val="single" w:sz="12" w:space="0" w:color="000000"/>
            </w:tcBorders>
            <w:vAlign w:val="center"/>
          </w:tcPr>
          <w:p w14:paraId="44FE1D98" w14:textId="6F1518C6" w:rsidR="00B56D50" w:rsidRDefault="001C3C42" w:rsidP="005A38C7">
            <w:pPr>
              <w:spacing w:after="0" w:line="259" w:lineRule="auto"/>
              <w:ind w:left="0" w:right="0" w:firstLine="0"/>
            </w:pPr>
            <w:r>
              <w:rPr>
                <w:sz w:val="20"/>
              </w:rPr>
              <w:t>Silica, Dissolved</w:t>
            </w:r>
          </w:p>
        </w:tc>
        <w:tc>
          <w:tcPr>
            <w:tcW w:w="1618" w:type="dxa"/>
            <w:tcBorders>
              <w:top w:val="single" w:sz="7" w:space="0" w:color="000000"/>
              <w:left w:val="single" w:sz="12" w:space="0" w:color="000000"/>
              <w:bottom w:val="single" w:sz="7" w:space="0" w:color="000000"/>
              <w:right w:val="single" w:sz="12" w:space="0" w:color="000000"/>
            </w:tcBorders>
            <w:vAlign w:val="center"/>
          </w:tcPr>
          <w:p w14:paraId="63C224F6" w14:textId="44739280" w:rsidR="00B56D50" w:rsidRDefault="001C3C42" w:rsidP="005A38C7">
            <w:pPr>
              <w:spacing w:after="0" w:line="259" w:lineRule="auto"/>
              <w:ind w:left="0" w:right="28" w:firstLine="0"/>
              <w:jc w:val="center"/>
            </w:pPr>
            <w:r>
              <w:rPr>
                <w:sz w:val="20"/>
              </w:rPr>
              <w:t>NA</w:t>
            </w:r>
          </w:p>
        </w:tc>
        <w:tc>
          <w:tcPr>
            <w:tcW w:w="1622" w:type="dxa"/>
            <w:tcBorders>
              <w:top w:val="single" w:sz="7" w:space="0" w:color="000000"/>
              <w:left w:val="single" w:sz="12" w:space="0" w:color="000000"/>
              <w:bottom w:val="single" w:sz="7" w:space="0" w:color="000000"/>
              <w:right w:val="single" w:sz="12" w:space="0" w:color="000000"/>
            </w:tcBorders>
            <w:vAlign w:val="center"/>
          </w:tcPr>
          <w:p w14:paraId="63D18516" w14:textId="2CC9D802" w:rsidR="00B56D50" w:rsidRDefault="00B56D50" w:rsidP="005A38C7">
            <w:pPr>
              <w:spacing w:after="0" w:line="259" w:lineRule="auto"/>
              <w:ind w:left="24" w:right="0" w:firstLine="0"/>
              <w:jc w:val="center"/>
            </w:pPr>
          </w:p>
        </w:tc>
        <w:tc>
          <w:tcPr>
            <w:tcW w:w="2037" w:type="dxa"/>
            <w:tcBorders>
              <w:top w:val="single" w:sz="7" w:space="0" w:color="000000"/>
              <w:left w:val="single" w:sz="12" w:space="0" w:color="000000"/>
              <w:bottom w:val="single" w:sz="7" w:space="0" w:color="000000"/>
              <w:right w:val="single" w:sz="12" w:space="0" w:color="000000"/>
            </w:tcBorders>
            <w:vAlign w:val="center"/>
          </w:tcPr>
          <w:p w14:paraId="1F6B78DB" w14:textId="39187701" w:rsidR="00B56D50" w:rsidRDefault="00B56D50" w:rsidP="005A38C7">
            <w:pPr>
              <w:spacing w:after="0" w:line="259" w:lineRule="auto"/>
              <w:ind w:left="0" w:right="0" w:firstLine="0"/>
              <w:jc w:val="center"/>
            </w:pPr>
          </w:p>
        </w:tc>
        <w:tc>
          <w:tcPr>
            <w:tcW w:w="1574" w:type="dxa"/>
            <w:tcBorders>
              <w:top w:val="single" w:sz="7" w:space="0" w:color="000000"/>
              <w:left w:val="single" w:sz="12" w:space="0" w:color="000000"/>
              <w:bottom w:val="single" w:sz="7" w:space="0" w:color="000000"/>
              <w:right w:val="single" w:sz="12" w:space="0" w:color="000000"/>
            </w:tcBorders>
            <w:vAlign w:val="center"/>
          </w:tcPr>
          <w:p w14:paraId="48402914" w14:textId="427B13E3" w:rsidR="00B56D50" w:rsidRDefault="001C3C42" w:rsidP="005A38C7">
            <w:pPr>
              <w:spacing w:after="0" w:line="259" w:lineRule="auto"/>
              <w:ind w:left="0" w:right="30" w:firstLine="0"/>
              <w:jc w:val="center"/>
            </w:pPr>
            <w:r>
              <w:rPr>
                <w:sz w:val="20"/>
              </w:rPr>
              <w:t>1-1 L   P, G</w:t>
            </w:r>
          </w:p>
        </w:tc>
        <w:tc>
          <w:tcPr>
            <w:tcW w:w="2650" w:type="dxa"/>
            <w:tcBorders>
              <w:top w:val="single" w:sz="7" w:space="0" w:color="000000"/>
              <w:left w:val="single" w:sz="12" w:space="0" w:color="000000"/>
              <w:bottom w:val="single" w:sz="7" w:space="0" w:color="000000"/>
              <w:right w:val="single" w:sz="12" w:space="0" w:color="000000"/>
            </w:tcBorders>
            <w:vAlign w:val="center"/>
          </w:tcPr>
          <w:p w14:paraId="797FE58C" w14:textId="624126D7" w:rsidR="00B56D50" w:rsidRDefault="001C3C42" w:rsidP="005A38C7">
            <w:pPr>
              <w:spacing w:after="0" w:line="259" w:lineRule="auto"/>
              <w:ind w:left="0" w:right="28" w:firstLine="0"/>
              <w:jc w:val="center"/>
            </w:pPr>
            <w:r>
              <w:rPr>
                <w:sz w:val="20"/>
              </w:rPr>
              <w:t>Ice (4</w:t>
            </w:r>
            <w:r>
              <w:rPr>
                <w:sz w:val="20"/>
                <w:vertAlign w:val="superscript"/>
              </w:rPr>
              <w:t>0</w:t>
            </w:r>
            <w:r>
              <w:rPr>
                <w:sz w:val="20"/>
              </w:rPr>
              <w:t>C)</w:t>
            </w:r>
          </w:p>
        </w:tc>
        <w:tc>
          <w:tcPr>
            <w:tcW w:w="1440" w:type="dxa"/>
            <w:tcBorders>
              <w:top w:val="single" w:sz="7" w:space="0" w:color="000000"/>
              <w:left w:val="single" w:sz="12" w:space="0" w:color="000000"/>
              <w:bottom w:val="single" w:sz="7" w:space="0" w:color="000000"/>
              <w:right w:val="single" w:sz="12" w:space="0" w:color="000000"/>
            </w:tcBorders>
            <w:vAlign w:val="center"/>
          </w:tcPr>
          <w:p w14:paraId="2C7606F6" w14:textId="2B11F980" w:rsidR="00B56D50" w:rsidRDefault="001C3C42" w:rsidP="005A38C7">
            <w:pPr>
              <w:spacing w:after="0" w:line="259" w:lineRule="auto"/>
              <w:ind w:left="0" w:right="28" w:firstLine="0"/>
              <w:jc w:val="center"/>
            </w:pPr>
            <w:r>
              <w:rPr>
                <w:sz w:val="20"/>
              </w:rPr>
              <w:t>28 days</w:t>
            </w:r>
          </w:p>
        </w:tc>
      </w:tr>
      <w:tr w:rsidR="00F95666" w14:paraId="6A239DF5" w14:textId="77777777" w:rsidTr="00877845">
        <w:trPr>
          <w:trHeight w:val="20"/>
        </w:trPr>
        <w:tc>
          <w:tcPr>
            <w:tcW w:w="3790" w:type="dxa"/>
            <w:tcBorders>
              <w:top w:val="single" w:sz="7" w:space="0" w:color="000000"/>
              <w:left w:val="single" w:sz="12" w:space="0" w:color="000000"/>
              <w:bottom w:val="single" w:sz="7" w:space="0" w:color="000000"/>
              <w:right w:val="single" w:sz="12" w:space="0" w:color="000000"/>
            </w:tcBorders>
            <w:vAlign w:val="center"/>
          </w:tcPr>
          <w:p w14:paraId="5E480363" w14:textId="32F77CB4" w:rsidR="00B56D50" w:rsidRDefault="001C3C42" w:rsidP="005A38C7">
            <w:pPr>
              <w:spacing w:after="0" w:line="259" w:lineRule="auto"/>
              <w:ind w:left="0" w:right="0" w:firstLine="0"/>
            </w:pPr>
            <w:r>
              <w:rPr>
                <w:sz w:val="20"/>
              </w:rPr>
              <w:t>Specific Conductivity</w:t>
            </w:r>
          </w:p>
        </w:tc>
        <w:tc>
          <w:tcPr>
            <w:tcW w:w="1618" w:type="dxa"/>
            <w:tcBorders>
              <w:top w:val="single" w:sz="7" w:space="0" w:color="000000"/>
              <w:left w:val="single" w:sz="12" w:space="0" w:color="000000"/>
              <w:bottom w:val="single" w:sz="7" w:space="0" w:color="000000"/>
              <w:right w:val="single" w:sz="12" w:space="0" w:color="000000"/>
            </w:tcBorders>
            <w:vAlign w:val="center"/>
          </w:tcPr>
          <w:p w14:paraId="0BB6D69E" w14:textId="3B03C3CB" w:rsidR="00B56D50" w:rsidRDefault="001C3C42" w:rsidP="005A38C7">
            <w:pPr>
              <w:spacing w:after="0" w:line="259" w:lineRule="auto"/>
              <w:ind w:left="0" w:right="28" w:firstLine="0"/>
              <w:jc w:val="center"/>
            </w:pPr>
            <w:r>
              <w:rPr>
                <w:sz w:val="20"/>
              </w:rPr>
              <w:t>NA</w:t>
            </w:r>
          </w:p>
        </w:tc>
        <w:tc>
          <w:tcPr>
            <w:tcW w:w="1622" w:type="dxa"/>
            <w:tcBorders>
              <w:top w:val="single" w:sz="7" w:space="0" w:color="000000"/>
              <w:left w:val="single" w:sz="12" w:space="0" w:color="000000"/>
              <w:bottom w:val="single" w:sz="7" w:space="0" w:color="000000"/>
              <w:right w:val="single" w:sz="12" w:space="0" w:color="000000"/>
            </w:tcBorders>
            <w:vAlign w:val="center"/>
          </w:tcPr>
          <w:p w14:paraId="00542339" w14:textId="1A7B18FE" w:rsidR="00B56D50" w:rsidRDefault="00B56D50" w:rsidP="005A38C7">
            <w:pPr>
              <w:spacing w:after="0" w:line="259" w:lineRule="auto"/>
              <w:ind w:left="24" w:right="0" w:firstLine="0"/>
              <w:jc w:val="center"/>
            </w:pPr>
          </w:p>
        </w:tc>
        <w:tc>
          <w:tcPr>
            <w:tcW w:w="2037" w:type="dxa"/>
            <w:tcBorders>
              <w:top w:val="single" w:sz="7" w:space="0" w:color="000000"/>
              <w:left w:val="single" w:sz="12" w:space="0" w:color="000000"/>
              <w:bottom w:val="single" w:sz="7" w:space="0" w:color="000000"/>
              <w:right w:val="single" w:sz="12" w:space="0" w:color="000000"/>
            </w:tcBorders>
            <w:vAlign w:val="center"/>
          </w:tcPr>
          <w:p w14:paraId="36D8018C" w14:textId="7F7A7E5E" w:rsidR="00B56D50" w:rsidRDefault="00B56D50" w:rsidP="005A38C7">
            <w:pPr>
              <w:spacing w:after="0" w:line="259" w:lineRule="auto"/>
              <w:ind w:left="25" w:right="0" w:firstLine="0"/>
              <w:jc w:val="center"/>
            </w:pPr>
          </w:p>
        </w:tc>
        <w:tc>
          <w:tcPr>
            <w:tcW w:w="1574" w:type="dxa"/>
            <w:tcBorders>
              <w:top w:val="single" w:sz="7" w:space="0" w:color="000000"/>
              <w:left w:val="single" w:sz="12" w:space="0" w:color="000000"/>
              <w:bottom w:val="single" w:sz="7" w:space="0" w:color="000000"/>
              <w:right w:val="single" w:sz="12" w:space="0" w:color="000000"/>
            </w:tcBorders>
            <w:vAlign w:val="center"/>
          </w:tcPr>
          <w:p w14:paraId="17C02869" w14:textId="194EE1E6" w:rsidR="00B56D50" w:rsidRDefault="001C3C42" w:rsidP="005A38C7">
            <w:pPr>
              <w:spacing w:after="0" w:line="259" w:lineRule="auto"/>
              <w:ind w:left="0" w:right="30" w:firstLine="0"/>
              <w:jc w:val="center"/>
            </w:pPr>
            <w:r>
              <w:rPr>
                <w:sz w:val="20"/>
              </w:rPr>
              <w:t>1-1 L   P, G</w:t>
            </w:r>
          </w:p>
        </w:tc>
        <w:tc>
          <w:tcPr>
            <w:tcW w:w="2650" w:type="dxa"/>
            <w:tcBorders>
              <w:top w:val="single" w:sz="7" w:space="0" w:color="000000"/>
              <w:left w:val="single" w:sz="12" w:space="0" w:color="000000"/>
              <w:bottom w:val="single" w:sz="7" w:space="0" w:color="000000"/>
              <w:right w:val="single" w:sz="12" w:space="0" w:color="000000"/>
            </w:tcBorders>
            <w:vAlign w:val="center"/>
          </w:tcPr>
          <w:p w14:paraId="41DB101F" w14:textId="023CF0E0" w:rsidR="00B56D50" w:rsidRDefault="001C3C42" w:rsidP="005A38C7">
            <w:pPr>
              <w:spacing w:after="0" w:line="259" w:lineRule="auto"/>
              <w:ind w:left="0" w:right="28" w:firstLine="0"/>
              <w:jc w:val="center"/>
            </w:pPr>
            <w:r>
              <w:rPr>
                <w:sz w:val="20"/>
              </w:rPr>
              <w:t>Ice (4</w:t>
            </w:r>
            <w:r>
              <w:rPr>
                <w:sz w:val="20"/>
                <w:vertAlign w:val="superscript"/>
              </w:rPr>
              <w:t>0</w:t>
            </w:r>
            <w:r>
              <w:rPr>
                <w:sz w:val="20"/>
              </w:rPr>
              <w:t>C)</w:t>
            </w:r>
          </w:p>
        </w:tc>
        <w:tc>
          <w:tcPr>
            <w:tcW w:w="1440" w:type="dxa"/>
            <w:tcBorders>
              <w:top w:val="single" w:sz="7" w:space="0" w:color="000000"/>
              <w:left w:val="single" w:sz="12" w:space="0" w:color="000000"/>
              <w:bottom w:val="single" w:sz="7" w:space="0" w:color="000000"/>
              <w:right w:val="single" w:sz="12" w:space="0" w:color="000000"/>
            </w:tcBorders>
            <w:vAlign w:val="center"/>
          </w:tcPr>
          <w:p w14:paraId="0C065626" w14:textId="76F17D51" w:rsidR="00B56D50" w:rsidRDefault="001C3C42" w:rsidP="005A38C7">
            <w:pPr>
              <w:spacing w:after="0" w:line="259" w:lineRule="auto"/>
              <w:ind w:left="0" w:right="28" w:firstLine="0"/>
              <w:jc w:val="center"/>
            </w:pPr>
            <w:r>
              <w:rPr>
                <w:sz w:val="20"/>
              </w:rPr>
              <w:t>28 days</w:t>
            </w:r>
          </w:p>
        </w:tc>
      </w:tr>
      <w:tr w:rsidR="00F95666" w14:paraId="3E94A99A" w14:textId="77777777" w:rsidTr="00877845">
        <w:trPr>
          <w:trHeight w:val="20"/>
        </w:trPr>
        <w:tc>
          <w:tcPr>
            <w:tcW w:w="3790" w:type="dxa"/>
            <w:tcBorders>
              <w:top w:val="single" w:sz="7" w:space="0" w:color="000000"/>
              <w:left w:val="single" w:sz="12" w:space="0" w:color="000000"/>
              <w:bottom w:val="single" w:sz="7" w:space="0" w:color="000000"/>
              <w:right w:val="single" w:sz="12" w:space="0" w:color="000000"/>
            </w:tcBorders>
            <w:vAlign w:val="center"/>
          </w:tcPr>
          <w:p w14:paraId="208C8A2C" w14:textId="07C096DB" w:rsidR="00B56D50" w:rsidRDefault="001C3C42" w:rsidP="005A38C7">
            <w:pPr>
              <w:spacing w:after="0" w:line="259" w:lineRule="auto"/>
              <w:ind w:left="0" w:right="0" w:firstLine="0"/>
            </w:pPr>
            <w:r>
              <w:rPr>
                <w:sz w:val="20"/>
              </w:rPr>
              <w:t>Sulfate (S0</w:t>
            </w:r>
            <w:r>
              <w:rPr>
                <w:sz w:val="20"/>
                <w:vertAlign w:val="subscript"/>
              </w:rPr>
              <w:t>4</w:t>
            </w:r>
            <w:r>
              <w:rPr>
                <w:sz w:val="20"/>
                <w:vertAlign w:val="superscript"/>
              </w:rPr>
              <w:t>2-</w:t>
            </w:r>
            <w:r>
              <w:rPr>
                <w:sz w:val="20"/>
              </w:rPr>
              <w:t>)</w:t>
            </w:r>
          </w:p>
        </w:tc>
        <w:tc>
          <w:tcPr>
            <w:tcW w:w="1618" w:type="dxa"/>
            <w:tcBorders>
              <w:top w:val="single" w:sz="7" w:space="0" w:color="000000"/>
              <w:left w:val="single" w:sz="12" w:space="0" w:color="000000"/>
              <w:bottom w:val="single" w:sz="7" w:space="0" w:color="000000"/>
              <w:right w:val="single" w:sz="12" w:space="0" w:color="000000"/>
            </w:tcBorders>
            <w:vAlign w:val="center"/>
          </w:tcPr>
          <w:p w14:paraId="4A9D6DC2" w14:textId="6AF04F42" w:rsidR="00B56D50" w:rsidRDefault="001C3C42" w:rsidP="005A38C7">
            <w:pPr>
              <w:spacing w:after="0" w:line="259" w:lineRule="auto"/>
              <w:ind w:left="0" w:right="34" w:firstLine="0"/>
              <w:jc w:val="center"/>
            </w:pPr>
            <w:r>
              <w:rPr>
                <w:sz w:val="20"/>
              </w:rPr>
              <w:t>500 mL G</w:t>
            </w:r>
          </w:p>
        </w:tc>
        <w:tc>
          <w:tcPr>
            <w:tcW w:w="1622" w:type="dxa"/>
            <w:tcBorders>
              <w:top w:val="single" w:sz="7" w:space="0" w:color="000000"/>
              <w:left w:val="single" w:sz="12" w:space="0" w:color="000000"/>
              <w:bottom w:val="single" w:sz="7" w:space="0" w:color="000000"/>
              <w:right w:val="single" w:sz="12" w:space="0" w:color="000000"/>
            </w:tcBorders>
            <w:vAlign w:val="center"/>
          </w:tcPr>
          <w:p w14:paraId="57634415" w14:textId="19704CE8" w:rsidR="00B56D50" w:rsidRDefault="001C3C42" w:rsidP="005A38C7">
            <w:pPr>
              <w:spacing w:after="0" w:line="259" w:lineRule="auto"/>
              <w:ind w:left="0" w:right="24" w:firstLine="0"/>
              <w:jc w:val="center"/>
            </w:pPr>
            <w:r>
              <w:rPr>
                <w:sz w:val="20"/>
              </w:rPr>
              <w:t>Ice (4</w:t>
            </w:r>
            <w:r>
              <w:rPr>
                <w:sz w:val="20"/>
                <w:vertAlign w:val="superscript"/>
              </w:rPr>
              <w:t>0</w:t>
            </w:r>
            <w:r>
              <w:rPr>
                <w:sz w:val="20"/>
              </w:rPr>
              <w:t>C)</w:t>
            </w:r>
          </w:p>
        </w:tc>
        <w:tc>
          <w:tcPr>
            <w:tcW w:w="2037" w:type="dxa"/>
            <w:tcBorders>
              <w:top w:val="single" w:sz="7" w:space="0" w:color="000000"/>
              <w:left w:val="single" w:sz="12" w:space="0" w:color="000000"/>
              <w:bottom w:val="single" w:sz="7" w:space="0" w:color="000000"/>
              <w:right w:val="single" w:sz="12" w:space="0" w:color="000000"/>
            </w:tcBorders>
            <w:vAlign w:val="center"/>
          </w:tcPr>
          <w:p w14:paraId="76288382" w14:textId="4330A03C" w:rsidR="00B56D50" w:rsidRDefault="001C3C42" w:rsidP="005A38C7">
            <w:pPr>
              <w:spacing w:after="0" w:line="259" w:lineRule="auto"/>
              <w:ind w:left="0" w:right="30" w:firstLine="0"/>
              <w:jc w:val="center"/>
            </w:pPr>
            <w:r>
              <w:rPr>
                <w:sz w:val="20"/>
              </w:rPr>
              <w:t>28 days</w:t>
            </w:r>
          </w:p>
        </w:tc>
        <w:tc>
          <w:tcPr>
            <w:tcW w:w="1574" w:type="dxa"/>
            <w:tcBorders>
              <w:top w:val="single" w:sz="7" w:space="0" w:color="000000"/>
              <w:left w:val="single" w:sz="12" w:space="0" w:color="000000"/>
              <w:bottom w:val="single" w:sz="7" w:space="0" w:color="000000"/>
              <w:right w:val="single" w:sz="12" w:space="0" w:color="000000"/>
            </w:tcBorders>
            <w:vAlign w:val="center"/>
          </w:tcPr>
          <w:p w14:paraId="0B49FEE0" w14:textId="0DB7C90C" w:rsidR="00B56D50" w:rsidRDefault="001C3C42" w:rsidP="005A38C7">
            <w:pPr>
              <w:spacing w:after="0" w:line="259" w:lineRule="auto"/>
              <w:ind w:left="0" w:right="30" w:firstLine="0"/>
              <w:jc w:val="center"/>
            </w:pPr>
            <w:r>
              <w:rPr>
                <w:sz w:val="20"/>
              </w:rPr>
              <w:t>1-1 L   P, G</w:t>
            </w:r>
          </w:p>
        </w:tc>
        <w:tc>
          <w:tcPr>
            <w:tcW w:w="2650" w:type="dxa"/>
            <w:tcBorders>
              <w:top w:val="single" w:sz="7" w:space="0" w:color="000000"/>
              <w:left w:val="single" w:sz="12" w:space="0" w:color="000000"/>
              <w:bottom w:val="single" w:sz="7" w:space="0" w:color="000000"/>
              <w:right w:val="single" w:sz="12" w:space="0" w:color="000000"/>
            </w:tcBorders>
            <w:vAlign w:val="center"/>
          </w:tcPr>
          <w:p w14:paraId="5AE60585" w14:textId="74CA5775" w:rsidR="00B56D50" w:rsidRDefault="001C3C42" w:rsidP="005A38C7">
            <w:pPr>
              <w:spacing w:after="0" w:line="259" w:lineRule="auto"/>
              <w:ind w:left="0" w:right="28" w:firstLine="0"/>
              <w:jc w:val="center"/>
            </w:pPr>
            <w:r>
              <w:rPr>
                <w:sz w:val="20"/>
              </w:rPr>
              <w:t>Ice (4</w:t>
            </w:r>
            <w:r>
              <w:rPr>
                <w:sz w:val="20"/>
                <w:vertAlign w:val="superscript"/>
              </w:rPr>
              <w:t>0</w:t>
            </w:r>
            <w:r>
              <w:rPr>
                <w:sz w:val="20"/>
              </w:rPr>
              <w:t>C)</w:t>
            </w:r>
          </w:p>
        </w:tc>
        <w:tc>
          <w:tcPr>
            <w:tcW w:w="1440" w:type="dxa"/>
            <w:tcBorders>
              <w:top w:val="single" w:sz="7" w:space="0" w:color="000000"/>
              <w:left w:val="single" w:sz="12" w:space="0" w:color="000000"/>
              <w:bottom w:val="single" w:sz="7" w:space="0" w:color="000000"/>
              <w:right w:val="single" w:sz="12" w:space="0" w:color="000000"/>
            </w:tcBorders>
            <w:vAlign w:val="center"/>
          </w:tcPr>
          <w:p w14:paraId="456E969C" w14:textId="04CA7519" w:rsidR="00B56D50" w:rsidRDefault="001C3C42" w:rsidP="005A38C7">
            <w:pPr>
              <w:spacing w:after="0" w:line="259" w:lineRule="auto"/>
              <w:ind w:left="0" w:right="28" w:firstLine="0"/>
              <w:jc w:val="center"/>
            </w:pPr>
            <w:r>
              <w:rPr>
                <w:sz w:val="20"/>
              </w:rPr>
              <w:t>28 days</w:t>
            </w:r>
          </w:p>
        </w:tc>
      </w:tr>
      <w:tr w:rsidR="00F95666" w14:paraId="594D8141" w14:textId="77777777" w:rsidTr="00877845">
        <w:trPr>
          <w:trHeight w:val="20"/>
        </w:trPr>
        <w:tc>
          <w:tcPr>
            <w:tcW w:w="3790" w:type="dxa"/>
            <w:tcBorders>
              <w:top w:val="single" w:sz="7" w:space="0" w:color="000000"/>
              <w:left w:val="single" w:sz="12" w:space="0" w:color="000000"/>
              <w:bottom w:val="single" w:sz="7" w:space="0" w:color="000000"/>
              <w:right w:val="single" w:sz="12" w:space="0" w:color="000000"/>
            </w:tcBorders>
            <w:vAlign w:val="center"/>
          </w:tcPr>
          <w:p w14:paraId="683B44FF" w14:textId="56B38425" w:rsidR="00B56D50" w:rsidRDefault="001C3C42" w:rsidP="00FC5DB8">
            <w:pPr>
              <w:spacing w:after="0" w:line="259" w:lineRule="auto"/>
              <w:ind w:left="0" w:right="0" w:firstLine="0"/>
            </w:pPr>
            <w:r>
              <w:rPr>
                <w:sz w:val="20"/>
              </w:rPr>
              <w:t>Sulfide (S</w:t>
            </w:r>
            <w:r>
              <w:rPr>
                <w:sz w:val="20"/>
                <w:vertAlign w:val="superscript"/>
              </w:rPr>
              <w:t>2-</w:t>
            </w:r>
            <w:r>
              <w:rPr>
                <w:sz w:val="20"/>
              </w:rPr>
              <w:t>)</w:t>
            </w:r>
          </w:p>
        </w:tc>
        <w:tc>
          <w:tcPr>
            <w:tcW w:w="1618" w:type="dxa"/>
            <w:tcBorders>
              <w:top w:val="single" w:sz="7" w:space="0" w:color="000000"/>
              <w:left w:val="single" w:sz="12" w:space="0" w:color="000000"/>
              <w:bottom w:val="single" w:sz="7" w:space="0" w:color="000000"/>
              <w:right w:val="single" w:sz="12" w:space="0" w:color="000000"/>
            </w:tcBorders>
            <w:vAlign w:val="center"/>
          </w:tcPr>
          <w:p w14:paraId="44D2D27D" w14:textId="2A8B3A63" w:rsidR="00B56D50" w:rsidRDefault="001C3C42" w:rsidP="00FC5DB8">
            <w:pPr>
              <w:spacing w:after="0" w:line="259" w:lineRule="auto"/>
              <w:ind w:left="110" w:right="0" w:firstLine="0"/>
              <w:jc w:val="center"/>
            </w:pPr>
            <w:r>
              <w:rPr>
                <w:sz w:val="20"/>
              </w:rPr>
              <w:t>500 mL G</w:t>
            </w:r>
          </w:p>
        </w:tc>
        <w:tc>
          <w:tcPr>
            <w:tcW w:w="1622" w:type="dxa"/>
            <w:tcBorders>
              <w:top w:val="single" w:sz="7" w:space="0" w:color="000000"/>
              <w:left w:val="single" w:sz="12" w:space="0" w:color="000000"/>
              <w:bottom w:val="single" w:sz="7" w:space="0" w:color="000000"/>
              <w:right w:val="single" w:sz="12" w:space="0" w:color="000000"/>
            </w:tcBorders>
            <w:vAlign w:val="center"/>
          </w:tcPr>
          <w:p w14:paraId="66E1D5CE" w14:textId="3A4BAB7A" w:rsidR="00B56D50" w:rsidRDefault="001C3C42" w:rsidP="00FC5DB8">
            <w:pPr>
              <w:spacing w:after="0" w:line="259" w:lineRule="auto"/>
              <w:ind w:left="120" w:right="0" w:firstLine="0"/>
              <w:jc w:val="center"/>
            </w:pPr>
            <w:r>
              <w:rPr>
                <w:sz w:val="20"/>
              </w:rPr>
              <w:t>Ice (4</w:t>
            </w:r>
            <w:r>
              <w:rPr>
                <w:sz w:val="20"/>
                <w:vertAlign w:val="superscript"/>
              </w:rPr>
              <w:t>0</w:t>
            </w:r>
            <w:r>
              <w:rPr>
                <w:sz w:val="20"/>
              </w:rPr>
              <w:t>C)</w:t>
            </w:r>
          </w:p>
        </w:tc>
        <w:tc>
          <w:tcPr>
            <w:tcW w:w="2037" w:type="dxa"/>
            <w:tcBorders>
              <w:top w:val="single" w:sz="7" w:space="0" w:color="000000"/>
              <w:left w:val="single" w:sz="12" w:space="0" w:color="000000"/>
              <w:bottom w:val="single" w:sz="7" w:space="0" w:color="000000"/>
              <w:right w:val="single" w:sz="12" w:space="0" w:color="000000"/>
            </w:tcBorders>
            <w:vAlign w:val="center"/>
          </w:tcPr>
          <w:p w14:paraId="00D43C39" w14:textId="03FE340D" w:rsidR="00B56D50" w:rsidRDefault="001C3C42" w:rsidP="00FC5DB8">
            <w:pPr>
              <w:spacing w:after="0" w:line="259" w:lineRule="auto"/>
              <w:ind w:left="0" w:right="30" w:firstLine="0"/>
              <w:jc w:val="center"/>
            </w:pPr>
            <w:r>
              <w:rPr>
                <w:sz w:val="20"/>
              </w:rPr>
              <w:t>7 days</w:t>
            </w:r>
          </w:p>
        </w:tc>
        <w:tc>
          <w:tcPr>
            <w:tcW w:w="1574" w:type="dxa"/>
            <w:tcBorders>
              <w:top w:val="single" w:sz="7" w:space="0" w:color="000000"/>
              <w:left w:val="single" w:sz="12" w:space="0" w:color="000000"/>
              <w:bottom w:val="single" w:sz="7" w:space="0" w:color="000000"/>
              <w:right w:val="single" w:sz="12" w:space="0" w:color="000000"/>
            </w:tcBorders>
            <w:vAlign w:val="center"/>
          </w:tcPr>
          <w:p w14:paraId="6916F7E6" w14:textId="4A1F8A33" w:rsidR="00B56D50" w:rsidRDefault="001C3C42" w:rsidP="00FC5DB8">
            <w:pPr>
              <w:spacing w:after="0" w:line="259" w:lineRule="auto"/>
              <w:ind w:left="0" w:right="30" w:firstLine="0"/>
              <w:jc w:val="center"/>
            </w:pPr>
            <w:r>
              <w:rPr>
                <w:sz w:val="20"/>
              </w:rPr>
              <w:t>1-1 L   P, G</w:t>
            </w:r>
          </w:p>
        </w:tc>
        <w:tc>
          <w:tcPr>
            <w:tcW w:w="2650" w:type="dxa"/>
            <w:tcBorders>
              <w:top w:val="single" w:sz="7" w:space="0" w:color="000000"/>
              <w:left w:val="single" w:sz="12" w:space="0" w:color="000000"/>
              <w:bottom w:val="single" w:sz="7" w:space="0" w:color="000000"/>
              <w:right w:val="single" w:sz="12" w:space="0" w:color="000000"/>
            </w:tcBorders>
            <w:vAlign w:val="center"/>
          </w:tcPr>
          <w:p w14:paraId="31311E4E" w14:textId="37059833" w:rsidR="00B56D50" w:rsidRDefault="001C3C42" w:rsidP="00FC5DB8">
            <w:pPr>
              <w:spacing w:after="0" w:line="259" w:lineRule="auto"/>
              <w:ind w:left="0" w:right="31" w:firstLine="0"/>
              <w:jc w:val="center"/>
            </w:pPr>
            <w:r>
              <w:rPr>
                <w:sz w:val="20"/>
              </w:rPr>
              <w:t>Zinc Acetate/NaOH</w:t>
            </w:r>
          </w:p>
        </w:tc>
        <w:tc>
          <w:tcPr>
            <w:tcW w:w="1440" w:type="dxa"/>
            <w:tcBorders>
              <w:top w:val="single" w:sz="7" w:space="0" w:color="000000"/>
              <w:left w:val="single" w:sz="12" w:space="0" w:color="000000"/>
              <w:bottom w:val="single" w:sz="7" w:space="0" w:color="000000"/>
              <w:right w:val="single" w:sz="12" w:space="0" w:color="000000"/>
            </w:tcBorders>
            <w:vAlign w:val="center"/>
          </w:tcPr>
          <w:p w14:paraId="44645CEB" w14:textId="6CACB5EA" w:rsidR="00B56D50" w:rsidRDefault="001C3C42" w:rsidP="00FC5DB8">
            <w:pPr>
              <w:spacing w:after="0" w:line="259" w:lineRule="auto"/>
              <w:ind w:left="0" w:right="28" w:firstLine="0"/>
              <w:jc w:val="center"/>
            </w:pPr>
            <w:r>
              <w:rPr>
                <w:sz w:val="20"/>
              </w:rPr>
              <w:t>7 days</w:t>
            </w:r>
          </w:p>
        </w:tc>
      </w:tr>
      <w:tr w:rsidR="00F95666" w14:paraId="2ECA8C78" w14:textId="77777777" w:rsidTr="00877845">
        <w:trPr>
          <w:trHeight w:val="20"/>
        </w:trPr>
        <w:tc>
          <w:tcPr>
            <w:tcW w:w="3790" w:type="dxa"/>
            <w:tcBorders>
              <w:top w:val="single" w:sz="7" w:space="0" w:color="000000"/>
              <w:left w:val="single" w:sz="12" w:space="0" w:color="000000"/>
              <w:bottom w:val="single" w:sz="7" w:space="0" w:color="000000"/>
              <w:right w:val="single" w:sz="12" w:space="0" w:color="000000"/>
            </w:tcBorders>
            <w:vAlign w:val="center"/>
          </w:tcPr>
          <w:p w14:paraId="0D648B4F" w14:textId="14CB18EE" w:rsidR="00B56D50" w:rsidRDefault="001C3C42" w:rsidP="00D9363D">
            <w:pPr>
              <w:spacing w:after="0" w:line="259" w:lineRule="auto"/>
              <w:ind w:left="0" w:right="0" w:firstLine="0"/>
            </w:pPr>
            <w:r>
              <w:rPr>
                <w:sz w:val="20"/>
              </w:rPr>
              <w:t>Sulfite</w:t>
            </w:r>
          </w:p>
        </w:tc>
        <w:tc>
          <w:tcPr>
            <w:tcW w:w="1618" w:type="dxa"/>
            <w:tcBorders>
              <w:top w:val="single" w:sz="7" w:space="0" w:color="000000"/>
              <w:left w:val="single" w:sz="12" w:space="0" w:color="000000"/>
              <w:bottom w:val="single" w:sz="7" w:space="0" w:color="000000"/>
              <w:right w:val="single" w:sz="12" w:space="0" w:color="000000"/>
            </w:tcBorders>
            <w:vAlign w:val="center"/>
          </w:tcPr>
          <w:p w14:paraId="6541105E" w14:textId="6BA0580C" w:rsidR="00B56D50" w:rsidRDefault="001C3C42" w:rsidP="00D9363D">
            <w:pPr>
              <w:spacing w:after="0" w:line="259" w:lineRule="auto"/>
              <w:ind w:left="0" w:right="28" w:firstLine="0"/>
              <w:jc w:val="center"/>
            </w:pPr>
            <w:r>
              <w:rPr>
                <w:sz w:val="20"/>
              </w:rPr>
              <w:t>NA</w:t>
            </w:r>
          </w:p>
        </w:tc>
        <w:tc>
          <w:tcPr>
            <w:tcW w:w="1622" w:type="dxa"/>
            <w:tcBorders>
              <w:top w:val="single" w:sz="7" w:space="0" w:color="000000"/>
              <w:left w:val="single" w:sz="12" w:space="0" w:color="000000"/>
              <w:bottom w:val="single" w:sz="7" w:space="0" w:color="000000"/>
              <w:right w:val="single" w:sz="12" w:space="0" w:color="000000"/>
            </w:tcBorders>
            <w:vAlign w:val="center"/>
          </w:tcPr>
          <w:p w14:paraId="0C1DC89C" w14:textId="015EC1CB" w:rsidR="00B56D50" w:rsidRDefault="00B56D50" w:rsidP="00D9363D">
            <w:pPr>
              <w:spacing w:after="0" w:line="259" w:lineRule="auto"/>
              <w:ind w:left="24" w:right="0" w:firstLine="0"/>
              <w:jc w:val="center"/>
            </w:pPr>
          </w:p>
        </w:tc>
        <w:tc>
          <w:tcPr>
            <w:tcW w:w="2037" w:type="dxa"/>
            <w:tcBorders>
              <w:top w:val="single" w:sz="7" w:space="0" w:color="000000"/>
              <w:left w:val="single" w:sz="12" w:space="0" w:color="000000"/>
              <w:bottom w:val="single" w:sz="7" w:space="0" w:color="000000"/>
              <w:right w:val="single" w:sz="12" w:space="0" w:color="000000"/>
            </w:tcBorders>
            <w:vAlign w:val="center"/>
          </w:tcPr>
          <w:p w14:paraId="6DA5AFB5" w14:textId="2B3D3EEC" w:rsidR="00B56D50" w:rsidRDefault="00B56D50" w:rsidP="00D9363D">
            <w:pPr>
              <w:spacing w:after="0" w:line="259" w:lineRule="auto"/>
              <w:ind w:left="25" w:right="0" w:firstLine="0"/>
              <w:jc w:val="center"/>
            </w:pPr>
          </w:p>
        </w:tc>
        <w:tc>
          <w:tcPr>
            <w:tcW w:w="1574" w:type="dxa"/>
            <w:tcBorders>
              <w:top w:val="single" w:sz="7" w:space="0" w:color="000000"/>
              <w:left w:val="single" w:sz="12" w:space="0" w:color="000000"/>
              <w:bottom w:val="single" w:sz="7" w:space="0" w:color="000000"/>
              <w:right w:val="single" w:sz="12" w:space="0" w:color="000000"/>
            </w:tcBorders>
            <w:vAlign w:val="center"/>
          </w:tcPr>
          <w:p w14:paraId="0852A4F3" w14:textId="67A3A3B9" w:rsidR="00B56D50" w:rsidRDefault="001C3C42" w:rsidP="00D9363D">
            <w:pPr>
              <w:spacing w:after="0" w:line="259" w:lineRule="auto"/>
              <w:ind w:left="0" w:right="34" w:firstLine="0"/>
              <w:jc w:val="center"/>
            </w:pPr>
            <w:r>
              <w:rPr>
                <w:sz w:val="20"/>
              </w:rPr>
              <w:t>1-125mL P</w:t>
            </w:r>
          </w:p>
        </w:tc>
        <w:tc>
          <w:tcPr>
            <w:tcW w:w="2650" w:type="dxa"/>
            <w:tcBorders>
              <w:top w:val="single" w:sz="7" w:space="0" w:color="000000"/>
              <w:left w:val="single" w:sz="12" w:space="0" w:color="000000"/>
              <w:bottom w:val="single" w:sz="7" w:space="0" w:color="000000"/>
              <w:right w:val="single" w:sz="12" w:space="0" w:color="000000"/>
            </w:tcBorders>
            <w:vAlign w:val="center"/>
          </w:tcPr>
          <w:p w14:paraId="658EAADC" w14:textId="0BCCDA32" w:rsidR="00B56D50" w:rsidRDefault="001C3C42" w:rsidP="00D9363D">
            <w:pPr>
              <w:spacing w:after="0" w:line="259" w:lineRule="auto"/>
              <w:ind w:left="0" w:right="28" w:firstLine="0"/>
              <w:jc w:val="center"/>
            </w:pPr>
            <w:r>
              <w:rPr>
                <w:sz w:val="20"/>
              </w:rPr>
              <w:t>Ice (4</w:t>
            </w:r>
            <w:r>
              <w:rPr>
                <w:sz w:val="20"/>
                <w:vertAlign w:val="superscript"/>
              </w:rPr>
              <w:t>0</w:t>
            </w:r>
            <w:r>
              <w:rPr>
                <w:sz w:val="20"/>
              </w:rPr>
              <w:t>C)</w:t>
            </w:r>
          </w:p>
        </w:tc>
        <w:tc>
          <w:tcPr>
            <w:tcW w:w="1440" w:type="dxa"/>
            <w:tcBorders>
              <w:top w:val="single" w:sz="7" w:space="0" w:color="000000"/>
              <w:left w:val="single" w:sz="12" w:space="0" w:color="000000"/>
              <w:bottom w:val="single" w:sz="7" w:space="0" w:color="000000"/>
              <w:right w:val="single" w:sz="12" w:space="0" w:color="000000"/>
            </w:tcBorders>
            <w:vAlign w:val="center"/>
          </w:tcPr>
          <w:p w14:paraId="2D3D96AF" w14:textId="4CDB7433" w:rsidR="00B56D50" w:rsidRDefault="001C3C42" w:rsidP="00D9363D">
            <w:pPr>
              <w:spacing w:after="0" w:line="259" w:lineRule="auto"/>
              <w:ind w:left="24" w:right="0" w:firstLine="0"/>
              <w:jc w:val="center"/>
            </w:pPr>
            <w:r>
              <w:rPr>
                <w:sz w:val="20"/>
              </w:rPr>
              <w:t>Immediately</w:t>
            </w:r>
          </w:p>
        </w:tc>
      </w:tr>
      <w:tr w:rsidR="00F95666" w14:paraId="539B2386" w14:textId="77777777" w:rsidTr="00877845">
        <w:trPr>
          <w:trHeight w:val="20"/>
        </w:trPr>
        <w:tc>
          <w:tcPr>
            <w:tcW w:w="3790" w:type="dxa"/>
            <w:tcBorders>
              <w:top w:val="single" w:sz="7" w:space="0" w:color="000000"/>
              <w:left w:val="single" w:sz="12" w:space="0" w:color="000000"/>
              <w:bottom w:val="single" w:sz="7" w:space="0" w:color="000000"/>
              <w:right w:val="single" w:sz="12" w:space="0" w:color="000000"/>
            </w:tcBorders>
            <w:vAlign w:val="center"/>
          </w:tcPr>
          <w:p w14:paraId="2B7BA9B7" w14:textId="76D9008E" w:rsidR="00B56D50" w:rsidRDefault="001C3C42" w:rsidP="00D9363D">
            <w:pPr>
              <w:spacing w:after="0" w:line="259" w:lineRule="auto"/>
              <w:ind w:left="0" w:right="0" w:firstLine="0"/>
            </w:pPr>
            <w:r>
              <w:rPr>
                <w:sz w:val="20"/>
              </w:rPr>
              <w:t>Surfactants</w:t>
            </w:r>
          </w:p>
        </w:tc>
        <w:tc>
          <w:tcPr>
            <w:tcW w:w="1618" w:type="dxa"/>
            <w:tcBorders>
              <w:top w:val="single" w:sz="7" w:space="0" w:color="000000"/>
              <w:left w:val="single" w:sz="12" w:space="0" w:color="000000"/>
              <w:bottom w:val="single" w:sz="7" w:space="0" w:color="000000"/>
              <w:right w:val="single" w:sz="12" w:space="0" w:color="000000"/>
            </w:tcBorders>
            <w:vAlign w:val="center"/>
          </w:tcPr>
          <w:p w14:paraId="422AAE51" w14:textId="50C095A9" w:rsidR="00B56D50" w:rsidRDefault="001C3C42" w:rsidP="00D9363D">
            <w:pPr>
              <w:spacing w:after="0" w:line="259" w:lineRule="auto"/>
              <w:ind w:left="0" w:right="28" w:firstLine="0"/>
              <w:jc w:val="center"/>
            </w:pPr>
            <w:r>
              <w:rPr>
                <w:sz w:val="20"/>
              </w:rPr>
              <w:t>NA</w:t>
            </w:r>
          </w:p>
        </w:tc>
        <w:tc>
          <w:tcPr>
            <w:tcW w:w="1622" w:type="dxa"/>
            <w:tcBorders>
              <w:top w:val="single" w:sz="7" w:space="0" w:color="000000"/>
              <w:left w:val="single" w:sz="12" w:space="0" w:color="000000"/>
              <w:bottom w:val="single" w:sz="7" w:space="0" w:color="000000"/>
              <w:right w:val="single" w:sz="12" w:space="0" w:color="000000"/>
            </w:tcBorders>
            <w:vAlign w:val="center"/>
          </w:tcPr>
          <w:p w14:paraId="7A6E3549" w14:textId="073A4240" w:rsidR="00B56D50" w:rsidRDefault="00B56D50" w:rsidP="00D9363D">
            <w:pPr>
              <w:spacing w:after="0" w:line="259" w:lineRule="auto"/>
              <w:ind w:left="24" w:right="0" w:firstLine="0"/>
              <w:jc w:val="center"/>
            </w:pPr>
          </w:p>
        </w:tc>
        <w:tc>
          <w:tcPr>
            <w:tcW w:w="2037" w:type="dxa"/>
            <w:tcBorders>
              <w:top w:val="single" w:sz="7" w:space="0" w:color="000000"/>
              <w:left w:val="single" w:sz="12" w:space="0" w:color="000000"/>
              <w:bottom w:val="single" w:sz="7" w:space="0" w:color="000000"/>
              <w:right w:val="single" w:sz="12" w:space="0" w:color="000000"/>
            </w:tcBorders>
            <w:vAlign w:val="center"/>
          </w:tcPr>
          <w:p w14:paraId="70FF25E1" w14:textId="610C3A29" w:rsidR="00B56D50" w:rsidRDefault="00B56D50" w:rsidP="00D9363D">
            <w:pPr>
              <w:spacing w:after="0" w:line="259" w:lineRule="auto"/>
              <w:ind w:left="25" w:right="0" w:firstLine="0"/>
              <w:jc w:val="center"/>
            </w:pPr>
          </w:p>
        </w:tc>
        <w:tc>
          <w:tcPr>
            <w:tcW w:w="1574" w:type="dxa"/>
            <w:tcBorders>
              <w:top w:val="single" w:sz="7" w:space="0" w:color="000000"/>
              <w:left w:val="single" w:sz="12" w:space="0" w:color="000000"/>
              <w:bottom w:val="single" w:sz="7" w:space="0" w:color="000000"/>
              <w:right w:val="single" w:sz="12" w:space="0" w:color="000000"/>
            </w:tcBorders>
            <w:vAlign w:val="center"/>
          </w:tcPr>
          <w:p w14:paraId="075D2C64" w14:textId="2D20177B" w:rsidR="00B56D50" w:rsidRDefault="001C3C42" w:rsidP="00D9363D">
            <w:pPr>
              <w:spacing w:after="0" w:line="259" w:lineRule="auto"/>
              <w:ind w:left="0" w:right="30" w:firstLine="0"/>
              <w:jc w:val="center"/>
            </w:pPr>
            <w:r>
              <w:rPr>
                <w:sz w:val="20"/>
              </w:rPr>
              <w:t>1-1 L   P, G</w:t>
            </w:r>
          </w:p>
        </w:tc>
        <w:tc>
          <w:tcPr>
            <w:tcW w:w="2650" w:type="dxa"/>
            <w:tcBorders>
              <w:top w:val="single" w:sz="7" w:space="0" w:color="000000"/>
              <w:left w:val="single" w:sz="12" w:space="0" w:color="000000"/>
              <w:bottom w:val="single" w:sz="7" w:space="0" w:color="000000"/>
              <w:right w:val="single" w:sz="12" w:space="0" w:color="000000"/>
            </w:tcBorders>
            <w:vAlign w:val="center"/>
          </w:tcPr>
          <w:p w14:paraId="1C7CB15A" w14:textId="43318254" w:rsidR="00B56D50" w:rsidRDefault="001C3C42" w:rsidP="00D9363D">
            <w:pPr>
              <w:spacing w:after="0" w:line="259" w:lineRule="auto"/>
              <w:ind w:left="0" w:right="28" w:firstLine="0"/>
              <w:jc w:val="center"/>
            </w:pPr>
            <w:r>
              <w:rPr>
                <w:sz w:val="20"/>
              </w:rPr>
              <w:t>Ice (4</w:t>
            </w:r>
            <w:r>
              <w:rPr>
                <w:sz w:val="20"/>
                <w:vertAlign w:val="superscript"/>
              </w:rPr>
              <w:t>0</w:t>
            </w:r>
            <w:r>
              <w:rPr>
                <w:sz w:val="20"/>
              </w:rPr>
              <w:t>C)</w:t>
            </w:r>
          </w:p>
        </w:tc>
        <w:tc>
          <w:tcPr>
            <w:tcW w:w="1440" w:type="dxa"/>
            <w:tcBorders>
              <w:top w:val="single" w:sz="7" w:space="0" w:color="000000"/>
              <w:left w:val="single" w:sz="12" w:space="0" w:color="000000"/>
              <w:bottom w:val="single" w:sz="7" w:space="0" w:color="000000"/>
              <w:right w:val="single" w:sz="12" w:space="0" w:color="000000"/>
            </w:tcBorders>
            <w:vAlign w:val="center"/>
          </w:tcPr>
          <w:p w14:paraId="76AC85EF" w14:textId="5D61B6A4" w:rsidR="00B56D50" w:rsidRDefault="001C3C42" w:rsidP="00D9363D">
            <w:pPr>
              <w:spacing w:after="0" w:line="259" w:lineRule="auto"/>
              <w:ind w:left="0" w:right="28" w:firstLine="0"/>
              <w:jc w:val="center"/>
            </w:pPr>
            <w:r>
              <w:rPr>
                <w:sz w:val="20"/>
              </w:rPr>
              <w:t>2 days</w:t>
            </w:r>
          </w:p>
        </w:tc>
      </w:tr>
      <w:tr w:rsidR="00F95666" w14:paraId="4579E61B" w14:textId="77777777" w:rsidTr="00877845">
        <w:trPr>
          <w:trHeight w:val="20"/>
        </w:trPr>
        <w:tc>
          <w:tcPr>
            <w:tcW w:w="3790" w:type="dxa"/>
            <w:tcBorders>
              <w:top w:val="single" w:sz="7" w:space="0" w:color="000000"/>
              <w:left w:val="single" w:sz="12" w:space="0" w:color="000000"/>
              <w:bottom w:val="single" w:sz="7" w:space="0" w:color="000000"/>
              <w:right w:val="single" w:sz="12" w:space="0" w:color="000000"/>
            </w:tcBorders>
            <w:vAlign w:val="center"/>
          </w:tcPr>
          <w:p w14:paraId="267D950E" w14:textId="3F3D7BF0" w:rsidR="00B56D50" w:rsidRDefault="001C3C42" w:rsidP="009C39DB">
            <w:pPr>
              <w:spacing w:after="0" w:line="259" w:lineRule="auto"/>
              <w:ind w:left="0" w:right="0" w:firstLine="0"/>
            </w:pPr>
            <w:r>
              <w:rPr>
                <w:sz w:val="20"/>
              </w:rPr>
              <w:t>Total Suspended Solids (TSS)</w:t>
            </w:r>
          </w:p>
        </w:tc>
        <w:tc>
          <w:tcPr>
            <w:tcW w:w="1618" w:type="dxa"/>
            <w:tcBorders>
              <w:top w:val="single" w:sz="7" w:space="0" w:color="000000"/>
              <w:left w:val="single" w:sz="12" w:space="0" w:color="000000"/>
              <w:bottom w:val="single" w:sz="7" w:space="0" w:color="000000"/>
              <w:right w:val="single" w:sz="12" w:space="0" w:color="000000"/>
            </w:tcBorders>
            <w:vAlign w:val="center"/>
          </w:tcPr>
          <w:p w14:paraId="3ACC0BB0" w14:textId="4959186B" w:rsidR="00B56D50" w:rsidRDefault="001C3C42" w:rsidP="009C39DB">
            <w:pPr>
              <w:spacing w:after="0" w:line="259" w:lineRule="auto"/>
              <w:ind w:left="0" w:right="28" w:firstLine="0"/>
              <w:jc w:val="center"/>
            </w:pPr>
            <w:r>
              <w:rPr>
                <w:sz w:val="20"/>
              </w:rPr>
              <w:t>NA</w:t>
            </w:r>
          </w:p>
        </w:tc>
        <w:tc>
          <w:tcPr>
            <w:tcW w:w="1622" w:type="dxa"/>
            <w:tcBorders>
              <w:top w:val="single" w:sz="7" w:space="0" w:color="000000"/>
              <w:left w:val="single" w:sz="12" w:space="0" w:color="000000"/>
              <w:bottom w:val="single" w:sz="7" w:space="0" w:color="000000"/>
              <w:right w:val="single" w:sz="12" w:space="0" w:color="000000"/>
            </w:tcBorders>
            <w:vAlign w:val="center"/>
          </w:tcPr>
          <w:p w14:paraId="4ACA2348" w14:textId="068FEAC1" w:rsidR="00B56D50" w:rsidRDefault="00B56D50" w:rsidP="009C39DB">
            <w:pPr>
              <w:spacing w:after="0" w:line="259" w:lineRule="auto"/>
              <w:ind w:left="24" w:right="0" w:firstLine="0"/>
              <w:jc w:val="center"/>
            </w:pPr>
          </w:p>
        </w:tc>
        <w:tc>
          <w:tcPr>
            <w:tcW w:w="2037" w:type="dxa"/>
            <w:tcBorders>
              <w:top w:val="single" w:sz="7" w:space="0" w:color="000000"/>
              <w:left w:val="single" w:sz="12" w:space="0" w:color="000000"/>
              <w:bottom w:val="single" w:sz="7" w:space="0" w:color="000000"/>
              <w:right w:val="single" w:sz="12" w:space="0" w:color="000000"/>
            </w:tcBorders>
            <w:vAlign w:val="center"/>
          </w:tcPr>
          <w:p w14:paraId="047C91DA" w14:textId="24D36190" w:rsidR="00B56D50" w:rsidRDefault="00B56D50" w:rsidP="009C39DB">
            <w:pPr>
              <w:spacing w:after="0" w:line="259" w:lineRule="auto"/>
              <w:ind w:left="25" w:right="0" w:firstLine="0"/>
              <w:jc w:val="center"/>
            </w:pPr>
          </w:p>
        </w:tc>
        <w:tc>
          <w:tcPr>
            <w:tcW w:w="1574" w:type="dxa"/>
            <w:tcBorders>
              <w:top w:val="single" w:sz="7" w:space="0" w:color="000000"/>
              <w:left w:val="single" w:sz="12" w:space="0" w:color="000000"/>
              <w:bottom w:val="single" w:sz="7" w:space="0" w:color="000000"/>
              <w:right w:val="single" w:sz="12" w:space="0" w:color="000000"/>
            </w:tcBorders>
            <w:vAlign w:val="center"/>
          </w:tcPr>
          <w:p w14:paraId="39F3F9FD" w14:textId="5C52939F" w:rsidR="00B56D50" w:rsidRDefault="001C3C42" w:rsidP="009C39DB">
            <w:pPr>
              <w:spacing w:after="0" w:line="259" w:lineRule="auto"/>
              <w:ind w:left="0" w:right="30" w:firstLine="0"/>
              <w:jc w:val="center"/>
            </w:pPr>
            <w:r>
              <w:rPr>
                <w:sz w:val="20"/>
              </w:rPr>
              <w:t>1-1 L   P, G</w:t>
            </w:r>
          </w:p>
        </w:tc>
        <w:tc>
          <w:tcPr>
            <w:tcW w:w="2650" w:type="dxa"/>
            <w:tcBorders>
              <w:top w:val="single" w:sz="7" w:space="0" w:color="000000"/>
              <w:left w:val="single" w:sz="12" w:space="0" w:color="000000"/>
              <w:bottom w:val="single" w:sz="7" w:space="0" w:color="000000"/>
              <w:right w:val="single" w:sz="12" w:space="0" w:color="000000"/>
            </w:tcBorders>
            <w:vAlign w:val="center"/>
          </w:tcPr>
          <w:p w14:paraId="5FCA35AD" w14:textId="66F63172" w:rsidR="00B56D50" w:rsidRDefault="001C3C42" w:rsidP="009C39DB">
            <w:pPr>
              <w:spacing w:after="0" w:line="259" w:lineRule="auto"/>
              <w:ind w:left="0" w:right="28" w:firstLine="0"/>
              <w:jc w:val="center"/>
            </w:pPr>
            <w:r>
              <w:rPr>
                <w:sz w:val="20"/>
              </w:rPr>
              <w:t>Ice (4</w:t>
            </w:r>
            <w:r>
              <w:rPr>
                <w:sz w:val="20"/>
                <w:vertAlign w:val="superscript"/>
              </w:rPr>
              <w:t>0</w:t>
            </w:r>
            <w:r>
              <w:rPr>
                <w:sz w:val="20"/>
              </w:rPr>
              <w:t>C)</w:t>
            </w:r>
          </w:p>
        </w:tc>
        <w:tc>
          <w:tcPr>
            <w:tcW w:w="1440" w:type="dxa"/>
            <w:tcBorders>
              <w:top w:val="single" w:sz="7" w:space="0" w:color="000000"/>
              <w:left w:val="single" w:sz="12" w:space="0" w:color="000000"/>
              <w:bottom w:val="single" w:sz="7" w:space="0" w:color="000000"/>
              <w:right w:val="single" w:sz="12" w:space="0" w:color="000000"/>
            </w:tcBorders>
            <w:vAlign w:val="center"/>
          </w:tcPr>
          <w:p w14:paraId="6B7A14B9" w14:textId="0DD3D7D5" w:rsidR="00B56D50" w:rsidRDefault="001C3C42" w:rsidP="009C39DB">
            <w:pPr>
              <w:spacing w:after="0" w:line="259" w:lineRule="auto"/>
              <w:ind w:left="0" w:right="28" w:firstLine="0"/>
              <w:jc w:val="center"/>
            </w:pPr>
            <w:r>
              <w:rPr>
                <w:sz w:val="20"/>
              </w:rPr>
              <w:t>7 days</w:t>
            </w:r>
          </w:p>
        </w:tc>
      </w:tr>
      <w:tr w:rsidR="00F95666" w14:paraId="60A4F073" w14:textId="77777777" w:rsidTr="00877845">
        <w:trPr>
          <w:trHeight w:val="20"/>
        </w:trPr>
        <w:tc>
          <w:tcPr>
            <w:tcW w:w="3790" w:type="dxa"/>
            <w:tcBorders>
              <w:top w:val="single" w:sz="7" w:space="0" w:color="000000"/>
              <w:left w:val="single" w:sz="12" w:space="0" w:color="000000"/>
              <w:bottom w:val="single" w:sz="7" w:space="0" w:color="000000"/>
              <w:right w:val="single" w:sz="12" w:space="0" w:color="000000"/>
            </w:tcBorders>
            <w:vAlign w:val="center"/>
          </w:tcPr>
          <w:p w14:paraId="197F6552" w14:textId="56F0DD66" w:rsidR="00B56D50" w:rsidRDefault="001C3C42" w:rsidP="006E52B7">
            <w:pPr>
              <w:spacing w:after="0" w:line="259" w:lineRule="auto"/>
              <w:ind w:left="0" w:right="0" w:firstLine="0"/>
            </w:pPr>
            <w:r>
              <w:rPr>
                <w:sz w:val="20"/>
              </w:rPr>
              <w:t>Total Dissolved Solids (TDS)</w:t>
            </w:r>
          </w:p>
        </w:tc>
        <w:tc>
          <w:tcPr>
            <w:tcW w:w="1618" w:type="dxa"/>
            <w:tcBorders>
              <w:top w:val="single" w:sz="7" w:space="0" w:color="000000"/>
              <w:left w:val="single" w:sz="12" w:space="0" w:color="000000"/>
              <w:bottom w:val="single" w:sz="7" w:space="0" w:color="000000"/>
              <w:right w:val="single" w:sz="12" w:space="0" w:color="000000"/>
            </w:tcBorders>
            <w:vAlign w:val="center"/>
          </w:tcPr>
          <w:p w14:paraId="475EC7BE" w14:textId="55C174A5" w:rsidR="00B56D50" w:rsidRDefault="001C3C42" w:rsidP="006E52B7">
            <w:pPr>
              <w:spacing w:after="0" w:line="259" w:lineRule="auto"/>
              <w:ind w:left="0" w:right="28" w:firstLine="0"/>
              <w:jc w:val="center"/>
            </w:pPr>
            <w:r>
              <w:rPr>
                <w:sz w:val="20"/>
              </w:rPr>
              <w:t>NA</w:t>
            </w:r>
          </w:p>
        </w:tc>
        <w:tc>
          <w:tcPr>
            <w:tcW w:w="1622" w:type="dxa"/>
            <w:tcBorders>
              <w:top w:val="single" w:sz="7" w:space="0" w:color="000000"/>
              <w:left w:val="single" w:sz="12" w:space="0" w:color="000000"/>
              <w:bottom w:val="single" w:sz="7" w:space="0" w:color="000000"/>
              <w:right w:val="single" w:sz="12" w:space="0" w:color="000000"/>
            </w:tcBorders>
            <w:vAlign w:val="center"/>
          </w:tcPr>
          <w:p w14:paraId="14143718" w14:textId="423C0206" w:rsidR="00B56D50" w:rsidRDefault="00B56D50" w:rsidP="006E52B7">
            <w:pPr>
              <w:spacing w:after="0" w:line="259" w:lineRule="auto"/>
              <w:ind w:left="0" w:right="0" w:firstLine="0"/>
              <w:jc w:val="center"/>
            </w:pPr>
          </w:p>
        </w:tc>
        <w:tc>
          <w:tcPr>
            <w:tcW w:w="2037" w:type="dxa"/>
            <w:tcBorders>
              <w:top w:val="single" w:sz="7" w:space="0" w:color="000000"/>
              <w:left w:val="single" w:sz="12" w:space="0" w:color="000000"/>
              <w:bottom w:val="single" w:sz="7" w:space="0" w:color="000000"/>
              <w:right w:val="single" w:sz="12" w:space="0" w:color="000000"/>
            </w:tcBorders>
            <w:vAlign w:val="center"/>
          </w:tcPr>
          <w:p w14:paraId="14DBF9AD" w14:textId="443579BB" w:rsidR="00B56D50" w:rsidRDefault="00B56D50" w:rsidP="006E52B7">
            <w:pPr>
              <w:spacing w:after="0" w:line="259" w:lineRule="auto"/>
              <w:ind w:left="25" w:right="0" w:firstLine="0"/>
              <w:jc w:val="center"/>
            </w:pPr>
          </w:p>
        </w:tc>
        <w:tc>
          <w:tcPr>
            <w:tcW w:w="1574" w:type="dxa"/>
            <w:tcBorders>
              <w:top w:val="single" w:sz="7" w:space="0" w:color="000000"/>
              <w:left w:val="single" w:sz="12" w:space="0" w:color="000000"/>
              <w:bottom w:val="single" w:sz="7" w:space="0" w:color="000000"/>
              <w:right w:val="single" w:sz="12" w:space="0" w:color="000000"/>
            </w:tcBorders>
            <w:vAlign w:val="center"/>
          </w:tcPr>
          <w:p w14:paraId="56061626" w14:textId="528BE69B" w:rsidR="00B56D50" w:rsidRDefault="001C3C42" w:rsidP="006E52B7">
            <w:pPr>
              <w:spacing w:after="0" w:line="259" w:lineRule="auto"/>
              <w:ind w:left="0" w:right="30" w:firstLine="0"/>
              <w:jc w:val="center"/>
            </w:pPr>
            <w:r>
              <w:rPr>
                <w:sz w:val="20"/>
              </w:rPr>
              <w:t>1-1 L   P, G</w:t>
            </w:r>
          </w:p>
        </w:tc>
        <w:tc>
          <w:tcPr>
            <w:tcW w:w="2650" w:type="dxa"/>
            <w:tcBorders>
              <w:top w:val="single" w:sz="7" w:space="0" w:color="000000"/>
              <w:left w:val="single" w:sz="12" w:space="0" w:color="000000"/>
              <w:bottom w:val="single" w:sz="7" w:space="0" w:color="000000"/>
              <w:right w:val="single" w:sz="12" w:space="0" w:color="000000"/>
            </w:tcBorders>
            <w:vAlign w:val="center"/>
          </w:tcPr>
          <w:p w14:paraId="428C8167" w14:textId="5C1AA2D2" w:rsidR="00B56D50" w:rsidRDefault="001C3C42" w:rsidP="006E52B7">
            <w:pPr>
              <w:spacing w:after="0" w:line="259" w:lineRule="auto"/>
              <w:ind w:left="0" w:right="28" w:firstLine="0"/>
              <w:jc w:val="center"/>
            </w:pPr>
            <w:r>
              <w:rPr>
                <w:sz w:val="20"/>
              </w:rPr>
              <w:t>Ice (4</w:t>
            </w:r>
            <w:r>
              <w:rPr>
                <w:sz w:val="20"/>
                <w:vertAlign w:val="superscript"/>
              </w:rPr>
              <w:t>0</w:t>
            </w:r>
            <w:r>
              <w:rPr>
                <w:sz w:val="20"/>
              </w:rPr>
              <w:t>C)</w:t>
            </w:r>
          </w:p>
        </w:tc>
        <w:tc>
          <w:tcPr>
            <w:tcW w:w="1440" w:type="dxa"/>
            <w:tcBorders>
              <w:top w:val="single" w:sz="7" w:space="0" w:color="000000"/>
              <w:left w:val="single" w:sz="12" w:space="0" w:color="000000"/>
              <w:bottom w:val="single" w:sz="7" w:space="0" w:color="000000"/>
              <w:right w:val="single" w:sz="12" w:space="0" w:color="000000"/>
            </w:tcBorders>
            <w:vAlign w:val="center"/>
          </w:tcPr>
          <w:p w14:paraId="234D1ED7" w14:textId="04E53C51" w:rsidR="00B56D50" w:rsidRDefault="001C3C42" w:rsidP="006E52B7">
            <w:pPr>
              <w:spacing w:after="0" w:line="259" w:lineRule="auto"/>
              <w:ind w:left="0" w:right="28" w:firstLine="0"/>
              <w:jc w:val="center"/>
            </w:pPr>
            <w:r>
              <w:rPr>
                <w:sz w:val="20"/>
              </w:rPr>
              <w:t>2 days</w:t>
            </w:r>
          </w:p>
        </w:tc>
      </w:tr>
      <w:tr w:rsidR="00F95666" w14:paraId="02BE416B" w14:textId="77777777" w:rsidTr="00877845">
        <w:trPr>
          <w:trHeight w:val="20"/>
        </w:trPr>
        <w:tc>
          <w:tcPr>
            <w:tcW w:w="3790" w:type="dxa"/>
            <w:tcBorders>
              <w:top w:val="single" w:sz="7" w:space="0" w:color="000000"/>
              <w:left w:val="single" w:sz="12" w:space="0" w:color="000000"/>
              <w:bottom w:val="single" w:sz="7" w:space="0" w:color="000000"/>
              <w:right w:val="single" w:sz="12" w:space="0" w:color="000000"/>
            </w:tcBorders>
            <w:vAlign w:val="center"/>
          </w:tcPr>
          <w:p w14:paraId="267586D1" w14:textId="6C6C788A" w:rsidR="00B56D50" w:rsidRDefault="001C3C42" w:rsidP="00634F44">
            <w:pPr>
              <w:spacing w:after="0" w:line="259" w:lineRule="auto"/>
              <w:ind w:left="0" w:right="0" w:firstLine="0"/>
            </w:pPr>
            <w:r>
              <w:rPr>
                <w:sz w:val="20"/>
              </w:rPr>
              <w:t>Total Solids (</w:t>
            </w:r>
            <w:proofErr w:type="gramStart"/>
            <w:r>
              <w:rPr>
                <w:sz w:val="20"/>
              </w:rPr>
              <w:t>TS)  (</w:t>
            </w:r>
            <w:proofErr w:type="gramEnd"/>
            <w:r>
              <w:rPr>
                <w:sz w:val="20"/>
              </w:rPr>
              <w:t>Total Residue)</w:t>
            </w:r>
          </w:p>
        </w:tc>
        <w:tc>
          <w:tcPr>
            <w:tcW w:w="1618" w:type="dxa"/>
            <w:tcBorders>
              <w:top w:val="single" w:sz="7" w:space="0" w:color="000000"/>
              <w:left w:val="single" w:sz="12" w:space="0" w:color="000000"/>
              <w:bottom w:val="single" w:sz="7" w:space="0" w:color="000000"/>
              <w:right w:val="single" w:sz="12" w:space="0" w:color="000000"/>
            </w:tcBorders>
            <w:vAlign w:val="center"/>
          </w:tcPr>
          <w:p w14:paraId="05C1CF0E" w14:textId="6E180BC2" w:rsidR="00B56D50" w:rsidRDefault="001C3C42" w:rsidP="00634F44">
            <w:pPr>
              <w:spacing w:after="0" w:line="259" w:lineRule="auto"/>
              <w:ind w:left="0" w:right="28" w:firstLine="0"/>
              <w:jc w:val="center"/>
            </w:pPr>
            <w:r>
              <w:rPr>
                <w:sz w:val="20"/>
              </w:rPr>
              <w:t>NA</w:t>
            </w:r>
          </w:p>
        </w:tc>
        <w:tc>
          <w:tcPr>
            <w:tcW w:w="1622" w:type="dxa"/>
            <w:tcBorders>
              <w:top w:val="single" w:sz="7" w:space="0" w:color="000000"/>
              <w:left w:val="single" w:sz="12" w:space="0" w:color="000000"/>
              <w:bottom w:val="single" w:sz="7" w:space="0" w:color="000000"/>
              <w:right w:val="single" w:sz="12" w:space="0" w:color="000000"/>
            </w:tcBorders>
            <w:vAlign w:val="center"/>
          </w:tcPr>
          <w:p w14:paraId="2CB51567" w14:textId="6BE6B1FC" w:rsidR="00B56D50" w:rsidRDefault="00B56D50" w:rsidP="00634F44">
            <w:pPr>
              <w:spacing w:after="0" w:line="259" w:lineRule="auto"/>
              <w:ind w:right="0"/>
              <w:jc w:val="center"/>
            </w:pPr>
          </w:p>
        </w:tc>
        <w:tc>
          <w:tcPr>
            <w:tcW w:w="2037" w:type="dxa"/>
            <w:tcBorders>
              <w:top w:val="single" w:sz="7" w:space="0" w:color="000000"/>
              <w:left w:val="single" w:sz="12" w:space="0" w:color="000000"/>
              <w:bottom w:val="single" w:sz="7" w:space="0" w:color="000000"/>
              <w:right w:val="single" w:sz="12" w:space="0" w:color="000000"/>
            </w:tcBorders>
            <w:vAlign w:val="center"/>
          </w:tcPr>
          <w:p w14:paraId="18E265B1" w14:textId="3C5E4562" w:rsidR="00B56D50" w:rsidRDefault="00B56D50" w:rsidP="00634F44">
            <w:pPr>
              <w:spacing w:after="0" w:line="259" w:lineRule="auto"/>
              <w:ind w:left="25" w:right="0" w:firstLine="0"/>
              <w:jc w:val="center"/>
            </w:pPr>
          </w:p>
        </w:tc>
        <w:tc>
          <w:tcPr>
            <w:tcW w:w="1574" w:type="dxa"/>
            <w:tcBorders>
              <w:top w:val="single" w:sz="7" w:space="0" w:color="000000"/>
              <w:left w:val="single" w:sz="12" w:space="0" w:color="000000"/>
              <w:bottom w:val="single" w:sz="7" w:space="0" w:color="000000"/>
              <w:right w:val="single" w:sz="12" w:space="0" w:color="000000"/>
            </w:tcBorders>
            <w:vAlign w:val="center"/>
          </w:tcPr>
          <w:p w14:paraId="4063F39E" w14:textId="0CC48821" w:rsidR="00B56D50" w:rsidRDefault="001C3C42" w:rsidP="00634F44">
            <w:pPr>
              <w:spacing w:after="0" w:line="259" w:lineRule="auto"/>
              <w:ind w:left="0" w:right="30" w:firstLine="0"/>
              <w:jc w:val="center"/>
            </w:pPr>
            <w:r>
              <w:rPr>
                <w:sz w:val="20"/>
              </w:rPr>
              <w:t>1-1 L   P, G</w:t>
            </w:r>
          </w:p>
        </w:tc>
        <w:tc>
          <w:tcPr>
            <w:tcW w:w="2650" w:type="dxa"/>
            <w:tcBorders>
              <w:top w:val="single" w:sz="7" w:space="0" w:color="000000"/>
              <w:left w:val="single" w:sz="12" w:space="0" w:color="000000"/>
              <w:bottom w:val="single" w:sz="7" w:space="0" w:color="000000"/>
              <w:right w:val="single" w:sz="12" w:space="0" w:color="000000"/>
            </w:tcBorders>
            <w:vAlign w:val="center"/>
          </w:tcPr>
          <w:p w14:paraId="5585D6B4" w14:textId="56E0BB94" w:rsidR="00B56D50" w:rsidRDefault="001C3C42" w:rsidP="00634F44">
            <w:pPr>
              <w:spacing w:after="0" w:line="259" w:lineRule="auto"/>
              <w:ind w:left="0" w:right="28" w:firstLine="0"/>
              <w:jc w:val="center"/>
            </w:pPr>
            <w:r>
              <w:rPr>
                <w:sz w:val="20"/>
              </w:rPr>
              <w:t>Ice (4</w:t>
            </w:r>
            <w:r>
              <w:rPr>
                <w:sz w:val="20"/>
                <w:vertAlign w:val="superscript"/>
              </w:rPr>
              <w:t>0</w:t>
            </w:r>
            <w:r>
              <w:rPr>
                <w:sz w:val="20"/>
              </w:rPr>
              <w:t>C)</w:t>
            </w:r>
          </w:p>
        </w:tc>
        <w:tc>
          <w:tcPr>
            <w:tcW w:w="1440" w:type="dxa"/>
            <w:tcBorders>
              <w:top w:val="single" w:sz="7" w:space="0" w:color="000000"/>
              <w:left w:val="single" w:sz="12" w:space="0" w:color="000000"/>
              <w:bottom w:val="single" w:sz="7" w:space="0" w:color="000000"/>
              <w:right w:val="single" w:sz="12" w:space="0" w:color="000000"/>
            </w:tcBorders>
            <w:vAlign w:val="center"/>
          </w:tcPr>
          <w:p w14:paraId="0A8A9D39" w14:textId="2B8807F1" w:rsidR="00B56D50" w:rsidRDefault="001C3C42" w:rsidP="00634F44">
            <w:pPr>
              <w:spacing w:after="0" w:line="259" w:lineRule="auto"/>
              <w:ind w:left="0" w:right="28" w:firstLine="0"/>
              <w:jc w:val="center"/>
            </w:pPr>
            <w:r>
              <w:rPr>
                <w:sz w:val="20"/>
              </w:rPr>
              <w:t>28 days</w:t>
            </w:r>
          </w:p>
        </w:tc>
      </w:tr>
      <w:tr w:rsidR="00F95666" w14:paraId="1C5648CE" w14:textId="77777777" w:rsidTr="00877845">
        <w:trPr>
          <w:trHeight w:val="20"/>
        </w:trPr>
        <w:tc>
          <w:tcPr>
            <w:tcW w:w="3790" w:type="dxa"/>
            <w:tcBorders>
              <w:top w:val="single" w:sz="7" w:space="0" w:color="000000"/>
              <w:left w:val="single" w:sz="12" w:space="0" w:color="000000"/>
              <w:bottom w:val="single" w:sz="7" w:space="0" w:color="000000"/>
              <w:right w:val="single" w:sz="12" w:space="0" w:color="000000"/>
            </w:tcBorders>
            <w:vAlign w:val="center"/>
          </w:tcPr>
          <w:p w14:paraId="53AB4A32" w14:textId="76D25D3E" w:rsidR="00B56D50" w:rsidRDefault="001C3C42" w:rsidP="00634F44">
            <w:pPr>
              <w:spacing w:after="0" w:line="259" w:lineRule="auto"/>
              <w:ind w:left="0" w:right="0" w:firstLine="0"/>
            </w:pPr>
            <w:r>
              <w:rPr>
                <w:sz w:val="20"/>
              </w:rPr>
              <w:t>Total Organic Carbon TOC</w:t>
            </w:r>
          </w:p>
        </w:tc>
        <w:tc>
          <w:tcPr>
            <w:tcW w:w="1618" w:type="dxa"/>
            <w:tcBorders>
              <w:top w:val="single" w:sz="7" w:space="0" w:color="000000"/>
              <w:left w:val="single" w:sz="12" w:space="0" w:color="000000"/>
              <w:bottom w:val="single" w:sz="7" w:space="0" w:color="000000"/>
              <w:right w:val="single" w:sz="12" w:space="0" w:color="000000"/>
            </w:tcBorders>
            <w:vAlign w:val="center"/>
          </w:tcPr>
          <w:p w14:paraId="6D4A4EE8" w14:textId="04F929E0" w:rsidR="00B56D50" w:rsidRDefault="001C3C42" w:rsidP="00634F44">
            <w:pPr>
              <w:spacing w:after="0" w:line="259" w:lineRule="auto"/>
              <w:ind w:left="0" w:right="34" w:firstLine="0"/>
              <w:jc w:val="center"/>
            </w:pPr>
            <w:r>
              <w:rPr>
                <w:sz w:val="20"/>
              </w:rPr>
              <w:t>500 mL G</w:t>
            </w:r>
          </w:p>
        </w:tc>
        <w:tc>
          <w:tcPr>
            <w:tcW w:w="1622" w:type="dxa"/>
            <w:tcBorders>
              <w:top w:val="single" w:sz="7" w:space="0" w:color="000000"/>
              <w:left w:val="single" w:sz="12" w:space="0" w:color="000000"/>
              <w:bottom w:val="single" w:sz="7" w:space="0" w:color="000000"/>
              <w:right w:val="single" w:sz="12" w:space="0" w:color="000000"/>
            </w:tcBorders>
            <w:vAlign w:val="center"/>
          </w:tcPr>
          <w:p w14:paraId="6C6B3C3A" w14:textId="45F41FEC" w:rsidR="00B56D50" w:rsidRDefault="001C3C42" w:rsidP="008F2C33">
            <w:pPr>
              <w:spacing w:after="0" w:line="259" w:lineRule="auto"/>
              <w:ind w:left="0" w:right="24" w:firstLine="0"/>
              <w:jc w:val="center"/>
            </w:pPr>
            <w:r>
              <w:rPr>
                <w:sz w:val="20"/>
              </w:rPr>
              <w:t>Ice (4</w:t>
            </w:r>
            <w:r>
              <w:rPr>
                <w:sz w:val="20"/>
                <w:vertAlign w:val="superscript"/>
              </w:rPr>
              <w:t>0</w:t>
            </w:r>
            <w:r>
              <w:rPr>
                <w:sz w:val="20"/>
              </w:rPr>
              <w:t>C)</w:t>
            </w:r>
          </w:p>
        </w:tc>
        <w:tc>
          <w:tcPr>
            <w:tcW w:w="2037" w:type="dxa"/>
            <w:tcBorders>
              <w:top w:val="single" w:sz="7" w:space="0" w:color="000000"/>
              <w:left w:val="single" w:sz="12" w:space="0" w:color="000000"/>
              <w:bottom w:val="single" w:sz="7" w:space="0" w:color="000000"/>
              <w:right w:val="single" w:sz="12" w:space="0" w:color="000000"/>
            </w:tcBorders>
            <w:vAlign w:val="center"/>
          </w:tcPr>
          <w:p w14:paraId="3775325B" w14:textId="33F4FBF3" w:rsidR="00B56D50" w:rsidRDefault="001C3C42" w:rsidP="008F2C33">
            <w:pPr>
              <w:spacing w:after="0" w:line="259" w:lineRule="auto"/>
              <w:ind w:left="0" w:right="30" w:firstLine="0"/>
              <w:jc w:val="center"/>
            </w:pPr>
            <w:r>
              <w:rPr>
                <w:sz w:val="20"/>
              </w:rPr>
              <w:t>28 days</w:t>
            </w:r>
          </w:p>
        </w:tc>
        <w:tc>
          <w:tcPr>
            <w:tcW w:w="1574" w:type="dxa"/>
            <w:tcBorders>
              <w:top w:val="single" w:sz="7" w:space="0" w:color="000000"/>
              <w:left w:val="single" w:sz="12" w:space="0" w:color="000000"/>
              <w:bottom w:val="single" w:sz="7" w:space="0" w:color="000000"/>
              <w:right w:val="single" w:sz="12" w:space="0" w:color="000000"/>
            </w:tcBorders>
            <w:vAlign w:val="center"/>
          </w:tcPr>
          <w:p w14:paraId="26199F08" w14:textId="42B43865" w:rsidR="00B56D50" w:rsidRDefault="001C3C42" w:rsidP="00634F44">
            <w:pPr>
              <w:spacing w:after="0" w:line="259" w:lineRule="auto"/>
              <w:ind w:left="0" w:right="30" w:firstLine="0"/>
              <w:jc w:val="center"/>
            </w:pPr>
            <w:r>
              <w:rPr>
                <w:sz w:val="20"/>
              </w:rPr>
              <w:t>1-1 L   P, G</w:t>
            </w:r>
          </w:p>
        </w:tc>
        <w:tc>
          <w:tcPr>
            <w:tcW w:w="2650" w:type="dxa"/>
            <w:tcBorders>
              <w:top w:val="single" w:sz="7" w:space="0" w:color="000000"/>
              <w:left w:val="single" w:sz="12" w:space="0" w:color="000000"/>
              <w:bottom w:val="single" w:sz="7" w:space="0" w:color="000000"/>
              <w:right w:val="single" w:sz="12" w:space="0" w:color="000000"/>
            </w:tcBorders>
            <w:vAlign w:val="center"/>
          </w:tcPr>
          <w:p w14:paraId="3FF6C4CE" w14:textId="16E442B3" w:rsidR="00B56D50" w:rsidRDefault="001C3C42" w:rsidP="00634F44">
            <w:pPr>
              <w:spacing w:after="0" w:line="259" w:lineRule="auto"/>
              <w:ind w:left="0" w:right="29" w:firstLine="0"/>
              <w:jc w:val="center"/>
            </w:pPr>
            <w:r>
              <w:rPr>
                <w:sz w:val="20"/>
              </w:rPr>
              <w:t>Ice (4</w:t>
            </w:r>
            <w:r>
              <w:rPr>
                <w:sz w:val="20"/>
                <w:vertAlign w:val="superscript"/>
              </w:rPr>
              <w:t>0</w:t>
            </w:r>
            <w:r w:rsidR="006E75AF">
              <w:rPr>
                <w:sz w:val="20"/>
              </w:rPr>
              <w:t>C) +</w:t>
            </w:r>
            <w:r>
              <w:rPr>
                <w:sz w:val="20"/>
              </w:rPr>
              <w:t>H</w:t>
            </w:r>
            <w:r>
              <w:rPr>
                <w:sz w:val="20"/>
                <w:vertAlign w:val="subscript"/>
              </w:rPr>
              <w:t>2</w:t>
            </w:r>
            <w:r>
              <w:rPr>
                <w:sz w:val="20"/>
              </w:rPr>
              <w:t>SO</w:t>
            </w:r>
            <w:r>
              <w:rPr>
                <w:sz w:val="20"/>
                <w:vertAlign w:val="subscript"/>
              </w:rPr>
              <w:t>4</w:t>
            </w:r>
          </w:p>
        </w:tc>
        <w:tc>
          <w:tcPr>
            <w:tcW w:w="1440" w:type="dxa"/>
            <w:tcBorders>
              <w:top w:val="single" w:sz="7" w:space="0" w:color="000000"/>
              <w:left w:val="single" w:sz="12" w:space="0" w:color="000000"/>
              <w:bottom w:val="single" w:sz="7" w:space="0" w:color="000000"/>
              <w:right w:val="single" w:sz="12" w:space="0" w:color="000000"/>
            </w:tcBorders>
            <w:vAlign w:val="center"/>
          </w:tcPr>
          <w:p w14:paraId="78E8F6F0" w14:textId="4DDF95DB" w:rsidR="00B56D50" w:rsidRDefault="001C3C42" w:rsidP="00634F44">
            <w:pPr>
              <w:spacing w:after="0" w:line="259" w:lineRule="auto"/>
              <w:ind w:left="0" w:right="28" w:firstLine="0"/>
              <w:jc w:val="center"/>
            </w:pPr>
            <w:r>
              <w:rPr>
                <w:sz w:val="20"/>
              </w:rPr>
              <w:t>28 days</w:t>
            </w:r>
          </w:p>
        </w:tc>
      </w:tr>
      <w:tr w:rsidR="00F95666" w14:paraId="324576F2" w14:textId="77777777" w:rsidTr="00877845">
        <w:trPr>
          <w:trHeight w:val="20"/>
        </w:trPr>
        <w:tc>
          <w:tcPr>
            <w:tcW w:w="3790" w:type="dxa"/>
            <w:tcBorders>
              <w:top w:val="single" w:sz="7" w:space="0" w:color="000000"/>
              <w:left w:val="single" w:sz="12" w:space="0" w:color="000000"/>
              <w:bottom w:val="single" w:sz="4" w:space="0" w:color="000000"/>
              <w:right w:val="single" w:sz="12" w:space="0" w:color="000000"/>
            </w:tcBorders>
            <w:vAlign w:val="center"/>
          </w:tcPr>
          <w:p w14:paraId="3533C4CD" w14:textId="09E57D39" w:rsidR="00B56D50" w:rsidRDefault="001C3C42" w:rsidP="008F2C33">
            <w:pPr>
              <w:spacing w:after="0" w:line="259" w:lineRule="auto"/>
              <w:ind w:left="0" w:right="0" w:firstLine="0"/>
            </w:pPr>
            <w:r>
              <w:rPr>
                <w:sz w:val="20"/>
              </w:rPr>
              <w:t>Total Organic Halides TOX</w:t>
            </w:r>
          </w:p>
        </w:tc>
        <w:tc>
          <w:tcPr>
            <w:tcW w:w="1618" w:type="dxa"/>
            <w:tcBorders>
              <w:top w:val="single" w:sz="7" w:space="0" w:color="000000"/>
              <w:left w:val="single" w:sz="12" w:space="0" w:color="000000"/>
              <w:bottom w:val="single" w:sz="4" w:space="0" w:color="000000"/>
              <w:right w:val="single" w:sz="12" w:space="0" w:color="000000"/>
            </w:tcBorders>
            <w:vAlign w:val="center"/>
          </w:tcPr>
          <w:p w14:paraId="1E11CEA2" w14:textId="3E2E7265" w:rsidR="00B56D50" w:rsidRDefault="001C3C42" w:rsidP="008F2C33">
            <w:pPr>
              <w:spacing w:after="0" w:line="259" w:lineRule="auto"/>
              <w:ind w:left="0" w:right="34" w:firstLine="0"/>
              <w:jc w:val="center"/>
            </w:pPr>
            <w:r>
              <w:rPr>
                <w:sz w:val="20"/>
              </w:rPr>
              <w:t>500 mL G</w:t>
            </w:r>
          </w:p>
        </w:tc>
        <w:tc>
          <w:tcPr>
            <w:tcW w:w="1622" w:type="dxa"/>
            <w:tcBorders>
              <w:top w:val="single" w:sz="7" w:space="0" w:color="000000"/>
              <w:left w:val="single" w:sz="12" w:space="0" w:color="000000"/>
              <w:bottom w:val="single" w:sz="4" w:space="0" w:color="000000"/>
              <w:right w:val="single" w:sz="12" w:space="0" w:color="000000"/>
            </w:tcBorders>
            <w:vAlign w:val="center"/>
          </w:tcPr>
          <w:p w14:paraId="2C30CE61" w14:textId="16E76B07" w:rsidR="00B56D50" w:rsidRDefault="001C3C42" w:rsidP="008F2C33">
            <w:pPr>
              <w:spacing w:after="0" w:line="259" w:lineRule="auto"/>
              <w:ind w:left="0" w:right="24" w:firstLine="0"/>
              <w:jc w:val="center"/>
            </w:pPr>
            <w:r>
              <w:rPr>
                <w:sz w:val="20"/>
              </w:rPr>
              <w:t>Ice (4</w:t>
            </w:r>
            <w:r>
              <w:rPr>
                <w:sz w:val="20"/>
                <w:vertAlign w:val="superscript"/>
              </w:rPr>
              <w:t>0</w:t>
            </w:r>
            <w:r>
              <w:rPr>
                <w:sz w:val="20"/>
              </w:rPr>
              <w:t>C)</w:t>
            </w:r>
          </w:p>
        </w:tc>
        <w:tc>
          <w:tcPr>
            <w:tcW w:w="2037" w:type="dxa"/>
            <w:tcBorders>
              <w:top w:val="single" w:sz="7" w:space="0" w:color="000000"/>
              <w:left w:val="single" w:sz="12" w:space="0" w:color="000000"/>
              <w:bottom w:val="single" w:sz="4" w:space="0" w:color="000000"/>
              <w:right w:val="single" w:sz="12" w:space="0" w:color="000000"/>
            </w:tcBorders>
            <w:vAlign w:val="center"/>
          </w:tcPr>
          <w:p w14:paraId="676A3B8C" w14:textId="4701B952" w:rsidR="00B56D50" w:rsidRDefault="001C3C42" w:rsidP="008F2C33">
            <w:pPr>
              <w:spacing w:after="0" w:line="259" w:lineRule="auto"/>
              <w:ind w:left="0" w:right="30" w:firstLine="0"/>
              <w:jc w:val="center"/>
            </w:pPr>
            <w:r>
              <w:rPr>
                <w:sz w:val="20"/>
              </w:rPr>
              <w:t>7 days</w:t>
            </w:r>
          </w:p>
        </w:tc>
        <w:tc>
          <w:tcPr>
            <w:tcW w:w="1574" w:type="dxa"/>
            <w:tcBorders>
              <w:top w:val="single" w:sz="7" w:space="0" w:color="000000"/>
              <w:left w:val="single" w:sz="12" w:space="0" w:color="000000"/>
              <w:bottom w:val="single" w:sz="4" w:space="0" w:color="000000"/>
              <w:right w:val="single" w:sz="12" w:space="0" w:color="000000"/>
            </w:tcBorders>
            <w:vAlign w:val="center"/>
          </w:tcPr>
          <w:p w14:paraId="717B61AB" w14:textId="282F4719" w:rsidR="00B56D50" w:rsidRDefault="001C3C42" w:rsidP="008F2C33">
            <w:pPr>
              <w:spacing w:after="0" w:line="259" w:lineRule="auto"/>
              <w:ind w:left="0" w:right="30" w:firstLine="0"/>
              <w:jc w:val="center"/>
            </w:pPr>
            <w:r>
              <w:rPr>
                <w:sz w:val="20"/>
              </w:rPr>
              <w:t>1-1 L   P, G</w:t>
            </w:r>
          </w:p>
        </w:tc>
        <w:tc>
          <w:tcPr>
            <w:tcW w:w="2650" w:type="dxa"/>
            <w:tcBorders>
              <w:top w:val="single" w:sz="7" w:space="0" w:color="000000"/>
              <w:left w:val="single" w:sz="12" w:space="0" w:color="000000"/>
              <w:bottom w:val="single" w:sz="4" w:space="0" w:color="000000"/>
              <w:right w:val="single" w:sz="12" w:space="0" w:color="000000"/>
            </w:tcBorders>
            <w:vAlign w:val="center"/>
          </w:tcPr>
          <w:p w14:paraId="255EC7F9" w14:textId="38C7486C" w:rsidR="00B56D50" w:rsidRDefault="001C3C42" w:rsidP="008F2C33">
            <w:pPr>
              <w:spacing w:after="0" w:line="259" w:lineRule="auto"/>
              <w:ind w:left="0" w:right="29" w:firstLine="0"/>
              <w:jc w:val="center"/>
            </w:pPr>
            <w:r>
              <w:rPr>
                <w:sz w:val="20"/>
              </w:rPr>
              <w:t>Ice (4</w:t>
            </w:r>
            <w:r>
              <w:rPr>
                <w:sz w:val="20"/>
                <w:vertAlign w:val="superscript"/>
              </w:rPr>
              <w:t>0</w:t>
            </w:r>
            <w:r w:rsidR="006E75AF">
              <w:rPr>
                <w:sz w:val="20"/>
              </w:rPr>
              <w:t>C) +</w:t>
            </w:r>
            <w:r>
              <w:rPr>
                <w:sz w:val="20"/>
              </w:rPr>
              <w:t>H</w:t>
            </w:r>
            <w:r>
              <w:rPr>
                <w:sz w:val="20"/>
                <w:vertAlign w:val="subscript"/>
              </w:rPr>
              <w:t>2</w:t>
            </w:r>
            <w:r>
              <w:rPr>
                <w:sz w:val="20"/>
              </w:rPr>
              <w:t>SO</w:t>
            </w:r>
            <w:r>
              <w:rPr>
                <w:sz w:val="20"/>
                <w:vertAlign w:val="subscript"/>
              </w:rPr>
              <w:t>4</w:t>
            </w:r>
          </w:p>
        </w:tc>
        <w:tc>
          <w:tcPr>
            <w:tcW w:w="1440" w:type="dxa"/>
            <w:tcBorders>
              <w:top w:val="single" w:sz="7" w:space="0" w:color="000000"/>
              <w:left w:val="single" w:sz="12" w:space="0" w:color="000000"/>
              <w:bottom w:val="single" w:sz="4" w:space="0" w:color="000000"/>
              <w:right w:val="single" w:sz="12" w:space="0" w:color="000000"/>
            </w:tcBorders>
            <w:vAlign w:val="center"/>
          </w:tcPr>
          <w:p w14:paraId="402A4FD5" w14:textId="503235DE" w:rsidR="00B56D50" w:rsidRDefault="001C3C42" w:rsidP="008F2C33">
            <w:pPr>
              <w:spacing w:after="0" w:line="259" w:lineRule="auto"/>
              <w:ind w:left="0" w:right="28" w:firstLine="0"/>
              <w:jc w:val="center"/>
            </w:pPr>
            <w:r>
              <w:rPr>
                <w:sz w:val="20"/>
              </w:rPr>
              <w:t>7 days</w:t>
            </w:r>
          </w:p>
        </w:tc>
      </w:tr>
      <w:tr w:rsidR="00F95666" w14:paraId="1E775D28" w14:textId="77777777" w:rsidTr="00716CA0">
        <w:trPr>
          <w:trHeight w:val="428"/>
        </w:trPr>
        <w:tc>
          <w:tcPr>
            <w:tcW w:w="3790" w:type="dxa"/>
            <w:tcBorders>
              <w:top w:val="single" w:sz="4" w:space="0" w:color="000000"/>
              <w:left w:val="single" w:sz="12" w:space="0" w:color="000000"/>
              <w:bottom w:val="single" w:sz="12" w:space="0" w:color="000000"/>
              <w:right w:val="single" w:sz="12" w:space="0" w:color="000000"/>
            </w:tcBorders>
            <w:vAlign w:val="center"/>
          </w:tcPr>
          <w:p w14:paraId="2DF0F037" w14:textId="4F110534" w:rsidR="00B56D50" w:rsidRDefault="001C3C42" w:rsidP="008F2C33">
            <w:pPr>
              <w:spacing w:after="0" w:line="259" w:lineRule="auto"/>
              <w:ind w:left="0" w:right="0" w:firstLine="0"/>
            </w:pPr>
            <w:r>
              <w:rPr>
                <w:sz w:val="20"/>
              </w:rPr>
              <w:t>Turbidity</w:t>
            </w:r>
          </w:p>
        </w:tc>
        <w:tc>
          <w:tcPr>
            <w:tcW w:w="1618" w:type="dxa"/>
            <w:tcBorders>
              <w:top w:val="single" w:sz="4" w:space="0" w:color="000000"/>
              <w:left w:val="single" w:sz="12" w:space="0" w:color="000000"/>
              <w:bottom w:val="single" w:sz="12" w:space="0" w:color="000000"/>
              <w:right w:val="single" w:sz="12" w:space="0" w:color="000000"/>
            </w:tcBorders>
            <w:vAlign w:val="center"/>
          </w:tcPr>
          <w:p w14:paraId="0F3C40B4" w14:textId="31496F4C" w:rsidR="00B56D50" w:rsidRDefault="001C3C42" w:rsidP="008F2C33">
            <w:pPr>
              <w:spacing w:after="0" w:line="259" w:lineRule="auto"/>
              <w:ind w:left="0" w:right="28" w:firstLine="0"/>
              <w:jc w:val="center"/>
            </w:pPr>
            <w:r>
              <w:rPr>
                <w:sz w:val="20"/>
              </w:rPr>
              <w:t>NA</w:t>
            </w:r>
          </w:p>
        </w:tc>
        <w:tc>
          <w:tcPr>
            <w:tcW w:w="1622" w:type="dxa"/>
            <w:tcBorders>
              <w:top w:val="single" w:sz="4" w:space="0" w:color="000000"/>
              <w:left w:val="single" w:sz="12" w:space="0" w:color="000000"/>
              <w:bottom w:val="single" w:sz="12" w:space="0" w:color="000000"/>
              <w:right w:val="single" w:sz="12" w:space="0" w:color="000000"/>
            </w:tcBorders>
            <w:vAlign w:val="center"/>
          </w:tcPr>
          <w:p w14:paraId="158B0140" w14:textId="693F94CB" w:rsidR="00B56D50" w:rsidRDefault="00B56D50" w:rsidP="008F2C33">
            <w:pPr>
              <w:spacing w:after="0" w:line="259" w:lineRule="auto"/>
              <w:ind w:left="24" w:right="0" w:firstLine="0"/>
              <w:jc w:val="center"/>
            </w:pPr>
          </w:p>
        </w:tc>
        <w:tc>
          <w:tcPr>
            <w:tcW w:w="2037" w:type="dxa"/>
            <w:tcBorders>
              <w:top w:val="single" w:sz="4" w:space="0" w:color="000000"/>
              <w:left w:val="single" w:sz="12" w:space="0" w:color="000000"/>
              <w:bottom w:val="single" w:sz="12" w:space="0" w:color="000000"/>
              <w:right w:val="single" w:sz="12" w:space="0" w:color="000000"/>
            </w:tcBorders>
            <w:vAlign w:val="center"/>
          </w:tcPr>
          <w:p w14:paraId="10BBAF26" w14:textId="473C15F3" w:rsidR="00B56D50" w:rsidRDefault="00B56D50" w:rsidP="008F2C33">
            <w:pPr>
              <w:spacing w:after="0" w:line="259" w:lineRule="auto"/>
              <w:ind w:left="25" w:right="0" w:firstLine="0"/>
              <w:jc w:val="center"/>
            </w:pPr>
          </w:p>
        </w:tc>
        <w:tc>
          <w:tcPr>
            <w:tcW w:w="1574" w:type="dxa"/>
            <w:tcBorders>
              <w:top w:val="single" w:sz="4" w:space="0" w:color="000000"/>
              <w:left w:val="single" w:sz="12" w:space="0" w:color="000000"/>
              <w:bottom w:val="single" w:sz="12" w:space="0" w:color="000000"/>
              <w:right w:val="single" w:sz="12" w:space="0" w:color="000000"/>
            </w:tcBorders>
            <w:vAlign w:val="center"/>
          </w:tcPr>
          <w:p w14:paraId="0B3AEF71" w14:textId="6722DBD3" w:rsidR="00B56D50" w:rsidRDefault="001C3C42" w:rsidP="008F2C33">
            <w:pPr>
              <w:spacing w:after="0" w:line="259" w:lineRule="auto"/>
              <w:ind w:left="0" w:right="30" w:firstLine="0"/>
              <w:jc w:val="center"/>
            </w:pPr>
            <w:r>
              <w:rPr>
                <w:sz w:val="20"/>
              </w:rPr>
              <w:t>1-1 L   P, G</w:t>
            </w:r>
          </w:p>
        </w:tc>
        <w:tc>
          <w:tcPr>
            <w:tcW w:w="2650" w:type="dxa"/>
            <w:tcBorders>
              <w:top w:val="single" w:sz="4" w:space="0" w:color="000000"/>
              <w:left w:val="single" w:sz="12" w:space="0" w:color="000000"/>
              <w:bottom w:val="single" w:sz="12" w:space="0" w:color="000000"/>
              <w:right w:val="single" w:sz="12" w:space="0" w:color="000000"/>
            </w:tcBorders>
            <w:vAlign w:val="center"/>
          </w:tcPr>
          <w:p w14:paraId="6F008316" w14:textId="3F58119B" w:rsidR="00B56D50" w:rsidRDefault="001C3C42" w:rsidP="008F2C33">
            <w:pPr>
              <w:spacing w:after="0" w:line="259" w:lineRule="auto"/>
              <w:ind w:left="0" w:right="28" w:firstLine="0"/>
              <w:jc w:val="center"/>
            </w:pPr>
            <w:r>
              <w:rPr>
                <w:sz w:val="20"/>
              </w:rPr>
              <w:t>Ice (4</w:t>
            </w:r>
            <w:r>
              <w:rPr>
                <w:sz w:val="20"/>
                <w:vertAlign w:val="superscript"/>
              </w:rPr>
              <w:t>0</w:t>
            </w:r>
            <w:r>
              <w:rPr>
                <w:sz w:val="20"/>
              </w:rPr>
              <w:t>C)</w:t>
            </w:r>
          </w:p>
        </w:tc>
        <w:tc>
          <w:tcPr>
            <w:tcW w:w="1440" w:type="dxa"/>
            <w:tcBorders>
              <w:top w:val="single" w:sz="4" w:space="0" w:color="000000"/>
              <w:left w:val="single" w:sz="12" w:space="0" w:color="000000"/>
              <w:bottom w:val="single" w:sz="12" w:space="0" w:color="000000"/>
              <w:right w:val="single" w:sz="12" w:space="0" w:color="000000"/>
            </w:tcBorders>
            <w:vAlign w:val="center"/>
          </w:tcPr>
          <w:p w14:paraId="01B1D650" w14:textId="30A84CFD" w:rsidR="00B56D50" w:rsidRDefault="001C3C42" w:rsidP="008F2C33">
            <w:pPr>
              <w:spacing w:after="0" w:line="259" w:lineRule="auto"/>
              <w:ind w:left="0" w:right="28" w:firstLine="0"/>
              <w:jc w:val="center"/>
            </w:pPr>
            <w:r>
              <w:rPr>
                <w:sz w:val="20"/>
              </w:rPr>
              <w:t>28 days</w:t>
            </w:r>
          </w:p>
        </w:tc>
      </w:tr>
    </w:tbl>
    <w:p w14:paraId="643D93CF" w14:textId="62800183" w:rsidR="00B56D50" w:rsidRPr="009B394E" w:rsidRDefault="00461480" w:rsidP="009B394E">
      <w:pPr>
        <w:pStyle w:val="Heading3"/>
        <w:tabs>
          <w:tab w:val="center" w:pos="720"/>
          <w:tab w:val="center" w:pos="1440"/>
          <w:tab w:val="center" w:pos="2160"/>
          <w:tab w:val="center" w:pos="2880"/>
          <w:tab w:val="center" w:pos="3600"/>
          <w:tab w:val="center" w:pos="4321"/>
          <w:tab w:val="center" w:pos="5041"/>
          <w:tab w:val="center" w:pos="6785"/>
        </w:tabs>
        <w:spacing w:after="10" w:line="249" w:lineRule="auto"/>
        <w:ind w:left="-15" w:firstLine="0"/>
      </w:pPr>
      <w:r w:rsidRPr="00461480">
        <w:lastRenderedPageBreak/>
        <w:t>Table 1</w:t>
      </w:r>
      <w:r w:rsidRPr="00E875ED">
        <w:t xml:space="preserve"> – Continued</w:t>
      </w:r>
    </w:p>
    <w:p w14:paraId="264D95CB" w14:textId="77777777" w:rsidR="00952F9B" w:rsidRPr="009B394E" w:rsidRDefault="00952F9B" w:rsidP="0012535F">
      <w:pPr>
        <w:spacing w:after="0"/>
        <w:ind w:left="14" w:hanging="14"/>
        <w:rPr>
          <w:sz w:val="18"/>
          <w:szCs w:val="18"/>
        </w:rPr>
      </w:pPr>
    </w:p>
    <w:tbl>
      <w:tblPr>
        <w:tblStyle w:val="TableGrid1"/>
        <w:tblW w:w="14781" w:type="dxa"/>
        <w:tblInd w:w="-731" w:type="dxa"/>
        <w:tblCellMar>
          <w:left w:w="68" w:type="dxa"/>
          <w:right w:w="23" w:type="dxa"/>
        </w:tblCellMar>
        <w:tblLook w:val="04A0" w:firstRow="1" w:lastRow="0" w:firstColumn="1" w:lastColumn="0" w:noHBand="0" w:noVBand="1"/>
      </w:tblPr>
      <w:tblGrid>
        <w:gridCol w:w="3769"/>
        <w:gridCol w:w="1684"/>
        <w:gridCol w:w="1465"/>
        <w:gridCol w:w="2276"/>
        <w:gridCol w:w="1495"/>
        <w:gridCol w:w="2245"/>
        <w:gridCol w:w="1847"/>
      </w:tblGrid>
      <w:tr w:rsidR="00B56D50" w14:paraId="4ABE2EB8" w14:textId="77777777" w:rsidTr="00E33BE7">
        <w:trPr>
          <w:trHeight w:val="302"/>
        </w:trPr>
        <w:tc>
          <w:tcPr>
            <w:tcW w:w="3769" w:type="dxa"/>
            <w:vMerge w:val="restart"/>
            <w:tcBorders>
              <w:top w:val="single" w:sz="12" w:space="0" w:color="000000"/>
              <w:left w:val="single" w:sz="12" w:space="0" w:color="000000"/>
              <w:bottom w:val="single" w:sz="12" w:space="0" w:color="000000"/>
              <w:right w:val="single" w:sz="12" w:space="0" w:color="000000"/>
            </w:tcBorders>
            <w:vAlign w:val="center"/>
          </w:tcPr>
          <w:p w14:paraId="295C5999" w14:textId="045C1BB7" w:rsidR="00B56D50" w:rsidRPr="0012535F" w:rsidRDefault="001C3C42" w:rsidP="009B394E">
            <w:pPr>
              <w:spacing w:after="0" w:line="259" w:lineRule="auto"/>
              <w:ind w:left="0" w:right="51" w:firstLine="0"/>
              <w:jc w:val="center"/>
              <w:rPr>
                <w:sz w:val="18"/>
                <w:szCs w:val="18"/>
              </w:rPr>
            </w:pPr>
            <w:r w:rsidRPr="0012535F">
              <w:rPr>
                <w:b/>
                <w:sz w:val="18"/>
                <w:szCs w:val="18"/>
              </w:rPr>
              <w:t>ANALYTES</w:t>
            </w:r>
          </w:p>
        </w:tc>
        <w:tc>
          <w:tcPr>
            <w:tcW w:w="5425" w:type="dxa"/>
            <w:gridSpan w:val="3"/>
            <w:tcBorders>
              <w:top w:val="single" w:sz="12" w:space="0" w:color="000000"/>
              <w:left w:val="single" w:sz="12" w:space="0" w:color="000000"/>
              <w:bottom w:val="single" w:sz="12" w:space="0" w:color="000000"/>
              <w:right w:val="single" w:sz="12" w:space="0" w:color="000000"/>
            </w:tcBorders>
            <w:vAlign w:val="center"/>
          </w:tcPr>
          <w:p w14:paraId="56E5FD8D" w14:textId="006992FF" w:rsidR="00B56D50" w:rsidRPr="0012535F" w:rsidRDefault="001C3C42" w:rsidP="009B394E">
            <w:pPr>
              <w:spacing w:after="0" w:line="259" w:lineRule="auto"/>
              <w:ind w:left="0" w:right="48" w:firstLine="0"/>
              <w:jc w:val="center"/>
              <w:rPr>
                <w:sz w:val="18"/>
                <w:szCs w:val="18"/>
              </w:rPr>
            </w:pPr>
            <w:r w:rsidRPr="0012535F">
              <w:rPr>
                <w:b/>
                <w:sz w:val="18"/>
                <w:szCs w:val="18"/>
              </w:rPr>
              <w:t>SOILS, SEDIMENTS, WASTES</w:t>
            </w:r>
          </w:p>
        </w:tc>
        <w:tc>
          <w:tcPr>
            <w:tcW w:w="5587" w:type="dxa"/>
            <w:gridSpan w:val="3"/>
            <w:tcBorders>
              <w:top w:val="single" w:sz="12" w:space="0" w:color="000000"/>
              <w:left w:val="single" w:sz="12" w:space="0" w:color="000000"/>
              <w:bottom w:val="single" w:sz="12" w:space="0" w:color="000000"/>
              <w:right w:val="single" w:sz="12" w:space="0" w:color="000000"/>
            </w:tcBorders>
            <w:vAlign w:val="center"/>
          </w:tcPr>
          <w:p w14:paraId="503CE230" w14:textId="6D3900A0" w:rsidR="00B56D50" w:rsidRPr="0012535F" w:rsidRDefault="001C3C42" w:rsidP="009B394E">
            <w:pPr>
              <w:spacing w:after="0" w:line="259" w:lineRule="auto"/>
              <w:ind w:left="0" w:right="45" w:firstLine="0"/>
              <w:jc w:val="center"/>
              <w:rPr>
                <w:sz w:val="18"/>
                <w:szCs w:val="18"/>
              </w:rPr>
            </w:pPr>
            <w:r w:rsidRPr="0012535F">
              <w:rPr>
                <w:b/>
                <w:sz w:val="18"/>
                <w:szCs w:val="18"/>
              </w:rPr>
              <w:t>AQUEOUS SAMPLES</w:t>
            </w:r>
          </w:p>
        </w:tc>
      </w:tr>
      <w:tr w:rsidR="005320CB" w14:paraId="33E27B83" w14:textId="77777777" w:rsidTr="00E33BE7">
        <w:trPr>
          <w:trHeight w:val="389"/>
        </w:trPr>
        <w:tc>
          <w:tcPr>
            <w:tcW w:w="0" w:type="auto"/>
            <w:vMerge/>
            <w:tcBorders>
              <w:top w:val="nil"/>
              <w:left w:val="single" w:sz="12" w:space="0" w:color="000000"/>
              <w:bottom w:val="single" w:sz="12" w:space="0" w:color="000000"/>
              <w:right w:val="single" w:sz="12" w:space="0" w:color="000000"/>
            </w:tcBorders>
            <w:vAlign w:val="center"/>
          </w:tcPr>
          <w:p w14:paraId="7D13162B" w14:textId="77777777" w:rsidR="00B56D50" w:rsidRPr="00017AB4" w:rsidRDefault="00B56D50" w:rsidP="00017AB4">
            <w:pPr>
              <w:spacing w:after="160" w:line="259" w:lineRule="auto"/>
              <w:ind w:left="0" w:right="0" w:firstLine="0"/>
              <w:jc w:val="center"/>
              <w:rPr>
                <w:sz w:val="18"/>
                <w:szCs w:val="18"/>
              </w:rPr>
            </w:pPr>
          </w:p>
        </w:tc>
        <w:tc>
          <w:tcPr>
            <w:tcW w:w="1684" w:type="dxa"/>
            <w:tcBorders>
              <w:top w:val="single" w:sz="12" w:space="0" w:color="000000"/>
              <w:left w:val="single" w:sz="12" w:space="0" w:color="000000"/>
              <w:bottom w:val="single" w:sz="12" w:space="0" w:color="000000"/>
              <w:right w:val="single" w:sz="12" w:space="0" w:color="000000"/>
            </w:tcBorders>
            <w:vAlign w:val="center"/>
          </w:tcPr>
          <w:p w14:paraId="60465AD8" w14:textId="3ED9D89D" w:rsidR="00B56D50" w:rsidRPr="00017AB4" w:rsidRDefault="001C3C42" w:rsidP="009B394E">
            <w:pPr>
              <w:spacing w:after="0" w:line="259" w:lineRule="auto"/>
              <w:ind w:left="0" w:right="51" w:firstLine="0"/>
              <w:jc w:val="center"/>
              <w:rPr>
                <w:sz w:val="18"/>
                <w:szCs w:val="18"/>
              </w:rPr>
            </w:pPr>
            <w:r w:rsidRPr="00017AB4">
              <w:rPr>
                <w:b/>
                <w:sz w:val="18"/>
                <w:szCs w:val="18"/>
              </w:rPr>
              <w:t>Containers</w:t>
            </w:r>
          </w:p>
        </w:tc>
        <w:tc>
          <w:tcPr>
            <w:tcW w:w="1465" w:type="dxa"/>
            <w:tcBorders>
              <w:top w:val="single" w:sz="12" w:space="0" w:color="000000"/>
              <w:left w:val="single" w:sz="12" w:space="0" w:color="000000"/>
              <w:bottom w:val="single" w:sz="12" w:space="0" w:color="000000"/>
              <w:right w:val="single" w:sz="12" w:space="0" w:color="000000"/>
            </w:tcBorders>
            <w:vAlign w:val="center"/>
          </w:tcPr>
          <w:p w14:paraId="0617E79D" w14:textId="4657C2D8" w:rsidR="00B56D50" w:rsidRPr="00017AB4" w:rsidRDefault="001C3C42" w:rsidP="009B394E">
            <w:pPr>
              <w:spacing w:after="0" w:line="259" w:lineRule="auto"/>
              <w:ind w:left="91" w:right="0" w:firstLine="0"/>
              <w:jc w:val="center"/>
              <w:rPr>
                <w:sz w:val="18"/>
                <w:szCs w:val="18"/>
              </w:rPr>
            </w:pPr>
            <w:r w:rsidRPr="00017AB4">
              <w:rPr>
                <w:b/>
                <w:sz w:val="18"/>
                <w:szCs w:val="18"/>
              </w:rPr>
              <w:t>Preservatives</w:t>
            </w:r>
          </w:p>
        </w:tc>
        <w:tc>
          <w:tcPr>
            <w:tcW w:w="2276" w:type="dxa"/>
            <w:tcBorders>
              <w:top w:val="single" w:sz="12" w:space="0" w:color="000000"/>
              <w:left w:val="single" w:sz="12" w:space="0" w:color="000000"/>
              <w:bottom w:val="single" w:sz="12" w:space="0" w:color="000000"/>
              <w:right w:val="single" w:sz="12" w:space="0" w:color="000000"/>
            </w:tcBorders>
            <w:vAlign w:val="center"/>
          </w:tcPr>
          <w:p w14:paraId="5E1D2F06" w14:textId="2FDAC112" w:rsidR="00B56D50" w:rsidRPr="00017AB4" w:rsidRDefault="001C3C42" w:rsidP="009B394E">
            <w:pPr>
              <w:spacing w:after="0" w:line="259" w:lineRule="auto"/>
              <w:ind w:left="0" w:right="49" w:firstLine="0"/>
              <w:jc w:val="center"/>
              <w:rPr>
                <w:sz w:val="18"/>
                <w:szCs w:val="18"/>
              </w:rPr>
            </w:pPr>
            <w:r w:rsidRPr="00017AB4">
              <w:rPr>
                <w:b/>
                <w:sz w:val="18"/>
                <w:szCs w:val="18"/>
              </w:rPr>
              <w:t>Holding Times</w:t>
            </w:r>
          </w:p>
        </w:tc>
        <w:tc>
          <w:tcPr>
            <w:tcW w:w="1495" w:type="dxa"/>
            <w:tcBorders>
              <w:top w:val="single" w:sz="12" w:space="0" w:color="000000"/>
              <w:left w:val="single" w:sz="12" w:space="0" w:color="000000"/>
              <w:bottom w:val="single" w:sz="12" w:space="0" w:color="000000"/>
              <w:right w:val="single" w:sz="12" w:space="0" w:color="000000"/>
            </w:tcBorders>
            <w:vAlign w:val="center"/>
          </w:tcPr>
          <w:p w14:paraId="20A1F3D7" w14:textId="762D98E4" w:rsidR="00B56D50" w:rsidRPr="00017AB4" w:rsidRDefault="001C3C42" w:rsidP="009B394E">
            <w:pPr>
              <w:spacing w:after="0" w:line="259" w:lineRule="auto"/>
              <w:ind w:left="0" w:right="50" w:firstLine="0"/>
              <w:jc w:val="center"/>
              <w:rPr>
                <w:sz w:val="18"/>
                <w:szCs w:val="18"/>
              </w:rPr>
            </w:pPr>
            <w:r w:rsidRPr="00017AB4">
              <w:rPr>
                <w:b/>
                <w:sz w:val="18"/>
                <w:szCs w:val="18"/>
              </w:rPr>
              <w:t>Containers</w:t>
            </w:r>
          </w:p>
        </w:tc>
        <w:tc>
          <w:tcPr>
            <w:tcW w:w="2245" w:type="dxa"/>
            <w:tcBorders>
              <w:top w:val="single" w:sz="12" w:space="0" w:color="000000"/>
              <w:left w:val="single" w:sz="12" w:space="0" w:color="000000"/>
              <w:bottom w:val="single" w:sz="12" w:space="0" w:color="000000"/>
              <w:right w:val="single" w:sz="12" w:space="0" w:color="000000"/>
            </w:tcBorders>
            <w:vAlign w:val="center"/>
          </w:tcPr>
          <w:p w14:paraId="00143FD9" w14:textId="4E4F5C5C" w:rsidR="00B56D50" w:rsidRPr="00017AB4" w:rsidRDefault="001C3C42" w:rsidP="009B394E">
            <w:pPr>
              <w:spacing w:after="0" w:line="259" w:lineRule="auto"/>
              <w:ind w:left="0" w:right="47" w:firstLine="0"/>
              <w:jc w:val="center"/>
              <w:rPr>
                <w:sz w:val="18"/>
                <w:szCs w:val="18"/>
              </w:rPr>
            </w:pPr>
            <w:r w:rsidRPr="00017AB4">
              <w:rPr>
                <w:b/>
                <w:sz w:val="18"/>
                <w:szCs w:val="18"/>
              </w:rPr>
              <w:t>Preservatives</w:t>
            </w:r>
          </w:p>
        </w:tc>
        <w:tc>
          <w:tcPr>
            <w:tcW w:w="1847" w:type="dxa"/>
            <w:tcBorders>
              <w:top w:val="single" w:sz="12" w:space="0" w:color="000000"/>
              <w:left w:val="single" w:sz="12" w:space="0" w:color="000000"/>
              <w:bottom w:val="single" w:sz="12" w:space="0" w:color="000000"/>
              <w:right w:val="single" w:sz="12" w:space="0" w:color="000000"/>
            </w:tcBorders>
            <w:vAlign w:val="center"/>
          </w:tcPr>
          <w:p w14:paraId="23E218E9" w14:textId="5597273D" w:rsidR="00B56D50" w:rsidRPr="00017AB4" w:rsidRDefault="001C3C42" w:rsidP="009B394E">
            <w:pPr>
              <w:spacing w:after="0" w:line="259" w:lineRule="auto"/>
              <w:ind w:left="0" w:right="47" w:firstLine="0"/>
              <w:jc w:val="center"/>
              <w:rPr>
                <w:sz w:val="18"/>
                <w:szCs w:val="18"/>
              </w:rPr>
            </w:pPr>
            <w:r w:rsidRPr="00017AB4">
              <w:rPr>
                <w:b/>
                <w:sz w:val="18"/>
                <w:szCs w:val="18"/>
              </w:rPr>
              <w:t>Holding Times</w:t>
            </w:r>
          </w:p>
        </w:tc>
      </w:tr>
      <w:tr w:rsidR="006153D2" w14:paraId="1DFA1A9E" w14:textId="77777777" w:rsidTr="00E33BE7">
        <w:trPr>
          <w:trHeight w:val="302"/>
        </w:trPr>
        <w:tc>
          <w:tcPr>
            <w:tcW w:w="3769" w:type="dxa"/>
            <w:tcBorders>
              <w:top w:val="single" w:sz="12" w:space="0" w:color="000000"/>
              <w:left w:val="single" w:sz="12" w:space="0" w:color="000000"/>
              <w:bottom w:val="single" w:sz="12" w:space="0" w:color="000000"/>
              <w:right w:val="single" w:sz="12" w:space="0" w:color="000000"/>
            </w:tcBorders>
            <w:shd w:val="clear" w:color="auto" w:fill="C0C0C0"/>
            <w:vAlign w:val="center"/>
          </w:tcPr>
          <w:p w14:paraId="12A9220A" w14:textId="755352E7" w:rsidR="00B56D50" w:rsidRPr="00A37AE4" w:rsidRDefault="001C3C42" w:rsidP="00C90774">
            <w:pPr>
              <w:spacing w:after="0" w:line="259" w:lineRule="auto"/>
              <w:ind w:right="0"/>
              <w:jc w:val="center"/>
              <w:rPr>
                <w:sz w:val="20"/>
                <w:szCs w:val="20"/>
              </w:rPr>
            </w:pPr>
            <w:r w:rsidRPr="00A37AE4">
              <w:rPr>
                <w:b/>
                <w:sz w:val="20"/>
                <w:szCs w:val="20"/>
              </w:rPr>
              <w:t>Organic Analysis</w:t>
            </w:r>
          </w:p>
        </w:tc>
        <w:tc>
          <w:tcPr>
            <w:tcW w:w="1684" w:type="dxa"/>
            <w:tcBorders>
              <w:top w:val="single" w:sz="12" w:space="0" w:color="000000"/>
              <w:left w:val="single" w:sz="12" w:space="0" w:color="000000"/>
              <w:bottom w:val="single" w:sz="12" w:space="0" w:color="000000"/>
              <w:right w:val="single" w:sz="12" w:space="0" w:color="000000"/>
            </w:tcBorders>
            <w:shd w:val="clear" w:color="auto" w:fill="C0C0C0"/>
            <w:vAlign w:val="center"/>
          </w:tcPr>
          <w:p w14:paraId="7D8B9E1D" w14:textId="18A0619B" w:rsidR="00B56D50" w:rsidRPr="00A37AE4" w:rsidRDefault="00B56D50" w:rsidP="009B394E">
            <w:pPr>
              <w:spacing w:after="0" w:line="259" w:lineRule="auto"/>
              <w:ind w:left="0" w:right="0" w:firstLine="0"/>
              <w:jc w:val="center"/>
              <w:rPr>
                <w:sz w:val="20"/>
                <w:szCs w:val="20"/>
              </w:rPr>
            </w:pPr>
          </w:p>
        </w:tc>
        <w:tc>
          <w:tcPr>
            <w:tcW w:w="1465" w:type="dxa"/>
            <w:tcBorders>
              <w:top w:val="single" w:sz="12" w:space="0" w:color="000000"/>
              <w:left w:val="single" w:sz="12" w:space="0" w:color="000000"/>
              <w:bottom w:val="single" w:sz="12" w:space="0" w:color="000000"/>
              <w:right w:val="single" w:sz="12" w:space="0" w:color="000000"/>
            </w:tcBorders>
            <w:shd w:val="clear" w:color="auto" w:fill="C0C0C0"/>
            <w:vAlign w:val="center"/>
          </w:tcPr>
          <w:p w14:paraId="703DBF7C" w14:textId="5BCD2A2F" w:rsidR="00B56D50" w:rsidRPr="00A37AE4" w:rsidRDefault="00B56D50" w:rsidP="009B394E">
            <w:pPr>
              <w:spacing w:after="0" w:line="259" w:lineRule="auto"/>
              <w:ind w:left="6" w:right="0" w:firstLine="0"/>
              <w:jc w:val="center"/>
              <w:rPr>
                <w:sz w:val="20"/>
                <w:szCs w:val="20"/>
              </w:rPr>
            </w:pPr>
          </w:p>
        </w:tc>
        <w:tc>
          <w:tcPr>
            <w:tcW w:w="2276" w:type="dxa"/>
            <w:tcBorders>
              <w:top w:val="single" w:sz="12" w:space="0" w:color="000000"/>
              <w:left w:val="single" w:sz="12" w:space="0" w:color="000000"/>
              <w:bottom w:val="single" w:sz="12" w:space="0" w:color="000000"/>
              <w:right w:val="single" w:sz="12" w:space="0" w:color="000000"/>
            </w:tcBorders>
            <w:shd w:val="clear" w:color="auto" w:fill="C0C0C0"/>
            <w:vAlign w:val="center"/>
          </w:tcPr>
          <w:p w14:paraId="0BE7E91E" w14:textId="68D833B9" w:rsidR="00B56D50" w:rsidRPr="00A37AE4" w:rsidRDefault="00B56D50" w:rsidP="00C90774">
            <w:pPr>
              <w:spacing w:after="0" w:line="259" w:lineRule="auto"/>
              <w:ind w:left="4" w:right="0" w:firstLine="0"/>
              <w:jc w:val="center"/>
              <w:rPr>
                <w:sz w:val="20"/>
                <w:szCs w:val="20"/>
              </w:rPr>
            </w:pPr>
          </w:p>
        </w:tc>
        <w:tc>
          <w:tcPr>
            <w:tcW w:w="1495" w:type="dxa"/>
            <w:tcBorders>
              <w:top w:val="single" w:sz="12" w:space="0" w:color="000000"/>
              <w:left w:val="single" w:sz="12" w:space="0" w:color="000000"/>
              <w:bottom w:val="single" w:sz="12" w:space="0" w:color="000000"/>
              <w:right w:val="single" w:sz="12" w:space="0" w:color="000000"/>
            </w:tcBorders>
            <w:shd w:val="clear" w:color="auto" w:fill="C0C0C0"/>
            <w:vAlign w:val="center"/>
          </w:tcPr>
          <w:p w14:paraId="5AE6DB1F" w14:textId="49453A91" w:rsidR="00B56D50" w:rsidRPr="00A37AE4" w:rsidRDefault="00B56D50" w:rsidP="00C90774">
            <w:pPr>
              <w:spacing w:after="0" w:line="259" w:lineRule="auto"/>
              <w:ind w:left="2" w:right="0" w:firstLine="0"/>
              <w:jc w:val="center"/>
              <w:rPr>
                <w:sz w:val="20"/>
                <w:szCs w:val="20"/>
              </w:rPr>
            </w:pPr>
          </w:p>
        </w:tc>
        <w:tc>
          <w:tcPr>
            <w:tcW w:w="2245" w:type="dxa"/>
            <w:tcBorders>
              <w:top w:val="single" w:sz="12" w:space="0" w:color="000000"/>
              <w:left w:val="single" w:sz="12" w:space="0" w:color="000000"/>
              <w:bottom w:val="single" w:sz="12" w:space="0" w:color="000000"/>
              <w:right w:val="single" w:sz="12" w:space="0" w:color="000000"/>
            </w:tcBorders>
            <w:shd w:val="clear" w:color="auto" w:fill="C0C0C0"/>
            <w:vAlign w:val="center"/>
          </w:tcPr>
          <w:p w14:paraId="65710914" w14:textId="7FE497E6" w:rsidR="00B56D50" w:rsidRPr="00A37AE4" w:rsidRDefault="00B56D50" w:rsidP="00C90774">
            <w:pPr>
              <w:spacing w:after="0" w:line="259" w:lineRule="auto"/>
              <w:ind w:left="3" w:right="0" w:firstLine="0"/>
              <w:jc w:val="center"/>
              <w:rPr>
                <w:sz w:val="20"/>
                <w:szCs w:val="20"/>
              </w:rPr>
            </w:pPr>
          </w:p>
        </w:tc>
        <w:tc>
          <w:tcPr>
            <w:tcW w:w="1847" w:type="dxa"/>
            <w:tcBorders>
              <w:top w:val="single" w:sz="12" w:space="0" w:color="000000"/>
              <w:left w:val="single" w:sz="12" w:space="0" w:color="000000"/>
              <w:bottom w:val="single" w:sz="12" w:space="0" w:color="000000"/>
              <w:right w:val="single" w:sz="12" w:space="0" w:color="000000"/>
            </w:tcBorders>
            <w:shd w:val="clear" w:color="auto" w:fill="C0C0C0"/>
            <w:vAlign w:val="center"/>
          </w:tcPr>
          <w:p w14:paraId="3C7635C8" w14:textId="7FA460D7" w:rsidR="00B56D50" w:rsidRPr="00A37AE4" w:rsidRDefault="00B56D50" w:rsidP="00C90774">
            <w:pPr>
              <w:spacing w:after="0" w:line="259" w:lineRule="auto"/>
              <w:ind w:left="4" w:right="0" w:firstLine="0"/>
              <w:jc w:val="center"/>
              <w:rPr>
                <w:sz w:val="20"/>
                <w:szCs w:val="20"/>
              </w:rPr>
            </w:pPr>
          </w:p>
        </w:tc>
      </w:tr>
      <w:tr w:rsidR="00B56D50" w14:paraId="207965D6" w14:textId="77777777" w:rsidTr="00E33BE7">
        <w:trPr>
          <w:trHeight w:val="20"/>
        </w:trPr>
        <w:tc>
          <w:tcPr>
            <w:tcW w:w="3769" w:type="dxa"/>
            <w:tcBorders>
              <w:top w:val="single" w:sz="12" w:space="0" w:color="000000"/>
              <w:left w:val="single" w:sz="12" w:space="0" w:color="000000"/>
              <w:bottom w:val="single" w:sz="7" w:space="0" w:color="000000"/>
              <w:right w:val="single" w:sz="12" w:space="0" w:color="000000"/>
            </w:tcBorders>
            <w:vAlign w:val="center"/>
          </w:tcPr>
          <w:p w14:paraId="1EDBD486" w14:textId="6DDB7D5D" w:rsidR="00B56D50" w:rsidRDefault="001C3C42" w:rsidP="00294CB9">
            <w:pPr>
              <w:spacing w:after="0" w:line="259" w:lineRule="auto"/>
              <w:ind w:left="0" w:right="0" w:firstLine="0"/>
            </w:pPr>
            <w:r>
              <w:rPr>
                <w:sz w:val="20"/>
              </w:rPr>
              <w:t xml:space="preserve">Volatile Organic Compounds (VOCs) – </w:t>
            </w:r>
            <w:proofErr w:type="gramStart"/>
            <w:r>
              <w:rPr>
                <w:sz w:val="20"/>
              </w:rPr>
              <w:t>Aqueous  (</w:t>
            </w:r>
            <w:proofErr w:type="gramEnd"/>
            <w:r>
              <w:rPr>
                <w:sz w:val="20"/>
              </w:rPr>
              <w:t>except Acrolein and Acrylonitrile)</w:t>
            </w:r>
          </w:p>
        </w:tc>
        <w:tc>
          <w:tcPr>
            <w:tcW w:w="1684" w:type="dxa"/>
            <w:tcBorders>
              <w:top w:val="single" w:sz="12" w:space="0" w:color="000000"/>
              <w:left w:val="single" w:sz="12" w:space="0" w:color="000000"/>
              <w:bottom w:val="single" w:sz="7" w:space="0" w:color="000000"/>
              <w:right w:val="single" w:sz="12" w:space="0" w:color="000000"/>
            </w:tcBorders>
            <w:vAlign w:val="center"/>
          </w:tcPr>
          <w:p w14:paraId="7274EA33" w14:textId="18654356" w:rsidR="00B56D50" w:rsidRDefault="001C3C42" w:rsidP="00622592">
            <w:pPr>
              <w:spacing w:after="0" w:line="259" w:lineRule="auto"/>
              <w:ind w:left="0" w:right="49" w:firstLine="0"/>
              <w:jc w:val="center"/>
            </w:pPr>
            <w:r>
              <w:rPr>
                <w:sz w:val="20"/>
              </w:rPr>
              <w:t>NA</w:t>
            </w:r>
          </w:p>
        </w:tc>
        <w:tc>
          <w:tcPr>
            <w:tcW w:w="1465" w:type="dxa"/>
            <w:tcBorders>
              <w:top w:val="single" w:sz="12" w:space="0" w:color="000000"/>
              <w:left w:val="single" w:sz="12" w:space="0" w:color="000000"/>
              <w:bottom w:val="single" w:sz="7" w:space="0" w:color="000000"/>
              <w:right w:val="single" w:sz="12" w:space="0" w:color="000000"/>
            </w:tcBorders>
            <w:vAlign w:val="center"/>
          </w:tcPr>
          <w:p w14:paraId="0A499859" w14:textId="7FD4F91A" w:rsidR="00B56D50" w:rsidRDefault="00B56D50" w:rsidP="00622592">
            <w:pPr>
              <w:spacing w:after="0" w:line="259" w:lineRule="auto"/>
              <w:ind w:left="6" w:right="0" w:firstLine="0"/>
              <w:jc w:val="center"/>
            </w:pPr>
          </w:p>
        </w:tc>
        <w:tc>
          <w:tcPr>
            <w:tcW w:w="2276" w:type="dxa"/>
            <w:tcBorders>
              <w:top w:val="single" w:sz="12" w:space="0" w:color="000000"/>
              <w:left w:val="single" w:sz="12" w:space="0" w:color="000000"/>
              <w:bottom w:val="single" w:sz="7" w:space="0" w:color="000000"/>
              <w:right w:val="single" w:sz="12" w:space="0" w:color="000000"/>
            </w:tcBorders>
            <w:vAlign w:val="center"/>
          </w:tcPr>
          <w:p w14:paraId="44663E83" w14:textId="286569DC" w:rsidR="00B56D50" w:rsidRDefault="00B56D50" w:rsidP="00B832DD">
            <w:pPr>
              <w:spacing w:after="0" w:line="259" w:lineRule="auto"/>
              <w:ind w:left="4" w:right="0" w:firstLine="0"/>
              <w:jc w:val="center"/>
            </w:pPr>
          </w:p>
        </w:tc>
        <w:tc>
          <w:tcPr>
            <w:tcW w:w="1495" w:type="dxa"/>
            <w:tcBorders>
              <w:top w:val="single" w:sz="12" w:space="0" w:color="000000"/>
              <w:left w:val="single" w:sz="12" w:space="0" w:color="000000"/>
              <w:bottom w:val="single" w:sz="7" w:space="0" w:color="000000"/>
              <w:right w:val="single" w:sz="12" w:space="0" w:color="000000"/>
            </w:tcBorders>
            <w:vAlign w:val="center"/>
          </w:tcPr>
          <w:p w14:paraId="2178F990" w14:textId="559AE9DF" w:rsidR="00B56D50" w:rsidRDefault="001C3C42" w:rsidP="00B832DD">
            <w:pPr>
              <w:spacing w:after="0" w:line="259" w:lineRule="auto"/>
              <w:ind w:left="0" w:right="51" w:firstLine="0"/>
              <w:jc w:val="center"/>
            </w:pPr>
            <w:r>
              <w:rPr>
                <w:sz w:val="20"/>
              </w:rPr>
              <w:t>3-40 mL G</w:t>
            </w:r>
          </w:p>
        </w:tc>
        <w:tc>
          <w:tcPr>
            <w:tcW w:w="2245" w:type="dxa"/>
            <w:tcBorders>
              <w:top w:val="single" w:sz="12" w:space="0" w:color="000000"/>
              <w:left w:val="single" w:sz="12" w:space="0" w:color="000000"/>
              <w:bottom w:val="single" w:sz="7" w:space="0" w:color="000000"/>
              <w:right w:val="single" w:sz="12" w:space="0" w:color="000000"/>
            </w:tcBorders>
            <w:vAlign w:val="center"/>
          </w:tcPr>
          <w:p w14:paraId="390AD836" w14:textId="330AFEC2" w:rsidR="00B56D50" w:rsidRDefault="001C3C42" w:rsidP="00B832DD">
            <w:pPr>
              <w:spacing w:after="0" w:line="259" w:lineRule="auto"/>
              <w:ind w:left="131" w:right="182" w:firstLine="0"/>
              <w:jc w:val="center"/>
            </w:pPr>
            <w:r>
              <w:rPr>
                <w:sz w:val="20"/>
              </w:rPr>
              <w:t>Ice (4</w:t>
            </w:r>
            <w:r>
              <w:rPr>
                <w:sz w:val="20"/>
                <w:vertAlign w:val="superscript"/>
              </w:rPr>
              <w:t>0</w:t>
            </w:r>
            <w:r w:rsidR="006E75AF">
              <w:rPr>
                <w:sz w:val="20"/>
              </w:rPr>
              <w:t>C) +</w:t>
            </w:r>
            <w:r>
              <w:rPr>
                <w:sz w:val="20"/>
              </w:rPr>
              <w:t xml:space="preserve"> H</w:t>
            </w:r>
            <w:r>
              <w:rPr>
                <w:sz w:val="20"/>
                <w:vertAlign w:val="subscript"/>
              </w:rPr>
              <w:t>2</w:t>
            </w:r>
            <w:r>
              <w:rPr>
                <w:sz w:val="20"/>
              </w:rPr>
              <w:t>SO</w:t>
            </w:r>
            <w:r>
              <w:rPr>
                <w:sz w:val="20"/>
                <w:vertAlign w:val="subscript"/>
              </w:rPr>
              <w:t>4</w:t>
            </w:r>
            <w:r>
              <w:rPr>
                <w:sz w:val="20"/>
              </w:rPr>
              <w:t xml:space="preserve"> or HCl to pH&lt;2</w:t>
            </w:r>
          </w:p>
        </w:tc>
        <w:tc>
          <w:tcPr>
            <w:tcW w:w="1847" w:type="dxa"/>
            <w:tcBorders>
              <w:top w:val="single" w:sz="12" w:space="0" w:color="000000"/>
              <w:left w:val="single" w:sz="12" w:space="0" w:color="000000"/>
              <w:bottom w:val="single" w:sz="7" w:space="0" w:color="000000"/>
              <w:right w:val="single" w:sz="12" w:space="0" w:color="000000"/>
            </w:tcBorders>
            <w:vAlign w:val="center"/>
          </w:tcPr>
          <w:p w14:paraId="02054D76" w14:textId="626F8288" w:rsidR="00B56D50" w:rsidRDefault="001C3C42" w:rsidP="00B832DD">
            <w:pPr>
              <w:spacing w:after="0" w:line="259" w:lineRule="auto"/>
              <w:ind w:left="6" w:right="0" w:firstLine="0"/>
              <w:jc w:val="center"/>
            </w:pPr>
            <w:r>
              <w:rPr>
                <w:sz w:val="20"/>
              </w:rPr>
              <w:t>14 days</w:t>
            </w:r>
          </w:p>
        </w:tc>
      </w:tr>
      <w:tr w:rsidR="00B56D50" w14:paraId="32E88ED8" w14:textId="77777777" w:rsidTr="00E33BE7">
        <w:trPr>
          <w:trHeight w:val="20"/>
        </w:trPr>
        <w:tc>
          <w:tcPr>
            <w:tcW w:w="3769" w:type="dxa"/>
            <w:tcBorders>
              <w:top w:val="single" w:sz="7" w:space="0" w:color="000000"/>
              <w:left w:val="single" w:sz="12" w:space="0" w:color="000000"/>
              <w:bottom w:val="single" w:sz="7" w:space="0" w:color="000000"/>
              <w:right w:val="single" w:sz="12" w:space="0" w:color="000000"/>
            </w:tcBorders>
            <w:vAlign w:val="center"/>
          </w:tcPr>
          <w:p w14:paraId="6C447E89" w14:textId="6AEF856D" w:rsidR="00B56D50" w:rsidRDefault="001C3C42" w:rsidP="00B832DD">
            <w:pPr>
              <w:spacing w:after="0" w:line="259" w:lineRule="auto"/>
              <w:ind w:left="0" w:right="0" w:firstLine="0"/>
            </w:pPr>
            <w:r>
              <w:rPr>
                <w:sz w:val="20"/>
              </w:rPr>
              <w:t>Acrolein and Acrylonitrile – Aqueous</w:t>
            </w:r>
          </w:p>
        </w:tc>
        <w:tc>
          <w:tcPr>
            <w:tcW w:w="1684" w:type="dxa"/>
            <w:tcBorders>
              <w:top w:val="single" w:sz="7" w:space="0" w:color="000000"/>
              <w:left w:val="single" w:sz="12" w:space="0" w:color="000000"/>
              <w:bottom w:val="single" w:sz="7" w:space="0" w:color="000000"/>
              <w:right w:val="single" w:sz="12" w:space="0" w:color="000000"/>
            </w:tcBorders>
            <w:vAlign w:val="center"/>
          </w:tcPr>
          <w:p w14:paraId="1AB73CAA" w14:textId="01DEA7A1" w:rsidR="00B56D50" w:rsidRDefault="001C3C42" w:rsidP="00622592">
            <w:pPr>
              <w:spacing w:after="0" w:line="259" w:lineRule="auto"/>
              <w:ind w:left="0" w:right="49" w:firstLine="0"/>
              <w:jc w:val="center"/>
            </w:pPr>
            <w:r>
              <w:rPr>
                <w:sz w:val="20"/>
              </w:rPr>
              <w:t>NA</w:t>
            </w:r>
          </w:p>
        </w:tc>
        <w:tc>
          <w:tcPr>
            <w:tcW w:w="1465" w:type="dxa"/>
            <w:tcBorders>
              <w:top w:val="single" w:sz="7" w:space="0" w:color="000000"/>
              <w:left w:val="single" w:sz="12" w:space="0" w:color="000000"/>
              <w:bottom w:val="single" w:sz="7" w:space="0" w:color="000000"/>
              <w:right w:val="single" w:sz="12" w:space="0" w:color="000000"/>
            </w:tcBorders>
            <w:vAlign w:val="center"/>
          </w:tcPr>
          <w:p w14:paraId="029F1902" w14:textId="55D176DF" w:rsidR="00B56D50" w:rsidRDefault="00B56D50" w:rsidP="00622592">
            <w:pPr>
              <w:spacing w:after="0" w:line="259" w:lineRule="auto"/>
              <w:ind w:left="6" w:right="0" w:firstLine="0"/>
              <w:jc w:val="center"/>
            </w:pPr>
          </w:p>
        </w:tc>
        <w:tc>
          <w:tcPr>
            <w:tcW w:w="2276" w:type="dxa"/>
            <w:tcBorders>
              <w:top w:val="single" w:sz="7" w:space="0" w:color="000000"/>
              <w:left w:val="single" w:sz="12" w:space="0" w:color="000000"/>
              <w:bottom w:val="single" w:sz="7" w:space="0" w:color="000000"/>
              <w:right w:val="single" w:sz="12" w:space="0" w:color="000000"/>
            </w:tcBorders>
            <w:vAlign w:val="center"/>
          </w:tcPr>
          <w:p w14:paraId="2C8F0DA3" w14:textId="5FCA295F" w:rsidR="00B56D50" w:rsidRDefault="00B56D50" w:rsidP="00B832DD">
            <w:pPr>
              <w:spacing w:after="0" w:line="259" w:lineRule="auto"/>
              <w:ind w:left="4" w:right="0" w:firstLine="0"/>
              <w:jc w:val="center"/>
            </w:pPr>
          </w:p>
        </w:tc>
        <w:tc>
          <w:tcPr>
            <w:tcW w:w="1495" w:type="dxa"/>
            <w:tcBorders>
              <w:top w:val="single" w:sz="7" w:space="0" w:color="000000"/>
              <w:left w:val="single" w:sz="12" w:space="0" w:color="000000"/>
              <w:bottom w:val="single" w:sz="7" w:space="0" w:color="000000"/>
              <w:right w:val="single" w:sz="12" w:space="0" w:color="000000"/>
            </w:tcBorders>
            <w:vAlign w:val="center"/>
          </w:tcPr>
          <w:p w14:paraId="070AEAA1" w14:textId="69A2029E" w:rsidR="00B56D50" w:rsidRDefault="001C3C42" w:rsidP="00B832DD">
            <w:pPr>
              <w:spacing w:after="0" w:line="259" w:lineRule="auto"/>
              <w:ind w:left="0" w:right="51" w:firstLine="0"/>
              <w:jc w:val="center"/>
            </w:pPr>
            <w:r>
              <w:rPr>
                <w:sz w:val="20"/>
              </w:rPr>
              <w:t>3-40 mL G</w:t>
            </w:r>
          </w:p>
        </w:tc>
        <w:tc>
          <w:tcPr>
            <w:tcW w:w="2245" w:type="dxa"/>
            <w:tcBorders>
              <w:top w:val="single" w:sz="7" w:space="0" w:color="000000"/>
              <w:left w:val="single" w:sz="12" w:space="0" w:color="000000"/>
              <w:bottom w:val="single" w:sz="7" w:space="0" w:color="000000"/>
              <w:right w:val="single" w:sz="12" w:space="0" w:color="000000"/>
            </w:tcBorders>
            <w:vAlign w:val="center"/>
          </w:tcPr>
          <w:p w14:paraId="48D7E6BF" w14:textId="074B50D4" w:rsidR="00B56D50" w:rsidRDefault="001C3C42" w:rsidP="00B832DD">
            <w:pPr>
              <w:spacing w:after="15" w:line="259" w:lineRule="auto"/>
              <w:ind w:left="6" w:right="0" w:firstLine="0"/>
              <w:jc w:val="center"/>
            </w:pPr>
            <w:r>
              <w:rPr>
                <w:sz w:val="20"/>
              </w:rPr>
              <w:t>Ice (4</w:t>
            </w:r>
            <w:r>
              <w:rPr>
                <w:sz w:val="20"/>
                <w:vertAlign w:val="superscript"/>
              </w:rPr>
              <w:t>0</w:t>
            </w:r>
            <w:r>
              <w:rPr>
                <w:sz w:val="20"/>
              </w:rPr>
              <w:t>C) and adjust pH to</w:t>
            </w:r>
          </w:p>
          <w:p w14:paraId="1DBC1970" w14:textId="6F6877EE" w:rsidR="00B56D50" w:rsidRDefault="001C3C42" w:rsidP="00622592">
            <w:pPr>
              <w:spacing w:after="0" w:line="259" w:lineRule="auto"/>
              <w:ind w:left="0" w:right="46" w:firstLine="0"/>
              <w:jc w:val="center"/>
            </w:pPr>
            <w:r>
              <w:rPr>
                <w:sz w:val="20"/>
              </w:rPr>
              <w:t>4-5</w:t>
            </w:r>
          </w:p>
        </w:tc>
        <w:tc>
          <w:tcPr>
            <w:tcW w:w="1847" w:type="dxa"/>
            <w:tcBorders>
              <w:top w:val="single" w:sz="7" w:space="0" w:color="000000"/>
              <w:left w:val="single" w:sz="12" w:space="0" w:color="000000"/>
              <w:bottom w:val="single" w:sz="7" w:space="0" w:color="000000"/>
              <w:right w:val="single" w:sz="12" w:space="0" w:color="000000"/>
            </w:tcBorders>
            <w:vAlign w:val="center"/>
          </w:tcPr>
          <w:p w14:paraId="54288E51" w14:textId="15CDD807" w:rsidR="00B56D50" w:rsidRDefault="001C3C42" w:rsidP="00622592">
            <w:pPr>
              <w:spacing w:after="0" w:line="259" w:lineRule="auto"/>
              <w:ind w:left="0" w:right="44" w:firstLine="0"/>
              <w:jc w:val="center"/>
            </w:pPr>
            <w:r>
              <w:rPr>
                <w:sz w:val="20"/>
              </w:rPr>
              <w:t>14 days</w:t>
            </w:r>
          </w:p>
        </w:tc>
      </w:tr>
      <w:tr w:rsidR="00B56D50" w14:paraId="24F2307C" w14:textId="77777777" w:rsidTr="00E33BE7">
        <w:trPr>
          <w:trHeight w:val="20"/>
        </w:trPr>
        <w:tc>
          <w:tcPr>
            <w:tcW w:w="3769" w:type="dxa"/>
            <w:tcBorders>
              <w:top w:val="single" w:sz="7" w:space="0" w:color="000000"/>
              <w:left w:val="single" w:sz="12" w:space="0" w:color="000000"/>
              <w:bottom w:val="single" w:sz="7" w:space="0" w:color="000000"/>
              <w:right w:val="single" w:sz="12" w:space="0" w:color="000000"/>
            </w:tcBorders>
            <w:vAlign w:val="center"/>
          </w:tcPr>
          <w:p w14:paraId="1EBCD102" w14:textId="0AC6216B" w:rsidR="00B56D50" w:rsidRDefault="001C3C42" w:rsidP="002F05E3">
            <w:pPr>
              <w:spacing w:after="0" w:line="259" w:lineRule="auto"/>
              <w:ind w:left="0" w:right="0" w:firstLine="0"/>
              <w:jc w:val="both"/>
            </w:pPr>
            <w:r>
              <w:rPr>
                <w:sz w:val="20"/>
              </w:rPr>
              <w:t>Volatile Organic Compounds (VOCs) – Low Concentration Soil/Sediment</w:t>
            </w:r>
          </w:p>
        </w:tc>
        <w:tc>
          <w:tcPr>
            <w:tcW w:w="1684" w:type="dxa"/>
            <w:tcBorders>
              <w:top w:val="single" w:sz="7" w:space="0" w:color="000000"/>
              <w:left w:val="single" w:sz="12" w:space="0" w:color="000000"/>
              <w:bottom w:val="single" w:sz="7" w:space="0" w:color="000000"/>
              <w:right w:val="single" w:sz="12" w:space="0" w:color="000000"/>
            </w:tcBorders>
            <w:vAlign w:val="center"/>
          </w:tcPr>
          <w:p w14:paraId="4CAAF9B7" w14:textId="36F8FDE5" w:rsidR="00B56D50" w:rsidRDefault="001C3C42" w:rsidP="00C5708C">
            <w:pPr>
              <w:spacing w:after="0" w:line="259" w:lineRule="auto"/>
              <w:ind w:left="0" w:right="47" w:firstLine="0"/>
              <w:jc w:val="center"/>
            </w:pPr>
            <w:proofErr w:type="spellStart"/>
            <w:r>
              <w:rPr>
                <w:sz w:val="20"/>
              </w:rPr>
              <w:t>TerraCore</w:t>
            </w:r>
            <w:proofErr w:type="spellEnd"/>
            <w:r>
              <w:rPr>
                <w:sz w:val="20"/>
              </w:rPr>
              <w:t>, En</w:t>
            </w:r>
          </w:p>
          <w:p w14:paraId="563ABFF7" w14:textId="3D30DAE3" w:rsidR="00B56D50" w:rsidRDefault="001C3C42" w:rsidP="00C5708C">
            <w:pPr>
              <w:spacing w:after="0" w:line="259" w:lineRule="auto"/>
              <w:ind w:left="0" w:right="0" w:firstLine="0"/>
              <w:jc w:val="center"/>
            </w:pPr>
            <w:r>
              <w:rPr>
                <w:sz w:val="20"/>
              </w:rPr>
              <w:t>Core Samplers or VOA vials</w:t>
            </w:r>
          </w:p>
        </w:tc>
        <w:tc>
          <w:tcPr>
            <w:tcW w:w="1465" w:type="dxa"/>
            <w:tcBorders>
              <w:top w:val="single" w:sz="7" w:space="0" w:color="000000"/>
              <w:left w:val="single" w:sz="12" w:space="0" w:color="000000"/>
              <w:bottom w:val="single" w:sz="7" w:space="0" w:color="000000"/>
              <w:right w:val="single" w:sz="12" w:space="0" w:color="000000"/>
            </w:tcBorders>
            <w:vAlign w:val="center"/>
          </w:tcPr>
          <w:p w14:paraId="26E34272" w14:textId="38198D6C" w:rsidR="00B56D50" w:rsidRDefault="001C3C42" w:rsidP="00294CB9">
            <w:pPr>
              <w:spacing w:after="0" w:line="259" w:lineRule="auto"/>
              <w:ind w:left="0" w:right="0" w:firstLine="0"/>
              <w:jc w:val="center"/>
            </w:pPr>
            <w:r>
              <w:rPr>
                <w:sz w:val="20"/>
              </w:rPr>
              <w:t>Ice</w:t>
            </w:r>
            <w:r w:rsidR="00071B7C">
              <w:rPr>
                <w:sz w:val="20"/>
              </w:rPr>
              <w:t xml:space="preserve"> </w:t>
            </w:r>
            <w:r>
              <w:rPr>
                <w:sz w:val="20"/>
              </w:rPr>
              <w:t>(4</w:t>
            </w:r>
            <w:r>
              <w:rPr>
                <w:sz w:val="20"/>
                <w:vertAlign w:val="superscript"/>
              </w:rPr>
              <w:t>0</w:t>
            </w:r>
            <w:r>
              <w:rPr>
                <w:sz w:val="20"/>
              </w:rPr>
              <w:t>C)</w:t>
            </w:r>
            <w:r w:rsidR="00532BC1">
              <w:rPr>
                <w:rFonts w:ascii="Symbol" w:eastAsia="Symbol" w:hAnsi="Symbol" w:cs="Symbol"/>
                <w:sz w:val="20"/>
              </w:rPr>
              <w:sym w:font="Symbol" w:char="F0B1"/>
            </w:r>
            <w:r w:rsidR="00532BC1">
              <w:rPr>
                <w:sz w:val="20"/>
              </w:rPr>
              <w:t xml:space="preserve"> 2</w:t>
            </w:r>
            <w:r>
              <w:rPr>
                <w:sz w:val="20"/>
              </w:rPr>
              <w:t xml:space="preserve"> </w:t>
            </w:r>
            <w:r w:rsidR="006E75AF">
              <w:rPr>
                <w:sz w:val="20"/>
              </w:rPr>
              <w:t>See 5035</w:t>
            </w:r>
            <w:r>
              <w:rPr>
                <w:sz w:val="20"/>
              </w:rPr>
              <w:t>A</w:t>
            </w:r>
          </w:p>
        </w:tc>
        <w:tc>
          <w:tcPr>
            <w:tcW w:w="2276" w:type="dxa"/>
            <w:tcBorders>
              <w:top w:val="single" w:sz="7" w:space="0" w:color="000000"/>
              <w:left w:val="single" w:sz="12" w:space="0" w:color="000000"/>
              <w:bottom w:val="single" w:sz="7" w:space="0" w:color="000000"/>
              <w:right w:val="single" w:sz="12" w:space="0" w:color="000000"/>
            </w:tcBorders>
            <w:vAlign w:val="center"/>
          </w:tcPr>
          <w:p w14:paraId="7778CF7A" w14:textId="621AAECB" w:rsidR="00B56D50" w:rsidRDefault="001C3C42" w:rsidP="00C5708C">
            <w:pPr>
              <w:spacing w:after="0" w:line="259" w:lineRule="auto"/>
              <w:ind w:left="0" w:right="48" w:firstLine="0"/>
              <w:jc w:val="center"/>
            </w:pPr>
            <w:r>
              <w:rPr>
                <w:sz w:val="20"/>
              </w:rPr>
              <w:t xml:space="preserve">See </w:t>
            </w:r>
            <w:r w:rsidR="006E75AF">
              <w:rPr>
                <w:sz w:val="20"/>
              </w:rPr>
              <w:t>Method 5035</w:t>
            </w:r>
            <w:r>
              <w:rPr>
                <w:sz w:val="20"/>
              </w:rPr>
              <w:t>A</w:t>
            </w:r>
          </w:p>
        </w:tc>
        <w:tc>
          <w:tcPr>
            <w:tcW w:w="1495" w:type="dxa"/>
            <w:tcBorders>
              <w:top w:val="single" w:sz="7" w:space="0" w:color="000000"/>
              <w:left w:val="single" w:sz="12" w:space="0" w:color="000000"/>
              <w:bottom w:val="single" w:sz="7" w:space="0" w:color="000000"/>
              <w:right w:val="single" w:sz="12" w:space="0" w:color="000000"/>
            </w:tcBorders>
            <w:vAlign w:val="center"/>
          </w:tcPr>
          <w:p w14:paraId="70BC60C5" w14:textId="34B0967D" w:rsidR="00B56D50" w:rsidRDefault="001C3C42" w:rsidP="00C5708C">
            <w:pPr>
              <w:spacing w:after="0" w:line="259" w:lineRule="auto"/>
              <w:ind w:left="0" w:right="48" w:firstLine="0"/>
              <w:jc w:val="center"/>
            </w:pPr>
            <w:r>
              <w:rPr>
                <w:sz w:val="20"/>
              </w:rPr>
              <w:t>NA</w:t>
            </w:r>
          </w:p>
        </w:tc>
        <w:tc>
          <w:tcPr>
            <w:tcW w:w="2245" w:type="dxa"/>
            <w:tcBorders>
              <w:top w:val="single" w:sz="7" w:space="0" w:color="000000"/>
              <w:left w:val="single" w:sz="12" w:space="0" w:color="000000"/>
              <w:bottom w:val="single" w:sz="7" w:space="0" w:color="000000"/>
              <w:right w:val="single" w:sz="12" w:space="0" w:color="000000"/>
            </w:tcBorders>
            <w:vAlign w:val="center"/>
          </w:tcPr>
          <w:p w14:paraId="05D963AD" w14:textId="600C8D61" w:rsidR="00B56D50" w:rsidRDefault="00B56D50" w:rsidP="00C5708C">
            <w:pPr>
              <w:spacing w:after="0" w:line="259" w:lineRule="auto"/>
              <w:ind w:left="3" w:right="0" w:firstLine="0"/>
              <w:jc w:val="center"/>
            </w:pPr>
          </w:p>
        </w:tc>
        <w:tc>
          <w:tcPr>
            <w:tcW w:w="1847" w:type="dxa"/>
            <w:tcBorders>
              <w:top w:val="single" w:sz="7" w:space="0" w:color="000000"/>
              <w:left w:val="single" w:sz="12" w:space="0" w:color="000000"/>
              <w:bottom w:val="single" w:sz="7" w:space="0" w:color="000000"/>
              <w:right w:val="single" w:sz="12" w:space="0" w:color="000000"/>
            </w:tcBorders>
            <w:vAlign w:val="center"/>
          </w:tcPr>
          <w:p w14:paraId="7FD18BEE" w14:textId="1A10D217" w:rsidR="00B56D50" w:rsidRDefault="00B56D50" w:rsidP="00C5708C">
            <w:pPr>
              <w:spacing w:after="0" w:line="259" w:lineRule="auto"/>
              <w:ind w:left="6" w:right="0" w:firstLine="0"/>
              <w:jc w:val="center"/>
            </w:pPr>
          </w:p>
        </w:tc>
      </w:tr>
      <w:tr w:rsidR="00B56D50" w14:paraId="58D38262" w14:textId="77777777" w:rsidTr="00E33BE7">
        <w:trPr>
          <w:trHeight w:val="20"/>
        </w:trPr>
        <w:tc>
          <w:tcPr>
            <w:tcW w:w="3769" w:type="dxa"/>
            <w:tcBorders>
              <w:top w:val="single" w:sz="7" w:space="0" w:color="000000"/>
              <w:left w:val="single" w:sz="12" w:space="0" w:color="000000"/>
              <w:bottom w:val="single" w:sz="8" w:space="0" w:color="000000"/>
              <w:right w:val="single" w:sz="12" w:space="0" w:color="000000"/>
            </w:tcBorders>
            <w:vAlign w:val="center"/>
          </w:tcPr>
          <w:p w14:paraId="7A3AC4CF" w14:textId="77777777" w:rsidR="00B56D50" w:rsidRDefault="001C3C42" w:rsidP="00C5708C">
            <w:pPr>
              <w:spacing w:after="0" w:line="259" w:lineRule="auto"/>
              <w:ind w:left="0" w:right="0" w:firstLine="0"/>
            </w:pPr>
            <w:r>
              <w:rPr>
                <w:sz w:val="20"/>
              </w:rPr>
              <w:t xml:space="preserve">Volatile Organic Compounds (VOCs) – </w:t>
            </w:r>
          </w:p>
          <w:p w14:paraId="3B9D2925" w14:textId="629F5B7F" w:rsidR="00B56D50" w:rsidRDefault="001C3C42" w:rsidP="00C5708C">
            <w:pPr>
              <w:spacing w:after="0" w:line="259" w:lineRule="auto"/>
              <w:ind w:left="0" w:right="0" w:firstLine="0"/>
            </w:pPr>
            <w:r>
              <w:rPr>
                <w:sz w:val="20"/>
              </w:rPr>
              <w:t xml:space="preserve">High </w:t>
            </w:r>
            <w:r w:rsidR="006E75AF">
              <w:rPr>
                <w:sz w:val="20"/>
              </w:rPr>
              <w:t>Concentration Soil</w:t>
            </w:r>
            <w:r>
              <w:rPr>
                <w:sz w:val="20"/>
              </w:rPr>
              <w:t>/Sediment/Waste</w:t>
            </w:r>
          </w:p>
        </w:tc>
        <w:tc>
          <w:tcPr>
            <w:tcW w:w="1684" w:type="dxa"/>
            <w:tcBorders>
              <w:top w:val="single" w:sz="7" w:space="0" w:color="000000"/>
              <w:left w:val="single" w:sz="12" w:space="0" w:color="000000"/>
              <w:bottom w:val="single" w:sz="8" w:space="0" w:color="000000"/>
              <w:right w:val="single" w:sz="12" w:space="0" w:color="000000"/>
            </w:tcBorders>
            <w:vAlign w:val="center"/>
          </w:tcPr>
          <w:p w14:paraId="1740324E" w14:textId="1685F014" w:rsidR="00B56D50" w:rsidRDefault="001C3C42" w:rsidP="00C5708C">
            <w:pPr>
              <w:spacing w:after="0" w:line="259" w:lineRule="auto"/>
              <w:ind w:left="0" w:right="53" w:firstLine="0"/>
              <w:jc w:val="center"/>
            </w:pPr>
            <w:r>
              <w:rPr>
                <w:sz w:val="20"/>
              </w:rPr>
              <w:t>2-120 mL G</w:t>
            </w:r>
          </w:p>
        </w:tc>
        <w:tc>
          <w:tcPr>
            <w:tcW w:w="1465" w:type="dxa"/>
            <w:tcBorders>
              <w:top w:val="single" w:sz="7" w:space="0" w:color="000000"/>
              <w:left w:val="single" w:sz="12" w:space="0" w:color="000000"/>
              <w:bottom w:val="single" w:sz="8" w:space="0" w:color="000000"/>
              <w:right w:val="single" w:sz="12" w:space="0" w:color="000000"/>
            </w:tcBorders>
            <w:vAlign w:val="center"/>
          </w:tcPr>
          <w:p w14:paraId="09D9AA66" w14:textId="73748192" w:rsidR="00B56D50" w:rsidRDefault="001C3C42" w:rsidP="00C5708C">
            <w:pPr>
              <w:spacing w:after="39" w:line="259" w:lineRule="auto"/>
              <w:ind w:left="0" w:right="42" w:firstLine="0"/>
              <w:jc w:val="center"/>
            </w:pPr>
            <w:r>
              <w:rPr>
                <w:sz w:val="20"/>
              </w:rPr>
              <w:t>Ice (4</w:t>
            </w:r>
            <w:r>
              <w:rPr>
                <w:sz w:val="20"/>
                <w:vertAlign w:val="superscript"/>
              </w:rPr>
              <w:t>0</w:t>
            </w:r>
            <w:r>
              <w:rPr>
                <w:sz w:val="20"/>
              </w:rPr>
              <w:t>C)</w:t>
            </w:r>
          </w:p>
        </w:tc>
        <w:tc>
          <w:tcPr>
            <w:tcW w:w="2276" w:type="dxa"/>
            <w:tcBorders>
              <w:top w:val="single" w:sz="7" w:space="0" w:color="000000"/>
              <w:left w:val="single" w:sz="12" w:space="0" w:color="000000"/>
              <w:bottom w:val="single" w:sz="8" w:space="0" w:color="000000"/>
              <w:right w:val="single" w:sz="12" w:space="0" w:color="000000"/>
            </w:tcBorders>
            <w:vAlign w:val="center"/>
          </w:tcPr>
          <w:p w14:paraId="5DA6B566" w14:textId="76CF776A" w:rsidR="00B56D50" w:rsidRDefault="001C3C42" w:rsidP="00C5708C">
            <w:pPr>
              <w:spacing w:after="8" w:line="259" w:lineRule="auto"/>
              <w:ind w:left="0" w:right="50" w:firstLine="0"/>
              <w:jc w:val="center"/>
            </w:pPr>
            <w:r>
              <w:rPr>
                <w:sz w:val="20"/>
              </w:rPr>
              <w:t>14 days</w:t>
            </w:r>
          </w:p>
        </w:tc>
        <w:tc>
          <w:tcPr>
            <w:tcW w:w="1495" w:type="dxa"/>
            <w:tcBorders>
              <w:top w:val="single" w:sz="7" w:space="0" w:color="000000"/>
              <w:left w:val="single" w:sz="12" w:space="0" w:color="000000"/>
              <w:bottom w:val="single" w:sz="8" w:space="0" w:color="000000"/>
              <w:right w:val="single" w:sz="12" w:space="0" w:color="000000"/>
            </w:tcBorders>
            <w:vAlign w:val="center"/>
          </w:tcPr>
          <w:p w14:paraId="4AEF77B9" w14:textId="0792CD3E" w:rsidR="00B56D50" w:rsidRDefault="001C3C42" w:rsidP="00C5708C">
            <w:pPr>
              <w:spacing w:after="8" w:line="259" w:lineRule="auto"/>
              <w:ind w:left="0" w:right="48" w:firstLine="0"/>
              <w:jc w:val="center"/>
            </w:pPr>
            <w:r>
              <w:rPr>
                <w:sz w:val="20"/>
              </w:rPr>
              <w:t>NA</w:t>
            </w:r>
          </w:p>
        </w:tc>
        <w:tc>
          <w:tcPr>
            <w:tcW w:w="2245" w:type="dxa"/>
            <w:tcBorders>
              <w:top w:val="single" w:sz="7" w:space="0" w:color="000000"/>
              <w:left w:val="single" w:sz="12" w:space="0" w:color="000000"/>
              <w:bottom w:val="single" w:sz="8" w:space="0" w:color="000000"/>
              <w:right w:val="single" w:sz="12" w:space="0" w:color="000000"/>
            </w:tcBorders>
            <w:vAlign w:val="center"/>
          </w:tcPr>
          <w:p w14:paraId="665B4C9A" w14:textId="1393780E" w:rsidR="00B56D50" w:rsidRDefault="00B56D50" w:rsidP="003F6FE2">
            <w:pPr>
              <w:spacing w:after="8" w:line="259" w:lineRule="auto"/>
              <w:ind w:left="0" w:right="0" w:firstLine="0"/>
              <w:jc w:val="center"/>
            </w:pPr>
          </w:p>
        </w:tc>
        <w:tc>
          <w:tcPr>
            <w:tcW w:w="1847" w:type="dxa"/>
            <w:tcBorders>
              <w:top w:val="single" w:sz="7" w:space="0" w:color="000000"/>
              <w:left w:val="single" w:sz="12" w:space="0" w:color="000000"/>
              <w:bottom w:val="single" w:sz="8" w:space="0" w:color="000000"/>
              <w:right w:val="single" w:sz="12" w:space="0" w:color="000000"/>
            </w:tcBorders>
            <w:vAlign w:val="center"/>
          </w:tcPr>
          <w:p w14:paraId="477B1B4F" w14:textId="3BBCC97B" w:rsidR="00B56D50" w:rsidRDefault="00B56D50" w:rsidP="003F6FE2">
            <w:pPr>
              <w:spacing w:after="0" w:line="259" w:lineRule="auto"/>
              <w:ind w:left="0" w:right="0" w:firstLine="0"/>
            </w:pPr>
          </w:p>
        </w:tc>
      </w:tr>
      <w:tr w:rsidR="006153D2" w14:paraId="352E2EED" w14:textId="77777777" w:rsidTr="00E33BE7">
        <w:trPr>
          <w:trHeight w:val="302"/>
        </w:trPr>
        <w:tc>
          <w:tcPr>
            <w:tcW w:w="3769" w:type="dxa"/>
            <w:tcBorders>
              <w:top w:val="single" w:sz="8" w:space="0" w:color="000000"/>
              <w:left w:val="single" w:sz="12" w:space="0" w:color="000000"/>
              <w:bottom w:val="single" w:sz="8" w:space="0" w:color="000000"/>
              <w:right w:val="single" w:sz="12" w:space="0" w:color="000000"/>
            </w:tcBorders>
            <w:shd w:val="clear" w:color="auto" w:fill="CCCCCC"/>
          </w:tcPr>
          <w:p w14:paraId="453DDDE4" w14:textId="1D4D6803" w:rsidR="00B56D50" w:rsidRDefault="00B56D50" w:rsidP="00452883">
            <w:pPr>
              <w:spacing w:after="0" w:line="259" w:lineRule="auto"/>
              <w:ind w:left="1" w:right="0" w:firstLine="0"/>
              <w:jc w:val="center"/>
            </w:pPr>
          </w:p>
        </w:tc>
        <w:tc>
          <w:tcPr>
            <w:tcW w:w="1684" w:type="dxa"/>
            <w:tcBorders>
              <w:top w:val="single" w:sz="8" w:space="0" w:color="000000"/>
              <w:left w:val="single" w:sz="12" w:space="0" w:color="000000"/>
              <w:bottom w:val="single" w:sz="8" w:space="0" w:color="000000"/>
              <w:right w:val="single" w:sz="12" w:space="0" w:color="000000"/>
            </w:tcBorders>
            <w:shd w:val="clear" w:color="auto" w:fill="CCCCCC"/>
          </w:tcPr>
          <w:p w14:paraId="71764A11" w14:textId="108BB619" w:rsidR="00B56D50" w:rsidRDefault="00B56D50" w:rsidP="00452883">
            <w:pPr>
              <w:spacing w:after="0" w:line="259" w:lineRule="auto"/>
              <w:ind w:left="0" w:right="0" w:firstLine="0"/>
              <w:jc w:val="center"/>
            </w:pPr>
          </w:p>
        </w:tc>
        <w:tc>
          <w:tcPr>
            <w:tcW w:w="1465" w:type="dxa"/>
            <w:tcBorders>
              <w:top w:val="single" w:sz="8" w:space="0" w:color="000000"/>
              <w:left w:val="single" w:sz="12" w:space="0" w:color="000000"/>
              <w:bottom w:val="single" w:sz="8" w:space="0" w:color="000000"/>
              <w:right w:val="single" w:sz="12" w:space="0" w:color="000000"/>
            </w:tcBorders>
            <w:shd w:val="clear" w:color="auto" w:fill="CCCCCC"/>
          </w:tcPr>
          <w:p w14:paraId="62047100" w14:textId="02DC0912" w:rsidR="00B56D50" w:rsidRDefault="00B56D50" w:rsidP="00452883">
            <w:pPr>
              <w:spacing w:after="0" w:line="259" w:lineRule="auto"/>
              <w:ind w:left="6" w:right="0" w:firstLine="0"/>
              <w:jc w:val="center"/>
            </w:pPr>
          </w:p>
        </w:tc>
        <w:tc>
          <w:tcPr>
            <w:tcW w:w="2276" w:type="dxa"/>
            <w:tcBorders>
              <w:top w:val="single" w:sz="8" w:space="0" w:color="000000"/>
              <w:left w:val="single" w:sz="12" w:space="0" w:color="000000"/>
              <w:bottom w:val="single" w:sz="8" w:space="0" w:color="000000"/>
              <w:right w:val="single" w:sz="12" w:space="0" w:color="000000"/>
            </w:tcBorders>
            <w:shd w:val="clear" w:color="auto" w:fill="CCCCCC"/>
          </w:tcPr>
          <w:p w14:paraId="63D20DF2" w14:textId="5CBFBB96" w:rsidR="00B56D50" w:rsidRDefault="00B56D50" w:rsidP="00452883">
            <w:pPr>
              <w:spacing w:after="0" w:line="259" w:lineRule="auto"/>
              <w:ind w:left="4" w:right="0" w:firstLine="0"/>
              <w:jc w:val="center"/>
            </w:pPr>
          </w:p>
        </w:tc>
        <w:tc>
          <w:tcPr>
            <w:tcW w:w="1495" w:type="dxa"/>
            <w:tcBorders>
              <w:top w:val="single" w:sz="8" w:space="0" w:color="000000"/>
              <w:left w:val="single" w:sz="12" w:space="0" w:color="000000"/>
              <w:bottom w:val="single" w:sz="8" w:space="0" w:color="000000"/>
              <w:right w:val="single" w:sz="12" w:space="0" w:color="000000"/>
            </w:tcBorders>
            <w:shd w:val="clear" w:color="auto" w:fill="CCCCCC"/>
          </w:tcPr>
          <w:p w14:paraId="0C6DF660" w14:textId="69D00A71" w:rsidR="00B56D50" w:rsidRDefault="00B56D50" w:rsidP="00452883">
            <w:pPr>
              <w:spacing w:after="0" w:line="259" w:lineRule="auto"/>
              <w:ind w:left="2" w:right="0" w:firstLine="0"/>
              <w:jc w:val="center"/>
            </w:pPr>
          </w:p>
        </w:tc>
        <w:tc>
          <w:tcPr>
            <w:tcW w:w="2245" w:type="dxa"/>
            <w:tcBorders>
              <w:top w:val="single" w:sz="8" w:space="0" w:color="000000"/>
              <w:left w:val="single" w:sz="12" w:space="0" w:color="000000"/>
              <w:bottom w:val="single" w:sz="8" w:space="0" w:color="000000"/>
              <w:right w:val="single" w:sz="12" w:space="0" w:color="000000"/>
            </w:tcBorders>
            <w:shd w:val="clear" w:color="auto" w:fill="CCCCCC"/>
          </w:tcPr>
          <w:p w14:paraId="71918535" w14:textId="2DB7BFC0" w:rsidR="00B56D50" w:rsidRDefault="00B56D50" w:rsidP="00452883">
            <w:pPr>
              <w:spacing w:after="0" w:line="259" w:lineRule="auto"/>
              <w:ind w:left="3" w:right="0" w:firstLine="0"/>
              <w:jc w:val="center"/>
            </w:pPr>
          </w:p>
        </w:tc>
        <w:tc>
          <w:tcPr>
            <w:tcW w:w="1847" w:type="dxa"/>
            <w:tcBorders>
              <w:top w:val="single" w:sz="8" w:space="0" w:color="000000"/>
              <w:left w:val="single" w:sz="12" w:space="0" w:color="000000"/>
              <w:bottom w:val="single" w:sz="8" w:space="0" w:color="000000"/>
              <w:right w:val="single" w:sz="12" w:space="0" w:color="000000"/>
            </w:tcBorders>
            <w:shd w:val="clear" w:color="auto" w:fill="CCCCCC"/>
          </w:tcPr>
          <w:p w14:paraId="60F86B03" w14:textId="3B17B53D" w:rsidR="00B56D50" w:rsidRDefault="00B56D50" w:rsidP="00452883">
            <w:pPr>
              <w:spacing w:after="0" w:line="259" w:lineRule="auto"/>
              <w:ind w:left="6" w:right="0" w:firstLine="0"/>
              <w:jc w:val="center"/>
            </w:pPr>
          </w:p>
        </w:tc>
      </w:tr>
      <w:tr w:rsidR="00B56D50" w14:paraId="76E9E4CD" w14:textId="77777777" w:rsidTr="00E33BE7">
        <w:trPr>
          <w:trHeight w:val="20"/>
        </w:trPr>
        <w:tc>
          <w:tcPr>
            <w:tcW w:w="3769" w:type="dxa"/>
            <w:tcBorders>
              <w:top w:val="single" w:sz="8" w:space="0" w:color="000000"/>
              <w:left w:val="single" w:sz="12" w:space="0" w:color="000000"/>
              <w:bottom w:val="single" w:sz="8" w:space="0" w:color="000000"/>
              <w:right w:val="single" w:sz="12" w:space="0" w:color="000000"/>
            </w:tcBorders>
            <w:vAlign w:val="center"/>
          </w:tcPr>
          <w:p w14:paraId="55164C5E" w14:textId="444BE678" w:rsidR="00B56D50" w:rsidRDefault="001C3C42" w:rsidP="00294CB9">
            <w:pPr>
              <w:spacing w:after="0" w:line="240" w:lineRule="auto"/>
              <w:ind w:right="0"/>
            </w:pPr>
            <w:r>
              <w:rPr>
                <w:sz w:val="20"/>
              </w:rPr>
              <w:t>Semi</w:t>
            </w:r>
            <w:r w:rsidR="00131E6B">
              <w:rPr>
                <w:sz w:val="20"/>
              </w:rPr>
              <w:t>-</w:t>
            </w:r>
            <w:r>
              <w:rPr>
                <w:sz w:val="20"/>
              </w:rPr>
              <w:t>volatile Organic Compounds (SVOCs)</w:t>
            </w:r>
          </w:p>
        </w:tc>
        <w:tc>
          <w:tcPr>
            <w:tcW w:w="1684" w:type="dxa"/>
            <w:tcBorders>
              <w:top w:val="single" w:sz="8" w:space="0" w:color="000000"/>
              <w:left w:val="single" w:sz="12" w:space="0" w:color="000000"/>
              <w:bottom w:val="single" w:sz="8" w:space="0" w:color="000000"/>
              <w:right w:val="single" w:sz="12" w:space="0" w:color="000000"/>
            </w:tcBorders>
            <w:vAlign w:val="center"/>
          </w:tcPr>
          <w:p w14:paraId="537C8F5C" w14:textId="59EC0528" w:rsidR="00B56D50" w:rsidRDefault="001C3C42" w:rsidP="00294CB9">
            <w:pPr>
              <w:spacing w:after="0" w:line="240" w:lineRule="auto"/>
              <w:ind w:left="0" w:right="51" w:firstLine="0"/>
              <w:jc w:val="center"/>
            </w:pPr>
            <w:r>
              <w:rPr>
                <w:sz w:val="20"/>
              </w:rPr>
              <w:t>500 mL G</w:t>
            </w:r>
          </w:p>
        </w:tc>
        <w:tc>
          <w:tcPr>
            <w:tcW w:w="1465" w:type="dxa"/>
            <w:tcBorders>
              <w:top w:val="single" w:sz="8" w:space="0" w:color="000000"/>
              <w:left w:val="single" w:sz="12" w:space="0" w:color="000000"/>
              <w:bottom w:val="single" w:sz="8" w:space="0" w:color="000000"/>
              <w:right w:val="single" w:sz="12" w:space="0" w:color="000000"/>
            </w:tcBorders>
            <w:vAlign w:val="center"/>
          </w:tcPr>
          <w:p w14:paraId="16EAB8D2" w14:textId="21469A62" w:rsidR="00B56D50" w:rsidRDefault="001C3C42" w:rsidP="00294CB9">
            <w:pPr>
              <w:spacing w:after="0" w:line="240" w:lineRule="auto"/>
              <w:ind w:left="0" w:right="42" w:firstLine="0"/>
              <w:jc w:val="center"/>
            </w:pPr>
            <w:r>
              <w:rPr>
                <w:sz w:val="20"/>
              </w:rPr>
              <w:t>Ice (4</w:t>
            </w:r>
            <w:r>
              <w:rPr>
                <w:sz w:val="20"/>
                <w:vertAlign w:val="superscript"/>
              </w:rPr>
              <w:t>0</w:t>
            </w:r>
            <w:r>
              <w:rPr>
                <w:sz w:val="20"/>
              </w:rPr>
              <w:t>C)</w:t>
            </w:r>
          </w:p>
        </w:tc>
        <w:tc>
          <w:tcPr>
            <w:tcW w:w="2276" w:type="dxa"/>
            <w:tcBorders>
              <w:top w:val="single" w:sz="8" w:space="0" w:color="000000"/>
              <w:left w:val="single" w:sz="12" w:space="0" w:color="000000"/>
              <w:bottom w:val="single" w:sz="8" w:space="0" w:color="000000"/>
              <w:right w:val="single" w:sz="12" w:space="0" w:color="000000"/>
            </w:tcBorders>
            <w:vAlign w:val="center"/>
          </w:tcPr>
          <w:p w14:paraId="17F3F0CD" w14:textId="31BFC0B6" w:rsidR="00B56D50" w:rsidRDefault="001C3C42" w:rsidP="00452883">
            <w:pPr>
              <w:spacing w:after="0" w:line="259" w:lineRule="auto"/>
              <w:ind w:left="0" w:right="0" w:firstLine="0"/>
              <w:jc w:val="center"/>
            </w:pPr>
            <w:r>
              <w:rPr>
                <w:sz w:val="20"/>
              </w:rPr>
              <w:t>Extraction 14 days; 40 days analysis</w:t>
            </w:r>
          </w:p>
        </w:tc>
        <w:tc>
          <w:tcPr>
            <w:tcW w:w="1495" w:type="dxa"/>
            <w:tcBorders>
              <w:top w:val="single" w:sz="8" w:space="0" w:color="000000"/>
              <w:left w:val="single" w:sz="12" w:space="0" w:color="000000"/>
              <w:bottom w:val="single" w:sz="8" w:space="0" w:color="000000"/>
              <w:right w:val="single" w:sz="12" w:space="0" w:color="000000"/>
            </w:tcBorders>
            <w:vAlign w:val="center"/>
          </w:tcPr>
          <w:p w14:paraId="2C923141" w14:textId="780EC2E6" w:rsidR="00B56D50" w:rsidRDefault="001C3C42" w:rsidP="00294CB9">
            <w:pPr>
              <w:spacing w:after="0" w:line="240" w:lineRule="auto"/>
              <w:ind w:left="2" w:right="0" w:firstLine="0"/>
              <w:jc w:val="center"/>
            </w:pPr>
            <w:r>
              <w:rPr>
                <w:sz w:val="20"/>
              </w:rPr>
              <w:t>2-1 L Glass</w:t>
            </w:r>
          </w:p>
        </w:tc>
        <w:tc>
          <w:tcPr>
            <w:tcW w:w="2245" w:type="dxa"/>
            <w:tcBorders>
              <w:top w:val="single" w:sz="8" w:space="0" w:color="000000"/>
              <w:left w:val="single" w:sz="12" w:space="0" w:color="000000"/>
              <w:bottom w:val="single" w:sz="8" w:space="0" w:color="000000"/>
              <w:right w:val="single" w:sz="12" w:space="0" w:color="000000"/>
            </w:tcBorders>
            <w:vAlign w:val="center"/>
          </w:tcPr>
          <w:p w14:paraId="2DB55CCB" w14:textId="49693C4A" w:rsidR="00B56D50" w:rsidRDefault="001C3C42" w:rsidP="00294CB9">
            <w:pPr>
              <w:spacing w:after="0" w:line="240" w:lineRule="auto"/>
              <w:ind w:left="0" w:right="0" w:firstLine="0"/>
              <w:jc w:val="center"/>
            </w:pPr>
            <w:r>
              <w:rPr>
                <w:sz w:val="20"/>
              </w:rPr>
              <w:t>Ice (4</w:t>
            </w:r>
            <w:r>
              <w:rPr>
                <w:sz w:val="20"/>
                <w:vertAlign w:val="superscript"/>
              </w:rPr>
              <w:t>0</w:t>
            </w:r>
            <w:r>
              <w:rPr>
                <w:sz w:val="20"/>
              </w:rPr>
              <w:t>C)</w:t>
            </w:r>
          </w:p>
        </w:tc>
        <w:tc>
          <w:tcPr>
            <w:tcW w:w="1847" w:type="dxa"/>
            <w:tcBorders>
              <w:top w:val="single" w:sz="8" w:space="0" w:color="000000"/>
              <w:left w:val="single" w:sz="12" w:space="0" w:color="000000"/>
              <w:bottom w:val="single" w:sz="8" w:space="0" w:color="000000"/>
              <w:right w:val="single" w:sz="12" w:space="0" w:color="000000"/>
            </w:tcBorders>
            <w:vAlign w:val="center"/>
          </w:tcPr>
          <w:p w14:paraId="4DC76E93" w14:textId="1065B9CE" w:rsidR="00B56D50" w:rsidRDefault="001C3C42" w:rsidP="00721059">
            <w:pPr>
              <w:spacing w:after="0" w:line="240" w:lineRule="auto"/>
              <w:ind w:left="0" w:right="0" w:firstLine="0"/>
              <w:jc w:val="center"/>
            </w:pPr>
            <w:r>
              <w:rPr>
                <w:sz w:val="20"/>
              </w:rPr>
              <w:t>Extraction 7 days; 40 days to analysis</w:t>
            </w:r>
          </w:p>
        </w:tc>
      </w:tr>
      <w:tr w:rsidR="006153D2" w14:paraId="50BD8415" w14:textId="77777777" w:rsidTr="00E33BE7">
        <w:trPr>
          <w:trHeight w:val="302"/>
        </w:trPr>
        <w:tc>
          <w:tcPr>
            <w:tcW w:w="3769" w:type="dxa"/>
            <w:tcBorders>
              <w:top w:val="single" w:sz="8" w:space="0" w:color="000000"/>
              <w:left w:val="single" w:sz="12" w:space="0" w:color="000000"/>
              <w:bottom w:val="single" w:sz="8" w:space="0" w:color="000000"/>
              <w:right w:val="single" w:sz="12" w:space="0" w:color="000000"/>
            </w:tcBorders>
            <w:shd w:val="clear" w:color="auto" w:fill="CCCCCC"/>
            <w:vAlign w:val="center"/>
          </w:tcPr>
          <w:p w14:paraId="05FB7FCB" w14:textId="70A6E409" w:rsidR="00B56D50" w:rsidRDefault="00B56D50" w:rsidP="00452883">
            <w:pPr>
              <w:spacing w:after="0" w:line="259" w:lineRule="auto"/>
              <w:ind w:left="1" w:right="0" w:firstLine="0"/>
              <w:jc w:val="center"/>
            </w:pPr>
          </w:p>
        </w:tc>
        <w:tc>
          <w:tcPr>
            <w:tcW w:w="1684" w:type="dxa"/>
            <w:tcBorders>
              <w:top w:val="single" w:sz="8" w:space="0" w:color="000000"/>
              <w:left w:val="single" w:sz="12" w:space="0" w:color="000000"/>
              <w:bottom w:val="single" w:sz="8" w:space="0" w:color="000000"/>
              <w:right w:val="single" w:sz="12" w:space="0" w:color="000000"/>
            </w:tcBorders>
            <w:shd w:val="clear" w:color="auto" w:fill="CCCCCC"/>
            <w:vAlign w:val="center"/>
          </w:tcPr>
          <w:p w14:paraId="1C6230D7" w14:textId="4C8EF134" w:rsidR="00B56D50" w:rsidRDefault="00B56D50" w:rsidP="00452883">
            <w:pPr>
              <w:spacing w:after="0" w:line="259" w:lineRule="auto"/>
              <w:ind w:left="0" w:right="0" w:firstLine="0"/>
              <w:jc w:val="center"/>
            </w:pPr>
          </w:p>
        </w:tc>
        <w:tc>
          <w:tcPr>
            <w:tcW w:w="1465" w:type="dxa"/>
            <w:tcBorders>
              <w:top w:val="single" w:sz="8" w:space="0" w:color="000000"/>
              <w:left w:val="single" w:sz="12" w:space="0" w:color="000000"/>
              <w:bottom w:val="single" w:sz="8" w:space="0" w:color="000000"/>
              <w:right w:val="single" w:sz="12" w:space="0" w:color="000000"/>
            </w:tcBorders>
            <w:shd w:val="clear" w:color="auto" w:fill="CCCCCC"/>
            <w:vAlign w:val="center"/>
          </w:tcPr>
          <w:p w14:paraId="7DF87461" w14:textId="2ABB2E51" w:rsidR="00B56D50" w:rsidRDefault="00B56D50" w:rsidP="00452883">
            <w:pPr>
              <w:spacing w:after="0" w:line="259" w:lineRule="auto"/>
              <w:ind w:left="6" w:right="0" w:firstLine="0"/>
              <w:jc w:val="center"/>
            </w:pPr>
          </w:p>
        </w:tc>
        <w:tc>
          <w:tcPr>
            <w:tcW w:w="2276" w:type="dxa"/>
            <w:tcBorders>
              <w:top w:val="single" w:sz="8" w:space="0" w:color="000000"/>
              <w:left w:val="single" w:sz="12" w:space="0" w:color="000000"/>
              <w:bottom w:val="single" w:sz="8" w:space="0" w:color="000000"/>
              <w:right w:val="single" w:sz="12" w:space="0" w:color="000000"/>
            </w:tcBorders>
            <w:shd w:val="clear" w:color="auto" w:fill="CCCCCC"/>
            <w:vAlign w:val="center"/>
          </w:tcPr>
          <w:p w14:paraId="6BA75FBF" w14:textId="041B87F1" w:rsidR="00B56D50" w:rsidRDefault="00B56D50" w:rsidP="00452883">
            <w:pPr>
              <w:spacing w:after="0" w:line="259" w:lineRule="auto"/>
              <w:ind w:left="4" w:right="0" w:firstLine="0"/>
              <w:jc w:val="center"/>
            </w:pPr>
          </w:p>
        </w:tc>
        <w:tc>
          <w:tcPr>
            <w:tcW w:w="1495" w:type="dxa"/>
            <w:tcBorders>
              <w:top w:val="single" w:sz="8" w:space="0" w:color="000000"/>
              <w:left w:val="single" w:sz="12" w:space="0" w:color="000000"/>
              <w:bottom w:val="single" w:sz="8" w:space="0" w:color="000000"/>
              <w:right w:val="single" w:sz="12" w:space="0" w:color="000000"/>
            </w:tcBorders>
            <w:shd w:val="clear" w:color="auto" w:fill="CCCCCC"/>
            <w:vAlign w:val="center"/>
          </w:tcPr>
          <w:p w14:paraId="0F110080" w14:textId="082D6865" w:rsidR="00B56D50" w:rsidRDefault="00B56D50" w:rsidP="00452883">
            <w:pPr>
              <w:spacing w:after="0" w:line="259" w:lineRule="auto"/>
              <w:ind w:left="2" w:right="0" w:firstLine="0"/>
              <w:jc w:val="center"/>
            </w:pPr>
          </w:p>
        </w:tc>
        <w:tc>
          <w:tcPr>
            <w:tcW w:w="2245" w:type="dxa"/>
            <w:tcBorders>
              <w:top w:val="single" w:sz="8" w:space="0" w:color="000000"/>
              <w:left w:val="single" w:sz="12" w:space="0" w:color="000000"/>
              <w:bottom w:val="single" w:sz="8" w:space="0" w:color="000000"/>
              <w:right w:val="single" w:sz="12" w:space="0" w:color="000000"/>
            </w:tcBorders>
            <w:shd w:val="clear" w:color="auto" w:fill="CCCCCC"/>
            <w:vAlign w:val="center"/>
          </w:tcPr>
          <w:p w14:paraId="1A4CE760" w14:textId="301926F0" w:rsidR="00B56D50" w:rsidRDefault="00B56D50" w:rsidP="00452883">
            <w:pPr>
              <w:spacing w:after="0" w:line="259" w:lineRule="auto"/>
              <w:ind w:left="3" w:right="0" w:firstLine="0"/>
              <w:jc w:val="center"/>
            </w:pPr>
          </w:p>
        </w:tc>
        <w:tc>
          <w:tcPr>
            <w:tcW w:w="1847" w:type="dxa"/>
            <w:tcBorders>
              <w:top w:val="single" w:sz="8" w:space="0" w:color="000000"/>
              <w:left w:val="single" w:sz="12" w:space="0" w:color="000000"/>
              <w:bottom w:val="single" w:sz="8" w:space="0" w:color="000000"/>
              <w:right w:val="single" w:sz="12" w:space="0" w:color="000000"/>
            </w:tcBorders>
            <w:shd w:val="clear" w:color="auto" w:fill="CCCCCC"/>
            <w:vAlign w:val="center"/>
          </w:tcPr>
          <w:p w14:paraId="3E5B544B" w14:textId="25779C0E" w:rsidR="00B56D50" w:rsidRDefault="00B56D50" w:rsidP="00452883">
            <w:pPr>
              <w:spacing w:after="0" w:line="259" w:lineRule="auto"/>
              <w:ind w:left="6" w:right="0" w:firstLine="0"/>
              <w:jc w:val="center"/>
            </w:pPr>
          </w:p>
        </w:tc>
      </w:tr>
      <w:tr w:rsidR="00B56D50" w14:paraId="1F4A3B22" w14:textId="77777777" w:rsidTr="00E33BE7">
        <w:trPr>
          <w:trHeight w:val="20"/>
        </w:trPr>
        <w:tc>
          <w:tcPr>
            <w:tcW w:w="3769" w:type="dxa"/>
            <w:tcBorders>
              <w:top w:val="single" w:sz="8" w:space="0" w:color="000000"/>
              <w:left w:val="single" w:sz="12" w:space="0" w:color="000000"/>
              <w:bottom w:val="single" w:sz="12" w:space="0" w:color="000000"/>
              <w:right w:val="single" w:sz="12" w:space="0" w:color="000000"/>
            </w:tcBorders>
            <w:vAlign w:val="center"/>
          </w:tcPr>
          <w:p w14:paraId="1180F45F" w14:textId="77777777" w:rsidR="00B56D50" w:rsidRDefault="001C3C42" w:rsidP="007E729E">
            <w:pPr>
              <w:spacing w:after="0" w:line="259" w:lineRule="auto"/>
              <w:ind w:left="0" w:right="53" w:firstLine="0"/>
            </w:pPr>
            <w:r>
              <w:rPr>
                <w:sz w:val="20"/>
              </w:rPr>
              <w:t xml:space="preserve">Pesticides &amp; PCB </w:t>
            </w:r>
          </w:p>
        </w:tc>
        <w:tc>
          <w:tcPr>
            <w:tcW w:w="1684" w:type="dxa"/>
            <w:tcBorders>
              <w:top w:val="single" w:sz="8" w:space="0" w:color="000000"/>
              <w:left w:val="single" w:sz="12" w:space="0" w:color="000000"/>
              <w:bottom w:val="single" w:sz="12" w:space="0" w:color="000000"/>
              <w:right w:val="single" w:sz="12" w:space="0" w:color="000000"/>
            </w:tcBorders>
            <w:vAlign w:val="center"/>
          </w:tcPr>
          <w:p w14:paraId="1B2B92B7" w14:textId="2DE60D03" w:rsidR="00B56D50" w:rsidRDefault="001C3C42">
            <w:pPr>
              <w:spacing w:after="0" w:line="259" w:lineRule="auto"/>
              <w:ind w:left="0" w:right="51" w:firstLine="0"/>
              <w:jc w:val="center"/>
            </w:pPr>
            <w:r>
              <w:rPr>
                <w:sz w:val="20"/>
              </w:rPr>
              <w:t>500 mL G</w:t>
            </w:r>
          </w:p>
        </w:tc>
        <w:tc>
          <w:tcPr>
            <w:tcW w:w="1465" w:type="dxa"/>
            <w:tcBorders>
              <w:top w:val="single" w:sz="8" w:space="0" w:color="000000"/>
              <w:left w:val="single" w:sz="12" w:space="0" w:color="000000"/>
              <w:bottom w:val="single" w:sz="12" w:space="0" w:color="000000"/>
              <w:right w:val="single" w:sz="12" w:space="0" w:color="000000"/>
            </w:tcBorders>
          </w:tcPr>
          <w:p w14:paraId="5F637F60" w14:textId="77777777" w:rsidR="00B56D50" w:rsidRDefault="001C3C42" w:rsidP="007E729E">
            <w:pPr>
              <w:spacing w:after="0" w:line="259" w:lineRule="auto"/>
              <w:ind w:left="6" w:right="0" w:firstLine="0"/>
              <w:jc w:val="center"/>
            </w:pPr>
            <w:r>
              <w:rPr>
                <w:sz w:val="20"/>
              </w:rPr>
              <w:t>Ice (4</w:t>
            </w:r>
            <w:r>
              <w:rPr>
                <w:sz w:val="20"/>
                <w:vertAlign w:val="superscript"/>
              </w:rPr>
              <w:t>0</w:t>
            </w:r>
            <w:r>
              <w:rPr>
                <w:sz w:val="20"/>
              </w:rPr>
              <w:t xml:space="preserve">C) </w:t>
            </w:r>
          </w:p>
        </w:tc>
        <w:tc>
          <w:tcPr>
            <w:tcW w:w="2276" w:type="dxa"/>
            <w:tcBorders>
              <w:top w:val="single" w:sz="8" w:space="0" w:color="000000"/>
              <w:left w:val="single" w:sz="12" w:space="0" w:color="000000"/>
              <w:bottom w:val="single" w:sz="12" w:space="0" w:color="000000"/>
              <w:right w:val="single" w:sz="12" w:space="0" w:color="000000"/>
            </w:tcBorders>
          </w:tcPr>
          <w:p w14:paraId="071A7419" w14:textId="71862358" w:rsidR="00B56D50" w:rsidRDefault="001C3C42">
            <w:pPr>
              <w:spacing w:after="0" w:line="259" w:lineRule="auto"/>
              <w:ind w:left="0" w:right="0" w:firstLine="0"/>
              <w:jc w:val="center"/>
            </w:pPr>
            <w:r>
              <w:rPr>
                <w:sz w:val="20"/>
              </w:rPr>
              <w:t>Extraction 14 days; 40 days analysis</w:t>
            </w:r>
          </w:p>
        </w:tc>
        <w:tc>
          <w:tcPr>
            <w:tcW w:w="1495" w:type="dxa"/>
            <w:tcBorders>
              <w:top w:val="single" w:sz="8" w:space="0" w:color="000000"/>
              <w:left w:val="single" w:sz="12" w:space="0" w:color="000000"/>
              <w:bottom w:val="single" w:sz="12" w:space="0" w:color="000000"/>
              <w:right w:val="single" w:sz="12" w:space="0" w:color="000000"/>
            </w:tcBorders>
          </w:tcPr>
          <w:p w14:paraId="098D50D2" w14:textId="6C14389F" w:rsidR="00B56D50" w:rsidRDefault="001C3C42" w:rsidP="007E729E">
            <w:pPr>
              <w:spacing w:after="0" w:line="259" w:lineRule="auto"/>
              <w:ind w:left="2" w:right="0" w:firstLine="0"/>
              <w:jc w:val="center"/>
            </w:pPr>
            <w:r>
              <w:rPr>
                <w:sz w:val="20"/>
              </w:rPr>
              <w:t>1-1 L Glass</w:t>
            </w:r>
          </w:p>
        </w:tc>
        <w:tc>
          <w:tcPr>
            <w:tcW w:w="2245" w:type="dxa"/>
            <w:tcBorders>
              <w:top w:val="single" w:sz="8" w:space="0" w:color="000000"/>
              <w:left w:val="single" w:sz="12" w:space="0" w:color="000000"/>
              <w:bottom w:val="single" w:sz="12" w:space="0" w:color="000000"/>
              <w:right w:val="single" w:sz="12" w:space="0" w:color="000000"/>
            </w:tcBorders>
          </w:tcPr>
          <w:p w14:paraId="0EA3E878" w14:textId="2B9FE6E3" w:rsidR="00B56D50" w:rsidRDefault="001C3C42" w:rsidP="007E729E">
            <w:pPr>
              <w:spacing w:after="0" w:line="259" w:lineRule="auto"/>
              <w:ind w:left="3" w:right="0" w:firstLine="0"/>
              <w:jc w:val="center"/>
            </w:pPr>
            <w:r>
              <w:rPr>
                <w:sz w:val="20"/>
              </w:rPr>
              <w:t>Ice (4</w:t>
            </w:r>
            <w:r>
              <w:rPr>
                <w:sz w:val="20"/>
                <w:vertAlign w:val="superscript"/>
              </w:rPr>
              <w:t>0</w:t>
            </w:r>
            <w:r>
              <w:rPr>
                <w:sz w:val="20"/>
              </w:rPr>
              <w:t>C)</w:t>
            </w:r>
          </w:p>
        </w:tc>
        <w:tc>
          <w:tcPr>
            <w:tcW w:w="1847" w:type="dxa"/>
            <w:tcBorders>
              <w:top w:val="single" w:sz="8" w:space="0" w:color="000000"/>
              <w:left w:val="single" w:sz="12" w:space="0" w:color="000000"/>
              <w:bottom w:val="single" w:sz="12" w:space="0" w:color="000000"/>
              <w:right w:val="single" w:sz="12" w:space="0" w:color="000000"/>
            </w:tcBorders>
          </w:tcPr>
          <w:p w14:paraId="411A0BFA" w14:textId="7E5C4940" w:rsidR="00B56D50" w:rsidRDefault="001C3C42">
            <w:pPr>
              <w:spacing w:after="0" w:line="259" w:lineRule="auto"/>
              <w:ind w:left="0" w:right="0" w:firstLine="0"/>
              <w:jc w:val="center"/>
            </w:pPr>
            <w:r>
              <w:rPr>
                <w:sz w:val="20"/>
              </w:rPr>
              <w:t>Extraction 7 days; 40 days to analysis</w:t>
            </w:r>
          </w:p>
        </w:tc>
      </w:tr>
      <w:tr w:rsidR="006153D2" w14:paraId="0A36C576" w14:textId="77777777" w:rsidTr="00E33BE7">
        <w:trPr>
          <w:trHeight w:val="302"/>
        </w:trPr>
        <w:tc>
          <w:tcPr>
            <w:tcW w:w="3769" w:type="dxa"/>
            <w:tcBorders>
              <w:top w:val="single" w:sz="12" w:space="0" w:color="000000"/>
              <w:left w:val="single" w:sz="12" w:space="0" w:color="000000"/>
              <w:bottom w:val="single" w:sz="12" w:space="0" w:color="000000"/>
              <w:right w:val="single" w:sz="12" w:space="0" w:color="000000"/>
            </w:tcBorders>
            <w:shd w:val="clear" w:color="auto" w:fill="C0C0C0"/>
          </w:tcPr>
          <w:p w14:paraId="7DCB3B80" w14:textId="67879CE2" w:rsidR="00B56D50" w:rsidRDefault="001C3C42">
            <w:pPr>
              <w:spacing w:after="0" w:line="259" w:lineRule="auto"/>
              <w:ind w:left="0" w:right="52" w:firstLine="0"/>
              <w:jc w:val="center"/>
            </w:pPr>
            <w:r>
              <w:rPr>
                <w:b/>
                <w:sz w:val="20"/>
              </w:rPr>
              <w:t>Petroleum Analysis</w:t>
            </w:r>
          </w:p>
        </w:tc>
        <w:tc>
          <w:tcPr>
            <w:tcW w:w="1684" w:type="dxa"/>
            <w:tcBorders>
              <w:top w:val="single" w:sz="12" w:space="0" w:color="000000"/>
              <w:left w:val="single" w:sz="12" w:space="0" w:color="000000"/>
              <w:bottom w:val="single" w:sz="12" w:space="0" w:color="000000"/>
              <w:right w:val="single" w:sz="12" w:space="0" w:color="000000"/>
            </w:tcBorders>
            <w:shd w:val="clear" w:color="auto" w:fill="C0C0C0"/>
            <w:vAlign w:val="center"/>
          </w:tcPr>
          <w:p w14:paraId="78B68785" w14:textId="3BFBFC36" w:rsidR="00B56D50" w:rsidRDefault="00B56D50" w:rsidP="007E729E">
            <w:pPr>
              <w:spacing w:after="0" w:line="259" w:lineRule="auto"/>
              <w:ind w:left="0" w:right="0" w:firstLine="0"/>
              <w:jc w:val="center"/>
            </w:pPr>
          </w:p>
        </w:tc>
        <w:tc>
          <w:tcPr>
            <w:tcW w:w="1465" w:type="dxa"/>
            <w:tcBorders>
              <w:top w:val="single" w:sz="12" w:space="0" w:color="000000"/>
              <w:left w:val="single" w:sz="12" w:space="0" w:color="000000"/>
              <w:bottom w:val="single" w:sz="12" w:space="0" w:color="000000"/>
              <w:right w:val="single" w:sz="12" w:space="0" w:color="000000"/>
            </w:tcBorders>
            <w:shd w:val="clear" w:color="auto" w:fill="C0C0C0"/>
            <w:vAlign w:val="center"/>
          </w:tcPr>
          <w:p w14:paraId="0D79FA6C" w14:textId="4D076AB9" w:rsidR="00B56D50" w:rsidRDefault="00B56D50" w:rsidP="007E729E">
            <w:pPr>
              <w:spacing w:after="0" w:line="259" w:lineRule="auto"/>
              <w:ind w:left="5" w:right="0" w:firstLine="0"/>
              <w:jc w:val="center"/>
            </w:pPr>
          </w:p>
        </w:tc>
        <w:tc>
          <w:tcPr>
            <w:tcW w:w="2276" w:type="dxa"/>
            <w:tcBorders>
              <w:top w:val="single" w:sz="12" w:space="0" w:color="000000"/>
              <w:left w:val="single" w:sz="12" w:space="0" w:color="000000"/>
              <w:bottom w:val="single" w:sz="12" w:space="0" w:color="000000"/>
              <w:right w:val="single" w:sz="12" w:space="0" w:color="000000"/>
            </w:tcBorders>
            <w:shd w:val="clear" w:color="auto" w:fill="C0C0C0"/>
            <w:vAlign w:val="center"/>
          </w:tcPr>
          <w:p w14:paraId="665B7DDB" w14:textId="0ADD0613" w:rsidR="00B56D50" w:rsidRDefault="00B56D50" w:rsidP="007E729E">
            <w:pPr>
              <w:spacing w:after="0" w:line="259" w:lineRule="auto"/>
              <w:ind w:left="4" w:right="0" w:firstLine="0"/>
              <w:jc w:val="center"/>
            </w:pPr>
          </w:p>
        </w:tc>
        <w:tc>
          <w:tcPr>
            <w:tcW w:w="1495" w:type="dxa"/>
            <w:tcBorders>
              <w:top w:val="single" w:sz="12" w:space="0" w:color="000000"/>
              <w:left w:val="single" w:sz="12" w:space="0" w:color="000000"/>
              <w:bottom w:val="single" w:sz="12" w:space="0" w:color="000000"/>
              <w:right w:val="single" w:sz="12" w:space="0" w:color="000000"/>
            </w:tcBorders>
            <w:shd w:val="clear" w:color="auto" w:fill="C0C0C0"/>
            <w:vAlign w:val="center"/>
          </w:tcPr>
          <w:p w14:paraId="7243EFE8" w14:textId="6EF97BF7" w:rsidR="00B56D50" w:rsidRDefault="00B56D50" w:rsidP="007E729E">
            <w:pPr>
              <w:spacing w:after="0" w:line="259" w:lineRule="auto"/>
              <w:ind w:left="2" w:right="0" w:firstLine="0"/>
              <w:jc w:val="center"/>
            </w:pPr>
          </w:p>
        </w:tc>
        <w:tc>
          <w:tcPr>
            <w:tcW w:w="2245" w:type="dxa"/>
            <w:tcBorders>
              <w:top w:val="single" w:sz="12" w:space="0" w:color="000000"/>
              <w:left w:val="single" w:sz="12" w:space="0" w:color="000000"/>
              <w:bottom w:val="single" w:sz="12" w:space="0" w:color="000000"/>
              <w:right w:val="single" w:sz="12" w:space="0" w:color="000000"/>
            </w:tcBorders>
            <w:shd w:val="clear" w:color="auto" w:fill="C0C0C0"/>
            <w:vAlign w:val="center"/>
          </w:tcPr>
          <w:p w14:paraId="33579B62" w14:textId="7415AFB5" w:rsidR="00B56D50" w:rsidRDefault="00B56D50" w:rsidP="007E729E">
            <w:pPr>
              <w:spacing w:after="0" w:line="259" w:lineRule="auto"/>
              <w:ind w:left="3" w:right="0" w:firstLine="0"/>
              <w:jc w:val="center"/>
            </w:pPr>
          </w:p>
        </w:tc>
        <w:tc>
          <w:tcPr>
            <w:tcW w:w="1847" w:type="dxa"/>
            <w:tcBorders>
              <w:top w:val="single" w:sz="12" w:space="0" w:color="000000"/>
              <w:left w:val="single" w:sz="12" w:space="0" w:color="000000"/>
              <w:bottom w:val="single" w:sz="12" w:space="0" w:color="000000"/>
              <w:right w:val="single" w:sz="12" w:space="0" w:color="000000"/>
            </w:tcBorders>
            <w:shd w:val="clear" w:color="auto" w:fill="C0C0C0"/>
            <w:vAlign w:val="center"/>
          </w:tcPr>
          <w:p w14:paraId="28456B6C" w14:textId="2575B44E" w:rsidR="00B56D50" w:rsidRDefault="00B56D50" w:rsidP="007E729E">
            <w:pPr>
              <w:spacing w:after="0" w:line="259" w:lineRule="auto"/>
              <w:ind w:left="6" w:right="0" w:firstLine="0"/>
              <w:jc w:val="center"/>
            </w:pPr>
          </w:p>
        </w:tc>
      </w:tr>
      <w:tr w:rsidR="00B56D50" w14:paraId="3CC66490" w14:textId="77777777" w:rsidTr="00E33BE7">
        <w:trPr>
          <w:trHeight w:val="20"/>
        </w:trPr>
        <w:tc>
          <w:tcPr>
            <w:tcW w:w="3769" w:type="dxa"/>
            <w:tcBorders>
              <w:top w:val="single" w:sz="12" w:space="0" w:color="000000"/>
              <w:left w:val="single" w:sz="12" w:space="0" w:color="000000"/>
              <w:bottom w:val="single" w:sz="7" w:space="0" w:color="000000"/>
              <w:right w:val="single" w:sz="12" w:space="0" w:color="000000"/>
            </w:tcBorders>
            <w:vAlign w:val="center"/>
          </w:tcPr>
          <w:p w14:paraId="7241EE52" w14:textId="776C2DAE" w:rsidR="00B56D50" w:rsidRDefault="001C3C42" w:rsidP="0075684A">
            <w:pPr>
              <w:spacing w:after="0" w:line="259" w:lineRule="auto"/>
              <w:ind w:left="0" w:right="0" w:firstLine="0"/>
            </w:pPr>
            <w:r>
              <w:rPr>
                <w:sz w:val="20"/>
              </w:rPr>
              <w:t>Gasoline (GRO)</w:t>
            </w:r>
          </w:p>
        </w:tc>
        <w:tc>
          <w:tcPr>
            <w:tcW w:w="1684" w:type="dxa"/>
            <w:tcBorders>
              <w:top w:val="single" w:sz="12" w:space="0" w:color="000000"/>
              <w:left w:val="single" w:sz="12" w:space="0" w:color="000000"/>
              <w:bottom w:val="single" w:sz="7" w:space="0" w:color="000000"/>
              <w:right w:val="single" w:sz="12" w:space="0" w:color="000000"/>
            </w:tcBorders>
            <w:vAlign w:val="center"/>
          </w:tcPr>
          <w:p w14:paraId="6660B14E" w14:textId="3B5BD671" w:rsidR="00B56D50" w:rsidRDefault="001C3C42" w:rsidP="007E729E">
            <w:pPr>
              <w:spacing w:after="0" w:line="259" w:lineRule="auto"/>
              <w:ind w:left="0" w:right="45" w:firstLine="0"/>
              <w:jc w:val="center"/>
            </w:pPr>
            <w:r>
              <w:rPr>
                <w:sz w:val="20"/>
              </w:rPr>
              <w:t>5035A</w:t>
            </w:r>
          </w:p>
        </w:tc>
        <w:tc>
          <w:tcPr>
            <w:tcW w:w="1465" w:type="dxa"/>
            <w:tcBorders>
              <w:top w:val="single" w:sz="12" w:space="0" w:color="000000"/>
              <w:left w:val="single" w:sz="12" w:space="0" w:color="000000"/>
              <w:bottom w:val="single" w:sz="7" w:space="0" w:color="000000"/>
              <w:right w:val="single" w:sz="12" w:space="0" w:color="000000"/>
            </w:tcBorders>
            <w:vAlign w:val="center"/>
          </w:tcPr>
          <w:p w14:paraId="267EDE5F" w14:textId="4D3E71E9" w:rsidR="00B56D50" w:rsidRDefault="001C3C42" w:rsidP="007E729E">
            <w:pPr>
              <w:spacing w:after="0" w:line="259" w:lineRule="auto"/>
              <w:ind w:left="0" w:right="44" w:firstLine="0"/>
              <w:jc w:val="center"/>
            </w:pPr>
            <w:r>
              <w:rPr>
                <w:sz w:val="20"/>
              </w:rPr>
              <w:t>5035A</w:t>
            </w:r>
          </w:p>
        </w:tc>
        <w:tc>
          <w:tcPr>
            <w:tcW w:w="2276" w:type="dxa"/>
            <w:tcBorders>
              <w:top w:val="single" w:sz="12" w:space="0" w:color="000000"/>
              <w:left w:val="single" w:sz="12" w:space="0" w:color="000000"/>
              <w:bottom w:val="single" w:sz="7" w:space="0" w:color="000000"/>
              <w:right w:val="single" w:sz="12" w:space="0" w:color="000000"/>
            </w:tcBorders>
            <w:vAlign w:val="center"/>
          </w:tcPr>
          <w:p w14:paraId="6C259E9A" w14:textId="6FA4CEB5" w:rsidR="00B56D50" w:rsidRDefault="001C3C42" w:rsidP="007E729E">
            <w:pPr>
              <w:spacing w:after="0" w:line="259" w:lineRule="auto"/>
              <w:ind w:left="0" w:right="46" w:firstLine="0"/>
              <w:jc w:val="center"/>
            </w:pPr>
            <w:r>
              <w:rPr>
                <w:sz w:val="20"/>
              </w:rPr>
              <w:t>5035A</w:t>
            </w:r>
          </w:p>
        </w:tc>
        <w:tc>
          <w:tcPr>
            <w:tcW w:w="1495" w:type="dxa"/>
            <w:tcBorders>
              <w:top w:val="single" w:sz="12" w:space="0" w:color="000000"/>
              <w:left w:val="single" w:sz="12" w:space="0" w:color="000000"/>
              <w:bottom w:val="single" w:sz="7" w:space="0" w:color="000000"/>
              <w:right w:val="single" w:sz="12" w:space="0" w:color="000000"/>
            </w:tcBorders>
            <w:vAlign w:val="center"/>
          </w:tcPr>
          <w:p w14:paraId="7A426DB5" w14:textId="209AF882" w:rsidR="00B56D50" w:rsidRDefault="001C3C42" w:rsidP="007E729E">
            <w:pPr>
              <w:spacing w:after="0" w:line="259" w:lineRule="auto"/>
              <w:ind w:left="56" w:right="0" w:firstLine="0"/>
              <w:jc w:val="center"/>
            </w:pPr>
            <w:r>
              <w:rPr>
                <w:sz w:val="20"/>
              </w:rPr>
              <w:t>3-40 glass vials</w:t>
            </w:r>
          </w:p>
        </w:tc>
        <w:tc>
          <w:tcPr>
            <w:tcW w:w="2245" w:type="dxa"/>
            <w:tcBorders>
              <w:top w:val="single" w:sz="12" w:space="0" w:color="000000"/>
              <w:left w:val="single" w:sz="12" w:space="0" w:color="000000"/>
              <w:bottom w:val="single" w:sz="7" w:space="0" w:color="000000"/>
              <w:right w:val="single" w:sz="12" w:space="0" w:color="000000"/>
            </w:tcBorders>
            <w:vAlign w:val="center"/>
          </w:tcPr>
          <w:p w14:paraId="6177AB05" w14:textId="743C455A" w:rsidR="00B56D50" w:rsidRDefault="001C3C42" w:rsidP="007E729E">
            <w:pPr>
              <w:spacing w:after="0" w:line="259" w:lineRule="auto"/>
              <w:ind w:left="0" w:right="48" w:firstLine="0"/>
              <w:jc w:val="center"/>
            </w:pPr>
            <w:r>
              <w:rPr>
                <w:sz w:val="20"/>
              </w:rPr>
              <w:t>Ice (4</w:t>
            </w:r>
            <w:r>
              <w:rPr>
                <w:sz w:val="20"/>
                <w:vertAlign w:val="superscript"/>
              </w:rPr>
              <w:t>0</w:t>
            </w:r>
            <w:r w:rsidR="006E75AF">
              <w:rPr>
                <w:sz w:val="20"/>
              </w:rPr>
              <w:t>C) +</w:t>
            </w:r>
            <w:r>
              <w:rPr>
                <w:sz w:val="20"/>
              </w:rPr>
              <w:t>2 drops HCL</w:t>
            </w:r>
          </w:p>
        </w:tc>
        <w:tc>
          <w:tcPr>
            <w:tcW w:w="1847" w:type="dxa"/>
            <w:tcBorders>
              <w:top w:val="single" w:sz="12" w:space="0" w:color="000000"/>
              <w:left w:val="single" w:sz="12" w:space="0" w:color="000000"/>
              <w:bottom w:val="single" w:sz="7" w:space="0" w:color="000000"/>
              <w:right w:val="single" w:sz="12" w:space="0" w:color="000000"/>
            </w:tcBorders>
            <w:vAlign w:val="center"/>
          </w:tcPr>
          <w:p w14:paraId="69069671" w14:textId="1D08CB16" w:rsidR="00B56D50" w:rsidRDefault="001C3C42" w:rsidP="007E729E">
            <w:pPr>
              <w:spacing w:after="0" w:line="259" w:lineRule="auto"/>
              <w:ind w:left="0" w:right="44" w:firstLine="0"/>
              <w:jc w:val="center"/>
            </w:pPr>
            <w:r>
              <w:rPr>
                <w:sz w:val="20"/>
              </w:rPr>
              <w:t>14 days</w:t>
            </w:r>
          </w:p>
        </w:tc>
      </w:tr>
      <w:tr w:rsidR="00B56D50" w14:paraId="0E6B3EAD" w14:textId="77777777" w:rsidTr="00E33BE7">
        <w:trPr>
          <w:trHeight w:val="20"/>
        </w:trPr>
        <w:tc>
          <w:tcPr>
            <w:tcW w:w="3769" w:type="dxa"/>
            <w:tcBorders>
              <w:top w:val="single" w:sz="7" w:space="0" w:color="000000"/>
              <w:left w:val="single" w:sz="12" w:space="0" w:color="000000"/>
              <w:bottom w:val="single" w:sz="7" w:space="0" w:color="000000"/>
              <w:right w:val="single" w:sz="12" w:space="0" w:color="000000"/>
            </w:tcBorders>
            <w:vAlign w:val="center"/>
          </w:tcPr>
          <w:p w14:paraId="220CB74A" w14:textId="337B4022" w:rsidR="00B56D50" w:rsidRDefault="001C3C42" w:rsidP="0075684A">
            <w:pPr>
              <w:spacing w:after="0" w:line="259" w:lineRule="auto"/>
              <w:ind w:left="0" w:right="0" w:firstLine="0"/>
            </w:pPr>
            <w:r>
              <w:rPr>
                <w:sz w:val="20"/>
              </w:rPr>
              <w:t>Diesel (DRO)</w:t>
            </w:r>
          </w:p>
        </w:tc>
        <w:tc>
          <w:tcPr>
            <w:tcW w:w="1684" w:type="dxa"/>
            <w:tcBorders>
              <w:top w:val="single" w:sz="7" w:space="0" w:color="000000"/>
              <w:left w:val="single" w:sz="12" w:space="0" w:color="000000"/>
              <w:bottom w:val="single" w:sz="7" w:space="0" w:color="000000"/>
              <w:right w:val="single" w:sz="12" w:space="0" w:color="000000"/>
            </w:tcBorders>
            <w:vAlign w:val="center"/>
          </w:tcPr>
          <w:p w14:paraId="5CE05697" w14:textId="48D6DF53" w:rsidR="00B56D50" w:rsidRDefault="001C3C42" w:rsidP="007E729E">
            <w:pPr>
              <w:spacing w:after="0" w:line="259" w:lineRule="auto"/>
              <w:ind w:left="0" w:right="52" w:firstLine="0"/>
              <w:jc w:val="center"/>
            </w:pPr>
            <w:r>
              <w:rPr>
                <w:sz w:val="20"/>
              </w:rPr>
              <w:t>500 mL Glass</w:t>
            </w:r>
          </w:p>
        </w:tc>
        <w:tc>
          <w:tcPr>
            <w:tcW w:w="1465" w:type="dxa"/>
            <w:tcBorders>
              <w:top w:val="single" w:sz="7" w:space="0" w:color="000000"/>
              <w:left w:val="single" w:sz="12" w:space="0" w:color="000000"/>
              <w:bottom w:val="single" w:sz="7" w:space="0" w:color="000000"/>
              <w:right w:val="single" w:sz="12" w:space="0" w:color="000000"/>
            </w:tcBorders>
            <w:vAlign w:val="center"/>
          </w:tcPr>
          <w:p w14:paraId="2566CE5A" w14:textId="76423E3A" w:rsidR="00B56D50" w:rsidRDefault="001C3C42" w:rsidP="007E729E">
            <w:pPr>
              <w:spacing w:after="0" w:line="259" w:lineRule="auto"/>
              <w:ind w:left="0" w:right="42" w:firstLine="0"/>
              <w:jc w:val="center"/>
            </w:pPr>
            <w:r>
              <w:rPr>
                <w:sz w:val="20"/>
              </w:rPr>
              <w:t>Ice (4</w:t>
            </w:r>
            <w:r>
              <w:rPr>
                <w:sz w:val="20"/>
                <w:vertAlign w:val="superscript"/>
              </w:rPr>
              <w:t>0</w:t>
            </w:r>
            <w:r>
              <w:rPr>
                <w:sz w:val="20"/>
              </w:rPr>
              <w:t>C)</w:t>
            </w:r>
          </w:p>
        </w:tc>
        <w:tc>
          <w:tcPr>
            <w:tcW w:w="2276" w:type="dxa"/>
            <w:tcBorders>
              <w:top w:val="single" w:sz="7" w:space="0" w:color="000000"/>
              <w:left w:val="single" w:sz="12" w:space="0" w:color="000000"/>
              <w:bottom w:val="single" w:sz="7" w:space="0" w:color="000000"/>
              <w:right w:val="single" w:sz="12" w:space="0" w:color="000000"/>
            </w:tcBorders>
            <w:vAlign w:val="center"/>
          </w:tcPr>
          <w:p w14:paraId="740710F5" w14:textId="665A376C" w:rsidR="00B56D50" w:rsidRDefault="001C3C42" w:rsidP="007E729E">
            <w:pPr>
              <w:spacing w:after="0" w:line="259" w:lineRule="auto"/>
              <w:ind w:left="0" w:right="0" w:firstLine="0"/>
              <w:jc w:val="center"/>
            </w:pPr>
            <w:r>
              <w:rPr>
                <w:sz w:val="20"/>
              </w:rPr>
              <w:t>Extraction 14 days; 40 days to analysis</w:t>
            </w:r>
          </w:p>
        </w:tc>
        <w:tc>
          <w:tcPr>
            <w:tcW w:w="1495" w:type="dxa"/>
            <w:tcBorders>
              <w:top w:val="single" w:sz="7" w:space="0" w:color="000000"/>
              <w:left w:val="single" w:sz="12" w:space="0" w:color="000000"/>
              <w:bottom w:val="single" w:sz="7" w:space="0" w:color="000000"/>
              <w:right w:val="single" w:sz="12" w:space="0" w:color="000000"/>
            </w:tcBorders>
            <w:vAlign w:val="center"/>
          </w:tcPr>
          <w:p w14:paraId="4E228508" w14:textId="2E0D09EB" w:rsidR="00B56D50" w:rsidRDefault="001C3C42" w:rsidP="007E729E">
            <w:pPr>
              <w:spacing w:after="0" w:line="259" w:lineRule="auto"/>
              <w:ind w:left="0" w:right="48" w:firstLine="0"/>
              <w:jc w:val="center"/>
            </w:pPr>
            <w:r>
              <w:rPr>
                <w:sz w:val="20"/>
              </w:rPr>
              <w:t>1-1 L Glass</w:t>
            </w:r>
          </w:p>
        </w:tc>
        <w:tc>
          <w:tcPr>
            <w:tcW w:w="2245" w:type="dxa"/>
            <w:tcBorders>
              <w:top w:val="single" w:sz="7" w:space="0" w:color="000000"/>
              <w:left w:val="single" w:sz="12" w:space="0" w:color="000000"/>
              <w:bottom w:val="single" w:sz="7" w:space="0" w:color="000000"/>
              <w:right w:val="single" w:sz="12" w:space="0" w:color="000000"/>
            </w:tcBorders>
            <w:vAlign w:val="center"/>
          </w:tcPr>
          <w:p w14:paraId="1D5671D4" w14:textId="4542547D" w:rsidR="00B56D50" w:rsidRDefault="001C3C42" w:rsidP="007E729E">
            <w:pPr>
              <w:spacing w:after="0" w:line="259" w:lineRule="auto"/>
              <w:ind w:left="0" w:right="46" w:firstLine="0"/>
              <w:jc w:val="center"/>
            </w:pPr>
            <w:r>
              <w:rPr>
                <w:sz w:val="20"/>
              </w:rPr>
              <w:t>Ice (4</w:t>
            </w:r>
            <w:r>
              <w:rPr>
                <w:sz w:val="20"/>
                <w:vertAlign w:val="superscript"/>
              </w:rPr>
              <w:t>0</w:t>
            </w:r>
            <w:r>
              <w:rPr>
                <w:sz w:val="20"/>
              </w:rPr>
              <w:t>C)</w:t>
            </w:r>
          </w:p>
        </w:tc>
        <w:tc>
          <w:tcPr>
            <w:tcW w:w="1847" w:type="dxa"/>
            <w:tcBorders>
              <w:top w:val="single" w:sz="7" w:space="0" w:color="000000"/>
              <w:left w:val="single" w:sz="12" w:space="0" w:color="000000"/>
              <w:bottom w:val="single" w:sz="7" w:space="0" w:color="000000"/>
              <w:right w:val="single" w:sz="12" w:space="0" w:color="000000"/>
            </w:tcBorders>
            <w:vAlign w:val="center"/>
          </w:tcPr>
          <w:p w14:paraId="40120589" w14:textId="11DAB4AE" w:rsidR="00B56D50" w:rsidRDefault="001C3C42" w:rsidP="007E729E">
            <w:pPr>
              <w:spacing w:after="0" w:line="240" w:lineRule="auto"/>
              <w:ind w:left="0" w:right="0" w:firstLine="0"/>
              <w:jc w:val="center"/>
            </w:pPr>
            <w:r>
              <w:rPr>
                <w:sz w:val="20"/>
              </w:rPr>
              <w:t>Extraction 7 days; 40 days to analysis</w:t>
            </w:r>
          </w:p>
        </w:tc>
      </w:tr>
      <w:tr w:rsidR="00B56D50" w14:paraId="39082F51" w14:textId="77777777" w:rsidTr="00716CA0">
        <w:trPr>
          <w:trHeight w:val="619"/>
        </w:trPr>
        <w:tc>
          <w:tcPr>
            <w:tcW w:w="3769" w:type="dxa"/>
            <w:tcBorders>
              <w:top w:val="single" w:sz="7" w:space="0" w:color="000000"/>
              <w:left w:val="single" w:sz="12" w:space="0" w:color="000000"/>
              <w:bottom w:val="single" w:sz="12" w:space="0" w:color="000000"/>
              <w:right w:val="single" w:sz="12" w:space="0" w:color="000000"/>
            </w:tcBorders>
            <w:vAlign w:val="center"/>
          </w:tcPr>
          <w:p w14:paraId="43502786" w14:textId="53785E0D" w:rsidR="00B56D50" w:rsidRDefault="001C3C42" w:rsidP="0075684A">
            <w:pPr>
              <w:spacing w:after="0" w:line="259" w:lineRule="auto"/>
              <w:ind w:left="0" w:right="0" w:firstLine="0"/>
            </w:pPr>
            <w:r>
              <w:rPr>
                <w:sz w:val="20"/>
              </w:rPr>
              <w:t>Oil</w:t>
            </w:r>
          </w:p>
        </w:tc>
        <w:tc>
          <w:tcPr>
            <w:tcW w:w="1684" w:type="dxa"/>
            <w:tcBorders>
              <w:top w:val="single" w:sz="7" w:space="0" w:color="000000"/>
              <w:left w:val="single" w:sz="12" w:space="0" w:color="000000"/>
              <w:bottom w:val="single" w:sz="12" w:space="0" w:color="000000"/>
              <w:right w:val="single" w:sz="12" w:space="0" w:color="000000"/>
            </w:tcBorders>
            <w:vAlign w:val="center"/>
          </w:tcPr>
          <w:p w14:paraId="75090DC1" w14:textId="4E79E5FE" w:rsidR="00B56D50" w:rsidRDefault="001C3C42" w:rsidP="0075684A">
            <w:pPr>
              <w:spacing w:after="0" w:line="259" w:lineRule="auto"/>
              <w:ind w:left="0" w:right="0" w:firstLine="0"/>
              <w:jc w:val="center"/>
            </w:pPr>
            <w:r>
              <w:rPr>
                <w:sz w:val="20"/>
              </w:rPr>
              <w:t>500 mL Glass</w:t>
            </w:r>
          </w:p>
        </w:tc>
        <w:tc>
          <w:tcPr>
            <w:tcW w:w="1465" w:type="dxa"/>
            <w:tcBorders>
              <w:top w:val="single" w:sz="7" w:space="0" w:color="000000"/>
              <w:left w:val="single" w:sz="12" w:space="0" w:color="000000"/>
              <w:bottom w:val="single" w:sz="12" w:space="0" w:color="000000"/>
              <w:right w:val="single" w:sz="12" w:space="0" w:color="000000"/>
            </w:tcBorders>
            <w:vAlign w:val="center"/>
          </w:tcPr>
          <w:p w14:paraId="7761894A" w14:textId="3579114C" w:rsidR="00B56D50" w:rsidRDefault="001C3C42" w:rsidP="007E729E">
            <w:pPr>
              <w:spacing w:after="0" w:line="259" w:lineRule="auto"/>
              <w:ind w:left="0" w:right="42" w:firstLine="0"/>
              <w:jc w:val="center"/>
            </w:pPr>
            <w:r>
              <w:rPr>
                <w:sz w:val="20"/>
              </w:rPr>
              <w:t>Ice (4</w:t>
            </w:r>
            <w:r>
              <w:rPr>
                <w:sz w:val="20"/>
                <w:vertAlign w:val="superscript"/>
              </w:rPr>
              <w:t>0</w:t>
            </w:r>
            <w:r>
              <w:rPr>
                <w:sz w:val="20"/>
              </w:rPr>
              <w:t>C)</w:t>
            </w:r>
          </w:p>
        </w:tc>
        <w:tc>
          <w:tcPr>
            <w:tcW w:w="2276" w:type="dxa"/>
            <w:tcBorders>
              <w:top w:val="single" w:sz="7" w:space="0" w:color="000000"/>
              <w:left w:val="single" w:sz="12" w:space="0" w:color="000000"/>
              <w:bottom w:val="single" w:sz="12" w:space="0" w:color="000000"/>
              <w:right w:val="single" w:sz="12" w:space="0" w:color="000000"/>
            </w:tcBorders>
            <w:vAlign w:val="center"/>
          </w:tcPr>
          <w:p w14:paraId="73DCD68A" w14:textId="00996A27" w:rsidR="00B56D50" w:rsidRDefault="001C3C42" w:rsidP="007E729E">
            <w:pPr>
              <w:spacing w:after="0" w:line="259" w:lineRule="auto"/>
              <w:ind w:left="0" w:right="0" w:firstLine="0"/>
              <w:jc w:val="center"/>
            </w:pPr>
            <w:r>
              <w:rPr>
                <w:sz w:val="20"/>
              </w:rPr>
              <w:t>Extraction 14 days; 40 days to analysis</w:t>
            </w:r>
          </w:p>
        </w:tc>
        <w:tc>
          <w:tcPr>
            <w:tcW w:w="1495" w:type="dxa"/>
            <w:tcBorders>
              <w:top w:val="single" w:sz="7" w:space="0" w:color="000000"/>
              <w:left w:val="single" w:sz="12" w:space="0" w:color="000000"/>
              <w:bottom w:val="single" w:sz="12" w:space="0" w:color="000000"/>
              <w:right w:val="single" w:sz="12" w:space="0" w:color="000000"/>
            </w:tcBorders>
            <w:vAlign w:val="center"/>
          </w:tcPr>
          <w:p w14:paraId="7A1F534E" w14:textId="188A0FF8" w:rsidR="00B56D50" w:rsidRDefault="001C3C42" w:rsidP="007E729E">
            <w:pPr>
              <w:spacing w:after="0" w:line="259" w:lineRule="auto"/>
              <w:ind w:left="0" w:right="48" w:firstLine="0"/>
              <w:jc w:val="center"/>
            </w:pPr>
            <w:r>
              <w:rPr>
                <w:sz w:val="20"/>
              </w:rPr>
              <w:t>1-1 L Glass</w:t>
            </w:r>
          </w:p>
        </w:tc>
        <w:tc>
          <w:tcPr>
            <w:tcW w:w="2245" w:type="dxa"/>
            <w:tcBorders>
              <w:top w:val="single" w:sz="7" w:space="0" w:color="000000"/>
              <w:left w:val="single" w:sz="12" w:space="0" w:color="000000"/>
              <w:bottom w:val="single" w:sz="12" w:space="0" w:color="000000"/>
              <w:right w:val="single" w:sz="12" w:space="0" w:color="000000"/>
            </w:tcBorders>
            <w:vAlign w:val="center"/>
          </w:tcPr>
          <w:p w14:paraId="1ECBDC30" w14:textId="0393609C" w:rsidR="00B56D50" w:rsidRDefault="001C3C42" w:rsidP="007E729E">
            <w:pPr>
              <w:spacing w:after="0" w:line="259" w:lineRule="auto"/>
              <w:ind w:left="0" w:right="46" w:firstLine="0"/>
              <w:jc w:val="center"/>
            </w:pPr>
            <w:r>
              <w:rPr>
                <w:sz w:val="20"/>
              </w:rPr>
              <w:t>Ice (4</w:t>
            </w:r>
            <w:r>
              <w:rPr>
                <w:sz w:val="20"/>
                <w:vertAlign w:val="superscript"/>
              </w:rPr>
              <w:t>0</w:t>
            </w:r>
            <w:r>
              <w:rPr>
                <w:sz w:val="20"/>
              </w:rPr>
              <w:t>C)</w:t>
            </w:r>
          </w:p>
        </w:tc>
        <w:tc>
          <w:tcPr>
            <w:tcW w:w="1847" w:type="dxa"/>
            <w:tcBorders>
              <w:top w:val="single" w:sz="7" w:space="0" w:color="000000"/>
              <w:left w:val="single" w:sz="12" w:space="0" w:color="000000"/>
              <w:bottom w:val="single" w:sz="12" w:space="0" w:color="000000"/>
              <w:right w:val="single" w:sz="12" w:space="0" w:color="000000"/>
            </w:tcBorders>
            <w:vAlign w:val="center"/>
          </w:tcPr>
          <w:p w14:paraId="0DCAD2DD" w14:textId="47EDF289" w:rsidR="00B56D50" w:rsidRDefault="001C3C42" w:rsidP="007E729E">
            <w:pPr>
              <w:spacing w:after="0" w:line="259" w:lineRule="auto"/>
              <w:ind w:left="0" w:right="0" w:firstLine="0"/>
              <w:jc w:val="center"/>
            </w:pPr>
            <w:r>
              <w:rPr>
                <w:sz w:val="20"/>
              </w:rPr>
              <w:t>Extraction 7 days; 40 days to analysis</w:t>
            </w:r>
          </w:p>
        </w:tc>
      </w:tr>
    </w:tbl>
    <w:p w14:paraId="65668925" w14:textId="5C653EE3" w:rsidR="00B56D50" w:rsidRDefault="00B56D50" w:rsidP="007E729E">
      <w:pPr>
        <w:ind w:left="-720"/>
        <w:rPr>
          <w:rStyle w:val="CommentReference"/>
        </w:rPr>
      </w:pPr>
    </w:p>
    <w:p w14:paraId="332A8071" w14:textId="1B804733" w:rsidR="0011457F" w:rsidRPr="007E729E" w:rsidRDefault="0011457F" w:rsidP="007E729E">
      <w:pPr>
        <w:ind w:left="-720"/>
        <w:rPr>
          <w:rStyle w:val="CommentReference"/>
          <w:sz w:val="22"/>
          <w:szCs w:val="22"/>
        </w:rPr>
      </w:pPr>
    </w:p>
    <w:p w14:paraId="233832AA" w14:textId="77777777" w:rsidR="0011457F" w:rsidRPr="007E729E" w:rsidRDefault="0011457F" w:rsidP="007E729E">
      <w:pPr>
        <w:ind w:left="-720"/>
        <w:rPr>
          <w:rStyle w:val="CommentReference"/>
          <w:sz w:val="22"/>
          <w:szCs w:val="22"/>
        </w:rPr>
      </w:pPr>
    </w:p>
    <w:p w14:paraId="39F7CD1A" w14:textId="0B7CAD7B" w:rsidR="007E729E" w:rsidRPr="007E729E" w:rsidRDefault="007E729E" w:rsidP="007E729E">
      <w:pPr>
        <w:ind w:left="-720"/>
        <w:rPr>
          <w:rStyle w:val="CommentReference"/>
          <w:sz w:val="22"/>
          <w:szCs w:val="22"/>
        </w:rPr>
      </w:pPr>
    </w:p>
    <w:p w14:paraId="52B5F49A" w14:textId="77777777" w:rsidR="001252C5" w:rsidRPr="007E729E" w:rsidRDefault="001252C5" w:rsidP="007E729E">
      <w:pPr>
        <w:ind w:left="-720"/>
        <w:rPr>
          <w:rStyle w:val="CommentReference"/>
          <w:sz w:val="22"/>
          <w:szCs w:val="22"/>
        </w:rPr>
      </w:pPr>
    </w:p>
    <w:p w14:paraId="49180F04" w14:textId="6FAC273E" w:rsidR="007E729E" w:rsidRPr="007E729E" w:rsidRDefault="007E729E" w:rsidP="007E729E">
      <w:pPr>
        <w:ind w:left="-720"/>
        <w:rPr>
          <w:rStyle w:val="CommentReference"/>
          <w:sz w:val="22"/>
          <w:szCs w:val="22"/>
        </w:rPr>
      </w:pPr>
    </w:p>
    <w:p w14:paraId="3A6A5F9F" w14:textId="4850D7AC" w:rsidR="007E729E" w:rsidRPr="007E729E" w:rsidRDefault="007E729E" w:rsidP="007E729E">
      <w:pPr>
        <w:ind w:left="-720"/>
        <w:rPr>
          <w:rStyle w:val="CommentReference"/>
          <w:sz w:val="22"/>
          <w:szCs w:val="22"/>
        </w:rPr>
      </w:pPr>
    </w:p>
    <w:p w14:paraId="606EBCAC" w14:textId="77777777" w:rsidR="007E729E" w:rsidRDefault="007E729E" w:rsidP="007E729E">
      <w:pPr>
        <w:ind w:left="-720" w:firstLine="0"/>
        <w:rPr>
          <w:rStyle w:val="CommentReference"/>
        </w:rPr>
      </w:pPr>
    </w:p>
    <w:p w14:paraId="6D4AA611" w14:textId="3FBD55C6" w:rsidR="007D753C" w:rsidRPr="009B394E" w:rsidRDefault="00384BB7" w:rsidP="002836D9">
      <w:pPr>
        <w:pStyle w:val="Heading3"/>
        <w:tabs>
          <w:tab w:val="center" w:pos="720"/>
          <w:tab w:val="center" w:pos="1440"/>
          <w:tab w:val="center" w:pos="2160"/>
          <w:tab w:val="center" w:pos="2880"/>
          <w:tab w:val="center" w:pos="3600"/>
          <w:tab w:val="center" w:pos="4321"/>
          <w:tab w:val="center" w:pos="5041"/>
          <w:tab w:val="center" w:pos="6785"/>
        </w:tabs>
        <w:spacing w:after="10" w:line="249" w:lineRule="auto"/>
        <w:ind w:left="0" w:firstLine="0"/>
      </w:pPr>
      <w:bookmarkStart w:id="14" w:name="_Hlk208384619"/>
      <w:r w:rsidRPr="00461480">
        <w:lastRenderedPageBreak/>
        <w:t>Table 1</w:t>
      </w:r>
      <w:r w:rsidRPr="00E875ED">
        <w:t xml:space="preserve"> – Continued</w:t>
      </w:r>
    </w:p>
    <w:bookmarkEnd w:id="14"/>
    <w:p w14:paraId="63D1BE21" w14:textId="77777777" w:rsidR="007D753C" w:rsidRPr="009B394E" w:rsidRDefault="007D753C" w:rsidP="007D753C">
      <w:pPr>
        <w:spacing w:after="0"/>
        <w:ind w:left="14" w:hanging="14"/>
        <w:rPr>
          <w:sz w:val="18"/>
          <w:szCs w:val="18"/>
        </w:rPr>
      </w:pPr>
    </w:p>
    <w:tbl>
      <w:tblPr>
        <w:tblStyle w:val="TableGrid1"/>
        <w:tblW w:w="14781" w:type="dxa"/>
        <w:tblInd w:w="-731" w:type="dxa"/>
        <w:tblCellMar>
          <w:left w:w="68" w:type="dxa"/>
          <w:right w:w="23" w:type="dxa"/>
        </w:tblCellMar>
        <w:tblLook w:val="04A0" w:firstRow="1" w:lastRow="0" w:firstColumn="1" w:lastColumn="0" w:noHBand="0" w:noVBand="1"/>
      </w:tblPr>
      <w:tblGrid>
        <w:gridCol w:w="3769"/>
        <w:gridCol w:w="1684"/>
        <w:gridCol w:w="1465"/>
        <w:gridCol w:w="2276"/>
        <w:gridCol w:w="1495"/>
        <w:gridCol w:w="2245"/>
        <w:gridCol w:w="1847"/>
      </w:tblGrid>
      <w:tr w:rsidR="007D753C" w14:paraId="65E020AF" w14:textId="77777777" w:rsidTr="007D753C">
        <w:trPr>
          <w:trHeight w:val="302"/>
        </w:trPr>
        <w:tc>
          <w:tcPr>
            <w:tcW w:w="3769" w:type="dxa"/>
            <w:vMerge w:val="restart"/>
            <w:tcBorders>
              <w:top w:val="single" w:sz="12" w:space="0" w:color="000000"/>
              <w:left w:val="single" w:sz="12" w:space="0" w:color="000000"/>
              <w:bottom w:val="single" w:sz="12" w:space="0" w:color="000000"/>
              <w:right w:val="single" w:sz="12" w:space="0" w:color="000000"/>
            </w:tcBorders>
            <w:vAlign w:val="center"/>
          </w:tcPr>
          <w:p w14:paraId="0077DDD2" w14:textId="77777777" w:rsidR="007D753C" w:rsidRPr="0012535F" w:rsidRDefault="007D753C" w:rsidP="008423CD">
            <w:pPr>
              <w:spacing w:after="0" w:line="259" w:lineRule="auto"/>
              <w:ind w:left="0" w:right="51" w:firstLine="0"/>
              <w:jc w:val="center"/>
              <w:rPr>
                <w:sz w:val="18"/>
                <w:szCs w:val="18"/>
              </w:rPr>
            </w:pPr>
            <w:r w:rsidRPr="0012535F">
              <w:rPr>
                <w:b/>
                <w:sz w:val="18"/>
                <w:szCs w:val="18"/>
              </w:rPr>
              <w:t>ANALYTES</w:t>
            </w:r>
          </w:p>
        </w:tc>
        <w:tc>
          <w:tcPr>
            <w:tcW w:w="5425" w:type="dxa"/>
            <w:gridSpan w:val="3"/>
            <w:tcBorders>
              <w:top w:val="single" w:sz="12" w:space="0" w:color="000000"/>
              <w:left w:val="single" w:sz="12" w:space="0" w:color="000000"/>
              <w:bottom w:val="single" w:sz="12" w:space="0" w:color="000000"/>
              <w:right w:val="single" w:sz="12" w:space="0" w:color="000000"/>
            </w:tcBorders>
            <w:vAlign w:val="center"/>
          </w:tcPr>
          <w:p w14:paraId="11856F00" w14:textId="77777777" w:rsidR="007D753C" w:rsidRPr="0012535F" w:rsidRDefault="007D753C" w:rsidP="008423CD">
            <w:pPr>
              <w:spacing w:after="0" w:line="259" w:lineRule="auto"/>
              <w:ind w:left="0" w:right="48" w:firstLine="0"/>
              <w:jc w:val="center"/>
              <w:rPr>
                <w:sz w:val="18"/>
                <w:szCs w:val="18"/>
              </w:rPr>
            </w:pPr>
            <w:r w:rsidRPr="0012535F">
              <w:rPr>
                <w:b/>
                <w:sz w:val="18"/>
                <w:szCs w:val="18"/>
              </w:rPr>
              <w:t>SOILS, SEDIMENTS, WASTES</w:t>
            </w:r>
          </w:p>
        </w:tc>
        <w:tc>
          <w:tcPr>
            <w:tcW w:w="5587" w:type="dxa"/>
            <w:gridSpan w:val="3"/>
            <w:tcBorders>
              <w:top w:val="single" w:sz="12" w:space="0" w:color="000000"/>
              <w:left w:val="single" w:sz="12" w:space="0" w:color="000000"/>
              <w:bottom w:val="single" w:sz="12" w:space="0" w:color="000000"/>
              <w:right w:val="single" w:sz="12" w:space="0" w:color="000000"/>
            </w:tcBorders>
            <w:vAlign w:val="center"/>
          </w:tcPr>
          <w:p w14:paraId="46FFFED6" w14:textId="77777777" w:rsidR="007D753C" w:rsidRPr="0012535F" w:rsidRDefault="007D753C" w:rsidP="008423CD">
            <w:pPr>
              <w:spacing w:after="0" w:line="259" w:lineRule="auto"/>
              <w:ind w:left="0" w:right="45" w:firstLine="0"/>
              <w:jc w:val="center"/>
              <w:rPr>
                <w:sz w:val="18"/>
                <w:szCs w:val="18"/>
              </w:rPr>
            </w:pPr>
            <w:r w:rsidRPr="0012535F">
              <w:rPr>
                <w:b/>
                <w:sz w:val="18"/>
                <w:szCs w:val="18"/>
              </w:rPr>
              <w:t>AQUEOUS SAMPLES</w:t>
            </w:r>
          </w:p>
        </w:tc>
      </w:tr>
      <w:tr w:rsidR="007D753C" w14:paraId="199CB977" w14:textId="77777777" w:rsidTr="008423CD">
        <w:trPr>
          <w:trHeight w:val="389"/>
        </w:trPr>
        <w:tc>
          <w:tcPr>
            <w:tcW w:w="0" w:type="auto"/>
            <w:vMerge/>
            <w:tcBorders>
              <w:top w:val="nil"/>
              <w:left w:val="single" w:sz="12" w:space="0" w:color="000000"/>
              <w:bottom w:val="single" w:sz="12" w:space="0" w:color="000000"/>
              <w:right w:val="single" w:sz="12" w:space="0" w:color="000000"/>
            </w:tcBorders>
            <w:vAlign w:val="center"/>
          </w:tcPr>
          <w:p w14:paraId="6252BFED" w14:textId="77777777" w:rsidR="007D753C" w:rsidRPr="00D67AD0" w:rsidRDefault="007D753C" w:rsidP="008423CD">
            <w:pPr>
              <w:spacing w:after="160" w:line="259" w:lineRule="auto"/>
              <w:ind w:left="0" w:right="0" w:firstLine="0"/>
              <w:jc w:val="center"/>
              <w:rPr>
                <w:sz w:val="18"/>
                <w:szCs w:val="18"/>
              </w:rPr>
            </w:pPr>
          </w:p>
        </w:tc>
        <w:tc>
          <w:tcPr>
            <w:tcW w:w="1684" w:type="dxa"/>
            <w:tcBorders>
              <w:top w:val="single" w:sz="12" w:space="0" w:color="000000"/>
              <w:left w:val="single" w:sz="12" w:space="0" w:color="000000"/>
              <w:bottom w:val="single" w:sz="12" w:space="0" w:color="000000"/>
              <w:right w:val="single" w:sz="12" w:space="0" w:color="000000"/>
            </w:tcBorders>
            <w:vAlign w:val="center"/>
          </w:tcPr>
          <w:p w14:paraId="1B99C596" w14:textId="77777777" w:rsidR="007D753C" w:rsidRPr="00D67AD0" w:rsidRDefault="007D753C" w:rsidP="008423CD">
            <w:pPr>
              <w:spacing w:after="0" w:line="259" w:lineRule="auto"/>
              <w:ind w:left="0" w:right="51" w:firstLine="0"/>
              <w:jc w:val="center"/>
              <w:rPr>
                <w:sz w:val="18"/>
                <w:szCs w:val="18"/>
              </w:rPr>
            </w:pPr>
            <w:r w:rsidRPr="00D67AD0">
              <w:rPr>
                <w:b/>
                <w:sz w:val="18"/>
                <w:szCs w:val="18"/>
              </w:rPr>
              <w:t>Containers</w:t>
            </w:r>
          </w:p>
        </w:tc>
        <w:tc>
          <w:tcPr>
            <w:tcW w:w="1465" w:type="dxa"/>
            <w:tcBorders>
              <w:top w:val="single" w:sz="12" w:space="0" w:color="000000"/>
              <w:left w:val="single" w:sz="12" w:space="0" w:color="000000"/>
              <w:bottom w:val="single" w:sz="12" w:space="0" w:color="000000"/>
              <w:right w:val="single" w:sz="12" w:space="0" w:color="000000"/>
            </w:tcBorders>
            <w:vAlign w:val="center"/>
          </w:tcPr>
          <w:p w14:paraId="753DC0D7" w14:textId="77777777" w:rsidR="007D753C" w:rsidRPr="00D67AD0" w:rsidRDefault="007D753C" w:rsidP="008423CD">
            <w:pPr>
              <w:spacing w:after="0" w:line="259" w:lineRule="auto"/>
              <w:ind w:left="91" w:right="0" w:firstLine="0"/>
              <w:jc w:val="center"/>
              <w:rPr>
                <w:sz w:val="18"/>
                <w:szCs w:val="18"/>
              </w:rPr>
            </w:pPr>
            <w:r w:rsidRPr="00D67AD0">
              <w:rPr>
                <w:b/>
                <w:sz w:val="18"/>
                <w:szCs w:val="18"/>
              </w:rPr>
              <w:t>Preservatives</w:t>
            </w:r>
          </w:p>
        </w:tc>
        <w:tc>
          <w:tcPr>
            <w:tcW w:w="2276" w:type="dxa"/>
            <w:tcBorders>
              <w:top w:val="single" w:sz="12" w:space="0" w:color="000000"/>
              <w:left w:val="single" w:sz="12" w:space="0" w:color="000000"/>
              <w:bottom w:val="single" w:sz="12" w:space="0" w:color="000000"/>
              <w:right w:val="single" w:sz="12" w:space="0" w:color="000000"/>
            </w:tcBorders>
            <w:vAlign w:val="center"/>
          </w:tcPr>
          <w:p w14:paraId="5D1BDE88" w14:textId="77777777" w:rsidR="007D753C" w:rsidRPr="00D67AD0" w:rsidRDefault="007D753C" w:rsidP="008423CD">
            <w:pPr>
              <w:spacing w:after="0" w:line="259" w:lineRule="auto"/>
              <w:ind w:left="0" w:right="49" w:firstLine="0"/>
              <w:jc w:val="center"/>
              <w:rPr>
                <w:sz w:val="18"/>
                <w:szCs w:val="18"/>
              </w:rPr>
            </w:pPr>
            <w:r w:rsidRPr="00D67AD0">
              <w:rPr>
                <w:b/>
                <w:sz w:val="18"/>
                <w:szCs w:val="18"/>
              </w:rPr>
              <w:t>Holding Times</w:t>
            </w:r>
          </w:p>
        </w:tc>
        <w:tc>
          <w:tcPr>
            <w:tcW w:w="1495" w:type="dxa"/>
            <w:tcBorders>
              <w:top w:val="single" w:sz="12" w:space="0" w:color="000000"/>
              <w:left w:val="single" w:sz="12" w:space="0" w:color="000000"/>
              <w:bottom w:val="single" w:sz="12" w:space="0" w:color="000000"/>
              <w:right w:val="single" w:sz="12" w:space="0" w:color="000000"/>
            </w:tcBorders>
            <w:vAlign w:val="center"/>
          </w:tcPr>
          <w:p w14:paraId="1134ECF0" w14:textId="77777777" w:rsidR="007D753C" w:rsidRPr="00D67AD0" w:rsidRDefault="007D753C" w:rsidP="008423CD">
            <w:pPr>
              <w:spacing w:after="0" w:line="259" w:lineRule="auto"/>
              <w:ind w:left="0" w:right="50" w:firstLine="0"/>
              <w:jc w:val="center"/>
              <w:rPr>
                <w:sz w:val="18"/>
                <w:szCs w:val="18"/>
              </w:rPr>
            </w:pPr>
            <w:r w:rsidRPr="00D67AD0">
              <w:rPr>
                <w:b/>
                <w:sz w:val="18"/>
                <w:szCs w:val="18"/>
              </w:rPr>
              <w:t>Containers</w:t>
            </w:r>
          </w:p>
        </w:tc>
        <w:tc>
          <w:tcPr>
            <w:tcW w:w="2245" w:type="dxa"/>
            <w:tcBorders>
              <w:top w:val="single" w:sz="12" w:space="0" w:color="000000"/>
              <w:left w:val="single" w:sz="12" w:space="0" w:color="000000"/>
              <w:bottom w:val="single" w:sz="12" w:space="0" w:color="000000"/>
              <w:right w:val="single" w:sz="12" w:space="0" w:color="000000"/>
            </w:tcBorders>
            <w:vAlign w:val="center"/>
          </w:tcPr>
          <w:p w14:paraId="36726B62" w14:textId="77777777" w:rsidR="007D753C" w:rsidRPr="00D67AD0" w:rsidRDefault="007D753C" w:rsidP="008423CD">
            <w:pPr>
              <w:spacing w:after="0" w:line="259" w:lineRule="auto"/>
              <w:ind w:left="0" w:right="47" w:firstLine="0"/>
              <w:jc w:val="center"/>
              <w:rPr>
                <w:sz w:val="18"/>
                <w:szCs w:val="18"/>
              </w:rPr>
            </w:pPr>
            <w:r w:rsidRPr="00D67AD0">
              <w:rPr>
                <w:b/>
                <w:sz w:val="18"/>
                <w:szCs w:val="18"/>
              </w:rPr>
              <w:t>Preservatives</w:t>
            </w:r>
          </w:p>
        </w:tc>
        <w:tc>
          <w:tcPr>
            <w:tcW w:w="1847" w:type="dxa"/>
            <w:tcBorders>
              <w:top w:val="single" w:sz="12" w:space="0" w:color="000000"/>
              <w:left w:val="single" w:sz="12" w:space="0" w:color="000000"/>
              <w:bottom w:val="single" w:sz="12" w:space="0" w:color="000000"/>
              <w:right w:val="single" w:sz="12" w:space="0" w:color="000000"/>
            </w:tcBorders>
            <w:vAlign w:val="center"/>
          </w:tcPr>
          <w:p w14:paraId="5E8E7148" w14:textId="77777777" w:rsidR="007D753C" w:rsidRPr="00D67AD0" w:rsidRDefault="007D753C" w:rsidP="008423CD">
            <w:pPr>
              <w:spacing w:after="0" w:line="259" w:lineRule="auto"/>
              <w:ind w:left="0" w:right="47" w:firstLine="0"/>
              <w:jc w:val="center"/>
              <w:rPr>
                <w:sz w:val="18"/>
                <w:szCs w:val="18"/>
              </w:rPr>
            </w:pPr>
            <w:r w:rsidRPr="00D67AD0">
              <w:rPr>
                <w:b/>
                <w:sz w:val="18"/>
                <w:szCs w:val="18"/>
              </w:rPr>
              <w:t>Holding Times</w:t>
            </w:r>
          </w:p>
        </w:tc>
      </w:tr>
      <w:tr w:rsidR="006153D2" w14:paraId="6995AC06" w14:textId="77777777" w:rsidTr="00BA247C">
        <w:trPr>
          <w:trHeight w:val="302"/>
        </w:trPr>
        <w:tc>
          <w:tcPr>
            <w:tcW w:w="3769" w:type="dxa"/>
            <w:tcBorders>
              <w:top w:val="single" w:sz="12" w:space="0" w:color="000000"/>
              <w:left w:val="single" w:sz="12" w:space="0" w:color="000000"/>
              <w:bottom w:val="single" w:sz="12" w:space="0" w:color="000000"/>
              <w:right w:val="single" w:sz="12" w:space="0" w:color="000000"/>
            </w:tcBorders>
            <w:shd w:val="clear" w:color="auto" w:fill="C0C0C0"/>
          </w:tcPr>
          <w:p w14:paraId="2C83C9B2" w14:textId="0BAABA44" w:rsidR="003F691F" w:rsidRPr="00A37AE4" w:rsidRDefault="003F691F" w:rsidP="003F691F">
            <w:pPr>
              <w:spacing w:after="0" w:line="259" w:lineRule="auto"/>
              <w:ind w:right="0"/>
              <w:jc w:val="center"/>
              <w:rPr>
                <w:sz w:val="20"/>
                <w:szCs w:val="20"/>
              </w:rPr>
            </w:pPr>
            <w:r>
              <w:rPr>
                <w:b/>
                <w:sz w:val="20"/>
              </w:rPr>
              <w:t>Hazardous Waste Characteristics</w:t>
            </w:r>
          </w:p>
        </w:tc>
        <w:tc>
          <w:tcPr>
            <w:tcW w:w="1684" w:type="dxa"/>
            <w:tcBorders>
              <w:top w:val="single" w:sz="12" w:space="0" w:color="000000"/>
              <w:left w:val="single" w:sz="12" w:space="0" w:color="000000"/>
              <w:bottom w:val="single" w:sz="12" w:space="0" w:color="000000"/>
              <w:right w:val="single" w:sz="12" w:space="0" w:color="000000"/>
            </w:tcBorders>
            <w:shd w:val="clear" w:color="auto" w:fill="C0C0C0"/>
          </w:tcPr>
          <w:p w14:paraId="56DD85BC" w14:textId="2FB86C11" w:rsidR="003F691F" w:rsidRPr="00A37AE4" w:rsidRDefault="003F691F" w:rsidP="003F691F">
            <w:pPr>
              <w:spacing w:after="0" w:line="259" w:lineRule="auto"/>
              <w:ind w:left="0" w:right="0" w:firstLine="0"/>
              <w:jc w:val="center"/>
              <w:rPr>
                <w:sz w:val="20"/>
                <w:szCs w:val="20"/>
              </w:rPr>
            </w:pPr>
            <w:r>
              <w:rPr>
                <w:sz w:val="20"/>
              </w:rPr>
              <w:t xml:space="preserve"> </w:t>
            </w:r>
          </w:p>
        </w:tc>
        <w:tc>
          <w:tcPr>
            <w:tcW w:w="1465" w:type="dxa"/>
            <w:tcBorders>
              <w:top w:val="single" w:sz="12" w:space="0" w:color="000000"/>
              <w:left w:val="single" w:sz="12" w:space="0" w:color="000000"/>
              <w:bottom w:val="single" w:sz="12" w:space="0" w:color="000000"/>
              <w:right w:val="single" w:sz="12" w:space="0" w:color="000000"/>
            </w:tcBorders>
            <w:shd w:val="clear" w:color="auto" w:fill="C0C0C0"/>
          </w:tcPr>
          <w:p w14:paraId="0B604F7F" w14:textId="511685D7" w:rsidR="003F691F" w:rsidRPr="00A37AE4" w:rsidRDefault="003F691F" w:rsidP="003F691F">
            <w:pPr>
              <w:spacing w:after="0" w:line="259" w:lineRule="auto"/>
              <w:ind w:left="6" w:right="0" w:firstLine="0"/>
              <w:jc w:val="center"/>
              <w:rPr>
                <w:sz w:val="20"/>
                <w:szCs w:val="20"/>
              </w:rPr>
            </w:pPr>
            <w:r>
              <w:rPr>
                <w:sz w:val="20"/>
              </w:rPr>
              <w:t xml:space="preserve"> </w:t>
            </w:r>
          </w:p>
        </w:tc>
        <w:tc>
          <w:tcPr>
            <w:tcW w:w="2276" w:type="dxa"/>
            <w:tcBorders>
              <w:top w:val="single" w:sz="12" w:space="0" w:color="000000"/>
              <w:left w:val="single" w:sz="12" w:space="0" w:color="000000"/>
              <w:bottom w:val="single" w:sz="12" w:space="0" w:color="000000"/>
              <w:right w:val="single" w:sz="12" w:space="0" w:color="000000"/>
            </w:tcBorders>
            <w:shd w:val="clear" w:color="auto" w:fill="C0C0C0"/>
          </w:tcPr>
          <w:p w14:paraId="08D67895" w14:textId="681975C0" w:rsidR="003F691F" w:rsidRPr="00A37AE4" w:rsidRDefault="003F691F" w:rsidP="003F691F">
            <w:pPr>
              <w:spacing w:after="0" w:line="259" w:lineRule="auto"/>
              <w:ind w:left="4" w:right="0" w:firstLine="0"/>
              <w:jc w:val="center"/>
              <w:rPr>
                <w:sz w:val="20"/>
                <w:szCs w:val="20"/>
              </w:rPr>
            </w:pPr>
            <w:r>
              <w:rPr>
                <w:sz w:val="20"/>
              </w:rPr>
              <w:t xml:space="preserve"> </w:t>
            </w:r>
          </w:p>
        </w:tc>
        <w:tc>
          <w:tcPr>
            <w:tcW w:w="1495" w:type="dxa"/>
            <w:tcBorders>
              <w:top w:val="single" w:sz="12" w:space="0" w:color="000000"/>
              <w:left w:val="single" w:sz="12" w:space="0" w:color="000000"/>
              <w:bottom w:val="single" w:sz="12" w:space="0" w:color="000000"/>
              <w:right w:val="single" w:sz="12" w:space="0" w:color="000000"/>
            </w:tcBorders>
            <w:shd w:val="clear" w:color="auto" w:fill="C0C0C0"/>
          </w:tcPr>
          <w:p w14:paraId="26DC9D82" w14:textId="33C72F20" w:rsidR="003F691F" w:rsidRPr="00A37AE4" w:rsidRDefault="003F691F" w:rsidP="003F691F">
            <w:pPr>
              <w:spacing w:after="0" w:line="259" w:lineRule="auto"/>
              <w:ind w:left="2" w:right="0" w:firstLine="0"/>
              <w:jc w:val="center"/>
              <w:rPr>
                <w:sz w:val="20"/>
                <w:szCs w:val="20"/>
              </w:rPr>
            </w:pPr>
            <w:r>
              <w:rPr>
                <w:sz w:val="20"/>
              </w:rPr>
              <w:t xml:space="preserve"> </w:t>
            </w:r>
          </w:p>
        </w:tc>
        <w:tc>
          <w:tcPr>
            <w:tcW w:w="2245" w:type="dxa"/>
            <w:tcBorders>
              <w:top w:val="single" w:sz="12" w:space="0" w:color="000000"/>
              <w:left w:val="single" w:sz="12" w:space="0" w:color="000000"/>
              <w:bottom w:val="single" w:sz="12" w:space="0" w:color="000000"/>
              <w:right w:val="single" w:sz="12" w:space="0" w:color="000000"/>
            </w:tcBorders>
            <w:shd w:val="clear" w:color="auto" w:fill="C0C0C0"/>
          </w:tcPr>
          <w:p w14:paraId="78935299" w14:textId="7B67B96F" w:rsidR="003F691F" w:rsidRPr="00A37AE4" w:rsidRDefault="003F691F" w:rsidP="003F691F">
            <w:pPr>
              <w:spacing w:after="0" w:line="259" w:lineRule="auto"/>
              <w:ind w:left="3" w:right="0" w:firstLine="0"/>
              <w:jc w:val="center"/>
              <w:rPr>
                <w:sz w:val="20"/>
                <w:szCs w:val="20"/>
              </w:rPr>
            </w:pPr>
            <w:r>
              <w:rPr>
                <w:sz w:val="20"/>
              </w:rPr>
              <w:t xml:space="preserve"> </w:t>
            </w:r>
          </w:p>
        </w:tc>
        <w:tc>
          <w:tcPr>
            <w:tcW w:w="1847" w:type="dxa"/>
            <w:tcBorders>
              <w:top w:val="single" w:sz="12" w:space="0" w:color="000000"/>
              <w:left w:val="single" w:sz="12" w:space="0" w:color="000000"/>
              <w:bottom w:val="single" w:sz="12" w:space="0" w:color="000000"/>
              <w:right w:val="single" w:sz="12" w:space="0" w:color="000000"/>
            </w:tcBorders>
            <w:shd w:val="clear" w:color="auto" w:fill="C0C0C0"/>
          </w:tcPr>
          <w:p w14:paraId="46D4B7A2" w14:textId="5541DD38" w:rsidR="003F691F" w:rsidRPr="00A37AE4" w:rsidRDefault="003F691F" w:rsidP="003F691F">
            <w:pPr>
              <w:spacing w:after="0" w:line="259" w:lineRule="auto"/>
              <w:ind w:left="4" w:right="0" w:firstLine="0"/>
              <w:jc w:val="center"/>
              <w:rPr>
                <w:sz w:val="20"/>
                <w:szCs w:val="20"/>
              </w:rPr>
            </w:pPr>
            <w:r>
              <w:rPr>
                <w:sz w:val="20"/>
              </w:rPr>
              <w:t xml:space="preserve"> </w:t>
            </w:r>
          </w:p>
        </w:tc>
      </w:tr>
      <w:tr w:rsidR="00361DD8" w:rsidRPr="00594248" w14:paraId="27C01302" w14:textId="77777777" w:rsidTr="00BA247C">
        <w:trPr>
          <w:trHeight w:val="302"/>
        </w:trPr>
        <w:tc>
          <w:tcPr>
            <w:tcW w:w="3769" w:type="dxa"/>
            <w:tcBorders>
              <w:top w:val="single" w:sz="12" w:space="0" w:color="000000"/>
              <w:left w:val="single" w:sz="12" w:space="0" w:color="000000"/>
              <w:bottom w:val="single" w:sz="4" w:space="0" w:color="000000"/>
              <w:right w:val="single" w:sz="12" w:space="0" w:color="000000"/>
            </w:tcBorders>
            <w:vAlign w:val="center"/>
          </w:tcPr>
          <w:p w14:paraId="0F4CC611" w14:textId="01C1C167" w:rsidR="00361DD8" w:rsidRPr="00594248" w:rsidRDefault="00361DD8" w:rsidP="007E729E">
            <w:pPr>
              <w:spacing w:after="0" w:line="259" w:lineRule="auto"/>
              <w:ind w:right="0"/>
              <w:rPr>
                <w:sz w:val="20"/>
              </w:rPr>
            </w:pPr>
            <w:r w:rsidRPr="00594248">
              <w:rPr>
                <w:sz w:val="20"/>
              </w:rPr>
              <w:t xml:space="preserve">TCLP Metals, VOCs, SVOCs, Pesticides  </w:t>
            </w:r>
          </w:p>
        </w:tc>
        <w:tc>
          <w:tcPr>
            <w:tcW w:w="3149" w:type="dxa"/>
            <w:gridSpan w:val="2"/>
            <w:tcBorders>
              <w:top w:val="single" w:sz="12" w:space="0" w:color="000000"/>
              <w:left w:val="single" w:sz="12" w:space="0" w:color="000000"/>
              <w:bottom w:val="single" w:sz="4" w:space="0" w:color="000000"/>
              <w:right w:val="single" w:sz="12" w:space="0" w:color="000000"/>
            </w:tcBorders>
            <w:vAlign w:val="center"/>
          </w:tcPr>
          <w:p w14:paraId="2CA1ABB1" w14:textId="1D97DD06" w:rsidR="00361DD8" w:rsidRPr="00594248" w:rsidRDefault="00361DD8" w:rsidP="007E729E">
            <w:pPr>
              <w:spacing w:after="0" w:line="259" w:lineRule="auto"/>
              <w:ind w:left="0" w:right="0" w:firstLine="0"/>
              <w:jc w:val="center"/>
              <w:rPr>
                <w:sz w:val="20"/>
              </w:rPr>
            </w:pPr>
            <w:r w:rsidRPr="00594248">
              <w:rPr>
                <w:sz w:val="20"/>
              </w:rPr>
              <w:t>Same as non-TCLP</w:t>
            </w:r>
          </w:p>
          <w:p w14:paraId="1D20811F" w14:textId="6606FDA1" w:rsidR="00361DD8" w:rsidRPr="00594248" w:rsidRDefault="00361DD8" w:rsidP="007E729E">
            <w:pPr>
              <w:spacing w:after="0" w:line="259" w:lineRule="auto"/>
              <w:ind w:left="6" w:right="0" w:firstLine="0"/>
              <w:jc w:val="center"/>
              <w:rPr>
                <w:sz w:val="20"/>
              </w:rPr>
            </w:pPr>
          </w:p>
        </w:tc>
        <w:tc>
          <w:tcPr>
            <w:tcW w:w="2276" w:type="dxa"/>
            <w:tcBorders>
              <w:top w:val="single" w:sz="12" w:space="0" w:color="000000"/>
              <w:left w:val="single" w:sz="12" w:space="0" w:color="000000"/>
              <w:bottom w:val="single" w:sz="4" w:space="0" w:color="000000"/>
              <w:right w:val="single" w:sz="12" w:space="0" w:color="000000"/>
            </w:tcBorders>
            <w:vAlign w:val="center"/>
          </w:tcPr>
          <w:p w14:paraId="1FA0703F" w14:textId="77777777" w:rsidR="00361DD8" w:rsidRPr="00594248" w:rsidRDefault="00361DD8" w:rsidP="007E729E">
            <w:pPr>
              <w:spacing w:after="0" w:line="259" w:lineRule="auto"/>
              <w:ind w:left="61" w:right="0" w:firstLine="0"/>
              <w:jc w:val="center"/>
            </w:pPr>
            <w:r w:rsidRPr="00594248">
              <w:rPr>
                <w:sz w:val="20"/>
              </w:rPr>
              <w:t>Extraction: Same as non-</w:t>
            </w:r>
          </w:p>
          <w:p w14:paraId="03063957" w14:textId="68FEE4B2" w:rsidR="00361DD8" w:rsidRPr="00594248" w:rsidRDefault="00361DD8" w:rsidP="007E729E">
            <w:pPr>
              <w:spacing w:after="0" w:line="259" w:lineRule="auto"/>
              <w:ind w:left="4" w:right="0" w:firstLine="0"/>
              <w:jc w:val="center"/>
              <w:rPr>
                <w:sz w:val="20"/>
              </w:rPr>
            </w:pPr>
            <w:r w:rsidRPr="00594248">
              <w:rPr>
                <w:sz w:val="20"/>
              </w:rPr>
              <w:t>TCLP; plus, same as non-TCLP to analysis</w:t>
            </w:r>
          </w:p>
        </w:tc>
        <w:tc>
          <w:tcPr>
            <w:tcW w:w="3740" w:type="dxa"/>
            <w:gridSpan w:val="2"/>
            <w:tcBorders>
              <w:top w:val="single" w:sz="12" w:space="0" w:color="000000"/>
              <w:left w:val="single" w:sz="12" w:space="0" w:color="000000"/>
              <w:bottom w:val="single" w:sz="4" w:space="0" w:color="000000"/>
              <w:right w:val="single" w:sz="12" w:space="0" w:color="000000"/>
            </w:tcBorders>
            <w:vAlign w:val="center"/>
          </w:tcPr>
          <w:p w14:paraId="4D149FE5" w14:textId="353CEA26" w:rsidR="00361DD8" w:rsidRPr="00594248" w:rsidRDefault="00361DD8" w:rsidP="007E729E">
            <w:pPr>
              <w:spacing w:after="0" w:line="259" w:lineRule="auto"/>
              <w:ind w:left="2" w:right="0" w:firstLine="0"/>
              <w:jc w:val="center"/>
              <w:rPr>
                <w:sz w:val="20"/>
              </w:rPr>
            </w:pPr>
          </w:p>
          <w:p w14:paraId="41982206" w14:textId="2F32DB52" w:rsidR="00361DD8" w:rsidRPr="00594248" w:rsidRDefault="00361DD8" w:rsidP="007E729E">
            <w:pPr>
              <w:spacing w:after="0" w:line="259" w:lineRule="auto"/>
              <w:ind w:left="3" w:right="0" w:firstLine="0"/>
              <w:jc w:val="center"/>
              <w:rPr>
                <w:sz w:val="20"/>
                <w:szCs w:val="20"/>
              </w:rPr>
            </w:pPr>
            <w:r w:rsidRPr="00594248">
              <w:rPr>
                <w:sz w:val="20"/>
              </w:rPr>
              <w:t>Same as non-TCLP</w:t>
            </w:r>
          </w:p>
        </w:tc>
        <w:tc>
          <w:tcPr>
            <w:tcW w:w="1847" w:type="dxa"/>
            <w:tcBorders>
              <w:top w:val="single" w:sz="12" w:space="0" w:color="000000"/>
              <w:left w:val="single" w:sz="12" w:space="0" w:color="000000"/>
              <w:bottom w:val="single" w:sz="4" w:space="0" w:color="000000"/>
              <w:right w:val="single" w:sz="12" w:space="0" w:color="000000"/>
            </w:tcBorders>
            <w:vAlign w:val="center"/>
          </w:tcPr>
          <w:p w14:paraId="045E1108" w14:textId="19560E56" w:rsidR="00361DD8" w:rsidRPr="00594248" w:rsidRDefault="00361DD8" w:rsidP="007E729E">
            <w:pPr>
              <w:spacing w:after="0" w:line="259" w:lineRule="auto"/>
              <w:ind w:left="4" w:right="0" w:firstLine="0"/>
              <w:jc w:val="center"/>
              <w:rPr>
                <w:sz w:val="20"/>
                <w:szCs w:val="20"/>
              </w:rPr>
            </w:pPr>
            <w:r w:rsidRPr="00594248">
              <w:rPr>
                <w:sz w:val="20"/>
              </w:rPr>
              <w:t>Same as non-TCLP to Extraction and again to analysis</w:t>
            </w:r>
          </w:p>
        </w:tc>
      </w:tr>
      <w:tr w:rsidR="00D8687C" w:rsidRPr="00594248" w14:paraId="14802C92" w14:textId="77777777" w:rsidTr="00BA247C">
        <w:trPr>
          <w:trHeight w:val="302"/>
        </w:trPr>
        <w:tc>
          <w:tcPr>
            <w:tcW w:w="3769" w:type="dxa"/>
            <w:tcBorders>
              <w:top w:val="single" w:sz="4" w:space="0" w:color="000000"/>
              <w:left w:val="single" w:sz="12" w:space="0" w:color="000000"/>
              <w:bottom w:val="single" w:sz="4" w:space="0" w:color="000000"/>
              <w:right w:val="single" w:sz="12" w:space="0" w:color="000000"/>
            </w:tcBorders>
            <w:vAlign w:val="center"/>
          </w:tcPr>
          <w:p w14:paraId="06241B6D" w14:textId="5331DF0F" w:rsidR="00D8687C" w:rsidRPr="00594248" w:rsidRDefault="00D8687C" w:rsidP="007E729E">
            <w:pPr>
              <w:spacing w:after="0" w:line="259" w:lineRule="auto"/>
              <w:ind w:right="0"/>
              <w:rPr>
                <w:b/>
                <w:sz w:val="20"/>
                <w:szCs w:val="20"/>
              </w:rPr>
            </w:pPr>
            <w:r w:rsidRPr="00594248">
              <w:rPr>
                <w:sz w:val="20"/>
              </w:rPr>
              <w:t xml:space="preserve">Reactivity (Cyanide and Sulfide) </w:t>
            </w:r>
          </w:p>
        </w:tc>
        <w:tc>
          <w:tcPr>
            <w:tcW w:w="3149" w:type="dxa"/>
            <w:gridSpan w:val="2"/>
            <w:tcBorders>
              <w:top w:val="single" w:sz="4" w:space="0" w:color="000000"/>
              <w:left w:val="single" w:sz="12" w:space="0" w:color="000000"/>
              <w:bottom w:val="single" w:sz="4" w:space="0" w:color="000000"/>
              <w:right w:val="single" w:sz="12" w:space="0" w:color="000000"/>
            </w:tcBorders>
            <w:vAlign w:val="center"/>
          </w:tcPr>
          <w:p w14:paraId="607FA200" w14:textId="7CEF736A" w:rsidR="00D8687C" w:rsidRPr="00594248" w:rsidRDefault="00D8687C" w:rsidP="007E729E">
            <w:pPr>
              <w:spacing w:after="0" w:line="259" w:lineRule="auto"/>
              <w:ind w:left="6" w:right="0" w:firstLine="0"/>
              <w:jc w:val="center"/>
              <w:rPr>
                <w:sz w:val="20"/>
                <w:szCs w:val="20"/>
              </w:rPr>
            </w:pPr>
            <w:r w:rsidRPr="00594248">
              <w:rPr>
                <w:sz w:val="20"/>
              </w:rPr>
              <w:t>Same as cyanide and sulfide above</w:t>
            </w:r>
          </w:p>
        </w:tc>
        <w:tc>
          <w:tcPr>
            <w:tcW w:w="2276" w:type="dxa"/>
            <w:tcBorders>
              <w:top w:val="single" w:sz="4" w:space="0" w:color="000000"/>
              <w:left w:val="single" w:sz="12" w:space="0" w:color="000000"/>
              <w:bottom w:val="single" w:sz="4" w:space="0" w:color="000000"/>
              <w:right w:val="single" w:sz="12" w:space="0" w:color="000000"/>
            </w:tcBorders>
            <w:vAlign w:val="center"/>
          </w:tcPr>
          <w:p w14:paraId="1B76B75D" w14:textId="3512C647" w:rsidR="00D8687C" w:rsidRPr="00594248" w:rsidRDefault="00D8687C" w:rsidP="007E729E">
            <w:pPr>
              <w:spacing w:after="0" w:line="259" w:lineRule="auto"/>
              <w:ind w:left="4" w:right="0" w:firstLine="0"/>
              <w:jc w:val="center"/>
              <w:rPr>
                <w:sz w:val="20"/>
                <w:szCs w:val="20"/>
              </w:rPr>
            </w:pPr>
            <w:r w:rsidRPr="00594248">
              <w:rPr>
                <w:sz w:val="20"/>
              </w:rPr>
              <w:t>Same as CN and S above</w:t>
            </w:r>
          </w:p>
        </w:tc>
        <w:tc>
          <w:tcPr>
            <w:tcW w:w="3740" w:type="dxa"/>
            <w:gridSpan w:val="2"/>
            <w:tcBorders>
              <w:top w:val="single" w:sz="4" w:space="0" w:color="000000"/>
              <w:left w:val="single" w:sz="12" w:space="0" w:color="000000"/>
              <w:bottom w:val="single" w:sz="4" w:space="0" w:color="000000"/>
              <w:right w:val="single" w:sz="12" w:space="0" w:color="000000"/>
            </w:tcBorders>
            <w:vAlign w:val="center"/>
          </w:tcPr>
          <w:p w14:paraId="2823EC8C" w14:textId="59E30EB4" w:rsidR="00D8687C" w:rsidRPr="00594248" w:rsidRDefault="00D8687C" w:rsidP="007E729E">
            <w:pPr>
              <w:spacing w:after="0" w:line="259" w:lineRule="auto"/>
              <w:ind w:left="3" w:right="0" w:firstLine="0"/>
              <w:jc w:val="center"/>
              <w:rPr>
                <w:sz w:val="20"/>
                <w:szCs w:val="20"/>
              </w:rPr>
            </w:pPr>
            <w:r w:rsidRPr="00594248">
              <w:rPr>
                <w:sz w:val="20"/>
              </w:rPr>
              <w:t>Same as cyanide and sulfide above</w:t>
            </w:r>
          </w:p>
        </w:tc>
        <w:tc>
          <w:tcPr>
            <w:tcW w:w="1847" w:type="dxa"/>
            <w:tcBorders>
              <w:top w:val="single" w:sz="4" w:space="0" w:color="000000"/>
              <w:left w:val="single" w:sz="12" w:space="0" w:color="000000"/>
              <w:bottom w:val="single" w:sz="4" w:space="0" w:color="000000"/>
              <w:right w:val="single" w:sz="12" w:space="0" w:color="000000"/>
            </w:tcBorders>
            <w:vAlign w:val="center"/>
          </w:tcPr>
          <w:p w14:paraId="05367055" w14:textId="092BB1E2" w:rsidR="00D8687C" w:rsidRPr="00594248" w:rsidRDefault="00D8687C" w:rsidP="007E729E">
            <w:pPr>
              <w:spacing w:after="0" w:line="259" w:lineRule="auto"/>
              <w:ind w:left="4" w:right="0" w:firstLine="0"/>
              <w:jc w:val="center"/>
              <w:rPr>
                <w:sz w:val="20"/>
                <w:szCs w:val="20"/>
              </w:rPr>
            </w:pPr>
            <w:r w:rsidRPr="00594248">
              <w:rPr>
                <w:sz w:val="20"/>
              </w:rPr>
              <w:t>Same as CN and S</w:t>
            </w:r>
          </w:p>
        </w:tc>
      </w:tr>
      <w:tr w:rsidR="003F691F" w:rsidRPr="00594248" w14:paraId="0FF9ACAF" w14:textId="77777777" w:rsidTr="00BA247C">
        <w:trPr>
          <w:trHeight w:val="302"/>
        </w:trPr>
        <w:tc>
          <w:tcPr>
            <w:tcW w:w="3769" w:type="dxa"/>
            <w:tcBorders>
              <w:top w:val="single" w:sz="4" w:space="0" w:color="000000"/>
              <w:left w:val="single" w:sz="12" w:space="0" w:color="000000"/>
              <w:bottom w:val="single" w:sz="4" w:space="0" w:color="000000"/>
              <w:right w:val="single" w:sz="12" w:space="0" w:color="000000"/>
            </w:tcBorders>
            <w:vAlign w:val="center"/>
          </w:tcPr>
          <w:p w14:paraId="199F798E" w14:textId="495BC4D9" w:rsidR="003F691F" w:rsidRPr="00594248" w:rsidRDefault="003F691F" w:rsidP="007E729E">
            <w:pPr>
              <w:spacing w:after="0" w:line="259" w:lineRule="auto"/>
              <w:ind w:right="0"/>
              <w:rPr>
                <w:sz w:val="20"/>
              </w:rPr>
            </w:pPr>
            <w:r w:rsidRPr="00594248">
              <w:rPr>
                <w:sz w:val="20"/>
              </w:rPr>
              <w:t xml:space="preserve">Ignitability (Flash Point: </w:t>
            </w:r>
            <w:r w:rsidRPr="00594248" w:rsidDel="006B693C">
              <w:rPr>
                <w:sz w:val="20"/>
              </w:rPr>
              <w:t>non-aqueous</w:t>
            </w:r>
            <w:r w:rsidRPr="00594248">
              <w:rPr>
                <w:sz w:val="20"/>
              </w:rPr>
              <w:t xml:space="preserve"> liquid waste) </w:t>
            </w:r>
          </w:p>
        </w:tc>
        <w:tc>
          <w:tcPr>
            <w:tcW w:w="1684" w:type="dxa"/>
            <w:tcBorders>
              <w:top w:val="single" w:sz="4" w:space="0" w:color="000000"/>
              <w:left w:val="single" w:sz="12" w:space="0" w:color="000000"/>
              <w:bottom w:val="single" w:sz="4" w:space="0" w:color="000000"/>
              <w:right w:val="single" w:sz="12" w:space="0" w:color="000000"/>
            </w:tcBorders>
            <w:vAlign w:val="center"/>
          </w:tcPr>
          <w:p w14:paraId="1606E9B2" w14:textId="6C53CEB1" w:rsidR="003F691F" w:rsidRPr="00594248" w:rsidRDefault="003F691F" w:rsidP="007E729E">
            <w:pPr>
              <w:spacing w:after="0" w:line="259" w:lineRule="auto"/>
              <w:ind w:left="0" w:right="0" w:firstLine="0"/>
              <w:jc w:val="center"/>
              <w:rPr>
                <w:sz w:val="20"/>
              </w:rPr>
            </w:pPr>
            <w:r w:rsidRPr="00594248">
              <w:rPr>
                <w:sz w:val="20"/>
              </w:rPr>
              <w:t>250 mL Glass</w:t>
            </w:r>
          </w:p>
        </w:tc>
        <w:tc>
          <w:tcPr>
            <w:tcW w:w="1465" w:type="dxa"/>
            <w:tcBorders>
              <w:top w:val="single" w:sz="4" w:space="0" w:color="000000"/>
              <w:left w:val="single" w:sz="12" w:space="0" w:color="000000"/>
              <w:bottom w:val="single" w:sz="4" w:space="0" w:color="000000"/>
              <w:right w:val="single" w:sz="12" w:space="0" w:color="000000"/>
            </w:tcBorders>
            <w:vAlign w:val="center"/>
          </w:tcPr>
          <w:p w14:paraId="2240127B" w14:textId="662D40DA" w:rsidR="003F691F" w:rsidRPr="00594248" w:rsidRDefault="003F691F" w:rsidP="007E729E">
            <w:pPr>
              <w:spacing w:after="0" w:line="259" w:lineRule="auto"/>
              <w:ind w:left="6" w:right="0" w:firstLine="0"/>
              <w:jc w:val="center"/>
              <w:rPr>
                <w:sz w:val="20"/>
              </w:rPr>
            </w:pPr>
            <w:r w:rsidRPr="00594248">
              <w:rPr>
                <w:sz w:val="20"/>
              </w:rPr>
              <w:t>Ice (4</w:t>
            </w:r>
            <w:r w:rsidRPr="00594248">
              <w:rPr>
                <w:sz w:val="20"/>
                <w:vertAlign w:val="superscript"/>
              </w:rPr>
              <w:t>0</w:t>
            </w:r>
            <w:r w:rsidRPr="00594248">
              <w:rPr>
                <w:sz w:val="20"/>
              </w:rPr>
              <w:t>C)</w:t>
            </w:r>
          </w:p>
        </w:tc>
        <w:tc>
          <w:tcPr>
            <w:tcW w:w="2276" w:type="dxa"/>
            <w:tcBorders>
              <w:top w:val="single" w:sz="4" w:space="0" w:color="000000"/>
              <w:left w:val="single" w:sz="12" w:space="0" w:color="000000"/>
              <w:bottom w:val="single" w:sz="4" w:space="0" w:color="000000"/>
              <w:right w:val="single" w:sz="12" w:space="0" w:color="000000"/>
            </w:tcBorders>
            <w:vAlign w:val="center"/>
          </w:tcPr>
          <w:p w14:paraId="0F11B0BC" w14:textId="711DE267" w:rsidR="003F691F" w:rsidRPr="00594248" w:rsidRDefault="003F691F" w:rsidP="007E729E">
            <w:pPr>
              <w:spacing w:after="0" w:line="259" w:lineRule="auto"/>
              <w:ind w:left="4" w:right="0" w:firstLine="0"/>
              <w:jc w:val="center"/>
              <w:rPr>
                <w:sz w:val="20"/>
              </w:rPr>
            </w:pPr>
            <w:r w:rsidRPr="00594248">
              <w:rPr>
                <w:sz w:val="20"/>
              </w:rPr>
              <w:t>As soon as possible</w:t>
            </w:r>
          </w:p>
        </w:tc>
        <w:tc>
          <w:tcPr>
            <w:tcW w:w="1495" w:type="dxa"/>
            <w:tcBorders>
              <w:top w:val="single" w:sz="4" w:space="0" w:color="000000"/>
              <w:left w:val="single" w:sz="12" w:space="0" w:color="000000"/>
              <w:bottom w:val="single" w:sz="4" w:space="0" w:color="000000"/>
              <w:right w:val="single" w:sz="12" w:space="0" w:color="000000"/>
            </w:tcBorders>
            <w:vAlign w:val="center"/>
          </w:tcPr>
          <w:p w14:paraId="34B5CAAE" w14:textId="2283893F" w:rsidR="003F691F" w:rsidRPr="00594248" w:rsidRDefault="003F691F" w:rsidP="007E729E">
            <w:pPr>
              <w:spacing w:after="0" w:line="259" w:lineRule="auto"/>
              <w:ind w:left="2" w:right="0" w:firstLine="0"/>
              <w:jc w:val="center"/>
              <w:rPr>
                <w:sz w:val="20"/>
              </w:rPr>
            </w:pPr>
            <w:r w:rsidRPr="00594248">
              <w:rPr>
                <w:sz w:val="20"/>
              </w:rPr>
              <w:t>NA</w:t>
            </w:r>
          </w:p>
        </w:tc>
        <w:tc>
          <w:tcPr>
            <w:tcW w:w="2245" w:type="dxa"/>
            <w:tcBorders>
              <w:top w:val="single" w:sz="4" w:space="0" w:color="000000"/>
              <w:left w:val="single" w:sz="12" w:space="0" w:color="000000"/>
              <w:bottom w:val="single" w:sz="4" w:space="0" w:color="000000"/>
              <w:right w:val="single" w:sz="12" w:space="0" w:color="000000"/>
            </w:tcBorders>
            <w:vAlign w:val="center"/>
          </w:tcPr>
          <w:p w14:paraId="3D2D3965" w14:textId="2B350B3B" w:rsidR="003F691F" w:rsidRPr="00594248" w:rsidRDefault="003F691F" w:rsidP="007E729E">
            <w:pPr>
              <w:spacing w:after="0" w:line="259" w:lineRule="auto"/>
              <w:ind w:left="3" w:right="0" w:firstLine="0"/>
              <w:jc w:val="center"/>
              <w:rPr>
                <w:sz w:val="20"/>
                <w:szCs w:val="20"/>
              </w:rPr>
            </w:pPr>
          </w:p>
        </w:tc>
        <w:tc>
          <w:tcPr>
            <w:tcW w:w="1847" w:type="dxa"/>
            <w:tcBorders>
              <w:top w:val="single" w:sz="4" w:space="0" w:color="000000"/>
              <w:left w:val="single" w:sz="12" w:space="0" w:color="000000"/>
              <w:bottom w:val="single" w:sz="4" w:space="0" w:color="000000"/>
              <w:right w:val="single" w:sz="12" w:space="0" w:color="000000"/>
            </w:tcBorders>
            <w:vAlign w:val="center"/>
          </w:tcPr>
          <w:p w14:paraId="0AFFBCC6" w14:textId="2CFCAC01" w:rsidR="003F691F" w:rsidRPr="00594248" w:rsidRDefault="003F691F" w:rsidP="007E729E">
            <w:pPr>
              <w:spacing w:after="0" w:line="259" w:lineRule="auto"/>
              <w:ind w:left="4" w:right="0" w:firstLine="0"/>
              <w:jc w:val="center"/>
              <w:rPr>
                <w:sz w:val="20"/>
                <w:szCs w:val="20"/>
              </w:rPr>
            </w:pPr>
          </w:p>
        </w:tc>
      </w:tr>
      <w:tr w:rsidR="00D8687C" w:rsidRPr="00594248" w14:paraId="4E77A6D4" w14:textId="77777777" w:rsidTr="00BA247C">
        <w:trPr>
          <w:trHeight w:val="302"/>
        </w:trPr>
        <w:tc>
          <w:tcPr>
            <w:tcW w:w="3769" w:type="dxa"/>
            <w:tcBorders>
              <w:top w:val="single" w:sz="4" w:space="0" w:color="000000"/>
              <w:left w:val="single" w:sz="12" w:space="0" w:color="000000"/>
              <w:bottom w:val="single" w:sz="4" w:space="0" w:color="000000"/>
              <w:right w:val="single" w:sz="12" w:space="0" w:color="000000"/>
            </w:tcBorders>
            <w:vAlign w:val="center"/>
          </w:tcPr>
          <w:p w14:paraId="5693E16A" w14:textId="5F47EAAE" w:rsidR="00D8687C" w:rsidRPr="00594248" w:rsidRDefault="00D8687C" w:rsidP="007E729E">
            <w:pPr>
              <w:spacing w:after="0" w:line="259" w:lineRule="auto"/>
              <w:ind w:right="0"/>
              <w:rPr>
                <w:sz w:val="20"/>
              </w:rPr>
            </w:pPr>
            <w:r w:rsidRPr="00594248">
              <w:rPr>
                <w:sz w:val="20"/>
              </w:rPr>
              <w:t xml:space="preserve">Corrosivity (pH) </w:t>
            </w:r>
          </w:p>
        </w:tc>
        <w:tc>
          <w:tcPr>
            <w:tcW w:w="3149" w:type="dxa"/>
            <w:gridSpan w:val="2"/>
            <w:tcBorders>
              <w:top w:val="single" w:sz="4" w:space="0" w:color="000000"/>
              <w:left w:val="single" w:sz="12" w:space="0" w:color="000000"/>
              <w:bottom w:val="single" w:sz="4" w:space="0" w:color="000000"/>
              <w:right w:val="single" w:sz="12" w:space="0" w:color="000000"/>
            </w:tcBorders>
            <w:vAlign w:val="center"/>
          </w:tcPr>
          <w:p w14:paraId="3F26B771" w14:textId="745F6678" w:rsidR="00D8687C" w:rsidRPr="00594248" w:rsidRDefault="00D8687C" w:rsidP="007E729E">
            <w:pPr>
              <w:spacing w:after="0" w:line="259" w:lineRule="auto"/>
              <w:ind w:left="6" w:right="0" w:firstLine="0"/>
              <w:jc w:val="center"/>
              <w:rPr>
                <w:sz w:val="20"/>
              </w:rPr>
            </w:pPr>
            <w:r w:rsidRPr="00594248">
              <w:rPr>
                <w:sz w:val="20"/>
              </w:rPr>
              <w:t>Same as pH above</w:t>
            </w:r>
          </w:p>
        </w:tc>
        <w:tc>
          <w:tcPr>
            <w:tcW w:w="2276" w:type="dxa"/>
            <w:tcBorders>
              <w:top w:val="single" w:sz="4" w:space="0" w:color="000000"/>
              <w:left w:val="single" w:sz="12" w:space="0" w:color="000000"/>
              <w:bottom w:val="single" w:sz="4" w:space="0" w:color="000000"/>
              <w:right w:val="single" w:sz="12" w:space="0" w:color="000000"/>
            </w:tcBorders>
            <w:vAlign w:val="center"/>
          </w:tcPr>
          <w:p w14:paraId="4B58520E" w14:textId="138D7FA4" w:rsidR="00D8687C" w:rsidRPr="00594248" w:rsidRDefault="00D8687C" w:rsidP="007E729E">
            <w:pPr>
              <w:spacing w:after="0" w:line="259" w:lineRule="auto"/>
              <w:ind w:left="4" w:right="0" w:firstLine="0"/>
              <w:jc w:val="center"/>
              <w:rPr>
                <w:sz w:val="20"/>
              </w:rPr>
            </w:pPr>
            <w:r w:rsidRPr="00594248">
              <w:rPr>
                <w:sz w:val="20"/>
              </w:rPr>
              <w:t>Same as pH above</w:t>
            </w:r>
          </w:p>
        </w:tc>
        <w:tc>
          <w:tcPr>
            <w:tcW w:w="3740" w:type="dxa"/>
            <w:gridSpan w:val="2"/>
            <w:tcBorders>
              <w:top w:val="single" w:sz="4" w:space="0" w:color="000000"/>
              <w:left w:val="single" w:sz="12" w:space="0" w:color="000000"/>
              <w:bottom w:val="single" w:sz="4" w:space="0" w:color="000000"/>
              <w:right w:val="single" w:sz="12" w:space="0" w:color="000000"/>
            </w:tcBorders>
            <w:vAlign w:val="center"/>
          </w:tcPr>
          <w:p w14:paraId="30CBD486" w14:textId="2475BA9F" w:rsidR="00D8687C" w:rsidRPr="00594248" w:rsidRDefault="00D8687C" w:rsidP="007E729E">
            <w:pPr>
              <w:spacing w:after="0" w:line="259" w:lineRule="auto"/>
              <w:ind w:left="3" w:right="0" w:firstLine="0"/>
              <w:jc w:val="center"/>
              <w:rPr>
                <w:sz w:val="20"/>
              </w:rPr>
            </w:pPr>
            <w:r w:rsidRPr="00594248">
              <w:rPr>
                <w:sz w:val="20"/>
              </w:rPr>
              <w:t>Same as pH above</w:t>
            </w:r>
          </w:p>
        </w:tc>
        <w:tc>
          <w:tcPr>
            <w:tcW w:w="1847" w:type="dxa"/>
            <w:tcBorders>
              <w:top w:val="single" w:sz="4" w:space="0" w:color="000000"/>
              <w:left w:val="single" w:sz="12" w:space="0" w:color="000000"/>
              <w:bottom w:val="single" w:sz="4" w:space="0" w:color="000000"/>
              <w:right w:val="single" w:sz="12" w:space="0" w:color="000000"/>
            </w:tcBorders>
            <w:vAlign w:val="center"/>
          </w:tcPr>
          <w:p w14:paraId="16A4E1D0" w14:textId="133B5A18" w:rsidR="00D8687C" w:rsidRPr="00594248" w:rsidRDefault="00D8687C" w:rsidP="007E729E">
            <w:pPr>
              <w:spacing w:after="0" w:line="259" w:lineRule="auto"/>
              <w:ind w:left="4" w:right="0" w:firstLine="0"/>
              <w:jc w:val="center"/>
              <w:rPr>
                <w:sz w:val="20"/>
              </w:rPr>
            </w:pPr>
            <w:r w:rsidRPr="00594248">
              <w:rPr>
                <w:sz w:val="20"/>
              </w:rPr>
              <w:t>Same as pH above</w:t>
            </w:r>
          </w:p>
        </w:tc>
      </w:tr>
      <w:tr w:rsidR="003F691F" w:rsidRPr="00594248" w14:paraId="0FE15CF7" w14:textId="77777777" w:rsidTr="00BA247C">
        <w:trPr>
          <w:trHeight w:val="302"/>
        </w:trPr>
        <w:tc>
          <w:tcPr>
            <w:tcW w:w="3769" w:type="dxa"/>
            <w:tcBorders>
              <w:top w:val="single" w:sz="4" w:space="0" w:color="000000"/>
              <w:left w:val="single" w:sz="12" w:space="0" w:color="000000"/>
              <w:bottom w:val="single" w:sz="12" w:space="0" w:color="000000"/>
              <w:right w:val="single" w:sz="12" w:space="0" w:color="000000"/>
            </w:tcBorders>
            <w:vAlign w:val="center"/>
          </w:tcPr>
          <w:p w14:paraId="2DB87BC0" w14:textId="24963DCF" w:rsidR="003F691F" w:rsidRPr="00594248" w:rsidRDefault="003F691F" w:rsidP="007E729E">
            <w:pPr>
              <w:spacing w:after="0" w:line="259" w:lineRule="auto"/>
              <w:ind w:right="0"/>
              <w:rPr>
                <w:sz w:val="20"/>
              </w:rPr>
            </w:pPr>
            <w:r w:rsidRPr="00594248">
              <w:rPr>
                <w:sz w:val="20"/>
              </w:rPr>
              <w:t xml:space="preserve">Corrosivity (Corrosivity to Steel: aqueous and </w:t>
            </w:r>
            <w:r w:rsidRPr="00594248" w:rsidDel="006B693C">
              <w:rPr>
                <w:sz w:val="20"/>
              </w:rPr>
              <w:t>non-aqueous</w:t>
            </w:r>
            <w:r w:rsidRPr="00594248">
              <w:rPr>
                <w:sz w:val="20"/>
              </w:rPr>
              <w:t xml:space="preserve"> liquid wastes) </w:t>
            </w:r>
          </w:p>
        </w:tc>
        <w:tc>
          <w:tcPr>
            <w:tcW w:w="1684" w:type="dxa"/>
            <w:tcBorders>
              <w:top w:val="single" w:sz="4" w:space="0" w:color="000000"/>
              <w:left w:val="single" w:sz="12" w:space="0" w:color="000000"/>
              <w:bottom w:val="single" w:sz="12" w:space="0" w:color="000000"/>
              <w:right w:val="single" w:sz="12" w:space="0" w:color="000000"/>
            </w:tcBorders>
            <w:vAlign w:val="center"/>
          </w:tcPr>
          <w:p w14:paraId="19704AB2" w14:textId="0AEB0E12" w:rsidR="003F691F" w:rsidRPr="00594248" w:rsidRDefault="003F691F" w:rsidP="007E729E">
            <w:pPr>
              <w:spacing w:after="0" w:line="259" w:lineRule="auto"/>
              <w:ind w:left="0" w:right="0" w:firstLine="0"/>
              <w:jc w:val="center"/>
              <w:rPr>
                <w:sz w:val="20"/>
              </w:rPr>
            </w:pPr>
            <w:r w:rsidRPr="00594248">
              <w:rPr>
                <w:sz w:val="20"/>
              </w:rPr>
              <w:t>2-1 L Glass</w:t>
            </w:r>
          </w:p>
        </w:tc>
        <w:tc>
          <w:tcPr>
            <w:tcW w:w="1465" w:type="dxa"/>
            <w:tcBorders>
              <w:top w:val="single" w:sz="4" w:space="0" w:color="000000"/>
              <w:left w:val="single" w:sz="12" w:space="0" w:color="000000"/>
              <w:bottom w:val="single" w:sz="12" w:space="0" w:color="000000"/>
              <w:right w:val="single" w:sz="12" w:space="0" w:color="000000"/>
            </w:tcBorders>
            <w:vAlign w:val="center"/>
          </w:tcPr>
          <w:p w14:paraId="03EE4F42" w14:textId="76878168" w:rsidR="003F691F" w:rsidRPr="00594248" w:rsidRDefault="003F691F" w:rsidP="007E729E">
            <w:pPr>
              <w:spacing w:after="0" w:line="259" w:lineRule="auto"/>
              <w:ind w:left="6" w:right="0" w:firstLine="0"/>
              <w:jc w:val="center"/>
              <w:rPr>
                <w:sz w:val="20"/>
              </w:rPr>
            </w:pPr>
            <w:r w:rsidRPr="00594248">
              <w:rPr>
                <w:sz w:val="20"/>
              </w:rPr>
              <w:t>none</w:t>
            </w:r>
          </w:p>
        </w:tc>
        <w:tc>
          <w:tcPr>
            <w:tcW w:w="2276" w:type="dxa"/>
            <w:tcBorders>
              <w:top w:val="single" w:sz="4" w:space="0" w:color="000000"/>
              <w:left w:val="single" w:sz="12" w:space="0" w:color="000000"/>
              <w:bottom w:val="single" w:sz="12" w:space="0" w:color="000000"/>
              <w:right w:val="single" w:sz="12" w:space="0" w:color="000000"/>
            </w:tcBorders>
            <w:vAlign w:val="center"/>
          </w:tcPr>
          <w:p w14:paraId="68633A1E" w14:textId="477C6DD0" w:rsidR="003F691F" w:rsidRPr="00594248" w:rsidRDefault="003F691F" w:rsidP="007E729E">
            <w:pPr>
              <w:spacing w:after="0" w:line="259" w:lineRule="auto"/>
              <w:ind w:left="4" w:right="0" w:firstLine="0"/>
              <w:jc w:val="center"/>
              <w:rPr>
                <w:sz w:val="20"/>
              </w:rPr>
            </w:pPr>
            <w:r w:rsidRPr="00594248">
              <w:rPr>
                <w:sz w:val="20"/>
              </w:rPr>
              <w:t>As soon as possible</w:t>
            </w:r>
          </w:p>
        </w:tc>
        <w:tc>
          <w:tcPr>
            <w:tcW w:w="1495" w:type="dxa"/>
            <w:tcBorders>
              <w:top w:val="single" w:sz="4" w:space="0" w:color="000000"/>
              <w:left w:val="single" w:sz="12" w:space="0" w:color="000000"/>
              <w:bottom w:val="single" w:sz="12" w:space="0" w:color="000000"/>
              <w:right w:val="single" w:sz="12" w:space="0" w:color="000000"/>
            </w:tcBorders>
            <w:vAlign w:val="center"/>
          </w:tcPr>
          <w:p w14:paraId="41B97201" w14:textId="0B8DA84C" w:rsidR="003F691F" w:rsidRPr="00594248" w:rsidRDefault="003F691F" w:rsidP="007E729E">
            <w:pPr>
              <w:spacing w:after="0" w:line="259" w:lineRule="auto"/>
              <w:ind w:left="2" w:right="0" w:firstLine="0"/>
              <w:jc w:val="center"/>
              <w:rPr>
                <w:sz w:val="20"/>
              </w:rPr>
            </w:pPr>
            <w:r w:rsidRPr="00594248">
              <w:rPr>
                <w:sz w:val="20"/>
              </w:rPr>
              <w:t>2-1 L Glass</w:t>
            </w:r>
          </w:p>
        </w:tc>
        <w:tc>
          <w:tcPr>
            <w:tcW w:w="2245" w:type="dxa"/>
            <w:tcBorders>
              <w:top w:val="single" w:sz="4" w:space="0" w:color="000000"/>
              <w:left w:val="single" w:sz="12" w:space="0" w:color="000000"/>
              <w:bottom w:val="single" w:sz="12" w:space="0" w:color="000000"/>
              <w:right w:val="single" w:sz="12" w:space="0" w:color="000000"/>
            </w:tcBorders>
            <w:vAlign w:val="center"/>
          </w:tcPr>
          <w:p w14:paraId="025779CB" w14:textId="547E1605" w:rsidR="003F691F" w:rsidRPr="00594248" w:rsidRDefault="003F691F" w:rsidP="007E729E">
            <w:pPr>
              <w:spacing w:after="0" w:line="259" w:lineRule="auto"/>
              <w:ind w:left="3" w:right="0" w:firstLine="0"/>
              <w:jc w:val="center"/>
              <w:rPr>
                <w:sz w:val="20"/>
              </w:rPr>
            </w:pPr>
            <w:r w:rsidRPr="00594248">
              <w:rPr>
                <w:sz w:val="20"/>
              </w:rPr>
              <w:t>none</w:t>
            </w:r>
          </w:p>
        </w:tc>
        <w:tc>
          <w:tcPr>
            <w:tcW w:w="1847" w:type="dxa"/>
            <w:tcBorders>
              <w:top w:val="single" w:sz="4" w:space="0" w:color="000000"/>
              <w:left w:val="single" w:sz="12" w:space="0" w:color="000000"/>
              <w:bottom w:val="single" w:sz="12" w:space="0" w:color="000000"/>
              <w:right w:val="single" w:sz="12" w:space="0" w:color="000000"/>
            </w:tcBorders>
            <w:vAlign w:val="center"/>
          </w:tcPr>
          <w:p w14:paraId="70E803A9" w14:textId="041F9051" w:rsidR="003F691F" w:rsidRPr="00594248" w:rsidRDefault="003F691F" w:rsidP="007E729E">
            <w:pPr>
              <w:spacing w:after="0" w:line="259" w:lineRule="auto"/>
              <w:ind w:left="4" w:right="0" w:firstLine="0"/>
              <w:jc w:val="center"/>
              <w:rPr>
                <w:sz w:val="20"/>
              </w:rPr>
            </w:pPr>
            <w:r w:rsidRPr="00594248">
              <w:rPr>
                <w:sz w:val="20"/>
              </w:rPr>
              <w:t>As soon as possible</w:t>
            </w:r>
          </w:p>
        </w:tc>
      </w:tr>
    </w:tbl>
    <w:p w14:paraId="6A34045C" w14:textId="77777777" w:rsidR="00CE6CC0" w:rsidRDefault="00CE6CC0" w:rsidP="00413D79">
      <w:pPr>
        <w:ind w:left="0" w:firstLine="0"/>
      </w:pPr>
    </w:p>
    <w:p w14:paraId="3070381B" w14:textId="77777777" w:rsidR="00CE6CC0" w:rsidRDefault="00CE6CC0" w:rsidP="00413D79">
      <w:pPr>
        <w:ind w:left="0" w:firstLine="0"/>
      </w:pPr>
    </w:p>
    <w:p w14:paraId="17C9E85F" w14:textId="77777777" w:rsidR="00CE6CC0" w:rsidRDefault="00CE6CC0" w:rsidP="00413D79">
      <w:pPr>
        <w:ind w:left="0" w:firstLine="0"/>
      </w:pPr>
    </w:p>
    <w:p w14:paraId="4D4128AC" w14:textId="77777777" w:rsidR="00CE6CC0" w:rsidRDefault="00CE6CC0" w:rsidP="00413D79">
      <w:pPr>
        <w:ind w:left="0" w:firstLine="0"/>
      </w:pPr>
    </w:p>
    <w:p w14:paraId="4DBA3386" w14:textId="77777777" w:rsidR="00CE6CC0" w:rsidRDefault="00CE6CC0" w:rsidP="00413D79">
      <w:pPr>
        <w:ind w:left="0" w:firstLine="0"/>
      </w:pPr>
    </w:p>
    <w:p w14:paraId="2A48DF2C" w14:textId="77777777" w:rsidR="001E2676" w:rsidRDefault="001E2676" w:rsidP="001E2676">
      <w:pPr>
        <w:pStyle w:val="Heading3"/>
        <w:spacing w:after="268" w:line="247" w:lineRule="auto"/>
        <w:ind w:left="1236" w:right="186"/>
        <w:jc w:val="left"/>
      </w:pPr>
      <w:r>
        <w:t xml:space="preserve">THE REMAINDER OF THIS PAGE HAS BEEN LEFT BLANK INTENTIONALLY </w:t>
      </w:r>
    </w:p>
    <w:p w14:paraId="176F60B8" w14:textId="77777777" w:rsidR="006C5C9B" w:rsidRDefault="006C5C9B" w:rsidP="00413D79">
      <w:pPr>
        <w:ind w:left="0" w:firstLine="0"/>
      </w:pPr>
    </w:p>
    <w:p w14:paraId="354B3420" w14:textId="77777777" w:rsidR="006C5C9B" w:rsidRDefault="006C5C9B" w:rsidP="00413D79">
      <w:pPr>
        <w:ind w:left="0" w:firstLine="0"/>
      </w:pPr>
    </w:p>
    <w:p w14:paraId="273B7BD4" w14:textId="77777777" w:rsidR="006C5C9B" w:rsidRDefault="006C5C9B" w:rsidP="00413D79">
      <w:pPr>
        <w:ind w:left="0" w:firstLine="0"/>
      </w:pPr>
    </w:p>
    <w:p w14:paraId="604FE041" w14:textId="77777777" w:rsidR="006C5C9B" w:rsidRDefault="006C5C9B" w:rsidP="00413D79">
      <w:pPr>
        <w:ind w:left="0" w:firstLine="0"/>
      </w:pPr>
    </w:p>
    <w:p w14:paraId="74917F63" w14:textId="77777777" w:rsidR="006C5C9B" w:rsidRDefault="006C5C9B" w:rsidP="00413D79">
      <w:pPr>
        <w:ind w:left="0" w:firstLine="0"/>
      </w:pPr>
    </w:p>
    <w:p w14:paraId="27060E83" w14:textId="77777777" w:rsidR="006C5C9B" w:rsidRDefault="006C5C9B" w:rsidP="00413D79">
      <w:pPr>
        <w:ind w:left="0" w:firstLine="0"/>
      </w:pPr>
    </w:p>
    <w:p w14:paraId="748F4594" w14:textId="77777777" w:rsidR="006C5C9B" w:rsidRDefault="006C5C9B" w:rsidP="00413D79">
      <w:pPr>
        <w:ind w:left="0" w:firstLine="0"/>
      </w:pPr>
    </w:p>
    <w:p w14:paraId="79919BE1" w14:textId="77777777" w:rsidR="0029182C" w:rsidRDefault="0029182C" w:rsidP="00413D79">
      <w:pPr>
        <w:ind w:left="0" w:firstLine="0"/>
      </w:pPr>
    </w:p>
    <w:p w14:paraId="65865E03" w14:textId="77777777" w:rsidR="00CE6CC0" w:rsidRDefault="00CE6CC0" w:rsidP="00413D79">
      <w:pPr>
        <w:ind w:left="0" w:firstLine="0"/>
      </w:pPr>
    </w:p>
    <w:p w14:paraId="772F83BB" w14:textId="77777777" w:rsidR="00CE6CC0" w:rsidRDefault="00CE6CC0" w:rsidP="00413D79">
      <w:pPr>
        <w:ind w:left="0" w:firstLine="0"/>
      </w:pPr>
    </w:p>
    <w:p w14:paraId="7183C042" w14:textId="77777777" w:rsidR="00CE6CC0" w:rsidRDefault="00CE6CC0" w:rsidP="00413D79">
      <w:pPr>
        <w:ind w:left="0" w:firstLine="0"/>
      </w:pPr>
    </w:p>
    <w:p w14:paraId="79F8F249" w14:textId="77777777" w:rsidR="00CE6CC0" w:rsidRDefault="00CE6CC0" w:rsidP="00413D79">
      <w:pPr>
        <w:ind w:left="0" w:firstLine="0"/>
      </w:pPr>
    </w:p>
    <w:p w14:paraId="1F134C17" w14:textId="77777777" w:rsidR="00CE6CC0" w:rsidRDefault="00CE6CC0" w:rsidP="00413D79">
      <w:pPr>
        <w:ind w:left="0" w:firstLine="0"/>
      </w:pPr>
    </w:p>
    <w:p w14:paraId="57D08241" w14:textId="77777777" w:rsidR="00025624" w:rsidRDefault="00025624" w:rsidP="00413D79">
      <w:pPr>
        <w:ind w:left="0" w:firstLine="0"/>
      </w:pPr>
    </w:p>
    <w:p w14:paraId="487045E2" w14:textId="77777777" w:rsidR="00025624" w:rsidRPr="009B394E" w:rsidRDefault="00025624" w:rsidP="00025624">
      <w:pPr>
        <w:pStyle w:val="Heading3"/>
        <w:tabs>
          <w:tab w:val="center" w:pos="720"/>
          <w:tab w:val="center" w:pos="1440"/>
          <w:tab w:val="center" w:pos="2160"/>
          <w:tab w:val="center" w:pos="2880"/>
          <w:tab w:val="center" w:pos="3600"/>
          <w:tab w:val="center" w:pos="4321"/>
          <w:tab w:val="center" w:pos="5041"/>
          <w:tab w:val="center" w:pos="6785"/>
        </w:tabs>
        <w:spacing w:after="10" w:line="249" w:lineRule="auto"/>
        <w:ind w:left="0" w:firstLine="0"/>
      </w:pPr>
      <w:r w:rsidRPr="00461480">
        <w:lastRenderedPageBreak/>
        <w:t>Table 1</w:t>
      </w:r>
      <w:r w:rsidRPr="00E875ED">
        <w:t xml:space="preserve"> – Continued</w:t>
      </w:r>
    </w:p>
    <w:p w14:paraId="1635D8AE" w14:textId="77777777" w:rsidR="00025624" w:rsidRDefault="00025624" w:rsidP="00025624">
      <w:pPr>
        <w:ind w:left="0" w:firstLine="0"/>
      </w:pPr>
    </w:p>
    <w:tbl>
      <w:tblPr>
        <w:tblStyle w:val="TableGrid1"/>
        <w:tblW w:w="14781" w:type="dxa"/>
        <w:tblInd w:w="-731" w:type="dxa"/>
        <w:tblCellMar>
          <w:left w:w="68" w:type="dxa"/>
          <w:right w:w="23" w:type="dxa"/>
        </w:tblCellMar>
        <w:tblLook w:val="04A0" w:firstRow="1" w:lastRow="0" w:firstColumn="1" w:lastColumn="0" w:noHBand="0" w:noVBand="1"/>
      </w:tblPr>
      <w:tblGrid>
        <w:gridCol w:w="3769"/>
        <w:gridCol w:w="3157"/>
        <w:gridCol w:w="3780"/>
        <w:gridCol w:w="4075"/>
      </w:tblGrid>
      <w:tr w:rsidR="00025624" w14:paraId="69733AE3" w14:textId="77777777">
        <w:trPr>
          <w:trHeight w:val="302"/>
        </w:trPr>
        <w:tc>
          <w:tcPr>
            <w:tcW w:w="3769" w:type="dxa"/>
            <w:vMerge w:val="restart"/>
            <w:tcBorders>
              <w:top w:val="single" w:sz="12" w:space="0" w:color="000000"/>
              <w:left w:val="single" w:sz="12" w:space="0" w:color="000000"/>
              <w:bottom w:val="single" w:sz="12" w:space="0" w:color="000000"/>
              <w:right w:val="single" w:sz="12" w:space="0" w:color="000000"/>
            </w:tcBorders>
            <w:vAlign w:val="center"/>
          </w:tcPr>
          <w:p w14:paraId="2AC63C11" w14:textId="77777777" w:rsidR="00025624" w:rsidRPr="0012535F" w:rsidRDefault="00025624" w:rsidP="00B264BE">
            <w:pPr>
              <w:spacing w:after="0" w:line="259" w:lineRule="auto"/>
              <w:ind w:left="0" w:right="51" w:firstLine="0"/>
              <w:jc w:val="center"/>
              <w:rPr>
                <w:sz w:val="18"/>
                <w:szCs w:val="18"/>
              </w:rPr>
            </w:pPr>
            <w:r w:rsidRPr="0012535F">
              <w:rPr>
                <w:b/>
                <w:sz w:val="18"/>
                <w:szCs w:val="18"/>
              </w:rPr>
              <w:t>ANALYTES</w:t>
            </w:r>
          </w:p>
        </w:tc>
        <w:tc>
          <w:tcPr>
            <w:tcW w:w="11012" w:type="dxa"/>
            <w:gridSpan w:val="3"/>
            <w:tcBorders>
              <w:top w:val="single" w:sz="12" w:space="0" w:color="000000"/>
              <w:left w:val="single" w:sz="12" w:space="0" w:color="000000"/>
              <w:bottom w:val="single" w:sz="12" w:space="0" w:color="000000"/>
              <w:right w:val="single" w:sz="12" w:space="0" w:color="000000"/>
            </w:tcBorders>
            <w:vAlign w:val="center"/>
          </w:tcPr>
          <w:p w14:paraId="11FB1C24" w14:textId="77777777" w:rsidR="00025624" w:rsidRPr="00FC60D9" w:rsidRDefault="00025624" w:rsidP="00B264BE">
            <w:pPr>
              <w:spacing w:after="0" w:line="259" w:lineRule="auto"/>
              <w:ind w:left="0" w:right="45" w:firstLine="0"/>
              <w:jc w:val="center"/>
              <w:rPr>
                <w:b/>
                <w:bCs/>
                <w:sz w:val="18"/>
                <w:szCs w:val="18"/>
              </w:rPr>
            </w:pPr>
            <w:r w:rsidRPr="00FC60D9">
              <w:rPr>
                <w:b/>
                <w:bCs/>
                <w:sz w:val="18"/>
                <w:szCs w:val="18"/>
              </w:rPr>
              <w:t>AIR</w:t>
            </w:r>
            <w:r>
              <w:rPr>
                <w:b/>
                <w:bCs/>
                <w:sz w:val="18"/>
                <w:szCs w:val="18"/>
              </w:rPr>
              <w:t xml:space="preserve"> SAMPLES</w:t>
            </w:r>
          </w:p>
        </w:tc>
      </w:tr>
      <w:tr w:rsidR="00025624" w14:paraId="4E66FDAF" w14:textId="77777777">
        <w:trPr>
          <w:trHeight w:val="389"/>
        </w:trPr>
        <w:tc>
          <w:tcPr>
            <w:tcW w:w="0" w:type="auto"/>
            <w:vMerge/>
            <w:tcBorders>
              <w:top w:val="nil"/>
              <w:left w:val="single" w:sz="12" w:space="0" w:color="000000"/>
              <w:bottom w:val="single" w:sz="12" w:space="0" w:color="000000"/>
              <w:right w:val="single" w:sz="12" w:space="0" w:color="000000"/>
            </w:tcBorders>
            <w:vAlign w:val="center"/>
          </w:tcPr>
          <w:p w14:paraId="04A6FDF2" w14:textId="77777777" w:rsidR="00025624" w:rsidRPr="00D67AD0" w:rsidRDefault="00025624" w:rsidP="00B264BE">
            <w:pPr>
              <w:spacing w:after="160" w:line="259" w:lineRule="auto"/>
              <w:ind w:left="0" w:right="0" w:firstLine="0"/>
              <w:jc w:val="center"/>
              <w:rPr>
                <w:sz w:val="18"/>
                <w:szCs w:val="18"/>
              </w:rPr>
            </w:pPr>
          </w:p>
        </w:tc>
        <w:tc>
          <w:tcPr>
            <w:tcW w:w="3157" w:type="dxa"/>
            <w:tcBorders>
              <w:top w:val="single" w:sz="12" w:space="0" w:color="000000"/>
              <w:left w:val="single" w:sz="12" w:space="0" w:color="000000"/>
              <w:bottom w:val="single" w:sz="12" w:space="0" w:color="000000"/>
              <w:right w:val="single" w:sz="12" w:space="0" w:color="000000"/>
            </w:tcBorders>
            <w:vAlign w:val="center"/>
          </w:tcPr>
          <w:p w14:paraId="1568DA79" w14:textId="77777777" w:rsidR="00025624" w:rsidRPr="00D67AD0" w:rsidRDefault="00025624" w:rsidP="00B264BE">
            <w:pPr>
              <w:spacing w:after="0" w:line="259" w:lineRule="auto"/>
              <w:ind w:left="0" w:right="51" w:firstLine="0"/>
              <w:jc w:val="center"/>
              <w:rPr>
                <w:sz w:val="18"/>
                <w:szCs w:val="18"/>
              </w:rPr>
            </w:pPr>
            <w:r w:rsidRPr="00D67AD0">
              <w:rPr>
                <w:b/>
                <w:sz w:val="18"/>
                <w:szCs w:val="18"/>
              </w:rPr>
              <w:t>Containers</w:t>
            </w:r>
          </w:p>
        </w:tc>
        <w:tc>
          <w:tcPr>
            <w:tcW w:w="3780" w:type="dxa"/>
            <w:tcBorders>
              <w:top w:val="single" w:sz="12" w:space="0" w:color="000000"/>
              <w:left w:val="single" w:sz="12" w:space="0" w:color="000000"/>
              <w:bottom w:val="single" w:sz="12" w:space="0" w:color="000000"/>
              <w:right w:val="single" w:sz="12" w:space="0" w:color="000000"/>
            </w:tcBorders>
            <w:vAlign w:val="center"/>
          </w:tcPr>
          <w:p w14:paraId="72921837" w14:textId="77777777" w:rsidR="00025624" w:rsidRPr="00D67AD0" w:rsidRDefault="00025624" w:rsidP="00B264BE">
            <w:pPr>
              <w:spacing w:after="0" w:line="259" w:lineRule="auto"/>
              <w:ind w:left="91" w:right="0" w:firstLine="0"/>
              <w:jc w:val="center"/>
              <w:rPr>
                <w:sz w:val="18"/>
                <w:szCs w:val="18"/>
              </w:rPr>
            </w:pPr>
            <w:r w:rsidRPr="00D67AD0">
              <w:rPr>
                <w:b/>
                <w:sz w:val="18"/>
                <w:szCs w:val="18"/>
              </w:rPr>
              <w:t>Preservatives</w:t>
            </w:r>
          </w:p>
        </w:tc>
        <w:tc>
          <w:tcPr>
            <w:tcW w:w="4075" w:type="dxa"/>
            <w:tcBorders>
              <w:top w:val="single" w:sz="12" w:space="0" w:color="000000"/>
              <w:left w:val="single" w:sz="12" w:space="0" w:color="000000"/>
              <w:bottom w:val="single" w:sz="12" w:space="0" w:color="000000"/>
              <w:right w:val="single" w:sz="12" w:space="0" w:color="000000"/>
            </w:tcBorders>
            <w:vAlign w:val="center"/>
          </w:tcPr>
          <w:p w14:paraId="69B7E206" w14:textId="77777777" w:rsidR="00025624" w:rsidRPr="00D67AD0" w:rsidRDefault="00025624" w:rsidP="00B264BE">
            <w:pPr>
              <w:spacing w:after="0" w:line="259" w:lineRule="auto"/>
              <w:ind w:left="0" w:right="49" w:firstLine="0"/>
              <w:jc w:val="center"/>
              <w:rPr>
                <w:sz w:val="18"/>
                <w:szCs w:val="18"/>
              </w:rPr>
            </w:pPr>
            <w:r w:rsidRPr="00D67AD0">
              <w:rPr>
                <w:b/>
                <w:sz w:val="18"/>
                <w:szCs w:val="18"/>
              </w:rPr>
              <w:t>Holding Times</w:t>
            </w:r>
          </w:p>
        </w:tc>
      </w:tr>
      <w:tr w:rsidR="00025624" w14:paraId="0D39DF1A" w14:textId="77777777">
        <w:trPr>
          <w:trHeight w:val="302"/>
        </w:trPr>
        <w:tc>
          <w:tcPr>
            <w:tcW w:w="3769" w:type="dxa"/>
            <w:tcBorders>
              <w:top w:val="single" w:sz="12" w:space="0" w:color="000000"/>
              <w:left w:val="single" w:sz="12" w:space="0" w:color="000000"/>
              <w:bottom w:val="single" w:sz="12" w:space="0" w:color="000000"/>
              <w:right w:val="single" w:sz="12" w:space="0" w:color="000000"/>
            </w:tcBorders>
            <w:shd w:val="clear" w:color="auto" w:fill="C0C0C0"/>
          </w:tcPr>
          <w:p w14:paraId="601F05ED" w14:textId="77777777" w:rsidR="00025624" w:rsidRPr="00A37AE4" w:rsidRDefault="00025624" w:rsidP="00B264BE">
            <w:pPr>
              <w:spacing w:after="0" w:line="259" w:lineRule="auto"/>
              <w:ind w:right="0"/>
              <w:jc w:val="center"/>
              <w:rPr>
                <w:sz w:val="20"/>
                <w:szCs w:val="20"/>
              </w:rPr>
            </w:pPr>
            <w:r w:rsidDel="00F70D20">
              <w:rPr>
                <w:b/>
                <w:sz w:val="18"/>
              </w:rPr>
              <w:t>Compendium of Methods for the Determination of Toxic Organic Compounds in Ambient Air</w:t>
            </w:r>
            <w:r>
              <w:rPr>
                <w:b/>
                <w:sz w:val="18"/>
              </w:rPr>
              <w:t xml:space="preserve"> </w:t>
            </w:r>
          </w:p>
        </w:tc>
        <w:tc>
          <w:tcPr>
            <w:tcW w:w="3157" w:type="dxa"/>
            <w:tcBorders>
              <w:top w:val="single" w:sz="12" w:space="0" w:color="000000"/>
              <w:left w:val="single" w:sz="12" w:space="0" w:color="000000"/>
              <w:bottom w:val="single" w:sz="12" w:space="0" w:color="000000"/>
              <w:right w:val="single" w:sz="12" w:space="0" w:color="000000"/>
            </w:tcBorders>
            <w:shd w:val="clear" w:color="auto" w:fill="C0C0C0"/>
          </w:tcPr>
          <w:p w14:paraId="21334FC2" w14:textId="77777777" w:rsidR="00025624" w:rsidRPr="00A37AE4" w:rsidRDefault="00025624" w:rsidP="00B264BE">
            <w:pPr>
              <w:spacing w:after="0" w:line="259" w:lineRule="auto"/>
              <w:ind w:left="0" w:right="0" w:firstLine="0"/>
              <w:jc w:val="center"/>
              <w:rPr>
                <w:sz w:val="20"/>
                <w:szCs w:val="20"/>
              </w:rPr>
            </w:pPr>
            <w:r>
              <w:rPr>
                <w:sz w:val="20"/>
              </w:rPr>
              <w:t xml:space="preserve"> </w:t>
            </w:r>
          </w:p>
        </w:tc>
        <w:tc>
          <w:tcPr>
            <w:tcW w:w="3780" w:type="dxa"/>
            <w:tcBorders>
              <w:top w:val="single" w:sz="12" w:space="0" w:color="000000"/>
              <w:left w:val="single" w:sz="12" w:space="0" w:color="000000"/>
              <w:bottom w:val="single" w:sz="12" w:space="0" w:color="000000"/>
              <w:right w:val="single" w:sz="12" w:space="0" w:color="000000"/>
            </w:tcBorders>
            <w:shd w:val="clear" w:color="auto" w:fill="C0C0C0"/>
          </w:tcPr>
          <w:p w14:paraId="48878637" w14:textId="77777777" w:rsidR="00025624" w:rsidRPr="00A37AE4" w:rsidRDefault="00025624" w:rsidP="00B264BE">
            <w:pPr>
              <w:spacing w:after="0" w:line="259" w:lineRule="auto"/>
              <w:ind w:left="6" w:right="0" w:firstLine="0"/>
              <w:jc w:val="center"/>
              <w:rPr>
                <w:sz w:val="20"/>
                <w:szCs w:val="20"/>
              </w:rPr>
            </w:pPr>
            <w:r>
              <w:rPr>
                <w:sz w:val="20"/>
              </w:rPr>
              <w:t xml:space="preserve"> </w:t>
            </w:r>
          </w:p>
        </w:tc>
        <w:tc>
          <w:tcPr>
            <w:tcW w:w="4075" w:type="dxa"/>
            <w:tcBorders>
              <w:top w:val="single" w:sz="12" w:space="0" w:color="000000"/>
              <w:left w:val="single" w:sz="12" w:space="0" w:color="000000"/>
              <w:bottom w:val="single" w:sz="12" w:space="0" w:color="000000"/>
              <w:right w:val="single" w:sz="12" w:space="0" w:color="000000"/>
            </w:tcBorders>
            <w:shd w:val="clear" w:color="auto" w:fill="C0C0C0"/>
          </w:tcPr>
          <w:p w14:paraId="1234C36D" w14:textId="77777777" w:rsidR="00025624" w:rsidRPr="00A37AE4" w:rsidRDefault="00025624" w:rsidP="00B264BE">
            <w:pPr>
              <w:spacing w:after="0" w:line="259" w:lineRule="auto"/>
              <w:ind w:left="0" w:right="0" w:firstLine="0"/>
              <w:rPr>
                <w:sz w:val="20"/>
                <w:szCs w:val="20"/>
              </w:rPr>
            </w:pPr>
          </w:p>
        </w:tc>
      </w:tr>
      <w:tr w:rsidR="00025624" w14:paraId="115EDBFC" w14:textId="77777777">
        <w:trPr>
          <w:trHeight w:val="302"/>
        </w:trPr>
        <w:tc>
          <w:tcPr>
            <w:tcW w:w="3769" w:type="dxa"/>
            <w:tcBorders>
              <w:top w:val="single" w:sz="12" w:space="0" w:color="000000"/>
              <w:left w:val="single" w:sz="12" w:space="0" w:color="000000"/>
              <w:bottom w:val="single" w:sz="12" w:space="0" w:color="000000"/>
              <w:right w:val="single" w:sz="12" w:space="0" w:color="000000"/>
            </w:tcBorders>
          </w:tcPr>
          <w:p w14:paraId="0030AC42" w14:textId="77777777" w:rsidR="00025624" w:rsidRDefault="00025624" w:rsidP="00B264BE">
            <w:pPr>
              <w:spacing w:after="0" w:line="259" w:lineRule="auto"/>
              <w:ind w:right="0"/>
              <w:rPr>
                <w:sz w:val="20"/>
              </w:rPr>
            </w:pPr>
            <w:r>
              <w:rPr>
                <w:sz w:val="20"/>
              </w:rPr>
              <w:t>TO-15 VOCs</w:t>
            </w:r>
          </w:p>
        </w:tc>
        <w:tc>
          <w:tcPr>
            <w:tcW w:w="3157" w:type="dxa"/>
            <w:tcBorders>
              <w:top w:val="single" w:sz="12" w:space="0" w:color="000000"/>
              <w:left w:val="single" w:sz="12" w:space="0" w:color="000000"/>
              <w:bottom w:val="single" w:sz="12" w:space="0" w:color="000000"/>
              <w:right w:val="single" w:sz="12" w:space="0" w:color="000000"/>
            </w:tcBorders>
          </w:tcPr>
          <w:p w14:paraId="664D2236" w14:textId="77777777" w:rsidR="00025624" w:rsidRPr="001004FB" w:rsidRDefault="00025624" w:rsidP="00B264BE">
            <w:pPr>
              <w:spacing w:after="0" w:line="259" w:lineRule="auto"/>
              <w:ind w:left="6" w:right="0" w:firstLine="0"/>
              <w:jc w:val="center"/>
              <w:rPr>
                <w:sz w:val="20"/>
                <w:szCs w:val="20"/>
              </w:rPr>
            </w:pPr>
            <w:r w:rsidRPr="00C420B6" w:rsidDel="00F70D20">
              <w:rPr>
                <w:sz w:val="20"/>
                <w:szCs w:val="20"/>
              </w:rPr>
              <w:t>1, 1.4, or 6-Liter Summa Canisters</w:t>
            </w:r>
          </w:p>
        </w:tc>
        <w:tc>
          <w:tcPr>
            <w:tcW w:w="3780" w:type="dxa"/>
            <w:tcBorders>
              <w:top w:val="single" w:sz="12" w:space="0" w:color="000000"/>
              <w:left w:val="single" w:sz="12" w:space="0" w:color="000000"/>
              <w:bottom w:val="single" w:sz="12" w:space="0" w:color="000000"/>
              <w:right w:val="single" w:sz="12" w:space="0" w:color="000000"/>
            </w:tcBorders>
          </w:tcPr>
          <w:p w14:paraId="38266156" w14:textId="77777777" w:rsidR="00025624" w:rsidRDefault="00025624" w:rsidP="00B264BE">
            <w:pPr>
              <w:spacing w:after="0" w:line="259" w:lineRule="auto"/>
              <w:ind w:left="6" w:right="0" w:firstLine="0"/>
              <w:jc w:val="center"/>
              <w:rPr>
                <w:sz w:val="20"/>
              </w:rPr>
            </w:pPr>
            <w:r>
              <w:rPr>
                <w:sz w:val="20"/>
              </w:rPr>
              <w:t>NA</w:t>
            </w:r>
          </w:p>
        </w:tc>
        <w:tc>
          <w:tcPr>
            <w:tcW w:w="4075" w:type="dxa"/>
            <w:tcBorders>
              <w:top w:val="single" w:sz="12" w:space="0" w:color="000000"/>
              <w:left w:val="single" w:sz="12" w:space="0" w:color="000000"/>
              <w:bottom w:val="single" w:sz="12" w:space="0" w:color="000000"/>
              <w:right w:val="single" w:sz="12" w:space="0" w:color="000000"/>
            </w:tcBorders>
          </w:tcPr>
          <w:p w14:paraId="337101CD" w14:textId="77777777" w:rsidR="00025624" w:rsidRPr="00A37AE4" w:rsidRDefault="00025624" w:rsidP="00B264BE">
            <w:pPr>
              <w:spacing w:after="0" w:line="259" w:lineRule="auto"/>
              <w:ind w:left="4" w:right="0" w:firstLine="0"/>
              <w:jc w:val="center"/>
              <w:rPr>
                <w:sz w:val="20"/>
                <w:szCs w:val="20"/>
              </w:rPr>
            </w:pPr>
            <w:r>
              <w:rPr>
                <w:sz w:val="20"/>
              </w:rPr>
              <w:t>30 days</w:t>
            </w:r>
          </w:p>
        </w:tc>
      </w:tr>
      <w:tr w:rsidR="00025624" w14:paraId="19953E19" w14:textId="77777777">
        <w:trPr>
          <w:trHeight w:val="302"/>
        </w:trPr>
        <w:tc>
          <w:tcPr>
            <w:tcW w:w="3769" w:type="dxa"/>
            <w:tcBorders>
              <w:top w:val="single" w:sz="12" w:space="0" w:color="000000"/>
              <w:left w:val="single" w:sz="12" w:space="0" w:color="000000"/>
              <w:bottom w:val="single" w:sz="12" w:space="0" w:color="000000"/>
              <w:right w:val="single" w:sz="12" w:space="0" w:color="000000"/>
            </w:tcBorders>
          </w:tcPr>
          <w:p w14:paraId="7F2A0319" w14:textId="77777777" w:rsidR="00025624" w:rsidRPr="00C420B6" w:rsidRDefault="00025624" w:rsidP="00B264BE">
            <w:pPr>
              <w:spacing w:after="0" w:line="259" w:lineRule="auto"/>
              <w:ind w:right="0"/>
              <w:rPr>
                <w:bCs/>
                <w:sz w:val="20"/>
                <w:szCs w:val="20"/>
              </w:rPr>
            </w:pPr>
            <w:r w:rsidRPr="00C420B6">
              <w:rPr>
                <w:bCs/>
                <w:sz w:val="20"/>
                <w:szCs w:val="20"/>
              </w:rPr>
              <w:t>TO-17 VOCs</w:t>
            </w:r>
          </w:p>
        </w:tc>
        <w:tc>
          <w:tcPr>
            <w:tcW w:w="3157" w:type="dxa"/>
            <w:tcBorders>
              <w:top w:val="single" w:sz="12" w:space="0" w:color="000000"/>
              <w:left w:val="single" w:sz="12" w:space="0" w:color="000000"/>
              <w:bottom w:val="single" w:sz="12" w:space="0" w:color="000000"/>
              <w:right w:val="single" w:sz="12" w:space="0" w:color="000000"/>
            </w:tcBorders>
          </w:tcPr>
          <w:p w14:paraId="09C5CAE6" w14:textId="77777777" w:rsidR="00025624" w:rsidRPr="001004FB" w:rsidRDefault="00025624" w:rsidP="00B264BE">
            <w:pPr>
              <w:spacing w:after="0" w:line="259" w:lineRule="auto"/>
              <w:ind w:left="6" w:right="0" w:firstLine="0"/>
              <w:jc w:val="center"/>
              <w:rPr>
                <w:sz w:val="20"/>
                <w:szCs w:val="20"/>
              </w:rPr>
            </w:pPr>
            <w:r w:rsidRPr="00C420B6" w:rsidDel="00F70D20">
              <w:rPr>
                <w:sz w:val="20"/>
                <w:szCs w:val="20"/>
              </w:rPr>
              <w:t>Sorbent Samplers</w:t>
            </w:r>
          </w:p>
        </w:tc>
        <w:tc>
          <w:tcPr>
            <w:tcW w:w="3780" w:type="dxa"/>
            <w:tcBorders>
              <w:top w:val="single" w:sz="12" w:space="0" w:color="000000"/>
              <w:left w:val="single" w:sz="12" w:space="0" w:color="000000"/>
              <w:bottom w:val="single" w:sz="12" w:space="0" w:color="000000"/>
              <w:right w:val="single" w:sz="12" w:space="0" w:color="000000"/>
            </w:tcBorders>
          </w:tcPr>
          <w:p w14:paraId="040593EE" w14:textId="77777777" w:rsidR="00025624" w:rsidRPr="00A37AE4" w:rsidRDefault="00025624" w:rsidP="00B264BE">
            <w:pPr>
              <w:spacing w:after="0" w:line="259" w:lineRule="auto"/>
              <w:ind w:left="6" w:right="0" w:firstLine="0"/>
              <w:jc w:val="center"/>
              <w:rPr>
                <w:sz w:val="20"/>
                <w:szCs w:val="20"/>
              </w:rPr>
            </w:pPr>
            <w:r>
              <w:rPr>
                <w:sz w:val="20"/>
                <w:szCs w:val="20"/>
              </w:rPr>
              <w:t>NA</w:t>
            </w:r>
          </w:p>
        </w:tc>
        <w:tc>
          <w:tcPr>
            <w:tcW w:w="4075" w:type="dxa"/>
            <w:tcBorders>
              <w:top w:val="single" w:sz="12" w:space="0" w:color="000000"/>
              <w:left w:val="single" w:sz="12" w:space="0" w:color="000000"/>
              <w:bottom w:val="single" w:sz="12" w:space="0" w:color="000000"/>
              <w:right w:val="single" w:sz="12" w:space="0" w:color="000000"/>
            </w:tcBorders>
          </w:tcPr>
          <w:p w14:paraId="6508B1AE" w14:textId="77777777" w:rsidR="00025624" w:rsidRPr="00A37AE4" w:rsidRDefault="00025624" w:rsidP="00B264BE">
            <w:pPr>
              <w:spacing w:after="0" w:line="259" w:lineRule="auto"/>
              <w:ind w:left="4" w:right="0" w:firstLine="0"/>
              <w:jc w:val="center"/>
              <w:rPr>
                <w:sz w:val="20"/>
                <w:szCs w:val="20"/>
              </w:rPr>
            </w:pPr>
            <w:r>
              <w:rPr>
                <w:sz w:val="20"/>
                <w:szCs w:val="20"/>
              </w:rPr>
              <w:t>30 days</w:t>
            </w:r>
          </w:p>
        </w:tc>
      </w:tr>
    </w:tbl>
    <w:p w14:paraId="0D7C0F6A" w14:textId="77777777" w:rsidR="00025624" w:rsidRDefault="00025624" w:rsidP="00025624">
      <w:pPr>
        <w:ind w:left="0" w:firstLine="0"/>
      </w:pPr>
    </w:p>
    <w:p w14:paraId="6B68102D" w14:textId="77777777" w:rsidR="00025624" w:rsidRDefault="00025624" w:rsidP="00025624">
      <w:pPr>
        <w:ind w:left="0" w:firstLine="0"/>
      </w:pPr>
    </w:p>
    <w:p w14:paraId="124170CE" w14:textId="77777777" w:rsidR="00025624" w:rsidRDefault="00025624" w:rsidP="00025624">
      <w:pPr>
        <w:ind w:left="0" w:firstLine="0"/>
      </w:pPr>
    </w:p>
    <w:p w14:paraId="73915C62" w14:textId="77777777" w:rsidR="00025624" w:rsidRDefault="00025624" w:rsidP="00025624">
      <w:pPr>
        <w:ind w:left="0" w:firstLine="0"/>
      </w:pPr>
    </w:p>
    <w:p w14:paraId="2A921BBB" w14:textId="77777777" w:rsidR="00025624" w:rsidRDefault="00025624" w:rsidP="00025624">
      <w:pPr>
        <w:ind w:left="0" w:firstLine="0"/>
      </w:pPr>
    </w:p>
    <w:p w14:paraId="423E9FCA" w14:textId="77777777" w:rsidR="00025624" w:rsidRDefault="00025624" w:rsidP="00025624">
      <w:pPr>
        <w:pStyle w:val="Heading3"/>
        <w:spacing w:after="268" w:line="247" w:lineRule="auto"/>
        <w:ind w:left="1236" w:right="186"/>
        <w:jc w:val="left"/>
      </w:pPr>
      <w:r>
        <w:t xml:space="preserve">THE REMAINDER OF THIS PAGE HAS BEEN LEFT BLANK INTENTIONALLY </w:t>
      </w:r>
    </w:p>
    <w:p w14:paraId="7784CD77" w14:textId="77777777" w:rsidR="00025624" w:rsidRDefault="00025624" w:rsidP="00025624">
      <w:pPr>
        <w:ind w:left="0" w:firstLine="0"/>
      </w:pPr>
    </w:p>
    <w:p w14:paraId="3CCB3A34" w14:textId="77777777" w:rsidR="00025624" w:rsidRDefault="00025624" w:rsidP="00025624">
      <w:pPr>
        <w:ind w:left="0" w:firstLine="0"/>
      </w:pPr>
    </w:p>
    <w:p w14:paraId="2A13F25A" w14:textId="77777777" w:rsidR="00025624" w:rsidRDefault="00025624" w:rsidP="00025624">
      <w:pPr>
        <w:ind w:left="0" w:firstLine="0"/>
      </w:pPr>
    </w:p>
    <w:p w14:paraId="77401B5B" w14:textId="77777777" w:rsidR="00025624" w:rsidRDefault="00025624" w:rsidP="00025624">
      <w:pPr>
        <w:ind w:left="0" w:firstLine="0"/>
      </w:pPr>
    </w:p>
    <w:p w14:paraId="0003FFA5" w14:textId="77777777" w:rsidR="00025624" w:rsidRDefault="00025624" w:rsidP="00025624">
      <w:pPr>
        <w:ind w:left="0" w:firstLine="0"/>
      </w:pPr>
    </w:p>
    <w:p w14:paraId="3A80CA9E" w14:textId="77777777" w:rsidR="00025624" w:rsidRDefault="00025624" w:rsidP="00025624">
      <w:pPr>
        <w:ind w:left="0" w:firstLine="0"/>
      </w:pPr>
    </w:p>
    <w:p w14:paraId="1D95CB82" w14:textId="77777777" w:rsidR="00025624" w:rsidRDefault="00025624" w:rsidP="00025624">
      <w:pPr>
        <w:ind w:left="0" w:firstLine="0"/>
      </w:pPr>
    </w:p>
    <w:p w14:paraId="05FC437A" w14:textId="77777777" w:rsidR="00025624" w:rsidRDefault="00025624" w:rsidP="00025624">
      <w:pPr>
        <w:ind w:left="0" w:firstLine="0"/>
      </w:pPr>
    </w:p>
    <w:p w14:paraId="7BBD7336" w14:textId="77777777" w:rsidR="00025624" w:rsidRDefault="00025624" w:rsidP="00025624">
      <w:pPr>
        <w:ind w:left="0" w:firstLine="0"/>
      </w:pPr>
    </w:p>
    <w:p w14:paraId="63061124" w14:textId="77777777" w:rsidR="00025624" w:rsidRDefault="00025624" w:rsidP="00025624">
      <w:pPr>
        <w:ind w:left="0" w:firstLine="0"/>
      </w:pPr>
    </w:p>
    <w:p w14:paraId="132EDBB0" w14:textId="77777777" w:rsidR="00025624" w:rsidRDefault="00025624" w:rsidP="00025624">
      <w:pPr>
        <w:ind w:left="0" w:firstLine="0"/>
      </w:pPr>
    </w:p>
    <w:p w14:paraId="5CA38584" w14:textId="77777777" w:rsidR="00025624" w:rsidRDefault="00025624" w:rsidP="00025624">
      <w:pPr>
        <w:ind w:left="0" w:firstLine="0"/>
      </w:pPr>
    </w:p>
    <w:p w14:paraId="18CF68A8" w14:textId="77777777" w:rsidR="00025624" w:rsidRDefault="00025624" w:rsidP="00025624">
      <w:pPr>
        <w:ind w:left="0" w:firstLine="0"/>
      </w:pPr>
    </w:p>
    <w:p w14:paraId="3BC707C1" w14:textId="77777777" w:rsidR="00025624" w:rsidRDefault="00025624" w:rsidP="00025624">
      <w:pPr>
        <w:ind w:left="0" w:firstLine="0"/>
      </w:pPr>
    </w:p>
    <w:p w14:paraId="12C2E3FC" w14:textId="77777777" w:rsidR="00025624" w:rsidRDefault="00025624" w:rsidP="00025624">
      <w:pPr>
        <w:ind w:left="0" w:firstLine="0"/>
      </w:pPr>
    </w:p>
    <w:p w14:paraId="6D3490DA" w14:textId="77777777" w:rsidR="00025624" w:rsidRDefault="00025624" w:rsidP="00025624">
      <w:pPr>
        <w:ind w:left="0" w:firstLine="0"/>
      </w:pPr>
    </w:p>
    <w:p w14:paraId="5B84ACFD" w14:textId="77777777" w:rsidR="00025624" w:rsidRDefault="00025624" w:rsidP="00025624">
      <w:pPr>
        <w:tabs>
          <w:tab w:val="center" w:pos="6365"/>
        </w:tabs>
      </w:pPr>
    </w:p>
    <w:p w14:paraId="31249602" w14:textId="77777777" w:rsidR="00025624" w:rsidRDefault="00025624" w:rsidP="00413D79">
      <w:pPr>
        <w:ind w:left="0" w:firstLine="0"/>
      </w:pPr>
    </w:p>
    <w:p w14:paraId="6364804D" w14:textId="77777777" w:rsidR="00C705B7" w:rsidRPr="009B394E" w:rsidRDefault="00C705B7" w:rsidP="00C705B7">
      <w:pPr>
        <w:pStyle w:val="Heading3"/>
        <w:tabs>
          <w:tab w:val="center" w:pos="720"/>
          <w:tab w:val="center" w:pos="1440"/>
          <w:tab w:val="center" w:pos="2160"/>
          <w:tab w:val="center" w:pos="2880"/>
          <w:tab w:val="center" w:pos="3600"/>
          <w:tab w:val="center" w:pos="4321"/>
          <w:tab w:val="center" w:pos="5041"/>
          <w:tab w:val="center" w:pos="6785"/>
        </w:tabs>
        <w:spacing w:after="10" w:line="249" w:lineRule="auto"/>
        <w:ind w:left="0" w:firstLine="0"/>
      </w:pPr>
      <w:r w:rsidRPr="00461480">
        <w:lastRenderedPageBreak/>
        <w:t>Table 1</w:t>
      </w:r>
      <w:r w:rsidRPr="00E875ED">
        <w:t xml:space="preserve"> – Continued</w:t>
      </w:r>
    </w:p>
    <w:p w14:paraId="193CD234" w14:textId="77777777" w:rsidR="00C705B7" w:rsidRDefault="00C705B7" w:rsidP="00413D79">
      <w:pPr>
        <w:ind w:left="0" w:firstLine="0"/>
      </w:pPr>
    </w:p>
    <w:tbl>
      <w:tblPr>
        <w:tblStyle w:val="TableGrid1"/>
        <w:tblW w:w="14781" w:type="dxa"/>
        <w:tblInd w:w="-731" w:type="dxa"/>
        <w:tblCellMar>
          <w:left w:w="68" w:type="dxa"/>
          <w:right w:w="23" w:type="dxa"/>
        </w:tblCellMar>
        <w:tblLook w:val="04A0" w:firstRow="1" w:lastRow="0" w:firstColumn="1" w:lastColumn="0" w:noHBand="0" w:noVBand="1"/>
      </w:tblPr>
      <w:tblGrid>
        <w:gridCol w:w="3429"/>
        <w:gridCol w:w="1629"/>
        <w:gridCol w:w="1432"/>
        <w:gridCol w:w="1606"/>
        <w:gridCol w:w="1620"/>
        <w:gridCol w:w="3022"/>
        <w:gridCol w:w="2043"/>
      </w:tblGrid>
      <w:tr w:rsidR="00275991" w14:paraId="60617C3F" w14:textId="77777777" w:rsidTr="00E63B58">
        <w:trPr>
          <w:trHeight w:val="302"/>
        </w:trPr>
        <w:tc>
          <w:tcPr>
            <w:tcW w:w="3429" w:type="dxa"/>
            <w:vMerge w:val="restart"/>
            <w:tcBorders>
              <w:top w:val="single" w:sz="12" w:space="0" w:color="000000"/>
              <w:left w:val="single" w:sz="12" w:space="0" w:color="000000"/>
              <w:bottom w:val="single" w:sz="12" w:space="0" w:color="000000"/>
              <w:right w:val="single" w:sz="12" w:space="0" w:color="000000"/>
            </w:tcBorders>
            <w:vAlign w:val="center"/>
          </w:tcPr>
          <w:p w14:paraId="5319D079" w14:textId="77777777" w:rsidR="00275991" w:rsidRPr="0012535F" w:rsidRDefault="00275991">
            <w:pPr>
              <w:spacing w:after="0" w:line="259" w:lineRule="auto"/>
              <w:ind w:left="0" w:right="51" w:firstLine="0"/>
              <w:jc w:val="center"/>
              <w:rPr>
                <w:sz w:val="18"/>
                <w:szCs w:val="18"/>
              </w:rPr>
            </w:pPr>
            <w:r w:rsidRPr="0012535F">
              <w:rPr>
                <w:b/>
                <w:sz w:val="18"/>
                <w:szCs w:val="18"/>
              </w:rPr>
              <w:t>ANALYTES</w:t>
            </w:r>
          </w:p>
        </w:tc>
        <w:tc>
          <w:tcPr>
            <w:tcW w:w="4667" w:type="dxa"/>
            <w:gridSpan w:val="3"/>
            <w:tcBorders>
              <w:top w:val="single" w:sz="12" w:space="0" w:color="000000"/>
              <w:left w:val="single" w:sz="12" w:space="0" w:color="000000"/>
              <w:bottom w:val="single" w:sz="12" w:space="0" w:color="000000"/>
              <w:right w:val="single" w:sz="12" w:space="0" w:color="000000"/>
            </w:tcBorders>
            <w:vAlign w:val="center"/>
          </w:tcPr>
          <w:p w14:paraId="205FA712" w14:textId="12426254" w:rsidR="00275991" w:rsidRPr="0012535F" w:rsidRDefault="00CE40CB">
            <w:pPr>
              <w:spacing w:after="0" w:line="259" w:lineRule="auto"/>
              <w:ind w:left="0" w:right="48" w:firstLine="0"/>
              <w:jc w:val="center"/>
              <w:rPr>
                <w:sz w:val="18"/>
                <w:szCs w:val="18"/>
              </w:rPr>
            </w:pPr>
            <w:r>
              <w:rPr>
                <w:b/>
                <w:sz w:val="18"/>
                <w:szCs w:val="18"/>
              </w:rPr>
              <w:t>SOLIDS (</w:t>
            </w:r>
            <w:r w:rsidR="00275991" w:rsidRPr="0012535F">
              <w:rPr>
                <w:b/>
                <w:sz w:val="18"/>
                <w:szCs w:val="18"/>
              </w:rPr>
              <w:t>SOILS, SEDIMENTS, WASTES</w:t>
            </w:r>
            <w:r>
              <w:rPr>
                <w:b/>
                <w:sz w:val="18"/>
                <w:szCs w:val="18"/>
              </w:rPr>
              <w:t>, BIOSOLIS)</w:t>
            </w:r>
          </w:p>
        </w:tc>
        <w:tc>
          <w:tcPr>
            <w:tcW w:w="6685" w:type="dxa"/>
            <w:gridSpan w:val="3"/>
            <w:tcBorders>
              <w:top w:val="single" w:sz="12" w:space="0" w:color="000000"/>
              <w:left w:val="single" w:sz="12" w:space="0" w:color="000000"/>
              <w:bottom w:val="single" w:sz="12" w:space="0" w:color="000000"/>
              <w:right w:val="single" w:sz="12" w:space="0" w:color="000000"/>
            </w:tcBorders>
            <w:vAlign w:val="center"/>
          </w:tcPr>
          <w:p w14:paraId="109933B6" w14:textId="77777777" w:rsidR="00275991" w:rsidRPr="0012535F" w:rsidRDefault="00275991">
            <w:pPr>
              <w:spacing w:after="0" w:line="259" w:lineRule="auto"/>
              <w:ind w:left="0" w:right="45" w:firstLine="0"/>
              <w:jc w:val="center"/>
              <w:rPr>
                <w:sz w:val="18"/>
                <w:szCs w:val="18"/>
              </w:rPr>
            </w:pPr>
            <w:r w:rsidRPr="0012535F">
              <w:rPr>
                <w:b/>
                <w:sz w:val="18"/>
                <w:szCs w:val="18"/>
              </w:rPr>
              <w:t>AQUEOUS SAMPLES</w:t>
            </w:r>
          </w:p>
        </w:tc>
      </w:tr>
      <w:tr w:rsidR="00275991" w14:paraId="74EA827B" w14:textId="77777777" w:rsidTr="00E63B58">
        <w:trPr>
          <w:trHeight w:val="389"/>
        </w:trPr>
        <w:tc>
          <w:tcPr>
            <w:tcW w:w="0" w:type="auto"/>
            <w:vMerge/>
            <w:tcBorders>
              <w:top w:val="nil"/>
              <w:left w:val="single" w:sz="12" w:space="0" w:color="000000"/>
              <w:bottom w:val="single" w:sz="12" w:space="0" w:color="000000"/>
              <w:right w:val="single" w:sz="12" w:space="0" w:color="000000"/>
            </w:tcBorders>
            <w:vAlign w:val="center"/>
          </w:tcPr>
          <w:p w14:paraId="16E86065" w14:textId="77777777" w:rsidR="00275991" w:rsidRPr="00D67AD0" w:rsidRDefault="00275991">
            <w:pPr>
              <w:spacing w:after="160" w:line="259" w:lineRule="auto"/>
              <w:ind w:left="0" w:right="0" w:firstLine="0"/>
              <w:jc w:val="center"/>
              <w:rPr>
                <w:sz w:val="18"/>
                <w:szCs w:val="18"/>
              </w:rPr>
            </w:pPr>
          </w:p>
        </w:tc>
        <w:tc>
          <w:tcPr>
            <w:tcW w:w="1629" w:type="dxa"/>
            <w:tcBorders>
              <w:top w:val="single" w:sz="12" w:space="0" w:color="000000"/>
              <w:left w:val="single" w:sz="12" w:space="0" w:color="000000"/>
              <w:bottom w:val="single" w:sz="12" w:space="0" w:color="000000"/>
              <w:right w:val="single" w:sz="12" w:space="0" w:color="000000"/>
            </w:tcBorders>
            <w:vAlign w:val="center"/>
          </w:tcPr>
          <w:p w14:paraId="6BC6BE8F" w14:textId="77777777" w:rsidR="00275991" w:rsidRPr="00D67AD0" w:rsidRDefault="00275991">
            <w:pPr>
              <w:spacing w:after="0" w:line="259" w:lineRule="auto"/>
              <w:ind w:left="0" w:right="51" w:firstLine="0"/>
              <w:jc w:val="center"/>
              <w:rPr>
                <w:sz w:val="18"/>
                <w:szCs w:val="18"/>
              </w:rPr>
            </w:pPr>
            <w:r w:rsidRPr="00D67AD0">
              <w:rPr>
                <w:b/>
                <w:sz w:val="18"/>
                <w:szCs w:val="18"/>
              </w:rPr>
              <w:t>Containers</w:t>
            </w:r>
          </w:p>
        </w:tc>
        <w:tc>
          <w:tcPr>
            <w:tcW w:w="1432" w:type="dxa"/>
            <w:tcBorders>
              <w:top w:val="single" w:sz="12" w:space="0" w:color="000000"/>
              <w:left w:val="single" w:sz="12" w:space="0" w:color="000000"/>
              <w:bottom w:val="single" w:sz="12" w:space="0" w:color="000000"/>
              <w:right w:val="single" w:sz="12" w:space="0" w:color="000000"/>
            </w:tcBorders>
            <w:vAlign w:val="center"/>
          </w:tcPr>
          <w:p w14:paraId="428952CF" w14:textId="77777777" w:rsidR="00275991" w:rsidRPr="00D67AD0" w:rsidRDefault="00275991">
            <w:pPr>
              <w:spacing w:after="0" w:line="259" w:lineRule="auto"/>
              <w:ind w:left="91" w:right="0" w:firstLine="0"/>
              <w:jc w:val="center"/>
              <w:rPr>
                <w:sz w:val="18"/>
                <w:szCs w:val="18"/>
              </w:rPr>
            </w:pPr>
            <w:r w:rsidRPr="00D67AD0">
              <w:rPr>
                <w:b/>
                <w:sz w:val="18"/>
                <w:szCs w:val="18"/>
              </w:rPr>
              <w:t>Preservatives</w:t>
            </w:r>
          </w:p>
        </w:tc>
        <w:tc>
          <w:tcPr>
            <w:tcW w:w="1606" w:type="dxa"/>
            <w:tcBorders>
              <w:top w:val="single" w:sz="12" w:space="0" w:color="000000"/>
              <w:left w:val="single" w:sz="12" w:space="0" w:color="000000"/>
              <w:bottom w:val="single" w:sz="12" w:space="0" w:color="000000"/>
              <w:right w:val="single" w:sz="12" w:space="0" w:color="000000"/>
            </w:tcBorders>
            <w:vAlign w:val="center"/>
          </w:tcPr>
          <w:p w14:paraId="293AA78B" w14:textId="431A9CAD" w:rsidR="00275991" w:rsidRPr="00D67AD0" w:rsidRDefault="00275991">
            <w:pPr>
              <w:spacing w:after="0" w:line="259" w:lineRule="auto"/>
              <w:ind w:left="0" w:right="49" w:firstLine="0"/>
              <w:jc w:val="center"/>
              <w:rPr>
                <w:sz w:val="18"/>
                <w:szCs w:val="18"/>
              </w:rPr>
            </w:pPr>
            <w:r w:rsidRPr="00D67AD0">
              <w:rPr>
                <w:b/>
                <w:sz w:val="18"/>
                <w:szCs w:val="18"/>
              </w:rPr>
              <w:t>Holding Times</w:t>
            </w:r>
            <w:r w:rsidR="00C707B8" w:rsidRPr="00C707B8">
              <w:rPr>
                <w:b/>
                <w:sz w:val="18"/>
                <w:szCs w:val="18"/>
              </w:rPr>
              <w:t>*</w:t>
            </w:r>
          </w:p>
        </w:tc>
        <w:tc>
          <w:tcPr>
            <w:tcW w:w="1620" w:type="dxa"/>
            <w:tcBorders>
              <w:top w:val="single" w:sz="12" w:space="0" w:color="000000"/>
              <w:left w:val="single" w:sz="12" w:space="0" w:color="000000"/>
              <w:bottom w:val="single" w:sz="12" w:space="0" w:color="000000"/>
              <w:right w:val="single" w:sz="12" w:space="0" w:color="000000"/>
            </w:tcBorders>
            <w:vAlign w:val="center"/>
          </w:tcPr>
          <w:p w14:paraId="4A3A38E4" w14:textId="77777777" w:rsidR="00275991" w:rsidRPr="00D67AD0" w:rsidRDefault="00275991">
            <w:pPr>
              <w:spacing w:after="0" w:line="259" w:lineRule="auto"/>
              <w:ind w:left="0" w:right="50" w:firstLine="0"/>
              <w:jc w:val="center"/>
              <w:rPr>
                <w:sz w:val="18"/>
                <w:szCs w:val="18"/>
              </w:rPr>
            </w:pPr>
            <w:r w:rsidRPr="00D67AD0">
              <w:rPr>
                <w:b/>
                <w:sz w:val="18"/>
                <w:szCs w:val="18"/>
              </w:rPr>
              <w:t>Containers</w:t>
            </w:r>
          </w:p>
        </w:tc>
        <w:tc>
          <w:tcPr>
            <w:tcW w:w="3022" w:type="dxa"/>
            <w:tcBorders>
              <w:top w:val="single" w:sz="12" w:space="0" w:color="000000"/>
              <w:left w:val="single" w:sz="12" w:space="0" w:color="000000"/>
              <w:bottom w:val="single" w:sz="12" w:space="0" w:color="000000"/>
              <w:right w:val="single" w:sz="12" w:space="0" w:color="000000"/>
            </w:tcBorders>
            <w:vAlign w:val="center"/>
          </w:tcPr>
          <w:p w14:paraId="36A561EA" w14:textId="77777777" w:rsidR="00275991" w:rsidRPr="00D67AD0" w:rsidRDefault="00275991">
            <w:pPr>
              <w:spacing w:after="0" w:line="259" w:lineRule="auto"/>
              <w:ind w:left="0" w:right="47" w:firstLine="0"/>
              <w:jc w:val="center"/>
              <w:rPr>
                <w:sz w:val="18"/>
                <w:szCs w:val="18"/>
              </w:rPr>
            </w:pPr>
            <w:r w:rsidRPr="00D67AD0">
              <w:rPr>
                <w:b/>
                <w:sz w:val="18"/>
                <w:szCs w:val="18"/>
              </w:rPr>
              <w:t>Preservatives</w:t>
            </w:r>
          </w:p>
        </w:tc>
        <w:tc>
          <w:tcPr>
            <w:tcW w:w="2043" w:type="dxa"/>
            <w:tcBorders>
              <w:top w:val="single" w:sz="12" w:space="0" w:color="000000"/>
              <w:left w:val="single" w:sz="12" w:space="0" w:color="000000"/>
              <w:bottom w:val="single" w:sz="12" w:space="0" w:color="000000"/>
              <w:right w:val="single" w:sz="12" w:space="0" w:color="000000"/>
            </w:tcBorders>
            <w:vAlign w:val="center"/>
          </w:tcPr>
          <w:p w14:paraId="01AA14BF" w14:textId="1260E3BB" w:rsidR="00275991" w:rsidRPr="00D67AD0" w:rsidRDefault="00275991">
            <w:pPr>
              <w:spacing w:after="0" w:line="259" w:lineRule="auto"/>
              <w:ind w:left="0" w:right="47" w:firstLine="0"/>
              <w:jc w:val="center"/>
              <w:rPr>
                <w:sz w:val="18"/>
                <w:szCs w:val="18"/>
              </w:rPr>
            </w:pPr>
            <w:r w:rsidRPr="00D67AD0">
              <w:rPr>
                <w:b/>
                <w:sz w:val="18"/>
                <w:szCs w:val="18"/>
              </w:rPr>
              <w:t>Holding Times</w:t>
            </w:r>
            <w:r w:rsidR="00C707B8">
              <w:rPr>
                <w:b/>
                <w:sz w:val="18"/>
                <w:szCs w:val="18"/>
              </w:rPr>
              <w:t>*</w:t>
            </w:r>
          </w:p>
        </w:tc>
      </w:tr>
      <w:tr w:rsidR="006153D2" w14:paraId="427A8C31" w14:textId="77777777" w:rsidTr="00E63B58">
        <w:trPr>
          <w:trHeight w:val="302"/>
        </w:trPr>
        <w:tc>
          <w:tcPr>
            <w:tcW w:w="3429" w:type="dxa"/>
            <w:tcBorders>
              <w:top w:val="single" w:sz="12" w:space="0" w:color="000000"/>
              <w:left w:val="single" w:sz="12" w:space="0" w:color="000000"/>
              <w:bottom w:val="single" w:sz="12" w:space="0" w:color="000000"/>
              <w:right w:val="single" w:sz="12" w:space="0" w:color="000000"/>
            </w:tcBorders>
            <w:shd w:val="clear" w:color="auto" w:fill="C0C0C0"/>
          </w:tcPr>
          <w:p w14:paraId="639C9122" w14:textId="47D9ECDA" w:rsidR="00275991" w:rsidRPr="00A37AE4" w:rsidRDefault="00A07EF6">
            <w:pPr>
              <w:spacing w:after="0" w:line="259" w:lineRule="auto"/>
              <w:ind w:right="0"/>
              <w:jc w:val="center"/>
              <w:rPr>
                <w:sz w:val="20"/>
                <w:szCs w:val="20"/>
              </w:rPr>
            </w:pPr>
            <w:r>
              <w:rPr>
                <w:b/>
                <w:sz w:val="20"/>
              </w:rPr>
              <w:t>PFAS</w:t>
            </w:r>
          </w:p>
        </w:tc>
        <w:tc>
          <w:tcPr>
            <w:tcW w:w="1629" w:type="dxa"/>
            <w:tcBorders>
              <w:top w:val="single" w:sz="12" w:space="0" w:color="000000"/>
              <w:left w:val="single" w:sz="12" w:space="0" w:color="000000"/>
              <w:bottom w:val="single" w:sz="12" w:space="0" w:color="000000"/>
              <w:right w:val="single" w:sz="12" w:space="0" w:color="000000"/>
            </w:tcBorders>
            <w:shd w:val="clear" w:color="auto" w:fill="C0C0C0"/>
          </w:tcPr>
          <w:p w14:paraId="0878B2AD" w14:textId="77777777" w:rsidR="00275991" w:rsidRPr="00A37AE4" w:rsidRDefault="00275991">
            <w:pPr>
              <w:spacing w:after="0" w:line="259" w:lineRule="auto"/>
              <w:ind w:left="0" w:right="0" w:firstLine="0"/>
              <w:jc w:val="center"/>
              <w:rPr>
                <w:sz w:val="20"/>
                <w:szCs w:val="20"/>
              </w:rPr>
            </w:pPr>
            <w:r>
              <w:rPr>
                <w:sz w:val="20"/>
              </w:rPr>
              <w:t xml:space="preserve"> </w:t>
            </w:r>
          </w:p>
        </w:tc>
        <w:tc>
          <w:tcPr>
            <w:tcW w:w="1432" w:type="dxa"/>
            <w:tcBorders>
              <w:top w:val="single" w:sz="12" w:space="0" w:color="000000"/>
              <w:left w:val="single" w:sz="12" w:space="0" w:color="000000"/>
              <w:bottom w:val="single" w:sz="12" w:space="0" w:color="000000"/>
              <w:right w:val="single" w:sz="12" w:space="0" w:color="000000"/>
            </w:tcBorders>
            <w:shd w:val="clear" w:color="auto" w:fill="C0C0C0"/>
          </w:tcPr>
          <w:p w14:paraId="196B4ADA" w14:textId="77777777" w:rsidR="00275991" w:rsidRPr="00A37AE4" w:rsidRDefault="00275991">
            <w:pPr>
              <w:spacing w:after="0" w:line="259" w:lineRule="auto"/>
              <w:ind w:left="6" w:right="0" w:firstLine="0"/>
              <w:jc w:val="center"/>
              <w:rPr>
                <w:sz w:val="20"/>
                <w:szCs w:val="20"/>
              </w:rPr>
            </w:pPr>
            <w:r>
              <w:rPr>
                <w:sz w:val="20"/>
              </w:rPr>
              <w:t xml:space="preserve"> </w:t>
            </w:r>
          </w:p>
        </w:tc>
        <w:tc>
          <w:tcPr>
            <w:tcW w:w="1606" w:type="dxa"/>
            <w:tcBorders>
              <w:top w:val="single" w:sz="12" w:space="0" w:color="000000"/>
              <w:left w:val="single" w:sz="12" w:space="0" w:color="000000"/>
              <w:bottom w:val="single" w:sz="12" w:space="0" w:color="000000"/>
              <w:right w:val="single" w:sz="12" w:space="0" w:color="000000"/>
            </w:tcBorders>
            <w:shd w:val="clear" w:color="auto" w:fill="C0C0C0"/>
          </w:tcPr>
          <w:p w14:paraId="442342EB" w14:textId="77777777" w:rsidR="00275991" w:rsidRPr="00A37AE4" w:rsidRDefault="00275991">
            <w:pPr>
              <w:spacing w:after="0" w:line="259" w:lineRule="auto"/>
              <w:ind w:left="4" w:right="0" w:firstLine="0"/>
              <w:jc w:val="center"/>
              <w:rPr>
                <w:sz w:val="20"/>
                <w:szCs w:val="20"/>
              </w:rPr>
            </w:pPr>
            <w:r>
              <w:rPr>
                <w:sz w:val="20"/>
              </w:rPr>
              <w:t xml:space="preserve"> </w:t>
            </w:r>
          </w:p>
        </w:tc>
        <w:tc>
          <w:tcPr>
            <w:tcW w:w="1620" w:type="dxa"/>
            <w:tcBorders>
              <w:top w:val="single" w:sz="12" w:space="0" w:color="000000"/>
              <w:left w:val="single" w:sz="12" w:space="0" w:color="000000"/>
              <w:bottom w:val="single" w:sz="12" w:space="0" w:color="000000"/>
              <w:right w:val="single" w:sz="12" w:space="0" w:color="000000"/>
            </w:tcBorders>
            <w:shd w:val="clear" w:color="auto" w:fill="C0C0C0"/>
          </w:tcPr>
          <w:p w14:paraId="17CB1447" w14:textId="77777777" w:rsidR="00275991" w:rsidRPr="00A37AE4" w:rsidRDefault="00275991">
            <w:pPr>
              <w:spacing w:after="0" w:line="259" w:lineRule="auto"/>
              <w:ind w:left="2" w:right="0" w:firstLine="0"/>
              <w:jc w:val="center"/>
              <w:rPr>
                <w:sz w:val="20"/>
                <w:szCs w:val="20"/>
              </w:rPr>
            </w:pPr>
            <w:r>
              <w:rPr>
                <w:sz w:val="20"/>
              </w:rPr>
              <w:t xml:space="preserve"> </w:t>
            </w:r>
          </w:p>
        </w:tc>
        <w:tc>
          <w:tcPr>
            <w:tcW w:w="3022" w:type="dxa"/>
            <w:tcBorders>
              <w:top w:val="single" w:sz="12" w:space="0" w:color="000000"/>
              <w:left w:val="single" w:sz="12" w:space="0" w:color="000000"/>
              <w:bottom w:val="single" w:sz="12" w:space="0" w:color="000000"/>
              <w:right w:val="single" w:sz="12" w:space="0" w:color="000000"/>
            </w:tcBorders>
            <w:shd w:val="clear" w:color="auto" w:fill="C0C0C0"/>
          </w:tcPr>
          <w:p w14:paraId="64D5B8A4" w14:textId="77777777" w:rsidR="00275991" w:rsidRPr="00A37AE4" w:rsidRDefault="00275991">
            <w:pPr>
              <w:spacing w:after="0" w:line="259" w:lineRule="auto"/>
              <w:ind w:left="3" w:right="0" w:firstLine="0"/>
              <w:jc w:val="center"/>
              <w:rPr>
                <w:sz w:val="20"/>
                <w:szCs w:val="20"/>
              </w:rPr>
            </w:pPr>
            <w:r>
              <w:rPr>
                <w:sz w:val="20"/>
              </w:rPr>
              <w:t xml:space="preserve"> </w:t>
            </w:r>
          </w:p>
        </w:tc>
        <w:tc>
          <w:tcPr>
            <w:tcW w:w="2043" w:type="dxa"/>
            <w:tcBorders>
              <w:top w:val="single" w:sz="12" w:space="0" w:color="000000"/>
              <w:left w:val="single" w:sz="12" w:space="0" w:color="000000"/>
              <w:bottom w:val="single" w:sz="12" w:space="0" w:color="000000"/>
              <w:right w:val="single" w:sz="12" w:space="0" w:color="000000"/>
            </w:tcBorders>
            <w:shd w:val="clear" w:color="auto" w:fill="C0C0C0"/>
          </w:tcPr>
          <w:p w14:paraId="7619450A" w14:textId="77777777" w:rsidR="00275991" w:rsidRPr="00A37AE4" w:rsidRDefault="00275991">
            <w:pPr>
              <w:spacing w:after="0" w:line="259" w:lineRule="auto"/>
              <w:ind w:left="4" w:right="0" w:firstLine="0"/>
              <w:jc w:val="center"/>
              <w:rPr>
                <w:sz w:val="20"/>
                <w:szCs w:val="20"/>
              </w:rPr>
            </w:pPr>
            <w:r>
              <w:rPr>
                <w:sz w:val="20"/>
              </w:rPr>
              <w:t xml:space="preserve"> </w:t>
            </w:r>
          </w:p>
        </w:tc>
      </w:tr>
      <w:tr w:rsidR="00C7546A" w:rsidRPr="00594248" w14:paraId="600B3A03" w14:textId="77777777" w:rsidTr="00E63B58">
        <w:trPr>
          <w:trHeight w:val="302"/>
        </w:trPr>
        <w:tc>
          <w:tcPr>
            <w:tcW w:w="3429" w:type="dxa"/>
            <w:tcBorders>
              <w:top w:val="single" w:sz="12" w:space="0" w:color="000000"/>
              <w:left w:val="single" w:sz="12" w:space="0" w:color="000000"/>
              <w:bottom w:val="single" w:sz="12" w:space="0" w:color="000000"/>
              <w:right w:val="single" w:sz="12" w:space="0" w:color="000000"/>
            </w:tcBorders>
            <w:vAlign w:val="center"/>
          </w:tcPr>
          <w:p w14:paraId="7260FB81" w14:textId="1302A311" w:rsidR="00C7546A" w:rsidRPr="00594248" w:rsidRDefault="00C7546A">
            <w:pPr>
              <w:spacing w:after="0" w:line="259" w:lineRule="auto"/>
              <w:ind w:right="0"/>
              <w:rPr>
                <w:sz w:val="20"/>
              </w:rPr>
            </w:pPr>
            <w:r w:rsidRPr="008D0E81">
              <w:rPr>
                <w:sz w:val="20"/>
              </w:rPr>
              <w:t xml:space="preserve">PFAS </w:t>
            </w:r>
            <w:r w:rsidR="00746938">
              <w:rPr>
                <w:sz w:val="20"/>
              </w:rPr>
              <w:t xml:space="preserve">CWA </w:t>
            </w:r>
            <w:r w:rsidRPr="008D0E81">
              <w:rPr>
                <w:sz w:val="20"/>
              </w:rPr>
              <w:t>Method 53</w:t>
            </w:r>
            <w:r w:rsidR="00144ECD">
              <w:rPr>
                <w:sz w:val="20"/>
              </w:rPr>
              <w:t>7.1</w:t>
            </w:r>
            <w:r w:rsidR="00D975A1">
              <w:rPr>
                <w:sz w:val="20"/>
              </w:rPr>
              <w:t xml:space="preserve"> </w:t>
            </w:r>
            <w:r w:rsidR="003A7995" w:rsidRPr="008D0E81">
              <w:rPr>
                <w:sz w:val="20"/>
              </w:rPr>
              <w:t>(</w:t>
            </w:r>
            <w:r w:rsidR="003A7995">
              <w:rPr>
                <w:sz w:val="20"/>
              </w:rPr>
              <w:t>18</w:t>
            </w:r>
            <w:r w:rsidR="003A7995" w:rsidRPr="008D0E81">
              <w:rPr>
                <w:sz w:val="20"/>
              </w:rPr>
              <w:t xml:space="preserve"> </w:t>
            </w:r>
            <w:r w:rsidR="00714EFE">
              <w:rPr>
                <w:sz w:val="20"/>
              </w:rPr>
              <w:t>analytes</w:t>
            </w:r>
            <w:r w:rsidR="00AB5497">
              <w:rPr>
                <w:sz w:val="20"/>
              </w:rPr>
              <w:t>)</w:t>
            </w:r>
          </w:p>
        </w:tc>
        <w:tc>
          <w:tcPr>
            <w:tcW w:w="1629" w:type="dxa"/>
            <w:tcBorders>
              <w:top w:val="single" w:sz="12" w:space="0" w:color="000000"/>
              <w:left w:val="single" w:sz="12" w:space="0" w:color="000000"/>
              <w:bottom w:val="single" w:sz="12" w:space="0" w:color="000000"/>
              <w:right w:val="single" w:sz="12" w:space="0" w:color="000000"/>
            </w:tcBorders>
            <w:vAlign w:val="center"/>
          </w:tcPr>
          <w:p w14:paraId="6F64F659" w14:textId="37CB3E5C" w:rsidR="00C7546A" w:rsidRPr="00594248" w:rsidRDefault="00CE7638" w:rsidP="00DF7141">
            <w:pPr>
              <w:spacing w:after="0" w:line="259" w:lineRule="auto"/>
              <w:ind w:left="0" w:right="0" w:firstLine="0"/>
              <w:jc w:val="center"/>
              <w:rPr>
                <w:sz w:val="20"/>
              </w:rPr>
            </w:pPr>
            <w:r>
              <w:rPr>
                <w:sz w:val="20"/>
              </w:rPr>
              <w:t>NA</w:t>
            </w:r>
          </w:p>
        </w:tc>
        <w:tc>
          <w:tcPr>
            <w:tcW w:w="1432" w:type="dxa"/>
            <w:tcBorders>
              <w:top w:val="single" w:sz="12" w:space="0" w:color="000000"/>
              <w:left w:val="single" w:sz="12" w:space="0" w:color="000000"/>
              <w:bottom w:val="single" w:sz="12" w:space="0" w:color="000000"/>
              <w:right w:val="single" w:sz="12" w:space="0" w:color="000000"/>
            </w:tcBorders>
            <w:vAlign w:val="center"/>
          </w:tcPr>
          <w:p w14:paraId="6DE63D19" w14:textId="39BBB992" w:rsidR="00C7546A" w:rsidRPr="00594248" w:rsidRDefault="009F1064" w:rsidP="00DF7141">
            <w:pPr>
              <w:spacing w:after="0" w:line="259" w:lineRule="auto"/>
              <w:ind w:left="0" w:right="0" w:firstLine="0"/>
              <w:jc w:val="center"/>
              <w:rPr>
                <w:sz w:val="20"/>
              </w:rPr>
            </w:pPr>
            <w:r w:rsidDel="00D3147A">
              <w:rPr>
                <w:sz w:val="20"/>
              </w:rPr>
              <w:t>NA</w:t>
            </w:r>
          </w:p>
        </w:tc>
        <w:tc>
          <w:tcPr>
            <w:tcW w:w="1606" w:type="dxa"/>
            <w:tcBorders>
              <w:top w:val="single" w:sz="12" w:space="0" w:color="000000"/>
              <w:left w:val="single" w:sz="12" w:space="0" w:color="000000"/>
              <w:bottom w:val="single" w:sz="12" w:space="0" w:color="000000"/>
              <w:right w:val="single" w:sz="12" w:space="0" w:color="000000"/>
            </w:tcBorders>
            <w:vAlign w:val="center"/>
          </w:tcPr>
          <w:p w14:paraId="3081D671" w14:textId="0D443CFA" w:rsidR="00C7546A" w:rsidRPr="00594248" w:rsidRDefault="00892F89">
            <w:pPr>
              <w:spacing w:after="0" w:line="259" w:lineRule="auto"/>
              <w:ind w:left="4" w:right="0" w:firstLine="0"/>
              <w:jc w:val="center"/>
              <w:rPr>
                <w:sz w:val="20"/>
              </w:rPr>
            </w:pPr>
            <w:r>
              <w:rPr>
                <w:sz w:val="20"/>
              </w:rPr>
              <w:t>NA</w:t>
            </w:r>
          </w:p>
        </w:tc>
        <w:tc>
          <w:tcPr>
            <w:tcW w:w="1620" w:type="dxa"/>
            <w:tcBorders>
              <w:top w:val="single" w:sz="12" w:space="0" w:color="000000"/>
              <w:left w:val="single" w:sz="12" w:space="0" w:color="000000"/>
              <w:bottom w:val="single" w:sz="12" w:space="0" w:color="000000"/>
              <w:right w:val="single" w:sz="12" w:space="0" w:color="000000"/>
            </w:tcBorders>
            <w:vAlign w:val="center"/>
          </w:tcPr>
          <w:p w14:paraId="174BB966" w14:textId="6C538F05" w:rsidR="00C7546A" w:rsidRPr="00594248" w:rsidRDefault="00765D8C">
            <w:pPr>
              <w:spacing w:after="0" w:line="259" w:lineRule="auto"/>
              <w:ind w:left="2" w:right="0" w:firstLine="0"/>
              <w:jc w:val="center"/>
              <w:rPr>
                <w:sz w:val="20"/>
              </w:rPr>
            </w:pPr>
            <w:r w:rsidRPr="00765D8C">
              <w:rPr>
                <w:sz w:val="20"/>
              </w:rPr>
              <w:t>250 ml Plastic Polypropylene</w:t>
            </w:r>
          </w:p>
        </w:tc>
        <w:tc>
          <w:tcPr>
            <w:tcW w:w="3022" w:type="dxa"/>
            <w:tcBorders>
              <w:top w:val="single" w:sz="12" w:space="0" w:color="000000"/>
              <w:left w:val="single" w:sz="12" w:space="0" w:color="000000"/>
              <w:bottom w:val="single" w:sz="12" w:space="0" w:color="000000"/>
              <w:right w:val="single" w:sz="12" w:space="0" w:color="000000"/>
            </w:tcBorders>
            <w:vAlign w:val="center"/>
          </w:tcPr>
          <w:p w14:paraId="7B85CBA9" w14:textId="4E1A24E8" w:rsidR="00C7546A" w:rsidRPr="00594248" w:rsidRDefault="00A93D1A">
            <w:pPr>
              <w:spacing w:after="0" w:line="259" w:lineRule="auto"/>
              <w:ind w:left="3" w:right="0" w:firstLine="0"/>
              <w:jc w:val="center"/>
              <w:rPr>
                <w:sz w:val="20"/>
                <w:szCs w:val="20"/>
              </w:rPr>
            </w:pPr>
            <w:proofErr w:type="spellStart"/>
            <w:r w:rsidRPr="00A93D1A">
              <w:rPr>
                <w:sz w:val="20"/>
                <w:szCs w:val="20"/>
              </w:rPr>
              <w:t>Trizma</w:t>
            </w:r>
            <w:proofErr w:type="spellEnd"/>
            <w:r w:rsidRPr="00A93D1A">
              <w:rPr>
                <w:sz w:val="20"/>
                <w:szCs w:val="20"/>
              </w:rPr>
              <w:t>®</w:t>
            </w:r>
            <w:r w:rsidR="00510182">
              <w:rPr>
                <w:sz w:val="20"/>
                <w:szCs w:val="20"/>
              </w:rPr>
              <w:t xml:space="preserve"> </w:t>
            </w:r>
            <w:r w:rsidRPr="00A93D1A">
              <w:rPr>
                <w:sz w:val="20"/>
                <w:szCs w:val="20"/>
              </w:rPr>
              <w:t>(tris(hydroxymethyl)aminomethane)</w:t>
            </w:r>
          </w:p>
        </w:tc>
        <w:tc>
          <w:tcPr>
            <w:tcW w:w="2043" w:type="dxa"/>
            <w:tcBorders>
              <w:top w:val="single" w:sz="12" w:space="0" w:color="000000"/>
              <w:left w:val="single" w:sz="12" w:space="0" w:color="000000"/>
              <w:bottom w:val="single" w:sz="12" w:space="0" w:color="000000"/>
              <w:right w:val="single" w:sz="12" w:space="0" w:color="000000"/>
            </w:tcBorders>
            <w:vAlign w:val="center"/>
          </w:tcPr>
          <w:p w14:paraId="56E310E0" w14:textId="1D7E89F4" w:rsidR="00C7546A" w:rsidRPr="00594248" w:rsidRDefault="00B11327">
            <w:pPr>
              <w:spacing w:after="0" w:line="259" w:lineRule="auto"/>
              <w:ind w:left="4" w:right="0" w:firstLine="0"/>
              <w:jc w:val="center"/>
              <w:rPr>
                <w:sz w:val="20"/>
                <w:szCs w:val="20"/>
              </w:rPr>
            </w:pPr>
            <w:r>
              <w:rPr>
                <w:sz w:val="20"/>
                <w:szCs w:val="20"/>
              </w:rPr>
              <w:t xml:space="preserve">Extracted as soon as possible </w:t>
            </w:r>
            <w:r w:rsidR="00C0438D">
              <w:rPr>
                <w:sz w:val="20"/>
                <w:szCs w:val="20"/>
              </w:rPr>
              <w:t>but must be within</w:t>
            </w:r>
            <w:r w:rsidR="00A03A95" w:rsidRPr="00A03A95">
              <w:rPr>
                <w:sz w:val="20"/>
                <w:szCs w:val="20"/>
              </w:rPr>
              <w:t xml:space="preserve"> </w:t>
            </w:r>
            <w:r w:rsidR="0019176A">
              <w:rPr>
                <w:sz w:val="20"/>
                <w:szCs w:val="20"/>
              </w:rPr>
              <w:t>14</w:t>
            </w:r>
            <w:r w:rsidR="00A03A95" w:rsidRPr="00A03A95">
              <w:rPr>
                <w:sz w:val="20"/>
                <w:szCs w:val="20"/>
              </w:rPr>
              <w:t xml:space="preserve"> </w:t>
            </w:r>
            <w:proofErr w:type="gramStart"/>
            <w:r w:rsidR="00A03A95" w:rsidRPr="00A03A95">
              <w:rPr>
                <w:sz w:val="20"/>
                <w:szCs w:val="20"/>
              </w:rPr>
              <w:t>days;</w:t>
            </w:r>
            <w:proofErr w:type="gramEnd"/>
            <w:r w:rsidR="00A03A95" w:rsidRPr="00A03A95">
              <w:rPr>
                <w:sz w:val="20"/>
                <w:szCs w:val="20"/>
              </w:rPr>
              <w:t xml:space="preserve"> 28 days to analysis</w:t>
            </w:r>
          </w:p>
        </w:tc>
      </w:tr>
      <w:tr w:rsidR="00275991" w:rsidRPr="00594248" w14:paraId="711C8C08" w14:textId="77777777" w:rsidTr="00E63B58">
        <w:trPr>
          <w:trHeight w:val="302"/>
        </w:trPr>
        <w:tc>
          <w:tcPr>
            <w:tcW w:w="3429" w:type="dxa"/>
            <w:tcBorders>
              <w:top w:val="single" w:sz="12" w:space="0" w:color="000000"/>
              <w:left w:val="single" w:sz="12" w:space="0" w:color="000000"/>
              <w:bottom w:val="single" w:sz="12" w:space="0" w:color="000000"/>
              <w:right w:val="single" w:sz="12" w:space="0" w:color="000000"/>
            </w:tcBorders>
            <w:vAlign w:val="center"/>
          </w:tcPr>
          <w:p w14:paraId="6BA73325" w14:textId="2E76D1EC" w:rsidR="00AB5497" w:rsidRPr="00594248" w:rsidRDefault="00132916" w:rsidP="00AB5497">
            <w:pPr>
              <w:spacing w:after="0" w:line="259" w:lineRule="auto"/>
              <w:ind w:right="0"/>
              <w:rPr>
                <w:sz w:val="20"/>
              </w:rPr>
            </w:pPr>
            <w:r w:rsidRPr="00605F5E">
              <w:rPr>
                <w:sz w:val="20"/>
                <w:szCs w:val="20"/>
              </w:rPr>
              <w:t xml:space="preserve">PFAS </w:t>
            </w:r>
            <w:r w:rsidR="00746938">
              <w:rPr>
                <w:sz w:val="20"/>
                <w:szCs w:val="20"/>
              </w:rPr>
              <w:t xml:space="preserve">CWA </w:t>
            </w:r>
            <w:r w:rsidRPr="00605F5E">
              <w:rPr>
                <w:sz w:val="20"/>
                <w:szCs w:val="20"/>
              </w:rPr>
              <w:t>Method</w:t>
            </w:r>
            <w:r>
              <w:rPr>
                <w:sz w:val="20"/>
                <w:szCs w:val="20"/>
              </w:rPr>
              <w:t xml:space="preserve"> 53</w:t>
            </w:r>
            <w:r w:rsidR="00144ECD">
              <w:rPr>
                <w:sz w:val="20"/>
                <w:szCs w:val="20"/>
              </w:rPr>
              <w:t>3</w:t>
            </w:r>
            <w:r w:rsidR="00AB5497">
              <w:rPr>
                <w:sz w:val="20"/>
                <w:szCs w:val="20"/>
              </w:rPr>
              <w:t xml:space="preserve"> (25 analytes)</w:t>
            </w:r>
          </w:p>
        </w:tc>
        <w:tc>
          <w:tcPr>
            <w:tcW w:w="1629" w:type="dxa"/>
            <w:tcBorders>
              <w:top w:val="single" w:sz="12" w:space="0" w:color="000000"/>
              <w:left w:val="single" w:sz="12" w:space="0" w:color="000000"/>
              <w:bottom w:val="single" w:sz="12" w:space="0" w:color="000000"/>
              <w:right w:val="single" w:sz="12" w:space="0" w:color="000000"/>
            </w:tcBorders>
            <w:vAlign w:val="center"/>
          </w:tcPr>
          <w:p w14:paraId="08620D41" w14:textId="530A78DD" w:rsidR="00275991" w:rsidRPr="00594248" w:rsidRDefault="00CA1884">
            <w:pPr>
              <w:spacing w:after="0" w:line="259" w:lineRule="auto"/>
              <w:ind w:left="0" w:right="0" w:firstLine="0"/>
              <w:jc w:val="center"/>
              <w:rPr>
                <w:sz w:val="20"/>
              </w:rPr>
            </w:pPr>
            <w:r>
              <w:rPr>
                <w:sz w:val="20"/>
              </w:rPr>
              <w:t>NA</w:t>
            </w:r>
          </w:p>
        </w:tc>
        <w:tc>
          <w:tcPr>
            <w:tcW w:w="1432" w:type="dxa"/>
            <w:tcBorders>
              <w:top w:val="single" w:sz="12" w:space="0" w:color="000000"/>
              <w:left w:val="single" w:sz="12" w:space="0" w:color="000000"/>
              <w:bottom w:val="single" w:sz="12" w:space="0" w:color="000000"/>
              <w:right w:val="single" w:sz="12" w:space="0" w:color="000000"/>
            </w:tcBorders>
            <w:vAlign w:val="center"/>
          </w:tcPr>
          <w:p w14:paraId="34A31F00" w14:textId="01224BE2" w:rsidR="00275991" w:rsidRPr="00594248" w:rsidRDefault="009F1064">
            <w:pPr>
              <w:spacing w:after="0" w:line="259" w:lineRule="auto"/>
              <w:ind w:left="6" w:right="0" w:firstLine="0"/>
              <w:jc w:val="center"/>
              <w:rPr>
                <w:sz w:val="20"/>
              </w:rPr>
            </w:pPr>
            <w:r w:rsidDel="00D3147A">
              <w:rPr>
                <w:sz w:val="20"/>
              </w:rPr>
              <w:t>NA</w:t>
            </w:r>
          </w:p>
        </w:tc>
        <w:tc>
          <w:tcPr>
            <w:tcW w:w="1606" w:type="dxa"/>
            <w:tcBorders>
              <w:top w:val="single" w:sz="12" w:space="0" w:color="000000"/>
              <w:left w:val="single" w:sz="12" w:space="0" w:color="000000"/>
              <w:bottom w:val="single" w:sz="12" w:space="0" w:color="000000"/>
              <w:right w:val="single" w:sz="12" w:space="0" w:color="000000"/>
            </w:tcBorders>
            <w:vAlign w:val="center"/>
          </w:tcPr>
          <w:p w14:paraId="70E9192A" w14:textId="5900090B" w:rsidR="00275991" w:rsidRPr="00594248" w:rsidRDefault="00892F89">
            <w:pPr>
              <w:spacing w:after="0" w:line="259" w:lineRule="auto"/>
              <w:ind w:left="4" w:right="0" w:firstLine="0"/>
              <w:jc w:val="center"/>
              <w:rPr>
                <w:sz w:val="20"/>
              </w:rPr>
            </w:pPr>
            <w:r>
              <w:rPr>
                <w:sz w:val="20"/>
              </w:rPr>
              <w:t>NA</w:t>
            </w:r>
          </w:p>
        </w:tc>
        <w:tc>
          <w:tcPr>
            <w:tcW w:w="1620" w:type="dxa"/>
            <w:tcBorders>
              <w:top w:val="single" w:sz="12" w:space="0" w:color="000000"/>
              <w:left w:val="single" w:sz="12" w:space="0" w:color="000000"/>
              <w:bottom w:val="single" w:sz="12" w:space="0" w:color="000000"/>
              <w:right w:val="single" w:sz="12" w:space="0" w:color="000000"/>
            </w:tcBorders>
            <w:vAlign w:val="center"/>
          </w:tcPr>
          <w:p w14:paraId="39775C1D" w14:textId="7DD72E80" w:rsidR="00275991" w:rsidRPr="00594248" w:rsidRDefault="00765D8C">
            <w:pPr>
              <w:spacing w:after="0" w:line="259" w:lineRule="auto"/>
              <w:ind w:left="2" w:right="0" w:firstLine="0"/>
              <w:jc w:val="center"/>
              <w:rPr>
                <w:sz w:val="20"/>
              </w:rPr>
            </w:pPr>
            <w:r w:rsidRPr="00765D8C">
              <w:rPr>
                <w:sz w:val="20"/>
              </w:rPr>
              <w:t>250 ml Plastic Polypropylene</w:t>
            </w:r>
          </w:p>
        </w:tc>
        <w:tc>
          <w:tcPr>
            <w:tcW w:w="3022" w:type="dxa"/>
            <w:tcBorders>
              <w:top w:val="single" w:sz="12" w:space="0" w:color="000000"/>
              <w:left w:val="single" w:sz="12" w:space="0" w:color="000000"/>
              <w:bottom w:val="single" w:sz="12" w:space="0" w:color="000000"/>
              <w:right w:val="single" w:sz="12" w:space="0" w:color="000000"/>
            </w:tcBorders>
            <w:vAlign w:val="center"/>
          </w:tcPr>
          <w:p w14:paraId="3315A81E" w14:textId="1C02174D" w:rsidR="00275991" w:rsidRPr="00594248" w:rsidRDefault="00E51D7D">
            <w:pPr>
              <w:spacing w:after="0" w:line="259" w:lineRule="auto"/>
              <w:ind w:left="3" w:right="0" w:firstLine="0"/>
              <w:jc w:val="center"/>
              <w:rPr>
                <w:sz w:val="20"/>
                <w:szCs w:val="20"/>
              </w:rPr>
            </w:pPr>
            <w:r w:rsidRPr="00E51D7D">
              <w:rPr>
                <w:sz w:val="20"/>
                <w:szCs w:val="20"/>
              </w:rPr>
              <w:t>Ammonium Acetate</w:t>
            </w:r>
            <w:r w:rsidR="00363DE2">
              <w:rPr>
                <w:sz w:val="20"/>
                <w:szCs w:val="20"/>
              </w:rPr>
              <w:t xml:space="preserve"> </w:t>
            </w:r>
          </w:p>
        </w:tc>
        <w:tc>
          <w:tcPr>
            <w:tcW w:w="2043" w:type="dxa"/>
            <w:tcBorders>
              <w:top w:val="single" w:sz="12" w:space="0" w:color="000000"/>
              <w:left w:val="single" w:sz="12" w:space="0" w:color="000000"/>
              <w:bottom w:val="single" w:sz="12" w:space="0" w:color="000000"/>
              <w:right w:val="single" w:sz="12" w:space="0" w:color="000000"/>
            </w:tcBorders>
            <w:vAlign w:val="center"/>
          </w:tcPr>
          <w:p w14:paraId="60DF49BC" w14:textId="20D3ADE0" w:rsidR="00275991" w:rsidRPr="00594248" w:rsidRDefault="00A03A95">
            <w:pPr>
              <w:spacing w:after="0" w:line="259" w:lineRule="auto"/>
              <w:ind w:left="4" w:right="0" w:firstLine="0"/>
              <w:jc w:val="center"/>
              <w:rPr>
                <w:sz w:val="20"/>
                <w:szCs w:val="20"/>
              </w:rPr>
            </w:pPr>
            <w:r w:rsidRPr="00A03A95">
              <w:rPr>
                <w:sz w:val="20"/>
                <w:szCs w:val="20"/>
              </w:rPr>
              <w:t xml:space="preserve">Extraction </w:t>
            </w:r>
            <w:r w:rsidR="00B43983">
              <w:rPr>
                <w:sz w:val="20"/>
                <w:szCs w:val="20"/>
              </w:rPr>
              <w:t xml:space="preserve">within </w:t>
            </w:r>
            <w:r w:rsidR="0019176A">
              <w:rPr>
                <w:sz w:val="20"/>
                <w:szCs w:val="20"/>
              </w:rPr>
              <w:t>28</w:t>
            </w:r>
            <w:r w:rsidRPr="00A03A95">
              <w:rPr>
                <w:sz w:val="20"/>
                <w:szCs w:val="20"/>
              </w:rPr>
              <w:t xml:space="preserve"> days; 28 days to analysis</w:t>
            </w:r>
          </w:p>
        </w:tc>
      </w:tr>
      <w:tr w:rsidR="00E2708F" w:rsidRPr="00594248" w14:paraId="552C33CE" w14:textId="77777777" w:rsidTr="00E63B58">
        <w:trPr>
          <w:trHeight w:val="302"/>
        </w:trPr>
        <w:tc>
          <w:tcPr>
            <w:tcW w:w="3429" w:type="dxa"/>
            <w:tcBorders>
              <w:top w:val="single" w:sz="12" w:space="0" w:color="000000"/>
              <w:left w:val="single" w:sz="12" w:space="0" w:color="000000"/>
              <w:bottom w:val="single" w:sz="12" w:space="0" w:color="000000"/>
              <w:right w:val="single" w:sz="12" w:space="0" w:color="000000"/>
            </w:tcBorders>
            <w:vAlign w:val="center"/>
          </w:tcPr>
          <w:p w14:paraId="13F59EAC" w14:textId="42ED7D32" w:rsidR="00E2708F" w:rsidRPr="00605F5E" w:rsidRDefault="00E2708F" w:rsidP="00E2708F">
            <w:pPr>
              <w:spacing w:after="0" w:line="259" w:lineRule="auto"/>
              <w:ind w:right="0"/>
              <w:rPr>
                <w:sz w:val="20"/>
                <w:szCs w:val="20"/>
              </w:rPr>
            </w:pPr>
            <w:r w:rsidRPr="00605F5E">
              <w:rPr>
                <w:sz w:val="20"/>
                <w:szCs w:val="20"/>
              </w:rPr>
              <w:t>PFAS</w:t>
            </w:r>
            <w:r w:rsidR="00852D0A">
              <w:rPr>
                <w:sz w:val="20"/>
                <w:szCs w:val="20"/>
              </w:rPr>
              <w:t xml:space="preserve"> CWA</w:t>
            </w:r>
            <w:r w:rsidRPr="00605F5E">
              <w:rPr>
                <w:sz w:val="20"/>
                <w:szCs w:val="20"/>
              </w:rPr>
              <w:t xml:space="preserve"> Method</w:t>
            </w:r>
            <w:r>
              <w:rPr>
                <w:sz w:val="20"/>
                <w:szCs w:val="20"/>
              </w:rPr>
              <w:t xml:space="preserve"> </w:t>
            </w:r>
            <w:r w:rsidR="00D975A1">
              <w:rPr>
                <w:sz w:val="20"/>
                <w:szCs w:val="20"/>
              </w:rPr>
              <w:t>1633</w:t>
            </w:r>
            <w:r w:rsidR="00612007">
              <w:rPr>
                <w:sz w:val="20"/>
                <w:szCs w:val="20"/>
              </w:rPr>
              <w:t>A</w:t>
            </w:r>
            <w:r w:rsidR="00D975A1">
              <w:rPr>
                <w:sz w:val="20"/>
                <w:szCs w:val="20"/>
              </w:rPr>
              <w:t xml:space="preserve"> </w:t>
            </w:r>
            <w:r w:rsidR="00852D0A">
              <w:rPr>
                <w:sz w:val="20"/>
                <w:szCs w:val="20"/>
              </w:rPr>
              <w:t>(40 analytes</w:t>
            </w:r>
            <w:r w:rsidR="00454B1B">
              <w:rPr>
                <w:sz w:val="20"/>
                <w:szCs w:val="20"/>
              </w:rPr>
              <w:t>)</w:t>
            </w:r>
          </w:p>
        </w:tc>
        <w:tc>
          <w:tcPr>
            <w:tcW w:w="1629" w:type="dxa"/>
            <w:tcBorders>
              <w:top w:val="single" w:sz="12" w:space="0" w:color="000000"/>
              <w:left w:val="single" w:sz="12" w:space="0" w:color="000000"/>
              <w:bottom w:val="single" w:sz="12" w:space="0" w:color="000000"/>
              <w:right w:val="single" w:sz="12" w:space="0" w:color="000000"/>
            </w:tcBorders>
            <w:vAlign w:val="center"/>
          </w:tcPr>
          <w:p w14:paraId="50D4D685" w14:textId="1EBF6DD3" w:rsidR="00E2708F" w:rsidRPr="00594248" w:rsidRDefault="000E60E6" w:rsidP="00E2708F">
            <w:pPr>
              <w:spacing w:after="0" w:line="259" w:lineRule="auto"/>
              <w:ind w:left="0" w:right="0" w:firstLine="0"/>
              <w:jc w:val="center"/>
              <w:rPr>
                <w:sz w:val="20"/>
              </w:rPr>
            </w:pPr>
            <w:r w:rsidRPr="00765D8C">
              <w:rPr>
                <w:sz w:val="20"/>
              </w:rPr>
              <w:t>250 ml Plastic Polypropylene</w:t>
            </w:r>
          </w:p>
        </w:tc>
        <w:tc>
          <w:tcPr>
            <w:tcW w:w="1432" w:type="dxa"/>
            <w:tcBorders>
              <w:top w:val="single" w:sz="12" w:space="0" w:color="000000"/>
              <w:left w:val="single" w:sz="12" w:space="0" w:color="000000"/>
              <w:bottom w:val="single" w:sz="12" w:space="0" w:color="000000"/>
              <w:right w:val="single" w:sz="12" w:space="0" w:color="000000"/>
            </w:tcBorders>
            <w:vAlign w:val="center"/>
          </w:tcPr>
          <w:p w14:paraId="10368256" w14:textId="1CE5D213" w:rsidR="00E2708F" w:rsidRDefault="00D3147A" w:rsidP="00E2708F">
            <w:pPr>
              <w:spacing w:after="0" w:line="259" w:lineRule="auto"/>
              <w:ind w:left="6" w:right="0" w:firstLine="0"/>
              <w:jc w:val="center"/>
              <w:rPr>
                <w:sz w:val="20"/>
              </w:rPr>
            </w:pPr>
            <w:r>
              <w:rPr>
                <w:sz w:val="20"/>
              </w:rPr>
              <w:t>Ice (4</w:t>
            </w:r>
            <w:r>
              <w:rPr>
                <w:sz w:val="20"/>
                <w:vertAlign w:val="superscript"/>
              </w:rPr>
              <w:t>0</w:t>
            </w:r>
            <w:r>
              <w:rPr>
                <w:sz w:val="20"/>
              </w:rPr>
              <w:t>C)</w:t>
            </w:r>
          </w:p>
        </w:tc>
        <w:tc>
          <w:tcPr>
            <w:tcW w:w="1606" w:type="dxa"/>
            <w:tcBorders>
              <w:top w:val="single" w:sz="12" w:space="0" w:color="000000"/>
              <w:left w:val="single" w:sz="12" w:space="0" w:color="000000"/>
              <w:bottom w:val="single" w:sz="12" w:space="0" w:color="000000"/>
              <w:right w:val="single" w:sz="12" w:space="0" w:color="000000"/>
            </w:tcBorders>
            <w:vAlign w:val="center"/>
          </w:tcPr>
          <w:p w14:paraId="1632E4CD" w14:textId="4FB1A3E4" w:rsidR="00E2708F" w:rsidRPr="00594248" w:rsidRDefault="00C30224" w:rsidP="00E2708F">
            <w:pPr>
              <w:spacing w:after="0" w:line="259" w:lineRule="auto"/>
              <w:ind w:left="4" w:right="0" w:firstLine="0"/>
              <w:jc w:val="center"/>
              <w:rPr>
                <w:sz w:val="20"/>
              </w:rPr>
            </w:pPr>
            <w:r>
              <w:rPr>
                <w:sz w:val="20"/>
              </w:rPr>
              <w:t xml:space="preserve">Up to </w:t>
            </w:r>
            <w:r w:rsidRPr="00C30224">
              <w:rPr>
                <w:sz w:val="20"/>
              </w:rPr>
              <w:t xml:space="preserve">90 days if stored by the laboratory in the dark at </w:t>
            </w:r>
            <w:r w:rsidR="00FB757B">
              <w:rPr>
                <w:sz w:val="20"/>
              </w:rPr>
              <w:t>4</w:t>
            </w:r>
            <w:r w:rsidR="00FB757B">
              <w:rPr>
                <w:sz w:val="20"/>
                <w:vertAlign w:val="superscript"/>
              </w:rPr>
              <w:t>0</w:t>
            </w:r>
            <w:r w:rsidRPr="00C30224">
              <w:rPr>
                <w:sz w:val="20"/>
              </w:rPr>
              <w:t>C, or at below -20</w:t>
            </w:r>
            <w:r w:rsidR="00FB757B">
              <w:rPr>
                <w:sz w:val="20"/>
                <w:vertAlign w:val="superscript"/>
              </w:rPr>
              <w:t>0</w:t>
            </w:r>
            <w:r w:rsidRPr="00C30224">
              <w:rPr>
                <w:sz w:val="20"/>
              </w:rPr>
              <w:t>C</w:t>
            </w:r>
          </w:p>
        </w:tc>
        <w:tc>
          <w:tcPr>
            <w:tcW w:w="1620" w:type="dxa"/>
            <w:tcBorders>
              <w:top w:val="single" w:sz="12" w:space="0" w:color="000000"/>
              <w:left w:val="single" w:sz="12" w:space="0" w:color="000000"/>
              <w:bottom w:val="single" w:sz="12" w:space="0" w:color="000000"/>
              <w:right w:val="single" w:sz="12" w:space="0" w:color="000000"/>
            </w:tcBorders>
            <w:vAlign w:val="center"/>
          </w:tcPr>
          <w:p w14:paraId="398051DB" w14:textId="03D1D3CB" w:rsidR="00E2708F" w:rsidRPr="00765D8C" w:rsidRDefault="00E2708F" w:rsidP="00E2708F">
            <w:pPr>
              <w:spacing w:after="0" w:line="259" w:lineRule="auto"/>
              <w:ind w:left="2" w:right="0" w:firstLine="0"/>
              <w:jc w:val="center"/>
              <w:rPr>
                <w:sz w:val="20"/>
              </w:rPr>
            </w:pPr>
            <w:r w:rsidRPr="00765D8C">
              <w:rPr>
                <w:sz w:val="20"/>
              </w:rPr>
              <w:t>250 ml Plastic Polypropylene</w:t>
            </w:r>
          </w:p>
        </w:tc>
        <w:tc>
          <w:tcPr>
            <w:tcW w:w="3022" w:type="dxa"/>
            <w:tcBorders>
              <w:top w:val="single" w:sz="12" w:space="0" w:color="000000"/>
              <w:left w:val="single" w:sz="12" w:space="0" w:color="000000"/>
              <w:bottom w:val="single" w:sz="12" w:space="0" w:color="000000"/>
              <w:right w:val="single" w:sz="12" w:space="0" w:color="000000"/>
            </w:tcBorders>
            <w:vAlign w:val="center"/>
          </w:tcPr>
          <w:p w14:paraId="0AD1200B" w14:textId="23B6CFBD" w:rsidR="00E2708F" w:rsidRDefault="00E2708F" w:rsidP="00E2708F">
            <w:pPr>
              <w:spacing w:after="0" w:line="259" w:lineRule="auto"/>
              <w:ind w:left="3" w:right="0" w:firstLine="0"/>
              <w:jc w:val="center"/>
              <w:rPr>
                <w:sz w:val="20"/>
                <w:szCs w:val="20"/>
              </w:rPr>
            </w:pPr>
            <w:proofErr w:type="spellStart"/>
            <w:r>
              <w:rPr>
                <w:sz w:val="20"/>
                <w:szCs w:val="20"/>
              </w:rPr>
              <w:t>Trizma</w:t>
            </w:r>
            <w:proofErr w:type="spellEnd"/>
          </w:p>
        </w:tc>
        <w:tc>
          <w:tcPr>
            <w:tcW w:w="2043" w:type="dxa"/>
            <w:tcBorders>
              <w:top w:val="single" w:sz="12" w:space="0" w:color="000000"/>
              <w:left w:val="single" w:sz="12" w:space="0" w:color="000000"/>
              <w:bottom w:val="single" w:sz="12" w:space="0" w:color="000000"/>
              <w:right w:val="single" w:sz="12" w:space="0" w:color="000000"/>
            </w:tcBorders>
            <w:vAlign w:val="center"/>
          </w:tcPr>
          <w:p w14:paraId="13C7058A" w14:textId="544B045E" w:rsidR="00E2708F" w:rsidRPr="00A03A95" w:rsidRDefault="00E2708F" w:rsidP="00E2708F">
            <w:pPr>
              <w:spacing w:after="0" w:line="259" w:lineRule="auto"/>
              <w:ind w:left="4" w:right="0" w:firstLine="0"/>
              <w:jc w:val="center"/>
              <w:rPr>
                <w:sz w:val="20"/>
                <w:szCs w:val="20"/>
              </w:rPr>
            </w:pPr>
            <w:r w:rsidRPr="00A03A95">
              <w:rPr>
                <w:sz w:val="20"/>
                <w:szCs w:val="20"/>
              </w:rPr>
              <w:t>Extraction</w:t>
            </w:r>
            <w:r w:rsidR="00260F6E">
              <w:rPr>
                <w:sz w:val="20"/>
                <w:szCs w:val="20"/>
              </w:rPr>
              <w:t xml:space="preserve"> within</w:t>
            </w:r>
            <w:r w:rsidRPr="00A03A95">
              <w:rPr>
                <w:sz w:val="20"/>
                <w:szCs w:val="20"/>
              </w:rPr>
              <w:t xml:space="preserve"> 14 days; 28 days to analysis</w:t>
            </w:r>
          </w:p>
        </w:tc>
      </w:tr>
      <w:tr w:rsidR="00E2708F" w:rsidRPr="00594248" w14:paraId="4B2D6E66" w14:textId="77777777" w:rsidTr="00E63B58">
        <w:trPr>
          <w:trHeight w:val="302"/>
        </w:trPr>
        <w:tc>
          <w:tcPr>
            <w:tcW w:w="3429" w:type="dxa"/>
            <w:tcBorders>
              <w:top w:val="single" w:sz="12" w:space="0" w:color="000000"/>
              <w:left w:val="single" w:sz="12" w:space="0" w:color="000000"/>
              <w:bottom w:val="single" w:sz="12" w:space="0" w:color="000000"/>
              <w:right w:val="single" w:sz="12" w:space="0" w:color="000000"/>
            </w:tcBorders>
            <w:vAlign w:val="center"/>
          </w:tcPr>
          <w:p w14:paraId="38E0DC89" w14:textId="48956104" w:rsidR="00E2708F" w:rsidRPr="00594248" w:rsidRDefault="00E2708F" w:rsidP="00E2708F">
            <w:pPr>
              <w:spacing w:after="0" w:line="259" w:lineRule="auto"/>
              <w:ind w:right="0"/>
              <w:rPr>
                <w:sz w:val="20"/>
              </w:rPr>
            </w:pPr>
            <w:r>
              <w:rPr>
                <w:sz w:val="20"/>
              </w:rPr>
              <w:t xml:space="preserve">PFAS </w:t>
            </w:r>
            <w:r w:rsidR="00EA4BE3">
              <w:rPr>
                <w:sz w:val="20"/>
                <w:szCs w:val="20"/>
              </w:rPr>
              <w:t xml:space="preserve">SW846 </w:t>
            </w:r>
            <w:r w:rsidR="00C335E1" w:rsidRPr="00605F5E">
              <w:rPr>
                <w:sz w:val="20"/>
                <w:szCs w:val="20"/>
              </w:rPr>
              <w:t>Method</w:t>
            </w:r>
            <w:r w:rsidR="00C335E1">
              <w:rPr>
                <w:sz w:val="20"/>
                <w:szCs w:val="20"/>
              </w:rPr>
              <w:t xml:space="preserve"> </w:t>
            </w:r>
            <w:r w:rsidR="00412192">
              <w:rPr>
                <w:sz w:val="20"/>
                <w:szCs w:val="20"/>
              </w:rPr>
              <w:t>8</w:t>
            </w:r>
            <w:r w:rsidR="00C335E1">
              <w:rPr>
                <w:sz w:val="20"/>
                <w:szCs w:val="20"/>
              </w:rPr>
              <w:t>3</w:t>
            </w:r>
            <w:r w:rsidR="00412192">
              <w:rPr>
                <w:sz w:val="20"/>
                <w:szCs w:val="20"/>
              </w:rPr>
              <w:t>27</w:t>
            </w:r>
            <w:r w:rsidR="00EA4BE3">
              <w:rPr>
                <w:sz w:val="20"/>
                <w:szCs w:val="20"/>
              </w:rPr>
              <w:t xml:space="preserve"> </w:t>
            </w:r>
            <w:r w:rsidR="007A046E">
              <w:rPr>
                <w:sz w:val="20"/>
                <w:szCs w:val="20"/>
              </w:rPr>
              <w:t>(24 analytes)</w:t>
            </w:r>
          </w:p>
        </w:tc>
        <w:tc>
          <w:tcPr>
            <w:tcW w:w="1629" w:type="dxa"/>
            <w:tcBorders>
              <w:top w:val="single" w:sz="12" w:space="0" w:color="000000"/>
              <w:left w:val="single" w:sz="12" w:space="0" w:color="000000"/>
              <w:bottom w:val="single" w:sz="12" w:space="0" w:color="000000"/>
              <w:right w:val="single" w:sz="12" w:space="0" w:color="000000"/>
            </w:tcBorders>
            <w:vAlign w:val="center"/>
          </w:tcPr>
          <w:p w14:paraId="2579564D" w14:textId="152DF732" w:rsidR="00E2708F" w:rsidRPr="00594248" w:rsidRDefault="00D44EC2" w:rsidP="00E2708F">
            <w:pPr>
              <w:spacing w:after="0" w:line="259" w:lineRule="auto"/>
              <w:ind w:left="0" w:right="0" w:firstLine="0"/>
              <w:jc w:val="center"/>
              <w:rPr>
                <w:sz w:val="20"/>
              </w:rPr>
            </w:pPr>
            <w:r>
              <w:rPr>
                <w:sz w:val="20"/>
              </w:rPr>
              <w:t>NA</w:t>
            </w:r>
          </w:p>
        </w:tc>
        <w:tc>
          <w:tcPr>
            <w:tcW w:w="1432" w:type="dxa"/>
            <w:tcBorders>
              <w:top w:val="single" w:sz="12" w:space="0" w:color="000000"/>
              <w:left w:val="single" w:sz="12" w:space="0" w:color="000000"/>
              <w:bottom w:val="single" w:sz="12" w:space="0" w:color="000000"/>
              <w:right w:val="single" w:sz="12" w:space="0" w:color="000000"/>
            </w:tcBorders>
            <w:vAlign w:val="center"/>
          </w:tcPr>
          <w:p w14:paraId="3AF09C58" w14:textId="4CD4E76D" w:rsidR="00E2708F" w:rsidRPr="00594248" w:rsidRDefault="00D44EC2" w:rsidP="00E2708F">
            <w:pPr>
              <w:spacing w:after="0" w:line="259" w:lineRule="auto"/>
              <w:ind w:left="6" w:right="0" w:firstLine="0"/>
              <w:jc w:val="center"/>
              <w:rPr>
                <w:sz w:val="20"/>
              </w:rPr>
            </w:pPr>
            <w:r>
              <w:rPr>
                <w:sz w:val="20"/>
              </w:rPr>
              <w:t>NA</w:t>
            </w:r>
          </w:p>
        </w:tc>
        <w:tc>
          <w:tcPr>
            <w:tcW w:w="1606" w:type="dxa"/>
            <w:tcBorders>
              <w:top w:val="single" w:sz="12" w:space="0" w:color="000000"/>
              <w:left w:val="single" w:sz="12" w:space="0" w:color="000000"/>
              <w:bottom w:val="single" w:sz="12" w:space="0" w:color="000000"/>
              <w:right w:val="single" w:sz="12" w:space="0" w:color="000000"/>
            </w:tcBorders>
            <w:vAlign w:val="center"/>
          </w:tcPr>
          <w:p w14:paraId="3BAAA3AD" w14:textId="51C2B240" w:rsidR="00E2708F" w:rsidRPr="00594248" w:rsidRDefault="00D44EC2" w:rsidP="00E2708F">
            <w:pPr>
              <w:spacing w:after="0" w:line="259" w:lineRule="auto"/>
              <w:ind w:left="4" w:right="0" w:firstLine="0"/>
              <w:jc w:val="center"/>
              <w:rPr>
                <w:sz w:val="20"/>
              </w:rPr>
            </w:pPr>
            <w:r>
              <w:rPr>
                <w:sz w:val="20"/>
              </w:rPr>
              <w:t>NA</w:t>
            </w:r>
          </w:p>
        </w:tc>
        <w:tc>
          <w:tcPr>
            <w:tcW w:w="1620" w:type="dxa"/>
            <w:tcBorders>
              <w:top w:val="single" w:sz="12" w:space="0" w:color="000000"/>
              <w:left w:val="single" w:sz="12" w:space="0" w:color="000000"/>
              <w:bottom w:val="single" w:sz="12" w:space="0" w:color="000000"/>
              <w:right w:val="single" w:sz="12" w:space="0" w:color="000000"/>
            </w:tcBorders>
            <w:vAlign w:val="center"/>
          </w:tcPr>
          <w:p w14:paraId="1C55F72C" w14:textId="68ADEFE1" w:rsidR="00E2708F" w:rsidRPr="00594248" w:rsidRDefault="00FC7340" w:rsidP="00E2708F">
            <w:pPr>
              <w:spacing w:after="0" w:line="259" w:lineRule="auto"/>
              <w:ind w:left="2" w:right="0" w:firstLine="0"/>
              <w:jc w:val="center"/>
              <w:rPr>
                <w:sz w:val="20"/>
              </w:rPr>
            </w:pPr>
            <w:r w:rsidRPr="00765D8C">
              <w:rPr>
                <w:sz w:val="20"/>
              </w:rPr>
              <w:t>250 ml Plastic Polypropylene</w:t>
            </w:r>
          </w:p>
        </w:tc>
        <w:tc>
          <w:tcPr>
            <w:tcW w:w="3022" w:type="dxa"/>
            <w:tcBorders>
              <w:top w:val="single" w:sz="12" w:space="0" w:color="000000"/>
              <w:left w:val="single" w:sz="12" w:space="0" w:color="000000"/>
              <w:bottom w:val="single" w:sz="12" w:space="0" w:color="000000"/>
              <w:right w:val="single" w:sz="12" w:space="0" w:color="000000"/>
            </w:tcBorders>
            <w:vAlign w:val="center"/>
          </w:tcPr>
          <w:p w14:paraId="28F805DD" w14:textId="2E56AE94" w:rsidR="00E2708F" w:rsidRPr="00594248" w:rsidRDefault="00FC7340" w:rsidP="00E2708F">
            <w:pPr>
              <w:spacing w:after="0" w:line="259" w:lineRule="auto"/>
              <w:ind w:left="3" w:right="0" w:firstLine="0"/>
              <w:jc w:val="center"/>
              <w:rPr>
                <w:sz w:val="20"/>
              </w:rPr>
            </w:pPr>
            <w:r>
              <w:rPr>
                <w:sz w:val="20"/>
              </w:rPr>
              <w:t>Ice (4</w:t>
            </w:r>
            <w:r>
              <w:rPr>
                <w:sz w:val="20"/>
                <w:vertAlign w:val="superscript"/>
              </w:rPr>
              <w:t>0</w:t>
            </w:r>
            <w:r>
              <w:rPr>
                <w:sz w:val="20"/>
              </w:rPr>
              <w:t>C)</w:t>
            </w:r>
          </w:p>
        </w:tc>
        <w:tc>
          <w:tcPr>
            <w:tcW w:w="2043" w:type="dxa"/>
            <w:tcBorders>
              <w:top w:val="single" w:sz="12" w:space="0" w:color="000000"/>
              <w:left w:val="single" w:sz="12" w:space="0" w:color="000000"/>
              <w:bottom w:val="single" w:sz="12" w:space="0" w:color="000000"/>
              <w:right w:val="single" w:sz="12" w:space="0" w:color="000000"/>
            </w:tcBorders>
            <w:vAlign w:val="center"/>
          </w:tcPr>
          <w:p w14:paraId="4E05AF93" w14:textId="6282B229" w:rsidR="00E2708F" w:rsidRPr="00594248" w:rsidRDefault="00FC7340" w:rsidP="00E2708F">
            <w:pPr>
              <w:spacing w:after="0" w:line="259" w:lineRule="auto"/>
              <w:ind w:left="4" w:right="0" w:firstLine="0"/>
              <w:jc w:val="center"/>
              <w:rPr>
                <w:sz w:val="20"/>
              </w:rPr>
            </w:pPr>
            <w:r>
              <w:rPr>
                <w:sz w:val="20"/>
              </w:rPr>
              <w:t>Not formally established but preparation</w:t>
            </w:r>
            <w:r w:rsidR="00DD537C">
              <w:rPr>
                <w:sz w:val="20"/>
              </w:rPr>
              <w:t xml:space="preserve"> Method 3512</w:t>
            </w:r>
            <w:r>
              <w:rPr>
                <w:sz w:val="20"/>
              </w:rPr>
              <w:t xml:space="preserve"> within 14 </w:t>
            </w:r>
            <w:proofErr w:type="gramStart"/>
            <w:r>
              <w:rPr>
                <w:sz w:val="20"/>
              </w:rPr>
              <w:t>day;</w:t>
            </w:r>
            <w:proofErr w:type="gramEnd"/>
            <w:r>
              <w:rPr>
                <w:sz w:val="20"/>
              </w:rPr>
              <w:t xml:space="preserve"> 30 </w:t>
            </w:r>
            <w:proofErr w:type="gramStart"/>
            <w:r>
              <w:rPr>
                <w:sz w:val="20"/>
              </w:rPr>
              <w:t>day</w:t>
            </w:r>
            <w:proofErr w:type="gramEnd"/>
            <w:r>
              <w:rPr>
                <w:sz w:val="20"/>
              </w:rPr>
              <w:t xml:space="preserve"> to analysis</w:t>
            </w:r>
          </w:p>
        </w:tc>
      </w:tr>
    </w:tbl>
    <w:p w14:paraId="7076B856" w14:textId="229E2DEC" w:rsidR="00275991" w:rsidRPr="00883461" w:rsidRDefault="00C707B8" w:rsidP="00626D34">
      <w:pPr>
        <w:ind w:left="360" w:firstLine="0"/>
        <w:rPr>
          <w:b/>
        </w:rPr>
      </w:pPr>
      <w:r w:rsidRPr="00883461">
        <w:rPr>
          <w:b/>
        </w:rPr>
        <w:t>*</w:t>
      </w:r>
      <w:r w:rsidR="008F0073" w:rsidRPr="00883461">
        <w:rPr>
          <w:b/>
        </w:rPr>
        <w:t xml:space="preserve"> </w:t>
      </w:r>
      <w:r w:rsidR="003D1FF7" w:rsidRPr="00883461">
        <w:rPr>
          <w:b/>
        </w:rPr>
        <w:t>NOTE</w:t>
      </w:r>
      <w:r w:rsidR="009F11B1" w:rsidRPr="00883461">
        <w:rPr>
          <w:b/>
        </w:rPr>
        <w:t>S</w:t>
      </w:r>
      <w:proofErr w:type="gramStart"/>
      <w:r w:rsidR="003D1FF7" w:rsidRPr="00883461">
        <w:rPr>
          <w:b/>
        </w:rPr>
        <w:t>:</w:t>
      </w:r>
      <w:r w:rsidR="00EF55A8">
        <w:rPr>
          <w:b/>
          <w:bCs/>
        </w:rPr>
        <w:t xml:space="preserve">  Include</w:t>
      </w:r>
      <w:proofErr w:type="gramEnd"/>
      <w:r w:rsidR="00EF55A8">
        <w:rPr>
          <w:b/>
          <w:bCs/>
        </w:rPr>
        <w:t xml:space="preserve"> but not limited</w:t>
      </w:r>
      <w:r w:rsidR="00FC7340">
        <w:rPr>
          <w:b/>
          <w:bCs/>
        </w:rPr>
        <w:t>.</w:t>
      </w:r>
    </w:p>
    <w:p w14:paraId="310F376A" w14:textId="1DFC957D" w:rsidR="00F47BDF" w:rsidRDefault="00E96C1A" w:rsidP="00A55A27">
      <w:pPr>
        <w:pStyle w:val="ListParagraph"/>
        <w:numPr>
          <w:ilvl w:val="0"/>
          <w:numId w:val="128"/>
        </w:numPr>
        <w:ind w:left="1080"/>
      </w:pPr>
      <w:r>
        <w:t>Temperature</w:t>
      </w:r>
      <w:r w:rsidR="000A6391">
        <w:t xml:space="preserve"> is generally 4</w:t>
      </w:r>
      <w:r w:rsidR="00F37360">
        <w:t xml:space="preserve"> ± 2 </w:t>
      </w:r>
      <w:r w:rsidR="000A6391" w:rsidRPr="0088436B">
        <w:rPr>
          <w:sz w:val="20"/>
          <w:vertAlign w:val="superscript"/>
        </w:rPr>
        <w:t>0</w:t>
      </w:r>
      <w:r w:rsidR="00F47BDF" w:rsidRPr="00F47BDF">
        <w:t>C</w:t>
      </w:r>
      <w:r w:rsidR="000D7DFB">
        <w:t xml:space="preserve"> (</w:t>
      </w:r>
      <w:r w:rsidR="000D7DFB" w:rsidRPr="000D7DFB">
        <w:t>0 - 6 ºC</w:t>
      </w:r>
      <w:r w:rsidR="000D7DFB">
        <w:t>)</w:t>
      </w:r>
      <w:r w:rsidR="0088436B">
        <w:t xml:space="preserve"> but o</w:t>
      </w:r>
      <w:r w:rsidR="00E95CA9">
        <w:t xml:space="preserve">ther temperatures and </w:t>
      </w:r>
      <w:r w:rsidR="003E587E">
        <w:t>h</w:t>
      </w:r>
      <w:r w:rsidR="0056111D" w:rsidRPr="0056111D">
        <w:t>olding time may be appropriate</w:t>
      </w:r>
      <w:r w:rsidR="0088436B">
        <w:t>.</w:t>
      </w:r>
      <w:r w:rsidR="00612FA3">
        <w:t xml:space="preserve">  Refer to individual methods for</w:t>
      </w:r>
      <w:r w:rsidR="00E6477B">
        <w:t xml:space="preserve"> add</w:t>
      </w:r>
      <w:r w:rsidR="00612FA3">
        <w:t>itional field, storage, extraction, and analysis holding time information</w:t>
      </w:r>
      <w:r w:rsidR="00A82959">
        <w:t>.</w:t>
      </w:r>
    </w:p>
    <w:p w14:paraId="40341212" w14:textId="386F66FC" w:rsidR="009F11B1" w:rsidRDefault="009F11B1" w:rsidP="00A55A27">
      <w:pPr>
        <w:pStyle w:val="ListParagraph"/>
        <w:numPr>
          <w:ilvl w:val="0"/>
          <w:numId w:val="128"/>
        </w:numPr>
        <w:ind w:left="1080"/>
      </w:pPr>
      <w:r>
        <w:t xml:space="preserve">Some methods have specific </w:t>
      </w:r>
      <w:r w:rsidR="007A74BF">
        <w:t>criteria such as</w:t>
      </w:r>
      <w:r w:rsidR="005F2CCD">
        <w:t xml:space="preserve"> aqu</w:t>
      </w:r>
      <w:r w:rsidR="000273DA">
        <w:t>eous samples being</w:t>
      </w:r>
      <w:r w:rsidR="007A74BF">
        <w:t xml:space="preserve"> protected from </w:t>
      </w:r>
      <w:r w:rsidR="005D64D3">
        <w:t>light or</w:t>
      </w:r>
      <w:r w:rsidR="0080600F">
        <w:t xml:space="preserve"> </w:t>
      </w:r>
      <w:r w:rsidR="005F2CCD" w:rsidRPr="005F2CCD">
        <w:t>stored at or below -20</w:t>
      </w:r>
      <w:r w:rsidR="00FB757B">
        <w:rPr>
          <w:sz w:val="20"/>
          <w:vertAlign w:val="superscript"/>
        </w:rPr>
        <w:t>0</w:t>
      </w:r>
      <w:r w:rsidR="005F2CCD" w:rsidRPr="005F2CCD">
        <w:t>C and protected from the light</w:t>
      </w:r>
      <w:r w:rsidR="000273DA">
        <w:t xml:space="preserve"> extending the holding time</w:t>
      </w:r>
      <w:r w:rsidR="005F2CCD" w:rsidRPr="005F2CCD">
        <w:t xml:space="preserve"> for up to 90 days for all analytes</w:t>
      </w:r>
      <w:r w:rsidR="0080600F">
        <w:t xml:space="preserve">, or </w:t>
      </w:r>
      <w:r w:rsidR="001A6010">
        <w:t>some specific analytes require</w:t>
      </w:r>
      <w:r w:rsidR="00AB6A15">
        <w:t xml:space="preserve"> shorter extraction </w:t>
      </w:r>
      <w:r w:rsidR="009C0BA2">
        <w:t>time frame</w:t>
      </w:r>
      <w:r w:rsidR="00B50B18">
        <w:t>.</w:t>
      </w:r>
      <w:r w:rsidR="00A01741">
        <w:t xml:space="preserve">  Other options for soil and sediment indicate samples may be held </w:t>
      </w:r>
      <w:r w:rsidR="00906673">
        <w:t xml:space="preserve">at the laboratory in the dark and at either </w:t>
      </w:r>
      <w:r w:rsidR="007B6E80">
        <w:t>4 ± 2</w:t>
      </w:r>
      <w:r w:rsidR="007B6E80" w:rsidRPr="0088436B">
        <w:rPr>
          <w:sz w:val="20"/>
          <w:vertAlign w:val="superscript"/>
        </w:rPr>
        <w:t>0</w:t>
      </w:r>
      <w:r w:rsidR="007B6E80" w:rsidRPr="00F47BDF">
        <w:t>C</w:t>
      </w:r>
      <w:r w:rsidR="007B6E80">
        <w:t xml:space="preserve"> (</w:t>
      </w:r>
      <w:r w:rsidR="007B6E80" w:rsidRPr="000D7DFB">
        <w:t>0 - 6</w:t>
      </w:r>
      <w:r w:rsidR="00FB757B">
        <w:rPr>
          <w:sz w:val="20"/>
          <w:vertAlign w:val="superscript"/>
        </w:rPr>
        <w:t>0</w:t>
      </w:r>
      <w:r w:rsidR="007B6E80" w:rsidRPr="000D7DFB">
        <w:t>C</w:t>
      </w:r>
      <w:r w:rsidR="007B6E80">
        <w:t xml:space="preserve">) or </w:t>
      </w:r>
      <w:r w:rsidR="007B6E80" w:rsidRPr="005F2CCD">
        <w:t>at or below -20</w:t>
      </w:r>
      <w:r w:rsidR="00FB757B">
        <w:rPr>
          <w:sz w:val="20"/>
          <w:vertAlign w:val="superscript"/>
        </w:rPr>
        <w:t>0</w:t>
      </w:r>
      <w:r w:rsidR="007B6E80" w:rsidRPr="005F2CCD">
        <w:t>C</w:t>
      </w:r>
      <w:r w:rsidR="002A2016">
        <w:t xml:space="preserve"> for up to 90 days.</w:t>
      </w:r>
    </w:p>
    <w:p w14:paraId="1F0F4D15" w14:textId="1818EAC8" w:rsidR="007939E9" w:rsidRDefault="00A10BBB" w:rsidP="00626D34">
      <w:pPr>
        <w:pStyle w:val="ListParagraph"/>
        <w:numPr>
          <w:ilvl w:val="0"/>
          <w:numId w:val="128"/>
        </w:numPr>
        <w:ind w:left="1080"/>
      </w:pPr>
      <w:r w:rsidRPr="00A10BBB">
        <w:t>Holding time may vary depending on the matrix and individual</w:t>
      </w:r>
      <w:r>
        <w:t xml:space="preserve"> </w:t>
      </w:r>
      <w:r w:rsidRPr="00A10BBB">
        <w:t>laboratories should determine the holding time in their matrix.</w:t>
      </w:r>
    </w:p>
    <w:p w14:paraId="71250DB3" w14:textId="77777777" w:rsidR="00F26D31" w:rsidRDefault="00F26D31" w:rsidP="00413D79">
      <w:pPr>
        <w:ind w:left="0" w:firstLine="0"/>
      </w:pPr>
    </w:p>
    <w:p w14:paraId="742A4A69" w14:textId="77777777" w:rsidR="00736A5A" w:rsidRDefault="00736A5A" w:rsidP="00413D79">
      <w:pPr>
        <w:ind w:left="0" w:firstLine="0"/>
      </w:pPr>
    </w:p>
    <w:p w14:paraId="6BD1E2A3" w14:textId="77777777" w:rsidR="00214E47" w:rsidRDefault="00214E47" w:rsidP="00413D79">
      <w:pPr>
        <w:ind w:left="0" w:firstLine="0"/>
      </w:pPr>
    </w:p>
    <w:p w14:paraId="073D0848" w14:textId="77777777" w:rsidR="00736A5A" w:rsidRDefault="00736A5A" w:rsidP="00413D79">
      <w:pPr>
        <w:ind w:left="0" w:firstLine="0"/>
      </w:pPr>
    </w:p>
    <w:p w14:paraId="2231963C" w14:textId="77777777" w:rsidR="00A11DB6" w:rsidRDefault="00A11DB6" w:rsidP="00413D79">
      <w:pPr>
        <w:ind w:left="0" w:firstLine="0"/>
      </w:pPr>
    </w:p>
    <w:p w14:paraId="12412A11" w14:textId="5A8C7148" w:rsidR="002F6058" w:rsidRPr="002F6058" w:rsidRDefault="002F6058" w:rsidP="00D67001">
      <w:pPr>
        <w:sectPr w:rsidR="002F6058" w:rsidRPr="002F6058" w:rsidSect="00507AB3">
          <w:headerReference w:type="even" r:id="rId41"/>
          <w:headerReference w:type="default" r:id="rId42"/>
          <w:footerReference w:type="even" r:id="rId43"/>
          <w:footerReference w:type="default" r:id="rId44"/>
          <w:headerReference w:type="first" r:id="rId45"/>
          <w:footerReference w:type="first" r:id="rId46"/>
          <w:pgSz w:w="15840" w:h="12240" w:orient="landscape"/>
          <w:pgMar w:top="1371" w:right="1440" w:bottom="1035" w:left="1440" w:header="720" w:footer="720" w:gutter="0"/>
          <w:cols w:space="720"/>
          <w:docGrid w:linePitch="299"/>
        </w:sectPr>
      </w:pPr>
    </w:p>
    <w:p w14:paraId="021D52C9" w14:textId="01DC422B" w:rsidR="000F1459" w:rsidRDefault="00EB7CA3" w:rsidP="00883461">
      <w:pPr>
        <w:spacing w:after="100" w:afterAutospacing="1" w:line="259" w:lineRule="auto"/>
        <w:ind w:left="0" w:right="0" w:firstLine="0"/>
        <w:rPr>
          <w:rFonts w:eastAsia="Calibri"/>
          <w:noProof/>
          <w:u w:val="single"/>
        </w:rPr>
      </w:pPr>
      <w:r w:rsidRPr="00C42ED0">
        <w:rPr>
          <w:rFonts w:eastAsia="Calibri"/>
          <w:b/>
          <w:bCs/>
          <w:noProof/>
        </w:rPr>
        <w:lastRenderedPageBreak/>
        <w:t xml:space="preserve">B. </w:t>
      </w:r>
      <w:r w:rsidRPr="00C42ED0">
        <w:rPr>
          <w:rFonts w:eastAsia="Calibri"/>
          <w:b/>
          <w:bCs/>
          <w:noProof/>
          <w:u w:val="single"/>
        </w:rPr>
        <w:t>Sample Container</w:t>
      </w:r>
      <w:r w:rsidR="000F1459">
        <w:rPr>
          <w:rFonts w:eastAsia="Calibri"/>
          <w:b/>
          <w:bCs/>
          <w:noProof/>
          <w:u w:val="single"/>
        </w:rPr>
        <w:t xml:space="preserve"> Specification</w:t>
      </w:r>
      <w:r w:rsidRPr="00C42ED0">
        <w:rPr>
          <w:rFonts w:eastAsia="Calibri"/>
          <w:b/>
          <w:bCs/>
          <w:noProof/>
          <w:u w:val="single"/>
        </w:rPr>
        <w:t>s</w:t>
      </w:r>
      <w:r>
        <w:rPr>
          <w:rFonts w:eastAsia="Calibri"/>
          <w:b/>
          <w:bCs/>
          <w:noProof/>
          <w:u w:val="single"/>
        </w:rPr>
        <w:t xml:space="preserve"> –</w:t>
      </w:r>
      <w:r w:rsidR="006D3CA8">
        <w:rPr>
          <w:rFonts w:eastAsia="Calibri"/>
          <w:b/>
          <w:bCs/>
          <w:noProof/>
          <w:u w:val="single"/>
        </w:rPr>
        <w:t xml:space="preserve"> </w:t>
      </w:r>
      <w:r>
        <w:rPr>
          <w:rFonts w:eastAsia="Calibri"/>
          <w:b/>
          <w:bCs/>
          <w:noProof/>
          <w:u w:val="single"/>
        </w:rPr>
        <w:t>Air Protocol</w:t>
      </w:r>
    </w:p>
    <w:p w14:paraId="4EEB6285" w14:textId="60930E65" w:rsidR="000F1459" w:rsidRPr="00C42ED0" w:rsidRDefault="002C785E" w:rsidP="00883461">
      <w:pPr>
        <w:pStyle w:val="ListParagraph"/>
        <w:numPr>
          <w:ilvl w:val="0"/>
          <w:numId w:val="58"/>
        </w:numPr>
        <w:spacing w:after="100" w:afterAutospacing="1" w:line="259" w:lineRule="auto"/>
        <w:ind w:left="720" w:right="0"/>
        <w:rPr>
          <w:rFonts w:eastAsia="Calibri"/>
          <w:noProof/>
          <w:u w:val="single"/>
        </w:rPr>
      </w:pPr>
      <w:r w:rsidRPr="002C785E">
        <w:t>The Contractor shall provide sample c</w:t>
      </w:r>
      <w:r w:rsidR="00BB5936">
        <w:t xml:space="preserve">anisters </w:t>
      </w:r>
      <w:r w:rsidRPr="002C785E">
        <w:t xml:space="preserve">with </w:t>
      </w:r>
      <w:r w:rsidR="00BB5936">
        <w:t>dedicated</w:t>
      </w:r>
      <w:r w:rsidRPr="002C785E">
        <w:t xml:space="preserve"> </w:t>
      </w:r>
      <w:r w:rsidR="00B813F9">
        <w:t>m</w:t>
      </w:r>
      <w:r w:rsidR="00B813F9" w:rsidRPr="00B813F9">
        <w:t xml:space="preserve">ass flow regulators, connecting tubing, filters, and fittings </w:t>
      </w:r>
      <w:r w:rsidRPr="002C785E">
        <w:t>for sample delivery group</w:t>
      </w:r>
      <w:r w:rsidR="0084600E">
        <w:t>s</w:t>
      </w:r>
      <w:r w:rsidR="00B813F9">
        <w:t xml:space="preserve"> for </w:t>
      </w:r>
      <w:r w:rsidR="00E12105">
        <w:t>USEPA</w:t>
      </w:r>
      <w:r w:rsidR="00B813F9">
        <w:t xml:space="preserve"> Method TO-15 analysis</w:t>
      </w:r>
      <w:r w:rsidRPr="002C785E">
        <w:t>, unless instructed otherwise at time of analytical request.</w:t>
      </w:r>
    </w:p>
    <w:p w14:paraId="209F31AF" w14:textId="77777777" w:rsidR="0084600E" w:rsidRPr="00C42ED0" w:rsidRDefault="0084600E" w:rsidP="00AC39BA">
      <w:pPr>
        <w:pStyle w:val="ListParagraph"/>
        <w:spacing w:after="0" w:line="259" w:lineRule="auto"/>
        <w:ind w:right="-303" w:firstLine="0"/>
        <w:rPr>
          <w:rFonts w:eastAsia="Calibri"/>
          <w:noProof/>
          <w:u w:val="single"/>
        </w:rPr>
      </w:pPr>
    </w:p>
    <w:p w14:paraId="62902CE5" w14:textId="049C1EF9" w:rsidR="00CD6238" w:rsidRPr="001246E1" w:rsidRDefault="00162EBE" w:rsidP="00883461">
      <w:pPr>
        <w:pStyle w:val="ListParagraph"/>
        <w:numPr>
          <w:ilvl w:val="0"/>
          <w:numId w:val="58"/>
        </w:numPr>
        <w:spacing w:after="100" w:afterAutospacing="1" w:line="259" w:lineRule="auto"/>
        <w:ind w:left="720" w:right="0"/>
        <w:rPr>
          <w:rFonts w:eastAsia="Calibri"/>
          <w:noProof/>
        </w:rPr>
      </w:pPr>
      <w:r w:rsidRPr="001246E1">
        <w:rPr>
          <w:rFonts w:eastAsia="Calibri"/>
          <w:noProof/>
        </w:rPr>
        <w:t xml:space="preserve">The Contractor shall provide </w:t>
      </w:r>
      <w:r w:rsidR="009C59BF" w:rsidRPr="001246E1">
        <w:rPr>
          <w:rFonts w:eastAsia="Calibri"/>
          <w:noProof/>
        </w:rPr>
        <w:t xml:space="preserve">prepared sample tubes </w:t>
      </w:r>
      <w:r w:rsidR="00FD2352" w:rsidRPr="001246E1">
        <w:rPr>
          <w:rFonts w:eastAsia="Calibri"/>
          <w:noProof/>
        </w:rPr>
        <w:t>packed with selected sorbent and dedicated stor</w:t>
      </w:r>
      <w:r w:rsidR="00135272" w:rsidRPr="001246E1">
        <w:rPr>
          <w:rFonts w:eastAsia="Calibri"/>
          <w:noProof/>
        </w:rPr>
        <w:t>a</w:t>
      </w:r>
      <w:r w:rsidR="00FD2352" w:rsidRPr="001246E1">
        <w:rPr>
          <w:rFonts w:eastAsia="Calibri"/>
          <w:noProof/>
        </w:rPr>
        <w:t xml:space="preserve">ge/transport containers for sample delivery groups for </w:t>
      </w:r>
      <w:r w:rsidR="00E12105">
        <w:rPr>
          <w:rFonts w:eastAsia="Calibri"/>
          <w:noProof/>
        </w:rPr>
        <w:t>USEPA</w:t>
      </w:r>
      <w:r w:rsidR="00FD2352" w:rsidRPr="001246E1">
        <w:rPr>
          <w:rFonts w:eastAsia="Calibri"/>
          <w:noProof/>
        </w:rPr>
        <w:t xml:space="preserve"> Method TO-17 a</w:t>
      </w:r>
      <w:r w:rsidR="00261116" w:rsidRPr="001246E1">
        <w:rPr>
          <w:rFonts w:eastAsia="Calibri"/>
          <w:noProof/>
        </w:rPr>
        <w:t xml:space="preserve">nalysis, unless instructed otherwise at time of analytical request. </w:t>
      </w:r>
      <w:r w:rsidR="00603BA8" w:rsidRPr="001246E1">
        <w:rPr>
          <w:rFonts w:eastAsia="Calibri"/>
          <w:noProof/>
        </w:rPr>
        <w:t xml:space="preserve"> </w:t>
      </w:r>
      <w:r w:rsidR="006E1ADE" w:rsidRPr="001246E1">
        <w:rPr>
          <w:rFonts w:eastAsia="Calibri"/>
          <w:noProof/>
        </w:rPr>
        <w:t>The Contractor shall also provide p</w:t>
      </w:r>
      <w:r w:rsidR="00261116" w:rsidRPr="001246E1">
        <w:rPr>
          <w:rFonts w:eastAsia="Calibri"/>
          <w:noProof/>
        </w:rPr>
        <w:t>ortable sample pump</w:t>
      </w:r>
      <w:r w:rsidR="00603BA8" w:rsidRPr="001246E1">
        <w:rPr>
          <w:rFonts w:eastAsia="Calibri"/>
          <w:noProof/>
        </w:rPr>
        <w:t>s with connecting tu</w:t>
      </w:r>
      <w:r w:rsidR="006E1ADE" w:rsidRPr="001246E1">
        <w:rPr>
          <w:rFonts w:eastAsia="Calibri"/>
          <w:noProof/>
        </w:rPr>
        <w:t>bing, filters, and fittings when active sorbent-type sampling</w:t>
      </w:r>
      <w:r w:rsidR="00CD6238" w:rsidRPr="001246E1">
        <w:rPr>
          <w:rFonts w:eastAsia="Calibri"/>
          <w:noProof/>
        </w:rPr>
        <w:t xml:space="preserve"> is requested.</w:t>
      </w:r>
    </w:p>
    <w:p w14:paraId="501729A7" w14:textId="77777777" w:rsidR="00CD6238" w:rsidRPr="001246E1" w:rsidRDefault="00CD6238" w:rsidP="00C42ED0">
      <w:pPr>
        <w:pStyle w:val="ListParagraph"/>
        <w:rPr>
          <w:rFonts w:eastAsia="Calibri"/>
          <w:noProof/>
        </w:rPr>
      </w:pPr>
    </w:p>
    <w:p w14:paraId="29E7DD68" w14:textId="42A0D2B1" w:rsidR="0084600E" w:rsidRPr="001246E1" w:rsidRDefault="009C5950" w:rsidP="00883461">
      <w:pPr>
        <w:pStyle w:val="ListParagraph"/>
        <w:numPr>
          <w:ilvl w:val="0"/>
          <w:numId w:val="58"/>
        </w:numPr>
        <w:spacing w:after="100" w:afterAutospacing="1" w:line="259" w:lineRule="auto"/>
        <w:ind w:left="720" w:right="0"/>
        <w:rPr>
          <w:rFonts w:eastAsia="Calibri"/>
        </w:rPr>
      </w:pPr>
      <w:r w:rsidRPr="001246E1">
        <w:rPr>
          <w:rFonts w:eastAsia="Calibri"/>
          <w:noProof/>
        </w:rPr>
        <w:t>T</w:t>
      </w:r>
      <w:r w:rsidRPr="001246E1">
        <w:rPr>
          <w:rFonts w:eastAsia="Calibri"/>
        </w:rPr>
        <w:t>he Contract</w:t>
      </w:r>
      <w:r w:rsidR="00B234DD" w:rsidRPr="001246E1">
        <w:rPr>
          <w:rFonts w:eastAsia="Calibri"/>
        </w:rPr>
        <w:t>o</w:t>
      </w:r>
      <w:r w:rsidR="00C645A7" w:rsidRPr="001246E1">
        <w:rPr>
          <w:rFonts w:eastAsia="Calibri"/>
        </w:rPr>
        <w:t xml:space="preserve">r shall provide prepared sample </w:t>
      </w:r>
      <w:r w:rsidR="008F3505" w:rsidRPr="001246E1">
        <w:rPr>
          <w:rFonts w:eastAsia="Calibri"/>
          <w:noProof/>
        </w:rPr>
        <w:t>containers (</w:t>
      </w:r>
      <w:r w:rsidR="0096615E" w:rsidRPr="001246E1">
        <w:rPr>
          <w:rFonts w:eastAsia="Calibri"/>
          <w:noProof/>
        </w:rPr>
        <w:t>canist</w:t>
      </w:r>
      <w:r w:rsidR="00C645A7" w:rsidRPr="001246E1">
        <w:rPr>
          <w:rFonts w:eastAsia="Calibri"/>
          <w:noProof/>
        </w:rPr>
        <w:t xml:space="preserve">ers </w:t>
      </w:r>
      <w:r w:rsidR="0096615E" w:rsidRPr="001246E1">
        <w:rPr>
          <w:rFonts w:eastAsia="Calibri"/>
          <w:noProof/>
        </w:rPr>
        <w:t>or sample tubes</w:t>
      </w:r>
      <w:r w:rsidR="008F3505" w:rsidRPr="001246E1">
        <w:rPr>
          <w:rFonts w:eastAsia="Calibri"/>
          <w:noProof/>
        </w:rPr>
        <w:t>)</w:t>
      </w:r>
      <w:r w:rsidR="0096615E" w:rsidRPr="001246E1">
        <w:rPr>
          <w:rFonts w:eastAsia="Calibri"/>
          <w:noProof/>
        </w:rPr>
        <w:t xml:space="preserve"> </w:t>
      </w:r>
      <w:r w:rsidR="00C645A7" w:rsidRPr="001246E1">
        <w:rPr>
          <w:rFonts w:eastAsia="Calibri"/>
        </w:rPr>
        <w:t>that must reach the State to allow timely sample collection by State personnel.</w:t>
      </w:r>
      <w:r w:rsidR="0096615E" w:rsidRPr="001246E1">
        <w:rPr>
          <w:rFonts w:eastAsia="Calibri"/>
          <w:noProof/>
        </w:rPr>
        <w:t xml:space="preserve">  For Contractors in the greater Indianapolis area, State staff may pick up prepared containers directly from the Contractor. </w:t>
      </w:r>
      <w:r w:rsidR="008F3505" w:rsidRPr="001246E1">
        <w:rPr>
          <w:rFonts w:eastAsia="Calibri"/>
          <w:noProof/>
        </w:rPr>
        <w:t xml:space="preserve"> </w:t>
      </w:r>
      <w:r w:rsidR="0096615E" w:rsidRPr="001246E1">
        <w:rPr>
          <w:rFonts w:eastAsia="Calibri"/>
          <w:noProof/>
        </w:rPr>
        <w:t xml:space="preserve"> </w:t>
      </w:r>
      <w:r w:rsidR="008F3505" w:rsidRPr="001246E1">
        <w:rPr>
          <w:rFonts w:eastAsia="Calibri"/>
          <w:noProof/>
        </w:rPr>
        <w:t>For Contractors located outside of the greater Indianapolis area, prepared containers must be delivered or shipped to the State at the Contractor's expense.</w:t>
      </w:r>
    </w:p>
    <w:p w14:paraId="4DF23FE5" w14:textId="77777777" w:rsidR="00261B4A" w:rsidRPr="001246E1" w:rsidRDefault="00261B4A" w:rsidP="00C42ED0">
      <w:pPr>
        <w:pStyle w:val="ListParagraph"/>
        <w:rPr>
          <w:rFonts w:eastAsia="Calibri"/>
          <w:noProof/>
        </w:rPr>
      </w:pPr>
    </w:p>
    <w:p w14:paraId="113E1CED" w14:textId="745CE79B" w:rsidR="00261B4A" w:rsidRPr="001246E1" w:rsidRDefault="00EF29D5" w:rsidP="00883461">
      <w:pPr>
        <w:pStyle w:val="ListParagraph"/>
        <w:numPr>
          <w:ilvl w:val="0"/>
          <w:numId w:val="58"/>
        </w:numPr>
        <w:spacing w:after="100" w:afterAutospacing="1" w:line="259" w:lineRule="auto"/>
        <w:ind w:left="720" w:right="0"/>
        <w:rPr>
          <w:rFonts w:eastAsia="Calibri"/>
          <w:noProof/>
        </w:rPr>
      </w:pPr>
      <w:r w:rsidRPr="001246E1">
        <w:rPr>
          <w:rFonts w:eastAsia="Calibri"/>
          <w:noProof/>
        </w:rPr>
        <w:t xml:space="preserve">The Contractor shall provide sample canisters for </w:t>
      </w:r>
      <w:r w:rsidR="00E12105">
        <w:rPr>
          <w:rFonts w:eastAsia="Calibri"/>
          <w:noProof/>
        </w:rPr>
        <w:t>USEPA</w:t>
      </w:r>
      <w:r w:rsidR="007B1111" w:rsidRPr="001246E1">
        <w:rPr>
          <w:rFonts w:eastAsia="Calibri"/>
          <w:noProof/>
        </w:rPr>
        <w:t xml:space="preserve"> </w:t>
      </w:r>
      <w:r w:rsidR="00800D39" w:rsidRPr="001246E1">
        <w:rPr>
          <w:rFonts w:eastAsia="Calibri"/>
          <w:noProof/>
        </w:rPr>
        <w:t xml:space="preserve">Method </w:t>
      </w:r>
      <w:r w:rsidR="007B1111" w:rsidRPr="001246E1">
        <w:rPr>
          <w:rFonts w:eastAsia="Calibri"/>
          <w:noProof/>
        </w:rPr>
        <w:t xml:space="preserve">TO-15 analysis that are batch-certified or individually-certified clean, </w:t>
      </w:r>
      <w:r w:rsidR="001D637C" w:rsidRPr="001246E1">
        <w:rPr>
          <w:rFonts w:eastAsia="Calibri"/>
          <w:noProof/>
        </w:rPr>
        <w:t>as determined at time</w:t>
      </w:r>
      <w:r w:rsidRPr="001246E1">
        <w:rPr>
          <w:rFonts w:eastAsia="Calibri"/>
          <w:noProof/>
        </w:rPr>
        <w:t xml:space="preserve"> of </w:t>
      </w:r>
      <w:r w:rsidR="001D637C" w:rsidRPr="001246E1">
        <w:rPr>
          <w:rFonts w:eastAsia="Calibri"/>
          <w:noProof/>
        </w:rPr>
        <w:t>analytical request.</w:t>
      </w:r>
      <w:r w:rsidRPr="001246E1">
        <w:rPr>
          <w:rFonts w:eastAsia="Calibri"/>
          <w:noProof/>
        </w:rPr>
        <w:t xml:space="preserve"> Documentation indicating that the c</w:t>
      </w:r>
      <w:r w:rsidR="001D637C" w:rsidRPr="001246E1">
        <w:rPr>
          <w:rFonts w:eastAsia="Calibri"/>
          <w:noProof/>
        </w:rPr>
        <w:t>anisters have</w:t>
      </w:r>
      <w:r w:rsidRPr="001246E1">
        <w:rPr>
          <w:rFonts w:eastAsia="Calibri"/>
          <w:noProof/>
        </w:rPr>
        <w:t xml:space="preserve"> passed all QA/QC requirements must be provided by the </w:t>
      </w:r>
      <w:r w:rsidR="00502846" w:rsidRPr="001246E1">
        <w:rPr>
          <w:rFonts w:eastAsia="Calibri"/>
          <w:noProof/>
        </w:rPr>
        <w:t>canister preparer</w:t>
      </w:r>
      <w:r w:rsidRPr="001246E1">
        <w:rPr>
          <w:rFonts w:eastAsia="Calibri"/>
          <w:noProof/>
        </w:rPr>
        <w:t>.</w:t>
      </w:r>
      <w:r w:rsidRPr="001246E1">
        <w:rPr>
          <w:rFonts w:eastAsia="Calibri"/>
          <w:b/>
          <w:noProof/>
        </w:rPr>
        <w:t xml:space="preserve">  A copy of this documentation must be included with each group of c</w:t>
      </w:r>
      <w:r w:rsidR="00502846" w:rsidRPr="001246E1">
        <w:rPr>
          <w:rFonts w:eastAsia="Calibri"/>
          <w:b/>
          <w:noProof/>
        </w:rPr>
        <w:t>anist</w:t>
      </w:r>
      <w:r w:rsidRPr="001246E1">
        <w:rPr>
          <w:rFonts w:eastAsia="Calibri"/>
          <w:b/>
          <w:noProof/>
        </w:rPr>
        <w:t>ers prepared for the State.</w:t>
      </w:r>
    </w:p>
    <w:p w14:paraId="2E1B26DD" w14:textId="77777777" w:rsidR="00502846" w:rsidRPr="001246E1" w:rsidRDefault="00502846" w:rsidP="00C42ED0">
      <w:pPr>
        <w:pStyle w:val="ListParagraph"/>
        <w:rPr>
          <w:rFonts w:eastAsia="Calibri"/>
          <w:noProof/>
        </w:rPr>
      </w:pPr>
    </w:p>
    <w:p w14:paraId="36BDE586" w14:textId="2B2E2B82" w:rsidR="00502846" w:rsidRPr="001246E1" w:rsidRDefault="004D114E" w:rsidP="00883461">
      <w:pPr>
        <w:pStyle w:val="ListParagraph"/>
        <w:numPr>
          <w:ilvl w:val="0"/>
          <w:numId w:val="58"/>
        </w:numPr>
        <w:spacing w:after="100" w:afterAutospacing="1" w:line="259" w:lineRule="auto"/>
        <w:ind w:left="720" w:right="0"/>
        <w:rPr>
          <w:rFonts w:eastAsia="Calibri"/>
        </w:rPr>
      </w:pPr>
      <w:r w:rsidRPr="001246E1">
        <w:rPr>
          <w:rFonts w:eastAsia="Calibri"/>
          <w:noProof/>
        </w:rPr>
        <w:t>The holding time</w:t>
      </w:r>
      <w:r w:rsidR="00800D39" w:rsidRPr="001246E1">
        <w:rPr>
          <w:rFonts w:eastAsia="Calibri"/>
          <w:noProof/>
        </w:rPr>
        <w:t xml:space="preserve"> for sample canisters for </w:t>
      </w:r>
      <w:r w:rsidR="00E12105">
        <w:rPr>
          <w:rFonts w:eastAsia="Calibri"/>
          <w:noProof/>
        </w:rPr>
        <w:t>USEPA</w:t>
      </w:r>
      <w:r w:rsidR="00800D39" w:rsidRPr="001246E1">
        <w:rPr>
          <w:rFonts w:eastAsia="Calibri"/>
          <w:noProof/>
        </w:rPr>
        <w:t xml:space="preserve"> Method TO-15 analysis</w:t>
      </w:r>
      <w:r w:rsidRPr="001246E1">
        <w:rPr>
          <w:rFonts w:eastAsia="Calibri"/>
          <w:noProof/>
        </w:rPr>
        <w:t xml:space="preserve"> </w:t>
      </w:r>
      <w:r w:rsidR="00EA1797" w:rsidRPr="001246E1">
        <w:rPr>
          <w:rFonts w:eastAsia="Calibri"/>
          <w:noProof/>
        </w:rPr>
        <w:t xml:space="preserve">is &lt; 30 days, measured from time and date </w:t>
      </w:r>
      <w:r w:rsidR="00713E2B" w:rsidRPr="001246E1">
        <w:rPr>
          <w:rFonts w:eastAsia="Calibri"/>
          <w:noProof/>
        </w:rPr>
        <w:t>sampling completed (</w:t>
      </w:r>
      <w:r w:rsidR="00EA1797" w:rsidRPr="001246E1">
        <w:rPr>
          <w:rFonts w:eastAsia="Calibri"/>
          <w:noProof/>
        </w:rPr>
        <w:t>canister is closed</w:t>
      </w:r>
      <w:r w:rsidR="00713E2B" w:rsidRPr="001246E1">
        <w:rPr>
          <w:rFonts w:eastAsia="Calibri"/>
          <w:noProof/>
        </w:rPr>
        <w:t>) to</w:t>
      </w:r>
      <w:r w:rsidRPr="001246E1">
        <w:rPr>
          <w:rFonts w:eastAsia="Calibri"/>
          <w:noProof/>
        </w:rPr>
        <w:t xml:space="preserve"> time </w:t>
      </w:r>
      <w:r w:rsidR="00713E2B" w:rsidRPr="001246E1">
        <w:rPr>
          <w:rFonts w:eastAsia="Calibri"/>
          <w:noProof/>
        </w:rPr>
        <w:t xml:space="preserve">and date </w:t>
      </w:r>
      <w:r w:rsidR="00A70916" w:rsidRPr="001246E1">
        <w:rPr>
          <w:rFonts w:eastAsia="Calibri"/>
          <w:noProof/>
        </w:rPr>
        <w:t xml:space="preserve">laboratory </w:t>
      </w:r>
      <w:r w:rsidR="00713E2B" w:rsidRPr="001246E1">
        <w:rPr>
          <w:rFonts w:eastAsia="Calibri"/>
          <w:noProof/>
        </w:rPr>
        <w:t xml:space="preserve">analysis begins (canister </w:t>
      </w:r>
      <w:r w:rsidR="00A70916" w:rsidRPr="001246E1">
        <w:rPr>
          <w:rFonts w:eastAsia="Calibri"/>
          <w:noProof/>
        </w:rPr>
        <w:t xml:space="preserve">is </w:t>
      </w:r>
      <w:r w:rsidR="00713E2B" w:rsidRPr="001246E1">
        <w:rPr>
          <w:rFonts w:eastAsia="Calibri"/>
          <w:noProof/>
        </w:rPr>
        <w:t>re-opened)</w:t>
      </w:r>
      <w:r w:rsidR="00A70916" w:rsidRPr="001246E1">
        <w:rPr>
          <w:rFonts w:eastAsia="Calibri"/>
          <w:noProof/>
        </w:rPr>
        <w:t>.</w:t>
      </w:r>
      <w:r w:rsidRPr="001246E1">
        <w:rPr>
          <w:rFonts w:eastAsia="Calibri"/>
          <w:noProof/>
        </w:rPr>
        <w:t xml:space="preserve">  </w:t>
      </w:r>
      <w:r w:rsidR="004D4AFB" w:rsidRPr="001246E1">
        <w:rPr>
          <w:rFonts w:eastAsia="Calibri"/>
          <w:noProof/>
        </w:rPr>
        <w:t xml:space="preserve">The State must be given two (2) days after sampling completed for delivery of the samples to the Contractor.  </w:t>
      </w:r>
      <w:r w:rsidR="00F136FC" w:rsidRPr="001246E1">
        <w:rPr>
          <w:rFonts w:eastAsia="Calibri"/>
          <w:noProof/>
        </w:rPr>
        <w:t>The sampl</w:t>
      </w:r>
      <w:r w:rsidR="00DF0BC2" w:rsidRPr="001246E1">
        <w:rPr>
          <w:rFonts w:eastAsia="Calibri"/>
          <w:noProof/>
        </w:rPr>
        <w:t xml:space="preserve">ing dates and start/stop times must be noted on the chain-of custody.  </w:t>
      </w:r>
      <w:r w:rsidRPr="001246E1">
        <w:rPr>
          <w:rFonts w:eastAsia="Calibri"/>
          <w:noProof/>
        </w:rPr>
        <w:t xml:space="preserve">The Contractor will be responsible for ensuring that sample holding times </w:t>
      </w:r>
      <w:r w:rsidR="009204B3" w:rsidRPr="001246E1">
        <w:rPr>
          <w:rFonts w:eastAsia="Calibri"/>
          <w:noProof/>
        </w:rPr>
        <w:t>a</w:t>
      </w:r>
      <w:r w:rsidRPr="001246E1">
        <w:rPr>
          <w:rFonts w:eastAsia="Calibri"/>
          <w:noProof/>
        </w:rPr>
        <w:t>re met.</w:t>
      </w:r>
    </w:p>
    <w:p w14:paraId="430F8A22" w14:textId="77777777" w:rsidR="009204B3" w:rsidRPr="001246E1" w:rsidRDefault="009204B3" w:rsidP="00C42ED0">
      <w:pPr>
        <w:pStyle w:val="ListParagraph"/>
        <w:rPr>
          <w:rFonts w:eastAsia="Calibri"/>
          <w:noProof/>
        </w:rPr>
      </w:pPr>
    </w:p>
    <w:p w14:paraId="59CDB116" w14:textId="2547D9FE" w:rsidR="009204B3" w:rsidRPr="001246E1" w:rsidRDefault="00135272" w:rsidP="00883461">
      <w:pPr>
        <w:pStyle w:val="ListParagraph"/>
        <w:numPr>
          <w:ilvl w:val="0"/>
          <w:numId w:val="58"/>
        </w:numPr>
        <w:spacing w:after="0" w:line="259" w:lineRule="auto"/>
        <w:ind w:left="720" w:right="0"/>
        <w:rPr>
          <w:rFonts w:eastAsia="Calibri"/>
          <w:noProof/>
        </w:rPr>
      </w:pPr>
      <w:r w:rsidRPr="001246E1">
        <w:rPr>
          <w:rFonts w:eastAsia="Calibri"/>
          <w:noProof/>
        </w:rPr>
        <w:t xml:space="preserve">The holding time for sample tubes for </w:t>
      </w:r>
      <w:r w:rsidR="00E12105">
        <w:rPr>
          <w:rFonts w:eastAsia="Calibri"/>
          <w:noProof/>
        </w:rPr>
        <w:t>USEPA</w:t>
      </w:r>
      <w:r w:rsidRPr="001246E1">
        <w:rPr>
          <w:rFonts w:eastAsia="Calibri"/>
          <w:noProof/>
        </w:rPr>
        <w:t xml:space="preserve"> Method TO-17 analysis is &lt; 30 days, measured f</w:t>
      </w:r>
      <w:r w:rsidR="006E7400" w:rsidRPr="001246E1">
        <w:rPr>
          <w:rFonts w:eastAsia="Calibri"/>
          <w:noProof/>
        </w:rPr>
        <w:t>rom time and date sampling completed (sample returned to dedicated storage/transport container) to time and date laboratory analysis begins</w:t>
      </w:r>
      <w:r w:rsidR="00384BE5" w:rsidRPr="001246E1">
        <w:rPr>
          <w:rFonts w:eastAsia="Calibri"/>
          <w:noProof/>
        </w:rPr>
        <w:t xml:space="preserve">.  Samples must be maintained in clean storage area at &lt; 4 degrees C during holding time.  </w:t>
      </w:r>
      <w:r w:rsidR="00DF0BC2" w:rsidRPr="001246E1">
        <w:rPr>
          <w:rFonts w:eastAsia="Calibri"/>
          <w:noProof/>
        </w:rPr>
        <w:t xml:space="preserve">The sampling dates and start/stop times must be noted on the chain-of-custody.  </w:t>
      </w:r>
      <w:r w:rsidR="00330F25" w:rsidRPr="001246E1">
        <w:rPr>
          <w:rFonts w:eastAsia="Calibri"/>
          <w:noProof/>
        </w:rPr>
        <w:t>The Contractor will be responsible for ensuring that sample holding times and temperatures are met.</w:t>
      </w:r>
    </w:p>
    <w:p w14:paraId="604DD1BC" w14:textId="77777777" w:rsidR="007B435F" w:rsidRDefault="007B435F" w:rsidP="00760FCC">
      <w:pPr>
        <w:spacing w:after="0" w:line="259" w:lineRule="auto"/>
        <w:ind w:left="127" w:right="-303" w:firstLine="0"/>
        <w:rPr>
          <w:rFonts w:ascii="Calibri" w:eastAsia="Calibri" w:hAnsi="Calibri" w:cs="Calibri"/>
          <w:noProof/>
        </w:rPr>
      </w:pPr>
    </w:p>
    <w:p w14:paraId="3B04F009" w14:textId="77777777" w:rsidR="00601BF8" w:rsidRDefault="00601BF8" w:rsidP="00760FCC">
      <w:pPr>
        <w:spacing w:after="0" w:line="259" w:lineRule="auto"/>
        <w:ind w:left="127" w:right="-303" w:firstLine="0"/>
        <w:rPr>
          <w:rFonts w:ascii="Calibri" w:eastAsia="Calibri" w:hAnsi="Calibri" w:cs="Calibri"/>
          <w:noProof/>
        </w:rPr>
      </w:pPr>
    </w:p>
    <w:p w14:paraId="15664BA9" w14:textId="77777777" w:rsidR="00601BF8" w:rsidRDefault="00601BF8" w:rsidP="00760FCC">
      <w:pPr>
        <w:spacing w:after="0" w:line="259" w:lineRule="auto"/>
        <w:ind w:left="127" w:right="-303" w:firstLine="0"/>
        <w:rPr>
          <w:rFonts w:ascii="Calibri" w:eastAsia="Calibri" w:hAnsi="Calibri" w:cs="Calibri"/>
          <w:noProof/>
        </w:rPr>
      </w:pPr>
    </w:p>
    <w:p w14:paraId="644D50C9" w14:textId="77777777" w:rsidR="00601BF8" w:rsidRDefault="00601BF8" w:rsidP="00760FCC">
      <w:pPr>
        <w:spacing w:after="0" w:line="259" w:lineRule="auto"/>
        <w:ind w:left="127" w:right="-303" w:firstLine="0"/>
        <w:rPr>
          <w:rFonts w:ascii="Calibri" w:eastAsia="Calibri" w:hAnsi="Calibri" w:cs="Calibri"/>
          <w:noProof/>
        </w:rPr>
      </w:pPr>
    </w:p>
    <w:p w14:paraId="188522B4" w14:textId="77777777" w:rsidR="00601BF8" w:rsidRDefault="00601BF8" w:rsidP="00760FCC">
      <w:pPr>
        <w:spacing w:after="0" w:line="259" w:lineRule="auto"/>
        <w:ind w:left="127" w:right="-303" w:firstLine="0"/>
        <w:rPr>
          <w:rFonts w:ascii="Calibri" w:eastAsia="Calibri" w:hAnsi="Calibri" w:cs="Calibri"/>
          <w:noProof/>
        </w:rPr>
      </w:pPr>
    </w:p>
    <w:p w14:paraId="554AAC6C" w14:textId="77777777" w:rsidR="00EF5FA4" w:rsidRDefault="00EF5FA4" w:rsidP="00EF5FA4">
      <w:pPr>
        <w:pStyle w:val="Heading3"/>
        <w:spacing w:after="268" w:line="247" w:lineRule="auto"/>
        <w:ind w:left="1236" w:right="186"/>
        <w:jc w:val="left"/>
      </w:pPr>
      <w:r>
        <w:t xml:space="preserve">THE REMAINDER OF THIS PAGE HAS BEEN LEFT BLANK INTENTIONALLY </w:t>
      </w:r>
    </w:p>
    <w:p w14:paraId="44D2838B" w14:textId="77777777" w:rsidR="00601BF8" w:rsidRDefault="00601BF8" w:rsidP="00760FCC">
      <w:pPr>
        <w:spacing w:after="0" w:line="259" w:lineRule="auto"/>
        <w:ind w:left="127" w:right="-303" w:firstLine="0"/>
        <w:rPr>
          <w:rFonts w:ascii="Calibri" w:eastAsia="Calibri" w:hAnsi="Calibri" w:cs="Calibri"/>
          <w:noProof/>
        </w:rPr>
      </w:pPr>
    </w:p>
    <w:p w14:paraId="52E7817B" w14:textId="77777777" w:rsidR="00133985" w:rsidRDefault="00133985" w:rsidP="00760FCC">
      <w:pPr>
        <w:spacing w:after="0" w:line="259" w:lineRule="auto"/>
        <w:ind w:left="127" w:right="-303" w:firstLine="0"/>
        <w:rPr>
          <w:rFonts w:ascii="Calibri" w:eastAsia="Calibri" w:hAnsi="Calibri" w:cs="Calibri"/>
          <w:noProof/>
        </w:rPr>
      </w:pPr>
    </w:p>
    <w:p w14:paraId="2EE0DEBA" w14:textId="77777777" w:rsidR="008C0016" w:rsidRDefault="008C0016" w:rsidP="00760FCC">
      <w:pPr>
        <w:spacing w:after="0" w:line="259" w:lineRule="auto"/>
        <w:ind w:left="127" w:right="-303" w:firstLine="0"/>
        <w:rPr>
          <w:rFonts w:ascii="Calibri" w:eastAsia="Calibri" w:hAnsi="Calibri" w:cs="Calibri"/>
          <w:noProof/>
        </w:rPr>
      </w:pPr>
    </w:p>
    <w:p w14:paraId="7709BD53" w14:textId="77777777" w:rsidR="008C0016" w:rsidRDefault="008C0016" w:rsidP="00760FCC">
      <w:pPr>
        <w:spacing w:after="0" w:line="259" w:lineRule="auto"/>
        <w:ind w:left="127" w:right="-303" w:firstLine="0"/>
        <w:rPr>
          <w:rFonts w:ascii="Calibri" w:eastAsia="Calibri" w:hAnsi="Calibri" w:cs="Calibri"/>
          <w:noProof/>
        </w:rPr>
      </w:pPr>
    </w:p>
    <w:p w14:paraId="047AE21E" w14:textId="77777777" w:rsidR="008A5317" w:rsidRDefault="008A5317" w:rsidP="00760FCC">
      <w:pPr>
        <w:spacing w:after="0" w:line="259" w:lineRule="auto"/>
        <w:ind w:left="127" w:right="-303" w:firstLine="0"/>
        <w:rPr>
          <w:rFonts w:ascii="Calibri" w:eastAsia="Calibri" w:hAnsi="Calibri" w:cs="Calibri"/>
          <w:noProof/>
        </w:rPr>
      </w:pPr>
    </w:p>
    <w:p w14:paraId="6420CA10" w14:textId="77777777" w:rsidR="008C0016" w:rsidRDefault="008C0016" w:rsidP="00760FCC">
      <w:pPr>
        <w:spacing w:after="0" w:line="259" w:lineRule="auto"/>
        <w:ind w:left="127" w:right="-303" w:firstLine="0"/>
        <w:rPr>
          <w:rFonts w:ascii="Calibri" w:eastAsia="Calibri" w:hAnsi="Calibri" w:cs="Calibri"/>
          <w:noProof/>
        </w:rPr>
      </w:pPr>
    </w:p>
    <w:p w14:paraId="3E209BDD" w14:textId="77777777" w:rsidR="008C0016" w:rsidRDefault="008C0016" w:rsidP="00760FCC">
      <w:pPr>
        <w:spacing w:after="0" w:line="259" w:lineRule="auto"/>
        <w:ind w:left="127" w:right="-303" w:firstLine="0"/>
        <w:rPr>
          <w:rFonts w:ascii="Calibri" w:eastAsia="Calibri" w:hAnsi="Calibri" w:cs="Calibri"/>
          <w:noProof/>
        </w:rPr>
      </w:pPr>
    </w:p>
    <w:p w14:paraId="4B9D93CE" w14:textId="77777777" w:rsidR="008C0016" w:rsidRDefault="008C0016" w:rsidP="00760FCC">
      <w:pPr>
        <w:spacing w:after="0" w:line="259" w:lineRule="auto"/>
        <w:ind w:left="127" w:right="-303" w:firstLine="0"/>
        <w:rPr>
          <w:rFonts w:ascii="Calibri" w:eastAsia="Calibri" w:hAnsi="Calibri" w:cs="Calibri"/>
          <w:noProof/>
        </w:rPr>
      </w:pPr>
    </w:p>
    <w:p w14:paraId="576A1527" w14:textId="77777777" w:rsidR="008C0016" w:rsidRDefault="008C0016" w:rsidP="00760FCC">
      <w:pPr>
        <w:spacing w:after="0" w:line="259" w:lineRule="auto"/>
        <w:ind w:left="127" w:right="-303" w:firstLine="0"/>
        <w:rPr>
          <w:rFonts w:ascii="Calibri" w:eastAsia="Calibri" w:hAnsi="Calibri" w:cs="Calibri"/>
          <w:noProof/>
        </w:rPr>
      </w:pPr>
    </w:p>
    <w:p w14:paraId="271016BC" w14:textId="71DB2C3B" w:rsidR="00496BCA" w:rsidRPr="00496BCA" w:rsidRDefault="00133985" w:rsidP="008C5081">
      <w:pPr>
        <w:spacing w:after="0" w:line="259" w:lineRule="auto"/>
        <w:ind w:left="0" w:right="-303" w:firstLine="0"/>
        <w:rPr>
          <w:rFonts w:eastAsia="Calibri"/>
          <w:noProof/>
          <w:sz w:val="10"/>
          <w:szCs w:val="10"/>
        </w:rPr>
      </w:pPr>
      <w:r>
        <w:rPr>
          <w:rFonts w:ascii="Calibri" w:eastAsia="Calibri" w:hAnsi="Calibri" w:cs="Calibri"/>
          <w:noProof/>
        </w:rPr>
        <w:lastRenderedPageBreak/>
        <mc:AlternateContent>
          <mc:Choice Requires="wpg">
            <w:drawing>
              <wp:anchor distT="0" distB="0" distL="114300" distR="114300" simplePos="0" relativeHeight="251658244" behindDoc="0" locked="0" layoutInCell="1" allowOverlap="1" wp14:anchorId="65AE1F65" wp14:editId="16CEB87D">
                <wp:simplePos x="0" y="0"/>
                <wp:positionH relativeFrom="column">
                  <wp:posOffset>635</wp:posOffset>
                </wp:positionH>
                <wp:positionV relativeFrom="paragraph">
                  <wp:posOffset>111760</wp:posOffset>
                </wp:positionV>
                <wp:extent cx="6140450" cy="45085"/>
                <wp:effectExtent l="0" t="0" r="0" b="12065"/>
                <wp:wrapTopAndBottom/>
                <wp:docPr id="1339574351" name="Group 1339574351"/>
                <wp:cNvGraphicFramePr/>
                <a:graphic xmlns:a="http://schemas.openxmlformats.org/drawingml/2006/main">
                  <a:graphicData uri="http://schemas.microsoft.com/office/word/2010/wordprocessingGroup">
                    <wpg:wgp>
                      <wpg:cNvGrpSpPr/>
                      <wpg:grpSpPr>
                        <a:xfrm flipV="1">
                          <a:off x="0" y="0"/>
                          <a:ext cx="6140450" cy="45085"/>
                          <a:chOff x="0" y="0"/>
                          <a:chExt cx="6400800" cy="57150"/>
                        </a:xfrm>
                      </wpg:grpSpPr>
                      <wps:wsp>
                        <wps:cNvPr id="688394820" name="Shape 899785"/>
                        <wps:cNvSpPr/>
                        <wps:spPr>
                          <a:xfrm>
                            <a:off x="0" y="22860"/>
                            <a:ext cx="6400800" cy="34290"/>
                          </a:xfrm>
                          <a:custGeom>
                            <a:avLst/>
                            <a:gdLst/>
                            <a:ahLst/>
                            <a:cxnLst/>
                            <a:rect l="0" t="0" r="0" b="0"/>
                            <a:pathLst>
                              <a:path w="6400800" h="34290">
                                <a:moveTo>
                                  <a:pt x="0" y="0"/>
                                </a:moveTo>
                                <a:lnTo>
                                  <a:pt x="6400800" y="0"/>
                                </a:lnTo>
                                <a:lnTo>
                                  <a:pt x="6400800" y="34290"/>
                                </a:lnTo>
                                <a:lnTo>
                                  <a:pt x="0" y="3429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67378821" name="Shape 899786"/>
                        <wps:cNvSpPr/>
                        <wps:spPr>
                          <a:xfrm>
                            <a:off x="0" y="0"/>
                            <a:ext cx="6400800" cy="11430"/>
                          </a:xfrm>
                          <a:custGeom>
                            <a:avLst/>
                            <a:gdLst/>
                            <a:ahLst/>
                            <a:cxnLst/>
                            <a:rect l="0" t="0" r="0" b="0"/>
                            <a:pathLst>
                              <a:path w="6400800" h="11430">
                                <a:moveTo>
                                  <a:pt x="0" y="0"/>
                                </a:moveTo>
                                <a:lnTo>
                                  <a:pt x="6400800" y="0"/>
                                </a:lnTo>
                                <a:lnTo>
                                  <a:pt x="6400800" y="11430"/>
                                </a:lnTo>
                                <a:lnTo>
                                  <a:pt x="0" y="114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383C0683" id="Group 1339574351" o:spid="_x0000_s1026" style="position:absolute;margin-left:.05pt;margin-top:8.8pt;width:483.5pt;height:3.55pt;flip:y;z-index:251658244" coordsize="64008,5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">
                <v:shape id="Shape 899785" o:spid="_x0000_s1027" style="position:absolute;top:228;width:64008;height:343;visibility:visible;mso-wrap-style:square;v-text-anchor:top" coordsize="6400800,34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" path="m,l6400800,r,34290l,34290,,e" fillcolor="black" stroked="f" strokeweight="0">
                  <v:stroke miterlimit="83231f" joinstyle="miter"/>
                  <v:path arrowok="t" textboxrect="0,0,6400800,34290"/>
                </v:shape>
                <v:shape id="Shape 899786" o:spid="_x0000_s1028" style="position:absolute;width:64008;height:114;visibility:visible;mso-wrap-style:square;v-text-anchor:top" coordsize="6400800,114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" path="m,l6400800,r,11430l,11430,,e" fillcolor="black" stroked="f" strokeweight="0">
                  <v:stroke miterlimit="83231f" joinstyle="miter"/>
                  <v:path arrowok="t" textboxrect="0,0,6400800,11430"/>
                </v:shape>
                <w10:wrap type="topAndBottom"/>
              </v:group>
            </w:pict>
          </mc:Fallback>
        </mc:AlternateContent>
      </w:r>
    </w:p>
    <w:p w14:paraId="635C8FF6" w14:textId="77777777" w:rsidR="006F4BC2" w:rsidRDefault="006F4BC2" w:rsidP="00ED583E">
      <w:pPr>
        <w:pStyle w:val="Heading3"/>
        <w:spacing w:after="0" w:line="249" w:lineRule="auto"/>
      </w:pPr>
    </w:p>
    <w:p w14:paraId="313EB780" w14:textId="77777777" w:rsidR="000D3C36" w:rsidRDefault="001C3C42" w:rsidP="00ED583E">
      <w:pPr>
        <w:pStyle w:val="Heading3"/>
        <w:spacing w:after="0" w:line="249" w:lineRule="auto"/>
      </w:pPr>
      <w:r w:rsidRPr="00F33508">
        <w:t>V.  REPORTING REQUIREMENTS</w:t>
      </w:r>
    </w:p>
    <w:p w14:paraId="5B7DE9C1" w14:textId="2C048C04" w:rsidR="000D3C36" w:rsidRPr="000D3C36" w:rsidRDefault="000D3C36" w:rsidP="000D3C36">
      <w:pPr>
        <w:pStyle w:val="Heading3"/>
        <w:spacing w:after="100" w:afterAutospacing="1" w:line="249" w:lineRule="auto"/>
      </w:pPr>
      <w:r>
        <w:rPr>
          <w:rFonts w:ascii="Calibri" w:eastAsia="Calibri" w:hAnsi="Calibri" w:cs="Calibri"/>
          <w:noProof/>
        </w:rPr>
        <mc:AlternateContent>
          <mc:Choice Requires="wpg">
            <w:drawing>
              <wp:anchor distT="0" distB="0" distL="114300" distR="114300" simplePos="0" relativeHeight="251658245" behindDoc="0" locked="0" layoutInCell="1" allowOverlap="1" wp14:anchorId="37A8CFE6" wp14:editId="623C6FB6">
                <wp:simplePos x="0" y="0"/>
                <wp:positionH relativeFrom="column">
                  <wp:posOffset>0</wp:posOffset>
                </wp:positionH>
                <wp:positionV relativeFrom="paragraph">
                  <wp:posOffset>170180</wp:posOffset>
                </wp:positionV>
                <wp:extent cx="6140450" cy="45085"/>
                <wp:effectExtent l="0" t="0" r="0" b="12065"/>
                <wp:wrapTopAndBottom/>
                <wp:docPr id="556446415" name="Group 556446415"/>
                <wp:cNvGraphicFramePr/>
                <a:graphic xmlns:a="http://schemas.openxmlformats.org/drawingml/2006/main">
                  <a:graphicData uri="http://schemas.microsoft.com/office/word/2010/wordprocessingGroup">
                    <wpg:wgp>
                      <wpg:cNvGrpSpPr/>
                      <wpg:grpSpPr>
                        <a:xfrm flipV="1">
                          <a:off x="0" y="0"/>
                          <a:ext cx="6140450" cy="45085"/>
                          <a:chOff x="0" y="0"/>
                          <a:chExt cx="6400800" cy="57150"/>
                        </a:xfrm>
                      </wpg:grpSpPr>
                      <wps:wsp>
                        <wps:cNvPr id="1987832213" name="Shape 899785"/>
                        <wps:cNvSpPr/>
                        <wps:spPr>
                          <a:xfrm>
                            <a:off x="0" y="22860"/>
                            <a:ext cx="6400800" cy="34290"/>
                          </a:xfrm>
                          <a:custGeom>
                            <a:avLst/>
                            <a:gdLst/>
                            <a:ahLst/>
                            <a:cxnLst/>
                            <a:rect l="0" t="0" r="0" b="0"/>
                            <a:pathLst>
                              <a:path w="6400800" h="34290">
                                <a:moveTo>
                                  <a:pt x="0" y="0"/>
                                </a:moveTo>
                                <a:lnTo>
                                  <a:pt x="6400800" y="0"/>
                                </a:lnTo>
                                <a:lnTo>
                                  <a:pt x="6400800" y="34290"/>
                                </a:lnTo>
                                <a:lnTo>
                                  <a:pt x="0" y="3429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744376188" name="Shape 899786"/>
                        <wps:cNvSpPr/>
                        <wps:spPr>
                          <a:xfrm>
                            <a:off x="0" y="0"/>
                            <a:ext cx="6400800" cy="11430"/>
                          </a:xfrm>
                          <a:custGeom>
                            <a:avLst/>
                            <a:gdLst/>
                            <a:ahLst/>
                            <a:cxnLst/>
                            <a:rect l="0" t="0" r="0" b="0"/>
                            <a:pathLst>
                              <a:path w="6400800" h="11430">
                                <a:moveTo>
                                  <a:pt x="0" y="0"/>
                                </a:moveTo>
                                <a:lnTo>
                                  <a:pt x="6400800" y="0"/>
                                </a:lnTo>
                                <a:lnTo>
                                  <a:pt x="6400800" y="11430"/>
                                </a:lnTo>
                                <a:lnTo>
                                  <a:pt x="0" y="114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01340E8C" id="Group 556446415" o:spid="_x0000_s1026" style="position:absolute;margin-left:0;margin-top:13.4pt;width:483.5pt;height:3.55pt;flip:y;z-index:251658245" coordsize="64008,5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">
                <v:shape id="Shape 899785" o:spid="_x0000_s1027" style="position:absolute;top:228;width:64008;height:343;visibility:visible;mso-wrap-style:square;v-text-anchor:top" coordsize="6400800,34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" path="m,l6400800,r,34290l,34290,,e" fillcolor="black" stroked="f" strokeweight="0">
                  <v:stroke miterlimit="83231f" joinstyle="miter"/>
                  <v:path arrowok="t" textboxrect="0,0,6400800,34290"/>
                </v:shape>
                <v:shape id="Shape 899786" o:spid="_x0000_s1028" style="position:absolute;width:64008;height:114;visibility:visible;mso-wrap-style:square;v-text-anchor:top" coordsize="6400800,114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" path="m,l6400800,r,11430l,11430,,e" fillcolor="black" stroked="f" strokeweight="0">
                  <v:stroke miterlimit="83231f" joinstyle="miter"/>
                  <v:path arrowok="t" textboxrect="0,0,6400800,11430"/>
                </v:shape>
                <w10:wrap type="topAndBottom"/>
              </v:group>
            </w:pict>
          </mc:Fallback>
        </mc:AlternateContent>
      </w:r>
    </w:p>
    <w:p w14:paraId="4EBC2177" w14:textId="7B91A68A" w:rsidR="00B56D50" w:rsidRDefault="001C3C42" w:rsidP="00FE473D">
      <w:pPr>
        <w:pStyle w:val="Heading4"/>
        <w:spacing w:after="100" w:afterAutospacing="1" w:line="249" w:lineRule="auto"/>
      </w:pPr>
      <w:r>
        <w:rPr>
          <w:u w:val="single" w:color="000000"/>
        </w:rPr>
        <w:t>Analytical Reports</w:t>
      </w:r>
      <w:r>
        <w:rPr>
          <w:rFonts w:eastAsia="Arial"/>
        </w:rPr>
        <w:t xml:space="preserve"> </w:t>
      </w:r>
    </w:p>
    <w:p w14:paraId="271E11FB" w14:textId="77777777" w:rsidR="00827ACD" w:rsidRDefault="001C3C42" w:rsidP="00FE473D">
      <w:pPr>
        <w:ind w:right="0"/>
      </w:pPr>
      <w:r>
        <w:t xml:space="preserve">The State will submit samples to the Contractor in sample delivery groups called cases.  All State sample identification numbers listed on the chain-of-custody form(s) accompanying a particular sample delivery group will be considered one case.  The Contractor shall report results for each individual case in a separate analytical report.  Analytical reports must be </w:t>
      </w:r>
      <w:r w:rsidR="003D3288" w:rsidRPr="00C173DB">
        <w:t>submitted</w:t>
      </w:r>
      <w:r w:rsidRPr="003D3288">
        <w:t xml:space="preserve"> </w:t>
      </w:r>
      <w:r>
        <w:t>to the following address:</w:t>
      </w:r>
    </w:p>
    <w:p w14:paraId="225CC40C" w14:textId="0AEDDD8A" w:rsidR="00B56D50" w:rsidRDefault="00B56D50" w:rsidP="000629FC">
      <w:pPr>
        <w:ind w:right="0"/>
      </w:pPr>
    </w:p>
    <w:p w14:paraId="41941BBB" w14:textId="7455226C" w:rsidR="00B56D50" w:rsidRDefault="00FE30A7" w:rsidP="00226258">
      <w:pPr>
        <w:spacing w:after="0" w:line="259" w:lineRule="auto"/>
        <w:ind w:left="0" w:right="0" w:firstLine="0"/>
        <w:jc w:val="center"/>
        <w:rPr>
          <w:b/>
        </w:rPr>
      </w:pPr>
      <w:hyperlink r:id="rId47" w:history="1">
        <w:r w:rsidRPr="00E72E2C">
          <w:rPr>
            <w:rStyle w:val="Hyperlink"/>
            <w:b/>
          </w:rPr>
          <w:t>OLQChemistry@idem.IN.gov</w:t>
        </w:r>
      </w:hyperlink>
    </w:p>
    <w:p w14:paraId="298116EA" w14:textId="77777777" w:rsidR="00FE30A7" w:rsidRPr="00DF662A" w:rsidRDefault="00FE30A7" w:rsidP="00FE30A7">
      <w:pPr>
        <w:spacing w:after="0" w:line="259" w:lineRule="auto"/>
        <w:ind w:left="0" w:right="0" w:firstLine="0"/>
        <w:rPr>
          <w:strike/>
        </w:rPr>
      </w:pPr>
    </w:p>
    <w:p w14:paraId="3E2E8EBD" w14:textId="70CC8CF9" w:rsidR="00AB499A" w:rsidRDefault="00E30726" w:rsidP="00FE473D">
      <w:pPr>
        <w:spacing w:after="100" w:afterAutospacing="1" w:line="259" w:lineRule="auto"/>
        <w:ind w:left="0" w:right="0" w:firstLine="0"/>
      </w:pPr>
      <w:r>
        <w:t xml:space="preserve">Instructions </w:t>
      </w:r>
      <w:r w:rsidR="00B76E25">
        <w:t xml:space="preserve">for e-submittals </w:t>
      </w:r>
      <w:r>
        <w:t xml:space="preserve">will be provided </w:t>
      </w:r>
      <w:r w:rsidR="00406DA7">
        <w:t>in</w:t>
      </w:r>
      <w:r w:rsidR="006A3B93">
        <w:t xml:space="preserve"> </w:t>
      </w:r>
      <w:proofErr w:type="gramStart"/>
      <w:r w:rsidR="006A3B93">
        <w:t xml:space="preserve">the </w:t>
      </w:r>
      <w:r w:rsidR="00406DA7">
        <w:t xml:space="preserve"> “</w:t>
      </w:r>
      <w:proofErr w:type="gramEnd"/>
      <w:r w:rsidR="00406DA7">
        <w:t>IDEM Shared Folder Guidance</w:t>
      </w:r>
      <w:r w:rsidR="00774E5D">
        <w:t>-External User</w:t>
      </w:r>
      <w:r w:rsidR="006A3B93">
        <w:t>”</w:t>
      </w:r>
      <w:r w:rsidR="00406DA7">
        <w:t xml:space="preserve">, </w:t>
      </w:r>
      <w:r w:rsidR="006A3B93">
        <w:t>03/09/2021</w:t>
      </w:r>
      <w:r w:rsidR="00C41763">
        <w:t xml:space="preserve"> at the time of award.</w:t>
      </w:r>
    </w:p>
    <w:p w14:paraId="0C703ED6" w14:textId="3A462C1C" w:rsidR="00B56D50" w:rsidRDefault="001C3C42" w:rsidP="00FE473D">
      <w:pPr>
        <w:spacing w:after="100" w:afterAutospacing="1"/>
        <w:ind w:right="0"/>
      </w:pPr>
      <w:r>
        <w:t>Each analytical report will be reviewed by the State upon receipt by the State.  This review will include an assessment of compliance with these Technical Specifications.</w:t>
      </w:r>
      <w:r>
        <w:rPr>
          <w:rFonts w:ascii="Arial" w:eastAsia="Arial" w:hAnsi="Arial" w:cs="Arial"/>
        </w:rPr>
        <w:t xml:space="preserve"> </w:t>
      </w:r>
    </w:p>
    <w:p w14:paraId="49274201" w14:textId="57FEC8CF" w:rsidR="00B56D50" w:rsidRDefault="001C3C42" w:rsidP="001764C7">
      <w:pPr>
        <w:spacing w:after="100" w:afterAutospacing="1"/>
        <w:ind w:right="0"/>
        <w:rPr>
          <w:b/>
        </w:rPr>
      </w:pPr>
      <w:r>
        <w:rPr>
          <w:b/>
        </w:rPr>
        <w:t xml:space="preserve">Report </w:t>
      </w:r>
      <w:r w:rsidR="00FE30A7">
        <w:rPr>
          <w:b/>
        </w:rPr>
        <w:t>C</w:t>
      </w:r>
      <w:r>
        <w:rPr>
          <w:b/>
        </w:rPr>
        <w:t>ontent:</w:t>
      </w:r>
    </w:p>
    <w:p w14:paraId="252B3BF7" w14:textId="25B1BC3C" w:rsidR="00B56D50" w:rsidRDefault="001C3C42" w:rsidP="00E30D65">
      <w:pPr>
        <w:spacing w:after="100" w:afterAutospacing="1"/>
        <w:ind w:right="0"/>
      </w:pPr>
      <w:r>
        <w:t xml:space="preserve">All analytical reports produced for the State </w:t>
      </w:r>
      <w:r>
        <w:rPr>
          <w:b/>
        </w:rPr>
        <w:t xml:space="preserve">must </w:t>
      </w:r>
      <w:r>
        <w:t xml:space="preserve">include the requirements identified in the Deliverables List in Section V1.  All data must </w:t>
      </w:r>
      <w:r w:rsidR="00394269">
        <w:t>be</w:t>
      </w:r>
      <w:r>
        <w:t xml:space="preserve"> </w:t>
      </w:r>
      <w:r w:rsidR="00BC20AE">
        <w:t xml:space="preserve">Data Quality </w:t>
      </w:r>
      <w:r w:rsidR="00FC6D47">
        <w:t xml:space="preserve">Assessment Level 3 unless </w:t>
      </w:r>
      <w:r>
        <w:t xml:space="preserve">“enforcement level” </w:t>
      </w:r>
      <w:r w:rsidR="00FC6D47">
        <w:t>(Data Quality Assessment Level 4)</w:t>
      </w:r>
      <w:r>
        <w:t xml:space="preserve"> </w:t>
      </w:r>
      <w:r w:rsidR="00FC6D47">
        <w:t>is</w:t>
      </w:r>
      <w:r w:rsidR="00F12019">
        <w:t xml:space="preserve"> </w:t>
      </w:r>
      <w:r>
        <w:t>request</w:t>
      </w:r>
      <w:r w:rsidR="00F12019">
        <w:t xml:space="preserve">ed at time of sample </w:t>
      </w:r>
      <w:r w:rsidR="00F46F85">
        <w:t>set</w:t>
      </w:r>
      <w:r w:rsidR="00D609B1">
        <w:t xml:space="preserve"> </w:t>
      </w:r>
      <w:r w:rsidR="00F46F85">
        <w:t>up</w:t>
      </w:r>
      <w:r>
        <w:t xml:space="preserve">.  </w:t>
      </w:r>
      <w:r w:rsidR="00E637DE">
        <w:t>Raw data</w:t>
      </w:r>
      <w:r w:rsidR="005F6D2E">
        <w:t xml:space="preserve"> are not included in the Level 3 </w:t>
      </w:r>
      <w:r w:rsidR="00B02278">
        <w:t>analytical</w:t>
      </w:r>
      <w:r w:rsidR="006F1ECC">
        <w:t xml:space="preserve"> </w:t>
      </w:r>
      <w:r w:rsidR="005D64D3">
        <w:t>report but</w:t>
      </w:r>
      <w:r w:rsidR="006F1ECC">
        <w:t xml:space="preserve"> need to be retained by the laboratory </w:t>
      </w:r>
      <w:r w:rsidR="009C557F">
        <w:t>for 5 years</w:t>
      </w:r>
      <w:r w:rsidR="00CF641A">
        <w:t xml:space="preserve"> </w:t>
      </w:r>
      <w:r w:rsidR="003902D5">
        <w:t>beyond the end of the contract period</w:t>
      </w:r>
      <w:r w:rsidR="00F42C93">
        <w:t xml:space="preserve"> in case of </w:t>
      </w:r>
      <w:r w:rsidR="00DF594D">
        <w:t>a future need for Level 4 documentation.</w:t>
      </w:r>
      <w:r>
        <w:t xml:space="preserve"> </w:t>
      </w:r>
      <w:r w:rsidR="00047F37" w:rsidRPr="00047F37">
        <w:t>I</w:t>
      </w:r>
      <w:r w:rsidRPr="00047F37">
        <w:t>nternal</w:t>
      </w:r>
      <w:r>
        <w:t xml:space="preserve"> laboratory </w:t>
      </w:r>
      <w:proofErr w:type="gramStart"/>
      <w:r>
        <w:t>chain-of</w:t>
      </w:r>
      <w:r w:rsidR="00394269">
        <w:t>-</w:t>
      </w:r>
      <w:r>
        <w:t>custody</w:t>
      </w:r>
      <w:proofErr w:type="gramEnd"/>
      <w:r>
        <w:t xml:space="preserve"> shall not be required unless it is specified at the time of the analytical request.  Analytical reports provided for this Contract must include the following elements:</w:t>
      </w:r>
    </w:p>
    <w:p w14:paraId="06A83C04" w14:textId="1D291E84" w:rsidR="00B56D50" w:rsidRDefault="001C3C42" w:rsidP="00E30D65">
      <w:pPr>
        <w:numPr>
          <w:ilvl w:val="0"/>
          <w:numId w:val="3"/>
        </w:numPr>
        <w:spacing w:after="100" w:afterAutospacing="1"/>
        <w:ind w:left="1080" w:right="0" w:hanging="360"/>
      </w:pPr>
      <w:r>
        <w:t xml:space="preserve">Sample identification </w:t>
      </w:r>
      <w:r w:rsidR="006C377F">
        <w:t>information.</w:t>
      </w:r>
      <w:r>
        <w:rPr>
          <w:b/>
        </w:rPr>
        <w:t xml:space="preserve"> </w:t>
      </w:r>
    </w:p>
    <w:p w14:paraId="7F130B4A" w14:textId="4B6925B4" w:rsidR="00B56D50" w:rsidRDefault="001C3C42" w:rsidP="00E30D65">
      <w:pPr>
        <w:numPr>
          <w:ilvl w:val="0"/>
          <w:numId w:val="3"/>
        </w:numPr>
        <w:spacing w:after="100" w:afterAutospacing="1"/>
        <w:ind w:left="1080" w:right="0" w:hanging="360"/>
      </w:pPr>
      <w:r>
        <w:t xml:space="preserve">Summary of final analytical results for all requested </w:t>
      </w:r>
      <w:r w:rsidR="006E75AF">
        <w:t>analytes.</w:t>
      </w:r>
    </w:p>
    <w:p w14:paraId="51D01C7F" w14:textId="33B71533" w:rsidR="00E42601" w:rsidRDefault="001C3C42" w:rsidP="00865F1C">
      <w:pPr>
        <w:spacing w:after="0"/>
        <w:ind w:left="1440" w:right="186" w:hanging="720"/>
        <w:rPr>
          <w:b/>
        </w:rPr>
      </w:pPr>
      <w:r>
        <w:rPr>
          <w:b/>
        </w:rPr>
        <w:t>Note:</w:t>
      </w:r>
      <w:r w:rsidR="00F92DE2">
        <w:rPr>
          <w:b/>
        </w:rPr>
        <w:tab/>
      </w:r>
      <w:r>
        <w:rPr>
          <w:b/>
        </w:rPr>
        <w:t>Target analytes detected above the detection limit but below the quantitation limit</w:t>
      </w:r>
      <w:r w:rsidR="00037168">
        <w:rPr>
          <w:b/>
        </w:rPr>
        <w:t xml:space="preserve"> </w:t>
      </w:r>
      <w:r>
        <w:rPr>
          <w:b/>
        </w:rPr>
        <w:t>should be reported but flagged as estimated.</w:t>
      </w:r>
    </w:p>
    <w:p w14:paraId="18A50BAC" w14:textId="1EEEFF98" w:rsidR="00B56D50" w:rsidRDefault="001C3C42">
      <w:pPr>
        <w:spacing w:after="16"/>
        <w:ind w:left="1927" w:right="186" w:hanging="720"/>
      </w:pPr>
      <w:r>
        <w:rPr>
          <w:b/>
        </w:rPr>
        <w:t xml:space="preserve"> </w:t>
      </w:r>
    </w:p>
    <w:p w14:paraId="0EBD8DA5" w14:textId="5179E50B" w:rsidR="00B56D50" w:rsidRDefault="001C3C42" w:rsidP="00E30D65">
      <w:pPr>
        <w:numPr>
          <w:ilvl w:val="0"/>
          <w:numId w:val="3"/>
        </w:numPr>
        <w:spacing w:after="100" w:afterAutospacing="1"/>
        <w:ind w:left="1080" w:right="0" w:hanging="360"/>
      </w:pPr>
      <w:r>
        <w:t>Signed original chain-of custody form (external</w:t>
      </w:r>
      <w:r w:rsidR="006E75AF">
        <w:t>).</w:t>
      </w:r>
      <w:r>
        <w:rPr>
          <w:b/>
        </w:rPr>
        <w:t xml:space="preserve"> </w:t>
      </w:r>
    </w:p>
    <w:p w14:paraId="18EFA359" w14:textId="4CBDCF33" w:rsidR="00B56D50" w:rsidRDefault="001C3C42" w:rsidP="00E30D65">
      <w:pPr>
        <w:numPr>
          <w:ilvl w:val="0"/>
          <w:numId w:val="3"/>
        </w:numPr>
        <w:spacing w:after="100" w:afterAutospacing="1"/>
        <w:ind w:left="1080" w:right="0" w:hanging="360"/>
      </w:pPr>
      <w:r>
        <w:t xml:space="preserve">Case narrative explaining all QA/QC or analytical problems encountered, deviations from standard method procedures or requirements (and reason(s) for deviations), and corrective actions </w:t>
      </w:r>
      <w:r w:rsidR="006E75AF">
        <w:t>taken.</w:t>
      </w:r>
      <w:r>
        <w:rPr>
          <w:b/>
        </w:rPr>
        <w:t xml:space="preserve"> </w:t>
      </w:r>
    </w:p>
    <w:p w14:paraId="6F69405E" w14:textId="3CB2BE64" w:rsidR="00B56D50" w:rsidRDefault="001C3C42" w:rsidP="00E30D65">
      <w:pPr>
        <w:numPr>
          <w:ilvl w:val="0"/>
          <w:numId w:val="3"/>
        </w:numPr>
        <w:spacing w:after="100" w:afterAutospacing="1"/>
        <w:ind w:left="1080" w:right="0" w:hanging="360"/>
      </w:pPr>
      <w:r>
        <w:t>Complete QA/QC result summaries and documentation for each analysis</w:t>
      </w:r>
      <w:r w:rsidR="00863972">
        <w:t>.</w:t>
      </w:r>
    </w:p>
    <w:p w14:paraId="630DBAFF" w14:textId="77777777" w:rsidR="00B56D50" w:rsidRDefault="001C3C42" w:rsidP="0047748B">
      <w:pPr>
        <w:spacing w:after="0" w:line="259" w:lineRule="auto"/>
        <w:ind w:left="720" w:right="0" w:firstLine="0"/>
      </w:pPr>
      <w:r>
        <w:rPr>
          <w:b/>
        </w:rPr>
        <w:t xml:space="preserve">The documentation comprising these elements must contain all items listed in the Deliverables List for each type of analysis performed on each sample in the group.  In special situations additional documentation may be requested. </w:t>
      </w:r>
    </w:p>
    <w:p w14:paraId="20CBC2C6" w14:textId="02FA5A30" w:rsidR="00B56D50" w:rsidRDefault="00B56D50">
      <w:pPr>
        <w:spacing w:after="0" w:line="259" w:lineRule="auto"/>
        <w:ind w:left="847" w:right="0" w:firstLine="0"/>
      </w:pPr>
    </w:p>
    <w:p w14:paraId="43FBDC41" w14:textId="77777777" w:rsidR="00B56D50" w:rsidRDefault="001C3C42" w:rsidP="00E30D65">
      <w:pPr>
        <w:spacing w:after="100" w:afterAutospacing="1"/>
        <w:ind w:right="0"/>
      </w:pPr>
      <w:r>
        <w:rPr>
          <w:b/>
        </w:rPr>
        <w:t xml:space="preserve">Report format: </w:t>
      </w:r>
    </w:p>
    <w:p w14:paraId="303D778A" w14:textId="6AD07970" w:rsidR="00B56D50" w:rsidRDefault="001C3C42" w:rsidP="00E30D65">
      <w:pPr>
        <w:spacing w:after="100" w:afterAutospacing="1"/>
        <w:ind w:right="0"/>
      </w:pPr>
      <w:r>
        <w:t xml:space="preserve">Reports provided for this Contract must be presented in an organized, </w:t>
      </w:r>
      <w:r w:rsidR="006E75AF">
        <w:t>clear,</w:t>
      </w:r>
      <w:r>
        <w:t xml:space="preserve"> and understandable format.  Data must be presented in the following order:  </w:t>
      </w:r>
    </w:p>
    <w:p w14:paraId="411FBF60" w14:textId="77777777" w:rsidR="00B56D50" w:rsidRDefault="001C3C42">
      <w:pPr>
        <w:spacing w:after="0" w:line="259" w:lineRule="auto"/>
        <w:ind w:left="847" w:right="0" w:firstLine="0"/>
        <w:rPr>
          <w:rFonts w:ascii="Arial" w:eastAsia="Arial" w:hAnsi="Arial" w:cs="Arial"/>
        </w:rPr>
      </w:pPr>
      <w:r>
        <w:rPr>
          <w:rFonts w:ascii="Arial" w:eastAsia="Arial" w:hAnsi="Arial" w:cs="Arial"/>
        </w:rPr>
        <w:t xml:space="preserve"> </w:t>
      </w:r>
    </w:p>
    <w:p w14:paraId="09D4839F" w14:textId="77777777" w:rsidR="000D3C36" w:rsidRDefault="000D3C36">
      <w:pPr>
        <w:spacing w:after="0" w:line="259" w:lineRule="auto"/>
        <w:ind w:left="847" w:right="0" w:firstLine="0"/>
      </w:pPr>
    </w:p>
    <w:p w14:paraId="79FDA255" w14:textId="77777777" w:rsidR="00B56D50" w:rsidRDefault="001C3C42" w:rsidP="00C17C76">
      <w:pPr>
        <w:numPr>
          <w:ilvl w:val="0"/>
          <w:numId w:val="4"/>
        </w:numPr>
        <w:spacing w:after="100" w:afterAutospacing="1"/>
        <w:ind w:left="1080" w:right="0" w:hanging="360"/>
      </w:pPr>
      <w:r>
        <w:lastRenderedPageBreak/>
        <w:t>Metals</w:t>
      </w:r>
      <w:r>
        <w:rPr>
          <w:b/>
        </w:rPr>
        <w:t xml:space="preserve"> </w:t>
      </w:r>
    </w:p>
    <w:p w14:paraId="12499CA1" w14:textId="77777777" w:rsidR="00B56D50" w:rsidRDefault="001C3C42" w:rsidP="00C17C76">
      <w:pPr>
        <w:numPr>
          <w:ilvl w:val="0"/>
          <w:numId w:val="4"/>
        </w:numPr>
        <w:spacing w:after="100" w:afterAutospacing="1"/>
        <w:ind w:left="1080" w:right="0" w:hanging="360"/>
      </w:pPr>
      <w:r>
        <w:t>General chemistry</w:t>
      </w:r>
      <w:r>
        <w:rPr>
          <w:b/>
        </w:rPr>
        <w:t xml:space="preserve"> </w:t>
      </w:r>
    </w:p>
    <w:p w14:paraId="2D0A88CF" w14:textId="77777777" w:rsidR="00B56D50" w:rsidRDefault="001C3C42" w:rsidP="00C17C76">
      <w:pPr>
        <w:numPr>
          <w:ilvl w:val="0"/>
          <w:numId w:val="4"/>
        </w:numPr>
        <w:spacing w:after="100" w:afterAutospacing="1"/>
        <w:ind w:left="1080" w:right="0" w:hanging="360"/>
      </w:pPr>
      <w:r>
        <w:t>Volatile Organic Compounds or BTEX</w:t>
      </w:r>
      <w:r>
        <w:rPr>
          <w:b/>
        </w:rPr>
        <w:t xml:space="preserve"> </w:t>
      </w:r>
    </w:p>
    <w:p w14:paraId="082F2925" w14:textId="2D94A937" w:rsidR="00B56D50" w:rsidRDefault="001C3C42" w:rsidP="00C17C76">
      <w:pPr>
        <w:numPr>
          <w:ilvl w:val="0"/>
          <w:numId w:val="4"/>
        </w:numPr>
        <w:spacing w:after="100" w:afterAutospacing="1"/>
        <w:ind w:left="1080" w:right="0" w:hanging="360"/>
      </w:pPr>
      <w:r>
        <w:t>Semi</w:t>
      </w:r>
      <w:r w:rsidR="00D154F6">
        <w:t>-</w:t>
      </w:r>
      <w:r>
        <w:t xml:space="preserve">volatile Organic Compounds </w:t>
      </w:r>
    </w:p>
    <w:p w14:paraId="3F5BB9A3" w14:textId="7A3C3527" w:rsidR="00033A02" w:rsidRDefault="00033A02" w:rsidP="00C17C76">
      <w:pPr>
        <w:numPr>
          <w:ilvl w:val="0"/>
          <w:numId w:val="4"/>
        </w:numPr>
        <w:spacing w:after="100" w:afterAutospacing="1"/>
        <w:ind w:left="1080" w:right="0" w:hanging="360"/>
      </w:pPr>
      <w:proofErr w:type="gramStart"/>
      <w:r>
        <w:t>PAHs</w:t>
      </w:r>
      <w:proofErr w:type="gramEnd"/>
    </w:p>
    <w:p w14:paraId="72D010D3" w14:textId="249A9245" w:rsidR="00033A02" w:rsidRDefault="00033A02" w:rsidP="00C17C76">
      <w:pPr>
        <w:numPr>
          <w:ilvl w:val="0"/>
          <w:numId w:val="4"/>
        </w:numPr>
        <w:spacing w:after="100" w:afterAutospacing="1"/>
        <w:ind w:left="1080" w:right="0" w:hanging="360"/>
      </w:pPr>
      <w:r>
        <w:t>PCBs</w:t>
      </w:r>
    </w:p>
    <w:p w14:paraId="5612A7B5" w14:textId="516C747C" w:rsidR="00B56D50" w:rsidRDefault="004724BA" w:rsidP="00C17C76">
      <w:pPr>
        <w:numPr>
          <w:ilvl w:val="0"/>
          <w:numId w:val="4"/>
        </w:numPr>
        <w:spacing w:after="100" w:afterAutospacing="1" w:line="259" w:lineRule="auto"/>
        <w:ind w:left="1080" w:right="0" w:hanging="360"/>
      </w:pPr>
      <w:r>
        <w:t>Pesticides</w:t>
      </w:r>
    </w:p>
    <w:p w14:paraId="2B8B2C2B" w14:textId="0F60BB4B" w:rsidR="00A772AA" w:rsidRDefault="001C3C42" w:rsidP="00C17C76">
      <w:pPr>
        <w:numPr>
          <w:ilvl w:val="0"/>
          <w:numId w:val="4"/>
        </w:numPr>
        <w:spacing w:after="100" w:afterAutospacing="1"/>
        <w:ind w:left="1080" w:right="0" w:hanging="360"/>
      </w:pPr>
      <w:r>
        <w:t>Other Semi</w:t>
      </w:r>
      <w:r w:rsidR="00D154F6">
        <w:t>-</w:t>
      </w:r>
      <w:r>
        <w:t xml:space="preserve">volatile Organic and </w:t>
      </w:r>
      <w:r w:rsidR="00E83D27">
        <w:t>Non-volatile</w:t>
      </w:r>
      <w:r>
        <w:t xml:space="preserve"> Organic Compounds</w:t>
      </w:r>
    </w:p>
    <w:p w14:paraId="1E6B7A2E" w14:textId="77777777" w:rsidR="00BD0D15" w:rsidRDefault="001C3C42" w:rsidP="00C17C76">
      <w:pPr>
        <w:numPr>
          <w:ilvl w:val="0"/>
          <w:numId w:val="4"/>
        </w:numPr>
        <w:spacing w:after="100" w:afterAutospacing="1"/>
        <w:ind w:left="1080" w:right="0" w:hanging="360"/>
      </w:pPr>
      <w:r>
        <w:t>Special Analytical Services</w:t>
      </w:r>
    </w:p>
    <w:p w14:paraId="4B17970E" w14:textId="3BE05CAA" w:rsidR="00CC1B9C" w:rsidRPr="00583A38" w:rsidRDefault="00925FC7" w:rsidP="00C17C76">
      <w:pPr>
        <w:numPr>
          <w:ilvl w:val="0"/>
          <w:numId w:val="4"/>
        </w:numPr>
        <w:spacing w:after="100" w:afterAutospacing="1"/>
        <w:ind w:left="1080" w:right="0" w:hanging="360"/>
      </w:pPr>
      <w:r>
        <w:t>Additional Analytical Services</w:t>
      </w:r>
      <w:r w:rsidR="001C3C42">
        <w:rPr>
          <w:b/>
        </w:rPr>
        <w:t xml:space="preserve"> </w:t>
      </w:r>
    </w:p>
    <w:p w14:paraId="419AE31C" w14:textId="78A5D464" w:rsidR="00B56D50" w:rsidRDefault="00214866" w:rsidP="00C17C76">
      <w:pPr>
        <w:numPr>
          <w:ilvl w:val="0"/>
          <w:numId w:val="4"/>
        </w:numPr>
        <w:spacing w:after="100" w:afterAutospacing="1"/>
        <w:ind w:left="1080" w:right="0" w:hanging="360"/>
      </w:pPr>
      <w:r>
        <w:t>PFAS</w:t>
      </w:r>
    </w:p>
    <w:p w14:paraId="6E078FBF" w14:textId="67545BBA" w:rsidR="00B56D50" w:rsidRDefault="006E75AF" w:rsidP="00C17C76">
      <w:pPr>
        <w:spacing w:after="100" w:afterAutospacing="1"/>
        <w:ind w:right="0"/>
      </w:pPr>
      <w:r>
        <w:t>Regarding</w:t>
      </w:r>
      <w:r w:rsidR="001C3C42">
        <w:t xml:space="preserve"> QC result summaries, the State considers the Contract Laboratory Program (CLP) -like report forms to be representative of a "clear and understandable format."  Forms </w:t>
      </w:r>
      <w:r w:rsidR="006B0629">
        <w:t>like</w:t>
      </w:r>
      <w:r w:rsidR="001C3C42">
        <w:t xml:space="preserve"> these are to be used for reporting QC summaries.  Reference to these forms </w:t>
      </w:r>
      <w:r w:rsidR="00594C67">
        <w:t>is</w:t>
      </w:r>
      <w:r w:rsidR="001C3C42">
        <w:t xml:space="preserve"> provided in Section VIII.  Data </w:t>
      </w:r>
      <w:r w:rsidR="001C3C42">
        <w:rPr>
          <w:b/>
          <w:u w:val="single" w:color="000000"/>
        </w:rPr>
        <w:t>must</w:t>
      </w:r>
      <w:r w:rsidR="001C3C42">
        <w:t xml:space="preserve"> be provided in the sequence described in the Deliverable</w:t>
      </w:r>
      <w:r w:rsidR="00224ABB">
        <w:t>s</w:t>
      </w:r>
      <w:r w:rsidR="001C3C42">
        <w:t xml:space="preserve"> List.</w:t>
      </w:r>
    </w:p>
    <w:p w14:paraId="7331EF3F" w14:textId="28F545DD" w:rsidR="00A25D27" w:rsidRDefault="00A25D27" w:rsidP="00C17C76">
      <w:pPr>
        <w:pStyle w:val="Heading4"/>
        <w:spacing w:after="100" w:afterAutospacing="1"/>
      </w:pPr>
      <w:r>
        <w:rPr>
          <w:u w:val="single"/>
        </w:rPr>
        <w:t>Electronic Document Submittals for Laboratory Case Narrative</w:t>
      </w:r>
    </w:p>
    <w:p w14:paraId="64D6586F" w14:textId="2BC08855" w:rsidR="00A25D27" w:rsidRDefault="00A25D27" w:rsidP="00BA3653">
      <w:pPr>
        <w:spacing w:after="100" w:afterAutospacing="1"/>
        <w:ind w:right="0"/>
      </w:pPr>
      <w:r>
        <w:t xml:space="preserve">The Contractor shall submit files with a document identification page that includes the document title and date. The Contractor may compress the electronic document files using the Zip file </w:t>
      </w:r>
      <w:proofErr w:type="gramStart"/>
      <w:r>
        <w:t>format (.</w:t>
      </w:r>
      <w:proofErr w:type="gramEnd"/>
      <w:r>
        <w:t>zip) to reduce the file size.</w:t>
      </w:r>
    </w:p>
    <w:p w14:paraId="0E0B7524" w14:textId="3EAFAB0E" w:rsidR="00A25D27" w:rsidRDefault="00A25D27" w:rsidP="00BA3653">
      <w:pPr>
        <w:spacing w:after="100" w:afterAutospacing="1"/>
        <w:ind w:right="0"/>
      </w:pPr>
      <w:r>
        <w:t>File names for electronic documents must not include any symbols, i.e.:</w:t>
      </w:r>
    </w:p>
    <w:p w14:paraId="68999F3F" w14:textId="77777777" w:rsidR="00A25D27" w:rsidRDefault="00A25D27" w:rsidP="002903FA">
      <w:pPr>
        <w:numPr>
          <w:ilvl w:val="0"/>
          <w:numId w:val="56"/>
        </w:numPr>
        <w:spacing w:after="100" w:afterAutospacing="1" w:line="240" w:lineRule="auto"/>
        <w:ind w:left="1090" w:right="0" w:hanging="370"/>
      </w:pPr>
      <w:r>
        <w:t xml:space="preserve">Exclamation point (!) </w:t>
      </w:r>
    </w:p>
    <w:p w14:paraId="687F246D" w14:textId="77777777" w:rsidR="00A25D27" w:rsidRDefault="00A25D27" w:rsidP="002903FA">
      <w:pPr>
        <w:numPr>
          <w:ilvl w:val="0"/>
          <w:numId w:val="56"/>
        </w:numPr>
        <w:spacing w:after="100" w:afterAutospacing="1" w:line="240" w:lineRule="auto"/>
        <w:ind w:left="1080" w:right="0" w:hanging="360"/>
      </w:pPr>
      <w:r>
        <w:t xml:space="preserve">Pound </w:t>
      </w:r>
      <w:proofErr w:type="gramStart"/>
      <w:r>
        <w:t>sign (#</w:t>
      </w:r>
      <w:proofErr w:type="gramEnd"/>
      <w:r>
        <w:t xml:space="preserve">) </w:t>
      </w:r>
    </w:p>
    <w:p w14:paraId="70A5630E" w14:textId="77777777" w:rsidR="00A25D27" w:rsidRDefault="00A25D27" w:rsidP="002903FA">
      <w:pPr>
        <w:numPr>
          <w:ilvl w:val="0"/>
          <w:numId w:val="56"/>
        </w:numPr>
        <w:spacing w:after="100" w:afterAutospacing="1" w:line="240" w:lineRule="auto"/>
        <w:ind w:left="1080" w:right="0" w:hanging="360"/>
      </w:pPr>
      <w:r>
        <w:t xml:space="preserve">Dollar sign ($) </w:t>
      </w:r>
    </w:p>
    <w:p w14:paraId="13D5FAC9" w14:textId="77777777" w:rsidR="00A25D27" w:rsidRDefault="00A25D27" w:rsidP="002903FA">
      <w:pPr>
        <w:numPr>
          <w:ilvl w:val="0"/>
          <w:numId w:val="56"/>
        </w:numPr>
        <w:spacing w:after="100" w:afterAutospacing="1" w:line="240" w:lineRule="auto"/>
        <w:ind w:left="1080" w:right="0" w:hanging="360"/>
      </w:pPr>
      <w:r>
        <w:t xml:space="preserve">Percent (%) </w:t>
      </w:r>
    </w:p>
    <w:p w14:paraId="1302BDAD" w14:textId="77777777" w:rsidR="00A25D27" w:rsidRDefault="00A25D27" w:rsidP="002903FA">
      <w:pPr>
        <w:numPr>
          <w:ilvl w:val="0"/>
          <w:numId w:val="56"/>
        </w:numPr>
        <w:spacing w:after="100" w:afterAutospacing="1" w:line="240" w:lineRule="auto"/>
        <w:ind w:left="1080" w:right="0" w:hanging="360"/>
      </w:pPr>
      <w:r>
        <w:t xml:space="preserve">Ampersand (&amp;) </w:t>
      </w:r>
    </w:p>
    <w:p w14:paraId="6B33425A" w14:textId="77777777" w:rsidR="00A25D27" w:rsidRDefault="00A25D27" w:rsidP="002903FA">
      <w:pPr>
        <w:numPr>
          <w:ilvl w:val="0"/>
          <w:numId w:val="56"/>
        </w:numPr>
        <w:spacing w:after="100" w:afterAutospacing="1" w:line="240" w:lineRule="auto"/>
        <w:ind w:left="1080" w:right="0" w:hanging="360"/>
      </w:pPr>
      <w:r>
        <w:t xml:space="preserve">Asterisk (*) </w:t>
      </w:r>
    </w:p>
    <w:p w14:paraId="288572DA" w14:textId="77777777" w:rsidR="00A25D27" w:rsidRDefault="00A25D27" w:rsidP="002903FA">
      <w:pPr>
        <w:numPr>
          <w:ilvl w:val="0"/>
          <w:numId w:val="56"/>
        </w:numPr>
        <w:spacing w:after="100" w:afterAutospacing="1" w:line="240" w:lineRule="auto"/>
        <w:ind w:left="1080" w:right="0" w:hanging="360"/>
      </w:pPr>
      <w:r>
        <w:t xml:space="preserve">Single quote/apostrophe (‘) or double quotes (“) </w:t>
      </w:r>
    </w:p>
    <w:p w14:paraId="2293EE4A" w14:textId="77777777" w:rsidR="00A25D27" w:rsidRDefault="00A25D27" w:rsidP="002903FA">
      <w:pPr>
        <w:numPr>
          <w:ilvl w:val="0"/>
          <w:numId w:val="56"/>
        </w:numPr>
        <w:spacing w:after="100" w:afterAutospacing="1" w:line="240" w:lineRule="auto"/>
        <w:ind w:left="1080" w:right="0" w:hanging="360"/>
      </w:pPr>
      <w:r>
        <w:t xml:space="preserve">At </w:t>
      </w:r>
      <w:proofErr w:type="gramStart"/>
      <w:r>
        <w:t>symbol (@</w:t>
      </w:r>
      <w:proofErr w:type="gramEnd"/>
      <w:r>
        <w:t xml:space="preserve">) </w:t>
      </w:r>
    </w:p>
    <w:p w14:paraId="696BBD08" w14:textId="46F660D7" w:rsidR="00A25D27" w:rsidRDefault="00A25D27" w:rsidP="002903FA">
      <w:pPr>
        <w:numPr>
          <w:ilvl w:val="0"/>
          <w:numId w:val="56"/>
        </w:numPr>
        <w:spacing w:after="100" w:afterAutospacing="1" w:line="240" w:lineRule="auto"/>
        <w:ind w:left="1080" w:right="0" w:hanging="360"/>
        <w:rPr>
          <w:rFonts w:eastAsiaTheme="minorHAnsi"/>
        </w:rPr>
      </w:pPr>
      <w:r>
        <w:t>Slash (/) or backslash (\)</w:t>
      </w:r>
    </w:p>
    <w:p w14:paraId="5B9EAA5B" w14:textId="75694059" w:rsidR="00A25D27" w:rsidRDefault="00A25D27" w:rsidP="00BA3653">
      <w:pPr>
        <w:spacing w:after="100" w:afterAutospacing="1"/>
        <w:ind w:right="0"/>
      </w:pPr>
      <w:r>
        <w:t xml:space="preserve">Reports should be submitted as Portable Document </w:t>
      </w:r>
      <w:proofErr w:type="gramStart"/>
      <w:r>
        <w:t>Format (.</w:t>
      </w:r>
      <w:proofErr w:type="gramEnd"/>
      <w:r>
        <w:t>pdf) files. Data files should be formatted according to OLQ Electronic Data File Submittals Guidelines.</w:t>
      </w:r>
    </w:p>
    <w:p w14:paraId="5CBE3B12" w14:textId="77777777" w:rsidR="00B56D50" w:rsidRPr="0057433E" w:rsidRDefault="001C3C42" w:rsidP="00BA3653">
      <w:pPr>
        <w:pStyle w:val="Heading3"/>
        <w:spacing w:after="100" w:afterAutospacing="1" w:line="247" w:lineRule="auto"/>
        <w:jc w:val="left"/>
        <w:rPr>
          <w:u w:val="single"/>
        </w:rPr>
      </w:pPr>
      <w:bookmarkStart w:id="15" w:name="_Hlk57125488"/>
      <w:r w:rsidRPr="0057433E">
        <w:rPr>
          <w:u w:val="single"/>
        </w:rPr>
        <w:t xml:space="preserve">Electronic Submittals for Monitoring and Sampling Data  </w:t>
      </w:r>
    </w:p>
    <w:p w14:paraId="08ED1408" w14:textId="7163C4EC" w:rsidR="00B56D50" w:rsidRDefault="001C3C42" w:rsidP="00BA3653">
      <w:pPr>
        <w:spacing w:after="100" w:afterAutospacing="1"/>
        <w:ind w:right="0"/>
      </w:pPr>
      <w:r>
        <w:t xml:space="preserve">The electronic copy of sampling results should be formatted as an ASCII, tab-delimited text file and contain the facility's name and ID (Federal or State regulatory ID). Field parameters and analytical results must include the fields listed in the electronic data format below. All fields are required unless noted otherwise. </w:t>
      </w:r>
    </w:p>
    <w:bookmarkEnd w:id="15"/>
    <w:p w14:paraId="0A263F5E" w14:textId="77777777" w:rsidR="00B56D50" w:rsidRDefault="001C3C42" w:rsidP="00AF0E96">
      <w:pPr>
        <w:numPr>
          <w:ilvl w:val="0"/>
          <w:numId w:val="5"/>
        </w:numPr>
        <w:spacing w:after="100" w:afterAutospacing="1"/>
        <w:ind w:left="720" w:right="0" w:hanging="360"/>
      </w:pPr>
      <w:proofErr w:type="spellStart"/>
      <w:r>
        <w:t>SamplingDate</w:t>
      </w:r>
      <w:proofErr w:type="spellEnd"/>
      <w:r>
        <w:t>: Month, day and year (mm/dd/</w:t>
      </w:r>
      <w:proofErr w:type="spellStart"/>
      <w:r>
        <w:t>yyyy</w:t>
      </w:r>
      <w:proofErr w:type="spellEnd"/>
      <w:r>
        <w:t xml:space="preserve">). Value should be formatted as a date if possible. </w:t>
      </w:r>
    </w:p>
    <w:p w14:paraId="78599F0F" w14:textId="77777777" w:rsidR="00B56D50" w:rsidRDefault="001C3C42" w:rsidP="00AF0E96">
      <w:pPr>
        <w:numPr>
          <w:ilvl w:val="0"/>
          <w:numId w:val="5"/>
        </w:numPr>
        <w:spacing w:after="100" w:afterAutospacing="1"/>
        <w:ind w:left="720" w:right="0" w:hanging="360"/>
      </w:pPr>
      <w:proofErr w:type="spellStart"/>
      <w:r>
        <w:t>SamplePointName</w:t>
      </w:r>
      <w:proofErr w:type="spellEnd"/>
      <w:r>
        <w:t xml:space="preserve">: Names of monitoring well, piezometer, soil boring, leachate well, surface water collection point, etc. </w:t>
      </w:r>
    </w:p>
    <w:p w14:paraId="2137FF35" w14:textId="77777777" w:rsidR="00B56D50" w:rsidRDefault="001C3C42" w:rsidP="00AF0E96">
      <w:pPr>
        <w:numPr>
          <w:ilvl w:val="0"/>
          <w:numId w:val="5"/>
        </w:numPr>
        <w:spacing w:after="100" w:afterAutospacing="1"/>
        <w:ind w:left="720" w:right="0" w:hanging="360"/>
      </w:pPr>
      <w:proofErr w:type="spellStart"/>
      <w:r>
        <w:t>SampleID</w:t>
      </w:r>
      <w:proofErr w:type="spellEnd"/>
      <w:r>
        <w:t xml:space="preserve">: ID of the individual sample collected from a sample point. Required for sample points with multiple sampling horizons such as soil </w:t>
      </w:r>
      <w:proofErr w:type="gramStart"/>
      <w:r>
        <w:t>borings</w:t>
      </w:r>
      <w:proofErr w:type="gramEnd"/>
      <w:r>
        <w:t xml:space="preserve">, </w:t>
      </w:r>
      <w:proofErr w:type="spellStart"/>
      <w:r>
        <w:t>geoprobe</w:t>
      </w:r>
      <w:proofErr w:type="spellEnd"/>
      <w:r>
        <w:t xml:space="preserve"> samples, surface water samples, or wells with multiple screens within a single riser. </w:t>
      </w:r>
    </w:p>
    <w:p w14:paraId="7C46585C" w14:textId="77777777" w:rsidR="00B56D50" w:rsidRDefault="001C3C42" w:rsidP="00AF0E96">
      <w:pPr>
        <w:numPr>
          <w:ilvl w:val="0"/>
          <w:numId w:val="5"/>
        </w:numPr>
        <w:spacing w:after="100" w:afterAutospacing="1"/>
        <w:ind w:left="720" w:right="0" w:hanging="360"/>
      </w:pPr>
      <w:proofErr w:type="spellStart"/>
      <w:r>
        <w:t>LaboratorySampleID</w:t>
      </w:r>
      <w:proofErr w:type="spellEnd"/>
      <w:r>
        <w:t xml:space="preserve">: ID assigned to the sample by the laboratory. </w:t>
      </w:r>
    </w:p>
    <w:p w14:paraId="31B8C5E5" w14:textId="77777777" w:rsidR="00B56D50" w:rsidRDefault="001C3C42" w:rsidP="00AF0E96">
      <w:pPr>
        <w:numPr>
          <w:ilvl w:val="0"/>
          <w:numId w:val="5"/>
        </w:numPr>
        <w:spacing w:after="100" w:afterAutospacing="1"/>
        <w:ind w:left="720" w:right="0" w:hanging="360"/>
      </w:pPr>
      <w:proofErr w:type="spellStart"/>
      <w:r>
        <w:lastRenderedPageBreak/>
        <w:t>SampleHorizonName</w:t>
      </w:r>
      <w:proofErr w:type="spellEnd"/>
      <w:r>
        <w:t xml:space="preserve">: Name of the individual, depth-dependent sample collected from a sample point. Required for sample points with multiple sampling horizons such as soil </w:t>
      </w:r>
      <w:proofErr w:type="gramStart"/>
      <w:r>
        <w:t>borings</w:t>
      </w:r>
      <w:proofErr w:type="gramEnd"/>
      <w:r>
        <w:t xml:space="preserve">, </w:t>
      </w:r>
      <w:proofErr w:type="spellStart"/>
      <w:r>
        <w:t>geoprobe</w:t>
      </w:r>
      <w:proofErr w:type="spellEnd"/>
      <w:r>
        <w:t xml:space="preserve"> samples, surface water samples, or wells with multiple screens within a single riser. </w:t>
      </w:r>
    </w:p>
    <w:p w14:paraId="188CC16E" w14:textId="77777777" w:rsidR="00B56D50" w:rsidRDefault="001C3C42" w:rsidP="00AF0E96">
      <w:pPr>
        <w:numPr>
          <w:ilvl w:val="0"/>
          <w:numId w:val="5"/>
        </w:numPr>
        <w:spacing w:after="100" w:afterAutospacing="1"/>
        <w:ind w:left="720" w:right="0" w:hanging="360"/>
      </w:pPr>
      <w:r>
        <w:t xml:space="preserve">SampleCollectionElevation: Elevation of the collected sample in feet above Mean Sea Level or Depth below a fixed measurement point. If measurement is recorded as depth, the elevation of the measurement point from which the measurement was taken must be reported within parentheses after the measurement value. Required for sample locations with multiple samples such as soil </w:t>
      </w:r>
      <w:proofErr w:type="gramStart"/>
      <w:r>
        <w:t>borings</w:t>
      </w:r>
      <w:proofErr w:type="gramEnd"/>
      <w:r>
        <w:t xml:space="preserve">, </w:t>
      </w:r>
      <w:proofErr w:type="spellStart"/>
      <w:r>
        <w:t>geoprobe</w:t>
      </w:r>
      <w:proofErr w:type="spellEnd"/>
      <w:r>
        <w:t xml:space="preserve"> samples, surface water samples, and sediment samples. Optional for fixed depth sample points such as permanent wells. </w:t>
      </w:r>
    </w:p>
    <w:p w14:paraId="6AE54744" w14:textId="77777777" w:rsidR="00B56D50" w:rsidRDefault="001C3C42" w:rsidP="00AF0E96">
      <w:pPr>
        <w:numPr>
          <w:ilvl w:val="0"/>
          <w:numId w:val="5"/>
        </w:numPr>
        <w:spacing w:after="100" w:afterAutospacing="1"/>
        <w:ind w:left="720" w:right="0" w:hanging="360"/>
      </w:pPr>
      <w:proofErr w:type="spellStart"/>
      <w:r>
        <w:t>SoilSampleTop</w:t>
      </w:r>
      <w:proofErr w:type="spellEnd"/>
      <w:r>
        <w:t xml:space="preserve">: Upper elevation in feet above Mean Sea Level or Depth below a fixed measurement point of the top of the soil sample interval. If measurement is recorded as depth, the elevation of the measurement point from which the measurement was taken must be reported within parentheses after the measurement value. Required for subsurface soil samples. </w:t>
      </w:r>
    </w:p>
    <w:p w14:paraId="78EBDF48" w14:textId="77777777" w:rsidR="00B56D50" w:rsidRDefault="001C3C42" w:rsidP="00AF0E96">
      <w:pPr>
        <w:numPr>
          <w:ilvl w:val="0"/>
          <w:numId w:val="5"/>
        </w:numPr>
        <w:spacing w:after="100" w:afterAutospacing="1"/>
        <w:ind w:left="720" w:right="0" w:hanging="360"/>
      </w:pPr>
      <w:proofErr w:type="spellStart"/>
      <w:r>
        <w:t>SoilSampleBottom</w:t>
      </w:r>
      <w:proofErr w:type="spellEnd"/>
      <w:r>
        <w:t xml:space="preserve">: Lower elevation in feet above Mean Sea Level or Depth below a fixed measurement point of the bottom of the soil sample interval. If measurement is recorded as depth, the elevation of the measurement point from which the measurement was taken must be reported within parentheses after the measurement value. Required for subsurface soil samples. </w:t>
      </w:r>
    </w:p>
    <w:p w14:paraId="0BE1B66F" w14:textId="77777777" w:rsidR="00B56D50" w:rsidRDefault="001C3C42" w:rsidP="00AF0E96">
      <w:pPr>
        <w:numPr>
          <w:ilvl w:val="0"/>
          <w:numId w:val="5"/>
        </w:numPr>
        <w:spacing w:after="100" w:afterAutospacing="1"/>
        <w:ind w:left="720" w:right="0" w:hanging="360"/>
      </w:pPr>
      <w:proofErr w:type="spellStart"/>
      <w:r>
        <w:t>SampleType</w:t>
      </w:r>
      <w:proofErr w:type="spellEnd"/>
      <w:r>
        <w:t xml:space="preserve">: Regular, duplicate(s), trip blank(s), equipment blank(s), field blank(s), verification resample(s) and replicate(s). </w:t>
      </w:r>
    </w:p>
    <w:p w14:paraId="6D207BBD" w14:textId="77777777" w:rsidR="00B56D50" w:rsidRDefault="001C3C42" w:rsidP="00AF0E96">
      <w:pPr>
        <w:numPr>
          <w:ilvl w:val="0"/>
          <w:numId w:val="5"/>
        </w:numPr>
        <w:spacing w:after="100" w:afterAutospacing="1"/>
        <w:ind w:left="720" w:right="0" w:hanging="360"/>
      </w:pPr>
      <w:proofErr w:type="spellStart"/>
      <w:r>
        <w:t>SpeciesName</w:t>
      </w:r>
      <w:proofErr w:type="spellEnd"/>
      <w:r>
        <w:t xml:space="preserve"> (analysis): Chloride, sodium, ammonia, etc. The order of constituents is not critical. However, it is best to reflect the order that is on the </w:t>
      </w:r>
      <w:proofErr w:type="gramStart"/>
      <w:r>
        <w:t>laboratory-data</w:t>
      </w:r>
      <w:proofErr w:type="gramEnd"/>
      <w:r>
        <w:t xml:space="preserve"> sheets and keep all field data grouped together. Metals should indicate the "dissolved" phase or the "total" phase. </w:t>
      </w:r>
    </w:p>
    <w:p w14:paraId="12380370" w14:textId="77777777" w:rsidR="00B56D50" w:rsidRDefault="001C3C42" w:rsidP="00AF0E96">
      <w:pPr>
        <w:numPr>
          <w:ilvl w:val="0"/>
          <w:numId w:val="5"/>
        </w:numPr>
        <w:spacing w:after="100" w:afterAutospacing="1"/>
        <w:ind w:left="720" w:right="0" w:hanging="360"/>
      </w:pPr>
      <w:r>
        <w:t xml:space="preserve">Concentration (results): The entry MUST be a number. Please do not enter text such as "NA", "ND", or "&lt;". </w:t>
      </w:r>
    </w:p>
    <w:p w14:paraId="09E8AA3F" w14:textId="1A73B601" w:rsidR="00B56D50" w:rsidRDefault="001C3C42" w:rsidP="00AF0E96">
      <w:pPr>
        <w:numPr>
          <w:ilvl w:val="0"/>
          <w:numId w:val="5"/>
        </w:numPr>
        <w:spacing w:after="100" w:afterAutospacing="1"/>
        <w:ind w:left="720" w:right="0" w:hanging="360"/>
      </w:pPr>
      <w:r>
        <w:t>Concentration</w:t>
      </w:r>
      <w:r w:rsidR="00EC625C">
        <w:t xml:space="preserve"> </w:t>
      </w:r>
      <w:r>
        <w:t>Units: mg/L, ug/L, mg/Kg, ug/Kg,</w:t>
      </w:r>
      <w:r w:rsidR="00DC2D8B">
        <w:t xml:space="preserve"> ug/m</w:t>
      </w:r>
      <w:r w:rsidR="00DC2D8B" w:rsidRPr="00EE1A5C">
        <w:rPr>
          <w:vertAlign w:val="superscript"/>
        </w:rPr>
        <w:t>3</w:t>
      </w:r>
      <w:r w:rsidR="00EE1A5C">
        <w:t xml:space="preserve">, </w:t>
      </w:r>
      <w:r>
        <w:t>SU (standard units) for pH, degrees Celsius (</w:t>
      </w:r>
      <w:r w:rsidR="00E81BEF">
        <w:rPr>
          <w:sz w:val="20"/>
          <w:vertAlign w:val="superscript"/>
        </w:rPr>
        <w:t>0</w:t>
      </w:r>
      <w:r>
        <w:t>C), or degrees Fahrenheit (</w:t>
      </w:r>
      <w:r w:rsidR="00C3356B">
        <w:rPr>
          <w:sz w:val="20"/>
          <w:vertAlign w:val="superscript"/>
        </w:rPr>
        <w:t>0</w:t>
      </w:r>
      <w:r w:rsidR="005A5622">
        <w:t>F)</w:t>
      </w:r>
      <w:r>
        <w:t xml:space="preserve"> for temperature, and </w:t>
      </w:r>
      <w:proofErr w:type="spellStart"/>
      <w:r>
        <w:t>umhos</w:t>
      </w:r>
      <w:proofErr w:type="spellEnd"/>
      <w:r>
        <w:t>/cm for specific conductance.</w:t>
      </w:r>
    </w:p>
    <w:p w14:paraId="3DD7DC19" w14:textId="77777777" w:rsidR="00B56D50" w:rsidRDefault="001C3C42" w:rsidP="00AF0E96">
      <w:pPr>
        <w:numPr>
          <w:ilvl w:val="0"/>
          <w:numId w:val="5"/>
        </w:numPr>
        <w:spacing w:after="100" w:afterAutospacing="1"/>
        <w:ind w:left="720" w:right="0" w:hanging="360"/>
      </w:pPr>
      <w:r>
        <w:t xml:space="preserve">Detected: Yes or no </w:t>
      </w:r>
    </w:p>
    <w:p w14:paraId="1D23812D" w14:textId="77777777" w:rsidR="00B56D50" w:rsidRDefault="001C3C42" w:rsidP="00AF0E96">
      <w:pPr>
        <w:numPr>
          <w:ilvl w:val="0"/>
          <w:numId w:val="5"/>
        </w:numPr>
        <w:spacing w:after="100" w:afterAutospacing="1"/>
        <w:ind w:left="720" w:right="0" w:hanging="360"/>
      </w:pPr>
      <w:proofErr w:type="spellStart"/>
      <w:r>
        <w:t>DetectionLimit</w:t>
      </w:r>
      <w:proofErr w:type="spellEnd"/>
      <w:r>
        <w:t xml:space="preserve"> </w:t>
      </w:r>
    </w:p>
    <w:p w14:paraId="6CB00C2A" w14:textId="57B45FC4" w:rsidR="00B56D50" w:rsidRDefault="001C3C42" w:rsidP="00AF0E96">
      <w:pPr>
        <w:numPr>
          <w:ilvl w:val="0"/>
          <w:numId w:val="5"/>
        </w:numPr>
        <w:spacing w:after="100" w:afterAutospacing="1" w:line="259" w:lineRule="auto"/>
        <w:ind w:left="720" w:right="0" w:hanging="360"/>
      </w:pPr>
      <w:proofErr w:type="spellStart"/>
      <w:r>
        <w:t>AnalyticalMethods</w:t>
      </w:r>
      <w:proofErr w:type="spellEnd"/>
      <w:r>
        <w:t xml:space="preserve"> </w:t>
      </w:r>
      <w:proofErr w:type="spellStart"/>
      <w:r>
        <w:t>EstimatedValue</w:t>
      </w:r>
      <w:proofErr w:type="spellEnd"/>
      <w:r>
        <w:t>: Indicate "Yes" if the reported concentration is an estimated value. If the value recorded was not estimated, enter "No". If a concentration is estimated, use the "Comment" field to explain why the concentration was estimated.</w:t>
      </w:r>
    </w:p>
    <w:p w14:paraId="38CF8824" w14:textId="77777777" w:rsidR="00B56D50" w:rsidRDefault="001C3C42" w:rsidP="00AF0E96">
      <w:pPr>
        <w:numPr>
          <w:ilvl w:val="0"/>
          <w:numId w:val="5"/>
        </w:numPr>
        <w:spacing w:after="100" w:afterAutospacing="1"/>
        <w:ind w:left="720" w:right="0" w:hanging="360"/>
      </w:pPr>
      <w:r>
        <w:t xml:space="preserve">Comment: Analytical lab and/or field personnel comments regarding the reported results. </w:t>
      </w:r>
    </w:p>
    <w:p w14:paraId="0CA6A1AD" w14:textId="77777777" w:rsidR="00B56D50" w:rsidRDefault="001C3C42" w:rsidP="00AF0E96">
      <w:pPr>
        <w:numPr>
          <w:ilvl w:val="0"/>
          <w:numId w:val="5"/>
        </w:numPr>
        <w:spacing w:after="100" w:afterAutospacing="1"/>
        <w:ind w:left="720" w:right="0" w:hanging="360"/>
      </w:pPr>
      <w:proofErr w:type="spellStart"/>
      <w:r>
        <w:t>SampleMedium</w:t>
      </w:r>
      <w:proofErr w:type="spellEnd"/>
      <w:r>
        <w:t xml:space="preserve">: Ground water, Leachate, Surface water, Soil, Sediments, Air, Waste, Sludge or Solids, Container (drum, barrel), or Soil Gas. </w:t>
      </w:r>
    </w:p>
    <w:p w14:paraId="542AACEE" w14:textId="594116F2" w:rsidR="00F759EE" w:rsidRDefault="001C3C42" w:rsidP="004D5786">
      <w:pPr>
        <w:numPr>
          <w:ilvl w:val="0"/>
          <w:numId w:val="5"/>
        </w:numPr>
        <w:spacing w:after="0"/>
        <w:ind w:left="720" w:right="0" w:hanging="360"/>
      </w:pPr>
      <w:proofErr w:type="spellStart"/>
      <w:r>
        <w:t>ProgramArea</w:t>
      </w:r>
      <w:proofErr w:type="spellEnd"/>
      <w:r>
        <w:t>: Regulatory program for which the sample was collected (</w:t>
      </w:r>
      <w:r w:rsidR="00820CBB">
        <w:t>e.g.,</w:t>
      </w:r>
      <w:r>
        <w:t xml:space="preserve"> VRP, Solid Waste, Hazardous Waste, </w:t>
      </w:r>
      <w:r w:rsidR="00E87B80">
        <w:t>Petroleum Remediation</w:t>
      </w:r>
      <w:r>
        <w:t>, UST, DERP, etc.).</w:t>
      </w:r>
    </w:p>
    <w:p w14:paraId="5AA84095" w14:textId="77777777" w:rsidR="00F759EE" w:rsidRDefault="00F759EE" w:rsidP="00F759EE">
      <w:pPr>
        <w:spacing w:after="0" w:line="259" w:lineRule="auto"/>
        <w:ind w:left="127" w:right="0" w:firstLine="0"/>
      </w:pPr>
    </w:p>
    <w:p w14:paraId="4ABBA375" w14:textId="77777777" w:rsidR="004D5786" w:rsidRDefault="004D5786" w:rsidP="00F759EE">
      <w:pPr>
        <w:spacing w:after="0" w:line="259" w:lineRule="auto"/>
        <w:ind w:left="127" w:right="0" w:firstLine="0"/>
      </w:pPr>
    </w:p>
    <w:p w14:paraId="57D62A1C" w14:textId="77777777" w:rsidR="00BA3653" w:rsidRDefault="00BA3653" w:rsidP="00F759EE">
      <w:pPr>
        <w:spacing w:after="0" w:line="259" w:lineRule="auto"/>
        <w:ind w:left="127" w:right="0" w:firstLine="0"/>
      </w:pPr>
    </w:p>
    <w:p w14:paraId="0067FFD4" w14:textId="77777777" w:rsidR="00BA3653" w:rsidRDefault="00BA3653" w:rsidP="00F759EE">
      <w:pPr>
        <w:spacing w:after="0" w:line="259" w:lineRule="auto"/>
        <w:ind w:left="127" w:right="0" w:firstLine="0"/>
      </w:pPr>
    </w:p>
    <w:p w14:paraId="1BF57007" w14:textId="77777777" w:rsidR="00BA3653" w:rsidRDefault="00BA3653" w:rsidP="00F759EE">
      <w:pPr>
        <w:spacing w:after="0" w:line="259" w:lineRule="auto"/>
        <w:ind w:left="127" w:right="0" w:firstLine="0"/>
      </w:pPr>
    </w:p>
    <w:p w14:paraId="2774CA54" w14:textId="48DBD012" w:rsidR="00B56D50" w:rsidRDefault="001C3C42" w:rsidP="007A5794">
      <w:pPr>
        <w:pStyle w:val="Heading3"/>
        <w:spacing w:after="100" w:afterAutospacing="1" w:line="247" w:lineRule="auto"/>
      </w:pPr>
      <w:r>
        <w:t>THE REMAINDER OF THIS PAGE HAS BEEN LEFT BLANK INTENTIONALLY</w:t>
      </w:r>
    </w:p>
    <w:p w14:paraId="4682C637" w14:textId="77777777" w:rsidR="00B56D50" w:rsidRDefault="001C3C42">
      <w:pPr>
        <w:spacing w:after="278" w:line="259" w:lineRule="auto"/>
        <w:ind w:left="127" w:right="0" w:firstLine="0"/>
        <w:rPr>
          <w:rFonts w:ascii="Arial" w:eastAsia="Arial" w:hAnsi="Arial" w:cs="Arial"/>
        </w:rPr>
      </w:pPr>
      <w:r>
        <w:rPr>
          <w:rFonts w:ascii="Arial" w:eastAsia="Arial" w:hAnsi="Arial" w:cs="Arial"/>
        </w:rPr>
        <w:t xml:space="preserve"> </w:t>
      </w:r>
    </w:p>
    <w:p w14:paraId="4FF08365" w14:textId="77777777" w:rsidR="000D3C36" w:rsidRDefault="000D3C36">
      <w:pPr>
        <w:spacing w:after="278" w:line="259" w:lineRule="auto"/>
        <w:ind w:left="127" w:right="0" w:firstLine="0"/>
        <w:rPr>
          <w:rFonts w:ascii="Arial" w:eastAsia="Arial" w:hAnsi="Arial" w:cs="Arial"/>
        </w:rPr>
      </w:pPr>
    </w:p>
    <w:p w14:paraId="5117CE83" w14:textId="77777777" w:rsidR="000D3C36" w:rsidRDefault="000D3C36">
      <w:pPr>
        <w:spacing w:after="278" w:line="259" w:lineRule="auto"/>
        <w:ind w:left="127" w:right="0" w:firstLine="0"/>
        <w:rPr>
          <w:rFonts w:ascii="Arial" w:eastAsia="Arial" w:hAnsi="Arial" w:cs="Arial"/>
        </w:rPr>
      </w:pPr>
    </w:p>
    <w:p w14:paraId="788F9E55" w14:textId="77777777" w:rsidR="000D3C36" w:rsidRDefault="000D3C36">
      <w:pPr>
        <w:spacing w:after="278" w:line="259" w:lineRule="auto"/>
        <w:ind w:left="127" w:right="0" w:firstLine="0"/>
        <w:rPr>
          <w:rFonts w:ascii="Arial" w:eastAsia="Arial" w:hAnsi="Arial" w:cs="Arial"/>
        </w:rPr>
      </w:pPr>
    </w:p>
    <w:p w14:paraId="265FD79E" w14:textId="77777777" w:rsidR="000D3C36" w:rsidRDefault="000D3C36">
      <w:pPr>
        <w:spacing w:after="278" w:line="259" w:lineRule="auto"/>
        <w:ind w:left="127" w:right="0" w:firstLine="0"/>
      </w:pPr>
    </w:p>
    <w:p w14:paraId="21FB13AF" w14:textId="77777777" w:rsidR="00B56D50" w:rsidRDefault="001C3C42">
      <w:pPr>
        <w:spacing w:after="0" w:line="259" w:lineRule="auto"/>
        <w:ind w:left="127" w:right="0" w:firstLine="0"/>
      </w:pPr>
      <w:r>
        <w:rPr>
          <w:rFonts w:ascii="Arial" w:eastAsia="Arial" w:hAnsi="Arial" w:cs="Arial"/>
          <w:sz w:val="24"/>
        </w:rPr>
        <w:lastRenderedPageBreak/>
        <w:t xml:space="preserve"> </w:t>
      </w:r>
    </w:p>
    <w:p w14:paraId="66F3BC9B" w14:textId="1E351F76" w:rsidR="00111E53" w:rsidRDefault="00842751" w:rsidP="003456DA">
      <w:pPr>
        <w:spacing w:after="0" w:line="259" w:lineRule="auto"/>
        <w:ind w:left="0" w:right="4" w:firstLine="0"/>
        <w:rPr>
          <w:rFonts w:eastAsia="Arial"/>
          <w:sz w:val="10"/>
          <w:szCs w:val="10"/>
        </w:rPr>
      </w:pPr>
      <w:r>
        <w:rPr>
          <w:rFonts w:ascii="Calibri" w:eastAsia="Calibri" w:hAnsi="Calibri" w:cs="Calibri"/>
          <w:noProof/>
        </w:rPr>
        <mc:AlternateContent>
          <mc:Choice Requires="wpg">
            <w:drawing>
              <wp:inline distT="0" distB="0" distL="0" distR="0" wp14:anchorId="4B2ADBEC" wp14:editId="0A5DD431">
                <wp:extent cx="6655903" cy="45719"/>
                <wp:effectExtent l="0" t="0" r="0" b="12065"/>
                <wp:docPr id="426687353" name="Group 426687353"/>
                <wp:cNvGraphicFramePr/>
                <a:graphic xmlns:a="http://schemas.openxmlformats.org/drawingml/2006/main">
                  <a:graphicData uri="http://schemas.microsoft.com/office/word/2010/wordprocessingGroup">
                    <wpg:wgp>
                      <wpg:cNvGrpSpPr/>
                      <wpg:grpSpPr>
                        <a:xfrm flipV="1">
                          <a:off x="0" y="0"/>
                          <a:ext cx="6655903" cy="45719"/>
                          <a:chOff x="0" y="0"/>
                          <a:chExt cx="6400800" cy="57150"/>
                        </a:xfrm>
                      </wpg:grpSpPr>
                      <wps:wsp>
                        <wps:cNvPr id="219812971" name="Shape 899789"/>
                        <wps:cNvSpPr/>
                        <wps:spPr>
                          <a:xfrm>
                            <a:off x="0" y="22860"/>
                            <a:ext cx="6400800" cy="34290"/>
                          </a:xfrm>
                          <a:custGeom>
                            <a:avLst/>
                            <a:gdLst/>
                            <a:ahLst/>
                            <a:cxnLst/>
                            <a:rect l="0" t="0" r="0" b="0"/>
                            <a:pathLst>
                              <a:path w="6400800" h="34290">
                                <a:moveTo>
                                  <a:pt x="0" y="0"/>
                                </a:moveTo>
                                <a:lnTo>
                                  <a:pt x="6400800" y="0"/>
                                </a:lnTo>
                                <a:lnTo>
                                  <a:pt x="6400800" y="34290"/>
                                </a:lnTo>
                                <a:lnTo>
                                  <a:pt x="0" y="3429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594458347" name="Shape 899790"/>
                        <wps:cNvSpPr/>
                        <wps:spPr>
                          <a:xfrm>
                            <a:off x="0" y="0"/>
                            <a:ext cx="6400800" cy="11430"/>
                          </a:xfrm>
                          <a:custGeom>
                            <a:avLst/>
                            <a:gdLst/>
                            <a:ahLst/>
                            <a:cxnLst/>
                            <a:rect l="0" t="0" r="0" b="0"/>
                            <a:pathLst>
                              <a:path w="6400800" h="11430">
                                <a:moveTo>
                                  <a:pt x="0" y="0"/>
                                </a:moveTo>
                                <a:lnTo>
                                  <a:pt x="6400800" y="0"/>
                                </a:lnTo>
                                <a:lnTo>
                                  <a:pt x="6400800" y="11430"/>
                                </a:lnTo>
                                <a:lnTo>
                                  <a:pt x="0" y="114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6CB3FFFA" id="Group 426687353" o:spid="_x0000_s1026" style="width:524.1pt;height:3.6pt;flip:y;mso-position-horizontal-relative:char;mso-position-vertical-relative:line" coordsize="64008,5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">
                <v:shape id="Shape 899789" o:spid="_x0000_s1027" style="position:absolute;top:228;width:64008;height:343;visibility:visible;mso-wrap-style:square;v-text-anchor:top" coordsize="6400800,34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" path="m,l6400800,r,34290l,34290,,e" fillcolor="black" stroked="f" strokeweight="0">
                  <v:stroke miterlimit="83231f" joinstyle="miter"/>
                  <v:path arrowok="t" textboxrect="0,0,6400800,34290"/>
                </v:shape>
                <v:shape id="Shape 899790" o:spid="_x0000_s1028" style="position:absolute;width:64008;height:114;visibility:visible;mso-wrap-style:square;v-text-anchor:top" coordsize="6400800,114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" path="m,l6400800,r,11430l,11430,,e" fillcolor="black" stroked="f" strokeweight="0">
                  <v:stroke miterlimit="83231f" joinstyle="miter"/>
                  <v:path arrowok="t" textboxrect="0,0,6400800,11430"/>
                </v:shape>
                <w10:anchorlock/>
              </v:group>
            </w:pict>
          </mc:Fallback>
        </mc:AlternateContent>
      </w:r>
    </w:p>
    <w:p w14:paraId="00DE3296" w14:textId="77777777" w:rsidR="00AB69C0" w:rsidRPr="00291B09" w:rsidRDefault="00AB69C0" w:rsidP="00AB69C0">
      <w:pPr>
        <w:spacing w:after="0" w:line="259" w:lineRule="auto"/>
        <w:ind w:left="0" w:right="4" w:firstLine="0"/>
        <w:rPr>
          <w:rFonts w:eastAsia="Arial"/>
          <w:sz w:val="10"/>
          <w:szCs w:val="10"/>
        </w:rPr>
      </w:pPr>
    </w:p>
    <w:p w14:paraId="2F978577" w14:textId="40BDCDF2" w:rsidR="00B56D50" w:rsidRDefault="001C3C42">
      <w:pPr>
        <w:pStyle w:val="Heading3"/>
        <w:spacing w:after="0" w:line="259" w:lineRule="auto"/>
        <w:ind w:left="476" w:right="394"/>
      </w:pPr>
      <w:r w:rsidRPr="00AF0E96">
        <w:t xml:space="preserve">VI. DELIVERABLES LIST </w:t>
      </w:r>
    </w:p>
    <w:p w14:paraId="74FF1642" w14:textId="6956DBBD" w:rsidR="00B56D50" w:rsidRDefault="001C3C42" w:rsidP="00AF0E96">
      <w:pPr>
        <w:pStyle w:val="Heading4"/>
        <w:spacing w:after="100" w:afterAutospacing="1"/>
        <w:jc w:val="center"/>
      </w:pPr>
      <w:r>
        <w:t>Quality Assurance/Quality Control Documentation Required for All Protocols</w:t>
      </w:r>
      <w:r>
        <w:rPr>
          <w:rFonts w:ascii="Calibri" w:eastAsia="Calibri" w:hAnsi="Calibri" w:cs="Calibri"/>
          <w:noProof/>
        </w:rPr>
        <mc:AlternateContent>
          <mc:Choice Requires="wpg">
            <w:drawing>
              <wp:inline distT="0" distB="0" distL="0" distR="0" wp14:anchorId="5450F004" wp14:editId="22C03103">
                <wp:extent cx="6641430" cy="45719"/>
                <wp:effectExtent l="0" t="0" r="7620" b="0"/>
                <wp:docPr id="630302" name="Group 630302"/>
                <wp:cNvGraphicFramePr/>
                <a:graphic xmlns:a="http://schemas.openxmlformats.org/drawingml/2006/main">
                  <a:graphicData uri="http://schemas.microsoft.com/office/word/2010/wordprocessingGroup">
                    <wpg:wgp>
                      <wpg:cNvGrpSpPr/>
                      <wpg:grpSpPr>
                        <a:xfrm>
                          <a:off x="0" y="0"/>
                          <a:ext cx="6641430" cy="45719"/>
                          <a:chOff x="0" y="0"/>
                          <a:chExt cx="6400800" cy="57150"/>
                        </a:xfrm>
                      </wpg:grpSpPr>
                      <wps:wsp>
                        <wps:cNvPr id="899789" name="Shape 899789"/>
                        <wps:cNvSpPr/>
                        <wps:spPr>
                          <a:xfrm>
                            <a:off x="0" y="22860"/>
                            <a:ext cx="6400800" cy="34290"/>
                          </a:xfrm>
                          <a:custGeom>
                            <a:avLst/>
                            <a:gdLst/>
                            <a:ahLst/>
                            <a:cxnLst/>
                            <a:rect l="0" t="0" r="0" b="0"/>
                            <a:pathLst>
                              <a:path w="6400800" h="34290">
                                <a:moveTo>
                                  <a:pt x="0" y="0"/>
                                </a:moveTo>
                                <a:lnTo>
                                  <a:pt x="6400800" y="0"/>
                                </a:lnTo>
                                <a:lnTo>
                                  <a:pt x="6400800" y="34290"/>
                                </a:lnTo>
                                <a:lnTo>
                                  <a:pt x="0" y="3429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9790" name="Shape 899790"/>
                        <wps:cNvSpPr/>
                        <wps:spPr>
                          <a:xfrm>
                            <a:off x="0" y="0"/>
                            <a:ext cx="6400800" cy="11430"/>
                          </a:xfrm>
                          <a:custGeom>
                            <a:avLst/>
                            <a:gdLst/>
                            <a:ahLst/>
                            <a:cxnLst/>
                            <a:rect l="0" t="0" r="0" b="0"/>
                            <a:pathLst>
                              <a:path w="6400800" h="11430">
                                <a:moveTo>
                                  <a:pt x="0" y="0"/>
                                </a:moveTo>
                                <a:lnTo>
                                  <a:pt x="6400800" y="0"/>
                                </a:lnTo>
                                <a:lnTo>
                                  <a:pt x="6400800" y="11430"/>
                                </a:lnTo>
                                <a:lnTo>
                                  <a:pt x="0" y="114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542E5382" id="Group 630302" o:spid="_x0000_s1026" style="width:522.95pt;height:3.6pt;mso-position-horizontal-relative:char;mso-position-vertical-relative:line" coordsize="64008,5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">
                <v:shape id="Shape 899789" o:spid="_x0000_s1027" style="position:absolute;top:228;width:64008;height:343;visibility:visible;mso-wrap-style:square;v-text-anchor:top" coordsize="6400800,34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" path="m,l6400800,r,34290l,34290,,e" fillcolor="black" stroked="f" strokeweight="0">
                  <v:stroke miterlimit="83231f" joinstyle="miter"/>
                  <v:path arrowok="t" textboxrect="0,0,6400800,34290"/>
                </v:shape>
                <v:shape id="Shape 899790" o:spid="_x0000_s1028" style="position:absolute;width:64008;height:114;visibility:visible;mso-wrap-style:square;v-text-anchor:top" coordsize="6400800,114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" path="m,l6400800,r,11430l,11430,,e" fillcolor="black" stroked="f" strokeweight="0">
                  <v:stroke miterlimit="83231f" joinstyle="miter"/>
                  <v:path arrowok="t" textboxrect="0,0,6400800,11430"/>
                </v:shape>
                <w10:anchorlock/>
              </v:group>
            </w:pict>
          </mc:Fallback>
        </mc:AlternateContent>
      </w:r>
      <w:r>
        <w:rPr>
          <w:rFonts w:ascii="Arial" w:eastAsia="Arial" w:hAnsi="Arial" w:cs="Arial"/>
        </w:rPr>
        <w:t xml:space="preserve"> </w:t>
      </w:r>
    </w:p>
    <w:p w14:paraId="6F3C0DA1" w14:textId="4EBD634D" w:rsidR="00B56D50" w:rsidRDefault="001C3C42" w:rsidP="00AF0E96">
      <w:pPr>
        <w:spacing w:after="100" w:afterAutospacing="1"/>
        <w:ind w:right="0"/>
      </w:pPr>
      <w:r>
        <w:t xml:space="preserve">The Deliverables List applies to </w:t>
      </w:r>
      <w:r>
        <w:rPr>
          <w:u w:val="single" w:color="000000"/>
        </w:rPr>
        <w:t xml:space="preserve">all </w:t>
      </w:r>
      <w:r w:rsidR="0091361D">
        <w:rPr>
          <w:u w:val="single" w:color="000000"/>
        </w:rPr>
        <w:t>four</w:t>
      </w:r>
      <w:r w:rsidR="00CF5A08">
        <w:t xml:space="preserve"> </w:t>
      </w:r>
      <w:r>
        <w:t>protocols</w:t>
      </w:r>
      <w:proofErr w:type="gramStart"/>
      <w:r w:rsidR="0040484E">
        <w:t>:  SW846</w:t>
      </w:r>
      <w:proofErr w:type="gramEnd"/>
      <w:r w:rsidR="0040484E">
        <w:t>,</w:t>
      </w:r>
      <w:r w:rsidR="008F0A91">
        <w:t xml:space="preserve"> DW</w:t>
      </w:r>
      <w:r w:rsidR="001E5F3E">
        <w:t>, Air, and PFAS</w:t>
      </w:r>
      <w:r>
        <w:t xml:space="preserve">.  </w:t>
      </w:r>
      <w:r w:rsidR="00CE2EDD">
        <w:t xml:space="preserve">The Indoor Air and Ambient Air protocol </w:t>
      </w:r>
      <w:r w:rsidR="008E47AE">
        <w:t xml:space="preserve">may require </w:t>
      </w:r>
      <w:r w:rsidR="004449F2">
        <w:t>variations to the</w:t>
      </w:r>
      <w:r w:rsidR="00CE2EDD">
        <w:t xml:space="preserve"> </w:t>
      </w:r>
      <w:proofErr w:type="gramStart"/>
      <w:r w:rsidR="00CE2EDD">
        <w:t>deliverables</w:t>
      </w:r>
      <w:proofErr w:type="gramEnd"/>
      <w:r w:rsidR="00CE2EDD">
        <w:t xml:space="preserve"> list a</w:t>
      </w:r>
      <w:r w:rsidR="007B4B39">
        <w:t xml:space="preserve">s </w:t>
      </w:r>
      <w:r w:rsidR="004449F2">
        <w:t>noted below.</w:t>
      </w:r>
      <w:r w:rsidR="00951EB2">
        <w:t xml:space="preserve"> </w:t>
      </w:r>
      <w:r w:rsidR="007B4B39">
        <w:t xml:space="preserve"> </w:t>
      </w:r>
      <w:r>
        <w:t xml:space="preserve">Although the QA/QC requirements in the analytical methods for the </w:t>
      </w:r>
      <w:r w:rsidR="008B4678">
        <w:t>four</w:t>
      </w:r>
      <w:r>
        <w:t xml:space="preserve"> protocols may appear different, the requirements are similar.  For example, the </w:t>
      </w:r>
      <w:r w:rsidR="00942D22">
        <w:t>SW-846 and Drinking Water protocol</w:t>
      </w:r>
      <w:r>
        <w:t xml:space="preserve"> methodologies require that each batch of samples have an aliquot of reagent water that is spiked with analytes of concern and carried through the preparation and analysis process.  Whether it is called </w:t>
      </w:r>
      <w:proofErr w:type="gramStart"/>
      <w:r>
        <w:t>a Laboratory</w:t>
      </w:r>
      <w:proofErr w:type="gramEnd"/>
      <w:r>
        <w:t xml:space="preserve"> Control Sample (LCS), Laborator</w:t>
      </w:r>
      <w:r w:rsidR="006D58E1">
        <w:t xml:space="preserve">y </w:t>
      </w:r>
      <w:r>
        <w:t xml:space="preserve">Fortified Blank (LFB), QC Check Sample, or DI Spike, the principle is the same.  An effort has been made to accommodate the terminology of the </w:t>
      </w:r>
      <w:r w:rsidR="002279D7">
        <w:t xml:space="preserve">three </w:t>
      </w:r>
      <w:r>
        <w:t>protocols in the Deliverables List.</w:t>
      </w:r>
    </w:p>
    <w:p w14:paraId="6DE3C768" w14:textId="3D8912DE" w:rsidR="00B56D50" w:rsidRDefault="001C3C42" w:rsidP="0030398A">
      <w:pPr>
        <w:pStyle w:val="Heading5"/>
        <w:tabs>
          <w:tab w:val="center" w:pos="0"/>
        </w:tabs>
        <w:spacing w:after="100" w:afterAutospacing="1" w:line="247" w:lineRule="auto"/>
        <w:ind w:left="0" w:firstLine="0"/>
        <w:jc w:val="left"/>
      </w:pPr>
      <w:r>
        <w:t xml:space="preserve">General Requirements </w:t>
      </w:r>
    </w:p>
    <w:p w14:paraId="5665CC9A" w14:textId="7BCCDB1D" w:rsidR="00B56D50" w:rsidRDefault="001C3C42" w:rsidP="00D2025B">
      <w:pPr>
        <w:spacing w:after="16"/>
        <w:ind w:left="0" w:right="186"/>
      </w:pPr>
      <w:r>
        <w:rPr>
          <w:b/>
        </w:rPr>
        <w:t>The Contractor shall submit the following documentation with all analytical data reported.  This is applicable to all sample matrices and all types of analysis.</w:t>
      </w:r>
      <w:r w:rsidR="007E7832">
        <w:rPr>
          <w:b/>
        </w:rPr>
        <w:t xml:space="preserve">  </w:t>
      </w:r>
      <w:r w:rsidR="007E7832">
        <w:t xml:space="preserve">Regarding QC result summaries, the State considers the Contract Laboratory Program (CLP) -like report forms to be representative of a "clear and understandable format."  Forms like these are to be used for reporting QC summaries.  Reference to these forms </w:t>
      </w:r>
      <w:r w:rsidR="00A03087">
        <w:t>is</w:t>
      </w:r>
      <w:r w:rsidR="007E7832">
        <w:t xml:space="preserve"> provided in Section VIII.  Data </w:t>
      </w:r>
      <w:r w:rsidR="007E7832">
        <w:rPr>
          <w:b/>
          <w:u w:val="single" w:color="000000"/>
        </w:rPr>
        <w:t>must</w:t>
      </w:r>
      <w:r w:rsidR="007E7832">
        <w:t xml:space="preserve"> be provided in the sequence described in the Deliverable</w:t>
      </w:r>
      <w:r w:rsidR="009E5E6E">
        <w:t>s</w:t>
      </w:r>
      <w:r w:rsidR="007E7832">
        <w:t xml:space="preserve"> List</w:t>
      </w:r>
      <w:r w:rsidR="00594C67">
        <w:t>.</w:t>
      </w:r>
      <w:r>
        <w:rPr>
          <w:b/>
        </w:rPr>
        <w:t xml:space="preserve"> </w:t>
      </w:r>
    </w:p>
    <w:p w14:paraId="1A671879" w14:textId="77777777" w:rsidR="00B56D50" w:rsidRDefault="001C3C42">
      <w:pPr>
        <w:spacing w:after="0" w:line="259" w:lineRule="auto"/>
        <w:ind w:left="1387" w:right="0" w:firstLine="0"/>
      </w:pPr>
      <w:r>
        <w:t xml:space="preserve"> </w:t>
      </w:r>
    </w:p>
    <w:p w14:paraId="00229C59" w14:textId="3FE2EF95" w:rsidR="00B56D50" w:rsidRDefault="001C3C42" w:rsidP="0030398A">
      <w:pPr>
        <w:numPr>
          <w:ilvl w:val="0"/>
          <w:numId w:val="6"/>
        </w:numPr>
        <w:spacing w:after="100" w:afterAutospacing="1"/>
        <w:ind w:left="720" w:right="0" w:hanging="360"/>
      </w:pPr>
      <w:r>
        <w:t>Completed external chain-of-custody form</w:t>
      </w:r>
      <w:r w:rsidR="00533F78">
        <w:t>,</w:t>
      </w:r>
      <w:r>
        <w:t xml:space="preserve"> </w:t>
      </w:r>
    </w:p>
    <w:p w14:paraId="6ADA74B3" w14:textId="16193EC0" w:rsidR="00A90743" w:rsidRDefault="001C3C42" w:rsidP="0030398A">
      <w:pPr>
        <w:numPr>
          <w:ilvl w:val="0"/>
          <w:numId w:val="6"/>
        </w:numPr>
        <w:spacing w:after="100" w:afterAutospacing="1"/>
        <w:ind w:left="720" w:right="0" w:hanging="360"/>
      </w:pPr>
      <w:r>
        <w:t>Date and time of receipt at the laboratory</w:t>
      </w:r>
      <w:r w:rsidR="002B1EDF">
        <w:t>,</w:t>
      </w:r>
    </w:p>
    <w:p w14:paraId="4AD4B343" w14:textId="5082AEDA" w:rsidR="00B56D50" w:rsidRDefault="00272148" w:rsidP="0030398A">
      <w:pPr>
        <w:spacing w:after="100" w:afterAutospacing="1"/>
        <w:ind w:left="720" w:right="0" w:firstLine="0"/>
      </w:pPr>
      <w:r>
        <w:t xml:space="preserve">(Note for </w:t>
      </w:r>
      <w:r w:rsidR="00E12105">
        <w:t>USEPA</w:t>
      </w:r>
      <w:r w:rsidR="00F62172">
        <w:t xml:space="preserve"> Method TO-15 analysis</w:t>
      </w:r>
      <w:r w:rsidR="00BD1410">
        <w:t xml:space="preserve"> for the Indoor Air and Ambient Air protocol </w:t>
      </w:r>
      <w:r w:rsidR="00BD1410" w:rsidRPr="00A238B5">
        <w:rPr>
          <w:u w:val="single"/>
        </w:rPr>
        <w:t>only</w:t>
      </w:r>
      <w:r w:rsidR="00BD1410">
        <w:t>:</w:t>
      </w:r>
      <w:r w:rsidR="00F62172">
        <w:t xml:space="preserve"> </w:t>
      </w:r>
      <w:r w:rsidR="004E47B4">
        <w:t>The Contractor must report</w:t>
      </w:r>
      <w:r w:rsidR="00F62172">
        <w:t xml:space="preserve"> the pressure measurement for each canister at time of receipt</w:t>
      </w:r>
      <w:r w:rsidR="00D53CF9">
        <w:t xml:space="preserve"> at the laboratory</w:t>
      </w:r>
      <w:r w:rsidR="000C5D70">
        <w:t>.)</w:t>
      </w:r>
      <w:r w:rsidR="00E81DBD">
        <w:t>,</w:t>
      </w:r>
      <w:r w:rsidR="001C3C42">
        <w:t xml:space="preserve"> </w:t>
      </w:r>
    </w:p>
    <w:p w14:paraId="7C0378A5" w14:textId="77777777" w:rsidR="00C21DAC" w:rsidRDefault="001C3C42" w:rsidP="001764C7">
      <w:pPr>
        <w:numPr>
          <w:ilvl w:val="0"/>
          <w:numId w:val="6"/>
        </w:numPr>
        <w:ind w:left="720" w:right="255" w:hanging="360"/>
      </w:pPr>
      <w:r>
        <w:t>Condition of samples upon receipt at the laboratory</w:t>
      </w:r>
      <w:r w:rsidR="00C21DAC">
        <w:t>,</w:t>
      </w:r>
    </w:p>
    <w:p w14:paraId="5CEDDC45" w14:textId="0FCE64F3" w:rsidR="00B56D50" w:rsidRDefault="001C3C42" w:rsidP="00FD09D7">
      <w:pPr>
        <w:ind w:right="255"/>
      </w:pPr>
      <w:r>
        <w:t xml:space="preserve"> </w:t>
      </w:r>
    </w:p>
    <w:p w14:paraId="2C281D82" w14:textId="37002DD7" w:rsidR="00B56D50" w:rsidRDefault="001C3C42" w:rsidP="00FD09D7">
      <w:pPr>
        <w:spacing w:after="100" w:afterAutospacing="1" w:line="248" w:lineRule="auto"/>
        <w:ind w:left="730" w:right="0"/>
      </w:pPr>
      <w:r>
        <w:rPr>
          <w:i/>
        </w:rPr>
        <w:t>E.g.</w:t>
      </w:r>
      <w:proofErr w:type="gramStart"/>
      <w:r>
        <w:rPr>
          <w:i/>
        </w:rPr>
        <w:t>:  Temperature</w:t>
      </w:r>
      <w:proofErr w:type="gramEnd"/>
      <w:r>
        <w:rPr>
          <w:i/>
        </w:rPr>
        <w:t xml:space="preserve"> of cooler (thermometer reading or presence of ice); condition of bottles (cracked?  broken?  leaking?); condition of samples (pH </w:t>
      </w:r>
      <w:r w:rsidR="00F12CBD">
        <w:rPr>
          <w:i/>
        </w:rPr>
        <w:t>reading; preserved</w:t>
      </w:r>
      <w:r>
        <w:rPr>
          <w:i/>
        </w:rPr>
        <w:t>?  Air bubbles present?)</w:t>
      </w:r>
      <w:r w:rsidR="00533F78">
        <w:t>,</w:t>
      </w:r>
    </w:p>
    <w:p w14:paraId="1A00C0EC" w14:textId="7B348753" w:rsidR="00B56D50" w:rsidRDefault="001C3C42" w:rsidP="00FD09D7">
      <w:pPr>
        <w:numPr>
          <w:ilvl w:val="0"/>
          <w:numId w:val="6"/>
        </w:numPr>
        <w:spacing w:after="100" w:afterAutospacing="1"/>
        <w:ind w:left="720" w:right="0" w:hanging="360"/>
      </w:pPr>
      <w:r>
        <w:t xml:space="preserve">Facility sample identification or number </w:t>
      </w:r>
      <w:r>
        <w:rPr>
          <w:i/>
        </w:rPr>
        <w:t>(e.g., well no.)</w:t>
      </w:r>
      <w:r w:rsidR="00533F78">
        <w:t>,</w:t>
      </w:r>
    </w:p>
    <w:p w14:paraId="29F5D628" w14:textId="38E6E18B" w:rsidR="00B56D50" w:rsidRDefault="001C3C42" w:rsidP="00FD09D7">
      <w:pPr>
        <w:numPr>
          <w:ilvl w:val="0"/>
          <w:numId w:val="6"/>
        </w:numPr>
        <w:spacing w:after="100" w:afterAutospacing="1"/>
        <w:ind w:left="720" w:right="0" w:hanging="360"/>
      </w:pPr>
      <w:r>
        <w:t>Laboratory sample numbers corresponding to facility sample identification</w:t>
      </w:r>
      <w:r w:rsidR="00B2282B">
        <w:t>,</w:t>
      </w:r>
      <w:r>
        <w:t xml:space="preserve"> </w:t>
      </w:r>
    </w:p>
    <w:p w14:paraId="57258DC1" w14:textId="5A979925" w:rsidR="00B56D50" w:rsidRDefault="001C3C42" w:rsidP="00FD09D7">
      <w:pPr>
        <w:numPr>
          <w:ilvl w:val="0"/>
          <w:numId w:val="6"/>
        </w:numPr>
        <w:spacing w:after="100" w:afterAutospacing="1"/>
        <w:ind w:left="720" w:right="0" w:hanging="360"/>
      </w:pPr>
      <w:r>
        <w:t>Sample preparation, extraction, cleanup, or digestion method(s) and date(s)</w:t>
      </w:r>
      <w:r w:rsidR="00B400E1">
        <w:t xml:space="preserve"> (Note: </w:t>
      </w:r>
      <w:r w:rsidR="00B530D9">
        <w:t xml:space="preserve">dilutions performed </w:t>
      </w:r>
      <w:r w:rsidR="0014291C">
        <w:t>in</w:t>
      </w:r>
      <w:r w:rsidR="00B530D9">
        <w:t xml:space="preserve"> sample preparation must be </w:t>
      </w:r>
      <w:r w:rsidR="0014291C">
        <w:t>noted with final analytical results</w:t>
      </w:r>
      <w:r w:rsidR="00734D57">
        <w:t>)</w:t>
      </w:r>
      <w:r w:rsidR="00B2282B">
        <w:t>,</w:t>
      </w:r>
      <w:r>
        <w:t xml:space="preserve"> </w:t>
      </w:r>
    </w:p>
    <w:p w14:paraId="4429C394" w14:textId="6C80A935" w:rsidR="00581BA2" w:rsidRDefault="001C3C42" w:rsidP="00FD09D7">
      <w:pPr>
        <w:numPr>
          <w:ilvl w:val="0"/>
          <w:numId w:val="6"/>
        </w:numPr>
        <w:spacing w:after="100" w:afterAutospacing="1"/>
        <w:ind w:left="720" w:right="0" w:hanging="360"/>
      </w:pPr>
      <w:r>
        <w:t xml:space="preserve">Analytical method (name, number, and source) and date </w:t>
      </w:r>
      <w:r w:rsidR="00DC1499">
        <w:t xml:space="preserve">and time </w:t>
      </w:r>
      <w:r>
        <w:t>of analysis</w:t>
      </w:r>
      <w:r w:rsidR="0043330B">
        <w:t>,</w:t>
      </w:r>
    </w:p>
    <w:p w14:paraId="5C2C812E" w14:textId="22D14D11" w:rsidR="00AA0FB0" w:rsidRDefault="001C3C42" w:rsidP="00FD09D7">
      <w:pPr>
        <w:numPr>
          <w:ilvl w:val="0"/>
          <w:numId w:val="6"/>
        </w:numPr>
        <w:spacing w:after="100" w:afterAutospacing="1"/>
        <w:ind w:left="720" w:right="0" w:hanging="360"/>
      </w:pPr>
      <w:r>
        <w:t>Final analytical results</w:t>
      </w:r>
    </w:p>
    <w:p w14:paraId="56BBFB0E" w14:textId="75CFC7FF" w:rsidR="00E40983" w:rsidRDefault="00AA0FB0" w:rsidP="001764C7">
      <w:pPr>
        <w:ind w:left="720" w:right="255" w:firstLine="0"/>
      </w:pPr>
      <w:r>
        <w:t>(</w:t>
      </w:r>
      <w:r w:rsidR="00941B23">
        <w:t>N</w:t>
      </w:r>
      <w:r w:rsidR="00185697">
        <w:t>ote</w:t>
      </w:r>
      <w:r w:rsidR="00F74992">
        <w:t>s</w:t>
      </w:r>
      <w:r w:rsidR="00941B23">
        <w:t>:</w:t>
      </w:r>
      <w:r w:rsidR="00185697">
        <w:t xml:space="preserve"> </w:t>
      </w:r>
      <w:r w:rsidR="000D22C6">
        <w:t>1 – ana</w:t>
      </w:r>
      <w:r w:rsidR="00941B23">
        <w:t xml:space="preserve">lytical results for </w:t>
      </w:r>
      <w:r w:rsidR="00185697">
        <w:t>solid matri</w:t>
      </w:r>
      <w:r w:rsidR="00941B23">
        <w:t>ces</w:t>
      </w:r>
      <w:r w:rsidR="00185697">
        <w:t xml:space="preserve"> should be reported on a dry weight basis </w:t>
      </w:r>
      <w:r w:rsidR="00A331DC">
        <w:t xml:space="preserve">(and include % Solids result) </w:t>
      </w:r>
      <w:r w:rsidR="00185697">
        <w:t>unless otherwise request</w:t>
      </w:r>
      <w:r w:rsidR="00A331DC">
        <w:t>ed</w:t>
      </w:r>
      <w:r w:rsidR="009D268E">
        <w:t xml:space="preserve"> to report as wet weight</w:t>
      </w:r>
      <w:r w:rsidR="00627A3C">
        <w:t>.  2</w:t>
      </w:r>
      <w:r w:rsidR="000D22C6">
        <w:t xml:space="preserve"> – Tent</w:t>
      </w:r>
      <w:r w:rsidR="00981112">
        <w:t>atively Identified Compound</w:t>
      </w:r>
      <w:r w:rsidR="00096492">
        <w:t>s</w:t>
      </w:r>
      <w:r w:rsidR="00981112">
        <w:t xml:space="preserve"> (TICs)</w:t>
      </w:r>
      <w:r w:rsidR="005E33CE">
        <w:t xml:space="preserve"> and</w:t>
      </w:r>
      <w:r w:rsidR="00E95200">
        <w:t>/or</w:t>
      </w:r>
      <w:r w:rsidR="005E33CE">
        <w:t xml:space="preserve"> unknow</w:t>
      </w:r>
      <w:r w:rsidR="00096492">
        <w:t>n</w:t>
      </w:r>
      <w:r w:rsidR="005E33CE">
        <w:t>s</w:t>
      </w:r>
      <w:r w:rsidR="00981112">
        <w:t xml:space="preserve"> should be reported</w:t>
      </w:r>
      <w:r w:rsidR="00096492">
        <w:t xml:space="preserve"> </w:t>
      </w:r>
      <w:r w:rsidR="00E95200">
        <w:t xml:space="preserve">and the </w:t>
      </w:r>
      <w:r w:rsidR="00096492">
        <w:t>results qualified as estim</w:t>
      </w:r>
      <w:r w:rsidR="00C70CF9">
        <w:t>a</w:t>
      </w:r>
      <w:r w:rsidR="00096492">
        <w:t>ted concentra</w:t>
      </w:r>
      <w:r w:rsidR="00C70CF9">
        <w:t>t</w:t>
      </w:r>
      <w:r w:rsidR="005E3E65">
        <w:t>i</w:t>
      </w:r>
      <w:r w:rsidR="00096492">
        <w:t>ons</w:t>
      </w:r>
      <w:r w:rsidR="00981112">
        <w:t xml:space="preserve"> </w:t>
      </w:r>
      <w:r w:rsidR="003D548A">
        <w:t xml:space="preserve">for </w:t>
      </w:r>
      <w:r w:rsidR="00E95200">
        <w:t>all organic analyses</w:t>
      </w:r>
      <w:r w:rsidR="004F5DA4">
        <w:t xml:space="preserve"> except when </w:t>
      </w:r>
      <w:r w:rsidR="00094C79">
        <w:t>analyzing via SI</w:t>
      </w:r>
      <w:r w:rsidR="00B71241">
        <w:t>M</w:t>
      </w:r>
      <w:r w:rsidR="00814443">
        <w:t>)</w:t>
      </w:r>
      <w:r w:rsidR="00B2282B">
        <w:t>,</w:t>
      </w:r>
    </w:p>
    <w:p w14:paraId="1E6D3901" w14:textId="77777777" w:rsidR="009537E9" w:rsidRDefault="009537E9" w:rsidP="00FD09D7">
      <w:pPr>
        <w:ind w:left="720" w:right="255" w:firstLine="0"/>
      </w:pPr>
    </w:p>
    <w:p w14:paraId="7FF13B12" w14:textId="3A4344FC" w:rsidR="00553760" w:rsidRDefault="00553760" w:rsidP="00FD09D7">
      <w:pPr>
        <w:numPr>
          <w:ilvl w:val="0"/>
          <w:numId w:val="6"/>
        </w:numPr>
        <w:spacing w:after="100" w:afterAutospacing="1"/>
        <w:ind w:left="720" w:right="0" w:hanging="360"/>
      </w:pPr>
      <w:r>
        <w:t>Method/sample reporting/quantitation limits (Note that results for samples requiring dilution prior to beginning analysis or that require dilution due to high concentrations resulting in estimated results must be clearly identified and/or explained and the quantitation limits adjusted accordingly.  In addition, all QA/QC criteria for all analytical runs should be provided.)</w:t>
      </w:r>
      <w:r w:rsidR="00827330">
        <w:t>,</w:t>
      </w:r>
    </w:p>
    <w:p w14:paraId="049B2F0B" w14:textId="77777777" w:rsidR="00B56D50" w:rsidRDefault="001C3C42" w:rsidP="00FD09D7">
      <w:pPr>
        <w:numPr>
          <w:ilvl w:val="0"/>
          <w:numId w:val="6"/>
        </w:numPr>
        <w:spacing w:after="100" w:afterAutospacing="1"/>
        <w:ind w:left="720" w:right="0" w:hanging="360"/>
      </w:pPr>
      <w:r>
        <w:t xml:space="preserve">Case narrative: </w:t>
      </w:r>
    </w:p>
    <w:p w14:paraId="6007FA29" w14:textId="587FD6CC" w:rsidR="00173129" w:rsidRDefault="001C3C42" w:rsidP="00FD09D7">
      <w:pPr>
        <w:ind w:left="720" w:right="557"/>
      </w:pPr>
      <w:r>
        <w:lastRenderedPageBreak/>
        <w:t>To include deviations from standard analytical or preparatory procedure(s); quality control problems encountered--whether stemming from system, instrumentation, analyst error, or sample matrix; corrective measures taken; if corrective measures as called for in the method were not taken; results of corrective measures taken; etc.</w:t>
      </w:r>
    </w:p>
    <w:p w14:paraId="50685C23" w14:textId="3D4D782C" w:rsidR="00B56D50" w:rsidRDefault="001C3C42">
      <w:pPr>
        <w:ind w:left="1577" w:right="557"/>
      </w:pPr>
      <w:r>
        <w:t xml:space="preserve"> </w:t>
      </w:r>
    </w:p>
    <w:p w14:paraId="207AE448" w14:textId="39712F19" w:rsidR="004425C5" w:rsidRDefault="001C3C42" w:rsidP="00F30F60">
      <w:pPr>
        <w:numPr>
          <w:ilvl w:val="0"/>
          <w:numId w:val="6"/>
        </w:numPr>
        <w:spacing w:after="0" w:afterAutospacing="1" w:line="259" w:lineRule="auto"/>
        <w:ind w:left="720" w:right="0" w:hanging="360"/>
      </w:pPr>
      <w:r w:rsidRPr="00524E01">
        <w:rPr>
          <w:u w:val="single" w:color="000000"/>
        </w:rPr>
        <w:t>Only when requested (for enforcement cases)</w:t>
      </w:r>
      <w:proofErr w:type="gramStart"/>
      <w:r w:rsidRPr="00524E01">
        <w:rPr>
          <w:u w:val="single" w:color="000000"/>
        </w:rPr>
        <w:t>:</w:t>
      </w:r>
      <w:r>
        <w:t xml:space="preserve">  </w:t>
      </w:r>
      <w:r w:rsidRPr="00524E01">
        <w:rPr>
          <w:u w:val="single" w:color="000000"/>
        </w:rPr>
        <w:t>Completed</w:t>
      </w:r>
      <w:proofErr w:type="gramEnd"/>
      <w:r w:rsidRPr="00524E01">
        <w:rPr>
          <w:u w:val="single" w:color="000000"/>
        </w:rPr>
        <w:t xml:space="preserve"> internal chain-of-custody</w:t>
      </w:r>
      <w:r>
        <w:t xml:space="preserve"> </w:t>
      </w:r>
      <w:r w:rsidRPr="00524E01">
        <w:rPr>
          <w:u w:val="single" w:color="000000"/>
        </w:rPr>
        <w:t>form.</w:t>
      </w:r>
    </w:p>
    <w:p w14:paraId="41B495C3" w14:textId="7FE0B789" w:rsidR="00B56D50" w:rsidRDefault="001C3C42">
      <w:pPr>
        <w:pStyle w:val="Heading5"/>
        <w:tabs>
          <w:tab w:val="center" w:pos="397"/>
          <w:tab w:val="center" w:pos="2342"/>
        </w:tabs>
        <w:spacing w:after="16" w:line="247" w:lineRule="auto"/>
        <w:ind w:left="0" w:firstLine="0"/>
        <w:jc w:val="left"/>
      </w:pPr>
      <w:r>
        <w:tab/>
        <w:t>Requirements by Analysis Type</w:t>
      </w:r>
    </w:p>
    <w:p w14:paraId="2A430097" w14:textId="77777777" w:rsidR="00976AA0" w:rsidRDefault="00976AA0" w:rsidP="005A04A5">
      <w:pPr>
        <w:ind w:left="1217" w:right="255"/>
      </w:pPr>
    </w:p>
    <w:p w14:paraId="49E00329" w14:textId="039FF33C" w:rsidR="00B56D50" w:rsidRDefault="001C3C42" w:rsidP="00FF0049">
      <w:pPr>
        <w:ind w:left="0" w:right="255"/>
      </w:pPr>
      <w:r>
        <w:t>The laboratory documentation listed below must be provided based on the analytical method(s) used:</w:t>
      </w:r>
    </w:p>
    <w:p w14:paraId="26CB5E06" w14:textId="77777777" w:rsidR="002D3970" w:rsidRDefault="002D3970" w:rsidP="00FF0049">
      <w:pPr>
        <w:ind w:left="0" w:right="255"/>
      </w:pPr>
    </w:p>
    <w:p w14:paraId="0D5EBE5A" w14:textId="364ED909" w:rsidR="00B63165" w:rsidRDefault="00AE133C" w:rsidP="00FF0049">
      <w:pPr>
        <w:spacing w:after="100" w:afterAutospacing="1"/>
        <w:ind w:left="0" w:right="0" w:firstLine="0"/>
      </w:pPr>
      <w:r>
        <w:t>Metals and General Chemistry</w:t>
      </w:r>
      <w:r w:rsidR="005B48BC">
        <w:t xml:space="preserve"> Analysis Deliverables</w:t>
      </w:r>
      <w:proofErr w:type="gramStart"/>
      <w:r w:rsidR="00EC625C">
        <w:t>:  Various</w:t>
      </w:r>
      <w:proofErr w:type="gramEnd"/>
      <w:r w:rsidR="00EC625C">
        <w:t xml:space="preserve"> Instrumentation</w:t>
      </w:r>
    </w:p>
    <w:p w14:paraId="67D4BFCE" w14:textId="67478A3E" w:rsidR="005B48BC" w:rsidRDefault="005B48BC" w:rsidP="00FD09D7">
      <w:pPr>
        <w:pStyle w:val="ListParagraph"/>
        <w:numPr>
          <w:ilvl w:val="0"/>
          <w:numId w:val="60"/>
        </w:numPr>
        <w:spacing w:after="100" w:afterAutospacing="1"/>
        <w:ind w:left="720" w:right="0"/>
      </w:pPr>
      <w:r>
        <w:t>Organic Analysis Deliverables</w:t>
      </w:r>
      <w:proofErr w:type="gramStart"/>
      <w:r>
        <w:t>:  GC</w:t>
      </w:r>
      <w:proofErr w:type="gramEnd"/>
      <w:r>
        <w:t>/</w:t>
      </w:r>
      <w:r w:rsidR="00A668E7">
        <w:t>MS</w:t>
      </w:r>
    </w:p>
    <w:p w14:paraId="5FA14AF2" w14:textId="41AC96DC" w:rsidR="005B48BC" w:rsidRDefault="005B48BC" w:rsidP="00FD09D7">
      <w:pPr>
        <w:pStyle w:val="ListParagraph"/>
        <w:numPr>
          <w:ilvl w:val="0"/>
          <w:numId w:val="60"/>
        </w:numPr>
        <w:spacing w:after="100" w:afterAutospacing="1"/>
        <w:ind w:left="720" w:right="0"/>
      </w:pPr>
      <w:r>
        <w:t>Organic Analysis Deliverab</w:t>
      </w:r>
      <w:r w:rsidR="00EC625C">
        <w:t>l</w:t>
      </w:r>
      <w:r>
        <w:t>es</w:t>
      </w:r>
      <w:proofErr w:type="gramStart"/>
      <w:r w:rsidR="00A668E7">
        <w:t>:  GC</w:t>
      </w:r>
      <w:proofErr w:type="gramEnd"/>
      <w:r w:rsidR="00A668E7">
        <w:t xml:space="preserve"> and HPLC</w:t>
      </w:r>
    </w:p>
    <w:p w14:paraId="4F049F17" w14:textId="3CDAC85E" w:rsidR="005B48BC" w:rsidRDefault="00A668E7" w:rsidP="00FD09D7">
      <w:pPr>
        <w:pStyle w:val="ListParagraph"/>
        <w:numPr>
          <w:ilvl w:val="0"/>
          <w:numId w:val="60"/>
        </w:numPr>
        <w:spacing w:after="100" w:afterAutospacing="1"/>
        <w:ind w:left="720" w:right="0"/>
      </w:pPr>
      <w:r>
        <w:t>Organic Analysis Deliverables</w:t>
      </w:r>
      <w:proofErr w:type="gramStart"/>
      <w:r>
        <w:t>:  Pesticides</w:t>
      </w:r>
      <w:proofErr w:type="gramEnd"/>
      <w:r w:rsidR="00965343">
        <w:t xml:space="preserve"> and PCBs</w:t>
      </w:r>
    </w:p>
    <w:p w14:paraId="75B446C6" w14:textId="69E1E823" w:rsidR="00965343" w:rsidRDefault="00965343" w:rsidP="00FD09D7">
      <w:pPr>
        <w:pStyle w:val="ListParagraph"/>
        <w:numPr>
          <w:ilvl w:val="0"/>
          <w:numId w:val="60"/>
        </w:numPr>
        <w:spacing w:after="100" w:afterAutospacing="1"/>
        <w:ind w:left="720" w:right="0"/>
      </w:pPr>
      <w:r>
        <w:t>Other (SAS</w:t>
      </w:r>
      <w:r w:rsidR="006B4613">
        <w:t>/AAS</w:t>
      </w:r>
      <w:r>
        <w:t>) Analysis Deliverables</w:t>
      </w:r>
      <w:proofErr w:type="gramStart"/>
      <w:r>
        <w:t xml:space="preserve">:  </w:t>
      </w:r>
      <w:r w:rsidR="000D6C7E">
        <w:t>Radionuclides</w:t>
      </w:r>
      <w:proofErr w:type="gramEnd"/>
      <w:r w:rsidR="000D6C7E">
        <w:t xml:space="preserve">, </w:t>
      </w:r>
      <w:r w:rsidR="001376AE">
        <w:t>etc.</w:t>
      </w:r>
      <w:r w:rsidR="008D12F7">
        <w:t>/FOC, TPH, etc.</w:t>
      </w:r>
    </w:p>
    <w:p w14:paraId="1681BCA3" w14:textId="6E72C03F" w:rsidR="00D9549B" w:rsidRDefault="00D9549B" w:rsidP="006F36C9">
      <w:pPr>
        <w:pStyle w:val="ListParagraph"/>
        <w:numPr>
          <w:ilvl w:val="0"/>
          <w:numId w:val="60"/>
        </w:numPr>
        <w:spacing w:after="0"/>
        <w:ind w:left="720" w:right="0"/>
      </w:pPr>
      <w:r>
        <w:t>PFAS</w:t>
      </w:r>
    </w:p>
    <w:p w14:paraId="08CAB9E5" w14:textId="77777777" w:rsidR="00B63165" w:rsidRDefault="00B63165" w:rsidP="00B47934">
      <w:pPr>
        <w:ind w:right="255"/>
      </w:pPr>
    </w:p>
    <w:p w14:paraId="03566C5B" w14:textId="77777777" w:rsidR="001376AE" w:rsidRDefault="001376AE" w:rsidP="001376AE">
      <w:pPr>
        <w:spacing w:after="0" w:line="259" w:lineRule="auto"/>
        <w:ind w:right="0"/>
      </w:pPr>
    </w:p>
    <w:p w14:paraId="5F5D88CC" w14:textId="77777777" w:rsidR="001376AE" w:rsidRDefault="001376AE" w:rsidP="001376AE">
      <w:pPr>
        <w:spacing w:after="0" w:line="259" w:lineRule="auto"/>
        <w:ind w:right="0"/>
      </w:pPr>
    </w:p>
    <w:p w14:paraId="56A1AA0B" w14:textId="24B9163D" w:rsidR="001376AE" w:rsidRDefault="001376AE" w:rsidP="001376AE">
      <w:pPr>
        <w:spacing w:after="0" w:line="259" w:lineRule="auto"/>
        <w:ind w:right="0"/>
      </w:pPr>
    </w:p>
    <w:p w14:paraId="6B96E78B" w14:textId="77777777" w:rsidR="00B47934" w:rsidRDefault="00B47934" w:rsidP="001376AE">
      <w:pPr>
        <w:spacing w:after="0" w:line="259" w:lineRule="auto"/>
        <w:ind w:right="0"/>
      </w:pPr>
    </w:p>
    <w:p w14:paraId="4F569760" w14:textId="0F4664DA" w:rsidR="00645A27" w:rsidRDefault="005A6275" w:rsidP="005A6275">
      <w:pPr>
        <w:spacing w:after="0" w:line="259" w:lineRule="auto"/>
        <w:ind w:right="0"/>
        <w:jc w:val="center"/>
      </w:pPr>
      <w:r>
        <w:rPr>
          <w:b/>
        </w:rPr>
        <w:t>THE REMAINDER OF THIS PAGE HAS BEEN LEFT BLANK INTENTIONALLY</w:t>
      </w:r>
    </w:p>
    <w:p w14:paraId="60CE54C1" w14:textId="77777777" w:rsidR="00645A27" w:rsidRDefault="00645A27" w:rsidP="001376AE">
      <w:pPr>
        <w:spacing w:after="0" w:line="259" w:lineRule="auto"/>
        <w:ind w:right="0"/>
      </w:pPr>
    </w:p>
    <w:p w14:paraId="308E5112" w14:textId="77777777" w:rsidR="00645A27" w:rsidRDefault="00645A27" w:rsidP="001376AE">
      <w:pPr>
        <w:spacing w:after="0" w:line="259" w:lineRule="auto"/>
        <w:ind w:right="0"/>
      </w:pPr>
    </w:p>
    <w:p w14:paraId="5C45303D" w14:textId="77777777" w:rsidR="00645A27" w:rsidRDefault="00645A27" w:rsidP="001376AE">
      <w:pPr>
        <w:spacing w:after="0" w:line="259" w:lineRule="auto"/>
        <w:ind w:right="0"/>
      </w:pPr>
    </w:p>
    <w:p w14:paraId="115A8FCE" w14:textId="77777777" w:rsidR="00645A27" w:rsidRDefault="00645A27" w:rsidP="001376AE">
      <w:pPr>
        <w:spacing w:after="0" w:line="259" w:lineRule="auto"/>
        <w:ind w:right="0"/>
      </w:pPr>
    </w:p>
    <w:p w14:paraId="4FE31090" w14:textId="77777777" w:rsidR="001376AE" w:rsidRDefault="001376AE" w:rsidP="001376AE">
      <w:pPr>
        <w:spacing w:after="0" w:line="259" w:lineRule="auto"/>
        <w:ind w:right="0"/>
      </w:pPr>
    </w:p>
    <w:p w14:paraId="60649FCD" w14:textId="77777777" w:rsidR="001376AE" w:rsidRDefault="001376AE" w:rsidP="001376AE">
      <w:pPr>
        <w:spacing w:after="0" w:line="259" w:lineRule="auto"/>
        <w:ind w:right="0"/>
      </w:pPr>
    </w:p>
    <w:p w14:paraId="0ED3C382" w14:textId="77777777" w:rsidR="001376AE" w:rsidRDefault="001376AE" w:rsidP="001376AE">
      <w:pPr>
        <w:spacing w:after="0" w:line="259" w:lineRule="auto"/>
        <w:ind w:right="0"/>
      </w:pPr>
    </w:p>
    <w:p w14:paraId="43E2CA72" w14:textId="67DC2195" w:rsidR="00B56D50" w:rsidRDefault="00B56D50" w:rsidP="00325340">
      <w:pPr>
        <w:spacing w:after="0" w:line="259" w:lineRule="auto"/>
        <w:ind w:left="0" w:right="0" w:firstLine="0"/>
      </w:pPr>
    </w:p>
    <w:p w14:paraId="1CAE01FC" w14:textId="77777777" w:rsidR="00FF3CB1" w:rsidRDefault="00FF3CB1" w:rsidP="00325340">
      <w:pPr>
        <w:spacing w:after="0" w:line="259" w:lineRule="auto"/>
        <w:ind w:left="0" w:right="0" w:firstLine="0"/>
      </w:pPr>
    </w:p>
    <w:p w14:paraId="382E61D0" w14:textId="77777777" w:rsidR="00FF3CB1" w:rsidRDefault="00FF3CB1" w:rsidP="00325340">
      <w:pPr>
        <w:spacing w:after="0" w:line="259" w:lineRule="auto"/>
        <w:ind w:left="0" w:right="0" w:firstLine="0"/>
      </w:pPr>
    </w:p>
    <w:p w14:paraId="219EB933" w14:textId="77777777" w:rsidR="00645A27" w:rsidRDefault="00645A27" w:rsidP="00325340">
      <w:pPr>
        <w:spacing w:after="0" w:line="259" w:lineRule="auto"/>
        <w:ind w:left="0" w:right="0" w:firstLine="0"/>
      </w:pPr>
    </w:p>
    <w:p w14:paraId="1192B297" w14:textId="77777777" w:rsidR="00645A27" w:rsidRDefault="00645A27" w:rsidP="00325340">
      <w:pPr>
        <w:spacing w:after="0" w:line="259" w:lineRule="auto"/>
        <w:ind w:left="0" w:right="0" w:firstLine="0"/>
      </w:pPr>
    </w:p>
    <w:p w14:paraId="3CE467B0" w14:textId="77777777" w:rsidR="00645A27" w:rsidRDefault="00645A27" w:rsidP="00325340">
      <w:pPr>
        <w:spacing w:after="0" w:line="259" w:lineRule="auto"/>
        <w:ind w:left="0" w:right="0" w:firstLine="0"/>
      </w:pPr>
    </w:p>
    <w:p w14:paraId="13F82FB1" w14:textId="77777777" w:rsidR="00645A27" w:rsidRDefault="00645A27" w:rsidP="00325340">
      <w:pPr>
        <w:spacing w:after="0" w:line="259" w:lineRule="auto"/>
        <w:ind w:left="0" w:right="0" w:firstLine="0"/>
      </w:pPr>
    </w:p>
    <w:p w14:paraId="4516F877" w14:textId="77777777" w:rsidR="00645A27" w:rsidRDefault="00645A27" w:rsidP="00325340">
      <w:pPr>
        <w:spacing w:after="0" w:line="259" w:lineRule="auto"/>
        <w:ind w:left="0" w:right="0" w:firstLine="0"/>
      </w:pPr>
    </w:p>
    <w:p w14:paraId="3DEB5F3F" w14:textId="68E02ECB" w:rsidR="00645A27" w:rsidRDefault="00645A27" w:rsidP="00325340">
      <w:pPr>
        <w:spacing w:after="0" w:line="259" w:lineRule="auto"/>
        <w:ind w:left="0" w:right="0" w:firstLine="0"/>
      </w:pPr>
    </w:p>
    <w:p w14:paraId="7B6FFE0E" w14:textId="127256E6" w:rsidR="008D5D75" w:rsidRDefault="008D5D75" w:rsidP="00325340">
      <w:pPr>
        <w:spacing w:after="0" w:line="259" w:lineRule="auto"/>
        <w:ind w:left="0" w:right="0" w:firstLine="0"/>
      </w:pPr>
    </w:p>
    <w:p w14:paraId="477C7A1D" w14:textId="0D658C18" w:rsidR="008D5D75" w:rsidRDefault="008D5D75" w:rsidP="00325340">
      <w:pPr>
        <w:spacing w:after="0" w:line="259" w:lineRule="auto"/>
        <w:ind w:left="0" w:right="0" w:firstLine="0"/>
      </w:pPr>
    </w:p>
    <w:p w14:paraId="0BBC3B3B" w14:textId="4F38F6FD" w:rsidR="008D5D75" w:rsidRDefault="008D5D75" w:rsidP="00325340">
      <w:pPr>
        <w:spacing w:after="0" w:line="259" w:lineRule="auto"/>
        <w:ind w:left="0" w:right="0" w:firstLine="0"/>
      </w:pPr>
    </w:p>
    <w:p w14:paraId="5768165C" w14:textId="4F2EA814" w:rsidR="008D5D75" w:rsidRDefault="008D5D75" w:rsidP="00325340">
      <w:pPr>
        <w:spacing w:after="0" w:line="259" w:lineRule="auto"/>
        <w:ind w:left="0" w:right="0" w:firstLine="0"/>
      </w:pPr>
    </w:p>
    <w:p w14:paraId="615E2587" w14:textId="77777777" w:rsidR="007753BE" w:rsidRDefault="007753BE" w:rsidP="00325340">
      <w:pPr>
        <w:spacing w:after="0" w:line="259" w:lineRule="auto"/>
        <w:ind w:left="0" w:right="0" w:firstLine="0"/>
      </w:pPr>
    </w:p>
    <w:p w14:paraId="668553B4" w14:textId="77777777" w:rsidR="007753BE" w:rsidRDefault="007753BE" w:rsidP="00325340">
      <w:pPr>
        <w:spacing w:after="0" w:line="259" w:lineRule="auto"/>
        <w:ind w:left="0" w:right="0" w:firstLine="0"/>
      </w:pPr>
    </w:p>
    <w:p w14:paraId="48FDF21B" w14:textId="77777777" w:rsidR="007753BE" w:rsidRDefault="007753BE" w:rsidP="00325340">
      <w:pPr>
        <w:spacing w:after="0" w:line="259" w:lineRule="auto"/>
        <w:ind w:left="0" w:right="0" w:firstLine="0"/>
      </w:pPr>
    </w:p>
    <w:p w14:paraId="4BF2ED3E" w14:textId="41844588" w:rsidR="008D5D75" w:rsidRDefault="008D5D75" w:rsidP="00325340">
      <w:pPr>
        <w:spacing w:after="0" w:line="259" w:lineRule="auto"/>
        <w:ind w:left="0" w:right="0" w:firstLine="0"/>
      </w:pPr>
    </w:p>
    <w:p w14:paraId="0A6C3C5D" w14:textId="755479F9" w:rsidR="008D5D75" w:rsidRDefault="008D5D75" w:rsidP="00325340">
      <w:pPr>
        <w:spacing w:after="0" w:line="259" w:lineRule="auto"/>
        <w:ind w:left="0" w:right="0" w:firstLine="0"/>
      </w:pPr>
    </w:p>
    <w:p w14:paraId="6E7D57B2" w14:textId="3A4B2C67" w:rsidR="00B56D50" w:rsidRPr="00DC5D01" w:rsidRDefault="001C3C42" w:rsidP="00AE7190">
      <w:pPr>
        <w:pStyle w:val="Heading2"/>
        <w:tabs>
          <w:tab w:val="center" w:pos="947"/>
          <w:tab w:val="center" w:pos="5347"/>
        </w:tabs>
        <w:ind w:left="0" w:right="0" w:firstLine="0"/>
        <w:jc w:val="center"/>
        <w:rPr>
          <w:sz w:val="22"/>
        </w:rPr>
      </w:pPr>
      <w:bookmarkStart w:id="16" w:name="_Toc68522929"/>
      <w:r w:rsidRPr="00DC5D01">
        <w:rPr>
          <w:sz w:val="22"/>
        </w:rPr>
        <w:lastRenderedPageBreak/>
        <w:t xml:space="preserve">A. </w:t>
      </w:r>
      <w:r w:rsidR="00AE7190" w:rsidRPr="00DC5D01">
        <w:rPr>
          <w:sz w:val="22"/>
        </w:rPr>
        <w:t xml:space="preserve"> </w:t>
      </w:r>
      <w:r w:rsidRPr="00DC5D01">
        <w:rPr>
          <w:sz w:val="22"/>
          <w:u w:val="single"/>
        </w:rPr>
        <w:t>METALS AND GENERAL CHEMISTRY ANALYSIS DELIVERABLES</w:t>
      </w:r>
      <w:bookmarkEnd w:id="16"/>
    </w:p>
    <w:p w14:paraId="599A3129" w14:textId="77777777" w:rsidR="00B56D50" w:rsidRDefault="001C3C42" w:rsidP="0046434A">
      <w:pPr>
        <w:spacing w:after="0" w:line="259" w:lineRule="auto"/>
        <w:ind w:left="0" w:right="0" w:firstLine="0"/>
      </w:pPr>
      <w:r>
        <w:t xml:space="preserve"> </w:t>
      </w:r>
    </w:p>
    <w:p w14:paraId="06508B50" w14:textId="297B4171" w:rsidR="00B56D50" w:rsidRPr="00180B78" w:rsidRDefault="001C3C42" w:rsidP="00E30534">
      <w:pPr>
        <w:ind w:left="0" w:right="0" w:firstLine="0"/>
      </w:pPr>
      <w:r w:rsidRPr="008C3056">
        <w:rPr>
          <w:u w:val="single" w:color="000000"/>
        </w:rPr>
        <w:t>TOTAL AND DISSOLVED METALS</w:t>
      </w:r>
      <w:r w:rsidRPr="008C3056">
        <w:t xml:space="preserve"> by Inductively Coupled Plasma Atomic Emission Spectroscopy (ICP), </w:t>
      </w:r>
      <w:r w:rsidR="0031252A" w:rsidRPr="008C3056">
        <w:t>ICP/M</w:t>
      </w:r>
      <w:r w:rsidR="003D53EC" w:rsidRPr="008C3056">
        <w:t>S</w:t>
      </w:r>
      <w:r w:rsidRPr="008C3056">
        <w:t xml:space="preserve">, or Atomic Absorption Spectroscopy (AA) and </w:t>
      </w:r>
      <w:r w:rsidRPr="008C3056">
        <w:rPr>
          <w:u w:val="single" w:color="000000"/>
        </w:rPr>
        <w:t>GENERAL CHEMISTRY ANALYSES</w:t>
      </w:r>
      <w:r w:rsidRPr="00180B78">
        <w:t xml:space="preserve"> </w:t>
      </w:r>
    </w:p>
    <w:p w14:paraId="0568A88E" w14:textId="11736059" w:rsidR="00425ED9" w:rsidRDefault="00425ED9" w:rsidP="00E30534">
      <w:pPr>
        <w:ind w:left="0" w:right="0" w:firstLine="0"/>
      </w:pPr>
    </w:p>
    <w:p w14:paraId="76AD6BB6" w14:textId="28587F52" w:rsidR="00FD5856" w:rsidRPr="008B0F9E" w:rsidRDefault="001C3C42" w:rsidP="006F36C9">
      <w:pPr>
        <w:pStyle w:val="ListParagraph"/>
        <w:numPr>
          <w:ilvl w:val="0"/>
          <w:numId w:val="62"/>
        </w:numPr>
        <w:spacing w:after="100" w:afterAutospacing="1"/>
        <w:ind w:left="1080" w:right="0"/>
      </w:pPr>
      <w:r w:rsidRPr="005112EB">
        <w:rPr>
          <w:u w:val="single"/>
        </w:rPr>
        <w:t>Calibration</w:t>
      </w:r>
      <w:r w:rsidR="00AD3562">
        <w:rPr>
          <w:u w:val="single"/>
        </w:rPr>
        <w:t>s</w:t>
      </w:r>
      <w:r w:rsidR="005112EB">
        <w:rPr>
          <w:u w:val="single"/>
        </w:rPr>
        <w:t>,</w:t>
      </w:r>
      <w:r>
        <w:t xml:space="preserve"> records and results:</w:t>
      </w:r>
    </w:p>
    <w:p w14:paraId="03023807" w14:textId="0166E6ED" w:rsidR="00B56D50" w:rsidRDefault="00A42677" w:rsidP="00496401">
      <w:pPr>
        <w:pStyle w:val="ListParagraph"/>
        <w:ind w:left="1080" w:right="255" w:firstLine="0"/>
      </w:pPr>
      <w:proofErr w:type="gramStart"/>
      <w:r>
        <w:t>---  Initial</w:t>
      </w:r>
      <w:proofErr w:type="gramEnd"/>
      <w:r>
        <w:t xml:space="preserve"> calibratio</w:t>
      </w:r>
      <w:r w:rsidR="0007013F">
        <w:t>n for specific instrument</w:t>
      </w:r>
      <w:r w:rsidR="009E2ABF">
        <w:t>ation</w:t>
      </w:r>
      <w:r w:rsidR="009F762A">
        <w:t>.</w:t>
      </w:r>
      <w:r w:rsidR="0007013F">
        <w:t xml:space="preserve"> </w:t>
      </w:r>
    </w:p>
    <w:p w14:paraId="435D37B4" w14:textId="77777777" w:rsidR="003D4659" w:rsidRPr="0058792E" w:rsidRDefault="003D4659" w:rsidP="006F36C9">
      <w:pPr>
        <w:pStyle w:val="ListParagraph"/>
        <w:numPr>
          <w:ilvl w:val="0"/>
          <w:numId w:val="66"/>
        </w:numPr>
        <w:spacing w:after="100" w:afterAutospacing="1"/>
        <w:ind w:left="1080" w:right="0"/>
        <w:rPr>
          <w:b/>
        </w:rPr>
      </w:pPr>
      <w:r w:rsidRPr="0058792E">
        <w:rPr>
          <w:b/>
        </w:rPr>
        <w:t>ICP</w:t>
      </w:r>
      <w:proofErr w:type="gramStart"/>
      <w:r w:rsidRPr="0058792E">
        <w:rPr>
          <w:b/>
        </w:rPr>
        <w:t>:</w:t>
      </w:r>
      <w:r>
        <w:t xml:space="preserve">  A</w:t>
      </w:r>
      <w:proofErr w:type="gramEnd"/>
      <w:r>
        <w:t xml:space="preserve"> blank plus at least one calibration standard (containing all target analytes) with a minimum of two replicate exposures.</w:t>
      </w:r>
    </w:p>
    <w:p w14:paraId="6A2EBD98" w14:textId="77777777" w:rsidR="003D4659" w:rsidRPr="00350378" w:rsidRDefault="003D4659" w:rsidP="006F36C9">
      <w:pPr>
        <w:pStyle w:val="ListParagraph"/>
        <w:numPr>
          <w:ilvl w:val="0"/>
          <w:numId w:val="66"/>
        </w:numPr>
        <w:spacing w:after="100" w:afterAutospacing="1"/>
        <w:ind w:left="1080" w:right="0"/>
        <w:rPr>
          <w:b/>
        </w:rPr>
      </w:pPr>
      <w:r w:rsidRPr="00350378">
        <w:rPr>
          <w:b/>
        </w:rPr>
        <w:t>AA</w:t>
      </w:r>
      <w:proofErr w:type="gramStart"/>
      <w:r w:rsidRPr="00350378">
        <w:rPr>
          <w:b/>
        </w:rPr>
        <w:t xml:space="preserve">: </w:t>
      </w:r>
      <w:r w:rsidRPr="00350378">
        <w:rPr>
          <w:bCs/>
        </w:rPr>
        <w:t xml:space="preserve"> (</w:t>
      </w:r>
      <w:proofErr w:type="gramEnd"/>
      <w:r>
        <w:t>graphite furnace and flame emission) A blank plus at least three standards.</w:t>
      </w:r>
    </w:p>
    <w:p w14:paraId="1E2C5BD1" w14:textId="77777777" w:rsidR="003D4659" w:rsidRPr="00350378" w:rsidRDefault="003D4659" w:rsidP="006F36C9">
      <w:pPr>
        <w:pStyle w:val="ListParagraph"/>
        <w:numPr>
          <w:ilvl w:val="0"/>
          <w:numId w:val="66"/>
        </w:numPr>
        <w:spacing w:after="100" w:afterAutospacing="1"/>
        <w:ind w:left="1080" w:right="0"/>
        <w:rPr>
          <w:b/>
        </w:rPr>
      </w:pPr>
      <w:r w:rsidRPr="00350378">
        <w:rPr>
          <w:b/>
        </w:rPr>
        <w:t>CVAA</w:t>
      </w:r>
      <w:proofErr w:type="gramStart"/>
      <w:r w:rsidRPr="00350378">
        <w:rPr>
          <w:b/>
        </w:rPr>
        <w:t xml:space="preserve">: </w:t>
      </w:r>
      <w:r w:rsidRPr="00350378">
        <w:rPr>
          <w:bCs/>
        </w:rPr>
        <w:t xml:space="preserve"> </w:t>
      </w:r>
      <w:r>
        <w:t>(</w:t>
      </w:r>
      <w:proofErr w:type="gramEnd"/>
      <w:r>
        <w:t>mercury by cold vapor AA) A blank plus at least five standards.</w:t>
      </w:r>
    </w:p>
    <w:p w14:paraId="26CB3479" w14:textId="77777777" w:rsidR="003D4659" w:rsidRDefault="003D4659" w:rsidP="006F36C9">
      <w:pPr>
        <w:pStyle w:val="ListParagraph"/>
        <w:numPr>
          <w:ilvl w:val="0"/>
          <w:numId w:val="66"/>
        </w:numPr>
        <w:spacing w:after="100" w:afterAutospacing="1"/>
        <w:ind w:left="1080" w:right="0"/>
      </w:pPr>
      <w:r w:rsidRPr="00350378">
        <w:rPr>
          <w:b/>
        </w:rPr>
        <w:t>General Chemistry Analysis</w:t>
      </w:r>
      <w:proofErr w:type="gramStart"/>
      <w:r w:rsidRPr="00350378">
        <w:rPr>
          <w:b/>
        </w:rPr>
        <w:t>:</w:t>
      </w:r>
      <w:r>
        <w:t xml:space="preserve">  A</w:t>
      </w:r>
      <w:proofErr w:type="gramEnd"/>
      <w:r>
        <w:t xml:space="preserve"> blank plus at least three standards </w:t>
      </w:r>
    </w:p>
    <w:p w14:paraId="5CA8CDBD" w14:textId="27411ED2" w:rsidR="003D4659" w:rsidRDefault="003D4659" w:rsidP="006F36C9">
      <w:pPr>
        <w:pStyle w:val="ListParagraph"/>
        <w:numPr>
          <w:ilvl w:val="0"/>
          <w:numId w:val="66"/>
        </w:numPr>
        <w:spacing w:after="0"/>
        <w:ind w:left="1080" w:right="0"/>
      </w:pPr>
      <w:r w:rsidRPr="0058792E">
        <w:rPr>
          <w:i/>
          <w:u w:val="single" w:color="000000"/>
        </w:rPr>
        <w:t>Additional requirement for cyanide analyses</w:t>
      </w:r>
      <w:proofErr w:type="gramStart"/>
      <w:r>
        <w:t xml:space="preserve">: </w:t>
      </w:r>
      <w:r w:rsidR="00B76A34">
        <w:t xml:space="preserve"> </w:t>
      </w:r>
      <w:r>
        <w:t>a</w:t>
      </w:r>
      <w:proofErr w:type="gramEnd"/>
      <w:r>
        <w:t xml:space="preserve"> mid-range standard must be distilled and analyzed with results compared to curve for undistilled standards. </w:t>
      </w:r>
    </w:p>
    <w:p w14:paraId="454E3E85" w14:textId="2B3090CE" w:rsidR="004825E6" w:rsidRDefault="001C3C42" w:rsidP="006F36C9">
      <w:pPr>
        <w:spacing w:after="0"/>
        <w:ind w:left="140" w:right="255" w:firstLine="940"/>
      </w:pPr>
      <w:proofErr w:type="gramStart"/>
      <w:r>
        <w:t>---</w:t>
      </w:r>
      <w:r w:rsidR="00B85A72">
        <w:t xml:space="preserve">  </w:t>
      </w:r>
      <w:r>
        <w:t>Calibration</w:t>
      </w:r>
      <w:proofErr w:type="gramEnd"/>
      <w:r>
        <w:t xml:space="preserve"> curve established for each metal</w:t>
      </w:r>
      <w:r w:rsidR="005C37E3">
        <w:t>.</w:t>
      </w:r>
    </w:p>
    <w:p w14:paraId="10B0844D" w14:textId="53037DC9" w:rsidR="00997532" w:rsidRDefault="001C3C42" w:rsidP="006F36C9">
      <w:pPr>
        <w:pStyle w:val="ListParagraph"/>
        <w:numPr>
          <w:ilvl w:val="0"/>
          <w:numId w:val="67"/>
        </w:numPr>
        <w:spacing w:after="100" w:afterAutospacing="1"/>
        <w:ind w:left="1080" w:right="0"/>
      </w:pPr>
      <w:r>
        <w:t>Correlation coefficient of at least 0.995 for each curve (or calibration is repeated)</w:t>
      </w:r>
      <w:r w:rsidR="009F762A">
        <w:t>.</w:t>
      </w:r>
    </w:p>
    <w:p w14:paraId="6C94FABE" w14:textId="64A99707" w:rsidR="00997532" w:rsidRDefault="001C3C42" w:rsidP="006F36C9">
      <w:pPr>
        <w:pStyle w:val="ListParagraph"/>
        <w:numPr>
          <w:ilvl w:val="0"/>
          <w:numId w:val="67"/>
        </w:numPr>
        <w:spacing w:after="100" w:afterAutospacing="1"/>
        <w:ind w:left="1080" w:right="0"/>
      </w:pPr>
      <w:r>
        <w:t>Concentrations and responses for each standard and blank (numeric)</w:t>
      </w:r>
      <w:r w:rsidR="00691916">
        <w:t>.</w:t>
      </w:r>
    </w:p>
    <w:p w14:paraId="3914CDE3" w14:textId="7E414318" w:rsidR="00997532" w:rsidRDefault="009D4902" w:rsidP="006F36C9">
      <w:pPr>
        <w:pStyle w:val="ListParagraph"/>
        <w:numPr>
          <w:ilvl w:val="0"/>
          <w:numId w:val="67"/>
        </w:numPr>
        <w:spacing w:after="100" w:afterAutospacing="1"/>
        <w:ind w:left="1080" w:right="0"/>
      </w:pPr>
      <w:r>
        <w:t>G</w:t>
      </w:r>
      <w:r w:rsidR="001C3C42">
        <w:t>raphical plot of calibration curve (AA analysis)</w:t>
      </w:r>
      <w:r w:rsidR="00691916">
        <w:t>.</w:t>
      </w:r>
    </w:p>
    <w:p w14:paraId="5C1C498A" w14:textId="7C994995" w:rsidR="00997532" w:rsidRDefault="001C3C42" w:rsidP="006F36C9">
      <w:pPr>
        <w:pStyle w:val="ListParagraph"/>
        <w:numPr>
          <w:ilvl w:val="0"/>
          <w:numId w:val="67"/>
        </w:numPr>
        <w:spacing w:after="100" w:afterAutospacing="1"/>
        <w:ind w:left="1080" w:right="0"/>
      </w:pPr>
      <w:r>
        <w:t>Date and time of initial calibration</w:t>
      </w:r>
      <w:r w:rsidR="00691916">
        <w:t>.</w:t>
      </w:r>
    </w:p>
    <w:p w14:paraId="3369A5F3" w14:textId="5C4124DF" w:rsidR="00062D48" w:rsidRDefault="001C3C42" w:rsidP="006F36C9">
      <w:pPr>
        <w:pStyle w:val="ListParagraph"/>
        <w:numPr>
          <w:ilvl w:val="0"/>
          <w:numId w:val="67"/>
        </w:numPr>
        <w:spacing w:after="0"/>
        <w:ind w:left="1080" w:right="0"/>
      </w:pPr>
      <w:r>
        <w:t>If not the same day as analysis, provide explanation.  If this is allowed by analytical method,</w:t>
      </w:r>
      <w:r w:rsidR="00CC4AA0">
        <w:t xml:space="preserve"> </w:t>
      </w:r>
      <w:r>
        <w:t>cite section of method</w:t>
      </w:r>
      <w:r w:rsidR="00691916">
        <w:t>.</w:t>
      </w:r>
    </w:p>
    <w:p w14:paraId="1ECF7F8A" w14:textId="596D1885" w:rsidR="00D57430" w:rsidRDefault="006A56F1" w:rsidP="006F36C9">
      <w:pPr>
        <w:spacing w:before="240" w:after="0"/>
        <w:ind w:left="1440" w:right="259" w:hanging="360"/>
      </w:pPr>
      <w:proofErr w:type="gramStart"/>
      <w:r w:rsidRPr="008B0F9E">
        <w:t xml:space="preserve">--- </w:t>
      </w:r>
      <w:r w:rsidR="00D57430">
        <w:t xml:space="preserve"> </w:t>
      </w:r>
      <w:r w:rsidR="001C3C42" w:rsidRPr="008B0F9E">
        <w:t>Initial</w:t>
      </w:r>
      <w:proofErr w:type="gramEnd"/>
      <w:r w:rsidR="001C3C42" w:rsidRPr="008B0F9E">
        <w:t xml:space="preserve"> and continuing calibration verification (ICV and </w:t>
      </w:r>
      <w:proofErr w:type="gramStart"/>
      <w:r w:rsidR="001C3C42" w:rsidRPr="008B0F9E">
        <w:t>CCV)</w:t>
      </w:r>
      <w:r w:rsidR="00062D48">
        <w:t>[</w:t>
      </w:r>
      <w:proofErr w:type="gramEnd"/>
      <w:r w:rsidR="001C3C42">
        <w:t>(mid-level standard results and</w:t>
      </w:r>
    </w:p>
    <w:p w14:paraId="16547B60" w14:textId="76B1D1EE" w:rsidR="00C95A01" w:rsidRDefault="001C3C42" w:rsidP="00496401">
      <w:pPr>
        <w:ind w:left="144" w:right="259" w:firstLine="1296"/>
      </w:pPr>
      <w:r>
        <w:t>% recovery; CCV to be run every ten samples)</w:t>
      </w:r>
      <w:r w:rsidR="00062D48">
        <w:t>]</w:t>
      </w:r>
      <w:r w:rsidR="00691916">
        <w:t>.</w:t>
      </w:r>
    </w:p>
    <w:p w14:paraId="34B0A5A2" w14:textId="77777777" w:rsidR="00C95A01" w:rsidRDefault="00C95A01" w:rsidP="009968F3">
      <w:pPr>
        <w:spacing w:after="0" w:line="259" w:lineRule="auto"/>
        <w:ind w:right="255"/>
      </w:pPr>
    </w:p>
    <w:p w14:paraId="6D1C2086" w14:textId="77777777" w:rsidR="00B56D50" w:rsidRDefault="001C3C42" w:rsidP="00093377">
      <w:pPr>
        <w:numPr>
          <w:ilvl w:val="0"/>
          <w:numId w:val="8"/>
        </w:numPr>
        <w:ind w:left="1080" w:right="255"/>
      </w:pPr>
      <w:r>
        <w:t xml:space="preserve">Blank results </w:t>
      </w:r>
    </w:p>
    <w:p w14:paraId="6B18B93A" w14:textId="314FF976" w:rsidR="00B56D50" w:rsidRDefault="001C3C42" w:rsidP="00511279">
      <w:pPr>
        <w:ind w:left="1080" w:right="255" w:firstLine="0"/>
      </w:pPr>
      <w:proofErr w:type="gramStart"/>
      <w:r>
        <w:t>---</w:t>
      </w:r>
      <w:r w:rsidR="00801511">
        <w:t xml:space="preserve"> </w:t>
      </w:r>
      <w:r>
        <w:t xml:space="preserve"> Initial</w:t>
      </w:r>
      <w:proofErr w:type="gramEnd"/>
      <w:r>
        <w:t xml:space="preserve"> and continuing calibration blank results</w:t>
      </w:r>
      <w:r w:rsidR="00691916">
        <w:t>.</w:t>
      </w:r>
      <w:r>
        <w:t xml:space="preserve"> </w:t>
      </w:r>
    </w:p>
    <w:p w14:paraId="2E86CC59" w14:textId="0988B8E7" w:rsidR="00B56D50" w:rsidRDefault="006A56F1" w:rsidP="00511279">
      <w:pPr>
        <w:ind w:left="1080" w:right="255"/>
      </w:pPr>
      <w:r>
        <w:tab/>
      </w:r>
      <w:proofErr w:type="gramStart"/>
      <w:r w:rsidR="001C3C42">
        <w:t>---</w:t>
      </w:r>
      <w:r w:rsidR="00801511">
        <w:t xml:space="preserve"> </w:t>
      </w:r>
      <w:r w:rsidR="001C3C42">
        <w:t xml:space="preserve"> Method</w:t>
      </w:r>
      <w:proofErr w:type="gramEnd"/>
      <w:r w:rsidR="001C3C42">
        <w:t xml:space="preserve"> (preparation) blank results</w:t>
      </w:r>
      <w:r w:rsidR="00691916">
        <w:t>.</w:t>
      </w:r>
      <w:r w:rsidR="001C3C42">
        <w:t xml:space="preserve"> </w:t>
      </w:r>
    </w:p>
    <w:p w14:paraId="045A49ED" w14:textId="77777777" w:rsidR="00B56D50" w:rsidRDefault="001C3C42">
      <w:pPr>
        <w:spacing w:after="0" w:line="259" w:lineRule="auto"/>
        <w:ind w:left="847" w:right="0" w:firstLine="0"/>
      </w:pPr>
      <w:r>
        <w:t xml:space="preserve"> </w:t>
      </w:r>
    </w:p>
    <w:p w14:paraId="16D2C98A" w14:textId="14910340" w:rsidR="00B56D50" w:rsidRDefault="001C3C42" w:rsidP="00093377">
      <w:pPr>
        <w:numPr>
          <w:ilvl w:val="0"/>
          <w:numId w:val="8"/>
        </w:numPr>
        <w:ind w:left="1080" w:right="255"/>
      </w:pPr>
      <w:r>
        <w:t>Matrix spike (at a minimum frequency of 1 per 20 samples or 1 per batch of less than 20 samples for each matrix) Results to be reported include:  sample number of sample spiked, sample concentration for analyte, concentration of spike added, results and % Recovery</w:t>
      </w:r>
      <w:r w:rsidR="00691916">
        <w:t>.</w:t>
      </w:r>
      <w:r>
        <w:t xml:space="preserve"> </w:t>
      </w:r>
    </w:p>
    <w:p w14:paraId="2F8A6EB4" w14:textId="77777777" w:rsidR="00B56D50" w:rsidRDefault="001C3C42">
      <w:pPr>
        <w:spacing w:after="0" w:line="259" w:lineRule="auto"/>
        <w:ind w:left="0" w:right="0" w:firstLine="0"/>
      </w:pPr>
      <w:r>
        <w:t xml:space="preserve"> </w:t>
      </w:r>
    </w:p>
    <w:p w14:paraId="6CC5B260" w14:textId="0A451BFC" w:rsidR="00B56D50" w:rsidRDefault="001C3C42" w:rsidP="00093377">
      <w:pPr>
        <w:numPr>
          <w:ilvl w:val="0"/>
          <w:numId w:val="8"/>
        </w:numPr>
        <w:ind w:left="1080" w:right="255"/>
      </w:pPr>
      <w:r>
        <w:t xml:space="preserve">Matrix </w:t>
      </w:r>
      <w:proofErr w:type="gramStart"/>
      <w:r>
        <w:t>spike</w:t>
      </w:r>
      <w:proofErr w:type="gramEnd"/>
      <w:r>
        <w:t xml:space="preserve"> duplicate or laboratory duplicate at a minimum frequency of 1 per 20 samples or 1 per batch of less than 20 samples for each matrix).  Results to be reported </w:t>
      </w:r>
      <w:proofErr w:type="gramStart"/>
      <w:r>
        <w:t>include:</w:t>
      </w:r>
      <w:proofErr w:type="gramEnd"/>
      <w:r>
        <w:t xml:space="preserve">  Analyte concentrations and Relative Percent Difference [RPD]; if </w:t>
      </w:r>
      <w:r>
        <w:rPr>
          <w:u w:val="single" w:color="000000"/>
        </w:rPr>
        <w:t>matrix</w:t>
      </w:r>
      <w:r>
        <w:t xml:space="preserve"> spike duplicate, also report %</w:t>
      </w:r>
      <w:r w:rsidR="00F52FCE">
        <w:t xml:space="preserve"> </w:t>
      </w:r>
      <w:r>
        <w:t>Recovery</w:t>
      </w:r>
      <w:r w:rsidR="00691916">
        <w:t>.</w:t>
      </w:r>
      <w:r>
        <w:t xml:space="preserve"> </w:t>
      </w:r>
    </w:p>
    <w:p w14:paraId="7758F58C" w14:textId="77777777" w:rsidR="00B56D50" w:rsidRDefault="001C3C42">
      <w:pPr>
        <w:spacing w:after="0" w:line="259" w:lineRule="auto"/>
        <w:ind w:left="487" w:right="0" w:firstLine="0"/>
      </w:pPr>
      <w:r>
        <w:t xml:space="preserve"> </w:t>
      </w:r>
    </w:p>
    <w:p w14:paraId="2CFA084F" w14:textId="2C3329B6" w:rsidR="004E1115" w:rsidRDefault="001C3C42" w:rsidP="00093377">
      <w:pPr>
        <w:numPr>
          <w:ilvl w:val="0"/>
          <w:numId w:val="8"/>
        </w:numPr>
        <w:ind w:left="1080" w:right="255"/>
      </w:pPr>
      <w:r>
        <w:t>Laboratory control sample (QC standard or lab-fortified blank: results and %</w:t>
      </w:r>
      <w:r w:rsidR="00E0789B">
        <w:t xml:space="preserve"> </w:t>
      </w:r>
      <w:r>
        <w:t>Recovery)</w:t>
      </w:r>
      <w:r w:rsidR="00691916">
        <w:t>.</w:t>
      </w:r>
    </w:p>
    <w:p w14:paraId="78FDD427" w14:textId="77777777" w:rsidR="004E1115" w:rsidRDefault="004E1115" w:rsidP="004E1115">
      <w:pPr>
        <w:pStyle w:val="ListParagraph"/>
      </w:pPr>
    </w:p>
    <w:p w14:paraId="41D3E4D0" w14:textId="19B84E4D" w:rsidR="004E1115" w:rsidRDefault="004E1115" w:rsidP="00093377">
      <w:pPr>
        <w:numPr>
          <w:ilvl w:val="0"/>
          <w:numId w:val="8"/>
        </w:numPr>
        <w:ind w:left="1080" w:right="255"/>
      </w:pPr>
      <w:r>
        <w:t>Sample preparation records (prep logs).</w:t>
      </w:r>
    </w:p>
    <w:p w14:paraId="4C6D02FC" w14:textId="77777777" w:rsidR="004E1115" w:rsidRDefault="004E1115" w:rsidP="004E1115">
      <w:pPr>
        <w:pStyle w:val="ListParagraph"/>
      </w:pPr>
    </w:p>
    <w:p w14:paraId="6917ADA2" w14:textId="1F65301B" w:rsidR="004E1115" w:rsidRDefault="004E1115" w:rsidP="00093377">
      <w:pPr>
        <w:numPr>
          <w:ilvl w:val="0"/>
          <w:numId w:val="8"/>
        </w:numPr>
        <w:ind w:left="1080" w:right="255"/>
      </w:pPr>
      <w:r>
        <w:t>Instrument run logs.</w:t>
      </w:r>
    </w:p>
    <w:p w14:paraId="2CF893DB" w14:textId="6CB62F52" w:rsidR="00B56D50" w:rsidRDefault="00B56D50">
      <w:pPr>
        <w:spacing w:after="1" w:line="259" w:lineRule="auto"/>
        <w:ind w:left="492" w:right="0" w:firstLine="0"/>
      </w:pPr>
    </w:p>
    <w:p w14:paraId="574D0715" w14:textId="77777777" w:rsidR="00B56D50" w:rsidRDefault="001C3C42" w:rsidP="00093377">
      <w:pPr>
        <w:numPr>
          <w:ilvl w:val="0"/>
          <w:numId w:val="8"/>
        </w:numPr>
        <w:spacing w:after="16"/>
        <w:ind w:left="1080" w:right="255"/>
      </w:pPr>
      <w:r>
        <w:rPr>
          <w:b/>
        </w:rPr>
        <w:t xml:space="preserve">Additional deliverables for ICP </w:t>
      </w:r>
      <w:r>
        <w:rPr>
          <w:b/>
          <w:u w:val="single" w:color="000000"/>
        </w:rPr>
        <w:t>and</w:t>
      </w:r>
      <w:r>
        <w:rPr>
          <w:b/>
        </w:rPr>
        <w:t xml:space="preserve"> ICP/MS analysis: </w:t>
      </w:r>
    </w:p>
    <w:p w14:paraId="28A3AFEF" w14:textId="7C5FD753" w:rsidR="00EB54CE" w:rsidRDefault="001C3C42" w:rsidP="00511279">
      <w:pPr>
        <w:ind w:left="1080" w:right="255" w:firstLine="0"/>
      </w:pPr>
      <w:proofErr w:type="gramStart"/>
      <w:r>
        <w:t xml:space="preserve">--- </w:t>
      </w:r>
      <w:r w:rsidR="00801511">
        <w:t xml:space="preserve"> </w:t>
      </w:r>
      <w:r>
        <w:t>Interference</w:t>
      </w:r>
      <w:proofErr w:type="gramEnd"/>
      <w:r>
        <w:t xml:space="preserve"> check sample (results and % </w:t>
      </w:r>
      <w:r w:rsidR="00D74746">
        <w:t>Recovery</w:t>
      </w:r>
      <w:r>
        <w:t>)</w:t>
      </w:r>
      <w:r w:rsidR="00EA5357">
        <w:t>.</w:t>
      </w:r>
    </w:p>
    <w:p w14:paraId="6407F9A8" w14:textId="56F504CD" w:rsidR="003808B1" w:rsidRDefault="001C3C42" w:rsidP="00511279">
      <w:pPr>
        <w:ind w:left="1080" w:right="255" w:firstLine="0"/>
      </w:pPr>
      <w:proofErr w:type="gramStart"/>
      <w:r>
        <w:t xml:space="preserve">--- </w:t>
      </w:r>
      <w:r w:rsidR="00801511">
        <w:t xml:space="preserve"> </w:t>
      </w:r>
      <w:r>
        <w:t>Serial</w:t>
      </w:r>
      <w:proofErr w:type="gramEnd"/>
      <w:r>
        <w:t xml:space="preserve"> dilution </w:t>
      </w:r>
      <w:r w:rsidR="00160EA5">
        <w:t xml:space="preserve">(Dilution Test) </w:t>
      </w:r>
      <w:r>
        <w:t>results (five-fold analysis) for methods requiring</w:t>
      </w:r>
      <w:r w:rsidR="00D51818">
        <w:t xml:space="preserve"> </w:t>
      </w:r>
      <w:r w:rsidR="003822BA">
        <w:t>(results and</w:t>
      </w:r>
    </w:p>
    <w:p w14:paraId="15C5EE62" w14:textId="2D3EF348" w:rsidR="00616B85" w:rsidRDefault="003822BA" w:rsidP="00511279">
      <w:pPr>
        <w:ind w:left="1080" w:right="259" w:firstLine="360"/>
      </w:pPr>
      <w:r>
        <w:t>% Difference)</w:t>
      </w:r>
      <w:r w:rsidR="00EA5357">
        <w:t>.</w:t>
      </w:r>
    </w:p>
    <w:p w14:paraId="747ED777" w14:textId="103F0104" w:rsidR="00B56D50" w:rsidRDefault="00616B85" w:rsidP="00B11785">
      <w:pPr>
        <w:ind w:left="1440" w:right="255" w:hanging="360"/>
      </w:pPr>
      <w:proofErr w:type="gramStart"/>
      <w:r>
        <w:t xml:space="preserve">--- </w:t>
      </w:r>
      <w:r w:rsidR="00801511">
        <w:t xml:space="preserve"> </w:t>
      </w:r>
      <w:r>
        <w:t>Post</w:t>
      </w:r>
      <w:proofErr w:type="gramEnd"/>
      <w:r>
        <w:t>-Digestion Spike (Spike Recovery Test) results</w:t>
      </w:r>
      <w:r w:rsidR="00230164">
        <w:t xml:space="preserve"> for methods requiring</w:t>
      </w:r>
      <w:r w:rsidR="00A15512">
        <w:t xml:space="preserve">.  Results to be reported </w:t>
      </w:r>
      <w:proofErr w:type="gramStart"/>
      <w:r w:rsidR="00A15512">
        <w:t>include:</w:t>
      </w:r>
      <w:proofErr w:type="gramEnd"/>
      <w:r w:rsidR="00A15512">
        <w:t xml:space="preserve">  </w:t>
      </w:r>
      <w:r w:rsidR="00E258CA" w:rsidRPr="00E258CA">
        <w:t>sample number of sample spiked, sample concentration for analyte, concentration of spike added, results and % Recovery</w:t>
      </w:r>
      <w:r w:rsidR="00EA5357">
        <w:t>.</w:t>
      </w:r>
    </w:p>
    <w:p w14:paraId="411CF8FA" w14:textId="43D63206" w:rsidR="00B56D50" w:rsidRDefault="001C3C42" w:rsidP="00511279">
      <w:pPr>
        <w:ind w:left="1080" w:right="255"/>
      </w:pPr>
      <w:proofErr w:type="gramStart"/>
      <w:r>
        <w:t>---</w:t>
      </w:r>
      <w:r w:rsidR="00801511">
        <w:t xml:space="preserve"> </w:t>
      </w:r>
      <w:r>
        <w:t xml:space="preserve"> ICP</w:t>
      </w:r>
      <w:proofErr w:type="gramEnd"/>
      <w:r>
        <w:t xml:space="preserve"> Linear Range</w:t>
      </w:r>
      <w:r w:rsidR="00EA5357">
        <w:t>.</w:t>
      </w:r>
      <w:r>
        <w:t xml:space="preserve"> </w:t>
      </w:r>
    </w:p>
    <w:p w14:paraId="0F885555" w14:textId="11F2E58D" w:rsidR="00B56D50" w:rsidRDefault="001C3C42" w:rsidP="00B11785">
      <w:pPr>
        <w:ind w:left="1080" w:right="255"/>
      </w:pPr>
      <w:proofErr w:type="gramStart"/>
      <w:r>
        <w:lastRenderedPageBreak/>
        <w:t xml:space="preserve">--- </w:t>
      </w:r>
      <w:r w:rsidR="00801511">
        <w:t xml:space="preserve"> </w:t>
      </w:r>
      <w:r>
        <w:t>Interelement</w:t>
      </w:r>
      <w:proofErr w:type="gramEnd"/>
      <w:r>
        <w:t xml:space="preserve"> correction factors</w:t>
      </w:r>
      <w:r w:rsidR="00EA5357">
        <w:t>.</w:t>
      </w:r>
    </w:p>
    <w:p w14:paraId="7C3E4E6E" w14:textId="77777777" w:rsidR="00B56D50" w:rsidRDefault="001C3C42">
      <w:pPr>
        <w:spacing w:after="0" w:line="259" w:lineRule="auto"/>
        <w:ind w:left="847" w:right="0" w:firstLine="0"/>
      </w:pPr>
      <w:r>
        <w:t xml:space="preserve"> </w:t>
      </w:r>
    </w:p>
    <w:p w14:paraId="6E98D15C" w14:textId="77777777" w:rsidR="00B56D50" w:rsidRDefault="001C3C42" w:rsidP="00093377">
      <w:pPr>
        <w:numPr>
          <w:ilvl w:val="0"/>
          <w:numId w:val="9"/>
        </w:numPr>
        <w:spacing w:after="0"/>
        <w:ind w:left="1080" w:right="255" w:hanging="360"/>
      </w:pPr>
      <w:r>
        <w:rPr>
          <w:b/>
        </w:rPr>
        <w:t xml:space="preserve">Additional deliverables for ICP/MS analysis: </w:t>
      </w:r>
    </w:p>
    <w:p w14:paraId="77A4A2FD" w14:textId="58124536" w:rsidR="00B56D50" w:rsidRDefault="001C3C42" w:rsidP="00B11785">
      <w:pPr>
        <w:ind w:left="1080" w:right="255"/>
      </w:pPr>
      <w:proofErr w:type="gramStart"/>
      <w:r>
        <w:t>---</w:t>
      </w:r>
      <w:r w:rsidR="00801511">
        <w:t xml:space="preserve">  </w:t>
      </w:r>
      <w:r>
        <w:t>ICP</w:t>
      </w:r>
      <w:proofErr w:type="gramEnd"/>
      <w:r>
        <w:t>/MS Tuning criteria and results</w:t>
      </w:r>
      <w:r w:rsidR="006A6DBA">
        <w:t>.</w:t>
      </w:r>
      <w:r>
        <w:t xml:space="preserve"> </w:t>
      </w:r>
    </w:p>
    <w:p w14:paraId="020DCBC2" w14:textId="13B3C1CC" w:rsidR="00B56D50" w:rsidRDefault="001C3C42" w:rsidP="00B11785">
      <w:pPr>
        <w:ind w:left="1440" w:right="255" w:hanging="360"/>
      </w:pPr>
      <w:proofErr w:type="gramStart"/>
      <w:r>
        <w:t>---</w:t>
      </w:r>
      <w:r w:rsidR="00801511">
        <w:t xml:space="preserve">  </w:t>
      </w:r>
      <w:r>
        <w:t>ICP</w:t>
      </w:r>
      <w:proofErr w:type="gramEnd"/>
      <w:r>
        <w:t>/MS Internal standard intensities for samples, dilutions, calibration blanks, and check standards</w:t>
      </w:r>
      <w:r w:rsidR="006A6DBA">
        <w:t>.</w:t>
      </w:r>
    </w:p>
    <w:p w14:paraId="6F21015D" w14:textId="61CA8996" w:rsidR="00B56D50" w:rsidRDefault="001C3C42" w:rsidP="00EB54CE">
      <w:pPr>
        <w:ind w:right="255"/>
      </w:pPr>
      <w:r>
        <w:t xml:space="preserve"> </w:t>
      </w:r>
    </w:p>
    <w:p w14:paraId="494FF0DB" w14:textId="5E567313" w:rsidR="0073720A" w:rsidRDefault="001C3C42" w:rsidP="00093377">
      <w:pPr>
        <w:pStyle w:val="ListParagraph"/>
        <w:numPr>
          <w:ilvl w:val="0"/>
          <w:numId w:val="63"/>
        </w:numPr>
        <w:spacing w:after="0" w:line="259" w:lineRule="auto"/>
        <w:ind w:left="1080" w:right="259"/>
      </w:pPr>
      <w:r w:rsidRPr="0073720A">
        <w:rPr>
          <w:b/>
        </w:rPr>
        <w:t xml:space="preserve">Additional </w:t>
      </w:r>
      <w:proofErr w:type="gramStart"/>
      <w:r w:rsidRPr="0073720A">
        <w:rPr>
          <w:b/>
        </w:rPr>
        <w:t>deliverables</w:t>
      </w:r>
      <w:proofErr w:type="gramEnd"/>
      <w:r w:rsidRPr="0073720A">
        <w:rPr>
          <w:b/>
        </w:rPr>
        <w:t xml:space="preserve"> for AA Method of Standard Addition (MSA)</w:t>
      </w:r>
      <w:r>
        <w:t xml:space="preserve"> (if used):</w:t>
      </w:r>
    </w:p>
    <w:p w14:paraId="4C6DADA9" w14:textId="4F80ECE6" w:rsidR="00B56D50" w:rsidRDefault="001C3C42" w:rsidP="00B11785">
      <w:pPr>
        <w:pStyle w:val="ListParagraph"/>
        <w:spacing w:after="0" w:line="259" w:lineRule="auto"/>
        <w:ind w:left="1440" w:right="0" w:hanging="360"/>
      </w:pPr>
      <w:proofErr w:type="gramStart"/>
      <w:r>
        <w:t>---</w:t>
      </w:r>
      <w:r w:rsidR="00801511">
        <w:t xml:space="preserve">  </w:t>
      </w:r>
      <w:r>
        <w:t>Data</w:t>
      </w:r>
      <w:proofErr w:type="gramEnd"/>
      <w:r>
        <w:t xml:space="preserve"> and results for MSA, including concentrations of standard added</w:t>
      </w:r>
      <w:r w:rsidR="006A6DBA">
        <w:t>.</w:t>
      </w:r>
      <w:r>
        <w:t xml:space="preserve"> </w:t>
      </w:r>
    </w:p>
    <w:p w14:paraId="280F7E38" w14:textId="77777777" w:rsidR="009147D7" w:rsidRDefault="009147D7" w:rsidP="00986A74">
      <w:pPr>
        <w:ind w:right="255"/>
      </w:pPr>
    </w:p>
    <w:p w14:paraId="26AC0BDB" w14:textId="4C5FE4C9" w:rsidR="00B56D50" w:rsidRPr="003C29DC" w:rsidRDefault="00857819" w:rsidP="004B5B66">
      <w:pPr>
        <w:spacing w:after="0" w:line="259" w:lineRule="auto"/>
        <w:ind w:left="1440" w:right="-144" w:hanging="720"/>
        <w:rPr>
          <w:b/>
          <w:bCs/>
        </w:rPr>
      </w:pPr>
      <w:r w:rsidRPr="003C29DC">
        <w:rPr>
          <w:b/>
          <w:bCs/>
        </w:rPr>
        <w:t>N</w:t>
      </w:r>
      <w:r w:rsidR="004B5B66">
        <w:rPr>
          <w:b/>
          <w:bCs/>
        </w:rPr>
        <w:t>ote</w:t>
      </w:r>
      <w:r w:rsidRPr="003C29DC">
        <w:rPr>
          <w:b/>
          <w:bCs/>
        </w:rPr>
        <w:t>:</w:t>
      </w:r>
      <w:r w:rsidR="004B5B66">
        <w:rPr>
          <w:b/>
          <w:bCs/>
        </w:rPr>
        <w:tab/>
      </w:r>
      <w:r w:rsidRPr="003C29DC">
        <w:rPr>
          <w:b/>
          <w:bCs/>
        </w:rPr>
        <w:t xml:space="preserve">Raw data will </w:t>
      </w:r>
      <w:r w:rsidR="00CD64B8" w:rsidRPr="003C29DC">
        <w:rPr>
          <w:b/>
          <w:bCs/>
        </w:rPr>
        <w:t>only be</w:t>
      </w:r>
      <w:r w:rsidRPr="003C29DC">
        <w:rPr>
          <w:b/>
          <w:bCs/>
        </w:rPr>
        <w:t xml:space="preserve"> </w:t>
      </w:r>
      <w:r w:rsidR="004122C3" w:rsidRPr="003C29DC">
        <w:rPr>
          <w:b/>
          <w:bCs/>
        </w:rPr>
        <w:t>submitted</w:t>
      </w:r>
      <w:r w:rsidRPr="003C29DC">
        <w:rPr>
          <w:b/>
          <w:bCs/>
        </w:rPr>
        <w:t xml:space="preserve"> </w:t>
      </w:r>
      <w:r w:rsidR="009649AF" w:rsidRPr="003C29DC">
        <w:rPr>
          <w:b/>
          <w:bCs/>
        </w:rPr>
        <w:t>upon request of</w:t>
      </w:r>
      <w:r w:rsidR="00D3224E" w:rsidRPr="003C29DC">
        <w:rPr>
          <w:b/>
          <w:bCs/>
        </w:rPr>
        <w:t xml:space="preserve"> </w:t>
      </w:r>
      <w:r w:rsidRPr="003C29DC">
        <w:rPr>
          <w:b/>
          <w:bCs/>
        </w:rPr>
        <w:t xml:space="preserve">full QA/QC </w:t>
      </w:r>
      <w:r w:rsidR="004122C3" w:rsidRPr="003C29DC">
        <w:rPr>
          <w:b/>
          <w:bCs/>
        </w:rPr>
        <w:t xml:space="preserve">for enforcement level </w:t>
      </w:r>
      <w:r w:rsidR="003C29DC">
        <w:rPr>
          <w:b/>
          <w:bCs/>
        </w:rPr>
        <w:t>p</w:t>
      </w:r>
      <w:r w:rsidR="004122C3" w:rsidRPr="003C29DC">
        <w:rPr>
          <w:b/>
          <w:bCs/>
        </w:rPr>
        <w:t>ackages.</w:t>
      </w:r>
    </w:p>
    <w:p w14:paraId="27C2ADAD" w14:textId="77777777" w:rsidR="004122C3" w:rsidRDefault="004122C3" w:rsidP="00816A48">
      <w:pPr>
        <w:spacing w:after="0" w:line="259" w:lineRule="auto"/>
        <w:ind w:left="847" w:right="0" w:firstLine="0"/>
      </w:pPr>
    </w:p>
    <w:p w14:paraId="314F93C5" w14:textId="6C677E21" w:rsidR="00B56D50" w:rsidRDefault="001C3C42" w:rsidP="00093377">
      <w:pPr>
        <w:numPr>
          <w:ilvl w:val="0"/>
          <w:numId w:val="9"/>
        </w:numPr>
        <w:ind w:left="1080" w:right="255" w:hanging="360"/>
      </w:pPr>
      <w:r>
        <w:rPr>
          <w:b/>
        </w:rPr>
        <w:t>Raw data</w:t>
      </w:r>
      <w:proofErr w:type="gramStart"/>
      <w:r>
        <w:t>:</w:t>
      </w:r>
      <w:r w:rsidR="00801511">
        <w:t xml:space="preserve"> </w:t>
      </w:r>
      <w:r>
        <w:t xml:space="preserve"> To</w:t>
      </w:r>
      <w:proofErr w:type="gramEnd"/>
      <w:r>
        <w:t xml:space="preserve"> include instrument numerical printouts, instrument peak printouts (all AA and general inorganic, where applicable), lab worksheets, strip chart recordings, record of dilutions, and instrumental print outs (or manual worksheets) for initial and continuing calibration runs. </w:t>
      </w:r>
    </w:p>
    <w:p w14:paraId="54E4C3C8" w14:textId="77777777" w:rsidR="00B56D50" w:rsidRDefault="001C3C42">
      <w:pPr>
        <w:spacing w:after="0" w:line="259" w:lineRule="auto"/>
        <w:ind w:left="487" w:right="0" w:firstLine="0"/>
      </w:pPr>
      <w:r>
        <w:t xml:space="preserve"> </w:t>
      </w:r>
    </w:p>
    <w:p w14:paraId="6737B9FA" w14:textId="77777777" w:rsidR="00B56D50" w:rsidRDefault="001C3C42">
      <w:pPr>
        <w:spacing w:after="0" w:line="259" w:lineRule="auto"/>
        <w:ind w:left="487" w:right="0" w:firstLine="0"/>
      </w:pPr>
      <w:r>
        <w:t xml:space="preserve"> </w:t>
      </w:r>
    </w:p>
    <w:p w14:paraId="5FE6A25B" w14:textId="77777777" w:rsidR="00B56D50" w:rsidRDefault="001C3C42">
      <w:pPr>
        <w:spacing w:after="0" w:line="259" w:lineRule="auto"/>
        <w:ind w:left="487" w:right="0" w:firstLine="0"/>
      </w:pPr>
      <w:r>
        <w:t xml:space="preserve"> </w:t>
      </w:r>
    </w:p>
    <w:p w14:paraId="2DEF6489" w14:textId="77777777" w:rsidR="00B56D50" w:rsidRDefault="001C3C42">
      <w:pPr>
        <w:spacing w:after="0" w:line="259" w:lineRule="auto"/>
        <w:ind w:left="487" w:right="0" w:firstLine="0"/>
      </w:pPr>
      <w:r>
        <w:t xml:space="preserve"> </w:t>
      </w:r>
    </w:p>
    <w:p w14:paraId="53F0AFB0" w14:textId="77777777" w:rsidR="00B56D50" w:rsidRDefault="001C3C42">
      <w:pPr>
        <w:spacing w:after="0" w:line="259" w:lineRule="auto"/>
        <w:ind w:left="487" w:right="0" w:firstLine="0"/>
      </w:pPr>
      <w:r>
        <w:t xml:space="preserve"> </w:t>
      </w:r>
    </w:p>
    <w:p w14:paraId="7790A2FE" w14:textId="77777777" w:rsidR="00B56D50" w:rsidRDefault="001C3C42">
      <w:pPr>
        <w:spacing w:after="2" w:line="259" w:lineRule="auto"/>
        <w:ind w:right="598"/>
        <w:jc w:val="right"/>
      </w:pPr>
      <w:r>
        <w:rPr>
          <w:b/>
        </w:rPr>
        <w:t xml:space="preserve">THE REMAINDER OF THIS PAGE HAS BEEN LEFT BLANK INTENTIONALLY </w:t>
      </w:r>
    </w:p>
    <w:p w14:paraId="640E921C" w14:textId="77777777" w:rsidR="00B56D50" w:rsidRDefault="00B56D50"/>
    <w:p w14:paraId="572D6B48" w14:textId="77777777" w:rsidR="005A6275" w:rsidRDefault="005A6275"/>
    <w:p w14:paraId="6B6093E5" w14:textId="77777777" w:rsidR="005A6275" w:rsidRDefault="005A6275"/>
    <w:p w14:paraId="45B05A46" w14:textId="77777777" w:rsidR="005A6275" w:rsidRDefault="005A6275"/>
    <w:p w14:paraId="7A1C6575" w14:textId="77777777" w:rsidR="005A6275" w:rsidRDefault="005A6275"/>
    <w:p w14:paraId="2FF25F00" w14:textId="77777777" w:rsidR="005A6275" w:rsidRDefault="005A6275"/>
    <w:p w14:paraId="4D2459C9" w14:textId="77777777" w:rsidR="005A6275" w:rsidRDefault="005A6275"/>
    <w:p w14:paraId="338B8975" w14:textId="77777777" w:rsidR="005A6275" w:rsidRDefault="005A6275"/>
    <w:p w14:paraId="2B159022" w14:textId="77777777" w:rsidR="005A6275" w:rsidRDefault="005A6275"/>
    <w:p w14:paraId="491F4AD8" w14:textId="77777777" w:rsidR="005A6275" w:rsidRDefault="005A6275"/>
    <w:p w14:paraId="7C187534" w14:textId="77777777" w:rsidR="005A6275" w:rsidRDefault="005A6275"/>
    <w:p w14:paraId="4F2A13EA" w14:textId="77777777" w:rsidR="005A6275" w:rsidRDefault="005A6275"/>
    <w:p w14:paraId="7F584CDE" w14:textId="77777777" w:rsidR="005A6275" w:rsidRDefault="005A6275"/>
    <w:p w14:paraId="447F7AFF" w14:textId="77777777" w:rsidR="005A6275" w:rsidRDefault="005A6275"/>
    <w:p w14:paraId="7ADEA361" w14:textId="77777777" w:rsidR="005A6275" w:rsidRDefault="005A6275"/>
    <w:p w14:paraId="0703A007" w14:textId="77777777" w:rsidR="005A6275" w:rsidRDefault="005A6275"/>
    <w:p w14:paraId="7A044402" w14:textId="77777777" w:rsidR="005A6275" w:rsidRDefault="005A6275"/>
    <w:p w14:paraId="196CEA1B" w14:textId="77777777" w:rsidR="005A6275" w:rsidRDefault="005A6275"/>
    <w:p w14:paraId="580973DA" w14:textId="77777777" w:rsidR="005A6275" w:rsidRDefault="005A6275"/>
    <w:p w14:paraId="1A02F051" w14:textId="77777777" w:rsidR="005A6275" w:rsidRDefault="005A6275"/>
    <w:p w14:paraId="1DBFC946" w14:textId="77777777" w:rsidR="00C67F0E" w:rsidRDefault="00C67F0E"/>
    <w:p w14:paraId="5286FF79" w14:textId="77777777" w:rsidR="00C67F0E" w:rsidRDefault="00C67F0E"/>
    <w:p w14:paraId="4562F01E" w14:textId="77777777" w:rsidR="00C67F0E" w:rsidRDefault="00C67F0E"/>
    <w:p w14:paraId="54E96769" w14:textId="77777777" w:rsidR="00EB2876" w:rsidRDefault="00EB2876"/>
    <w:p w14:paraId="611E3E53" w14:textId="77777777" w:rsidR="00EB2876" w:rsidRDefault="00EB2876"/>
    <w:p w14:paraId="232B9C0A" w14:textId="77777777" w:rsidR="00EB2876" w:rsidRDefault="00EB2876"/>
    <w:p w14:paraId="5A8FA8CC" w14:textId="77777777" w:rsidR="00EB2876" w:rsidRDefault="00EB2876"/>
    <w:p w14:paraId="1D562057" w14:textId="77777777" w:rsidR="00EB2876" w:rsidRDefault="00EB2876"/>
    <w:p w14:paraId="00863D83" w14:textId="77777777" w:rsidR="00EB2876" w:rsidRDefault="00EB2876"/>
    <w:p w14:paraId="0D0EE0B2" w14:textId="01F7F67E" w:rsidR="00B56D50" w:rsidRDefault="001C3C42" w:rsidP="009B734D">
      <w:pPr>
        <w:spacing w:after="0" w:line="259" w:lineRule="auto"/>
        <w:ind w:left="322" w:right="0" w:firstLine="0"/>
      </w:pPr>
      <w:r>
        <w:rPr>
          <w:b/>
        </w:rPr>
        <w:t xml:space="preserve"> </w:t>
      </w:r>
    </w:p>
    <w:p w14:paraId="0ECEB92D" w14:textId="745B6D51" w:rsidR="00B56D50" w:rsidRPr="00F96860" w:rsidRDefault="001C3C42" w:rsidP="009168FE">
      <w:pPr>
        <w:pStyle w:val="Heading3"/>
        <w:tabs>
          <w:tab w:val="center" w:pos="2517"/>
          <w:tab w:val="center" w:pos="5566"/>
        </w:tabs>
        <w:spacing w:after="0" w:line="259" w:lineRule="auto"/>
        <w:ind w:left="0" w:firstLine="0"/>
      </w:pPr>
      <w:r w:rsidRPr="00F96860">
        <w:lastRenderedPageBreak/>
        <w:t xml:space="preserve">B. </w:t>
      </w:r>
      <w:r w:rsidR="009168FE" w:rsidRPr="00F96860">
        <w:t xml:space="preserve"> </w:t>
      </w:r>
      <w:r w:rsidRPr="00F96860">
        <w:rPr>
          <w:u w:val="single" w:color="000000"/>
        </w:rPr>
        <w:t>ORGANIC ANALYSIS DELIVERABLES</w:t>
      </w:r>
      <w:proofErr w:type="gramStart"/>
      <w:r w:rsidRPr="00F96860">
        <w:rPr>
          <w:u w:val="single" w:color="000000"/>
        </w:rPr>
        <w:t xml:space="preserve">: </w:t>
      </w:r>
      <w:r w:rsidR="006352A8" w:rsidRPr="00F96860">
        <w:rPr>
          <w:u w:val="single" w:color="000000"/>
        </w:rPr>
        <w:t xml:space="preserve"> </w:t>
      </w:r>
      <w:r w:rsidRPr="00F96860">
        <w:rPr>
          <w:u w:val="single" w:color="000000"/>
        </w:rPr>
        <w:t>GC</w:t>
      </w:r>
      <w:proofErr w:type="gramEnd"/>
      <w:r w:rsidRPr="00F96860">
        <w:rPr>
          <w:u w:val="single" w:color="000000"/>
        </w:rPr>
        <w:t>/MS</w:t>
      </w:r>
    </w:p>
    <w:p w14:paraId="2BA2A2C7" w14:textId="77777777" w:rsidR="00B56D50" w:rsidRDefault="001C3C42">
      <w:pPr>
        <w:spacing w:after="0" w:line="259" w:lineRule="auto"/>
        <w:ind w:left="333" w:right="0" w:firstLine="0"/>
        <w:jc w:val="center"/>
      </w:pPr>
      <w:r>
        <w:rPr>
          <w:rFonts w:ascii="Arial" w:eastAsia="Arial" w:hAnsi="Arial" w:cs="Arial"/>
          <w:sz w:val="24"/>
        </w:rPr>
        <w:t xml:space="preserve"> </w:t>
      </w:r>
    </w:p>
    <w:p w14:paraId="194B854F" w14:textId="39325179" w:rsidR="00B56D50" w:rsidRPr="00EE148C" w:rsidRDefault="001C3C42" w:rsidP="00C8401C">
      <w:pPr>
        <w:pStyle w:val="Heading4"/>
        <w:spacing w:after="100" w:afterAutospacing="1" w:line="259" w:lineRule="auto"/>
      </w:pPr>
      <w:r w:rsidRPr="00EE148C">
        <w:rPr>
          <w:b w:val="0"/>
          <w:u w:val="single" w:color="000000"/>
        </w:rPr>
        <w:t>VOLATILE ORGANIC ANALYSIS (VOA) and SEMI</w:t>
      </w:r>
      <w:r w:rsidR="00B53E82" w:rsidRPr="00EE148C">
        <w:rPr>
          <w:b w:val="0"/>
          <w:u w:val="single" w:color="000000"/>
        </w:rPr>
        <w:t>-</w:t>
      </w:r>
      <w:r w:rsidRPr="00EE148C">
        <w:rPr>
          <w:b w:val="0"/>
          <w:u w:val="single" w:color="000000"/>
        </w:rPr>
        <w:t>VOLATILE ORGANIC ANALYSIS (</w:t>
      </w:r>
      <w:r w:rsidR="002F5AC1" w:rsidRPr="00EE148C">
        <w:rPr>
          <w:b w:val="0"/>
          <w:u w:val="single" w:color="000000"/>
        </w:rPr>
        <w:t>SVOA</w:t>
      </w:r>
      <w:r w:rsidR="002F5AC1" w:rsidRPr="00EE148C">
        <w:rPr>
          <w:b w:val="0"/>
          <w:u w:val="single"/>
        </w:rPr>
        <w:t>) B</w:t>
      </w:r>
      <w:r w:rsidR="002F5AC1" w:rsidRPr="00EE148C">
        <w:rPr>
          <w:b w:val="0"/>
          <w:u w:val="single" w:color="000000"/>
        </w:rPr>
        <w:t>Y</w:t>
      </w:r>
      <w:r w:rsidRPr="00EE148C">
        <w:rPr>
          <w:b w:val="0"/>
          <w:u w:val="single" w:color="000000"/>
        </w:rPr>
        <w:t xml:space="preserve"> GAS CHROMATOGRAPHY/MASS SPECTROMETRY (GC/MS)</w:t>
      </w:r>
      <w:r w:rsidRPr="00EE148C">
        <w:rPr>
          <w:b w:val="0"/>
        </w:rPr>
        <w:t xml:space="preserve"> </w:t>
      </w:r>
    </w:p>
    <w:p w14:paraId="0C7ABA62" w14:textId="407AC945" w:rsidR="00BC1D89" w:rsidRDefault="00C207ED" w:rsidP="0067747C">
      <w:pPr>
        <w:spacing w:after="0" w:line="259" w:lineRule="auto"/>
        <w:ind w:left="720" w:right="0" w:firstLine="0"/>
      </w:pPr>
      <w:r>
        <w:t xml:space="preserve">Note that </w:t>
      </w:r>
      <w:r w:rsidR="00E12105">
        <w:t>USEPA</w:t>
      </w:r>
      <w:r>
        <w:t xml:space="preserve"> Methods TO-15 and T</w:t>
      </w:r>
      <w:r w:rsidR="003C0FF4">
        <w:t>O-17 for the Indoor Air and Ambient Air protocol may use slightly different terminology for the following</w:t>
      </w:r>
      <w:r w:rsidR="002064CD">
        <w:t xml:space="preserve"> items.</w:t>
      </w:r>
      <w:r w:rsidR="00C232CC">
        <w:t xml:space="preserve"> However, the </w:t>
      </w:r>
      <w:r w:rsidR="001E42F8">
        <w:t>required deliverables are generally the same unless specifically noted.</w:t>
      </w:r>
    </w:p>
    <w:p w14:paraId="341256BA" w14:textId="77777777" w:rsidR="00C207ED" w:rsidRDefault="00C207ED">
      <w:pPr>
        <w:spacing w:after="0" w:line="259" w:lineRule="auto"/>
        <w:ind w:left="1095" w:right="0" w:firstLine="0"/>
      </w:pPr>
    </w:p>
    <w:p w14:paraId="747F6AC5" w14:textId="52469B18" w:rsidR="00B56D50" w:rsidRDefault="001C3C42" w:rsidP="00093377">
      <w:pPr>
        <w:numPr>
          <w:ilvl w:val="0"/>
          <w:numId w:val="10"/>
        </w:numPr>
        <w:ind w:left="1094" w:right="255" w:hanging="374"/>
      </w:pPr>
      <w:r w:rsidRPr="00892DE0">
        <w:rPr>
          <w:u w:val="single"/>
        </w:rPr>
        <w:t xml:space="preserve">Tuning </w:t>
      </w:r>
      <w:r w:rsidR="00F61A10">
        <w:rPr>
          <w:u w:val="single"/>
        </w:rPr>
        <w:t>C</w:t>
      </w:r>
      <w:r w:rsidR="00F61A10" w:rsidRPr="00892DE0">
        <w:rPr>
          <w:u w:val="single"/>
        </w:rPr>
        <w:t>riteria</w:t>
      </w:r>
      <w:r w:rsidR="00F61A10">
        <w:rPr>
          <w:u w:val="single"/>
        </w:rPr>
        <w:t>,</w:t>
      </w:r>
      <w:r w:rsidR="00F61A10" w:rsidRPr="00F61A10">
        <w:t xml:space="preserve"> </w:t>
      </w:r>
      <w:r>
        <w:t xml:space="preserve">and results for: </w:t>
      </w:r>
    </w:p>
    <w:p w14:paraId="572FF809" w14:textId="637CD336" w:rsidR="00B56D50" w:rsidRDefault="001C3C42">
      <w:pPr>
        <w:ind w:left="1076" w:right="255"/>
      </w:pPr>
      <w:proofErr w:type="gramStart"/>
      <w:r>
        <w:t>---</w:t>
      </w:r>
      <w:r w:rsidR="00801511">
        <w:t xml:space="preserve">  </w:t>
      </w:r>
      <w:r>
        <w:t>VOA</w:t>
      </w:r>
      <w:proofErr w:type="gramEnd"/>
      <w:r>
        <w:t>:</w:t>
      </w:r>
      <w:r w:rsidR="008D70F4">
        <w:tab/>
      </w:r>
      <w:proofErr w:type="spellStart"/>
      <w:r>
        <w:t>Bromofluorobenzene</w:t>
      </w:r>
      <w:proofErr w:type="spellEnd"/>
      <w:r>
        <w:t xml:space="preserve"> (</w:t>
      </w:r>
      <w:r w:rsidR="001B11ED">
        <w:t xml:space="preserve">BFB) </w:t>
      </w:r>
      <w:r>
        <w:t xml:space="preserve">or </w:t>
      </w:r>
    </w:p>
    <w:p w14:paraId="664B4902" w14:textId="4AF708D7" w:rsidR="00B56D50" w:rsidRDefault="001C3C42">
      <w:pPr>
        <w:ind w:left="1076" w:right="255"/>
      </w:pPr>
      <w:proofErr w:type="gramStart"/>
      <w:r>
        <w:t>---</w:t>
      </w:r>
      <w:r w:rsidR="00801511">
        <w:t xml:space="preserve">  </w:t>
      </w:r>
      <w:r>
        <w:t>SVOA</w:t>
      </w:r>
      <w:proofErr w:type="gramEnd"/>
      <w:r>
        <w:t>:</w:t>
      </w:r>
      <w:r w:rsidR="008D70F4">
        <w:tab/>
      </w:r>
      <w:proofErr w:type="spellStart"/>
      <w:r>
        <w:t>Decafluorotriphenylphosphine</w:t>
      </w:r>
      <w:proofErr w:type="spellEnd"/>
      <w:r>
        <w:t xml:space="preserve"> (DFTPP) </w:t>
      </w:r>
    </w:p>
    <w:p w14:paraId="713CC676" w14:textId="77777777" w:rsidR="00B56D50" w:rsidRDefault="001C3C42">
      <w:pPr>
        <w:spacing w:after="0" w:line="259" w:lineRule="auto"/>
        <w:ind w:left="1066" w:right="0" w:firstLine="0"/>
      </w:pPr>
      <w:r>
        <w:t xml:space="preserve"> </w:t>
      </w:r>
    </w:p>
    <w:p w14:paraId="43969CEB" w14:textId="3F2AFF4A" w:rsidR="00B56D50" w:rsidRDefault="001C3C42" w:rsidP="00093377">
      <w:pPr>
        <w:numPr>
          <w:ilvl w:val="0"/>
          <w:numId w:val="10"/>
        </w:numPr>
        <w:ind w:left="1094" w:right="255" w:hanging="374"/>
      </w:pPr>
      <w:r w:rsidRPr="00892DE0">
        <w:rPr>
          <w:u w:val="single"/>
        </w:rPr>
        <w:t xml:space="preserve">Initial </w:t>
      </w:r>
      <w:r w:rsidR="00F61A10">
        <w:rPr>
          <w:u w:val="single"/>
        </w:rPr>
        <w:t>C</w:t>
      </w:r>
      <w:r w:rsidRPr="00892DE0">
        <w:rPr>
          <w:u w:val="single"/>
        </w:rPr>
        <w:t>alibration</w:t>
      </w:r>
      <w:r w:rsidR="003B5E5B">
        <w:t>,</w:t>
      </w:r>
      <w:r>
        <w:t xml:space="preserve"> data and results: </w:t>
      </w:r>
    </w:p>
    <w:p w14:paraId="040ECD8C" w14:textId="758F9DFA" w:rsidR="00B56D50" w:rsidRDefault="001C3C42">
      <w:pPr>
        <w:ind w:left="1076" w:right="255"/>
      </w:pPr>
      <w:proofErr w:type="gramStart"/>
      <w:r>
        <w:t xml:space="preserve">--- </w:t>
      </w:r>
      <w:r w:rsidR="00801511">
        <w:t xml:space="preserve"> </w:t>
      </w:r>
      <w:r>
        <w:t>Calibration</w:t>
      </w:r>
      <w:proofErr w:type="gramEnd"/>
      <w:r>
        <w:t xml:space="preserve"> standards containing all target analytes run at five concentrations </w:t>
      </w:r>
    </w:p>
    <w:p w14:paraId="46F03619" w14:textId="3479BF2E" w:rsidR="00B56D50" w:rsidRDefault="001C3C42">
      <w:pPr>
        <w:ind w:left="1076" w:right="255"/>
      </w:pPr>
      <w:proofErr w:type="gramStart"/>
      <w:r>
        <w:t>---</w:t>
      </w:r>
      <w:r w:rsidR="00801511">
        <w:t xml:space="preserve"> </w:t>
      </w:r>
      <w:r>
        <w:t xml:space="preserve"> Retention</w:t>
      </w:r>
      <w:proofErr w:type="gramEnd"/>
      <w:r>
        <w:t xml:space="preserve"> time (RT) for each target compound in the calibration standards </w:t>
      </w:r>
    </w:p>
    <w:p w14:paraId="08582671" w14:textId="45BA8884" w:rsidR="00B56D50" w:rsidRDefault="001C3C42">
      <w:pPr>
        <w:ind w:left="1076" w:right="255"/>
      </w:pPr>
      <w:proofErr w:type="gramStart"/>
      <w:r>
        <w:t xml:space="preserve">--- </w:t>
      </w:r>
      <w:r w:rsidR="00801511">
        <w:t xml:space="preserve"> </w:t>
      </w:r>
      <w:r>
        <w:t>Response</w:t>
      </w:r>
      <w:proofErr w:type="gramEnd"/>
      <w:r>
        <w:t xml:space="preserve"> factors (RFs) for each target compound in the calibration standards </w:t>
      </w:r>
    </w:p>
    <w:p w14:paraId="38C769DC" w14:textId="5970A806" w:rsidR="00B56D50" w:rsidRDefault="001C3C42">
      <w:pPr>
        <w:ind w:left="1076" w:right="255"/>
      </w:pPr>
      <w:proofErr w:type="gramStart"/>
      <w:r>
        <w:t xml:space="preserve">--- </w:t>
      </w:r>
      <w:r w:rsidR="00801511">
        <w:t xml:space="preserve"> </w:t>
      </w:r>
      <w:r>
        <w:t>Average</w:t>
      </w:r>
      <w:proofErr w:type="gramEnd"/>
      <w:r>
        <w:t xml:space="preserve"> RF for each compound </w:t>
      </w:r>
    </w:p>
    <w:p w14:paraId="5534E839" w14:textId="32E44F5B" w:rsidR="00B56D50" w:rsidRDefault="001C3C42" w:rsidP="006101E8">
      <w:pPr>
        <w:ind w:left="1383" w:right="259" w:hanging="317"/>
      </w:pPr>
      <w:proofErr w:type="gramStart"/>
      <w:r>
        <w:t xml:space="preserve">--- </w:t>
      </w:r>
      <w:r w:rsidR="00801511">
        <w:t xml:space="preserve"> </w:t>
      </w:r>
      <w:r>
        <w:t>Percent</w:t>
      </w:r>
      <w:proofErr w:type="gramEnd"/>
      <w:r>
        <w:t xml:space="preserve"> relative standard deviation (</w:t>
      </w:r>
      <w:r w:rsidR="00C01675">
        <w:t>%</w:t>
      </w:r>
      <w:r>
        <w:t xml:space="preserve">RSD) for the RFs for the five concentrations of each calibration standard </w:t>
      </w:r>
    </w:p>
    <w:p w14:paraId="2FB90431" w14:textId="6B81A150" w:rsidR="00B56D50" w:rsidRDefault="001C3C42" w:rsidP="00A24A46">
      <w:pPr>
        <w:ind w:left="1076" w:right="255"/>
      </w:pPr>
      <w:proofErr w:type="gramStart"/>
      <w:r>
        <w:t xml:space="preserve">--- </w:t>
      </w:r>
      <w:r w:rsidR="00801511">
        <w:t xml:space="preserve"> </w:t>
      </w:r>
      <w:r>
        <w:t>Date</w:t>
      </w:r>
      <w:proofErr w:type="gramEnd"/>
      <w:r>
        <w:t xml:space="preserve"> and time of injection</w:t>
      </w:r>
    </w:p>
    <w:p w14:paraId="67E29E12" w14:textId="77777777" w:rsidR="00B56D50" w:rsidRDefault="001C3C42">
      <w:pPr>
        <w:spacing w:after="0" w:line="259" w:lineRule="auto"/>
        <w:ind w:left="1066" w:right="0" w:firstLine="0"/>
      </w:pPr>
      <w:r>
        <w:t xml:space="preserve"> </w:t>
      </w:r>
    </w:p>
    <w:p w14:paraId="7BD7034F" w14:textId="0A4C87FF" w:rsidR="00B56D50" w:rsidRDefault="001C3C42">
      <w:pPr>
        <w:ind w:left="1094" w:right="255" w:hanging="374"/>
      </w:pPr>
      <w:r>
        <w:t>•</w:t>
      </w:r>
      <w:r w:rsidR="00EB54CE">
        <w:tab/>
      </w:r>
      <w:r w:rsidRPr="00892DE0">
        <w:rPr>
          <w:u w:val="single"/>
        </w:rPr>
        <w:t>Initial and Continuing Calibration Verification</w:t>
      </w:r>
      <w:r w:rsidR="005112EB">
        <w:rPr>
          <w:u w:val="single"/>
        </w:rPr>
        <w:t>,</w:t>
      </w:r>
      <w:r>
        <w:t xml:space="preserve"> data and results (beginning of run and every twelve hours: </w:t>
      </w:r>
    </w:p>
    <w:p w14:paraId="02A6E7B0" w14:textId="744FB252" w:rsidR="00B56D50" w:rsidRDefault="001C3C42">
      <w:pPr>
        <w:ind w:left="1076" w:right="255"/>
      </w:pPr>
      <w:proofErr w:type="gramStart"/>
      <w:r>
        <w:t xml:space="preserve">--- </w:t>
      </w:r>
      <w:r w:rsidR="00801511">
        <w:t xml:space="preserve"> </w:t>
      </w:r>
      <w:r>
        <w:t>RF</w:t>
      </w:r>
      <w:proofErr w:type="gramEnd"/>
      <w:r>
        <w:t xml:space="preserve"> for each compound in the </w:t>
      </w:r>
      <w:r w:rsidR="001B11ED">
        <w:t>50-ppb</w:t>
      </w:r>
      <w:r>
        <w:t xml:space="preserve"> standard </w:t>
      </w:r>
    </w:p>
    <w:p w14:paraId="5812F353" w14:textId="4D250DEC" w:rsidR="00B56D50" w:rsidRDefault="001C3C42" w:rsidP="006101E8">
      <w:pPr>
        <w:ind w:left="1383" w:right="0" w:hanging="317"/>
      </w:pPr>
      <w:proofErr w:type="gramStart"/>
      <w:r>
        <w:t xml:space="preserve">--- </w:t>
      </w:r>
      <w:r w:rsidR="00801511">
        <w:t xml:space="preserve"> </w:t>
      </w:r>
      <w:r>
        <w:t>Percent</w:t>
      </w:r>
      <w:proofErr w:type="gramEnd"/>
      <w:r>
        <w:t xml:space="preserve"> Difference </w:t>
      </w:r>
      <w:r w:rsidR="005666B4">
        <w:t xml:space="preserve">(%D) </w:t>
      </w:r>
      <w:r>
        <w:t>for RF in 12-hour standard as compared to average RF from initial</w:t>
      </w:r>
      <w:r w:rsidR="00801511">
        <w:t xml:space="preserve">        </w:t>
      </w:r>
      <w:r>
        <w:t xml:space="preserve">calibration for each compound </w:t>
      </w:r>
    </w:p>
    <w:p w14:paraId="6A0D8D52" w14:textId="1FA568E4" w:rsidR="00B56D50" w:rsidRDefault="001C3C42">
      <w:pPr>
        <w:ind w:left="1076" w:right="255"/>
      </w:pPr>
      <w:proofErr w:type="gramStart"/>
      <w:r>
        <w:t xml:space="preserve">--- </w:t>
      </w:r>
      <w:r w:rsidR="00801511">
        <w:t xml:space="preserve"> </w:t>
      </w:r>
      <w:r>
        <w:t>Date</w:t>
      </w:r>
      <w:proofErr w:type="gramEnd"/>
      <w:r>
        <w:t xml:space="preserve"> and time of injection </w:t>
      </w:r>
    </w:p>
    <w:p w14:paraId="24F36F4A" w14:textId="77777777" w:rsidR="00B56D50" w:rsidRDefault="001C3C42">
      <w:pPr>
        <w:spacing w:after="0" w:line="259" w:lineRule="auto"/>
        <w:ind w:left="1066" w:right="0" w:firstLine="0"/>
      </w:pPr>
      <w:r>
        <w:t xml:space="preserve"> </w:t>
      </w:r>
    </w:p>
    <w:p w14:paraId="2A011DF6" w14:textId="77777777" w:rsidR="00B56D50" w:rsidRDefault="001C3C42" w:rsidP="00093377">
      <w:pPr>
        <w:numPr>
          <w:ilvl w:val="0"/>
          <w:numId w:val="11"/>
        </w:numPr>
        <w:ind w:right="255" w:hanging="360"/>
      </w:pPr>
      <w:r>
        <w:t xml:space="preserve">Method blank summary sheet with results, including detections </w:t>
      </w:r>
    </w:p>
    <w:p w14:paraId="07E72310" w14:textId="77777777" w:rsidR="00B56D50" w:rsidRDefault="001C3C42">
      <w:pPr>
        <w:spacing w:after="0" w:line="259" w:lineRule="auto"/>
        <w:ind w:left="617" w:right="0" w:firstLine="0"/>
      </w:pPr>
      <w:r>
        <w:t xml:space="preserve"> </w:t>
      </w:r>
    </w:p>
    <w:p w14:paraId="0C9405C3" w14:textId="77777777" w:rsidR="00B56D50" w:rsidRDefault="001C3C42" w:rsidP="00093377">
      <w:pPr>
        <w:numPr>
          <w:ilvl w:val="0"/>
          <w:numId w:val="11"/>
        </w:numPr>
        <w:ind w:right="255" w:hanging="360"/>
      </w:pPr>
      <w:r>
        <w:t xml:space="preserve">Internal standards summary documented by: </w:t>
      </w:r>
    </w:p>
    <w:p w14:paraId="25ADCA6E" w14:textId="76B597D5" w:rsidR="00B56D50" w:rsidRDefault="001C3C42">
      <w:pPr>
        <w:ind w:left="1076" w:right="255"/>
      </w:pPr>
      <w:proofErr w:type="gramStart"/>
      <w:r>
        <w:t>---</w:t>
      </w:r>
      <w:r w:rsidR="00404256">
        <w:t xml:space="preserve">  </w:t>
      </w:r>
      <w:r>
        <w:t>area</w:t>
      </w:r>
      <w:proofErr w:type="gramEnd"/>
      <w:r>
        <w:t xml:space="preserve"> of primary peak and respective RT for each standard from the 12-hour standard  </w:t>
      </w:r>
    </w:p>
    <w:p w14:paraId="52DEA3D6" w14:textId="7AE1CB06" w:rsidR="00AC2A38" w:rsidRDefault="001C3C42">
      <w:pPr>
        <w:ind w:left="1076" w:right="1415"/>
      </w:pPr>
      <w:proofErr w:type="gramStart"/>
      <w:r>
        <w:t>---</w:t>
      </w:r>
      <w:r w:rsidR="00404256">
        <w:t xml:space="preserve">  </w:t>
      </w:r>
      <w:r>
        <w:t>area</w:t>
      </w:r>
      <w:proofErr w:type="gramEnd"/>
      <w:r>
        <w:t xml:space="preserve"> of primary peak and respective RT for each standard from each sample</w:t>
      </w:r>
    </w:p>
    <w:p w14:paraId="173BA778" w14:textId="358E0489" w:rsidR="00B56D50" w:rsidRDefault="001C3C42">
      <w:pPr>
        <w:ind w:left="1076" w:right="1415"/>
      </w:pPr>
      <w:proofErr w:type="gramStart"/>
      <w:r>
        <w:t>---</w:t>
      </w:r>
      <w:r w:rsidR="00404256">
        <w:t xml:space="preserve">  </w:t>
      </w:r>
      <w:r>
        <w:t>upper</w:t>
      </w:r>
      <w:proofErr w:type="gramEnd"/>
      <w:r>
        <w:t xml:space="preserve"> and lower acceptance limits clearly defined </w:t>
      </w:r>
    </w:p>
    <w:p w14:paraId="66946156" w14:textId="77777777" w:rsidR="00B56D50" w:rsidRDefault="001C3C42">
      <w:pPr>
        <w:spacing w:after="0" w:line="259" w:lineRule="auto"/>
        <w:ind w:left="1066" w:right="0" w:firstLine="0"/>
      </w:pPr>
      <w:r>
        <w:t xml:space="preserve"> </w:t>
      </w:r>
    </w:p>
    <w:p w14:paraId="6664CE3C" w14:textId="336C2F65" w:rsidR="00F75161" w:rsidRPr="00F75161" w:rsidRDefault="00F75161" w:rsidP="006B65A5">
      <w:pPr>
        <w:spacing w:after="0" w:line="259" w:lineRule="auto"/>
        <w:ind w:left="1440" w:right="0" w:hanging="720"/>
      </w:pPr>
      <w:r>
        <w:rPr>
          <w:b/>
          <w:bCs/>
        </w:rPr>
        <w:t>N</w:t>
      </w:r>
      <w:r w:rsidR="006B65A5">
        <w:rPr>
          <w:b/>
          <w:bCs/>
        </w:rPr>
        <w:t>ote</w:t>
      </w:r>
      <w:r>
        <w:t>:</w:t>
      </w:r>
      <w:r w:rsidR="006B65A5">
        <w:tab/>
      </w:r>
      <w:r>
        <w:t xml:space="preserve">The following </w:t>
      </w:r>
      <w:proofErr w:type="gramStart"/>
      <w:r>
        <w:t>deliverables</w:t>
      </w:r>
      <w:proofErr w:type="gramEnd"/>
      <w:r>
        <w:t xml:space="preserve"> items (surrogates, </w:t>
      </w:r>
      <w:r w:rsidR="005024BA">
        <w:t>MS/MSD, laboratory control sample) are generally NOT required for the Indoor Air and Ambient Air protocol.</w:t>
      </w:r>
    </w:p>
    <w:p w14:paraId="3789E63A" w14:textId="77777777" w:rsidR="00F75161" w:rsidRDefault="00F75161">
      <w:pPr>
        <w:spacing w:after="0" w:line="259" w:lineRule="auto"/>
        <w:ind w:left="1066" w:right="0" w:firstLine="0"/>
      </w:pPr>
    </w:p>
    <w:p w14:paraId="656709AA" w14:textId="77777777" w:rsidR="00B56D50" w:rsidRDefault="001C3C42" w:rsidP="00093377">
      <w:pPr>
        <w:numPr>
          <w:ilvl w:val="0"/>
          <w:numId w:val="11"/>
        </w:numPr>
        <w:ind w:right="255" w:hanging="360"/>
      </w:pPr>
      <w:r>
        <w:t xml:space="preserve">Surrogate (System Monitoring Compound) results (concentration of surrogate spikes added, measured concentrations, and % Recoveries of all surrogates) for each sample </w:t>
      </w:r>
    </w:p>
    <w:p w14:paraId="3CEAAE67" w14:textId="77777777" w:rsidR="00B56D50" w:rsidRDefault="001C3C42">
      <w:pPr>
        <w:spacing w:after="0" w:line="259" w:lineRule="auto"/>
        <w:ind w:left="720" w:right="0" w:firstLine="0"/>
      </w:pPr>
      <w:r>
        <w:t xml:space="preserve"> </w:t>
      </w:r>
    </w:p>
    <w:p w14:paraId="123171A0" w14:textId="1118C3C3" w:rsidR="00B56D50" w:rsidRDefault="001C3C42" w:rsidP="00093377">
      <w:pPr>
        <w:numPr>
          <w:ilvl w:val="0"/>
          <w:numId w:val="11"/>
        </w:numPr>
        <w:ind w:right="255" w:hanging="360"/>
      </w:pPr>
      <w:r>
        <w:t>Matrix Spike/Matrix Spike Duplicate (MS/MSD) results (at a minimum frequency of 1 per 20 samples or 1 per batch of less than 20 samples for each matrix)</w:t>
      </w:r>
      <w:r w:rsidR="00BF0918">
        <w:t>.</w:t>
      </w:r>
      <w:r>
        <w:t xml:space="preserve"> </w:t>
      </w:r>
      <w:r w:rsidR="00C47BC7">
        <w:t xml:space="preserve"> Results</w:t>
      </w:r>
      <w:r>
        <w:t xml:space="preserve"> to be reported </w:t>
      </w:r>
      <w:proofErr w:type="gramStart"/>
      <w:r>
        <w:t>include:</w:t>
      </w:r>
      <w:proofErr w:type="gramEnd"/>
      <w:r>
        <w:t xml:space="preserve">  Sample concentration for analyte, concentration of spike added, results, % Recovery for each compound, and Relative Percent Difference between MS and MSD for each compound. </w:t>
      </w:r>
    </w:p>
    <w:p w14:paraId="0DE0B030" w14:textId="77777777" w:rsidR="00B56D50" w:rsidRDefault="001C3C42">
      <w:pPr>
        <w:spacing w:after="0" w:line="259" w:lineRule="auto"/>
        <w:ind w:left="346" w:right="0" w:firstLine="0"/>
      </w:pPr>
      <w:r>
        <w:t xml:space="preserve"> </w:t>
      </w:r>
    </w:p>
    <w:p w14:paraId="7FD3E997" w14:textId="65B6B5CD" w:rsidR="00B56D50" w:rsidRDefault="001C3C42" w:rsidP="00BF0484">
      <w:pPr>
        <w:ind w:left="1080" w:right="255" w:hanging="14"/>
      </w:pPr>
      <w:r>
        <w:rPr>
          <w:i/>
        </w:rPr>
        <w:t>OR</w:t>
      </w:r>
      <w:r>
        <w:t xml:space="preserve"> For medium to high concentration soil and waste samples, laboratory duplicates may be substituted for the MSD</w:t>
      </w:r>
      <w:r w:rsidR="00F30010">
        <w:t>.</w:t>
      </w:r>
      <w:r w:rsidR="00BA00A9">
        <w:t xml:space="preserve"> </w:t>
      </w:r>
      <w:r>
        <w:t xml:space="preserve"> </w:t>
      </w:r>
      <w:r>
        <w:rPr>
          <w:b/>
        </w:rPr>
        <w:t>Note</w:t>
      </w:r>
      <w:proofErr w:type="gramStart"/>
      <w:r>
        <w:rPr>
          <w:b/>
        </w:rPr>
        <w:t xml:space="preserve">:  </w:t>
      </w:r>
      <w:r w:rsidR="009705C0">
        <w:rPr>
          <w:b/>
        </w:rPr>
        <w:t>See</w:t>
      </w:r>
      <w:proofErr w:type="gramEnd"/>
      <w:r w:rsidR="009705C0">
        <w:rPr>
          <w:b/>
        </w:rPr>
        <w:t xml:space="preserve"> specifications listed in Section XII</w:t>
      </w:r>
      <w:r>
        <w:rPr>
          <w:b/>
        </w:rPr>
        <w:t>.</w:t>
      </w:r>
      <w:r>
        <w:t xml:space="preserve"> </w:t>
      </w:r>
    </w:p>
    <w:p w14:paraId="7FB542FB" w14:textId="77777777" w:rsidR="00B56D50" w:rsidRDefault="001C3C42">
      <w:pPr>
        <w:spacing w:after="0" w:line="259" w:lineRule="auto"/>
        <w:ind w:left="346" w:right="0" w:firstLine="0"/>
      </w:pPr>
      <w:r>
        <w:t xml:space="preserve"> </w:t>
      </w:r>
    </w:p>
    <w:p w14:paraId="67D7A492" w14:textId="77777777" w:rsidR="00B56D50" w:rsidRDefault="001C3C42" w:rsidP="00093377">
      <w:pPr>
        <w:numPr>
          <w:ilvl w:val="0"/>
          <w:numId w:val="11"/>
        </w:numPr>
        <w:ind w:right="255" w:hanging="360"/>
      </w:pPr>
      <w:r>
        <w:t xml:space="preserve">Laboratory control sample (QC Standard or lab-fortified blank: results and % Recovery including  </w:t>
      </w:r>
    </w:p>
    <w:p w14:paraId="436C7E90" w14:textId="77777777" w:rsidR="00E75C9A" w:rsidRDefault="001C3C42" w:rsidP="003B3E91">
      <w:pPr>
        <w:tabs>
          <w:tab w:val="center" w:pos="720"/>
          <w:tab w:val="center" w:pos="4285"/>
        </w:tabs>
        <w:ind w:left="0" w:right="0" w:firstLine="0"/>
      </w:pPr>
      <w:r>
        <w:rPr>
          <w:rFonts w:ascii="Calibri" w:eastAsia="Calibri" w:hAnsi="Calibri" w:cs="Calibri"/>
        </w:rPr>
        <w:lastRenderedPageBreak/>
        <w:tab/>
      </w:r>
      <w:r>
        <w:tab/>
        <w:t>In-house control criteria when outside the State required control criteria.)</w:t>
      </w:r>
    </w:p>
    <w:p w14:paraId="314824F1" w14:textId="77777777" w:rsidR="00E75C9A" w:rsidRDefault="00E75C9A" w:rsidP="003B3E91">
      <w:pPr>
        <w:tabs>
          <w:tab w:val="center" w:pos="720"/>
          <w:tab w:val="center" w:pos="4285"/>
        </w:tabs>
        <w:ind w:left="0" w:right="0" w:firstLine="0"/>
      </w:pPr>
    </w:p>
    <w:p w14:paraId="54589D80" w14:textId="4C8BDCEB" w:rsidR="003B3E91" w:rsidRDefault="00E75C9A" w:rsidP="00093377">
      <w:pPr>
        <w:pStyle w:val="ListParagraph"/>
        <w:numPr>
          <w:ilvl w:val="0"/>
          <w:numId w:val="68"/>
        </w:numPr>
        <w:tabs>
          <w:tab w:val="center" w:pos="720"/>
          <w:tab w:val="center" w:pos="4285"/>
        </w:tabs>
        <w:ind w:left="1080" w:right="259"/>
      </w:pPr>
      <w:r>
        <w:t>S</w:t>
      </w:r>
      <w:r w:rsidR="003B3E91" w:rsidRPr="003B3E91">
        <w:t>ample preparation records</w:t>
      </w:r>
      <w:r w:rsidR="004E1115">
        <w:t xml:space="preserve"> and cleanup records</w:t>
      </w:r>
      <w:r w:rsidR="003B3E91" w:rsidRPr="003B3E91">
        <w:t xml:space="preserve"> (prep logs)</w:t>
      </w:r>
      <w:r w:rsidR="005522CE">
        <w:t>.</w:t>
      </w:r>
    </w:p>
    <w:p w14:paraId="60D85C92" w14:textId="563389E0" w:rsidR="00E75C9A" w:rsidRDefault="00E75C9A" w:rsidP="00E75C9A">
      <w:pPr>
        <w:tabs>
          <w:tab w:val="center" w:pos="720"/>
          <w:tab w:val="center" w:pos="4285"/>
        </w:tabs>
        <w:ind w:right="259"/>
      </w:pPr>
    </w:p>
    <w:p w14:paraId="669F0C18" w14:textId="73A44AB1" w:rsidR="003B3E91" w:rsidRPr="003B3E91" w:rsidRDefault="00E75C9A" w:rsidP="00093377">
      <w:pPr>
        <w:pStyle w:val="ListParagraph"/>
        <w:numPr>
          <w:ilvl w:val="0"/>
          <w:numId w:val="68"/>
        </w:numPr>
        <w:tabs>
          <w:tab w:val="center" w:pos="720"/>
          <w:tab w:val="center" w:pos="4285"/>
        </w:tabs>
        <w:ind w:left="1080" w:right="259"/>
      </w:pPr>
      <w:r>
        <w:t>I</w:t>
      </w:r>
      <w:r w:rsidR="003B3E91" w:rsidRPr="003B3E91">
        <w:t>nstrument run logs</w:t>
      </w:r>
      <w:r w:rsidR="005522CE">
        <w:t>.</w:t>
      </w:r>
    </w:p>
    <w:p w14:paraId="56D16BF3" w14:textId="503C81A5" w:rsidR="00B56D50" w:rsidRDefault="001C3C42">
      <w:pPr>
        <w:tabs>
          <w:tab w:val="center" w:pos="720"/>
          <w:tab w:val="center" w:pos="4285"/>
        </w:tabs>
        <w:ind w:left="0" w:right="0" w:firstLine="0"/>
      </w:pPr>
      <w:r>
        <w:t xml:space="preserve"> </w:t>
      </w:r>
    </w:p>
    <w:p w14:paraId="4C9327B6" w14:textId="5C828375" w:rsidR="00F95CE8" w:rsidRPr="00445BDE" w:rsidRDefault="00F95CE8" w:rsidP="003A1FE4">
      <w:pPr>
        <w:ind w:left="1440" w:right="-144" w:hanging="720"/>
        <w:rPr>
          <w:b/>
          <w:bCs/>
        </w:rPr>
      </w:pPr>
      <w:bookmarkStart w:id="17" w:name="_Hlk67476928"/>
      <w:r w:rsidRPr="00445BDE">
        <w:rPr>
          <w:b/>
          <w:bCs/>
        </w:rPr>
        <w:t>N</w:t>
      </w:r>
      <w:r w:rsidR="003A1FE4">
        <w:rPr>
          <w:b/>
          <w:bCs/>
        </w:rPr>
        <w:t>ote</w:t>
      </w:r>
      <w:r w:rsidRPr="00445BDE">
        <w:rPr>
          <w:b/>
          <w:bCs/>
        </w:rPr>
        <w:t>:</w:t>
      </w:r>
      <w:r w:rsidR="003A1FE4">
        <w:rPr>
          <w:b/>
          <w:bCs/>
        </w:rPr>
        <w:tab/>
      </w:r>
      <w:r w:rsidRPr="00445BDE">
        <w:rPr>
          <w:b/>
          <w:bCs/>
        </w:rPr>
        <w:t>Raw data will only be submitted upon request of full QA/QC for enforcement level packages.</w:t>
      </w:r>
      <w:bookmarkEnd w:id="17"/>
    </w:p>
    <w:p w14:paraId="2858A690" w14:textId="77777777" w:rsidR="00B56D50" w:rsidRDefault="001C3C42">
      <w:pPr>
        <w:spacing w:after="0" w:line="259" w:lineRule="auto"/>
        <w:ind w:left="620" w:right="0" w:firstLine="0"/>
      </w:pPr>
      <w:r>
        <w:t xml:space="preserve"> </w:t>
      </w:r>
    </w:p>
    <w:p w14:paraId="6BFA9F01" w14:textId="338E98A2" w:rsidR="00B56D50" w:rsidRDefault="001C3C42" w:rsidP="00093377">
      <w:pPr>
        <w:pStyle w:val="ListParagraph"/>
        <w:numPr>
          <w:ilvl w:val="0"/>
          <w:numId w:val="61"/>
        </w:numPr>
        <w:tabs>
          <w:tab w:val="center" w:pos="720"/>
          <w:tab w:val="right" w:pos="10146"/>
        </w:tabs>
        <w:ind w:left="1080" w:right="0"/>
      </w:pPr>
      <w:r w:rsidRPr="00C26E51">
        <w:rPr>
          <w:b/>
        </w:rPr>
        <w:t>Raw Data</w:t>
      </w:r>
      <w:r>
        <w:t xml:space="preserve"> for each sample, field duplicate, blank, matrix spike, and matrix spike duplicate including: </w:t>
      </w:r>
    </w:p>
    <w:p w14:paraId="6149AA58" w14:textId="77E0B45B" w:rsidR="004F7E74" w:rsidRDefault="001C3C42" w:rsidP="00DF4F0C">
      <w:pPr>
        <w:spacing w:after="0" w:line="259" w:lineRule="auto"/>
        <w:ind w:left="1426" w:right="259" w:hanging="346"/>
      </w:pPr>
      <w:proofErr w:type="gramStart"/>
      <w:r>
        <w:t xml:space="preserve">--- </w:t>
      </w:r>
      <w:r w:rsidR="008A06CC">
        <w:t xml:space="preserve"> </w:t>
      </w:r>
      <w:r>
        <w:t>total</w:t>
      </w:r>
      <w:proofErr w:type="gramEnd"/>
      <w:r>
        <w:t xml:space="preserve"> ion chromatogram (indicating surrogates, internal standards, and target compounds</w:t>
      </w:r>
      <w:r w:rsidR="001F019A">
        <w:t xml:space="preserve"> </w:t>
      </w:r>
      <w:r>
        <w:t>detected).</w:t>
      </w:r>
    </w:p>
    <w:p w14:paraId="4DB52B1A" w14:textId="36270F5C" w:rsidR="00B56D50" w:rsidRDefault="001C3C42" w:rsidP="00DF4F0C">
      <w:pPr>
        <w:spacing w:after="0" w:line="259" w:lineRule="auto"/>
        <w:ind w:left="1426" w:right="259" w:hanging="346"/>
      </w:pPr>
      <w:proofErr w:type="gramStart"/>
      <w:r>
        <w:t xml:space="preserve">--- </w:t>
      </w:r>
      <w:r w:rsidR="008A06CC">
        <w:t xml:space="preserve"> </w:t>
      </w:r>
      <w:r>
        <w:t>individual</w:t>
      </w:r>
      <w:proofErr w:type="gramEnd"/>
      <w:r>
        <w:t xml:space="preserve"> mass spectra for target analytes </w:t>
      </w:r>
      <w:r>
        <w:rPr>
          <w:b/>
          <w:u w:val="single" w:color="000000"/>
        </w:rPr>
        <w:t>and tentatively identified compounds (TICs, other</w:t>
      </w:r>
      <w:r>
        <w:rPr>
          <w:b/>
        </w:rPr>
        <w:t xml:space="preserve"> </w:t>
      </w:r>
      <w:r>
        <w:rPr>
          <w:b/>
          <w:u w:val="single" w:color="000000"/>
        </w:rPr>
        <w:t>non-target analytes) detected in each sample and blank (and reference/library search spectra</w:t>
      </w:r>
      <w:r w:rsidRPr="00CF02D2">
        <w:rPr>
          <w:b/>
          <w:u w:val="single"/>
        </w:rPr>
        <w:t xml:space="preserve"> </w:t>
      </w:r>
      <w:r>
        <w:rPr>
          <w:b/>
          <w:u w:val="single" w:color="000000"/>
        </w:rPr>
        <w:t>detected analytes that TICs are compared to).</w:t>
      </w:r>
    </w:p>
    <w:p w14:paraId="3A43615B" w14:textId="0429375F" w:rsidR="00B56D50" w:rsidRDefault="001C3C42" w:rsidP="00DF4F0C">
      <w:pPr>
        <w:ind w:left="1426" w:right="259" w:hanging="346"/>
      </w:pPr>
      <w:proofErr w:type="gramStart"/>
      <w:r>
        <w:t xml:space="preserve">--- </w:t>
      </w:r>
      <w:r w:rsidR="008A06CC">
        <w:t xml:space="preserve"> </w:t>
      </w:r>
      <w:r>
        <w:t>quantitation</w:t>
      </w:r>
      <w:proofErr w:type="gramEnd"/>
      <w:r>
        <w:t xml:space="preserve"> reports (to include identification of internal and surrogate standards, scan number, area,</w:t>
      </w:r>
      <w:r w:rsidR="00764533">
        <w:t xml:space="preserve"> </w:t>
      </w:r>
      <w:r>
        <w:t xml:space="preserve">retention time, concentration of target analytes detected, dilution factors, and date and time of injection). </w:t>
      </w:r>
    </w:p>
    <w:p w14:paraId="45FAC2E4" w14:textId="2ACD7647" w:rsidR="00B56D50" w:rsidRDefault="001C3C42" w:rsidP="00B334E4">
      <w:pPr>
        <w:ind w:left="1080" w:right="259"/>
      </w:pPr>
      <w:proofErr w:type="gramStart"/>
      <w:r>
        <w:t xml:space="preserve">--- </w:t>
      </w:r>
      <w:r w:rsidR="008A06CC">
        <w:t xml:space="preserve"> </w:t>
      </w:r>
      <w:r>
        <w:t>total</w:t>
      </w:r>
      <w:proofErr w:type="gramEnd"/>
      <w:r>
        <w:t xml:space="preserve"> ion chromatograms and quantitation reports for initial and daily calibrations. </w:t>
      </w:r>
    </w:p>
    <w:p w14:paraId="40136EB5" w14:textId="090009EE" w:rsidR="00B56D50" w:rsidRDefault="00B56D50">
      <w:pPr>
        <w:spacing w:after="0" w:line="259" w:lineRule="auto"/>
        <w:ind w:left="346" w:right="0" w:firstLine="0"/>
      </w:pPr>
    </w:p>
    <w:p w14:paraId="448AF357" w14:textId="42A53C9B" w:rsidR="00B56D50" w:rsidRDefault="00B56D50">
      <w:pPr>
        <w:spacing w:after="0" w:line="259" w:lineRule="auto"/>
        <w:ind w:left="346" w:right="0" w:firstLine="0"/>
      </w:pPr>
    </w:p>
    <w:p w14:paraId="21A6256D" w14:textId="363D465B" w:rsidR="00B56D50" w:rsidRDefault="00B56D50">
      <w:pPr>
        <w:spacing w:after="0" w:line="259" w:lineRule="auto"/>
        <w:ind w:left="346" w:right="0" w:firstLine="0"/>
      </w:pPr>
    </w:p>
    <w:p w14:paraId="2422DD68" w14:textId="77777777" w:rsidR="000D14CD" w:rsidRDefault="000D14CD">
      <w:pPr>
        <w:spacing w:after="0" w:line="259" w:lineRule="auto"/>
        <w:ind w:left="346" w:right="0" w:firstLine="0"/>
      </w:pPr>
    </w:p>
    <w:p w14:paraId="26F53D10" w14:textId="77777777" w:rsidR="000D14CD" w:rsidRDefault="000D14CD">
      <w:pPr>
        <w:spacing w:after="0" w:line="259" w:lineRule="auto"/>
        <w:ind w:left="346" w:right="0" w:firstLine="0"/>
      </w:pPr>
    </w:p>
    <w:p w14:paraId="126EE481" w14:textId="75F069CF" w:rsidR="00616457" w:rsidRDefault="001C3C42" w:rsidP="00FF687E">
      <w:pPr>
        <w:spacing w:after="0" w:line="259" w:lineRule="auto"/>
        <w:ind w:left="346" w:right="0" w:firstLine="0"/>
        <w:jc w:val="center"/>
        <w:rPr>
          <w:b/>
          <w:bCs/>
        </w:rPr>
      </w:pPr>
      <w:r w:rsidRPr="00FF687E">
        <w:rPr>
          <w:b/>
          <w:bCs/>
        </w:rPr>
        <w:t>THE REMAINDER OF THIS PAGE HAS BEEN LEFT BLANK INTENTIONALLY</w:t>
      </w:r>
    </w:p>
    <w:p w14:paraId="287DC8EB" w14:textId="77777777" w:rsidR="00616457" w:rsidRPr="00603FFC" w:rsidRDefault="00616457" w:rsidP="00603FFC">
      <w:pPr>
        <w:spacing w:after="0" w:line="259" w:lineRule="auto"/>
        <w:ind w:left="360" w:right="0"/>
      </w:pPr>
    </w:p>
    <w:p w14:paraId="79751EB1" w14:textId="702B6F14" w:rsidR="009B734D" w:rsidRPr="00603FFC" w:rsidRDefault="009B734D" w:rsidP="009B734D">
      <w:pPr>
        <w:spacing w:after="0" w:line="259" w:lineRule="auto"/>
        <w:ind w:left="333" w:right="0" w:firstLine="0"/>
        <w:rPr>
          <w:rFonts w:eastAsia="Arial"/>
        </w:rPr>
      </w:pPr>
    </w:p>
    <w:p w14:paraId="011F8941" w14:textId="77777777" w:rsidR="009B734D" w:rsidRPr="00603FFC" w:rsidRDefault="009B734D" w:rsidP="009B734D">
      <w:pPr>
        <w:spacing w:after="0" w:line="259" w:lineRule="auto"/>
        <w:ind w:left="333" w:right="0" w:firstLine="0"/>
        <w:rPr>
          <w:rFonts w:eastAsia="Arial"/>
        </w:rPr>
      </w:pPr>
    </w:p>
    <w:p w14:paraId="29F8AA1B" w14:textId="77777777" w:rsidR="009B734D" w:rsidRPr="00603FFC" w:rsidRDefault="009B734D" w:rsidP="009B734D">
      <w:pPr>
        <w:spacing w:after="0" w:line="259" w:lineRule="auto"/>
        <w:ind w:left="333" w:right="0" w:firstLine="0"/>
        <w:rPr>
          <w:rFonts w:eastAsia="Arial"/>
        </w:rPr>
      </w:pPr>
    </w:p>
    <w:p w14:paraId="4EA973B6" w14:textId="77777777" w:rsidR="009B734D" w:rsidRPr="00603FFC" w:rsidRDefault="009B734D" w:rsidP="009B734D">
      <w:pPr>
        <w:spacing w:after="0" w:line="259" w:lineRule="auto"/>
        <w:ind w:left="333" w:right="0" w:firstLine="0"/>
        <w:rPr>
          <w:rFonts w:eastAsia="Arial"/>
        </w:rPr>
      </w:pPr>
    </w:p>
    <w:p w14:paraId="155FCD0D" w14:textId="77777777" w:rsidR="009B734D" w:rsidRPr="00603FFC" w:rsidRDefault="009B734D" w:rsidP="009B734D">
      <w:pPr>
        <w:spacing w:after="0" w:line="259" w:lineRule="auto"/>
        <w:ind w:left="333" w:right="0" w:firstLine="0"/>
        <w:rPr>
          <w:rFonts w:eastAsia="Arial"/>
        </w:rPr>
      </w:pPr>
    </w:p>
    <w:p w14:paraId="14E5F34F" w14:textId="77777777" w:rsidR="009B734D" w:rsidRPr="00603FFC" w:rsidRDefault="009B734D" w:rsidP="009B734D">
      <w:pPr>
        <w:spacing w:after="0" w:line="259" w:lineRule="auto"/>
        <w:ind w:left="333" w:right="0" w:firstLine="0"/>
        <w:rPr>
          <w:rFonts w:eastAsia="Arial"/>
        </w:rPr>
      </w:pPr>
    </w:p>
    <w:p w14:paraId="14607B03" w14:textId="77777777" w:rsidR="009B734D" w:rsidRPr="00603FFC" w:rsidRDefault="009B734D" w:rsidP="009B734D">
      <w:pPr>
        <w:spacing w:after="0" w:line="259" w:lineRule="auto"/>
        <w:ind w:left="333" w:right="0" w:firstLine="0"/>
        <w:rPr>
          <w:rFonts w:eastAsia="Arial"/>
        </w:rPr>
      </w:pPr>
    </w:p>
    <w:p w14:paraId="6098DECE" w14:textId="77777777" w:rsidR="009B734D" w:rsidRPr="00603FFC" w:rsidRDefault="009B734D" w:rsidP="009B734D">
      <w:pPr>
        <w:spacing w:after="0" w:line="259" w:lineRule="auto"/>
        <w:ind w:left="333" w:right="0" w:firstLine="0"/>
        <w:rPr>
          <w:rFonts w:eastAsia="Arial"/>
        </w:rPr>
      </w:pPr>
    </w:p>
    <w:p w14:paraId="5016640F" w14:textId="77777777" w:rsidR="009B734D" w:rsidRPr="00603FFC" w:rsidRDefault="009B734D" w:rsidP="009B734D">
      <w:pPr>
        <w:spacing w:after="0" w:line="259" w:lineRule="auto"/>
        <w:ind w:left="333" w:right="0" w:firstLine="0"/>
        <w:rPr>
          <w:rFonts w:eastAsia="Arial"/>
        </w:rPr>
      </w:pPr>
    </w:p>
    <w:p w14:paraId="32D7DFE0" w14:textId="77777777" w:rsidR="009B734D" w:rsidRPr="00603FFC" w:rsidRDefault="009B734D" w:rsidP="009B734D">
      <w:pPr>
        <w:spacing w:after="0" w:line="259" w:lineRule="auto"/>
        <w:ind w:left="333" w:right="0" w:firstLine="0"/>
        <w:rPr>
          <w:rFonts w:eastAsia="Arial"/>
        </w:rPr>
      </w:pPr>
    </w:p>
    <w:p w14:paraId="089C40AF" w14:textId="77777777" w:rsidR="009B734D" w:rsidRPr="00603FFC" w:rsidRDefault="009B734D" w:rsidP="009B734D">
      <w:pPr>
        <w:spacing w:after="0" w:line="259" w:lineRule="auto"/>
        <w:ind w:left="333" w:right="0" w:firstLine="0"/>
        <w:rPr>
          <w:rFonts w:eastAsia="Arial"/>
        </w:rPr>
      </w:pPr>
    </w:p>
    <w:p w14:paraId="1FD5E04C" w14:textId="77777777" w:rsidR="009B734D" w:rsidRPr="00603FFC" w:rsidRDefault="009B734D" w:rsidP="009B734D">
      <w:pPr>
        <w:spacing w:after="0" w:line="259" w:lineRule="auto"/>
        <w:ind w:left="333" w:right="0" w:firstLine="0"/>
        <w:rPr>
          <w:rFonts w:eastAsia="Arial"/>
        </w:rPr>
      </w:pPr>
    </w:p>
    <w:p w14:paraId="4DCFF575" w14:textId="77777777" w:rsidR="009B734D" w:rsidRPr="00603FFC" w:rsidRDefault="009B734D" w:rsidP="009B734D">
      <w:pPr>
        <w:spacing w:after="0" w:line="259" w:lineRule="auto"/>
        <w:ind w:left="333" w:right="0" w:firstLine="0"/>
        <w:rPr>
          <w:rFonts w:eastAsia="Arial"/>
        </w:rPr>
      </w:pPr>
    </w:p>
    <w:p w14:paraId="458274E4" w14:textId="77777777" w:rsidR="004418DD" w:rsidRPr="00603FFC" w:rsidRDefault="004418DD" w:rsidP="009B734D">
      <w:pPr>
        <w:spacing w:after="0" w:line="259" w:lineRule="auto"/>
        <w:ind w:left="333" w:right="0" w:firstLine="0"/>
        <w:rPr>
          <w:rFonts w:eastAsia="Arial"/>
        </w:rPr>
      </w:pPr>
    </w:p>
    <w:p w14:paraId="57784347" w14:textId="77777777" w:rsidR="004418DD" w:rsidRPr="00603FFC" w:rsidRDefault="004418DD" w:rsidP="009B734D">
      <w:pPr>
        <w:spacing w:after="0" w:line="259" w:lineRule="auto"/>
        <w:ind w:left="333" w:right="0" w:firstLine="0"/>
        <w:rPr>
          <w:rFonts w:eastAsia="Arial"/>
        </w:rPr>
      </w:pPr>
    </w:p>
    <w:p w14:paraId="27C9A48E" w14:textId="77777777" w:rsidR="004418DD" w:rsidRPr="00603FFC" w:rsidRDefault="004418DD" w:rsidP="009B734D">
      <w:pPr>
        <w:spacing w:after="0" w:line="259" w:lineRule="auto"/>
        <w:ind w:left="333" w:right="0" w:firstLine="0"/>
        <w:rPr>
          <w:rFonts w:eastAsia="Arial"/>
        </w:rPr>
      </w:pPr>
    </w:p>
    <w:p w14:paraId="0489E24F" w14:textId="77777777" w:rsidR="004418DD" w:rsidRPr="00603FFC" w:rsidRDefault="004418DD" w:rsidP="009B734D">
      <w:pPr>
        <w:spacing w:after="0" w:line="259" w:lineRule="auto"/>
        <w:ind w:left="333" w:right="0" w:firstLine="0"/>
        <w:rPr>
          <w:rFonts w:eastAsia="Arial"/>
        </w:rPr>
      </w:pPr>
    </w:p>
    <w:p w14:paraId="2C462D93" w14:textId="77777777" w:rsidR="009B734D" w:rsidRPr="00603FFC" w:rsidRDefault="009B734D" w:rsidP="009B734D">
      <w:pPr>
        <w:spacing w:after="0" w:line="259" w:lineRule="auto"/>
        <w:ind w:left="333" w:right="0" w:firstLine="0"/>
        <w:rPr>
          <w:rFonts w:eastAsia="Arial"/>
        </w:rPr>
      </w:pPr>
    </w:p>
    <w:p w14:paraId="7F59C296" w14:textId="77777777" w:rsidR="009B734D" w:rsidRPr="00603FFC" w:rsidRDefault="009B734D" w:rsidP="009B734D">
      <w:pPr>
        <w:spacing w:after="0" w:line="259" w:lineRule="auto"/>
        <w:ind w:left="333" w:right="0" w:firstLine="0"/>
        <w:rPr>
          <w:rFonts w:eastAsia="Arial"/>
        </w:rPr>
      </w:pPr>
    </w:p>
    <w:p w14:paraId="3D248807" w14:textId="77777777" w:rsidR="009B734D" w:rsidRDefault="009B734D" w:rsidP="009B734D">
      <w:pPr>
        <w:spacing w:after="0" w:line="259" w:lineRule="auto"/>
        <w:ind w:left="333" w:right="0" w:firstLine="0"/>
        <w:rPr>
          <w:rFonts w:eastAsia="Arial"/>
        </w:rPr>
      </w:pPr>
    </w:p>
    <w:p w14:paraId="4D94E3D2" w14:textId="77777777" w:rsidR="00603FFC" w:rsidRPr="00603FFC" w:rsidRDefault="00603FFC" w:rsidP="009B734D">
      <w:pPr>
        <w:spacing w:after="0" w:line="259" w:lineRule="auto"/>
        <w:ind w:left="333" w:right="0" w:firstLine="0"/>
        <w:rPr>
          <w:rFonts w:eastAsia="Arial"/>
        </w:rPr>
      </w:pPr>
    </w:p>
    <w:p w14:paraId="1B348D7A" w14:textId="7CCD5E4D" w:rsidR="00B56D50" w:rsidRPr="00F046EE" w:rsidRDefault="00B56D50" w:rsidP="00FB258D">
      <w:pPr>
        <w:spacing w:after="0" w:line="259" w:lineRule="auto"/>
        <w:ind w:left="360" w:right="0" w:firstLine="0"/>
      </w:pPr>
    </w:p>
    <w:p w14:paraId="6FA5975F" w14:textId="77777777" w:rsidR="00B062D2" w:rsidRDefault="00B062D2" w:rsidP="00FB258D">
      <w:pPr>
        <w:spacing w:after="0" w:line="259" w:lineRule="auto"/>
        <w:ind w:left="360" w:right="0" w:firstLine="0"/>
      </w:pPr>
    </w:p>
    <w:p w14:paraId="3350996F" w14:textId="77777777" w:rsidR="00EB2876" w:rsidRDefault="00EB2876" w:rsidP="00FB258D">
      <w:pPr>
        <w:spacing w:after="0" w:line="259" w:lineRule="auto"/>
        <w:ind w:left="360" w:right="0" w:firstLine="0"/>
      </w:pPr>
    </w:p>
    <w:p w14:paraId="4250D4F2" w14:textId="77777777" w:rsidR="00EB2876" w:rsidRDefault="00EB2876" w:rsidP="00FB258D">
      <w:pPr>
        <w:spacing w:after="0" w:line="259" w:lineRule="auto"/>
        <w:ind w:left="360" w:right="0" w:firstLine="0"/>
      </w:pPr>
    </w:p>
    <w:p w14:paraId="2EC3C3BC" w14:textId="77777777" w:rsidR="004418DD" w:rsidRDefault="004418DD" w:rsidP="00FB258D">
      <w:pPr>
        <w:spacing w:after="0" w:line="259" w:lineRule="auto"/>
        <w:ind w:left="360" w:right="0" w:firstLine="0"/>
      </w:pPr>
    </w:p>
    <w:p w14:paraId="4A245397" w14:textId="7C766721" w:rsidR="00B56D50" w:rsidRPr="00F96860" w:rsidRDefault="001C3C42" w:rsidP="00734B10">
      <w:pPr>
        <w:tabs>
          <w:tab w:val="center" w:pos="1840"/>
          <w:tab w:val="center" w:pos="5563"/>
        </w:tabs>
        <w:spacing w:after="0" w:line="259" w:lineRule="auto"/>
        <w:ind w:left="0" w:right="0" w:firstLine="0"/>
        <w:jc w:val="center"/>
      </w:pPr>
      <w:r w:rsidRPr="00DC5D01">
        <w:rPr>
          <w:b/>
        </w:rPr>
        <w:lastRenderedPageBreak/>
        <w:t xml:space="preserve">C. </w:t>
      </w:r>
      <w:r w:rsidR="00734B10" w:rsidRPr="00DC5D01">
        <w:rPr>
          <w:b/>
        </w:rPr>
        <w:t xml:space="preserve"> </w:t>
      </w:r>
      <w:r w:rsidRPr="00DC5D01">
        <w:rPr>
          <w:b/>
          <w:u w:val="single" w:color="000000"/>
        </w:rPr>
        <w:t>ORGANIC ANALYSIS DELIVERABLES</w:t>
      </w:r>
      <w:proofErr w:type="gramStart"/>
      <w:r w:rsidRPr="00DC5D01">
        <w:rPr>
          <w:b/>
          <w:u w:val="single" w:color="000000"/>
        </w:rPr>
        <w:t>:  GC</w:t>
      </w:r>
      <w:proofErr w:type="gramEnd"/>
      <w:r w:rsidRPr="00DC5D01">
        <w:rPr>
          <w:b/>
          <w:u w:val="single" w:color="000000"/>
        </w:rPr>
        <w:t xml:space="preserve"> AND HPLC</w:t>
      </w:r>
    </w:p>
    <w:p w14:paraId="6EA7B2A0" w14:textId="77777777" w:rsidR="00B56D50" w:rsidRDefault="001C3C42">
      <w:pPr>
        <w:spacing w:after="6" w:line="259" w:lineRule="auto"/>
        <w:ind w:left="346" w:right="0" w:firstLine="0"/>
      </w:pPr>
      <w:r>
        <w:rPr>
          <w:rFonts w:ascii="Arial" w:eastAsia="Arial" w:hAnsi="Arial" w:cs="Arial"/>
        </w:rPr>
        <w:t xml:space="preserve"> </w:t>
      </w:r>
    </w:p>
    <w:p w14:paraId="7CDB41E6" w14:textId="4112B7AB" w:rsidR="00B56D50" w:rsidRDefault="001C3C42" w:rsidP="00E82A81">
      <w:pPr>
        <w:pStyle w:val="Heading5"/>
        <w:spacing w:after="5" w:line="259" w:lineRule="auto"/>
        <w:ind w:left="0"/>
        <w:jc w:val="left"/>
      </w:pPr>
      <w:r w:rsidRPr="008F040C">
        <w:rPr>
          <w:b w:val="0"/>
          <w:u w:val="single" w:color="000000"/>
        </w:rPr>
        <w:t xml:space="preserve">ANALYSIS OF </w:t>
      </w:r>
      <w:r w:rsidRPr="009847CA">
        <w:rPr>
          <w:b w:val="0"/>
          <w:u w:val="single" w:color="000000"/>
        </w:rPr>
        <w:t>V</w:t>
      </w:r>
      <w:r w:rsidRPr="008F040C">
        <w:rPr>
          <w:b w:val="0"/>
          <w:u w:val="single" w:color="000000"/>
        </w:rPr>
        <w:t xml:space="preserve">OLATILE </w:t>
      </w:r>
      <w:r w:rsidRPr="009847CA">
        <w:rPr>
          <w:b w:val="0"/>
          <w:u w:val="single" w:color="000000"/>
        </w:rPr>
        <w:t>O</w:t>
      </w:r>
      <w:r w:rsidRPr="008F040C">
        <w:rPr>
          <w:b w:val="0"/>
          <w:u w:val="single" w:color="000000"/>
        </w:rPr>
        <w:t>RGANIC COMPOUNDS</w:t>
      </w:r>
      <w:r w:rsidRPr="009847CA">
        <w:rPr>
          <w:b w:val="0"/>
          <w:u w:val="single" w:color="000000"/>
        </w:rPr>
        <w:t>, S</w:t>
      </w:r>
      <w:r w:rsidRPr="008F040C">
        <w:rPr>
          <w:b w:val="0"/>
          <w:u w:val="single" w:color="000000"/>
        </w:rPr>
        <w:t>EMI</w:t>
      </w:r>
      <w:r w:rsidR="00207034" w:rsidRPr="008F040C">
        <w:rPr>
          <w:b w:val="0"/>
          <w:u w:val="single" w:color="000000"/>
        </w:rPr>
        <w:t>-</w:t>
      </w:r>
      <w:r w:rsidRPr="008F040C">
        <w:rPr>
          <w:b w:val="0"/>
          <w:u w:val="single" w:color="000000"/>
        </w:rPr>
        <w:t xml:space="preserve">VOLATILE </w:t>
      </w:r>
      <w:r w:rsidRPr="009847CA">
        <w:rPr>
          <w:b w:val="0"/>
          <w:u w:val="single" w:color="000000"/>
        </w:rPr>
        <w:t>O</w:t>
      </w:r>
      <w:r w:rsidRPr="008F040C">
        <w:rPr>
          <w:b w:val="0"/>
          <w:u w:val="single" w:color="000000"/>
        </w:rPr>
        <w:t>RGANIC COMPOUNDS</w:t>
      </w:r>
      <w:r w:rsidRPr="009847CA">
        <w:rPr>
          <w:b w:val="0"/>
          <w:u w:val="single" w:color="000000"/>
        </w:rPr>
        <w:t>,</w:t>
      </w:r>
      <w:r w:rsidRPr="008F040C">
        <w:rPr>
          <w:b w:val="0"/>
          <w:u w:val="single" w:color="000000"/>
        </w:rPr>
        <w:t xml:space="preserve"> AND </w:t>
      </w:r>
      <w:r w:rsidR="00E83D27">
        <w:rPr>
          <w:b w:val="0"/>
          <w:u w:val="single" w:color="000000"/>
        </w:rPr>
        <w:t>NON-VOLATILE</w:t>
      </w:r>
      <w:r w:rsidRPr="008F040C">
        <w:rPr>
          <w:b w:val="0"/>
        </w:rPr>
        <w:t xml:space="preserve"> </w:t>
      </w:r>
      <w:r w:rsidRPr="009847CA">
        <w:rPr>
          <w:b w:val="0"/>
          <w:u w:val="single" w:color="000000"/>
        </w:rPr>
        <w:t>O</w:t>
      </w:r>
      <w:r w:rsidRPr="008F040C">
        <w:rPr>
          <w:b w:val="0"/>
          <w:u w:val="single" w:color="000000"/>
        </w:rPr>
        <w:t xml:space="preserve">RGANIC </w:t>
      </w:r>
      <w:r w:rsidRPr="009847CA">
        <w:rPr>
          <w:b w:val="0"/>
          <w:u w:val="single" w:color="000000"/>
        </w:rPr>
        <w:t>C</w:t>
      </w:r>
      <w:r w:rsidRPr="008F040C">
        <w:rPr>
          <w:b w:val="0"/>
          <w:u w:val="single" w:color="000000"/>
        </w:rPr>
        <w:t xml:space="preserve">OMPOUNDS BY </w:t>
      </w:r>
      <w:r w:rsidRPr="009847CA">
        <w:rPr>
          <w:b w:val="0"/>
          <w:u w:val="single" w:color="000000"/>
        </w:rPr>
        <w:t>GAS</w:t>
      </w:r>
      <w:r w:rsidRPr="008F040C">
        <w:rPr>
          <w:b w:val="0"/>
          <w:u w:val="single" w:color="000000"/>
        </w:rPr>
        <w:t xml:space="preserve"> </w:t>
      </w:r>
      <w:r w:rsidRPr="009847CA">
        <w:rPr>
          <w:b w:val="0"/>
          <w:u w:val="single" w:color="000000"/>
        </w:rPr>
        <w:t>C</w:t>
      </w:r>
      <w:r w:rsidRPr="008F040C">
        <w:rPr>
          <w:b w:val="0"/>
          <w:u w:val="single" w:color="000000"/>
        </w:rPr>
        <w:t xml:space="preserve">HROMATOGRAPHY </w:t>
      </w:r>
      <w:r w:rsidRPr="009847CA">
        <w:rPr>
          <w:b w:val="0"/>
          <w:u w:val="single" w:color="000000"/>
        </w:rPr>
        <w:t>(GC)</w:t>
      </w:r>
      <w:r w:rsidRPr="008F040C">
        <w:rPr>
          <w:b w:val="0"/>
          <w:u w:val="single" w:color="000000"/>
        </w:rPr>
        <w:t xml:space="preserve"> AND </w:t>
      </w:r>
      <w:r w:rsidR="001B11ED" w:rsidRPr="009847CA">
        <w:rPr>
          <w:b w:val="0"/>
          <w:u w:val="single" w:color="000000"/>
        </w:rPr>
        <w:t>H</w:t>
      </w:r>
      <w:r w:rsidR="001B11ED" w:rsidRPr="008F040C">
        <w:rPr>
          <w:b w:val="0"/>
          <w:u w:val="single" w:color="000000"/>
        </w:rPr>
        <w:t>IGH-PERFORMANCE</w:t>
      </w:r>
      <w:r w:rsidRPr="008F040C">
        <w:rPr>
          <w:b w:val="0"/>
          <w:u w:val="single" w:color="000000"/>
        </w:rPr>
        <w:t xml:space="preserve"> </w:t>
      </w:r>
      <w:r w:rsidRPr="00303E08">
        <w:rPr>
          <w:b w:val="0"/>
          <w:u w:val="single"/>
        </w:rPr>
        <w:t>LIQUID CHROMATOGRAPHY (HPLC)</w:t>
      </w:r>
      <w:r>
        <w:t xml:space="preserve"> Using Method-Specified Detectors (FID, PID, HECD, UV, etc.)  (Excludes PCBs and Pesticides</w:t>
      </w:r>
      <w:proofErr w:type="gramStart"/>
      <w:r>
        <w:t>:  See</w:t>
      </w:r>
      <w:proofErr w:type="gramEnd"/>
      <w:r>
        <w:t xml:space="preserve"> Section D.)</w:t>
      </w:r>
    </w:p>
    <w:p w14:paraId="027C1091" w14:textId="70C947CC" w:rsidR="00B56D50" w:rsidRDefault="00B56D50">
      <w:pPr>
        <w:spacing w:after="0" w:line="259" w:lineRule="auto"/>
        <w:ind w:left="346" w:right="0" w:firstLine="0"/>
      </w:pPr>
    </w:p>
    <w:p w14:paraId="6C942F77" w14:textId="77777777" w:rsidR="00B56D50" w:rsidRPr="00CC1E97" w:rsidRDefault="001C3C42" w:rsidP="00093377">
      <w:pPr>
        <w:numPr>
          <w:ilvl w:val="0"/>
          <w:numId w:val="12"/>
        </w:numPr>
        <w:ind w:right="255" w:hanging="346"/>
      </w:pPr>
      <w:r>
        <w:rPr>
          <w:u w:val="single" w:color="000000"/>
        </w:rPr>
        <w:t>Initial Calibration,</w:t>
      </w:r>
      <w:r>
        <w:t xml:space="preserve"> data and results documented by: </w:t>
      </w:r>
    </w:p>
    <w:p w14:paraId="0BEDC932" w14:textId="5BD109FA" w:rsidR="00B56D50" w:rsidRDefault="001C3C42">
      <w:pPr>
        <w:spacing w:after="2" w:line="248" w:lineRule="auto"/>
        <w:ind w:left="1051" w:right="0" w:hanging="346"/>
      </w:pPr>
      <w:r w:rsidRPr="00CC1E97">
        <w:t xml:space="preserve">  </w:t>
      </w:r>
      <w:r w:rsidR="00DF3D83" w:rsidRPr="00CC1E97">
        <w:tab/>
      </w:r>
      <w:r>
        <w:rPr>
          <w:i/>
        </w:rPr>
        <w:t>Either an external standard calibration procedure or an internal standard calibration procedure may be used.  Calibration factors (CFs) as defined in SW-846 Method 8000 may be reported in place of response factors.</w:t>
      </w:r>
      <w:r>
        <w:t xml:space="preserve"> </w:t>
      </w:r>
    </w:p>
    <w:p w14:paraId="50CDDAC9" w14:textId="1F147549" w:rsidR="00B56D50" w:rsidRDefault="001C3C42">
      <w:pPr>
        <w:ind w:left="1090" w:right="255"/>
      </w:pPr>
      <w:proofErr w:type="gramStart"/>
      <w:r>
        <w:t xml:space="preserve">--- </w:t>
      </w:r>
      <w:r w:rsidR="00626B97">
        <w:t xml:space="preserve"> </w:t>
      </w:r>
      <w:r>
        <w:t>Calibration</w:t>
      </w:r>
      <w:proofErr w:type="gramEnd"/>
      <w:r>
        <w:t xml:space="preserve"> standards containing all target analytes run at five concentrations</w:t>
      </w:r>
      <w:r w:rsidR="006352A8">
        <w:t>.</w:t>
      </w:r>
    </w:p>
    <w:p w14:paraId="044F3F8B" w14:textId="7C669D7D" w:rsidR="00B56D50" w:rsidRDefault="001C3C42">
      <w:pPr>
        <w:ind w:left="1090" w:right="255"/>
      </w:pPr>
      <w:proofErr w:type="gramStart"/>
      <w:r>
        <w:t xml:space="preserve">--- </w:t>
      </w:r>
      <w:r w:rsidR="00626B97">
        <w:t xml:space="preserve"> </w:t>
      </w:r>
      <w:r>
        <w:t>Response</w:t>
      </w:r>
      <w:proofErr w:type="gramEnd"/>
      <w:r>
        <w:t xml:space="preserve"> factors (RFs) or CFs for each target compound in the calibration standards</w:t>
      </w:r>
      <w:r w:rsidR="006352A8">
        <w:t>.</w:t>
      </w:r>
      <w:r>
        <w:t xml:space="preserve"> </w:t>
      </w:r>
    </w:p>
    <w:p w14:paraId="1DEC5CAE" w14:textId="71119E17" w:rsidR="009B77A2" w:rsidRDefault="001C3C42" w:rsidP="002063C0">
      <w:pPr>
        <w:ind w:left="1090" w:right="255"/>
      </w:pPr>
      <w:proofErr w:type="gramStart"/>
      <w:r>
        <w:t xml:space="preserve">--- </w:t>
      </w:r>
      <w:r w:rsidR="00626B97">
        <w:t xml:space="preserve"> </w:t>
      </w:r>
      <w:r>
        <w:t>Average</w:t>
      </w:r>
      <w:proofErr w:type="gramEnd"/>
      <w:r>
        <w:t xml:space="preserve"> RF (or average CF) for each compound</w:t>
      </w:r>
      <w:r w:rsidR="006352A8">
        <w:t>.</w:t>
      </w:r>
    </w:p>
    <w:p w14:paraId="64A86C30" w14:textId="4FEB68EF" w:rsidR="004E7CD1" w:rsidRDefault="009B77A2" w:rsidP="00842394">
      <w:pPr>
        <w:ind w:left="1426" w:right="259" w:hanging="346"/>
      </w:pPr>
      <w:proofErr w:type="gramStart"/>
      <w:r>
        <w:t xml:space="preserve">--- </w:t>
      </w:r>
      <w:r w:rsidR="00626B97">
        <w:t xml:space="preserve"> </w:t>
      </w:r>
      <w:r w:rsidR="001C3C42">
        <w:t>Percent</w:t>
      </w:r>
      <w:proofErr w:type="gramEnd"/>
      <w:r w:rsidR="001C3C42">
        <w:t xml:space="preserve"> relative standard deviation (%RSD) for the RFs (or CFs) for the five concentrations of</w:t>
      </w:r>
      <w:r w:rsidR="002063C0">
        <w:t xml:space="preserve"> </w:t>
      </w:r>
      <w:r w:rsidR="001C3C42">
        <w:t>each calibration standard</w:t>
      </w:r>
      <w:r w:rsidR="006352A8">
        <w:t>.</w:t>
      </w:r>
    </w:p>
    <w:p w14:paraId="76CF69EF" w14:textId="62C7399D" w:rsidR="00B56D50" w:rsidRDefault="001C3C42" w:rsidP="00842394">
      <w:pPr>
        <w:ind w:left="1426" w:right="259" w:hanging="346"/>
      </w:pPr>
      <w:proofErr w:type="gramStart"/>
      <w:r>
        <w:t xml:space="preserve">--- </w:t>
      </w:r>
      <w:r w:rsidR="00626B97">
        <w:t xml:space="preserve"> </w:t>
      </w:r>
      <w:r>
        <w:t>Date</w:t>
      </w:r>
      <w:proofErr w:type="gramEnd"/>
      <w:r>
        <w:t xml:space="preserve"> and time of injection (or introduction by purge-and-trap)</w:t>
      </w:r>
      <w:r w:rsidR="006352A8">
        <w:t>.</w:t>
      </w:r>
      <w:r>
        <w:t xml:space="preserve"> </w:t>
      </w:r>
    </w:p>
    <w:p w14:paraId="0E1FE206" w14:textId="77777777" w:rsidR="00B56D50" w:rsidRDefault="001C3C42">
      <w:pPr>
        <w:spacing w:after="0" w:line="259" w:lineRule="auto"/>
        <w:ind w:left="0" w:right="0" w:firstLine="0"/>
      </w:pPr>
      <w:r>
        <w:t xml:space="preserve"> </w:t>
      </w:r>
    </w:p>
    <w:p w14:paraId="782EBEBE" w14:textId="77777777" w:rsidR="00B56D50" w:rsidRDefault="001C3C42" w:rsidP="00093377">
      <w:pPr>
        <w:numPr>
          <w:ilvl w:val="0"/>
          <w:numId w:val="12"/>
        </w:numPr>
        <w:spacing w:after="10" w:line="248" w:lineRule="auto"/>
        <w:ind w:right="255" w:hanging="346"/>
      </w:pPr>
      <w:r>
        <w:rPr>
          <w:u w:val="single" w:color="000000"/>
        </w:rPr>
        <w:t>Retention Time (RT) Summary</w:t>
      </w:r>
      <w:r>
        <w:t xml:space="preserve"> to include: </w:t>
      </w:r>
    </w:p>
    <w:p w14:paraId="34587290" w14:textId="033A77AC" w:rsidR="00B56D50" w:rsidRDefault="001C3C42">
      <w:pPr>
        <w:ind w:left="1090" w:right="255"/>
      </w:pPr>
      <w:proofErr w:type="gramStart"/>
      <w:r>
        <w:t>---</w:t>
      </w:r>
      <w:r w:rsidR="003F7073">
        <w:t xml:space="preserve"> </w:t>
      </w:r>
      <w:r>
        <w:t xml:space="preserve"> RT</w:t>
      </w:r>
      <w:proofErr w:type="gramEnd"/>
      <w:r>
        <w:t xml:space="preserve"> </w:t>
      </w:r>
      <w:proofErr w:type="gramStart"/>
      <w:r>
        <w:t>measured for</w:t>
      </w:r>
      <w:proofErr w:type="gramEnd"/>
      <w:r>
        <w:t xml:space="preserve"> each target compound from three separate injections over a 72-hour period</w:t>
      </w:r>
      <w:r w:rsidR="006352A8">
        <w:t>.</w:t>
      </w:r>
      <w:r>
        <w:t xml:space="preserve"> </w:t>
      </w:r>
    </w:p>
    <w:p w14:paraId="402FDBC0" w14:textId="4720F1E5" w:rsidR="00B56D50" w:rsidRDefault="001C3C42">
      <w:pPr>
        <w:ind w:left="1090" w:right="255"/>
      </w:pPr>
      <w:proofErr w:type="gramStart"/>
      <w:r>
        <w:t xml:space="preserve">--- </w:t>
      </w:r>
      <w:r w:rsidR="003F7073">
        <w:t xml:space="preserve"> </w:t>
      </w:r>
      <w:r>
        <w:t>Mean</w:t>
      </w:r>
      <w:proofErr w:type="gramEnd"/>
      <w:r>
        <w:t xml:space="preserve"> and standard deviations of the three RTs measured (over the 72-hour period)</w:t>
      </w:r>
      <w:r w:rsidR="006352A8">
        <w:t>.</w:t>
      </w:r>
      <w:r>
        <w:t xml:space="preserve"> </w:t>
      </w:r>
    </w:p>
    <w:p w14:paraId="070E1BA3" w14:textId="10CDCF0F" w:rsidR="00B56D50" w:rsidRDefault="001C3C42" w:rsidP="00842394">
      <w:pPr>
        <w:ind w:left="1080" w:right="259" w:firstLine="0"/>
      </w:pPr>
      <w:proofErr w:type="gramStart"/>
      <w:r>
        <w:t xml:space="preserve">--- </w:t>
      </w:r>
      <w:r w:rsidR="003F7073">
        <w:t xml:space="preserve"> </w:t>
      </w:r>
      <w:r>
        <w:t>RT</w:t>
      </w:r>
      <w:proofErr w:type="gramEnd"/>
      <w:r>
        <w:t xml:space="preserve"> window for each target compound (</w:t>
      </w:r>
      <w:proofErr w:type="gramStart"/>
      <w:r>
        <w:t>mean ±</w:t>
      </w:r>
      <w:proofErr w:type="gramEnd"/>
      <w:r>
        <w:t xml:space="preserve"> three standard deviations)</w:t>
      </w:r>
      <w:r w:rsidR="006352A8">
        <w:t>.</w:t>
      </w:r>
      <w:r>
        <w:t xml:space="preserve"> </w:t>
      </w:r>
    </w:p>
    <w:p w14:paraId="4346E93F" w14:textId="290F747B" w:rsidR="00B56D50" w:rsidRDefault="001C3C42" w:rsidP="00842394">
      <w:pPr>
        <w:tabs>
          <w:tab w:val="center" w:pos="346"/>
          <w:tab w:val="center" w:pos="617"/>
          <w:tab w:val="center" w:pos="3924"/>
        </w:tabs>
        <w:ind w:left="1426" w:right="259" w:hanging="346"/>
      </w:pPr>
      <w:proofErr w:type="gramStart"/>
      <w:r>
        <w:t xml:space="preserve">--- </w:t>
      </w:r>
      <w:r w:rsidR="003F7073">
        <w:t xml:space="preserve"> </w:t>
      </w:r>
      <w:r>
        <w:t>Date</w:t>
      </w:r>
      <w:proofErr w:type="gramEnd"/>
      <w:r>
        <w:t xml:space="preserve"> and time of injections (or introduction by purge-and-trap)</w:t>
      </w:r>
      <w:r w:rsidR="006352A8">
        <w:t>.</w:t>
      </w:r>
      <w:r>
        <w:t xml:space="preserve"> </w:t>
      </w:r>
    </w:p>
    <w:p w14:paraId="126EF619" w14:textId="77777777" w:rsidR="00B56D50" w:rsidRDefault="001C3C42">
      <w:pPr>
        <w:spacing w:after="0" w:line="259" w:lineRule="auto"/>
        <w:ind w:left="0" w:right="0" w:firstLine="0"/>
      </w:pPr>
      <w:r>
        <w:t xml:space="preserve"> </w:t>
      </w:r>
    </w:p>
    <w:p w14:paraId="45E3D940" w14:textId="77777777" w:rsidR="00B56D50" w:rsidRDefault="001C3C42" w:rsidP="00093377">
      <w:pPr>
        <w:numPr>
          <w:ilvl w:val="0"/>
          <w:numId w:val="12"/>
        </w:numPr>
        <w:spacing w:after="0"/>
        <w:ind w:right="259" w:hanging="346"/>
      </w:pPr>
      <w:r>
        <w:rPr>
          <w:u w:val="single" w:color="000000"/>
        </w:rPr>
        <w:t>Initial and Continuing Calibration Verification (ICV and CCV</w:t>
      </w:r>
      <w:r w:rsidRPr="00BC2E98">
        <w:rPr>
          <w:u w:val="single"/>
        </w:rPr>
        <w:t>)</w:t>
      </w:r>
      <w:r>
        <w:t xml:space="preserve"> documented by: </w:t>
      </w:r>
    </w:p>
    <w:p w14:paraId="4445DB78" w14:textId="23E4EBBA" w:rsidR="00B56D50" w:rsidRDefault="001C3C42" w:rsidP="00074E7A">
      <w:pPr>
        <w:spacing w:after="2" w:line="248" w:lineRule="auto"/>
        <w:ind w:left="1051" w:right="0" w:hanging="346"/>
      </w:pPr>
      <w:r>
        <w:t xml:space="preserve">  </w:t>
      </w:r>
      <w:r w:rsidR="004E13AA">
        <w:tab/>
      </w:r>
      <w:r>
        <w:t>Note</w:t>
      </w:r>
      <w:r>
        <w:rPr>
          <w:i/>
        </w:rPr>
        <w:t>:  An instrument blank, a QC reference sample (“check sample”), and a midrange calibration standard must be injected at the beginning and end of the run and at intervals in between (at least 1 per 20 samples or 1 per batch if batch is less than 20 samples.  1 per 10 samples is preferred.)</w:t>
      </w:r>
      <w:r w:rsidR="006352A8">
        <w:rPr>
          <w:i/>
        </w:rPr>
        <w:t>.</w:t>
      </w:r>
      <w:r>
        <w:t xml:space="preserve"> </w:t>
      </w:r>
    </w:p>
    <w:p w14:paraId="47015DEA" w14:textId="1C380BCD" w:rsidR="00B56D50" w:rsidRDefault="001C3C42" w:rsidP="0029724D">
      <w:pPr>
        <w:spacing w:after="32"/>
        <w:ind w:left="1426" w:right="259" w:hanging="346"/>
      </w:pPr>
      <w:proofErr w:type="gramStart"/>
      <w:r>
        <w:t xml:space="preserve">--- </w:t>
      </w:r>
      <w:r w:rsidR="0029724D">
        <w:t xml:space="preserve"> </w:t>
      </w:r>
      <w:r>
        <w:t>RT</w:t>
      </w:r>
      <w:proofErr w:type="gramEnd"/>
      <w:r>
        <w:t xml:space="preserve"> for each analyte (or major peak(s) of each multicomponent analyte, if applicable) in the</w:t>
      </w:r>
      <w:r w:rsidR="00842394">
        <w:t xml:space="preserve"> </w:t>
      </w:r>
      <w:r>
        <w:t>midrange standard and comparison to daily RT window</w:t>
      </w:r>
      <w:r w:rsidR="006352A8">
        <w:t>.</w:t>
      </w:r>
      <w:r>
        <w:t xml:space="preserve">  </w:t>
      </w:r>
    </w:p>
    <w:p w14:paraId="1A7CB340" w14:textId="4E41F33E" w:rsidR="00B56D50" w:rsidRDefault="001C3C42" w:rsidP="0029724D">
      <w:pPr>
        <w:ind w:left="1426" w:right="259" w:hanging="346"/>
      </w:pPr>
      <w:proofErr w:type="gramStart"/>
      <w:r>
        <w:t xml:space="preserve">--- </w:t>
      </w:r>
      <w:r w:rsidR="0029724D">
        <w:t xml:space="preserve"> </w:t>
      </w:r>
      <w:r>
        <w:t>Percent</w:t>
      </w:r>
      <w:proofErr w:type="gramEnd"/>
      <w:r>
        <w:t xml:space="preserve"> Difference (%D) between calculated concentration and nominal (“true”) concentration</w:t>
      </w:r>
      <w:r w:rsidR="0029724D">
        <w:t xml:space="preserve"> of </w:t>
      </w:r>
      <w:r>
        <w:t>each target analyte in the QC reference sample</w:t>
      </w:r>
      <w:r w:rsidR="006352A8">
        <w:t>.</w:t>
      </w:r>
      <w:r>
        <w:t xml:space="preserve"> </w:t>
      </w:r>
    </w:p>
    <w:p w14:paraId="7CC51F7A" w14:textId="5FD4ED22" w:rsidR="00912055" w:rsidRDefault="001C3C42" w:rsidP="0029724D">
      <w:pPr>
        <w:ind w:left="1426" w:right="259" w:hanging="346"/>
      </w:pPr>
      <w:proofErr w:type="gramStart"/>
      <w:r>
        <w:t>---</w:t>
      </w:r>
      <w:r w:rsidR="0029724D">
        <w:t xml:space="preserve"> </w:t>
      </w:r>
      <w:r>
        <w:t xml:space="preserve"> %</w:t>
      </w:r>
      <w:proofErr w:type="gramEnd"/>
      <w:r>
        <w:t>D between RF or CF of each single component analyte and major peak(s) of each</w:t>
      </w:r>
    </w:p>
    <w:p w14:paraId="3CF55E8A" w14:textId="16BC65ED" w:rsidR="00B56D50" w:rsidRDefault="001C3C42" w:rsidP="00391D81">
      <w:pPr>
        <w:ind w:left="1426" w:right="259" w:firstLine="0"/>
      </w:pPr>
      <w:r>
        <w:t>multi</w:t>
      </w:r>
      <w:r w:rsidR="00912055">
        <w:t>-</w:t>
      </w:r>
      <w:r>
        <w:t>component analyte in the midrange standard</w:t>
      </w:r>
      <w:r w:rsidR="006352A8">
        <w:t>.</w:t>
      </w:r>
      <w:r>
        <w:t xml:space="preserve"> </w:t>
      </w:r>
    </w:p>
    <w:p w14:paraId="2C38A821" w14:textId="77777777" w:rsidR="00B56D50" w:rsidRDefault="001C3C42">
      <w:pPr>
        <w:spacing w:after="0" w:line="259" w:lineRule="auto"/>
        <w:ind w:left="720" w:right="0" w:firstLine="0"/>
      </w:pPr>
      <w:r>
        <w:rPr>
          <w:rFonts w:ascii="Arial" w:eastAsia="Arial" w:hAnsi="Arial" w:cs="Arial"/>
        </w:rPr>
        <w:t xml:space="preserve"> </w:t>
      </w:r>
    </w:p>
    <w:p w14:paraId="1496C538" w14:textId="77777777" w:rsidR="00B56D50" w:rsidRDefault="001C3C42" w:rsidP="00093377">
      <w:pPr>
        <w:numPr>
          <w:ilvl w:val="0"/>
          <w:numId w:val="12"/>
        </w:numPr>
        <w:ind w:right="255" w:hanging="346"/>
      </w:pPr>
      <w:r>
        <w:t xml:space="preserve">Method of sample introduction (direct injection or purge-and-trap) </w:t>
      </w:r>
    </w:p>
    <w:p w14:paraId="1737E75B" w14:textId="474D881F" w:rsidR="00B56D50" w:rsidRDefault="001C3C42" w:rsidP="0029724D">
      <w:pPr>
        <w:spacing w:after="0" w:line="259" w:lineRule="auto"/>
        <w:ind w:left="720" w:right="0" w:firstLine="0"/>
      </w:pPr>
      <w:r>
        <w:t xml:space="preserve"> </w:t>
      </w:r>
    </w:p>
    <w:p w14:paraId="56B33D90" w14:textId="4936C4A8" w:rsidR="00B56D50" w:rsidRDefault="001C3C42" w:rsidP="00093377">
      <w:pPr>
        <w:numPr>
          <w:ilvl w:val="0"/>
          <w:numId w:val="12"/>
        </w:numPr>
        <w:ind w:right="255" w:hanging="346"/>
      </w:pPr>
      <w:r>
        <w:t xml:space="preserve">Method blank summary </w:t>
      </w:r>
    </w:p>
    <w:p w14:paraId="354D9D4C" w14:textId="77777777" w:rsidR="00B56D50" w:rsidRDefault="001C3C42">
      <w:pPr>
        <w:spacing w:after="0" w:line="259" w:lineRule="auto"/>
        <w:ind w:left="720" w:right="0" w:firstLine="0"/>
      </w:pPr>
      <w:r>
        <w:t xml:space="preserve"> </w:t>
      </w:r>
    </w:p>
    <w:p w14:paraId="11CA1BE6" w14:textId="43261F34" w:rsidR="00783B12" w:rsidRDefault="001C3C42" w:rsidP="00093377">
      <w:pPr>
        <w:numPr>
          <w:ilvl w:val="0"/>
          <w:numId w:val="13"/>
        </w:numPr>
        <w:spacing w:after="0" w:line="259" w:lineRule="auto"/>
        <w:ind w:left="1094" w:right="259" w:hanging="374"/>
      </w:pPr>
      <w:r>
        <w:t>Surrogate recoveries for samples, blanks, and spikes</w:t>
      </w:r>
    </w:p>
    <w:p w14:paraId="40DD27F1" w14:textId="77777777" w:rsidR="00C01A86" w:rsidRDefault="00C01A86" w:rsidP="00C01A86">
      <w:pPr>
        <w:spacing w:after="0" w:line="259" w:lineRule="auto"/>
        <w:ind w:left="1094" w:right="259" w:firstLine="0"/>
      </w:pPr>
    </w:p>
    <w:p w14:paraId="4DB4FA80" w14:textId="2EAD13CB" w:rsidR="00B56D50" w:rsidRDefault="001C3C42" w:rsidP="00093377">
      <w:pPr>
        <w:numPr>
          <w:ilvl w:val="0"/>
          <w:numId w:val="13"/>
        </w:numPr>
        <w:spacing w:after="0" w:line="259" w:lineRule="auto"/>
        <w:ind w:left="1094" w:right="259" w:hanging="374"/>
      </w:pPr>
      <w:r>
        <w:t>Matrix spike/matrix spike duplicate (MS/MSD) analysis (at a minimum frequency of 1 per 20 samples or 1 per batch of less than 20 samples for each matrix)</w:t>
      </w:r>
      <w:r w:rsidR="0036313D">
        <w:t>.  Results</w:t>
      </w:r>
      <w:r>
        <w:t xml:space="preserve"> to be reported </w:t>
      </w:r>
      <w:proofErr w:type="gramStart"/>
      <w:r>
        <w:t>include:</w:t>
      </w:r>
      <w:proofErr w:type="gramEnd"/>
      <w:r w:rsidR="00BE17D2">
        <w:t xml:space="preserve">  </w:t>
      </w:r>
      <w:r>
        <w:t xml:space="preserve">Sample concentration for analyte, concentration of spike added, results, % Recovery for each compound, and Relative Percent Difference between MS and MSD for each compound. </w:t>
      </w:r>
    </w:p>
    <w:p w14:paraId="32FAEC53" w14:textId="77777777" w:rsidR="00B56D50" w:rsidRDefault="001C3C42">
      <w:pPr>
        <w:spacing w:after="0" w:line="259" w:lineRule="auto"/>
        <w:ind w:left="720" w:right="0" w:firstLine="0"/>
      </w:pPr>
      <w:r>
        <w:t xml:space="preserve"> </w:t>
      </w:r>
    </w:p>
    <w:p w14:paraId="6CBFE4F9" w14:textId="3B44412B" w:rsidR="004A50DA" w:rsidRDefault="001C3C42" w:rsidP="00431F2F">
      <w:pPr>
        <w:ind w:left="1080" w:right="259" w:firstLine="0"/>
      </w:pPr>
      <w:r>
        <w:rPr>
          <w:i/>
        </w:rPr>
        <w:t>OR</w:t>
      </w:r>
      <w:r>
        <w:t xml:space="preserve"> For medium to high concentration soil and waste samples, laboratory duplicates may be used</w:t>
      </w:r>
      <w:r w:rsidR="00431F2F">
        <w:t xml:space="preserve"> </w:t>
      </w:r>
      <w:r>
        <w:t>for the MSD</w:t>
      </w:r>
      <w:r w:rsidR="003F4F55">
        <w:t xml:space="preserve">. </w:t>
      </w:r>
      <w:r>
        <w:t xml:space="preserve"> </w:t>
      </w:r>
      <w:r>
        <w:rPr>
          <w:b/>
        </w:rPr>
        <w:t>Note</w:t>
      </w:r>
      <w:proofErr w:type="gramStart"/>
      <w:r>
        <w:rPr>
          <w:b/>
        </w:rPr>
        <w:t xml:space="preserve">: </w:t>
      </w:r>
      <w:r w:rsidR="004A50DA">
        <w:rPr>
          <w:b/>
        </w:rPr>
        <w:t xml:space="preserve"> See</w:t>
      </w:r>
      <w:proofErr w:type="gramEnd"/>
      <w:r w:rsidR="004A50DA">
        <w:rPr>
          <w:b/>
        </w:rPr>
        <w:t xml:space="preserve"> specifications listed in Section XII.</w:t>
      </w:r>
      <w:r w:rsidR="004A50DA">
        <w:t xml:space="preserve"> </w:t>
      </w:r>
    </w:p>
    <w:p w14:paraId="0BE87BF2" w14:textId="381A6BCA" w:rsidR="00B56D50" w:rsidRDefault="00B56D50" w:rsidP="004A50DA">
      <w:pPr>
        <w:ind w:right="0"/>
      </w:pPr>
    </w:p>
    <w:p w14:paraId="0E4BEBAA" w14:textId="13572DC4" w:rsidR="00AF18D5" w:rsidRDefault="001C3C42" w:rsidP="00093377">
      <w:pPr>
        <w:numPr>
          <w:ilvl w:val="0"/>
          <w:numId w:val="13"/>
        </w:numPr>
        <w:spacing w:line="240" w:lineRule="auto"/>
        <w:ind w:left="1094" w:right="259" w:hanging="374"/>
      </w:pPr>
      <w:r>
        <w:t xml:space="preserve">Laboratory control sample (QC Standard or lab-fortified blank: results and % Recovery including </w:t>
      </w:r>
    </w:p>
    <w:p w14:paraId="0789AC56" w14:textId="77777777" w:rsidR="005522CE" w:rsidRDefault="001C3C42" w:rsidP="00431F2F">
      <w:pPr>
        <w:spacing w:line="240" w:lineRule="auto"/>
        <w:ind w:left="1080" w:right="259" w:firstLine="0"/>
      </w:pPr>
      <w:r>
        <w:lastRenderedPageBreak/>
        <w:t>In-house control criteria when outside the State required control criteria.)</w:t>
      </w:r>
    </w:p>
    <w:p w14:paraId="1B46C9B5" w14:textId="46FDE322" w:rsidR="000D3E8A" w:rsidRDefault="000D3E8A" w:rsidP="006846FF">
      <w:pPr>
        <w:spacing w:line="240" w:lineRule="auto"/>
        <w:ind w:left="1094" w:right="259" w:hanging="374"/>
      </w:pPr>
    </w:p>
    <w:p w14:paraId="48F13DEC" w14:textId="5875B9E6" w:rsidR="000D3E8A" w:rsidRDefault="000D3E8A" w:rsidP="00093377">
      <w:pPr>
        <w:pStyle w:val="ListParagraph"/>
        <w:numPr>
          <w:ilvl w:val="0"/>
          <w:numId w:val="68"/>
        </w:numPr>
        <w:tabs>
          <w:tab w:val="center" w:pos="720"/>
          <w:tab w:val="center" w:pos="4285"/>
        </w:tabs>
        <w:spacing w:line="240" w:lineRule="auto"/>
        <w:ind w:left="1094" w:right="259" w:hanging="374"/>
      </w:pPr>
      <w:r>
        <w:t>S</w:t>
      </w:r>
      <w:r w:rsidRPr="003B3E91">
        <w:t>ample preparation records</w:t>
      </w:r>
      <w:r w:rsidR="008D2D75">
        <w:t xml:space="preserve"> and cleanup records</w:t>
      </w:r>
      <w:r w:rsidRPr="003B3E91">
        <w:t xml:space="preserve"> (prep logs)</w:t>
      </w:r>
    </w:p>
    <w:p w14:paraId="294537DF" w14:textId="1BF5CDCA" w:rsidR="000D3E8A" w:rsidRDefault="000D3E8A" w:rsidP="006846FF">
      <w:pPr>
        <w:tabs>
          <w:tab w:val="center" w:pos="720"/>
          <w:tab w:val="center" w:pos="4285"/>
        </w:tabs>
        <w:spacing w:line="240" w:lineRule="auto"/>
        <w:ind w:left="1094" w:right="259" w:hanging="374"/>
      </w:pPr>
    </w:p>
    <w:p w14:paraId="69E15CE6" w14:textId="77777777" w:rsidR="000D3E8A" w:rsidRDefault="000D3E8A" w:rsidP="00093377">
      <w:pPr>
        <w:pStyle w:val="ListParagraph"/>
        <w:numPr>
          <w:ilvl w:val="0"/>
          <w:numId w:val="68"/>
        </w:numPr>
        <w:tabs>
          <w:tab w:val="center" w:pos="720"/>
          <w:tab w:val="center" w:pos="4285"/>
        </w:tabs>
        <w:spacing w:line="240" w:lineRule="auto"/>
        <w:ind w:left="1094" w:right="259" w:hanging="374"/>
      </w:pPr>
      <w:r>
        <w:t>I</w:t>
      </w:r>
      <w:r w:rsidRPr="003B3E91">
        <w:t>nstrument run logs</w:t>
      </w:r>
    </w:p>
    <w:p w14:paraId="6FCC9453" w14:textId="77777777" w:rsidR="008F2C32" w:rsidRDefault="008F2C32" w:rsidP="00A1430F">
      <w:pPr>
        <w:pStyle w:val="ListParagraph"/>
      </w:pPr>
    </w:p>
    <w:p w14:paraId="17BBC680" w14:textId="0B094549" w:rsidR="004F5FF3" w:rsidRDefault="004F5FF3" w:rsidP="00337AB0">
      <w:pPr>
        <w:spacing w:after="0" w:line="259" w:lineRule="auto"/>
        <w:ind w:left="1440" w:right="0" w:hanging="730"/>
      </w:pPr>
      <w:r w:rsidRPr="009310C2">
        <w:rPr>
          <w:b/>
        </w:rPr>
        <w:t>N</w:t>
      </w:r>
      <w:r w:rsidR="00553F6A">
        <w:rPr>
          <w:b/>
        </w:rPr>
        <w:t>ote</w:t>
      </w:r>
      <w:r w:rsidRPr="009310C2">
        <w:rPr>
          <w:b/>
        </w:rPr>
        <w:t>:</w:t>
      </w:r>
      <w:r w:rsidR="00553F6A">
        <w:rPr>
          <w:b/>
        </w:rPr>
        <w:tab/>
      </w:r>
      <w:r w:rsidRPr="009310C2">
        <w:rPr>
          <w:b/>
        </w:rPr>
        <w:t>Raw data will only be submitted upon request of full QA/QC for enforcement level packages.</w:t>
      </w:r>
    </w:p>
    <w:p w14:paraId="63B617E5" w14:textId="77777777" w:rsidR="004F5FF3" w:rsidRDefault="004F5FF3" w:rsidP="00E40340">
      <w:pPr>
        <w:pStyle w:val="ListParagraph"/>
      </w:pPr>
    </w:p>
    <w:p w14:paraId="40B28BA4" w14:textId="09E3D06C" w:rsidR="00E40340" w:rsidRDefault="00F70AD8" w:rsidP="00093377">
      <w:pPr>
        <w:pStyle w:val="ListParagraph"/>
        <w:numPr>
          <w:ilvl w:val="0"/>
          <w:numId w:val="68"/>
        </w:numPr>
        <w:tabs>
          <w:tab w:val="center" w:pos="720"/>
          <w:tab w:val="center" w:pos="4285"/>
        </w:tabs>
        <w:spacing w:line="240" w:lineRule="auto"/>
        <w:ind w:left="1094" w:right="259" w:hanging="374"/>
      </w:pPr>
      <w:r w:rsidRPr="002C5EBC">
        <w:rPr>
          <w:b/>
        </w:rPr>
        <w:t>Raw Data</w:t>
      </w:r>
      <w:r>
        <w:t xml:space="preserve"> for each sample, standard, field duplicate, blank, matrix spike, and matrix spike duplicate, including dilutions made, quantitation reports, chromatograms, and chromatograms and quantitation reports from initial and daily calibrations.</w:t>
      </w:r>
    </w:p>
    <w:p w14:paraId="06967AD0" w14:textId="77777777" w:rsidR="00E40340" w:rsidRDefault="00E40340" w:rsidP="00E40340">
      <w:pPr>
        <w:tabs>
          <w:tab w:val="center" w:pos="720"/>
          <w:tab w:val="center" w:pos="4285"/>
        </w:tabs>
        <w:spacing w:line="240" w:lineRule="auto"/>
        <w:ind w:right="259"/>
      </w:pPr>
    </w:p>
    <w:p w14:paraId="10200017" w14:textId="4F5310A6" w:rsidR="00F70AD8" w:rsidRPr="004418DD" w:rsidRDefault="00F70AD8" w:rsidP="00093377">
      <w:pPr>
        <w:pStyle w:val="ListParagraph"/>
        <w:numPr>
          <w:ilvl w:val="0"/>
          <w:numId w:val="68"/>
        </w:numPr>
        <w:tabs>
          <w:tab w:val="center" w:pos="720"/>
          <w:tab w:val="center" w:pos="4285"/>
        </w:tabs>
        <w:spacing w:line="240" w:lineRule="auto"/>
        <w:ind w:left="1094" w:right="259" w:hanging="374"/>
      </w:pPr>
      <w:r>
        <w:t>Include confirmation 1 by GC/MS or on second GC column, if required by determinative method or if interference is suspected.  Include results and raw data.</w:t>
      </w:r>
    </w:p>
    <w:p w14:paraId="39880284" w14:textId="77777777" w:rsidR="00F70AD8" w:rsidRPr="003B3E91" w:rsidRDefault="00F70AD8" w:rsidP="004418DD">
      <w:pPr>
        <w:tabs>
          <w:tab w:val="center" w:pos="720"/>
          <w:tab w:val="center" w:pos="4285"/>
        </w:tabs>
        <w:spacing w:line="240" w:lineRule="auto"/>
        <w:ind w:right="259"/>
      </w:pPr>
    </w:p>
    <w:p w14:paraId="0223794A" w14:textId="1EBA2BE0" w:rsidR="00B56D50" w:rsidRDefault="000D3E8A" w:rsidP="004418DD">
      <w:pPr>
        <w:tabs>
          <w:tab w:val="center" w:pos="720"/>
          <w:tab w:val="center" w:pos="4285"/>
        </w:tabs>
        <w:spacing w:line="240" w:lineRule="auto"/>
        <w:ind w:right="259"/>
      </w:pPr>
      <w:r>
        <w:t xml:space="preserve"> </w:t>
      </w:r>
    </w:p>
    <w:p w14:paraId="03C39D29" w14:textId="77777777" w:rsidR="009310C2" w:rsidRDefault="009310C2" w:rsidP="004418DD">
      <w:pPr>
        <w:spacing w:after="0" w:line="240" w:lineRule="auto"/>
        <w:ind w:right="259"/>
        <w:rPr>
          <w:b/>
        </w:rPr>
      </w:pPr>
    </w:p>
    <w:p w14:paraId="1E630FB0" w14:textId="006B38E5" w:rsidR="00B56D50" w:rsidRDefault="00B56D50" w:rsidP="004418DD">
      <w:pPr>
        <w:spacing w:after="0" w:line="259" w:lineRule="auto"/>
        <w:ind w:right="0"/>
      </w:pPr>
    </w:p>
    <w:p w14:paraId="5342F66F" w14:textId="77777777" w:rsidR="00237163" w:rsidRDefault="00237163" w:rsidP="00A1430F">
      <w:pPr>
        <w:rPr>
          <w:rFonts w:eastAsia="Calibri"/>
        </w:rPr>
      </w:pPr>
    </w:p>
    <w:p w14:paraId="7522D256" w14:textId="7EEFE040" w:rsidR="00237163" w:rsidRDefault="004418DD" w:rsidP="004418DD">
      <w:pPr>
        <w:jc w:val="center"/>
        <w:rPr>
          <w:rFonts w:eastAsia="Calibri"/>
        </w:rPr>
      </w:pPr>
      <w:r w:rsidRPr="00FF687E">
        <w:rPr>
          <w:b/>
          <w:bCs/>
        </w:rPr>
        <w:t>THE REMAINDER OF THIS PAGE HAS BEEN LEFT BLANK INTENTIONALLY</w:t>
      </w:r>
    </w:p>
    <w:p w14:paraId="7CC5BA20" w14:textId="77777777" w:rsidR="00237163" w:rsidRDefault="00237163" w:rsidP="00A1430F">
      <w:pPr>
        <w:rPr>
          <w:rFonts w:eastAsia="Calibri"/>
        </w:rPr>
      </w:pPr>
    </w:p>
    <w:p w14:paraId="4D19D6F8" w14:textId="77777777" w:rsidR="00237163" w:rsidRDefault="00237163" w:rsidP="00681E34">
      <w:pPr>
        <w:rPr>
          <w:rFonts w:eastAsia="Calibri"/>
        </w:rPr>
      </w:pPr>
    </w:p>
    <w:p w14:paraId="07D8862C" w14:textId="77777777" w:rsidR="00237163" w:rsidRDefault="00237163" w:rsidP="00681E34">
      <w:pPr>
        <w:rPr>
          <w:rFonts w:eastAsia="Calibri"/>
        </w:rPr>
      </w:pPr>
    </w:p>
    <w:p w14:paraId="4DF2615D" w14:textId="77777777" w:rsidR="00237163" w:rsidRDefault="00237163" w:rsidP="00681E34">
      <w:pPr>
        <w:rPr>
          <w:rFonts w:eastAsia="Calibri"/>
        </w:rPr>
      </w:pPr>
    </w:p>
    <w:p w14:paraId="2311C79D" w14:textId="77777777" w:rsidR="00237163" w:rsidRDefault="00237163" w:rsidP="00681E34">
      <w:pPr>
        <w:rPr>
          <w:rFonts w:eastAsia="Calibri"/>
        </w:rPr>
      </w:pPr>
    </w:p>
    <w:p w14:paraId="7B669182" w14:textId="77777777" w:rsidR="00237163" w:rsidRDefault="00237163" w:rsidP="00681E34">
      <w:pPr>
        <w:rPr>
          <w:rFonts w:eastAsia="Calibri"/>
        </w:rPr>
      </w:pPr>
    </w:p>
    <w:p w14:paraId="5B0A38FD" w14:textId="77777777" w:rsidR="00237163" w:rsidRDefault="00237163" w:rsidP="00681E34">
      <w:pPr>
        <w:rPr>
          <w:rFonts w:eastAsia="Calibri"/>
        </w:rPr>
      </w:pPr>
    </w:p>
    <w:p w14:paraId="554356E7" w14:textId="77777777" w:rsidR="00237163" w:rsidRDefault="00237163" w:rsidP="00681E34">
      <w:pPr>
        <w:rPr>
          <w:rFonts w:eastAsia="Calibri"/>
        </w:rPr>
      </w:pPr>
    </w:p>
    <w:p w14:paraId="5B0DC040" w14:textId="77777777" w:rsidR="00237163" w:rsidRDefault="00237163" w:rsidP="00681E34">
      <w:pPr>
        <w:rPr>
          <w:rFonts w:eastAsia="Calibri"/>
        </w:rPr>
      </w:pPr>
    </w:p>
    <w:p w14:paraId="3034DB3B" w14:textId="77777777" w:rsidR="00237163" w:rsidRDefault="00237163" w:rsidP="00681E34">
      <w:pPr>
        <w:rPr>
          <w:rFonts w:eastAsia="Calibri"/>
        </w:rPr>
      </w:pPr>
    </w:p>
    <w:p w14:paraId="1F3CEBE0" w14:textId="77777777" w:rsidR="00237163" w:rsidRDefault="00237163" w:rsidP="00681E34">
      <w:pPr>
        <w:rPr>
          <w:rFonts w:eastAsia="Calibri"/>
        </w:rPr>
      </w:pPr>
    </w:p>
    <w:p w14:paraId="2FAF6520" w14:textId="77777777" w:rsidR="00237163" w:rsidRDefault="00237163" w:rsidP="00681E34">
      <w:pPr>
        <w:rPr>
          <w:rFonts w:eastAsia="Calibri"/>
        </w:rPr>
      </w:pPr>
    </w:p>
    <w:p w14:paraId="2D167533" w14:textId="77777777" w:rsidR="00237163" w:rsidRDefault="00237163" w:rsidP="00681E34">
      <w:pPr>
        <w:rPr>
          <w:rFonts w:eastAsia="Calibri"/>
        </w:rPr>
      </w:pPr>
    </w:p>
    <w:p w14:paraId="42F00310" w14:textId="77777777" w:rsidR="00237163" w:rsidRDefault="00237163" w:rsidP="00681E34">
      <w:pPr>
        <w:rPr>
          <w:rFonts w:eastAsia="Calibri"/>
        </w:rPr>
      </w:pPr>
    </w:p>
    <w:p w14:paraId="2E12749A" w14:textId="77777777" w:rsidR="00237163" w:rsidRDefault="00237163" w:rsidP="00681E34">
      <w:pPr>
        <w:rPr>
          <w:rFonts w:eastAsia="Calibri"/>
        </w:rPr>
      </w:pPr>
    </w:p>
    <w:p w14:paraId="5B7C3243" w14:textId="77777777" w:rsidR="00237163" w:rsidRDefault="00237163" w:rsidP="00681E34">
      <w:pPr>
        <w:rPr>
          <w:rFonts w:eastAsia="Calibri"/>
        </w:rPr>
      </w:pPr>
    </w:p>
    <w:p w14:paraId="2EB4C956" w14:textId="77777777" w:rsidR="00237163" w:rsidRDefault="00237163" w:rsidP="00681E34">
      <w:pPr>
        <w:rPr>
          <w:rFonts w:eastAsia="Calibri"/>
        </w:rPr>
      </w:pPr>
    </w:p>
    <w:p w14:paraId="130FDF42" w14:textId="77777777" w:rsidR="00237163" w:rsidRDefault="00237163" w:rsidP="00681E34">
      <w:pPr>
        <w:rPr>
          <w:rFonts w:eastAsia="Calibri"/>
        </w:rPr>
      </w:pPr>
    </w:p>
    <w:p w14:paraId="5E8B1227" w14:textId="77777777" w:rsidR="00237163" w:rsidRDefault="00237163" w:rsidP="00681E34">
      <w:pPr>
        <w:rPr>
          <w:rFonts w:eastAsia="Calibri"/>
        </w:rPr>
      </w:pPr>
    </w:p>
    <w:p w14:paraId="6A7C8266" w14:textId="77777777" w:rsidR="00237163" w:rsidRDefault="00237163" w:rsidP="00681E34">
      <w:pPr>
        <w:rPr>
          <w:rFonts w:eastAsia="Calibri"/>
        </w:rPr>
      </w:pPr>
    </w:p>
    <w:p w14:paraId="2BCCF9B6" w14:textId="77777777" w:rsidR="00237163" w:rsidRDefault="00237163" w:rsidP="00681E34">
      <w:pPr>
        <w:rPr>
          <w:rFonts w:eastAsia="Calibri"/>
        </w:rPr>
      </w:pPr>
    </w:p>
    <w:p w14:paraId="2B521574" w14:textId="77777777" w:rsidR="00237163" w:rsidRDefault="00237163" w:rsidP="00681E34">
      <w:pPr>
        <w:rPr>
          <w:rFonts w:eastAsia="Calibri"/>
        </w:rPr>
      </w:pPr>
    </w:p>
    <w:p w14:paraId="363A4504" w14:textId="77777777" w:rsidR="00237163" w:rsidRDefault="00237163" w:rsidP="00681E34">
      <w:pPr>
        <w:rPr>
          <w:rFonts w:eastAsia="Calibri"/>
        </w:rPr>
      </w:pPr>
    </w:p>
    <w:p w14:paraId="01C98268" w14:textId="77777777" w:rsidR="00237163" w:rsidRDefault="00237163" w:rsidP="00681E34">
      <w:pPr>
        <w:rPr>
          <w:rFonts w:eastAsia="Calibri"/>
        </w:rPr>
      </w:pPr>
    </w:p>
    <w:p w14:paraId="4BEEEE52" w14:textId="77777777" w:rsidR="00237163" w:rsidRDefault="00237163" w:rsidP="00681E34">
      <w:pPr>
        <w:rPr>
          <w:rFonts w:eastAsia="Calibri"/>
        </w:rPr>
      </w:pPr>
    </w:p>
    <w:p w14:paraId="478207BC" w14:textId="77777777" w:rsidR="00237163" w:rsidRDefault="00237163" w:rsidP="00681E34">
      <w:pPr>
        <w:rPr>
          <w:rFonts w:eastAsia="Calibri"/>
        </w:rPr>
      </w:pPr>
    </w:p>
    <w:p w14:paraId="6C762504" w14:textId="77777777" w:rsidR="00237163" w:rsidRDefault="00237163" w:rsidP="00681E34">
      <w:pPr>
        <w:rPr>
          <w:rFonts w:eastAsia="Calibri"/>
        </w:rPr>
      </w:pPr>
    </w:p>
    <w:p w14:paraId="6D00ED78" w14:textId="77777777" w:rsidR="00237163" w:rsidRDefault="00237163" w:rsidP="00681E34">
      <w:pPr>
        <w:rPr>
          <w:rFonts w:eastAsia="Calibri"/>
        </w:rPr>
      </w:pPr>
    </w:p>
    <w:p w14:paraId="3C85DA55" w14:textId="77777777" w:rsidR="00237163" w:rsidRDefault="00237163" w:rsidP="00681E34">
      <w:pPr>
        <w:rPr>
          <w:rFonts w:eastAsia="Calibri"/>
        </w:rPr>
      </w:pPr>
    </w:p>
    <w:p w14:paraId="3E71391E" w14:textId="77777777" w:rsidR="00237163" w:rsidRDefault="00237163" w:rsidP="00681E34">
      <w:pPr>
        <w:rPr>
          <w:rFonts w:eastAsia="Calibri"/>
        </w:rPr>
      </w:pPr>
    </w:p>
    <w:p w14:paraId="6DC62EAE" w14:textId="77777777" w:rsidR="00237163" w:rsidRDefault="00237163" w:rsidP="00681E34">
      <w:pPr>
        <w:rPr>
          <w:rFonts w:eastAsia="Calibri"/>
        </w:rPr>
      </w:pPr>
    </w:p>
    <w:p w14:paraId="7ABB05ED" w14:textId="77777777" w:rsidR="00237163" w:rsidRPr="00237163" w:rsidRDefault="00237163" w:rsidP="00237163">
      <w:pPr>
        <w:rPr>
          <w:rFonts w:eastAsia="Calibri"/>
        </w:rPr>
      </w:pPr>
    </w:p>
    <w:p w14:paraId="7D6E88D0" w14:textId="2D940B44" w:rsidR="00B56D50" w:rsidRPr="00DC5D01" w:rsidRDefault="001C3C42" w:rsidP="00237163">
      <w:pPr>
        <w:pStyle w:val="Heading3"/>
        <w:tabs>
          <w:tab w:val="center" w:pos="1293"/>
          <w:tab w:val="center" w:pos="5219"/>
        </w:tabs>
        <w:spacing w:after="0" w:line="259" w:lineRule="auto"/>
        <w:ind w:left="0" w:firstLine="0"/>
      </w:pPr>
      <w:r w:rsidRPr="00DC5D01">
        <w:rPr>
          <w:rFonts w:eastAsia="Arial"/>
        </w:rPr>
        <w:lastRenderedPageBreak/>
        <w:t>D</w:t>
      </w:r>
      <w:proofErr w:type="gramStart"/>
      <w:r w:rsidRPr="00DC5D01">
        <w:rPr>
          <w:rFonts w:eastAsia="Arial"/>
        </w:rPr>
        <w:t xml:space="preserve">.  </w:t>
      </w:r>
      <w:r w:rsidRPr="00DC5D01">
        <w:rPr>
          <w:rFonts w:eastAsia="Arial"/>
        </w:rPr>
        <w:tab/>
      </w:r>
      <w:proofErr w:type="gramEnd"/>
      <w:r w:rsidRPr="00DC5D01">
        <w:rPr>
          <w:u w:val="single" w:color="000000"/>
        </w:rPr>
        <w:t>ORGANIC ANALYSIS DELIVERABLES</w:t>
      </w:r>
      <w:proofErr w:type="gramStart"/>
      <w:r w:rsidRPr="00DC5D01">
        <w:rPr>
          <w:u w:val="single" w:color="000000"/>
        </w:rPr>
        <w:t>:  PESTICIDES</w:t>
      </w:r>
      <w:proofErr w:type="gramEnd"/>
      <w:r w:rsidRPr="00DC5D01">
        <w:rPr>
          <w:u w:val="single" w:color="000000"/>
        </w:rPr>
        <w:t xml:space="preserve"> AND PCB</w:t>
      </w:r>
      <w:r w:rsidR="000901A8" w:rsidRPr="00DC5D01">
        <w:rPr>
          <w:u w:val="single" w:color="000000"/>
        </w:rPr>
        <w:t>s</w:t>
      </w:r>
      <w:r w:rsidRPr="00DC5D01">
        <w:t xml:space="preserve"> </w:t>
      </w:r>
    </w:p>
    <w:p w14:paraId="1483A214" w14:textId="77777777" w:rsidR="00B56D50" w:rsidRDefault="001C3C42">
      <w:pPr>
        <w:spacing w:after="0" w:line="259" w:lineRule="auto"/>
        <w:ind w:left="0" w:right="0" w:firstLine="0"/>
      </w:pPr>
      <w:r>
        <w:t xml:space="preserve"> </w:t>
      </w:r>
    </w:p>
    <w:p w14:paraId="18ED9F54" w14:textId="63E37B81" w:rsidR="00B56D50" w:rsidRDefault="001C3C42" w:rsidP="003A2D3D">
      <w:pPr>
        <w:spacing w:after="6" w:line="233" w:lineRule="auto"/>
        <w:ind w:left="-15" w:right="91" w:firstLine="0"/>
      </w:pPr>
      <w:r w:rsidRPr="000D19B5">
        <w:rPr>
          <w:u w:val="single" w:color="000000"/>
        </w:rPr>
        <w:t>QUALITY ASSURANCE/QUALITY CONTROL INFORMATION FOR ANALYSIS OF PESTICIDES and PCB</w:t>
      </w:r>
      <w:r w:rsidR="000901A8">
        <w:rPr>
          <w:u w:val="single" w:color="000000"/>
        </w:rPr>
        <w:t>s</w:t>
      </w:r>
      <w:r>
        <w:t xml:space="preserve"> by Gas Chromatography (GC) with Electron Capture Detector (ECD) or Electrolytic Conductivity Detector (ELCD or HECD) </w:t>
      </w:r>
    </w:p>
    <w:p w14:paraId="6F06069F" w14:textId="77777777" w:rsidR="00B56D50" w:rsidRDefault="001C3C42">
      <w:pPr>
        <w:spacing w:after="0" w:line="259" w:lineRule="auto"/>
        <w:ind w:left="0" w:right="0" w:firstLine="0"/>
      </w:pPr>
      <w:r>
        <w:t xml:space="preserve"> </w:t>
      </w:r>
    </w:p>
    <w:p w14:paraId="5538E8F0" w14:textId="3F3BC6B8" w:rsidR="00B56D50" w:rsidRDefault="001C3C42" w:rsidP="00093377">
      <w:pPr>
        <w:pStyle w:val="ListParagraph"/>
        <w:numPr>
          <w:ilvl w:val="0"/>
          <w:numId w:val="69"/>
        </w:numPr>
        <w:ind w:left="1080" w:right="0"/>
      </w:pPr>
      <w:r w:rsidRPr="00171547">
        <w:rPr>
          <w:u w:val="single" w:color="000000"/>
        </w:rPr>
        <w:t>Initial Calibration</w:t>
      </w:r>
      <w:r>
        <w:t xml:space="preserve"> (Include listing of calibration sequence) </w:t>
      </w:r>
    </w:p>
    <w:p w14:paraId="034D1DAD" w14:textId="33553972" w:rsidR="00B56D50" w:rsidRDefault="001C3C42" w:rsidP="00625B9E">
      <w:pPr>
        <w:spacing w:after="2" w:line="248" w:lineRule="auto"/>
        <w:ind w:left="1090" w:right="0"/>
      </w:pPr>
      <w:r>
        <w:rPr>
          <w:i/>
        </w:rPr>
        <w:t>An external standard calibration procedure is preferred, but an internal standard procedure may be substituted.  If internal standard procedure is used, report Response Factors (RFs) for each compound at each calibration standard concentration, mean RF, and RF %RSD instead of Calibration Factors (CFs)</w:t>
      </w:r>
      <w:r>
        <w:t xml:space="preserve">. </w:t>
      </w:r>
    </w:p>
    <w:p w14:paraId="40782B32" w14:textId="77777777" w:rsidR="00B56D50" w:rsidRDefault="001C3C42">
      <w:pPr>
        <w:spacing w:after="0" w:line="259" w:lineRule="auto"/>
        <w:ind w:left="0" w:right="0" w:firstLine="0"/>
      </w:pPr>
      <w:r>
        <w:t xml:space="preserve"> </w:t>
      </w:r>
    </w:p>
    <w:p w14:paraId="5D1E0398" w14:textId="40910CCD" w:rsidR="00B56D50" w:rsidRDefault="001C3C42" w:rsidP="00093377">
      <w:pPr>
        <w:pStyle w:val="ListParagraph"/>
        <w:numPr>
          <w:ilvl w:val="0"/>
          <w:numId w:val="69"/>
        </w:numPr>
        <w:ind w:left="1080" w:right="0"/>
      </w:pPr>
      <w:r w:rsidRPr="00A90FDB">
        <w:rPr>
          <w:u w:val="single" w:color="000000"/>
        </w:rPr>
        <w:t>For Single Component Analytes</w:t>
      </w:r>
      <w:r>
        <w:t xml:space="preserve">, initial calibration is documented by:  </w:t>
      </w:r>
    </w:p>
    <w:p w14:paraId="637CB44F" w14:textId="2EA977E7" w:rsidR="00B56D50" w:rsidRDefault="001C3C42" w:rsidP="0018674C">
      <w:pPr>
        <w:ind w:left="1090" w:right="0"/>
      </w:pPr>
      <w:proofErr w:type="gramStart"/>
      <w:r>
        <w:t xml:space="preserve">--- </w:t>
      </w:r>
      <w:r w:rsidR="00835D15">
        <w:t xml:space="preserve"> </w:t>
      </w:r>
      <w:r>
        <w:t>Five</w:t>
      </w:r>
      <w:proofErr w:type="gramEnd"/>
      <w:r>
        <w:t xml:space="preserve">-point calibration preferred; minimum of three-point calibration required. </w:t>
      </w:r>
    </w:p>
    <w:p w14:paraId="7ED4A15A" w14:textId="3AD3D254" w:rsidR="002C39E7" w:rsidRDefault="001C3C42" w:rsidP="0018674C">
      <w:pPr>
        <w:ind w:left="1090" w:right="0"/>
      </w:pPr>
      <w:proofErr w:type="gramStart"/>
      <w:r>
        <w:t xml:space="preserve">--- </w:t>
      </w:r>
      <w:r w:rsidR="00835D15">
        <w:t xml:space="preserve"> </w:t>
      </w:r>
      <w:r>
        <w:t>Retention</w:t>
      </w:r>
      <w:proofErr w:type="gramEnd"/>
      <w:r>
        <w:t xml:space="preserve"> Time (RT) Summary to include: </w:t>
      </w:r>
    </w:p>
    <w:p w14:paraId="7ADDE1C0" w14:textId="1FFB73C7" w:rsidR="00B56D50" w:rsidRDefault="001C3C42" w:rsidP="0018674C">
      <w:pPr>
        <w:ind w:left="1426" w:right="0" w:firstLine="0"/>
      </w:pPr>
      <w:r>
        <w:t>RT measured for each target compound and surrogate at each standard concentration from three-point or five-point calibration</w:t>
      </w:r>
      <w:r w:rsidR="00CB3A60">
        <w:t>.</w:t>
      </w:r>
      <w:r>
        <w:t xml:space="preserve"> </w:t>
      </w:r>
    </w:p>
    <w:p w14:paraId="43658E48" w14:textId="4A240419" w:rsidR="00BF41C8" w:rsidRDefault="001D7EBD" w:rsidP="0018674C">
      <w:pPr>
        <w:ind w:left="1426" w:right="0" w:firstLine="0"/>
      </w:pPr>
      <w:r>
        <w:rPr>
          <w:i/>
        </w:rPr>
        <w:t>OR</w:t>
      </w:r>
      <w:r w:rsidR="000D4864">
        <w:rPr>
          <w:i/>
        </w:rPr>
        <w:t xml:space="preserve"> </w:t>
      </w:r>
      <w:r w:rsidR="001C3C42">
        <w:t xml:space="preserve">RT measured for each target compound from three separate injections over a 72-hour period Mean RT for each target compound and surrogate (mean of three to five RTs from </w:t>
      </w:r>
      <w:proofErr w:type="gramStart"/>
      <w:r w:rsidR="001C3C42">
        <w:t xml:space="preserve">calibration  </w:t>
      </w:r>
      <w:r w:rsidR="001C3C42">
        <w:rPr>
          <w:i/>
        </w:rPr>
        <w:t>OR</w:t>
      </w:r>
      <w:proofErr w:type="gramEnd"/>
      <w:r w:rsidR="001C3C42">
        <w:rPr>
          <w:i/>
        </w:rPr>
        <w:t xml:space="preserve"> </w:t>
      </w:r>
      <w:r w:rsidR="001C3C42">
        <w:rPr>
          <w:i/>
        </w:rPr>
        <w:tab/>
      </w:r>
      <w:r w:rsidR="001C3C42">
        <w:t>mean of three RTs measured from injections over a 72-hour period) RT window for each target compound and surrogate</w:t>
      </w:r>
      <w:r w:rsidR="00CB3A60">
        <w:t>.</w:t>
      </w:r>
    </w:p>
    <w:p w14:paraId="54364DA5" w14:textId="2631ECBC" w:rsidR="00B56D50" w:rsidRDefault="001C3C42" w:rsidP="0018674C">
      <w:pPr>
        <w:ind w:left="1080" w:right="0" w:firstLine="0"/>
      </w:pPr>
      <w:proofErr w:type="gramStart"/>
      <w:r>
        <w:t xml:space="preserve">--- </w:t>
      </w:r>
      <w:r w:rsidR="002D17FE">
        <w:t xml:space="preserve"> </w:t>
      </w:r>
      <w:r>
        <w:t>Calibration</w:t>
      </w:r>
      <w:proofErr w:type="gramEnd"/>
      <w:r>
        <w:t xml:space="preserve"> Factor (CF) Summary to include: </w:t>
      </w:r>
    </w:p>
    <w:p w14:paraId="424D89DC" w14:textId="77777777" w:rsidR="00B56D50" w:rsidRDefault="001C3C42" w:rsidP="0018674C">
      <w:pPr>
        <w:ind w:left="1426" w:right="255"/>
      </w:pPr>
      <w:r>
        <w:t xml:space="preserve">CF calculated for each target compound and surrogate at each standard concentration </w:t>
      </w:r>
    </w:p>
    <w:p w14:paraId="4A259C2B" w14:textId="42077B54" w:rsidR="00B56D50" w:rsidRDefault="001C3C42" w:rsidP="0018674C">
      <w:pPr>
        <w:ind w:left="1426" w:right="255" w:firstLine="0"/>
      </w:pPr>
      <w:r>
        <w:t>Mean CF for each target compound and surrogate % Relative Standard Deviation (%RSD) of the CFs at each standard concentration for each compound</w:t>
      </w:r>
      <w:r w:rsidR="007C0F90">
        <w:t>.</w:t>
      </w:r>
    </w:p>
    <w:p w14:paraId="1FE5039A" w14:textId="762E547C" w:rsidR="00B56D50" w:rsidRDefault="001C3C42" w:rsidP="0018674C">
      <w:pPr>
        <w:ind w:left="1090" w:right="255"/>
      </w:pPr>
      <w:proofErr w:type="gramStart"/>
      <w:r>
        <w:t xml:space="preserve">--- </w:t>
      </w:r>
      <w:r w:rsidR="002D17FE">
        <w:t xml:space="preserve"> </w:t>
      </w:r>
      <w:r>
        <w:t>%</w:t>
      </w:r>
      <w:proofErr w:type="gramEnd"/>
      <w:r>
        <w:t xml:space="preserve"> Breakdown of endrin and % breakdown of DDT</w:t>
      </w:r>
      <w:r w:rsidR="00CB3A60">
        <w:t>.</w:t>
      </w:r>
    </w:p>
    <w:p w14:paraId="2FC7E697" w14:textId="057D0421" w:rsidR="00B56D50" w:rsidRDefault="001C3C42" w:rsidP="0018674C">
      <w:pPr>
        <w:ind w:left="1090" w:right="255"/>
      </w:pPr>
      <w:proofErr w:type="gramStart"/>
      <w:r>
        <w:t xml:space="preserve">--- </w:t>
      </w:r>
      <w:r w:rsidR="002D17FE">
        <w:t xml:space="preserve"> </w:t>
      </w:r>
      <w:r>
        <w:t>Date</w:t>
      </w:r>
      <w:proofErr w:type="gramEnd"/>
      <w:r>
        <w:t xml:space="preserve"> and time of injection</w:t>
      </w:r>
      <w:r w:rsidR="00CB3A60">
        <w:t>.</w:t>
      </w:r>
    </w:p>
    <w:p w14:paraId="22E5F8D0" w14:textId="77777777" w:rsidR="00B56D50" w:rsidRDefault="001C3C42">
      <w:pPr>
        <w:spacing w:after="0" w:line="259" w:lineRule="auto"/>
        <w:ind w:left="0" w:right="0" w:firstLine="0"/>
      </w:pPr>
      <w:r>
        <w:t xml:space="preserve"> </w:t>
      </w:r>
    </w:p>
    <w:p w14:paraId="6B8701C0" w14:textId="0BFB8AD2" w:rsidR="00B56D50" w:rsidRDefault="001C3C42" w:rsidP="00093377">
      <w:pPr>
        <w:pStyle w:val="ListParagraph"/>
        <w:numPr>
          <w:ilvl w:val="0"/>
          <w:numId w:val="69"/>
        </w:numPr>
        <w:ind w:left="1080" w:right="255"/>
      </w:pPr>
      <w:r w:rsidRPr="002D17FE">
        <w:rPr>
          <w:u w:val="single" w:color="000000"/>
        </w:rPr>
        <w:t xml:space="preserve">For </w:t>
      </w:r>
      <w:r w:rsidR="00B670CA">
        <w:rPr>
          <w:u w:val="single" w:color="000000"/>
        </w:rPr>
        <w:t>M</w:t>
      </w:r>
      <w:r w:rsidRPr="002D17FE">
        <w:rPr>
          <w:u w:val="single" w:color="000000"/>
        </w:rPr>
        <w:t xml:space="preserve">ulticomponent </w:t>
      </w:r>
      <w:r w:rsidR="00B670CA">
        <w:rPr>
          <w:u w:val="single" w:color="000000"/>
        </w:rPr>
        <w:t>A</w:t>
      </w:r>
      <w:r w:rsidRPr="002D17FE">
        <w:rPr>
          <w:u w:val="single" w:color="000000"/>
        </w:rPr>
        <w:t>nalytes</w:t>
      </w:r>
      <w:r>
        <w:t xml:space="preserve">, initial calibration is documented by: </w:t>
      </w:r>
    </w:p>
    <w:p w14:paraId="355B19D0" w14:textId="28A2604C" w:rsidR="00B56D50" w:rsidRDefault="001C3C42" w:rsidP="0043559E">
      <w:pPr>
        <w:ind w:left="1080" w:right="255"/>
      </w:pPr>
      <w:proofErr w:type="gramStart"/>
      <w:r>
        <w:t xml:space="preserve">--- </w:t>
      </w:r>
      <w:r w:rsidR="002D17FE">
        <w:t xml:space="preserve"> </w:t>
      </w:r>
      <w:r>
        <w:t>Three</w:t>
      </w:r>
      <w:proofErr w:type="gramEnd"/>
      <w:r>
        <w:t xml:space="preserve">-point or five-point calibration using mixture of </w:t>
      </w:r>
      <w:proofErr w:type="spellStart"/>
      <w:r>
        <w:t>Aroclors</w:t>
      </w:r>
      <w:proofErr w:type="spellEnd"/>
      <w:r>
        <w:t xml:space="preserve"> 1016 and 1260</w:t>
      </w:r>
      <w:r w:rsidR="00B670CA">
        <w:t>.</w:t>
      </w:r>
      <w:r>
        <w:t xml:space="preserve"> </w:t>
      </w:r>
    </w:p>
    <w:p w14:paraId="02FA0C2B" w14:textId="435FCE85" w:rsidR="00B56D50" w:rsidRDefault="001C3C42" w:rsidP="00C471E9">
      <w:pPr>
        <w:ind w:left="1426" w:right="259" w:hanging="346"/>
      </w:pPr>
      <w:proofErr w:type="gramStart"/>
      <w:r>
        <w:t xml:space="preserve">--- </w:t>
      </w:r>
      <w:r w:rsidR="002D17FE">
        <w:t xml:space="preserve"> </w:t>
      </w:r>
      <w:r>
        <w:t>A</w:t>
      </w:r>
      <w:proofErr w:type="gramEnd"/>
      <w:r>
        <w:t xml:space="preserve"> “one-point calibration” using a midrange standard must be run for all target</w:t>
      </w:r>
      <w:r w:rsidR="00E0051A">
        <w:t xml:space="preserve"> </w:t>
      </w:r>
      <w:r>
        <w:t>multicomponent compounds</w:t>
      </w:r>
      <w:r w:rsidR="00B670CA">
        <w:t>.</w:t>
      </w:r>
    </w:p>
    <w:p w14:paraId="6DF1C816" w14:textId="4CBD3261" w:rsidR="00B56D50" w:rsidRDefault="001C3C42" w:rsidP="00C471E9">
      <w:pPr>
        <w:ind w:left="1090" w:right="0"/>
      </w:pPr>
      <w:proofErr w:type="gramStart"/>
      <w:r>
        <w:t xml:space="preserve">--- </w:t>
      </w:r>
      <w:r w:rsidR="002D17FE">
        <w:t xml:space="preserve"> </w:t>
      </w:r>
      <w:r>
        <w:t>Retention</w:t>
      </w:r>
      <w:proofErr w:type="gramEnd"/>
      <w:r>
        <w:t xml:space="preserve"> Time (RT) Summary</w:t>
      </w:r>
      <w:r w:rsidR="00674125">
        <w:t xml:space="preserve"> f</w:t>
      </w:r>
      <w:r>
        <w:t xml:space="preserve">or </w:t>
      </w:r>
      <w:proofErr w:type="spellStart"/>
      <w:r>
        <w:t>Aroclors</w:t>
      </w:r>
      <w:proofErr w:type="spellEnd"/>
      <w:r>
        <w:t xml:space="preserve"> 1016 and 1260:  </w:t>
      </w:r>
    </w:p>
    <w:p w14:paraId="6F95EDF9" w14:textId="3D3B8BD4" w:rsidR="00B56D50" w:rsidRDefault="001C3C42" w:rsidP="00C471E9">
      <w:pPr>
        <w:ind w:left="1426" w:right="0" w:firstLine="0"/>
      </w:pPr>
      <w:r>
        <w:t xml:space="preserve">RT </w:t>
      </w:r>
      <w:proofErr w:type="gramStart"/>
      <w:r>
        <w:t>measured for</w:t>
      </w:r>
      <w:proofErr w:type="gramEnd"/>
      <w:r>
        <w:t xml:space="preserve"> at least one major peak at each standard concentration from the three-point or five-point calibration (same peak(s) at each concentration)</w:t>
      </w:r>
      <w:r w:rsidR="004B3C8D">
        <w:t>.</w:t>
      </w:r>
    </w:p>
    <w:p w14:paraId="00602A1B" w14:textId="3DF40E15" w:rsidR="005B393C" w:rsidRDefault="001C3C42" w:rsidP="00C471E9">
      <w:pPr>
        <w:ind w:left="1426" w:right="0" w:firstLine="0"/>
      </w:pPr>
      <w:r>
        <w:rPr>
          <w:i/>
        </w:rPr>
        <w:t>OR</w:t>
      </w:r>
      <w:r w:rsidR="005B393C" w:rsidRPr="00C471E9">
        <w:rPr>
          <w:iCs/>
        </w:rPr>
        <w:t xml:space="preserve"> </w:t>
      </w:r>
      <w:r>
        <w:t>RT measured for at least one major peak from three separate injections over a 72-hour period (same peak(s) used for each injection)</w:t>
      </w:r>
      <w:r w:rsidR="004B3C8D">
        <w:t>.</w:t>
      </w:r>
    </w:p>
    <w:p w14:paraId="1253DD49" w14:textId="247CA733" w:rsidR="00B56D50" w:rsidRDefault="001C3C42" w:rsidP="00195F7B">
      <w:pPr>
        <w:ind w:left="1080" w:right="0" w:firstLine="0"/>
      </w:pPr>
      <w:proofErr w:type="gramStart"/>
      <w:r>
        <w:t>--</w:t>
      </w:r>
      <w:r w:rsidR="000B1E15">
        <w:t xml:space="preserve">- </w:t>
      </w:r>
      <w:r>
        <w:t xml:space="preserve"> Mean</w:t>
      </w:r>
      <w:proofErr w:type="gramEnd"/>
      <w:r>
        <w:t xml:space="preserve"> RT for the chosen major peak(s)</w:t>
      </w:r>
      <w:r w:rsidR="004B3C8D">
        <w:t>.</w:t>
      </w:r>
    </w:p>
    <w:p w14:paraId="365CEF9E" w14:textId="2B0B3FB5" w:rsidR="00B56D50" w:rsidRDefault="001C3C42" w:rsidP="00C471E9">
      <w:pPr>
        <w:ind w:left="1080" w:right="255" w:firstLine="0"/>
      </w:pPr>
      <w:proofErr w:type="gramStart"/>
      <w:r>
        <w:t>--</w:t>
      </w:r>
      <w:r w:rsidR="000B1E15">
        <w:t xml:space="preserve">- </w:t>
      </w:r>
      <w:r>
        <w:t xml:space="preserve"> RT</w:t>
      </w:r>
      <w:proofErr w:type="gramEnd"/>
      <w:r>
        <w:t xml:space="preserve"> window for the chosen major peak(s)</w:t>
      </w:r>
      <w:r w:rsidR="004B3C8D">
        <w:t>.</w:t>
      </w:r>
    </w:p>
    <w:p w14:paraId="2E1810CF" w14:textId="6FD3CFE5" w:rsidR="00A913F9" w:rsidRDefault="00A913F9" w:rsidP="00C471E9">
      <w:pPr>
        <w:ind w:left="1080" w:right="255" w:firstLine="0"/>
      </w:pPr>
    </w:p>
    <w:p w14:paraId="04F630FD" w14:textId="56437EAB" w:rsidR="00B56D50" w:rsidRDefault="001D7EBD" w:rsidP="00093377">
      <w:pPr>
        <w:pStyle w:val="ListParagraph"/>
        <w:numPr>
          <w:ilvl w:val="0"/>
          <w:numId w:val="71"/>
        </w:numPr>
        <w:spacing w:after="0" w:line="259" w:lineRule="auto"/>
        <w:ind w:left="1080" w:right="0"/>
      </w:pPr>
      <w:r w:rsidRPr="00A913F9">
        <w:rPr>
          <w:u w:val="single"/>
        </w:rPr>
        <w:t>Initial</w:t>
      </w:r>
      <w:r w:rsidR="001C3C42" w:rsidRPr="00A913F9">
        <w:rPr>
          <w:u w:val="single"/>
        </w:rPr>
        <w:t xml:space="preserve"> </w:t>
      </w:r>
      <w:r w:rsidR="001C3C42" w:rsidRPr="00A913F9">
        <w:rPr>
          <w:u w:val="single" w:color="000000"/>
        </w:rPr>
        <w:t>and Continuing Calibration Verification (ICV and CCV)</w:t>
      </w:r>
      <w:r w:rsidR="001C3C42">
        <w:t xml:space="preserve"> documented by: </w:t>
      </w:r>
    </w:p>
    <w:p w14:paraId="73C1FFE5" w14:textId="28F7E86B" w:rsidR="00B56D50" w:rsidRDefault="001C3C42" w:rsidP="00FA7686">
      <w:pPr>
        <w:spacing w:after="2" w:line="248" w:lineRule="auto"/>
        <w:ind w:left="1090" w:right="0"/>
      </w:pPr>
      <w:r>
        <w:t>Note</w:t>
      </w:r>
      <w:r>
        <w:rPr>
          <w:i/>
        </w:rPr>
        <w:t xml:space="preserve">:  An instrument blank, a QC reference sample (“check sample”), and a midrange calibration standard is injected at the beginning and end of the run and at intervals in between (at least 1 per 20 samples or 1 per batch if batch is less than 20 samples.  1 per 10 samples is preferred.)  For PCBs only </w:t>
      </w:r>
      <w:proofErr w:type="spellStart"/>
      <w:r>
        <w:rPr>
          <w:i/>
        </w:rPr>
        <w:t>Aroclors</w:t>
      </w:r>
      <w:proofErr w:type="spellEnd"/>
      <w:r>
        <w:rPr>
          <w:i/>
        </w:rPr>
        <w:t xml:space="preserve"> 1016 and 1260 need be injected unless there are specific known target PCBs at the site.  If so, all targeted PCBs must be injected. </w:t>
      </w:r>
    </w:p>
    <w:p w14:paraId="7482F7EA" w14:textId="77777777" w:rsidR="00B56D50" w:rsidRDefault="001C3C42">
      <w:pPr>
        <w:spacing w:after="0" w:line="259" w:lineRule="auto"/>
        <w:ind w:left="0" w:right="0" w:firstLine="0"/>
      </w:pPr>
      <w:r>
        <w:rPr>
          <w:sz w:val="24"/>
        </w:rPr>
        <w:t xml:space="preserve"> </w:t>
      </w:r>
      <w:r>
        <w:rPr>
          <w:sz w:val="24"/>
        </w:rPr>
        <w:tab/>
      </w:r>
      <w:r>
        <w:t xml:space="preserve"> </w:t>
      </w:r>
    </w:p>
    <w:p w14:paraId="0E6331DB" w14:textId="027D482E" w:rsidR="00B56D50" w:rsidRDefault="001C3C42" w:rsidP="00B83BBF">
      <w:pPr>
        <w:ind w:left="1440" w:right="255" w:hanging="360"/>
      </w:pPr>
      <w:proofErr w:type="gramStart"/>
      <w:r>
        <w:t xml:space="preserve">--- </w:t>
      </w:r>
      <w:r w:rsidR="00C471E9">
        <w:t xml:space="preserve"> </w:t>
      </w:r>
      <w:r>
        <w:t>Absolute</w:t>
      </w:r>
      <w:proofErr w:type="gramEnd"/>
      <w:r>
        <w:t xml:space="preserve"> RT for each single component analyte and major peak(s) of each multicomponent analyte in the midrange standard (and comparison to RT window established at calibration) </w:t>
      </w:r>
    </w:p>
    <w:p w14:paraId="0E7C56C2" w14:textId="0DE46C93" w:rsidR="00B56D50" w:rsidRDefault="001C3C42" w:rsidP="00B83BBF">
      <w:pPr>
        <w:ind w:left="1440" w:right="0" w:hanging="360"/>
      </w:pPr>
      <w:proofErr w:type="gramStart"/>
      <w:r>
        <w:t xml:space="preserve">--- </w:t>
      </w:r>
      <w:r w:rsidR="00C471E9">
        <w:t xml:space="preserve"> </w:t>
      </w:r>
      <w:r>
        <w:t>Percent</w:t>
      </w:r>
      <w:proofErr w:type="gramEnd"/>
      <w:r>
        <w:t xml:space="preserve"> Difference (%D) between calculated concentration and nominal (“true”) concentration of each target analyte in the QC reference sample </w:t>
      </w:r>
    </w:p>
    <w:p w14:paraId="1A25CC65" w14:textId="77777777" w:rsidR="00706026" w:rsidRDefault="001C3C42" w:rsidP="00D90963">
      <w:pPr>
        <w:ind w:left="1440" w:right="255" w:hanging="360"/>
      </w:pPr>
      <w:proofErr w:type="gramStart"/>
      <w:r>
        <w:lastRenderedPageBreak/>
        <w:t xml:space="preserve">--- </w:t>
      </w:r>
      <w:r w:rsidR="00765B12">
        <w:t xml:space="preserve"> </w:t>
      </w:r>
      <w:r>
        <w:t>%</w:t>
      </w:r>
      <w:proofErr w:type="gramEnd"/>
      <w:r w:rsidR="00B7599E">
        <w:t xml:space="preserve"> </w:t>
      </w:r>
      <w:r>
        <w:t>D between RF or CF of each single component analyte and major peak(s) of each multicomponent analyte in the midrange standard</w:t>
      </w:r>
      <w:r w:rsidR="00706026">
        <w:t>.</w:t>
      </w:r>
    </w:p>
    <w:p w14:paraId="53190CCB" w14:textId="3C942394" w:rsidR="00B56D50" w:rsidRDefault="001C3C42" w:rsidP="00D90963">
      <w:pPr>
        <w:ind w:left="1440" w:right="255" w:hanging="360"/>
      </w:pPr>
      <w:r>
        <w:t xml:space="preserve"> </w:t>
      </w:r>
    </w:p>
    <w:p w14:paraId="030CAA0E" w14:textId="2283C77E" w:rsidR="00B56D50" w:rsidRDefault="001C3C42" w:rsidP="00093377">
      <w:pPr>
        <w:pStyle w:val="ListParagraph"/>
        <w:numPr>
          <w:ilvl w:val="0"/>
          <w:numId w:val="70"/>
        </w:numPr>
        <w:ind w:right="255"/>
      </w:pPr>
      <w:r w:rsidRPr="00B83BBF">
        <w:rPr>
          <w:u w:val="single"/>
        </w:rPr>
        <w:t xml:space="preserve">For </w:t>
      </w:r>
      <w:r w:rsidR="00706026" w:rsidRPr="00B83BBF">
        <w:rPr>
          <w:u w:val="single"/>
        </w:rPr>
        <w:t>M</w:t>
      </w:r>
      <w:r w:rsidRPr="00B83BBF">
        <w:rPr>
          <w:u w:val="single"/>
        </w:rPr>
        <w:t xml:space="preserve">ulticomponent </w:t>
      </w:r>
      <w:r w:rsidR="00706026" w:rsidRPr="00B83BBF">
        <w:rPr>
          <w:u w:val="single"/>
        </w:rPr>
        <w:t>A</w:t>
      </w:r>
      <w:r w:rsidRPr="00B83BBF">
        <w:rPr>
          <w:u w:val="single"/>
        </w:rPr>
        <w:t>nalytes</w:t>
      </w:r>
      <w:r w:rsidR="00706026" w:rsidRPr="00BC2E98">
        <w:t>,</w:t>
      </w:r>
      <w:r>
        <w:t xml:space="preserve"> run at midrange concentration only: </w:t>
      </w:r>
    </w:p>
    <w:p w14:paraId="17E49A8E" w14:textId="41DCB0A5" w:rsidR="00B56D50" w:rsidRDefault="00765B12" w:rsidP="00B83BBF">
      <w:pPr>
        <w:ind w:left="360" w:right="255" w:firstLine="720"/>
      </w:pPr>
      <w:proofErr w:type="gramStart"/>
      <w:r>
        <w:t>-</w:t>
      </w:r>
      <w:r w:rsidR="001C3C42">
        <w:t xml:space="preserve">-- </w:t>
      </w:r>
      <w:r>
        <w:t xml:space="preserve"> </w:t>
      </w:r>
      <w:r w:rsidR="001C3C42">
        <w:t>RT</w:t>
      </w:r>
      <w:proofErr w:type="gramEnd"/>
      <w:r w:rsidR="001C3C42">
        <w:t xml:space="preserve"> measured for three to five major peaks from one-point calibration run </w:t>
      </w:r>
    </w:p>
    <w:p w14:paraId="39816678" w14:textId="01EE7151" w:rsidR="00765B12" w:rsidRDefault="001C3C42" w:rsidP="00B83BBF">
      <w:pPr>
        <w:ind w:left="1426" w:right="0" w:firstLine="0"/>
      </w:pPr>
      <w:r>
        <w:rPr>
          <w:i/>
        </w:rPr>
        <w:t xml:space="preserve">OR </w:t>
      </w:r>
      <w:r>
        <w:t>RT measured for at least one major peak from three separate injections over a 72-hour period (same peak(s) used for each injection)</w:t>
      </w:r>
      <w:r w:rsidR="00FA7686">
        <w:t>.</w:t>
      </w:r>
    </w:p>
    <w:p w14:paraId="78623748" w14:textId="24B020FF" w:rsidR="002A43BC" w:rsidRDefault="00765B12" w:rsidP="00B83BBF">
      <w:pPr>
        <w:ind w:left="1440" w:right="0" w:hanging="360"/>
      </w:pPr>
      <w:proofErr w:type="gramStart"/>
      <w:r>
        <w:t>-</w:t>
      </w:r>
      <w:r w:rsidR="001C3C42">
        <w:t xml:space="preserve">-- </w:t>
      </w:r>
      <w:r w:rsidR="006A0BEC">
        <w:t xml:space="preserve"> </w:t>
      </w:r>
      <w:r w:rsidR="001C3C42">
        <w:t>Mean</w:t>
      </w:r>
      <w:proofErr w:type="gramEnd"/>
      <w:r w:rsidR="001C3C42">
        <w:t xml:space="preserve"> RT for the chosen major peak(s)</w:t>
      </w:r>
      <w:r w:rsidR="00256104">
        <w:t>.</w:t>
      </w:r>
    </w:p>
    <w:p w14:paraId="0474062D" w14:textId="13EEAC82" w:rsidR="007946CF" w:rsidRDefault="00C11842" w:rsidP="007946CF">
      <w:pPr>
        <w:ind w:left="1080" w:right="0" w:firstLine="0"/>
      </w:pPr>
      <w:proofErr w:type="gramStart"/>
      <w:r>
        <w:t>-</w:t>
      </w:r>
      <w:r w:rsidR="001C3C42">
        <w:t xml:space="preserve">-- </w:t>
      </w:r>
      <w:r w:rsidR="006A0BEC">
        <w:t xml:space="preserve"> </w:t>
      </w:r>
      <w:r w:rsidR="001C3C42">
        <w:t>RT</w:t>
      </w:r>
      <w:proofErr w:type="gramEnd"/>
      <w:r w:rsidR="001C3C42">
        <w:t xml:space="preserve"> window for the chosen major peak(s)</w:t>
      </w:r>
      <w:r w:rsidR="00256104">
        <w:t>.</w:t>
      </w:r>
    </w:p>
    <w:p w14:paraId="6EFB1171" w14:textId="186594AE" w:rsidR="00B56D50" w:rsidRDefault="001C3C42" w:rsidP="00B83BBF">
      <w:pPr>
        <w:ind w:left="1080" w:right="0" w:firstLine="0"/>
      </w:pPr>
      <w:proofErr w:type="gramStart"/>
      <w:r>
        <w:t xml:space="preserve">--- </w:t>
      </w:r>
      <w:r w:rsidR="007946CF">
        <w:t xml:space="preserve"> </w:t>
      </w:r>
      <w:r>
        <w:t>Calibration</w:t>
      </w:r>
      <w:proofErr w:type="gramEnd"/>
      <w:r>
        <w:t xml:space="preserve"> Factor (CF) Summary to include: </w:t>
      </w:r>
    </w:p>
    <w:p w14:paraId="78D5BF57" w14:textId="1BED481D" w:rsidR="007946CF" w:rsidRDefault="001C3C42" w:rsidP="00B83BBF">
      <w:pPr>
        <w:ind w:left="1426" w:right="0" w:firstLine="0"/>
        <w:rPr>
          <w:i/>
        </w:rPr>
      </w:pPr>
      <w:r>
        <w:t xml:space="preserve">CF calculated for each target compound (total area of all peaks used for quantitation) at each standard concentration (or from each of three injections) </w:t>
      </w:r>
    </w:p>
    <w:p w14:paraId="144039D0" w14:textId="282CBA43" w:rsidR="00B56D50" w:rsidRDefault="001D7EBD" w:rsidP="00B83BBF">
      <w:pPr>
        <w:ind w:left="1426" w:right="0" w:firstLine="0"/>
      </w:pPr>
      <w:r>
        <w:rPr>
          <w:i/>
        </w:rPr>
        <w:t>OR</w:t>
      </w:r>
      <w:r>
        <w:t xml:space="preserve"> </w:t>
      </w:r>
      <w:r w:rsidR="001C3C42">
        <w:t>CF calculated for three to five major peaks of each target compound from calibration run of midpoint standard</w:t>
      </w:r>
      <w:r w:rsidR="001571C3">
        <w:t>.</w:t>
      </w:r>
    </w:p>
    <w:p w14:paraId="7EF68F77" w14:textId="4BE02DC4" w:rsidR="00B56D50" w:rsidRDefault="001C3C42" w:rsidP="00B83BBF">
      <w:pPr>
        <w:ind w:left="1426" w:right="255" w:firstLine="0"/>
      </w:pPr>
      <w:r>
        <w:t>Mean CF for each target compound (for analytes run at multiple concentrations or injected three times over a 72-hour period only)</w:t>
      </w:r>
      <w:r w:rsidR="001571C3">
        <w:t>.</w:t>
      </w:r>
    </w:p>
    <w:p w14:paraId="53EABD31" w14:textId="0B1151FE" w:rsidR="00B56D50" w:rsidRDefault="001C3C42" w:rsidP="00B83BBF">
      <w:pPr>
        <w:ind w:left="1426" w:right="255" w:firstLine="0"/>
      </w:pPr>
      <w:r>
        <w:t>% Relative Standard Deviation (%RSD) of the CFs for each compound (for analytes run at multiple concentrations or injected three times over a 72-hour period only)</w:t>
      </w:r>
      <w:r w:rsidR="001571C3">
        <w:t>.</w:t>
      </w:r>
    </w:p>
    <w:p w14:paraId="6F68EF78" w14:textId="4FD4FB3F" w:rsidR="00B56D50" w:rsidRDefault="001C3C42" w:rsidP="00B83BBF">
      <w:pPr>
        <w:ind w:left="1080" w:right="255" w:firstLine="0"/>
      </w:pPr>
      <w:proofErr w:type="gramStart"/>
      <w:r>
        <w:t>---</w:t>
      </w:r>
      <w:r w:rsidR="00B83BBF">
        <w:t xml:space="preserve"> </w:t>
      </w:r>
      <w:r>
        <w:t xml:space="preserve"> %</w:t>
      </w:r>
      <w:proofErr w:type="gramEnd"/>
      <w:r>
        <w:t xml:space="preserve"> Breakdown of endrin and % breakdown of DDT</w:t>
      </w:r>
      <w:r w:rsidR="001571C3">
        <w:t>.</w:t>
      </w:r>
    </w:p>
    <w:p w14:paraId="27B7B34D" w14:textId="1239EB79" w:rsidR="00B56D50" w:rsidRDefault="001C3C42" w:rsidP="00B83BBF">
      <w:pPr>
        <w:ind w:left="1080" w:right="255"/>
      </w:pPr>
      <w:proofErr w:type="gramStart"/>
      <w:r>
        <w:t xml:space="preserve">--- </w:t>
      </w:r>
      <w:r w:rsidR="00B83BBF">
        <w:t xml:space="preserve"> </w:t>
      </w:r>
      <w:r>
        <w:t>Date</w:t>
      </w:r>
      <w:proofErr w:type="gramEnd"/>
      <w:r>
        <w:t xml:space="preserve"> and time of injection</w:t>
      </w:r>
      <w:r w:rsidR="001571C3">
        <w:t>.</w:t>
      </w:r>
      <w:r>
        <w:t xml:space="preserve"> </w:t>
      </w:r>
    </w:p>
    <w:p w14:paraId="4D66493E" w14:textId="77777777" w:rsidR="00B56D50" w:rsidRDefault="001C3C42">
      <w:pPr>
        <w:spacing w:after="0" w:line="259" w:lineRule="auto"/>
        <w:ind w:left="0" w:right="0" w:firstLine="0"/>
      </w:pPr>
      <w:r>
        <w:t xml:space="preserve"> </w:t>
      </w:r>
    </w:p>
    <w:p w14:paraId="6814B92C" w14:textId="06060BB8" w:rsidR="00B56D50" w:rsidRDefault="001C3C42" w:rsidP="00093377">
      <w:pPr>
        <w:numPr>
          <w:ilvl w:val="0"/>
          <w:numId w:val="14"/>
        </w:numPr>
        <w:ind w:left="1094" w:right="255" w:hanging="374"/>
      </w:pPr>
      <w:r>
        <w:t xml:space="preserve">Method blank summary </w:t>
      </w:r>
    </w:p>
    <w:p w14:paraId="7E10AB2A" w14:textId="77777777" w:rsidR="00B56D50" w:rsidRDefault="001C3C42">
      <w:pPr>
        <w:spacing w:after="0" w:line="259" w:lineRule="auto"/>
        <w:ind w:left="271" w:right="0" w:firstLine="0"/>
      </w:pPr>
      <w:r>
        <w:t xml:space="preserve"> </w:t>
      </w:r>
    </w:p>
    <w:p w14:paraId="7208817B" w14:textId="77777777" w:rsidR="00B56D50" w:rsidRDefault="001C3C42" w:rsidP="00093377">
      <w:pPr>
        <w:numPr>
          <w:ilvl w:val="0"/>
          <w:numId w:val="14"/>
        </w:numPr>
        <w:ind w:left="1094" w:right="255" w:hanging="374"/>
      </w:pPr>
      <w:r>
        <w:t xml:space="preserve">Surrogate recoveries for samples, blanks, and spikes </w:t>
      </w:r>
    </w:p>
    <w:p w14:paraId="4B5C315C" w14:textId="77777777" w:rsidR="00B56D50" w:rsidRDefault="001C3C42">
      <w:pPr>
        <w:spacing w:after="0" w:line="259" w:lineRule="auto"/>
        <w:ind w:left="0" w:right="0" w:firstLine="0"/>
      </w:pPr>
      <w:r>
        <w:t xml:space="preserve"> </w:t>
      </w:r>
    </w:p>
    <w:p w14:paraId="2ADE82FF" w14:textId="77777777" w:rsidR="00B56D50" w:rsidRDefault="001C3C42" w:rsidP="00093377">
      <w:pPr>
        <w:numPr>
          <w:ilvl w:val="0"/>
          <w:numId w:val="14"/>
        </w:numPr>
        <w:ind w:left="1094" w:right="255" w:hanging="374"/>
      </w:pPr>
      <w:r>
        <w:t xml:space="preserve">Matrix spike/matrix spike duplicate (MS/MSD) analysis (at a minimum frequency of 1 per 20 samples or 1 per batch of less than 20 samples for each matrix).  Results to be reported </w:t>
      </w:r>
      <w:proofErr w:type="gramStart"/>
      <w:r>
        <w:t>include:</w:t>
      </w:r>
      <w:proofErr w:type="gramEnd"/>
      <w:r>
        <w:t xml:space="preserve">   Sample concentration for analyte, concentration of spike added, results, % Recovery for each compound, and Relative Percent Difference between MS and MSD for each compound. </w:t>
      </w:r>
    </w:p>
    <w:p w14:paraId="6801271F" w14:textId="4BE80716" w:rsidR="00E438D9" w:rsidRDefault="001C3C42" w:rsidP="00E438D9">
      <w:pPr>
        <w:ind w:left="1080" w:right="0" w:firstLine="0"/>
        <w:rPr>
          <w:b/>
        </w:rPr>
      </w:pPr>
      <w:r>
        <w:rPr>
          <w:i/>
        </w:rPr>
        <w:t>OR</w:t>
      </w:r>
      <w:r>
        <w:t xml:space="preserve"> For medium to high concentration soil and waste samples, laboratory duplicates may be substituted for the MSD</w:t>
      </w:r>
      <w:r w:rsidR="00F30010">
        <w:t xml:space="preserve">. </w:t>
      </w:r>
      <w:r>
        <w:t xml:space="preserve"> </w:t>
      </w:r>
      <w:r w:rsidR="00F30010">
        <w:rPr>
          <w:b/>
        </w:rPr>
        <w:t>Note</w:t>
      </w:r>
      <w:proofErr w:type="gramStart"/>
      <w:r w:rsidR="00F30010">
        <w:rPr>
          <w:b/>
        </w:rPr>
        <w:t>:  See</w:t>
      </w:r>
      <w:proofErr w:type="gramEnd"/>
      <w:r w:rsidR="00F30010">
        <w:rPr>
          <w:b/>
        </w:rPr>
        <w:t xml:space="preserve"> specifications listed in Section XII.</w:t>
      </w:r>
    </w:p>
    <w:p w14:paraId="7958F073" w14:textId="77777777" w:rsidR="00E438D9" w:rsidRDefault="00E438D9" w:rsidP="00E438D9">
      <w:pPr>
        <w:ind w:left="0" w:right="0" w:firstLine="0"/>
        <w:rPr>
          <w:bCs/>
        </w:rPr>
      </w:pPr>
    </w:p>
    <w:p w14:paraId="0DA63461" w14:textId="78CBFD28" w:rsidR="0036779E" w:rsidRDefault="00E438D9" w:rsidP="00093377">
      <w:pPr>
        <w:pStyle w:val="ListParagraph"/>
        <w:numPr>
          <w:ilvl w:val="0"/>
          <w:numId w:val="70"/>
        </w:numPr>
        <w:ind w:left="1080" w:right="0"/>
      </w:pPr>
      <w:r w:rsidRPr="00E438D9">
        <w:rPr>
          <w:bCs/>
        </w:rPr>
        <w:t>L</w:t>
      </w:r>
      <w:r w:rsidR="001C3C42">
        <w:t>aboratory control sample (QC Standard or lab-fortified blank: results and % Recovery including in-house control criteria when outside the State required control criteria.)</w:t>
      </w:r>
    </w:p>
    <w:p w14:paraId="5C89F7B6" w14:textId="77777777" w:rsidR="00C0114A" w:rsidRDefault="00C0114A" w:rsidP="00A51F32">
      <w:pPr>
        <w:ind w:left="748" w:right="255" w:firstLine="0"/>
      </w:pPr>
    </w:p>
    <w:p w14:paraId="755C86C1" w14:textId="77777777" w:rsidR="005906EE" w:rsidRDefault="005906EE" w:rsidP="00093377">
      <w:pPr>
        <w:numPr>
          <w:ilvl w:val="0"/>
          <w:numId w:val="15"/>
        </w:numPr>
        <w:ind w:right="255" w:hanging="346"/>
      </w:pPr>
      <w:r>
        <w:t xml:space="preserve">Confirmation of detection </w:t>
      </w:r>
      <w:r>
        <w:rPr>
          <w:b/>
        </w:rPr>
        <w:t>required</w:t>
      </w:r>
      <w:proofErr w:type="gramStart"/>
      <w:r>
        <w:t>:  on</w:t>
      </w:r>
      <w:proofErr w:type="gramEnd"/>
      <w:r>
        <w:t xml:space="preserve"> second GC column </w:t>
      </w:r>
      <w:r>
        <w:rPr>
          <w:i/>
        </w:rPr>
        <w:t>OR</w:t>
      </w:r>
      <w:r>
        <w:t xml:space="preserve"> by GC/MS </w:t>
      </w:r>
    </w:p>
    <w:p w14:paraId="79AA86E8" w14:textId="2ACEF84C" w:rsidR="005906EE" w:rsidRDefault="005906EE" w:rsidP="002C3AC0">
      <w:pPr>
        <w:ind w:left="1440" w:right="0" w:hanging="360"/>
      </w:pPr>
      <w:proofErr w:type="gramStart"/>
      <w:r>
        <w:t xml:space="preserve">--- </w:t>
      </w:r>
      <w:r w:rsidR="002C3AC0">
        <w:t xml:space="preserve"> </w:t>
      </w:r>
      <w:r>
        <w:t>Results</w:t>
      </w:r>
      <w:proofErr w:type="gramEnd"/>
      <w:r>
        <w:t xml:space="preserve"> for samples, blanks, spikes, and standards for confirmation run on second column</w:t>
      </w:r>
      <w:r w:rsidR="002E533D">
        <w:t xml:space="preserve"> </w:t>
      </w:r>
      <w:r w:rsidR="00E42940">
        <w:t xml:space="preserve">  </w:t>
      </w:r>
      <w:r>
        <w:t xml:space="preserve">must be provided. </w:t>
      </w:r>
    </w:p>
    <w:p w14:paraId="5450E879" w14:textId="3AD04E78" w:rsidR="005906EE" w:rsidRDefault="005906EE" w:rsidP="002C3AC0">
      <w:pPr>
        <w:spacing w:after="0"/>
        <w:ind w:left="1440" w:right="0" w:hanging="360"/>
      </w:pPr>
      <w:proofErr w:type="gramStart"/>
      <w:r>
        <w:t xml:space="preserve">--- </w:t>
      </w:r>
      <w:r w:rsidR="00E42940">
        <w:t xml:space="preserve"> </w:t>
      </w:r>
      <w:r>
        <w:rPr>
          <w:u w:val="single" w:color="000000"/>
        </w:rPr>
        <w:t>If</w:t>
      </w:r>
      <w:proofErr w:type="gramEnd"/>
      <w:r>
        <w:rPr>
          <w:u w:val="single" w:color="000000"/>
        </w:rPr>
        <w:t xml:space="preserve"> confirmation is </w:t>
      </w:r>
      <w:proofErr w:type="gramStart"/>
      <w:r>
        <w:rPr>
          <w:u w:val="single" w:color="000000"/>
        </w:rPr>
        <w:t>done</w:t>
      </w:r>
      <w:proofErr w:type="gramEnd"/>
      <w:r>
        <w:rPr>
          <w:u w:val="single" w:color="000000"/>
        </w:rPr>
        <w:t xml:space="preserve"> by Gas Chromatography/Mass Spectroscopy (GC/MS), the following</w:t>
      </w:r>
      <w:r w:rsidR="00D3379F">
        <w:t xml:space="preserve"> </w:t>
      </w:r>
      <w:r w:rsidR="002C3AC0">
        <w:t xml:space="preserve">  </w:t>
      </w:r>
      <w:r>
        <w:rPr>
          <w:u w:val="single" w:color="000000"/>
        </w:rPr>
        <w:t>information (relevant to GC/MS analysis) must also be provided:</w:t>
      </w:r>
      <w:r>
        <w:t xml:space="preserve"> </w:t>
      </w:r>
    </w:p>
    <w:p w14:paraId="2C56A898" w14:textId="309E92A5" w:rsidR="003A7B5C" w:rsidRDefault="00E42940" w:rsidP="003A7B5C">
      <w:pPr>
        <w:spacing w:after="10" w:line="248" w:lineRule="auto"/>
        <w:ind w:left="1094" w:right="389" w:firstLine="0"/>
      </w:pPr>
      <w:proofErr w:type="gramStart"/>
      <w:r>
        <w:t>---</w:t>
      </w:r>
      <w:r w:rsidR="002C3AC0">
        <w:t xml:space="preserve"> </w:t>
      </w:r>
      <w:r>
        <w:t xml:space="preserve"> </w:t>
      </w:r>
      <w:r w:rsidR="005906EE">
        <w:t>Tuning</w:t>
      </w:r>
      <w:proofErr w:type="gramEnd"/>
      <w:r w:rsidR="005906EE">
        <w:t xml:space="preserve"> criteria and results (instrument performance check)</w:t>
      </w:r>
    </w:p>
    <w:p w14:paraId="2A2C3F5F" w14:textId="3A97D07B" w:rsidR="003A7B5C" w:rsidRDefault="002C3AC0" w:rsidP="003A7B5C">
      <w:pPr>
        <w:spacing w:after="10" w:line="248" w:lineRule="auto"/>
        <w:ind w:left="1094" w:right="389" w:firstLine="0"/>
      </w:pPr>
      <w:proofErr w:type="gramStart"/>
      <w:r>
        <w:t xml:space="preserve">---  </w:t>
      </w:r>
      <w:r w:rsidR="005906EE">
        <w:t>Calibration</w:t>
      </w:r>
      <w:proofErr w:type="gramEnd"/>
      <w:r w:rsidR="005906EE">
        <w:t xml:space="preserve"> records </w:t>
      </w:r>
    </w:p>
    <w:p w14:paraId="3B8AF4B3" w14:textId="4F59FEC3" w:rsidR="008F2653" w:rsidRDefault="002C3AC0" w:rsidP="003A7B5C">
      <w:pPr>
        <w:spacing w:after="10" w:line="248" w:lineRule="auto"/>
        <w:ind w:left="1094" w:right="389" w:firstLine="0"/>
      </w:pPr>
      <w:proofErr w:type="gramStart"/>
      <w:r>
        <w:t xml:space="preserve">---  </w:t>
      </w:r>
      <w:r w:rsidR="003A7B5C">
        <w:t>M</w:t>
      </w:r>
      <w:r w:rsidR="005906EE">
        <w:t>ethod</w:t>
      </w:r>
      <w:proofErr w:type="gramEnd"/>
      <w:r w:rsidR="005906EE">
        <w:t xml:space="preserve"> blank </w:t>
      </w:r>
      <w:r w:rsidR="003A7B5C">
        <w:t>summary</w:t>
      </w:r>
    </w:p>
    <w:p w14:paraId="018AAD2C" w14:textId="3ACA64C5" w:rsidR="005906EE" w:rsidRDefault="002C3AC0" w:rsidP="00C0114A">
      <w:pPr>
        <w:spacing w:after="10" w:line="248" w:lineRule="auto"/>
        <w:ind w:left="1094" w:right="389" w:firstLine="0"/>
      </w:pPr>
      <w:proofErr w:type="gramStart"/>
      <w:r>
        <w:t xml:space="preserve">---  </w:t>
      </w:r>
      <w:r w:rsidR="005906EE">
        <w:t>QC</w:t>
      </w:r>
      <w:proofErr w:type="gramEnd"/>
      <w:r w:rsidR="005906EE">
        <w:t xml:space="preserve"> reference sample for detected compounds </w:t>
      </w:r>
    </w:p>
    <w:p w14:paraId="57F91799" w14:textId="4D8A15DC" w:rsidR="00B56D50" w:rsidRDefault="00B56D50" w:rsidP="00C0114A">
      <w:pPr>
        <w:ind w:left="0" w:right="255" w:firstLine="0"/>
      </w:pPr>
    </w:p>
    <w:p w14:paraId="477562C6" w14:textId="4BE2CDEC" w:rsidR="00E22973" w:rsidRDefault="00E22973" w:rsidP="00337AB0">
      <w:pPr>
        <w:spacing w:after="0" w:line="259" w:lineRule="auto"/>
        <w:ind w:left="1440" w:right="0" w:hanging="720"/>
        <w:jc w:val="center"/>
      </w:pPr>
      <w:r w:rsidRPr="00E22973">
        <w:rPr>
          <w:b/>
        </w:rPr>
        <w:t>N</w:t>
      </w:r>
      <w:r w:rsidR="00337AB0">
        <w:rPr>
          <w:b/>
        </w:rPr>
        <w:t>ote</w:t>
      </w:r>
      <w:r w:rsidRPr="00E22973">
        <w:rPr>
          <w:b/>
        </w:rPr>
        <w:t>:</w:t>
      </w:r>
      <w:r w:rsidR="00337AB0">
        <w:rPr>
          <w:b/>
        </w:rPr>
        <w:tab/>
      </w:r>
      <w:r w:rsidRPr="00E22973">
        <w:rPr>
          <w:b/>
        </w:rPr>
        <w:t>Raw data will only be submitted upon request of full QA/QC for enforcement level packages.</w:t>
      </w:r>
    </w:p>
    <w:p w14:paraId="233C8BF3" w14:textId="44606BED" w:rsidR="00B56D50" w:rsidRDefault="001C3C42" w:rsidP="00E22973">
      <w:pPr>
        <w:spacing w:after="0" w:line="259" w:lineRule="auto"/>
        <w:ind w:left="0" w:right="0" w:firstLine="0"/>
      </w:pPr>
      <w:r>
        <w:t xml:space="preserve"> </w:t>
      </w:r>
      <w:r>
        <w:tab/>
        <w:t xml:space="preserve"> </w:t>
      </w:r>
    </w:p>
    <w:p w14:paraId="1B0CC24C" w14:textId="70D4210A" w:rsidR="002D5D01" w:rsidRDefault="001C3C42" w:rsidP="00093377">
      <w:pPr>
        <w:numPr>
          <w:ilvl w:val="0"/>
          <w:numId w:val="15"/>
        </w:numPr>
        <w:ind w:right="255" w:hanging="346"/>
      </w:pPr>
      <w:r>
        <w:rPr>
          <w:b/>
        </w:rPr>
        <w:t>Raw Data</w:t>
      </w:r>
      <w:r>
        <w:t xml:space="preserve"> for each sample, standard, field duplicate, blank, matrix spike, and matrix spike duplicate, </w:t>
      </w:r>
      <w:bookmarkStart w:id="18" w:name="_Hlk67480917"/>
      <w:r>
        <w:t>including dilutions made, preparatory records</w:t>
      </w:r>
      <w:r w:rsidR="00387036">
        <w:t xml:space="preserve"> (prep lo</w:t>
      </w:r>
      <w:r w:rsidR="00A63BF5">
        <w:t>gs)</w:t>
      </w:r>
      <w:r>
        <w:t xml:space="preserve">, </w:t>
      </w:r>
      <w:r w:rsidR="00BA07A2">
        <w:t xml:space="preserve">instrument run logs, </w:t>
      </w:r>
      <w:r>
        <w:t>and chromatograms</w:t>
      </w:r>
      <w:bookmarkEnd w:id="18"/>
    </w:p>
    <w:p w14:paraId="6FA64610" w14:textId="77777777" w:rsidR="002D5D01" w:rsidRDefault="002D5D01" w:rsidP="00C0114A">
      <w:pPr>
        <w:ind w:left="720" w:right="255" w:firstLine="0"/>
      </w:pPr>
    </w:p>
    <w:p w14:paraId="0F31555A" w14:textId="195807A0" w:rsidR="00B56D50" w:rsidRDefault="002D5D01" w:rsidP="00093377">
      <w:pPr>
        <w:numPr>
          <w:ilvl w:val="0"/>
          <w:numId w:val="15"/>
        </w:numPr>
        <w:ind w:right="255" w:hanging="346"/>
      </w:pPr>
      <w:r>
        <w:rPr>
          <w:b/>
          <w:bCs/>
        </w:rPr>
        <w:lastRenderedPageBreak/>
        <w:t>Raw Data</w:t>
      </w:r>
      <w:r>
        <w:t xml:space="preserve"> </w:t>
      </w:r>
      <w:r w:rsidR="005443F0">
        <w:t xml:space="preserve">for confirmation run samples, blanks, spikes, and standards, </w:t>
      </w:r>
      <w:r w:rsidR="005443F0" w:rsidRPr="005443F0">
        <w:t>including dilutions made, preparatory records</w:t>
      </w:r>
      <w:r w:rsidR="00A63BF5">
        <w:t xml:space="preserve"> (prep logs)</w:t>
      </w:r>
      <w:r w:rsidR="005443F0" w:rsidRPr="005443F0">
        <w:t>, instrument run logs, chromatograms</w:t>
      </w:r>
      <w:r w:rsidR="005443F0">
        <w:t xml:space="preserve">, and </w:t>
      </w:r>
      <w:r w:rsidR="001E3132">
        <w:t>(for GC/MS) m</w:t>
      </w:r>
      <w:r w:rsidR="00755CE4" w:rsidRPr="00755CE4">
        <w:t xml:space="preserve">ass spectra for samples, QC reference sample, and blank, including reference spectra for detected compounds </w:t>
      </w:r>
    </w:p>
    <w:p w14:paraId="72A41C08" w14:textId="64591F89" w:rsidR="00B56D50" w:rsidRDefault="00B56D50" w:rsidP="005C1E2A">
      <w:pPr>
        <w:spacing w:after="0" w:line="259" w:lineRule="auto"/>
        <w:ind w:left="0" w:right="0" w:firstLine="0"/>
      </w:pPr>
    </w:p>
    <w:p w14:paraId="7A0006CB" w14:textId="7A50C6E4" w:rsidR="005C1E2A" w:rsidRDefault="005C1E2A" w:rsidP="005C1E2A">
      <w:pPr>
        <w:spacing w:after="0" w:line="259" w:lineRule="auto"/>
        <w:ind w:left="0" w:right="0" w:firstLine="0"/>
      </w:pPr>
    </w:p>
    <w:p w14:paraId="07EB1CA1" w14:textId="61B61372" w:rsidR="005C1E2A" w:rsidRDefault="005C1E2A" w:rsidP="005C1E2A">
      <w:pPr>
        <w:spacing w:after="0" w:line="259" w:lineRule="auto"/>
        <w:ind w:left="0" w:right="0" w:firstLine="0"/>
      </w:pPr>
    </w:p>
    <w:p w14:paraId="2114D6C8" w14:textId="37806C61" w:rsidR="005C1E2A" w:rsidRDefault="005C1E2A" w:rsidP="005C1E2A">
      <w:pPr>
        <w:spacing w:after="0" w:line="259" w:lineRule="auto"/>
        <w:ind w:left="0" w:right="0" w:firstLine="0"/>
      </w:pPr>
    </w:p>
    <w:p w14:paraId="54CAA825" w14:textId="7DA16449" w:rsidR="005C1E2A" w:rsidRDefault="005C1E2A" w:rsidP="005C1E2A">
      <w:pPr>
        <w:spacing w:after="0" w:line="259" w:lineRule="auto"/>
        <w:ind w:left="0" w:right="0" w:firstLine="0"/>
      </w:pPr>
    </w:p>
    <w:p w14:paraId="33914459" w14:textId="38140D37" w:rsidR="005C1E2A" w:rsidRDefault="00B203F8" w:rsidP="00B203F8">
      <w:pPr>
        <w:spacing w:after="0" w:line="259" w:lineRule="auto"/>
        <w:ind w:left="0" w:right="0" w:firstLine="0"/>
        <w:jc w:val="center"/>
      </w:pPr>
      <w:r w:rsidRPr="00FF687E">
        <w:rPr>
          <w:b/>
          <w:bCs/>
        </w:rPr>
        <w:t>THE REMAINDER OF THIS PAGE HAS BEEN LEFT BLANK INTENTIONALLY</w:t>
      </w:r>
    </w:p>
    <w:p w14:paraId="4E4CC56A" w14:textId="723E5DFA" w:rsidR="005C1E2A" w:rsidRDefault="005C1E2A" w:rsidP="005C1E2A">
      <w:pPr>
        <w:spacing w:after="0" w:line="259" w:lineRule="auto"/>
        <w:ind w:left="0" w:right="0" w:firstLine="0"/>
      </w:pPr>
    </w:p>
    <w:p w14:paraId="5DA8444B" w14:textId="1B50D07C" w:rsidR="005C1E2A" w:rsidRDefault="005C1E2A" w:rsidP="005C1E2A">
      <w:pPr>
        <w:spacing w:after="0" w:line="259" w:lineRule="auto"/>
        <w:ind w:left="0" w:right="0" w:firstLine="0"/>
      </w:pPr>
    </w:p>
    <w:p w14:paraId="065AD35B" w14:textId="656B0746" w:rsidR="005C1E2A" w:rsidRDefault="005C1E2A" w:rsidP="005C1E2A">
      <w:pPr>
        <w:spacing w:after="0" w:line="259" w:lineRule="auto"/>
        <w:ind w:left="0" w:right="0" w:firstLine="0"/>
      </w:pPr>
    </w:p>
    <w:p w14:paraId="5602F1A1" w14:textId="49FC883A" w:rsidR="005C1E2A" w:rsidRDefault="005C1E2A" w:rsidP="005C1E2A">
      <w:pPr>
        <w:spacing w:after="0" w:line="259" w:lineRule="auto"/>
        <w:ind w:left="0" w:right="0" w:firstLine="0"/>
      </w:pPr>
    </w:p>
    <w:p w14:paraId="7802F1A2" w14:textId="23FCC884" w:rsidR="005C1E2A" w:rsidRDefault="005C1E2A" w:rsidP="005C1E2A">
      <w:pPr>
        <w:spacing w:after="0" w:line="259" w:lineRule="auto"/>
        <w:ind w:left="0" w:right="0" w:firstLine="0"/>
      </w:pPr>
    </w:p>
    <w:p w14:paraId="33A542C0" w14:textId="65FE8E93" w:rsidR="005C1E2A" w:rsidRDefault="005C1E2A" w:rsidP="005C1E2A">
      <w:pPr>
        <w:spacing w:after="0" w:line="259" w:lineRule="auto"/>
        <w:ind w:left="0" w:right="0" w:firstLine="0"/>
      </w:pPr>
    </w:p>
    <w:p w14:paraId="71B07A89" w14:textId="1A59D182" w:rsidR="005C1E2A" w:rsidRDefault="005C1E2A" w:rsidP="005C1E2A">
      <w:pPr>
        <w:spacing w:after="0" w:line="259" w:lineRule="auto"/>
        <w:ind w:left="0" w:right="0" w:firstLine="0"/>
      </w:pPr>
    </w:p>
    <w:p w14:paraId="02C725E6" w14:textId="2D05887A" w:rsidR="005C1E2A" w:rsidRDefault="005C1E2A" w:rsidP="005C1E2A">
      <w:pPr>
        <w:spacing w:after="0" w:line="259" w:lineRule="auto"/>
        <w:ind w:left="0" w:right="0" w:firstLine="0"/>
      </w:pPr>
    </w:p>
    <w:p w14:paraId="48517256" w14:textId="779C18B1" w:rsidR="005C1E2A" w:rsidRDefault="005C1E2A" w:rsidP="005C1E2A">
      <w:pPr>
        <w:spacing w:after="0" w:line="259" w:lineRule="auto"/>
        <w:ind w:left="0" w:right="0" w:firstLine="0"/>
      </w:pPr>
    </w:p>
    <w:p w14:paraId="3A6C3B22" w14:textId="65255281" w:rsidR="005C1E2A" w:rsidRDefault="005C1E2A" w:rsidP="005C1E2A">
      <w:pPr>
        <w:spacing w:after="0" w:line="259" w:lineRule="auto"/>
        <w:ind w:left="0" w:right="0" w:firstLine="0"/>
      </w:pPr>
    </w:p>
    <w:p w14:paraId="63DAFFD2" w14:textId="6394F6C6" w:rsidR="005C1E2A" w:rsidRDefault="005C1E2A" w:rsidP="005C1E2A">
      <w:pPr>
        <w:spacing w:after="0" w:line="259" w:lineRule="auto"/>
        <w:ind w:left="0" w:right="0" w:firstLine="0"/>
      </w:pPr>
    </w:p>
    <w:p w14:paraId="64CC01D0" w14:textId="016E7A62" w:rsidR="005C1E2A" w:rsidRDefault="005C1E2A" w:rsidP="005C1E2A">
      <w:pPr>
        <w:spacing w:after="0" w:line="259" w:lineRule="auto"/>
        <w:ind w:left="0" w:right="0" w:firstLine="0"/>
      </w:pPr>
    </w:p>
    <w:p w14:paraId="0659B1B6" w14:textId="3A0337C2" w:rsidR="005C1E2A" w:rsidRDefault="005C1E2A" w:rsidP="005C1E2A">
      <w:pPr>
        <w:spacing w:after="0" w:line="259" w:lineRule="auto"/>
        <w:ind w:left="0" w:right="0" w:firstLine="0"/>
      </w:pPr>
    </w:p>
    <w:p w14:paraId="287EEBFF" w14:textId="28305A0C" w:rsidR="005C1E2A" w:rsidRDefault="005C1E2A" w:rsidP="005C1E2A">
      <w:pPr>
        <w:spacing w:after="0" w:line="259" w:lineRule="auto"/>
        <w:ind w:left="0" w:right="0" w:firstLine="0"/>
      </w:pPr>
    </w:p>
    <w:p w14:paraId="61FB51FA" w14:textId="0184D8F0" w:rsidR="005C1E2A" w:rsidRDefault="005C1E2A" w:rsidP="005C1E2A">
      <w:pPr>
        <w:spacing w:after="0" w:line="259" w:lineRule="auto"/>
        <w:ind w:left="0" w:right="0" w:firstLine="0"/>
      </w:pPr>
    </w:p>
    <w:p w14:paraId="2FD27F92" w14:textId="2E72E1AE" w:rsidR="00A913F9" w:rsidRDefault="00A913F9" w:rsidP="005C1E2A">
      <w:pPr>
        <w:spacing w:after="0" w:line="259" w:lineRule="auto"/>
        <w:ind w:left="0" w:right="0" w:firstLine="0"/>
      </w:pPr>
    </w:p>
    <w:p w14:paraId="08489A65" w14:textId="272B675D" w:rsidR="00A913F9" w:rsidRDefault="00A913F9" w:rsidP="005C1E2A">
      <w:pPr>
        <w:spacing w:after="0" w:line="259" w:lineRule="auto"/>
        <w:ind w:left="0" w:right="0" w:firstLine="0"/>
      </w:pPr>
    </w:p>
    <w:p w14:paraId="472912AE" w14:textId="1B2A5A6E" w:rsidR="00A913F9" w:rsidRDefault="00A913F9" w:rsidP="005C1E2A">
      <w:pPr>
        <w:spacing w:after="0" w:line="259" w:lineRule="auto"/>
        <w:ind w:left="0" w:right="0" w:firstLine="0"/>
      </w:pPr>
    </w:p>
    <w:p w14:paraId="42DBEE8D" w14:textId="03568F70" w:rsidR="00A913F9" w:rsidRDefault="00A913F9" w:rsidP="005C1E2A">
      <w:pPr>
        <w:spacing w:after="0" w:line="259" w:lineRule="auto"/>
        <w:ind w:left="0" w:right="0" w:firstLine="0"/>
      </w:pPr>
    </w:p>
    <w:p w14:paraId="2AC96AAB" w14:textId="77777777" w:rsidR="00A913F9" w:rsidRDefault="00A913F9" w:rsidP="005C1E2A">
      <w:pPr>
        <w:spacing w:after="0" w:line="259" w:lineRule="auto"/>
        <w:ind w:left="0" w:right="0" w:firstLine="0"/>
      </w:pPr>
    </w:p>
    <w:p w14:paraId="1916AF3B" w14:textId="1E33ED4E" w:rsidR="00A913F9" w:rsidRDefault="00A913F9" w:rsidP="005C1E2A">
      <w:pPr>
        <w:spacing w:after="0" w:line="259" w:lineRule="auto"/>
        <w:ind w:left="0" w:right="0" w:firstLine="0"/>
      </w:pPr>
    </w:p>
    <w:p w14:paraId="49237FA9" w14:textId="71E54451" w:rsidR="00A913F9" w:rsidRDefault="00A913F9" w:rsidP="005C1E2A">
      <w:pPr>
        <w:spacing w:after="0" w:line="259" w:lineRule="auto"/>
        <w:ind w:left="0" w:right="0" w:firstLine="0"/>
      </w:pPr>
    </w:p>
    <w:p w14:paraId="037AD409" w14:textId="1A251372" w:rsidR="00A913F9" w:rsidRDefault="00A913F9" w:rsidP="005C1E2A">
      <w:pPr>
        <w:spacing w:after="0" w:line="259" w:lineRule="auto"/>
        <w:ind w:left="0" w:right="0" w:firstLine="0"/>
      </w:pPr>
    </w:p>
    <w:p w14:paraId="1B67BC68" w14:textId="77777777" w:rsidR="00A913F9" w:rsidRDefault="00A913F9" w:rsidP="005C1E2A">
      <w:pPr>
        <w:spacing w:after="0" w:line="259" w:lineRule="auto"/>
        <w:ind w:left="0" w:right="0" w:firstLine="0"/>
      </w:pPr>
    </w:p>
    <w:p w14:paraId="60831EFD" w14:textId="2148CBC5" w:rsidR="005C1E2A" w:rsidRDefault="005C1E2A" w:rsidP="005C1E2A">
      <w:pPr>
        <w:spacing w:after="0" w:line="259" w:lineRule="auto"/>
        <w:ind w:left="0" w:right="0" w:firstLine="0"/>
      </w:pPr>
    </w:p>
    <w:p w14:paraId="745B0B16" w14:textId="574BED1A" w:rsidR="00F74671" w:rsidRDefault="00F74671" w:rsidP="005C1E2A">
      <w:pPr>
        <w:spacing w:after="0" w:line="259" w:lineRule="auto"/>
        <w:ind w:left="0" w:right="0" w:firstLine="0"/>
      </w:pPr>
    </w:p>
    <w:p w14:paraId="16D3D6A4" w14:textId="57DDFD09" w:rsidR="00F74671" w:rsidRDefault="00F74671" w:rsidP="005C1E2A">
      <w:pPr>
        <w:spacing w:after="0" w:line="259" w:lineRule="auto"/>
        <w:ind w:left="0" w:right="0" w:firstLine="0"/>
      </w:pPr>
    </w:p>
    <w:p w14:paraId="7A412998" w14:textId="0CB6A963" w:rsidR="00F74671" w:rsidRDefault="00F74671" w:rsidP="005C1E2A">
      <w:pPr>
        <w:spacing w:after="0" w:line="259" w:lineRule="auto"/>
        <w:ind w:left="0" w:right="0" w:firstLine="0"/>
      </w:pPr>
    </w:p>
    <w:p w14:paraId="568CE945" w14:textId="17C08757" w:rsidR="00F74671" w:rsidRDefault="00F74671" w:rsidP="005C1E2A">
      <w:pPr>
        <w:spacing w:after="0" w:line="259" w:lineRule="auto"/>
        <w:ind w:left="0" w:right="0" w:firstLine="0"/>
      </w:pPr>
    </w:p>
    <w:p w14:paraId="5014C349" w14:textId="77777777" w:rsidR="00F74671" w:rsidRDefault="00F74671" w:rsidP="005C1E2A">
      <w:pPr>
        <w:spacing w:after="0" w:line="259" w:lineRule="auto"/>
        <w:ind w:left="0" w:right="0" w:firstLine="0"/>
      </w:pPr>
    </w:p>
    <w:p w14:paraId="00BE0D2D" w14:textId="160C2B33" w:rsidR="005C1E2A" w:rsidRDefault="005C1E2A" w:rsidP="005C1E2A">
      <w:pPr>
        <w:spacing w:after="0" w:line="259" w:lineRule="auto"/>
        <w:ind w:left="0" w:right="0" w:firstLine="0"/>
      </w:pPr>
    </w:p>
    <w:p w14:paraId="6BE211AD" w14:textId="5ACD107F" w:rsidR="005C1E2A" w:rsidRDefault="005C1E2A" w:rsidP="005C1E2A">
      <w:pPr>
        <w:spacing w:after="0" w:line="259" w:lineRule="auto"/>
        <w:ind w:left="0" w:right="0" w:firstLine="0"/>
      </w:pPr>
    </w:p>
    <w:p w14:paraId="07FEB6ED" w14:textId="51BC4CF5" w:rsidR="005C1E2A" w:rsidRDefault="005C1E2A" w:rsidP="005C1E2A">
      <w:pPr>
        <w:spacing w:after="0" w:line="259" w:lineRule="auto"/>
        <w:ind w:left="0" w:right="0" w:firstLine="0"/>
      </w:pPr>
    </w:p>
    <w:p w14:paraId="3FE128F2" w14:textId="3BECB2DE" w:rsidR="005C1E2A" w:rsidRDefault="005C1E2A" w:rsidP="005C1E2A">
      <w:pPr>
        <w:spacing w:after="0" w:line="259" w:lineRule="auto"/>
        <w:ind w:left="0" w:right="0" w:firstLine="0"/>
      </w:pPr>
    </w:p>
    <w:p w14:paraId="0296B828" w14:textId="6B239146" w:rsidR="005C1E2A" w:rsidRDefault="005C1E2A" w:rsidP="005C1E2A">
      <w:pPr>
        <w:spacing w:after="0" w:line="259" w:lineRule="auto"/>
        <w:ind w:left="0" w:right="0" w:firstLine="0"/>
      </w:pPr>
    </w:p>
    <w:p w14:paraId="0C72B859" w14:textId="77777777" w:rsidR="004418DD" w:rsidRDefault="004418DD" w:rsidP="005C1E2A">
      <w:pPr>
        <w:spacing w:after="0" w:line="259" w:lineRule="auto"/>
        <w:ind w:left="0" w:right="0" w:firstLine="0"/>
      </w:pPr>
    </w:p>
    <w:p w14:paraId="1300DB6E" w14:textId="77777777" w:rsidR="004418DD" w:rsidRDefault="004418DD" w:rsidP="005C1E2A">
      <w:pPr>
        <w:spacing w:after="0" w:line="259" w:lineRule="auto"/>
        <w:ind w:left="0" w:right="0" w:firstLine="0"/>
      </w:pPr>
    </w:p>
    <w:p w14:paraId="3D71453D" w14:textId="77777777" w:rsidR="004418DD" w:rsidRDefault="004418DD" w:rsidP="005C1E2A">
      <w:pPr>
        <w:spacing w:after="0" w:line="259" w:lineRule="auto"/>
        <w:ind w:left="0" w:right="0" w:firstLine="0"/>
      </w:pPr>
    </w:p>
    <w:p w14:paraId="0C1781C6" w14:textId="77777777" w:rsidR="004418DD" w:rsidRDefault="004418DD" w:rsidP="005C1E2A">
      <w:pPr>
        <w:spacing w:after="0" w:line="259" w:lineRule="auto"/>
        <w:ind w:left="0" w:right="0" w:firstLine="0"/>
      </w:pPr>
    </w:p>
    <w:p w14:paraId="678C8937" w14:textId="77777777" w:rsidR="004418DD" w:rsidRDefault="004418DD" w:rsidP="005C1E2A">
      <w:pPr>
        <w:spacing w:after="0" w:line="259" w:lineRule="auto"/>
        <w:ind w:left="0" w:right="0" w:firstLine="0"/>
      </w:pPr>
    </w:p>
    <w:p w14:paraId="4E8913DB" w14:textId="643D5103" w:rsidR="005C1E2A" w:rsidRDefault="005C1E2A" w:rsidP="005C1E2A">
      <w:pPr>
        <w:spacing w:after="0" w:line="259" w:lineRule="auto"/>
        <w:ind w:left="0" w:right="0" w:firstLine="0"/>
      </w:pPr>
    </w:p>
    <w:p w14:paraId="1CD463E8" w14:textId="6560393F" w:rsidR="00B56D50" w:rsidRPr="00DC5D01" w:rsidRDefault="009833D5" w:rsidP="002C3AC0">
      <w:pPr>
        <w:spacing w:after="0" w:line="259" w:lineRule="auto"/>
        <w:ind w:right="0"/>
        <w:jc w:val="center"/>
        <w:rPr>
          <w:u w:val="single"/>
        </w:rPr>
      </w:pPr>
      <w:r w:rsidRPr="00DC5D01">
        <w:rPr>
          <w:b/>
          <w:u w:val="single"/>
        </w:rPr>
        <w:lastRenderedPageBreak/>
        <w:t xml:space="preserve">E.  OTHER </w:t>
      </w:r>
      <w:r w:rsidR="006408B6" w:rsidRPr="00DC5D01">
        <w:rPr>
          <w:b/>
          <w:u w:val="single"/>
        </w:rPr>
        <w:t>(SAS</w:t>
      </w:r>
      <w:r w:rsidR="006760FC" w:rsidRPr="00DC5D01">
        <w:rPr>
          <w:b/>
          <w:u w:val="single"/>
        </w:rPr>
        <w:t>/AAS</w:t>
      </w:r>
      <w:r w:rsidR="006408B6" w:rsidRPr="00DC5D01">
        <w:rPr>
          <w:b/>
          <w:u w:val="single"/>
        </w:rPr>
        <w:t xml:space="preserve">) </w:t>
      </w:r>
      <w:r w:rsidRPr="00DC5D01">
        <w:rPr>
          <w:b/>
          <w:u w:val="single"/>
        </w:rPr>
        <w:t>ANALYSIS DELIVERABLES</w:t>
      </w:r>
    </w:p>
    <w:p w14:paraId="1AA04204" w14:textId="77777777" w:rsidR="009E2E6E" w:rsidRDefault="009E2E6E" w:rsidP="009833D5">
      <w:pPr>
        <w:spacing w:after="0" w:line="259" w:lineRule="auto"/>
        <w:ind w:right="0"/>
        <w:jc w:val="center"/>
      </w:pPr>
    </w:p>
    <w:p w14:paraId="5F53A4B3" w14:textId="14F63BB4" w:rsidR="009E2E6E" w:rsidRDefault="00E2241C" w:rsidP="003A2D3D">
      <w:pPr>
        <w:spacing w:after="0" w:line="259" w:lineRule="auto"/>
        <w:ind w:left="0" w:right="0" w:firstLine="0"/>
        <w:rPr>
          <w:u w:val="single"/>
        </w:rPr>
      </w:pPr>
      <w:r>
        <w:rPr>
          <w:u w:val="single"/>
        </w:rPr>
        <w:t xml:space="preserve">ANALYSIS OF </w:t>
      </w:r>
      <w:r w:rsidR="0011212C">
        <w:rPr>
          <w:u w:val="single"/>
        </w:rPr>
        <w:t xml:space="preserve">OTHER </w:t>
      </w:r>
      <w:r>
        <w:rPr>
          <w:u w:val="single"/>
        </w:rPr>
        <w:t>SAS ANALYTE</w:t>
      </w:r>
      <w:r w:rsidR="00F05237">
        <w:rPr>
          <w:u w:val="single"/>
        </w:rPr>
        <w:t xml:space="preserve"> GROUP</w:t>
      </w:r>
      <w:r>
        <w:rPr>
          <w:u w:val="single"/>
        </w:rPr>
        <w:t>S BY INSTRUMENTATION AND METHODS NOT IDENTIFIED ABOVE</w:t>
      </w:r>
    </w:p>
    <w:p w14:paraId="42A9E76A" w14:textId="77777777" w:rsidR="00E86DC3" w:rsidRDefault="00E86DC3" w:rsidP="00077F02">
      <w:pPr>
        <w:spacing w:after="0" w:line="259" w:lineRule="auto"/>
        <w:ind w:right="0"/>
        <w:jc w:val="center"/>
        <w:rPr>
          <w:u w:val="single"/>
        </w:rPr>
      </w:pPr>
    </w:p>
    <w:p w14:paraId="203D6354" w14:textId="4188415F" w:rsidR="0059593D" w:rsidRDefault="00E86DC3" w:rsidP="00E86DC3">
      <w:pPr>
        <w:spacing w:after="0" w:line="259" w:lineRule="auto"/>
        <w:ind w:right="0"/>
      </w:pPr>
      <w:r>
        <w:t>Several analyte</w:t>
      </w:r>
      <w:r w:rsidR="00F05237">
        <w:t xml:space="preserve"> group</w:t>
      </w:r>
      <w:r>
        <w:t xml:space="preserve">s listed </w:t>
      </w:r>
      <w:r w:rsidR="00F05237">
        <w:t xml:space="preserve">on the tables in Section III </w:t>
      </w:r>
      <w:r>
        <w:t xml:space="preserve">for the SW-846 SAS and Drinking Water SAS </w:t>
      </w:r>
      <w:r w:rsidR="00F05237">
        <w:t>P</w:t>
      </w:r>
      <w:r>
        <w:t>rotocol</w:t>
      </w:r>
      <w:r w:rsidR="00F05237">
        <w:t xml:space="preserve">s are not analyzed using the instrumentation and methods </w:t>
      </w:r>
      <w:r w:rsidR="00460C36">
        <w:t xml:space="preserve">described above. </w:t>
      </w:r>
      <w:r w:rsidR="0089492B">
        <w:t xml:space="preserve">Examples </w:t>
      </w:r>
      <w:proofErr w:type="gramStart"/>
      <w:r w:rsidR="0089492B">
        <w:t>include:</w:t>
      </w:r>
      <w:proofErr w:type="gramEnd"/>
      <w:r w:rsidR="0089492B">
        <w:t xml:space="preserve"> </w:t>
      </w:r>
      <w:r w:rsidR="00000BCC">
        <w:t xml:space="preserve">Analyte Group K, and </w:t>
      </w:r>
      <w:r w:rsidR="00BA38FC">
        <w:t xml:space="preserve">Radionuclides using </w:t>
      </w:r>
      <w:r w:rsidR="00F2330F">
        <w:t xml:space="preserve">various </w:t>
      </w:r>
      <w:r w:rsidR="00E12105">
        <w:t>USEPA</w:t>
      </w:r>
      <w:r w:rsidR="00BA38FC">
        <w:t xml:space="preserve"> Method</w:t>
      </w:r>
      <w:r w:rsidR="00F2330F">
        <w:t>s</w:t>
      </w:r>
      <w:r w:rsidR="00F15049">
        <w:t xml:space="preserve"> </w:t>
      </w:r>
      <w:r w:rsidR="00DE2EFB">
        <w:t>and counting instrumentation</w:t>
      </w:r>
      <w:r w:rsidR="00F15049">
        <w:t xml:space="preserve"> for SW-846 SAS Group B.</w:t>
      </w:r>
      <w:r w:rsidR="00F05237">
        <w:t xml:space="preserve"> </w:t>
      </w:r>
      <w:r w:rsidR="007A5D88">
        <w:t xml:space="preserve">Specific deliverables for </w:t>
      </w:r>
      <w:r w:rsidR="00D027C2">
        <w:t xml:space="preserve">these other SAS Analyte Groups will not be listed here. </w:t>
      </w:r>
      <w:r w:rsidR="00F05237">
        <w:t xml:space="preserve"> </w:t>
      </w:r>
      <w:r w:rsidR="00BD2DB6">
        <w:t xml:space="preserve">However, the following general deliverables </w:t>
      </w:r>
      <w:r w:rsidR="00116A9A">
        <w:t>are required</w:t>
      </w:r>
      <w:r w:rsidR="004A69AA">
        <w:t xml:space="preserve"> where applicable for </w:t>
      </w:r>
      <w:r w:rsidR="00757CDB">
        <w:t>the other SAS Analy</w:t>
      </w:r>
      <w:r w:rsidR="00C61F4D">
        <w:t>te Groups</w:t>
      </w:r>
      <w:r w:rsidR="0059593D">
        <w:t>.</w:t>
      </w:r>
    </w:p>
    <w:p w14:paraId="335703E3" w14:textId="77777777" w:rsidR="0059593D" w:rsidRDefault="0059593D" w:rsidP="00E86DC3">
      <w:pPr>
        <w:spacing w:after="0" w:line="259" w:lineRule="auto"/>
        <w:ind w:right="0"/>
      </w:pPr>
    </w:p>
    <w:p w14:paraId="0F74332A" w14:textId="51304D0C" w:rsidR="00787D80" w:rsidRDefault="009A7761" w:rsidP="00093377">
      <w:pPr>
        <w:pStyle w:val="ListParagraph"/>
        <w:numPr>
          <w:ilvl w:val="0"/>
          <w:numId w:val="59"/>
        </w:numPr>
        <w:spacing w:after="0" w:line="259" w:lineRule="auto"/>
        <w:ind w:left="1080" w:right="0"/>
      </w:pPr>
      <w:r>
        <w:t xml:space="preserve">Initial and continuing </w:t>
      </w:r>
      <w:r w:rsidR="004A2B30">
        <w:t>calibration results</w:t>
      </w:r>
      <w:r w:rsidR="00526083">
        <w:t xml:space="preserve"> for instrumentation</w:t>
      </w:r>
      <w:r w:rsidR="005D3965">
        <w:t xml:space="preserve"> used in analytical </w:t>
      </w:r>
      <w:proofErr w:type="gramStart"/>
      <w:r w:rsidR="005D3965">
        <w:t>method</w:t>
      </w:r>
      <w:proofErr w:type="gramEnd"/>
      <w:r w:rsidR="006B7618">
        <w:t xml:space="preserve">.  </w:t>
      </w:r>
      <w:r w:rsidR="00B32465">
        <w:t>Sample preparation log</w:t>
      </w:r>
      <w:r w:rsidR="008B2006">
        <w:t xml:space="preserve"> (or similar record)</w:t>
      </w:r>
      <w:r w:rsidR="002E6BAC">
        <w:t xml:space="preserve">, </w:t>
      </w:r>
      <w:r w:rsidR="008B2006">
        <w:t>showing preparation times, dates, etc., and</w:t>
      </w:r>
      <w:r w:rsidR="002E6BAC">
        <w:t xml:space="preserve"> including dilutions performed</w:t>
      </w:r>
      <w:r w:rsidR="001E2CB7">
        <w:t xml:space="preserve"> for all IDEM samples in delivery group</w:t>
      </w:r>
    </w:p>
    <w:p w14:paraId="47BC74E4" w14:textId="77777777" w:rsidR="00B32465" w:rsidRDefault="00B32465" w:rsidP="00202B36">
      <w:pPr>
        <w:pStyle w:val="ListParagraph"/>
      </w:pPr>
    </w:p>
    <w:p w14:paraId="1C82246F" w14:textId="5C7B9A25" w:rsidR="00B32465" w:rsidRDefault="00B32465" w:rsidP="00093377">
      <w:pPr>
        <w:pStyle w:val="ListParagraph"/>
        <w:numPr>
          <w:ilvl w:val="0"/>
          <w:numId w:val="59"/>
        </w:numPr>
        <w:spacing w:after="0" w:line="259" w:lineRule="auto"/>
        <w:ind w:left="1080" w:right="0"/>
      </w:pPr>
      <w:r>
        <w:t>Sample run log</w:t>
      </w:r>
      <w:r w:rsidR="00145B00">
        <w:t xml:space="preserve"> (or similar re</w:t>
      </w:r>
      <w:r w:rsidR="008B2006">
        <w:t>cord</w:t>
      </w:r>
      <w:r w:rsidR="00145B00">
        <w:t>)</w:t>
      </w:r>
      <w:r w:rsidR="002E6BAC">
        <w:t xml:space="preserve">, showing </w:t>
      </w:r>
      <w:r w:rsidR="00145B00">
        <w:t xml:space="preserve">analysis times, </w:t>
      </w:r>
      <w:r w:rsidR="008B2006">
        <w:t>dates</w:t>
      </w:r>
      <w:r w:rsidR="001E2CB7">
        <w:t xml:space="preserve">, etc. for </w:t>
      </w:r>
      <w:r w:rsidR="002E6BAC">
        <w:t>all IDEM samples (including diluted samples)</w:t>
      </w:r>
      <w:r w:rsidR="001E2CB7">
        <w:t xml:space="preserve"> in delivery group</w:t>
      </w:r>
    </w:p>
    <w:p w14:paraId="35CE2E6E" w14:textId="77777777" w:rsidR="00B32465" w:rsidRDefault="00B32465" w:rsidP="00202B36">
      <w:pPr>
        <w:pStyle w:val="ListParagraph"/>
      </w:pPr>
    </w:p>
    <w:p w14:paraId="4FEF9905" w14:textId="6DAAD13C" w:rsidR="00B32465" w:rsidRDefault="00B32465" w:rsidP="00093377">
      <w:pPr>
        <w:pStyle w:val="ListParagraph"/>
        <w:numPr>
          <w:ilvl w:val="0"/>
          <w:numId w:val="59"/>
        </w:numPr>
        <w:spacing w:after="0" w:line="259" w:lineRule="auto"/>
        <w:ind w:left="1080" w:right="0"/>
      </w:pPr>
      <w:r>
        <w:t>Method blank (or similar type sample) results</w:t>
      </w:r>
    </w:p>
    <w:p w14:paraId="688BCF2D" w14:textId="77777777" w:rsidR="00B32465" w:rsidRDefault="00B32465" w:rsidP="00202B36">
      <w:pPr>
        <w:pStyle w:val="ListParagraph"/>
      </w:pPr>
    </w:p>
    <w:p w14:paraId="5B65B98A" w14:textId="59AE29E1" w:rsidR="00B32465" w:rsidRPr="000C4B92" w:rsidRDefault="002F21B4" w:rsidP="00093377">
      <w:pPr>
        <w:pStyle w:val="ListParagraph"/>
        <w:numPr>
          <w:ilvl w:val="0"/>
          <w:numId w:val="59"/>
        </w:numPr>
        <w:spacing w:after="0" w:line="259" w:lineRule="auto"/>
        <w:ind w:left="1080" w:right="0"/>
      </w:pPr>
      <w:r>
        <w:t xml:space="preserve">Spike sample (laboratory blank and/or matrix) results (if </w:t>
      </w:r>
      <w:r w:rsidR="00BD301F">
        <w:t>required by method)</w:t>
      </w:r>
    </w:p>
    <w:p w14:paraId="5EFFC957" w14:textId="77777777" w:rsidR="00BD301F" w:rsidRDefault="00BD301F" w:rsidP="00202B36">
      <w:pPr>
        <w:pStyle w:val="ListParagraph"/>
      </w:pPr>
    </w:p>
    <w:p w14:paraId="7926C27A" w14:textId="20E6996B" w:rsidR="00BD301F" w:rsidRPr="000C4B92" w:rsidRDefault="00FD679F" w:rsidP="00093377">
      <w:pPr>
        <w:pStyle w:val="ListParagraph"/>
        <w:numPr>
          <w:ilvl w:val="0"/>
          <w:numId w:val="59"/>
        </w:numPr>
        <w:spacing w:after="0" w:line="259" w:lineRule="auto"/>
        <w:ind w:left="1080" w:right="0"/>
      </w:pPr>
      <w:r>
        <w:t>Internal or external standard summary (if required by method)</w:t>
      </w:r>
    </w:p>
    <w:p w14:paraId="68F59571" w14:textId="77777777" w:rsidR="001E2CB7" w:rsidRDefault="001E2CB7" w:rsidP="00202B36">
      <w:pPr>
        <w:pStyle w:val="ListParagraph"/>
      </w:pPr>
    </w:p>
    <w:p w14:paraId="1850A5CE" w14:textId="0C2C3916" w:rsidR="001E2CB7" w:rsidRPr="000C4B92" w:rsidRDefault="00CF4DB1" w:rsidP="00093377">
      <w:pPr>
        <w:pStyle w:val="ListParagraph"/>
        <w:numPr>
          <w:ilvl w:val="0"/>
          <w:numId w:val="59"/>
        </w:numPr>
        <w:spacing w:after="0" w:line="259" w:lineRule="auto"/>
        <w:ind w:left="1080" w:right="0"/>
      </w:pPr>
      <w:r>
        <w:t>Detection/quantitation limits (or similar limit) for each result</w:t>
      </w:r>
    </w:p>
    <w:p w14:paraId="70DE1A9E" w14:textId="77777777" w:rsidR="00CF4DB1" w:rsidRDefault="00CF4DB1" w:rsidP="00202B36">
      <w:pPr>
        <w:pStyle w:val="ListParagraph"/>
      </w:pPr>
    </w:p>
    <w:p w14:paraId="70638730" w14:textId="768BE0C7" w:rsidR="00BC7A3E" w:rsidRDefault="00BC7A3E" w:rsidP="00337AB0">
      <w:pPr>
        <w:spacing w:after="0" w:line="259" w:lineRule="auto"/>
        <w:ind w:left="1440" w:right="0" w:hanging="720"/>
        <w:jc w:val="center"/>
      </w:pPr>
      <w:r w:rsidRPr="00E22973">
        <w:rPr>
          <w:b/>
        </w:rPr>
        <w:t>N</w:t>
      </w:r>
      <w:r w:rsidR="00337AB0">
        <w:rPr>
          <w:b/>
        </w:rPr>
        <w:t>ote</w:t>
      </w:r>
      <w:r w:rsidRPr="00E22973">
        <w:rPr>
          <w:b/>
        </w:rPr>
        <w:t>:</w:t>
      </w:r>
      <w:r w:rsidR="00337AB0">
        <w:rPr>
          <w:b/>
        </w:rPr>
        <w:tab/>
      </w:r>
      <w:r w:rsidRPr="00E22973">
        <w:rPr>
          <w:b/>
        </w:rPr>
        <w:t>Raw data will only be submitted upon request of full QA/QC for enforcement level packages.</w:t>
      </w:r>
    </w:p>
    <w:p w14:paraId="09FE03A2" w14:textId="77777777" w:rsidR="00CF4DB1" w:rsidRDefault="00CF4DB1" w:rsidP="00BC7A3E">
      <w:pPr>
        <w:spacing w:after="0" w:line="259" w:lineRule="auto"/>
        <w:ind w:left="0" w:right="0" w:firstLine="0"/>
      </w:pPr>
    </w:p>
    <w:p w14:paraId="5D8FBF11" w14:textId="77777777" w:rsidR="00C552CC" w:rsidRDefault="00C552CC" w:rsidP="00BC7A3E">
      <w:pPr>
        <w:spacing w:after="0" w:line="259" w:lineRule="auto"/>
        <w:ind w:left="0" w:right="0" w:firstLine="0"/>
      </w:pPr>
    </w:p>
    <w:p w14:paraId="0FDF634B" w14:textId="77777777" w:rsidR="00C552CC" w:rsidRDefault="00C552CC" w:rsidP="00BC7A3E">
      <w:pPr>
        <w:spacing w:after="0" w:line="259" w:lineRule="auto"/>
        <w:ind w:left="0" w:right="0" w:firstLine="0"/>
      </w:pPr>
    </w:p>
    <w:p w14:paraId="029BD9DE" w14:textId="77777777" w:rsidR="00C552CC" w:rsidRDefault="00C552CC" w:rsidP="00BC7A3E">
      <w:pPr>
        <w:spacing w:after="0" w:line="259" w:lineRule="auto"/>
        <w:ind w:left="0" w:right="0" w:firstLine="0"/>
      </w:pPr>
    </w:p>
    <w:p w14:paraId="1D268185" w14:textId="77777777" w:rsidR="00C552CC" w:rsidRPr="000C4B92" w:rsidRDefault="00C552CC" w:rsidP="00BC7A3E">
      <w:pPr>
        <w:spacing w:after="0" w:line="259" w:lineRule="auto"/>
        <w:ind w:left="0" w:right="0" w:firstLine="0"/>
      </w:pPr>
    </w:p>
    <w:p w14:paraId="564C3EBB" w14:textId="19E788D5" w:rsidR="00B56D50" w:rsidRDefault="001C3C42">
      <w:pPr>
        <w:pStyle w:val="Heading4"/>
        <w:ind w:left="1109" w:right="186"/>
      </w:pPr>
      <w:r>
        <w:t xml:space="preserve">THE REMAINDER OF THIS PAGE HAS BEEN LEFT BLANK INTENTIONALLY </w:t>
      </w:r>
    </w:p>
    <w:p w14:paraId="784C6413" w14:textId="7D927CFC" w:rsidR="00DB6B5C" w:rsidRDefault="00DB6B5C" w:rsidP="00D70FA5">
      <w:pPr>
        <w:spacing w:after="0" w:line="259" w:lineRule="auto"/>
        <w:ind w:right="0"/>
      </w:pPr>
    </w:p>
    <w:p w14:paraId="3CD99D79" w14:textId="77777777" w:rsidR="00DB6B5C" w:rsidRDefault="00DB6B5C" w:rsidP="00D70FA5">
      <w:pPr>
        <w:spacing w:after="0" w:line="259" w:lineRule="auto"/>
        <w:ind w:right="0"/>
      </w:pPr>
    </w:p>
    <w:p w14:paraId="460F6E04" w14:textId="025C8BF7" w:rsidR="00B56D50" w:rsidRDefault="00B56D50" w:rsidP="00D70FA5">
      <w:pPr>
        <w:spacing w:after="0" w:line="259" w:lineRule="auto"/>
        <w:ind w:left="0" w:right="0" w:firstLine="0"/>
      </w:pPr>
    </w:p>
    <w:p w14:paraId="2115400A" w14:textId="09A25AA1" w:rsidR="00D70FA5" w:rsidRDefault="00D70FA5" w:rsidP="00D70FA5">
      <w:pPr>
        <w:spacing w:after="0" w:line="259" w:lineRule="auto"/>
        <w:ind w:left="0" w:right="0" w:firstLine="0"/>
      </w:pPr>
    </w:p>
    <w:p w14:paraId="5C5E3991" w14:textId="6932548B" w:rsidR="00F74671" w:rsidRDefault="00F74671" w:rsidP="00D70FA5">
      <w:pPr>
        <w:spacing w:after="0" w:line="259" w:lineRule="auto"/>
        <w:ind w:left="0" w:right="0" w:firstLine="0"/>
      </w:pPr>
    </w:p>
    <w:p w14:paraId="4AE24C69" w14:textId="3126F2CF" w:rsidR="00F74671" w:rsidRDefault="00F74671" w:rsidP="00D70FA5">
      <w:pPr>
        <w:spacing w:after="0" w:line="259" w:lineRule="auto"/>
        <w:ind w:left="0" w:right="0" w:firstLine="0"/>
      </w:pPr>
    </w:p>
    <w:p w14:paraId="0F7F8FF7" w14:textId="77777777" w:rsidR="00E815AF" w:rsidRDefault="00E815AF" w:rsidP="00D70FA5">
      <w:pPr>
        <w:spacing w:after="0" w:line="259" w:lineRule="auto"/>
        <w:ind w:left="0" w:right="0" w:firstLine="0"/>
      </w:pPr>
    </w:p>
    <w:p w14:paraId="65142FEB" w14:textId="77777777" w:rsidR="00E815AF" w:rsidRDefault="00E815AF" w:rsidP="00D70FA5">
      <w:pPr>
        <w:spacing w:after="0" w:line="259" w:lineRule="auto"/>
        <w:ind w:left="0" w:right="0" w:firstLine="0"/>
      </w:pPr>
    </w:p>
    <w:p w14:paraId="734C5566" w14:textId="77777777" w:rsidR="00E815AF" w:rsidRDefault="00E815AF" w:rsidP="00D70FA5">
      <w:pPr>
        <w:spacing w:after="0" w:line="259" w:lineRule="auto"/>
        <w:ind w:left="0" w:right="0" w:firstLine="0"/>
      </w:pPr>
    </w:p>
    <w:p w14:paraId="70A43D2C" w14:textId="77777777" w:rsidR="00E815AF" w:rsidRDefault="00E815AF" w:rsidP="00D70FA5">
      <w:pPr>
        <w:spacing w:after="0" w:line="259" w:lineRule="auto"/>
        <w:ind w:left="0" w:right="0" w:firstLine="0"/>
      </w:pPr>
    </w:p>
    <w:p w14:paraId="0B46E839" w14:textId="77777777" w:rsidR="00E815AF" w:rsidRDefault="00E815AF" w:rsidP="00D70FA5">
      <w:pPr>
        <w:spacing w:after="0" w:line="259" w:lineRule="auto"/>
        <w:ind w:left="0" w:right="0" w:firstLine="0"/>
      </w:pPr>
    </w:p>
    <w:p w14:paraId="681586A9" w14:textId="77777777" w:rsidR="00E815AF" w:rsidRDefault="00E815AF" w:rsidP="00D70FA5">
      <w:pPr>
        <w:spacing w:after="0" w:line="259" w:lineRule="auto"/>
        <w:ind w:left="0" w:right="0" w:firstLine="0"/>
      </w:pPr>
    </w:p>
    <w:p w14:paraId="3F4FFB17" w14:textId="77777777" w:rsidR="00E815AF" w:rsidRDefault="00E815AF" w:rsidP="00D70FA5">
      <w:pPr>
        <w:spacing w:after="0" w:line="259" w:lineRule="auto"/>
        <w:ind w:left="0" w:right="0" w:firstLine="0"/>
      </w:pPr>
    </w:p>
    <w:p w14:paraId="62829D69" w14:textId="77777777" w:rsidR="00E815AF" w:rsidRDefault="00E815AF" w:rsidP="00D70FA5">
      <w:pPr>
        <w:spacing w:after="0" w:line="259" w:lineRule="auto"/>
        <w:ind w:left="0" w:right="0" w:firstLine="0"/>
      </w:pPr>
    </w:p>
    <w:p w14:paraId="19F14525" w14:textId="77777777" w:rsidR="00EB2876" w:rsidRDefault="00EB2876" w:rsidP="00D70FA5">
      <w:pPr>
        <w:spacing w:after="0" w:line="259" w:lineRule="auto"/>
        <w:ind w:left="0" w:right="0" w:firstLine="0"/>
      </w:pPr>
    </w:p>
    <w:p w14:paraId="20CF05AE" w14:textId="77777777" w:rsidR="00E815AF" w:rsidRDefault="00E815AF" w:rsidP="00D70FA5">
      <w:pPr>
        <w:spacing w:after="0" w:line="259" w:lineRule="auto"/>
        <w:ind w:left="0" w:right="0" w:firstLine="0"/>
      </w:pPr>
    </w:p>
    <w:p w14:paraId="10D3EA78" w14:textId="77777777" w:rsidR="00E815AF" w:rsidRDefault="00E815AF" w:rsidP="00D70FA5">
      <w:pPr>
        <w:spacing w:after="0" w:line="259" w:lineRule="auto"/>
        <w:ind w:left="0" w:right="0" w:firstLine="0"/>
      </w:pPr>
    </w:p>
    <w:p w14:paraId="0703428C" w14:textId="48C93E36" w:rsidR="00E815AF" w:rsidRPr="00773AA6" w:rsidRDefault="00E815AF" w:rsidP="00E815AF">
      <w:pPr>
        <w:spacing w:after="0" w:line="259" w:lineRule="auto"/>
        <w:ind w:right="0"/>
        <w:jc w:val="center"/>
        <w:rPr>
          <w:u w:val="single"/>
        </w:rPr>
      </w:pPr>
      <w:r w:rsidRPr="00773AA6">
        <w:rPr>
          <w:b/>
          <w:u w:val="single"/>
        </w:rPr>
        <w:lastRenderedPageBreak/>
        <w:t>F.  PFAS ANALYSIS DELIVERABLES</w:t>
      </w:r>
    </w:p>
    <w:p w14:paraId="6C442F68" w14:textId="77777777" w:rsidR="005E5255" w:rsidRDefault="005E5255" w:rsidP="00D70FA5">
      <w:pPr>
        <w:spacing w:after="0" w:line="259" w:lineRule="auto"/>
        <w:ind w:left="0" w:right="0" w:firstLine="0"/>
      </w:pPr>
    </w:p>
    <w:p w14:paraId="0986D5A4" w14:textId="6619D488" w:rsidR="00CE4C55" w:rsidRDefault="00CE4C55" w:rsidP="00C75070">
      <w:pPr>
        <w:spacing w:after="0" w:line="259" w:lineRule="auto"/>
        <w:ind w:left="0" w:right="0" w:firstLine="0"/>
      </w:pPr>
      <w:r>
        <w:rPr>
          <w:u w:val="single" w:color="000000"/>
        </w:rPr>
        <w:t xml:space="preserve">PFAS </w:t>
      </w:r>
      <w:r w:rsidRPr="00EE148C">
        <w:rPr>
          <w:u w:val="single" w:color="000000"/>
        </w:rPr>
        <w:t xml:space="preserve">ANALYSIS </w:t>
      </w:r>
      <w:r w:rsidRPr="00EE148C">
        <w:rPr>
          <w:u w:val="single"/>
        </w:rPr>
        <w:t>B</w:t>
      </w:r>
      <w:r w:rsidRPr="00EE148C">
        <w:rPr>
          <w:u w:val="single" w:color="000000"/>
        </w:rPr>
        <w:t xml:space="preserve">Y </w:t>
      </w:r>
      <w:r w:rsidR="00FF60EC">
        <w:rPr>
          <w:u w:val="single" w:color="000000"/>
        </w:rPr>
        <w:t>L</w:t>
      </w:r>
      <w:r w:rsidR="003268B2">
        <w:rPr>
          <w:u w:val="single" w:color="000000"/>
        </w:rPr>
        <w:t>IQUID CHROMATOGRAPHY/</w:t>
      </w:r>
      <w:r w:rsidRPr="00EE148C">
        <w:rPr>
          <w:u w:val="single" w:color="000000"/>
        </w:rPr>
        <w:t>MASS SPECTROMETRY</w:t>
      </w:r>
      <w:r w:rsidR="00696692">
        <w:rPr>
          <w:u w:val="single" w:color="000000"/>
        </w:rPr>
        <w:t>/</w:t>
      </w:r>
      <w:r w:rsidR="00696692" w:rsidRPr="00EE148C">
        <w:rPr>
          <w:u w:val="single" w:color="000000"/>
        </w:rPr>
        <w:t>MASS SPECTROMETRY</w:t>
      </w:r>
      <w:r w:rsidRPr="00EE148C">
        <w:rPr>
          <w:u w:val="single" w:color="000000"/>
        </w:rPr>
        <w:t xml:space="preserve"> (</w:t>
      </w:r>
      <w:r w:rsidR="009C78EA">
        <w:rPr>
          <w:u w:val="single" w:color="000000"/>
        </w:rPr>
        <w:t>LC/MS</w:t>
      </w:r>
      <w:r w:rsidRPr="00EE148C">
        <w:rPr>
          <w:u w:val="single" w:color="000000"/>
        </w:rPr>
        <w:t>/MS</w:t>
      </w:r>
      <w:r w:rsidR="00F12857">
        <w:rPr>
          <w:u w:val="single" w:color="000000"/>
        </w:rPr>
        <w:t xml:space="preserve"> or LC-MS/MS</w:t>
      </w:r>
      <w:r w:rsidRPr="00EE148C">
        <w:rPr>
          <w:u w:val="single" w:color="000000"/>
        </w:rPr>
        <w:t>)</w:t>
      </w:r>
    </w:p>
    <w:p w14:paraId="79BAFD7E" w14:textId="77777777" w:rsidR="00CE4C55" w:rsidRDefault="00CE4C55" w:rsidP="00C75070">
      <w:pPr>
        <w:spacing w:after="0" w:line="259" w:lineRule="auto"/>
        <w:ind w:left="0" w:right="0" w:firstLine="0"/>
      </w:pPr>
    </w:p>
    <w:p w14:paraId="3A252678" w14:textId="1DC85D9A" w:rsidR="006370CC" w:rsidRDefault="005E5255" w:rsidP="00C75070">
      <w:pPr>
        <w:spacing w:after="0" w:line="259" w:lineRule="auto"/>
        <w:ind w:left="0" w:right="0" w:firstLine="0"/>
      </w:pPr>
      <w:r>
        <w:t xml:space="preserve">Note that </w:t>
      </w:r>
      <w:r w:rsidR="00CE4E68">
        <w:t>USEPA</w:t>
      </w:r>
      <w:r w:rsidR="001946DA">
        <w:t xml:space="preserve"> PFAS</w:t>
      </w:r>
      <w:r w:rsidR="00CE4E68">
        <w:t xml:space="preserve"> </w:t>
      </w:r>
      <w:r w:rsidR="00173776">
        <w:t xml:space="preserve">CWA </w:t>
      </w:r>
      <w:r w:rsidR="002C61F4">
        <w:t>Method 537.1, Method 533, Method 1633A</w:t>
      </w:r>
      <w:r w:rsidR="007D6904">
        <w:t>, and</w:t>
      </w:r>
      <w:r w:rsidR="002C61F4">
        <w:t xml:space="preserve"> </w:t>
      </w:r>
      <w:r w:rsidR="00006501">
        <w:t xml:space="preserve">SW846 </w:t>
      </w:r>
      <w:r w:rsidR="00E07F1C">
        <w:t>Method 8327</w:t>
      </w:r>
      <w:r w:rsidR="00FE36D8">
        <w:t xml:space="preserve"> </w:t>
      </w:r>
      <w:r>
        <w:t xml:space="preserve">may use slightly different terminology for the following items. </w:t>
      </w:r>
      <w:r w:rsidR="00717376">
        <w:t xml:space="preserve"> </w:t>
      </w:r>
      <w:r>
        <w:t>However, the required deliverables are generally the same unless specifically noted.</w:t>
      </w:r>
    </w:p>
    <w:p w14:paraId="4CDECC9F" w14:textId="77777777" w:rsidR="002C5914" w:rsidRDefault="002C5914" w:rsidP="00C75070">
      <w:pPr>
        <w:spacing w:after="0" w:line="259" w:lineRule="auto"/>
        <w:ind w:left="0" w:right="0" w:firstLine="0"/>
        <w:rPr>
          <w:b/>
          <w:bCs/>
        </w:rPr>
      </w:pPr>
    </w:p>
    <w:p w14:paraId="2A9F6335" w14:textId="016A5D57" w:rsidR="00A64B83" w:rsidRDefault="00344C9F" w:rsidP="00A64B83">
      <w:pPr>
        <w:numPr>
          <w:ilvl w:val="0"/>
          <w:numId w:val="10"/>
        </w:numPr>
        <w:ind w:left="1094" w:right="255" w:hanging="374"/>
      </w:pPr>
      <w:r>
        <w:rPr>
          <w:u w:val="single"/>
        </w:rPr>
        <w:t xml:space="preserve">Mass Calibration and </w:t>
      </w:r>
      <w:r w:rsidR="00547C76">
        <w:rPr>
          <w:u w:val="single"/>
        </w:rPr>
        <w:t>LC-MS/MS Instrument Optimization</w:t>
      </w:r>
      <w:r w:rsidR="00903C4A">
        <w:t>, summary</w:t>
      </w:r>
      <w:r w:rsidR="00A64B83">
        <w:t xml:space="preserve">: </w:t>
      </w:r>
    </w:p>
    <w:p w14:paraId="48148103" w14:textId="635EBA38" w:rsidR="00A64B83" w:rsidRDefault="00A64B83" w:rsidP="00774F07">
      <w:pPr>
        <w:ind w:left="1076" w:right="255"/>
      </w:pPr>
      <w:proofErr w:type="gramStart"/>
      <w:r>
        <w:t xml:space="preserve">---  </w:t>
      </w:r>
      <w:r w:rsidR="001F3B1A">
        <w:t>Documentation</w:t>
      </w:r>
      <w:proofErr w:type="gramEnd"/>
      <w:r w:rsidR="001F3B1A">
        <w:t xml:space="preserve"> supporting</w:t>
      </w:r>
      <w:r>
        <w:t xml:space="preserve"> </w:t>
      </w:r>
      <w:r w:rsidR="008344A1" w:rsidRPr="008344A1">
        <w:t xml:space="preserve">LC-MS/MS </w:t>
      </w:r>
      <w:r w:rsidR="00CA2749">
        <w:t>mass calibration and</w:t>
      </w:r>
      <w:r w:rsidR="0051765D">
        <w:t xml:space="preserve"> the</w:t>
      </w:r>
      <w:r w:rsidR="008344A1" w:rsidRPr="008344A1">
        <w:t xml:space="preserve"> optimiz</w:t>
      </w:r>
      <w:r w:rsidR="0051765D">
        <w:t>ation of</w:t>
      </w:r>
      <w:r w:rsidR="008344A1" w:rsidRPr="008344A1">
        <w:t xml:space="preserve"> instrument parameters for signal sensitivity and stability</w:t>
      </w:r>
    </w:p>
    <w:p w14:paraId="4A553EFB" w14:textId="4E24210E" w:rsidR="00FC742D" w:rsidRDefault="00A935A3" w:rsidP="00774F07">
      <w:pPr>
        <w:ind w:left="1076" w:right="255"/>
      </w:pPr>
      <w:proofErr w:type="gramStart"/>
      <w:r>
        <w:t>---  Date</w:t>
      </w:r>
      <w:proofErr w:type="gramEnd"/>
      <w:r>
        <w:t xml:space="preserve"> and </w:t>
      </w:r>
      <w:r w:rsidR="00DD5335">
        <w:t>time of instrument optimization</w:t>
      </w:r>
    </w:p>
    <w:p w14:paraId="22FFF873" w14:textId="77777777" w:rsidR="0081138B" w:rsidRDefault="0081138B" w:rsidP="00774F07">
      <w:pPr>
        <w:ind w:left="1076" w:right="255"/>
      </w:pPr>
    </w:p>
    <w:p w14:paraId="55A624D5" w14:textId="77777777" w:rsidR="00A64B83" w:rsidRDefault="00A64B83" w:rsidP="00A64B83">
      <w:pPr>
        <w:numPr>
          <w:ilvl w:val="0"/>
          <w:numId w:val="10"/>
        </w:numPr>
        <w:ind w:left="1094" w:right="255" w:hanging="374"/>
      </w:pPr>
      <w:r w:rsidRPr="00892DE0">
        <w:rPr>
          <w:u w:val="single"/>
        </w:rPr>
        <w:t xml:space="preserve">Initial </w:t>
      </w:r>
      <w:r>
        <w:rPr>
          <w:u w:val="single"/>
        </w:rPr>
        <w:t>C</w:t>
      </w:r>
      <w:r w:rsidRPr="00892DE0">
        <w:rPr>
          <w:u w:val="single"/>
        </w:rPr>
        <w:t>alibration</w:t>
      </w:r>
      <w:r>
        <w:t xml:space="preserve">, data and results: </w:t>
      </w:r>
    </w:p>
    <w:p w14:paraId="61DFE9ED" w14:textId="140AC8E2" w:rsidR="00A64B83" w:rsidRDefault="00A64B83" w:rsidP="00A64B83">
      <w:pPr>
        <w:ind w:left="1076" w:right="255"/>
      </w:pPr>
      <w:proofErr w:type="gramStart"/>
      <w:r>
        <w:t>---  Calibration</w:t>
      </w:r>
      <w:proofErr w:type="gramEnd"/>
      <w:r>
        <w:t xml:space="preserve"> standards containing all target analytes run at </w:t>
      </w:r>
      <w:r w:rsidR="00C17A0F">
        <w:t xml:space="preserve">a minimum of </w:t>
      </w:r>
      <w:r>
        <w:t>five concentrations</w:t>
      </w:r>
      <w:r w:rsidR="00895341">
        <w:t xml:space="preserve"> per method specifications</w:t>
      </w:r>
      <w:r>
        <w:t xml:space="preserve"> </w:t>
      </w:r>
    </w:p>
    <w:p w14:paraId="661E0E2D" w14:textId="69EA03A4" w:rsidR="00A64B83" w:rsidRDefault="00A64B83" w:rsidP="00A64B83">
      <w:pPr>
        <w:ind w:left="1076" w:right="255"/>
      </w:pPr>
      <w:r>
        <w:t xml:space="preserve">---  </w:t>
      </w:r>
    </w:p>
    <w:p w14:paraId="2A12AF76" w14:textId="77777777" w:rsidR="00A64B83" w:rsidRDefault="00A64B83" w:rsidP="00A64B83">
      <w:pPr>
        <w:ind w:left="1076" w:right="255"/>
      </w:pPr>
      <w:proofErr w:type="gramStart"/>
      <w:r>
        <w:t>---  Response</w:t>
      </w:r>
      <w:proofErr w:type="gramEnd"/>
      <w:r>
        <w:t xml:space="preserve"> factors (RFs) for each target compound in the calibration standards </w:t>
      </w:r>
    </w:p>
    <w:p w14:paraId="29E216EA" w14:textId="75790560" w:rsidR="00A64B83" w:rsidRDefault="00A64B83" w:rsidP="00A64B83">
      <w:pPr>
        <w:ind w:left="1076" w:right="255"/>
      </w:pPr>
      <w:r>
        <w:t xml:space="preserve">---  </w:t>
      </w:r>
    </w:p>
    <w:p w14:paraId="6195C8B3" w14:textId="138AD3BE" w:rsidR="00A64B83" w:rsidRDefault="00A64B83" w:rsidP="00A64B83">
      <w:pPr>
        <w:ind w:left="1383" w:right="259" w:hanging="317"/>
      </w:pPr>
      <w:proofErr w:type="gramStart"/>
      <w:r>
        <w:t>---  Percent</w:t>
      </w:r>
      <w:proofErr w:type="gramEnd"/>
      <w:r>
        <w:t xml:space="preserve"> relative standard deviation (%RSD) </w:t>
      </w:r>
      <w:r w:rsidR="008E7749">
        <w:t xml:space="preserve">and/or </w:t>
      </w:r>
      <w:r w:rsidR="0055168C">
        <w:t xml:space="preserve">relative standard error (%RSE) </w:t>
      </w:r>
      <w:r>
        <w:t xml:space="preserve">for the RFs for the five concentrations of each calibration standard </w:t>
      </w:r>
    </w:p>
    <w:p w14:paraId="4A4175FC" w14:textId="77777777" w:rsidR="00A64B83" w:rsidRDefault="00A64B83" w:rsidP="00A64B83">
      <w:pPr>
        <w:ind w:left="1076" w:right="255"/>
      </w:pPr>
      <w:proofErr w:type="gramStart"/>
      <w:r>
        <w:t>---  Date</w:t>
      </w:r>
      <w:proofErr w:type="gramEnd"/>
      <w:r>
        <w:t xml:space="preserve"> and time of injection</w:t>
      </w:r>
    </w:p>
    <w:p w14:paraId="4C582128" w14:textId="16950102" w:rsidR="00A64B83" w:rsidRDefault="00A64B83" w:rsidP="00A64B83">
      <w:pPr>
        <w:spacing w:after="0" w:line="259" w:lineRule="auto"/>
        <w:ind w:left="1066" w:right="0" w:firstLine="0"/>
      </w:pPr>
    </w:p>
    <w:p w14:paraId="6BFCE8D9" w14:textId="168DD04E" w:rsidR="00A64B83" w:rsidRDefault="00A64B83" w:rsidP="00A64B83">
      <w:pPr>
        <w:ind w:left="1094" w:right="255" w:hanging="374"/>
      </w:pPr>
      <w:r>
        <w:t>•</w:t>
      </w:r>
      <w:r>
        <w:tab/>
      </w:r>
      <w:r w:rsidRPr="00892DE0">
        <w:rPr>
          <w:u w:val="single"/>
        </w:rPr>
        <w:t>Calibration Verification</w:t>
      </w:r>
      <w:r>
        <w:rPr>
          <w:u w:val="single"/>
        </w:rPr>
        <w:t>,</w:t>
      </w:r>
      <w:r>
        <w:t xml:space="preserve"> data and results (run eve</w:t>
      </w:r>
      <w:r w:rsidR="000F6525">
        <w:t xml:space="preserve">ry </w:t>
      </w:r>
      <w:r w:rsidR="00632BC6">
        <w:t xml:space="preserve">20 </w:t>
      </w:r>
      <w:r w:rsidR="000F6525">
        <w:t>sample</w:t>
      </w:r>
      <w:r w:rsidR="00632BC6">
        <w:t>s</w:t>
      </w:r>
      <w:r w:rsidR="000F6525">
        <w:t xml:space="preserve"> not including QC samples)</w:t>
      </w:r>
      <w:r>
        <w:t xml:space="preserve">: </w:t>
      </w:r>
    </w:p>
    <w:p w14:paraId="607DCD8F" w14:textId="69B625AC" w:rsidR="00A64B83" w:rsidRDefault="00A64B83" w:rsidP="00A64B83">
      <w:pPr>
        <w:ind w:left="1076" w:right="255"/>
      </w:pPr>
      <w:proofErr w:type="gramStart"/>
      <w:r>
        <w:t>---  RF</w:t>
      </w:r>
      <w:proofErr w:type="gramEnd"/>
      <w:r>
        <w:t xml:space="preserve"> for each compound in the </w:t>
      </w:r>
      <w:r w:rsidR="001540B1">
        <w:t>mid</w:t>
      </w:r>
      <w:r w:rsidR="009219AB">
        <w:t>-</w:t>
      </w:r>
      <w:r w:rsidR="001540B1">
        <w:t xml:space="preserve">level </w:t>
      </w:r>
      <w:r w:rsidR="009219AB">
        <w:t>calibration</w:t>
      </w:r>
      <w:r>
        <w:t xml:space="preserve"> standard </w:t>
      </w:r>
    </w:p>
    <w:p w14:paraId="5543C32F" w14:textId="53557B52" w:rsidR="00A64B83" w:rsidRDefault="00A64B83" w:rsidP="00A64B83">
      <w:pPr>
        <w:ind w:left="1383" w:right="0" w:hanging="317"/>
      </w:pPr>
      <w:proofErr w:type="gramStart"/>
      <w:r>
        <w:t xml:space="preserve">---  </w:t>
      </w:r>
      <w:r w:rsidR="00427DFA">
        <w:t>Concentration</w:t>
      </w:r>
      <w:proofErr w:type="gramEnd"/>
      <w:r w:rsidR="00427DFA">
        <w:t xml:space="preserve"> of </w:t>
      </w:r>
      <w:r w:rsidR="00345E09">
        <w:t>each analyte</w:t>
      </w:r>
      <w:r w:rsidR="00773D5E">
        <w:t xml:space="preserve"> </w:t>
      </w:r>
      <w:r w:rsidR="00807ED0">
        <w:t xml:space="preserve">(expressed as % </w:t>
      </w:r>
      <w:r w:rsidR="008C310D">
        <w:t>R</w:t>
      </w:r>
      <w:r w:rsidR="00807ED0">
        <w:t xml:space="preserve">ecovery) </w:t>
      </w:r>
      <w:r w:rsidR="00773D5E">
        <w:t xml:space="preserve">should meet method specific criteria </w:t>
      </w:r>
      <w:r w:rsidR="004E1B2C">
        <w:t xml:space="preserve">or laboratory </w:t>
      </w:r>
      <w:r w:rsidR="000F603F">
        <w:t>criteria.</w:t>
      </w:r>
      <w:r>
        <w:t xml:space="preserve"> </w:t>
      </w:r>
    </w:p>
    <w:p w14:paraId="23A3D2EB" w14:textId="77777777" w:rsidR="00A64B83" w:rsidRDefault="00A64B83" w:rsidP="00A64B83">
      <w:pPr>
        <w:ind w:left="1076" w:right="255"/>
      </w:pPr>
      <w:proofErr w:type="gramStart"/>
      <w:r>
        <w:t>---  Date</w:t>
      </w:r>
      <w:proofErr w:type="gramEnd"/>
      <w:r>
        <w:t xml:space="preserve"> and time of injection </w:t>
      </w:r>
    </w:p>
    <w:p w14:paraId="0169F965" w14:textId="5AD7A725" w:rsidR="00C41549" w:rsidRDefault="00C41549" w:rsidP="00C311D5">
      <w:pPr>
        <w:spacing w:after="0" w:line="259" w:lineRule="auto"/>
        <w:ind w:left="1066" w:right="0" w:firstLine="0"/>
      </w:pPr>
    </w:p>
    <w:p w14:paraId="18EF1F41" w14:textId="404ABA4E" w:rsidR="00E04DA7" w:rsidRDefault="00CA1CB3" w:rsidP="00E04DA7">
      <w:pPr>
        <w:numPr>
          <w:ilvl w:val="0"/>
          <w:numId w:val="11"/>
        </w:numPr>
        <w:ind w:right="255" w:hanging="360"/>
      </w:pPr>
      <w:r w:rsidRPr="00F02FD2">
        <w:rPr>
          <w:u w:val="single"/>
        </w:rPr>
        <w:t>Laboratory B</w:t>
      </w:r>
      <w:r w:rsidR="00E04DA7" w:rsidRPr="00F02FD2">
        <w:rPr>
          <w:u w:val="single"/>
        </w:rPr>
        <w:t xml:space="preserve">lank </w:t>
      </w:r>
      <w:r w:rsidR="00E04DA7">
        <w:t xml:space="preserve">summary sheet with results, including detections </w:t>
      </w:r>
    </w:p>
    <w:p w14:paraId="288EC3FA" w14:textId="77777777" w:rsidR="00E04DA7" w:rsidRDefault="00E04DA7" w:rsidP="00E04DA7">
      <w:pPr>
        <w:spacing w:after="0" w:line="259" w:lineRule="auto"/>
        <w:ind w:left="1080" w:right="0" w:firstLine="0"/>
      </w:pPr>
    </w:p>
    <w:p w14:paraId="599152F5" w14:textId="20F382DE" w:rsidR="00C41549" w:rsidRDefault="00C41549" w:rsidP="00C41549">
      <w:pPr>
        <w:numPr>
          <w:ilvl w:val="0"/>
          <w:numId w:val="11"/>
        </w:numPr>
        <w:ind w:right="255" w:hanging="360"/>
      </w:pPr>
      <w:r w:rsidRPr="00F02FD2">
        <w:rPr>
          <w:u w:val="single"/>
        </w:rPr>
        <w:t xml:space="preserve">Internal </w:t>
      </w:r>
      <w:r w:rsidR="00CE1B9A" w:rsidRPr="00F02FD2">
        <w:rPr>
          <w:u w:val="single"/>
        </w:rPr>
        <w:t>Standards</w:t>
      </w:r>
      <w:r w:rsidR="00CE1B9A">
        <w:t xml:space="preserve"> </w:t>
      </w:r>
      <w:r>
        <w:t xml:space="preserve">summary </w:t>
      </w:r>
      <w:r w:rsidR="001408E6">
        <w:t>for Method 537.1</w:t>
      </w:r>
      <w:r w:rsidR="00A86CCC">
        <w:t xml:space="preserve"> </w:t>
      </w:r>
      <w:r>
        <w:t xml:space="preserve">documented by: </w:t>
      </w:r>
    </w:p>
    <w:p w14:paraId="7619FC80" w14:textId="77777777" w:rsidR="008B31F1" w:rsidRDefault="00C41549" w:rsidP="00201976">
      <w:pPr>
        <w:ind w:left="1350" w:right="255" w:hanging="284"/>
      </w:pPr>
      <w:proofErr w:type="gramStart"/>
      <w:r>
        <w:t>---</w:t>
      </w:r>
      <w:r w:rsidR="0027351B">
        <w:t xml:space="preserve">  </w:t>
      </w:r>
      <w:r>
        <w:t>area</w:t>
      </w:r>
      <w:proofErr w:type="gramEnd"/>
      <w:r>
        <w:t xml:space="preserve"> of primary peak and respective RT for each internal standard from the continuing calibration</w:t>
      </w:r>
    </w:p>
    <w:p w14:paraId="372874D8" w14:textId="73B4B1E8" w:rsidR="00C41549" w:rsidRDefault="00C41549" w:rsidP="00923E46">
      <w:pPr>
        <w:ind w:left="1350" w:right="255" w:firstLine="90"/>
      </w:pPr>
      <w:r>
        <w:t xml:space="preserve">standard  </w:t>
      </w:r>
    </w:p>
    <w:p w14:paraId="261760BB" w14:textId="77777777" w:rsidR="00C41549" w:rsidRDefault="00C41549" w:rsidP="00C41549">
      <w:pPr>
        <w:ind w:left="1076" w:right="1415"/>
      </w:pPr>
      <w:proofErr w:type="gramStart"/>
      <w:r>
        <w:t>---  area</w:t>
      </w:r>
      <w:proofErr w:type="gramEnd"/>
      <w:r>
        <w:t xml:space="preserve"> of primary peak and respective RT for each internal standard from each sample</w:t>
      </w:r>
    </w:p>
    <w:p w14:paraId="69E6ACBD" w14:textId="77777777" w:rsidR="00C41549" w:rsidRDefault="00C41549" w:rsidP="00C41549">
      <w:pPr>
        <w:ind w:left="1076" w:right="1415"/>
      </w:pPr>
      <w:proofErr w:type="gramStart"/>
      <w:r>
        <w:t>---  upper</w:t>
      </w:r>
      <w:proofErr w:type="gramEnd"/>
      <w:r>
        <w:t xml:space="preserve"> and lower acceptance limits clearly defined</w:t>
      </w:r>
    </w:p>
    <w:p w14:paraId="7E0C21C0" w14:textId="28A9B0E5" w:rsidR="00C41549" w:rsidRDefault="00F167EA" w:rsidP="00A64B83">
      <w:pPr>
        <w:spacing w:after="0" w:line="259" w:lineRule="auto"/>
        <w:ind w:left="1066" w:right="0" w:firstLine="0"/>
      </w:pPr>
      <w:r w:rsidRPr="00F167EA">
        <w:rPr>
          <w:b/>
          <w:bCs/>
        </w:rPr>
        <w:t xml:space="preserve">Note: </w:t>
      </w:r>
      <w:r w:rsidRPr="00F167EA">
        <w:t xml:space="preserve">Method 537.1 is the only method of the four PFAS methods in this Protocol which specifies: </w:t>
      </w:r>
      <w:r w:rsidRPr="00F167EA">
        <w:rPr>
          <w:i/>
          <w:iCs/>
        </w:rPr>
        <w:t>The concentration of each</w:t>
      </w:r>
      <w:r w:rsidRPr="00F167EA">
        <w:t xml:space="preserve"> [PFAS] </w:t>
      </w:r>
      <w:r w:rsidRPr="00F167EA">
        <w:rPr>
          <w:i/>
          <w:iCs/>
        </w:rPr>
        <w:t>analyte is determined by using the internal standard technique.</w:t>
      </w:r>
      <w:r w:rsidRPr="00F167EA">
        <w:t xml:space="preserve">  Method 1633A and Method 533 utilize the isotope dilution technique to determine PFAS analyte concentrations, and Method 8327 utilizes external standard calibration models.</w:t>
      </w:r>
    </w:p>
    <w:p w14:paraId="42CC4421" w14:textId="77777777" w:rsidR="00411C57" w:rsidRDefault="00411C57" w:rsidP="00A64B83">
      <w:pPr>
        <w:spacing w:after="0" w:line="259" w:lineRule="auto"/>
        <w:ind w:left="1066" w:right="0" w:firstLine="0"/>
      </w:pPr>
    </w:p>
    <w:p w14:paraId="1C28418E" w14:textId="6D2EC1CA" w:rsidR="00A64B83" w:rsidRDefault="00A64B83" w:rsidP="00492991">
      <w:pPr>
        <w:numPr>
          <w:ilvl w:val="0"/>
          <w:numId w:val="11"/>
        </w:numPr>
        <w:ind w:right="255" w:hanging="360"/>
      </w:pPr>
      <w:r w:rsidRPr="00F02FD2">
        <w:rPr>
          <w:u w:val="single"/>
        </w:rPr>
        <w:t>Surrogate</w:t>
      </w:r>
      <w:r>
        <w:t xml:space="preserve"> (System Monitoring Compound) results (concentration of surrogate spikes added, measured concentrations, and % Recoveries of all surrogates) for each</w:t>
      </w:r>
      <w:r w:rsidR="005A3D3C">
        <w:t xml:space="preserve"> calibration standard and </w:t>
      </w:r>
      <w:r>
        <w:t>sample</w:t>
      </w:r>
      <w:r w:rsidR="00261741">
        <w:t>.</w:t>
      </w:r>
      <w:r>
        <w:t xml:space="preserve"> </w:t>
      </w:r>
    </w:p>
    <w:p w14:paraId="774DCCDE" w14:textId="7081B342" w:rsidR="00B23844" w:rsidRPr="00F02FD2" w:rsidRDefault="005347D5" w:rsidP="004F102F">
      <w:pPr>
        <w:ind w:left="1080" w:right="255"/>
        <w:rPr>
          <w:b/>
          <w:bCs/>
        </w:rPr>
      </w:pPr>
      <w:r>
        <w:rPr>
          <w:b/>
          <w:bCs/>
        </w:rPr>
        <w:t xml:space="preserve">Note: </w:t>
      </w:r>
      <w:r w:rsidRPr="00F02FD2">
        <w:t>Method 1633A and Method 533 do not typically include</w:t>
      </w:r>
      <w:r w:rsidR="0057603F" w:rsidRPr="00F02FD2">
        <w:t xml:space="preserve"> analysis of surrogates.</w:t>
      </w:r>
    </w:p>
    <w:p w14:paraId="7F4C79C3" w14:textId="77777777" w:rsidR="005347D5" w:rsidRDefault="005347D5" w:rsidP="004F102F">
      <w:pPr>
        <w:ind w:left="1080" w:right="255"/>
      </w:pPr>
    </w:p>
    <w:p w14:paraId="4ED2D5ED" w14:textId="77777777" w:rsidR="00E04DA7" w:rsidRDefault="00E04DA7" w:rsidP="00E04DA7">
      <w:pPr>
        <w:numPr>
          <w:ilvl w:val="0"/>
          <w:numId w:val="11"/>
        </w:numPr>
        <w:ind w:right="255" w:hanging="360"/>
      </w:pPr>
      <w:r w:rsidRPr="00F02FD2">
        <w:rPr>
          <w:u w:val="single"/>
        </w:rPr>
        <w:t>Matrix Spike/Matrix Spike Duplicate</w:t>
      </w:r>
      <w:r>
        <w:t xml:space="preserve"> (MS/MSD) results (at a minimum frequency of 1 per 20 samples or 1 per batch of less than 20 samples for each matrix).  Results to be reported </w:t>
      </w:r>
      <w:proofErr w:type="gramStart"/>
      <w:r>
        <w:t>include:</w:t>
      </w:r>
      <w:proofErr w:type="gramEnd"/>
      <w:r>
        <w:t xml:space="preserve">  Sample concentration for analyte, concentration of spike added, results, % Recovery for each compound, and Relative Percent Difference between MS and MSD for each compound. </w:t>
      </w:r>
    </w:p>
    <w:p w14:paraId="0965B7F9" w14:textId="77777777" w:rsidR="00E04DA7" w:rsidRDefault="00E04DA7" w:rsidP="00E04DA7">
      <w:pPr>
        <w:spacing w:after="0" w:line="259" w:lineRule="auto"/>
        <w:ind w:left="346" w:right="0" w:firstLine="0"/>
      </w:pPr>
      <w:r>
        <w:t xml:space="preserve"> </w:t>
      </w:r>
    </w:p>
    <w:p w14:paraId="3F2917C2" w14:textId="6F04D9CF" w:rsidR="00B80476" w:rsidRDefault="00B80476" w:rsidP="00F02FD2">
      <w:pPr>
        <w:spacing w:after="0" w:line="259" w:lineRule="auto"/>
        <w:ind w:left="1080" w:right="0" w:firstLine="0"/>
      </w:pPr>
      <w:r w:rsidRPr="00B80476">
        <w:rPr>
          <w:i/>
        </w:rPr>
        <w:lastRenderedPageBreak/>
        <w:t>OR</w:t>
      </w:r>
      <w:r w:rsidRPr="00B80476">
        <w:t xml:space="preserve"> For medium to high concentration soil and waste samples, laboratory duplicates may be substituted for the MSD.  </w:t>
      </w:r>
      <w:r w:rsidRPr="00B80476">
        <w:rPr>
          <w:b/>
        </w:rPr>
        <w:t>Note</w:t>
      </w:r>
      <w:proofErr w:type="gramStart"/>
      <w:r w:rsidRPr="00B80476">
        <w:rPr>
          <w:b/>
        </w:rPr>
        <w:t xml:space="preserve">:  </w:t>
      </w:r>
      <w:r w:rsidRPr="00F02FD2">
        <w:rPr>
          <w:bCs/>
        </w:rPr>
        <w:t>See</w:t>
      </w:r>
      <w:proofErr w:type="gramEnd"/>
      <w:r w:rsidRPr="00F02FD2">
        <w:rPr>
          <w:bCs/>
        </w:rPr>
        <w:t xml:space="preserve"> </w:t>
      </w:r>
      <w:r w:rsidR="00EB0729" w:rsidRPr="00F02FD2">
        <w:rPr>
          <w:bCs/>
        </w:rPr>
        <w:t xml:space="preserve">method </w:t>
      </w:r>
      <w:r w:rsidRPr="00F02FD2">
        <w:rPr>
          <w:bCs/>
        </w:rPr>
        <w:t>specifications listed in Section XV.</w:t>
      </w:r>
    </w:p>
    <w:p w14:paraId="7DE8E550" w14:textId="77777777" w:rsidR="00B80476" w:rsidRDefault="00B80476" w:rsidP="00E04DA7">
      <w:pPr>
        <w:spacing w:after="0" w:line="259" w:lineRule="auto"/>
        <w:ind w:left="346" w:right="0" w:firstLine="0"/>
      </w:pPr>
    </w:p>
    <w:p w14:paraId="0DAEA349" w14:textId="1D6F5B50" w:rsidR="00B23844" w:rsidRDefault="00B23844" w:rsidP="00B23844">
      <w:pPr>
        <w:numPr>
          <w:ilvl w:val="0"/>
          <w:numId w:val="11"/>
        </w:numPr>
        <w:ind w:right="255" w:hanging="360"/>
      </w:pPr>
      <w:r w:rsidRPr="00F02FD2">
        <w:rPr>
          <w:u w:val="single"/>
        </w:rPr>
        <w:t xml:space="preserve">Laboratory </w:t>
      </w:r>
      <w:r w:rsidR="00C73EE1" w:rsidRPr="00F02FD2">
        <w:rPr>
          <w:u w:val="single"/>
        </w:rPr>
        <w:t>Control Sample</w:t>
      </w:r>
      <w:r w:rsidR="00C73EE1">
        <w:t xml:space="preserve"> </w:t>
      </w:r>
      <w:r>
        <w:t>(QC Standard or lab-fortified blank</w:t>
      </w:r>
      <w:r w:rsidR="002B4FD3">
        <w:t>)</w:t>
      </w:r>
      <w:r>
        <w:t>: results and % Recovery including in-house control criteria.</w:t>
      </w:r>
    </w:p>
    <w:p w14:paraId="4F67B535" w14:textId="0884F5A8" w:rsidR="00A64B83" w:rsidRDefault="00A64B83" w:rsidP="004F102F">
      <w:pPr>
        <w:spacing w:after="0" w:line="259" w:lineRule="auto"/>
        <w:ind w:left="1080" w:right="0" w:firstLine="0"/>
      </w:pPr>
    </w:p>
    <w:p w14:paraId="1FD8ED37" w14:textId="3C7F035A" w:rsidR="00A64B83" w:rsidRDefault="00A64B83" w:rsidP="007478AA">
      <w:pPr>
        <w:pStyle w:val="ListParagraph"/>
        <w:numPr>
          <w:ilvl w:val="0"/>
          <w:numId w:val="175"/>
        </w:numPr>
        <w:spacing w:after="0" w:line="259" w:lineRule="auto"/>
        <w:ind w:right="0"/>
      </w:pPr>
      <w:r>
        <w:t>S</w:t>
      </w:r>
      <w:r w:rsidRPr="003B3E91">
        <w:t>ample preparation records</w:t>
      </w:r>
      <w:r>
        <w:t xml:space="preserve"> and cleanup records</w:t>
      </w:r>
      <w:r w:rsidRPr="003B3E91">
        <w:t xml:space="preserve"> (prep logs)</w:t>
      </w:r>
      <w:r w:rsidR="00B73953">
        <w:t xml:space="preserve"> including dates and times</w:t>
      </w:r>
      <w:r>
        <w:t>.</w:t>
      </w:r>
    </w:p>
    <w:p w14:paraId="60110C67" w14:textId="77777777" w:rsidR="00A64B83" w:rsidRDefault="00A64B83" w:rsidP="00A64B83">
      <w:pPr>
        <w:tabs>
          <w:tab w:val="center" w:pos="720"/>
          <w:tab w:val="center" w:pos="4285"/>
        </w:tabs>
        <w:ind w:right="259"/>
      </w:pPr>
    </w:p>
    <w:p w14:paraId="0915B8D1" w14:textId="105A8DF1" w:rsidR="00A64B83" w:rsidRPr="003B3E91" w:rsidRDefault="00A64B83" w:rsidP="00A64B83">
      <w:pPr>
        <w:pStyle w:val="ListParagraph"/>
        <w:numPr>
          <w:ilvl w:val="0"/>
          <w:numId w:val="68"/>
        </w:numPr>
        <w:tabs>
          <w:tab w:val="center" w:pos="720"/>
          <w:tab w:val="center" w:pos="4285"/>
        </w:tabs>
        <w:ind w:left="1080" w:right="259"/>
      </w:pPr>
      <w:r>
        <w:t>I</w:t>
      </w:r>
      <w:r w:rsidRPr="003B3E91">
        <w:t>nstrument run logs</w:t>
      </w:r>
      <w:r w:rsidR="00B73953">
        <w:t xml:space="preserve"> including dates and times</w:t>
      </w:r>
      <w:r>
        <w:t>.</w:t>
      </w:r>
    </w:p>
    <w:p w14:paraId="215FE4E6" w14:textId="77777777" w:rsidR="00A64B83" w:rsidRDefault="00A64B83" w:rsidP="00A64B83">
      <w:pPr>
        <w:tabs>
          <w:tab w:val="center" w:pos="720"/>
          <w:tab w:val="center" w:pos="4285"/>
        </w:tabs>
        <w:ind w:left="0" w:right="0" w:firstLine="0"/>
      </w:pPr>
      <w:r>
        <w:t xml:space="preserve"> </w:t>
      </w:r>
    </w:p>
    <w:p w14:paraId="7BB95AF6" w14:textId="77777777" w:rsidR="00A64B83" w:rsidRDefault="00A64B83" w:rsidP="00A64B83">
      <w:pPr>
        <w:pStyle w:val="ListParagraph"/>
        <w:numPr>
          <w:ilvl w:val="0"/>
          <w:numId w:val="61"/>
        </w:numPr>
        <w:tabs>
          <w:tab w:val="center" w:pos="720"/>
          <w:tab w:val="right" w:pos="10146"/>
        </w:tabs>
        <w:ind w:left="1080" w:right="0"/>
      </w:pPr>
      <w:r w:rsidRPr="00C26E51">
        <w:rPr>
          <w:b/>
        </w:rPr>
        <w:t>Raw Data</w:t>
      </w:r>
      <w:r>
        <w:t xml:space="preserve"> for each sample, field duplicate, blank, matrix spike, and matrix spike duplicate including: </w:t>
      </w:r>
    </w:p>
    <w:p w14:paraId="10E38190" w14:textId="77777777" w:rsidR="00A64B83" w:rsidRDefault="00A64B83" w:rsidP="00A64B83">
      <w:pPr>
        <w:spacing w:after="0" w:line="259" w:lineRule="auto"/>
        <w:ind w:left="1426" w:right="259" w:hanging="346"/>
      </w:pPr>
      <w:proofErr w:type="gramStart"/>
      <w:r>
        <w:t>---  total</w:t>
      </w:r>
      <w:proofErr w:type="gramEnd"/>
      <w:r>
        <w:t xml:space="preserve"> ion chromatogram (indicating surrogates, internal standards, and target compounds detected).</w:t>
      </w:r>
    </w:p>
    <w:p w14:paraId="02EE1DE6" w14:textId="52EB7E7B" w:rsidR="00A64B83" w:rsidRDefault="00A64B83" w:rsidP="00A64B83">
      <w:pPr>
        <w:spacing w:after="0" w:line="259" w:lineRule="auto"/>
        <w:ind w:left="1426" w:right="259" w:hanging="346"/>
      </w:pPr>
      <w:proofErr w:type="gramStart"/>
      <w:r>
        <w:t>---  individual</w:t>
      </w:r>
      <w:proofErr w:type="gramEnd"/>
      <w:r>
        <w:t xml:space="preserve"> mass spectra for target </w:t>
      </w:r>
      <w:r w:rsidRPr="003612E3">
        <w:t xml:space="preserve">analytes </w:t>
      </w:r>
      <w:r w:rsidRPr="00C311D5">
        <w:rPr>
          <w:u w:val="single" w:color="000000"/>
        </w:rPr>
        <w:t>detected in each sample and blank.</w:t>
      </w:r>
    </w:p>
    <w:p w14:paraId="03FDB6F5" w14:textId="77777777" w:rsidR="00A64B83" w:rsidRDefault="00A64B83" w:rsidP="00A64B83">
      <w:pPr>
        <w:ind w:left="1426" w:right="259" w:hanging="346"/>
      </w:pPr>
      <w:proofErr w:type="gramStart"/>
      <w:r>
        <w:t>---  quantitation</w:t>
      </w:r>
      <w:proofErr w:type="gramEnd"/>
      <w:r>
        <w:t xml:space="preserve"> reports (to include identification of internal and surrogate standards, scan number, area, retention time, concentration of target analytes detected, dilution factors, and date and time of injection). </w:t>
      </w:r>
    </w:p>
    <w:p w14:paraId="3760838A" w14:textId="482403AC" w:rsidR="00A64B83" w:rsidRDefault="00A64B83" w:rsidP="00A64B83">
      <w:pPr>
        <w:ind w:left="1080" w:right="259"/>
      </w:pPr>
      <w:proofErr w:type="gramStart"/>
      <w:r>
        <w:t>---  total</w:t>
      </w:r>
      <w:proofErr w:type="gramEnd"/>
      <w:r>
        <w:t xml:space="preserve"> ion chromatograms and quantitation reports for calibrations. </w:t>
      </w:r>
    </w:p>
    <w:p w14:paraId="0CA307E3" w14:textId="77777777" w:rsidR="00A64B83" w:rsidRDefault="00A64B83" w:rsidP="00A64B83">
      <w:pPr>
        <w:spacing w:after="0" w:line="259" w:lineRule="auto"/>
        <w:ind w:left="346" w:right="0" w:firstLine="0"/>
      </w:pPr>
    </w:p>
    <w:p w14:paraId="657253F3" w14:textId="77777777" w:rsidR="00A64B83" w:rsidRDefault="00A64B83" w:rsidP="00A64B83">
      <w:pPr>
        <w:spacing w:after="0" w:line="259" w:lineRule="auto"/>
        <w:ind w:left="346" w:right="0" w:firstLine="0"/>
      </w:pPr>
      <w:r>
        <w:t xml:space="preserve"> </w:t>
      </w:r>
    </w:p>
    <w:p w14:paraId="6E0B6BDD" w14:textId="77777777" w:rsidR="00A64B83" w:rsidRDefault="00A64B83" w:rsidP="00A64B83">
      <w:pPr>
        <w:spacing w:after="0" w:line="259" w:lineRule="auto"/>
        <w:ind w:left="346" w:right="0" w:firstLine="0"/>
      </w:pPr>
      <w:r>
        <w:t xml:space="preserve"> </w:t>
      </w:r>
    </w:p>
    <w:p w14:paraId="4735EE47" w14:textId="77777777" w:rsidR="00A64B83" w:rsidRDefault="00A64B83" w:rsidP="00A64B83">
      <w:pPr>
        <w:spacing w:after="0" w:line="259" w:lineRule="auto"/>
        <w:ind w:left="346" w:right="0" w:firstLine="0"/>
      </w:pPr>
    </w:p>
    <w:p w14:paraId="7B02F055" w14:textId="77777777" w:rsidR="00A64B83" w:rsidRDefault="00A64B83" w:rsidP="00A64B83">
      <w:pPr>
        <w:spacing w:after="0" w:line="259" w:lineRule="auto"/>
        <w:ind w:left="346" w:right="0" w:firstLine="0"/>
      </w:pPr>
    </w:p>
    <w:p w14:paraId="3ACAE537" w14:textId="77777777" w:rsidR="00A64B83" w:rsidRDefault="00A64B83" w:rsidP="00A64B83">
      <w:pPr>
        <w:spacing w:after="0" w:line="259" w:lineRule="auto"/>
        <w:ind w:left="346" w:right="0" w:firstLine="0"/>
        <w:jc w:val="center"/>
        <w:rPr>
          <w:b/>
          <w:bCs/>
        </w:rPr>
      </w:pPr>
      <w:r w:rsidRPr="00FF687E">
        <w:rPr>
          <w:b/>
          <w:bCs/>
        </w:rPr>
        <w:t>THE REMAINDER OF THIS PAGE HAS BEEN LEFT BLANK INTENTIONALLY</w:t>
      </w:r>
    </w:p>
    <w:p w14:paraId="441A39CB" w14:textId="77777777" w:rsidR="00A529B5" w:rsidRDefault="00A529B5">
      <w:pPr>
        <w:spacing w:after="160" w:line="259" w:lineRule="auto"/>
        <w:ind w:left="0" w:right="0" w:firstLine="0"/>
      </w:pPr>
    </w:p>
    <w:p w14:paraId="372763B2" w14:textId="63FD6BC8" w:rsidR="006763C8" w:rsidRDefault="006763C8" w:rsidP="00EB7DC9">
      <w:pPr>
        <w:spacing w:after="0" w:line="259" w:lineRule="auto"/>
        <w:ind w:left="0" w:right="0" w:firstLine="0"/>
      </w:pPr>
    </w:p>
    <w:p w14:paraId="1647B6D4" w14:textId="77777777" w:rsidR="002C2930" w:rsidRDefault="002C2930" w:rsidP="00EB7DC9">
      <w:pPr>
        <w:spacing w:after="0" w:line="259" w:lineRule="auto"/>
        <w:ind w:left="0" w:right="0" w:firstLine="0"/>
      </w:pPr>
    </w:p>
    <w:p w14:paraId="440F797E" w14:textId="77777777" w:rsidR="002C2930" w:rsidRDefault="002C2930" w:rsidP="00EB7DC9">
      <w:pPr>
        <w:spacing w:after="0" w:line="259" w:lineRule="auto"/>
        <w:ind w:left="0" w:right="0" w:firstLine="0"/>
      </w:pPr>
    </w:p>
    <w:p w14:paraId="4F8AF87F" w14:textId="77777777" w:rsidR="002C2930" w:rsidRDefault="002C2930" w:rsidP="00EB7DC9">
      <w:pPr>
        <w:spacing w:after="0" w:line="259" w:lineRule="auto"/>
        <w:ind w:left="0" w:right="0" w:firstLine="0"/>
      </w:pPr>
    </w:p>
    <w:p w14:paraId="1EDF6680" w14:textId="77777777" w:rsidR="002C2930" w:rsidRDefault="002C2930" w:rsidP="00EB7DC9">
      <w:pPr>
        <w:spacing w:after="0" w:line="259" w:lineRule="auto"/>
        <w:ind w:left="0" w:right="0" w:firstLine="0"/>
      </w:pPr>
    </w:p>
    <w:p w14:paraId="14FDE0BC" w14:textId="77777777" w:rsidR="002C2930" w:rsidRDefault="002C2930" w:rsidP="00EB7DC9">
      <w:pPr>
        <w:spacing w:after="0" w:line="259" w:lineRule="auto"/>
        <w:ind w:left="0" w:right="0" w:firstLine="0"/>
      </w:pPr>
    </w:p>
    <w:p w14:paraId="486DEB03" w14:textId="77777777" w:rsidR="002C2930" w:rsidRDefault="002C2930" w:rsidP="002C2930">
      <w:pPr>
        <w:spacing w:after="0" w:line="259" w:lineRule="auto"/>
        <w:ind w:left="0" w:right="0" w:firstLine="0"/>
      </w:pPr>
    </w:p>
    <w:p w14:paraId="16D526FE" w14:textId="77777777" w:rsidR="002C2930" w:rsidRDefault="002C2930" w:rsidP="002C2930">
      <w:pPr>
        <w:spacing w:after="0" w:line="259" w:lineRule="auto"/>
        <w:ind w:left="0" w:right="0" w:firstLine="0"/>
      </w:pPr>
    </w:p>
    <w:p w14:paraId="3BA360E8" w14:textId="77777777" w:rsidR="002C2930" w:rsidRDefault="002C2930" w:rsidP="002C2930">
      <w:pPr>
        <w:spacing w:after="0" w:line="259" w:lineRule="auto"/>
        <w:ind w:left="0" w:right="0" w:firstLine="0"/>
      </w:pPr>
    </w:p>
    <w:p w14:paraId="1B129E4D" w14:textId="77777777" w:rsidR="002C2930" w:rsidRDefault="002C2930" w:rsidP="002C2930">
      <w:pPr>
        <w:spacing w:after="0" w:line="259" w:lineRule="auto"/>
        <w:ind w:left="0" w:right="0" w:firstLine="0"/>
      </w:pPr>
    </w:p>
    <w:p w14:paraId="724915E4" w14:textId="77777777" w:rsidR="002C2930" w:rsidRDefault="002C2930" w:rsidP="002C2930">
      <w:pPr>
        <w:spacing w:after="0" w:line="259" w:lineRule="auto"/>
        <w:ind w:left="0" w:right="0" w:firstLine="0"/>
      </w:pPr>
    </w:p>
    <w:p w14:paraId="52870DEB" w14:textId="77777777" w:rsidR="002C2930" w:rsidRDefault="002C2930" w:rsidP="002C2930">
      <w:pPr>
        <w:spacing w:after="0" w:line="259" w:lineRule="auto"/>
        <w:ind w:left="0" w:right="0" w:firstLine="0"/>
      </w:pPr>
    </w:p>
    <w:p w14:paraId="50601A8C" w14:textId="77777777" w:rsidR="002C2930" w:rsidRDefault="002C2930" w:rsidP="002C2930">
      <w:pPr>
        <w:spacing w:after="0" w:line="259" w:lineRule="auto"/>
        <w:ind w:left="0" w:right="0" w:firstLine="0"/>
      </w:pPr>
    </w:p>
    <w:p w14:paraId="746166BA" w14:textId="77777777" w:rsidR="002C2930" w:rsidRDefault="002C2930" w:rsidP="002C2930">
      <w:pPr>
        <w:spacing w:after="0" w:line="259" w:lineRule="auto"/>
        <w:ind w:left="0" w:right="0" w:firstLine="0"/>
      </w:pPr>
    </w:p>
    <w:p w14:paraId="69D0FA1C" w14:textId="77777777" w:rsidR="002C2930" w:rsidRDefault="002C2930" w:rsidP="002C2930">
      <w:pPr>
        <w:spacing w:after="0" w:line="259" w:lineRule="auto"/>
        <w:ind w:left="0" w:right="0" w:firstLine="0"/>
      </w:pPr>
    </w:p>
    <w:p w14:paraId="5F2522CC" w14:textId="77777777" w:rsidR="002C2930" w:rsidRDefault="002C2930" w:rsidP="002C2930">
      <w:pPr>
        <w:spacing w:after="0" w:line="259" w:lineRule="auto"/>
        <w:ind w:left="0" w:right="0" w:firstLine="0"/>
      </w:pPr>
    </w:p>
    <w:p w14:paraId="7CF51AAD" w14:textId="77777777" w:rsidR="002C2930" w:rsidRDefault="002C2930" w:rsidP="002C2930">
      <w:pPr>
        <w:spacing w:after="0" w:line="259" w:lineRule="auto"/>
        <w:ind w:left="0" w:right="0" w:firstLine="0"/>
      </w:pPr>
    </w:p>
    <w:p w14:paraId="11C83181" w14:textId="77777777" w:rsidR="002C2930" w:rsidRDefault="002C2930" w:rsidP="002C2930">
      <w:pPr>
        <w:spacing w:after="0" w:line="259" w:lineRule="auto"/>
        <w:ind w:left="0" w:right="0" w:firstLine="0"/>
      </w:pPr>
    </w:p>
    <w:p w14:paraId="414C3A12" w14:textId="77777777" w:rsidR="002C2930" w:rsidRDefault="002C2930" w:rsidP="002C2930">
      <w:pPr>
        <w:spacing w:after="0" w:line="259" w:lineRule="auto"/>
        <w:ind w:left="0" w:right="0" w:firstLine="0"/>
      </w:pPr>
    </w:p>
    <w:p w14:paraId="601F6D35" w14:textId="77777777" w:rsidR="002C2930" w:rsidRDefault="002C2930" w:rsidP="002C2930">
      <w:pPr>
        <w:spacing w:after="0" w:line="259" w:lineRule="auto"/>
        <w:ind w:left="0" w:right="0" w:firstLine="0"/>
      </w:pPr>
    </w:p>
    <w:p w14:paraId="23B018BC" w14:textId="77777777" w:rsidR="002C2930" w:rsidRDefault="002C2930" w:rsidP="002C2930">
      <w:pPr>
        <w:spacing w:after="0" w:line="259" w:lineRule="auto"/>
        <w:ind w:left="0" w:right="0" w:firstLine="0"/>
      </w:pPr>
    </w:p>
    <w:p w14:paraId="55DDAB37" w14:textId="77777777" w:rsidR="002C2930" w:rsidRDefault="002C2930" w:rsidP="002C2930">
      <w:pPr>
        <w:spacing w:after="0" w:line="259" w:lineRule="auto"/>
        <w:ind w:left="0" w:right="0" w:firstLine="0"/>
      </w:pPr>
    </w:p>
    <w:p w14:paraId="2DD15CC4" w14:textId="77777777" w:rsidR="002C2930" w:rsidRDefault="002C2930" w:rsidP="002C2930">
      <w:pPr>
        <w:spacing w:after="0" w:line="259" w:lineRule="auto"/>
        <w:ind w:left="0" w:right="0" w:firstLine="0"/>
      </w:pPr>
    </w:p>
    <w:p w14:paraId="2BEC38A2" w14:textId="77777777" w:rsidR="002C2930" w:rsidRDefault="002C2930" w:rsidP="00671ED2">
      <w:pPr>
        <w:spacing w:after="0" w:line="259" w:lineRule="auto"/>
        <w:ind w:left="0" w:right="0" w:firstLine="0"/>
      </w:pPr>
    </w:p>
    <w:p w14:paraId="0FAE5D2B" w14:textId="77777777" w:rsidR="002C2930" w:rsidRDefault="002C2930" w:rsidP="006763C8">
      <w:pPr>
        <w:spacing w:after="160" w:line="259" w:lineRule="auto"/>
        <w:ind w:left="0" w:right="0" w:firstLine="0"/>
      </w:pPr>
    </w:p>
    <w:p w14:paraId="50F95EC5" w14:textId="77777777" w:rsidR="00B56D50" w:rsidRDefault="001C3C42">
      <w:pPr>
        <w:spacing w:after="0" w:line="259" w:lineRule="auto"/>
        <w:ind w:left="0" w:right="-128" w:firstLine="0"/>
      </w:pPr>
      <w:r>
        <w:rPr>
          <w:rFonts w:ascii="Calibri" w:eastAsia="Calibri" w:hAnsi="Calibri" w:cs="Calibri"/>
          <w:noProof/>
        </w:rPr>
        <w:lastRenderedPageBreak/>
        <mc:AlternateContent>
          <mc:Choice Requires="wpg">
            <w:drawing>
              <wp:inline distT="0" distB="0" distL="0" distR="0" wp14:anchorId="75C8C363" wp14:editId="69B984C0">
                <wp:extent cx="6400800" cy="54864"/>
                <wp:effectExtent l="0" t="0" r="0" b="0"/>
                <wp:docPr id="632636" name="Group 632636"/>
                <wp:cNvGraphicFramePr/>
                <a:graphic xmlns:a="http://schemas.openxmlformats.org/drawingml/2006/main">
                  <a:graphicData uri="http://schemas.microsoft.com/office/word/2010/wordprocessingGroup">
                    <wpg:wgp>
                      <wpg:cNvGrpSpPr/>
                      <wpg:grpSpPr>
                        <a:xfrm>
                          <a:off x="0" y="0"/>
                          <a:ext cx="6400800" cy="54864"/>
                          <a:chOff x="0" y="0"/>
                          <a:chExt cx="6217920" cy="57150"/>
                        </a:xfrm>
                      </wpg:grpSpPr>
                      <wps:wsp>
                        <wps:cNvPr id="899791" name="Shape 899791"/>
                        <wps:cNvSpPr/>
                        <wps:spPr>
                          <a:xfrm>
                            <a:off x="0" y="45720"/>
                            <a:ext cx="6217920" cy="11430"/>
                          </a:xfrm>
                          <a:custGeom>
                            <a:avLst/>
                            <a:gdLst/>
                            <a:ahLst/>
                            <a:cxnLst/>
                            <a:rect l="0" t="0" r="0" b="0"/>
                            <a:pathLst>
                              <a:path w="6217920" h="11430">
                                <a:moveTo>
                                  <a:pt x="0" y="0"/>
                                </a:moveTo>
                                <a:lnTo>
                                  <a:pt x="6217920" y="0"/>
                                </a:lnTo>
                                <a:lnTo>
                                  <a:pt x="6217920" y="11430"/>
                                </a:lnTo>
                                <a:lnTo>
                                  <a:pt x="0" y="114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9792" name="Shape 899792"/>
                        <wps:cNvSpPr/>
                        <wps:spPr>
                          <a:xfrm>
                            <a:off x="0" y="0"/>
                            <a:ext cx="6217920" cy="34289"/>
                          </a:xfrm>
                          <a:custGeom>
                            <a:avLst/>
                            <a:gdLst/>
                            <a:ahLst/>
                            <a:cxnLst/>
                            <a:rect l="0" t="0" r="0" b="0"/>
                            <a:pathLst>
                              <a:path w="6217920" h="34289">
                                <a:moveTo>
                                  <a:pt x="0" y="0"/>
                                </a:moveTo>
                                <a:lnTo>
                                  <a:pt x="6217920" y="0"/>
                                </a:lnTo>
                                <a:lnTo>
                                  <a:pt x="6217920" y="34289"/>
                                </a:lnTo>
                                <a:lnTo>
                                  <a:pt x="0" y="3428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rto="http://schemas.microsoft.com/office/word/2006/arto">
            <w:pict>
              <v:group w14:anchorId="3FEC51DA" id="Group 632636" o:spid="_x0000_s1026" style="width:7in;height:4.3pt;mso-position-horizontal-relative:char;mso-position-vertical-relative:line" coordsize="62179,5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">
                <v:shape id="Shape 899791" o:spid="_x0000_s1027" style="position:absolute;top:457;width:62179;height:114;visibility:visible;mso-wrap-style:square;v-text-anchor:top" coordsize="6217920,114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" path="m,l6217920,r,11430l,11430,,e" fillcolor="black" stroked="f" strokeweight="0">
                  <v:stroke miterlimit="83231f" joinstyle="miter"/>
                  <v:path arrowok="t" textboxrect="0,0,6217920,11430"/>
                </v:shape>
                <v:shape id="Shape 899792" o:spid="_x0000_s1028" style="position:absolute;width:62179;height:342;visibility:visible;mso-wrap-style:square;v-text-anchor:top" coordsize="6217920,342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" path="m,l6217920,r,34289l,34289,,e" fillcolor="black" stroked="f" strokeweight="0">
                  <v:stroke miterlimit="83231f" joinstyle="miter"/>
                  <v:path arrowok="t" textboxrect="0,0,6217920,34289"/>
                </v:shape>
                <w10:anchorlock/>
              </v:group>
            </w:pict>
          </mc:Fallback>
        </mc:AlternateContent>
      </w:r>
    </w:p>
    <w:p w14:paraId="09B599F0" w14:textId="77777777" w:rsidR="00B56D50" w:rsidRPr="003E7169" w:rsidRDefault="001C3C42">
      <w:pPr>
        <w:spacing w:after="11" w:line="259" w:lineRule="auto"/>
        <w:ind w:left="0" w:right="0" w:firstLine="0"/>
        <w:rPr>
          <w:sz w:val="10"/>
          <w:szCs w:val="10"/>
        </w:rPr>
      </w:pPr>
      <w:r>
        <w:rPr>
          <w:rFonts w:ascii="Cambria" w:eastAsia="Cambria" w:hAnsi="Cambria" w:cs="Cambria"/>
          <w:color w:val="365F91"/>
          <w:sz w:val="24"/>
        </w:rPr>
        <w:t xml:space="preserve"> </w:t>
      </w:r>
    </w:p>
    <w:p w14:paraId="16DF5505" w14:textId="680A01F7" w:rsidR="00B56D50" w:rsidRPr="003E7169" w:rsidRDefault="001C3C42" w:rsidP="00D70FA5">
      <w:pPr>
        <w:pStyle w:val="Heading4"/>
        <w:spacing w:after="10" w:line="249" w:lineRule="auto"/>
        <w:ind w:left="-5"/>
        <w:jc w:val="center"/>
      </w:pPr>
      <w:r w:rsidRPr="003E7169">
        <w:t>VII. TURNAROUND TIMES FOR DELIVERY OF ANALYTICAL REPORTS</w:t>
      </w:r>
    </w:p>
    <w:p w14:paraId="10CD6993" w14:textId="77777777" w:rsidR="00B56D50" w:rsidRDefault="001C3C42">
      <w:pPr>
        <w:spacing w:after="19" w:line="238" w:lineRule="auto"/>
        <w:ind w:left="0" w:right="-128" w:firstLine="0"/>
      </w:pPr>
      <w:r>
        <w:rPr>
          <w:rFonts w:ascii="Calibri" w:eastAsia="Calibri" w:hAnsi="Calibri" w:cs="Calibri"/>
          <w:noProof/>
        </w:rPr>
        <mc:AlternateContent>
          <mc:Choice Requires="wpg">
            <w:drawing>
              <wp:inline distT="0" distB="0" distL="0" distR="0" wp14:anchorId="418FAA34" wp14:editId="2762636A">
                <wp:extent cx="6400800" cy="57150"/>
                <wp:effectExtent l="0" t="0" r="0" b="6350"/>
                <wp:docPr id="632637" name="Group 632637"/>
                <wp:cNvGraphicFramePr/>
                <a:graphic xmlns:a="http://schemas.openxmlformats.org/drawingml/2006/main">
                  <a:graphicData uri="http://schemas.microsoft.com/office/word/2010/wordprocessingGroup">
                    <wpg:wgp>
                      <wpg:cNvGrpSpPr/>
                      <wpg:grpSpPr>
                        <a:xfrm>
                          <a:off x="0" y="0"/>
                          <a:ext cx="6400800" cy="57150"/>
                          <a:chOff x="0" y="0"/>
                          <a:chExt cx="6217920" cy="57150"/>
                        </a:xfrm>
                      </wpg:grpSpPr>
                      <wps:wsp>
                        <wps:cNvPr id="899793" name="Shape 899793"/>
                        <wps:cNvSpPr/>
                        <wps:spPr>
                          <a:xfrm>
                            <a:off x="0" y="22860"/>
                            <a:ext cx="6217920" cy="34290"/>
                          </a:xfrm>
                          <a:custGeom>
                            <a:avLst/>
                            <a:gdLst/>
                            <a:ahLst/>
                            <a:cxnLst/>
                            <a:rect l="0" t="0" r="0" b="0"/>
                            <a:pathLst>
                              <a:path w="6217920" h="34290">
                                <a:moveTo>
                                  <a:pt x="0" y="0"/>
                                </a:moveTo>
                                <a:lnTo>
                                  <a:pt x="6217920" y="0"/>
                                </a:lnTo>
                                <a:lnTo>
                                  <a:pt x="6217920" y="34290"/>
                                </a:lnTo>
                                <a:lnTo>
                                  <a:pt x="0" y="3429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9794" name="Shape 899794"/>
                        <wps:cNvSpPr/>
                        <wps:spPr>
                          <a:xfrm>
                            <a:off x="0" y="0"/>
                            <a:ext cx="6217920" cy="11430"/>
                          </a:xfrm>
                          <a:custGeom>
                            <a:avLst/>
                            <a:gdLst/>
                            <a:ahLst/>
                            <a:cxnLst/>
                            <a:rect l="0" t="0" r="0" b="0"/>
                            <a:pathLst>
                              <a:path w="6217920" h="11430">
                                <a:moveTo>
                                  <a:pt x="0" y="0"/>
                                </a:moveTo>
                                <a:lnTo>
                                  <a:pt x="6217920" y="0"/>
                                </a:lnTo>
                                <a:lnTo>
                                  <a:pt x="6217920" y="11430"/>
                                </a:lnTo>
                                <a:lnTo>
                                  <a:pt x="0" y="114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rto="http://schemas.microsoft.com/office/word/2006/arto">
            <w:pict>
              <v:group w14:anchorId="11E4CE19" id="Group 632637" o:spid="_x0000_s1026" style="width:7in;height:4.5pt;mso-position-horizontal-relative:char;mso-position-vertical-relative:line" coordsize="62179,5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">
                <v:shape id="Shape 899793" o:spid="_x0000_s1027" style="position:absolute;top:228;width:62179;height:343;visibility:visible;mso-wrap-style:square;v-text-anchor:top" coordsize="6217920,34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" path="m,l6217920,r,34290l,34290,,e" fillcolor="black" stroked="f" strokeweight="0">
                  <v:stroke miterlimit="83231f" joinstyle="miter"/>
                  <v:path arrowok="t" textboxrect="0,0,6217920,34290"/>
                </v:shape>
                <v:shape id="Shape 899794" o:spid="_x0000_s1028" style="position:absolute;width:62179;height:114;visibility:visible;mso-wrap-style:square;v-text-anchor:top" coordsize="6217920,114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" path="m,l6217920,r,11430l,11430,,e" fillcolor="black" stroked="f" strokeweight="0">
                  <v:stroke miterlimit="83231f" joinstyle="miter"/>
                  <v:path arrowok="t" textboxrect="0,0,6217920,11430"/>
                </v:shape>
                <w10:anchorlock/>
              </v:group>
            </w:pict>
          </mc:Fallback>
        </mc:AlternateContent>
      </w:r>
      <w:r>
        <w:rPr>
          <w:b/>
        </w:rPr>
        <w:t xml:space="preserve"> </w:t>
      </w:r>
      <w:r>
        <w:rPr>
          <w:rFonts w:ascii="Arial" w:eastAsia="Arial" w:hAnsi="Arial" w:cs="Arial"/>
        </w:rPr>
        <w:t xml:space="preserve"> </w:t>
      </w:r>
    </w:p>
    <w:p w14:paraId="3357EE31" w14:textId="77777777" w:rsidR="00B56D50" w:rsidRDefault="001C3C42">
      <w:pPr>
        <w:spacing w:after="0" w:line="259" w:lineRule="auto"/>
        <w:ind w:left="0" w:right="0" w:firstLine="0"/>
      </w:pPr>
      <w:r>
        <w:rPr>
          <w:rFonts w:ascii="Arial" w:eastAsia="Arial" w:hAnsi="Arial" w:cs="Arial"/>
          <w:sz w:val="24"/>
        </w:rPr>
        <w:t xml:space="preserve"> </w:t>
      </w:r>
    </w:p>
    <w:p w14:paraId="4F5993B5" w14:textId="4A3CD522" w:rsidR="00B56D50" w:rsidRDefault="001C3C42" w:rsidP="00C05D10">
      <w:pPr>
        <w:ind w:left="0" w:right="0"/>
      </w:pPr>
      <w:r>
        <w:t xml:space="preserve">The Contractor shall use a standard </w:t>
      </w:r>
      <w:r w:rsidR="001D7EBD">
        <w:t>turnaround</w:t>
      </w:r>
      <w:r>
        <w:t xml:space="preserve"> time of 30</w:t>
      </w:r>
      <w:r w:rsidR="0048080F">
        <w:t xml:space="preserve"> calendar</w:t>
      </w:r>
      <w:r>
        <w:t xml:space="preserve"> days.  If a </w:t>
      </w:r>
      <w:r w:rsidR="001D7EBD">
        <w:t>turnaround</w:t>
      </w:r>
      <w:r>
        <w:t xml:space="preserve"> time for delivery is not explicitly stated at the time of the analytical request, a 30-day turnaround may be assumed.  Occasionally shorter </w:t>
      </w:r>
      <w:r w:rsidR="001D7EBD">
        <w:t>turnaround</w:t>
      </w:r>
      <w:r>
        <w:t xml:space="preserve"> times of 14 days, 7 days, or 48 hours will be requested.  Delivery of the </w:t>
      </w:r>
      <w:r w:rsidR="00FE7E4D">
        <w:t>complete</w:t>
      </w:r>
      <w:r>
        <w:t xml:space="preserve"> analytical report by the </w:t>
      </w:r>
      <w:r w:rsidR="001D7EBD">
        <w:t>turnaround</w:t>
      </w:r>
      <w:r>
        <w:t xml:space="preserve"> time requested </w:t>
      </w:r>
      <w:r w:rsidR="005F06EC">
        <w:t xml:space="preserve">at the time of sample setup </w:t>
      </w:r>
      <w:r>
        <w:t>is extremely important to the State for decision-making purposes.</w:t>
      </w:r>
    </w:p>
    <w:p w14:paraId="3A8472A7" w14:textId="34EBA4D2" w:rsidR="00B56D50" w:rsidRDefault="00B56D50" w:rsidP="00C05D10">
      <w:pPr>
        <w:spacing w:after="0" w:line="259" w:lineRule="auto"/>
        <w:ind w:left="0" w:right="0" w:firstLine="0"/>
      </w:pPr>
    </w:p>
    <w:p w14:paraId="062F39BA" w14:textId="39BCE2A3" w:rsidR="00B56D50" w:rsidRDefault="001C3C42" w:rsidP="00C05D10">
      <w:pPr>
        <w:ind w:left="0" w:right="0"/>
      </w:pPr>
      <w:r>
        <w:rPr>
          <w:b/>
        </w:rPr>
        <w:t xml:space="preserve">Meeting the </w:t>
      </w:r>
      <w:r w:rsidR="001D7EBD">
        <w:rPr>
          <w:b/>
        </w:rPr>
        <w:t>turnaround</w:t>
      </w:r>
      <w:r>
        <w:rPr>
          <w:b/>
        </w:rPr>
        <w:t xml:space="preserve"> time means that the report is </w:t>
      </w:r>
      <w:r w:rsidR="00240465">
        <w:rPr>
          <w:b/>
        </w:rPr>
        <w:t xml:space="preserve">submitted </w:t>
      </w:r>
      <w:r>
        <w:rPr>
          <w:b/>
        </w:rPr>
        <w:t xml:space="preserve">by the requested deadline.  </w:t>
      </w:r>
      <w:r w:rsidR="001446BD" w:rsidRPr="001446BD">
        <w:rPr>
          <w:bCs/>
        </w:rPr>
        <w:t>R</w:t>
      </w:r>
      <w:r>
        <w:t xml:space="preserve">esults </w:t>
      </w:r>
      <w:r w:rsidR="00240465">
        <w:t>submitted</w:t>
      </w:r>
      <w:r w:rsidR="00042170">
        <w:t xml:space="preserve"> </w:t>
      </w:r>
      <w:r>
        <w:t>without</w:t>
      </w:r>
      <w:r w:rsidR="00B71BAF">
        <w:t xml:space="preserve"> the</w:t>
      </w:r>
      <w:r>
        <w:t xml:space="preserve"> </w:t>
      </w:r>
      <w:r w:rsidR="003E190C">
        <w:t>data</w:t>
      </w:r>
      <w:r w:rsidR="00426C55">
        <w:t xml:space="preserve"> package</w:t>
      </w:r>
      <w:r w:rsidR="003E190C">
        <w:t xml:space="preserve"> </w:t>
      </w:r>
      <w:r w:rsidR="001B42DD">
        <w:t>do</w:t>
      </w:r>
      <w:r>
        <w:t xml:space="preserve"> </w:t>
      </w:r>
      <w:r>
        <w:rPr>
          <w:b/>
          <w:u w:val="single" w:color="000000"/>
        </w:rPr>
        <w:t>not</w:t>
      </w:r>
      <w:r>
        <w:t xml:space="preserve"> constitute meeting the </w:t>
      </w:r>
      <w:r w:rsidR="001D7EBD">
        <w:t>turnaround</w:t>
      </w:r>
      <w:r>
        <w:t xml:space="preserve"> time.  The only exception is when a 48-hour turnaround is requested.  The 48-hour turnaround requires that preliminary results be transmitted to the State within 48 hours of sample receipt.  The complete, analytical report is then due </w:t>
      </w:r>
      <w:r>
        <w:rPr>
          <w:u w:val="single" w:color="000000"/>
        </w:rPr>
        <w:t>within 7 calendar days</w:t>
      </w:r>
      <w:r>
        <w:t xml:space="preserve"> of the preliminary report.</w:t>
      </w:r>
    </w:p>
    <w:p w14:paraId="5CC64BDE" w14:textId="09082EB2" w:rsidR="00B56D50" w:rsidRDefault="00B56D50" w:rsidP="00C05D10">
      <w:pPr>
        <w:spacing w:after="0" w:line="259" w:lineRule="auto"/>
        <w:ind w:left="0" w:right="0" w:firstLine="0"/>
      </w:pPr>
    </w:p>
    <w:p w14:paraId="3E595F70" w14:textId="394CBF92" w:rsidR="00B56D50" w:rsidRDefault="001C3C42" w:rsidP="00C05D10">
      <w:pPr>
        <w:ind w:left="0" w:right="255"/>
      </w:pPr>
      <w:r>
        <w:t xml:space="preserve">Financial penalties will be assessed for analytical reports not delivered by the turnaround time.  See Section IX, </w:t>
      </w:r>
      <w:r>
        <w:rPr>
          <w:b/>
        </w:rPr>
        <w:t>Payment for Analytical Services</w:t>
      </w:r>
      <w:r>
        <w:t>, for details.</w:t>
      </w:r>
    </w:p>
    <w:p w14:paraId="05AF12B9" w14:textId="74F29F8C" w:rsidR="00B56D50" w:rsidRDefault="00B56D50" w:rsidP="00C05D10">
      <w:pPr>
        <w:spacing w:after="0" w:line="259" w:lineRule="auto"/>
        <w:ind w:left="0" w:right="0" w:firstLine="0"/>
      </w:pPr>
    </w:p>
    <w:p w14:paraId="286DFE2D" w14:textId="4F1EEED2" w:rsidR="00B56D50" w:rsidRDefault="00B56D50" w:rsidP="00C05D10">
      <w:pPr>
        <w:spacing w:after="0" w:line="259" w:lineRule="auto"/>
        <w:ind w:left="0" w:right="0" w:firstLine="0"/>
      </w:pPr>
    </w:p>
    <w:p w14:paraId="1EBCDC51" w14:textId="20A28E2C" w:rsidR="00B56D50" w:rsidRDefault="00B56D50" w:rsidP="00C05D10">
      <w:pPr>
        <w:spacing w:after="0" w:line="259" w:lineRule="auto"/>
        <w:ind w:left="0" w:right="0" w:firstLine="0"/>
      </w:pPr>
    </w:p>
    <w:p w14:paraId="4E5CCC58" w14:textId="52E958F1" w:rsidR="00B56D50" w:rsidRDefault="00B56D50" w:rsidP="00C05D10">
      <w:pPr>
        <w:spacing w:after="0" w:line="259" w:lineRule="auto"/>
        <w:ind w:left="0" w:right="0" w:firstLine="0"/>
      </w:pPr>
    </w:p>
    <w:p w14:paraId="5918194B" w14:textId="48FDED09" w:rsidR="00B56D50" w:rsidRDefault="00B56D50" w:rsidP="00C05D10">
      <w:pPr>
        <w:spacing w:after="0" w:line="259" w:lineRule="auto"/>
        <w:ind w:left="0" w:right="0" w:firstLine="0"/>
      </w:pPr>
    </w:p>
    <w:p w14:paraId="6E35FBA8" w14:textId="5A442D91" w:rsidR="00B56D50" w:rsidRDefault="001C3C42" w:rsidP="000A6588">
      <w:pPr>
        <w:spacing w:after="0" w:line="259" w:lineRule="auto"/>
        <w:ind w:left="180" w:right="0" w:firstLine="0"/>
        <w:jc w:val="center"/>
      </w:pPr>
      <w:r>
        <w:t xml:space="preserve"> </w:t>
      </w:r>
      <w:r w:rsidRPr="000A6588">
        <w:rPr>
          <w:b/>
          <w:bCs/>
        </w:rPr>
        <w:t>THE REMAINDER OF THIS PAGE HAS BEEN LEFT BLANK INTENTIONALLY</w:t>
      </w:r>
    </w:p>
    <w:p w14:paraId="54018436" w14:textId="77777777" w:rsidR="00F74671" w:rsidRPr="00CC07AC" w:rsidRDefault="00F74671" w:rsidP="00C05D10">
      <w:pPr>
        <w:spacing w:after="45" w:line="259" w:lineRule="auto"/>
        <w:ind w:left="0" w:right="0" w:firstLine="0"/>
        <w:rPr>
          <w:rFonts w:eastAsia="Arial"/>
        </w:rPr>
      </w:pPr>
    </w:p>
    <w:p w14:paraId="1CAEB07B" w14:textId="77777777" w:rsidR="00F74671" w:rsidRPr="00CC07AC" w:rsidRDefault="00F74671" w:rsidP="00C05D10">
      <w:pPr>
        <w:spacing w:after="45" w:line="259" w:lineRule="auto"/>
        <w:ind w:left="0" w:right="0" w:firstLine="0"/>
        <w:rPr>
          <w:rFonts w:eastAsia="Arial"/>
        </w:rPr>
      </w:pPr>
    </w:p>
    <w:p w14:paraId="63C84692" w14:textId="77777777" w:rsidR="00F74671" w:rsidRPr="00CC07AC" w:rsidRDefault="00F74671" w:rsidP="00C05D10">
      <w:pPr>
        <w:spacing w:after="45" w:line="259" w:lineRule="auto"/>
        <w:ind w:left="0" w:right="0" w:firstLine="0"/>
        <w:rPr>
          <w:rFonts w:eastAsia="Arial"/>
        </w:rPr>
      </w:pPr>
    </w:p>
    <w:p w14:paraId="0E9F7708" w14:textId="77777777" w:rsidR="00F74671" w:rsidRPr="00CC07AC" w:rsidRDefault="00F74671" w:rsidP="00C05D10">
      <w:pPr>
        <w:spacing w:after="45" w:line="259" w:lineRule="auto"/>
        <w:ind w:left="0" w:right="0" w:firstLine="0"/>
        <w:rPr>
          <w:rFonts w:eastAsia="Arial"/>
        </w:rPr>
      </w:pPr>
    </w:p>
    <w:p w14:paraId="7EC8B95B" w14:textId="77777777" w:rsidR="00F74671" w:rsidRPr="00CC07AC" w:rsidRDefault="00F74671" w:rsidP="00C05D10">
      <w:pPr>
        <w:spacing w:after="45" w:line="259" w:lineRule="auto"/>
        <w:ind w:left="0" w:right="0" w:firstLine="0"/>
        <w:rPr>
          <w:rFonts w:eastAsia="Arial"/>
        </w:rPr>
      </w:pPr>
    </w:p>
    <w:p w14:paraId="2A9A5A4C" w14:textId="77777777" w:rsidR="00F74671" w:rsidRPr="00CC07AC" w:rsidRDefault="00F74671" w:rsidP="00C05D10">
      <w:pPr>
        <w:spacing w:after="45" w:line="259" w:lineRule="auto"/>
        <w:ind w:left="0" w:right="0" w:firstLine="0"/>
        <w:rPr>
          <w:rFonts w:eastAsia="Arial"/>
        </w:rPr>
      </w:pPr>
    </w:p>
    <w:p w14:paraId="58882D36" w14:textId="77777777" w:rsidR="00EE1AFD" w:rsidRPr="00CC07AC" w:rsidRDefault="00EE1AFD" w:rsidP="00C05D10">
      <w:pPr>
        <w:spacing w:after="45" w:line="259" w:lineRule="auto"/>
        <w:ind w:left="0" w:right="0" w:firstLine="0"/>
        <w:rPr>
          <w:rFonts w:eastAsia="Arial"/>
        </w:rPr>
      </w:pPr>
    </w:p>
    <w:p w14:paraId="74F6C79A" w14:textId="77777777" w:rsidR="00CD335D" w:rsidRPr="00CC07AC" w:rsidRDefault="00CD335D" w:rsidP="00C05D10">
      <w:pPr>
        <w:spacing w:after="45" w:line="259" w:lineRule="auto"/>
        <w:ind w:left="0" w:right="0" w:firstLine="0"/>
        <w:rPr>
          <w:rFonts w:eastAsia="Arial"/>
        </w:rPr>
      </w:pPr>
    </w:p>
    <w:p w14:paraId="2B3466EC" w14:textId="77777777" w:rsidR="00CD335D" w:rsidRPr="00CC07AC" w:rsidRDefault="00CD335D" w:rsidP="00C05D10">
      <w:pPr>
        <w:spacing w:after="45" w:line="259" w:lineRule="auto"/>
        <w:ind w:left="0" w:right="0" w:firstLine="0"/>
        <w:rPr>
          <w:rFonts w:eastAsia="Arial"/>
        </w:rPr>
      </w:pPr>
    </w:p>
    <w:p w14:paraId="538FCDF9" w14:textId="77777777" w:rsidR="00CD335D" w:rsidRPr="00CC07AC" w:rsidRDefault="00CD335D" w:rsidP="00C05D10">
      <w:pPr>
        <w:spacing w:after="45" w:line="259" w:lineRule="auto"/>
        <w:ind w:left="0" w:right="0" w:firstLine="0"/>
        <w:rPr>
          <w:rFonts w:eastAsia="Arial"/>
        </w:rPr>
      </w:pPr>
    </w:p>
    <w:p w14:paraId="2BE22FEC" w14:textId="77777777" w:rsidR="00CD335D" w:rsidRPr="00CC07AC" w:rsidRDefault="00CD335D" w:rsidP="00C05D10">
      <w:pPr>
        <w:spacing w:after="45" w:line="259" w:lineRule="auto"/>
        <w:ind w:left="0" w:right="0" w:firstLine="0"/>
        <w:rPr>
          <w:rFonts w:eastAsia="Arial"/>
        </w:rPr>
      </w:pPr>
    </w:p>
    <w:p w14:paraId="689C4B8A" w14:textId="77777777" w:rsidR="00CD335D" w:rsidRPr="00CC07AC" w:rsidRDefault="00CD335D" w:rsidP="00C05D10">
      <w:pPr>
        <w:spacing w:after="45" w:line="259" w:lineRule="auto"/>
        <w:ind w:left="0" w:right="0" w:firstLine="0"/>
        <w:rPr>
          <w:rFonts w:eastAsia="Arial"/>
        </w:rPr>
      </w:pPr>
    </w:p>
    <w:p w14:paraId="4DD0CBCF" w14:textId="77777777" w:rsidR="00CD335D" w:rsidRPr="00CC07AC" w:rsidRDefault="00CD335D" w:rsidP="00C05D10">
      <w:pPr>
        <w:spacing w:after="45" w:line="259" w:lineRule="auto"/>
        <w:ind w:left="0" w:right="0" w:firstLine="0"/>
        <w:rPr>
          <w:rFonts w:eastAsia="Arial"/>
        </w:rPr>
      </w:pPr>
    </w:p>
    <w:p w14:paraId="5C5F6300" w14:textId="77777777" w:rsidR="00CD335D" w:rsidRPr="00CC07AC" w:rsidRDefault="00CD335D" w:rsidP="00C05D10">
      <w:pPr>
        <w:spacing w:after="45" w:line="259" w:lineRule="auto"/>
        <w:ind w:left="0" w:right="0" w:firstLine="0"/>
        <w:rPr>
          <w:rFonts w:eastAsia="Arial"/>
        </w:rPr>
      </w:pPr>
    </w:p>
    <w:p w14:paraId="37F6BF95" w14:textId="77777777" w:rsidR="00CD335D" w:rsidRPr="00CC07AC" w:rsidRDefault="00CD335D" w:rsidP="00C05D10">
      <w:pPr>
        <w:spacing w:after="45" w:line="259" w:lineRule="auto"/>
        <w:ind w:left="0" w:right="0" w:firstLine="0"/>
        <w:rPr>
          <w:rFonts w:eastAsia="Arial"/>
        </w:rPr>
      </w:pPr>
    </w:p>
    <w:p w14:paraId="22632909" w14:textId="77777777" w:rsidR="00CD335D" w:rsidRDefault="00CD335D" w:rsidP="00C05D10">
      <w:pPr>
        <w:spacing w:after="45" w:line="259" w:lineRule="auto"/>
        <w:ind w:left="0" w:right="0" w:firstLine="0"/>
        <w:rPr>
          <w:rFonts w:eastAsia="Arial"/>
        </w:rPr>
      </w:pPr>
    </w:p>
    <w:p w14:paraId="232A7C60" w14:textId="77777777" w:rsidR="00A10A0C" w:rsidRDefault="00A10A0C" w:rsidP="00C05D10">
      <w:pPr>
        <w:spacing w:after="45" w:line="259" w:lineRule="auto"/>
        <w:ind w:left="0" w:right="0" w:firstLine="0"/>
        <w:rPr>
          <w:rFonts w:eastAsia="Arial"/>
        </w:rPr>
      </w:pPr>
    </w:p>
    <w:p w14:paraId="66ED442C" w14:textId="77777777" w:rsidR="00BC008A" w:rsidRPr="00A10A0C" w:rsidRDefault="00BC008A" w:rsidP="00C05D10">
      <w:pPr>
        <w:spacing w:after="45" w:line="259" w:lineRule="auto"/>
        <w:ind w:left="0" w:right="0" w:firstLine="0"/>
        <w:rPr>
          <w:rFonts w:eastAsia="Arial"/>
        </w:rPr>
      </w:pPr>
    </w:p>
    <w:p w14:paraId="44858800" w14:textId="77777777" w:rsidR="00CD335D" w:rsidRPr="00A10A0C" w:rsidRDefault="00CD335D" w:rsidP="00C05D10">
      <w:pPr>
        <w:spacing w:after="45" w:line="259" w:lineRule="auto"/>
        <w:ind w:left="0" w:right="0" w:firstLine="0"/>
        <w:rPr>
          <w:rFonts w:eastAsia="Arial"/>
        </w:rPr>
      </w:pPr>
    </w:p>
    <w:p w14:paraId="0BA5E2E3" w14:textId="77777777" w:rsidR="00CD335D" w:rsidRPr="00A10A0C" w:rsidRDefault="00CD335D" w:rsidP="00C05D10">
      <w:pPr>
        <w:spacing w:after="45" w:line="259" w:lineRule="auto"/>
        <w:ind w:left="0" w:right="0" w:firstLine="0"/>
        <w:rPr>
          <w:rFonts w:eastAsia="Arial"/>
        </w:rPr>
      </w:pPr>
    </w:p>
    <w:p w14:paraId="15C00CF1" w14:textId="77777777" w:rsidR="00F74671" w:rsidRPr="00A10A0C" w:rsidRDefault="00F74671" w:rsidP="00C05D10">
      <w:pPr>
        <w:spacing w:after="45" w:line="259" w:lineRule="auto"/>
        <w:ind w:left="0" w:right="0" w:firstLine="0"/>
        <w:rPr>
          <w:rFonts w:eastAsia="Arial"/>
        </w:rPr>
      </w:pPr>
    </w:p>
    <w:p w14:paraId="0B24BAD7" w14:textId="77777777" w:rsidR="00F74671" w:rsidRPr="00A10A0C" w:rsidRDefault="00F74671" w:rsidP="00C05D10">
      <w:pPr>
        <w:spacing w:after="45" w:line="259" w:lineRule="auto"/>
        <w:ind w:left="0" w:right="0" w:firstLine="0"/>
        <w:rPr>
          <w:rFonts w:eastAsia="Arial"/>
        </w:rPr>
      </w:pPr>
    </w:p>
    <w:p w14:paraId="47B4D856" w14:textId="77777777" w:rsidR="00C05D10" w:rsidRPr="00A10A0C" w:rsidRDefault="00C05D10" w:rsidP="00C05D10">
      <w:pPr>
        <w:spacing w:after="45" w:line="259" w:lineRule="auto"/>
        <w:ind w:left="0" w:right="0" w:firstLine="0"/>
        <w:rPr>
          <w:rFonts w:eastAsia="Arial"/>
        </w:rPr>
      </w:pPr>
    </w:p>
    <w:p w14:paraId="2A27EBCF" w14:textId="07C7767B" w:rsidR="00B56D50" w:rsidRDefault="001C3C42">
      <w:pPr>
        <w:spacing w:after="0" w:line="259" w:lineRule="auto"/>
        <w:ind w:left="0" w:right="648" w:firstLine="0"/>
        <w:jc w:val="center"/>
      </w:pPr>
      <w:r>
        <w:rPr>
          <w:rFonts w:ascii="Calibri" w:eastAsia="Calibri" w:hAnsi="Calibri" w:cs="Calibri"/>
          <w:noProof/>
        </w:rPr>
        <w:lastRenderedPageBreak/>
        <mc:AlternateContent>
          <mc:Choice Requires="wpg">
            <w:drawing>
              <wp:inline distT="0" distB="0" distL="0" distR="0" wp14:anchorId="6303FD75" wp14:editId="7FA56D92">
                <wp:extent cx="6400800" cy="57150"/>
                <wp:effectExtent l="0" t="0" r="0" b="6350"/>
                <wp:docPr id="633303" name="Group 633303"/>
                <wp:cNvGraphicFramePr/>
                <a:graphic xmlns:a="http://schemas.openxmlformats.org/drawingml/2006/main">
                  <a:graphicData uri="http://schemas.microsoft.com/office/word/2010/wordprocessingGroup">
                    <wpg:wgp>
                      <wpg:cNvGrpSpPr/>
                      <wpg:grpSpPr>
                        <a:xfrm>
                          <a:off x="0" y="0"/>
                          <a:ext cx="6400800" cy="57150"/>
                          <a:chOff x="0" y="0"/>
                          <a:chExt cx="6217920" cy="57150"/>
                        </a:xfrm>
                      </wpg:grpSpPr>
                      <wps:wsp>
                        <wps:cNvPr id="899795" name="Shape 899795"/>
                        <wps:cNvSpPr/>
                        <wps:spPr>
                          <a:xfrm>
                            <a:off x="0" y="45720"/>
                            <a:ext cx="6217920" cy="11430"/>
                          </a:xfrm>
                          <a:custGeom>
                            <a:avLst/>
                            <a:gdLst/>
                            <a:ahLst/>
                            <a:cxnLst/>
                            <a:rect l="0" t="0" r="0" b="0"/>
                            <a:pathLst>
                              <a:path w="6217920" h="11430">
                                <a:moveTo>
                                  <a:pt x="0" y="0"/>
                                </a:moveTo>
                                <a:lnTo>
                                  <a:pt x="6217920" y="0"/>
                                </a:lnTo>
                                <a:lnTo>
                                  <a:pt x="6217920" y="11430"/>
                                </a:lnTo>
                                <a:lnTo>
                                  <a:pt x="0" y="114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9796" name="Shape 899796"/>
                        <wps:cNvSpPr/>
                        <wps:spPr>
                          <a:xfrm>
                            <a:off x="0" y="0"/>
                            <a:ext cx="6217920" cy="34290"/>
                          </a:xfrm>
                          <a:custGeom>
                            <a:avLst/>
                            <a:gdLst/>
                            <a:ahLst/>
                            <a:cxnLst/>
                            <a:rect l="0" t="0" r="0" b="0"/>
                            <a:pathLst>
                              <a:path w="6217920" h="34290">
                                <a:moveTo>
                                  <a:pt x="0" y="0"/>
                                </a:moveTo>
                                <a:lnTo>
                                  <a:pt x="6217920" y="0"/>
                                </a:lnTo>
                                <a:lnTo>
                                  <a:pt x="6217920" y="34290"/>
                                </a:lnTo>
                                <a:lnTo>
                                  <a:pt x="0" y="3429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rto="http://schemas.microsoft.com/office/word/2006/arto">
            <w:pict>
              <v:group w14:anchorId="02833746" id="Group 633303" o:spid="_x0000_s1026" style="width:7in;height:4.5pt;mso-position-horizontal-relative:char;mso-position-vertical-relative:line" coordsize="62179,5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">
                <v:shape id="Shape 899795" o:spid="_x0000_s1027" style="position:absolute;top:457;width:62179;height:114;visibility:visible;mso-wrap-style:square;v-text-anchor:top" coordsize="6217920,114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" path="m,l6217920,r,11430l,11430,,e" fillcolor="black" stroked="f" strokeweight="0">
                  <v:stroke miterlimit="83231f" joinstyle="miter"/>
                  <v:path arrowok="t" textboxrect="0,0,6217920,11430"/>
                </v:shape>
                <v:shape id="Shape 899796" o:spid="_x0000_s1028" style="position:absolute;width:62179;height:342;visibility:visible;mso-wrap-style:square;v-text-anchor:top" coordsize="6217920,34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" path="m,l6217920,r,34290l,34290,,e" fillcolor="black" stroked="f" strokeweight="0">
                  <v:stroke miterlimit="83231f" joinstyle="miter"/>
                  <v:path arrowok="t" textboxrect="0,0,6217920,34290"/>
                </v:shape>
                <w10:anchorlock/>
              </v:group>
            </w:pict>
          </mc:Fallback>
        </mc:AlternateContent>
      </w:r>
    </w:p>
    <w:p w14:paraId="64D8385C" w14:textId="77777777" w:rsidR="00F74671" w:rsidRPr="00B264BE" w:rsidRDefault="00F74671" w:rsidP="00B264BE">
      <w:pPr>
        <w:pStyle w:val="Heading6"/>
        <w:spacing w:after="14" w:line="248" w:lineRule="auto"/>
        <w:ind w:left="270" w:right="1228"/>
        <w:rPr>
          <w:sz w:val="10"/>
          <w:szCs w:val="10"/>
        </w:rPr>
      </w:pPr>
    </w:p>
    <w:p w14:paraId="588E1C05" w14:textId="4A7503E0" w:rsidR="00B56D50" w:rsidRPr="004E2976" w:rsidRDefault="001C3C42" w:rsidP="00F74671">
      <w:pPr>
        <w:pStyle w:val="Heading6"/>
        <w:spacing w:after="14" w:line="248" w:lineRule="auto"/>
        <w:ind w:left="1024" w:right="1228"/>
        <w:jc w:val="center"/>
        <w:rPr>
          <w:sz w:val="24"/>
          <w:szCs w:val="24"/>
        </w:rPr>
      </w:pPr>
      <w:r w:rsidRPr="004E2976">
        <w:rPr>
          <w:sz w:val="24"/>
          <w:szCs w:val="24"/>
        </w:rPr>
        <w:t>VIII. EXAMPLE</w:t>
      </w:r>
      <w:r w:rsidR="00B547F8">
        <w:rPr>
          <w:sz w:val="24"/>
          <w:szCs w:val="24"/>
        </w:rPr>
        <w:t>S</w:t>
      </w:r>
      <w:r w:rsidRPr="004E2976">
        <w:rPr>
          <w:sz w:val="24"/>
          <w:szCs w:val="24"/>
        </w:rPr>
        <w:t xml:space="preserve"> QC SUMMARY REPORTING FORMS</w:t>
      </w:r>
    </w:p>
    <w:p w14:paraId="5ED5D204" w14:textId="77777777" w:rsidR="00B56D50" w:rsidRDefault="001C3C42">
      <w:pPr>
        <w:spacing w:after="0" w:line="259" w:lineRule="auto"/>
        <w:ind w:left="0" w:right="648" w:firstLine="0"/>
        <w:jc w:val="center"/>
      </w:pPr>
      <w:r>
        <w:rPr>
          <w:rFonts w:ascii="Calibri" w:eastAsia="Calibri" w:hAnsi="Calibri" w:cs="Calibri"/>
          <w:noProof/>
        </w:rPr>
        <mc:AlternateContent>
          <mc:Choice Requires="wpg">
            <w:drawing>
              <wp:inline distT="0" distB="0" distL="0" distR="0" wp14:anchorId="6BDF1206" wp14:editId="05A0E7B9">
                <wp:extent cx="6400800" cy="57150"/>
                <wp:effectExtent l="0" t="0" r="0" b="6350"/>
                <wp:docPr id="633304" name="Group 633304"/>
                <wp:cNvGraphicFramePr/>
                <a:graphic xmlns:a="http://schemas.openxmlformats.org/drawingml/2006/main">
                  <a:graphicData uri="http://schemas.microsoft.com/office/word/2010/wordprocessingGroup">
                    <wpg:wgp>
                      <wpg:cNvGrpSpPr/>
                      <wpg:grpSpPr>
                        <a:xfrm>
                          <a:off x="0" y="0"/>
                          <a:ext cx="6400800" cy="57150"/>
                          <a:chOff x="0" y="0"/>
                          <a:chExt cx="6217920" cy="57150"/>
                        </a:xfrm>
                      </wpg:grpSpPr>
                      <wps:wsp>
                        <wps:cNvPr id="899797" name="Shape 899797"/>
                        <wps:cNvSpPr/>
                        <wps:spPr>
                          <a:xfrm>
                            <a:off x="0" y="22860"/>
                            <a:ext cx="6217920" cy="34290"/>
                          </a:xfrm>
                          <a:custGeom>
                            <a:avLst/>
                            <a:gdLst/>
                            <a:ahLst/>
                            <a:cxnLst/>
                            <a:rect l="0" t="0" r="0" b="0"/>
                            <a:pathLst>
                              <a:path w="6217920" h="34290">
                                <a:moveTo>
                                  <a:pt x="0" y="0"/>
                                </a:moveTo>
                                <a:lnTo>
                                  <a:pt x="6217920" y="0"/>
                                </a:lnTo>
                                <a:lnTo>
                                  <a:pt x="6217920" y="34290"/>
                                </a:lnTo>
                                <a:lnTo>
                                  <a:pt x="0" y="3429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9798" name="Shape 899798"/>
                        <wps:cNvSpPr/>
                        <wps:spPr>
                          <a:xfrm>
                            <a:off x="0" y="0"/>
                            <a:ext cx="6217920" cy="11430"/>
                          </a:xfrm>
                          <a:custGeom>
                            <a:avLst/>
                            <a:gdLst/>
                            <a:ahLst/>
                            <a:cxnLst/>
                            <a:rect l="0" t="0" r="0" b="0"/>
                            <a:pathLst>
                              <a:path w="6217920" h="11430">
                                <a:moveTo>
                                  <a:pt x="0" y="0"/>
                                </a:moveTo>
                                <a:lnTo>
                                  <a:pt x="6217920" y="0"/>
                                </a:lnTo>
                                <a:lnTo>
                                  <a:pt x="6217920" y="11430"/>
                                </a:lnTo>
                                <a:lnTo>
                                  <a:pt x="0" y="114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rto="http://schemas.microsoft.com/office/word/2006/arto">
            <w:pict>
              <v:group w14:anchorId="1026D662" id="Group 633304" o:spid="_x0000_s1026" style="width:7in;height:4.5pt;mso-position-horizontal-relative:char;mso-position-vertical-relative:line" coordsize="62179,5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">
                <v:shape id="Shape 899797" o:spid="_x0000_s1027" style="position:absolute;top:228;width:62179;height:343;visibility:visible;mso-wrap-style:square;v-text-anchor:top" coordsize="6217920,34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" path="m,l6217920,r,34290l,34290,,e" fillcolor="black" stroked="f" strokeweight="0">
                  <v:stroke miterlimit="83231f" joinstyle="miter"/>
                  <v:path arrowok="t" textboxrect="0,0,6217920,34290"/>
                </v:shape>
                <v:shape id="Shape 899798" o:spid="_x0000_s1028" style="position:absolute;width:62179;height:114;visibility:visible;mso-wrap-style:square;v-text-anchor:top" coordsize="6217920,114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" path="m,l6217920,r,11430l,11430,,e" fillcolor="black" stroked="f" strokeweight="0">
                  <v:stroke miterlimit="83231f" joinstyle="miter"/>
                  <v:path arrowok="t" textboxrect="0,0,6217920,11430"/>
                </v:shape>
                <w10:anchorlock/>
              </v:group>
            </w:pict>
          </mc:Fallback>
        </mc:AlternateContent>
      </w:r>
      <w:r>
        <w:rPr>
          <w:b/>
        </w:rPr>
        <w:t xml:space="preserve"> </w:t>
      </w:r>
    </w:p>
    <w:p w14:paraId="4BE6DA5D" w14:textId="77777777" w:rsidR="00B56D50" w:rsidRDefault="001C3C42" w:rsidP="00163785">
      <w:pPr>
        <w:spacing w:after="0" w:line="259" w:lineRule="auto"/>
        <w:ind w:left="0" w:right="0" w:firstLine="0"/>
      </w:pPr>
      <w:r>
        <w:rPr>
          <w:rFonts w:ascii="Arial" w:eastAsia="Arial" w:hAnsi="Arial" w:cs="Arial"/>
        </w:rPr>
        <w:t xml:space="preserve"> </w:t>
      </w:r>
    </w:p>
    <w:p w14:paraId="725405BD" w14:textId="77777777" w:rsidR="00B56D50" w:rsidRDefault="001C3C42" w:rsidP="004C10F6">
      <w:pPr>
        <w:spacing w:after="0" w:line="259" w:lineRule="auto"/>
        <w:ind w:left="0" w:right="0" w:firstLine="0"/>
      </w:pPr>
      <w:r w:rsidRPr="003232EA">
        <w:rPr>
          <w:rFonts w:eastAsia="Arial"/>
        </w:rPr>
        <w:t xml:space="preserve"> </w:t>
      </w:r>
    </w:p>
    <w:p w14:paraId="1C6D0957" w14:textId="41595D47" w:rsidR="00B56D50" w:rsidRDefault="001C3C42" w:rsidP="004C10F6">
      <w:pPr>
        <w:ind w:left="0" w:right="255"/>
      </w:pPr>
      <w:r>
        <w:t xml:space="preserve">The Contractor shall use the referenced documents as the QC summary forms described in Section </w:t>
      </w:r>
      <w:r>
        <w:rPr>
          <w:b/>
        </w:rPr>
        <w:t>V</w:t>
      </w:r>
      <w:r w:rsidR="00E84D61">
        <w:rPr>
          <w:b/>
        </w:rPr>
        <w:t>I</w:t>
      </w:r>
      <w:r>
        <w:rPr>
          <w:b/>
        </w:rPr>
        <w:t xml:space="preserve">, Deliverables List: </w:t>
      </w:r>
      <w:r>
        <w:t xml:space="preserve"> </w:t>
      </w:r>
    </w:p>
    <w:p w14:paraId="1E0C14D1" w14:textId="77777777" w:rsidR="00B56D50" w:rsidRDefault="001C3C42" w:rsidP="004C10F6">
      <w:pPr>
        <w:spacing w:after="0" w:line="259" w:lineRule="auto"/>
        <w:ind w:left="0" w:right="0"/>
      </w:pPr>
      <w:r>
        <w:t xml:space="preserve"> </w:t>
      </w:r>
    </w:p>
    <w:p w14:paraId="508750F8" w14:textId="77777777" w:rsidR="00B56D50" w:rsidRDefault="001C3C42" w:rsidP="004C10F6">
      <w:pPr>
        <w:spacing w:after="0" w:line="259" w:lineRule="auto"/>
        <w:ind w:left="0" w:right="0" w:firstLine="0"/>
      </w:pPr>
      <w:r>
        <w:rPr>
          <w:b/>
        </w:rPr>
        <w:t xml:space="preserve"> </w:t>
      </w:r>
    </w:p>
    <w:p w14:paraId="02A67DA7" w14:textId="2340A32B" w:rsidR="003F4D19" w:rsidRDefault="00E12105">
      <w:pPr>
        <w:spacing w:line="249" w:lineRule="auto"/>
        <w:ind w:left="161" w:right="151"/>
        <w:jc w:val="center"/>
      </w:pPr>
      <w:hyperlink r:id="rId48">
        <w:r>
          <w:rPr>
            <w:color w:val="0000FF"/>
            <w:u w:val="single" w:color="0000FF"/>
          </w:rPr>
          <w:t>USEPA</w:t>
        </w:r>
        <w:r w:rsidR="001C3C42">
          <w:rPr>
            <w:color w:val="0000FF"/>
            <w:u w:val="single" w:color="0000FF"/>
          </w:rPr>
          <w:t xml:space="preserve"> Contract Laboratory Program Statement of Work for Organic Superfund Methods Multi</w:t>
        </w:r>
      </w:hyperlink>
      <w:hyperlink r:id="rId49">
        <w:r w:rsidR="001C3C42">
          <w:rPr>
            <w:color w:val="0000FF"/>
            <w:u w:val="single" w:color="0000FF"/>
          </w:rPr>
          <w:t>-</w:t>
        </w:r>
      </w:hyperlink>
      <w:hyperlink r:id="rId50">
        <w:r w:rsidR="001C3C42">
          <w:rPr>
            <w:color w:val="0000FF"/>
            <w:u w:val="single" w:color="0000FF"/>
          </w:rPr>
          <w:t>Media, Multi</w:t>
        </w:r>
      </w:hyperlink>
      <w:r w:rsidR="001D7EBD">
        <w:rPr>
          <w:color w:val="0000FF"/>
          <w:u w:val="single" w:color="0000FF"/>
        </w:rPr>
        <w:t>-</w:t>
      </w:r>
      <w:hyperlink r:id="rId51">
        <w:r w:rsidR="001C3C42">
          <w:rPr>
            <w:color w:val="0000FF"/>
            <w:u w:val="single" w:color="0000FF"/>
          </w:rPr>
          <w:t>Concentration SOM02.4 October 2016</w:t>
        </w:r>
      </w:hyperlink>
    </w:p>
    <w:p w14:paraId="723A1906" w14:textId="7D7B6A35" w:rsidR="00B56D50" w:rsidRDefault="001C3C42" w:rsidP="00C3175E">
      <w:pPr>
        <w:spacing w:line="249" w:lineRule="auto"/>
        <w:ind w:left="0" w:right="151"/>
      </w:pPr>
      <w:hyperlink r:id="rId52">
        <w:r>
          <w:t xml:space="preserve"> </w:t>
        </w:r>
      </w:hyperlink>
    </w:p>
    <w:p w14:paraId="3B2AC73E" w14:textId="7677990E" w:rsidR="00B56D50" w:rsidRDefault="001C3C42" w:rsidP="00C3175E">
      <w:pPr>
        <w:spacing w:after="0" w:line="259" w:lineRule="auto"/>
        <w:ind w:left="203" w:right="0" w:firstLine="0"/>
        <w:jc w:val="center"/>
      </w:pPr>
      <w:r>
        <w:t>and</w:t>
      </w:r>
    </w:p>
    <w:p w14:paraId="732A64CB" w14:textId="77777777" w:rsidR="00B56D50" w:rsidRDefault="001C3C42" w:rsidP="00C3175E">
      <w:pPr>
        <w:spacing w:after="0" w:line="259" w:lineRule="auto"/>
        <w:ind w:left="0" w:right="0" w:firstLine="0"/>
      </w:pPr>
      <w:r>
        <w:rPr>
          <w:b/>
        </w:rPr>
        <w:t xml:space="preserve"> </w:t>
      </w:r>
    </w:p>
    <w:p w14:paraId="40F85363" w14:textId="01C0714E" w:rsidR="00B56D50" w:rsidRDefault="00E12105">
      <w:pPr>
        <w:spacing w:after="0" w:line="259" w:lineRule="auto"/>
        <w:ind w:left="497" w:right="0" w:firstLine="0"/>
      </w:pPr>
      <w:hyperlink r:id="rId53">
        <w:r>
          <w:rPr>
            <w:color w:val="0000FF"/>
            <w:u w:val="single" w:color="0000FF"/>
          </w:rPr>
          <w:t>USEPA</w:t>
        </w:r>
        <w:r w:rsidR="001C3C42">
          <w:rPr>
            <w:color w:val="0000FF"/>
            <w:u w:val="single" w:color="0000FF"/>
          </w:rPr>
          <w:t xml:space="preserve"> Contract Laboratory Program Statement of Work for Inorganic Superfund Methods Multi</w:t>
        </w:r>
      </w:hyperlink>
      <w:hyperlink r:id="rId54">
        <w:r w:rsidR="001C3C42">
          <w:rPr>
            <w:color w:val="0000FF"/>
            <w:u w:val="single" w:color="0000FF"/>
          </w:rPr>
          <w:t>-</w:t>
        </w:r>
      </w:hyperlink>
      <w:hyperlink r:id="rId55">
        <w:r w:rsidR="001C3C42">
          <w:rPr>
            <w:color w:val="0000FF"/>
            <w:u w:val="single" w:color="0000FF"/>
          </w:rPr>
          <w:t>Media, Multi</w:t>
        </w:r>
      </w:hyperlink>
      <w:hyperlink r:id="rId56">
        <w:r w:rsidR="001C3C42">
          <w:rPr>
            <w:color w:val="0000FF"/>
            <w:u w:val="single" w:color="0000FF"/>
          </w:rPr>
          <w:t>-</w:t>
        </w:r>
      </w:hyperlink>
    </w:p>
    <w:p w14:paraId="11A3C3B3" w14:textId="77777777" w:rsidR="00B56D50" w:rsidRDefault="001C3C42">
      <w:pPr>
        <w:spacing w:line="249" w:lineRule="auto"/>
        <w:ind w:left="161" w:right="0"/>
        <w:jc w:val="center"/>
      </w:pPr>
      <w:hyperlink r:id="rId57">
        <w:r>
          <w:rPr>
            <w:color w:val="0000FF"/>
            <w:u w:val="single" w:color="0000FF"/>
          </w:rPr>
          <w:t>Concentration ISM02.4 October 2016</w:t>
        </w:r>
      </w:hyperlink>
      <w:hyperlink r:id="rId58">
        <w:r>
          <w:t xml:space="preserve"> </w:t>
        </w:r>
      </w:hyperlink>
    </w:p>
    <w:p w14:paraId="52976F7C" w14:textId="256C7499" w:rsidR="00B56D50" w:rsidRDefault="00B56D50" w:rsidP="00B9332A">
      <w:pPr>
        <w:spacing w:after="0" w:line="259" w:lineRule="auto"/>
        <w:ind w:left="0" w:right="0" w:firstLine="0"/>
      </w:pPr>
    </w:p>
    <w:p w14:paraId="47F84E10" w14:textId="77777777" w:rsidR="00B9332A" w:rsidRPr="00C3175E" w:rsidRDefault="00B9332A" w:rsidP="004C10F6">
      <w:pPr>
        <w:spacing w:after="0" w:line="259" w:lineRule="auto"/>
        <w:ind w:left="0" w:right="0" w:firstLine="0"/>
        <w:rPr>
          <w:bCs/>
        </w:rPr>
      </w:pPr>
    </w:p>
    <w:p w14:paraId="18F779EC" w14:textId="0185F126" w:rsidR="00B56D50" w:rsidRPr="00C3175E" w:rsidRDefault="00B56D50" w:rsidP="00C3175E">
      <w:pPr>
        <w:spacing w:after="0" w:line="259" w:lineRule="auto"/>
        <w:ind w:left="0" w:right="0" w:firstLine="0"/>
      </w:pPr>
    </w:p>
    <w:p w14:paraId="54BE0E54" w14:textId="23CBFD50" w:rsidR="0068197D" w:rsidRPr="00C3175E" w:rsidRDefault="0068197D" w:rsidP="00C3175E">
      <w:pPr>
        <w:spacing w:after="0" w:line="259" w:lineRule="auto"/>
        <w:ind w:left="0" w:right="0" w:firstLine="0"/>
      </w:pPr>
    </w:p>
    <w:p w14:paraId="63C1B26A" w14:textId="77777777" w:rsidR="0068197D" w:rsidRDefault="0068197D" w:rsidP="00C3175E">
      <w:pPr>
        <w:spacing w:after="0" w:line="259" w:lineRule="auto"/>
        <w:ind w:left="0" w:right="0" w:firstLine="0"/>
      </w:pPr>
    </w:p>
    <w:p w14:paraId="690D07C8" w14:textId="77777777" w:rsidR="00B56D50" w:rsidRDefault="001C3C42">
      <w:pPr>
        <w:spacing w:after="14" w:line="248" w:lineRule="auto"/>
        <w:ind w:left="1024" w:right="1231"/>
        <w:jc w:val="center"/>
      </w:pPr>
      <w:r>
        <w:rPr>
          <w:b/>
        </w:rPr>
        <w:t xml:space="preserve">THE REMAINDER OF THIS PAGE HAS BEEN LEFT BLANK INTENTIONALLY </w:t>
      </w:r>
    </w:p>
    <w:p w14:paraId="33F07493" w14:textId="21F5E138" w:rsidR="00B56D50" w:rsidRDefault="00B56D50" w:rsidP="00C3175E">
      <w:pPr>
        <w:spacing w:after="0" w:line="259" w:lineRule="auto"/>
        <w:ind w:left="0" w:right="0" w:firstLine="0"/>
      </w:pPr>
    </w:p>
    <w:p w14:paraId="3C13FCD1" w14:textId="1B7F35FD" w:rsidR="00C748D2" w:rsidRPr="00C3175E" w:rsidRDefault="00C748D2" w:rsidP="00C3175E">
      <w:pPr>
        <w:spacing w:after="0" w:line="259" w:lineRule="auto"/>
        <w:ind w:left="0" w:right="0"/>
        <w:rPr>
          <w:rFonts w:eastAsia="Arial"/>
        </w:rPr>
      </w:pPr>
    </w:p>
    <w:p w14:paraId="7671ED1C" w14:textId="33D957E0" w:rsidR="00C748D2" w:rsidRPr="00C3175E" w:rsidRDefault="00C748D2" w:rsidP="00C748D2">
      <w:pPr>
        <w:spacing w:after="0" w:line="259" w:lineRule="auto"/>
        <w:ind w:right="0"/>
        <w:rPr>
          <w:rFonts w:eastAsia="Arial"/>
        </w:rPr>
      </w:pPr>
    </w:p>
    <w:p w14:paraId="340CF701" w14:textId="706CB7E7" w:rsidR="00C748D2" w:rsidRPr="00C3175E" w:rsidRDefault="00C748D2" w:rsidP="00C748D2">
      <w:pPr>
        <w:spacing w:after="0" w:line="259" w:lineRule="auto"/>
        <w:ind w:right="0"/>
        <w:rPr>
          <w:rFonts w:eastAsia="Arial"/>
        </w:rPr>
      </w:pPr>
    </w:p>
    <w:p w14:paraId="15D81141" w14:textId="1D1AB9AA" w:rsidR="00C748D2" w:rsidRPr="00C3175E" w:rsidRDefault="00C748D2" w:rsidP="00C748D2">
      <w:pPr>
        <w:spacing w:after="0" w:line="259" w:lineRule="auto"/>
        <w:ind w:right="0"/>
        <w:rPr>
          <w:rFonts w:eastAsia="Arial"/>
        </w:rPr>
      </w:pPr>
    </w:p>
    <w:p w14:paraId="25517A70" w14:textId="41D2DFB2" w:rsidR="00C748D2" w:rsidRPr="00C3175E" w:rsidRDefault="00C748D2" w:rsidP="00C748D2">
      <w:pPr>
        <w:spacing w:after="0" w:line="259" w:lineRule="auto"/>
        <w:ind w:right="0"/>
        <w:rPr>
          <w:rFonts w:eastAsia="Arial"/>
        </w:rPr>
      </w:pPr>
    </w:p>
    <w:p w14:paraId="51DC94AB" w14:textId="16403845" w:rsidR="00C748D2" w:rsidRPr="00C3175E" w:rsidRDefault="00C748D2" w:rsidP="00C748D2">
      <w:pPr>
        <w:spacing w:after="0" w:line="259" w:lineRule="auto"/>
        <w:ind w:right="0"/>
        <w:rPr>
          <w:rFonts w:eastAsia="Arial"/>
        </w:rPr>
      </w:pPr>
    </w:p>
    <w:p w14:paraId="38BB61DE" w14:textId="33A6D635" w:rsidR="00C748D2" w:rsidRPr="00C3175E" w:rsidRDefault="00C748D2" w:rsidP="00C748D2">
      <w:pPr>
        <w:spacing w:after="0" w:line="259" w:lineRule="auto"/>
        <w:ind w:right="0"/>
        <w:rPr>
          <w:rFonts w:eastAsia="Arial"/>
        </w:rPr>
      </w:pPr>
    </w:p>
    <w:p w14:paraId="22748559" w14:textId="6B2C75DB" w:rsidR="00C748D2" w:rsidRPr="00C3175E" w:rsidRDefault="00C748D2" w:rsidP="00C748D2">
      <w:pPr>
        <w:spacing w:after="0" w:line="259" w:lineRule="auto"/>
        <w:ind w:right="0"/>
        <w:rPr>
          <w:rFonts w:eastAsia="Arial"/>
        </w:rPr>
      </w:pPr>
    </w:p>
    <w:p w14:paraId="23B23A30" w14:textId="076EFF02" w:rsidR="00C748D2" w:rsidRPr="00C3175E" w:rsidRDefault="00C748D2" w:rsidP="00C748D2">
      <w:pPr>
        <w:spacing w:after="0" w:line="259" w:lineRule="auto"/>
        <w:ind w:right="0"/>
        <w:rPr>
          <w:rFonts w:eastAsia="Arial"/>
        </w:rPr>
      </w:pPr>
    </w:p>
    <w:p w14:paraId="4839B2B6" w14:textId="6889D8CA" w:rsidR="00C748D2" w:rsidRPr="00C3175E" w:rsidRDefault="00C748D2" w:rsidP="00C748D2">
      <w:pPr>
        <w:spacing w:after="0" w:line="259" w:lineRule="auto"/>
        <w:ind w:right="0"/>
        <w:rPr>
          <w:rFonts w:eastAsia="Arial"/>
        </w:rPr>
      </w:pPr>
    </w:p>
    <w:p w14:paraId="0B4EB413" w14:textId="655EE596" w:rsidR="00C748D2" w:rsidRPr="00C3175E" w:rsidRDefault="00C748D2" w:rsidP="00C748D2">
      <w:pPr>
        <w:spacing w:after="0" w:line="259" w:lineRule="auto"/>
        <w:ind w:right="0"/>
        <w:rPr>
          <w:rFonts w:eastAsia="Arial"/>
        </w:rPr>
      </w:pPr>
    </w:p>
    <w:p w14:paraId="049A9D89" w14:textId="604675FC" w:rsidR="00C748D2" w:rsidRPr="00C3175E" w:rsidRDefault="00C748D2" w:rsidP="00C748D2">
      <w:pPr>
        <w:spacing w:after="0" w:line="259" w:lineRule="auto"/>
        <w:ind w:right="0"/>
        <w:rPr>
          <w:rFonts w:eastAsia="Arial"/>
        </w:rPr>
      </w:pPr>
    </w:p>
    <w:p w14:paraId="0A2927AE" w14:textId="67E3FD99" w:rsidR="00C748D2" w:rsidRPr="00C3175E" w:rsidRDefault="00C748D2" w:rsidP="00C748D2">
      <w:pPr>
        <w:spacing w:after="0" w:line="259" w:lineRule="auto"/>
        <w:ind w:right="0"/>
        <w:rPr>
          <w:rFonts w:eastAsia="Arial"/>
        </w:rPr>
      </w:pPr>
    </w:p>
    <w:p w14:paraId="3084CA0C" w14:textId="714804AD" w:rsidR="00C748D2" w:rsidRPr="00C3175E" w:rsidRDefault="00C748D2" w:rsidP="00C748D2">
      <w:pPr>
        <w:spacing w:after="0" w:line="259" w:lineRule="auto"/>
        <w:ind w:right="0"/>
        <w:rPr>
          <w:rFonts w:eastAsia="Arial"/>
        </w:rPr>
      </w:pPr>
    </w:p>
    <w:p w14:paraId="72E84446" w14:textId="2598490E" w:rsidR="00C748D2" w:rsidRPr="00C3175E" w:rsidRDefault="00C748D2" w:rsidP="00C748D2">
      <w:pPr>
        <w:spacing w:after="0" w:line="259" w:lineRule="auto"/>
        <w:ind w:right="0"/>
        <w:rPr>
          <w:rFonts w:eastAsia="Arial"/>
        </w:rPr>
      </w:pPr>
    </w:p>
    <w:p w14:paraId="5E37747A" w14:textId="107C56B9" w:rsidR="00C748D2" w:rsidRPr="00C3175E" w:rsidRDefault="00C748D2" w:rsidP="00C748D2">
      <w:pPr>
        <w:spacing w:after="0" w:line="259" w:lineRule="auto"/>
        <w:ind w:right="0"/>
        <w:rPr>
          <w:rFonts w:eastAsia="Arial"/>
        </w:rPr>
      </w:pPr>
    </w:p>
    <w:p w14:paraId="0D17A7FD" w14:textId="311A0FBF" w:rsidR="00C748D2" w:rsidRPr="00C3175E" w:rsidRDefault="00C748D2" w:rsidP="00C748D2">
      <w:pPr>
        <w:spacing w:after="0" w:line="259" w:lineRule="auto"/>
        <w:ind w:right="0"/>
        <w:rPr>
          <w:rFonts w:eastAsia="Arial"/>
        </w:rPr>
      </w:pPr>
    </w:p>
    <w:p w14:paraId="4FDAED0D" w14:textId="0B063F82" w:rsidR="00C748D2" w:rsidRPr="00C3175E" w:rsidRDefault="00C748D2" w:rsidP="00C748D2">
      <w:pPr>
        <w:spacing w:after="0" w:line="259" w:lineRule="auto"/>
        <w:ind w:right="0"/>
        <w:rPr>
          <w:rFonts w:eastAsia="Arial"/>
        </w:rPr>
      </w:pPr>
    </w:p>
    <w:p w14:paraId="09BF27BC" w14:textId="3CE4B358" w:rsidR="00C748D2" w:rsidRPr="00C3175E" w:rsidRDefault="00C748D2" w:rsidP="00C748D2">
      <w:pPr>
        <w:spacing w:after="0" w:line="259" w:lineRule="auto"/>
        <w:ind w:right="0"/>
        <w:rPr>
          <w:rFonts w:eastAsia="Arial"/>
        </w:rPr>
      </w:pPr>
    </w:p>
    <w:p w14:paraId="2CC119A7" w14:textId="7027995D" w:rsidR="00C748D2" w:rsidRPr="00C3175E" w:rsidRDefault="00C748D2" w:rsidP="00C748D2">
      <w:pPr>
        <w:spacing w:after="0" w:line="259" w:lineRule="auto"/>
        <w:ind w:right="0"/>
        <w:rPr>
          <w:rFonts w:eastAsia="Arial"/>
        </w:rPr>
      </w:pPr>
    </w:p>
    <w:p w14:paraId="3A338583" w14:textId="77777777" w:rsidR="00C748D2" w:rsidRDefault="00C748D2" w:rsidP="00C748D2">
      <w:pPr>
        <w:spacing w:after="0" w:line="259" w:lineRule="auto"/>
        <w:ind w:right="0"/>
      </w:pPr>
    </w:p>
    <w:p w14:paraId="7C0D1EE9" w14:textId="504BBF8F" w:rsidR="00B56D50" w:rsidRDefault="00B56D50" w:rsidP="00C748D2">
      <w:pPr>
        <w:spacing w:after="0" w:line="259" w:lineRule="auto"/>
        <w:ind w:right="0"/>
      </w:pPr>
    </w:p>
    <w:p w14:paraId="0E11DA09" w14:textId="0EFC4861" w:rsidR="00B56D50" w:rsidRDefault="00B56D50" w:rsidP="00E56005">
      <w:pPr>
        <w:spacing w:after="0" w:line="259" w:lineRule="auto"/>
        <w:ind w:left="0" w:right="541" w:firstLine="0"/>
      </w:pPr>
    </w:p>
    <w:p w14:paraId="332EBA09" w14:textId="77777777" w:rsidR="00C3175E" w:rsidRDefault="00C3175E" w:rsidP="00E56005">
      <w:pPr>
        <w:spacing w:after="0" w:line="259" w:lineRule="auto"/>
        <w:ind w:left="0" w:right="541" w:firstLine="0"/>
      </w:pPr>
    </w:p>
    <w:p w14:paraId="63E66EFA" w14:textId="77777777" w:rsidR="001C3469" w:rsidRDefault="001C3469" w:rsidP="00E56005">
      <w:pPr>
        <w:spacing w:after="0" w:line="259" w:lineRule="auto"/>
        <w:ind w:left="0" w:right="541" w:firstLine="0"/>
      </w:pPr>
    </w:p>
    <w:p w14:paraId="5DE646C3" w14:textId="76C80F48" w:rsidR="00B56D50" w:rsidRDefault="00B56D50" w:rsidP="00325340">
      <w:pPr>
        <w:spacing w:after="0" w:line="259" w:lineRule="auto"/>
        <w:ind w:right="0"/>
      </w:pPr>
    </w:p>
    <w:p w14:paraId="66358938" w14:textId="3D19BDC7" w:rsidR="00B56D50" w:rsidRDefault="001C3C42" w:rsidP="00983566">
      <w:pPr>
        <w:spacing w:after="0" w:line="259" w:lineRule="auto"/>
        <w:ind w:left="0" w:right="430" w:firstLine="0"/>
        <w:jc w:val="center"/>
      </w:pPr>
      <w:r>
        <w:rPr>
          <w:rFonts w:ascii="Calibri" w:eastAsia="Calibri" w:hAnsi="Calibri" w:cs="Calibri"/>
          <w:noProof/>
        </w:rPr>
        <w:lastRenderedPageBreak/>
        <mc:AlternateContent>
          <mc:Choice Requires="wpg">
            <w:drawing>
              <wp:inline distT="0" distB="0" distL="0" distR="0" wp14:anchorId="4EDDDB61" wp14:editId="054328DA">
                <wp:extent cx="6545466" cy="45719"/>
                <wp:effectExtent l="0" t="0" r="8255" b="12065"/>
                <wp:docPr id="633538" name="Group 633538"/>
                <wp:cNvGraphicFramePr/>
                <a:graphic xmlns:a="http://schemas.openxmlformats.org/drawingml/2006/main">
                  <a:graphicData uri="http://schemas.microsoft.com/office/word/2010/wordprocessingGroup">
                    <wpg:wgp>
                      <wpg:cNvGrpSpPr/>
                      <wpg:grpSpPr>
                        <a:xfrm>
                          <a:off x="0" y="0"/>
                          <a:ext cx="6545466" cy="45719"/>
                          <a:chOff x="0" y="0"/>
                          <a:chExt cx="6217920" cy="57150"/>
                        </a:xfrm>
                      </wpg:grpSpPr>
                      <wps:wsp>
                        <wps:cNvPr id="899799" name="Shape 899799"/>
                        <wps:cNvSpPr/>
                        <wps:spPr>
                          <a:xfrm>
                            <a:off x="0" y="45720"/>
                            <a:ext cx="6217920" cy="11430"/>
                          </a:xfrm>
                          <a:custGeom>
                            <a:avLst/>
                            <a:gdLst/>
                            <a:ahLst/>
                            <a:cxnLst/>
                            <a:rect l="0" t="0" r="0" b="0"/>
                            <a:pathLst>
                              <a:path w="6217920" h="11430">
                                <a:moveTo>
                                  <a:pt x="0" y="0"/>
                                </a:moveTo>
                                <a:lnTo>
                                  <a:pt x="6217920" y="0"/>
                                </a:lnTo>
                                <a:lnTo>
                                  <a:pt x="6217920" y="11430"/>
                                </a:lnTo>
                                <a:lnTo>
                                  <a:pt x="0" y="114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9800" name="Shape 899800"/>
                        <wps:cNvSpPr/>
                        <wps:spPr>
                          <a:xfrm>
                            <a:off x="0" y="0"/>
                            <a:ext cx="6217920" cy="34289"/>
                          </a:xfrm>
                          <a:custGeom>
                            <a:avLst/>
                            <a:gdLst/>
                            <a:ahLst/>
                            <a:cxnLst/>
                            <a:rect l="0" t="0" r="0" b="0"/>
                            <a:pathLst>
                              <a:path w="6217920" h="34289">
                                <a:moveTo>
                                  <a:pt x="0" y="0"/>
                                </a:moveTo>
                                <a:lnTo>
                                  <a:pt x="6217920" y="0"/>
                                </a:lnTo>
                                <a:lnTo>
                                  <a:pt x="6217920" y="34289"/>
                                </a:lnTo>
                                <a:lnTo>
                                  <a:pt x="0" y="3428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rto="http://schemas.microsoft.com/office/word/2006/arto">
            <w:pict>
              <v:group w14:anchorId="1EFC6109" id="Group 633538" o:spid="_x0000_s1026" style="width:515.4pt;height:3.6pt;mso-position-horizontal-relative:char;mso-position-vertical-relative:line" coordsize="62179,5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">
                <v:shape id="Shape 899799" o:spid="_x0000_s1027" style="position:absolute;top:457;width:62179;height:114;visibility:visible;mso-wrap-style:square;v-text-anchor:top" coordsize="6217920,114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" path="m,l6217920,r,11430l,11430,,e" fillcolor="black" stroked="f" strokeweight="0">
                  <v:stroke miterlimit="83231f" joinstyle="miter"/>
                  <v:path arrowok="t" textboxrect="0,0,6217920,11430"/>
                </v:shape>
                <v:shape id="Shape 899800" o:spid="_x0000_s1028" style="position:absolute;width:62179;height:342;visibility:visible;mso-wrap-style:square;v-text-anchor:top" coordsize="6217920,342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" path="m,l6217920,r,34289l,34289,,e" fillcolor="black" stroked="f" strokeweight="0">
                  <v:stroke miterlimit="83231f" joinstyle="miter"/>
                  <v:path arrowok="t" textboxrect="0,0,6217920,34289"/>
                </v:shape>
                <w10:anchorlock/>
              </v:group>
            </w:pict>
          </mc:Fallback>
        </mc:AlternateContent>
      </w:r>
    </w:p>
    <w:p w14:paraId="2EDE1624" w14:textId="5B9F2AE0" w:rsidR="00B56D50" w:rsidRDefault="001C3C42" w:rsidP="00C748D2">
      <w:pPr>
        <w:pStyle w:val="Heading4"/>
        <w:spacing w:before="120" w:after="0" w:line="240" w:lineRule="auto"/>
        <w:ind w:left="475" w:right="173" w:hanging="14"/>
        <w:jc w:val="center"/>
      </w:pPr>
      <w:r w:rsidRPr="00542E80">
        <w:t xml:space="preserve">IX. PAYMENT FOR ANALYTICAL SERVICES </w:t>
      </w:r>
    </w:p>
    <w:p w14:paraId="19043308" w14:textId="77777777" w:rsidR="00B56D50" w:rsidRDefault="001C3C42" w:rsidP="00983566">
      <w:pPr>
        <w:spacing w:after="0" w:line="259" w:lineRule="auto"/>
        <w:ind w:left="0" w:right="70" w:firstLine="0"/>
      </w:pPr>
      <w:r>
        <w:rPr>
          <w:rFonts w:ascii="Calibri" w:eastAsia="Calibri" w:hAnsi="Calibri" w:cs="Calibri"/>
          <w:noProof/>
        </w:rPr>
        <mc:AlternateContent>
          <mc:Choice Requires="wpg">
            <w:drawing>
              <wp:inline distT="0" distB="0" distL="0" distR="0" wp14:anchorId="2429B1AF" wp14:editId="754F2750">
                <wp:extent cx="6530454" cy="45719"/>
                <wp:effectExtent l="0" t="0" r="3810" b="0"/>
                <wp:docPr id="633539" name="Group 633539"/>
                <wp:cNvGraphicFramePr/>
                <a:graphic xmlns:a="http://schemas.openxmlformats.org/drawingml/2006/main">
                  <a:graphicData uri="http://schemas.microsoft.com/office/word/2010/wordprocessingGroup">
                    <wpg:wgp>
                      <wpg:cNvGrpSpPr/>
                      <wpg:grpSpPr>
                        <a:xfrm>
                          <a:off x="0" y="0"/>
                          <a:ext cx="6530454" cy="45719"/>
                          <a:chOff x="0" y="0"/>
                          <a:chExt cx="6217920" cy="57150"/>
                        </a:xfrm>
                      </wpg:grpSpPr>
                      <wps:wsp>
                        <wps:cNvPr id="899801" name="Shape 899801"/>
                        <wps:cNvSpPr/>
                        <wps:spPr>
                          <a:xfrm>
                            <a:off x="0" y="22861"/>
                            <a:ext cx="6217920" cy="34289"/>
                          </a:xfrm>
                          <a:custGeom>
                            <a:avLst/>
                            <a:gdLst/>
                            <a:ahLst/>
                            <a:cxnLst/>
                            <a:rect l="0" t="0" r="0" b="0"/>
                            <a:pathLst>
                              <a:path w="6217920" h="34289">
                                <a:moveTo>
                                  <a:pt x="0" y="0"/>
                                </a:moveTo>
                                <a:lnTo>
                                  <a:pt x="6217920" y="0"/>
                                </a:lnTo>
                                <a:lnTo>
                                  <a:pt x="6217920" y="34289"/>
                                </a:lnTo>
                                <a:lnTo>
                                  <a:pt x="0" y="3428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9802" name="Shape 899802"/>
                        <wps:cNvSpPr/>
                        <wps:spPr>
                          <a:xfrm>
                            <a:off x="0" y="0"/>
                            <a:ext cx="6217920" cy="11430"/>
                          </a:xfrm>
                          <a:custGeom>
                            <a:avLst/>
                            <a:gdLst/>
                            <a:ahLst/>
                            <a:cxnLst/>
                            <a:rect l="0" t="0" r="0" b="0"/>
                            <a:pathLst>
                              <a:path w="6217920" h="11430">
                                <a:moveTo>
                                  <a:pt x="0" y="0"/>
                                </a:moveTo>
                                <a:lnTo>
                                  <a:pt x="6217920" y="0"/>
                                </a:lnTo>
                                <a:lnTo>
                                  <a:pt x="6217920" y="11430"/>
                                </a:lnTo>
                                <a:lnTo>
                                  <a:pt x="0" y="114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rto="http://schemas.microsoft.com/office/word/2006/arto">
            <w:pict>
              <v:group w14:anchorId="43C9180E" id="Group 633539" o:spid="_x0000_s1026" style="width:514.2pt;height:3.6pt;mso-position-horizontal-relative:char;mso-position-vertical-relative:line" coordsize="62179,5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">
                <v:shape id="Shape 899801" o:spid="_x0000_s1027" style="position:absolute;top:228;width:62179;height:343;visibility:visible;mso-wrap-style:square;v-text-anchor:top" coordsize="6217920,342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" path="m,l6217920,r,34289l,34289,,e" fillcolor="black" stroked="f" strokeweight="0">
                  <v:stroke miterlimit="83231f" joinstyle="miter"/>
                  <v:path arrowok="t" textboxrect="0,0,6217920,34289"/>
                </v:shape>
                <v:shape id="Shape 899802" o:spid="_x0000_s1028" style="position:absolute;width:62179;height:114;visibility:visible;mso-wrap-style:square;v-text-anchor:top" coordsize="6217920,114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" path="m,l6217920,r,11430l,11430,,e" fillcolor="black" stroked="f" strokeweight="0">
                  <v:stroke miterlimit="83231f" joinstyle="miter"/>
                  <v:path arrowok="t" textboxrect="0,0,6217920,11430"/>
                </v:shape>
                <w10:anchorlock/>
              </v:group>
            </w:pict>
          </mc:Fallback>
        </mc:AlternateContent>
      </w:r>
      <w:r>
        <w:rPr>
          <w:rFonts w:ascii="Arial" w:eastAsia="Arial" w:hAnsi="Arial" w:cs="Arial"/>
          <w:b/>
        </w:rPr>
        <w:t xml:space="preserve"> </w:t>
      </w:r>
    </w:p>
    <w:p w14:paraId="5126661D" w14:textId="77777777" w:rsidR="00B56D50" w:rsidRDefault="001C3C42">
      <w:pPr>
        <w:spacing w:after="12" w:line="259" w:lineRule="auto"/>
        <w:ind w:left="1620" w:right="0" w:firstLine="0"/>
      </w:pPr>
      <w:r>
        <w:rPr>
          <w:rFonts w:ascii="Arial" w:eastAsia="Arial" w:hAnsi="Arial" w:cs="Arial"/>
          <w:b/>
        </w:rPr>
        <w:t xml:space="preserve"> </w:t>
      </w:r>
    </w:p>
    <w:p w14:paraId="492846D1" w14:textId="16CDE0CC" w:rsidR="00B56D50" w:rsidRDefault="001C3C42" w:rsidP="005831DC">
      <w:pPr>
        <w:spacing w:after="0" w:line="259" w:lineRule="auto"/>
        <w:ind w:left="720" w:right="0" w:firstLine="0"/>
      </w:pPr>
      <w:r>
        <w:rPr>
          <w:rFonts w:ascii="Cambria" w:eastAsia="Cambria" w:hAnsi="Cambria" w:cs="Cambria"/>
          <w:b/>
        </w:rPr>
        <w:t>A.</w:t>
      </w:r>
      <w:r>
        <w:rPr>
          <w:rFonts w:ascii="Arial" w:eastAsia="Arial" w:hAnsi="Arial" w:cs="Arial"/>
          <w:b/>
        </w:rPr>
        <w:t xml:space="preserve"> </w:t>
      </w:r>
      <w:r w:rsidR="005831DC">
        <w:rPr>
          <w:rFonts w:ascii="Arial" w:eastAsia="Arial" w:hAnsi="Arial" w:cs="Arial"/>
          <w:b/>
        </w:rPr>
        <w:t xml:space="preserve"> </w:t>
      </w:r>
      <w:r>
        <w:rPr>
          <w:rFonts w:ascii="Cambria" w:eastAsia="Cambria" w:hAnsi="Cambria" w:cs="Cambria"/>
          <w:b/>
          <w:u w:val="single" w:color="000000"/>
        </w:rPr>
        <w:t>Invoices</w:t>
      </w:r>
      <w:r>
        <w:rPr>
          <w:rFonts w:ascii="Cambria" w:eastAsia="Cambria" w:hAnsi="Cambria" w:cs="Cambria"/>
          <w:b/>
        </w:rPr>
        <w:t xml:space="preserve"> </w:t>
      </w:r>
    </w:p>
    <w:p w14:paraId="2931A96D" w14:textId="77777777" w:rsidR="00B56D50" w:rsidRDefault="001C3C42">
      <w:pPr>
        <w:spacing w:after="0" w:line="259" w:lineRule="auto"/>
        <w:ind w:left="540" w:right="0" w:firstLine="0"/>
      </w:pPr>
      <w:r>
        <w:rPr>
          <w:rFonts w:ascii="Arial" w:eastAsia="Arial" w:hAnsi="Arial" w:cs="Arial"/>
        </w:rPr>
        <w:t xml:space="preserve"> </w:t>
      </w:r>
    </w:p>
    <w:p w14:paraId="713D8AD8" w14:textId="5F5718B9" w:rsidR="00B56D50" w:rsidRDefault="001C3C42" w:rsidP="009D5A00">
      <w:pPr>
        <w:ind w:left="1080" w:right="0" w:firstLine="0"/>
      </w:pPr>
      <w:r>
        <w:t xml:space="preserve">The Contractor shall remit an original invoice </w:t>
      </w:r>
      <w:r w:rsidR="18AC1DE6">
        <w:t xml:space="preserve">electronically </w:t>
      </w:r>
      <w:r>
        <w:t>to the:</w:t>
      </w:r>
      <w:r w:rsidR="00B24B9D">
        <w:t xml:space="preserve"> </w:t>
      </w:r>
      <w:r>
        <w:t xml:space="preserve"> </w:t>
      </w:r>
      <w:r w:rsidR="492FC18D">
        <w:t>OLQ Operations and Finance Section</w:t>
      </w:r>
      <w:r w:rsidR="00CB0930">
        <w:t>.</w:t>
      </w:r>
      <w:r w:rsidR="492FC18D">
        <w:t xml:space="preserve"> </w:t>
      </w:r>
    </w:p>
    <w:p w14:paraId="3BD6EC90" w14:textId="5E3025FD" w:rsidR="00D02AC3" w:rsidRDefault="001C3C42" w:rsidP="009D5A00">
      <w:pPr>
        <w:tabs>
          <w:tab w:val="center" w:pos="900"/>
          <w:tab w:val="center" w:pos="1260"/>
          <w:tab w:val="center" w:pos="1980"/>
          <w:tab w:val="center" w:pos="4939"/>
        </w:tabs>
        <w:ind w:left="1080" w:right="0" w:firstLine="0"/>
      </w:pPr>
      <w:r>
        <w:t xml:space="preserve">One invoice must be used for billing all analytical charges for a particular sample delivery group (case).  </w:t>
      </w:r>
      <w:r w:rsidR="006E191B">
        <w:t>There</w:t>
      </w:r>
      <w:r>
        <w:t xml:space="preserve"> must be only one invoice per sample delivery group and only one sample delivery group per invoice.</w:t>
      </w:r>
    </w:p>
    <w:p w14:paraId="1432F6B0" w14:textId="41732187" w:rsidR="00B56D50" w:rsidRDefault="00B56D50" w:rsidP="009D5A00">
      <w:pPr>
        <w:tabs>
          <w:tab w:val="center" w:pos="900"/>
          <w:tab w:val="center" w:pos="1260"/>
          <w:tab w:val="center" w:pos="1980"/>
          <w:tab w:val="center" w:pos="4939"/>
        </w:tabs>
        <w:ind w:left="1080" w:right="0" w:firstLine="0"/>
      </w:pPr>
    </w:p>
    <w:p w14:paraId="493DB2A3" w14:textId="77777777" w:rsidR="00B56D50" w:rsidRDefault="001C3C42" w:rsidP="009D5A00">
      <w:pPr>
        <w:spacing w:after="0" w:line="259" w:lineRule="auto"/>
        <w:ind w:left="1080" w:right="0" w:firstLine="0"/>
      </w:pPr>
      <w:r>
        <w:t xml:space="preserve">Invoices for analytical charges must include the following information: </w:t>
      </w:r>
    </w:p>
    <w:p w14:paraId="5EFB03DD" w14:textId="77777777" w:rsidR="00B56D50" w:rsidRDefault="001C3C42" w:rsidP="009D5A00">
      <w:pPr>
        <w:spacing w:after="0" w:line="259" w:lineRule="auto"/>
        <w:ind w:left="1080" w:right="0" w:firstLine="0"/>
      </w:pPr>
      <w:r>
        <w:t xml:space="preserve"> </w:t>
      </w:r>
    </w:p>
    <w:p w14:paraId="5ED00E4C" w14:textId="77777777" w:rsidR="00B56D50" w:rsidRDefault="001C3C42" w:rsidP="00093377">
      <w:pPr>
        <w:numPr>
          <w:ilvl w:val="0"/>
          <w:numId w:val="16"/>
        </w:numPr>
        <w:ind w:left="1440" w:right="255" w:hanging="360"/>
      </w:pPr>
      <w:r>
        <w:t>Date of invoice,</w:t>
      </w:r>
      <w:r>
        <w:rPr>
          <w:b/>
        </w:rPr>
        <w:t xml:space="preserve"> </w:t>
      </w:r>
    </w:p>
    <w:p w14:paraId="6EC171B8" w14:textId="26867327" w:rsidR="00B56D50" w:rsidRDefault="001C3C42" w:rsidP="00093377">
      <w:pPr>
        <w:numPr>
          <w:ilvl w:val="0"/>
          <w:numId w:val="16"/>
        </w:numPr>
        <w:spacing w:after="34"/>
        <w:ind w:left="1440" w:right="255" w:hanging="360"/>
      </w:pPr>
      <w:r>
        <w:t xml:space="preserve">The State’s Purchase Order (P.O.) </w:t>
      </w:r>
      <w:r w:rsidR="005D2A79">
        <w:t>Number (</w:t>
      </w:r>
      <w:r>
        <w:t>if applicable),</w:t>
      </w:r>
      <w:r>
        <w:rPr>
          <w:b/>
        </w:rPr>
        <w:t xml:space="preserve"> </w:t>
      </w:r>
    </w:p>
    <w:p w14:paraId="0E348034" w14:textId="2F5590C5" w:rsidR="00B56D50" w:rsidRDefault="001C3C42" w:rsidP="00093377">
      <w:pPr>
        <w:numPr>
          <w:ilvl w:val="0"/>
          <w:numId w:val="16"/>
        </w:numPr>
        <w:ind w:left="1440" w:right="255" w:hanging="360"/>
      </w:pPr>
      <w:r>
        <w:t>The State’s Sample Numbers.  These will be “L</w:t>
      </w:r>
      <w:r w:rsidR="00C60B16">
        <w:t>N</w:t>
      </w:r>
      <w:r>
        <w:t xml:space="preserve"> numbers” in the format L</w:t>
      </w:r>
      <w:r w:rsidR="00C60B16">
        <w:t>N</w:t>
      </w:r>
      <w:r w:rsidR="00F80780">
        <w:t xml:space="preserve"> </w:t>
      </w:r>
      <w:r w:rsidR="00CC3C1A">
        <w:t>XXXX</w:t>
      </w:r>
      <w:r>
        <w:t>, where “</w:t>
      </w:r>
      <w:r w:rsidR="00CC3C1A">
        <w:t>XXXX</w:t>
      </w:r>
      <w:r>
        <w:t>:” represents a sequential four-digit number.</w:t>
      </w:r>
      <w:r>
        <w:rPr>
          <w:b/>
        </w:rPr>
        <w:t xml:space="preserve"> </w:t>
      </w:r>
    </w:p>
    <w:p w14:paraId="0F271526" w14:textId="7FD402FF" w:rsidR="00B56D50" w:rsidRDefault="001C3C42" w:rsidP="00093377">
      <w:pPr>
        <w:numPr>
          <w:ilvl w:val="0"/>
          <w:numId w:val="16"/>
        </w:numPr>
        <w:spacing w:after="30"/>
        <w:ind w:left="1440" w:right="255" w:hanging="360"/>
      </w:pPr>
      <w:r>
        <w:t xml:space="preserve">Itemization of charges.  Charges must be itemized by sample number and analysis type by the cost matrix identification, e.g. Aqueous: Total Metals Group A, General Chemistry Group </w:t>
      </w:r>
      <w:r w:rsidR="00767055">
        <w:t xml:space="preserve">F, </w:t>
      </w:r>
      <w:r w:rsidR="006B693C">
        <w:t>Soil/Sediment</w:t>
      </w:r>
    </w:p>
    <w:p w14:paraId="69630681" w14:textId="77777777" w:rsidR="00B56D50" w:rsidRDefault="001C3C42" w:rsidP="00093377">
      <w:pPr>
        <w:numPr>
          <w:ilvl w:val="0"/>
          <w:numId w:val="16"/>
        </w:numPr>
        <w:ind w:left="1440" w:right="255" w:hanging="360"/>
      </w:pPr>
      <w:r>
        <w:t>Total charges for the invoice, and</w:t>
      </w:r>
      <w:r>
        <w:rPr>
          <w:b/>
        </w:rPr>
        <w:t xml:space="preserve"> </w:t>
      </w:r>
    </w:p>
    <w:p w14:paraId="16FD6971" w14:textId="77777777" w:rsidR="00B56D50" w:rsidRDefault="001C3C42" w:rsidP="00093377">
      <w:pPr>
        <w:numPr>
          <w:ilvl w:val="0"/>
          <w:numId w:val="16"/>
        </w:numPr>
        <w:ind w:left="1440" w:right="255" w:hanging="360"/>
      </w:pPr>
      <w:r>
        <w:t xml:space="preserve">A copy of the </w:t>
      </w:r>
      <w:proofErr w:type="gramStart"/>
      <w:r>
        <w:t>chain-of-custody</w:t>
      </w:r>
      <w:proofErr w:type="gramEnd"/>
      <w:r>
        <w:t xml:space="preserve"> for the sample delivery group being billed must be included.  (The original chain-of-custody must be included in the analytical report.)</w:t>
      </w:r>
      <w:r>
        <w:rPr>
          <w:b/>
        </w:rPr>
        <w:t xml:space="preserve"> </w:t>
      </w:r>
    </w:p>
    <w:p w14:paraId="12C2E115" w14:textId="77777777" w:rsidR="00B56D50" w:rsidRDefault="001C3C42" w:rsidP="009D5A00">
      <w:pPr>
        <w:spacing w:after="0" w:line="259" w:lineRule="auto"/>
        <w:ind w:left="1440" w:right="0" w:hanging="360"/>
      </w:pPr>
      <w:r>
        <w:rPr>
          <w:b/>
        </w:rPr>
        <w:t xml:space="preserve"> </w:t>
      </w:r>
    </w:p>
    <w:p w14:paraId="59418B9D" w14:textId="7584B5BC" w:rsidR="00B56D50" w:rsidRDefault="001C3C42" w:rsidP="009D5A00">
      <w:pPr>
        <w:ind w:left="1080" w:right="255"/>
      </w:pPr>
      <w:r>
        <w:t>In addition, charges for Special Analytical Services and Additional Analytical Services must be billed on separate invoices f</w:t>
      </w:r>
      <w:r w:rsidR="00FE3686">
        <w:t>ro</w:t>
      </w:r>
      <w:r>
        <w:t xml:space="preserve">m analytical </w:t>
      </w:r>
      <w:r w:rsidR="00FE3686">
        <w:t>charges</w:t>
      </w:r>
      <w:r>
        <w:t xml:space="preserve"> for field samples.</w:t>
      </w:r>
      <w:r>
        <w:rPr>
          <w:b/>
        </w:rPr>
        <w:t xml:space="preserve"> </w:t>
      </w:r>
    </w:p>
    <w:p w14:paraId="0CC86E62" w14:textId="63708D54" w:rsidR="00B56D50" w:rsidRDefault="001C3C42" w:rsidP="00B008E8">
      <w:pPr>
        <w:spacing w:after="0" w:line="259" w:lineRule="auto"/>
        <w:ind w:right="0"/>
      </w:pPr>
      <w:r>
        <w:t xml:space="preserve">  </w:t>
      </w:r>
    </w:p>
    <w:p w14:paraId="003F65BF" w14:textId="254659DC" w:rsidR="00B56D50" w:rsidRDefault="001C3C42" w:rsidP="005831DC">
      <w:pPr>
        <w:pStyle w:val="Heading5"/>
        <w:spacing w:after="4" w:line="250" w:lineRule="auto"/>
        <w:ind w:left="720" w:hanging="14"/>
        <w:jc w:val="left"/>
      </w:pPr>
      <w:r>
        <w:t>B.</w:t>
      </w:r>
      <w:r w:rsidR="005831DC">
        <w:rPr>
          <w:rFonts w:eastAsia="Arial"/>
        </w:rPr>
        <w:t xml:space="preserve"> </w:t>
      </w:r>
      <w:r>
        <w:rPr>
          <w:rFonts w:ascii="Arial" w:eastAsia="Arial" w:hAnsi="Arial" w:cs="Arial"/>
        </w:rPr>
        <w:t xml:space="preserve"> </w:t>
      </w:r>
      <w:r>
        <w:rPr>
          <w:u w:val="single" w:color="000000"/>
        </w:rPr>
        <w:t>Payment Approval</w:t>
      </w:r>
      <w:r>
        <w:t xml:space="preserve"> </w:t>
      </w:r>
    </w:p>
    <w:p w14:paraId="1B2EF015" w14:textId="77777777" w:rsidR="00B56D50" w:rsidRDefault="001C3C42">
      <w:pPr>
        <w:spacing w:after="0" w:line="259" w:lineRule="auto"/>
        <w:ind w:left="540" w:right="0" w:firstLine="0"/>
      </w:pPr>
      <w:r>
        <w:t xml:space="preserve"> </w:t>
      </w:r>
    </w:p>
    <w:p w14:paraId="72BD2919" w14:textId="77777777" w:rsidR="00B56D50" w:rsidRDefault="001C3C42" w:rsidP="009D5A00">
      <w:pPr>
        <w:ind w:left="1080" w:right="255"/>
      </w:pPr>
      <w:r>
        <w:t xml:space="preserve">The Contractor shall not receive approval for payment until all required data and documentation for the Deliverables List, including raw data package, have been received.  Approval of payment for the full amount is contingent on the technical adequacy and timeliness of the analytical report.   </w:t>
      </w:r>
    </w:p>
    <w:p w14:paraId="5DDE99A5" w14:textId="77777777" w:rsidR="00B56D50" w:rsidRDefault="001C3C42">
      <w:pPr>
        <w:spacing w:after="0" w:line="259" w:lineRule="auto"/>
        <w:ind w:left="900" w:right="0" w:firstLine="0"/>
      </w:pPr>
      <w:r>
        <w:t xml:space="preserve"> </w:t>
      </w:r>
    </w:p>
    <w:p w14:paraId="3FB928A2" w14:textId="153073B4" w:rsidR="00B56D50" w:rsidRDefault="001C3C42" w:rsidP="00093377">
      <w:pPr>
        <w:pStyle w:val="ListParagraph"/>
        <w:numPr>
          <w:ilvl w:val="0"/>
          <w:numId w:val="74"/>
        </w:numPr>
        <w:ind w:right="558"/>
      </w:pPr>
      <w:r w:rsidRPr="005831DC">
        <w:rPr>
          <w:b/>
        </w:rPr>
        <w:t xml:space="preserve">Penalties for late delivery of analytical reports </w:t>
      </w:r>
      <w:r>
        <w:t xml:space="preserve">It is the responsibility of the Contractor’s project manager or quality assurance officer to notify the State if the requested </w:t>
      </w:r>
      <w:r w:rsidR="00E73C33">
        <w:t>turnaround</w:t>
      </w:r>
      <w:r>
        <w:t xml:space="preserve"> time cannot be met for any reason.  Financial penalties will be assessed for analytical reports not delivered by the turnaround time requested,</w:t>
      </w:r>
      <w:r w:rsidRPr="005831DC">
        <w:rPr>
          <w:b/>
        </w:rPr>
        <w:t xml:space="preserve"> </w:t>
      </w:r>
      <w:r w:rsidRPr="005831DC">
        <w:rPr>
          <w:b/>
          <w:u w:val="single" w:color="000000"/>
        </w:rPr>
        <w:t>unless</w:t>
      </w:r>
      <w:r w:rsidRPr="005831DC">
        <w:rPr>
          <w:u w:val="single" w:color="000000"/>
        </w:rPr>
        <w:t>:</w:t>
      </w:r>
      <w:r>
        <w:t xml:space="preserve"> </w:t>
      </w:r>
    </w:p>
    <w:p w14:paraId="3D589296" w14:textId="77777777" w:rsidR="00B56D50" w:rsidRDefault="001C3C42">
      <w:pPr>
        <w:spacing w:after="19" w:line="259" w:lineRule="auto"/>
        <w:ind w:left="1260" w:right="0" w:firstLine="0"/>
      </w:pPr>
      <w:r>
        <w:t xml:space="preserve"> </w:t>
      </w:r>
    </w:p>
    <w:p w14:paraId="19BB7F44" w14:textId="6031AA55" w:rsidR="000756D1" w:rsidRPr="00954B5F" w:rsidRDefault="001C3C42" w:rsidP="00B8309C">
      <w:pPr>
        <w:pStyle w:val="ListParagraph"/>
        <w:numPr>
          <w:ilvl w:val="0"/>
          <w:numId w:val="173"/>
        </w:numPr>
        <w:ind w:left="1800" w:right="2141"/>
        <w:rPr>
          <w:b/>
        </w:rPr>
      </w:pPr>
      <w:r>
        <w:t xml:space="preserve">The delay is due to circumstances beyond the Contractor’s control, </w:t>
      </w:r>
      <w:r w:rsidR="00E73C33" w:rsidRPr="00954B5F">
        <w:rPr>
          <w:b/>
          <w:u w:val="single" w:color="000000"/>
        </w:rPr>
        <w:t>and</w:t>
      </w:r>
    </w:p>
    <w:p w14:paraId="09FC6621" w14:textId="32AB70E8" w:rsidR="00B56D50" w:rsidRDefault="001C3C42" w:rsidP="00B8309C">
      <w:pPr>
        <w:pStyle w:val="ListParagraph"/>
        <w:numPr>
          <w:ilvl w:val="0"/>
          <w:numId w:val="75"/>
        </w:numPr>
        <w:ind w:left="1800" w:right="2141"/>
      </w:pPr>
      <w:r>
        <w:t xml:space="preserve">The Contractor has notified the State of the reasons for the delay in advance. </w:t>
      </w:r>
    </w:p>
    <w:p w14:paraId="44DD1059" w14:textId="451C57D6" w:rsidR="00B56D50" w:rsidRDefault="001C3C42" w:rsidP="002A4628">
      <w:pPr>
        <w:spacing w:after="0" w:line="259" w:lineRule="auto"/>
        <w:ind w:left="1260" w:right="0" w:firstLine="0"/>
      </w:pPr>
      <w:r>
        <w:t xml:space="preserve"> </w:t>
      </w:r>
      <w:r>
        <w:rPr>
          <w:b/>
        </w:rPr>
        <w:t xml:space="preserve"> </w:t>
      </w:r>
    </w:p>
    <w:p w14:paraId="6FC90377" w14:textId="77777777" w:rsidR="00B56D50" w:rsidRDefault="001C3C42" w:rsidP="00FB2DFB">
      <w:pPr>
        <w:pStyle w:val="Heading6"/>
        <w:ind w:left="1440" w:right="186" w:hanging="180"/>
      </w:pPr>
      <w:r>
        <w:t>a.</w:t>
      </w:r>
      <w:r>
        <w:rPr>
          <w:rFonts w:ascii="Arial" w:eastAsia="Arial" w:hAnsi="Arial" w:cs="Arial"/>
        </w:rPr>
        <w:t xml:space="preserve"> </w:t>
      </w:r>
      <w:r>
        <w:t xml:space="preserve">Amount of penalty </w:t>
      </w:r>
    </w:p>
    <w:p w14:paraId="0D96E3F8" w14:textId="185F95B5" w:rsidR="00B56D50" w:rsidRDefault="001C3C42">
      <w:pPr>
        <w:ind w:left="1630" w:right="255"/>
      </w:pPr>
      <w:r>
        <w:rPr>
          <w:b/>
        </w:rPr>
        <w:t xml:space="preserve">Financial penalties for late delivery will consist of </w:t>
      </w:r>
      <w:r w:rsidR="00D606A3">
        <w:rPr>
          <w:b/>
        </w:rPr>
        <w:t xml:space="preserve">a </w:t>
      </w:r>
      <w:r>
        <w:rPr>
          <w:b/>
        </w:rPr>
        <w:t xml:space="preserve">deduction of </w:t>
      </w:r>
      <w:r>
        <w:rPr>
          <w:b/>
          <w:u w:val="single" w:color="000000"/>
        </w:rPr>
        <w:t>5% of the total invoice</w:t>
      </w:r>
      <w:r>
        <w:rPr>
          <w:b/>
        </w:rPr>
        <w:t xml:space="preserve"> </w:t>
      </w:r>
      <w:r>
        <w:rPr>
          <w:b/>
          <w:u w:val="single" w:color="000000"/>
        </w:rPr>
        <w:t xml:space="preserve">amount per </w:t>
      </w:r>
      <w:r w:rsidR="00E657CA">
        <w:rPr>
          <w:b/>
          <w:u w:val="single" w:color="000000"/>
        </w:rPr>
        <w:t xml:space="preserve">calendar </w:t>
      </w:r>
      <w:r>
        <w:rPr>
          <w:b/>
          <w:u w:val="single" w:color="000000"/>
        </w:rPr>
        <w:t>week</w:t>
      </w:r>
      <w:r>
        <w:rPr>
          <w:b/>
        </w:rPr>
        <w:t xml:space="preserve"> that the complete report is late.</w:t>
      </w:r>
      <w:r>
        <w:t xml:space="preserve">  This applies to all </w:t>
      </w:r>
      <w:r w:rsidR="00E73C33">
        <w:t>turnaround</w:t>
      </w:r>
      <w:r>
        <w:t xml:space="preserve"> times requested, including 48-hour and 7-day </w:t>
      </w:r>
      <w:r w:rsidR="00767055">
        <w:t>turn-rounds</w:t>
      </w:r>
      <w:r>
        <w:t xml:space="preserve">.  For 48-hour </w:t>
      </w:r>
      <w:r w:rsidR="00767055">
        <w:t>turn-round</w:t>
      </w:r>
      <w:r>
        <w:t xml:space="preserve"> requests, the following criteria will be applied:</w:t>
      </w:r>
    </w:p>
    <w:p w14:paraId="70B45EC2" w14:textId="77777777" w:rsidR="00B56D50" w:rsidRDefault="001C3C42">
      <w:pPr>
        <w:spacing w:after="0" w:line="259" w:lineRule="auto"/>
        <w:ind w:left="1260" w:right="0" w:firstLine="0"/>
      </w:pPr>
      <w:r>
        <w:rPr>
          <w:b/>
        </w:rPr>
        <w:t xml:space="preserve"> </w:t>
      </w:r>
    </w:p>
    <w:p w14:paraId="52A4251F" w14:textId="6A5D66D5" w:rsidR="00B56D50" w:rsidRDefault="001C3C42" w:rsidP="00D7660A">
      <w:pPr>
        <w:pStyle w:val="Heading6"/>
        <w:ind w:left="1270" w:right="186"/>
      </w:pPr>
      <w:r>
        <w:t>b.</w:t>
      </w:r>
      <w:r>
        <w:rPr>
          <w:rFonts w:ascii="Arial" w:eastAsia="Arial" w:hAnsi="Arial" w:cs="Arial"/>
        </w:rPr>
        <w:t xml:space="preserve"> </w:t>
      </w:r>
      <w:r>
        <w:t xml:space="preserve">48-Hour </w:t>
      </w:r>
      <w:r w:rsidR="00E73C33">
        <w:t>turnaround</w:t>
      </w:r>
      <w:r>
        <w:t xml:space="preserve"> times </w:t>
      </w:r>
    </w:p>
    <w:p w14:paraId="7E30FEC9" w14:textId="77777777" w:rsidR="00B56D50" w:rsidRDefault="001C3C42">
      <w:pPr>
        <w:spacing w:after="0" w:line="259" w:lineRule="auto"/>
        <w:ind w:left="1260" w:right="0" w:firstLine="0"/>
      </w:pPr>
      <w:r>
        <w:rPr>
          <w:b/>
        </w:rPr>
        <w:t xml:space="preserve"> </w:t>
      </w:r>
    </w:p>
    <w:p w14:paraId="38AB4DC5" w14:textId="77777777" w:rsidR="00B56D50" w:rsidRDefault="001C3C42" w:rsidP="00093377">
      <w:pPr>
        <w:numPr>
          <w:ilvl w:val="0"/>
          <w:numId w:val="17"/>
        </w:numPr>
        <w:spacing w:after="4" w:line="249" w:lineRule="auto"/>
        <w:ind w:right="0" w:hanging="360"/>
      </w:pPr>
      <w:r>
        <w:rPr>
          <w:b/>
          <w:u w:val="single" w:color="000000"/>
        </w:rPr>
        <w:lastRenderedPageBreak/>
        <w:t>When the preliminary results are received within 48 hours</w:t>
      </w:r>
      <w:r>
        <w:rPr>
          <w:b/>
        </w:rPr>
        <w:t xml:space="preserve">: </w:t>
      </w:r>
    </w:p>
    <w:p w14:paraId="1ED35603" w14:textId="35544244" w:rsidR="00B56D50" w:rsidRDefault="001C3C42">
      <w:pPr>
        <w:ind w:left="1990" w:right="255"/>
      </w:pPr>
      <w:r>
        <w:t>The complete analytical report (Deliverables List with raw data</w:t>
      </w:r>
      <w:r w:rsidR="009D682E">
        <w:t>,</w:t>
      </w:r>
      <w:r w:rsidR="002A4628">
        <w:t xml:space="preserve"> </w:t>
      </w:r>
      <w:r w:rsidR="009D682E">
        <w:t>if requested</w:t>
      </w:r>
      <w:r>
        <w:t xml:space="preserve">) is due within 7 calendar days of transmission of the preliminary report.  </w:t>
      </w:r>
      <w:r>
        <w:rPr>
          <w:b/>
        </w:rPr>
        <w:t>Penalties will be assessed for analytical reports for 48-hour turn</w:t>
      </w:r>
      <w:proofErr w:type="gramStart"/>
      <w:r w:rsidR="00AE391C">
        <w:rPr>
          <w:b/>
        </w:rPr>
        <w:t>-</w:t>
      </w:r>
      <w:r>
        <w:rPr>
          <w:b/>
        </w:rPr>
        <w:t xml:space="preserve"> around</w:t>
      </w:r>
      <w:proofErr w:type="gramEnd"/>
      <w:r>
        <w:rPr>
          <w:b/>
        </w:rPr>
        <w:t xml:space="preserve"> requests that are not received within 7 calendar days of the preliminary report.  </w:t>
      </w:r>
      <w:r>
        <w:t xml:space="preserve">Such penalties will consist of deduction of 5% of the total invoice amount per </w:t>
      </w:r>
      <w:proofErr w:type="gramStart"/>
      <w:r>
        <w:t>week</w:t>
      </w:r>
      <w:proofErr w:type="gramEnd"/>
      <w:r>
        <w:t xml:space="preserve"> that the complete report is late.  These penalties will be waived only under circumstances beyond the Contractor’s </w:t>
      </w:r>
      <w:proofErr w:type="gramStart"/>
      <w:r>
        <w:t>control</w:t>
      </w:r>
      <w:proofErr w:type="gramEnd"/>
      <w:r>
        <w:t xml:space="preserve"> and the State has been notified. </w:t>
      </w:r>
    </w:p>
    <w:p w14:paraId="2C976398" w14:textId="77777777" w:rsidR="00B56D50" w:rsidRDefault="001C3C42">
      <w:pPr>
        <w:spacing w:after="0" w:line="259" w:lineRule="auto"/>
        <w:ind w:left="1980" w:right="0" w:firstLine="0"/>
      </w:pPr>
      <w:r>
        <w:t xml:space="preserve"> </w:t>
      </w:r>
    </w:p>
    <w:p w14:paraId="46D48207" w14:textId="77777777" w:rsidR="00B56D50" w:rsidRDefault="001C3C42" w:rsidP="00093377">
      <w:pPr>
        <w:numPr>
          <w:ilvl w:val="0"/>
          <w:numId w:val="17"/>
        </w:numPr>
        <w:spacing w:after="4" w:line="249" w:lineRule="auto"/>
        <w:ind w:right="0" w:hanging="360"/>
      </w:pPr>
      <w:r>
        <w:rPr>
          <w:b/>
          <w:u w:val="single" w:color="000000"/>
        </w:rPr>
        <w:t>When the preliminary results are received 7 or more days after submission to the</w:t>
      </w:r>
      <w:r>
        <w:rPr>
          <w:b/>
        </w:rPr>
        <w:t xml:space="preserve"> </w:t>
      </w:r>
      <w:r>
        <w:rPr>
          <w:b/>
          <w:u w:val="single" w:color="000000"/>
        </w:rPr>
        <w:t xml:space="preserve">Contractor </w:t>
      </w:r>
      <w:r>
        <w:rPr>
          <w:u w:val="single" w:color="000000"/>
        </w:rPr>
        <w:t>(</w:t>
      </w:r>
      <w:r>
        <w:t>and the State has not been consulted):</w:t>
      </w:r>
      <w:r>
        <w:rPr>
          <w:b/>
        </w:rPr>
        <w:t xml:space="preserve"> </w:t>
      </w:r>
    </w:p>
    <w:p w14:paraId="618D2F24" w14:textId="01C5E455" w:rsidR="00B56D50" w:rsidRDefault="001C3C42">
      <w:pPr>
        <w:ind w:left="1990" w:right="255"/>
      </w:pPr>
      <w:r>
        <w:t xml:space="preserve">If the results </w:t>
      </w:r>
      <w:proofErr w:type="gramStart"/>
      <w:r>
        <w:t>will not be received</w:t>
      </w:r>
      <w:proofErr w:type="gramEnd"/>
      <w:r>
        <w:t xml:space="preserve"> until 7 or more days after sample submittal, the complete Level </w:t>
      </w:r>
      <w:r w:rsidR="00232B22">
        <w:t>3</w:t>
      </w:r>
      <w:r>
        <w:t xml:space="preserve"> </w:t>
      </w:r>
      <w:r w:rsidR="00E73C33">
        <w:t>analytical</w:t>
      </w:r>
      <w:r>
        <w:t xml:space="preserve"> report is also due at the time the results arrive.  </w:t>
      </w:r>
      <w:r>
        <w:rPr>
          <w:b/>
        </w:rPr>
        <w:t xml:space="preserve">In effect, the promised 48-hour </w:t>
      </w:r>
      <w:proofErr w:type="gramStart"/>
      <w:r>
        <w:rPr>
          <w:b/>
        </w:rPr>
        <w:t>turn</w:t>
      </w:r>
      <w:r w:rsidR="00C6585B">
        <w:rPr>
          <w:b/>
        </w:rPr>
        <w:t>-</w:t>
      </w:r>
      <w:r>
        <w:rPr>
          <w:b/>
        </w:rPr>
        <w:t>around</w:t>
      </w:r>
      <w:proofErr w:type="gramEnd"/>
      <w:r>
        <w:rPr>
          <w:b/>
        </w:rPr>
        <w:t xml:space="preserve"> has become a 7-day turnaround.  </w:t>
      </w:r>
      <w:r>
        <w:t>Accordingly, the State will adjust the 48-hour charges on the invoice to reflect 7-day rates.  If, in addition, the complete Deliverables List with raw data package</w:t>
      </w:r>
      <w:r w:rsidR="006E5070">
        <w:t xml:space="preserve"> </w:t>
      </w:r>
      <w:r w:rsidR="00C26193">
        <w:t>(if requested),</w:t>
      </w:r>
      <w:r>
        <w:t xml:space="preserve"> is not received within 7 calendar days after the analytical results have been received, (i.e., </w:t>
      </w:r>
      <w:r>
        <w:rPr>
          <w:u w:val="single" w:color="000000"/>
        </w:rPr>
        <w:t>14</w:t>
      </w:r>
      <w:r>
        <w:t xml:space="preserve"> days after sample submittal), late penalties will be assessed in addition to reducing charges to the 7-day rate. </w:t>
      </w:r>
    </w:p>
    <w:p w14:paraId="4BDB694F" w14:textId="1F659717" w:rsidR="006E5070" w:rsidRDefault="006E5070" w:rsidP="006E5070">
      <w:pPr>
        <w:spacing w:after="0" w:line="259" w:lineRule="auto"/>
        <w:ind w:right="0"/>
      </w:pPr>
    </w:p>
    <w:p w14:paraId="17621B95" w14:textId="052A7E2E" w:rsidR="006E5070" w:rsidRDefault="006E5070" w:rsidP="006E5070">
      <w:pPr>
        <w:spacing w:after="0" w:line="259" w:lineRule="auto"/>
        <w:ind w:right="0"/>
      </w:pPr>
    </w:p>
    <w:p w14:paraId="4A375771" w14:textId="77777777" w:rsidR="006E5070" w:rsidRDefault="006E5070" w:rsidP="006E5070">
      <w:pPr>
        <w:spacing w:after="0" w:line="259" w:lineRule="auto"/>
        <w:ind w:right="0"/>
      </w:pPr>
    </w:p>
    <w:p w14:paraId="005667CD" w14:textId="5AD94EC7" w:rsidR="00B56D50" w:rsidRDefault="00B56D50" w:rsidP="006E5070">
      <w:pPr>
        <w:spacing w:after="0" w:line="259" w:lineRule="auto"/>
        <w:ind w:right="0"/>
      </w:pPr>
    </w:p>
    <w:p w14:paraId="0DD8D048" w14:textId="567912F3" w:rsidR="00B56D50" w:rsidRDefault="00B56D50" w:rsidP="006E5070">
      <w:pPr>
        <w:spacing w:after="0" w:line="259" w:lineRule="auto"/>
        <w:ind w:right="0"/>
      </w:pPr>
    </w:p>
    <w:p w14:paraId="51BB2576" w14:textId="703F33A6" w:rsidR="00B56D50" w:rsidRDefault="001C3C42" w:rsidP="006E5070">
      <w:pPr>
        <w:pStyle w:val="Heading5"/>
        <w:spacing w:after="16" w:line="247" w:lineRule="auto"/>
        <w:ind w:left="910" w:right="186"/>
      </w:pPr>
      <w:r>
        <w:t>THE REMAINDER OF THIS PAGE HAS BEEN LEFT BLANK INTENTIONALLY</w:t>
      </w:r>
    </w:p>
    <w:p w14:paraId="1398F6C5" w14:textId="291548F5" w:rsidR="00B56D50" w:rsidRDefault="00B56D50" w:rsidP="006E5070">
      <w:pPr>
        <w:spacing w:after="0" w:line="259" w:lineRule="auto"/>
        <w:ind w:left="714" w:right="0" w:firstLine="0"/>
      </w:pPr>
    </w:p>
    <w:p w14:paraId="6E3F9385" w14:textId="57E4B368" w:rsidR="00B56D50" w:rsidRPr="00894C38" w:rsidRDefault="00B56D50">
      <w:pPr>
        <w:spacing w:after="12" w:line="243" w:lineRule="auto"/>
        <w:ind w:left="720" w:right="4333" w:firstLine="0"/>
        <w:rPr>
          <w:rFonts w:eastAsia="Arial"/>
        </w:rPr>
      </w:pPr>
    </w:p>
    <w:p w14:paraId="719D6644" w14:textId="3E6925BB" w:rsidR="003C2336" w:rsidRPr="00894C38" w:rsidRDefault="003C2336">
      <w:pPr>
        <w:spacing w:after="12" w:line="243" w:lineRule="auto"/>
        <w:ind w:left="720" w:right="4333" w:firstLine="0"/>
        <w:rPr>
          <w:rFonts w:eastAsia="Arial"/>
        </w:rPr>
      </w:pPr>
    </w:p>
    <w:p w14:paraId="62D9477B" w14:textId="44981DA3" w:rsidR="003C2336" w:rsidRPr="00894C38" w:rsidRDefault="003C2336">
      <w:pPr>
        <w:spacing w:after="12" w:line="243" w:lineRule="auto"/>
        <w:ind w:left="720" w:right="4333" w:firstLine="0"/>
        <w:rPr>
          <w:rFonts w:eastAsia="Arial"/>
        </w:rPr>
      </w:pPr>
    </w:p>
    <w:p w14:paraId="1AB5DBE5" w14:textId="4DC1A653" w:rsidR="003C2336" w:rsidRPr="00894C38" w:rsidRDefault="003C2336">
      <w:pPr>
        <w:spacing w:after="12" w:line="243" w:lineRule="auto"/>
        <w:ind w:left="720" w:right="4333" w:firstLine="0"/>
        <w:rPr>
          <w:rFonts w:eastAsia="Arial"/>
        </w:rPr>
      </w:pPr>
    </w:p>
    <w:p w14:paraId="19169898" w14:textId="12E8BBEA" w:rsidR="003C2336" w:rsidRPr="00894C38" w:rsidRDefault="003C2336">
      <w:pPr>
        <w:spacing w:after="12" w:line="243" w:lineRule="auto"/>
        <w:ind w:left="720" w:right="4333" w:firstLine="0"/>
        <w:rPr>
          <w:rFonts w:eastAsia="Arial"/>
        </w:rPr>
      </w:pPr>
    </w:p>
    <w:p w14:paraId="057DB86F" w14:textId="684CBF5C" w:rsidR="003C2336" w:rsidRPr="00894C38" w:rsidRDefault="003C2336">
      <w:pPr>
        <w:spacing w:after="12" w:line="243" w:lineRule="auto"/>
        <w:ind w:left="720" w:right="4333" w:firstLine="0"/>
        <w:rPr>
          <w:rFonts w:eastAsia="Arial"/>
        </w:rPr>
      </w:pPr>
    </w:p>
    <w:p w14:paraId="63561372" w14:textId="23429B1E" w:rsidR="000756D1" w:rsidRPr="00894C38" w:rsidRDefault="000756D1">
      <w:pPr>
        <w:spacing w:after="12" w:line="243" w:lineRule="auto"/>
        <w:ind w:left="720" w:right="4333" w:firstLine="0"/>
        <w:rPr>
          <w:rFonts w:eastAsia="Arial"/>
        </w:rPr>
      </w:pPr>
    </w:p>
    <w:p w14:paraId="4D458DA9" w14:textId="05956C64" w:rsidR="000756D1" w:rsidRPr="00894C38" w:rsidRDefault="000756D1">
      <w:pPr>
        <w:spacing w:after="12" w:line="243" w:lineRule="auto"/>
        <w:ind w:left="720" w:right="4333" w:firstLine="0"/>
        <w:rPr>
          <w:rFonts w:eastAsia="Arial"/>
        </w:rPr>
      </w:pPr>
    </w:p>
    <w:p w14:paraId="506BFADD" w14:textId="5983D583" w:rsidR="000756D1" w:rsidRPr="00894C38" w:rsidRDefault="000756D1">
      <w:pPr>
        <w:spacing w:after="12" w:line="243" w:lineRule="auto"/>
        <w:ind w:left="720" w:right="4333" w:firstLine="0"/>
        <w:rPr>
          <w:rFonts w:eastAsia="Arial"/>
        </w:rPr>
      </w:pPr>
    </w:p>
    <w:p w14:paraId="31A2EBA4" w14:textId="02D32C13" w:rsidR="000756D1" w:rsidRPr="00894C38" w:rsidRDefault="000756D1">
      <w:pPr>
        <w:spacing w:after="12" w:line="243" w:lineRule="auto"/>
        <w:ind w:left="720" w:right="4333" w:firstLine="0"/>
        <w:rPr>
          <w:rFonts w:eastAsia="Arial"/>
        </w:rPr>
      </w:pPr>
    </w:p>
    <w:p w14:paraId="7A4E8B72" w14:textId="32489D9C" w:rsidR="000756D1" w:rsidRPr="00894C38" w:rsidRDefault="000756D1">
      <w:pPr>
        <w:spacing w:after="12" w:line="243" w:lineRule="auto"/>
        <w:ind w:left="720" w:right="4333" w:firstLine="0"/>
        <w:rPr>
          <w:rFonts w:eastAsia="Arial"/>
        </w:rPr>
      </w:pPr>
    </w:p>
    <w:p w14:paraId="26D34A8E" w14:textId="6FB49415" w:rsidR="000756D1" w:rsidRPr="00894C38" w:rsidRDefault="000756D1">
      <w:pPr>
        <w:spacing w:after="12" w:line="243" w:lineRule="auto"/>
        <w:ind w:left="720" w:right="4333" w:firstLine="0"/>
        <w:rPr>
          <w:rFonts w:eastAsia="Arial"/>
        </w:rPr>
      </w:pPr>
    </w:p>
    <w:p w14:paraId="7DA1D1DA" w14:textId="43FC8B83" w:rsidR="000756D1" w:rsidRPr="00894C38" w:rsidRDefault="000756D1">
      <w:pPr>
        <w:spacing w:after="12" w:line="243" w:lineRule="auto"/>
        <w:ind w:left="720" w:right="4333" w:firstLine="0"/>
        <w:rPr>
          <w:rFonts w:eastAsia="Arial"/>
        </w:rPr>
      </w:pPr>
    </w:p>
    <w:p w14:paraId="4A80E90C" w14:textId="4E793DA3" w:rsidR="000756D1" w:rsidRPr="00894C38" w:rsidRDefault="000756D1">
      <w:pPr>
        <w:spacing w:after="12" w:line="243" w:lineRule="auto"/>
        <w:ind w:left="720" w:right="4333" w:firstLine="0"/>
        <w:rPr>
          <w:rFonts w:eastAsia="Arial"/>
        </w:rPr>
      </w:pPr>
    </w:p>
    <w:p w14:paraId="6BDFBAB2" w14:textId="77777777" w:rsidR="00D64578" w:rsidRPr="00894C38" w:rsidRDefault="00D64578">
      <w:pPr>
        <w:spacing w:after="12" w:line="243" w:lineRule="auto"/>
        <w:ind w:left="720" w:right="4333" w:firstLine="0"/>
        <w:rPr>
          <w:rFonts w:eastAsia="Arial"/>
        </w:rPr>
      </w:pPr>
    </w:p>
    <w:p w14:paraId="7B3D6EE8" w14:textId="77777777" w:rsidR="00D64578" w:rsidRPr="00894C38" w:rsidRDefault="00D64578">
      <w:pPr>
        <w:spacing w:after="12" w:line="243" w:lineRule="auto"/>
        <w:ind w:left="720" w:right="4333" w:firstLine="0"/>
        <w:rPr>
          <w:rFonts w:eastAsia="Arial"/>
        </w:rPr>
      </w:pPr>
    </w:p>
    <w:p w14:paraId="1C3E6C9C" w14:textId="52EC8090" w:rsidR="000756D1" w:rsidRPr="00894C38" w:rsidRDefault="000756D1">
      <w:pPr>
        <w:spacing w:after="12" w:line="243" w:lineRule="auto"/>
        <w:ind w:left="720" w:right="4333" w:firstLine="0"/>
        <w:rPr>
          <w:rFonts w:eastAsia="Arial"/>
        </w:rPr>
      </w:pPr>
    </w:p>
    <w:p w14:paraId="560CE53C" w14:textId="47C30F3B" w:rsidR="000756D1" w:rsidRPr="00894C38" w:rsidRDefault="000756D1">
      <w:pPr>
        <w:spacing w:after="12" w:line="243" w:lineRule="auto"/>
        <w:ind w:left="720" w:right="4333" w:firstLine="0"/>
        <w:rPr>
          <w:rFonts w:eastAsia="Arial"/>
        </w:rPr>
      </w:pPr>
    </w:p>
    <w:p w14:paraId="212C1B82" w14:textId="3428123C" w:rsidR="000756D1" w:rsidRPr="00894C38" w:rsidRDefault="000756D1">
      <w:pPr>
        <w:spacing w:after="12" w:line="243" w:lineRule="auto"/>
        <w:ind w:left="720" w:right="4333" w:firstLine="0"/>
        <w:rPr>
          <w:rFonts w:eastAsia="Arial"/>
        </w:rPr>
      </w:pPr>
    </w:p>
    <w:p w14:paraId="005050A2" w14:textId="6A7BB58B" w:rsidR="000756D1" w:rsidRPr="00894C38" w:rsidRDefault="000756D1">
      <w:pPr>
        <w:spacing w:after="12" w:line="243" w:lineRule="auto"/>
        <w:ind w:left="720" w:right="4333" w:firstLine="0"/>
        <w:rPr>
          <w:rFonts w:eastAsia="Arial"/>
        </w:rPr>
      </w:pPr>
    </w:p>
    <w:p w14:paraId="26F096F9" w14:textId="56708D14" w:rsidR="000756D1" w:rsidRPr="00894C38" w:rsidRDefault="000756D1">
      <w:pPr>
        <w:spacing w:after="12" w:line="243" w:lineRule="auto"/>
        <w:ind w:left="720" w:right="4333" w:firstLine="0"/>
        <w:rPr>
          <w:rFonts w:eastAsia="Arial"/>
        </w:rPr>
      </w:pPr>
    </w:p>
    <w:p w14:paraId="36E10F68" w14:textId="7318EC22" w:rsidR="000756D1" w:rsidRPr="00894C38" w:rsidRDefault="000756D1">
      <w:pPr>
        <w:spacing w:after="12" w:line="243" w:lineRule="auto"/>
        <w:ind w:left="720" w:right="4333" w:firstLine="0"/>
        <w:rPr>
          <w:rFonts w:eastAsia="Arial"/>
        </w:rPr>
      </w:pPr>
    </w:p>
    <w:p w14:paraId="1E27CF03" w14:textId="2CEAFC0F" w:rsidR="000756D1" w:rsidRPr="00894C38" w:rsidRDefault="000756D1">
      <w:pPr>
        <w:spacing w:after="12" w:line="243" w:lineRule="auto"/>
        <w:ind w:left="720" w:right="4333" w:firstLine="0"/>
        <w:rPr>
          <w:rFonts w:eastAsia="Arial"/>
        </w:rPr>
      </w:pPr>
    </w:p>
    <w:p w14:paraId="4DD4A19E" w14:textId="7148FFE4" w:rsidR="000756D1" w:rsidRPr="00894C38" w:rsidRDefault="000756D1">
      <w:pPr>
        <w:spacing w:after="12" w:line="243" w:lineRule="auto"/>
        <w:ind w:left="720" w:right="4333" w:firstLine="0"/>
        <w:rPr>
          <w:rFonts w:eastAsia="Arial"/>
        </w:rPr>
      </w:pPr>
    </w:p>
    <w:p w14:paraId="188DB156" w14:textId="0ED8EC1D" w:rsidR="000756D1" w:rsidRPr="00894C38" w:rsidRDefault="000756D1">
      <w:pPr>
        <w:spacing w:after="12" w:line="243" w:lineRule="auto"/>
        <w:ind w:left="720" w:right="4333" w:firstLine="0"/>
        <w:rPr>
          <w:rFonts w:eastAsia="Arial"/>
        </w:rPr>
      </w:pPr>
    </w:p>
    <w:p w14:paraId="32E6CD08" w14:textId="6E84528D" w:rsidR="000756D1" w:rsidRPr="00894C38" w:rsidRDefault="000756D1">
      <w:pPr>
        <w:spacing w:after="12" w:line="243" w:lineRule="auto"/>
        <w:ind w:left="720" w:right="4333" w:firstLine="0"/>
        <w:rPr>
          <w:rFonts w:eastAsia="Arial"/>
        </w:rPr>
      </w:pPr>
    </w:p>
    <w:p w14:paraId="4E26F14A" w14:textId="0DEFEBD2" w:rsidR="00B56D50" w:rsidRDefault="001C3C42" w:rsidP="00AE5FA2">
      <w:pPr>
        <w:spacing w:before="240" w:after="0" w:line="259" w:lineRule="auto"/>
        <w:ind w:left="0" w:right="0" w:firstLine="0"/>
        <w:jc w:val="center"/>
      </w:pPr>
      <w:r>
        <w:rPr>
          <w:rFonts w:ascii="Calibri" w:eastAsia="Calibri" w:hAnsi="Calibri" w:cs="Calibri"/>
          <w:noProof/>
        </w:rPr>
        <w:lastRenderedPageBreak/>
        <mc:AlternateContent>
          <mc:Choice Requires="wpg">
            <w:drawing>
              <wp:anchor distT="0" distB="0" distL="114300" distR="114300" simplePos="0" relativeHeight="251658240" behindDoc="0" locked="0" layoutInCell="1" allowOverlap="1" wp14:anchorId="7EEE86AB" wp14:editId="4A339D7F">
                <wp:simplePos x="0" y="0"/>
                <wp:positionH relativeFrom="column">
                  <wp:posOffset>8255</wp:posOffset>
                </wp:positionH>
                <wp:positionV relativeFrom="paragraph">
                  <wp:posOffset>120650</wp:posOffset>
                </wp:positionV>
                <wp:extent cx="6645910" cy="50800"/>
                <wp:effectExtent l="0" t="0" r="2540" b="6350"/>
                <wp:wrapTopAndBottom/>
                <wp:docPr id="634106" name="Group 634106"/>
                <wp:cNvGraphicFramePr/>
                <a:graphic xmlns:a="http://schemas.openxmlformats.org/drawingml/2006/main">
                  <a:graphicData uri="http://schemas.microsoft.com/office/word/2010/wordprocessingGroup">
                    <wpg:wgp>
                      <wpg:cNvGrpSpPr/>
                      <wpg:grpSpPr>
                        <a:xfrm>
                          <a:off x="0" y="0"/>
                          <a:ext cx="6645910" cy="50800"/>
                          <a:chOff x="0" y="0"/>
                          <a:chExt cx="6217920" cy="57150"/>
                        </a:xfrm>
                      </wpg:grpSpPr>
                      <wps:wsp>
                        <wps:cNvPr id="899803" name="Shape 899803"/>
                        <wps:cNvSpPr/>
                        <wps:spPr>
                          <a:xfrm>
                            <a:off x="0" y="45720"/>
                            <a:ext cx="6217920" cy="11430"/>
                          </a:xfrm>
                          <a:custGeom>
                            <a:avLst/>
                            <a:gdLst/>
                            <a:ahLst/>
                            <a:cxnLst/>
                            <a:rect l="0" t="0" r="0" b="0"/>
                            <a:pathLst>
                              <a:path w="6217920" h="11430">
                                <a:moveTo>
                                  <a:pt x="0" y="0"/>
                                </a:moveTo>
                                <a:lnTo>
                                  <a:pt x="6217920" y="0"/>
                                </a:lnTo>
                                <a:lnTo>
                                  <a:pt x="6217920" y="11430"/>
                                </a:lnTo>
                                <a:lnTo>
                                  <a:pt x="0" y="114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9804" name="Shape 899804"/>
                        <wps:cNvSpPr/>
                        <wps:spPr>
                          <a:xfrm>
                            <a:off x="0" y="0"/>
                            <a:ext cx="6217920" cy="34290"/>
                          </a:xfrm>
                          <a:custGeom>
                            <a:avLst/>
                            <a:gdLst/>
                            <a:ahLst/>
                            <a:cxnLst/>
                            <a:rect l="0" t="0" r="0" b="0"/>
                            <a:pathLst>
                              <a:path w="6217920" h="34290">
                                <a:moveTo>
                                  <a:pt x="0" y="0"/>
                                </a:moveTo>
                                <a:lnTo>
                                  <a:pt x="6217920" y="0"/>
                                </a:lnTo>
                                <a:lnTo>
                                  <a:pt x="6217920" y="34290"/>
                                </a:lnTo>
                                <a:lnTo>
                                  <a:pt x="0" y="3429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14:sizeRelH relativeFrom="margin">
                  <wp14:pctWidth>0</wp14:pctWidth>
                </wp14:sizeRelH>
                <wp14:sizeRelV relativeFrom="margin">
                  <wp14:pctHeight>0</wp14:pctHeight>
                </wp14:sizeRelV>
              </wp:anchor>
            </w:drawing>
          </mc:Choice>
          <mc:Fallback xmlns:arto="http://schemas.microsoft.com/office/word/2006/arto">
            <w:pict>
              <v:group w14:anchorId="38843DA3" id="Group 634106" o:spid="_x0000_s1026" style="position:absolute;margin-left:.65pt;margin-top:9.5pt;width:523.3pt;height:4pt;z-index:251658240;mso-width-relative:margin;mso-height-relative:margin" coordsize="62179,5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">
                <v:shape id="Shape 899803" o:spid="_x0000_s1027" style="position:absolute;top:457;width:62179;height:114;visibility:visible;mso-wrap-style:square;v-text-anchor:top" coordsize="6217920,114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" path="m,l6217920,r,11430l,11430,,e" fillcolor="black" stroked="f" strokeweight="0">
                  <v:stroke miterlimit="83231f" joinstyle="miter"/>
                  <v:path arrowok="t" textboxrect="0,0,6217920,11430"/>
                </v:shape>
                <v:shape id="Shape 899804" o:spid="_x0000_s1028" style="position:absolute;width:62179;height:342;visibility:visible;mso-wrap-style:square;v-text-anchor:top" coordsize="6217920,34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" path="m,l6217920,r,34290l,34290,,e" fillcolor="black" stroked="f" strokeweight="0">
                  <v:stroke miterlimit="83231f" joinstyle="miter"/>
                  <v:path arrowok="t" textboxrect="0,0,6217920,34290"/>
                </v:shape>
                <w10:wrap type="topAndBottom"/>
              </v:group>
            </w:pict>
          </mc:Fallback>
        </mc:AlternateContent>
      </w:r>
      <w:r w:rsidRPr="002D076A">
        <w:t xml:space="preserve">X.  PERSONNEL REQUIREMENTS </w:t>
      </w:r>
    </w:p>
    <w:p w14:paraId="6D00881C" w14:textId="5F19285F" w:rsidR="00B56D50" w:rsidRDefault="001C3C42" w:rsidP="00AA497C">
      <w:pPr>
        <w:spacing w:after="26" w:line="259" w:lineRule="auto"/>
        <w:ind w:left="0" w:right="0" w:firstLine="0"/>
      </w:pPr>
      <w:r>
        <w:rPr>
          <w:rFonts w:ascii="Calibri" w:eastAsia="Calibri" w:hAnsi="Calibri" w:cs="Calibri"/>
          <w:noProof/>
        </w:rPr>
        <mc:AlternateContent>
          <mc:Choice Requires="wpg">
            <w:drawing>
              <wp:anchor distT="0" distB="0" distL="114300" distR="114300" simplePos="0" relativeHeight="251658242" behindDoc="0" locked="0" layoutInCell="1" allowOverlap="1" wp14:anchorId="721C009E" wp14:editId="6A168E9B">
                <wp:simplePos x="0" y="0"/>
                <wp:positionH relativeFrom="column">
                  <wp:posOffset>1270</wp:posOffset>
                </wp:positionH>
                <wp:positionV relativeFrom="paragraph">
                  <wp:posOffset>113665</wp:posOffset>
                </wp:positionV>
                <wp:extent cx="6652260" cy="50800"/>
                <wp:effectExtent l="0" t="0" r="0" b="6350"/>
                <wp:wrapTopAndBottom/>
                <wp:docPr id="634107" name="Group 634107"/>
                <wp:cNvGraphicFramePr/>
                <a:graphic xmlns:a="http://schemas.openxmlformats.org/drawingml/2006/main">
                  <a:graphicData uri="http://schemas.microsoft.com/office/word/2010/wordprocessingGroup">
                    <wpg:wgp>
                      <wpg:cNvGrpSpPr/>
                      <wpg:grpSpPr>
                        <a:xfrm>
                          <a:off x="0" y="0"/>
                          <a:ext cx="6652260" cy="50800"/>
                          <a:chOff x="0" y="0"/>
                          <a:chExt cx="6217920" cy="57150"/>
                        </a:xfrm>
                      </wpg:grpSpPr>
                      <wps:wsp>
                        <wps:cNvPr id="899805" name="Shape 899805"/>
                        <wps:cNvSpPr/>
                        <wps:spPr>
                          <a:xfrm>
                            <a:off x="0" y="22861"/>
                            <a:ext cx="6217920" cy="34289"/>
                          </a:xfrm>
                          <a:custGeom>
                            <a:avLst/>
                            <a:gdLst/>
                            <a:ahLst/>
                            <a:cxnLst/>
                            <a:rect l="0" t="0" r="0" b="0"/>
                            <a:pathLst>
                              <a:path w="6217920" h="34289">
                                <a:moveTo>
                                  <a:pt x="0" y="0"/>
                                </a:moveTo>
                                <a:lnTo>
                                  <a:pt x="6217920" y="0"/>
                                </a:lnTo>
                                <a:lnTo>
                                  <a:pt x="6217920" y="34289"/>
                                </a:lnTo>
                                <a:lnTo>
                                  <a:pt x="0" y="3428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9806" name="Shape 899806"/>
                        <wps:cNvSpPr/>
                        <wps:spPr>
                          <a:xfrm>
                            <a:off x="0" y="0"/>
                            <a:ext cx="6217920" cy="11430"/>
                          </a:xfrm>
                          <a:custGeom>
                            <a:avLst/>
                            <a:gdLst/>
                            <a:ahLst/>
                            <a:cxnLst/>
                            <a:rect l="0" t="0" r="0" b="0"/>
                            <a:pathLst>
                              <a:path w="6217920" h="11430">
                                <a:moveTo>
                                  <a:pt x="0" y="0"/>
                                </a:moveTo>
                                <a:lnTo>
                                  <a:pt x="6217920" y="0"/>
                                </a:lnTo>
                                <a:lnTo>
                                  <a:pt x="6217920" y="11430"/>
                                </a:lnTo>
                                <a:lnTo>
                                  <a:pt x="0" y="114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14:sizeRelV relativeFrom="margin">
                  <wp14:pctHeight>0</wp14:pctHeight>
                </wp14:sizeRelV>
              </wp:anchor>
            </w:drawing>
          </mc:Choice>
          <mc:Fallback xmlns:arto="http://schemas.microsoft.com/office/word/2006/arto">
            <w:pict>
              <v:group w14:anchorId="15D26AC1" id="Group 634107" o:spid="_x0000_s1026" style="position:absolute;margin-left:.1pt;margin-top:8.95pt;width:523.8pt;height:4pt;z-index:251658242;mso-height-relative:margin" coordsize="62179,5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">
                <v:shape id="Shape 899805" o:spid="_x0000_s1027" style="position:absolute;top:228;width:62179;height:343;visibility:visible;mso-wrap-style:square;v-text-anchor:top" coordsize="6217920,342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" path="m,l6217920,r,34289l,34289,,e" fillcolor="black" stroked="f" strokeweight="0">
                  <v:stroke miterlimit="83231f" joinstyle="miter"/>
                  <v:path arrowok="t" textboxrect="0,0,6217920,34289"/>
                </v:shape>
                <v:shape id="Shape 899806" o:spid="_x0000_s1028" style="position:absolute;width:62179;height:114;visibility:visible;mso-wrap-style:square;v-text-anchor:top" coordsize="6217920,114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" path="m,l6217920,r,11430l,11430,,e" fillcolor="black" stroked="f" strokeweight="0">
                  <v:stroke miterlimit="83231f" joinstyle="miter"/>
                  <v:path arrowok="t" textboxrect="0,0,6217920,11430"/>
                </v:shape>
                <w10:wrap type="topAndBottom"/>
              </v:group>
            </w:pict>
          </mc:Fallback>
        </mc:AlternateContent>
      </w:r>
      <w:r>
        <w:rPr>
          <w:rFonts w:ascii="Cambria" w:eastAsia="Cambria" w:hAnsi="Cambria" w:cs="Cambria"/>
          <w:color w:val="365F91"/>
        </w:rPr>
        <w:t xml:space="preserve"> </w:t>
      </w:r>
    </w:p>
    <w:p w14:paraId="48727C2E" w14:textId="77777777" w:rsidR="00B56D50" w:rsidRDefault="001C3C42">
      <w:pPr>
        <w:pStyle w:val="Heading5"/>
        <w:spacing w:after="4" w:line="249" w:lineRule="auto"/>
        <w:ind w:left="910"/>
        <w:jc w:val="left"/>
      </w:pPr>
      <w:r>
        <w:t>A.</w:t>
      </w:r>
      <w:r>
        <w:rPr>
          <w:rFonts w:ascii="Arial" w:eastAsia="Arial" w:hAnsi="Arial" w:cs="Arial"/>
        </w:rPr>
        <w:t xml:space="preserve"> </w:t>
      </w:r>
      <w:r>
        <w:rPr>
          <w:u w:val="single" w:color="000000"/>
        </w:rPr>
        <w:t>General Requirements for Contractor’s Staff</w:t>
      </w:r>
      <w:r>
        <w:t xml:space="preserve"> </w:t>
      </w:r>
    </w:p>
    <w:p w14:paraId="6B12BAAA" w14:textId="77777777" w:rsidR="00B56D50" w:rsidRDefault="001C3C42">
      <w:pPr>
        <w:spacing w:after="0" w:line="259" w:lineRule="auto"/>
        <w:ind w:left="540" w:right="0" w:firstLine="0"/>
      </w:pPr>
      <w:r>
        <w:rPr>
          <w:rFonts w:ascii="Arial" w:eastAsia="Arial" w:hAnsi="Arial" w:cs="Arial"/>
        </w:rPr>
        <w:t xml:space="preserve"> </w:t>
      </w:r>
    </w:p>
    <w:p w14:paraId="488FF050" w14:textId="7658A8BD" w:rsidR="00B56D50" w:rsidRDefault="001C3C42" w:rsidP="00710887">
      <w:pPr>
        <w:ind w:left="1170" w:right="255"/>
      </w:pPr>
      <w:r>
        <w:t xml:space="preserve">The Contractor shall, </w:t>
      </w:r>
      <w:proofErr w:type="gramStart"/>
      <w:r>
        <w:t>at all times</w:t>
      </w:r>
      <w:proofErr w:type="gramEnd"/>
      <w:r>
        <w:t xml:space="preserve"> during the performance of the contract, have adequate personnel to ensure that the State receives data that meet the terms and conditions of the Contract, and </w:t>
      </w:r>
      <w:r w:rsidR="00622249">
        <w:t>these Technical</w:t>
      </w:r>
      <w:r>
        <w:t xml:space="preserve"> Specifications.</w:t>
      </w:r>
      <w:r>
        <w:rPr>
          <w:b/>
        </w:rPr>
        <w:t xml:space="preserve"> </w:t>
      </w:r>
    </w:p>
    <w:p w14:paraId="5502FDE9" w14:textId="77777777" w:rsidR="00B56D50" w:rsidRDefault="001C3C42" w:rsidP="00710887">
      <w:pPr>
        <w:spacing w:after="15" w:line="259" w:lineRule="auto"/>
        <w:ind w:left="1170" w:right="0" w:firstLine="0"/>
      </w:pPr>
      <w:r>
        <w:rPr>
          <w:b/>
        </w:rPr>
        <w:t xml:space="preserve"> </w:t>
      </w:r>
    </w:p>
    <w:p w14:paraId="6ED3AD1B" w14:textId="69A8F71A" w:rsidR="00B56D50" w:rsidRDefault="001C3C42" w:rsidP="00710887">
      <w:pPr>
        <w:ind w:left="1170" w:right="255"/>
      </w:pPr>
      <w:r>
        <w:t xml:space="preserve">All Contractor’s staff working on State projects shall have the necessary education, training, </w:t>
      </w:r>
      <w:r w:rsidR="003520A7">
        <w:t>technical knowledge</w:t>
      </w:r>
      <w:r>
        <w:t>, and experience for their assigned functions.</w:t>
      </w:r>
      <w:r>
        <w:rPr>
          <w:b/>
        </w:rPr>
        <w:t xml:space="preserve"> </w:t>
      </w:r>
    </w:p>
    <w:p w14:paraId="49A4E05D" w14:textId="77777777" w:rsidR="00B56D50" w:rsidRDefault="001C3C42" w:rsidP="00710887">
      <w:pPr>
        <w:spacing w:after="14" w:line="259" w:lineRule="auto"/>
        <w:ind w:left="1170" w:right="0" w:firstLine="0"/>
      </w:pPr>
      <w:r>
        <w:rPr>
          <w:b/>
        </w:rPr>
        <w:t xml:space="preserve"> </w:t>
      </w:r>
    </w:p>
    <w:p w14:paraId="55403DDB" w14:textId="2BE9D90F" w:rsidR="00B56D50" w:rsidRDefault="003520A7" w:rsidP="00710887">
      <w:pPr>
        <w:ind w:left="1170" w:right="255"/>
      </w:pPr>
      <w:r>
        <w:t>All</w:t>
      </w:r>
      <w:r w:rsidR="001C3C42">
        <w:t xml:space="preserve"> the Contractor’s staff working on State projects shall be responsible for complying with all QA/QC requirements that pertain to their organizational/technical function.  </w:t>
      </w:r>
      <w:proofErr w:type="gramStart"/>
      <w:r w:rsidR="001C3C42">
        <w:t>Each such</w:t>
      </w:r>
      <w:proofErr w:type="gramEnd"/>
      <w:r w:rsidR="001C3C42">
        <w:t xml:space="preserve"> technical </w:t>
      </w:r>
      <w:r w:rsidR="00210569">
        <w:t>staff member</w:t>
      </w:r>
      <w:r w:rsidR="001C3C42">
        <w:t xml:space="preserve"> must have a combination of experience and education to adequately demonstrate a </w:t>
      </w:r>
      <w:r w:rsidR="00706E36">
        <w:t>specific knowledge</w:t>
      </w:r>
      <w:r w:rsidR="001C3C42">
        <w:t xml:space="preserve"> of their </w:t>
      </w:r>
      <w:proofErr w:type="gramStart"/>
      <w:r w:rsidR="001C3C42">
        <w:t>particular function</w:t>
      </w:r>
      <w:proofErr w:type="gramEnd"/>
      <w:r w:rsidR="001C3C42">
        <w:t xml:space="preserve"> and a general knowledge of laboratory operations, test </w:t>
      </w:r>
      <w:r w:rsidR="00706E36">
        <w:t>methods, quality</w:t>
      </w:r>
      <w:r w:rsidR="001C3C42">
        <w:t xml:space="preserve"> assurance/quality control procedures, and records management. </w:t>
      </w:r>
    </w:p>
    <w:p w14:paraId="1ADAC284" w14:textId="77777777" w:rsidR="00CE05DA" w:rsidRDefault="00CE05DA" w:rsidP="00710887">
      <w:pPr>
        <w:ind w:left="1170" w:right="255"/>
      </w:pPr>
    </w:p>
    <w:p w14:paraId="1CE6319C" w14:textId="7A9C6EAA" w:rsidR="00CE05DA" w:rsidRDefault="00CE05DA" w:rsidP="00710887">
      <w:pPr>
        <w:ind w:left="1170" w:right="255"/>
      </w:pPr>
      <w:r>
        <w:t>The Contractor’s staff shall be made avail</w:t>
      </w:r>
      <w:r w:rsidR="00B462E5">
        <w:t>able to explain reports and be able to provide expert testimony</w:t>
      </w:r>
      <w:r w:rsidR="00592311">
        <w:t>, upon request of the State.</w:t>
      </w:r>
    </w:p>
    <w:p w14:paraId="1C91CDE2" w14:textId="77777777" w:rsidR="00B56D50" w:rsidRDefault="001C3C42">
      <w:pPr>
        <w:spacing w:after="0" w:line="259" w:lineRule="auto"/>
        <w:ind w:left="540" w:right="0" w:firstLine="0"/>
      </w:pPr>
      <w:r>
        <w:rPr>
          <w:b/>
        </w:rPr>
        <w:t xml:space="preserve"> </w:t>
      </w:r>
    </w:p>
    <w:p w14:paraId="209409FB" w14:textId="77777777" w:rsidR="00B56D50" w:rsidRDefault="001C3C42">
      <w:pPr>
        <w:pStyle w:val="Heading5"/>
        <w:spacing w:after="4" w:line="249" w:lineRule="auto"/>
        <w:ind w:left="910"/>
        <w:jc w:val="left"/>
      </w:pPr>
      <w:r>
        <w:t>B.</w:t>
      </w:r>
      <w:r>
        <w:rPr>
          <w:rFonts w:ascii="Arial" w:eastAsia="Arial" w:hAnsi="Arial" w:cs="Arial"/>
        </w:rPr>
        <w:t xml:space="preserve"> </w:t>
      </w:r>
      <w:r>
        <w:rPr>
          <w:u w:val="single" w:color="000000"/>
        </w:rPr>
        <w:t>Specific Requirements for Key Personnel</w:t>
      </w:r>
      <w:r>
        <w:t xml:space="preserve"> </w:t>
      </w:r>
    </w:p>
    <w:p w14:paraId="6A4FA278" w14:textId="77777777" w:rsidR="00B56D50" w:rsidRDefault="001C3C42">
      <w:pPr>
        <w:spacing w:after="0" w:line="259" w:lineRule="auto"/>
        <w:ind w:left="540" w:right="0" w:firstLine="0"/>
      </w:pPr>
      <w:r>
        <w:rPr>
          <w:b/>
        </w:rPr>
        <w:t xml:space="preserve"> </w:t>
      </w:r>
    </w:p>
    <w:p w14:paraId="0C18CFF5" w14:textId="3A67146A" w:rsidR="00B56D50" w:rsidRDefault="001C3C42" w:rsidP="00093377">
      <w:pPr>
        <w:pStyle w:val="ListParagraph"/>
        <w:numPr>
          <w:ilvl w:val="0"/>
          <w:numId w:val="73"/>
        </w:numPr>
        <w:ind w:right="255"/>
      </w:pPr>
      <w:r>
        <w:t>The Contractor shall designate key personnel who will be responsible for work undertaken under the State laboratory services contract.  Resumes of key personnel must be supplied to the State.  All key personnel designations are subject to State approval.  The positions to be designated include the following:</w:t>
      </w:r>
      <w:r w:rsidRPr="00C71E34">
        <w:rPr>
          <w:b/>
        </w:rPr>
        <w:t xml:space="preserve"> </w:t>
      </w:r>
    </w:p>
    <w:p w14:paraId="2EEE8EDF" w14:textId="03339BC6" w:rsidR="00B56D50" w:rsidRDefault="001C3C42">
      <w:pPr>
        <w:spacing w:after="0" w:line="259" w:lineRule="auto"/>
        <w:ind w:left="1080" w:right="0" w:firstLine="0"/>
      </w:pPr>
      <w:r>
        <w:t xml:space="preserve"> </w:t>
      </w:r>
    </w:p>
    <w:p w14:paraId="6DEBACFB" w14:textId="70F1494D" w:rsidR="00A31B6E" w:rsidRDefault="00843DF4" w:rsidP="00093377">
      <w:pPr>
        <w:pStyle w:val="ListParagraph"/>
        <w:numPr>
          <w:ilvl w:val="0"/>
          <w:numId w:val="72"/>
        </w:numPr>
        <w:spacing w:after="0" w:line="259" w:lineRule="auto"/>
        <w:ind w:right="0"/>
      </w:pPr>
      <w:r>
        <w:t>Technical Director(s)</w:t>
      </w:r>
    </w:p>
    <w:p w14:paraId="73961458" w14:textId="43DB0D7B" w:rsidR="00843DF4" w:rsidRDefault="00843DF4" w:rsidP="00093377">
      <w:pPr>
        <w:pStyle w:val="ListParagraph"/>
        <w:numPr>
          <w:ilvl w:val="0"/>
          <w:numId w:val="72"/>
        </w:numPr>
        <w:spacing w:after="0" w:line="259" w:lineRule="auto"/>
        <w:ind w:right="0"/>
      </w:pPr>
      <w:r>
        <w:t>Quality Assurance Office</w:t>
      </w:r>
    </w:p>
    <w:p w14:paraId="75F02F38" w14:textId="643764EA" w:rsidR="00C33DD5" w:rsidRDefault="00843DF4" w:rsidP="00093377">
      <w:pPr>
        <w:pStyle w:val="ListParagraph"/>
        <w:numPr>
          <w:ilvl w:val="0"/>
          <w:numId w:val="72"/>
        </w:numPr>
        <w:spacing w:after="0" w:line="259" w:lineRule="auto"/>
        <w:ind w:right="0"/>
      </w:pPr>
      <w:r>
        <w:t>Technical Director(s)</w:t>
      </w:r>
      <w:r w:rsidR="00922B20">
        <w:t xml:space="preserve"> </w:t>
      </w:r>
      <w:r w:rsidR="00ED431A">
        <w:t>for the State Contract</w:t>
      </w:r>
    </w:p>
    <w:p w14:paraId="55BEFA93" w14:textId="62125010" w:rsidR="00ED431A" w:rsidRDefault="00F92B02" w:rsidP="00093377">
      <w:pPr>
        <w:pStyle w:val="ListParagraph"/>
        <w:numPr>
          <w:ilvl w:val="0"/>
          <w:numId w:val="72"/>
        </w:numPr>
        <w:spacing w:after="0" w:line="259" w:lineRule="auto"/>
        <w:ind w:right="0"/>
      </w:pPr>
      <w:r>
        <w:t>Laboratory Information Management System (LIMS) Administrator</w:t>
      </w:r>
    </w:p>
    <w:p w14:paraId="5137DE44" w14:textId="54E8CBF7" w:rsidR="00F92B02" w:rsidRDefault="00C33DD5" w:rsidP="00093377">
      <w:pPr>
        <w:pStyle w:val="ListParagraph"/>
        <w:numPr>
          <w:ilvl w:val="0"/>
          <w:numId w:val="72"/>
        </w:numPr>
        <w:spacing w:after="0" w:line="259" w:lineRule="auto"/>
        <w:ind w:right="0"/>
      </w:pPr>
      <w:r>
        <w:t>Laboratory Supervisors or Group Leaders (responsible for the testing areas applicable to the contract)</w:t>
      </w:r>
    </w:p>
    <w:p w14:paraId="01E5ADE2" w14:textId="03640AC4" w:rsidR="00C33DD5" w:rsidRDefault="00670C0D" w:rsidP="00093377">
      <w:pPr>
        <w:pStyle w:val="ListParagraph"/>
        <w:numPr>
          <w:ilvl w:val="0"/>
          <w:numId w:val="72"/>
        </w:numPr>
        <w:spacing w:after="0" w:line="259" w:lineRule="auto"/>
        <w:ind w:right="0"/>
      </w:pPr>
      <w:r>
        <w:t>Lead Analyst(s)</w:t>
      </w:r>
    </w:p>
    <w:p w14:paraId="6F431969" w14:textId="77777777" w:rsidR="00E7286F" w:rsidRDefault="00E7286F" w:rsidP="00670C0D">
      <w:pPr>
        <w:pStyle w:val="Heading6"/>
        <w:ind w:left="1080"/>
      </w:pPr>
    </w:p>
    <w:p w14:paraId="19AB557E" w14:textId="77777777" w:rsidR="00B56D50" w:rsidRDefault="001C3C42" w:rsidP="00093377">
      <w:pPr>
        <w:numPr>
          <w:ilvl w:val="0"/>
          <w:numId w:val="18"/>
        </w:numPr>
        <w:ind w:right="255" w:hanging="360"/>
      </w:pPr>
      <w:r>
        <w:t>The Technical Director, Quality Assurance Officer, Project Manager, and Laboratory Supervisors must have the qualifications:</w:t>
      </w:r>
      <w:r>
        <w:rPr>
          <w:b/>
        </w:rPr>
        <w:t xml:space="preserve"> </w:t>
      </w:r>
    </w:p>
    <w:p w14:paraId="5CFB8C34" w14:textId="77777777" w:rsidR="00B56D50" w:rsidRDefault="001C3C42">
      <w:pPr>
        <w:spacing w:after="0" w:line="259" w:lineRule="auto"/>
        <w:ind w:left="1080" w:right="0" w:firstLine="0"/>
      </w:pPr>
      <w:r>
        <w:t xml:space="preserve"> </w:t>
      </w:r>
    </w:p>
    <w:p w14:paraId="393E8108" w14:textId="12093E91" w:rsidR="00B56D50" w:rsidRDefault="001C3C42" w:rsidP="00093377">
      <w:pPr>
        <w:numPr>
          <w:ilvl w:val="1"/>
          <w:numId w:val="18"/>
        </w:numPr>
        <w:ind w:left="1800" w:right="255" w:hanging="360"/>
      </w:pPr>
      <w:r>
        <w:t xml:space="preserve">A </w:t>
      </w:r>
      <w:r w:rsidR="003520A7">
        <w:t>bachelor’s</w:t>
      </w:r>
      <w:r>
        <w:t xml:space="preserve"> degree in </w:t>
      </w:r>
      <w:proofErr w:type="gramStart"/>
      <w:r>
        <w:t>the chemical</w:t>
      </w:r>
      <w:proofErr w:type="gramEnd"/>
      <w:r>
        <w:t xml:space="preserve">, environmental, biological, or physical sciences or </w:t>
      </w:r>
      <w:r w:rsidR="003520A7">
        <w:t>engineering.</w:t>
      </w:r>
      <w:r>
        <w:rPr>
          <w:b/>
        </w:rPr>
        <w:t xml:space="preserve"> </w:t>
      </w:r>
    </w:p>
    <w:p w14:paraId="2DE8D717" w14:textId="77777777" w:rsidR="00B56D50" w:rsidRDefault="001C3C42" w:rsidP="00093377">
      <w:pPr>
        <w:numPr>
          <w:ilvl w:val="1"/>
          <w:numId w:val="18"/>
        </w:numPr>
        <w:ind w:left="1800" w:right="255" w:hanging="360"/>
      </w:pPr>
      <w:r>
        <w:t>A minimum of two years of experience in the appropriate area of environmental analysis for which they are responsible.</w:t>
      </w:r>
      <w:r>
        <w:rPr>
          <w:b/>
        </w:rPr>
        <w:t xml:space="preserve"> </w:t>
      </w:r>
    </w:p>
    <w:p w14:paraId="1398E94B" w14:textId="77777777" w:rsidR="00710887" w:rsidRDefault="00710887">
      <w:pPr>
        <w:spacing w:after="0" w:line="259" w:lineRule="auto"/>
        <w:ind w:left="1440" w:right="0" w:firstLine="0"/>
      </w:pPr>
    </w:p>
    <w:p w14:paraId="344A1811" w14:textId="77777777" w:rsidR="00B56D50" w:rsidRDefault="001C3C42" w:rsidP="00093377">
      <w:pPr>
        <w:numPr>
          <w:ilvl w:val="0"/>
          <w:numId w:val="18"/>
        </w:numPr>
        <w:ind w:right="255" w:hanging="360"/>
      </w:pPr>
      <w:r>
        <w:t>The LIMS Administrator must have the following qualifications:</w:t>
      </w:r>
      <w:r>
        <w:rPr>
          <w:b/>
        </w:rPr>
        <w:t xml:space="preserve"> </w:t>
      </w:r>
    </w:p>
    <w:p w14:paraId="198A01D8" w14:textId="77777777" w:rsidR="00B56D50" w:rsidRDefault="001C3C42">
      <w:pPr>
        <w:spacing w:after="0" w:line="259" w:lineRule="auto"/>
        <w:ind w:left="540" w:right="0" w:firstLine="0"/>
      </w:pPr>
      <w:r>
        <w:t xml:space="preserve"> </w:t>
      </w:r>
    </w:p>
    <w:p w14:paraId="5E7581C0" w14:textId="021D7B48" w:rsidR="00B56D50" w:rsidRDefault="001C3C42" w:rsidP="00093377">
      <w:pPr>
        <w:numPr>
          <w:ilvl w:val="1"/>
          <w:numId w:val="18"/>
        </w:numPr>
        <w:ind w:left="1800" w:right="255" w:hanging="360"/>
      </w:pPr>
      <w:r>
        <w:t xml:space="preserve">A </w:t>
      </w:r>
      <w:r w:rsidR="003520A7">
        <w:t>bachelor’s</w:t>
      </w:r>
      <w:r>
        <w:t xml:space="preserve"> degree in the computer sciences, or in one of the sciences listed in </w:t>
      </w:r>
      <w:r>
        <w:rPr>
          <w:b/>
        </w:rPr>
        <w:t>2.a.</w:t>
      </w:r>
      <w:r>
        <w:t>, above, or in engineering; and</w:t>
      </w:r>
    </w:p>
    <w:p w14:paraId="5CFF8B20" w14:textId="5D44837E" w:rsidR="00B56D50" w:rsidRDefault="001C3C42" w:rsidP="00093377">
      <w:pPr>
        <w:numPr>
          <w:ilvl w:val="1"/>
          <w:numId w:val="18"/>
        </w:numPr>
        <w:ind w:left="1800" w:right="255" w:hanging="360"/>
      </w:pPr>
      <w:r>
        <w:lastRenderedPageBreak/>
        <w:t xml:space="preserve">A minimum of two years of experience </w:t>
      </w:r>
      <w:proofErr w:type="gramStart"/>
      <w:r>
        <w:t>in the area of</w:t>
      </w:r>
      <w:proofErr w:type="gramEnd"/>
      <w:r>
        <w:t xml:space="preserve"> computer science, preferably in a LIMs environment.</w:t>
      </w:r>
    </w:p>
    <w:p w14:paraId="726E1938" w14:textId="73B6168B" w:rsidR="00B56D50" w:rsidRDefault="001C3C42">
      <w:pPr>
        <w:spacing w:after="0" w:line="259" w:lineRule="auto"/>
        <w:ind w:left="540" w:right="0" w:firstLine="0"/>
      </w:pPr>
      <w:r>
        <w:rPr>
          <w:b/>
        </w:rPr>
        <w:t xml:space="preserve">  </w:t>
      </w:r>
    </w:p>
    <w:p w14:paraId="04CA69E4" w14:textId="77777777" w:rsidR="00B56D50" w:rsidRDefault="001C3C42" w:rsidP="00093377">
      <w:pPr>
        <w:numPr>
          <w:ilvl w:val="0"/>
          <w:numId w:val="18"/>
        </w:numPr>
        <w:ind w:right="255" w:hanging="360"/>
      </w:pPr>
      <w:r>
        <w:t>Each lead analyst shall have the following qualifications:</w:t>
      </w:r>
      <w:r>
        <w:rPr>
          <w:b/>
        </w:rPr>
        <w:t xml:space="preserve"> </w:t>
      </w:r>
    </w:p>
    <w:p w14:paraId="644CFCB5" w14:textId="77777777" w:rsidR="00B56D50" w:rsidRDefault="001C3C42">
      <w:pPr>
        <w:spacing w:after="0" w:line="259" w:lineRule="auto"/>
        <w:ind w:left="540" w:right="0" w:firstLine="0"/>
      </w:pPr>
      <w:r>
        <w:t xml:space="preserve"> </w:t>
      </w:r>
    </w:p>
    <w:p w14:paraId="06BA54BE" w14:textId="754FE48E" w:rsidR="00B56D50" w:rsidRDefault="001C3C42" w:rsidP="00710887">
      <w:pPr>
        <w:pStyle w:val="Heading6"/>
        <w:ind w:left="1800" w:right="186" w:hanging="360"/>
      </w:pPr>
      <w:r>
        <w:t>a.    Identify each lead analyst, the areas of responsibility per analyst, and the level of education for the assigned testing area deemed appropriate by the Technical Director.</w:t>
      </w:r>
      <w:r>
        <w:rPr>
          <w:b w:val="0"/>
        </w:rPr>
        <w:t xml:space="preserve">  Preferably, this will be, at a minimum, an </w:t>
      </w:r>
      <w:r w:rsidR="003520A7">
        <w:rPr>
          <w:b w:val="0"/>
        </w:rPr>
        <w:t>associate</w:t>
      </w:r>
      <w:r>
        <w:rPr>
          <w:b w:val="0"/>
        </w:rPr>
        <w:t xml:space="preserve"> degree in the chemical, environmental, biological, or physical sciences or engineering </w:t>
      </w:r>
      <w:r w:rsidR="008415B0">
        <w:rPr>
          <w:b w:val="0"/>
        </w:rPr>
        <w:t>technology.</w:t>
      </w:r>
      <w:r>
        <w:t xml:space="preserve"> </w:t>
      </w:r>
    </w:p>
    <w:p w14:paraId="19013AC7" w14:textId="11F47713" w:rsidR="00B56D50" w:rsidRDefault="001C3C42" w:rsidP="00093377">
      <w:pPr>
        <w:numPr>
          <w:ilvl w:val="0"/>
          <w:numId w:val="19"/>
        </w:numPr>
        <w:ind w:left="1800" w:right="255" w:hanging="360"/>
      </w:pPr>
      <w:r>
        <w:t xml:space="preserve">Documented Demonstrations of Capability for all analyses and procedures in their area of     </w:t>
      </w:r>
      <w:r>
        <w:rPr>
          <w:b/>
        </w:rPr>
        <w:t xml:space="preserve"> </w:t>
      </w:r>
      <w:r>
        <w:t xml:space="preserve">    responsibility; and</w:t>
      </w:r>
    </w:p>
    <w:p w14:paraId="5F38B656" w14:textId="11557294" w:rsidR="00B56D50" w:rsidRDefault="001C3C42" w:rsidP="00093377">
      <w:pPr>
        <w:numPr>
          <w:ilvl w:val="0"/>
          <w:numId w:val="19"/>
        </w:numPr>
        <w:ind w:left="1800" w:right="255" w:hanging="360"/>
      </w:pPr>
      <w:r>
        <w:t xml:space="preserve">A minimum of one year of experience in the </w:t>
      </w:r>
      <w:proofErr w:type="gramStart"/>
      <w:r>
        <w:t>analyses</w:t>
      </w:r>
      <w:proofErr w:type="gramEnd"/>
      <w:r>
        <w:t xml:space="preserve"> that they will perform for the State </w:t>
      </w:r>
      <w:r>
        <w:rPr>
          <w:b/>
        </w:rPr>
        <w:t xml:space="preserve"> </w:t>
      </w:r>
      <w:r>
        <w:t xml:space="preserve">   contract.  At the Technical Director’s discretion, and with the State’s approval, a shorter period     experience may be appropriate for areas which do not revolve heavily on interpretation of data </w:t>
      </w:r>
      <w:proofErr w:type="gramStart"/>
      <w:r>
        <w:t xml:space="preserve"> </w:t>
      </w:r>
      <w:r w:rsidR="004D6B59">
        <w:t xml:space="preserve">  (</w:t>
      </w:r>
      <w:proofErr w:type="gramEnd"/>
      <w:r>
        <w:t>e.g., extraction/digestion).</w:t>
      </w:r>
      <w:r>
        <w:rPr>
          <w:b/>
        </w:rPr>
        <w:t xml:space="preserve"> </w:t>
      </w:r>
    </w:p>
    <w:p w14:paraId="1DB7FD7A" w14:textId="77777777" w:rsidR="00B56D50" w:rsidRDefault="001C3C42">
      <w:pPr>
        <w:spacing w:after="0" w:line="259" w:lineRule="auto"/>
        <w:ind w:left="540" w:right="0" w:firstLine="0"/>
      </w:pPr>
      <w:r>
        <w:rPr>
          <w:b/>
        </w:rPr>
        <w:t xml:space="preserve"> </w:t>
      </w:r>
    </w:p>
    <w:p w14:paraId="3683EAF1" w14:textId="77777777" w:rsidR="00B56D50" w:rsidRDefault="001C3C42">
      <w:pPr>
        <w:pStyle w:val="Heading7"/>
        <w:spacing w:after="4" w:line="249" w:lineRule="auto"/>
        <w:ind w:left="910"/>
      </w:pPr>
      <w:r>
        <w:t>C.</w:t>
      </w:r>
      <w:r>
        <w:rPr>
          <w:rFonts w:ascii="Arial" w:eastAsia="Arial" w:hAnsi="Arial" w:cs="Arial"/>
        </w:rPr>
        <w:t xml:space="preserve"> </w:t>
      </w:r>
      <w:r>
        <w:rPr>
          <w:u w:val="single" w:color="000000"/>
        </w:rPr>
        <w:t>Specific Requirements for All Analysts Performing Work for the State Contract</w:t>
      </w:r>
      <w:r>
        <w:t xml:space="preserve"> </w:t>
      </w:r>
    </w:p>
    <w:p w14:paraId="7DD8ED2C" w14:textId="77777777" w:rsidR="00B56D50" w:rsidRDefault="001C3C42">
      <w:pPr>
        <w:spacing w:after="0" w:line="259" w:lineRule="auto"/>
        <w:ind w:left="540" w:right="0" w:firstLine="0"/>
      </w:pPr>
      <w:r>
        <w:t xml:space="preserve"> </w:t>
      </w:r>
    </w:p>
    <w:p w14:paraId="060FB815" w14:textId="77777777" w:rsidR="00B56D50" w:rsidRDefault="001C3C42">
      <w:pPr>
        <w:ind w:left="1090" w:right="255"/>
      </w:pPr>
      <w:r>
        <w:t xml:space="preserve">All chemists and technicians performing analysis for the State must be fully trained in the procedures to which they are assigned.  This training must be documented in the Contractor’s training records as mandated by the Contractor’s Quality System.  The training records must be available for inspection by State auditors. </w:t>
      </w:r>
    </w:p>
    <w:p w14:paraId="2415C44A" w14:textId="746AE187" w:rsidR="00B56D50" w:rsidRDefault="00B56D50" w:rsidP="00710887">
      <w:pPr>
        <w:spacing w:after="0" w:line="259" w:lineRule="auto"/>
        <w:ind w:right="0"/>
      </w:pPr>
    </w:p>
    <w:p w14:paraId="15E292C3" w14:textId="77777777" w:rsidR="00710887" w:rsidRDefault="00710887" w:rsidP="00710887">
      <w:pPr>
        <w:spacing w:after="0" w:line="259" w:lineRule="auto"/>
        <w:ind w:right="0"/>
      </w:pPr>
    </w:p>
    <w:p w14:paraId="0F5516E8" w14:textId="77777777" w:rsidR="00710887" w:rsidRDefault="00710887" w:rsidP="00710887">
      <w:pPr>
        <w:spacing w:after="0" w:line="259" w:lineRule="auto"/>
        <w:ind w:right="0"/>
      </w:pPr>
    </w:p>
    <w:p w14:paraId="16533249" w14:textId="77777777" w:rsidR="00710887" w:rsidRDefault="00710887" w:rsidP="00710887">
      <w:pPr>
        <w:spacing w:after="0" w:line="259" w:lineRule="auto"/>
        <w:ind w:right="0"/>
      </w:pPr>
    </w:p>
    <w:p w14:paraId="7218095F" w14:textId="435AFEB0" w:rsidR="00B56D50" w:rsidRDefault="00B56D50" w:rsidP="00710887">
      <w:pPr>
        <w:spacing w:after="0" w:line="259" w:lineRule="auto"/>
        <w:ind w:right="0"/>
      </w:pPr>
    </w:p>
    <w:p w14:paraId="1F2C6E16" w14:textId="4F5E95BE" w:rsidR="00B56D50" w:rsidRDefault="001C3C42" w:rsidP="00710887">
      <w:pPr>
        <w:pStyle w:val="Heading5"/>
        <w:spacing w:after="16" w:line="247" w:lineRule="auto"/>
        <w:ind w:left="910" w:right="186"/>
      </w:pPr>
      <w:r>
        <w:t>THE REMAINDER OF THIS PAGE HAS BEEN LEFT BLANK INTENTIONALLY</w:t>
      </w:r>
    </w:p>
    <w:p w14:paraId="0687FD1D" w14:textId="1A15C560" w:rsidR="00B56D50" w:rsidRDefault="00B56D50" w:rsidP="00710887">
      <w:pPr>
        <w:spacing w:after="0" w:line="259" w:lineRule="auto"/>
        <w:ind w:right="0"/>
      </w:pPr>
    </w:p>
    <w:p w14:paraId="2A060113" w14:textId="5041AE8B" w:rsidR="00B56D50" w:rsidRDefault="00B56D50" w:rsidP="00710887">
      <w:pPr>
        <w:spacing w:after="0" w:line="259" w:lineRule="auto"/>
        <w:ind w:right="0"/>
      </w:pPr>
    </w:p>
    <w:p w14:paraId="436410F1" w14:textId="5EC72905" w:rsidR="00B56D50" w:rsidRDefault="00B56D50" w:rsidP="009E5E95">
      <w:pPr>
        <w:spacing w:after="0" w:line="239" w:lineRule="auto"/>
        <w:ind w:right="4778"/>
      </w:pPr>
    </w:p>
    <w:p w14:paraId="70EABBA0" w14:textId="02D1ECF5" w:rsidR="00B56D50" w:rsidRDefault="00B56D50" w:rsidP="009E5E95">
      <w:pPr>
        <w:spacing w:after="0" w:line="259" w:lineRule="auto"/>
        <w:ind w:right="0"/>
      </w:pPr>
    </w:p>
    <w:p w14:paraId="782CCD4D" w14:textId="4A7C1A0B" w:rsidR="00B56D50" w:rsidRPr="00075EAF" w:rsidRDefault="00B56D50" w:rsidP="009E5E95">
      <w:pPr>
        <w:spacing w:after="0" w:line="259" w:lineRule="auto"/>
        <w:ind w:right="0"/>
        <w:rPr>
          <w:rFonts w:ascii="Arial" w:eastAsia="Arial" w:hAnsi="Arial" w:cs="Arial"/>
        </w:rPr>
      </w:pPr>
    </w:p>
    <w:p w14:paraId="3419A485" w14:textId="56C94ED1" w:rsidR="004A7DB6" w:rsidRPr="00075EAF" w:rsidRDefault="004A7DB6" w:rsidP="009E5E95">
      <w:pPr>
        <w:spacing w:after="0" w:line="259" w:lineRule="auto"/>
        <w:ind w:right="0"/>
        <w:rPr>
          <w:rFonts w:ascii="Arial" w:eastAsia="Arial" w:hAnsi="Arial" w:cs="Arial"/>
        </w:rPr>
      </w:pPr>
    </w:p>
    <w:p w14:paraId="03E1933A" w14:textId="7FD9CFBD" w:rsidR="004A7DB6" w:rsidRPr="00075EAF" w:rsidRDefault="004A7DB6" w:rsidP="009E5E95">
      <w:pPr>
        <w:spacing w:after="0" w:line="259" w:lineRule="auto"/>
        <w:ind w:right="0"/>
        <w:rPr>
          <w:rFonts w:ascii="Arial" w:eastAsia="Arial" w:hAnsi="Arial" w:cs="Arial"/>
        </w:rPr>
      </w:pPr>
    </w:p>
    <w:p w14:paraId="6203844A" w14:textId="3BF6E3D3" w:rsidR="004A7DB6" w:rsidRPr="00075EAF" w:rsidRDefault="004A7DB6" w:rsidP="009E5E95">
      <w:pPr>
        <w:spacing w:after="0" w:line="259" w:lineRule="auto"/>
        <w:ind w:right="0"/>
        <w:rPr>
          <w:rFonts w:ascii="Arial" w:eastAsia="Arial" w:hAnsi="Arial" w:cs="Arial"/>
        </w:rPr>
      </w:pPr>
    </w:p>
    <w:p w14:paraId="098EE06F" w14:textId="4944C071" w:rsidR="004A7DB6" w:rsidRPr="00075EAF" w:rsidRDefault="004A7DB6" w:rsidP="009E5E95">
      <w:pPr>
        <w:spacing w:after="0" w:line="259" w:lineRule="auto"/>
        <w:ind w:right="0"/>
        <w:rPr>
          <w:rFonts w:ascii="Arial" w:eastAsia="Arial" w:hAnsi="Arial" w:cs="Arial"/>
        </w:rPr>
      </w:pPr>
    </w:p>
    <w:p w14:paraId="6D9778C7" w14:textId="6701604E" w:rsidR="004A7DB6" w:rsidRPr="00075EAF" w:rsidRDefault="004A7DB6" w:rsidP="009E5E95">
      <w:pPr>
        <w:spacing w:after="0" w:line="259" w:lineRule="auto"/>
        <w:ind w:right="0"/>
        <w:rPr>
          <w:rFonts w:ascii="Arial" w:eastAsia="Arial" w:hAnsi="Arial" w:cs="Arial"/>
        </w:rPr>
      </w:pPr>
    </w:p>
    <w:p w14:paraId="5C8CC10F" w14:textId="77777777" w:rsidR="00D64578" w:rsidRPr="00075EAF" w:rsidRDefault="00D64578" w:rsidP="009E5E95">
      <w:pPr>
        <w:spacing w:after="0" w:line="259" w:lineRule="auto"/>
        <w:ind w:right="0"/>
        <w:rPr>
          <w:rFonts w:ascii="Arial" w:eastAsia="Arial" w:hAnsi="Arial" w:cs="Arial"/>
        </w:rPr>
      </w:pPr>
    </w:p>
    <w:p w14:paraId="3AD86D79" w14:textId="1BEC8C55" w:rsidR="004A7DB6" w:rsidRPr="00075EAF" w:rsidRDefault="004A7DB6" w:rsidP="009E5E95">
      <w:pPr>
        <w:spacing w:after="0" w:line="259" w:lineRule="auto"/>
        <w:ind w:right="0"/>
        <w:rPr>
          <w:rFonts w:ascii="Arial" w:eastAsia="Arial" w:hAnsi="Arial" w:cs="Arial"/>
        </w:rPr>
      </w:pPr>
    </w:p>
    <w:p w14:paraId="5CD05665" w14:textId="3F8F3F67" w:rsidR="004A7DB6" w:rsidRPr="00075EAF" w:rsidRDefault="004A7DB6" w:rsidP="009E5E95">
      <w:pPr>
        <w:spacing w:after="0" w:line="259" w:lineRule="auto"/>
        <w:ind w:right="0"/>
        <w:rPr>
          <w:rFonts w:ascii="Arial" w:eastAsia="Arial" w:hAnsi="Arial" w:cs="Arial"/>
        </w:rPr>
      </w:pPr>
    </w:p>
    <w:p w14:paraId="75801CAB" w14:textId="4ED8CC8C" w:rsidR="004A7DB6" w:rsidRPr="00075EAF" w:rsidRDefault="004A7DB6" w:rsidP="009E5E95">
      <w:pPr>
        <w:spacing w:after="0" w:line="259" w:lineRule="auto"/>
        <w:ind w:right="0"/>
        <w:rPr>
          <w:rFonts w:ascii="Arial" w:eastAsia="Arial" w:hAnsi="Arial" w:cs="Arial"/>
        </w:rPr>
      </w:pPr>
    </w:p>
    <w:p w14:paraId="6E2BFD95" w14:textId="28AC3E75" w:rsidR="004A7DB6" w:rsidRPr="00075EAF" w:rsidRDefault="004A7DB6" w:rsidP="009E5E95">
      <w:pPr>
        <w:spacing w:after="0" w:line="259" w:lineRule="auto"/>
        <w:ind w:right="0"/>
        <w:rPr>
          <w:rFonts w:ascii="Arial" w:eastAsia="Arial" w:hAnsi="Arial" w:cs="Arial"/>
        </w:rPr>
      </w:pPr>
    </w:p>
    <w:p w14:paraId="72E4D5C2" w14:textId="4FE969B6" w:rsidR="004A7DB6" w:rsidRPr="00075EAF" w:rsidRDefault="004A7DB6" w:rsidP="009E5E95">
      <w:pPr>
        <w:spacing w:after="0" w:line="259" w:lineRule="auto"/>
        <w:ind w:right="0"/>
        <w:rPr>
          <w:rFonts w:ascii="Arial" w:eastAsia="Arial" w:hAnsi="Arial" w:cs="Arial"/>
        </w:rPr>
      </w:pPr>
    </w:p>
    <w:p w14:paraId="48895D3C" w14:textId="49F7A35F" w:rsidR="004A7DB6" w:rsidRPr="00075EAF" w:rsidRDefault="004A7DB6" w:rsidP="009E5E95">
      <w:pPr>
        <w:spacing w:after="0" w:line="259" w:lineRule="auto"/>
        <w:ind w:right="0"/>
        <w:rPr>
          <w:rFonts w:ascii="Arial" w:eastAsia="Arial" w:hAnsi="Arial" w:cs="Arial"/>
        </w:rPr>
      </w:pPr>
    </w:p>
    <w:p w14:paraId="691C0199" w14:textId="77777777" w:rsidR="006012D6" w:rsidRDefault="006012D6" w:rsidP="009E5E95">
      <w:pPr>
        <w:spacing w:after="0" w:line="259" w:lineRule="auto"/>
        <w:ind w:right="0"/>
        <w:rPr>
          <w:rFonts w:ascii="Arial" w:eastAsia="Arial" w:hAnsi="Arial" w:cs="Arial"/>
        </w:rPr>
      </w:pPr>
    </w:p>
    <w:p w14:paraId="40F37F3C" w14:textId="77777777" w:rsidR="006012D6" w:rsidRPr="00075EAF" w:rsidRDefault="006012D6" w:rsidP="009E5E95">
      <w:pPr>
        <w:spacing w:after="0" w:line="259" w:lineRule="auto"/>
        <w:ind w:right="0"/>
        <w:rPr>
          <w:rFonts w:ascii="Arial" w:eastAsia="Arial" w:hAnsi="Arial" w:cs="Arial"/>
        </w:rPr>
      </w:pPr>
    </w:p>
    <w:p w14:paraId="2660C214" w14:textId="77777777" w:rsidR="004E4BDD" w:rsidRPr="00075EAF" w:rsidRDefault="004E4BDD" w:rsidP="00075EAF">
      <w:pPr>
        <w:spacing w:after="0" w:line="259" w:lineRule="auto"/>
        <w:ind w:left="0" w:right="0" w:firstLine="0"/>
        <w:rPr>
          <w:rFonts w:ascii="Arial" w:eastAsia="Arial" w:hAnsi="Arial" w:cs="Arial"/>
        </w:rPr>
      </w:pPr>
    </w:p>
    <w:p w14:paraId="69CCFDA1" w14:textId="14D3FF9B" w:rsidR="00B56D50" w:rsidRPr="00075EAF" w:rsidRDefault="00B56D50" w:rsidP="00075EAF">
      <w:pPr>
        <w:spacing w:after="0" w:line="259" w:lineRule="auto"/>
        <w:ind w:right="0"/>
        <w:rPr>
          <w:rFonts w:ascii="Arial" w:eastAsia="Arial" w:hAnsi="Arial" w:cs="Arial"/>
        </w:rPr>
      </w:pPr>
    </w:p>
    <w:p w14:paraId="1F47C5A5" w14:textId="77777777" w:rsidR="003C3EBE" w:rsidRPr="00C12606" w:rsidRDefault="003C3EBE">
      <w:pPr>
        <w:spacing w:after="0" w:line="259" w:lineRule="auto"/>
        <w:ind w:left="540" w:right="0" w:firstLine="0"/>
      </w:pPr>
    </w:p>
    <w:p w14:paraId="77EC9AD7" w14:textId="3ECA1CF1" w:rsidR="00C03ABE" w:rsidRPr="009C3135" w:rsidRDefault="001C3C42" w:rsidP="00D56DEA">
      <w:pPr>
        <w:spacing w:after="0" w:line="259" w:lineRule="auto"/>
        <w:ind w:left="0" w:right="0" w:firstLine="0"/>
        <w:jc w:val="center"/>
      </w:pPr>
      <w:r>
        <w:rPr>
          <w:rFonts w:ascii="Calibri" w:eastAsia="Calibri" w:hAnsi="Calibri" w:cs="Calibri"/>
          <w:noProof/>
        </w:rPr>
        <w:lastRenderedPageBreak/>
        <mc:AlternateContent>
          <mc:Choice Requires="wpg">
            <w:drawing>
              <wp:anchor distT="0" distB="0" distL="114300" distR="114300" simplePos="0" relativeHeight="251658243" behindDoc="0" locked="0" layoutInCell="1" allowOverlap="1" wp14:anchorId="2C2C69C3" wp14:editId="3301362F">
                <wp:simplePos x="0" y="0"/>
                <wp:positionH relativeFrom="column">
                  <wp:posOffset>0</wp:posOffset>
                </wp:positionH>
                <wp:positionV relativeFrom="paragraph">
                  <wp:posOffset>112395</wp:posOffset>
                </wp:positionV>
                <wp:extent cx="6695440" cy="45085"/>
                <wp:effectExtent l="0" t="0" r="0" b="12065"/>
                <wp:wrapSquare wrapText="bothSides"/>
                <wp:docPr id="634872" name="Group 634872"/>
                <wp:cNvGraphicFramePr/>
                <a:graphic xmlns:a="http://schemas.openxmlformats.org/drawingml/2006/main">
                  <a:graphicData uri="http://schemas.microsoft.com/office/word/2010/wordprocessingGroup">
                    <wpg:wgp>
                      <wpg:cNvGrpSpPr/>
                      <wpg:grpSpPr>
                        <a:xfrm>
                          <a:off x="0" y="0"/>
                          <a:ext cx="6695440" cy="45085"/>
                          <a:chOff x="0" y="0"/>
                          <a:chExt cx="6217920" cy="57150"/>
                        </a:xfrm>
                      </wpg:grpSpPr>
                      <wps:wsp>
                        <wps:cNvPr id="899807" name="Shape 899807"/>
                        <wps:cNvSpPr/>
                        <wps:spPr>
                          <a:xfrm>
                            <a:off x="0" y="45720"/>
                            <a:ext cx="6217920" cy="11430"/>
                          </a:xfrm>
                          <a:custGeom>
                            <a:avLst/>
                            <a:gdLst/>
                            <a:ahLst/>
                            <a:cxnLst/>
                            <a:rect l="0" t="0" r="0" b="0"/>
                            <a:pathLst>
                              <a:path w="6217920" h="11430">
                                <a:moveTo>
                                  <a:pt x="0" y="0"/>
                                </a:moveTo>
                                <a:lnTo>
                                  <a:pt x="6217920" y="0"/>
                                </a:lnTo>
                                <a:lnTo>
                                  <a:pt x="6217920" y="11430"/>
                                </a:lnTo>
                                <a:lnTo>
                                  <a:pt x="0" y="114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9808" name="Shape 899808"/>
                        <wps:cNvSpPr/>
                        <wps:spPr>
                          <a:xfrm>
                            <a:off x="0" y="0"/>
                            <a:ext cx="6217920" cy="34290"/>
                          </a:xfrm>
                          <a:custGeom>
                            <a:avLst/>
                            <a:gdLst/>
                            <a:ahLst/>
                            <a:cxnLst/>
                            <a:rect l="0" t="0" r="0" b="0"/>
                            <a:pathLst>
                              <a:path w="6217920" h="34290">
                                <a:moveTo>
                                  <a:pt x="0" y="0"/>
                                </a:moveTo>
                                <a:lnTo>
                                  <a:pt x="6217920" y="0"/>
                                </a:lnTo>
                                <a:lnTo>
                                  <a:pt x="6217920" y="34290"/>
                                </a:lnTo>
                                <a:lnTo>
                                  <a:pt x="0" y="3429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rto="http://schemas.microsoft.com/office/word/2006/arto">
            <w:pict>
              <v:group w14:anchorId="088F52F1" id="Group 634872" o:spid="_x0000_s1026" style="position:absolute;margin-left:0;margin-top:8.85pt;width:527.2pt;height:3.55pt;z-index:251658241" coordsize="62179,5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">
                <v:shape id="Shape 899807" o:spid="_x0000_s1027" style="position:absolute;top:457;width:62179;height:114;visibility:visible;mso-wrap-style:square;v-text-anchor:top" coordsize="6217920,114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" path="m,l6217920,r,11430l,11430,,e" fillcolor="black" stroked="f" strokeweight="0">
                  <v:stroke miterlimit="83231f" joinstyle="miter"/>
                  <v:path arrowok="t" textboxrect="0,0,6217920,11430"/>
                </v:shape>
                <v:shape id="Shape 899808" o:spid="_x0000_s1028" style="position:absolute;width:62179;height:342;visibility:visible;mso-wrap-style:square;v-text-anchor:top" coordsize="6217920,34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" path="m,l6217920,r,34290l,34290,,e" fillcolor="black" stroked="f" strokeweight="0">
                  <v:stroke miterlimit="83231f" joinstyle="miter"/>
                  <v:path arrowok="t" textboxrect="0,0,6217920,34290"/>
                </v:shape>
                <w10:wrap type="square"/>
              </v:group>
            </w:pict>
          </mc:Fallback>
        </mc:AlternateContent>
      </w:r>
    </w:p>
    <w:p w14:paraId="225F882B" w14:textId="5E04A67B" w:rsidR="00B56D50" w:rsidRDefault="001C3C42">
      <w:pPr>
        <w:pStyle w:val="Heading4"/>
        <w:spacing w:after="0" w:line="259" w:lineRule="auto"/>
        <w:ind w:left="476"/>
        <w:jc w:val="center"/>
      </w:pPr>
      <w:r w:rsidRPr="009C3135">
        <w:t xml:space="preserve">XI. GENERAL TECHNICAL REQUIREMENTS </w:t>
      </w:r>
    </w:p>
    <w:p w14:paraId="45F7AE5D" w14:textId="77777777" w:rsidR="00B56D50" w:rsidRDefault="001C3C42" w:rsidP="009C3135">
      <w:pPr>
        <w:spacing w:after="0" w:line="259" w:lineRule="auto"/>
        <w:ind w:left="0" w:right="0" w:firstLine="0"/>
      </w:pPr>
      <w:r>
        <w:rPr>
          <w:rFonts w:ascii="Calibri" w:eastAsia="Calibri" w:hAnsi="Calibri" w:cs="Calibri"/>
          <w:noProof/>
        </w:rPr>
        <mc:AlternateContent>
          <mc:Choice Requires="wpg">
            <w:drawing>
              <wp:inline distT="0" distB="0" distL="0" distR="0" wp14:anchorId="04852228" wp14:editId="0FD07863">
                <wp:extent cx="6695440" cy="45720"/>
                <wp:effectExtent l="0" t="0" r="0" b="0"/>
                <wp:docPr id="634873" name="Group 634873"/>
                <wp:cNvGraphicFramePr/>
                <a:graphic xmlns:a="http://schemas.openxmlformats.org/drawingml/2006/main">
                  <a:graphicData uri="http://schemas.microsoft.com/office/word/2010/wordprocessingGroup">
                    <wpg:wgp>
                      <wpg:cNvGrpSpPr/>
                      <wpg:grpSpPr>
                        <a:xfrm>
                          <a:off x="0" y="0"/>
                          <a:ext cx="6695440" cy="45720"/>
                          <a:chOff x="0" y="0"/>
                          <a:chExt cx="6217920" cy="57150"/>
                        </a:xfrm>
                      </wpg:grpSpPr>
                      <wps:wsp>
                        <wps:cNvPr id="899809" name="Shape 899809"/>
                        <wps:cNvSpPr/>
                        <wps:spPr>
                          <a:xfrm>
                            <a:off x="0" y="22860"/>
                            <a:ext cx="6217920" cy="34290"/>
                          </a:xfrm>
                          <a:custGeom>
                            <a:avLst/>
                            <a:gdLst/>
                            <a:ahLst/>
                            <a:cxnLst/>
                            <a:rect l="0" t="0" r="0" b="0"/>
                            <a:pathLst>
                              <a:path w="6217920" h="34290">
                                <a:moveTo>
                                  <a:pt x="0" y="0"/>
                                </a:moveTo>
                                <a:lnTo>
                                  <a:pt x="6217920" y="0"/>
                                </a:lnTo>
                                <a:lnTo>
                                  <a:pt x="6217920" y="34290"/>
                                </a:lnTo>
                                <a:lnTo>
                                  <a:pt x="0" y="3429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9810" name="Shape 899810"/>
                        <wps:cNvSpPr/>
                        <wps:spPr>
                          <a:xfrm>
                            <a:off x="0" y="0"/>
                            <a:ext cx="6217920" cy="11430"/>
                          </a:xfrm>
                          <a:custGeom>
                            <a:avLst/>
                            <a:gdLst/>
                            <a:ahLst/>
                            <a:cxnLst/>
                            <a:rect l="0" t="0" r="0" b="0"/>
                            <a:pathLst>
                              <a:path w="6217920" h="11430">
                                <a:moveTo>
                                  <a:pt x="0" y="0"/>
                                </a:moveTo>
                                <a:lnTo>
                                  <a:pt x="6217920" y="0"/>
                                </a:lnTo>
                                <a:lnTo>
                                  <a:pt x="6217920" y="11430"/>
                                </a:lnTo>
                                <a:lnTo>
                                  <a:pt x="0" y="114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rto="http://schemas.microsoft.com/office/word/2006/arto">
            <w:pict>
              <v:group w14:anchorId="6594C83E" id="Group 634873" o:spid="_x0000_s1026" style="width:527.2pt;height:3.6pt;mso-position-horizontal-relative:char;mso-position-vertical-relative:line" coordsize="62179,5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">
                <v:shape id="Shape 899809" o:spid="_x0000_s1027" style="position:absolute;top:228;width:62179;height:343;visibility:visible;mso-wrap-style:square;v-text-anchor:top" coordsize="6217920,34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" path="m,l6217920,r,34290l,34290,,e" fillcolor="black" stroked="f" strokeweight="0">
                  <v:stroke miterlimit="83231f" joinstyle="miter"/>
                  <v:path arrowok="t" textboxrect="0,0,6217920,34290"/>
                </v:shape>
                <v:shape id="Shape 899810" o:spid="_x0000_s1028" style="position:absolute;width:62179;height:114;visibility:visible;mso-wrap-style:square;v-text-anchor:top" coordsize="6217920,114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" path="m,l6217920,r,11430l,11430,,e" fillcolor="black" stroked="f" strokeweight="0">
                  <v:stroke miterlimit="83231f" joinstyle="miter"/>
                  <v:path arrowok="t" textboxrect="0,0,6217920,11430"/>
                </v:shape>
                <w10:anchorlock/>
              </v:group>
            </w:pict>
          </mc:Fallback>
        </mc:AlternateContent>
      </w:r>
      <w:r>
        <w:rPr>
          <w:rFonts w:ascii="Arial" w:eastAsia="Arial" w:hAnsi="Arial" w:cs="Arial"/>
          <w:sz w:val="24"/>
        </w:rPr>
        <w:t xml:space="preserve"> </w:t>
      </w:r>
    </w:p>
    <w:p w14:paraId="49E91055" w14:textId="77777777" w:rsidR="00B56D50" w:rsidRDefault="001C3C42">
      <w:pPr>
        <w:spacing w:after="0" w:line="259" w:lineRule="auto"/>
        <w:ind w:left="720" w:right="0" w:firstLine="0"/>
      </w:pPr>
      <w:r>
        <w:rPr>
          <w:rFonts w:ascii="Arial" w:eastAsia="Arial" w:hAnsi="Arial" w:cs="Arial"/>
        </w:rPr>
        <w:t xml:space="preserve"> </w:t>
      </w:r>
    </w:p>
    <w:p w14:paraId="0D2471F6" w14:textId="7B4A1C48" w:rsidR="00B56D50" w:rsidRDefault="001C3C42" w:rsidP="006E7285">
      <w:pPr>
        <w:pStyle w:val="Heading5"/>
        <w:spacing w:after="4" w:line="250" w:lineRule="auto"/>
        <w:ind w:left="921" w:hanging="14"/>
        <w:jc w:val="left"/>
      </w:pPr>
      <w:r>
        <w:t>A.</w:t>
      </w:r>
      <w:r>
        <w:rPr>
          <w:rFonts w:ascii="Arial" w:eastAsia="Arial" w:hAnsi="Arial" w:cs="Arial"/>
        </w:rPr>
        <w:t xml:space="preserve"> </w:t>
      </w:r>
      <w:r>
        <w:rPr>
          <w:u w:val="single" w:color="000000"/>
        </w:rPr>
        <w:t>Quality System</w:t>
      </w:r>
      <w:r>
        <w:t xml:space="preserve"> </w:t>
      </w:r>
    </w:p>
    <w:p w14:paraId="4A349F1E" w14:textId="77777777" w:rsidR="00B56D50" w:rsidRDefault="001C3C42">
      <w:pPr>
        <w:spacing w:after="0" w:line="259" w:lineRule="auto"/>
        <w:ind w:left="540" w:right="0" w:firstLine="0"/>
      </w:pPr>
      <w:r>
        <w:t xml:space="preserve"> </w:t>
      </w:r>
    </w:p>
    <w:p w14:paraId="5FC916F1" w14:textId="77777777" w:rsidR="00B56D50" w:rsidRDefault="001C3C42">
      <w:pPr>
        <w:ind w:left="1090" w:right="255"/>
      </w:pPr>
      <w:r>
        <w:t xml:space="preserve">The Contractor shall maintain a documented Quality System (previously known as Quality </w:t>
      </w:r>
    </w:p>
    <w:p w14:paraId="4081FB9C" w14:textId="3531136E" w:rsidR="00B56D50" w:rsidRDefault="001C3C42">
      <w:pPr>
        <w:ind w:left="1090" w:right="255"/>
      </w:pPr>
      <w:r>
        <w:t xml:space="preserve">Assurance/Quality Control Program) capable of demonstrating that the data have a specified degree of reliability.  Such a Quality System must be patterned after systems outlined in such publications as: </w:t>
      </w:r>
    </w:p>
    <w:p w14:paraId="559E6444" w14:textId="77777777" w:rsidR="00B56D50" w:rsidRDefault="001C3C42">
      <w:pPr>
        <w:spacing w:after="0" w:line="259" w:lineRule="auto"/>
        <w:ind w:left="1080" w:right="0" w:firstLine="0"/>
      </w:pPr>
      <w:r>
        <w:t xml:space="preserve"> </w:t>
      </w:r>
    </w:p>
    <w:p w14:paraId="7D3E1F83" w14:textId="781DB3C3" w:rsidR="00737219" w:rsidRDefault="001C3C42" w:rsidP="00093377">
      <w:pPr>
        <w:numPr>
          <w:ilvl w:val="0"/>
          <w:numId w:val="20"/>
        </w:numPr>
        <w:spacing w:after="60"/>
        <w:ind w:right="255" w:hanging="360"/>
      </w:pPr>
      <w:r>
        <w:t xml:space="preserve">NELAC Standard: Approved June 5, 2003, Effective July 1, </w:t>
      </w:r>
      <w:proofErr w:type="gramStart"/>
      <w:r>
        <w:t>2003</w:t>
      </w:r>
      <w:proofErr w:type="gramEnd"/>
      <w:r w:rsidR="008C1877">
        <w:t xml:space="preserve"> and subsequent updates;</w:t>
      </w:r>
      <w:r>
        <w:t xml:space="preserve"> and NELAC Standard: Field Sampling and Measurement Organization Sector Adopted May 1, 2007, Updated 201</w:t>
      </w:r>
      <w:r w:rsidR="006C120E">
        <w:t>6</w:t>
      </w:r>
      <w:r>
        <w:t xml:space="preserve"> </w:t>
      </w:r>
      <w:r w:rsidR="001B1812">
        <w:t>and subsequent updates</w:t>
      </w:r>
      <w:r w:rsidR="00A776D4">
        <w:t>.  References can be on the web at:</w:t>
      </w:r>
      <w:r w:rsidR="006E7285">
        <w:t xml:space="preserve">  </w:t>
      </w:r>
      <w:hyperlink r:id="rId59" w:history="1">
        <w:r w:rsidR="00396333" w:rsidRPr="002B5A1C">
          <w:rPr>
            <w:rStyle w:val="Hyperlink"/>
          </w:rPr>
          <w:t>https://nelac-institute.org/content/CSDP/standards.php</w:t>
        </w:r>
      </w:hyperlink>
      <w:r w:rsidR="00396333">
        <w:t xml:space="preserve"> </w:t>
      </w:r>
      <w:r w:rsidR="00E37CCF">
        <w:t xml:space="preserve"> </w:t>
      </w:r>
    </w:p>
    <w:p w14:paraId="46C0C838" w14:textId="400D3020" w:rsidR="00D26642" w:rsidRDefault="0022197A" w:rsidP="00093377">
      <w:pPr>
        <w:numPr>
          <w:ilvl w:val="0"/>
          <w:numId w:val="20"/>
        </w:numPr>
        <w:spacing w:after="60"/>
        <w:ind w:right="255" w:hanging="360"/>
      </w:pPr>
      <w:r>
        <w:t>USEPA Agency-wide Quality Program Docu</w:t>
      </w:r>
      <w:r w:rsidR="005B4273">
        <w:t>ments</w:t>
      </w:r>
      <w:r w:rsidR="003300EF">
        <w:t xml:space="preserve">, </w:t>
      </w:r>
      <w:hyperlink r:id="rId60" w:history="1">
        <w:r w:rsidR="0001286B" w:rsidRPr="00B54DC3">
          <w:rPr>
            <w:rStyle w:val="Hyperlink"/>
          </w:rPr>
          <w:t>https://www.epa.gov/quality/agency-wide-quality-program-documents</w:t>
        </w:r>
      </w:hyperlink>
      <w:r w:rsidR="0001286B">
        <w:t xml:space="preserve"> </w:t>
      </w:r>
    </w:p>
    <w:p w14:paraId="440359EF" w14:textId="163CD992" w:rsidR="00C7766E" w:rsidRDefault="001C3C42" w:rsidP="00093377">
      <w:pPr>
        <w:numPr>
          <w:ilvl w:val="0"/>
          <w:numId w:val="20"/>
        </w:numPr>
        <w:spacing w:after="44"/>
        <w:ind w:right="255" w:hanging="360"/>
      </w:pPr>
      <w:r>
        <w:t>SW-846, 3</w:t>
      </w:r>
      <w:r>
        <w:rPr>
          <w:vertAlign w:val="superscript"/>
        </w:rPr>
        <w:t>rd</w:t>
      </w:r>
      <w:r>
        <w:t xml:space="preserve"> edition, Chapter One; “Quality Control”</w:t>
      </w:r>
      <w:r w:rsidR="00A65182">
        <w:t xml:space="preserve"> </w:t>
      </w:r>
      <w:r>
        <w:t xml:space="preserve">(July </w:t>
      </w:r>
      <w:r w:rsidR="005569CE">
        <w:t>2014</w:t>
      </w:r>
      <w:r>
        <w:t xml:space="preserve">), Chapter Nine, “Sampling Plan,” </w:t>
      </w:r>
      <w:r w:rsidR="001804C1">
        <w:t>(September 19</w:t>
      </w:r>
      <w:r w:rsidR="00E2412E">
        <w:t>8</w:t>
      </w:r>
      <w:r w:rsidR="001804C1">
        <w:t xml:space="preserve">6) </w:t>
      </w:r>
      <w:r>
        <w:t>and Chapter Ten, “Sampling Methods</w:t>
      </w:r>
      <w:r w:rsidR="00A65182">
        <w:t>”</w:t>
      </w:r>
      <w:r w:rsidR="006A2D23">
        <w:t xml:space="preserve"> (February 2007)</w:t>
      </w:r>
      <w:r w:rsidR="00A65182">
        <w:t>.</w:t>
      </w:r>
    </w:p>
    <w:p w14:paraId="23972763" w14:textId="50822925" w:rsidR="00B56D50" w:rsidRDefault="00C7766E" w:rsidP="00093377">
      <w:pPr>
        <w:numPr>
          <w:ilvl w:val="0"/>
          <w:numId w:val="20"/>
        </w:numPr>
        <w:spacing w:after="2" w:line="248" w:lineRule="auto"/>
        <w:ind w:right="255" w:hanging="360"/>
      </w:pPr>
      <w:r>
        <w:t xml:space="preserve">USEPA Superfund CLP Analytical Statements of Work found on the web at:  </w:t>
      </w:r>
      <w:r w:rsidR="001C3C42">
        <w:t xml:space="preserve"> </w:t>
      </w:r>
      <w:hyperlink r:id="rId61" w:history="1">
        <w:r w:rsidRPr="00BD3EA3">
          <w:rPr>
            <w:rStyle w:val="Hyperlink"/>
          </w:rPr>
          <w:t>https://www.epa.gov/clp/superfund-clp-analytical-statements-work-sows</w:t>
        </w:r>
      </w:hyperlink>
      <w:r>
        <w:t xml:space="preserve"> </w:t>
      </w:r>
    </w:p>
    <w:p w14:paraId="78CEB4F6" w14:textId="77777777" w:rsidR="00B56D50" w:rsidRDefault="001C3C42" w:rsidP="00093377">
      <w:pPr>
        <w:numPr>
          <w:ilvl w:val="0"/>
          <w:numId w:val="20"/>
        </w:numPr>
        <w:spacing w:after="33"/>
        <w:ind w:right="255" w:hanging="360"/>
      </w:pPr>
      <w:r>
        <w:t xml:space="preserve">USEPA Contract Laboratory Program Statements of Work, Exhibit E, “Quality Assurance/Quality Control Requirements,” and Exhibit F, Chain-of-Custody, Document Control, and Written Standard </w:t>
      </w:r>
    </w:p>
    <w:p w14:paraId="2D0143D2" w14:textId="77777777" w:rsidR="00B56D50" w:rsidRDefault="001C3C42">
      <w:pPr>
        <w:ind w:left="1450" w:right="255"/>
      </w:pPr>
      <w:r>
        <w:t xml:space="preserve">Operating Procedures”; or </w:t>
      </w:r>
    </w:p>
    <w:p w14:paraId="24938BE8" w14:textId="22BEA14E" w:rsidR="00B56D50" w:rsidRDefault="001C3C42" w:rsidP="00093377">
      <w:pPr>
        <w:numPr>
          <w:ilvl w:val="0"/>
          <w:numId w:val="20"/>
        </w:numPr>
        <w:spacing w:after="2" w:line="248" w:lineRule="auto"/>
        <w:ind w:right="255" w:hanging="360"/>
      </w:pPr>
      <w:r>
        <w:t xml:space="preserve">ISO/DIS 17025, </w:t>
      </w:r>
      <w:r>
        <w:rPr>
          <w:i/>
        </w:rPr>
        <w:t xml:space="preserve">General Requirements for the Competence of Testing and Calibration Laboratories </w:t>
      </w:r>
      <w:r>
        <w:t>(December 1999).</w:t>
      </w:r>
    </w:p>
    <w:p w14:paraId="6D502249" w14:textId="528B0AD5" w:rsidR="002F1392" w:rsidRDefault="002F1392" w:rsidP="00093377">
      <w:pPr>
        <w:numPr>
          <w:ilvl w:val="0"/>
          <w:numId w:val="20"/>
        </w:numPr>
        <w:spacing w:after="2" w:line="248" w:lineRule="auto"/>
        <w:ind w:right="255" w:hanging="360"/>
      </w:pPr>
      <w:r w:rsidRPr="002F1392">
        <w:t>Department of Defense (DoD) Department of Energy (DOE) Consolidated Quality Systems Manual (QSM) for Environmental Laboratories</w:t>
      </w:r>
      <w:r>
        <w:t xml:space="preserve">, </w:t>
      </w:r>
      <w:r w:rsidR="00F919A4" w:rsidRPr="00F919A4">
        <w:t>DoD Quality Systems Manual Version 5.4 2021</w:t>
      </w:r>
    </w:p>
    <w:p w14:paraId="2944616F" w14:textId="77E71451" w:rsidR="00545BB9" w:rsidRDefault="001F6355" w:rsidP="00093377">
      <w:pPr>
        <w:numPr>
          <w:ilvl w:val="0"/>
          <w:numId w:val="20"/>
        </w:numPr>
        <w:spacing w:after="2" w:line="248" w:lineRule="auto"/>
        <w:ind w:right="255" w:hanging="360"/>
      </w:pPr>
      <w:r w:rsidRPr="001F6355">
        <w:t>UNITED STATES DEPARTMENT OF DEFENSE</w:t>
      </w:r>
      <w:r>
        <w:t>,</w:t>
      </w:r>
      <w:r w:rsidRPr="001F6355">
        <w:t xml:space="preserve"> </w:t>
      </w:r>
      <w:r w:rsidR="006F7FAB" w:rsidRPr="006F7FAB">
        <w:t>Data Validation Guidelines Module 3: Data Validation Procedure for Per- and Polyfluoroalkyl Substances Analysis by QSM Table B-15</w:t>
      </w:r>
      <w:r w:rsidR="00452415">
        <w:t>,</w:t>
      </w:r>
      <w:r w:rsidR="006F7FAB" w:rsidRPr="006F7FAB">
        <w:t xml:space="preserve"> </w:t>
      </w:r>
      <w:r w:rsidR="00545BB9" w:rsidRPr="00545BB9">
        <w:t>Data Validation Guidelines Module 3</w:t>
      </w:r>
    </w:p>
    <w:p w14:paraId="6471E7CB" w14:textId="77777777" w:rsidR="0014581A" w:rsidRDefault="0014581A" w:rsidP="000724E1">
      <w:pPr>
        <w:ind w:left="1080" w:right="255"/>
      </w:pPr>
    </w:p>
    <w:p w14:paraId="4B6B1B19" w14:textId="36AEA161" w:rsidR="00B56D50" w:rsidRDefault="001C3C42" w:rsidP="000724E1">
      <w:pPr>
        <w:ind w:left="1080" w:right="255"/>
      </w:pPr>
      <w:r>
        <w:t xml:space="preserve">The Contractor shall validate each method used and each analysis performed through this Quality System. </w:t>
      </w:r>
    </w:p>
    <w:p w14:paraId="66FB636C" w14:textId="5C73D39A" w:rsidR="00B56D50" w:rsidRDefault="00B56D50">
      <w:pPr>
        <w:spacing w:after="0" w:line="259" w:lineRule="auto"/>
        <w:ind w:left="1080" w:right="0" w:firstLine="0"/>
      </w:pPr>
    </w:p>
    <w:p w14:paraId="5522222A" w14:textId="5B0B2B38" w:rsidR="00B56D50" w:rsidRDefault="001C3C42" w:rsidP="00E37CCF">
      <w:pPr>
        <w:pStyle w:val="Heading5"/>
        <w:spacing w:after="4" w:line="249" w:lineRule="auto"/>
        <w:ind w:left="900"/>
        <w:jc w:val="left"/>
      </w:pPr>
      <w:r>
        <w:t>B.</w:t>
      </w:r>
      <w:r>
        <w:rPr>
          <w:rFonts w:ascii="Arial" w:eastAsia="Arial" w:hAnsi="Arial" w:cs="Arial"/>
        </w:rPr>
        <w:t xml:space="preserve"> </w:t>
      </w:r>
      <w:r>
        <w:rPr>
          <w:u w:val="single" w:color="000000"/>
        </w:rPr>
        <w:t>Instrumentation</w:t>
      </w:r>
      <w:r>
        <w:t xml:space="preserve"> </w:t>
      </w:r>
    </w:p>
    <w:p w14:paraId="19858FBC" w14:textId="77777777" w:rsidR="00B56D50" w:rsidRDefault="001C3C42">
      <w:pPr>
        <w:spacing w:after="0" w:line="259" w:lineRule="auto"/>
        <w:ind w:left="540" w:right="0" w:firstLine="0"/>
      </w:pPr>
      <w:r>
        <w:t xml:space="preserve"> </w:t>
      </w:r>
    </w:p>
    <w:p w14:paraId="33E7D70B" w14:textId="77777777" w:rsidR="00B56D50" w:rsidRDefault="001C3C42">
      <w:pPr>
        <w:ind w:left="1090" w:right="255"/>
      </w:pPr>
      <w:r>
        <w:t xml:space="preserve">The Contractor shall have a sufficient number and type of functional analytical instruments and a computer system capable to meet all the terms and conditions of the Contract.   </w:t>
      </w:r>
    </w:p>
    <w:p w14:paraId="6031A03A" w14:textId="77777777" w:rsidR="00B56D50" w:rsidRDefault="001C3C42">
      <w:pPr>
        <w:spacing w:after="0" w:line="259" w:lineRule="auto"/>
        <w:ind w:left="720" w:right="0" w:firstLine="0"/>
      </w:pPr>
      <w:r>
        <w:t xml:space="preserve"> </w:t>
      </w:r>
    </w:p>
    <w:p w14:paraId="6ADCCC1A" w14:textId="77777777" w:rsidR="00B56D50" w:rsidRDefault="001C3C42" w:rsidP="00093377">
      <w:pPr>
        <w:numPr>
          <w:ilvl w:val="0"/>
          <w:numId w:val="21"/>
        </w:numPr>
        <w:ind w:left="1440" w:right="1438" w:hanging="360"/>
      </w:pPr>
      <w:r>
        <w:t>Analytical instrumentation must include the following at a minimum.</w:t>
      </w:r>
      <w:r>
        <w:rPr>
          <w:b/>
        </w:rPr>
        <w:t xml:space="preserve"> </w:t>
      </w:r>
    </w:p>
    <w:p w14:paraId="338EE507" w14:textId="1A57969A" w:rsidR="00B56D50" w:rsidRDefault="001C3C42">
      <w:pPr>
        <w:spacing w:after="16"/>
        <w:ind w:left="1450" w:right="186"/>
      </w:pPr>
      <w:r>
        <w:rPr>
          <w:b/>
        </w:rPr>
        <w:t xml:space="preserve">Identify instruments in each category as a, then b, etc. </w:t>
      </w:r>
    </w:p>
    <w:p w14:paraId="0BF50075" w14:textId="25ED6B5B" w:rsidR="00B56D50" w:rsidRDefault="001C3C42" w:rsidP="00093377">
      <w:pPr>
        <w:numPr>
          <w:ilvl w:val="1"/>
          <w:numId w:val="21"/>
        </w:numPr>
        <w:ind w:right="255" w:hanging="360"/>
      </w:pPr>
      <w:r>
        <w:t xml:space="preserve">1 Inductively Coupled Plasma Emission Spectrometer (ICP) or 1 ICP-Mass Spectrometer </w:t>
      </w:r>
    </w:p>
    <w:p w14:paraId="511F43D9" w14:textId="5382A1B3" w:rsidR="00B56D50" w:rsidRDefault="001C3C42" w:rsidP="0013163D">
      <w:pPr>
        <w:ind w:left="1800" w:right="255"/>
      </w:pPr>
      <w:r>
        <w:t xml:space="preserve">(ICP-MS) </w:t>
      </w:r>
      <w:r w:rsidR="004D6B59">
        <w:t>system.</w:t>
      </w:r>
      <w:r>
        <w:t xml:space="preserve"> </w:t>
      </w:r>
    </w:p>
    <w:p w14:paraId="377AB047" w14:textId="154AD93E" w:rsidR="00B56D50" w:rsidRDefault="001C3C42" w:rsidP="00093377">
      <w:pPr>
        <w:numPr>
          <w:ilvl w:val="1"/>
          <w:numId w:val="21"/>
        </w:numPr>
        <w:ind w:right="255" w:hanging="360"/>
      </w:pPr>
      <w:r>
        <w:t xml:space="preserve">1 ICP modified for trace analysis (e.g., </w:t>
      </w:r>
      <w:r w:rsidR="00440FF9">
        <w:t>axially oriented</w:t>
      </w:r>
      <w:r>
        <w:t xml:space="preserve"> torch), 1 ICP-MS, or 1 Graphite </w:t>
      </w:r>
    </w:p>
    <w:p w14:paraId="78C96277" w14:textId="1866A547" w:rsidR="00B56D50" w:rsidRDefault="001C3C42">
      <w:pPr>
        <w:ind w:left="1810" w:right="255"/>
      </w:pPr>
      <w:r>
        <w:t xml:space="preserve">Furnace Atomic Absorption (GFAA) </w:t>
      </w:r>
      <w:r w:rsidR="00440FF9">
        <w:t>spectrometer.</w:t>
      </w:r>
      <w:r>
        <w:t xml:space="preserve"> </w:t>
      </w:r>
    </w:p>
    <w:p w14:paraId="60D364CB" w14:textId="48CA800C" w:rsidR="00B56D50" w:rsidRDefault="001C3C42" w:rsidP="00093377">
      <w:pPr>
        <w:numPr>
          <w:ilvl w:val="1"/>
          <w:numId w:val="21"/>
        </w:numPr>
        <w:ind w:right="255" w:hanging="360"/>
      </w:pPr>
      <w:r>
        <w:t xml:space="preserve">1 mercury analyzer, 1 Cold Vapor Atomic Absorption (CVAA) spectrometer, or 1 ICP-MS capable of meeting required mercury detection </w:t>
      </w:r>
      <w:r w:rsidR="00440FF9">
        <w:t>limits.</w:t>
      </w:r>
      <w:r>
        <w:t xml:space="preserve"> </w:t>
      </w:r>
    </w:p>
    <w:p w14:paraId="28CE9970" w14:textId="742C5903" w:rsidR="00B56D50" w:rsidRDefault="001C3C42" w:rsidP="00093377">
      <w:pPr>
        <w:numPr>
          <w:ilvl w:val="1"/>
          <w:numId w:val="21"/>
        </w:numPr>
        <w:ind w:right="255" w:hanging="360"/>
      </w:pPr>
      <w:r>
        <w:t xml:space="preserve">2 Gas Chromatograph/Mass Spectrometer (GC/MS) </w:t>
      </w:r>
      <w:r w:rsidR="00440FF9">
        <w:t>systems.</w:t>
      </w:r>
      <w:r>
        <w:t xml:space="preserve"> </w:t>
      </w:r>
    </w:p>
    <w:p w14:paraId="18E1216D" w14:textId="41C038C3" w:rsidR="00B56D50" w:rsidRDefault="001C3C42" w:rsidP="00093377">
      <w:pPr>
        <w:numPr>
          <w:ilvl w:val="1"/>
          <w:numId w:val="21"/>
        </w:numPr>
        <w:ind w:right="255" w:hanging="360"/>
      </w:pPr>
      <w:r>
        <w:lastRenderedPageBreak/>
        <w:t xml:space="preserve">1 Gas Chromatograph/Electron Capture Detector (GC/ECD) with a dual column system (for confirmation), or 2 GC/ECDs with single column </w:t>
      </w:r>
      <w:r w:rsidR="00440FF9">
        <w:t>systems.</w:t>
      </w:r>
      <w:r>
        <w:t xml:space="preserve"> </w:t>
      </w:r>
    </w:p>
    <w:p w14:paraId="0FCC0DDF" w14:textId="77777777" w:rsidR="00B56D50" w:rsidRDefault="001C3C42" w:rsidP="00093377">
      <w:pPr>
        <w:numPr>
          <w:ilvl w:val="1"/>
          <w:numId w:val="21"/>
        </w:numPr>
        <w:ind w:right="255" w:hanging="360"/>
      </w:pPr>
      <w:r>
        <w:t xml:space="preserve">1 Gas Chromatograph/Flame Ionization Detector (GC/FID) with a dual column system (for confirmation), or 2 GC/FIDs with single column systems; and  </w:t>
      </w:r>
    </w:p>
    <w:p w14:paraId="5737AD08" w14:textId="77777777" w:rsidR="00FF27AF" w:rsidRDefault="001C3C42" w:rsidP="00093377">
      <w:pPr>
        <w:numPr>
          <w:ilvl w:val="1"/>
          <w:numId w:val="21"/>
        </w:numPr>
        <w:ind w:right="255" w:hanging="360"/>
      </w:pPr>
      <w:r>
        <w:t>1 High Performance Liquid Chromatograph (HPLC) with UV and Fluorescence detectors.</w:t>
      </w:r>
    </w:p>
    <w:p w14:paraId="223CCB20" w14:textId="5658FE76" w:rsidR="00B56D50" w:rsidRDefault="00AD0999" w:rsidP="00093377">
      <w:pPr>
        <w:numPr>
          <w:ilvl w:val="1"/>
          <w:numId w:val="21"/>
        </w:numPr>
        <w:ind w:right="255" w:hanging="360"/>
      </w:pPr>
      <w:r>
        <w:t>1</w:t>
      </w:r>
      <w:r w:rsidR="001C3C42">
        <w:t xml:space="preserve"> </w:t>
      </w:r>
      <w:r w:rsidR="00886DAA">
        <w:t>Liquid Chromatogram/</w:t>
      </w:r>
      <w:r w:rsidR="007B04CF">
        <w:t xml:space="preserve">Mass Spectrometer/Mass Spectrometer </w:t>
      </w:r>
      <w:r w:rsidR="00022AEA">
        <w:t>(LC/MS/MS)</w:t>
      </w:r>
      <w:r w:rsidR="00D150BC">
        <w:t xml:space="preserve"> system.</w:t>
      </w:r>
    </w:p>
    <w:p w14:paraId="11495D6D" w14:textId="77777777" w:rsidR="00B56D50" w:rsidRDefault="001C3C42">
      <w:pPr>
        <w:spacing w:after="0" w:line="259" w:lineRule="auto"/>
        <w:ind w:left="540" w:right="0" w:firstLine="0"/>
      </w:pPr>
      <w:r>
        <w:t xml:space="preserve"> </w:t>
      </w:r>
    </w:p>
    <w:p w14:paraId="4691C70F" w14:textId="77777777" w:rsidR="00B56D50" w:rsidRDefault="001C3C42" w:rsidP="00093377">
      <w:pPr>
        <w:numPr>
          <w:ilvl w:val="0"/>
          <w:numId w:val="21"/>
        </w:numPr>
        <w:ind w:left="1440" w:right="1438" w:hanging="360"/>
      </w:pPr>
      <w:r>
        <w:t>The following additional instrumentation is recommended but not required:</w:t>
      </w:r>
      <w:r>
        <w:rPr>
          <w:b/>
        </w:rPr>
        <w:t xml:space="preserve"> </w:t>
      </w:r>
      <w:r>
        <w:t xml:space="preserve">    </w:t>
      </w:r>
      <w:r>
        <w:rPr>
          <w:b/>
        </w:rPr>
        <w:t xml:space="preserve">Identify instruments in each category as a, then b, etc. </w:t>
      </w:r>
    </w:p>
    <w:p w14:paraId="618E6795" w14:textId="77777777" w:rsidR="00B56D50" w:rsidRDefault="001C3C42">
      <w:pPr>
        <w:spacing w:after="0" w:line="259" w:lineRule="auto"/>
        <w:ind w:left="1620" w:right="0" w:firstLine="0"/>
      </w:pPr>
      <w:r>
        <w:t xml:space="preserve"> </w:t>
      </w:r>
    </w:p>
    <w:p w14:paraId="2F28B6DE" w14:textId="09C4025C" w:rsidR="00B56D50" w:rsidRDefault="001C3C42" w:rsidP="00093377">
      <w:pPr>
        <w:numPr>
          <w:ilvl w:val="1"/>
          <w:numId w:val="21"/>
        </w:numPr>
        <w:ind w:right="255" w:hanging="360"/>
      </w:pPr>
      <w:r>
        <w:t xml:space="preserve">2 additional GCs with PID, ELCD, and/or NPD </w:t>
      </w:r>
      <w:r w:rsidR="00440FF9">
        <w:t>detectors.</w:t>
      </w:r>
      <w:r>
        <w:rPr>
          <w:b/>
        </w:rPr>
        <w:t xml:space="preserve"> </w:t>
      </w:r>
    </w:p>
    <w:p w14:paraId="47FC202A" w14:textId="61405941" w:rsidR="00B56D50" w:rsidRDefault="001C3C42" w:rsidP="00093377">
      <w:pPr>
        <w:numPr>
          <w:ilvl w:val="1"/>
          <w:numId w:val="21"/>
        </w:numPr>
        <w:ind w:right="255" w:hanging="360"/>
      </w:pPr>
      <w:r>
        <w:t xml:space="preserve">1 or more automated inorganic </w:t>
      </w:r>
      <w:r w:rsidR="00CB0FA7">
        <w:t>analyzers.</w:t>
      </w:r>
      <w:r>
        <w:rPr>
          <w:b/>
        </w:rPr>
        <w:t xml:space="preserve"> </w:t>
      </w:r>
    </w:p>
    <w:p w14:paraId="51D2F959" w14:textId="3997D5FC" w:rsidR="00B56D50" w:rsidRDefault="001C3C42" w:rsidP="00093377">
      <w:pPr>
        <w:numPr>
          <w:ilvl w:val="1"/>
          <w:numId w:val="21"/>
        </w:numPr>
        <w:ind w:right="255" w:hanging="360"/>
      </w:pPr>
      <w:r>
        <w:t>1 ion chromatograph</w:t>
      </w:r>
      <w:r w:rsidR="00B50793">
        <w:t>.</w:t>
      </w:r>
      <w:r w:rsidRPr="00B92CB0">
        <w:rPr>
          <w:b/>
        </w:rPr>
        <w:t xml:space="preserve"> </w:t>
      </w:r>
    </w:p>
    <w:p w14:paraId="25B4A566" w14:textId="77777777" w:rsidR="00B56D50" w:rsidRDefault="001C3C42">
      <w:pPr>
        <w:spacing w:after="0" w:line="259" w:lineRule="auto"/>
        <w:ind w:left="540" w:right="0" w:firstLine="0"/>
      </w:pPr>
      <w:r>
        <w:rPr>
          <w:b/>
        </w:rPr>
        <w:t xml:space="preserve"> </w:t>
      </w:r>
    </w:p>
    <w:p w14:paraId="1E39FA45" w14:textId="77777777" w:rsidR="00B56D50" w:rsidRDefault="001C3C42">
      <w:pPr>
        <w:pStyle w:val="Heading6"/>
        <w:spacing w:after="4" w:line="249" w:lineRule="auto"/>
        <w:ind w:left="730"/>
      </w:pPr>
      <w:r>
        <w:t>C.</w:t>
      </w:r>
      <w:r>
        <w:rPr>
          <w:rFonts w:ascii="Arial" w:eastAsia="Arial" w:hAnsi="Arial" w:cs="Arial"/>
        </w:rPr>
        <w:t xml:space="preserve"> </w:t>
      </w:r>
      <w:r>
        <w:rPr>
          <w:u w:val="single" w:color="000000"/>
        </w:rPr>
        <w:t>Facilities</w:t>
      </w:r>
      <w:r>
        <w:t xml:space="preserve"> </w:t>
      </w:r>
    </w:p>
    <w:p w14:paraId="3142F618" w14:textId="77777777" w:rsidR="00B56D50" w:rsidRDefault="001C3C42">
      <w:pPr>
        <w:spacing w:after="0" w:line="259" w:lineRule="auto"/>
        <w:ind w:left="540" w:right="0" w:firstLine="0"/>
      </w:pPr>
      <w:r>
        <w:rPr>
          <w:b/>
        </w:rPr>
        <w:t xml:space="preserve"> </w:t>
      </w:r>
    </w:p>
    <w:p w14:paraId="70E7C611" w14:textId="4A280434" w:rsidR="00B56D50" w:rsidRDefault="001C3C42">
      <w:pPr>
        <w:ind w:left="1090" w:right="255"/>
      </w:pPr>
      <w:r>
        <w:t>The Contractor shall maintain a facility suitable for the receipt, storage, analysis</w:t>
      </w:r>
      <w:r w:rsidR="00E902B3">
        <w:t>,</w:t>
      </w:r>
      <w:r>
        <w:t xml:space="preserve"> and </w:t>
      </w:r>
      <w:r w:rsidR="00754C87">
        <w:t xml:space="preserve">submittal </w:t>
      </w:r>
      <w:r>
        <w:t>of analytical reports meeting all terms and conditions of the contract.</w:t>
      </w:r>
      <w:r>
        <w:rPr>
          <w:b/>
          <w:color w:val="FF0000"/>
        </w:rPr>
        <w:t xml:space="preserve">   </w:t>
      </w:r>
      <w:r>
        <w:rPr>
          <w:b/>
        </w:rPr>
        <w:t xml:space="preserve">The </w:t>
      </w:r>
      <w:r w:rsidR="00E902B3">
        <w:rPr>
          <w:b/>
        </w:rPr>
        <w:t>Contractor</w:t>
      </w:r>
      <w:r>
        <w:rPr>
          <w:b/>
        </w:rPr>
        <w:t xml:space="preserve"> shall provide a drawing detailing the areas of the lab for the above activities. </w:t>
      </w:r>
    </w:p>
    <w:p w14:paraId="06A661BB" w14:textId="77777777" w:rsidR="00B56D50" w:rsidRDefault="001C3C42">
      <w:pPr>
        <w:spacing w:after="0" w:line="259" w:lineRule="auto"/>
        <w:ind w:left="720" w:right="0" w:firstLine="0"/>
      </w:pPr>
      <w:r>
        <w:rPr>
          <w:b/>
          <w:color w:val="FF0000"/>
        </w:rPr>
        <w:t xml:space="preserve"> </w:t>
      </w:r>
    </w:p>
    <w:p w14:paraId="37FFF79C" w14:textId="77777777" w:rsidR="00B56D50" w:rsidRDefault="001C3C42">
      <w:pPr>
        <w:pStyle w:val="Heading6"/>
        <w:spacing w:after="4" w:line="249" w:lineRule="auto"/>
        <w:ind w:left="730"/>
      </w:pPr>
      <w:r>
        <w:t>D.</w:t>
      </w:r>
      <w:r>
        <w:rPr>
          <w:rFonts w:ascii="Arial" w:eastAsia="Arial" w:hAnsi="Arial" w:cs="Arial"/>
        </w:rPr>
        <w:t xml:space="preserve"> </w:t>
      </w:r>
      <w:r>
        <w:rPr>
          <w:u w:val="single" w:color="000000"/>
        </w:rPr>
        <w:t>Demonstration of Capability</w:t>
      </w:r>
      <w:r>
        <w:t xml:space="preserve"> </w:t>
      </w:r>
    </w:p>
    <w:p w14:paraId="71CAE9BF" w14:textId="77777777" w:rsidR="00B56D50" w:rsidRDefault="001C3C42">
      <w:pPr>
        <w:spacing w:after="17" w:line="259" w:lineRule="auto"/>
        <w:ind w:left="720" w:right="0" w:firstLine="0"/>
      </w:pPr>
      <w:r>
        <w:rPr>
          <w:color w:val="365F91"/>
        </w:rPr>
        <w:t xml:space="preserve"> </w:t>
      </w:r>
    </w:p>
    <w:p w14:paraId="3A676DD8" w14:textId="7CEE3D9A" w:rsidR="00B262CA" w:rsidRDefault="00B262CA" w:rsidP="00400CFE">
      <w:pPr>
        <w:spacing w:after="0" w:line="259" w:lineRule="auto"/>
        <w:ind w:left="1090" w:right="0"/>
      </w:pPr>
      <w:r>
        <w:t xml:space="preserve">An environmental testing laboratory </w:t>
      </w:r>
      <w:r w:rsidR="0002215D">
        <w:t>bidding on</w:t>
      </w:r>
      <w:r w:rsidR="00515717">
        <w:t xml:space="preserve"> any of </w:t>
      </w:r>
      <w:r w:rsidR="0002215D">
        <w:t xml:space="preserve">the </w:t>
      </w:r>
      <w:r w:rsidR="00515717">
        <w:t>analytical protocols</w:t>
      </w:r>
      <w:r w:rsidR="00A50894">
        <w:t xml:space="preserve"> contained within </w:t>
      </w:r>
      <w:r w:rsidR="00BF42A6">
        <w:t>these technical specifications</w:t>
      </w:r>
      <w:r w:rsidR="00515717">
        <w:t xml:space="preserve"> </w:t>
      </w:r>
      <w:r>
        <w:t xml:space="preserve">must </w:t>
      </w:r>
      <w:r w:rsidR="00D9164C">
        <w:t xml:space="preserve">participate in </w:t>
      </w:r>
      <w:r w:rsidR="00C47148">
        <w:t xml:space="preserve">a </w:t>
      </w:r>
      <w:r w:rsidR="00461708">
        <w:t xml:space="preserve">Demonstration </w:t>
      </w:r>
      <w:r w:rsidR="00C47148">
        <w:t>of C</w:t>
      </w:r>
      <w:r>
        <w:t>apability</w:t>
      </w:r>
      <w:r w:rsidR="00164DB3">
        <w:t xml:space="preserve"> (DOC)</w:t>
      </w:r>
      <w:r w:rsidR="00C47148">
        <w:t xml:space="preserve"> study</w:t>
      </w:r>
      <w:r w:rsidR="00BE7F35">
        <w:t xml:space="preserve"> and the </w:t>
      </w:r>
      <w:r w:rsidR="005D3FE8">
        <w:t>DOC</w:t>
      </w:r>
      <w:r w:rsidR="00CC2693">
        <w:t xml:space="preserve"> </w:t>
      </w:r>
      <w:r w:rsidR="00DC46A8">
        <w:t xml:space="preserve">result </w:t>
      </w:r>
      <w:r w:rsidR="00BE7F35">
        <w:t>demonstration must be made available to the State reviewers upon request</w:t>
      </w:r>
      <w:r w:rsidR="00962631">
        <w:t>.  T</w:t>
      </w:r>
      <w:r w:rsidR="008303BD">
        <w:t xml:space="preserve">he </w:t>
      </w:r>
      <w:r>
        <w:t xml:space="preserve">report </w:t>
      </w:r>
      <w:r w:rsidR="00533D34">
        <w:t xml:space="preserve">of </w:t>
      </w:r>
      <w:r>
        <w:t xml:space="preserve">results </w:t>
      </w:r>
      <w:r w:rsidR="00B676A3">
        <w:t>for th</w:t>
      </w:r>
      <w:r w:rsidR="00B05B13">
        <w:t>e</w:t>
      </w:r>
      <w:r w:rsidR="00B676A3">
        <w:t xml:space="preserve"> </w:t>
      </w:r>
      <w:r w:rsidR="00851B05">
        <w:t>protocol</w:t>
      </w:r>
      <w:r w:rsidR="00B05B13">
        <w:t>(s)</w:t>
      </w:r>
      <w:r>
        <w:t xml:space="preserve"> </w:t>
      </w:r>
      <w:r w:rsidR="00A34E29">
        <w:t>being bid upon must</w:t>
      </w:r>
      <w:r w:rsidR="001537B6">
        <w:t xml:space="preserve"> be </w:t>
      </w:r>
      <w:r>
        <w:t>at or below the</w:t>
      </w:r>
      <w:r w:rsidR="00CC6DA8">
        <w:t xml:space="preserve"> established</w:t>
      </w:r>
      <w:r w:rsidR="00105F78">
        <w:t xml:space="preserve"> reporting l</w:t>
      </w:r>
      <w:r>
        <w:t xml:space="preserve">imit </w:t>
      </w:r>
      <w:r w:rsidR="00711D12">
        <w:t>(RL</w:t>
      </w:r>
      <w:r w:rsidR="00CC6DA8">
        <w:t xml:space="preserve">).  </w:t>
      </w:r>
      <w:proofErr w:type="gramStart"/>
      <w:r>
        <w:t>In order to</w:t>
      </w:r>
      <w:proofErr w:type="gramEnd"/>
      <w:r>
        <w:t xml:space="preserve"> effectively demonstrate method </w:t>
      </w:r>
      <w:r w:rsidR="001756D2">
        <w:t>capability,</w:t>
      </w:r>
      <w:r>
        <w:t xml:space="preserve"> the laboratory must: 1) perform an initial demonstration of capability (IDC); 2) perform an on‐going demonstration of capability (ODC) annually; </w:t>
      </w:r>
      <w:r w:rsidR="005A022B">
        <w:t xml:space="preserve">and </w:t>
      </w:r>
      <w:r>
        <w:t>3) perform a minimum detection limit study (MDL) annually.</w:t>
      </w:r>
      <w:r w:rsidR="00DB0F3A">
        <w:t xml:space="preserve">  </w:t>
      </w:r>
      <w:r w:rsidR="009F24C3" w:rsidRPr="009F24C3">
        <w:t xml:space="preserve">In addition to the </w:t>
      </w:r>
      <w:r w:rsidR="001C1ED2">
        <w:t>DOC docume</w:t>
      </w:r>
      <w:r w:rsidR="00210FE1">
        <w:t xml:space="preserve">ntation, </w:t>
      </w:r>
      <w:r w:rsidR="00C063CA">
        <w:t>the</w:t>
      </w:r>
      <w:r w:rsidR="00210FE1">
        <w:t xml:space="preserve"> </w:t>
      </w:r>
      <w:r w:rsidR="009F24C3" w:rsidRPr="009F24C3">
        <w:t>Quality Manual and SOPs</w:t>
      </w:r>
      <w:r w:rsidR="007E32B5">
        <w:t xml:space="preserve"> </w:t>
      </w:r>
      <w:r w:rsidR="00482102">
        <w:t>must be made avail</w:t>
      </w:r>
      <w:r w:rsidR="00AE441E">
        <w:t>able to the State reviewers upon request.</w:t>
      </w:r>
    </w:p>
    <w:p w14:paraId="1FFF16F9" w14:textId="23657C33" w:rsidR="00B56D50" w:rsidRPr="001D1983" w:rsidRDefault="00B56D50" w:rsidP="002F62D5">
      <w:pPr>
        <w:spacing w:after="0" w:line="259" w:lineRule="auto"/>
        <w:ind w:right="0"/>
        <w:rPr>
          <w:strike/>
        </w:rPr>
      </w:pPr>
    </w:p>
    <w:p w14:paraId="18210F33" w14:textId="79D216AA" w:rsidR="00B56D50" w:rsidRDefault="00B56D50" w:rsidP="000A3D13">
      <w:pPr>
        <w:spacing w:after="0" w:line="259" w:lineRule="auto"/>
        <w:ind w:right="0"/>
      </w:pPr>
    </w:p>
    <w:p w14:paraId="220A4283" w14:textId="77777777" w:rsidR="000A3D13" w:rsidRDefault="000A3D13" w:rsidP="000A3D13">
      <w:pPr>
        <w:spacing w:after="0" w:line="259" w:lineRule="auto"/>
        <w:ind w:right="0"/>
      </w:pPr>
    </w:p>
    <w:p w14:paraId="0CC38BB5" w14:textId="77777777" w:rsidR="000A3D13" w:rsidRDefault="000A3D13" w:rsidP="000A3D13">
      <w:pPr>
        <w:spacing w:after="0" w:line="259" w:lineRule="auto"/>
        <w:ind w:right="0"/>
      </w:pPr>
    </w:p>
    <w:p w14:paraId="4750C89B" w14:textId="0BBC6A07" w:rsidR="00B56D50" w:rsidRDefault="00B56D50" w:rsidP="000A3D13">
      <w:pPr>
        <w:spacing w:after="0" w:line="259" w:lineRule="auto"/>
        <w:ind w:right="0"/>
      </w:pPr>
    </w:p>
    <w:p w14:paraId="012CBB2D" w14:textId="77777777" w:rsidR="00B56D50" w:rsidRDefault="001C3C42">
      <w:pPr>
        <w:pStyle w:val="Heading5"/>
        <w:spacing w:after="16" w:line="247" w:lineRule="auto"/>
        <w:ind w:left="1090" w:right="186"/>
        <w:jc w:val="left"/>
      </w:pPr>
      <w:r>
        <w:t xml:space="preserve">THE REMAINDER OF THIS PAGE HAS BEEN LEFT BLANK INTENTIONALLY </w:t>
      </w:r>
    </w:p>
    <w:p w14:paraId="2C157129" w14:textId="563C422B" w:rsidR="00B56D50" w:rsidRDefault="00B56D50" w:rsidP="000A3D13">
      <w:pPr>
        <w:spacing w:after="0" w:line="259" w:lineRule="auto"/>
        <w:ind w:right="0"/>
      </w:pPr>
    </w:p>
    <w:p w14:paraId="4DA2F422" w14:textId="72D7944A" w:rsidR="00B56D50" w:rsidRDefault="00B56D50" w:rsidP="000A3D13">
      <w:pPr>
        <w:spacing w:after="0" w:line="259" w:lineRule="auto"/>
        <w:ind w:right="0"/>
        <w:rPr>
          <w:rFonts w:ascii="Arial" w:eastAsia="Arial" w:hAnsi="Arial" w:cs="Arial"/>
        </w:rPr>
      </w:pPr>
    </w:p>
    <w:p w14:paraId="5360CCB3" w14:textId="28C6E568" w:rsidR="000A3D13" w:rsidRDefault="000A3D13" w:rsidP="000A3D13">
      <w:pPr>
        <w:spacing w:after="0" w:line="259" w:lineRule="auto"/>
        <w:ind w:right="0"/>
        <w:rPr>
          <w:rFonts w:ascii="Arial" w:eastAsia="Arial" w:hAnsi="Arial" w:cs="Arial"/>
        </w:rPr>
      </w:pPr>
    </w:p>
    <w:p w14:paraId="715B9A53" w14:textId="623C504C" w:rsidR="000A3D13" w:rsidRDefault="000A3D13" w:rsidP="000A3D13">
      <w:pPr>
        <w:spacing w:after="0" w:line="259" w:lineRule="auto"/>
        <w:ind w:right="0"/>
        <w:rPr>
          <w:rFonts w:ascii="Arial" w:eastAsia="Arial" w:hAnsi="Arial" w:cs="Arial"/>
        </w:rPr>
      </w:pPr>
    </w:p>
    <w:p w14:paraId="3F0989C8" w14:textId="6BF7964B" w:rsidR="000A3D13" w:rsidRDefault="000A3D13" w:rsidP="000A3D13">
      <w:pPr>
        <w:spacing w:after="0" w:line="259" w:lineRule="auto"/>
        <w:ind w:right="0"/>
        <w:rPr>
          <w:rFonts w:ascii="Arial" w:eastAsia="Arial" w:hAnsi="Arial" w:cs="Arial"/>
        </w:rPr>
      </w:pPr>
    </w:p>
    <w:p w14:paraId="144DB6E1" w14:textId="51E5D1A0" w:rsidR="000A3D13" w:rsidRDefault="000A3D13" w:rsidP="000A3D13">
      <w:pPr>
        <w:spacing w:after="0" w:line="259" w:lineRule="auto"/>
        <w:ind w:right="0"/>
        <w:rPr>
          <w:rFonts w:ascii="Arial" w:eastAsia="Arial" w:hAnsi="Arial" w:cs="Arial"/>
        </w:rPr>
      </w:pPr>
    </w:p>
    <w:p w14:paraId="78A7C156" w14:textId="03DE11EC" w:rsidR="000A3D13" w:rsidRDefault="000A3D13" w:rsidP="000A3D13">
      <w:pPr>
        <w:spacing w:after="0" w:line="259" w:lineRule="auto"/>
        <w:ind w:right="0"/>
        <w:rPr>
          <w:rFonts w:ascii="Arial" w:eastAsia="Arial" w:hAnsi="Arial" w:cs="Arial"/>
        </w:rPr>
      </w:pPr>
    </w:p>
    <w:p w14:paraId="7962324B" w14:textId="473063DA" w:rsidR="000A3D13" w:rsidRDefault="000A3D13" w:rsidP="000A3D13">
      <w:pPr>
        <w:spacing w:after="0" w:line="259" w:lineRule="auto"/>
        <w:ind w:right="0"/>
        <w:rPr>
          <w:rFonts w:ascii="Arial" w:eastAsia="Arial" w:hAnsi="Arial" w:cs="Arial"/>
        </w:rPr>
      </w:pPr>
    </w:p>
    <w:p w14:paraId="7EA81CFC" w14:textId="77777777" w:rsidR="00577FB1" w:rsidRDefault="00577FB1" w:rsidP="000A3D13">
      <w:pPr>
        <w:spacing w:after="0" w:line="259" w:lineRule="auto"/>
        <w:ind w:right="0"/>
        <w:rPr>
          <w:rFonts w:ascii="Arial" w:eastAsia="Arial" w:hAnsi="Arial" w:cs="Arial"/>
        </w:rPr>
      </w:pPr>
    </w:p>
    <w:p w14:paraId="77649402" w14:textId="77777777" w:rsidR="00577FB1" w:rsidRDefault="00577FB1" w:rsidP="000A3D13">
      <w:pPr>
        <w:spacing w:after="0" w:line="259" w:lineRule="auto"/>
        <w:ind w:right="0"/>
        <w:rPr>
          <w:rFonts w:ascii="Arial" w:eastAsia="Arial" w:hAnsi="Arial" w:cs="Arial"/>
        </w:rPr>
      </w:pPr>
    </w:p>
    <w:p w14:paraId="54A5DF7A" w14:textId="77777777" w:rsidR="00577FB1" w:rsidRDefault="00577FB1" w:rsidP="000A3D13">
      <w:pPr>
        <w:spacing w:after="0" w:line="259" w:lineRule="auto"/>
        <w:ind w:right="0"/>
        <w:rPr>
          <w:rFonts w:ascii="Arial" w:eastAsia="Arial" w:hAnsi="Arial" w:cs="Arial"/>
        </w:rPr>
      </w:pPr>
    </w:p>
    <w:p w14:paraId="656C581A" w14:textId="77777777" w:rsidR="00577FB1" w:rsidRDefault="00577FB1" w:rsidP="000A3D13">
      <w:pPr>
        <w:spacing w:after="0" w:line="259" w:lineRule="auto"/>
        <w:ind w:right="0"/>
        <w:rPr>
          <w:rFonts w:ascii="Arial" w:eastAsia="Arial" w:hAnsi="Arial" w:cs="Arial"/>
        </w:rPr>
      </w:pPr>
    </w:p>
    <w:p w14:paraId="36D1D7B0" w14:textId="77777777" w:rsidR="00577FB1" w:rsidRDefault="00577FB1" w:rsidP="000A3D13">
      <w:pPr>
        <w:spacing w:after="0" w:line="259" w:lineRule="auto"/>
        <w:ind w:right="0"/>
        <w:rPr>
          <w:rFonts w:ascii="Arial" w:eastAsia="Arial" w:hAnsi="Arial" w:cs="Arial"/>
        </w:rPr>
      </w:pPr>
    </w:p>
    <w:p w14:paraId="26737EBC" w14:textId="216DF4E5" w:rsidR="000A3D13" w:rsidRDefault="000A3D13" w:rsidP="000A3D13">
      <w:pPr>
        <w:spacing w:after="0" w:line="259" w:lineRule="auto"/>
        <w:ind w:right="0"/>
        <w:rPr>
          <w:rFonts w:ascii="Arial" w:eastAsia="Arial" w:hAnsi="Arial" w:cs="Arial"/>
        </w:rPr>
      </w:pPr>
    </w:p>
    <w:p w14:paraId="23A5A72F" w14:textId="620AE7C9" w:rsidR="00B56D50" w:rsidRPr="000A3D13" w:rsidRDefault="001C3C42" w:rsidP="000504C1">
      <w:pPr>
        <w:spacing w:before="240" w:after="0" w:line="259" w:lineRule="auto"/>
        <w:ind w:left="0" w:right="0" w:firstLine="0"/>
        <w:jc w:val="center"/>
        <w:rPr>
          <w:b/>
          <w:bCs/>
        </w:rPr>
      </w:pPr>
      <w:r w:rsidRPr="001E2151">
        <w:rPr>
          <w:rFonts w:ascii="Calibri" w:eastAsia="Calibri" w:hAnsi="Calibri" w:cs="Calibri"/>
          <w:noProof/>
        </w:rPr>
        <w:lastRenderedPageBreak/>
        <mc:AlternateContent>
          <mc:Choice Requires="wpg">
            <w:drawing>
              <wp:anchor distT="0" distB="0" distL="114300" distR="114300" simplePos="0" relativeHeight="251658241" behindDoc="0" locked="0" layoutInCell="1" allowOverlap="1" wp14:anchorId="6E833C43" wp14:editId="4550418B">
                <wp:simplePos x="0" y="0"/>
                <wp:positionH relativeFrom="column">
                  <wp:posOffset>1270</wp:posOffset>
                </wp:positionH>
                <wp:positionV relativeFrom="paragraph">
                  <wp:posOffset>111125</wp:posOffset>
                </wp:positionV>
                <wp:extent cx="6554470" cy="45085"/>
                <wp:effectExtent l="0" t="0" r="0" b="12065"/>
                <wp:wrapTopAndBottom/>
                <wp:docPr id="668434" name="Group 668434"/>
                <wp:cNvGraphicFramePr/>
                <a:graphic xmlns:a="http://schemas.openxmlformats.org/drawingml/2006/main">
                  <a:graphicData uri="http://schemas.microsoft.com/office/word/2010/wordprocessingGroup">
                    <wpg:wgp>
                      <wpg:cNvGrpSpPr/>
                      <wpg:grpSpPr>
                        <a:xfrm>
                          <a:off x="0" y="0"/>
                          <a:ext cx="6554470" cy="45085"/>
                          <a:chOff x="0" y="0"/>
                          <a:chExt cx="6309360" cy="57150"/>
                        </a:xfrm>
                      </wpg:grpSpPr>
                      <wps:wsp>
                        <wps:cNvPr id="899811" name="Shape 899811"/>
                        <wps:cNvSpPr/>
                        <wps:spPr>
                          <a:xfrm>
                            <a:off x="0" y="45720"/>
                            <a:ext cx="6309360" cy="11430"/>
                          </a:xfrm>
                          <a:custGeom>
                            <a:avLst/>
                            <a:gdLst/>
                            <a:ahLst/>
                            <a:cxnLst/>
                            <a:rect l="0" t="0" r="0" b="0"/>
                            <a:pathLst>
                              <a:path w="6309360" h="11430">
                                <a:moveTo>
                                  <a:pt x="0" y="0"/>
                                </a:moveTo>
                                <a:lnTo>
                                  <a:pt x="6309360" y="0"/>
                                </a:lnTo>
                                <a:lnTo>
                                  <a:pt x="6309360" y="11430"/>
                                </a:lnTo>
                                <a:lnTo>
                                  <a:pt x="0" y="114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9812" name="Shape 899812"/>
                        <wps:cNvSpPr/>
                        <wps:spPr>
                          <a:xfrm>
                            <a:off x="0" y="0"/>
                            <a:ext cx="6309360" cy="34289"/>
                          </a:xfrm>
                          <a:custGeom>
                            <a:avLst/>
                            <a:gdLst/>
                            <a:ahLst/>
                            <a:cxnLst/>
                            <a:rect l="0" t="0" r="0" b="0"/>
                            <a:pathLst>
                              <a:path w="6309360" h="34289">
                                <a:moveTo>
                                  <a:pt x="0" y="0"/>
                                </a:moveTo>
                                <a:lnTo>
                                  <a:pt x="6309360" y="0"/>
                                </a:lnTo>
                                <a:lnTo>
                                  <a:pt x="6309360" y="34289"/>
                                </a:lnTo>
                                <a:lnTo>
                                  <a:pt x="0" y="3428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rto="http://schemas.microsoft.com/office/word/2006/arto">
            <w:pict>
              <v:group w14:anchorId="3602DAB9" id="Group 668434" o:spid="_x0000_s1026" style="position:absolute;margin-left:.1pt;margin-top:8.75pt;width:516.1pt;height:3.55pt;z-index:251658243" coordsize="63093,5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">
                <v:shape id="Shape 899811" o:spid="_x0000_s1027" style="position:absolute;top:457;width:63093;height:114;visibility:visible;mso-wrap-style:square;v-text-anchor:top" coordsize="6309360,114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" path="m,l6309360,r,11430l,11430,,e" fillcolor="black" stroked="f" strokeweight="0">
                  <v:stroke miterlimit="83231f" joinstyle="miter"/>
                  <v:path arrowok="t" textboxrect="0,0,6309360,11430"/>
                </v:shape>
                <v:shape id="Shape 899812" o:spid="_x0000_s1028" style="position:absolute;width:63093;height:342;visibility:visible;mso-wrap-style:square;v-text-anchor:top" coordsize="6309360,342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" path="m,l6309360,r,34289l,34289,,e" fillcolor="black" stroked="f" strokeweight="0">
                  <v:stroke miterlimit="83231f" joinstyle="miter"/>
                  <v:path arrowok="t" textboxrect="0,0,6309360,34289"/>
                </v:shape>
                <w10:wrap type="topAndBottom"/>
              </v:group>
            </w:pict>
          </mc:Fallback>
        </mc:AlternateContent>
      </w:r>
      <w:r w:rsidRPr="00ED4CF4">
        <w:rPr>
          <w:b/>
        </w:rPr>
        <w:t xml:space="preserve">XII. </w:t>
      </w:r>
      <w:r w:rsidR="007D5AEA" w:rsidRPr="00ED4CF4">
        <w:rPr>
          <w:b/>
        </w:rPr>
        <w:t>USEPA</w:t>
      </w:r>
      <w:r w:rsidRPr="00ED4CF4">
        <w:rPr>
          <w:b/>
        </w:rPr>
        <w:t xml:space="preserve"> </w:t>
      </w:r>
      <w:bookmarkStart w:id="19" w:name="_Hlk212036558"/>
      <w:r w:rsidR="002739AF" w:rsidRPr="00ED4CF4">
        <w:rPr>
          <w:b/>
        </w:rPr>
        <w:t>SW</w:t>
      </w:r>
      <w:r w:rsidR="006F4C2B" w:rsidRPr="00ED4CF4">
        <w:rPr>
          <w:b/>
        </w:rPr>
        <w:t xml:space="preserve">846 PROTOCOLS </w:t>
      </w:r>
      <w:r w:rsidRPr="00ED4CF4">
        <w:rPr>
          <w:b/>
        </w:rPr>
        <w:t>ANALYTICAL AND QA/QC REQUIREMENTS</w:t>
      </w:r>
    </w:p>
    <w:bookmarkEnd w:id="19"/>
    <w:p w14:paraId="250B68F4" w14:textId="77777777" w:rsidR="00B56D50" w:rsidRDefault="001C3C42" w:rsidP="00300731">
      <w:pPr>
        <w:spacing w:after="0" w:line="259" w:lineRule="auto"/>
        <w:ind w:left="0" w:right="0" w:firstLine="0"/>
      </w:pPr>
      <w:r>
        <w:rPr>
          <w:rFonts w:ascii="Calibri" w:eastAsia="Calibri" w:hAnsi="Calibri" w:cs="Calibri"/>
          <w:noProof/>
        </w:rPr>
        <mc:AlternateContent>
          <mc:Choice Requires="wpg">
            <w:drawing>
              <wp:inline distT="0" distB="0" distL="0" distR="0" wp14:anchorId="4A161DF6" wp14:editId="4E372485">
                <wp:extent cx="6554470" cy="45719"/>
                <wp:effectExtent l="0" t="0" r="0" b="0"/>
                <wp:docPr id="668435" name="Group 668435"/>
                <wp:cNvGraphicFramePr/>
                <a:graphic xmlns:a="http://schemas.openxmlformats.org/drawingml/2006/main">
                  <a:graphicData uri="http://schemas.microsoft.com/office/word/2010/wordprocessingGroup">
                    <wpg:wgp>
                      <wpg:cNvGrpSpPr/>
                      <wpg:grpSpPr>
                        <a:xfrm>
                          <a:off x="0" y="0"/>
                          <a:ext cx="6554470" cy="45719"/>
                          <a:chOff x="0" y="0"/>
                          <a:chExt cx="6309360" cy="57150"/>
                        </a:xfrm>
                      </wpg:grpSpPr>
                      <wps:wsp>
                        <wps:cNvPr id="899813" name="Shape 899813"/>
                        <wps:cNvSpPr/>
                        <wps:spPr>
                          <a:xfrm>
                            <a:off x="0" y="22860"/>
                            <a:ext cx="6309360" cy="34290"/>
                          </a:xfrm>
                          <a:custGeom>
                            <a:avLst/>
                            <a:gdLst/>
                            <a:ahLst/>
                            <a:cxnLst/>
                            <a:rect l="0" t="0" r="0" b="0"/>
                            <a:pathLst>
                              <a:path w="6309360" h="34290">
                                <a:moveTo>
                                  <a:pt x="0" y="0"/>
                                </a:moveTo>
                                <a:lnTo>
                                  <a:pt x="6309360" y="0"/>
                                </a:lnTo>
                                <a:lnTo>
                                  <a:pt x="6309360" y="34290"/>
                                </a:lnTo>
                                <a:lnTo>
                                  <a:pt x="0" y="3429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9814" name="Shape 899814"/>
                        <wps:cNvSpPr/>
                        <wps:spPr>
                          <a:xfrm>
                            <a:off x="0" y="0"/>
                            <a:ext cx="6309360" cy="11430"/>
                          </a:xfrm>
                          <a:custGeom>
                            <a:avLst/>
                            <a:gdLst/>
                            <a:ahLst/>
                            <a:cxnLst/>
                            <a:rect l="0" t="0" r="0" b="0"/>
                            <a:pathLst>
                              <a:path w="6309360" h="11430">
                                <a:moveTo>
                                  <a:pt x="0" y="0"/>
                                </a:moveTo>
                                <a:lnTo>
                                  <a:pt x="6309360" y="0"/>
                                </a:lnTo>
                                <a:lnTo>
                                  <a:pt x="6309360" y="11430"/>
                                </a:lnTo>
                                <a:lnTo>
                                  <a:pt x="0" y="114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rto="http://schemas.microsoft.com/office/word/2006/arto">
            <w:pict>
              <v:group w14:anchorId="31DAC345" id="Group 668435" o:spid="_x0000_s1026" style="width:516.1pt;height:3.6pt;mso-position-horizontal-relative:char;mso-position-vertical-relative:line" coordsize="63093,5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">
                <v:shape id="Shape 899813" o:spid="_x0000_s1027" style="position:absolute;top:228;width:63093;height:343;visibility:visible;mso-wrap-style:square;v-text-anchor:top" coordsize="6309360,34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" path="m,l6309360,r,34290l,34290,,e" fillcolor="black" stroked="f" strokeweight="0">
                  <v:stroke miterlimit="83231f" joinstyle="miter"/>
                  <v:path arrowok="t" textboxrect="0,0,6309360,34290"/>
                </v:shape>
                <v:shape id="Shape 899814" o:spid="_x0000_s1028" style="position:absolute;width:63093;height:114;visibility:visible;mso-wrap-style:square;v-text-anchor:top" coordsize="6309360,114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" path="m,l6309360,r,11430l,11430,,e" fillcolor="black" stroked="f" strokeweight="0">
                  <v:stroke miterlimit="83231f" joinstyle="miter"/>
                  <v:path arrowok="t" textboxrect="0,0,6309360,11430"/>
                </v:shape>
                <w10:anchorlock/>
              </v:group>
            </w:pict>
          </mc:Fallback>
        </mc:AlternateContent>
      </w:r>
      <w:r>
        <w:rPr>
          <w:rFonts w:ascii="Arial" w:eastAsia="Arial" w:hAnsi="Arial" w:cs="Arial"/>
          <w:sz w:val="24"/>
        </w:rPr>
        <w:t xml:space="preserve"> </w:t>
      </w:r>
    </w:p>
    <w:p w14:paraId="3D72A625" w14:textId="77777777" w:rsidR="000A3D13" w:rsidRDefault="000A3D13" w:rsidP="009B16CF">
      <w:pPr>
        <w:spacing w:after="0" w:line="259" w:lineRule="auto"/>
        <w:ind w:left="468" w:right="0" w:firstLine="0"/>
        <w:rPr>
          <w:b/>
          <w:sz w:val="24"/>
          <w:u w:val="single" w:color="000000"/>
        </w:rPr>
      </w:pPr>
    </w:p>
    <w:p w14:paraId="7AB0F1BB" w14:textId="3322BB49" w:rsidR="00B56D50" w:rsidRPr="004458E5" w:rsidRDefault="001C3C42" w:rsidP="004D63E8">
      <w:pPr>
        <w:pStyle w:val="Heading5"/>
        <w:spacing w:after="16" w:line="247" w:lineRule="auto"/>
        <w:ind w:left="730" w:right="186"/>
        <w:jc w:val="left"/>
        <w:rPr>
          <w:sz w:val="24"/>
          <w:szCs w:val="24"/>
        </w:rPr>
      </w:pPr>
      <w:r w:rsidRPr="004458E5">
        <w:rPr>
          <w:sz w:val="24"/>
          <w:szCs w:val="24"/>
        </w:rPr>
        <w:t>A.</w:t>
      </w:r>
      <w:r w:rsidRPr="004458E5">
        <w:rPr>
          <w:rFonts w:ascii="Arial" w:eastAsia="Arial" w:hAnsi="Arial" w:cs="Arial"/>
          <w:sz w:val="24"/>
          <w:szCs w:val="24"/>
        </w:rPr>
        <w:t xml:space="preserve"> </w:t>
      </w:r>
      <w:r w:rsidRPr="004458E5">
        <w:rPr>
          <w:sz w:val="24"/>
          <w:szCs w:val="24"/>
        </w:rPr>
        <w:t xml:space="preserve">INORGANIC AND GENERAL ANALYSIS  </w:t>
      </w:r>
    </w:p>
    <w:p w14:paraId="660D21F7" w14:textId="28FAF55E" w:rsidR="00B56D50" w:rsidRDefault="001C3C42">
      <w:pPr>
        <w:spacing w:after="0" w:line="259" w:lineRule="auto"/>
        <w:ind w:left="1080" w:right="0" w:firstLine="0"/>
      </w:pPr>
      <w:r>
        <w:rPr>
          <w:rFonts w:ascii="Arial" w:eastAsia="Arial" w:hAnsi="Arial" w:cs="Arial"/>
          <w:sz w:val="24"/>
        </w:rPr>
        <w:t xml:space="preserve"> </w:t>
      </w:r>
    </w:p>
    <w:p w14:paraId="20DCFA31" w14:textId="56AA369D" w:rsidR="00B56D50" w:rsidRDefault="001C3C42" w:rsidP="00093377">
      <w:pPr>
        <w:numPr>
          <w:ilvl w:val="0"/>
          <w:numId w:val="22"/>
        </w:numPr>
        <w:spacing w:after="16"/>
        <w:ind w:left="1440" w:right="186" w:hanging="360"/>
      </w:pPr>
      <w:r>
        <w:rPr>
          <w:b/>
        </w:rPr>
        <w:t xml:space="preserve">Holding Times and Preservatives </w:t>
      </w:r>
    </w:p>
    <w:p w14:paraId="5876EE22" w14:textId="7AD6A27B" w:rsidR="00B56D50" w:rsidRDefault="001C3C42" w:rsidP="000B0A7E">
      <w:pPr>
        <w:ind w:left="1450" w:right="255"/>
      </w:pPr>
      <w:r>
        <w:t>The Contractor shall adhere to the holding times and preservative techniques specified in TABLE 1, Sample Containers, Preservatives, and Holding Time Requirements</w:t>
      </w:r>
      <w:r w:rsidR="004E7146">
        <w:t xml:space="preserve"> in Section IV</w:t>
      </w:r>
      <w:r>
        <w:t>, based on sample characteristics.</w:t>
      </w:r>
    </w:p>
    <w:p w14:paraId="066C8239" w14:textId="7519E2C4" w:rsidR="00B56D50" w:rsidRDefault="001C3C42">
      <w:pPr>
        <w:spacing w:after="0" w:line="259" w:lineRule="auto"/>
        <w:ind w:left="720" w:right="0" w:firstLine="0"/>
      </w:pPr>
      <w:r>
        <w:t xml:space="preserve"> </w:t>
      </w:r>
      <w:r>
        <w:rPr>
          <w:rFonts w:ascii="Arial" w:eastAsia="Arial" w:hAnsi="Arial" w:cs="Arial"/>
          <w:b/>
        </w:rPr>
        <w:t xml:space="preserve"> </w:t>
      </w:r>
    </w:p>
    <w:p w14:paraId="0BCC6C7F" w14:textId="748DF56E" w:rsidR="00B56D50" w:rsidRPr="00324699" w:rsidRDefault="001C3C42" w:rsidP="00093377">
      <w:pPr>
        <w:numPr>
          <w:ilvl w:val="0"/>
          <w:numId w:val="22"/>
        </w:numPr>
        <w:spacing w:after="16"/>
        <w:ind w:left="1440" w:right="186" w:hanging="360"/>
        <w:rPr>
          <w:b/>
          <w:bCs/>
        </w:rPr>
      </w:pPr>
      <w:r w:rsidRPr="00324699">
        <w:rPr>
          <w:b/>
          <w:bCs/>
        </w:rPr>
        <w:t xml:space="preserve">Initial Calibration </w:t>
      </w:r>
    </w:p>
    <w:p w14:paraId="3C6B08EC" w14:textId="0F76D207" w:rsidR="00B56D50" w:rsidRDefault="001C3C42" w:rsidP="000B0A7E">
      <w:pPr>
        <w:ind w:left="1450" w:right="255"/>
      </w:pPr>
      <w:r>
        <w:t xml:space="preserve">The Contractor shall calibrate all </w:t>
      </w:r>
      <w:r w:rsidR="00CE48B0">
        <w:t>instruments</w:t>
      </w:r>
      <w:r>
        <w:t xml:space="preserve"> daily or, if the analysis is not run </w:t>
      </w:r>
      <w:proofErr w:type="gramStart"/>
      <w:r>
        <w:t>on a daily basis</w:t>
      </w:r>
      <w:proofErr w:type="gramEnd"/>
      <w:r>
        <w:t xml:space="preserve">, each time the instrument is set up. Guidelines for instrument calibrations are given in </w:t>
      </w:r>
      <w:proofErr w:type="gramStart"/>
      <w:r>
        <w:t>the individual</w:t>
      </w:r>
      <w:proofErr w:type="gramEnd"/>
      <w:r>
        <w:t xml:space="preserve"> analytical methods.      </w:t>
      </w:r>
    </w:p>
    <w:p w14:paraId="714215D4" w14:textId="77777777" w:rsidR="00B56D50" w:rsidRDefault="001C3C42">
      <w:pPr>
        <w:spacing w:after="0" w:line="259" w:lineRule="auto"/>
        <w:ind w:left="540" w:right="0" w:firstLine="0"/>
      </w:pPr>
      <w:r>
        <w:t xml:space="preserve"> </w:t>
      </w:r>
    </w:p>
    <w:p w14:paraId="0F4C6CE4" w14:textId="1677E2EB" w:rsidR="00B56D50" w:rsidRDefault="001C3C42" w:rsidP="00093377">
      <w:pPr>
        <w:numPr>
          <w:ilvl w:val="0"/>
          <w:numId w:val="23"/>
        </w:numPr>
        <w:spacing w:after="16"/>
        <w:ind w:right="186" w:hanging="360"/>
      </w:pPr>
      <w:r>
        <w:rPr>
          <w:b/>
        </w:rPr>
        <w:t>For atomic absorption (AA) systems</w:t>
      </w:r>
      <w:r w:rsidRPr="003B7832">
        <w:rPr>
          <w:b/>
          <w:bCs/>
        </w:rPr>
        <w:t>:</w:t>
      </w:r>
    </w:p>
    <w:p w14:paraId="5836DCBE" w14:textId="55AB49FC" w:rsidR="00B56D50" w:rsidRDefault="00630227">
      <w:pPr>
        <w:ind w:left="1810" w:right="255"/>
      </w:pPr>
      <w:r>
        <w:t>Follow the calibration procedures outlined in the analytical method.  One calibration standard must be at the RL.  Calibration curves must be linear</w:t>
      </w:r>
      <w:r>
        <w:rPr>
          <w:i/>
        </w:rPr>
        <w:t xml:space="preserve">.  </w:t>
      </w:r>
      <w:r w:rsidR="001C3C42">
        <w:rPr>
          <w:i/>
        </w:rPr>
        <w:t>The correlation coefficient of the line of the calibration curve must be equal to or greater than 0.995.</w:t>
      </w:r>
      <w:r w:rsidR="001C3C42">
        <w:t xml:space="preserve"> </w:t>
      </w:r>
    </w:p>
    <w:p w14:paraId="4BBF4143" w14:textId="77777777" w:rsidR="00B56D50" w:rsidRDefault="001C3C42">
      <w:pPr>
        <w:spacing w:after="0" w:line="259" w:lineRule="auto"/>
        <w:ind w:left="540" w:right="0" w:firstLine="0"/>
      </w:pPr>
      <w:r>
        <w:t xml:space="preserve"> </w:t>
      </w:r>
    </w:p>
    <w:p w14:paraId="033771D3" w14:textId="77777777" w:rsidR="00B56D50" w:rsidRDefault="001C3C42" w:rsidP="00093377">
      <w:pPr>
        <w:numPr>
          <w:ilvl w:val="0"/>
          <w:numId w:val="23"/>
        </w:numPr>
        <w:spacing w:after="16"/>
        <w:ind w:right="186" w:hanging="360"/>
      </w:pPr>
      <w:r>
        <w:rPr>
          <w:b/>
        </w:rPr>
        <w:t>For cyanide, mercury, and other inorganic</w:t>
      </w:r>
      <w:r>
        <w:rPr>
          <w:b/>
          <w:strike/>
        </w:rPr>
        <w:t>s</w:t>
      </w:r>
      <w:r>
        <w:rPr>
          <w:b/>
        </w:rPr>
        <w:t xml:space="preserve"> analyses: </w:t>
      </w:r>
    </w:p>
    <w:p w14:paraId="01164DE6" w14:textId="3BCD21E2" w:rsidR="00B56D50" w:rsidRDefault="001C3C42">
      <w:pPr>
        <w:ind w:left="1810" w:right="255"/>
      </w:pPr>
      <w:r>
        <w:t>Follow the calibration procedures outlined in the analytical method.  One calibration standard must be at the RL.  Calibration curves must be linear</w:t>
      </w:r>
      <w:r>
        <w:rPr>
          <w:i/>
        </w:rPr>
        <w:t>.  The correlation coefficient of the line of the calibration curve must be equal to or greater than 0.995.</w:t>
      </w:r>
    </w:p>
    <w:p w14:paraId="4FB72468" w14:textId="77777777" w:rsidR="00B56D50" w:rsidRDefault="001C3C42">
      <w:pPr>
        <w:spacing w:after="0" w:line="259" w:lineRule="auto"/>
        <w:ind w:left="540" w:right="0" w:firstLine="0"/>
      </w:pPr>
      <w:r>
        <w:t xml:space="preserve"> </w:t>
      </w:r>
    </w:p>
    <w:p w14:paraId="3FFC8EEE" w14:textId="6ABF0CD0" w:rsidR="00B56D50" w:rsidRDefault="001C3C42" w:rsidP="00093377">
      <w:pPr>
        <w:pStyle w:val="Heading6"/>
        <w:numPr>
          <w:ilvl w:val="0"/>
          <w:numId w:val="23"/>
        </w:numPr>
        <w:ind w:right="186" w:hanging="360"/>
      </w:pPr>
      <w:r>
        <w:t>For ICP systems</w:t>
      </w:r>
      <w:r w:rsidR="00255404">
        <w:t>:</w:t>
      </w:r>
      <w:r>
        <w:t xml:space="preserve"> </w:t>
      </w:r>
    </w:p>
    <w:p w14:paraId="57040F6F" w14:textId="77777777" w:rsidR="00B56D50" w:rsidRDefault="001C3C42">
      <w:pPr>
        <w:ind w:left="1810" w:right="255"/>
      </w:pPr>
      <w:r>
        <w:t>Calibrate the instrument according to instrument manufacturer's recommended procedures.</w:t>
      </w:r>
      <w:r>
        <w:rPr>
          <w:b/>
        </w:rPr>
        <w:t xml:space="preserve"> </w:t>
      </w:r>
    </w:p>
    <w:p w14:paraId="51D10065" w14:textId="77777777" w:rsidR="00B56D50" w:rsidRDefault="001C3C42">
      <w:pPr>
        <w:spacing w:after="0" w:line="259" w:lineRule="auto"/>
        <w:ind w:left="540" w:right="0" w:firstLine="0"/>
      </w:pPr>
      <w:r>
        <w:t xml:space="preserve"> </w:t>
      </w:r>
    </w:p>
    <w:p w14:paraId="5A09122F" w14:textId="1DC661F2" w:rsidR="00B56D50" w:rsidRDefault="001C3C42">
      <w:pPr>
        <w:ind w:left="1810" w:right="255"/>
      </w:pPr>
      <w:r>
        <w:rPr>
          <w:b/>
        </w:rPr>
        <w:t>If an ICP/MS system is used</w:t>
      </w:r>
      <w:r>
        <w:t xml:space="preserve">, the mass spectrometer must be </w:t>
      </w:r>
      <w:r>
        <w:rPr>
          <w:u w:val="single" w:color="000000"/>
        </w:rPr>
        <w:t>tuned</w:t>
      </w:r>
      <w:r>
        <w:t xml:space="preserve"> to ensure that mass calibration and resolution are within required specifications.  This must be done in addition to calibration of the ICP.  Also, </w:t>
      </w:r>
      <w:r>
        <w:rPr>
          <w:u w:val="single" w:color="000000"/>
        </w:rPr>
        <w:t>internal standards</w:t>
      </w:r>
      <w:r>
        <w:t xml:space="preserve"> corresponding to each analyte must be added to all field samples, quality control samples, and calibration standards.   </w:t>
      </w:r>
    </w:p>
    <w:p w14:paraId="290B79B4" w14:textId="77777777" w:rsidR="00B56D50" w:rsidRDefault="001C3C42">
      <w:pPr>
        <w:spacing w:after="0" w:line="259" w:lineRule="auto"/>
        <w:ind w:left="540" w:right="0" w:firstLine="0"/>
      </w:pPr>
      <w:r>
        <w:t xml:space="preserve"> </w:t>
      </w:r>
    </w:p>
    <w:p w14:paraId="3848C60F" w14:textId="70A19059" w:rsidR="00B56D50" w:rsidRPr="00324699" w:rsidRDefault="001C3C42" w:rsidP="00093377">
      <w:pPr>
        <w:numPr>
          <w:ilvl w:val="0"/>
          <w:numId w:val="22"/>
        </w:numPr>
        <w:spacing w:after="16"/>
        <w:ind w:left="1440" w:right="186" w:hanging="360"/>
        <w:rPr>
          <w:b/>
          <w:bCs/>
        </w:rPr>
      </w:pPr>
      <w:r w:rsidRPr="00324699">
        <w:rPr>
          <w:b/>
          <w:bCs/>
        </w:rPr>
        <w:t xml:space="preserve">Initial and Continuing Calibration Verification </w:t>
      </w:r>
    </w:p>
    <w:p w14:paraId="5AE2F4DB" w14:textId="59858441" w:rsidR="00B56D50" w:rsidRDefault="001C3C42" w:rsidP="00631120">
      <w:pPr>
        <w:ind w:left="1450" w:right="255"/>
      </w:pPr>
      <w:r>
        <w:t>The Contractor shall verify and document the accuracy of the initial calibration for every analyte by the analysis of an initial calibration verification solution after instrument calibration has been performed with the curve provided. To ensure calibration accuracy throughout the analytical run, a continuing calibration verification standard must be run at</w:t>
      </w:r>
      <w:r w:rsidR="00423259">
        <w:t xml:space="preserve"> typically, one per every ten samples or one per sample set whenever the sample set is less than ten samples.</w:t>
      </w:r>
      <w:r w:rsidR="00901C3E">
        <w:t xml:space="preserve">  Refer to T</w:t>
      </w:r>
      <w:r w:rsidR="00CF388B">
        <w:t>ABLE</w:t>
      </w:r>
      <w:r w:rsidR="00901C3E">
        <w:t xml:space="preserve"> 2 for additional information</w:t>
      </w:r>
      <w:r w:rsidR="003D1FB2">
        <w:t xml:space="preserve"> regarding limit criteria</w:t>
      </w:r>
      <w:r w:rsidR="00901C3E">
        <w:t>.</w:t>
      </w:r>
      <w:r w:rsidR="00423259">
        <w:t xml:space="preserve"> </w:t>
      </w:r>
    </w:p>
    <w:p w14:paraId="4FD8535E" w14:textId="77777777" w:rsidR="00B56D50" w:rsidRDefault="001C3C42">
      <w:pPr>
        <w:spacing w:after="0" w:line="259" w:lineRule="auto"/>
        <w:ind w:left="540" w:right="0" w:firstLine="0"/>
      </w:pPr>
      <w:r>
        <w:t xml:space="preserve"> </w:t>
      </w:r>
    </w:p>
    <w:p w14:paraId="390326DF" w14:textId="33FE179A" w:rsidR="00B56D50" w:rsidRDefault="001C3C42" w:rsidP="00093377">
      <w:pPr>
        <w:pStyle w:val="Heading6"/>
        <w:numPr>
          <w:ilvl w:val="1"/>
          <w:numId w:val="18"/>
        </w:numPr>
        <w:ind w:left="1800" w:right="186" w:hanging="360"/>
      </w:pPr>
      <w:r>
        <w:t xml:space="preserve">Initial Calibration Verification </w:t>
      </w:r>
    </w:p>
    <w:p w14:paraId="7D6C3879" w14:textId="3647119C" w:rsidR="00B56D50" w:rsidRDefault="001C3C42" w:rsidP="00B37EC3">
      <w:pPr>
        <w:ind w:left="1800" w:right="128" w:firstLine="0"/>
      </w:pPr>
      <w:r>
        <w:t>The accuracy of the initial calibration is verified by the analysis of at least a calibration blank</w:t>
      </w:r>
      <w:r w:rsidR="00021148">
        <w:t xml:space="preserve"> </w:t>
      </w:r>
      <w:r>
        <w:t xml:space="preserve">and a calibration check standard, often referred to as an initial calibration verification standard or solution (ICV).  The measured concentration of the ICV must be within the percentage of its true value indicated in TABLE 2 for the curve to be considered valid.  When measurements exceed the control limits of TABLE 2, the analysis </w:t>
      </w:r>
      <w:r>
        <w:rPr>
          <w:u w:val="single" w:color="000000"/>
        </w:rPr>
        <w:t>must</w:t>
      </w:r>
      <w:r>
        <w:t xml:space="preserve"> be terminated, the problem corrected, the instrument recalibrated, and the calibration reverified. </w:t>
      </w:r>
    </w:p>
    <w:p w14:paraId="0ED1D276" w14:textId="37ECA319" w:rsidR="00B56D50" w:rsidRDefault="00B56D50" w:rsidP="0064505C">
      <w:pPr>
        <w:ind w:left="1810" w:right="1034"/>
      </w:pPr>
    </w:p>
    <w:p w14:paraId="2283BB68" w14:textId="181A4083" w:rsidR="00B56D50" w:rsidRDefault="001C3C42" w:rsidP="00093377">
      <w:pPr>
        <w:pStyle w:val="Heading6"/>
        <w:numPr>
          <w:ilvl w:val="1"/>
          <w:numId w:val="18"/>
        </w:numPr>
        <w:ind w:left="1800" w:right="186" w:hanging="360"/>
      </w:pPr>
      <w:r>
        <w:lastRenderedPageBreak/>
        <w:t xml:space="preserve">Continuing Calibration Verification  </w:t>
      </w:r>
    </w:p>
    <w:p w14:paraId="53B93BF6" w14:textId="48A991E6" w:rsidR="00B56D50" w:rsidRDefault="001C3C42" w:rsidP="00AC0972">
      <w:pPr>
        <w:ind w:left="1810" w:right="255"/>
      </w:pPr>
      <w:r>
        <w:t xml:space="preserve">If more than 10 samples per day are analyzed, the working standard curve must be verified by measuring satisfactorily a mid-range standard or reference standard after every 10 samples, or 1 per sample set whenever the sample set is less than 10.   Every effort must be made to analyze the State samples as a set.  If samples other than the </w:t>
      </w:r>
      <w:proofErr w:type="spellStart"/>
      <w:r>
        <w:t>State’s</w:t>
      </w:r>
      <w:proofErr w:type="spellEnd"/>
      <w:r>
        <w:t xml:space="preserve"> are prepared for analysis in a set with the State samples, these samples are to be regarded as part of the 1 in 10 </w:t>
      </w:r>
      <w:proofErr w:type="gramStart"/>
      <w:r>
        <w:t>frequency</w:t>
      </w:r>
      <w:proofErr w:type="gramEnd"/>
      <w:r>
        <w:t xml:space="preserve">. One continuing calibration verification standard must also be performed for each analyte at the beginning of the run and after the last analytical sample.  The analyte concentrations in the continuing calibration standard must be at or near the mid-range levels of the calibration curve.  A </w:t>
      </w:r>
      <w:proofErr w:type="gramStart"/>
      <w:r>
        <w:t>log</w:t>
      </w:r>
      <w:proofErr w:type="gramEnd"/>
      <w:r>
        <w:t xml:space="preserve"> of spiking solutions, preparation, and sources must be maintained.</w:t>
      </w:r>
    </w:p>
    <w:p w14:paraId="0BC71323" w14:textId="77777777" w:rsidR="00AC0972" w:rsidRDefault="00AC0972" w:rsidP="00983501">
      <w:pPr>
        <w:ind w:left="1810" w:right="886"/>
      </w:pPr>
    </w:p>
    <w:p w14:paraId="5E133F05" w14:textId="6F59ECCF" w:rsidR="00B56D50" w:rsidRDefault="001C3C42" w:rsidP="00983501">
      <w:pPr>
        <w:ind w:left="1810" w:right="259"/>
      </w:pPr>
      <w:r>
        <w:t xml:space="preserve">If the deviation of the continuing calibration verification is greater than the control limits specified in TABLE 2, the instrument must be </w:t>
      </w:r>
      <w:r w:rsidR="00B361DF">
        <w:t>recalibrated,</w:t>
      </w:r>
      <w:r>
        <w:t xml:space="preserve"> and the preceding 10 samples reanalyzed for the analytes affected.  Information regarding the continuing verification of calibration must be recorded and reported. </w:t>
      </w:r>
    </w:p>
    <w:p w14:paraId="7A0076E8" w14:textId="2E0C093C" w:rsidR="00B56D50" w:rsidRDefault="00B56D50" w:rsidP="00983501">
      <w:pPr>
        <w:spacing w:after="0" w:line="259" w:lineRule="auto"/>
        <w:ind w:left="1810" w:right="0"/>
      </w:pPr>
    </w:p>
    <w:p w14:paraId="7EDE90CC" w14:textId="77777777" w:rsidR="00B56D50" w:rsidRDefault="001C3C42">
      <w:pPr>
        <w:pStyle w:val="Heading5"/>
        <w:ind w:left="1024" w:right="598"/>
      </w:pPr>
      <w:r>
        <w:t xml:space="preserve">TABLE 2 </w:t>
      </w:r>
    </w:p>
    <w:p w14:paraId="3B65DF51" w14:textId="77777777" w:rsidR="00B56D50" w:rsidRDefault="001C3C42">
      <w:pPr>
        <w:pStyle w:val="Heading6"/>
        <w:spacing w:after="14" w:line="248" w:lineRule="auto"/>
        <w:ind w:left="1024" w:right="596"/>
        <w:jc w:val="center"/>
      </w:pPr>
      <w:r>
        <w:t xml:space="preserve">Initial and Continuing Calibration Verification Control Limits for Inorganic Analyses </w:t>
      </w:r>
    </w:p>
    <w:p w14:paraId="4E34EDFB" w14:textId="2A539C93" w:rsidR="00B56D50" w:rsidRPr="00983501" w:rsidRDefault="001C3C42" w:rsidP="001C3C60">
      <w:pPr>
        <w:spacing w:after="0" w:line="259" w:lineRule="auto"/>
        <w:ind w:right="0"/>
      </w:pPr>
      <w:r w:rsidRPr="00983501">
        <w:t xml:space="preserve"> </w:t>
      </w:r>
    </w:p>
    <w:tbl>
      <w:tblPr>
        <w:tblStyle w:val="TableGrid1"/>
        <w:tblW w:w="9448" w:type="dxa"/>
        <w:tblInd w:w="812" w:type="dxa"/>
        <w:tblCellMar>
          <w:left w:w="118" w:type="dxa"/>
          <w:right w:w="113" w:type="dxa"/>
        </w:tblCellMar>
        <w:tblLook w:val="04A0" w:firstRow="1" w:lastRow="0" w:firstColumn="1" w:lastColumn="0" w:noHBand="0" w:noVBand="1"/>
      </w:tblPr>
      <w:tblGrid>
        <w:gridCol w:w="2544"/>
        <w:gridCol w:w="3543"/>
        <w:gridCol w:w="1726"/>
        <w:gridCol w:w="1635"/>
      </w:tblGrid>
      <w:tr w:rsidR="00B56D50" w14:paraId="1A6D5DC0" w14:textId="77777777" w:rsidTr="00631120">
        <w:trPr>
          <w:trHeight w:val="191"/>
        </w:trPr>
        <w:tc>
          <w:tcPr>
            <w:tcW w:w="2545" w:type="dxa"/>
            <w:tcBorders>
              <w:top w:val="single" w:sz="12" w:space="0" w:color="000000"/>
              <w:left w:val="single" w:sz="12" w:space="0" w:color="000000"/>
              <w:bottom w:val="single" w:sz="6" w:space="0" w:color="FFFFFF"/>
              <w:right w:val="single" w:sz="12" w:space="0" w:color="000000"/>
            </w:tcBorders>
            <w:vAlign w:val="bottom"/>
          </w:tcPr>
          <w:p w14:paraId="4A4308F1" w14:textId="4CA3E944" w:rsidR="00B56D50" w:rsidRDefault="001C3C42" w:rsidP="00FD2397">
            <w:pPr>
              <w:spacing w:after="0" w:line="259" w:lineRule="auto"/>
              <w:ind w:left="2" w:right="0" w:firstLine="0"/>
            </w:pPr>
            <w:r>
              <w:rPr>
                <w:sz w:val="20"/>
              </w:rPr>
              <w:t xml:space="preserve"> </w:t>
            </w:r>
          </w:p>
        </w:tc>
        <w:tc>
          <w:tcPr>
            <w:tcW w:w="3543" w:type="dxa"/>
            <w:tcBorders>
              <w:top w:val="single" w:sz="12" w:space="0" w:color="000000"/>
              <w:left w:val="single" w:sz="12" w:space="0" w:color="000000"/>
              <w:bottom w:val="single" w:sz="6" w:space="0" w:color="FFFFFF"/>
              <w:right w:val="single" w:sz="12" w:space="0" w:color="000000"/>
            </w:tcBorders>
            <w:vAlign w:val="bottom"/>
          </w:tcPr>
          <w:p w14:paraId="05E79C2F" w14:textId="512A9429" w:rsidR="00B56D50" w:rsidRDefault="00B56D50" w:rsidP="00387902">
            <w:pPr>
              <w:spacing w:after="0" w:line="259" w:lineRule="auto"/>
              <w:ind w:left="0" w:right="0" w:firstLine="0"/>
            </w:pPr>
          </w:p>
        </w:tc>
        <w:tc>
          <w:tcPr>
            <w:tcW w:w="3361" w:type="dxa"/>
            <w:gridSpan w:val="2"/>
            <w:tcBorders>
              <w:top w:val="single" w:sz="12" w:space="0" w:color="000000"/>
              <w:left w:val="single" w:sz="12" w:space="0" w:color="000000"/>
              <w:bottom w:val="single" w:sz="6" w:space="0" w:color="FFFFFF"/>
              <w:right w:val="single" w:sz="12" w:space="0" w:color="000000"/>
            </w:tcBorders>
            <w:vAlign w:val="center"/>
          </w:tcPr>
          <w:p w14:paraId="62C42932" w14:textId="4B0A914F" w:rsidR="00B56D50" w:rsidRDefault="001C3C42" w:rsidP="00631120">
            <w:pPr>
              <w:spacing w:after="0" w:line="259" w:lineRule="auto"/>
              <w:ind w:left="0" w:right="8" w:firstLine="0"/>
              <w:jc w:val="center"/>
            </w:pPr>
            <w:r>
              <w:rPr>
                <w:b/>
                <w:sz w:val="20"/>
              </w:rPr>
              <w:t>% of True Value</w:t>
            </w:r>
          </w:p>
        </w:tc>
      </w:tr>
      <w:tr w:rsidR="00B56D50" w14:paraId="51AE580E" w14:textId="77777777" w:rsidTr="00631120">
        <w:trPr>
          <w:trHeight w:val="322"/>
        </w:trPr>
        <w:tc>
          <w:tcPr>
            <w:tcW w:w="2545" w:type="dxa"/>
            <w:tcBorders>
              <w:top w:val="single" w:sz="6" w:space="0" w:color="FFFFFF"/>
              <w:left w:val="single" w:sz="12" w:space="0" w:color="000000"/>
              <w:bottom w:val="single" w:sz="6" w:space="0" w:color="FFFFFF"/>
              <w:right w:val="single" w:sz="12" w:space="0" w:color="000000"/>
            </w:tcBorders>
            <w:vAlign w:val="center"/>
          </w:tcPr>
          <w:p w14:paraId="0294F1E2" w14:textId="174FB811" w:rsidR="00B56D50" w:rsidRDefault="001C3C42" w:rsidP="00631120">
            <w:pPr>
              <w:spacing w:after="0" w:line="259" w:lineRule="auto"/>
              <w:ind w:left="0" w:right="4" w:firstLine="0"/>
              <w:jc w:val="center"/>
            </w:pPr>
            <w:r>
              <w:rPr>
                <w:b/>
                <w:sz w:val="20"/>
              </w:rPr>
              <w:t>Analytical Method</w:t>
            </w:r>
          </w:p>
        </w:tc>
        <w:tc>
          <w:tcPr>
            <w:tcW w:w="3543" w:type="dxa"/>
            <w:tcBorders>
              <w:top w:val="single" w:sz="6" w:space="0" w:color="FFFFFF"/>
              <w:left w:val="single" w:sz="12" w:space="0" w:color="000000"/>
              <w:bottom w:val="single" w:sz="6" w:space="0" w:color="FFFFFF"/>
              <w:right w:val="single" w:sz="12" w:space="0" w:color="000000"/>
            </w:tcBorders>
            <w:vAlign w:val="center"/>
          </w:tcPr>
          <w:p w14:paraId="3043E783" w14:textId="115100A3" w:rsidR="00B56D50" w:rsidRDefault="001C3C42" w:rsidP="00631120">
            <w:pPr>
              <w:spacing w:after="0" w:line="259" w:lineRule="auto"/>
              <w:ind w:left="0" w:right="14" w:firstLine="0"/>
              <w:jc w:val="center"/>
            </w:pPr>
            <w:r>
              <w:rPr>
                <w:b/>
                <w:sz w:val="20"/>
              </w:rPr>
              <w:t>Inorganic Species</w:t>
            </w:r>
          </w:p>
        </w:tc>
        <w:tc>
          <w:tcPr>
            <w:tcW w:w="3361" w:type="dxa"/>
            <w:gridSpan w:val="2"/>
            <w:tcBorders>
              <w:top w:val="single" w:sz="6" w:space="0" w:color="FFFFFF"/>
              <w:left w:val="single" w:sz="12" w:space="0" w:color="000000"/>
              <w:bottom w:val="single" w:sz="12" w:space="0" w:color="000000"/>
              <w:right w:val="single" w:sz="12" w:space="0" w:color="000000"/>
            </w:tcBorders>
            <w:vAlign w:val="center"/>
          </w:tcPr>
          <w:p w14:paraId="240AE98C" w14:textId="4EC77827" w:rsidR="00B56D50" w:rsidRDefault="001C3C42" w:rsidP="00631120">
            <w:pPr>
              <w:spacing w:after="0" w:line="259" w:lineRule="auto"/>
              <w:ind w:left="0" w:right="5" w:firstLine="0"/>
              <w:jc w:val="center"/>
            </w:pPr>
            <w:r>
              <w:rPr>
                <w:sz w:val="20"/>
              </w:rPr>
              <w:t>(</w:t>
            </w:r>
            <w:r w:rsidR="00E12105">
              <w:rPr>
                <w:sz w:val="20"/>
              </w:rPr>
              <w:t>USEPA</w:t>
            </w:r>
            <w:r>
              <w:rPr>
                <w:sz w:val="20"/>
              </w:rPr>
              <w:t xml:space="preserve"> Set)</w:t>
            </w:r>
          </w:p>
        </w:tc>
      </w:tr>
      <w:tr w:rsidR="00B56D50" w14:paraId="4C90BABA" w14:textId="77777777" w:rsidTr="00631120">
        <w:trPr>
          <w:trHeight w:val="316"/>
        </w:trPr>
        <w:tc>
          <w:tcPr>
            <w:tcW w:w="2545" w:type="dxa"/>
            <w:tcBorders>
              <w:top w:val="single" w:sz="6" w:space="0" w:color="FFFFFF"/>
              <w:left w:val="single" w:sz="12" w:space="0" w:color="000000"/>
              <w:bottom w:val="single" w:sz="12" w:space="0" w:color="000000"/>
              <w:right w:val="single" w:sz="12" w:space="0" w:color="000000"/>
            </w:tcBorders>
            <w:vAlign w:val="center"/>
          </w:tcPr>
          <w:p w14:paraId="2874F3C5" w14:textId="2D06D128" w:rsidR="00B56D50" w:rsidRDefault="00B56D50" w:rsidP="00631120">
            <w:pPr>
              <w:spacing w:after="0" w:line="259" w:lineRule="auto"/>
              <w:ind w:left="0" w:right="0" w:firstLine="0"/>
              <w:jc w:val="center"/>
            </w:pPr>
          </w:p>
        </w:tc>
        <w:tc>
          <w:tcPr>
            <w:tcW w:w="3543" w:type="dxa"/>
            <w:tcBorders>
              <w:top w:val="single" w:sz="6" w:space="0" w:color="FFFFFF"/>
              <w:left w:val="single" w:sz="12" w:space="0" w:color="000000"/>
              <w:bottom w:val="single" w:sz="12" w:space="0" w:color="000000"/>
              <w:right w:val="single" w:sz="12" w:space="0" w:color="000000"/>
            </w:tcBorders>
            <w:vAlign w:val="center"/>
          </w:tcPr>
          <w:p w14:paraId="29B88883" w14:textId="7992B7BB" w:rsidR="00B56D50" w:rsidRDefault="00B56D50" w:rsidP="00631120">
            <w:pPr>
              <w:spacing w:after="0" w:line="259" w:lineRule="auto"/>
              <w:ind w:left="0" w:right="0" w:firstLine="0"/>
              <w:jc w:val="center"/>
            </w:pPr>
          </w:p>
        </w:tc>
        <w:tc>
          <w:tcPr>
            <w:tcW w:w="1726" w:type="dxa"/>
            <w:tcBorders>
              <w:top w:val="single" w:sz="12" w:space="0" w:color="000000"/>
              <w:left w:val="single" w:sz="12" w:space="0" w:color="000000"/>
              <w:bottom w:val="single" w:sz="12" w:space="0" w:color="000000"/>
              <w:right w:val="single" w:sz="12" w:space="0" w:color="000000"/>
            </w:tcBorders>
            <w:vAlign w:val="center"/>
          </w:tcPr>
          <w:p w14:paraId="2759C90E" w14:textId="68552E5A" w:rsidR="00B56D50" w:rsidRDefault="001C3C42" w:rsidP="00631120">
            <w:pPr>
              <w:spacing w:after="0" w:line="259" w:lineRule="auto"/>
              <w:ind w:left="0" w:right="6" w:firstLine="0"/>
              <w:jc w:val="center"/>
            </w:pPr>
            <w:r>
              <w:rPr>
                <w:b/>
                <w:sz w:val="20"/>
              </w:rPr>
              <w:t>Low Limit</w:t>
            </w:r>
          </w:p>
        </w:tc>
        <w:tc>
          <w:tcPr>
            <w:tcW w:w="1634" w:type="dxa"/>
            <w:tcBorders>
              <w:top w:val="single" w:sz="12" w:space="0" w:color="000000"/>
              <w:left w:val="single" w:sz="12" w:space="0" w:color="000000"/>
              <w:bottom w:val="single" w:sz="12" w:space="0" w:color="000000"/>
              <w:right w:val="single" w:sz="12" w:space="0" w:color="000000"/>
            </w:tcBorders>
            <w:vAlign w:val="center"/>
          </w:tcPr>
          <w:p w14:paraId="3A82F228" w14:textId="26E02C28" w:rsidR="00B56D50" w:rsidRDefault="001C3C42" w:rsidP="00631120">
            <w:pPr>
              <w:spacing w:after="0" w:line="259" w:lineRule="auto"/>
              <w:ind w:left="0" w:right="6" w:firstLine="0"/>
              <w:jc w:val="center"/>
            </w:pPr>
            <w:r>
              <w:rPr>
                <w:b/>
                <w:sz w:val="20"/>
              </w:rPr>
              <w:t>High Limit</w:t>
            </w:r>
          </w:p>
        </w:tc>
      </w:tr>
      <w:tr w:rsidR="00B56D50" w14:paraId="7DFF1F11" w14:textId="77777777" w:rsidTr="00D2226A">
        <w:trPr>
          <w:trHeight w:val="432"/>
        </w:trPr>
        <w:tc>
          <w:tcPr>
            <w:tcW w:w="2545" w:type="dxa"/>
            <w:tcBorders>
              <w:top w:val="single" w:sz="12" w:space="0" w:color="000000"/>
              <w:left w:val="single" w:sz="12" w:space="0" w:color="000000"/>
              <w:bottom w:val="single" w:sz="4" w:space="0" w:color="000000"/>
              <w:right w:val="single" w:sz="12" w:space="0" w:color="000000"/>
            </w:tcBorders>
            <w:vAlign w:val="center"/>
          </w:tcPr>
          <w:p w14:paraId="44C04AC6" w14:textId="273DBF32" w:rsidR="00B56D50" w:rsidRDefault="001C3C42" w:rsidP="00D2226A">
            <w:pPr>
              <w:spacing w:after="0" w:line="259" w:lineRule="auto"/>
              <w:ind w:right="0"/>
            </w:pPr>
            <w:r>
              <w:rPr>
                <w:sz w:val="20"/>
              </w:rPr>
              <w:t xml:space="preserve">ICP/AA (except cold vapor) </w:t>
            </w:r>
          </w:p>
        </w:tc>
        <w:tc>
          <w:tcPr>
            <w:tcW w:w="3543" w:type="dxa"/>
            <w:tcBorders>
              <w:top w:val="single" w:sz="12" w:space="0" w:color="000000"/>
              <w:left w:val="single" w:sz="12" w:space="0" w:color="000000"/>
              <w:bottom w:val="single" w:sz="4" w:space="0" w:color="000000"/>
              <w:right w:val="single" w:sz="12" w:space="0" w:color="000000"/>
            </w:tcBorders>
            <w:vAlign w:val="center"/>
          </w:tcPr>
          <w:p w14:paraId="68F9A3C4" w14:textId="58423E42" w:rsidR="00B56D50" w:rsidRDefault="001C3C42" w:rsidP="00D2226A">
            <w:pPr>
              <w:spacing w:after="0" w:line="259" w:lineRule="auto"/>
              <w:ind w:left="0" w:right="0" w:firstLine="0"/>
              <w:jc w:val="center"/>
            </w:pPr>
            <w:r>
              <w:rPr>
                <w:sz w:val="20"/>
              </w:rPr>
              <w:t>Metals</w:t>
            </w:r>
          </w:p>
        </w:tc>
        <w:tc>
          <w:tcPr>
            <w:tcW w:w="1726" w:type="dxa"/>
            <w:tcBorders>
              <w:top w:val="single" w:sz="12" w:space="0" w:color="000000"/>
              <w:left w:val="single" w:sz="12" w:space="0" w:color="000000"/>
              <w:bottom w:val="single" w:sz="4" w:space="0" w:color="000000"/>
              <w:right w:val="single" w:sz="12" w:space="0" w:color="000000"/>
            </w:tcBorders>
            <w:vAlign w:val="center"/>
          </w:tcPr>
          <w:p w14:paraId="713D9675" w14:textId="5B834757" w:rsidR="00B56D50" w:rsidRDefault="001C3C42" w:rsidP="00D2226A">
            <w:pPr>
              <w:spacing w:after="0" w:line="259" w:lineRule="auto"/>
              <w:ind w:left="2" w:right="0" w:firstLine="0"/>
              <w:jc w:val="center"/>
            </w:pPr>
            <w:r>
              <w:rPr>
                <w:sz w:val="20"/>
              </w:rPr>
              <w:t>90</w:t>
            </w:r>
          </w:p>
        </w:tc>
        <w:tc>
          <w:tcPr>
            <w:tcW w:w="1634" w:type="dxa"/>
            <w:tcBorders>
              <w:top w:val="single" w:sz="12" w:space="0" w:color="000000"/>
              <w:left w:val="single" w:sz="12" w:space="0" w:color="000000"/>
              <w:bottom w:val="single" w:sz="4" w:space="0" w:color="000000"/>
              <w:right w:val="single" w:sz="12" w:space="0" w:color="000000"/>
            </w:tcBorders>
            <w:vAlign w:val="center"/>
          </w:tcPr>
          <w:p w14:paraId="44A4B6A1" w14:textId="3E271761" w:rsidR="00B56D50" w:rsidRDefault="001C3C42" w:rsidP="00D2226A">
            <w:pPr>
              <w:spacing w:after="0" w:line="259" w:lineRule="auto"/>
              <w:ind w:left="2" w:right="0" w:firstLine="0"/>
              <w:jc w:val="center"/>
            </w:pPr>
            <w:r>
              <w:rPr>
                <w:sz w:val="20"/>
              </w:rPr>
              <w:t>110</w:t>
            </w:r>
          </w:p>
        </w:tc>
      </w:tr>
      <w:tr w:rsidR="00B56D50" w14:paraId="4400F87A" w14:textId="77777777" w:rsidTr="004D1E36">
        <w:trPr>
          <w:trHeight w:val="427"/>
        </w:trPr>
        <w:tc>
          <w:tcPr>
            <w:tcW w:w="2545" w:type="dxa"/>
            <w:tcBorders>
              <w:top w:val="single" w:sz="4" w:space="0" w:color="000000"/>
              <w:left w:val="single" w:sz="12" w:space="0" w:color="000000"/>
              <w:bottom w:val="single" w:sz="4" w:space="0" w:color="000000"/>
              <w:right w:val="single" w:sz="12" w:space="0" w:color="000000"/>
            </w:tcBorders>
            <w:vAlign w:val="center"/>
          </w:tcPr>
          <w:p w14:paraId="2781E4FD" w14:textId="3F4828C8" w:rsidR="00B56D50" w:rsidRDefault="001C3C42" w:rsidP="00D2226A">
            <w:pPr>
              <w:spacing w:after="0" w:line="259" w:lineRule="auto"/>
              <w:ind w:right="0"/>
            </w:pPr>
            <w:r>
              <w:rPr>
                <w:sz w:val="20"/>
              </w:rPr>
              <w:t>Cold Vapor AA</w:t>
            </w:r>
          </w:p>
        </w:tc>
        <w:tc>
          <w:tcPr>
            <w:tcW w:w="3543" w:type="dxa"/>
            <w:tcBorders>
              <w:top w:val="single" w:sz="4" w:space="0" w:color="000000"/>
              <w:left w:val="single" w:sz="12" w:space="0" w:color="000000"/>
              <w:bottom w:val="single" w:sz="4" w:space="0" w:color="000000"/>
              <w:right w:val="single" w:sz="12" w:space="0" w:color="000000"/>
            </w:tcBorders>
            <w:vAlign w:val="center"/>
          </w:tcPr>
          <w:p w14:paraId="096CAE7D" w14:textId="0D24129F" w:rsidR="00B56D50" w:rsidRDefault="001C3C42" w:rsidP="00D2226A">
            <w:pPr>
              <w:spacing w:after="0" w:line="259" w:lineRule="auto"/>
              <w:ind w:left="0" w:right="0" w:firstLine="0"/>
              <w:jc w:val="center"/>
            </w:pPr>
            <w:r>
              <w:rPr>
                <w:sz w:val="20"/>
              </w:rPr>
              <w:t>Mercury</w:t>
            </w:r>
          </w:p>
        </w:tc>
        <w:tc>
          <w:tcPr>
            <w:tcW w:w="1726" w:type="dxa"/>
            <w:tcBorders>
              <w:top w:val="single" w:sz="4" w:space="0" w:color="000000"/>
              <w:left w:val="single" w:sz="12" w:space="0" w:color="000000"/>
              <w:bottom w:val="single" w:sz="4" w:space="0" w:color="000000"/>
              <w:right w:val="single" w:sz="12" w:space="0" w:color="000000"/>
            </w:tcBorders>
            <w:vAlign w:val="center"/>
          </w:tcPr>
          <w:p w14:paraId="1670365A" w14:textId="66E2877C" w:rsidR="00B56D50" w:rsidRDefault="001C3C42" w:rsidP="00D2226A">
            <w:pPr>
              <w:spacing w:after="0" w:line="259" w:lineRule="auto"/>
              <w:ind w:left="0" w:right="4" w:firstLine="0"/>
              <w:jc w:val="center"/>
            </w:pPr>
            <w:r>
              <w:rPr>
                <w:sz w:val="20"/>
              </w:rPr>
              <w:t>80</w:t>
            </w:r>
          </w:p>
        </w:tc>
        <w:tc>
          <w:tcPr>
            <w:tcW w:w="1634" w:type="dxa"/>
            <w:tcBorders>
              <w:top w:val="single" w:sz="4" w:space="0" w:color="000000"/>
              <w:left w:val="single" w:sz="12" w:space="0" w:color="000000"/>
              <w:bottom w:val="single" w:sz="4" w:space="0" w:color="000000"/>
              <w:right w:val="single" w:sz="12" w:space="0" w:color="000000"/>
            </w:tcBorders>
            <w:vAlign w:val="center"/>
          </w:tcPr>
          <w:p w14:paraId="19DCBB0F" w14:textId="27158DAC" w:rsidR="00B56D50" w:rsidRDefault="001C3C42" w:rsidP="00D2226A">
            <w:pPr>
              <w:spacing w:after="0" w:line="259" w:lineRule="auto"/>
              <w:ind w:left="0" w:right="3" w:firstLine="0"/>
              <w:jc w:val="center"/>
            </w:pPr>
            <w:r>
              <w:rPr>
                <w:sz w:val="20"/>
              </w:rPr>
              <w:t>120</w:t>
            </w:r>
          </w:p>
        </w:tc>
      </w:tr>
      <w:tr w:rsidR="00B56D50" w14:paraId="74395458" w14:textId="77777777" w:rsidTr="004D1E36">
        <w:trPr>
          <w:trHeight w:val="427"/>
        </w:trPr>
        <w:tc>
          <w:tcPr>
            <w:tcW w:w="2545" w:type="dxa"/>
            <w:tcBorders>
              <w:top w:val="single" w:sz="4" w:space="0" w:color="000000"/>
              <w:left w:val="single" w:sz="12" w:space="0" w:color="000000"/>
              <w:bottom w:val="single" w:sz="4" w:space="0" w:color="000000"/>
              <w:right w:val="single" w:sz="12" w:space="0" w:color="000000"/>
            </w:tcBorders>
            <w:vAlign w:val="center"/>
          </w:tcPr>
          <w:p w14:paraId="3AEF6A0C" w14:textId="02643E00" w:rsidR="00B56D50" w:rsidRDefault="001C3C42" w:rsidP="005F5770">
            <w:pPr>
              <w:spacing w:after="0" w:line="259" w:lineRule="auto"/>
              <w:ind w:left="2" w:right="0" w:firstLine="0"/>
            </w:pPr>
            <w:r>
              <w:rPr>
                <w:sz w:val="20"/>
              </w:rPr>
              <w:t>Other</w:t>
            </w:r>
          </w:p>
        </w:tc>
        <w:tc>
          <w:tcPr>
            <w:tcW w:w="3543" w:type="dxa"/>
            <w:tcBorders>
              <w:top w:val="single" w:sz="4" w:space="0" w:color="000000"/>
              <w:left w:val="single" w:sz="12" w:space="0" w:color="000000"/>
              <w:bottom w:val="single" w:sz="4" w:space="0" w:color="000000"/>
              <w:right w:val="single" w:sz="12" w:space="0" w:color="000000"/>
            </w:tcBorders>
            <w:vAlign w:val="center"/>
          </w:tcPr>
          <w:p w14:paraId="373615FF" w14:textId="59CC7E2D" w:rsidR="00B56D50" w:rsidRDefault="001C3C42" w:rsidP="00D2226A">
            <w:pPr>
              <w:spacing w:after="0" w:line="259" w:lineRule="auto"/>
              <w:ind w:left="0" w:right="0" w:firstLine="0"/>
              <w:jc w:val="center"/>
            </w:pPr>
            <w:r>
              <w:rPr>
                <w:sz w:val="20"/>
              </w:rPr>
              <w:t>Cyanide/Sulfide</w:t>
            </w:r>
          </w:p>
        </w:tc>
        <w:tc>
          <w:tcPr>
            <w:tcW w:w="1726" w:type="dxa"/>
            <w:tcBorders>
              <w:top w:val="single" w:sz="4" w:space="0" w:color="000000"/>
              <w:left w:val="single" w:sz="12" w:space="0" w:color="000000"/>
              <w:bottom w:val="single" w:sz="4" w:space="0" w:color="000000"/>
              <w:right w:val="single" w:sz="12" w:space="0" w:color="000000"/>
            </w:tcBorders>
            <w:vAlign w:val="center"/>
          </w:tcPr>
          <w:p w14:paraId="0199374B" w14:textId="741B2BD6" w:rsidR="00B56D50" w:rsidRDefault="001C3C42" w:rsidP="00D2226A">
            <w:pPr>
              <w:spacing w:after="0" w:line="259" w:lineRule="auto"/>
              <w:ind w:left="0" w:right="4" w:firstLine="0"/>
              <w:jc w:val="center"/>
            </w:pPr>
            <w:r>
              <w:rPr>
                <w:sz w:val="20"/>
              </w:rPr>
              <w:t>85</w:t>
            </w:r>
          </w:p>
        </w:tc>
        <w:tc>
          <w:tcPr>
            <w:tcW w:w="1634" w:type="dxa"/>
            <w:tcBorders>
              <w:top w:val="single" w:sz="4" w:space="0" w:color="000000"/>
              <w:left w:val="single" w:sz="12" w:space="0" w:color="000000"/>
              <w:bottom w:val="single" w:sz="4" w:space="0" w:color="000000"/>
              <w:right w:val="single" w:sz="12" w:space="0" w:color="000000"/>
            </w:tcBorders>
            <w:vAlign w:val="center"/>
          </w:tcPr>
          <w:p w14:paraId="65A4896F" w14:textId="4C7DB806" w:rsidR="00B56D50" w:rsidRDefault="001C3C42" w:rsidP="00D2226A">
            <w:pPr>
              <w:spacing w:after="0" w:line="259" w:lineRule="auto"/>
              <w:ind w:left="0" w:right="3" w:firstLine="0"/>
              <w:jc w:val="center"/>
            </w:pPr>
            <w:r>
              <w:rPr>
                <w:sz w:val="20"/>
              </w:rPr>
              <w:t>115</w:t>
            </w:r>
          </w:p>
        </w:tc>
      </w:tr>
      <w:tr w:rsidR="00B56D50" w14:paraId="639FA957" w14:textId="77777777" w:rsidTr="004D1E36">
        <w:trPr>
          <w:trHeight w:val="434"/>
        </w:trPr>
        <w:tc>
          <w:tcPr>
            <w:tcW w:w="2545" w:type="dxa"/>
            <w:tcBorders>
              <w:top w:val="single" w:sz="4" w:space="0" w:color="000000"/>
              <w:left w:val="single" w:sz="12" w:space="0" w:color="000000"/>
              <w:bottom w:val="single" w:sz="12" w:space="0" w:color="000000"/>
              <w:right w:val="single" w:sz="12" w:space="0" w:color="000000"/>
            </w:tcBorders>
            <w:vAlign w:val="center"/>
          </w:tcPr>
          <w:p w14:paraId="566598D2" w14:textId="7EC431A8" w:rsidR="00B56D50" w:rsidRDefault="001C3C42">
            <w:pPr>
              <w:spacing w:after="0" w:line="259" w:lineRule="auto"/>
              <w:ind w:left="2" w:right="0" w:firstLine="0"/>
            </w:pPr>
            <w:r>
              <w:rPr>
                <w:sz w:val="20"/>
              </w:rPr>
              <w:t>Other</w:t>
            </w:r>
          </w:p>
        </w:tc>
        <w:tc>
          <w:tcPr>
            <w:tcW w:w="3543" w:type="dxa"/>
            <w:tcBorders>
              <w:top w:val="single" w:sz="4" w:space="0" w:color="000000"/>
              <w:left w:val="single" w:sz="12" w:space="0" w:color="000000"/>
              <w:bottom w:val="single" w:sz="12" w:space="0" w:color="000000"/>
              <w:right w:val="single" w:sz="12" w:space="0" w:color="000000"/>
            </w:tcBorders>
            <w:vAlign w:val="center"/>
          </w:tcPr>
          <w:p w14:paraId="12A49D03" w14:textId="2E16297C" w:rsidR="00B56D50" w:rsidRDefault="001C3C42" w:rsidP="00D2226A">
            <w:pPr>
              <w:spacing w:after="0" w:line="259" w:lineRule="auto"/>
              <w:ind w:left="0" w:right="0" w:firstLine="0"/>
              <w:jc w:val="center"/>
            </w:pPr>
            <w:r>
              <w:rPr>
                <w:sz w:val="20"/>
              </w:rPr>
              <w:t>General Inorganic &amp; Wet Chemistry</w:t>
            </w:r>
          </w:p>
        </w:tc>
        <w:tc>
          <w:tcPr>
            <w:tcW w:w="1726" w:type="dxa"/>
            <w:tcBorders>
              <w:top w:val="single" w:sz="4" w:space="0" w:color="000000"/>
              <w:left w:val="single" w:sz="12" w:space="0" w:color="000000"/>
              <w:bottom w:val="single" w:sz="12" w:space="0" w:color="000000"/>
              <w:right w:val="single" w:sz="12" w:space="0" w:color="000000"/>
            </w:tcBorders>
            <w:vAlign w:val="center"/>
          </w:tcPr>
          <w:p w14:paraId="50284512" w14:textId="23424C8C" w:rsidR="00B56D50" w:rsidRDefault="001C3C42" w:rsidP="005F5770">
            <w:pPr>
              <w:spacing w:after="0" w:line="259" w:lineRule="auto"/>
              <w:ind w:left="0" w:right="4" w:firstLine="0"/>
              <w:jc w:val="center"/>
            </w:pPr>
            <w:r>
              <w:rPr>
                <w:sz w:val="20"/>
              </w:rPr>
              <w:t>90</w:t>
            </w:r>
          </w:p>
        </w:tc>
        <w:tc>
          <w:tcPr>
            <w:tcW w:w="1634" w:type="dxa"/>
            <w:tcBorders>
              <w:top w:val="single" w:sz="4" w:space="0" w:color="000000"/>
              <w:left w:val="single" w:sz="12" w:space="0" w:color="000000"/>
              <w:bottom w:val="single" w:sz="12" w:space="0" w:color="000000"/>
              <w:right w:val="single" w:sz="12" w:space="0" w:color="000000"/>
            </w:tcBorders>
            <w:vAlign w:val="center"/>
          </w:tcPr>
          <w:p w14:paraId="33EE9A3B" w14:textId="417F49D0" w:rsidR="00B56D50" w:rsidRDefault="001C3C42" w:rsidP="005F5770">
            <w:pPr>
              <w:spacing w:after="0" w:line="259" w:lineRule="auto"/>
              <w:ind w:left="0" w:right="3" w:firstLine="0"/>
              <w:jc w:val="center"/>
            </w:pPr>
            <w:r>
              <w:rPr>
                <w:sz w:val="20"/>
              </w:rPr>
              <w:t>110</w:t>
            </w:r>
          </w:p>
        </w:tc>
      </w:tr>
    </w:tbl>
    <w:p w14:paraId="7F305B9F" w14:textId="2025AB24" w:rsidR="00B56D50" w:rsidRPr="00CE703F" w:rsidRDefault="00B56D50">
      <w:pPr>
        <w:spacing w:after="0" w:line="259" w:lineRule="auto"/>
        <w:ind w:left="720" w:right="0" w:firstLine="0"/>
        <w:rPr>
          <w:bCs/>
        </w:rPr>
      </w:pPr>
    </w:p>
    <w:p w14:paraId="7D37EDFA" w14:textId="0144D73E" w:rsidR="00B56D50" w:rsidRPr="00324699" w:rsidRDefault="001C3C42" w:rsidP="00093377">
      <w:pPr>
        <w:numPr>
          <w:ilvl w:val="0"/>
          <w:numId w:val="22"/>
        </w:numPr>
        <w:spacing w:after="16"/>
        <w:ind w:left="1440" w:right="186" w:hanging="360"/>
        <w:rPr>
          <w:b/>
          <w:bCs/>
        </w:rPr>
      </w:pPr>
      <w:r w:rsidRPr="00324699">
        <w:rPr>
          <w:b/>
          <w:bCs/>
        </w:rPr>
        <w:t xml:space="preserve">Calibration Blank Analysis </w:t>
      </w:r>
    </w:p>
    <w:p w14:paraId="65B17C8A" w14:textId="573AD9B4" w:rsidR="00B56D50" w:rsidRDefault="001C3C42" w:rsidP="003645D1">
      <w:pPr>
        <w:ind w:left="1450" w:right="794"/>
      </w:pPr>
      <w:r>
        <w:t>The Contractor shall analyze a calibration (or instrument) blank each time the instrument is calibrated, at the beginning and the end of the run, and at a frequency of 10% during the run directly after the continuing calibration standard is analyzed</w:t>
      </w:r>
      <w:r w:rsidR="000A2446">
        <w:t xml:space="preserve">.  </w:t>
      </w:r>
      <w:r>
        <w:t xml:space="preserve">Blank results are to be reported whether "negative" or "positive".  If the absolute value of the blank result is greater than the </w:t>
      </w:r>
      <w:r w:rsidR="00F05BBC">
        <w:t>RL</w:t>
      </w:r>
      <w:r>
        <w:t xml:space="preserve">, terminate analysis, correct the problem, and recalibrate. </w:t>
      </w:r>
    </w:p>
    <w:p w14:paraId="6503A98D" w14:textId="77777777" w:rsidR="00B56D50" w:rsidRDefault="001C3C42" w:rsidP="00D45F5A">
      <w:pPr>
        <w:spacing w:after="0" w:line="259" w:lineRule="auto"/>
        <w:ind w:left="1080" w:right="0" w:firstLine="0"/>
      </w:pPr>
      <w:r>
        <w:t xml:space="preserve"> </w:t>
      </w:r>
    </w:p>
    <w:p w14:paraId="588C63E2" w14:textId="78E45D7B" w:rsidR="00B56D50" w:rsidRPr="00324699" w:rsidRDefault="001C3C42" w:rsidP="00093377">
      <w:pPr>
        <w:numPr>
          <w:ilvl w:val="0"/>
          <w:numId w:val="22"/>
        </w:numPr>
        <w:spacing w:after="16"/>
        <w:ind w:left="1440" w:right="186" w:hanging="360"/>
        <w:rPr>
          <w:b/>
          <w:bCs/>
        </w:rPr>
      </w:pPr>
      <w:r w:rsidRPr="00324699">
        <w:rPr>
          <w:b/>
          <w:bCs/>
        </w:rPr>
        <w:t xml:space="preserve">Method (Preparation) Blank Analysis </w:t>
      </w:r>
    </w:p>
    <w:p w14:paraId="1CE0B0E4" w14:textId="7F9A722C" w:rsidR="00B56D50" w:rsidRDefault="001C3C42" w:rsidP="003645D1">
      <w:pPr>
        <w:ind w:left="1450" w:right="951"/>
      </w:pPr>
      <w:r>
        <w:t>The Contractor shall perform at least one preparation blank (or reagent blank), consisting of deionized distilled water processed through each sample matrix preparation procedure (i.e., one each for water, solids, sludges, oils, etc.) for each case. The blank must be prepared and analyzed with every 10 samples received or with each batch (a group of samples prepared at the same time) of samples digested, whichever is more frequent</w:t>
      </w:r>
      <w:r w:rsidR="00D80111">
        <w:t xml:space="preserve">.  </w:t>
      </w:r>
      <w:r>
        <w:t xml:space="preserve">The method blank must be taken through the entire procedure step by step, including </w:t>
      </w:r>
      <w:r w:rsidR="001F5485">
        <w:t>all</w:t>
      </w:r>
      <w:r>
        <w:t xml:space="preserve"> the reagents and solvents in the quantity required by the method. </w:t>
      </w:r>
    </w:p>
    <w:p w14:paraId="72EEE1DB" w14:textId="2B6C613D" w:rsidR="00B56D50" w:rsidRDefault="00B56D50" w:rsidP="003645D1">
      <w:pPr>
        <w:spacing w:after="0" w:line="259" w:lineRule="auto"/>
        <w:ind w:left="1440" w:right="0" w:firstLine="0"/>
      </w:pPr>
    </w:p>
    <w:p w14:paraId="515B9641" w14:textId="77777777" w:rsidR="00B56D50" w:rsidRDefault="001C3C42" w:rsidP="003645D1">
      <w:pPr>
        <w:ind w:left="1440" w:right="255"/>
      </w:pPr>
      <w:r>
        <w:t xml:space="preserve">This blank is to be reported for each case (i.e., set) and used in all analyses to ascertain whether sample concentrations reflect contamination in the following manner. </w:t>
      </w:r>
    </w:p>
    <w:p w14:paraId="41A013A7" w14:textId="77777777" w:rsidR="00B56D50" w:rsidRDefault="001C3C42">
      <w:pPr>
        <w:spacing w:after="0" w:line="259" w:lineRule="auto"/>
        <w:ind w:left="540" w:right="0" w:firstLine="0"/>
      </w:pPr>
      <w:r>
        <w:t xml:space="preserve"> </w:t>
      </w:r>
    </w:p>
    <w:p w14:paraId="351ED7EB" w14:textId="77777777" w:rsidR="00B56D50" w:rsidRDefault="001C3C42" w:rsidP="00093377">
      <w:pPr>
        <w:numPr>
          <w:ilvl w:val="0"/>
          <w:numId w:val="24"/>
        </w:numPr>
        <w:ind w:left="1800" w:right="255" w:hanging="360"/>
      </w:pPr>
      <w:r>
        <w:t>If the absolute value of the blank is less than the RL, no corrective action is required.</w:t>
      </w:r>
      <w:r>
        <w:rPr>
          <w:b/>
        </w:rPr>
        <w:t xml:space="preserve"> </w:t>
      </w:r>
    </w:p>
    <w:p w14:paraId="7B4E1B93" w14:textId="77777777" w:rsidR="00B56D50" w:rsidRDefault="001C3C42">
      <w:pPr>
        <w:spacing w:after="0" w:line="259" w:lineRule="auto"/>
        <w:ind w:left="540" w:right="0" w:firstLine="0"/>
      </w:pPr>
      <w:r>
        <w:t xml:space="preserve"> </w:t>
      </w:r>
    </w:p>
    <w:p w14:paraId="7E84C1FF" w14:textId="77777777" w:rsidR="00B56D50" w:rsidRDefault="001C3C42" w:rsidP="00093377">
      <w:pPr>
        <w:numPr>
          <w:ilvl w:val="0"/>
          <w:numId w:val="24"/>
        </w:numPr>
        <w:ind w:left="1800" w:right="255" w:hanging="360"/>
      </w:pPr>
      <w:r>
        <w:lastRenderedPageBreak/>
        <w:t>If the absolute value of the blank is above the RL, the analysis for all samples affected (i.e., all samples prepared with the blank) must be repeated.</w:t>
      </w:r>
      <w:r>
        <w:rPr>
          <w:b/>
        </w:rPr>
        <w:t xml:space="preserve"> </w:t>
      </w:r>
    </w:p>
    <w:p w14:paraId="46134D8C" w14:textId="77777777" w:rsidR="00B56D50" w:rsidRDefault="001C3C42">
      <w:pPr>
        <w:spacing w:after="0" w:line="259" w:lineRule="auto"/>
        <w:ind w:left="540" w:right="0" w:firstLine="0"/>
      </w:pPr>
      <w:r>
        <w:t xml:space="preserve"> </w:t>
      </w:r>
    </w:p>
    <w:p w14:paraId="6D92BBB7" w14:textId="656168D3" w:rsidR="00B56D50" w:rsidRPr="00944D72" w:rsidRDefault="001C3C42" w:rsidP="00093377">
      <w:pPr>
        <w:numPr>
          <w:ilvl w:val="0"/>
          <w:numId w:val="22"/>
        </w:numPr>
        <w:spacing w:after="16"/>
        <w:ind w:left="1440" w:right="186" w:hanging="360"/>
        <w:rPr>
          <w:b/>
          <w:bCs/>
        </w:rPr>
      </w:pPr>
      <w:r w:rsidRPr="00944D72">
        <w:rPr>
          <w:b/>
          <w:bCs/>
        </w:rPr>
        <w:t xml:space="preserve">Spiked Sample Analysis (Matrix Spike) </w:t>
      </w:r>
    </w:p>
    <w:p w14:paraId="31383CBD" w14:textId="033AC884" w:rsidR="00B56D50" w:rsidRDefault="001C3C42" w:rsidP="007D3F9D">
      <w:pPr>
        <w:ind w:left="1450" w:right="255"/>
      </w:pPr>
      <w:r>
        <w:t xml:space="preserve">The Contractor shall add the spike </w:t>
      </w:r>
      <w:r>
        <w:rPr>
          <w:u w:val="single" w:color="000000"/>
        </w:rPr>
        <w:t>before the digestion</w:t>
      </w:r>
      <w:r>
        <w:t xml:space="preserve"> and prior to any distillation steps (e.g., cyanide analysis). </w:t>
      </w:r>
      <w:r w:rsidR="000053B1">
        <w:t xml:space="preserve"> </w:t>
      </w:r>
      <w:r>
        <w:t>At least one spiked sample analysis must be performed on each group of samples of a similar matrix type from the same project (e.g., water, sludges, soil) and concentration (e.g., low, medium) for each group of 20 (or fewer) samples received per project.  However, it is not necessary to spike samples when the concentration of the analyte in the un</w:t>
      </w:r>
      <w:r w:rsidR="008F2B30">
        <w:t>-</w:t>
      </w:r>
      <w:r>
        <w:t xml:space="preserve">spiked sample exceeds 0.1% or the sample concentration is ≥ four times the </w:t>
      </w:r>
      <w:proofErr w:type="gramStart"/>
      <w:r>
        <w:t>spike</w:t>
      </w:r>
      <w:proofErr w:type="gramEnd"/>
      <w:r>
        <w:t xml:space="preserve"> concentration.</w:t>
      </w:r>
      <w:r>
        <w:rPr>
          <w:rFonts w:ascii="Arial" w:eastAsia="Arial" w:hAnsi="Arial" w:cs="Arial"/>
        </w:rPr>
        <w:t xml:space="preserve"> </w:t>
      </w:r>
    </w:p>
    <w:p w14:paraId="557EEFCE" w14:textId="77777777" w:rsidR="00B56D50" w:rsidRDefault="001C3C42">
      <w:pPr>
        <w:spacing w:after="0" w:line="259" w:lineRule="auto"/>
        <w:ind w:left="1080" w:right="0" w:firstLine="0"/>
      </w:pPr>
      <w:r>
        <w:rPr>
          <w:rFonts w:ascii="Arial" w:eastAsia="Arial" w:hAnsi="Arial" w:cs="Arial"/>
        </w:rPr>
        <w:t xml:space="preserve"> </w:t>
      </w:r>
    </w:p>
    <w:p w14:paraId="52172F66" w14:textId="775ADA4C" w:rsidR="00B56D50" w:rsidRDefault="001C3C42" w:rsidP="007D3F9D">
      <w:pPr>
        <w:ind w:left="2700" w:right="255" w:hanging="1260"/>
      </w:pPr>
      <w:r>
        <w:rPr>
          <w:b/>
        </w:rPr>
        <w:t>Please note</w:t>
      </w:r>
      <w:proofErr w:type="gramStart"/>
      <w:r>
        <w:rPr>
          <w:b/>
        </w:rPr>
        <w:t xml:space="preserve">:  </w:t>
      </w:r>
      <w:r>
        <w:t>MS</w:t>
      </w:r>
      <w:proofErr w:type="gramEnd"/>
      <w:r>
        <w:t xml:space="preserve">/MSDs are </w:t>
      </w:r>
      <w:r>
        <w:rPr>
          <w:u w:val="single" w:color="000000"/>
        </w:rPr>
        <w:t>site-specific, project-specific</w:t>
      </w:r>
      <w:r>
        <w:t xml:space="preserve"> information resources and not laboratory performance information resources.  Therefore, it </w:t>
      </w:r>
      <w:r>
        <w:rPr>
          <w:u w:val="single" w:color="000000"/>
        </w:rPr>
        <w:t>is</w:t>
      </w:r>
      <w:r>
        <w:t xml:space="preserve"> necessary to analyze one site-specific MS/MSD per sample matrix, per analysis type, </w:t>
      </w:r>
      <w:r>
        <w:rPr>
          <w:u w:val="single" w:color="000000"/>
        </w:rPr>
        <w:t>per sample delivery group</w:t>
      </w:r>
      <w:r>
        <w:t xml:space="preserve">.  However, if a sample delivery group requires multiple analytical batches for one or more analysis type, it is </w:t>
      </w:r>
      <w:r>
        <w:rPr>
          <w:u w:val="single" w:color="000000"/>
        </w:rPr>
        <w:t>not</w:t>
      </w:r>
      <w:r>
        <w:t xml:space="preserve"> necessary to analyze a MS/MSD pair for every analytical </w:t>
      </w:r>
      <w:r w:rsidR="00901673">
        <w:t>batch.</w:t>
      </w:r>
      <w:r>
        <w:t xml:space="preserve"> </w:t>
      </w:r>
    </w:p>
    <w:p w14:paraId="3D73E313" w14:textId="33738573" w:rsidR="00B56D50" w:rsidRDefault="001C3C42">
      <w:pPr>
        <w:spacing w:after="0" w:line="259" w:lineRule="auto"/>
        <w:ind w:left="540" w:right="0" w:firstLine="0"/>
      </w:pPr>
      <w:r>
        <w:t xml:space="preserve">  </w:t>
      </w:r>
    </w:p>
    <w:p w14:paraId="21DB32A9" w14:textId="528F4437" w:rsidR="00B56D50" w:rsidRDefault="001C3C42" w:rsidP="007D3F9D">
      <w:pPr>
        <w:ind w:left="1450" w:right="255"/>
      </w:pPr>
      <w:r>
        <w:t xml:space="preserve">If two analytical methods are used to obtain the reported values for the same element for a case of samples (e.g., ICP, GFAA), spike samples must be analyzed by each method used. </w:t>
      </w:r>
      <w:r>
        <w:rPr>
          <w:b/>
        </w:rPr>
        <w:t xml:space="preserve"> Samples identified as field blanks shall not be used for spiked sample analysis</w:t>
      </w:r>
      <w:r>
        <w:t>.</w:t>
      </w:r>
    </w:p>
    <w:p w14:paraId="1439AAB0" w14:textId="1AFA060C" w:rsidR="00B56D50" w:rsidRPr="00C17C10" w:rsidRDefault="00B56D50">
      <w:pPr>
        <w:spacing w:after="0" w:line="259" w:lineRule="auto"/>
        <w:ind w:left="720" w:right="0" w:firstLine="0"/>
        <w:rPr>
          <w:bCs/>
        </w:rPr>
      </w:pPr>
    </w:p>
    <w:p w14:paraId="0355CC94" w14:textId="35AA98FE" w:rsidR="00B56D50" w:rsidRPr="00944D72" w:rsidRDefault="001C3C42" w:rsidP="00093377">
      <w:pPr>
        <w:numPr>
          <w:ilvl w:val="0"/>
          <w:numId w:val="22"/>
        </w:numPr>
        <w:spacing w:after="16"/>
        <w:ind w:left="1440" w:right="186" w:hanging="360"/>
        <w:rPr>
          <w:b/>
          <w:bCs/>
        </w:rPr>
      </w:pPr>
      <w:r w:rsidRPr="00944D72">
        <w:rPr>
          <w:b/>
          <w:bCs/>
        </w:rPr>
        <w:t xml:space="preserve">Matrix Spike Duplicate Sample Analysis </w:t>
      </w:r>
    </w:p>
    <w:p w14:paraId="0D95EFF2" w14:textId="1C160510" w:rsidR="00B56D50" w:rsidRDefault="001C3C42" w:rsidP="007D3F9D">
      <w:pPr>
        <w:ind w:left="1450" w:right="745"/>
      </w:pPr>
      <w:r>
        <w:t>The Contractor shall perform at least one matrix spike duplicate sample (MSD), prepared identically to the spiked sample for each analyte, on each group of samples of a similar matrix type from the same project (e.g., water, sludges, soil) and concentration (e.g., low, medium)</w:t>
      </w:r>
      <w:r>
        <w:rPr>
          <w:strike/>
        </w:rPr>
        <w:t xml:space="preserve"> </w:t>
      </w:r>
      <w:r>
        <w:t xml:space="preserve">for each group of 20 (or fewer) samples received per project.  However, it is not necessary to spike samples when the concentration of the analyte in the </w:t>
      </w:r>
      <w:proofErr w:type="spellStart"/>
      <w:r w:rsidR="002E596A">
        <w:t>unspiked</w:t>
      </w:r>
      <w:proofErr w:type="spellEnd"/>
      <w:r w:rsidR="002E596A">
        <w:t xml:space="preserve"> </w:t>
      </w:r>
      <w:r>
        <w:t>sample exceeds 0.1% or the sample concentrations are ≥ four times the spike concentration</w:t>
      </w:r>
      <w:r w:rsidR="0062068F">
        <w:t>.</w:t>
      </w:r>
      <w:r>
        <w:t xml:space="preserve"> </w:t>
      </w:r>
    </w:p>
    <w:p w14:paraId="4C22CC26" w14:textId="77777777" w:rsidR="00B56D50" w:rsidRDefault="001C3C42">
      <w:pPr>
        <w:spacing w:after="0" w:line="259" w:lineRule="auto"/>
        <w:ind w:left="1116" w:right="0" w:firstLine="0"/>
      </w:pPr>
      <w:r>
        <w:t xml:space="preserve"> </w:t>
      </w:r>
    </w:p>
    <w:p w14:paraId="721E80B9" w14:textId="030BB4ED" w:rsidR="00B56D50" w:rsidRDefault="00EF7C75" w:rsidP="007D3F9D">
      <w:pPr>
        <w:ind w:left="1450" w:right="895"/>
      </w:pPr>
      <w:r>
        <w:t xml:space="preserve">The </w:t>
      </w:r>
      <w:r w:rsidR="001C3C42">
        <w:t xml:space="preserve">spiked sample and spiked duplicate </w:t>
      </w:r>
      <w:r w:rsidR="001C3C42">
        <w:rPr>
          <w:u w:val="single" w:color="000000"/>
        </w:rPr>
        <w:t>must</w:t>
      </w:r>
      <w:r w:rsidR="001C3C42">
        <w:t xml:space="preserve"> be from the same project as the case of field samples.</w:t>
      </w:r>
      <w:r w:rsidR="001C3C42">
        <w:rPr>
          <w:i/>
        </w:rPr>
        <w:t xml:space="preserve"> </w:t>
      </w:r>
      <w:r w:rsidR="001C3C42">
        <w:t xml:space="preserve"> If two analytical methods are used to obtain the reported values for the same element for a case of samples (e.g., ICP, GFAA), duplicate samples must be run by each method used.  </w:t>
      </w:r>
      <w:r w:rsidR="001C3C42">
        <w:rPr>
          <w:b/>
        </w:rPr>
        <w:t>Samples identified as field blanks shall not be used for matrix spike duplicate sample analysis</w:t>
      </w:r>
      <w:r w:rsidR="001C3C42">
        <w:t xml:space="preserve"> </w:t>
      </w:r>
    </w:p>
    <w:p w14:paraId="173D26D4" w14:textId="77777777" w:rsidR="00B56D50" w:rsidRDefault="001C3C42">
      <w:pPr>
        <w:spacing w:after="0" w:line="259" w:lineRule="auto"/>
        <w:ind w:left="540" w:right="0" w:firstLine="0"/>
      </w:pPr>
      <w:r>
        <w:t xml:space="preserve"> </w:t>
      </w:r>
    </w:p>
    <w:p w14:paraId="566C704D" w14:textId="166AAB9C" w:rsidR="00B56D50" w:rsidRDefault="003A1A98" w:rsidP="007D3F9D">
      <w:pPr>
        <w:ind w:left="1450" w:right="255"/>
      </w:pPr>
      <w:r>
        <w:t>T</w:t>
      </w:r>
      <w:r w:rsidR="001C3C42">
        <w:t xml:space="preserve">he matrix spike duplicate % Recovery or RPD </w:t>
      </w:r>
      <w:r w:rsidR="00B011F8">
        <w:t>should</w:t>
      </w:r>
      <w:r w:rsidR="00FE4A15">
        <w:t xml:space="preserve"> </w:t>
      </w:r>
      <w:r>
        <w:t xml:space="preserve">meet </w:t>
      </w:r>
      <w:r w:rsidR="001C3C42">
        <w:t xml:space="preserve">the control limits shown in TABLE </w:t>
      </w:r>
      <w:r w:rsidR="008733E9">
        <w:t>3</w:t>
      </w:r>
      <w:r w:rsidR="001C3C42">
        <w:t xml:space="preserve"> or the documented historical acceptance limits for the analyte in that matrix.</w:t>
      </w:r>
      <w:r w:rsidR="00FC3742">
        <w:t xml:space="preserve">  T</w:t>
      </w:r>
      <w:r w:rsidR="002F1F2C">
        <w:t xml:space="preserve">he analytical results </w:t>
      </w:r>
      <w:r w:rsidR="00A52004">
        <w:t>should be</w:t>
      </w:r>
      <w:r w:rsidR="002F1F2C">
        <w:t xml:space="preserve"> qualified and reported in the case narrative.</w:t>
      </w:r>
      <w:r w:rsidR="001C3C42">
        <w:t xml:space="preserve"> </w:t>
      </w:r>
    </w:p>
    <w:p w14:paraId="3F5B76C0" w14:textId="2BC0D9C6" w:rsidR="00DF061E" w:rsidRDefault="00DF061E">
      <w:pPr>
        <w:spacing w:after="0" w:line="259" w:lineRule="auto"/>
        <w:ind w:left="540" w:right="0" w:firstLine="0"/>
      </w:pPr>
    </w:p>
    <w:p w14:paraId="206F38E5" w14:textId="65E667B8" w:rsidR="00D2226A" w:rsidRDefault="00D2226A">
      <w:pPr>
        <w:spacing w:after="0" w:line="259" w:lineRule="auto"/>
        <w:ind w:left="540" w:right="0" w:firstLine="0"/>
      </w:pPr>
    </w:p>
    <w:p w14:paraId="5325DAB7" w14:textId="6E4490F8" w:rsidR="00D2226A" w:rsidRDefault="00D2226A">
      <w:pPr>
        <w:spacing w:after="0" w:line="259" w:lineRule="auto"/>
        <w:ind w:left="540" w:right="0" w:firstLine="0"/>
      </w:pPr>
    </w:p>
    <w:p w14:paraId="577A68E9" w14:textId="04662745" w:rsidR="00D2226A" w:rsidRDefault="00D2226A">
      <w:pPr>
        <w:spacing w:after="0" w:line="259" w:lineRule="auto"/>
        <w:ind w:left="540" w:right="0" w:firstLine="0"/>
      </w:pPr>
    </w:p>
    <w:p w14:paraId="5DFD42E1" w14:textId="77777777" w:rsidR="001E67C4" w:rsidRDefault="001E67C4">
      <w:pPr>
        <w:spacing w:after="0" w:line="259" w:lineRule="auto"/>
        <w:ind w:left="540" w:right="0" w:firstLine="0"/>
      </w:pPr>
    </w:p>
    <w:p w14:paraId="25C36BDE" w14:textId="77777777" w:rsidR="008D2B64" w:rsidRDefault="008D2B64" w:rsidP="008D2B64">
      <w:pPr>
        <w:pStyle w:val="Heading5"/>
        <w:spacing w:after="16" w:line="247" w:lineRule="auto"/>
        <w:ind w:right="186"/>
      </w:pPr>
      <w:r>
        <w:t>THE REMAINDER OF THIS PAGE HAS BEEN LEFT BLANK INTENTIONALLY</w:t>
      </w:r>
    </w:p>
    <w:p w14:paraId="3C2F97C8" w14:textId="08DEB9F0" w:rsidR="00D2226A" w:rsidRDefault="00D2226A">
      <w:pPr>
        <w:spacing w:after="0" w:line="259" w:lineRule="auto"/>
        <w:ind w:left="540" w:right="0" w:firstLine="0"/>
      </w:pPr>
    </w:p>
    <w:p w14:paraId="638FDD57" w14:textId="212B3271" w:rsidR="00D2226A" w:rsidRDefault="00D2226A">
      <w:pPr>
        <w:spacing w:after="0" w:line="259" w:lineRule="auto"/>
        <w:ind w:left="540" w:right="0" w:firstLine="0"/>
      </w:pPr>
    </w:p>
    <w:p w14:paraId="113AD8BE" w14:textId="77E89A32" w:rsidR="00D2226A" w:rsidRDefault="00D2226A">
      <w:pPr>
        <w:spacing w:after="0" w:line="259" w:lineRule="auto"/>
        <w:ind w:left="540" w:right="0" w:firstLine="0"/>
      </w:pPr>
    </w:p>
    <w:p w14:paraId="31705D69" w14:textId="77777777" w:rsidR="00D2226A" w:rsidRDefault="00D2226A">
      <w:pPr>
        <w:spacing w:after="0" w:line="259" w:lineRule="auto"/>
        <w:ind w:left="540" w:right="0" w:firstLine="0"/>
      </w:pPr>
    </w:p>
    <w:p w14:paraId="0C85191E" w14:textId="68D5D68C" w:rsidR="00B56D50" w:rsidRDefault="001C3C42">
      <w:pPr>
        <w:pStyle w:val="Heading5"/>
        <w:ind w:left="1024" w:right="722"/>
      </w:pPr>
      <w:r>
        <w:lastRenderedPageBreak/>
        <w:t xml:space="preserve">TABLE </w:t>
      </w:r>
      <w:r w:rsidR="008733E9">
        <w:t>3</w:t>
      </w:r>
    </w:p>
    <w:p w14:paraId="69213DC8" w14:textId="42F7BBE4" w:rsidR="00B56D50" w:rsidRDefault="00A52004">
      <w:pPr>
        <w:pStyle w:val="Heading6"/>
        <w:spacing w:after="14" w:line="248" w:lineRule="auto"/>
        <w:ind w:left="1024" w:right="724"/>
        <w:jc w:val="center"/>
      </w:pPr>
      <w:r>
        <w:t xml:space="preserve">Recommended </w:t>
      </w:r>
      <w:r w:rsidR="001C3C42">
        <w:t xml:space="preserve">Matrix Spike/Matrix Spike Duplicate Control Limits for Inorganic Analyses </w:t>
      </w:r>
    </w:p>
    <w:p w14:paraId="26220EE5" w14:textId="6DAEB8BF" w:rsidR="00A1724B" w:rsidRDefault="00A1724B" w:rsidP="00A1724B"/>
    <w:tbl>
      <w:tblPr>
        <w:tblStyle w:val="TableGrid1"/>
        <w:tblW w:w="8550" w:type="dxa"/>
        <w:tblInd w:w="1080" w:type="dxa"/>
        <w:tblCellMar>
          <w:top w:w="7" w:type="dxa"/>
          <w:left w:w="134" w:type="dxa"/>
          <w:bottom w:w="70" w:type="dxa"/>
          <w:right w:w="115" w:type="dxa"/>
        </w:tblCellMar>
        <w:tblLook w:val="04A0" w:firstRow="1" w:lastRow="0" w:firstColumn="1" w:lastColumn="0" w:noHBand="0" w:noVBand="1"/>
      </w:tblPr>
      <w:tblGrid>
        <w:gridCol w:w="2520"/>
        <w:gridCol w:w="1440"/>
        <w:gridCol w:w="1532"/>
        <w:gridCol w:w="1529"/>
        <w:gridCol w:w="1529"/>
      </w:tblGrid>
      <w:tr w:rsidR="00A1724B" w14:paraId="22BE2833" w14:textId="77777777" w:rsidTr="00F9055A">
        <w:trPr>
          <w:trHeight w:val="437"/>
        </w:trPr>
        <w:tc>
          <w:tcPr>
            <w:tcW w:w="2520" w:type="dxa"/>
            <w:tcBorders>
              <w:top w:val="single" w:sz="12" w:space="0" w:color="000000"/>
              <w:left w:val="single" w:sz="12" w:space="0" w:color="000000"/>
              <w:bottom w:val="single" w:sz="12" w:space="0" w:color="000000"/>
              <w:right w:val="single" w:sz="12" w:space="0" w:color="000000"/>
            </w:tcBorders>
            <w:vAlign w:val="center"/>
          </w:tcPr>
          <w:p w14:paraId="38B594BE" w14:textId="786B6257" w:rsidR="00A1724B" w:rsidRPr="001847F7" w:rsidRDefault="00A1724B" w:rsidP="00CF3C17">
            <w:pPr>
              <w:spacing w:after="0" w:line="259" w:lineRule="auto"/>
              <w:ind w:left="0" w:right="21" w:firstLine="0"/>
              <w:jc w:val="center"/>
              <w:rPr>
                <w:iCs/>
              </w:rPr>
            </w:pPr>
            <w:r w:rsidRPr="001847F7">
              <w:rPr>
                <w:b/>
                <w:iCs/>
                <w:sz w:val="20"/>
              </w:rPr>
              <w:t>Matrix:</w:t>
            </w:r>
          </w:p>
        </w:tc>
        <w:tc>
          <w:tcPr>
            <w:tcW w:w="2972" w:type="dxa"/>
            <w:gridSpan w:val="2"/>
            <w:tcBorders>
              <w:top w:val="single" w:sz="12" w:space="0" w:color="000000"/>
              <w:left w:val="single" w:sz="12" w:space="0" w:color="000000"/>
              <w:bottom w:val="single" w:sz="12" w:space="0" w:color="000000"/>
              <w:right w:val="single" w:sz="12" w:space="0" w:color="000000"/>
            </w:tcBorders>
            <w:vAlign w:val="center"/>
          </w:tcPr>
          <w:p w14:paraId="29182147" w14:textId="3ABB591B" w:rsidR="00A1724B" w:rsidRDefault="00C055F2" w:rsidP="00CF3C17">
            <w:pPr>
              <w:spacing w:after="0" w:line="259" w:lineRule="auto"/>
              <w:ind w:left="0" w:right="23" w:firstLine="0"/>
              <w:jc w:val="center"/>
            </w:pPr>
            <w:r>
              <w:rPr>
                <w:b/>
                <w:sz w:val="20"/>
              </w:rPr>
              <w:t>Aqueous Samples</w:t>
            </w:r>
          </w:p>
        </w:tc>
        <w:tc>
          <w:tcPr>
            <w:tcW w:w="3058" w:type="dxa"/>
            <w:gridSpan w:val="2"/>
            <w:tcBorders>
              <w:top w:val="single" w:sz="12" w:space="0" w:color="000000"/>
              <w:left w:val="single" w:sz="12" w:space="0" w:color="000000"/>
              <w:bottom w:val="single" w:sz="12" w:space="0" w:color="000000"/>
              <w:right w:val="single" w:sz="12" w:space="0" w:color="000000"/>
            </w:tcBorders>
            <w:vAlign w:val="center"/>
          </w:tcPr>
          <w:p w14:paraId="1DC17BFC" w14:textId="128CD55A" w:rsidR="00A1724B" w:rsidRDefault="00C055F2" w:rsidP="00CF3C17">
            <w:pPr>
              <w:spacing w:after="0" w:line="259" w:lineRule="auto"/>
              <w:ind w:left="0" w:right="18" w:firstLine="0"/>
              <w:jc w:val="center"/>
            </w:pPr>
            <w:r>
              <w:rPr>
                <w:b/>
                <w:sz w:val="20"/>
              </w:rPr>
              <w:t>Soil, Sludge, Sediment, Oil, &amp; Waste Samples</w:t>
            </w:r>
          </w:p>
        </w:tc>
      </w:tr>
      <w:tr w:rsidR="00A1724B" w14:paraId="4401EA68" w14:textId="77777777" w:rsidTr="00F9055A">
        <w:trPr>
          <w:trHeight w:val="778"/>
        </w:trPr>
        <w:tc>
          <w:tcPr>
            <w:tcW w:w="2520" w:type="dxa"/>
            <w:tcBorders>
              <w:top w:val="single" w:sz="12" w:space="0" w:color="000000"/>
              <w:left w:val="single" w:sz="12" w:space="0" w:color="000000"/>
              <w:bottom w:val="single" w:sz="12" w:space="0" w:color="000000"/>
              <w:right w:val="single" w:sz="12" w:space="0" w:color="000000"/>
            </w:tcBorders>
          </w:tcPr>
          <w:p w14:paraId="5B982658" w14:textId="77777777" w:rsidR="00CF3C17" w:rsidRDefault="00CF3C17" w:rsidP="002F792B">
            <w:pPr>
              <w:spacing w:after="0" w:line="259" w:lineRule="auto"/>
              <w:ind w:left="0" w:right="22" w:firstLine="0"/>
              <w:jc w:val="center"/>
              <w:rPr>
                <w:b/>
                <w:sz w:val="20"/>
              </w:rPr>
            </w:pPr>
          </w:p>
          <w:p w14:paraId="7418E219" w14:textId="77777777" w:rsidR="00A1724B" w:rsidRDefault="00A1724B" w:rsidP="002F792B">
            <w:pPr>
              <w:spacing w:after="0" w:line="259" w:lineRule="auto"/>
              <w:ind w:left="0" w:right="22" w:firstLine="0"/>
              <w:jc w:val="center"/>
            </w:pPr>
            <w:r>
              <w:rPr>
                <w:b/>
                <w:sz w:val="20"/>
              </w:rPr>
              <w:t xml:space="preserve">Compound </w:t>
            </w:r>
          </w:p>
        </w:tc>
        <w:tc>
          <w:tcPr>
            <w:tcW w:w="1440" w:type="dxa"/>
            <w:tcBorders>
              <w:top w:val="single" w:sz="12" w:space="0" w:color="000000"/>
              <w:left w:val="single" w:sz="12" w:space="0" w:color="000000"/>
              <w:bottom w:val="single" w:sz="12" w:space="0" w:color="000000"/>
              <w:right w:val="single" w:sz="12" w:space="0" w:color="000000"/>
            </w:tcBorders>
          </w:tcPr>
          <w:p w14:paraId="79A6D469" w14:textId="77777777" w:rsidR="00A1724B" w:rsidRDefault="00A1724B" w:rsidP="002F792B">
            <w:pPr>
              <w:spacing w:after="0" w:line="259" w:lineRule="auto"/>
              <w:ind w:left="0" w:right="19" w:firstLine="0"/>
              <w:jc w:val="center"/>
            </w:pPr>
            <w:r>
              <w:rPr>
                <w:b/>
                <w:sz w:val="20"/>
              </w:rPr>
              <w:t xml:space="preserve">MS/MSD </w:t>
            </w:r>
          </w:p>
          <w:p w14:paraId="102FBFC0" w14:textId="77777777" w:rsidR="00A1724B" w:rsidRDefault="00A1724B" w:rsidP="002F792B">
            <w:pPr>
              <w:spacing w:after="0" w:line="259" w:lineRule="auto"/>
              <w:ind w:left="0" w:right="20" w:firstLine="0"/>
              <w:jc w:val="center"/>
            </w:pPr>
            <w:r>
              <w:rPr>
                <w:b/>
                <w:sz w:val="20"/>
              </w:rPr>
              <w:t xml:space="preserve">Spike  </w:t>
            </w:r>
          </w:p>
          <w:p w14:paraId="12DBE91E" w14:textId="77777777" w:rsidR="00A1724B" w:rsidRDefault="00A1724B" w:rsidP="002F792B">
            <w:pPr>
              <w:spacing w:after="0" w:line="259" w:lineRule="auto"/>
              <w:ind w:left="0" w:right="19" w:firstLine="0"/>
              <w:jc w:val="center"/>
            </w:pPr>
            <w:r>
              <w:rPr>
                <w:b/>
                <w:sz w:val="20"/>
              </w:rPr>
              <w:t xml:space="preserve">%Recovery </w:t>
            </w:r>
          </w:p>
        </w:tc>
        <w:tc>
          <w:tcPr>
            <w:tcW w:w="1532" w:type="dxa"/>
            <w:tcBorders>
              <w:top w:val="single" w:sz="12" w:space="0" w:color="000000"/>
              <w:left w:val="single" w:sz="12" w:space="0" w:color="000000"/>
              <w:bottom w:val="single" w:sz="12" w:space="0" w:color="000000"/>
              <w:right w:val="single" w:sz="12" w:space="0" w:color="000000"/>
            </w:tcBorders>
          </w:tcPr>
          <w:p w14:paraId="198AD880" w14:textId="77777777" w:rsidR="00A1724B" w:rsidRDefault="00A1724B" w:rsidP="002F792B">
            <w:pPr>
              <w:spacing w:after="0" w:line="259" w:lineRule="auto"/>
              <w:ind w:left="0" w:right="25" w:firstLine="0"/>
              <w:jc w:val="center"/>
            </w:pPr>
            <w:r>
              <w:rPr>
                <w:b/>
                <w:sz w:val="20"/>
              </w:rPr>
              <w:t xml:space="preserve">MS/MSD or </w:t>
            </w:r>
          </w:p>
          <w:p w14:paraId="7EA06D9A" w14:textId="77777777" w:rsidR="00A1724B" w:rsidRDefault="00A1724B" w:rsidP="002F792B">
            <w:pPr>
              <w:spacing w:after="0" w:line="259" w:lineRule="auto"/>
              <w:ind w:left="14" w:right="0" w:firstLine="0"/>
              <w:jc w:val="center"/>
            </w:pPr>
            <w:r>
              <w:rPr>
                <w:b/>
                <w:sz w:val="20"/>
              </w:rPr>
              <w:t xml:space="preserve">Duplicate RPD </w:t>
            </w:r>
          </w:p>
        </w:tc>
        <w:tc>
          <w:tcPr>
            <w:tcW w:w="1529" w:type="dxa"/>
            <w:tcBorders>
              <w:top w:val="single" w:sz="12" w:space="0" w:color="000000"/>
              <w:left w:val="single" w:sz="12" w:space="0" w:color="000000"/>
              <w:bottom w:val="single" w:sz="12" w:space="0" w:color="000000"/>
              <w:right w:val="single" w:sz="12" w:space="0" w:color="000000"/>
            </w:tcBorders>
          </w:tcPr>
          <w:p w14:paraId="6B99BB9B" w14:textId="77777777" w:rsidR="00A1724B" w:rsidRDefault="00A1724B" w:rsidP="002F792B">
            <w:pPr>
              <w:spacing w:after="0" w:line="259" w:lineRule="auto"/>
              <w:ind w:left="0" w:right="18" w:firstLine="0"/>
              <w:jc w:val="center"/>
            </w:pPr>
            <w:r>
              <w:rPr>
                <w:b/>
                <w:sz w:val="20"/>
              </w:rPr>
              <w:t xml:space="preserve">MS/MSD </w:t>
            </w:r>
          </w:p>
          <w:p w14:paraId="03BF2385" w14:textId="77777777" w:rsidR="00A1724B" w:rsidRDefault="00A1724B" w:rsidP="002F792B">
            <w:pPr>
              <w:spacing w:after="0" w:line="259" w:lineRule="auto"/>
              <w:ind w:left="0" w:right="23" w:firstLine="0"/>
              <w:jc w:val="center"/>
            </w:pPr>
            <w:r>
              <w:rPr>
                <w:b/>
                <w:sz w:val="20"/>
              </w:rPr>
              <w:t xml:space="preserve">Spike  </w:t>
            </w:r>
          </w:p>
          <w:p w14:paraId="56C262AE" w14:textId="77777777" w:rsidR="00A1724B" w:rsidRDefault="00A1724B" w:rsidP="002F792B">
            <w:pPr>
              <w:spacing w:after="0" w:line="259" w:lineRule="auto"/>
              <w:ind w:left="0" w:right="22" w:firstLine="0"/>
              <w:jc w:val="center"/>
            </w:pPr>
            <w:r>
              <w:rPr>
                <w:b/>
                <w:sz w:val="20"/>
              </w:rPr>
              <w:t xml:space="preserve">%Recovery </w:t>
            </w:r>
          </w:p>
        </w:tc>
        <w:tc>
          <w:tcPr>
            <w:tcW w:w="1529" w:type="dxa"/>
            <w:tcBorders>
              <w:top w:val="single" w:sz="12" w:space="0" w:color="000000"/>
              <w:left w:val="single" w:sz="12" w:space="0" w:color="000000"/>
              <w:bottom w:val="single" w:sz="12" w:space="0" w:color="000000"/>
              <w:right w:val="single" w:sz="12" w:space="0" w:color="000000"/>
            </w:tcBorders>
          </w:tcPr>
          <w:p w14:paraId="7A50A458" w14:textId="77777777" w:rsidR="00A1724B" w:rsidRDefault="00A1724B" w:rsidP="002F792B">
            <w:pPr>
              <w:spacing w:after="0" w:line="259" w:lineRule="auto"/>
              <w:ind w:left="0" w:right="23" w:firstLine="0"/>
              <w:jc w:val="center"/>
            </w:pPr>
            <w:r>
              <w:rPr>
                <w:b/>
                <w:sz w:val="20"/>
              </w:rPr>
              <w:t xml:space="preserve">MS/MSD or </w:t>
            </w:r>
          </w:p>
          <w:p w14:paraId="02BDBCD5" w14:textId="77777777" w:rsidR="00A1724B" w:rsidRDefault="00A1724B" w:rsidP="002F792B">
            <w:pPr>
              <w:spacing w:after="0" w:line="259" w:lineRule="auto"/>
              <w:ind w:left="11" w:right="0" w:firstLine="0"/>
              <w:jc w:val="center"/>
            </w:pPr>
            <w:r>
              <w:rPr>
                <w:b/>
                <w:sz w:val="20"/>
              </w:rPr>
              <w:t xml:space="preserve">Duplicate RPD </w:t>
            </w:r>
          </w:p>
        </w:tc>
      </w:tr>
      <w:tr w:rsidR="00CF3C17" w14:paraId="7701ACFC" w14:textId="77777777" w:rsidTr="00F9055A">
        <w:trPr>
          <w:trHeight w:val="310"/>
        </w:trPr>
        <w:tc>
          <w:tcPr>
            <w:tcW w:w="2520" w:type="dxa"/>
            <w:tcBorders>
              <w:top w:val="single" w:sz="12" w:space="0" w:color="000000"/>
              <w:left w:val="single" w:sz="12" w:space="0" w:color="000000"/>
              <w:bottom w:val="single" w:sz="4" w:space="0" w:color="000000"/>
              <w:right w:val="single" w:sz="12" w:space="0" w:color="000000"/>
            </w:tcBorders>
          </w:tcPr>
          <w:p w14:paraId="188A6603" w14:textId="6ADC90B0" w:rsidR="00CF3C17" w:rsidRDefault="00CF3C17" w:rsidP="00CF3C17">
            <w:pPr>
              <w:spacing w:after="0" w:line="259" w:lineRule="auto"/>
              <w:ind w:left="0" w:right="0" w:firstLine="0"/>
            </w:pPr>
            <w:r>
              <w:rPr>
                <w:sz w:val="20"/>
              </w:rPr>
              <w:t>Metals</w:t>
            </w:r>
          </w:p>
        </w:tc>
        <w:tc>
          <w:tcPr>
            <w:tcW w:w="1440" w:type="dxa"/>
            <w:tcBorders>
              <w:top w:val="single" w:sz="12" w:space="0" w:color="000000"/>
              <w:left w:val="single" w:sz="12" w:space="0" w:color="000000"/>
              <w:bottom w:val="single" w:sz="4" w:space="0" w:color="000000"/>
              <w:right w:val="single" w:sz="12" w:space="0" w:color="000000"/>
            </w:tcBorders>
          </w:tcPr>
          <w:p w14:paraId="10783D7C" w14:textId="101232FF" w:rsidR="00CF3C17" w:rsidRPr="00CF3C17" w:rsidRDefault="00CF3C17" w:rsidP="00CF3C17">
            <w:pPr>
              <w:spacing w:after="0" w:line="259" w:lineRule="auto"/>
              <w:ind w:left="0" w:right="18" w:firstLine="0"/>
              <w:jc w:val="center"/>
              <w:rPr>
                <w:sz w:val="20"/>
                <w:szCs w:val="20"/>
              </w:rPr>
            </w:pPr>
            <w:r w:rsidRPr="00CF3C17">
              <w:rPr>
                <w:sz w:val="20"/>
                <w:szCs w:val="20"/>
              </w:rPr>
              <w:t>80-120</w:t>
            </w:r>
          </w:p>
        </w:tc>
        <w:tc>
          <w:tcPr>
            <w:tcW w:w="1532" w:type="dxa"/>
            <w:tcBorders>
              <w:top w:val="single" w:sz="12" w:space="0" w:color="000000"/>
              <w:left w:val="single" w:sz="12" w:space="0" w:color="000000"/>
              <w:bottom w:val="single" w:sz="4" w:space="0" w:color="000000"/>
              <w:right w:val="single" w:sz="12" w:space="0" w:color="000000"/>
            </w:tcBorders>
          </w:tcPr>
          <w:p w14:paraId="6FDB80F5" w14:textId="0E4B0C40" w:rsidR="00CF3C17" w:rsidRDefault="00CF3C17" w:rsidP="00CF3C17">
            <w:pPr>
              <w:spacing w:after="0" w:line="259" w:lineRule="auto"/>
              <w:ind w:left="0" w:right="20" w:firstLine="0"/>
              <w:jc w:val="center"/>
            </w:pPr>
            <w:r>
              <w:rPr>
                <w:sz w:val="20"/>
              </w:rPr>
              <w:t>20</w:t>
            </w:r>
          </w:p>
        </w:tc>
        <w:tc>
          <w:tcPr>
            <w:tcW w:w="1529" w:type="dxa"/>
            <w:tcBorders>
              <w:top w:val="single" w:sz="12" w:space="0" w:color="000000"/>
              <w:left w:val="single" w:sz="12" w:space="0" w:color="000000"/>
              <w:bottom w:val="single" w:sz="4" w:space="0" w:color="000000"/>
              <w:right w:val="single" w:sz="12" w:space="0" w:color="000000"/>
            </w:tcBorders>
          </w:tcPr>
          <w:p w14:paraId="52EF18B6" w14:textId="15FCC72F" w:rsidR="00CF3C17" w:rsidRDefault="00CF3C17" w:rsidP="00CF3C17">
            <w:pPr>
              <w:spacing w:after="0" w:line="259" w:lineRule="auto"/>
              <w:ind w:left="0" w:right="21" w:firstLine="0"/>
              <w:jc w:val="center"/>
            </w:pPr>
            <w:r>
              <w:rPr>
                <w:sz w:val="20"/>
              </w:rPr>
              <w:t xml:space="preserve">75-125 </w:t>
            </w:r>
          </w:p>
        </w:tc>
        <w:tc>
          <w:tcPr>
            <w:tcW w:w="1529" w:type="dxa"/>
            <w:tcBorders>
              <w:top w:val="single" w:sz="12" w:space="0" w:color="000000"/>
              <w:left w:val="single" w:sz="12" w:space="0" w:color="000000"/>
              <w:bottom w:val="single" w:sz="4" w:space="0" w:color="000000"/>
              <w:right w:val="single" w:sz="12" w:space="0" w:color="000000"/>
            </w:tcBorders>
          </w:tcPr>
          <w:p w14:paraId="3993D290" w14:textId="33CFFAB9" w:rsidR="00CF3C17" w:rsidRDefault="00CF3C17" w:rsidP="00CF3C17">
            <w:pPr>
              <w:spacing w:after="0" w:line="259" w:lineRule="auto"/>
              <w:ind w:left="0" w:right="23" w:firstLine="0"/>
              <w:jc w:val="center"/>
            </w:pPr>
            <w:r w:rsidRPr="00CE4CB3">
              <w:rPr>
                <w:sz w:val="20"/>
              </w:rPr>
              <w:t>20</w:t>
            </w:r>
          </w:p>
        </w:tc>
      </w:tr>
      <w:tr w:rsidR="00CF3C17" w14:paraId="546DB468" w14:textId="77777777" w:rsidTr="00F9055A">
        <w:trPr>
          <w:trHeight w:val="298"/>
        </w:trPr>
        <w:tc>
          <w:tcPr>
            <w:tcW w:w="2520" w:type="dxa"/>
            <w:tcBorders>
              <w:top w:val="single" w:sz="4" w:space="0" w:color="000000"/>
              <w:left w:val="single" w:sz="12" w:space="0" w:color="000000"/>
              <w:bottom w:val="single" w:sz="4" w:space="0" w:color="000000"/>
              <w:right w:val="single" w:sz="12" w:space="0" w:color="000000"/>
            </w:tcBorders>
          </w:tcPr>
          <w:p w14:paraId="1656351D" w14:textId="7C82193D" w:rsidR="00CF3C17" w:rsidRDefault="00CF3C17" w:rsidP="00CF3C17">
            <w:pPr>
              <w:spacing w:after="0" w:line="259" w:lineRule="auto"/>
              <w:ind w:left="0" w:right="0" w:firstLine="0"/>
            </w:pPr>
            <w:r>
              <w:rPr>
                <w:sz w:val="20"/>
              </w:rPr>
              <w:t>Mercury</w:t>
            </w:r>
          </w:p>
        </w:tc>
        <w:tc>
          <w:tcPr>
            <w:tcW w:w="1440" w:type="dxa"/>
            <w:tcBorders>
              <w:top w:val="single" w:sz="4" w:space="0" w:color="000000"/>
              <w:left w:val="single" w:sz="12" w:space="0" w:color="000000"/>
              <w:bottom w:val="single" w:sz="4" w:space="0" w:color="000000"/>
              <w:right w:val="single" w:sz="12" w:space="0" w:color="000000"/>
            </w:tcBorders>
          </w:tcPr>
          <w:p w14:paraId="04404CDD" w14:textId="0ABE2868" w:rsidR="00CF3C17" w:rsidRDefault="00CF3C17" w:rsidP="00CF3C17">
            <w:pPr>
              <w:spacing w:after="0" w:line="259" w:lineRule="auto"/>
              <w:ind w:left="0" w:right="18" w:firstLine="0"/>
              <w:jc w:val="center"/>
            </w:pPr>
            <w:r w:rsidRPr="00546A20">
              <w:rPr>
                <w:sz w:val="20"/>
                <w:szCs w:val="20"/>
              </w:rPr>
              <w:t>80-120</w:t>
            </w:r>
          </w:p>
        </w:tc>
        <w:tc>
          <w:tcPr>
            <w:tcW w:w="1532" w:type="dxa"/>
            <w:tcBorders>
              <w:top w:val="single" w:sz="4" w:space="0" w:color="000000"/>
              <w:left w:val="single" w:sz="12" w:space="0" w:color="000000"/>
              <w:bottom w:val="single" w:sz="4" w:space="0" w:color="000000"/>
              <w:right w:val="single" w:sz="12" w:space="0" w:color="000000"/>
            </w:tcBorders>
          </w:tcPr>
          <w:p w14:paraId="31D17E06" w14:textId="36497684" w:rsidR="00CF3C17" w:rsidRDefault="00CF3C17" w:rsidP="00CF3C17">
            <w:pPr>
              <w:spacing w:after="0" w:line="259" w:lineRule="auto"/>
              <w:ind w:left="0" w:right="20" w:firstLine="0"/>
              <w:jc w:val="center"/>
            </w:pPr>
            <w:r w:rsidRPr="00F50E89">
              <w:rPr>
                <w:sz w:val="20"/>
              </w:rPr>
              <w:t>20</w:t>
            </w:r>
          </w:p>
        </w:tc>
        <w:tc>
          <w:tcPr>
            <w:tcW w:w="1529" w:type="dxa"/>
            <w:tcBorders>
              <w:top w:val="single" w:sz="4" w:space="0" w:color="000000"/>
              <w:left w:val="single" w:sz="12" w:space="0" w:color="000000"/>
              <w:bottom w:val="single" w:sz="4" w:space="0" w:color="000000"/>
              <w:right w:val="single" w:sz="12" w:space="0" w:color="000000"/>
            </w:tcBorders>
          </w:tcPr>
          <w:p w14:paraId="4CDC6773" w14:textId="5671984C" w:rsidR="00CF3C17" w:rsidRDefault="00CF3C17" w:rsidP="00CF3C17">
            <w:pPr>
              <w:spacing w:after="0" w:line="259" w:lineRule="auto"/>
              <w:ind w:left="0" w:right="21" w:firstLine="0"/>
              <w:jc w:val="center"/>
            </w:pPr>
            <w:r w:rsidRPr="00F91A47">
              <w:rPr>
                <w:sz w:val="20"/>
              </w:rPr>
              <w:t xml:space="preserve">75-125 </w:t>
            </w:r>
          </w:p>
        </w:tc>
        <w:tc>
          <w:tcPr>
            <w:tcW w:w="1529" w:type="dxa"/>
            <w:tcBorders>
              <w:top w:val="single" w:sz="4" w:space="0" w:color="000000"/>
              <w:left w:val="single" w:sz="12" w:space="0" w:color="000000"/>
              <w:bottom w:val="single" w:sz="4" w:space="0" w:color="000000"/>
              <w:right w:val="single" w:sz="12" w:space="0" w:color="000000"/>
            </w:tcBorders>
          </w:tcPr>
          <w:p w14:paraId="3E797441" w14:textId="3ADDB8AD" w:rsidR="00CF3C17" w:rsidRDefault="00CF3C17" w:rsidP="00CF3C17">
            <w:pPr>
              <w:spacing w:after="0" w:line="259" w:lineRule="auto"/>
              <w:ind w:left="0" w:right="23" w:firstLine="0"/>
              <w:jc w:val="center"/>
            </w:pPr>
            <w:r w:rsidRPr="00CE4CB3">
              <w:rPr>
                <w:sz w:val="20"/>
              </w:rPr>
              <w:t>20</w:t>
            </w:r>
          </w:p>
        </w:tc>
      </w:tr>
      <w:tr w:rsidR="00CF3C17" w14:paraId="3480E7ED" w14:textId="77777777" w:rsidTr="00F9055A">
        <w:trPr>
          <w:trHeight w:val="298"/>
        </w:trPr>
        <w:tc>
          <w:tcPr>
            <w:tcW w:w="2520" w:type="dxa"/>
            <w:tcBorders>
              <w:top w:val="single" w:sz="4" w:space="0" w:color="000000"/>
              <w:left w:val="single" w:sz="12" w:space="0" w:color="000000"/>
              <w:bottom w:val="single" w:sz="4" w:space="0" w:color="000000"/>
              <w:right w:val="single" w:sz="12" w:space="0" w:color="000000"/>
            </w:tcBorders>
          </w:tcPr>
          <w:p w14:paraId="0FAEEEF9" w14:textId="331AFF75" w:rsidR="00CF3C17" w:rsidRDefault="00CF3C17" w:rsidP="00CF3C17">
            <w:pPr>
              <w:spacing w:after="0" w:line="259" w:lineRule="auto"/>
              <w:ind w:left="0" w:right="0" w:firstLine="0"/>
            </w:pPr>
            <w:r>
              <w:rPr>
                <w:sz w:val="20"/>
              </w:rPr>
              <w:t>Cyanide/Sulfide</w:t>
            </w:r>
          </w:p>
        </w:tc>
        <w:tc>
          <w:tcPr>
            <w:tcW w:w="1440" w:type="dxa"/>
            <w:tcBorders>
              <w:top w:val="single" w:sz="4" w:space="0" w:color="000000"/>
              <w:left w:val="single" w:sz="12" w:space="0" w:color="000000"/>
              <w:bottom w:val="single" w:sz="4" w:space="0" w:color="000000"/>
              <w:right w:val="single" w:sz="12" w:space="0" w:color="000000"/>
            </w:tcBorders>
          </w:tcPr>
          <w:p w14:paraId="45127D3B" w14:textId="21B1E7A0" w:rsidR="00CF3C17" w:rsidRDefault="00CF3C17" w:rsidP="00CF3C17">
            <w:pPr>
              <w:spacing w:after="0" w:line="259" w:lineRule="auto"/>
              <w:ind w:left="0" w:right="18" w:firstLine="0"/>
              <w:jc w:val="center"/>
            </w:pPr>
            <w:r w:rsidRPr="00546A20">
              <w:rPr>
                <w:sz w:val="20"/>
                <w:szCs w:val="20"/>
              </w:rPr>
              <w:t>80-120</w:t>
            </w:r>
          </w:p>
        </w:tc>
        <w:tc>
          <w:tcPr>
            <w:tcW w:w="1532" w:type="dxa"/>
            <w:tcBorders>
              <w:top w:val="single" w:sz="4" w:space="0" w:color="000000"/>
              <w:left w:val="single" w:sz="12" w:space="0" w:color="000000"/>
              <w:bottom w:val="single" w:sz="4" w:space="0" w:color="000000"/>
              <w:right w:val="single" w:sz="12" w:space="0" w:color="000000"/>
            </w:tcBorders>
          </w:tcPr>
          <w:p w14:paraId="715B11CE" w14:textId="33726386" w:rsidR="00CF3C17" w:rsidRDefault="00CF3C17" w:rsidP="00CF3C17">
            <w:pPr>
              <w:spacing w:after="0" w:line="259" w:lineRule="auto"/>
              <w:ind w:left="0" w:right="20" w:firstLine="0"/>
              <w:jc w:val="center"/>
            </w:pPr>
            <w:r w:rsidRPr="00F50E89">
              <w:rPr>
                <w:sz w:val="20"/>
              </w:rPr>
              <w:t>20</w:t>
            </w:r>
          </w:p>
        </w:tc>
        <w:tc>
          <w:tcPr>
            <w:tcW w:w="1529" w:type="dxa"/>
            <w:tcBorders>
              <w:top w:val="single" w:sz="4" w:space="0" w:color="000000"/>
              <w:left w:val="single" w:sz="12" w:space="0" w:color="000000"/>
              <w:bottom w:val="single" w:sz="4" w:space="0" w:color="000000"/>
              <w:right w:val="single" w:sz="12" w:space="0" w:color="000000"/>
            </w:tcBorders>
          </w:tcPr>
          <w:p w14:paraId="4DC6EFB7" w14:textId="3014F1F1" w:rsidR="00CF3C17" w:rsidRDefault="00CF3C17" w:rsidP="00CF3C17">
            <w:pPr>
              <w:spacing w:after="0" w:line="259" w:lineRule="auto"/>
              <w:ind w:left="0" w:right="21" w:firstLine="0"/>
              <w:jc w:val="center"/>
            </w:pPr>
            <w:r w:rsidRPr="00F91A47">
              <w:rPr>
                <w:sz w:val="20"/>
              </w:rPr>
              <w:t xml:space="preserve">75-125 </w:t>
            </w:r>
          </w:p>
        </w:tc>
        <w:tc>
          <w:tcPr>
            <w:tcW w:w="1529" w:type="dxa"/>
            <w:tcBorders>
              <w:top w:val="single" w:sz="4" w:space="0" w:color="000000"/>
              <w:left w:val="single" w:sz="12" w:space="0" w:color="000000"/>
              <w:bottom w:val="single" w:sz="4" w:space="0" w:color="000000"/>
              <w:right w:val="single" w:sz="12" w:space="0" w:color="000000"/>
            </w:tcBorders>
          </w:tcPr>
          <w:p w14:paraId="63E71E43" w14:textId="6821B38B" w:rsidR="00CF3C17" w:rsidRDefault="00CF3C17" w:rsidP="00CF3C17">
            <w:pPr>
              <w:spacing w:after="0" w:line="259" w:lineRule="auto"/>
              <w:ind w:left="0" w:right="23" w:firstLine="0"/>
              <w:jc w:val="center"/>
            </w:pPr>
            <w:r w:rsidRPr="00CE4CB3">
              <w:rPr>
                <w:sz w:val="20"/>
              </w:rPr>
              <w:t>20</w:t>
            </w:r>
          </w:p>
        </w:tc>
      </w:tr>
      <w:tr w:rsidR="00CF3C17" w14:paraId="01C02410" w14:textId="77777777" w:rsidTr="00F9055A">
        <w:trPr>
          <w:trHeight w:val="298"/>
        </w:trPr>
        <w:tc>
          <w:tcPr>
            <w:tcW w:w="2520" w:type="dxa"/>
            <w:tcBorders>
              <w:top w:val="single" w:sz="4" w:space="0" w:color="000000"/>
              <w:left w:val="single" w:sz="12" w:space="0" w:color="000000"/>
              <w:bottom w:val="single" w:sz="12" w:space="0" w:color="000000"/>
              <w:right w:val="single" w:sz="12" w:space="0" w:color="000000"/>
            </w:tcBorders>
          </w:tcPr>
          <w:p w14:paraId="504E450A" w14:textId="47D9EA7E" w:rsidR="00CF3C17" w:rsidRDefault="00CF3C17" w:rsidP="00CF3C17">
            <w:pPr>
              <w:spacing w:after="0" w:line="259" w:lineRule="auto"/>
              <w:ind w:left="0" w:right="0" w:firstLine="0"/>
            </w:pPr>
            <w:r>
              <w:rPr>
                <w:sz w:val="20"/>
              </w:rPr>
              <w:t>General Chemistry</w:t>
            </w:r>
          </w:p>
        </w:tc>
        <w:tc>
          <w:tcPr>
            <w:tcW w:w="1440" w:type="dxa"/>
            <w:tcBorders>
              <w:top w:val="single" w:sz="4" w:space="0" w:color="000000"/>
              <w:left w:val="single" w:sz="12" w:space="0" w:color="000000"/>
              <w:bottom w:val="single" w:sz="12" w:space="0" w:color="000000"/>
              <w:right w:val="single" w:sz="12" w:space="0" w:color="000000"/>
            </w:tcBorders>
          </w:tcPr>
          <w:p w14:paraId="65BB7795" w14:textId="10216951" w:rsidR="00CF3C17" w:rsidRDefault="00CF3C17" w:rsidP="00CF3C17">
            <w:pPr>
              <w:spacing w:after="0" w:line="259" w:lineRule="auto"/>
              <w:ind w:left="0" w:right="18" w:firstLine="0"/>
              <w:jc w:val="center"/>
            </w:pPr>
            <w:r w:rsidRPr="00546A20">
              <w:rPr>
                <w:sz w:val="20"/>
                <w:szCs w:val="20"/>
              </w:rPr>
              <w:t>80-120</w:t>
            </w:r>
          </w:p>
        </w:tc>
        <w:tc>
          <w:tcPr>
            <w:tcW w:w="1532" w:type="dxa"/>
            <w:tcBorders>
              <w:top w:val="single" w:sz="4" w:space="0" w:color="000000"/>
              <w:left w:val="single" w:sz="12" w:space="0" w:color="000000"/>
              <w:bottom w:val="single" w:sz="12" w:space="0" w:color="000000"/>
              <w:right w:val="single" w:sz="12" w:space="0" w:color="000000"/>
            </w:tcBorders>
          </w:tcPr>
          <w:p w14:paraId="63E77EFF" w14:textId="0BD3CDB4" w:rsidR="00CF3C17" w:rsidRDefault="00CF3C17" w:rsidP="00CF3C17">
            <w:pPr>
              <w:spacing w:after="0" w:line="259" w:lineRule="auto"/>
              <w:ind w:left="0" w:right="20" w:firstLine="0"/>
              <w:jc w:val="center"/>
            </w:pPr>
            <w:r w:rsidRPr="00F50E89">
              <w:rPr>
                <w:sz w:val="20"/>
              </w:rPr>
              <w:t>20</w:t>
            </w:r>
          </w:p>
        </w:tc>
        <w:tc>
          <w:tcPr>
            <w:tcW w:w="1529" w:type="dxa"/>
            <w:tcBorders>
              <w:top w:val="single" w:sz="4" w:space="0" w:color="000000"/>
              <w:left w:val="single" w:sz="12" w:space="0" w:color="000000"/>
              <w:bottom w:val="single" w:sz="12" w:space="0" w:color="000000"/>
              <w:right w:val="single" w:sz="12" w:space="0" w:color="000000"/>
            </w:tcBorders>
          </w:tcPr>
          <w:p w14:paraId="42FFDDBE" w14:textId="4549E95F" w:rsidR="00CF3C17" w:rsidRDefault="00CF3C17" w:rsidP="00CF3C17">
            <w:pPr>
              <w:spacing w:after="0" w:line="259" w:lineRule="auto"/>
              <w:ind w:left="0" w:right="21" w:firstLine="0"/>
              <w:jc w:val="center"/>
            </w:pPr>
            <w:r w:rsidRPr="00F91A47">
              <w:rPr>
                <w:sz w:val="20"/>
              </w:rPr>
              <w:t xml:space="preserve">75-125 </w:t>
            </w:r>
          </w:p>
        </w:tc>
        <w:tc>
          <w:tcPr>
            <w:tcW w:w="1529" w:type="dxa"/>
            <w:tcBorders>
              <w:top w:val="single" w:sz="4" w:space="0" w:color="000000"/>
              <w:left w:val="single" w:sz="12" w:space="0" w:color="000000"/>
              <w:bottom w:val="single" w:sz="12" w:space="0" w:color="000000"/>
              <w:right w:val="single" w:sz="12" w:space="0" w:color="000000"/>
            </w:tcBorders>
          </w:tcPr>
          <w:p w14:paraId="6CEAAB72" w14:textId="27E0293E" w:rsidR="00CF3C17" w:rsidRDefault="00CF3C17" w:rsidP="00CF3C17">
            <w:pPr>
              <w:spacing w:after="0" w:line="259" w:lineRule="auto"/>
              <w:ind w:left="0" w:right="23" w:firstLine="0"/>
              <w:jc w:val="center"/>
            </w:pPr>
            <w:r w:rsidRPr="00CE4CB3">
              <w:rPr>
                <w:sz w:val="20"/>
              </w:rPr>
              <w:t>20</w:t>
            </w:r>
          </w:p>
        </w:tc>
      </w:tr>
    </w:tbl>
    <w:p w14:paraId="62F276D7" w14:textId="77777777" w:rsidR="00A1724B" w:rsidRPr="00A1724B" w:rsidRDefault="00A1724B" w:rsidP="00CF3C17"/>
    <w:p w14:paraId="5E261F47" w14:textId="31C31A04" w:rsidR="00B56D50" w:rsidRPr="00D45F5A" w:rsidRDefault="001C3C42" w:rsidP="00093377">
      <w:pPr>
        <w:numPr>
          <w:ilvl w:val="0"/>
          <w:numId w:val="22"/>
        </w:numPr>
        <w:spacing w:after="16"/>
        <w:ind w:left="1440" w:right="186" w:hanging="360"/>
        <w:rPr>
          <w:b/>
          <w:bCs/>
        </w:rPr>
      </w:pPr>
      <w:r w:rsidRPr="00D45F5A">
        <w:rPr>
          <w:b/>
          <w:bCs/>
        </w:rPr>
        <w:t xml:space="preserve">Duplicate Sample Analysis </w:t>
      </w:r>
    </w:p>
    <w:p w14:paraId="778AD8D5" w14:textId="77777777" w:rsidR="00B56D50" w:rsidRDefault="001C3C42" w:rsidP="007D3F9D">
      <w:pPr>
        <w:ind w:left="1450" w:right="255"/>
      </w:pPr>
      <w:r>
        <w:t xml:space="preserve">The Contractor shall analyze one duplicate sample for each matrix type (e.g., water, sludges, soil) and concentration (e.g., low, medium) for each case of samples, or for each 10 samples received, whichever is more frequent, when a laboratory or matrix duplicate sample is required.   The results must not be averaged; results of each replicate must be reported.  </w:t>
      </w:r>
      <w:r>
        <w:rPr>
          <w:b/>
        </w:rPr>
        <w:t>Samples identified as field blanks shall not be used for duplicate sample analysis.</w:t>
      </w:r>
      <w:r>
        <w:t xml:space="preserve"> </w:t>
      </w:r>
    </w:p>
    <w:p w14:paraId="24AD4EC1" w14:textId="554F3418" w:rsidR="00B56D50" w:rsidRPr="00D43449" w:rsidRDefault="00B56D50" w:rsidP="007D3F9D">
      <w:pPr>
        <w:spacing w:after="0" w:line="259" w:lineRule="auto"/>
        <w:ind w:left="1440" w:right="0" w:firstLine="0"/>
      </w:pPr>
    </w:p>
    <w:p w14:paraId="27B300D4" w14:textId="16DB1553" w:rsidR="00B56D50" w:rsidRDefault="001C3C42" w:rsidP="007D3F9D">
      <w:pPr>
        <w:ind w:left="1450" w:right="255"/>
      </w:pPr>
      <w:r>
        <w:t xml:space="preserve">The RPD for each analyte detected must be calculated and reported in the QC report.  If the RPD exceeds the control limits listed in TABLE </w:t>
      </w:r>
      <w:r w:rsidR="006D7194">
        <w:t>4</w:t>
      </w:r>
      <w:r>
        <w:t xml:space="preserve">, data must be qualified as estimated. </w:t>
      </w:r>
    </w:p>
    <w:p w14:paraId="4465E388" w14:textId="77777777" w:rsidR="00504680" w:rsidRDefault="00504680">
      <w:pPr>
        <w:ind w:left="1002" w:right="255"/>
      </w:pPr>
    </w:p>
    <w:p w14:paraId="1933A022" w14:textId="203E757D" w:rsidR="00B56D50" w:rsidRDefault="001C3C42">
      <w:pPr>
        <w:pStyle w:val="Heading5"/>
        <w:ind w:left="1024" w:right="722"/>
      </w:pPr>
      <w:r>
        <w:t xml:space="preserve">TABLE </w:t>
      </w:r>
      <w:r w:rsidR="006D7194">
        <w:t xml:space="preserve">4 </w:t>
      </w:r>
    </w:p>
    <w:p w14:paraId="6C92E708" w14:textId="77777777" w:rsidR="00B56D50" w:rsidRDefault="001C3C42">
      <w:pPr>
        <w:pStyle w:val="Heading6"/>
        <w:spacing w:after="14" w:line="248" w:lineRule="auto"/>
        <w:ind w:left="1024" w:right="722"/>
        <w:jc w:val="center"/>
      </w:pPr>
      <w:r>
        <w:t xml:space="preserve">Control Limits for Laboratory Duplicate Sample Analysis RPD </w:t>
      </w:r>
    </w:p>
    <w:tbl>
      <w:tblPr>
        <w:tblStyle w:val="TableGrid1"/>
        <w:tblW w:w="9540" w:type="dxa"/>
        <w:tblInd w:w="795" w:type="dxa"/>
        <w:tblCellMar>
          <w:left w:w="119" w:type="dxa"/>
          <w:right w:w="115" w:type="dxa"/>
        </w:tblCellMar>
        <w:tblLook w:val="04A0" w:firstRow="1" w:lastRow="0" w:firstColumn="1" w:lastColumn="0" w:noHBand="0" w:noVBand="1"/>
      </w:tblPr>
      <w:tblGrid>
        <w:gridCol w:w="4034"/>
        <w:gridCol w:w="2477"/>
        <w:gridCol w:w="3029"/>
      </w:tblGrid>
      <w:tr w:rsidR="00B56D50" w14:paraId="51AFDEAA" w14:textId="77777777" w:rsidTr="00CE703F">
        <w:trPr>
          <w:trHeight w:val="674"/>
        </w:trPr>
        <w:tc>
          <w:tcPr>
            <w:tcW w:w="4034" w:type="dxa"/>
            <w:tcBorders>
              <w:top w:val="single" w:sz="12" w:space="0" w:color="000000" w:themeColor="text1"/>
              <w:left w:val="single" w:sz="12" w:space="0" w:color="000000" w:themeColor="text1"/>
              <w:bottom w:val="single" w:sz="14" w:space="0" w:color="000000" w:themeColor="text1"/>
              <w:right w:val="single" w:sz="14" w:space="0" w:color="000000" w:themeColor="text1"/>
            </w:tcBorders>
            <w:vAlign w:val="center"/>
          </w:tcPr>
          <w:p w14:paraId="5AB5FDF7" w14:textId="3794B042" w:rsidR="00B56D50" w:rsidRDefault="001C3C42" w:rsidP="00122D52">
            <w:pPr>
              <w:spacing w:after="0" w:line="259" w:lineRule="auto"/>
              <w:ind w:left="0" w:right="0" w:firstLine="0"/>
              <w:jc w:val="center"/>
            </w:pPr>
            <w:r>
              <w:rPr>
                <w:b/>
                <w:sz w:val="20"/>
              </w:rPr>
              <w:t>Concentration of Analyte in Sample &amp; Laboratory Duplicate</w:t>
            </w:r>
          </w:p>
        </w:tc>
        <w:tc>
          <w:tcPr>
            <w:tcW w:w="2477" w:type="dxa"/>
            <w:tcBorders>
              <w:top w:val="single" w:sz="12" w:space="0" w:color="000000" w:themeColor="text1"/>
              <w:left w:val="single" w:sz="14" w:space="0" w:color="000000" w:themeColor="text1"/>
              <w:bottom w:val="single" w:sz="14" w:space="0" w:color="000000" w:themeColor="text1"/>
              <w:right w:val="single" w:sz="14" w:space="0" w:color="000000" w:themeColor="text1"/>
            </w:tcBorders>
            <w:vAlign w:val="center"/>
          </w:tcPr>
          <w:p w14:paraId="39F72981" w14:textId="098D3ABC" w:rsidR="00B56D50" w:rsidRDefault="001C3C42" w:rsidP="00EF3B76">
            <w:pPr>
              <w:spacing w:after="0" w:line="259" w:lineRule="auto"/>
              <w:ind w:left="0" w:right="8" w:firstLine="0"/>
              <w:jc w:val="center"/>
            </w:pPr>
            <w:r>
              <w:rPr>
                <w:b/>
                <w:sz w:val="20"/>
              </w:rPr>
              <w:t>Aqueous Samples</w:t>
            </w:r>
          </w:p>
        </w:tc>
        <w:tc>
          <w:tcPr>
            <w:tcW w:w="3029" w:type="dxa"/>
            <w:tcBorders>
              <w:top w:val="single" w:sz="12" w:space="0" w:color="000000" w:themeColor="text1"/>
              <w:left w:val="single" w:sz="14" w:space="0" w:color="000000" w:themeColor="text1"/>
              <w:bottom w:val="single" w:sz="14" w:space="0" w:color="000000" w:themeColor="text1"/>
              <w:right w:val="single" w:sz="12" w:space="0" w:color="000000" w:themeColor="text1"/>
            </w:tcBorders>
            <w:vAlign w:val="center"/>
          </w:tcPr>
          <w:p w14:paraId="5A001EF1" w14:textId="0A12F273" w:rsidR="00B56D50" w:rsidRDefault="001C3C42" w:rsidP="00122D52">
            <w:pPr>
              <w:spacing w:after="0" w:line="259" w:lineRule="auto"/>
              <w:ind w:left="0" w:right="0" w:firstLine="0"/>
              <w:jc w:val="center"/>
            </w:pPr>
            <w:r>
              <w:rPr>
                <w:b/>
                <w:sz w:val="20"/>
              </w:rPr>
              <w:t>Soil, Sludge, Sediment, Oil, &amp; Waste Samples</w:t>
            </w:r>
          </w:p>
        </w:tc>
      </w:tr>
      <w:tr w:rsidR="00B56D50" w14:paraId="04B9AE4E" w14:textId="77777777" w:rsidTr="00CE703F">
        <w:trPr>
          <w:trHeight w:val="522"/>
        </w:trPr>
        <w:tc>
          <w:tcPr>
            <w:tcW w:w="4034" w:type="dxa"/>
            <w:tcBorders>
              <w:top w:val="single" w:sz="14" w:space="0" w:color="000000" w:themeColor="text1"/>
              <w:left w:val="single" w:sz="12" w:space="0" w:color="000000" w:themeColor="text1"/>
              <w:bottom w:val="single" w:sz="4" w:space="0" w:color="000000" w:themeColor="text1"/>
              <w:right w:val="single" w:sz="14" w:space="0" w:color="000000" w:themeColor="text1"/>
            </w:tcBorders>
            <w:vAlign w:val="center"/>
          </w:tcPr>
          <w:p w14:paraId="43A53C88" w14:textId="72F1A8D2" w:rsidR="00B56D50" w:rsidRDefault="001C3C42" w:rsidP="00122D52">
            <w:pPr>
              <w:spacing w:after="0" w:line="259" w:lineRule="auto"/>
              <w:ind w:left="1" w:right="0" w:firstLine="0"/>
            </w:pPr>
            <w:r>
              <w:rPr>
                <w:b/>
                <w:sz w:val="20"/>
              </w:rPr>
              <w:t xml:space="preserve"> </w:t>
            </w:r>
            <w:r>
              <w:rPr>
                <w:sz w:val="20"/>
              </w:rPr>
              <w:t xml:space="preserve">Both results Less than (&lt;) 5 X </w:t>
            </w:r>
            <w:r w:rsidR="007D0D21">
              <w:rPr>
                <w:sz w:val="20"/>
              </w:rPr>
              <w:t>R</w:t>
            </w:r>
            <w:r>
              <w:rPr>
                <w:sz w:val="20"/>
              </w:rPr>
              <w:t xml:space="preserve">L </w:t>
            </w:r>
          </w:p>
        </w:tc>
        <w:tc>
          <w:tcPr>
            <w:tcW w:w="2477" w:type="dxa"/>
            <w:tcBorders>
              <w:top w:val="single" w:sz="14" w:space="0" w:color="000000" w:themeColor="text1"/>
              <w:left w:val="single" w:sz="14" w:space="0" w:color="000000" w:themeColor="text1"/>
              <w:bottom w:val="single" w:sz="4" w:space="0" w:color="000000" w:themeColor="text1"/>
              <w:right w:val="single" w:sz="14" w:space="0" w:color="000000" w:themeColor="text1"/>
            </w:tcBorders>
            <w:vAlign w:val="center"/>
          </w:tcPr>
          <w:p w14:paraId="4229969D" w14:textId="4AC128C2" w:rsidR="00B56D50" w:rsidRDefault="001C3C42" w:rsidP="00122D52">
            <w:pPr>
              <w:spacing w:after="0" w:line="259" w:lineRule="auto"/>
              <w:ind w:left="2" w:right="0" w:firstLine="0"/>
              <w:jc w:val="center"/>
            </w:pPr>
            <w:r>
              <w:rPr>
                <w:sz w:val="20"/>
              </w:rPr>
              <w:t xml:space="preserve">± </w:t>
            </w:r>
            <w:r w:rsidR="008E70D8">
              <w:rPr>
                <w:sz w:val="20"/>
              </w:rPr>
              <w:t>R</w:t>
            </w:r>
            <w:r>
              <w:rPr>
                <w:sz w:val="20"/>
              </w:rPr>
              <w:t>L value</w:t>
            </w:r>
          </w:p>
        </w:tc>
        <w:tc>
          <w:tcPr>
            <w:tcW w:w="3029" w:type="dxa"/>
            <w:tcBorders>
              <w:top w:val="single" w:sz="14" w:space="0" w:color="000000" w:themeColor="text1"/>
              <w:left w:val="single" w:sz="14" w:space="0" w:color="000000" w:themeColor="text1"/>
              <w:bottom w:val="single" w:sz="4" w:space="0" w:color="000000" w:themeColor="text1"/>
              <w:right w:val="single" w:sz="12" w:space="0" w:color="000000" w:themeColor="text1"/>
            </w:tcBorders>
            <w:vAlign w:val="center"/>
          </w:tcPr>
          <w:p w14:paraId="6B35A9A2" w14:textId="5D99A11E" w:rsidR="00B56D50" w:rsidRDefault="007D0D21" w:rsidP="00122D52">
            <w:pPr>
              <w:spacing w:after="0" w:line="259" w:lineRule="auto"/>
              <w:ind w:left="0" w:right="0" w:firstLine="0"/>
              <w:jc w:val="center"/>
            </w:pPr>
            <w:r>
              <w:rPr>
                <w:sz w:val="20"/>
              </w:rPr>
              <w:t>±</w:t>
            </w:r>
            <w:r w:rsidR="001C3C42">
              <w:rPr>
                <w:sz w:val="20"/>
              </w:rPr>
              <w:t xml:space="preserve"> 2 X </w:t>
            </w:r>
            <w:r w:rsidR="008E70D8">
              <w:rPr>
                <w:sz w:val="20"/>
              </w:rPr>
              <w:t>R</w:t>
            </w:r>
            <w:r w:rsidR="001C3C42">
              <w:rPr>
                <w:sz w:val="20"/>
              </w:rPr>
              <w:t>L value</w:t>
            </w:r>
          </w:p>
        </w:tc>
      </w:tr>
      <w:tr w:rsidR="00B56D50" w14:paraId="152EA068" w14:textId="77777777" w:rsidTr="00CE703F">
        <w:trPr>
          <w:trHeight w:val="514"/>
        </w:trPr>
        <w:tc>
          <w:tcPr>
            <w:tcW w:w="4034" w:type="dxa"/>
            <w:tcBorders>
              <w:top w:val="single" w:sz="4" w:space="0" w:color="000000" w:themeColor="text1"/>
              <w:left w:val="single" w:sz="12" w:space="0" w:color="000000" w:themeColor="text1"/>
              <w:bottom w:val="single" w:sz="4" w:space="0" w:color="000000" w:themeColor="text1"/>
              <w:right w:val="single" w:sz="12" w:space="0" w:color="000000" w:themeColor="text1"/>
            </w:tcBorders>
            <w:vAlign w:val="center"/>
          </w:tcPr>
          <w:p w14:paraId="30584275" w14:textId="25702B3D" w:rsidR="00B56D50" w:rsidRDefault="001C3C42" w:rsidP="00122D52">
            <w:pPr>
              <w:spacing w:after="0" w:line="259" w:lineRule="auto"/>
              <w:ind w:left="1" w:right="0" w:firstLine="0"/>
            </w:pPr>
            <w:r>
              <w:rPr>
                <w:sz w:val="20"/>
              </w:rPr>
              <w:t xml:space="preserve"> Both results Greater than (&gt;) 5 X </w:t>
            </w:r>
            <w:r w:rsidR="007D0D21">
              <w:rPr>
                <w:sz w:val="20"/>
              </w:rPr>
              <w:t>R</w:t>
            </w:r>
            <w:r>
              <w:rPr>
                <w:sz w:val="20"/>
              </w:rPr>
              <w:t xml:space="preserve">L </w:t>
            </w:r>
          </w:p>
        </w:tc>
        <w:tc>
          <w:tcPr>
            <w:tcW w:w="2477" w:type="dxa"/>
            <w:tcBorders>
              <w:top w:val="single" w:sz="4" w:space="0" w:color="000000" w:themeColor="text1"/>
              <w:left w:val="single" w:sz="12" w:space="0" w:color="000000" w:themeColor="text1"/>
              <w:bottom w:val="single" w:sz="4" w:space="0" w:color="000000" w:themeColor="text1"/>
              <w:right w:val="single" w:sz="12" w:space="0" w:color="000000" w:themeColor="text1"/>
            </w:tcBorders>
            <w:vAlign w:val="center"/>
          </w:tcPr>
          <w:p w14:paraId="5308F566" w14:textId="46482774" w:rsidR="00B56D50" w:rsidRDefault="001C3C42" w:rsidP="00122D52">
            <w:pPr>
              <w:spacing w:after="0" w:line="259" w:lineRule="auto"/>
              <w:ind w:left="2" w:right="0" w:firstLine="0"/>
              <w:jc w:val="center"/>
            </w:pPr>
            <w:r>
              <w:rPr>
                <w:sz w:val="20"/>
              </w:rPr>
              <w:t>± 20 %</w:t>
            </w:r>
          </w:p>
        </w:tc>
        <w:tc>
          <w:tcPr>
            <w:tcW w:w="3029" w:type="dxa"/>
            <w:tcBorders>
              <w:top w:val="single" w:sz="4" w:space="0" w:color="000000" w:themeColor="text1"/>
              <w:left w:val="single" w:sz="12" w:space="0" w:color="000000" w:themeColor="text1"/>
              <w:bottom w:val="single" w:sz="4" w:space="0" w:color="000000" w:themeColor="text1"/>
              <w:right w:val="single" w:sz="12" w:space="0" w:color="000000" w:themeColor="text1"/>
            </w:tcBorders>
            <w:vAlign w:val="center"/>
          </w:tcPr>
          <w:p w14:paraId="3DDAFD27" w14:textId="7A538FF9" w:rsidR="00B56D50" w:rsidRDefault="007D0D21" w:rsidP="00122D52">
            <w:pPr>
              <w:spacing w:after="0" w:line="259" w:lineRule="auto"/>
              <w:ind w:left="0" w:right="0" w:firstLine="0"/>
              <w:jc w:val="center"/>
            </w:pPr>
            <w:r>
              <w:rPr>
                <w:sz w:val="20"/>
              </w:rPr>
              <w:t>±</w:t>
            </w:r>
            <w:r w:rsidR="001C3C42" w:rsidRPr="104E0169">
              <w:rPr>
                <w:sz w:val="20"/>
                <w:szCs w:val="20"/>
              </w:rPr>
              <w:t xml:space="preserve"> 35%</w:t>
            </w:r>
          </w:p>
        </w:tc>
      </w:tr>
      <w:tr w:rsidR="00B56D50" w14:paraId="56478F13" w14:textId="77777777" w:rsidTr="00185AC0">
        <w:trPr>
          <w:trHeight w:val="571"/>
        </w:trPr>
        <w:tc>
          <w:tcPr>
            <w:tcW w:w="4034" w:type="dxa"/>
            <w:tcBorders>
              <w:top w:val="single" w:sz="4" w:space="0" w:color="000000" w:themeColor="text1"/>
              <w:left w:val="single" w:sz="12" w:space="0" w:color="000000" w:themeColor="text1"/>
              <w:bottom w:val="single" w:sz="12" w:space="0" w:color="000000" w:themeColor="text1"/>
              <w:right w:val="single" w:sz="14" w:space="0" w:color="000000" w:themeColor="text1"/>
            </w:tcBorders>
            <w:vAlign w:val="center"/>
          </w:tcPr>
          <w:p w14:paraId="14288393" w14:textId="70206E22" w:rsidR="00B56D50" w:rsidRDefault="001C3C42" w:rsidP="00122D52">
            <w:pPr>
              <w:spacing w:after="0" w:line="259" w:lineRule="auto"/>
              <w:ind w:left="1" w:right="0" w:firstLine="0"/>
            </w:pPr>
            <w:r>
              <w:rPr>
                <w:sz w:val="20"/>
              </w:rPr>
              <w:t xml:space="preserve"> One result &lt; </w:t>
            </w:r>
            <w:r w:rsidR="003717C8">
              <w:rPr>
                <w:sz w:val="20"/>
              </w:rPr>
              <w:t>R</w:t>
            </w:r>
            <w:r>
              <w:rPr>
                <w:sz w:val="20"/>
              </w:rPr>
              <w:t xml:space="preserve">L, one result &gt; </w:t>
            </w:r>
            <w:r w:rsidR="007D0D21">
              <w:rPr>
                <w:sz w:val="20"/>
              </w:rPr>
              <w:t>R</w:t>
            </w:r>
            <w:r>
              <w:rPr>
                <w:sz w:val="20"/>
              </w:rPr>
              <w:t xml:space="preserve">L </w:t>
            </w:r>
          </w:p>
        </w:tc>
        <w:tc>
          <w:tcPr>
            <w:tcW w:w="2477" w:type="dxa"/>
            <w:tcBorders>
              <w:top w:val="single" w:sz="4" w:space="0" w:color="000000" w:themeColor="text1"/>
              <w:left w:val="single" w:sz="14" w:space="0" w:color="000000" w:themeColor="text1"/>
              <w:bottom w:val="single" w:sz="12" w:space="0" w:color="000000" w:themeColor="text1"/>
              <w:right w:val="single" w:sz="14" w:space="0" w:color="000000" w:themeColor="text1"/>
            </w:tcBorders>
            <w:vAlign w:val="center"/>
          </w:tcPr>
          <w:p w14:paraId="1A3B3BE7" w14:textId="2A1C5E49" w:rsidR="00B56D50" w:rsidRDefault="001C3C42" w:rsidP="00122D52">
            <w:pPr>
              <w:spacing w:after="0" w:line="259" w:lineRule="auto"/>
              <w:ind w:left="2" w:right="0" w:firstLine="0"/>
              <w:jc w:val="center"/>
            </w:pPr>
            <w:r>
              <w:rPr>
                <w:sz w:val="20"/>
              </w:rPr>
              <w:t xml:space="preserve">± </w:t>
            </w:r>
            <w:r w:rsidR="008E70D8">
              <w:rPr>
                <w:sz w:val="20"/>
              </w:rPr>
              <w:t>R</w:t>
            </w:r>
            <w:r>
              <w:rPr>
                <w:sz w:val="20"/>
              </w:rPr>
              <w:t>L value</w:t>
            </w:r>
          </w:p>
        </w:tc>
        <w:tc>
          <w:tcPr>
            <w:tcW w:w="3029" w:type="dxa"/>
            <w:tcBorders>
              <w:top w:val="single" w:sz="4" w:space="0" w:color="000000" w:themeColor="text1"/>
              <w:left w:val="single" w:sz="14" w:space="0" w:color="000000" w:themeColor="text1"/>
              <w:bottom w:val="single" w:sz="12" w:space="0" w:color="000000" w:themeColor="text1"/>
              <w:right w:val="single" w:sz="12" w:space="0" w:color="000000" w:themeColor="text1"/>
            </w:tcBorders>
            <w:vAlign w:val="center"/>
          </w:tcPr>
          <w:p w14:paraId="5934B66E" w14:textId="513B8084" w:rsidR="00B56D50" w:rsidRDefault="00815203" w:rsidP="00122D52">
            <w:pPr>
              <w:spacing w:after="0" w:line="259" w:lineRule="auto"/>
              <w:ind w:left="0" w:right="0" w:firstLine="0"/>
              <w:jc w:val="center"/>
            </w:pPr>
            <w:r>
              <w:rPr>
                <w:sz w:val="20"/>
              </w:rPr>
              <w:t>±</w:t>
            </w:r>
            <w:r w:rsidR="001C3C42">
              <w:rPr>
                <w:sz w:val="20"/>
              </w:rPr>
              <w:t xml:space="preserve"> 2 X </w:t>
            </w:r>
            <w:r w:rsidR="008E70D8">
              <w:rPr>
                <w:sz w:val="20"/>
              </w:rPr>
              <w:t>R</w:t>
            </w:r>
            <w:r w:rsidR="001C3C42">
              <w:rPr>
                <w:sz w:val="20"/>
              </w:rPr>
              <w:t>L value</w:t>
            </w:r>
          </w:p>
        </w:tc>
      </w:tr>
    </w:tbl>
    <w:p w14:paraId="29592BF2" w14:textId="77777777" w:rsidR="00631D0B" w:rsidRPr="0077009D" w:rsidRDefault="00631D0B">
      <w:pPr>
        <w:spacing w:after="8" w:line="259" w:lineRule="auto"/>
        <w:ind w:left="992" w:right="0" w:firstLine="0"/>
      </w:pPr>
    </w:p>
    <w:p w14:paraId="077E6209" w14:textId="4206DCFF" w:rsidR="00B56D50" w:rsidRPr="00C6252D" w:rsidRDefault="001C3C42" w:rsidP="00093377">
      <w:pPr>
        <w:numPr>
          <w:ilvl w:val="0"/>
          <w:numId w:val="22"/>
        </w:numPr>
        <w:spacing w:after="16"/>
        <w:ind w:left="1440" w:right="186" w:hanging="360"/>
        <w:rPr>
          <w:b/>
          <w:bCs/>
        </w:rPr>
      </w:pPr>
      <w:r w:rsidRPr="00C6252D">
        <w:rPr>
          <w:b/>
          <w:bCs/>
        </w:rPr>
        <w:t xml:space="preserve">Laboratory Control Sample Analysis (LCS) </w:t>
      </w:r>
    </w:p>
    <w:p w14:paraId="6B85965F" w14:textId="77777777" w:rsidR="001847F7" w:rsidRDefault="001C3C42" w:rsidP="000B2AD5">
      <w:pPr>
        <w:ind w:left="1450" w:right="0"/>
      </w:pPr>
      <w:r>
        <w:t>The Contractor shall analyze aqueous and solid laboratory quality control samples for each analyte using the same sample preparation and analytical methods employed for the samples received.  One aqueous LCS must be analyzed for every 10 samples received, or for each batch</w:t>
      </w:r>
      <w:r w:rsidR="009B601A">
        <w:rPr>
          <w:vertAlign w:val="superscript"/>
        </w:rPr>
        <w:t xml:space="preserve"> </w:t>
      </w:r>
      <w:r>
        <w:t xml:space="preserve">of samples digested, whichever is more frequent.  For cyanide analysis, the distilled mid-range calibration standard may be used as the aqueous LCS.  An aqueous LCS is not required for mercury analysis.  If the % recovery for the aqueous LCS falls outside the control limits of TABLE </w:t>
      </w:r>
      <w:r w:rsidR="00EF16B3">
        <w:t>5</w:t>
      </w:r>
      <w:r>
        <w:t>, the analysis must be terminated, the problems corrected, and the previous samples associated with that LCS reanalyzed (i.e., previous 10 samples or the batch of samples from the case).</w:t>
      </w:r>
    </w:p>
    <w:p w14:paraId="1997527F" w14:textId="77777777" w:rsidR="001847F7" w:rsidRDefault="001847F7" w:rsidP="00C6252D">
      <w:pPr>
        <w:ind w:left="1090" w:right="255"/>
      </w:pPr>
    </w:p>
    <w:p w14:paraId="2D3BD65E" w14:textId="77777777" w:rsidR="001847F7" w:rsidRDefault="001847F7" w:rsidP="00C6252D">
      <w:pPr>
        <w:ind w:left="1090" w:right="255"/>
      </w:pPr>
    </w:p>
    <w:p w14:paraId="7052D03B" w14:textId="68FC8564" w:rsidR="00B56D50" w:rsidRDefault="001C3C42" w:rsidP="00C6252D">
      <w:pPr>
        <w:ind w:left="1090" w:right="255"/>
      </w:pPr>
      <w:r>
        <w:t xml:space="preserve"> </w:t>
      </w:r>
    </w:p>
    <w:p w14:paraId="3A964AC2" w14:textId="224C2D5B" w:rsidR="008D2B64" w:rsidRDefault="008D2B64" w:rsidP="00C6252D">
      <w:pPr>
        <w:ind w:left="1090" w:right="255"/>
      </w:pPr>
    </w:p>
    <w:p w14:paraId="5F74C4D0" w14:textId="77777777" w:rsidR="008D2B64" w:rsidRDefault="008D2B64" w:rsidP="00C6252D">
      <w:pPr>
        <w:ind w:left="1090" w:right="255"/>
      </w:pPr>
    </w:p>
    <w:p w14:paraId="340B4EC3" w14:textId="52D095C3" w:rsidR="00B56D50" w:rsidRDefault="001C3C42">
      <w:pPr>
        <w:pStyle w:val="Heading5"/>
        <w:ind w:left="1024" w:right="722"/>
      </w:pPr>
      <w:r>
        <w:t xml:space="preserve">TABLE </w:t>
      </w:r>
      <w:r w:rsidR="00EF16B3">
        <w:t>5</w:t>
      </w:r>
      <w:r>
        <w:t xml:space="preserve"> </w:t>
      </w:r>
    </w:p>
    <w:p w14:paraId="30D954E6" w14:textId="77777777" w:rsidR="00B56D50" w:rsidRDefault="001C3C42">
      <w:pPr>
        <w:pStyle w:val="Heading6"/>
        <w:spacing w:after="14" w:line="248" w:lineRule="auto"/>
        <w:ind w:left="1024" w:right="727"/>
        <w:jc w:val="center"/>
      </w:pPr>
      <w:r>
        <w:t xml:space="preserve">Laboratory Control Sample (LCS) Control Limits for Inorganic Analyses </w:t>
      </w:r>
    </w:p>
    <w:p w14:paraId="1C9ACF07" w14:textId="77777777" w:rsidR="00B56D50" w:rsidRDefault="001C3C42">
      <w:pPr>
        <w:spacing w:after="0" w:line="259" w:lineRule="auto"/>
        <w:ind w:left="314" w:right="0" w:firstLine="0"/>
        <w:jc w:val="center"/>
      </w:pPr>
      <w:r>
        <w:rPr>
          <w:rFonts w:ascii="Arial" w:eastAsia="Arial" w:hAnsi="Arial" w:cs="Arial"/>
          <w:sz w:val="8"/>
        </w:rPr>
        <w:t xml:space="preserve"> </w:t>
      </w:r>
    </w:p>
    <w:tbl>
      <w:tblPr>
        <w:tblStyle w:val="TableGrid1"/>
        <w:tblW w:w="5993" w:type="dxa"/>
        <w:tblInd w:w="2325" w:type="dxa"/>
        <w:tblBorders>
          <w:top w:val="single" w:sz="12" w:space="0" w:color="000000"/>
          <w:left w:val="single" w:sz="12" w:space="0" w:color="000000"/>
          <w:bottom w:val="single" w:sz="12" w:space="0" w:color="000000"/>
          <w:right w:val="single" w:sz="12" w:space="0" w:color="000000"/>
          <w:insideH w:val="single" w:sz="4" w:space="0" w:color="000000"/>
          <w:insideV w:val="single" w:sz="18" w:space="0" w:color="000000"/>
        </w:tblBorders>
        <w:tblCellMar>
          <w:left w:w="121" w:type="dxa"/>
          <w:right w:w="115" w:type="dxa"/>
        </w:tblCellMar>
        <w:tblLook w:val="04A0" w:firstRow="1" w:lastRow="0" w:firstColumn="1" w:lastColumn="0" w:noHBand="0" w:noVBand="1"/>
      </w:tblPr>
      <w:tblGrid>
        <w:gridCol w:w="2160"/>
        <w:gridCol w:w="2211"/>
        <w:gridCol w:w="1622"/>
      </w:tblGrid>
      <w:tr w:rsidR="00B56D50" w14:paraId="6A50A6CA" w14:textId="77777777" w:rsidTr="00E57216">
        <w:trPr>
          <w:trHeight w:val="321"/>
        </w:trPr>
        <w:tc>
          <w:tcPr>
            <w:tcW w:w="2160" w:type="dxa"/>
            <w:vMerge w:val="restart"/>
            <w:tcBorders>
              <w:top w:val="single" w:sz="12" w:space="0" w:color="000000"/>
              <w:bottom w:val="single" w:sz="4" w:space="0" w:color="000000"/>
              <w:right w:val="single" w:sz="12" w:space="0" w:color="000000"/>
            </w:tcBorders>
            <w:vAlign w:val="center"/>
          </w:tcPr>
          <w:p w14:paraId="7A05005A" w14:textId="588908BB" w:rsidR="00B56D50" w:rsidRDefault="00B56D50" w:rsidP="008F0C4E">
            <w:pPr>
              <w:spacing w:after="0" w:line="259" w:lineRule="auto"/>
              <w:ind w:left="0" w:right="0" w:firstLine="0"/>
              <w:jc w:val="center"/>
            </w:pPr>
          </w:p>
          <w:p w14:paraId="2CEB8178" w14:textId="1C20D7E2" w:rsidR="00B56D50" w:rsidRDefault="001C3C42" w:rsidP="00204155">
            <w:pPr>
              <w:spacing w:after="0" w:line="259" w:lineRule="auto"/>
              <w:ind w:left="0" w:right="8" w:firstLine="0"/>
              <w:jc w:val="center"/>
            </w:pPr>
            <w:r>
              <w:rPr>
                <w:b/>
                <w:sz w:val="20"/>
              </w:rPr>
              <w:t>Inorganic Species</w:t>
            </w:r>
          </w:p>
        </w:tc>
        <w:tc>
          <w:tcPr>
            <w:tcW w:w="3833" w:type="dxa"/>
            <w:gridSpan w:val="2"/>
            <w:tcBorders>
              <w:top w:val="single" w:sz="12" w:space="0" w:color="000000"/>
              <w:left w:val="single" w:sz="12" w:space="0" w:color="000000"/>
              <w:bottom w:val="single" w:sz="4" w:space="0" w:color="000000"/>
            </w:tcBorders>
            <w:vAlign w:val="center"/>
          </w:tcPr>
          <w:p w14:paraId="61D2AD56" w14:textId="3306CCCC" w:rsidR="00B56D50" w:rsidRDefault="001C3C42" w:rsidP="00204155">
            <w:pPr>
              <w:spacing w:after="0" w:line="259" w:lineRule="auto"/>
              <w:ind w:left="0" w:right="6" w:firstLine="0"/>
              <w:jc w:val="center"/>
            </w:pPr>
            <w:r>
              <w:rPr>
                <w:b/>
                <w:sz w:val="20"/>
              </w:rPr>
              <w:t xml:space="preserve">% of True </w:t>
            </w:r>
            <w:r>
              <w:rPr>
                <w:b/>
                <w:i/>
                <w:sz w:val="20"/>
              </w:rPr>
              <w:t>(Spiked)</w:t>
            </w:r>
            <w:r>
              <w:rPr>
                <w:b/>
                <w:sz w:val="20"/>
              </w:rPr>
              <w:t xml:space="preserve"> Value</w:t>
            </w:r>
            <w:r>
              <w:rPr>
                <w:b/>
                <w:i/>
                <w:sz w:val="20"/>
              </w:rPr>
              <w:t xml:space="preserve"> (%R)</w:t>
            </w:r>
          </w:p>
        </w:tc>
      </w:tr>
      <w:tr w:rsidR="00B56D50" w14:paraId="63BCE420" w14:textId="77777777" w:rsidTr="00E57216">
        <w:trPr>
          <w:trHeight w:val="324"/>
        </w:trPr>
        <w:tc>
          <w:tcPr>
            <w:tcW w:w="2160" w:type="dxa"/>
            <w:vMerge/>
            <w:tcBorders>
              <w:top w:val="single" w:sz="4" w:space="0" w:color="000000"/>
              <w:bottom w:val="single" w:sz="12" w:space="0" w:color="000000"/>
              <w:right w:val="single" w:sz="12" w:space="0" w:color="000000"/>
            </w:tcBorders>
            <w:vAlign w:val="center"/>
          </w:tcPr>
          <w:p w14:paraId="331B7876" w14:textId="77777777" w:rsidR="00B56D50" w:rsidRDefault="00B56D50" w:rsidP="00017AB4">
            <w:pPr>
              <w:spacing w:after="160" w:line="259" w:lineRule="auto"/>
              <w:ind w:left="0" w:right="0" w:firstLine="0"/>
              <w:jc w:val="center"/>
            </w:pPr>
          </w:p>
        </w:tc>
        <w:tc>
          <w:tcPr>
            <w:tcW w:w="2211" w:type="dxa"/>
            <w:tcBorders>
              <w:top w:val="single" w:sz="4" w:space="0" w:color="000000"/>
              <w:left w:val="single" w:sz="12" w:space="0" w:color="000000"/>
              <w:bottom w:val="single" w:sz="12" w:space="0" w:color="000000"/>
              <w:right w:val="single" w:sz="12" w:space="0" w:color="000000"/>
            </w:tcBorders>
            <w:vAlign w:val="center"/>
          </w:tcPr>
          <w:p w14:paraId="3FE921FB" w14:textId="26EB83D4" w:rsidR="00B56D50" w:rsidRDefault="001C3C42" w:rsidP="00204155">
            <w:pPr>
              <w:spacing w:after="0" w:line="259" w:lineRule="auto"/>
              <w:ind w:left="0" w:right="2" w:firstLine="0"/>
              <w:jc w:val="center"/>
            </w:pPr>
            <w:r>
              <w:rPr>
                <w:b/>
                <w:sz w:val="20"/>
              </w:rPr>
              <w:t>Low Limit</w:t>
            </w:r>
          </w:p>
        </w:tc>
        <w:tc>
          <w:tcPr>
            <w:tcW w:w="1622" w:type="dxa"/>
            <w:tcBorders>
              <w:top w:val="single" w:sz="4" w:space="0" w:color="000000"/>
              <w:left w:val="single" w:sz="12" w:space="0" w:color="000000"/>
              <w:bottom w:val="single" w:sz="12" w:space="0" w:color="000000"/>
            </w:tcBorders>
            <w:vAlign w:val="center"/>
          </w:tcPr>
          <w:p w14:paraId="6DC96F3A" w14:textId="342D2E10" w:rsidR="00B56D50" w:rsidRDefault="001C3C42" w:rsidP="00204155">
            <w:pPr>
              <w:spacing w:after="0" w:line="259" w:lineRule="auto"/>
              <w:ind w:left="0" w:right="11" w:firstLine="0"/>
              <w:jc w:val="center"/>
            </w:pPr>
            <w:r>
              <w:rPr>
                <w:b/>
                <w:sz w:val="20"/>
              </w:rPr>
              <w:t>High Limit</w:t>
            </w:r>
          </w:p>
        </w:tc>
      </w:tr>
      <w:tr w:rsidR="00B56D50" w14:paraId="65F429A5" w14:textId="77777777" w:rsidTr="00E57216">
        <w:trPr>
          <w:trHeight w:val="472"/>
        </w:trPr>
        <w:tc>
          <w:tcPr>
            <w:tcW w:w="2160" w:type="dxa"/>
            <w:tcBorders>
              <w:top w:val="single" w:sz="12" w:space="0" w:color="000000"/>
              <w:right w:val="single" w:sz="12" w:space="0" w:color="000000"/>
            </w:tcBorders>
            <w:vAlign w:val="center"/>
          </w:tcPr>
          <w:p w14:paraId="60889ABB" w14:textId="444CF1AE" w:rsidR="00B56D50" w:rsidRDefault="00B56D50" w:rsidP="00204155">
            <w:pPr>
              <w:spacing w:after="0" w:line="259" w:lineRule="auto"/>
              <w:ind w:left="0" w:right="0" w:firstLine="0"/>
            </w:pPr>
          </w:p>
          <w:p w14:paraId="73A4E27B" w14:textId="56E08031" w:rsidR="00B56D50" w:rsidRDefault="001C3C42" w:rsidP="00204155">
            <w:pPr>
              <w:spacing w:after="0" w:line="259" w:lineRule="auto"/>
              <w:ind w:left="0" w:right="0" w:firstLine="0"/>
            </w:pPr>
            <w:r>
              <w:rPr>
                <w:sz w:val="20"/>
              </w:rPr>
              <w:t>Metals</w:t>
            </w:r>
          </w:p>
        </w:tc>
        <w:tc>
          <w:tcPr>
            <w:tcW w:w="2211" w:type="dxa"/>
            <w:tcBorders>
              <w:top w:val="single" w:sz="12" w:space="0" w:color="000000"/>
              <w:left w:val="single" w:sz="12" w:space="0" w:color="000000"/>
              <w:right w:val="single" w:sz="12" w:space="0" w:color="000000"/>
            </w:tcBorders>
            <w:vAlign w:val="center"/>
          </w:tcPr>
          <w:p w14:paraId="17916DC4" w14:textId="7DA2CBC9" w:rsidR="00B56D50" w:rsidRDefault="00B56D50" w:rsidP="008F0C4E">
            <w:pPr>
              <w:spacing w:after="0" w:line="259" w:lineRule="auto"/>
              <w:ind w:left="1" w:right="0" w:firstLine="0"/>
              <w:jc w:val="center"/>
            </w:pPr>
          </w:p>
          <w:p w14:paraId="412CAD07" w14:textId="6970E51D" w:rsidR="00B56D50" w:rsidRDefault="001C3C42" w:rsidP="00204155">
            <w:pPr>
              <w:spacing w:after="0" w:line="259" w:lineRule="auto"/>
              <w:ind w:left="1" w:right="0" w:firstLine="0"/>
              <w:jc w:val="center"/>
            </w:pPr>
            <w:r>
              <w:rPr>
                <w:sz w:val="20"/>
              </w:rPr>
              <w:t>80</w:t>
            </w:r>
          </w:p>
        </w:tc>
        <w:tc>
          <w:tcPr>
            <w:tcW w:w="1622" w:type="dxa"/>
            <w:tcBorders>
              <w:top w:val="single" w:sz="12" w:space="0" w:color="000000"/>
              <w:left w:val="single" w:sz="12" w:space="0" w:color="000000"/>
            </w:tcBorders>
            <w:vAlign w:val="center"/>
          </w:tcPr>
          <w:p w14:paraId="69F6C18D" w14:textId="2B12768F" w:rsidR="00B56D50" w:rsidRDefault="00B56D50" w:rsidP="008F0C4E">
            <w:pPr>
              <w:spacing w:after="0" w:line="259" w:lineRule="auto"/>
              <w:ind w:left="1" w:right="0" w:firstLine="0"/>
              <w:jc w:val="center"/>
            </w:pPr>
          </w:p>
          <w:p w14:paraId="3A6C4086" w14:textId="7E5B0A70" w:rsidR="00B56D50" w:rsidRDefault="001C3C42" w:rsidP="00204155">
            <w:pPr>
              <w:spacing w:after="0" w:line="259" w:lineRule="auto"/>
              <w:ind w:left="0" w:right="4" w:firstLine="0"/>
              <w:jc w:val="center"/>
            </w:pPr>
            <w:r>
              <w:rPr>
                <w:sz w:val="20"/>
              </w:rPr>
              <w:t>120</w:t>
            </w:r>
          </w:p>
        </w:tc>
      </w:tr>
      <w:tr w:rsidR="00B56D50" w14:paraId="152A3143" w14:textId="77777777" w:rsidTr="00E57216">
        <w:trPr>
          <w:trHeight w:val="461"/>
        </w:trPr>
        <w:tc>
          <w:tcPr>
            <w:tcW w:w="2160" w:type="dxa"/>
            <w:tcBorders>
              <w:right w:val="single" w:sz="12" w:space="0" w:color="000000"/>
            </w:tcBorders>
            <w:vAlign w:val="center"/>
          </w:tcPr>
          <w:p w14:paraId="62EE9E65" w14:textId="05AC5743" w:rsidR="00B56D50" w:rsidRDefault="00B56D50" w:rsidP="00204155">
            <w:pPr>
              <w:spacing w:after="0" w:line="259" w:lineRule="auto"/>
              <w:ind w:left="0" w:right="0" w:firstLine="0"/>
            </w:pPr>
          </w:p>
          <w:p w14:paraId="773F6167" w14:textId="3F9C6075" w:rsidR="00B56D50" w:rsidRDefault="001C3C42" w:rsidP="00204155">
            <w:pPr>
              <w:spacing w:after="0" w:line="259" w:lineRule="auto"/>
              <w:ind w:left="0" w:right="0" w:firstLine="0"/>
            </w:pPr>
            <w:r>
              <w:rPr>
                <w:sz w:val="20"/>
              </w:rPr>
              <w:t>Mercury</w:t>
            </w:r>
          </w:p>
        </w:tc>
        <w:tc>
          <w:tcPr>
            <w:tcW w:w="2211" w:type="dxa"/>
            <w:tcBorders>
              <w:left w:val="single" w:sz="12" w:space="0" w:color="000000"/>
              <w:right w:val="single" w:sz="12" w:space="0" w:color="000000"/>
            </w:tcBorders>
            <w:vAlign w:val="center"/>
          </w:tcPr>
          <w:p w14:paraId="5588AF04" w14:textId="6D2D4E67" w:rsidR="00B56D50" w:rsidRDefault="00B56D50" w:rsidP="008F0C4E">
            <w:pPr>
              <w:spacing w:after="0" w:line="259" w:lineRule="auto"/>
              <w:ind w:left="1" w:right="0" w:firstLine="0"/>
              <w:jc w:val="center"/>
            </w:pPr>
          </w:p>
          <w:p w14:paraId="77AF1D5E" w14:textId="7E25C6D1" w:rsidR="00B56D50" w:rsidRDefault="001C3C42" w:rsidP="00204155">
            <w:pPr>
              <w:spacing w:after="0" w:line="259" w:lineRule="auto"/>
              <w:ind w:left="1" w:right="0" w:firstLine="0"/>
              <w:jc w:val="center"/>
            </w:pPr>
            <w:r>
              <w:rPr>
                <w:sz w:val="20"/>
              </w:rPr>
              <w:t>80</w:t>
            </w:r>
          </w:p>
        </w:tc>
        <w:tc>
          <w:tcPr>
            <w:tcW w:w="1622" w:type="dxa"/>
            <w:tcBorders>
              <w:left w:val="single" w:sz="12" w:space="0" w:color="000000"/>
            </w:tcBorders>
            <w:vAlign w:val="center"/>
          </w:tcPr>
          <w:p w14:paraId="14069517" w14:textId="0A493471" w:rsidR="00B56D50" w:rsidRDefault="00B56D50" w:rsidP="008F0C4E">
            <w:pPr>
              <w:spacing w:after="0" w:line="259" w:lineRule="auto"/>
              <w:ind w:left="1" w:right="0" w:firstLine="0"/>
              <w:jc w:val="center"/>
            </w:pPr>
          </w:p>
          <w:p w14:paraId="5B92433C" w14:textId="356D97E9" w:rsidR="00B56D50" w:rsidRDefault="001C3C42" w:rsidP="00204155">
            <w:pPr>
              <w:spacing w:after="0" w:line="259" w:lineRule="auto"/>
              <w:ind w:left="0" w:right="4" w:firstLine="0"/>
              <w:jc w:val="center"/>
            </w:pPr>
            <w:r>
              <w:rPr>
                <w:sz w:val="20"/>
              </w:rPr>
              <w:t>120</w:t>
            </w:r>
          </w:p>
        </w:tc>
      </w:tr>
      <w:tr w:rsidR="00B56D50" w14:paraId="4A6EF216" w14:textId="77777777" w:rsidTr="00E57216">
        <w:trPr>
          <w:trHeight w:val="461"/>
        </w:trPr>
        <w:tc>
          <w:tcPr>
            <w:tcW w:w="2160" w:type="dxa"/>
            <w:tcBorders>
              <w:right w:val="single" w:sz="12" w:space="0" w:color="000000"/>
            </w:tcBorders>
            <w:vAlign w:val="center"/>
          </w:tcPr>
          <w:p w14:paraId="0EB0905D" w14:textId="48699CB6" w:rsidR="00B56D50" w:rsidRDefault="00B56D50" w:rsidP="00204155">
            <w:pPr>
              <w:spacing w:after="0" w:line="259" w:lineRule="auto"/>
              <w:ind w:left="0" w:right="0" w:firstLine="0"/>
            </w:pPr>
          </w:p>
          <w:p w14:paraId="269EFC08" w14:textId="16ADCE82" w:rsidR="00B56D50" w:rsidRDefault="001C3C42" w:rsidP="00204155">
            <w:pPr>
              <w:spacing w:after="0" w:line="259" w:lineRule="auto"/>
              <w:ind w:left="0" w:right="0" w:firstLine="0"/>
            </w:pPr>
            <w:r>
              <w:rPr>
                <w:sz w:val="20"/>
              </w:rPr>
              <w:t>Cyanide/Sulfide</w:t>
            </w:r>
          </w:p>
        </w:tc>
        <w:tc>
          <w:tcPr>
            <w:tcW w:w="2211" w:type="dxa"/>
            <w:tcBorders>
              <w:left w:val="single" w:sz="12" w:space="0" w:color="000000"/>
              <w:right w:val="single" w:sz="12" w:space="0" w:color="000000"/>
            </w:tcBorders>
            <w:vAlign w:val="center"/>
          </w:tcPr>
          <w:p w14:paraId="3C3773E2" w14:textId="24D80348" w:rsidR="00B56D50" w:rsidRDefault="00B56D50" w:rsidP="008F0C4E">
            <w:pPr>
              <w:spacing w:after="0" w:line="259" w:lineRule="auto"/>
              <w:ind w:left="1" w:right="0" w:firstLine="0"/>
              <w:jc w:val="center"/>
            </w:pPr>
          </w:p>
          <w:p w14:paraId="366568B0" w14:textId="0E02A186" w:rsidR="00B56D50" w:rsidRDefault="001C3C42" w:rsidP="00204155">
            <w:pPr>
              <w:spacing w:after="0" w:line="259" w:lineRule="auto"/>
              <w:ind w:left="1" w:right="0" w:firstLine="0"/>
              <w:jc w:val="center"/>
            </w:pPr>
            <w:r>
              <w:rPr>
                <w:sz w:val="20"/>
              </w:rPr>
              <w:t>80</w:t>
            </w:r>
          </w:p>
        </w:tc>
        <w:tc>
          <w:tcPr>
            <w:tcW w:w="1622" w:type="dxa"/>
            <w:tcBorders>
              <w:left w:val="single" w:sz="12" w:space="0" w:color="000000"/>
            </w:tcBorders>
            <w:vAlign w:val="center"/>
          </w:tcPr>
          <w:p w14:paraId="6B6DFBA1" w14:textId="15FB4648" w:rsidR="00B56D50" w:rsidRDefault="00B56D50" w:rsidP="008F0C4E">
            <w:pPr>
              <w:spacing w:after="0" w:line="259" w:lineRule="auto"/>
              <w:ind w:left="1" w:right="0" w:firstLine="0"/>
              <w:jc w:val="center"/>
            </w:pPr>
          </w:p>
          <w:p w14:paraId="755B4B91" w14:textId="63C3FF43" w:rsidR="00B56D50" w:rsidRDefault="001C3C42" w:rsidP="00204155">
            <w:pPr>
              <w:spacing w:after="0" w:line="259" w:lineRule="auto"/>
              <w:ind w:left="0" w:right="4" w:firstLine="0"/>
              <w:jc w:val="center"/>
            </w:pPr>
            <w:r>
              <w:rPr>
                <w:sz w:val="20"/>
              </w:rPr>
              <w:t>120</w:t>
            </w:r>
          </w:p>
        </w:tc>
      </w:tr>
      <w:tr w:rsidR="00B56D50" w14:paraId="2A5D9C04" w14:textId="77777777" w:rsidTr="00E57216">
        <w:trPr>
          <w:trHeight w:val="470"/>
        </w:trPr>
        <w:tc>
          <w:tcPr>
            <w:tcW w:w="2160" w:type="dxa"/>
            <w:tcBorders>
              <w:bottom w:val="single" w:sz="12" w:space="0" w:color="000000"/>
              <w:right w:val="single" w:sz="12" w:space="0" w:color="000000"/>
            </w:tcBorders>
            <w:vAlign w:val="center"/>
          </w:tcPr>
          <w:p w14:paraId="1D4A0BF0" w14:textId="712495A3" w:rsidR="00B56D50" w:rsidRDefault="00B56D50" w:rsidP="00204155">
            <w:pPr>
              <w:spacing w:after="0" w:line="259" w:lineRule="auto"/>
              <w:ind w:left="0" w:right="0" w:firstLine="0"/>
            </w:pPr>
          </w:p>
          <w:p w14:paraId="3CB8B6C7" w14:textId="238D886D" w:rsidR="00B56D50" w:rsidRDefault="001C3C42" w:rsidP="00204155">
            <w:pPr>
              <w:spacing w:after="0" w:line="259" w:lineRule="auto"/>
              <w:ind w:left="0" w:right="0" w:firstLine="0"/>
            </w:pPr>
            <w:r>
              <w:rPr>
                <w:sz w:val="20"/>
              </w:rPr>
              <w:t>General Chemistry</w:t>
            </w:r>
          </w:p>
        </w:tc>
        <w:tc>
          <w:tcPr>
            <w:tcW w:w="2211" w:type="dxa"/>
            <w:tcBorders>
              <w:left w:val="single" w:sz="12" w:space="0" w:color="000000"/>
              <w:bottom w:val="single" w:sz="12" w:space="0" w:color="000000"/>
              <w:right w:val="single" w:sz="12" w:space="0" w:color="000000"/>
            </w:tcBorders>
            <w:vAlign w:val="center"/>
          </w:tcPr>
          <w:p w14:paraId="1548B9CD" w14:textId="07B77AF8" w:rsidR="00B56D50" w:rsidRDefault="00B56D50" w:rsidP="008F0C4E">
            <w:pPr>
              <w:spacing w:after="0" w:line="259" w:lineRule="auto"/>
              <w:ind w:left="1" w:right="0" w:firstLine="0"/>
              <w:jc w:val="center"/>
            </w:pPr>
          </w:p>
          <w:p w14:paraId="220CA838" w14:textId="24F52681" w:rsidR="00B56D50" w:rsidRDefault="001C3C42" w:rsidP="00204155">
            <w:pPr>
              <w:spacing w:after="0" w:line="259" w:lineRule="auto"/>
              <w:ind w:left="1" w:right="0" w:firstLine="0"/>
              <w:jc w:val="center"/>
            </w:pPr>
            <w:r>
              <w:rPr>
                <w:sz w:val="20"/>
              </w:rPr>
              <w:t>80</w:t>
            </w:r>
          </w:p>
        </w:tc>
        <w:tc>
          <w:tcPr>
            <w:tcW w:w="1622" w:type="dxa"/>
            <w:tcBorders>
              <w:left w:val="single" w:sz="12" w:space="0" w:color="000000"/>
            </w:tcBorders>
            <w:vAlign w:val="center"/>
          </w:tcPr>
          <w:p w14:paraId="5A9E2F67" w14:textId="6BD2F55B" w:rsidR="00B56D50" w:rsidRDefault="00B56D50" w:rsidP="008F0C4E">
            <w:pPr>
              <w:spacing w:after="0" w:line="259" w:lineRule="auto"/>
              <w:ind w:left="1" w:right="0" w:firstLine="0"/>
              <w:jc w:val="center"/>
            </w:pPr>
          </w:p>
          <w:p w14:paraId="018D7211" w14:textId="171BA3BD" w:rsidR="00B56D50" w:rsidRDefault="001C3C42" w:rsidP="00204155">
            <w:pPr>
              <w:spacing w:after="0" w:line="259" w:lineRule="auto"/>
              <w:ind w:left="0" w:right="4" w:firstLine="0"/>
              <w:jc w:val="center"/>
            </w:pPr>
            <w:r>
              <w:rPr>
                <w:sz w:val="20"/>
              </w:rPr>
              <w:t>120</w:t>
            </w:r>
          </w:p>
        </w:tc>
      </w:tr>
    </w:tbl>
    <w:p w14:paraId="28A93B25" w14:textId="3F7F6154" w:rsidR="00B56D50" w:rsidRPr="00D43449" w:rsidRDefault="001C3C42" w:rsidP="0098719A">
      <w:pPr>
        <w:spacing w:after="0" w:line="259" w:lineRule="auto"/>
        <w:ind w:left="0" w:right="0" w:firstLine="0"/>
      </w:pPr>
      <w:r w:rsidRPr="0098719A">
        <w:rPr>
          <w:rFonts w:eastAsia="Arial"/>
        </w:rPr>
        <w:t xml:space="preserve">  </w:t>
      </w:r>
      <w:r w:rsidRPr="00D43449">
        <w:rPr>
          <w:rFonts w:eastAsia="Arial"/>
        </w:rPr>
        <w:t xml:space="preserve"> </w:t>
      </w:r>
    </w:p>
    <w:p w14:paraId="7F4ED207" w14:textId="1AA759CA" w:rsidR="00B56D50" w:rsidRPr="005E6850" w:rsidRDefault="001C3C42" w:rsidP="00093377">
      <w:pPr>
        <w:numPr>
          <w:ilvl w:val="0"/>
          <w:numId w:val="22"/>
        </w:numPr>
        <w:spacing w:after="16"/>
        <w:ind w:left="1440" w:right="186" w:hanging="360"/>
        <w:rPr>
          <w:b/>
          <w:bCs/>
        </w:rPr>
      </w:pPr>
      <w:r w:rsidRPr="005E6850">
        <w:rPr>
          <w:b/>
          <w:bCs/>
        </w:rPr>
        <w:t xml:space="preserve">Serial Dilution </w:t>
      </w:r>
      <w:r w:rsidR="0019225B" w:rsidRPr="005E6850">
        <w:rPr>
          <w:b/>
          <w:bCs/>
        </w:rPr>
        <w:t>(Dilution Test)</w:t>
      </w:r>
      <w:r w:rsidR="00160EA5" w:rsidRPr="005E6850">
        <w:rPr>
          <w:b/>
          <w:bCs/>
        </w:rPr>
        <w:t xml:space="preserve"> </w:t>
      </w:r>
      <w:r w:rsidRPr="005E6850">
        <w:rPr>
          <w:b/>
          <w:bCs/>
        </w:rPr>
        <w:t>Analysis and Post-Digestion Spike Analysis (Spike Recovery Test) for Metals Analysis by ICP and ICP/MS</w:t>
      </w:r>
    </w:p>
    <w:p w14:paraId="0DDC63B6" w14:textId="77777777" w:rsidR="00B56D50" w:rsidRDefault="001C3C42" w:rsidP="000B2AD5">
      <w:pPr>
        <w:spacing w:after="0" w:line="259" w:lineRule="auto"/>
        <w:ind w:left="1440" w:right="259" w:firstLine="0"/>
      </w:pPr>
      <w:r>
        <w:t xml:space="preserve"> </w:t>
      </w:r>
    </w:p>
    <w:p w14:paraId="0C6C4E5A" w14:textId="096C1008" w:rsidR="005E6850" w:rsidRDefault="001C3C42" w:rsidP="000B2AD5">
      <w:pPr>
        <w:spacing w:after="16"/>
        <w:ind w:left="1450" w:right="0"/>
      </w:pPr>
      <w:r>
        <w:rPr>
          <w:b/>
        </w:rPr>
        <w:t>Note</w:t>
      </w:r>
      <w:proofErr w:type="gramStart"/>
      <w:r>
        <w:rPr>
          <w:b/>
        </w:rPr>
        <w:t>:  The</w:t>
      </w:r>
      <w:proofErr w:type="gramEnd"/>
      <w:r>
        <w:rPr>
          <w:b/>
        </w:rPr>
        <w:t xml:space="preserve"> State contract requires </w:t>
      </w:r>
      <w:proofErr w:type="gramStart"/>
      <w:r>
        <w:rPr>
          <w:b/>
        </w:rPr>
        <w:t>the serial</w:t>
      </w:r>
      <w:proofErr w:type="gramEnd"/>
      <w:r>
        <w:rPr>
          <w:b/>
        </w:rPr>
        <w:t xml:space="preserve"> dilution analysis for </w:t>
      </w:r>
      <w:r>
        <w:rPr>
          <w:b/>
          <w:u w:val="single" w:color="000000"/>
        </w:rPr>
        <w:t>all</w:t>
      </w:r>
      <w:r>
        <w:rPr>
          <w:b/>
        </w:rPr>
        <w:t xml:space="preserve"> ICP analysis, including Method 6010C</w:t>
      </w:r>
      <w:r w:rsidR="00BE0715">
        <w:rPr>
          <w:b/>
        </w:rPr>
        <w:t xml:space="preserve">, except as indicated </w:t>
      </w:r>
      <w:r w:rsidR="00A53F9E">
        <w:rPr>
          <w:b/>
        </w:rPr>
        <w:t>below for low concentrations</w:t>
      </w:r>
      <w:r>
        <w:rPr>
          <w:b/>
        </w:rPr>
        <w:t>.</w:t>
      </w:r>
    </w:p>
    <w:p w14:paraId="5CF63AEC" w14:textId="11AFA706" w:rsidR="00B56D50" w:rsidRDefault="00B56D50" w:rsidP="000B2AD5">
      <w:pPr>
        <w:spacing w:after="16"/>
        <w:ind w:left="1450" w:right="0"/>
      </w:pPr>
    </w:p>
    <w:p w14:paraId="6D3F5868" w14:textId="77777777" w:rsidR="00B56D50" w:rsidRDefault="001C3C42" w:rsidP="000B2AD5">
      <w:pPr>
        <w:ind w:left="1450" w:right="0"/>
      </w:pPr>
      <w:r>
        <w:t xml:space="preserve">The Contractor shall analyze and report the results of the Serial Dilution Analysis prior to reporting concentration data for the analyte of interest.  The Serial Dilution Analysis must be </w:t>
      </w:r>
      <w:proofErr w:type="gramStart"/>
      <w:r>
        <w:t>performed</w:t>
      </w:r>
      <w:proofErr w:type="gramEnd"/>
      <w:r>
        <w:t xml:space="preserve"> on each group of samples of a similar matrix type (e.g., water, soil) and each concentration (e.g., low, medium) for each case of samples, or for each 10 samples received, whichever is more frequent.</w:t>
      </w:r>
      <w:r>
        <w:rPr>
          <w:b/>
        </w:rPr>
        <w:t xml:space="preserve">  Samples identified as field blanks shall not be used for serial dilution analysis</w:t>
      </w:r>
      <w:r>
        <w:t xml:space="preserve">.   </w:t>
      </w:r>
    </w:p>
    <w:p w14:paraId="322F8478" w14:textId="77777777" w:rsidR="00B56D50" w:rsidRDefault="001C3C42" w:rsidP="000B2AD5">
      <w:pPr>
        <w:spacing w:after="0" w:line="259" w:lineRule="auto"/>
        <w:ind w:left="1440" w:right="0" w:firstLine="0"/>
      </w:pPr>
      <w:r>
        <w:t xml:space="preserve"> </w:t>
      </w:r>
    </w:p>
    <w:p w14:paraId="10265393" w14:textId="6F4978BF" w:rsidR="00B56D50" w:rsidRDefault="001C3C42" w:rsidP="000B2AD5">
      <w:pPr>
        <w:ind w:left="1450" w:right="0"/>
      </w:pPr>
      <w:r>
        <w:t xml:space="preserve">If the analyte concentration is sufficiently high (at least 25 times the </w:t>
      </w:r>
      <w:r w:rsidR="004D1C07">
        <w:t>reporting</w:t>
      </w:r>
      <w:r>
        <w:t xml:space="preserve"> limit), an analysis of a five-fold (1+4) dilution must be performed.</w:t>
      </w:r>
    </w:p>
    <w:p w14:paraId="1547670F" w14:textId="77777777" w:rsidR="0071493D" w:rsidRDefault="0071493D" w:rsidP="000B2AD5">
      <w:pPr>
        <w:ind w:left="1450" w:right="0"/>
      </w:pPr>
    </w:p>
    <w:p w14:paraId="04DA6582" w14:textId="6A4E541E" w:rsidR="00B56D50" w:rsidRDefault="001C3C42" w:rsidP="000B2AD5">
      <w:pPr>
        <w:spacing w:after="0" w:line="259" w:lineRule="auto"/>
        <w:ind w:left="1440" w:right="0" w:firstLine="0"/>
      </w:pPr>
      <w:r>
        <w:rPr>
          <w:b/>
        </w:rPr>
        <w:t>For standard ICP</w:t>
      </w:r>
      <w:proofErr w:type="gramStart"/>
      <w:r>
        <w:rPr>
          <w:b/>
        </w:rPr>
        <w:t xml:space="preserve">:  </w:t>
      </w:r>
      <w:r>
        <w:t>If</w:t>
      </w:r>
      <w:proofErr w:type="gramEnd"/>
      <w:r>
        <w:t xml:space="preserve"> the % Difference for serial dilution </w:t>
      </w:r>
      <w:r w:rsidR="00DC1AD3">
        <w:t xml:space="preserve">(dilution test) </w:t>
      </w:r>
      <w:r>
        <w:t xml:space="preserve">analysis and the original sample does not meet the control limits of TABLE </w:t>
      </w:r>
      <w:r w:rsidR="00A8011C">
        <w:t>6</w:t>
      </w:r>
      <w:r>
        <w:rPr>
          <w:i/>
        </w:rPr>
        <w:t>,</w:t>
      </w:r>
      <w:r>
        <w:t xml:space="preserve"> a spike recovery test (post-digestion spike) must be performed to confirm the interference problem.  If the spike recovery does not meet the control limits of TABLE </w:t>
      </w:r>
      <w:r w:rsidR="00614718">
        <w:t>7</w:t>
      </w:r>
      <w:r>
        <w:t xml:space="preserve">, all samples in the batch must be analyzed by the method of standard additions. </w:t>
      </w:r>
    </w:p>
    <w:p w14:paraId="4974E8C5" w14:textId="77777777" w:rsidR="00B56D50" w:rsidRDefault="001C3C42" w:rsidP="000B2AD5">
      <w:pPr>
        <w:spacing w:after="0" w:line="259" w:lineRule="auto"/>
        <w:ind w:left="1440" w:right="0" w:firstLine="0"/>
      </w:pPr>
      <w:r>
        <w:t xml:space="preserve"> </w:t>
      </w:r>
    </w:p>
    <w:p w14:paraId="25129E6A" w14:textId="412A032A" w:rsidR="00B56D50" w:rsidRDefault="001C3C42" w:rsidP="000B2AD5">
      <w:pPr>
        <w:ind w:left="1450" w:right="0"/>
      </w:pPr>
      <w:r>
        <w:t xml:space="preserve">If all the samples in the batch have analyte concentrations less than 10 times the </w:t>
      </w:r>
      <w:r w:rsidR="00EB69C3">
        <w:t>reporting</w:t>
      </w:r>
      <w:r>
        <w:t xml:space="preserve"> limits, serial dilution analysis must not be performed.  Instead, the spike recovery test (</w:t>
      </w:r>
      <w:r w:rsidR="00227AC6">
        <w:t xml:space="preserve">post-digestion </w:t>
      </w:r>
      <w:r>
        <w:t xml:space="preserve">spike) must be run.   If the spike recovery does not meet the control limits of TABLE </w:t>
      </w:r>
      <w:r w:rsidR="00FB204C">
        <w:t>7</w:t>
      </w:r>
      <w:r>
        <w:t xml:space="preserve">, all samples in the batch must be analyzed by the method of standard additions.   </w:t>
      </w:r>
    </w:p>
    <w:p w14:paraId="565421F9" w14:textId="77777777" w:rsidR="00B56D50" w:rsidRDefault="001C3C42" w:rsidP="000B2AD5">
      <w:pPr>
        <w:spacing w:after="0" w:line="259" w:lineRule="auto"/>
        <w:ind w:left="1440" w:right="0" w:firstLine="0"/>
      </w:pPr>
      <w:r>
        <w:rPr>
          <w:b/>
        </w:rPr>
        <w:t xml:space="preserve"> </w:t>
      </w:r>
    </w:p>
    <w:p w14:paraId="74A822A6" w14:textId="15CADFA4" w:rsidR="00B56D50" w:rsidRDefault="001C3C42" w:rsidP="000B2AD5">
      <w:pPr>
        <w:ind w:left="1450" w:right="0"/>
      </w:pPr>
      <w:r>
        <w:rPr>
          <w:b/>
        </w:rPr>
        <w:t>For ICP/MS</w:t>
      </w:r>
      <w:proofErr w:type="gramStart"/>
      <w:r>
        <w:rPr>
          <w:b/>
        </w:rPr>
        <w:t xml:space="preserve">:  </w:t>
      </w:r>
      <w:r>
        <w:t>Both</w:t>
      </w:r>
      <w:proofErr w:type="gramEnd"/>
      <w:r>
        <w:t xml:space="preserve"> the serial dilution </w:t>
      </w:r>
      <w:r w:rsidR="00A019F4">
        <w:t>(dilut</w:t>
      </w:r>
      <w:r w:rsidR="00F3463B">
        <w:t xml:space="preserve">ion test) </w:t>
      </w:r>
      <w:r>
        <w:t xml:space="preserve">analysis </w:t>
      </w:r>
      <w:r>
        <w:rPr>
          <w:b/>
          <w:u w:val="single" w:color="000000"/>
        </w:rPr>
        <w:t>and</w:t>
      </w:r>
      <w:r>
        <w:t xml:space="preserve"> the post digestion spike analysis must be run for each analytical batch.  (See Method 6020B.) </w:t>
      </w:r>
    </w:p>
    <w:p w14:paraId="7146284C" w14:textId="77777777" w:rsidR="00B56D50" w:rsidRDefault="001C3C42" w:rsidP="000B2AD5">
      <w:pPr>
        <w:spacing w:after="0" w:line="259" w:lineRule="auto"/>
        <w:ind w:left="1440" w:right="0" w:firstLine="0"/>
      </w:pPr>
      <w:r>
        <w:t xml:space="preserve"> </w:t>
      </w:r>
    </w:p>
    <w:p w14:paraId="2B84DE53" w14:textId="77777777" w:rsidR="00B56D50" w:rsidRDefault="001C3C42" w:rsidP="000B2AD5">
      <w:pPr>
        <w:ind w:left="1450" w:right="0"/>
      </w:pPr>
      <w:r>
        <w:t>Serial dilution and spike recovery test results must be reported in the analytical report.</w:t>
      </w:r>
      <w:r>
        <w:rPr>
          <w:i/>
        </w:rPr>
        <w:t xml:space="preserve"> </w:t>
      </w:r>
    </w:p>
    <w:p w14:paraId="746F9710" w14:textId="77777777" w:rsidR="00614718" w:rsidRDefault="00614718" w:rsidP="0003225C">
      <w:pPr>
        <w:spacing w:after="0" w:line="259" w:lineRule="auto"/>
        <w:ind w:left="1090" w:right="0"/>
        <w:rPr>
          <w:iCs/>
        </w:rPr>
      </w:pPr>
    </w:p>
    <w:p w14:paraId="05E7AF51" w14:textId="243D76A4" w:rsidR="008E5D7D" w:rsidRDefault="008E5D7D" w:rsidP="0003225C">
      <w:pPr>
        <w:spacing w:after="0" w:line="259" w:lineRule="auto"/>
        <w:ind w:left="1090" w:right="0"/>
        <w:rPr>
          <w:iCs/>
        </w:rPr>
      </w:pPr>
    </w:p>
    <w:p w14:paraId="64FD3E9A" w14:textId="77777777" w:rsidR="008E5D7D" w:rsidRPr="00614718" w:rsidRDefault="008E5D7D" w:rsidP="0003225C">
      <w:pPr>
        <w:spacing w:after="0" w:line="259" w:lineRule="auto"/>
        <w:ind w:left="1090" w:right="0"/>
        <w:rPr>
          <w:iCs/>
        </w:rPr>
      </w:pPr>
    </w:p>
    <w:p w14:paraId="2465A97C" w14:textId="77777777" w:rsidR="00614718" w:rsidRPr="00614718" w:rsidRDefault="00614718" w:rsidP="0003225C">
      <w:pPr>
        <w:spacing w:after="0" w:line="259" w:lineRule="auto"/>
        <w:ind w:left="1090" w:right="0"/>
        <w:rPr>
          <w:iCs/>
        </w:rPr>
      </w:pPr>
    </w:p>
    <w:p w14:paraId="6659CD1D" w14:textId="57B05A42" w:rsidR="00B56D50" w:rsidRPr="00614718" w:rsidRDefault="00B56D50" w:rsidP="0003225C">
      <w:pPr>
        <w:spacing w:after="0" w:line="259" w:lineRule="auto"/>
        <w:ind w:left="1090" w:right="0"/>
        <w:rPr>
          <w:iCs/>
        </w:rPr>
      </w:pPr>
    </w:p>
    <w:p w14:paraId="311426BF" w14:textId="179B1CC0" w:rsidR="008D2B64" w:rsidRPr="00614718" w:rsidRDefault="008D2B64" w:rsidP="0003225C">
      <w:pPr>
        <w:spacing w:after="0" w:line="259" w:lineRule="auto"/>
        <w:ind w:left="1090" w:right="0"/>
        <w:rPr>
          <w:iCs/>
        </w:rPr>
      </w:pPr>
    </w:p>
    <w:p w14:paraId="34AAC226" w14:textId="77777777" w:rsidR="00987F02" w:rsidRPr="00614718" w:rsidRDefault="00987F02" w:rsidP="0003225C">
      <w:pPr>
        <w:spacing w:after="0" w:line="259" w:lineRule="auto"/>
        <w:ind w:left="1090" w:right="0"/>
        <w:rPr>
          <w:iCs/>
        </w:rPr>
      </w:pPr>
    </w:p>
    <w:p w14:paraId="1B0B8341" w14:textId="0CCEEDAC" w:rsidR="00B56D50" w:rsidRDefault="001C3C42">
      <w:pPr>
        <w:pStyle w:val="Heading5"/>
        <w:ind w:left="1024" w:right="722"/>
      </w:pPr>
      <w:r>
        <w:t xml:space="preserve">TABLE </w:t>
      </w:r>
      <w:r w:rsidR="00A8011C">
        <w:t>6</w:t>
      </w:r>
      <w:r>
        <w:t xml:space="preserve"> </w:t>
      </w:r>
    </w:p>
    <w:p w14:paraId="23B71979" w14:textId="77777777" w:rsidR="00B56D50" w:rsidRDefault="001C3C42">
      <w:pPr>
        <w:pStyle w:val="Heading6"/>
        <w:spacing w:after="14" w:line="248" w:lineRule="auto"/>
        <w:ind w:left="1024" w:right="727"/>
        <w:jc w:val="center"/>
      </w:pPr>
      <w:r>
        <w:t xml:space="preserve">Serial Dilution Control Limits for Inorganic Analyses </w:t>
      </w:r>
    </w:p>
    <w:p w14:paraId="42590E06" w14:textId="564F9FB8" w:rsidR="00B56D50" w:rsidRDefault="001C3C42" w:rsidP="00F01AEF">
      <w:pPr>
        <w:spacing w:after="0" w:line="259" w:lineRule="auto"/>
        <w:ind w:left="74" w:right="0" w:firstLine="0"/>
      </w:pPr>
      <w:r>
        <w:rPr>
          <w:sz w:val="20"/>
        </w:rPr>
        <w:t xml:space="preserve"> </w:t>
      </w:r>
      <w:r>
        <w:rPr>
          <w:sz w:val="20"/>
        </w:rPr>
        <w:tab/>
      </w:r>
    </w:p>
    <w:tbl>
      <w:tblPr>
        <w:tblStyle w:val="TableGrid1"/>
        <w:tblW w:w="6302" w:type="dxa"/>
        <w:tblInd w:w="2612" w:type="dxa"/>
        <w:tblCellMar>
          <w:left w:w="120" w:type="dxa"/>
          <w:right w:w="115" w:type="dxa"/>
        </w:tblCellMar>
        <w:tblLook w:val="04A0" w:firstRow="1" w:lastRow="0" w:firstColumn="1" w:lastColumn="0" w:noHBand="0" w:noVBand="1"/>
      </w:tblPr>
      <w:tblGrid>
        <w:gridCol w:w="2429"/>
        <w:gridCol w:w="3873"/>
      </w:tblGrid>
      <w:tr w:rsidR="00B56D50" w14:paraId="4B0DF897" w14:textId="77777777" w:rsidTr="00FD6E69">
        <w:trPr>
          <w:trHeight w:val="667"/>
        </w:trPr>
        <w:tc>
          <w:tcPr>
            <w:tcW w:w="2429" w:type="dxa"/>
            <w:tcBorders>
              <w:top w:val="single" w:sz="12" w:space="0" w:color="000000"/>
              <w:left w:val="single" w:sz="12" w:space="0" w:color="000000"/>
              <w:bottom w:val="single" w:sz="12" w:space="0" w:color="000000"/>
              <w:right w:val="single" w:sz="12" w:space="0" w:color="000000"/>
            </w:tcBorders>
            <w:vAlign w:val="center"/>
          </w:tcPr>
          <w:p w14:paraId="43300B17" w14:textId="12B44669" w:rsidR="00B56D50" w:rsidRDefault="001C3C42" w:rsidP="004C5A89">
            <w:pPr>
              <w:spacing w:after="0" w:line="259" w:lineRule="auto"/>
              <w:ind w:left="0" w:right="4" w:firstLine="0"/>
              <w:jc w:val="center"/>
            </w:pPr>
            <w:r>
              <w:rPr>
                <w:b/>
                <w:sz w:val="20"/>
              </w:rPr>
              <w:t>Inorganic Species</w:t>
            </w:r>
          </w:p>
        </w:tc>
        <w:tc>
          <w:tcPr>
            <w:tcW w:w="3873" w:type="dxa"/>
            <w:tcBorders>
              <w:top w:val="single" w:sz="12" w:space="0" w:color="000000"/>
              <w:left w:val="single" w:sz="12" w:space="0" w:color="000000"/>
              <w:bottom w:val="single" w:sz="12" w:space="0" w:color="000000"/>
              <w:right w:val="single" w:sz="12" w:space="0" w:color="000000"/>
            </w:tcBorders>
            <w:vAlign w:val="center"/>
          </w:tcPr>
          <w:p w14:paraId="25265816" w14:textId="28FDDD2C" w:rsidR="00B56D50" w:rsidRDefault="001C3C42" w:rsidP="004C5A89">
            <w:pPr>
              <w:spacing w:after="0" w:line="259" w:lineRule="auto"/>
              <w:ind w:left="0" w:right="0" w:firstLine="0"/>
              <w:jc w:val="center"/>
            </w:pPr>
            <w:r>
              <w:rPr>
                <w:b/>
                <w:sz w:val="20"/>
              </w:rPr>
              <w:t>% Difference, Dilution vs. Original Determination</w:t>
            </w:r>
          </w:p>
        </w:tc>
      </w:tr>
      <w:tr w:rsidR="00B56D50" w14:paraId="04941AB3" w14:textId="77777777" w:rsidTr="00FD6E69">
        <w:trPr>
          <w:trHeight w:val="360"/>
        </w:trPr>
        <w:tc>
          <w:tcPr>
            <w:tcW w:w="2429" w:type="dxa"/>
            <w:tcBorders>
              <w:top w:val="single" w:sz="12" w:space="0" w:color="000000"/>
              <w:left w:val="single" w:sz="12" w:space="0" w:color="000000"/>
              <w:bottom w:val="single" w:sz="4" w:space="0" w:color="000000"/>
              <w:right w:val="single" w:sz="12" w:space="0" w:color="000000"/>
            </w:tcBorders>
            <w:vAlign w:val="center"/>
          </w:tcPr>
          <w:p w14:paraId="0427A675" w14:textId="5BC64FF6" w:rsidR="00B56D50" w:rsidRDefault="001C3C42" w:rsidP="00FD6E69">
            <w:pPr>
              <w:spacing w:after="0" w:line="259" w:lineRule="auto"/>
              <w:ind w:left="0" w:right="0" w:firstLine="0"/>
            </w:pPr>
            <w:r>
              <w:rPr>
                <w:sz w:val="20"/>
              </w:rPr>
              <w:t>Metals</w:t>
            </w:r>
          </w:p>
        </w:tc>
        <w:tc>
          <w:tcPr>
            <w:tcW w:w="3873" w:type="dxa"/>
            <w:tcBorders>
              <w:top w:val="single" w:sz="12" w:space="0" w:color="000000"/>
              <w:left w:val="single" w:sz="12" w:space="0" w:color="000000"/>
              <w:bottom w:val="single" w:sz="4" w:space="0" w:color="000000"/>
              <w:right w:val="single" w:sz="12" w:space="0" w:color="000000"/>
            </w:tcBorders>
            <w:vAlign w:val="center"/>
          </w:tcPr>
          <w:p w14:paraId="53B93E33" w14:textId="5B2214EC" w:rsidR="00B56D50" w:rsidRDefault="001C3C42" w:rsidP="00FD6E69">
            <w:pPr>
              <w:spacing w:after="39" w:line="259" w:lineRule="auto"/>
              <w:ind w:left="42" w:right="0" w:firstLine="0"/>
              <w:jc w:val="center"/>
            </w:pPr>
            <w:r>
              <w:rPr>
                <w:sz w:val="20"/>
              </w:rPr>
              <w:t>10</w:t>
            </w:r>
          </w:p>
        </w:tc>
      </w:tr>
      <w:tr w:rsidR="00B56D50" w14:paraId="26248C55" w14:textId="77777777" w:rsidTr="00FD6E69">
        <w:trPr>
          <w:trHeight w:val="360"/>
        </w:trPr>
        <w:tc>
          <w:tcPr>
            <w:tcW w:w="2429" w:type="dxa"/>
            <w:tcBorders>
              <w:top w:val="single" w:sz="4" w:space="0" w:color="000000"/>
              <w:left w:val="single" w:sz="12" w:space="0" w:color="000000"/>
              <w:bottom w:val="single" w:sz="4" w:space="0" w:color="000000"/>
              <w:right w:val="single" w:sz="12" w:space="0" w:color="000000"/>
            </w:tcBorders>
            <w:vAlign w:val="center"/>
          </w:tcPr>
          <w:p w14:paraId="2D868B44" w14:textId="77777777" w:rsidR="00B56D50" w:rsidRDefault="001C3C42" w:rsidP="00FD6E69">
            <w:pPr>
              <w:spacing w:after="0" w:line="259" w:lineRule="auto"/>
              <w:ind w:left="0" w:right="0" w:firstLine="0"/>
            </w:pPr>
            <w:r>
              <w:rPr>
                <w:sz w:val="20"/>
              </w:rPr>
              <w:t xml:space="preserve">Mercury </w:t>
            </w:r>
          </w:p>
        </w:tc>
        <w:tc>
          <w:tcPr>
            <w:tcW w:w="3873" w:type="dxa"/>
            <w:tcBorders>
              <w:top w:val="single" w:sz="4" w:space="0" w:color="000000"/>
              <w:left w:val="single" w:sz="12" w:space="0" w:color="000000"/>
              <w:bottom w:val="single" w:sz="4" w:space="0" w:color="000000"/>
              <w:right w:val="single" w:sz="12" w:space="0" w:color="000000"/>
            </w:tcBorders>
            <w:vAlign w:val="center"/>
          </w:tcPr>
          <w:p w14:paraId="1D9988DF" w14:textId="2F01FE14" w:rsidR="00B56D50" w:rsidRDefault="0072505F" w:rsidP="00FD6E69">
            <w:pPr>
              <w:spacing w:after="0" w:line="259" w:lineRule="auto"/>
              <w:ind w:right="0"/>
              <w:jc w:val="center"/>
            </w:pPr>
            <w:r>
              <w:rPr>
                <w:sz w:val="20"/>
              </w:rPr>
              <w:t>10</w:t>
            </w:r>
          </w:p>
        </w:tc>
      </w:tr>
      <w:tr w:rsidR="00B56D50" w14:paraId="0DED4681" w14:textId="77777777" w:rsidTr="00FD6E69">
        <w:trPr>
          <w:trHeight w:val="355"/>
        </w:trPr>
        <w:tc>
          <w:tcPr>
            <w:tcW w:w="2429" w:type="dxa"/>
            <w:tcBorders>
              <w:top w:val="single" w:sz="4" w:space="0" w:color="000000"/>
              <w:left w:val="single" w:sz="12" w:space="0" w:color="000000"/>
              <w:bottom w:val="single" w:sz="12" w:space="0" w:color="000000"/>
              <w:right w:val="single" w:sz="12" w:space="0" w:color="000000"/>
            </w:tcBorders>
            <w:vAlign w:val="center"/>
          </w:tcPr>
          <w:p w14:paraId="41640488" w14:textId="5954B513" w:rsidR="00B56D50" w:rsidRDefault="001C3C42" w:rsidP="00FD6E69">
            <w:pPr>
              <w:spacing w:after="0" w:line="259" w:lineRule="auto"/>
              <w:ind w:left="0" w:right="0" w:firstLine="0"/>
            </w:pPr>
            <w:r>
              <w:rPr>
                <w:sz w:val="20"/>
              </w:rPr>
              <w:t>Hexavalent Chromium</w:t>
            </w:r>
          </w:p>
        </w:tc>
        <w:tc>
          <w:tcPr>
            <w:tcW w:w="3873" w:type="dxa"/>
            <w:tcBorders>
              <w:top w:val="single" w:sz="4" w:space="0" w:color="000000"/>
              <w:left w:val="single" w:sz="12" w:space="0" w:color="000000"/>
              <w:bottom w:val="single" w:sz="12" w:space="0" w:color="000000"/>
              <w:right w:val="single" w:sz="12" w:space="0" w:color="000000"/>
            </w:tcBorders>
            <w:vAlign w:val="center"/>
          </w:tcPr>
          <w:p w14:paraId="350EA56E" w14:textId="46B563CE" w:rsidR="00B56D50" w:rsidRDefault="001C3C42" w:rsidP="00FD6E69">
            <w:pPr>
              <w:spacing w:after="0" w:line="259" w:lineRule="auto"/>
              <w:ind w:left="0" w:right="4" w:firstLine="0"/>
              <w:jc w:val="center"/>
            </w:pPr>
            <w:r>
              <w:rPr>
                <w:sz w:val="20"/>
              </w:rPr>
              <w:t>10</w:t>
            </w:r>
          </w:p>
        </w:tc>
      </w:tr>
    </w:tbl>
    <w:p w14:paraId="64E584CB" w14:textId="723912D1" w:rsidR="00B56D50" w:rsidRPr="004730C1" w:rsidRDefault="001C3C42" w:rsidP="00554BC5">
      <w:pPr>
        <w:spacing w:after="0" w:line="259" w:lineRule="auto"/>
        <w:ind w:left="0" w:right="138" w:firstLine="0"/>
        <w:rPr>
          <w:iCs/>
        </w:rPr>
      </w:pPr>
      <w:r>
        <w:rPr>
          <w:sz w:val="20"/>
        </w:rPr>
        <w:t xml:space="preserve"> </w:t>
      </w:r>
      <w:r>
        <w:rPr>
          <w:rFonts w:ascii="Arial" w:eastAsia="Arial" w:hAnsi="Arial" w:cs="Arial"/>
          <w:i/>
          <w:sz w:val="24"/>
        </w:rPr>
        <w:t xml:space="preserve"> </w:t>
      </w:r>
    </w:p>
    <w:p w14:paraId="54243996" w14:textId="7E05F828" w:rsidR="00B56D50" w:rsidRDefault="001C3C42">
      <w:pPr>
        <w:pStyle w:val="Heading5"/>
        <w:ind w:left="1024" w:right="722"/>
      </w:pPr>
      <w:r>
        <w:t xml:space="preserve">TABLE </w:t>
      </w:r>
      <w:r w:rsidR="00A8011C">
        <w:t>7</w:t>
      </w:r>
      <w:r>
        <w:t xml:space="preserve"> </w:t>
      </w:r>
    </w:p>
    <w:p w14:paraId="0CC2012B" w14:textId="55CF1FB1" w:rsidR="00B56D50" w:rsidRDefault="001C3C42" w:rsidP="000077FE">
      <w:pPr>
        <w:pStyle w:val="Heading6"/>
        <w:ind w:left="1018" w:right="186"/>
        <w:jc w:val="center"/>
      </w:pPr>
      <w:r>
        <w:t>Spike Recovery Test Control Limits for Inorganic Analyses</w:t>
      </w:r>
    </w:p>
    <w:p w14:paraId="09B381A7" w14:textId="77777777" w:rsidR="00B56D50" w:rsidRPr="004730C1" w:rsidRDefault="001C3C42">
      <w:pPr>
        <w:spacing w:after="0" w:line="259" w:lineRule="auto"/>
        <w:ind w:left="355" w:right="0" w:firstLine="0"/>
        <w:jc w:val="center"/>
      </w:pPr>
      <w:r>
        <w:rPr>
          <w:sz w:val="20"/>
        </w:rPr>
        <w:t xml:space="preserve"> </w:t>
      </w:r>
      <w:r>
        <w:rPr>
          <w:sz w:val="20"/>
        </w:rPr>
        <w:tab/>
      </w:r>
      <w:r>
        <w:rPr>
          <w:rFonts w:ascii="Arial" w:eastAsia="Arial" w:hAnsi="Arial" w:cs="Arial"/>
          <w:b/>
          <w:sz w:val="8"/>
        </w:rPr>
        <w:t xml:space="preserve"> </w:t>
      </w:r>
    </w:p>
    <w:tbl>
      <w:tblPr>
        <w:tblStyle w:val="TableGrid1"/>
        <w:tblW w:w="6319" w:type="dxa"/>
        <w:tblInd w:w="2595" w:type="dxa"/>
        <w:tblCellMar>
          <w:left w:w="121" w:type="dxa"/>
          <w:right w:w="115" w:type="dxa"/>
        </w:tblCellMar>
        <w:tblLook w:val="04A0" w:firstRow="1" w:lastRow="0" w:firstColumn="1" w:lastColumn="0" w:noHBand="0" w:noVBand="1"/>
      </w:tblPr>
      <w:tblGrid>
        <w:gridCol w:w="2393"/>
        <w:gridCol w:w="1961"/>
        <w:gridCol w:w="1965"/>
      </w:tblGrid>
      <w:tr w:rsidR="00B56D50" w14:paraId="17236CE0" w14:textId="77777777" w:rsidTr="0003225C">
        <w:trPr>
          <w:trHeight w:val="443"/>
        </w:trPr>
        <w:tc>
          <w:tcPr>
            <w:tcW w:w="2393" w:type="dxa"/>
            <w:vMerge w:val="restart"/>
            <w:tcBorders>
              <w:top w:val="single" w:sz="12" w:space="0" w:color="000000"/>
              <w:left w:val="single" w:sz="12" w:space="0" w:color="000000"/>
              <w:bottom w:val="single" w:sz="14" w:space="0" w:color="000000"/>
              <w:right w:val="single" w:sz="14" w:space="0" w:color="000000"/>
            </w:tcBorders>
            <w:vAlign w:val="center"/>
          </w:tcPr>
          <w:p w14:paraId="46818B88" w14:textId="722C4E9F" w:rsidR="00B56D50" w:rsidRDefault="001C3C42" w:rsidP="000077FE">
            <w:pPr>
              <w:spacing w:after="0" w:line="259" w:lineRule="auto"/>
              <w:ind w:left="0" w:right="8" w:firstLine="0"/>
              <w:jc w:val="center"/>
            </w:pPr>
            <w:r>
              <w:rPr>
                <w:b/>
                <w:sz w:val="20"/>
              </w:rPr>
              <w:t>Inorganic Species</w:t>
            </w:r>
          </w:p>
        </w:tc>
        <w:tc>
          <w:tcPr>
            <w:tcW w:w="3926" w:type="dxa"/>
            <w:gridSpan w:val="2"/>
            <w:tcBorders>
              <w:top w:val="single" w:sz="12" w:space="0" w:color="000000"/>
              <w:left w:val="single" w:sz="14" w:space="0" w:color="000000"/>
              <w:bottom w:val="single" w:sz="14" w:space="0" w:color="000000"/>
              <w:right w:val="single" w:sz="12" w:space="0" w:color="000000"/>
            </w:tcBorders>
            <w:vAlign w:val="center"/>
          </w:tcPr>
          <w:p w14:paraId="72D2AC28" w14:textId="28D12193" w:rsidR="00B56D50" w:rsidRDefault="001C3C42" w:rsidP="000077FE">
            <w:pPr>
              <w:spacing w:after="0" w:line="259" w:lineRule="auto"/>
              <w:ind w:left="0" w:right="10" w:firstLine="0"/>
              <w:jc w:val="center"/>
            </w:pPr>
            <w:r>
              <w:rPr>
                <w:b/>
                <w:sz w:val="20"/>
              </w:rPr>
              <w:t>% Recovery of Post-Digestion Spike</w:t>
            </w:r>
          </w:p>
        </w:tc>
      </w:tr>
      <w:tr w:rsidR="00B56D50" w14:paraId="747C6DD7" w14:textId="77777777" w:rsidTr="0003225C">
        <w:trPr>
          <w:trHeight w:val="427"/>
        </w:trPr>
        <w:tc>
          <w:tcPr>
            <w:tcW w:w="2393" w:type="dxa"/>
            <w:vMerge/>
            <w:tcBorders>
              <w:top w:val="nil"/>
              <w:left w:val="single" w:sz="12" w:space="0" w:color="000000"/>
              <w:bottom w:val="single" w:sz="12" w:space="0" w:color="000000"/>
              <w:right w:val="single" w:sz="14" w:space="0" w:color="000000"/>
            </w:tcBorders>
            <w:vAlign w:val="center"/>
          </w:tcPr>
          <w:p w14:paraId="4514880B" w14:textId="77777777" w:rsidR="00B56D50" w:rsidRDefault="00B56D50" w:rsidP="00EC2BA1">
            <w:pPr>
              <w:spacing w:after="160" w:line="259" w:lineRule="auto"/>
              <w:ind w:left="0" w:right="0" w:firstLine="0"/>
              <w:jc w:val="center"/>
            </w:pPr>
          </w:p>
        </w:tc>
        <w:tc>
          <w:tcPr>
            <w:tcW w:w="1961" w:type="dxa"/>
            <w:tcBorders>
              <w:top w:val="single" w:sz="14" w:space="0" w:color="000000"/>
              <w:left w:val="single" w:sz="14" w:space="0" w:color="000000"/>
              <w:bottom w:val="single" w:sz="12" w:space="0" w:color="000000"/>
              <w:right w:val="single" w:sz="14" w:space="0" w:color="000000"/>
            </w:tcBorders>
            <w:vAlign w:val="center"/>
          </w:tcPr>
          <w:p w14:paraId="751C5F8A" w14:textId="318766ED" w:rsidR="00B56D50" w:rsidRDefault="001C3C42" w:rsidP="00EC2BA1">
            <w:pPr>
              <w:spacing w:after="0" w:line="259" w:lineRule="auto"/>
              <w:ind w:left="1" w:right="0" w:firstLine="0"/>
              <w:jc w:val="center"/>
            </w:pPr>
            <w:r>
              <w:rPr>
                <w:b/>
                <w:sz w:val="20"/>
              </w:rPr>
              <w:t>Low Limit</w:t>
            </w:r>
          </w:p>
        </w:tc>
        <w:tc>
          <w:tcPr>
            <w:tcW w:w="1965" w:type="dxa"/>
            <w:tcBorders>
              <w:top w:val="single" w:sz="14" w:space="0" w:color="000000"/>
              <w:left w:val="single" w:sz="14" w:space="0" w:color="000000"/>
              <w:bottom w:val="single" w:sz="12" w:space="0" w:color="000000"/>
              <w:right w:val="single" w:sz="12" w:space="0" w:color="000000"/>
            </w:tcBorders>
            <w:vAlign w:val="center"/>
          </w:tcPr>
          <w:p w14:paraId="3A79FA19" w14:textId="1A4DC8F8" w:rsidR="00B56D50" w:rsidRDefault="001C3C42" w:rsidP="00EC2BA1">
            <w:pPr>
              <w:spacing w:after="0" w:line="259" w:lineRule="auto"/>
              <w:ind w:left="1" w:right="0" w:firstLine="0"/>
              <w:jc w:val="center"/>
            </w:pPr>
            <w:r>
              <w:rPr>
                <w:b/>
                <w:sz w:val="20"/>
              </w:rPr>
              <w:t>High Limit</w:t>
            </w:r>
          </w:p>
        </w:tc>
      </w:tr>
      <w:tr w:rsidR="00B56D50" w14:paraId="48A69DDC" w14:textId="77777777" w:rsidTr="0003225C">
        <w:trPr>
          <w:trHeight w:val="360"/>
        </w:trPr>
        <w:tc>
          <w:tcPr>
            <w:tcW w:w="2393" w:type="dxa"/>
            <w:tcBorders>
              <w:top w:val="single" w:sz="12" w:space="0" w:color="000000"/>
              <w:left w:val="single" w:sz="12" w:space="0" w:color="000000"/>
              <w:bottom w:val="single" w:sz="4" w:space="0" w:color="000000"/>
              <w:right w:val="single" w:sz="12" w:space="0" w:color="000000"/>
            </w:tcBorders>
            <w:vAlign w:val="center"/>
          </w:tcPr>
          <w:p w14:paraId="5542DDFB" w14:textId="46921DC6" w:rsidR="00B56D50" w:rsidRDefault="001C3C42" w:rsidP="00EC2BA1">
            <w:pPr>
              <w:spacing w:after="0" w:line="259" w:lineRule="auto"/>
              <w:ind w:left="0" w:right="0" w:firstLine="0"/>
            </w:pPr>
            <w:r>
              <w:rPr>
                <w:sz w:val="20"/>
              </w:rPr>
              <w:t xml:space="preserve"> Metals </w:t>
            </w:r>
          </w:p>
        </w:tc>
        <w:tc>
          <w:tcPr>
            <w:tcW w:w="1961" w:type="dxa"/>
            <w:tcBorders>
              <w:top w:val="single" w:sz="12" w:space="0" w:color="000000"/>
              <w:left w:val="single" w:sz="12" w:space="0" w:color="000000"/>
              <w:bottom w:val="single" w:sz="4" w:space="0" w:color="000000"/>
              <w:right w:val="single" w:sz="12" w:space="0" w:color="000000"/>
            </w:tcBorders>
            <w:vAlign w:val="center"/>
          </w:tcPr>
          <w:p w14:paraId="2D33C6A7" w14:textId="5E74B6C9" w:rsidR="00B56D50" w:rsidRDefault="001C3C42" w:rsidP="00EC2BA1">
            <w:pPr>
              <w:spacing w:after="0" w:line="259" w:lineRule="auto"/>
              <w:ind w:left="1" w:right="0" w:firstLine="0"/>
              <w:jc w:val="center"/>
            </w:pPr>
            <w:r>
              <w:rPr>
                <w:sz w:val="20"/>
              </w:rPr>
              <w:t>85</w:t>
            </w:r>
          </w:p>
        </w:tc>
        <w:tc>
          <w:tcPr>
            <w:tcW w:w="1965" w:type="dxa"/>
            <w:tcBorders>
              <w:top w:val="single" w:sz="12" w:space="0" w:color="000000"/>
              <w:left w:val="single" w:sz="12" w:space="0" w:color="000000"/>
              <w:bottom w:val="single" w:sz="4" w:space="0" w:color="000000"/>
              <w:right w:val="single" w:sz="12" w:space="0" w:color="000000"/>
            </w:tcBorders>
            <w:vAlign w:val="center"/>
          </w:tcPr>
          <w:p w14:paraId="063F6231" w14:textId="7D4971A9" w:rsidR="00B56D50" w:rsidRDefault="001C3C42" w:rsidP="00EC2BA1">
            <w:pPr>
              <w:spacing w:after="0" w:line="259" w:lineRule="auto"/>
              <w:ind w:left="1" w:right="0" w:firstLine="0"/>
              <w:jc w:val="center"/>
            </w:pPr>
            <w:r>
              <w:rPr>
                <w:sz w:val="20"/>
              </w:rPr>
              <w:t>115</w:t>
            </w:r>
          </w:p>
        </w:tc>
      </w:tr>
      <w:tr w:rsidR="00B56D50" w14:paraId="3B59160C" w14:textId="77777777" w:rsidTr="0003225C">
        <w:trPr>
          <w:trHeight w:val="360"/>
        </w:trPr>
        <w:tc>
          <w:tcPr>
            <w:tcW w:w="2393" w:type="dxa"/>
            <w:tcBorders>
              <w:top w:val="single" w:sz="4" w:space="0" w:color="000000"/>
              <w:left w:val="single" w:sz="12" w:space="0" w:color="000000"/>
              <w:bottom w:val="single" w:sz="4" w:space="0" w:color="000000"/>
              <w:right w:val="single" w:sz="12" w:space="0" w:color="000000"/>
            </w:tcBorders>
            <w:vAlign w:val="center"/>
          </w:tcPr>
          <w:p w14:paraId="766FC971" w14:textId="41FD039E" w:rsidR="00B56D50" w:rsidRDefault="001C3C42" w:rsidP="00EC2BA1">
            <w:pPr>
              <w:spacing w:after="0" w:line="259" w:lineRule="auto"/>
              <w:ind w:left="0" w:right="0" w:firstLine="0"/>
            </w:pPr>
            <w:r>
              <w:rPr>
                <w:sz w:val="20"/>
              </w:rPr>
              <w:t xml:space="preserve"> Mercury </w:t>
            </w:r>
          </w:p>
        </w:tc>
        <w:tc>
          <w:tcPr>
            <w:tcW w:w="1961" w:type="dxa"/>
            <w:tcBorders>
              <w:top w:val="single" w:sz="4" w:space="0" w:color="000000"/>
              <w:left w:val="single" w:sz="12" w:space="0" w:color="000000"/>
              <w:bottom w:val="single" w:sz="4" w:space="0" w:color="000000"/>
              <w:right w:val="single" w:sz="12" w:space="0" w:color="000000"/>
            </w:tcBorders>
            <w:vAlign w:val="center"/>
          </w:tcPr>
          <w:p w14:paraId="610D8535" w14:textId="0F95329B" w:rsidR="00B56D50" w:rsidRDefault="001C3C42" w:rsidP="00EC2BA1">
            <w:pPr>
              <w:spacing w:after="0" w:line="259" w:lineRule="auto"/>
              <w:ind w:left="1" w:right="0" w:firstLine="0"/>
              <w:jc w:val="center"/>
            </w:pPr>
            <w:r>
              <w:rPr>
                <w:sz w:val="20"/>
              </w:rPr>
              <w:t>85</w:t>
            </w:r>
          </w:p>
        </w:tc>
        <w:tc>
          <w:tcPr>
            <w:tcW w:w="1965" w:type="dxa"/>
            <w:tcBorders>
              <w:top w:val="single" w:sz="4" w:space="0" w:color="000000"/>
              <w:left w:val="single" w:sz="12" w:space="0" w:color="000000"/>
              <w:bottom w:val="single" w:sz="4" w:space="0" w:color="000000"/>
              <w:right w:val="single" w:sz="12" w:space="0" w:color="000000"/>
            </w:tcBorders>
            <w:vAlign w:val="center"/>
          </w:tcPr>
          <w:p w14:paraId="7185F6C7" w14:textId="7AD37E71" w:rsidR="00B56D50" w:rsidRDefault="001C3C42" w:rsidP="00EC2BA1">
            <w:pPr>
              <w:spacing w:after="0" w:line="259" w:lineRule="auto"/>
              <w:ind w:left="1" w:right="0" w:firstLine="0"/>
              <w:jc w:val="center"/>
            </w:pPr>
            <w:r>
              <w:rPr>
                <w:sz w:val="20"/>
              </w:rPr>
              <w:t>115</w:t>
            </w:r>
          </w:p>
        </w:tc>
      </w:tr>
      <w:tr w:rsidR="00B56D50" w14:paraId="4A446747" w14:textId="77777777" w:rsidTr="0003225C">
        <w:trPr>
          <w:trHeight w:val="360"/>
        </w:trPr>
        <w:tc>
          <w:tcPr>
            <w:tcW w:w="2393" w:type="dxa"/>
            <w:tcBorders>
              <w:top w:val="single" w:sz="4" w:space="0" w:color="000000"/>
              <w:left w:val="single" w:sz="12" w:space="0" w:color="000000"/>
              <w:bottom w:val="single" w:sz="4" w:space="0" w:color="000000"/>
              <w:right w:val="single" w:sz="12" w:space="0" w:color="000000"/>
            </w:tcBorders>
            <w:vAlign w:val="center"/>
          </w:tcPr>
          <w:p w14:paraId="62581FED" w14:textId="0A8B280B" w:rsidR="00B56D50" w:rsidRDefault="001C3C42" w:rsidP="00EC2BA1">
            <w:pPr>
              <w:spacing w:after="0" w:line="259" w:lineRule="auto"/>
              <w:ind w:left="0" w:right="0" w:firstLine="0"/>
            </w:pPr>
            <w:r>
              <w:rPr>
                <w:sz w:val="20"/>
              </w:rPr>
              <w:t xml:space="preserve"> Cyanide/Sulfide </w:t>
            </w:r>
          </w:p>
        </w:tc>
        <w:tc>
          <w:tcPr>
            <w:tcW w:w="1961" w:type="dxa"/>
            <w:tcBorders>
              <w:top w:val="single" w:sz="4" w:space="0" w:color="000000"/>
              <w:left w:val="single" w:sz="12" w:space="0" w:color="000000"/>
              <w:bottom w:val="single" w:sz="4" w:space="0" w:color="000000"/>
              <w:right w:val="single" w:sz="12" w:space="0" w:color="000000"/>
            </w:tcBorders>
            <w:vAlign w:val="center"/>
          </w:tcPr>
          <w:p w14:paraId="10D7A689" w14:textId="7A034D1F" w:rsidR="00B56D50" w:rsidRDefault="001C3C42" w:rsidP="00EC2BA1">
            <w:pPr>
              <w:spacing w:after="0" w:line="259" w:lineRule="auto"/>
              <w:ind w:left="1" w:right="0" w:firstLine="0"/>
              <w:jc w:val="center"/>
            </w:pPr>
            <w:r>
              <w:rPr>
                <w:sz w:val="20"/>
              </w:rPr>
              <w:t>85</w:t>
            </w:r>
          </w:p>
        </w:tc>
        <w:tc>
          <w:tcPr>
            <w:tcW w:w="1965" w:type="dxa"/>
            <w:tcBorders>
              <w:top w:val="single" w:sz="4" w:space="0" w:color="000000"/>
              <w:left w:val="single" w:sz="12" w:space="0" w:color="000000"/>
              <w:bottom w:val="single" w:sz="4" w:space="0" w:color="000000"/>
              <w:right w:val="single" w:sz="12" w:space="0" w:color="000000"/>
            </w:tcBorders>
            <w:vAlign w:val="center"/>
          </w:tcPr>
          <w:p w14:paraId="2E1A83F0" w14:textId="3E22B0CE" w:rsidR="00B56D50" w:rsidRDefault="001C3C42" w:rsidP="00EC2BA1">
            <w:pPr>
              <w:spacing w:after="0" w:line="259" w:lineRule="auto"/>
              <w:ind w:left="1" w:right="0" w:firstLine="0"/>
              <w:jc w:val="center"/>
            </w:pPr>
            <w:r>
              <w:rPr>
                <w:sz w:val="20"/>
              </w:rPr>
              <w:t>115</w:t>
            </w:r>
          </w:p>
        </w:tc>
      </w:tr>
      <w:tr w:rsidR="00B56D50" w14:paraId="418A1DC0" w14:textId="77777777" w:rsidTr="0003225C">
        <w:trPr>
          <w:trHeight w:val="360"/>
        </w:trPr>
        <w:tc>
          <w:tcPr>
            <w:tcW w:w="2393" w:type="dxa"/>
            <w:tcBorders>
              <w:top w:val="single" w:sz="4" w:space="0" w:color="000000"/>
              <w:left w:val="single" w:sz="12" w:space="0" w:color="000000"/>
              <w:bottom w:val="single" w:sz="12" w:space="0" w:color="000000"/>
              <w:right w:val="single" w:sz="12" w:space="0" w:color="000000"/>
            </w:tcBorders>
            <w:vAlign w:val="center"/>
          </w:tcPr>
          <w:p w14:paraId="17D04277" w14:textId="2BD2EA61" w:rsidR="00B56D50" w:rsidRDefault="001C3C42" w:rsidP="00EC2BA1">
            <w:pPr>
              <w:spacing w:after="0" w:line="259" w:lineRule="auto"/>
              <w:ind w:left="0" w:right="0" w:firstLine="0"/>
            </w:pPr>
            <w:r>
              <w:rPr>
                <w:sz w:val="20"/>
              </w:rPr>
              <w:t xml:space="preserve"> General Chemistry </w:t>
            </w:r>
          </w:p>
        </w:tc>
        <w:tc>
          <w:tcPr>
            <w:tcW w:w="1961" w:type="dxa"/>
            <w:tcBorders>
              <w:top w:val="single" w:sz="4" w:space="0" w:color="000000"/>
              <w:left w:val="single" w:sz="12" w:space="0" w:color="000000"/>
              <w:bottom w:val="single" w:sz="12" w:space="0" w:color="000000"/>
              <w:right w:val="single" w:sz="12" w:space="0" w:color="000000"/>
            </w:tcBorders>
            <w:vAlign w:val="center"/>
          </w:tcPr>
          <w:p w14:paraId="321FA3B9" w14:textId="2976E9B3" w:rsidR="00B56D50" w:rsidRDefault="001C3C42" w:rsidP="00EC2BA1">
            <w:pPr>
              <w:spacing w:after="0" w:line="259" w:lineRule="auto"/>
              <w:ind w:left="1" w:right="0" w:firstLine="0"/>
              <w:jc w:val="center"/>
            </w:pPr>
            <w:r>
              <w:rPr>
                <w:sz w:val="20"/>
              </w:rPr>
              <w:t>85</w:t>
            </w:r>
          </w:p>
        </w:tc>
        <w:tc>
          <w:tcPr>
            <w:tcW w:w="1965" w:type="dxa"/>
            <w:tcBorders>
              <w:top w:val="single" w:sz="4" w:space="0" w:color="000000"/>
              <w:left w:val="single" w:sz="12" w:space="0" w:color="000000"/>
              <w:bottom w:val="single" w:sz="12" w:space="0" w:color="000000"/>
              <w:right w:val="single" w:sz="12" w:space="0" w:color="000000"/>
            </w:tcBorders>
            <w:vAlign w:val="center"/>
          </w:tcPr>
          <w:p w14:paraId="51DA5F62" w14:textId="06F277D5" w:rsidR="00B56D50" w:rsidRDefault="001C3C42" w:rsidP="00EC2BA1">
            <w:pPr>
              <w:spacing w:after="0" w:line="259" w:lineRule="auto"/>
              <w:ind w:left="1" w:right="0" w:firstLine="0"/>
              <w:jc w:val="center"/>
            </w:pPr>
            <w:r>
              <w:rPr>
                <w:sz w:val="20"/>
              </w:rPr>
              <w:t>115</w:t>
            </w:r>
          </w:p>
        </w:tc>
      </w:tr>
    </w:tbl>
    <w:p w14:paraId="6AA435D9" w14:textId="77777777" w:rsidR="00B56D50" w:rsidRDefault="001C3C42">
      <w:pPr>
        <w:spacing w:after="0" w:line="259" w:lineRule="auto"/>
        <w:ind w:left="540" w:right="0" w:firstLine="0"/>
      </w:pPr>
      <w:r>
        <w:rPr>
          <w:rFonts w:ascii="Arial" w:eastAsia="Arial" w:hAnsi="Arial" w:cs="Arial"/>
          <w:sz w:val="24"/>
        </w:rPr>
        <w:t xml:space="preserve"> </w:t>
      </w:r>
    </w:p>
    <w:p w14:paraId="38B2C3A3" w14:textId="164F77B0" w:rsidR="00B56D50" w:rsidRPr="00EC2BA1" w:rsidRDefault="001C3C42" w:rsidP="00093377">
      <w:pPr>
        <w:numPr>
          <w:ilvl w:val="0"/>
          <w:numId w:val="22"/>
        </w:numPr>
        <w:spacing w:after="16"/>
        <w:ind w:left="1440" w:right="186" w:hanging="360"/>
        <w:rPr>
          <w:b/>
          <w:bCs/>
        </w:rPr>
      </w:pPr>
      <w:r w:rsidRPr="00EC2BA1">
        <w:rPr>
          <w:b/>
          <w:bCs/>
        </w:rPr>
        <w:t xml:space="preserve">Method of Standard Additions (MSA) </w:t>
      </w:r>
    </w:p>
    <w:p w14:paraId="2857854D" w14:textId="55596090" w:rsidR="00B56D50" w:rsidRDefault="001C3C42" w:rsidP="00F62C66">
      <w:pPr>
        <w:ind w:left="1440" w:right="259"/>
      </w:pPr>
      <w:r>
        <w:t xml:space="preserve">The Contractor shall perform analysis by the method of standard additions when </w:t>
      </w:r>
      <w:r w:rsidR="007F4FFE">
        <w:t>matrix interference</w:t>
      </w:r>
      <w:r>
        <w:t xml:space="preserve"> is </w:t>
      </w:r>
      <w:r w:rsidR="0062068F">
        <w:t>indicated</w:t>
      </w:r>
      <w:r w:rsidR="00D22850">
        <w:t xml:space="preserve">. </w:t>
      </w:r>
      <w:r w:rsidR="0062068F">
        <w:t xml:space="preserve"> </w:t>
      </w:r>
      <w:r w:rsidR="00BF00EB">
        <w:t xml:space="preserve">Refer to </w:t>
      </w:r>
      <w:r w:rsidR="00E12105">
        <w:t>USEPA</w:t>
      </w:r>
      <w:r w:rsidR="00BF00EB">
        <w:t xml:space="preserve"> Method 7000.</w:t>
      </w:r>
    </w:p>
    <w:p w14:paraId="13E500CB" w14:textId="77777777" w:rsidR="00B56D50" w:rsidRDefault="001C3C42" w:rsidP="00F62C66">
      <w:pPr>
        <w:spacing w:after="0" w:line="259" w:lineRule="auto"/>
        <w:ind w:left="1440" w:right="0" w:firstLine="0"/>
      </w:pPr>
      <w:r>
        <w:rPr>
          <w:b/>
        </w:rPr>
        <w:t xml:space="preserve"> </w:t>
      </w:r>
    </w:p>
    <w:p w14:paraId="799F09B9" w14:textId="4762A44C" w:rsidR="00A04C5D" w:rsidRPr="00A04C5D" w:rsidRDefault="001C3C42" w:rsidP="00093377">
      <w:pPr>
        <w:numPr>
          <w:ilvl w:val="0"/>
          <w:numId w:val="22"/>
        </w:numPr>
        <w:spacing w:after="16"/>
        <w:ind w:left="1440" w:right="186" w:hanging="360"/>
        <w:rPr>
          <w:b/>
          <w:bCs/>
        </w:rPr>
      </w:pPr>
      <w:r w:rsidRPr="00EC2BA1">
        <w:rPr>
          <w:b/>
          <w:bCs/>
        </w:rPr>
        <w:t xml:space="preserve">ICP Interference Check Sample Analysis (ICS) </w:t>
      </w:r>
      <w:r w:rsidR="007D6831" w:rsidRPr="00EC2BA1">
        <w:rPr>
          <w:b/>
          <w:bCs/>
        </w:rPr>
        <w:t>or Spectral Interference Check (SIC)</w:t>
      </w:r>
    </w:p>
    <w:p w14:paraId="114BD231" w14:textId="0715AD48" w:rsidR="00B56D50" w:rsidRDefault="001C3C42" w:rsidP="00F62C66">
      <w:pPr>
        <w:ind w:left="1440" w:right="899" w:firstLine="0"/>
      </w:pPr>
      <w:r>
        <w:t xml:space="preserve">The Contractor shall analyze and report the results for an ICP Interference Check Sample </w:t>
      </w:r>
      <w:r w:rsidR="009838DB">
        <w:t>or Spectral Interference Check</w:t>
      </w:r>
      <w:r w:rsidR="00216426">
        <w:t xml:space="preserve"> solution </w:t>
      </w:r>
      <w:r>
        <w:t xml:space="preserve">at the beginning and end of each sample analysis run, but not before the initial calibration verification to verify inter-element and background correction factors.  The interference check solution must be prepared </w:t>
      </w:r>
      <w:r w:rsidR="00216426">
        <w:t>according to the specifications in the method.</w:t>
      </w:r>
      <w:r w:rsidR="006670AE">
        <w:t xml:space="preserve"> </w:t>
      </w:r>
      <w:r w:rsidR="00C90746">
        <w:t xml:space="preserve"> </w:t>
      </w:r>
      <w:r>
        <w:t xml:space="preserve">Chlorine is </w:t>
      </w:r>
      <w:proofErr w:type="gramStart"/>
      <w:r>
        <w:t>an interferent</w:t>
      </w:r>
      <w:proofErr w:type="gramEnd"/>
      <w:r>
        <w:t xml:space="preserve"> in ICP/MS analysis.  The use of chlorine-containing compounds in reagents for sample preparation and analysis must be avoided. </w:t>
      </w:r>
    </w:p>
    <w:p w14:paraId="24CB567A" w14:textId="61A6DC6F" w:rsidR="00B56D50" w:rsidRDefault="00B56D50" w:rsidP="00F62C66">
      <w:pPr>
        <w:spacing w:after="0" w:line="259" w:lineRule="auto"/>
        <w:ind w:left="1440" w:right="0" w:firstLine="0"/>
      </w:pPr>
    </w:p>
    <w:p w14:paraId="27C15466" w14:textId="500B5771" w:rsidR="00B56D50" w:rsidRDefault="001C3C42" w:rsidP="00F62C66">
      <w:pPr>
        <w:ind w:left="1450" w:right="946"/>
      </w:pPr>
      <w:r>
        <w:t xml:space="preserve">In the absence of measurable analyte, over-correction could go undetected because a negative value could be reported as zero.  Therefore, spiked concentrations must be high enough to ensure measurability.  If the </w:t>
      </w:r>
      <w:proofErr w:type="gramStart"/>
      <w:r>
        <w:t>particular instrument</w:t>
      </w:r>
      <w:proofErr w:type="gramEnd"/>
      <w:r>
        <w:t xml:space="preserve"> </w:t>
      </w:r>
      <w:proofErr w:type="gramStart"/>
      <w:r>
        <w:t>will display</w:t>
      </w:r>
      <w:proofErr w:type="gramEnd"/>
      <w:r>
        <w:t xml:space="preserve"> over-correction as a negative number, this spiking procedure will not be necessary</w:t>
      </w:r>
      <w:r w:rsidR="00B7644A">
        <w:t>.</w:t>
      </w:r>
      <w:r>
        <w:t xml:space="preserve">  Other analytes of interest or interferents must be added as necessary to meet project-specific requirements or sample-specific characteristics. </w:t>
      </w:r>
    </w:p>
    <w:p w14:paraId="3ECF8ADF" w14:textId="1E63A501" w:rsidR="00B56D50" w:rsidRDefault="00B56D50" w:rsidP="00F62C66">
      <w:pPr>
        <w:spacing w:after="0" w:line="259" w:lineRule="auto"/>
        <w:ind w:left="1440" w:right="0" w:firstLine="0"/>
      </w:pPr>
    </w:p>
    <w:p w14:paraId="3B0F613B" w14:textId="4711E489" w:rsidR="00B56D50" w:rsidRDefault="001C3C42" w:rsidP="00F62C66">
      <w:pPr>
        <w:ind w:left="1450" w:right="255"/>
      </w:pPr>
      <w:r>
        <w:t xml:space="preserve">Results for the check sample analysis must fall within the control limits indicated in TABLE </w:t>
      </w:r>
      <w:r w:rsidR="00A51FF2">
        <w:t>8</w:t>
      </w:r>
      <w:r w:rsidR="00B7644A">
        <w:t xml:space="preserve"> </w:t>
      </w:r>
      <w:r>
        <w:t>(</w:t>
      </w:r>
      <w:r w:rsidR="00B7644A">
        <w:rPr>
          <w:rFonts w:ascii="Symbol" w:eastAsia="Symbol" w:hAnsi="Symbol" w:cs="Symbol"/>
        </w:rPr>
        <w:sym w:font="Symbol" w:char="F0B1"/>
      </w:r>
      <w:r w:rsidR="00B7644A">
        <w:t xml:space="preserve"> </w:t>
      </w:r>
      <w:r>
        <w:t xml:space="preserve">20 % of the true value) for the analytes included in the Interference Check Sample.  Results of all Interference Check Sample analyses for all ICP parameters must be recorded and reported in the QC report. </w:t>
      </w:r>
    </w:p>
    <w:p w14:paraId="5811F491" w14:textId="6BFCA38A" w:rsidR="00B56D50" w:rsidRDefault="00B56D50" w:rsidP="00F62C66">
      <w:pPr>
        <w:spacing w:after="0" w:line="259" w:lineRule="auto"/>
        <w:ind w:left="1440" w:right="0" w:firstLine="0"/>
      </w:pPr>
    </w:p>
    <w:p w14:paraId="5EC9B59B" w14:textId="7B48D897" w:rsidR="00EC2BA1" w:rsidRDefault="00EC2BA1" w:rsidP="00F62C66">
      <w:pPr>
        <w:spacing w:after="0" w:line="259" w:lineRule="auto"/>
        <w:ind w:left="1440" w:right="0" w:firstLine="0"/>
      </w:pPr>
    </w:p>
    <w:p w14:paraId="0F1478FD" w14:textId="77777777" w:rsidR="00EC2BA1" w:rsidRDefault="00EC2BA1">
      <w:pPr>
        <w:spacing w:after="0" w:line="259" w:lineRule="auto"/>
        <w:ind w:left="992" w:right="0" w:firstLine="0"/>
      </w:pPr>
    </w:p>
    <w:p w14:paraId="00C9C125" w14:textId="544CB46E" w:rsidR="00B56D50" w:rsidRPr="00674BA6" w:rsidRDefault="00674BA6" w:rsidP="00674BA6">
      <w:pPr>
        <w:spacing w:after="0" w:line="259" w:lineRule="auto"/>
        <w:ind w:left="208" w:right="0" w:firstLine="0"/>
        <w:jc w:val="center"/>
        <w:rPr>
          <w:b/>
          <w:bCs/>
        </w:rPr>
      </w:pPr>
      <w:r w:rsidRPr="00674BA6">
        <w:rPr>
          <w:rFonts w:eastAsia="Arial"/>
          <w:b/>
          <w:bCs/>
          <w:iCs/>
        </w:rPr>
        <w:t>T</w:t>
      </w:r>
      <w:r w:rsidR="001C3C42" w:rsidRPr="00674BA6">
        <w:rPr>
          <w:b/>
          <w:bCs/>
        </w:rPr>
        <w:t xml:space="preserve">ABLE </w:t>
      </w:r>
      <w:r w:rsidR="0069405C">
        <w:rPr>
          <w:b/>
          <w:bCs/>
        </w:rPr>
        <w:t>8</w:t>
      </w:r>
      <w:r w:rsidR="0069405C" w:rsidRPr="00674BA6">
        <w:rPr>
          <w:b/>
          <w:bCs/>
        </w:rPr>
        <w:t xml:space="preserve"> </w:t>
      </w:r>
    </w:p>
    <w:p w14:paraId="57035ACB" w14:textId="77777777" w:rsidR="00B56D50" w:rsidRDefault="001C3C42">
      <w:pPr>
        <w:pStyle w:val="Heading6"/>
        <w:spacing w:after="14" w:line="248" w:lineRule="auto"/>
        <w:ind w:left="1024" w:right="871"/>
        <w:jc w:val="center"/>
      </w:pPr>
      <w:r>
        <w:t xml:space="preserve">Interference Check Sample Control Limits for Inorganic Analyses </w:t>
      </w:r>
    </w:p>
    <w:p w14:paraId="36BEF9FC" w14:textId="039BB105" w:rsidR="00B56D50" w:rsidRPr="001777BD" w:rsidRDefault="00B56D50" w:rsidP="00D105A9">
      <w:pPr>
        <w:spacing w:after="0" w:line="259" w:lineRule="auto"/>
        <w:ind w:left="0" w:right="233" w:firstLine="0"/>
      </w:pPr>
    </w:p>
    <w:tbl>
      <w:tblPr>
        <w:tblStyle w:val="TableGrid1"/>
        <w:tblW w:w="6857" w:type="dxa"/>
        <w:tblInd w:w="1965" w:type="dxa"/>
        <w:tblCellMar>
          <w:left w:w="120" w:type="dxa"/>
          <w:bottom w:w="75" w:type="dxa"/>
          <w:right w:w="115" w:type="dxa"/>
        </w:tblCellMar>
        <w:tblLook w:val="04A0" w:firstRow="1" w:lastRow="0" w:firstColumn="1" w:lastColumn="0" w:noHBand="0" w:noVBand="1"/>
      </w:tblPr>
      <w:tblGrid>
        <w:gridCol w:w="2842"/>
        <w:gridCol w:w="1890"/>
        <w:gridCol w:w="2125"/>
      </w:tblGrid>
      <w:tr w:rsidR="00D105A9" w14:paraId="4250A4FD" w14:textId="77777777" w:rsidTr="003856B6">
        <w:trPr>
          <w:trHeight w:val="360"/>
        </w:trPr>
        <w:tc>
          <w:tcPr>
            <w:tcW w:w="2842" w:type="dxa"/>
            <w:vMerge w:val="restart"/>
            <w:tcBorders>
              <w:top w:val="single" w:sz="12" w:space="0" w:color="000000"/>
              <w:left w:val="single" w:sz="12" w:space="0" w:color="000000"/>
              <w:right w:val="single" w:sz="12" w:space="0" w:color="000000"/>
            </w:tcBorders>
            <w:vAlign w:val="center"/>
          </w:tcPr>
          <w:p w14:paraId="3FFDB85D" w14:textId="574E2F17" w:rsidR="00D105A9" w:rsidRDefault="00D105A9" w:rsidP="00D105A9">
            <w:pPr>
              <w:spacing w:after="0" w:line="259" w:lineRule="auto"/>
              <w:ind w:left="0" w:right="0" w:firstLine="0"/>
              <w:jc w:val="center"/>
            </w:pPr>
            <w:r>
              <w:rPr>
                <w:b/>
                <w:sz w:val="20"/>
              </w:rPr>
              <w:t>Inorganic Species</w:t>
            </w:r>
          </w:p>
        </w:tc>
        <w:tc>
          <w:tcPr>
            <w:tcW w:w="4015" w:type="dxa"/>
            <w:gridSpan w:val="2"/>
            <w:tcBorders>
              <w:top w:val="single" w:sz="12" w:space="0" w:color="000000"/>
              <w:left w:val="single" w:sz="12" w:space="0" w:color="000000"/>
              <w:bottom w:val="single" w:sz="12" w:space="0" w:color="000000"/>
              <w:right w:val="single" w:sz="12" w:space="0" w:color="000000"/>
            </w:tcBorders>
            <w:vAlign w:val="center"/>
          </w:tcPr>
          <w:p w14:paraId="0396914B" w14:textId="27AF409B" w:rsidR="00D105A9" w:rsidRDefault="00D105A9" w:rsidP="00D105A9">
            <w:pPr>
              <w:spacing w:after="0" w:line="259" w:lineRule="auto"/>
              <w:ind w:left="691" w:right="590" w:firstLine="0"/>
              <w:jc w:val="center"/>
            </w:pPr>
            <w:r>
              <w:rPr>
                <w:b/>
                <w:sz w:val="20"/>
              </w:rPr>
              <w:t>% Recovery of Analyte True Value</w:t>
            </w:r>
          </w:p>
        </w:tc>
      </w:tr>
      <w:tr w:rsidR="00D105A9" w14:paraId="1418F830" w14:textId="77777777" w:rsidTr="003856B6">
        <w:trPr>
          <w:trHeight w:val="360"/>
        </w:trPr>
        <w:tc>
          <w:tcPr>
            <w:tcW w:w="2842" w:type="dxa"/>
            <w:vMerge/>
            <w:tcBorders>
              <w:left w:val="single" w:sz="12" w:space="0" w:color="000000"/>
              <w:bottom w:val="single" w:sz="12" w:space="0" w:color="000000"/>
              <w:right w:val="single" w:sz="12" w:space="0" w:color="000000"/>
            </w:tcBorders>
          </w:tcPr>
          <w:p w14:paraId="2AD66756" w14:textId="77777777" w:rsidR="00D105A9" w:rsidRDefault="00D105A9" w:rsidP="00D105A9">
            <w:pPr>
              <w:spacing w:after="0" w:line="259" w:lineRule="auto"/>
              <w:ind w:left="0" w:right="0" w:firstLine="0"/>
            </w:pPr>
          </w:p>
        </w:tc>
        <w:tc>
          <w:tcPr>
            <w:tcW w:w="1890" w:type="dxa"/>
            <w:tcBorders>
              <w:top w:val="single" w:sz="12" w:space="0" w:color="000000"/>
              <w:left w:val="single" w:sz="12" w:space="0" w:color="000000"/>
              <w:bottom w:val="single" w:sz="12" w:space="0" w:color="000000"/>
              <w:right w:val="single" w:sz="12" w:space="0" w:color="000000"/>
            </w:tcBorders>
            <w:vAlign w:val="center"/>
          </w:tcPr>
          <w:p w14:paraId="085E3BE3" w14:textId="01CCC084" w:rsidR="00D105A9" w:rsidRDefault="00D105A9" w:rsidP="00D105A9">
            <w:pPr>
              <w:spacing w:after="0" w:line="259" w:lineRule="auto"/>
              <w:ind w:left="1" w:right="0" w:firstLine="0"/>
              <w:jc w:val="center"/>
            </w:pPr>
            <w:r>
              <w:rPr>
                <w:b/>
                <w:sz w:val="20"/>
              </w:rPr>
              <w:t>Low Limit</w:t>
            </w:r>
          </w:p>
        </w:tc>
        <w:tc>
          <w:tcPr>
            <w:tcW w:w="2125" w:type="dxa"/>
            <w:tcBorders>
              <w:top w:val="single" w:sz="12" w:space="0" w:color="000000"/>
              <w:left w:val="single" w:sz="12" w:space="0" w:color="000000"/>
              <w:bottom w:val="single" w:sz="12" w:space="0" w:color="000000"/>
              <w:right w:val="single" w:sz="12" w:space="0" w:color="000000"/>
            </w:tcBorders>
            <w:vAlign w:val="center"/>
          </w:tcPr>
          <w:p w14:paraId="11520F13" w14:textId="1E2FBFCC" w:rsidR="00D105A9" w:rsidRDefault="00D105A9" w:rsidP="00D105A9">
            <w:pPr>
              <w:spacing w:after="0" w:line="259" w:lineRule="auto"/>
              <w:ind w:left="0" w:right="0" w:firstLine="0"/>
              <w:jc w:val="center"/>
            </w:pPr>
            <w:r>
              <w:rPr>
                <w:b/>
                <w:sz w:val="20"/>
              </w:rPr>
              <w:t>High Limit</w:t>
            </w:r>
          </w:p>
        </w:tc>
      </w:tr>
      <w:tr w:rsidR="00B56D50" w14:paraId="4A6B36BF" w14:textId="77777777" w:rsidTr="003856B6">
        <w:trPr>
          <w:trHeight w:val="360"/>
        </w:trPr>
        <w:tc>
          <w:tcPr>
            <w:tcW w:w="2842" w:type="dxa"/>
            <w:tcBorders>
              <w:top w:val="single" w:sz="12" w:space="0" w:color="000000"/>
              <w:left w:val="single" w:sz="12" w:space="0" w:color="000000"/>
              <w:bottom w:val="single" w:sz="12" w:space="0" w:color="000000"/>
              <w:right w:val="single" w:sz="14" w:space="0" w:color="000000"/>
            </w:tcBorders>
            <w:vAlign w:val="center"/>
          </w:tcPr>
          <w:p w14:paraId="25F6F788" w14:textId="6ED84434" w:rsidR="00B56D50" w:rsidRDefault="001C3C42" w:rsidP="00D105A9">
            <w:pPr>
              <w:spacing w:after="0" w:line="259" w:lineRule="auto"/>
              <w:ind w:right="0"/>
            </w:pPr>
            <w:r>
              <w:rPr>
                <w:sz w:val="20"/>
              </w:rPr>
              <w:t>Metals</w:t>
            </w:r>
          </w:p>
        </w:tc>
        <w:tc>
          <w:tcPr>
            <w:tcW w:w="1890" w:type="dxa"/>
            <w:tcBorders>
              <w:top w:val="single" w:sz="12" w:space="0" w:color="000000"/>
              <w:left w:val="single" w:sz="14" w:space="0" w:color="000000"/>
              <w:bottom w:val="single" w:sz="12" w:space="0" w:color="000000"/>
              <w:right w:val="single" w:sz="12" w:space="0" w:color="000000"/>
            </w:tcBorders>
            <w:vAlign w:val="center"/>
          </w:tcPr>
          <w:p w14:paraId="4FCC1077" w14:textId="3117E032" w:rsidR="00B56D50" w:rsidRDefault="001C3C42" w:rsidP="00D105A9">
            <w:pPr>
              <w:spacing w:after="0" w:line="259" w:lineRule="auto"/>
              <w:ind w:right="0"/>
              <w:jc w:val="center"/>
            </w:pPr>
            <w:r>
              <w:rPr>
                <w:sz w:val="20"/>
              </w:rPr>
              <w:t>80</w:t>
            </w:r>
          </w:p>
        </w:tc>
        <w:tc>
          <w:tcPr>
            <w:tcW w:w="2125" w:type="dxa"/>
            <w:tcBorders>
              <w:top w:val="single" w:sz="12" w:space="0" w:color="000000"/>
              <w:left w:val="single" w:sz="12" w:space="0" w:color="000000"/>
              <w:bottom w:val="single" w:sz="12" w:space="0" w:color="000000"/>
              <w:right w:val="single" w:sz="12" w:space="0" w:color="000000"/>
            </w:tcBorders>
            <w:vAlign w:val="center"/>
          </w:tcPr>
          <w:p w14:paraId="435FB9E4" w14:textId="3FFC4E6D" w:rsidR="00B56D50" w:rsidRDefault="001C3C42" w:rsidP="00D105A9">
            <w:pPr>
              <w:spacing w:after="0" w:line="259" w:lineRule="auto"/>
              <w:ind w:left="0" w:right="0" w:firstLine="0"/>
              <w:jc w:val="center"/>
            </w:pPr>
            <w:r>
              <w:rPr>
                <w:sz w:val="20"/>
              </w:rPr>
              <w:t>120</w:t>
            </w:r>
          </w:p>
        </w:tc>
      </w:tr>
    </w:tbl>
    <w:p w14:paraId="7E72F165" w14:textId="7B2CE0C7" w:rsidR="00B56D50" w:rsidRPr="00EC2BA1" w:rsidRDefault="00B56D50" w:rsidP="00EC2BA1">
      <w:pPr>
        <w:spacing w:after="0" w:line="259" w:lineRule="auto"/>
        <w:ind w:right="0"/>
        <w:rPr>
          <w:bCs/>
        </w:rPr>
      </w:pPr>
    </w:p>
    <w:p w14:paraId="1AA3BC09" w14:textId="27BC9DC6" w:rsidR="00B56D50" w:rsidRDefault="001C3C42" w:rsidP="00093377">
      <w:pPr>
        <w:numPr>
          <w:ilvl w:val="0"/>
          <w:numId w:val="22"/>
        </w:numPr>
        <w:spacing w:after="16"/>
        <w:ind w:left="1440" w:right="186" w:hanging="360"/>
      </w:pPr>
      <w:r>
        <w:rPr>
          <w:b/>
        </w:rPr>
        <w:t xml:space="preserve">ICP Linear Range Analysis </w:t>
      </w:r>
    </w:p>
    <w:p w14:paraId="3EEF9F0B" w14:textId="60DA5079" w:rsidR="00B56D50" w:rsidRDefault="001C3C42" w:rsidP="000E2373">
      <w:pPr>
        <w:spacing w:after="0" w:line="259" w:lineRule="auto"/>
        <w:ind w:left="1440" w:right="259" w:firstLine="0"/>
      </w:pPr>
      <w:r>
        <w:t xml:space="preserve">The Contractor shall </w:t>
      </w:r>
      <w:r w:rsidR="004D69DB">
        <w:t xml:space="preserve">perform </w:t>
      </w:r>
      <w:r w:rsidR="00C92A7A">
        <w:t>and report the results of the</w:t>
      </w:r>
      <w:r>
        <w:t xml:space="preserve"> ICP </w:t>
      </w:r>
      <w:r w:rsidR="004D69DB">
        <w:t xml:space="preserve">linear range analysis </w:t>
      </w:r>
      <w:r w:rsidR="00C92A7A">
        <w:t xml:space="preserve">per the </w:t>
      </w:r>
      <w:r w:rsidR="00DB34F0">
        <w:t xml:space="preserve">specifications in the method.  Refer to </w:t>
      </w:r>
      <w:r w:rsidR="00E12105">
        <w:t>USEPA</w:t>
      </w:r>
      <w:r w:rsidR="00DB34F0">
        <w:t xml:space="preserve"> Methods 6010 and 6020.</w:t>
      </w:r>
    </w:p>
    <w:p w14:paraId="09B53341" w14:textId="77777777" w:rsidR="00B56D50" w:rsidRDefault="001C3C42">
      <w:pPr>
        <w:spacing w:after="0" w:line="259" w:lineRule="auto"/>
        <w:ind w:left="1352" w:right="0" w:firstLine="0"/>
      </w:pPr>
      <w:r>
        <w:t xml:space="preserve"> </w:t>
      </w:r>
    </w:p>
    <w:p w14:paraId="39F1FBA4" w14:textId="68DD9AEF" w:rsidR="00B56D50" w:rsidRDefault="001C3C42" w:rsidP="00093377">
      <w:pPr>
        <w:numPr>
          <w:ilvl w:val="0"/>
          <w:numId w:val="22"/>
        </w:numPr>
        <w:spacing w:after="16"/>
        <w:ind w:left="1440" w:right="186" w:hanging="360"/>
      </w:pPr>
      <w:r>
        <w:rPr>
          <w:b/>
        </w:rPr>
        <w:t xml:space="preserve">Additional QA/QC Requirements for ICP/MS Analysis </w:t>
      </w:r>
    </w:p>
    <w:p w14:paraId="6E44FCA8" w14:textId="72A902E9" w:rsidR="00B56D50" w:rsidRDefault="001C3C42" w:rsidP="000E2373">
      <w:pPr>
        <w:spacing w:after="0" w:line="259" w:lineRule="auto"/>
        <w:ind w:left="1440" w:right="0" w:firstLine="0"/>
      </w:pPr>
      <w:r>
        <w:t>The Contractor shall adhere to the following ICP/MS analysis additional QA/QC measures:</w:t>
      </w:r>
      <w:r>
        <w:rPr>
          <w:sz w:val="24"/>
        </w:rPr>
        <w:t xml:space="preserve"> </w:t>
      </w:r>
    </w:p>
    <w:p w14:paraId="679DA094" w14:textId="77777777" w:rsidR="00B56D50" w:rsidRDefault="001C3C42">
      <w:pPr>
        <w:spacing w:after="0" w:line="259" w:lineRule="auto"/>
        <w:ind w:left="540" w:right="0" w:firstLine="0"/>
      </w:pPr>
      <w:r>
        <w:t xml:space="preserve"> </w:t>
      </w:r>
    </w:p>
    <w:p w14:paraId="25264F2B" w14:textId="0F09B1C8" w:rsidR="00B56D50" w:rsidRDefault="001C3C42" w:rsidP="00093377">
      <w:pPr>
        <w:pStyle w:val="Heading6"/>
        <w:numPr>
          <w:ilvl w:val="1"/>
          <w:numId w:val="78"/>
        </w:numPr>
        <w:ind w:left="1800" w:right="186"/>
      </w:pPr>
      <w:r>
        <w:t xml:space="preserve">Instrument Tuning </w:t>
      </w:r>
    </w:p>
    <w:p w14:paraId="150384B1" w14:textId="1A1D1770" w:rsidR="00B56D50" w:rsidRDefault="001C3C42" w:rsidP="000D310C">
      <w:pPr>
        <w:ind w:left="1810" w:right="255"/>
      </w:pPr>
      <w:r>
        <w:t xml:space="preserve">Prior to calibration and analysis, the mass spectrometer must be tuned.  </w:t>
      </w:r>
      <w:r w:rsidR="00B731B5">
        <w:t>T</w:t>
      </w:r>
      <w:r>
        <w:t xml:space="preserve">he resolution and mass calibration of the instrument </w:t>
      </w:r>
      <w:r w:rsidR="00B731B5">
        <w:t>should be</w:t>
      </w:r>
      <w:r>
        <w:t xml:space="preserve"> within the required specifications.  This solution is also used to verify that the instrument has reached thermal stability. </w:t>
      </w:r>
    </w:p>
    <w:p w14:paraId="43063412" w14:textId="77777777" w:rsidR="00B56D50" w:rsidRDefault="001C3C42">
      <w:pPr>
        <w:spacing w:after="0" w:line="259" w:lineRule="auto"/>
        <w:ind w:left="1116" w:right="0" w:firstLine="0"/>
      </w:pPr>
      <w:r>
        <w:t xml:space="preserve"> </w:t>
      </w:r>
    </w:p>
    <w:p w14:paraId="6595219D" w14:textId="56CD097A" w:rsidR="00EC2BA1" w:rsidRPr="00EC2BA1" w:rsidRDefault="001C3C42" w:rsidP="00093377">
      <w:pPr>
        <w:pStyle w:val="ListParagraph"/>
        <w:numPr>
          <w:ilvl w:val="2"/>
          <w:numId w:val="78"/>
        </w:numPr>
        <w:ind w:left="2160" w:right="255" w:hanging="360"/>
      </w:pPr>
      <w:r w:rsidRPr="000D310C">
        <w:rPr>
          <w:u w:val="single" w:color="000000"/>
        </w:rPr>
        <w:t>Verification of Thermal Stability</w:t>
      </w:r>
      <w:proofErr w:type="gramStart"/>
      <w:r w:rsidRPr="00EC2BA1">
        <w:t>:  The</w:t>
      </w:r>
      <w:proofErr w:type="gramEnd"/>
      <w:r w:rsidRPr="00EC2BA1">
        <w:t xml:space="preserve"> analyst must follow the instructions provided by the instrument manufacturer</w:t>
      </w:r>
      <w:r w:rsidR="003747A0" w:rsidRPr="00EC2BA1">
        <w:t xml:space="preserve">.  </w:t>
      </w:r>
      <w:r w:rsidRPr="00EC2BA1">
        <w:t xml:space="preserve">This must be verified by analyzing a tuning solution at least four times with relative standard deviations of &lt; 5% for the analytes contained in the tuning solution (TABLE </w:t>
      </w:r>
      <w:r w:rsidR="008A2EF1" w:rsidRPr="00EC2BA1">
        <w:t>9</w:t>
      </w:r>
      <w:r w:rsidRPr="00EC2BA1">
        <w:t>).</w:t>
      </w:r>
    </w:p>
    <w:p w14:paraId="59826E60" w14:textId="2CD5F647" w:rsidR="00B56D50" w:rsidRPr="00EC2BA1" w:rsidRDefault="00B56D50" w:rsidP="00EC2BA1">
      <w:pPr>
        <w:ind w:left="1892" w:right="255" w:hanging="540"/>
      </w:pPr>
    </w:p>
    <w:p w14:paraId="7BD13DA6" w14:textId="1C54DC17" w:rsidR="00B56D50" w:rsidRDefault="001C3C42">
      <w:pPr>
        <w:pStyle w:val="Heading5"/>
        <w:ind w:left="1024" w:right="233"/>
      </w:pPr>
      <w:r>
        <w:t xml:space="preserve">TABLE </w:t>
      </w:r>
      <w:r w:rsidR="008A2EF1">
        <w:t xml:space="preserve">9 </w:t>
      </w:r>
    </w:p>
    <w:p w14:paraId="25371546" w14:textId="77777777" w:rsidR="00B56D50" w:rsidRDefault="001C3C42">
      <w:pPr>
        <w:pStyle w:val="Heading6"/>
        <w:spacing w:after="14" w:line="248" w:lineRule="auto"/>
        <w:ind w:left="1024" w:right="237"/>
        <w:jc w:val="center"/>
      </w:pPr>
      <w:r>
        <w:t xml:space="preserve">ICP/MS Tuning Control Limits to Verify Thermal Stability for Inorganic Analyses </w:t>
      </w:r>
    </w:p>
    <w:p w14:paraId="4D37DD98" w14:textId="77777777" w:rsidR="00B56D50" w:rsidRDefault="001C3C42">
      <w:pPr>
        <w:spacing w:after="0" w:line="259" w:lineRule="auto"/>
        <w:ind w:left="800" w:right="0" w:firstLine="0"/>
        <w:jc w:val="center"/>
      </w:pPr>
      <w:r>
        <w:rPr>
          <w:rFonts w:ascii="Arial" w:eastAsia="Arial" w:hAnsi="Arial" w:cs="Arial"/>
          <w:b/>
          <w:sz w:val="8"/>
        </w:rPr>
        <w:t xml:space="preserve"> </w:t>
      </w:r>
    </w:p>
    <w:tbl>
      <w:tblPr>
        <w:tblStyle w:val="TableGrid1"/>
        <w:tblW w:w="7757" w:type="dxa"/>
        <w:tblInd w:w="1785" w:type="dxa"/>
        <w:tblCellMar>
          <w:top w:w="19" w:type="dxa"/>
          <w:left w:w="108" w:type="dxa"/>
          <w:right w:w="115" w:type="dxa"/>
        </w:tblCellMar>
        <w:tblLook w:val="04A0" w:firstRow="1" w:lastRow="0" w:firstColumn="1" w:lastColumn="0" w:noHBand="0" w:noVBand="1"/>
      </w:tblPr>
      <w:tblGrid>
        <w:gridCol w:w="2356"/>
        <w:gridCol w:w="5401"/>
      </w:tblGrid>
      <w:tr w:rsidR="00B56D50" w14:paraId="1B61228A" w14:textId="77777777" w:rsidTr="00C84062">
        <w:trPr>
          <w:trHeight w:val="490"/>
        </w:trPr>
        <w:tc>
          <w:tcPr>
            <w:tcW w:w="2356" w:type="dxa"/>
            <w:tcBorders>
              <w:top w:val="single" w:sz="12" w:space="0" w:color="000000"/>
              <w:left w:val="single" w:sz="12" w:space="0" w:color="000000"/>
              <w:bottom w:val="single" w:sz="12" w:space="0" w:color="000000"/>
              <w:right w:val="single" w:sz="12" w:space="0" w:color="000000"/>
            </w:tcBorders>
            <w:vAlign w:val="center"/>
          </w:tcPr>
          <w:p w14:paraId="733CEEC7" w14:textId="77777777" w:rsidR="00B56D50" w:rsidRDefault="001C3C42">
            <w:pPr>
              <w:spacing w:after="0" w:line="259" w:lineRule="auto"/>
              <w:ind w:left="0" w:right="92" w:firstLine="0"/>
              <w:jc w:val="center"/>
            </w:pPr>
            <w:r>
              <w:rPr>
                <w:b/>
                <w:sz w:val="20"/>
              </w:rPr>
              <w:t>Inorganic Species</w:t>
            </w:r>
            <w:r>
              <w:rPr>
                <w:sz w:val="20"/>
              </w:rPr>
              <w:t xml:space="preserve"> </w:t>
            </w:r>
          </w:p>
        </w:tc>
        <w:tc>
          <w:tcPr>
            <w:tcW w:w="5401" w:type="dxa"/>
            <w:tcBorders>
              <w:top w:val="single" w:sz="12" w:space="0" w:color="000000"/>
              <w:left w:val="single" w:sz="12" w:space="0" w:color="000000"/>
              <w:bottom w:val="single" w:sz="12" w:space="0" w:color="000000"/>
              <w:right w:val="single" w:sz="12" w:space="0" w:color="000000"/>
            </w:tcBorders>
          </w:tcPr>
          <w:p w14:paraId="03A12AFA" w14:textId="77777777" w:rsidR="00B56D50" w:rsidRDefault="001C3C42">
            <w:pPr>
              <w:spacing w:after="0" w:line="259" w:lineRule="auto"/>
              <w:ind w:left="0" w:right="93" w:firstLine="0"/>
              <w:jc w:val="center"/>
            </w:pPr>
            <w:r>
              <w:rPr>
                <w:b/>
                <w:sz w:val="20"/>
              </w:rPr>
              <w:t xml:space="preserve">Relative Standard Deviation (RSD) for Four Analyses of </w:t>
            </w:r>
          </w:p>
          <w:p w14:paraId="58FA74D6" w14:textId="77777777" w:rsidR="00B56D50" w:rsidRDefault="001C3C42">
            <w:pPr>
              <w:spacing w:after="0" w:line="259" w:lineRule="auto"/>
              <w:ind w:left="0" w:right="88" w:firstLine="0"/>
              <w:jc w:val="center"/>
            </w:pPr>
            <w:r>
              <w:rPr>
                <w:b/>
                <w:sz w:val="20"/>
              </w:rPr>
              <w:t>Analytes in Tuning Solution</w:t>
            </w:r>
            <w:r>
              <w:rPr>
                <w:sz w:val="20"/>
              </w:rPr>
              <w:t xml:space="preserve"> </w:t>
            </w:r>
          </w:p>
        </w:tc>
      </w:tr>
      <w:tr w:rsidR="00B56D50" w14:paraId="49F19271" w14:textId="77777777" w:rsidTr="00C84062">
        <w:trPr>
          <w:trHeight w:val="360"/>
        </w:trPr>
        <w:tc>
          <w:tcPr>
            <w:tcW w:w="2356" w:type="dxa"/>
            <w:tcBorders>
              <w:top w:val="single" w:sz="12" w:space="0" w:color="000000"/>
              <w:left w:val="single" w:sz="12" w:space="0" w:color="000000"/>
              <w:bottom w:val="single" w:sz="12" w:space="0" w:color="000000"/>
              <w:right w:val="single" w:sz="12" w:space="0" w:color="000000"/>
            </w:tcBorders>
            <w:vAlign w:val="center"/>
          </w:tcPr>
          <w:p w14:paraId="7876D814" w14:textId="0EA47578" w:rsidR="00B56D50" w:rsidRDefault="001C3C42" w:rsidP="00D105A9">
            <w:pPr>
              <w:spacing w:after="0" w:line="259" w:lineRule="auto"/>
              <w:ind w:left="0" w:right="91" w:firstLine="0"/>
            </w:pPr>
            <w:r>
              <w:rPr>
                <w:sz w:val="20"/>
              </w:rPr>
              <w:t>Metals</w:t>
            </w:r>
          </w:p>
        </w:tc>
        <w:tc>
          <w:tcPr>
            <w:tcW w:w="5401" w:type="dxa"/>
            <w:tcBorders>
              <w:top w:val="single" w:sz="12" w:space="0" w:color="000000"/>
              <w:left w:val="single" w:sz="12" w:space="0" w:color="000000"/>
              <w:bottom w:val="single" w:sz="12" w:space="0" w:color="000000"/>
              <w:right w:val="single" w:sz="12" w:space="0" w:color="000000"/>
            </w:tcBorders>
            <w:vAlign w:val="center"/>
          </w:tcPr>
          <w:p w14:paraId="497934F6" w14:textId="468845D4" w:rsidR="00B56D50" w:rsidRDefault="001C3C42" w:rsidP="00D105A9">
            <w:pPr>
              <w:spacing w:after="0" w:line="259" w:lineRule="auto"/>
              <w:ind w:left="0" w:right="0" w:firstLine="0"/>
              <w:jc w:val="center"/>
            </w:pPr>
            <w:r>
              <w:rPr>
                <w:sz w:val="20"/>
              </w:rPr>
              <w:t>5%</w:t>
            </w:r>
          </w:p>
        </w:tc>
      </w:tr>
    </w:tbl>
    <w:p w14:paraId="538BD80F" w14:textId="0A72579E" w:rsidR="00B56D50" w:rsidRPr="000A1FBD" w:rsidRDefault="00B56D50">
      <w:pPr>
        <w:spacing w:after="3" w:line="259" w:lineRule="auto"/>
        <w:ind w:left="1116" w:right="0" w:firstLine="0"/>
      </w:pPr>
    </w:p>
    <w:p w14:paraId="36EC9D94" w14:textId="632A86C7" w:rsidR="00B56D50" w:rsidRDefault="001C3C42" w:rsidP="00093377">
      <w:pPr>
        <w:pStyle w:val="ListParagraph"/>
        <w:numPr>
          <w:ilvl w:val="2"/>
          <w:numId w:val="78"/>
        </w:numPr>
        <w:ind w:left="2160" w:right="255" w:hanging="360"/>
      </w:pPr>
      <w:r>
        <w:rPr>
          <w:u w:val="single" w:color="000000"/>
        </w:rPr>
        <w:t>Mass Calibration and Resolution Checks in the Mass Regions of Interest</w:t>
      </w:r>
      <w:proofErr w:type="gramStart"/>
      <w:r>
        <w:rPr>
          <w:u w:val="single" w:color="000000"/>
        </w:rPr>
        <w:t>:</w:t>
      </w:r>
      <w:r>
        <w:t xml:space="preserve">  The</w:t>
      </w:r>
      <w:proofErr w:type="gramEnd"/>
      <w:r>
        <w:t xml:space="preserve"> mass calibration and resolution parameters are required criteria that must be met prior to any samples being analyzed. If the mass calibration differs more than 0.1 </w:t>
      </w:r>
      <w:r>
        <w:rPr>
          <w:sz w:val="18"/>
        </w:rPr>
        <w:t>AMU</w:t>
      </w:r>
      <w:r>
        <w:t xml:space="preserve"> from the true value, then the mass calibration must be adjusted to the correct value. The resolution must also be verified to be less than 0.9 amu full width at 10 percent peak height. </w:t>
      </w:r>
    </w:p>
    <w:p w14:paraId="2E660059" w14:textId="77777777" w:rsidR="00B56D50" w:rsidRDefault="001C3C42">
      <w:pPr>
        <w:spacing w:after="0" w:line="259" w:lineRule="auto"/>
        <w:ind w:left="1980" w:right="0" w:firstLine="0"/>
      </w:pPr>
      <w:r>
        <w:rPr>
          <w:b/>
        </w:rPr>
        <w:t xml:space="preserve"> </w:t>
      </w:r>
    </w:p>
    <w:p w14:paraId="1A28180C" w14:textId="6B98289E" w:rsidR="00B56D50" w:rsidRDefault="001C3C42" w:rsidP="00093377">
      <w:pPr>
        <w:pStyle w:val="Heading6"/>
        <w:numPr>
          <w:ilvl w:val="1"/>
          <w:numId w:val="78"/>
        </w:numPr>
        <w:ind w:left="1800" w:right="186"/>
      </w:pPr>
      <w:r>
        <w:t xml:space="preserve">Internal Standards (IS) </w:t>
      </w:r>
    </w:p>
    <w:p w14:paraId="0BB671CE" w14:textId="26AA910F" w:rsidR="00B56D50" w:rsidRDefault="001C3C42" w:rsidP="0097044A">
      <w:pPr>
        <w:ind w:left="1810" w:right="255"/>
      </w:pPr>
      <w:r>
        <w:t>An appropriate internal standard is required for each analyte determined by ICP-MS</w:t>
      </w:r>
      <w:r w:rsidR="00FC2410">
        <w:t xml:space="preserve">.  </w:t>
      </w:r>
      <w:r>
        <w:t xml:space="preserve">The internal standards must be added to the calibration standards, calibration blanks, and preparation blanks as well as to samples and duplicates. </w:t>
      </w:r>
    </w:p>
    <w:p w14:paraId="7138B5DD" w14:textId="77777777" w:rsidR="00B56D50" w:rsidRDefault="001C3C42" w:rsidP="000A1FBD">
      <w:pPr>
        <w:spacing w:after="0" w:line="259" w:lineRule="auto"/>
        <w:ind w:left="1260" w:right="0" w:firstLine="0"/>
      </w:pPr>
      <w:r>
        <w:rPr>
          <w:b/>
        </w:rPr>
        <w:t xml:space="preserve"> </w:t>
      </w:r>
    </w:p>
    <w:p w14:paraId="6E4F68A0" w14:textId="29570B01" w:rsidR="0075082A" w:rsidRDefault="001C3C42" w:rsidP="00093377">
      <w:pPr>
        <w:pStyle w:val="ListParagraph"/>
        <w:numPr>
          <w:ilvl w:val="0"/>
          <w:numId w:val="76"/>
        </w:numPr>
        <w:ind w:left="2160" w:right="255" w:hanging="360"/>
      </w:pPr>
      <w:r w:rsidRPr="0075082A">
        <w:rPr>
          <w:u w:val="single" w:color="000000"/>
        </w:rPr>
        <w:t>IS Peak Intensities - Field Samples</w:t>
      </w:r>
      <w:r w:rsidRPr="0075082A">
        <w:rPr>
          <w:b/>
        </w:rPr>
        <w:t xml:space="preserve">.  </w:t>
      </w:r>
      <w:r>
        <w:t xml:space="preserve">When the intensity of any internal standard fails to fall between 30 and 120 percent </w:t>
      </w:r>
      <w:r w:rsidR="007D37F8">
        <w:t xml:space="preserve">(TABLE 10) </w:t>
      </w:r>
      <w:r>
        <w:t xml:space="preserve">of the intensity of that internal standard in the initial calibration standard, the following procedure is followed. The sample must be diluted fivefold (1+4) and reanalyzed with the addition of appropriate amounts of internal </w:t>
      </w:r>
      <w:r>
        <w:lastRenderedPageBreak/>
        <w:t>standards. This procedure must be repeated until the internal-standard intensities fall within the prescribed</w:t>
      </w:r>
      <w:r w:rsidR="00257290">
        <w:t xml:space="preserve"> window.</w:t>
      </w:r>
    </w:p>
    <w:p w14:paraId="43FE4655" w14:textId="77777777" w:rsidR="0075082A" w:rsidRDefault="0075082A" w:rsidP="0075082A"/>
    <w:p w14:paraId="7753EEC6" w14:textId="6F7AF2D9" w:rsidR="00257290" w:rsidRPr="00A97E25" w:rsidRDefault="0075082A" w:rsidP="00A97E25">
      <w:pPr>
        <w:jc w:val="center"/>
        <w:rPr>
          <w:b/>
          <w:bCs/>
        </w:rPr>
      </w:pPr>
      <w:r w:rsidRPr="00A97E25">
        <w:rPr>
          <w:b/>
          <w:bCs/>
        </w:rPr>
        <w:t>TABLE 10</w:t>
      </w:r>
    </w:p>
    <w:p w14:paraId="230B32F9" w14:textId="0BFB3EEE" w:rsidR="00B56D50" w:rsidRDefault="001C3C42" w:rsidP="00900C92">
      <w:pPr>
        <w:pStyle w:val="Heading6"/>
        <w:spacing w:after="14" w:line="248" w:lineRule="auto"/>
        <w:ind w:right="239"/>
        <w:jc w:val="center"/>
      </w:pPr>
      <w:r>
        <w:t>ICP/MS Linear Range Peak Intensity Control Limits for Field Samples</w:t>
      </w:r>
    </w:p>
    <w:p w14:paraId="7FAF2D1B" w14:textId="70BA752A" w:rsidR="00B56D50" w:rsidRPr="00C6120E" w:rsidRDefault="00B56D50" w:rsidP="00C6120E">
      <w:pPr>
        <w:spacing w:after="0" w:line="259" w:lineRule="auto"/>
        <w:ind w:left="800" w:right="0" w:firstLine="0"/>
        <w:rPr>
          <w:bCs/>
        </w:rPr>
      </w:pPr>
    </w:p>
    <w:tbl>
      <w:tblPr>
        <w:tblStyle w:val="TableGrid1"/>
        <w:tblW w:w="6030" w:type="dxa"/>
        <w:jc w:val="center"/>
        <w:tblInd w:w="0" w:type="dxa"/>
        <w:tblCellMar>
          <w:top w:w="22" w:type="dxa"/>
          <w:left w:w="115" w:type="dxa"/>
          <w:right w:w="115" w:type="dxa"/>
        </w:tblCellMar>
        <w:tblLook w:val="04A0" w:firstRow="1" w:lastRow="0" w:firstColumn="1" w:lastColumn="0" w:noHBand="0" w:noVBand="1"/>
      </w:tblPr>
      <w:tblGrid>
        <w:gridCol w:w="1979"/>
        <w:gridCol w:w="1980"/>
        <w:gridCol w:w="2071"/>
      </w:tblGrid>
      <w:tr w:rsidR="00B56D50" w14:paraId="1C3446FC" w14:textId="77777777" w:rsidTr="00E55B3B">
        <w:trPr>
          <w:trHeight w:val="360"/>
          <w:jc w:val="center"/>
        </w:trPr>
        <w:tc>
          <w:tcPr>
            <w:tcW w:w="1979" w:type="dxa"/>
            <w:vMerge w:val="restart"/>
            <w:tcBorders>
              <w:top w:val="single" w:sz="12" w:space="0" w:color="000000"/>
              <w:left w:val="single" w:sz="12" w:space="0" w:color="000000"/>
              <w:bottom w:val="single" w:sz="14" w:space="0" w:color="000000"/>
              <w:right w:val="single" w:sz="14" w:space="0" w:color="000000"/>
            </w:tcBorders>
            <w:vAlign w:val="center"/>
          </w:tcPr>
          <w:p w14:paraId="7E625CEA" w14:textId="438C784F" w:rsidR="00B56D50" w:rsidRDefault="001C3C42" w:rsidP="00900C92">
            <w:pPr>
              <w:spacing w:after="0" w:line="259" w:lineRule="auto"/>
              <w:ind w:left="0" w:right="1" w:firstLine="0"/>
              <w:jc w:val="center"/>
            </w:pPr>
            <w:r>
              <w:rPr>
                <w:b/>
                <w:sz w:val="20"/>
              </w:rPr>
              <w:t>Inorganic Species</w:t>
            </w:r>
          </w:p>
        </w:tc>
        <w:tc>
          <w:tcPr>
            <w:tcW w:w="4051" w:type="dxa"/>
            <w:gridSpan w:val="2"/>
            <w:tcBorders>
              <w:top w:val="single" w:sz="12" w:space="0" w:color="000000"/>
              <w:left w:val="single" w:sz="14" w:space="0" w:color="000000"/>
              <w:bottom w:val="single" w:sz="15" w:space="0" w:color="000000"/>
              <w:right w:val="single" w:sz="12" w:space="0" w:color="000000"/>
            </w:tcBorders>
            <w:vAlign w:val="center"/>
          </w:tcPr>
          <w:p w14:paraId="1E9383CE" w14:textId="7EF03641" w:rsidR="00B56D50" w:rsidRDefault="001C3C42" w:rsidP="00900C92">
            <w:pPr>
              <w:spacing w:after="0" w:line="259" w:lineRule="auto"/>
              <w:ind w:left="0" w:right="0" w:firstLine="0"/>
              <w:jc w:val="center"/>
            </w:pPr>
            <w:r>
              <w:rPr>
                <w:b/>
                <w:sz w:val="20"/>
              </w:rPr>
              <w:t>% of Internal Standard Peak Intensity in Initial Calibration Standard</w:t>
            </w:r>
          </w:p>
        </w:tc>
      </w:tr>
      <w:tr w:rsidR="00B56D50" w14:paraId="36565F22" w14:textId="77777777" w:rsidTr="00E55B3B">
        <w:trPr>
          <w:trHeight w:val="360"/>
          <w:jc w:val="center"/>
        </w:trPr>
        <w:tc>
          <w:tcPr>
            <w:tcW w:w="0" w:type="auto"/>
            <w:vMerge/>
            <w:tcBorders>
              <w:top w:val="nil"/>
              <w:left w:val="single" w:sz="12" w:space="0" w:color="000000"/>
              <w:bottom w:val="single" w:sz="14" w:space="0" w:color="000000"/>
              <w:right w:val="single" w:sz="14" w:space="0" w:color="000000"/>
            </w:tcBorders>
            <w:vAlign w:val="center"/>
          </w:tcPr>
          <w:p w14:paraId="1C940086" w14:textId="77777777" w:rsidR="00B56D50" w:rsidRDefault="00B56D50" w:rsidP="00017AB4">
            <w:pPr>
              <w:spacing w:after="160" w:line="259" w:lineRule="auto"/>
              <w:ind w:left="0" w:right="0" w:firstLine="0"/>
              <w:jc w:val="center"/>
            </w:pPr>
          </w:p>
        </w:tc>
        <w:tc>
          <w:tcPr>
            <w:tcW w:w="1980" w:type="dxa"/>
            <w:tcBorders>
              <w:top w:val="single" w:sz="15" w:space="0" w:color="000000"/>
              <w:left w:val="single" w:sz="14" w:space="0" w:color="000000"/>
              <w:bottom w:val="single" w:sz="14" w:space="0" w:color="000000"/>
              <w:right w:val="single" w:sz="14" w:space="0" w:color="000000"/>
            </w:tcBorders>
            <w:vAlign w:val="center"/>
          </w:tcPr>
          <w:p w14:paraId="74E4D963" w14:textId="605E475C" w:rsidR="00B56D50" w:rsidRDefault="001C3C42" w:rsidP="00900C92">
            <w:pPr>
              <w:spacing w:after="0" w:line="259" w:lineRule="auto"/>
              <w:ind w:left="1" w:right="0" w:firstLine="0"/>
              <w:jc w:val="center"/>
            </w:pPr>
            <w:r>
              <w:rPr>
                <w:b/>
                <w:sz w:val="20"/>
              </w:rPr>
              <w:t>Low Limit</w:t>
            </w:r>
          </w:p>
        </w:tc>
        <w:tc>
          <w:tcPr>
            <w:tcW w:w="2071" w:type="dxa"/>
            <w:tcBorders>
              <w:top w:val="single" w:sz="15" w:space="0" w:color="000000"/>
              <w:left w:val="single" w:sz="14" w:space="0" w:color="000000"/>
              <w:bottom w:val="single" w:sz="14" w:space="0" w:color="000000"/>
              <w:right w:val="single" w:sz="12" w:space="0" w:color="000000"/>
            </w:tcBorders>
            <w:vAlign w:val="center"/>
          </w:tcPr>
          <w:p w14:paraId="0A749A76" w14:textId="1BE4760E" w:rsidR="00B56D50" w:rsidRDefault="001C3C42" w:rsidP="00900C92">
            <w:pPr>
              <w:spacing w:after="0" w:line="259" w:lineRule="auto"/>
              <w:ind w:left="0" w:right="3" w:firstLine="0"/>
              <w:jc w:val="center"/>
            </w:pPr>
            <w:r>
              <w:rPr>
                <w:b/>
                <w:sz w:val="20"/>
              </w:rPr>
              <w:t>High Limit</w:t>
            </w:r>
          </w:p>
        </w:tc>
      </w:tr>
      <w:tr w:rsidR="00B56D50" w14:paraId="6A37B7AD" w14:textId="77777777" w:rsidTr="00E55B3B">
        <w:trPr>
          <w:trHeight w:val="360"/>
          <w:jc w:val="center"/>
        </w:trPr>
        <w:tc>
          <w:tcPr>
            <w:tcW w:w="1979" w:type="dxa"/>
            <w:tcBorders>
              <w:top w:val="single" w:sz="14" w:space="0" w:color="000000"/>
              <w:left w:val="single" w:sz="12" w:space="0" w:color="000000"/>
              <w:bottom w:val="single" w:sz="12" w:space="0" w:color="000000"/>
              <w:right w:val="single" w:sz="14" w:space="0" w:color="000000"/>
            </w:tcBorders>
            <w:vAlign w:val="center"/>
          </w:tcPr>
          <w:p w14:paraId="2A8C7305" w14:textId="10EE8031" w:rsidR="00B56D50" w:rsidRDefault="001C3C42" w:rsidP="00900C92">
            <w:pPr>
              <w:spacing w:after="0" w:line="259" w:lineRule="auto"/>
              <w:ind w:left="0" w:right="0" w:firstLine="0"/>
            </w:pPr>
            <w:r>
              <w:rPr>
                <w:sz w:val="20"/>
              </w:rPr>
              <w:t>Metals</w:t>
            </w:r>
          </w:p>
        </w:tc>
        <w:tc>
          <w:tcPr>
            <w:tcW w:w="1980" w:type="dxa"/>
            <w:tcBorders>
              <w:top w:val="single" w:sz="14" w:space="0" w:color="000000"/>
              <w:left w:val="single" w:sz="14" w:space="0" w:color="000000"/>
              <w:bottom w:val="single" w:sz="12" w:space="0" w:color="000000"/>
              <w:right w:val="single" w:sz="14" w:space="0" w:color="000000"/>
            </w:tcBorders>
            <w:vAlign w:val="center"/>
          </w:tcPr>
          <w:p w14:paraId="69254E39" w14:textId="28B88AFB" w:rsidR="00B56D50" w:rsidRDefault="001C3C42" w:rsidP="000A1FBD">
            <w:pPr>
              <w:spacing w:after="0" w:line="259" w:lineRule="auto"/>
              <w:ind w:left="4" w:right="0" w:firstLine="0"/>
              <w:jc w:val="center"/>
            </w:pPr>
            <w:r>
              <w:rPr>
                <w:sz w:val="20"/>
              </w:rPr>
              <w:t>30</w:t>
            </w:r>
          </w:p>
        </w:tc>
        <w:tc>
          <w:tcPr>
            <w:tcW w:w="2071" w:type="dxa"/>
            <w:tcBorders>
              <w:top w:val="single" w:sz="14" w:space="0" w:color="000000"/>
              <w:left w:val="single" w:sz="14" w:space="0" w:color="000000"/>
              <w:bottom w:val="single" w:sz="12" w:space="0" w:color="000000"/>
              <w:right w:val="single" w:sz="12" w:space="0" w:color="000000"/>
            </w:tcBorders>
            <w:vAlign w:val="center"/>
          </w:tcPr>
          <w:p w14:paraId="5736BE84" w14:textId="4AB874FB" w:rsidR="00B56D50" w:rsidRDefault="001C3C42" w:rsidP="000A1FBD">
            <w:pPr>
              <w:spacing w:after="0" w:line="259" w:lineRule="auto"/>
              <w:ind w:left="4" w:right="0" w:firstLine="0"/>
              <w:jc w:val="center"/>
            </w:pPr>
            <w:r>
              <w:rPr>
                <w:sz w:val="20"/>
              </w:rPr>
              <w:t>120</w:t>
            </w:r>
          </w:p>
        </w:tc>
      </w:tr>
    </w:tbl>
    <w:p w14:paraId="6FDD85A0" w14:textId="22AB5BF0" w:rsidR="00B56D50" w:rsidRDefault="001C3C42">
      <w:pPr>
        <w:spacing w:after="0" w:line="259" w:lineRule="auto"/>
        <w:ind w:left="1116" w:right="0" w:firstLine="0"/>
      </w:pPr>
      <w:r>
        <w:rPr>
          <w:rFonts w:ascii="Arial" w:eastAsia="Arial" w:hAnsi="Arial" w:cs="Arial"/>
          <w:b/>
        </w:rPr>
        <w:t xml:space="preserve">  </w:t>
      </w:r>
    </w:p>
    <w:p w14:paraId="205C3287" w14:textId="5390885B" w:rsidR="00B56D50" w:rsidRDefault="001C3C42" w:rsidP="00093377">
      <w:pPr>
        <w:pStyle w:val="ListParagraph"/>
        <w:numPr>
          <w:ilvl w:val="0"/>
          <w:numId w:val="76"/>
        </w:numPr>
        <w:ind w:left="2160" w:right="255" w:hanging="360"/>
      </w:pPr>
      <w:r>
        <w:rPr>
          <w:u w:val="single" w:color="000000"/>
        </w:rPr>
        <w:t>IS Peak Intensities - QC Samples</w:t>
      </w:r>
      <w:r>
        <w:rPr>
          <w:b/>
        </w:rPr>
        <w:t xml:space="preserve">. </w:t>
      </w:r>
      <w:r>
        <w:t xml:space="preserve">The intensity levels of the internal standards for the calibration blank and instrument check standard must agree within </w:t>
      </w:r>
      <w:r w:rsidR="002A17EC">
        <w:rPr>
          <w:rFonts w:ascii="Symbol" w:eastAsia="Symbol" w:hAnsi="Symbol" w:cs="Symbol"/>
        </w:rPr>
        <w:sym w:font="Symbol" w:char="F0B1"/>
      </w:r>
      <w:r>
        <w:t xml:space="preserve"> 20 percent of the intensity level of the internal standard of the original calibration solution (TABLE 1</w:t>
      </w:r>
      <w:r w:rsidR="00782D24">
        <w:t>1</w:t>
      </w:r>
      <w:r>
        <w:t xml:space="preserve">). If they do not agree, terminate the analysis, correct the problem, recalibrate, verify the new calibration, and reanalyze the affected samples. </w:t>
      </w:r>
    </w:p>
    <w:p w14:paraId="0C0B31FF" w14:textId="72D84CF4" w:rsidR="00B56D50" w:rsidRDefault="00B56D50" w:rsidP="00B20397">
      <w:pPr>
        <w:spacing w:after="0" w:line="259" w:lineRule="auto"/>
        <w:ind w:right="0"/>
        <w:rPr>
          <w:b/>
        </w:rPr>
      </w:pPr>
    </w:p>
    <w:p w14:paraId="109FC8D5" w14:textId="77777777" w:rsidR="00530DE8" w:rsidRPr="00530DE8" w:rsidRDefault="001C3C42" w:rsidP="00530DE8">
      <w:pPr>
        <w:jc w:val="center"/>
        <w:rPr>
          <w:b/>
          <w:bCs/>
        </w:rPr>
      </w:pPr>
      <w:r w:rsidRPr="00530DE8">
        <w:rPr>
          <w:b/>
          <w:bCs/>
        </w:rPr>
        <w:t>TABLE 1</w:t>
      </w:r>
      <w:r w:rsidR="00782D24" w:rsidRPr="00530DE8">
        <w:rPr>
          <w:b/>
          <w:bCs/>
        </w:rPr>
        <w:t>1</w:t>
      </w:r>
    </w:p>
    <w:p w14:paraId="5564A120" w14:textId="116ADE2B" w:rsidR="00B56D50" w:rsidRDefault="00530DE8" w:rsidP="00530DE8">
      <w:pPr>
        <w:pStyle w:val="Heading5"/>
        <w:ind w:right="233"/>
      </w:pPr>
      <w:r>
        <w:t xml:space="preserve">ICP/MS </w:t>
      </w:r>
      <w:r w:rsidR="001C3C42">
        <w:t xml:space="preserve">Linear Range Peak Intensity Control Limits for QC Samples </w:t>
      </w:r>
    </w:p>
    <w:p w14:paraId="0D045655" w14:textId="77777777" w:rsidR="00897010" w:rsidRDefault="00897010" w:rsidP="00647CF1">
      <w:pPr>
        <w:spacing w:after="0" w:line="259" w:lineRule="auto"/>
        <w:ind w:left="833" w:right="0" w:firstLine="0"/>
      </w:pPr>
    </w:p>
    <w:tbl>
      <w:tblPr>
        <w:tblStyle w:val="TableGrid1"/>
        <w:tblW w:w="6030" w:type="dxa"/>
        <w:jc w:val="center"/>
        <w:tblInd w:w="0" w:type="dxa"/>
        <w:tblCellMar>
          <w:top w:w="22" w:type="dxa"/>
          <w:left w:w="115" w:type="dxa"/>
          <w:right w:w="115" w:type="dxa"/>
        </w:tblCellMar>
        <w:tblLook w:val="04A0" w:firstRow="1" w:lastRow="0" w:firstColumn="1" w:lastColumn="0" w:noHBand="0" w:noVBand="1"/>
      </w:tblPr>
      <w:tblGrid>
        <w:gridCol w:w="1979"/>
        <w:gridCol w:w="1980"/>
        <w:gridCol w:w="2071"/>
      </w:tblGrid>
      <w:tr w:rsidR="00897010" w14:paraId="17E371B9" w14:textId="77777777" w:rsidTr="005F6A34">
        <w:trPr>
          <w:trHeight w:val="360"/>
          <w:jc w:val="center"/>
        </w:trPr>
        <w:tc>
          <w:tcPr>
            <w:tcW w:w="1979" w:type="dxa"/>
            <w:vMerge w:val="restart"/>
            <w:tcBorders>
              <w:top w:val="single" w:sz="12" w:space="0" w:color="000000"/>
              <w:left w:val="single" w:sz="12" w:space="0" w:color="000000"/>
              <w:bottom w:val="single" w:sz="14" w:space="0" w:color="000000"/>
              <w:right w:val="single" w:sz="14" w:space="0" w:color="000000"/>
            </w:tcBorders>
            <w:vAlign w:val="center"/>
          </w:tcPr>
          <w:p w14:paraId="7A70A489" w14:textId="77777777" w:rsidR="00897010" w:rsidRDefault="00897010" w:rsidP="005F6A34">
            <w:pPr>
              <w:spacing w:after="0" w:line="259" w:lineRule="auto"/>
              <w:ind w:left="0" w:right="1" w:firstLine="0"/>
              <w:jc w:val="center"/>
            </w:pPr>
            <w:r>
              <w:rPr>
                <w:b/>
                <w:sz w:val="20"/>
              </w:rPr>
              <w:t>Inorganic Species</w:t>
            </w:r>
          </w:p>
        </w:tc>
        <w:tc>
          <w:tcPr>
            <w:tcW w:w="4051" w:type="dxa"/>
            <w:gridSpan w:val="2"/>
            <w:tcBorders>
              <w:top w:val="single" w:sz="12" w:space="0" w:color="000000"/>
              <w:left w:val="single" w:sz="14" w:space="0" w:color="000000"/>
              <w:bottom w:val="single" w:sz="15" w:space="0" w:color="000000"/>
              <w:right w:val="single" w:sz="12" w:space="0" w:color="000000"/>
            </w:tcBorders>
            <w:vAlign w:val="center"/>
          </w:tcPr>
          <w:p w14:paraId="4E651BAC" w14:textId="77777777" w:rsidR="00897010" w:rsidRDefault="00897010" w:rsidP="005F6A34">
            <w:pPr>
              <w:spacing w:after="0" w:line="259" w:lineRule="auto"/>
              <w:ind w:left="0" w:right="0" w:firstLine="0"/>
              <w:jc w:val="center"/>
            </w:pPr>
            <w:r>
              <w:rPr>
                <w:b/>
                <w:sz w:val="20"/>
              </w:rPr>
              <w:t>% of Internal Standard Peak Intensity in Initial Calibration Standard</w:t>
            </w:r>
          </w:p>
        </w:tc>
      </w:tr>
      <w:tr w:rsidR="00897010" w14:paraId="52C78244" w14:textId="77777777" w:rsidTr="005F6A34">
        <w:trPr>
          <w:trHeight w:val="360"/>
          <w:jc w:val="center"/>
        </w:trPr>
        <w:tc>
          <w:tcPr>
            <w:tcW w:w="0" w:type="auto"/>
            <w:vMerge/>
            <w:tcBorders>
              <w:top w:val="nil"/>
              <w:left w:val="single" w:sz="12" w:space="0" w:color="000000"/>
              <w:bottom w:val="single" w:sz="14" w:space="0" w:color="000000"/>
              <w:right w:val="single" w:sz="14" w:space="0" w:color="000000"/>
            </w:tcBorders>
            <w:vAlign w:val="center"/>
          </w:tcPr>
          <w:p w14:paraId="0B8E90B0" w14:textId="77777777" w:rsidR="00897010" w:rsidRDefault="00897010" w:rsidP="005F6A34">
            <w:pPr>
              <w:spacing w:after="160" w:line="259" w:lineRule="auto"/>
              <w:ind w:left="0" w:right="0" w:firstLine="0"/>
              <w:jc w:val="center"/>
            </w:pPr>
          </w:p>
        </w:tc>
        <w:tc>
          <w:tcPr>
            <w:tcW w:w="1980" w:type="dxa"/>
            <w:tcBorders>
              <w:top w:val="single" w:sz="15" w:space="0" w:color="000000"/>
              <w:left w:val="single" w:sz="14" w:space="0" w:color="000000"/>
              <w:bottom w:val="single" w:sz="14" w:space="0" w:color="000000"/>
              <w:right w:val="single" w:sz="14" w:space="0" w:color="000000"/>
            </w:tcBorders>
            <w:vAlign w:val="center"/>
          </w:tcPr>
          <w:p w14:paraId="7751788A" w14:textId="77777777" w:rsidR="00897010" w:rsidRDefault="00897010" w:rsidP="005F6A34">
            <w:pPr>
              <w:spacing w:after="0" w:line="259" w:lineRule="auto"/>
              <w:ind w:left="1" w:right="0" w:firstLine="0"/>
              <w:jc w:val="center"/>
            </w:pPr>
            <w:r>
              <w:rPr>
                <w:b/>
                <w:sz w:val="20"/>
              </w:rPr>
              <w:t>Low Limit</w:t>
            </w:r>
          </w:p>
        </w:tc>
        <w:tc>
          <w:tcPr>
            <w:tcW w:w="2071" w:type="dxa"/>
            <w:tcBorders>
              <w:top w:val="single" w:sz="15" w:space="0" w:color="000000"/>
              <w:left w:val="single" w:sz="14" w:space="0" w:color="000000"/>
              <w:bottom w:val="single" w:sz="14" w:space="0" w:color="000000"/>
              <w:right w:val="single" w:sz="12" w:space="0" w:color="000000"/>
            </w:tcBorders>
            <w:vAlign w:val="center"/>
          </w:tcPr>
          <w:p w14:paraId="0B8A46B7" w14:textId="77777777" w:rsidR="00897010" w:rsidRDefault="00897010" w:rsidP="005F6A34">
            <w:pPr>
              <w:spacing w:after="0" w:line="259" w:lineRule="auto"/>
              <w:ind w:left="0" w:right="3" w:firstLine="0"/>
              <w:jc w:val="center"/>
            </w:pPr>
            <w:r>
              <w:rPr>
                <w:b/>
                <w:sz w:val="20"/>
              </w:rPr>
              <w:t>High Limit</w:t>
            </w:r>
          </w:p>
        </w:tc>
      </w:tr>
      <w:tr w:rsidR="00897010" w14:paraId="26798928" w14:textId="77777777" w:rsidTr="00647CF1">
        <w:trPr>
          <w:trHeight w:val="398"/>
          <w:jc w:val="center"/>
        </w:trPr>
        <w:tc>
          <w:tcPr>
            <w:tcW w:w="1979" w:type="dxa"/>
            <w:tcBorders>
              <w:top w:val="single" w:sz="14" w:space="0" w:color="000000"/>
              <w:left w:val="single" w:sz="12" w:space="0" w:color="000000"/>
              <w:bottom w:val="single" w:sz="12" w:space="0" w:color="000000"/>
              <w:right w:val="single" w:sz="14" w:space="0" w:color="000000"/>
            </w:tcBorders>
            <w:vAlign w:val="center"/>
          </w:tcPr>
          <w:p w14:paraId="4ADD55DA" w14:textId="77777777" w:rsidR="00897010" w:rsidRDefault="00897010" w:rsidP="005F6A34">
            <w:pPr>
              <w:spacing w:after="0" w:line="259" w:lineRule="auto"/>
              <w:ind w:left="0" w:right="0" w:firstLine="0"/>
            </w:pPr>
            <w:r>
              <w:rPr>
                <w:sz w:val="20"/>
              </w:rPr>
              <w:t>Metals</w:t>
            </w:r>
          </w:p>
        </w:tc>
        <w:tc>
          <w:tcPr>
            <w:tcW w:w="1980" w:type="dxa"/>
            <w:tcBorders>
              <w:top w:val="single" w:sz="14" w:space="0" w:color="000000"/>
              <w:left w:val="single" w:sz="14" w:space="0" w:color="000000"/>
              <w:bottom w:val="single" w:sz="12" w:space="0" w:color="000000"/>
              <w:right w:val="single" w:sz="14" w:space="0" w:color="000000"/>
            </w:tcBorders>
            <w:vAlign w:val="center"/>
          </w:tcPr>
          <w:p w14:paraId="28335C4C" w14:textId="0D144450" w:rsidR="00897010" w:rsidRDefault="00897010" w:rsidP="005F6A34">
            <w:pPr>
              <w:spacing w:after="0" w:line="259" w:lineRule="auto"/>
              <w:ind w:left="4" w:right="0" w:firstLine="0"/>
              <w:jc w:val="center"/>
            </w:pPr>
            <w:r>
              <w:rPr>
                <w:sz w:val="20"/>
              </w:rPr>
              <w:t>80</w:t>
            </w:r>
          </w:p>
        </w:tc>
        <w:tc>
          <w:tcPr>
            <w:tcW w:w="2071" w:type="dxa"/>
            <w:tcBorders>
              <w:top w:val="single" w:sz="14" w:space="0" w:color="000000"/>
              <w:left w:val="single" w:sz="14" w:space="0" w:color="000000"/>
              <w:bottom w:val="single" w:sz="12" w:space="0" w:color="000000"/>
              <w:right w:val="single" w:sz="12" w:space="0" w:color="000000"/>
            </w:tcBorders>
            <w:vAlign w:val="center"/>
          </w:tcPr>
          <w:p w14:paraId="556889C1" w14:textId="77777777" w:rsidR="00897010" w:rsidRDefault="00897010" w:rsidP="005F6A34">
            <w:pPr>
              <w:spacing w:after="0" w:line="259" w:lineRule="auto"/>
              <w:ind w:left="4" w:right="0" w:firstLine="0"/>
              <w:jc w:val="center"/>
            </w:pPr>
            <w:r>
              <w:rPr>
                <w:sz w:val="20"/>
              </w:rPr>
              <w:t>120</w:t>
            </w:r>
          </w:p>
        </w:tc>
      </w:tr>
    </w:tbl>
    <w:p w14:paraId="10E677FE" w14:textId="3EDA8BFF" w:rsidR="00B56D50" w:rsidRDefault="001C3C42" w:rsidP="0011741C">
      <w:pPr>
        <w:spacing w:after="0" w:line="259" w:lineRule="auto"/>
        <w:ind w:left="833" w:right="0" w:firstLine="0"/>
      </w:pPr>
      <w:r>
        <w:t xml:space="preserve"> </w:t>
      </w:r>
      <w:r>
        <w:rPr>
          <w:sz w:val="20"/>
        </w:rPr>
        <w:t xml:space="preserve"> </w:t>
      </w:r>
    </w:p>
    <w:p w14:paraId="74960E68" w14:textId="769958ED" w:rsidR="00B56D50" w:rsidRDefault="001C3C42" w:rsidP="00093377">
      <w:pPr>
        <w:pStyle w:val="Heading6"/>
        <w:numPr>
          <w:ilvl w:val="1"/>
          <w:numId w:val="78"/>
        </w:numPr>
        <w:ind w:left="1800" w:right="186"/>
      </w:pPr>
      <w:r>
        <w:t xml:space="preserve">Rinse Blank </w:t>
      </w:r>
    </w:p>
    <w:p w14:paraId="3BB3A265" w14:textId="77777777" w:rsidR="00B56D50" w:rsidRDefault="001C3C42" w:rsidP="006609A7">
      <w:pPr>
        <w:ind w:left="1800" w:right="255" w:firstLine="0"/>
      </w:pPr>
      <w:r>
        <w:t>In addition to preparation and calibration blanks, ICP/MS analysis requires a third type of blank, a rinse blank.  The rinse blank consists of 1 to 2 percent HNO</w:t>
      </w:r>
      <w:r>
        <w:rPr>
          <w:vertAlign w:val="subscript"/>
        </w:rPr>
        <w:t>3</w:t>
      </w:r>
      <w:r>
        <w:t xml:space="preserve"> (volume/volume) in reagent water.  It is used to flush the system between each sample analysis. </w:t>
      </w:r>
    </w:p>
    <w:p w14:paraId="7569C4D8" w14:textId="77777777" w:rsidR="00B56D50" w:rsidRDefault="001C3C42">
      <w:pPr>
        <w:spacing w:after="0" w:line="259" w:lineRule="auto"/>
        <w:ind w:left="1116" w:right="0" w:firstLine="0"/>
      </w:pPr>
      <w:r>
        <w:t xml:space="preserve"> </w:t>
      </w:r>
    </w:p>
    <w:p w14:paraId="75B18F99" w14:textId="170D3C62" w:rsidR="00B56D50" w:rsidRPr="00022882" w:rsidRDefault="001C3C42" w:rsidP="00093377">
      <w:pPr>
        <w:numPr>
          <w:ilvl w:val="0"/>
          <w:numId w:val="22"/>
        </w:numPr>
        <w:spacing w:after="16"/>
        <w:ind w:left="1440" w:right="186" w:hanging="360"/>
        <w:rPr>
          <w:b/>
          <w:bCs/>
        </w:rPr>
      </w:pPr>
      <w:r w:rsidRPr="00022882">
        <w:rPr>
          <w:b/>
          <w:bCs/>
        </w:rPr>
        <w:t xml:space="preserve">Inorganic Corrective Actions </w:t>
      </w:r>
    </w:p>
    <w:p w14:paraId="10002403" w14:textId="324E1BD5" w:rsidR="00B56D50" w:rsidRDefault="001C3C42" w:rsidP="00F62C66">
      <w:pPr>
        <w:ind w:left="1440" w:right="255" w:firstLine="0"/>
      </w:pPr>
      <w:r>
        <w:t>The Contractor shall find and correct the problem whenever an analytical procedure is "</w:t>
      </w:r>
      <w:r w:rsidR="00B650C8">
        <w:t xml:space="preserve">out of </w:t>
      </w:r>
      <w:r>
        <w:t>control”</w:t>
      </w:r>
      <w:r w:rsidR="000A7A55">
        <w:t xml:space="preserve">.  Refer to the </w:t>
      </w:r>
      <w:r w:rsidR="00EB6CA6">
        <w:t xml:space="preserve">applicable </w:t>
      </w:r>
      <w:r w:rsidR="00E12105">
        <w:t>USEPA</w:t>
      </w:r>
      <w:r w:rsidR="00EB6CA6">
        <w:t xml:space="preserve"> Methods </w:t>
      </w:r>
      <w:r w:rsidR="0003213C">
        <w:t xml:space="preserve">and the </w:t>
      </w:r>
      <w:r w:rsidR="005849FD">
        <w:t xml:space="preserve">information </w:t>
      </w:r>
      <w:r w:rsidR="0003213C">
        <w:t>noted above.</w:t>
      </w:r>
    </w:p>
    <w:p w14:paraId="7407D04C" w14:textId="7F8C154C" w:rsidR="00D407FF" w:rsidRDefault="008C3943" w:rsidP="00F62C66">
      <w:pPr>
        <w:ind w:left="1440" w:right="255" w:firstLine="0"/>
      </w:pPr>
      <w:r>
        <w:rPr>
          <w:u w:val="single" w:color="000000"/>
        </w:rPr>
        <w:t xml:space="preserve">Reanalysis </w:t>
      </w:r>
      <w:r w:rsidRPr="000423B1">
        <w:rPr>
          <w:u w:val="single" w:color="000000"/>
        </w:rPr>
        <w:t>of out-of-control samples may require that the reanalysis be performed past holding time requirements</w:t>
      </w:r>
      <w:r w:rsidRPr="001965C3">
        <w:rPr>
          <w:u w:val="single"/>
        </w:rPr>
        <w:t>.</w:t>
      </w:r>
      <w:r w:rsidRPr="001965C3">
        <w:t xml:space="preserve">  It is preferred that samples</w:t>
      </w:r>
      <w:r w:rsidRPr="000423B1">
        <w:t xml:space="preserve"> be analyzed or reanalyzed within holding times.  But, if that is not possible for reanalysis to be performed within holding time requirements, reanalysis may still need to be performed to meet analytical requirements.  If reanalysis is performed past the holding time, both analysis results must be reported.  The acceptance of results analyzed beyond holding time requirements must be predicated on project DQOs and threshold requirements, along with the analyst’s best judgement.  Resampling may be necessary in some cases</w:t>
      </w:r>
      <w:r w:rsidR="00826915">
        <w:t>.</w:t>
      </w:r>
    </w:p>
    <w:p w14:paraId="582EA33A" w14:textId="77777777" w:rsidR="0052186E" w:rsidRPr="00022882" w:rsidRDefault="0052186E" w:rsidP="00F62C66">
      <w:pPr>
        <w:ind w:left="1440" w:right="255" w:firstLine="0"/>
      </w:pPr>
    </w:p>
    <w:p w14:paraId="70725024" w14:textId="51720047" w:rsidR="00B56D50" w:rsidRDefault="00B56D50" w:rsidP="00F62C66">
      <w:pPr>
        <w:spacing w:after="39" w:line="259" w:lineRule="auto"/>
        <w:ind w:left="1440" w:right="0" w:firstLine="0"/>
      </w:pPr>
    </w:p>
    <w:p w14:paraId="7462045A" w14:textId="77777777" w:rsidR="004F28C6" w:rsidRDefault="004F28C6" w:rsidP="00F62C66">
      <w:pPr>
        <w:spacing w:after="39" w:line="259" w:lineRule="auto"/>
        <w:ind w:left="1440" w:right="0" w:firstLine="0"/>
      </w:pPr>
    </w:p>
    <w:p w14:paraId="1D55EB56" w14:textId="77777777" w:rsidR="004F28C6" w:rsidRDefault="004F28C6" w:rsidP="00F62C66">
      <w:pPr>
        <w:spacing w:after="39" w:line="259" w:lineRule="auto"/>
        <w:ind w:left="1440" w:right="0" w:firstLine="0"/>
      </w:pPr>
    </w:p>
    <w:p w14:paraId="0EF3BFC1" w14:textId="77777777" w:rsidR="004F28C6" w:rsidRDefault="004F28C6" w:rsidP="00F62C66">
      <w:pPr>
        <w:spacing w:after="39" w:line="259" w:lineRule="auto"/>
        <w:ind w:left="1440" w:right="0" w:firstLine="0"/>
      </w:pPr>
    </w:p>
    <w:p w14:paraId="41121B76" w14:textId="61398249" w:rsidR="00191CE2" w:rsidRPr="00022882" w:rsidRDefault="00191CE2">
      <w:pPr>
        <w:spacing w:after="39" w:line="259" w:lineRule="auto"/>
        <w:ind w:left="540" w:right="0" w:firstLine="0"/>
      </w:pPr>
    </w:p>
    <w:p w14:paraId="764823C0" w14:textId="77777777" w:rsidR="0011741C" w:rsidRPr="00022882" w:rsidRDefault="0011741C">
      <w:pPr>
        <w:spacing w:after="39" w:line="259" w:lineRule="auto"/>
        <w:ind w:left="540" w:right="0" w:firstLine="0"/>
      </w:pPr>
    </w:p>
    <w:p w14:paraId="6C797919" w14:textId="77777777" w:rsidR="00B56D50" w:rsidRPr="004458E5" w:rsidRDefault="001C3C42" w:rsidP="00713F3F">
      <w:pPr>
        <w:pStyle w:val="Heading5"/>
        <w:spacing w:after="16" w:line="247" w:lineRule="auto"/>
        <w:ind w:left="730" w:right="186"/>
        <w:jc w:val="left"/>
        <w:rPr>
          <w:sz w:val="24"/>
          <w:szCs w:val="24"/>
        </w:rPr>
      </w:pPr>
      <w:r w:rsidRPr="004458E5">
        <w:rPr>
          <w:sz w:val="24"/>
          <w:szCs w:val="24"/>
        </w:rPr>
        <w:t>B</w:t>
      </w:r>
      <w:r w:rsidRPr="004458E5">
        <w:rPr>
          <w:b w:val="0"/>
          <w:color w:val="365F91"/>
          <w:sz w:val="24"/>
          <w:szCs w:val="24"/>
        </w:rPr>
        <w:t xml:space="preserve">. </w:t>
      </w:r>
      <w:r w:rsidRPr="004458E5">
        <w:rPr>
          <w:sz w:val="24"/>
          <w:szCs w:val="24"/>
        </w:rPr>
        <w:t xml:space="preserve">QUALITY ASSURANCE/QUALITY CONTROL TCLP EXTRACT ANALYSIS </w:t>
      </w:r>
    </w:p>
    <w:p w14:paraId="0B27B663" w14:textId="77777777" w:rsidR="00B56D50" w:rsidRDefault="001C3C42" w:rsidP="00A6653E">
      <w:pPr>
        <w:spacing w:after="0" w:line="259" w:lineRule="auto"/>
        <w:ind w:right="0"/>
      </w:pPr>
      <w:r>
        <w:rPr>
          <w:b/>
          <w:sz w:val="20"/>
        </w:rPr>
        <w:t xml:space="preserve"> </w:t>
      </w:r>
    </w:p>
    <w:p w14:paraId="0D8CA2A6" w14:textId="16509011" w:rsidR="00B56D50" w:rsidRDefault="001C3C42" w:rsidP="00F62C66">
      <w:pPr>
        <w:ind w:left="730" w:right="255"/>
      </w:pPr>
      <w:r>
        <w:t xml:space="preserve">The Contractor shall follow all control criteria specified in Method 1311 for sample handling, preparation, extraction, and analysis. </w:t>
      </w:r>
      <w:r w:rsidR="006E0F70">
        <w:t xml:space="preserve"> </w:t>
      </w:r>
      <w:r w:rsidR="00557923">
        <w:t xml:space="preserve">Specific </w:t>
      </w:r>
      <w:r w:rsidR="00E12105">
        <w:t>USEPA</w:t>
      </w:r>
      <w:r w:rsidR="006012EB">
        <w:t xml:space="preserve"> Methodology criteria</w:t>
      </w:r>
      <w:r w:rsidR="005636D1">
        <w:t xml:space="preserve"> for Organic and Inorganic Analyses are noted</w:t>
      </w:r>
      <w:r w:rsidR="006012EB">
        <w:t xml:space="preserve"> in</w:t>
      </w:r>
      <w:r w:rsidR="00011BB6">
        <w:t xml:space="preserve"> the </w:t>
      </w:r>
      <w:r w:rsidR="00E81BEF">
        <w:t>specific</w:t>
      </w:r>
      <w:r w:rsidR="00011BB6">
        <w:t xml:space="preserve"> analytical </w:t>
      </w:r>
      <w:r w:rsidR="00C22D07">
        <w:t>p</w:t>
      </w:r>
      <w:r w:rsidR="00B611DC">
        <w:t xml:space="preserve">rotocol </w:t>
      </w:r>
      <w:r w:rsidR="00011BB6">
        <w:t xml:space="preserve">sections </w:t>
      </w:r>
      <w:r w:rsidR="000A76A4">
        <w:t>within</w:t>
      </w:r>
      <w:r w:rsidR="006012EB">
        <w:t xml:space="preserve"> Section XII</w:t>
      </w:r>
      <w:r w:rsidR="00011BB6">
        <w:t>.</w:t>
      </w:r>
      <w:r w:rsidR="006012EB">
        <w:t xml:space="preserve"> </w:t>
      </w:r>
    </w:p>
    <w:p w14:paraId="43D45DA2" w14:textId="2A10AC78" w:rsidR="00B56D50" w:rsidRDefault="00B56D50" w:rsidP="00F051F8">
      <w:pPr>
        <w:spacing w:after="0" w:line="259" w:lineRule="auto"/>
        <w:ind w:left="540" w:right="0" w:firstLine="0"/>
      </w:pPr>
    </w:p>
    <w:p w14:paraId="5CB54C30" w14:textId="3238AA0D" w:rsidR="001B5850" w:rsidRDefault="001B5850" w:rsidP="00F051F8">
      <w:pPr>
        <w:spacing w:after="0" w:line="259" w:lineRule="auto"/>
        <w:ind w:left="540" w:right="0" w:firstLine="0"/>
      </w:pPr>
    </w:p>
    <w:p w14:paraId="42E07BAE" w14:textId="38F59C93" w:rsidR="001B5850" w:rsidRDefault="001B5850" w:rsidP="00F051F8">
      <w:pPr>
        <w:spacing w:after="0" w:line="259" w:lineRule="auto"/>
        <w:ind w:left="540" w:right="0" w:firstLine="0"/>
      </w:pPr>
    </w:p>
    <w:p w14:paraId="41848F7D" w14:textId="15819152" w:rsidR="001B5850" w:rsidRDefault="001B5850" w:rsidP="00F051F8">
      <w:pPr>
        <w:spacing w:after="0" w:line="259" w:lineRule="auto"/>
        <w:ind w:left="540" w:right="0" w:firstLine="0"/>
      </w:pPr>
    </w:p>
    <w:p w14:paraId="26B0A146" w14:textId="6127D3E4" w:rsidR="001B5850" w:rsidRDefault="001B5850" w:rsidP="00F051F8">
      <w:pPr>
        <w:spacing w:after="0" w:line="259" w:lineRule="auto"/>
        <w:ind w:left="540" w:right="0" w:firstLine="0"/>
      </w:pPr>
    </w:p>
    <w:p w14:paraId="17117753" w14:textId="355DD3DA" w:rsidR="001B5850" w:rsidRDefault="001B5850" w:rsidP="001B5850">
      <w:pPr>
        <w:pStyle w:val="Heading5"/>
        <w:spacing w:after="16" w:line="247" w:lineRule="auto"/>
        <w:ind w:right="186"/>
      </w:pPr>
      <w:r>
        <w:t>THE REMAINDER OF THIS PAGE HAS BEEN LEFT BLANK INTENTIONALLY</w:t>
      </w:r>
    </w:p>
    <w:p w14:paraId="141B56C4" w14:textId="77777777" w:rsidR="001B5850" w:rsidRDefault="001B5850" w:rsidP="001B5850">
      <w:pPr>
        <w:spacing w:after="0" w:line="259" w:lineRule="auto"/>
        <w:ind w:right="0"/>
      </w:pPr>
      <w:r>
        <w:rPr>
          <w:rFonts w:ascii="Arial" w:eastAsia="Arial" w:hAnsi="Arial" w:cs="Arial"/>
          <w:b/>
        </w:rPr>
        <w:t xml:space="preserve"> </w:t>
      </w:r>
    </w:p>
    <w:p w14:paraId="4FF8CD62" w14:textId="16EC1699" w:rsidR="001B5850" w:rsidRDefault="001B5850" w:rsidP="00F051F8">
      <w:pPr>
        <w:spacing w:after="0" w:line="259" w:lineRule="auto"/>
        <w:ind w:left="540" w:right="0" w:firstLine="0"/>
      </w:pPr>
    </w:p>
    <w:p w14:paraId="7A2BB7EE" w14:textId="7A3C292F" w:rsidR="001B5850" w:rsidRDefault="001B5850" w:rsidP="00F051F8">
      <w:pPr>
        <w:spacing w:after="0" w:line="259" w:lineRule="auto"/>
        <w:ind w:left="540" w:right="0" w:firstLine="0"/>
      </w:pPr>
    </w:p>
    <w:p w14:paraId="7104D680" w14:textId="61A5D207" w:rsidR="001B5850" w:rsidRDefault="001B5850" w:rsidP="00F051F8">
      <w:pPr>
        <w:spacing w:after="0" w:line="259" w:lineRule="auto"/>
        <w:ind w:left="540" w:right="0" w:firstLine="0"/>
      </w:pPr>
    </w:p>
    <w:p w14:paraId="3177352E" w14:textId="453FE8FF" w:rsidR="001B5850" w:rsidRDefault="001B5850" w:rsidP="00F051F8">
      <w:pPr>
        <w:spacing w:after="0" w:line="259" w:lineRule="auto"/>
        <w:ind w:left="540" w:right="0" w:firstLine="0"/>
      </w:pPr>
    </w:p>
    <w:p w14:paraId="3FDA5CD2" w14:textId="3727CA7E" w:rsidR="001B5850" w:rsidRDefault="001B5850" w:rsidP="00F051F8">
      <w:pPr>
        <w:spacing w:after="0" w:line="259" w:lineRule="auto"/>
        <w:ind w:left="540" w:right="0" w:firstLine="0"/>
      </w:pPr>
    </w:p>
    <w:p w14:paraId="0C901453" w14:textId="0E6871BF" w:rsidR="001B5850" w:rsidRDefault="001B5850" w:rsidP="00F051F8">
      <w:pPr>
        <w:spacing w:after="0" w:line="259" w:lineRule="auto"/>
        <w:ind w:left="540" w:right="0" w:firstLine="0"/>
      </w:pPr>
    </w:p>
    <w:p w14:paraId="57E06BB3" w14:textId="57909E86" w:rsidR="001B5850" w:rsidRDefault="001B5850" w:rsidP="00F051F8">
      <w:pPr>
        <w:spacing w:after="0" w:line="259" w:lineRule="auto"/>
        <w:ind w:left="540" w:right="0" w:firstLine="0"/>
      </w:pPr>
    </w:p>
    <w:p w14:paraId="621E551E" w14:textId="40B442F4" w:rsidR="001B5850" w:rsidRDefault="001B5850" w:rsidP="00F051F8">
      <w:pPr>
        <w:spacing w:after="0" w:line="259" w:lineRule="auto"/>
        <w:ind w:left="540" w:right="0" w:firstLine="0"/>
      </w:pPr>
    </w:p>
    <w:p w14:paraId="5E79696C" w14:textId="72CE4BD1" w:rsidR="001B5850" w:rsidRDefault="001B5850" w:rsidP="00F051F8">
      <w:pPr>
        <w:spacing w:after="0" w:line="259" w:lineRule="auto"/>
        <w:ind w:left="540" w:right="0" w:firstLine="0"/>
      </w:pPr>
    </w:p>
    <w:p w14:paraId="6F3F8D3B" w14:textId="64418EAC" w:rsidR="001B5850" w:rsidRDefault="001B5850" w:rsidP="00F051F8">
      <w:pPr>
        <w:spacing w:after="0" w:line="259" w:lineRule="auto"/>
        <w:ind w:left="540" w:right="0" w:firstLine="0"/>
      </w:pPr>
    </w:p>
    <w:p w14:paraId="420B3773" w14:textId="435AFDE2" w:rsidR="001B5850" w:rsidRDefault="001B5850" w:rsidP="00F051F8">
      <w:pPr>
        <w:spacing w:after="0" w:line="259" w:lineRule="auto"/>
        <w:ind w:left="540" w:right="0" w:firstLine="0"/>
      </w:pPr>
    </w:p>
    <w:p w14:paraId="14CAAF68" w14:textId="3EB7D643" w:rsidR="001B5850" w:rsidRDefault="001B5850" w:rsidP="00F051F8">
      <w:pPr>
        <w:spacing w:after="0" w:line="259" w:lineRule="auto"/>
        <w:ind w:left="540" w:right="0" w:firstLine="0"/>
      </w:pPr>
    </w:p>
    <w:p w14:paraId="2DA3ABFF" w14:textId="7B0A1F70" w:rsidR="001B5850" w:rsidRDefault="001B5850" w:rsidP="00F051F8">
      <w:pPr>
        <w:spacing w:after="0" w:line="259" w:lineRule="auto"/>
        <w:ind w:left="540" w:right="0" w:firstLine="0"/>
      </w:pPr>
    </w:p>
    <w:p w14:paraId="4E6508AB" w14:textId="150A6110" w:rsidR="001B5850" w:rsidRDefault="001B5850" w:rsidP="00F051F8">
      <w:pPr>
        <w:spacing w:after="0" w:line="259" w:lineRule="auto"/>
        <w:ind w:left="540" w:right="0" w:firstLine="0"/>
      </w:pPr>
    </w:p>
    <w:p w14:paraId="4A3A6D97" w14:textId="3E8B1E56" w:rsidR="001B5850" w:rsidRDefault="001B5850" w:rsidP="00F051F8">
      <w:pPr>
        <w:spacing w:after="0" w:line="259" w:lineRule="auto"/>
        <w:ind w:left="540" w:right="0" w:firstLine="0"/>
      </w:pPr>
    </w:p>
    <w:p w14:paraId="7A1792F8" w14:textId="756E2A1A" w:rsidR="001B5850" w:rsidRDefault="001B5850" w:rsidP="00F051F8">
      <w:pPr>
        <w:spacing w:after="0" w:line="259" w:lineRule="auto"/>
        <w:ind w:left="540" w:right="0" w:firstLine="0"/>
      </w:pPr>
    </w:p>
    <w:p w14:paraId="1E522AF2" w14:textId="5146575C" w:rsidR="001B5850" w:rsidRDefault="001B5850" w:rsidP="00F051F8">
      <w:pPr>
        <w:spacing w:after="0" w:line="259" w:lineRule="auto"/>
        <w:ind w:left="540" w:right="0" w:firstLine="0"/>
      </w:pPr>
    </w:p>
    <w:p w14:paraId="12924F46" w14:textId="11F7E4A8" w:rsidR="001B5850" w:rsidRDefault="001B5850" w:rsidP="00F051F8">
      <w:pPr>
        <w:spacing w:after="0" w:line="259" w:lineRule="auto"/>
        <w:ind w:left="540" w:right="0" w:firstLine="0"/>
      </w:pPr>
    </w:p>
    <w:p w14:paraId="6E0BCBA8" w14:textId="5590E8F0" w:rsidR="001B5850" w:rsidRDefault="001B5850" w:rsidP="00F051F8">
      <w:pPr>
        <w:spacing w:after="0" w:line="259" w:lineRule="auto"/>
        <w:ind w:left="540" w:right="0" w:firstLine="0"/>
      </w:pPr>
    </w:p>
    <w:p w14:paraId="3345113C" w14:textId="7BB300A9" w:rsidR="001B5850" w:rsidRDefault="001B5850" w:rsidP="00F051F8">
      <w:pPr>
        <w:spacing w:after="0" w:line="259" w:lineRule="auto"/>
        <w:ind w:left="540" w:right="0" w:firstLine="0"/>
      </w:pPr>
    </w:p>
    <w:p w14:paraId="1D2D59BE" w14:textId="6FD89BB9" w:rsidR="001B5850" w:rsidRDefault="001B5850" w:rsidP="00F051F8">
      <w:pPr>
        <w:spacing w:after="0" w:line="259" w:lineRule="auto"/>
        <w:ind w:left="540" w:right="0" w:firstLine="0"/>
      </w:pPr>
    </w:p>
    <w:p w14:paraId="63DAEFE8" w14:textId="6132801B" w:rsidR="001B5850" w:rsidRDefault="001B5850" w:rsidP="00F051F8">
      <w:pPr>
        <w:spacing w:after="0" w:line="259" w:lineRule="auto"/>
        <w:ind w:left="540" w:right="0" w:firstLine="0"/>
      </w:pPr>
    </w:p>
    <w:p w14:paraId="69696A11" w14:textId="0C16FB5A" w:rsidR="001B5850" w:rsidRDefault="001B5850" w:rsidP="00F051F8">
      <w:pPr>
        <w:spacing w:after="0" w:line="259" w:lineRule="auto"/>
        <w:ind w:left="540" w:right="0" w:firstLine="0"/>
      </w:pPr>
    </w:p>
    <w:p w14:paraId="68B551C2" w14:textId="0F0E63CF" w:rsidR="001B5850" w:rsidRDefault="001B5850" w:rsidP="00F051F8">
      <w:pPr>
        <w:spacing w:after="0" w:line="259" w:lineRule="auto"/>
        <w:ind w:left="540" w:right="0" w:firstLine="0"/>
      </w:pPr>
    </w:p>
    <w:p w14:paraId="3617B7FE" w14:textId="46FA632A" w:rsidR="001B5850" w:rsidRDefault="001B5850" w:rsidP="00F051F8">
      <w:pPr>
        <w:spacing w:after="0" w:line="259" w:lineRule="auto"/>
        <w:ind w:left="540" w:right="0" w:firstLine="0"/>
      </w:pPr>
    </w:p>
    <w:p w14:paraId="0EBB1E93" w14:textId="3B90987D" w:rsidR="001B5850" w:rsidRDefault="001B5850" w:rsidP="00F051F8">
      <w:pPr>
        <w:spacing w:after="0" w:line="259" w:lineRule="auto"/>
        <w:ind w:left="540" w:right="0" w:firstLine="0"/>
      </w:pPr>
    </w:p>
    <w:p w14:paraId="3536B7E5" w14:textId="0F39A6C8" w:rsidR="001B5850" w:rsidRDefault="001B5850" w:rsidP="00F051F8">
      <w:pPr>
        <w:spacing w:after="0" w:line="259" w:lineRule="auto"/>
        <w:ind w:left="540" w:right="0" w:firstLine="0"/>
      </w:pPr>
    </w:p>
    <w:p w14:paraId="31C01149" w14:textId="3063F410" w:rsidR="001B5850" w:rsidRDefault="001B5850" w:rsidP="00F051F8">
      <w:pPr>
        <w:spacing w:after="0" w:line="259" w:lineRule="auto"/>
        <w:ind w:left="540" w:right="0" w:firstLine="0"/>
      </w:pPr>
    </w:p>
    <w:p w14:paraId="0596DBCA" w14:textId="077A7CEC" w:rsidR="001B5850" w:rsidRDefault="001B5850" w:rsidP="00F051F8">
      <w:pPr>
        <w:spacing w:after="0" w:line="259" w:lineRule="auto"/>
        <w:ind w:left="540" w:right="0" w:firstLine="0"/>
      </w:pPr>
    </w:p>
    <w:p w14:paraId="0117277B" w14:textId="0F6B02F1" w:rsidR="001B5850" w:rsidRDefault="001B5850" w:rsidP="00F051F8">
      <w:pPr>
        <w:spacing w:after="0" w:line="259" w:lineRule="auto"/>
        <w:ind w:left="540" w:right="0" w:firstLine="0"/>
      </w:pPr>
    </w:p>
    <w:p w14:paraId="175C9AC4" w14:textId="56AA020E" w:rsidR="001B5850" w:rsidRDefault="001B5850" w:rsidP="00F051F8">
      <w:pPr>
        <w:spacing w:after="0" w:line="259" w:lineRule="auto"/>
        <w:ind w:left="540" w:right="0" w:firstLine="0"/>
      </w:pPr>
    </w:p>
    <w:p w14:paraId="531DBD69" w14:textId="36F83552" w:rsidR="001B5850" w:rsidRDefault="001B5850" w:rsidP="00F051F8">
      <w:pPr>
        <w:spacing w:after="0" w:line="259" w:lineRule="auto"/>
        <w:ind w:left="540" w:right="0" w:firstLine="0"/>
      </w:pPr>
    </w:p>
    <w:p w14:paraId="6B224BE6" w14:textId="1DC6B0D7" w:rsidR="001B5850" w:rsidRDefault="001B5850" w:rsidP="00F051F8">
      <w:pPr>
        <w:spacing w:after="0" w:line="259" w:lineRule="auto"/>
        <w:ind w:left="540" w:right="0" w:firstLine="0"/>
      </w:pPr>
    </w:p>
    <w:p w14:paraId="6A7AEC5D" w14:textId="08CA97D6" w:rsidR="001B5850" w:rsidRDefault="001B5850" w:rsidP="00F051F8">
      <w:pPr>
        <w:spacing w:after="0" w:line="259" w:lineRule="auto"/>
        <w:ind w:left="540" w:right="0" w:firstLine="0"/>
      </w:pPr>
    </w:p>
    <w:p w14:paraId="5F2F9D5E" w14:textId="40B51AEE" w:rsidR="001B5850" w:rsidRDefault="001B5850" w:rsidP="00F051F8">
      <w:pPr>
        <w:spacing w:after="0" w:line="259" w:lineRule="auto"/>
        <w:ind w:left="540" w:right="0" w:firstLine="0"/>
      </w:pPr>
    </w:p>
    <w:p w14:paraId="7ED6F8FE" w14:textId="181B34FE" w:rsidR="001B5850" w:rsidRDefault="001B5850" w:rsidP="00F051F8">
      <w:pPr>
        <w:spacing w:after="0" w:line="259" w:lineRule="auto"/>
        <w:ind w:left="540" w:right="0" w:firstLine="0"/>
      </w:pPr>
    </w:p>
    <w:p w14:paraId="66CCAC8B" w14:textId="55043A25" w:rsidR="001B5850" w:rsidRDefault="001B5850" w:rsidP="00F051F8">
      <w:pPr>
        <w:spacing w:after="0" w:line="259" w:lineRule="auto"/>
        <w:ind w:left="540" w:right="0" w:firstLine="0"/>
      </w:pPr>
    </w:p>
    <w:p w14:paraId="1E377BA1" w14:textId="518E8F54" w:rsidR="001B5850" w:rsidRDefault="001B5850" w:rsidP="00F051F8">
      <w:pPr>
        <w:spacing w:after="0" w:line="259" w:lineRule="auto"/>
        <w:ind w:left="540" w:right="0" w:firstLine="0"/>
      </w:pPr>
    </w:p>
    <w:p w14:paraId="4518EB57" w14:textId="77777777" w:rsidR="00B56D50" w:rsidRPr="004458E5" w:rsidRDefault="001C3C42" w:rsidP="00B710FF">
      <w:pPr>
        <w:pStyle w:val="Heading4"/>
        <w:spacing w:after="10" w:line="249" w:lineRule="auto"/>
        <w:ind w:left="730"/>
        <w:rPr>
          <w:sz w:val="24"/>
          <w:szCs w:val="24"/>
        </w:rPr>
      </w:pPr>
      <w:r w:rsidRPr="004458E5">
        <w:rPr>
          <w:sz w:val="24"/>
          <w:szCs w:val="24"/>
        </w:rPr>
        <w:t>C</w:t>
      </w:r>
      <w:r w:rsidRPr="004458E5">
        <w:rPr>
          <w:rFonts w:eastAsia="Cambria"/>
          <w:color w:val="365F91"/>
          <w:sz w:val="24"/>
          <w:szCs w:val="24"/>
        </w:rPr>
        <w:t xml:space="preserve">. </w:t>
      </w:r>
      <w:r w:rsidRPr="004458E5">
        <w:rPr>
          <w:sz w:val="24"/>
          <w:szCs w:val="24"/>
        </w:rPr>
        <w:t>VOLATILE ORGANIC ANALYSIS by Gas Chromatography/Mass Spectrometry</w:t>
      </w:r>
      <w:r w:rsidRPr="004458E5">
        <w:rPr>
          <w:rFonts w:eastAsia="Cambria"/>
          <w:b w:val="0"/>
          <w:color w:val="365F91"/>
          <w:sz w:val="24"/>
          <w:szCs w:val="24"/>
        </w:rPr>
        <w:t xml:space="preserve"> </w:t>
      </w:r>
    </w:p>
    <w:p w14:paraId="1868418E" w14:textId="0CF56C19" w:rsidR="00E0148A" w:rsidRPr="000A1C21" w:rsidRDefault="00E0148A" w:rsidP="00EA4E40">
      <w:pPr>
        <w:spacing w:after="0" w:line="259" w:lineRule="auto"/>
        <w:ind w:left="261" w:right="0" w:firstLine="0"/>
      </w:pPr>
    </w:p>
    <w:p w14:paraId="400F4182" w14:textId="05EFDD30" w:rsidR="00B56D50" w:rsidRDefault="001C3C42" w:rsidP="00F62C66">
      <w:pPr>
        <w:spacing w:after="0" w:line="259" w:lineRule="auto"/>
        <w:ind w:left="720" w:right="0" w:firstLine="0"/>
      </w:pPr>
      <w:r>
        <w:t>The</w:t>
      </w:r>
      <w:r w:rsidR="007E41F2">
        <w:t xml:space="preserve"> </w:t>
      </w:r>
      <w:r>
        <w:t>Contractor shall adhere to the holding times and preservative techniques specified in TABLE 1, Sample Containers, Preservatives, and Holding Time Requirements</w:t>
      </w:r>
      <w:r w:rsidR="009210CC">
        <w:t xml:space="preserve"> in Section </w:t>
      </w:r>
      <w:proofErr w:type="gramStart"/>
      <w:r w:rsidR="009210CC">
        <w:t xml:space="preserve">IV, </w:t>
      </w:r>
      <w:r>
        <w:t xml:space="preserve"> based</w:t>
      </w:r>
      <w:proofErr w:type="gramEnd"/>
      <w:r>
        <w:t xml:space="preserve"> on sample characteristics. </w:t>
      </w:r>
    </w:p>
    <w:p w14:paraId="2450F0CB" w14:textId="77777777" w:rsidR="00B56D50" w:rsidRDefault="001C3C42">
      <w:pPr>
        <w:spacing w:after="0" w:line="259" w:lineRule="auto"/>
        <w:ind w:left="1116" w:right="0" w:firstLine="0"/>
      </w:pPr>
      <w:r>
        <w:t xml:space="preserve"> </w:t>
      </w:r>
    </w:p>
    <w:p w14:paraId="50326A0C" w14:textId="101A04F9" w:rsidR="00B56D50" w:rsidRPr="00713F3F" w:rsidRDefault="001C3C42" w:rsidP="00093377">
      <w:pPr>
        <w:numPr>
          <w:ilvl w:val="0"/>
          <w:numId w:val="77"/>
        </w:numPr>
        <w:spacing w:after="16"/>
        <w:ind w:left="1440" w:right="186" w:hanging="360"/>
        <w:rPr>
          <w:b/>
          <w:bCs/>
        </w:rPr>
      </w:pPr>
      <w:r w:rsidRPr="00713F3F">
        <w:rPr>
          <w:b/>
          <w:bCs/>
        </w:rPr>
        <w:t xml:space="preserve">Instrument Tuning </w:t>
      </w:r>
    </w:p>
    <w:p w14:paraId="391B2115" w14:textId="6C3CB80C" w:rsidR="00B56D50" w:rsidRDefault="001C3C42" w:rsidP="003B6616">
      <w:pPr>
        <w:ind w:left="1450" w:right="255"/>
      </w:pPr>
      <w:r>
        <w:t xml:space="preserve">The Contractor shall hardware-tune each GC/MS system for accurate mass assignment, sensitivity, and resolution using the compound specified in the analytical method.  The tuning criteria specified in the method must be </w:t>
      </w:r>
      <w:r w:rsidR="00DF21F0">
        <w:t>met</w:t>
      </w:r>
      <w:r>
        <w:t xml:space="preserve"> prior to the initial calibration procedure.  Tuning must be repeated every 12 hours while analysis continues. Analyses must not begin until the criteria specified in the method are met.  All subsequent standards, samples, MS/MSDs, LCSs, and blanks associated with a BFB analysis must use identical mass spectrometer instrument conditions. </w:t>
      </w:r>
    </w:p>
    <w:p w14:paraId="1EDCB948" w14:textId="7BE7E526" w:rsidR="00B56D50" w:rsidRDefault="001C3C42">
      <w:pPr>
        <w:spacing w:after="0" w:line="259" w:lineRule="auto"/>
        <w:ind w:left="1116" w:right="0" w:firstLine="0"/>
      </w:pPr>
      <w:r>
        <w:t xml:space="preserve"> </w:t>
      </w:r>
      <w:r>
        <w:rPr>
          <w:rFonts w:ascii="Arial" w:eastAsia="Arial" w:hAnsi="Arial" w:cs="Arial"/>
        </w:rPr>
        <w:t xml:space="preserve"> </w:t>
      </w:r>
    </w:p>
    <w:p w14:paraId="14BCCC1C" w14:textId="51C7820B" w:rsidR="00B56D50" w:rsidRPr="00713F3F" w:rsidRDefault="001C3C42" w:rsidP="00093377">
      <w:pPr>
        <w:numPr>
          <w:ilvl w:val="0"/>
          <w:numId w:val="77"/>
        </w:numPr>
        <w:spacing w:after="16"/>
        <w:ind w:left="1440" w:right="186" w:hanging="360"/>
        <w:rPr>
          <w:b/>
          <w:bCs/>
        </w:rPr>
      </w:pPr>
      <w:r w:rsidRPr="00713F3F">
        <w:rPr>
          <w:b/>
          <w:bCs/>
        </w:rPr>
        <w:t>Initial Calibration</w:t>
      </w:r>
    </w:p>
    <w:p w14:paraId="29EF168E" w14:textId="2F332BE8" w:rsidR="00B56D50" w:rsidRDefault="001C3C42" w:rsidP="003B6616">
      <w:pPr>
        <w:ind w:left="1450" w:right="255"/>
      </w:pPr>
      <w:r>
        <w:t xml:space="preserve">The Contractor shall perform and document initial calibration for each instrument used to analyze samples.  Initial calibration of volatile organic target compounds must be performed using a minimum of 5 concentrations.  The concentration range of the calibration standards must bracket the concentrations of target compounds expected to be seen in the field samples and must be wide enough to meet the project DQOs.  </w:t>
      </w:r>
      <w:r>
        <w:rPr>
          <w:u w:val="single" w:color="000000"/>
        </w:rPr>
        <w:t>At least one standard must be at a concentration as low or lower</w:t>
      </w:r>
      <w:r>
        <w:t xml:space="preserve"> </w:t>
      </w:r>
      <w:r>
        <w:rPr>
          <w:u w:val="single" w:color="000000"/>
        </w:rPr>
        <w:t>than regulatory or</w:t>
      </w:r>
      <w:r>
        <w:t xml:space="preserve"> </w:t>
      </w:r>
      <w:r>
        <w:rPr>
          <w:u w:val="single" w:color="000000"/>
        </w:rPr>
        <w:t>health protective levels to which sample concentrations will be compared</w:t>
      </w:r>
      <w:r>
        <w:t xml:space="preserve">.  The remaining standards must correspond to the range of concentrations found in typical samples but must not exceed the working range of the GC/MS system.  </w:t>
      </w:r>
      <w:r>
        <w:rPr>
          <w:u w:val="single" w:color="000000"/>
        </w:rPr>
        <w:t>Project DQOs requiring very low</w:t>
      </w:r>
      <w:r>
        <w:t xml:space="preserve"> </w:t>
      </w:r>
      <w:r>
        <w:rPr>
          <w:u w:val="single" w:color="000000"/>
        </w:rPr>
        <w:t>detection limits</w:t>
      </w:r>
      <w:r>
        <w:t xml:space="preserve"> (e.g. risk assessment) may require specialized calibration and analytical procedures, such as preparation of lower concentration standards</w:t>
      </w:r>
      <w:r w:rsidR="001B1885">
        <w:t>.</w:t>
      </w:r>
      <w:r w:rsidR="00DF0EFB">
        <w:t xml:space="preserve"> </w:t>
      </w:r>
      <w:r w:rsidR="00545189" w:rsidRPr="00015121">
        <w:rPr>
          <w:b/>
          <w:bCs/>
          <w:vertAlign w:val="superscript"/>
        </w:rPr>
        <w:t>43</w:t>
      </w:r>
      <w:r>
        <w:t xml:space="preserve"> </w:t>
      </w:r>
    </w:p>
    <w:p w14:paraId="447F6985" w14:textId="77777777" w:rsidR="00CA2437" w:rsidRDefault="00CA2437" w:rsidP="003B6616">
      <w:pPr>
        <w:ind w:left="1450"/>
      </w:pPr>
    </w:p>
    <w:p w14:paraId="070E9E2C" w14:textId="19A75BF4" w:rsidR="00B56D50" w:rsidRDefault="001C3C42" w:rsidP="003B6616">
      <w:pPr>
        <w:ind w:left="1450" w:right="255"/>
      </w:pPr>
      <w:r>
        <w:t xml:space="preserve">If an analyte saturates at the highest standard concentration level, and the GC/MS system is calibrated to achieve a detection sensitivity consistent with the project DQOs, the Contractor must document it in the report narrative.  In this instance, the Contractor must calculate the results based on a four-point initial calibration </w:t>
      </w:r>
      <w:r>
        <w:rPr>
          <w:i/>
        </w:rPr>
        <w:t>for the specific analyte</w:t>
      </w:r>
      <w:r>
        <w:t xml:space="preserve"> that saturates.   </w:t>
      </w:r>
    </w:p>
    <w:p w14:paraId="56D6A04D" w14:textId="4421FD50" w:rsidR="00B56D50" w:rsidRDefault="00B56D50" w:rsidP="003B6616">
      <w:pPr>
        <w:spacing w:after="0" w:line="259" w:lineRule="auto"/>
        <w:ind w:left="1450" w:right="0"/>
      </w:pPr>
    </w:p>
    <w:p w14:paraId="2551D00A" w14:textId="77777777" w:rsidR="000E5BEF" w:rsidRDefault="001C3C42" w:rsidP="003B6616">
      <w:pPr>
        <w:ind w:left="1450" w:right="255"/>
      </w:pPr>
      <w:r>
        <w:t>The target analytes are quantitated through the calculation of a response factor (RF).  A RF is a measure of the relative instrument response of a target analyte as compared to the instrument response of its internal standard.  It is calculated as the ratio of the peak area of the target compound in the sample to the peak area of the internal standard in the sampl</w:t>
      </w:r>
      <w:r w:rsidR="00CA2588">
        <w:t>e</w:t>
      </w:r>
      <w:r w:rsidR="000E5BEF">
        <w:t>.</w:t>
      </w:r>
    </w:p>
    <w:p w14:paraId="5E623E7D" w14:textId="77777777" w:rsidR="000E5BEF" w:rsidRDefault="000E5BEF" w:rsidP="003B6616">
      <w:pPr>
        <w:ind w:left="1450" w:right="255"/>
      </w:pPr>
    </w:p>
    <w:p w14:paraId="4AB28E45" w14:textId="2FB3268C" w:rsidR="00B56D50" w:rsidRPr="005F4630" w:rsidRDefault="00C037BA" w:rsidP="003B6616">
      <w:pPr>
        <w:ind w:left="1450" w:right="255"/>
      </w:pPr>
      <w:r w:rsidRPr="005F4630">
        <w:t xml:space="preserve">The internal </w:t>
      </w:r>
      <w:r w:rsidR="001C3C42" w:rsidRPr="005F4630">
        <w:t xml:space="preserve">standard selected for quantitation (i.e., calculation of the response factor) of a particular target analyte must be the internal standard that has a retention time closest to the analyte being measured.  The target analytes must be quantitated using the base peak ion (most intense ion, </w:t>
      </w:r>
      <w:r w:rsidR="00497663" w:rsidRPr="005F4630">
        <w:t>also referred</w:t>
      </w:r>
      <w:r w:rsidR="001C3C42" w:rsidRPr="005F4630">
        <w:t xml:space="preserve"> to as primary ion) from the appropriate internal standard.  If there are sample interferences with the primary ion, the next most intense ion must be used as the quantitation ion.  If this occurs, </w:t>
      </w:r>
      <w:r w:rsidR="001C3C42" w:rsidRPr="00324020">
        <w:t xml:space="preserve">document the reasons in the </w:t>
      </w:r>
      <w:proofErr w:type="gramStart"/>
      <w:r w:rsidR="001C3C42" w:rsidRPr="00324020">
        <w:t>report narrative</w:t>
      </w:r>
      <w:proofErr w:type="gramEnd"/>
      <w:r w:rsidR="001C3C42" w:rsidRPr="005F4630">
        <w:t xml:space="preserve">. </w:t>
      </w:r>
    </w:p>
    <w:p w14:paraId="3F08D092" w14:textId="77777777" w:rsidR="00B56D50" w:rsidRPr="005F4630" w:rsidRDefault="001C3C42" w:rsidP="003B6616">
      <w:pPr>
        <w:ind w:left="1440" w:firstLine="0"/>
      </w:pPr>
      <w:r w:rsidRPr="005F4630">
        <w:t xml:space="preserve"> </w:t>
      </w:r>
    </w:p>
    <w:p w14:paraId="50365345" w14:textId="77777777" w:rsidR="00B56D50" w:rsidRDefault="001C3C42" w:rsidP="003B6616">
      <w:pPr>
        <w:ind w:left="1450" w:right="136"/>
      </w:pPr>
      <w:r>
        <w:t xml:space="preserve">Initial calibration of a GC/MS system is performed upon installation of an instrument, prior to beginning analysis of a sample case for an environmental project, whenever corrective action is taken on the system which may change or affect the initial calibration criteria (ion source cleaning or repair, column replacement, etc.), or if the continuing calibration (calibration verification) acceptance criteria have not been met. </w:t>
      </w:r>
    </w:p>
    <w:p w14:paraId="2DBC5252" w14:textId="77777777" w:rsidR="00573500" w:rsidRDefault="00573500" w:rsidP="00A47F85">
      <w:pPr>
        <w:spacing w:after="0" w:line="259" w:lineRule="auto"/>
        <w:ind w:left="1440" w:right="0" w:firstLine="0"/>
      </w:pPr>
    </w:p>
    <w:p w14:paraId="7E562D92" w14:textId="2A25E2D2" w:rsidR="00870F51" w:rsidRDefault="00870F51" w:rsidP="00A47F85">
      <w:pPr>
        <w:spacing w:after="0" w:line="259" w:lineRule="auto"/>
        <w:ind w:left="1440" w:right="0" w:firstLine="0"/>
      </w:pPr>
    </w:p>
    <w:p w14:paraId="77076376" w14:textId="77777777" w:rsidR="00870F51" w:rsidRDefault="00870F51" w:rsidP="00A47F85">
      <w:pPr>
        <w:spacing w:after="0" w:line="259" w:lineRule="auto"/>
        <w:ind w:left="1440" w:right="0" w:firstLine="0"/>
      </w:pPr>
    </w:p>
    <w:p w14:paraId="676AC849" w14:textId="754E9A16" w:rsidR="00B56D50" w:rsidRPr="000A1C21" w:rsidRDefault="001C3C42" w:rsidP="00093377">
      <w:pPr>
        <w:pStyle w:val="ListParagraph"/>
        <w:numPr>
          <w:ilvl w:val="0"/>
          <w:numId w:val="83"/>
        </w:numPr>
        <w:ind w:left="1800" w:right="255"/>
        <w:rPr>
          <w:b/>
          <w:bCs/>
        </w:rPr>
      </w:pPr>
      <w:r w:rsidRPr="000A1C21">
        <w:rPr>
          <w:b/>
          <w:bCs/>
        </w:rPr>
        <w:lastRenderedPageBreak/>
        <w:t xml:space="preserve">Validation of Initial Calibration </w:t>
      </w:r>
    </w:p>
    <w:p w14:paraId="7A7C12B0" w14:textId="011EFAA2" w:rsidR="007B38B6" w:rsidRDefault="001C3C42">
      <w:pPr>
        <w:ind w:left="1810" w:right="255"/>
      </w:pPr>
      <w:r>
        <w:t>A system performance check must be made and documented for the initial calibration to be considered valid.  The following criteria must be met:</w:t>
      </w:r>
    </w:p>
    <w:p w14:paraId="3913FC54" w14:textId="77777777" w:rsidR="00081D14" w:rsidRPr="00081D14" w:rsidRDefault="00081D14" w:rsidP="00F079BE">
      <w:pPr>
        <w:spacing w:after="0" w:line="259" w:lineRule="auto"/>
        <w:ind w:left="0" w:right="0" w:firstLine="0"/>
        <w:rPr>
          <w:iCs/>
        </w:rPr>
      </w:pPr>
    </w:p>
    <w:p w14:paraId="7606D38B" w14:textId="1825EC32" w:rsidR="002E5DEE" w:rsidRDefault="00716A06" w:rsidP="00093377">
      <w:pPr>
        <w:numPr>
          <w:ilvl w:val="0"/>
          <w:numId w:val="25"/>
        </w:numPr>
        <w:spacing w:after="0" w:line="259" w:lineRule="auto"/>
        <w:ind w:left="2251" w:right="255" w:hanging="451"/>
      </w:pPr>
      <w:r>
        <w:t xml:space="preserve">The mean response factors (RFs) for the volatile System Performance Check Compounds (SPCCs) must be no lower than the minima indicated in TABLE </w:t>
      </w:r>
      <w:r w:rsidR="006977B7">
        <w:t>12</w:t>
      </w:r>
      <w:r>
        <w:t>.  Specific compounds that are especially susceptible to certain analytical problems were selected to be the SPCCs.  They are used to check compound instability and to check for degradation caused by contaminated lines or active sites in the system</w:t>
      </w:r>
      <w:r w:rsidR="0036756C">
        <w:t>.</w:t>
      </w:r>
    </w:p>
    <w:p w14:paraId="11622081" w14:textId="77777777" w:rsidR="0036756C" w:rsidRDefault="0036756C" w:rsidP="00F079BE">
      <w:pPr>
        <w:spacing w:after="0" w:line="259" w:lineRule="auto"/>
        <w:ind w:left="2252" w:right="255" w:firstLine="0"/>
      </w:pPr>
    </w:p>
    <w:p w14:paraId="2996A546" w14:textId="00E9B61D" w:rsidR="00982D17" w:rsidRDefault="00E1374B" w:rsidP="00093377">
      <w:pPr>
        <w:numPr>
          <w:ilvl w:val="0"/>
          <w:numId w:val="25"/>
        </w:numPr>
        <w:spacing w:after="0" w:line="259" w:lineRule="auto"/>
        <w:ind w:left="2251" w:right="255" w:hanging="451"/>
      </w:pPr>
      <w:r>
        <w:t>T</w:t>
      </w:r>
      <w:r w:rsidR="0036756C">
        <w:t xml:space="preserve">he relative standard deviation (RSD) of the response factors for each individual volatile Calibration Check Compound (CCC) must be less than or equal to 30%.  The purpose of the CCCs is to evaluate the calibration from the standpoint of the integrity of the system.  High variability for these compounds may indicate system leaks or reactive sites in the column.  The CCCs are listed in TABLE </w:t>
      </w:r>
      <w:r w:rsidR="006977B7">
        <w:t>12</w:t>
      </w:r>
      <w:r w:rsidR="0036756C">
        <w:t>.</w:t>
      </w:r>
    </w:p>
    <w:p w14:paraId="134F42E0" w14:textId="77777777" w:rsidR="00982D17" w:rsidRDefault="00982D17" w:rsidP="004D7742">
      <w:pPr>
        <w:pStyle w:val="ListParagraph"/>
      </w:pPr>
    </w:p>
    <w:p w14:paraId="49BA10CD" w14:textId="129AE907" w:rsidR="0036756C" w:rsidRPr="004D7742" w:rsidRDefault="0036756C" w:rsidP="00093377">
      <w:pPr>
        <w:numPr>
          <w:ilvl w:val="0"/>
          <w:numId w:val="25"/>
        </w:numPr>
        <w:spacing w:after="0" w:line="259" w:lineRule="auto"/>
        <w:ind w:left="2251" w:right="255" w:hanging="451"/>
      </w:pPr>
      <w:r>
        <w:t>The RSD of the response factors for all other target analytes must be less than or equal to</w:t>
      </w:r>
      <w:r w:rsidR="00982D17">
        <w:t xml:space="preserve"> 15</w:t>
      </w:r>
      <w:r>
        <w:t>%</w:t>
      </w:r>
      <w:r w:rsidR="006801F6">
        <w:t xml:space="preserve"> unless analytical method allows a higher RSD.</w:t>
      </w:r>
      <w:r w:rsidR="00982D17">
        <w:rPr>
          <w:b/>
          <w:bCs/>
        </w:rPr>
        <w:t xml:space="preserve"> </w:t>
      </w:r>
    </w:p>
    <w:p w14:paraId="3F876091" w14:textId="77777777" w:rsidR="00F81D60" w:rsidRPr="004D7742" w:rsidRDefault="00F81D60" w:rsidP="004D7742">
      <w:pPr>
        <w:spacing w:after="0" w:line="259" w:lineRule="auto"/>
        <w:ind w:left="716" w:right="255"/>
      </w:pPr>
    </w:p>
    <w:p w14:paraId="41E0DB18" w14:textId="3C0FFB6E" w:rsidR="00F81D60" w:rsidRDefault="00F81D60" w:rsidP="00093377">
      <w:pPr>
        <w:numPr>
          <w:ilvl w:val="0"/>
          <w:numId w:val="25"/>
        </w:numPr>
        <w:spacing w:after="0" w:line="259" w:lineRule="auto"/>
        <w:ind w:left="2251" w:right="255" w:hanging="451"/>
      </w:pPr>
      <w:r>
        <w:t>Retention times must be evaluated for all target analytes.  The relative retention times of each target analyte in each calibration standard must agree within 0.06 relative retention time units</w:t>
      </w:r>
      <w:r w:rsidR="00036523">
        <w:t>.</w:t>
      </w:r>
    </w:p>
    <w:p w14:paraId="08E222EF" w14:textId="77777777" w:rsidR="00036523" w:rsidRDefault="00036523" w:rsidP="004D7742">
      <w:pPr>
        <w:pStyle w:val="ListParagraph"/>
      </w:pPr>
    </w:p>
    <w:p w14:paraId="4C2D8207" w14:textId="6B6F9D1E" w:rsidR="00036523" w:rsidRDefault="002C70F3" w:rsidP="00093377">
      <w:pPr>
        <w:numPr>
          <w:ilvl w:val="0"/>
          <w:numId w:val="25"/>
        </w:numPr>
        <w:spacing w:after="0" w:line="259" w:lineRule="auto"/>
        <w:ind w:left="2251" w:right="255" w:hanging="451"/>
      </w:pPr>
      <w:r>
        <w:t>GC performance must be indicated on the total ion chromatogram.  Good column performance will produce symmetrical peaks with minimum tailing for most compounds.  If peaks are unusually broad, or if there is poor resolution between peaks, corrective action is required before analysis can begin.</w:t>
      </w:r>
    </w:p>
    <w:p w14:paraId="6B55DBD9" w14:textId="77777777" w:rsidR="002C70F3" w:rsidRDefault="002C70F3" w:rsidP="004D7742">
      <w:pPr>
        <w:pStyle w:val="ListParagraph"/>
      </w:pPr>
    </w:p>
    <w:p w14:paraId="33EB778B" w14:textId="24FC8C5C" w:rsidR="002C70F3" w:rsidRPr="004D7742" w:rsidRDefault="002C70F3" w:rsidP="00093377">
      <w:pPr>
        <w:numPr>
          <w:ilvl w:val="0"/>
          <w:numId w:val="25"/>
        </w:numPr>
        <w:spacing w:after="0" w:line="259" w:lineRule="auto"/>
        <w:ind w:left="2251" w:right="255" w:hanging="451"/>
      </w:pPr>
      <w:r>
        <w:t>Adequate MS sensitivity must be demonstrated by the calibration data generated.  The GC/MS identification software must be able to recognize a GC peak in the appropriate retention time window for each of the compounds in the calibration solution and make good tentative identifications.  If fewer than 99% of the compounds are recognized, system maintenance is required.</w:t>
      </w:r>
    </w:p>
    <w:p w14:paraId="601303FD" w14:textId="77777777" w:rsidR="00982D17" w:rsidRDefault="00982D17" w:rsidP="004D7742">
      <w:pPr>
        <w:spacing w:after="0" w:line="259" w:lineRule="auto"/>
        <w:ind w:right="255"/>
      </w:pPr>
    </w:p>
    <w:p w14:paraId="0B6EC2EB" w14:textId="7FAACBB9" w:rsidR="00B56D50" w:rsidRDefault="002C70F3" w:rsidP="00093377">
      <w:pPr>
        <w:pStyle w:val="ListParagraph"/>
        <w:numPr>
          <w:ilvl w:val="0"/>
          <w:numId w:val="83"/>
        </w:numPr>
        <w:ind w:left="1800" w:right="255"/>
      </w:pPr>
      <w:r>
        <w:t xml:space="preserve">The </w:t>
      </w:r>
      <w:r w:rsidR="00577CFF">
        <w:t>c</w:t>
      </w:r>
      <w:r w:rsidR="001C3C42">
        <w:t xml:space="preserve">riteria listed in TABLE </w:t>
      </w:r>
      <w:r w:rsidR="00B06A9B">
        <w:t>12</w:t>
      </w:r>
      <w:r w:rsidR="001C3C42">
        <w:t xml:space="preserve"> must be met for the initial calibration to be valid.  </w:t>
      </w:r>
      <w:r w:rsidR="001C3C42">
        <w:rPr>
          <w:u w:val="single" w:color="000000"/>
        </w:rPr>
        <w:t>Only after</w:t>
      </w:r>
      <w:r w:rsidR="005E079A">
        <w:rPr>
          <w:u w:val="single" w:color="000000"/>
        </w:rPr>
        <w:t xml:space="preserve"> </w:t>
      </w:r>
      <w:r w:rsidR="001C3C42">
        <w:rPr>
          <w:u w:val="single" w:color="000000"/>
        </w:rPr>
        <w:t>these criteria</w:t>
      </w:r>
      <w:r w:rsidR="001C3C42">
        <w:rPr>
          <w:b/>
          <w:u w:val="single" w:color="000000"/>
        </w:rPr>
        <w:t xml:space="preserve"> </w:t>
      </w:r>
      <w:r w:rsidR="001C3C42">
        <w:rPr>
          <w:u w:val="single" w:color="000000"/>
        </w:rPr>
        <w:t>are met can sample analysis begin</w:t>
      </w:r>
      <w:r w:rsidR="001C3C42">
        <w:t xml:space="preserve">: </w:t>
      </w:r>
    </w:p>
    <w:p w14:paraId="33385E2E" w14:textId="77777777" w:rsidR="00B56D50" w:rsidRDefault="001C3C42" w:rsidP="004D7742">
      <w:pPr>
        <w:spacing w:after="0" w:line="259" w:lineRule="auto"/>
        <w:ind w:left="2250" w:right="0" w:firstLine="0"/>
      </w:pPr>
      <w:r>
        <w:t xml:space="preserve"> </w:t>
      </w:r>
    </w:p>
    <w:p w14:paraId="1481D604" w14:textId="721B6F08" w:rsidR="00B56D50" w:rsidRDefault="001C3C42" w:rsidP="00093377">
      <w:pPr>
        <w:numPr>
          <w:ilvl w:val="0"/>
          <w:numId w:val="116"/>
        </w:numPr>
        <w:spacing w:after="0" w:line="259" w:lineRule="auto"/>
        <w:ind w:right="255" w:hanging="451"/>
      </w:pPr>
      <w:r>
        <w:t xml:space="preserve">If the minimum mean response factor criterion for any SPCC is not met, the system must be </w:t>
      </w:r>
      <w:r w:rsidR="00497663">
        <w:t>evaluated,</w:t>
      </w:r>
      <w:r>
        <w:t xml:space="preserve"> and corrective action must be taken before beginning or continuing sample analysis.</w:t>
      </w:r>
    </w:p>
    <w:p w14:paraId="0E4BF2F2" w14:textId="77777777" w:rsidR="00057DB8" w:rsidRDefault="00057DB8" w:rsidP="004D7742">
      <w:pPr>
        <w:spacing w:after="0" w:line="259" w:lineRule="auto"/>
        <w:ind w:right="0"/>
      </w:pPr>
    </w:p>
    <w:p w14:paraId="0A63D9CC" w14:textId="664BA1DC" w:rsidR="00B56D50" w:rsidRDefault="001C3C42" w:rsidP="00093377">
      <w:pPr>
        <w:numPr>
          <w:ilvl w:val="0"/>
          <w:numId w:val="116"/>
        </w:numPr>
        <w:spacing w:after="0" w:line="259" w:lineRule="auto"/>
        <w:ind w:right="255" w:hanging="451"/>
      </w:pPr>
      <w:r>
        <w:t xml:space="preserve">If an RSD of greater than 30% is measured for any CCC, then corrective action to eliminate a system leak and/or column reactive sites is necessary before reattempting calibration. </w:t>
      </w:r>
    </w:p>
    <w:p w14:paraId="33A71305" w14:textId="7D39C314" w:rsidR="00B56D50" w:rsidRDefault="00B56D50" w:rsidP="004D7742">
      <w:pPr>
        <w:spacing w:after="0" w:line="259" w:lineRule="auto"/>
        <w:ind w:left="2250" w:right="0" w:firstLine="0"/>
      </w:pPr>
    </w:p>
    <w:p w14:paraId="17BE64E5" w14:textId="644D022B" w:rsidR="00B56D50" w:rsidRPr="0025329B" w:rsidRDefault="001C3C42" w:rsidP="00093377">
      <w:pPr>
        <w:numPr>
          <w:ilvl w:val="0"/>
          <w:numId w:val="116"/>
        </w:numPr>
        <w:spacing w:after="0" w:line="259" w:lineRule="auto"/>
        <w:ind w:right="255" w:hanging="451"/>
      </w:pPr>
      <w:r>
        <w:t>If the RSD of any non-CCC analyte is greater than 15%, or the average is greater than 15%</w:t>
      </w:r>
      <w:r w:rsidR="00B56F58">
        <w:t>, a new</w:t>
      </w:r>
      <w:r>
        <w:t xml:space="preserve"> initial calibration must be performed.</w:t>
      </w:r>
      <w:r w:rsidR="00BE64D6">
        <w:t xml:space="preserve"> </w:t>
      </w:r>
      <w:r w:rsidR="00B062E0" w:rsidRPr="00B062E0">
        <w:rPr>
          <w:b/>
          <w:bCs/>
          <w:vertAlign w:val="superscript"/>
        </w:rPr>
        <w:t>44</w:t>
      </w:r>
      <w:r>
        <w:t xml:space="preserve"> </w:t>
      </w:r>
    </w:p>
    <w:p w14:paraId="31F6F495" w14:textId="32D3B33E" w:rsidR="000A5C90" w:rsidRDefault="000A5C90" w:rsidP="004D7742">
      <w:pPr>
        <w:rPr>
          <w:rFonts w:eastAsia="Arial"/>
        </w:rPr>
      </w:pPr>
    </w:p>
    <w:p w14:paraId="39145422" w14:textId="21A209D5" w:rsidR="009F406F" w:rsidRDefault="009F406F" w:rsidP="009F406F">
      <w:pPr>
        <w:spacing w:after="0" w:line="259" w:lineRule="auto"/>
        <w:ind w:left="1440" w:right="0" w:firstLine="0"/>
      </w:pPr>
    </w:p>
    <w:p w14:paraId="60600738" w14:textId="5F01DD30" w:rsidR="009F406F" w:rsidRDefault="009F406F" w:rsidP="009F406F">
      <w:pPr>
        <w:spacing w:after="0" w:line="259" w:lineRule="auto"/>
        <w:ind w:left="1440" w:right="0" w:firstLine="0"/>
      </w:pPr>
    </w:p>
    <w:p w14:paraId="515B8189" w14:textId="77777777" w:rsidR="009F406F" w:rsidRDefault="009F406F" w:rsidP="009F406F">
      <w:pPr>
        <w:spacing w:after="0" w:line="259" w:lineRule="auto"/>
        <w:ind w:left="1440" w:right="0" w:firstLine="0"/>
      </w:pPr>
    </w:p>
    <w:p w14:paraId="5BEC77EA" w14:textId="77777777" w:rsidR="009F406F" w:rsidRDefault="009F406F" w:rsidP="009F406F">
      <w:pPr>
        <w:pStyle w:val="Heading5"/>
        <w:ind w:right="722"/>
      </w:pPr>
      <w:r>
        <w:t>TABLE 12</w:t>
      </w:r>
    </w:p>
    <w:p w14:paraId="19C12480" w14:textId="77777777" w:rsidR="009F406F" w:rsidRDefault="009F406F" w:rsidP="009F406F">
      <w:pPr>
        <w:pStyle w:val="Heading6"/>
        <w:spacing w:after="14" w:line="248" w:lineRule="auto"/>
        <w:ind w:right="182"/>
        <w:jc w:val="center"/>
      </w:pPr>
      <w:r>
        <w:t>Initial Calibration Criteria for VOC Analysis</w:t>
      </w:r>
    </w:p>
    <w:p w14:paraId="7E901C4C" w14:textId="799A9A73" w:rsidR="009F406F" w:rsidRDefault="009F406F" w:rsidP="004D7742">
      <w:pPr>
        <w:rPr>
          <w:rFonts w:eastAsia="Arial"/>
        </w:rPr>
      </w:pPr>
    </w:p>
    <w:tbl>
      <w:tblPr>
        <w:tblStyle w:val="TableGrid1"/>
        <w:tblW w:w="8697" w:type="dxa"/>
        <w:tblInd w:w="1138" w:type="dxa"/>
        <w:tblCellMar>
          <w:top w:w="43" w:type="dxa"/>
          <w:left w:w="132" w:type="dxa"/>
          <w:right w:w="112" w:type="dxa"/>
        </w:tblCellMar>
        <w:tblLook w:val="04A0" w:firstRow="1" w:lastRow="0" w:firstColumn="1" w:lastColumn="0" w:noHBand="0" w:noVBand="1"/>
      </w:tblPr>
      <w:tblGrid>
        <w:gridCol w:w="1317"/>
        <w:gridCol w:w="3096"/>
        <w:gridCol w:w="2033"/>
        <w:gridCol w:w="2251"/>
      </w:tblGrid>
      <w:tr w:rsidR="009F406F" w14:paraId="64189141" w14:textId="77777777" w:rsidTr="0074130F">
        <w:trPr>
          <w:trHeight w:val="432"/>
        </w:trPr>
        <w:tc>
          <w:tcPr>
            <w:tcW w:w="1317" w:type="dxa"/>
            <w:tcBorders>
              <w:top w:val="single" w:sz="12" w:space="0" w:color="000000"/>
              <w:left w:val="single" w:sz="12" w:space="0" w:color="000000"/>
              <w:bottom w:val="single" w:sz="12" w:space="0" w:color="000000"/>
              <w:right w:val="single" w:sz="12" w:space="0" w:color="000000"/>
            </w:tcBorders>
          </w:tcPr>
          <w:p w14:paraId="77B5392E" w14:textId="77777777" w:rsidR="009F406F" w:rsidRDefault="009F406F" w:rsidP="0074130F">
            <w:pPr>
              <w:spacing w:after="0" w:line="259" w:lineRule="auto"/>
              <w:ind w:left="0" w:right="0" w:firstLine="0"/>
              <w:jc w:val="center"/>
            </w:pPr>
            <w:r>
              <w:rPr>
                <w:b/>
                <w:sz w:val="20"/>
              </w:rPr>
              <w:t xml:space="preserve">Analyte Type </w:t>
            </w:r>
          </w:p>
        </w:tc>
        <w:tc>
          <w:tcPr>
            <w:tcW w:w="3096" w:type="dxa"/>
            <w:tcBorders>
              <w:top w:val="single" w:sz="12" w:space="0" w:color="000000"/>
              <w:left w:val="single" w:sz="12" w:space="0" w:color="000000"/>
              <w:bottom w:val="single" w:sz="12" w:space="0" w:color="000000"/>
              <w:right w:val="single" w:sz="12" w:space="0" w:color="000000"/>
            </w:tcBorders>
            <w:vAlign w:val="center"/>
          </w:tcPr>
          <w:p w14:paraId="7E5F97D0" w14:textId="77777777" w:rsidR="009F406F" w:rsidRDefault="009F406F" w:rsidP="0074130F">
            <w:pPr>
              <w:spacing w:after="0" w:line="259" w:lineRule="auto"/>
              <w:ind w:left="0" w:right="28" w:firstLine="0"/>
              <w:jc w:val="center"/>
            </w:pPr>
            <w:r>
              <w:rPr>
                <w:b/>
                <w:sz w:val="20"/>
              </w:rPr>
              <w:t xml:space="preserve">Compound </w:t>
            </w:r>
          </w:p>
        </w:tc>
        <w:tc>
          <w:tcPr>
            <w:tcW w:w="2033" w:type="dxa"/>
            <w:tcBorders>
              <w:top w:val="single" w:sz="12" w:space="0" w:color="000000"/>
              <w:left w:val="single" w:sz="12" w:space="0" w:color="000000"/>
              <w:bottom w:val="single" w:sz="12" w:space="0" w:color="000000"/>
              <w:right w:val="single" w:sz="12" w:space="0" w:color="000000"/>
            </w:tcBorders>
            <w:vAlign w:val="center"/>
          </w:tcPr>
          <w:p w14:paraId="344FFB60" w14:textId="77777777" w:rsidR="009F406F" w:rsidRDefault="009F406F" w:rsidP="0074130F">
            <w:pPr>
              <w:spacing w:after="0" w:line="259" w:lineRule="auto"/>
              <w:ind w:left="29" w:right="0" w:firstLine="0"/>
            </w:pPr>
            <w:r>
              <w:rPr>
                <w:b/>
                <w:sz w:val="20"/>
              </w:rPr>
              <w:t>Minimum Mean RF</w:t>
            </w:r>
            <w:r>
              <w:rPr>
                <w:sz w:val="20"/>
              </w:rPr>
              <w:t xml:space="preserve"> </w:t>
            </w:r>
          </w:p>
        </w:tc>
        <w:tc>
          <w:tcPr>
            <w:tcW w:w="2251" w:type="dxa"/>
            <w:tcBorders>
              <w:top w:val="single" w:sz="12" w:space="0" w:color="000000"/>
              <w:left w:val="single" w:sz="12" w:space="0" w:color="000000"/>
              <w:bottom w:val="single" w:sz="12" w:space="0" w:color="000000"/>
              <w:right w:val="single" w:sz="12" w:space="0" w:color="000000"/>
            </w:tcBorders>
            <w:vAlign w:val="center"/>
          </w:tcPr>
          <w:p w14:paraId="7B6B729B" w14:textId="77777777" w:rsidR="009F406F" w:rsidRDefault="009F406F" w:rsidP="0074130F">
            <w:pPr>
              <w:spacing w:after="0" w:line="259" w:lineRule="auto"/>
              <w:ind w:left="0" w:right="29" w:firstLine="0"/>
              <w:jc w:val="center"/>
            </w:pPr>
            <w:r>
              <w:rPr>
                <w:b/>
                <w:sz w:val="20"/>
              </w:rPr>
              <w:t>Maximum RSD</w:t>
            </w:r>
            <w:r>
              <w:rPr>
                <w:sz w:val="20"/>
              </w:rPr>
              <w:t xml:space="preserve"> </w:t>
            </w:r>
          </w:p>
        </w:tc>
      </w:tr>
      <w:tr w:rsidR="009F406F" w14:paraId="139EFA11" w14:textId="77777777" w:rsidTr="0074130F">
        <w:trPr>
          <w:trHeight w:val="360"/>
        </w:trPr>
        <w:tc>
          <w:tcPr>
            <w:tcW w:w="1317" w:type="dxa"/>
            <w:tcBorders>
              <w:top w:val="single" w:sz="12" w:space="0" w:color="000000"/>
              <w:left w:val="single" w:sz="12" w:space="0" w:color="000000"/>
              <w:bottom w:val="single" w:sz="4" w:space="0" w:color="000000"/>
              <w:right w:val="single" w:sz="12" w:space="0" w:color="000000"/>
            </w:tcBorders>
          </w:tcPr>
          <w:p w14:paraId="1D8948A7" w14:textId="77777777" w:rsidR="009F406F" w:rsidRDefault="009F406F" w:rsidP="0074130F">
            <w:pPr>
              <w:spacing w:after="0" w:line="259" w:lineRule="auto"/>
              <w:ind w:left="0" w:right="29" w:firstLine="0"/>
              <w:jc w:val="center"/>
            </w:pPr>
            <w:r>
              <w:rPr>
                <w:b/>
                <w:sz w:val="20"/>
              </w:rPr>
              <w:t xml:space="preserve">SPCC </w:t>
            </w:r>
          </w:p>
        </w:tc>
        <w:tc>
          <w:tcPr>
            <w:tcW w:w="3096" w:type="dxa"/>
            <w:tcBorders>
              <w:top w:val="single" w:sz="12" w:space="0" w:color="000000"/>
              <w:left w:val="single" w:sz="12" w:space="0" w:color="000000"/>
              <w:bottom w:val="single" w:sz="4" w:space="0" w:color="000000"/>
              <w:right w:val="single" w:sz="12" w:space="0" w:color="000000"/>
            </w:tcBorders>
          </w:tcPr>
          <w:p w14:paraId="36B4E092" w14:textId="77777777" w:rsidR="009F406F" w:rsidRDefault="009F406F" w:rsidP="0074130F">
            <w:pPr>
              <w:spacing w:after="0" w:line="259" w:lineRule="auto"/>
              <w:ind w:left="0" w:right="0" w:firstLine="0"/>
            </w:pPr>
            <w:r>
              <w:rPr>
                <w:sz w:val="20"/>
              </w:rPr>
              <w:t xml:space="preserve">Chloromethane </w:t>
            </w:r>
          </w:p>
        </w:tc>
        <w:tc>
          <w:tcPr>
            <w:tcW w:w="2033" w:type="dxa"/>
            <w:tcBorders>
              <w:top w:val="single" w:sz="12" w:space="0" w:color="000000"/>
              <w:left w:val="single" w:sz="12" w:space="0" w:color="000000"/>
              <w:bottom w:val="single" w:sz="4" w:space="0" w:color="000000"/>
              <w:right w:val="single" w:sz="12" w:space="0" w:color="000000"/>
            </w:tcBorders>
          </w:tcPr>
          <w:p w14:paraId="541819D4" w14:textId="77777777" w:rsidR="009F406F" w:rsidRDefault="009F406F" w:rsidP="0074130F">
            <w:pPr>
              <w:spacing w:after="0" w:line="259" w:lineRule="auto"/>
              <w:ind w:left="0" w:right="23" w:firstLine="0"/>
              <w:jc w:val="center"/>
            </w:pPr>
            <w:r>
              <w:rPr>
                <w:sz w:val="20"/>
              </w:rPr>
              <w:t xml:space="preserve">0.10 </w:t>
            </w:r>
          </w:p>
        </w:tc>
        <w:tc>
          <w:tcPr>
            <w:tcW w:w="2251" w:type="dxa"/>
            <w:tcBorders>
              <w:top w:val="single" w:sz="12" w:space="0" w:color="000000"/>
              <w:left w:val="single" w:sz="12" w:space="0" w:color="000000"/>
              <w:bottom w:val="single" w:sz="4" w:space="0" w:color="000000"/>
              <w:right w:val="single" w:sz="12" w:space="0" w:color="000000"/>
            </w:tcBorders>
          </w:tcPr>
          <w:p w14:paraId="3BA3BD39" w14:textId="77777777" w:rsidR="009F406F" w:rsidRDefault="009F406F" w:rsidP="0074130F">
            <w:pPr>
              <w:spacing w:after="0" w:line="259" w:lineRule="auto"/>
              <w:ind w:left="0" w:right="22" w:firstLine="0"/>
              <w:jc w:val="center"/>
            </w:pPr>
            <w:r>
              <w:rPr>
                <w:sz w:val="20"/>
              </w:rPr>
              <w:t xml:space="preserve">15% </w:t>
            </w:r>
          </w:p>
        </w:tc>
      </w:tr>
      <w:tr w:rsidR="009F406F" w14:paraId="0EDA72F2" w14:textId="77777777" w:rsidTr="0074130F">
        <w:trPr>
          <w:trHeight w:val="360"/>
        </w:trPr>
        <w:tc>
          <w:tcPr>
            <w:tcW w:w="1317" w:type="dxa"/>
            <w:tcBorders>
              <w:top w:val="single" w:sz="4" w:space="0" w:color="000000"/>
              <w:left w:val="single" w:sz="12" w:space="0" w:color="000000"/>
              <w:bottom w:val="single" w:sz="4" w:space="0" w:color="000000"/>
              <w:right w:val="single" w:sz="12" w:space="0" w:color="000000"/>
            </w:tcBorders>
          </w:tcPr>
          <w:p w14:paraId="54EC2728" w14:textId="77777777" w:rsidR="009F406F" w:rsidRDefault="009F406F" w:rsidP="0074130F">
            <w:pPr>
              <w:spacing w:after="0" w:line="259" w:lineRule="auto"/>
              <w:ind w:left="0" w:right="29" w:firstLine="0"/>
              <w:jc w:val="center"/>
            </w:pPr>
            <w:r>
              <w:rPr>
                <w:b/>
                <w:sz w:val="20"/>
              </w:rPr>
              <w:t xml:space="preserve">SPCC </w:t>
            </w:r>
          </w:p>
        </w:tc>
        <w:tc>
          <w:tcPr>
            <w:tcW w:w="3096" w:type="dxa"/>
            <w:tcBorders>
              <w:top w:val="single" w:sz="4" w:space="0" w:color="000000"/>
              <w:left w:val="single" w:sz="12" w:space="0" w:color="000000"/>
              <w:bottom w:val="single" w:sz="4" w:space="0" w:color="000000"/>
              <w:right w:val="single" w:sz="12" w:space="0" w:color="000000"/>
            </w:tcBorders>
          </w:tcPr>
          <w:p w14:paraId="02A7003A" w14:textId="77777777" w:rsidR="009F406F" w:rsidRDefault="009F406F" w:rsidP="0074130F">
            <w:pPr>
              <w:spacing w:after="0" w:line="259" w:lineRule="auto"/>
              <w:ind w:left="0" w:right="0" w:firstLine="0"/>
            </w:pPr>
            <w:r>
              <w:rPr>
                <w:sz w:val="20"/>
              </w:rPr>
              <w:t xml:space="preserve">1,1-Dichloroethane </w:t>
            </w:r>
          </w:p>
        </w:tc>
        <w:tc>
          <w:tcPr>
            <w:tcW w:w="2033" w:type="dxa"/>
            <w:tcBorders>
              <w:top w:val="single" w:sz="4" w:space="0" w:color="000000"/>
              <w:left w:val="single" w:sz="12" w:space="0" w:color="000000"/>
              <w:bottom w:val="single" w:sz="4" w:space="0" w:color="000000"/>
              <w:right w:val="single" w:sz="12" w:space="0" w:color="000000"/>
            </w:tcBorders>
          </w:tcPr>
          <w:p w14:paraId="5BC06A9D" w14:textId="77777777" w:rsidR="009F406F" w:rsidRDefault="009F406F" w:rsidP="0074130F">
            <w:pPr>
              <w:spacing w:after="0" w:line="259" w:lineRule="auto"/>
              <w:ind w:left="0" w:right="23" w:firstLine="0"/>
              <w:jc w:val="center"/>
            </w:pPr>
            <w:r>
              <w:rPr>
                <w:sz w:val="20"/>
              </w:rPr>
              <w:t xml:space="preserve">0.10 </w:t>
            </w:r>
          </w:p>
        </w:tc>
        <w:tc>
          <w:tcPr>
            <w:tcW w:w="2251" w:type="dxa"/>
            <w:tcBorders>
              <w:top w:val="single" w:sz="4" w:space="0" w:color="000000"/>
              <w:left w:val="single" w:sz="12" w:space="0" w:color="000000"/>
              <w:bottom w:val="single" w:sz="4" w:space="0" w:color="000000"/>
              <w:right w:val="single" w:sz="12" w:space="0" w:color="000000"/>
            </w:tcBorders>
          </w:tcPr>
          <w:p w14:paraId="7FC6F60E" w14:textId="77777777" w:rsidR="009F406F" w:rsidRDefault="009F406F" w:rsidP="0074130F">
            <w:pPr>
              <w:spacing w:after="0" w:line="259" w:lineRule="auto"/>
              <w:ind w:left="0" w:right="22" w:firstLine="0"/>
              <w:jc w:val="center"/>
            </w:pPr>
            <w:r>
              <w:rPr>
                <w:sz w:val="20"/>
              </w:rPr>
              <w:t xml:space="preserve">15% </w:t>
            </w:r>
          </w:p>
        </w:tc>
      </w:tr>
      <w:tr w:rsidR="009F406F" w14:paraId="0AF86B50" w14:textId="77777777" w:rsidTr="0074130F">
        <w:trPr>
          <w:trHeight w:val="360"/>
        </w:trPr>
        <w:tc>
          <w:tcPr>
            <w:tcW w:w="1317" w:type="dxa"/>
            <w:tcBorders>
              <w:top w:val="single" w:sz="4" w:space="0" w:color="000000"/>
              <w:left w:val="single" w:sz="12" w:space="0" w:color="000000"/>
              <w:bottom w:val="single" w:sz="4" w:space="0" w:color="000000"/>
              <w:right w:val="single" w:sz="12" w:space="0" w:color="000000"/>
            </w:tcBorders>
          </w:tcPr>
          <w:p w14:paraId="6D786B21" w14:textId="77777777" w:rsidR="009F406F" w:rsidRDefault="009F406F" w:rsidP="0074130F">
            <w:pPr>
              <w:spacing w:after="0" w:line="259" w:lineRule="auto"/>
              <w:ind w:left="0" w:right="29" w:firstLine="0"/>
              <w:jc w:val="center"/>
            </w:pPr>
            <w:r>
              <w:rPr>
                <w:b/>
                <w:sz w:val="20"/>
              </w:rPr>
              <w:t xml:space="preserve">SPCC </w:t>
            </w:r>
          </w:p>
        </w:tc>
        <w:tc>
          <w:tcPr>
            <w:tcW w:w="3096" w:type="dxa"/>
            <w:tcBorders>
              <w:top w:val="single" w:sz="4" w:space="0" w:color="000000"/>
              <w:left w:val="single" w:sz="12" w:space="0" w:color="000000"/>
              <w:bottom w:val="single" w:sz="4" w:space="0" w:color="000000"/>
              <w:right w:val="single" w:sz="12" w:space="0" w:color="000000"/>
            </w:tcBorders>
          </w:tcPr>
          <w:p w14:paraId="3FB2BA30" w14:textId="77777777" w:rsidR="009F406F" w:rsidRDefault="009F406F" w:rsidP="0074130F">
            <w:pPr>
              <w:spacing w:after="0" w:line="259" w:lineRule="auto"/>
              <w:ind w:left="0" w:right="0" w:firstLine="0"/>
            </w:pPr>
            <w:r>
              <w:rPr>
                <w:sz w:val="20"/>
              </w:rPr>
              <w:t xml:space="preserve">Bromoform </w:t>
            </w:r>
          </w:p>
        </w:tc>
        <w:tc>
          <w:tcPr>
            <w:tcW w:w="2033" w:type="dxa"/>
            <w:tcBorders>
              <w:top w:val="single" w:sz="4" w:space="0" w:color="000000"/>
              <w:left w:val="single" w:sz="12" w:space="0" w:color="000000"/>
              <w:bottom w:val="single" w:sz="4" w:space="0" w:color="000000"/>
              <w:right w:val="single" w:sz="12" w:space="0" w:color="000000"/>
            </w:tcBorders>
          </w:tcPr>
          <w:p w14:paraId="469D9E2D" w14:textId="77777777" w:rsidR="009F406F" w:rsidRDefault="009F406F" w:rsidP="0074130F">
            <w:pPr>
              <w:spacing w:after="0" w:line="259" w:lineRule="auto"/>
              <w:ind w:left="0" w:right="23" w:firstLine="0"/>
              <w:jc w:val="center"/>
            </w:pPr>
            <w:r>
              <w:rPr>
                <w:sz w:val="20"/>
              </w:rPr>
              <w:t xml:space="preserve">0.10 </w:t>
            </w:r>
          </w:p>
        </w:tc>
        <w:tc>
          <w:tcPr>
            <w:tcW w:w="2251" w:type="dxa"/>
            <w:tcBorders>
              <w:top w:val="single" w:sz="4" w:space="0" w:color="000000"/>
              <w:left w:val="single" w:sz="12" w:space="0" w:color="000000"/>
              <w:bottom w:val="single" w:sz="4" w:space="0" w:color="000000"/>
              <w:right w:val="single" w:sz="12" w:space="0" w:color="000000"/>
            </w:tcBorders>
          </w:tcPr>
          <w:p w14:paraId="27C9FCEA" w14:textId="77777777" w:rsidR="009F406F" w:rsidRDefault="009F406F" w:rsidP="0074130F">
            <w:pPr>
              <w:spacing w:after="0" w:line="259" w:lineRule="auto"/>
              <w:ind w:left="0" w:right="22" w:firstLine="0"/>
              <w:jc w:val="center"/>
            </w:pPr>
            <w:r>
              <w:rPr>
                <w:sz w:val="20"/>
              </w:rPr>
              <w:t xml:space="preserve">15% </w:t>
            </w:r>
          </w:p>
        </w:tc>
      </w:tr>
      <w:tr w:rsidR="009F406F" w14:paraId="3DEC6212" w14:textId="77777777" w:rsidTr="0074130F">
        <w:trPr>
          <w:trHeight w:val="360"/>
        </w:trPr>
        <w:tc>
          <w:tcPr>
            <w:tcW w:w="1317" w:type="dxa"/>
            <w:tcBorders>
              <w:top w:val="single" w:sz="4" w:space="0" w:color="000000"/>
              <w:left w:val="single" w:sz="12" w:space="0" w:color="000000"/>
              <w:bottom w:val="single" w:sz="4" w:space="0" w:color="000000"/>
              <w:right w:val="single" w:sz="12" w:space="0" w:color="000000"/>
            </w:tcBorders>
          </w:tcPr>
          <w:p w14:paraId="7739886B" w14:textId="77777777" w:rsidR="009F406F" w:rsidRDefault="009F406F" w:rsidP="0074130F">
            <w:pPr>
              <w:spacing w:after="0" w:line="259" w:lineRule="auto"/>
              <w:ind w:left="0" w:right="29" w:firstLine="0"/>
              <w:jc w:val="center"/>
            </w:pPr>
            <w:r>
              <w:rPr>
                <w:b/>
                <w:sz w:val="20"/>
              </w:rPr>
              <w:t xml:space="preserve">SPCC </w:t>
            </w:r>
          </w:p>
        </w:tc>
        <w:tc>
          <w:tcPr>
            <w:tcW w:w="3096" w:type="dxa"/>
            <w:tcBorders>
              <w:top w:val="single" w:sz="4" w:space="0" w:color="000000"/>
              <w:left w:val="single" w:sz="12" w:space="0" w:color="000000"/>
              <w:bottom w:val="single" w:sz="4" w:space="0" w:color="000000"/>
              <w:right w:val="single" w:sz="12" w:space="0" w:color="000000"/>
            </w:tcBorders>
          </w:tcPr>
          <w:p w14:paraId="75335F16" w14:textId="77777777" w:rsidR="009F406F" w:rsidRDefault="009F406F" w:rsidP="0074130F">
            <w:pPr>
              <w:spacing w:after="0" w:line="259" w:lineRule="auto"/>
              <w:ind w:left="0" w:right="0" w:firstLine="0"/>
            </w:pPr>
            <w:r>
              <w:rPr>
                <w:sz w:val="20"/>
              </w:rPr>
              <w:t xml:space="preserve">Chlorobenzene </w:t>
            </w:r>
          </w:p>
        </w:tc>
        <w:tc>
          <w:tcPr>
            <w:tcW w:w="2033" w:type="dxa"/>
            <w:tcBorders>
              <w:top w:val="single" w:sz="4" w:space="0" w:color="000000"/>
              <w:left w:val="single" w:sz="12" w:space="0" w:color="000000"/>
              <w:bottom w:val="single" w:sz="4" w:space="0" w:color="000000"/>
              <w:right w:val="single" w:sz="12" w:space="0" w:color="000000"/>
            </w:tcBorders>
          </w:tcPr>
          <w:p w14:paraId="4ED3D6B0" w14:textId="77777777" w:rsidR="009F406F" w:rsidRDefault="009F406F" w:rsidP="0074130F">
            <w:pPr>
              <w:spacing w:after="0" w:line="259" w:lineRule="auto"/>
              <w:ind w:left="0" w:right="23" w:firstLine="0"/>
              <w:jc w:val="center"/>
            </w:pPr>
            <w:r>
              <w:rPr>
                <w:sz w:val="20"/>
              </w:rPr>
              <w:t xml:space="preserve">0.30 </w:t>
            </w:r>
          </w:p>
        </w:tc>
        <w:tc>
          <w:tcPr>
            <w:tcW w:w="2251" w:type="dxa"/>
            <w:tcBorders>
              <w:top w:val="single" w:sz="4" w:space="0" w:color="000000"/>
              <w:left w:val="single" w:sz="12" w:space="0" w:color="000000"/>
              <w:bottom w:val="single" w:sz="4" w:space="0" w:color="000000"/>
              <w:right w:val="single" w:sz="12" w:space="0" w:color="000000"/>
            </w:tcBorders>
          </w:tcPr>
          <w:p w14:paraId="2FDFF5FB" w14:textId="77777777" w:rsidR="009F406F" w:rsidRDefault="009F406F" w:rsidP="0074130F">
            <w:pPr>
              <w:spacing w:after="0" w:line="259" w:lineRule="auto"/>
              <w:ind w:left="0" w:right="22" w:firstLine="0"/>
              <w:jc w:val="center"/>
            </w:pPr>
            <w:r>
              <w:rPr>
                <w:sz w:val="20"/>
              </w:rPr>
              <w:t xml:space="preserve">15% </w:t>
            </w:r>
          </w:p>
        </w:tc>
      </w:tr>
      <w:tr w:rsidR="009F406F" w14:paraId="1677C6D9" w14:textId="77777777" w:rsidTr="0074130F">
        <w:trPr>
          <w:trHeight w:val="360"/>
        </w:trPr>
        <w:tc>
          <w:tcPr>
            <w:tcW w:w="1317" w:type="dxa"/>
            <w:tcBorders>
              <w:top w:val="single" w:sz="4" w:space="0" w:color="000000"/>
              <w:left w:val="single" w:sz="12" w:space="0" w:color="000000"/>
              <w:bottom w:val="single" w:sz="12" w:space="0" w:color="000000"/>
              <w:right w:val="single" w:sz="12" w:space="0" w:color="000000"/>
            </w:tcBorders>
          </w:tcPr>
          <w:p w14:paraId="307B15BF" w14:textId="77777777" w:rsidR="009F406F" w:rsidRDefault="009F406F" w:rsidP="0074130F">
            <w:pPr>
              <w:spacing w:after="0" w:line="259" w:lineRule="auto"/>
              <w:ind w:left="0" w:right="29" w:firstLine="0"/>
              <w:jc w:val="center"/>
            </w:pPr>
            <w:r>
              <w:rPr>
                <w:b/>
                <w:sz w:val="20"/>
              </w:rPr>
              <w:t xml:space="preserve">SPCC </w:t>
            </w:r>
          </w:p>
        </w:tc>
        <w:tc>
          <w:tcPr>
            <w:tcW w:w="3096" w:type="dxa"/>
            <w:tcBorders>
              <w:top w:val="single" w:sz="4" w:space="0" w:color="000000"/>
              <w:left w:val="single" w:sz="12" w:space="0" w:color="000000"/>
              <w:bottom w:val="single" w:sz="12" w:space="0" w:color="000000"/>
              <w:right w:val="single" w:sz="12" w:space="0" w:color="000000"/>
            </w:tcBorders>
          </w:tcPr>
          <w:p w14:paraId="7CFE059E" w14:textId="77777777" w:rsidR="009F406F" w:rsidRDefault="009F406F" w:rsidP="0074130F">
            <w:pPr>
              <w:spacing w:after="0" w:line="259" w:lineRule="auto"/>
              <w:ind w:left="0" w:right="0" w:firstLine="0"/>
            </w:pPr>
            <w:r>
              <w:rPr>
                <w:sz w:val="20"/>
              </w:rPr>
              <w:t xml:space="preserve">1,1,2,2-Tetrachloroethane </w:t>
            </w:r>
          </w:p>
        </w:tc>
        <w:tc>
          <w:tcPr>
            <w:tcW w:w="2033" w:type="dxa"/>
            <w:tcBorders>
              <w:top w:val="single" w:sz="4" w:space="0" w:color="000000"/>
              <w:left w:val="single" w:sz="12" w:space="0" w:color="000000"/>
              <w:bottom w:val="single" w:sz="12" w:space="0" w:color="000000"/>
              <w:right w:val="single" w:sz="12" w:space="0" w:color="000000"/>
            </w:tcBorders>
          </w:tcPr>
          <w:p w14:paraId="382A784F" w14:textId="77777777" w:rsidR="009F406F" w:rsidRDefault="009F406F" w:rsidP="0074130F">
            <w:pPr>
              <w:spacing w:after="0" w:line="259" w:lineRule="auto"/>
              <w:ind w:left="0" w:right="23" w:firstLine="0"/>
              <w:jc w:val="center"/>
            </w:pPr>
            <w:r>
              <w:rPr>
                <w:sz w:val="20"/>
              </w:rPr>
              <w:t xml:space="preserve">0.30 </w:t>
            </w:r>
          </w:p>
        </w:tc>
        <w:tc>
          <w:tcPr>
            <w:tcW w:w="2251" w:type="dxa"/>
            <w:tcBorders>
              <w:top w:val="single" w:sz="4" w:space="0" w:color="000000"/>
              <w:left w:val="single" w:sz="12" w:space="0" w:color="000000"/>
              <w:bottom w:val="single" w:sz="12" w:space="0" w:color="000000"/>
              <w:right w:val="single" w:sz="12" w:space="0" w:color="000000"/>
            </w:tcBorders>
          </w:tcPr>
          <w:p w14:paraId="5056368E" w14:textId="77777777" w:rsidR="009F406F" w:rsidRDefault="009F406F" w:rsidP="0074130F">
            <w:pPr>
              <w:spacing w:after="0" w:line="259" w:lineRule="auto"/>
              <w:ind w:left="0" w:right="22" w:firstLine="0"/>
              <w:jc w:val="center"/>
            </w:pPr>
            <w:r>
              <w:rPr>
                <w:sz w:val="20"/>
              </w:rPr>
              <w:t xml:space="preserve">15% </w:t>
            </w:r>
          </w:p>
        </w:tc>
      </w:tr>
      <w:tr w:rsidR="009F406F" w14:paraId="6370F899" w14:textId="77777777" w:rsidTr="0074130F">
        <w:trPr>
          <w:trHeight w:val="360"/>
        </w:trPr>
        <w:tc>
          <w:tcPr>
            <w:tcW w:w="1317" w:type="dxa"/>
            <w:tcBorders>
              <w:top w:val="single" w:sz="12" w:space="0" w:color="000000"/>
              <w:left w:val="single" w:sz="12" w:space="0" w:color="000000"/>
              <w:bottom w:val="single" w:sz="4" w:space="0" w:color="000000"/>
              <w:right w:val="single" w:sz="12" w:space="0" w:color="000000"/>
            </w:tcBorders>
          </w:tcPr>
          <w:p w14:paraId="0C141D78" w14:textId="77777777" w:rsidR="009F406F" w:rsidRDefault="009F406F" w:rsidP="0074130F">
            <w:pPr>
              <w:spacing w:after="0" w:line="259" w:lineRule="auto"/>
              <w:ind w:left="0" w:right="26" w:firstLine="0"/>
              <w:jc w:val="center"/>
            </w:pPr>
            <w:r>
              <w:rPr>
                <w:b/>
                <w:sz w:val="20"/>
              </w:rPr>
              <w:t xml:space="preserve">CCC </w:t>
            </w:r>
          </w:p>
        </w:tc>
        <w:tc>
          <w:tcPr>
            <w:tcW w:w="3096" w:type="dxa"/>
            <w:tcBorders>
              <w:top w:val="single" w:sz="12" w:space="0" w:color="000000"/>
              <w:left w:val="single" w:sz="12" w:space="0" w:color="000000"/>
              <w:bottom w:val="single" w:sz="4" w:space="0" w:color="000000"/>
              <w:right w:val="single" w:sz="12" w:space="0" w:color="000000"/>
            </w:tcBorders>
          </w:tcPr>
          <w:p w14:paraId="7ABB45A1" w14:textId="77777777" w:rsidR="009F406F" w:rsidRDefault="009F406F" w:rsidP="0074130F">
            <w:pPr>
              <w:spacing w:after="0" w:line="259" w:lineRule="auto"/>
              <w:ind w:left="0" w:right="0" w:firstLine="0"/>
            </w:pPr>
            <w:r>
              <w:rPr>
                <w:sz w:val="20"/>
              </w:rPr>
              <w:t xml:space="preserve">1,1-Dichloroethene </w:t>
            </w:r>
          </w:p>
        </w:tc>
        <w:tc>
          <w:tcPr>
            <w:tcW w:w="2033" w:type="dxa"/>
            <w:tcBorders>
              <w:top w:val="single" w:sz="12" w:space="0" w:color="000000"/>
              <w:left w:val="single" w:sz="12" w:space="0" w:color="000000"/>
              <w:bottom w:val="single" w:sz="4" w:space="0" w:color="000000"/>
              <w:right w:val="single" w:sz="12" w:space="0" w:color="000000"/>
            </w:tcBorders>
          </w:tcPr>
          <w:p w14:paraId="7D6B24CD" w14:textId="1BF1B775" w:rsidR="009F406F" w:rsidRDefault="009F406F" w:rsidP="0074130F">
            <w:pPr>
              <w:spacing w:after="0" w:line="259" w:lineRule="auto"/>
              <w:ind w:left="0" w:right="24" w:firstLine="0"/>
              <w:jc w:val="center"/>
            </w:pPr>
          </w:p>
        </w:tc>
        <w:tc>
          <w:tcPr>
            <w:tcW w:w="2251" w:type="dxa"/>
            <w:tcBorders>
              <w:top w:val="single" w:sz="12" w:space="0" w:color="000000"/>
              <w:left w:val="single" w:sz="12" w:space="0" w:color="000000"/>
              <w:bottom w:val="single" w:sz="4" w:space="0" w:color="000000"/>
              <w:right w:val="single" w:sz="12" w:space="0" w:color="000000"/>
            </w:tcBorders>
          </w:tcPr>
          <w:p w14:paraId="126FBB4B" w14:textId="77777777" w:rsidR="009F406F" w:rsidRDefault="009F406F" w:rsidP="0074130F">
            <w:pPr>
              <w:spacing w:after="0" w:line="259" w:lineRule="auto"/>
              <w:ind w:left="0" w:right="22" w:firstLine="0"/>
              <w:jc w:val="center"/>
            </w:pPr>
            <w:r>
              <w:rPr>
                <w:sz w:val="20"/>
              </w:rPr>
              <w:t xml:space="preserve">30% </w:t>
            </w:r>
          </w:p>
        </w:tc>
      </w:tr>
      <w:tr w:rsidR="009F406F" w14:paraId="2CCA1E1B" w14:textId="77777777" w:rsidTr="0074130F">
        <w:trPr>
          <w:trHeight w:val="360"/>
        </w:trPr>
        <w:tc>
          <w:tcPr>
            <w:tcW w:w="1317" w:type="dxa"/>
            <w:tcBorders>
              <w:top w:val="single" w:sz="4" w:space="0" w:color="000000"/>
              <w:left w:val="single" w:sz="12" w:space="0" w:color="000000"/>
              <w:bottom w:val="single" w:sz="4" w:space="0" w:color="000000"/>
              <w:right w:val="single" w:sz="12" w:space="0" w:color="000000"/>
            </w:tcBorders>
          </w:tcPr>
          <w:p w14:paraId="7FFDE2F0" w14:textId="77777777" w:rsidR="009F406F" w:rsidRDefault="009F406F" w:rsidP="0074130F">
            <w:pPr>
              <w:spacing w:after="0" w:line="259" w:lineRule="auto"/>
              <w:ind w:left="0" w:right="26" w:firstLine="0"/>
              <w:jc w:val="center"/>
            </w:pPr>
            <w:r>
              <w:rPr>
                <w:b/>
                <w:sz w:val="20"/>
              </w:rPr>
              <w:t xml:space="preserve">CCC </w:t>
            </w:r>
          </w:p>
        </w:tc>
        <w:tc>
          <w:tcPr>
            <w:tcW w:w="3096" w:type="dxa"/>
            <w:tcBorders>
              <w:top w:val="single" w:sz="4" w:space="0" w:color="000000"/>
              <w:left w:val="single" w:sz="12" w:space="0" w:color="000000"/>
              <w:bottom w:val="single" w:sz="4" w:space="0" w:color="000000"/>
              <w:right w:val="single" w:sz="12" w:space="0" w:color="000000"/>
            </w:tcBorders>
          </w:tcPr>
          <w:p w14:paraId="49F81DD4" w14:textId="77777777" w:rsidR="009F406F" w:rsidRDefault="009F406F" w:rsidP="0074130F">
            <w:pPr>
              <w:spacing w:after="0" w:line="259" w:lineRule="auto"/>
              <w:ind w:left="0" w:right="0" w:firstLine="0"/>
            </w:pPr>
            <w:r>
              <w:rPr>
                <w:sz w:val="20"/>
              </w:rPr>
              <w:t xml:space="preserve">Chloroform </w:t>
            </w:r>
          </w:p>
        </w:tc>
        <w:tc>
          <w:tcPr>
            <w:tcW w:w="2033" w:type="dxa"/>
            <w:tcBorders>
              <w:top w:val="single" w:sz="4" w:space="0" w:color="000000"/>
              <w:left w:val="single" w:sz="12" w:space="0" w:color="000000"/>
              <w:bottom w:val="single" w:sz="4" w:space="0" w:color="000000"/>
              <w:right w:val="single" w:sz="12" w:space="0" w:color="000000"/>
            </w:tcBorders>
          </w:tcPr>
          <w:p w14:paraId="4E9D259B" w14:textId="31D22269" w:rsidR="009F406F" w:rsidRDefault="009F406F" w:rsidP="0074130F">
            <w:pPr>
              <w:spacing w:after="0" w:line="259" w:lineRule="auto"/>
              <w:ind w:left="0" w:right="24" w:firstLine="0"/>
              <w:jc w:val="center"/>
            </w:pPr>
          </w:p>
        </w:tc>
        <w:tc>
          <w:tcPr>
            <w:tcW w:w="2251" w:type="dxa"/>
            <w:tcBorders>
              <w:top w:val="single" w:sz="4" w:space="0" w:color="000000"/>
              <w:left w:val="single" w:sz="12" w:space="0" w:color="000000"/>
              <w:bottom w:val="single" w:sz="4" w:space="0" w:color="000000"/>
              <w:right w:val="single" w:sz="12" w:space="0" w:color="000000"/>
            </w:tcBorders>
          </w:tcPr>
          <w:p w14:paraId="7DB8921B" w14:textId="77777777" w:rsidR="009F406F" w:rsidRDefault="009F406F" w:rsidP="0074130F">
            <w:pPr>
              <w:spacing w:after="0" w:line="259" w:lineRule="auto"/>
              <w:ind w:left="0" w:right="22" w:firstLine="0"/>
              <w:jc w:val="center"/>
            </w:pPr>
            <w:r>
              <w:rPr>
                <w:sz w:val="20"/>
              </w:rPr>
              <w:t xml:space="preserve">30% </w:t>
            </w:r>
          </w:p>
        </w:tc>
      </w:tr>
      <w:tr w:rsidR="009F406F" w14:paraId="076B9B0D" w14:textId="77777777" w:rsidTr="0074130F">
        <w:trPr>
          <w:trHeight w:val="360"/>
        </w:trPr>
        <w:tc>
          <w:tcPr>
            <w:tcW w:w="1317" w:type="dxa"/>
            <w:tcBorders>
              <w:top w:val="single" w:sz="4" w:space="0" w:color="000000"/>
              <w:left w:val="single" w:sz="12" w:space="0" w:color="000000"/>
              <w:bottom w:val="single" w:sz="4" w:space="0" w:color="000000"/>
              <w:right w:val="single" w:sz="12" w:space="0" w:color="000000"/>
            </w:tcBorders>
          </w:tcPr>
          <w:p w14:paraId="60F1B4DE" w14:textId="77777777" w:rsidR="009F406F" w:rsidRDefault="009F406F" w:rsidP="0074130F">
            <w:pPr>
              <w:spacing w:after="0" w:line="259" w:lineRule="auto"/>
              <w:ind w:left="0" w:right="26" w:firstLine="0"/>
              <w:jc w:val="center"/>
            </w:pPr>
            <w:r>
              <w:rPr>
                <w:b/>
                <w:sz w:val="20"/>
              </w:rPr>
              <w:t xml:space="preserve">CCC </w:t>
            </w:r>
          </w:p>
        </w:tc>
        <w:tc>
          <w:tcPr>
            <w:tcW w:w="3096" w:type="dxa"/>
            <w:tcBorders>
              <w:top w:val="single" w:sz="4" w:space="0" w:color="000000"/>
              <w:left w:val="single" w:sz="12" w:space="0" w:color="000000"/>
              <w:bottom w:val="single" w:sz="4" w:space="0" w:color="000000"/>
              <w:right w:val="single" w:sz="12" w:space="0" w:color="000000"/>
            </w:tcBorders>
          </w:tcPr>
          <w:p w14:paraId="33B4984B" w14:textId="77777777" w:rsidR="009F406F" w:rsidRDefault="009F406F" w:rsidP="0074130F">
            <w:pPr>
              <w:spacing w:after="0" w:line="259" w:lineRule="auto"/>
              <w:ind w:left="0" w:right="0" w:firstLine="0"/>
            </w:pPr>
            <w:r>
              <w:rPr>
                <w:sz w:val="20"/>
              </w:rPr>
              <w:t xml:space="preserve">1,2-Dichloropropane </w:t>
            </w:r>
          </w:p>
        </w:tc>
        <w:tc>
          <w:tcPr>
            <w:tcW w:w="2033" w:type="dxa"/>
            <w:tcBorders>
              <w:top w:val="single" w:sz="4" w:space="0" w:color="000000"/>
              <w:left w:val="single" w:sz="12" w:space="0" w:color="000000"/>
              <w:bottom w:val="single" w:sz="4" w:space="0" w:color="000000"/>
              <w:right w:val="single" w:sz="12" w:space="0" w:color="000000"/>
            </w:tcBorders>
          </w:tcPr>
          <w:p w14:paraId="32434173" w14:textId="05FD0741" w:rsidR="009F406F" w:rsidRDefault="009F406F" w:rsidP="0074130F">
            <w:pPr>
              <w:spacing w:after="0" w:line="259" w:lineRule="auto"/>
              <w:ind w:left="0" w:right="24" w:firstLine="0"/>
              <w:jc w:val="center"/>
            </w:pPr>
          </w:p>
        </w:tc>
        <w:tc>
          <w:tcPr>
            <w:tcW w:w="2251" w:type="dxa"/>
            <w:tcBorders>
              <w:top w:val="single" w:sz="4" w:space="0" w:color="000000"/>
              <w:left w:val="single" w:sz="12" w:space="0" w:color="000000"/>
              <w:bottom w:val="single" w:sz="4" w:space="0" w:color="000000"/>
              <w:right w:val="single" w:sz="12" w:space="0" w:color="000000"/>
            </w:tcBorders>
          </w:tcPr>
          <w:p w14:paraId="5932A833" w14:textId="77777777" w:rsidR="009F406F" w:rsidRDefault="009F406F" w:rsidP="0074130F">
            <w:pPr>
              <w:spacing w:after="0" w:line="259" w:lineRule="auto"/>
              <w:ind w:left="0" w:right="22" w:firstLine="0"/>
              <w:jc w:val="center"/>
            </w:pPr>
            <w:r>
              <w:rPr>
                <w:sz w:val="20"/>
              </w:rPr>
              <w:t xml:space="preserve">30% </w:t>
            </w:r>
          </w:p>
        </w:tc>
      </w:tr>
      <w:tr w:rsidR="009F406F" w14:paraId="72B88434" w14:textId="77777777" w:rsidTr="0074130F">
        <w:trPr>
          <w:trHeight w:val="360"/>
        </w:trPr>
        <w:tc>
          <w:tcPr>
            <w:tcW w:w="1317" w:type="dxa"/>
            <w:tcBorders>
              <w:top w:val="single" w:sz="4" w:space="0" w:color="000000"/>
              <w:left w:val="single" w:sz="12" w:space="0" w:color="000000"/>
              <w:bottom w:val="single" w:sz="4" w:space="0" w:color="000000"/>
              <w:right w:val="single" w:sz="12" w:space="0" w:color="000000"/>
            </w:tcBorders>
          </w:tcPr>
          <w:p w14:paraId="4627F220" w14:textId="77777777" w:rsidR="009F406F" w:rsidRDefault="009F406F" w:rsidP="0074130F">
            <w:pPr>
              <w:spacing w:after="0" w:line="259" w:lineRule="auto"/>
              <w:ind w:left="0" w:right="26" w:firstLine="0"/>
              <w:jc w:val="center"/>
            </w:pPr>
            <w:r>
              <w:rPr>
                <w:b/>
                <w:sz w:val="20"/>
              </w:rPr>
              <w:t xml:space="preserve">CCC </w:t>
            </w:r>
          </w:p>
        </w:tc>
        <w:tc>
          <w:tcPr>
            <w:tcW w:w="3096" w:type="dxa"/>
            <w:tcBorders>
              <w:top w:val="single" w:sz="4" w:space="0" w:color="000000"/>
              <w:left w:val="single" w:sz="12" w:space="0" w:color="000000"/>
              <w:bottom w:val="single" w:sz="4" w:space="0" w:color="000000"/>
              <w:right w:val="single" w:sz="12" w:space="0" w:color="000000"/>
            </w:tcBorders>
          </w:tcPr>
          <w:p w14:paraId="05809C81" w14:textId="77777777" w:rsidR="009F406F" w:rsidRDefault="009F406F" w:rsidP="0074130F">
            <w:pPr>
              <w:spacing w:after="0" w:line="259" w:lineRule="auto"/>
              <w:ind w:left="0" w:right="0" w:firstLine="0"/>
            </w:pPr>
            <w:r>
              <w:rPr>
                <w:sz w:val="20"/>
              </w:rPr>
              <w:t xml:space="preserve">Toluene </w:t>
            </w:r>
          </w:p>
        </w:tc>
        <w:tc>
          <w:tcPr>
            <w:tcW w:w="2033" w:type="dxa"/>
            <w:tcBorders>
              <w:top w:val="single" w:sz="4" w:space="0" w:color="000000"/>
              <w:left w:val="single" w:sz="12" w:space="0" w:color="000000"/>
              <w:bottom w:val="single" w:sz="4" w:space="0" w:color="000000"/>
              <w:right w:val="single" w:sz="12" w:space="0" w:color="000000"/>
            </w:tcBorders>
          </w:tcPr>
          <w:p w14:paraId="3200C367" w14:textId="2CDE129A" w:rsidR="009F406F" w:rsidRDefault="009F406F" w:rsidP="0074130F">
            <w:pPr>
              <w:spacing w:after="0" w:line="259" w:lineRule="auto"/>
              <w:ind w:left="0" w:right="24" w:firstLine="0"/>
              <w:jc w:val="center"/>
            </w:pPr>
          </w:p>
        </w:tc>
        <w:tc>
          <w:tcPr>
            <w:tcW w:w="2251" w:type="dxa"/>
            <w:tcBorders>
              <w:top w:val="single" w:sz="4" w:space="0" w:color="000000"/>
              <w:left w:val="single" w:sz="12" w:space="0" w:color="000000"/>
              <w:bottom w:val="single" w:sz="4" w:space="0" w:color="000000"/>
              <w:right w:val="single" w:sz="12" w:space="0" w:color="000000"/>
            </w:tcBorders>
          </w:tcPr>
          <w:p w14:paraId="62550548" w14:textId="77777777" w:rsidR="009F406F" w:rsidRDefault="009F406F" w:rsidP="0074130F">
            <w:pPr>
              <w:spacing w:after="0" w:line="259" w:lineRule="auto"/>
              <w:ind w:left="0" w:right="22" w:firstLine="0"/>
              <w:jc w:val="center"/>
            </w:pPr>
            <w:r>
              <w:rPr>
                <w:sz w:val="20"/>
              </w:rPr>
              <w:t xml:space="preserve">30% </w:t>
            </w:r>
          </w:p>
        </w:tc>
      </w:tr>
      <w:tr w:rsidR="009F406F" w14:paraId="38C0E74A" w14:textId="77777777" w:rsidTr="0074130F">
        <w:trPr>
          <w:trHeight w:val="360"/>
        </w:trPr>
        <w:tc>
          <w:tcPr>
            <w:tcW w:w="1317" w:type="dxa"/>
            <w:tcBorders>
              <w:top w:val="single" w:sz="4" w:space="0" w:color="000000"/>
              <w:left w:val="single" w:sz="12" w:space="0" w:color="000000"/>
              <w:bottom w:val="single" w:sz="4" w:space="0" w:color="000000"/>
              <w:right w:val="single" w:sz="12" w:space="0" w:color="000000"/>
            </w:tcBorders>
          </w:tcPr>
          <w:p w14:paraId="2BB4B20F" w14:textId="77777777" w:rsidR="009F406F" w:rsidRDefault="009F406F" w:rsidP="0074130F">
            <w:pPr>
              <w:spacing w:after="0" w:line="259" w:lineRule="auto"/>
              <w:ind w:left="0" w:right="26" w:firstLine="0"/>
              <w:jc w:val="center"/>
            </w:pPr>
            <w:r>
              <w:rPr>
                <w:b/>
                <w:sz w:val="20"/>
              </w:rPr>
              <w:t xml:space="preserve">CCC </w:t>
            </w:r>
          </w:p>
        </w:tc>
        <w:tc>
          <w:tcPr>
            <w:tcW w:w="3096" w:type="dxa"/>
            <w:tcBorders>
              <w:top w:val="single" w:sz="4" w:space="0" w:color="000000"/>
              <w:left w:val="single" w:sz="12" w:space="0" w:color="000000"/>
              <w:bottom w:val="single" w:sz="4" w:space="0" w:color="000000"/>
              <w:right w:val="single" w:sz="12" w:space="0" w:color="000000"/>
            </w:tcBorders>
          </w:tcPr>
          <w:p w14:paraId="4E1FA3F8" w14:textId="77777777" w:rsidR="009F406F" w:rsidRDefault="009F406F" w:rsidP="0074130F">
            <w:pPr>
              <w:spacing w:after="0" w:line="259" w:lineRule="auto"/>
              <w:ind w:left="0" w:right="0" w:firstLine="0"/>
            </w:pPr>
            <w:r>
              <w:rPr>
                <w:sz w:val="20"/>
              </w:rPr>
              <w:t xml:space="preserve">Ethylbenzene </w:t>
            </w:r>
          </w:p>
        </w:tc>
        <w:tc>
          <w:tcPr>
            <w:tcW w:w="2033" w:type="dxa"/>
            <w:tcBorders>
              <w:top w:val="single" w:sz="4" w:space="0" w:color="000000"/>
              <w:left w:val="single" w:sz="12" w:space="0" w:color="000000"/>
              <w:bottom w:val="single" w:sz="4" w:space="0" w:color="000000"/>
              <w:right w:val="single" w:sz="12" w:space="0" w:color="000000"/>
            </w:tcBorders>
          </w:tcPr>
          <w:p w14:paraId="2EE2359D" w14:textId="4F66A767" w:rsidR="009F406F" w:rsidRDefault="009F406F" w:rsidP="0074130F">
            <w:pPr>
              <w:spacing w:after="0" w:line="259" w:lineRule="auto"/>
              <w:ind w:left="0" w:right="24" w:firstLine="0"/>
              <w:jc w:val="center"/>
            </w:pPr>
          </w:p>
        </w:tc>
        <w:tc>
          <w:tcPr>
            <w:tcW w:w="2251" w:type="dxa"/>
            <w:tcBorders>
              <w:top w:val="single" w:sz="4" w:space="0" w:color="000000"/>
              <w:left w:val="single" w:sz="12" w:space="0" w:color="000000"/>
              <w:bottom w:val="single" w:sz="4" w:space="0" w:color="000000"/>
              <w:right w:val="single" w:sz="12" w:space="0" w:color="000000"/>
            </w:tcBorders>
          </w:tcPr>
          <w:p w14:paraId="372F9DAE" w14:textId="77777777" w:rsidR="009F406F" w:rsidRDefault="009F406F" w:rsidP="0074130F">
            <w:pPr>
              <w:spacing w:after="0" w:line="259" w:lineRule="auto"/>
              <w:ind w:left="0" w:right="22" w:firstLine="0"/>
              <w:jc w:val="center"/>
            </w:pPr>
            <w:r>
              <w:rPr>
                <w:sz w:val="20"/>
              </w:rPr>
              <w:t xml:space="preserve">30% </w:t>
            </w:r>
          </w:p>
        </w:tc>
      </w:tr>
      <w:tr w:rsidR="009F406F" w14:paraId="6FD5CE78" w14:textId="77777777" w:rsidTr="0074130F">
        <w:trPr>
          <w:trHeight w:val="360"/>
        </w:trPr>
        <w:tc>
          <w:tcPr>
            <w:tcW w:w="1317" w:type="dxa"/>
            <w:tcBorders>
              <w:top w:val="single" w:sz="4" w:space="0" w:color="000000"/>
              <w:left w:val="single" w:sz="12" w:space="0" w:color="000000"/>
              <w:bottom w:val="single" w:sz="12" w:space="0" w:color="000000"/>
              <w:right w:val="single" w:sz="12" w:space="0" w:color="000000"/>
            </w:tcBorders>
          </w:tcPr>
          <w:p w14:paraId="5B75DBDF" w14:textId="77777777" w:rsidR="009F406F" w:rsidRDefault="009F406F" w:rsidP="0074130F">
            <w:pPr>
              <w:spacing w:after="0" w:line="259" w:lineRule="auto"/>
              <w:ind w:left="0" w:right="26" w:firstLine="0"/>
              <w:jc w:val="center"/>
            </w:pPr>
            <w:r>
              <w:rPr>
                <w:b/>
                <w:sz w:val="20"/>
              </w:rPr>
              <w:t xml:space="preserve">CCC </w:t>
            </w:r>
          </w:p>
        </w:tc>
        <w:tc>
          <w:tcPr>
            <w:tcW w:w="3096" w:type="dxa"/>
            <w:tcBorders>
              <w:top w:val="single" w:sz="4" w:space="0" w:color="000000"/>
              <w:left w:val="single" w:sz="12" w:space="0" w:color="000000"/>
              <w:bottom w:val="single" w:sz="12" w:space="0" w:color="000000"/>
              <w:right w:val="single" w:sz="12" w:space="0" w:color="000000"/>
            </w:tcBorders>
          </w:tcPr>
          <w:p w14:paraId="5380D99F" w14:textId="77777777" w:rsidR="009F406F" w:rsidRDefault="009F406F" w:rsidP="0074130F">
            <w:pPr>
              <w:spacing w:after="0" w:line="259" w:lineRule="auto"/>
              <w:ind w:left="0" w:right="0" w:firstLine="0"/>
            </w:pPr>
            <w:r>
              <w:rPr>
                <w:sz w:val="20"/>
              </w:rPr>
              <w:t xml:space="preserve">Vinyl chloride </w:t>
            </w:r>
          </w:p>
        </w:tc>
        <w:tc>
          <w:tcPr>
            <w:tcW w:w="2033" w:type="dxa"/>
            <w:tcBorders>
              <w:top w:val="single" w:sz="4" w:space="0" w:color="000000"/>
              <w:left w:val="single" w:sz="12" w:space="0" w:color="000000"/>
              <w:bottom w:val="single" w:sz="12" w:space="0" w:color="000000"/>
              <w:right w:val="single" w:sz="12" w:space="0" w:color="000000"/>
            </w:tcBorders>
          </w:tcPr>
          <w:p w14:paraId="112979EA" w14:textId="064DBA8D" w:rsidR="009F406F" w:rsidRDefault="009F406F" w:rsidP="0074130F">
            <w:pPr>
              <w:spacing w:after="0" w:line="259" w:lineRule="auto"/>
              <w:ind w:left="0" w:right="24" w:firstLine="0"/>
              <w:jc w:val="center"/>
            </w:pPr>
          </w:p>
        </w:tc>
        <w:tc>
          <w:tcPr>
            <w:tcW w:w="2251" w:type="dxa"/>
            <w:tcBorders>
              <w:top w:val="single" w:sz="4" w:space="0" w:color="000000"/>
              <w:left w:val="single" w:sz="12" w:space="0" w:color="000000"/>
              <w:bottom w:val="single" w:sz="12" w:space="0" w:color="000000"/>
              <w:right w:val="single" w:sz="12" w:space="0" w:color="000000"/>
            </w:tcBorders>
          </w:tcPr>
          <w:p w14:paraId="7F36AE9E" w14:textId="77777777" w:rsidR="009F406F" w:rsidRDefault="009F406F" w:rsidP="0074130F">
            <w:pPr>
              <w:spacing w:after="0" w:line="259" w:lineRule="auto"/>
              <w:ind w:left="0" w:right="22" w:firstLine="0"/>
              <w:jc w:val="center"/>
            </w:pPr>
            <w:r>
              <w:rPr>
                <w:sz w:val="20"/>
              </w:rPr>
              <w:t xml:space="preserve">30% </w:t>
            </w:r>
          </w:p>
        </w:tc>
      </w:tr>
      <w:tr w:rsidR="009F406F" w14:paraId="7DBEA06B" w14:textId="77777777" w:rsidTr="0074130F">
        <w:trPr>
          <w:trHeight w:val="360"/>
        </w:trPr>
        <w:tc>
          <w:tcPr>
            <w:tcW w:w="4413" w:type="dxa"/>
            <w:gridSpan w:val="2"/>
            <w:tcBorders>
              <w:top w:val="single" w:sz="12" w:space="0" w:color="000000"/>
              <w:left w:val="single" w:sz="12" w:space="0" w:color="000000"/>
              <w:bottom w:val="single" w:sz="12" w:space="0" w:color="000000"/>
              <w:right w:val="single" w:sz="12" w:space="0" w:color="000000"/>
            </w:tcBorders>
          </w:tcPr>
          <w:p w14:paraId="785EC129" w14:textId="77777777" w:rsidR="009F406F" w:rsidRDefault="009F406F" w:rsidP="0074130F">
            <w:pPr>
              <w:spacing w:after="74" w:line="259" w:lineRule="auto"/>
              <w:ind w:left="0" w:right="23" w:firstLine="0"/>
              <w:jc w:val="center"/>
            </w:pPr>
            <w:r>
              <w:rPr>
                <w:b/>
                <w:sz w:val="20"/>
              </w:rPr>
              <w:t>A</w:t>
            </w:r>
            <w:r>
              <w:rPr>
                <w:b/>
                <w:sz w:val="16"/>
              </w:rPr>
              <w:t xml:space="preserve">LL </w:t>
            </w:r>
            <w:r>
              <w:rPr>
                <w:b/>
                <w:sz w:val="20"/>
              </w:rPr>
              <w:t>O</w:t>
            </w:r>
            <w:r>
              <w:rPr>
                <w:b/>
                <w:sz w:val="16"/>
              </w:rPr>
              <w:t xml:space="preserve">THER </w:t>
            </w:r>
            <w:r>
              <w:rPr>
                <w:b/>
                <w:sz w:val="20"/>
              </w:rPr>
              <w:t>T</w:t>
            </w:r>
            <w:r>
              <w:rPr>
                <w:b/>
                <w:sz w:val="16"/>
              </w:rPr>
              <w:t xml:space="preserve">ARGET </w:t>
            </w:r>
            <w:r>
              <w:rPr>
                <w:b/>
                <w:sz w:val="20"/>
              </w:rPr>
              <w:t>A</w:t>
            </w:r>
            <w:r>
              <w:rPr>
                <w:b/>
                <w:sz w:val="16"/>
              </w:rPr>
              <w:t>NALYTES OR</w:t>
            </w:r>
            <w:r>
              <w:rPr>
                <w:b/>
                <w:sz w:val="20"/>
              </w:rPr>
              <w:t xml:space="preserve"> </w:t>
            </w:r>
          </w:p>
          <w:p w14:paraId="66252D91" w14:textId="77777777" w:rsidR="009F406F" w:rsidRDefault="009F406F" w:rsidP="0074130F">
            <w:pPr>
              <w:spacing w:after="0" w:line="259" w:lineRule="auto"/>
              <w:ind w:left="0" w:right="21" w:firstLine="0"/>
              <w:jc w:val="center"/>
            </w:pPr>
            <w:r>
              <w:rPr>
                <w:b/>
                <w:sz w:val="16"/>
              </w:rPr>
              <w:t xml:space="preserve">THE </w:t>
            </w:r>
            <w:r>
              <w:rPr>
                <w:b/>
                <w:sz w:val="20"/>
              </w:rPr>
              <w:t>A</w:t>
            </w:r>
            <w:r>
              <w:rPr>
                <w:b/>
                <w:sz w:val="16"/>
              </w:rPr>
              <w:t>VERAGE</w:t>
            </w:r>
            <w:r>
              <w:rPr>
                <w:b/>
                <w:sz w:val="20"/>
              </w:rPr>
              <w:t xml:space="preserve"> </w:t>
            </w:r>
          </w:p>
        </w:tc>
        <w:tc>
          <w:tcPr>
            <w:tcW w:w="2033" w:type="dxa"/>
            <w:tcBorders>
              <w:top w:val="single" w:sz="12" w:space="0" w:color="000000"/>
              <w:left w:val="single" w:sz="12" w:space="0" w:color="000000"/>
              <w:bottom w:val="single" w:sz="12" w:space="0" w:color="000000"/>
              <w:right w:val="single" w:sz="12" w:space="0" w:color="000000"/>
            </w:tcBorders>
            <w:vAlign w:val="center"/>
          </w:tcPr>
          <w:p w14:paraId="3B51EE44" w14:textId="27C02A6E" w:rsidR="009F406F" w:rsidRDefault="009F406F" w:rsidP="0074130F">
            <w:pPr>
              <w:spacing w:after="0" w:line="259" w:lineRule="auto"/>
              <w:ind w:left="0" w:right="24" w:firstLine="0"/>
              <w:jc w:val="center"/>
            </w:pPr>
          </w:p>
        </w:tc>
        <w:tc>
          <w:tcPr>
            <w:tcW w:w="2251" w:type="dxa"/>
            <w:tcBorders>
              <w:top w:val="single" w:sz="12" w:space="0" w:color="000000"/>
              <w:left w:val="single" w:sz="12" w:space="0" w:color="000000"/>
              <w:bottom w:val="single" w:sz="12" w:space="0" w:color="000000"/>
              <w:right w:val="single" w:sz="12" w:space="0" w:color="000000"/>
            </w:tcBorders>
            <w:vAlign w:val="center"/>
          </w:tcPr>
          <w:p w14:paraId="512E7155" w14:textId="77777777" w:rsidR="009F406F" w:rsidRDefault="009F406F" w:rsidP="0074130F">
            <w:pPr>
              <w:spacing w:after="0" w:line="259" w:lineRule="auto"/>
              <w:ind w:left="0" w:right="22" w:firstLine="0"/>
              <w:jc w:val="center"/>
            </w:pPr>
            <w:r>
              <w:rPr>
                <w:sz w:val="20"/>
              </w:rPr>
              <w:t xml:space="preserve">15% </w:t>
            </w:r>
          </w:p>
        </w:tc>
      </w:tr>
    </w:tbl>
    <w:p w14:paraId="3B241DF2" w14:textId="739DA39A" w:rsidR="009F406F" w:rsidRDefault="009F406F" w:rsidP="004D7742">
      <w:pPr>
        <w:rPr>
          <w:rFonts w:eastAsia="Arial"/>
        </w:rPr>
      </w:pPr>
    </w:p>
    <w:tbl>
      <w:tblPr>
        <w:tblStyle w:val="TableGrid1"/>
        <w:tblW w:w="8733" w:type="dxa"/>
        <w:tblInd w:w="1113" w:type="dxa"/>
        <w:tblCellMar>
          <w:top w:w="135" w:type="dxa"/>
          <w:left w:w="144" w:type="dxa"/>
          <w:right w:w="115" w:type="dxa"/>
        </w:tblCellMar>
        <w:tblLook w:val="04A0" w:firstRow="1" w:lastRow="0" w:firstColumn="1" w:lastColumn="0" w:noHBand="0" w:noVBand="1"/>
      </w:tblPr>
      <w:tblGrid>
        <w:gridCol w:w="2072"/>
        <w:gridCol w:w="6661"/>
      </w:tblGrid>
      <w:tr w:rsidR="009F406F" w14:paraId="5C825BD7" w14:textId="77777777" w:rsidTr="0074130F">
        <w:trPr>
          <w:trHeight w:val="576"/>
        </w:trPr>
        <w:tc>
          <w:tcPr>
            <w:tcW w:w="8733" w:type="dxa"/>
            <w:gridSpan w:val="2"/>
            <w:tcBorders>
              <w:top w:val="single" w:sz="12" w:space="0" w:color="000000"/>
              <w:left w:val="single" w:sz="12" w:space="0" w:color="000000"/>
              <w:bottom w:val="single" w:sz="12" w:space="0" w:color="000000"/>
              <w:right w:val="single" w:sz="12" w:space="0" w:color="000000"/>
            </w:tcBorders>
            <w:vAlign w:val="center"/>
          </w:tcPr>
          <w:p w14:paraId="488700AE" w14:textId="77777777" w:rsidR="009F406F" w:rsidRDefault="009F406F" w:rsidP="0074130F">
            <w:pPr>
              <w:spacing w:after="37" w:line="259" w:lineRule="auto"/>
              <w:ind w:left="0" w:right="31" w:firstLine="0"/>
              <w:jc w:val="center"/>
            </w:pPr>
            <w:r>
              <w:rPr>
                <w:b/>
                <w:sz w:val="24"/>
              </w:rPr>
              <w:t>Table 12 – Continued</w:t>
            </w:r>
          </w:p>
          <w:p w14:paraId="7E31EDF2" w14:textId="77777777" w:rsidR="009F406F" w:rsidRDefault="009F406F" w:rsidP="0074130F">
            <w:pPr>
              <w:spacing w:after="0" w:line="259" w:lineRule="auto"/>
              <w:ind w:left="0" w:right="34" w:firstLine="0"/>
              <w:jc w:val="center"/>
            </w:pPr>
            <w:r>
              <w:rPr>
                <w:b/>
                <w:sz w:val="24"/>
              </w:rPr>
              <w:t>Additional Calibration Criteria Applicable to All Compounds (Target and QC)</w:t>
            </w:r>
          </w:p>
        </w:tc>
      </w:tr>
      <w:tr w:rsidR="009F406F" w14:paraId="49ADFD85" w14:textId="77777777" w:rsidTr="0074130F">
        <w:trPr>
          <w:trHeight w:val="432"/>
        </w:trPr>
        <w:tc>
          <w:tcPr>
            <w:tcW w:w="2072" w:type="dxa"/>
            <w:tcBorders>
              <w:top w:val="single" w:sz="12" w:space="0" w:color="000000"/>
              <w:left w:val="single" w:sz="12" w:space="0" w:color="000000"/>
              <w:bottom w:val="single" w:sz="4" w:space="0" w:color="000000"/>
              <w:right w:val="single" w:sz="4" w:space="0" w:color="000000"/>
            </w:tcBorders>
            <w:vAlign w:val="center"/>
          </w:tcPr>
          <w:p w14:paraId="100A3BEC" w14:textId="77777777" w:rsidR="009F406F" w:rsidRDefault="009F406F" w:rsidP="0074130F">
            <w:pPr>
              <w:spacing w:after="0" w:line="259" w:lineRule="auto"/>
              <w:ind w:left="2" w:right="0" w:firstLine="0"/>
            </w:pPr>
            <w:r>
              <w:rPr>
                <w:b/>
                <w:sz w:val="20"/>
              </w:rPr>
              <w:t xml:space="preserve">RT Evaluation </w:t>
            </w:r>
          </w:p>
        </w:tc>
        <w:tc>
          <w:tcPr>
            <w:tcW w:w="6661" w:type="dxa"/>
            <w:tcBorders>
              <w:top w:val="single" w:sz="12" w:space="0" w:color="000000"/>
              <w:left w:val="single" w:sz="4" w:space="0" w:color="000000"/>
              <w:bottom w:val="single" w:sz="4" w:space="0" w:color="000000"/>
              <w:right w:val="single" w:sz="12" w:space="0" w:color="000000"/>
            </w:tcBorders>
            <w:vAlign w:val="center"/>
          </w:tcPr>
          <w:p w14:paraId="73A98707" w14:textId="77777777" w:rsidR="009F406F" w:rsidRDefault="009F406F" w:rsidP="0074130F">
            <w:pPr>
              <w:spacing w:after="0" w:line="259" w:lineRule="auto"/>
              <w:ind w:left="0" w:right="0" w:firstLine="0"/>
            </w:pPr>
            <w:r>
              <w:rPr>
                <w:sz w:val="20"/>
              </w:rPr>
              <w:t xml:space="preserve">Agreement within </w:t>
            </w:r>
            <w:r>
              <w:rPr>
                <w:rFonts w:ascii="Segoe UI Symbol" w:eastAsia="Segoe UI Symbol" w:hAnsi="Segoe UI Symbol" w:cs="Segoe UI Symbol"/>
                <w:sz w:val="20"/>
              </w:rPr>
              <w:t>±</w:t>
            </w:r>
            <w:r>
              <w:rPr>
                <w:sz w:val="20"/>
              </w:rPr>
              <w:t xml:space="preserve"> 0.06 relative retention time units for RTs of each target analyte among the 5 calibration standards.</w:t>
            </w:r>
          </w:p>
        </w:tc>
      </w:tr>
      <w:tr w:rsidR="009F406F" w14:paraId="3B7EAD41" w14:textId="77777777" w:rsidTr="0074130F">
        <w:trPr>
          <w:trHeight w:val="432"/>
        </w:trPr>
        <w:tc>
          <w:tcPr>
            <w:tcW w:w="2072" w:type="dxa"/>
            <w:tcBorders>
              <w:top w:val="single" w:sz="4" w:space="0" w:color="000000"/>
              <w:left w:val="single" w:sz="12" w:space="0" w:color="000000"/>
              <w:bottom w:val="single" w:sz="4" w:space="0" w:color="000000"/>
              <w:right w:val="single" w:sz="4" w:space="0" w:color="000000"/>
            </w:tcBorders>
            <w:vAlign w:val="center"/>
          </w:tcPr>
          <w:p w14:paraId="32E3B966" w14:textId="77777777" w:rsidR="009F406F" w:rsidRDefault="009F406F" w:rsidP="0074130F">
            <w:pPr>
              <w:spacing w:after="0" w:line="259" w:lineRule="auto"/>
              <w:ind w:left="2" w:right="0" w:firstLine="0"/>
            </w:pPr>
            <w:r>
              <w:rPr>
                <w:b/>
                <w:sz w:val="20"/>
              </w:rPr>
              <w:t xml:space="preserve">GC Performance </w:t>
            </w:r>
          </w:p>
        </w:tc>
        <w:tc>
          <w:tcPr>
            <w:tcW w:w="6661" w:type="dxa"/>
            <w:tcBorders>
              <w:top w:val="single" w:sz="4" w:space="0" w:color="000000"/>
              <w:left w:val="single" w:sz="4" w:space="0" w:color="000000"/>
              <w:bottom w:val="single" w:sz="4" w:space="0" w:color="000000"/>
              <w:right w:val="single" w:sz="12" w:space="0" w:color="000000"/>
            </w:tcBorders>
            <w:vAlign w:val="center"/>
          </w:tcPr>
          <w:p w14:paraId="654C4EFA" w14:textId="77777777" w:rsidR="009F406F" w:rsidRDefault="009F406F" w:rsidP="0074130F">
            <w:pPr>
              <w:spacing w:after="0" w:line="259" w:lineRule="auto"/>
              <w:ind w:left="0" w:right="0" w:firstLine="0"/>
            </w:pPr>
            <w:r>
              <w:rPr>
                <w:sz w:val="20"/>
              </w:rPr>
              <w:t>Symmetrical peaks, minimum tailing, good resolution.</w:t>
            </w:r>
          </w:p>
        </w:tc>
      </w:tr>
      <w:tr w:rsidR="009F406F" w14:paraId="5D6116BE" w14:textId="77777777" w:rsidTr="0074130F">
        <w:trPr>
          <w:trHeight w:val="432"/>
        </w:trPr>
        <w:tc>
          <w:tcPr>
            <w:tcW w:w="2072" w:type="dxa"/>
            <w:tcBorders>
              <w:top w:val="single" w:sz="4" w:space="0" w:color="000000"/>
              <w:left w:val="single" w:sz="12" w:space="0" w:color="000000"/>
              <w:bottom w:val="single" w:sz="12" w:space="0" w:color="000000"/>
              <w:right w:val="single" w:sz="4" w:space="0" w:color="000000"/>
            </w:tcBorders>
            <w:vAlign w:val="center"/>
          </w:tcPr>
          <w:p w14:paraId="05C967B1" w14:textId="77777777" w:rsidR="009F406F" w:rsidRDefault="009F406F" w:rsidP="0074130F">
            <w:pPr>
              <w:spacing w:after="0" w:line="259" w:lineRule="auto"/>
              <w:ind w:left="2" w:right="0" w:firstLine="0"/>
            </w:pPr>
            <w:r>
              <w:rPr>
                <w:b/>
                <w:sz w:val="20"/>
              </w:rPr>
              <w:t xml:space="preserve">MS Sensitivity </w:t>
            </w:r>
          </w:p>
        </w:tc>
        <w:tc>
          <w:tcPr>
            <w:tcW w:w="6661" w:type="dxa"/>
            <w:tcBorders>
              <w:top w:val="single" w:sz="4" w:space="0" w:color="000000"/>
              <w:left w:val="single" w:sz="4" w:space="0" w:color="000000"/>
              <w:bottom w:val="single" w:sz="12" w:space="0" w:color="000000"/>
              <w:right w:val="single" w:sz="12" w:space="0" w:color="000000"/>
            </w:tcBorders>
            <w:vAlign w:val="center"/>
          </w:tcPr>
          <w:p w14:paraId="1A9B92F2" w14:textId="77777777" w:rsidR="009F406F" w:rsidRDefault="009F406F" w:rsidP="0074130F">
            <w:pPr>
              <w:spacing w:after="0" w:line="259" w:lineRule="auto"/>
              <w:ind w:left="0" w:right="0" w:firstLine="0"/>
            </w:pPr>
            <w:r>
              <w:rPr>
                <w:sz w:val="20"/>
              </w:rPr>
              <w:t>99% (minimum) target compound peaks recognized and identified in appropriate retention time window.</w:t>
            </w:r>
          </w:p>
        </w:tc>
      </w:tr>
    </w:tbl>
    <w:p w14:paraId="35161CDB" w14:textId="77777777" w:rsidR="009F406F" w:rsidRDefault="009F406F" w:rsidP="004D7742">
      <w:pPr>
        <w:rPr>
          <w:rFonts w:eastAsia="Arial"/>
        </w:rPr>
      </w:pPr>
    </w:p>
    <w:p w14:paraId="457CB14B" w14:textId="50F0B293" w:rsidR="00B56D50" w:rsidRPr="00F731DC" w:rsidRDefault="001C3C42" w:rsidP="00093377">
      <w:pPr>
        <w:numPr>
          <w:ilvl w:val="0"/>
          <w:numId w:val="77"/>
        </w:numPr>
        <w:spacing w:after="16"/>
        <w:ind w:left="1440" w:right="186" w:hanging="360"/>
        <w:rPr>
          <w:b/>
          <w:bCs/>
        </w:rPr>
      </w:pPr>
      <w:r w:rsidRPr="00F731DC">
        <w:rPr>
          <w:b/>
          <w:bCs/>
        </w:rPr>
        <w:t xml:space="preserve">Calibration Verification </w:t>
      </w:r>
    </w:p>
    <w:p w14:paraId="5BAA6C7A" w14:textId="5185D7D3" w:rsidR="00B56D50" w:rsidRDefault="001C3C42" w:rsidP="004D7742">
      <w:pPr>
        <w:ind w:left="1450" w:right="255"/>
      </w:pPr>
      <w:r>
        <w:t xml:space="preserve">The Contractor shall verify the calibration relationship established during the initial calibration at periodic intervals.  Calibration verification consists of the following three steps that must be performed at the beginning of each 12-hour analytical shift.  A minimum of one calibration verification must be reported per sample set, even if the set is completed in fewer than twelve hours of analysis time.  The calibration verification steps include: </w:t>
      </w:r>
    </w:p>
    <w:p w14:paraId="3410632E" w14:textId="08D8491D" w:rsidR="00B56D50" w:rsidRPr="00745DB0" w:rsidRDefault="00B56D50" w:rsidP="00745DB0">
      <w:pPr>
        <w:ind w:left="0" w:firstLine="0"/>
      </w:pPr>
    </w:p>
    <w:p w14:paraId="73B9B3E6" w14:textId="2CECF60F" w:rsidR="00B56D50" w:rsidRDefault="001C3C42" w:rsidP="00093377">
      <w:pPr>
        <w:numPr>
          <w:ilvl w:val="0"/>
          <w:numId w:val="26"/>
        </w:numPr>
        <w:ind w:right="255" w:hanging="360"/>
      </w:pPr>
      <w:r>
        <w:t>BFB is analyzed and results compared to the criteria in the method to verify mass calibration and tuning.  The criteria must be met prior to further analysis.</w:t>
      </w:r>
      <w:r>
        <w:rPr>
          <w:b/>
        </w:rPr>
        <w:t xml:space="preserve"> </w:t>
      </w:r>
    </w:p>
    <w:p w14:paraId="363776BE" w14:textId="77777777" w:rsidR="00B56D50" w:rsidRDefault="001C3C42">
      <w:pPr>
        <w:spacing w:after="0" w:line="259" w:lineRule="auto"/>
        <w:ind w:left="540" w:right="0" w:firstLine="0"/>
      </w:pPr>
      <w:r>
        <w:t xml:space="preserve"> </w:t>
      </w:r>
    </w:p>
    <w:p w14:paraId="3A287EDF" w14:textId="77777777" w:rsidR="00F742B5" w:rsidRDefault="001C3C42" w:rsidP="00093377">
      <w:pPr>
        <w:numPr>
          <w:ilvl w:val="0"/>
          <w:numId w:val="26"/>
        </w:numPr>
        <w:ind w:right="255" w:hanging="360"/>
      </w:pPr>
      <w:r>
        <w:t>A calibration verification standard at a concentration near the midpoint of the calibration range is analyzed and assessed for the following criteria.</w:t>
      </w:r>
    </w:p>
    <w:p w14:paraId="3E980CB7" w14:textId="77777777" w:rsidR="00F742B5" w:rsidRDefault="00F742B5" w:rsidP="003C4035">
      <w:pPr>
        <w:pStyle w:val="ListParagraph"/>
      </w:pPr>
    </w:p>
    <w:p w14:paraId="08D317FD" w14:textId="65D71C4E" w:rsidR="00B56D50" w:rsidRDefault="001C3C42" w:rsidP="00093377">
      <w:pPr>
        <w:pStyle w:val="ListParagraph"/>
        <w:numPr>
          <w:ilvl w:val="0"/>
          <w:numId w:val="117"/>
        </w:numPr>
        <w:ind w:left="2160" w:right="255"/>
      </w:pPr>
      <w:r>
        <w:lastRenderedPageBreak/>
        <w:t>The calibration standard must contain all target compounds, surrogates, and</w:t>
      </w:r>
      <w:r w:rsidR="00F24B6C">
        <w:t xml:space="preserve"> </w:t>
      </w:r>
      <w:r>
        <w:t>interna</w:t>
      </w:r>
      <w:r w:rsidR="007A06A3">
        <w:t xml:space="preserve">l </w:t>
      </w:r>
      <w:r>
        <w:t>standards.</w:t>
      </w:r>
    </w:p>
    <w:p w14:paraId="03BB6C89" w14:textId="77777777" w:rsidR="00421E09" w:rsidRDefault="00421E09" w:rsidP="004B6C11">
      <w:pPr>
        <w:spacing w:after="0" w:line="259" w:lineRule="auto"/>
        <w:ind w:left="2160" w:right="0" w:firstLine="0"/>
      </w:pPr>
    </w:p>
    <w:p w14:paraId="4A9E32CE" w14:textId="77777777" w:rsidR="00A67D89" w:rsidRDefault="00421E09" w:rsidP="00093377">
      <w:pPr>
        <w:numPr>
          <w:ilvl w:val="0"/>
          <w:numId w:val="117"/>
        </w:numPr>
        <w:ind w:left="2160" w:right="255"/>
      </w:pPr>
      <w:r>
        <w:rPr>
          <w:u w:val="single" w:color="000000"/>
        </w:rPr>
        <w:t>System performance check</w:t>
      </w:r>
      <w:r>
        <w:t>.  Each SPCC in the calibration verification standard must meet the minimum response factor listed in TABLE 12.  If the minimum response factors are not met, the system must be evaluated, and corrective action taken before beginning or continuing sample analysis.</w:t>
      </w:r>
    </w:p>
    <w:p w14:paraId="320FDDA8" w14:textId="77777777" w:rsidR="00A67D89" w:rsidRDefault="00A67D89" w:rsidP="00CA02FA">
      <w:pPr>
        <w:pStyle w:val="ListParagraph"/>
      </w:pPr>
    </w:p>
    <w:p w14:paraId="2E1A951E" w14:textId="1025C53A" w:rsidR="00CA02FA" w:rsidRDefault="00A67D89" w:rsidP="00093377">
      <w:pPr>
        <w:numPr>
          <w:ilvl w:val="0"/>
          <w:numId w:val="117"/>
        </w:numPr>
        <w:ind w:left="2160" w:right="255"/>
      </w:pPr>
      <w:r w:rsidRPr="00303BB4">
        <w:rPr>
          <w:u w:val="single"/>
        </w:rPr>
        <w:t>Calibration validation</w:t>
      </w:r>
      <w:r w:rsidR="00303BB4">
        <w:rPr>
          <w:u w:val="single"/>
        </w:rPr>
        <w:t>.</w:t>
      </w:r>
      <w:r w:rsidR="00CA02FA">
        <w:t xml:space="preserve">  The response factors for the CCCs in the calibration verification standard are compared to the mean response factors determined in the initial calibration through a percent difference (%D) calculation. </w:t>
      </w:r>
      <w:r w:rsidR="004039F6" w:rsidRPr="004039F6">
        <w:rPr>
          <w:b/>
          <w:bCs/>
          <w:vertAlign w:val="superscript"/>
        </w:rPr>
        <w:t>45</w:t>
      </w:r>
      <w:r w:rsidR="00CA02FA">
        <w:t xml:space="preserve"> </w:t>
      </w:r>
    </w:p>
    <w:p w14:paraId="4CD77983" w14:textId="77777777" w:rsidR="00CA02FA" w:rsidRPr="002C4B7A" w:rsidRDefault="00CA02FA" w:rsidP="00CA02FA">
      <w:pPr>
        <w:ind w:left="2160" w:firstLine="0"/>
      </w:pPr>
    </w:p>
    <w:p w14:paraId="015D79B9" w14:textId="77777777" w:rsidR="00CA02FA" w:rsidRDefault="00CA02FA" w:rsidP="00F0426C">
      <w:pPr>
        <w:ind w:left="2170" w:right="255"/>
      </w:pPr>
      <w:r>
        <w:t>The %D criteria must meet the criteria in TABLE 13</w:t>
      </w:r>
      <w:r>
        <w:rPr>
          <w:i/>
        </w:rPr>
        <w:t xml:space="preserve"> </w:t>
      </w:r>
      <w:r>
        <w:t>for the initial calibration to be considered valid.  If the CCCs are not in or added to the list of target analytes for the project, the %D criteria must be applied to all analytes.</w:t>
      </w:r>
      <w:r>
        <w:rPr>
          <w:b/>
        </w:rPr>
        <w:t xml:space="preserve"> </w:t>
      </w:r>
    </w:p>
    <w:p w14:paraId="7A136D98" w14:textId="28C52508" w:rsidR="00CA02FA" w:rsidRDefault="00CA02FA" w:rsidP="00CA02FA">
      <w:pPr>
        <w:spacing w:after="0" w:line="259" w:lineRule="auto"/>
        <w:ind w:left="2160" w:right="0" w:firstLine="0"/>
      </w:pPr>
    </w:p>
    <w:p w14:paraId="483F693C" w14:textId="5BD5BD99" w:rsidR="00421E09" w:rsidRDefault="00CA02FA" w:rsidP="00F0426C">
      <w:pPr>
        <w:ind w:left="2160" w:right="255" w:firstLine="0"/>
      </w:pPr>
      <w:r>
        <w:t xml:space="preserve">If the criteria in TABLE 13 are not met </w:t>
      </w:r>
      <w:proofErr w:type="gramStart"/>
      <w:r>
        <w:t>for</w:t>
      </w:r>
      <w:proofErr w:type="gramEnd"/>
      <w:r>
        <w:t xml:space="preserve"> any one compound, then corrective action must be taken prior to the analysis of samples.  If attempts to correct the problem are unsuccessful, a new initial five-point calibration must be</w:t>
      </w:r>
      <w:r w:rsidR="00A67D89">
        <w:t xml:space="preserve"> </w:t>
      </w:r>
      <w:proofErr w:type="gramStart"/>
      <w:r w:rsidR="0005655A">
        <w:t>performed</w:t>
      </w:r>
      <w:proofErr w:type="gramEnd"/>
      <w:r w:rsidR="0005655A">
        <w:t>.</w:t>
      </w:r>
    </w:p>
    <w:p w14:paraId="55A95144" w14:textId="1D8C6BC8" w:rsidR="00883FA8" w:rsidRDefault="00883FA8" w:rsidP="001D50EF">
      <w:pPr>
        <w:ind w:left="2160" w:firstLine="0"/>
      </w:pPr>
    </w:p>
    <w:p w14:paraId="39655509" w14:textId="65AB203A" w:rsidR="00CA02FA" w:rsidRDefault="00421E09" w:rsidP="00093377">
      <w:pPr>
        <w:numPr>
          <w:ilvl w:val="0"/>
          <w:numId w:val="117"/>
        </w:numPr>
        <w:spacing w:after="0"/>
        <w:ind w:left="2160" w:right="255"/>
      </w:pPr>
      <w:r w:rsidRPr="00CA02FA">
        <w:rPr>
          <w:u w:val="single" w:color="000000"/>
        </w:rPr>
        <w:t>Calibration Standard Internal Standard Check</w:t>
      </w:r>
      <w:r>
        <w:t xml:space="preserve"> Internal standards criteria for the calibration verification standard must be evaluated during or immediately after data acquisition.  The retention time for any internal standard in the calibration verification standard must not change by more than 30 seconds from the RTs of the internal standards in the mid-range concentration standard of the most recent initial calibration sequence.  The peak area counts for the internal standards in the calibration verification standard must change by less than a factor of 2 (-50% to +100%) from the area counts for the internal standard peaks in the mid-range concentration standard of the most recent initial calibration sequence.</w:t>
      </w:r>
    </w:p>
    <w:p w14:paraId="3EC68B93" w14:textId="77777777" w:rsidR="00CA02FA" w:rsidRDefault="00CA02FA" w:rsidP="00CA02FA">
      <w:pPr>
        <w:spacing w:after="0"/>
        <w:ind w:left="2160" w:right="255" w:firstLine="0"/>
      </w:pPr>
    </w:p>
    <w:p w14:paraId="70C1FC86" w14:textId="302516E8" w:rsidR="00421E09" w:rsidRDefault="00CA02FA" w:rsidP="00CA02FA">
      <w:pPr>
        <w:spacing w:after="0"/>
        <w:ind w:left="2160" w:right="255" w:firstLine="0"/>
      </w:pPr>
      <w:r>
        <w:t xml:space="preserve">If </w:t>
      </w:r>
      <w:r w:rsidR="00421E09">
        <w:t xml:space="preserve">either of these criteria are not met, the mass spectrometer must be inspected for malfunctions, and corrections must be made as appropriate.  When corrections are made, reanalysis of samples analyzed while the system was malfunctioning is required.  Corrections must be documented in the case narrative.  Internal standard RT and area count data must be reported for both analyses (before and after corrective action). </w:t>
      </w:r>
    </w:p>
    <w:p w14:paraId="254C0AE5" w14:textId="2B0E227B" w:rsidR="00B56D50" w:rsidRDefault="00B56D50" w:rsidP="004B6C11">
      <w:pPr>
        <w:spacing w:after="0" w:line="259" w:lineRule="auto"/>
        <w:ind w:left="2160" w:right="0" w:firstLine="0"/>
      </w:pPr>
    </w:p>
    <w:p w14:paraId="714ABFB1" w14:textId="77777777" w:rsidR="00B56D50" w:rsidRDefault="001C3C42" w:rsidP="00093377">
      <w:pPr>
        <w:numPr>
          <w:ilvl w:val="0"/>
          <w:numId w:val="26"/>
        </w:numPr>
        <w:ind w:right="255" w:hanging="360"/>
      </w:pPr>
      <w:r>
        <w:t>A method blank must be analyzed after the calibration standard to assure that the total system (introduction device, transfer lines, and GC/MS system) is free of contaminants.  If the method blank indicates contamination, then it may be appropriate to analyze a solvent blank to ensure that the contamination is not a result of carryover from standards or samples.</w:t>
      </w:r>
      <w:r>
        <w:rPr>
          <w:b/>
        </w:rPr>
        <w:t xml:space="preserve"> </w:t>
      </w:r>
    </w:p>
    <w:p w14:paraId="62CE6369" w14:textId="22C8AC75" w:rsidR="004B6C11" w:rsidRDefault="004B6C11" w:rsidP="00733230">
      <w:pPr>
        <w:spacing w:after="0" w:line="259" w:lineRule="auto"/>
        <w:ind w:left="720" w:right="0" w:firstLine="0"/>
        <w:rPr>
          <w:rFonts w:ascii="Arial" w:eastAsia="Arial" w:hAnsi="Arial" w:cs="Arial"/>
        </w:rPr>
      </w:pPr>
    </w:p>
    <w:p w14:paraId="078CBAE8" w14:textId="2EDC06D5" w:rsidR="004B6C11" w:rsidRDefault="004B6C11" w:rsidP="00733230">
      <w:pPr>
        <w:spacing w:after="0" w:line="259" w:lineRule="auto"/>
        <w:ind w:left="720" w:right="0" w:firstLine="0"/>
        <w:rPr>
          <w:rFonts w:ascii="Arial" w:eastAsia="Arial" w:hAnsi="Arial" w:cs="Arial"/>
        </w:rPr>
      </w:pPr>
    </w:p>
    <w:p w14:paraId="1F2471B0" w14:textId="49FEF7CA" w:rsidR="004B6C11" w:rsidRDefault="004B6C11" w:rsidP="00733230">
      <w:pPr>
        <w:spacing w:after="0" w:line="259" w:lineRule="auto"/>
        <w:ind w:left="720" w:right="0" w:firstLine="0"/>
        <w:rPr>
          <w:rFonts w:ascii="Arial" w:eastAsia="Arial" w:hAnsi="Arial" w:cs="Arial"/>
        </w:rPr>
      </w:pPr>
    </w:p>
    <w:p w14:paraId="431BF6D7" w14:textId="5574D520" w:rsidR="00EC0A66" w:rsidRDefault="00EC0A66" w:rsidP="00733230">
      <w:pPr>
        <w:spacing w:after="0" w:line="259" w:lineRule="auto"/>
        <w:ind w:left="720" w:right="0"/>
      </w:pPr>
    </w:p>
    <w:p w14:paraId="2E190AE7" w14:textId="77777777" w:rsidR="004B6F01" w:rsidRPr="00313687" w:rsidRDefault="004B6F01" w:rsidP="00733230">
      <w:pPr>
        <w:spacing w:after="0" w:line="259" w:lineRule="auto"/>
        <w:ind w:left="720" w:right="0"/>
      </w:pPr>
    </w:p>
    <w:p w14:paraId="22D96395" w14:textId="74A7B8FF" w:rsidR="00EC0A66" w:rsidRPr="00C31E1B" w:rsidRDefault="00EC0A66" w:rsidP="00EC0A66">
      <w:pPr>
        <w:pStyle w:val="Heading5"/>
        <w:spacing w:after="16" w:line="247" w:lineRule="auto"/>
        <w:ind w:left="1090" w:right="186"/>
      </w:pPr>
      <w:r>
        <w:t>THE REMAINDER OF THIS PAGE HAS BEEN LEFT BLANK INTENTIONALLY</w:t>
      </w:r>
    </w:p>
    <w:p w14:paraId="08CE1DEE" w14:textId="61711103" w:rsidR="00EC0A66" w:rsidRPr="00C31E1B" w:rsidRDefault="00EC0A66" w:rsidP="00EC0A66">
      <w:pPr>
        <w:spacing w:after="0" w:line="259" w:lineRule="auto"/>
        <w:ind w:left="540" w:right="0" w:firstLine="0"/>
        <w:rPr>
          <w:rFonts w:eastAsia="Arial"/>
        </w:rPr>
      </w:pPr>
    </w:p>
    <w:p w14:paraId="6F9D4F01" w14:textId="49A67C07" w:rsidR="004B6C11" w:rsidRDefault="004B6C11" w:rsidP="00A77B04">
      <w:pPr>
        <w:spacing w:after="0" w:line="259" w:lineRule="auto"/>
        <w:ind w:left="540" w:right="0" w:firstLine="0"/>
        <w:rPr>
          <w:rFonts w:ascii="Arial" w:eastAsia="Arial" w:hAnsi="Arial" w:cs="Arial"/>
        </w:rPr>
      </w:pPr>
    </w:p>
    <w:p w14:paraId="179D35DC" w14:textId="12F0ED84" w:rsidR="004B6C11" w:rsidRDefault="004B6C11" w:rsidP="00A77B04">
      <w:pPr>
        <w:spacing w:after="0" w:line="259" w:lineRule="auto"/>
        <w:ind w:left="540" w:right="0" w:firstLine="0"/>
        <w:rPr>
          <w:rFonts w:ascii="Arial" w:eastAsia="Arial" w:hAnsi="Arial" w:cs="Arial"/>
        </w:rPr>
      </w:pPr>
    </w:p>
    <w:p w14:paraId="6876B8C9" w14:textId="3FD493AE" w:rsidR="004B6C11" w:rsidRDefault="004B6C11" w:rsidP="00A77B04">
      <w:pPr>
        <w:spacing w:after="0" w:line="259" w:lineRule="auto"/>
        <w:ind w:left="540" w:right="0" w:firstLine="0"/>
        <w:rPr>
          <w:rFonts w:ascii="Arial" w:eastAsia="Arial" w:hAnsi="Arial" w:cs="Arial"/>
        </w:rPr>
      </w:pPr>
    </w:p>
    <w:p w14:paraId="50B1E693" w14:textId="593252ED" w:rsidR="004B6C11" w:rsidRDefault="004B6C11" w:rsidP="00A77B04">
      <w:pPr>
        <w:spacing w:after="0" w:line="259" w:lineRule="auto"/>
        <w:ind w:left="540" w:right="0" w:firstLine="0"/>
        <w:rPr>
          <w:rFonts w:ascii="Arial" w:eastAsia="Arial" w:hAnsi="Arial" w:cs="Arial"/>
        </w:rPr>
      </w:pPr>
    </w:p>
    <w:p w14:paraId="6FB7B9CC" w14:textId="22186054" w:rsidR="004B6C11" w:rsidRDefault="004B6C11" w:rsidP="00A77B04">
      <w:pPr>
        <w:spacing w:after="0" w:line="259" w:lineRule="auto"/>
        <w:ind w:left="540" w:right="0" w:firstLine="0"/>
        <w:rPr>
          <w:rFonts w:ascii="Arial" w:eastAsia="Arial" w:hAnsi="Arial" w:cs="Arial"/>
        </w:rPr>
      </w:pPr>
    </w:p>
    <w:p w14:paraId="2B1DBA5E" w14:textId="43908643" w:rsidR="00174619" w:rsidRDefault="00174619" w:rsidP="00946926">
      <w:pPr>
        <w:spacing w:after="0" w:line="259" w:lineRule="auto"/>
        <w:ind w:right="0"/>
        <w:rPr>
          <w:rFonts w:eastAsia="Arial"/>
          <w:b/>
        </w:rPr>
      </w:pPr>
    </w:p>
    <w:p w14:paraId="0CC537EE" w14:textId="77777777" w:rsidR="00963C55" w:rsidRPr="00D359B2" w:rsidDel="00883FA8" w:rsidRDefault="00963C55" w:rsidP="00946926">
      <w:pPr>
        <w:spacing w:after="0" w:line="259" w:lineRule="auto"/>
        <w:ind w:right="0"/>
        <w:rPr>
          <w:rFonts w:eastAsia="Arial"/>
          <w:b/>
        </w:rPr>
      </w:pPr>
    </w:p>
    <w:p w14:paraId="66D88978" w14:textId="1E54BE12" w:rsidR="00B56D50" w:rsidDel="00883FA8" w:rsidRDefault="001C3C42">
      <w:pPr>
        <w:pStyle w:val="Heading5"/>
        <w:ind w:left="1599"/>
      </w:pPr>
      <w:r w:rsidDel="00883FA8">
        <w:t>TABLE 1</w:t>
      </w:r>
      <w:r w:rsidR="009635C1" w:rsidDel="00883FA8">
        <w:t>3</w:t>
      </w:r>
      <w:r w:rsidDel="00883FA8">
        <w:t xml:space="preserve"> </w:t>
      </w:r>
    </w:p>
    <w:p w14:paraId="1C1EAB72" w14:textId="5F1CA0DE" w:rsidR="00B56D50" w:rsidDel="00883FA8" w:rsidRDefault="001C3C42">
      <w:pPr>
        <w:pStyle w:val="Heading6"/>
        <w:ind w:left="2629" w:right="186"/>
      </w:pPr>
      <w:r w:rsidDel="00883FA8">
        <w:t>Response Factor %D Calibration Verification Criteria for VOC Analysis</w:t>
      </w:r>
      <w:r w:rsidDel="00883FA8">
        <w:rPr>
          <w:b w:val="0"/>
        </w:rPr>
        <w:t xml:space="preserve">  </w:t>
      </w:r>
    </w:p>
    <w:p w14:paraId="5FA3E8A3" w14:textId="04C85DBF" w:rsidR="00B56D50" w:rsidDel="00883FA8" w:rsidRDefault="001C3C42">
      <w:pPr>
        <w:spacing w:after="0" w:line="259" w:lineRule="auto"/>
        <w:ind w:left="1609" w:right="0" w:firstLine="0"/>
        <w:jc w:val="center"/>
      </w:pPr>
      <w:r w:rsidDel="00883FA8">
        <w:rPr>
          <w:b/>
          <w:sz w:val="8"/>
        </w:rPr>
        <w:t xml:space="preserve"> </w:t>
      </w:r>
    </w:p>
    <w:tbl>
      <w:tblPr>
        <w:tblStyle w:val="TableGrid1"/>
        <w:tblW w:w="6390" w:type="dxa"/>
        <w:tblInd w:w="2828" w:type="dxa"/>
        <w:tblCellMar>
          <w:top w:w="12" w:type="dxa"/>
          <w:left w:w="135" w:type="dxa"/>
          <w:right w:w="115" w:type="dxa"/>
        </w:tblCellMar>
        <w:tblLook w:val="04A0" w:firstRow="1" w:lastRow="0" w:firstColumn="1" w:lastColumn="0" w:noHBand="0" w:noVBand="1"/>
      </w:tblPr>
      <w:tblGrid>
        <w:gridCol w:w="1709"/>
        <w:gridCol w:w="2612"/>
        <w:gridCol w:w="2069"/>
      </w:tblGrid>
      <w:tr w:rsidR="00B56D50" w:rsidDel="00883FA8" w14:paraId="3839C587" w14:textId="3014A5AE" w:rsidTr="00042D8C">
        <w:trPr>
          <w:trHeight w:val="317"/>
        </w:trPr>
        <w:tc>
          <w:tcPr>
            <w:tcW w:w="1709" w:type="dxa"/>
            <w:tcBorders>
              <w:top w:val="single" w:sz="12" w:space="0" w:color="000000"/>
              <w:left w:val="single" w:sz="12" w:space="0" w:color="000000"/>
              <w:bottom w:val="single" w:sz="12" w:space="0" w:color="000000"/>
              <w:right w:val="single" w:sz="12" w:space="0" w:color="000000"/>
            </w:tcBorders>
            <w:vAlign w:val="center"/>
          </w:tcPr>
          <w:p w14:paraId="2E20A635" w14:textId="2DDACD80" w:rsidR="00B56D50" w:rsidDel="00883FA8" w:rsidRDefault="001C3C42" w:rsidP="00D359B2">
            <w:pPr>
              <w:spacing w:after="0" w:line="259" w:lineRule="auto"/>
              <w:ind w:left="0" w:right="23" w:firstLine="0"/>
              <w:jc w:val="center"/>
            </w:pPr>
            <w:r w:rsidDel="00883FA8">
              <w:rPr>
                <w:b/>
                <w:sz w:val="20"/>
              </w:rPr>
              <w:t>Analyte Type</w:t>
            </w:r>
          </w:p>
        </w:tc>
        <w:tc>
          <w:tcPr>
            <w:tcW w:w="2612" w:type="dxa"/>
            <w:tcBorders>
              <w:top w:val="single" w:sz="12" w:space="0" w:color="000000"/>
              <w:left w:val="single" w:sz="12" w:space="0" w:color="000000"/>
              <w:bottom w:val="single" w:sz="12" w:space="0" w:color="000000"/>
              <w:right w:val="single" w:sz="12" w:space="0" w:color="000000"/>
            </w:tcBorders>
            <w:vAlign w:val="center"/>
          </w:tcPr>
          <w:p w14:paraId="359515CC" w14:textId="311CBA4B" w:rsidR="00B56D50" w:rsidDel="00883FA8" w:rsidRDefault="001C3C42" w:rsidP="00D359B2">
            <w:pPr>
              <w:spacing w:after="0" w:line="259" w:lineRule="auto"/>
              <w:ind w:left="0" w:right="23" w:firstLine="0"/>
              <w:jc w:val="center"/>
            </w:pPr>
            <w:r w:rsidDel="00883FA8">
              <w:rPr>
                <w:b/>
                <w:sz w:val="20"/>
              </w:rPr>
              <w:t>Compound</w:t>
            </w:r>
          </w:p>
        </w:tc>
        <w:tc>
          <w:tcPr>
            <w:tcW w:w="2069" w:type="dxa"/>
            <w:tcBorders>
              <w:top w:val="single" w:sz="12" w:space="0" w:color="000000"/>
              <w:left w:val="single" w:sz="12" w:space="0" w:color="000000"/>
              <w:bottom w:val="single" w:sz="12" w:space="0" w:color="000000"/>
              <w:right w:val="single" w:sz="12" w:space="0" w:color="000000"/>
            </w:tcBorders>
            <w:vAlign w:val="center"/>
          </w:tcPr>
          <w:p w14:paraId="33720515" w14:textId="0CBC54FA" w:rsidR="00B56D50" w:rsidDel="00883FA8" w:rsidRDefault="001C3C42" w:rsidP="00D359B2">
            <w:pPr>
              <w:spacing w:after="0" w:line="259" w:lineRule="auto"/>
              <w:ind w:left="0" w:right="27" w:firstLine="0"/>
              <w:jc w:val="center"/>
            </w:pPr>
            <w:r w:rsidDel="00883FA8">
              <w:rPr>
                <w:b/>
                <w:sz w:val="20"/>
              </w:rPr>
              <w:t>Maximum %D</w:t>
            </w:r>
          </w:p>
        </w:tc>
      </w:tr>
      <w:tr w:rsidR="00B56D50" w:rsidDel="00883FA8" w14:paraId="0DACF4CC" w14:textId="47613F7C" w:rsidTr="00042D8C">
        <w:trPr>
          <w:trHeight w:val="360"/>
        </w:trPr>
        <w:tc>
          <w:tcPr>
            <w:tcW w:w="1709" w:type="dxa"/>
            <w:tcBorders>
              <w:top w:val="single" w:sz="12" w:space="0" w:color="000000"/>
              <w:left w:val="single" w:sz="12" w:space="0" w:color="000000"/>
              <w:bottom w:val="single" w:sz="4" w:space="0" w:color="000000"/>
              <w:right w:val="single" w:sz="12" w:space="0" w:color="000000"/>
            </w:tcBorders>
            <w:vAlign w:val="center"/>
          </w:tcPr>
          <w:p w14:paraId="1B5BB026" w14:textId="57D1F11E" w:rsidR="00B56D50" w:rsidDel="00883FA8" w:rsidRDefault="001C3C42" w:rsidP="00D359B2">
            <w:pPr>
              <w:spacing w:after="0" w:line="259" w:lineRule="auto"/>
              <w:ind w:left="0" w:right="24" w:firstLine="0"/>
              <w:jc w:val="center"/>
            </w:pPr>
            <w:r w:rsidDel="00883FA8">
              <w:rPr>
                <w:b/>
                <w:sz w:val="20"/>
              </w:rPr>
              <w:t>CCC</w:t>
            </w:r>
          </w:p>
        </w:tc>
        <w:tc>
          <w:tcPr>
            <w:tcW w:w="2612" w:type="dxa"/>
            <w:tcBorders>
              <w:top w:val="single" w:sz="12" w:space="0" w:color="000000"/>
              <w:left w:val="single" w:sz="12" w:space="0" w:color="000000"/>
              <w:bottom w:val="single" w:sz="4" w:space="0" w:color="000000"/>
              <w:right w:val="single" w:sz="12" w:space="0" w:color="000000"/>
            </w:tcBorders>
            <w:vAlign w:val="center"/>
          </w:tcPr>
          <w:p w14:paraId="27816F0F" w14:textId="48966F4F" w:rsidR="00B56D50" w:rsidDel="00883FA8" w:rsidRDefault="001C3C42" w:rsidP="00042D8C">
            <w:pPr>
              <w:spacing w:after="0" w:line="259" w:lineRule="auto"/>
              <w:ind w:left="2" w:right="0" w:firstLine="0"/>
              <w:jc w:val="center"/>
            </w:pPr>
            <w:r w:rsidDel="00883FA8">
              <w:rPr>
                <w:b/>
                <w:sz w:val="20"/>
              </w:rPr>
              <w:t>1,1-Dichloroethene</w:t>
            </w:r>
          </w:p>
        </w:tc>
        <w:tc>
          <w:tcPr>
            <w:tcW w:w="2069" w:type="dxa"/>
            <w:tcBorders>
              <w:top w:val="single" w:sz="12" w:space="0" w:color="000000"/>
              <w:left w:val="single" w:sz="12" w:space="0" w:color="000000"/>
              <w:bottom w:val="single" w:sz="4" w:space="0" w:color="000000"/>
              <w:right w:val="single" w:sz="12" w:space="0" w:color="000000"/>
            </w:tcBorders>
            <w:vAlign w:val="center"/>
          </w:tcPr>
          <w:p w14:paraId="2B8E5057" w14:textId="7E9F7BE7" w:rsidR="00B56D50" w:rsidDel="00883FA8" w:rsidRDefault="001C3C42" w:rsidP="00D359B2">
            <w:pPr>
              <w:spacing w:after="0" w:line="259" w:lineRule="auto"/>
              <w:ind w:left="0" w:right="25" w:firstLine="0"/>
              <w:jc w:val="center"/>
            </w:pPr>
            <w:r w:rsidDel="00883FA8">
              <w:rPr>
                <w:b/>
                <w:sz w:val="20"/>
              </w:rPr>
              <w:t>20</w:t>
            </w:r>
          </w:p>
        </w:tc>
      </w:tr>
      <w:tr w:rsidR="00B56D50" w:rsidDel="00883FA8" w14:paraId="2F091169" w14:textId="6379F20A" w:rsidTr="00042D8C">
        <w:trPr>
          <w:trHeight w:val="360"/>
        </w:trPr>
        <w:tc>
          <w:tcPr>
            <w:tcW w:w="1709" w:type="dxa"/>
            <w:tcBorders>
              <w:top w:val="single" w:sz="4" w:space="0" w:color="000000"/>
              <w:left w:val="single" w:sz="12" w:space="0" w:color="000000"/>
              <w:bottom w:val="single" w:sz="4" w:space="0" w:color="000000"/>
              <w:right w:val="single" w:sz="12" w:space="0" w:color="000000"/>
            </w:tcBorders>
            <w:vAlign w:val="center"/>
          </w:tcPr>
          <w:p w14:paraId="3F37EBC2" w14:textId="763E94FB" w:rsidR="00B56D50" w:rsidDel="00883FA8" w:rsidRDefault="001C3C42" w:rsidP="00D359B2">
            <w:pPr>
              <w:spacing w:after="0" w:line="259" w:lineRule="auto"/>
              <w:ind w:left="0" w:right="24" w:firstLine="0"/>
              <w:jc w:val="center"/>
            </w:pPr>
            <w:r w:rsidDel="00883FA8">
              <w:rPr>
                <w:b/>
                <w:sz w:val="20"/>
              </w:rPr>
              <w:t>CCC</w:t>
            </w:r>
          </w:p>
        </w:tc>
        <w:tc>
          <w:tcPr>
            <w:tcW w:w="2612" w:type="dxa"/>
            <w:tcBorders>
              <w:top w:val="single" w:sz="4" w:space="0" w:color="000000"/>
              <w:left w:val="single" w:sz="12" w:space="0" w:color="000000"/>
              <w:bottom w:val="single" w:sz="4" w:space="0" w:color="000000"/>
              <w:right w:val="single" w:sz="12" w:space="0" w:color="000000"/>
            </w:tcBorders>
            <w:vAlign w:val="center"/>
          </w:tcPr>
          <w:p w14:paraId="5F5C4D69" w14:textId="751EF120" w:rsidR="00B56D50" w:rsidDel="00883FA8" w:rsidRDefault="001C3C42" w:rsidP="00042D8C">
            <w:pPr>
              <w:spacing w:after="0" w:line="259" w:lineRule="auto"/>
              <w:ind w:left="2" w:right="0" w:firstLine="0"/>
              <w:jc w:val="center"/>
            </w:pPr>
            <w:r w:rsidDel="00883FA8">
              <w:rPr>
                <w:b/>
                <w:sz w:val="20"/>
              </w:rPr>
              <w:t>Chloroform</w:t>
            </w:r>
          </w:p>
        </w:tc>
        <w:tc>
          <w:tcPr>
            <w:tcW w:w="2069" w:type="dxa"/>
            <w:tcBorders>
              <w:top w:val="single" w:sz="4" w:space="0" w:color="000000"/>
              <w:left w:val="single" w:sz="12" w:space="0" w:color="000000"/>
              <w:bottom w:val="single" w:sz="4" w:space="0" w:color="000000"/>
              <w:right w:val="single" w:sz="12" w:space="0" w:color="000000"/>
            </w:tcBorders>
            <w:vAlign w:val="center"/>
          </w:tcPr>
          <w:p w14:paraId="7312B079" w14:textId="2E03D11C" w:rsidR="00B56D50" w:rsidDel="00883FA8" w:rsidRDefault="001C3C42" w:rsidP="00D359B2">
            <w:pPr>
              <w:spacing w:after="0" w:line="259" w:lineRule="auto"/>
              <w:ind w:left="0" w:right="25" w:firstLine="0"/>
              <w:jc w:val="center"/>
            </w:pPr>
            <w:r w:rsidDel="00883FA8">
              <w:rPr>
                <w:b/>
                <w:sz w:val="20"/>
              </w:rPr>
              <w:t>20</w:t>
            </w:r>
          </w:p>
        </w:tc>
      </w:tr>
      <w:tr w:rsidR="00B56D50" w:rsidDel="00883FA8" w14:paraId="1FAE87B0" w14:textId="5E9A95AC" w:rsidTr="00042D8C">
        <w:trPr>
          <w:trHeight w:val="360"/>
        </w:trPr>
        <w:tc>
          <w:tcPr>
            <w:tcW w:w="1709" w:type="dxa"/>
            <w:tcBorders>
              <w:top w:val="single" w:sz="4" w:space="0" w:color="000000"/>
              <w:left w:val="single" w:sz="12" w:space="0" w:color="000000"/>
              <w:bottom w:val="single" w:sz="4" w:space="0" w:color="000000"/>
              <w:right w:val="single" w:sz="12" w:space="0" w:color="000000"/>
            </w:tcBorders>
            <w:vAlign w:val="center"/>
          </w:tcPr>
          <w:p w14:paraId="09EDC1F0" w14:textId="4618CF66" w:rsidR="00B56D50" w:rsidDel="00883FA8" w:rsidRDefault="001C3C42" w:rsidP="00D359B2">
            <w:pPr>
              <w:spacing w:after="0" w:line="259" w:lineRule="auto"/>
              <w:ind w:left="0" w:right="24" w:firstLine="0"/>
              <w:jc w:val="center"/>
            </w:pPr>
            <w:r w:rsidDel="00883FA8">
              <w:rPr>
                <w:b/>
                <w:sz w:val="20"/>
              </w:rPr>
              <w:t>CCC</w:t>
            </w:r>
          </w:p>
        </w:tc>
        <w:tc>
          <w:tcPr>
            <w:tcW w:w="2612" w:type="dxa"/>
            <w:tcBorders>
              <w:top w:val="single" w:sz="4" w:space="0" w:color="000000"/>
              <w:left w:val="single" w:sz="12" w:space="0" w:color="000000"/>
              <w:bottom w:val="single" w:sz="4" w:space="0" w:color="000000"/>
              <w:right w:val="single" w:sz="12" w:space="0" w:color="000000"/>
            </w:tcBorders>
            <w:vAlign w:val="center"/>
          </w:tcPr>
          <w:p w14:paraId="0135D109" w14:textId="6B8A91D4" w:rsidR="00B56D50" w:rsidDel="00883FA8" w:rsidRDefault="001C3C42" w:rsidP="00042D8C">
            <w:pPr>
              <w:spacing w:after="0" w:line="259" w:lineRule="auto"/>
              <w:ind w:left="2" w:right="0" w:firstLine="0"/>
              <w:jc w:val="center"/>
            </w:pPr>
            <w:r w:rsidDel="00883FA8">
              <w:rPr>
                <w:b/>
                <w:sz w:val="20"/>
              </w:rPr>
              <w:t>1,2-Dichloropropane</w:t>
            </w:r>
          </w:p>
        </w:tc>
        <w:tc>
          <w:tcPr>
            <w:tcW w:w="2069" w:type="dxa"/>
            <w:tcBorders>
              <w:top w:val="single" w:sz="4" w:space="0" w:color="000000"/>
              <w:left w:val="single" w:sz="12" w:space="0" w:color="000000"/>
              <w:bottom w:val="single" w:sz="4" w:space="0" w:color="000000"/>
              <w:right w:val="single" w:sz="12" w:space="0" w:color="000000"/>
            </w:tcBorders>
            <w:vAlign w:val="center"/>
          </w:tcPr>
          <w:p w14:paraId="08A0E645" w14:textId="0913FB41" w:rsidR="00B56D50" w:rsidDel="00883FA8" w:rsidRDefault="001C3C42" w:rsidP="00D359B2">
            <w:pPr>
              <w:spacing w:after="0" w:line="259" w:lineRule="auto"/>
              <w:ind w:left="0" w:right="25" w:firstLine="0"/>
              <w:jc w:val="center"/>
            </w:pPr>
            <w:r w:rsidDel="00883FA8">
              <w:rPr>
                <w:b/>
                <w:sz w:val="20"/>
              </w:rPr>
              <w:t>20</w:t>
            </w:r>
          </w:p>
        </w:tc>
      </w:tr>
      <w:tr w:rsidR="00B56D50" w:rsidDel="00883FA8" w14:paraId="03039252" w14:textId="5A4532B8" w:rsidTr="00042D8C">
        <w:trPr>
          <w:trHeight w:val="360"/>
        </w:trPr>
        <w:tc>
          <w:tcPr>
            <w:tcW w:w="1709" w:type="dxa"/>
            <w:tcBorders>
              <w:top w:val="single" w:sz="4" w:space="0" w:color="000000"/>
              <w:left w:val="single" w:sz="12" w:space="0" w:color="000000"/>
              <w:bottom w:val="single" w:sz="4" w:space="0" w:color="000000"/>
              <w:right w:val="single" w:sz="12" w:space="0" w:color="000000"/>
            </w:tcBorders>
            <w:vAlign w:val="center"/>
          </w:tcPr>
          <w:p w14:paraId="059826C6" w14:textId="495ABB21" w:rsidR="00B56D50" w:rsidDel="00883FA8" w:rsidRDefault="001C3C42" w:rsidP="00D359B2">
            <w:pPr>
              <w:spacing w:after="0" w:line="259" w:lineRule="auto"/>
              <w:ind w:left="0" w:right="24" w:firstLine="0"/>
              <w:jc w:val="center"/>
            </w:pPr>
            <w:r w:rsidDel="00883FA8">
              <w:rPr>
                <w:b/>
                <w:sz w:val="20"/>
              </w:rPr>
              <w:t>CCC</w:t>
            </w:r>
          </w:p>
        </w:tc>
        <w:tc>
          <w:tcPr>
            <w:tcW w:w="2612" w:type="dxa"/>
            <w:tcBorders>
              <w:top w:val="single" w:sz="4" w:space="0" w:color="000000"/>
              <w:left w:val="single" w:sz="12" w:space="0" w:color="000000"/>
              <w:bottom w:val="single" w:sz="4" w:space="0" w:color="000000"/>
              <w:right w:val="single" w:sz="12" w:space="0" w:color="000000"/>
            </w:tcBorders>
            <w:vAlign w:val="center"/>
          </w:tcPr>
          <w:p w14:paraId="39141BC3" w14:textId="300B11ED" w:rsidR="00B56D50" w:rsidDel="00883FA8" w:rsidRDefault="001C3C42" w:rsidP="00042D8C">
            <w:pPr>
              <w:spacing w:after="0" w:line="259" w:lineRule="auto"/>
              <w:ind w:left="2" w:right="0" w:firstLine="0"/>
              <w:jc w:val="center"/>
            </w:pPr>
            <w:r w:rsidDel="00883FA8">
              <w:rPr>
                <w:b/>
                <w:sz w:val="20"/>
              </w:rPr>
              <w:t>Toluene</w:t>
            </w:r>
          </w:p>
        </w:tc>
        <w:tc>
          <w:tcPr>
            <w:tcW w:w="2069" w:type="dxa"/>
            <w:tcBorders>
              <w:top w:val="single" w:sz="4" w:space="0" w:color="000000"/>
              <w:left w:val="single" w:sz="12" w:space="0" w:color="000000"/>
              <w:bottom w:val="single" w:sz="4" w:space="0" w:color="000000"/>
              <w:right w:val="single" w:sz="12" w:space="0" w:color="000000"/>
            </w:tcBorders>
            <w:vAlign w:val="center"/>
          </w:tcPr>
          <w:p w14:paraId="5379CEE9" w14:textId="3D46A56E" w:rsidR="00B56D50" w:rsidDel="00883FA8" w:rsidRDefault="001C3C42" w:rsidP="00D359B2">
            <w:pPr>
              <w:spacing w:after="0" w:line="259" w:lineRule="auto"/>
              <w:ind w:left="0" w:right="25" w:firstLine="0"/>
              <w:jc w:val="center"/>
            </w:pPr>
            <w:r w:rsidDel="00883FA8">
              <w:rPr>
                <w:b/>
                <w:sz w:val="20"/>
              </w:rPr>
              <w:t>20</w:t>
            </w:r>
          </w:p>
        </w:tc>
      </w:tr>
      <w:tr w:rsidR="00B56D50" w:rsidDel="00883FA8" w14:paraId="34538982" w14:textId="165DB189" w:rsidTr="00042D8C">
        <w:trPr>
          <w:trHeight w:val="360"/>
        </w:trPr>
        <w:tc>
          <w:tcPr>
            <w:tcW w:w="1709" w:type="dxa"/>
            <w:tcBorders>
              <w:top w:val="single" w:sz="4" w:space="0" w:color="000000"/>
              <w:left w:val="single" w:sz="12" w:space="0" w:color="000000"/>
              <w:bottom w:val="single" w:sz="4" w:space="0" w:color="000000"/>
              <w:right w:val="single" w:sz="12" w:space="0" w:color="000000"/>
            </w:tcBorders>
            <w:vAlign w:val="center"/>
          </w:tcPr>
          <w:p w14:paraId="3B1106D1" w14:textId="3DBAA222" w:rsidR="00B56D50" w:rsidDel="00883FA8" w:rsidRDefault="001C3C42" w:rsidP="00D359B2">
            <w:pPr>
              <w:spacing w:after="0" w:line="259" w:lineRule="auto"/>
              <w:ind w:left="0" w:right="24" w:firstLine="0"/>
              <w:jc w:val="center"/>
            </w:pPr>
            <w:r w:rsidDel="00883FA8">
              <w:rPr>
                <w:b/>
                <w:sz w:val="20"/>
              </w:rPr>
              <w:t>CCC</w:t>
            </w:r>
          </w:p>
        </w:tc>
        <w:tc>
          <w:tcPr>
            <w:tcW w:w="2612" w:type="dxa"/>
            <w:tcBorders>
              <w:top w:val="single" w:sz="4" w:space="0" w:color="000000"/>
              <w:left w:val="single" w:sz="12" w:space="0" w:color="000000"/>
              <w:bottom w:val="single" w:sz="4" w:space="0" w:color="000000"/>
              <w:right w:val="single" w:sz="12" w:space="0" w:color="000000"/>
            </w:tcBorders>
            <w:vAlign w:val="center"/>
          </w:tcPr>
          <w:p w14:paraId="173F4E28" w14:textId="3A1E202C" w:rsidR="00B56D50" w:rsidDel="00883FA8" w:rsidRDefault="001C3C42" w:rsidP="00042D8C">
            <w:pPr>
              <w:spacing w:after="0" w:line="259" w:lineRule="auto"/>
              <w:ind w:left="2" w:right="0" w:firstLine="0"/>
              <w:jc w:val="center"/>
            </w:pPr>
            <w:r w:rsidDel="00883FA8">
              <w:rPr>
                <w:b/>
                <w:sz w:val="20"/>
              </w:rPr>
              <w:t>Ethylbenzene</w:t>
            </w:r>
          </w:p>
        </w:tc>
        <w:tc>
          <w:tcPr>
            <w:tcW w:w="2069" w:type="dxa"/>
            <w:tcBorders>
              <w:top w:val="single" w:sz="4" w:space="0" w:color="000000"/>
              <w:left w:val="single" w:sz="12" w:space="0" w:color="000000"/>
              <w:bottom w:val="single" w:sz="4" w:space="0" w:color="000000"/>
              <w:right w:val="single" w:sz="12" w:space="0" w:color="000000"/>
            </w:tcBorders>
            <w:vAlign w:val="center"/>
          </w:tcPr>
          <w:p w14:paraId="72A610EC" w14:textId="10E558E0" w:rsidR="00B56D50" w:rsidDel="00883FA8" w:rsidRDefault="001C3C42" w:rsidP="00D359B2">
            <w:pPr>
              <w:spacing w:after="0" w:line="259" w:lineRule="auto"/>
              <w:ind w:left="0" w:right="25" w:firstLine="0"/>
              <w:jc w:val="center"/>
            </w:pPr>
            <w:r w:rsidDel="00883FA8">
              <w:rPr>
                <w:b/>
                <w:sz w:val="20"/>
              </w:rPr>
              <w:t>20</w:t>
            </w:r>
          </w:p>
          <w:p w14:paraId="67E41702" w14:textId="498F37D5" w:rsidR="00B56D50" w:rsidDel="00883FA8" w:rsidRDefault="00B56D50" w:rsidP="00D359B2">
            <w:pPr>
              <w:spacing w:after="0" w:line="259" w:lineRule="auto"/>
              <w:ind w:left="26" w:right="0" w:firstLine="0"/>
              <w:jc w:val="center"/>
            </w:pPr>
          </w:p>
        </w:tc>
      </w:tr>
      <w:tr w:rsidR="00B56D50" w:rsidDel="00883FA8" w14:paraId="42DB9A31" w14:textId="39F794D0" w:rsidTr="00042D8C">
        <w:trPr>
          <w:trHeight w:val="360"/>
        </w:trPr>
        <w:tc>
          <w:tcPr>
            <w:tcW w:w="1709" w:type="dxa"/>
            <w:tcBorders>
              <w:top w:val="single" w:sz="4" w:space="0" w:color="000000"/>
              <w:left w:val="single" w:sz="12" w:space="0" w:color="000000"/>
              <w:bottom w:val="single" w:sz="12" w:space="0" w:color="000000"/>
              <w:right w:val="single" w:sz="12" w:space="0" w:color="000000"/>
            </w:tcBorders>
            <w:vAlign w:val="center"/>
          </w:tcPr>
          <w:p w14:paraId="03CF1BA5" w14:textId="3038BE46" w:rsidR="00B56D50" w:rsidDel="00883FA8" w:rsidRDefault="001C3C42" w:rsidP="00D359B2">
            <w:pPr>
              <w:spacing w:after="0" w:line="259" w:lineRule="auto"/>
              <w:ind w:left="0" w:right="24" w:firstLine="0"/>
              <w:jc w:val="center"/>
            </w:pPr>
            <w:r w:rsidDel="00883FA8">
              <w:rPr>
                <w:b/>
                <w:sz w:val="20"/>
              </w:rPr>
              <w:t>CCC</w:t>
            </w:r>
          </w:p>
        </w:tc>
        <w:tc>
          <w:tcPr>
            <w:tcW w:w="2612" w:type="dxa"/>
            <w:tcBorders>
              <w:top w:val="single" w:sz="4" w:space="0" w:color="000000"/>
              <w:left w:val="single" w:sz="12" w:space="0" w:color="000000"/>
              <w:bottom w:val="single" w:sz="12" w:space="0" w:color="000000"/>
              <w:right w:val="single" w:sz="12" w:space="0" w:color="000000"/>
            </w:tcBorders>
            <w:vAlign w:val="center"/>
          </w:tcPr>
          <w:p w14:paraId="3B642D22" w14:textId="6B0FE017" w:rsidR="00B56D50" w:rsidDel="00883FA8" w:rsidRDefault="001C3C42" w:rsidP="00042D8C">
            <w:pPr>
              <w:spacing w:after="0" w:line="259" w:lineRule="auto"/>
              <w:ind w:left="2" w:right="0" w:firstLine="0"/>
              <w:jc w:val="center"/>
            </w:pPr>
            <w:r w:rsidDel="00883FA8">
              <w:rPr>
                <w:b/>
                <w:sz w:val="20"/>
              </w:rPr>
              <w:t>Vinyl chloride</w:t>
            </w:r>
          </w:p>
        </w:tc>
        <w:tc>
          <w:tcPr>
            <w:tcW w:w="2069" w:type="dxa"/>
            <w:tcBorders>
              <w:top w:val="single" w:sz="4" w:space="0" w:color="000000"/>
              <w:left w:val="single" w:sz="12" w:space="0" w:color="000000"/>
              <w:bottom w:val="single" w:sz="12" w:space="0" w:color="000000"/>
              <w:right w:val="single" w:sz="12" w:space="0" w:color="000000"/>
            </w:tcBorders>
            <w:vAlign w:val="center"/>
          </w:tcPr>
          <w:p w14:paraId="0D2440EE" w14:textId="485D2F97" w:rsidR="00B56D50" w:rsidDel="00883FA8" w:rsidRDefault="001C3C42" w:rsidP="00D359B2">
            <w:pPr>
              <w:spacing w:after="0" w:line="259" w:lineRule="auto"/>
              <w:ind w:left="0" w:right="25" w:firstLine="0"/>
              <w:jc w:val="center"/>
            </w:pPr>
            <w:r w:rsidDel="00883FA8">
              <w:rPr>
                <w:b/>
                <w:sz w:val="20"/>
              </w:rPr>
              <w:t>20</w:t>
            </w:r>
          </w:p>
        </w:tc>
      </w:tr>
      <w:tr w:rsidR="00B56D50" w:rsidDel="00883FA8" w14:paraId="7CC49F21" w14:textId="7AB8A451" w:rsidTr="00042D8C">
        <w:trPr>
          <w:trHeight w:val="360"/>
        </w:trPr>
        <w:tc>
          <w:tcPr>
            <w:tcW w:w="4321" w:type="dxa"/>
            <w:gridSpan w:val="2"/>
            <w:tcBorders>
              <w:top w:val="single" w:sz="12" w:space="0" w:color="000000"/>
              <w:left w:val="single" w:sz="12" w:space="0" w:color="000000"/>
              <w:bottom w:val="single" w:sz="12" w:space="0" w:color="000000"/>
              <w:right w:val="single" w:sz="12" w:space="0" w:color="000000"/>
            </w:tcBorders>
            <w:vAlign w:val="center"/>
          </w:tcPr>
          <w:p w14:paraId="7DB71852" w14:textId="42618713" w:rsidR="00B56D50" w:rsidRPr="00281716" w:rsidDel="00883FA8" w:rsidRDefault="001C3C42" w:rsidP="00D359B2">
            <w:pPr>
              <w:spacing w:after="4" w:line="259" w:lineRule="auto"/>
              <w:ind w:left="0" w:right="0" w:firstLine="0"/>
              <w:rPr>
                <w:iCs/>
              </w:rPr>
            </w:pPr>
            <w:r w:rsidRPr="00281716" w:rsidDel="00883FA8">
              <w:rPr>
                <w:b/>
                <w:iCs/>
                <w:sz w:val="20"/>
              </w:rPr>
              <w:t>Alternatively, if CCCs are not in analyte list:</w:t>
            </w:r>
          </w:p>
          <w:p w14:paraId="742D0FC6" w14:textId="2EE85138" w:rsidR="00B56D50" w:rsidDel="00883FA8" w:rsidRDefault="001C3C42" w:rsidP="00D359B2">
            <w:pPr>
              <w:spacing w:after="0" w:line="259" w:lineRule="auto"/>
              <w:ind w:left="0" w:right="0" w:firstLine="0"/>
            </w:pPr>
            <w:r w:rsidRPr="00281716" w:rsidDel="00883FA8">
              <w:rPr>
                <w:b/>
                <w:iCs/>
                <w:sz w:val="20"/>
                <w:u w:val="single" w:color="000000"/>
              </w:rPr>
              <w:t>ALL</w:t>
            </w:r>
            <w:r w:rsidRPr="00281716" w:rsidDel="00883FA8">
              <w:rPr>
                <w:b/>
                <w:iCs/>
                <w:sz w:val="16"/>
              </w:rPr>
              <w:t xml:space="preserve"> </w:t>
            </w:r>
            <w:r w:rsidRPr="00281716" w:rsidDel="00883FA8">
              <w:rPr>
                <w:b/>
                <w:iCs/>
                <w:sz w:val="20"/>
              </w:rPr>
              <w:t>T</w:t>
            </w:r>
            <w:r w:rsidRPr="00281716" w:rsidDel="00883FA8">
              <w:rPr>
                <w:b/>
                <w:iCs/>
                <w:sz w:val="16"/>
              </w:rPr>
              <w:t xml:space="preserve">ARGET </w:t>
            </w:r>
            <w:r w:rsidRPr="00281716" w:rsidDel="00883FA8">
              <w:rPr>
                <w:b/>
                <w:iCs/>
                <w:sz w:val="20"/>
              </w:rPr>
              <w:t>A</w:t>
            </w:r>
            <w:r w:rsidRPr="00281716" w:rsidDel="00883FA8">
              <w:rPr>
                <w:b/>
                <w:iCs/>
                <w:sz w:val="16"/>
              </w:rPr>
              <w:t>NALYTES</w:t>
            </w:r>
          </w:p>
        </w:tc>
        <w:tc>
          <w:tcPr>
            <w:tcW w:w="2069" w:type="dxa"/>
            <w:tcBorders>
              <w:top w:val="single" w:sz="12" w:space="0" w:color="000000"/>
              <w:left w:val="single" w:sz="12" w:space="0" w:color="000000"/>
              <w:bottom w:val="single" w:sz="12" w:space="0" w:color="000000"/>
              <w:right w:val="single" w:sz="12" w:space="0" w:color="000000"/>
            </w:tcBorders>
            <w:vAlign w:val="center"/>
          </w:tcPr>
          <w:p w14:paraId="7FC32738" w14:textId="5EB5ACF2" w:rsidR="00B56D50" w:rsidDel="00883FA8" w:rsidRDefault="001C3C42" w:rsidP="00D359B2">
            <w:pPr>
              <w:spacing w:after="0" w:line="259" w:lineRule="auto"/>
              <w:ind w:left="0" w:right="25" w:firstLine="0"/>
              <w:jc w:val="center"/>
            </w:pPr>
            <w:r w:rsidDel="00883FA8">
              <w:rPr>
                <w:b/>
                <w:sz w:val="20"/>
              </w:rPr>
              <w:t>20</w:t>
            </w:r>
          </w:p>
        </w:tc>
      </w:tr>
    </w:tbl>
    <w:p w14:paraId="02FF2FC1" w14:textId="1884A08E" w:rsidR="00242A80" w:rsidRDefault="00242A80" w:rsidP="00E20737">
      <w:pPr>
        <w:spacing w:after="0" w:line="259" w:lineRule="auto"/>
        <w:ind w:right="0"/>
        <w:rPr>
          <w:rFonts w:eastAsia="Arial"/>
        </w:rPr>
      </w:pPr>
    </w:p>
    <w:p w14:paraId="24F22F9E" w14:textId="72ED393B" w:rsidR="002A53C6" w:rsidRDefault="002A53C6" w:rsidP="002A53C6">
      <w:pPr>
        <w:ind w:left="1990" w:right="255"/>
      </w:pPr>
      <w:r>
        <w:t>If the criteria in TABLE 1</w:t>
      </w:r>
      <w:r w:rsidR="006305E1">
        <w:t>3</w:t>
      </w:r>
      <w:r>
        <w:t xml:space="preserve"> are not met for any one required compound, then corrective action must be taken prior to the analysis of samples.  If attempts to correct the problem are unsuccessful, a new initial five-point calibration must be </w:t>
      </w:r>
      <w:proofErr w:type="gramStart"/>
      <w:r>
        <w:t>performed</w:t>
      </w:r>
      <w:proofErr w:type="gramEnd"/>
      <w:r>
        <w:t>.</w:t>
      </w:r>
      <w:r>
        <w:rPr>
          <w:b/>
        </w:rPr>
        <w:t xml:space="preserve"> </w:t>
      </w:r>
    </w:p>
    <w:p w14:paraId="20190F97" w14:textId="77777777" w:rsidR="002A53C6" w:rsidDel="00883FA8" w:rsidRDefault="002A53C6" w:rsidP="00E20737">
      <w:pPr>
        <w:spacing w:after="0" w:line="259" w:lineRule="auto"/>
        <w:ind w:right="0"/>
        <w:rPr>
          <w:rFonts w:eastAsia="Arial"/>
        </w:rPr>
      </w:pPr>
    </w:p>
    <w:p w14:paraId="52D7DD45" w14:textId="3F223F50" w:rsidR="00B56D50" w:rsidRPr="00BD2487" w:rsidRDefault="001C3C42" w:rsidP="00093377">
      <w:pPr>
        <w:numPr>
          <w:ilvl w:val="0"/>
          <w:numId w:val="77"/>
        </w:numPr>
        <w:spacing w:after="16"/>
        <w:ind w:left="1440" w:right="186" w:hanging="360"/>
        <w:rPr>
          <w:b/>
          <w:bCs/>
        </w:rPr>
      </w:pPr>
      <w:r w:rsidRPr="00BD2487">
        <w:rPr>
          <w:b/>
          <w:bCs/>
        </w:rPr>
        <w:t xml:space="preserve">Blanks </w:t>
      </w:r>
    </w:p>
    <w:p w14:paraId="3E508AD7" w14:textId="0DFE1CFD" w:rsidR="00B56D50" w:rsidRDefault="001C3C42" w:rsidP="0066057C">
      <w:pPr>
        <w:ind w:left="1450" w:right="255"/>
      </w:pPr>
      <w:r>
        <w:t xml:space="preserve">The Contractor shall use the organic-free sample to meet the specific method requirements. </w:t>
      </w:r>
    </w:p>
    <w:p w14:paraId="32EB2DBA" w14:textId="77777777" w:rsidR="00B56D50" w:rsidRDefault="001C3C42" w:rsidP="003110AD">
      <w:pPr>
        <w:spacing w:after="0" w:line="259" w:lineRule="auto"/>
        <w:ind w:left="547" w:right="0" w:firstLine="0"/>
      </w:pPr>
      <w:r>
        <w:t xml:space="preserve"> </w:t>
      </w:r>
    </w:p>
    <w:p w14:paraId="03460753" w14:textId="44A78CDC" w:rsidR="00B56D50" w:rsidRPr="005A452D" w:rsidRDefault="001C3C42" w:rsidP="00093377">
      <w:pPr>
        <w:numPr>
          <w:ilvl w:val="0"/>
          <w:numId w:val="79"/>
        </w:numPr>
        <w:ind w:right="255" w:hanging="360"/>
        <w:rPr>
          <w:b/>
          <w:bCs/>
        </w:rPr>
      </w:pPr>
      <w:r w:rsidRPr="005A452D">
        <w:rPr>
          <w:b/>
          <w:bCs/>
        </w:rPr>
        <w:t xml:space="preserve">Frequency </w:t>
      </w:r>
    </w:p>
    <w:p w14:paraId="3093AAF5" w14:textId="77777777" w:rsidR="00B56D50" w:rsidRDefault="001C3C42" w:rsidP="005A452D">
      <w:pPr>
        <w:ind w:left="1810" w:right="255"/>
      </w:pPr>
      <w:r>
        <w:t xml:space="preserve">For volatile organic compounds analyzed by the purge-and-trap method, the preparation is equivalent to the analysis.  Therefore, one purge-and-trap method blank must be analyzed with each group of samples analyzed on the same instrument during the same analytical shift.  At a minimum, this frequency must be one method blank per 12-hour shift per instrument. </w:t>
      </w:r>
    </w:p>
    <w:p w14:paraId="2C124E80" w14:textId="77777777" w:rsidR="00B56D50" w:rsidRDefault="001C3C42">
      <w:pPr>
        <w:spacing w:after="0" w:line="259" w:lineRule="auto"/>
        <w:ind w:left="540" w:right="0" w:firstLine="0"/>
      </w:pPr>
      <w:r>
        <w:t xml:space="preserve"> </w:t>
      </w:r>
    </w:p>
    <w:p w14:paraId="555A58A5" w14:textId="64AFF31C" w:rsidR="00B56D50" w:rsidRPr="005A452D" w:rsidRDefault="001C3C42" w:rsidP="00093377">
      <w:pPr>
        <w:numPr>
          <w:ilvl w:val="0"/>
          <w:numId w:val="79"/>
        </w:numPr>
        <w:ind w:right="255" w:hanging="360"/>
        <w:rPr>
          <w:b/>
          <w:bCs/>
        </w:rPr>
      </w:pPr>
      <w:r w:rsidRPr="005A452D">
        <w:rPr>
          <w:b/>
          <w:bCs/>
        </w:rPr>
        <w:t xml:space="preserve">Control Criteria </w:t>
      </w:r>
    </w:p>
    <w:p w14:paraId="06078B1C" w14:textId="77777777" w:rsidR="00B56D50" w:rsidRDefault="001C3C42" w:rsidP="005A452D">
      <w:pPr>
        <w:ind w:left="1810" w:right="255"/>
      </w:pPr>
      <w:r>
        <w:t>Analysis of a volatile method blank must meet the following criteria:</w:t>
      </w:r>
      <w:r>
        <w:rPr>
          <w:b/>
        </w:rPr>
        <w:t xml:space="preserve"> </w:t>
      </w:r>
    </w:p>
    <w:p w14:paraId="6A706A7D" w14:textId="77777777" w:rsidR="00B56D50" w:rsidRDefault="001C3C42">
      <w:pPr>
        <w:spacing w:after="0" w:line="259" w:lineRule="auto"/>
        <w:ind w:left="540" w:right="0" w:firstLine="0"/>
      </w:pPr>
      <w:r>
        <w:t xml:space="preserve"> </w:t>
      </w:r>
    </w:p>
    <w:p w14:paraId="75B23BE3" w14:textId="2E000D8A" w:rsidR="00B56D50" w:rsidRDefault="001C3C42" w:rsidP="00093377">
      <w:pPr>
        <w:numPr>
          <w:ilvl w:val="0"/>
          <w:numId w:val="27"/>
        </w:numPr>
        <w:ind w:left="2251" w:right="255" w:hanging="451"/>
      </w:pPr>
      <w:r>
        <w:rPr>
          <w:u w:val="single" w:color="000000"/>
        </w:rPr>
        <w:t>Methylene chloride</w:t>
      </w:r>
      <w:r>
        <w:t xml:space="preserve">, </w:t>
      </w:r>
      <w:r>
        <w:rPr>
          <w:u w:val="single" w:color="000000"/>
        </w:rPr>
        <w:t>acetone</w:t>
      </w:r>
      <w:r>
        <w:t xml:space="preserve">, </w:t>
      </w:r>
      <w:r>
        <w:rPr>
          <w:u w:val="single" w:color="000000"/>
        </w:rPr>
        <w:t>toluene</w:t>
      </w:r>
      <w:r>
        <w:t xml:space="preserve">, and </w:t>
      </w:r>
      <w:r>
        <w:rPr>
          <w:u w:val="single" w:color="000000"/>
        </w:rPr>
        <w:t>2-butanone</w:t>
      </w:r>
      <w:r>
        <w:t xml:space="preserve"> (common laboratory contaminants) must be present at a concentration no greater than 5 times the </w:t>
      </w:r>
      <w:r w:rsidR="00B85DD5">
        <w:t>reporting limit (RL</w:t>
      </w:r>
      <w:r>
        <w:t>).</w:t>
      </w:r>
      <w:r>
        <w:rPr>
          <w:b/>
        </w:rPr>
        <w:t xml:space="preserve"> </w:t>
      </w:r>
    </w:p>
    <w:p w14:paraId="51B064AE" w14:textId="77777777" w:rsidR="00B56D50" w:rsidRDefault="001C3C42">
      <w:pPr>
        <w:spacing w:after="0" w:line="259" w:lineRule="auto"/>
        <w:ind w:left="540" w:right="0" w:firstLine="0"/>
      </w:pPr>
      <w:r>
        <w:t xml:space="preserve"> </w:t>
      </w:r>
    </w:p>
    <w:p w14:paraId="771352BB" w14:textId="77777777" w:rsidR="00B56D50" w:rsidRDefault="001C3C42" w:rsidP="00093377">
      <w:pPr>
        <w:numPr>
          <w:ilvl w:val="0"/>
          <w:numId w:val="27"/>
        </w:numPr>
        <w:ind w:left="2251" w:right="255" w:hanging="451"/>
      </w:pPr>
      <w:r>
        <w:t xml:space="preserve">Concentrations of </w:t>
      </w:r>
      <w:r>
        <w:rPr>
          <w:u w:val="single" w:color="000000"/>
        </w:rPr>
        <w:t>target analytes</w:t>
      </w:r>
      <w:r>
        <w:t xml:space="preserve"> observed in the method blank must be no higher than the highest of:</w:t>
      </w:r>
      <w:r>
        <w:rPr>
          <w:b/>
        </w:rPr>
        <w:t xml:space="preserve"> </w:t>
      </w:r>
    </w:p>
    <w:p w14:paraId="3B59C2E0" w14:textId="77777777" w:rsidR="00B56D50" w:rsidRDefault="001C3C42">
      <w:pPr>
        <w:spacing w:after="18" w:line="259" w:lineRule="auto"/>
        <w:ind w:left="540" w:right="0" w:firstLine="0"/>
      </w:pPr>
      <w:r>
        <w:t xml:space="preserve"> </w:t>
      </w:r>
    </w:p>
    <w:p w14:paraId="7D95D76C" w14:textId="7AE68AB9" w:rsidR="00B56D50" w:rsidRDefault="001C3C42" w:rsidP="00093377">
      <w:pPr>
        <w:numPr>
          <w:ilvl w:val="1"/>
          <w:numId w:val="27"/>
        </w:numPr>
        <w:ind w:left="2520" w:right="255" w:hanging="360"/>
      </w:pPr>
      <w:r>
        <w:t xml:space="preserve">The Contractor’s MDL for the </w:t>
      </w:r>
      <w:r w:rsidR="0019500B">
        <w:t>analyte.</w:t>
      </w:r>
      <w:r>
        <w:t xml:space="preserve"> </w:t>
      </w:r>
    </w:p>
    <w:p w14:paraId="78765872" w14:textId="77777777" w:rsidR="00B56D50" w:rsidRDefault="001C3C42" w:rsidP="00093377">
      <w:pPr>
        <w:numPr>
          <w:ilvl w:val="1"/>
          <w:numId w:val="27"/>
        </w:numPr>
        <w:ind w:left="2520" w:right="255" w:hanging="360"/>
      </w:pPr>
      <w:r>
        <w:t xml:space="preserve">5% of the regulatory limit for that analyte (applicable only if the sample results will be compared to that regulatory limit); or </w:t>
      </w:r>
    </w:p>
    <w:p w14:paraId="6F2C0453" w14:textId="77777777" w:rsidR="00B56D50" w:rsidRDefault="001C3C42" w:rsidP="00093377">
      <w:pPr>
        <w:numPr>
          <w:ilvl w:val="1"/>
          <w:numId w:val="27"/>
        </w:numPr>
        <w:ind w:left="2520" w:right="255" w:hanging="360"/>
      </w:pPr>
      <w:r>
        <w:t xml:space="preserve">5% of the measured concentration in the sample. </w:t>
      </w:r>
    </w:p>
    <w:p w14:paraId="7A42796E" w14:textId="71D07182" w:rsidR="00B56D50" w:rsidRDefault="001C3C42">
      <w:pPr>
        <w:spacing w:after="0" w:line="259" w:lineRule="auto"/>
        <w:ind w:left="540" w:right="0" w:firstLine="0"/>
      </w:pPr>
      <w:r>
        <w:t xml:space="preserve"> </w:t>
      </w:r>
      <w:r>
        <w:rPr>
          <w:rFonts w:ascii="Arial" w:eastAsia="Arial" w:hAnsi="Arial" w:cs="Arial"/>
        </w:rPr>
        <w:t xml:space="preserve"> </w:t>
      </w:r>
    </w:p>
    <w:p w14:paraId="6339604D" w14:textId="73974364" w:rsidR="00B56D50" w:rsidRDefault="001C3C42" w:rsidP="00093377">
      <w:pPr>
        <w:numPr>
          <w:ilvl w:val="0"/>
          <w:numId w:val="27"/>
        </w:numPr>
        <w:ind w:left="2251" w:right="255" w:hanging="451"/>
      </w:pPr>
      <w:r>
        <w:rPr>
          <w:u w:val="single" w:color="000000"/>
        </w:rPr>
        <w:t>Failure of control criteria</w:t>
      </w:r>
      <w:r>
        <w:t>.   If any laboratory method blank exceeds these criteria,</w:t>
      </w:r>
      <w:r>
        <w:rPr>
          <w:b/>
        </w:rPr>
        <w:t xml:space="preserve"> </w:t>
      </w:r>
      <w:r>
        <w:t>the Contractor must take corrective action.  The source of the contamination must be located, the contaminant concentration must be reduced, and all relevant information must be documented.  All samples processed with the contaminated method blank must be re-extracted/</w:t>
      </w:r>
      <w:r w:rsidR="002C2F93">
        <w:t>resurged</w:t>
      </w:r>
      <w:r>
        <w:t xml:space="preserve"> and reanalyzed</w:t>
      </w:r>
      <w:r>
        <w:rPr>
          <w:b/>
        </w:rPr>
        <w:t xml:space="preserve">. </w:t>
      </w:r>
    </w:p>
    <w:p w14:paraId="2B30672E" w14:textId="77777777" w:rsidR="00B56D50" w:rsidRDefault="001C3C42">
      <w:pPr>
        <w:spacing w:after="0" w:line="259" w:lineRule="auto"/>
        <w:ind w:left="540" w:right="0" w:firstLine="0"/>
      </w:pPr>
      <w:r>
        <w:lastRenderedPageBreak/>
        <w:t xml:space="preserve"> </w:t>
      </w:r>
    </w:p>
    <w:p w14:paraId="7AF31730" w14:textId="67E2525F" w:rsidR="00B56D50" w:rsidRDefault="001C3C42" w:rsidP="00093377">
      <w:pPr>
        <w:numPr>
          <w:ilvl w:val="0"/>
          <w:numId w:val="27"/>
        </w:numPr>
        <w:ind w:left="2251" w:right="255" w:hanging="451"/>
      </w:pPr>
      <w:r>
        <w:rPr>
          <w:u w:val="single" w:color="000000"/>
        </w:rPr>
        <w:t>Results and reporting</w:t>
      </w:r>
      <w:r>
        <w:t xml:space="preserve">.  The Contractor must report results of all volatile method blank analyses.  However, the Contractor must </w:t>
      </w:r>
      <w:r>
        <w:rPr>
          <w:u w:val="single" w:color="000000"/>
        </w:rPr>
        <w:t>not</w:t>
      </w:r>
      <w:r>
        <w:t xml:space="preserve"> subtract the results of the method blank from those of any associated samples.</w:t>
      </w:r>
      <w:r>
        <w:rPr>
          <w:b/>
        </w:rPr>
        <w:t xml:space="preserve"> </w:t>
      </w:r>
    </w:p>
    <w:p w14:paraId="5ACD9794" w14:textId="77777777" w:rsidR="00B56D50" w:rsidRDefault="001C3C42">
      <w:pPr>
        <w:spacing w:after="0" w:line="259" w:lineRule="auto"/>
        <w:ind w:left="540" w:right="0" w:firstLine="0"/>
      </w:pPr>
      <w:r>
        <w:t xml:space="preserve"> </w:t>
      </w:r>
    </w:p>
    <w:p w14:paraId="06771E14" w14:textId="77777777" w:rsidR="00047325" w:rsidRPr="00047325" w:rsidRDefault="001C3C42" w:rsidP="00093377">
      <w:pPr>
        <w:numPr>
          <w:ilvl w:val="0"/>
          <w:numId w:val="77"/>
        </w:numPr>
        <w:spacing w:after="16"/>
        <w:ind w:left="1440" w:right="186" w:hanging="360"/>
      </w:pPr>
      <w:r>
        <w:rPr>
          <w:b/>
        </w:rPr>
        <w:t xml:space="preserve">Matrix Spike and Matrix Spike Duplicate (or Matrix Spike and </w:t>
      </w:r>
      <w:r w:rsidR="002C2F93">
        <w:rPr>
          <w:b/>
        </w:rPr>
        <w:t>Un</w:t>
      </w:r>
      <w:r w:rsidR="0019500B">
        <w:rPr>
          <w:b/>
        </w:rPr>
        <w:t>-</w:t>
      </w:r>
      <w:r w:rsidR="002C2F93">
        <w:rPr>
          <w:b/>
        </w:rPr>
        <w:t>sp</w:t>
      </w:r>
      <w:r w:rsidR="00535BD6">
        <w:rPr>
          <w:b/>
        </w:rPr>
        <w:t>i</w:t>
      </w:r>
      <w:r w:rsidR="002C2F93">
        <w:rPr>
          <w:b/>
        </w:rPr>
        <w:t>ked</w:t>
      </w:r>
      <w:r>
        <w:rPr>
          <w:b/>
        </w:rPr>
        <w:t xml:space="preserve"> Duplicates)</w:t>
      </w:r>
    </w:p>
    <w:p w14:paraId="1C3CEE72" w14:textId="55F260AA" w:rsidR="00B56D50" w:rsidRDefault="001C3C42" w:rsidP="00E03D08">
      <w:pPr>
        <w:spacing w:after="16"/>
        <w:ind w:left="1440" w:right="186" w:firstLine="0"/>
      </w:pPr>
      <w:r>
        <w:t xml:space="preserve">The Contractor shall analyze at least one matrix spike and one duplicate </w:t>
      </w:r>
      <w:r w:rsidR="002C2F93">
        <w:t>un</w:t>
      </w:r>
      <w:r w:rsidR="0019500B">
        <w:t>-</w:t>
      </w:r>
      <w:r w:rsidR="002C2F93">
        <w:t>sp</w:t>
      </w:r>
      <w:r w:rsidR="00535BD6">
        <w:t>i</w:t>
      </w:r>
      <w:r w:rsidR="002C2F93">
        <w:t>ked</w:t>
      </w:r>
      <w:r>
        <w:t xml:space="preserve"> sample or one matrix spike/matrix spike duplicate pair (MS/MSD) to document the effect of the matrix. </w:t>
      </w:r>
      <w:r>
        <w:rPr>
          <w:b/>
        </w:rPr>
        <w:t xml:space="preserve">The State requires that this be a MS/MSD </w:t>
      </w:r>
      <w:r>
        <w:rPr>
          <w:b/>
          <w:u w:val="single" w:color="000000"/>
        </w:rPr>
        <w:t>unless</w:t>
      </w:r>
      <w:r>
        <w:rPr>
          <w:b/>
        </w:rPr>
        <w:t xml:space="preserve"> the analyte concentration in the </w:t>
      </w:r>
      <w:proofErr w:type="spellStart"/>
      <w:r w:rsidR="002E500F">
        <w:rPr>
          <w:b/>
        </w:rPr>
        <w:t>unspiked</w:t>
      </w:r>
      <w:proofErr w:type="spellEnd"/>
      <w:r w:rsidR="002E500F">
        <w:rPr>
          <w:b/>
        </w:rPr>
        <w:t xml:space="preserve"> </w:t>
      </w:r>
      <w:r>
        <w:rPr>
          <w:b/>
        </w:rPr>
        <w:t>sample exceeds 4x the spike concentration or 1000 ppm (whichever is less).  If the sample concentration exceeds this level, un</w:t>
      </w:r>
      <w:r w:rsidR="0019500B">
        <w:rPr>
          <w:b/>
        </w:rPr>
        <w:t>-</w:t>
      </w:r>
      <w:r>
        <w:rPr>
          <w:b/>
        </w:rPr>
        <w:t xml:space="preserve">spiked duplicates should be run.   </w:t>
      </w:r>
    </w:p>
    <w:p w14:paraId="074140AB" w14:textId="785A5513" w:rsidR="00B56D50" w:rsidRDefault="00B56D50">
      <w:pPr>
        <w:spacing w:after="0" w:line="259" w:lineRule="auto"/>
        <w:ind w:left="540" w:right="0" w:firstLine="0"/>
      </w:pPr>
    </w:p>
    <w:p w14:paraId="6D5A988A" w14:textId="16928D9E" w:rsidR="00B56D50" w:rsidRPr="00D60B13" w:rsidRDefault="001C3C42" w:rsidP="00093377">
      <w:pPr>
        <w:numPr>
          <w:ilvl w:val="0"/>
          <w:numId w:val="80"/>
        </w:numPr>
        <w:ind w:right="255" w:hanging="360"/>
        <w:rPr>
          <w:b/>
          <w:bCs/>
        </w:rPr>
      </w:pPr>
      <w:r w:rsidRPr="00D60B13">
        <w:rPr>
          <w:b/>
          <w:bCs/>
        </w:rPr>
        <w:t>Matrix Spike</w:t>
      </w:r>
    </w:p>
    <w:p w14:paraId="479ADDB8" w14:textId="1F8A88C6" w:rsidR="00B56D50" w:rsidRDefault="001C3C42" w:rsidP="00393DE9">
      <w:pPr>
        <w:ind w:left="1810" w:right="255"/>
      </w:pPr>
      <w:r>
        <w:t xml:space="preserve">The matrix spike (and MSD, if applicable) is a measure of the bias attributed to </w:t>
      </w:r>
      <w:r>
        <w:rPr>
          <w:u w:val="single" w:color="000000"/>
        </w:rPr>
        <w:t>sample</w:t>
      </w:r>
      <w:r>
        <w:t xml:space="preserve"> matrix effects, not just laboratory process effects on phase or concentration characteristics.  The sample matrix includes the target and non-target analytes present in the sample or group of samples: naturally occurring compounds as well as contaminants.  Therefore, the spiked sample </w:t>
      </w:r>
      <w:r>
        <w:rPr>
          <w:u w:val="single" w:color="000000"/>
        </w:rPr>
        <w:t>must</w:t>
      </w:r>
      <w:r>
        <w:t xml:space="preserve"> be from the same project as the group of field samples. </w:t>
      </w:r>
    </w:p>
    <w:p w14:paraId="1B38B1CA" w14:textId="77777777" w:rsidR="00B56D50" w:rsidRDefault="001C3C42" w:rsidP="003B2F67">
      <w:pPr>
        <w:spacing w:after="0" w:line="259" w:lineRule="auto"/>
        <w:ind w:left="1800" w:right="0" w:firstLine="0"/>
      </w:pPr>
      <w:r>
        <w:rPr>
          <w:sz w:val="24"/>
        </w:rPr>
        <w:t xml:space="preserve"> </w:t>
      </w:r>
    </w:p>
    <w:p w14:paraId="690952F8" w14:textId="2D4D7A09" w:rsidR="00B56D50" w:rsidRDefault="001C3C42" w:rsidP="003B2F67">
      <w:pPr>
        <w:ind w:left="1800" w:right="255"/>
      </w:pPr>
      <w:r>
        <w:t>At least one MS must be performed on each group of samples of a similar matrix type from the same project (e.g., water, sludges, soil) for each group of 20 (or fewer) samples received per project.  However, it is not necessary to spike samples when the concentration of the analyte in the un</w:t>
      </w:r>
      <w:r w:rsidR="0019500B">
        <w:t>-</w:t>
      </w:r>
      <w:r>
        <w:t xml:space="preserve">spiked sample exceeds 4x the spike concentration or 0.1% (1000 ppm), whichever is less. </w:t>
      </w:r>
    </w:p>
    <w:p w14:paraId="25C0E3F7" w14:textId="77777777" w:rsidR="00B56D50" w:rsidRDefault="001C3C42" w:rsidP="003B2F67">
      <w:pPr>
        <w:spacing w:after="0" w:line="259" w:lineRule="auto"/>
        <w:ind w:left="1800" w:right="0" w:firstLine="0"/>
      </w:pPr>
      <w:r>
        <w:t xml:space="preserve"> </w:t>
      </w:r>
    </w:p>
    <w:p w14:paraId="6F4EF7E0" w14:textId="77777777" w:rsidR="00266B3E" w:rsidRDefault="00266B3E" w:rsidP="003B2F67">
      <w:pPr>
        <w:ind w:left="3061" w:right="255" w:hanging="1261"/>
      </w:pPr>
      <w:r>
        <w:rPr>
          <w:b/>
        </w:rPr>
        <w:t>N</w:t>
      </w:r>
      <w:r w:rsidR="0019500B">
        <w:rPr>
          <w:b/>
        </w:rPr>
        <w:t>ote</w:t>
      </w:r>
      <w:proofErr w:type="gramStart"/>
      <w:r w:rsidR="00E550EE">
        <w:rPr>
          <w:b/>
        </w:rPr>
        <w:t>:</w:t>
      </w:r>
      <w:r w:rsidR="001C3C42">
        <w:rPr>
          <w:b/>
        </w:rPr>
        <w:t xml:space="preserve">  </w:t>
      </w:r>
      <w:r w:rsidR="001C3C42">
        <w:t>MS</w:t>
      </w:r>
      <w:proofErr w:type="gramEnd"/>
      <w:r w:rsidR="001C3C42">
        <w:t xml:space="preserve">/MSDs are </w:t>
      </w:r>
      <w:r w:rsidR="001C3C42">
        <w:rPr>
          <w:u w:val="single" w:color="000000"/>
        </w:rPr>
        <w:t>site-specific, project-specific</w:t>
      </w:r>
      <w:r w:rsidR="001C3C42">
        <w:t xml:space="preserve"> information resources and not laboratory</w:t>
      </w:r>
    </w:p>
    <w:p w14:paraId="73F63579" w14:textId="174AC801" w:rsidR="00B56D50" w:rsidRDefault="001C3C42" w:rsidP="00395C24">
      <w:pPr>
        <w:ind w:left="2430" w:right="255" w:firstLine="0"/>
      </w:pPr>
      <w:r>
        <w:t xml:space="preserve">performance information resources.  Therefore, it </w:t>
      </w:r>
      <w:r>
        <w:rPr>
          <w:u w:val="single" w:color="000000"/>
        </w:rPr>
        <w:t>is</w:t>
      </w:r>
      <w:r>
        <w:t xml:space="preserve"> necessary to analyze one site-specific</w:t>
      </w:r>
      <w:r w:rsidR="00395C24">
        <w:t xml:space="preserve"> </w:t>
      </w:r>
      <w:r>
        <w:t xml:space="preserve">MS/MSD per sample matrix, per analysis type, </w:t>
      </w:r>
      <w:r>
        <w:rPr>
          <w:u w:val="single" w:color="000000"/>
        </w:rPr>
        <w:t>per</w:t>
      </w:r>
      <w:r>
        <w:t xml:space="preserve"> </w:t>
      </w:r>
      <w:r>
        <w:rPr>
          <w:u w:val="single" w:color="000000"/>
        </w:rPr>
        <w:t>sample delivery group</w:t>
      </w:r>
      <w:r>
        <w:t>.  However, if a</w:t>
      </w:r>
      <w:r w:rsidR="00395C24">
        <w:t xml:space="preserve"> </w:t>
      </w:r>
      <w:r>
        <w:t>sample delivery group requires multiple analytical batches for one or more analysis type, it is</w:t>
      </w:r>
      <w:r w:rsidR="00395C24">
        <w:t xml:space="preserve"> </w:t>
      </w:r>
      <w:r>
        <w:rPr>
          <w:u w:val="single" w:color="000000"/>
        </w:rPr>
        <w:t>not</w:t>
      </w:r>
      <w:r>
        <w:t xml:space="preserve"> necessary to analyze a MS/MSD pair for every analytical batch</w:t>
      </w:r>
      <w:r w:rsidR="00395C24">
        <w:t>.</w:t>
      </w:r>
      <w:r>
        <w:t xml:space="preserve"> </w:t>
      </w:r>
    </w:p>
    <w:p w14:paraId="476E4C62" w14:textId="5529D8BE" w:rsidR="00B56D50" w:rsidRDefault="00B56D50" w:rsidP="00445A36">
      <w:pPr>
        <w:spacing w:after="0" w:line="259" w:lineRule="auto"/>
        <w:ind w:left="1090" w:right="0"/>
      </w:pPr>
    </w:p>
    <w:p w14:paraId="6D7514F4" w14:textId="77777777" w:rsidR="00B56D50" w:rsidRDefault="001C3C42" w:rsidP="00D87563">
      <w:pPr>
        <w:ind w:left="1810" w:right="255"/>
      </w:pPr>
      <w:r>
        <w:t xml:space="preserve">The matrix spiking solutions must not be prepared from the same standards as the calibration standards. However, the same spiking standard prepared for the matrix spike may be used for the LCS. </w:t>
      </w:r>
    </w:p>
    <w:p w14:paraId="3FB1CE2D" w14:textId="77777777" w:rsidR="00B56D50" w:rsidRDefault="001C3C42" w:rsidP="003B2F67">
      <w:pPr>
        <w:spacing w:after="0" w:line="259" w:lineRule="auto"/>
        <w:ind w:left="1440" w:right="0" w:firstLine="0"/>
      </w:pPr>
      <w:r>
        <w:t xml:space="preserve"> </w:t>
      </w:r>
    </w:p>
    <w:p w14:paraId="233F5FCD" w14:textId="77777777" w:rsidR="00B56D50" w:rsidRDefault="001C3C42" w:rsidP="00093377">
      <w:pPr>
        <w:numPr>
          <w:ilvl w:val="0"/>
          <w:numId w:val="28"/>
        </w:numPr>
        <w:ind w:left="2160" w:right="255" w:hanging="360"/>
      </w:pPr>
      <w:r>
        <w:rPr>
          <w:u w:val="single" w:color="000000"/>
        </w:rPr>
        <w:t>Selection of sample to be spiked</w:t>
      </w:r>
      <w:r>
        <w:t xml:space="preserve">.  For many projects, the State will select the sample to be spiked based on site conditions.  If the State does not designate a specific sample for spiking, the Contractor must contact the State. </w:t>
      </w:r>
    </w:p>
    <w:p w14:paraId="514B11F0" w14:textId="77777777" w:rsidR="00B56D50" w:rsidRDefault="001C3C42">
      <w:pPr>
        <w:spacing w:after="0" w:line="259" w:lineRule="auto"/>
        <w:ind w:left="2432" w:right="0" w:firstLine="0"/>
      </w:pPr>
      <w:r>
        <w:t xml:space="preserve"> </w:t>
      </w:r>
    </w:p>
    <w:p w14:paraId="47FC158E" w14:textId="77777777" w:rsidR="00B56D50" w:rsidRDefault="001C3C42" w:rsidP="00093377">
      <w:pPr>
        <w:numPr>
          <w:ilvl w:val="0"/>
          <w:numId w:val="28"/>
        </w:numPr>
        <w:ind w:left="2160" w:right="255" w:hanging="360"/>
      </w:pPr>
      <w:r>
        <w:rPr>
          <w:u w:val="single" w:color="000000"/>
        </w:rPr>
        <w:t>Compounds to be spiked.</w:t>
      </w:r>
      <w:r>
        <w:t xml:space="preserve">  The State requires that the MS/MSD be spiked with </w:t>
      </w:r>
      <w:r>
        <w:rPr>
          <w:b/>
          <w:u w:val="single" w:color="000000"/>
        </w:rPr>
        <w:t>all</w:t>
      </w:r>
      <w:r>
        <w:t xml:space="preserve"> requested target analytes </w:t>
      </w:r>
      <w:proofErr w:type="gramStart"/>
      <w:r>
        <w:t>in order to</w:t>
      </w:r>
      <w:proofErr w:type="gramEnd"/>
      <w:r>
        <w:t xml:space="preserve"> accurately interpret matrix effects on sample results.  </w:t>
      </w:r>
      <w:r>
        <w:rPr>
          <w:b/>
        </w:rPr>
        <w:t xml:space="preserve"> </w:t>
      </w:r>
    </w:p>
    <w:p w14:paraId="2CD3BB9C" w14:textId="77777777" w:rsidR="00B56D50" w:rsidRDefault="001C3C42">
      <w:pPr>
        <w:spacing w:after="0" w:line="259" w:lineRule="auto"/>
        <w:ind w:left="540" w:right="0" w:firstLine="0"/>
      </w:pPr>
      <w:r>
        <w:t xml:space="preserve"> </w:t>
      </w:r>
    </w:p>
    <w:p w14:paraId="51D10D0A" w14:textId="77777777" w:rsidR="00B56D50" w:rsidRDefault="001C3C42" w:rsidP="00093377">
      <w:pPr>
        <w:numPr>
          <w:ilvl w:val="0"/>
          <w:numId w:val="28"/>
        </w:numPr>
        <w:ind w:left="2160" w:right="255" w:hanging="360"/>
      </w:pPr>
      <w:r>
        <w:rPr>
          <w:u w:val="single" w:color="000000"/>
        </w:rPr>
        <w:t>Spike concentrations</w:t>
      </w:r>
      <w:r>
        <w:t xml:space="preserve">.  The concentration of the stock spiking solution and the final concentration of the spike in the sample will be specified in the individual methods of analysis and generally must be followed.  However, the concentration may require adjustment to meet project DQOs.  For example, if a method modification or a more sensitive mass spectrometer is employed to achieve lower detection levels, more dilute matrix spiking solutions may be required. </w:t>
      </w:r>
      <w:r>
        <w:rPr>
          <w:b/>
        </w:rPr>
        <w:t xml:space="preserve"> </w:t>
      </w:r>
    </w:p>
    <w:p w14:paraId="5BEE0967" w14:textId="77777777" w:rsidR="00B56D50" w:rsidRDefault="001C3C42">
      <w:pPr>
        <w:spacing w:after="0" w:line="259" w:lineRule="auto"/>
        <w:ind w:left="540" w:right="0" w:firstLine="0"/>
      </w:pPr>
      <w:r>
        <w:t xml:space="preserve"> </w:t>
      </w:r>
    </w:p>
    <w:p w14:paraId="1E6D7624" w14:textId="74FE4F54" w:rsidR="004C7910" w:rsidRPr="0052513C" w:rsidRDefault="001C3C42" w:rsidP="00093377">
      <w:pPr>
        <w:numPr>
          <w:ilvl w:val="0"/>
          <w:numId w:val="28"/>
        </w:numPr>
        <w:ind w:left="2160" w:right="255" w:hanging="360"/>
      </w:pPr>
      <w:r>
        <w:rPr>
          <w:u w:val="single" w:color="000000"/>
        </w:rPr>
        <w:lastRenderedPageBreak/>
        <w:t>Control limits</w:t>
      </w:r>
      <w:r>
        <w:t xml:space="preserve">.  Recommended control limits for the MS (and MSD, if applicable) % Recovery are listed in TABLE </w:t>
      </w:r>
      <w:r w:rsidR="00385F0C">
        <w:t>14</w:t>
      </w:r>
      <w:r w:rsidR="004C7910">
        <w:rPr>
          <w:b/>
        </w:rPr>
        <w:t>.</w:t>
      </w:r>
    </w:p>
    <w:p w14:paraId="4B4D1834" w14:textId="77777777" w:rsidR="00444E3A" w:rsidRDefault="00444E3A" w:rsidP="0052513C">
      <w:pPr>
        <w:ind w:right="255"/>
      </w:pPr>
    </w:p>
    <w:p w14:paraId="2BD918B1" w14:textId="74612822" w:rsidR="003C12C7" w:rsidRPr="00FC02C5" w:rsidRDefault="001C3C42" w:rsidP="00093377">
      <w:pPr>
        <w:numPr>
          <w:ilvl w:val="0"/>
          <w:numId w:val="80"/>
        </w:numPr>
        <w:ind w:right="255" w:hanging="360"/>
        <w:rPr>
          <w:b/>
          <w:bCs/>
        </w:rPr>
      </w:pPr>
      <w:r w:rsidRPr="00FC02C5">
        <w:rPr>
          <w:b/>
          <w:bCs/>
        </w:rPr>
        <w:t>MS/MSD or Un</w:t>
      </w:r>
      <w:r w:rsidR="00653FA4" w:rsidRPr="00FC02C5">
        <w:rPr>
          <w:b/>
          <w:bCs/>
        </w:rPr>
        <w:t>-</w:t>
      </w:r>
      <w:r w:rsidRPr="00FC02C5">
        <w:rPr>
          <w:b/>
          <w:bCs/>
        </w:rPr>
        <w:t>spiked Matrix Duplicate Pair</w:t>
      </w:r>
    </w:p>
    <w:p w14:paraId="495BF72B" w14:textId="3EFFA39F" w:rsidR="00047F44" w:rsidRDefault="001C3C42" w:rsidP="003B2F67">
      <w:pPr>
        <w:ind w:left="1810" w:right="255" w:firstLine="0"/>
      </w:pPr>
      <w:r>
        <w:t>At least one MSD or one un</w:t>
      </w:r>
      <w:r w:rsidR="00653FA4">
        <w:t>-</w:t>
      </w:r>
      <w:r>
        <w:t>spiked duplicate must be performed on each group of samples of a similar matrix type from the same project (e.g., water, sludges, soil) for each group of 20 (or fewer) samples received per project.</w:t>
      </w:r>
    </w:p>
    <w:p w14:paraId="21F284B3" w14:textId="77777777" w:rsidR="00DA3924" w:rsidRDefault="00DA3924" w:rsidP="0052513C">
      <w:pPr>
        <w:spacing w:after="0"/>
        <w:ind w:left="14" w:hanging="14"/>
      </w:pPr>
    </w:p>
    <w:p w14:paraId="49775049" w14:textId="44491B48" w:rsidR="00B56D50" w:rsidRPr="00047F44" w:rsidRDefault="00047F44" w:rsidP="0052513C">
      <w:pPr>
        <w:spacing w:after="0"/>
        <w:ind w:left="14" w:hanging="14"/>
        <w:jc w:val="center"/>
        <w:rPr>
          <w:b/>
        </w:rPr>
      </w:pPr>
      <w:r w:rsidRPr="00047F44">
        <w:rPr>
          <w:b/>
        </w:rPr>
        <w:t>T</w:t>
      </w:r>
      <w:r w:rsidR="001C3C42" w:rsidRPr="00047F44">
        <w:rPr>
          <w:b/>
        </w:rPr>
        <w:t>ABLE 1</w:t>
      </w:r>
      <w:r w:rsidR="009635C1">
        <w:rPr>
          <w:b/>
        </w:rPr>
        <w:t>4</w:t>
      </w:r>
    </w:p>
    <w:p w14:paraId="014FEAD9" w14:textId="77777777" w:rsidR="00B56D50" w:rsidRDefault="001C3C42">
      <w:pPr>
        <w:pStyle w:val="Heading6"/>
        <w:ind w:left="1628" w:right="186"/>
      </w:pPr>
      <w:r>
        <w:t>Recommended MS/MSD and Matrix Duplicate Control Criteria for VOC Analysis</w:t>
      </w:r>
      <w:r>
        <w:rPr>
          <w:b w:val="0"/>
        </w:rPr>
        <w:t xml:space="preserve">  </w:t>
      </w:r>
    </w:p>
    <w:tbl>
      <w:tblPr>
        <w:tblStyle w:val="TableGrid1"/>
        <w:tblW w:w="8550" w:type="dxa"/>
        <w:tblInd w:w="1080" w:type="dxa"/>
        <w:tblCellMar>
          <w:top w:w="7" w:type="dxa"/>
          <w:left w:w="134" w:type="dxa"/>
          <w:bottom w:w="70" w:type="dxa"/>
          <w:right w:w="115" w:type="dxa"/>
        </w:tblCellMar>
        <w:tblLook w:val="04A0" w:firstRow="1" w:lastRow="0" w:firstColumn="1" w:lastColumn="0" w:noHBand="0" w:noVBand="1"/>
      </w:tblPr>
      <w:tblGrid>
        <w:gridCol w:w="2520"/>
        <w:gridCol w:w="1440"/>
        <w:gridCol w:w="1532"/>
        <w:gridCol w:w="1529"/>
        <w:gridCol w:w="1529"/>
      </w:tblGrid>
      <w:tr w:rsidR="00B56D50" w14:paraId="20D738F1" w14:textId="77777777" w:rsidTr="00AC4249">
        <w:trPr>
          <w:trHeight w:val="437"/>
        </w:trPr>
        <w:tc>
          <w:tcPr>
            <w:tcW w:w="2521" w:type="dxa"/>
            <w:tcBorders>
              <w:top w:val="single" w:sz="12" w:space="0" w:color="000000"/>
              <w:left w:val="single" w:sz="12" w:space="0" w:color="000000"/>
              <w:bottom w:val="single" w:sz="12" w:space="0" w:color="000000"/>
              <w:right w:val="single" w:sz="12" w:space="0" w:color="000000"/>
            </w:tcBorders>
            <w:vAlign w:val="center"/>
          </w:tcPr>
          <w:p w14:paraId="71F130A4" w14:textId="33568BF1" w:rsidR="00B56D50" w:rsidRPr="00AC4249" w:rsidRDefault="001C3C42" w:rsidP="00AC4249">
            <w:pPr>
              <w:spacing w:after="0" w:line="259" w:lineRule="auto"/>
              <w:ind w:left="0" w:right="21" w:firstLine="0"/>
              <w:jc w:val="center"/>
              <w:rPr>
                <w:iCs/>
              </w:rPr>
            </w:pPr>
            <w:r w:rsidRPr="00AC4249">
              <w:rPr>
                <w:b/>
                <w:iCs/>
                <w:sz w:val="20"/>
              </w:rPr>
              <w:t>Matrix:</w:t>
            </w:r>
          </w:p>
        </w:tc>
        <w:tc>
          <w:tcPr>
            <w:tcW w:w="2972" w:type="dxa"/>
            <w:gridSpan w:val="2"/>
            <w:tcBorders>
              <w:top w:val="single" w:sz="12" w:space="0" w:color="000000"/>
              <w:left w:val="single" w:sz="12" w:space="0" w:color="000000"/>
              <w:bottom w:val="single" w:sz="12" w:space="0" w:color="000000"/>
              <w:right w:val="single" w:sz="12" w:space="0" w:color="000000"/>
            </w:tcBorders>
            <w:vAlign w:val="center"/>
          </w:tcPr>
          <w:p w14:paraId="4CE3EB0E" w14:textId="1A437019" w:rsidR="00B56D50" w:rsidRDefault="001C3C42" w:rsidP="00AC4249">
            <w:pPr>
              <w:spacing w:after="0" w:line="259" w:lineRule="auto"/>
              <w:ind w:left="0" w:right="23" w:firstLine="0"/>
              <w:jc w:val="center"/>
            </w:pPr>
            <w:r>
              <w:rPr>
                <w:b/>
                <w:sz w:val="20"/>
              </w:rPr>
              <w:t>Water</w:t>
            </w:r>
          </w:p>
        </w:tc>
        <w:tc>
          <w:tcPr>
            <w:tcW w:w="3058" w:type="dxa"/>
            <w:gridSpan w:val="2"/>
            <w:tcBorders>
              <w:top w:val="single" w:sz="12" w:space="0" w:color="000000"/>
              <w:left w:val="single" w:sz="12" w:space="0" w:color="000000"/>
              <w:bottom w:val="single" w:sz="12" w:space="0" w:color="000000"/>
              <w:right w:val="single" w:sz="12" w:space="0" w:color="000000"/>
            </w:tcBorders>
            <w:vAlign w:val="center"/>
          </w:tcPr>
          <w:p w14:paraId="5EBD579E" w14:textId="283036DD" w:rsidR="00B56D50" w:rsidRDefault="001C3C42" w:rsidP="00AC4249">
            <w:pPr>
              <w:spacing w:after="0" w:line="259" w:lineRule="auto"/>
              <w:ind w:left="0" w:right="18" w:firstLine="0"/>
              <w:jc w:val="center"/>
            </w:pPr>
            <w:r>
              <w:rPr>
                <w:b/>
                <w:sz w:val="20"/>
              </w:rPr>
              <w:t>Other Matrices</w:t>
            </w:r>
          </w:p>
        </w:tc>
      </w:tr>
      <w:tr w:rsidR="00B56D50" w14:paraId="519C2267" w14:textId="77777777" w:rsidTr="00AC4249">
        <w:trPr>
          <w:trHeight w:val="778"/>
        </w:trPr>
        <w:tc>
          <w:tcPr>
            <w:tcW w:w="2521" w:type="dxa"/>
            <w:tcBorders>
              <w:top w:val="single" w:sz="12" w:space="0" w:color="000000"/>
              <w:left w:val="single" w:sz="12" w:space="0" w:color="000000"/>
              <w:bottom w:val="single" w:sz="12" w:space="0" w:color="000000"/>
              <w:right w:val="single" w:sz="12" w:space="0" w:color="000000"/>
            </w:tcBorders>
            <w:vAlign w:val="center"/>
          </w:tcPr>
          <w:p w14:paraId="7BB048A5" w14:textId="3161D165" w:rsidR="00B56D50" w:rsidRDefault="001C3C42" w:rsidP="00AC4249">
            <w:pPr>
              <w:spacing w:after="0" w:line="259" w:lineRule="auto"/>
              <w:ind w:left="0" w:right="22" w:firstLine="0"/>
              <w:jc w:val="center"/>
            </w:pPr>
            <w:r>
              <w:rPr>
                <w:b/>
                <w:sz w:val="20"/>
              </w:rPr>
              <w:t>Compound</w:t>
            </w:r>
          </w:p>
        </w:tc>
        <w:tc>
          <w:tcPr>
            <w:tcW w:w="1440" w:type="dxa"/>
            <w:tcBorders>
              <w:top w:val="single" w:sz="12" w:space="0" w:color="000000"/>
              <w:left w:val="single" w:sz="12" w:space="0" w:color="000000"/>
              <w:bottom w:val="single" w:sz="12" w:space="0" w:color="000000"/>
              <w:right w:val="single" w:sz="12" w:space="0" w:color="000000"/>
            </w:tcBorders>
            <w:vAlign w:val="center"/>
          </w:tcPr>
          <w:p w14:paraId="34DFCCA4" w14:textId="10AAE676" w:rsidR="00B56D50" w:rsidRDefault="001C3C42" w:rsidP="00AC4249">
            <w:pPr>
              <w:spacing w:after="0" w:line="259" w:lineRule="auto"/>
              <w:ind w:left="0" w:right="19" w:firstLine="0"/>
              <w:jc w:val="center"/>
            </w:pPr>
            <w:r>
              <w:rPr>
                <w:b/>
                <w:sz w:val="20"/>
              </w:rPr>
              <w:t>MS/MSD</w:t>
            </w:r>
          </w:p>
          <w:p w14:paraId="08BA7C3C" w14:textId="0757FD62" w:rsidR="00B56D50" w:rsidRDefault="001C3C42" w:rsidP="00AC4249">
            <w:pPr>
              <w:spacing w:after="0" w:line="259" w:lineRule="auto"/>
              <w:ind w:left="0" w:right="20" w:firstLine="0"/>
              <w:jc w:val="center"/>
            </w:pPr>
            <w:r>
              <w:rPr>
                <w:b/>
                <w:sz w:val="20"/>
              </w:rPr>
              <w:t>Spike</w:t>
            </w:r>
          </w:p>
          <w:p w14:paraId="753CB64D" w14:textId="55A05B23" w:rsidR="00B56D50" w:rsidRDefault="001C3C42" w:rsidP="00AC4249">
            <w:pPr>
              <w:spacing w:after="0" w:line="259" w:lineRule="auto"/>
              <w:ind w:left="0" w:right="19" w:firstLine="0"/>
              <w:jc w:val="center"/>
            </w:pPr>
            <w:r>
              <w:rPr>
                <w:b/>
                <w:sz w:val="20"/>
              </w:rPr>
              <w:t>%Recovery</w:t>
            </w:r>
          </w:p>
        </w:tc>
        <w:tc>
          <w:tcPr>
            <w:tcW w:w="1532" w:type="dxa"/>
            <w:tcBorders>
              <w:top w:val="single" w:sz="12" w:space="0" w:color="000000"/>
              <w:left w:val="single" w:sz="12" w:space="0" w:color="000000"/>
              <w:bottom w:val="single" w:sz="12" w:space="0" w:color="000000"/>
              <w:right w:val="single" w:sz="12" w:space="0" w:color="000000"/>
            </w:tcBorders>
            <w:vAlign w:val="center"/>
          </w:tcPr>
          <w:p w14:paraId="352AA421" w14:textId="03D532F2" w:rsidR="00B56D50" w:rsidRDefault="001C3C42" w:rsidP="00AC4249">
            <w:pPr>
              <w:spacing w:after="0" w:line="259" w:lineRule="auto"/>
              <w:ind w:left="0" w:right="25" w:firstLine="0"/>
              <w:jc w:val="center"/>
            </w:pPr>
            <w:r>
              <w:rPr>
                <w:b/>
                <w:sz w:val="20"/>
              </w:rPr>
              <w:t>MS/MSD or</w:t>
            </w:r>
          </w:p>
          <w:p w14:paraId="3FE75F14" w14:textId="2510309A" w:rsidR="00B56D50" w:rsidRDefault="001C3C42" w:rsidP="00AC4249">
            <w:pPr>
              <w:spacing w:after="0" w:line="259" w:lineRule="auto"/>
              <w:ind w:left="14" w:right="0" w:firstLine="0"/>
              <w:jc w:val="center"/>
            </w:pPr>
            <w:r>
              <w:rPr>
                <w:b/>
                <w:sz w:val="20"/>
              </w:rPr>
              <w:t>Duplicate RPD</w:t>
            </w:r>
          </w:p>
        </w:tc>
        <w:tc>
          <w:tcPr>
            <w:tcW w:w="1529" w:type="dxa"/>
            <w:tcBorders>
              <w:top w:val="single" w:sz="12" w:space="0" w:color="000000"/>
              <w:left w:val="single" w:sz="12" w:space="0" w:color="000000"/>
              <w:bottom w:val="single" w:sz="12" w:space="0" w:color="000000"/>
              <w:right w:val="single" w:sz="12" w:space="0" w:color="000000"/>
            </w:tcBorders>
            <w:vAlign w:val="center"/>
          </w:tcPr>
          <w:p w14:paraId="2A375AFB" w14:textId="792550BE" w:rsidR="00B56D50" w:rsidRDefault="001C3C42" w:rsidP="00AC4249">
            <w:pPr>
              <w:spacing w:after="0" w:line="259" w:lineRule="auto"/>
              <w:ind w:left="0" w:right="18" w:firstLine="0"/>
              <w:jc w:val="center"/>
            </w:pPr>
            <w:r>
              <w:rPr>
                <w:b/>
                <w:sz w:val="20"/>
              </w:rPr>
              <w:t>MS/MSD</w:t>
            </w:r>
          </w:p>
          <w:p w14:paraId="28AA2B6C" w14:textId="27979032" w:rsidR="00B56D50" w:rsidRDefault="001C3C42" w:rsidP="00AC4249">
            <w:pPr>
              <w:spacing w:after="0" w:line="259" w:lineRule="auto"/>
              <w:ind w:left="0" w:right="23" w:firstLine="0"/>
              <w:jc w:val="center"/>
            </w:pPr>
            <w:r>
              <w:rPr>
                <w:b/>
                <w:sz w:val="20"/>
              </w:rPr>
              <w:t>Spike</w:t>
            </w:r>
          </w:p>
          <w:p w14:paraId="235098B7" w14:textId="7C839BB6" w:rsidR="00B56D50" w:rsidRDefault="001C3C42" w:rsidP="00AC4249">
            <w:pPr>
              <w:spacing w:after="0" w:line="259" w:lineRule="auto"/>
              <w:ind w:left="0" w:right="22" w:firstLine="0"/>
              <w:jc w:val="center"/>
            </w:pPr>
            <w:r>
              <w:rPr>
                <w:b/>
                <w:sz w:val="20"/>
              </w:rPr>
              <w:t>%Recovery</w:t>
            </w:r>
          </w:p>
        </w:tc>
        <w:tc>
          <w:tcPr>
            <w:tcW w:w="1529" w:type="dxa"/>
            <w:tcBorders>
              <w:top w:val="single" w:sz="12" w:space="0" w:color="000000"/>
              <w:left w:val="single" w:sz="12" w:space="0" w:color="000000"/>
              <w:bottom w:val="single" w:sz="12" w:space="0" w:color="000000"/>
              <w:right w:val="single" w:sz="12" w:space="0" w:color="000000"/>
            </w:tcBorders>
            <w:vAlign w:val="center"/>
          </w:tcPr>
          <w:p w14:paraId="65FF6D16" w14:textId="5FF9953E" w:rsidR="00B56D50" w:rsidRDefault="001C3C42" w:rsidP="00AC4249">
            <w:pPr>
              <w:spacing w:after="0" w:line="259" w:lineRule="auto"/>
              <w:ind w:left="0" w:right="23" w:firstLine="0"/>
              <w:jc w:val="center"/>
            </w:pPr>
            <w:r>
              <w:rPr>
                <w:b/>
                <w:sz w:val="20"/>
              </w:rPr>
              <w:t>MS/MSD or</w:t>
            </w:r>
          </w:p>
          <w:p w14:paraId="1308BF35" w14:textId="04DF5CBE" w:rsidR="00B56D50" w:rsidRDefault="001C3C42" w:rsidP="00AC4249">
            <w:pPr>
              <w:spacing w:after="0" w:line="259" w:lineRule="auto"/>
              <w:ind w:left="11" w:right="0" w:firstLine="0"/>
              <w:jc w:val="center"/>
            </w:pPr>
            <w:r>
              <w:rPr>
                <w:b/>
                <w:sz w:val="20"/>
              </w:rPr>
              <w:t>Duplicate RPD</w:t>
            </w:r>
          </w:p>
        </w:tc>
      </w:tr>
      <w:tr w:rsidR="00B56D50" w14:paraId="1EA640B3" w14:textId="77777777" w:rsidTr="001D57C4">
        <w:trPr>
          <w:trHeight w:val="360"/>
        </w:trPr>
        <w:tc>
          <w:tcPr>
            <w:tcW w:w="2521" w:type="dxa"/>
            <w:tcBorders>
              <w:top w:val="single" w:sz="12" w:space="0" w:color="000000"/>
              <w:left w:val="single" w:sz="12" w:space="0" w:color="000000"/>
              <w:bottom w:val="single" w:sz="4" w:space="0" w:color="000000"/>
              <w:right w:val="single" w:sz="12" w:space="0" w:color="000000"/>
            </w:tcBorders>
            <w:vAlign w:val="center"/>
          </w:tcPr>
          <w:p w14:paraId="6DE0B490" w14:textId="77777777" w:rsidR="00B56D50" w:rsidRDefault="001C3C42" w:rsidP="00AC4249">
            <w:pPr>
              <w:spacing w:after="0" w:line="259" w:lineRule="auto"/>
              <w:ind w:left="0" w:right="0" w:firstLine="0"/>
            </w:pPr>
            <w:r>
              <w:rPr>
                <w:sz w:val="20"/>
              </w:rPr>
              <w:t xml:space="preserve">1,1-Dichloroethene </w:t>
            </w:r>
          </w:p>
        </w:tc>
        <w:tc>
          <w:tcPr>
            <w:tcW w:w="1440" w:type="dxa"/>
            <w:tcBorders>
              <w:top w:val="single" w:sz="12" w:space="0" w:color="000000"/>
              <w:left w:val="single" w:sz="12" w:space="0" w:color="000000"/>
              <w:bottom w:val="single" w:sz="4" w:space="0" w:color="000000"/>
              <w:right w:val="single" w:sz="12" w:space="0" w:color="000000"/>
            </w:tcBorders>
            <w:vAlign w:val="center"/>
          </w:tcPr>
          <w:p w14:paraId="607BEEC6" w14:textId="4565BF1D" w:rsidR="00B56D50" w:rsidRDefault="001C3C42" w:rsidP="00AC4249">
            <w:pPr>
              <w:spacing w:after="0" w:line="259" w:lineRule="auto"/>
              <w:ind w:left="0" w:right="18" w:firstLine="0"/>
              <w:jc w:val="center"/>
            </w:pPr>
            <w:r>
              <w:rPr>
                <w:sz w:val="20"/>
              </w:rPr>
              <w:t>61-145</w:t>
            </w:r>
          </w:p>
        </w:tc>
        <w:tc>
          <w:tcPr>
            <w:tcW w:w="1532" w:type="dxa"/>
            <w:tcBorders>
              <w:top w:val="single" w:sz="12" w:space="0" w:color="000000"/>
              <w:left w:val="single" w:sz="12" w:space="0" w:color="000000"/>
              <w:bottom w:val="single" w:sz="4" w:space="0" w:color="000000"/>
              <w:right w:val="single" w:sz="12" w:space="0" w:color="000000"/>
            </w:tcBorders>
            <w:vAlign w:val="center"/>
          </w:tcPr>
          <w:p w14:paraId="0D840284" w14:textId="6B619F0A" w:rsidR="00B56D50" w:rsidRDefault="001C3C42" w:rsidP="00AC4249">
            <w:pPr>
              <w:spacing w:after="0" w:line="259" w:lineRule="auto"/>
              <w:ind w:left="0" w:right="20" w:firstLine="0"/>
              <w:jc w:val="center"/>
            </w:pPr>
            <w:r>
              <w:rPr>
                <w:sz w:val="20"/>
              </w:rPr>
              <w:t>14</w:t>
            </w:r>
          </w:p>
        </w:tc>
        <w:tc>
          <w:tcPr>
            <w:tcW w:w="1529" w:type="dxa"/>
            <w:tcBorders>
              <w:top w:val="single" w:sz="12" w:space="0" w:color="000000"/>
              <w:left w:val="single" w:sz="12" w:space="0" w:color="000000"/>
              <w:bottom w:val="single" w:sz="4" w:space="0" w:color="000000"/>
              <w:right w:val="single" w:sz="12" w:space="0" w:color="000000"/>
            </w:tcBorders>
            <w:vAlign w:val="center"/>
          </w:tcPr>
          <w:p w14:paraId="1C613A9A" w14:textId="1B1F24DE" w:rsidR="00B56D50" w:rsidRDefault="001C3C42" w:rsidP="00AC4249">
            <w:pPr>
              <w:spacing w:after="0" w:line="259" w:lineRule="auto"/>
              <w:ind w:left="0" w:right="21" w:firstLine="0"/>
              <w:jc w:val="center"/>
            </w:pPr>
            <w:r>
              <w:rPr>
                <w:sz w:val="20"/>
              </w:rPr>
              <w:t>59-172</w:t>
            </w:r>
          </w:p>
        </w:tc>
        <w:tc>
          <w:tcPr>
            <w:tcW w:w="1529" w:type="dxa"/>
            <w:tcBorders>
              <w:top w:val="single" w:sz="12" w:space="0" w:color="000000"/>
              <w:left w:val="single" w:sz="12" w:space="0" w:color="000000"/>
              <w:bottom w:val="single" w:sz="4" w:space="0" w:color="000000"/>
              <w:right w:val="single" w:sz="12" w:space="0" w:color="000000"/>
            </w:tcBorders>
            <w:vAlign w:val="center"/>
          </w:tcPr>
          <w:p w14:paraId="5911E5B5" w14:textId="14D61139" w:rsidR="00B56D50" w:rsidRDefault="001C3C42" w:rsidP="00AC4249">
            <w:pPr>
              <w:spacing w:after="0" w:line="259" w:lineRule="auto"/>
              <w:ind w:left="0" w:right="23" w:firstLine="0"/>
              <w:jc w:val="center"/>
            </w:pPr>
            <w:r>
              <w:rPr>
                <w:sz w:val="20"/>
              </w:rPr>
              <w:t>22</w:t>
            </w:r>
          </w:p>
        </w:tc>
      </w:tr>
      <w:tr w:rsidR="00B56D50" w14:paraId="428A1EA8" w14:textId="77777777" w:rsidTr="001D57C4">
        <w:trPr>
          <w:trHeight w:val="360"/>
        </w:trPr>
        <w:tc>
          <w:tcPr>
            <w:tcW w:w="2521" w:type="dxa"/>
            <w:tcBorders>
              <w:top w:val="single" w:sz="4" w:space="0" w:color="000000"/>
              <w:left w:val="single" w:sz="12" w:space="0" w:color="000000"/>
              <w:bottom w:val="single" w:sz="4" w:space="0" w:color="000000"/>
              <w:right w:val="single" w:sz="12" w:space="0" w:color="000000"/>
            </w:tcBorders>
            <w:vAlign w:val="center"/>
          </w:tcPr>
          <w:p w14:paraId="6B0CD4BD" w14:textId="77777777" w:rsidR="00B56D50" w:rsidRDefault="001C3C42" w:rsidP="00AC4249">
            <w:pPr>
              <w:spacing w:after="0" w:line="259" w:lineRule="auto"/>
              <w:ind w:left="0" w:right="0" w:firstLine="0"/>
            </w:pPr>
            <w:r>
              <w:rPr>
                <w:sz w:val="20"/>
              </w:rPr>
              <w:t xml:space="preserve">Trichloroethene </w:t>
            </w:r>
          </w:p>
        </w:tc>
        <w:tc>
          <w:tcPr>
            <w:tcW w:w="1440" w:type="dxa"/>
            <w:tcBorders>
              <w:top w:val="single" w:sz="4" w:space="0" w:color="000000"/>
              <w:left w:val="single" w:sz="12" w:space="0" w:color="000000"/>
              <w:bottom w:val="single" w:sz="4" w:space="0" w:color="000000"/>
              <w:right w:val="single" w:sz="12" w:space="0" w:color="000000"/>
            </w:tcBorders>
            <w:vAlign w:val="center"/>
          </w:tcPr>
          <w:p w14:paraId="664A3BF6" w14:textId="735F7080" w:rsidR="00B56D50" w:rsidRDefault="001C3C42" w:rsidP="00AC4249">
            <w:pPr>
              <w:spacing w:after="0" w:line="259" w:lineRule="auto"/>
              <w:ind w:left="0" w:right="18" w:firstLine="0"/>
              <w:jc w:val="center"/>
            </w:pPr>
            <w:r>
              <w:rPr>
                <w:sz w:val="20"/>
              </w:rPr>
              <w:t>71-120</w:t>
            </w:r>
          </w:p>
        </w:tc>
        <w:tc>
          <w:tcPr>
            <w:tcW w:w="1532" w:type="dxa"/>
            <w:tcBorders>
              <w:top w:val="single" w:sz="4" w:space="0" w:color="000000"/>
              <w:left w:val="single" w:sz="12" w:space="0" w:color="000000"/>
              <w:bottom w:val="single" w:sz="4" w:space="0" w:color="000000"/>
              <w:right w:val="single" w:sz="12" w:space="0" w:color="000000"/>
            </w:tcBorders>
            <w:vAlign w:val="center"/>
          </w:tcPr>
          <w:p w14:paraId="48EB3C62" w14:textId="2F6BD291" w:rsidR="00B56D50" w:rsidRDefault="001C3C42" w:rsidP="00AC4249">
            <w:pPr>
              <w:spacing w:after="0" w:line="259" w:lineRule="auto"/>
              <w:ind w:left="0" w:right="20" w:firstLine="0"/>
              <w:jc w:val="center"/>
            </w:pPr>
            <w:r>
              <w:rPr>
                <w:sz w:val="20"/>
              </w:rPr>
              <w:t>14</w:t>
            </w:r>
          </w:p>
        </w:tc>
        <w:tc>
          <w:tcPr>
            <w:tcW w:w="1529" w:type="dxa"/>
            <w:tcBorders>
              <w:top w:val="single" w:sz="4" w:space="0" w:color="000000"/>
              <w:left w:val="single" w:sz="12" w:space="0" w:color="000000"/>
              <w:bottom w:val="single" w:sz="4" w:space="0" w:color="000000"/>
              <w:right w:val="single" w:sz="12" w:space="0" w:color="000000"/>
            </w:tcBorders>
            <w:vAlign w:val="center"/>
          </w:tcPr>
          <w:p w14:paraId="03786AA6" w14:textId="5679C616" w:rsidR="00B56D50" w:rsidRDefault="001C3C42" w:rsidP="00AC4249">
            <w:pPr>
              <w:spacing w:after="0" w:line="259" w:lineRule="auto"/>
              <w:ind w:left="0" w:right="21" w:firstLine="0"/>
              <w:jc w:val="center"/>
            </w:pPr>
            <w:r>
              <w:rPr>
                <w:sz w:val="20"/>
              </w:rPr>
              <w:t>62-137</w:t>
            </w:r>
          </w:p>
        </w:tc>
        <w:tc>
          <w:tcPr>
            <w:tcW w:w="1529" w:type="dxa"/>
            <w:tcBorders>
              <w:top w:val="single" w:sz="4" w:space="0" w:color="000000"/>
              <w:left w:val="single" w:sz="12" w:space="0" w:color="000000"/>
              <w:bottom w:val="single" w:sz="4" w:space="0" w:color="000000"/>
              <w:right w:val="single" w:sz="12" w:space="0" w:color="000000"/>
            </w:tcBorders>
            <w:vAlign w:val="center"/>
          </w:tcPr>
          <w:p w14:paraId="3DA01D20" w14:textId="18B129CA" w:rsidR="00B56D50" w:rsidRDefault="001C3C42" w:rsidP="00AC4249">
            <w:pPr>
              <w:spacing w:after="0" w:line="259" w:lineRule="auto"/>
              <w:ind w:left="0" w:right="23" w:firstLine="0"/>
              <w:jc w:val="center"/>
            </w:pPr>
            <w:r>
              <w:rPr>
                <w:sz w:val="20"/>
              </w:rPr>
              <w:t>24</w:t>
            </w:r>
          </w:p>
        </w:tc>
      </w:tr>
      <w:tr w:rsidR="00B56D50" w14:paraId="76CAE146" w14:textId="77777777" w:rsidTr="001D57C4">
        <w:trPr>
          <w:trHeight w:val="360"/>
        </w:trPr>
        <w:tc>
          <w:tcPr>
            <w:tcW w:w="2521" w:type="dxa"/>
            <w:tcBorders>
              <w:top w:val="single" w:sz="4" w:space="0" w:color="000000"/>
              <w:left w:val="single" w:sz="12" w:space="0" w:color="000000"/>
              <w:bottom w:val="single" w:sz="4" w:space="0" w:color="000000"/>
              <w:right w:val="single" w:sz="12" w:space="0" w:color="000000"/>
            </w:tcBorders>
            <w:vAlign w:val="center"/>
          </w:tcPr>
          <w:p w14:paraId="47C6D831" w14:textId="77777777" w:rsidR="00B56D50" w:rsidRDefault="001C3C42" w:rsidP="00AC4249">
            <w:pPr>
              <w:spacing w:after="0" w:line="259" w:lineRule="auto"/>
              <w:ind w:left="0" w:right="0" w:firstLine="0"/>
            </w:pPr>
            <w:r>
              <w:rPr>
                <w:sz w:val="20"/>
              </w:rPr>
              <w:t xml:space="preserve">Benzene </w:t>
            </w:r>
          </w:p>
        </w:tc>
        <w:tc>
          <w:tcPr>
            <w:tcW w:w="1440" w:type="dxa"/>
            <w:tcBorders>
              <w:top w:val="single" w:sz="4" w:space="0" w:color="000000"/>
              <w:left w:val="single" w:sz="12" w:space="0" w:color="000000"/>
              <w:bottom w:val="single" w:sz="4" w:space="0" w:color="000000"/>
              <w:right w:val="single" w:sz="12" w:space="0" w:color="000000"/>
            </w:tcBorders>
            <w:vAlign w:val="center"/>
          </w:tcPr>
          <w:p w14:paraId="32609C61" w14:textId="5F9CDE28" w:rsidR="00B56D50" w:rsidRDefault="001C3C42" w:rsidP="00AC4249">
            <w:pPr>
              <w:spacing w:after="0" w:line="259" w:lineRule="auto"/>
              <w:ind w:left="0" w:right="18" w:firstLine="0"/>
              <w:jc w:val="center"/>
            </w:pPr>
            <w:r>
              <w:rPr>
                <w:sz w:val="20"/>
              </w:rPr>
              <w:t>76-12</w:t>
            </w:r>
            <w:r>
              <w:rPr>
                <w:b/>
                <w:sz w:val="20"/>
              </w:rPr>
              <w:t>7</w:t>
            </w:r>
          </w:p>
        </w:tc>
        <w:tc>
          <w:tcPr>
            <w:tcW w:w="1532" w:type="dxa"/>
            <w:tcBorders>
              <w:top w:val="single" w:sz="4" w:space="0" w:color="000000"/>
              <w:left w:val="single" w:sz="12" w:space="0" w:color="000000"/>
              <w:bottom w:val="single" w:sz="4" w:space="0" w:color="000000"/>
              <w:right w:val="single" w:sz="12" w:space="0" w:color="000000"/>
            </w:tcBorders>
            <w:vAlign w:val="center"/>
          </w:tcPr>
          <w:p w14:paraId="3F5C0124" w14:textId="20039214" w:rsidR="00B56D50" w:rsidRDefault="001C3C42" w:rsidP="00AC4249">
            <w:pPr>
              <w:spacing w:after="0" w:line="259" w:lineRule="auto"/>
              <w:ind w:left="0" w:right="20" w:firstLine="0"/>
              <w:jc w:val="center"/>
            </w:pPr>
            <w:r>
              <w:rPr>
                <w:sz w:val="20"/>
              </w:rPr>
              <w:t>11</w:t>
            </w:r>
          </w:p>
        </w:tc>
        <w:tc>
          <w:tcPr>
            <w:tcW w:w="1529" w:type="dxa"/>
            <w:tcBorders>
              <w:top w:val="single" w:sz="4" w:space="0" w:color="000000"/>
              <w:left w:val="single" w:sz="12" w:space="0" w:color="000000"/>
              <w:bottom w:val="single" w:sz="4" w:space="0" w:color="000000"/>
              <w:right w:val="single" w:sz="12" w:space="0" w:color="000000"/>
            </w:tcBorders>
            <w:vAlign w:val="center"/>
          </w:tcPr>
          <w:p w14:paraId="47A49BFE" w14:textId="4407D22C" w:rsidR="00B56D50" w:rsidRDefault="001C3C42" w:rsidP="00AC4249">
            <w:pPr>
              <w:spacing w:after="0" w:line="259" w:lineRule="auto"/>
              <w:ind w:left="0" w:right="21" w:firstLine="0"/>
              <w:jc w:val="center"/>
            </w:pPr>
            <w:r>
              <w:rPr>
                <w:sz w:val="20"/>
              </w:rPr>
              <w:t>66-142</w:t>
            </w:r>
          </w:p>
        </w:tc>
        <w:tc>
          <w:tcPr>
            <w:tcW w:w="1529" w:type="dxa"/>
            <w:tcBorders>
              <w:top w:val="single" w:sz="4" w:space="0" w:color="000000"/>
              <w:left w:val="single" w:sz="12" w:space="0" w:color="000000"/>
              <w:bottom w:val="single" w:sz="4" w:space="0" w:color="000000"/>
              <w:right w:val="single" w:sz="12" w:space="0" w:color="000000"/>
            </w:tcBorders>
            <w:vAlign w:val="center"/>
          </w:tcPr>
          <w:p w14:paraId="110137EB" w14:textId="7B16B1B4" w:rsidR="00B56D50" w:rsidRDefault="001C3C42" w:rsidP="00AC4249">
            <w:pPr>
              <w:spacing w:after="0" w:line="259" w:lineRule="auto"/>
              <w:ind w:left="0" w:right="23" w:firstLine="0"/>
              <w:jc w:val="center"/>
            </w:pPr>
            <w:r>
              <w:rPr>
                <w:sz w:val="20"/>
              </w:rPr>
              <w:t>21</w:t>
            </w:r>
          </w:p>
        </w:tc>
      </w:tr>
      <w:tr w:rsidR="00B56D50" w14:paraId="28CFE6C1" w14:textId="77777777" w:rsidTr="001D57C4">
        <w:trPr>
          <w:trHeight w:val="360"/>
        </w:trPr>
        <w:tc>
          <w:tcPr>
            <w:tcW w:w="2521" w:type="dxa"/>
            <w:tcBorders>
              <w:top w:val="single" w:sz="4" w:space="0" w:color="000000"/>
              <w:left w:val="single" w:sz="12" w:space="0" w:color="000000"/>
              <w:bottom w:val="single" w:sz="4" w:space="0" w:color="000000"/>
              <w:right w:val="single" w:sz="12" w:space="0" w:color="000000"/>
            </w:tcBorders>
            <w:vAlign w:val="center"/>
          </w:tcPr>
          <w:p w14:paraId="60312F64" w14:textId="77777777" w:rsidR="00B56D50" w:rsidRDefault="001C3C42" w:rsidP="00AC4249">
            <w:pPr>
              <w:spacing w:after="0" w:line="259" w:lineRule="auto"/>
              <w:ind w:left="0" w:right="0" w:firstLine="0"/>
            </w:pPr>
            <w:r>
              <w:rPr>
                <w:sz w:val="20"/>
              </w:rPr>
              <w:t xml:space="preserve">Toluene </w:t>
            </w:r>
          </w:p>
        </w:tc>
        <w:tc>
          <w:tcPr>
            <w:tcW w:w="1440" w:type="dxa"/>
            <w:tcBorders>
              <w:top w:val="single" w:sz="4" w:space="0" w:color="000000"/>
              <w:left w:val="single" w:sz="12" w:space="0" w:color="000000"/>
              <w:bottom w:val="single" w:sz="4" w:space="0" w:color="000000"/>
              <w:right w:val="single" w:sz="12" w:space="0" w:color="000000"/>
            </w:tcBorders>
            <w:vAlign w:val="center"/>
          </w:tcPr>
          <w:p w14:paraId="59F3FDFF" w14:textId="30AC50C9" w:rsidR="00B56D50" w:rsidRDefault="001C3C42" w:rsidP="00AC4249">
            <w:pPr>
              <w:spacing w:after="0" w:line="259" w:lineRule="auto"/>
              <w:ind w:left="0" w:right="18" w:firstLine="0"/>
              <w:jc w:val="center"/>
            </w:pPr>
            <w:r>
              <w:rPr>
                <w:sz w:val="20"/>
              </w:rPr>
              <w:t>76-125</w:t>
            </w:r>
          </w:p>
        </w:tc>
        <w:tc>
          <w:tcPr>
            <w:tcW w:w="1532" w:type="dxa"/>
            <w:tcBorders>
              <w:top w:val="single" w:sz="4" w:space="0" w:color="000000"/>
              <w:left w:val="single" w:sz="12" w:space="0" w:color="000000"/>
              <w:bottom w:val="single" w:sz="4" w:space="0" w:color="000000"/>
              <w:right w:val="single" w:sz="12" w:space="0" w:color="000000"/>
            </w:tcBorders>
            <w:vAlign w:val="center"/>
          </w:tcPr>
          <w:p w14:paraId="00640458" w14:textId="5DA3F560" w:rsidR="00B56D50" w:rsidRDefault="001C3C42" w:rsidP="00AC4249">
            <w:pPr>
              <w:spacing w:after="0" w:line="259" w:lineRule="auto"/>
              <w:ind w:left="0" w:right="20" w:firstLine="0"/>
              <w:jc w:val="center"/>
            </w:pPr>
            <w:r>
              <w:rPr>
                <w:sz w:val="20"/>
              </w:rPr>
              <w:t>13</w:t>
            </w:r>
          </w:p>
        </w:tc>
        <w:tc>
          <w:tcPr>
            <w:tcW w:w="1529" w:type="dxa"/>
            <w:tcBorders>
              <w:top w:val="single" w:sz="4" w:space="0" w:color="000000"/>
              <w:left w:val="single" w:sz="12" w:space="0" w:color="000000"/>
              <w:bottom w:val="single" w:sz="4" w:space="0" w:color="000000"/>
              <w:right w:val="single" w:sz="12" w:space="0" w:color="000000"/>
            </w:tcBorders>
            <w:vAlign w:val="center"/>
          </w:tcPr>
          <w:p w14:paraId="18075C3E" w14:textId="76095337" w:rsidR="00B56D50" w:rsidRDefault="001C3C42" w:rsidP="00AC4249">
            <w:pPr>
              <w:spacing w:after="0" w:line="259" w:lineRule="auto"/>
              <w:ind w:left="0" w:right="21" w:firstLine="0"/>
              <w:jc w:val="center"/>
            </w:pPr>
            <w:r>
              <w:rPr>
                <w:sz w:val="20"/>
              </w:rPr>
              <w:t>59-139</w:t>
            </w:r>
          </w:p>
        </w:tc>
        <w:tc>
          <w:tcPr>
            <w:tcW w:w="1529" w:type="dxa"/>
            <w:tcBorders>
              <w:top w:val="single" w:sz="4" w:space="0" w:color="000000"/>
              <w:left w:val="single" w:sz="12" w:space="0" w:color="000000"/>
              <w:bottom w:val="single" w:sz="4" w:space="0" w:color="000000"/>
              <w:right w:val="single" w:sz="12" w:space="0" w:color="000000"/>
            </w:tcBorders>
            <w:vAlign w:val="center"/>
          </w:tcPr>
          <w:p w14:paraId="6D6A79CF" w14:textId="5ECA6209" w:rsidR="00B56D50" w:rsidRDefault="001C3C42" w:rsidP="00AC4249">
            <w:pPr>
              <w:spacing w:after="0" w:line="259" w:lineRule="auto"/>
              <w:ind w:left="0" w:right="23" w:firstLine="0"/>
              <w:jc w:val="center"/>
            </w:pPr>
            <w:r>
              <w:rPr>
                <w:sz w:val="20"/>
              </w:rPr>
              <w:t>21</w:t>
            </w:r>
          </w:p>
        </w:tc>
      </w:tr>
      <w:tr w:rsidR="00B56D50" w14:paraId="0B36A445" w14:textId="77777777" w:rsidTr="001D57C4">
        <w:trPr>
          <w:trHeight w:val="360"/>
        </w:trPr>
        <w:tc>
          <w:tcPr>
            <w:tcW w:w="2521" w:type="dxa"/>
            <w:tcBorders>
              <w:top w:val="single" w:sz="4" w:space="0" w:color="000000"/>
              <w:left w:val="single" w:sz="12" w:space="0" w:color="000000"/>
              <w:bottom w:val="single" w:sz="6" w:space="0" w:color="000000"/>
              <w:right w:val="single" w:sz="12" w:space="0" w:color="000000"/>
            </w:tcBorders>
            <w:vAlign w:val="center"/>
          </w:tcPr>
          <w:p w14:paraId="4AD43D06" w14:textId="77777777" w:rsidR="00B56D50" w:rsidRDefault="001C3C42" w:rsidP="00AC4249">
            <w:pPr>
              <w:spacing w:after="0" w:line="259" w:lineRule="auto"/>
              <w:ind w:left="0" w:right="0" w:firstLine="0"/>
            </w:pPr>
            <w:r>
              <w:rPr>
                <w:sz w:val="20"/>
              </w:rPr>
              <w:t xml:space="preserve">Chlorobenzene </w:t>
            </w:r>
          </w:p>
        </w:tc>
        <w:tc>
          <w:tcPr>
            <w:tcW w:w="1440" w:type="dxa"/>
            <w:tcBorders>
              <w:top w:val="single" w:sz="4" w:space="0" w:color="000000"/>
              <w:left w:val="single" w:sz="12" w:space="0" w:color="000000"/>
              <w:bottom w:val="single" w:sz="6" w:space="0" w:color="000000"/>
              <w:right w:val="single" w:sz="12" w:space="0" w:color="000000"/>
            </w:tcBorders>
            <w:vAlign w:val="center"/>
          </w:tcPr>
          <w:p w14:paraId="4B35F0E3" w14:textId="151FD341" w:rsidR="00B56D50" w:rsidRDefault="001C3C42" w:rsidP="00AC4249">
            <w:pPr>
              <w:spacing w:after="0" w:line="259" w:lineRule="auto"/>
              <w:ind w:left="0" w:right="18" w:firstLine="0"/>
              <w:jc w:val="center"/>
            </w:pPr>
            <w:r>
              <w:rPr>
                <w:sz w:val="20"/>
              </w:rPr>
              <w:t>75-130</w:t>
            </w:r>
          </w:p>
        </w:tc>
        <w:tc>
          <w:tcPr>
            <w:tcW w:w="1532" w:type="dxa"/>
            <w:tcBorders>
              <w:top w:val="single" w:sz="4" w:space="0" w:color="000000"/>
              <w:left w:val="single" w:sz="12" w:space="0" w:color="000000"/>
              <w:bottom w:val="single" w:sz="6" w:space="0" w:color="000000"/>
              <w:right w:val="single" w:sz="12" w:space="0" w:color="000000"/>
            </w:tcBorders>
            <w:vAlign w:val="center"/>
          </w:tcPr>
          <w:p w14:paraId="6F6708E8" w14:textId="00F8323E" w:rsidR="00B56D50" w:rsidRDefault="001C3C42" w:rsidP="00AC4249">
            <w:pPr>
              <w:spacing w:after="0" w:line="259" w:lineRule="auto"/>
              <w:ind w:left="0" w:right="20" w:firstLine="0"/>
              <w:jc w:val="center"/>
            </w:pPr>
            <w:r>
              <w:rPr>
                <w:sz w:val="20"/>
              </w:rPr>
              <w:t>13</w:t>
            </w:r>
          </w:p>
        </w:tc>
        <w:tc>
          <w:tcPr>
            <w:tcW w:w="1529" w:type="dxa"/>
            <w:tcBorders>
              <w:top w:val="single" w:sz="4" w:space="0" w:color="000000"/>
              <w:left w:val="single" w:sz="12" w:space="0" w:color="000000"/>
              <w:bottom w:val="single" w:sz="6" w:space="0" w:color="000000"/>
              <w:right w:val="single" w:sz="12" w:space="0" w:color="000000"/>
            </w:tcBorders>
            <w:vAlign w:val="center"/>
          </w:tcPr>
          <w:p w14:paraId="5ECDA151" w14:textId="4CAC2EE4" w:rsidR="00B56D50" w:rsidRDefault="001C3C42" w:rsidP="00AC4249">
            <w:pPr>
              <w:spacing w:after="0" w:line="259" w:lineRule="auto"/>
              <w:ind w:left="0" w:right="21" w:firstLine="0"/>
              <w:jc w:val="center"/>
            </w:pPr>
            <w:r>
              <w:rPr>
                <w:sz w:val="20"/>
              </w:rPr>
              <w:t>60-133</w:t>
            </w:r>
          </w:p>
        </w:tc>
        <w:tc>
          <w:tcPr>
            <w:tcW w:w="1529" w:type="dxa"/>
            <w:tcBorders>
              <w:top w:val="single" w:sz="4" w:space="0" w:color="000000"/>
              <w:left w:val="single" w:sz="12" w:space="0" w:color="000000"/>
              <w:bottom w:val="single" w:sz="6" w:space="0" w:color="000000"/>
              <w:right w:val="single" w:sz="12" w:space="0" w:color="000000"/>
            </w:tcBorders>
            <w:vAlign w:val="center"/>
          </w:tcPr>
          <w:p w14:paraId="11B29624" w14:textId="048FCDC7" w:rsidR="00B56D50" w:rsidRDefault="001C3C42" w:rsidP="00AC4249">
            <w:pPr>
              <w:spacing w:after="0" w:line="259" w:lineRule="auto"/>
              <w:ind w:left="0" w:right="23" w:firstLine="0"/>
              <w:jc w:val="center"/>
            </w:pPr>
            <w:r>
              <w:rPr>
                <w:sz w:val="20"/>
              </w:rPr>
              <w:t>21</w:t>
            </w:r>
          </w:p>
        </w:tc>
      </w:tr>
      <w:tr w:rsidR="00B56D50" w14:paraId="7A167860" w14:textId="77777777" w:rsidTr="001D57C4">
        <w:trPr>
          <w:trHeight w:val="469"/>
        </w:trPr>
        <w:tc>
          <w:tcPr>
            <w:tcW w:w="2521" w:type="dxa"/>
            <w:tcBorders>
              <w:top w:val="single" w:sz="6" w:space="0" w:color="000000"/>
              <w:left w:val="single" w:sz="12" w:space="0" w:color="000000"/>
              <w:bottom w:val="single" w:sz="12" w:space="0" w:color="000000"/>
              <w:right w:val="single" w:sz="12" w:space="0" w:color="000000"/>
            </w:tcBorders>
            <w:vAlign w:val="center"/>
          </w:tcPr>
          <w:p w14:paraId="4A489F97" w14:textId="77777777" w:rsidR="00B56D50" w:rsidRDefault="001C3C42" w:rsidP="00AC4249">
            <w:pPr>
              <w:spacing w:after="0" w:line="259" w:lineRule="auto"/>
              <w:ind w:left="0" w:right="24" w:firstLine="0"/>
            </w:pPr>
            <w:r>
              <w:rPr>
                <w:sz w:val="20"/>
              </w:rPr>
              <w:t>A</w:t>
            </w:r>
            <w:r>
              <w:rPr>
                <w:sz w:val="16"/>
              </w:rPr>
              <w:t xml:space="preserve">LL </w:t>
            </w:r>
            <w:r>
              <w:rPr>
                <w:sz w:val="20"/>
              </w:rPr>
              <w:t>O</w:t>
            </w:r>
            <w:r>
              <w:rPr>
                <w:sz w:val="16"/>
              </w:rPr>
              <w:t xml:space="preserve">THER </w:t>
            </w:r>
            <w:r>
              <w:rPr>
                <w:sz w:val="20"/>
              </w:rPr>
              <w:t>A</w:t>
            </w:r>
            <w:r>
              <w:rPr>
                <w:sz w:val="16"/>
              </w:rPr>
              <w:t>NALYTES</w:t>
            </w:r>
            <w:r>
              <w:rPr>
                <w:sz w:val="20"/>
              </w:rPr>
              <w:t xml:space="preserve"> </w:t>
            </w:r>
          </w:p>
        </w:tc>
        <w:tc>
          <w:tcPr>
            <w:tcW w:w="1440" w:type="dxa"/>
            <w:tcBorders>
              <w:top w:val="single" w:sz="6" w:space="0" w:color="000000"/>
              <w:left w:val="single" w:sz="12" w:space="0" w:color="000000"/>
              <w:bottom w:val="single" w:sz="12" w:space="0" w:color="000000"/>
              <w:right w:val="single" w:sz="12" w:space="0" w:color="000000"/>
            </w:tcBorders>
            <w:vAlign w:val="center"/>
          </w:tcPr>
          <w:p w14:paraId="5F1F4A5B" w14:textId="1BD60E48" w:rsidR="00B56D50" w:rsidRDefault="001C3C42" w:rsidP="00AC4249">
            <w:pPr>
              <w:spacing w:after="0" w:line="259" w:lineRule="auto"/>
              <w:ind w:left="0" w:right="18" w:firstLine="0"/>
              <w:jc w:val="center"/>
            </w:pPr>
            <w:r>
              <w:rPr>
                <w:sz w:val="20"/>
              </w:rPr>
              <w:t>70-130</w:t>
            </w:r>
          </w:p>
        </w:tc>
        <w:tc>
          <w:tcPr>
            <w:tcW w:w="1532" w:type="dxa"/>
            <w:tcBorders>
              <w:top w:val="single" w:sz="6" w:space="0" w:color="000000"/>
              <w:left w:val="single" w:sz="12" w:space="0" w:color="000000"/>
              <w:bottom w:val="single" w:sz="12" w:space="0" w:color="000000"/>
              <w:right w:val="single" w:sz="12" w:space="0" w:color="000000"/>
            </w:tcBorders>
            <w:vAlign w:val="center"/>
          </w:tcPr>
          <w:p w14:paraId="4E74717B" w14:textId="7DEEA277" w:rsidR="00B56D50" w:rsidRDefault="001C3C42" w:rsidP="00AC4249">
            <w:pPr>
              <w:spacing w:after="0" w:line="259" w:lineRule="auto"/>
              <w:ind w:left="0" w:right="20" w:firstLine="0"/>
              <w:jc w:val="center"/>
            </w:pPr>
            <w:r>
              <w:rPr>
                <w:sz w:val="20"/>
              </w:rPr>
              <w:t>20</w:t>
            </w:r>
          </w:p>
        </w:tc>
        <w:tc>
          <w:tcPr>
            <w:tcW w:w="1529" w:type="dxa"/>
            <w:tcBorders>
              <w:top w:val="single" w:sz="6" w:space="0" w:color="000000"/>
              <w:left w:val="single" w:sz="12" w:space="0" w:color="000000"/>
              <w:bottom w:val="single" w:sz="12" w:space="0" w:color="000000"/>
              <w:right w:val="single" w:sz="12" w:space="0" w:color="000000"/>
            </w:tcBorders>
            <w:vAlign w:val="center"/>
          </w:tcPr>
          <w:p w14:paraId="64324F27" w14:textId="46DBA5EB" w:rsidR="00B56D50" w:rsidRDefault="001C3C42" w:rsidP="00AC4249">
            <w:pPr>
              <w:spacing w:after="0" w:line="259" w:lineRule="auto"/>
              <w:ind w:left="0" w:right="21" w:firstLine="0"/>
              <w:jc w:val="center"/>
            </w:pPr>
            <w:r>
              <w:rPr>
                <w:sz w:val="20"/>
              </w:rPr>
              <w:t>60-140</w:t>
            </w:r>
          </w:p>
        </w:tc>
        <w:tc>
          <w:tcPr>
            <w:tcW w:w="1529" w:type="dxa"/>
            <w:tcBorders>
              <w:top w:val="single" w:sz="6" w:space="0" w:color="000000"/>
              <w:left w:val="single" w:sz="12" w:space="0" w:color="000000"/>
              <w:bottom w:val="single" w:sz="12" w:space="0" w:color="000000"/>
              <w:right w:val="single" w:sz="12" w:space="0" w:color="000000"/>
            </w:tcBorders>
            <w:vAlign w:val="center"/>
          </w:tcPr>
          <w:p w14:paraId="79137257" w14:textId="7378F76B" w:rsidR="001D57C4" w:rsidRPr="001D57C4" w:rsidRDefault="001C3C42" w:rsidP="001D57C4">
            <w:pPr>
              <w:spacing w:after="0" w:line="259" w:lineRule="auto"/>
              <w:ind w:left="0" w:right="23" w:firstLine="0"/>
              <w:jc w:val="center"/>
              <w:rPr>
                <w:sz w:val="20"/>
              </w:rPr>
            </w:pPr>
            <w:r>
              <w:rPr>
                <w:sz w:val="20"/>
              </w:rPr>
              <w:t>30</w:t>
            </w:r>
          </w:p>
        </w:tc>
      </w:tr>
    </w:tbl>
    <w:p w14:paraId="4B14F5FB" w14:textId="77777777" w:rsidR="00B56D50" w:rsidRDefault="001C3C42">
      <w:pPr>
        <w:spacing w:after="0" w:line="259" w:lineRule="auto"/>
        <w:ind w:left="1532" w:right="0" w:firstLine="0"/>
      </w:pPr>
      <w:r>
        <w:rPr>
          <w:rFonts w:ascii="Arial" w:eastAsia="Arial" w:hAnsi="Arial" w:cs="Arial"/>
        </w:rPr>
        <w:t xml:space="preserve"> </w:t>
      </w:r>
    </w:p>
    <w:p w14:paraId="7E2D88CE" w14:textId="360B75C3" w:rsidR="00B56D50" w:rsidRPr="00AC4249" w:rsidRDefault="001C3C42" w:rsidP="00093377">
      <w:pPr>
        <w:numPr>
          <w:ilvl w:val="0"/>
          <w:numId w:val="77"/>
        </w:numPr>
        <w:spacing w:after="16"/>
        <w:ind w:left="1440" w:right="186" w:hanging="360"/>
        <w:rPr>
          <w:b/>
          <w:bCs/>
        </w:rPr>
      </w:pPr>
      <w:r w:rsidRPr="00FC02C5">
        <w:rPr>
          <w:b/>
          <w:bCs/>
        </w:rPr>
        <w:t>Analysis of Surrogates</w:t>
      </w:r>
      <w:r w:rsidRPr="00AC4249">
        <w:rPr>
          <w:b/>
          <w:bCs/>
        </w:rPr>
        <w:t xml:space="preserve"> </w:t>
      </w:r>
    </w:p>
    <w:p w14:paraId="33E632E2" w14:textId="77777777" w:rsidR="00B56D50" w:rsidRDefault="001C3C42" w:rsidP="00E03D08">
      <w:pPr>
        <w:ind w:left="1450" w:right="255"/>
      </w:pPr>
      <w:r>
        <w:t>The Contractor shall use the following recommended surrogates for GC/MS analysis of VOCs: toluene-d</w:t>
      </w:r>
      <w:r>
        <w:rPr>
          <w:vertAlign w:val="subscript"/>
        </w:rPr>
        <w:t>8</w:t>
      </w:r>
      <w:r>
        <w:t>, 4-bromofluorobenzene, 1,2-dichloroethane-d</w:t>
      </w:r>
      <w:r>
        <w:rPr>
          <w:vertAlign w:val="subscript"/>
        </w:rPr>
        <w:t>4</w:t>
      </w:r>
      <w:r>
        <w:t xml:space="preserve">, and </w:t>
      </w:r>
      <w:proofErr w:type="spellStart"/>
      <w:r>
        <w:t>dibromofluoromethane</w:t>
      </w:r>
      <w:proofErr w:type="spellEnd"/>
      <w:r>
        <w:t xml:space="preserve">.  Other compounds may be used as surrogates, depending upon the analysis requirements.  Every blank, standard, and environmental sample (including matrix spike/matrix spike duplicate and matrix duplicate samples) must be spiked with surrogate compounds prior to purging or extraction.   </w:t>
      </w:r>
    </w:p>
    <w:p w14:paraId="213ADF3F" w14:textId="0DC1AF66" w:rsidR="00B56D50" w:rsidRDefault="00B56D50" w:rsidP="00E03D08">
      <w:pPr>
        <w:spacing w:after="0" w:line="259" w:lineRule="auto"/>
        <w:ind w:left="1440" w:right="0" w:firstLine="0"/>
      </w:pPr>
    </w:p>
    <w:p w14:paraId="6A9330E0" w14:textId="7AC5D260" w:rsidR="00B56D50" w:rsidRDefault="001C3C42" w:rsidP="00E03D08">
      <w:pPr>
        <w:spacing w:after="0"/>
        <w:ind w:left="1454" w:right="259" w:hanging="14"/>
      </w:pPr>
      <w:r>
        <w:t xml:space="preserve">Surrogates must be spiked into samples as directed in the appropriate analytical methods.  The concentration of the surrogate spiking solution and final concentration of surrogate in the samples must be appropriate to the project DQOs.  For example, if a more sensitive mass spectrometer or method modification is used to achieve lower detection limits, a spiking solution more dilute than the usual 5-25 </w:t>
      </w:r>
      <w:proofErr w:type="gramStart"/>
      <w:r w:rsidR="00FC02C5">
        <w:rPr>
          <w:rFonts w:ascii="Segoe UI Symbol" w:eastAsia="Segoe UI Symbol" w:hAnsi="Segoe UI Symbol" w:cs="Segoe UI Symbol"/>
        </w:rPr>
        <w:t>µ</w:t>
      </w:r>
      <w:r>
        <w:t>g</w:t>
      </w:r>
      <w:proofErr w:type="gramEnd"/>
      <w:r>
        <w:t xml:space="preserve">/mL and a </w:t>
      </w:r>
      <w:proofErr w:type="gramStart"/>
      <w:r>
        <w:t>final surrogate concentrations</w:t>
      </w:r>
      <w:proofErr w:type="gramEnd"/>
      <w:r>
        <w:t xml:space="preserve"> lower than 50 </w:t>
      </w:r>
      <w:proofErr w:type="gramStart"/>
      <w:r w:rsidR="00FC02C5">
        <w:rPr>
          <w:rFonts w:ascii="Segoe UI Symbol" w:eastAsia="Segoe UI Symbol" w:hAnsi="Segoe UI Symbol" w:cs="Segoe UI Symbol"/>
        </w:rPr>
        <w:t>µ</w:t>
      </w:r>
      <w:r>
        <w:t>g</w:t>
      </w:r>
      <w:proofErr w:type="gramEnd"/>
      <w:r>
        <w:t>/L may be required.</w:t>
      </w:r>
    </w:p>
    <w:p w14:paraId="2BC6FC09" w14:textId="2716EE8A" w:rsidR="00B56D50" w:rsidRDefault="00B56D50" w:rsidP="00AC4249">
      <w:pPr>
        <w:spacing w:after="0" w:line="259" w:lineRule="auto"/>
        <w:ind w:left="1080" w:right="0" w:firstLine="0"/>
      </w:pPr>
    </w:p>
    <w:p w14:paraId="0BBFA603" w14:textId="1B20369B" w:rsidR="00B56D50" w:rsidRPr="00FC02C5" w:rsidRDefault="001C3C42" w:rsidP="00093377">
      <w:pPr>
        <w:numPr>
          <w:ilvl w:val="0"/>
          <w:numId w:val="81"/>
        </w:numPr>
        <w:ind w:right="255" w:hanging="360"/>
        <w:rPr>
          <w:b/>
          <w:bCs/>
        </w:rPr>
      </w:pPr>
      <w:r w:rsidRPr="00FC02C5">
        <w:rPr>
          <w:b/>
          <w:bCs/>
        </w:rPr>
        <w:t>Control criteria for surrogate recoveries</w:t>
      </w:r>
      <w:r w:rsidR="00D60B13">
        <w:rPr>
          <w:b/>
          <w:bCs/>
        </w:rPr>
        <w:t>:</w:t>
      </w:r>
      <w:r w:rsidRPr="00FC02C5">
        <w:rPr>
          <w:b/>
          <w:bCs/>
        </w:rPr>
        <w:t xml:space="preserve"> </w:t>
      </w:r>
    </w:p>
    <w:p w14:paraId="5250722B" w14:textId="6BBA4AA5" w:rsidR="00B56D50" w:rsidRDefault="001C3C42" w:rsidP="00FC02C5">
      <w:pPr>
        <w:ind w:left="1810" w:right="255"/>
      </w:pPr>
      <w:r>
        <w:t xml:space="preserve">Required control criteria for volatile surrogate recoveries are listed in TABLE </w:t>
      </w:r>
      <w:r w:rsidR="00385F0C">
        <w:t>15</w:t>
      </w:r>
      <w:r>
        <w:t xml:space="preserve">. </w:t>
      </w:r>
    </w:p>
    <w:p w14:paraId="5A863E53" w14:textId="142878F4" w:rsidR="00444E3A" w:rsidRDefault="00444E3A" w:rsidP="00444E3A">
      <w:pPr>
        <w:tabs>
          <w:tab w:val="left" w:pos="1511"/>
        </w:tabs>
        <w:ind w:right="255"/>
      </w:pPr>
      <w:r>
        <w:tab/>
      </w:r>
    </w:p>
    <w:p w14:paraId="28C64E05" w14:textId="77777777" w:rsidR="00444E3A" w:rsidRDefault="00444E3A" w:rsidP="00444E3A">
      <w:pPr>
        <w:tabs>
          <w:tab w:val="left" w:pos="3008"/>
        </w:tabs>
        <w:ind w:right="255"/>
      </w:pPr>
    </w:p>
    <w:p w14:paraId="0F1BE878" w14:textId="77777777" w:rsidR="00444E3A" w:rsidRDefault="00444E3A" w:rsidP="00444E3A">
      <w:pPr>
        <w:tabs>
          <w:tab w:val="left" w:pos="3008"/>
        </w:tabs>
        <w:ind w:right="255"/>
      </w:pPr>
    </w:p>
    <w:p w14:paraId="11C50633" w14:textId="77777777" w:rsidR="00444E3A" w:rsidRDefault="00444E3A" w:rsidP="00444E3A">
      <w:pPr>
        <w:tabs>
          <w:tab w:val="left" w:pos="3008"/>
        </w:tabs>
        <w:ind w:right="255"/>
      </w:pPr>
    </w:p>
    <w:p w14:paraId="586A3400" w14:textId="77777777" w:rsidR="00444E3A" w:rsidRDefault="00444E3A" w:rsidP="00444E3A">
      <w:pPr>
        <w:tabs>
          <w:tab w:val="left" w:pos="3008"/>
        </w:tabs>
        <w:ind w:right="255"/>
      </w:pPr>
    </w:p>
    <w:p w14:paraId="33C5C425" w14:textId="77777777" w:rsidR="00444E3A" w:rsidRPr="00C31E1B" w:rsidRDefault="00444E3A" w:rsidP="00444E3A">
      <w:pPr>
        <w:pStyle w:val="Heading5"/>
        <w:spacing w:after="16" w:line="247" w:lineRule="auto"/>
        <w:ind w:left="1090" w:right="186"/>
      </w:pPr>
      <w:r>
        <w:t>THE REMAINDER OF THIS PAGE HAS BEEN LEFT BLANK INTENTIONALLY</w:t>
      </w:r>
    </w:p>
    <w:p w14:paraId="7A38CBB8" w14:textId="77777777" w:rsidR="00444E3A" w:rsidRDefault="00444E3A" w:rsidP="00444E3A">
      <w:pPr>
        <w:tabs>
          <w:tab w:val="left" w:pos="3008"/>
        </w:tabs>
        <w:ind w:right="255"/>
      </w:pPr>
    </w:p>
    <w:p w14:paraId="5579861C" w14:textId="77777777" w:rsidR="00444E3A" w:rsidRDefault="00444E3A" w:rsidP="00444E3A">
      <w:pPr>
        <w:tabs>
          <w:tab w:val="left" w:pos="3008"/>
        </w:tabs>
        <w:ind w:right="255"/>
      </w:pPr>
    </w:p>
    <w:p w14:paraId="46E8D08E" w14:textId="77777777" w:rsidR="00444E3A" w:rsidRDefault="00444E3A" w:rsidP="00444E3A">
      <w:pPr>
        <w:tabs>
          <w:tab w:val="left" w:pos="3008"/>
        </w:tabs>
        <w:ind w:right="255"/>
      </w:pPr>
    </w:p>
    <w:p w14:paraId="44CD3F64" w14:textId="77777777" w:rsidR="00444E3A" w:rsidRDefault="00444E3A" w:rsidP="00444E3A">
      <w:pPr>
        <w:tabs>
          <w:tab w:val="left" w:pos="3008"/>
        </w:tabs>
        <w:ind w:right="255"/>
      </w:pPr>
    </w:p>
    <w:p w14:paraId="5C33886B" w14:textId="6236470B" w:rsidR="00B56D50" w:rsidRDefault="001C3C42">
      <w:pPr>
        <w:pStyle w:val="Heading5"/>
        <w:ind w:left="1024" w:right="233"/>
      </w:pPr>
      <w:r>
        <w:t xml:space="preserve">TABLE </w:t>
      </w:r>
      <w:r w:rsidR="009635C1">
        <w:t>15</w:t>
      </w:r>
      <w:r>
        <w:t xml:space="preserve"> </w:t>
      </w:r>
    </w:p>
    <w:p w14:paraId="40054A09" w14:textId="77777777" w:rsidR="00B56D50" w:rsidRDefault="001C3C42">
      <w:pPr>
        <w:pStyle w:val="Heading6"/>
        <w:spacing w:after="14" w:line="248" w:lineRule="auto"/>
        <w:ind w:left="1024" w:right="726"/>
        <w:jc w:val="center"/>
      </w:pPr>
      <w:r>
        <w:t xml:space="preserve">Required Surrogate Spike Control Criteria for VOC Analysis </w:t>
      </w:r>
    </w:p>
    <w:p w14:paraId="25F61AF4" w14:textId="77777777" w:rsidR="00B56D50" w:rsidRDefault="001C3C42">
      <w:pPr>
        <w:spacing w:after="0" w:line="259" w:lineRule="auto"/>
        <w:ind w:left="540" w:right="0" w:firstLine="0"/>
      </w:pPr>
      <w:r>
        <w:rPr>
          <w:rFonts w:ascii="Arial" w:eastAsia="Arial" w:hAnsi="Arial" w:cs="Arial"/>
          <w:sz w:val="8"/>
        </w:rPr>
        <w:t xml:space="preserve"> </w:t>
      </w:r>
    </w:p>
    <w:tbl>
      <w:tblPr>
        <w:tblStyle w:val="TableGrid1"/>
        <w:tblW w:w="7473" w:type="dxa"/>
        <w:tblInd w:w="1980" w:type="dxa"/>
        <w:tblCellMar>
          <w:top w:w="22" w:type="dxa"/>
          <w:left w:w="137" w:type="dxa"/>
          <w:bottom w:w="75" w:type="dxa"/>
          <w:right w:w="115" w:type="dxa"/>
        </w:tblCellMar>
        <w:tblLook w:val="04A0" w:firstRow="1" w:lastRow="0" w:firstColumn="1" w:lastColumn="0" w:noHBand="0" w:noVBand="1"/>
      </w:tblPr>
      <w:tblGrid>
        <w:gridCol w:w="2701"/>
        <w:gridCol w:w="2160"/>
        <w:gridCol w:w="2612"/>
      </w:tblGrid>
      <w:tr w:rsidR="00B56D50" w14:paraId="773E4D35" w14:textId="77777777" w:rsidTr="009A3827">
        <w:trPr>
          <w:trHeight w:val="360"/>
        </w:trPr>
        <w:tc>
          <w:tcPr>
            <w:tcW w:w="2701" w:type="dxa"/>
            <w:tcBorders>
              <w:top w:val="single" w:sz="12" w:space="0" w:color="000000"/>
              <w:left w:val="single" w:sz="12" w:space="0" w:color="000000"/>
              <w:bottom w:val="single" w:sz="12" w:space="0" w:color="000000"/>
              <w:right w:val="single" w:sz="12" w:space="0" w:color="000000"/>
            </w:tcBorders>
            <w:vAlign w:val="center"/>
          </w:tcPr>
          <w:p w14:paraId="6D74DAC1" w14:textId="59D08B9A" w:rsidR="00B56D50" w:rsidRPr="001016A1" w:rsidRDefault="001C3C42" w:rsidP="001016A1">
            <w:pPr>
              <w:spacing w:after="0" w:line="259" w:lineRule="auto"/>
              <w:ind w:left="0" w:right="20" w:firstLine="0"/>
              <w:jc w:val="center"/>
              <w:rPr>
                <w:iCs/>
              </w:rPr>
            </w:pPr>
            <w:r w:rsidRPr="00AC4249">
              <w:rPr>
                <w:b/>
                <w:iCs/>
                <w:sz w:val="20"/>
              </w:rPr>
              <w:t>Matrix:</w:t>
            </w:r>
          </w:p>
        </w:tc>
        <w:tc>
          <w:tcPr>
            <w:tcW w:w="2160" w:type="dxa"/>
            <w:tcBorders>
              <w:top w:val="single" w:sz="12" w:space="0" w:color="000000"/>
              <w:left w:val="single" w:sz="12" w:space="0" w:color="000000"/>
              <w:bottom w:val="single" w:sz="12" w:space="0" w:color="000000"/>
              <w:right w:val="single" w:sz="12" w:space="0" w:color="000000"/>
            </w:tcBorders>
            <w:vAlign w:val="center"/>
          </w:tcPr>
          <w:p w14:paraId="36F90F55" w14:textId="3088707F" w:rsidR="00B56D50" w:rsidRDefault="001C3C42" w:rsidP="001016A1">
            <w:pPr>
              <w:spacing w:after="0" w:line="259" w:lineRule="auto"/>
              <w:ind w:left="0" w:right="21" w:firstLine="0"/>
              <w:jc w:val="center"/>
            </w:pPr>
            <w:r>
              <w:rPr>
                <w:b/>
                <w:sz w:val="20"/>
              </w:rPr>
              <w:t>Water</w:t>
            </w:r>
          </w:p>
        </w:tc>
        <w:tc>
          <w:tcPr>
            <w:tcW w:w="2612" w:type="dxa"/>
            <w:tcBorders>
              <w:top w:val="single" w:sz="12" w:space="0" w:color="000000"/>
              <w:left w:val="single" w:sz="12" w:space="0" w:color="000000"/>
              <w:bottom w:val="single" w:sz="12" w:space="0" w:color="000000"/>
              <w:right w:val="single" w:sz="12" w:space="0" w:color="000000"/>
            </w:tcBorders>
            <w:vAlign w:val="center"/>
          </w:tcPr>
          <w:p w14:paraId="0BCDF50B" w14:textId="7D507653" w:rsidR="00B56D50" w:rsidRDefault="001C3C42" w:rsidP="001016A1">
            <w:pPr>
              <w:spacing w:after="0" w:line="259" w:lineRule="auto"/>
              <w:ind w:left="0" w:right="23" w:firstLine="0"/>
              <w:jc w:val="center"/>
            </w:pPr>
            <w:r>
              <w:rPr>
                <w:b/>
                <w:sz w:val="20"/>
              </w:rPr>
              <w:t>Soil &amp; Other Matrices</w:t>
            </w:r>
          </w:p>
        </w:tc>
      </w:tr>
      <w:tr w:rsidR="00B56D50" w14:paraId="4D545C10" w14:textId="77777777" w:rsidTr="009A3827">
        <w:trPr>
          <w:trHeight w:val="360"/>
        </w:trPr>
        <w:tc>
          <w:tcPr>
            <w:tcW w:w="2701" w:type="dxa"/>
            <w:tcBorders>
              <w:top w:val="single" w:sz="12" w:space="0" w:color="000000"/>
              <w:left w:val="single" w:sz="12" w:space="0" w:color="000000"/>
              <w:bottom w:val="single" w:sz="12" w:space="0" w:color="000000"/>
              <w:right w:val="single" w:sz="12" w:space="0" w:color="000000"/>
            </w:tcBorders>
            <w:vAlign w:val="center"/>
          </w:tcPr>
          <w:p w14:paraId="2C24DC85" w14:textId="3213B30D" w:rsidR="00B56D50" w:rsidRDefault="001C3C42" w:rsidP="001016A1">
            <w:pPr>
              <w:spacing w:after="0" w:line="259" w:lineRule="auto"/>
              <w:ind w:left="0" w:right="22" w:firstLine="0"/>
              <w:jc w:val="center"/>
            </w:pPr>
            <w:r>
              <w:rPr>
                <w:b/>
                <w:sz w:val="20"/>
              </w:rPr>
              <w:t>Compound</w:t>
            </w:r>
          </w:p>
        </w:tc>
        <w:tc>
          <w:tcPr>
            <w:tcW w:w="2160" w:type="dxa"/>
            <w:tcBorders>
              <w:top w:val="single" w:sz="12" w:space="0" w:color="000000"/>
              <w:left w:val="single" w:sz="12" w:space="0" w:color="000000"/>
              <w:bottom w:val="single" w:sz="12" w:space="0" w:color="000000"/>
              <w:right w:val="single" w:sz="12" w:space="0" w:color="000000"/>
            </w:tcBorders>
            <w:vAlign w:val="center"/>
          </w:tcPr>
          <w:p w14:paraId="1D2CB44F" w14:textId="38C8B930" w:rsidR="00B56D50" w:rsidRDefault="001C3C42" w:rsidP="001016A1">
            <w:pPr>
              <w:spacing w:after="0" w:line="259" w:lineRule="auto"/>
              <w:ind w:left="0" w:right="0" w:firstLine="0"/>
              <w:jc w:val="center"/>
            </w:pPr>
            <w:r>
              <w:rPr>
                <w:b/>
                <w:sz w:val="20"/>
              </w:rPr>
              <w:t>Surrogate Spike %Recovery</w:t>
            </w:r>
          </w:p>
        </w:tc>
        <w:tc>
          <w:tcPr>
            <w:tcW w:w="2612" w:type="dxa"/>
            <w:tcBorders>
              <w:top w:val="single" w:sz="12" w:space="0" w:color="000000"/>
              <w:left w:val="single" w:sz="12" w:space="0" w:color="000000"/>
              <w:bottom w:val="single" w:sz="12" w:space="0" w:color="000000"/>
              <w:right w:val="single" w:sz="12" w:space="0" w:color="000000"/>
            </w:tcBorders>
            <w:vAlign w:val="center"/>
          </w:tcPr>
          <w:p w14:paraId="570DF3F1" w14:textId="07753A83" w:rsidR="00B56D50" w:rsidRDefault="001C3C42" w:rsidP="001016A1">
            <w:pPr>
              <w:spacing w:after="0" w:line="259" w:lineRule="auto"/>
              <w:ind w:left="0" w:right="0" w:firstLine="0"/>
              <w:jc w:val="center"/>
            </w:pPr>
            <w:r>
              <w:rPr>
                <w:b/>
                <w:sz w:val="20"/>
              </w:rPr>
              <w:t xml:space="preserve">Surrogate </w:t>
            </w:r>
            <w:r w:rsidR="00653FA4">
              <w:rPr>
                <w:b/>
                <w:sz w:val="20"/>
              </w:rPr>
              <w:t>Spike %</w:t>
            </w:r>
            <w:r>
              <w:rPr>
                <w:b/>
                <w:sz w:val="20"/>
              </w:rPr>
              <w:t>Recovery</w:t>
            </w:r>
          </w:p>
        </w:tc>
      </w:tr>
      <w:tr w:rsidR="00B56D50" w14:paraId="4682A076" w14:textId="77777777" w:rsidTr="009A3827">
        <w:trPr>
          <w:trHeight w:val="360"/>
        </w:trPr>
        <w:tc>
          <w:tcPr>
            <w:tcW w:w="2701" w:type="dxa"/>
            <w:tcBorders>
              <w:top w:val="single" w:sz="12" w:space="0" w:color="000000"/>
              <w:left w:val="single" w:sz="12" w:space="0" w:color="000000"/>
              <w:bottom w:val="single" w:sz="4" w:space="0" w:color="000000"/>
              <w:right w:val="single" w:sz="12" w:space="0" w:color="000000"/>
            </w:tcBorders>
            <w:vAlign w:val="center"/>
          </w:tcPr>
          <w:p w14:paraId="385CA0CA" w14:textId="5CD1DBCB" w:rsidR="00B56D50" w:rsidRDefault="001C3C42" w:rsidP="001016A1">
            <w:pPr>
              <w:spacing w:after="0" w:line="259" w:lineRule="auto"/>
              <w:ind w:left="0" w:right="0" w:firstLine="0"/>
            </w:pPr>
            <w:r>
              <w:rPr>
                <w:sz w:val="20"/>
              </w:rPr>
              <w:t>Toluene-d</w:t>
            </w:r>
            <w:r>
              <w:rPr>
                <w:sz w:val="20"/>
                <w:vertAlign w:val="subscript"/>
              </w:rPr>
              <w:t>8</w:t>
            </w:r>
          </w:p>
        </w:tc>
        <w:tc>
          <w:tcPr>
            <w:tcW w:w="2160" w:type="dxa"/>
            <w:tcBorders>
              <w:top w:val="single" w:sz="12" w:space="0" w:color="000000"/>
              <w:left w:val="single" w:sz="12" w:space="0" w:color="000000"/>
              <w:bottom w:val="single" w:sz="4" w:space="0" w:color="000000"/>
              <w:right w:val="single" w:sz="12" w:space="0" w:color="000000"/>
            </w:tcBorders>
            <w:vAlign w:val="center"/>
          </w:tcPr>
          <w:p w14:paraId="54912A17" w14:textId="79E9E2BE" w:rsidR="00B56D50" w:rsidRDefault="001C3C42" w:rsidP="001016A1">
            <w:pPr>
              <w:spacing w:after="0" w:line="259" w:lineRule="auto"/>
              <w:ind w:left="0" w:right="20" w:firstLine="0"/>
              <w:jc w:val="center"/>
            </w:pPr>
            <w:r>
              <w:rPr>
                <w:sz w:val="20"/>
              </w:rPr>
              <w:t>88-110</w:t>
            </w:r>
          </w:p>
        </w:tc>
        <w:tc>
          <w:tcPr>
            <w:tcW w:w="2612" w:type="dxa"/>
            <w:tcBorders>
              <w:top w:val="single" w:sz="12" w:space="0" w:color="000000"/>
              <w:left w:val="single" w:sz="12" w:space="0" w:color="000000"/>
              <w:bottom w:val="single" w:sz="4" w:space="0" w:color="000000"/>
              <w:right w:val="single" w:sz="12" w:space="0" w:color="000000"/>
            </w:tcBorders>
            <w:vAlign w:val="center"/>
          </w:tcPr>
          <w:p w14:paraId="6008A3D9" w14:textId="1CAC97B9" w:rsidR="00B56D50" w:rsidRDefault="001C3C42" w:rsidP="001016A1">
            <w:pPr>
              <w:spacing w:after="0" w:line="259" w:lineRule="auto"/>
              <w:ind w:left="0" w:right="20" w:firstLine="0"/>
              <w:jc w:val="center"/>
            </w:pPr>
            <w:r>
              <w:rPr>
                <w:sz w:val="20"/>
              </w:rPr>
              <w:t>81-117</w:t>
            </w:r>
          </w:p>
        </w:tc>
      </w:tr>
      <w:tr w:rsidR="00B56D50" w14:paraId="2121D942" w14:textId="77777777" w:rsidTr="009A3827">
        <w:trPr>
          <w:trHeight w:val="360"/>
        </w:trPr>
        <w:tc>
          <w:tcPr>
            <w:tcW w:w="2701" w:type="dxa"/>
            <w:tcBorders>
              <w:top w:val="single" w:sz="4" w:space="0" w:color="000000"/>
              <w:left w:val="single" w:sz="12" w:space="0" w:color="000000"/>
              <w:bottom w:val="single" w:sz="4" w:space="0" w:color="000000"/>
              <w:right w:val="single" w:sz="12" w:space="0" w:color="000000"/>
            </w:tcBorders>
            <w:vAlign w:val="center"/>
          </w:tcPr>
          <w:p w14:paraId="1C52A689" w14:textId="2445620F" w:rsidR="00B56D50" w:rsidRDefault="001C3C42" w:rsidP="001016A1">
            <w:pPr>
              <w:spacing w:after="0" w:line="259" w:lineRule="auto"/>
              <w:ind w:left="0" w:right="0" w:firstLine="0"/>
            </w:pPr>
            <w:r>
              <w:rPr>
                <w:sz w:val="20"/>
              </w:rPr>
              <w:t>4-Bromofluorobenzene</w:t>
            </w:r>
          </w:p>
        </w:tc>
        <w:tc>
          <w:tcPr>
            <w:tcW w:w="2160" w:type="dxa"/>
            <w:tcBorders>
              <w:top w:val="single" w:sz="4" w:space="0" w:color="000000"/>
              <w:left w:val="single" w:sz="12" w:space="0" w:color="000000"/>
              <w:bottom w:val="single" w:sz="4" w:space="0" w:color="000000"/>
              <w:right w:val="single" w:sz="12" w:space="0" w:color="000000"/>
            </w:tcBorders>
            <w:vAlign w:val="center"/>
          </w:tcPr>
          <w:p w14:paraId="29CB9D2E" w14:textId="14CFA8BA" w:rsidR="00B56D50" w:rsidRDefault="001C3C42" w:rsidP="001016A1">
            <w:pPr>
              <w:spacing w:after="0" w:line="259" w:lineRule="auto"/>
              <w:ind w:left="0" w:right="20" w:firstLine="0"/>
              <w:jc w:val="center"/>
            </w:pPr>
            <w:r>
              <w:rPr>
                <w:sz w:val="20"/>
              </w:rPr>
              <w:t>86-115</w:t>
            </w:r>
          </w:p>
        </w:tc>
        <w:tc>
          <w:tcPr>
            <w:tcW w:w="2612" w:type="dxa"/>
            <w:tcBorders>
              <w:top w:val="single" w:sz="4" w:space="0" w:color="000000"/>
              <w:left w:val="single" w:sz="12" w:space="0" w:color="000000"/>
              <w:bottom w:val="single" w:sz="4" w:space="0" w:color="000000"/>
              <w:right w:val="single" w:sz="12" w:space="0" w:color="000000"/>
            </w:tcBorders>
            <w:vAlign w:val="center"/>
          </w:tcPr>
          <w:p w14:paraId="0359A529" w14:textId="7D88A1C9" w:rsidR="00B56D50" w:rsidRDefault="001C3C42" w:rsidP="001016A1">
            <w:pPr>
              <w:spacing w:after="0" w:line="259" w:lineRule="auto"/>
              <w:ind w:left="0" w:right="20" w:firstLine="0"/>
              <w:jc w:val="center"/>
            </w:pPr>
            <w:r>
              <w:rPr>
                <w:sz w:val="20"/>
              </w:rPr>
              <w:t>74-121</w:t>
            </w:r>
          </w:p>
        </w:tc>
      </w:tr>
      <w:tr w:rsidR="00B56D50" w14:paraId="0581487D" w14:textId="77777777" w:rsidTr="009A3827">
        <w:trPr>
          <w:trHeight w:val="360"/>
        </w:trPr>
        <w:tc>
          <w:tcPr>
            <w:tcW w:w="2701" w:type="dxa"/>
            <w:tcBorders>
              <w:top w:val="single" w:sz="4" w:space="0" w:color="000000"/>
              <w:left w:val="single" w:sz="12" w:space="0" w:color="000000"/>
              <w:bottom w:val="single" w:sz="4" w:space="0" w:color="000000"/>
              <w:right w:val="single" w:sz="12" w:space="0" w:color="000000"/>
            </w:tcBorders>
            <w:vAlign w:val="center"/>
          </w:tcPr>
          <w:p w14:paraId="2A9877C5" w14:textId="7DB3A163" w:rsidR="00B56D50" w:rsidRDefault="001C3C42" w:rsidP="001016A1">
            <w:pPr>
              <w:spacing w:after="0" w:line="259" w:lineRule="auto"/>
              <w:ind w:left="0" w:right="0" w:firstLine="0"/>
            </w:pPr>
            <w:r>
              <w:rPr>
                <w:sz w:val="20"/>
              </w:rPr>
              <w:t>1,2-Dichloroethane-d</w:t>
            </w:r>
            <w:r>
              <w:rPr>
                <w:sz w:val="20"/>
                <w:vertAlign w:val="subscript"/>
              </w:rPr>
              <w:t>4</w:t>
            </w:r>
          </w:p>
        </w:tc>
        <w:tc>
          <w:tcPr>
            <w:tcW w:w="2160" w:type="dxa"/>
            <w:tcBorders>
              <w:top w:val="single" w:sz="4" w:space="0" w:color="000000"/>
              <w:left w:val="single" w:sz="12" w:space="0" w:color="000000"/>
              <w:bottom w:val="single" w:sz="4" w:space="0" w:color="000000"/>
              <w:right w:val="single" w:sz="12" w:space="0" w:color="000000"/>
            </w:tcBorders>
            <w:vAlign w:val="center"/>
          </w:tcPr>
          <w:p w14:paraId="36377C49" w14:textId="6F435F74" w:rsidR="00B56D50" w:rsidRDefault="001C3C42" w:rsidP="001016A1">
            <w:pPr>
              <w:spacing w:after="0" w:line="259" w:lineRule="auto"/>
              <w:ind w:left="0" w:right="20" w:firstLine="0"/>
              <w:jc w:val="center"/>
            </w:pPr>
            <w:r>
              <w:rPr>
                <w:sz w:val="20"/>
              </w:rPr>
              <w:t>76-114</w:t>
            </w:r>
          </w:p>
        </w:tc>
        <w:tc>
          <w:tcPr>
            <w:tcW w:w="2612" w:type="dxa"/>
            <w:tcBorders>
              <w:top w:val="single" w:sz="4" w:space="0" w:color="000000"/>
              <w:left w:val="single" w:sz="12" w:space="0" w:color="000000"/>
              <w:bottom w:val="single" w:sz="4" w:space="0" w:color="000000"/>
              <w:right w:val="single" w:sz="12" w:space="0" w:color="000000"/>
            </w:tcBorders>
            <w:vAlign w:val="center"/>
          </w:tcPr>
          <w:p w14:paraId="09A7CD72" w14:textId="06B1D52A" w:rsidR="00B56D50" w:rsidRDefault="001C3C42" w:rsidP="001016A1">
            <w:pPr>
              <w:spacing w:after="0" w:line="259" w:lineRule="auto"/>
              <w:ind w:left="0" w:right="20" w:firstLine="0"/>
              <w:jc w:val="center"/>
            </w:pPr>
            <w:r>
              <w:rPr>
                <w:sz w:val="20"/>
              </w:rPr>
              <w:t>80-120</w:t>
            </w:r>
          </w:p>
        </w:tc>
      </w:tr>
      <w:tr w:rsidR="00B56D50" w14:paraId="7627DE4F" w14:textId="77777777" w:rsidTr="009A3827">
        <w:trPr>
          <w:trHeight w:val="360"/>
        </w:trPr>
        <w:tc>
          <w:tcPr>
            <w:tcW w:w="2701" w:type="dxa"/>
            <w:tcBorders>
              <w:top w:val="single" w:sz="4" w:space="0" w:color="000000"/>
              <w:left w:val="single" w:sz="12" w:space="0" w:color="000000"/>
              <w:bottom w:val="single" w:sz="12" w:space="0" w:color="000000"/>
              <w:right w:val="single" w:sz="12" w:space="0" w:color="000000"/>
            </w:tcBorders>
            <w:vAlign w:val="center"/>
          </w:tcPr>
          <w:p w14:paraId="4BC68E1E" w14:textId="6F4B4EA6" w:rsidR="00B56D50" w:rsidRDefault="001C3C42" w:rsidP="001016A1">
            <w:pPr>
              <w:spacing w:after="0" w:line="259" w:lineRule="auto"/>
              <w:ind w:left="0" w:right="0" w:firstLine="0"/>
            </w:pPr>
            <w:proofErr w:type="spellStart"/>
            <w:r>
              <w:rPr>
                <w:sz w:val="20"/>
              </w:rPr>
              <w:t>Dibromofluoromethane</w:t>
            </w:r>
            <w:proofErr w:type="spellEnd"/>
          </w:p>
        </w:tc>
        <w:tc>
          <w:tcPr>
            <w:tcW w:w="2160" w:type="dxa"/>
            <w:tcBorders>
              <w:top w:val="single" w:sz="4" w:space="0" w:color="000000"/>
              <w:left w:val="single" w:sz="12" w:space="0" w:color="000000"/>
              <w:bottom w:val="single" w:sz="12" w:space="0" w:color="000000"/>
              <w:right w:val="single" w:sz="12" w:space="0" w:color="000000"/>
            </w:tcBorders>
            <w:vAlign w:val="center"/>
          </w:tcPr>
          <w:p w14:paraId="1B470345" w14:textId="37151E75" w:rsidR="00B56D50" w:rsidRDefault="001C3C42" w:rsidP="001016A1">
            <w:pPr>
              <w:spacing w:after="0" w:line="259" w:lineRule="auto"/>
              <w:ind w:left="0" w:right="20" w:firstLine="0"/>
              <w:jc w:val="center"/>
            </w:pPr>
            <w:r>
              <w:rPr>
                <w:sz w:val="20"/>
              </w:rPr>
              <w:t>86-118</w:t>
            </w:r>
          </w:p>
        </w:tc>
        <w:tc>
          <w:tcPr>
            <w:tcW w:w="2612" w:type="dxa"/>
            <w:tcBorders>
              <w:top w:val="single" w:sz="4" w:space="0" w:color="000000"/>
              <w:left w:val="single" w:sz="12" w:space="0" w:color="000000"/>
              <w:bottom w:val="single" w:sz="12" w:space="0" w:color="000000"/>
              <w:right w:val="single" w:sz="12" w:space="0" w:color="000000"/>
            </w:tcBorders>
            <w:vAlign w:val="center"/>
          </w:tcPr>
          <w:p w14:paraId="0E5536E6" w14:textId="403E3490" w:rsidR="00B56D50" w:rsidRDefault="001C3C42" w:rsidP="001016A1">
            <w:pPr>
              <w:spacing w:after="0" w:line="259" w:lineRule="auto"/>
              <w:ind w:left="0" w:right="20" w:firstLine="0"/>
              <w:jc w:val="center"/>
            </w:pPr>
            <w:r>
              <w:rPr>
                <w:sz w:val="20"/>
              </w:rPr>
              <w:t>80-120</w:t>
            </w:r>
          </w:p>
        </w:tc>
      </w:tr>
    </w:tbl>
    <w:p w14:paraId="7EF96457" w14:textId="48CF357F" w:rsidR="0097338B" w:rsidRDefault="001C3C42">
      <w:pPr>
        <w:spacing w:after="0" w:line="259" w:lineRule="auto"/>
        <w:ind w:left="1532" w:right="0" w:firstLine="0"/>
      </w:pPr>
      <w:r>
        <w:rPr>
          <w:rFonts w:ascii="Arial" w:eastAsia="Arial" w:hAnsi="Arial" w:cs="Arial"/>
        </w:rPr>
        <w:t xml:space="preserve">  </w:t>
      </w:r>
    </w:p>
    <w:p w14:paraId="74492228" w14:textId="77777777" w:rsidR="00B56D50" w:rsidRDefault="001C3C42" w:rsidP="00093377">
      <w:pPr>
        <w:numPr>
          <w:ilvl w:val="0"/>
          <w:numId w:val="29"/>
        </w:numPr>
        <w:spacing w:after="16"/>
        <w:ind w:left="1800" w:right="186" w:hanging="360"/>
      </w:pPr>
      <w:r>
        <w:rPr>
          <w:b/>
        </w:rPr>
        <w:t xml:space="preserve">Corrective actions for surrogate recovery problems: </w:t>
      </w:r>
    </w:p>
    <w:p w14:paraId="34B046C0" w14:textId="3A315895" w:rsidR="00B56D50" w:rsidRDefault="001C3C42">
      <w:pPr>
        <w:ind w:left="1990" w:right="255"/>
      </w:pPr>
      <w:r>
        <w:t xml:space="preserve">The Contractor shall take the actions listed below if recovery of any surrogate compound is outside of the surrogate recovery limits required in TABLE </w:t>
      </w:r>
      <w:r w:rsidR="00385F0C">
        <w:t>15</w:t>
      </w:r>
      <w:r>
        <w:t>.</w:t>
      </w:r>
      <w:r>
        <w:rPr>
          <w:b/>
        </w:rPr>
        <w:t xml:space="preserve"> </w:t>
      </w:r>
    </w:p>
    <w:p w14:paraId="69971514" w14:textId="77777777" w:rsidR="00B56D50" w:rsidRDefault="001C3C42">
      <w:pPr>
        <w:spacing w:after="0" w:line="259" w:lineRule="auto"/>
        <w:ind w:left="1532" w:right="0" w:firstLine="0"/>
      </w:pPr>
      <w:r>
        <w:t xml:space="preserve"> </w:t>
      </w:r>
    </w:p>
    <w:p w14:paraId="64109E98" w14:textId="77777777" w:rsidR="00B56D50" w:rsidRDefault="001C3C42" w:rsidP="00093377">
      <w:pPr>
        <w:numPr>
          <w:ilvl w:val="1"/>
          <w:numId w:val="29"/>
        </w:numPr>
        <w:ind w:left="2160" w:right="255" w:hanging="360"/>
      </w:pPr>
      <w:r>
        <w:t xml:space="preserve">Check calculations to ensure that there are no errors; check internal </w:t>
      </w:r>
      <w:proofErr w:type="gramStart"/>
      <w:r>
        <w:t>standard</w:t>
      </w:r>
      <w:proofErr w:type="gramEnd"/>
      <w:r>
        <w:t xml:space="preserve"> and surrogate spiking solutions for degradation, contamination, etc.  Examine chromatograms for interfering peaks and integrated peak areas.  Also, check instrument performance. </w:t>
      </w:r>
    </w:p>
    <w:p w14:paraId="6CA1107F" w14:textId="77777777" w:rsidR="00B56D50" w:rsidRDefault="001C3C42">
      <w:pPr>
        <w:spacing w:after="0" w:line="259" w:lineRule="auto"/>
        <w:ind w:left="540" w:right="0" w:firstLine="0"/>
      </w:pPr>
      <w:r>
        <w:t xml:space="preserve"> </w:t>
      </w:r>
    </w:p>
    <w:p w14:paraId="7A02CBD3" w14:textId="57952736" w:rsidR="00B56D50" w:rsidRDefault="001C3C42" w:rsidP="00093377">
      <w:pPr>
        <w:numPr>
          <w:ilvl w:val="1"/>
          <w:numId w:val="29"/>
        </w:numPr>
        <w:ind w:left="2160" w:right="255" w:hanging="360"/>
      </w:pPr>
      <w:r>
        <w:t xml:space="preserve">If the above steps fail to identify the problem, then reanalyze the sample or </w:t>
      </w:r>
      <w:r w:rsidR="00642BAF">
        <w:t xml:space="preserve">sample </w:t>
      </w:r>
      <w:r>
        <w:t xml:space="preserve">extract. </w:t>
      </w:r>
    </w:p>
    <w:p w14:paraId="585248E0" w14:textId="77777777" w:rsidR="00B56D50" w:rsidRDefault="001C3C42">
      <w:pPr>
        <w:spacing w:after="0" w:line="259" w:lineRule="auto"/>
        <w:ind w:left="540" w:right="0" w:firstLine="0"/>
      </w:pPr>
      <w:r>
        <w:t xml:space="preserve"> </w:t>
      </w:r>
    </w:p>
    <w:p w14:paraId="67C29084" w14:textId="77777777" w:rsidR="00B56D50" w:rsidRDefault="001C3C42" w:rsidP="00093377">
      <w:pPr>
        <w:numPr>
          <w:ilvl w:val="1"/>
          <w:numId w:val="29"/>
        </w:numPr>
        <w:ind w:left="2160" w:right="255" w:hanging="360"/>
      </w:pPr>
      <w:r>
        <w:t xml:space="preserve">If, after the above steps are followed, surrogate recoveries still do not meet control criteria and the sample was a soil extracted with methanol, then re-extract and reanalyze the sample. </w:t>
      </w:r>
    </w:p>
    <w:p w14:paraId="2E2EFB4F" w14:textId="77777777" w:rsidR="00B56D50" w:rsidRDefault="001C3C42">
      <w:pPr>
        <w:spacing w:after="0" w:line="259" w:lineRule="auto"/>
        <w:ind w:left="540" w:right="0" w:firstLine="0"/>
      </w:pPr>
      <w:r>
        <w:t xml:space="preserve"> </w:t>
      </w:r>
    </w:p>
    <w:p w14:paraId="5B6BD9FE" w14:textId="53B17FFB" w:rsidR="00B56D50" w:rsidRDefault="001C3C42" w:rsidP="00093377">
      <w:pPr>
        <w:numPr>
          <w:ilvl w:val="1"/>
          <w:numId w:val="29"/>
        </w:numPr>
        <w:ind w:left="2160" w:right="255" w:hanging="360"/>
      </w:pPr>
      <w:r>
        <w:t xml:space="preserve">If re-extraction and/or reanalysis of the sample does not solve the problem (i.e., surrogate recoveries are outside the requirements for both analyses), then submit the surrogate spike recovery data and the sample data from </w:t>
      </w:r>
      <w:r>
        <w:rPr>
          <w:u w:val="single" w:color="000000"/>
        </w:rPr>
        <w:t>both</w:t>
      </w:r>
      <w:r>
        <w:t xml:space="preserve"> analyses.  Distinguish between the initial analysis and the reanalysis on all data deliverables.  (See </w:t>
      </w:r>
      <w:r>
        <w:rPr>
          <w:b/>
        </w:rPr>
        <w:t>Section E, Corrective Action for Organic Analysis by GC/MS</w:t>
      </w:r>
      <w:r>
        <w:t xml:space="preserve">, for additional information.) </w:t>
      </w:r>
    </w:p>
    <w:p w14:paraId="5396CC60" w14:textId="77777777" w:rsidR="00B56D50" w:rsidRDefault="001C3C42">
      <w:pPr>
        <w:spacing w:after="0" w:line="259" w:lineRule="auto"/>
        <w:ind w:left="540" w:right="0" w:firstLine="0"/>
      </w:pPr>
      <w:r>
        <w:t xml:space="preserve"> </w:t>
      </w:r>
    </w:p>
    <w:p w14:paraId="5B2B5651" w14:textId="77777777" w:rsidR="00B56D50" w:rsidRDefault="001C3C42" w:rsidP="00093377">
      <w:pPr>
        <w:numPr>
          <w:ilvl w:val="0"/>
          <w:numId w:val="29"/>
        </w:numPr>
        <w:spacing w:after="16"/>
        <w:ind w:left="1800" w:right="186" w:hanging="360"/>
      </w:pPr>
      <w:r>
        <w:rPr>
          <w:b/>
        </w:rPr>
        <w:t xml:space="preserve">Dilution of surrogate response: </w:t>
      </w:r>
    </w:p>
    <w:p w14:paraId="289B3A4B" w14:textId="24B6EC99" w:rsidR="00B56D50" w:rsidRDefault="001C3C42" w:rsidP="00D65F6C">
      <w:pPr>
        <w:ind w:left="1810" w:right="255"/>
      </w:pPr>
      <w:r>
        <w:t xml:space="preserve">Some samples may require dilution </w:t>
      </w:r>
      <w:proofErr w:type="gramStart"/>
      <w:r>
        <w:t>in order to</w:t>
      </w:r>
      <w:proofErr w:type="gramEnd"/>
      <w:r>
        <w:t xml:space="preserve"> bring one or more target analytes within the calibration range or to overcome significant interferences with some analytes. This may result in the dilution of the surrogate responses to the point that the recoveries </w:t>
      </w:r>
      <w:r w:rsidR="00653FA4">
        <w:t>cannot</w:t>
      </w:r>
      <w:r>
        <w:t xml:space="preserve"> be measured. If the surrogate recoveries are available from a </w:t>
      </w:r>
      <w:proofErr w:type="gramStart"/>
      <w:r>
        <w:t>less-diluted</w:t>
      </w:r>
      <w:proofErr w:type="gramEnd"/>
      <w:r>
        <w:t xml:space="preserve"> or undiluted aliquot of the </w:t>
      </w:r>
      <w:r w:rsidR="00F06708">
        <w:t>sample or</w:t>
      </w:r>
      <w:r>
        <w:t xml:space="preserve"> sample extract, those recoveries may be used to demonstrate that the surrogates were within the QC limits, and no further action is required. However, the results of both the diluted and undiluted (or less-diluted) analyses must be provided to the data user.  </w:t>
      </w:r>
    </w:p>
    <w:p w14:paraId="6618130E" w14:textId="77777777" w:rsidR="00B56D50" w:rsidRDefault="001C3C42" w:rsidP="00D65F6C">
      <w:pPr>
        <w:spacing w:after="0" w:line="259" w:lineRule="auto"/>
        <w:ind w:left="1800" w:right="0" w:firstLine="0"/>
      </w:pPr>
      <w:r>
        <w:t xml:space="preserve"> </w:t>
      </w:r>
    </w:p>
    <w:p w14:paraId="449FE8B0" w14:textId="77777777" w:rsidR="00B56D50" w:rsidRDefault="001C3C42" w:rsidP="00D65F6C">
      <w:pPr>
        <w:ind w:left="1800" w:right="255"/>
      </w:pPr>
      <w:r>
        <w:t xml:space="preserve">Although the surrogates may be diluted out of certain sample extracts, their retention times in the calibration standards may be useful in tracking retention time shifts. Whenever the observed retention time of a surrogate is outside of the established retention time window, the analyst is advised to determine the cause and correct the problem before continuing analyses. </w:t>
      </w:r>
    </w:p>
    <w:p w14:paraId="7C1B3BAB" w14:textId="5AE58712" w:rsidR="00D65F6C" w:rsidRDefault="001C3C42">
      <w:pPr>
        <w:spacing w:after="0" w:line="259" w:lineRule="auto"/>
        <w:ind w:left="540" w:right="0" w:firstLine="0"/>
      </w:pPr>
      <w:r>
        <w:t xml:space="preserve"> </w:t>
      </w:r>
    </w:p>
    <w:p w14:paraId="327BA072" w14:textId="77777777" w:rsidR="003A1597" w:rsidRDefault="003A1597">
      <w:pPr>
        <w:spacing w:after="0" w:line="259" w:lineRule="auto"/>
        <w:ind w:left="540" w:right="0" w:firstLine="0"/>
      </w:pPr>
    </w:p>
    <w:p w14:paraId="503D1D6A" w14:textId="653DDD4E" w:rsidR="00B56D50" w:rsidRPr="00715DCD" w:rsidRDefault="001C3C42" w:rsidP="00093377">
      <w:pPr>
        <w:numPr>
          <w:ilvl w:val="0"/>
          <w:numId w:val="77"/>
        </w:numPr>
        <w:spacing w:after="16"/>
        <w:ind w:left="1440" w:right="186" w:hanging="360"/>
        <w:rPr>
          <w:b/>
          <w:bCs/>
        </w:rPr>
      </w:pPr>
      <w:r w:rsidRPr="00715DCD">
        <w:rPr>
          <w:b/>
          <w:bCs/>
        </w:rPr>
        <w:lastRenderedPageBreak/>
        <w:t xml:space="preserve">Internal Standards </w:t>
      </w:r>
    </w:p>
    <w:p w14:paraId="539E5D2C" w14:textId="77777777" w:rsidR="00B56D50" w:rsidRDefault="001C3C42" w:rsidP="00E03D08">
      <w:pPr>
        <w:ind w:left="1450" w:right="255"/>
      </w:pPr>
      <w:r>
        <w:t>The Contractor shall spike all samples</w:t>
      </w:r>
      <w:r>
        <w:rPr>
          <w:b/>
        </w:rPr>
        <w:t xml:space="preserve"> </w:t>
      </w:r>
      <w:r>
        <w:t xml:space="preserve">(including matrix spike/matrix spike duplicate and matrix duplicate samples), standards, and blanks with the internal standards. </w:t>
      </w:r>
    </w:p>
    <w:p w14:paraId="7D694FE0" w14:textId="77777777" w:rsidR="00B56D50" w:rsidRDefault="001C3C42">
      <w:pPr>
        <w:spacing w:after="0" w:line="259" w:lineRule="auto"/>
        <w:ind w:left="540" w:right="0" w:firstLine="0"/>
      </w:pPr>
      <w:r>
        <w:t xml:space="preserve"> </w:t>
      </w:r>
    </w:p>
    <w:p w14:paraId="4C2A3DFC" w14:textId="7910B5CD" w:rsidR="00B56D50" w:rsidRPr="009D4309" w:rsidRDefault="001C3C42" w:rsidP="00093377">
      <w:pPr>
        <w:numPr>
          <w:ilvl w:val="0"/>
          <w:numId w:val="82"/>
        </w:numPr>
        <w:spacing w:after="16"/>
        <w:ind w:right="186"/>
        <w:rPr>
          <w:b/>
          <w:bCs/>
        </w:rPr>
      </w:pPr>
      <w:r w:rsidRPr="009D4309">
        <w:rPr>
          <w:b/>
          <w:bCs/>
        </w:rPr>
        <w:t>Choosing internal standards</w:t>
      </w:r>
      <w:r w:rsidR="004069C6">
        <w:rPr>
          <w:b/>
          <w:bCs/>
        </w:rPr>
        <w:t>:</w:t>
      </w:r>
      <w:r w:rsidRPr="009D4309">
        <w:rPr>
          <w:b/>
          <w:bCs/>
        </w:rPr>
        <w:t xml:space="preserve"> </w:t>
      </w:r>
    </w:p>
    <w:p w14:paraId="0B98BEE6" w14:textId="4743C874" w:rsidR="00B56D50" w:rsidRDefault="001C3C42" w:rsidP="009D4309">
      <w:pPr>
        <w:ind w:left="1810" w:right="255"/>
      </w:pPr>
      <w:r>
        <w:t>The recommended internal standards are fluorobenzene, chlorobenzene-d</w:t>
      </w:r>
      <w:r>
        <w:rPr>
          <w:vertAlign w:val="subscript"/>
        </w:rPr>
        <w:t>5</w:t>
      </w:r>
      <w:r>
        <w:t>, and 1,4</w:t>
      </w:r>
      <w:r w:rsidR="005E565B">
        <w:t>-</w:t>
      </w:r>
      <w:r>
        <w:t>dichlorobenzene-d</w:t>
      </w:r>
      <w:r>
        <w:rPr>
          <w:vertAlign w:val="subscript"/>
        </w:rPr>
        <w:t>4</w:t>
      </w:r>
      <w:r>
        <w:t xml:space="preserve">.  Depending on the project target analytes, sample matrix, the technique used for introduction of </w:t>
      </w:r>
      <w:proofErr w:type="gramStart"/>
      <w:r>
        <w:t>the compounds</w:t>
      </w:r>
      <w:proofErr w:type="gramEnd"/>
      <w:r>
        <w:t xml:space="preserve"> into the GC/MS system (e.g., purge-and-trap, direct injection, closed-system vacuum distillation, or equilibrium head space), it may be appropriate to use other compounds as internal standards.  Other compounds may be used </w:t>
      </w:r>
      <w:proofErr w:type="gramStart"/>
      <w:r>
        <w:t>as long as</w:t>
      </w:r>
      <w:proofErr w:type="gramEnd"/>
      <w:r>
        <w:t xml:space="preserve"> they have retention times </w:t>
      </w:r>
      <w:proofErr w:type="gramStart"/>
      <w:r>
        <w:t>similar to</w:t>
      </w:r>
      <w:proofErr w:type="gramEnd"/>
      <w:r>
        <w:t xml:space="preserve"> the target compounds being detected by GC/MS.  The compounds chosen as internal standards must permit most components of interest in a chromatogram to have retention times of 0.80 - 1.20, relative to one of the internal standards.   </w:t>
      </w:r>
    </w:p>
    <w:p w14:paraId="3480C63C" w14:textId="77777777" w:rsidR="00272A39" w:rsidRDefault="00272A39" w:rsidP="009D4309">
      <w:pPr>
        <w:ind w:left="1810" w:right="255"/>
      </w:pPr>
    </w:p>
    <w:p w14:paraId="7DE02291" w14:textId="2C0AD8F1" w:rsidR="00B56D50" w:rsidRPr="009D4309" w:rsidRDefault="001C3C42" w:rsidP="00093377">
      <w:pPr>
        <w:numPr>
          <w:ilvl w:val="0"/>
          <w:numId w:val="82"/>
        </w:numPr>
        <w:spacing w:after="16"/>
        <w:ind w:right="186"/>
        <w:rPr>
          <w:b/>
          <w:bCs/>
        </w:rPr>
      </w:pPr>
      <w:proofErr w:type="gramStart"/>
      <w:r w:rsidRPr="009D4309">
        <w:rPr>
          <w:b/>
          <w:bCs/>
        </w:rPr>
        <w:t>Control</w:t>
      </w:r>
      <w:proofErr w:type="gramEnd"/>
      <w:r w:rsidRPr="009D4309">
        <w:rPr>
          <w:b/>
          <w:bCs/>
        </w:rPr>
        <w:t xml:space="preserve"> criteria for internal standards</w:t>
      </w:r>
      <w:r w:rsidR="004069C6">
        <w:rPr>
          <w:b/>
          <w:bCs/>
        </w:rPr>
        <w:t>:</w:t>
      </w:r>
      <w:r w:rsidRPr="009D4309">
        <w:rPr>
          <w:b/>
          <w:bCs/>
        </w:rPr>
        <w:t xml:space="preserve"> </w:t>
      </w:r>
    </w:p>
    <w:p w14:paraId="1A9B0A8A" w14:textId="77777777" w:rsidR="00B56D50" w:rsidRDefault="001C3C42" w:rsidP="009D4309">
      <w:pPr>
        <w:ind w:left="1800" w:right="255"/>
      </w:pPr>
      <w:r>
        <w:t xml:space="preserve">Area counts of the internal standard peaks in the samples (environmental and QC) must be within 50-200% of the area of the corresponding peak in the 12-hour calibration verification standard.  The retention times for each internal standard in the sample must not vary by more than 30 seconds.  If these criteria are not met, the analysis of all affected samples must be repeated. </w:t>
      </w:r>
    </w:p>
    <w:p w14:paraId="48F01F55" w14:textId="77777777" w:rsidR="00B56D50" w:rsidRDefault="001C3C42" w:rsidP="009D4309">
      <w:pPr>
        <w:spacing w:after="0" w:line="259" w:lineRule="auto"/>
        <w:ind w:left="1800" w:right="0" w:firstLine="0"/>
      </w:pPr>
      <w:r>
        <w:t xml:space="preserve"> </w:t>
      </w:r>
    </w:p>
    <w:p w14:paraId="3EEED97E" w14:textId="28B8181E" w:rsidR="00B56D50" w:rsidRPr="009D4309" w:rsidRDefault="001C3C42" w:rsidP="00093377">
      <w:pPr>
        <w:numPr>
          <w:ilvl w:val="0"/>
          <w:numId w:val="82"/>
        </w:numPr>
        <w:spacing w:after="16"/>
        <w:ind w:right="186"/>
        <w:rPr>
          <w:b/>
          <w:bCs/>
        </w:rPr>
      </w:pPr>
      <w:r w:rsidRPr="009D4309">
        <w:rPr>
          <w:b/>
          <w:bCs/>
        </w:rPr>
        <w:t>Assignment of internal standards for quantitation</w:t>
      </w:r>
      <w:r w:rsidR="004069C6">
        <w:rPr>
          <w:b/>
          <w:bCs/>
        </w:rPr>
        <w:t>:</w:t>
      </w:r>
      <w:r w:rsidRPr="009D4309">
        <w:rPr>
          <w:b/>
          <w:bCs/>
        </w:rPr>
        <w:t xml:space="preserve"> </w:t>
      </w:r>
    </w:p>
    <w:p w14:paraId="6C1A99E7" w14:textId="75BB9945" w:rsidR="00B56D50" w:rsidRDefault="001C3C42" w:rsidP="009D4309">
      <w:pPr>
        <w:ind w:left="1810" w:right="255"/>
      </w:pPr>
      <w:r>
        <w:t xml:space="preserve">The internal standard selected for quantitation of a particular target compound must be the internal standard that has a retention time closest to the retention time of the analyte being measured. TABLE </w:t>
      </w:r>
      <w:r w:rsidR="003527AC">
        <w:t>16</w:t>
      </w:r>
      <w:r>
        <w:rPr>
          <w:i/>
        </w:rPr>
        <w:t xml:space="preserve"> </w:t>
      </w:r>
      <w:r>
        <w:t xml:space="preserve">lists the possible assignment of target compounds to the recommended internal standards for quantitation. </w:t>
      </w:r>
    </w:p>
    <w:p w14:paraId="531D33B3" w14:textId="3358AC47" w:rsidR="00526E7E" w:rsidRPr="00AD29ED" w:rsidRDefault="001C3C42" w:rsidP="00C66DC8">
      <w:pPr>
        <w:spacing w:after="0" w:line="259" w:lineRule="auto"/>
        <w:ind w:left="1116" w:right="0" w:firstLine="0"/>
      </w:pPr>
      <w:r>
        <w:t xml:space="preserve"> </w:t>
      </w:r>
    </w:p>
    <w:p w14:paraId="225542C7" w14:textId="77777777" w:rsidR="00526E7E" w:rsidRPr="00313687" w:rsidRDefault="00526E7E" w:rsidP="00526E7E">
      <w:pPr>
        <w:spacing w:after="0" w:line="259" w:lineRule="auto"/>
        <w:ind w:right="0"/>
        <w:rPr>
          <w:rFonts w:eastAsia="Arial"/>
        </w:rPr>
      </w:pPr>
    </w:p>
    <w:p w14:paraId="3BEFA396" w14:textId="77777777" w:rsidR="00526E7E" w:rsidRPr="00313687" w:rsidRDefault="00526E7E" w:rsidP="00526E7E">
      <w:pPr>
        <w:spacing w:after="0" w:line="259" w:lineRule="auto"/>
        <w:ind w:right="0"/>
        <w:rPr>
          <w:rFonts w:eastAsia="Arial"/>
        </w:rPr>
      </w:pPr>
    </w:p>
    <w:p w14:paraId="73637C6B" w14:textId="77777777" w:rsidR="00526E7E" w:rsidRPr="00313687" w:rsidRDefault="00526E7E" w:rsidP="00526E7E">
      <w:pPr>
        <w:spacing w:after="0" w:line="259" w:lineRule="auto"/>
        <w:ind w:right="0"/>
        <w:rPr>
          <w:rFonts w:eastAsia="Arial"/>
        </w:rPr>
      </w:pPr>
    </w:p>
    <w:p w14:paraId="4AA90749" w14:textId="77777777" w:rsidR="00526E7E" w:rsidRPr="00313687" w:rsidRDefault="00526E7E" w:rsidP="00526E7E">
      <w:pPr>
        <w:spacing w:after="0" w:line="259" w:lineRule="auto"/>
        <w:ind w:right="0"/>
      </w:pPr>
      <w:r w:rsidRPr="00313687">
        <w:t xml:space="preserve"> </w:t>
      </w:r>
    </w:p>
    <w:p w14:paraId="51896372" w14:textId="77777777" w:rsidR="00526E7E" w:rsidRPr="00C31E1B" w:rsidRDefault="00526E7E" w:rsidP="00526E7E">
      <w:pPr>
        <w:pStyle w:val="Heading5"/>
        <w:spacing w:after="16" w:line="247" w:lineRule="auto"/>
        <w:ind w:left="1090" w:right="186"/>
      </w:pPr>
      <w:r>
        <w:t>THE REMAINDER OF THIS PAGE HAS BEEN LEFT BLANK INTENTIONALLY</w:t>
      </w:r>
    </w:p>
    <w:p w14:paraId="1EB8E3C8" w14:textId="77777777" w:rsidR="00526E7E" w:rsidRPr="00C31E1B" w:rsidRDefault="00526E7E" w:rsidP="00526E7E">
      <w:pPr>
        <w:spacing w:after="0" w:line="259" w:lineRule="auto"/>
        <w:ind w:left="540" w:right="0" w:firstLine="0"/>
        <w:rPr>
          <w:rFonts w:eastAsia="Arial"/>
        </w:rPr>
      </w:pPr>
    </w:p>
    <w:p w14:paraId="6735E4D8" w14:textId="4821EAD7" w:rsidR="00B56D50" w:rsidRDefault="00B56D50">
      <w:pPr>
        <w:spacing w:after="0" w:line="259" w:lineRule="auto"/>
        <w:ind w:left="540" w:right="0" w:firstLine="0"/>
      </w:pPr>
    </w:p>
    <w:p w14:paraId="583B21E1" w14:textId="6F8FA487" w:rsidR="00C66DC8" w:rsidRDefault="00C66DC8">
      <w:pPr>
        <w:spacing w:after="0" w:line="259" w:lineRule="auto"/>
        <w:ind w:left="540" w:right="0" w:firstLine="0"/>
      </w:pPr>
    </w:p>
    <w:p w14:paraId="74A7CF8B" w14:textId="64D1F51D" w:rsidR="00C66DC8" w:rsidRDefault="00C66DC8">
      <w:pPr>
        <w:spacing w:after="0" w:line="259" w:lineRule="auto"/>
        <w:ind w:left="540" w:right="0" w:firstLine="0"/>
      </w:pPr>
    </w:p>
    <w:p w14:paraId="65B54FD8" w14:textId="77C50A66" w:rsidR="00C66DC8" w:rsidRDefault="00C66DC8">
      <w:pPr>
        <w:spacing w:after="0" w:line="259" w:lineRule="auto"/>
        <w:ind w:left="540" w:right="0" w:firstLine="0"/>
      </w:pPr>
    </w:p>
    <w:p w14:paraId="5D2CF1B3" w14:textId="4928BF38" w:rsidR="00C66DC8" w:rsidRDefault="00C66DC8">
      <w:pPr>
        <w:spacing w:after="0" w:line="259" w:lineRule="auto"/>
        <w:ind w:left="540" w:right="0" w:firstLine="0"/>
      </w:pPr>
    </w:p>
    <w:p w14:paraId="3B3C9785" w14:textId="2AE32AD1" w:rsidR="00C66DC8" w:rsidRDefault="00C66DC8">
      <w:pPr>
        <w:spacing w:after="0" w:line="259" w:lineRule="auto"/>
        <w:ind w:left="540" w:right="0" w:firstLine="0"/>
      </w:pPr>
    </w:p>
    <w:p w14:paraId="67EE5603" w14:textId="2AF1750A" w:rsidR="00C66DC8" w:rsidRDefault="00C66DC8">
      <w:pPr>
        <w:spacing w:after="0" w:line="259" w:lineRule="auto"/>
        <w:ind w:left="540" w:right="0" w:firstLine="0"/>
      </w:pPr>
    </w:p>
    <w:p w14:paraId="0C23D468" w14:textId="77777777" w:rsidR="00C66DC8" w:rsidRDefault="00C66DC8">
      <w:pPr>
        <w:spacing w:after="0" w:line="259" w:lineRule="auto"/>
        <w:ind w:left="540" w:right="0" w:firstLine="0"/>
      </w:pPr>
    </w:p>
    <w:p w14:paraId="307D7F5C" w14:textId="40647C4E" w:rsidR="00526E7E" w:rsidRDefault="00526E7E">
      <w:pPr>
        <w:spacing w:after="0" w:line="259" w:lineRule="auto"/>
        <w:ind w:left="540" w:right="0" w:firstLine="0"/>
      </w:pPr>
    </w:p>
    <w:p w14:paraId="6A018ED4" w14:textId="58D15AB1" w:rsidR="00526E7E" w:rsidRDefault="00526E7E">
      <w:pPr>
        <w:spacing w:after="0" w:line="259" w:lineRule="auto"/>
        <w:ind w:left="540" w:right="0" w:firstLine="0"/>
      </w:pPr>
    </w:p>
    <w:p w14:paraId="729125EB" w14:textId="45689E9C" w:rsidR="00526E7E" w:rsidRDefault="00526E7E">
      <w:pPr>
        <w:spacing w:after="0" w:line="259" w:lineRule="auto"/>
        <w:ind w:left="540" w:right="0" w:firstLine="0"/>
      </w:pPr>
    </w:p>
    <w:p w14:paraId="5999926C" w14:textId="2263FCC0" w:rsidR="00526E7E" w:rsidRDefault="00526E7E">
      <w:pPr>
        <w:spacing w:after="0" w:line="259" w:lineRule="auto"/>
        <w:ind w:left="540" w:right="0" w:firstLine="0"/>
      </w:pPr>
    </w:p>
    <w:p w14:paraId="70E42345" w14:textId="43D6799B" w:rsidR="00272A39" w:rsidRDefault="00272A39">
      <w:pPr>
        <w:spacing w:after="0" w:line="259" w:lineRule="auto"/>
        <w:ind w:left="540" w:right="0" w:firstLine="0"/>
      </w:pPr>
    </w:p>
    <w:p w14:paraId="1603F5E5" w14:textId="30FD09B7" w:rsidR="00272A39" w:rsidRDefault="00272A39">
      <w:pPr>
        <w:spacing w:after="0" w:line="259" w:lineRule="auto"/>
        <w:ind w:left="540" w:right="0" w:firstLine="0"/>
      </w:pPr>
    </w:p>
    <w:p w14:paraId="766A7BCE" w14:textId="6E1C953B" w:rsidR="00272A39" w:rsidRDefault="00272A39">
      <w:pPr>
        <w:spacing w:after="0" w:line="259" w:lineRule="auto"/>
        <w:ind w:left="540" w:right="0" w:firstLine="0"/>
      </w:pPr>
    </w:p>
    <w:p w14:paraId="5995DAF7" w14:textId="64FE0A2C" w:rsidR="00272A39" w:rsidRDefault="00272A39">
      <w:pPr>
        <w:spacing w:after="0" w:line="259" w:lineRule="auto"/>
        <w:ind w:left="540" w:right="0" w:firstLine="0"/>
      </w:pPr>
    </w:p>
    <w:p w14:paraId="00D92F07" w14:textId="26EDC861" w:rsidR="00272A39" w:rsidRDefault="00272A39">
      <w:pPr>
        <w:spacing w:after="0" w:line="259" w:lineRule="auto"/>
        <w:ind w:left="540" w:right="0" w:firstLine="0"/>
      </w:pPr>
    </w:p>
    <w:p w14:paraId="00ADE69E" w14:textId="77777777" w:rsidR="00810A46" w:rsidRDefault="00810A46">
      <w:pPr>
        <w:spacing w:after="0" w:line="259" w:lineRule="auto"/>
        <w:ind w:left="540" w:right="0" w:firstLine="0"/>
      </w:pPr>
    </w:p>
    <w:p w14:paraId="05AB8BBE" w14:textId="77777777" w:rsidR="00810A46" w:rsidRDefault="00810A46">
      <w:pPr>
        <w:spacing w:after="0" w:line="259" w:lineRule="auto"/>
        <w:ind w:left="540" w:right="0" w:firstLine="0"/>
      </w:pPr>
    </w:p>
    <w:p w14:paraId="1999330C" w14:textId="73D54E36" w:rsidR="00B56D50" w:rsidRDefault="001C3C42">
      <w:pPr>
        <w:pStyle w:val="Heading5"/>
        <w:ind w:left="1152"/>
      </w:pPr>
      <w:r>
        <w:t xml:space="preserve">TABLE </w:t>
      </w:r>
      <w:r w:rsidR="009635C1">
        <w:t>16</w:t>
      </w:r>
      <w:r>
        <w:t xml:space="preserve"> </w:t>
      </w:r>
    </w:p>
    <w:p w14:paraId="25482183" w14:textId="3DA43667" w:rsidR="00B56D50" w:rsidRDefault="00E109C0" w:rsidP="00AA171F">
      <w:pPr>
        <w:spacing w:after="2" w:line="259" w:lineRule="auto"/>
        <w:ind w:left="1450" w:right="735"/>
        <w:jc w:val="center"/>
        <w:rPr>
          <w:b/>
        </w:rPr>
      </w:pPr>
      <w:r>
        <w:rPr>
          <w:b/>
        </w:rPr>
        <w:t xml:space="preserve">Examples of </w:t>
      </w:r>
      <w:r w:rsidR="001C3C42">
        <w:rPr>
          <w:b/>
        </w:rPr>
        <w:t xml:space="preserve">Volatile Internal Standards with Corresponding Analytes Assigned for Quantitation </w:t>
      </w:r>
    </w:p>
    <w:p w14:paraId="17839762" w14:textId="77777777" w:rsidR="00C66DC8" w:rsidRDefault="00C66DC8" w:rsidP="00AA171F">
      <w:pPr>
        <w:spacing w:after="2" w:line="259" w:lineRule="auto"/>
        <w:ind w:left="1450" w:right="735"/>
        <w:jc w:val="center"/>
      </w:pPr>
    </w:p>
    <w:tbl>
      <w:tblPr>
        <w:tblStyle w:val="TableGrid1"/>
        <w:tblW w:w="9362" w:type="dxa"/>
        <w:tblInd w:w="1116" w:type="dxa"/>
        <w:tblCellMar>
          <w:left w:w="120" w:type="dxa"/>
          <w:right w:w="115" w:type="dxa"/>
        </w:tblCellMar>
        <w:tblLook w:val="04A0" w:firstRow="1" w:lastRow="0" w:firstColumn="1" w:lastColumn="0" w:noHBand="0" w:noVBand="1"/>
      </w:tblPr>
      <w:tblGrid>
        <w:gridCol w:w="2973"/>
        <w:gridCol w:w="3240"/>
        <w:gridCol w:w="3149"/>
      </w:tblGrid>
      <w:tr w:rsidR="00B56D50" w14:paraId="184D7CC6" w14:textId="77777777" w:rsidTr="00E55BF5">
        <w:trPr>
          <w:trHeight w:val="437"/>
        </w:trPr>
        <w:tc>
          <w:tcPr>
            <w:tcW w:w="2972" w:type="dxa"/>
            <w:tcBorders>
              <w:top w:val="single" w:sz="12" w:space="0" w:color="000000"/>
              <w:left w:val="single" w:sz="12" w:space="0" w:color="000000"/>
              <w:bottom w:val="single" w:sz="12" w:space="0" w:color="000000"/>
              <w:right w:val="single" w:sz="12" w:space="0" w:color="000000"/>
            </w:tcBorders>
            <w:vAlign w:val="center"/>
          </w:tcPr>
          <w:p w14:paraId="5B3A635F" w14:textId="0F57C96D" w:rsidR="00B56D50" w:rsidRPr="00E55BF5" w:rsidRDefault="001C3C42" w:rsidP="00E55BF5">
            <w:pPr>
              <w:spacing w:after="0" w:line="259" w:lineRule="auto"/>
              <w:ind w:left="0" w:right="12" w:firstLine="0"/>
              <w:jc w:val="center"/>
              <w:rPr>
                <w:b/>
                <w:bCs/>
              </w:rPr>
            </w:pPr>
            <w:r w:rsidRPr="00E55BF5">
              <w:rPr>
                <w:b/>
                <w:bCs/>
                <w:sz w:val="20"/>
              </w:rPr>
              <w:t>Fluorobenzene</w:t>
            </w:r>
          </w:p>
        </w:tc>
        <w:tc>
          <w:tcPr>
            <w:tcW w:w="3240" w:type="dxa"/>
            <w:tcBorders>
              <w:top w:val="single" w:sz="12" w:space="0" w:color="000000"/>
              <w:left w:val="single" w:sz="12" w:space="0" w:color="000000"/>
              <w:bottom w:val="single" w:sz="12" w:space="0" w:color="000000"/>
              <w:right w:val="single" w:sz="12" w:space="0" w:color="000000"/>
            </w:tcBorders>
            <w:vAlign w:val="center"/>
          </w:tcPr>
          <w:p w14:paraId="6A0329F9" w14:textId="65088FA7" w:rsidR="00B56D50" w:rsidRDefault="004E3478" w:rsidP="00E55BF5">
            <w:pPr>
              <w:spacing w:after="0" w:line="259" w:lineRule="auto"/>
              <w:ind w:left="0" w:right="6" w:firstLine="0"/>
              <w:jc w:val="center"/>
            </w:pPr>
            <w:r>
              <w:rPr>
                <w:b/>
                <w:sz w:val="20"/>
              </w:rPr>
              <w:t>Chlorobenzene-d</w:t>
            </w:r>
            <w:r w:rsidRPr="00513107">
              <w:rPr>
                <w:b/>
                <w:sz w:val="20"/>
              </w:rPr>
              <w:t>5</w:t>
            </w:r>
            <w:r>
              <w:rPr>
                <w:b/>
                <w:sz w:val="20"/>
              </w:rPr>
              <w:t xml:space="preserve"> </w:t>
            </w:r>
          </w:p>
        </w:tc>
        <w:tc>
          <w:tcPr>
            <w:tcW w:w="3149" w:type="dxa"/>
            <w:tcBorders>
              <w:top w:val="single" w:sz="12" w:space="0" w:color="000000"/>
              <w:left w:val="single" w:sz="12" w:space="0" w:color="000000"/>
              <w:bottom w:val="single" w:sz="12" w:space="0" w:color="000000"/>
              <w:right w:val="single" w:sz="12" w:space="0" w:color="000000"/>
            </w:tcBorders>
            <w:vAlign w:val="center"/>
          </w:tcPr>
          <w:p w14:paraId="166E15F8" w14:textId="244754BC" w:rsidR="00B56D50" w:rsidRDefault="004E3478" w:rsidP="00E55BF5">
            <w:pPr>
              <w:spacing w:after="0" w:line="259" w:lineRule="auto"/>
              <w:ind w:left="0" w:right="7" w:firstLine="0"/>
              <w:jc w:val="center"/>
            </w:pPr>
            <w:r>
              <w:rPr>
                <w:b/>
                <w:sz w:val="20"/>
              </w:rPr>
              <w:t>1,4-Dichlorobenzene-d4</w:t>
            </w:r>
          </w:p>
        </w:tc>
      </w:tr>
      <w:tr w:rsidR="00B56D50" w14:paraId="60F9DBE7" w14:textId="77777777">
        <w:trPr>
          <w:trHeight w:val="5497"/>
        </w:trPr>
        <w:tc>
          <w:tcPr>
            <w:tcW w:w="2972" w:type="dxa"/>
            <w:tcBorders>
              <w:top w:val="single" w:sz="12" w:space="0" w:color="000000"/>
              <w:left w:val="single" w:sz="12" w:space="0" w:color="000000"/>
              <w:bottom w:val="single" w:sz="12" w:space="0" w:color="000000"/>
              <w:right w:val="single" w:sz="12" w:space="0" w:color="000000"/>
            </w:tcBorders>
          </w:tcPr>
          <w:p w14:paraId="48CE8960" w14:textId="4D93836E" w:rsidR="004E3478" w:rsidRPr="00F61903" w:rsidRDefault="004E3478" w:rsidP="00CD370C">
            <w:pPr>
              <w:spacing w:after="0" w:line="259" w:lineRule="auto"/>
              <w:ind w:left="0" w:right="0" w:firstLine="0"/>
              <w:rPr>
                <w:sz w:val="20"/>
              </w:rPr>
            </w:pPr>
            <w:r w:rsidRPr="00F61903">
              <w:t xml:space="preserve">Acetone </w:t>
            </w:r>
          </w:p>
          <w:p w14:paraId="36790D7B" w14:textId="77777777" w:rsidR="004E3478" w:rsidRPr="00F61903" w:rsidRDefault="004E3478" w:rsidP="004E3478">
            <w:pPr>
              <w:pStyle w:val="Default"/>
              <w:rPr>
                <w:rFonts w:ascii="Times New Roman" w:hAnsi="Times New Roman" w:cs="Times New Roman"/>
                <w:sz w:val="22"/>
                <w:szCs w:val="22"/>
              </w:rPr>
            </w:pPr>
            <w:r w:rsidRPr="00F61903">
              <w:rPr>
                <w:rFonts w:ascii="Times New Roman" w:hAnsi="Times New Roman" w:cs="Times New Roman"/>
                <w:sz w:val="22"/>
                <w:szCs w:val="22"/>
              </w:rPr>
              <w:t xml:space="preserve">Acrylonitrile </w:t>
            </w:r>
          </w:p>
          <w:p w14:paraId="5D06E6D9" w14:textId="77777777" w:rsidR="004E3478" w:rsidRPr="00F61903" w:rsidRDefault="004E3478" w:rsidP="004E3478">
            <w:pPr>
              <w:pStyle w:val="Default"/>
              <w:rPr>
                <w:rFonts w:ascii="Times New Roman" w:hAnsi="Times New Roman" w:cs="Times New Roman"/>
                <w:sz w:val="22"/>
                <w:szCs w:val="22"/>
              </w:rPr>
            </w:pPr>
            <w:r w:rsidRPr="00F61903">
              <w:rPr>
                <w:rFonts w:ascii="Times New Roman" w:hAnsi="Times New Roman" w:cs="Times New Roman"/>
                <w:sz w:val="22"/>
                <w:szCs w:val="22"/>
              </w:rPr>
              <w:t xml:space="preserve">Bromochloromethane </w:t>
            </w:r>
          </w:p>
          <w:p w14:paraId="6CD2F164" w14:textId="77777777" w:rsidR="004E3478" w:rsidRPr="00F61903" w:rsidRDefault="004E3478" w:rsidP="004E3478">
            <w:pPr>
              <w:pStyle w:val="Default"/>
              <w:rPr>
                <w:rFonts w:ascii="Times New Roman" w:hAnsi="Times New Roman" w:cs="Times New Roman"/>
                <w:sz w:val="22"/>
                <w:szCs w:val="22"/>
              </w:rPr>
            </w:pPr>
            <w:r w:rsidRPr="00F61903">
              <w:rPr>
                <w:rFonts w:ascii="Times New Roman" w:hAnsi="Times New Roman" w:cs="Times New Roman"/>
                <w:sz w:val="22"/>
                <w:szCs w:val="22"/>
              </w:rPr>
              <w:t xml:space="preserve">Bromomethane </w:t>
            </w:r>
          </w:p>
          <w:p w14:paraId="73836C02" w14:textId="77777777" w:rsidR="004E3478" w:rsidRPr="00F61903" w:rsidRDefault="004E3478" w:rsidP="004E3478">
            <w:pPr>
              <w:pStyle w:val="Default"/>
              <w:rPr>
                <w:rFonts w:ascii="Times New Roman" w:hAnsi="Times New Roman" w:cs="Times New Roman"/>
                <w:sz w:val="22"/>
                <w:szCs w:val="22"/>
              </w:rPr>
            </w:pPr>
            <w:r w:rsidRPr="00F61903">
              <w:rPr>
                <w:rFonts w:ascii="Times New Roman" w:hAnsi="Times New Roman" w:cs="Times New Roman"/>
                <w:sz w:val="22"/>
                <w:szCs w:val="22"/>
              </w:rPr>
              <w:t xml:space="preserve">2-Butanone </w:t>
            </w:r>
          </w:p>
          <w:p w14:paraId="13D36B1C" w14:textId="77777777" w:rsidR="004E3478" w:rsidRPr="00F61903" w:rsidRDefault="004E3478" w:rsidP="004E3478">
            <w:pPr>
              <w:pStyle w:val="Default"/>
              <w:rPr>
                <w:rFonts w:ascii="Times New Roman" w:hAnsi="Times New Roman" w:cs="Times New Roman"/>
                <w:sz w:val="22"/>
                <w:szCs w:val="22"/>
              </w:rPr>
            </w:pPr>
            <w:r w:rsidRPr="00F61903">
              <w:rPr>
                <w:rFonts w:ascii="Times New Roman" w:hAnsi="Times New Roman" w:cs="Times New Roman"/>
                <w:sz w:val="22"/>
                <w:szCs w:val="22"/>
              </w:rPr>
              <w:t xml:space="preserve">Carbon </w:t>
            </w:r>
            <w:proofErr w:type="gramStart"/>
            <w:r w:rsidRPr="00F61903">
              <w:rPr>
                <w:rFonts w:ascii="Times New Roman" w:hAnsi="Times New Roman" w:cs="Times New Roman"/>
                <w:sz w:val="22"/>
                <w:szCs w:val="22"/>
              </w:rPr>
              <w:t>disulfide</w:t>
            </w:r>
            <w:proofErr w:type="gramEnd"/>
            <w:r w:rsidRPr="00F61903">
              <w:rPr>
                <w:rFonts w:ascii="Times New Roman" w:hAnsi="Times New Roman" w:cs="Times New Roman"/>
                <w:sz w:val="22"/>
                <w:szCs w:val="22"/>
              </w:rPr>
              <w:t xml:space="preserve"> </w:t>
            </w:r>
          </w:p>
          <w:p w14:paraId="30C0D7AE" w14:textId="77777777" w:rsidR="004E3478" w:rsidRPr="00F61903" w:rsidRDefault="004E3478" w:rsidP="004E3478">
            <w:pPr>
              <w:pStyle w:val="Default"/>
              <w:rPr>
                <w:rFonts w:ascii="Times New Roman" w:hAnsi="Times New Roman" w:cs="Times New Roman"/>
                <w:sz w:val="22"/>
                <w:szCs w:val="22"/>
              </w:rPr>
            </w:pPr>
            <w:r w:rsidRPr="00F61903">
              <w:rPr>
                <w:rFonts w:ascii="Times New Roman" w:hAnsi="Times New Roman" w:cs="Times New Roman"/>
                <w:sz w:val="22"/>
                <w:szCs w:val="22"/>
              </w:rPr>
              <w:t xml:space="preserve">Chloroethane </w:t>
            </w:r>
          </w:p>
          <w:p w14:paraId="711F0520" w14:textId="77777777" w:rsidR="004E3478" w:rsidRPr="00F61903" w:rsidRDefault="004E3478" w:rsidP="004E3478">
            <w:pPr>
              <w:pStyle w:val="Default"/>
              <w:rPr>
                <w:rFonts w:ascii="Times New Roman" w:hAnsi="Times New Roman" w:cs="Times New Roman"/>
                <w:sz w:val="22"/>
                <w:szCs w:val="22"/>
              </w:rPr>
            </w:pPr>
            <w:r w:rsidRPr="00F61903">
              <w:rPr>
                <w:rFonts w:ascii="Times New Roman" w:hAnsi="Times New Roman" w:cs="Times New Roman"/>
                <w:sz w:val="22"/>
                <w:szCs w:val="22"/>
              </w:rPr>
              <w:t xml:space="preserve">Chloroform </w:t>
            </w:r>
          </w:p>
          <w:p w14:paraId="4E149170" w14:textId="77777777" w:rsidR="004E3478" w:rsidRPr="00F61903" w:rsidRDefault="004E3478" w:rsidP="004E3478">
            <w:pPr>
              <w:pStyle w:val="Default"/>
              <w:rPr>
                <w:rFonts w:ascii="Times New Roman" w:hAnsi="Times New Roman" w:cs="Times New Roman"/>
                <w:sz w:val="22"/>
                <w:szCs w:val="22"/>
              </w:rPr>
            </w:pPr>
            <w:r w:rsidRPr="00F61903">
              <w:rPr>
                <w:rFonts w:ascii="Times New Roman" w:hAnsi="Times New Roman" w:cs="Times New Roman"/>
                <w:sz w:val="22"/>
                <w:szCs w:val="22"/>
              </w:rPr>
              <w:t xml:space="preserve">Chloromethane </w:t>
            </w:r>
          </w:p>
          <w:p w14:paraId="061C566C" w14:textId="77777777" w:rsidR="004E3478" w:rsidRPr="00F61903" w:rsidRDefault="004E3478" w:rsidP="004E3478">
            <w:pPr>
              <w:pStyle w:val="Default"/>
              <w:rPr>
                <w:rFonts w:ascii="Times New Roman" w:hAnsi="Times New Roman" w:cs="Times New Roman"/>
                <w:sz w:val="22"/>
                <w:szCs w:val="22"/>
              </w:rPr>
            </w:pPr>
            <w:r w:rsidRPr="00F61903">
              <w:rPr>
                <w:rFonts w:ascii="Times New Roman" w:hAnsi="Times New Roman" w:cs="Times New Roman"/>
                <w:sz w:val="22"/>
                <w:szCs w:val="22"/>
              </w:rPr>
              <w:t xml:space="preserve">Dichlorodifluoromethane </w:t>
            </w:r>
          </w:p>
          <w:p w14:paraId="082C33D2" w14:textId="77777777" w:rsidR="004E3478" w:rsidRPr="00F61903" w:rsidRDefault="004E3478" w:rsidP="004E3478">
            <w:pPr>
              <w:pStyle w:val="Default"/>
              <w:rPr>
                <w:rFonts w:ascii="Times New Roman" w:hAnsi="Times New Roman" w:cs="Times New Roman"/>
                <w:sz w:val="22"/>
                <w:szCs w:val="22"/>
              </w:rPr>
            </w:pPr>
            <w:r w:rsidRPr="00F61903">
              <w:rPr>
                <w:rFonts w:ascii="Times New Roman" w:hAnsi="Times New Roman" w:cs="Times New Roman"/>
                <w:sz w:val="22"/>
                <w:szCs w:val="22"/>
              </w:rPr>
              <w:t xml:space="preserve">1,1-Dichloroethane </w:t>
            </w:r>
          </w:p>
          <w:p w14:paraId="22CCB6D0" w14:textId="77777777" w:rsidR="004E3478" w:rsidRPr="00F61903" w:rsidRDefault="004E3478" w:rsidP="004E3478">
            <w:pPr>
              <w:pStyle w:val="Default"/>
              <w:rPr>
                <w:rFonts w:ascii="Times New Roman" w:hAnsi="Times New Roman" w:cs="Times New Roman"/>
                <w:sz w:val="22"/>
                <w:szCs w:val="22"/>
              </w:rPr>
            </w:pPr>
            <w:r w:rsidRPr="00F61903">
              <w:rPr>
                <w:rFonts w:ascii="Times New Roman" w:hAnsi="Times New Roman" w:cs="Times New Roman"/>
                <w:sz w:val="22"/>
                <w:szCs w:val="22"/>
              </w:rPr>
              <w:t xml:space="preserve">1,2-Dichloroethane </w:t>
            </w:r>
          </w:p>
          <w:p w14:paraId="228E13E5" w14:textId="368817EB" w:rsidR="004E3478" w:rsidRPr="00F61903" w:rsidRDefault="004E3478" w:rsidP="004E3478">
            <w:pPr>
              <w:pStyle w:val="Default"/>
              <w:rPr>
                <w:rFonts w:ascii="Times New Roman" w:hAnsi="Times New Roman" w:cs="Times New Roman"/>
                <w:sz w:val="22"/>
                <w:szCs w:val="22"/>
              </w:rPr>
            </w:pPr>
            <w:r w:rsidRPr="00F61903">
              <w:rPr>
                <w:rFonts w:ascii="Times New Roman" w:hAnsi="Times New Roman" w:cs="Times New Roman"/>
                <w:sz w:val="22"/>
                <w:szCs w:val="22"/>
              </w:rPr>
              <w:t xml:space="preserve">1,2-Dichloroethane-d4 </w:t>
            </w:r>
            <w:r w:rsidRPr="006802EF">
              <w:rPr>
                <w:rFonts w:ascii="Times New Roman" w:hAnsi="Times New Roman" w:cs="Times New Roman"/>
                <w:i/>
                <w:iCs/>
                <w:sz w:val="22"/>
                <w:szCs w:val="22"/>
              </w:rPr>
              <w:t>(</w:t>
            </w:r>
            <w:proofErr w:type="spellStart"/>
            <w:r w:rsidRPr="006802EF">
              <w:rPr>
                <w:rFonts w:ascii="Times New Roman" w:hAnsi="Times New Roman" w:cs="Times New Roman"/>
                <w:i/>
                <w:iCs/>
                <w:sz w:val="22"/>
                <w:szCs w:val="22"/>
              </w:rPr>
              <w:t>surr</w:t>
            </w:r>
            <w:proofErr w:type="spellEnd"/>
            <w:r w:rsidRPr="006802EF">
              <w:rPr>
                <w:rFonts w:ascii="Times New Roman" w:hAnsi="Times New Roman" w:cs="Times New Roman"/>
                <w:i/>
                <w:iCs/>
                <w:sz w:val="22"/>
                <w:szCs w:val="22"/>
              </w:rPr>
              <w:t>)</w:t>
            </w:r>
            <w:r w:rsidRPr="00F61903">
              <w:rPr>
                <w:rFonts w:ascii="Times New Roman" w:hAnsi="Times New Roman" w:cs="Times New Roman"/>
                <w:sz w:val="22"/>
                <w:szCs w:val="22"/>
              </w:rPr>
              <w:t xml:space="preserve"> </w:t>
            </w:r>
          </w:p>
          <w:p w14:paraId="3F9DF2DC" w14:textId="77777777" w:rsidR="004E3478" w:rsidRPr="00F61903" w:rsidRDefault="004E3478" w:rsidP="004E3478">
            <w:pPr>
              <w:pStyle w:val="Default"/>
              <w:rPr>
                <w:rFonts w:ascii="Times New Roman" w:hAnsi="Times New Roman" w:cs="Times New Roman"/>
                <w:sz w:val="22"/>
                <w:szCs w:val="22"/>
              </w:rPr>
            </w:pPr>
            <w:r w:rsidRPr="00F61903">
              <w:rPr>
                <w:rFonts w:ascii="Times New Roman" w:hAnsi="Times New Roman" w:cs="Times New Roman"/>
                <w:sz w:val="22"/>
                <w:szCs w:val="22"/>
              </w:rPr>
              <w:t xml:space="preserve">1,1-Dichloroethene (Vinylidene chloride) </w:t>
            </w:r>
          </w:p>
          <w:p w14:paraId="297AC461" w14:textId="77777777" w:rsidR="004E3478" w:rsidRPr="00F61903" w:rsidRDefault="004E3478" w:rsidP="004E3478">
            <w:pPr>
              <w:pStyle w:val="Default"/>
              <w:rPr>
                <w:rFonts w:ascii="Times New Roman" w:hAnsi="Times New Roman" w:cs="Times New Roman"/>
                <w:sz w:val="22"/>
                <w:szCs w:val="22"/>
              </w:rPr>
            </w:pPr>
            <w:r w:rsidRPr="00F61903">
              <w:rPr>
                <w:rFonts w:ascii="Times New Roman" w:hAnsi="Times New Roman" w:cs="Times New Roman"/>
                <w:sz w:val="22"/>
                <w:szCs w:val="22"/>
              </w:rPr>
              <w:t xml:space="preserve">cis-1,2-Dichloroethene </w:t>
            </w:r>
          </w:p>
          <w:p w14:paraId="65CC8AA3" w14:textId="77777777" w:rsidR="004E3478" w:rsidRPr="00F61903" w:rsidRDefault="004E3478" w:rsidP="004E3478">
            <w:pPr>
              <w:pStyle w:val="Default"/>
              <w:rPr>
                <w:rFonts w:ascii="Times New Roman" w:hAnsi="Times New Roman" w:cs="Times New Roman"/>
                <w:sz w:val="22"/>
                <w:szCs w:val="22"/>
              </w:rPr>
            </w:pPr>
            <w:r w:rsidRPr="00F61903">
              <w:rPr>
                <w:rFonts w:ascii="Times New Roman" w:hAnsi="Times New Roman" w:cs="Times New Roman"/>
                <w:sz w:val="22"/>
                <w:szCs w:val="22"/>
              </w:rPr>
              <w:t xml:space="preserve">trans-1,2-Dichloroethene </w:t>
            </w:r>
          </w:p>
          <w:p w14:paraId="72EF8167" w14:textId="1E0A56EF" w:rsidR="004E3478" w:rsidRPr="00F61903" w:rsidRDefault="004E3478" w:rsidP="004E3478">
            <w:pPr>
              <w:pStyle w:val="Default"/>
              <w:rPr>
                <w:rFonts w:ascii="Times New Roman" w:hAnsi="Times New Roman" w:cs="Times New Roman"/>
                <w:sz w:val="22"/>
                <w:szCs w:val="22"/>
              </w:rPr>
            </w:pPr>
            <w:r w:rsidRPr="00F61903">
              <w:rPr>
                <w:rFonts w:ascii="Times New Roman" w:hAnsi="Times New Roman" w:cs="Times New Roman"/>
                <w:sz w:val="22"/>
                <w:szCs w:val="22"/>
              </w:rPr>
              <w:t xml:space="preserve">1,4-Difluorobenzene </w:t>
            </w:r>
            <w:r w:rsidRPr="006802EF">
              <w:rPr>
                <w:rFonts w:ascii="Times New Roman" w:hAnsi="Times New Roman" w:cs="Times New Roman"/>
                <w:i/>
                <w:iCs/>
                <w:sz w:val="22"/>
                <w:szCs w:val="22"/>
              </w:rPr>
              <w:t>(</w:t>
            </w:r>
            <w:proofErr w:type="spellStart"/>
            <w:r w:rsidRPr="006802EF">
              <w:rPr>
                <w:rFonts w:ascii="Times New Roman" w:hAnsi="Times New Roman" w:cs="Times New Roman"/>
                <w:i/>
                <w:iCs/>
                <w:sz w:val="22"/>
                <w:szCs w:val="22"/>
              </w:rPr>
              <w:t>surr</w:t>
            </w:r>
            <w:proofErr w:type="spellEnd"/>
            <w:r w:rsidRPr="006802EF">
              <w:rPr>
                <w:rFonts w:ascii="Times New Roman" w:hAnsi="Times New Roman" w:cs="Times New Roman"/>
                <w:i/>
                <w:iCs/>
                <w:sz w:val="22"/>
                <w:szCs w:val="22"/>
              </w:rPr>
              <w:t>)</w:t>
            </w:r>
            <w:r w:rsidRPr="00F61903">
              <w:rPr>
                <w:rFonts w:ascii="Times New Roman" w:hAnsi="Times New Roman" w:cs="Times New Roman"/>
                <w:sz w:val="22"/>
                <w:szCs w:val="22"/>
              </w:rPr>
              <w:t xml:space="preserve"> </w:t>
            </w:r>
          </w:p>
          <w:p w14:paraId="694445BA" w14:textId="77777777" w:rsidR="004E3478" w:rsidRPr="00F61903" w:rsidRDefault="004E3478" w:rsidP="004E3478">
            <w:pPr>
              <w:pStyle w:val="Default"/>
              <w:rPr>
                <w:rFonts w:ascii="Times New Roman" w:hAnsi="Times New Roman" w:cs="Times New Roman"/>
                <w:sz w:val="22"/>
                <w:szCs w:val="22"/>
              </w:rPr>
            </w:pPr>
            <w:r w:rsidRPr="00F61903">
              <w:rPr>
                <w:rFonts w:ascii="Times New Roman" w:hAnsi="Times New Roman" w:cs="Times New Roman"/>
                <w:sz w:val="22"/>
                <w:szCs w:val="22"/>
              </w:rPr>
              <w:t xml:space="preserve">Freon 113 </w:t>
            </w:r>
          </w:p>
          <w:p w14:paraId="7B33CD67" w14:textId="77777777" w:rsidR="004E3478" w:rsidRPr="00F61903" w:rsidRDefault="004E3478" w:rsidP="004E3478">
            <w:pPr>
              <w:pStyle w:val="Default"/>
              <w:rPr>
                <w:rFonts w:ascii="Times New Roman" w:hAnsi="Times New Roman" w:cs="Times New Roman"/>
                <w:sz w:val="22"/>
                <w:szCs w:val="22"/>
              </w:rPr>
            </w:pPr>
            <w:r w:rsidRPr="00F61903">
              <w:rPr>
                <w:rFonts w:ascii="Times New Roman" w:hAnsi="Times New Roman" w:cs="Times New Roman"/>
                <w:sz w:val="22"/>
                <w:szCs w:val="22"/>
              </w:rPr>
              <w:t xml:space="preserve">Methyl acetate </w:t>
            </w:r>
          </w:p>
          <w:p w14:paraId="0D5BEAA6" w14:textId="77777777" w:rsidR="004E3478" w:rsidRPr="00F61903" w:rsidRDefault="004E3478" w:rsidP="004E3478">
            <w:pPr>
              <w:pStyle w:val="Default"/>
              <w:rPr>
                <w:rFonts w:ascii="Times New Roman" w:hAnsi="Times New Roman" w:cs="Times New Roman"/>
                <w:sz w:val="22"/>
                <w:szCs w:val="22"/>
              </w:rPr>
            </w:pPr>
            <w:r w:rsidRPr="00F61903">
              <w:rPr>
                <w:rFonts w:ascii="Times New Roman" w:hAnsi="Times New Roman" w:cs="Times New Roman"/>
                <w:sz w:val="22"/>
                <w:szCs w:val="22"/>
              </w:rPr>
              <w:t xml:space="preserve">Methylene chloride </w:t>
            </w:r>
          </w:p>
          <w:p w14:paraId="1A458A18" w14:textId="77777777" w:rsidR="004E3478" w:rsidRPr="00F61903" w:rsidRDefault="004E3478" w:rsidP="004E3478">
            <w:pPr>
              <w:pStyle w:val="Default"/>
              <w:rPr>
                <w:rFonts w:ascii="Times New Roman" w:hAnsi="Times New Roman" w:cs="Times New Roman"/>
                <w:sz w:val="22"/>
                <w:szCs w:val="22"/>
              </w:rPr>
            </w:pPr>
            <w:r w:rsidRPr="00F61903">
              <w:rPr>
                <w:rFonts w:ascii="Times New Roman" w:hAnsi="Times New Roman" w:cs="Times New Roman"/>
                <w:sz w:val="22"/>
                <w:szCs w:val="22"/>
              </w:rPr>
              <w:t xml:space="preserve">Methyl-t-butyl ether (MTBE) </w:t>
            </w:r>
          </w:p>
          <w:p w14:paraId="78CF7F80" w14:textId="77777777" w:rsidR="004E3478" w:rsidRPr="00F61903" w:rsidRDefault="004E3478" w:rsidP="004E3478">
            <w:pPr>
              <w:pStyle w:val="Default"/>
              <w:rPr>
                <w:rFonts w:ascii="Times New Roman" w:hAnsi="Times New Roman" w:cs="Times New Roman"/>
                <w:sz w:val="22"/>
                <w:szCs w:val="22"/>
              </w:rPr>
            </w:pPr>
            <w:r w:rsidRPr="00F61903">
              <w:rPr>
                <w:rFonts w:ascii="Times New Roman" w:hAnsi="Times New Roman" w:cs="Times New Roman"/>
                <w:sz w:val="22"/>
                <w:szCs w:val="22"/>
              </w:rPr>
              <w:t xml:space="preserve">Trichlorofluoromethane </w:t>
            </w:r>
          </w:p>
          <w:p w14:paraId="746DC126" w14:textId="79E060E2" w:rsidR="00A27C8B" w:rsidRPr="00F61903" w:rsidRDefault="004E3478" w:rsidP="004E3478">
            <w:pPr>
              <w:spacing w:after="0" w:line="259" w:lineRule="auto"/>
              <w:ind w:left="0" w:right="0" w:firstLine="0"/>
            </w:pPr>
            <w:r w:rsidRPr="00F61903">
              <w:t xml:space="preserve">Vinyl chloride </w:t>
            </w:r>
          </w:p>
          <w:p w14:paraId="5627D004" w14:textId="0220E21A" w:rsidR="00B56D50" w:rsidRPr="00F61903" w:rsidRDefault="00B56D50">
            <w:pPr>
              <w:spacing w:after="0" w:line="259" w:lineRule="auto"/>
              <w:ind w:left="0" w:right="0" w:firstLine="0"/>
            </w:pPr>
          </w:p>
        </w:tc>
        <w:tc>
          <w:tcPr>
            <w:tcW w:w="3240" w:type="dxa"/>
            <w:tcBorders>
              <w:top w:val="single" w:sz="12" w:space="0" w:color="000000"/>
              <w:left w:val="single" w:sz="12" w:space="0" w:color="000000"/>
              <w:bottom w:val="single" w:sz="12" w:space="0" w:color="000000"/>
              <w:right w:val="single" w:sz="12" w:space="0" w:color="000000"/>
            </w:tcBorders>
          </w:tcPr>
          <w:p w14:paraId="5A3B0EC1" w14:textId="77777777" w:rsidR="002D1370" w:rsidRPr="00F61903" w:rsidRDefault="002D1370" w:rsidP="002D1370">
            <w:pPr>
              <w:pStyle w:val="Default"/>
              <w:rPr>
                <w:rFonts w:ascii="Times New Roman" w:hAnsi="Times New Roman" w:cs="Times New Roman"/>
                <w:sz w:val="22"/>
                <w:szCs w:val="22"/>
              </w:rPr>
            </w:pPr>
            <w:r w:rsidRPr="00F61903">
              <w:rPr>
                <w:rFonts w:ascii="Times New Roman" w:hAnsi="Times New Roman" w:cs="Times New Roman"/>
                <w:sz w:val="22"/>
                <w:szCs w:val="22"/>
              </w:rPr>
              <w:t xml:space="preserve">Benzene </w:t>
            </w:r>
          </w:p>
          <w:p w14:paraId="26B1F01C" w14:textId="77777777" w:rsidR="002D1370" w:rsidRPr="00F61903" w:rsidRDefault="002D1370" w:rsidP="002D1370">
            <w:pPr>
              <w:pStyle w:val="Default"/>
              <w:rPr>
                <w:rFonts w:ascii="Times New Roman" w:hAnsi="Times New Roman" w:cs="Times New Roman"/>
                <w:sz w:val="22"/>
                <w:szCs w:val="22"/>
              </w:rPr>
            </w:pPr>
            <w:r w:rsidRPr="00F61903">
              <w:rPr>
                <w:rFonts w:ascii="Times New Roman" w:hAnsi="Times New Roman" w:cs="Times New Roman"/>
                <w:sz w:val="22"/>
                <w:szCs w:val="22"/>
              </w:rPr>
              <w:t xml:space="preserve">Bromodichloromethane </w:t>
            </w:r>
          </w:p>
          <w:p w14:paraId="13552E87" w14:textId="77777777" w:rsidR="002D1370" w:rsidRPr="00F61903" w:rsidRDefault="002D1370" w:rsidP="002D1370">
            <w:pPr>
              <w:pStyle w:val="Default"/>
              <w:rPr>
                <w:rFonts w:ascii="Times New Roman" w:hAnsi="Times New Roman" w:cs="Times New Roman"/>
                <w:sz w:val="22"/>
                <w:szCs w:val="22"/>
              </w:rPr>
            </w:pPr>
            <w:r w:rsidRPr="00F61903">
              <w:rPr>
                <w:rFonts w:ascii="Times New Roman" w:hAnsi="Times New Roman" w:cs="Times New Roman"/>
                <w:sz w:val="22"/>
                <w:szCs w:val="22"/>
              </w:rPr>
              <w:t xml:space="preserve">Carbon tetrachloride </w:t>
            </w:r>
          </w:p>
          <w:p w14:paraId="45E6A80A" w14:textId="77777777" w:rsidR="002D1370" w:rsidRPr="00F61903" w:rsidRDefault="002D1370" w:rsidP="002D1370">
            <w:pPr>
              <w:pStyle w:val="Default"/>
              <w:rPr>
                <w:rFonts w:ascii="Times New Roman" w:hAnsi="Times New Roman" w:cs="Times New Roman"/>
                <w:sz w:val="22"/>
                <w:szCs w:val="22"/>
              </w:rPr>
            </w:pPr>
            <w:r w:rsidRPr="00F61903">
              <w:rPr>
                <w:rFonts w:ascii="Times New Roman" w:hAnsi="Times New Roman" w:cs="Times New Roman"/>
                <w:sz w:val="22"/>
                <w:szCs w:val="22"/>
              </w:rPr>
              <w:t xml:space="preserve">Chlorobenzene </w:t>
            </w:r>
          </w:p>
          <w:p w14:paraId="3CC96DE9" w14:textId="77777777" w:rsidR="002D1370" w:rsidRPr="00F61903" w:rsidRDefault="002D1370" w:rsidP="002D1370">
            <w:pPr>
              <w:pStyle w:val="Default"/>
              <w:rPr>
                <w:rFonts w:ascii="Times New Roman" w:hAnsi="Times New Roman" w:cs="Times New Roman"/>
                <w:sz w:val="22"/>
                <w:szCs w:val="22"/>
              </w:rPr>
            </w:pPr>
            <w:r w:rsidRPr="00F61903">
              <w:rPr>
                <w:rFonts w:ascii="Times New Roman" w:hAnsi="Times New Roman" w:cs="Times New Roman"/>
                <w:sz w:val="22"/>
                <w:szCs w:val="22"/>
              </w:rPr>
              <w:t xml:space="preserve">Cyclohexane </w:t>
            </w:r>
          </w:p>
          <w:p w14:paraId="168A5B2A" w14:textId="77777777" w:rsidR="002D1370" w:rsidRPr="00F61903" w:rsidRDefault="002D1370" w:rsidP="002D1370">
            <w:pPr>
              <w:pStyle w:val="Default"/>
              <w:rPr>
                <w:rFonts w:ascii="Times New Roman" w:hAnsi="Times New Roman" w:cs="Times New Roman"/>
                <w:sz w:val="22"/>
                <w:szCs w:val="22"/>
              </w:rPr>
            </w:pPr>
            <w:r w:rsidRPr="00F61903">
              <w:rPr>
                <w:rFonts w:ascii="Times New Roman" w:hAnsi="Times New Roman" w:cs="Times New Roman"/>
                <w:sz w:val="22"/>
                <w:szCs w:val="22"/>
              </w:rPr>
              <w:t xml:space="preserve">Dibromochloromethane </w:t>
            </w:r>
          </w:p>
          <w:p w14:paraId="54D813BA" w14:textId="77777777" w:rsidR="002D1370" w:rsidRPr="00F61903" w:rsidRDefault="002D1370" w:rsidP="002D1370">
            <w:pPr>
              <w:pStyle w:val="Default"/>
              <w:rPr>
                <w:rFonts w:ascii="Times New Roman" w:hAnsi="Times New Roman" w:cs="Times New Roman"/>
                <w:sz w:val="22"/>
                <w:szCs w:val="22"/>
              </w:rPr>
            </w:pPr>
            <w:r w:rsidRPr="00F61903">
              <w:rPr>
                <w:rFonts w:ascii="Times New Roman" w:hAnsi="Times New Roman" w:cs="Times New Roman"/>
                <w:sz w:val="22"/>
                <w:szCs w:val="22"/>
              </w:rPr>
              <w:t xml:space="preserve">1,2-Dibromoethane (EDB, Ethylene dibromide) </w:t>
            </w:r>
          </w:p>
          <w:p w14:paraId="0079ACA0" w14:textId="77777777" w:rsidR="002D1370" w:rsidRPr="00F61903" w:rsidRDefault="002D1370" w:rsidP="002D1370">
            <w:pPr>
              <w:pStyle w:val="Default"/>
              <w:rPr>
                <w:rFonts w:ascii="Times New Roman" w:hAnsi="Times New Roman" w:cs="Times New Roman"/>
                <w:sz w:val="22"/>
                <w:szCs w:val="22"/>
              </w:rPr>
            </w:pPr>
            <w:r w:rsidRPr="00F61903">
              <w:rPr>
                <w:rFonts w:ascii="Times New Roman" w:hAnsi="Times New Roman" w:cs="Times New Roman"/>
                <w:sz w:val="22"/>
                <w:szCs w:val="22"/>
              </w:rPr>
              <w:t xml:space="preserve">1,2-Dichloropropane </w:t>
            </w:r>
          </w:p>
          <w:p w14:paraId="56E038BC" w14:textId="77777777" w:rsidR="002D1370" w:rsidRPr="00F61903" w:rsidRDefault="002D1370" w:rsidP="002D1370">
            <w:pPr>
              <w:pStyle w:val="Default"/>
              <w:rPr>
                <w:rFonts w:ascii="Times New Roman" w:hAnsi="Times New Roman" w:cs="Times New Roman"/>
                <w:sz w:val="22"/>
                <w:szCs w:val="22"/>
              </w:rPr>
            </w:pPr>
            <w:r w:rsidRPr="00F61903">
              <w:rPr>
                <w:rFonts w:ascii="Times New Roman" w:hAnsi="Times New Roman" w:cs="Times New Roman"/>
                <w:sz w:val="22"/>
                <w:szCs w:val="22"/>
              </w:rPr>
              <w:t xml:space="preserve">cis-1,3-Dichloropropene </w:t>
            </w:r>
          </w:p>
          <w:p w14:paraId="72ED707E" w14:textId="77777777" w:rsidR="002D1370" w:rsidRPr="00F61903" w:rsidRDefault="002D1370" w:rsidP="002D1370">
            <w:pPr>
              <w:pStyle w:val="Default"/>
              <w:rPr>
                <w:rFonts w:ascii="Times New Roman" w:hAnsi="Times New Roman" w:cs="Times New Roman"/>
                <w:sz w:val="22"/>
                <w:szCs w:val="22"/>
              </w:rPr>
            </w:pPr>
            <w:r w:rsidRPr="00F61903">
              <w:rPr>
                <w:rFonts w:ascii="Times New Roman" w:hAnsi="Times New Roman" w:cs="Times New Roman"/>
                <w:sz w:val="22"/>
                <w:szCs w:val="22"/>
              </w:rPr>
              <w:t xml:space="preserve">trans-1,3-Dichloropropene </w:t>
            </w:r>
          </w:p>
          <w:p w14:paraId="1A01822B" w14:textId="77777777" w:rsidR="002D1370" w:rsidRPr="00F61903" w:rsidRDefault="002D1370" w:rsidP="002D1370">
            <w:pPr>
              <w:pStyle w:val="Default"/>
              <w:rPr>
                <w:rFonts w:ascii="Times New Roman" w:hAnsi="Times New Roman" w:cs="Times New Roman"/>
                <w:sz w:val="22"/>
                <w:szCs w:val="22"/>
              </w:rPr>
            </w:pPr>
            <w:r w:rsidRPr="00F61903">
              <w:rPr>
                <w:rFonts w:ascii="Times New Roman" w:hAnsi="Times New Roman" w:cs="Times New Roman"/>
                <w:sz w:val="22"/>
                <w:szCs w:val="22"/>
              </w:rPr>
              <w:t xml:space="preserve">Ethylbenzene </w:t>
            </w:r>
          </w:p>
          <w:p w14:paraId="46EB70C8" w14:textId="77777777" w:rsidR="002D1370" w:rsidRPr="00F61903" w:rsidRDefault="002D1370" w:rsidP="002D1370">
            <w:pPr>
              <w:pStyle w:val="Default"/>
              <w:rPr>
                <w:rFonts w:ascii="Times New Roman" w:hAnsi="Times New Roman" w:cs="Times New Roman"/>
                <w:sz w:val="22"/>
                <w:szCs w:val="22"/>
              </w:rPr>
            </w:pPr>
            <w:r w:rsidRPr="00F61903">
              <w:rPr>
                <w:rFonts w:ascii="Times New Roman" w:hAnsi="Times New Roman" w:cs="Times New Roman"/>
                <w:sz w:val="22"/>
                <w:szCs w:val="22"/>
              </w:rPr>
              <w:t xml:space="preserve">2-Hexanone </w:t>
            </w:r>
          </w:p>
          <w:p w14:paraId="5152753B" w14:textId="77777777" w:rsidR="002D1370" w:rsidRPr="00F61903" w:rsidRDefault="002D1370" w:rsidP="002D1370">
            <w:pPr>
              <w:pStyle w:val="Default"/>
              <w:rPr>
                <w:rFonts w:ascii="Times New Roman" w:hAnsi="Times New Roman" w:cs="Times New Roman"/>
                <w:sz w:val="22"/>
                <w:szCs w:val="22"/>
              </w:rPr>
            </w:pPr>
            <w:r w:rsidRPr="00F61903">
              <w:rPr>
                <w:rFonts w:ascii="Times New Roman" w:hAnsi="Times New Roman" w:cs="Times New Roman"/>
                <w:sz w:val="22"/>
                <w:szCs w:val="22"/>
              </w:rPr>
              <w:t xml:space="preserve">Methyl cyclohexane </w:t>
            </w:r>
          </w:p>
          <w:p w14:paraId="63684AB3" w14:textId="77777777" w:rsidR="002D1370" w:rsidRPr="00F61903" w:rsidRDefault="002D1370" w:rsidP="002D1370">
            <w:pPr>
              <w:pStyle w:val="Default"/>
              <w:rPr>
                <w:rFonts w:ascii="Times New Roman" w:hAnsi="Times New Roman" w:cs="Times New Roman"/>
                <w:sz w:val="22"/>
                <w:szCs w:val="22"/>
              </w:rPr>
            </w:pPr>
            <w:r w:rsidRPr="00F61903">
              <w:rPr>
                <w:rFonts w:ascii="Times New Roman" w:hAnsi="Times New Roman" w:cs="Times New Roman"/>
                <w:sz w:val="22"/>
                <w:szCs w:val="22"/>
              </w:rPr>
              <w:t xml:space="preserve">4-Methyl-2-pentanone </w:t>
            </w:r>
          </w:p>
          <w:p w14:paraId="33068EF1" w14:textId="77777777" w:rsidR="002D1370" w:rsidRPr="00F61903" w:rsidRDefault="002D1370" w:rsidP="002D1370">
            <w:pPr>
              <w:pStyle w:val="Default"/>
              <w:rPr>
                <w:rFonts w:ascii="Times New Roman" w:hAnsi="Times New Roman" w:cs="Times New Roman"/>
                <w:sz w:val="22"/>
                <w:szCs w:val="22"/>
              </w:rPr>
            </w:pPr>
            <w:r w:rsidRPr="00F61903">
              <w:rPr>
                <w:rFonts w:ascii="Times New Roman" w:hAnsi="Times New Roman" w:cs="Times New Roman"/>
                <w:sz w:val="22"/>
                <w:szCs w:val="22"/>
              </w:rPr>
              <w:t xml:space="preserve">Styrene </w:t>
            </w:r>
          </w:p>
          <w:p w14:paraId="1DA68C32" w14:textId="77777777" w:rsidR="002D1370" w:rsidRPr="00F61903" w:rsidRDefault="002D1370" w:rsidP="002D1370">
            <w:pPr>
              <w:pStyle w:val="Default"/>
              <w:rPr>
                <w:rFonts w:ascii="Times New Roman" w:hAnsi="Times New Roman" w:cs="Times New Roman"/>
                <w:sz w:val="22"/>
                <w:szCs w:val="22"/>
              </w:rPr>
            </w:pPr>
            <w:r w:rsidRPr="00F61903">
              <w:rPr>
                <w:rFonts w:ascii="Times New Roman" w:hAnsi="Times New Roman" w:cs="Times New Roman"/>
                <w:sz w:val="22"/>
                <w:szCs w:val="22"/>
              </w:rPr>
              <w:t xml:space="preserve">1,1,1,2-Tetrachloroethane </w:t>
            </w:r>
          </w:p>
          <w:p w14:paraId="195D0912" w14:textId="77777777" w:rsidR="002D1370" w:rsidRPr="00F61903" w:rsidRDefault="002D1370" w:rsidP="002D1370">
            <w:pPr>
              <w:pStyle w:val="Default"/>
              <w:rPr>
                <w:rFonts w:ascii="Times New Roman" w:hAnsi="Times New Roman" w:cs="Times New Roman"/>
                <w:sz w:val="22"/>
                <w:szCs w:val="22"/>
              </w:rPr>
            </w:pPr>
            <w:r w:rsidRPr="00F61903">
              <w:rPr>
                <w:rFonts w:ascii="Times New Roman" w:hAnsi="Times New Roman" w:cs="Times New Roman"/>
                <w:sz w:val="22"/>
                <w:szCs w:val="22"/>
              </w:rPr>
              <w:t xml:space="preserve">1,1,2,2-Tetrachloroethane </w:t>
            </w:r>
          </w:p>
          <w:p w14:paraId="2131C624" w14:textId="77777777" w:rsidR="002D1370" w:rsidRPr="00F61903" w:rsidRDefault="002D1370" w:rsidP="002D1370">
            <w:pPr>
              <w:pStyle w:val="Default"/>
              <w:rPr>
                <w:rFonts w:ascii="Times New Roman" w:hAnsi="Times New Roman" w:cs="Times New Roman"/>
                <w:sz w:val="22"/>
                <w:szCs w:val="22"/>
              </w:rPr>
            </w:pPr>
            <w:r w:rsidRPr="00F61903">
              <w:rPr>
                <w:rFonts w:ascii="Times New Roman" w:hAnsi="Times New Roman" w:cs="Times New Roman"/>
                <w:sz w:val="22"/>
                <w:szCs w:val="22"/>
              </w:rPr>
              <w:t xml:space="preserve">Tetrachloroethene </w:t>
            </w:r>
          </w:p>
          <w:p w14:paraId="0D8B1B50" w14:textId="77777777" w:rsidR="002D1370" w:rsidRPr="00F61903" w:rsidRDefault="002D1370" w:rsidP="002D1370">
            <w:pPr>
              <w:pStyle w:val="Default"/>
              <w:rPr>
                <w:rFonts w:ascii="Times New Roman" w:hAnsi="Times New Roman" w:cs="Times New Roman"/>
                <w:sz w:val="22"/>
                <w:szCs w:val="22"/>
              </w:rPr>
            </w:pPr>
            <w:r w:rsidRPr="00F61903">
              <w:rPr>
                <w:rFonts w:ascii="Times New Roman" w:hAnsi="Times New Roman" w:cs="Times New Roman"/>
                <w:sz w:val="22"/>
                <w:szCs w:val="22"/>
              </w:rPr>
              <w:t xml:space="preserve">1,1,1-Trichloroethane </w:t>
            </w:r>
          </w:p>
          <w:p w14:paraId="2CA38370" w14:textId="77777777" w:rsidR="002D1370" w:rsidRPr="00F61903" w:rsidRDefault="002D1370" w:rsidP="002D1370">
            <w:pPr>
              <w:pStyle w:val="Default"/>
              <w:rPr>
                <w:rFonts w:ascii="Times New Roman" w:hAnsi="Times New Roman" w:cs="Times New Roman"/>
                <w:sz w:val="22"/>
                <w:szCs w:val="22"/>
              </w:rPr>
            </w:pPr>
            <w:r w:rsidRPr="00F61903">
              <w:rPr>
                <w:rFonts w:ascii="Times New Roman" w:hAnsi="Times New Roman" w:cs="Times New Roman"/>
                <w:sz w:val="22"/>
                <w:szCs w:val="22"/>
              </w:rPr>
              <w:t xml:space="preserve">1,1,2-Trichloroethane </w:t>
            </w:r>
          </w:p>
          <w:p w14:paraId="17F61C15" w14:textId="77777777" w:rsidR="002D1370" w:rsidRPr="00F61903" w:rsidRDefault="002D1370" w:rsidP="002D1370">
            <w:pPr>
              <w:pStyle w:val="Default"/>
              <w:rPr>
                <w:rFonts w:ascii="Times New Roman" w:hAnsi="Times New Roman" w:cs="Times New Roman"/>
                <w:sz w:val="22"/>
                <w:szCs w:val="22"/>
              </w:rPr>
            </w:pPr>
            <w:r w:rsidRPr="00F61903">
              <w:rPr>
                <w:rFonts w:ascii="Times New Roman" w:hAnsi="Times New Roman" w:cs="Times New Roman"/>
                <w:sz w:val="22"/>
                <w:szCs w:val="22"/>
              </w:rPr>
              <w:t xml:space="preserve">Trichloroethene (Trichloroethylene) </w:t>
            </w:r>
          </w:p>
          <w:p w14:paraId="57A0148A" w14:textId="77777777" w:rsidR="002D1370" w:rsidRPr="00F61903" w:rsidRDefault="002D1370" w:rsidP="002D1370">
            <w:pPr>
              <w:pStyle w:val="Default"/>
              <w:rPr>
                <w:rFonts w:ascii="Times New Roman" w:hAnsi="Times New Roman" w:cs="Times New Roman"/>
                <w:sz w:val="22"/>
                <w:szCs w:val="22"/>
              </w:rPr>
            </w:pPr>
            <w:r w:rsidRPr="00F61903">
              <w:rPr>
                <w:rFonts w:ascii="Times New Roman" w:hAnsi="Times New Roman" w:cs="Times New Roman"/>
                <w:sz w:val="22"/>
                <w:szCs w:val="22"/>
              </w:rPr>
              <w:t xml:space="preserve">Toluene </w:t>
            </w:r>
          </w:p>
          <w:p w14:paraId="590BB38C" w14:textId="16706407" w:rsidR="002D1370" w:rsidRPr="00F61903" w:rsidRDefault="002D1370" w:rsidP="002D1370">
            <w:pPr>
              <w:pStyle w:val="Default"/>
              <w:rPr>
                <w:rFonts w:ascii="Times New Roman" w:hAnsi="Times New Roman" w:cs="Times New Roman"/>
                <w:sz w:val="22"/>
                <w:szCs w:val="22"/>
              </w:rPr>
            </w:pPr>
            <w:r w:rsidRPr="00F61903">
              <w:rPr>
                <w:rFonts w:ascii="Times New Roman" w:hAnsi="Times New Roman" w:cs="Times New Roman"/>
                <w:sz w:val="22"/>
                <w:szCs w:val="22"/>
              </w:rPr>
              <w:t xml:space="preserve">Toluene-d8 </w:t>
            </w:r>
            <w:r w:rsidRPr="006802EF">
              <w:rPr>
                <w:rFonts w:ascii="Times New Roman" w:hAnsi="Times New Roman" w:cs="Times New Roman"/>
                <w:i/>
                <w:iCs/>
                <w:sz w:val="22"/>
                <w:szCs w:val="22"/>
              </w:rPr>
              <w:t>(</w:t>
            </w:r>
            <w:proofErr w:type="spellStart"/>
            <w:r w:rsidRPr="006802EF">
              <w:rPr>
                <w:rFonts w:ascii="Times New Roman" w:hAnsi="Times New Roman" w:cs="Times New Roman"/>
                <w:i/>
                <w:iCs/>
                <w:sz w:val="22"/>
                <w:szCs w:val="22"/>
              </w:rPr>
              <w:t>surr</w:t>
            </w:r>
            <w:proofErr w:type="spellEnd"/>
            <w:r w:rsidRPr="006802EF">
              <w:rPr>
                <w:rFonts w:ascii="Times New Roman" w:hAnsi="Times New Roman" w:cs="Times New Roman"/>
                <w:i/>
                <w:iCs/>
                <w:sz w:val="22"/>
                <w:szCs w:val="22"/>
              </w:rPr>
              <w:t>)</w:t>
            </w:r>
            <w:r w:rsidRPr="00F61903">
              <w:rPr>
                <w:rFonts w:ascii="Times New Roman" w:hAnsi="Times New Roman" w:cs="Times New Roman"/>
                <w:sz w:val="22"/>
                <w:szCs w:val="22"/>
              </w:rPr>
              <w:t xml:space="preserve"> </w:t>
            </w:r>
          </w:p>
          <w:p w14:paraId="30F3F6E6" w14:textId="77777777" w:rsidR="002D1370" w:rsidRPr="00F61903" w:rsidRDefault="002D1370" w:rsidP="002D1370">
            <w:pPr>
              <w:pStyle w:val="Default"/>
              <w:rPr>
                <w:rFonts w:ascii="Times New Roman" w:hAnsi="Times New Roman" w:cs="Times New Roman"/>
                <w:sz w:val="22"/>
                <w:szCs w:val="22"/>
              </w:rPr>
            </w:pPr>
            <w:r w:rsidRPr="00F61903">
              <w:rPr>
                <w:rFonts w:ascii="Times New Roman" w:hAnsi="Times New Roman" w:cs="Times New Roman"/>
                <w:sz w:val="22"/>
                <w:szCs w:val="22"/>
              </w:rPr>
              <w:t xml:space="preserve">m- + p-Xylene </w:t>
            </w:r>
          </w:p>
          <w:p w14:paraId="0924BCF5" w14:textId="378AA8B6" w:rsidR="00B56D50" w:rsidRPr="00F61903" w:rsidRDefault="002D1370">
            <w:pPr>
              <w:spacing w:after="0" w:line="259" w:lineRule="auto"/>
              <w:ind w:left="0" w:right="0" w:firstLine="0"/>
            </w:pPr>
            <w:r w:rsidRPr="00F61903">
              <w:t xml:space="preserve">o-Xylene </w:t>
            </w:r>
          </w:p>
        </w:tc>
        <w:tc>
          <w:tcPr>
            <w:tcW w:w="3149" w:type="dxa"/>
            <w:tcBorders>
              <w:top w:val="single" w:sz="12" w:space="0" w:color="000000"/>
              <w:left w:val="single" w:sz="12" w:space="0" w:color="000000"/>
              <w:bottom w:val="single" w:sz="12" w:space="0" w:color="000000"/>
              <w:right w:val="single" w:sz="12" w:space="0" w:color="000000"/>
            </w:tcBorders>
          </w:tcPr>
          <w:p w14:paraId="6BB0CB92" w14:textId="1AFE939F" w:rsidR="00E85E34" w:rsidRPr="00F61903" w:rsidRDefault="00E85E34" w:rsidP="00E85E34">
            <w:pPr>
              <w:pStyle w:val="Default"/>
              <w:rPr>
                <w:rFonts w:ascii="Times New Roman" w:hAnsi="Times New Roman" w:cs="Times New Roman"/>
                <w:sz w:val="22"/>
                <w:szCs w:val="22"/>
              </w:rPr>
            </w:pPr>
            <w:r w:rsidRPr="00F61903">
              <w:rPr>
                <w:rFonts w:ascii="Times New Roman" w:hAnsi="Times New Roman" w:cs="Times New Roman"/>
                <w:sz w:val="22"/>
                <w:szCs w:val="22"/>
              </w:rPr>
              <w:t>p-</w:t>
            </w:r>
            <w:proofErr w:type="spellStart"/>
            <w:r w:rsidRPr="00F61903">
              <w:rPr>
                <w:rFonts w:ascii="Times New Roman" w:hAnsi="Times New Roman" w:cs="Times New Roman"/>
                <w:sz w:val="22"/>
                <w:szCs w:val="22"/>
              </w:rPr>
              <w:t>Bromofluorobenzene</w:t>
            </w:r>
            <w:proofErr w:type="spellEnd"/>
            <w:r w:rsidRPr="00F61903">
              <w:rPr>
                <w:rFonts w:ascii="Times New Roman" w:hAnsi="Times New Roman" w:cs="Times New Roman"/>
                <w:sz w:val="22"/>
                <w:szCs w:val="22"/>
              </w:rPr>
              <w:t xml:space="preserve"> </w:t>
            </w:r>
            <w:r w:rsidRPr="006802EF">
              <w:rPr>
                <w:rFonts w:ascii="Times New Roman" w:hAnsi="Times New Roman" w:cs="Times New Roman"/>
                <w:i/>
                <w:iCs/>
                <w:sz w:val="22"/>
                <w:szCs w:val="22"/>
              </w:rPr>
              <w:t>(</w:t>
            </w:r>
            <w:proofErr w:type="spellStart"/>
            <w:r w:rsidRPr="006802EF">
              <w:rPr>
                <w:rFonts w:ascii="Times New Roman" w:hAnsi="Times New Roman" w:cs="Times New Roman"/>
                <w:i/>
                <w:iCs/>
                <w:sz w:val="22"/>
                <w:szCs w:val="22"/>
              </w:rPr>
              <w:t>surr</w:t>
            </w:r>
            <w:proofErr w:type="spellEnd"/>
            <w:r w:rsidRPr="006802EF">
              <w:rPr>
                <w:rFonts w:ascii="Times New Roman" w:hAnsi="Times New Roman" w:cs="Times New Roman"/>
                <w:i/>
                <w:iCs/>
                <w:sz w:val="22"/>
                <w:szCs w:val="22"/>
              </w:rPr>
              <w:t>)</w:t>
            </w:r>
            <w:r w:rsidRPr="00F61903">
              <w:rPr>
                <w:rFonts w:ascii="Times New Roman" w:hAnsi="Times New Roman" w:cs="Times New Roman"/>
                <w:sz w:val="22"/>
                <w:szCs w:val="22"/>
              </w:rPr>
              <w:t xml:space="preserve"> </w:t>
            </w:r>
          </w:p>
          <w:p w14:paraId="787E8377" w14:textId="77777777" w:rsidR="00E85E34" w:rsidRPr="00F61903" w:rsidRDefault="00E85E34" w:rsidP="00E85E34">
            <w:pPr>
              <w:pStyle w:val="Default"/>
              <w:rPr>
                <w:rFonts w:ascii="Times New Roman" w:hAnsi="Times New Roman" w:cs="Times New Roman"/>
                <w:sz w:val="22"/>
                <w:szCs w:val="22"/>
              </w:rPr>
            </w:pPr>
            <w:r w:rsidRPr="00F61903">
              <w:rPr>
                <w:rFonts w:ascii="Times New Roman" w:hAnsi="Times New Roman" w:cs="Times New Roman"/>
                <w:sz w:val="22"/>
                <w:szCs w:val="22"/>
              </w:rPr>
              <w:t xml:space="preserve">Bromoform </w:t>
            </w:r>
          </w:p>
          <w:p w14:paraId="28866DEF" w14:textId="77777777" w:rsidR="00E85E34" w:rsidRPr="00F61903" w:rsidRDefault="00E85E34" w:rsidP="00E85E34">
            <w:pPr>
              <w:pStyle w:val="Default"/>
              <w:rPr>
                <w:rFonts w:ascii="Times New Roman" w:hAnsi="Times New Roman" w:cs="Times New Roman"/>
                <w:sz w:val="22"/>
                <w:szCs w:val="22"/>
              </w:rPr>
            </w:pPr>
            <w:r w:rsidRPr="00F61903">
              <w:rPr>
                <w:rFonts w:ascii="Times New Roman" w:hAnsi="Times New Roman" w:cs="Times New Roman"/>
                <w:sz w:val="22"/>
                <w:szCs w:val="22"/>
              </w:rPr>
              <w:t xml:space="preserve">n-Butylbenzene </w:t>
            </w:r>
          </w:p>
          <w:p w14:paraId="48342D7C" w14:textId="77777777" w:rsidR="00E85E34" w:rsidRPr="00F61903" w:rsidRDefault="00E85E34" w:rsidP="00E85E34">
            <w:pPr>
              <w:pStyle w:val="Default"/>
              <w:rPr>
                <w:rFonts w:ascii="Times New Roman" w:hAnsi="Times New Roman" w:cs="Times New Roman"/>
                <w:sz w:val="22"/>
                <w:szCs w:val="22"/>
              </w:rPr>
            </w:pPr>
            <w:r w:rsidRPr="00F61903">
              <w:rPr>
                <w:rFonts w:ascii="Times New Roman" w:hAnsi="Times New Roman" w:cs="Times New Roman"/>
                <w:sz w:val="22"/>
                <w:szCs w:val="22"/>
              </w:rPr>
              <w:t xml:space="preserve">sec-Butylbenzene </w:t>
            </w:r>
          </w:p>
          <w:p w14:paraId="14C1C8B7" w14:textId="77777777" w:rsidR="00E85E34" w:rsidRPr="00F61903" w:rsidRDefault="00E85E34" w:rsidP="00E85E34">
            <w:pPr>
              <w:pStyle w:val="Default"/>
              <w:rPr>
                <w:rFonts w:ascii="Times New Roman" w:hAnsi="Times New Roman" w:cs="Times New Roman"/>
                <w:sz w:val="22"/>
                <w:szCs w:val="22"/>
              </w:rPr>
            </w:pPr>
            <w:r w:rsidRPr="00F61903">
              <w:rPr>
                <w:rFonts w:ascii="Times New Roman" w:hAnsi="Times New Roman" w:cs="Times New Roman"/>
                <w:sz w:val="22"/>
                <w:szCs w:val="22"/>
              </w:rPr>
              <w:t xml:space="preserve">t-Butylbenzene </w:t>
            </w:r>
          </w:p>
          <w:p w14:paraId="693DBFB6" w14:textId="77777777" w:rsidR="00E85E34" w:rsidRPr="00F61903" w:rsidRDefault="00E85E34" w:rsidP="00E85E34">
            <w:pPr>
              <w:pStyle w:val="Default"/>
              <w:rPr>
                <w:rFonts w:ascii="Times New Roman" w:hAnsi="Times New Roman" w:cs="Times New Roman"/>
                <w:sz w:val="22"/>
                <w:szCs w:val="22"/>
              </w:rPr>
            </w:pPr>
            <w:r w:rsidRPr="00F61903">
              <w:rPr>
                <w:rFonts w:ascii="Times New Roman" w:hAnsi="Times New Roman" w:cs="Times New Roman"/>
                <w:sz w:val="22"/>
                <w:szCs w:val="22"/>
              </w:rPr>
              <w:t xml:space="preserve">1,2-Dibromo-3-chloropropane </w:t>
            </w:r>
          </w:p>
          <w:p w14:paraId="00F0A1E8" w14:textId="77777777" w:rsidR="00E85E34" w:rsidRPr="00F61903" w:rsidRDefault="00E85E34" w:rsidP="00E85E34">
            <w:pPr>
              <w:pStyle w:val="Default"/>
              <w:rPr>
                <w:rFonts w:ascii="Times New Roman" w:hAnsi="Times New Roman" w:cs="Times New Roman"/>
                <w:sz w:val="22"/>
                <w:szCs w:val="22"/>
              </w:rPr>
            </w:pPr>
            <w:r w:rsidRPr="00F61903">
              <w:rPr>
                <w:rFonts w:ascii="Times New Roman" w:hAnsi="Times New Roman" w:cs="Times New Roman"/>
                <w:sz w:val="22"/>
                <w:szCs w:val="22"/>
              </w:rPr>
              <w:t xml:space="preserve">1,2-Dichlorobenzene </w:t>
            </w:r>
          </w:p>
          <w:p w14:paraId="2A7FED44" w14:textId="77777777" w:rsidR="00E85E34" w:rsidRPr="00F61903" w:rsidRDefault="00E85E34" w:rsidP="00E85E34">
            <w:pPr>
              <w:pStyle w:val="Default"/>
              <w:rPr>
                <w:rFonts w:ascii="Times New Roman" w:hAnsi="Times New Roman" w:cs="Times New Roman"/>
                <w:sz w:val="22"/>
                <w:szCs w:val="22"/>
              </w:rPr>
            </w:pPr>
            <w:r w:rsidRPr="00F61903">
              <w:rPr>
                <w:rFonts w:ascii="Times New Roman" w:hAnsi="Times New Roman" w:cs="Times New Roman"/>
                <w:sz w:val="22"/>
                <w:szCs w:val="22"/>
              </w:rPr>
              <w:t xml:space="preserve">1,3-Dichlorobenzene </w:t>
            </w:r>
          </w:p>
          <w:p w14:paraId="08BE1516" w14:textId="77777777" w:rsidR="00E85E34" w:rsidRPr="00F61903" w:rsidRDefault="00E85E34" w:rsidP="00E85E34">
            <w:pPr>
              <w:pStyle w:val="Default"/>
              <w:rPr>
                <w:rFonts w:ascii="Times New Roman" w:hAnsi="Times New Roman" w:cs="Times New Roman"/>
                <w:sz w:val="22"/>
                <w:szCs w:val="22"/>
              </w:rPr>
            </w:pPr>
            <w:r w:rsidRPr="00F61903">
              <w:rPr>
                <w:rFonts w:ascii="Times New Roman" w:hAnsi="Times New Roman" w:cs="Times New Roman"/>
                <w:sz w:val="22"/>
                <w:szCs w:val="22"/>
              </w:rPr>
              <w:t xml:space="preserve">1,4-Dichlorobenzene </w:t>
            </w:r>
          </w:p>
          <w:p w14:paraId="7F3BA1A0" w14:textId="3371F9C7" w:rsidR="00E85E34" w:rsidRPr="00F61903" w:rsidRDefault="00E85E34" w:rsidP="00E85E34">
            <w:pPr>
              <w:pStyle w:val="Default"/>
              <w:rPr>
                <w:rFonts w:ascii="Times New Roman" w:hAnsi="Times New Roman" w:cs="Times New Roman"/>
                <w:sz w:val="22"/>
                <w:szCs w:val="22"/>
              </w:rPr>
            </w:pPr>
            <w:r w:rsidRPr="00F61903">
              <w:rPr>
                <w:rFonts w:ascii="Times New Roman" w:hAnsi="Times New Roman" w:cs="Times New Roman"/>
                <w:sz w:val="22"/>
                <w:szCs w:val="22"/>
              </w:rPr>
              <w:t>1,2-Dichlorobenzene-d</w:t>
            </w:r>
            <w:r w:rsidRPr="00F61903">
              <w:rPr>
                <w:rFonts w:ascii="Times New Roman" w:hAnsi="Times New Roman" w:cs="Times New Roman"/>
                <w:sz w:val="14"/>
                <w:szCs w:val="14"/>
              </w:rPr>
              <w:t xml:space="preserve">4 </w:t>
            </w:r>
            <w:r w:rsidRPr="006802EF">
              <w:rPr>
                <w:rFonts w:ascii="Times New Roman" w:hAnsi="Times New Roman" w:cs="Times New Roman"/>
                <w:i/>
                <w:iCs/>
                <w:sz w:val="22"/>
                <w:szCs w:val="22"/>
              </w:rPr>
              <w:t>(</w:t>
            </w:r>
            <w:proofErr w:type="spellStart"/>
            <w:r w:rsidRPr="006802EF">
              <w:rPr>
                <w:rFonts w:ascii="Times New Roman" w:hAnsi="Times New Roman" w:cs="Times New Roman"/>
                <w:i/>
                <w:iCs/>
                <w:sz w:val="22"/>
                <w:szCs w:val="22"/>
              </w:rPr>
              <w:t>surr</w:t>
            </w:r>
            <w:proofErr w:type="spellEnd"/>
            <w:r w:rsidRPr="006802EF">
              <w:rPr>
                <w:rFonts w:ascii="Times New Roman" w:hAnsi="Times New Roman" w:cs="Times New Roman"/>
                <w:i/>
                <w:iCs/>
                <w:sz w:val="22"/>
                <w:szCs w:val="22"/>
              </w:rPr>
              <w:t>)</w:t>
            </w:r>
            <w:r w:rsidRPr="00F61903">
              <w:rPr>
                <w:rFonts w:ascii="Times New Roman" w:hAnsi="Times New Roman" w:cs="Times New Roman"/>
                <w:sz w:val="22"/>
                <w:szCs w:val="22"/>
              </w:rPr>
              <w:t xml:space="preserve"> </w:t>
            </w:r>
          </w:p>
          <w:p w14:paraId="2DB47B43" w14:textId="77777777" w:rsidR="00E85E34" w:rsidRPr="00F61903" w:rsidRDefault="00E85E34" w:rsidP="00E85E34">
            <w:pPr>
              <w:pStyle w:val="Default"/>
              <w:rPr>
                <w:rFonts w:ascii="Times New Roman" w:hAnsi="Times New Roman" w:cs="Times New Roman"/>
                <w:sz w:val="22"/>
                <w:szCs w:val="22"/>
              </w:rPr>
            </w:pPr>
            <w:r w:rsidRPr="00F61903">
              <w:rPr>
                <w:rFonts w:ascii="Times New Roman" w:hAnsi="Times New Roman" w:cs="Times New Roman"/>
                <w:sz w:val="22"/>
                <w:szCs w:val="22"/>
              </w:rPr>
              <w:t xml:space="preserve">Hexachlorobutadiene </w:t>
            </w:r>
          </w:p>
          <w:p w14:paraId="7FE98C6F" w14:textId="77777777" w:rsidR="00E85E34" w:rsidRPr="00F61903" w:rsidRDefault="00E85E34" w:rsidP="00E85E34">
            <w:pPr>
              <w:pStyle w:val="Default"/>
              <w:rPr>
                <w:rFonts w:ascii="Times New Roman" w:hAnsi="Times New Roman" w:cs="Times New Roman"/>
                <w:sz w:val="22"/>
                <w:szCs w:val="22"/>
              </w:rPr>
            </w:pPr>
            <w:proofErr w:type="spellStart"/>
            <w:r w:rsidRPr="00F61903">
              <w:rPr>
                <w:rFonts w:ascii="Times New Roman" w:hAnsi="Times New Roman" w:cs="Times New Roman"/>
                <w:sz w:val="22"/>
                <w:szCs w:val="22"/>
              </w:rPr>
              <w:t>Isopropylbenzene</w:t>
            </w:r>
            <w:proofErr w:type="spellEnd"/>
            <w:r w:rsidRPr="00F61903">
              <w:rPr>
                <w:rFonts w:ascii="Times New Roman" w:hAnsi="Times New Roman" w:cs="Times New Roman"/>
                <w:sz w:val="22"/>
                <w:szCs w:val="22"/>
              </w:rPr>
              <w:t xml:space="preserve"> </w:t>
            </w:r>
          </w:p>
          <w:p w14:paraId="3DBD6906" w14:textId="77777777" w:rsidR="00E85E34" w:rsidRPr="00F61903" w:rsidRDefault="00E85E34" w:rsidP="00E85E34">
            <w:pPr>
              <w:pStyle w:val="Default"/>
              <w:rPr>
                <w:rFonts w:ascii="Times New Roman" w:hAnsi="Times New Roman" w:cs="Times New Roman"/>
                <w:sz w:val="22"/>
                <w:szCs w:val="22"/>
              </w:rPr>
            </w:pPr>
            <w:proofErr w:type="spellStart"/>
            <w:r w:rsidRPr="00F61903">
              <w:rPr>
                <w:rFonts w:ascii="Times New Roman" w:hAnsi="Times New Roman" w:cs="Times New Roman"/>
                <w:sz w:val="22"/>
                <w:szCs w:val="22"/>
              </w:rPr>
              <w:t>Isopropyltoluene</w:t>
            </w:r>
            <w:proofErr w:type="spellEnd"/>
            <w:r w:rsidRPr="00F61903">
              <w:rPr>
                <w:rFonts w:ascii="Times New Roman" w:hAnsi="Times New Roman" w:cs="Times New Roman"/>
                <w:sz w:val="22"/>
                <w:szCs w:val="22"/>
              </w:rPr>
              <w:t xml:space="preserve"> </w:t>
            </w:r>
          </w:p>
          <w:p w14:paraId="2672D7D5" w14:textId="77777777" w:rsidR="00E85E34" w:rsidRPr="00F61903" w:rsidRDefault="00E85E34" w:rsidP="00E85E34">
            <w:pPr>
              <w:pStyle w:val="Default"/>
              <w:rPr>
                <w:rFonts w:ascii="Times New Roman" w:hAnsi="Times New Roman" w:cs="Times New Roman"/>
                <w:sz w:val="22"/>
                <w:szCs w:val="22"/>
              </w:rPr>
            </w:pPr>
            <w:r w:rsidRPr="00F61903">
              <w:rPr>
                <w:rFonts w:ascii="Times New Roman" w:hAnsi="Times New Roman" w:cs="Times New Roman"/>
                <w:sz w:val="22"/>
                <w:szCs w:val="22"/>
              </w:rPr>
              <w:t xml:space="preserve">Naphthalene </w:t>
            </w:r>
          </w:p>
          <w:p w14:paraId="1ECED940" w14:textId="77777777" w:rsidR="00E85E34" w:rsidRPr="00F61903" w:rsidRDefault="00E85E34" w:rsidP="00E85E34">
            <w:pPr>
              <w:pStyle w:val="Default"/>
              <w:rPr>
                <w:rFonts w:ascii="Times New Roman" w:hAnsi="Times New Roman" w:cs="Times New Roman"/>
                <w:sz w:val="22"/>
                <w:szCs w:val="22"/>
              </w:rPr>
            </w:pPr>
            <w:r w:rsidRPr="00F61903">
              <w:rPr>
                <w:rFonts w:ascii="Times New Roman" w:hAnsi="Times New Roman" w:cs="Times New Roman"/>
                <w:sz w:val="22"/>
                <w:szCs w:val="22"/>
              </w:rPr>
              <w:t>n-</w:t>
            </w:r>
            <w:proofErr w:type="spellStart"/>
            <w:r w:rsidRPr="00F61903">
              <w:rPr>
                <w:rFonts w:ascii="Times New Roman" w:hAnsi="Times New Roman" w:cs="Times New Roman"/>
                <w:sz w:val="22"/>
                <w:szCs w:val="22"/>
              </w:rPr>
              <w:t>Propylbenzene</w:t>
            </w:r>
            <w:proofErr w:type="spellEnd"/>
            <w:r w:rsidRPr="00F61903">
              <w:rPr>
                <w:rFonts w:ascii="Times New Roman" w:hAnsi="Times New Roman" w:cs="Times New Roman"/>
                <w:sz w:val="22"/>
                <w:szCs w:val="22"/>
              </w:rPr>
              <w:t xml:space="preserve"> </w:t>
            </w:r>
          </w:p>
          <w:p w14:paraId="0071420C" w14:textId="77777777" w:rsidR="00E85E34" w:rsidRPr="00F61903" w:rsidRDefault="00E85E34" w:rsidP="00E85E34">
            <w:pPr>
              <w:pStyle w:val="Default"/>
              <w:rPr>
                <w:rFonts w:ascii="Times New Roman" w:hAnsi="Times New Roman" w:cs="Times New Roman"/>
                <w:sz w:val="22"/>
                <w:szCs w:val="22"/>
              </w:rPr>
            </w:pPr>
            <w:r w:rsidRPr="00F61903">
              <w:rPr>
                <w:rFonts w:ascii="Times New Roman" w:hAnsi="Times New Roman" w:cs="Times New Roman"/>
                <w:sz w:val="22"/>
                <w:szCs w:val="22"/>
              </w:rPr>
              <w:t xml:space="preserve">1,2,3-Trichloropropane </w:t>
            </w:r>
          </w:p>
          <w:p w14:paraId="13FF7904" w14:textId="77777777" w:rsidR="00E85E34" w:rsidRPr="00F61903" w:rsidRDefault="00E85E34" w:rsidP="00E85E34">
            <w:pPr>
              <w:pStyle w:val="Default"/>
              <w:rPr>
                <w:rFonts w:ascii="Times New Roman" w:hAnsi="Times New Roman" w:cs="Times New Roman"/>
                <w:sz w:val="22"/>
                <w:szCs w:val="22"/>
              </w:rPr>
            </w:pPr>
            <w:r w:rsidRPr="00F61903">
              <w:rPr>
                <w:rFonts w:ascii="Times New Roman" w:hAnsi="Times New Roman" w:cs="Times New Roman"/>
                <w:sz w:val="22"/>
                <w:szCs w:val="22"/>
              </w:rPr>
              <w:t xml:space="preserve">1,2,4-Trimethylbenzene </w:t>
            </w:r>
          </w:p>
          <w:p w14:paraId="4AD239D6" w14:textId="77777777" w:rsidR="00E85E34" w:rsidRPr="00F61903" w:rsidRDefault="00E85E34" w:rsidP="00E85E34">
            <w:pPr>
              <w:pStyle w:val="Default"/>
              <w:rPr>
                <w:rFonts w:ascii="Times New Roman" w:hAnsi="Times New Roman" w:cs="Times New Roman"/>
                <w:sz w:val="22"/>
                <w:szCs w:val="22"/>
              </w:rPr>
            </w:pPr>
            <w:r w:rsidRPr="00F61903">
              <w:rPr>
                <w:rFonts w:ascii="Times New Roman" w:hAnsi="Times New Roman" w:cs="Times New Roman"/>
                <w:sz w:val="22"/>
                <w:szCs w:val="22"/>
              </w:rPr>
              <w:t xml:space="preserve">1,3,5-Trimethylbenzene </w:t>
            </w:r>
          </w:p>
          <w:p w14:paraId="7E01B299" w14:textId="77777777" w:rsidR="00E85E34" w:rsidRPr="00F61903" w:rsidRDefault="00E85E34" w:rsidP="00E85E34">
            <w:pPr>
              <w:pStyle w:val="Default"/>
              <w:rPr>
                <w:rFonts w:ascii="Times New Roman" w:hAnsi="Times New Roman" w:cs="Times New Roman"/>
                <w:sz w:val="22"/>
                <w:szCs w:val="22"/>
              </w:rPr>
            </w:pPr>
            <w:r w:rsidRPr="00F61903">
              <w:rPr>
                <w:rFonts w:ascii="Times New Roman" w:hAnsi="Times New Roman" w:cs="Times New Roman"/>
                <w:sz w:val="22"/>
                <w:szCs w:val="22"/>
              </w:rPr>
              <w:t xml:space="preserve">1,2,3-Trichlorobenzene </w:t>
            </w:r>
          </w:p>
          <w:p w14:paraId="6878557A" w14:textId="59478C0F" w:rsidR="00B56D50" w:rsidRPr="00F61903" w:rsidRDefault="00E85E34">
            <w:pPr>
              <w:spacing w:after="0" w:line="259" w:lineRule="auto"/>
              <w:ind w:left="0" w:right="0" w:firstLine="0"/>
            </w:pPr>
            <w:r w:rsidRPr="00F61903">
              <w:t xml:space="preserve">1,2,4-Trichlorobenzene </w:t>
            </w:r>
            <w:r w:rsidR="001C3C42" w:rsidRPr="00F61903">
              <w:rPr>
                <w:sz w:val="20"/>
              </w:rPr>
              <w:t xml:space="preserve"> </w:t>
            </w:r>
          </w:p>
          <w:p w14:paraId="6B741FEE" w14:textId="77777777" w:rsidR="00B56D50" w:rsidRPr="00F61903" w:rsidRDefault="001C3C42">
            <w:pPr>
              <w:spacing w:after="0" w:line="259" w:lineRule="auto"/>
              <w:ind w:left="0" w:right="0" w:firstLine="0"/>
            </w:pPr>
            <w:r w:rsidRPr="00F61903">
              <w:rPr>
                <w:sz w:val="20"/>
              </w:rPr>
              <w:t xml:space="preserve"> </w:t>
            </w:r>
          </w:p>
        </w:tc>
      </w:tr>
    </w:tbl>
    <w:p w14:paraId="56B8ED78" w14:textId="77777777" w:rsidR="00A34A1D" w:rsidRDefault="00A34A1D" w:rsidP="00D325A0">
      <w:pPr>
        <w:spacing w:after="0" w:line="259" w:lineRule="auto"/>
        <w:ind w:left="1440" w:right="0" w:firstLine="0"/>
      </w:pPr>
    </w:p>
    <w:p w14:paraId="43FEF902" w14:textId="77777777" w:rsidR="00C66DC8" w:rsidRPr="009D4309" w:rsidRDefault="00C66DC8" w:rsidP="00093377">
      <w:pPr>
        <w:numPr>
          <w:ilvl w:val="0"/>
          <w:numId w:val="77"/>
        </w:numPr>
        <w:spacing w:after="16"/>
        <w:ind w:left="1440" w:right="186" w:hanging="360"/>
        <w:rPr>
          <w:b/>
          <w:bCs/>
        </w:rPr>
      </w:pPr>
      <w:r w:rsidRPr="009D4309">
        <w:rPr>
          <w:b/>
          <w:bCs/>
        </w:rPr>
        <w:t xml:space="preserve">Laboratory Control Sample </w:t>
      </w:r>
    </w:p>
    <w:p w14:paraId="27A3AD8D" w14:textId="7CC14BD2" w:rsidR="00C66DC8" w:rsidRDefault="00C66DC8" w:rsidP="00C66DC8">
      <w:pPr>
        <w:ind w:left="1450" w:right="0"/>
      </w:pPr>
      <w:r>
        <w:t>The Contractor shall include a Laboratory Control Sample (LCS) with each analytical batch</w:t>
      </w:r>
      <w:r w:rsidR="00D04709">
        <w:t xml:space="preserve">.  </w:t>
      </w:r>
      <w:r>
        <w:t>When the results of the matrix spike analysis indicate a potential problem due to the sample matrix itself, the LCS results are used to verify that the Contractor can perform the analysis in an organic free matrix.  LCS percent recoveries must be reported.  TABLE 17 lists required % Recovery values for LCS analyses.</w:t>
      </w:r>
    </w:p>
    <w:p w14:paraId="75064F9F" w14:textId="77777777" w:rsidR="00823A99" w:rsidRDefault="00823A99" w:rsidP="00823A99">
      <w:pPr>
        <w:spacing w:after="0" w:line="259" w:lineRule="auto"/>
        <w:ind w:left="540" w:right="0" w:firstLine="0"/>
      </w:pPr>
    </w:p>
    <w:p w14:paraId="0E297E47" w14:textId="7EE9FD8B" w:rsidR="00823A99" w:rsidRDefault="00823A99" w:rsidP="00823A99">
      <w:pPr>
        <w:spacing w:after="0" w:line="259" w:lineRule="auto"/>
        <w:ind w:left="1440" w:right="0" w:firstLine="0"/>
      </w:pPr>
      <w:r>
        <w:t xml:space="preserve">If QC results from the re-extraction and reanalysis are also outside the acceptance limits, but the analysis of a laboratory control sample demonstrates that the method is in control, then the problem is related to sample matrix and analytical requirements will be considered met.  If re-extraction and reanalysis of the sample </w:t>
      </w:r>
      <w:proofErr w:type="gramStart"/>
      <w:r>
        <w:t>does</w:t>
      </w:r>
      <w:proofErr w:type="gramEnd"/>
      <w:r>
        <w:t xml:space="preserve"> not solve the problem and the laboratory control sample results are also outside of acceptance limits, instrument maintenance may be required.</w:t>
      </w:r>
      <w:r w:rsidR="003C0A6C">
        <w:t xml:space="preserve"> </w:t>
      </w:r>
      <w:r>
        <w:t xml:space="preserve"> Major maintenance such as cleaning an ion source, cleaning quadrupole rods, etc. require returning to the initial calibration step. </w:t>
      </w:r>
    </w:p>
    <w:p w14:paraId="68DE127A" w14:textId="77777777" w:rsidR="00823A99" w:rsidRDefault="00823A99" w:rsidP="00823A99">
      <w:pPr>
        <w:spacing w:after="0" w:line="259" w:lineRule="auto"/>
        <w:ind w:left="992" w:right="0" w:firstLine="0"/>
        <w:rPr>
          <w:rFonts w:ascii="Arial" w:eastAsia="Arial" w:hAnsi="Arial" w:cs="Arial"/>
          <w:b/>
        </w:rPr>
      </w:pPr>
      <w:r>
        <w:rPr>
          <w:rFonts w:ascii="Arial" w:eastAsia="Arial" w:hAnsi="Arial" w:cs="Arial"/>
        </w:rPr>
        <w:t xml:space="preserve"> </w:t>
      </w:r>
      <w:r>
        <w:rPr>
          <w:rFonts w:ascii="Arial" w:eastAsia="Arial" w:hAnsi="Arial" w:cs="Arial"/>
          <w:b/>
        </w:rPr>
        <w:t xml:space="preserve"> </w:t>
      </w:r>
    </w:p>
    <w:p w14:paraId="47CD2630" w14:textId="7B731F64" w:rsidR="00823A99" w:rsidRDefault="00487C96" w:rsidP="00C66DC8">
      <w:pPr>
        <w:ind w:left="1450" w:right="0"/>
      </w:pPr>
      <w:r>
        <w:t xml:space="preserve">The range for LCS recoveries provided </w:t>
      </w:r>
      <w:proofErr w:type="gramStart"/>
      <w:r>
        <w:t>in</w:t>
      </w:r>
      <w:proofErr w:type="gramEnd"/>
      <w:r>
        <w:t xml:space="preserve"> TABLE 17 may not be achievable for some volatile target analytes, in which case the acceptance tables provided at the end of the method or the Contractor’s historical recoveries may provide more realistic ranges.  LCS percentage recoveries must be reported.  </w:t>
      </w:r>
      <w:r>
        <w:lastRenderedPageBreak/>
        <w:t xml:space="preserve">Target analytes with LCS % recoveries outside the ranges provided in TABLE 17 are to be supported by the Contractor’s historical data which </w:t>
      </w:r>
      <w:r w:rsidR="00E916B2">
        <w:t>is</w:t>
      </w:r>
      <w:r>
        <w:t xml:space="preserve"> also provided in the report.</w:t>
      </w:r>
    </w:p>
    <w:p w14:paraId="51B859C1" w14:textId="77777777" w:rsidR="00DA1078" w:rsidRPr="00AD29ED" w:rsidRDefault="00DA1078" w:rsidP="00C66DC8">
      <w:pPr>
        <w:spacing w:after="20" w:line="259" w:lineRule="auto"/>
        <w:ind w:left="0" w:right="0" w:firstLine="0"/>
      </w:pPr>
    </w:p>
    <w:p w14:paraId="26C043CC" w14:textId="3ACF4B9C" w:rsidR="00B56D50" w:rsidRDefault="001C3C42">
      <w:pPr>
        <w:pStyle w:val="Heading5"/>
        <w:ind w:left="1024" w:right="722"/>
      </w:pPr>
      <w:r>
        <w:t xml:space="preserve">TABLE </w:t>
      </w:r>
      <w:r w:rsidR="009635C1">
        <w:t>17</w:t>
      </w:r>
      <w:r>
        <w:t xml:space="preserve"> </w:t>
      </w:r>
    </w:p>
    <w:p w14:paraId="38F5BA2F" w14:textId="77777777" w:rsidR="00B56D50" w:rsidRDefault="001C3C42">
      <w:pPr>
        <w:pStyle w:val="Heading6"/>
        <w:ind w:left="2000" w:right="186"/>
      </w:pPr>
      <w:r>
        <w:t xml:space="preserve">Required Laboratory Control Sample %R Criteria for Organic Analysis </w:t>
      </w:r>
    </w:p>
    <w:p w14:paraId="45F46515" w14:textId="77777777" w:rsidR="00B56D50" w:rsidRDefault="001C3C42">
      <w:pPr>
        <w:spacing w:after="0" w:line="259" w:lineRule="auto"/>
        <w:ind w:left="314" w:right="0" w:firstLine="0"/>
        <w:jc w:val="center"/>
      </w:pPr>
      <w:r>
        <w:rPr>
          <w:rFonts w:ascii="Arial" w:eastAsia="Arial" w:hAnsi="Arial" w:cs="Arial"/>
          <w:sz w:val="8"/>
        </w:rPr>
        <w:t xml:space="preserve"> </w:t>
      </w:r>
    </w:p>
    <w:tbl>
      <w:tblPr>
        <w:tblStyle w:val="TableGrid1"/>
        <w:tblW w:w="9270" w:type="dxa"/>
        <w:tblInd w:w="1216" w:type="dxa"/>
        <w:tblCellMar>
          <w:top w:w="25" w:type="dxa"/>
          <w:left w:w="115" w:type="dxa"/>
          <w:bottom w:w="75" w:type="dxa"/>
          <w:right w:w="115" w:type="dxa"/>
        </w:tblCellMar>
        <w:tblLook w:val="04A0" w:firstRow="1" w:lastRow="0" w:firstColumn="1" w:lastColumn="0" w:noHBand="0" w:noVBand="1"/>
      </w:tblPr>
      <w:tblGrid>
        <w:gridCol w:w="2881"/>
        <w:gridCol w:w="3240"/>
        <w:gridCol w:w="3149"/>
      </w:tblGrid>
      <w:tr w:rsidR="00B56D50" w14:paraId="31794FEB" w14:textId="77777777" w:rsidTr="00313687">
        <w:trPr>
          <w:trHeight w:val="288"/>
        </w:trPr>
        <w:tc>
          <w:tcPr>
            <w:tcW w:w="2881" w:type="dxa"/>
            <w:tcBorders>
              <w:top w:val="single" w:sz="12" w:space="0" w:color="000000"/>
              <w:left w:val="single" w:sz="12" w:space="0" w:color="000000"/>
              <w:bottom w:val="single" w:sz="14" w:space="0" w:color="000000"/>
              <w:right w:val="single" w:sz="12" w:space="0" w:color="000000"/>
            </w:tcBorders>
            <w:vAlign w:val="center"/>
          </w:tcPr>
          <w:p w14:paraId="4BD69F75" w14:textId="392CA5EB" w:rsidR="00B56D50" w:rsidRPr="009A3827" w:rsidRDefault="009A3827">
            <w:pPr>
              <w:spacing w:after="0" w:line="259" w:lineRule="auto"/>
              <w:ind w:left="0" w:right="7" w:firstLine="0"/>
              <w:jc w:val="center"/>
              <w:rPr>
                <w:iCs/>
              </w:rPr>
            </w:pPr>
            <w:r w:rsidRPr="009A3827">
              <w:rPr>
                <w:b/>
                <w:iCs/>
                <w:sz w:val="20"/>
              </w:rPr>
              <w:t>Matrix:</w:t>
            </w:r>
          </w:p>
        </w:tc>
        <w:tc>
          <w:tcPr>
            <w:tcW w:w="3240" w:type="dxa"/>
            <w:tcBorders>
              <w:top w:val="single" w:sz="12" w:space="0" w:color="000000"/>
              <w:left w:val="single" w:sz="12" w:space="0" w:color="000000"/>
              <w:bottom w:val="single" w:sz="14" w:space="0" w:color="000000"/>
              <w:right w:val="single" w:sz="12" w:space="0" w:color="000000"/>
            </w:tcBorders>
            <w:vAlign w:val="center"/>
          </w:tcPr>
          <w:p w14:paraId="03B03AA0" w14:textId="77777777" w:rsidR="00B56D50" w:rsidRDefault="001C3C42">
            <w:pPr>
              <w:spacing w:after="0" w:line="259" w:lineRule="auto"/>
              <w:ind w:left="0" w:right="4" w:firstLine="0"/>
              <w:jc w:val="center"/>
            </w:pPr>
            <w:r>
              <w:rPr>
                <w:b/>
                <w:sz w:val="20"/>
              </w:rPr>
              <w:t xml:space="preserve">Water </w:t>
            </w:r>
          </w:p>
        </w:tc>
        <w:tc>
          <w:tcPr>
            <w:tcW w:w="3149" w:type="dxa"/>
            <w:tcBorders>
              <w:top w:val="single" w:sz="12" w:space="0" w:color="000000"/>
              <w:left w:val="single" w:sz="12" w:space="0" w:color="000000"/>
              <w:bottom w:val="single" w:sz="14" w:space="0" w:color="000000"/>
              <w:right w:val="single" w:sz="12" w:space="0" w:color="000000"/>
            </w:tcBorders>
            <w:vAlign w:val="center"/>
          </w:tcPr>
          <w:p w14:paraId="1AC5CDEA" w14:textId="77777777" w:rsidR="00B56D50" w:rsidRDefault="001C3C42">
            <w:pPr>
              <w:spacing w:after="0" w:line="259" w:lineRule="auto"/>
              <w:ind w:left="0" w:right="6" w:firstLine="0"/>
              <w:jc w:val="center"/>
            </w:pPr>
            <w:r>
              <w:rPr>
                <w:b/>
                <w:sz w:val="20"/>
              </w:rPr>
              <w:t>Soil &amp; Other Matrices</w:t>
            </w:r>
            <w:r>
              <w:rPr>
                <w:sz w:val="20"/>
              </w:rPr>
              <w:t xml:space="preserve"> </w:t>
            </w:r>
          </w:p>
        </w:tc>
      </w:tr>
      <w:tr w:rsidR="00B56D50" w14:paraId="381B59DB" w14:textId="77777777" w:rsidTr="00313687">
        <w:trPr>
          <w:trHeight w:val="360"/>
        </w:trPr>
        <w:tc>
          <w:tcPr>
            <w:tcW w:w="2881" w:type="dxa"/>
            <w:tcBorders>
              <w:top w:val="single" w:sz="14" w:space="0" w:color="000000"/>
              <w:left w:val="single" w:sz="12" w:space="0" w:color="000000"/>
              <w:bottom w:val="single" w:sz="12" w:space="0" w:color="000000"/>
              <w:right w:val="single" w:sz="12" w:space="0" w:color="000000"/>
            </w:tcBorders>
            <w:vAlign w:val="center"/>
          </w:tcPr>
          <w:p w14:paraId="15FBAFE8" w14:textId="25D7136B" w:rsidR="00B56D50" w:rsidRDefault="001C3C42" w:rsidP="001B5850">
            <w:pPr>
              <w:spacing w:after="0" w:line="259" w:lineRule="auto"/>
              <w:ind w:left="0" w:right="8" w:firstLine="0"/>
              <w:jc w:val="center"/>
            </w:pPr>
            <w:r>
              <w:rPr>
                <w:b/>
                <w:sz w:val="20"/>
              </w:rPr>
              <w:t>Compound</w:t>
            </w:r>
          </w:p>
        </w:tc>
        <w:tc>
          <w:tcPr>
            <w:tcW w:w="3240" w:type="dxa"/>
            <w:tcBorders>
              <w:top w:val="single" w:sz="14" w:space="0" w:color="000000"/>
              <w:left w:val="single" w:sz="12" w:space="0" w:color="000000"/>
              <w:bottom w:val="single" w:sz="12" w:space="0" w:color="000000"/>
              <w:right w:val="single" w:sz="12" w:space="0" w:color="000000"/>
            </w:tcBorders>
            <w:vAlign w:val="center"/>
          </w:tcPr>
          <w:p w14:paraId="73982055" w14:textId="4710AFEF" w:rsidR="00B56D50" w:rsidRDefault="001C3C42" w:rsidP="001B5850">
            <w:pPr>
              <w:spacing w:after="0" w:line="259" w:lineRule="auto"/>
              <w:ind w:left="809" w:right="764" w:firstLine="0"/>
              <w:jc w:val="center"/>
            </w:pPr>
            <w:r>
              <w:rPr>
                <w:b/>
                <w:sz w:val="20"/>
              </w:rPr>
              <w:t>LCS %Recovery</w:t>
            </w:r>
          </w:p>
        </w:tc>
        <w:tc>
          <w:tcPr>
            <w:tcW w:w="3149" w:type="dxa"/>
            <w:tcBorders>
              <w:top w:val="single" w:sz="14" w:space="0" w:color="000000"/>
              <w:left w:val="single" w:sz="12" w:space="0" w:color="000000"/>
              <w:bottom w:val="single" w:sz="12" w:space="0" w:color="000000"/>
              <w:right w:val="single" w:sz="12" w:space="0" w:color="000000"/>
            </w:tcBorders>
            <w:vAlign w:val="center"/>
          </w:tcPr>
          <w:p w14:paraId="2E1D60E7" w14:textId="663A4946" w:rsidR="00B56D50" w:rsidRDefault="001C3C42" w:rsidP="001B5850">
            <w:pPr>
              <w:spacing w:after="0" w:line="259" w:lineRule="auto"/>
              <w:ind w:left="764" w:right="718" w:firstLine="0"/>
              <w:jc w:val="center"/>
            </w:pPr>
            <w:r>
              <w:rPr>
                <w:b/>
                <w:sz w:val="20"/>
              </w:rPr>
              <w:t>LCS %Recovery</w:t>
            </w:r>
          </w:p>
        </w:tc>
      </w:tr>
      <w:tr w:rsidR="00B56D50" w14:paraId="31CD906A" w14:textId="77777777" w:rsidTr="00552911">
        <w:trPr>
          <w:trHeight w:val="418"/>
        </w:trPr>
        <w:tc>
          <w:tcPr>
            <w:tcW w:w="2881" w:type="dxa"/>
            <w:tcBorders>
              <w:top w:val="single" w:sz="12" w:space="0" w:color="000000"/>
              <w:left w:val="single" w:sz="12" w:space="0" w:color="000000"/>
              <w:bottom w:val="single" w:sz="12" w:space="0" w:color="000000"/>
              <w:right w:val="single" w:sz="12" w:space="0" w:color="000000"/>
            </w:tcBorders>
            <w:vAlign w:val="center"/>
          </w:tcPr>
          <w:p w14:paraId="0C52FB88" w14:textId="77777777" w:rsidR="00B56D50" w:rsidRPr="00AD29ED" w:rsidRDefault="001C3C42">
            <w:pPr>
              <w:spacing w:after="0" w:line="259" w:lineRule="auto"/>
              <w:ind w:left="0" w:right="8" w:firstLine="0"/>
              <w:jc w:val="center"/>
              <w:rPr>
                <w:sz w:val="20"/>
                <w:szCs w:val="20"/>
              </w:rPr>
            </w:pPr>
            <w:r w:rsidRPr="0026563F">
              <w:rPr>
                <w:sz w:val="20"/>
                <w:szCs w:val="20"/>
              </w:rPr>
              <w:t>A</w:t>
            </w:r>
            <w:r w:rsidRPr="00AD29ED">
              <w:rPr>
                <w:sz w:val="20"/>
                <w:szCs w:val="20"/>
              </w:rPr>
              <w:t xml:space="preserve">LL </w:t>
            </w:r>
            <w:r w:rsidRPr="0026563F">
              <w:rPr>
                <w:sz w:val="20"/>
                <w:szCs w:val="20"/>
              </w:rPr>
              <w:t>T</w:t>
            </w:r>
            <w:r w:rsidRPr="00AD29ED">
              <w:rPr>
                <w:sz w:val="20"/>
                <w:szCs w:val="20"/>
              </w:rPr>
              <w:t xml:space="preserve">ARGET </w:t>
            </w:r>
            <w:r w:rsidRPr="0026563F">
              <w:rPr>
                <w:sz w:val="20"/>
                <w:szCs w:val="20"/>
              </w:rPr>
              <w:t>A</w:t>
            </w:r>
            <w:r w:rsidRPr="00AD29ED">
              <w:rPr>
                <w:sz w:val="20"/>
                <w:szCs w:val="20"/>
              </w:rPr>
              <w:t>NALYTES</w:t>
            </w:r>
            <w:r w:rsidRPr="0026563F">
              <w:rPr>
                <w:sz w:val="20"/>
                <w:szCs w:val="20"/>
              </w:rPr>
              <w:t xml:space="preserve"> </w:t>
            </w:r>
          </w:p>
        </w:tc>
        <w:tc>
          <w:tcPr>
            <w:tcW w:w="3240" w:type="dxa"/>
            <w:tcBorders>
              <w:top w:val="single" w:sz="12" w:space="0" w:color="000000"/>
              <w:left w:val="single" w:sz="12" w:space="0" w:color="000000"/>
              <w:bottom w:val="single" w:sz="12" w:space="0" w:color="000000"/>
              <w:right w:val="single" w:sz="12" w:space="0" w:color="000000"/>
            </w:tcBorders>
            <w:vAlign w:val="center"/>
          </w:tcPr>
          <w:p w14:paraId="66884321" w14:textId="77777777" w:rsidR="00B56D50" w:rsidRPr="00AD29ED" w:rsidRDefault="001C3C42">
            <w:pPr>
              <w:spacing w:after="0" w:line="259" w:lineRule="auto"/>
              <w:ind w:left="0" w:right="4" w:firstLine="0"/>
              <w:jc w:val="center"/>
              <w:rPr>
                <w:sz w:val="20"/>
                <w:szCs w:val="20"/>
              </w:rPr>
            </w:pPr>
            <w:r w:rsidRPr="0026563F">
              <w:rPr>
                <w:sz w:val="20"/>
                <w:szCs w:val="20"/>
              </w:rPr>
              <w:t xml:space="preserve">70-130 </w:t>
            </w:r>
          </w:p>
        </w:tc>
        <w:tc>
          <w:tcPr>
            <w:tcW w:w="3149" w:type="dxa"/>
            <w:tcBorders>
              <w:top w:val="single" w:sz="12" w:space="0" w:color="000000"/>
              <w:left w:val="single" w:sz="12" w:space="0" w:color="000000"/>
              <w:bottom w:val="single" w:sz="12" w:space="0" w:color="000000"/>
              <w:right w:val="single" w:sz="12" w:space="0" w:color="000000"/>
            </w:tcBorders>
            <w:vAlign w:val="center"/>
          </w:tcPr>
          <w:p w14:paraId="14844812" w14:textId="77777777" w:rsidR="00B56D50" w:rsidRPr="00AD29ED" w:rsidRDefault="001C3C42">
            <w:pPr>
              <w:spacing w:after="0" w:line="259" w:lineRule="auto"/>
              <w:ind w:left="0" w:right="3" w:firstLine="0"/>
              <w:jc w:val="center"/>
              <w:rPr>
                <w:sz w:val="20"/>
                <w:szCs w:val="20"/>
              </w:rPr>
            </w:pPr>
            <w:r w:rsidRPr="0026563F">
              <w:rPr>
                <w:sz w:val="20"/>
                <w:szCs w:val="20"/>
              </w:rPr>
              <w:t xml:space="preserve">60-140 </w:t>
            </w:r>
          </w:p>
        </w:tc>
      </w:tr>
    </w:tbl>
    <w:p w14:paraId="3629FCFD" w14:textId="362D7CBF" w:rsidR="00B56D50" w:rsidRPr="00AD29ED" w:rsidRDefault="00B56D50" w:rsidP="00C31E1B">
      <w:pPr>
        <w:spacing w:after="20" w:line="259" w:lineRule="auto"/>
        <w:ind w:left="0" w:right="0" w:firstLine="0"/>
      </w:pPr>
    </w:p>
    <w:p w14:paraId="25C245B9" w14:textId="2D1D6E26" w:rsidR="00DE1961" w:rsidRPr="00313687" w:rsidRDefault="00DE1961" w:rsidP="00C31E1B">
      <w:pPr>
        <w:spacing w:after="0" w:line="259" w:lineRule="auto"/>
        <w:ind w:right="0"/>
        <w:rPr>
          <w:rFonts w:eastAsia="Arial"/>
        </w:rPr>
      </w:pPr>
    </w:p>
    <w:p w14:paraId="09A76E19" w14:textId="77377405" w:rsidR="00DE1961" w:rsidRPr="00313687" w:rsidRDefault="00DE1961" w:rsidP="00C31E1B">
      <w:pPr>
        <w:spacing w:after="0" w:line="259" w:lineRule="auto"/>
        <w:ind w:right="0"/>
        <w:rPr>
          <w:rFonts w:eastAsia="Arial"/>
        </w:rPr>
      </w:pPr>
    </w:p>
    <w:p w14:paraId="52848AE5" w14:textId="59DF382E" w:rsidR="00DE1961" w:rsidRDefault="00DE1961" w:rsidP="00DE1961">
      <w:pPr>
        <w:spacing w:after="0" w:line="259" w:lineRule="auto"/>
        <w:ind w:right="0"/>
      </w:pPr>
    </w:p>
    <w:p w14:paraId="59DCB7D8" w14:textId="77777777" w:rsidR="007F6C7C" w:rsidRPr="00313687" w:rsidRDefault="007F6C7C" w:rsidP="00DE1961">
      <w:pPr>
        <w:spacing w:after="0" w:line="259" w:lineRule="auto"/>
        <w:ind w:right="0"/>
      </w:pPr>
    </w:p>
    <w:p w14:paraId="193F52A5" w14:textId="3C6893F5" w:rsidR="00DE1961" w:rsidRPr="00C31E1B" w:rsidRDefault="00DE1961" w:rsidP="00DE3933">
      <w:pPr>
        <w:pStyle w:val="Heading5"/>
        <w:spacing w:after="16" w:line="247" w:lineRule="auto"/>
        <w:ind w:left="1090" w:right="186"/>
      </w:pPr>
      <w:r>
        <w:t>THE REMAINDER OF THIS PAGE HAS BEEN LEFT BLANK INTENTIONALLY</w:t>
      </w:r>
    </w:p>
    <w:p w14:paraId="75C9083F" w14:textId="3C4E5318" w:rsidR="00DE1961" w:rsidRPr="00C31E1B" w:rsidRDefault="00DE1961">
      <w:pPr>
        <w:spacing w:after="0" w:line="259" w:lineRule="auto"/>
        <w:ind w:left="540" w:right="0" w:firstLine="0"/>
        <w:rPr>
          <w:rFonts w:eastAsia="Arial"/>
        </w:rPr>
      </w:pPr>
    </w:p>
    <w:p w14:paraId="23D6A373" w14:textId="7C49438C" w:rsidR="00DE1961" w:rsidRPr="00C31E1B" w:rsidRDefault="00DE1961">
      <w:pPr>
        <w:spacing w:after="0" w:line="259" w:lineRule="auto"/>
        <w:ind w:left="540" w:right="0" w:firstLine="0"/>
        <w:rPr>
          <w:rFonts w:eastAsia="Arial"/>
        </w:rPr>
      </w:pPr>
    </w:p>
    <w:p w14:paraId="21B14AB9" w14:textId="298C4E3C" w:rsidR="00DE1961" w:rsidRPr="00C31E1B" w:rsidRDefault="00DE1961">
      <w:pPr>
        <w:spacing w:after="0" w:line="259" w:lineRule="auto"/>
        <w:ind w:left="540" w:right="0" w:firstLine="0"/>
        <w:rPr>
          <w:rFonts w:eastAsia="Arial"/>
        </w:rPr>
      </w:pPr>
    </w:p>
    <w:p w14:paraId="06A22207" w14:textId="265D408B" w:rsidR="00DE1961" w:rsidRPr="00C31E1B" w:rsidRDefault="00DE1961">
      <w:pPr>
        <w:spacing w:after="0" w:line="259" w:lineRule="auto"/>
        <w:ind w:left="540" w:right="0" w:firstLine="0"/>
        <w:rPr>
          <w:rFonts w:eastAsia="Arial"/>
        </w:rPr>
      </w:pPr>
    </w:p>
    <w:p w14:paraId="6281D8AE" w14:textId="2A62704A" w:rsidR="00DE1961" w:rsidRDefault="00DE1961">
      <w:pPr>
        <w:spacing w:after="0" w:line="259" w:lineRule="auto"/>
        <w:ind w:left="540" w:right="0" w:firstLine="0"/>
        <w:rPr>
          <w:rFonts w:eastAsia="Arial"/>
        </w:rPr>
      </w:pPr>
    </w:p>
    <w:p w14:paraId="12F54FE8" w14:textId="1EA0B259" w:rsidR="007F6C7C" w:rsidRDefault="007F6C7C">
      <w:pPr>
        <w:spacing w:after="0" w:line="259" w:lineRule="auto"/>
        <w:ind w:left="540" w:right="0" w:firstLine="0"/>
        <w:rPr>
          <w:rFonts w:eastAsia="Arial"/>
        </w:rPr>
      </w:pPr>
    </w:p>
    <w:p w14:paraId="15E6D035" w14:textId="52CE4CDB" w:rsidR="007F6C7C" w:rsidRDefault="007F6C7C">
      <w:pPr>
        <w:spacing w:after="0" w:line="259" w:lineRule="auto"/>
        <w:ind w:left="540" w:right="0" w:firstLine="0"/>
        <w:rPr>
          <w:rFonts w:eastAsia="Arial"/>
        </w:rPr>
      </w:pPr>
    </w:p>
    <w:p w14:paraId="4F6751F6" w14:textId="49C0337E" w:rsidR="007F6C7C" w:rsidRDefault="007F6C7C">
      <w:pPr>
        <w:spacing w:after="0" w:line="259" w:lineRule="auto"/>
        <w:ind w:left="540" w:right="0" w:firstLine="0"/>
        <w:rPr>
          <w:rFonts w:eastAsia="Arial"/>
        </w:rPr>
      </w:pPr>
    </w:p>
    <w:p w14:paraId="6D843C8A" w14:textId="05137D30" w:rsidR="007F6C7C" w:rsidRDefault="007F6C7C">
      <w:pPr>
        <w:spacing w:after="0" w:line="259" w:lineRule="auto"/>
        <w:ind w:left="540" w:right="0" w:firstLine="0"/>
        <w:rPr>
          <w:rFonts w:eastAsia="Arial"/>
        </w:rPr>
      </w:pPr>
    </w:p>
    <w:p w14:paraId="57B64213" w14:textId="0611B01E" w:rsidR="007F6C7C" w:rsidRDefault="007F6C7C">
      <w:pPr>
        <w:spacing w:after="0" w:line="259" w:lineRule="auto"/>
        <w:ind w:left="540" w:right="0" w:firstLine="0"/>
        <w:rPr>
          <w:rFonts w:eastAsia="Arial"/>
        </w:rPr>
      </w:pPr>
    </w:p>
    <w:p w14:paraId="6F9E20DF" w14:textId="20601123" w:rsidR="007F6C7C" w:rsidRDefault="007F6C7C">
      <w:pPr>
        <w:spacing w:after="0" w:line="259" w:lineRule="auto"/>
        <w:ind w:left="540" w:right="0" w:firstLine="0"/>
        <w:rPr>
          <w:rFonts w:eastAsia="Arial"/>
        </w:rPr>
      </w:pPr>
    </w:p>
    <w:p w14:paraId="207E2496" w14:textId="224E632A" w:rsidR="007F6C7C" w:rsidRDefault="007F6C7C">
      <w:pPr>
        <w:spacing w:after="0" w:line="259" w:lineRule="auto"/>
        <w:ind w:left="540" w:right="0" w:firstLine="0"/>
        <w:rPr>
          <w:rFonts w:eastAsia="Arial"/>
        </w:rPr>
      </w:pPr>
    </w:p>
    <w:p w14:paraId="343EFF7A" w14:textId="6FDBAE27" w:rsidR="007F6C7C" w:rsidRDefault="007F6C7C">
      <w:pPr>
        <w:spacing w:after="0" w:line="259" w:lineRule="auto"/>
        <w:ind w:left="540" w:right="0" w:firstLine="0"/>
        <w:rPr>
          <w:rFonts w:eastAsia="Arial"/>
        </w:rPr>
      </w:pPr>
    </w:p>
    <w:p w14:paraId="59B50F45" w14:textId="1217A2B6" w:rsidR="007F6C7C" w:rsidRDefault="007F6C7C">
      <w:pPr>
        <w:spacing w:after="0" w:line="259" w:lineRule="auto"/>
        <w:ind w:left="540" w:right="0" w:firstLine="0"/>
        <w:rPr>
          <w:rFonts w:eastAsia="Arial"/>
        </w:rPr>
      </w:pPr>
    </w:p>
    <w:p w14:paraId="2FC9CF06" w14:textId="6C17E7C7" w:rsidR="007F6C7C" w:rsidRDefault="007F6C7C">
      <w:pPr>
        <w:spacing w:after="0" w:line="259" w:lineRule="auto"/>
        <w:ind w:left="540" w:right="0" w:firstLine="0"/>
        <w:rPr>
          <w:rFonts w:eastAsia="Arial"/>
        </w:rPr>
      </w:pPr>
    </w:p>
    <w:p w14:paraId="6C23ABE2" w14:textId="2F860134" w:rsidR="007F6C7C" w:rsidRDefault="007F6C7C">
      <w:pPr>
        <w:spacing w:after="0" w:line="259" w:lineRule="auto"/>
        <w:ind w:left="540" w:right="0" w:firstLine="0"/>
        <w:rPr>
          <w:rFonts w:eastAsia="Arial"/>
        </w:rPr>
      </w:pPr>
    </w:p>
    <w:p w14:paraId="42E8E45C" w14:textId="7B8D674C" w:rsidR="007F6C7C" w:rsidRDefault="007F6C7C">
      <w:pPr>
        <w:spacing w:after="0" w:line="259" w:lineRule="auto"/>
        <w:ind w:left="540" w:right="0" w:firstLine="0"/>
        <w:rPr>
          <w:rFonts w:eastAsia="Arial"/>
        </w:rPr>
      </w:pPr>
    </w:p>
    <w:p w14:paraId="7AC0D28E" w14:textId="525A8CD8" w:rsidR="007F6C7C" w:rsidRDefault="007F6C7C">
      <w:pPr>
        <w:spacing w:after="0" w:line="259" w:lineRule="auto"/>
        <w:ind w:left="540" w:right="0" w:firstLine="0"/>
        <w:rPr>
          <w:rFonts w:eastAsia="Arial"/>
        </w:rPr>
      </w:pPr>
    </w:p>
    <w:p w14:paraId="76DA0CA9" w14:textId="2624B990" w:rsidR="007F6C7C" w:rsidRDefault="007F6C7C">
      <w:pPr>
        <w:spacing w:after="0" w:line="259" w:lineRule="auto"/>
        <w:ind w:left="540" w:right="0" w:firstLine="0"/>
        <w:rPr>
          <w:rFonts w:eastAsia="Arial"/>
        </w:rPr>
      </w:pPr>
    </w:p>
    <w:p w14:paraId="69EFA10D" w14:textId="41EBF477" w:rsidR="007F6C7C" w:rsidRDefault="007F6C7C">
      <w:pPr>
        <w:spacing w:after="0" w:line="259" w:lineRule="auto"/>
        <w:ind w:left="540" w:right="0" w:firstLine="0"/>
        <w:rPr>
          <w:rFonts w:eastAsia="Arial"/>
        </w:rPr>
      </w:pPr>
    </w:p>
    <w:p w14:paraId="140E5253" w14:textId="0478EC82" w:rsidR="007F6C7C" w:rsidRDefault="007F6C7C">
      <w:pPr>
        <w:spacing w:after="0" w:line="259" w:lineRule="auto"/>
        <w:ind w:left="540" w:right="0" w:firstLine="0"/>
        <w:rPr>
          <w:rFonts w:eastAsia="Arial"/>
        </w:rPr>
      </w:pPr>
    </w:p>
    <w:p w14:paraId="2E15ED1A" w14:textId="1A35C8ED" w:rsidR="007F6C7C" w:rsidRDefault="007F6C7C">
      <w:pPr>
        <w:spacing w:after="0" w:line="259" w:lineRule="auto"/>
        <w:ind w:left="540" w:right="0" w:firstLine="0"/>
        <w:rPr>
          <w:rFonts w:eastAsia="Arial"/>
        </w:rPr>
      </w:pPr>
    </w:p>
    <w:p w14:paraId="1C69F4B5" w14:textId="27DD779B" w:rsidR="007F6C7C" w:rsidRDefault="007F6C7C">
      <w:pPr>
        <w:spacing w:after="0" w:line="259" w:lineRule="auto"/>
        <w:ind w:left="540" w:right="0" w:firstLine="0"/>
        <w:rPr>
          <w:rFonts w:eastAsia="Arial"/>
        </w:rPr>
      </w:pPr>
    </w:p>
    <w:p w14:paraId="76424375" w14:textId="6722CAA6" w:rsidR="007F6C7C" w:rsidRDefault="007F6C7C">
      <w:pPr>
        <w:spacing w:after="0" w:line="259" w:lineRule="auto"/>
        <w:ind w:left="540" w:right="0" w:firstLine="0"/>
        <w:rPr>
          <w:rFonts w:eastAsia="Arial"/>
        </w:rPr>
      </w:pPr>
    </w:p>
    <w:p w14:paraId="3CC538EB" w14:textId="75255773" w:rsidR="007F6C7C" w:rsidRDefault="007F6C7C">
      <w:pPr>
        <w:spacing w:after="0" w:line="259" w:lineRule="auto"/>
        <w:ind w:left="540" w:right="0" w:firstLine="0"/>
        <w:rPr>
          <w:rFonts w:eastAsia="Arial"/>
        </w:rPr>
      </w:pPr>
    </w:p>
    <w:p w14:paraId="3498CCF1" w14:textId="64FAFE42" w:rsidR="007F6C7C" w:rsidRDefault="007F6C7C">
      <w:pPr>
        <w:spacing w:after="0" w:line="259" w:lineRule="auto"/>
        <w:ind w:left="540" w:right="0" w:firstLine="0"/>
        <w:rPr>
          <w:rFonts w:eastAsia="Arial"/>
        </w:rPr>
      </w:pPr>
    </w:p>
    <w:p w14:paraId="0BF91979" w14:textId="6E52F538" w:rsidR="007F6C7C" w:rsidRDefault="007F6C7C">
      <w:pPr>
        <w:spacing w:after="0" w:line="259" w:lineRule="auto"/>
        <w:ind w:left="540" w:right="0" w:firstLine="0"/>
        <w:rPr>
          <w:rFonts w:eastAsia="Arial"/>
        </w:rPr>
      </w:pPr>
    </w:p>
    <w:p w14:paraId="7F96635F" w14:textId="476F216E" w:rsidR="007F6C7C" w:rsidRDefault="007F6C7C">
      <w:pPr>
        <w:spacing w:after="0" w:line="259" w:lineRule="auto"/>
        <w:ind w:left="540" w:right="0" w:firstLine="0"/>
        <w:rPr>
          <w:rFonts w:eastAsia="Arial"/>
        </w:rPr>
      </w:pPr>
    </w:p>
    <w:p w14:paraId="0D6264C9" w14:textId="12C1351C" w:rsidR="007F6C7C" w:rsidRDefault="007F6C7C">
      <w:pPr>
        <w:spacing w:after="0" w:line="259" w:lineRule="auto"/>
        <w:ind w:left="540" w:right="0" w:firstLine="0"/>
        <w:rPr>
          <w:rFonts w:eastAsia="Arial"/>
        </w:rPr>
      </w:pPr>
    </w:p>
    <w:p w14:paraId="4BD44B9F" w14:textId="77777777" w:rsidR="007F6C7C" w:rsidRPr="00C31E1B" w:rsidRDefault="007F6C7C">
      <w:pPr>
        <w:spacing w:after="0" w:line="259" w:lineRule="auto"/>
        <w:ind w:left="540" w:right="0" w:firstLine="0"/>
        <w:rPr>
          <w:rFonts w:eastAsia="Arial"/>
        </w:rPr>
      </w:pPr>
    </w:p>
    <w:p w14:paraId="1D7AA200" w14:textId="04A588AF" w:rsidR="00DE1961" w:rsidRPr="00C31E1B" w:rsidRDefault="00DE1961">
      <w:pPr>
        <w:spacing w:after="0" w:line="259" w:lineRule="auto"/>
        <w:ind w:left="540" w:right="0" w:firstLine="0"/>
        <w:rPr>
          <w:rFonts w:eastAsia="Arial"/>
        </w:rPr>
      </w:pPr>
    </w:p>
    <w:p w14:paraId="446A4202" w14:textId="3B730DAF" w:rsidR="00DE1961" w:rsidRPr="00C31E1B" w:rsidRDefault="00DE1961">
      <w:pPr>
        <w:spacing w:after="0" w:line="259" w:lineRule="auto"/>
        <w:ind w:left="540" w:right="0" w:firstLine="0"/>
        <w:rPr>
          <w:rFonts w:eastAsia="Arial"/>
        </w:rPr>
      </w:pPr>
    </w:p>
    <w:p w14:paraId="73E3C7C5" w14:textId="4AD03B94" w:rsidR="00B56D50" w:rsidRPr="004458E5" w:rsidRDefault="001C3C42" w:rsidP="009F3409">
      <w:pPr>
        <w:pStyle w:val="Heading4"/>
        <w:spacing w:after="10" w:line="249" w:lineRule="auto"/>
        <w:ind w:left="730"/>
        <w:rPr>
          <w:rFonts w:ascii="Cambria" w:eastAsia="Cambria" w:hAnsi="Cambria" w:cs="Cambria"/>
          <w:b w:val="0"/>
          <w:color w:val="365F91"/>
          <w:sz w:val="24"/>
          <w:szCs w:val="24"/>
        </w:rPr>
      </w:pPr>
      <w:r w:rsidRPr="004458E5">
        <w:rPr>
          <w:sz w:val="24"/>
          <w:szCs w:val="24"/>
        </w:rPr>
        <w:lastRenderedPageBreak/>
        <w:t>D.</w:t>
      </w:r>
      <w:r w:rsidRPr="004458E5">
        <w:rPr>
          <w:rFonts w:ascii="Cambria" w:eastAsia="Cambria" w:hAnsi="Cambria" w:cs="Cambria"/>
          <w:b w:val="0"/>
          <w:color w:val="365F91"/>
          <w:sz w:val="24"/>
          <w:szCs w:val="24"/>
        </w:rPr>
        <w:t xml:space="preserve"> </w:t>
      </w:r>
      <w:r w:rsidRPr="004458E5">
        <w:rPr>
          <w:sz w:val="24"/>
          <w:szCs w:val="24"/>
        </w:rPr>
        <w:t>SEMI</w:t>
      </w:r>
      <w:r w:rsidR="00AE6119" w:rsidRPr="004458E5">
        <w:rPr>
          <w:sz w:val="24"/>
          <w:szCs w:val="24"/>
        </w:rPr>
        <w:t>-</w:t>
      </w:r>
      <w:r w:rsidRPr="004458E5">
        <w:rPr>
          <w:sz w:val="24"/>
          <w:szCs w:val="24"/>
        </w:rPr>
        <w:t>VOLATILE ORGANIC ANALYSIS by Gas Chromatography/Mass Spectrometry</w:t>
      </w:r>
      <w:r w:rsidRPr="004458E5">
        <w:rPr>
          <w:rFonts w:ascii="Cambria" w:eastAsia="Cambria" w:hAnsi="Cambria" w:cs="Cambria"/>
          <w:b w:val="0"/>
          <w:color w:val="365F91"/>
          <w:sz w:val="24"/>
          <w:szCs w:val="24"/>
        </w:rPr>
        <w:t xml:space="preserve"> </w:t>
      </w:r>
    </w:p>
    <w:p w14:paraId="6F8D5E4A" w14:textId="77777777" w:rsidR="00C53256" w:rsidRDefault="00C53256" w:rsidP="00C53256">
      <w:pPr>
        <w:rPr>
          <w:rFonts w:eastAsia="Cambria"/>
        </w:rPr>
      </w:pPr>
    </w:p>
    <w:p w14:paraId="3E1618E4" w14:textId="39EFD0BA" w:rsidR="00B56D50" w:rsidRDefault="001C3C42" w:rsidP="009F3409">
      <w:pPr>
        <w:ind w:left="730" w:right="255"/>
      </w:pPr>
      <w:r>
        <w:t>The Contractor shall extract the samples prior to analysis.  Based on sample matrix characteristics, follow requirements in appropriate preparation techniques (including sample cleanup if applicable).  Preservative techniques specified in TABLE 1</w:t>
      </w:r>
      <w:r>
        <w:rPr>
          <w:i/>
        </w:rPr>
        <w:t xml:space="preserve">, </w:t>
      </w:r>
      <w:r>
        <w:t>Sample Containers, Preservatives, and Holding Times Requirements</w:t>
      </w:r>
      <w:r>
        <w:rPr>
          <w:i/>
        </w:rPr>
        <w:t>,</w:t>
      </w:r>
      <w:r>
        <w:t xml:space="preserve"> must be adhered to </w:t>
      </w:r>
      <w:proofErr w:type="spellStart"/>
      <w:r>
        <w:t>based</w:t>
      </w:r>
      <w:proofErr w:type="spellEnd"/>
      <w:r>
        <w:t xml:space="preserve"> on sample characteristics.  Holding time requirements for both samples and extracts must be met. </w:t>
      </w:r>
    </w:p>
    <w:p w14:paraId="70C5C38F" w14:textId="77777777" w:rsidR="00B56D50" w:rsidRDefault="001C3C42">
      <w:pPr>
        <w:spacing w:after="0" w:line="259" w:lineRule="auto"/>
        <w:ind w:left="540" w:right="0" w:firstLine="0"/>
      </w:pPr>
      <w:r>
        <w:t xml:space="preserve"> </w:t>
      </w:r>
    </w:p>
    <w:p w14:paraId="6DEC31E4" w14:textId="0281FC07" w:rsidR="00B56D50" w:rsidRPr="00CA63C9" w:rsidRDefault="001C3C42" w:rsidP="00093377">
      <w:pPr>
        <w:numPr>
          <w:ilvl w:val="0"/>
          <w:numId w:val="85"/>
        </w:numPr>
        <w:spacing w:after="16"/>
        <w:ind w:left="1440" w:right="186" w:hanging="360"/>
        <w:rPr>
          <w:b/>
          <w:bCs/>
        </w:rPr>
      </w:pPr>
      <w:r w:rsidRPr="00CA63C9">
        <w:rPr>
          <w:b/>
          <w:bCs/>
        </w:rPr>
        <w:t xml:space="preserve">Instrument Tuning </w:t>
      </w:r>
    </w:p>
    <w:p w14:paraId="1942FC3B" w14:textId="59FA78F4" w:rsidR="00B56D50" w:rsidRDefault="001C3C42" w:rsidP="00526E7E">
      <w:pPr>
        <w:ind w:left="1450" w:right="255"/>
      </w:pPr>
      <w:r>
        <w:t xml:space="preserve">The Contractor shall hardware-tune each GC/MS system for accurate mass assignment, sensitivity, and resolution using the compound specified in the analytical method.  The tuning criteria specified </w:t>
      </w:r>
      <w:r w:rsidR="00E910F9">
        <w:t>in the</w:t>
      </w:r>
      <w:r>
        <w:t xml:space="preserve"> method must be met prior to the initial calibration procedure.  Tuning must be repeated </w:t>
      </w:r>
      <w:r w:rsidR="00E910F9">
        <w:t>every 12</w:t>
      </w:r>
      <w:r>
        <w:t xml:space="preserve"> hours while analysis continues.  Analyses must not begin until the criteria specified in the method are met.  All subsequent standards, samples, MS/MSDs, LCSs, and blanks associated with a </w:t>
      </w:r>
      <w:proofErr w:type="spellStart"/>
      <w:r>
        <w:t>decafluorotriphenylphosphine</w:t>
      </w:r>
      <w:proofErr w:type="spellEnd"/>
      <w:r>
        <w:t xml:space="preserve"> (DFTPP) analysis must use identical mass spectrometer instrument conditions. </w:t>
      </w:r>
    </w:p>
    <w:p w14:paraId="1BD24901" w14:textId="4ACA1227" w:rsidR="00B56D50" w:rsidRDefault="00B56D50" w:rsidP="009F3212">
      <w:pPr>
        <w:spacing w:after="0" w:line="259" w:lineRule="auto"/>
        <w:ind w:left="1080" w:right="0" w:firstLine="0"/>
      </w:pPr>
    </w:p>
    <w:p w14:paraId="6D47722B" w14:textId="50108E8E" w:rsidR="00B56D50" w:rsidRPr="009F3212" w:rsidRDefault="001C3C42" w:rsidP="00093377">
      <w:pPr>
        <w:numPr>
          <w:ilvl w:val="0"/>
          <w:numId w:val="85"/>
        </w:numPr>
        <w:spacing w:after="16"/>
        <w:ind w:left="1440" w:right="186" w:hanging="360"/>
        <w:rPr>
          <w:b/>
          <w:bCs/>
        </w:rPr>
      </w:pPr>
      <w:r w:rsidRPr="009F3212">
        <w:rPr>
          <w:b/>
          <w:bCs/>
        </w:rPr>
        <w:t xml:space="preserve">Initial Calibration </w:t>
      </w:r>
    </w:p>
    <w:p w14:paraId="3B2F4D0D" w14:textId="3C35CE80" w:rsidR="001D217D" w:rsidRDefault="001C3C42" w:rsidP="00526E7E">
      <w:pPr>
        <w:ind w:left="1440"/>
      </w:pPr>
      <w:r w:rsidRPr="006403CE">
        <w:t xml:space="preserve">The Contractor shall perform and document the initial calibration for each instrument used to analyze samples.  Initial calibration of </w:t>
      </w:r>
      <w:r w:rsidR="00FC3F1B">
        <w:t>semi-</w:t>
      </w:r>
      <w:r w:rsidRPr="006403CE">
        <w:t>volatile organic target compounds must be performed using a minimum of 5 concentrations.  The concentration range of the calibration standards must bracket the concentrations of target compounds expected to be seen in the field samples and must be wide enough to meet the project DQOs.  At least one standard must be at a concentration as low or lower than regulatory or health protective levels to which sample concentrations will be compared.</w:t>
      </w:r>
      <w:r w:rsidR="00BD7091">
        <w:t xml:space="preserve">  </w:t>
      </w:r>
    </w:p>
    <w:p w14:paraId="090CFAE8" w14:textId="5CC1C179" w:rsidR="00B56D50" w:rsidRPr="006403CE" w:rsidRDefault="001C3C42" w:rsidP="00526E7E">
      <w:pPr>
        <w:ind w:left="1440"/>
      </w:pPr>
      <w:r w:rsidRPr="006403CE">
        <w:t>The remaining standard</w:t>
      </w:r>
      <w:r w:rsidR="001D217D">
        <w:rPr>
          <w:rFonts w:eastAsia="Arial"/>
        </w:rPr>
        <w:t xml:space="preserve"> </w:t>
      </w:r>
      <w:r w:rsidR="00CE235B" w:rsidRPr="006403CE">
        <w:t>corresponds</w:t>
      </w:r>
      <w:r w:rsidRPr="006403CE">
        <w:t xml:space="preserve"> to the range of concentrations found in typical samples but must not exceed the working range of the GC/MS system.  Project DQOs requiring detection limits below the normal range of electron impact mass spectrometry (e.g. risk assessment) may require specialized calibration and analytical procedures.  For example, the use of selective ion monitoring (SIM) is acceptable.</w:t>
      </w:r>
      <w:r w:rsidR="008D410F">
        <w:t xml:space="preserve"> </w:t>
      </w:r>
      <w:r w:rsidRPr="006403CE">
        <w:t xml:space="preserve"> However, SIM may provide </w:t>
      </w:r>
      <w:proofErr w:type="gramStart"/>
      <w:r w:rsidRPr="006403CE">
        <w:t>a lesser degree of</w:t>
      </w:r>
      <w:proofErr w:type="gramEnd"/>
      <w:r w:rsidRPr="006403CE">
        <w:t xml:space="preserve"> confidence in the compound identification unless multiple ions are monitored for each compound. </w:t>
      </w:r>
    </w:p>
    <w:p w14:paraId="52024F3A" w14:textId="77777777" w:rsidR="00B56D50" w:rsidRPr="006403CE" w:rsidRDefault="001C3C42" w:rsidP="00526E7E">
      <w:pPr>
        <w:ind w:left="1440" w:firstLine="0"/>
      </w:pPr>
      <w:r w:rsidRPr="006403CE">
        <w:t xml:space="preserve"> </w:t>
      </w:r>
    </w:p>
    <w:p w14:paraId="3DA63FB5" w14:textId="77777777" w:rsidR="00B56D50" w:rsidRDefault="001C3C42" w:rsidP="00526E7E">
      <w:pPr>
        <w:ind w:left="1440" w:right="255"/>
      </w:pPr>
      <w:r>
        <w:t xml:space="preserve">If an analyte saturates at the highest standard concentration level, and the GC/MS system is calibrated to achieve a detection sensitivity consistent with the project DQOs, the Contractor shall document it in the report narrative.  In this instance, the Contractor shall calculate the results based on a four-point initial calibration </w:t>
      </w:r>
      <w:r>
        <w:rPr>
          <w:i/>
        </w:rPr>
        <w:t>for the specific analyte</w:t>
      </w:r>
      <w:r>
        <w:t xml:space="preserve"> that saturates.   </w:t>
      </w:r>
    </w:p>
    <w:p w14:paraId="2DE6E237" w14:textId="77777777" w:rsidR="00B56D50" w:rsidRDefault="001C3C42" w:rsidP="00526E7E">
      <w:pPr>
        <w:spacing w:after="0" w:line="259" w:lineRule="auto"/>
        <w:ind w:left="1440" w:right="0" w:firstLine="0"/>
      </w:pPr>
      <w:r>
        <w:t xml:space="preserve"> </w:t>
      </w:r>
    </w:p>
    <w:p w14:paraId="3284DB2D" w14:textId="77777777" w:rsidR="0094466B" w:rsidRDefault="001C3C42" w:rsidP="00526E7E">
      <w:pPr>
        <w:ind w:left="1440" w:firstLine="0"/>
      </w:pPr>
      <w:r>
        <w:t xml:space="preserve">The target analytes are quantitated through the calculation of a response factor (RF).  A RF is a measure of the relative instrument response of a target analyte as compared to the instrument response of its internal standard.  It is calculated as the ratio of the peak area of the target compound in the sample to the peak area of the internal standard in the </w:t>
      </w:r>
      <w:r w:rsidRPr="0094466B">
        <w:t>sampl</w:t>
      </w:r>
      <w:r w:rsidR="0094466B">
        <w:t>e.</w:t>
      </w:r>
    </w:p>
    <w:p w14:paraId="7661E520" w14:textId="3FF83495" w:rsidR="0094466B" w:rsidRDefault="0094466B" w:rsidP="00526E7E">
      <w:pPr>
        <w:ind w:left="1440" w:firstLine="0"/>
      </w:pPr>
    </w:p>
    <w:p w14:paraId="671C1DC6" w14:textId="4C78EE42" w:rsidR="00B56D50" w:rsidRDefault="0094466B" w:rsidP="00526E7E">
      <w:pPr>
        <w:ind w:left="1440" w:firstLine="0"/>
      </w:pPr>
      <w:r>
        <w:t>The</w:t>
      </w:r>
      <w:r w:rsidR="001C3C42" w:rsidRPr="0094466B">
        <w:t xml:space="preserve"> internal</w:t>
      </w:r>
      <w:r w:rsidR="001C3C42">
        <w:t xml:space="preserve"> standard selected for quantitation (i.e., calculation of the response factor) of a particular target analyte must be the internal standard that has a retention time closest to the analyte being measured.  The target analytes must be quantitated using the base peak ion (most intense ion, also referred to as primary ion) from the appropriate internal standard.  If there are sample interferences with the primary ion, the next most intense ion must be used as the quantitation ion.  If this occurs, </w:t>
      </w:r>
      <w:r w:rsidR="001C3C42">
        <w:rPr>
          <w:u w:val="single" w:color="000000"/>
        </w:rPr>
        <w:t>document the reasons in the case narrative</w:t>
      </w:r>
      <w:r w:rsidR="001C3C42">
        <w:t xml:space="preserve">. </w:t>
      </w:r>
    </w:p>
    <w:p w14:paraId="3CAF320F" w14:textId="477F6954" w:rsidR="00B56D50" w:rsidRDefault="00B56D50" w:rsidP="00526E7E">
      <w:pPr>
        <w:spacing w:after="0" w:line="259" w:lineRule="auto"/>
        <w:ind w:left="1440" w:right="0" w:firstLine="0"/>
      </w:pPr>
    </w:p>
    <w:p w14:paraId="28205054" w14:textId="2AFE406F" w:rsidR="00B56D50" w:rsidRDefault="001C3C42" w:rsidP="00526E7E">
      <w:pPr>
        <w:ind w:left="1440" w:right="255"/>
      </w:pPr>
      <w:r>
        <w:t xml:space="preserve">Initial calibration of a GC/MS system is performed upon installation of an instrument, prior to beginning analysis of a sample case for an environmental project, whenever corrective action is taken on the system which may change or affect the initial calibration criteria (ion source cleaning </w:t>
      </w:r>
      <w:r>
        <w:lastRenderedPageBreak/>
        <w:t>or repair, column replacement, etc.), or if the continuing calibration (calibration verification) acceptance criteria have not been met.</w:t>
      </w:r>
    </w:p>
    <w:p w14:paraId="7AB6690C" w14:textId="743CDB54" w:rsidR="00B56D50" w:rsidRDefault="00B56D50" w:rsidP="00526E7E">
      <w:pPr>
        <w:spacing w:after="0" w:line="259" w:lineRule="auto"/>
        <w:ind w:left="1440" w:right="0" w:firstLine="0"/>
      </w:pPr>
    </w:p>
    <w:p w14:paraId="42E8FCF3" w14:textId="2C307577" w:rsidR="00B56D50" w:rsidRPr="00974C25" w:rsidRDefault="001C3C42" w:rsidP="00093377">
      <w:pPr>
        <w:pStyle w:val="ListParagraph"/>
        <w:numPr>
          <w:ilvl w:val="0"/>
          <w:numId w:val="84"/>
        </w:numPr>
        <w:ind w:right="255"/>
        <w:rPr>
          <w:b/>
          <w:bCs/>
        </w:rPr>
      </w:pPr>
      <w:r w:rsidRPr="00974C25">
        <w:rPr>
          <w:b/>
          <w:bCs/>
        </w:rPr>
        <w:t xml:space="preserve">Validation of Initial Calibration </w:t>
      </w:r>
    </w:p>
    <w:p w14:paraId="7F3CDF66" w14:textId="77777777" w:rsidR="00B56D50" w:rsidRDefault="001C3C42">
      <w:pPr>
        <w:ind w:left="1810" w:right="255"/>
      </w:pPr>
      <w:r>
        <w:t xml:space="preserve">A system performance check must be made and documented for the initial calibration to be considered valid.  The following criteria must be met: </w:t>
      </w:r>
    </w:p>
    <w:p w14:paraId="5D534630" w14:textId="77777777" w:rsidR="00B56D50" w:rsidRDefault="001C3C42">
      <w:pPr>
        <w:spacing w:after="0" w:line="259" w:lineRule="auto"/>
        <w:ind w:left="449" w:right="0" w:firstLine="0"/>
      </w:pPr>
      <w:r>
        <w:t xml:space="preserve"> </w:t>
      </w:r>
    </w:p>
    <w:p w14:paraId="5EB87C46" w14:textId="163B1E31" w:rsidR="00B56D50" w:rsidRDefault="001C3C42" w:rsidP="00093377">
      <w:pPr>
        <w:numPr>
          <w:ilvl w:val="0"/>
          <w:numId w:val="30"/>
        </w:numPr>
        <w:ind w:left="2160" w:right="255" w:hanging="360"/>
      </w:pPr>
      <w:r>
        <w:t xml:space="preserve">The mean response factors (RFs) for the volatile System Performance Check Compounds (SPCCs) must be no lower than the minima indicated in TABLE </w:t>
      </w:r>
      <w:r w:rsidR="007E440B">
        <w:t>18</w:t>
      </w:r>
      <w:r>
        <w:t xml:space="preserve">.  Specific compounds that are especially susceptible to certain analytical problems were selected to be the SPCCs.  They are used to check compound instability and to check for degradation caused by contaminated lines or active sites in the system. </w:t>
      </w:r>
    </w:p>
    <w:p w14:paraId="6684654A" w14:textId="77777777" w:rsidR="00B56D50" w:rsidRDefault="001C3C42">
      <w:pPr>
        <w:spacing w:after="0" w:line="259" w:lineRule="auto"/>
        <w:ind w:left="1028" w:right="0" w:firstLine="0"/>
      </w:pPr>
      <w:r>
        <w:t xml:space="preserve"> </w:t>
      </w:r>
    </w:p>
    <w:p w14:paraId="002EBC40" w14:textId="177CE7C6" w:rsidR="00B56D50" w:rsidRDefault="001C3C42" w:rsidP="00093377">
      <w:pPr>
        <w:numPr>
          <w:ilvl w:val="0"/>
          <w:numId w:val="30"/>
        </w:numPr>
        <w:ind w:left="2160" w:right="255" w:hanging="360"/>
      </w:pPr>
      <w:r>
        <w:t xml:space="preserve">The relative standard deviation (RSD) of the response factors for each individual volatile Calibration Check Compound (CCC) must be less than or equal to 30%.  The purpose of the CCCs is to evaluate the calibration from the standpoint of the integrity of the system.  High variability for these compounds may indicate system leaks or reactive sites in the column.  The CCCs are listed in TABLE </w:t>
      </w:r>
      <w:r w:rsidR="007E440B">
        <w:t>18</w:t>
      </w:r>
      <w:r>
        <w:t xml:space="preserve">. </w:t>
      </w:r>
    </w:p>
    <w:p w14:paraId="3BD0B673" w14:textId="41FF5815" w:rsidR="00C21E77" w:rsidRDefault="001C3C42">
      <w:pPr>
        <w:spacing w:after="0" w:line="259" w:lineRule="auto"/>
        <w:ind w:left="540" w:right="0" w:firstLine="0"/>
      </w:pPr>
      <w:r>
        <w:t xml:space="preserve"> </w:t>
      </w:r>
    </w:p>
    <w:p w14:paraId="4C70E261" w14:textId="75812DD7" w:rsidR="00B56D50" w:rsidRDefault="001C3C42" w:rsidP="00093377">
      <w:pPr>
        <w:numPr>
          <w:ilvl w:val="0"/>
          <w:numId w:val="30"/>
        </w:numPr>
        <w:ind w:left="2160" w:right="0" w:hanging="360"/>
      </w:pPr>
      <w:r>
        <w:t>The RSD of the response factors for all other target analytes must be less than or equal to 15%</w:t>
      </w:r>
      <w:r w:rsidR="007C0647" w:rsidRPr="007C0647">
        <w:t xml:space="preserve"> </w:t>
      </w:r>
      <w:r w:rsidR="007C0647">
        <w:t>unless analytical method allows a higher RSD</w:t>
      </w:r>
      <w:r>
        <w:t xml:space="preserve">. </w:t>
      </w:r>
    </w:p>
    <w:p w14:paraId="21A97D87" w14:textId="77777777" w:rsidR="00B56D50" w:rsidRDefault="001C3C42">
      <w:pPr>
        <w:spacing w:after="0" w:line="259" w:lineRule="auto"/>
        <w:ind w:left="540" w:right="0" w:firstLine="0"/>
      </w:pPr>
      <w:r>
        <w:t xml:space="preserve"> </w:t>
      </w:r>
    </w:p>
    <w:p w14:paraId="7E417928" w14:textId="77777777" w:rsidR="00B56D50" w:rsidRDefault="001C3C42" w:rsidP="00093377">
      <w:pPr>
        <w:numPr>
          <w:ilvl w:val="0"/>
          <w:numId w:val="30"/>
        </w:numPr>
        <w:ind w:left="2160" w:right="255" w:hanging="360"/>
      </w:pPr>
      <w:r>
        <w:t xml:space="preserve">Retention times must be evaluated for all target analytes.  The relative retention times of each target analyte in each calibration standard must agree within 0.06 relative retention time units. </w:t>
      </w:r>
    </w:p>
    <w:p w14:paraId="30D200EC" w14:textId="77777777" w:rsidR="00B56D50" w:rsidRDefault="001C3C42">
      <w:pPr>
        <w:spacing w:after="0" w:line="259" w:lineRule="auto"/>
        <w:ind w:left="540" w:right="0" w:firstLine="0"/>
      </w:pPr>
      <w:r>
        <w:t xml:space="preserve"> </w:t>
      </w:r>
    </w:p>
    <w:p w14:paraId="037A2E49" w14:textId="453E4EAC" w:rsidR="00B56D50" w:rsidRDefault="001C3C42" w:rsidP="00093377">
      <w:pPr>
        <w:numPr>
          <w:ilvl w:val="0"/>
          <w:numId w:val="30"/>
        </w:numPr>
        <w:ind w:left="2160" w:right="255" w:hanging="360"/>
      </w:pPr>
      <w:r>
        <w:t>Good GC performance must be indicated on the total ion chromatogram.  Good column performance will produce symmetrical peaks with minimum tailing for most compounds.  If peaks are unusually broad, or if there is poor resolution between peaks, corrective action is required before analysis can begin.</w:t>
      </w:r>
    </w:p>
    <w:p w14:paraId="4636FF3C" w14:textId="77777777" w:rsidR="000118C0" w:rsidRDefault="000118C0" w:rsidP="00B05F67">
      <w:pPr>
        <w:pStyle w:val="ListParagraph"/>
      </w:pPr>
    </w:p>
    <w:p w14:paraId="7218E534" w14:textId="1902C4DA" w:rsidR="00C23B22" w:rsidRDefault="00C23B22" w:rsidP="00093377">
      <w:pPr>
        <w:numPr>
          <w:ilvl w:val="0"/>
          <w:numId w:val="30"/>
        </w:numPr>
        <w:spacing w:after="0"/>
        <w:ind w:left="2160" w:right="255" w:hanging="360"/>
      </w:pPr>
      <w:r>
        <w:t>Adequate MS sensitivity must be demonstrated by the calibration data generated.  The GC/MS identification software must be able to recognize a GC peak in the appropriate retention time window for each of the compounds in the calibration solution and make good tentative identifications.  If fewer than 99% of the compounds are recognized, system maintenance is required.  The RSD is calculated from the mean and standard deviation of the response factors for the five concentration measurements of each analyte.  The standard deviation is calculated as a sample standard deviation (not a population standard deviation).  RF for each of the 5 calibration standards from the initial calibration for that compound.</w:t>
      </w:r>
      <w:r w:rsidR="00A1190E">
        <w:t xml:space="preserve">  </w:t>
      </w:r>
    </w:p>
    <w:p w14:paraId="13DBE068" w14:textId="61027263" w:rsidR="00A1190E" w:rsidRDefault="00A1190E" w:rsidP="009267FA">
      <w:pPr>
        <w:spacing w:after="0" w:line="259" w:lineRule="auto"/>
        <w:ind w:right="0"/>
      </w:pPr>
    </w:p>
    <w:p w14:paraId="6BB9BD72" w14:textId="0BB62936" w:rsidR="00986124" w:rsidRDefault="001C3C42" w:rsidP="00093377">
      <w:pPr>
        <w:pStyle w:val="ListParagraph"/>
        <w:numPr>
          <w:ilvl w:val="0"/>
          <w:numId w:val="84"/>
        </w:numPr>
        <w:ind w:right="255"/>
      </w:pPr>
      <w:r>
        <w:t xml:space="preserve">The criteria listed in TABLE </w:t>
      </w:r>
      <w:r w:rsidR="007E440B">
        <w:t xml:space="preserve">18 </w:t>
      </w:r>
      <w:r>
        <w:t>must be met for the initial calibration to be valid.</w:t>
      </w:r>
      <w:r w:rsidR="00986124">
        <w:t xml:space="preserve">  </w:t>
      </w:r>
      <w:r>
        <w:rPr>
          <w:u w:val="single" w:color="000000"/>
        </w:rPr>
        <w:t xml:space="preserve">Only </w:t>
      </w:r>
      <w:r w:rsidR="00A1190E">
        <w:rPr>
          <w:u w:val="single" w:color="000000"/>
        </w:rPr>
        <w:t>a</w:t>
      </w:r>
      <w:r>
        <w:rPr>
          <w:u w:val="single" w:color="000000"/>
        </w:rPr>
        <w:t>fter</w:t>
      </w:r>
      <w:r w:rsidR="00055E3F">
        <w:rPr>
          <w:u w:val="single" w:color="000000"/>
        </w:rPr>
        <w:t xml:space="preserve"> </w:t>
      </w:r>
      <w:r>
        <w:rPr>
          <w:u w:val="single" w:color="000000"/>
        </w:rPr>
        <w:t>these criteria are met can sample analysis begin</w:t>
      </w:r>
      <w:r w:rsidR="001A130F">
        <w:rPr>
          <w:u w:val="single" w:color="000000"/>
        </w:rPr>
        <w:t>.</w:t>
      </w:r>
    </w:p>
    <w:p w14:paraId="216109AC" w14:textId="77777777" w:rsidR="00986124" w:rsidRDefault="00986124" w:rsidP="00F61702">
      <w:pPr>
        <w:spacing w:after="0" w:line="259" w:lineRule="auto"/>
        <w:ind w:left="2170" w:right="0"/>
      </w:pPr>
    </w:p>
    <w:p w14:paraId="34420A02" w14:textId="4FA5A969" w:rsidR="00F53CC1" w:rsidRDefault="001C3C42" w:rsidP="00093377">
      <w:pPr>
        <w:numPr>
          <w:ilvl w:val="0"/>
          <w:numId w:val="118"/>
        </w:numPr>
        <w:spacing w:after="0"/>
        <w:ind w:left="2160" w:right="255" w:hanging="360"/>
      </w:pPr>
      <w:r>
        <w:t xml:space="preserve">If the minimum mean response factor criterion for any SPCC is not met, the system must be </w:t>
      </w:r>
      <w:r w:rsidR="005F6882">
        <w:t>evaluated,</w:t>
      </w:r>
      <w:r>
        <w:t xml:space="preserve"> and corrective action must be taken before beginning or continuing sample analysis.  Possible problems include standard mixture degradation, injection port inlet contamination, contamination at the front end of the analytical column, and active sites in   the column or chromatographic system.</w:t>
      </w:r>
    </w:p>
    <w:p w14:paraId="6948CC10" w14:textId="77777777" w:rsidR="00F53CC1" w:rsidRDefault="00F53CC1" w:rsidP="00F61702">
      <w:pPr>
        <w:spacing w:after="0" w:line="259" w:lineRule="auto"/>
        <w:ind w:left="2170" w:right="0"/>
      </w:pPr>
    </w:p>
    <w:p w14:paraId="6922F39A" w14:textId="49DBF8A4" w:rsidR="00F53CC1" w:rsidRDefault="001C3C42" w:rsidP="00093377">
      <w:pPr>
        <w:numPr>
          <w:ilvl w:val="0"/>
          <w:numId w:val="118"/>
        </w:numPr>
        <w:spacing w:after="0"/>
        <w:ind w:left="2160" w:right="255" w:hanging="360"/>
      </w:pPr>
      <w:r>
        <w:lastRenderedPageBreak/>
        <w:t>If the RSD of any CCC is greater than 30%, then the chromatographic system is too reactive for analysis to begin.  Clean or replace the injector liner and/or capillary column, then repeat the initial calibration procedure.</w:t>
      </w:r>
    </w:p>
    <w:p w14:paraId="19BA9533" w14:textId="77777777" w:rsidR="00F53CC1" w:rsidRDefault="00F53CC1" w:rsidP="00F61702">
      <w:pPr>
        <w:spacing w:after="0" w:line="259" w:lineRule="auto"/>
        <w:ind w:left="2170" w:right="0"/>
      </w:pPr>
    </w:p>
    <w:p w14:paraId="7F778ABF" w14:textId="67B5AC9D" w:rsidR="004A702B" w:rsidRDefault="001C3C42" w:rsidP="00FB39AB">
      <w:pPr>
        <w:spacing w:after="0"/>
        <w:ind w:left="2170" w:right="255"/>
        <w:rPr>
          <w:rFonts w:eastAsia="Arial"/>
        </w:rPr>
      </w:pPr>
      <w:r>
        <w:t>If the RSD of any non-CCC analyte is greater than 15%, a new initial calibration must be</w:t>
      </w:r>
      <w:r w:rsidR="00AE4F2C">
        <w:t xml:space="preserve"> p</w:t>
      </w:r>
      <w:r w:rsidR="004E4836">
        <w:t>erformed.</w:t>
      </w:r>
      <w:r w:rsidR="00635284" w:rsidRPr="00FB39AB">
        <w:rPr>
          <w:rFonts w:ascii="Arial" w:eastAsia="Arial" w:hAnsi="Arial" w:cs="Arial"/>
          <w:sz w:val="24"/>
        </w:rPr>
        <w:t xml:space="preserve"> </w:t>
      </w:r>
      <w:r w:rsidR="0093548B" w:rsidRPr="00B062E0">
        <w:rPr>
          <w:rFonts w:eastAsia="Arial"/>
          <w:b/>
          <w:vertAlign w:val="superscript"/>
        </w:rPr>
        <w:t>44</w:t>
      </w:r>
      <w:r w:rsidR="0093548B">
        <w:rPr>
          <w:rFonts w:eastAsia="Arial"/>
        </w:rPr>
        <w:t xml:space="preserve"> </w:t>
      </w:r>
    </w:p>
    <w:p w14:paraId="3BF70896" w14:textId="77777777" w:rsidR="00E40B71" w:rsidRDefault="00E40B71" w:rsidP="00E40B71">
      <w:pPr>
        <w:spacing w:after="0" w:line="259" w:lineRule="auto"/>
        <w:ind w:right="0"/>
      </w:pPr>
    </w:p>
    <w:p w14:paraId="0F1139A3" w14:textId="77777777" w:rsidR="00E40B71" w:rsidRDefault="00E40B71" w:rsidP="00E40B71">
      <w:pPr>
        <w:pStyle w:val="Heading5"/>
        <w:ind w:left="1024" w:right="55"/>
      </w:pPr>
      <w:r>
        <w:t xml:space="preserve">TABLE 18 </w:t>
      </w:r>
    </w:p>
    <w:p w14:paraId="22DCDF35" w14:textId="77777777" w:rsidR="00E40B71" w:rsidRDefault="00E40B71" w:rsidP="00E40B71">
      <w:pPr>
        <w:pStyle w:val="Heading6"/>
        <w:ind w:left="3553" w:right="186"/>
      </w:pPr>
      <w:r>
        <w:t xml:space="preserve">Initial Calibration Criteria for SVOC Analysis </w:t>
      </w:r>
    </w:p>
    <w:p w14:paraId="0E6BC88D" w14:textId="77777777" w:rsidR="00E40B71" w:rsidRDefault="00E40B71" w:rsidP="00E40B71">
      <w:pPr>
        <w:spacing w:after="0" w:line="259" w:lineRule="auto"/>
        <w:ind w:right="0"/>
      </w:pPr>
    </w:p>
    <w:tbl>
      <w:tblPr>
        <w:tblStyle w:val="TableGrid1"/>
        <w:tblW w:w="9362" w:type="dxa"/>
        <w:tblInd w:w="1116" w:type="dxa"/>
        <w:tblCellMar>
          <w:top w:w="7" w:type="dxa"/>
          <w:left w:w="132" w:type="dxa"/>
          <w:right w:w="115" w:type="dxa"/>
        </w:tblCellMar>
        <w:tblLook w:val="04A0" w:firstRow="1" w:lastRow="0" w:firstColumn="1" w:lastColumn="0" w:noHBand="0" w:noVBand="1"/>
      </w:tblPr>
      <w:tblGrid>
        <w:gridCol w:w="1856"/>
        <w:gridCol w:w="3240"/>
        <w:gridCol w:w="2377"/>
        <w:gridCol w:w="1889"/>
      </w:tblGrid>
      <w:tr w:rsidR="00E40B71" w14:paraId="21440A26" w14:textId="77777777" w:rsidTr="00601030">
        <w:trPr>
          <w:trHeight w:val="432"/>
        </w:trPr>
        <w:tc>
          <w:tcPr>
            <w:tcW w:w="1856" w:type="dxa"/>
            <w:tcBorders>
              <w:top w:val="single" w:sz="12" w:space="0" w:color="000000"/>
              <w:left w:val="single" w:sz="12" w:space="0" w:color="000000"/>
              <w:bottom w:val="single" w:sz="12" w:space="0" w:color="000000"/>
              <w:right w:val="single" w:sz="12" w:space="0" w:color="000000"/>
            </w:tcBorders>
            <w:vAlign w:val="center"/>
          </w:tcPr>
          <w:p w14:paraId="57F989F6" w14:textId="77777777" w:rsidR="00E40B71" w:rsidRDefault="00E40B71" w:rsidP="00601030">
            <w:pPr>
              <w:spacing w:after="0" w:line="259" w:lineRule="auto"/>
              <w:ind w:left="0" w:right="21" w:firstLine="0"/>
              <w:jc w:val="center"/>
            </w:pPr>
            <w:r>
              <w:rPr>
                <w:b/>
                <w:sz w:val="20"/>
              </w:rPr>
              <w:t>Analyte Type</w:t>
            </w:r>
            <w:r>
              <w:rPr>
                <w:sz w:val="20"/>
              </w:rPr>
              <w:t>*</w:t>
            </w:r>
          </w:p>
        </w:tc>
        <w:tc>
          <w:tcPr>
            <w:tcW w:w="3240" w:type="dxa"/>
            <w:tcBorders>
              <w:top w:val="single" w:sz="12" w:space="0" w:color="000000"/>
              <w:left w:val="single" w:sz="12" w:space="0" w:color="000000"/>
              <w:bottom w:val="single" w:sz="12" w:space="0" w:color="000000"/>
              <w:right w:val="single" w:sz="12" w:space="0" w:color="000000"/>
            </w:tcBorders>
            <w:vAlign w:val="center"/>
          </w:tcPr>
          <w:p w14:paraId="1B2E79D0" w14:textId="77777777" w:rsidR="00E40B71" w:rsidRDefault="00E40B71" w:rsidP="00601030">
            <w:pPr>
              <w:spacing w:after="0" w:line="259" w:lineRule="auto"/>
              <w:ind w:left="0" w:right="25" w:firstLine="0"/>
              <w:jc w:val="center"/>
            </w:pPr>
            <w:r>
              <w:rPr>
                <w:b/>
                <w:sz w:val="20"/>
              </w:rPr>
              <w:t>Compound</w:t>
            </w:r>
          </w:p>
        </w:tc>
        <w:tc>
          <w:tcPr>
            <w:tcW w:w="2377" w:type="dxa"/>
            <w:tcBorders>
              <w:top w:val="single" w:sz="12" w:space="0" w:color="000000"/>
              <w:left w:val="single" w:sz="12" w:space="0" w:color="000000"/>
              <w:bottom w:val="single" w:sz="12" w:space="0" w:color="000000"/>
              <w:right w:val="single" w:sz="12" w:space="0" w:color="000000"/>
            </w:tcBorders>
            <w:vAlign w:val="center"/>
          </w:tcPr>
          <w:p w14:paraId="6103D310" w14:textId="77777777" w:rsidR="00E40B71" w:rsidRDefault="00E40B71" w:rsidP="00601030">
            <w:pPr>
              <w:spacing w:after="0" w:line="259" w:lineRule="auto"/>
              <w:ind w:left="0" w:right="22" w:firstLine="0"/>
              <w:jc w:val="center"/>
            </w:pPr>
            <w:r>
              <w:rPr>
                <w:b/>
                <w:sz w:val="20"/>
              </w:rPr>
              <w:t>Minimum Mean RF</w:t>
            </w:r>
          </w:p>
        </w:tc>
        <w:tc>
          <w:tcPr>
            <w:tcW w:w="1889" w:type="dxa"/>
            <w:tcBorders>
              <w:top w:val="single" w:sz="12" w:space="0" w:color="000000"/>
              <w:left w:val="single" w:sz="12" w:space="0" w:color="000000"/>
              <w:bottom w:val="single" w:sz="12" w:space="0" w:color="000000"/>
              <w:right w:val="single" w:sz="12" w:space="0" w:color="000000"/>
            </w:tcBorders>
            <w:vAlign w:val="center"/>
          </w:tcPr>
          <w:p w14:paraId="6AC4F6FC" w14:textId="77777777" w:rsidR="00E40B71" w:rsidRDefault="00E40B71" w:rsidP="00601030">
            <w:pPr>
              <w:spacing w:after="0" w:line="259" w:lineRule="auto"/>
              <w:ind w:left="0" w:right="23" w:firstLine="0"/>
              <w:jc w:val="center"/>
            </w:pPr>
            <w:r>
              <w:rPr>
                <w:b/>
                <w:sz w:val="20"/>
              </w:rPr>
              <w:t>Maximum RSD</w:t>
            </w:r>
          </w:p>
        </w:tc>
      </w:tr>
      <w:tr w:rsidR="00E40B71" w14:paraId="4CE6C02C" w14:textId="77777777" w:rsidTr="00601030">
        <w:trPr>
          <w:trHeight w:val="360"/>
        </w:trPr>
        <w:tc>
          <w:tcPr>
            <w:tcW w:w="1856" w:type="dxa"/>
            <w:tcBorders>
              <w:top w:val="single" w:sz="12" w:space="0" w:color="000000"/>
              <w:left w:val="single" w:sz="12" w:space="0" w:color="000000"/>
              <w:bottom w:val="single" w:sz="4" w:space="0" w:color="000000"/>
              <w:right w:val="single" w:sz="12" w:space="0" w:color="000000"/>
            </w:tcBorders>
            <w:vAlign w:val="center"/>
          </w:tcPr>
          <w:p w14:paraId="4A461D29" w14:textId="77777777" w:rsidR="00E40B71" w:rsidRDefault="00E40B71" w:rsidP="00601030">
            <w:pPr>
              <w:spacing w:after="0" w:line="259" w:lineRule="auto"/>
              <w:ind w:left="0" w:right="23" w:firstLine="0"/>
              <w:jc w:val="center"/>
            </w:pPr>
            <w:r>
              <w:rPr>
                <w:sz w:val="20"/>
              </w:rPr>
              <w:t xml:space="preserve">B/N </w:t>
            </w:r>
            <w:r>
              <w:rPr>
                <w:b/>
                <w:sz w:val="20"/>
              </w:rPr>
              <w:t>SPCC</w:t>
            </w:r>
          </w:p>
        </w:tc>
        <w:tc>
          <w:tcPr>
            <w:tcW w:w="3240" w:type="dxa"/>
            <w:tcBorders>
              <w:top w:val="single" w:sz="12" w:space="0" w:color="000000"/>
              <w:left w:val="single" w:sz="12" w:space="0" w:color="000000"/>
              <w:bottom w:val="single" w:sz="4" w:space="0" w:color="000000"/>
              <w:right w:val="single" w:sz="12" w:space="0" w:color="000000"/>
            </w:tcBorders>
            <w:vAlign w:val="center"/>
          </w:tcPr>
          <w:p w14:paraId="7ED98110" w14:textId="77777777" w:rsidR="00E40B71" w:rsidRDefault="00E40B71" w:rsidP="00601030">
            <w:pPr>
              <w:spacing w:after="0" w:line="259" w:lineRule="auto"/>
              <w:ind w:left="0" w:right="0" w:firstLine="0"/>
              <w:jc w:val="center"/>
            </w:pPr>
            <w:r>
              <w:rPr>
                <w:sz w:val="20"/>
              </w:rPr>
              <w:t>N-Nitroso-di-n-propylamine</w:t>
            </w:r>
          </w:p>
        </w:tc>
        <w:tc>
          <w:tcPr>
            <w:tcW w:w="2377" w:type="dxa"/>
            <w:tcBorders>
              <w:top w:val="single" w:sz="12" w:space="0" w:color="000000"/>
              <w:left w:val="single" w:sz="12" w:space="0" w:color="000000"/>
              <w:bottom w:val="single" w:sz="4" w:space="0" w:color="000000"/>
              <w:right w:val="single" w:sz="12" w:space="0" w:color="000000"/>
            </w:tcBorders>
            <w:vAlign w:val="center"/>
          </w:tcPr>
          <w:p w14:paraId="7939347A" w14:textId="77777777" w:rsidR="00E40B71" w:rsidRDefault="00E40B71" w:rsidP="00601030">
            <w:pPr>
              <w:spacing w:after="0" w:line="259" w:lineRule="auto"/>
              <w:ind w:left="0" w:right="22" w:firstLine="0"/>
              <w:jc w:val="center"/>
            </w:pPr>
            <w:r>
              <w:rPr>
                <w:sz w:val="20"/>
              </w:rPr>
              <w:t>0.050</w:t>
            </w:r>
          </w:p>
        </w:tc>
        <w:tc>
          <w:tcPr>
            <w:tcW w:w="1889" w:type="dxa"/>
            <w:tcBorders>
              <w:top w:val="single" w:sz="12" w:space="0" w:color="000000"/>
              <w:left w:val="single" w:sz="12" w:space="0" w:color="000000"/>
              <w:bottom w:val="single" w:sz="4" w:space="0" w:color="000000"/>
              <w:right w:val="single" w:sz="12" w:space="0" w:color="000000"/>
            </w:tcBorders>
            <w:vAlign w:val="center"/>
          </w:tcPr>
          <w:p w14:paraId="229F1B4B" w14:textId="77777777" w:rsidR="00E40B71" w:rsidRDefault="00E40B71" w:rsidP="00601030">
            <w:pPr>
              <w:spacing w:after="0" w:line="259" w:lineRule="auto"/>
              <w:ind w:left="0" w:right="16" w:firstLine="0"/>
              <w:jc w:val="center"/>
            </w:pPr>
            <w:r>
              <w:rPr>
                <w:sz w:val="20"/>
              </w:rPr>
              <w:t>15%</w:t>
            </w:r>
          </w:p>
        </w:tc>
      </w:tr>
      <w:tr w:rsidR="00E40B71" w14:paraId="7EEAE0B6" w14:textId="77777777" w:rsidTr="00601030">
        <w:trPr>
          <w:trHeight w:val="360"/>
        </w:trPr>
        <w:tc>
          <w:tcPr>
            <w:tcW w:w="1856" w:type="dxa"/>
            <w:tcBorders>
              <w:top w:val="single" w:sz="4" w:space="0" w:color="000000"/>
              <w:left w:val="single" w:sz="12" w:space="0" w:color="000000"/>
              <w:bottom w:val="single" w:sz="4" w:space="0" w:color="000000"/>
              <w:right w:val="single" w:sz="12" w:space="0" w:color="000000"/>
            </w:tcBorders>
            <w:vAlign w:val="center"/>
          </w:tcPr>
          <w:p w14:paraId="4B672D1A" w14:textId="77777777" w:rsidR="00E40B71" w:rsidRDefault="00E40B71" w:rsidP="00601030">
            <w:pPr>
              <w:spacing w:after="0" w:line="259" w:lineRule="auto"/>
              <w:ind w:left="0" w:right="23" w:firstLine="0"/>
              <w:jc w:val="center"/>
            </w:pPr>
            <w:r>
              <w:rPr>
                <w:sz w:val="20"/>
              </w:rPr>
              <w:t xml:space="preserve">B/N </w:t>
            </w:r>
            <w:r>
              <w:rPr>
                <w:b/>
                <w:sz w:val="20"/>
              </w:rPr>
              <w:t>SPCC</w:t>
            </w:r>
          </w:p>
        </w:tc>
        <w:tc>
          <w:tcPr>
            <w:tcW w:w="3240" w:type="dxa"/>
            <w:tcBorders>
              <w:top w:val="single" w:sz="4" w:space="0" w:color="000000"/>
              <w:left w:val="single" w:sz="12" w:space="0" w:color="000000"/>
              <w:bottom w:val="single" w:sz="4" w:space="0" w:color="000000"/>
              <w:right w:val="single" w:sz="12" w:space="0" w:color="000000"/>
            </w:tcBorders>
            <w:vAlign w:val="center"/>
          </w:tcPr>
          <w:p w14:paraId="503A2579" w14:textId="77777777" w:rsidR="00E40B71" w:rsidRDefault="00E40B71" w:rsidP="00601030">
            <w:pPr>
              <w:spacing w:after="0" w:line="259" w:lineRule="auto"/>
              <w:ind w:left="0" w:right="0" w:firstLine="0"/>
              <w:jc w:val="center"/>
            </w:pPr>
            <w:proofErr w:type="spellStart"/>
            <w:r>
              <w:rPr>
                <w:sz w:val="20"/>
              </w:rPr>
              <w:t>Hexachlorocyclopentadiene</w:t>
            </w:r>
            <w:proofErr w:type="spellEnd"/>
          </w:p>
        </w:tc>
        <w:tc>
          <w:tcPr>
            <w:tcW w:w="2377" w:type="dxa"/>
            <w:tcBorders>
              <w:top w:val="single" w:sz="4" w:space="0" w:color="000000"/>
              <w:left w:val="single" w:sz="12" w:space="0" w:color="000000"/>
              <w:bottom w:val="single" w:sz="4" w:space="0" w:color="000000"/>
              <w:right w:val="single" w:sz="12" w:space="0" w:color="000000"/>
            </w:tcBorders>
            <w:vAlign w:val="center"/>
          </w:tcPr>
          <w:p w14:paraId="61BC636E" w14:textId="77777777" w:rsidR="00E40B71" w:rsidRDefault="00E40B71" w:rsidP="00601030">
            <w:pPr>
              <w:spacing w:after="0" w:line="259" w:lineRule="auto"/>
              <w:ind w:left="0" w:right="22" w:firstLine="0"/>
              <w:jc w:val="center"/>
            </w:pPr>
            <w:r>
              <w:rPr>
                <w:sz w:val="20"/>
              </w:rPr>
              <w:t>0.050</w:t>
            </w:r>
          </w:p>
        </w:tc>
        <w:tc>
          <w:tcPr>
            <w:tcW w:w="1889" w:type="dxa"/>
            <w:tcBorders>
              <w:top w:val="single" w:sz="4" w:space="0" w:color="000000"/>
              <w:left w:val="single" w:sz="12" w:space="0" w:color="000000"/>
              <w:bottom w:val="single" w:sz="4" w:space="0" w:color="000000"/>
              <w:right w:val="single" w:sz="12" w:space="0" w:color="000000"/>
            </w:tcBorders>
            <w:vAlign w:val="center"/>
          </w:tcPr>
          <w:p w14:paraId="133F4FF3" w14:textId="77777777" w:rsidR="00E40B71" w:rsidRDefault="00E40B71" w:rsidP="00601030">
            <w:pPr>
              <w:spacing w:after="0" w:line="259" w:lineRule="auto"/>
              <w:ind w:left="0" w:right="16" w:firstLine="0"/>
              <w:jc w:val="center"/>
            </w:pPr>
            <w:r>
              <w:rPr>
                <w:sz w:val="20"/>
              </w:rPr>
              <w:t>15%</w:t>
            </w:r>
          </w:p>
        </w:tc>
      </w:tr>
      <w:tr w:rsidR="00E40B71" w14:paraId="729CEEF4" w14:textId="77777777" w:rsidTr="00601030">
        <w:trPr>
          <w:trHeight w:val="360"/>
        </w:trPr>
        <w:tc>
          <w:tcPr>
            <w:tcW w:w="1856" w:type="dxa"/>
            <w:tcBorders>
              <w:top w:val="single" w:sz="4" w:space="0" w:color="000000"/>
              <w:left w:val="single" w:sz="12" w:space="0" w:color="000000"/>
              <w:bottom w:val="single" w:sz="4" w:space="0" w:color="000000"/>
              <w:right w:val="single" w:sz="12" w:space="0" w:color="000000"/>
            </w:tcBorders>
            <w:vAlign w:val="center"/>
          </w:tcPr>
          <w:p w14:paraId="13BB923E" w14:textId="77777777" w:rsidR="00E40B71" w:rsidRDefault="00E40B71" w:rsidP="00601030">
            <w:pPr>
              <w:spacing w:after="0" w:line="259" w:lineRule="auto"/>
              <w:ind w:left="0" w:right="23" w:firstLine="0"/>
              <w:jc w:val="center"/>
            </w:pPr>
            <w:r>
              <w:rPr>
                <w:sz w:val="20"/>
              </w:rPr>
              <w:t xml:space="preserve">Acid </w:t>
            </w:r>
            <w:r>
              <w:rPr>
                <w:b/>
                <w:sz w:val="20"/>
              </w:rPr>
              <w:t>SPCC</w:t>
            </w:r>
          </w:p>
        </w:tc>
        <w:tc>
          <w:tcPr>
            <w:tcW w:w="3240" w:type="dxa"/>
            <w:tcBorders>
              <w:top w:val="single" w:sz="4" w:space="0" w:color="000000"/>
              <w:left w:val="single" w:sz="12" w:space="0" w:color="000000"/>
              <w:bottom w:val="single" w:sz="4" w:space="0" w:color="000000"/>
              <w:right w:val="single" w:sz="12" w:space="0" w:color="000000"/>
            </w:tcBorders>
            <w:vAlign w:val="center"/>
          </w:tcPr>
          <w:p w14:paraId="1DE60C33" w14:textId="77777777" w:rsidR="00E40B71" w:rsidRDefault="00E40B71" w:rsidP="00601030">
            <w:pPr>
              <w:spacing w:after="0" w:line="259" w:lineRule="auto"/>
              <w:ind w:left="0" w:right="0" w:firstLine="0"/>
              <w:jc w:val="center"/>
            </w:pPr>
            <w:r>
              <w:rPr>
                <w:sz w:val="20"/>
              </w:rPr>
              <w:t>2,4-Dinitrophenol</w:t>
            </w:r>
          </w:p>
        </w:tc>
        <w:tc>
          <w:tcPr>
            <w:tcW w:w="2377" w:type="dxa"/>
            <w:tcBorders>
              <w:top w:val="single" w:sz="4" w:space="0" w:color="000000"/>
              <w:left w:val="single" w:sz="12" w:space="0" w:color="000000"/>
              <w:bottom w:val="single" w:sz="4" w:space="0" w:color="000000"/>
              <w:right w:val="single" w:sz="12" w:space="0" w:color="000000"/>
            </w:tcBorders>
            <w:vAlign w:val="center"/>
          </w:tcPr>
          <w:p w14:paraId="1D6EB26F" w14:textId="77777777" w:rsidR="00E40B71" w:rsidRDefault="00E40B71" w:rsidP="00601030">
            <w:pPr>
              <w:spacing w:after="0" w:line="259" w:lineRule="auto"/>
              <w:ind w:left="0" w:right="22" w:firstLine="0"/>
              <w:jc w:val="center"/>
            </w:pPr>
            <w:r>
              <w:rPr>
                <w:sz w:val="20"/>
              </w:rPr>
              <w:t>0.050</w:t>
            </w:r>
          </w:p>
        </w:tc>
        <w:tc>
          <w:tcPr>
            <w:tcW w:w="1889" w:type="dxa"/>
            <w:tcBorders>
              <w:top w:val="single" w:sz="4" w:space="0" w:color="000000"/>
              <w:left w:val="single" w:sz="12" w:space="0" w:color="000000"/>
              <w:bottom w:val="single" w:sz="4" w:space="0" w:color="000000"/>
              <w:right w:val="single" w:sz="12" w:space="0" w:color="000000"/>
            </w:tcBorders>
            <w:vAlign w:val="center"/>
          </w:tcPr>
          <w:p w14:paraId="3ABFFEC0" w14:textId="77777777" w:rsidR="00E40B71" w:rsidRDefault="00E40B71" w:rsidP="00601030">
            <w:pPr>
              <w:spacing w:after="0" w:line="259" w:lineRule="auto"/>
              <w:ind w:left="0" w:right="16" w:firstLine="0"/>
              <w:jc w:val="center"/>
            </w:pPr>
            <w:r>
              <w:rPr>
                <w:sz w:val="20"/>
              </w:rPr>
              <w:t>15%</w:t>
            </w:r>
          </w:p>
        </w:tc>
      </w:tr>
      <w:tr w:rsidR="00E40B71" w14:paraId="7214614D" w14:textId="77777777" w:rsidTr="00601030">
        <w:trPr>
          <w:trHeight w:val="360"/>
        </w:trPr>
        <w:tc>
          <w:tcPr>
            <w:tcW w:w="1856" w:type="dxa"/>
            <w:tcBorders>
              <w:top w:val="single" w:sz="4" w:space="0" w:color="000000"/>
              <w:left w:val="single" w:sz="12" w:space="0" w:color="000000"/>
              <w:bottom w:val="single" w:sz="4" w:space="0" w:color="000000"/>
              <w:right w:val="single" w:sz="12" w:space="0" w:color="000000"/>
            </w:tcBorders>
            <w:vAlign w:val="center"/>
          </w:tcPr>
          <w:p w14:paraId="0987F35D" w14:textId="77777777" w:rsidR="00E40B71" w:rsidRDefault="00E40B71" w:rsidP="00601030">
            <w:pPr>
              <w:spacing w:after="0" w:line="259" w:lineRule="auto"/>
              <w:ind w:left="0" w:right="23" w:firstLine="0"/>
              <w:jc w:val="center"/>
            </w:pPr>
            <w:r>
              <w:rPr>
                <w:sz w:val="20"/>
              </w:rPr>
              <w:t xml:space="preserve">Acid </w:t>
            </w:r>
            <w:r>
              <w:rPr>
                <w:b/>
                <w:sz w:val="20"/>
              </w:rPr>
              <w:t>SPCC</w:t>
            </w:r>
          </w:p>
        </w:tc>
        <w:tc>
          <w:tcPr>
            <w:tcW w:w="3240" w:type="dxa"/>
            <w:tcBorders>
              <w:top w:val="single" w:sz="4" w:space="0" w:color="000000"/>
              <w:left w:val="single" w:sz="12" w:space="0" w:color="000000"/>
              <w:bottom w:val="single" w:sz="4" w:space="0" w:color="000000"/>
              <w:right w:val="single" w:sz="12" w:space="0" w:color="000000"/>
            </w:tcBorders>
            <w:vAlign w:val="center"/>
          </w:tcPr>
          <w:p w14:paraId="3F8FFFD7" w14:textId="77777777" w:rsidR="00E40B71" w:rsidRDefault="00E40B71" w:rsidP="00601030">
            <w:pPr>
              <w:spacing w:after="0" w:line="259" w:lineRule="auto"/>
              <w:ind w:left="0" w:right="0" w:firstLine="0"/>
              <w:jc w:val="center"/>
            </w:pPr>
            <w:r>
              <w:rPr>
                <w:sz w:val="20"/>
              </w:rPr>
              <w:t>4-Nitrophenol</w:t>
            </w:r>
          </w:p>
        </w:tc>
        <w:tc>
          <w:tcPr>
            <w:tcW w:w="2377" w:type="dxa"/>
            <w:tcBorders>
              <w:top w:val="single" w:sz="4" w:space="0" w:color="000000"/>
              <w:left w:val="single" w:sz="12" w:space="0" w:color="000000"/>
              <w:bottom w:val="single" w:sz="4" w:space="0" w:color="000000"/>
              <w:right w:val="single" w:sz="12" w:space="0" w:color="000000"/>
            </w:tcBorders>
            <w:vAlign w:val="center"/>
          </w:tcPr>
          <w:p w14:paraId="1256B8C5" w14:textId="77777777" w:rsidR="00E40B71" w:rsidRDefault="00E40B71" w:rsidP="00601030">
            <w:pPr>
              <w:spacing w:after="0" w:line="259" w:lineRule="auto"/>
              <w:ind w:left="0" w:right="22" w:firstLine="0"/>
              <w:jc w:val="center"/>
            </w:pPr>
            <w:r>
              <w:rPr>
                <w:sz w:val="20"/>
              </w:rPr>
              <w:t>0.050</w:t>
            </w:r>
          </w:p>
        </w:tc>
        <w:tc>
          <w:tcPr>
            <w:tcW w:w="1889" w:type="dxa"/>
            <w:tcBorders>
              <w:top w:val="single" w:sz="4" w:space="0" w:color="000000"/>
              <w:left w:val="single" w:sz="12" w:space="0" w:color="000000"/>
              <w:bottom w:val="single" w:sz="4" w:space="0" w:color="000000"/>
              <w:right w:val="single" w:sz="12" w:space="0" w:color="000000"/>
            </w:tcBorders>
            <w:vAlign w:val="center"/>
          </w:tcPr>
          <w:p w14:paraId="23FB12FE" w14:textId="77777777" w:rsidR="00E40B71" w:rsidRDefault="00E40B71" w:rsidP="00601030">
            <w:pPr>
              <w:spacing w:after="0" w:line="259" w:lineRule="auto"/>
              <w:ind w:left="0" w:right="16" w:firstLine="0"/>
              <w:jc w:val="center"/>
            </w:pPr>
            <w:r>
              <w:rPr>
                <w:sz w:val="20"/>
              </w:rPr>
              <w:t>15%</w:t>
            </w:r>
          </w:p>
        </w:tc>
      </w:tr>
      <w:tr w:rsidR="00E40B71" w14:paraId="4F4F768A" w14:textId="77777777" w:rsidTr="00601030">
        <w:trPr>
          <w:trHeight w:val="360"/>
        </w:trPr>
        <w:tc>
          <w:tcPr>
            <w:tcW w:w="1856" w:type="dxa"/>
            <w:tcBorders>
              <w:top w:val="single" w:sz="4" w:space="0" w:color="000000"/>
              <w:left w:val="single" w:sz="12" w:space="0" w:color="000000"/>
              <w:bottom w:val="single" w:sz="4" w:space="0" w:color="000000"/>
              <w:right w:val="single" w:sz="12" w:space="0" w:color="000000"/>
            </w:tcBorders>
            <w:vAlign w:val="center"/>
          </w:tcPr>
          <w:p w14:paraId="12E5CEAC" w14:textId="77777777" w:rsidR="00E40B71" w:rsidRDefault="00E40B71" w:rsidP="00601030">
            <w:pPr>
              <w:spacing w:after="0" w:line="259" w:lineRule="auto"/>
              <w:ind w:left="0" w:right="20" w:firstLine="0"/>
              <w:jc w:val="center"/>
            </w:pPr>
            <w:r>
              <w:rPr>
                <w:sz w:val="20"/>
              </w:rPr>
              <w:t xml:space="preserve">B/N </w:t>
            </w:r>
            <w:r>
              <w:rPr>
                <w:b/>
                <w:sz w:val="20"/>
              </w:rPr>
              <w:t>CCC</w:t>
            </w:r>
          </w:p>
        </w:tc>
        <w:tc>
          <w:tcPr>
            <w:tcW w:w="3240" w:type="dxa"/>
            <w:tcBorders>
              <w:top w:val="single" w:sz="4" w:space="0" w:color="000000"/>
              <w:left w:val="single" w:sz="12" w:space="0" w:color="000000"/>
              <w:bottom w:val="single" w:sz="4" w:space="0" w:color="000000"/>
              <w:right w:val="single" w:sz="12" w:space="0" w:color="000000"/>
            </w:tcBorders>
            <w:vAlign w:val="center"/>
          </w:tcPr>
          <w:p w14:paraId="15364E2A" w14:textId="77777777" w:rsidR="00E40B71" w:rsidRDefault="00E40B71" w:rsidP="00601030">
            <w:pPr>
              <w:spacing w:after="0" w:line="259" w:lineRule="auto"/>
              <w:ind w:left="0" w:right="0" w:firstLine="0"/>
              <w:jc w:val="center"/>
            </w:pPr>
            <w:r>
              <w:rPr>
                <w:sz w:val="20"/>
              </w:rPr>
              <w:t>Acenaphthene</w:t>
            </w:r>
          </w:p>
        </w:tc>
        <w:tc>
          <w:tcPr>
            <w:tcW w:w="2377" w:type="dxa"/>
            <w:tcBorders>
              <w:top w:val="single" w:sz="4" w:space="0" w:color="000000"/>
              <w:left w:val="single" w:sz="12" w:space="0" w:color="000000"/>
              <w:bottom w:val="single" w:sz="4" w:space="0" w:color="000000"/>
              <w:right w:val="single" w:sz="12" w:space="0" w:color="000000"/>
            </w:tcBorders>
            <w:vAlign w:val="center"/>
          </w:tcPr>
          <w:p w14:paraId="5F616524" w14:textId="77777777" w:rsidR="00E40B71" w:rsidRDefault="00E40B71" w:rsidP="00601030">
            <w:pPr>
              <w:spacing w:after="0" w:line="259" w:lineRule="auto"/>
              <w:ind w:left="28" w:right="0" w:firstLine="0"/>
              <w:jc w:val="center"/>
            </w:pPr>
          </w:p>
        </w:tc>
        <w:tc>
          <w:tcPr>
            <w:tcW w:w="1889" w:type="dxa"/>
            <w:tcBorders>
              <w:top w:val="single" w:sz="4" w:space="0" w:color="000000"/>
              <w:left w:val="single" w:sz="12" w:space="0" w:color="000000"/>
              <w:bottom w:val="single" w:sz="4" w:space="0" w:color="000000"/>
              <w:right w:val="single" w:sz="12" w:space="0" w:color="000000"/>
            </w:tcBorders>
            <w:vAlign w:val="center"/>
          </w:tcPr>
          <w:p w14:paraId="367205A6" w14:textId="77777777" w:rsidR="00E40B71" w:rsidRDefault="00E40B71" w:rsidP="00601030">
            <w:pPr>
              <w:spacing w:after="0" w:line="259" w:lineRule="auto"/>
              <w:ind w:left="0" w:right="16" w:firstLine="0"/>
              <w:jc w:val="center"/>
            </w:pPr>
            <w:r>
              <w:rPr>
                <w:sz w:val="20"/>
              </w:rPr>
              <w:t>30%</w:t>
            </w:r>
          </w:p>
        </w:tc>
      </w:tr>
      <w:tr w:rsidR="00E40B71" w14:paraId="667B12FC" w14:textId="77777777" w:rsidTr="00601030">
        <w:trPr>
          <w:trHeight w:val="360"/>
        </w:trPr>
        <w:tc>
          <w:tcPr>
            <w:tcW w:w="1856" w:type="dxa"/>
            <w:tcBorders>
              <w:top w:val="single" w:sz="4" w:space="0" w:color="000000"/>
              <w:left w:val="single" w:sz="12" w:space="0" w:color="000000"/>
              <w:bottom w:val="single" w:sz="4" w:space="0" w:color="000000"/>
              <w:right w:val="single" w:sz="12" w:space="0" w:color="000000"/>
            </w:tcBorders>
            <w:vAlign w:val="center"/>
          </w:tcPr>
          <w:p w14:paraId="36835FAE" w14:textId="77777777" w:rsidR="00E40B71" w:rsidRDefault="00E40B71" w:rsidP="00601030">
            <w:pPr>
              <w:spacing w:after="0" w:line="259" w:lineRule="auto"/>
              <w:ind w:left="0" w:right="20" w:firstLine="0"/>
              <w:jc w:val="center"/>
            </w:pPr>
            <w:r>
              <w:rPr>
                <w:sz w:val="20"/>
              </w:rPr>
              <w:t xml:space="preserve">B/N </w:t>
            </w:r>
            <w:r>
              <w:rPr>
                <w:b/>
                <w:sz w:val="20"/>
              </w:rPr>
              <w:t>CCC</w:t>
            </w:r>
          </w:p>
        </w:tc>
        <w:tc>
          <w:tcPr>
            <w:tcW w:w="3240" w:type="dxa"/>
            <w:tcBorders>
              <w:top w:val="single" w:sz="4" w:space="0" w:color="000000"/>
              <w:left w:val="single" w:sz="12" w:space="0" w:color="000000"/>
              <w:bottom w:val="single" w:sz="4" w:space="0" w:color="000000"/>
              <w:right w:val="single" w:sz="12" w:space="0" w:color="000000"/>
            </w:tcBorders>
            <w:vAlign w:val="center"/>
          </w:tcPr>
          <w:p w14:paraId="68FA5DFD" w14:textId="77777777" w:rsidR="00E40B71" w:rsidRDefault="00E40B71" w:rsidP="00601030">
            <w:pPr>
              <w:spacing w:after="0" w:line="259" w:lineRule="auto"/>
              <w:ind w:left="0" w:right="0" w:firstLine="0"/>
              <w:jc w:val="center"/>
            </w:pPr>
            <w:r>
              <w:rPr>
                <w:sz w:val="20"/>
              </w:rPr>
              <w:t>1,4-Dichlorobenzene</w:t>
            </w:r>
          </w:p>
        </w:tc>
        <w:tc>
          <w:tcPr>
            <w:tcW w:w="2377" w:type="dxa"/>
            <w:tcBorders>
              <w:top w:val="single" w:sz="4" w:space="0" w:color="000000"/>
              <w:left w:val="single" w:sz="12" w:space="0" w:color="000000"/>
              <w:bottom w:val="single" w:sz="4" w:space="0" w:color="000000"/>
              <w:right w:val="single" w:sz="12" w:space="0" w:color="000000"/>
            </w:tcBorders>
            <w:vAlign w:val="center"/>
          </w:tcPr>
          <w:p w14:paraId="67F4B38F" w14:textId="77777777" w:rsidR="00E40B71" w:rsidRDefault="00E40B71" w:rsidP="00601030">
            <w:pPr>
              <w:spacing w:after="0" w:line="259" w:lineRule="auto"/>
              <w:ind w:left="28" w:right="0" w:firstLine="0"/>
              <w:jc w:val="center"/>
            </w:pPr>
          </w:p>
        </w:tc>
        <w:tc>
          <w:tcPr>
            <w:tcW w:w="1889" w:type="dxa"/>
            <w:tcBorders>
              <w:top w:val="single" w:sz="4" w:space="0" w:color="000000"/>
              <w:left w:val="single" w:sz="12" w:space="0" w:color="000000"/>
              <w:bottom w:val="single" w:sz="4" w:space="0" w:color="000000"/>
              <w:right w:val="single" w:sz="12" w:space="0" w:color="000000"/>
            </w:tcBorders>
            <w:vAlign w:val="center"/>
          </w:tcPr>
          <w:p w14:paraId="3199706F" w14:textId="77777777" w:rsidR="00E40B71" w:rsidRDefault="00E40B71" w:rsidP="00601030">
            <w:pPr>
              <w:spacing w:after="0" w:line="259" w:lineRule="auto"/>
              <w:ind w:left="0" w:right="16" w:firstLine="0"/>
              <w:jc w:val="center"/>
            </w:pPr>
            <w:r>
              <w:rPr>
                <w:sz w:val="20"/>
              </w:rPr>
              <w:t>30%</w:t>
            </w:r>
          </w:p>
        </w:tc>
      </w:tr>
      <w:tr w:rsidR="00E40B71" w14:paraId="5A26DF52" w14:textId="77777777" w:rsidTr="00601030">
        <w:trPr>
          <w:trHeight w:val="360"/>
        </w:trPr>
        <w:tc>
          <w:tcPr>
            <w:tcW w:w="1856" w:type="dxa"/>
            <w:tcBorders>
              <w:top w:val="single" w:sz="4" w:space="0" w:color="000000"/>
              <w:left w:val="single" w:sz="12" w:space="0" w:color="000000"/>
              <w:bottom w:val="single" w:sz="4" w:space="0" w:color="000000"/>
              <w:right w:val="single" w:sz="12" w:space="0" w:color="000000"/>
            </w:tcBorders>
            <w:vAlign w:val="center"/>
          </w:tcPr>
          <w:p w14:paraId="1A944463" w14:textId="77777777" w:rsidR="00E40B71" w:rsidRDefault="00E40B71" w:rsidP="00601030">
            <w:pPr>
              <w:spacing w:after="0" w:line="259" w:lineRule="auto"/>
              <w:ind w:left="0" w:right="20" w:firstLine="0"/>
              <w:jc w:val="center"/>
            </w:pPr>
            <w:r>
              <w:rPr>
                <w:sz w:val="20"/>
              </w:rPr>
              <w:t xml:space="preserve">B/N </w:t>
            </w:r>
            <w:r>
              <w:rPr>
                <w:b/>
                <w:sz w:val="20"/>
              </w:rPr>
              <w:t>CCC</w:t>
            </w:r>
          </w:p>
        </w:tc>
        <w:tc>
          <w:tcPr>
            <w:tcW w:w="3240" w:type="dxa"/>
            <w:tcBorders>
              <w:top w:val="single" w:sz="4" w:space="0" w:color="000000"/>
              <w:left w:val="single" w:sz="12" w:space="0" w:color="000000"/>
              <w:bottom w:val="single" w:sz="4" w:space="0" w:color="000000"/>
              <w:right w:val="single" w:sz="12" w:space="0" w:color="000000"/>
            </w:tcBorders>
            <w:vAlign w:val="center"/>
          </w:tcPr>
          <w:p w14:paraId="45104096" w14:textId="77777777" w:rsidR="00E40B71" w:rsidRDefault="00E40B71" w:rsidP="00601030">
            <w:pPr>
              <w:spacing w:after="0" w:line="259" w:lineRule="auto"/>
              <w:ind w:left="0" w:right="0" w:firstLine="0"/>
              <w:jc w:val="center"/>
            </w:pPr>
            <w:r>
              <w:rPr>
                <w:sz w:val="20"/>
              </w:rPr>
              <w:t>Hexachlorobutadiene</w:t>
            </w:r>
          </w:p>
        </w:tc>
        <w:tc>
          <w:tcPr>
            <w:tcW w:w="2377" w:type="dxa"/>
            <w:tcBorders>
              <w:top w:val="single" w:sz="4" w:space="0" w:color="000000"/>
              <w:left w:val="single" w:sz="12" w:space="0" w:color="000000"/>
              <w:bottom w:val="single" w:sz="4" w:space="0" w:color="000000"/>
              <w:right w:val="single" w:sz="12" w:space="0" w:color="000000"/>
            </w:tcBorders>
            <w:vAlign w:val="center"/>
          </w:tcPr>
          <w:p w14:paraId="1B8AA44B" w14:textId="77777777" w:rsidR="00E40B71" w:rsidRDefault="00E40B71" w:rsidP="00601030">
            <w:pPr>
              <w:spacing w:after="0" w:line="259" w:lineRule="auto"/>
              <w:ind w:left="28" w:right="0" w:firstLine="0"/>
              <w:jc w:val="center"/>
            </w:pPr>
          </w:p>
        </w:tc>
        <w:tc>
          <w:tcPr>
            <w:tcW w:w="1889" w:type="dxa"/>
            <w:tcBorders>
              <w:top w:val="single" w:sz="4" w:space="0" w:color="000000"/>
              <w:left w:val="single" w:sz="12" w:space="0" w:color="000000"/>
              <w:bottom w:val="single" w:sz="4" w:space="0" w:color="000000"/>
              <w:right w:val="single" w:sz="12" w:space="0" w:color="000000"/>
            </w:tcBorders>
            <w:vAlign w:val="center"/>
          </w:tcPr>
          <w:p w14:paraId="30CD9701" w14:textId="77777777" w:rsidR="00E40B71" w:rsidRDefault="00E40B71" w:rsidP="00601030">
            <w:pPr>
              <w:spacing w:after="0" w:line="259" w:lineRule="auto"/>
              <w:ind w:left="0" w:right="16" w:firstLine="0"/>
              <w:jc w:val="center"/>
            </w:pPr>
            <w:r>
              <w:rPr>
                <w:sz w:val="20"/>
              </w:rPr>
              <w:t>30%</w:t>
            </w:r>
          </w:p>
        </w:tc>
      </w:tr>
      <w:tr w:rsidR="00E40B71" w14:paraId="1B9F7401" w14:textId="77777777" w:rsidTr="00601030">
        <w:trPr>
          <w:trHeight w:val="360"/>
        </w:trPr>
        <w:tc>
          <w:tcPr>
            <w:tcW w:w="1856" w:type="dxa"/>
            <w:tcBorders>
              <w:top w:val="single" w:sz="4" w:space="0" w:color="000000"/>
              <w:left w:val="single" w:sz="12" w:space="0" w:color="000000"/>
              <w:bottom w:val="single" w:sz="4" w:space="0" w:color="000000"/>
              <w:right w:val="single" w:sz="12" w:space="0" w:color="000000"/>
            </w:tcBorders>
            <w:vAlign w:val="center"/>
          </w:tcPr>
          <w:p w14:paraId="20524474" w14:textId="77777777" w:rsidR="00E40B71" w:rsidRDefault="00E40B71" w:rsidP="00601030">
            <w:pPr>
              <w:spacing w:after="0" w:line="259" w:lineRule="auto"/>
              <w:ind w:left="0" w:right="20" w:firstLine="0"/>
              <w:jc w:val="center"/>
            </w:pPr>
            <w:r>
              <w:rPr>
                <w:sz w:val="20"/>
              </w:rPr>
              <w:t xml:space="preserve">B/N </w:t>
            </w:r>
            <w:r>
              <w:rPr>
                <w:b/>
                <w:sz w:val="20"/>
              </w:rPr>
              <w:t>CCC</w:t>
            </w:r>
          </w:p>
        </w:tc>
        <w:tc>
          <w:tcPr>
            <w:tcW w:w="3240" w:type="dxa"/>
            <w:tcBorders>
              <w:top w:val="single" w:sz="4" w:space="0" w:color="000000"/>
              <w:left w:val="single" w:sz="12" w:space="0" w:color="000000"/>
              <w:bottom w:val="single" w:sz="4" w:space="0" w:color="000000"/>
              <w:right w:val="single" w:sz="12" w:space="0" w:color="000000"/>
            </w:tcBorders>
            <w:vAlign w:val="center"/>
          </w:tcPr>
          <w:p w14:paraId="0F18CCB1" w14:textId="77777777" w:rsidR="00E40B71" w:rsidRDefault="00E40B71" w:rsidP="00601030">
            <w:pPr>
              <w:spacing w:after="0" w:line="259" w:lineRule="auto"/>
              <w:ind w:left="0" w:right="0" w:firstLine="0"/>
              <w:jc w:val="center"/>
            </w:pPr>
            <w:r>
              <w:rPr>
                <w:sz w:val="20"/>
              </w:rPr>
              <w:t>Diphenylamine</w:t>
            </w:r>
          </w:p>
        </w:tc>
        <w:tc>
          <w:tcPr>
            <w:tcW w:w="2377" w:type="dxa"/>
            <w:tcBorders>
              <w:top w:val="single" w:sz="4" w:space="0" w:color="000000"/>
              <w:left w:val="single" w:sz="12" w:space="0" w:color="000000"/>
              <w:bottom w:val="single" w:sz="4" w:space="0" w:color="000000"/>
              <w:right w:val="single" w:sz="12" w:space="0" w:color="000000"/>
            </w:tcBorders>
            <w:vAlign w:val="center"/>
          </w:tcPr>
          <w:p w14:paraId="45715EC5" w14:textId="77777777" w:rsidR="00E40B71" w:rsidRDefault="00E40B71" w:rsidP="00601030">
            <w:pPr>
              <w:spacing w:after="0" w:line="259" w:lineRule="auto"/>
              <w:ind w:left="28" w:right="0" w:firstLine="0"/>
              <w:jc w:val="center"/>
            </w:pPr>
          </w:p>
        </w:tc>
        <w:tc>
          <w:tcPr>
            <w:tcW w:w="1889" w:type="dxa"/>
            <w:tcBorders>
              <w:top w:val="single" w:sz="4" w:space="0" w:color="000000"/>
              <w:left w:val="single" w:sz="12" w:space="0" w:color="000000"/>
              <w:bottom w:val="single" w:sz="4" w:space="0" w:color="000000"/>
              <w:right w:val="single" w:sz="12" w:space="0" w:color="000000"/>
            </w:tcBorders>
            <w:vAlign w:val="center"/>
          </w:tcPr>
          <w:p w14:paraId="294D7573" w14:textId="77777777" w:rsidR="00E40B71" w:rsidRDefault="00E40B71" w:rsidP="00601030">
            <w:pPr>
              <w:spacing w:after="0" w:line="259" w:lineRule="auto"/>
              <w:ind w:left="0" w:right="16" w:firstLine="0"/>
              <w:jc w:val="center"/>
            </w:pPr>
            <w:r>
              <w:rPr>
                <w:sz w:val="20"/>
              </w:rPr>
              <w:t>30%</w:t>
            </w:r>
          </w:p>
        </w:tc>
      </w:tr>
      <w:tr w:rsidR="00E40B71" w14:paraId="778DAE80" w14:textId="77777777" w:rsidTr="00601030">
        <w:trPr>
          <w:trHeight w:val="360"/>
        </w:trPr>
        <w:tc>
          <w:tcPr>
            <w:tcW w:w="1856" w:type="dxa"/>
            <w:tcBorders>
              <w:top w:val="single" w:sz="4" w:space="0" w:color="000000"/>
              <w:left w:val="single" w:sz="12" w:space="0" w:color="000000"/>
              <w:bottom w:val="single" w:sz="4" w:space="0" w:color="000000"/>
              <w:right w:val="single" w:sz="12" w:space="0" w:color="000000"/>
            </w:tcBorders>
            <w:vAlign w:val="center"/>
          </w:tcPr>
          <w:p w14:paraId="4F31F8D1" w14:textId="77777777" w:rsidR="00E40B71" w:rsidRDefault="00E40B71" w:rsidP="00601030">
            <w:pPr>
              <w:spacing w:after="0" w:line="259" w:lineRule="auto"/>
              <w:ind w:left="0" w:right="20" w:firstLine="0"/>
              <w:jc w:val="center"/>
            </w:pPr>
            <w:r>
              <w:rPr>
                <w:sz w:val="20"/>
              </w:rPr>
              <w:t xml:space="preserve">B/N </w:t>
            </w:r>
            <w:r>
              <w:rPr>
                <w:b/>
                <w:sz w:val="20"/>
              </w:rPr>
              <w:t>CCC</w:t>
            </w:r>
          </w:p>
        </w:tc>
        <w:tc>
          <w:tcPr>
            <w:tcW w:w="3240" w:type="dxa"/>
            <w:tcBorders>
              <w:top w:val="single" w:sz="4" w:space="0" w:color="000000"/>
              <w:left w:val="single" w:sz="12" w:space="0" w:color="000000"/>
              <w:bottom w:val="single" w:sz="4" w:space="0" w:color="000000"/>
              <w:right w:val="single" w:sz="12" w:space="0" w:color="000000"/>
            </w:tcBorders>
            <w:vAlign w:val="center"/>
          </w:tcPr>
          <w:p w14:paraId="4B235B71" w14:textId="77777777" w:rsidR="00E40B71" w:rsidRDefault="00E40B71" w:rsidP="00601030">
            <w:pPr>
              <w:spacing w:after="0" w:line="259" w:lineRule="auto"/>
              <w:ind w:left="0" w:right="0" w:firstLine="0"/>
              <w:jc w:val="center"/>
            </w:pPr>
            <w:r>
              <w:rPr>
                <w:sz w:val="20"/>
              </w:rPr>
              <w:t>Di-n-octyl phthalate</w:t>
            </w:r>
          </w:p>
        </w:tc>
        <w:tc>
          <w:tcPr>
            <w:tcW w:w="2377" w:type="dxa"/>
            <w:tcBorders>
              <w:top w:val="single" w:sz="4" w:space="0" w:color="000000"/>
              <w:left w:val="single" w:sz="12" w:space="0" w:color="000000"/>
              <w:bottom w:val="single" w:sz="4" w:space="0" w:color="000000"/>
              <w:right w:val="single" w:sz="12" w:space="0" w:color="000000"/>
            </w:tcBorders>
            <w:vAlign w:val="center"/>
          </w:tcPr>
          <w:p w14:paraId="2677DF03" w14:textId="77777777" w:rsidR="00E40B71" w:rsidRDefault="00E40B71" w:rsidP="00601030">
            <w:pPr>
              <w:spacing w:after="0" w:line="259" w:lineRule="auto"/>
              <w:ind w:left="28" w:right="0" w:firstLine="0"/>
              <w:jc w:val="center"/>
            </w:pPr>
          </w:p>
        </w:tc>
        <w:tc>
          <w:tcPr>
            <w:tcW w:w="1889" w:type="dxa"/>
            <w:tcBorders>
              <w:top w:val="single" w:sz="4" w:space="0" w:color="000000"/>
              <w:left w:val="single" w:sz="12" w:space="0" w:color="000000"/>
              <w:bottom w:val="single" w:sz="4" w:space="0" w:color="000000"/>
              <w:right w:val="single" w:sz="12" w:space="0" w:color="000000"/>
            </w:tcBorders>
            <w:vAlign w:val="center"/>
          </w:tcPr>
          <w:p w14:paraId="5FB32B36" w14:textId="77777777" w:rsidR="00E40B71" w:rsidRDefault="00E40B71" w:rsidP="00601030">
            <w:pPr>
              <w:spacing w:after="0" w:line="259" w:lineRule="auto"/>
              <w:ind w:left="0" w:right="16" w:firstLine="0"/>
              <w:jc w:val="center"/>
            </w:pPr>
            <w:r>
              <w:rPr>
                <w:sz w:val="20"/>
              </w:rPr>
              <w:t>30%</w:t>
            </w:r>
          </w:p>
        </w:tc>
      </w:tr>
      <w:tr w:rsidR="00E40B71" w14:paraId="5181BB15" w14:textId="77777777" w:rsidTr="00601030">
        <w:trPr>
          <w:trHeight w:val="360"/>
        </w:trPr>
        <w:tc>
          <w:tcPr>
            <w:tcW w:w="1856" w:type="dxa"/>
            <w:tcBorders>
              <w:top w:val="single" w:sz="4" w:space="0" w:color="000000"/>
              <w:left w:val="single" w:sz="12" w:space="0" w:color="000000"/>
              <w:bottom w:val="single" w:sz="4" w:space="0" w:color="000000"/>
              <w:right w:val="single" w:sz="12" w:space="0" w:color="000000"/>
            </w:tcBorders>
            <w:vAlign w:val="center"/>
          </w:tcPr>
          <w:p w14:paraId="116C5652" w14:textId="77777777" w:rsidR="00E40B71" w:rsidRDefault="00E40B71" w:rsidP="00601030">
            <w:pPr>
              <w:spacing w:after="0" w:line="259" w:lineRule="auto"/>
              <w:ind w:left="0" w:right="20" w:firstLine="0"/>
              <w:jc w:val="center"/>
            </w:pPr>
            <w:r>
              <w:rPr>
                <w:sz w:val="20"/>
              </w:rPr>
              <w:t xml:space="preserve">B/N </w:t>
            </w:r>
            <w:r>
              <w:rPr>
                <w:b/>
                <w:sz w:val="20"/>
              </w:rPr>
              <w:t>CCC</w:t>
            </w:r>
          </w:p>
        </w:tc>
        <w:tc>
          <w:tcPr>
            <w:tcW w:w="3240" w:type="dxa"/>
            <w:tcBorders>
              <w:top w:val="single" w:sz="4" w:space="0" w:color="000000"/>
              <w:left w:val="single" w:sz="12" w:space="0" w:color="000000"/>
              <w:bottom w:val="single" w:sz="4" w:space="0" w:color="000000"/>
              <w:right w:val="single" w:sz="12" w:space="0" w:color="000000"/>
            </w:tcBorders>
            <w:vAlign w:val="center"/>
          </w:tcPr>
          <w:p w14:paraId="043837F9" w14:textId="77777777" w:rsidR="00E40B71" w:rsidRDefault="00E40B71" w:rsidP="00601030">
            <w:pPr>
              <w:spacing w:after="0" w:line="259" w:lineRule="auto"/>
              <w:ind w:left="0" w:right="0" w:firstLine="0"/>
              <w:jc w:val="center"/>
            </w:pPr>
            <w:r>
              <w:rPr>
                <w:sz w:val="20"/>
              </w:rPr>
              <w:t>Fluoranthene</w:t>
            </w:r>
          </w:p>
        </w:tc>
        <w:tc>
          <w:tcPr>
            <w:tcW w:w="2377" w:type="dxa"/>
            <w:tcBorders>
              <w:top w:val="single" w:sz="4" w:space="0" w:color="000000"/>
              <w:left w:val="single" w:sz="12" w:space="0" w:color="000000"/>
              <w:bottom w:val="single" w:sz="4" w:space="0" w:color="000000"/>
              <w:right w:val="single" w:sz="12" w:space="0" w:color="000000"/>
            </w:tcBorders>
            <w:vAlign w:val="center"/>
          </w:tcPr>
          <w:p w14:paraId="7BC7F710" w14:textId="77777777" w:rsidR="00E40B71" w:rsidRDefault="00E40B71" w:rsidP="00601030">
            <w:pPr>
              <w:spacing w:after="0" w:line="259" w:lineRule="auto"/>
              <w:ind w:left="28" w:right="0" w:firstLine="0"/>
              <w:jc w:val="center"/>
            </w:pPr>
          </w:p>
        </w:tc>
        <w:tc>
          <w:tcPr>
            <w:tcW w:w="1889" w:type="dxa"/>
            <w:tcBorders>
              <w:top w:val="single" w:sz="4" w:space="0" w:color="000000"/>
              <w:left w:val="single" w:sz="12" w:space="0" w:color="000000"/>
              <w:bottom w:val="single" w:sz="4" w:space="0" w:color="000000"/>
              <w:right w:val="single" w:sz="12" w:space="0" w:color="000000"/>
            </w:tcBorders>
            <w:vAlign w:val="center"/>
          </w:tcPr>
          <w:p w14:paraId="415E1613" w14:textId="77777777" w:rsidR="00E40B71" w:rsidRDefault="00E40B71" w:rsidP="00601030">
            <w:pPr>
              <w:spacing w:after="0" w:line="259" w:lineRule="auto"/>
              <w:ind w:left="0" w:right="16" w:firstLine="0"/>
              <w:jc w:val="center"/>
            </w:pPr>
            <w:r>
              <w:rPr>
                <w:sz w:val="20"/>
              </w:rPr>
              <w:t>30%</w:t>
            </w:r>
          </w:p>
        </w:tc>
      </w:tr>
      <w:tr w:rsidR="00E40B71" w14:paraId="64C297E1" w14:textId="77777777" w:rsidTr="00601030">
        <w:trPr>
          <w:trHeight w:val="360"/>
        </w:trPr>
        <w:tc>
          <w:tcPr>
            <w:tcW w:w="1856" w:type="dxa"/>
            <w:tcBorders>
              <w:top w:val="single" w:sz="4" w:space="0" w:color="000000"/>
              <w:left w:val="single" w:sz="12" w:space="0" w:color="000000"/>
              <w:bottom w:val="single" w:sz="4" w:space="0" w:color="000000"/>
              <w:right w:val="single" w:sz="12" w:space="0" w:color="000000"/>
            </w:tcBorders>
            <w:vAlign w:val="center"/>
          </w:tcPr>
          <w:p w14:paraId="78F2E8D8" w14:textId="77777777" w:rsidR="00E40B71" w:rsidRDefault="00E40B71" w:rsidP="00601030">
            <w:pPr>
              <w:spacing w:after="0" w:line="259" w:lineRule="auto"/>
              <w:ind w:left="0" w:right="20" w:firstLine="0"/>
              <w:jc w:val="center"/>
            </w:pPr>
            <w:r>
              <w:rPr>
                <w:sz w:val="20"/>
              </w:rPr>
              <w:t xml:space="preserve">B/N </w:t>
            </w:r>
            <w:r>
              <w:rPr>
                <w:b/>
                <w:sz w:val="20"/>
              </w:rPr>
              <w:t>CCC</w:t>
            </w:r>
          </w:p>
        </w:tc>
        <w:tc>
          <w:tcPr>
            <w:tcW w:w="3240" w:type="dxa"/>
            <w:tcBorders>
              <w:top w:val="single" w:sz="4" w:space="0" w:color="000000"/>
              <w:left w:val="single" w:sz="12" w:space="0" w:color="000000"/>
              <w:bottom w:val="single" w:sz="4" w:space="0" w:color="000000"/>
              <w:right w:val="single" w:sz="12" w:space="0" w:color="000000"/>
            </w:tcBorders>
            <w:vAlign w:val="center"/>
          </w:tcPr>
          <w:p w14:paraId="19DBACF8" w14:textId="77777777" w:rsidR="00E40B71" w:rsidRDefault="00E40B71" w:rsidP="00601030">
            <w:pPr>
              <w:spacing w:after="0" w:line="259" w:lineRule="auto"/>
              <w:ind w:left="0" w:right="0" w:firstLine="0"/>
              <w:jc w:val="center"/>
            </w:pPr>
            <w:r>
              <w:rPr>
                <w:sz w:val="20"/>
              </w:rPr>
              <w:t>Benzo(a)pyrene</w:t>
            </w:r>
          </w:p>
        </w:tc>
        <w:tc>
          <w:tcPr>
            <w:tcW w:w="2377" w:type="dxa"/>
            <w:tcBorders>
              <w:top w:val="single" w:sz="4" w:space="0" w:color="000000"/>
              <w:left w:val="single" w:sz="12" w:space="0" w:color="000000"/>
              <w:bottom w:val="single" w:sz="4" w:space="0" w:color="000000"/>
              <w:right w:val="single" w:sz="12" w:space="0" w:color="000000"/>
            </w:tcBorders>
            <w:vAlign w:val="center"/>
          </w:tcPr>
          <w:p w14:paraId="1B875B5F" w14:textId="77777777" w:rsidR="00E40B71" w:rsidRDefault="00E40B71" w:rsidP="00601030">
            <w:pPr>
              <w:spacing w:after="0" w:line="259" w:lineRule="auto"/>
              <w:ind w:left="28" w:right="0" w:firstLine="0"/>
              <w:jc w:val="center"/>
            </w:pPr>
          </w:p>
        </w:tc>
        <w:tc>
          <w:tcPr>
            <w:tcW w:w="1889" w:type="dxa"/>
            <w:tcBorders>
              <w:top w:val="single" w:sz="4" w:space="0" w:color="000000"/>
              <w:left w:val="single" w:sz="12" w:space="0" w:color="000000"/>
              <w:bottom w:val="single" w:sz="4" w:space="0" w:color="000000"/>
              <w:right w:val="single" w:sz="12" w:space="0" w:color="000000"/>
            </w:tcBorders>
            <w:vAlign w:val="center"/>
          </w:tcPr>
          <w:p w14:paraId="32C9049C" w14:textId="77777777" w:rsidR="00E40B71" w:rsidRDefault="00E40B71" w:rsidP="00601030">
            <w:pPr>
              <w:spacing w:after="0" w:line="259" w:lineRule="auto"/>
              <w:ind w:left="0" w:right="16" w:firstLine="0"/>
              <w:jc w:val="center"/>
            </w:pPr>
            <w:r>
              <w:rPr>
                <w:sz w:val="20"/>
              </w:rPr>
              <w:t>30%</w:t>
            </w:r>
          </w:p>
        </w:tc>
      </w:tr>
      <w:tr w:rsidR="00E40B71" w14:paraId="1526CA9D" w14:textId="77777777" w:rsidTr="00601030">
        <w:trPr>
          <w:trHeight w:val="360"/>
        </w:trPr>
        <w:tc>
          <w:tcPr>
            <w:tcW w:w="1856" w:type="dxa"/>
            <w:tcBorders>
              <w:top w:val="single" w:sz="4" w:space="0" w:color="000000"/>
              <w:left w:val="single" w:sz="12" w:space="0" w:color="000000"/>
              <w:bottom w:val="single" w:sz="4" w:space="0" w:color="000000"/>
              <w:right w:val="single" w:sz="12" w:space="0" w:color="000000"/>
            </w:tcBorders>
            <w:vAlign w:val="center"/>
          </w:tcPr>
          <w:p w14:paraId="18499052" w14:textId="77777777" w:rsidR="00E40B71" w:rsidRDefault="00E40B71" w:rsidP="00601030">
            <w:pPr>
              <w:spacing w:after="0" w:line="259" w:lineRule="auto"/>
              <w:ind w:left="0" w:right="25" w:firstLine="0"/>
              <w:jc w:val="center"/>
            </w:pPr>
            <w:r>
              <w:rPr>
                <w:sz w:val="20"/>
              </w:rPr>
              <w:t xml:space="preserve">Acid </w:t>
            </w:r>
            <w:r>
              <w:rPr>
                <w:b/>
                <w:sz w:val="20"/>
              </w:rPr>
              <w:t>CCC</w:t>
            </w:r>
          </w:p>
        </w:tc>
        <w:tc>
          <w:tcPr>
            <w:tcW w:w="3240" w:type="dxa"/>
            <w:tcBorders>
              <w:top w:val="single" w:sz="4" w:space="0" w:color="000000"/>
              <w:left w:val="single" w:sz="12" w:space="0" w:color="000000"/>
              <w:bottom w:val="single" w:sz="4" w:space="0" w:color="000000"/>
              <w:right w:val="single" w:sz="12" w:space="0" w:color="000000"/>
            </w:tcBorders>
            <w:vAlign w:val="center"/>
          </w:tcPr>
          <w:p w14:paraId="59325DBF" w14:textId="77777777" w:rsidR="00E40B71" w:rsidRDefault="00E40B71" w:rsidP="00601030">
            <w:pPr>
              <w:spacing w:after="0" w:line="259" w:lineRule="auto"/>
              <w:ind w:left="0" w:right="0" w:firstLine="0"/>
              <w:jc w:val="center"/>
            </w:pPr>
            <w:r>
              <w:rPr>
                <w:sz w:val="20"/>
              </w:rPr>
              <w:t>4-Chloro-3-methylphenol</w:t>
            </w:r>
          </w:p>
        </w:tc>
        <w:tc>
          <w:tcPr>
            <w:tcW w:w="2377" w:type="dxa"/>
            <w:tcBorders>
              <w:top w:val="single" w:sz="4" w:space="0" w:color="000000"/>
              <w:left w:val="single" w:sz="12" w:space="0" w:color="000000"/>
              <w:bottom w:val="single" w:sz="4" w:space="0" w:color="000000"/>
              <w:right w:val="single" w:sz="12" w:space="0" w:color="000000"/>
            </w:tcBorders>
            <w:vAlign w:val="center"/>
          </w:tcPr>
          <w:p w14:paraId="7C435EEB" w14:textId="77777777" w:rsidR="00E40B71" w:rsidRDefault="00E40B71" w:rsidP="00601030">
            <w:pPr>
              <w:spacing w:after="0" w:line="259" w:lineRule="auto"/>
              <w:ind w:left="28" w:right="0" w:firstLine="0"/>
              <w:jc w:val="center"/>
            </w:pPr>
          </w:p>
        </w:tc>
        <w:tc>
          <w:tcPr>
            <w:tcW w:w="1889" w:type="dxa"/>
            <w:tcBorders>
              <w:top w:val="single" w:sz="4" w:space="0" w:color="000000"/>
              <w:left w:val="single" w:sz="12" w:space="0" w:color="000000"/>
              <w:bottom w:val="single" w:sz="4" w:space="0" w:color="000000"/>
              <w:right w:val="single" w:sz="12" w:space="0" w:color="000000"/>
            </w:tcBorders>
            <w:vAlign w:val="center"/>
          </w:tcPr>
          <w:p w14:paraId="3F9D6B36" w14:textId="77777777" w:rsidR="00E40B71" w:rsidRDefault="00E40B71" w:rsidP="00601030">
            <w:pPr>
              <w:spacing w:after="0" w:line="259" w:lineRule="auto"/>
              <w:ind w:left="0" w:right="16" w:firstLine="0"/>
              <w:jc w:val="center"/>
            </w:pPr>
            <w:r>
              <w:rPr>
                <w:sz w:val="20"/>
              </w:rPr>
              <w:t>30%</w:t>
            </w:r>
          </w:p>
        </w:tc>
      </w:tr>
      <w:tr w:rsidR="00E40B71" w14:paraId="48BE7A9E" w14:textId="77777777" w:rsidTr="00601030">
        <w:trPr>
          <w:trHeight w:val="360"/>
        </w:trPr>
        <w:tc>
          <w:tcPr>
            <w:tcW w:w="1856" w:type="dxa"/>
            <w:tcBorders>
              <w:top w:val="single" w:sz="4" w:space="0" w:color="000000"/>
              <w:left w:val="single" w:sz="12" w:space="0" w:color="000000"/>
              <w:bottom w:val="single" w:sz="4" w:space="0" w:color="000000"/>
              <w:right w:val="single" w:sz="12" w:space="0" w:color="000000"/>
            </w:tcBorders>
            <w:vAlign w:val="center"/>
          </w:tcPr>
          <w:p w14:paraId="0C37B444" w14:textId="77777777" w:rsidR="00E40B71" w:rsidRDefault="00E40B71" w:rsidP="00601030">
            <w:pPr>
              <w:spacing w:after="0" w:line="259" w:lineRule="auto"/>
              <w:ind w:left="0" w:right="25" w:firstLine="0"/>
              <w:jc w:val="center"/>
            </w:pPr>
            <w:r>
              <w:rPr>
                <w:sz w:val="20"/>
              </w:rPr>
              <w:t xml:space="preserve">Acid </w:t>
            </w:r>
            <w:r>
              <w:rPr>
                <w:b/>
                <w:sz w:val="20"/>
              </w:rPr>
              <w:t>CCC</w:t>
            </w:r>
          </w:p>
        </w:tc>
        <w:tc>
          <w:tcPr>
            <w:tcW w:w="3240" w:type="dxa"/>
            <w:tcBorders>
              <w:top w:val="single" w:sz="4" w:space="0" w:color="000000"/>
              <w:left w:val="single" w:sz="12" w:space="0" w:color="000000"/>
              <w:bottom w:val="single" w:sz="4" w:space="0" w:color="000000"/>
              <w:right w:val="single" w:sz="12" w:space="0" w:color="000000"/>
            </w:tcBorders>
            <w:vAlign w:val="center"/>
          </w:tcPr>
          <w:p w14:paraId="500B5644" w14:textId="77777777" w:rsidR="00E40B71" w:rsidRDefault="00E40B71" w:rsidP="00601030">
            <w:pPr>
              <w:spacing w:after="0" w:line="259" w:lineRule="auto"/>
              <w:ind w:left="0" w:right="0" w:firstLine="0"/>
              <w:jc w:val="center"/>
            </w:pPr>
            <w:r>
              <w:rPr>
                <w:sz w:val="20"/>
              </w:rPr>
              <w:t>2,4-Dichlorophenol</w:t>
            </w:r>
          </w:p>
        </w:tc>
        <w:tc>
          <w:tcPr>
            <w:tcW w:w="2377" w:type="dxa"/>
            <w:tcBorders>
              <w:top w:val="single" w:sz="4" w:space="0" w:color="000000"/>
              <w:left w:val="single" w:sz="12" w:space="0" w:color="000000"/>
              <w:bottom w:val="single" w:sz="4" w:space="0" w:color="000000"/>
              <w:right w:val="single" w:sz="12" w:space="0" w:color="000000"/>
            </w:tcBorders>
            <w:vAlign w:val="center"/>
          </w:tcPr>
          <w:p w14:paraId="5DF94611" w14:textId="77777777" w:rsidR="00E40B71" w:rsidRDefault="00E40B71" w:rsidP="00601030">
            <w:pPr>
              <w:spacing w:after="0" w:line="259" w:lineRule="auto"/>
              <w:ind w:left="28" w:right="0" w:firstLine="0"/>
              <w:jc w:val="center"/>
            </w:pPr>
          </w:p>
        </w:tc>
        <w:tc>
          <w:tcPr>
            <w:tcW w:w="1889" w:type="dxa"/>
            <w:tcBorders>
              <w:top w:val="single" w:sz="4" w:space="0" w:color="000000"/>
              <w:left w:val="single" w:sz="12" w:space="0" w:color="000000"/>
              <w:bottom w:val="single" w:sz="4" w:space="0" w:color="000000"/>
              <w:right w:val="single" w:sz="12" w:space="0" w:color="000000"/>
            </w:tcBorders>
            <w:vAlign w:val="center"/>
          </w:tcPr>
          <w:p w14:paraId="3F01F270" w14:textId="77777777" w:rsidR="00E40B71" w:rsidRDefault="00E40B71" w:rsidP="00601030">
            <w:pPr>
              <w:spacing w:after="0" w:line="259" w:lineRule="auto"/>
              <w:ind w:left="0" w:right="16" w:firstLine="0"/>
              <w:jc w:val="center"/>
            </w:pPr>
            <w:r>
              <w:rPr>
                <w:sz w:val="20"/>
              </w:rPr>
              <w:t>30%</w:t>
            </w:r>
          </w:p>
        </w:tc>
      </w:tr>
      <w:tr w:rsidR="00E40B71" w14:paraId="5840BB58" w14:textId="77777777" w:rsidTr="00601030">
        <w:trPr>
          <w:trHeight w:val="360"/>
        </w:trPr>
        <w:tc>
          <w:tcPr>
            <w:tcW w:w="1856" w:type="dxa"/>
            <w:tcBorders>
              <w:top w:val="single" w:sz="4" w:space="0" w:color="000000"/>
              <w:left w:val="single" w:sz="12" w:space="0" w:color="000000"/>
              <w:bottom w:val="single" w:sz="4" w:space="0" w:color="000000"/>
              <w:right w:val="single" w:sz="12" w:space="0" w:color="000000"/>
            </w:tcBorders>
            <w:vAlign w:val="center"/>
          </w:tcPr>
          <w:p w14:paraId="4E72E7A0" w14:textId="77777777" w:rsidR="00E40B71" w:rsidRDefault="00E40B71" w:rsidP="00601030">
            <w:pPr>
              <w:spacing w:after="0" w:line="259" w:lineRule="auto"/>
              <w:ind w:left="0" w:right="25" w:firstLine="0"/>
              <w:jc w:val="center"/>
            </w:pPr>
            <w:r>
              <w:rPr>
                <w:sz w:val="20"/>
              </w:rPr>
              <w:t xml:space="preserve">Acid </w:t>
            </w:r>
            <w:r>
              <w:rPr>
                <w:b/>
                <w:sz w:val="20"/>
              </w:rPr>
              <w:t>CCC</w:t>
            </w:r>
          </w:p>
        </w:tc>
        <w:tc>
          <w:tcPr>
            <w:tcW w:w="3240" w:type="dxa"/>
            <w:tcBorders>
              <w:top w:val="single" w:sz="4" w:space="0" w:color="000000"/>
              <w:left w:val="single" w:sz="12" w:space="0" w:color="000000"/>
              <w:bottom w:val="single" w:sz="4" w:space="0" w:color="000000"/>
              <w:right w:val="single" w:sz="12" w:space="0" w:color="000000"/>
            </w:tcBorders>
            <w:vAlign w:val="center"/>
          </w:tcPr>
          <w:p w14:paraId="292CB201" w14:textId="77777777" w:rsidR="00E40B71" w:rsidRDefault="00E40B71" w:rsidP="00601030">
            <w:pPr>
              <w:spacing w:after="0" w:line="259" w:lineRule="auto"/>
              <w:ind w:left="0" w:right="0" w:firstLine="0"/>
              <w:jc w:val="center"/>
            </w:pPr>
            <w:r>
              <w:rPr>
                <w:sz w:val="20"/>
              </w:rPr>
              <w:t>2-Nitrophenol</w:t>
            </w:r>
          </w:p>
        </w:tc>
        <w:tc>
          <w:tcPr>
            <w:tcW w:w="2377" w:type="dxa"/>
            <w:tcBorders>
              <w:top w:val="single" w:sz="4" w:space="0" w:color="000000"/>
              <w:left w:val="single" w:sz="12" w:space="0" w:color="000000"/>
              <w:bottom w:val="single" w:sz="4" w:space="0" w:color="000000"/>
              <w:right w:val="single" w:sz="12" w:space="0" w:color="000000"/>
            </w:tcBorders>
            <w:vAlign w:val="center"/>
          </w:tcPr>
          <w:p w14:paraId="32B591C7" w14:textId="77777777" w:rsidR="00E40B71" w:rsidRDefault="00E40B71" w:rsidP="00601030">
            <w:pPr>
              <w:spacing w:after="0" w:line="259" w:lineRule="auto"/>
              <w:ind w:left="28" w:right="0" w:firstLine="0"/>
              <w:jc w:val="center"/>
            </w:pPr>
          </w:p>
        </w:tc>
        <w:tc>
          <w:tcPr>
            <w:tcW w:w="1889" w:type="dxa"/>
            <w:tcBorders>
              <w:top w:val="single" w:sz="4" w:space="0" w:color="000000"/>
              <w:left w:val="single" w:sz="12" w:space="0" w:color="000000"/>
              <w:bottom w:val="single" w:sz="4" w:space="0" w:color="000000"/>
              <w:right w:val="single" w:sz="12" w:space="0" w:color="000000"/>
            </w:tcBorders>
            <w:vAlign w:val="center"/>
          </w:tcPr>
          <w:p w14:paraId="7AA648B8" w14:textId="77777777" w:rsidR="00E40B71" w:rsidRDefault="00E40B71" w:rsidP="00601030">
            <w:pPr>
              <w:spacing w:after="0" w:line="259" w:lineRule="auto"/>
              <w:ind w:left="0" w:right="16" w:firstLine="0"/>
              <w:jc w:val="center"/>
            </w:pPr>
            <w:r>
              <w:rPr>
                <w:sz w:val="20"/>
              </w:rPr>
              <w:t>30%</w:t>
            </w:r>
          </w:p>
        </w:tc>
      </w:tr>
      <w:tr w:rsidR="00E40B71" w14:paraId="710AB1FA" w14:textId="77777777" w:rsidTr="00601030">
        <w:trPr>
          <w:trHeight w:val="360"/>
        </w:trPr>
        <w:tc>
          <w:tcPr>
            <w:tcW w:w="1856" w:type="dxa"/>
            <w:tcBorders>
              <w:top w:val="single" w:sz="4" w:space="0" w:color="000000"/>
              <w:left w:val="single" w:sz="12" w:space="0" w:color="000000"/>
              <w:bottom w:val="single" w:sz="4" w:space="0" w:color="000000"/>
              <w:right w:val="single" w:sz="12" w:space="0" w:color="000000"/>
            </w:tcBorders>
            <w:vAlign w:val="center"/>
          </w:tcPr>
          <w:p w14:paraId="46600C97" w14:textId="77777777" w:rsidR="00E40B71" w:rsidRDefault="00E40B71" w:rsidP="00601030">
            <w:pPr>
              <w:spacing w:after="0" w:line="259" w:lineRule="auto"/>
              <w:ind w:left="0" w:right="25" w:firstLine="0"/>
              <w:jc w:val="center"/>
            </w:pPr>
            <w:r>
              <w:rPr>
                <w:sz w:val="20"/>
              </w:rPr>
              <w:t xml:space="preserve">Acid </w:t>
            </w:r>
            <w:r>
              <w:rPr>
                <w:b/>
                <w:sz w:val="20"/>
              </w:rPr>
              <w:t>CCC</w:t>
            </w:r>
          </w:p>
        </w:tc>
        <w:tc>
          <w:tcPr>
            <w:tcW w:w="3240" w:type="dxa"/>
            <w:tcBorders>
              <w:top w:val="single" w:sz="4" w:space="0" w:color="000000"/>
              <w:left w:val="single" w:sz="12" w:space="0" w:color="000000"/>
              <w:bottom w:val="single" w:sz="4" w:space="0" w:color="000000"/>
              <w:right w:val="single" w:sz="12" w:space="0" w:color="000000"/>
            </w:tcBorders>
            <w:vAlign w:val="center"/>
          </w:tcPr>
          <w:p w14:paraId="6DCFCCBA" w14:textId="77777777" w:rsidR="00E40B71" w:rsidRDefault="00E40B71" w:rsidP="00601030">
            <w:pPr>
              <w:spacing w:after="0" w:line="259" w:lineRule="auto"/>
              <w:ind w:left="0" w:right="0" w:firstLine="0"/>
              <w:jc w:val="center"/>
            </w:pPr>
            <w:r>
              <w:rPr>
                <w:sz w:val="20"/>
              </w:rPr>
              <w:t>Phenol</w:t>
            </w:r>
          </w:p>
        </w:tc>
        <w:tc>
          <w:tcPr>
            <w:tcW w:w="2377" w:type="dxa"/>
            <w:tcBorders>
              <w:top w:val="single" w:sz="4" w:space="0" w:color="000000"/>
              <w:left w:val="single" w:sz="12" w:space="0" w:color="000000"/>
              <w:bottom w:val="single" w:sz="4" w:space="0" w:color="000000"/>
              <w:right w:val="single" w:sz="12" w:space="0" w:color="000000"/>
            </w:tcBorders>
            <w:vAlign w:val="center"/>
          </w:tcPr>
          <w:p w14:paraId="57EDED89" w14:textId="77777777" w:rsidR="00E40B71" w:rsidRDefault="00E40B71" w:rsidP="00601030">
            <w:pPr>
              <w:spacing w:after="0" w:line="259" w:lineRule="auto"/>
              <w:ind w:left="28" w:right="0" w:firstLine="0"/>
              <w:jc w:val="center"/>
            </w:pPr>
          </w:p>
        </w:tc>
        <w:tc>
          <w:tcPr>
            <w:tcW w:w="1889" w:type="dxa"/>
            <w:tcBorders>
              <w:top w:val="single" w:sz="4" w:space="0" w:color="000000"/>
              <w:left w:val="single" w:sz="12" w:space="0" w:color="000000"/>
              <w:bottom w:val="single" w:sz="4" w:space="0" w:color="000000"/>
              <w:right w:val="single" w:sz="12" w:space="0" w:color="000000"/>
            </w:tcBorders>
            <w:vAlign w:val="center"/>
          </w:tcPr>
          <w:p w14:paraId="5DBE853F" w14:textId="77777777" w:rsidR="00E40B71" w:rsidRDefault="00E40B71" w:rsidP="00601030">
            <w:pPr>
              <w:spacing w:after="0" w:line="259" w:lineRule="auto"/>
              <w:ind w:left="0" w:right="16" w:firstLine="0"/>
              <w:jc w:val="center"/>
            </w:pPr>
            <w:r>
              <w:rPr>
                <w:sz w:val="20"/>
              </w:rPr>
              <w:t>30%</w:t>
            </w:r>
          </w:p>
        </w:tc>
      </w:tr>
      <w:tr w:rsidR="00E40B71" w14:paraId="62E6A79D" w14:textId="77777777" w:rsidTr="00601030">
        <w:trPr>
          <w:trHeight w:val="360"/>
        </w:trPr>
        <w:tc>
          <w:tcPr>
            <w:tcW w:w="1856" w:type="dxa"/>
            <w:tcBorders>
              <w:top w:val="single" w:sz="4" w:space="0" w:color="000000"/>
              <w:left w:val="single" w:sz="12" w:space="0" w:color="000000"/>
              <w:bottom w:val="single" w:sz="4" w:space="0" w:color="000000"/>
              <w:right w:val="single" w:sz="12" w:space="0" w:color="000000"/>
            </w:tcBorders>
            <w:vAlign w:val="center"/>
          </w:tcPr>
          <w:p w14:paraId="425AB9D5" w14:textId="77777777" w:rsidR="00E40B71" w:rsidRDefault="00E40B71" w:rsidP="00601030">
            <w:pPr>
              <w:spacing w:after="0" w:line="259" w:lineRule="auto"/>
              <w:ind w:left="0" w:right="25" w:firstLine="0"/>
              <w:jc w:val="center"/>
            </w:pPr>
            <w:r>
              <w:rPr>
                <w:sz w:val="20"/>
              </w:rPr>
              <w:t xml:space="preserve">Acid </w:t>
            </w:r>
            <w:r>
              <w:rPr>
                <w:b/>
                <w:sz w:val="20"/>
              </w:rPr>
              <w:t>CCC</w:t>
            </w:r>
          </w:p>
        </w:tc>
        <w:tc>
          <w:tcPr>
            <w:tcW w:w="3240" w:type="dxa"/>
            <w:tcBorders>
              <w:top w:val="single" w:sz="4" w:space="0" w:color="000000"/>
              <w:left w:val="single" w:sz="12" w:space="0" w:color="000000"/>
              <w:bottom w:val="single" w:sz="4" w:space="0" w:color="000000"/>
              <w:right w:val="single" w:sz="12" w:space="0" w:color="000000"/>
            </w:tcBorders>
            <w:vAlign w:val="center"/>
          </w:tcPr>
          <w:p w14:paraId="2D97FD84" w14:textId="77777777" w:rsidR="00E40B71" w:rsidRDefault="00E40B71" w:rsidP="00601030">
            <w:pPr>
              <w:spacing w:after="0" w:line="259" w:lineRule="auto"/>
              <w:ind w:left="0" w:right="0" w:firstLine="0"/>
              <w:jc w:val="center"/>
            </w:pPr>
            <w:r>
              <w:rPr>
                <w:sz w:val="20"/>
              </w:rPr>
              <w:t>Pentachlorophenol</w:t>
            </w:r>
          </w:p>
        </w:tc>
        <w:tc>
          <w:tcPr>
            <w:tcW w:w="2377" w:type="dxa"/>
            <w:tcBorders>
              <w:top w:val="single" w:sz="4" w:space="0" w:color="000000"/>
              <w:left w:val="single" w:sz="12" w:space="0" w:color="000000"/>
              <w:bottom w:val="single" w:sz="4" w:space="0" w:color="000000"/>
              <w:right w:val="single" w:sz="12" w:space="0" w:color="000000"/>
            </w:tcBorders>
            <w:vAlign w:val="center"/>
          </w:tcPr>
          <w:p w14:paraId="3AE58253" w14:textId="77777777" w:rsidR="00E40B71" w:rsidRDefault="00E40B71" w:rsidP="00601030">
            <w:pPr>
              <w:spacing w:after="0" w:line="259" w:lineRule="auto"/>
              <w:ind w:left="28" w:right="0" w:firstLine="0"/>
              <w:jc w:val="center"/>
            </w:pPr>
          </w:p>
        </w:tc>
        <w:tc>
          <w:tcPr>
            <w:tcW w:w="1889" w:type="dxa"/>
            <w:tcBorders>
              <w:top w:val="single" w:sz="4" w:space="0" w:color="000000"/>
              <w:left w:val="single" w:sz="12" w:space="0" w:color="000000"/>
              <w:bottom w:val="single" w:sz="4" w:space="0" w:color="000000"/>
              <w:right w:val="single" w:sz="12" w:space="0" w:color="000000"/>
            </w:tcBorders>
            <w:vAlign w:val="center"/>
          </w:tcPr>
          <w:p w14:paraId="11C58E09" w14:textId="77777777" w:rsidR="00E40B71" w:rsidRDefault="00E40B71" w:rsidP="00601030">
            <w:pPr>
              <w:spacing w:after="0" w:line="259" w:lineRule="auto"/>
              <w:ind w:left="0" w:right="16" w:firstLine="0"/>
              <w:jc w:val="center"/>
            </w:pPr>
            <w:r>
              <w:rPr>
                <w:sz w:val="20"/>
              </w:rPr>
              <w:t>30%</w:t>
            </w:r>
          </w:p>
        </w:tc>
      </w:tr>
      <w:tr w:rsidR="00E40B71" w14:paraId="4B2DE0BF" w14:textId="77777777" w:rsidTr="00601030">
        <w:trPr>
          <w:trHeight w:val="360"/>
        </w:trPr>
        <w:tc>
          <w:tcPr>
            <w:tcW w:w="1856" w:type="dxa"/>
            <w:tcBorders>
              <w:top w:val="single" w:sz="4" w:space="0" w:color="000000"/>
              <w:left w:val="single" w:sz="12" w:space="0" w:color="000000"/>
              <w:bottom w:val="single" w:sz="12" w:space="0" w:color="000000"/>
              <w:right w:val="single" w:sz="12" w:space="0" w:color="000000"/>
            </w:tcBorders>
            <w:vAlign w:val="center"/>
          </w:tcPr>
          <w:p w14:paraId="45B922A7" w14:textId="77777777" w:rsidR="00E40B71" w:rsidRDefault="00E40B71" w:rsidP="00601030">
            <w:pPr>
              <w:spacing w:after="0" w:line="259" w:lineRule="auto"/>
              <w:ind w:left="0" w:right="25" w:firstLine="0"/>
              <w:jc w:val="center"/>
            </w:pPr>
            <w:r>
              <w:rPr>
                <w:sz w:val="20"/>
              </w:rPr>
              <w:t xml:space="preserve">Acid </w:t>
            </w:r>
            <w:r>
              <w:rPr>
                <w:b/>
                <w:sz w:val="20"/>
              </w:rPr>
              <w:t>CCC</w:t>
            </w:r>
          </w:p>
        </w:tc>
        <w:tc>
          <w:tcPr>
            <w:tcW w:w="3240" w:type="dxa"/>
            <w:tcBorders>
              <w:top w:val="single" w:sz="4" w:space="0" w:color="000000"/>
              <w:left w:val="single" w:sz="12" w:space="0" w:color="000000"/>
              <w:bottom w:val="single" w:sz="12" w:space="0" w:color="000000"/>
              <w:right w:val="single" w:sz="12" w:space="0" w:color="000000"/>
            </w:tcBorders>
            <w:vAlign w:val="center"/>
          </w:tcPr>
          <w:p w14:paraId="6A733ABB" w14:textId="77777777" w:rsidR="00E40B71" w:rsidRDefault="00E40B71" w:rsidP="00601030">
            <w:pPr>
              <w:spacing w:after="0" w:line="259" w:lineRule="auto"/>
              <w:ind w:left="0" w:right="0" w:firstLine="0"/>
              <w:jc w:val="center"/>
            </w:pPr>
            <w:r>
              <w:rPr>
                <w:sz w:val="20"/>
              </w:rPr>
              <w:t>2,4,6-Trichlorophenol</w:t>
            </w:r>
          </w:p>
        </w:tc>
        <w:tc>
          <w:tcPr>
            <w:tcW w:w="2377" w:type="dxa"/>
            <w:tcBorders>
              <w:top w:val="single" w:sz="4" w:space="0" w:color="000000"/>
              <w:left w:val="single" w:sz="12" w:space="0" w:color="000000"/>
              <w:bottom w:val="single" w:sz="12" w:space="0" w:color="000000"/>
              <w:right w:val="single" w:sz="12" w:space="0" w:color="000000"/>
            </w:tcBorders>
            <w:vAlign w:val="center"/>
          </w:tcPr>
          <w:p w14:paraId="61A0FE82" w14:textId="77777777" w:rsidR="00E40B71" w:rsidRDefault="00E40B71" w:rsidP="00601030">
            <w:pPr>
              <w:spacing w:after="0" w:line="259" w:lineRule="auto"/>
              <w:ind w:left="28" w:right="0" w:firstLine="0"/>
              <w:jc w:val="center"/>
            </w:pPr>
          </w:p>
        </w:tc>
        <w:tc>
          <w:tcPr>
            <w:tcW w:w="1889" w:type="dxa"/>
            <w:tcBorders>
              <w:top w:val="single" w:sz="4" w:space="0" w:color="000000"/>
              <w:left w:val="single" w:sz="12" w:space="0" w:color="000000"/>
              <w:bottom w:val="single" w:sz="12" w:space="0" w:color="000000"/>
              <w:right w:val="single" w:sz="12" w:space="0" w:color="000000"/>
            </w:tcBorders>
            <w:vAlign w:val="center"/>
          </w:tcPr>
          <w:p w14:paraId="7850B49D" w14:textId="77777777" w:rsidR="00E40B71" w:rsidRDefault="00E40B71" w:rsidP="00601030">
            <w:pPr>
              <w:spacing w:after="0" w:line="259" w:lineRule="auto"/>
              <w:ind w:left="0" w:right="16" w:firstLine="0"/>
              <w:jc w:val="center"/>
            </w:pPr>
            <w:r>
              <w:rPr>
                <w:sz w:val="20"/>
              </w:rPr>
              <w:t>30%</w:t>
            </w:r>
          </w:p>
        </w:tc>
      </w:tr>
      <w:tr w:rsidR="00E40B71" w14:paraId="1BED6F0B" w14:textId="77777777" w:rsidTr="00552911">
        <w:trPr>
          <w:trHeight w:val="360"/>
        </w:trPr>
        <w:tc>
          <w:tcPr>
            <w:tcW w:w="5096" w:type="dxa"/>
            <w:gridSpan w:val="2"/>
            <w:tcBorders>
              <w:top w:val="single" w:sz="12" w:space="0" w:color="000000"/>
              <w:left w:val="single" w:sz="12" w:space="0" w:color="000000"/>
              <w:bottom w:val="single" w:sz="12" w:space="0" w:color="000000"/>
              <w:right w:val="single" w:sz="12" w:space="0" w:color="000000"/>
            </w:tcBorders>
            <w:vAlign w:val="center"/>
          </w:tcPr>
          <w:p w14:paraId="3A13E703" w14:textId="77777777" w:rsidR="00E40B71" w:rsidRDefault="00E40B71" w:rsidP="00601030">
            <w:pPr>
              <w:spacing w:after="0" w:line="259" w:lineRule="auto"/>
              <w:ind w:left="0" w:right="22" w:firstLine="0"/>
              <w:jc w:val="center"/>
            </w:pPr>
            <w:r>
              <w:rPr>
                <w:sz w:val="20"/>
              </w:rPr>
              <w:t>A</w:t>
            </w:r>
            <w:r>
              <w:rPr>
                <w:sz w:val="16"/>
              </w:rPr>
              <w:t xml:space="preserve">LL OTHER </w:t>
            </w:r>
            <w:r>
              <w:rPr>
                <w:sz w:val="20"/>
              </w:rPr>
              <w:t>BNA</w:t>
            </w:r>
            <w:r>
              <w:rPr>
                <w:sz w:val="16"/>
              </w:rPr>
              <w:t xml:space="preserve"> </w:t>
            </w:r>
            <w:r>
              <w:rPr>
                <w:sz w:val="20"/>
              </w:rPr>
              <w:t>T</w:t>
            </w:r>
            <w:r>
              <w:rPr>
                <w:sz w:val="16"/>
              </w:rPr>
              <w:t xml:space="preserve">ARGET </w:t>
            </w:r>
            <w:r>
              <w:rPr>
                <w:sz w:val="20"/>
              </w:rPr>
              <w:t>A</w:t>
            </w:r>
            <w:r>
              <w:rPr>
                <w:sz w:val="16"/>
              </w:rPr>
              <w:t>NALYTES</w:t>
            </w:r>
          </w:p>
        </w:tc>
        <w:tc>
          <w:tcPr>
            <w:tcW w:w="2377" w:type="dxa"/>
            <w:tcBorders>
              <w:top w:val="single" w:sz="12" w:space="0" w:color="000000"/>
              <w:left w:val="single" w:sz="12" w:space="0" w:color="000000"/>
              <w:bottom w:val="single" w:sz="12" w:space="0" w:color="000000"/>
              <w:right w:val="single" w:sz="12" w:space="0" w:color="000000"/>
            </w:tcBorders>
            <w:vAlign w:val="center"/>
          </w:tcPr>
          <w:p w14:paraId="28923FF3" w14:textId="77777777" w:rsidR="00E40B71" w:rsidRDefault="00E40B71" w:rsidP="00601030">
            <w:pPr>
              <w:spacing w:after="0" w:line="259" w:lineRule="auto"/>
              <w:ind w:left="28" w:right="0" w:firstLine="0"/>
              <w:jc w:val="center"/>
            </w:pPr>
          </w:p>
        </w:tc>
        <w:tc>
          <w:tcPr>
            <w:tcW w:w="1889" w:type="dxa"/>
            <w:tcBorders>
              <w:top w:val="single" w:sz="12" w:space="0" w:color="000000"/>
              <w:left w:val="single" w:sz="12" w:space="0" w:color="000000"/>
              <w:bottom w:val="single" w:sz="12" w:space="0" w:color="000000"/>
              <w:right w:val="single" w:sz="12" w:space="0" w:color="000000"/>
            </w:tcBorders>
            <w:vAlign w:val="center"/>
          </w:tcPr>
          <w:p w14:paraId="0DAC094C" w14:textId="77777777" w:rsidR="00E40B71" w:rsidRDefault="00E40B71" w:rsidP="00601030">
            <w:pPr>
              <w:spacing w:after="0" w:line="259" w:lineRule="auto"/>
              <w:ind w:left="0" w:right="16" w:firstLine="0"/>
              <w:jc w:val="center"/>
            </w:pPr>
            <w:r>
              <w:rPr>
                <w:sz w:val="20"/>
              </w:rPr>
              <w:t>15%</w:t>
            </w:r>
          </w:p>
        </w:tc>
      </w:tr>
      <w:tr w:rsidR="00E40B71" w14:paraId="17E3EEC2" w14:textId="77777777" w:rsidTr="00552911">
        <w:trPr>
          <w:trHeight w:val="859"/>
        </w:trPr>
        <w:tc>
          <w:tcPr>
            <w:tcW w:w="9362" w:type="dxa"/>
            <w:gridSpan w:val="4"/>
            <w:tcBorders>
              <w:top w:val="single" w:sz="12" w:space="0" w:color="000000"/>
              <w:left w:val="single" w:sz="12" w:space="0" w:color="000000"/>
              <w:bottom w:val="single" w:sz="12" w:space="0" w:color="000000"/>
              <w:right w:val="single" w:sz="12" w:space="0" w:color="000000"/>
            </w:tcBorders>
            <w:vAlign w:val="center"/>
          </w:tcPr>
          <w:p w14:paraId="7EC9C8F1" w14:textId="77777777" w:rsidR="00E40B71" w:rsidRDefault="00E40B71" w:rsidP="00601030">
            <w:pPr>
              <w:spacing w:after="0" w:line="259" w:lineRule="auto"/>
              <w:ind w:left="0" w:right="0" w:firstLine="0"/>
            </w:pPr>
            <w:r>
              <w:rPr>
                <w:sz w:val="20"/>
              </w:rPr>
              <w:t>*B/N denotes base/neutral fraction compound.</w:t>
            </w:r>
          </w:p>
          <w:p w14:paraId="1E2EBE7D" w14:textId="77777777" w:rsidR="00E40B71" w:rsidRDefault="00E40B71" w:rsidP="00601030">
            <w:pPr>
              <w:spacing w:after="0" w:line="259" w:lineRule="auto"/>
              <w:ind w:left="0" w:right="0" w:firstLine="0"/>
            </w:pPr>
            <w:r>
              <w:rPr>
                <w:sz w:val="20"/>
              </w:rPr>
              <w:t>Acid denotes acid fraction compound.</w:t>
            </w:r>
          </w:p>
          <w:p w14:paraId="024E7B7C" w14:textId="77777777" w:rsidR="00E40B71" w:rsidRDefault="00E40B71" w:rsidP="00601030">
            <w:pPr>
              <w:spacing w:after="0" w:line="259" w:lineRule="auto"/>
              <w:ind w:left="0" w:right="0" w:firstLine="0"/>
            </w:pPr>
            <w:r>
              <w:rPr>
                <w:sz w:val="20"/>
              </w:rPr>
              <w:t>BNA denotes base, neutral, and acid compounds.</w:t>
            </w:r>
          </w:p>
        </w:tc>
      </w:tr>
    </w:tbl>
    <w:p w14:paraId="1E4B507D" w14:textId="77777777" w:rsidR="00E40B71" w:rsidRDefault="00E40B71" w:rsidP="00E40B71"/>
    <w:p w14:paraId="708C38CA" w14:textId="77777777" w:rsidR="004333D0" w:rsidRDefault="004333D0" w:rsidP="00E40B71"/>
    <w:p w14:paraId="745F9196" w14:textId="77777777" w:rsidR="004333D0" w:rsidRDefault="004333D0" w:rsidP="00E40B71"/>
    <w:p w14:paraId="57B563FA" w14:textId="77777777" w:rsidR="004333D0" w:rsidRDefault="004333D0" w:rsidP="00E40B71"/>
    <w:p w14:paraId="5A98C809" w14:textId="77777777" w:rsidR="00700EA2" w:rsidRDefault="00700EA2" w:rsidP="00700EA2">
      <w:pPr>
        <w:spacing w:after="0" w:line="259" w:lineRule="auto"/>
        <w:ind w:right="0"/>
      </w:pPr>
    </w:p>
    <w:p w14:paraId="31F820DE" w14:textId="77777777" w:rsidR="00700EA2" w:rsidRPr="00C31E1B" w:rsidRDefault="00700EA2" w:rsidP="00700EA2">
      <w:pPr>
        <w:pStyle w:val="Heading5"/>
        <w:spacing w:after="16" w:line="247" w:lineRule="auto"/>
        <w:ind w:left="1090" w:right="186"/>
      </w:pPr>
      <w:r>
        <w:t>THE REMAINDER OF THIS PAGE HAS BEEN LEFT BLANK INTENTIONALLY</w:t>
      </w:r>
    </w:p>
    <w:p w14:paraId="1C97A47C" w14:textId="77777777" w:rsidR="004333D0" w:rsidRDefault="004333D0" w:rsidP="00E40B71"/>
    <w:p w14:paraId="61D83E3B" w14:textId="77777777" w:rsidR="004333D0" w:rsidRDefault="004333D0" w:rsidP="00E40B71"/>
    <w:p w14:paraId="68CF8765" w14:textId="77777777" w:rsidR="004333D0" w:rsidRDefault="004333D0" w:rsidP="00E40B71"/>
    <w:p w14:paraId="58C821A0" w14:textId="77777777" w:rsidR="004333D0" w:rsidRDefault="004333D0" w:rsidP="00E40B71"/>
    <w:tbl>
      <w:tblPr>
        <w:tblStyle w:val="TableGrid1"/>
        <w:tblW w:w="9362" w:type="dxa"/>
        <w:tblInd w:w="1116" w:type="dxa"/>
        <w:tblCellMar>
          <w:top w:w="7" w:type="dxa"/>
          <w:left w:w="132" w:type="dxa"/>
          <w:right w:w="115" w:type="dxa"/>
        </w:tblCellMar>
        <w:tblLook w:val="04A0" w:firstRow="1" w:lastRow="0" w:firstColumn="1" w:lastColumn="0" w:noHBand="0" w:noVBand="1"/>
      </w:tblPr>
      <w:tblGrid>
        <w:gridCol w:w="2072"/>
        <w:gridCol w:w="7290"/>
      </w:tblGrid>
      <w:tr w:rsidR="00E40B71" w14:paraId="54B6DB5B" w14:textId="77777777" w:rsidTr="00601030">
        <w:trPr>
          <w:trHeight w:val="616"/>
        </w:trPr>
        <w:tc>
          <w:tcPr>
            <w:tcW w:w="9362" w:type="dxa"/>
            <w:gridSpan w:val="2"/>
            <w:tcBorders>
              <w:top w:val="single" w:sz="12" w:space="0" w:color="000000"/>
              <w:left w:val="single" w:sz="12" w:space="0" w:color="000000"/>
              <w:bottom w:val="single" w:sz="12" w:space="0" w:color="000000"/>
              <w:right w:val="single" w:sz="12" w:space="0" w:color="000000"/>
            </w:tcBorders>
            <w:vAlign w:val="center"/>
          </w:tcPr>
          <w:p w14:paraId="4A5B84E1" w14:textId="77777777" w:rsidR="00E40B71" w:rsidRDefault="00E40B71" w:rsidP="00601030">
            <w:pPr>
              <w:spacing w:after="0" w:line="259" w:lineRule="auto"/>
              <w:ind w:left="0" w:right="29" w:firstLine="0"/>
              <w:jc w:val="center"/>
              <w:rPr>
                <w:b/>
                <w:sz w:val="20"/>
              </w:rPr>
            </w:pPr>
            <w:r>
              <w:rPr>
                <w:b/>
                <w:sz w:val="20"/>
              </w:rPr>
              <w:lastRenderedPageBreak/>
              <w:t xml:space="preserve">TABLE 18 – Continued </w:t>
            </w:r>
          </w:p>
          <w:p w14:paraId="340591CB" w14:textId="77777777" w:rsidR="00E40B71" w:rsidRDefault="00E40B71" w:rsidP="00601030">
            <w:pPr>
              <w:spacing w:after="0" w:line="259" w:lineRule="auto"/>
              <w:ind w:left="0" w:right="29" w:firstLine="0"/>
              <w:jc w:val="center"/>
            </w:pPr>
            <w:r>
              <w:rPr>
                <w:b/>
                <w:sz w:val="20"/>
              </w:rPr>
              <w:t xml:space="preserve">Additional Calibration Criteria Applicable to All BNA Compounds (Target and QC) </w:t>
            </w:r>
          </w:p>
        </w:tc>
      </w:tr>
      <w:tr w:rsidR="00E40B71" w14:paraId="667E09AC" w14:textId="77777777" w:rsidTr="00601030">
        <w:trPr>
          <w:trHeight w:val="538"/>
        </w:trPr>
        <w:tc>
          <w:tcPr>
            <w:tcW w:w="2072" w:type="dxa"/>
            <w:tcBorders>
              <w:top w:val="single" w:sz="12" w:space="0" w:color="000000"/>
              <w:left w:val="single" w:sz="12" w:space="0" w:color="000000"/>
              <w:bottom w:val="single" w:sz="4" w:space="0" w:color="000000"/>
              <w:right w:val="single" w:sz="12" w:space="0" w:color="000000"/>
            </w:tcBorders>
            <w:vAlign w:val="center"/>
          </w:tcPr>
          <w:p w14:paraId="060A1E42" w14:textId="77777777" w:rsidR="00E40B71" w:rsidRDefault="00E40B71" w:rsidP="00601030">
            <w:pPr>
              <w:spacing w:after="0" w:line="259" w:lineRule="auto"/>
              <w:ind w:left="14" w:right="0" w:firstLine="0"/>
            </w:pPr>
            <w:r>
              <w:rPr>
                <w:b/>
                <w:sz w:val="20"/>
              </w:rPr>
              <w:t xml:space="preserve">RT Evaluation </w:t>
            </w:r>
          </w:p>
        </w:tc>
        <w:tc>
          <w:tcPr>
            <w:tcW w:w="7290" w:type="dxa"/>
            <w:tcBorders>
              <w:top w:val="single" w:sz="12" w:space="0" w:color="000000"/>
              <w:left w:val="single" w:sz="12" w:space="0" w:color="000000"/>
              <w:bottom w:val="single" w:sz="4" w:space="0" w:color="000000"/>
              <w:right w:val="single" w:sz="12" w:space="0" w:color="000000"/>
            </w:tcBorders>
          </w:tcPr>
          <w:p w14:paraId="4D37888B" w14:textId="77777777" w:rsidR="00E40B71" w:rsidRDefault="00E40B71" w:rsidP="00601030">
            <w:pPr>
              <w:spacing w:after="0" w:line="259" w:lineRule="auto"/>
              <w:ind w:left="12" w:right="0" w:firstLine="0"/>
            </w:pPr>
            <w:r>
              <w:rPr>
                <w:sz w:val="20"/>
              </w:rPr>
              <w:t xml:space="preserve">Agreement within ± 0.06 relative retention time units for RTs of each target analyte among the 5 calibration standards. </w:t>
            </w:r>
          </w:p>
        </w:tc>
      </w:tr>
      <w:tr w:rsidR="00E40B71" w14:paraId="2DD2F7A0" w14:textId="77777777" w:rsidTr="00601030">
        <w:trPr>
          <w:trHeight w:val="987"/>
        </w:trPr>
        <w:tc>
          <w:tcPr>
            <w:tcW w:w="2072" w:type="dxa"/>
            <w:tcBorders>
              <w:top w:val="single" w:sz="4" w:space="0" w:color="000000"/>
              <w:left w:val="single" w:sz="12" w:space="0" w:color="000000"/>
              <w:bottom w:val="single" w:sz="4" w:space="0" w:color="000000"/>
              <w:right w:val="single" w:sz="12" w:space="0" w:color="000000"/>
            </w:tcBorders>
            <w:vAlign w:val="center"/>
          </w:tcPr>
          <w:p w14:paraId="0C45E8C6" w14:textId="77777777" w:rsidR="00E40B71" w:rsidRDefault="00E40B71" w:rsidP="00601030">
            <w:pPr>
              <w:spacing w:after="0" w:line="259" w:lineRule="auto"/>
              <w:ind w:left="14" w:right="0" w:firstLine="0"/>
            </w:pPr>
            <w:r>
              <w:rPr>
                <w:b/>
                <w:sz w:val="20"/>
              </w:rPr>
              <w:t xml:space="preserve">GC Performance </w:t>
            </w:r>
          </w:p>
        </w:tc>
        <w:tc>
          <w:tcPr>
            <w:tcW w:w="7290" w:type="dxa"/>
            <w:tcBorders>
              <w:top w:val="single" w:sz="4" w:space="0" w:color="000000"/>
              <w:left w:val="single" w:sz="12" w:space="0" w:color="000000"/>
              <w:bottom w:val="single" w:sz="4" w:space="0" w:color="000000"/>
              <w:right w:val="single" w:sz="12" w:space="0" w:color="000000"/>
            </w:tcBorders>
          </w:tcPr>
          <w:p w14:paraId="70FFACDF" w14:textId="77777777" w:rsidR="00E40B71" w:rsidRDefault="00E40B71" w:rsidP="00601030">
            <w:pPr>
              <w:spacing w:after="0" w:line="259" w:lineRule="auto"/>
              <w:ind w:left="12" w:right="0" w:firstLine="0"/>
            </w:pPr>
            <w:r>
              <w:rPr>
                <w:sz w:val="20"/>
              </w:rPr>
              <w:t xml:space="preserve">Symmetrical peaks, minimum tailing, good resolution.  </w:t>
            </w:r>
            <w:r>
              <w:rPr>
                <w:b/>
                <w:sz w:val="20"/>
              </w:rPr>
              <w:t xml:space="preserve">Anthracene and </w:t>
            </w:r>
          </w:p>
          <w:p w14:paraId="1B97E904" w14:textId="77777777" w:rsidR="00E40B71" w:rsidRDefault="00E40B71" w:rsidP="00601030">
            <w:pPr>
              <w:spacing w:after="0" w:line="259" w:lineRule="auto"/>
              <w:ind w:left="12" w:right="0" w:firstLine="0"/>
            </w:pPr>
            <w:r>
              <w:rPr>
                <w:b/>
                <w:sz w:val="20"/>
              </w:rPr>
              <w:t xml:space="preserve">phenanthrene must be separated by baseline.  Benzo[a]anthracene and chrysene must be separated by a valley whose height is less than 25% of the average peak height of these two compounds. </w:t>
            </w:r>
            <w:r>
              <w:rPr>
                <w:sz w:val="20"/>
              </w:rPr>
              <w:t xml:space="preserve"> </w:t>
            </w:r>
          </w:p>
        </w:tc>
      </w:tr>
      <w:tr w:rsidR="00E40B71" w14:paraId="121FB4A9" w14:textId="77777777" w:rsidTr="00601030">
        <w:trPr>
          <w:trHeight w:val="650"/>
        </w:trPr>
        <w:tc>
          <w:tcPr>
            <w:tcW w:w="2072" w:type="dxa"/>
            <w:tcBorders>
              <w:top w:val="single" w:sz="4" w:space="0" w:color="000000"/>
              <w:left w:val="single" w:sz="12" w:space="0" w:color="000000"/>
              <w:bottom w:val="single" w:sz="12" w:space="0" w:color="000000"/>
              <w:right w:val="single" w:sz="12" w:space="0" w:color="000000"/>
            </w:tcBorders>
          </w:tcPr>
          <w:p w14:paraId="11727F4F" w14:textId="77777777" w:rsidR="00E40B71" w:rsidRDefault="00E40B71" w:rsidP="00601030">
            <w:pPr>
              <w:spacing w:after="0" w:line="259" w:lineRule="auto"/>
              <w:ind w:left="14" w:right="0" w:firstLine="0"/>
            </w:pPr>
            <w:r>
              <w:rPr>
                <w:b/>
                <w:sz w:val="20"/>
              </w:rPr>
              <w:t xml:space="preserve">MS Sensitivity </w:t>
            </w:r>
          </w:p>
        </w:tc>
        <w:tc>
          <w:tcPr>
            <w:tcW w:w="7290" w:type="dxa"/>
            <w:tcBorders>
              <w:top w:val="single" w:sz="4" w:space="0" w:color="000000"/>
              <w:left w:val="single" w:sz="12" w:space="0" w:color="000000"/>
              <w:bottom w:val="single" w:sz="12" w:space="0" w:color="000000"/>
              <w:right w:val="single" w:sz="12" w:space="0" w:color="000000"/>
            </w:tcBorders>
          </w:tcPr>
          <w:p w14:paraId="708AA66E" w14:textId="77777777" w:rsidR="00E40B71" w:rsidRDefault="00E40B71" w:rsidP="00601030">
            <w:pPr>
              <w:spacing w:after="0" w:line="259" w:lineRule="auto"/>
              <w:ind w:left="12" w:right="0" w:firstLine="0"/>
            </w:pPr>
            <w:r>
              <w:rPr>
                <w:sz w:val="20"/>
              </w:rPr>
              <w:t xml:space="preserve">99% (minimum) target compound peaks recognized and identified in appropriate retention time window </w:t>
            </w:r>
          </w:p>
        </w:tc>
      </w:tr>
    </w:tbl>
    <w:p w14:paraId="513CC098" w14:textId="33952349" w:rsidR="004A702B" w:rsidRPr="004A702B" w:rsidRDefault="004A702B" w:rsidP="00700EA2">
      <w:pPr>
        <w:spacing w:after="0"/>
        <w:ind w:right="255"/>
      </w:pPr>
    </w:p>
    <w:p w14:paraId="6CB1FAF0" w14:textId="1FEC4EF3" w:rsidR="00B56D50" w:rsidRPr="005B7E86" w:rsidRDefault="001C3C42" w:rsidP="00093377">
      <w:pPr>
        <w:numPr>
          <w:ilvl w:val="0"/>
          <w:numId w:val="85"/>
        </w:numPr>
        <w:spacing w:after="16"/>
        <w:ind w:left="1440" w:right="186" w:hanging="360"/>
        <w:rPr>
          <w:b/>
          <w:bCs/>
        </w:rPr>
      </w:pPr>
      <w:r w:rsidRPr="005B7E86">
        <w:rPr>
          <w:b/>
          <w:bCs/>
        </w:rPr>
        <w:t xml:space="preserve">Calibration Verification </w:t>
      </w:r>
    </w:p>
    <w:p w14:paraId="02F4B16B" w14:textId="77777777" w:rsidR="00B56D50" w:rsidRDefault="001C3C42" w:rsidP="00F61702">
      <w:pPr>
        <w:ind w:left="1450" w:right="255"/>
      </w:pPr>
      <w:r>
        <w:t xml:space="preserve">The Contractor shall verify the calibration relationship established during the initial calibration at periodic intervals.  Calibration verification consists of three steps that must be performed at the beginning of each 12-hour analytical shift.  A minimum of one calibration verification must be reported per sample set, even if the set is completed in fewer than twelve hours of analysis time. </w:t>
      </w:r>
    </w:p>
    <w:p w14:paraId="0046FC77" w14:textId="479D7481" w:rsidR="00B56D50" w:rsidRPr="00D0590F" w:rsidRDefault="00B56D50" w:rsidP="00F61702">
      <w:pPr>
        <w:spacing w:after="0" w:line="259" w:lineRule="auto"/>
        <w:ind w:left="1440" w:right="0" w:firstLine="0"/>
      </w:pPr>
    </w:p>
    <w:p w14:paraId="3E500340" w14:textId="77777777" w:rsidR="00B56D50" w:rsidRPr="00D0590F" w:rsidRDefault="001C3C42" w:rsidP="00F61702">
      <w:pPr>
        <w:spacing w:after="0"/>
        <w:ind w:left="1440" w:right="255"/>
      </w:pPr>
      <w:r w:rsidRPr="00D0590F">
        <w:t>The calibration verification steps include:</w:t>
      </w:r>
      <w:r w:rsidRPr="005B7E86">
        <w:t xml:space="preserve"> </w:t>
      </w:r>
    </w:p>
    <w:p w14:paraId="4602A1BF" w14:textId="7E8B437D" w:rsidR="00CC24B0" w:rsidRPr="00D0590F" w:rsidRDefault="00CC24B0" w:rsidP="00F61702">
      <w:pPr>
        <w:spacing w:after="0" w:line="259" w:lineRule="auto"/>
        <w:ind w:left="1440" w:right="0" w:firstLine="0"/>
      </w:pPr>
    </w:p>
    <w:p w14:paraId="03655124" w14:textId="539ABB49" w:rsidR="00B56D50" w:rsidRDefault="001C3C42" w:rsidP="00093377">
      <w:pPr>
        <w:numPr>
          <w:ilvl w:val="0"/>
          <w:numId w:val="31"/>
        </w:numPr>
        <w:ind w:left="1800" w:right="0" w:hanging="360"/>
      </w:pPr>
      <w:r>
        <w:t>DFTPP is analyzed and results compared to the criteria in the method to verify mass calibration and tuning.  The criteria must be met prior to further analysis.</w:t>
      </w:r>
      <w:r>
        <w:rPr>
          <w:b/>
        </w:rPr>
        <w:t xml:space="preserve"> </w:t>
      </w:r>
    </w:p>
    <w:p w14:paraId="60E6869A" w14:textId="77777777" w:rsidR="00B56D50" w:rsidRDefault="001C3C42">
      <w:pPr>
        <w:spacing w:after="0" w:line="259" w:lineRule="auto"/>
        <w:ind w:left="1116" w:right="0" w:firstLine="0"/>
      </w:pPr>
      <w:r>
        <w:t xml:space="preserve"> </w:t>
      </w:r>
    </w:p>
    <w:p w14:paraId="6ECB876F" w14:textId="77777777" w:rsidR="00E81C20" w:rsidRDefault="001C3C42" w:rsidP="00093377">
      <w:pPr>
        <w:numPr>
          <w:ilvl w:val="0"/>
          <w:numId w:val="31"/>
        </w:numPr>
        <w:ind w:left="1800" w:right="0" w:hanging="360"/>
      </w:pPr>
      <w:r>
        <w:t>A calibration verification standard at a concentration near the midpoint of the calibration range is analyzed and assessed for the following criteria.</w:t>
      </w:r>
    </w:p>
    <w:p w14:paraId="111794CE" w14:textId="77777777" w:rsidR="00E81C20" w:rsidRDefault="00E81C20" w:rsidP="00FB39AB">
      <w:pPr>
        <w:pStyle w:val="ListParagraph"/>
      </w:pPr>
    </w:p>
    <w:p w14:paraId="06C6A873" w14:textId="3D2C75E4" w:rsidR="00B56D50" w:rsidRDefault="001C3C42" w:rsidP="00093377">
      <w:pPr>
        <w:pStyle w:val="ListParagraph"/>
        <w:numPr>
          <w:ilvl w:val="0"/>
          <w:numId w:val="86"/>
        </w:numPr>
        <w:ind w:left="2160" w:right="0"/>
      </w:pPr>
      <w:r>
        <w:t>The calibration standard must contain all target compounds, surrogates, and internal standards</w:t>
      </w:r>
      <w:r>
        <w:rPr>
          <w:b/>
        </w:rPr>
        <w:t xml:space="preserve">. </w:t>
      </w:r>
    </w:p>
    <w:p w14:paraId="0E3909D7" w14:textId="77777777" w:rsidR="00B56D50" w:rsidRDefault="001C3C42">
      <w:pPr>
        <w:spacing w:after="0" w:line="259" w:lineRule="auto"/>
        <w:ind w:left="1116" w:right="0" w:firstLine="0"/>
      </w:pPr>
      <w:r>
        <w:t xml:space="preserve"> </w:t>
      </w:r>
    </w:p>
    <w:p w14:paraId="10B448ED" w14:textId="6991EA14" w:rsidR="00E976F7" w:rsidRDefault="001C3C42" w:rsidP="00093377">
      <w:pPr>
        <w:pStyle w:val="ListParagraph"/>
        <w:numPr>
          <w:ilvl w:val="0"/>
          <w:numId w:val="86"/>
        </w:numPr>
        <w:ind w:left="2160" w:right="0"/>
      </w:pPr>
      <w:r w:rsidRPr="00006884">
        <w:rPr>
          <w:u w:val="single" w:color="000000"/>
        </w:rPr>
        <w:t>System performance check</w:t>
      </w:r>
      <w:proofErr w:type="gramStart"/>
      <w:r w:rsidR="00A8542D">
        <w:t>:</w:t>
      </w:r>
      <w:r>
        <w:t xml:space="preserve">  Each</w:t>
      </w:r>
      <w:proofErr w:type="gramEnd"/>
      <w:r>
        <w:t xml:space="preserve"> SPCC in the calibration verification standard must meet the minimum response factor listed in TABLE </w:t>
      </w:r>
      <w:r w:rsidR="007E440B">
        <w:t>18</w:t>
      </w:r>
      <w:r w:rsidRPr="00006884">
        <w:rPr>
          <w:i/>
        </w:rPr>
        <w:t>.</w:t>
      </w:r>
      <w:r>
        <w:t xml:space="preserve">  If the minimum response factors are not met, the system must be evaluated</w:t>
      </w:r>
      <w:r w:rsidR="005F6882">
        <w:t>,</w:t>
      </w:r>
      <w:r>
        <w:t xml:space="preserve"> and corrective action taken before beginning or continuing sample analysis</w:t>
      </w:r>
      <w:r w:rsidR="00E976F7">
        <w:t>.</w:t>
      </w:r>
    </w:p>
    <w:p w14:paraId="6FFD4560" w14:textId="77777777" w:rsidR="00DD7B83" w:rsidRDefault="00DD7B83" w:rsidP="00DD7B83">
      <w:pPr>
        <w:ind w:right="446"/>
      </w:pPr>
    </w:p>
    <w:p w14:paraId="3936BD51" w14:textId="3B975B3F" w:rsidR="00B56D50" w:rsidRPr="00FA74C2" w:rsidRDefault="001C3C42" w:rsidP="00093377">
      <w:pPr>
        <w:numPr>
          <w:ilvl w:val="0"/>
          <w:numId w:val="86"/>
        </w:numPr>
        <w:spacing w:after="0" w:line="259" w:lineRule="auto"/>
        <w:ind w:left="2160" w:right="0"/>
      </w:pPr>
      <w:r w:rsidRPr="00E976F7">
        <w:rPr>
          <w:u w:val="single" w:color="000000"/>
        </w:rPr>
        <w:t>Calibration validation</w:t>
      </w:r>
      <w:proofErr w:type="gramStart"/>
      <w:r>
        <w:t xml:space="preserve">: </w:t>
      </w:r>
      <w:r w:rsidR="00E81C20">
        <w:t xml:space="preserve"> </w:t>
      </w:r>
      <w:r>
        <w:t>The</w:t>
      </w:r>
      <w:proofErr w:type="gramEnd"/>
      <w:r>
        <w:t xml:space="preserve"> response factors for the CCCs in the calibration verification standard are compared to the mean response factors determined in the initial calibration through a </w:t>
      </w:r>
      <w:proofErr w:type="gramStart"/>
      <w:r>
        <w:t>percent</w:t>
      </w:r>
      <w:proofErr w:type="gramEnd"/>
      <w:r>
        <w:t xml:space="preserve"> difference (%D) calculation.</w:t>
      </w:r>
      <w:r w:rsidR="00DD7B83">
        <w:t xml:space="preserve"> </w:t>
      </w:r>
      <w:r w:rsidR="00152AD6" w:rsidRPr="00FB39AB">
        <w:rPr>
          <w:b/>
          <w:bCs/>
          <w:vertAlign w:val="superscript"/>
        </w:rPr>
        <w:t>45</w:t>
      </w:r>
      <w:r w:rsidRPr="00E976F7">
        <w:rPr>
          <w:vertAlign w:val="superscript"/>
        </w:rPr>
        <w:t xml:space="preserve"> </w:t>
      </w:r>
      <w:r>
        <w:t xml:space="preserve"> </w:t>
      </w:r>
    </w:p>
    <w:p w14:paraId="0409A106" w14:textId="77777777" w:rsidR="00B56D50" w:rsidRPr="00FA74C2" w:rsidRDefault="001C3C42" w:rsidP="00F61702">
      <w:pPr>
        <w:ind w:left="2160" w:firstLine="0"/>
      </w:pPr>
      <w:r w:rsidRPr="00FA74C2">
        <w:t xml:space="preserve"> </w:t>
      </w:r>
    </w:p>
    <w:p w14:paraId="0073196F" w14:textId="0BF62181" w:rsidR="00B56D50" w:rsidRDefault="001C3C42" w:rsidP="00F61702">
      <w:pPr>
        <w:ind w:left="2160" w:right="255"/>
      </w:pPr>
      <w:r>
        <w:t xml:space="preserve">The %D criteria must meet the criteria in TABLE </w:t>
      </w:r>
      <w:r w:rsidR="007E440B">
        <w:t>19</w:t>
      </w:r>
      <w:r w:rsidR="007E440B">
        <w:rPr>
          <w:i/>
        </w:rPr>
        <w:t xml:space="preserve"> </w:t>
      </w:r>
      <w:r>
        <w:t xml:space="preserve">for the initial calibration to be considered valid.  If the CCCs are not in or added to the list of target analytes for the project, the %D criteria must be applied to all analytes. </w:t>
      </w:r>
    </w:p>
    <w:p w14:paraId="4770ACBC" w14:textId="77777777" w:rsidR="00B56D50" w:rsidRDefault="001C3C42" w:rsidP="00F61702">
      <w:pPr>
        <w:spacing w:after="0" w:line="259" w:lineRule="auto"/>
        <w:ind w:left="2160" w:right="0"/>
      </w:pPr>
      <w:r>
        <w:t xml:space="preserve"> </w:t>
      </w:r>
    </w:p>
    <w:p w14:paraId="12286DC5" w14:textId="3D322B4D" w:rsidR="00ED1E08" w:rsidRDefault="001C3C42" w:rsidP="00093377">
      <w:pPr>
        <w:numPr>
          <w:ilvl w:val="0"/>
          <w:numId w:val="86"/>
        </w:numPr>
        <w:spacing w:after="0" w:line="259" w:lineRule="auto"/>
        <w:ind w:left="2160" w:right="255"/>
      </w:pPr>
      <w:r w:rsidRPr="00DD7B83">
        <w:t>Calibration Standard Internal Standard Check</w:t>
      </w:r>
      <w:proofErr w:type="gramStart"/>
      <w:r w:rsidR="0031765B">
        <w:t xml:space="preserve">:  </w:t>
      </w:r>
      <w:r>
        <w:t>Internal</w:t>
      </w:r>
      <w:proofErr w:type="gramEnd"/>
      <w:r>
        <w:t xml:space="preserve"> standards criteria for the calibration verification standard must be evaluated during or immediately after data acquisition.  The retention time for any internal standard in the calibration verification standard must not change by more than 30 seconds from the RTs of the internal standards in the mid-range concentration standard of the most recent initial calibration sequence.  The peak area counts for the internal standards in the calibration verification standard must change by less than a factor of 2 (-50% to +100%) from the area counts for the internal standard peaks in the mid-range concentration standard of the most recent initial calibration sequence.</w:t>
      </w:r>
    </w:p>
    <w:p w14:paraId="0AB7A8B8" w14:textId="77777777" w:rsidR="00D46362" w:rsidRDefault="001C3C42" w:rsidP="0031765B">
      <w:pPr>
        <w:ind w:left="2170" w:right="255"/>
      </w:pPr>
      <w:r>
        <w:t xml:space="preserve">If either of these criteria are not met, the mass spectrometer must be inspected for malfunctions, and corrections must be made as appropriate.  When corrections are made, </w:t>
      </w:r>
      <w:r>
        <w:lastRenderedPageBreak/>
        <w:t>reanalysis of samples analyzed while the system was malfunctioning is required.</w:t>
      </w:r>
      <w:r w:rsidR="00B05F67">
        <w:t xml:space="preserve">  </w:t>
      </w:r>
      <w:r>
        <w:t>Corrections must be documented in the case narrative.  Internal standard RT and area count data must be reported for both analyses (before and after corrective action).</w:t>
      </w:r>
    </w:p>
    <w:p w14:paraId="5E2C3DA2" w14:textId="77777777" w:rsidR="00D46362" w:rsidRDefault="00D46362" w:rsidP="00D46362">
      <w:pPr>
        <w:spacing w:after="0" w:line="259" w:lineRule="auto"/>
        <w:ind w:left="2160" w:right="0" w:firstLine="0"/>
      </w:pPr>
    </w:p>
    <w:p w14:paraId="624553BB" w14:textId="77777777" w:rsidR="00D46362" w:rsidRDefault="00D46362" w:rsidP="00093377">
      <w:pPr>
        <w:numPr>
          <w:ilvl w:val="0"/>
          <w:numId w:val="79"/>
        </w:numPr>
        <w:ind w:right="255" w:hanging="360"/>
      </w:pPr>
      <w:r>
        <w:t>A method blank must be analyzed after the calibration standard to assure that the total system (introduction device, transfer lines, and GC/MS system) is free of contaminants.  If the method blank indicates contamination, then it may be appropriate to analyze a solvent blank to ensure that the contamination is not a result of carryover from standards or samples.</w:t>
      </w:r>
      <w:r>
        <w:rPr>
          <w:b/>
        </w:rPr>
        <w:t xml:space="preserve"> </w:t>
      </w:r>
    </w:p>
    <w:p w14:paraId="4AA3FAE7" w14:textId="7DAFABA4" w:rsidR="009C63D2" w:rsidRDefault="009C63D2" w:rsidP="00FB39AB">
      <w:pPr>
        <w:ind w:right="255"/>
        <w:rPr>
          <w:iCs/>
        </w:rPr>
      </w:pPr>
    </w:p>
    <w:p w14:paraId="0EC71DDB" w14:textId="1E993163" w:rsidR="00B56D50" w:rsidRDefault="001C3C42">
      <w:pPr>
        <w:pStyle w:val="Heading5"/>
        <w:ind w:left="1396"/>
      </w:pPr>
      <w:r>
        <w:t xml:space="preserve">TABLE </w:t>
      </w:r>
      <w:r w:rsidR="0022427B">
        <w:t>19</w:t>
      </w:r>
      <w:r>
        <w:t xml:space="preserve"> </w:t>
      </w:r>
    </w:p>
    <w:p w14:paraId="07D1068C" w14:textId="03B29D76" w:rsidR="00B56D50" w:rsidRDefault="001C3C42">
      <w:pPr>
        <w:pStyle w:val="Heading6"/>
        <w:ind w:left="1990" w:right="186"/>
      </w:pPr>
      <w:r>
        <w:t xml:space="preserve">          Response Factor %D Calibration Verification Criteria for SVOC Analysis </w:t>
      </w:r>
    </w:p>
    <w:p w14:paraId="764F64F9" w14:textId="77777777" w:rsidR="00EF76F5" w:rsidRPr="00EF76F5" w:rsidRDefault="00EF76F5" w:rsidP="00840436"/>
    <w:tbl>
      <w:tblPr>
        <w:tblStyle w:val="TableGrid1"/>
        <w:tblW w:w="6482" w:type="dxa"/>
        <w:tblInd w:w="2828" w:type="dxa"/>
        <w:tblCellMar>
          <w:left w:w="115" w:type="dxa"/>
          <w:right w:w="115" w:type="dxa"/>
        </w:tblCellMar>
        <w:tblLook w:val="04A0" w:firstRow="1" w:lastRow="0" w:firstColumn="1" w:lastColumn="0" w:noHBand="0" w:noVBand="1"/>
      </w:tblPr>
      <w:tblGrid>
        <w:gridCol w:w="1889"/>
        <w:gridCol w:w="2701"/>
        <w:gridCol w:w="1892"/>
      </w:tblGrid>
      <w:tr w:rsidR="00B56D50" w14:paraId="25752205" w14:textId="77777777" w:rsidTr="005E6CA4">
        <w:trPr>
          <w:trHeight w:val="437"/>
        </w:trPr>
        <w:tc>
          <w:tcPr>
            <w:tcW w:w="1889" w:type="dxa"/>
            <w:tcBorders>
              <w:top w:val="single" w:sz="12" w:space="0" w:color="000000"/>
              <w:left w:val="single" w:sz="12" w:space="0" w:color="000000"/>
              <w:bottom w:val="single" w:sz="12" w:space="0" w:color="000000"/>
              <w:right w:val="single" w:sz="12" w:space="0" w:color="000000"/>
            </w:tcBorders>
            <w:vAlign w:val="center"/>
          </w:tcPr>
          <w:p w14:paraId="78F4CDDF" w14:textId="1AC238C9" w:rsidR="00B56D50" w:rsidRDefault="001C3C42" w:rsidP="005E6CA4">
            <w:pPr>
              <w:spacing w:after="0" w:line="259" w:lineRule="auto"/>
              <w:ind w:left="0" w:right="5" w:firstLine="0"/>
              <w:jc w:val="center"/>
            </w:pPr>
            <w:r>
              <w:rPr>
                <w:b/>
                <w:sz w:val="20"/>
              </w:rPr>
              <w:t>Analyte Type</w:t>
            </w:r>
          </w:p>
        </w:tc>
        <w:tc>
          <w:tcPr>
            <w:tcW w:w="2700" w:type="dxa"/>
            <w:tcBorders>
              <w:top w:val="single" w:sz="12" w:space="0" w:color="000000"/>
              <w:left w:val="single" w:sz="12" w:space="0" w:color="000000"/>
              <w:bottom w:val="single" w:sz="12" w:space="0" w:color="000000"/>
              <w:right w:val="single" w:sz="12" w:space="0" w:color="000000"/>
            </w:tcBorders>
            <w:vAlign w:val="center"/>
          </w:tcPr>
          <w:p w14:paraId="628AD9DF" w14:textId="28093DFA" w:rsidR="00B56D50" w:rsidRDefault="001C3C42" w:rsidP="005E6CA4">
            <w:pPr>
              <w:spacing w:after="0" w:line="259" w:lineRule="auto"/>
              <w:ind w:left="0" w:right="0" w:firstLine="0"/>
              <w:jc w:val="center"/>
            </w:pPr>
            <w:r>
              <w:rPr>
                <w:b/>
                <w:sz w:val="20"/>
              </w:rPr>
              <w:t>Compound</w:t>
            </w:r>
          </w:p>
        </w:tc>
        <w:tc>
          <w:tcPr>
            <w:tcW w:w="1892" w:type="dxa"/>
            <w:tcBorders>
              <w:top w:val="single" w:sz="12" w:space="0" w:color="000000"/>
              <w:left w:val="single" w:sz="12" w:space="0" w:color="000000"/>
              <w:bottom w:val="single" w:sz="12" w:space="0" w:color="000000"/>
              <w:right w:val="single" w:sz="12" w:space="0" w:color="000000"/>
            </w:tcBorders>
            <w:vAlign w:val="center"/>
          </w:tcPr>
          <w:p w14:paraId="03D53594" w14:textId="059B7A30" w:rsidR="00B56D50" w:rsidRDefault="001C3C42" w:rsidP="005E6CA4">
            <w:pPr>
              <w:spacing w:after="0" w:line="259" w:lineRule="auto"/>
              <w:ind w:left="0" w:right="4" w:firstLine="0"/>
              <w:jc w:val="center"/>
            </w:pPr>
            <w:r>
              <w:rPr>
                <w:sz w:val="20"/>
              </w:rPr>
              <w:t>Maximum %D</w:t>
            </w:r>
          </w:p>
        </w:tc>
      </w:tr>
      <w:tr w:rsidR="00B56D50" w14:paraId="605755E9" w14:textId="77777777" w:rsidTr="005E6CA4">
        <w:trPr>
          <w:trHeight w:val="701"/>
        </w:trPr>
        <w:tc>
          <w:tcPr>
            <w:tcW w:w="1889" w:type="dxa"/>
            <w:tcBorders>
              <w:top w:val="single" w:sz="12" w:space="0" w:color="000000"/>
              <w:left w:val="single" w:sz="12" w:space="0" w:color="000000"/>
              <w:bottom w:val="single" w:sz="12" w:space="0" w:color="000000"/>
              <w:right w:val="single" w:sz="12" w:space="0" w:color="000000"/>
            </w:tcBorders>
            <w:vAlign w:val="center"/>
          </w:tcPr>
          <w:p w14:paraId="3082F7E2" w14:textId="61617CB0" w:rsidR="00B56D50" w:rsidRDefault="001C3C42" w:rsidP="005E6CA4">
            <w:pPr>
              <w:spacing w:after="0" w:line="259" w:lineRule="auto"/>
              <w:ind w:left="0" w:right="7" w:firstLine="0"/>
              <w:jc w:val="center"/>
            </w:pPr>
            <w:r>
              <w:rPr>
                <w:b/>
                <w:sz w:val="20"/>
              </w:rPr>
              <w:t>CCC</w:t>
            </w:r>
          </w:p>
        </w:tc>
        <w:tc>
          <w:tcPr>
            <w:tcW w:w="2700" w:type="dxa"/>
            <w:tcBorders>
              <w:top w:val="single" w:sz="12" w:space="0" w:color="000000"/>
              <w:left w:val="single" w:sz="12" w:space="0" w:color="000000"/>
              <w:bottom w:val="single" w:sz="12" w:space="0" w:color="000000"/>
              <w:right w:val="single" w:sz="12" w:space="0" w:color="000000"/>
            </w:tcBorders>
            <w:vAlign w:val="center"/>
          </w:tcPr>
          <w:p w14:paraId="7899AF34" w14:textId="3D3A4111" w:rsidR="00B56D50" w:rsidRDefault="001C3C42" w:rsidP="005E6CA4">
            <w:pPr>
              <w:spacing w:after="0" w:line="259" w:lineRule="auto"/>
              <w:ind w:left="53" w:right="0" w:firstLine="0"/>
              <w:jc w:val="center"/>
            </w:pPr>
            <w:r>
              <w:rPr>
                <w:b/>
                <w:sz w:val="20"/>
              </w:rPr>
              <w:t>All Semi</w:t>
            </w:r>
            <w:r w:rsidR="009E45F4">
              <w:rPr>
                <w:b/>
                <w:sz w:val="20"/>
              </w:rPr>
              <w:t>-</w:t>
            </w:r>
            <w:r>
              <w:rPr>
                <w:b/>
                <w:sz w:val="20"/>
              </w:rPr>
              <w:t>volatile CCCs</w:t>
            </w:r>
          </w:p>
          <w:p w14:paraId="3AE367AF" w14:textId="7EDF0EA0" w:rsidR="00B56D50" w:rsidRDefault="001C3C42" w:rsidP="005E6CA4">
            <w:pPr>
              <w:spacing w:after="0" w:line="259" w:lineRule="auto"/>
              <w:ind w:left="0" w:right="5" w:firstLine="0"/>
              <w:jc w:val="center"/>
            </w:pPr>
            <w:r>
              <w:rPr>
                <w:sz w:val="20"/>
              </w:rPr>
              <w:t>(Base/Neutral and Acid)</w:t>
            </w:r>
          </w:p>
        </w:tc>
        <w:tc>
          <w:tcPr>
            <w:tcW w:w="1892" w:type="dxa"/>
            <w:tcBorders>
              <w:top w:val="single" w:sz="12" w:space="0" w:color="000000"/>
              <w:left w:val="single" w:sz="12" w:space="0" w:color="000000"/>
              <w:bottom w:val="single" w:sz="12" w:space="0" w:color="000000"/>
              <w:right w:val="single" w:sz="12" w:space="0" w:color="000000"/>
            </w:tcBorders>
            <w:vAlign w:val="center"/>
          </w:tcPr>
          <w:p w14:paraId="3DF0F798" w14:textId="404F4E6D" w:rsidR="00B56D50" w:rsidRDefault="001C3C42" w:rsidP="005E6CA4">
            <w:pPr>
              <w:spacing w:after="0" w:line="259" w:lineRule="auto"/>
              <w:ind w:left="0" w:right="1" w:firstLine="0"/>
              <w:jc w:val="center"/>
            </w:pPr>
            <w:r>
              <w:rPr>
                <w:sz w:val="20"/>
              </w:rPr>
              <w:t>20</w:t>
            </w:r>
          </w:p>
        </w:tc>
      </w:tr>
      <w:tr w:rsidR="00B56D50" w14:paraId="6A4F88EA" w14:textId="77777777" w:rsidTr="005E6CA4">
        <w:trPr>
          <w:trHeight w:val="875"/>
        </w:trPr>
        <w:tc>
          <w:tcPr>
            <w:tcW w:w="4590" w:type="dxa"/>
            <w:gridSpan w:val="2"/>
            <w:tcBorders>
              <w:top w:val="single" w:sz="12" w:space="0" w:color="000000"/>
              <w:left w:val="single" w:sz="12" w:space="0" w:color="000000"/>
              <w:bottom w:val="single" w:sz="12" w:space="0" w:color="000000"/>
              <w:right w:val="single" w:sz="12" w:space="0" w:color="000000"/>
            </w:tcBorders>
            <w:vAlign w:val="center"/>
          </w:tcPr>
          <w:p w14:paraId="2105FC9E" w14:textId="06696CEA" w:rsidR="00B56D50" w:rsidRDefault="001C3C42" w:rsidP="005E6CA4">
            <w:pPr>
              <w:spacing w:after="4" w:line="259" w:lineRule="auto"/>
              <w:ind w:left="0" w:right="11" w:firstLine="0"/>
              <w:jc w:val="center"/>
            </w:pPr>
            <w:r>
              <w:rPr>
                <w:b/>
                <w:i/>
                <w:sz w:val="20"/>
              </w:rPr>
              <w:t>Alternatively, if CCCs are not in analyte list:</w:t>
            </w:r>
          </w:p>
          <w:p w14:paraId="7DB90F43" w14:textId="15840B20" w:rsidR="00B56D50" w:rsidRDefault="001C3C42" w:rsidP="005E6CA4">
            <w:pPr>
              <w:spacing w:after="0" w:line="259" w:lineRule="auto"/>
              <w:ind w:left="0" w:right="2" w:firstLine="0"/>
              <w:jc w:val="center"/>
            </w:pPr>
            <w:r>
              <w:rPr>
                <w:b/>
                <w:sz w:val="20"/>
                <w:u w:val="single" w:color="000000"/>
              </w:rPr>
              <w:t>ALL</w:t>
            </w:r>
            <w:r>
              <w:rPr>
                <w:b/>
                <w:sz w:val="16"/>
              </w:rPr>
              <w:t xml:space="preserve"> </w:t>
            </w:r>
            <w:r>
              <w:rPr>
                <w:b/>
                <w:sz w:val="20"/>
              </w:rPr>
              <w:t>T</w:t>
            </w:r>
            <w:r>
              <w:rPr>
                <w:b/>
                <w:sz w:val="16"/>
              </w:rPr>
              <w:t xml:space="preserve">ARGET </w:t>
            </w:r>
            <w:r>
              <w:rPr>
                <w:b/>
                <w:sz w:val="20"/>
              </w:rPr>
              <w:t>A</w:t>
            </w:r>
            <w:r>
              <w:rPr>
                <w:b/>
                <w:sz w:val="16"/>
              </w:rPr>
              <w:t>NALYTES</w:t>
            </w:r>
          </w:p>
        </w:tc>
        <w:tc>
          <w:tcPr>
            <w:tcW w:w="1892" w:type="dxa"/>
            <w:tcBorders>
              <w:top w:val="single" w:sz="12" w:space="0" w:color="000000"/>
              <w:left w:val="single" w:sz="12" w:space="0" w:color="000000"/>
              <w:bottom w:val="single" w:sz="12" w:space="0" w:color="000000"/>
              <w:right w:val="single" w:sz="12" w:space="0" w:color="000000"/>
            </w:tcBorders>
            <w:vAlign w:val="center"/>
          </w:tcPr>
          <w:p w14:paraId="6647C4A3" w14:textId="226736B6" w:rsidR="00B56D50" w:rsidRDefault="001C3C42" w:rsidP="005E6CA4">
            <w:pPr>
              <w:spacing w:after="0" w:line="259" w:lineRule="auto"/>
              <w:ind w:left="0" w:right="1" w:firstLine="0"/>
              <w:jc w:val="center"/>
            </w:pPr>
            <w:r>
              <w:rPr>
                <w:sz w:val="20"/>
              </w:rPr>
              <w:t>20</w:t>
            </w:r>
          </w:p>
        </w:tc>
      </w:tr>
    </w:tbl>
    <w:p w14:paraId="084461D6" w14:textId="77777777" w:rsidR="00B56D50" w:rsidRDefault="001C3C42">
      <w:pPr>
        <w:spacing w:after="0" w:line="259" w:lineRule="auto"/>
        <w:ind w:left="2108" w:right="0" w:firstLine="0"/>
      </w:pPr>
      <w:r>
        <w:rPr>
          <w:rFonts w:ascii="Arial" w:eastAsia="Arial" w:hAnsi="Arial" w:cs="Arial"/>
        </w:rPr>
        <w:t xml:space="preserve"> </w:t>
      </w:r>
    </w:p>
    <w:p w14:paraId="426A06A4" w14:textId="713C5557" w:rsidR="00B56D50" w:rsidRDefault="001C3C42">
      <w:pPr>
        <w:ind w:left="1990" w:right="255"/>
      </w:pPr>
      <w:r>
        <w:t xml:space="preserve">If the criteria in TABLE </w:t>
      </w:r>
      <w:r w:rsidR="00CB097F">
        <w:t>19</w:t>
      </w:r>
      <w:r>
        <w:t xml:space="preserve"> are not met </w:t>
      </w:r>
      <w:proofErr w:type="gramStart"/>
      <w:r>
        <w:t>for</w:t>
      </w:r>
      <w:proofErr w:type="gramEnd"/>
      <w:r>
        <w:t xml:space="preserve"> any one required compound, then corrective action must be taken prior to the analysis of samples.  If attempts to correct the problem are unsuccessful, a new initial five-point calibration must be </w:t>
      </w:r>
      <w:proofErr w:type="gramStart"/>
      <w:r>
        <w:t>performed</w:t>
      </w:r>
      <w:proofErr w:type="gramEnd"/>
      <w:r>
        <w:t>.</w:t>
      </w:r>
      <w:r>
        <w:rPr>
          <w:b/>
        </w:rPr>
        <w:t xml:space="preserve"> </w:t>
      </w:r>
    </w:p>
    <w:p w14:paraId="788D8862" w14:textId="77777777" w:rsidR="00B56D50" w:rsidRDefault="001C3C42">
      <w:pPr>
        <w:spacing w:after="0" w:line="259" w:lineRule="auto"/>
        <w:ind w:left="1116" w:right="0" w:firstLine="0"/>
      </w:pPr>
      <w:r>
        <w:t xml:space="preserve"> </w:t>
      </w:r>
    </w:p>
    <w:p w14:paraId="68B60A64" w14:textId="2F1481EA" w:rsidR="00B56D50" w:rsidRPr="00CB7030" w:rsidRDefault="001C3C42" w:rsidP="00093377">
      <w:pPr>
        <w:numPr>
          <w:ilvl w:val="0"/>
          <w:numId w:val="85"/>
        </w:numPr>
        <w:spacing w:after="16"/>
        <w:ind w:left="1440" w:right="186" w:hanging="360"/>
        <w:rPr>
          <w:b/>
          <w:bCs/>
        </w:rPr>
      </w:pPr>
      <w:r w:rsidRPr="00CB7030">
        <w:rPr>
          <w:b/>
          <w:bCs/>
        </w:rPr>
        <w:t xml:space="preserve">Blanks </w:t>
      </w:r>
    </w:p>
    <w:p w14:paraId="2AB982A9" w14:textId="1D2BC23B" w:rsidR="00B56D50" w:rsidRDefault="001C3C42" w:rsidP="00F3014C">
      <w:pPr>
        <w:ind w:left="1450" w:right="255"/>
      </w:pPr>
      <w:r>
        <w:t xml:space="preserve">The Contractor shall use the organic-free sample to meet the specific method requirements.  </w:t>
      </w:r>
    </w:p>
    <w:p w14:paraId="29D64930" w14:textId="66879730" w:rsidR="00B56D50" w:rsidRDefault="00B56D50">
      <w:pPr>
        <w:spacing w:after="0" w:line="259" w:lineRule="auto"/>
        <w:ind w:left="1116" w:right="0" w:firstLine="0"/>
      </w:pPr>
    </w:p>
    <w:p w14:paraId="1CC28E55" w14:textId="10DFD5E5" w:rsidR="00B56D50" w:rsidRDefault="001C3C42" w:rsidP="00093377">
      <w:pPr>
        <w:pStyle w:val="Heading6"/>
        <w:numPr>
          <w:ilvl w:val="1"/>
          <w:numId w:val="87"/>
        </w:numPr>
        <w:ind w:left="1800" w:right="186"/>
      </w:pPr>
      <w:r>
        <w:t xml:space="preserve">Frequency </w:t>
      </w:r>
    </w:p>
    <w:p w14:paraId="6EDB08D3" w14:textId="77777777" w:rsidR="00B56D50" w:rsidRDefault="001C3C42" w:rsidP="004D217D">
      <w:pPr>
        <w:ind w:left="1810" w:right="255"/>
      </w:pPr>
      <w:r>
        <w:t>One method blank must be extracted and analyzed with each group of samples analyzed on the same instrument during the same analytical shift.</w:t>
      </w:r>
      <w:r>
        <w:rPr>
          <w:b/>
        </w:rPr>
        <w:t xml:space="preserve"> </w:t>
      </w:r>
      <w:r>
        <w:t xml:space="preserve">At a minimum, this frequency must be one method blank per 12-hour shift per instrument.  When the sample extracts are subjected to cleanup procedures, the associated method blank must also be subjected to the same cleanup procedures. </w:t>
      </w:r>
    </w:p>
    <w:p w14:paraId="63EE7E76" w14:textId="77777777" w:rsidR="00B56D50" w:rsidRDefault="001C3C42">
      <w:pPr>
        <w:spacing w:after="0" w:line="259" w:lineRule="auto"/>
        <w:ind w:left="540" w:right="0" w:firstLine="0"/>
      </w:pPr>
      <w:r>
        <w:t xml:space="preserve"> </w:t>
      </w:r>
    </w:p>
    <w:p w14:paraId="4F765FCA" w14:textId="1656529A" w:rsidR="00B56D50" w:rsidRDefault="001C3C42" w:rsidP="00093377">
      <w:pPr>
        <w:pStyle w:val="Heading6"/>
        <w:numPr>
          <w:ilvl w:val="1"/>
          <w:numId w:val="87"/>
        </w:numPr>
        <w:ind w:left="1800" w:right="186"/>
      </w:pPr>
      <w:r>
        <w:t xml:space="preserve">Control Criteria </w:t>
      </w:r>
    </w:p>
    <w:p w14:paraId="0B45A9F1" w14:textId="40F6BCDC" w:rsidR="00B56D50" w:rsidRDefault="001C3C42" w:rsidP="004D217D">
      <w:pPr>
        <w:ind w:left="1810" w:right="255"/>
      </w:pPr>
      <w:r>
        <w:t>Analysis of a semi</w:t>
      </w:r>
      <w:r w:rsidR="009E45F4">
        <w:t>-</w:t>
      </w:r>
      <w:r>
        <w:t xml:space="preserve">volatile method blank must meet the following criteria: </w:t>
      </w:r>
    </w:p>
    <w:p w14:paraId="0A954910" w14:textId="77777777" w:rsidR="00B56D50" w:rsidRDefault="001C3C42">
      <w:pPr>
        <w:spacing w:after="0" w:line="259" w:lineRule="auto"/>
        <w:ind w:left="540" w:right="0" w:firstLine="0"/>
      </w:pPr>
      <w:r>
        <w:rPr>
          <w:b/>
        </w:rPr>
        <w:t xml:space="preserve"> </w:t>
      </w:r>
    </w:p>
    <w:p w14:paraId="1C209B5E" w14:textId="4C9CC40E" w:rsidR="00B56D50" w:rsidRDefault="001C3C42" w:rsidP="00E33574">
      <w:pPr>
        <w:numPr>
          <w:ilvl w:val="0"/>
          <w:numId w:val="32"/>
        </w:numPr>
        <w:ind w:left="2160" w:right="255" w:hanging="360"/>
      </w:pPr>
      <w:r>
        <w:t>The phthalate esters on the target analyte list (which are common laboratory contaminants in the analysis of semi</w:t>
      </w:r>
      <w:r w:rsidR="009E45F4">
        <w:t>-</w:t>
      </w:r>
      <w:r>
        <w:t xml:space="preserve">volatile organic compounds) must be present at a concentration no greater than 5 times the </w:t>
      </w:r>
      <w:r w:rsidR="00580FEE">
        <w:t>reporting limit (RL).</w:t>
      </w:r>
      <w:r>
        <w:t xml:space="preserve"> </w:t>
      </w:r>
    </w:p>
    <w:p w14:paraId="29F5339A" w14:textId="77777777" w:rsidR="00B56D50" w:rsidRDefault="001C3C42">
      <w:pPr>
        <w:spacing w:after="0" w:line="259" w:lineRule="auto"/>
        <w:ind w:left="540" w:right="0" w:firstLine="0"/>
      </w:pPr>
      <w:r>
        <w:t xml:space="preserve"> </w:t>
      </w:r>
    </w:p>
    <w:p w14:paraId="3EC9553D" w14:textId="77777777" w:rsidR="00B56D50" w:rsidRDefault="001C3C42" w:rsidP="001A065C">
      <w:pPr>
        <w:numPr>
          <w:ilvl w:val="0"/>
          <w:numId w:val="32"/>
        </w:numPr>
        <w:ind w:left="2160" w:right="255" w:hanging="360"/>
      </w:pPr>
      <w:r>
        <w:t xml:space="preserve">Concentrations of </w:t>
      </w:r>
      <w:r>
        <w:rPr>
          <w:u w:val="single" w:color="000000"/>
        </w:rPr>
        <w:t>target analytes</w:t>
      </w:r>
      <w:r>
        <w:t xml:space="preserve"> observed in the method blank must be no higher than the highest of: </w:t>
      </w:r>
    </w:p>
    <w:p w14:paraId="4CD7EB23" w14:textId="77777777" w:rsidR="00B56D50" w:rsidRDefault="001C3C42">
      <w:pPr>
        <w:spacing w:after="15" w:line="259" w:lineRule="auto"/>
        <w:ind w:left="540" w:right="0" w:firstLine="0"/>
      </w:pPr>
      <w:r>
        <w:t xml:space="preserve"> </w:t>
      </w:r>
    </w:p>
    <w:p w14:paraId="12647FB9" w14:textId="533050BC" w:rsidR="00B56D50" w:rsidRDefault="001C3C42" w:rsidP="00093377">
      <w:pPr>
        <w:numPr>
          <w:ilvl w:val="1"/>
          <w:numId w:val="32"/>
        </w:numPr>
        <w:ind w:left="2520" w:right="255" w:hanging="360"/>
      </w:pPr>
      <w:r>
        <w:t xml:space="preserve">The Contractor’s MDL for the </w:t>
      </w:r>
      <w:r w:rsidR="005F6882">
        <w:t>analyte.</w:t>
      </w:r>
      <w:r>
        <w:t xml:space="preserve"> </w:t>
      </w:r>
    </w:p>
    <w:p w14:paraId="3484A62A" w14:textId="77777777" w:rsidR="00B56D50" w:rsidRDefault="001C3C42" w:rsidP="00093377">
      <w:pPr>
        <w:numPr>
          <w:ilvl w:val="1"/>
          <w:numId w:val="32"/>
        </w:numPr>
        <w:ind w:left="2520" w:right="255" w:hanging="360"/>
      </w:pPr>
      <w:r>
        <w:t xml:space="preserve">5% of the regulatory limit for that analyte (applicable only if the sample results will be compared to that regulatory limit); or </w:t>
      </w:r>
    </w:p>
    <w:p w14:paraId="5FE75772" w14:textId="77777777" w:rsidR="00B56D50" w:rsidRDefault="001C3C42" w:rsidP="00093377">
      <w:pPr>
        <w:numPr>
          <w:ilvl w:val="1"/>
          <w:numId w:val="32"/>
        </w:numPr>
        <w:ind w:left="2520" w:right="255" w:hanging="360"/>
      </w:pPr>
      <w:r>
        <w:t xml:space="preserve">5% of the measured concentration in the sample. </w:t>
      </w:r>
    </w:p>
    <w:p w14:paraId="4912A77A" w14:textId="77777777" w:rsidR="00B56D50" w:rsidRDefault="001C3C42">
      <w:pPr>
        <w:spacing w:after="0" w:line="259" w:lineRule="auto"/>
        <w:ind w:left="540" w:right="0" w:firstLine="0"/>
      </w:pPr>
      <w:r>
        <w:t xml:space="preserve"> </w:t>
      </w:r>
    </w:p>
    <w:p w14:paraId="6BAFBED8" w14:textId="74CFF959" w:rsidR="00B56D50" w:rsidRDefault="001C3C42" w:rsidP="001A065C">
      <w:pPr>
        <w:numPr>
          <w:ilvl w:val="0"/>
          <w:numId w:val="32"/>
        </w:numPr>
        <w:ind w:left="2160" w:right="255" w:hanging="360"/>
      </w:pPr>
      <w:r>
        <w:rPr>
          <w:u w:val="single" w:color="000000"/>
        </w:rPr>
        <w:lastRenderedPageBreak/>
        <w:t>Failure of control criteria</w:t>
      </w:r>
      <w:r>
        <w:t>.   If any laboratory method blank exceeds these criteria,</w:t>
      </w:r>
      <w:r>
        <w:rPr>
          <w:b/>
        </w:rPr>
        <w:t xml:space="preserve"> </w:t>
      </w:r>
      <w:r>
        <w:t>the Contractor shall take corrective action.  The source of the contamination must be located, the contaminant concentration must be reduced, and all relevant information must be documented.  All samples processed with the contaminated method blank must be re-extracted/re</w:t>
      </w:r>
      <w:r w:rsidR="005F6882">
        <w:t>-</w:t>
      </w:r>
      <w:r>
        <w:t>purged and re</w:t>
      </w:r>
      <w:r w:rsidR="005F6882">
        <w:t>-</w:t>
      </w:r>
      <w:r>
        <w:t>analyzed.</w:t>
      </w:r>
    </w:p>
    <w:p w14:paraId="544C0695" w14:textId="0F477F9D" w:rsidR="00B56D50" w:rsidRDefault="001C3C42">
      <w:pPr>
        <w:spacing w:after="0" w:line="259" w:lineRule="auto"/>
        <w:ind w:left="540" w:right="0" w:firstLine="0"/>
      </w:pPr>
      <w:r>
        <w:t xml:space="preserve"> </w:t>
      </w:r>
      <w:r>
        <w:rPr>
          <w:rFonts w:ascii="Arial" w:eastAsia="Arial" w:hAnsi="Arial" w:cs="Arial"/>
        </w:rPr>
        <w:t xml:space="preserve"> </w:t>
      </w:r>
    </w:p>
    <w:p w14:paraId="03A5650A" w14:textId="77777777" w:rsidR="00B56D50" w:rsidRDefault="001C3C42" w:rsidP="001A065C">
      <w:pPr>
        <w:numPr>
          <w:ilvl w:val="0"/>
          <w:numId w:val="32"/>
        </w:numPr>
        <w:ind w:left="2160" w:right="255" w:hanging="360"/>
      </w:pPr>
      <w:r>
        <w:rPr>
          <w:u w:val="single" w:color="000000"/>
        </w:rPr>
        <w:t>Results and reporting</w:t>
      </w:r>
      <w:r>
        <w:t xml:space="preserve">.  The Contractor shall report results of all volatile method blank analyses.  However, the Contractor shall </w:t>
      </w:r>
      <w:r>
        <w:rPr>
          <w:u w:val="single" w:color="000000"/>
        </w:rPr>
        <w:t>not</w:t>
      </w:r>
      <w:r>
        <w:t xml:space="preserve"> subtract the results of the method blank from those of any associated samples. </w:t>
      </w:r>
    </w:p>
    <w:p w14:paraId="7B21DB1D" w14:textId="77777777" w:rsidR="00B56D50" w:rsidRDefault="001C3C42">
      <w:pPr>
        <w:spacing w:after="0" w:line="259" w:lineRule="auto"/>
        <w:ind w:left="1980" w:right="0" w:firstLine="0"/>
      </w:pPr>
      <w:r>
        <w:t xml:space="preserve"> </w:t>
      </w:r>
    </w:p>
    <w:p w14:paraId="0353E860" w14:textId="4A434053" w:rsidR="001F121B" w:rsidRPr="00752FF2" w:rsidRDefault="001C3C42" w:rsidP="00093377">
      <w:pPr>
        <w:pStyle w:val="ListParagraph"/>
        <w:numPr>
          <w:ilvl w:val="0"/>
          <w:numId w:val="18"/>
        </w:numPr>
        <w:ind w:right="376" w:hanging="360"/>
        <w:rPr>
          <w:b/>
        </w:rPr>
      </w:pPr>
      <w:r w:rsidRPr="001F121B">
        <w:rPr>
          <w:b/>
        </w:rPr>
        <w:t>Matrix Spike and Matrix Spike Duplicate (or Matrix Spike and Un</w:t>
      </w:r>
      <w:r w:rsidR="005F6882" w:rsidRPr="001F121B">
        <w:rPr>
          <w:b/>
        </w:rPr>
        <w:t>-</w:t>
      </w:r>
      <w:r w:rsidRPr="001F121B">
        <w:rPr>
          <w:b/>
        </w:rPr>
        <w:t>spiked Duplicates)</w:t>
      </w:r>
    </w:p>
    <w:p w14:paraId="7DFBFE28" w14:textId="5BADE59D" w:rsidR="00901F6E" w:rsidRDefault="001C3C42" w:rsidP="00F3014C">
      <w:pPr>
        <w:pStyle w:val="ListParagraph"/>
        <w:ind w:left="1440" w:right="376" w:firstLine="0"/>
      </w:pPr>
      <w:r>
        <w:t>The Contractor shall analyze at least one matrix spike and one duplicate un</w:t>
      </w:r>
      <w:r w:rsidR="005F6882">
        <w:t>-</w:t>
      </w:r>
      <w:r>
        <w:t xml:space="preserve">spiked sample or one matrix spike/matrix spike duplicate pair (MS/MSD) to document the effect of the matrix.  The State requires that this be </w:t>
      </w:r>
      <w:proofErr w:type="gramStart"/>
      <w:r>
        <w:t>a MS</w:t>
      </w:r>
      <w:proofErr w:type="gramEnd"/>
      <w:r>
        <w:t xml:space="preserve">/MSD </w:t>
      </w:r>
      <w:r w:rsidRPr="001F121B">
        <w:rPr>
          <w:u w:val="single" w:color="000000"/>
        </w:rPr>
        <w:t>unless</w:t>
      </w:r>
      <w:r>
        <w:t xml:space="preserve"> the analyte concentration in the un</w:t>
      </w:r>
      <w:r w:rsidR="005F6882">
        <w:t>-</w:t>
      </w:r>
      <w:r>
        <w:t>spiked sample exceeds 4x the spike concentration or 1000 ppm (whichever is less).  If the sample concentration exceeds this level, un</w:t>
      </w:r>
      <w:r w:rsidR="005F6882">
        <w:t>-</w:t>
      </w:r>
      <w:r>
        <w:t>spiked duplicates should be run.</w:t>
      </w:r>
    </w:p>
    <w:p w14:paraId="3C6EAD0F" w14:textId="7BB31E7F" w:rsidR="00B56D50" w:rsidRDefault="00B56D50">
      <w:pPr>
        <w:spacing w:after="0" w:line="259" w:lineRule="auto"/>
        <w:ind w:left="540" w:right="0" w:firstLine="0"/>
      </w:pPr>
    </w:p>
    <w:p w14:paraId="7CF1F6A1" w14:textId="7A844B4E" w:rsidR="00B56D50" w:rsidRDefault="001C3C42" w:rsidP="00093377">
      <w:pPr>
        <w:pStyle w:val="Heading6"/>
        <w:numPr>
          <w:ilvl w:val="1"/>
          <w:numId w:val="88"/>
        </w:numPr>
        <w:ind w:left="1800" w:right="186"/>
      </w:pPr>
      <w:r>
        <w:t>Matrix Spike</w:t>
      </w:r>
    </w:p>
    <w:p w14:paraId="698F8B0D" w14:textId="1752AF50" w:rsidR="00B56D50" w:rsidRDefault="001C3C42" w:rsidP="00FA7AA6">
      <w:pPr>
        <w:ind w:left="1810" w:right="255"/>
      </w:pPr>
      <w:r>
        <w:t xml:space="preserve">The matrix spike (and MSD, if applicable) is a measure of the bias attributed to </w:t>
      </w:r>
      <w:r>
        <w:rPr>
          <w:u w:val="single" w:color="000000"/>
        </w:rPr>
        <w:t>sample</w:t>
      </w:r>
      <w:r>
        <w:t xml:space="preserve"> matrix effects, not just laboratory process effects on phase or concentration characteristics.  The sample matrix includes the target and non-target analytes present in the sample or group of samples: naturally occurring compounds as well as contaminants.  Therefore, the spiked sample </w:t>
      </w:r>
      <w:r>
        <w:rPr>
          <w:u w:val="single" w:color="000000"/>
        </w:rPr>
        <w:t>must</w:t>
      </w:r>
      <w:r>
        <w:t xml:space="preserve"> be from the same project as the group of field samples. </w:t>
      </w:r>
    </w:p>
    <w:p w14:paraId="42D668A2" w14:textId="5A4AF5CE" w:rsidR="00B56D50" w:rsidRDefault="00B56D50" w:rsidP="00B6285A">
      <w:pPr>
        <w:spacing w:after="0" w:line="259" w:lineRule="auto"/>
        <w:ind w:left="1800" w:right="0" w:firstLine="0"/>
      </w:pPr>
    </w:p>
    <w:p w14:paraId="3678F2CF" w14:textId="71720AB1" w:rsidR="00B56D50" w:rsidRDefault="001C3C42" w:rsidP="00B6285A">
      <w:pPr>
        <w:ind w:left="1800" w:right="255"/>
      </w:pPr>
      <w:r>
        <w:t>At least one MS must be performed on each group of samples of a similar matrix type from the same project (e.g., water, sludges, soil) for each group of 20 (or fewer) samples received per project.  However, it is not necessary to spike samples when the concentration of the analyte in the un</w:t>
      </w:r>
      <w:r w:rsidR="005F6882">
        <w:t>-</w:t>
      </w:r>
      <w:r>
        <w:t>spiked sample exceeds 4x the spike concentration or 0.1% (1000 ppm), whichever is less.</w:t>
      </w:r>
    </w:p>
    <w:p w14:paraId="5907AE83" w14:textId="3F110E5A" w:rsidR="00B56D50" w:rsidRDefault="00B56D50" w:rsidP="00B6285A">
      <w:pPr>
        <w:spacing w:after="0" w:line="259" w:lineRule="auto"/>
        <w:ind w:left="1800" w:right="0" w:firstLine="0"/>
      </w:pPr>
    </w:p>
    <w:p w14:paraId="7A5140D3" w14:textId="77777777" w:rsidR="00B5255C" w:rsidRDefault="008D33FB" w:rsidP="00467DF6">
      <w:pPr>
        <w:ind w:left="2430" w:right="255" w:hanging="630"/>
      </w:pPr>
      <w:r>
        <w:rPr>
          <w:b/>
        </w:rPr>
        <w:t>N</w:t>
      </w:r>
      <w:r w:rsidR="005F6882">
        <w:rPr>
          <w:b/>
        </w:rPr>
        <w:t>ote</w:t>
      </w:r>
      <w:proofErr w:type="gramStart"/>
      <w:r w:rsidR="005F6882">
        <w:rPr>
          <w:b/>
        </w:rPr>
        <w:t>:</w:t>
      </w:r>
      <w:r w:rsidR="001C3C42">
        <w:rPr>
          <w:b/>
        </w:rPr>
        <w:t xml:space="preserve">  </w:t>
      </w:r>
      <w:r w:rsidR="001C3C42">
        <w:t>MS</w:t>
      </w:r>
      <w:proofErr w:type="gramEnd"/>
      <w:r w:rsidR="001C3C42">
        <w:t xml:space="preserve">/MSDs are </w:t>
      </w:r>
      <w:r w:rsidR="001C3C42">
        <w:rPr>
          <w:u w:val="single" w:color="000000"/>
        </w:rPr>
        <w:t>site-specific, project-specific</w:t>
      </w:r>
      <w:r w:rsidR="001C3C42">
        <w:t xml:space="preserve"> information resources and not laboratory</w:t>
      </w:r>
      <w:r w:rsidR="00467DF6">
        <w:t xml:space="preserve"> </w:t>
      </w:r>
      <w:r w:rsidR="001C3C42">
        <w:t xml:space="preserve">performance information resources.  Therefore, it </w:t>
      </w:r>
      <w:r w:rsidR="001C3C42">
        <w:rPr>
          <w:u w:val="single" w:color="000000"/>
        </w:rPr>
        <w:t>is</w:t>
      </w:r>
      <w:r w:rsidR="001C3C42">
        <w:t xml:space="preserve"> necessary to analyze one site-specific MS/MSD per sample matrix, per analysis type, </w:t>
      </w:r>
      <w:r w:rsidR="001C3C42">
        <w:rPr>
          <w:u w:val="single" w:color="000000"/>
        </w:rPr>
        <w:t>per</w:t>
      </w:r>
      <w:r w:rsidR="001C3C42">
        <w:t xml:space="preserve"> </w:t>
      </w:r>
      <w:r w:rsidR="001C3C42">
        <w:rPr>
          <w:u w:val="single" w:color="000000"/>
        </w:rPr>
        <w:t>sample delivery group</w:t>
      </w:r>
      <w:r w:rsidR="001C3C42">
        <w:t xml:space="preserve">.  However, if a sample delivery group requires multiple analytical batches for one or more analysis type, it is </w:t>
      </w:r>
      <w:r w:rsidR="001C3C42">
        <w:rPr>
          <w:u w:val="single" w:color="000000"/>
        </w:rPr>
        <w:t>not</w:t>
      </w:r>
      <w:r w:rsidR="001C3C42">
        <w:t xml:space="preserve"> necessary to analyze a MS/MSD pair for every analytical batch</w:t>
      </w:r>
      <w:r w:rsidR="00B5255C">
        <w:t>.</w:t>
      </w:r>
    </w:p>
    <w:p w14:paraId="5C6171A7" w14:textId="77777777" w:rsidR="00B5255C" w:rsidRDefault="00B5255C" w:rsidP="00467DF6">
      <w:pPr>
        <w:ind w:left="2430" w:right="255" w:hanging="630"/>
      </w:pPr>
    </w:p>
    <w:p w14:paraId="215207CF" w14:textId="77777777" w:rsidR="00B5255C" w:rsidRDefault="00B5255C" w:rsidP="00B5255C">
      <w:pPr>
        <w:ind w:left="1810" w:right="255"/>
      </w:pPr>
      <w:r>
        <w:t xml:space="preserve">The matrix spiking solutions must not be prepared from the same standards as the calibration standards. However, the same spiking standard prepared for the matrix spike may be used for the LCS. </w:t>
      </w:r>
    </w:p>
    <w:p w14:paraId="2F755A6F" w14:textId="77777777" w:rsidR="00B56D50" w:rsidRDefault="001C3C42" w:rsidP="00CF3978">
      <w:pPr>
        <w:ind w:left="2430" w:right="255" w:hanging="630"/>
      </w:pPr>
      <w:r>
        <w:t xml:space="preserve"> </w:t>
      </w:r>
    </w:p>
    <w:p w14:paraId="1297E663" w14:textId="34F7C24E" w:rsidR="00B56D50" w:rsidRDefault="001C3C42" w:rsidP="00093377">
      <w:pPr>
        <w:pStyle w:val="ListParagraph"/>
        <w:numPr>
          <w:ilvl w:val="0"/>
          <w:numId w:val="89"/>
        </w:numPr>
        <w:ind w:left="2160" w:right="255"/>
      </w:pPr>
      <w:r w:rsidRPr="00CF0D3F">
        <w:rPr>
          <w:u w:val="single" w:color="000000"/>
        </w:rPr>
        <w:t>Selection of sample to be spiked</w:t>
      </w:r>
      <w:r>
        <w:t xml:space="preserve">.  For many projects, the State will select the sample to be spiked based on site conditions.  If the State does not designate a specific sample for </w:t>
      </w:r>
      <w:proofErr w:type="gramStart"/>
      <w:r>
        <w:t>spiking</w:t>
      </w:r>
      <w:proofErr w:type="gramEnd"/>
      <w:r>
        <w:t xml:space="preserve">, the Contractor shall contact the State.  </w:t>
      </w:r>
      <w:r w:rsidRPr="00CF0D3F">
        <w:rPr>
          <w:b/>
        </w:rPr>
        <w:t>However, samples identified as field blanks shall not be spiked.</w:t>
      </w:r>
      <w:r>
        <w:rPr>
          <w:rFonts w:eastAsia="Arial"/>
        </w:rPr>
        <w:t xml:space="preserve"> </w:t>
      </w:r>
    </w:p>
    <w:p w14:paraId="686E138B" w14:textId="77777777" w:rsidR="00B56D50" w:rsidRDefault="001C3C42">
      <w:pPr>
        <w:spacing w:after="0" w:line="259" w:lineRule="auto"/>
        <w:ind w:left="540" w:right="0" w:firstLine="0"/>
      </w:pPr>
      <w:r>
        <w:rPr>
          <w:rFonts w:ascii="Arial" w:eastAsia="Arial" w:hAnsi="Arial" w:cs="Arial"/>
        </w:rPr>
        <w:t xml:space="preserve"> </w:t>
      </w:r>
    </w:p>
    <w:p w14:paraId="61F0A272" w14:textId="77777777" w:rsidR="00B56D50" w:rsidRDefault="001C3C42" w:rsidP="00093377">
      <w:pPr>
        <w:numPr>
          <w:ilvl w:val="0"/>
          <w:numId w:val="89"/>
        </w:numPr>
        <w:ind w:left="2160" w:right="255"/>
      </w:pPr>
      <w:r>
        <w:rPr>
          <w:u w:val="single" w:color="000000"/>
        </w:rPr>
        <w:t>Compounds to be spiked.</w:t>
      </w:r>
      <w:r>
        <w:t xml:space="preserve">  The State requires that the MS/MSD be spiked with </w:t>
      </w:r>
      <w:r>
        <w:rPr>
          <w:b/>
          <w:u w:val="single" w:color="000000"/>
        </w:rPr>
        <w:t>all</w:t>
      </w:r>
      <w:r>
        <w:t xml:space="preserve"> requested target analytes </w:t>
      </w:r>
      <w:proofErr w:type="gramStart"/>
      <w:r>
        <w:t>in order to</w:t>
      </w:r>
      <w:proofErr w:type="gramEnd"/>
      <w:r>
        <w:t xml:space="preserve"> accurately interpret matrix effects on sample results.   </w:t>
      </w:r>
    </w:p>
    <w:p w14:paraId="6794DF48" w14:textId="77777777" w:rsidR="00B56D50" w:rsidRDefault="001C3C42">
      <w:pPr>
        <w:spacing w:after="0" w:line="259" w:lineRule="auto"/>
        <w:ind w:left="540" w:right="0" w:firstLine="0"/>
      </w:pPr>
      <w:r>
        <w:rPr>
          <w:b/>
        </w:rPr>
        <w:t xml:space="preserve"> </w:t>
      </w:r>
    </w:p>
    <w:p w14:paraId="5546AE43" w14:textId="14CBFAC0" w:rsidR="00B56D50" w:rsidRDefault="001C3C42" w:rsidP="00CB692A">
      <w:pPr>
        <w:ind w:left="2170" w:right="255"/>
      </w:pPr>
      <w:r>
        <w:t xml:space="preserve">At a </w:t>
      </w:r>
      <w:r>
        <w:rPr>
          <w:u w:val="single" w:color="000000"/>
        </w:rPr>
        <w:t>minimum</w:t>
      </w:r>
      <w:r>
        <w:t>, the matrix spike must include the compounds</w:t>
      </w:r>
      <w:r w:rsidR="008103AC">
        <w:t xml:space="preserve"> listed in Table 20.</w:t>
      </w:r>
      <w:r>
        <w:t xml:space="preserve"> </w:t>
      </w:r>
    </w:p>
    <w:p w14:paraId="118F1D1F" w14:textId="6C420B59" w:rsidR="00B56D50" w:rsidRDefault="001C3C42" w:rsidP="009F36F7">
      <w:pPr>
        <w:spacing w:after="0" w:line="259" w:lineRule="auto"/>
        <w:ind w:left="540" w:right="0" w:firstLine="0"/>
      </w:pPr>
      <w:r>
        <w:t xml:space="preserve">  </w:t>
      </w:r>
    </w:p>
    <w:p w14:paraId="3A5CF359" w14:textId="77777777" w:rsidR="00B56D50" w:rsidRDefault="001C3C42" w:rsidP="00876E63">
      <w:pPr>
        <w:ind w:left="2160" w:right="255" w:firstLine="0"/>
      </w:pPr>
      <w:r>
        <w:lastRenderedPageBreak/>
        <w:t xml:space="preserve">The matrix spiking solutions must not be prepared from the same standards as the calibration standards. However, the same spiking standard prepared for the matrix spike may be used for the LCS. </w:t>
      </w:r>
    </w:p>
    <w:p w14:paraId="1AF062F1" w14:textId="77777777" w:rsidR="00B56D50" w:rsidRDefault="001C3C42">
      <w:pPr>
        <w:spacing w:after="0" w:line="259" w:lineRule="auto"/>
        <w:ind w:left="540" w:right="0" w:firstLine="0"/>
      </w:pPr>
      <w:r>
        <w:t xml:space="preserve"> </w:t>
      </w:r>
    </w:p>
    <w:p w14:paraId="08B0E24F" w14:textId="77777777" w:rsidR="002814A3" w:rsidRDefault="001C3C42" w:rsidP="00093377">
      <w:pPr>
        <w:numPr>
          <w:ilvl w:val="0"/>
          <w:numId w:val="89"/>
        </w:numPr>
        <w:ind w:left="2160" w:right="255"/>
      </w:pPr>
      <w:r>
        <w:rPr>
          <w:u w:val="single" w:color="000000"/>
        </w:rPr>
        <w:t>Spike concentrations</w:t>
      </w:r>
      <w:r>
        <w:t>.  The concentration of the stock spiking solution and the final concentration of the spike in the sample will be specified in the individual methods of analysis and generally must be followed.  However, the concentration may require adjustment to meet project DQOs.  For example, if a method modification or a more sensitive mass spectrometer is employed to achieve lower detection levels, more dilute matrix spiking solutions may be required.</w:t>
      </w:r>
    </w:p>
    <w:p w14:paraId="4D7BCA50" w14:textId="77777777" w:rsidR="002C116E" w:rsidRDefault="002C116E" w:rsidP="00202946">
      <w:pPr>
        <w:ind w:right="255"/>
      </w:pPr>
    </w:p>
    <w:p w14:paraId="5F4B6F40" w14:textId="626E9A2D" w:rsidR="00E7143A" w:rsidRDefault="002C116E" w:rsidP="00093377">
      <w:pPr>
        <w:numPr>
          <w:ilvl w:val="0"/>
          <w:numId w:val="89"/>
        </w:numPr>
        <w:ind w:left="2160" w:right="255"/>
      </w:pPr>
      <w:r w:rsidRPr="002C116E">
        <w:rPr>
          <w:u w:val="single" w:color="000000"/>
        </w:rPr>
        <w:t>Control limits</w:t>
      </w:r>
      <w:r>
        <w:t xml:space="preserve">.  Recommended control limits for the MS (and MSD, if applicable) % Recovery are listed in TABLE </w:t>
      </w:r>
      <w:r w:rsidR="00AC6E5B">
        <w:t>20</w:t>
      </w:r>
      <w:r>
        <w:t>.</w:t>
      </w:r>
    </w:p>
    <w:p w14:paraId="4F762CB5" w14:textId="13C4E2A6" w:rsidR="00B56D50" w:rsidRPr="00881777" w:rsidRDefault="00B56D50" w:rsidP="00881777">
      <w:pPr>
        <w:ind w:left="0" w:firstLine="0"/>
      </w:pPr>
    </w:p>
    <w:p w14:paraId="039DF226" w14:textId="3A013F0B" w:rsidR="00B56D50" w:rsidRDefault="001C3C42" w:rsidP="00093377">
      <w:pPr>
        <w:pStyle w:val="Heading6"/>
        <w:numPr>
          <w:ilvl w:val="1"/>
          <w:numId w:val="88"/>
        </w:numPr>
        <w:ind w:left="1800" w:right="186"/>
      </w:pPr>
      <w:r>
        <w:t>MS/MSD or Un</w:t>
      </w:r>
      <w:r w:rsidR="00E932C0">
        <w:t>-</w:t>
      </w:r>
      <w:r>
        <w:t xml:space="preserve">spiked Matrix Duplicate Pair </w:t>
      </w:r>
    </w:p>
    <w:p w14:paraId="5D5F5FD7" w14:textId="49325A8C" w:rsidR="00B56D50" w:rsidRPr="002814A3" w:rsidRDefault="001C3C42" w:rsidP="00876E63">
      <w:pPr>
        <w:ind w:left="1800" w:firstLine="0"/>
      </w:pPr>
      <w:r>
        <w:t>At least one MSD or one un</w:t>
      </w:r>
      <w:r w:rsidR="00E932C0">
        <w:t>-</w:t>
      </w:r>
      <w:r>
        <w:t xml:space="preserve">spiked duplicate must be performed on each group of samples of a similar matrix type from the same project (e.g., water, sludges, soil) for each group of 20 (or fewer) samples received per project.  To assess precision, the Relative Percent Difference is defined by the following equation.  MS/MSD and matrix duplicate RPDs must be reported.  Recommended RPD control limits are listed in TABLE </w:t>
      </w:r>
      <w:r w:rsidR="00AC6E5B">
        <w:t>20</w:t>
      </w:r>
      <w:r w:rsidRPr="002814A3">
        <w:t xml:space="preserve">. </w:t>
      </w:r>
    </w:p>
    <w:p w14:paraId="337EC0A7" w14:textId="3341909C" w:rsidR="00FD4D4C" w:rsidRDefault="001C3C42" w:rsidP="00FD4D4C">
      <w:pPr>
        <w:ind w:left="0" w:firstLine="0"/>
      </w:pPr>
      <w:r w:rsidRPr="00F931A3">
        <w:rPr>
          <w:rFonts w:eastAsia="Arial"/>
        </w:rPr>
        <w:t xml:space="preserve"> </w:t>
      </w:r>
    </w:p>
    <w:p w14:paraId="0D2B5A1E" w14:textId="77777777" w:rsidR="00FD4D4C" w:rsidRDefault="00FD4D4C" w:rsidP="00FD4D4C">
      <w:pPr>
        <w:pStyle w:val="Heading5"/>
        <w:ind w:left="1024" w:right="722"/>
      </w:pPr>
      <w:r>
        <w:t xml:space="preserve">TABLE 20 </w:t>
      </w:r>
    </w:p>
    <w:p w14:paraId="532CD90F" w14:textId="77777777" w:rsidR="00FD4D4C" w:rsidRDefault="00FD4D4C" w:rsidP="00FD4D4C">
      <w:pPr>
        <w:pStyle w:val="Heading6"/>
        <w:spacing w:after="14" w:line="248" w:lineRule="auto"/>
        <w:ind w:left="1024" w:right="726"/>
        <w:jc w:val="center"/>
      </w:pPr>
      <w:r>
        <w:t xml:space="preserve">Recommended MS/MSD and Matrix Duplicate Control Criteria for SVOC Analysis </w:t>
      </w:r>
    </w:p>
    <w:p w14:paraId="747EDE88" w14:textId="68087622" w:rsidR="00FD4D4C" w:rsidRDefault="00FD4D4C" w:rsidP="002814A3">
      <w:pPr>
        <w:ind w:left="0" w:firstLine="0"/>
        <w:rPr>
          <w:rFonts w:eastAsia="Arial"/>
        </w:rPr>
      </w:pPr>
    </w:p>
    <w:tbl>
      <w:tblPr>
        <w:tblStyle w:val="TableGrid1"/>
        <w:tblW w:w="9273" w:type="dxa"/>
        <w:tblInd w:w="1215" w:type="dxa"/>
        <w:tblCellMar>
          <w:top w:w="17" w:type="dxa"/>
          <w:right w:w="114" w:type="dxa"/>
        </w:tblCellMar>
        <w:tblLook w:val="04A0" w:firstRow="1" w:lastRow="0" w:firstColumn="1" w:lastColumn="0" w:noHBand="0" w:noVBand="1"/>
      </w:tblPr>
      <w:tblGrid>
        <w:gridCol w:w="2972"/>
        <w:gridCol w:w="1349"/>
        <w:gridCol w:w="1800"/>
        <w:gridCol w:w="1352"/>
        <w:gridCol w:w="1800"/>
      </w:tblGrid>
      <w:tr w:rsidR="00FD4D4C" w14:paraId="71F2F197" w14:textId="77777777" w:rsidTr="00EE796B">
        <w:trPr>
          <w:trHeight w:val="360"/>
        </w:trPr>
        <w:tc>
          <w:tcPr>
            <w:tcW w:w="2972" w:type="dxa"/>
            <w:tcBorders>
              <w:top w:val="single" w:sz="12" w:space="0" w:color="000000"/>
              <w:left w:val="single" w:sz="12" w:space="0" w:color="000000"/>
              <w:bottom w:val="single" w:sz="12" w:space="0" w:color="000000"/>
              <w:right w:val="single" w:sz="12" w:space="0" w:color="000000"/>
            </w:tcBorders>
            <w:vAlign w:val="center"/>
          </w:tcPr>
          <w:p w14:paraId="612EE8AA" w14:textId="77777777" w:rsidR="00FD4D4C" w:rsidRPr="00F40A16" w:rsidRDefault="00FD4D4C" w:rsidP="00EE796B">
            <w:pPr>
              <w:spacing w:after="0" w:line="259" w:lineRule="auto"/>
              <w:ind w:left="107" w:right="0" w:firstLine="0"/>
              <w:jc w:val="center"/>
              <w:rPr>
                <w:iCs/>
              </w:rPr>
            </w:pPr>
            <w:r w:rsidRPr="00590B96">
              <w:rPr>
                <w:b/>
                <w:iCs/>
                <w:sz w:val="20"/>
              </w:rPr>
              <w:t>Matrix:</w:t>
            </w:r>
          </w:p>
        </w:tc>
        <w:tc>
          <w:tcPr>
            <w:tcW w:w="3149" w:type="dxa"/>
            <w:gridSpan w:val="2"/>
            <w:tcBorders>
              <w:top w:val="single" w:sz="12" w:space="0" w:color="000000"/>
              <w:left w:val="single" w:sz="12" w:space="0" w:color="000000"/>
              <w:bottom w:val="single" w:sz="12" w:space="0" w:color="000000"/>
              <w:right w:val="single" w:sz="12" w:space="0" w:color="000000"/>
            </w:tcBorders>
            <w:vAlign w:val="center"/>
          </w:tcPr>
          <w:p w14:paraId="5FA0AFC0" w14:textId="77777777" w:rsidR="00FD4D4C" w:rsidRDefault="00FD4D4C" w:rsidP="00EE796B">
            <w:pPr>
              <w:spacing w:after="0" w:line="259" w:lineRule="auto"/>
              <w:ind w:left="-48" w:right="0" w:firstLine="0"/>
              <w:jc w:val="center"/>
            </w:pPr>
            <w:r>
              <w:rPr>
                <w:b/>
                <w:sz w:val="20"/>
              </w:rPr>
              <w:t>Water</w:t>
            </w:r>
          </w:p>
        </w:tc>
        <w:tc>
          <w:tcPr>
            <w:tcW w:w="3152" w:type="dxa"/>
            <w:gridSpan w:val="2"/>
            <w:tcBorders>
              <w:top w:val="single" w:sz="12" w:space="0" w:color="000000"/>
              <w:left w:val="single" w:sz="12" w:space="0" w:color="000000"/>
              <w:bottom w:val="single" w:sz="12" w:space="0" w:color="000000"/>
              <w:right w:val="single" w:sz="12" w:space="0" w:color="000000"/>
            </w:tcBorders>
            <w:vAlign w:val="center"/>
          </w:tcPr>
          <w:p w14:paraId="32834B77" w14:textId="77777777" w:rsidR="00FD4D4C" w:rsidRDefault="00FD4D4C" w:rsidP="00EE796B">
            <w:pPr>
              <w:spacing w:after="0" w:line="259" w:lineRule="auto"/>
              <w:ind w:left="249" w:right="0" w:firstLine="0"/>
              <w:jc w:val="center"/>
            </w:pPr>
            <w:r>
              <w:rPr>
                <w:b/>
                <w:sz w:val="20"/>
              </w:rPr>
              <w:t>Other Matrices</w:t>
            </w:r>
          </w:p>
        </w:tc>
      </w:tr>
      <w:tr w:rsidR="00FD4D4C" w14:paraId="77197E44" w14:textId="77777777" w:rsidTr="00EE796B">
        <w:trPr>
          <w:trHeight w:val="432"/>
        </w:trPr>
        <w:tc>
          <w:tcPr>
            <w:tcW w:w="2972" w:type="dxa"/>
            <w:tcBorders>
              <w:top w:val="single" w:sz="12" w:space="0" w:color="000000"/>
              <w:left w:val="single" w:sz="12" w:space="0" w:color="000000"/>
              <w:bottom w:val="single" w:sz="12" w:space="0" w:color="000000"/>
              <w:right w:val="single" w:sz="12" w:space="0" w:color="000000"/>
            </w:tcBorders>
            <w:vAlign w:val="center"/>
          </w:tcPr>
          <w:p w14:paraId="102B1423" w14:textId="77777777" w:rsidR="00FD4D4C" w:rsidRDefault="00FD4D4C" w:rsidP="00EE796B">
            <w:pPr>
              <w:spacing w:after="0" w:line="259" w:lineRule="auto"/>
              <w:ind w:left="106" w:right="0" w:firstLine="0"/>
              <w:jc w:val="center"/>
            </w:pPr>
            <w:r>
              <w:rPr>
                <w:b/>
                <w:sz w:val="20"/>
              </w:rPr>
              <w:t>Compound</w:t>
            </w:r>
          </w:p>
        </w:tc>
        <w:tc>
          <w:tcPr>
            <w:tcW w:w="1349" w:type="dxa"/>
            <w:tcBorders>
              <w:top w:val="single" w:sz="12" w:space="0" w:color="000000"/>
              <w:left w:val="single" w:sz="12" w:space="0" w:color="000000"/>
              <w:bottom w:val="single" w:sz="12" w:space="0" w:color="000000"/>
              <w:right w:val="single" w:sz="12" w:space="0" w:color="000000"/>
            </w:tcBorders>
            <w:vAlign w:val="center"/>
          </w:tcPr>
          <w:p w14:paraId="5FB033F1" w14:textId="77777777" w:rsidR="00FD4D4C" w:rsidRDefault="00FD4D4C" w:rsidP="00EE796B">
            <w:pPr>
              <w:spacing w:after="0" w:line="259" w:lineRule="auto"/>
              <w:ind w:left="113" w:right="0" w:firstLine="0"/>
              <w:jc w:val="center"/>
            </w:pPr>
            <w:r>
              <w:rPr>
                <w:b/>
                <w:sz w:val="20"/>
              </w:rPr>
              <w:t>MS/MSD</w:t>
            </w:r>
          </w:p>
          <w:p w14:paraId="05C58B5B" w14:textId="77777777" w:rsidR="00FD4D4C" w:rsidRDefault="00FD4D4C" w:rsidP="00EE796B">
            <w:pPr>
              <w:spacing w:after="0" w:line="259" w:lineRule="auto"/>
              <w:ind w:left="110" w:right="0" w:firstLine="0"/>
              <w:jc w:val="center"/>
            </w:pPr>
            <w:r>
              <w:rPr>
                <w:b/>
                <w:sz w:val="20"/>
              </w:rPr>
              <w:t>Spike % R</w:t>
            </w:r>
          </w:p>
        </w:tc>
        <w:tc>
          <w:tcPr>
            <w:tcW w:w="1800" w:type="dxa"/>
            <w:tcBorders>
              <w:top w:val="single" w:sz="12" w:space="0" w:color="000000"/>
              <w:left w:val="single" w:sz="12" w:space="0" w:color="000000"/>
              <w:bottom w:val="single" w:sz="12" w:space="0" w:color="000000"/>
              <w:right w:val="single" w:sz="12" w:space="0" w:color="000000"/>
            </w:tcBorders>
            <w:vAlign w:val="center"/>
          </w:tcPr>
          <w:p w14:paraId="067FDDA1" w14:textId="77777777" w:rsidR="00FD4D4C" w:rsidRDefault="00FD4D4C" w:rsidP="00EE796B">
            <w:pPr>
              <w:spacing w:after="0" w:line="259" w:lineRule="auto"/>
              <w:ind w:left="0" w:right="0" w:firstLine="0"/>
              <w:jc w:val="center"/>
            </w:pPr>
            <w:r>
              <w:rPr>
                <w:b/>
                <w:sz w:val="20"/>
              </w:rPr>
              <w:t>MS/MSD or Duplicate RPD</w:t>
            </w:r>
          </w:p>
        </w:tc>
        <w:tc>
          <w:tcPr>
            <w:tcW w:w="1352" w:type="dxa"/>
            <w:tcBorders>
              <w:top w:val="single" w:sz="12" w:space="0" w:color="000000"/>
              <w:left w:val="single" w:sz="12" w:space="0" w:color="000000"/>
              <w:bottom w:val="single" w:sz="12" w:space="0" w:color="000000"/>
              <w:right w:val="single" w:sz="12" w:space="0" w:color="000000"/>
            </w:tcBorders>
            <w:vAlign w:val="center"/>
          </w:tcPr>
          <w:p w14:paraId="72662C79" w14:textId="77777777" w:rsidR="00FD4D4C" w:rsidRDefault="00FD4D4C" w:rsidP="00EE796B">
            <w:pPr>
              <w:spacing w:after="0" w:line="259" w:lineRule="auto"/>
              <w:ind w:left="111" w:right="0" w:firstLine="0"/>
              <w:jc w:val="center"/>
            </w:pPr>
            <w:r>
              <w:rPr>
                <w:b/>
                <w:sz w:val="20"/>
              </w:rPr>
              <w:t>MS/MSD</w:t>
            </w:r>
          </w:p>
          <w:p w14:paraId="54C506A2" w14:textId="77777777" w:rsidR="00FD4D4C" w:rsidRDefault="00FD4D4C" w:rsidP="00EE796B">
            <w:pPr>
              <w:spacing w:after="0" w:line="259" w:lineRule="auto"/>
              <w:ind w:left="108" w:right="0" w:firstLine="0"/>
              <w:jc w:val="center"/>
            </w:pPr>
            <w:r>
              <w:rPr>
                <w:b/>
                <w:sz w:val="20"/>
              </w:rPr>
              <w:t>Spike % R</w:t>
            </w:r>
          </w:p>
        </w:tc>
        <w:tc>
          <w:tcPr>
            <w:tcW w:w="1800" w:type="dxa"/>
            <w:tcBorders>
              <w:top w:val="single" w:sz="12" w:space="0" w:color="000000"/>
              <w:left w:val="single" w:sz="12" w:space="0" w:color="000000"/>
              <w:bottom w:val="single" w:sz="12" w:space="0" w:color="000000"/>
              <w:right w:val="single" w:sz="12" w:space="0" w:color="000000"/>
            </w:tcBorders>
            <w:vAlign w:val="center"/>
          </w:tcPr>
          <w:p w14:paraId="259C4540" w14:textId="77777777" w:rsidR="00FD4D4C" w:rsidRDefault="00FD4D4C" w:rsidP="00EE796B">
            <w:pPr>
              <w:spacing w:after="0" w:line="259" w:lineRule="auto"/>
              <w:ind w:left="0" w:right="0" w:firstLine="0"/>
              <w:jc w:val="center"/>
            </w:pPr>
            <w:r>
              <w:rPr>
                <w:b/>
                <w:sz w:val="20"/>
              </w:rPr>
              <w:t>MS/MSD or Duplicate RPD</w:t>
            </w:r>
          </w:p>
        </w:tc>
      </w:tr>
      <w:tr w:rsidR="00FD4D4C" w14:paraId="7274FBFB" w14:textId="77777777" w:rsidTr="00EE796B">
        <w:trPr>
          <w:trHeight w:val="288"/>
        </w:trPr>
        <w:tc>
          <w:tcPr>
            <w:tcW w:w="2972" w:type="dxa"/>
            <w:tcBorders>
              <w:top w:val="single" w:sz="12" w:space="0" w:color="000000"/>
              <w:left w:val="single" w:sz="12" w:space="0" w:color="000000"/>
              <w:bottom w:val="single" w:sz="4" w:space="0" w:color="000000"/>
              <w:right w:val="single" w:sz="12" w:space="0" w:color="000000"/>
            </w:tcBorders>
          </w:tcPr>
          <w:p w14:paraId="280DE4A0" w14:textId="77777777" w:rsidR="00FD4D4C" w:rsidRDefault="00FD4D4C" w:rsidP="00EE796B">
            <w:pPr>
              <w:spacing w:after="0" w:line="259" w:lineRule="auto"/>
              <w:ind w:left="134" w:right="0" w:firstLine="0"/>
            </w:pPr>
            <w:r>
              <w:rPr>
                <w:sz w:val="20"/>
              </w:rPr>
              <w:t xml:space="preserve">Phenol </w:t>
            </w:r>
          </w:p>
        </w:tc>
        <w:tc>
          <w:tcPr>
            <w:tcW w:w="1349" w:type="dxa"/>
            <w:tcBorders>
              <w:top w:val="single" w:sz="12" w:space="0" w:color="000000"/>
              <w:left w:val="single" w:sz="12" w:space="0" w:color="000000"/>
              <w:bottom w:val="single" w:sz="4" w:space="0" w:color="000000"/>
              <w:right w:val="single" w:sz="12" w:space="0" w:color="000000"/>
            </w:tcBorders>
          </w:tcPr>
          <w:p w14:paraId="38089396" w14:textId="77777777" w:rsidR="00FD4D4C" w:rsidRDefault="00FD4D4C" w:rsidP="00EE796B">
            <w:pPr>
              <w:spacing w:after="0" w:line="259" w:lineRule="auto"/>
              <w:ind w:left="115" w:right="0" w:firstLine="0"/>
              <w:jc w:val="center"/>
            </w:pPr>
            <w:r>
              <w:rPr>
                <w:sz w:val="20"/>
              </w:rPr>
              <w:t xml:space="preserve">12-110 </w:t>
            </w:r>
          </w:p>
        </w:tc>
        <w:tc>
          <w:tcPr>
            <w:tcW w:w="1800" w:type="dxa"/>
            <w:tcBorders>
              <w:top w:val="single" w:sz="12" w:space="0" w:color="000000"/>
              <w:left w:val="single" w:sz="12" w:space="0" w:color="000000"/>
              <w:bottom w:val="single" w:sz="4" w:space="0" w:color="000000"/>
              <w:right w:val="single" w:sz="12" w:space="0" w:color="000000"/>
            </w:tcBorders>
          </w:tcPr>
          <w:p w14:paraId="3C12A394" w14:textId="77777777" w:rsidR="00FD4D4C" w:rsidRDefault="00FD4D4C" w:rsidP="00EE796B">
            <w:pPr>
              <w:spacing w:after="0" w:line="259" w:lineRule="auto"/>
              <w:ind w:left="113" w:right="0" w:firstLine="0"/>
              <w:jc w:val="center"/>
            </w:pPr>
            <w:r>
              <w:rPr>
                <w:sz w:val="20"/>
              </w:rPr>
              <w:t xml:space="preserve">42 </w:t>
            </w:r>
          </w:p>
        </w:tc>
        <w:tc>
          <w:tcPr>
            <w:tcW w:w="1352" w:type="dxa"/>
            <w:tcBorders>
              <w:top w:val="single" w:sz="12" w:space="0" w:color="000000"/>
              <w:left w:val="single" w:sz="12" w:space="0" w:color="000000"/>
              <w:bottom w:val="single" w:sz="4" w:space="0" w:color="000000"/>
              <w:right w:val="single" w:sz="12" w:space="0" w:color="000000"/>
            </w:tcBorders>
          </w:tcPr>
          <w:p w14:paraId="321A468C" w14:textId="77777777" w:rsidR="00FD4D4C" w:rsidRDefault="00FD4D4C" w:rsidP="00EE796B">
            <w:pPr>
              <w:spacing w:after="0" w:line="259" w:lineRule="auto"/>
              <w:ind w:left="112" w:right="0" w:firstLine="0"/>
              <w:jc w:val="center"/>
            </w:pPr>
            <w:r>
              <w:rPr>
                <w:sz w:val="20"/>
              </w:rPr>
              <w:t xml:space="preserve">26-100 </w:t>
            </w:r>
          </w:p>
        </w:tc>
        <w:tc>
          <w:tcPr>
            <w:tcW w:w="1800" w:type="dxa"/>
            <w:tcBorders>
              <w:top w:val="single" w:sz="12" w:space="0" w:color="000000"/>
              <w:left w:val="single" w:sz="12" w:space="0" w:color="000000"/>
              <w:bottom w:val="single" w:sz="4" w:space="0" w:color="000000"/>
              <w:right w:val="single" w:sz="12" w:space="0" w:color="000000"/>
            </w:tcBorders>
          </w:tcPr>
          <w:p w14:paraId="35114446" w14:textId="77777777" w:rsidR="00FD4D4C" w:rsidRDefault="00FD4D4C" w:rsidP="00EE796B">
            <w:pPr>
              <w:spacing w:after="0" w:line="259" w:lineRule="auto"/>
              <w:ind w:left="113" w:right="0" w:firstLine="0"/>
              <w:jc w:val="center"/>
            </w:pPr>
            <w:r>
              <w:rPr>
                <w:sz w:val="20"/>
              </w:rPr>
              <w:t xml:space="preserve">42 </w:t>
            </w:r>
          </w:p>
        </w:tc>
      </w:tr>
      <w:tr w:rsidR="00FD4D4C" w14:paraId="1E8794FF" w14:textId="77777777" w:rsidTr="00EE796B">
        <w:trPr>
          <w:trHeight w:val="288"/>
        </w:trPr>
        <w:tc>
          <w:tcPr>
            <w:tcW w:w="2972" w:type="dxa"/>
            <w:tcBorders>
              <w:top w:val="single" w:sz="4" w:space="0" w:color="000000"/>
              <w:left w:val="single" w:sz="12" w:space="0" w:color="000000"/>
              <w:bottom w:val="single" w:sz="4" w:space="0" w:color="000000"/>
              <w:right w:val="single" w:sz="12" w:space="0" w:color="000000"/>
            </w:tcBorders>
          </w:tcPr>
          <w:p w14:paraId="0CF3C220" w14:textId="77777777" w:rsidR="00FD4D4C" w:rsidRDefault="00FD4D4C" w:rsidP="00EE796B">
            <w:pPr>
              <w:spacing w:after="0" w:line="259" w:lineRule="auto"/>
              <w:ind w:left="134" w:right="0" w:firstLine="0"/>
            </w:pPr>
            <w:r>
              <w:rPr>
                <w:sz w:val="20"/>
              </w:rPr>
              <w:t xml:space="preserve">2-Chlorophenol </w:t>
            </w:r>
          </w:p>
        </w:tc>
        <w:tc>
          <w:tcPr>
            <w:tcW w:w="1349" w:type="dxa"/>
            <w:tcBorders>
              <w:top w:val="single" w:sz="4" w:space="0" w:color="000000"/>
              <w:left w:val="single" w:sz="12" w:space="0" w:color="000000"/>
              <w:bottom w:val="single" w:sz="4" w:space="0" w:color="000000"/>
              <w:right w:val="single" w:sz="12" w:space="0" w:color="000000"/>
            </w:tcBorders>
          </w:tcPr>
          <w:p w14:paraId="7E6AF580" w14:textId="77777777" w:rsidR="00FD4D4C" w:rsidRDefault="00FD4D4C" w:rsidP="00EE796B">
            <w:pPr>
              <w:spacing w:after="0" w:line="259" w:lineRule="auto"/>
              <w:ind w:left="115" w:right="0" w:firstLine="0"/>
              <w:jc w:val="center"/>
            </w:pPr>
            <w:r>
              <w:rPr>
                <w:sz w:val="20"/>
              </w:rPr>
              <w:t xml:space="preserve">27-123 </w:t>
            </w:r>
          </w:p>
        </w:tc>
        <w:tc>
          <w:tcPr>
            <w:tcW w:w="1800" w:type="dxa"/>
            <w:tcBorders>
              <w:top w:val="single" w:sz="4" w:space="0" w:color="000000"/>
              <w:left w:val="single" w:sz="12" w:space="0" w:color="000000"/>
              <w:bottom w:val="single" w:sz="4" w:space="0" w:color="000000"/>
              <w:right w:val="single" w:sz="12" w:space="0" w:color="000000"/>
            </w:tcBorders>
          </w:tcPr>
          <w:p w14:paraId="68593253" w14:textId="77777777" w:rsidR="00FD4D4C" w:rsidRDefault="00FD4D4C" w:rsidP="00EE796B">
            <w:pPr>
              <w:spacing w:after="0" w:line="259" w:lineRule="auto"/>
              <w:ind w:left="113" w:right="0" w:firstLine="0"/>
              <w:jc w:val="center"/>
            </w:pPr>
            <w:r>
              <w:rPr>
                <w:sz w:val="20"/>
              </w:rPr>
              <w:t xml:space="preserve">40 </w:t>
            </w:r>
          </w:p>
        </w:tc>
        <w:tc>
          <w:tcPr>
            <w:tcW w:w="1352" w:type="dxa"/>
            <w:tcBorders>
              <w:top w:val="single" w:sz="4" w:space="0" w:color="000000"/>
              <w:left w:val="single" w:sz="12" w:space="0" w:color="000000"/>
              <w:bottom w:val="single" w:sz="4" w:space="0" w:color="000000"/>
              <w:right w:val="single" w:sz="12" w:space="0" w:color="000000"/>
            </w:tcBorders>
          </w:tcPr>
          <w:p w14:paraId="40EC79B0" w14:textId="77777777" w:rsidR="00FD4D4C" w:rsidRDefault="00FD4D4C" w:rsidP="00EE796B">
            <w:pPr>
              <w:spacing w:after="0" w:line="259" w:lineRule="auto"/>
              <w:ind w:left="112" w:right="0" w:firstLine="0"/>
              <w:jc w:val="center"/>
            </w:pPr>
            <w:r>
              <w:rPr>
                <w:sz w:val="20"/>
              </w:rPr>
              <w:t xml:space="preserve">25-102 </w:t>
            </w:r>
          </w:p>
        </w:tc>
        <w:tc>
          <w:tcPr>
            <w:tcW w:w="1800" w:type="dxa"/>
            <w:tcBorders>
              <w:top w:val="single" w:sz="4" w:space="0" w:color="000000"/>
              <w:left w:val="single" w:sz="12" w:space="0" w:color="000000"/>
              <w:bottom w:val="single" w:sz="4" w:space="0" w:color="000000"/>
              <w:right w:val="single" w:sz="12" w:space="0" w:color="000000"/>
            </w:tcBorders>
          </w:tcPr>
          <w:p w14:paraId="4B051F1E" w14:textId="77777777" w:rsidR="00FD4D4C" w:rsidRDefault="00FD4D4C" w:rsidP="00EE796B">
            <w:pPr>
              <w:spacing w:after="0" w:line="259" w:lineRule="auto"/>
              <w:ind w:left="113" w:right="0" w:firstLine="0"/>
              <w:jc w:val="center"/>
            </w:pPr>
            <w:r>
              <w:rPr>
                <w:sz w:val="20"/>
              </w:rPr>
              <w:t xml:space="preserve">50 </w:t>
            </w:r>
          </w:p>
        </w:tc>
      </w:tr>
      <w:tr w:rsidR="00FD4D4C" w14:paraId="15831FAD" w14:textId="77777777" w:rsidTr="00EE796B">
        <w:trPr>
          <w:trHeight w:val="288"/>
        </w:trPr>
        <w:tc>
          <w:tcPr>
            <w:tcW w:w="2972" w:type="dxa"/>
            <w:tcBorders>
              <w:top w:val="single" w:sz="4" w:space="0" w:color="000000"/>
              <w:left w:val="single" w:sz="12" w:space="0" w:color="000000"/>
              <w:bottom w:val="single" w:sz="4" w:space="0" w:color="000000"/>
              <w:right w:val="single" w:sz="12" w:space="0" w:color="000000"/>
            </w:tcBorders>
          </w:tcPr>
          <w:p w14:paraId="526BBEF8" w14:textId="77777777" w:rsidR="00FD4D4C" w:rsidRDefault="00FD4D4C" w:rsidP="00EE796B">
            <w:pPr>
              <w:spacing w:after="0" w:line="259" w:lineRule="auto"/>
              <w:ind w:left="134" w:right="0" w:firstLine="0"/>
            </w:pPr>
            <w:r>
              <w:rPr>
                <w:sz w:val="20"/>
              </w:rPr>
              <w:t xml:space="preserve">1,4-Dichlorobenzene </w:t>
            </w:r>
          </w:p>
        </w:tc>
        <w:tc>
          <w:tcPr>
            <w:tcW w:w="1349" w:type="dxa"/>
            <w:tcBorders>
              <w:top w:val="single" w:sz="4" w:space="0" w:color="000000"/>
              <w:left w:val="single" w:sz="12" w:space="0" w:color="000000"/>
              <w:bottom w:val="single" w:sz="4" w:space="0" w:color="000000"/>
              <w:right w:val="single" w:sz="12" w:space="0" w:color="000000"/>
            </w:tcBorders>
          </w:tcPr>
          <w:p w14:paraId="0A8A231D" w14:textId="77777777" w:rsidR="00FD4D4C" w:rsidRDefault="00FD4D4C" w:rsidP="00EE796B">
            <w:pPr>
              <w:spacing w:after="0" w:line="259" w:lineRule="auto"/>
              <w:ind w:left="115" w:right="0" w:firstLine="0"/>
              <w:jc w:val="center"/>
            </w:pPr>
            <w:r>
              <w:rPr>
                <w:sz w:val="20"/>
              </w:rPr>
              <w:t xml:space="preserve">36-100 </w:t>
            </w:r>
          </w:p>
        </w:tc>
        <w:tc>
          <w:tcPr>
            <w:tcW w:w="1800" w:type="dxa"/>
            <w:tcBorders>
              <w:top w:val="single" w:sz="4" w:space="0" w:color="000000"/>
              <w:left w:val="single" w:sz="12" w:space="0" w:color="000000"/>
              <w:bottom w:val="single" w:sz="4" w:space="0" w:color="000000"/>
              <w:right w:val="single" w:sz="12" w:space="0" w:color="000000"/>
            </w:tcBorders>
          </w:tcPr>
          <w:p w14:paraId="7071BC0A" w14:textId="77777777" w:rsidR="00FD4D4C" w:rsidRDefault="00FD4D4C" w:rsidP="00EE796B">
            <w:pPr>
              <w:spacing w:after="0" w:line="259" w:lineRule="auto"/>
              <w:ind w:left="113" w:right="0" w:firstLine="0"/>
              <w:jc w:val="center"/>
            </w:pPr>
            <w:r>
              <w:rPr>
                <w:sz w:val="20"/>
              </w:rPr>
              <w:t xml:space="preserve">28 </w:t>
            </w:r>
          </w:p>
        </w:tc>
        <w:tc>
          <w:tcPr>
            <w:tcW w:w="1352" w:type="dxa"/>
            <w:tcBorders>
              <w:top w:val="single" w:sz="4" w:space="0" w:color="000000"/>
              <w:left w:val="single" w:sz="12" w:space="0" w:color="000000"/>
              <w:bottom w:val="single" w:sz="4" w:space="0" w:color="000000"/>
              <w:right w:val="single" w:sz="12" w:space="0" w:color="000000"/>
            </w:tcBorders>
          </w:tcPr>
          <w:p w14:paraId="5647C7CA" w14:textId="77777777" w:rsidR="00FD4D4C" w:rsidRDefault="00FD4D4C" w:rsidP="00EE796B">
            <w:pPr>
              <w:spacing w:after="0" w:line="259" w:lineRule="auto"/>
              <w:ind w:left="112" w:right="0" w:firstLine="0"/>
              <w:jc w:val="center"/>
            </w:pPr>
            <w:r>
              <w:rPr>
                <w:sz w:val="20"/>
              </w:rPr>
              <w:t xml:space="preserve">28-104 </w:t>
            </w:r>
          </w:p>
        </w:tc>
        <w:tc>
          <w:tcPr>
            <w:tcW w:w="1800" w:type="dxa"/>
            <w:tcBorders>
              <w:top w:val="single" w:sz="4" w:space="0" w:color="000000"/>
              <w:left w:val="single" w:sz="12" w:space="0" w:color="000000"/>
              <w:bottom w:val="single" w:sz="4" w:space="0" w:color="000000"/>
              <w:right w:val="single" w:sz="12" w:space="0" w:color="000000"/>
            </w:tcBorders>
          </w:tcPr>
          <w:p w14:paraId="1AC8697A" w14:textId="77777777" w:rsidR="00FD4D4C" w:rsidRDefault="00FD4D4C" w:rsidP="00EE796B">
            <w:pPr>
              <w:spacing w:after="0" w:line="259" w:lineRule="auto"/>
              <w:ind w:left="113" w:right="0" w:firstLine="0"/>
              <w:jc w:val="center"/>
            </w:pPr>
            <w:r>
              <w:rPr>
                <w:sz w:val="20"/>
              </w:rPr>
              <w:t xml:space="preserve">28 </w:t>
            </w:r>
          </w:p>
        </w:tc>
      </w:tr>
      <w:tr w:rsidR="00FD4D4C" w14:paraId="340BB9DA" w14:textId="77777777" w:rsidTr="00EE796B">
        <w:trPr>
          <w:trHeight w:val="288"/>
        </w:trPr>
        <w:tc>
          <w:tcPr>
            <w:tcW w:w="2972" w:type="dxa"/>
            <w:tcBorders>
              <w:top w:val="single" w:sz="4" w:space="0" w:color="000000"/>
              <w:left w:val="single" w:sz="12" w:space="0" w:color="000000"/>
              <w:bottom w:val="single" w:sz="4" w:space="0" w:color="000000"/>
              <w:right w:val="single" w:sz="12" w:space="0" w:color="000000"/>
            </w:tcBorders>
          </w:tcPr>
          <w:p w14:paraId="6262E5B8" w14:textId="77777777" w:rsidR="00FD4D4C" w:rsidRDefault="00FD4D4C" w:rsidP="00EE796B">
            <w:pPr>
              <w:spacing w:after="0" w:line="259" w:lineRule="auto"/>
              <w:ind w:left="134" w:right="0" w:firstLine="0"/>
            </w:pPr>
            <w:r>
              <w:rPr>
                <w:sz w:val="20"/>
              </w:rPr>
              <w:t xml:space="preserve">N-Nitroso-di-n-propylamine </w:t>
            </w:r>
          </w:p>
        </w:tc>
        <w:tc>
          <w:tcPr>
            <w:tcW w:w="1349" w:type="dxa"/>
            <w:tcBorders>
              <w:top w:val="single" w:sz="4" w:space="0" w:color="000000"/>
              <w:left w:val="single" w:sz="12" w:space="0" w:color="000000"/>
              <w:bottom w:val="single" w:sz="4" w:space="0" w:color="000000"/>
              <w:right w:val="single" w:sz="12" w:space="0" w:color="000000"/>
            </w:tcBorders>
          </w:tcPr>
          <w:p w14:paraId="0713B4B1" w14:textId="77777777" w:rsidR="00FD4D4C" w:rsidRDefault="00FD4D4C" w:rsidP="00EE796B">
            <w:pPr>
              <w:spacing w:after="0" w:line="259" w:lineRule="auto"/>
              <w:ind w:left="115" w:right="0" w:firstLine="0"/>
              <w:jc w:val="center"/>
            </w:pPr>
            <w:r>
              <w:rPr>
                <w:sz w:val="20"/>
              </w:rPr>
              <w:t xml:space="preserve">41-116 </w:t>
            </w:r>
          </w:p>
        </w:tc>
        <w:tc>
          <w:tcPr>
            <w:tcW w:w="1800" w:type="dxa"/>
            <w:tcBorders>
              <w:top w:val="single" w:sz="4" w:space="0" w:color="000000"/>
              <w:left w:val="single" w:sz="12" w:space="0" w:color="000000"/>
              <w:bottom w:val="single" w:sz="4" w:space="0" w:color="000000"/>
              <w:right w:val="single" w:sz="12" w:space="0" w:color="000000"/>
            </w:tcBorders>
          </w:tcPr>
          <w:p w14:paraId="1A078C8C" w14:textId="77777777" w:rsidR="00FD4D4C" w:rsidRDefault="00FD4D4C" w:rsidP="00EE796B">
            <w:pPr>
              <w:spacing w:after="0" w:line="259" w:lineRule="auto"/>
              <w:ind w:left="113" w:right="0" w:firstLine="0"/>
              <w:jc w:val="center"/>
            </w:pPr>
            <w:r>
              <w:rPr>
                <w:sz w:val="20"/>
              </w:rPr>
              <w:t xml:space="preserve">38 </w:t>
            </w:r>
          </w:p>
        </w:tc>
        <w:tc>
          <w:tcPr>
            <w:tcW w:w="1352" w:type="dxa"/>
            <w:tcBorders>
              <w:top w:val="single" w:sz="4" w:space="0" w:color="000000"/>
              <w:left w:val="single" w:sz="12" w:space="0" w:color="000000"/>
              <w:bottom w:val="single" w:sz="4" w:space="0" w:color="000000"/>
              <w:right w:val="single" w:sz="12" w:space="0" w:color="000000"/>
            </w:tcBorders>
          </w:tcPr>
          <w:p w14:paraId="2EA78AB6" w14:textId="77777777" w:rsidR="00FD4D4C" w:rsidRDefault="00FD4D4C" w:rsidP="00EE796B">
            <w:pPr>
              <w:spacing w:after="0" w:line="259" w:lineRule="auto"/>
              <w:ind w:left="112" w:right="0" w:firstLine="0"/>
              <w:jc w:val="center"/>
            </w:pPr>
            <w:r>
              <w:rPr>
                <w:sz w:val="20"/>
              </w:rPr>
              <w:t xml:space="preserve">41-126 </w:t>
            </w:r>
          </w:p>
        </w:tc>
        <w:tc>
          <w:tcPr>
            <w:tcW w:w="1800" w:type="dxa"/>
            <w:tcBorders>
              <w:top w:val="single" w:sz="4" w:space="0" w:color="000000"/>
              <w:left w:val="single" w:sz="12" w:space="0" w:color="000000"/>
              <w:bottom w:val="single" w:sz="4" w:space="0" w:color="000000"/>
              <w:right w:val="single" w:sz="12" w:space="0" w:color="000000"/>
            </w:tcBorders>
          </w:tcPr>
          <w:p w14:paraId="6C813644" w14:textId="77777777" w:rsidR="00FD4D4C" w:rsidRDefault="00FD4D4C" w:rsidP="00EE796B">
            <w:pPr>
              <w:spacing w:after="0" w:line="259" w:lineRule="auto"/>
              <w:ind w:left="113" w:right="0" w:firstLine="0"/>
              <w:jc w:val="center"/>
            </w:pPr>
            <w:r>
              <w:rPr>
                <w:sz w:val="20"/>
              </w:rPr>
              <w:t xml:space="preserve">38 </w:t>
            </w:r>
          </w:p>
        </w:tc>
      </w:tr>
      <w:tr w:rsidR="00FD4D4C" w14:paraId="2EA45750" w14:textId="77777777" w:rsidTr="00EE796B">
        <w:trPr>
          <w:trHeight w:val="288"/>
        </w:trPr>
        <w:tc>
          <w:tcPr>
            <w:tcW w:w="2972" w:type="dxa"/>
            <w:tcBorders>
              <w:top w:val="single" w:sz="4" w:space="0" w:color="000000"/>
              <w:left w:val="single" w:sz="12" w:space="0" w:color="000000"/>
              <w:bottom w:val="single" w:sz="4" w:space="0" w:color="000000"/>
              <w:right w:val="single" w:sz="12" w:space="0" w:color="000000"/>
            </w:tcBorders>
          </w:tcPr>
          <w:p w14:paraId="40E5B072" w14:textId="77777777" w:rsidR="00FD4D4C" w:rsidRDefault="00FD4D4C" w:rsidP="00EE796B">
            <w:pPr>
              <w:spacing w:after="0" w:line="259" w:lineRule="auto"/>
              <w:ind w:left="134" w:right="0" w:firstLine="0"/>
            </w:pPr>
            <w:r>
              <w:rPr>
                <w:sz w:val="20"/>
              </w:rPr>
              <w:t xml:space="preserve">1,2,4-Trichlorobenzene </w:t>
            </w:r>
          </w:p>
        </w:tc>
        <w:tc>
          <w:tcPr>
            <w:tcW w:w="1349" w:type="dxa"/>
            <w:tcBorders>
              <w:top w:val="single" w:sz="4" w:space="0" w:color="000000"/>
              <w:left w:val="single" w:sz="12" w:space="0" w:color="000000"/>
              <w:bottom w:val="single" w:sz="4" w:space="0" w:color="000000"/>
              <w:right w:val="single" w:sz="12" w:space="0" w:color="000000"/>
            </w:tcBorders>
          </w:tcPr>
          <w:p w14:paraId="46AECD7F" w14:textId="77777777" w:rsidR="00FD4D4C" w:rsidRDefault="00FD4D4C" w:rsidP="00EE796B">
            <w:pPr>
              <w:spacing w:after="0" w:line="259" w:lineRule="auto"/>
              <w:ind w:left="115" w:right="0" w:firstLine="0"/>
              <w:jc w:val="center"/>
            </w:pPr>
            <w:r>
              <w:rPr>
                <w:sz w:val="20"/>
              </w:rPr>
              <w:t xml:space="preserve">39-100 </w:t>
            </w:r>
          </w:p>
        </w:tc>
        <w:tc>
          <w:tcPr>
            <w:tcW w:w="1800" w:type="dxa"/>
            <w:tcBorders>
              <w:top w:val="single" w:sz="4" w:space="0" w:color="000000"/>
              <w:left w:val="single" w:sz="12" w:space="0" w:color="000000"/>
              <w:bottom w:val="single" w:sz="4" w:space="0" w:color="000000"/>
              <w:right w:val="single" w:sz="12" w:space="0" w:color="000000"/>
            </w:tcBorders>
          </w:tcPr>
          <w:p w14:paraId="3B0E50F0" w14:textId="77777777" w:rsidR="00FD4D4C" w:rsidRDefault="00FD4D4C" w:rsidP="00EE796B">
            <w:pPr>
              <w:spacing w:after="0" w:line="259" w:lineRule="auto"/>
              <w:ind w:left="113" w:right="0" w:firstLine="0"/>
              <w:jc w:val="center"/>
            </w:pPr>
            <w:r>
              <w:rPr>
                <w:sz w:val="20"/>
              </w:rPr>
              <w:t xml:space="preserve">28 </w:t>
            </w:r>
          </w:p>
        </w:tc>
        <w:tc>
          <w:tcPr>
            <w:tcW w:w="1352" w:type="dxa"/>
            <w:tcBorders>
              <w:top w:val="single" w:sz="4" w:space="0" w:color="000000"/>
              <w:left w:val="single" w:sz="12" w:space="0" w:color="000000"/>
              <w:bottom w:val="single" w:sz="4" w:space="0" w:color="000000"/>
              <w:right w:val="single" w:sz="12" w:space="0" w:color="000000"/>
            </w:tcBorders>
          </w:tcPr>
          <w:p w14:paraId="2F43CBD3" w14:textId="77777777" w:rsidR="00FD4D4C" w:rsidRDefault="00FD4D4C" w:rsidP="00EE796B">
            <w:pPr>
              <w:spacing w:after="0" w:line="259" w:lineRule="auto"/>
              <w:ind w:left="112" w:right="0" w:firstLine="0"/>
              <w:jc w:val="center"/>
            </w:pPr>
            <w:r>
              <w:rPr>
                <w:sz w:val="20"/>
              </w:rPr>
              <w:t xml:space="preserve">38-107 </w:t>
            </w:r>
          </w:p>
        </w:tc>
        <w:tc>
          <w:tcPr>
            <w:tcW w:w="1800" w:type="dxa"/>
            <w:tcBorders>
              <w:top w:val="single" w:sz="4" w:space="0" w:color="000000"/>
              <w:left w:val="single" w:sz="12" w:space="0" w:color="000000"/>
              <w:bottom w:val="single" w:sz="4" w:space="0" w:color="000000"/>
              <w:right w:val="single" w:sz="12" w:space="0" w:color="000000"/>
            </w:tcBorders>
          </w:tcPr>
          <w:p w14:paraId="56EF1FD0" w14:textId="77777777" w:rsidR="00FD4D4C" w:rsidRDefault="00FD4D4C" w:rsidP="00EE796B">
            <w:pPr>
              <w:spacing w:after="0" w:line="259" w:lineRule="auto"/>
              <w:ind w:left="113" w:right="0" w:firstLine="0"/>
              <w:jc w:val="center"/>
            </w:pPr>
            <w:r>
              <w:rPr>
                <w:sz w:val="20"/>
              </w:rPr>
              <w:t xml:space="preserve">28 </w:t>
            </w:r>
          </w:p>
        </w:tc>
      </w:tr>
      <w:tr w:rsidR="00FD4D4C" w14:paraId="019C92F0" w14:textId="77777777" w:rsidTr="00EE796B">
        <w:trPr>
          <w:trHeight w:val="288"/>
        </w:trPr>
        <w:tc>
          <w:tcPr>
            <w:tcW w:w="2972" w:type="dxa"/>
            <w:tcBorders>
              <w:top w:val="single" w:sz="4" w:space="0" w:color="000000"/>
              <w:left w:val="single" w:sz="12" w:space="0" w:color="000000"/>
              <w:bottom w:val="single" w:sz="4" w:space="0" w:color="000000"/>
              <w:right w:val="single" w:sz="12" w:space="0" w:color="000000"/>
            </w:tcBorders>
          </w:tcPr>
          <w:p w14:paraId="71B66F5A" w14:textId="77777777" w:rsidR="00FD4D4C" w:rsidRDefault="00FD4D4C" w:rsidP="00EE796B">
            <w:pPr>
              <w:spacing w:after="0" w:line="259" w:lineRule="auto"/>
              <w:ind w:left="134" w:right="0" w:firstLine="0"/>
            </w:pPr>
            <w:r>
              <w:rPr>
                <w:sz w:val="20"/>
              </w:rPr>
              <w:t xml:space="preserve">4-Chloro-3-methylphenol </w:t>
            </w:r>
          </w:p>
        </w:tc>
        <w:tc>
          <w:tcPr>
            <w:tcW w:w="1349" w:type="dxa"/>
            <w:tcBorders>
              <w:top w:val="single" w:sz="4" w:space="0" w:color="000000"/>
              <w:left w:val="single" w:sz="12" w:space="0" w:color="000000"/>
              <w:bottom w:val="single" w:sz="4" w:space="0" w:color="000000"/>
              <w:right w:val="single" w:sz="12" w:space="0" w:color="000000"/>
            </w:tcBorders>
          </w:tcPr>
          <w:p w14:paraId="7EDAC0FC" w14:textId="77777777" w:rsidR="00FD4D4C" w:rsidRDefault="00FD4D4C" w:rsidP="00EE796B">
            <w:pPr>
              <w:spacing w:after="0" w:line="259" w:lineRule="auto"/>
              <w:ind w:left="115" w:right="0" w:firstLine="0"/>
              <w:jc w:val="center"/>
            </w:pPr>
            <w:r>
              <w:rPr>
                <w:sz w:val="20"/>
              </w:rPr>
              <w:t xml:space="preserve">23-100 </w:t>
            </w:r>
          </w:p>
        </w:tc>
        <w:tc>
          <w:tcPr>
            <w:tcW w:w="1800" w:type="dxa"/>
            <w:tcBorders>
              <w:top w:val="single" w:sz="4" w:space="0" w:color="000000"/>
              <w:left w:val="single" w:sz="12" w:space="0" w:color="000000"/>
              <w:bottom w:val="single" w:sz="4" w:space="0" w:color="000000"/>
              <w:right w:val="single" w:sz="12" w:space="0" w:color="000000"/>
            </w:tcBorders>
          </w:tcPr>
          <w:p w14:paraId="292A75F7" w14:textId="77777777" w:rsidR="00FD4D4C" w:rsidRDefault="00FD4D4C" w:rsidP="00EE796B">
            <w:pPr>
              <w:spacing w:after="0" w:line="259" w:lineRule="auto"/>
              <w:ind w:left="113" w:right="0" w:firstLine="0"/>
              <w:jc w:val="center"/>
            </w:pPr>
            <w:r>
              <w:rPr>
                <w:sz w:val="20"/>
              </w:rPr>
              <w:t xml:space="preserve">42 </w:t>
            </w:r>
          </w:p>
        </w:tc>
        <w:tc>
          <w:tcPr>
            <w:tcW w:w="1352" w:type="dxa"/>
            <w:tcBorders>
              <w:top w:val="single" w:sz="4" w:space="0" w:color="000000"/>
              <w:left w:val="single" w:sz="12" w:space="0" w:color="000000"/>
              <w:bottom w:val="single" w:sz="4" w:space="0" w:color="000000"/>
              <w:right w:val="single" w:sz="12" w:space="0" w:color="000000"/>
            </w:tcBorders>
          </w:tcPr>
          <w:p w14:paraId="5CFC464B" w14:textId="77777777" w:rsidR="00FD4D4C" w:rsidRDefault="00FD4D4C" w:rsidP="00EE796B">
            <w:pPr>
              <w:spacing w:after="0" w:line="259" w:lineRule="auto"/>
              <w:ind w:left="112" w:right="0" w:firstLine="0"/>
              <w:jc w:val="center"/>
            </w:pPr>
            <w:r>
              <w:rPr>
                <w:sz w:val="20"/>
              </w:rPr>
              <w:t xml:space="preserve">26-103 </w:t>
            </w:r>
          </w:p>
        </w:tc>
        <w:tc>
          <w:tcPr>
            <w:tcW w:w="1800" w:type="dxa"/>
            <w:tcBorders>
              <w:top w:val="single" w:sz="4" w:space="0" w:color="000000"/>
              <w:left w:val="single" w:sz="12" w:space="0" w:color="000000"/>
              <w:bottom w:val="single" w:sz="4" w:space="0" w:color="000000"/>
              <w:right w:val="single" w:sz="12" w:space="0" w:color="000000"/>
            </w:tcBorders>
          </w:tcPr>
          <w:p w14:paraId="5521829D" w14:textId="77777777" w:rsidR="00FD4D4C" w:rsidRDefault="00FD4D4C" w:rsidP="00EE796B">
            <w:pPr>
              <w:spacing w:after="0" w:line="259" w:lineRule="auto"/>
              <w:ind w:left="113" w:right="0" w:firstLine="0"/>
              <w:jc w:val="center"/>
            </w:pPr>
            <w:r>
              <w:rPr>
                <w:sz w:val="20"/>
              </w:rPr>
              <w:t xml:space="preserve">42 </w:t>
            </w:r>
          </w:p>
        </w:tc>
      </w:tr>
      <w:tr w:rsidR="00FD4D4C" w14:paraId="7F379F70" w14:textId="77777777" w:rsidTr="00EE796B">
        <w:trPr>
          <w:trHeight w:val="288"/>
        </w:trPr>
        <w:tc>
          <w:tcPr>
            <w:tcW w:w="2972" w:type="dxa"/>
            <w:tcBorders>
              <w:top w:val="single" w:sz="4" w:space="0" w:color="000000"/>
              <w:left w:val="single" w:sz="12" w:space="0" w:color="000000"/>
              <w:bottom w:val="single" w:sz="4" w:space="0" w:color="000000"/>
              <w:right w:val="single" w:sz="12" w:space="0" w:color="000000"/>
            </w:tcBorders>
          </w:tcPr>
          <w:p w14:paraId="6EBDA2C1" w14:textId="77777777" w:rsidR="00FD4D4C" w:rsidRDefault="00FD4D4C" w:rsidP="00EE796B">
            <w:pPr>
              <w:spacing w:after="0" w:line="259" w:lineRule="auto"/>
              <w:ind w:left="134" w:right="0" w:firstLine="0"/>
            </w:pPr>
            <w:r>
              <w:rPr>
                <w:sz w:val="20"/>
              </w:rPr>
              <w:t xml:space="preserve">Acenaphthene </w:t>
            </w:r>
          </w:p>
        </w:tc>
        <w:tc>
          <w:tcPr>
            <w:tcW w:w="1349" w:type="dxa"/>
            <w:tcBorders>
              <w:top w:val="single" w:sz="4" w:space="0" w:color="000000"/>
              <w:left w:val="single" w:sz="12" w:space="0" w:color="000000"/>
              <w:bottom w:val="single" w:sz="4" w:space="0" w:color="000000"/>
              <w:right w:val="single" w:sz="12" w:space="0" w:color="000000"/>
            </w:tcBorders>
          </w:tcPr>
          <w:p w14:paraId="7C19AE56" w14:textId="77777777" w:rsidR="00FD4D4C" w:rsidRDefault="00FD4D4C" w:rsidP="00EE796B">
            <w:pPr>
              <w:spacing w:after="0" w:line="259" w:lineRule="auto"/>
              <w:ind w:left="115" w:right="0" w:firstLine="0"/>
              <w:jc w:val="center"/>
            </w:pPr>
            <w:r>
              <w:rPr>
                <w:sz w:val="20"/>
              </w:rPr>
              <w:t xml:space="preserve">46-118 </w:t>
            </w:r>
          </w:p>
        </w:tc>
        <w:tc>
          <w:tcPr>
            <w:tcW w:w="1800" w:type="dxa"/>
            <w:tcBorders>
              <w:top w:val="single" w:sz="4" w:space="0" w:color="000000"/>
              <w:left w:val="single" w:sz="12" w:space="0" w:color="000000"/>
              <w:bottom w:val="single" w:sz="4" w:space="0" w:color="000000"/>
              <w:right w:val="single" w:sz="12" w:space="0" w:color="000000"/>
            </w:tcBorders>
          </w:tcPr>
          <w:p w14:paraId="0042181A" w14:textId="77777777" w:rsidR="00FD4D4C" w:rsidRDefault="00FD4D4C" w:rsidP="00EE796B">
            <w:pPr>
              <w:spacing w:after="0" w:line="259" w:lineRule="auto"/>
              <w:ind w:left="113" w:right="0" w:firstLine="0"/>
              <w:jc w:val="center"/>
            </w:pPr>
            <w:r>
              <w:rPr>
                <w:sz w:val="20"/>
              </w:rPr>
              <w:t xml:space="preserve">31 </w:t>
            </w:r>
          </w:p>
        </w:tc>
        <w:tc>
          <w:tcPr>
            <w:tcW w:w="1352" w:type="dxa"/>
            <w:tcBorders>
              <w:top w:val="single" w:sz="4" w:space="0" w:color="000000"/>
              <w:left w:val="single" w:sz="12" w:space="0" w:color="000000"/>
              <w:bottom w:val="single" w:sz="4" w:space="0" w:color="000000"/>
              <w:right w:val="single" w:sz="12" w:space="0" w:color="000000"/>
            </w:tcBorders>
          </w:tcPr>
          <w:p w14:paraId="02A33E7E" w14:textId="77777777" w:rsidR="00FD4D4C" w:rsidRDefault="00FD4D4C" w:rsidP="00EE796B">
            <w:pPr>
              <w:spacing w:after="0" w:line="259" w:lineRule="auto"/>
              <w:ind w:left="112" w:right="0" w:firstLine="0"/>
              <w:jc w:val="center"/>
            </w:pPr>
            <w:r>
              <w:rPr>
                <w:sz w:val="20"/>
              </w:rPr>
              <w:t xml:space="preserve">31-137 </w:t>
            </w:r>
          </w:p>
        </w:tc>
        <w:tc>
          <w:tcPr>
            <w:tcW w:w="1800" w:type="dxa"/>
            <w:tcBorders>
              <w:top w:val="single" w:sz="4" w:space="0" w:color="000000"/>
              <w:left w:val="single" w:sz="12" w:space="0" w:color="000000"/>
              <w:bottom w:val="single" w:sz="4" w:space="0" w:color="000000"/>
              <w:right w:val="single" w:sz="12" w:space="0" w:color="000000"/>
            </w:tcBorders>
          </w:tcPr>
          <w:p w14:paraId="4BA11F39" w14:textId="77777777" w:rsidR="00FD4D4C" w:rsidRDefault="00FD4D4C" w:rsidP="00EE796B">
            <w:pPr>
              <w:spacing w:after="0" w:line="259" w:lineRule="auto"/>
              <w:ind w:left="113" w:right="0" w:firstLine="0"/>
              <w:jc w:val="center"/>
            </w:pPr>
            <w:r>
              <w:rPr>
                <w:sz w:val="20"/>
              </w:rPr>
              <w:t xml:space="preserve">31 </w:t>
            </w:r>
          </w:p>
        </w:tc>
      </w:tr>
      <w:tr w:rsidR="00FD4D4C" w14:paraId="45619200" w14:textId="77777777" w:rsidTr="00EE796B">
        <w:trPr>
          <w:trHeight w:val="288"/>
        </w:trPr>
        <w:tc>
          <w:tcPr>
            <w:tcW w:w="2972" w:type="dxa"/>
            <w:tcBorders>
              <w:top w:val="single" w:sz="4" w:space="0" w:color="000000"/>
              <w:left w:val="single" w:sz="12" w:space="0" w:color="000000"/>
              <w:bottom w:val="single" w:sz="4" w:space="0" w:color="000000"/>
              <w:right w:val="single" w:sz="12" w:space="0" w:color="000000"/>
            </w:tcBorders>
          </w:tcPr>
          <w:p w14:paraId="13EC927D" w14:textId="77777777" w:rsidR="00FD4D4C" w:rsidRDefault="00FD4D4C" w:rsidP="00EE796B">
            <w:pPr>
              <w:spacing w:after="0" w:line="259" w:lineRule="auto"/>
              <w:ind w:left="134" w:right="0" w:firstLine="0"/>
            </w:pPr>
            <w:r>
              <w:rPr>
                <w:sz w:val="20"/>
              </w:rPr>
              <w:t xml:space="preserve">4-Nitrophenol </w:t>
            </w:r>
          </w:p>
        </w:tc>
        <w:tc>
          <w:tcPr>
            <w:tcW w:w="1349" w:type="dxa"/>
            <w:tcBorders>
              <w:top w:val="single" w:sz="4" w:space="0" w:color="000000"/>
              <w:left w:val="single" w:sz="12" w:space="0" w:color="000000"/>
              <w:bottom w:val="single" w:sz="4" w:space="0" w:color="000000"/>
              <w:right w:val="single" w:sz="12" w:space="0" w:color="000000"/>
            </w:tcBorders>
          </w:tcPr>
          <w:p w14:paraId="75BC7031" w14:textId="77777777" w:rsidR="00FD4D4C" w:rsidRDefault="00FD4D4C" w:rsidP="00EE796B">
            <w:pPr>
              <w:spacing w:after="0" w:line="259" w:lineRule="auto"/>
              <w:ind w:left="115" w:right="0" w:firstLine="0"/>
              <w:jc w:val="center"/>
            </w:pPr>
            <w:r>
              <w:rPr>
                <w:sz w:val="20"/>
              </w:rPr>
              <w:t xml:space="preserve">10-100 </w:t>
            </w:r>
          </w:p>
        </w:tc>
        <w:tc>
          <w:tcPr>
            <w:tcW w:w="1800" w:type="dxa"/>
            <w:tcBorders>
              <w:top w:val="single" w:sz="4" w:space="0" w:color="000000"/>
              <w:left w:val="single" w:sz="12" w:space="0" w:color="000000"/>
              <w:bottom w:val="single" w:sz="4" w:space="0" w:color="000000"/>
              <w:right w:val="single" w:sz="12" w:space="0" w:color="000000"/>
            </w:tcBorders>
          </w:tcPr>
          <w:p w14:paraId="5928FD23" w14:textId="77777777" w:rsidR="00FD4D4C" w:rsidRDefault="00FD4D4C" w:rsidP="00EE796B">
            <w:pPr>
              <w:spacing w:after="0" w:line="259" w:lineRule="auto"/>
              <w:ind w:left="113" w:right="0" w:firstLine="0"/>
              <w:jc w:val="center"/>
            </w:pPr>
            <w:r>
              <w:rPr>
                <w:sz w:val="20"/>
              </w:rPr>
              <w:t xml:space="preserve">50 </w:t>
            </w:r>
          </w:p>
        </w:tc>
        <w:tc>
          <w:tcPr>
            <w:tcW w:w="1352" w:type="dxa"/>
            <w:tcBorders>
              <w:top w:val="single" w:sz="4" w:space="0" w:color="000000"/>
              <w:left w:val="single" w:sz="12" w:space="0" w:color="000000"/>
              <w:bottom w:val="single" w:sz="4" w:space="0" w:color="000000"/>
              <w:right w:val="single" w:sz="12" w:space="0" w:color="000000"/>
            </w:tcBorders>
          </w:tcPr>
          <w:p w14:paraId="148412F1" w14:textId="77777777" w:rsidR="00FD4D4C" w:rsidRDefault="00FD4D4C" w:rsidP="00EE796B">
            <w:pPr>
              <w:spacing w:after="0" w:line="259" w:lineRule="auto"/>
              <w:ind w:left="112" w:right="0" w:firstLine="0"/>
              <w:jc w:val="center"/>
            </w:pPr>
            <w:r>
              <w:rPr>
                <w:sz w:val="20"/>
              </w:rPr>
              <w:t xml:space="preserve">11-114 </w:t>
            </w:r>
          </w:p>
        </w:tc>
        <w:tc>
          <w:tcPr>
            <w:tcW w:w="1800" w:type="dxa"/>
            <w:tcBorders>
              <w:top w:val="single" w:sz="4" w:space="0" w:color="000000"/>
              <w:left w:val="single" w:sz="12" w:space="0" w:color="000000"/>
              <w:bottom w:val="single" w:sz="4" w:space="0" w:color="000000"/>
              <w:right w:val="single" w:sz="12" w:space="0" w:color="000000"/>
            </w:tcBorders>
          </w:tcPr>
          <w:p w14:paraId="29D75841" w14:textId="77777777" w:rsidR="00FD4D4C" w:rsidRDefault="00FD4D4C" w:rsidP="00EE796B">
            <w:pPr>
              <w:spacing w:after="0" w:line="259" w:lineRule="auto"/>
              <w:ind w:left="113" w:right="0" w:firstLine="0"/>
              <w:jc w:val="center"/>
            </w:pPr>
            <w:r>
              <w:rPr>
                <w:sz w:val="20"/>
              </w:rPr>
              <w:t xml:space="preserve">50 </w:t>
            </w:r>
          </w:p>
        </w:tc>
      </w:tr>
      <w:tr w:rsidR="00FD4D4C" w14:paraId="06EDCFD4" w14:textId="77777777" w:rsidTr="00EE796B">
        <w:trPr>
          <w:trHeight w:val="288"/>
        </w:trPr>
        <w:tc>
          <w:tcPr>
            <w:tcW w:w="2972" w:type="dxa"/>
            <w:tcBorders>
              <w:top w:val="single" w:sz="4" w:space="0" w:color="000000"/>
              <w:left w:val="single" w:sz="12" w:space="0" w:color="000000"/>
              <w:bottom w:val="single" w:sz="4" w:space="0" w:color="000000"/>
              <w:right w:val="single" w:sz="12" w:space="0" w:color="000000"/>
            </w:tcBorders>
          </w:tcPr>
          <w:p w14:paraId="4B2AE26A" w14:textId="77777777" w:rsidR="00FD4D4C" w:rsidRDefault="00FD4D4C" w:rsidP="00EE796B">
            <w:pPr>
              <w:spacing w:after="0" w:line="259" w:lineRule="auto"/>
              <w:ind w:left="134" w:right="0" w:firstLine="0"/>
            </w:pPr>
            <w:r>
              <w:rPr>
                <w:sz w:val="20"/>
              </w:rPr>
              <w:t xml:space="preserve">2,4-Dinitrotoluene </w:t>
            </w:r>
          </w:p>
        </w:tc>
        <w:tc>
          <w:tcPr>
            <w:tcW w:w="1349" w:type="dxa"/>
            <w:tcBorders>
              <w:top w:val="single" w:sz="4" w:space="0" w:color="000000"/>
              <w:left w:val="single" w:sz="12" w:space="0" w:color="000000"/>
              <w:bottom w:val="single" w:sz="4" w:space="0" w:color="000000"/>
              <w:right w:val="single" w:sz="12" w:space="0" w:color="000000"/>
            </w:tcBorders>
          </w:tcPr>
          <w:p w14:paraId="473CE33C" w14:textId="77777777" w:rsidR="00FD4D4C" w:rsidRDefault="00FD4D4C" w:rsidP="00EE796B">
            <w:pPr>
              <w:spacing w:after="0" w:line="259" w:lineRule="auto"/>
              <w:ind w:left="115" w:right="0" w:firstLine="0"/>
              <w:jc w:val="center"/>
            </w:pPr>
            <w:r>
              <w:rPr>
                <w:sz w:val="20"/>
              </w:rPr>
              <w:t xml:space="preserve">24-100 </w:t>
            </w:r>
          </w:p>
        </w:tc>
        <w:tc>
          <w:tcPr>
            <w:tcW w:w="1800" w:type="dxa"/>
            <w:tcBorders>
              <w:top w:val="single" w:sz="4" w:space="0" w:color="000000"/>
              <w:left w:val="single" w:sz="12" w:space="0" w:color="000000"/>
              <w:bottom w:val="single" w:sz="4" w:space="0" w:color="000000"/>
              <w:right w:val="single" w:sz="12" w:space="0" w:color="000000"/>
            </w:tcBorders>
          </w:tcPr>
          <w:p w14:paraId="05E64FC4" w14:textId="77777777" w:rsidR="00FD4D4C" w:rsidRDefault="00FD4D4C" w:rsidP="00EE796B">
            <w:pPr>
              <w:spacing w:after="0" w:line="259" w:lineRule="auto"/>
              <w:ind w:left="113" w:right="0" w:firstLine="0"/>
              <w:jc w:val="center"/>
            </w:pPr>
            <w:r>
              <w:rPr>
                <w:sz w:val="20"/>
              </w:rPr>
              <w:t xml:space="preserve">38 </w:t>
            </w:r>
          </w:p>
        </w:tc>
        <w:tc>
          <w:tcPr>
            <w:tcW w:w="1352" w:type="dxa"/>
            <w:tcBorders>
              <w:top w:val="single" w:sz="4" w:space="0" w:color="000000"/>
              <w:left w:val="single" w:sz="12" w:space="0" w:color="000000"/>
              <w:bottom w:val="single" w:sz="4" w:space="0" w:color="000000"/>
              <w:right w:val="single" w:sz="12" w:space="0" w:color="000000"/>
            </w:tcBorders>
          </w:tcPr>
          <w:p w14:paraId="6F8EB2F2" w14:textId="77777777" w:rsidR="00FD4D4C" w:rsidRDefault="00FD4D4C" w:rsidP="00EE796B">
            <w:pPr>
              <w:spacing w:after="0" w:line="259" w:lineRule="auto"/>
              <w:ind w:left="112" w:right="0" w:firstLine="0"/>
              <w:jc w:val="center"/>
            </w:pPr>
            <w:r>
              <w:rPr>
                <w:sz w:val="20"/>
              </w:rPr>
              <w:t xml:space="preserve">28-100 </w:t>
            </w:r>
          </w:p>
        </w:tc>
        <w:tc>
          <w:tcPr>
            <w:tcW w:w="1800" w:type="dxa"/>
            <w:tcBorders>
              <w:top w:val="single" w:sz="4" w:space="0" w:color="000000"/>
              <w:left w:val="single" w:sz="12" w:space="0" w:color="000000"/>
              <w:bottom w:val="single" w:sz="4" w:space="0" w:color="000000"/>
              <w:right w:val="single" w:sz="12" w:space="0" w:color="000000"/>
            </w:tcBorders>
          </w:tcPr>
          <w:p w14:paraId="5073D637" w14:textId="77777777" w:rsidR="00FD4D4C" w:rsidRDefault="00FD4D4C" w:rsidP="00EE796B">
            <w:pPr>
              <w:spacing w:after="0" w:line="259" w:lineRule="auto"/>
              <w:ind w:left="113" w:right="0" w:firstLine="0"/>
              <w:jc w:val="center"/>
            </w:pPr>
            <w:r>
              <w:rPr>
                <w:sz w:val="20"/>
              </w:rPr>
              <w:t xml:space="preserve">47 </w:t>
            </w:r>
          </w:p>
        </w:tc>
      </w:tr>
      <w:tr w:rsidR="00FD4D4C" w14:paraId="11B1CD9A" w14:textId="77777777" w:rsidTr="00EE796B">
        <w:trPr>
          <w:trHeight w:val="288"/>
        </w:trPr>
        <w:tc>
          <w:tcPr>
            <w:tcW w:w="2972" w:type="dxa"/>
            <w:tcBorders>
              <w:top w:val="single" w:sz="4" w:space="0" w:color="000000"/>
              <w:left w:val="single" w:sz="12" w:space="0" w:color="000000"/>
              <w:bottom w:val="single" w:sz="4" w:space="0" w:color="000000"/>
              <w:right w:val="single" w:sz="12" w:space="0" w:color="000000"/>
            </w:tcBorders>
          </w:tcPr>
          <w:p w14:paraId="6C4AB54E" w14:textId="77777777" w:rsidR="00FD4D4C" w:rsidRDefault="00FD4D4C" w:rsidP="00EE796B">
            <w:pPr>
              <w:spacing w:after="0" w:line="259" w:lineRule="auto"/>
              <w:ind w:left="134" w:right="0" w:firstLine="0"/>
            </w:pPr>
            <w:r>
              <w:rPr>
                <w:sz w:val="20"/>
              </w:rPr>
              <w:t xml:space="preserve">Pentachlorophenol </w:t>
            </w:r>
          </w:p>
        </w:tc>
        <w:tc>
          <w:tcPr>
            <w:tcW w:w="1349" w:type="dxa"/>
            <w:tcBorders>
              <w:top w:val="single" w:sz="4" w:space="0" w:color="000000"/>
              <w:left w:val="single" w:sz="12" w:space="0" w:color="000000"/>
              <w:bottom w:val="single" w:sz="4" w:space="0" w:color="000000"/>
              <w:right w:val="single" w:sz="12" w:space="0" w:color="000000"/>
            </w:tcBorders>
          </w:tcPr>
          <w:p w14:paraId="091A6182" w14:textId="77777777" w:rsidR="00FD4D4C" w:rsidRDefault="00FD4D4C" w:rsidP="00EE796B">
            <w:pPr>
              <w:spacing w:after="0" w:line="259" w:lineRule="auto"/>
              <w:ind w:left="115" w:right="0" w:firstLine="0"/>
              <w:jc w:val="center"/>
            </w:pPr>
            <w:r>
              <w:rPr>
                <w:sz w:val="20"/>
              </w:rPr>
              <w:t xml:space="preserve">9-103 </w:t>
            </w:r>
          </w:p>
        </w:tc>
        <w:tc>
          <w:tcPr>
            <w:tcW w:w="1800" w:type="dxa"/>
            <w:tcBorders>
              <w:top w:val="single" w:sz="4" w:space="0" w:color="000000"/>
              <w:left w:val="single" w:sz="12" w:space="0" w:color="000000"/>
              <w:bottom w:val="single" w:sz="4" w:space="0" w:color="000000"/>
              <w:right w:val="single" w:sz="12" w:space="0" w:color="000000"/>
            </w:tcBorders>
          </w:tcPr>
          <w:p w14:paraId="541B688E" w14:textId="77777777" w:rsidR="00FD4D4C" w:rsidRDefault="00FD4D4C" w:rsidP="00EE796B">
            <w:pPr>
              <w:spacing w:after="0" w:line="259" w:lineRule="auto"/>
              <w:ind w:left="113" w:right="0" w:firstLine="0"/>
              <w:jc w:val="center"/>
            </w:pPr>
            <w:r>
              <w:rPr>
                <w:sz w:val="20"/>
              </w:rPr>
              <w:t xml:space="preserve">50 </w:t>
            </w:r>
          </w:p>
        </w:tc>
        <w:tc>
          <w:tcPr>
            <w:tcW w:w="1352" w:type="dxa"/>
            <w:tcBorders>
              <w:top w:val="single" w:sz="4" w:space="0" w:color="000000"/>
              <w:left w:val="single" w:sz="12" w:space="0" w:color="000000"/>
              <w:bottom w:val="single" w:sz="4" w:space="0" w:color="000000"/>
              <w:right w:val="single" w:sz="12" w:space="0" w:color="000000"/>
            </w:tcBorders>
          </w:tcPr>
          <w:p w14:paraId="3A86EF7F" w14:textId="77777777" w:rsidR="00FD4D4C" w:rsidRDefault="00FD4D4C" w:rsidP="00EE796B">
            <w:pPr>
              <w:spacing w:after="0" w:line="259" w:lineRule="auto"/>
              <w:ind w:left="112" w:right="0" w:firstLine="0"/>
              <w:jc w:val="center"/>
            </w:pPr>
            <w:r>
              <w:rPr>
                <w:sz w:val="20"/>
              </w:rPr>
              <w:t xml:space="preserve">17-109 </w:t>
            </w:r>
          </w:p>
        </w:tc>
        <w:tc>
          <w:tcPr>
            <w:tcW w:w="1800" w:type="dxa"/>
            <w:tcBorders>
              <w:top w:val="single" w:sz="4" w:space="0" w:color="000000"/>
              <w:left w:val="single" w:sz="12" w:space="0" w:color="000000"/>
              <w:bottom w:val="single" w:sz="4" w:space="0" w:color="000000"/>
              <w:right w:val="single" w:sz="12" w:space="0" w:color="000000"/>
            </w:tcBorders>
          </w:tcPr>
          <w:p w14:paraId="659EA1CB" w14:textId="77777777" w:rsidR="00FD4D4C" w:rsidRDefault="00FD4D4C" w:rsidP="00EE796B">
            <w:pPr>
              <w:spacing w:after="0" w:line="259" w:lineRule="auto"/>
              <w:ind w:left="113" w:right="0" w:firstLine="0"/>
              <w:jc w:val="center"/>
            </w:pPr>
            <w:r>
              <w:rPr>
                <w:sz w:val="20"/>
              </w:rPr>
              <w:t xml:space="preserve">50 </w:t>
            </w:r>
          </w:p>
        </w:tc>
      </w:tr>
      <w:tr w:rsidR="00FD4D4C" w14:paraId="21213F9A" w14:textId="77777777" w:rsidTr="00EE796B">
        <w:trPr>
          <w:trHeight w:val="288"/>
        </w:trPr>
        <w:tc>
          <w:tcPr>
            <w:tcW w:w="2972" w:type="dxa"/>
            <w:tcBorders>
              <w:top w:val="single" w:sz="4" w:space="0" w:color="000000"/>
              <w:left w:val="single" w:sz="12" w:space="0" w:color="000000"/>
              <w:bottom w:val="single" w:sz="12" w:space="0" w:color="000000"/>
              <w:right w:val="single" w:sz="12" w:space="0" w:color="000000"/>
            </w:tcBorders>
          </w:tcPr>
          <w:p w14:paraId="6D295327" w14:textId="77777777" w:rsidR="00FD4D4C" w:rsidRDefault="00FD4D4C" w:rsidP="00EE796B">
            <w:pPr>
              <w:spacing w:after="0" w:line="259" w:lineRule="auto"/>
              <w:ind w:left="134" w:right="0" w:firstLine="0"/>
            </w:pPr>
            <w:r>
              <w:rPr>
                <w:sz w:val="20"/>
              </w:rPr>
              <w:t xml:space="preserve">Pyrene </w:t>
            </w:r>
          </w:p>
        </w:tc>
        <w:tc>
          <w:tcPr>
            <w:tcW w:w="1349" w:type="dxa"/>
            <w:tcBorders>
              <w:top w:val="single" w:sz="4" w:space="0" w:color="000000"/>
              <w:left w:val="single" w:sz="12" w:space="0" w:color="000000"/>
              <w:bottom w:val="single" w:sz="12" w:space="0" w:color="000000"/>
              <w:right w:val="single" w:sz="12" w:space="0" w:color="000000"/>
            </w:tcBorders>
          </w:tcPr>
          <w:p w14:paraId="6567E093" w14:textId="77777777" w:rsidR="00FD4D4C" w:rsidRDefault="00FD4D4C" w:rsidP="00EE796B">
            <w:pPr>
              <w:spacing w:after="0" w:line="259" w:lineRule="auto"/>
              <w:ind w:left="115" w:right="0" w:firstLine="0"/>
              <w:jc w:val="center"/>
            </w:pPr>
            <w:r>
              <w:rPr>
                <w:sz w:val="20"/>
              </w:rPr>
              <w:t xml:space="preserve">26-127 </w:t>
            </w:r>
          </w:p>
        </w:tc>
        <w:tc>
          <w:tcPr>
            <w:tcW w:w="1800" w:type="dxa"/>
            <w:tcBorders>
              <w:top w:val="single" w:sz="4" w:space="0" w:color="000000"/>
              <w:left w:val="single" w:sz="12" w:space="0" w:color="000000"/>
              <w:bottom w:val="single" w:sz="12" w:space="0" w:color="000000"/>
              <w:right w:val="single" w:sz="12" w:space="0" w:color="000000"/>
            </w:tcBorders>
          </w:tcPr>
          <w:p w14:paraId="5D1F4656" w14:textId="77777777" w:rsidR="00FD4D4C" w:rsidRDefault="00FD4D4C" w:rsidP="00EE796B">
            <w:pPr>
              <w:spacing w:after="0" w:line="259" w:lineRule="auto"/>
              <w:ind w:left="113" w:right="0" w:firstLine="0"/>
              <w:jc w:val="center"/>
            </w:pPr>
            <w:r>
              <w:rPr>
                <w:sz w:val="20"/>
              </w:rPr>
              <w:t xml:space="preserve">31 </w:t>
            </w:r>
          </w:p>
        </w:tc>
        <w:tc>
          <w:tcPr>
            <w:tcW w:w="1352" w:type="dxa"/>
            <w:tcBorders>
              <w:top w:val="single" w:sz="4" w:space="0" w:color="000000"/>
              <w:left w:val="single" w:sz="12" w:space="0" w:color="000000"/>
              <w:bottom w:val="single" w:sz="12" w:space="0" w:color="000000"/>
              <w:right w:val="single" w:sz="12" w:space="0" w:color="000000"/>
            </w:tcBorders>
          </w:tcPr>
          <w:p w14:paraId="13DA3067" w14:textId="77777777" w:rsidR="00FD4D4C" w:rsidRDefault="00FD4D4C" w:rsidP="00EE796B">
            <w:pPr>
              <w:spacing w:after="0" w:line="259" w:lineRule="auto"/>
              <w:ind w:left="112" w:right="0" w:firstLine="0"/>
              <w:jc w:val="center"/>
            </w:pPr>
            <w:r>
              <w:rPr>
                <w:sz w:val="20"/>
              </w:rPr>
              <w:t xml:space="preserve">35-142 </w:t>
            </w:r>
          </w:p>
        </w:tc>
        <w:tc>
          <w:tcPr>
            <w:tcW w:w="1800" w:type="dxa"/>
            <w:tcBorders>
              <w:top w:val="single" w:sz="4" w:space="0" w:color="000000"/>
              <w:left w:val="single" w:sz="12" w:space="0" w:color="000000"/>
              <w:bottom w:val="single" w:sz="12" w:space="0" w:color="000000"/>
              <w:right w:val="single" w:sz="12" w:space="0" w:color="000000"/>
            </w:tcBorders>
          </w:tcPr>
          <w:p w14:paraId="347FAD1F" w14:textId="77777777" w:rsidR="00FD4D4C" w:rsidRDefault="00FD4D4C" w:rsidP="00EE796B">
            <w:pPr>
              <w:spacing w:after="0" w:line="259" w:lineRule="auto"/>
              <w:ind w:left="113" w:right="0" w:firstLine="0"/>
              <w:jc w:val="center"/>
            </w:pPr>
            <w:r>
              <w:rPr>
                <w:sz w:val="20"/>
              </w:rPr>
              <w:t xml:space="preserve">36 </w:t>
            </w:r>
          </w:p>
        </w:tc>
      </w:tr>
      <w:tr w:rsidR="00FD4D4C" w14:paraId="45AA5047" w14:textId="77777777" w:rsidTr="00EE796B">
        <w:trPr>
          <w:trHeight w:val="288"/>
        </w:trPr>
        <w:tc>
          <w:tcPr>
            <w:tcW w:w="2972" w:type="dxa"/>
            <w:tcBorders>
              <w:top w:val="single" w:sz="12" w:space="0" w:color="000000"/>
              <w:left w:val="single" w:sz="12" w:space="0" w:color="000000"/>
              <w:bottom w:val="single" w:sz="12" w:space="0" w:color="000000"/>
              <w:right w:val="single" w:sz="12" w:space="0" w:color="000000"/>
            </w:tcBorders>
          </w:tcPr>
          <w:p w14:paraId="1391B969" w14:textId="77777777" w:rsidR="00FD4D4C" w:rsidRDefault="00FD4D4C" w:rsidP="00EE796B">
            <w:pPr>
              <w:spacing w:after="0" w:line="259" w:lineRule="auto"/>
              <w:ind w:left="134" w:right="0" w:firstLine="0"/>
            </w:pPr>
            <w:r>
              <w:rPr>
                <w:b/>
                <w:sz w:val="20"/>
              </w:rPr>
              <w:t>A</w:t>
            </w:r>
            <w:r>
              <w:rPr>
                <w:b/>
                <w:sz w:val="16"/>
              </w:rPr>
              <w:t xml:space="preserve">LL </w:t>
            </w:r>
            <w:r>
              <w:rPr>
                <w:b/>
                <w:sz w:val="20"/>
              </w:rPr>
              <w:t>O</w:t>
            </w:r>
            <w:r>
              <w:rPr>
                <w:b/>
                <w:sz w:val="16"/>
              </w:rPr>
              <w:t xml:space="preserve">THER </w:t>
            </w:r>
            <w:r>
              <w:rPr>
                <w:b/>
                <w:sz w:val="20"/>
              </w:rPr>
              <w:t>B/N</w:t>
            </w:r>
            <w:r>
              <w:rPr>
                <w:b/>
                <w:sz w:val="16"/>
              </w:rPr>
              <w:t xml:space="preserve"> ANALYTES</w:t>
            </w:r>
            <w:r>
              <w:rPr>
                <w:b/>
                <w:sz w:val="20"/>
              </w:rPr>
              <w:t xml:space="preserve"> </w:t>
            </w:r>
          </w:p>
        </w:tc>
        <w:tc>
          <w:tcPr>
            <w:tcW w:w="1349" w:type="dxa"/>
            <w:tcBorders>
              <w:top w:val="single" w:sz="12" w:space="0" w:color="000000"/>
              <w:left w:val="single" w:sz="12" w:space="0" w:color="000000"/>
              <w:bottom w:val="single" w:sz="12" w:space="0" w:color="000000"/>
              <w:right w:val="single" w:sz="12" w:space="0" w:color="000000"/>
            </w:tcBorders>
          </w:tcPr>
          <w:p w14:paraId="5882A90A" w14:textId="77777777" w:rsidR="00FD4D4C" w:rsidRDefault="00FD4D4C" w:rsidP="00EE796B">
            <w:pPr>
              <w:spacing w:after="0" w:line="259" w:lineRule="auto"/>
              <w:ind w:left="115" w:right="0" w:firstLine="0"/>
              <w:jc w:val="center"/>
            </w:pPr>
            <w:r>
              <w:rPr>
                <w:sz w:val="20"/>
              </w:rPr>
              <w:t xml:space="preserve">25-125 </w:t>
            </w:r>
          </w:p>
        </w:tc>
        <w:tc>
          <w:tcPr>
            <w:tcW w:w="1800" w:type="dxa"/>
            <w:tcBorders>
              <w:top w:val="single" w:sz="12" w:space="0" w:color="000000"/>
              <w:left w:val="single" w:sz="12" w:space="0" w:color="000000"/>
              <w:bottom w:val="single" w:sz="12" w:space="0" w:color="000000"/>
              <w:right w:val="single" w:sz="12" w:space="0" w:color="000000"/>
            </w:tcBorders>
          </w:tcPr>
          <w:p w14:paraId="279BD1CE" w14:textId="77777777" w:rsidR="00FD4D4C" w:rsidRDefault="00FD4D4C" w:rsidP="00EE796B">
            <w:pPr>
              <w:spacing w:after="0" w:line="259" w:lineRule="auto"/>
              <w:ind w:left="113" w:right="0" w:firstLine="0"/>
              <w:jc w:val="center"/>
            </w:pPr>
            <w:r>
              <w:rPr>
                <w:sz w:val="20"/>
              </w:rPr>
              <w:t xml:space="preserve">35 </w:t>
            </w:r>
          </w:p>
        </w:tc>
        <w:tc>
          <w:tcPr>
            <w:tcW w:w="1352" w:type="dxa"/>
            <w:tcBorders>
              <w:top w:val="single" w:sz="12" w:space="0" w:color="000000"/>
              <w:left w:val="single" w:sz="12" w:space="0" w:color="000000"/>
              <w:bottom w:val="single" w:sz="12" w:space="0" w:color="000000"/>
              <w:right w:val="single" w:sz="12" w:space="0" w:color="000000"/>
            </w:tcBorders>
          </w:tcPr>
          <w:p w14:paraId="1FCC9844" w14:textId="77777777" w:rsidR="00FD4D4C" w:rsidRDefault="00FD4D4C" w:rsidP="00EE796B">
            <w:pPr>
              <w:spacing w:after="0" w:line="259" w:lineRule="auto"/>
              <w:ind w:left="112" w:right="0" w:firstLine="0"/>
              <w:jc w:val="center"/>
            </w:pPr>
            <w:r>
              <w:rPr>
                <w:sz w:val="20"/>
              </w:rPr>
              <w:t xml:space="preserve">25-140 </w:t>
            </w:r>
          </w:p>
        </w:tc>
        <w:tc>
          <w:tcPr>
            <w:tcW w:w="1800" w:type="dxa"/>
            <w:tcBorders>
              <w:top w:val="single" w:sz="12" w:space="0" w:color="000000"/>
              <w:left w:val="single" w:sz="12" w:space="0" w:color="000000"/>
              <w:bottom w:val="single" w:sz="12" w:space="0" w:color="000000"/>
              <w:right w:val="single" w:sz="12" w:space="0" w:color="000000"/>
            </w:tcBorders>
          </w:tcPr>
          <w:p w14:paraId="06FA26AC" w14:textId="77777777" w:rsidR="00FD4D4C" w:rsidRDefault="00FD4D4C" w:rsidP="00EE796B">
            <w:pPr>
              <w:spacing w:after="0" w:line="259" w:lineRule="auto"/>
              <w:ind w:left="113" w:right="0" w:firstLine="0"/>
              <w:jc w:val="center"/>
            </w:pPr>
            <w:r>
              <w:rPr>
                <w:sz w:val="20"/>
              </w:rPr>
              <w:t xml:space="preserve">40 </w:t>
            </w:r>
          </w:p>
        </w:tc>
      </w:tr>
      <w:tr w:rsidR="00FD4D4C" w14:paraId="1CB94C08" w14:textId="77777777" w:rsidTr="00EE796B">
        <w:trPr>
          <w:trHeight w:val="288"/>
        </w:trPr>
        <w:tc>
          <w:tcPr>
            <w:tcW w:w="2972" w:type="dxa"/>
            <w:tcBorders>
              <w:top w:val="single" w:sz="12" w:space="0" w:color="000000"/>
              <w:left w:val="single" w:sz="12" w:space="0" w:color="000000"/>
              <w:bottom w:val="single" w:sz="12" w:space="0" w:color="000000"/>
              <w:right w:val="single" w:sz="12" w:space="0" w:color="000000"/>
            </w:tcBorders>
          </w:tcPr>
          <w:p w14:paraId="31D68BAF" w14:textId="77777777" w:rsidR="00FD4D4C" w:rsidRDefault="00FD4D4C" w:rsidP="00EE796B">
            <w:pPr>
              <w:spacing w:after="0" w:line="259" w:lineRule="auto"/>
              <w:ind w:left="134" w:right="0" w:firstLine="0"/>
            </w:pPr>
            <w:r>
              <w:rPr>
                <w:b/>
                <w:sz w:val="20"/>
              </w:rPr>
              <w:t>A</w:t>
            </w:r>
            <w:r>
              <w:rPr>
                <w:b/>
                <w:sz w:val="16"/>
              </w:rPr>
              <w:t xml:space="preserve">LL </w:t>
            </w:r>
            <w:r>
              <w:rPr>
                <w:b/>
                <w:sz w:val="20"/>
              </w:rPr>
              <w:t>O</w:t>
            </w:r>
            <w:r>
              <w:rPr>
                <w:b/>
                <w:sz w:val="16"/>
              </w:rPr>
              <w:t>THER ACID ANALYTES</w:t>
            </w:r>
            <w:r>
              <w:rPr>
                <w:b/>
                <w:sz w:val="20"/>
              </w:rPr>
              <w:t xml:space="preserve"> </w:t>
            </w:r>
          </w:p>
        </w:tc>
        <w:tc>
          <w:tcPr>
            <w:tcW w:w="1349" w:type="dxa"/>
            <w:tcBorders>
              <w:top w:val="single" w:sz="12" w:space="0" w:color="000000"/>
              <w:left w:val="single" w:sz="12" w:space="0" w:color="000000"/>
              <w:bottom w:val="single" w:sz="12" w:space="0" w:color="000000"/>
              <w:right w:val="single" w:sz="12" w:space="0" w:color="000000"/>
            </w:tcBorders>
          </w:tcPr>
          <w:p w14:paraId="0EB994E4" w14:textId="77777777" w:rsidR="00FD4D4C" w:rsidRDefault="00FD4D4C" w:rsidP="00EE796B">
            <w:pPr>
              <w:spacing w:after="0" w:line="259" w:lineRule="auto"/>
              <w:ind w:left="115" w:right="0" w:firstLine="0"/>
              <w:jc w:val="center"/>
            </w:pPr>
            <w:r>
              <w:rPr>
                <w:sz w:val="20"/>
              </w:rPr>
              <w:t xml:space="preserve">10-125 </w:t>
            </w:r>
          </w:p>
        </w:tc>
        <w:tc>
          <w:tcPr>
            <w:tcW w:w="1800" w:type="dxa"/>
            <w:tcBorders>
              <w:top w:val="single" w:sz="12" w:space="0" w:color="000000"/>
              <w:left w:val="single" w:sz="12" w:space="0" w:color="000000"/>
              <w:bottom w:val="single" w:sz="12" w:space="0" w:color="000000"/>
              <w:right w:val="single" w:sz="12" w:space="0" w:color="000000"/>
            </w:tcBorders>
          </w:tcPr>
          <w:p w14:paraId="009199EB" w14:textId="77777777" w:rsidR="00FD4D4C" w:rsidRDefault="00FD4D4C" w:rsidP="00EE796B">
            <w:pPr>
              <w:spacing w:after="0" w:line="259" w:lineRule="auto"/>
              <w:ind w:left="113" w:right="0" w:firstLine="0"/>
              <w:jc w:val="center"/>
            </w:pPr>
            <w:r>
              <w:rPr>
                <w:sz w:val="20"/>
              </w:rPr>
              <w:t xml:space="preserve">50 </w:t>
            </w:r>
          </w:p>
        </w:tc>
        <w:tc>
          <w:tcPr>
            <w:tcW w:w="1352" w:type="dxa"/>
            <w:tcBorders>
              <w:top w:val="single" w:sz="12" w:space="0" w:color="000000"/>
              <w:left w:val="single" w:sz="12" w:space="0" w:color="000000"/>
              <w:bottom w:val="single" w:sz="12" w:space="0" w:color="000000"/>
              <w:right w:val="single" w:sz="12" w:space="0" w:color="000000"/>
            </w:tcBorders>
          </w:tcPr>
          <w:p w14:paraId="6CCA6A7D" w14:textId="77777777" w:rsidR="00FD4D4C" w:rsidRDefault="00FD4D4C" w:rsidP="00EE796B">
            <w:pPr>
              <w:spacing w:after="0" w:line="259" w:lineRule="auto"/>
              <w:ind w:left="112" w:right="0" w:firstLine="0"/>
              <w:jc w:val="center"/>
            </w:pPr>
            <w:r>
              <w:rPr>
                <w:sz w:val="20"/>
              </w:rPr>
              <w:t xml:space="preserve">10-125 </w:t>
            </w:r>
          </w:p>
        </w:tc>
        <w:tc>
          <w:tcPr>
            <w:tcW w:w="1800" w:type="dxa"/>
            <w:tcBorders>
              <w:top w:val="single" w:sz="12" w:space="0" w:color="000000"/>
              <w:left w:val="single" w:sz="12" w:space="0" w:color="000000"/>
              <w:bottom w:val="single" w:sz="12" w:space="0" w:color="000000"/>
              <w:right w:val="single" w:sz="12" w:space="0" w:color="000000"/>
            </w:tcBorders>
          </w:tcPr>
          <w:p w14:paraId="2C643E5D" w14:textId="77777777" w:rsidR="00FD4D4C" w:rsidRDefault="00FD4D4C" w:rsidP="00EE796B">
            <w:pPr>
              <w:spacing w:after="0" w:line="259" w:lineRule="auto"/>
              <w:ind w:left="113" w:right="0" w:firstLine="0"/>
              <w:jc w:val="center"/>
            </w:pPr>
            <w:r>
              <w:rPr>
                <w:sz w:val="20"/>
              </w:rPr>
              <w:t xml:space="preserve">50 </w:t>
            </w:r>
          </w:p>
        </w:tc>
      </w:tr>
    </w:tbl>
    <w:p w14:paraId="2ED935A9" w14:textId="77777777" w:rsidR="00FD4D4C" w:rsidRPr="002814A3" w:rsidRDefault="00FD4D4C" w:rsidP="002814A3">
      <w:pPr>
        <w:ind w:left="0" w:firstLine="0"/>
      </w:pPr>
    </w:p>
    <w:p w14:paraId="24C7429D" w14:textId="0313D4DD" w:rsidR="00B56D50" w:rsidRPr="001A7B02" w:rsidRDefault="001C3C42" w:rsidP="00093377">
      <w:pPr>
        <w:pStyle w:val="ListParagraph"/>
        <w:numPr>
          <w:ilvl w:val="0"/>
          <w:numId w:val="18"/>
        </w:numPr>
        <w:ind w:right="376" w:hanging="360"/>
        <w:rPr>
          <w:b/>
          <w:bCs/>
        </w:rPr>
      </w:pPr>
      <w:r w:rsidRPr="001A7B02">
        <w:rPr>
          <w:b/>
          <w:bCs/>
        </w:rPr>
        <w:t xml:space="preserve">Analysis of Surrogates </w:t>
      </w:r>
    </w:p>
    <w:p w14:paraId="33D30A93" w14:textId="77777777" w:rsidR="001A7B02" w:rsidRDefault="001C3C42" w:rsidP="00F3014C">
      <w:pPr>
        <w:ind w:left="1450" w:right="144"/>
      </w:pPr>
      <w:r>
        <w:t>The Contractor shall use the following recommended surrogates for GC/MS analysis of</w:t>
      </w:r>
      <w:r>
        <w:rPr>
          <w:b/>
        </w:rPr>
        <w:t xml:space="preserve"> </w:t>
      </w:r>
      <w:r>
        <w:t>SVOCs: phenol-d</w:t>
      </w:r>
      <w:r>
        <w:rPr>
          <w:vertAlign w:val="subscript"/>
        </w:rPr>
        <w:t>6</w:t>
      </w:r>
      <w:r>
        <w:t>, 2-fluorophenol, 2,4,6-tribromophenol, nitrobenzene-d</w:t>
      </w:r>
      <w:r>
        <w:rPr>
          <w:vertAlign w:val="subscript"/>
        </w:rPr>
        <w:t>5</w:t>
      </w:r>
      <w:r>
        <w:t>, 2-fluorobiphenyl, and pterphenyl-d</w:t>
      </w:r>
      <w:r>
        <w:rPr>
          <w:vertAlign w:val="subscript"/>
        </w:rPr>
        <w:t>14</w:t>
      </w:r>
      <w:r>
        <w:t xml:space="preserve">.  Other compounds may be used as surrogates as necessary or appropriate to meet project objectives.  Every blank, standard, and environmental sample (including matrix spike/matrix spike duplicate and matrix duplicate samples) must be spiked with surrogate compounds </w:t>
      </w:r>
      <w:r>
        <w:rPr>
          <w:u w:val="single" w:color="000000"/>
        </w:rPr>
        <w:t>prior to extraction or processing</w:t>
      </w:r>
      <w:r>
        <w:t>.</w:t>
      </w:r>
    </w:p>
    <w:p w14:paraId="152D0DC1" w14:textId="77777777" w:rsidR="001A7B02" w:rsidRDefault="001A7B02" w:rsidP="00F3014C">
      <w:pPr>
        <w:ind w:left="1450" w:right="144"/>
      </w:pPr>
    </w:p>
    <w:p w14:paraId="1181022A" w14:textId="77777777" w:rsidR="00B56D50" w:rsidRDefault="001C3C42" w:rsidP="00F3014C">
      <w:pPr>
        <w:ind w:left="1450" w:right="144"/>
      </w:pPr>
      <w:r>
        <w:t xml:space="preserve">Surrogates shall be spiked into samples as directed in the appropriate extraction method.  The concentration of the surrogate spiking solution and final concentration of surrogate in the sample extracts shall be appropriate to the project DQOs.  Surrogate concentrations in the sample extracts must </w:t>
      </w:r>
      <w:r>
        <w:rPr>
          <w:u w:val="single" w:color="000000"/>
        </w:rPr>
        <w:t>generally</w:t>
      </w:r>
      <w:r>
        <w:t xml:space="preserve"> either be near the middle of the calibration range or approximately ten times the quantitation limit of the surrogate.  If a more sensitive mass spectrometer or method modification is used to achieve lower detection limits, a spiking solution more dilute than the usual 100-200 </w:t>
      </w:r>
      <w:proofErr w:type="gramStart"/>
      <w:r>
        <w:t>µg</w:t>
      </w:r>
      <w:proofErr w:type="gramEnd"/>
      <w:r>
        <w:t xml:space="preserve">/mL may be required. </w:t>
      </w:r>
    </w:p>
    <w:p w14:paraId="4B376CFA" w14:textId="77777777" w:rsidR="00B56D50" w:rsidRDefault="001C3C42" w:rsidP="009B5AE5">
      <w:pPr>
        <w:spacing w:after="0" w:line="259" w:lineRule="auto"/>
        <w:ind w:left="1440" w:right="0" w:firstLine="0"/>
      </w:pPr>
      <w:r>
        <w:rPr>
          <w:rFonts w:ascii="Arial" w:eastAsia="Arial" w:hAnsi="Arial" w:cs="Arial"/>
          <w:b/>
        </w:rPr>
        <w:t xml:space="preserve"> </w:t>
      </w:r>
    </w:p>
    <w:p w14:paraId="285C9ABF" w14:textId="77777777" w:rsidR="00B56D50" w:rsidRDefault="001C3C42" w:rsidP="00B27A00">
      <w:pPr>
        <w:ind w:left="1450" w:right="255"/>
      </w:pPr>
      <w:r>
        <w:t xml:space="preserve">If the surrogate quantitation limit is unknown, the average quantitation limit of method target analytes may be used to estimate a surrogate quantitation limit.  Determine the appropriate surrogate concentration for the blank extracts after all extraction, cleanup, and concentration steps. </w:t>
      </w:r>
    </w:p>
    <w:p w14:paraId="03A968C2" w14:textId="5F0153F7" w:rsidR="00B56D50" w:rsidRDefault="00B56D50" w:rsidP="001A7B02">
      <w:pPr>
        <w:spacing w:after="0" w:line="259" w:lineRule="auto"/>
        <w:ind w:left="1080" w:right="0" w:firstLine="0"/>
      </w:pPr>
    </w:p>
    <w:p w14:paraId="15248603" w14:textId="2065B67A" w:rsidR="00B56D50" w:rsidRDefault="001C3C42" w:rsidP="00093377">
      <w:pPr>
        <w:pStyle w:val="Heading6"/>
        <w:numPr>
          <w:ilvl w:val="0"/>
          <w:numId w:val="90"/>
        </w:numPr>
        <w:ind w:left="1800" w:right="186"/>
      </w:pPr>
      <w:r>
        <w:t>Control criteria for surrogates</w:t>
      </w:r>
      <w:r w:rsidR="00D41C4B">
        <w:t>:</w:t>
      </w:r>
      <w:r>
        <w:t xml:space="preserve"> </w:t>
      </w:r>
    </w:p>
    <w:p w14:paraId="3535E906" w14:textId="3A27BF4D" w:rsidR="00B56D50" w:rsidRDefault="001C3C42" w:rsidP="00045A53">
      <w:pPr>
        <w:ind w:left="1810" w:right="255"/>
      </w:pPr>
      <w:r>
        <w:t>Surrogate spike recoveries must not fall outside the control limits listed in TABLE 2</w:t>
      </w:r>
      <w:r w:rsidR="00C23CBD">
        <w:t>1</w:t>
      </w:r>
      <w:r>
        <w:rPr>
          <w:i/>
        </w:rPr>
        <w:t>.</w:t>
      </w:r>
      <w:r>
        <w:t xml:space="preserve"> </w:t>
      </w:r>
    </w:p>
    <w:p w14:paraId="22EBDD98" w14:textId="77777777" w:rsidR="009B5AE5" w:rsidRPr="009B5AE5" w:rsidRDefault="009B5AE5" w:rsidP="009B5AE5"/>
    <w:p w14:paraId="581F00A4" w14:textId="1FCE9004" w:rsidR="00B56D50" w:rsidRDefault="001C3C42" w:rsidP="009B5AE5">
      <w:pPr>
        <w:pStyle w:val="Heading5"/>
      </w:pPr>
      <w:r>
        <w:t>TABLE 2</w:t>
      </w:r>
      <w:r w:rsidR="00C23CBD">
        <w:t>1</w:t>
      </w:r>
      <w:r>
        <w:t xml:space="preserve"> </w:t>
      </w:r>
    </w:p>
    <w:p w14:paraId="38687450" w14:textId="77777777" w:rsidR="00B56D50" w:rsidRDefault="001C3C42">
      <w:pPr>
        <w:pStyle w:val="Heading6"/>
        <w:ind w:left="2787" w:right="186"/>
      </w:pPr>
      <w:r>
        <w:t xml:space="preserve">Required Surrogate Spike Control Criteria for SVOC Analysis </w:t>
      </w:r>
    </w:p>
    <w:p w14:paraId="1A42E7A6" w14:textId="2EFCCC30" w:rsidR="00B56D50" w:rsidRDefault="00B56D50">
      <w:pPr>
        <w:spacing w:after="0" w:line="259" w:lineRule="auto"/>
        <w:ind w:left="980" w:right="0" w:firstLine="0"/>
        <w:jc w:val="center"/>
      </w:pPr>
    </w:p>
    <w:tbl>
      <w:tblPr>
        <w:tblStyle w:val="TableGrid1"/>
        <w:tblW w:w="7290" w:type="dxa"/>
        <w:tblInd w:w="2108" w:type="dxa"/>
        <w:tblCellMar>
          <w:top w:w="7" w:type="dxa"/>
          <w:left w:w="134" w:type="dxa"/>
          <w:right w:w="115" w:type="dxa"/>
        </w:tblCellMar>
        <w:tblLook w:val="04A0" w:firstRow="1" w:lastRow="0" w:firstColumn="1" w:lastColumn="0" w:noHBand="0" w:noVBand="1"/>
      </w:tblPr>
      <w:tblGrid>
        <w:gridCol w:w="2429"/>
        <w:gridCol w:w="2432"/>
        <w:gridCol w:w="2429"/>
      </w:tblGrid>
      <w:tr w:rsidR="00B56D50" w14:paraId="54DDE074" w14:textId="77777777" w:rsidTr="00590B96">
        <w:trPr>
          <w:trHeight w:val="360"/>
        </w:trPr>
        <w:tc>
          <w:tcPr>
            <w:tcW w:w="2429" w:type="dxa"/>
            <w:tcBorders>
              <w:top w:val="single" w:sz="12" w:space="0" w:color="000000"/>
              <w:left w:val="single" w:sz="12" w:space="0" w:color="000000"/>
              <w:bottom w:val="single" w:sz="14" w:space="0" w:color="000000"/>
              <w:right w:val="single" w:sz="12" w:space="0" w:color="000000"/>
            </w:tcBorders>
            <w:vAlign w:val="center"/>
          </w:tcPr>
          <w:p w14:paraId="13BD82D4" w14:textId="3BC7D885" w:rsidR="00B56D50" w:rsidRPr="00045A53" w:rsidRDefault="001C3C42" w:rsidP="00590B96">
            <w:pPr>
              <w:spacing w:after="0" w:line="259" w:lineRule="auto"/>
              <w:ind w:left="0" w:right="25" w:firstLine="0"/>
              <w:jc w:val="center"/>
              <w:rPr>
                <w:iCs/>
              </w:rPr>
            </w:pPr>
            <w:r w:rsidRPr="00F40A16">
              <w:rPr>
                <w:b/>
                <w:iCs/>
                <w:sz w:val="20"/>
              </w:rPr>
              <w:t>Matrix:</w:t>
            </w:r>
          </w:p>
        </w:tc>
        <w:tc>
          <w:tcPr>
            <w:tcW w:w="2432" w:type="dxa"/>
            <w:tcBorders>
              <w:top w:val="single" w:sz="12" w:space="0" w:color="000000"/>
              <w:left w:val="single" w:sz="12" w:space="0" w:color="000000"/>
              <w:bottom w:val="single" w:sz="14" w:space="0" w:color="000000"/>
              <w:right w:val="single" w:sz="12" w:space="0" w:color="000000"/>
            </w:tcBorders>
            <w:vAlign w:val="center"/>
          </w:tcPr>
          <w:p w14:paraId="6850C958" w14:textId="7CCA3E0E" w:rsidR="00B56D50" w:rsidRDefault="001C3C42" w:rsidP="00590B96">
            <w:pPr>
              <w:spacing w:after="0" w:line="259" w:lineRule="auto"/>
              <w:ind w:left="0" w:right="21" w:firstLine="0"/>
              <w:jc w:val="center"/>
            </w:pPr>
            <w:r>
              <w:rPr>
                <w:b/>
                <w:sz w:val="20"/>
              </w:rPr>
              <w:t>Water</w:t>
            </w:r>
          </w:p>
        </w:tc>
        <w:tc>
          <w:tcPr>
            <w:tcW w:w="2429" w:type="dxa"/>
            <w:tcBorders>
              <w:top w:val="single" w:sz="12" w:space="0" w:color="000000"/>
              <w:left w:val="single" w:sz="12" w:space="0" w:color="000000"/>
              <w:bottom w:val="single" w:sz="14" w:space="0" w:color="000000"/>
              <w:right w:val="single" w:sz="12" w:space="0" w:color="000000"/>
            </w:tcBorders>
            <w:vAlign w:val="center"/>
          </w:tcPr>
          <w:p w14:paraId="7E4915FF" w14:textId="75BB93D2" w:rsidR="00B56D50" w:rsidRDefault="001C3C42" w:rsidP="00590B96">
            <w:pPr>
              <w:spacing w:after="0" w:line="259" w:lineRule="auto"/>
              <w:ind w:left="0" w:right="26" w:firstLine="0"/>
              <w:jc w:val="center"/>
            </w:pPr>
            <w:r>
              <w:rPr>
                <w:b/>
                <w:sz w:val="20"/>
              </w:rPr>
              <w:t>Soil &amp; Other Matrices</w:t>
            </w:r>
          </w:p>
        </w:tc>
      </w:tr>
      <w:tr w:rsidR="00B56D50" w14:paraId="3A826611" w14:textId="77777777" w:rsidTr="00F40A16">
        <w:trPr>
          <w:trHeight w:val="360"/>
        </w:trPr>
        <w:tc>
          <w:tcPr>
            <w:tcW w:w="2429" w:type="dxa"/>
            <w:tcBorders>
              <w:top w:val="single" w:sz="14" w:space="0" w:color="000000"/>
              <w:left w:val="single" w:sz="12" w:space="0" w:color="000000"/>
              <w:bottom w:val="single" w:sz="12" w:space="0" w:color="000000"/>
              <w:right w:val="single" w:sz="12" w:space="0" w:color="000000"/>
            </w:tcBorders>
            <w:vAlign w:val="center"/>
          </w:tcPr>
          <w:p w14:paraId="5EF8B60E" w14:textId="77A3C4B9" w:rsidR="00B56D50" w:rsidRDefault="001C3C42" w:rsidP="00045A53">
            <w:pPr>
              <w:spacing w:after="0" w:line="259" w:lineRule="auto"/>
              <w:ind w:left="0" w:right="27" w:firstLine="0"/>
              <w:jc w:val="center"/>
            </w:pPr>
            <w:r>
              <w:rPr>
                <w:b/>
                <w:sz w:val="20"/>
              </w:rPr>
              <w:t>Compound</w:t>
            </w:r>
          </w:p>
        </w:tc>
        <w:tc>
          <w:tcPr>
            <w:tcW w:w="2432" w:type="dxa"/>
            <w:tcBorders>
              <w:top w:val="single" w:sz="14" w:space="0" w:color="000000"/>
              <w:left w:val="single" w:sz="12" w:space="0" w:color="000000"/>
              <w:bottom w:val="single" w:sz="12" w:space="0" w:color="000000"/>
              <w:right w:val="single" w:sz="12" w:space="0" w:color="000000"/>
            </w:tcBorders>
            <w:vAlign w:val="center"/>
          </w:tcPr>
          <w:p w14:paraId="066D10DB" w14:textId="60BEDAD3" w:rsidR="00B56D50" w:rsidRDefault="001C3C42" w:rsidP="00F40A16">
            <w:pPr>
              <w:spacing w:after="0" w:line="259" w:lineRule="auto"/>
              <w:ind w:left="0" w:right="0" w:firstLine="0"/>
              <w:jc w:val="center"/>
            </w:pPr>
            <w:r>
              <w:rPr>
                <w:b/>
                <w:sz w:val="20"/>
              </w:rPr>
              <w:t>Surrogate Spike %Recovery</w:t>
            </w:r>
          </w:p>
        </w:tc>
        <w:tc>
          <w:tcPr>
            <w:tcW w:w="2429" w:type="dxa"/>
            <w:tcBorders>
              <w:top w:val="single" w:sz="14" w:space="0" w:color="000000"/>
              <w:left w:val="single" w:sz="12" w:space="0" w:color="000000"/>
              <w:bottom w:val="single" w:sz="12" w:space="0" w:color="000000"/>
              <w:right w:val="single" w:sz="12" w:space="0" w:color="000000"/>
            </w:tcBorders>
            <w:vAlign w:val="center"/>
          </w:tcPr>
          <w:p w14:paraId="212C45E7" w14:textId="14DDC6F8" w:rsidR="00B56D50" w:rsidRDefault="001C3C42" w:rsidP="00F40A16">
            <w:pPr>
              <w:spacing w:after="0" w:line="259" w:lineRule="auto"/>
              <w:ind w:left="0" w:right="0" w:firstLine="0"/>
              <w:jc w:val="center"/>
            </w:pPr>
            <w:r>
              <w:rPr>
                <w:b/>
                <w:sz w:val="20"/>
              </w:rPr>
              <w:t xml:space="preserve">Surrogate </w:t>
            </w:r>
            <w:r w:rsidR="00EC4C5A">
              <w:rPr>
                <w:b/>
                <w:sz w:val="20"/>
              </w:rPr>
              <w:t>Spike %</w:t>
            </w:r>
            <w:r>
              <w:rPr>
                <w:b/>
                <w:sz w:val="20"/>
              </w:rPr>
              <w:t>Recovery</w:t>
            </w:r>
          </w:p>
        </w:tc>
      </w:tr>
      <w:tr w:rsidR="00B56D50" w14:paraId="16467F3D" w14:textId="77777777" w:rsidTr="00F40A16">
        <w:trPr>
          <w:trHeight w:val="288"/>
        </w:trPr>
        <w:tc>
          <w:tcPr>
            <w:tcW w:w="2429" w:type="dxa"/>
            <w:tcBorders>
              <w:top w:val="single" w:sz="12" w:space="0" w:color="000000"/>
              <w:left w:val="single" w:sz="12" w:space="0" w:color="000000"/>
              <w:bottom w:val="single" w:sz="4" w:space="0" w:color="000000"/>
              <w:right w:val="single" w:sz="12" w:space="0" w:color="000000"/>
            </w:tcBorders>
          </w:tcPr>
          <w:p w14:paraId="37926807" w14:textId="77777777" w:rsidR="00B56D50" w:rsidRDefault="001C3C42">
            <w:pPr>
              <w:spacing w:after="0" w:line="259" w:lineRule="auto"/>
              <w:ind w:left="0" w:right="0" w:firstLine="0"/>
            </w:pPr>
            <w:r>
              <w:rPr>
                <w:sz w:val="20"/>
              </w:rPr>
              <w:t>Nitrobenzene-d</w:t>
            </w:r>
            <w:r>
              <w:rPr>
                <w:sz w:val="20"/>
                <w:vertAlign w:val="subscript"/>
              </w:rPr>
              <w:t>5</w:t>
            </w:r>
            <w:r>
              <w:rPr>
                <w:sz w:val="20"/>
              </w:rPr>
              <w:t xml:space="preserve"> </w:t>
            </w:r>
          </w:p>
        </w:tc>
        <w:tc>
          <w:tcPr>
            <w:tcW w:w="2432" w:type="dxa"/>
            <w:tcBorders>
              <w:top w:val="single" w:sz="12" w:space="0" w:color="000000"/>
              <w:left w:val="single" w:sz="12" w:space="0" w:color="000000"/>
              <w:bottom w:val="single" w:sz="4" w:space="0" w:color="000000"/>
              <w:right w:val="single" w:sz="12" w:space="0" w:color="000000"/>
            </w:tcBorders>
          </w:tcPr>
          <w:p w14:paraId="06ADA3D2" w14:textId="77777777" w:rsidR="00B56D50" w:rsidRDefault="001C3C42">
            <w:pPr>
              <w:spacing w:after="0" w:line="259" w:lineRule="auto"/>
              <w:ind w:left="0" w:right="20" w:firstLine="0"/>
              <w:jc w:val="center"/>
            </w:pPr>
            <w:r>
              <w:rPr>
                <w:sz w:val="20"/>
              </w:rPr>
              <w:t xml:space="preserve">35-114 </w:t>
            </w:r>
          </w:p>
        </w:tc>
        <w:tc>
          <w:tcPr>
            <w:tcW w:w="2429" w:type="dxa"/>
            <w:tcBorders>
              <w:top w:val="single" w:sz="12" w:space="0" w:color="000000"/>
              <w:left w:val="single" w:sz="12" w:space="0" w:color="000000"/>
              <w:bottom w:val="single" w:sz="4" w:space="0" w:color="000000"/>
              <w:right w:val="single" w:sz="12" w:space="0" w:color="000000"/>
            </w:tcBorders>
          </w:tcPr>
          <w:p w14:paraId="4E726982" w14:textId="77777777" w:rsidR="00B56D50" w:rsidRDefault="001C3C42">
            <w:pPr>
              <w:spacing w:after="0" w:line="259" w:lineRule="auto"/>
              <w:ind w:left="0" w:right="23" w:firstLine="0"/>
              <w:jc w:val="center"/>
            </w:pPr>
            <w:r>
              <w:rPr>
                <w:sz w:val="20"/>
              </w:rPr>
              <w:t xml:space="preserve">23-120 </w:t>
            </w:r>
          </w:p>
        </w:tc>
      </w:tr>
      <w:tr w:rsidR="00B56D50" w14:paraId="56F4DA1C" w14:textId="77777777" w:rsidTr="00F40A16">
        <w:trPr>
          <w:trHeight w:val="288"/>
        </w:trPr>
        <w:tc>
          <w:tcPr>
            <w:tcW w:w="2429" w:type="dxa"/>
            <w:tcBorders>
              <w:top w:val="single" w:sz="4" w:space="0" w:color="000000"/>
              <w:left w:val="single" w:sz="12" w:space="0" w:color="000000"/>
              <w:bottom w:val="single" w:sz="4" w:space="0" w:color="000000"/>
              <w:right w:val="single" w:sz="12" w:space="0" w:color="000000"/>
            </w:tcBorders>
          </w:tcPr>
          <w:p w14:paraId="298C06ED" w14:textId="77777777" w:rsidR="00B56D50" w:rsidRDefault="001C3C42">
            <w:pPr>
              <w:spacing w:after="0" w:line="259" w:lineRule="auto"/>
              <w:ind w:left="0" w:right="0" w:firstLine="0"/>
            </w:pPr>
            <w:r>
              <w:rPr>
                <w:sz w:val="20"/>
              </w:rPr>
              <w:t xml:space="preserve">2-Fluorobiphenyl </w:t>
            </w:r>
          </w:p>
        </w:tc>
        <w:tc>
          <w:tcPr>
            <w:tcW w:w="2432" w:type="dxa"/>
            <w:tcBorders>
              <w:top w:val="single" w:sz="4" w:space="0" w:color="000000"/>
              <w:left w:val="single" w:sz="12" w:space="0" w:color="000000"/>
              <w:bottom w:val="single" w:sz="4" w:space="0" w:color="000000"/>
              <w:right w:val="single" w:sz="12" w:space="0" w:color="000000"/>
            </w:tcBorders>
          </w:tcPr>
          <w:p w14:paraId="7BF27BAD" w14:textId="77777777" w:rsidR="00B56D50" w:rsidRDefault="001C3C42">
            <w:pPr>
              <w:spacing w:after="0" w:line="259" w:lineRule="auto"/>
              <w:ind w:left="0" w:right="20" w:firstLine="0"/>
              <w:jc w:val="center"/>
            </w:pPr>
            <w:r>
              <w:rPr>
                <w:sz w:val="20"/>
              </w:rPr>
              <w:t xml:space="preserve">43-116 </w:t>
            </w:r>
          </w:p>
        </w:tc>
        <w:tc>
          <w:tcPr>
            <w:tcW w:w="2429" w:type="dxa"/>
            <w:tcBorders>
              <w:top w:val="single" w:sz="4" w:space="0" w:color="000000"/>
              <w:left w:val="single" w:sz="12" w:space="0" w:color="000000"/>
              <w:bottom w:val="single" w:sz="4" w:space="0" w:color="000000"/>
              <w:right w:val="single" w:sz="12" w:space="0" w:color="000000"/>
            </w:tcBorders>
          </w:tcPr>
          <w:p w14:paraId="207F83ED" w14:textId="77777777" w:rsidR="00B56D50" w:rsidRDefault="001C3C42">
            <w:pPr>
              <w:spacing w:after="0" w:line="259" w:lineRule="auto"/>
              <w:ind w:left="0" w:right="23" w:firstLine="0"/>
              <w:jc w:val="center"/>
            </w:pPr>
            <w:r>
              <w:rPr>
                <w:sz w:val="20"/>
              </w:rPr>
              <w:t xml:space="preserve">30-115 </w:t>
            </w:r>
          </w:p>
        </w:tc>
      </w:tr>
      <w:tr w:rsidR="00B56D50" w14:paraId="7DEFA888" w14:textId="77777777" w:rsidTr="00F40A16">
        <w:trPr>
          <w:trHeight w:val="288"/>
        </w:trPr>
        <w:tc>
          <w:tcPr>
            <w:tcW w:w="2429" w:type="dxa"/>
            <w:tcBorders>
              <w:top w:val="single" w:sz="4" w:space="0" w:color="000000"/>
              <w:left w:val="single" w:sz="12" w:space="0" w:color="000000"/>
              <w:bottom w:val="single" w:sz="4" w:space="0" w:color="000000"/>
              <w:right w:val="single" w:sz="12" w:space="0" w:color="000000"/>
            </w:tcBorders>
          </w:tcPr>
          <w:p w14:paraId="0A605B29" w14:textId="77777777" w:rsidR="00B56D50" w:rsidRDefault="001C3C42">
            <w:pPr>
              <w:spacing w:after="0" w:line="259" w:lineRule="auto"/>
              <w:ind w:left="0" w:right="0" w:firstLine="0"/>
            </w:pPr>
            <w:r>
              <w:rPr>
                <w:sz w:val="20"/>
              </w:rPr>
              <w:t>Terphenyl-d</w:t>
            </w:r>
            <w:r>
              <w:rPr>
                <w:sz w:val="20"/>
                <w:vertAlign w:val="subscript"/>
              </w:rPr>
              <w:t>14</w:t>
            </w:r>
            <w:r>
              <w:rPr>
                <w:sz w:val="20"/>
              </w:rPr>
              <w:t xml:space="preserve"> </w:t>
            </w:r>
          </w:p>
        </w:tc>
        <w:tc>
          <w:tcPr>
            <w:tcW w:w="2432" w:type="dxa"/>
            <w:tcBorders>
              <w:top w:val="single" w:sz="4" w:space="0" w:color="000000"/>
              <w:left w:val="single" w:sz="12" w:space="0" w:color="000000"/>
              <w:bottom w:val="single" w:sz="4" w:space="0" w:color="000000"/>
              <w:right w:val="single" w:sz="12" w:space="0" w:color="000000"/>
            </w:tcBorders>
          </w:tcPr>
          <w:p w14:paraId="2D95F875" w14:textId="77777777" w:rsidR="00B56D50" w:rsidRDefault="001C3C42">
            <w:pPr>
              <w:spacing w:after="0" w:line="259" w:lineRule="auto"/>
              <w:ind w:left="0" w:right="20" w:firstLine="0"/>
              <w:jc w:val="center"/>
            </w:pPr>
            <w:r>
              <w:rPr>
                <w:sz w:val="20"/>
              </w:rPr>
              <w:t xml:space="preserve">33-141 </w:t>
            </w:r>
          </w:p>
        </w:tc>
        <w:tc>
          <w:tcPr>
            <w:tcW w:w="2429" w:type="dxa"/>
            <w:tcBorders>
              <w:top w:val="single" w:sz="4" w:space="0" w:color="000000"/>
              <w:left w:val="single" w:sz="12" w:space="0" w:color="000000"/>
              <w:bottom w:val="single" w:sz="4" w:space="0" w:color="000000"/>
              <w:right w:val="single" w:sz="12" w:space="0" w:color="000000"/>
            </w:tcBorders>
          </w:tcPr>
          <w:p w14:paraId="6D695BB2" w14:textId="77777777" w:rsidR="00B56D50" w:rsidRDefault="001C3C42">
            <w:pPr>
              <w:spacing w:after="0" w:line="259" w:lineRule="auto"/>
              <w:ind w:left="0" w:right="23" w:firstLine="0"/>
              <w:jc w:val="center"/>
            </w:pPr>
            <w:r>
              <w:rPr>
                <w:sz w:val="20"/>
              </w:rPr>
              <w:t xml:space="preserve">18-137 </w:t>
            </w:r>
          </w:p>
        </w:tc>
      </w:tr>
      <w:tr w:rsidR="00B56D50" w14:paraId="63DF8DB4" w14:textId="77777777" w:rsidTr="00F40A16">
        <w:trPr>
          <w:trHeight w:val="288"/>
        </w:trPr>
        <w:tc>
          <w:tcPr>
            <w:tcW w:w="2429" w:type="dxa"/>
            <w:tcBorders>
              <w:top w:val="single" w:sz="4" w:space="0" w:color="000000"/>
              <w:left w:val="single" w:sz="12" w:space="0" w:color="000000"/>
              <w:bottom w:val="single" w:sz="4" w:space="0" w:color="000000"/>
              <w:right w:val="single" w:sz="12" w:space="0" w:color="000000"/>
            </w:tcBorders>
          </w:tcPr>
          <w:p w14:paraId="6E2166C2" w14:textId="77777777" w:rsidR="00B56D50" w:rsidRDefault="001C3C42">
            <w:pPr>
              <w:spacing w:after="0" w:line="259" w:lineRule="auto"/>
              <w:ind w:left="0" w:right="0" w:firstLine="0"/>
            </w:pPr>
            <w:r>
              <w:rPr>
                <w:sz w:val="20"/>
              </w:rPr>
              <w:t>Phenol-d</w:t>
            </w:r>
            <w:r>
              <w:rPr>
                <w:sz w:val="20"/>
                <w:vertAlign w:val="subscript"/>
              </w:rPr>
              <w:t>6</w:t>
            </w:r>
            <w:r>
              <w:rPr>
                <w:sz w:val="20"/>
              </w:rPr>
              <w:t xml:space="preserve"> </w:t>
            </w:r>
          </w:p>
        </w:tc>
        <w:tc>
          <w:tcPr>
            <w:tcW w:w="2432" w:type="dxa"/>
            <w:tcBorders>
              <w:top w:val="single" w:sz="4" w:space="0" w:color="000000"/>
              <w:left w:val="single" w:sz="12" w:space="0" w:color="000000"/>
              <w:bottom w:val="single" w:sz="4" w:space="0" w:color="000000"/>
              <w:right w:val="single" w:sz="12" w:space="0" w:color="000000"/>
            </w:tcBorders>
          </w:tcPr>
          <w:p w14:paraId="12701C56" w14:textId="77777777" w:rsidR="00B56D50" w:rsidRDefault="001C3C42">
            <w:pPr>
              <w:spacing w:after="0" w:line="259" w:lineRule="auto"/>
              <w:ind w:left="0" w:right="20" w:firstLine="0"/>
              <w:jc w:val="center"/>
            </w:pPr>
            <w:r>
              <w:rPr>
                <w:sz w:val="20"/>
              </w:rPr>
              <w:t xml:space="preserve">10-110 </w:t>
            </w:r>
          </w:p>
        </w:tc>
        <w:tc>
          <w:tcPr>
            <w:tcW w:w="2429" w:type="dxa"/>
            <w:tcBorders>
              <w:top w:val="single" w:sz="4" w:space="0" w:color="000000"/>
              <w:left w:val="single" w:sz="12" w:space="0" w:color="000000"/>
              <w:bottom w:val="single" w:sz="4" w:space="0" w:color="000000"/>
              <w:right w:val="single" w:sz="12" w:space="0" w:color="000000"/>
            </w:tcBorders>
          </w:tcPr>
          <w:p w14:paraId="71FBCC75" w14:textId="77777777" w:rsidR="00B56D50" w:rsidRDefault="001C3C42">
            <w:pPr>
              <w:spacing w:after="0" w:line="259" w:lineRule="auto"/>
              <w:ind w:left="0" w:right="23" w:firstLine="0"/>
              <w:jc w:val="center"/>
            </w:pPr>
            <w:r>
              <w:rPr>
                <w:sz w:val="20"/>
              </w:rPr>
              <w:t xml:space="preserve">24-113 </w:t>
            </w:r>
          </w:p>
        </w:tc>
      </w:tr>
      <w:tr w:rsidR="00B56D50" w14:paraId="1B6C5330" w14:textId="77777777" w:rsidTr="00F40A16">
        <w:trPr>
          <w:trHeight w:val="288"/>
        </w:trPr>
        <w:tc>
          <w:tcPr>
            <w:tcW w:w="2429" w:type="dxa"/>
            <w:tcBorders>
              <w:top w:val="single" w:sz="4" w:space="0" w:color="000000"/>
              <w:left w:val="single" w:sz="12" w:space="0" w:color="000000"/>
              <w:bottom w:val="single" w:sz="4" w:space="0" w:color="000000"/>
              <w:right w:val="single" w:sz="12" w:space="0" w:color="000000"/>
            </w:tcBorders>
          </w:tcPr>
          <w:p w14:paraId="124C0D22" w14:textId="77777777" w:rsidR="00B56D50" w:rsidRDefault="001C3C42">
            <w:pPr>
              <w:spacing w:after="0" w:line="259" w:lineRule="auto"/>
              <w:ind w:left="0" w:right="0" w:firstLine="0"/>
            </w:pPr>
            <w:r>
              <w:rPr>
                <w:sz w:val="20"/>
              </w:rPr>
              <w:t xml:space="preserve">2-Fluorophenol </w:t>
            </w:r>
          </w:p>
        </w:tc>
        <w:tc>
          <w:tcPr>
            <w:tcW w:w="2432" w:type="dxa"/>
            <w:tcBorders>
              <w:top w:val="single" w:sz="4" w:space="0" w:color="000000"/>
              <w:left w:val="single" w:sz="12" w:space="0" w:color="000000"/>
              <w:bottom w:val="single" w:sz="4" w:space="0" w:color="000000"/>
              <w:right w:val="single" w:sz="12" w:space="0" w:color="000000"/>
            </w:tcBorders>
          </w:tcPr>
          <w:p w14:paraId="0AA0838F" w14:textId="77777777" w:rsidR="00B56D50" w:rsidRDefault="001C3C42">
            <w:pPr>
              <w:spacing w:after="0" w:line="259" w:lineRule="auto"/>
              <w:ind w:left="0" w:right="20" w:firstLine="0"/>
              <w:jc w:val="center"/>
            </w:pPr>
            <w:r>
              <w:rPr>
                <w:sz w:val="20"/>
              </w:rPr>
              <w:t xml:space="preserve">21-110 </w:t>
            </w:r>
          </w:p>
        </w:tc>
        <w:tc>
          <w:tcPr>
            <w:tcW w:w="2429" w:type="dxa"/>
            <w:tcBorders>
              <w:top w:val="single" w:sz="4" w:space="0" w:color="000000"/>
              <w:left w:val="single" w:sz="12" w:space="0" w:color="000000"/>
              <w:bottom w:val="single" w:sz="4" w:space="0" w:color="000000"/>
              <w:right w:val="single" w:sz="12" w:space="0" w:color="000000"/>
            </w:tcBorders>
          </w:tcPr>
          <w:p w14:paraId="4AE3ACE3" w14:textId="77777777" w:rsidR="00B56D50" w:rsidRDefault="001C3C42">
            <w:pPr>
              <w:spacing w:after="0" w:line="259" w:lineRule="auto"/>
              <w:ind w:left="0" w:right="23" w:firstLine="0"/>
              <w:jc w:val="center"/>
            </w:pPr>
            <w:r>
              <w:rPr>
                <w:sz w:val="20"/>
              </w:rPr>
              <w:t xml:space="preserve">25-121 </w:t>
            </w:r>
          </w:p>
        </w:tc>
      </w:tr>
      <w:tr w:rsidR="00B56D50" w14:paraId="672F7E52" w14:textId="77777777" w:rsidTr="00F40A16">
        <w:trPr>
          <w:trHeight w:val="288"/>
        </w:trPr>
        <w:tc>
          <w:tcPr>
            <w:tcW w:w="2429" w:type="dxa"/>
            <w:tcBorders>
              <w:top w:val="single" w:sz="4" w:space="0" w:color="000000"/>
              <w:left w:val="single" w:sz="12" w:space="0" w:color="000000"/>
              <w:bottom w:val="single" w:sz="12" w:space="0" w:color="000000"/>
              <w:right w:val="single" w:sz="12" w:space="0" w:color="000000"/>
            </w:tcBorders>
          </w:tcPr>
          <w:p w14:paraId="25C0204C" w14:textId="77777777" w:rsidR="00B56D50" w:rsidRDefault="001C3C42">
            <w:pPr>
              <w:spacing w:after="0" w:line="259" w:lineRule="auto"/>
              <w:ind w:left="0" w:right="0" w:firstLine="0"/>
            </w:pPr>
            <w:r>
              <w:rPr>
                <w:sz w:val="20"/>
              </w:rPr>
              <w:t xml:space="preserve">2,4,6-Tribromophenol </w:t>
            </w:r>
          </w:p>
        </w:tc>
        <w:tc>
          <w:tcPr>
            <w:tcW w:w="2432" w:type="dxa"/>
            <w:tcBorders>
              <w:top w:val="single" w:sz="4" w:space="0" w:color="000000"/>
              <w:left w:val="single" w:sz="12" w:space="0" w:color="000000"/>
              <w:bottom w:val="single" w:sz="12" w:space="0" w:color="000000"/>
              <w:right w:val="single" w:sz="12" w:space="0" w:color="000000"/>
            </w:tcBorders>
          </w:tcPr>
          <w:p w14:paraId="56A3BE81" w14:textId="77777777" w:rsidR="00B56D50" w:rsidRDefault="001C3C42">
            <w:pPr>
              <w:spacing w:after="0" w:line="259" w:lineRule="auto"/>
              <w:ind w:left="0" w:right="20" w:firstLine="0"/>
              <w:jc w:val="center"/>
            </w:pPr>
            <w:r>
              <w:rPr>
                <w:sz w:val="20"/>
              </w:rPr>
              <w:t xml:space="preserve">10-123 </w:t>
            </w:r>
          </w:p>
        </w:tc>
        <w:tc>
          <w:tcPr>
            <w:tcW w:w="2429" w:type="dxa"/>
            <w:tcBorders>
              <w:top w:val="single" w:sz="4" w:space="0" w:color="000000"/>
              <w:left w:val="single" w:sz="12" w:space="0" w:color="000000"/>
              <w:bottom w:val="single" w:sz="12" w:space="0" w:color="000000"/>
              <w:right w:val="single" w:sz="12" w:space="0" w:color="000000"/>
            </w:tcBorders>
          </w:tcPr>
          <w:p w14:paraId="62D02BDC" w14:textId="77777777" w:rsidR="00B56D50" w:rsidRDefault="001C3C42">
            <w:pPr>
              <w:spacing w:after="0" w:line="259" w:lineRule="auto"/>
              <w:ind w:left="0" w:right="23" w:firstLine="0"/>
              <w:jc w:val="center"/>
            </w:pPr>
            <w:r>
              <w:rPr>
                <w:sz w:val="20"/>
              </w:rPr>
              <w:t xml:space="preserve">19-122 </w:t>
            </w:r>
          </w:p>
        </w:tc>
      </w:tr>
    </w:tbl>
    <w:p w14:paraId="240E031B" w14:textId="77777777" w:rsidR="00B56D50" w:rsidRDefault="001C3C42">
      <w:pPr>
        <w:spacing w:after="8" w:line="259" w:lineRule="auto"/>
        <w:ind w:left="540" w:right="0" w:firstLine="0"/>
      </w:pPr>
      <w:r>
        <w:rPr>
          <w:sz w:val="20"/>
        </w:rPr>
        <w:t xml:space="preserve"> </w:t>
      </w:r>
    </w:p>
    <w:p w14:paraId="4899EB30" w14:textId="0D1C82EF" w:rsidR="00B56D50" w:rsidRPr="00D41C4B" w:rsidRDefault="001C3C42" w:rsidP="00093377">
      <w:pPr>
        <w:pStyle w:val="Heading6"/>
        <w:numPr>
          <w:ilvl w:val="0"/>
          <w:numId w:val="90"/>
        </w:numPr>
        <w:ind w:left="1800" w:right="186"/>
        <w:rPr>
          <w:bCs/>
        </w:rPr>
      </w:pPr>
      <w:r w:rsidRPr="00D41C4B">
        <w:rPr>
          <w:bCs/>
        </w:rPr>
        <w:t xml:space="preserve">Corrective action for surrogate recoveries: </w:t>
      </w:r>
    </w:p>
    <w:p w14:paraId="53E07C1C" w14:textId="587EA915" w:rsidR="00B56D50" w:rsidRDefault="001C3C42" w:rsidP="005C0F16">
      <w:pPr>
        <w:ind w:left="1800" w:right="255"/>
      </w:pPr>
      <w:r>
        <w:t xml:space="preserve">The Contractor shall take corrective action if either of the following conditions </w:t>
      </w:r>
      <w:r w:rsidR="00E85F48">
        <w:t>exist</w:t>
      </w:r>
      <w:r>
        <w:t xml:space="preserve"> during the analysis of environmental samples for </w:t>
      </w:r>
      <w:r w:rsidR="00056481">
        <w:t>S</w:t>
      </w:r>
      <w:r>
        <w:t>emi</w:t>
      </w:r>
      <w:r w:rsidR="00056481">
        <w:t>-</w:t>
      </w:r>
      <w:r>
        <w:t xml:space="preserve">volatile parameters: </w:t>
      </w:r>
    </w:p>
    <w:p w14:paraId="660618AF" w14:textId="77777777" w:rsidR="00B56D50" w:rsidRDefault="001C3C42" w:rsidP="005C0F16">
      <w:pPr>
        <w:spacing w:after="0" w:line="259" w:lineRule="auto"/>
        <w:ind w:left="1800" w:right="0" w:firstLine="0"/>
      </w:pPr>
      <w:r>
        <w:t xml:space="preserve"> </w:t>
      </w:r>
    </w:p>
    <w:p w14:paraId="12EDDB9A" w14:textId="77777777" w:rsidR="00B56D50" w:rsidRDefault="001C3C42" w:rsidP="005C0F16">
      <w:pPr>
        <w:ind w:left="1800" w:right="255" w:hanging="360"/>
      </w:pPr>
      <w:r>
        <w:t xml:space="preserve">      Recovery of any one surrogate compound in </w:t>
      </w:r>
      <w:r>
        <w:rPr>
          <w:u w:val="single" w:color="000000"/>
        </w:rPr>
        <w:t>either</w:t>
      </w:r>
      <w:r>
        <w:t xml:space="preserve"> the base-neutral or the acid fraction is   below 10%, or </w:t>
      </w:r>
    </w:p>
    <w:p w14:paraId="4A0E573F" w14:textId="77777777" w:rsidR="00B56D50" w:rsidRDefault="001C3C42" w:rsidP="005C0F16">
      <w:pPr>
        <w:spacing w:after="0" w:line="259" w:lineRule="auto"/>
        <w:ind w:left="1800" w:right="0" w:firstLine="0"/>
      </w:pPr>
      <w:r>
        <w:t xml:space="preserve"> </w:t>
      </w:r>
    </w:p>
    <w:p w14:paraId="2335DD7C" w14:textId="77777777" w:rsidR="00B56D50" w:rsidRDefault="001C3C42" w:rsidP="005C0F16">
      <w:pPr>
        <w:ind w:left="1800" w:right="255" w:hanging="360"/>
      </w:pPr>
      <w:r>
        <w:t xml:space="preserve">      Recoveries of two surrogate compounds in </w:t>
      </w:r>
      <w:r>
        <w:rPr>
          <w:u w:val="single" w:color="000000"/>
        </w:rPr>
        <w:t>either</w:t>
      </w:r>
      <w:r>
        <w:t xml:space="preserve"> the base-neutral or the acid fraction are       outside the surrogate spike recovery limits. </w:t>
      </w:r>
    </w:p>
    <w:p w14:paraId="647EB077" w14:textId="77777777" w:rsidR="00B56D50" w:rsidRDefault="001C3C42" w:rsidP="005C0F16">
      <w:pPr>
        <w:spacing w:after="0" w:line="259" w:lineRule="auto"/>
        <w:ind w:left="1800" w:right="0" w:firstLine="0"/>
      </w:pPr>
      <w:r>
        <w:t xml:space="preserve"> </w:t>
      </w:r>
    </w:p>
    <w:p w14:paraId="6B44BDF0" w14:textId="77777777" w:rsidR="00B56D50" w:rsidRDefault="001C3C42" w:rsidP="005C0F16">
      <w:pPr>
        <w:ind w:left="1800" w:right="255"/>
      </w:pPr>
      <w:r>
        <w:t xml:space="preserve">If either of these conditions occur, the Contractor shall take the following corrective actions: </w:t>
      </w:r>
    </w:p>
    <w:p w14:paraId="473791EE" w14:textId="77777777" w:rsidR="00B56D50" w:rsidRDefault="001C3C42">
      <w:pPr>
        <w:spacing w:after="0" w:line="259" w:lineRule="auto"/>
        <w:ind w:left="540" w:right="0" w:firstLine="0"/>
      </w:pPr>
      <w:r>
        <w:t xml:space="preserve"> </w:t>
      </w:r>
    </w:p>
    <w:p w14:paraId="39E6271C" w14:textId="77777777" w:rsidR="00B56D50" w:rsidRDefault="001C3C42" w:rsidP="008E64CD">
      <w:pPr>
        <w:numPr>
          <w:ilvl w:val="0"/>
          <w:numId w:val="33"/>
        </w:numPr>
        <w:ind w:left="2160" w:right="255" w:hanging="360"/>
      </w:pPr>
      <w:r>
        <w:t xml:space="preserve">Check calculations to ensure that there are no errors; check internal </w:t>
      </w:r>
      <w:proofErr w:type="gramStart"/>
      <w:r>
        <w:t>standard</w:t>
      </w:r>
      <w:proofErr w:type="gramEnd"/>
      <w:r>
        <w:t xml:space="preserve"> and surrogate spiking solutions for degradation, contamination, etc.  Examine chromatograms for interfering peaks and integrated peak areas.  Also check instrument performance. </w:t>
      </w:r>
    </w:p>
    <w:p w14:paraId="4D773A3B" w14:textId="77777777" w:rsidR="00B56D50" w:rsidRDefault="001C3C42">
      <w:pPr>
        <w:spacing w:after="0" w:line="259" w:lineRule="auto"/>
        <w:ind w:left="540" w:right="0" w:firstLine="0"/>
      </w:pPr>
      <w:r>
        <w:t xml:space="preserve"> </w:t>
      </w:r>
    </w:p>
    <w:p w14:paraId="7201DA33" w14:textId="77777777" w:rsidR="00B56D50" w:rsidRDefault="001C3C42" w:rsidP="008E64CD">
      <w:pPr>
        <w:numPr>
          <w:ilvl w:val="0"/>
          <w:numId w:val="33"/>
        </w:numPr>
        <w:ind w:left="2160" w:right="255" w:hanging="360"/>
      </w:pPr>
      <w:r>
        <w:t xml:space="preserve">If the above steps fail to identify the problem, and if control limits or DQOs have not been met, then reanalyze the extract. </w:t>
      </w:r>
    </w:p>
    <w:p w14:paraId="4C1CBE87" w14:textId="77777777" w:rsidR="00B56D50" w:rsidRDefault="001C3C42">
      <w:pPr>
        <w:spacing w:after="0" w:line="259" w:lineRule="auto"/>
        <w:ind w:left="540" w:right="0" w:firstLine="0"/>
      </w:pPr>
      <w:r>
        <w:t xml:space="preserve"> </w:t>
      </w:r>
    </w:p>
    <w:p w14:paraId="05C61F62" w14:textId="27620BDF" w:rsidR="00B56D50" w:rsidRDefault="001C3C42" w:rsidP="008E64CD">
      <w:pPr>
        <w:numPr>
          <w:ilvl w:val="0"/>
          <w:numId w:val="33"/>
        </w:numPr>
        <w:ind w:left="2160" w:right="255" w:hanging="360"/>
      </w:pPr>
      <w:r>
        <w:lastRenderedPageBreak/>
        <w:t xml:space="preserve">If after reanalysis of the extract, surrogate recoveries still do not meet control criteria, and if DQOs have not been met, then re-extract and reanalyze the sample. </w:t>
      </w:r>
    </w:p>
    <w:p w14:paraId="1CAE9A04" w14:textId="77777777" w:rsidR="00B56D50" w:rsidRDefault="001C3C42">
      <w:pPr>
        <w:spacing w:after="0" w:line="259" w:lineRule="auto"/>
        <w:ind w:left="540" w:right="0" w:firstLine="0"/>
      </w:pPr>
      <w:r>
        <w:t xml:space="preserve"> </w:t>
      </w:r>
    </w:p>
    <w:p w14:paraId="3E351E2E" w14:textId="6869F9F3" w:rsidR="00B56D50" w:rsidRDefault="001C3C42" w:rsidP="008E64CD">
      <w:pPr>
        <w:numPr>
          <w:ilvl w:val="0"/>
          <w:numId w:val="33"/>
        </w:numPr>
        <w:spacing w:after="14" w:line="248" w:lineRule="auto"/>
        <w:ind w:left="2160" w:right="439" w:hanging="360"/>
      </w:pPr>
      <w:r>
        <w:t xml:space="preserve">If re-extraction and reanalysis of the sample </w:t>
      </w:r>
      <w:r w:rsidR="00E85F48">
        <w:t>do</w:t>
      </w:r>
      <w:r>
        <w:t xml:space="preserve"> not solve the problem (i.e., surrogate recoveries are outside the requirements for both analyses), then submit the surrogate spike recovery data and the sample data from </w:t>
      </w:r>
      <w:r w:rsidRPr="00D41C4B">
        <w:rPr>
          <w:u w:val="single" w:color="000000"/>
        </w:rPr>
        <w:t>both</w:t>
      </w:r>
      <w:r>
        <w:t xml:space="preserve"> analyses.  Distinguish between the initial analysis and the reanalysis on all data deliverables.  (See </w:t>
      </w:r>
      <w:r w:rsidRPr="00D41C4B">
        <w:t xml:space="preserve">Section E, Corrective </w:t>
      </w:r>
      <w:r>
        <w:t>Action for Organic Analysis by GC/MS</w:t>
      </w:r>
      <w:r w:rsidRPr="00D41C4B">
        <w:t>,</w:t>
      </w:r>
      <w:r>
        <w:t xml:space="preserve"> </w:t>
      </w:r>
      <w:r w:rsidRPr="00D41C4B">
        <w:t xml:space="preserve">for additional information.) </w:t>
      </w:r>
    </w:p>
    <w:p w14:paraId="79E346BC" w14:textId="77777777" w:rsidR="00D41C4B" w:rsidRDefault="00D41C4B" w:rsidP="00D41C4B">
      <w:pPr>
        <w:spacing w:after="14" w:line="248" w:lineRule="auto"/>
        <w:ind w:right="439"/>
      </w:pPr>
    </w:p>
    <w:p w14:paraId="3028A755" w14:textId="7D09414F" w:rsidR="00B56D50" w:rsidRDefault="001C3C42" w:rsidP="00093377">
      <w:pPr>
        <w:pStyle w:val="Heading6"/>
        <w:numPr>
          <w:ilvl w:val="0"/>
          <w:numId w:val="90"/>
        </w:numPr>
        <w:ind w:left="1800" w:right="186"/>
      </w:pPr>
      <w:r>
        <w:t xml:space="preserve">Dilution of surrogate response </w:t>
      </w:r>
    </w:p>
    <w:p w14:paraId="22A8386E" w14:textId="2EF38ACC" w:rsidR="00B56D50" w:rsidRDefault="001C3C42" w:rsidP="00AB7C3A">
      <w:pPr>
        <w:ind w:left="1800" w:right="255"/>
      </w:pPr>
      <w:r>
        <w:t xml:space="preserve">Some samples may require dilution </w:t>
      </w:r>
      <w:proofErr w:type="gramStart"/>
      <w:r>
        <w:t>in order to</w:t>
      </w:r>
      <w:proofErr w:type="gramEnd"/>
      <w:r>
        <w:t xml:space="preserve"> bring one or more target analytes within the calibration range or to overcome significant interferences with some analytes. This may result in the dilution of the surrogate responses to the point that the recoveries </w:t>
      </w:r>
      <w:r w:rsidR="00EC4C5A">
        <w:t>cannot</w:t>
      </w:r>
      <w:r>
        <w:t xml:space="preserve"> be measured. If the surrogate recoveries are available from a </w:t>
      </w:r>
      <w:proofErr w:type="gramStart"/>
      <w:r>
        <w:t>less-diluted</w:t>
      </w:r>
      <w:proofErr w:type="gramEnd"/>
      <w:r>
        <w:t xml:space="preserve"> or undiluted aliquot of the sample or sample extract, those recoveries may be used to demonstrate that the surrogates were within the QC limits, and no further action is required. However, the results of both the diluted and undiluted (or less-diluted) analyses must be reported to the State. </w:t>
      </w:r>
      <w:r>
        <w:rPr>
          <w:b/>
        </w:rPr>
        <w:t xml:space="preserve"> </w:t>
      </w:r>
    </w:p>
    <w:p w14:paraId="2A89918E" w14:textId="2C45141F" w:rsidR="00B56D50" w:rsidRDefault="00B56D50" w:rsidP="00AB7C3A">
      <w:pPr>
        <w:spacing w:after="0" w:line="259" w:lineRule="auto"/>
        <w:ind w:left="1800" w:right="0" w:firstLine="0"/>
      </w:pPr>
    </w:p>
    <w:p w14:paraId="7AA1B3E6" w14:textId="77777777" w:rsidR="00B56D50" w:rsidRDefault="001C3C42" w:rsidP="00503D4E">
      <w:pPr>
        <w:ind w:left="1800" w:right="255"/>
      </w:pPr>
      <w:r>
        <w:t xml:space="preserve">Although the surrogates may be diluted out of certain sample extracts, their retention times in the calibration standards may be useful in tracking retention time shifts. Whenever the observed retention time of a surrogate is outside of the established retention time window, the analyst is advised to determine the cause and correct the problem before continuing analyses. </w:t>
      </w:r>
    </w:p>
    <w:p w14:paraId="287F6B0D" w14:textId="77777777" w:rsidR="00B56D50" w:rsidRDefault="001C3C42" w:rsidP="00AB7C3A">
      <w:pPr>
        <w:spacing w:after="0" w:line="259" w:lineRule="auto"/>
        <w:ind w:left="1800" w:right="0" w:firstLine="0"/>
      </w:pPr>
      <w:r>
        <w:t xml:space="preserve"> </w:t>
      </w:r>
    </w:p>
    <w:p w14:paraId="3B3AAC29" w14:textId="27A5CEA1" w:rsidR="00B56D50" w:rsidRPr="004F3F68" w:rsidRDefault="001C3C42" w:rsidP="00093377">
      <w:pPr>
        <w:pStyle w:val="ListParagraph"/>
        <w:numPr>
          <w:ilvl w:val="0"/>
          <w:numId w:val="18"/>
        </w:numPr>
        <w:ind w:left="1080" w:right="376" w:hanging="360"/>
        <w:rPr>
          <w:b/>
          <w:bCs/>
        </w:rPr>
      </w:pPr>
      <w:r w:rsidRPr="004F3F68">
        <w:rPr>
          <w:b/>
          <w:bCs/>
        </w:rPr>
        <w:t xml:space="preserve">Internal Standards </w:t>
      </w:r>
    </w:p>
    <w:p w14:paraId="54EB83F3" w14:textId="77777777" w:rsidR="00B56D50" w:rsidRDefault="001C3C42" w:rsidP="004F3F68">
      <w:pPr>
        <w:ind w:left="1090" w:right="255"/>
      </w:pPr>
      <w:r>
        <w:t>The Contractor shall spike all samples</w:t>
      </w:r>
      <w:r>
        <w:rPr>
          <w:b/>
        </w:rPr>
        <w:t xml:space="preserve"> </w:t>
      </w:r>
      <w:r>
        <w:t xml:space="preserve">(including matrix spike/matrix spike duplicate and matrix duplicate samples), standards, and blanks with the internal standards. </w:t>
      </w:r>
    </w:p>
    <w:p w14:paraId="6A31E00F" w14:textId="0A30A658" w:rsidR="00B56D50" w:rsidRDefault="00B56D50">
      <w:pPr>
        <w:spacing w:after="0" w:line="259" w:lineRule="auto"/>
        <w:ind w:left="1532" w:right="0" w:firstLine="0"/>
      </w:pPr>
    </w:p>
    <w:p w14:paraId="166D970A" w14:textId="3B3BC330" w:rsidR="00B56D50" w:rsidRDefault="001C3C42" w:rsidP="00093377">
      <w:pPr>
        <w:pStyle w:val="Heading6"/>
        <w:numPr>
          <w:ilvl w:val="0"/>
          <w:numId w:val="91"/>
        </w:numPr>
        <w:ind w:left="1800" w:right="186"/>
      </w:pPr>
      <w:r>
        <w:t xml:space="preserve">Choosing internal standards </w:t>
      </w:r>
    </w:p>
    <w:p w14:paraId="05480A37" w14:textId="77777777" w:rsidR="00B56D50" w:rsidRDefault="001C3C42" w:rsidP="004F3F68">
      <w:pPr>
        <w:ind w:left="1810" w:right="255"/>
      </w:pPr>
      <w:r>
        <w:t>The recommended internal standards are 1,4-dichlorobenzene-d</w:t>
      </w:r>
      <w:r>
        <w:rPr>
          <w:vertAlign w:val="subscript"/>
        </w:rPr>
        <w:t>4</w:t>
      </w:r>
      <w:r>
        <w:t>, naphthalene-d</w:t>
      </w:r>
      <w:r>
        <w:rPr>
          <w:vertAlign w:val="subscript"/>
        </w:rPr>
        <w:t>8</w:t>
      </w:r>
      <w:r>
        <w:t>, acenaphthene-d</w:t>
      </w:r>
      <w:r>
        <w:rPr>
          <w:vertAlign w:val="subscript"/>
        </w:rPr>
        <w:t>10</w:t>
      </w:r>
      <w:r>
        <w:t>, phenanthrene-d</w:t>
      </w:r>
      <w:r>
        <w:rPr>
          <w:vertAlign w:val="subscript"/>
        </w:rPr>
        <w:t>10</w:t>
      </w:r>
      <w:r>
        <w:t>, chrysene-d</w:t>
      </w:r>
      <w:r>
        <w:rPr>
          <w:vertAlign w:val="subscript"/>
        </w:rPr>
        <w:t>12</w:t>
      </w:r>
      <w:r>
        <w:t>, and perylene-d</w:t>
      </w:r>
      <w:r>
        <w:rPr>
          <w:vertAlign w:val="subscript"/>
        </w:rPr>
        <w:t>12</w:t>
      </w:r>
      <w:r>
        <w:t xml:space="preserve">.  Depending on the project target analytes, it may be appropriate to use other compounds as internal standards.  Other compounds may be used </w:t>
      </w:r>
      <w:proofErr w:type="gramStart"/>
      <w:r>
        <w:t>as long as</w:t>
      </w:r>
      <w:proofErr w:type="gramEnd"/>
      <w:r>
        <w:t xml:space="preserve"> they permit most components of interest in a chromatogram to have retention times of 0.80 - 1.20 relative to one of the internal standards.  </w:t>
      </w:r>
    </w:p>
    <w:p w14:paraId="37BCA092" w14:textId="77777777" w:rsidR="00B56D50" w:rsidRDefault="001C3C42">
      <w:pPr>
        <w:spacing w:after="0" w:line="259" w:lineRule="auto"/>
        <w:ind w:left="540" w:right="0" w:firstLine="0"/>
      </w:pPr>
      <w:r>
        <w:t xml:space="preserve">  </w:t>
      </w:r>
    </w:p>
    <w:p w14:paraId="5A68CA8B" w14:textId="2834F846" w:rsidR="00B56D50" w:rsidRDefault="001C3C42" w:rsidP="00093377">
      <w:pPr>
        <w:pStyle w:val="Heading6"/>
        <w:numPr>
          <w:ilvl w:val="0"/>
          <w:numId w:val="91"/>
        </w:numPr>
        <w:ind w:left="1800" w:right="186"/>
      </w:pPr>
      <w:r>
        <w:t xml:space="preserve">Control criteria for internal standards </w:t>
      </w:r>
    </w:p>
    <w:p w14:paraId="012F179B" w14:textId="776E2A26" w:rsidR="00B56D50" w:rsidRDefault="001C3C42" w:rsidP="004F3F68">
      <w:pPr>
        <w:ind w:left="1810" w:right="255"/>
      </w:pPr>
      <w:r>
        <w:t xml:space="preserve">Area counts of the internal standard peaks in the samples (environmental and QC) must be within 50-200% of the area of the corresponding peak in the 12-hour calibration verification standard.  The retention times for each internal standard in the sample must not vary by more than 30 seconds.  If these criteria are not met, the analysis of all affected samples must be repeated. </w:t>
      </w:r>
    </w:p>
    <w:p w14:paraId="06A95860" w14:textId="77777777" w:rsidR="00B56D50" w:rsidRDefault="001C3C42">
      <w:pPr>
        <w:spacing w:after="0" w:line="259" w:lineRule="auto"/>
        <w:ind w:left="540" w:right="0" w:firstLine="0"/>
      </w:pPr>
      <w:r>
        <w:t xml:space="preserve"> </w:t>
      </w:r>
    </w:p>
    <w:p w14:paraId="29AFFDCB" w14:textId="02DB7347" w:rsidR="00B56D50" w:rsidRDefault="001C3C42" w:rsidP="00093377">
      <w:pPr>
        <w:pStyle w:val="Heading6"/>
        <w:numPr>
          <w:ilvl w:val="0"/>
          <w:numId w:val="91"/>
        </w:numPr>
        <w:ind w:left="1800" w:right="186"/>
      </w:pPr>
      <w:r>
        <w:t xml:space="preserve">Assignment of internal standards for quantitation </w:t>
      </w:r>
    </w:p>
    <w:p w14:paraId="5FA82C72" w14:textId="2C20045C" w:rsidR="00B56D50" w:rsidRDefault="001C3C42" w:rsidP="004F3F68">
      <w:pPr>
        <w:ind w:left="1810" w:right="255"/>
      </w:pPr>
      <w:r>
        <w:t xml:space="preserve">The internal standard selected for quantitation of a particular target compound must be the internal standard that has a retention time closest to the retention time of the analyte being measured. TABLE </w:t>
      </w:r>
      <w:r w:rsidR="00B83842">
        <w:t>2</w:t>
      </w:r>
      <w:r w:rsidR="009744EC">
        <w:t>2</w:t>
      </w:r>
      <w:r>
        <w:t xml:space="preserve"> lists the possible assignment of target compounds to the recommended internal standards for quantitation. </w:t>
      </w:r>
    </w:p>
    <w:p w14:paraId="5F4FC09C" w14:textId="3CBA4739" w:rsidR="00037226" w:rsidRPr="00037226" w:rsidRDefault="00037226">
      <w:pPr>
        <w:spacing w:after="0" w:line="259" w:lineRule="auto"/>
        <w:ind w:left="540" w:right="0" w:firstLine="0"/>
        <w:rPr>
          <w:rFonts w:eastAsia="Arial"/>
        </w:rPr>
      </w:pPr>
    </w:p>
    <w:p w14:paraId="514B3324" w14:textId="4CF5D953" w:rsidR="009F36F7" w:rsidRDefault="009F36F7">
      <w:pPr>
        <w:spacing w:after="0" w:line="259" w:lineRule="auto"/>
        <w:ind w:left="540" w:right="0" w:firstLine="0"/>
        <w:rPr>
          <w:rFonts w:eastAsia="Arial"/>
        </w:rPr>
      </w:pPr>
    </w:p>
    <w:p w14:paraId="547FD5B5" w14:textId="77777777" w:rsidR="009F36F7" w:rsidRPr="00037226" w:rsidRDefault="009F36F7">
      <w:pPr>
        <w:spacing w:after="0" w:line="259" w:lineRule="auto"/>
        <w:ind w:left="540" w:right="0" w:firstLine="0"/>
        <w:rPr>
          <w:rFonts w:eastAsia="Arial"/>
        </w:rPr>
      </w:pPr>
    </w:p>
    <w:p w14:paraId="4FECB21F" w14:textId="7C24A788" w:rsidR="00037226" w:rsidRPr="00037226" w:rsidRDefault="00037226">
      <w:pPr>
        <w:spacing w:after="0" w:line="259" w:lineRule="auto"/>
        <w:ind w:left="540" w:right="0" w:firstLine="0"/>
        <w:rPr>
          <w:rFonts w:eastAsia="Arial"/>
        </w:rPr>
      </w:pPr>
    </w:p>
    <w:p w14:paraId="6E0A5F4D" w14:textId="77777777" w:rsidR="00B56D50" w:rsidRDefault="00B56D50">
      <w:pPr>
        <w:sectPr w:rsidR="00B56D50" w:rsidSect="00BB5A0E">
          <w:headerReference w:type="even" r:id="rId62"/>
          <w:headerReference w:type="default" r:id="rId63"/>
          <w:footerReference w:type="even" r:id="rId64"/>
          <w:footerReference w:type="default" r:id="rId65"/>
          <w:headerReference w:type="first" r:id="rId66"/>
          <w:footerReference w:type="first" r:id="rId67"/>
          <w:pgSz w:w="12240" w:h="15840"/>
          <w:pgMar w:top="724" w:right="830" w:bottom="723" w:left="900" w:header="720" w:footer="720" w:gutter="0"/>
          <w:cols w:space="720"/>
          <w:titlePg/>
          <w:docGrid w:linePitch="299"/>
        </w:sectPr>
      </w:pPr>
    </w:p>
    <w:p w14:paraId="2D191570" w14:textId="2278DFAC" w:rsidR="00B56D50" w:rsidRDefault="001C3C42" w:rsidP="004F3F68">
      <w:pPr>
        <w:spacing w:after="43" w:line="259" w:lineRule="auto"/>
        <w:ind w:left="0" w:right="0" w:firstLine="0"/>
      </w:pPr>
      <w:r>
        <w:rPr>
          <w:rFonts w:ascii="Arial" w:eastAsia="Arial" w:hAnsi="Arial" w:cs="Arial"/>
          <w:sz w:val="24"/>
        </w:rPr>
        <w:lastRenderedPageBreak/>
        <w:t xml:space="preserve"> </w:t>
      </w:r>
      <w:r>
        <w:rPr>
          <w:rFonts w:ascii="Arial" w:eastAsia="Arial" w:hAnsi="Arial" w:cs="Arial"/>
          <w:b/>
        </w:rPr>
        <w:t xml:space="preserve"> </w:t>
      </w:r>
    </w:p>
    <w:p w14:paraId="36584661" w14:textId="6BCEF10F" w:rsidR="00B56D50" w:rsidRDefault="001C3C42">
      <w:pPr>
        <w:pStyle w:val="Heading5"/>
        <w:ind w:left="1024" w:right="710"/>
      </w:pPr>
      <w:r>
        <w:t xml:space="preserve">TABLE </w:t>
      </w:r>
      <w:r w:rsidR="00B83842">
        <w:t>2</w:t>
      </w:r>
      <w:r w:rsidR="00D13426">
        <w:t>2</w:t>
      </w:r>
      <w:r>
        <w:t xml:space="preserve"> </w:t>
      </w:r>
    </w:p>
    <w:p w14:paraId="7390B5CD" w14:textId="71D6775F" w:rsidR="00B56D50" w:rsidRDefault="001C3C42">
      <w:pPr>
        <w:pStyle w:val="Heading6"/>
        <w:ind w:left="2953" w:right="186"/>
      </w:pPr>
      <w:r>
        <w:t>Semi</w:t>
      </w:r>
      <w:r w:rsidR="0023647E">
        <w:t>-</w:t>
      </w:r>
      <w:r>
        <w:t xml:space="preserve">volatile Internal Standards with Corresponding Analytes Assigned for Quantitation </w:t>
      </w:r>
    </w:p>
    <w:p w14:paraId="119B6D04" w14:textId="49D84CCD" w:rsidR="00B56D50" w:rsidRDefault="001C3C42">
      <w:pPr>
        <w:spacing w:after="0" w:line="259" w:lineRule="auto"/>
        <w:ind w:left="349" w:right="0" w:firstLine="0"/>
        <w:jc w:val="center"/>
      </w:pPr>
      <w:r>
        <w:rPr>
          <w:rFonts w:ascii="Arial" w:eastAsia="Arial" w:hAnsi="Arial" w:cs="Arial"/>
          <w:b/>
          <w:sz w:val="16"/>
        </w:rPr>
        <w:t xml:space="preserve"> </w:t>
      </w:r>
    </w:p>
    <w:tbl>
      <w:tblPr>
        <w:tblStyle w:val="TableGrid1"/>
        <w:tblW w:w="14683" w:type="dxa"/>
        <w:tblInd w:w="91" w:type="dxa"/>
        <w:tblCellMar>
          <w:left w:w="84" w:type="dxa"/>
          <w:right w:w="61" w:type="dxa"/>
        </w:tblCellMar>
        <w:tblLook w:val="04A0" w:firstRow="1" w:lastRow="0" w:firstColumn="1" w:lastColumn="0" w:noHBand="0" w:noVBand="1"/>
      </w:tblPr>
      <w:tblGrid>
        <w:gridCol w:w="2429"/>
        <w:gridCol w:w="2567"/>
        <w:gridCol w:w="2385"/>
        <w:gridCol w:w="2340"/>
        <w:gridCol w:w="2413"/>
        <w:gridCol w:w="2549"/>
      </w:tblGrid>
      <w:tr w:rsidR="00B56D50" w14:paraId="3A90C3C6" w14:textId="77777777" w:rsidTr="001C4F03">
        <w:trPr>
          <w:trHeight w:val="439"/>
        </w:trPr>
        <w:tc>
          <w:tcPr>
            <w:tcW w:w="2429" w:type="dxa"/>
            <w:tcBorders>
              <w:top w:val="single" w:sz="12" w:space="0" w:color="000000"/>
              <w:left w:val="single" w:sz="12" w:space="0" w:color="000000"/>
              <w:bottom w:val="single" w:sz="12" w:space="0" w:color="000000"/>
              <w:right w:val="single" w:sz="12" w:space="0" w:color="000000"/>
            </w:tcBorders>
            <w:vAlign w:val="center"/>
          </w:tcPr>
          <w:p w14:paraId="12B1E987" w14:textId="67F5EB79" w:rsidR="00B56D50" w:rsidRDefault="001C3C42">
            <w:pPr>
              <w:spacing w:after="0" w:line="259" w:lineRule="auto"/>
              <w:ind w:left="0" w:right="28" w:firstLine="0"/>
              <w:jc w:val="center"/>
            </w:pPr>
            <w:r>
              <w:rPr>
                <w:b/>
                <w:sz w:val="20"/>
              </w:rPr>
              <w:t>1,4-Dichlorobenzene-d</w:t>
            </w:r>
            <w:r>
              <w:rPr>
                <w:b/>
                <w:sz w:val="20"/>
                <w:vertAlign w:val="subscript"/>
              </w:rPr>
              <w:t>4</w:t>
            </w:r>
          </w:p>
        </w:tc>
        <w:tc>
          <w:tcPr>
            <w:tcW w:w="2567" w:type="dxa"/>
            <w:tcBorders>
              <w:top w:val="single" w:sz="12" w:space="0" w:color="000000"/>
              <w:left w:val="single" w:sz="12" w:space="0" w:color="000000"/>
              <w:bottom w:val="single" w:sz="12" w:space="0" w:color="000000"/>
              <w:right w:val="single" w:sz="12" w:space="0" w:color="000000"/>
            </w:tcBorders>
            <w:vAlign w:val="center"/>
          </w:tcPr>
          <w:p w14:paraId="4E58A6ED" w14:textId="60576369" w:rsidR="00B56D50" w:rsidRDefault="001C3C42">
            <w:pPr>
              <w:spacing w:after="0" w:line="259" w:lineRule="auto"/>
              <w:ind w:left="0" w:right="28" w:firstLine="0"/>
              <w:jc w:val="center"/>
            </w:pPr>
            <w:r>
              <w:rPr>
                <w:b/>
                <w:sz w:val="20"/>
              </w:rPr>
              <w:t>Naphthalene-d</w:t>
            </w:r>
            <w:r>
              <w:rPr>
                <w:b/>
                <w:sz w:val="20"/>
                <w:vertAlign w:val="subscript"/>
              </w:rPr>
              <w:t>8</w:t>
            </w:r>
          </w:p>
        </w:tc>
        <w:tc>
          <w:tcPr>
            <w:tcW w:w="2385" w:type="dxa"/>
            <w:tcBorders>
              <w:top w:val="single" w:sz="12" w:space="0" w:color="000000"/>
              <w:left w:val="single" w:sz="12" w:space="0" w:color="000000"/>
              <w:bottom w:val="single" w:sz="12" w:space="0" w:color="000000"/>
              <w:right w:val="single" w:sz="12" w:space="0" w:color="000000"/>
            </w:tcBorders>
            <w:vAlign w:val="center"/>
          </w:tcPr>
          <w:p w14:paraId="3A08A57E" w14:textId="138DA6E9" w:rsidR="00B56D50" w:rsidRDefault="001C3C42">
            <w:pPr>
              <w:spacing w:after="0" w:line="259" w:lineRule="auto"/>
              <w:ind w:left="0" w:right="32" w:firstLine="0"/>
              <w:jc w:val="center"/>
            </w:pPr>
            <w:r>
              <w:rPr>
                <w:b/>
                <w:sz w:val="20"/>
              </w:rPr>
              <w:t>Acenaphthene-d</w:t>
            </w:r>
            <w:r>
              <w:rPr>
                <w:b/>
                <w:sz w:val="20"/>
                <w:vertAlign w:val="subscript"/>
              </w:rPr>
              <w:t>10</w:t>
            </w:r>
          </w:p>
        </w:tc>
        <w:tc>
          <w:tcPr>
            <w:tcW w:w="2340" w:type="dxa"/>
            <w:tcBorders>
              <w:top w:val="single" w:sz="12" w:space="0" w:color="000000"/>
              <w:left w:val="single" w:sz="12" w:space="0" w:color="000000"/>
              <w:bottom w:val="single" w:sz="12" w:space="0" w:color="000000"/>
              <w:right w:val="single" w:sz="12" w:space="0" w:color="000000"/>
            </w:tcBorders>
            <w:vAlign w:val="center"/>
          </w:tcPr>
          <w:p w14:paraId="78C1B2FA" w14:textId="3C490479" w:rsidR="00B56D50" w:rsidRDefault="001C3C42">
            <w:pPr>
              <w:spacing w:after="0" w:line="259" w:lineRule="auto"/>
              <w:ind w:left="0" w:right="33" w:firstLine="0"/>
              <w:jc w:val="center"/>
            </w:pPr>
            <w:r>
              <w:rPr>
                <w:b/>
                <w:sz w:val="20"/>
              </w:rPr>
              <w:t>Phenanthrene-d</w:t>
            </w:r>
            <w:r>
              <w:rPr>
                <w:b/>
                <w:sz w:val="20"/>
                <w:vertAlign w:val="subscript"/>
              </w:rPr>
              <w:t>10</w:t>
            </w:r>
          </w:p>
        </w:tc>
        <w:tc>
          <w:tcPr>
            <w:tcW w:w="2413" w:type="dxa"/>
            <w:tcBorders>
              <w:top w:val="single" w:sz="12" w:space="0" w:color="000000"/>
              <w:left w:val="single" w:sz="12" w:space="0" w:color="000000"/>
              <w:bottom w:val="single" w:sz="12" w:space="0" w:color="000000"/>
              <w:right w:val="single" w:sz="12" w:space="0" w:color="000000"/>
            </w:tcBorders>
            <w:vAlign w:val="center"/>
          </w:tcPr>
          <w:p w14:paraId="39FC29B7" w14:textId="583D68E7" w:rsidR="00B56D50" w:rsidRDefault="001C3C42">
            <w:pPr>
              <w:spacing w:after="0" w:line="259" w:lineRule="auto"/>
              <w:ind w:left="0" w:right="31" w:firstLine="0"/>
              <w:jc w:val="center"/>
            </w:pPr>
            <w:r>
              <w:rPr>
                <w:b/>
                <w:sz w:val="20"/>
              </w:rPr>
              <w:t>Chrysene-d</w:t>
            </w:r>
            <w:r>
              <w:rPr>
                <w:b/>
                <w:sz w:val="20"/>
                <w:vertAlign w:val="subscript"/>
              </w:rPr>
              <w:t>12</w:t>
            </w:r>
          </w:p>
        </w:tc>
        <w:tc>
          <w:tcPr>
            <w:tcW w:w="2549" w:type="dxa"/>
            <w:tcBorders>
              <w:top w:val="single" w:sz="12" w:space="0" w:color="000000"/>
              <w:left w:val="single" w:sz="12" w:space="0" w:color="000000"/>
              <w:bottom w:val="single" w:sz="12" w:space="0" w:color="000000"/>
              <w:right w:val="single" w:sz="12" w:space="0" w:color="000000"/>
            </w:tcBorders>
            <w:vAlign w:val="center"/>
          </w:tcPr>
          <w:p w14:paraId="19D925ED" w14:textId="46EE42AE" w:rsidR="00B56D50" w:rsidRDefault="001C3C42">
            <w:pPr>
              <w:spacing w:after="0" w:line="259" w:lineRule="auto"/>
              <w:ind w:left="0" w:right="26" w:firstLine="0"/>
              <w:jc w:val="center"/>
            </w:pPr>
            <w:r>
              <w:rPr>
                <w:b/>
                <w:sz w:val="20"/>
              </w:rPr>
              <w:t>Perylene-d</w:t>
            </w:r>
            <w:r>
              <w:rPr>
                <w:b/>
                <w:sz w:val="20"/>
                <w:vertAlign w:val="subscript"/>
              </w:rPr>
              <w:t>12</w:t>
            </w:r>
          </w:p>
        </w:tc>
      </w:tr>
      <w:tr w:rsidR="00B56D50" w:rsidRPr="003851F0" w14:paraId="594ABB64" w14:textId="77777777" w:rsidTr="001C4F03">
        <w:trPr>
          <w:trHeight w:val="6354"/>
        </w:trPr>
        <w:tc>
          <w:tcPr>
            <w:tcW w:w="2429" w:type="dxa"/>
            <w:tcBorders>
              <w:top w:val="single" w:sz="12" w:space="0" w:color="000000"/>
              <w:left w:val="single" w:sz="12" w:space="0" w:color="000000"/>
              <w:bottom w:val="single" w:sz="12" w:space="0" w:color="000000"/>
              <w:right w:val="single" w:sz="12" w:space="0" w:color="000000"/>
            </w:tcBorders>
          </w:tcPr>
          <w:p w14:paraId="5EB35221" w14:textId="77777777" w:rsidR="00B56D50" w:rsidRPr="0038014B" w:rsidRDefault="001C3C42">
            <w:pPr>
              <w:spacing w:after="0" w:line="259" w:lineRule="auto"/>
              <w:ind w:left="0" w:right="0" w:firstLine="0"/>
              <w:rPr>
                <w:sz w:val="18"/>
                <w:szCs w:val="18"/>
              </w:rPr>
            </w:pPr>
            <w:r w:rsidRPr="003851F0">
              <w:rPr>
                <w:b/>
                <w:sz w:val="20"/>
              </w:rPr>
              <w:t xml:space="preserve"> </w:t>
            </w:r>
          </w:p>
          <w:p w14:paraId="24CDD239" w14:textId="77777777" w:rsidR="00474AA3" w:rsidRPr="0038014B" w:rsidRDefault="001C3C42">
            <w:pPr>
              <w:spacing w:after="0" w:line="259" w:lineRule="auto"/>
              <w:ind w:left="0" w:right="0" w:firstLine="0"/>
              <w:rPr>
                <w:sz w:val="18"/>
                <w:szCs w:val="18"/>
              </w:rPr>
            </w:pPr>
            <w:r w:rsidRPr="0038014B">
              <w:rPr>
                <w:sz w:val="18"/>
                <w:szCs w:val="18"/>
              </w:rPr>
              <w:t>Aniline</w:t>
            </w:r>
          </w:p>
          <w:p w14:paraId="2062959B" w14:textId="151D50A5" w:rsidR="00B56D50" w:rsidRPr="0038014B" w:rsidRDefault="00474AA3">
            <w:pPr>
              <w:spacing w:after="0" w:line="259" w:lineRule="auto"/>
              <w:ind w:left="0" w:right="0" w:firstLine="0"/>
              <w:rPr>
                <w:sz w:val="18"/>
                <w:szCs w:val="18"/>
              </w:rPr>
            </w:pPr>
            <w:r w:rsidRPr="0038014B">
              <w:rPr>
                <w:sz w:val="18"/>
                <w:szCs w:val="18"/>
              </w:rPr>
              <w:t>Benzaldehyde</w:t>
            </w:r>
            <w:r w:rsidR="001C3C42" w:rsidRPr="0038014B">
              <w:rPr>
                <w:sz w:val="18"/>
                <w:szCs w:val="18"/>
              </w:rPr>
              <w:t xml:space="preserve"> </w:t>
            </w:r>
          </w:p>
          <w:p w14:paraId="01121814" w14:textId="77777777" w:rsidR="00B56D50" w:rsidRPr="0038014B" w:rsidRDefault="001C3C42">
            <w:pPr>
              <w:spacing w:after="0" w:line="259" w:lineRule="auto"/>
              <w:ind w:left="0" w:right="0" w:firstLine="0"/>
              <w:rPr>
                <w:sz w:val="18"/>
                <w:szCs w:val="18"/>
              </w:rPr>
            </w:pPr>
            <w:r w:rsidRPr="0038014B">
              <w:rPr>
                <w:sz w:val="18"/>
                <w:szCs w:val="18"/>
              </w:rPr>
              <w:t xml:space="preserve">Benzyl alcohol </w:t>
            </w:r>
          </w:p>
          <w:p w14:paraId="2E3276A8" w14:textId="15F7D6EF" w:rsidR="00B56D50" w:rsidRPr="0038014B" w:rsidRDefault="001C3C42">
            <w:pPr>
              <w:spacing w:after="0" w:line="259" w:lineRule="auto"/>
              <w:ind w:left="0" w:right="0" w:firstLine="0"/>
              <w:rPr>
                <w:sz w:val="18"/>
                <w:szCs w:val="18"/>
              </w:rPr>
            </w:pPr>
            <w:r w:rsidRPr="0038014B">
              <w:rPr>
                <w:sz w:val="18"/>
                <w:szCs w:val="18"/>
              </w:rPr>
              <w:t>Bis(2-</w:t>
            </w:r>
            <w:r w:rsidR="00EC4C5A" w:rsidRPr="0038014B">
              <w:rPr>
                <w:sz w:val="18"/>
                <w:szCs w:val="18"/>
              </w:rPr>
              <w:t>chloroethyl) ether</w:t>
            </w:r>
            <w:r w:rsidRPr="0038014B">
              <w:rPr>
                <w:sz w:val="18"/>
                <w:szCs w:val="18"/>
              </w:rPr>
              <w:t xml:space="preserve"> </w:t>
            </w:r>
          </w:p>
          <w:p w14:paraId="60FED822" w14:textId="60738EEB" w:rsidR="00B56D50" w:rsidRPr="0038014B" w:rsidRDefault="001C3C42">
            <w:pPr>
              <w:spacing w:after="0" w:line="259" w:lineRule="auto"/>
              <w:ind w:left="0" w:right="0" w:firstLine="0"/>
              <w:rPr>
                <w:sz w:val="18"/>
                <w:szCs w:val="18"/>
              </w:rPr>
            </w:pPr>
            <w:r w:rsidRPr="0038014B">
              <w:rPr>
                <w:sz w:val="18"/>
                <w:szCs w:val="18"/>
              </w:rPr>
              <w:t>Bis(2-</w:t>
            </w:r>
            <w:r w:rsidR="00EC4C5A" w:rsidRPr="0038014B">
              <w:rPr>
                <w:sz w:val="18"/>
                <w:szCs w:val="18"/>
              </w:rPr>
              <w:t>chloroisopropyl) ether</w:t>
            </w:r>
            <w:r w:rsidRPr="0038014B">
              <w:rPr>
                <w:sz w:val="18"/>
                <w:szCs w:val="18"/>
              </w:rPr>
              <w:t xml:space="preserve"> </w:t>
            </w:r>
          </w:p>
          <w:p w14:paraId="2BB6722C" w14:textId="77777777" w:rsidR="00B56D50" w:rsidRPr="0038014B" w:rsidRDefault="001C3C42" w:rsidP="00B97817">
            <w:pPr>
              <w:spacing w:after="0" w:line="259" w:lineRule="auto"/>
              <w:ind w:right="0"/>
              <w:rPr>
                <w:sz w:val="18"/>
                <w:szCs w:val="18"/>
              </w:rPr>
            </w:pPr>
            <w:r w:rsidRPr="0038014B">
              <w:rPr>
                <w:sz w:val="18"/>
                <w:szCs w:val="18"/>
              </w:rPr>
              <w:t xml:space="preserve">2-Chlorophenol </w:t>
            </w:r>
          </w:p>
          <w:p w14:paraId="1146CDAA" w14:textId="77777777" w:rsidR="00B56D50" w:rsidRPr="0038014B" w:rsidRDefault="001C3C42">
            <w:pPr>
              <w:spacing w:after="0" w:line="259" w:lineRule="auto"/>
              <w:ind w:left="0" w:right="0" w:firstLine="0"/>
              <w:rPr>
                <w:sz w:val="18"/>
                <w:szCs w:val="18"/>
              </w:rPr>
            </w:pPr>
            <w:r w:rsidRPr="0038014B">
              <w:rPr>
                <w:sz w:val="18"/>
                <w:szCs w:val="18"/>
              </w:rPr>
              <w:t xml:space="preserve">1,2-Dichlorobenzene </w:t>
            </w:r>
          </w:p>
          <w:p w14:paraId="644CB7C4" w14:textId="77777777" w:rsidR="00B56D50" w:rsidRPr="0038014B" w:rsidRDefault="001C3C42">
            <w:pPr>
              <w:spacing w:after="0" w:line="259" w:lineRule="auto"/>
              <w:ind w:left="0" w:right="0" w:firstLine="0"/>
              <w:rPr>
                <w:sz w:val="18"/>
                <w:szCs w:val="18"/>
              </w:rPr>
            </w:pPr>
            <w:r w:rsidRPr="0038014B">
              <w:rPr>
                <w:sz w:val="18"/>
                <w:szCs w:val="18"/>
              </w:rPr>
              <w:t xml:space="preserve">1,3-Dichlorobenzene </w:t>
            </w:r>
          </w:p>
          <w:p w14:paraId="6E32BF34" w14:textId="77777777" w:rsidR="00B56D50" w:rsidRPr="0038014B" w:rsidRDefault="001C3C42">
            <w:pPr>
              <w:spacing w:after="0" w:line="259" w:lineRule="auto"/>
              <w:ind w:left="0" w:right="0" w:firstLine="0"/>
              <w:rPr>
                <w:sz w:val="18"/>
                <w:szCs w:val="18"/>
              </w:rPr>
            </w:pPr>
            <w:r w:rsidRPr="0038014B">
              <w:rPr>
                <w:sz w:val="18"/>
                <w:szCs w:val="18"/>
              </w:rPr>
              <w:t xml:space="preserve">1,4-Dichlorobenzene </w:t>
            </w:r>
          </w:p>
          <w:p w14:paraId="2BDE2866" w14:textId="77777777" w:rsidR="00B56D50" w:rsidRPr="0038014B" w:rsidRDefault="001C3C42">
            <w:pPr>
              <w:spacing w:after="0" w:line="259" w:lineRule="auto"/>
              <w:ind w:left="0" w:right="0" w:firstLine="0"/>
              <w:rPr>
                <w:sz w:val="18"/>
                <w:szCs w:val="18"/>
              </w:rPr>
            </w:pPr>
            <w:r w:rsidRPr="0038014B">
              <w:rPr>
                <w:sz w:val="18"/>
                <w:szCs w:val="18"/>
              </w:rPr>
              <w:t xml:space="preserve">Ethyl </w:t>
            </w:r>
            <w:proofErr w:type="spellStart"/>
            <w:r w:rsidRPr="0038014B">
              <w:rPr>
                <w:sz w:val="18"/>
                <w:szCs w:val="18"/>
              </w:rPr>
              <w:t>methanesulfonate</w:t>
            </w:r>
            <w:proofErr w:type="spellEnd"/>
            <w:r w:rsidRPr="0038014B">
              <w:rPr>
                <w:sz w:val="18"/>
                <w:szCs w:val="18"/>
              </w:rPr>
              <w:t xml:space="preserve"> </w:t>
            </w:r>
          </w:p>
          <w:p w14:paraId="04C0AA4C" w14:textId="7140F206" w:rsidR="00B56D50" w:rsidRPr="0038014B" w:rsidRDefault="001C3C42">
            <w:pPr>
              <w:spacing w:after="0" w:line="259" w:lineRule="auto"/>
              <w:ind w:left="0" w:right="0" w:firstLine="0"/>
              <w:rPr>
                <w:sz w:val="18"/>
                <w:szCs w:val="18"/>
              </w:rPr>
            </w:pPr>
            <w:r w:rsidRPr="0038014B">
              <w:rPr>
                <w:sz w:val="18"/>
                <w:szCs w:val="18"/>
              </w:rPr>
              <w:t xml:space="preserve">2-Fluorophenol </w:t>
            </w:r>
            <w:r w:rsidRPr="0038014B">
              <w:rPr>
                <w:i/>
                <w:sz w:val="18"/>
                <w:szCs w:val="18"/>
              </w:rPr>
              <w:t>(</w:t>
            </w:r>
            <w:proofErr w:type="spellStart"/>
            <w:r w:rsidRPr="0038014B">
              <w:rPr>
                <w:i/>
                <w:sz w:val="18"/>
                <w:szCs w:val="18"/>
              </w:rPr>
              <w:t>surr</w:t>
            </w:r>
            <w:proofErr w:type="spellEnd"/>
            <w:r w:rsidRPr="0038014B">
              <w:rPr>
                <w:i/>
                <w:sz w:val="18"/>
                <w:szCs w:val="18"/>
              </w:rPr>
              <w:t>)</w:t>
            </w:r>
            <w:r w:rsidRPr="0038014B">
              <w:rPr>
                <w:sz w:val="18"/>
                <w:szCs w:val="18"/>
              </w:rPr>
              <w:t xml:space="preserve"> </w:t>
            </w:r>
          </w:p>
          <w:p w14:paraId="6E51E5E5" w14:textId="77777777" w:rsidR="00B56D50" w:rsidRPr="0038014B" w:rsidRDefault="001C3C42">
            <w:pPr>
              <w:spacing w:after="0" w:line="259" w:lineRule="auto"/>
              <w:ind w:left="0" w:right="0" w:firstLine="0"/>
              <w:rPr>
                <w:sz w:val="18"/>
                <w:szCs w:val="18"/>
              </w:rPr>
            </w:pPr>
            <w:r w:rsidRPr="0038014B">
              <w:rPr>
                <w:sz w:val="18"/>
                <w:szCs w:val="18"/>
              </w:rPr>
              <w:t xml:space="preserve">Hexachloroethane </w:t>
            </w:r>
          </w:p>
          <w:p w14:paraId="56ED7C8C" w14:textId="77777777" w:rsidR="00B56D50" w:rsidRPr="0038014B" w:rsidRDefault="001C3C42">
            <w:pPr>
              <w:spacing w:after="0" w:line="259" w:lineRule="auto"/>
              <w:ind w:left="0" w:right="0" w:firstLine="0"/>
              <w:rPr>
                <w:sz w:val="18"/>
                <w:szCs w:val="18"/>
              </w:rPr>
            </w:pPr>
            <w:r w:rsidRPr="0038014B">
              <w:rPr>
                <w:sz w:val="18"/>
                <w:szCs w:val="18"/>
              </w:rPr>
              <w:t xml:space="preserve">Methyl </w:t>
            </w:r>
            <w:proofErr w:type="spellStart"/>
            <w:r w:rsidRPr="0038014B">
              <w:rPr>
                <w:sz w:val="18"/>
                <w:szCs w:val="18"/>
              </w:rPr>
              <w:t>methanesulfonate</w:t>
            </w:r>
            <w:proofErr w:type="spellEnd"/>
            <w:r w:rsidRPr="0038014B">
              <w:rPr>
                <w:sz w:val="18"/>
                <w:szCs w:val="18"/>
              </w:rPr>
              <w:t xml:space="preserve"> </w:t>
            </w:r>
          </w:p>
          <w:p w14:paraId="6FCFF886" w14:textId="77777777" w:rsidR="00B56D50" w:rsidRPr="0038014B" w:rsidRDefault="001C3C42">
            <w:pPr>
              <w:spacing w:after="0" w:line="259" w:lineRule="auto"/>
              <w:ind w:left="0" w:right="0" w:firstLine="0"/>
              <w:rPr>
                <w:sz w:val="18"/>
                <w:szCs w:val="18"/>
              </w:rPr>
            </w:pPr>
            <w:r w:rsidRPr="0038014B">
              <w:rPr>
                <w:sz w:val="18"/>
                <w:szCs w:val="18"/>
              </w:rPr>
              <w:t xml:space="preserve">2-Methylphenol </w:t>
            </w:r>
          </w:p>
          <w:p w14:paraId="187E1B94" w14:textId="77777777" w:rsidR="00B56D50" w:rsidRPr="0038014B" w:rsidRDefault="001C3C42">
            <w:pPr>
              <w:spacing w:after="0" w:line="259" w:lineRule="auto"/>
              <w:ind w:left="0" w:right="0" w:firstLine="0"/>
              <w:rPr>
                <w:sz w:val="18"/>
                <w:szCs w:val="18"/>
              </w:rPr>
            </w:pPr>
            <w:r w:rsidRPr="0038014B">
              <w:rPr>
                <w:sz w:val="18"/>
                <w:szCs w:val="18"/>
              </w:rPr>
              <w:t xml:space="preserve">4-Methylphenol </w:t>
            </w:r>
          </w:p>
          <w:p w14:paraId="38F4A9A6" w14:textId="77777777" w:rsidR="00B56D50" w:rsidRPr="0038014B" w:rsidRDefault="001C3C42">
            <w:pPr>
              <w:spacing w:after="0" w:line="259" w:lineRule="auto"/>
              <w:ind w:left="0" w:right="0" w:firstLine="0"/>
              <w:rPr>
                <w:sz w:val="18"/>
                <w:szCs w:val="18"/>
              </w:rPr>
            </w:pPr>
            <w:r w:rsidRPr="0038014B">
              <w:rPr>
                <w:sz w:val="18"/>
                <w:szCs w:val="18"/>
              </w:rPr>
              <w:t>N-</w:t>
            </w:r>
            <w:proofErr w:type="spellStart"/>
            <w:r w:rsidRPr="0038014B">
              <w:rPr>
                <w:sz w:val="18"/>
                <w:szCs w:val="18"/>
              </w:rPr>
              <w:t>Nitrosodimethylamine</w:t>
            </w:r>
            <w:proofErr w:type="spellEnd"/>
            <w:r w:rsidRPr="0038014B">
              <w:rPr>
                <w:sz w:val="18"/>
                <w:szCs w:val="18"/>
              </w:rPr>
              <w:t xml:space="preserve"> </w:t>
            </w:r>
          </w:p>
          <w:p w14:paraId="1D1D1794" w14:textId="77777777" w:rsidR="00B56D50" w:rsidRPr="0038014B" w:rsidRDefault="001C3C42">
            <w:pPr>
              <w:spacing w:after="0" w:line="240" w:lineRule="auto"/>
              <w:ind w:left="0" w:right="11" w:firstLine="0"/>
              <w:rPr>
                <w:sz w:val="18"/>
                <w:szCs w:val="18"/>
              </w:rPr>
            </w:pPr>
            <w:r w:rsidRPr="0038014B">
              <w:rPr>
                <w:sz w:val="18"/>
                <w:szCs w:val="18"/>
              </w:rPr>
              <w:t>N-Nitroso-di-</w:t>
            </w:r>
            <w:proofErr w:type="spellStart"/>
            <w:r w:rsidRPr="0038014B">
              <w:rPr>
                <w:sz w:val="18"/>
                <w:szCs w:val="18"/>
              </w:rPr>
              <w:t>npropylamine</w:t>
            </w:r>
            <w:proofErr w:type="spellEnd"/>
            <w:r w:rsidRPr="0038014B">
              <w:rPr>
                <w:sz w:val="18"/>
                <w:szCs w:val="18"/>
              </w:rPr>
              <w:t xml:space="preserve"> </w:t>
            </w:r>
          </w:p>
          <w:p w14:paraId="001E4D2E" w14:textId="77777777" w:rsidR="00B56D50" w:rsidRPr="0038014B" w:rsidRDefault="001C3C42">
            <w:pPr>
              <w:spacing w:after="0" w:line="259" w:lineRule="auto"/>
              <w:ind w:left="0" w:right="0" w:firstLine="0"/>
              <w:rPr>
                <w:sz w:val="18"/>
                <w:szCs w:val="18"/>
              </w:rPr>
            </w:pPr>
            <w:r w:rsidRPr="0038014B">
              <w:rPr>
                <w:sz w:val="18"/>
                <w:szCs w:val="18"/>
              </w:rPr>
              <w:t xml:space="preserve">Phenol </w:t>
            </w:r>
          </w:p>
          <w:p w14:paraId="0369607A" w14:textId="6391CF55" w:rsidR="00BD6A2A" w:rsidRPr="0038014B" w:rsidRDefault="001C3C42">
            <w:pPr>
              <w:spacing w:after="0" w:line="259" w:lineRule="auto"/>
              <w:ind w:left="0" w:right="0" w:firstLine="0"/>
              <w:rPr>
                <w:i/>
                <w:sz w:val="18"/>
                <w:szCs w:val="18"/>
              </w:rPr>
            </w:pPr>
            <w:r w:rsidRPr="0038014B">
              <w:rPr>
                <w:sz w:val="18"/>
                <w:szCs w:val="18"/>
              </w:rPr>
              <w:t>Phenol-d</w:t>
            </w:r>
            <w:r w:rsidR="00EC4C5A" w:rsidRPr="0038014B">
              <w:rPr>
                <w:sz w:val="18"/>
                <w:szCs w:val="18"/>
                <w:vertAlign w:val="subscript"/>
              </w:rPr>
              <w:t>6</w:t>
            </w:r>
            <w:r w:rsidR="00EC4C5A" w:rsidRPr="0038014B">
              <w:rPr>
                <w:sz w:val="18"/>
                <w:szCs w:val="18"/>
              </w:rPr>
              <w:t xml:space="preserve"> </w:t>
            </w:r>
            <w:r w:rsidR="00EC4C5A" w:rsidRPr="0038014B">
              <w:rPr>
                <w:i/>
                <w:sz w:val="18"/>
                <w:szCs w:val="18"/>
              </w:rPr>
              <w:t>(</w:t>
            </w:r>
            <w:proofErr w:type="spellStart"/>
            <w:r w:rsidRPr="0038014B">
              <w:rPr>
                <w:i/>
                <w:sz w:val="18"/>
                <w:szCs w:val="18"/>
              </w:rPr>
              <w:t>surr</w:t>
            </w:r>
            <w:proofErr w:type="spellEnd"/>
            <w:r w:rsidRPr="0038014B">
              <w:rPr>
                <w:i/>
                <w:sz w:val="18"/>
                <w:szCs w:val="18"/>
              </w:rPr>
              <w:t>)</w:t>
            </w:r>
          </w:p>
          <w:p w14:paraId="25838AF8" w14:textId="54DFE8F9" w:rsidR="00B56D50" w:rsidRPr="0038014B" w:rsidRDefault="00BD6A2A">
            <w:pPr>
              <w:spacing w:after="0" w:line="259" w:lineRule="auto"/>
              <w:ind w:left="0" w:right="0" w:firstLine="0"/>
              <w:rPr>
                <w:sz w:val="18"/>
                <w:szCs w:val="18"/>
              </w:rPr>
            </w:pPr>
            <w:r w:rsidRPr="0038014B">
              <w:rPr>
                <w:iCs/>
                <w:sz w:val="18"/>
                <w:szCs w:val="18"/>
              </w:rPr>
              <w:t>Pyridine</w:t>
            </w:r>
            <w:r w:rsidR="001C3C42" w:rsidRPr="0038014B">
              <w:rPr>
                <w:sz w:val="18"/>
                <w:szCs w:val="18"/>
              </w:rPr>
              <w:t xml:space="preserve"> </w:t>
            </w:r>
          </w:p>
          <w:p w14:paraId="42771AD8" w14:textId="77777777" w:rsidR="00B56D50" w:rsidRPr="003851F0" w:rsidRDefault="001C3C42">
            <w:pPr>
              <w:spacing w:after="0" w:line="259" w:lineRule="auto"/>
              <w:ind w:left="0" w:right="0" w:firstLine="0"/>
            </w:pPr>
            <w:r w:rsidRPr="0038014B">
              <w:rPr>
                <w:sz w:val="18"/>
                <w:szCs w:val="18"/>
              </w:rPr>
              <w:t xml:space="preserve">2-Picoline </w:t>
            </w:r>
          </w:p>
        </w:tc>
        <w:tc>
          <w:tcPr>
            <w:tcW w:w="2567" w:type="dxa"/>
            <w:tcBorders>
              <w:top w:val="single" w:sz="12" w:space="0" w:color="000000"/>
              <w:left w:val="single" w:sz="12" w:space="0" w:color="000000"/>
              <w:bottom w:val="single" w:sz="12" w:space="0" w:color="000000"/>
              <w:right w:val="single" w:sz="12" w:space="0" w:color="000000"/>
            </w:tcBorders>
          </w:tcPr>
          <w:p w14:paraId="6E4DB505" w14:textId="77777777" w:rsidR="00B56D50" w:rsidRPr="003851F0" w:rsidRDefault="001C3C42">
            <w:pPr>
              <w:spacing w:after="0" w:line="259" w:lineRule="auto"/>
              <w:ind w:left="2" w:right="0" w:firstLine="0"/>
            </w:pPr>
            <w:r w:rsidRPr="003851F0">
              <w:rPr>
                <w:sz w:val="20"/>
              </w:rPr>
              <w:t xml:space="preserve"> </w:t>
            </w:r>
          </w:p>
          <w:p w14:paraId="362677E1" w14:textId="77777777" w:rsidR="00B56D50" w:rsidRPr="0038014B" w:rsidRDefault="001C3C42">
            <w:pPr>
              <w:spacing w:after="0" w:line="259" w:lineRule="auto"/>
              <w:ind w:left="2" w:right="0" w:firstLine="0"/>
              <w:rPr>
                <w:sz w:val="18"/>
                <w:szCs w:val="18"/>
              </w:rPr>
            </w:pPr>
            <w:r w:rsidRPr="0038014B">
              <w:rPr>
                <w:sz w:val="18"/>
                <w:szCs w:val="18"/>
              </w:rPr>
              <w:t xml:space="preserve">Acetophenone </w:t>
            </w:r>
          </w:p>
          <w:p w14:paraId="7CD1BE56" w14:textId="0C039F54" w:rsidR="00B56D50" w:rsidRPr="0038014B" w:rsidRDefault="001C3C42">
            <w:pPr>
              <w:spacing w:after="2" w:line="238" w:lineRule="auto"/>
              <w:ind w:left="2" w:right="309" w:firstLine="0"/>
              <w:rPr>
                <w:sz w:val="18"/>
                <w:szCs w:val="18"/>
              </w:rPr>
            </w:pPr>
            <w:r w:rsidRPr="0038014B">
              <w:rPr>
                <w:sz w:val="18"/>
                <w:szCs w:val="18"/>
              </w:rPr>
              <w:t>Benzoic acid Bis(2</w:t>
            </w:r>
            <w:r w:rsidR="00EC4C5A" w:rsidRPr="0038014B">
              <w:rPr>
                <w:sz w:val="18"/>
                <w:szCs w:val="18"/>
              </w:rPr>
              <w:t>chloroethoxy) methane</w:t>
            </w:r>
            <w:r w:rsidRPr="0038014B">
              <w:rPr>
                <w:sz w:val="18"/>
                <w:szCs w:val="18"/>
              </w:rPr>
              <w:t xml:space="preserve"> </w:t>
            </w:r>
          </w:p>
          <w:p w14:paraId="157FF403" w14:textId="77777777" w:rsidR="00B56D50" w:rsidRPr="0038014B" w:rsidRDefault="001C3C42">
            <w:pPr>
              <w:spacing w:after="0" w:line="259" w:lineRule="auto"/>
              <w:ind w:left="2" w:right="0" w:firstLine="0"/>
              <w:rPr>
                <w:sz w:val="18"/>
                <w:szCs w:val="18"/>
              </w:rPr>
            </w:pPr>
            <w:r w:rsidRPr="0038014B">
              <w:rPr>
                <w:sz w:val="18"/>
                <w:szCs w:val="18"/>
              </w:rPr>
              <w:t xml:space="preserve">4-Chloroaniline </w:t>
            </w:r>
          </w:p>
          <w:p w14:paraId="68C0D9D9" w14:textId="77777777" w:rsidR="00B56D50" w:rsidRPr="0038014B" w:rsidRDefault="001C3C42">
            <w:pPr>
              <w:spacing w:after="0" w:line="259" w:lineRule="auto"/>
              <w:ind w:left="2" w:right="0" w:firstLine="0"/>
              <w:jc w:val="both"/>
              <w:rPr>
                <w:sz w:val="18"/>
                <w:szCs w:val="18"/>
              </w:rPr>
            </w:pPr>
            <w:r w:rsidRPr="0038014B">
              <w:rPr>
                <w:sz w:val="18"/>
                <w:szCs w:val="18"/>
              </w:rPr>
              <w:t xml:space="preserve">4-Chloro-3-methylphenol </w:t>
            </w:r>
          </w:p>
          <w:p w14:paraId="497253F7" w14:textId="77777777" w:rsidR="00B56D50" w:rsidRPr="0038014B" w:rsidRDefault="001C3C42">
            <w:pPr>
              <w:spacing w:after="0" w:line="259" w:lineRule="auto"/>
              <w:ind w:left="2" w:right="0" w:firstLine="0"/>
              <w:rPr>
                <w:sz w:val="18"/>
                <w:szCs w:val="18"/>
              </w:rPr>
            </w:pPr>
            <w:r w:rsidRPr="0038014B">
              <w:rPr>
                <w:sz w:val="18"/>
                <w:szCs w:val="18"/>
              </w:rPr>
              <w:t xml:space="preserve">2,4-Dichlorophenol </w:t>
            </w:r>
          </w:p>
          <w:p w14:paraId="420C076B" w14:textId="77777777" w:rsidR="00B56D50" w:rsidRPr="0038014B" w:rsidRDefault="001C3C42">
            <w:pPr>
              <w:spacing w:after="0" w:line="259" w:lineRule="auto"/>
              <w:ind w:left="2" w:right="0" w:firstLine="0"/>
              <w:rPr>
                <w:sz w:val="18"/>
                <w:szCs w:val="18"/>
              </w:rPr>
            </w:pPr>
            <w:r w:rsidRPr="0038014B">
              <w:rPr>
                <w:sz w:val="18"/>
                <w:szCs w:val="18"/>
              </w:rPr>
              <w:t xml:space="preserve">2,6-Dichlorophenol </w:t>
            </w:r>
          </w:p>
          <w:p w14:paraId="3205A55A" w14:textId="4FE46E3E" w:rsidR="00B56D50" w:rsidRPr="0038014B" w:rsidRDefault="00DD118B" w:rsidP="0038014B">
            <w:pPr>
              <w:spacing w:after="7" w:line="259" w:lineRule="auto"/>
              <w:ind w:left="2" w:right="0" w:firstLine="0"/>
              <w:rPr>
                <w:sz w:val="18"/>
                <w:szCs w:val="18"/>
              </w:rPr>
            </w:pPr>
            <w:r w:rsidRPr="0038014B">
              <w:rPr>
                <w:rFonts w:eastAsia="Symbol"/>
                <w:sz w:val="18"/>
                <w:szCs w:val="18"/>
              </w:rPr>
              <w:sym w:font="Symbol" w:char="F061"/>
            </w:r>
            <w:r w:rsidRPr="0038014B">
              <w:rPr>
                <w:rFonts w:eastAsia="Symbol"/>
                <w:sz w:val="18"/>
                <w:szCs w:val="18"/>
              </w:rPr>
              <w:t>,</w:t>
            </w:r>
            <w:r w:rsidRPr="0038014B">
              <w:rPr>
                <w:rFonts w:eastAsia="Symbol"/>
                <w:sz w:val="18"/>
                <w:szCs w:val="18"/>
              </w:rPr>
              <w:sym w:font="Symbol" w:char="F061"/>
            </w:r>
            <w:r w:rsidRPr="0038014B">
              <w:rPr>
                <w:rFonts w:eastAsia="Symbol"/>
                <w:sz w:val="18"/>
                <w:szCs w:val="18"/>
              </w:rPr>
              <w:t>-</w:t>
            </w:r>
            <w:proofErr w:type="spellStart"/>
            <w:r w:rsidR="001C3C42" w:rsidRPr="0038014B">
              <w:rPr>
                <w:sz w:val="18"/>
                <w:szCs w:val="18"/>
              </w:rPr>
              <w:t>Dimethylphenethylamine</w:t>
            </w:r>
            <w:proofErr w:type="spellEnd"/>
            <w:r w:rsidR="001C3C42" w:rsidRPr="0038014B">
              <w:rPr>
                <w:sz w:val="18"/>
                <w:szCs w:val="18"/>
              </w:rPr>
              <w:t xml:space="preserve"> </w:t>
            </w:r>
          </w:p>
          <w:p w14:paraId="1DA54A29" w14:textId="77777777" w:rsidR="00B56D50" w:rsidRPr="0038014B" w:rsidRDefault="001C3C42">
            <w:pPr>
              <w:spacing w:after="0" w:line="259" w:lineRule="auto"/>
              <w:ind w:left="2" w:right="0" w:firstLine="0"/>
              <w:rPr>
                <w:sz w:val="18"/>
                <w:szCs w:val="18"/>
              </w:rPr>
            </w:pPr>
            <w:r w:rsidRPr="0038014B">
              <w:rPr>
                <w:sz w:val="18"/>
                <w:szCs w:val="18"/>
              </w:rPr>
              <w:t xml:space="preserve">2,4-Dimethylphenol </w:t>
            </w:r>
          </w:p>
          <w:p w14:paraId="691ABFEA" w14:textId="77777777" w:rsidR="00B56D50" w:rsidRPr="0038014B" w:rsidRDefault="001C3C42">
            <w:pPr>
              <w:spacing w:after="0" w:line="259" w:lineRule="auto"/>
              <w:ind w:left="2" w:right="0" w:firstLine="0"/>
              <w:rPr>
                <w:sz w:val="18"/>
                <w:szCs w:val="18"/>
              </w:rPr>
            </w:pPr>
            <w:r w:rsidRPr="0038014B">
              <w:rPr>
                <w:sz w:val="18"/>
                <w:szCs w:val="18"/>
              </w:rPr>
              <w:t xml:space="preserve">Hexachlorobutadiene </w:t>
            </w:r>
          </w:p>
          <w:p w14:paraId="49674BB5" w14:textId="77777777" w:rsidR="00935601" w:rsidRPr="0038014B" w:rsidRDefault="001C3C42">
            <w:pPr>
              <w:spacing w:after="0" w:line="259" w:lineRule="auto"/>
              <w:ind w:left="2" w:right="0" w:firstLine="0"/>
              <w:rPr>
                <w:sz w:val="18"/>
                <w:szCs w:val="18"/>
              </w:rPr>
            </w:pPr>
            <w:proofErr w:type="spellStart"/>
            <w:r w:rsidRPr="0038014B">
              <w:rPr>
                <w:sz w:val="18"/>
                <w:szCs w:val="18"/>
              </w:rPr>
              <w:t>Isophorone</w:t>
            </w:r>
            <w:proofErr w:type="spellEnd"/>
          </w:p>
          <w:p w14:paraId="4241569D" w14:textId="451B290B" w:rsidR="00B56D50" w:rsidRPr="0038014B" w:rsidRDefault="00935601">
            <w:pPr>
              <w:spacing w:after="0" w:line="259" w:lineRule="auto"/>
              <w:ind w:left="2" w:right="0" w:firstLine="0"/>
              <w:rPr>
                <w:sz w:val="18"/>
                <w:szCs w:val="18"/>
              </w:rPr>
            </w:pPr>
            <w:r w:rsidRPr="0038014B">
              <w:rPr>
                <w:sz w:val="18"/>
                <w:szCs w:val="18"/>
              </w:rPr>
              <w:t>1-Methylnaphthalene</w:t>
            </w:r>
            <w:r w:rsidR="001C3C42" w:rsidRPr="0038014B">
              <w:rPr>
                <w:sz w:val="18"/>
                <w:szCs w:val="18"/>
              </w:rPr>
              <w:t xml:space="preserve"> </w:t>
            </w:r>
          </w:p>
          <w:p w14:paraId="5FA4A05F" w14:textId="77777777" w:rsidR="00B56D50" w:rsidRPr="0038014B" w:rsidRDefault="001C3C42">
            <w:pPr>
              <w:spacing w:after="0" w:line="259" w:lineRule="auto"/>
              <w:ind w:left="2" w:right="0" w:firstLine="0"/>
              <w:rPr>
                <w:sz w:val="18"/>
                <w:szCs w:val="18"/>
              </w:rPr>
            </w:pPr>
            <w:r w:rsidRPr="0038014B">
              <w:rPr>
                <w:sz w:val="18"/>
                <w:szCs w:val="18"/>
              </w:rPr>
              <w:t xml:space="preserve">2-Methylnaphthalene </w:t>
            </w:r>
          </w:p>
          <w:p w14:paraId="49A94676" w14:textId="77777777" w:rsidR="00B56D50" w:rsidRPr="0038014B" w:rsidRDefault="001C3C42">
            <w:pPr>
              <w:spacing w:after="0" w:line="259" w:lineRule="auto"/>
              <w:ind w:left="2" w:right="0" w:firstLine="0"/>
              <w:rPr>
                <w:sz w:val="18"/>
                <w:szCs w:val="18"/>
              </w:rPr>
            </w:pPr>
            <w:r w:rsidRPr="0038014B">
              <w:rPr>
                <w:sz w:val="18"/>
                <w:szCs w:val="18"/>
              </w:rPr>
              <w:t xml:space="preserve">Naphthalene </w:t>
            </w:r>
          </w:p>
          <w:p w14:paraId="7E00F08F" w14:textId="77777777" w:rsidR="00B56D50" w:rsidRPr="0038014B" w:rsidRDefault="001C3C42">
            <w:pPr>
              <w:spacing w:after="0" w:line="259" w:lineRule="auto"/>
              <w:ind w:left="2" w:right="0" w:firstLine="0"/>
              <w:rPr>
                <w:sz w:val="18"/>
                <w:szCs w:val="18"/>
              </w:rPr>
            </w:pPr>
            <w:r w:rsidRPr="0038014B">
              <w:rPr>
                <w:sz w:val="18"/>
                <w:szCs w:val="18"/>
              </w:rPr>
              <w:t xml:space="preserve">Nitrobenzene </w:t>
            </w:r>
          </w:p>
          <w:p w14:paraId="05199A09" w14:textId="40C7A72F" w:rsidR="00B56D50" w:rsidRPr="0038014B" w:rsidRDefault="001C3C42">
            <w:pPr>
              <w:spacing w:after="0" w:line="259" w:lineRule="auto"/>
              <w:ind w:left="2" w:right="0" w:firstLine="0"/>
              <w:rPr>
                <w:sz w:val="18"/>
                <w:szCs w:val="18"/>
              </w:rPr>
            </w:pPr>
            <w:r w:rsidRPr="0038014B">
              <w:rPr>
                <w:sz w:val="18"/>
                <w:szCs w:val="18"/>
              </w:rPr>
              <w:t>Nitrobenzene-d</w:t>
            </w:r>
            <w:r w:rsidRPr="0038014B">
              <w:rPr>
                <w:sz w:val="18"/>
                <w:szCs w:val="18"/>
                <w:vertAlign w:val="subscript"/>
              </w:rPr>
              <w:t>8</w:t>
            </w:r>
            <w:r w:rsidRPr="0038014B">
              <w:rPr>
                <w:sz w:val="18"/>
                <w:szCs w:val="18"/>
              </w:rPr>
              <w:t xml:space="preserve"> </w:t>
            </w:r>
            <w:r w:rsidRPr="0038014B">
              <w:rPr>
                <w:i/>
                <w:sz w:val="18"/>
                <w:szCs w:val="18"/>
              </w:rPr>
              <w:t>(</w:t>
            </w:r>
            <w:proofErr w:type="spellStart"/>
            <w:r w:rsidRPr="0038014B">
              <w:rPr>
                <w:i/>
                <w:sz w:val="18"/>
                <w:szCs w:val="18"/>
              </w:rPr>
              <w:t>surr</w:t>
            </w:r>
            <w:proofErr w:type="spellEnd"/>
            <w:r w:rsidRPr="0038014B">
              <w:rPr>
                <w:i/>
                <w:sz w:val="18"/>
                <w:szCs w:val="18"/>
              </w:rPr>
              <w:t>)</w:t>
            </w:r>
            <w:r w:rsidRPr="0038014B">
              <w:rPr>
                <w:sz w:val="18"/>
                <w:szCs w:val="18"/>
              </w:rPr>
              <w:t xml:space="preserve"> </w:t>
            </w:r>
          </w:p>
          <w:p w14:paraId="4236F6F4" w14:textId="27117109" w:rsidR="00B56D50" w:rsidRPr="0038014B" w:rsidRDefault="001C3C42">
            <w:pPr>
              <w:spacing w:after="0" w:line="240" w:lineRule="auto"/>
              <w:ind w:left="2" w:right="9" w:firstLine="0"/>
              <w:rPr>
                <w:sz w:val="18"/>
                <w:szCs w:val="18"/>
              </w:rPr>
            </w:pPr>
            <w:r w:rsidRPr="0038014B">
              <w:rPr>
                <w:sz w:val="18"/>
                <w:szCs w:val="18"/>
              </w:rPr>
              <w:t>2-Nitrophenol N-</w:t>
            </w:r>
            <w:proofErr w:type="spellStart"/>
            <w:r w:rsidRPr="0038014B">
              <w:rPr>
                <w:sz w:val="18"/>
                <w:szCs w:val="18"/>
              </w:rPr>
              <w:t>Nitrosodi</w:t>
            </w:r>
            <w:proofErr w:type="spellEnd"/>
            <w:r w:rsidRPr="0038014B">
              <w:rPr>
                <w:sz w:val="18"/>
                <w:szCs w:val="18"/>
              </w:rPr>
              <w:t>-n</w:t>
            </w:r>
            <w:r w:rsidR="003851F0" w:rsidRPr="0038014B">
              <w:rPr>
                <w:sz w:val="18"/>
                <w:szCs w:val="18"/>
              </w:rPr>
              <w:t>-</w:t>
            </w:r>
            <w:r w:rsidRPr="0038014B">
              <w:rPr>
                <w:sz w:val="18"/>
                <w:szCs w:val="18"/>
              </w:rPr>
              <w:t xml:space="preserve">butylamine </w:t>
            </w:r>
          </w:p>
          <w:p w14:paraId="51ACC482" w14:textId="77777777" w:rsidR="00B56D50" w:rsidRPr="0038014B" w:rsidRDefault="001C3C42">
            <w:pPr>
              <w:spacing w:after="0" w:line="259" w:lineRule="auto"/>
              <w:ind w:left="2" w:right="0" w:firstLine="0"/>
              <w:rPr>
                <w:sz w:val="18"/>
                <w:szCs w:val="18"/>
              </w:rPr>
            </w:pPr>
            <w:r w:rsidRPr="0038014B">
              <w:rPr>
                <w:sz w:val="18"/>
                <w:szCs w:val="18"/>
              </w:rPr>
              <w:t>N-</w:t>
            </w:r>
            <w:proofErr w:type="spellStart"/>
            <w:r w:rsidRPr="0038014B">
              <w:rPr>
                <w:sz w:val="18"/>
                <w:szCs w:val="18"/>
              </w:rPr>
              <w:t>Nitrosopiperidine</w:t>
            </w:r>
            <w:proofErr w:type="spellEnd"/>
            <w:r w:rsidRPr="0038014B">
              <w:rPr>
                <w:sz w:val="18"/>
                <w:szCs w:val="18"/>
              </w:rPr>
              <w:t xml:space="preserve"> </w:t>
            </w:r>
          </w:p>
          <w:p w14:paraId="6BFB8F35" w14:textId="77777777" w:rsidR="00B56D50" w:rsidRPr="003851F0" w:rsidRDefault="001C3C42">
            <w:pPr>
              <w:spacing w:after="0" w:line="259" w:lineRule="auto"/>
              <w:ind w:left="2" w:right="0" w:firstLine="0"/>
            </w:pPr>
            <w:r w:rsidRPr="0038014B">
              <w:rPr>
                <w:sz w:val="18"/>
                <w:szCs w:val="18"/>
              </w:rPr>
              <w:t>1,2,4-Trichlorobenzene</w:t>
            </w:r>
            <w:r w:rsidRPr="003851F0">
              <w:rPr>
                <w:sz w:val="20"/>
              </w:rPr>
              <w:t xml:space="preserve"> </w:t>
            </w:r>
          </w:p>
        </w:tc>
        <w:tc>
          <w:tcPr>
            <w:tcW w:w="2385" w:type="dxa"/>
            <w:tcBorders>
              <w:top w:val="single" w:sz="12" w:space="0" w:color="000000"/>
              <w:left w:val="single" w:sz="12" w:space="0" w:color="000000"/>
              <w:bottom w:val="single" w:sz="12" w:space="0" w:color="000000"/>
              <w:right w:val="single" w:sz="12" w:space="0" w:color="000000"/>
            </w:tcBorders>
          </w:tcPr>
          <w:p w14:paraId="2CB1D83F" w14:textId="77777777" w:rsidR="00B56D50" w:rsidRPr="003851F0" w:rsidRDefault="001C3C42">
            <w:pPr>
              <w:spacing w:after="0" w:line="259" w:lineRule="auto"/>
              <w:ind w:left="1" w:right="0" w:firstLine="0"/>
            </w:pPr>
            <w:r w:rsidRPr="003851F0">
              <w:rPr>
                <w:sz w:val="20"/>
              </w:rPr>
              <w:t xml:space="preserve"> </w:t>
            </w:r>
          </w:p>
          <w:p w14:paraId="3DC1A342" w14:textId="77777777" w:rsidR="00B56D50" w:rsidRPr="0038014B" w:rsidRDefault="001C3C42">
            <w:pPr>
              <w:spacing w:after="0" w:line="259" w:lineRule="auto"/>
              <w:ind w:left="1" w:right="0" w:firstLine="0"/>
              <w:rPr>
                <w:sz w:val="18"/>
                <w:szCs w:val="18"/>
              </w:rPr>
            </w:pPr>
            <w:r w:rsidRPr="0038014B">
              <w:rPr>
                <w:sz w:val="18"/>
                <w:szCs w:val="18"/>
              </w:rPr>
              <w:t xml:space="preserve">Acenaphthene </w:t>
            </w:r>
          </w:p>
          <w:p w14:paraId="48A0E18F" w14:textId="77777777" w:rsidR="00B56D50" w:rsidRPr="0038014B" w:rsidRDefault="001C3C42">
            <w:pPr>
              <w:spacing w:after="0" w:line="259" w:lineRule="auto"/>
              <w:ind w:left="1" w:right="0" w:firstLine="0"/>
              <w:rPr>
                <w:sz w:val="18"/>
                <w:szCs w:val="18"/>
              </w:rPr>
            </w:pPr>
            <w:r w:rsidRPr="0038014B">
              <w:rPr>
                <w:sz w:val="18"/>
                <w:szCs w:val="18"/>
              </w:rPr>
              <w:t xml:space="preserve">Acenaphthylene </w:t>
            </w:r>
          </w:p>
          <w:p w14:paraId="5EFA08D5" w14:textId="77777777" w:rsidR="00B56D50" w:rsidRPr="0038014B" w:rsidRDefault="001C3C42">
            <w:pPr>
              <w:spacing w:after="0" w:line="259" w:lineRule="auto"/>
              <w:ind w:left="1" w:right="0" w:firstLine="0"/>
              <w:rPr>
                <w:sz w:val="18"/>
                <w:szCs w:val="18"/>
              </w:rPr>
            </w:pPr>
            <w:r w:rsidRPr="0038014B">
              <w:rPr>
                <w:sz w:val="18"/>
                <w:szCs w:val="18"/>
              </w:rPr>
              <w:t xml:space="preserve">1-Chloronaphthalene </w:t>
            </w:r>
          </w:p>
          <w:p w14:paraId="3931C412" w14:textId="77777777" w:rsidR="00B56D50" w:rsidRPr="0038014B" w:rsidRDefault="001C3C42">
            <w:pPr>
              <w:spacing w:after="0" w:line="259" w:lineRule="auto"/>
              <w:ind w:left="1" w:right="0" w:firstLine="0"/>
              <w:rPr>
                <w:sz w:val="18"/>
                <w:szCs w:val="18"/>
              </w:rPr>
            </w:pPr>
            <w:r w:rsidRPr="0038014B">
              <w:rPr>
                <w:sz w:val="18"/>
                <w:szCs w:val="18"/>
              </w:rPr>
              <w:t xml:space="preserve">2-Chloronaphthalene </w:t>
            </w:r>
          </w:p>
          <w:p w14:paraId="453BC792" w14:textId="77777777" w:rsidR="00B56D50" w:rsidRPr="0038014B" w:rsidRDefault="001C3C42">
            <w:pPr>
              <w:spacing w:after="0" w:line="259" w:lineRule="auto"/>
              <w:ind w:left="1" w:right="0" w:firstLine="0"/>
              <w:rPr>
                <w:sz w:val="18"/>
                <w:szCs w:val="18"/>
              </w:rPr>
            </w:pPr>
            <w:r w:rsidRPr="0038014B">
              <w:rPr>
                <w:sz w:val="18"/>
                <w:szCs w:val="18"/>
              </w:rPr>
              <w:t xml:space="preserve">4-Chlorophenyl phenyl ether </w:t>
            </w:r>
          </w:p>
          <w:p w14:paraId="21640E7F" w14:textId="77777777" w:rsidR="00B56D50" w:rsidRPr="0038014B" w:rsidRDefault="001C3C42">
            <w:pPr>
              <w:spacing w:after="0" w:line="259" w:lineRule="auto"/>
              <w:ind w:left="1" w:right="0" w:firstLine="0"/>
              <w:rPr>
                <w:sz w:val="18"/>
                <w:szCs w:val="18"/>
              </w:rPr>
            </w:pPr>
            <w:r w:rsidRPr="0038014B">
              <w:rPr>
                <w:sz w:val="18"/>
                <w:szCs w:val="18"/>
              </w:rPr>
              <w:t xml:space="preserve">Dibenzofuran </w:t>
            </w:r>
          </w:p>
          <w:p w14:paraId="168CEB8A" w14:textId="77777777" w:rsidR="00B56D50" w:rsidRPr="0038014B" w:rsidRDefault="001C3C42">
            <w:pPr>
              <w:spacing w:after="0" w:line="259" w:lineRule="auto"/>
              <w:ind w:left="1" w:right="0" w:firstLine="0"/>
              <w:rPr>
                <w:sz w:val="18"/>
                <w:szCs w:val="18"/>
              </w:rPr>
            </w:pPr>
            <w:r w:rsidRPr="0038014B">
              <w:rPr>
                <w:sz w:val="18"/>
                <w:szCs w:val="18"/>
              </w:rPr>
              <w:t xml:space="preserve">Diethyl phthalate </w:t>
            </w:r>
          </w:p>
          <w:p w14:paraId="3734D8F6" w14:textId="77777777" w:rsidR="00B56D50" w:rsidRPr="0038014B" w:rsidRDefault="001C3C42">
            <w:pPr>
              <w:spacing w:after="0" w:line="259" w:lineRule="auto"/>
              <w:ind w:left="1" w:right="0" w:firstLine="0"/>
              <w:rPr>
                <w:sz w:val="18"/>
                <w:szCs w:val="18"/>
              </w:rPr>
            </w:pPr>
            <w:r w:rsidRPr="0038014B">
              <w:rPr>
                <w:sz w:val="18"/>
                <w:szCs w:val="18"/>
              </w:rPr>
              <w:t xml:space="preserve">Dimethyl phthalate </w:t>
            </w:r>
          </w:p>
          <w:p w14:paraId="01742851" w14:textId="77777777" w:rsidR="00B56D50" w:rsidRPr="0038014B" w:rsidRDefault="001C3C42">
            <w:pPr>
              <w:spacing w:after="0" w:line="259" w:lineRule="auto"/>
              <w:ind w:left="1" w:right="0" w:firstLine="0"/>
              <w:rPr>
                <w:sz w:val="18"/>
                <w:szCs w:val="18"/>
              </w:rPr>
            </w:pPr>
            <w:r w:rsidRPr="0038014B">
              <w:rPr>
                <w:sz w:val="18"/>
                <w:szCs w:val="18"/>
              </w:rPr>
              <w:t xml:space="preserve">2,4-Dinitrophenol </w:t>
            </w:r>
          </w:p>
          <w:p w14:paraId="603B61D2" w14:textId="77777777" w:rsidR="00B56D50" w:rsidRPr="0038014B" w:rsidRDefault="001C3C42">
            <w:pPr>
              <w:spacing w:after="0" w:line="259" w:lineRule="auto"/>
              <w:ind w:left="1" w:right="0" w:firstLine="0"/>
              <w:rPr>
                <w:sz w:val="18"/>
                <w:szCs w:val="18"/>
              </w:rPr>
            </w:pPr>
            <w:r w:rsidRPr="0038014B">
              <w:rPr>
                <w:sz w:val="18"/>
                <w:szCs w:val="18"/>
              </w:rPr>
              <w:t xml:space="preserve">2,4-Dinitrotoluene </w:t>
            </w:r>
          </w:p>
          <w:p w14:paraId="6124B08C" w14:textId="77777777" w:rsidR="00B56D50" w:rsidRPr="0038014B" w:rsidRDefault="001C3C42">
            <w:pPr>
              <w:spacing w:after="0" w:line="259" w:lineRule="auto"/>
              <w:ind w:left="1" w:right="0" w:firstLine="0"/>
              <w:rPr>
                <w:sz w:val="18"/>
                <w:szCs w:val="18"/>
              </w:rPr>
            </w:pPr>
            <w:r w:rsidRPr="0038014B">
              <w:rPr>
                <w:sz w:val="18"/>
                <w:szCs w:val="18"/>
              </w:rPr>
              <w:t xml:space="preserve">2,6-Dinitrotoluene </w:t>
            </w:r>
          </w:p>
          <w:p w14:paraId="5795C872" w14:textId="77777777" w:rsidR="00B56D50" w:rsidRPr="0038014B" w:rsidRDefault="001C3C42">
            <w:pPr>
              <w:spacing w:after="0" w:line="259" w:lineRule="auto"/>
              <w:ind w:left="1" w:right="0" w:firstLine="0"/>
              <w:rPr>
                <w:sz w:val="18"/>
                <w:szCs w:val="18"/>
              </w:rPr>
            </w:pPr>
            <w:r w:rsidRPr="0038014B">
              <w:rPr>
                <w:sz w:val="18"/>
                <w:szCs w:val="18"/>
              </w:rPr>
              <w:t xml:space="preserve">Fluorene </w:t>
            </w:r>
          </w:p>
          <w:p w14:paraId="2837923C" w14:textId="0537D9C8" w:rsidR="00B56D50" w:rsidRPr="0038014B" w:rsidRDefault="001C3C42">
            <w:pPr>
              <w:spacing w:after="0" w:line="259" w:lineRule="auto"/>
              <w:ind w:left="1" w:right="0" w:firstLine="0"/>
              <w:rPr>
                <w:sz w:val="18"/>
                <w:szCs w:val="18"/>
              </w:rPr>
            </w:pPr>
            <w:r w:rsidRPr="0038014B">
              <w:rPr>
                <w:sz w:val="18"/>
                <w:szCs w:val="18"/>
              </w:rPr>
              <w:t xml:space="preserve">2-Fluorobiphenyl </w:t>
            </w:r>
            <w:r w:rsidRPr="0038014B">
              <w:rPr>
                <w:i/>
                <w:sz w:val="18"/>
                <w:szCs w:val="18"/>
              </w:rPr>
              <w:t>(</w:t>
            </w:r>
            <w:proofErr w:type="spellStart"/>
            <w:r w:rsidRPr="0038014B">
              <w:rPr>
                <w:i/>
                <w:sz w:val="18"/>
                <w:szCs w:val="18"/>
              </w:rPr>
              <w:t>surr</w:t>
            </w:r>
            <w:proofErr w:type="spellEnd"/>
            <w:r w:rsidRPr="0038014B">
              <w:rPr>
                <w:i/>
                <w:sz w:val="18"/>
                <w:szCs w:val="18"/>
              </w:rPr>
              <w:t>)</w:t>
            </w:r>
            <w:r w:rsidRPr="0038014B">
              <w:rPr>
                <w:sz w:val="18"/>
                <w:szCs w:val="18"/>
              </w:rPr>
              <w:t xml:space="preserve"> </w:t>
            </w:r>
          </w:p>
          <w:p w14:paraId="76F1D2F2" w14:textId="77777777" w:rsidR="00B56D50" w:rsidRPr="0038014B" w:rsidRDefault="001C3C42">
            <w:pPr>
              <w:spacing w:after="0" w:line="259" w:lineRule="auto"/>
              <w:ind w:left="1" w:right="0" w:firstLine="0"/>
              <w:rPr>
                <w:sz w:val="18"/>
                <w:szCs w:val="18"/>
              </w:rPr>
            </w:pPr>
            <w:proofErr w:type="spellStart"/>
            <w:r w:rsidRPr="0038014B">
              <w:rPr>
                <w:sz w:val="18"/>
                <w:szCs w:val="18"/>
              </w:rPr>
              <w:t>Hexachlorocyclopentadiene</w:t>
            </w:r>
            <w:proofErr w:type="spellEnd"/>
            <w:r w:rsidRPr="0038014B">
              <w:rPr>
                <w:sz w:val="18"/>
                <w:szCs w:val="18"/>
              </w:rPr>
              <w:t xml:space="preserve"> </w:t>
            </w:r>
          </w:p>
          <w:p w14:paraId="3636953C" w14:textId="77777777" w:rsidR="00B56D50" w:rsidRPr="0038014B" w:rsidRDefault="001C3C42">
            <w:pPr>
              <w:spacing w:after="0" w:line="259" w:lineRule="auto"/>
              <w:ind w:left="1" w:right="0" w:firstLine="0"/>
              <w:rPr>
                <w:sz w:val="18"/>
                <w:szCs w:val="18"/>
              </w:rPr>
            </w:pPr>
            <w:r w:rsidRPr="0038014B">
              <w:rPr>
                <w:sz w:val="18"/>
                <w:szCs w:val="18"/>
              </w:rPr>
              <w:t xml:space="preserve">1-Naphthylamine </w:t>
            </w:r>
          </w:p>
          <w:p w14:paraId="6707FA6F" w14:textId="77777777" w:rsidR="00B56D50" w:rsidRPr="0038014B" w:rsidRDefault="001C3C42">
            <w:pPr>
              <w:spacing w:after="0" w:line="259" w:lineRule="auto"/>
              <w:ind w:left="1" w:right="0" w:firstLine="0"/>
              <w:rPr>
                <w:sz w:val="18"/>
                <w:szCs w:val="18"/>
              </w:rPr>
            </w:pPr>
            <w:r w:rsidRPr="0038014B">
              <w:rPr>
                <w:sz w:val="18"/>
                <w:szCs w:val="18"/>
              </w:rPr>
              <w:t xml:space="preserve">2-Naphthylamine </w:t>
            </w:r>
          </w:p>
          <w:p w14:paraId="381F53C9" w14:textId="77777777" w:rsidR="00B56D50" w:rsidRPr="0038014B" w:rsidRDefault="001C3C42">
            <w:pPr>
              <w:spacing w:after="0" w:line="259" w:lineRule="auto"/>
              <w:ind w:left="1" w:right="0" w:firstLine="0"/>
              <w:rPr>
                <w:sz w:val="18"/>
                <w:szCs w:val="18"/>
              </w:rPr>
            </w:pPr>
            <w:r w:rsidRPr="0038014B">
              <w:rPr>
                <w:sz w:val="18"/>
                <w:szCs w:val="18"/>
              </w:rPr>
              <w:t xml:space="preserve">2-Nitroaniline </w:t>
            </w:r>
          </w:p>
          <w:p w14:paraId="24DE093B" w14:textId="77777777" w:rsidR="00B56D50" w:rsidRPr="0038014B" w:rsidRDefault="001C3C42">
            <w:pPr>
              <w:spacing w:after="0" w:line="259" w:lineRule="auto"/>
              <w:ind w:left="1" w:right="0" w:firstLine="0"/>
              <w:rPr>
                <w:sz w:val="18"/>
                <w:szCs w:val="18"/>
              </w:rPr>
            </w:pPr>
            <w:r w:rsidRPr="0038014B">
              <w:rPr>
                <w:sz w:val="18"/>
                <w:szCs w:val="18"/>
              </w:rPr>
              <w:t xml:space="preserve">3-Nitroaniline </w:t>
            </w:r>
          </w:p>
          <w:p w14:paraId="7514F3A6" w14:textId="77777777" w:rsidR="00B56D50" w:rsidRPr="0038014B" w:rsidRDefault="001C3C42">
            <w:pPr>
              <w:spacing w:after="0" w:line="259" w:lineRule="auto"/>
              <w:ind w:left="1" w:right="0" w:firstLine="0"/>
              <w:rPr>
                <w:sz w:val="18"/>
                <w:szCs w:val="18"/>
              </w:rPr>
            </w:pPr>
            <w:r w:rsidRPr="0038014B">
              <w:rPr>
                <w:sz w:val="18"/>
                <w:szCs w:val="18"/>
              </w:rPr>
              <w:t xml:space="preserve">4-Nitroaniline </w:t>
            </w:r>
          </w:p>
          <w:p w14:paraId="3FD411A1" w14:textId="77777777" w:rsidR="00B56D50" w:rsidRPr="0038014B" w:rsidRDefault="001C3C42">
            <w:pPr>
              <w:spacing w:after="0" w:line="259" w:lineRule="auto"/>
              <w:ind w:left="1" w:right="0" w:firstLine="0"/>
              <w:rPr>
                <w:sz w:val="18"/>
                <w:szCs w:val="18"/>
              </w:rPr>
            </w:pPr>
            <w:r w:rsidRPr="0038014B">
              <w:rPr>
                <w:sz w:val="18"/>
                <w:szCs w:val="18"/>
              </w:rPr>
              <w:t xml:space="preserve">4-Nitrophenol </w:t>
            </w:r>
          </w:p>
          <w:p w14:paraId="45B51DBD" w14:textId="77777777" w:rsidR="00B56D50" w:rsidRPr="0038014B" w:rsidRDefault="001C3C42">
            <w:pPr>
              <w:spacing w:after="0" w:line="259" w:lineRule="auto"/>
              <w:ind w:left="1" w:right="0" w:firstLine="0"/>
              <w:rPr>
                <w:sz w:val="18"/>
                <w:szCs w:val="18"/>
              </w:rPr>
            </w:pPr>
            <w:proofErr w:type="spellStart"/>
            <w:r w:rsidRPr="0038014B">
              <w:rPr>
                <w:sz w:val="18"/>
                <w:szCs w:val="18"/>
              </w:rPr>
              <w:t>Pentachlorobenzene</w:t>
            </w:r>
            <w:proofErr w:type="spellEnd"/>
            <w:r w:rsidRPr="0038014B">
              <w:rPr>
                <w:sz w:val="18"/>
                <w:szCs w:val="18"/>
              </w:rPr>
              <w:t xml:space="preserve"> </w:t>
            </w:r>
          </w:p>
          <w:p w14:paraId="5042A3BE" w14:textId="77777777" w:rsidR="00B56D50" w:rsidRPr="0038014B" w:rsidRDefault="001C3C42">
            <w:pPr>
              <w:spacing w:after="0" w:line="259" w:lineRule="auto"/>
              <w:ind w:left="1" w:right="0" w:firstLine="0"/>
              <w:rPr>
                <w:sz w:val="18"/>
                <w:szCs w:val="18"/>
              </w:rPr>
            </w:pPr>
            <w:r w:rsidRPr="0038014B">
              <w:rPr>
                <w:sz w:val="18"/>
                <w:szCs w:val="18"/>
              </w:rPr>
              <w:t xml:space="preserve">1,2,4,5-Tetrachlorobenzene </w:t>
            </w:r>
          </w:p>
          <w:p w14:paraId="27907FD3" w14:textId="77777777" w:rsidR="00B56D50" w:rsidRPr="0038014B" w:rsidRDefault="001C3C42">
            <w:pPr>
              <w:spacing w:after="0" w:line="259" w:lineRule="auto"/>
              <w:ind w:left="1" w:right="0" w:firstLine="0"/>
              <w:rPr>
                <w:sz w:val="18"/>
                <w:szCs w:val="18"/>
              </w:rPr>
            </w:pPr>
            <w:r w:rsidRPr="0038014B">
              <w:rPr>
                <w:sz w:val="18"/>
                <w:szCs w:val="18"/>
              </w:rPr>
              <w:t xml:space="preserve">2,3,4,6-Tetrachlorophenol </w:t>
            </w:r>
          </w:p>
          <w:p w14:paraId="6D848649" w14:textId="77777777" w:rsidR="00B56D50" w:rsidRPr="0038014B" w:rsidRDefault="001C3C42">
            <w:pPr>
              <w:spacing w:after="0" w:line="259" w:lineRule="auto"/>
              <w:ind w:left="1" w:right="0" w:firstLine="0"/>
              <w:rPr>
                <w:sz w:val="18"/>
                <w:szCs w:val="18"/>
              </w:rPr>
            </w:pPr>
            <w:r w:rsidRPr="0038014B">
              <w:rPr>
                <w:sz w:val="18"/>
                <w:szCs w:val="18"/>
              </w:rPr>
              <w:t xml:space="preserve">2,4,6-Tribromophenol </w:t>
            </w:r>
            <w:r w:rsidRPr="0038014B">
              <w:rPr>
                <w:i/>
                <w:sz w:val="18"/>
                <w:szCs w:val="18"/>
              </w:rPr>
              <w:t>(</w:t>
            </w:r>
            <w:proofErr w:type="spellStart"/>
            <w:r w:rsidRPr="0038014B">
              <w:rPr>
                <w:i/>
                <w:sz w:val="18"/>
                <w:szCs w:val="18"/>
              </w:rPr>
              <w:t>surr</w:t>
            </w:r>
            <w:proofErr w:type="spellEnd"/>
            <w:r w:rsidRPr="0038014B">
              <w:rPr>
                <w:i/>
                <w:sz w:val="18"/>
                <w:szCs w:val="18"/>
              </w:rPr>
              <w:t>)</w:t>
            </w:r>
            <w:r w:rsidRPr="0038014B">
              <w:rPr>
                <w:sz w:val="18"/>
                <w:szCs w:val="18"/>
              </w:rPr>
              <w:t xml:space="preserve"> </w:t>
            </w:r>
          </w:p>
          <w:p w14:paraId="1020870C" w14:textId="77777777" w:rsidR="00B56D50" w:rsidRPr="0038014B" w:rsidRDefault="001C3C42">
            <w:pPr>
              <w:spacing w:after="0" w:line="259" w:lineRule="auto"/>
              <w:ind w:left="1" w:right="0" w:firstLine="0"/>
              <w:rPr>
                <w:sz w:val="18"/>
                <w:szCs w:val="18"/>
              </w:rPr>
            </w:pPr>
            <w:r w:rsidRPr="0038014B">
              <w:rPr>
                <w:sz w:val="18"/>
                <w:szCs w:val="18"/>
              </w:rPr>
              <w:t xml:space="preserve">2,4,5-Trichlorophenol </w:t>
            </w:r>
          </w:p>
          <w:p w14:paraId="4AE999D2" w14:textId="77777777" w:rsidR="00B56D50" w:rsidRPr="003851F0" w:rsidRDefault="001C3C42">
            <w:pPr>
              <w:spacing w:after="0" w:line="259" w:lineRule="auto"/>
              <w:ind w:left="1" w:right="0" w:firstLine="0"/>
            </w:pPr>
            <w:r w:rsidRPr="0038014B">
              <w:rPr>
                <w:sz w:val="18"/>
                <w:szCs w:val="18"/>
              </w:rPr>
              <w:t>2,4,5-Trichlorophenol</w:t>
            </w:r>
            <w:r w:rsidRPr="003851F0">
              <w:rPr>
                <w:sz w:val="20"/>
              </w:rPr>
              <w:t xml:space="preserve"> </w:t>
            </w:r>
          </w:p>
        </w:tc>
        <w:tc>
          <w:tcPr>
            <w:tcW w:w="2340" w:type="dxa"/>
            <w:tcBorders>
              <w:top w:val="single" w:sz="12" w:space="0" w:color="000000"/>
              <w:left w:val="single" w:sz="12" w:space="0" w:color="000000"/>
              <w:bottom w:val="single" w:sz="12" w:space="0" w:color="000000"/>
              <w:right w:val="single" w:sz="12" w:space="0" w:color="000000"/>
            </w:tcBorders>
          </w:tcPr>
          <w:p w14:paraId="7EBEEB8C" w14:textId="77777777" w:rsidR="00B56D50" w:rsidRPr="003851F0" w:rsidRDefault="001C3C42">
            <w:pPr>
              <w:spacing w:after="0" w:line="259" w:lineRule="auto"/>
              <w:ind w:left="0" w:right="0" w:firstLine="0"/>
            </w:pPr>
            <w:r w:rsidRPr="003851F0">
              <w:rPr>
                <w:sz w:val="20"/>
              </w:rPr>
              <w:t xml:space="preserve"> </w:t>
            </w:r>
          </w:p>
          <w:p w14:paraId="09A2A0DC" w14:textId="03B43572" w:rsidR="00AE7E56" w:rsidRPr="0038014B" w:rsidRDefault="00AE7E56">
            <w:pPr>
              <w:spacing w:after="0" w:line="259" w:lineRule="auto"/>
              <w:ind w:left="0" w:right="0" w:firstLine="0"/>
              <w:rPr>
                <w:sz w:val="18"/>
                <w:szCs w:val="18"/>
              </w:rPr>
            </w:pPr>
            <w:r w:rsidRPr="0038014B">
              <w:rPr>
                <w:sz w:val="18"/>
                <w:szCs w:val="18"/>
              </w:rPr>
              <w:t>Atrazin</w:t>
            </w:r>
            <w:r w:rsidR="00474AA3" w:rsidRPr="0038014B">
              <w:rPr>
                <w:sz w:val="18"/>
                <w:szCs w:val="18"/>
              </w:rPr>
              <w:t>e</w:t>
            </w:r>
          </w:p>
          <w:p w14:paraId="7D5F4707" w14:textId="3283E987" w:rsidR="00B56D50" w:rsidRPr="0038014B" w:rsidRDefault="001C3C42">
            <w:pPr>
              <w:spacing w:after="0" w:line="259" w:lineRule="auto"/>
              <w:ind w:left="0" w:right="0" w:firstLine="0"/>
              <w:rPr>
                <w:sz w:val="18"/>
                <w:szCs w:val="18"/>
              </w:rPr>
            </w:pPr>
            <w:r w:rsidRPr="0038014B">
              <w:rPr>
                <w:sz w:val="18"/>
                <w:szCs w:val="18"/>
              </w:rPr>
              <w:t xml:space="preserve">4-Aminobiphenyl </w:t>
            </w:r>
          </w:p>
          <w:p w14:paraId="4B34CA68" w14:textId="77777777" w:rsidR="00B56D50" w:rsidRPr="0038014B" w:rsidRDefault="001C3C42">
            <w:pPr>
              <w:spacing w:after="0" w:line="259" w:lineRule="auto"/>
              <w:ind w:left="0" w:right="0" w:firstLine="0"/>
              <w:rPr>
                <w:sz w:val="18"/>
                <w:szCs w:val="18"/>
              </w:rPr>
            </w:pPr>
            <w:r w:rsidRPr="0038014B">
              <w:rPr>
                <w:sz w:val="18"/>
                <w:szCs w:val="18"/>
              </w:rPr>
              <w:t xml:space="preserve">Anthracene </w:t>
            </w:r>
          </w:p>
          <w:p w14:paraId="4345E327" w14:textId="77777777" w:rsidR="00B56D50" w:rsidRPr="0038014B" w:rsidRDefault="001C3C42">
            <w:pPr>
              <w:spacing w:after="3" w:line="237" w:lineRule="auto"/>
              <w:ind w:left="0" w:right="0" w:firstLine="0"/>
              <w:rPr>
                <w:sz w:val="18"/>
                <w:szCs w:val="18"/>
              </w:rPr>
            </w:pPr>
            <w:r w:rsidRPr="0038014B">
              <w:rPr>
                <w:sz w:val="18"/>
                <w:szCs w:val="18"/>
              </w:rPr>
              <w:t xml:space="preserve">4-Bromophenyl phenyl ether </w:t>
            </w:r>
          </w:p>
          <w:p w14:paraId="7AA90488" w14:textId="77777777" w:rsidR="00725B01" w:rsidRDefault="001C3C42">
            <w:pPr>
              <w:spacing w:after="0" w:line="240" w:lineRule="auto"/>
              <w:ind w:left="0" w:right="0" w:firstLine="0"/>
              <w:rPr>
                <w:sz w:val="18"/>
                <w:szCs w:val="18"/>
              </w:rPr>
            </w:pPr>
            <w:r w:rsidRPr="0038014B">
              <w:rPr>
                <w:sz w:val="18"/>
                <w:szCs w:val="18"/>
              </w:rPr>
              <w:t>Di-n-butyl phthalate</w:t>
            </w:r>
          </w:p>
          <w:p w14:paraId="6B28342B" w14:textId="320C1F3B" w:rsidR="00B56D50" w:rsidRPr="0038014B" w:rsidRDefault="001C3C42">
            <w:pPr>
              <w:spacing w:after="0" w:line="240" w:lineRule="auto"/>
              <w:ind w:left="0" w:right="0" w:firstLine="0"/>
              <w:rPr>
                <w:sz w:val="18"/>
                <w:szCs w:val="18"/>
              </w:rPr>
            </w:pPr>
            <w:r w:rsidRPr="00725B01">
              <w:rPr>
                <w:sz w:val="18"/>
                <w:szCs w:val="18"/>
              </w:rPr>
              <w:t>4,6-Dinitro-2</w:t>
            </w:r>
            <w:r w:rsidR="00725B01">
              <w:rPr>
                <w:sz w:val="18"/>
                <w:szCs w:val="18"/>
              </w:rPr>
              <w:t>-</w:t>
            </w:r>
            <w:r w:rsidRPr="0038014B">
              <w:rPr>
                <w:sz w:val="18"/>
                <w:szCs w:val="18"/>
              </w:rPr>
              <w:t xml:space="preserve">methylphenol Diphenylamine </w:t>
            </w:r>
          </w:p>
          <w:p w14:paraId="00665022" w14:textId="77777777" w:rsidR="00B56D50" w:rsidRPr="0038014B" w:rsidRDefault="001C3C42">
            <w:pPr>
              <w:spacing w:after="0" w:line="259" w:lineRule="auto"/>
              <w:ind w:left="0" w:right="0" w:firstLine="0"/>
              <w:rPr>
                <w:sz w:val="18"/>
                <w:szCs w:val="18"/>
              </w:rPr>
            </w:pPr>
            <w:r w:rsidRPr="0038014B">
              <w:rPr>
                <w:sz w:val="18"/>
                <w:szCs w:val="18"/>
              </w:rPr>
              <w:t xml:space="preserve">Fluoranthene </w:t>
            </w:r>
          </w:p>
          <w:p w14:paraId="701CDB3A" w14:textId="77777777" w:rsidR="00B56D50" w:rsidRPr="0038014B" w:rsidRDefault="001C3C42">
            <w:pPr>
              <w:spacing w:after="0" w:line="259" w:lineRule="auto"/>
              <w:ind w:left="0" w:right="0" w:firstLine="0"/>
              <w:rPr>
                <w:sz w:val="18"/>
                <w:szCs w:val="18"/>
              </w:rPr>
            </w:pPr>
            <w:r w:rsidRPr="0038014B">
              <w:rPr>
                <w:sz w:val="18"/>
                <w:szCs w:val="18"/>
              </w:rPr>
              <w:t xml:space="preserve">Hexachlorobenzene </w:t>
            </w:r>
          </w:p>
          <w:p w14:paraId="1E1326BA" w14:textId="77777777" w:rsidR="00B56D50" w:rsidRPr="0038014B" w:rsidRDefault="001C3C42">
            <w:pPr>
              <w:spacing w:after="0" w:line="259" w:lineRule="auto"/>
              <w:ind w:left="0" w:right="0" w:firstLine="0"/>
              <w:rPr>
                <w:sz w:val="18"/>
                <w:szCs w:val="18"/>
              </w:rPr>
            </w:pPr>
            <w:r w:rsidRPr="0038014B">
              <w:rPr>
                <w:sz w:val="18"/>
                <w:szCs w:val="18"/>
              </w:rPr>
              <w:t>N-</w:t>
            </w:r>
            <w:proofErr w:type="spellStart"/>
            <w:r w:rsidRPr="0038014B">
              <w:rPr>
                <w:sz w:val="18"/>
                <w:szCs w:val="18"/>
              </w:rPr>
              <w:t>Nitrosodiphenylamine</w:t>
            </w:r>
            <w:proofErr w:type="spellEnd"/>
            <w:r w:rsidRPr="0038014B">
              <w:rPr>
                <w:sz w:val="18"/>
                <w:szCs w:val="18"/>
              </w:rPr>
              <w:t xml:space="preserve"> </w:t>
            </w:r>
          </w:p>
          <w:p w14:paraId="5FC16996" w14:textId="77777777" w:rsidR="00B56D50" w:rsidRPr="0038014B" w:rsidRDefault="001C3C42">
            <w:pPr>
              <w:spacing w:after="0" w:line="259" w:lineRule="auto"/>
              <w:ind w:left="0" w:right="0" w:firstLine="0"/>
              <w:rPr>
                <w:sz w:val="18"/>
                <w:szCs w:val="18"/>
              </w:rPr>
            </w:pPr>
            <w:r w:rsidRPr="0038014B">
              <w:rPr>
                <w:sz w:val="18"/>
                <w:szCs w:val="18"/>
              </w:rPr>
              <w:t xml:space="preserve">Pentachlorophenol </w:t>
            </w:r>
          </w:p>
          <w:p w14:paraId="19FC8C4A" w14:textId="77777777" w:rsidR="00B56D50" w:rsidRPr="0038014B" w:rsidRDefault="001C3C42">
            <w:pPr>
              <w:spacing w:after="0" w:line="259" w:lineRule="auto"/>
              <w:ind w:left="0" w:right="0" w:firstLine="0"/>
              <w:rPr>
                <w:sz w:val="18"/>
                <w:szCs w:val="18"/>
              </w:rPr>
            </w:pPr>
            <w:r w:rsidRPr="0038014B">
              <w:rPr>
                <w:sz w:val="18"/>
                <w:szCs w:val="18"/>
              </w:rPr>
              <w:t xml:space="preserve">Pentachloronitrobenzene </w:t>
            </w:r>
          </w:p>
          <w:p w14:paraId="089EC2D6" w14:textId="77777777" w:rsidR="00B56D50" w:rsidRPr="0038014B" w:rsidRDefault="001C3C42">
            <w:pPr>
              <w:spacing w:after="0" w:line="259" w:lineRule="auto"/>
              <w:ind w:left="0" w:right="0" w:firstLine="0"/>
              <w:rPr>
                <w:sz w:val="18"/>
                <w:szCs w:val="18"/>
              </w:rPr>
            </w:pPr>
            <w:r w:rsidRPr="0038014B">
              <w:rPr>
                <w:sz w:val="18"/>
                <w:szCs w:val="18"/>
              </w:rPr>
              <w:t xml:space="preserve">Phenacetin </w:t>
            </w:r>
          </w:p>
          <w:p w14:paraId="4DA537F3" w14:textId="77777777" w:rsidR="00B56D50" w:rsidRPr="0038014B" w:rsidRDefault="001C3C42">
            <w:pPr>
              <w:spacing w:after="0" w:line="259" w:lineRule="auto"/>
              <w:ind w:left="0" w:right="0" w:firstLine="0"/>
              <w:rPr>
                <w:sz w:val="18"/>
                <w:szCs w:val="18"/>
              </w:rPr>
            </w:pPr>
            <w:r w:rsidRPr="0038014B">
              <w:rPr>
                <w:sz w:val="18"/>
                <w:szCs w:val="18"/>
              </w:rPr>
              <w:t xml:space="preserve">Phenanthrene </w:t>
            </w:r>
          </w:p>
          <w:p w14:paraId="5660458F" w14:textId="77777777" w:rsidR="00B56D50" w:rsidRPr="003851F0" w:rsidRDefault="001C3C42">
            <w:pPr>
              <w:spacing w:after="0" w:line="259" w:lineRule="auto"/>
              <w:ind w:left="0" w:right="0" w:firstLine="0"/>
            </w:pPr>
            <w:proofErr w:type="spellStart"/>
            <w:r w:rsidRPr="0038014B">
              <w:rPr>
                <w:sz w:val="18"/>
                <w:szCs w:val="18"/>
              </w:rPr>
              <w:t>Pronamide</w:t>
            </w:r>
            <w:proofErr w:type="spellEnd"/>
            <w:r w:rsidRPr="0038014B">
              <w:rPr>
                <w:sz w:val="18"/>
                <w:szCs w:val="18"/>
              </w:rPr>
              <w:t xml:space="preserve"> </w:t>
            </w:r>
          </w:p>
        </w:tc>
        <w:tc>
          <w:tcPr>
            <w:tcW w:w="2413" w:type="dxa"/>
            <w:tcBorders>
              <w:top w:val="single" w:sz="12" w:space="0" w:color="000000"/>
              <w:left w:val="single" w:sz="12" w:space="0" w:color="000000"/>
              <w:bottom w:val="single" w:sz="12" w:space="0" w:color="000000"/>
              <w:right w:val="single" w:sz="12" w:space="0" w:color="000000"/>
            </w:tcBorders>
          </w:tcPr>
          <w:p w14:paraId="46596873" w14:textId="77777777" w:rsidR="00B56D50" w:rsidRPr="003851F0" w:rsidRDefault="001C3C42">
            <w:pPr>
              <w:spacing w:after="0" w:line="259" w:lineRule="auto"/>
              <w:ind w:left="0" w:right="0" w:firstLine="0"/>
            </w:pPr>
            <w:r w:rsidRPr="003851F0">
              <w:rPr>
                <w:sz w:val="20"/>
              </w:rPr>
              <w:t xml:space="preserve"> </w:t>
            </w:r>
          </w:p>
          <w:p w14:paraId="6F08D406" w14:textId="77777777" w:rsidR="00B56D50" w:rsidRPr="003857DB" w:rsidRDefault="001C3C42">
            <w:pPr>
              <w:spacing w:after="0" w:line="259" w:lineRule="auto"/>
              <w:ind w:left="0" w:right="0" w:firstLine="0"/>
              <w:rPr>
                <w:sz w:val="18"/>
                <w:szCs w:val="18"/>
              </w:rPr>
            </w:pPr>
            <w:r w:rsidRPr="003857DB">
              <w:rPr>
                <w:sz w:val="18"/>
                <w:szCs w:val="18"/>
              </w:rPr>
              <w:t xml:space="preserve">Benzidine </w:t>
            </w:r>
          </w:p>
          <w:p w14:paraId="40BAD8A0" w14:textId="77777777" w:rsidR="00B56D50" w:rsidRPr="003857DB" w:rsidRDefault="001C3C42">
            <w:pPr>
              <w:spacing w:after="0" w:line="259" w:lineRule="auto"/>
              <w:ind w:left="0" w:right="0" w:firstLine="0"/>
              <w:rPr>
                <w:sz w:val="18"/>
                <w:szCs w:val="18"/>
              </w:rPr>
            </w:pPr>
            <w:r w:rsidRPr="003857DB">
              <w:rPr>
                <w:sz w:val="18"/>
                <w:szCs w:val="18"/>
              </w:rPr>
              <w:t xml:space="preserve">Benzo(a)anthracene </w:t>
            </w:r>
          </w:p>
          <w:p w14:paraId="5B154212" w14:textId="31CAE3F3" w:rsidR="00B56D50" w:rsidRPr="003857DB" w:rsidRDefault="001C3C42">
            <w:pPr>
              <w:spacing w:after="0" w:line="259" w:lineRule="auto"/>
              <w:ind w:left="0" w:right="0" w:firstLine="0"/>
              <w:rPr>
                <w:sz w:val="18"/>
                <w:szCs w:val="18"/>
              </w:rPr>
            </w:pPr>
            <w:r w:rsidRPr="003857DB">
              <w:rPr>
                <w:sz w:val="18"/>
                <w:szCs w:val="18"/>
              </w:rPr>
              <w:t>Bis(2-</w:t>
            </w:r>
            <w:r w:rsidR="00EC4C5A" w:rsidRPr="003857DB">
              <w:rPr>
                <w:sz w:val="18"/>
                <w:szCs w:val="18"/>
              </w:rPr>
              <w:t>ethylhexyl) phthalate</w:t>
            </w:r>
            <w:r w:rsidRPr="003857DB">
              <w:rPr>
                <w:sz w:val="18"/>
                <w:szCs w:val="18"/>
              </w:rPr>
              <w:t xml:space="preserve"> </w:t>
            </w:r>
          </w:p>
          <w:p w14:paraId="5994A579" w14:textId="77777777" w:rsidR="00B56D50" w:rsidRPr="003857DB" w:rsidRDefault="001C3C42">
            <w:pPr>
              <w:spacing w:after="0" w:line="259" w:lineRule="auto"/>
              <w:ind w:left="0" w:right="0" w:firstLine="0"/>
              <w:rPr>
                <w:sz w:val="18"/>
                <w:szCs w:val="18"/>
              </w:rPr>
            </w:pPr>
            <w:r w:rsidRPr="003857DB">
              <w:rPr>
                <w:sz w:val="18"/>
                <w:szCs w:val="18"/>
              </w:rPr>
              <w:t xml:space="preserve">Butyl benzyl phthalate </w:t>
            </w:r>
          </w:p>
          <w:p w14:paraId="369CF33E" w14:textId="77777777" w:rsidR="00B56D50" w:rsidRPr="003857DB" w:rsidRDefault="001C3C42">
            <w:pPr>
              <w:spacing w:after="0" w:line="259" w:lineRule="auto"/>
              <w:ind w:left="0" w:right="0" w:firstLine="0"/>
              <w:rPr>
                <w:sz w:val="18"/>
                <w:szCs w:val="18"/>
              </w:rPr>
            </w:pPr>
            <w:r w:rsidRPr="003857DB">
              <w:rPr>
                <w:sz w:val="18"/>
                <w:szCs w:val="18"/>
              </w:rPr>
              <w:t xml:space="preserve">Chrysene </w:t>
            </w:r>
          </w:p>
          <w:p w14:paraId="6F8E34D4" w14:textId="77777777" w:rsidR="003857DB" w:rsidRDefault="001C3C42">
            <w:pPr>
              <w:spacing w:after="0" w:line="240" w:lineRule="auto"/>
              <w:ind w:left="0" w:right="0" w:firstLine="0"/>
              <w:rPr>
                <w:sz w:val="18"/>
                <w:szCs w:val="18"/>
              </w:rPr>
            </w:pPr>
            <w:r w:rsidRPr="003857DB">
              <w:rPr>
                <w:sz w:val="18"/>
                <w:szCs w:val="18"/>
              </w:rPr>
              <w:t xml:space="preserve">3,3'-Dichlorobenzidine </w:t>
            </w:r>
          </w:p>
          <w:p w14:paraId="3E2C54A9" w14:textId="738FD293" w:rsidR="00B56D50" w:rsidRPr="0038014B" w:rsidRDefault="001C3C42">
            <w:pPr>
              <w:spacing w:after="0" w:line="240" w:lineRule="auto"/>
              <w:ind w:left="0" w:right="0" w:firstLine="0"/>
              <w:rPr>
                <w:sz w:val="18"/>
                <w:szCs w:val="18"/>
              </w:rPr>
            </w:pPr>
            <w:r w:rsidRPr="0038014B">
              <w:rPr>
                <w:sz w:val="18"/>
                <w:szCs w:val="18"/>
              </w:rPr>
              <w:t>p-</w:t>
            </w:r>
            <w:proofErr w:type="spellStart"/>
            <w:r w:rsidRPr="0038014B">
              <w:rPr>
                <w:sz w:val="18"/>
                <w:szCs w:val="18"/>
              </w:rPr>
              <w:t>Dimethylaminoazobenzene</w:t>
            </w:r>
            <w:proofErr w:type="spellEnd"/>
            <w:r w:rsidRPr="0038014B">
              <w:rPr>
                <w:sz w:val="18"/>
                <w:szCs w:val="18"/>
              </w:rPr>
              <w:t xml:space="preserve"> </w:t>
            </w:r>
          </w:p>
          <w:p w14:paraId="45B8A7A5" w14:textId="77777777" w:rsidR="00B56D50" w:rsidRPr="0038014B" w:rsidRDefault="001C3C42">
            <w:pPr>
              <w:spacing w:after="0" w:line="259" w:lineRule="auto"/>
              <w:ind w:left="0" w:right="0" w:firstLine="0"/>
              <w:rPr>
                <w:sz w:val="18"/>
                <w:szCs w:val="18"/>
              </w:rPr>
            </w:pPr>
            <w:r w:rsidRPr="0038014B">
              <w:rPr>
                <w:sz w:val="18"/>
                <w:szCs w:val="18"/>
              </w:rPr>
              <w:t xml:space="preserve">Pyrene </w:t>
            </w:r>
          </w:p>
          <w:p w14:paraId="58042D05" w14:textId="2F66489C" w:rsidR="00B56D50" w:rsidRPr="0038014B" w:rsidRDefault="001C3C42">
            <w:pPr>
              <w:spacing w:after="0" w:line="259" w:lineRule="auto"/>
              <w:ind w:left="0" w:right="0" w:firstLine="0"/>
              <w:rPr>
                <w:sz w:val="18"/>
                <w:szCs w:val="18"/>
              </w:rPr>
            </w:pPr>
            <w:r w:rsidRPr="0038014B">
              <w:rPr>
                <w:sz w:val="18"/>
                <w:szCs w:val="18"/>
              </w:rPr>
              <w:t>Terphenyl-d</w:t>
            </w:r>
            <w:r w:rsidRPr="0038014B">
              <w:rPr>
                <w:sz w:val="18"/>
                <w:szCs w:val="18"/>
                <w:vertAlign w:val="subscript"/>
              </w:rPr>
              <w:t>14</w:t>
            </w:r>
            <w:r w:rsidRPr="0038014B">
              <w:rPr>
                <w:sz w:val="18"/>
                <w:szCs w:val="18"/>
              </w:rPr>
              <w:t xml:space="preserve"> </w:t>
            </w:r>
            <w:r w:rsidRPr="0038014B">
              <w:rPr>
                <w:i/>
                <w:sz w:val="18"/>
                <w:szCs w:val="18"/>
              </w:rPr>
              <w:t>(</w:t>
            </w:r>
            <w:proofErr w:type="spellStart"/>
            <w:r w:rsidRPr="0038014B">
              <w:rPr>
                <w:i/>
                <w:sz w:val="18"/>
                <w:szCs w:val="18"/>
              </w:rPr>
              <w:t>surr</w:t>
            </w:r>
            <w:proofErr w:type="spellEnd"/>
            <w:r w:rsidRPr="0038014B">
              <w:rPr>
                <w:i/>
                <w:sz w:val="18"/>
                <w:szCs w:val="18"/>
              </w:rPr>
              <w:t>)</w:t>
            </w:r>
            <w:r w:rsidRPr="0038014B">
              <w:rPr>
                <w:sz w:val="18"/>
                <w:szCs w:val="18"/>
              </w:rPr>
              <w:t xml:space="preserve"> </w:t>
            </w:r>
          </w:p>
          <w:p w14:paraId="33400EFB" w14:textId="77777777" w:rsidR="00B56D50" w:rsidRPr="0038014B" w:rsidRDefault="001C3C42">
            <w:pPr>
              <w:spacing w:after="0" w:line="259" w:lineRule="auto"/>
              <w:ind w:left="0" w:right="0" w:firstLine="0"/>
              <w:rPr>
                <w:sz w:val="18"/>
                <w:szCs w:val="18"/>
              </w:rPr>
            </w:pPr>
            <w:r w:rsidRPr="0038014B">
              <w:rPr>
                <w:sz w:val="18"/>
                <w:szCs w:val="18"/>
              </w:rPr>
              <w:t xml:space="preserve">Di-n-octyl phthalate </w:t>
            </w:r>
          </w:p>
          <w:p w14:paraId="70807573" w14:textId="05EFF50D" w:rsidR="00B56D50" w:rsidRPr="003851F0" w:rsidRDefault="00B56D50">
            <w:pPr>
              <w:spacing w:after="0" w:line="259" w:lineRule="auto"/>
              <w:ind w:left="0" w:right="0" w:firstLine="0"/>
            </w:pPr>
          </w:p>
        </w:tc>
        <w:tc>
          <w:tcPr>
            <w:tcW w:w="2549" w:type="dxa"/>
            <w:tcBorders>
              <w:top w:val="single" w:sz="12" w:space="0" w:color="000000"/>
              <w:left w:val="single" w:sz="12" w:space="0" w:color="000000"/>
              <w:bottom w:val="single" w:sz="12" w:space="0" w:color="000000"/>
              <w:right w:val="single" w:sz="12" w:space="0" w:color="000000"/>
            </w:tcBorders>
          </w:tcPr>
          <w:p w14:paraId="0B26A588" w14:textId="77777777" w:rsidR="00B56D50" w:rsidRPr="003851F0" w:rsidRDefault="001C3C42">
            <w:pPr>
              <w:spacing w:after="0" w:line="259" w:lineRule="auto"/>
              <w:ind w:left="2" w:right="0" w:firstLine="0"/>
            </w:pPr>
            <w:r w:rsidRPr="003851F0">
              <w:rPr>
                <w:sz w:val="20"/>
              </w:rPr>
              <w:t xml:space="preserve"> </w:t>
            </w:r>
          </w:p>
          <w:p w14:paraId="64A9037B" w14:textId="77777777" w:rsidR="00B56D50" w:rsidRPr="0038014B" w:rsidRDefault="001C3C42">
            <w:pPr>
              <w:spacing w:after="0" w:line="259" w:lineRule="auto"/>
              <w:ind w:left="2" w:right="0" w:firstLine="0"/>
              <w:rPr>
                <w:sz w:val="18"/>
                <w:szCs w:val="18"/>
              </w:rPr>
            </w:pPr>
            <w:r w:rsidRPr="0038014B">
              <w:rPr>
                <w:sz w:val="18"/>
                <w:szCs w:val="18"/>
              </w:rPr>
              <w:t xml:space="preserve">Benzo(b)fluoranthene </w:t>
            </w:r>
          </w:p>
          <w:p w14:paraId="42F784E9" w14:textId="77777777" w:rsidR="00B56D50" w:rsidRPr="0038014B" w:rsidRDefault="001C3C42">
            <w:pPr>
              <w:spacing w:after="0" w:line="259" w:lineRule="auto"/>
              <w:ind w:left="2" w:right="0" w:firstLine="0"/>
              <w:rPr>
                <w:sz w:val="18"/>
                <w:szCs w:val="18"/>
              </w:rPr>
            </w:pPr>
            <w:r w:rsidRPr="0038014B">
              <w:rPr>
                <w:sz w:val="18"/>
                <w:szCs w:val="18"/>
              </w:rPr>
              <w:t xml:space="preserve">Benzo(k)fluoranthene </w:t>
            </w:r>
          </w:p>
          <w:p w14:paraId="2CB2C8D2" w14:textId="77777777" w:rsidR="00B56D50" w:rsidRPr="0038014B" w:rsidRDefault="001C3C42">
            <w:pPr>
              <w:spacing w:after="0" w:line="259" w:lineRule="auto"/>
              <w:ind w:left="2" w:right="0" w:firstLine="0"/>
              <w:rPr>
                <w:sz w:val="18"/>
                <w:szCs w:val="18"/>
              </w:rPr>
            </w:pPr>
            <w:r w:rsidRPr="0038014B">
              <w:rPr>
                <w:sz w:val="18"/>
                <w:szCs w:val="18"/>
              </w:rPr>
              <w:t>Benzo(</w:t>
            </w:r>
            <w:proofErr w:type="spellStart"/>
            <w:proofErr w:type="gramStart"/>
            <w:r w:rsidRPr="0038014B">
              <w:rPr>
                <w:sz w:val="18"/>
                <w:szCs w:val="18"/>
              </w:rPr>
              <w:t>g,h</w:t>
            </w:r>
            <w:proofErr w:type="gramEnd"/>
            <w:r w:rsidRPr="0038014B">
              <w:rPr>
                <w:sz w:val="18"/>
                <w:szCs w:val="18"/>
              </w:rPr>
              <w:t>,</w:t>
            </w:r>
            <w:proofErr w:type="gramStart"/>
            <w:r w:rsidRPr="0038014B">
              <w:rPr>
                <w:sz w:val="18"/>
                <w:szCs w:val="18"/>
              </w:rPr>
              <w:t>i</w:t>
            </w:r>
            <w:proofErr w:type="spellEnd"/>
            <w:r w:rsidRPr="0038014B">
              <w:rPr>
                <w:sz w:val="18"/>
                <w:szCs w:val="18"/>
              </w:rPr>
              <w:t>)perylene</w:t>
            </w:r>
            <w:proofErr w:type="gramEnd"/>
            <w:r w:rsidRPr="0038014B">
              <w:rPr>
                <w:sz w:val="18"/>
                <w:szCs w:val="18"/>
              </w:rPr>
              <w:t xml:space="preserve"> </w:t>
            </w:r>
          </w:p>
          <w:p w14:paraId="61CEE286" w14:textId="77777777" w:rsidR="00B56D50" w:rsidRPr="0038014B" w:rsidRDefault="001C3C42">
            <w:pPr>
              <w:spacing w:after="0" w:line="259" w:lineRule="auto"/>
              <w:ind w:left="2" w:right="0" w:firstLine="0"/>
              <w:rPr>
                <w:sz w:val="18"/>
                <w:szCs w:val="18"/>
              </w:rPr>
            </w:pPr>
            <w:r w:rsidRPr="0038014B">
              <w:rPr>
                <w:sz w:val="18"/>
                <w:szCs w:val="18"/>
              </w:rPr>
              <w:t xml:space="preserve">Benzo(a)pyrene </w:t>
            </w:r>
          </w:p>
          <w:p w14:paraId="58D51E66" w14:textId="77777777" w:rsidR="00B56D50" w:rsidRPr="0038014B" w:rsidRDefault="001C3C42">
            <w:pPr>
              <w:spacing w:after="0" w:line="259" w:lineRule="auto"/>
              <w:ind w:left="2" w:right="0" w:firstLine="0"/>
              <w:rPr>
                <w:sz w:val="18"/>
                <w:szCs w:val="18"/>
              </w:rPr>
            </w:pPr>
            <w:r w:rsidRPr="0038014B">
              <w:rPr>
                <w:sz w:val="18"/>
                <w:szCs w:val="18"/>
              </w:rPr>
              <w:t>Dibenz(</w:t>
            </w:r>
            <w:proofErr w:type="spellStart"/>
            <w:proofErr w:type="gramStart"/>
            <w:r w:rsidRPr="0038014B">
              <w:rPr>
                <w:sz w:val="18"/>
                <w:szCs w:val="18"/>
              </w:rPr>
              <w:t>a,j</w:t>
            </w:r>
            <w:proofErr w:type="spellEnd"/>
            <w:proofErr w:type="gramEnd"/>
            <w:r w:rsidRPr="0038014B">
              <w:rPr>
                <w:sz w:val="18"/>
                <w:szCs w:val="18"/>
              </w:rPr>
              <w:t xml:space="preserve">)acridine </w:t>
            </w:r>
          </w:p>
          <w:p w14:paraId="02FC023B" w14:textId="77777777" w:rsidR="00B56D50" w:rsidRPr="0038014B" w:rsidRDefault="001C3C42">
            <w:pPr>
              <w:spacing w:after="0" w:line="259" w:lineRule="auto"/>
              <w:ind w:left="2" w:right="0" w:firstLine="0"/>
              <w:rPr>
                <w:sz w:val="18"/>
                <w:szCs w:val="18"/>
              </w:rPr>
            </w:pPr>
            <w:r w:rsidRPr="0038014B">
              <w:rPr>
                <w:sz w:val="18"/>
                <w:szCs w:val="18"/>
              </w:rPr>
              <w:t>Dibenz(</w:t>
            </w:r>
            <w:proofErr w:type="spellStart"/>
            <w:proofErr w:type="gramStart"/>
            <w:r w:rsidRPr="0038014B">
              <w:rPr>
                <w:sz w:val="18"/>
                <w:szCs w:val="18"/>
              </w:rPr>
              <w:t>a,h</w:t>
            </w:r>
            <w:proofErr w:type="spellEnd"/>
            <w:proofErr w:type="gramEnd"/>
            <w:r w:rsidRPr="0038014B">
              <w:rPr>
                <w:sz w:val="18"/>
                <w:szCs w:val="18"/>
              </w:rPr>
              <w:t>)anthracene</w:t>
            </w:r>
          </w:p>
          <w:p w14:paraId="05A8C969" w14:textId="0003925A" w:rsidR="00B56D50" w:rsidRPr="0038014B" w:rsidRDefault="001C3C42" w:rsidP="0038014B">
            <w:pPr>
              <w:spacing w:after="0" w:line="259" w:lineRule="auto"/>
              <w:ind w:left="2" w:right="0" w:firstLine="0"/>
              <w:rPr>
                <w:sz w:val="18"/>
                <w:szCs w:val="18"/>
              </w:rPr>
            </w:pPr>
            <w:r w:rsidRPr="0038014B">
              <w:rPr>
                <w:sz w:val="18"/>
                <w:szCs w:val="18"/>
              </w:rPr>
              <w:t xml:space="preserve">7,12-Dimethylbenz[a]anthracene </w:t>
            </w:r>
          </w:p>
          <w:p w14:paraId="37438508" w14:textId="77777777" w:rsidR="00B56D50" w:rsidRPr="0038014B" w:rsidRDefault="001C3C42" w:rsidP="0038014B">
            <w:pPr>
              <w:spacing w:after="0" w:line="259" w:lineRule="auto"/>
              <w:ind w:left="2" w:right="0" w:firstLine="0"/>
              <w:rPr>
                <w:sz w:val="18"/>
                <w:szCs w:val="18"/>
              </w:rPr>
            </w:pPr>
            <w:r w:rsidRPr="0038014B">
              <w:rPr>
                <w:sz w:val="18"/>
                <w:szCs w:val="18"/>
              </w:rPr>
              <w:t xml:space="preserve">Di-n-octyl phthalate </w:t>
            </w:r>
          </w:p>
          <w:p w14:paraId="34534D1D" w14:textId="61D714E6" w:rsidR="00B56D50" w:rsidRPr="0038014B" w:rsidRDefault="001C3C42" w:rsidP="0038014B">
            <w:pPr>
              <w:spacing w:after="0" w:line="237" w:lineRule="auto"/>
              <w:ind w:left="2" w:right="23" w:firstLine="0"/>
              <w:rPr>
                <w:sz w:val="18"/>
                <w:szCs w:val="18"/>
              </w:rPr>
            </w:pPr>
            <w:proofErr w:type="spellStart"/>
            <w:r w:rsidRPr="0038014B">
              <w:rPr>
                <w:sz w:val="18"/>
                <w:szCs w:val="18"/>
              </w:rPr>
              <w:t>Indeno</w:t>
            </w:r>
            <w:proofErr w:type="spellEnd"/>
            <w:r w:rsidRPr="0038014B">
              <w:rPr>
                <w:sz w:val="18"/>
                <w:szCs w:val="18"/>
              </w:rPr>
              <w:t>(1,2,3</w:t>
            </w:r>
            <w:r w:rsidR="00EC4C5A" w:rsidRPr="0038014B">
              <w:rPr>
                <w:sz w:val="18"/>
                <w:szCs w:val="18"/>
              </w:rPr>
              <w:t>cd) pyrene</w:t>
            </w:r>
            <w:r w:rsidRPr="0038014B">
              <w:rPr>
                <w:sz w:val="18"/>
                <w:szCs w:val="18"/>
              </w:rPr>
              <w:t xml:space="preserve"> </w:t>
            </w:r>
          </w:p>
          <w:p w14:paraId="7AC216C4" w14:textId="77777777" w:rsidR="00B56D50" w:rsidRPr="0038014B" w:rsidRDefault="001C3C42" w:rsidP="0038014B">
            <w:pPr>
              <w:spacing w:after="0" w:line="259" w:lineRule="auto"/>
              <w:ind w:left="2" w:right="0" w:firstLine="0"/>
              <w:rPr>
                <w:sz w:val="18"/>
                <w:szCs w:val="18"/>
              </w:rPr>
            </w:pPr>
            <w:r w:rsidRPr="0038014B">
              <w:rPr>
                <w:sz w:val="18"/>
                <w:szCs w:val="18"/>
              </w:rPr>
              <w:t xml:space="preserve">3-Methylcholanthrene </w:t>
            </w:r>
          </w:p>
          <w:p w14:paraId="608E5325" w14:textId="2D11B472" w:rsidR="00474AA3" w:rsidRPr="0038014B" w:rsidRDefault="00474AA3">
            <w:pPr>
              <w:spacing w:after="154" w:line="259" w:lineRule="auto"/>
              <w:ind w:left="2" w:right="0" w:firstLine="0"/>
              <w:rPr>
                <w:sz w:val="18"/>
                <w:szCs w:val="18"/>
              </w:rPr>
            </w:pPr>
            <w:r w:rsidRPr="0038014B">
              <w:rPr>
                <w:sz w:val="18"/>
                <w:szCs w:val="18"/>
              </w:rPr>
              <w:t>Perylene</w:t>
            </w:r>
          </w:p>
          <w:p w14:paraId="02F0571E" w14:textId="77777777" w:rsidR="00B56D50" w:rsidRPr="003851F0" w:rsidRDefault="001C3C42">
            <w:pPr>
              <w:spacing w:after="0" w:line="259" w:lineRule="auto"/>
              <w:ind w:left="2" w:right="0" w:firstLine="0"/>
            </w:pPr>
            <w:r w:rsidRPr="003851F0">
              <w:rPr>
                <w:sz w:val="20"/>
              </w:rPr>
              <w:t xml:space="preserve"> </w:t>
            </w:r>
          </w:p>
        </w:tc>
      </w:tr>
    </w:tbl>
    <w:p w14:paraId="66CBD2A1" w14:textId="072D1663" w:rsidR="00385DA9" w:rsidRDefault="00385DA9">
      <w:pPr>
        <w:spacing w:after="160" w:line="259" w:lineRule="auto"/>
        <w:ind w:left="0" w:right="0" w:firstLine="0"/>
      </w:pPr>
    </w:p>
    <w:p w14:paraId="63CC7E7E" w14:textId="0B086A67" w:rsidR="00B56D50" w:rsidRDefault="00B56D50" w:rsidP="002F18BA">
      <w:pPr>
        <w:tabs>
          <w:tab w:val="right" w:pos="13895"/>
        </w:tabs>
        <w:spacing w:after="0" w:line="259" w:lineRule="auto"/>
        <w:ind w:left="0" w:right="0" w:firstLine="0"/>
      </w:pPr>
    </w:p>
    <w:p w14:paraId="371D861C" w14:textId="77777777" w:rsidR="00B56D50" w:rsidRDefault="00B56D50">
      <w:pPr>
        <w:sectPr w:rsidR="00B56D50">
          <w:headerReference w:type="even" r:id="rId68"/>
          <w:headerReference w:type="default" r:id="rId69"/>
          <w:footerReference w:type="even" r:id="rId70"/>
          <w:headerReference w:type="first" r:id="rId71"/>
          <w:footerReference w:type="first" r:id="rId72"/>
          <w:pgSz w:w="15840" w:h="12240" w:orient="landscape"/>
          <w:pgMar w:top="1440" w:right="1383" w:bottom="1440" w:left="562" w:header="720" w:footer="720" w:gutter="0"/>
          <w:cols w:space="720"/>
        </w:sectPr>
      </w:pPr>
    </w:p>
    <w:p w14:paraId="62C72A75" w14:textId="77777777" w:rsidR="007573DA" w:rsidRDefault="007573DA" w:rsidP="007573DA">
      <w:pPr>
        <w:spacing w:after="0" w:line="259" w:lineRule="auto"/>
        <w:ind w:left="540" w:right="0" w:firstLine="0"/>
      </w:pPr>
    </w:p>
    <w:p w14:paraId="0DB4A95E" w14:textId="77777777" w:rsidR="007573DA" w:rsidRPr="004F3F68" w:rsidRDefault="007573DA" w:rsidP="00093377">
      <w:pPr>
        <w:pStyle w:val="ListParagraph"/>
        <w:numPr>
          <w:ilvl w:val="0"/>
          <w:numId w:val="18"/>
        </w:numPr>
        <w:ind w:left="1080" w:right="376" w:hanging="360"/>
        <w:rPr>
          <w:b/>
          <w:bCs/>
        </w:rPr>
      </w:pPr>
      <w:r w:rsidRPr="004F3F68">
        <w:rPr>
          <w:b/>
          <w:bCs/>
        </w:rPr>
        <w:t xml:space="preserve">Laboratory Control Sample </w:t>
      </w:r>
    </w:p>
    <w:p w14:paraId="66D22CF9" w14:textId="62821972" w:rsidR="007573DA" w:rsidRDefault="007573DA" w:rsidP="007573DA">
      <w:pPr>
        <w:spacing w:after="0" w:line="259" w:lineRule="auto"/>
        <w:ind w:left="1080" w:right="0" w:firstLine="0"/>
      </w:pPr>
      <w:r>
        <w:t>The Contractor shall include a Laboratory Control Sample (LCS) with each analytical batch</w:t>
      </w:r>
      <w:r w:rsidR="00FE1857">
        <w:t xml:space="preserve">. </w:t>
      </w:r>
      <w:r w:rsidR="00D024D1">
        <w:t xml:space="preserve"> </w:t>
      </w:r>
      <w:r>
        <w:t>When the results of the matrix spike analysis indicate a potential problem due to the sample matrix itself, the LCS results are used to verify that the Contractor can perform the analysis in an organic free matrix.  LCS percent recoveries must be reported.</w:t>
      </w:r>
    </w:p>
    <w:p w14:paraId="281444A5" w14:textId="77777777" w:rsidR="007573DA" w:rsidRDefault="007573DA" w:rsidP="007573DA">
      <w:pPr>
        <w:spacing w:after="0" w:line="259" w:lineRule="auto"/>
        <w:ind w:left="540" w:right="0" w:firstLine="0"/>
      </w:pPr>
    </w:p>
    <w:p w14:paraId="2C9A2EE8" w14:textId="09442C66" w:rsidR="007573DA" w:rsidRDefault="007573DA" w:rsidP="007573DA">
      <w:pPr>
        <w:spacing w:after="0" w:line="259" w:lineRule="auto"/>
        <w:ind w:left="1080" w:right="0" w:firstLine="0"/>
      </w:pPr>
      <w:r>
        <w:t xml:space="preserve">If QC results from the re-extraction and reanalysis are also outside the acceptance limits, but the analysis of a laboratory control sample demonstrates that the method is in control, then the problem is related to sample matrix and analytical requirements will be considered met.  (See SW-846 Method 8000B, Section 8.5.5.)  If re-extraction and reanalysis of the sample </w:t>
      </w:r>
      <w:r w:rsidR="00D37E19">
        <w:t>do</w:t>
      </w:r>
      <w:r>
        <w:t xml:space="preserve"> not solve the problem and the laboratory control sample results are also outside of acceptance limits, instrument maintenance may be required.  Major maintenance such as cleaning an ion source, cleaning quadrupole rods, etc. require returning to the initial calibration step. </w:t>
      </w:r>
    </w:p>
    <w:p w14:paraId="0D3B5D58" w14:textId="4492CF00" w:rsidR="000905A0" w:rsidRDefault="000905A0" w:rsidP="000905A0">
      <w:pPr>
        <w:spacing w:after="0" w:line="259" w:lineRule="auto"/>
        <w:ind w:left="992" w:right="0" w:firstLine="0"/>
        <w:rPr>
          <w:rFonts w:ascii="Arial" w:eastAsia="Arial" w:hAnsi="Arial" w:cs="Arial"/>
          <w:b/>
        </w:rPr>
      </w:pPr>
      <w:r>
        <w:rPr>
          <w:rFonts w:ascii="Arial" w:eastAsia="Arial" w:hAnsi="Arial" w:cs="Arial"/>
          <w:b/>
        </w:rPr>
        <w:t xml:space="preserve"> </w:t>
      </w:r>
    </w:p>
    <w:p w14:paraId="3978A3AE" w14:textId="08FE7EDE" w:rsidR="000905A0" w:rsidRDefault="000905A0" w:rsidP="00D75A9C">
      <w:pPr>
        <w:ind w:left="1090" w:right="0"/>
      </w:pPr>
      <w:r>
        <w:t xml:space="preserve">The range for LCS recoveries provided in TABLE 23 may not be achievable for some volatile target analytes, in which case the acceptance tables provided at the end of the method or the Contractor’s historical recoveries may provide more realistic ranges.  LCS percentage recoveries must be reported.  Target analytes with LCS % recoveries outside the ranges provided in TABLE 23 are to be supported by the Contractor’s historical data which </w:t>
      </w:r>
      <w:r w:rsidR="00D37E19">
        <w:t>is</w:t>
      </w:r>
      <w:r>
        <w:t xml:space="preserve"> also provided in the report.</w:t>
      </w:r>
    </w:p>
    <w:p w14:paraId="2769E9CB" w14:textId="77777777" w:rsidR="000905A0" w:rsidRDefault="000905A0" w:rsidP="007573DA">
      <w:pPr>
        <w:spacing w:after="0" w:line="259" w:lineRule="auto"/>
        <w:ind w:left="1080" w:right="0" w:firstLine="0"/>
      </w:pPr>
    </w:p>
    <w:p w14:paraId="678D32F9" w14:textId="4E8D0459" w:rsidR="005C021A" w:rsidRDefault="007573DA" w:rsidP="005C021A">
      <w:pPr>
        <w:pStyle w:val="Heading5"/>
        <w:ind w:left="1024" w:right="722"/>
      </w:pPr>
      <w:r>
        <w:t>TABLE 2</w:t>
      </w:r>
      <w:r w:rsidR="00D13426">
        <w:t>3</w:t>
      </w:r>
    </w:p>
    <w:p w14:paraId="34926D83" w14:textId="02A59B51" w:rsidR="007573DA" w:rsidRPr="0096449A" w:rsidRDefault="007573DA" w:rsidP="005C021A">
      <w:pPr>
        <w:pStyle w:val="Heading5"/>
        <w:ind w:left="1024" w:right="722"/>
      </w:pPr>
      <w:r w:rsidRPr="0096449A">
        <w:t>Recommended Laboratory Control Sample %R Criteria for Organic Analysis</w:t>
      </w:r>
      <w:r w:rsidRPr="00720308">
        <w:t xml:space="preserve"> </w:t>
      </w:r>
    </w:p>
    <w:p w14:paraId="70800F55" w14:textId="77777777" w:rsidR="007573DA" w:rsidRPr="0096449A" w:rsidRDefault="007573DA" w:rsidP="007573DA">
      <w:pPr>
        <w:spacing w:after="0" w:line="259" w:lineRule="auto"/>
        <w:ind w:left="540" w:right="0" w:firstLine="0"/>
      </w:pPr>
      <w:r w:rsidRPr="00720308">
        <w:rPr>
          <w:rFonts w:ascii="Arial" w:eastAsia="Arial" w:hAnsi="Arial" w:cs="Arial"/>
        </w:rPr>
        <w:t xml:space="preserve"> </w:t>
      </w:r>
    </w:p>
    <w:tbl>
      <w:tblPr>
        <w:tblStyle w:val="TableGrid1"/>
        <w:tblW w:w="7290" w:type="dxa"/>
        <w:tblInd w:w="1892" w:type="dxa"/>
        <w:tblCellMar>
          <w:left w:w="115" w:type="dxa"/>
          <w:right w:w="115" w:type="dxa"/>
        </w:tblCellMar>
        <w:tblLook w:val="04A0" w:firstRow="1" w:lastRow="0" w:firstColumn="1" w:lastColumn="0" w:noHBand="0" w:noVBand="1"/>
      </w:tblPr>
      <w:tblGrid>
        <w:gridCol w:w="2881"/>
        <w:gridCol w:w="1980"/>
        <w:gridCol w:w="2429"/>
      </w:tblGrid>
      <w:tr w:rsidR="007573DA" w14:paraId="2FB3BD10" w14:textId="77777777" w:rsidTr="00601030">
        <w:trPr>
          <w:trHeight w:val="530"/>
        </w:trPr>
        <w:tc>
          <w:tcPr>
            <w:tcW w:w="2881" w:type="dxa"/>
            <w:tcBorders>
              <w:top w:val="single" w:sz="12" w:space="0" w:color="000000"/>
              <w:left w:val="single" w:sz="12" w:space="0" w:color="000000"/>
              <w:bottom w:val="single" w:sz="12" w:space="0" w:color="000000"/>
              <w:right w:val="single" w:sz="12" w:space="0" w:color="000000"/>
            </w:tcBorders>
            <w:vAlign w:val="center"/>
          </w:tcPr>
          <w:p w14:paraId="7BD91A6C" w14:textId="77777777" w:rsidR="007573DA" w:rsidRDefault="007573DA" w:rsidP="00601030">
            <w:pPr>
              <w:spacing w:after="0" w:line="259" w:lineRule="auto"/>
              <w:ind w:left="0" w:right="5" w:firstLine="0"/>
              <w:jc w:val="center"/>
            </w:pPr>
            <w:r>
              <w:rPr>
                <w:b/>
                <w:i/>
                <w:sz w:val="20"/>
              </w:rPr>
              <w:t>Matrix:</w:t>
            </w:r>
            <w:r>
              <w:rPr>
                <w:b/>
                <w:sz w:val="20"/>
              </w:rPr>
              <w:t xml:space="preserve"> </w:t>
            </w:r>
          </w:p>
        </w:tc>
        <w:tc>
          <w:tcPr>
            <w:tcW w:w="1980" w:type="dxa"/>
            <w:tcBorders>
              <w:top w:val="single" w:sz="12" w:space="0" w:color="000000"/>
              <w:left w:val="single" w:sz="12" w:space="0" w:color="000000"/>
              <w:bottom w:val="single" w:sz="12" w:space="0" w:color="000000"/>
              <w:right w:val="single" w:sz="12" w:space="0" w:color="000000"/>
            </w:tcBorders>
            <w:vAlign w:val="center"/>
          </w:tcPr>
          <w:p w14:paraId="52D7ACD3" w14:textId="77777777" w:rsidR="007573DA" w:rsidRDefault="007573DA" w:rsidP="00601030">
            <w:pPr>
              <w:spacing w:after="0" w:line="259" w:lineRule="auto"/>
              <w:ind w:left="0" w:right="6" w:firstLine="0"/>
              <w:jc w:val="center"/>
            </w:pPr>
            <w:r>
              <w:rPr>
                <w:b/>
                <w:sz w:val="20"/>
              </w:rPr>
              <w:t xml:space="preserve">Water </w:t>
            </w:r>
          </w:p>
        </w:tc>
        <w:tc>
          <w:tcPr>
            <w:tcW w:w="2429" w:type="dxa"/>
            <w:tcBorders>
              <w:top w:val="single" w:sz="12" w:space="0" w:color="000000"/>
              <w:left w:val="single" w:sz="12" w:space="0" w:color="000000"/>
              <w:bottom w:val="single" w:sz="12" w:space="0" w:color="000000"/>
              <w:right w:val="single" w:sz="12" w:space="0" w:color="000000"/>
            </w:tcBorders>
            <w:vAlign w:val="center"/>
          </w:tcPr>
          <w:p w14:paraId="370E03C7" w14:textId="77777777" w:rsidR="007573DA" w:rsidRDefault="007573DA" w:rsidP="00601030">
            <w:pPr>
              <w:spacing w:after="0" w:line="259" w:lineRule="auto"/>
              <w:ind w:left="0" w:right="6" w:firstLine="0"/>
              <w:jc w:val="center"/>
            </w:pPr>
            <w:r>
              <w:rPr>
                <w:b/>
                <w:sz w:val="20"/>
              </w:rPr>
              <w:t>Soil &amp; Other Matrices</w:t>
            </w:r>
            <w:r>
              <w:rPr>
                <w:sz w:val="20"/>
              </w:rPr>
              <w:t xml:space="preserve"> </w:t>
            </w:r>
          </w:p>
        </w:tc>
      </w:tr>
      <w:tr w:rsidR="007573DA" w14:paraId="71F52690" w14:textId="77777777" w:rsidTr="00601030">
        <w:trPr>
          <w:trHeight w:val="531"/>
        </w:trPr>
        <w:tc>
          <w:tcPr>
            <w:tcW w:w="2881" w:type="dxa"/>
            <w:tcBorders>
              <w:top w:val="single" w:sz="12" w:space="0" w:color="000000"/>
              <w:left w:val="single" w:sz="12" w:space="0" w:color="000000"/>
              <w:bottom w:val="single" w:sz="12" w:space="0" w:color="000000"/>
              <w:right w:val="single" w:sz="12" w:space="0" w:color="000000"/>
            </w:tcBorders>
            <w:vAlign w:val="center"/>
          </w:tcPr>
          <w:p w14:paraId="1D68EB80" w14:textId="77777777" w:rsidR="007573DA" w:rsidRDefault="007573DA" w:rsidP="00601030">
            <w:pPr>
              <w:spacing w:after="0" w:line="259" w:lineRule="auto"/>
              <w:ind w:left="0" w:right="8" w:firstLine="0"/>
              <w:jc w:val="center"/>
            </w:pPr>
            <w:r>
              <w:rPr>
                <w:b/>
                <w:sz w:val="20"/>
              </w:rPr>
              <w:t xml:space="preserve">Compound </w:t>
            </w:r>
          </w:p>
        </w:tc>
        <w:tc>
          <w:tcPr>
            <w:tcW w:w="1980" w:type="dxa"/>
            <w:tcBorders>
              <w:top w:val="single" w:sz="12" w:space="0" w:color="000000"/>
              <w:left w:val="single" w:sz="12" w:space="0" w:color="000000"/>
              <w:bottom w:val="single" w:sz="12" w:space="0" w:color="000000"/>
              <w:right w:val="single" w:sz="12" w:space="0" w:color="000000"/>
            </w:tcBorders>
            <w:vAlign w:val="center"/>
          </w:tcPr>
          <w:p w14:paraId="5D1F5B6D" w14:textId="77777777" w:rsidR="007573DA" w:rsidRDefault="007573DA" w:rsidP="00601030">
            <w:pPr>
              <w:spacing w:after="0" w:line="259" w:lineRule="auto"/>
              <w:ind w:left="0" w:right="7" w:firstLine="0"/>
              <w:jc w:val="center"/>
            </w:pPr>
            <w:r>
              <w:rPr>
                <w:b/>
                <w:sz w:val="20"/>
              </w:rPr>
              <w:t xml:space="preserve">LCS %Recovery </w:t>
            </w:r>
          </w:p>
        </w:tc>
        <w:tc>
          <w:tcPr>
            <w:tcW w:w="2429" w:type="dxa"/>
            <w:tcBorders>
              <w:top w:val="single" w:sz="12" w:space="0" w:color="000000"/>
              <w:left w:val="single" w:sz="12" w:space="0" w:color="000000"/>
              <w:bottom w:val="single" w:sz="12" w:space="0" w:color="000000"/>
              <w:right w:val="single" w:sz="12" w:space="0" w:color="000000"/>
            </w:tcBorders>
            <w:vAlign w:val="center"/>
          </w:tcPr>
          <w:p w14:paraId="17033AD8" w14:textId="77777777" w:rsidR="007573DA" w:rsidRDefault="007573DA" w:rsidP="00601030">
            <w:pPr>
              <w:spacing w:after="0" w:line="259" w:lineRule="auto"/>
              <w:ind w:left="0" w:right="5" w:firstLine="0"/>
              <w:jc w:val="center"/>
            </w:pPr>
            <w:r>
              <w:rPr>
                <w:b/>
                <w:sz w:val="20"/>
              </w:rPr>
              <w:t xml:space="preserve">LCS %Recovery </w:t>
            </w:r>
          </w:p>
        </w:tc>
      </w:tr>
      <w:tr w:rsidR="007573DA" w14:paraId="4870E113" w14:textId="77777777" w:rsidTr="00601030">
        <w:trPr>
          <w:trHeight w:val="528"/>
        </w:trPr>
        <w:tc>
          <w:tcPr>
            <w:tcW w:w="2881" w:type="dxa"/>
            <w:tcBorders>
              <w:top w:val="single" w:sz="12" w:space="0" w:color="000000"/>
              <w:left w:val="single" w:sz="12" w:space="0" w:color="000000"/>
              <w:bottom w:val="single" w:sz="12" w:space="0" w:color="000000"/>
              <w:right w:val="single" w:sz="12" w:space="0" w:color="000000"/>
            </w:tcBorders>
            <w:vAlign w:val="center"/>
          </w:tcPr>
          <w:p w14:paraId="64D5680F" w14:textId="77777777" w:rsidR="007573DA" w:rsidRDefault="007573DA" w:rsidP="00601030">
            <w:pPr>
              <w:spacing w:after="0" w:line="259" w:lineRule="auto"/>
              <w:ind w:left="0" w:right="7" w:firstLine="0"/>
              <w:jc w:val="center"/>
            </w:pPr>
            <w:r>
              <w:rPr>
                <w:sz w:val="20"/>
              </w:rPr>
              <w:t>A</w:t>
            </w:r>
            <w:r>
              <w:rPr>
                <w:sz w:val="16"/>
              </w:rPr>
              <w:t xml:space="preserve">LL </w:t>
            </w:r>
            <w:r>
              <w:rPr>
                <w:sz w:val="20"/>
              </w:rPr>
              <w:t>T</w:t>
            </w:r>
            <w:r>
              <w:rPr>
                <w:sz w:val="16"/>
              </w:rPr>
              <w:t xml:space="preserve">ARGET </w:t>
            </w:r>
            <w:r>
              <w:rPr>
                <w:sz w:val="20"/>
              </w:rPr>
              <w:t>A</w:t>
            </w:r>
            <w:r>
              <w:rPr>
                <w:sz w:val="16"/>
              </w:rPr>
              <w:t>NALYTES</w:t>
            </w:r>
            <w:r>
              <w:rPr>
                <w:sz w:val="20"/>
              </w:rPr>
              <w:t xml:space="preserve"> </w:t>
            </w:r>
          </w:p>
        </w:tc>
        <w:tc>
          <w:tcPr>
            <w:tcW w:w="1980" w:type="dxa"/>
            <w:tcBorders>
              <w:top w:val="single" w:sz="12" w:space="0" w:color="000000"/>
              <w:left w:val="single" w:sz="12" w:space="0" w:color="000000"/>
              <w:bottom w:val="single" w:sz="12" w:space="0" w:color="000000"/>
              <w:right w:val="single" w:sz="12" w:space="0" w:color="000000"/>
            </w:tcBorders>
            <w:vAlign w:val="center"/>
          </w:tcPr>
          <w:p w14:paraId="6A05EA21" w14:textId="77777777" w:rsidR="007573DA" w:rsidRDefault="007573DA" w:rsidP="00601030">
            <w:pPr>
              <w:spacing w:after="0" w:line="259" w:lineRule="auto"/>
              <w:ind w:left="0" w:right="1" w:firstLine="0"/>
              <w:jc w:val="center"/>
            </w:pPr>
            <w:r>
              <w:rPr>
                <w:sz w:val="20"/>
              </w:rPr>
              <w:t xml:space="preserve">70-130 </w:t>
            </w:r>
          </w:p>
        </w:tc>
        <w:tc>
          <w:tcPr>
            <w:tcW w:w="2429" w:type="dxa"/>
            <w:tcBorders>
              <w:top w:val="single" w:sz="12" w:space="0" w:color="000000"/>
              <w:left w:val="single" w:sz="12" w:space="0" w:color="000000"/>
              <w:bottom w:val="single" w:sz="12" w:space="0" w:color="000000"/>
              <w:right w:val="single" w:sz="12" w:space="0" w:color="000000"/>
            </w:tcBorders>
            <w:vAlign w:val="center"/>
          </w:tcPr>
          <w:p w14:paraId="7FF3D64A" w14:textId="77777777" w:rsidR="007573DA" w:rsidRDefault="007573DA" w:rsidP="00601030">
            <w:pPr>
              <w:spacing w:after="0" w:line="259" w:lineRule="auto"/>
              <w:ind w:left="0" w:right="4" w:firstLine="0"/>
              <w:jc w:val="center"/>
            </w:pPr>
            <w:r>
              <w:rPr>
                <w:sz w:val="20"/>
              </w:rPr>
              <w:t xml:space="preserve">60-140 </w:t>
            </w:r>
          </w:p>
        </w:tc>
      </w:tr>
    </w:tbl>
    <w:p w14:paraId="0FC10AE7" w14:textId="63189765" w:rsidR="007573DA" w:rsidRPr="00037226" w:rsidRDefault="007573DA" w:rsidP="00D75A9C">
      <w:pPr>
        <w:spacing w:after="0" w:line="259" w:lineRule="auto"/>
        <w:ind w:right="0"/>
        <w:rPr>
          <w:rFonts w:eastAsia="Arial"/>
        </w:rPr>
      </w:pPr>
      <w:r>
        <w:rPr>
          <w:rFonts w:ascii="Arial" w:eastAsia="Arial" w:hAnsi="Arial" w:cs="Arial"/>
        </w:rPr>
        <w:t xml:space="preserve"> </w:t>
      </w:r>
    </w:p>
    <w:p w14:paraId="7BCC0AC5" w14:textId="77777777" w:rsidR="007573DA" w:rsidRPr="00037226" w:rsidRDefault="007573DA" w:rsidP="007573DA">
      <w:pPr>
        <w:spacing w:after="0" w:line="259" w:lineRule="auto"/>
        <w:ind w:left="540" w:right="0" w:firstLine="0"/>
        <w:rPr>
          <w:rFonts w:eastAsia="Arial"/>
        </w:rPr>
      </w:pPr>
    </w:p>
    <w:p w14:paraId="5DC61303" w14:textId="77777777" w:rsidR="007573DA" w:rsidRPr="00037226" w:rsidRDefault="007573DA" w:rsidP="007573DA">
      <w:pPr>
        <w:spacing w:after="0" w:line="259" w:lineRule="auto"/>
        <w:ind w:left="540" w:right="0" w:firstLine="0"/>
        <w:rPr>
          <w:rFonts w:eastAsia="Arial"/>
        </w:rPr>
      </w:pPr>
    </w:p>
    <w:p w14:paraId="12D44637" w14:textId="77777777" w:rsidR="007573DA" w:rsidRDefault="007573DA" w:rsidP="007573DA">
      <w:pPr>
        <w:spacing w:after="0" w:line="259" w:lineRule="auto"/>
        <w:ind w:left="540" w:right="0" w:firstLine="0"/>
        <w:rPr>
          <w:rFonts w:eastAsia="Arial"/>
        </w:rPr>
      </w:pPr>
    </w:p>
    <w:p w14:paraId="2957D8E9" w14:textId="77777777" w:rsidR="000905A0" w:rsidRPr="00037226" w:rsidRDefault="000905A0" w:rsidP="007573DA">
      <w:pPr>
        <w:spacing w:after="0" w:line="259" w:lineRule="auto"/>
        <w:ind w:left="540" w:right="0" w:firstLine="0"/>
        <w:rPr>
          <w:rFonts w:eastAsia="Arial"/>
        </w:rPr>
      </w:pPr>
    </w:p>
    <w:p w14:paraId="74966393" w14:textId="77777777" w:rsidR="007573DA" w:rsidRPr="00037226" w:rsidRDefault="007573DA" w:rsidP="007573DA">
      <w:pPr>
        <w:spacing w:after="0" w:line="259" w:lineRule="auto"/>
        <w:ind w:left="540" w:right="0" w:firstLine="0"/>
        <w:jc w:val="center"/>
        <w:rPr>
          <w:rFonts w:eastAsia="Arial"/>
          <w:b/>
          <w:bCs/>
        </w:rPr>
      </w:pPr>
      <w:r w:rsidRPr="00037226">
        <w:rPr>
          <w:b/>
          <w:bCs/>
        </w:rPr>
        <w:t>THE REMAINDER OF THIS PAGE HAS BEEN LEFT BLANK INTENTIONALLY</w:t>
      </w:r>
    </w:p>
    <w:p w14:paraId="4876F610" w14:textId="77777777" w:rsidR="007573DA" w:rsidRPr="00037226" w:rsidRDefault="007573DA" w:rsidP="007573DA">
      <w:pPr>
        <w:spacing w:after="0" w:line="259" w:lineRule="auto"/>
        <w:ind w:left="540" w:right="0" w:firstLine="0"/>
        <w:rPr>
          <w:rFonts w:eastAsia="Arial"/>
        </w:rPr>
      </w:pPr>
    </w:p>
    <w:p w14:paraId="16CAA0CD" w14:textId="77777777" w:rsidR="007573DA" w:rsidRPr="00037226" w:rsidRDefault="007573DA" w:rsidP="007573DA">
      <w:pPr>
        <w:spacing w:after="0" w:line="259" w:lineRule="auto"/>
        <w:ind w:left="540" w:right="0" w:firstLine="0"/>
        <w:rPr>
          <w:rFonts w:eastAsia="Arial"/>
        </w:rPr>
      </w:pPr>
    </w:p>
    <w:p w14:paraId="76879BE8" w14:textId="77777777" w:rsidR="007573DA" w:rsidRPr="00037226" w:rsidRDefault="007573DA" w:rsidP="007573DA">
      <w:pPr>
        <w:spacing w:after="0" w:line="259" w:lineRule="auto"/>
        <w:ind w:left="540" w:right="0" w:firstLine="0"/>
        <w:rPr>
          <w:rFonts w:eastAsia="Arial"/>
        </w:rPr>
      </w:pPr>
    </w:p>
    <w:p w14:paraId="4B74FF67" w14:textId="77777777" w:rsidR="007573DA" w:rsidRPr="00037226" w:rsidRDefault="007573DA" w:rsidP="007573DA">
      <w:pPr>
        <w:spacing w:after="0" w:line="259" w:lineRule="auto"/>
        <w:ind w:left="540" w:right="0" w:firstLine="0"/>
        <w:rPr>
          <w:rFonts w:eastAsia="Arial"/>
        </w:rPr>
      </w:pPr>
    </w:p>
    <w:p w14:paraId="6276F074" w14:textId="77777777" w:rsidR="007573DA" w:rsidRPr="00037226" w:rsidRDefault="007573DA" w:rsidP="007573DA">
      <w:pPr>
        <w:spacing w:after="0" w:line="259" w:lineRule="auto"/>
        <w:ind w:left="540" w:right="0" w:firstLine="0"/>
        <w:rPr>
          <w:rFonts w:eastAsia="Arial"/>
        </w:rPr>
      </w:pPr>
    </w:p>
    <w:p w14:paraId="11B4BCB2" w14:textId="77777777" w:rsidR="007573DA" w:rsidRPr="006B06B2" w:rsidRDefault="007573DA" w:rsidP="00EC1E17">
      <w:pPr>
        <w:spacing w:after="0" w:line="259" w:lineRule="auto"/>
        <w:ind w:left="0" w:right="0" w:firstLine="0"/>
        <w:rPr>
          <w:rFonts w:eastAsia="Arial"/>
        </w:rPr>
      </w:pPr>
    </w:p>
    <w:p w14:paraId="6AB28E7B" w14:textId="77777777" w:rsidR="007573DA" w:rsidRPr="006B06B2" w:rsidRDefault="007573DA" w:rsidP="00EC1E17">
      <w:pPr>
        <w:spacing w:after="0" w:line="259" w:lineRule="auto"/>
        <w:ind w:left="0" w:right="0" w:firstLine="0"/>
        <w:rPr>
          <w:rFonts w:eastAsia="Arial"/>
        </w:rPr>
      </w:pPr>
    </w:p>
    <w:p w14:paraId="27C20EFF" w14:textId="77777777" w:rsidR="007573DA" w:rsidRPr="006B06B2" w:rsidRDefault="007573DA" w:rsidP="00EC1E17">
      <w:pPr>
        <w:spacing w:after="0" w:line="259" w:lineRule="auto"/>
        <w:ind w:left="0" w:right="0" w:firstLine="0"/>
        <w:rPr>
          <w:rFonts w:eastAsia="Arial"/>
        </w:rPr>
      </w:pPr>
    </w:p>
    <w:p w14:paraId="7C77623E" w14:textId="77777777" w:rsidR="007573DA" w:rsidRPr="006B06B2" w:rsidRDefault="007573DA" w:rsidP="004458E5">
      <w:pPr>
        <w:spacing w:after="0" w:line="259" w:lineRule="auto"/>
        <w:ind w:left="153" w:right="0" w:firstLine="0"/>
        <w:rPr>
          <w:rFonts w:eastAsia="Arial"/>
        </w:rPr>
      </w:pPr>
    </w:p>
    <w:p w14:paraId="38E701E3" w14:textId="77777777" w:rsidR="004458E5" w:rsidRPr="006B06B2" w:rsidRDefault="004458E5" w:rsidP="004458E5">
      <w:pPr>
        <w:spacing w:after="0" w:line="259" w:lineRule="auto"/>
        <w:ind w:left="153" w:right="0" w:firstLine="0"/>
        <w:rPr>
          <w:rFonts w:eastAsia="Arial"/>
        </w:rPr>
      </w:pPr>
    </w:p>
    <w:p w14:paraId="02540B96" w14:textId="77777777" w:rsidR="00B56D50" w:rsidRPr="004458E5" w:rsidRDefault="001C3C42" w:rsidP="009C1EEF">
      <w:pPr>
        <w:pStyle w:val="Heading4"/>
        <w:spacing w:after="0" w:line="259" w:lineRule="auto"/>
        <w:ind w:left="730" w:right="380"/>
        <w:rPr>
          <w:sz w:val="24"/>
          <w:szCs w:val="24"/>
        </w:rPr>
      </w:pPr>
      <w:r w:rsidRPr="004458E5">
        <w:rPr>
          <w:sz w:val="24"/>
          <w:szCs w:val="24"/>
        </w:rPr>
        <w:lastRenderedPageBreak/>
        <w:t>E.</w:t>
      </w:r>
      <w:r w:rsidRPr="004458E5">
        <w:rPr>
          <w:rFonts w:ascii="Arial" w:eastAsia="Arial" w:hAnsi="Arial" w:cs="Arial"/>
          <w:sz w:val="24"/>
          <w:szCs w:val="24"/>
        </w:rPr>
        <w:t xml:space="preserve"> </w:t>
      </w:r>
      <w:r w:rsidRPr="004458E5">
        <w:rPr>
          <w:sz w:val="24"/>
          <w:szCs w:val="24"/>
        </w:rPr>
        <w:t xml:space="preserve">CORRECTIVE ACTION for Organic Analysis by GC/MS (VOCs and SVOCs) </w:t>
      </w:r>
    </w:p>
    <w:p w14:paraId="6D4D37D5" w14:textId="483C77ED" w:rsidR="00B56D50" w:rsidRDefault="001C3C42">
      <w:pPr>
        <w:spacing w:after="16" w:line="259" w:lineRule="auto"/>
        <w:ind w:left="452" w:right="0" w:firstLine="0"/>
      </w:pPr>
      <w:r>
        <w:rPr>
          <w:rFonts w:ascii="Arial" w:eastAsia="Arial" w:hAnsi="Arial" w:cs="Arial"/>
        </w:rPr>
        <w:t xml:space="preserve"> </w:t>
      </w:r>
      <w:r w:rsidR="0028033D">
        <w:rPr>
          <w:rFonts w:ascii="Arial" w:eastAsia="Arial" w:hAnsi="Arial" w:cs="Arial"/>
        </w:rPr>
        <w:tab/>
      </w:r>
    </w:p>
    <w:p w14:paraId="0778DAD7" w14:textId="6BE1F0A5" w:rsidR="002D1436" w:rsidRDefault="001C3C42" w:rsidP="00037226">
      <w:pPr>
        <w:ind w:left="730" w:right="255"/>
      </w:pPr>
      <w:r>
        <w:t>The Contractor shall find and correct the problem whenever an analytical procedure is “out-of-control” (fails to meet control criteria).</w:t>
      </w:r>
      <w:r w:rsidR="002D1436" w:rsidRPr="002D1436">
        <w:t xml:space="preserve"> </w:t>
      </w:r>
      <w:r w:rsidR="002D1436">
        <w:t xml:space="preserve"> Refer to the applicable </w:t>
      </w:r>
      <w:r w:rsidR="00E12105">
        <w:t>USEPA</w:t>
      </w:r>
      <w:r w:rsidR="002D1436">
        <w:t xml:space="preserve"> Methods and the information noted above in Section C and Section D.</w:t>
      </w:r>
      <w:r w:rsidR="00CA4DAA">
        <w:t xml:space="preserve"> </w:t>
      </w:r>
      <w:r w:rsidR="00CA4DAA" w:rsidRPr="005B788B">
        <w:rPr>
          <w:b/>
          <w:bCs/>
          <w:vertAlign w:val="superscript"/>
        </w:rPr>
        <w:t>46</w:t>
      </w:r>
    </w:p>
    <w:p w14:paraId="34EFE5E5" w14:textId="24CAC29C" w:rsidR="002D1436" w:rsidRDefault="001C3C42" w:rsidP="00037226">
      <w:pPr>
        <w:ind w:left="730" w:right="255"/>
      </w:pPr>
      <w:r>
        <w:t xml:space="preserve"> </w:t>
      </w:r>
    </w:p>
    <w:p w14:paraId="7AFAF898" w14:textId="7D53F5EB" w:rsidR="00A3767F" w:rsidRDefault="00A3767F" w:rsidP="00037226">
      <w:pPr>
        <w:ind w:left="730" w:right="255"/>
      </w:pPr>
      <w:r>
        <w:rPr>
          <w:u w:val="single" w:color="000000"/>
        </w:rPr>
        <w:t xml:space="preserve">Reanalysis </w:t>
      </w:r>
      <w:r w:rsidRPr="000423B1">
        <w:rPr>
          <w:u w:val="single" w:color="000000"/>
        </w:rPr>
        <w:t>of out-of-control samples may require that the reanalysis be performed past holding time requirements</w:t>
      </w:r>
      <w:r w:rsidRPr="0056323F">
        <w:rPr>
          <w:u w:val="single"/>
        </w:rPr>
        <w:t>.</w:t>
      </w:r>
      <w:r w:rsidRPr="0056323F">
        <w:t xml:space="preserve">  It is preferred that samples</w:t>
      </w:r>
      <w:r w:rsidRPr="000423B1">
        <w:t xml:space="preserve"> be analyzed or reanalyzed within holding times.  But, if that is not possible for reanalysis to be performed within holding time requirements, reanalysis may still need to be performed to meet analytical requirements.  If reanalysis is performed past the holding time, both analysis results must be reported.  The acceptance of results analyzed beyond holding time requirements must be predicated on project DQOs and threshold requirements, along with the analyst’s best judgement. </w:t>
      </w:r>
      <w:proofErr w:type="gramStart"/>
      <w:r w:rsidR="005B788B" w:rsidRPr="005B788B">
        <w:rPr>
          <w:b/>
          <w:bCs/>
          <w:vertAlign w:val="superscript"/>
        </w:rPr>
        <w:t>47</w:t>
      </w:r>
      <w:r w:rsidRPr="000423B1">
        <w:t xml:space="preserve">  Resampling</w:t>
      </w:r>
      <w:proofErr w:type="gramEnd"/>
      <w:r w:rsidRPr="000423B1">
        <w:t xml:space="preserve"> may be necessary in some cases</w:t>
      </w:r>
      <w:r>
        <w:t>.</w:t>
      </w:r>
      <w:r w:rsidR="009C7BB3">
        <w:t xml:space="preserve">  </w:t>
      </w:r>
    </w:p>
    <w:p w14:paraId="707EF2D8" w14:textId="359E9FDF" w:rsidR="00B56D50" w:rsidRDefault="0028033D" w:rsidP="00037226">
      <w:pPr>
        <w:spacing w:after="0" w:line="259" w:lineRule="auto"/>
        <w:ind w:left="730" w:right="0"/>
      </w:pPr>
      <w:r>
        <w:tab/>
      </w:r>
    </w:p>
    <w:p w14:paraId="4AA69A26" w14:textId="7F834A53" w:rsidR="00C531C4" w:rsidRDefault="001C3C42" w:rsidP="00037226">
      <w:pPr>
        <w:spacing w:after="67"/>
        <w:ind w:left="720" w:right="255" w:firstLine="0"/>
      </w:pPr>
      <w:r>
        <w:t>When the out-of-control conditions occur, re-extraction (if applicable) and re</w:t>
      </w:r>
      <w:r w:rsidR="005B4D76">
        <w:t>-</w:t>
      </w:r>
      <w:r>
        <w:t>analysis of all affected samples must be performed.  It must be noted that for MS/MSD, matrix duplicate, and method blank failure, the affected samples would include all field samples prepared or purged with the out-of-control QC sample(s).  Report the results from both analyses, distinguishing between the initial analysis and reanalysis on all data deliverables</w:t>
      </w:r>
      <w:r w:rsidR="005B25EA">
        <w:t>.</w:t>
      </w:r>
    </w:p>
    <w:p w14:paraId="11F81E42" w14:textId="77777777" w:rsidR="00270AD6" w:rsidRDefault="00270AD6" w:rsidP="00270AD6">
      <w:pPr>
        <w:spacing w:after="67"/>
        <w:ind w:left="720" w:right="255" w:firstLine="0"/>
      </w:pPr>
    </w:p>
    <w:p w14:paraId="17440F8F" w14:textId="32FA09AB" w:rsidR="00EF2FF6" w:rsidRDefault="00EF2FF6" w:rsidP="00270AD6">
      <w:pPr>
        <w:spacing w:after="67"/>
        <w:ind w:left="720" w:right="255" w:firstLine="0"/>
      </w:pPr>
      <w:r w:rsidRPr="00EF2FF6">
        <w:t xml:space="preserve">If QC results from the re-extraction and reanalysis are also outside the acceptance limits, but the analysis of a laboratory control sample demonstrates that the method is in control, then the problem is related to sample matrix and analytical requirements will be considered met.  (See SW-846, Method 8000.)  If re-extraction and reanalysis of the sample </w:t>
      </w:r>
      <w:proofErr w:type="gramStart"/>
      <w:r w:rsidRPr="00EF2FF6">
        <w:t>does</w:t>
      </w:r>
      <w:proofErr w:type="gramEnd"/>
      <w:r w:rsidRPr="00EF2FF6">
        <w:t xml:space="preserve"> not solve the problem, and the laboratory control sample results are also outside of acceptance limits, instrument maintenance may be required.  Major maintenance (such as changing a column) requires returning to the initial calibration step.</w:t>
      </w:r>
    </w:p>
    <w:p w14:paraId="3C78C4EF" w14:textId="77777777" w:rsidR="00EF2FF6" w:rsidRPr="00270AD6" w:rsidRDefault="00EF2FF6" w:rsidP="00270AD6">
      <w:pPr>
        <w:spacing w:after="67"/>
        <w:ind w:left="720" w:right="255" w:firstLine="0"/>
      </w:pPr>
    </w:p>
    <w:p w14:paraId="76AD7EA6" w14:textId="657363A4" w:rsidR="00270AD6" w:rsidRPr="00270AD6" w:rsidRDefault="00270AD6" w:rsidP="00270AD6">
      <w:pPr>
        <w:spacing w:after="67"/>
        <w:ind w:left="720" w:right="255" w:firstLine="0"/>
      </w:pPr>
      <w:bookmarkStart w:id="20" w:name="_Hlk70514043"/>
      <w:r w:rsidRPr="00270AD6">
        <w:t xml:space="preserve">Whenever a quality control sample indicates a biased high result (e.g., high matrix spike recovery) and the sample results are all below detection limit for all target compounds, then reanalysis is not required.  However, the Contractor must make every effort to correct the problem for future analysis.  The RPD requirement must be met on the matrix spike duplicate even if matrix spike is biased high. </w:t>
      </w:r>
    </w:p>
    <w:bookmarkEnd w:id="20"/>
    <w:p w14:paraId="0CE1A651" w14:textId="77777777" w:rsidR="003C7A34" w:rsidRDefault="003C7A34" w:rsidP="00037226">
      <w:pPr>
        <w:spacing w:after="67"/>
        <w:ind w:left="720" w:right="255" w:firstLine="0"/>
      </w:pPr>
    </w:p>
    <w:p w14:paraId="5A9473A9" w14:textId="77777777" w:rsidR="008C32E8" w:rsidRDefault="008C32E8" w:rsidP="0028033D">
      <w:pPr>
        <w:spacing w:after="0" w:line="259" w:lineRule="auto"/>
        <w:ind w:right="0"/>
      </w:pPr>
    </w:p>
    <w:p w14:paraId="0A71A328" w14:textId="77777777" w:rsidR="009C1EEF" w:rsidRDefault="009C1EEF" w:rsidP="0028033D">
      <w:pPr>
        <w:spacing w:after="0" w:line="259" w:lineRule="auto"/>
        <w:ind w:right="0"/>
      </w:pPr>
    </w:p>
    <w:p w14:paraId="6DFEB5F2" w14:textId="77777777" w:rsidR="009C1EEF" w:rsidRDefault="009C1EEF" w:rsidP="0028033D">
      <w:pPr>
        <w:spacing w:after="0" w:line="259" w:lineRule="auto"/>
        <w:ind w:right="0"/>
      </w:pPr>
    </w:p>
    <w:p w14:paraId="3E9DEDCD" w14:textId="77777777" w:rsidR="009C1EEF" w:rsidRDefault="009C1EEF" w:rsidP="0028033D">
      <w:pPr>
        <w:spacing w:after="0" w:line="259" w:lineRule="auto"/>
        <w:ind w:right="0"/>
      </w:pPr>
    </w:p>
    <w:p w14:paraId="011B20E9" w14:textId="77777777" w:rsidR="009C1EEF" w:rsidRPr="00C31E1B" w:rsidRDefault="009C1EEF" w:rsidP="009C1EEF">
      <w:pPr>
        <w:pStyle w:val="Heading5"/>
        <w:spacing w:after="16" w:line="247" w:lineRule="auto"/>
        <w:ind w:left="1090" w:right="186"/>
      </w:pPr>
      <w:r>
        <w:t>THE REMAINDER OF THIS PAGE HAS BEEN LEFT BLANK INTENTIONALLY</w:t>
      </w:r>
    </w:p>
    <w:p w14:paraId="08CA301D" w14:textId="77777777" w:rsidR="009C1EEF" w:rsidRPr="00C31E1B" w:rsidRDefault="009C1EEF" w:rsidP="009C1EEF">
      <w:pPr>
        <w:spacing w:after="0" w:line="259" w:lineRule="auto"/>
        <w:ind w:left="540" w:right="0" w:firstLine="0"/>
        <w:rPr>
          <w:rFonts w:eastAsia="Arial"/>
        </w:rPr>
      </w:pPr>
    </w:p>
    <w:p w14:paraId="081ABC05" w14:textId="77777777" w:rsidR="009C1EEF" w:rsidRDefault="009C1EEF" w:rsidP="0028033D">
      <w:pPr>
        <w:spacing w:after="0" w:line="259" w:lineRule="auto"/>
        <w:ind w:right="0"/>
      </w:pPr>
    </w:p>
    <w:p w14:paraId="4D65FFF1" w14:textId="77777777" w:rsidR="009C1EEF" w:rsidRDefault="009C1EEF" w:rsidP="0028033D">
      <w:pPr>
        <w:spacing w:after="0" w:line="259" w:lineRule="auto"/>
        <w:ind w:right="0"/>
      </w:pPr>
    </w:p>
    <w:p w14:paraId="143B1C41" w14:textId="77777777" w:rsidR="009C1EEF" w:rsidRDefault="009C1EEF" w:rsidP="0028033D">
      <w:pPr>
        <w:spacing w:after="0" w:line="259" w:lineRule="auto"/>
        <w:ind w:right="0"/>
      </w:pPr>
    </w:p>
    <w:p w14:paraId="3057756F" w14:textId="77777777" w:rsidR="009C1EEF" w:rsidRDefault="009C1EEF" w:rsidP="0028033D">
      <w:pPr>
        <w:spacing w:after="0" w:line="259" w:lineRule="auto"/>
        <w:ind w:right="0"/>
      </w:pPr>
    </w:p>
    <w:p w14:paraId="2611E7DF" w14:textId="77777777" w:rsidR="009C1EEF" w:rsidRDefault="009C1EEF" w:rsidP="0028033D">
      <w:pPr>
        <w:spacing w:after="0" w:line="259" w:lineRule="auto"/>
        <w:ind w:right="0"/>
      </w:pPr>
    </w:p>
    <w:p w14:paraId="1364141E" w14:textId="77777777" w:rsidR="00A84909" w:rsidRDefault="00A84909" w:rsidP="0028033D">
      <w:pPr>
        <w:spacing w:after="0" w:line="259" w:lineRule="auto"/>
        <w:ind w:right="0"/>
      </w:pPr>
    </w:p>
    <w:p w14:paraId="4D3C11F3" w14:textId="77777777" w:rsidR="00A84909" w:rsidRDefault="00A84909" w:rsidP="0028033D">
      <w:pPr>
        <w:spacing w:after="0" w:line="259" w:lineRule="auto"/>
        <w:ind w:right="0"/>
      </w:pPr>
    </w:p>
    <w:p w14:paraId="188FDA7A" w14:textId="1C869C5C" w:rsidR="00C531C4" w:rsidRPr="004458E5" w:rsidRDefault="008C32E8" w:rsidP="00DC4334">
      <w:pPr>
        <w:spacing w:after="0"/>
        <w:ind w:left="1080" w:right="0" w:hanging="360"/>
        <w:rPr>
          <w:b/>
          <w:sz w:val="24"/>
          <w:szCs w:val="24"/>
        </w:rPr>
      </w:pPr>
      <w:r w:rsidRPr="004458E5">
        <w:rPr>
          <w:b/>
          <w:sz w:val="24"/>
          <w:szCs w:val="24"/>
        </w:rPr>
        <w:lastRenderedPageBreak/>
        <w:t>F.</w:t>
      </w:r>
      <w:r w:rsidRPr="004458E5">
        <w:rPr>
          <w:rFonts w:eastAsia="Arial"/>
          <w:b/>
          <w:sz w:val="24"/>
          <w:szCs w:val="24"/>
        </w:rPr>
        <w:t xml:space="preserve"> PESTICIDES AND PCBs ANALYSES by Gas Chromatography/Electron Capture Detector</w:t>
      </w:r>
      <w:r w:rsidRPr="004458E5">
        <w:rPr>
          <w:b/>
          <w:sz w:val="24"/>
          <w:szCs w:val="24"/>
        </w:rPr>
        <w:t xml:space="preserve"> </w:t>
      </w:r>
      <w:r w:rsidR="004458E5">
        <w:rPr>
          <w:b/>
          <w:bCs/>
          <w:sz w:val="24"/>
          <w:szCs w:val="24"/>
        </w:rPr>
        <w:t>(GC/ECD)</w:t>
      </w:r>
    </w:p>
    <w:p w14:paraId="3743E384" w14:textId="77777777" w:rsidR="00A654A5" w:rsidRPr="00C531C4" w:rsidRDefault="00A654A5" w:rsidP="00500B4F">
      <w:pPr>
        <w:pStyle w:val="Heading4"/>
        <w:rPr>
          <w:rFonts w:eastAsia="Arial"/>
        </w:rPr>
      </w:pPr>
    </w:p>
    <w:p w14:paraId="773B33ED" w14:textId="15856B7D" w:rsidR="00B56D50" w:rsidRDefault="00A654A5" w:rsidP="00500B4F">
      <w:pPr>
        <w:ind w:left="730" w:right="255"/>
      </w:pPr>
      <w:r>
        <w:rPr>
          <w:rFonts w:eastAsia="Arial"/>
        </w:rPr>
        <w:t>A</w:t>
      </w:r>
      <w:r w:rsidR="001C3C42">
        <w:t xml:space="preserve">lthough most State requests for GC/ECD analysis will be regarding PCBs and </w:t>
      </w:r>
      <w:r w:rsidR="0039712A">
        <w:t>organochlorine</w:t>
      </w:r>
      <w:r w:rsidR="001C3C42">
        <w:t xml:space="preserve"> pesticides, GC/ECD can also be used to analyze other types of halogenated hydrocarbon and chlorinated herbicides.  The principles in this section can be used as guidance for such compounds, substituting appropriate surrogates and internal standards. </w:t>
      </w:r>
    </w:p>
    <w:p w14:paraId="3543F593" w14:textId="77777777" w:rsidR="00B56D50" w:rsidRDefault="001C3C42">
      <w:pPr>
        <w:spacing w:after="0" w:line="259" w:lineRule="auto"/>
        <w:ind w:left="452" w:right="0" w:firstLine="0"/>
      </w:pPr>
      <w:r>
        <w:t xml:space="preserve"> </w:t>
      </w:r>
    </w:p>
    <w:p w14:paraId="0B30D728" w14:textId="65149C5A" w:rsidR="00B56D50" w:rsidRPr="0085603A" w:rsidRDefault="001C3C42" w:rsidP="00093377">
      <w:pPr>
        <w:numPr>
          <w:ilvl w:val="0"/>
          <w:numId w:val="92"/>
        </w:numPr>
        <w:spacing w:after="16"/>
        <w:ind w:left="1440" w:right="186" w:hanging="360"/>
        <w:rPr>
          <w:b/>
          <w:bCs/>
        </w:rPr>
      </w:pPr>
      <w:r w:rsidRPr="0085603A">
        <w:rPr>
          <w:b/>
          <w:bCs/>
        </w:rPr>
        <w:t xml:space="preserve">General Requirements and Considerations </w:t>
      </w:r>
    </w:p>
    <w:p w14:paraId="6BBAC955" w14:textId="77777777" w:rsidR="00B56D50" w:rsidRDefault="001C3C42" w:rsidP="0085603A">
      <w:pPr>
        <w:ind w:left="1440" w:right="255" w:firstLine="0"/>
      </w:pPr>
      <w:r>
        <w:t xml:space="preserve">The Contractor shall adhere to the following requirements: </w:t>
      </w:r>
    </w:p>
    <w:p w14:paraId="77CABDBB" w14:textId="77777777" w:rsidR="00B56D50" w:rsidRDefault="001C3C42">
      <w:pPr>
        <w:spacing w:after="0" w:line="259" w:lineRule="auto"/>
        <w:ind w:left="1532" w:right="0" w:firstLine="0"/>
      </w:pPr>
      <w:r>
        <w:t xml:space="preserve"> </w:t>
      </w:r>
    </w:p>
    <w:p w14:paraId="37DDB8E1" w14:textId="77777777" w:rsidR="00B56D50" w:rsidRDefault="001C3C42" w:rsidP="00093377">
      <w:pPr>
        <w:numPr>
          <w:ilvl w:val="0"/>
          <w:numId w:val="34"/>
        </w:numPr>
        <w:ind w:left="1800" w:right="318" w:hanging="360"/>
      </w:pPr>
      <w:r>
        <w:rPr>
          <w:u w:val="single" w:color="000000"/>
        </w:rPr>
        <w:t>Extraction and cleanup</w:t>
      </w:r>
      <w:proofErr w:type="gramStart"/>
      <w:r>
        <w:t>:  Samples</w:t>
      </w:r>
      <w:proofErr w:type="gramEnd"/>
      <w:r>
        <w:t xml:space="preserve"> must be extracted prior to analysis.  Based on sample matrix characteristics, follow criteria in appropriate extraction techniques.  Most samples will require cleanup of extracts before determinative analysis to remove phthalate esters, sulfur, and other nontarget interferents. </w:t>
      </w:r>
    </w:p>
    <w:p w14:paraId="500A52A6" w14:textId="77777777" w:rsidR="00B56D50" w:rsidRDefault="001C3C42">
      <w:pPr>
        <w:spacing w:after="0" w:line="259" w:lineRule="auto"/>
        <w:ind w:left="826" w:right="0" w:firstLine="0"/>
      </w:pPr>
      <w:r>
        <w:t xml:space="preserve"> </w:t>
      </w:r>
    </w:p>
    <w:p w14:paraId="49375E38" w14:textId="1B018723" w:rsidR="00554DD3" w:rsidRDefault="001C3C42" w:rsidP="00093377">
      <w:pPr>
        <w:numPr>
          <w:ilvl w:val="0"/>
          <w:numId w:val="34"/>
        </w:numPr>
        <w:ind w:left="1800" w:right="318" w:hanging="360"/>
      </w:pPr>
      <w:r>
        <w:rPr>
          <w:u w:val="single" w:color="000000"/>
        </w:rPr>
        <w:t>Holding times and preservatives</w:t>
      </w:r>
      <w:proofErr w:type="gramStart"/>
      <w:r>
        <w:t>:  Preservative</w:t>
      </w:r>
      <w:proofErr w:type="gramEnd"/>
      <w:r>
        <w:t xml:space="preserve"> techniques specified in TABLE 1, Sample Containers, Preservatives, and Holding Time Requirements,</w:t>
      </w:r>
      <w:r>
        <w:rPr>
          <w:b/>
        </w:rPr>
        <w:t xml:space="preserve"> </w:t>
      </w:r>
      <w:r>
        <w:t>must be followed based on sample characteristics.  Holding time requirements for both samples and extracts must be adhered to.</w:t>
      </w:r>
    </w:p>
    <w:p w14:paraId="2AAD7817" w14:textId="77777777" w:rsidR="00554DD3" w:rsidRDefault="00554DD3" w:rsidP="005B7CA1">
      <w:pPr>
        <w:pStyle w:val="ListParagraph"/>
      </w:pPr>
    </w:p>
    <w:p w14:paraId="24AA0C7A" w14:textId="1C1A5A40" w:rsidR="00554DD3" w:rsidRDefault="00554DD3" w:rsidP="00093377">
      <w:pPr>
        <w:numPr>
          <w:ilvl w:val="0"/>
          <w:numId w:val="34"/>
        </w:numPr>
        <w:ind w:left="1800" w:right="318" w:hanging="360"/>
      </w:pPr>
      <w:r w:rsidRPr="00554DD3">
        <w:rPr>
          <w:u w:val="single" w:color="000000"/>
        </w:rPr>
        <w:t>Compound identification</w:t>
      </w:r>
      <w:proofErr w:type="gramStart"/>
      <w:r>
        <w:t>:  Compound</w:t>
      </w:r>
      <w:proofErr w:type="gramEnd"/>
      <w:r>
        <w:t xml:space="preserve"> identification based on single-column analysis must be confirmed on a second column or must be supported by at least one other qualitative technique.  GC/MS may be used as qualitative confirmation </w:t>
      </w:r>
      <w:r w:rsidRPr="00554DD3">
        <w:rPr>
          <w:i/>
        </w:rPr>
        <w:t>if sensitivity permits (i.e.,</w:t>
      </w:r>
      <w:r>
        <w:t xml:space="preserve"> GC/MS may be used if the detected compound is present in high enough concentration to be detectable by standard GC/MS, or if a more sensitive GC/MS system or method modification is utilized to achieve low enough detection limits.).</w:t>
      </w:r>
    </w:p>
    <w:p w14:paraId="6FD59568" w14:textId="77777777" w:rsidR="00554DD3" w:rsidRDefault="00554DD3" w:rsidP="005B7CA1">
      <w:pPr>
        <w:pStyle w:val="ListParagraph"/>
      </w:pPr>
    </w:p>
    <w:p w14:paraId="3A0513CE" w14:textId="30B12244" w:rsidR="00554DD3" w:rsidRDefault="00554DD3" w:rsidP="00093377">
      <w:pPr>
        <w:numPr>
          <w:ilvl w:val="0"/>
          <w:numId w:val="34"/>
        </w:numPr>
        <w:ind w:left="1800" w:right="318" w:hanging="360"/>
      </w:pPr>
      <w:r>
        <w:rPr>
          <w:u w:val="single" w:color="000000"/>
        </w:rPr>
        <w:t>Multicomponent analytes</w:t>
      </w:r>
      <w:r>
        <w:t xml:space="preserve">:  When samples contain more than one target analyte that is a multicomponent mixture (e.g., Chlordane, </w:t>
      </w:r>
      <w:proofErr w:type="spellStart"/>
      <w:r>
        <w:t>Aroclors</w:t>
      </w:r>
      <w:proofErr w:type="spellEnd"/>
      <w:r>
        <w:t>), a higher level of analyst expertise is required to attain acceptable levels of qualitative and quantitative analysis.  The same is true of multicomponent analytes that have been subjected to environmental degradation (weathering) or degradation by treatment technologies.  Such weathered multicomponent mixtures may have significant differences in peak patterns than those of standard extracts</w:t>
      </w:r>
      <w:r w:rsidR="00CD482B">
        <w:t>.</w:t>
      </w:r>
    </w:p>
    <w:p w14:paraId="4D73A5C8" w14:textId="0204A131" w:rsidR="00B56D50" w:rsidRDefault="00B56D50" w:rsidP="005B7CA1">
      <w:pPr>
        <w:spacing w:after="0" w:line="259" w:lineRule="auto"/>
        <w:ind w:left="452" w:right="0" w:firstLine="0"/>
      </w:pPr>
    </w:p>
    <w:p w14:paraId="68ABC0A5" w14:textId="5D6B91CB" w:rsidR="00B56D50" w:rsidRPr="00287096" w:rsidRDefault="001C3C42" w:rsidP="00093377">
      <w:pPr>
        <w:numPr>
          <w:ilvl w:val="0"/>
          <w:numId w:val="92"/>
        </w:numPr>
        <w:spacing w:after="16"/>
        <w:ind w:left="1440" w:right="186" w:hanging="360"/>
        <w:rPr>
          <w:b/>
          <w:bCs/>
        </w:rPr>
      </w:pPr>
      <w:r w:rsidRPr="00287096">
        <w:rPr>
          <w:b/>
          <w:bCs/>
        </w:rPr>
        <w:t xml:space="preserve">Initial Calibration </w:t>
      </w:r>
    </w:p>
    <w:p w14:paraId="200A75BA" w14:textId="0C100D13" w:rsidR="00B56D50" w:rsidRDefault="001C3C42" w:rsidP="00287096">
      <w:pPr>
        <w:ind w:left="1440" w:right="255" w:firstLine="0"/>
      </w:pPr>
      <w:r>
        <w:t xml:space="preserve">The Contractor shall use an external standard calibration procedure for analysis of pesticides and </w:t>
      </w:r>
      <w:proofErr w:type="spellStart"/>
      <w:r>
        <w:t>Aroclors</w:t>
      </w:r>
      <w:proofErr w:type="spellEnd"/>
      <w:r>
        <w:t xml:space="preserve"> because of the sensitivity of the electron capture detector.</w:t>
      </w:r>
      <w:r w:rsidR="00C9703D">
        <w:t xml:space="preserve">  </w:t>
      </w:r>
      <w:r>
        <w:t xml:space="preserve"> </w:t>
      </w:r>
      <w:r w:rsidR="00C9703D" w:rsidRPr="00966BBA">
        <w:t>Exception: Internal standard calibration is recommended when PCBs are to be determined as individual congeners.</w:t>
      </w:r>
      <w:r w:rsidR="00F1184B">
        <w:t xml:space="preserve"> </w:t>
      </w:r>
      <w:r w:rsidR="00C9703D" w:rsidRPr="00966BBA">
        <w:t xml:space="preserve"> </w:t>
      </w:r>
      <w:r>
        <w:t xml:space="preserve"> Surrogates and, if applicable, internal standards must be present in the calibration standards at the same concentration as the sample extracts. </w:t>
      </w:r>
    </w:p>
    <w:p w14:paraId="4C5316BE" w14:textId="77777777" w:rsidR="00B56D50" w:rsidRDefault="001C3C42">
      <w:pPr>
        <w:spacing w:after="0" w:line="259" w:lineRule="auto"/>
        <w:ind w:left="452" w:right="0" w:firstLine="0"/>
      </w:pPr>
      <w:r>
        <w:t xml:space="preserve"> </w:t>
      </w:r>
    </w:p>
    <w:p w14:paraId="2A9C5D61" w14:textId="52FA0A1A" w:rsidR="00B56D50" w:rsidRPr="006017CA" w:rsidRDefault="001C3C42" w:rsidP="00093377">
      <w:pPr>
        <w:numPr>
          <w:ilvl w:val="0"/>
          <w:numId w:val="93"/>
        </w:numPr>
        <w:ind w:left="1800" w:right="0" w:hanging="360"/>
        <w:rPr>
          <w:b/>
          <w:bCs/>
        </w:rPr>
      </w:pPr>
      <w:r w:rsidRPr="006017CA">
        <w:rPr>
          <w:b/>
          <w:bCs/>
        </w:rPr>
        <w:t xml:space="preserve">Calibration Standards </w:t>
      </w:r>
    </w:p>
    <w:p w14:paraId="4BB70A5C" w14:textId="7F103F59" w:rsidR="00B56D50" w:rsidRDefault="00B56D50" w:rsidP="00AD6DC2">
      <w:pPr>
        <w:spacing w:after="0" w:line="259" w:lineRule="auto"/>
        <w:ind w:right="0"/>
      </w:pPr>
    </w:p>
    <w:p w14:paraId="7AF15947" w14:textId="43F0F28F" w:rsidR="00F2684F" w:rsidRDefault="001C3C42" w:rsidP="00093377">
      <w:pPr>
        <w:pStyle w:val="ListParagraph"/>
        <w:numPr>
          <w:ilvl w:val="0"/>
          <w:numId w:val="94"/>
        </w:numPr>
        <w:ind w:left="2160" w:right="0"/>
      </w:pPr>
      <w:r w:rsidRPr="00766CF4">
        <w:rPr>
          <w:u w:val="single" w:color="000000"/>
        </w:rPr>
        <w:t>Single-component analytes (including individual PCB congeners)</w:t>
      </w:r>
      <w:proofErr w:type="gramStart"/>
      <w:r>
        <w:t xml:space="preserve">: </w:t>
      </w:r>
      <w:r w:rsidR="00D1757B">
        <w:t xml:space="preserve"> </w:t>
      </w:r>
      <w:r>
        <w:t>Calibration</w:t>
      </w:r>
      <w:proofErr w:type="gramEnd"/>
      <w:r>
        <w:t xml:space="preserve"> standards for single-component analytes may be prepared separately for each analyte or as an </w:t>
      </w:r>
      <w:r>
        <w:lastRenderedPageBreak/>
        <w:t xml:space="preserve">analyte mixture.  If there are </w:t>
      </w:r>
      <w:proofErr w:type="gramStart"/>
      <w:r>
        <w:t>a large number of</w:t>
      </w:r>
      <w:proofErr w:type="gramEnd"/>
      <w:r>
        <w:t xml:space="preserve"> target analytes (e.g., the full analyte list for SW-846 Method 8081), and standard mixtures are used, it is recommended that the target analytes be divided between two separate calibration mixtures. This will minimize potential resolution and quantitation problems and allow determination of DDT and Endrin breakdown.</w:t>
      </w:r>
    </w:p>
    <w:p w14:paraId="1C96F7F4" w14:textId="77777777" w:rsidR="00037226" w:rsidRDefault="00037226" w:rsidP="006017CA">
      <w:pPr>
        <w:ind w:left="2170" w:right="0"/>
      </w:pPr>
    </w:p>
    <w:p w14:paraId="6387BCBE" w14:textId="388D3780" w:rsidR="00B56D50" w:rsidRDefault="001C3C42" w:rsidP="006017CA">
      <w:pPr>
        <w:ind w:left="2170" w:right="0"/>
      </w:pPr>
      <w:r>
        <w:t xml:space="preserve">For each surrogate and analyte of interest, prepare calibration standards at a minimum of five concentration levels by adding volumes of one or more stock standards to a volumetric flask and </w:t>
      </w:r>
      <w:proofErr w:type="gramStart"/>
      <w:r>
        <w:t>diluting to</w:t>
      </w:r>
      <w:proofErr w:type="gramEnd"/>
      <w:r>
        <w:t xml:space="preserve"> volume with an appropriate solvent.  One of the external standards must be at a concentration near, but above, the method detection limit, and one must be at or near the midrange of the curve.  The other concentrations must correspond to the expected range of concentrations found in real samples or must define the working range of the detector.  For each analyte, at least one of the calibration standards must correspond to a sample concentration </w:t>
      </w:r>
      <w:r>
        <w:rPr>
          <w:u w:val="single" w:color="000000"/>
        </w:rPr>
        <w:t>at or below</w:t>
      </w:r>
      <w:r>
        <w:t xml:space="preserve"> that necessary to meet the data quality objectives of the project, which may include establishing compliance with a regulatory or action limit.</w:t>
      </w:r>
    </w:p>
    <w:p w14:paraId="6960C320" w14:textId="77777777" w:rsidR="00B56D50" w:rsidRDefault="001C3C42" w:rsidP="006017CA">
      <w:pPr>
        <w:spacing w:after="0" w:line="259" w:lineRule="auto"/>
        <w:ind w:left="452" w:right="0" w:firstLine="0"/>
      </w:pPr>
      <w:r>
        <w:t xml:space="preserve"> </w:t>
      </w:r>
    </w:p>
    <w:p w14:paraId="402A975D" w14:textId="0B2C5B85" w:rsidR="00B56D50" w:rsidRDefault="001C3C42" w:rsidP="00093377">
      <w:pPr>
        <w:numPr>
          <w:ilvl w:val="0"/>
          <w:numId w:val="94"/>
        </w:numPr>
        <w:spacing w:after="50"/>
        <w:ind w:left="2160" w:right="0"/>
      </w:pPr>
      <w:r>
        <w:rPr>
          <w:u w:val="single" w:color="000000"/>
        </w:rPr>
        <w:t xml:space="preserve">Chlordane, Toxaphene, and similar multi-component analytes (other than </w:t>
      </w:r>
      <w:proofErr w:type="spellStart"/>
      <w:r>
        <w:rPr>
          <w:u w:val="single" w:color="000000"/>
        </w:rPr>
        <w:t>Aroclors</w:t>
      </w:r>
      <w:proofErr w:type="spellEnd"/>
      <w:r>
        <w:rPr>
          <w:u w:val="single" w:color="000000"/>
        </w:rPr>
        <w:t>)</w:t>
      </w:r>
      <w:r>
        <w:t>: Separate external calibration standards are required for each multi-component target analyte.  Standard mixtures must not be used</w:t>
      </w:r>
      <w:r w:rsidRPr="00FC7DE1">
        <w:t>.</w:t>
      </w:r>
      <w:r>
        <w:t xml:space="preserve"> </w:t>
      </w:r>
    </w:p>
    <w:p w14:paraId="3CFDA47A" w14:textId="77777777" w:rsidR="00B56D50" w:rsidRDefault="001C3C42" w:rsidP="006017CA">
      <w:pPr>
        <w:spacing w:after="0" w:line="259" w:lineRule="auto"/>
        <w:ind w:right="0"/>
      </w:pPr>
      <w:r>
        <w:t xml:space="preserve"> </w:t>
      </w:r>
    </w:p>
    <w:p w14:paraId="699BA00E" w14:textId="1021D7D6" w:rsidR="00B56D50" w:rsidRDefault="001C3C42">
      <w:pPr>
        <w:ind w:left="2144" w:right="255"/>
      </w:pPr>
      <w:r>
        <w:t xml:space="preserve">Once the linear range has been established for the instrument and column for which the analysis is being performed, a single-point calibration may be used for multi-component analytes (unless a three-point or five-point calibration is necessary to meet the DQOs </w:t>
      </w:r>
      <w:proofErr w:type="gramStart"/>
      <w:r>
        <w:t>for  a</w:t>
      </w:r>
      <w:proofErr w:type="gramEnd"/>
      <w:r>
        <w:t xml:space="preserve"> specific project).</w:t>
      </w:r>
      <w:r w:rsidR="00B31EF6">
        <w:t xml:space="preserve">  </w:t>
      </w:r>
      <w:r w:rsidR="00234EE7" w:rsidRPr="00966BBA">
        <w:t xml:space="preserve">This does not apply to </w:t>
      </w:r>
      <w:proofErr w:type="spellStart"/>
      <w:r w:rsidR="00234EE7" w:rsidRPr="00966BBA">
        <w:t>Aroclors</w:t>
      </w:r>
      <w:proofErr w:type="spellEnd"/>
      <w:r w:rsidR="00234EE7" w:rsidRPr="00966BBA">
        <w:t>.  See Section 2.</w:t>
      </w:r>
      <w:r w:rsidR="00354465">
        <w:t>a</w:t>
      </w:r>
      <w:r w:rsidR="00126182">
        <w:t>.</w:t>
      </w:r>
      <w:r w:rsidR="00234EE7" w:rsidRPr="00966BBA">
        <w:t xml:space="preserve">3. </w:t>
      </w:r>
      <w:proofErr w:type="spellStart"/>
      <w:r w:rsidR="00234EE7" w:rsidRPr="00966BBA">
        <w:rPr>
          <w:u w:val="single" w:color="000000"/>
        </w:rPr>
        <w:t>Aroclors</w:t>
      </w:r>
      <w:proofErr w:type="spellEnd"/>
      <w:r w:rsidR="00234EE7" w:rsidRPr="00966BBA">
        <w:t>, below</w:t>
      </w:r>
      <w:r w:rsidR="00473BC2">
        <w:t>.</w:t>
      </w:r>
      <w:r w:rsidR="00FC7DE1">
        <w:t xml:space="preserve"> </w:t>
      </w:r>
      <w:r>
        <w:t xml:space="preserve"> A single calibration standard near the mid-point of the expected calibration range of each multi-component analyte is included with the initial calibration of the single component analytes for pattern recognition, so that the analyst is familiar with the patterns and retention times on each column. </w:t>
      </w:r>
    </w:p>
    <w:p w14:paraId="0E09C3D9" w14:textId="4245B483" w:rsidR="00B56D50" w:rsidRDefault="001C3C42">
      <w:pPr>
        <w:spacing w:after="0" w:line="259" w:lineRule="auto"/>
        <w:ind w:left="452" w:right="0" w:firstLine="0"/>
      </w:pPr>
      <w:r>
        <w:rPr>
          <w:rFonts w:ascii="Arial" w:eastAsia="Arial" w:hAnsi="Arial" w:cs="Arial"/>
        </w:rPr>
        <w:t xml:space="preserve">  </w:t>
      </w:r>
    </w:p>
    <w:p w14:paraId="27AB06C5" w14:textId="77777777" w:rsidR="00B56D50" w:rsidRDefault="001C3C42" w:rsidP="00093377">
      <w:pPr>
        <w:numPr>
          <w:ilvl w:val="0"/>
          <w:numId w:val="94"/>
        </w:numPr>
        <w:spacing w:after="0"/>
        <w:ind w:left="2160" w:right="0"/>
      </w:pPr>
      <w:proofErr w:type="spellStart"/>
      <w:r>
        <w:t>Aroclors</w:t>
      </w:r>
      <w:proofErr w:type="spellEnd"/>
      <w:r>
        <w:t xml:space="preserve"> </w:t>
      </w:r>
    </w:p>
    <w:p w14:paraId="672F6A1D" w14:textId="77777777" w:rsidR="00B56D50" w:rsidRDefault="001C3C42">
      <w:pPr>
        <w:spacing w:after="0" w:line="259" w:lineRule="auto"/>
        <w:ind w:left="1983" w:right="0" w:firstLine="0"/>
      </w:pPr>
      <w:r>
        <w:t xml:space="preserve"> </w:t>
      </w:r>
    </w:p>
    <w:p w14:paraId="2106BD5E" w14:textId="77777777" w:rsidR="00B56D50" w:rsidRDefault="001C3C42" w:rsidP="00093377">
      <w:pPr>
        <w:numPr>
          <w:ilvl w:val="1"/>
          <w:numId w:val="32"/>
        </w:numPr>
        <w:ind w:left="2520" w:right="255" w:hanging="360"/>
      </w:pPr>
      <w:r>
        <w:rPr>
          <w:u w:val="single" w:color="000000"/>
        </w:rPr>
        <w:t xml:space="preserve">When all seven </w:t>
      </w:r>
      <w:proofErr w:type="spellStart"/>
      <w:r>
        <w:rPr>
          <w:u w:val="single" w:color="000000"/>
        </w:rPr>
        <w:t>Aroclors</w:t>
      </w:r>
      <w:proofErr w:type="spellEnd"/>
      <w:r>
        <w:rPr>
          <w:u w:val="single" w:color="000000"/>
        </w:rPr>
        <w:t xml:space="preserve"> are target analytes as part of a standard analyte list:</w:t>
      </w:r>
      <w:r>
        <w:t xml:space="preserve"> A standard containing a mixture of </w:t>
      </w:r>
      <w:proofErr w:type="spellStart"/>
      <w:r>
        <w:t>Aroclor</w:t>
      </w:r>
      <w:proofErr w:type="spellEnd"/>
      <w:r>
        <w:t xml:space="preserve"> 1016 and </w:t>
      </w:r>
      <w:proofErr w:type="spellStart"/>
      <w:r>
        <w:t>Aroclor</w:t>
      </w:r>
      <w:proofErr w:type="spellEnd"/>
      <w:r>
        <w:t xml:space="preserve"> 1260 will include many of the peaks represented in the other five </w:t>
      </w:r>
      <w:proofErr w:type="spellStart"/>
      <w:r>
        <w:t>Aroclor</w:t>
      </w:r>
      <w:proofErr w:type="spellEnd"/>
      <w:r>
        <w:t xml:space="preserve"> mixtures (i.e., 1221, 1232, 1242, 1248, and 1254). As a result, a multi-point initial calibration employing a mixture of </w:t>
      </w:r>
      <w:proofErr w:type="spellStart"/>
      <w:r>
        <w:t>Aroclors</w:t>
      </w:r>
      <w:proofErr w:type="spellEnd"/>
      <w:r>
        <w:t xml:space="preserve"> 1016 and 1260 at five concentrations is sufficient to demonstrate the linearity of the detector response without the necessity of performing initial calibrations for each of the seven </w:t>
      </w:r>
      <w:proofErr w:type="spellStart"/>
      <w:r>
        <w:t>Aroclors</w:t>
      </w:r>
      <w:proofErr w:type="spellEnd"/>
      <w:r>
        <w:t xml:space="preserve">. </w:t>
      </w:r>
    </w:p>
    <w:p w14:paraId="1A9B8908" w14:textId="77777777" w:rsidR="00B56D50" w:rsidRDefault="001C3C42">
      <w:pPr>
        <w:spacing w:after="0" w:line="259" w:lineRule="auto"/>
        <w:ind w:left="1983" w:right="0" w:firstLine="0"/>
      </w:pPr>
      <w:r>
        <w:t xml:space="preserve"> </w:t>
      </w:r>
    </w:p>
    <w:p w14:paraId="5BE4AF21" w14:textId="77777777" w:rsidR="00B56D50" w:rsidRDefault="001C3C42">
      <w:pPr>
        <w:ind w:left="2518" w:right="0"/>
      </w:pPr>
      <w:r>
        <w:t xml:space="preserve">Such a mixture can be used as a standard to demonstrate that a sample does </w:t>
      </w:r>
      <w:r>
        <w:rPr>
          <w:u w:val="single" w:color="000000"/>
        </w:rPr>
        <w:t>not</w:t>
      </w:r>
      <w:r>
        <w:t xml:space="preserve"> contain peaks that represent any one of the </w:t>
      </w:r>
      <w:proofErr w:type="spellStart"/>
      <w:r>
        <w:t>Aroclors</w:t>
      </w:r>
      <w:proofErr w:type="spellEnd"/>
      <w:r>
        <w:t xml:space="preserve">. This standard can also be used to determine the concentrations of either </w:t>
      </w:r>
      <w:proofErr w:type="spellStart"/>
      <w:r>
        <w:t>Aroclor</w:t>
      </w:r>
      <w:proofErr w:type="spellEnd"/>
      <w:r>
        <w:t xml:space="preserve"> 1016 or </w:t>
      </w:r>
      <w:proofErr w:type="spellStart"/>
      <w:r>
        <w:t>Aroclor</w:t>
      </w:r>
      <w:proofErr w:type="spellEnd"/>
      <w:r>
        <w:t xml:space="preserve"> 1260 that are present in a sample.  </w:t>
      </w:r>
      <w:r>
        <w:rPr>
          <w:u w:val="single" w:color="000000"/>
        </w:rPr>
        <w:t xml:space="preserve">However, this standard cannot be used to identify or quantitate </w:t>
      </w:r>
      <w:proofErr w:type="spellStart"/>
      <w:r>
        <w:rPr>
          <w:u w:val="single" w:color="000000"/>
        </w:rPr>
        <w:t>Aroclors</w:t>
      </w:r>
      <w:proofErr w:type="spellEnd"/>
      <w:r>
        <w:rPr>
          <w:u w:val="single" w:color="000000"/>
        </w:rPr>
        <w:t xml:space="preserve"> other than 1016 </w:t>
      </w:r>
      <w:r w:rsidRPr="00506B1C">
        <w:rPr>
          <w:u w:val="single"/>
        </w:rPr>
        <w:t>or 1</w:t>
      </w:r>
      <w:r>
        <w:rPr>
          <w:u w:val="single" w:color="000000"/>
        </w:rPr>
        <w:t>260</w:t>
      </w:r>
      <w:r>
        <w:t xml:space="preserve">. </w:t>
      </w:r>
    </w:p>
    <w:p w14:paraId="6F1F59CE" w14:textId="77777777" w:rsidR="00B56D50" w:rsidRDefault="001C3C42">
      <w:pPr>
        <w:spacing w:after="0" w:line="259" w:lineRule="auto"/>
        <w:ind w:left="452" w:right="0" w:firstLine="0"/>
      </w:pPr>
      <w:r>
        <w:t xml:space="preserve"> </w:t>
      </w:r>
    </w:p>
    <w:p w14:paraId="20C5255B" w14:textId="77777777" w:rsidR="00B56D50" w:rsidRDefault="001C3C42">
      <w:pPr>
        <w:ind w:left="2518" w:right="255"/>
      </w:pPr>
      <w:r>
        <w:t xml:space="preserve">Prepare a minimum of five calibration standards containing equal concentrations of both </w:t>
      </w:r>
      <w:proofErr w:type="spellStart"/>
      <w:r>
        <w:t>Aroclor</w:t>
      </w:r>
      <w:proofErr w:type="spellEnd"/>
      <w:r>
        <w:t xml:space="preserve"> 1016 and </w:t>
      </w:r>
      <w:proofErr w:type="spellStart"/>
      <w:r>
        <w:t>Aroclor</w:t>
      </w:r>
      <w:proofErr w:type="spellEnd"/>
      <w:r>
        <w:t xml:space="preserve"> 1260 by dilution of the stock standard with an </w:t>
      </w:r>
      <w:r>
        <w:lastRenderedPageBreak/>
        <w:t xml:space="preserve">appropriate solvent.  The concentrations must correspond to the expected range of concentrations found in real samples and bracket the linear range of the detector. </w:t>
      </w:r>
    </w:p>
    <w:p w14:paraId="4636CEBA" w14:textId="77777777" w:rsidR="00B56D50" w:rsidRDefault="001C3C42">
      <w:pPr>
        <w:spacing w:after="0" w:line="259" w:lineRule="auto"/>
        <w:ind w:left="2508" w:right="0" w:firstLine="0"/>
      </w:pPr>
      <w:r>
        <w:t xml:space="preserve"> </w:t>
      </w:r>
    </w:p>
    <w:p w14:paraId="3FA59807" w14:textId="3311D826" w:rsidR="00B56D50" w:rsidRDefault="001C3C42">
      <w:pPr>
        <w:ind w:left="2518" w:right="255"/>
      </w:pPr>
      <w:r>
        <w:t xml:space="preserve">Single standards of each of the other five </w:t>
      </w:r>
      <w:proofErr w:type="spellStart"/>
      <w:r>
        <w:t>Aroclors</w:t>
      </w:r>
      <w:proofErr w:type="spellEnd"/>
      <w:r>
        <w:t xml:space="preserve"> are required to aid the analyst in pattern recognition.  </w:t>
      </w:r>
      <w:proofErr w:type="gramStart"/>
      <w:r>
        <w:t>Assuming that</w:t>
      </w:r>
      <w:proofErr w:type="gramEnd"/>
      <w:r>
        <w:t xml:space="preserve"> the </w:t>
      </w:r>
      <w:proofErr w:type="spellStart"/>
      <w:r>
        <w:t>Aroclor</w:t>
      </w:r>
      <w:proofErr w:type="spellEnd"/>
      <w:r>
        <w:t xml:space="preserve"> 1016/1260 standards described above have been used to demonstrate the linearity of the detector, these single standards of the remaining five </w:t>
      </w:r>
      <w:proofErr w:type="spellStart"/>
      <w:r>
        <w:t>Aroclors</w:t>
      </w:r>
      <w:proofErr w:type="spellEnd"/>
      <w:r>
        <w:t xml:space="preserve"> can also be used to determine the calibration factor for each </w:t>
      </w:r>
      <w:proofErr w:type="spellStart"/>
      <w:r>
        <w:t>Aroclor</w:t>
      </w:r>
      <w:proofErr w:type="spellEnd"/>
      <w:r>
        <w:t xml:space="preserve">.  Prepare a standard for each of the other </w:t>
      </w:r>
      <w:proofErr w:type="spellStart"/>
      <w:r>
        <w:t>Aroclors</w:t>
      </w:r>
      <w:proofErr w:type="spellEnd"/>
      <w:r>
        <w:t xml:space="preserve">.  The </w:t>
      </w:r>
      <w:proofErr w:type="gramStart"/>
      <w:r>
        <w:t>concentrations</w:t>
      </w:r>
      <w:proofErr w:type="gramEnd"/>
      <w:r>
        <w:t xml:space="preserve"> must correspond to the mid-point of the linear range of the detector.</w:t>
      </w:r>
    </w:p>
    <w:p w14:paraId="4EC611F1" w14:textId="77777777" w:rsidR="00B56D50" w:rsidRDefault="001C3C42">
      <w:pPr>
        <w:spacing w:after="0" w:line="259" w:lineRule="auto"/>
        <w:ind w:left="452" w:right="0" w:firstLine="0"/>
      </w:pPr>
      <w:r>
        <w:t xml:space="preserve"> </w:t>
      </w:r>
    </w:p>
    <w:p w14:paraId="1FAB3CBE" w14:textId="23C95EA8" w:rsidR="00B56D50" w:rsidRDefault="001C3C42" w:rsidP="00093377">
      <w:pPr>
        <w:numPr>
          <w:ilvl w:val="1"/>
          <w:numId w:val="32"/>
        </w:numPr>
        <w:ind w:left="2520" w:right="255" w:hanging="360"/>
      </w:pPr>
      <w:r>
        <w:rPr>
          <w:u w:val="single" w:color="000000"/>
        </w:rPr>
        <w:t xml:space="preserve">When specific site-related </w:t>
      </w:r>
      <w:proofErr w:type="spellStart"/>
      <w:r>
        <w:rPr>
          <w:u w:val="single" w:color="000000"/>
        </w:rPr>
        <w:t>Aroclors</w:t>
      </w:r>
      <w:proofErr w:type="spellEnd"/>
      <w:r>
        <w:rPr>
          <w:u w:val="single" w:color="000000"/>
        </w:rPr>
        <w:t xml:space="preserve"> are target analytes</w:t>
      </w:r>
      <w:r>
        <w:t xml:space="preserve">: In situations where only a few </w:t>
      </w:r>
      <w:proofErr w:type="spellStart"/>
      <w:r>
        <w:t>Aroclors</w:t>
      </w:r>
      <w:proofErr w:type="spellEnd"/>
      <w:r>
        <w:t xml:space="preserve"> are of interest for a specific project, a five-point initial calibration of each </w:t>
      </w:r>
      <w:r w:rsidR="00274B37">
        <w:t>site related</w:t>
      </w:r>
      <w:r>
        <w:t xml:space="preserve"> </w:t>
      </w:r>
      <w:proofErr w:type="spellStart"/>
      <w:r>
        <w:t>Aroclor</w:t>
      </w:r>
      <w:proofErr w:type="spellEnd"/>
      <w:r>
        <w:t xml:space="preserve"> must be run.  In this case, the 1016/1260 mixture and the pattern recognition standards described in </w:t>
      </w:r>
      <w:r>
        <w:rPr>
          <w:b/>
        </w:rPr>
        <w:t>Section F (3) (a)</w:t>
      </w:r>
      <w:r>
        <w:t xml:space="preserve">, above, need not be run.  Prepare the standards as indicated in </w:t>
      </w:r>
      <w:r>
        <w:rPr>
          <w:b/>
        </w:rPr>
        <w:t>Section F (2) (a).</w:t>
      </w:r>
      <w:r>
        <w:t xml:space="preserve"> </w:t>
      </w:r>
    </w:p>
    <w:p w14:paraId="074617F9" w14:textId="77777777" w:rsidR="00B56D50" w:rsidRDefault="001C3C42">
      <w:pPr>
        <w:spacing w:after="0" w:line="259" w:lineRule="auto"/>
        <w:ind w:left="2163" w:right="0" w:firstLine="0"/>
      </w:pPr>
      <w:r>
        <w:t xml:space="preserve"> </w:t>
      </w:r>
    </w:p>
    <w:p w14:paraId="271261DB" w14:textId="70A36901" w:rsidR="00B56D50" w:rsidRPr="00EB14C9" w:rsidRDefault="001C3C42" w:rsidP="00093377">
      <w:pPr>
        <w:numPr>
          <w:ilvl w:val="0"/>
          <w:numId w:val="93"/>
        </w:numPr>
        <w:ind w:left="1800" w:right="0" w:hanging="360"/>
        <w:rPr>
          <w:b/>
          <w:bCs/>
        </w:rPr>
      </w:pPr>
      <w:r w:rsidRPr="00EB14C9">
        <w:rPr>
          <w:b/>
          <w:bCs/>
        </w:rPr>
        <w:t>Calibration Process (External Standard Procedure)</w:t>
      </w:r>
      <w:r w:rsidR="00D1771B">
        <w:rPr>
          <w:b/>
          <w:bCs/>
        </w:rPr>
        <w:t xml:space="preserve"> </w:t>
      </w:r>
    </w:p>
    <w:p w14:paraId="5F62AB43" w14:textId="159A7CF7" w:rsidR="00B56D50" w:rsidRDefault="001C3C42" w:rsidP="00EB14C9">
      <w:pPr>
        <w:spacing w:after="13" w:line="248" w:lineRule="auto"/>
        <w:ind w:left="1810" w:right="0"/>
      </w:pPr>
      <w:r>
        <w:t xml:space="preserve">Inject each calibration standard using the technique that will be used to introduce the actual </w:t>
      </w:r>
      <w:r w:rsidR="00011654">
        <w:t>s</w:t>
      </w:r>
      <w:r>
        <w:t>amples</w:t>
      </w:r>
      <w:r w:rsidR="00011654">
        <w:t xml:space="preserve"> </w:t>
      </w:r>
      <w:r>
        <w:t>into the gas chromatograph</w:t>
      </w:r>
      <w:r w:rsidR="00011654">
        <w:t xml:space="preserve"> (e.g., 1</w:t>
      </w:r>
      <w:r w:rsidR="00D1771B">
        <w:t>-</w:t>
      </w:r>
      <w:r w:rsidR="00011654">
        <w:t xml:space="preserve">3 </w:t>
      </w:r>
      <w:r w:rsidR="00011654">
        <w:rPr>
          <w:rFonts w:ascii="Symbol" w:eastAsia="Symbol" w:hAnsi="Symbol" w:cs="Symbol"/>
        </w:rPr>
        <w:t>m</w:t>
      </w:r>
      <w:r w:rsidR="00011654">
        <w:t>g/L injections).</w:t>
      </w:r>
      <w:r w:rsidR="00EB14C9">
        <w:t xml:space="preserve">  Tabulate peak height or area response against the mass injected.</w:t>
      </w:r>
      <w:r w:rsidR="00011654">
        <w:t xml:space="preserve"> </w:t>
      </w:r>
      <w:r>
        <w:t xml:space="preserve"> In the case of multi-component analytes, a minimum of 3 peaks (and preferably 5 peaks) must be chosen for each multi-component analyte and responses for each of these peaks tabulated.  The results are used to prepare a calibration curve or to calculate a calibration factor (CF) for each analyte.  The CF is defined as the ratio of the detector response to the amount (mass) injected.  It can be calculated for each analyte at each standard concentration</w:t>
      </w:r>
      <w:r w:rsidR="006D70CA">
        <w:t>.</w:t>
      </w:r>
      <w:r w:rsidR="007E3CFE">
        <w:t xml:space="preserve"> </w:t>
      </w:r>
      <w:r w:rsidR="007E3CFE" w:rsidRPr="00143D11">
        <w:rPr>
          <w:b/>
          <w:bCs/>
          <w:vertAlign w:val="superscript"/>
        </w:rPr>
        <w:t>48</w:t>
      </w:r>
    </w:p>
    <w:p w14:paraId="1F789DCA" w14:textId="20D59740" w:rsidR="00B56D50" w:rsidRPr="006D70CA" w:rsidRDefault="001C3C42" w:rsidP="00EB14C9">
      <w:pPr>
        <w:ind w:left="1440" w:firstLine="0"/>
      </w:pPr>
      <w:r>
        <w:t xml:space="preserve"> </w:t>
      </w:r>
    </w:p>
    <w:p w14:paraId="714A10FE" w14:textId="65F5286A" w:rsidR="00B56D50" w:rsidRPr="00EB14C9" w:rsidRDefault="001C3C42" w:rsidP="00093377">
      <w:pPr>
        <w:numPr>
          <w:ilvl w:val="0"/>
          <w:numId w:val="93"/>
        </w:numPr>
        <w:ind w:left="1800" w:right="0" w:hanging="360"/>
        <w:rPr>
          <w:b/>
          <w:bCs/>
        </w:rPr>
      </w:pPr>
      <w:r w:rsidRPr="00EB14C9">
        <w:rPr>
          <w:b/>
          <w:bCs/>
        </w:rPr>
        <w:t xml:space="preserve">Initial Calibration Control Criteria </w:t>
      </w:r>
    </w:p>
    <w:p w14:paraId="36C9CC14" w14:textId="41B26460" w:rsidR="006D70CA" w:rsidRDefault="001C3C42" w:rsidP="00EB14C9">
      <w:pPr>
        <w:ind w:left="1810" w:right="255"/>
      </w:pPr>
      <w:r>
        <w:t>The mean and standard deviation of the calibration factors across the five concentrations for each analyte are calculated; from these the relative standard deviation for each analyte is calculated</w:t>
      </w:r>
      <w:r w:rsidR="006D70CA">
        <w:t>.</w:t>
      </w:r>
    </w:p>
    <w:p w14:paraId="433B95EE" w14:textId="4DF2BA4B" w:rsidR="00B56D50" w:rsidRPr="006D70CA" w:rsidRDefault="00B56D50" w:rsidP="00EB14C9">
      <w:pPr>
        <w:ind w:left="0" w:firstLine="0"/>
      </w:pPr>
    </w:p>
    <w:p w14:paraId="4C0B65E9" w14:textId="228CF39C" w:rsidR="006D70CA" w:rsidRDefault="001C3C42" w:rsidP="00EB14C9">
      <w:pPr>
        <w:ind w:left="1810" w:right="3"/>
      </w:pPr>
      <w:r>
        <w:t>If the relative standard deviation (RSD) of the calibration factor</w:t>
      </w:r>
      <w:r>
        <w:rPr>
          <w:b/>
        </w:rPr>
        <w:t xml:space="preserve"> </w:t>
      </w:r>
      <w:r>
        <w:t>is</w:t>
      </w:r>
      <w:r w:rsidR="00A84134">
        <w:rPr>
          <w:rFonts w:ascii="Segoe UI Symbol" w:eastAsia="Segoe UI Symbol" w:hAnsi="Segoe UI Symbol" w:cs="Segoe UI Symbol"/>
        </w:rPr>
        <w:t xml:space="preserve"> </w:t>
      </w:r>
      <w:r w:rsidR="00A84134" w:rsidRPr="00A84134">
        <w:rPr>
          <w:rFonts w:ascii="Segoe UI Symbol" w:eastAsia="Segoe UI Symbol" w:hAnsi="Segoe UI Symbol" w:cs="Segoe UI Symbol"/>
          <w:u w:val="single"/>
        </w:rPr>
        <w:t>&lt;</w:t>
      </w:r>
      <w:r>
        <w:t xml:space="preserve">20% over the working range, linearity through the origin can be assumed, and the average calibration factor can be used in place of a calibration curve.  If linearity through the origin cannot be assumed (i.e., the criteria in TABLE </w:t>
      </w:r>
      <w:r w:rsidR="00756B69">
        <w:t>24</w:t>
      </w:r>
      <w:r>
        <w:t xml:space="preserve"> cannot be met), the analysis must be </w:t>
      </w:r>
      <w:r w:rsidR="001D7F46">
        <w:t>stopped,</w:t>
      </w:r>
      <w:r>
        <w:t xml:space="preserve"> and the problem found and corrected before analysis of samples can begin.  A calibration curve may need to be used instead of the mean calibration factor.  (See SW-846 Method 8000.)</w:t>
      </w:r>
      <w:r w:rsidR="00550C52">
        <w:t xml:space="preserve">  </w:t>
      </w:r>
      <w:r w:rsidR="00550C52" w:rsidRPr="00937FD9">
        <w:rPr>
          <w:rFonts w:eastAsia="Arial"/>
        </w:rPr>
        <w:t>If a calibration curve is used rather than CF or RF, % Drift must be calculated instead of % Difference.  Acceptance criteria for % Drift are 8</w:t>
      </w:r>
      <w:r w:rsidR="00773A7A">
        <w:rPr>
          <w:rFonts w:eastAsia="Arial"/>
        </w:rPr>
        <w:t>0</w:t>
      </w:r>
      <w:r w:rsidR="00550C52" w:rsidRPr="00937FD9">
        <w:rPr>
          <w:rFonts w:eastAsia="Arial"/>
        </w:rPr>
        <w:t>-1</w:t>
      </w:r>
      <w:r w:rsidR="00773A7A">
        <w:rPr>
          <w:rFonts w:eastAsia="Arial"/>
        </w:rPr>
        <w:t>20</w:t>
      </w:r>
      <w:r w:rsidR="00550C52" w:rsidRPr="00937FD9">
        <w:rPr>
          <w:rFonts w:eastAsia="Arial"/>
        </w:rPr>
        <w:t xml:space="preserve">%. </w:t>
      </w:r>
      <w:r w:rsidR="00F24C33" w:rsidRPr="00352C54">
        <w:rPr>
          <w:b/>
          <w:bCs/>
          <w:vertAlign w:val="superscript"/>
        </w:rPr>
        <w:t>49</w:t>
      </w:r>
    </w:p>
    <w:p w14:paraId="21F0E2F2" w14:textId="084FB912" w:rsidR="00B56D50" w:rsidRDefault="00B56D50" w:rsidP="00763788">
      <w:pPr>
        <w:ind w:right="3"/>
      </w:pPr>
    </w:p>
    <w:p w14:paraId="21CCC3E9" w14:textId="77777777" w:rsidR="00CA3F3E" w:rsidRDefault="00CA3F3E" w:rsidP="00763788">
      <w:pPr>
        <w:ind w:right="3"/>
      </w:pPr>
    </w:p>
    <w:p w14:paraId="402C10D2" w14:textId="77777777" w:rsidR="00CA3F3E" w:rsidRDefault="00CA3F3E" w:rsidP="00763788">
      <w:pPr>
        <w:ind w:right="3"/>
      </w:pPr>
    </w:p>
    <w:p w14:paraId="6935F85B" w14:textId="77777777" w:rsidR="00CA3F3E" w:rsidRDefault="00CA3F3E" w:rsidP="00763788">
      <w:pPr>
        <w:ind w:right="3"/>
      </w:pPr>
    </w:p>
    <w:p w14:paraId="610C666D" w14:textId="77777777" w:rsidR="00CA3F3E" w:rsidRDefault="00CA3F3E" w:rsidP="00763788">
      <w:pPr>
        <w:ind w:right="3"/>
      </w:pPr>
    </w:p>
    <w:p w14:paraId="313F3522" w14:textId="146A7A9F" w:rsidR="00B56D50" w:rsidRDefault="001C3C42">
      <w:pPr>
        <w:pStyle w:val="Heading5"/>
        <w:ind w:left="1024" w:right="649"/>
      </w:pPr>
      <w:r>
        <w:lastRenderedPageBreak/>
        <w:t xml:space="preserve">TABLE </w:t>
      </w:r>
      <w:r w:rsidR="00756B69">
        <w:t>24</w:t>
      </w:r>
      <w:r>
        <w:t xml:space="preserve"> </w:t>
      </w:r>
    </w:p>
    <w:p w14:paraId="60E61D4F" w14:textId="77777777" w:rsidR="00B56D50" w:rsidRDefault="001C3C42">
      <w:pPr>
        <w:pStyle w:val="Heading6"/>
        <w:spacing w:after="14" w:line="248" w:lineRule="auto"/>
        <w:ind w:left="1024" w:right="657"/>
        <w:jc w:val="center"/>
      </w:pPr>
      <w:r>
        <w:t xml:space="preserve">Initial Calibration CF RSD Criteria for GC Analysis </w:t>
      </w:r>
    </w:p>
    <w:p w14:paraId="76FF563C" w14:textId="77777777" w:rsidR="00B56D50" w:rsidRDefault="001C3C42">
      <w:pPr>
        <w:spacing w:after="0" w:line="259" w:lineRule="auto"/>
        <w:ind w:left="406" w:right="0" w:firstLine="0"/>
        <w:jc w:val="center"/>
      </w:pPr>
      <w:r>
        <w:rPr>
          <w:rFonts w:ascii="Arial" w:eastAsia="Arial" w:hAnsi="Arial" w:cs="Arial"/>
          <w:sz w:val="16"/>
        </w:rPr>
        <w:t xml:space="preserve"> </w:t>
      </w:r>
    </w:p>
    <w:tbl>
      <w:tblPr>
        <w:tblStyle w:val="TableGrid1"/>
        <w:tblW w:w="7290" w:type="dxa"/>
        <w:tblInd w:w="1803" w:type="dxa"/>
        <w:tblBorders>
          <w:top w:val="single" w:sz="12" w:space="0" w:color="000000"/>
          <w:left w:val="single" w:sz="12" w:space="0" w:color="000000"/>
          <w:bottom w:val="single" w:sz="12" w:space="0" w:color="000000"/>
          <w:right w:val="single" w:sz="12" w:space="0" w:color="000000"/>
          <w:insideV w:val="single" w:sz="12" w:space="0" w:color="000000"/>
        </w:tblBorders>
        <w:tblCellMar>
          <w:top w:w="77" w:type="dxa"/>
          <w:left w:w="115" w:type="dxa"/>
          <w:right w:w="115" w:type="dxa"/>
        </w:tblCellMar>
        <w:tblLook w:val="04A0" w:firstRow="1" w:lastRow="0" w:firstColumn="1" w:lastColumn="0" w:noHBand="0" w:noVBand="1"/>
      </w:tblPr>
      <w:tblGrid>
        <w:gridCol w:w="2881"/>
        <w:gridCol w:w="4409"/>
      </w:tblGrid>
      <w:tr w:rsidR="00B56D50" w14:paraId="620A08D3" w14:textId="77777777" w:rsidTr="002340F6">
        <w:trPr>
          <w:trHeight w:val="144"/>
        </w:trPr>
        <w:tc>
          <w:tcPr>
            <w:tcW w:w="2881" w:type="dxa"/>
            <w:tcBorders>
              <w:bottom w:val="single" w:sz="12" w:space="0" w:color="000000"/>
            </w:tcBorders>
            <w:vAlign w:val="center"/>
          </w:tcPr>
          <w:p w14:paraId="3C9C2346" w14:textId="357B6FBD" w:rsidR="00B56D50" w:rsidRDefault="001C3C42" w:rsidP="00763788">
            <w:pPr>
              <w:spacing w:after="0" w:line="259" w:lineRule="auto"/>
              <w:ind w:left="0" w:right="2" w:firstLine="0"/>
              <w:jc w:val="center"/>
            </w:pPr>
            <w:r>
              <w:rPr>
                <w:b/>
              </w:rPr>
              <w:t>Compound</w:t>
            </w:r>
          </w:p>
        </w:tc>
        <w:tc>
          <w:tcPr>
            <w:tcW w:w="4409" w:type="dxa"/>
            <w:tcBorders>
              <w:bottom w:val="single" w:sz="12" w:space="0" w:color="000000"/>
            </w:tcBorders>
            <w:vAlign w:val="center"/>
          </w:tcPr>
          <w:p w14:paraId="4D02086D" w14:textId="5B7A784E" w:rsidR="00B56D50" w:rsidRDefault="001C3C42" w:rsidP="00836077">
            <w:pPr>
              <w:spacing w:after="0" w:line="259" w:lineRule="auto"/>
              <w:ind w:left="0" w:right="0" w:firstLine="0"/>
              <w:jc w:val="center"/>
            </w:pPr>
            <w:r>
              <w:rPr>
                <w:b/>
              </w:rPr>
              <w:t>RSD for Standard CFs across all concentrations</w:t>
            </w:r>
          </w:p>
        </w:tc>
      </w:tr>
      <w:tr w:rsidR="00266BC1" w14:paraId="19B4D6D0" w14:textId="77777777" w:rsidTr="002340F6">
        <w:trPr>
          <w:trHeight w:val="368"/>
        </w:trPr>
        <w:tc>
          <w:tcPr>
            <w:tcW w:w="2881" w:type="dxa"/>
            <w:tcBorders>
              <w:top w:val="single" w:sz="12" w:space="0" w:color="000000"/>
              <w:bottom w:val="single" w:sz="12" w:space="0" w:color="000000"/>
            </w:tcBorders>
            <w:vAlign w:val="center"/>
          </w:tcPr>
          <w:p w14:paraId="45B75600" w14:textId="211FEB85" w:rsidR="00266BC1" w:rsidRDefault="002340F6">
            <w:pPr>
              <w:spacing w:after="0" w:line="259" w:lineRule="auto"/>
              <w:ind w:left="0" w:right="8" w:firstLine="0"/>
              <w:jc w:val="center"/>
            </w:pPr>
            <w:r>
              <w:t>E</w:t>
            </w:r>
            <w:r>
              <w:rPr>
                <w:sz w:val="18"/>
              </w:rPr>
              <w:t xml:space="preserve">ACH </w:t>
            </w:r>
            <w:r>
              <w:t>T</w:t>
            </w:r>
            <w:r>
              <w:rPr>
                <w:sz w:val="18"/>
              </w:rPr>
              <w:t xml:space="preserve">ARGET </w:t>
            </w:r>
            <w:r>
              <w:t>A</w:t>
            </w:r>
            <w:r>
              <w:rPr>
                <w:sz w:val="18"/>
              </w:rPr>
              <w:t>NALYTE</w:t>
            </w:r>
          </w:p>
        </w:tc>
        <w:tc>
          <w:tcPr>
            <w:tcW w:w="4409" w:type="dxa"/>
            <w:tcBorders>
              <w:top w:val="single" w:sz="12" w:space="0" w:color="000000"/>
              <w:bottom w:val="single" w:sz="12" w:space="0" w:color="000000"/>
            </w:tcBorders>
            <w:vAlign w:val="center"/>
          </w:tcPr>
          <w:p w14:paraId="256B1FEF" w14:textId="3055310A" w:rsidR="00266BC1" w:rsidRDefault="002340F6">
            <w:pPr>
              <w:spacing w:after="0" w:line="259" w:lineRule="auto"/>
              <w:ind w:left="0" w:right="1" w:firstLine="0"/>
              <w:jc w:val="center"/>
            </w:pPr>
            <w:r>
              <w:t>≤ 20 %</w:t>
            </w:r>
          </w:p>
        </w:tc>
      </w:tr>
    </w:tbl>
    <w:p w14:paraId="537B7441" w14:textId="77777777" w:rsidR="00B56D50" w:rsidRDefault="001C3C42">
      <w:pPr>
        <w:spacing w:after="0" w:line="259" w:lineRule="auto"/>
        <w:ind w:left="1443" w:right="0" w:firstLine="0"/>
      </w:pPr>
      <w:r>
        <w:rPr>
          <w:rFonts w:ascii="Arial" w:eastAsia="Arial" w:hAnsi="Arial" w:cs="Arial"/>
        </w:rPr>
        <w:t xml:space="preserve"> </w:t>
      </w:r>
    </w:p>
    <w:p w14:paraId="4227D0CF" w14:textId="77777777" w:rsidR="00B56D50" w:rsidRDefault="001C3C42">
      <w:pPr>
        <w:ind w:left="1453" w:right="255"/>
      </w:pPr>
      <w:r>
        <w:t xml:space="preserve">A new calibration curve (or calibration factor) must be prepared whenever a new column or detector is installed.  The initial calibration data, calibration factors, and RSDs calculated must be reported with the analysis results. </w:t>
      </w:r>
    </w:p>
    <w:p w14:paraId="0C825DF5" w14:textId="77777777" w:rsidR="00B56D50" w:rsidRDefault="001C3C42">
      <w:pPr>
        <w:spacing w:after="0" w:line="259" w:lineRule="auto"/>
        <w:ind w:left="452" w:right="0" w:firstLine="0"/>
      </w:pPr>
      <w:r>
        <w:t xml:space="preserve"> </w:t>
      </w:r>
    </w:p>
    <w:p w14:paraId="005B41CC" w14:textId="28041EA3" w:rsidR="00B56D50" w:rsidRPr="00DE421A" w:rsidRDefault="001C3C42" w:rsidP="00093377">
      <w:pPr>
        <w:numPr>
          <w:ilvl w:val="0"/>
          <w:numId w:val="92"/>
        </w:numPr>
        <w:spacing w:after="16"/>
        <w:ind w:left="1440" w:right="186" w:hanging="360"/>
        <w:rPr>
          <w:b/>
          <w:bCs/>
        </w:rPr>
      </w:pPr>
      <w:r w:rsidRPr="00DE421A">
        <w:rPr>
          <w:b/>
          <w:bCs/>
        </w:rPr>
        <w:t xml:space="preserve">Establishment of Retention Time Windows  </w:t>
      </w:r>
    </w:p>
    <w:p w14:paraId="3787E711" w14:textId="77777777" w:rsidR="00DE421A" w:rsidRDefault="001C3C42" w:rsidP="00DE421A">
      <w:pPr>
        <w:ind w:left="1450" w:right="255"/>
      </w:pPr>
      <w:r>
        <w:t>The Contractor shall adhere to the following requirements:</w:t>
      </w:r>
    </w:p>
    <w:p w14:paraId="47F7CEA7" w14:textId="7842D8E6" w:rsidR="00B56D50" w:rsidRDefault="001C3C42" w:rsidP="00DE421A">
      <w:pPr>
        <w:ind w:left="730" w:right="255"/>
      </w:pPr>
      <w:r>
        <w:t xml:space="preserve"> </w:t>
      </w:r>
    </w:p>
    <w:p w14:paraId="08BFC892" w14:textId="77777777" w:rsidR="00B56D50" w:rsidRDefault="001C3C42" w:rsidP="00093377">
      <w:pPr>
        <w:numPr>
          <w:ilvl w:val="0"/>
          <w:numId w:val="35"/>
        </w:numPr>
        <w:ind w:left="1800" w:right="255" w:hanging="360"/>
      </w:pPr>
      <w:r>
        <w:t xml:space="preserve">Before establishing windows, make sure the GC system is within optimum operating conditions.  Make three injections of all single component standard mixtures and multi-component analytes over the course of a 72-hour period. </w:t>
      </w:r>
      <w:r>
        <w:rPr>
          <w:b/>
        </w:rPr>
        <w:t xml:space="preserve"> </w:t>
      </w:r>
    </w:p>
    <w:p w14:paraId="407E3A1E" w14:textId="77777777" w:rsidR="00B56D50" w:rsidRDefault="001C3C42">
      <w:pPr>
        <w:spacing w:after="0" w:line="259" w:lineRule="auto"/>
        <w:ind w:left="903" w:right="0" w:firstLine="0"/>
      </w:pPr>
      <w:r>
        <w:rPr>
          <w:b/>
        </w:rPr>
        <w:t xml:space="preserve"> </w:t>
      </w:r>
    </w:p>
    <w:p w14:paraId="458869C3" w14:textId="77777777" w:rsidR="00B56D50" w:rsidRDefault="001C3C42" w:rsidP="00093377">
      <w:pPr>
        <w:numPr>
          <w:ilvl w:val="0"/>
          <w:numId w:val="35"/>
        </w:numPr>
        <w:ind w:left="1800" w:right="255" w:hanging="360"/>
      </w:pPr>
      <w:r>
        <w:t>Record the retention time for each single component analyte and surrogate to three decimal places.</w:t>
      </w:r>
      <w:r>
        <w:rPr>
          <w:b/>
        </w:rPr>
        <w:t xml:space="preserve"> </w:t>
      </w:r>
    </w:p>
    <w:p w14:paraId="1D4E4804" w14:textId="77777777" w:rsidR="00B56D50" w:rsidRDefault="001C3C42">
      <w:pPr>
        <w:spacing w:after="0" w:line="259" w:lineRule="auto"/>
        <w:ind w:left="452" w:right="0" w:firstLine="0"/>
      </w:pPr>
      <w:r>
        <w:rPr>
          <w:b/>
        </w:rPr>
        <w:t xml:space="preserve"> </w:t>
      </w:r>
    </w:p>
    <w:p w14:paraId="5F2D83B0" w14:textId="77777777" w:rsidR="00B56D50" w:rsidRDefault="001C3C42" w:rsidP="00093377">
      <w:pPr>
        <w:numPr>
          <w:ilvl w:val="0"/>
          <w:numId w:val="35"/>
        </w:numPr>
        <w:ind w:left="1800" w:right="255" w:hanging="360"/>
      </w:pPr>
      <w:r>
        <w:t>Calculate the mean and standard deviation of the three absolute retention times for each single component analyte and surrogate.  For multi-component analytes, choose three to five major peaks and calculate the mean and standard deviation for each of those peaks.</w:t>
      </w:r>
      <w:r>
        <w:rPr>
          <w:b/>
        </w:rPr>
        <w:t xml:space="preserve"> </w:t>
      </w:r>
    </w:p>
    <w:p w14:paraId="7021E6A7" w14:textId="77777777" w:rsidR="00B56D50" w:rsidRDefault="001C3C42">
      <w:pPr>
        <w:spacing w:after="0" w:line="259" w:lineRule="auto"/>
        <w:ind w:left="452" w:right="0" w:firstLine="0"/>
      </w:pPr>
      <w:r>
        <w:rPr>
          <w:b/>
        </w:rPr>
        <w:t xml:space="preserve"> </w:t>
      </w:r>
    </w:p>
    <w:p w14:paraId="5F9A8E33" w14:textId="77777777" w:rsidR="00B56D50" w:rsidRDefault="001C3C42" w:rsidP="00093377">
      <w:pPr>
        <w:numPr>
          <w:ilvl w:val="0"/>
          <w:numId w:val="35"/>
        </w:numPr>
        <w:ind w:left="1800" w:right="255" w:hanging="360"/>
      </w:pPr>
      <w:r>
        <w:t>If the standard deviation of the retention times for a target compound is 0.000 (i.e., no difference between the absolute retention times), then the Contractor may either collect data from additional injections of standards or use a default standard deviation of 0.01 minutes.</w:t>
      </w:r>
      <w:r>
        <w:rPr>
          <w:b/>
        </w:rPr>
        <w:t xml:space="preserve"> </w:t>
      </w:r>
    </w:p>
    <w:p w14:paraId="474E2C58" w14:textId="77777777" w:rsidR="00B56D50" w:rsidRDefault="001C3C42">
      <w:pPr>
        <w:spacing w:after="0" w:line="259" w:lineRule="auto"/>
        <w:ind w:left="452" w:right="0" w:firstLine="0"/>
      </w:pPr>
      <w:r>
        <w:rPr>
          <w:b/>
        </w:rPr>
        <w:t xml:space="preserve"> </w:t>
      </w:r>
    </w:p>
    <w:p w14:paraId="1D080270" w14:textId="77777777" w:rsidR="00B56D50" w:rsidRDefault="001C3C42" w:rsidP="00093377">
      <w:pPr>
        <w:numPr>
          <w:ilvl w:val="0"/>
          <w:numId w:val="35"/>
        </w:numPr>
        <w:ind w:left="1800" w:right="255" w:hanging="360"/>
      </w:pPr>
      <w:r>
        <w:t xml:space="preserve">The width of the retention time window for each analyte, surrogate, and major constituent in multicomponent analytes is defined as ± 3 times the standard deviation of the mean absolute retention time established during the 72-hour period.  If the default standard deviation in paragraph </w:t>
      </w:r>
      <w:r>
        <w:rPr>
          <w:b/>
        </w:rPr>
        <w:t>(d.)</w:t>
      </w:r>
      <w:r>
        <w:t>, above, is employed, the width of the window will be 0.03 minutes.</w:t>
      </w:r>
      <w:r>
        <w:rPr>
          <w:b/>
        </w:rPr>
        <w:t xml:space="preserve"> </w:t>
      </w:r>
    </w:p>
    <w:p w14:paraId="0B7B5253" w14:textId="5AC660E4" w:rsidR="00B56D50" w:rsidRDefault="001C3C42">
      <w:pPr>
        <w:spacing w:after="0" w:line="259" w:lineRule="auto"/>
        <w:ind w:left="452" w:right="0" w:firstLine="0"/>
      </w:pPr>
      <w:r>
        <w:rPr>
          <w:b/>
        </w:rPr>
        <w:t xml:space="preserve">  </w:t>
      </w:r>
    </w:p>
    <w:p w14:paraId="1511F786" w14:textId="77777777" w:rsidR="00B56D50" w:rsidRDefault="001C3C42" w:rsidP="00093377">
      <w:pPr>
        <w:numPr>
          <w:ilvl w:val="0"/>
          <w:numId w:val="35"/>
        </w:numPr>
        <w:ind w:left="1800" w:right="255" w:hanging="360"/>
      </w:pPr>
      <w:r>
        <w:t xml:space="preserve">The </w:t>
      </w:r>
      <w:proofErr w:type="gramStart"/>
      <w:r>
        <w:t>Contractor shall</w:t>
      </w:r>
      <w:proofErr w:type="gramEnd"/>
      <w:r>
        <w:t xml:space="preserve"> establish the center of the retention time window for each analyte and surrogate by using the absolute retention time for each analyte and surrogate from the calibration verification standard at the beginning of the analytical shift.  For samples run during the same shift as an initial calibration, use the retention time of the mid-point standard of the initial calibration.</w:t>
      </w:r>
      <w:r>
        <w:rPr>
          <w:b/>
        </w:rPr>
        <w:t xml:space="preserve"> </w:t>
      </w:r>
    </w:p>
    <w:p w14:paraId="6D517A16" w14:textId="77777777" w:rsidR="00B56D50" w:rsidRDefault="001C3C42">
      <w:pPr>
        <w:spacing w:after="0" w:line="259" w:lineRule="auto"/>
        <w:ind w:left="452" w:right="0" w:firstLine="0"/>
      </w:pPr>
      <w:r>
        <w:rPr>
          <w:b/>
        </w:rPr>
        <w:t xml:space="preserve"> </w:t>
      </w:r>
    </w:p>
    <w:p w14:paraId="69C596D9" w14:textId="0EC42DDE" w:rsidR="00B56D50" w:rsidRDefault="001C3C42" w:rsidP="00093377">
      <w:pPr>
        <w:numPr>
          <w:ilvl w:val="0"/>
          <w:numId w:val="35"/>
        </w:numPr>
        <w:ind w:left="1800" w:right="255" w:hanging="360"/>
      </w:pPr>
      <w:r>
        <w:t>The Contractor shall calculate absolute retention time windows for each analyte and surrogate on each GC column and instrument.  New retention time windows must be established whenever a new GC column is installed.  The retention time windows must be reported with the analysis results in support of the identifications made.</w:t>
      </w:r>
      <w:r>
        <w:rPr>
          <w:b/>
        </w:rPr>
        <w:t xml:space="preserve"> </w:t>
      </w:r>
    </w:p>
    <w:p w14:paraId="5C390295" w14:textId="77777777" w:rsidR="00B56D50" w:rsidRDefault="001C3C42">
      <w:pPr>
        <w:spacing w:after="0" w:line="259" w:lineRule="auto"/>
        <w:ind w:left="452" w:right="0" w:firstLine="0"/>
      </w:pPr>
      <w:r>
        <w:lastRenderedPageBreak/>
        <w:t xml:space="preserve"> </w:t>
      </w:r>
    </w:p>
    <w:p w14:paraId="122502B8" w14:textId="61C9C08B" w:rsidR="00B56D50" w:rsidRPr="00327B7C" w:rsidRDefault="001C3C42" w:rsidP="00093377">
      <w:pPr>
        <w:numPr>
          <w:ilvl w:val="0"/>
          <w:numId w:val="92"/>
        </w:numPr>
        <w:spacing w:after="16"/>
        <w:ind w:left="1440" w:right="186" w:hanging="360"/>
        <w:rPr>
          <w:b/>
          <w:bCs/>
        </w:rPr>
      </w:pPr>
      <w:r w:rsidRPr="00327B7C">
        <w:rPr>
          <w:b/>
          <w:bCs/>
        </w:rPr>
        <w:t xml:space="preserve">Calibration Verification </w:t>
      </w:r>
    </w:p>
    <w:p w14:paraId="30E61899" w14:textId="77777777" w:rsidR="00B56D50" w:rsidRDefault="001C3C42" w:rsidP="00327B7C">
      <w:pPr>
        <w:ind w:left="1450" w:right="0"/>
      </w:pPr>
      <w:r>
        <w:t xml:space="preserve">The Contractor shall verify the calibration relationship established during the initial calibration by injecting a calibration verification standard at periodic intervals: </w:t>
      </w:r>
    </w:p>
    <w:p w14:paraId="064A7190" w14:textId="77777777" w:rsidR="00B56D50" w:rsidRDefault="001C3C42">
      <w:pPr>
        <w:spacing w:after="0" w:line="259" w:lineRule="auto"/>
        <w:ind w:left="452" w:right="0" w:firstLine="0"/>
      </w:pPr>
      <w:r>
        <w:t xml:space="preserve"> </w:t>
      </w:r>
    </w:p>
    <w:p w14:paraId="70F35BD4" w14:textId="77777777" w:rsidR="00B56D50" w:rsidRDefault="001C3C42" w:rsidP="00093377">
      <w:pPr>
        <w:numPr>
          <w:ilvl w:val="0"/>
          <w:numId w:val="36"/>
        </w:numPr>
        <w:ind w:left="1800" w:right="255" w:hanging="360"/>
      </w:pPr>
      <w:r>
        <w:t xml:space="preserve">At the beginning of each 12-hour analytical shift, prior to conducting sample analyses.  Analysts must </w:t>
      </w:r>
      <w:proofErr w:type="gramStart"/>
      <w:r>
        <w:t>alternate</w:t>
      </w:r>
      <w:proofErr w:type="gramEnd"/>
      <w:r>
        <w:t xml:space="preserve"> the use of high and low concentration mixtures of single-component analytes and multicomponent analytes for calibration verification.</w:t>
      </w:r>
      <w:r>
        <w:rPr>
          <w:b/>
        </w:rPr>
        <w:t xml:space="preserve"> </w:t>
      </w:r>
    </w:p>
    <w:p w14:paraId="4316CEE6" w14:textId="77777777" w:rsidR="00B56D50" w:rsidRDefault="001C3C42">
      <w:pPr>
        <w:spacing w:after="0" w:line="259" w:lineRule="auto"/>
        <w:ind w:left="452" w:right="0" w:firstLine="0"/>
      </w:pPr>
      <w:r>
        <w:t xml:space="preserve"> </w:t>
      </w:r>
    </w:p>
    <w:p w14:paraId="5D0C2332" w14:textId="77777777" w:rsidR="00B56D50" w:rsidRDefault="001C3C42" w:rsidP="00093377">
      <w:pPr>
        <w:numPr>
          <w:ilvl w:val="0"/>
          <w:numId w:val="36"/>
        </w:numPr>
        <w:ind w:left="1800" w:right="255" w:hanging="360"/>
      </w:pPr>
      <w:r>
        <w:t xml:space="preserve">A calibration verification standard must also be injected at intervals of, at a </w:t>
      </w:r>
      <w:r>
        <w:rPr>
          <w:u w:val="single" w:color="000000"/>
        </w:rPr>
        <w:t>minimum</w:t>
      </w:r>
      <w:r>
        <w:t xml:space="preserve">, once every 20 samples and at the end of the analysis sequence.  It is </w:t>
      </w:r>
      <w:r>
        <w:rPr>
          <w:u w:val="single" w:color="000000"/>
        </w:rPr>
        <w:t>recommended</w:t>
      </w:r>
      <w:r>
        <w:t xml:space="preserve"> that an interval of once every 10 samples be used (to minimize the number of samples requiring re-injection when QC limits are exceeded).</w:t>
      </w:r>
      <w:r>
        <w:rPr>
          <w:b/>
        </w:rPr>
        <w:t xml:space="preserve"> </w:t>
      </w:r>
    </w:p>
    <w:p w14:paraId="3CA329CD" w14:textId="6462BB6A" w:rsidR="00AC2190" w:rsidRDefault="001C3C42">
      <w:pPr>
        <w:spacing w:after="0" w:line="259" w:lineRule="auto"/>
        <w:ind w:left="452" w:right="0" w:firstLine="0"/>
      </w:pPr>
      <w:r>
        <w:t xml:space="preserve"> </w:t>
      </w:r>
    </w:p>
    <w:p w14:paraId="1B68E24D" w14:textId="2FC79663" w:rsidR="00B56D50" w:rsidRPr="000377A3" w:rsidRDefault="00437004" w:rsidP="00093377">
      <w:pPr>
        <w:numPr>
          <w:ilvl w:val="0"/>
          <w:numId w:val="36"/>
        </w:numPr>
        <w:ind w:left="1800" w:right="255" w:hanging="360"/>
        <w:rPr>
          <w:b/>
          <w:bCs/>
        </w:rPr>
      </w:pPr>
      <w:r w:rsidRPr="00890A4D">
        <w:rPr>
          <w:b/>
          <w:bCs/>
        </w:rPr>
        <w:t>Calibration verification control criteria</w:t>
      </w:r>
      <w:r>
        <w:rPr>
          <w:b/>
          <w:bCs/>
        </w:rPr>
        <w:t>:</w:t>
      </w:r>
    </w:p>
    <w:p w14:paraId="21BE5D38" w14:textId="77777777" w:rsidR="00B56D50" w:rsidRDefault="001C3C42">
      <w:pPr>
        <w:spacing w:after="0" w:line="259" w:lineRule="auto"/>
        <w:ind w:left="452" w:right="0" w:firstLine="0"/>
      </w:pPr>
      <w:r>
        <w:t xml:space="preserve"> </w:t>
      </w:r>
    </w:p>
    <w:p w14:paraId="37F91F5C" w14:textId="0A178263" w:rsidR="00D370AE" w:rsidRDefault="001C3C42" w:rsidP="00093377">
      <w:pPr>
        <w:numPr>
          <w:ilvl w:val="0"/>
          <w:numId w:val="37"/>
        </w:numPr>
        <w:ind w:left="2160" w:right="255" w:hanging="360"/>
      </w:pPr>
      <w:r>
        <w:rPr>
          <w:u w:val="single" w:color="000000"/>
        </w:rPr>
        <w:t>The calibration factor</w:t>
      </w:r>
      <w:r>
        <w:t xml:space="preserve"> for each analyte must not exceed a </w:t>
      </w:r>
      <w:r w:rsidR="000377A3">
        <w:rPr>
          <w:rFonts w:ascii="Segoe UI Symbol" w:eastAsia="Segoe UI Symbol" w:hAnsi="Segoe UI Symbol" w:cs="Segoe UI Symbol"/>
        </w:rPr>
        <w:t>±</w:t>
      </w:r>
      <w:r>
        <w:t xml:space="preserve"> 15 percent difference from the mean calibration factor calculated for the initial calibration.</w:t>
      </w:r>
    </w:p>
    <w:p w14:paraId="6848D06F" w14:textId="332CE094" w:rsidR="00B56D50" w:rsidRDefault="00B56D50" w:rsidP="00615188">
      <w:pPr>
        <w:ind w:left="1623" w:right="255" w:firstLine="0"/>
      </w:pPr>
    </w:p>
    <w:p w14:paraId="4C71177A" w14:textId="77777777" w:rsidR="00B56D50" w:rsidRDefault="001C3C42" w:rsidP="00093377">
      <w:pPr>
        <w:numPr>
          <w:ilvl w:val="0"/>
          <w:numId w:val="37"/>
        </w:numPr>
        <w:ind w:left="2160" w:right="255" w:hanging="360"/>
      </w:pPr>
      <w:r>
        <w:rPr>
          <w:u w:val="single" w:color="000000"/>
        </w:rPr>
        <w:t>The retention time</w:t>
      </w:r>
      <w:r>
        <w:t xml:space="preserve"> for each analyte in the calibration verification standard must fall within the retention time window established with the midlevel concentration standard during the initial calibration. </w:t>
      </w:r>
    </w:p>
    <w:p w14:paraId="299E8567" w14:textId="77777777" w:rsidR="00B56D50" w:rsidRDefault="001C3C42">
      <w:pPr>
        <w:spacing w:after="0" w:line="259" w:lineRule="auto"/>
        <w:ind w:left="452" w:right="0" w:firstLine="0"/>
      </w:pPr>
      <w:r>
        <w:t xml:space="preserve"> </w:t>
      </w:r>
    </w:p>
    <w:p w14:paraId="048928FF" w14:textId="53EEDC29" w:rsidR="00FF5E97" w:rsidRDefault="001C3C42" w:rsidP="000377A3">
      <w:pPr>
        <w:spacing w:after="0" w:line="259" w:lineRule="auto"/>
        <w:ind w:left="1440" w:right="0" w:firstLine="0"/>
        <w:rPr>
          <w:rFonts w:ascii="Arial" w:eastAsia="Arial" w:hAnsi="Arial" w:cs="Arial"/>
        </w:rPr>
      </w:pPr>
      <w:r>
        <w:t xml:space="preserve">If the criteria in TABLE </w:t>
      </w:r>
      <w:r w:rsidR="00DA6FCE">
        <w:t>25</w:t>
      </w:r>
      <w:r>
        <w:t xml:space="preserve"> are not met for any analyte, then corrective action must be taken prior to continuing analysis of samples.  If attempts to correct the problem are unsuccessful, a new initial calibration must be performed.  All samples analyzed after the last calibration verification standard that met the control criteria must be reanalyzed.</w:t>
      </w:r>
    </w:p>
    <w:p w14:paraId="6515A350" w14:textId="77777777" w:rsidR="00FF5E97" w:rsidRDefault="00FF5E97" w:rsidP="00615188">
      <w:pPr>
        <w:spacing w:after="0" w:line="259" w:lineRule="auto"/>
        <w:ind w:left="1260" w:right="0" w:firstLine="0"/>
        <w:rPr>
          <w:rFonts w:ascii="Arial" w:eastAsia="Arial" w:hAnsi="Arial" w:cs="Arial"/>
        </w:rPr>
      </w:pPr>
    </w:p>
    <w:p w14:paraId="1F5D628C" w14:textId="77777777" w:rsidR="00B56D50" w:rsidRDefault="001C3C42" w:rsidP="000377A3">
      <w:pPr>
        <w:spacing w:after="0" w:line="259" w:lineRule="auto"/>
        <w:ind w:left="1440" w:right="0" w:firstLine="0"/>
      </w:pPr>
      <w:r>
        <w:t>The Contractor shall report the results from the calibration verifications</w:t>
      </w:r>
      <w:r>
        <w:rPr>
          <w:rFonts w:ascii="Arial" w:eastAsia="Arial" w:hAnsi="Arial" w:cs="Arial"/>
        </w:rPr>
        <w:t xml:space="preserve">. </w:t>
      </w:r>
    </w:p>
    <w:p w14:paraId="5C9A4E54" w14:textId="77777777" w:rsidR="00B56D50" w:rsidRDefault="001C3C42">
      <w:pPr>
        <w:spacing w:after="0" w:line="259" w:lineRule="auto"/>
        <w:ind w:left="452" w:right="0" w:firstLine="0"/>
      </w:pPr>
      <w:r>
        <w:rPr>
          <w:rFonts w:ascii="Arial" w:eastAsia="Arial" w:hAnsi="Arial" w:cs="Arial"/>
        </w:rPr>
        <w:t xml:space="preserve"> </w:t>
      </w:r>
    </w:p>
    <w:p w14:paraId="26BBD292" w14:textId="0D80E5CB" w:rsidR="00B56D50" w:rsidRDefault="001C3C42" w:rsidP="000377A3">
      <w:pPr>
        <w:pStyle w:val="Heading5"/>
        <w:spacing w:after="0"/>
        <w:ind w:left="1024" w:right="1192"/>
      </w:pPr>
      <w:r>
        <w:t xml:space="preserve">TABLE </w:t>
      </w:r>
      <w:r w:rsidR="00DA6FCE">
        <w:t>25</w:t>
      </w:r>
      <w:r>
        <w:t xml:space="preserve"> </w:t>
      </w:r>
    </w:p>
    <w:p w14:paraId="0E89EDA7" w14:textId="77777777" w:rsidR="00B56D50" w:rsidRDefault="001C3C42">
      <w:pPr>
        <w:pStyle w:val="Heading6"/>
        <w:spacing w:after="14" w:line="248" w:lineRule="auto"/>
        <w:ind w:left="1024" w:right="925"/>
        <w:jc w:val="center"/>
      </w:pPr>
      <w:r>
        <w:t xml:space="preserve">Calibration Verification Control Criteria for GC Analysis </w:t>
      </w:r>
    </w:p>
    <w:p w14:paraId="5C6EE580" w14:textId="77777777" w:rsidR="00B56D50" w:rsidRDefault="001C3C42">
      <w:pPr>
        <w:spacing w:after="0" w:line="259" w:lineRule="auto"/>
        <w:ind w:left="452" w:right="0" w:firstLine="0"/>
      </w:pPr>
      <w:r>
        <w:t xml:space="preserve"> </w:t>
      </w:r>
    </w:p>
    <w:tbl>
      <w:tblPr>
        <w:tblStyle w:val="TableGrid1"/>
        <w:tblW w:w="9362" w:type="dxa"/>
        <w:tblInd w:w="452" w:type="dxa"/>
        <w:tblCellMar>
          <w:top w:w="19" w:type="dxa"/>
          <w:left w:w="214" w:type="dxa"/>
          <w:right w:w="115" w:type="dxa"/>
        </w:tblCellMar>
        <w:tblLook w:val="04A0" w:firstRow="1" w:lastRow="0" w:firstColumn="1" w:lastColumn="0" w:noHBand="0" w:noVBand="1"/>
      </w:tblPr>
      <w:tblGrid>
        <w:gridCol w:w="2612"/>
        <w:gridCol w:w="2789"/>
        <w:gridCol w:w="3961"/>
      </w:tblGrid>
      <w:tr w:rsidR="00B56D50" w14:paraId="74D0B04E" w14:textId="77777777" w:rsidTr="008A5B7F">
        <w:trPr>
          <w:trHeight w:val="360"/>
        </w:trPr>
        <w:tc>
          <w:tcPr>
            <w:tcW w:w="2612" w:type="dxa"/>
            <w:tcBorders>
              <w:top w:val="single" w:sz="12" w:space="0" w:color="000000"/>
              <w:left w:val="single" w:sz="12" w:space="0" w:color="000000"/>
              <w:bottom w:val="single" w:sz="12" w:space="0" w:color="000000"/>
              <w:right w:val="single" w:sz="12" w:space="0" w:color="000000"/>
            </w:tcBorders>
            <w:vAlign w:val="center"/>
          </w:tcPr>
          <w:p w14:paraId="2567446E" w14:textId="7E3D963D" w:rsidR="00B56D50" w:rsidRDefault="001C3C42" w:rsidP="008A5B7F">
            <w:pPr>
              <w:spacing w:after="0" w:line="259" w:lineRule="auto"/>
              <w:ind w:left="0" w:right="101" w:firstLine="0"/>
              <w:jc w:val="center"/>
            </w:pPr>
            <w:r>
              <w:rPr>
                <w:b/>
              </w:rPr>
              <w:t>Compound</w:t>
            </w:r>
          </w:p>
        </w:tc>
        <w:tc>
          <w:tcPr>
            <w:tcW w:w="2789" w:type="dxa"/>
            <w:tcBorders>
              <w:top w:val="single" w:sz="12" w:space="0" w:color="000000"/>
              <w:left w:val="single" w:sz="12" w:space="0" w:color="000000"/>
              <w:bottom w:val="single" w:sz="12" w:space="0" w:color="000000"/>
              <w:right w:val="single" w:sz="12" w:space="0" w:color="000000"/>
            </w:tcBorders>
            <w:vAlign w:val="center"/>
          </w:tcPr>
          <w:p w14:paraId="05B8FD24" w14:textId="1BB9A596" w:rsidR="00B56D50" w:rsidRDefault="001C3C42" w:rsidP="008A5B7F">
            <w:pPr>
              <w:spacing w:after="0" w:line="259" w:lineRule="auto"/>
              <w:ind w:left="0" w:right="99" w:firstLine="0"/>
              <w:jc w:val="center"/>
            </w:pPr>
            <w:r>
              <w:rPr>
                <w:b/>
              </w:rPr>
              <w:t>Calibration Factor % D</w:t>
            </w:r>
          </w:p>
        </w:tc>
        <w:tc>
          <w:tcPr>
            <w:tcW w:w="3961" w:type="dxa"/>
            <w:tcBorders>
              <w:top w:val="single" w:sz="12" w:space="0" w:color="000000"/>
              <w:left w:val="single" w:sz="12" w:space="0" w:color="000000"/>
              <w:bottom w:val="single" w:sz="12" w:space="0" w:color="000000"/>
              <w:right w:val="single" w:sz="12" w:space="0" w:color="000000"/>
            </w:tcBorders>
            <w:vAlign w:val="center"/>
          </w:tcPr>
          <w:p w14:paraId="24D40501" w14:textId="3C12360C" w:rsidR="00B56D50" w:rsidRDefault="001C3C42" w:rsidP="008A5B7F">
            <w:pPr>
              <w:spacing w:after="0" w:line="259" w:lineRule="auto"/>
              <w:ind w:left="0" w:right="100" w:firstLine="0"/>
              <w:jc w:val="center"/>
            </w:pPr>
            <w:r>
              <w:rPr>
                <w:b/>
              </w:rPr>
              <w:t>Retention Time</w:t>
            </w:r>
          </w:p>
        </w:tc>
      </w:tr>
      <w:tr w:rsidR="00B56D50" w14:paraId="33F01D0E" w14:textId="77777777" w:rsidTr="008A5B7F">
        <w:trPr>
          <w:trHeight w:val="20"/>
        </w:trPr>
        <w:tc>
          <w:tcPr>
            <w:tcW w:w="2612" w:type="dxa"/>
            <w:tcBorders>
              <w:top w:val="single" w:sz="12" w:space="0" w:color="000000"/>
              <w:left w:val="single" w:sz="12" w:space="0" w:color="000000"/>
              <w:bottom w:val="single" w:sz="12" w:space="0" w:color="000000"/>
              <w:right w:val="single" w:sz="12" w:space="0" w:color="000000"/>
            </w:tcBorders>
            <w:vAlign w:val="center"/>
          </w:tcPr>
          <w:p w14:paraId="0508A257" w14:textId="20AE3D72" w:rsidR="00B56D50" w:rsidRDefault="001C3C42" w:rsidP="008A5B7F">
            <w:pPr>
              <w:spacing w:after="0" w:line="259" w:lineRule="auto"/>
              <w:ind w:left="0" w:right="0" w:firstLine="0"/>
              <w:jc w:val="center"/>
            </w:pPr>
            <w:r>
              <w:t>A</w:t>
            </w:r>
            <w:r>
              <w:rPr>
                <w:sz w:val="18"/>
              </w:rPr>
              <w:t xml:space="preserve">LL </w:t>
            </w:r>
            <w:r>
              <w:t>T</w:t>
            </w:r>
            <w:r>
              <w:rPr>
                <w:sz w:val="18"/>
              </w:rPr>
              <w:t xml:space="preserve">ARGET </w:t>
            </w:r>
            <w:r>
              <w:t>A</w:t>
            </w:r>
            <w:r>
              <w:rPr>
                <w:sz w:val="18"/>
              </w:rPr>
              <w:t>NALYTES</w:t>
            </w:r>
          </w:p>
        </w:tc>
        <w:tc>
          <w:tcPr>
            <w:tcW w:w="2789" w:type="dxa"/>
            <w:tcBorders>
              <w:top w:val="single" w:sz="12" w:space="0" w:color="000000"/>
              <w:left w:val="single" w:sz="12" w:space="0" w:color="000000"/>
              <w:bottom w:val="single" w:sz="12" w:space="0" w:color="000000"/>
              <w:right w:val="single" w:sz="12" w:space="0" w:color="000000"/>
            </w:tcBorders>
            <w:vAlign w:val="center"/>
          </w:tcPr>
          <w:p w14:paraId="37489CC7" w14:textId="57780CDD" w:rsidR="00B56D50" w:rsidRDefault="000377A3" w:rsidP="008A5B7F">
            <w:pPr>
              <w:spacing w:after="0" w:line="259" w:lineRule="auto"/>
              <w:ind w:left="0" w:right="99" w:firstLine="0"/>
              <w:jc w:val="center"/>
            </w:pPr>
            <w:r>
              <w:rPr>
                <w:rFonts w:ascii="Segoe UI Symbol" w:eastAsia="Segoe UI Symbol" w:hAnsi="Segoe UI Symbol" w:cs="Segoe UI Symbol"/>
              </w:rPr>
              <w:t>±</w:t>
            </w:r>
            <w:r w:rsidR="001C3C42">
              <w:t xml:space="preserve"> 15</w:t>
            </w:r>
          </w:p>
        </w:tc>
        <w:tc>
          <w:tcPr>
            <w:tcW w:w="3961" w:type="dxa"/>
            <w:tcBorders>
              <w:top w:val="single" w:sz="12" w:space="0" w:color="000000"/>
              <w:left w:val="single" w:sz="12" w:space="0" w:color="000000"/>
              <w:bottom w:val="single" w:sz="12" w:space="0" w:color="000000"/>
              <w:right w:val="single" w:sz="12" w:space="0" w:color="000000"/>
            </w:tcBorders>
            <w:vAlign w:val="center"/>
          </w:tcPr>
          <w:p w14:paraId="77B34878" w14:textId="33925AF2" w:rsidR="00B56D50" w:rsidRDefault="001C3C42" w:rsidP="008A5B7F">
            <w:pPr>
              <w:spacing w:after="0" w:line="259" w:lineRule="auto"/>
              <w:ind w:left="0" w:right="0" w:firstLine="0"/>
              <w:jc w:val="center"/>
            </w:pPr>
            <w:r>
              <w:t xml:space="preserve">In </w:t>
            </w:r>
            <w:r w:rsidR="00DA1F1B">
              <w:t>Window (</w:t>
            </w:r>
            <w:r>
              <w:t>established with initial calibration midlevel standard RT)</w:t>
            </w:r>
          </w:p>
        </w:tc>
      </w:tr>
    </w:tbl>
    <w:p w14:paraId="1D97667F" w14:textId="686B309E" w:rsidR="00B56D50" w:rsidRPr="008A5B7F" w:rsidRDefault="00B56D50" w:rsidP="008A5B7F">
      <w:pPr>
        <w:spacing w:after="93" w:line="259" w:lineRule="auto"/>
        <w:ind w:right="0"/>
      </w:pPr>
    </w:p>
    <w:tbl>
      <w:tblPr>
        <w:tblStyle w:val="TableGrid1"/>
        <w:tblW w:w="9362" w:type="dxa"/>
        <w:tblInd w:w="452" w:type="dxa"/>
        <w:tblCellMar>
          <w:left w:w="144" w:type="dxa"/>
          <w:right w:w="115" w:type="dxa"/>
        </w:tblCellMar>
        <w:tblLook w:val="04A0" w:firstRow="1" w:lastRow="0" w:firstColumn="1" w:lastColumn="0" w:noHBand="0" w:noVBand="1"/>
      </w:tblPr>
      <w:tblGrid>
        <w:gridCol w:w="2612"/>
        <w:gridCol w:w="6750"/>
      </w:tblGrid>
      <w:tr w:rsidR="00B56D50" w14:paraId="4C6B863A" w14:textId="77777777" w:rsidTr="00616FD0">
        <w:trPr>
          <w:trHeight w:val="360"/>
        </w:trPr>
        <w:tc>
          <w:tcPr>
            <w:tcW w:w="9362" w:type="dxa"/>
            <w:gridSpan w:val="2"/>
            <w:tcBorders>
              <w:top w:val="single" w:sz="12" w:space="0" w:color="000000"/>
              <w:left w:val="single" w:sz="12" w:space="0" w:color="000000"/>
              <w:bottom w:val="single" w:sz="12" w:space="0" w:color="000000"/>
              <w:right w:val="single" w:sz="12" w:space="0" w:color="000000"/>
            </w:tcBorders>
            <w:vAlign w:val="center"/>
          </w:tcPr>
          <w:p w14:paraId="776081BC" w14:textId="4FBBD885" w:rsidR="00B66D6E" w:rsidRDefault="00B66D6E" w:rsidP="008A5B7F">
            <w:pPr>
              <w:spacing w:after="0" w:line="259" w:lineRule="auto"/>
              <w:ind w:left="0" w:right="32" w:firstLine="0"/>
              <w:jc w:val="center"/>
              <w:rPr>
                <w:b/>
              </w:rPr>
            </w:pPr>
            <w:r>
              <w:rPr>
                <w:b/>
              </w:rPr>
              <w:t>TABLE 25 – Continued</w:t>
            </w:r>
          </w:p>
          <w:p w14:paraId="5443E9C1" w14:textId="2EDF7082" w:rsidR="00B56D50" w:rsidRDefault="001C3C42" w:rsidP="008A5B7F">
            <w:pPr>
              <w:spacing w:after="0" w:line="259" w:lineRule="auto"/>
              <w:ind w:left="0" w:right="32" w:firstLine="0"/>
              <w:jc w:val="center"/>
            </w:pPr>
            <w:r>
              <w:rPr>
                <w:b/>
              </w:rPr>
              <w:t>Additional Calibration Criteria Applicable to All Compounds (Target and QC)</w:t>
            </w:r>
          </w:p>
        </w:tc>
      </w:tr>
      <w:tr w:rsidR="00B56D50" w14:paraId="0772FC2D" w14:textId="77777777" w:rsidTr="00B30A15">
        <w:trPr>
          <w:trHeight w:val="519"/>
        </w:trPr>
        <w:tc>
          <w:tcPr>
            <w:tcW w:w="2612" w:type="dxa"/>
            <w:tcBorders>
              <w:top w:val="single" w:sz="12" w:space="0" w:color="000000"/>
              <w:left w:val="single" w:sz="12" w:space="0" w:color="000000"/>
              <w:bottom w:val="single" w:sz="12" w:space="0" w:color="000000"/>
              <w:right w:val="single" w:sz="12" w:space="0" w:color="000000"/>
            </w:tcBorders>
            <w:vAlign w:val="center"/>
          </w:tcPr>
          <w:p w14:paraId="5409353D" w14:textId="7704C75F" w:rsidR="00B56D50" w:rsidRDefault="001C3C42" w:rsidP="00616FD0">
            <w:pPr>
              <w:spacing w:after="0" w:line="259" w:lineRule="auto"/>
              <w:ind w:left="2" w:right="0" w:firstLine="0"/>
              <w:jc w:val="center"/>
            </w:pPr>
            <w:r>
              <w:rPr>
                <w:b/>
              </w:rPr>
              <w:t>GC Performance</w:t>
            </w:r>
          </w:p>
        </w:tc>
        <w:tc>
          <w:tcPr>
            <w:tcW w:w="6750" w:type="dxa"/>
            <w:tcBorders>
              <w:top w:val="single" w:sz="12" w:space="0" w:color="000000"/>
              <w:left w:val="single" w:sz="12" w:space="0" w:color="000000"/>
              <w:bottom w:val="single" w:sz="12" w:space="0" w:color="000000"/>
              <w:right w:val="single" w:sz="12" w:space="0" w:color="000000"/>
            </w:tcBorders>
            <w:vAlign w:val="center"/>
          </w:tcPr>
          <w:p w14:paraId="004C3AA8" w14:textId="20D8200E" w:rsidR="00B56D50" w:rsidRDefault="001C3C42" w:rsidP="00616FD0">
            <w:pPr>
              <w:spacing w:after="0" w:line="259" w:lineRule="auto"/>
              <w:ind w:left="0" w:right="0" w:firstLine="0"/>
              <w:jc w:val="center"/>
            </w:pPr>
            <w:r>
              <w:t>Symmetrical peaks, minimum tailing, good resolution</w:t>
            </w:r>
          </w:p>
        </w:tc>
      </w:tr>
    </w:tbl>
    <w:p w14:paraId="61410637" w14:textId="1EC5FAE2" w:rsidR="00B56D50" w:rsidRDefault="00B56D50" w:rsidP="00616FD0">
      <w:pPr>
        <w:spacing w:after="0" w:line="259" w:lineRule="auto"/>
        <w:ind w:right="0"/>
      </w:pPr>
    </w:p>
    <w:p w14:paraId="6DA37D73" w14:textId="29CB5B99" w:rsidR="00B56D50" w:rsidRDefault="001C3C42" w:rsidP="00093377">
      <w:pPr>
        <w:numPr>
          <w:ilvl w:val="0"/>
          <w:numId w:val="92"/>
        </w:numPr>
        <w:spacing w:after="16"/>
        <w:ind w:left="1440" w:right="186" w:hanging="360"/>
      </w:pPr>
      <w:r w:rsidRPr="00616FD0">
        <w:rPr>
          <w:b/>
          <w:bCs/>
        </w:rPr>
        <w:t>Degradation</w:t>
      </w:r>
      <w:r>
        <w:t xml:space="preserve"> </w:t>
      </w:r>
    </w:p>
    <w:p w14:paraId="3D48395A" w14:textId="7B39817F" w:rsidR="00B56D50" w:rsidRPr="008C32E8" w:rsidRDefault="001C3C42" w:rsidP="00493900">
      <w:pPr>
        <w:ind w:left="1440" w:firstLine="0"/>
      </w:pPr>
      <w:r>
        <w:t xml:space="preserve">The Contractor shall check for degradation problems by injecting a standard containing only 4,4'-DDT and Endrin as DDT and Endrin are easily degraded in the injection port.  </w:t>
      </w:r>
      <w:r>
        <w:lastRenderedPageBreak/>
        <w:t>Breakdown occurs when the injection port liner is contaminated with buildup of high boiling residue from sample injection, or when the</w:t>
      </w:r>
      <w:r w:rsidR="0088109E">
        <w:t xml:space="preserve"> </w:t>
      </w:r>
      <w:r>
        <w:t>injector</w:t>
      </w:r>
      <w:r w:rsidR="0080670E">
        <w:t xml:space="preserve"> contains </w:t>
      </w:r>
      <w:r w:rsidR="004A6C29">
        <w:t>metal fittings.  The presence of degradation products of 4,4N-</w:t>
      </w:r>
      <w:r>
        <w:t>DDT (4,4'-DDE and 4,4'-DDD) and Endrin (Endrin ketone or Endrin aldehyde) indicates breakdown. If degradation of either DDT or Endrin exceeds 15%, take corrective action before proceeding further with calibration</w:t>
      </w:r>
      <w:r w:rsidRPr="008C32E8">
        <w:t>.</w:t>
      </w:r>
    </w:p>
    <w:p w14:paraId="16CD0638" w14:textId="77777777" w:rsidR="00B56D50" w:rsidRDefault="001C3C42">
      <w:pPr>
        <w:spacing w:after="0" w:line="259" w:lineRule="auto"/>
        <w:ind w:left="452" w:right="0" w:firstLine="0"/>
      </w:pPr>
      <w:r>
        <w:t xml:space="preserve"> </w:t>
      </w:r>
    </w:p>
    <w:p w14:paraId="5274419F" w14:textId="24FC4882" w:rsidR="00B56D50" w:rsidRDefault="001C3C42">
      <w:pPr>
        <w:ind w:left="1453" w:right="255"/>
      </w:pPr>
      <w:r>
        <w:t xml:space="preserve">The breakdown of DDT and Endrin must be measured before samples are analyzed and at the beginning of each 12-hour analytical shift.  Injector maintenance and recalibration must be completed if the breakdown exceeds the criteria in TABLE </w:t>
      </w:r>
      <w:r w:rsidR="00E82C3C">
        <w:t>2</w:t>
      </w:r>
      <w:r w:rsidR="00FB21D8">
        <w:t>6</w:t>
      </w:r>
      <w:r>
        <w:t xml:space="preserve"> for either compound.  The Contractor shall report the results from the degradation/ breakdown calculations. </w:t>
      </w:r>
    </w:p>
    <w:p w14:paraId="42C53064" w14:textId="77777777" w:rsidR="005C3646" w:rsidRDefault="005C3646">
      <w:pPr>
        <w:ind w:left="1453" w:right="255"/>
      </w:pPr>
    </w:p>
    <w:p w14:paraId="7CF23EE0" w14:textId="64311127" w:rsidR="00B56D50" w:rsidRDefault="001C3C42">
      <w:pPr>
        <w:pStyle w:val="Heading5"/>
        <w:ind w:left="1024" w:right="923"/>
      </w:pPr>
      <w:r>
        <w:t xml:space="preserve">TABLE </w:t>
      </w:r>
      <w:r w:rsidR="00E82C3C">
        <w:t>26</w:t>
      </w:r>
      <w:r>
        <w:t xml:space="preserve"> </w:t>
      </w:r>
    </w:p>
    <w:p w14:paraId="74631D58" w14:textId="77777777" w:rsidR="00B56D50" w:rsidRDefault="001C3C42">
      <w:pPr>
        <w:pStyle w:val="Heading6"/>
        <w:spacing w:after="14" w:line="248" w:lineRule="auto"/>
        <w:ind w:left="1024" w:right="925"/>
        <w:jc w:val="center"/>
      </w:pPr>
      <w:r>
        <w:t xml:space="preserve">Degradation Control Criteria for GC Analysis of Pesticides </w:t>
      </w:r>
    </w:p>
    <w:p w14:paraId="1969B07B" w14:textId="77777777" w:rsidR="00B56D50" w:rsidRPr="00CF2157" w:rsidRDefault="001C3C42">
      <w:pPr>
        <w:spacing w:after="0" w:line="259" w:lineRule="auto"/>
        <w:ind w:left="452" w:right="0" w:firstLine="0"/>
      </w:pPr>
      <w:r w:rsidRPr="00CF2157">
        <w:t xml:space="preserve"> </w:t>
      </w:r>
    </w:p>
    <w:tbl>
      <w:tblPr>
        <w:tblStyle w:val="TableGrid1"/>
        <w:tblW w:w="7290" w:type="dxa"/>
        <w:tblInd w:w="1443" w:type="dxa"/>
        <w:tblCellMar>
          <w:top w:w="24" w:type="dxa"/>
          <w:left w:w="115" w:type="dxa"/>
          <w:right w:w="115" w:type="dxa"/>
        </w:tblCellMar>
        <w:tblLook w:val="04A0" w:firstRow="1" w:lastRow="0" w:firstColumn="1" w:lastColumn="0" w:noHBand="0" w:noVBand="1"/>
      </w:tblPr>
      <w:tblGrid>
        <w:gridCol w:w="2881"/>
        <w:gridCol w:w="4409"/>
      </w:tblGrid>
      <w:tr w:rsidR="00B56D50" w14:paraId="0CDE4BD5" w14:textId="77777777" w:rsidTr="00E82C3C">
        <w:trPr>
          <w:trHeight w:val="360"/>
        </w:trPr>
        <w:tc>
          <w:tcPr>
            <w:tcW w:w="2881" w:type="dxa"/>
            <w:tcBorders>
              <w:top w:val="single" w:sz="12" w:space="0" w:color="000000"/>
              <w:left w:val="single" w:sz="12" w:space="0" w:color="000000"/>
              <w:bottom w:val="single" w:sz="12" w:space="0" w:color="000000"/>
              <w:right w:val="single" w:sz="12" w:space="0" w:color="000000"/>
            </w:tcBorders>
            <w:vAlign w:val="center"/>
          </w:tcPr>
          <w:p w14:paraId="06A42DBD" w14:textId="18D9C9A7" w:rsidR="00B56D50" w:rsidRDefault="001C3C42" w:rsidP="00E82C3C">
            <w:pPr>
              <w:spacing w:after="0" w:line="259" w:lineRule="auto"/>
              <w:ind w:left="0" w:right="2" w:firstLine="0"/>
              <w:jc w:val="center"/>
            </w:pPr>
            <w:r>
              <w:rPr>
                <w:b/>
              </w:rPr>
              <w:t>Compound</w:t>
            </w:r>
          </w:p>
        </w:tc>
        <w:tc>
          <w:tcPr>
            <w:tcW w:w="4410" w:type="dxa"/>
            <w:tcBorders>
              <w:top w:val="single" w:sz="12" w:space="0" w:color="000000"/>
              <w:left w:val="single" w:sz="12" w:space="0" w:color="000000"/>
              <w:bottom w:val="single" w:sz="12" w:space="0" w:color="000000"/>
              <w:right w:val="single" w:sz="12" w:space="0" w:color="000000"/>
            </w:tcBorders>
            <w:vAlign w:val="center"/>
          </w:tcPr>
          <w:p w14:paraId="637B50F9" w14:textId="7619CF40" w:rsidR="00B56D50" w:rsidRDefault="001C3C42" w:rsidP="00E82C3C">
            <w:pPr>
              <w:spacing w:after="0" w:line="259" w:lineRule="auto"/>
              <w:ind w:left="0" w:right="1" w:firstLine="0"/>
              <w:jc w:val="center"/>
            </w:pPr>
            <w:r>
              <w:rPr>
                <w:b/>
              </w:rPr>
              <w:t>% Breakdown Criteria</w:t>
            </w:r>
          </w:p>
        </w:tc>
      </w:tr>
      <w:tr w:rsidR="00B56D50" w14:paraId="54750E88" w14:textId="77777777" w:rsidTr="00E82C3C">
        <w:trPr>
          <w:trHeight w:val="360"/>
        </w:trPr>
        <w:tc>
          <w:tcPr>
            <w:tcW w:w="2881" w:type="dxa"/>
            <w:tcBorders>
              <w:top w:val="single" w:sz="12" w:space="0" w:color="000000"/>
              <w:left w:val="single" w:sz="12" w:space="0" w:color="000000"/>
              <w:bottom w:val="single" w:sz="4" w:space="0" w:color="000000"/>
              <w:right w:val="single" w:sz="12" w:space="0" w:color="000000"/>
            </w:tcBorders>
            <w:vAlign w:val="center"/>
          </w:tcPr>
          <w:p w14:paraId="470FE905" w14:textId="5730C44F" w:rsidR="00B56D50" w:rsidRDefault="001C3C42" w:rsidP="00E82C3C">
            <w:pPr>
              <w:spacing w:after="0" w:line="259" w:lineRule="auto"/>
              <w:ind w:left="0" w:right="7" w:firstLine="0"/>
              <w:jc w:val="center"/>
            </w:pPr>
            <w:r>
              <w:t>4,4'-DDT</w:t>
            </w:r>
          </w:p>
        </w:tc>
        <w:tc>
          <w:tcPr>
            <w:tcW w:w="4410" w:type="dxa"/>
            <w:tcBorders>
              <w:top w:val="single" w:sz="12" w:space="0" w:color="000000"/>
              <w:left w:val="single" w:sz="12" w:space="0" w:color="000000"/>
              <w:bottom w:val="single" w:sz="4" w:space="0" w:color="000000"/>
              <w:right w:val="single" w:sz="12" w:space="0" w:color="000000"/>
            </w:tcBorders>
            <w:vAlign w:val="center"/>
          </w:tcPr>
          <w:p w14:paraId="486B38F6" w14:textId="04E7E07F" w:rsidR="00B56D50" w:rsidRDefault="001C3C42" w:rsidP="00E82C3C">
            <w:pPr>
              <w:spacing w:after="0" w:line="259" w:lineRule="auto"/>
              <w:ind w:left="0" w:right="1" w:firstLine="0"/>
              <w:jc w:val="center"/>
            </w:pPr>
            <w:r>
              <w:t>≤15%</w:t>
            </w:r>
          </w:p>
        </w:tc>
      </w:tr>
      <w:tr w:rsidR="00B56D50" w14:paraId="57581DCF" w14:textId="77777777" w:rsidTr="00E82C3C">
        <w:trPr>
          <w:trHeight w:val="360"/>
        </w:trPr>
        <w:tc>
          <w:tcPr>
            <w:tcW w:w="2881" w:type="dxa"/>
            <w:tcBorders>
              <w:top w:val="single" w:sz="4" w:space="0" w:color="000000"/>
              <w:left w:val="single" w:sz="12" w:space="0" w:color="000000"/>
              <w:bottom w:val="single" w:sz="12" w:space="0" w:color="000000"/>
              <w:right w:val="single" w:sz="12" w:space="0" w:color="000000"/>
            </w:tcBorders>
            <w:vAlign w:val="center"/>
          </w:tcPr>
          <w:p w14:paraId="29BB5717" w14:textId="4E9C1ACA" w:rsidR="00B56D50" w:rsidRDefault="001C3C42" w:rsidP="00E82C3C">
            <w:pPr>
              <w:spacing w:after="0" w:line="259" w:lineRule="auto"/>
              <w:ind w:left="0" w:right="3" w:firstLine="0"/>
              <w:jc w:val="center"/>
            </w:pPr>
            <w:r>
              <w:t>Endrin</w:t>
            </w:r>
          </w:p>
        </w:tc>
        <w:tc>
          <w:tcPr>
            <w:tcW w:w="4410" w:type="dxa"/>
            <w:tcBorders>
              <w:top w:val="single" w:sz="4" w:space="0" w:color="000000"/>
              <w:left w:val="single" w:sz="12" w:space="0" w:color="000000"/>
              <w:bottom w:val="single" w:sz="12" w:space="0" w:color="000000"/>
              <w:right w:val="single" w:sz="12" w:space="0" w:color="000000"/>
            </w:tcBorders>
            <w:vAlign w:val="center"/>
          </w:tcPr>
          <w:p w14:paraId="1308E579" w14:textId="55BC8921" w:rsidR="00B56D50" w:rsidRDefault="001C3C42" w:rsidP="00E82C3C">
            <w:pPr>
              <w:spacing w:after="0" w:line="259" w:lineRule="auto"/>
              <w:ind w:left="0" w:right="4" w:firstLine="0"/>
              <w:jc w:val="center"/>
            </w:pPr>
            <w:r>
              <w:t>≤ 15%</w:t>
            </w:r>
          </w:p>
        </w:tc>
      </w:tr>
    </w:tbl>
    <w:p w14:paraId="29A6F894" w14:textId="65EB3477" w:rsidR="00B56D50" w:rsidRDefault="00B56D50">
      <w:pPr>
        <w:spacing w:after="0" w:line="259" w:lineRule="auto"/>
        <w:ind w:left="452" w:right="0" w:firstLine="0"/>
      </w:pPr>
    </w:p>
    <w:p w14:paraId="059B0948" w14:textId="771E6B37" w:rsidR="00B56D50" w:rsidRDefault="001C3C42" w:rsidP="00093377">
      <w:pPr>
        <w:numPr>
          <w:ilvl w:val="0"/>
          <w:numId w:val="92"/>
        </w:numPr>
        <w:spacing w:after="16"/>
        <w:ind w:left="1440" w:right="186" w:hanging="360"/>
      </w:pPr>
      <w:r w:rsidRPr="00D1771B">
        <w:rPr>
          <w:b/>
          <w:bCs/>
        </w:rPr>
        <w:t>Blanks</w:t>
      </w:r>
      <w:r>
        <w:t xml:space="preserve"> </w:t>
      </w:r>
    </w:p>
    <w:p w14:paraId="27BFB585" w14:textId="79342B2F" w:rsidR="00B56D50" w:rsidRDefault="001C3C42" w:rsidP="00D1771B">
      <w:pPr>
        <w:ind w:left="1450" w:right="14"/>
      </w:pPr>
      <w:r>
        <w:t xml:space="preserve">The Contractor shall demonstrate through the analysis of a method blank that interferences from the analytical system, glassware, and reagents are under control before processing any samples. </w:t>
      </w:r>
    </w:p>
    <w:p w14:paraId="00A38929" w14:textId="77777777" w:rsidR="00B56D50" w:rsidRDefault="001C3C42">
      <w:pPr>
        <w:spacing w:after="0" w:line="259" w:lineRule="auto"/>
        <w:ind w:left="452" w:right="0" w:firstLine="0"/>
      </w:pPr>
      <w:r>
        <w:t xml:space="preserve"> </w:t>
      </w:r>
    </w:p>
    <w:p w14:paraId="1CD19535" w14:textId="77777777" w:rsidR="00B56D50" w:rsidRDefault="001C3C42" w:rsidP="00093377">
      <w:pPr>
        <w:numPr>
          <w:ilvl w:val="0"/>
          <w:numId w:val="38"/>
        </w:numPr>
        <w:ind w:left="1800" w:right="29" w:hanging="360"/>
      </w:pPr>
      <w:r>
        <w:rPr>
          <w:u w:val="single" w:color="000000"/>
        </w:rPr>
        <w:t>Frequency</w:t>
      </w:r>
      <w:r>
        <w:t>.  One method blank must be extracted and analyzed with each group of samples analyzed on the same instrument during the same analytical shift. At a minimum, this frequency must be one method blank per 12-hour shift per instrument.  When the sample extracts are subjected to cleanup procedures, the associated method blank must also be subjected to the same cleanup procedures.  Method blanks may be run immediately after the calibration verification analyses to confirm that laboratory contamination does not cause false positive results.</w:t>
      </w:r>
      <w:r>
        <w:rPr>
          <w:b/>
        </w:rPr>
        <w:t xml:space="preserve"> </w:t>
      </w:r>
    </w:p>
    <w:p w14:paraId="2F55C548" w14:textId="77777777" w:rsidR="00B56D50" w:rsidRDefault="001C3C42">
      <w:pPr>
        <w:spacing w:after="0" w:line="259" w:lineRule="auto"/>
        <w:ind w:left="452" w:right="0" w:firstLine="0"/>
      </w:pPr>
      <w:r>
        <w:t xml:space="preserve"> </w:t>
      </w:r>
    </w:p>
    <w:p w14:paraId="087E34E3" w14:textId="726243CC" w:rsidR="00B56D50" w:rsidRDefault="001C3C42" w:rsidP="00093377">
      <w:pPr>
        <w:numPr>
          <w:ilvl w:val="0"/>
          <w:numId w:val="38"/>
        </w:numPr>
        <w:ind w:left="1800" w:right="29" w:hanging="360"/>
      </w:pPr>
      <w:r>
        <w:rPr>
          <w:u w:val="single" w:color="000000"/>
        </w:rPr>
        <w:t>Control Criteria</w:t>
      </w:r>
      <w:r>
        <w:t xml:space="preserve">.  Analysis of a method blank for analysis of pesticides, PCBs, and other </w:t>
      </w:r>
      <w:r w:rsidR="00EA0552">
        <w:t>S</w:t>
      </w:r>
      <w:r>
        <w:t>emi</w:t>
      </w:r>
      <w:r w:rsidR="00EA0552">
        <w:t>-</w:t>
      </w:r>
      <w:r>
        <w:t>volatile organic compounds by GC/ECD must meet the following criteria:</w:t>
      </w:r>
      <w:r>
        <w:rPr>
          <w:b/>
        </w:rPr>
        <w:t xml:space="preserve"> </w:t>
      </w:r>
    </w:p>
    <w:p w14:paraId="6CBF9C80" w14:textId="77777777" w:rsidR="00B56D50" w:rsidRDefault="001C3C42">
      <w:pPr>
        <w:spacing w:after="0" w:line="259" w:lineRule="auto"/>
        <w:ind w:left="452" w:right="0" w:firstLine="0"/>
      </w:pPr>
      <w:r>
        <w:t xml:space="preserve"> </w:t>
      </w:r>
    </w:p>
    <w:p w14:paraId="0DE3CD42" w14:textId="670266CC" w:rsidR="00B56D50" w:rsidRDefault="001C3C42" w:rsidP="00093377">
      <w:pPr>
        <w:numPr>
          <w:ilvl w:val="0"/>
          <w:numId w:val="96"/>
        </w:numPr>
        <w:ind w:left="2160" w:right="255" w:hanging="360"/>
      </w:pPr>
      <w:r>
        <w:t xml:space="preserve">Interferences by phthalate esters introduced during sample preparation can cause a major problem in analysis of pesticides, PCBs, and other </w:t>
      </w:r>
      <w:r w:rsidR="00EA0552">
        <w:t>S</w:t>
      </w:r>
      <w:r>
        <w:t>emi</w:t>
      </w:r>
      <w:r w:rsidR="00EA0552">
        <w:t>-</w:t>
      </w:r>
      <w:r>
        <w:t xml:space="preserve">volatile organic compounds.  The phthalate esters on the target analyte list must be present at a concentration no greater than 5 times the </w:t>
      </w:r>
      <w:r w:rsidR="00FF4FD8">
        <w:t>r</w:t>
      </w:r>
      <w:r w:rsidR="00BC23BF">
        <w:t>eporting</w:t>
      </w:r>
      <w:r>
        <w:t xml:space="preserve"> limit (</w:t>
      </w:r>
      <w:r w:rsidR="00BC23BF">
        <w:t>RL</w:t>
      </w:r>
      <w:r>
        <w:t xml:space="preserve">). </w:t>
      </w:r>
    </w:p>
    <w:p w14:paraId="77460450" w14:textId="77777777" w:rsidR="00B56D50" w:rsidRDefault="001C3C42">
      <w:pPr>
        <w:spacing w:after="0" w:line="259" w:lineRule="auto"/>
        <w:ind w:left="1172" w:right="0" w:firstLine="0"/>
      </w:pPr>
      <w:r>
        <w:t xml:space="preserve"> </w:t>
      </w:r>
    </w:p>
    <w:p w14:paraId="542058C3" w14:textId="77777777" w:rsidR="00B56D50" w:rsidRDefault="001C3C42" w:rsidP="00093377">
      <w:pPr>
        <w:numPr>
          <w:ilvl w:val="0"/>
          <w:numId w:val="96"/>
        </w:numPr>
        <w:ind w:left="2160" w:right="255" w:hanging="360"/>
      </w:pPr>
      <w:r>
        <w:t xml:space="preserve">Concentrations of </w:t>
      </w:r>
      <w:r>
        <w:rPr>
          <w:u w:val="single" w:color="000000"/>
        </w:rPr>
        <w:t>target analytes</w:t>
      </w:r>
      <w:r>
        <w:t xml:space="preserve"> observed in the method blank must be no higher than the highest of: </w:t>
      </w:r>
    </w:p>
    <w:p w14:paraId="77FA19A9" w14:textId="77777777" w:rsidR="00B56D50" w:rsidRDefault="001C3C42">
      <w:pPr>
        <w:spacing w:after="16" w:line="259" w:lineRule="auto"/>
        <w:ind w:left="452" w:right="0" w:firstLine="0"/>
      </w:pPr>
      <w:r>
        <w:t xml:space="preserve"> </w:t>
      </w:r>
    </w:p>
    <w:p w14:paraId="50B76D04" w14:textId="77777777" w:rsidR="00B56D50" w:rsidRDefault="001C3C42" w:rsidP="00093377">
      <w:pPr>
        <w:numPr>
          <w:ilvl w:val="2"/>
          <w:numId w:val="38"/>
        </w:numPr>
        <w:ind w:left="2563" w:right="255" w:hanging="403"/>
      </w:pPr>
      <w:r>
        <w:t>The Contractor’s MDL for the analyte</w:t>
      </w:r>
      <w:r>
        <w:rPr>
          <w:b/>
        </w:rPr>
        <w:t xml:space="preserve">, </w:t>
      </w:r>
    </w:p>
    <w:p w14:paraId="0A67155A" w14:textId="77777777" w:rsidR="008434E6" w:rsidRDefault="001C3C42" w:rsidP="00093377">
      <w:pPr>
        <w:numPr>
          <w:ilvl w:val="2"/>
          <w:numId w:val="38"/>
        </w:numPr>
        <w:ind w:left="2563" w:right="255" w:hanging="403"/>
      </w:pPr>
      <w:r>
        <w:t>5% of the regulatory limit for that analyte (applicable only if the sample results will be compared to that regulatory limit), or</w:t>
      </w:r>
    </w:p>
    <w:p w14:paraId="0F75C94C" w14:textId="77777777" w:rsidR="00B56D50" w:rsidRDefault="001C3C42" w:rsidP="00093377">
      <w:pPr>
        <w:numPr>
          <w:ilvl w:val="2"/>
          <w:numId w:val="38"/>
        </w:numPr>
        <w:ind w:left="2563" w:right="255" w:hanging="403"/>
      </w:pPr>
      <w:r>
        <w:t>5% of the measured concentration in the sample.</w:t>
      </w:r>
      <w:r w:rsidRPr="008434E6">
        <w:rPr>
          <w:b/>
        </w:rPr>
        <w:t xml:space="preserve"> </w:t>
      </w:r>
    </w:p>
    <w:p w14:paraId="34B81E55" w14:textId="77777777" w:rsidR="00B56D50" w:rsidRDefault="001C3C42">
      <w:pPr>
        <w:spacing w:after="0" w:line="259" w:lineRule="auto"/>
        <w:ind w:left="452" w:right="0" w:firstLine="0"/>
      </w:pPr>
      <w:r>
        <w:t xml:space="preserve"> </w:t>
      </w:r>
    </w:p>
    <w:p w14:paraId="167085CA" w14:textId="77777777" w:rsidR="00B56D50" w:rsidRDefault="001C3C42" w:rsidP="00093377">
      <w:pPr>
        <w:numPr>
          <w:ilvl w:val="0"/>
          <w:numId w:val="38"/>
        </w:numPr>
        <w:ind w:left="1800" w:right="29" w:hanging="360"/>
      </w:pPr>
      <w:r>
        <w:rPr>
          <w:u w:val="single" w:color="000000"/>
        </w:rPr>
        <w:lastRenderedPageBreak/>
        <w:t>Failure of control criteria</w:t>
      </w:r>
      <w:r>
        <w:t>.  If any laboratory method blank indicates contamination (concentration of any target analyte detected in the blank exceeds the above control criteria), then it may be appropriate to analyze a solvent blank to demonstrate that the contamination is not a result of carryover from standards or samples.</w:t>
      </w:r>
      <w:r>
        <w:rPr>
          <w:b/>
        </w:rPr>
        <w:t xml:space="preserve"> </w:t>
      </w:r>
    </w:p>
    <w:p w14:paraId="75C940DD" w14:textId="77777777" w:rsidR="00B56D50" w:rsidRDefault="001C3C42">
      <w:pPr>
        <w:spacing w:after="0" w:line="259" w:lineRule="auto"/>
        <w:ind w:left="452" w:right="0" w:firstLine="0"/>
      </w:pPr>
      <w:r>
        <w:t xml:space="preserve"> </w:t>
      </w:r>
    </w:p>
    <w:p w14:paraId="44CA5E1D" w14:textId="77777777" w:rsidR="00B56D50" w:rsidRDefault="001C3C42" w:rsidP="00D27F9F">
      <w:pPr>
        <w:ind w:left="1810" w:right="255"/>
      </w:pPr>
      <w:r>
        <w:t xml:space="preserve">If method blank contamination cannot be attributable to carryover, the Contractor shall take corrective action.  The source of the contamination must be located, reduced, and documented.  All samples processed with the contaminated method blank must be re-extracted and reanalyzed. </w:t>
      </w:r>
    </w:p>
    <w:p w14:paraId="228953E1" w14:textId="77777777" w:rsidR="00B56D50" w:rsidRDefault="001C3C42">
      <w:pPr>
        <w:spacing w:after="0" w:line="259" w:lineRule="auto"/>
        <w:ind w:left="1443" w:right="0" w:firstLine="0"/>
      </w:pPr>
      <w:r>
        <w:t xml:space="preserve"> </w:t>
      </w:r>
    </w:p>
    <w:p w14:paraId="0963B44F" w14:textId="77777777" w:rsidR="00B56D50" w:rsidRDefault="001C3C42" w:rsidP="00093377">
      <w:pPr>
        <w:numPr>
          <w:ilvl w:val="0"/>
          <w:numId w:val="38"/>
        </w:numPr>
        <w:spacing w:after="13" w:line="248" w:lineRule="auto"/>
        <w:ind w:left="1800" w:right="29" w:hanging="360"/>
      </w:pPr>
      <w:r>
        <w:rPr>
          <w:u w:val="single" w:color="000000"/>
        </w:rPr>
        <w:t>Results and reporting</w:t>
      </w:r>
      <w:r>
        <w:t xml:space="preserve">.  The Contractor shall report results of all method blank analyses.  However, the Contractor shall </w:t>
      </w:r>
      <w:r>
        <w:rPr>
          <w:u w:val="single" w:color="000000"/>
        </w:rPr>
        <w:t>not</w:t>
      </w:r>
      <w:r>
        <w:t xml:space="preserve"> subtract the results of the method blank from those of any associated samples.</w:t>
      </w:r>
      <w:r>
        <w:rPr>
          <w:b/>
        </w:rPr>
        <w:t xml:space="preserve"> </w:t>
      </w:r>
    </w:p>
    <w:p w14:paraId="5108FECF" w14:textId="77777777" w:rsidR="00B56D50" w:rsidRDefault="001C3C42">
      <w:pPr>
        <w:spacing w:after="0" w:line="259" w:lineRule="auto"/>
        <w:ind w:left="452" w:right="0" w:firstLine="0"/>
      </w:pPr>
      <w:r>
        <w:t xml:space="preserve"> </w:t>
      </w:r>
    </w:p>
    <w:p w14:paraId="6124294F" w14:textId="21B9E891" w:rsidR="00B56D50" w:rsidRDefault="001C3C42" w:rsidP="00D27F9F">
      <w:pPr>
        <w:ind w:left="1450" w:right="0"/>
      </w:pPr>
      <w:r>
        <w:t>Method blanks and/or solvent blanks may also be used to check for contamination by carryover from a high</w:t>
      </w:r>
      <w:r w:rsidR="00952B3F">
        <w:t xml:space="preserve"> </w:t>
      </w:r>
      <w:r>
        <w:t xml:space="preserve">concentration sample or standard into subsequent samples. Whenever an unusually concentrated sample is encountered, it must be followed by injection of a solvent blank to check for cross contamination.  If there is evidence that carryover has occurred, then the samples must be reanalyzed. </w:t>
      </w:r>
    </w:p>
    <w:p w14:paraId="2CB1977F" w14:textId="37CDD197" w:rsidR="00B56D50" w:rsidRDefault="001C3C42">
      <w:pPr>
        <w:spacing w:after="0" w:line="259" w:lineRule="auto"/>
        <w:ind w:left="452" w:right="0" w:firstLine="0"/>
      </w:pPr>
      <w:r>
        <w:t xml:space="preserve"> </w:t>
      </w:r>
      <w:r>
        <w:rPr>
          <w:rFonts w:ascii="Arial" w:eastAsia="Arial" w:hAnsi="Arial" w:cs="Arial"/>
        </w:rPr>
        <w:t xml:space="preserve"> </w:t>
      </w:r>
    </w:p>
    <w:p w14:paraId="340DA05B" w14:textId="5E11A2DB" w:rsidR="00B56D50" w:rsidRDefault="001C3C42" w:rsidP="00093377">
      <w:pPr>
        <w:numPr>
          <w:ilvl w:val="0"/>
          <w:numId w:val="92"/>
        </w:numPr>
        <w:spacing w:after="16"/>
        <w:ind w:left="1440" w:right="186" w:hanging="360"/>
      </w:pPr>
      <w:r>
        <w:rPr>
          <w:b/>
        </w:rPr>
        <w:t>Matrix Spike and Matrix Spike Duplicate (or Matrix Spike and Un</w:t>
      </w:r>
      <w:r w:rsidR="00ED51C3">
        <w:rPr>
          <w:b/>
        </w:rPr>
        <w:t>-</w:t>
      </w:r>
      <w:r>
        <w:rPr>
          <w:b/>
        </w:rPr>
        <w:t xml:space="preserve">spiked Duplicates) </w:t>
      </w:r>
      <w:r>
        <w:t>The Contractor shall spike at least one matrix spike and one duplicate un</w:t>
      </w:r>
      <w:r w:rsidR="00ED51C3">
        <w:t>-s</w:t>
      </w:r>
      <w:r>
        <w:t xml:space="preserve">piked sample or one matrix spike/matrix spike duplicate pair (MS/MSD) to document the effect of the matrix.  </w:t>
      </w:r>
      <w:r>
        <w:rPr>
          <w:b/>
        </w:rPr>
        <w:t xml:space="preserve">The State requires that this be </w:t>
      </w:r>
      <w:proofErr w:type="gramStart"/>
      <w:r>
        <w:rPr>
          <w:b/>
        </w:rPr>
        <w:t>a MS</w:t>
      </w:r>
      <w:proofErr w:type="gramEnd"/>
      <w:r>
        <w:rPr>
          <w:b/>
        </w:rPr>
        <w:t xml:space="preserve">/MSD </w:t>
      </w:r>
      <w:r>
        <w:rPr>
          <w:b/>
          <w:u w:val="single" w:color="000000"/>
        </w:rPr>
        <w:t>unless</w:t>
      </w:r>
      <w:r>
        <w:rPr>
          <w:b/>
        </w:rPr>
        <w:t xml:space="preserve"> the analyte concentration in the un</w:t>
      </w:r>
      <w:r w:rsidR="00ED51C3">
        <w:rPr>
          <w:b/>
        </w:rPr>
        <w:t>-</w:t>
      </w:r>
      <w:r>
        <w:rPr>
          <w:b/>
        </w:rPr>
        <w:t>spiked sample exceeds 4x the spike concentration or 1000 ppm (whichever is less).  If the sample concentration exceeds this level, un</w:t>
      </w:r>
      <w:r w:rsidR="00ED51C3">
        <w:rPr>
          <w:b/>
        </w:rPr>
        <w:t>-</w:t>
      </w:r>
      <w:r>
        <w:rPr>
          <w:b/>
        </w:rPr>
        <w:t>spiked duplicates should be run.</w:t>
      </w:r>
    </w:p>
    <w:p w14:paraId="24438F07" w14:textId="7C4823CB" w:rsidR="00B56D50" w:rsidRDefault="00B56D50" w:rsidP="00C30FA9">
      <w:pPr>
        <w:spacing w:after="0" w:line="259" w:lineRule="auto"/>
        <w:ind w:right="0"/>
      </w:pPr>
    </w:p>
    <w:p w14:paraId="4ED2CDD8" w14:textId="39386D16" w:rsidR="00B56D50" w:rsidRPr="00D27F9F" w:rsidRDefault="001C3C42" w:rsidP="00093377">
      <w:pPr>
        <w:numPr>
          <w:ilvl w:val="0"/>
          <w:numId w:val="95"/>
        </w:numPr>
        <w:ind w:left="1800" w:right="29" w:hanging="360"/>
        <w:rPr>
          <w:b/>
          <w:bCs/>
        </w:rPr>
      </w:pPr>
      <w:r w:rsidRPr="00D27F9F">
        <w:rPr>
          <w:b/>
          <w:bCs/>
        </w:rPr>
        <w:t xml:space="preserve">Matrix Spike </w:t>
      </w:r>
    </w:p>
    <w:p w14:paraId="082FAA31" w14:textId="5F36D751" w:rsidR="00B56D50" w:rsidRDefault="001C3C42" w:rsidP="00D16B46">
      <w:pPr>
        <w:ind w:left="1810" w:right="342"/>
      </w:pPr>
      <w:r>
        <w:t xml:space="preserve">The matrix spike (and MSD, if applicable) is a measure of the bias attributed to </w:t>
      </w:r>
      <w:r>
        <w:rPr>
          <w:u w:val="single" w:color="000000"/>
        </w:rPr>
        <w:t>sample</w:t>
      </w:r>
      <w:r>
        <w:t xml:space="preserve"> matrix effects, not just laboratory process effects on phase or concentration characteristics.  The sample matrix includes the target and non-target analytes present in the sample or group of samples: naturally occurring compounds as well as contaminants.  Therefore, the spiked sample </w:t>
      </w:r>
      <w:r>
        <w:rPr>
          <w:u w:val="single" w:color="000000"/>
        </w:rPr>
        <w:t>must</w:t>
      </w:r>
      <w:r>
        <w:t xml:space="preserve"> be from the same project as the group of field samples.  </w:t>
      </w:r>
      <w:r>
        <w:rPr>
          <w:b/>
        </w:rPr>
        <w:t>Samples identified as field blanks shall not be spiked.</w:t>
      </w:r>
      <w:r>
        <w:t xml:space="preserve"> </w:t>
      </w:r>
    </w:p>
    <w:p w14:paraId="27A0E1A9" w14:textId="77777777" w:rsidR="00B56D50" w:rsidRDefault="001C3C42">
      <w:pPr>
        <w:spacing w:after="0" w:line="259" w:lineRule="auto"/>
        <w:ind w:left="452" w:right="0" w:firstLine="0"/>
      </w:pPr>
      <w:r>
        <w:t xml:space="preserve"> </w:t>
      </w:r>
    </w:p>
    <w:p w14:paraId="61FDCB49" w14:textId="490C67C9" w:rsidR="00B56D50" w:rsidRDefault="001C3C42" w:rsidP="00D16B46">
      <w:pPr>
        <w:ind w:left="1810" w:right="255"/>
      </w:pPr>
      <w:r>
        <w:t>At least one MS must be performed on each group of samples of a similar matrix type from the same project (e.g., water, sludges, and soil) for each group of 20 (or fewer) samples received per project.  However, it is not necessary to spike samples when the concentration of the analyte in the un</w:t>
      </w:r>
      <w:r w:rsidR="00ED51C3">
        <w:t>-</w:t>
      </w:r>
      <w:r>
        <w:t xml:space="preserve">spiked sample exceeds 4x the spike concentration or 0.1% (1000 ppm), whichever is less. </w:t>
      </w:r>
    </w:p>
    <w:p w14:paraId="606CA6E1" w14:textId="77777777" w:rsidR="00B56D50" w:rsidRDefault="001C3C42">
      <w:pPr>
        <w:spacing w:after="0" w:line="259" w:lineRule="auto"/>
        <w:ind w:left="1172" w:right="0" w:firstLine="0"/>
      </w:pPr>
      <w:r>
        <w:t xml:space="preserve"> </w:t>
      </w:r>
    </w:p>
    <w:p w14:paraId="434AED24" w14:textId="7BF6759D" w:rsidR="00B56D50" w:rsidRDefault="001C3C42" w:rsidP="00D16B46">
      <w:pPr>
        <w:ind w:left="3060" w:right="255" w:hanging="1260"/>
      </w:pPr>
      <w:r>
        <w:rPr>
          <w:b/>
        </w:rPr>
        <w:t>Please note</w:t>
      </w:r>
      <w:proofErr w:type="gramStart"/>
      <w:r>
        <w:rPr>
          <w:b/>
        </w:rPr>
        <w:t xml:space="preserve">:  </w:t>
      </w:r>
      <w:r>
        <w:t>MS</w:t>
      </w:r>
      <w:proofErr w:type="gramEnd"/>
      <w:r>
        <w:t xml:space="preserve">/MSDs are </w:t>
      </w:r>
      <w:r>
        <w:rPr>
          <w:u w:val="single" w:color="000000"/>
        </w:rPr>
        <w:t>site-specific, project-specific</w:t>
      </w:r>
      <w:r>
        <w:t xml:space="preserve"> information resources and not laboratory performance information resources.  Therefore, it </w:t>
      </w:r>
      <w:r>
        <w:rPr>
          <w:u w:val="single" w:color="000000"/>
        </w:rPr>
        <w:t>is</w:t>
      </w:r>
      <w:r>
        <w:t xml:space="preserve"> necessary to analyze one site</w:t>
      </w:r>
      <w:r w:rsidR="00ED51C3">
        <w:t>-</w:t>
      </w:r>
      <w:r>
        <w:t xml:space="preserve">specific MS/MSD per sample matrix, per analysis type, </w:t>
      </w:r>
      <w:r>
        <w:rPr>
          <w:u w:val="single" w:color="000000"/>
        </w:rPr>
        <w:t>per sample delivery group</w:t>
      </w:r>
      <w:r>
        <w:t xml:space="preserve">.  However, if a sample delivery group requires multiple analytical batches for one or more analysis type, it is </w:t>
      </w:r>
      <w:r>
        <w:rPr>
          <w:u w:val="single" w:color="000000"/>
        </w:rPr>
        <w:t>not</w:t>
      </w:r>
      <w:r>
        <w:t xml:space="preserve"> necessary to analyze a MS/MSD pair for every analytical batch. </w:t>
      </w:r>
    </w:p>
    <w:p w14:paraId="2C784B08" w14:textId="77777777" w:rsidR="00B56D50" w:rsidRDefault="001C3C42">
      <w:pPr>
        <w:spacing w:after="0" w:line="259" w:lineRule="auto"/>
        <w:ind w:left="1172" w:right="0" w:firstLine="0"/>
      </w:pPr>
      <w:r>
        <w:t xml:space="preserve"> </w:t>
      </w:r>
    </w:p>
    <w:p w14:paraId="1DE33A4A" w14:textId="77777777" w:rsidR="00B56D50" w:rsidRDefault="001C3C42" w:rsidP="00093377">
      <w:pPr>
        <w:numPr>
          <w:ilvl w:val="0"/>
          <w:numId w:val="97"/>
        </w:numPr>
        <w:ind w:left="2160" w:right="255" w:hanging="360"/>
      </w:pPr>
      <w:r>
        <w:rPr>
          <w:u w:val="single" w:color="000000"/>
        </w:rPr>
        <w:lastRenderedPageBreak/>
        <w:t>Compounds to be spiked</w:t>
      </w:r>
      <w:r>
        <w:t xml:space="preserve">: Matrix spiking solutions must be prepared from compounds that are representative of the compounds being investigated.  It is recommended that the MS/MSD be prepared using all single-component target analytes </w:t>
      </w:r>
      <w:proofErr w:type="gramStart"/>
      <w:r>
        <w:t>in order to</w:t>
      </w:r>
      <w:proofErr w:type="gramEnd"/>
      <w:r>
        <w:t xml:space="preserve"> accurately interpret matrix effects on sample results. </w:t>
      </w:r>
    </w:p>
    <w:p w14:paraId="313FEE31" w14:textId="77777777" w:rsidR="00B56D50" w:rsidRDefault="001C3C42">
      <w:pPr>
        <w:spacing w:after="0" w:line="259" w:lineRule="auto"/>
        <w:ind w:left="452" w:right="0" w:firstLine="0"/>
      </w:pPr>
      <w:r>
        <w:t xml:space="preserve"> </w:t>
      </w:r>
    </w:p>
    <w:p w14:paraId="3FD40318" w14:textId="77777777" w:rsidR="00F77864" w:rsidRDefault="001C3C42" w:rsidP="00093377">
      <w:pPr>
        <w:numPr>
          <w:ilvl w:val="1"/>
          <w:numId w:val="39"/>
        </w:numPr>
        <w:ind w:left="2609" w:right="255" w:hanging="449"/>
      </w:pPr>
      <w:r w:rsidRPr="00244BBC">
        <w:rPr>
          <w:u w:val="single" w:color="000000"/>
        </w:rPr>
        <w:t>Pesticides analysis</w:t>
      </w:r>
      <w:r>
        <w:t>: At a minimum</w:t>
      </w:r>
      <w:r w:rsidRPr="00244BBC">
        <w:rPr>
          <w:u w:val="single" w:color="000000"/>
        </w:rPr>
        <w:t>,</w:t>
      </w:r>
      <w:r>
        <w:t xml:space="preserve"> the matrix spike must contain </w:t>
      </w:r>
      <w:r w:rsidR="0013198B">
        <w:rPr>
          <w:rFonts w:ascii="Symbol" w:eastAsia="Symbol" w:hAnsi="Symbol" w:cs="Symbol"/>
          <w:sz w:val="18"/>
        </w:rPr>
        <w:sym w:font="Symbol" w:char="F067"/>
      </w:r>
      <w:r>
        <w:t>-BHC (Lindane), Heptachlor, Aldrin, Dieldrin, Endrin, and 4, 4’-DDT.</w:t>
      </w:r>
    </w:p>
    <w:p w14:paraId="62C4340A" w14:textId="77777777" w:rsidR="00F77864" w:rsidRDefault="00F77864" w:rsidP="00F77864">
      <w:pPr>
        <w:ind w:right="255"/>
      </w:pPr>
    </w:p>
    <w:p w14:paraId="60C2EF16" w14:textId="187C6FE3" w:rsidR="00B56D50" w:rsidRDefault="00F77864" w:rsidP="00093377">
      <w:pPr>
        <w:numPr>
          <w:ilvl w:val="1"/>
          <w:numId w:val="39"/>
        </w:numPr>
        <w:ind w:left="2609" w:right="255" w:hanging="449"/>
      </w:pPr>
      <w:r>
        <w:rPr>
          <w:u w:val="single" w:color="000000"/>
        </w:rPr>
        <w:t xml:space="preserve">PCBs </w:t>
      </w:r>
      <w:r w:rsidRPr="00052A7D">
        <w:rPr>
          <w:u w:val="single" w:color="000000"/>
        </w:rPr>
        <w:t>Analysis</w:t>
      </w:r>
      <w:r w:rsidRPr="004931DF">
        <w:t xml:space="preserve">: When samples are known or expected to contain specific </w:t>
      </w:r>
      <w:proofErr w:type="spellStart"/>
      <w:r w:rsidRPr="004931DF">
        <w:t>Aroclors</w:t>
      </w:r>
      <w:proofErr w:type="spellEnd"/>
      <w:r w:rsidRPr="004931DF">
        <w:t xml:space="preserve"> or</w:t>
      </w:r>
      <w:r>
        <w:t xml:space="preserve"> PCB congeners, the target </w:t>
      </w:r>
      <w:proofErr w:type="spellStart"/>
      <w:r>
        <w:t>Aroclors</w:t>
      </w:r>
      <w:proofErr w:type="spellEnd"/>
      <w:r>
        <w:t xml:space="preserve"> or congeners must be spiked.  If samples are </w:t>
      </w:r>
      <w:r w:rsidRPr="00052A7D">
        <w:rPr>
          <w:u w:val="single" w:color="000000"/>
        </w:rPr>
        <w:t>not</w:t>
      </w:r>
      <w:r>
        <w:t xml:space="preserve"> expected to contain target analytes, the </w:t>
      </w:r>
      <w:proofErr w:type="spellStart"/>
      <w:r>
        <w:t>Aroclor</w:t>
      </w:r>
      <w:proofErr w:type="spellEnd"/>
      <w:r>
        <w:t xml:space="preserve"> 1016/1260 mixture (or, at a minimum </w:t>
      </w:r>
      <w:proofErr w:type="spellStart"/>
      <w:r>
        <w:t>Aroclor</w:t>
      </w:r>
      <w:proofErr w:type="spellEnd"/>
      <w:r>
        <w:t xml:space="preserve"> 1260) must be spiked.</w:t>
      </w:r>
      <w:r w:rsidR="0020579F">
        <w:t xml:space="preserve">  Th</w:t>
      </w:r>
      <w:r>
        <w:t>e matrix spiking solutions must not be prepared from the same standards as the calibration standards. However, the same spiking standard prepared for the matrix spike may be used for the LCS.</w:t>
      </w:r>
      <w:r w:rsidR="001C3C42">
        <w:t xml:space="preserve"> </w:t>
      </w:r>
    </w:p>
    <w:p w14:paraId="2B9F9FD4" w14:textId="13515295" w:rsidR="00B56D50" w:rsidRDefault="00B56D50">
      <w:pPr>
        <w:spacing w:after="0" w:line="259" w:lineRule="auto"/>
        <w:ind w:left="1623" w:right="0" w:firstLine="0"/>
      </w:pPr>
    </w:p>
    <w:p w14:paraId="25C34C47" w14:textId="77777777" w:rsidR="00B56D50" w:rsidRDefault="001C3C42" w:rsidP="00093377">
      <w:pPr>
        <w:numPr>
          <w:ilvl w:val="0"/>
          <w:numId w:val="39"/>
        </w:numPr>
        <w:ind w:left="2251" w:right="255" w:hanging="451"/>
      </w:pPr>
      <w:r>
        <w:rPr>
          <w:u w:val="single" w:color="000000"/>
        </w:rPr>
        <w:t>Spike concentrations</w:t>
      </w:r>
      <w:r>
        <w:t xml:space="preserve">.  The </w:t>
      </w:r>
      <w:proofErr w:type="gramStart"/>
      <w:r>
        <w:t>concentrations</w:t>
      </w:r>
      <w:proofErr w:type="gramEnd"/>
      <w:r>
        <w:t xml:space="preserve"> of the spiked compounds in the samples must be at or below the regulatory limit, health-protective action level, or 1 to 5 times higher than the background concentration, whichever concentration would be greater. </w:t>
      </w:r>
    </w:p>
    <w:p w14:paraId="5052057A" w14:textId="77777777" w:rsidR="00B56D50" w:rsidRDefault="001C3C42">
      <w:pPr>
        <w:spacing w:after="0" w:line="259" w:lineRule="auto"/>
        <w:ind w:left="783" w:right="0" w:firstLine="0"/>
      </w:pPr>
      <w:r>
        <w:t xml:space="preserve"> </w:t>
      </w:r>
    </w:p>
    <w:p w14:paraId="2F5248C5" w14:textId="1E694E7B" w:rsidR="008C32E8" w:rsidRDefault="001C3C42" w:rsidP="00093377">
      <w:pPr>
        <w:numPr>
          <w:ilvl w:val="0"/>
          <w:numId w:val="39"/>
        </w:numPr>
        <w:ind w:left="2251" w:right="255" w:hanging="451"/>
      </w:pPr>
      <w:r>
        <w:rPr>
          <w:u w:val="single" w:color="000000"/>
        </w:rPr>
        <w:t>Control limits</w:t>
      </w:r>
      <w:r>
        <w:t>.  Recommended control limits for the MS (and MSD, if applicable) minimum spiked compounds’ % Recovery are listed in TABLE 33.</w:t>
      </w:r>
    </w:p>
    <w:p w14:paraId="1D82CCBA" w14:textId="77777777" w:rsidR="00B56D50" w:rsidRPr="008C32E8" w:rsidRDefault="001C3C42" w:rsidP="00615188">
      <w:pPr>
        <w:ind w:left="0" w:firstLine="0"/>
      </w:pPr>
      <w:r w:rsidRPr="008C32E8">
        <w:t xml:space="preserve"> </w:t>
      </w:r>
    </w:p>
    <w:p w14:paraId="3DF4C586" w14:textId="67525AA6" w:rsidR="00B56D50" w:rsidRPr="00EC428D" w:rsidRDefault="001C3C42" w:rsidP="00093377">
      <w:pPr>
        <w:numPr>
          <w:ilvl w:val="0"/>
          <w:numId w:val="95"/>
        </w:numPr>
        <w:ind w:left="1800" w:right="29" w:hanging="360"/>
        <w:rPr>
          <w:b/>
          <w:bCs/>
        </w:rPr>
      </w:pPr>
      <w:r w:rsidRPr="00EC428D">
        <w:rPr>
          <w:b/>
          <w:bCs/>
        </w:rPr>
        <w:t>MS/MSD or Un</w:t>
      </w:r>
      <w:r w:rsidR="006B23EE" w:rsidRPr="00EC428D">
        <w:rPr>
          <w:b/>
          <w:bCs/>
        </w:rPr>
        <w:t>-</w:t>
      </w:r>
      <w:r w:rsidRPr="00EC428D">
        <w:rPr>
          <w:b/>
          <w:bCs/>
        </w:rPr>
        <w:t xml:space="preserve">spiked Matrix Duplicate Pair </w:t>
      </w:r>
    </w:p>
    <w:p w14:paraId="0A4D9BBE" w14:textId="496BE7B3" w:rsidR="00AC7486" w:rsidRDefault="001C3C42" w:rsidP="007F1FAD">
      <w:pPr>
        <w:ind w:left="1800" w:firstLine="0"/>
      </w:pPr>
      <w:r>
        <w:t>At least one MSD or one un</w:t>
      </w:r>
      <w:r w:rsidR="006B23EE">
        <w:t>-</w:t>
      </w:r>
      <w:r>
        <w:t xml:space="preserve">spiked duplicate must be performed on each group of samples of a similar matrix type from the same project (e.g., water, sludges, soil) for each group of 20 (or fewer) samples received per project.  MS/MSD and matrix duplicate RPDs must be reported.  Recommended RPD control limits are listed in TABLE </w:t>
      </w:r>
      <w:r w:rsidR="007F1FAD">
        <w:t>27</w:t>
      </w:r>
      <w:r>
        <w:t>.</w:t>
      </w:r>
    </w:p>
    <w:p w14:paraId="7747EB0F" w14:textId="7F0E85C2" w:rsidR="00B56D50" w:rsidRDefault="00B56D50" w:rsidP="00F23E74">
      <w:pPr>
        <w:spacing w:after="0" w:line="259" w:lineRule="auto"/>
        <w:ind w:left="0" w:right="0" w:firstLine="0"/>
      </w:pPr>
    </w:p>
    <w:p w14:paraId="08DFE3FB" w14:textId="77777777" w:rsidR="00C602B2" w:rsidRDefault="00C602B2" w:rsidP="00F23E74">
      <w:pPr>
        <w:spacing w:after="0" w:line="259" w:lineRule="auto"/>
        <w:ind w:left="0" w:right="0" w:firstLine="0"/>
      </w:pPr>
    </w:p>
    <w:p w14:paraId="150380AE" w14:textId="77777777" w:rsidR="00C602B2" w:rsidRDefault="00C602B2" w:rsidP="00F23E74">
      <w:pPr>
        <w:spacing w:after="0" w:line="259" w:lineRule="auto"/>
        <w:ind w:left="0" w:right="0" w:firstLine="0"/>
      </w:pPr>
    </w:p>
    <w:p w14:paraId="500E7208" w14:textId="77777777" w:rsidR="00C602B2" w:rsidRDefault="00C602B2" w:rsidP="00F23E74">
      <w:pPr>
        <w:spacing w:after="0" w:line="259" w:lineRule="auto"/>
        <w:ind w:left="0" w:right="0" w:firstLine="0"/>
      </w:pPr>
    </w:p>
    <w:p w14:paraId="16E10255" w14:textId="77777777" w:rsidR="00C602B2" w:rsidRDefault="00C602B2" w:rsidP="00F23E74">
      <w:pPr>
        <w:spacing w:after="0" w:line="259" w:lineRule="auto"/>
        <w:ind w:left="0" w:right="0" w:firstLine="0"/>
      </w:pPr>
    </w:p>
    <w:p w14:paraId="4D14171E" w14:textId="37407F56" w:rsidR="00C602B2" w:rsidRDefault="00C602B2" w:rsidP="008F270E">
      <w:pPr>
        <w:spacing w:after="0" w:line="259" w:lineRule="auto"/>
        <w:ind w:left="720" w:right="0" w:firstLine="0"/>
        <w:jc w:val="center"/>
      </w:pPr>
      <w:r>
        <w:t>THE REMAINDER OF THIS PAGE HAS BEEN LEFT BLANK INTENTIONALLY</w:t>
      </w:r>
    </w:p>
    <w:p w14:paraId="081036C6" w14:textId="77777777" w:rsidR="00C602B2" w:rsidRDefault="00C602B2" w:rsidP="00F23E74">
      <w:pPr>
        <w:spacing w:after="0" w:line="259" w:lineRule="auto"/>
        <w:ind w:left="0" w:right="0" w:firstLine="0"/>
      </w:pPr>
    </w:p>
    <w:p w14:paraId="59AC3688" w14:textId="77777777" w:rsidR="00C602B2" w:rsidRDefault="00C602B2" w:rsidP="00F23E74">
      <w:pPr>
        <w:spacing w:after="0" w:line="259" w:lineRule="auto"/>
        <w:ind w:left="0" w:right="0" w:firstLine="0"/>
      </w:pPr>
    </w:p>
    <w:p w14:paraId="3B3894F9" w14:textId="77777777" w:rsidR="00C602B2" w:rsidRDefault="00C602B2" w:rsidP="00F23E74">
      <w:pPr>
        <w:spacing w:after="0" w:line="259" w:lineRule="auto"/>
        <w:ind w:left="0" w:right="0" w:firstLine="0"/>
      </w:pPr>
    </w:p>
    <w:p w14:paraId="1E51F5E3" w14:textId="77777777" w:rsidR="00C602B2" w:rsidRDefault="00C602B2" w:rsidP="00F23E74">
      <w:pPr>
        <w:spacing w:after="0" w:line="259" w:lineRule="auto"/>
        <w:ind w:left="0" w:right="0" w:firstLine="0"/>
      </w:pPr>
    </w:p>
    <w:p w14:paraId="0A229276" w14:textId="77777777" w:rsidR="00C602B2" w:rsidRDefault="00C602B2" w:rsidP="00F23E74">
      <w:pPr>
        <w:spacing w:after="0" w:line="259" w:lineRule="auto"/>
        <w:ind w:left="0" w:right="0" w:firstLine="0"/>
      </w:pPr>
    </w:p>
    <w:p w14:paraId="6189F309" w14:textId="77777777" w:rsidR="00C602B2" w:rsidRDefault="00C602B2" w:rsidP="00F23E74">
      <w:pPr>
        <w:spacing w:after="0" w:line="259" w:lineRule="auto"/>
        <w:ind w:left="0" w:right="0" w:firstLine="0"/>
      </w:pPr>
    </w:p>
    <w:p w14:paraId="468AC9F2" w14:textId="77777777" w:rsidR="00C602B2" w:rsidRDefault="00C602B2" w:rsidP="00F23E74">
      <w:pPr>
        <w:spacing w:after="0" w:line="259" w:lineRule="auto"/>
        <w:ind w:left="0" w:right="0" w:firstLine="0"/>
      </w:pPr>
    </w:p>
    <w:p w14:paraId="174750CE" w14:textId="77777777" w:rsidR="00C602B2" w:rsidRDefault="00C602B2" w:rsidP="00F23E74">
      <w:pPr>
        <w:spacing w:after="0" w:line="259" w:lineRule="auto"/>
        <w:ind w:left="0" w:right="0" w:firstLine="0"/>
      </w:pPr>
    </w:p>
    <w:p w14:paraId="0FBA9C53" w14:textId="77777777" w:rsidR="00C602B2" w:rsidRDefault="00C602B2" w:rsidP="00F23E74">
      <w:pPr>
        <w:spacing w:after="0" w:line="259" w:lineRule="auto"/>
        <w:ind w:left="0" w:right="0" w:firstLine="0"/>
      </w:pPr>
    </w:p>
    <w:p w14:paraId="2F4BFAA1" w14:textId="77777777" w:rsidR="00C602B2" w:rsidRDefault="00C602B2" w:rsidP="00F23E74">
      <w:pPr>
        <w:spacing w:after="0" w:line="259" w:lineRule="auto"/>
        <w:ind w:left="0" w:right="0" w:firstLine="0"/>
      </w:pPr>
    </w:p>
    <w:p w14:paraId="5EE5143D" w14:textId="77777777" w:rsidR="00C602B2" w:rsidRDefault="00C602B2" w:rsidP="00F23E74">
      <w:pPr>
        <w:spacing w:after="0" w:line="259" w:lineRule="auto"/>
        <w:ind w:left="0" w:right="0" w:firstLine="0"/>
      </w:pPr>
    </w:p>
    <w:p w14:paraId="1D118F38" w14:textId="4BA49265" w:rsidR="00B56D50" w:rsidRDefault="001C3C42" w:rsidP="0084664B">
      <w:pPr>
        <w:pStyle w:val="Heading5"/>
        <w:spacing w:after="0"/>
        <w:ind w:left="1024" w:right="923"/>
      </w:pPr>
      <w:r>
        <w:lastRenderedPageBreak/>
        <w:t xml:space="preserve">TABLE </w:t>
      </w:r>
      <w:r w:rsidR="007F1FAD">
        <w:t>27</w:t>
      </w:r>
      <w:r>
        <w:t xml:space="preserve"> </w:t>
      </w:r>
    </w:p>
    <w:p w14:paraId="3FCBB3FD" w14:textId="77C46D1D" w:rsidR="006066B6" w:rsidRPr="0084664B" w:rsidRDefault="001C3C42" w:rsidP="0084664B">
      <w:pPr>
        <w:jc w:val="center"/>
        <w:rPr>
          <w:b/>
          <w:bCs/>
        </w:rPr>
      </w:pPr>
      <w:r w:rsidRPr="00020986">
        <w:rPr>
          <w:b/>
          <w:bCs/>
        </w:rPr>
        <w:t>Recommended MS/MSD and Matrix Duplicate Control Criteria for GC/ECD Analysis</w:t>
      </w:r>
    </w:p>
    <w:p w14:paraId="0FBE1364" w14:textId="6DA6A53F" w:rsidR="00B56D50" w:rsidRPr="006066B6" w:rsidRDefault="00B56D50" w:rsidP="0084664B">
      <w:pPr>
        <w:pStyle w:val="Heading6"/>
        <w:ind w:left="462" w:right="186"/>
        <w:rPr>
          <w:bCs/>
        </w:rPr>
      </w:pPr>
    </w:p>
    <w:tbl>
      <w:tblPr>
        <w:tblStyle w:val="TableGrid1"/>
        <w:tblW w:w="9182" w:type="dxa"/>
        <w:jc w:val="center"/>
        <w:tblInd w:w="0" w:type="dxa"/>
        <w:tblCellMar>
          <w:top w:w="7" w:type="dxa"/>
          <w:left w:w="67" w:type="dxa"/>
          <w:right w:w="46" w:type="dxa"/>
        </w:tblCellMar>
        <w:tblLook w:val="04A0" w:firstRow="1" w:lastRow="0" w:firstColumn="1" w:lastColumn="0" w:noHBand="0" w:noVBand="1"/>
      </w:tblPr>
      <w:tblGrid>
        <w:gridCol w:w="2432"/>
        <w:gridCol w:w="1620"/>
        <w:gridCol w:w="1709"/>
        <w:gridCol w:w="1711"/>
        <w:gridCol w:w="1710"/>
      </w:tblGrid>
      <w:tr w:rsidR="00B56D50" w14:paraId="11E9D9B8" w14:textId="77777777" w:rsidTr="004A1FB6">
        <w:trPr>
          <w:trHeight w:val="317"/>
          <w:jc w:val="center"/>
        </w:trPr>
        <w:tc>
          <w:tcPr>
            <w:tcW w:w="2432"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14:paraId="09FAACFC" w14:textId="605A1126" w:rsidR="00B56D50" w:rsidRPr="00E17D92" w:rsidRDefault="001C3C42" w:rsidP="00E17D92">
            <w:pPr>
              <w:spacing w:after="0" w:line="259" w:lineRule="auto"/>
              <w:ind w:left="0" w:right="25" w:firstLine="0"/>
              <w:jc w:val="center"/>
              <w:rPr>
                <w:iCs/>
              </w:rPr>
            </w:pPr>
            <w:r w:rsidRPr="00020986">
              <w:rPr>
                <w:b/>
                <w:iCs/>
                <w:sz w:val="20"/>
              </w:rPr>
              <w:t>Matrix:</w:t>
            </w:r>
          </w:p>
        </w:tc>
        <w:tc>
          <w:tcPr>
            <w:tcW w:w="3329" w:type="dxa"/>
            <w:gridSpan w:val="2"/>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14:paraId="70CB083A" w14:textId="7A50B771" w:rsidR="00B56D50" w:rsidRDefault="001C3C42" w:rsidP="000E0D91">
            <w:pPr>
              <w:spacing w:after="0" w:line="259" w:lineRule="auto"/>
              <w:ind w:left="0" w:right="23" w:firstLine="0"/>
              <w:jc w:val="center"/>
            </w:pPr>
            <w:r>
              <w:rPr>
                <w:b/>
                <w:sz w:val="20"/>
              </w:rPr>
              <w:t>Water</w:t>
            </w:r>
          </w:p>
        </w:tc>
        <w:tc>
          <w:tcPr>
            <w:tcW w:w="3421" w:type="dxa"/>
            <w:gridSpan w:val="2"/>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14:paraId="38077A41" w14:textId="059A65B0" w:rsidR="00B56D50" w:rsidRDefault="001C3C42" w:rsidP="000E0D91">
            <w:pPr>
              <w:spacing w:after="0" w:line="259" w:lineRule="auto"/>
              <w:ind w:left="0" w:right="22" w:firstLine="0"/>
              <w:jc w:val="center"/>
            </w:pPr>
            <w:r>
              <w:rPr>
                <w:b/>
                <w:sz w:val="20"/>
              </w:rPr>
              <w:t>Other Matrices</w:t>
            </w:r>
          </w:p>
        </w:tc>
      </w:tr>
      <w:tr w:rsidR="00B56D50" w14:paraId="3B977423" w14:textId="77777777" w:rsidTr="004A1FB6">
        <w:trPr>
          <w:trHeight w:val="555"/>
          <w:jc w:val="center"/>
        </w:trPr>
        <w:tc>
          <w:tcPr>
            <w:tcW w:w="2432"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14:paraId="535233F8" w14:textId="77777777" w:rsidR="00B56D50" w:rsidRDefault="001C3C42">
            <w:pPr>
              <w:spacing w:after="0" w:line="259" w:lineRule="auto"/>
              <w:ind w:left="0" w:right="27" w:firstLine="0"/>
              <w:jc w:val="center"/>
            </w:pPr>
            <w:r>
              <w:rPr>
                <w:b/>
                <w:sz w:val="20"/>
              </w:rPr>
              <w:t xml:space="preserve">Compound </w:t>
            </w:r>
          </w:p>
        </w:tc>
        <w:tc>
          <w:tcPr>
            <w:tcW w:w="1620"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14:paraId="13A09FEA" w14:textId="318314D3" w:rsidR="00B56D50" w:rsidRDefault="001C3C42">
            <w:pPr>
              <w:spacing w:after="0" w:line="259" w:lineRule="auto"/>
              <w:ind w:left="0" w:right="0" w:firstLine="0"/>
              <w:jc w:val="center"/>
            </w:pPr>
            <w:r>
              <w:rPr>
                <w:b/>
                <w:sz w:val="20"/>
              </w:rPr>
              <w:t xml:space="preserve">MS/MSD </w:t>
            </w:r>
            <w:r w:rsidR="006B23EE">
              <w:rPr>
                <w:b/>
                <w:sz w:val="20"/>
              </w:rPr>
              <w:t>Spike %</w:t>
            </w:r>
            <w:r>
              <w:rPr>
                <w:b/>
                <w:sz w:val="20"/>
              </w:rPr>
              <w:t xml:space="preserve"> Recovery </w:t>
            </w:r>
          </w:p>
        </w:tc>
        <w:tc>
          <w:tcPr>
            <w:tcW w:w="1709"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14:paraId="1423A04A" w14:textId="58FE8A11" w:rsidR="00B56D50" w:rsidRDefault="001C3C42" w:rsidP="0068196E">
            <w:pPr>
              <w:spacing w:after="0" w:line="259" w:lineRule="auto"/>
              <w:ind w:left="144" w:right="0" w:firstLine="96"/>
              <w:jc w:val="center"/>
            </w:pPr>
            <w:r>
              <w:rPr>
                <w:b/>
                <w:sz w:val="20"/>
              </w:rPr>
              <w:t>MS/</w:t>
            </w:r>
            <w:r w:rsidR="006B23EE">
              <w:rPr>
                <w:b/>
                <w:sz w:val="20"/>
              </w:rPr>
              <w:t>MSD</w:t>
            </w:r>
            <w:r w:rsidR="0068196E">
              <w:rPr>
                <w:b/>
                <w:sz w:val="20"/>
              </w:rPr>
              <w:t xml:space="preserve"> </w:t>
            </w:r>
            <w:r w:rsidR="006B23EE">
              <w:rPr>
                <w:b/>
                <w:sz w:val="20"/>
              </w:rPr>
              <w:t>or</w:t>
            </w:r>
            <w:r>
              <w:rPr>
                <w:b/>
                <w:sz w:val="20"/>
              </w:rPr>
              <w:t xml:space="preserve"> Duplicate RPD</w:t>
            </w:r>
          </w:p>
        </w:tc>
        <w:tc>
          <w:tcPr>
            <w:tcW w:w="1711"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14:paraId="35C8E6EA" w14:textId="51970F84" w:rsidR="00B56D50" w:rsidRDefault="001C3C42">
            <w:pPr>
              <w:spacing w:after="0" w:line="259" w:lineRule="auto"/>
              <w:ind w:left="25" w:right="0" w:firstLine="0"/>
              <w:jc w:val="center"/>
            </w:pPr>
            <w:r>
              <w:rPr>
                <w:b/>
                <w:sz w:val="20"/>
              </w:rPr>
              <w:t xml:space="preserve">MS/MSD </w:t>
            </w:r>
            <w:r w:rsidR="006B23EE">
              <w:rPr>
                <w:b/>
                <w:sz w:val="20"/>
              </w:rPr>
              <w:t>Spike %</w:t>
            </w:r>
            <w:r>
              <w:rPr>
                <w:b/>
                <w:sz w:val="20"/>
              </w:rPr>
              <w:t xml:space="preserve"> Recovery </w:t>
            </w:r>
          </w:p>
        </w:tc>
        <w:tc>
          <w:tcPr>
            <w:tcW w:w="1709"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14:paraId="774F630A" w14:textId="77777777" w:rsidR="00B56D50" w:rsidRDefault="001C3C42">
            <w:pPr>
              <w:spacing w:after="0" w:line="259" w:lineRule="auto"/>
              <w:ind w:left="0" w:right="0" w:firstLine="0"/>
              <w:jc w:val="center"/>
            </w:pPr>
            <w:r>
              <w:rPr>
                <w:b/>
                <w:sz w:val="20"/>
              </w:rPr>
              <w:t xml:space="preserve">MS/MSD or Duplicate RPD </w:t>
            </w:r>
          </w:p>
        </w:tc>
      </w:tr>
      <w:tr w:rsidR="00B56D50" w14:paraId="4CD4C07D" w14:textId="77777777" w:rsidTr="004A1FB6">
        <w:trPr>
          <w:trHeight w:val="341"/>
          <w:jc w:val="center"/>
        </w:trPr>
        <w:tc>
          <w:tcPr>
            <w:tcW w:w="2432" w:type="dxa"/>
            <w:tcBorders>
              <w:top w:val="single" w:sz="12" w:space="0" w:color="000000" w:themeColor="text1"/>
              <w:left w:val="single" w:sz="12" w:space="0" w:color="000000" w:themeColor="text1"/>
              <w:bottom w:val="single" w:sz="4" w:space="0" w:color="000000" w:themeColor="text1"/>
              <w:right w:val="single" w:sz="12" w:space="0" w:color="000000" w:themeColor="text1"/>
            </w:tcBorders>
            <w:vAlign w:val="center"/>
          </w:tcPr>
          <w:p w14:paraId="3C4F4625" w14:textId="0AF917AC" w:rsidR="00B56D50" w:rsidRDefault="00DD279A" w:rsidP="00020986">
            <w:pPr>
              <w:spacing w:after="0" w:line="259" w:lineRule="auto"/>
              <w:ind w:right="0"/>
            </w:pPr>
            <w:r>
              <w:rPr>
                <w:rFonts w:ascii="Symbol" w:eastAsia="Symbol" w:hAnsi="Symbol" w:cs="Symbol"/>
                <w:sz w:val="18"/>
              </w:rPr>
              <w:t>g</w:t>
            </w:r>
            <w:r>
              <w:t>-</w:t>
            </w:r>
            <w:r w:rsidRPr="00020986">
              <w:rPr>
                <w:sz w:val="20"/>
                <w:szCs w:val="20"/>
              </w:rPr>
              <w:t>BHC (Lindane)</w:t>
            </w:r>
          </w:p>
        </w:tc>
        <w:tc>
          <w:tcPr>
            <w:tcW w:w="1620" w:type="dxa"/>
            <w:tcBorders>
              <w:top w:val="single" w:sz="12" w:space="0" w:color="000000" w:themeColor="text1"/>
              <w:left w:val="single" w:sz="12" w:space="0" w:color="000000" w:themeColor="text1"/>
              <w:bottom w:val="single" w:sz="4" w:space="0" w:color="000000" w:themeColor="text1"/>
              <w:right w:val="single" w:sz="12" w:space="0" w:color="000000" w:themeColor="text1"/>
            </w:tcBorders>
            <w:vAlign w:val="center"/>
          </w:tcPr>
          <w:p w14:paraId="4842D4B4" w14:textId="52C22B36" w:rsidR="00B56D50" w:rsidRDefault="001C3C42" w:rsidP="00E17D92">
            <w:pPr>
              <w:spacing w:after="0" w:line="259" w:lineRule="auto"/>
              <w:ind w:left="0" w:right="22" w:firstLine="0"/>
              <w:jc w:val="center"/>
            </w:pPr>
            <w:r>
              <w:rPr>
                <w:sz w:val="20"/>
              </w:rPr>
              <w:t>56-123</w:t>
            </w:r>
          </w:p>
        </w:tc>
        <w:tc>
          <w:tcPr>
            <w:tcW w:w="1709" w:type="dxa"/>
            <w:tcBorders>
              <w:top w:val="single" w:sz="12" w:space="0" w:color="000000" w:themeColor="text1"/>
              <w:left w:val="single" w:sz="12" w:space="0" w:color="000000" w:themeColor="text1"/>
              <w:bottom w:val="single" w:sz="4" w:space="0" w:color="000000" w:themeColor="text1"/>
              <w:right w:val="single" w:sz="12" w:space="0" w:color="000000" w:themeColor="text1"/>
            </w:tcBorders>
            <w:vAlign w:val="center"/>
          </w:tcPr>
          <w:p w14:paraId="46E6E05F" w14:textId="7E009ACB" w:rsidR="00B56D50" w:rsidRPr="00C03070" w:rsidRDefault="001C3C42" w:rsidP="00E17D92">
            <w:pPr>
              <w:spacing w:after="0" w:line="259" w:lineRule="auto"/>
              <w:ind w:left="0" w:right="23" w:firstLine="0"/>
              <w:jc w:val="center"/>
              <w:rPr>
                <w:bCs/>
              </w:rPr>
            </w:pPr>
            <w:r w:rsidRPr="00C03070">
              <w:rPr>
                <w:bCs/>
                <w:sz w:val="20"/>
              </w:rPr>
              <w:t>15</w:t>
            </w:r>
          </w:p>
        </w:tc>
        <w:tc>
          <w:tcPr>
            <w:tcW w:w="1711" w:type="dxa"/>
            <w:tcBorders>
              <w:top w:val="single" w:sz="12" w:space="0" w:color="000000" w:themeColor="text1"/>
              <w:left w:val="single" w:sz="12" w:space="0" w:color="000000" w:themeColor="text1"/>
              <w:bottom w:val="single" w:sz="4" w:space="0" w:color="000000" w:themeColor="text1"/>
              <w:right w:val="single" w:sz="12" w:space="0" w:color="000000" w:themeColor="text1"/>
            </w:tcBorders>
            <w:vAlign w:val="center"/>
          </w:tcPr>
          <w:p w14:paraId="223A7454" w14:textId="783F5853" w:rsidR="00B56D50" w:rsidRDefault="001C3C42" w:rsidP="00E17D92">
            <w:pPr>
              <w:spacing w:after="0" w:line="259" w:lineRule="auto"/>
              <w:ind w:left="0" w:right="22" w:firstLine="0"/>
              <w:jc w:val="center"/>
            </w:pPr>
            <w:r>
              <w:rPr>
                <w:sz w:val="20"/>
              </w:rPr>
              <w:t>46-127</w:t>
            </w:r>
          </w:p>
        </w:tc>
        <w:tc>
          <w:tcPr>
            <w:tcW w:w="1709" w:type="dxa"/>
            <w:tcBorders>
              <w:top w:val="single" w:sz="12" w:space="0" w:color="000000" w:themeColor="text1"/>
              <w:left w:val="single" w:sz="12" w:space="0" w:color="000000" w:themeColor="text1"/>
              <w:bottom w:val="single" w:sz="4" w:space="0" w:color="000000" w:themeColor="text1"/>
              <w:right w:val="single" w:sz="12" w:space="0" w:color="000000" w:themeColor="text1"/>
            </w:tcBorders>
            <w:vAlign w:val="center"/>
          </w:tcPr>
          <w:p w14:paraId="378D8FDC" w14:textId="312C6EA6" w:rsidR="00B56D50" w:rsidRDefault="001C3C42" w:rsidP="00E17D92">
            <w:pPr>
              <w:spacing w:after="0" w:line="259" w:lineRule="auto"/>
              <w:ind w:left="0" w:right="22" w:firstLine="0"/>
              <w:jc w:val="center"/>
            </w:pPr>
            <w:r>
              <w:rPr>
                <w:sz w:val="20"/>
              </w:rPr>
              <w:t>50</w:t>
            </w:r>
          </w:p>
        </w:tc>
      </w:tr>
      <w:tr w:rsidR="00B56D50" w14:paraId="4228E67C" w14:textId="77777777" w:rsidTr="004A1FB6">
        <w:trPr>
          <w:trHeight w:val="365"/>
          <w:jc w:val="center"/>
        </w:trPr>
        <w:tc>
          <w:tcPr>
            <w:tcW w:w="2432" w:type="dxa"/>
            <w:tcBorders>
              <w:top w:val="single" w:sz="4" w:space="0" w:color="000000" w:themeColor="text1"/>
              <w:left w:val="single" w:sz="12" w:space="0" w:color="000000" w:themeColor="text1"/>
              <w:bottom w:val="single" w:sz="4" w:space="0" w:color="000000" w:themeColor="text1"/>
              <w:right w:val="single" w:sz="12" w:space="0" w:color="000000" w:themeColor="text1"/>
            </w:tcBorders>
            <w:vAlign w:val="center"/>
          </w:tcPr>
          <w:p w14:paraId="18E965E3" w14:textId="77777777" w:rsidR="00B56D50" w:rsidRDefault="001C3C42" w:rsidP="00E17D92">
            <w:pPr>
              <w:spacing w:after="0" w:line="259" w:lineRule="auto"/>
              <w:ind w:left="0" w:right="0" w:firstLine="0"/>
            </w:pPr>
            <w:r>
              <w:rPr>
                <w:sz w:val="20"/>
              </w:rPr>
              <w:t xml:space="preserve">Heptachlor </w:t>
            </w:r>
          </w:p>
        </w:tc>
        <w:tc>
          <w:tcPr>
            <w:tcW w:w="1620" w:type="dxa"/>
            <w:tcBorders>
              <w:top w:val="single" w:sz="4" w:space="0" w:color="000000" w:themeColor="text1"/>
              <w:left w:val="single" w:sz="12" w:space="0" w:color="000000" w:themeColor="text1"/>
              <w:bottom w:val="single" w:sz="4" w:space="0" w:color="000000" w:themeColor="text1"/>
              <w:right w:val="single" w:sz="12" w:space="0" w:color="000000" w:themeColor="text1"/>
            </w:tcBorders>
            <w:vAlign w:val="center"/>
          </w:tcPr>
          <w:p w14:paraId="4CF66D36" w14:textId="109DB1F2" w:rsidR="00B56D50" w:rsidRDefault="001C3C42" w:rsidP="00E17D92">
            <w:pPr>
              <w:spacing w:after="0" w:line="259" w:lineRule="auto"/>
              <w:ind w:left="0" w:right="22" w:firstLine="0"/>
              <w:jc w:val="center"/>
            </w:pPr>
            <w:r>
              <w:rPr>
                <w:sz w:val="20"/>
              </w:rPr>
              <w:t>40-131</w:t>
            </w:r>
          </w:p>
        </w:tc>
        <w:tc>
          <w:tcPr>
            <w:tcW w:w="1709" w:type="dxa"/>
            <w:tcBorders>
              <w:top w:val="single" w:sz="4" w:space="0" w:color="000000" w:themeColor="text1"/>
              <w:left w:val="single" w:sz="12" w:space="0" w:color="000000" w:themeColor="text1"/>
              <w:bottom w:val="single" w:sz="4" w:space="0" w:color="000000" w:themeColor="text1"/>
              <w:right w:val="single" w:sz="12" w:space="0" w:color="000000" w:themeColor="text1"/>
            </w:tcBorders>
            <w:vAlign w:val="center"/>
          </w:tcPr>
          <w:p w14:paraId="24C88FDA" w14:textId="0CC04A03" w:rsidR="00B56D50" w:rsidRDefault="001C3C42" w:rsidP="00E17D92">
            <w:pPr>
              <w:spacing w:after="0" w:line="259" w:lineRule="auto"/>
              <w:ind w:left="0" w:right="23" w:firstLine="0"/>
              <w:jc w:val="center"/>
            </w:pPr>
            <w:r>
              <w:rPr>
                <w:sz w:val="20"/>
              </w:rPr>
              <w:t>20</w:t>
            </w:r>
          </w:p>
        </w:tc>
        <w:tc>
          <w:tcPr>
            <w:tcW w:w="1711" w:type="dxa"/>
            <w:tcBorders>
              <w:top w:val="single" w:sz="4" w:space="0" w:color="000000" w:themeColor="text1"/>
              <w:left w:val="single" w:sz="12" w:space="0" w:color="000000" w:themeColor="text1"/>
              <w:bottom w:val="single" w:sz="4" w:space="0" w:color="000000" w:themeColor="text1"/>
              <w:right w:val="single" w:sz="12" w:space="0" w:color="000000" w:themeColor="text1"/>
            </w:tcBorders>
            <w:vAlign w:val="center"/>
          </w:tcPr>
          <w:p w14:paraId="3D4372DD" w14:textId="47E4184D" w:rsidR="00B56D50" w:rsidRDefault="001C3C42" w:rsidP="00E17D92">
            <w:pPr>
              <w:spacing w:after="0" w:line="259" w:lineRule="auto"/>
              <w:ind w:left="0" w:right="22" w:firstLine="0"/>
              <w:jc w:val="center"/>
            </w:pPr>
            <w:r>
              <w:rPr>
                <w:sz w:val="20"/>
              </w:rPr>
              <w:t>35-130</w:t>
            </w:r>
          </w:p>
        </w:tc>
        <w:tc>
          <w:tcPr>
            <w:tcW w:w="1709" w:type="dxa"/>
            <w:tcBorders>
              <w:top w:val="single" w:sz="4" w:space="0" w:color="000000" w:themeColor="text1"/>
              <w:left w:val="single" w:sz="12" w:space="0" w:color="000000" w:themeColor="text1"/>
              <w:bottom w:val="single" w:sz="4" w:space="0" w:color="000000" w:themeColor="text1"/>
              <w:right w:val="single" w:sz="12" w:space="0" w:color="000000" w:themeColor="text1"/>
            </w:tcBorders>
            <w:vAlign w:val="center"/>
          </w:tcPr>
          <w:p w14:paraId="5F9A6BDD" w14:textId="14851931" w:rsidR="00B56D50" w:rsidRDefault="001C3C42" w:rsidP="00E17D92">
            <w:pPr>
              <w:spacing w:after="0" w:line="259" w:lineRule="auto"/>
              <w:ind w:left="0" w:right="22" w:firstLine="0"/>
              <w:jc w:val="center"/>
            </w:pPr>
            <w:r>
              <w:rPr>
                <w:sz w:val="20"/>
              </w:rPr>
              <w:t>31</w:t>
            </w:r>
          </w:p>
        </w:tc>
      </w:tr>
      <w:tr w:rsidR="00B56D50" w14:paraId="23D7EA09" w14:textId="77777777" w:rsidTr="004A1FB6">
        <w:trPr>
          <w:trHeight w:val="360"/>
          <w:jc w:val="center"/>
        </w:trPr>
        <w:tc>
          <w:tcPr>
            <w:tcW w:w="2432" w:type="dxa"/>
            <w:tcBorders>
              <w:top w:val="single" w:sz="4" w:space="0" w:color="000000" w:themeColor="text1"/>
              <w:left w:val="single" w:sz="12" w:space="0" w:color="000000" w:themeColor="text1"/>
              <w:bottom w:val="single" w:sz="4" w:space="0" w:color="000000" w:themeColor="text1"/>
              <w:right w:val="single" w:sz="12" w:space="0" w:color="000000" w:themeColor="text1"/>
            </w:tcBorders>
            <w:vAlign w:val="center"/>
          </w:tcPr>
          <w:p w14:paraId="361EFDC9" w14:textId="77777777" w:rsidR="00B56D50" w:rsidRDefault="001C3C42" w:rsidP="00E17D92">
            <w:pPr>
              <w:spacing w:after="0" w:line="259" w:lineRule="auto"/>
              <w:ind w:left="0" w:right="0" w:firstLine="0"/>
            </w:pPr>
            <w:r>
              <w:rPr>
                <w:sz w:val="20"/>
              </w:rPr>
              <w:t xml:space="preserve">Aldrin </w:t>
            </w:r>
          </w:p>
        </w:tc>
        <w:tc>
          <w:tcPr>
            <w:tcW w:w="1620" w:type="dxa"/>
            <w:tcBorders>
              <w:top w:val="single" w:sz="4" w:space="0" w:color="000000" w:themeColor="text1"/>
              <w:left w:val="single" w:sz="12" w:space="0" w:color="000000" w:themeColor="text1"/>
              <w:bottom w:val="single" w:sz="4" w:space="0" w:color="000000" w:themeColor="text1"/>
              <w:right w:val="single" w:sz="12" w:space="0" w:color="000000" w:themeColor="text1"/>
            </w:tcBorders>
            <w:vAlign w:val="center"/>
          </w:tcPr>
          <w:p w14:paraId="5DFAE095" w14:textId="512430C3" w:rsidR="00B56D50" w:rsidRDefault="001C3C42" w:rsidP="00E17D92">
            <w:pPr>
              <w:spacing w:after="0" w:line="259" w:lineRule="auto"/>
              <w:ind w:left="0" w:right="22" w:firstLine="0"/>
              <w:jc w:val="center"/>
            </w:pPr>
            <w:r>
              <w:rPr>
                <w:sz w:val="20"/>
              </w:rPr>
              <w:t>40-120</w:t>
            </w:r>
          </w:p>
        </w:tc>
        <w:tc>
          <w:tcPr>
            <w:tcW w:w="1709" w:type="dxa"/>
            <w:tcBorders>
              <w:top w:val="single" w:sz="4" w:space="0" w:color="000000" w:themeColor="text1"/>
              <w:left w:val="single" w:sz="12" w:space="0" w:color="000000" w:themeColor="text1"/>
              <w:bottom w:val="single" w:sz="4" w:space="0" w:color="000000" w:themeColor="text1"/>
              <w:right w:val="single" w:sz="12" w:space="0" w:color="000000" w:themeColor="text1"/>
            </w:tcBorders>
            <w:vAlign w:val="center"/>
          </w:tcPr>
          <w:p w14:paraId="7C86A8CA" w14:textId="746F7903" w:rsidR="00B56D50" w:rsidRDefault="001C3C42" w:rsidP="00E17D92">
            <w:pPr>
              <w:spacing w:after="0" w:line="259" w:lineRule="auto"/>
              <w:ind w:left="0" w:right="23" w:firstLine="0"/>
              <w:jc w:val="center"/>
            </w:pPr>
            <w:r>
              <w:rPr>
                <w:sz w:val="20"/>
              </w:rPr>
              <w:t>22</w:t>
            </w:r>
          </w:p>
        </w:tc>
        <w:tc>
          <w:tcPr>
            <w:tcW w:w="1711" w:type="dxa"/>
            <w:tcBorders>
              <w:top w:val="single" w:sz="4" w:space="0" w:color="000000" w:themeColor="text1"/>
              <w:left w:val="single" w:sz="12" w:space="0" w:color="000000" w:themeColor="text1"/>
              <w:bottom w:val="single" w:sz="4" w:space="0" w:color="000000" w:themeColor="text1"/>
              <w:right w:val="single" w:sz="12" w:space="0" w:color="000000" w:themeColor="text1"/>
            </w:tcBorders>
            <w:vAlign w:val="center"/>
          </w:tcPr>
          <w:p w14:paraId="55064677" w14:textId="73824F90" w:rsidR="00B56D50" w:rsidRDefault="001C3C42" w:rsidP="00E17D92">
            <w:pPr>
              <w:spacing w:after="0" w:line="259" w:lineRule="auto"/>
              <w:ind w:left="0" w:right="22" w:firstLine="0"/>
              <w:jc w:val="center"/>
            </w:pPr>
            <w:r>
              <w:rPr>
                <w:sz w:val="20"/>
              </w:rPr>
              <w:t>34-132</w:t>
            </w:r>
          </w:p>
        </w:tc>
        <w:tc>
          <w:tcPr>
            <w:tcW w:w="1709" w:type="dxa"/>
            <w:tcBorders>
              <w:top w:val="single" w:sz="4" w:space="0" w:color="000000" w:themeColor="text1"/>
              <w:left w:val="single" w:sz="12" w:space="0" w:color="000000" w:themeColor="text1"/>
              <w:bottom w:val="single" w:sz="4" w:space="0" w:color="000000" w:themeColor="text1"/>
              <w:right w:val="single" w:sz="12" w:space="0" w:color="000000" w:themeColor="text1"/>
            </w:tcBorders>
            <w:vAlign w:val="center"/>
          </w:tcPr>
          <w:p w14:paraId="6CCA3173" w14:textId="693341AB" w:rsidR="00B56D50" w:rsidRDefault="001C3C42" w:rsidP="00E17D92">
            <w:pPr>
              <w:spacing w:after="0" w:line="259" w:lineRule="auto"/>
              <w:ind w:left="0" w:right="22" w:firstLine="0"/>
              <w:jc w:val="center"/>
            </w:pPr>
            <w:r>
              <w:rPr>
                <w:sz w:val="20"/>
              </w:rPr>
              <w:t>43</w:t>
            </w:r>
          </w:p>
        </w:tc>
      </w:tr>
      <w:tr w:rsidR="00B56D50" w14:paraId="61F15EC7" w14:textId="77777777" w:rsidTr="004A1FB6">
        <w:trPr>
          <w:trHeight w:val="360"/>
          <w:jc w:val="center"/>
        </w:trPr>
        <w:tc>
          <w:tcPr>
            <w:tcW w:w="2432" w:type="dxa"/>
            <w:tcBorders>
              <w:top w:val="single" w:sz="4" w:space="0" w:color="000000" w:themeColor="text1"/>
              <w:left w:val="single" w:sz="12" w:space="0" w:color="000000" w:themeColor="text1"/>
              <w:bottom w:val="single" w:sz="4" w:space="0" w:color="000000" w:themeColor="text1"/>
              <w:right w:val="single" w:sz="12" w:space="0" w:color="000000" w:themeColor="text1"/>
            </w:tcBorders>
            <w:vAlign w:val="center"/>
          </w:tcPr>
          <w:p w14:paraId="2D3A2C6B" w14:textId="77777777" w:rsidR="00B56D50" w:rsidRDefault="001C3C42" w:rsidP="00E17D92">
            <w:pPr>
              <w:spacing w:after="0" w:line="259" w:lineRule="auto"/>
              <w:ind w:left="0" w:right="0" w:firstLine="0"/>
            </w:pPr>
            <w:r>
              <w:rPr>
                <w:sz w:val="20"/>
              </w:rPr>
              <w:t xml:space="preserve">Dieldrin </w:t>
            </w:r>
          </w:p>
        </w:tc>
        <w:tc>
          <w:tcPr>
            <w:tcW w:w="1620" w:type="dxa"/>
            <w:tcBorders>
              <w:top w:val="single" w:sz="4" w:space="0" w:color="000000" w:themeColor="text1"/>
              <w:left w:val="single" w:sz="12" w:space="0" w:color="000000" w:themeColor="text1"/>
              <w:bottom w:val="single" w:sz="4" w:space="0" w:color="000000" w:themeColor="text1"/>
              <w:right w:val="single" w:sz="12" w:space="0" w:color="000000" w:themeColor="text1"/>
            </w:tcBorders>
            <w:vAlign w:val="center"/>
          </w:tcPr>
          <w:p w14:paraId="2BC6D3D9" w14:textId="6E6B2EC9" w:rsidR="00B56D50" w:rsidRDefault="001C3C42" w:rsidP="00E17D92">
            <w:pPr>
              <w:spacing w:after="0" w:line="259" w:lineRule="auto"/>
              <w:ind w:left="0" w:right="22" w:firstLine="0"/>
              <w:jc w:val="center"/>
            </w:pPr>
            <w:r>
              <w:rPr>
                <w:sz w:val="20"/>
              </w:rPr>
              <w:t>52-126</w:t>
            </w:r>
          </w:p>
        </w:tc>
        <w:tc>
          <w:tcPr>
            <w:tcW w:w="1709" w:type="dxa"/>
            <w:tcBorders>
              <w:top w:val="single" w:sz="4" w:space="0" w:color="000000" w:themeColor="text1"/>
              <w:left w:val="single" w:sz="12" w:space="0" w:color="000000" w:themeColor="text1"/>
              <w:bottom w:val="single" w:sz="4" w:space="0" w:color="000000" w:themeColor="text1"/>
              <w:right w:val="single" w:sz="12" w:space="0" w:color="000000" w:themeColor="text1"/>
            </w:tcBorders>
            <w:vAlign w:val="center"/>
          </w:tcPr>
          <w:p w14:paraId="05B9F08C" w14:textId="20EEC3EA" w:rsidR="00B56D50" w:rsidRPr="00C03070" w:rsidRDefault="001C3C42" w:rsidP="00E17D92">
            <w:pPr>
              <w:spacing w:after="0" w:line="259" w:lineRule="auto"/>
              <w:ind w:left="0" w:right="23" w:firstLine="0"/>
              <w:jc w:val="center"/>
              <w:rPr>
                <w:bCs/>
              </w:rPr>
            </w:pPr>
            <w:r w:rsidRPr="00C03070">
              <w:rPr>
                <w:bCs/>
                <w:sz w:val="20"/>
              </w:rPr>
              <w:t>18</w:t>
            </w:r>
          </w:p>
        </w:tc>
        <w:tc>
          <w:tcPr>
            <w:tcW w:w="1711" w:type="dxa"/>
            <w:tcBorders>
              <w:top w:val="single" w:sz="4" w:space="0" w:color="000000" w:themeColor="text1"/>
              <w:left w:val="single" w:sz="12" w:space="0" w:color="000000" w:themeColor="text1"/>
              <w:bottom w:val="single" w:sz="4" w:space="0" w:color="000000" w:themeColor="text1"/>
              <w:right w:val="single" w:sz="12" w:space="0" w:color="000000" w:themeColor="text1"/>
            </w:tcBorders>
            <w:vAlign w:val="center"/>
          </w:tcPr>
          <w:p w14:paraId="494DCDA0" w14:textId="02DEBB42" w:rsidR="00B56D50" w:rsidRDefault="001C3C42" w:rsidP="00E17D92">
            <w:pPr>
              <w:spacing w:after="0" w:line="259" w:lineRule="auto"/>
              <w:ind w:left="0" w:right="22" w:firstLine="0"/>
              <w:jc w:val="center"/>
            </w:pPr>
            <w:r>
              <w:rPr>
                <w:sz w:val="20"/>
              </w:rPr>
              <w:t>31-134</w:t>
            </w:r>
          </w:p>
        </w:tc>
        <w:tc>
          <w:tcPr>
            <w:tcW w:w="1709" w:type="dxa"/>
            <w:tcBorders>
              <w:top w:val="single" w:sz="4" w:space="0" w:color="000000" w:themeColor="text1"/>
              <w:left w:val="single" w:sz="12" w:space="0" w:color="000000" w:themeColor="text1"/>
              <w:bottom w:val="single" w:sz="4" w:space="0" w:color="000000" w:themeColor="text1"/>
              <w:right w:val="single" w:sz="12" w:space="0" w:color="000000" w:themeColor="text1"/>
            </w:tcBorders>
            <w:vAlign w:val="center"/>
          </w:tcPr>
          <w:p w14:paraId="48D657C1" w14:textId="35C27EE3" w:rsidR="00B56D50" w:rsidRDefault="001C3C42" w:rsidP="00E17D92">
            <w:pPr>
              <w:spacing w:after="0" w:line="259" w:lineRule="auto"/>
              <w:ind w:left="0" w:right="22" w:firstLine="0"/>
              <w:jc w:val="center"/>
            </w:pPr>
            <w:r>
              <w:rPr>
                <w:sz w:val="20"/>
              </w:rPr>
              <w:t>38</w:t>
            </w:r>
          </w:p>
        </w:tc>
      </w:tr>
      <w:tr w:rsidR="00B56D50" w14:paraId="3895FBAC" w14:textId="77777777" w:rsidTr="004A1FB6">
        <w:trPr>
          <w:trHeight w:val="361"/>
          <w:jc w:val="center"/>
        </w:trPr>
        <w:tc>
          <w:tcPr>
            <w:tcW w:w="2432" w:type="dxa"/>
            <w:tcBorders>
              <w:top w:val="single" w:sz="4" w:space="0" w:color="000000" w:themeColor="text1"/>
              <w:left w:val="single" w:sz="12" w:space="0" w:color="000000" w:themeColor="text1"/>
              <w:bottom w:val="single" w:sz="4" w:space="0" w:color="000000" w:themeColor="text1"/>
              <w:right w:val="single" w:sz="12" w:space="0" w:color="000000" w:themeColor="text1"/>
            </w:tcBorders>
            <w:vAlign w:val="center"/>
          </w:tcPr>
          <w:p w14:paraId="03CDE611" w14:textId="77777777" w:rsidR="00B56D50" w:rsidRDefault="001C3C42" w:rsidP="00E17D92">
            <w:pPr>
              <w:spacing w:after="0" w:line="259" w:lineRule="auto"/>
              <w:ind w:left="0" w:right="0" w:firstLine="0"/>
            </w:pPr>
            <w:r>
              <w:rPr>
                <w:sz w:val="20"/>
              </w:rPr>
              <w:t xml:space="preserve">Endrin </w:t>
            </w:r>
          </w:p>
        </w:tc>
        <w:tc>
          <w:tcPr>
            <w:tcW w:w="1620" w:type="dxa"/>
            <w:tcBorders>
              <w:top w:val="single" w:sz="4" w:space="0" w:color="000000" w:themeColor="text1"/>
              <w:left w:val="single" w:sz="12" w:space="0" w:color="000000" w:themeColor="text1"/>
              <w:bottom w:val="single" w:sz="4" w:space="0" w:color="000000" w:themeColor="text1"/>
              <w:right w:val="single" w:sz="12" w:space="0" w:color="000000" w:themeColor="text1"/>
            </w:tcBorders>
            <w:vAlign w:val="center"/>
          </w:tcPr>
          <w:p w14:paraId="0CFFD1A0" w14:textId="018A8EE1" w:rsidR="00B56D50" w:rsidRDefault="001C3C42" w:rsidP="00E17D92">
            <w:pPr>
              <w:spacing w:after="0" w:line="259" w:lineRule="auto"/>
              <w:ind w:left="0" w:right="22" w:firstLine="0"/>
              <w:jc w:val="center"/>
            </w:pPr>
            <w:r>
              <w:rPr>
                <w:sz w:val="20"/>
              </w:rPr>
              <w:t>56-121</w:t>
            </w:r>
          </w:p>
        </w:tc>
        <w:tc>
          <w:tcPr>
            <w:tcW w:w="1709" w:type="dxa"/>
            <w:tcBorders>
              <w:top w:val="single" w:sz="4" w:space="0" w:color="000000" w:themeColor="text1"/>
              <w:left w:val="single" w:sz="12" w:space="0" w:color="000000" w:themeColor="text1"/>
              <w:bottom w:val="single" w:sz="4" w:space="0" w:color="000000" w:themeColor="text1"/>
              <w:right w:val="single" w:sz="12" w:space="0" w:color="000000" w:themeColor="text1"/>
            </w:tcBorders>
            <w:vAlign w:val="center"/>
          </w:tcPr>
          <w:p w14:paraId="4D19AA7C" w14:textId="3B981200" w:rsidR="00B56D50" w:rsidRDefault="001C3C42" w:rsidP="00E17D92">
            <w:pPr>
              <w:spacing w:after="0" w:line="259" w:lineRule="auto"/>
              <w:ind w:left="0" w:right="23" w:firstLine="0"/>
              <w:jc w:val="center"/>
            </w:pPr>
            <w:r>
              <w:rPr>
                <w:sz w:val="20"/>
              </w:rPr>
              <w:t>21</w:t>
            </w:r>
          </w:p>
        </w:tc>
        <w:tc>
          <w:tcPr>
            <w:tcW w:w="1711" w:type="dxa"/>
            <w:tcBorders>
              <w:top w:val="single" w:sz="4" w:space="0" w:color="000000" w:themeColor="text1"/>
              <w:left w:val="single" w:sz="12" w:space="0" w:color="000000" w:themeColor="text1"/>
              <w:bottom w:val="single" w:sz="4" w:space="0" w:color="000000" w:themeColor="text1"/>
              <w:right w:val="single" w:sz="12" w:space="0" w:color="000000" w:themeColor="text1"/>
            </w:tcBorders>
            <w:vAlign w:val="center"/>
          </w:tcPr>
          <w:p w14:paraId="6CAE3C33" w14:textId="53F74FAF" w:rsidR="00B56D50" w:rsidRDefault="001C3C42" w:rsidP="00E17D92">
            <w:pPr>
              <w:spacing w:after="0" w:line="259" w:lineRule="auto"/>
              <w:ind w:left="0" w:right="22" w:firstLine="0"/>
              <w:jc w:val="center"/>
            </w:pPr>
            <w:r>
              <w:rPr>
                <w:sz w:val="20"/>
              </w:rPr>
              <w:t>42-139</w:t>
            </w:r>
          </w:p>
        </w:tc>
        <w:tc>
          <w:tcPr>
            <w:tcW w:w="1709" w:type="dxa"/>
            <w:tcBorders>
              <w:top w:val="single" w:sz="4" w:space="0" w:color="000000" w:themeColor="text1"/>
              <w:left w:val="single" w:sz="12" w:space="0" w:color="000000" w:themeColor="text1"/>
              <w:bottom w:val="single" w:sz="4" w:space="0" w:color="000000" w:themeColor="text1"/>
              <w:right w:val="single" w:sz="12" w:space="0" w:color="000000" w:themeColor="text1"/>
            </w:tcBorders>
            <w:vAlign w:val="center"/>
          </w:tcPr>
          <w:p w14:paraId="7348529B" w14:textId="51B8CF07" w:rsidR="00B56D50" w:rsidRDefault="001C3C42" w:rsidP="00E17D92">
            <w:pPr>
              <w:spacing w:after="0" w:line="259" w:lineRule="auto"/>
              <w:ind w:left="0" w:right="22" w:firstLine="0"/>
              <w:jc w:val="center"/>
            </w:pPr>
            <w:r>
              <w:rPr>
                <w:sz w:val="20"/>
              </w:rPr>
              <w:t>45</w:t>
            </w:r>
          </w:p>
        </w:tc>
      </w:tr>
      <w:tr w:rsidR="00B56D50" w14:paraId="5F0899B8" w14:textId="77777777" w:rsidTr="004A1FB6">
        <w:trPr>
          <w:trHeight w:val="360"/>
          <w:jc w:val="center"/>
        </w:trPr>
        <w:tc>
          <w:tcPr>
            <w:tcW w:w="2432" w:type="dxa"/>
            <w:tcBorders>
              <w:top w:val="single" w:sz="4" w:space="0" w:color="000000" w:themeColor="text1"/>
              <w:left w:val="single" w:sz="12" w:space="0" w:color="000000" w:themeColor="text1"/>
              <w:bottom w:val="single" w:sz="4" w:space="0" w:color="000000" w:themeColor="text1"/>
              <w:right w:val="single" w:sz="12" w:space="0" w:color="000000" w:themeColor="text1"/>
            </w:tcBorders>
            <w:vAlign w:val="center"/>
          </w:tcPr>
          <w:p w14:paraId="6CE4B698" w14:textId="77777777" w:rsidR="00B56D50" w:rsidRDefault="001C3C42" w:rsidP="00E17D92">
            <w:pPr>
              <w:spacing w:after="0" w:line="259" w:lineRule="auto"/>
              <w:ind w:left="0" w:right="0" w:firstLine="0"/>
            </w:pPr>
            <w:r>
              <w:rPr>
                <w:sz w:val="20"/>
              </w:rPr>
              <w:t xml:space="preserve">4,4'-DDT </w:t>
            </w:r>
          </w:p>
        </w:tc>
        <w:tc>
          <w:tcPr>
            <w:tcW w:w="1620" w:type="dxa"/>
            <w:tcBorders>
              <w:top w:val="single" w:sz="4" w:space="0" w:color="000000" w:themeColor="text1"/>
              <w:left w:val="single" w:sz="12" w:space="0" w:color="000000" w:themeColor="text1"/>
              <w:bottom w:val="single" w:sz="4" w:space="0" w:color="000000" w:themeColor="text1"/>
              <w:right w:val="single" w:sz="12" w:space="0" w:color="000000" w:themeColor="text1"/>
            </w:tcBorders>
            <w:vAlign w:val="center"/>
          </w:tcPr>
          <w:p w14:paraId="1D3DDF81" w14:textId="39EB334F" w:rsidR="00B56D50" w:rsidRDefault="001C3C42" w:rsidP="00E17D92">
            <w:pPr>
              <w:spacing w:after="0" w:line="259" w:lineRule="auto"/>
              <w:ind w:left="0" w:right="22" w:firstLine="0"/>
              <w:jc w:val="center"/>
            </w:pPr>
            <w:r>
              <w:rPr>
                <w:sz w:val="20"/>
              </w:rPr>
              <w:t>38-127</w:t>
            </w:r>
          </w:p>
        </w:tc>
        <w:tc>
          <w:tcPr>
            <w:tcW w:w="1709" w:type="dxa"/>
            <w:tcBorders>
              <w:top w:val="single" w:sz="4" w:space="0" w:color="000000" w:themeColor="text1"/>
              <w:left w:val="single" w:sz="12" w:space="0" w:color="000000" w:themeColor="text1"/>
              <w:bottom w:val="single" w:sz="4" w:space="0" w:color="000000" w:themeColor="text1"/>
              <w:right w:val="single" w:sz="12" w:space="0" w:color="000000" w:themeColor="text1"/>
            </w:tcBorders>
            <w:vAlign w:val="center"/>
          </w:tcPr>
          <w:p w14:paraId="69B41C1F" w14:textId="0F1C2988" w:rsidR="00B56D50" w:rsidRDefault="001C3C42" w:rsidP="00E17D92">
            <w:pPr>
              <w:spacing w:after="0" w:line="259" w:lineRule="auto"/>
              <w:ind w:left="0" w:right="23" w:firstLine="0"/>
              <w:jc w:val="center"/>
            </w:pPr>
            <w:r>
              <w:rPr>
                <w:sz w:val="20"/>
              </w:rPr>
              <w:t>27</w:t>
            </w:r>
          </w:p>
        </w:tc>
        <w:tc>
          <w:tcPr>
            <w:tcW w:w="1711" w:type="dxa"/>
            <w:tcBorders>
              <w:top w:val="single" w:sz="4" w:space="0" w:color="000000" w:themeColor="text1"/>
              <w:left w:val="single" w:sz="12" w:space="0" w:color="000000" w:themeColor="text1"/>
              <w:bottom w:val="single" w:sz="4" w:space="0" w:color="000000" w:themeColor="text1"/>
              <w:right w:val="single" w:sz="12" w:space="0" w:color="000000" w:themeColor="text1"/>
            </w:tcBorders>
            <w:vAlign w:val="center"/>
          </w:tcPr>
          <w:p w14:paraId="3DA7BD4F" w14:textId="4671F2FD" w:rsidR="00B56D50" w:rsidRDefault="001C3C42" w:rsidP="00E17D92">
            <w:pPr>
              <w:spacing w:after="0" w:line="259" w:lineRule="auto"/>
              <w:ind w:left="0" w:right="22" w:firstLine="0"/>
              <w:jc w:val="center"/>
            </w:pPr>
            <w:r>
              <w:rPr>
                <w:sz w:val="20"/>
              </w:rPr>
              <w:t>23-134</w:t>
            </w:r>
          </w:p>
        </w:tc>
        <w:tc>
          <w:tcPr>
            <w:tcW w:w="1709" w:type="dxa"/>
            <w:tcBorders>
              <w:top w:val="single" w:sz="4" w:space="0" w:color="000000" w:themeColor="text1"/>
              <w:left w:val="single" w:sz="12" w:space="0" w:color="000000" w:themeColor="text1"/>
              <w:bottom w:val="single" w:sz="4" w:space="0" w:color="000000" w:themeColor="text1"/>
              <w:right w:val="single" w:sz="12" w:space="0" w:color="000000" w:themeColor="text1"/>
            </w:tcBorders>
            <w:vAlign w:val="center"/>
          </w:tcPr>
          <w:p w14:paraId="671656B0" w14:textId="1C83B0AD" w:rsidR="00B56D50" w:rsidRDefault="001C3C42" w:rsidP="00E17D92">
            <w:pPr>
              <w:spacing w:after="0" w:line="259" w:lineRule="auto"/>
              <w:ind w:left="0" w:right="22" w:firstLine="0"/>
              <w:jc w:val="center"/>
            </w:pPr>
            <w:r>
              <w:rPr>
                <w:sz w:val="20"/>
              </w:rPr>
              <w:t>50</w:t>
            </w:r>
          </w:p>
        </w:tc>
      </w:tr>
      <w:tr w:rsidR="00B56D50" w14:paraId="6F1370A5" w14:textId="77777777" w:rsidTr="004A1FB6">
        <w:trPr>
          <w:trHeight w:val="307"/>
          <w:jc w:val="center"/>
        </w:trPr>
        <w:tc>
          <w:tcPr>
            <w:tcW w:w="2432" w:type="dxa"/>
            <w:tcBorders>
              <w:top w:val="single" w:sz="4" w:space="0" w:color="000000" w:themeColor="text1"/>
              <w:left w:val="single" w:sz="12" w:space="0" w:color="000000" w:themeColor="text1"/>
              <w:bottom w:val="single" w:sz="12" w:space="0" w:color="000000" w:themeColor="text1"/>
              <w:right w:val="single" w:sz="12" w:space="0" w:color="000000" w:themeColor="text1"/>
            </w:tcBorders>
            <w:vAlign w:val="center"/>
          </w:tcPr>
          <w:p w14:paraId="67FE0461" w14:textId="77777777" w:rsidR="00B56D50" w:rsidRDefault="001C3C42" w:rsidP="00E17D92">
            <w:pPr>
              <w:spacing w:after="0" w:line="259" w:lineRule="auto"/>
              <w:ind w:left="0" w:right="0" w:firstLine="0"/>
            </w:pPr>
            <w:proofErr w:type="spellStart"/>
            <w:r>
              <w:rPr>
                <w:sz w:val="20"/>
              </w:rPr>
              <w:t>Aroclor</w:t>
            </w:r>
            <w:proofErr w:type="spellEnd"/>
            <w:r>
              <w:rPr>
                <w:sz w:val="20"/>
              </w:rPr>
              <w:t xml:space="preserve"> 1016/1260 </w:t>
            </w:r>
          </w:p>
        </w:tc>
        <w:tc>
          <w:tcPr>
            <w:tcW w:w="1620" w:type="dxa"/>
            <w:tcBorders>
              <w:top w:val="single" w:sz="4" w:space="0" w:color="000000" w:themeColor="text1"/>
              <w:left w:val="single" w:sz="12" w:space="0" w:color="000000" w:themeColor="text1"/>
              <w:bottom w:val="single" w:sz="12" w:space="0" w:color="000000" w:themeColor="text1"/>
              <w:right w:val="single" w:sz="12" w:space="0" w:color="000000" w:themeColor="text1"/>
            </w:tcBorders>
            <w:vAlign w:val="center"/>
          </w:tcPr>
          <w:p w14:paraId="16FAE398" w14:textId="031D8B62" w:rsidR="00B56D50" w:rsidRDefault="001C3C42" w:rsidP="00E17D92">
            <w:pPr>
              <w:spacing w:after="0" w:line="259" w:lineRule="auto"/>
              <w:ind w:left="0" w:right="22" w:firstLine="0"/>
              <w:jc w:val="center"/>
            </w:pPr>
            <w:r>
              <w:rPr>
                <w:sz w:val="20"/>
              </w:rPr>
              <w:t>56-103</w:t>
            </w:r>
          </w:p>
        </w:tc>
        <w:tc>
          <w:tcPr>
            <w:tcW w:w="1709" w:type="dxa"/>
            <w:tcBorders>
              <w:top w:val="single" w:sz="4" w:space="0" w:color="000000" w:themeColor="text1"/>
              <w:left w:val="single" w:sz="12" w:space="0" w:color="000000" w:themeColor="text1"/>
              <w:bottom w:val="single" w:sz="12" w:space="0" w:color="000000" w:themeColor="text1"/>
              <w:right w:val="single" w:sz="12" w:space="0" w:color="000000" w:themeColor="text1"/>
            </w:tcBorders>
            <w:vAlign w:val="center"/>
          </w:tcPr>
          <w:p w14:paraId="31F9F657" w14:textId="1F78DA5D" w:rsidR="00B56D50" w:rsidRDefault="001C3C42" w:rsidP="00E17D92">
            <w:pPr>
              <w:spacing w:after="0" w:line="259" w:lineRule="auto"/>
              <w:ind w:left="0" w:right="23" w:firstLine="0"/>
              <w:jc w:val="center"/>
            </w:pPr>
            <w:r>
              <w:rPr>
                <w:sz w:val="20"/>
              </w:rPr>
              <w:t>20</w:t>
            </w:r>
          </w:p>
        </w:tc>
        <w:tc>
          <w:tcPr>
            <w:tcW w:w="1711" w:type="dxa"/>
            <w:tcBorders>
              <w:top w:val="single" w:sz="4" w:space="0" w:color="000000" w:themeColor="text1"/>
              <w:left w:val="single" w:sz="12" w:space="0" w:color="000000" w:themeColor="text1"/>
              <w:bottom w:val="single" w:sz="12" w:space="0" w:color="000000" w:themeColor="text1"/>
              <w:right w:val="single" w:sz="12" w:space="0" w:color="000000" w:themeColor="text1"/>
            </w:tcBorders>
            <w:vAlign w:val="center"/>
          </w:tcPr>
          <w:p w14:paraId="5D6C4351" w14:textId="7A5DD842" w:rsidR="00B56D50" w:rsidRDefault="001C3C42" w:rsidP="00E17D92">
            <w:pPr>
              <w:spacing w:after="0" w:line="259" w:lineRule="auto"/>
              <w:ind w:left="0" w:right="22" w:firstLine="0"/>
              <w:jc w:val="center"/>
            </w:pPr>
            <w:r>
              <w:rPr>
                <w:sz w:val="20"/>
              </w:rPr>
              <w:t>40-140</w:t>
            </w:r>
          </w:p>
        </w:tc>
        <w:tc>
          <w:tcPr>
            <w:tcW w:w="1709" w:type="dxa"/>
            <w:tcBorders>
              <w:top w:val="single" w:sz="4" w:space="0" w:color="000000" w:themeColor="text1"/>
              <w:left w:val="single" w:sz="12" w:space="0" w:color="000000" w:themeColor="text1"/>
              <w:bottom w:val="single" w:sz="12" w:space="0" w:color="000000" w:themeColor="text1"/>
              <w:right w:val="single" w:sz="12" w:space="0" w:color="000000" w:themeColor="text1"/>
            </w:tcBorders>
            <w:vAlign w:val="center"/>
          </w:tcPr>
          <w:p w14:paraId="1D5F60DB" w14:textId="77777777" w:rsidR="00B56D50" w:rsidRDefault="001C3C42" w:rsidP="00E17D92">
            <w:pPr>
              <w:spacing w:after="0" w:line="259" w:lineRule="auto"/>
              <w:ind w:left="0" w:right="22" w:firstLine="0"/>
              <w:jc w:val="center"/>
            </w:pPr>
            <w:r>
              <w:rPr>
                <w:sz w:val="20"/>
              </w:rPr>
              <w:t xml:space="preserve">50 </w:t>
            </w:r>
          </w:p>
        </w:tc>
      </w:tr>
      <w:tr w:rsidR="00B56D50" w14:paraId="7CAD656E" w14:textId="77777777" w:rsidTr="00AA35FE">
        <w:trPr>
          <w:trHeight w:val="465"/>
          <w:jc w:val="center"/>
        </w:trPr>
        <w:tc>
          <w:tcPr>
            <w:tcW w:w="2432"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14:paraId="57D567E5" w14:textId="77777777" w:rsidR="00B56D50" w:rsidRDefault="001C3C42" w:rsidP="00E17D92">
            <w:pPr>
              <w:spacing w:after="0" w:line="259" w:lineRule="auto"/>
              <w:ind w:left="0" w:right="0" w:firstLine="0"/>
            </w:pPr>
            <w:r>
              <w:rPr>
                <w:sz w:val="20"/>
              </w:rPr>
              <w:t>A</w:t>
            </w:r>
            <w:r>
              <w:rPr>
                <w:sz w:val="16"/>
              </w:rPr>
              <w:t xml:space="preserve">LL </w:t>
            </w:r>
            <w:r>
              <w:rPr>
                <w:sz w:val="20"/>
              </w:rPr>
              <w:t>O</w:t>
            </w:r>
            <w:r>
              <w:rPr>
                <w:sz w:val="16"/>
              </w:rPr>
              <w:t xml:space="preserve">THER </w:t>
            </w:r>
            <w:r>
              <w:rPr>
                <w:sz w:val="20"/>
              </w:rPr>
              <w:t>A</w:t>
            </w:r>
            <w:r>
              <w:rPr>
                <w:sz w:val="16"/>
              </w:rPr>
              <w:t>NALYTES</w:t>
            </w:r>
            <w:r>
              <w:rPr>
                <w:sz w:val="20"/>
              </w:rPr>
              <w:t xml:space="preserve"> </w:t>
            </w:r>
          </w:p>
        </w:tc>
        <w:tc>
          <w:tcPr>
            <w:tcW w:w="1620"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14:paraId="30FFA312" w14:textId="7D3E4ED7" w:rsidR="00B56D50" w:rsidRDefault="001C3C42" w:rsidP="00E17D92">
            <w:pPr>
              <w:spacing w:after="0" w:line="259" w:lineRule="auto"/>
              <w:ind w:left="0" w:right="22" w:firstLine="0"/>
              <w:jc w:val="center"/>
            </w:pPr>
            <w:r>
              <w:rPr>
                <w:sz w:val="20"/>
              </w:rPr>
              <w:t>40-130</w:t>
            </w:r>
          </w:p>
        </w:tc>
        <w:tc>
          <w:tcPr>
            <w:tcW w:w="1709"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14:paraId="5A1FAC13" w14:textId="5A63797A" w:rsidR="00B56D50" w:rsidRDefault="001C3C42" w:rsidP="00E17D92">
            <w:pPr>
              <w:spacing w:after="0" w:line="259" w:lineRule="auto"/>
              <w:ind w:left="0" w:right="23" w:firstLine="0"/>
              <w:jc w:val="center"/>
            </w:pPr>
            <w:r>
              <w:rPr>
                <w:sz w:val="20"/>
              </w:rPr>
              <w:t>30</w:t>
            </w:r>
          </w:p>
        </w:tc>
        <w:tc>
          <w:tcPr>
            <w:tcW w:w="1711"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14:paraId="0C193A22" w14:textId="35382266" w:rsidR="00B56D50" w:rsidRDefault="001C3C42" w:rsidP="00E17D92">
            <w:pPr>
              <w:spacing w:after="0" w:line="259" w:lineRule="auto"/>
              <w:ind w:left="0" w:right="22" w:firstLine="0"/>
              <w:jc w:val="center"/>
            </w:pPr>
            <w:r>
              <w:rPr>
                <w:sz w:val="20"/>
              </w:rPr>
              <w:t>30-140</w:t>
            </w:r>
          </w:p>
        </w:tc>
        <w:tc>
          <w:tcPr>
            <w:tcW w:w="1709"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14:paraId="3ED7ED0A" w14:textId="458C7E2B" w:rsidR="00B56D50" w:rsidRDefault="001C3C42" w:rsidP="00E17D92">
            <w:pPr>
              <w:spacing w:after="0" w:line="259" w:lineRule="auto"/>
              <w:ind w:left="0" w:right="22" w:firstLine="0"/>
              <w:jc w:val="center"/>
            </w:pPr>
            <w:r>
              <w:rPr>
                <w:sz w:val="20"/>
              </w:rPr>
              <w:t>50</w:t>
            </w:r>
          </w:p>
        </w:tc>
      </w:tr>
    </w:tbl>
    <w:p w14:paraId="23193422" w14:textId="77777777" w:rsidR="00B56D50" w:rsidRDefault="001C3C42">
      <w:pPr>
        <w:spacing w:after="1" w:line="259" w:lineRule="auto"/>
        <w:ind w:left="452" w:right="0" w:firstLine="0"/>
      </w:pPr>
      <w:r>
        <w:rPr>
          <w:b/>
          <w:sz w:val="20"/>
        </w:rPr>
        <w:t xml:space="preserve"> </w:t>
      </w:r>
    </w:p>
    <w:p w14:paraId="18F1C9E8" w14:textId="78202689" w:rsidR="00B56D50" w:rsidRPr="004A1FB6" w:rsidRDefault="001C3C42" w:rsidP="00093377">
      <w:pPr>
        <w:numPr>
          <w:ilvl w:val="0"/>
          <w:numId w:val="92"/>
        </w:numPr>
        <w:spacing w:after="16"/>
        <w:ind w:left="1440" w:right="186" w:hanging="360"/>
        <w:rPr>
          <w:b/>
          <w:bCs/>
        </w:rPr>
      </w:pPr>
      <w:r w:rsidRPr="004A1FB6">
        <w:rPr>
          <w:b/>
          <w:bCs/>
        </w:rPr>
        <w:t xml:space="preserve">Surrogate Standards </w:t>
      </w:r>
    </w:p>
    <w:p w14:paraId="0EDB7CAF" w14:textId="77777777" w:rsidR="00B56D50" w:rsidRDefault="001C3C42" w:rsidP="004A1FB6">
      <w:pPr>
        <w:ind w:left="1450" w:right="255"/>
      </w:pPr>
      <w:r>
        <w:t xml:space="preserve">The Contractor shall monitor the performance of the method using surrogate compounds.  Surrogate standards must be added to all samples, method blanks, matrix spikes, and calibration standards.  The following compounds are recommended as possible surrogates: </w:t>
      </w:r>
    </w:p>
    <w:p w14:paraId="154B1048" w14:textId="77777777" w:rsidR="00B56D50" w:rsidRDefault="001C3C42">
      <w:pPr>
        <w:spacing w:after="0" w:line="259" w:lineRule="auto"/>
        <w:ind w:left="452" w:right="0" w:firstLine="0"/>
      </w:pPr>
      <w:r>
        <w:t xml:space="preserve"> </w:t>
      </w:r>
    </w:p>
    <w:p w14:paraId="7BBC514D" w14:textId="70512F13" w:rsidR="00B56D50" w:rsidRDefault="001C3C42" w:rsidP="00093377">
      <w:pPr>
        <w:numPr>
          <w:ilvl w:val="0"/>
          <w:numId w:val="40"/>
        </w:numPr>
        <w:ind w:left="1800" w:right="255" w:hanging="360"/>
      </w:pPr>
      <w:r>
        <w:rPr>
          <w:u w:val="single" w:color="000000"/>
        </w:rPr>
        <w:t>Pesticides analysis</w:t>
      </w:r>
      <w:r>
        <w:t xml:space="preserve">: Decachlorobiphenyl (DCB) and </w:t>
      </w:r>
      <w:proofErr w:type="spellStart"/>
      <w:r>
        <w:t>tetrachloro</w:t>
      </w:r>
      <w:proofErr w:type="spellEnd"/>
      <w:r>
        <w:t>-m-xylene (TCMX) have been found to be a useful pair of surrogates for both single-column and dual-column instrument configurations.  However, if the chromatographic conditions of a dual-column configuration cannot be adjusted to preclude co-elution of a target analyte with either DCB or TCMX, another compound such as 4</w:t>
      </w:r>
      <w:r w:rsidR="00FF73CE">
        <w:t>-</w:t>
      </w:r>
      <w:r>
        <w:t>Chloro-3-nitrobenzotrifluoride may be used.</w:t>
      </w:r>
      <w:r>
        <w:rPr>
          <w:b/>
        </w:rPr>
        <w:t xml:space="preserve"> </w:t>
      </w:r>
    </w:p>
    <w:p w14:paraId="0287EB31" w14:textId="77777777" w:rsidR="00B56D50" w:rsidRDefault="001C3C42">
      <w:pPr>
        <w:spacing w:after="0" w:line="259" w:lineRule="auto"/>
        <w:ind w:left="903" w:right="0" w:firstLine="0"/>
      </w:pPr>
      <w:r>
        <w:rPr>
          <w:b/>
        </w:rPr>
        <w:t xml:space="preserve"> </w:t>
      </w:r>
    </w:p>
    <w:p w14:paraId="33565FCA" w14:textId="77777777" w:rsidR="00B56D50" w:rsidRDefault="001C3C42" w:rsidP="00093377">
      <w:pPr>
        <w:numPr>
          <w:ilvl w:val="0"/>
          <w:numId w:val="40"/>
        </w:numPr>
        <w:ind w:left="1800" w:right="255" w:hanging="360"/>
      </w:pPr>
      <w:r>
        <w:rPr>
          <w:u w:val="single" w:color="000000"/>
        </w:rPr>
        <w:t xml:space="preserve">PCBs as </w:t>
      </w:r>
      <w:proofErr w:type="spellStart"/>
      <w:r>
        <w:rPr>
          <w:u w:val="single" w:color="000000"/>
        </w:rPr>
        <w:t>Aroclors</w:t>
      </w:r>
      <w:proofErr w:type="spellEnd"/>
      <w:r>
        <w:t xml:space="preserve">: The recommended surrogate is decachlorobiphenyl.  </w:t>
      </w:r>
      <w:proofErr w:type="spellStart"/>
      <w:r>
        <w:t>Tetrachloro</w:t>
      </w:r>
      <w:proofErr w:type="spellEnd"/>
      <w:r>
        <w:t>-m-xylene may be used in addition to DCB.</w:t>
      </w:r>
      <w:r>
        <w:rPr>
          <w:b/>
        </w:rPr>
        <w:t xml:space="preserve"> </w:t>
      </w:r>
    </w:p>
    <w:p w14:paraId="13A58993" w14:textId="77777777" w:rsidR="00B56D50" w:rsidRDefault="001C3C42">
      <w:pPr>
        <w:spacing w:after="0" w:line="259" w:lineRule="auto"/>
        <w:ind w:left="452" w:right="0" w:firstLine="0"/>
      </w:pPr>
      <w:r>
        <w:rPr>
          <w:b/>
        </w:rPr>
        <w:t xml:space="preserve"> </w:t>
      </w:r>
    </w:p>
    <w:p w14:paraId="509B97EE" w14:textId="12B8D7EB" w:rsidR="00B56D50" w:rsidRDefault="001C3C42" w:rsidP="00093377">
      <w:pPr>
        <w:numPr>
          <w:ilvl w:val="0"/>
          <w:numId w:val="40"/>
        </w:numPr>
        <w:ind w:left="1800" w:right="255" w:hanging="360"/>
      </w:pPr>
      <w:r>
        <w:rPr>
          <w:u w:val="single" w:color="000000"/>
        </w:rPr>
        <w:t>PCB congeners</w:t>
      </w:r>
      <w:r>
        <w:t xml:space="preserve">: When PCB congeners are to be determined, decachlorobiphenyl is recommended for use as an internal standard and cannot also be used as a surrogate.  The use of </w:t>
      </w:r>
      <w:proofErr w:type="spellStart"/>
      <w:r>
        <w:t>tetrachloro</w:t>
      </w:r>
      <w:proofErr w:type="spellEnd"/>
      <w:r>
        <w:t>-m</w:t>
      </w:r>
      <w:r w:rsidR="00F846B1">
        <w:t>-</w:t>
      </w:r>
      <w:r>
        <w:t>xylene is recommended.</w:t>
      </w:r>
      <w:r>
        <w:rPr>
          <w:b/>
        </w:rPr>
        <w:t xml:space="preserve"> </w:t>
      </w:r>
    </w:p>
    <w:p w14:paraId="7C2062E5" w14:textId="77777777" w:rsidR="00B56D50" w:rsidRDefault="001C3C42">
      <w:pPr>
        <w:spacing w:after="0" w:line="259" w:lineRule="auto"/>
        <w:ind w:left="452" w:right="0" w:firstLine="0"/>
      </w:pPr>
      <w:r>
        <w:t xml:space="preserve"> </w:t>
      </w:r>
    </w:p>
    <w:p w14:paraId="6EED5014" w14:textId="03911AC4" w:rsidR="00B56D50" w:rsidRDefault="001C3C42" w:rsidP="00A35A22">
      <w:pPr>
        <w:ind w:left="1440" w:firstLine="0"/>
      </w:pPr>
      <w:r>
        <w:t xml:space="preserve">Surrogate recoveries should not exceed the control limits listed in TABLE </w:t>
      </w:r>
      <w:r w:rsidR="00A35A22">
        <w:t>28</w:t>
      </w:r>
      <w:r>
        <w:t xml:space="preserve">.  Proceed with corrective action when % Recovery for either surrogate is outside of the control limits. </w:t>
      </w:r>
    </w:p>
    <w:p w14:paraId="2125F326" w14:textId="049E9218" w:rsidR="00B56D50" w:rsidRDefault="00B56D50" w:rsidP="0068196E">
      <w:pPr>
        <w:spacing w:after="0" w:line="259" w:lineRule="auto"/>
        <w:ind w:right="0"/>
      </w:pPr>
    </w:p>
    <w:p w14:paraId="43302107" w14:textId="77777777" w:rsidR="00214011" w:rsidRDefault="00214011" w:rsidP="0068196E">
      <w:pPr>
        <w:spacing w:after="0" w:line="259" w:lineRule="auto"/>
        <w:ind w:right="0"/>
      </w:pPr>
    </w:p>
    <w:p w14:paraId="5CC83085" w14:textId="77777777" w:rsidR="00214011" w:rsidRDefault="00214011" w:rsidP="0068196E">
      <w:pPr>
        <w:spacing w:after="0" w:line="259" w:lineRule="auto"/>
        <w:ind w:right="0"/>
      </w:pPr>
    </w:p>
    <w:p w14:paraId="2CD4D70A" w14:textId="77777777" w:rsidR="00214011" w:rsidRDefault="00214011" w:rsidP="0068196E">
      <w:pPr>
        <w:spacing w:after="0" w:line="259" w:lineRule="auto"/>
        <w:ind w:right="0"/>
      </w:pPr>
    </w:p>
    <w:p w14:paraId="564ABCA5" w14:textId="77777777" w:rsidR="00214011" w:rsidRDefault="00214011" w:rsidP="0068196E">
      <w:pPr>
        <w:spacing w:after="0" w:line="259" w:lineRule="auto"/>
        <w:ind w:right="0"/>
      </w:pPr>
    </w:p>
    <w:p w14:paraId="29089250" w14:textId="77777777" w:rsidR="00214011" w:rsidRDefault="00214011" w:rsidP="0068196E">
      <w:pPr>
        <w:spacing w:after="0" w:line="259" w:lineRule="auto"/>
        <w:ind w:right="0"/>
      </w:pPr>
    </w:p>
    <w:p w14:paraId="5F7F1EB4" w14:textId="77777777" w:rsidR="00214011" w:rsidRDefault="00214011" w:rsidP="0068196E">
      <w:pPr>
        <w:spacing w:after="0" w:line="259" w:lineRule="auto"/>
        <w:ind w:right="0"/>
      </w:pPr>
    </w:p>
    <w:p w14:paraId="47EDB13A" w14:textId="70BC7E28" w:rsidR="00B56D50" w:rsidRDefault="001C3C42" w:rsidP="008E0580">
      <w:pPr>
        <w:spacing w:after="0"/>
        <w:ind w:left="0" w:right="186" w:firstLine="0"/>
        <w:jc w:val="center"/>
      </w:pPr>
      <w:r>
        <w:rPr>
          <w:b/>
        </w:rPr>
        <w:lastRenderedPageBreak/>
        <w:t xml:space="preserve">TABLE </w:t>
      </w:r>
      <w:r w:rsidR="0008221C">
        <w:rPr>
          <w:b/>
        </w:rPr>
        <w:t>28</w:t>
      </w:r>
    </w:p>
    <w:p w14:paraId="04B4CF4C" w14:textId="77777777" w:rsidR="00B56D50" w:rsidRDefault="001C3C42">
      <w:pPr>
        <w:pStyle w:val="Heading4"/>
        <w:spacing w:after="10" w:line="249" w:lineRule="auto"/>
        <w:ind w:left="2166"/>
      </w:pPr>
      <w:r>
        <w:rPr>
          <w:sz w:val="24"/>
        </w:rPr>
        <w:t xml:space="preserve">Required Control Limits for GC/ECD Surrogate % Recovery </w:t>
      </w:r>
    </w:p>
    <w:p w14:paraId="27814631" w14:textId="77777777" w:rsidR="00B56D50" w:rsidRPr="008E0580" w:rsidRDefault="001C3C42">
      <w:pPr>
        <w:spacing w:after="0" w:line="259" w:lineRule="auto"/>
        <w:ind w:left="452" w:right="0" w:firstLine="0"/>
      </w:pPr>
      <w:r w:rsidRPr="008E0580">
        <w:rPr>
          <w:rFonts w:ascii="Arial" w:eastAsia="Arial" w:hAnsi="Arial" w:cs="Arial"/>
        </w:rPr>
        <w:t xml:space="preserve"> </w:t>
      </w:r>
    </w:p>
    <w:tbl>
      <w:tblPr>
        <w:tblStyle w:val="TableGrid1"/>
        <w:tblW w:w="9722" w:type="dxa"/>
        <w:tblInd w:w="535" w:type="dxa"/>
        <w:tblCellMar>
          <w:top w:w="7" w:type="dxa"/>
          <w:left w:w="120" w:type="dxa"/>
          <w:right w:w="115" w:type="dxa"/>
        </w:tblCellMar>
        <w:tblLook w:val="04A0" w:firstRow="1" w:lastRow="0" w:firstColumn="1" w:lastColumn="0" w:noHBand="0" w:noVBand="1"/>
      </w:tblPr>
      <w:tblGrid>
        <w:gridCol w:w="4057"/>
        <w:gridCol w:w="2422"/>
        <w:gridCol w:w="3243"/>
      </w:tblGrid>
      <w:tr w:rsidR="00B56D50" w14:paraId="6AC4E578" w14:textId="77777777" w:rsidTr="008D6857">
        <w:trPr>
          <w:trHeight w:val="547"/>
        </w:trPr>
        <w:tc>
          <w:tcPr>
            <w:tcW w:w="4057" w:type="dxa"/>
            <w:tcBorders>
              <w:top w:val="single" w:sz="12" w:space="0" w:color="000000"/>
              <w:left w:val="single" w:sz="12" w:space="0" w:color="000000"/>
              <w:bottom w:val="single" w:sz="12" w:space="0" w:color="000000"/>
              <w:right w:val="single" w:sz="12" w:space="0" w:color="000000"/>
            </w:tcBorders>
            <w:vAlign w:val="center"/>
          </w:tcPr>
          <w:p w14:paraId="256E8664" w14:textId="77777777" w:rsidR="00B56D50" w:rsidRDefault="001C3C42">
            <w:pPr>
              <w:spacing w:after="0" w:line="259" w:lineRule="auto"/>
              <w:ind w:left="0" w:right="10" w:firstLine="0"/>
              <w:jc w:val="center"/>
            </w:pPr>
            <w:r>
              <w:rPr>
                <w:b/>
                <w:sz w:val="20"/>
              </w:rPr>
              <w:t xml:space="preserve">Compounds </w:t>
            </w:r>
          </w:p>
        </w:tc>
        <w:tc>
          <w:tcPr>
            <w:tcW w:w="2422" w:type="dxa"/>
            <w:tcBorders>
              <w:top w:val="single" w:sz="12" w:space="0" w:color="000000"/>
              <w:left w:val="single" w:sz="12" w:space="0" w:color="000000"/>
              <w:bottom w:val="single" w:sz="12" w:space="0" w:color="000000"/>
              <w:right w:val="single" w:sz="12" w:space="0" w:color="000000"/>
            </w:tcBorders>
          </w:tcPr>
          <w:p w14:paraId="1C2673D6" w14:textId="77777777" w:rsidR="00B56D50" w:rsidRDefault="001C3C42">
            <w:pPr>
              <w:spacing w:after="0" w:line="259" w:lineRule="auto"/>
              <w:ind w:left="0" w:right="0" w:firstLine="0"/>
              <w:jc w:val="center"/>
            </w:pPr>
            <w:r>
              <w:rPr>
                <w:b/>
                <w:sz w:val="20"/>
              </w:rPr>
              <w:t xml:space="preserve">Aqueous Samples % Recovery </w:t>
            </w:r>
          </w:p>
        </w:tc>
        <w:tc>
          <w:tcPr>
            <w:tcW w:w="3243" w:type="dxa"/>
            <w:tcBorders>
              <w:top w:val="single" w:sz="12" w:space="0" w:color="000000"/>
              <w:left w:val="single" w:sz="12" w:space="0" w:color="000000"/>
              <w:bottom w:val="single" w:sz="12" w:space="0" w:color="000000"/>
              <w:right w:val="single" w:sz="12" w:space="0" w:color="000000"/>
            </w:tcBorders>
          </w:tcPr>
          <w:p w14:paraId="0A36937D" w14:textId="77777777" w:rsidR="00B56D50" w:rsidRDefault="001C3C42">
            <w:pPr>
              <w:spacing w:after="0" w:line="259" w:lineRule="auto"/>
              <w:ind w:left="0" w:right="0" w:firstLine="0"/>
              <w:jc w:val="center"/>
            </w:pPr>
            <w:r>
              <w:rPr>
                <w:b/>
                <w:sz w:val="20"/>
              </w:rPr>
              <w:t xml:space="preserve">Soil, Sludge, Sediment, Oil, &amp; Waste Samples % Recovery </w:t>
            </w:r>
          </w:p>
        </w:tc>
      </w:tr>
      <w:tr w:rsidR="00B56D50" w14:paraId="3231128E" w14:textId="77777777" w:rsidTr="008D6857">
        <w:trPr>
          <w:trHeight w:val="310"/>
        </w:trPr>
        <w:tc>
          <w:tcPr>
            <w:tcW w:w="4057" w:type="dxa"/>
            <w:tcBorders>
              <w:top w:val="single" w:sz="12" w:space="0" w:color="000000"/>
              <w:left w:val="single" w:sz="12" w:space="0" w:color="000000"/>
              <w:bottom w:val="single" w:sz="4" w:space="0" w:color="000000"/>
              <w:right w:val="single" w:sz="12" w:space="0" w:color="000000"/>
            </w:tcBorders>
          </w:tcPr>
          <w:p w14:paraId="1EA41C3D" w14:textId="77777777" w:rsidR="00B56D50" w:rsidRDefault="001C3C42">
            <w:pPr>
              <w:spacing w:after="0" w:line="259" w:lineRule="auto"/>
              <w:ind w:left="0" w:right="0" w:firstLine="0"/>
            </w:pPr>
            <w:r>
              <w:rPr>
                <w:sz w:val="20"/>
              </w:rPr>
              <w:t xml:space="preserve">Decachlorobiphenyl </w:t>
            </w:r>
          </w:p>
        </w:tc>
        <w:tc>
          <w:tcPr>
            <w:tcW w:w="2422" w:type="dxa"/>
            <w:tcBorders>
              <w:top w:val="single" w:sz="12" w:space="0" w:color="000000"/>
              <w:left w:val="single" w:sz="12" w:space="0" w:color="000000"/>
              <w:bottom w:val="single" w:sz="4" w:space="0" w:color="000000"/>
              <w:right w:val="single" w:sz="12" w:space="0" w:color="000000"/>
            </w:tcBorders>
          </w:tcPr>
          <w:p w14:paraId="18DC1C84" w14:textId="77777777" w:rsidR="00B56D50" w:rsidRDefault="001C3C42">
            <w:pPr>
              <w:spacing w:after="0" w:line="259" w:lineRule="auto"/>
              <w:ind w:left="0" w:right="6" w:firstLine="0"/>
              <w:jc w:val="center"/>
            </w:pPr>
            <w:r>
              <w:rPr>
                <w:sz w:val="20"/>
              </w:rPr>
              <w:t xml:space="preserve">30-150 </w:t>
            </w:r>
          </w:p>
        </w:tc>
        <w:tc>
          <w:tcPr>
            <w:tcW w:w="3243" w:type="dxa"/>
            <w:tcBorders>
              <w:top w:val="single" w:sz="12" w:space="0" w:color="000000"/>
              <w:left w:val="single" w:sz="12" w:space="0" w:color="000000"/>
              <w:bottom w:val="single" w:sz="4" w:space="0" w:color="000000"/>
              <w:right w:val="single" w:sz="12" w:space="0" w:color="000000"/>
            </w:tcBorders>
          </w:tcPr>
          <w:p w14:paraId="4F3EAAF3" w14:textId="77777777" w:rsidR="00B56D50" w:rsidRDefault="001C3C42">
            <w:pPr>
              <w:spacing w:after="0" w:line="259" w:lineRule="auto"/>
              <w:ind w:left="0" w:right="6" w:firstLine="0"/>
              <w:jc w:val="center"/>
            </w:pPr>
            <w:r>
              <w:rPr>
                <w:sz w:val="20"/>
              </w:rPr>
              <w:t xml:space="preserve">30-150 </w:t>
            </w:r>
          </w:p>
        </w:tc>
      </w:tr>
      <w:tr w:rsidR="00B56D50" w14:paraId="42DC0672" w14:textId="77777777" w:rsidTr="008D6857">
        <w:trPr>
          <w:trHeight w:val="298"/>
        </w:trPr>
        <w:tc>
          <w:tcPr>
            <w:tcW w:w="4057" w:type="dxa"/>
            <w:tcBorders>
              <w:top w:val="single" w:sz="4" w:space="0" w:color="000000"/>
              <w:left w:val="single" w:sz="12" w:space="0" w:color="000000"/>
              <w:bottom w:val="single" w:sz="4" w:space="0" w:color="000000"/>
              <w:right w:val="single" w:sz="12" w:space="0" w:color="000000"/>
            </w:tcBorders>
          </w:tcPr>
          <w:p w14:paraId="1FA1A91B" w14:textId="77777777" w:rsidR="00B56D50" w:rsidRDefault="001C3C42">
            <w:pPr>
              <w:spacing w:after="0" w:line="259" w:lineRule="auto"/>
              <w:ind w:left="0" w:right="0" w:firstLine="0"/>
            </w:pPr>
            <w:proofErr w:type="spellStart"/>
            <w:r>
              <w:rPr>
                <w:sz w:val="20"/>
              </w:rPr>
              <w:t>Tetrachloro</w:t>
            </w:r>
            <w:proofErr w:type="spellEnd"/>
            <w:r>
              <w:rPr>
                <w:sz w:val="20"/>
              </w:rPr>
              <w:t xml:space="preserve">-m-xylene </w:t>
            </w:r>
          </w:p>
        </w:tc>
        <w:tc>
          <w:tcPr>
            <w:tcW w:w="2422" w:type="dxa"/>
            <w:tcBorders>
              <w:top w:val="single" w:sz="4" w:space="0" w:color="000000"/>
              <w:left w:val="single" w:sz="12" w:space="0" w:color="000000"/>
              <w:bottom w:val="single" w:sz="4" w:space="0" w:color="000000"/>
              <w:right w:val="single" w:sz="12" w:space="0" w:color="000000"/>
            </w:tcBorders>
          </w:tcPr>
          <w:p w14:paraId="17E12A48" w14:textId="77777777" w:rsidR="00B56D50" w:rsidRDefault="001C3C42">
            <w:pPr>
              <w:spacing w:after="0" w:line="259" w:lineRule="auto"/>
              <w:ind w:left="0" w:right="6" w:firstLine="0"/>
              <w:jc w:val="center"/>
            </w:pPr>
            <w:r>
              <w:rPr>
                <w:sz w:val="20"/>
              </w:rPr>
              <w:t xml:space="preserve">30-150 </w:t>
            </w:r>
          </w:p>
        </w:tc>
        <w:tc>
          <w:tcPr>
            <w:tcW w:w="3243" w:type="dxa"/>
            <w:tcBorders>
              <w:top w:val="single" w:sz="4" w:space="0" w:color="000000"/>
              <w:left w:val="single" w:sz="12" w:space="0" w:color="000000"/>
              <w:bottom w:val="single" w:sz="4" w:space="0" w:color="000000"/>
              <w:right w:val="single" w:sz="12" w:space="0" w:color="000000"/>
            </w:tcBorders>
          </w:tcPr>
          <w:p w14:paraId="341FCBD9" w14:textId="77777777" w:rsidR="00B56D50" w:rsidRDefault="001C3C42">
            <w:pPr>
              <w:spacing w:after="0" w:line="259" w:lineRule="auto"/>
              <w:ind w:left="0" w:right="6" w:firstLine="0"/>
              <w:jc w:val="center"/>
            </w:pPr>
            <w:r>
              <w:rPr>
                <w:sz w:val="20"/>
              </w:rPr>
              <w:t xml:space="preserve">30-150  </w:t>
            </w:r>
          </w:p>
        </w:tc>
      </w:tr>
      <w:tr w:rsidR="00B56D50" w14:paraId="6AB3EFBB" w14:textId="77777777" w:rsidTr="008D6857">
        <w:trPr>
          <w:trHeight w:val="305"/>
        </w:trPr>
        <w:tc>
          <w:tcPr>
            <w:tcW w:w="4057" w:type="dxa"/>
            <w:tcBorders>
              <w:top w:val="single" w:sz="4" w:space="0" w:color="000000"/>
              <w:left w:val="single" w:sz="12" w:space="0" w:color="000000"/>
              <w:bottom w:val="single" w:sz="12" w:space="0" w:color="000000"/>
              <w:right w:val="single" w:sz="12" w:space="0" w:color="000000"/>
            </w:tcBorders>
          </w:tcPr>
          <w:p w14:paraId="0DF00940" w14:textId="77777777" w:rsidR="00B56D50" w:rsidRDefault="001C3C42">
            <w:pPr>
              <w:spacing w:after="0" w:line="259" w:lineRule="auto"/>
              <w:ind w:left="0" w:right="0" w:firstLine="0"/>
            </w:pPr>
            <w:r>
              <w:rPr>
                <w:sz w:val="20"/>
              </w:rPr>
              <w:t xml:space="preserve">4-Chloro-3-nitrobenzotrifluoride, other </w:t>
            </w:r>
          </w:p>
        </w:tc>
        <w:tc>
          <w:tcPr>
            <w:tcW w:w="2422" w:type="dxa"/>
            <w:tcBorders>
              <w:top w:val="single" w:sz="4" w:space="0" w:color="000000"/>
              <w:left w:val="single" w:sz="12" w:space="0" w:color="000000"/>
              <w:bottom w:val="single" w:sz="12" w:space="0" w:color="000000"/>
              <w:right w:val="single" w:sz="12" w:space="0" w:color="000000"/>
            </w:tcBorders>
          </w:tcPr>
          <w:p w14:paraId="4C9F9AD1" w14:textId="77777777" w:rsidR="00B56D50" w:rsidRDefault="001C3C42">
            <w:pPr>
              <w:spacing w:after="0" w:line="259" w:lineRule="auto"/>
              <w:ind w:left="0" w:right="6" w:firstLine="0"/>
              <w:jc w:val="center"/>
            </w:pPr>
            <w:r>
              <w:rPr>
                <w:sz w:val="20"/>
              </w:rPr>
              <w:t xml:space="preserve">30-150 </w:t>
            </w:r>
          </w:p>
        </w:tc>
        <w:tc>
          <w:tcPr>
            <w:tcW w:w="3243" w:type="dxa"/>
            <w:tcBorders>
              <w:top w:val="single" w:sz="4" w:space="0" w:color="000000"/>
              <w:left w:val="single" w:sz="12" w:space="0" w:color="000000"/>
              <w:bottom w:val="single" w:sz="12" w:space="0" w:color="000000"/>
              <w:right w:val="single" w:sz="12" w:space="0" w:color="000000"/>
            </w:tcBorders>
          </w:tcPr>
          <w:p w14:paraId="2203111B" w14:textId="77777777" w:rsidR="00B56D50" w:rsidRDefault="001C3C42">
            <w:pPr>
              <w:spacing w:after="0" w:line="259" w:lineRule="auto"/>
              <w:ind w:left="0" w:right="6" w:firstLine="0"/>
              <w:jc w:val="center"/>
            </w:pPr>
            <w:r>
              <w:rPr>
                <w:sz w:val="20"/>
              </w:rPr>
              <w:t xml:space="preserve">30-150 </w:t>
            </w:r>
          </w:p>
        </w:tc>
      </w:tr>
    </w:tbl>
    <w:p w14:paraId="1400B83F" w14:textId="77777777" w:rsidR="00B56D50" w:rsidRDefault="001C3C42">
      <w:pPr>
        <w:spacing w:after="0" w:line="259" w:lineRule="auto"/>
        <w:ind w:left="452" w:right="0" w:firstLine="0"/>
      </w:pPr>
      <w:r>
        <w:rPr>
          <w:rFonts w:ascii="Arial" w:eastAsia="Arial" w:hAnsi="Arial" w:cs="Arial"/>
        </w:rPr>
        <w:t xml:space="preserve"> </w:t>
      </w:r>
    </w:p>
    <w:p w14:paraId="7AA8FE28" w14:textId="09B372A6" w:rsidR="00B56D50" w:rsidRPr="008E0580" w:rsidRDefault="001C3C42" w:rsidP="00093377">
      <w:pPr>
        <w:numPr>
          <w:ilvl w:val="0"/>
          <w:numId w:val="92"/>
        </w:numPr>
        <w:spacing w:after="16"/>
        <w:ind w:left="1440" w:right="186" w:hanging="360"/>
        <w:rPr>
          <w:b/>
          <w:bCs/>
        </w:rPr>
      </w:pPr>
      <w:r w:rsidRPr="008E0580">
        <w:rPr>
          <w:b/>
          <w:bCs/>
        </w:rPr>
        <w:t xml:space="preserve">Internal Standards </w:t>
      </w:r>
    </w:p>
    <w:p w14:paraId="402B4A5A" w14:textId="77777777" w:rsidR="00B56D50" w:rsidRDefault="001C3C42" w:rsidP="008E0580">
      <w:pPr>
        <w:ind w:left="1450" w:right="255"/>
      </w:pPr>
      <w:r>
        <w:t xml:space="preserve">The Contractor shall use an internal standard when individual PCB congeners are to be determined.  The use of an internal standard when pesticides or </w:t>
      </w:r>
      <w:proofErr w:type="spellStart"/>
      <w:r>
        <w:t>Aroclors</w:t>
      </w:r>
      <w:proofErr w:type="spellEnd"/>
      <w:r>
        <w:t xml:space="preserve"> are to be determined is optional but can be beneficial, especially when low concentrations are being analyzed.  Compounds to use as internal standards are recommended in the analytical methods.  Recommended internal standards for certain analyte types are listed below: </w:t>
      </w:r>
    </w:p>
    <w:p w14:paraId="57D0486B" w14:textId="77777777" w:rsidR="00B56D50" w:rsidRDefault="001C3C42">
      <w:pPr>
        <w:spacing w:after="0" w:line="259" w:lineRule="auto"/>
        <w:ind w:left="452" w:right="0" w:firstLine="0"/>
      </w:pPr>
      <w:r>
        <w:t xml:space="preserve"> </w:t>
      </w:r>
    </w:p>
    <w:p w14:paraId="6C771606" w14:textId="77777777" w:rsidR="00B56D50" w:rsidRDefault="001C3C42" w:rsidP="00093377">
      <w:pPr>
        <w:numPr>
          <w:ilvl w:val="0"/>
          <w:numId w:val="41"/>
        </w:numPr>
        <w:ind w:left="1800" w:right="255" w:hanging="360"/>
      </w:pPr>
      <w:r>
        <w:rPr>
          <w:u w:val="single" w:color="000000"/>
        </w:rPr>
        <w:t>PCB congeners</w:t>
      </w:r>
      <w:r>
        <w:t>: The recommended internal standard is decachlorobiphenyl.  It is added to each sample extract and calibration standard prior to analysis.</w:t>
      </w:r>
      <w:r>
        <w:rPr>
          <w:b/>
        </w:rPr>
        <w:t xml:space="preserve"> </w:t>
      </w:r>
    </w:p>
    <w:p w14:paraId="2F94C643" w14:textId="77777777" w:rsidR="00B56D50" w:rsidRDefault="001C3C42">
      <w:pPr>
        <w:spacing w:after="0" w:line="259" w:lineRule="auto"/>
        <w:ind w:left="812" w:right="0" w:firstLine="0"/>
      </w:pPr>
      <w:r>
        <w:rPr>
          <w:b/>
        </w:rPr>
        <w:t xml:space="preserve"> </w:t>
      </w:r>
    </w:p>
    <w:p w14:paraId="7986C956" w14:textId="77777777" w:rsidR="00B56D50" w:rsidRDefault="001C3C42" w:rsidP="00093377">
      <w:pPr>
        <w:numPr>
          <w:ilvl w:val="0"/>
          <w:numId w:val="41"/>
        </w:numPr>
        <w:ind w:left="1800" w:right="255" w:hanging="360"/>
      </w:pPr>
      <w:proofErr w:type="spellStart"/>
      <w:r>
        <w:rPr>
          <w:u w:val="single" w:color="000000"/>
        </w:rPr>
        <w:t>Aroclors</w:t>
      </w:r>
      <w:proofErr w:type="spellEnd"/>
      <w:r>
        <w:t xml:space="preserve">:  An internal standard is not usually used when PCBs are determined as </w:t>
      </w:r>
      <w:proofErr w:type="spellStart"/>
      <w:r>
        <w:t>Aroclors</w:t>
      </w:r>
      <w:proofErr w:type="spellEnd"/>
      <w:r>
        <w:t>.</w:t>
      </w:r>
      <w:r>
        <w:rPr>
          <w:b/>
        </w:rPr>
        <w:t xml:space="preserve"> </w:t>
      </w:r>
    </w:p>
    <w:p w14:paraId="42E6CFA5" w14:textId="77777777" w:rsidR="00B56D50" w:rsidRDefault="001C3C42">
      <w:pPr>
        <w:spacing w:after="0" w:line="259" w:lineRule="auto"/>
        <w:ind w:left="452" w:right="0" w:firstLine="0"/>
      </w:pPr>
      <w:r>
        <w:rPr>
          <w:b/>
        </w:rPr>
        <w:t xml:space="preserve"> </w:t>
      </w:r>
    </w:p>
    <w:p w14:paraId="2BB8B9E5" w14:textId="684EBA19" w:rsidR="00B56D50" w:rsidRDefault="001C3C42" w:rsidP="00093377">
      <w:pPr>
        <w:numPr>
          <w:ilvl w:val="0"/>
          <w:numId w:val="41"/>
        </w:numPr>
        <w:ind w:left="1800" w:right="255" w:hanging="360"/>
      </w:pPr>
      <w:r>
        <w:rPr>
          <w:u w:val="single" w:color="000000"/>
        </w:rPr>
        <w:t>Organochlorine pesticides</w:t>
      </w:r>
      <w:r>
        <w:t>: 1-Bromo-2-nitrobenzene is suggested as an internal standard for dual</w:t>
      </w:r>
      <w:r w:rsidR="00377839">
        <w:t xml:space="preserve"> </w:t>
      </w:r>
      <w:r>
        <w:t xml:space="preserve">column analysis and can also be used for single-column analysis.  Pentachloronitrobenzene is recommended for single-column analysis when it is not a target analyte. </w:t>
      </w:r>
      <w:r>
        <w:rPr>
          <w:b/>
        </w:rPr>
        <w:t xml:space="preserve"> </w:t>
      </w:r>
    </w:p>
    <w:p w14:paraId="68C04E92" w14:textId="77777777" w:rsidR="00B56D50" w:rsidRDefault="001C3C42">
      <w:pPr>
        <w:spacing w:after="0" w:line="259" w:lineRule="auto"/>
        <w:ind w:left="452" w:right="0" w:firstLine="0"/>
      </w:pPr>
      <w:r>
        <w:rPr>
          <w:b/>
        </w:rPr>
        <w:t xml:space="preserve"> </w:t>
      </w:r>
    </w:p>
    <w:p w14:paraId="349322B6" w14:textId="37B79F73" w:rsidR="00B56D50" w:rsidRDefault="001C3C42" w:rsidP="00093377">
      <w:pPr>
        <w:numPr>
          <w:ilvl w:val="0"/>
          <w:numId w:val="41"/>
        </w:numPr>
        <w:ind w:left="1800" w:right="255" w:hanging="360"/>
      </w:pPr>
      <w:r>
        <w:rPr>
          <w:u w:val="single" w:color="000000"/>
        </w:rPr>
        <w:t>Control criteria for internal standards</w:t>
      </w:r>
      <w:r>
        <w:t xml:space="preserve">.  Whenever quantitation is accomplished using an internal standard, internal standard data must be evaluated for acceptance.  The measured area of the internal standard must be no more than 50% different from the average area calculated during calibration.  All samples for which the internal standard peak area falls outside the control limits must be reanalyzed.  </w:t>
      </w:r>
      <w:r>
        <w:rPr>
          <w:b/>
        </w:rPr>
        <w:t xml:space="preserve"> </w:t>
      </w:r>
    </w:p>
    <w:p w14:paraId="0BA77AA2" w14:textId="77777777" w:rsidR="00B56D50" w:rsidRDefault="001C3C42">
      <w:pPr>
        <w:spacing w:after="0" w:line="259" w:lineRule="auto"/>
        <w:ind w:left="452" w:right="0" w:firstLine="0"/>
      </w:pPr>
      <w:r>
        <w:t xml:space="preserve"> </w:t>
      </w:r>
    </w:p>
    <w:p w14:paraId="33185C83" w14:textId="536AAB96" w:rsidR="00B56D50" w:rsidRPr="00D44A2A" w:rsidRDefault="001C3C42" w:rsidP="00093377">
      <w:pPr>
        <w:numPr>
          <w:ilvl w:val="0"/>
          <w:numId w:val="92"/>
        </w:numPr>
        <w:spacing w:after="16"/>
        <w:ind w:left="1440" w:right="186" w:hanging="360"/>
        <w:rPr>
          <w:b/>
          <w:bCs/>
        </w:rPr>
      </w:pPr>
      <w:r w:rsidRPr="00D44A2A">
        <w:rPr>
          <w:b/>
          <w:bCs/>
        </w:rPr>
        <w:t xml:space="preserve">Confirmation of Target Analyte Identification </w:t>
      </w:r>
    </w:p>
    <w:p w14:paraId="48A1E841" w14:textId="77777777" w:rsidR="00B56D50" w:rsidRDefault="001C3C42" w:rsidP="00D44A2A">
      <w:pPr>
        <w:ind w:left="1450" w:right="255"/>
      </w:pPr>
      <w:r>
        <w:t xml:space="preserve">The Contractor shall confirm each positive tentative analysis in one of the following ways listed below. Tentative identification of single-component analyte occurs when a peak from a sample extract falls within the established retention time window for a specific target analyte.  Identification of multicomponent analytes is based on retention time windows established for three to five major peaks (i.e., components of the mixture).  The confirmation results must be reported:  </w:t>
      </w:r>
    </w:p>
    <w:p w14:paraId="0657D737" w14:textId="77777777" w:rsidR="00B56D50" w:rsidRDefault="001C3C42">
      <w:pPr>
        <w:spacing w:after="0" w:line="259" w:lineRule="auto"/>
        <w:ind w:left="452" w:right="0" w:firstLine="0"/>
      </w:pPr>
      <w:r>
        <w:t xml:space="preserve"> </w:t>
      </w:r>
    </w:p>
    <w:p w14:paraId="72E80509" w14:textId="77777777" w:rsidR="00B56D50" w:rsidRDefault="001C3C42" w:rsidP="00093377">
      <w:pPr>
        <w:numPr>
          <w:ilvl w:val="0"/>
          <w:numId w:val="98"/>
        </w:numPr>
        <w:ind w:left="1800" w:right="255" w:hanging="360"/>
      </w:pPr>
      <w:r>
        <w:rPr>
          <w:b/>
        </w:rPr>
        <w:t xml:space="preserve">Confirmation on a second GC column of dissimilar stationary phase:   </w:t>
      </w:r>
    </w:p>
    <w:p w14:paraId="4A1622FB" w14:textId="77777777" w:rsidR="00B56D50" w:rsidRDefault="001C3C42">
      <w:pPr>
        <w:spacing w:after="0" w:line="259" w:lineRule="auto"/>
        <w:ind w:left="452" w:right="0" w:firstLine="0"/>
      </w:pPr>
      <w:r>
        <w:t xml:space="preserve"> </w:t>
      </w:r>
    </w:p>
    <w:p w14:paraId="4E48C2A3" w14:textId="77777777" w:rsidR="00B56D50" w:rsidRDefault="001C3C42" w:rsidP="00093377">
      <w:pPr>
        <w:numPr>
          <w:ilvl w:val="1"/>
          <w:numId w:val="42"/>
        </w:numPr>
        <w:ind w:left="2251" w:right="255" w:hanging="451"/>
      </w:pPr>
      <w:r>
        <w:rPr>
          <w:u w:val="single" w:color="000000"/>
        </w:rPr>
        <w:t>Single-column analysis</w:t>
      </w:r>
      <w:r>
        <w:t xml:space="preserve">: When confirmation is made on a second column, the second analysis must meet all the QC criteria described, just as is required for the primary analysis.  </w:t>
      </w:r>
      <w:proofErr w:type="gramStart"/>
      <w:r>
        <w:t>In order to</w:t>
      </w:r>
      <w:proofErr w:type="gramEnd"/>
      <w:r>
        <w:t xml:space="preserve"> be used for confirmation, retention time windows must have </w:t>
      </w:r>
      <w:r>
        <w:lastRenderedPageBreak/>
        <w:t xml:space="preserve">been established for the second GC column.  In addition, the analyst must demonstrate the sensitivity of the second column analysis.   This demonstration must include the analysis of a standard of the target analyte at a concentration at least as low as the concentration estimated from the primary analysis.  </w:t>
      </w:r>
    </w:p>
    <w:p w14:paraId="6BFCAD93" w14:textId="2D97CC2C" w:rsidR="00B56D50" w:rsidRDefault="001C3C42">
      <w:pPr>
        <w:spacing w:after="0" w:line="259" w:lineRule="auto"/>
        <w:ind w:left="1172" w:right="0" w:firstLine="0"/>
      </w:pPr>
      <w:r>
        <w:t xml:space="preserve">  </w:t>
      </w:r>
    </w:p>
    <w:p w14:paraId="579BD9C9" w14:textId="77777777" w:rsidR="00B56D50" w:rsidRDefault="001C3C42" w:rsidP="00093377">
      <w:pPr>
        <w:numPr>
          <w:ilvl w:val="1"/>
          <w:numId w:val="42"/>
        </w:numPr>
        <w:ind w:left="2251" w:right="255" w:hanging="451"/>
      </w:pPr>
      <w:r>
        <w:rPr>
          <w:u w:val="single" w:color="000000"/>
        </w:rPr>
        <w:t>Dual-column analysis</w:t>
      </w:r>
      <w:r>
        <w:t xml:space="preserve">: When simultaneous analyses are performed from a single injection (using a dual column/dual detector system with columns of different polarities), identification and confirmation is incorporated in a single run.  In this case, it is not practical to designate one column as the analytical (primary) column and the other as the confirmation column.  Since the calibration standards are analyzed </w:t>
      </w:r>
      <w:proofErr w:type="gramStart"/>
      <w:r>
        <w:t>on</w:t>
      </w:r>
      <w:proofErr w:type="gramEnd"/>
      <w:r>
        <w:t xml:space="preserve"> both columns, the results for both columns must meet the calibration acceptance criteria.  If the retention times of the peaks on both columns fall within the retention time windows on the respective columns, target analyte identification has been confirmed. </w:t>
      </w:r>
    </w:p>
    <w:p w14:paraId="10FED7C1" w14:textId="77777777" w:rsidR="00B56D50" w:rsidRDefault="001C3C42">
      <w:pPr>
        <w:spacing w:after="0" w:line="259" w:lineRule="auto"/>
        <w:ind w:left="452" w:right="0" w:firstLine="0"/>
      </w:pPr>
      <w:r>
        <w:t xml:space="preserve"> </w:t>
      </w:r>
    </w:p>
    <w:p w14:paraId="1BA7B186" w14:textId="77777777" w:rsidR="00B56D50" w:rsidRDefault="001C3C42" w:rsidP="00093377">
      <w:pPr>
        <w:numPr>
          <w:ilvl w:val="0"/>
          <w:numId w:val="98"/>
        </w:numPr>
        <w:ind w:left="1800" w:right="255" w:hanging="360"/>
      </w:pPr>
      <w:r>
        <w:rPr>
          <w:b/>
        </w:rPr>
        <w:t xml:space="preserve">Confirmation by GC/MS analysis.  </w:t>
      </w:r>
    </w:p>
    <w:p w14:paraId="0B52342E" w14:textId="77777777" w:rsidR="00B56D50" w:rsidRDefault="001C3C42" w:rsidP="00A9759C">
      <w:pPr>
        <w:ind w:left="1810" w:right="255"/>
      </w:pPr>
      <w:r>
        <w:t>GC/MS confirmation may be used in conjunction with either single- or dual-column analysis if the concentration is sufficient for detection by GC/MS.  Full-scan GC/MS will normally require a concentration of approximately 10 ng/µL in the final extract for each target analyte.  Ion trap or selective ion monitoring (SIM</w:t>
      </w:r>
      <w:proofErr w:type="gramStart"/>
      <w:r>
        <w:t>) will</w:t>
      </w:r>
      <w:proofErr w:type="gramEnd"/>
      <w:r>
        <w:t xml:space="preserve"> normally require a concentration of approximately 1 ng/µL.  The following requirements apply to confirmation by GC/MS:</w:t>
      </w:r>
      <w:r>
        <w:rPr>
          <w:b/>
        </w:rPr>
        <w:t xml:space="preserve"> </w:t>
      </w:r>
    </w:p>
    <w:p w14:paraId="6BA87BA9" w14:textId="77777777" w:rsidR="00B56D50" w:rsidRDefault="001C3C42">
      <w:pPr>
        <w:spacing w:after="0" w:line="259" w:lineRule="auto"/>
        <w:ind w:left="452" w:right="0" w:firstLine="0"/>
      </w:pPr>
      <w:r>
        <w:t xml:space="preserve"> </w:t>
      </w:r>
    </w:p>
    <w:p w14:paraId="399CF004" w14:textId="38BAA511" w:rsidR="00B56D50" w:rsidRDefault="001C3C42" w:rsidP="00093377">
      <w:pPr>
        <w:numPr>
          <w:ilvl w:val="0"/>
          <w:numId w:val="99"/>
        </w:numPr>
        <w:ind w:left="2251" w:right="255" w:hanging="451"/>
      </w:pPr>
      <w:r>
        <w:t xml:space="preserve">The GC/MS must be calibrated for the specific target analytes being </w:t>
      </w:r>
      <w:r w:rsidR="006E1DA8">
        <w:t>confirmed.</w:t>
      </w:r>
      <w:r>
        <w:t xml:space="preserve"> </w:t>
      </w:r>
    </w:p>
    <w:p w14:paraId="54B09967" w14:textId="77777777" w:rsidR="00B56D50" w:rsidRDefault="001C3C42">
      <w:pPr>
        <w:spacing w:after="0" w:line="259" w:lineRule="auto"/>
        <w:ind w:left="1172" w:right="0" w:firstLine="0"/>
      </w:pPr>
      <w:r>
        <w:t xml:space="preserve"> </w:t>
      </w:r>
    </w:p>
    <w:p w14:paraId="15F9D6FE" w14:textId="77777777" w:rsidR="00B56D50" w:rsidRDefault="001C3C42" w:rsidP="00093377">
      <w:pPr>
        <w:numPr>
          <w:ilvl w:val="0"/>
          <w:numId w:val="99"/>
        </w:numPr>
        <w:ind w:left="2251" w:right="255" w:hanging="451"/>
      </w:pPr>
      <w:r>
        <w:t xml:space="preserve">GC/MS may not be used for confirmation when concentrations are below 1 ng/µL in the extract. </w:t>
      </w:r>
    </w:p>
    <w:p w14:paraId="2CB98832" w14:textId="77777777" w:rsidR="00B56D50" w:rsidRDefault="001C3C42">
      <w:pPr>
        <w:spacing w:after="0" w:line="259" w:lineRule="auto"/>
        <w:ind w:left="452" w:right="0" w:firstLine="0"/>
      </w:pPr>
      <w:r>
        <w:rPr>
          <w:b/>
        </w:rPr>
        <w:t xml:space="preserve"> </w:t>
      </w:r>
    </w:p>
    <w:p w14:paraId="64AAA94C" w14:textId="77777777" w:rsidR="00B56D50" w:rsidRDefault="001C3C42" w:rsidP="00093377">
      <w:pPr>
        <w:numPr>
          <w:ilvl w:val="0"/>
          <w:numId w:val="99"/>
        </w:numPr>
        <w:ind w:left="2251" w:right="255" w:hanging="451"/>
      </w:pPr>
      <w:r>
        <w:t xml:space="preserve">GC/MS confirmation must be accomplished by analyzing the same extract that is used for GC/ECD analysis and the extract of the associated blank from the GC/ECD analysis. </w:t>
      </w:r>
    </w:p>
    <w:p w14:paraId="022DBF3A" w14:textId="77777777" w:rsidR="00B56D50" w:rsidRDefault="001C3C42">
      <w:pPr>
        <w:spacing w:after="0" w:line="259" w:lineRule="auto"/>
        <w:ind w:left="452" w:right="0" w:firstLine="0"/>
      </w:pPr>
      <w:r>
        <w:rPr>
          <w:b/>
        </w:rPr>
        <w:t xml:space="preserve"> </w:t>
      </w:r>
    </w:p>
    <w:p w14:paraId="300DB5CA" w14:textId="77777777" w:rsidR="00B56D50" w:rsidRDefault="001C3C42" w:rsidP="00093377">
      <w:pPr>
        <w:numPr>
          <w:ilvl w:val="0"/>
          <w:numId w:val="99"/>
        </w:numPr>
        <w:ind w:left="2251" w:right="255" w:hanging="451"/>
      </w:pPr>
      <w:r>
        <w:t xml:space="preserve">A QC reference sample containing the compound must also be analyzed by GC/MS.  The concentration of the QC reference sample must demonstrate that the target analytes identified by GC/ECD can be confirmed by GC/MS. </w:t>
      </w:r>
    </w:p>
    <w:p w14:paraId="1903D630" w14:textId="77777777" w:rsidR="00B56D50" w:rsidRDefault="001C3C42">
      <w:pPr>
        <w:spacing w:after="0" w:line="259" w:lineRule="auto"/>
        <w:ind w:left="452" w:right="0" w:firstLine="0"/>
      </w:pPr>
      <w:r>
        <w:t xml:space="preserve"> </w:t>
      </w:r>
    </w:p>
    <w:p w14:paraId="433CA4B6" w14:textId="273124B5" w:rsidR="00B56D50" w:rsidRPr="0057237C" w:rsidRDefault="001C3C42" w:rsidP="00093377">
      <w:pPr>
        <w:numPr>
          <w:ilvl w:val="0"/>
          <w:numId w:val="92"/>
        </w:numPr>
        <w:spacing w:after="16"/>
        <w:ind w:left="1440" w:right="186" w:hanging="360"/>
        <w:rPr>
          <w:b/>
          <w:bCs/>
        </w:rPr>
      </w:pPr>
      <w:r w:rsidRPr="0057237C">
        <w:rPr>
          <w:b/>
          <w:bCs/>
        </w:rPr>
        <w:t xml:space="preserve">Laboratory Control Sample </w:t>
      </w:r>
    </w:p>
    <w:p w14:paraId="0887B994" w14:textId="7CD47250" w:rsidR="00B56D50" w:rsidRDefault="001C3C42" w:rsidP="0057237C">
      <w:pPr>
        <w:ind w:left="1450" w:right="318"/>
      </w:pPr>
      <w:r>
        <w:t xml:space="preserve">The </w:t>
      </w:r>
      <w:r w:rsidR="00294836">
        <w:t>Contractor</w:t>
      </w:r>
      <w:r>
        <w:t xml:space="preserve"> shall include a Laboratory Control Sample (LCS) with each analytical batch.  When the results of the matrix spike analysis indicate a potential problem due to the sample matrix itself, the LCS results are used to verify that the Contractor can perform the analysis in an organic free matrix. </w:t>
      </w:r>
    </w:p>
    <w:p w14:paraId="59E725FA" w14:textId="77777777" w:rsidR="00B56D50" w:rsidRDefault="001C3C42">
      <w:pPr>
        <w:spacing w:after="0" w:line="259" w:lineRule="auto"/>
        <w:ind w:left="812" w:right="0" w:firstLine="0"/>
      </w:pPr>
      <w:r>
        <w:t xml:space="preserve"> </w:t>
      </w:r>
    </w:p>
    <w:p w14:paraId="77BFB7C5" w14:textId="77777777" w:rsidR="00214011" w:rsidRDefault="00214011">
      <w:pPr>
        <w:spacing w:after="0" w:line="259" w:lineRule="auto"/>
        <w:ind w:left="812" w:right="0" w:firstLine="0"/>
      </w:pPr>
    </w:p>
    <w:p w14:paraId="6194DBF8" w14:textId="77777777" w:rsidR="00214011" w:rsidRDefault="00214011">
      <w:pPr>
        <w:spacing w:after="0" w:line="259" w:lineRule="auto"/>
        <w:ind w:left="812" w:right="0" w:firstLine="0"/>
      </w:pPr>
    </w:p>
    <w:p w14:paraId="7BC7BEF2" w14:textId="77777777" w:rsidR="00214011" w:rsidRDefault="00214011">
      <w:pPr>
        <w:spacing w:after="0" w:line="259" w:lineRule="auto"/>
        <w:ind w:left="812" w:right="0" w:firstLine="0"/>
      </w:pPr>
    </w:p>
    <w:p w14:paraId="125FC57D" w14:textId="77777777" w:rsidR="00DF0EF0" w:rsidRDefault="00DF0EF0">
      <w:pPr>
        <w:spacing w:after="0" w:line="259" w:lineRule="auto"/>
        <w:ind w:left="812" w:right="0" w:firstLine="0"/>
      </w:pPr>
    </w:p>
    <w:p w14:paraId="13A8BF0A" w14:textId="0A40C423" w:rsidR="00B56D50" w:rsidRDefault="001C3C42">
      <w:pPr>
        <w:pStyle w:val="Heading5"/>
        <w:ind w:left="1024" w:right="923"/>
      </w:pPr>
      <w:r>
        <w:lastRenderedPageBreak/>
        <w:t xml:space="preserve">TABLE </w:t>
      </w:r>
      <w:r w:rsidR="00E13961">
        <w:t>2</w:t>
      </w:r>
      <w:r w:rsidR="00293D74">
        <w:t>9</w:t>
      </w:r>
      <w:r>
        <w:t xml:space="preserve"> </w:t>
      </w:r>
    </w:p>
    <w:p w14:paraId="4BB5A698" w14:textId="77777777" w:rsidR="00B56D50" w:rsidRDefault="001C3C42">
      <w:pPr>
        <w:pStyle w:val="Heading6"/>
        <w:spacing w:after="14" w:line="248" w:lineRule="auto"/>
        <w:ind w:left="1024" w:right="927"/>
        <w:jc w:val="center"/>
      </w:pPr>
      <w:r>
        <w:t xml:space="preserve">Recommended Laboratory Control Sample %R Criteria for Organic Analysis </w:t>
      </w:r>
    </w:p>
    <w:p w14:paraId="12C4E565" w14:textId="77777777" w:rsidR="00B56D50" w:rsidRDefault="001C3C42">
      <w:pPr>
        <w:spacing w:after="0" w:line="259" w:lineRule="auto"/>
        <w:ind w:left="112" w:right="0" w:firstLine="0"/>
        <w:jc w:val="center"/>
      </w:pPr>
      <w:r>
        <w:rPr>
          <w:sz w:val="8"/>
        </w:rPr>
        <w:t xml:space="preserve"> </w:t>
      </w:r>
    </w:p>
    <w:tbl>
      <w:tblPr>
        <w:tblStyle w:val="TableGrid1"/>
        <w:tblW w:w="7380" w:type="dxa"/>
        <w:tblInd w:w="1335" w:type="dxa"/>
        <w:tblCellMar>
          <w:top w:w="22" w:type="dxa"/>
          <w:left w:w="178" w:type="dxa"/>
          <w:right w:w="115" w:type="dxa"/>
        </w:tblCellMar>
        <w:tblLook w:val="04A0" w:firstRow="1" w:lastRow="0" w:firstColumn="1" w:lastColumn="0" w:noHBand="0" w:noVBand="1"/>
      </w:tblPr>
      <w:tblGrid>
        <w:gridCol w:w="2970"/>
        <w:gridCol w:w="1980"/>
        <w:gridCol w:w="2430"/>
      </w:tblGrid>
      <w:tr w:rsidR="00B56D50" w14:paraId="299DFC58" w14:textId="77777777" w:rsidTr="005F024B">
        <w:trPr>
          <w:trHeight w:val="346"/>
        </w:trPr>
        <w:tc>
          <w:tcPr>
            <w:tcW w:w="2970" w:type="dxa"/>
            <w:tcBorders>
              <w:top w:val="single" w:sz="12" w:space="0" w:color="000000"/>
              <w:left w:val="single" w:sz="12" w:space="0" w:color="000000"/>
              <w:bottom w:val="single" w:sz="12" w:space="0" w:color="000000"/>
              <w:right w:val="single" w:sz="12" w:space="0" w:color="000000"/>
            </w:tcBorders>
          </w:tcPr>
          <w:p w14:paraId="26A114CE" w14:textId="77777777" w:rsidR="00B56D50" w:rsidRDefault="001C3C42">
            <w:pPr>
              <w:spacing w:after="0" w:line="259" w:lineRule="auto"/>
              <w:ind w:left="0" w:right="64" w:firstLine="0"/>
              <w:jc w:val="center"/>
            </w:pPr>
            <w:r>
              <w:rPr>
                <w:b/>
                <w:i/>
              </w:rPr>
              <w:t>Matrix:</w:t>
            </w:r>
            <w:r>
              <w:rPr>
                <w:b/>
              </w:rPr>
              <w:t xml:space="preserve"> </w:t>
            </w:r>
          </w:p>
        </w:tc>
        <w:tc>
          <w:tcPr>
            <w:tcW w:w="1980" w:type="dxa"/>
            <w:tcBorders>
              <w:top w:val="single" w:sz="12" w:space="0" w:color="000000"/>
              <w:left w:val="single" w:sz="12" w:space="0" w:color="000000"/>
              <w:bottom w:val="single" w:sz="12" w:space="0" w:color="000000"/>
              <w:right w:val="single" w:sz="12" w:space="0" w:color="000000"/>
            </w:tcBorders>
          </w:tcPr>
          <w:p w14:paraId="0CA7F6C2" w14:textId="77777777" w:rsidR="00B56D50" w:rsidRDefault="001C3C42">
            <w:pPr>
              <w:spacing w:after="0" w:line="259" w:lineRule="auto"/>
              <w:ind w:left="0" w:right="59" w:firstLine="0"/>
              <w:jc w:val="center"/>
            </w:pPr>
            <w:r>
              <w:rPr>
                <w:b/>
              </w:rPr>
              <w:t xml:space="preserve">Water </w:t>
            </w:r>
          </w:p>
        </w:tc>
        <w:tc>
          <w:tcPr>
            <w:tcW w:w="2430" w:type="dxa"/>
            <w:tcBorders>
              <w:top w:val="single" w:sz="12" w:space="0" w:color="000000"/>
              <w:left w:val="single" w:sz="12" w:space="0" w:color="000000"/>
              <w:bottom w:val="single" w:sz="12" w:space="0" w:color="000000"/>
              <w:right w:val="single" w:sz="12" w:space="0" w:color="000000"/>
            </w:tcBorders>
          </w:tcPr>
          <w:p w14:paraId="22B234BD" w14:textId="77777777" w:rsidR="00B56D50" w:rsidRDefault="001C3C42">
            <w:pPr>
              <w:spacing w:after="0" w:line="259" w:lineRule="auto"/>
              <w:ind w:left="0" w:right="0" w:firstLine="0"/>
            </w:pPr>
            <w:r>
              <w:rPr>
                <w:b/>
              </w:rPr>
              <w:t>Soil &amp; Other Matrices</w:t>
            </w:r>
            <w:r>
              <w:t xml:space="preserve"> </w:t>
            </w:r>
          </w:p>
        </w:tc>
      </w:tr>
      <w:tr w:rsidR="00B56D50" w14:paraId="0C00F8F1" w14:textId="77777777" w:rsidTr="005F024B">
        <w:trPr>
          <w:trHeight w:val="593"/>
        </w:trPr>
        <w:tc>
          <w:tcPr>
            <w:tcW w:w="2970" w:type="dxa"/>
            <w:tcBorders>
              <w:top w:val="single" w:sz="12" w:space="0" w:color="000000"/>
              <w:left w:val="single" w:sz="12" w:space="0" w:color="000000"/>
              <w:bottom w:val="single" w:sz="12" w:space="0" w:color="000000"/>
              <w:right w:val="single" w:sz="12" w:space="0" w:color="000000"/>
            </w:tcBorders>
            <w:vAlign w:val="center"/>
          </w:tcPr>
          <w:p w14:paraId="2CE692F6" w14:textId="77777777" w:rsidR="00B56D50" w:rsidRDefault="001C3C42">
            <w:pPr>
              <w:spacing w:after="0" w:line="259" w:lineRule="auto"/>
              <w:ind w:left="0" w:right="62" w:firstLine="0"/>
              <w:jc w:val="center"/>
            </w:pPr>
            <w:r>
              <w:rPr>
                <w:b/>
              </w:rPr>
              <w:t xml:space="preserve">Compound </w:t>
            </w:r>
          </w:p>
        </w:tc>
        <w:tc>
          <w:tcPr>
            <w:tcW w:w="1980" w:type="dxa"/>
            <w:tcBorders>
              <w:top w:val="single" w:sz="12" w:space="0" w:color="000000"/>
              <w:left w:val="single" w:sz="12" w:space="0" w:color="000000"/>
              <w:bottom w:val="single" w:sz="12" w:space="0" w:color="000000"/>
              <w:right w:val="single" w:sz="12" w:space="0" w:color="000000"/>
            </w:tcBorders>
          </w:tcPr>
          <w:p w14:paraId="24A0BCCA" w14:textId="77777777" w:rsidR="00B56D50" w:rsidRDefault="001C3C42">
            <w:pPr>
              <w:spacing w:after="0" w:line="259" w:lineRule="auto"/>
              <w:ind w:left="57" w:right="64" w:firstLine="0"/>
              <w:jc w:val="center"/>
            </w:pPr>
            <w:r>
              <w:rPr>
                <w:b/>
              </w:rPr>
              <w:t xml:space="preserve">LCS %Recovery </w:t>
            </w:r>
          </w:p>
        </w:tc>
        <w:tc>
          <w:tcPr>
            <w:tcW w:w="2430" w:type="dxa"/>
            <w:tcBorders>
              <w:top w:val="single" w:sz="12" w:space="0" w:color="000000"/>
              <w:left w:val="single" w:sz="12" w:space="0" w:color="000000"/>
              <w:bottom w:val="single" w:sz="12" w:space="0" w:color="000000"/>
              <w:right w:val="single" w:sz="12" w:space="0" w:color="000000"/>
            </w:tcBorders>
          </w:tcPr>
          <w:p w14:paraId="4577478E" w14:textId="77777777" w:rsidR="00B56D50" w:rsidRDefault="001C3C42">
            <w:pPr>
              <w:spacing w:after="0" w:line="259" w:lineRule="auto"/>
              <w:ind w:left="285" w:right="292" w:firstLine="0"/>
              <w:jc w:val="center"/>
            </w:pPr>
            <w:r>
              <w:rPr>
                <w:b/>
              </w:rPr>
              <w:t xml:space="preserve">LCS %Recovery </w:t>
            </w:r>
          </w:p>
        </w:tc>
      </w:tr>
      <w:tr w:rsidR="00B56D50" w14:paraId="1B41AD50" w14:textId="77777777" w:rsidTr="005F024B">
        <w:trPr>
          <w:trHeight w:val="576"/>
        </w:trPr>
        <w:tc>
          <w:tcPr>
            <w:tcW w:w="2970" w:type="dxa"/>
            <w:tcBorders>
              <w:top w:val="single" w:sz="12" w:space="0" w:color="000000"/>
              <w:left w:val="single" w:sz="12" w:space="0" w:color="000000"/>
              <w:bottom w:val="single" w:sz="12" w:space="0" w:color="000000"/>
              <w:right w:val="single" w:sz="12" w:space="0" w:color="000000"/>
            </w:tcBorders>
            <w:vAlign w:val="center"/>
          </w:tcPr>
          <w:p w14:paraId="1C5AEDAD" w14:textId="77777777" w:rsidR="00B56D50" w:rsidRDefault="001C3C42">
            <w:pPr>
              <w:spacing w:after="0" w:line="259" w:lineRule="auto"/>
              <w:ind w:left="0" w:right="64" w:firstLine="0"/>
              <w:jc w:val="center"/>
            </w:pPr>
            <w:r>
              <w:t>A</w:t>
            </w:r>
            <w:r>
              <w:rPr>
                <w:sz w:val="18"/>
              </w:rPr>
              <w:t xml:space="preserve">LL </w:t>
            </w:r>
            <w:r>
              <w:t>T</w:t>
            </w:r>
            <w:r>
              <w:rPr>
                <w:sz w:val="18"/>
              </w:rPr>
              <w:t xml:space="preserve">ARGET </w:t>
            </w:r>
            <w:r>
              <w:t>A</w:t>
            </w:r>
            <w:r>
              <w:rPr>
                <w:sz w:val="18"/>
              </w:rPr>
              <w:t>NALYTES</w:t>
            </w:r>
            <w:r>
              <w:t xml:space="preserve"> </w:t>
            </w:r>
          </w:p>
        </w:tc>
        <w:tc>
          <w:tcPr>
            <w:tcW w:w="1980" w:type="dxa"/>
            <w:tcBorders>
              <w:top w:val="single" w:sz="12" w:space="0" w:color="000000"/>
              <w:left w:val="single" w:sz="12" w:space="0" w:color="000000"/>
              <w:bottom w:val="single" w:sz="12" w:space="0" w:color="000000"/>
              <w:right w:val="single" w:sz="12" w:space="0" w:color="000000"/>
            </w:tcBorders>
            <w:vAlign w:val="center"/>
          </w:tcPr>
          <w:p w14:paraId="675CBB32" w14:textId="77777777" w:rsidR="00B56D50" w:rsidRDefault="001C3C42">
            <w:pPr>
              <w:spacing w:after="0" w:line="259" w:lineRule="auto"/>
              <w:ind w:left="0" w:right="65" w:firstLine="0"/>
              <w:jc w:val="center"/>
            </w:pPr>
            <w:r>
              <w:t xml:space="preserve">70-130 </w:t>
            </w:r>
          </w:p>
        </w:tc>
        <w:tc>
          <w:tcPr>
            <w:tcW w:w="2430" w:type="dxa"/>
            <w:tcBorders>
              <w:top w:val="single" w:sz="12" w:space="0" w:color="000000"/>
              <w:left w:val="single" w:sz="12" w:space="0" w:color="000000"/>
              <w:bottom w:val="single" w:sz="12" w:space="0" w:color="000000"/>
              <w:right w:val="single" w:sz="12" w:space="0" w:color="000000"/>
            </w:tcBorders>
            <w:vAlign w:val="center"/>
          </w:tcPr>
          <w:p w14:paraId="6B865397" w14:textId="77777777" w:rsidR="00B56D50" w:rsidRDefault="001C3C42">
            <w:pPr>
              <w:spacing w:after="0" w:line="259" w:lineRule="auto"/>
              <w:ind w:left="0" w:right="65" w:firstLine="0"/>
              <w:jc w:val="center"/>
            </w:pPr>
            <w:r>
              <w:t xml:space="preserve">60-140 </w:t>
            </w:r>
          </w:p>
        </w:tc>
      </w:tr>
    </w:tbl>
    <w:p w14:paraId="41A28771" w14:textId="77777777" w:rsidR="00B56D50" w:rsidRDefault="001C3C42">
      <w:pPr>
        <w:spacing w:after="0" w:line="259" w:lineRule="auto"/>
        <w:ind w:left="452" w:right="0" w:firstLine="0"/>
      </w:pPr>
      <w:r>
        <w:t xml:space="preserve"> </w:t>
      </w:r>
    </w:p>
    <w:p w14:paraId="1332C86E" w14:textId="71B13313" w:rsidR="00B56D50" w:rsidRDefault="001C3C42" w:rsidP="0057237C">
      <w:pPr>
        <w:ind w:left="1450" w:right="255"/>
      </w:pPr>
      <w:r>
        <w:t xml:space="preserve">The range for LCS recoveries provided in TABLE </w:t>
      </w:r>
      <w:r w:rsidR="00293D74">
        <w:t>29</w:t>
      </w:r>
      <w:r>
        <w:t xml:space="preserve"> may not be achievable for the pesticide and PCB target analytes, in which case the acceptance tables provided at the end of the method or the Contractor’s historical recoveries may provide more realistic ranges.  LCS percent recoveries must be reported.  Target analytes with LCS % recoveries outside the ranges provided in TABLE 35 are to be supported by the Contractor’s historical data which </w:t>
      </w:r>
      <w:proofErr w:type="gramStart"/>
      <w:r>
        <w:t>are</w:t>
      </w:r>
      <w:proofErr w:type="gramEnd"/>
      <w:r>
        <w:t xml:space="preserve"> to be provided in the report. </w:t>
      </w:r>
    </w:p>
    <w:p w14:paraId="1E3FD74A" w14:textId="77777777" w:rsidR="00B56D50" w:rsidRDefault="001C3C42">
      <w:pPr>
        <w:spacing w:after="0" w:line="259" w:lineRule="auto"/>
        <w:ind w:left="452" w:right="0" w:firstLine="0"/>
      </w:pPr>
      <w:r>
        <w:rPr>
          <w:rFonts w:ascii="Arial" w:eastAsia="Arial" w:hAnsi="Arial" w:cs="Arial"/>
        </w:rPr>
        <w:t xml:space="preserve"> </w:t>
      </w:r>
    </w:p>
    <w:p w14:paraId="1232F59F" w14:textId="2CFC2740" w:rsidR="00B56D50" w:rsidRPr="004D3E0D" w:rsidRDefault="001C3C42" w:rsidP="00093377">
      <w:pPr>
        <w:numPr>
          <w:ilvl w:val="0"/>
          <w:numId w:val="92"/>
        </w:numPr>
        <w:spacing w:after="16"/>
        <w:ind w:left="1440" w:right="186" w:hanging="360"/>
      </w:pPr>
      <w:r w:rsidRPr="009C705B">
        <w:rPr>
          <w:b/>
          <w:bCs/>
        </w:rPr>
        <w:t xml:space="preserve">Corrective Action for Organic Analysis by GC/ECD </w:t>
      </w:r>
    </w:p>
    <w:p w14:paraId="01A80F35" w14:textId="55D9E20D" w:rsidR="00027894" w:rsidRDefault="00027894" w:rsidP="009C705B">
      <w:pPr>
        <w:ind w:left="1450" w:right="255"/>
      </w:pPr>
      <w:r>
        <w:t>The Contractor shall find and correct the problem whenever an analytical procedure is “out-of-control” (fails to meet control criteria); also, the analysis must be repeated (which may require re-extraction) for all affected samples.</w:t>
      </w:r>
      <w:r w:rsidRPr="002D1436">
        <w:t xml:space="preserve"> </w:t>
      </w:r>
      <w:r>
        <w:t xml:space="preserve"> Refer to the applicable </w:t>
      </w:r>
      <w:r w:rsidR="00E12105">
        <w:t>USEPA</w:t>
      </w:r>
      <w:r>
        <w:t xml:space="preserve"> Methods and the information noted above.</w:t>
      </w:r>
    </w:p>
    <w:p w14:paraId="275C03BA" w14:textId="77777777" w:rsidR="00027894" w:rsidRDefault="00027894" w:rsidP="00027894">
      <w:pPr>
        <w:ind w:left="913" w:right="255"/>
      </w:pPr>
      <w:r>
        <w:t xml:space="preserve">  </w:t>
      </w:r>
    </w:p>
    <w:p w14:paraId="1007B524" w14:textId="77777777" w:rsidR="00027894" w:rsidRDefault="00027894" w:rsidP="009C705B">
      <w:pPr>
        <w:ind w:left="1450" w:right="255"/>
      </w:pPr>
      <w:r>
        <w:rPr>
          <w:u w:val="single" w:color="000000"/>
        </w:rPr>
        <w:t xml:space="preserve">Reanalysis </w:t>
      </w:r>
      <w:r w:rsidRPr="000423B1">
        <w:rPr>
          <w:u w:val="single" w:color="000000"/>
        </w:rPr>
        <w:t>of out-of-control samples may require that the reanalysis be performed past holding time requirements</w:t>
      </w:r>
      <w:r w:rsidRPr="00D60E73">
        <w:rPr>
          <w:u w:val="single"/>
        </w:rPr>
        <w:t>.</w:t>
      </w:r>
      <w:r w:rsidRPr="00D60E73">
        <w:t xml:space="preserve">  It is preferred that samples</w:t>
      </w:r>
      <w:r w:rsidRPr="000423B1">
        <w:t xml:space="preserve"> be analyzed or reanalyzed within holding times.  But, if that is not possible for reanalysis to be performed within holding time requirements, reanalysis may still need to be performed to meet analytical requirements.  If reanalysis is performed past the holding time, both analysis results must be reported.  The acceptance of results analyzed beyond holding time requirements must be predicated on project DQOs and threshold requirements, along with the analyst’s best judgement.  Resampling may be necessary in some cases</w:t>
      </w:r>
      <w:r>
        <w:t>.</w:t>
      </w:r>
    </w:p>
    <w:p w14:paraId="71C66042" w14:textId="77777777" w:rsidR="00027894" w:rsidRDefault="00027894" w:rsidP="00027894">
      <w:pPr>
        <w:spacing w:after="0" w:line="259" w:lineRule="auto"/>
        <w:ind w:left="903" w:right="0" w:firstLine="0"/>
      </w:pPr>
    </w:p>
    <w:p w14:paraId="6267CA0F" w14:textId="77777777" w:rsidR="00027894" w:rsidRDefault="00027894" w:rsidP="009C705B">
      <w:pPr>
        <w:spacing w:after="67"/>
        <w:ind w:left="1450" w:right="255"/>
      </w:pPr>
      <w:r>
        <w:t>When the out-of-control conditions occur, re-extraction (if applicable) and re-analysis of all affected samples must be performed.  It must be noted that for MS/MSD, matrix duplicate, and method blank failure, the affected samples would include all field samples prepared or purged with the out-of-control QC sample(s).  Report the results from both analyses, distinguishing between the initial analysis and reanalysis on all data deliverables.</w:t>
      </w:r>
    </w:p>
    <w:p w14:paraId="1CDA223A" w14:textId="77061F5B" w:rsidR="00B56D50" w:rsidRDefault="00B56D50">
      <w:pPr>
        <w:spacing w:after="0" w:line="259" w:lineRule="auto"/>
        <w:ind w:left="452" w:right="0" w:firstLine="0"/>
      </w:pPr>
    </w:p>
    <w:p w14:paraId="300E70A9" w14:textId="77777777" w:rsidR="00360CD3" w:rsidRDefault="001C3C42" w:rsidP="00B811AC">
      <w:pPr>
        <w:ind w:left="1450" w:right="255"/>
      </w:pPr>
      <w:r>
        <w:t xml:space="preserve">If QC results from the re-extraction and reanalysis are also outside the acceptance limits, but the analysis of a laboratory control sample demonstrates that the method is in control, then the problem is related to sample matrix and analytical requirements will be considered met.  (See SW-846, Method 8000.)  If re-extraction and reanalysis of the sample </w:t>
      </w:r>
      <w:proofErr w:type="gramStart"/>
      <w:r>
        <w:t>does</w:t>
      </w:r>
      <w:proofErr w:type="gramEnd"/>
      <w:r>
        <w:t xml:space="preserve"> not solve the problem, and the laboratory control sample results are also outside of acceptance limits, instrument maintenance may be required.  Major maintenance (such as changing a column) requires returning to the initial calibration step.</w:t>
      </w:r>
    </w:p>
    <w:p w14:paraId="172F3265" w14:textId="77777777" w:rsidR="00360CD3" w:rsidRDefault="00360CD3" w:rsidP="00B811AC">
      <w:pPr>
        <w:ind w:left="1450" w:right="255"/>
      </w:pPr>
    </w:p>
    <w:p w14:paraId="5B6E6461" w14:textId="3355642F" w:rsidR="00B56D50" w:rsidRDefault="00360CD3" w:rsidP="00B811AC">
      <w:pPr>
        <w:ind w:left="1450" w:right="255"/>
        <w:rPr>
          <w:rFonts w:ascii="Arial" w:eastAsia="Arial" w:hAnsi="Arial" w:cs="Arial"/>
        </w:rPr>
      </w:pPr>
      <w:r w:rsidRPr="00360CD3">
        <w:lastRenderedPageBreak/>
        <w:t xml:space="preserve">Whenever a quality control sample indicates a biased high result (e.g., high matrix spike recovery) and the sample results are all below detection limit for all target compounds, then reanalysis is not required.  However, the Contractor must make every effort to correct the problem for future analysis.  The RPD requirement must be met on the matrix spike duplicate even if matrix spike is biased high. </w:t>
      </w:r>
      <w:r w:rsidR="001C3C42">
        <w:t xml:space="preserve"> </w:t>
      </w:r>
      <w:r w:rsidR="001C3C42">
        <w:rPr>
          <w:rFonts w:ascii="Arial" w:eastAsia="Arial" w:hAnsi="Arial" w:cs="Arial"/>
        </w:rPr>
        <w:t xml:space="preserve"> </w:t>
      </w:r>
    </w:p>
    <w:p w14:paraId="360ACB27" w14:textId="4F330AFA" w:rsidR="00764F0C" w:rsidRDefault="00764F0C" w:rsidP="00B811AC">
      <w:pPr>
        <w:spacing w:after="0" w:line="259" w:lineRule="auto"/>
        <w:ind w:left="466" w:right="0" w:firstLine="0"/>
        <w:rPr>
          <w:rFonts w:ascii="Arial" w:eastAsia="Arial" w:hAnsi="Arial" w:cs="Arial"/>
          <w:sz w:val="24"/>
        </w:rPr>
      </w:pPr>
    </w:p>
    <w:p w14:paraId="721E6449" w14:textId="77777777" w:rsidR="00360CD3" w:rsidRDefault="00360CD3">
      <w:pPr>
        <w:spacing w:after="27" w:line="259" w:lineRule="auto"/>
        <w:ind w:left="452" w:right="0" w:firstLine="0"/>
        <w:rPr>
          <w:rFonts w:ascii="Arial" w:eastAsia="Arial" w:hAnsi="Arial" w:cs="Arial"/>
          <w:sz w:val="24"/>
        </w:rPr>
      </w:pPr>
    </w:p>
    <w:p w14:paraId="267E9B21" w14:textId="77777777" w:rsidR="00360CD3" w:rsidRDefault="00360CD3">
      <w:pPr>
        <w:spacing w:after="27" w:line="259" w:lineRule="auto"/>
        <w:ind w:left="452" w:right="0" w:firstLine="0"/>
        <w:rPr>
          <w:rFonts w:ascii="Arial" w:eastAsia="Arial" w:hAnsi="Arial" w:cs="Arial"/>
          <w:sz w:val="24"/>
        </w:rPr>
      </w:pPr>
    </w:p>
    <w:p w14:paraId="6AE13117" w14:textId="77777777" w:rsidR="00360CD3" w:rsidRDefault="00360CD3">
      <w:pPr>
        <w:spacing w:after="27" w:line="259" w:lineRule="auto"/>
        <w:ind w:left="452" w:right="0" w:firstLine="0"/>
        <w:rPr>
          <w:rFonts w:ascii="Arial" w:eastAsia="Arial" w:hAnsi="Arial" w:cs="Arial"/>
          <w:sz w:val="24"/>
        </w:rPr>
      </w:pPr>
    </w:p>
    <w:p w14:paraId="1AB70351" w14:textId="77777777" w:rsidR="002652CF" w:rsidRPr="00C31E1B" w:rsidRDefault="002652CF" w:rsidP="002652CF">
      <w:pPr>
        <w:pStyle w:val="Heading5"/>
        <w:spacing w:after="16" w:line="247" w:lineRule="auto"/>
        <w:ind w:left="1090" w:right="186"/>
      </w:pPr>
      <w:r>
        <w:t>THE REMAINDER OF THIS PAGE HAS BEEN LEFT BLANK INTENTIONALLY</w:t>
      </w:r>
    </w:p>
    <w:p w14:paraId="1BD90490" w14:textId="77777777" w:rsidR="00360CD3" w:rsidRDefault="00360CD3">
      <w:pPr>
        <w:spacing w:after="27" w:line="259" w:lineRule="auto"/>
        <w:ind w:left="452" w:right="0" w:firstLine="0"/>
        <w:rPr>
          <w:rFonts w:ascii="Arial" w:eastAsia="Arial" w:hAnsi="Arial" w:cs="Arial"/>
          <w:sz w:val="24"/>
        </w:rPr>
      </w:pPr>
    </w:p>
    <w:p w14:paraId="21F37E5B" w14:textId="77777777" w:rsidR="00360CD3" w:rsidRDefault="00360CD3">
      <w:pPr>
        <w:spacing w:after="27" w:line="259" w:lineRule="auto"/>
        <w:ind w:left="452" w:right="0" w:firstLine="0"/>
        <w:rPr>
          <w:rFonts w:ascii="Arial" w:eastAsia="Arial" w:hAnsi="Arial" w:cs="Arial"/>
          <w:sz w:val="24"/>
        </w:rPr>
      </w:pPr>
    </w:p>
    <w:p w14:paraId="4ABBC4AA" w14:textId="77777777" w:rsidR="00360CD3" w:rsidRDefault="00360CD3">
      <w:pPr>
        <w:spacing w:after="27" w:line="259" w:lineRule="auto"/>
        <w:ind w:left="452" w:right="0" w:firstLine="0"/>
        <w:rPr>
          <w:rFonts w:ascii="Arial" w:eastAsia="Arial" w:hAnsi="Arial" w:cs="Arial"/>
          <w:sz w:val="24"/>
        </w:rPr>
      </w:pPr>
    </w:p>
    <w:p w14:paraId="337CB37E" w14:textId="77777777" w:rsidR="00360CD3" w:rsidRDefault="00360CD3">
      <w:pPr>
        <w:spacing w:after="27" w:line="259" w:lineRule="auto"/>
        <w:ind w:left="452" w:right="0" w:firstLine="0"/>
        <w:rPr>
          <w:rFonts w:ascii="Arial" w:eastAsia="Arial" w:hAnsi="Arial" w:cs="Arial"/>
          <w:sz w:val="24"/>
        </w:rPr>
      </w:pPr>
    </w:p>
    <w:p w14:paraId="35F58D47" w14:textId="77777777" w:rsidR="00360CD3" w:rsidRDefault="00360CD3">
      <w:pPr>
        <w:spacing w:after="27" w:line="259" w:lineRule="auto"/>
        <w:ind w:left="452" w:right="0" w:firstLine="0"/>
        <w:rPr>
          <w:rFonts w:ascii="Arial" w:eastAsia="Arial" w:hAnsi="Arial" w:cs="Arial"/>
          <w:sz w:val="24"/>
        </w:rPr>
      </w:pPr>
    </w:p>
    <w:p w14:paraId="461DD92F" w14:textId="77777777" w:rsidR="00360CD3" w:rsidRDefault="00360CD3">
      <w:pPr>
        <w:spacing w:after="27" w:line="259" w:lineRule="auto"/>
        <w:ind w:left="452" w:right="0" w:firstLine="0"/>
        <w:rPr>
          <w:rFonts w:ascii="Arial" w:eastAsia="Arial" w:hAnsi="Arial" w:cs="Arial"/>
          <w:sz w:val="24"/>
        </w:rPr>
      </w:pPr>
    </w:p>
    <w:p w14:paraId="619E666C" w14:textId="77777777" w:rsidR="00360CD3" w:rsidRDefault="00360CD3">
      <w:pPr>
        <w:spacing w:after="27" w:line="259" w:lineRule="auto"/>
        <w:ind w:left="452" w:right="0" w:firstLine="0"/>
        <w:rPr>
          <w:rFonts w:ascii="Arial" w:eastAsia="Arial" w:hAnsi="Arial" w:cs="Arial"/>
          <w:sz w:val="24"/>
        </w:rPr>
      </w:pPr>
    </w:p>
    <w:p w14:paraId="75F70D0E" w14:textId="77777777" w:rsidR="00360CD3" w:rsidRDefault="00360CD3">
      <w:pPr>
        <w:spacing w:after="27" w:line="259" w:lineRule="auto"/>
        <w:ind w:left="452" w:right="0" w:firstLine="0"/>
        <w:rPr>
          <w:rFonts w:ascii="Arial" w:eastAsia="Arial" w:hAnsi="Arial" w:cs="Arial"/>
          <w:sz w:val="24"/>
        </w:rPr>
      </w:pPr>
    </w:p>
    <w:p w14:paraId="63101BBC" w14:textId="77777777" w:rsidR="00360CD3" w:rsidRDefault="00360CD3">
      <w:pPr>
        <w:spacing w:after="27" w:line="259" w:lineRule="auto"/>
        <w:ind w:left="452" w:right="0" w:firstLine="0"/>
        <w:rPr>
          <w:rFonts w:ascii="Arial" w:eastAsia="Arial" w:hAnsi="Arial" w:cs="Arial"/>
          <w:sz w:val="24"/>
        </w:rPr>
      </w:pPr>
    </w:p>
    <w:p w14:paraId="63FAE8A6" w14:textId="77777777" w:rsidR="00360CD3" w:rsidRDefault="00360CD3">
      <w:pPr>
        <w:spacing w:after="27" w:line="259" w:lineRule="auto"/>
        <w:ind w:left="452" w:right="0" w:firstLine="0"/>
        <w:rPr>
          <w:rFonts w:ascii="Arial" w:eastAsia="Arial" w:hAnsi="Arial" w:cs="Arial"/>
          <w:sz w:val="24"/>
        </w:rPr>
      </w:pPr>
    </w:p>
    <w:p w14:paraId="678B4D06" w14:textId="77777777" w:rsidR="00360CD3" w:rsidRDefault="00360CD3">
      <w:pPr>
        <w:spacing w:after="27" w:line="259" w:lineRule="auto"/>
        <w:ind w:left="452" w:right="0" w:firstLine="0"/>
        <w:rPr>
          <w:rFonts w:ascii="Arial" w:eastAsia="Arial" w:hAnsi="Arial" w:cs="Arial"/>
          <w:sz w:val="24"/>
        </w:rPr>
      </w:pPr>
    </w:p>
    <w:p w14:paraId="14459E24" w14:textId="77777777" w:rsidR="00360CD3" w:rsidRDefault="00360CD3">
      <w:pPr>
        <w:spacing w:after="27" w:line="259" w:lineRule="auto"/>
        <w:ind w:left="452" w:right="0" w:firstLine="0"/>
        <w:rPr>
          <w:rFonts w:ascii="Arial" w:eastAsia="Arial" w:hAnsi="Arial" w:cs="Arial"/>
          <w:sz w:val="24"/>
        </w:rPr>
      </w:pPr>
    </w:p>
    <w:p w14:paraId="0F303B03" w14:textId="77777777" w:rsidR="00214011" w:rsidRDefault="00214011">
      <w:pPr>
        <w:spacing w:after="27" w:line="259" w:lineRule="auto"/>
        <w:ind w:left="452" w:right="0" w:firstLine="0"/>
        <w:rPr>
          <w:rFonts w:ascii="Arial" w:eastAsia="Arial" w:hAnsi="Arial" w:cs="Arial"/>
          <w:sz w:val="24"/>
        </w:rPr>
      </w:pPr>
    </w:p>
    <w:p w14:paraId="7D336CF9" w14:textId="77777777" w:rsidR="00214011" w:rsidRDefault="00214011">
      <w:pPr>
        <w:spacing w:after="27" w:line="259" w:lineRule="auto"/>
        <w:ind w:left="452" w:right="0" w:firstLine="0"/>
        <w:rPr>
          <w:rFonts w:ascii="Arial" w:eastAsia="Arial" w:hAnsi="Arial" w:cs="Arial"/>
          <w:sz w:val="24"/>
        </w:rPr>
      </w:pPr>
    </w:p>
    <w:p w14:paraId="495284A1" w14:textId="77777777" w:rsidR="00214011" w:rsidRDefault="00214011">
      <w:pPr>
        <w:spacing w:after="27" w:line="259" w:lineRule="auto"/>
        <w:ind w:left="452" w:right="0" w:firstLine="0"/>
        <w:rPr>
          <w:rFonts w:ascii="Arial" w:eastAsia="Arial" w:hAnsi="Arial" w:cs="Arial"/>
          <w:sz w:val="24"/>
        </w:rPr>
      </w:pPr>
    </w:p>
    <w:p w14:paraId="70ECDB23" w14:textId="77777777" w:rsidR="00214011" w:rsidRDefault="00214011">
      <w:pPr>
        <w:spacing w:after="27" w:line="259" w:lineRule="auto"/>
        <w:ind w:left="452" w:right="0" w:firstLine="0"/>
        <w:rPr>
          <w:rFonts w:ascii="Arial" w:eastAsia="Arial" w:hAnsi="Arial" w:cs="Arial"/>
          <w:sz w:val="24"/>
        </w:rPr>
      </w:pPr>
    </w:p>
    <w:p w14:paraId="11F94A24" w14:textId="77777777" w:rsidR="00214011" w:rsidRDefault="00214011">
      <w:pPr>
        <w:spacing w:after="27" w:line="259" w:lineRule="auto"/>
        <w:ind w:left="452" w:right="0" w:firstLine="0"/>
        <w:rPr>
          <w:rFonts w:ascii="Arial" w:eastAsia="Arial" w:hAnsi="Arial" w:cs="Arial"/>
          <w:sz w:val="24"/>
        </w:rPr>
      </w:pPr>
    </w:p>
    <w:p w14:paraId="7DA7D681" w14:textId="77777777" w:rsidR="00214011" w:rsidRDefault="00214011">
      <w:pPr>
        <w:spacing w:after="27" w:line="259" w:lineRule="auto"/>
        <w:ind w:left="452" w:right="0" w:firstLine="0"/>
        <w:rPr>
          <w:rFonts w:ascii="Arial" w:eastAsia="Arial" w:hAnsi="Arial" w:cs="Arial"/>
          <w:sz w:val="24"/>
        </w:rPr>
      </w:pPr>
    </w:p>
    <w:p w14:paraId="001CCEE3" w14:textId="77777777" w:rsidR="00214011" w:rsidRDefault="00214011">
      <w:pPr>
        <w:spacing w:after="27" w:line="259" w:lineRule="auto"/>
        <w:ind w:left="452" w:right="0" w:firstLine="0"/>
        <w:rPr>
          <w:rFonts w:ascii="Arial" w:eastAsia="Arial" w:hAnsi="Arial" w:cs="Arial"/>
          <w:sz w:val="24"/>
        </w:rPr>
      </w:pPr>
    </w:p>
    <w:p w14:paraId="76ED4963" w14:textId="77777777" w:rsidR="00214011" w:rsidRDefault="00214011">
      <w:pPr>
        <w:spacing w:after="27" w:line="259" w:lineRule="auto"/>
        <w:ind w:left="452" w:right="0" w:firstLine="0"/>
        <w:rPr>
          <w:rFonts w:ascii="Arial" w:eastAsia="Arial" w:hAnsi="Arial" w:cs="Arial"/>
          <w:sz w:val="24"/>
        </w:rPr>
      </w:pPr>
    </w:p>
    <w:p w14:paraId="68A99570" w14:textId="77777777" w:rsidR="00214011" w:rsidRDefault="00214011">
      <w:pPr>
        <w:spacing w:after="27" w:line="259" w:lineRule="auto"/>
        <w:ind w:left="452" w:right="0" w:firstLine="0"/>
        <w:rPr>
          <w:rFonts w:ascii="Arial" w:eastAsia="Arial" w:hAnsi="Arial" w:cs="Arial"/>
          <w:sz w:val="24"/>
        </w:rPr>
      </w:pPr>
    </w:p>
    <w:p w14:paraId="38292E8D" w14:textId="77777777" w:rsidR="00214011" w:rsidRDefault="00214011">
      <w:pPr>
        <w:spacing w:after="27" w:line="259" w:lineRule="auto"/>
        <w:ind w:left="452" w:right="0" w:firstLine="0"/>
        <w:rPr>
          <w:rFonts w:ascii="Arial" w:eastAsia="Arial" w:hAnsi="Arial" w:cs="Arial"/>
          <w:sz w:val="24"/>
        </w:rPr>
      </w:pPr>
    </w:p>
    <w:p w14:paraId="515F36B8" w14:textId="77777777" w:rsidR="00214011" w:rsidRDefault="00214011">
      <w:pPr>
        <w:spacing w:after="27" w:line="259" w:lineRule="auto"/>
        <w:ind w:left="452" w:right="0" w:firstLine="0"/>
        <w:rPr>
          <w:rFonts w:ascii="Arial" w:eastAsia="Arial" w:hAnsi="Arial" w:cs="Arial"/>
          <w:sz w:val="24"/>
        </w:rPr>
      </w:pPr>
    </w:p>
    <w:p w14:paraId="72440452" w14:textId="77777777" w:rsidR="00214011" w:rsidRDefault="00214011">
      <w:pPr>
        <w:spacing w:after="27" w:line="259" w:lineRule="auto"/>
        <w:ind w:left="452" w:right="0" w:firstLine="0"/>
        <w:rPr>
          <w:rFonts w:ascii="Arial" w:eastAsia="Arial" w:hAnsi="Arial" w:cs="Arial"/>
          <w:sz w:val="24"/>
        </w:rPr>
      </w:pPr>
    </w:p>
    <w:p w14:paraId="3BD43958" w14:textId="77777777" w:rsidR="00214011" w:rsidRDefault="00214011">
      <w:pPr>
        <w:spacing w:after="27" w:line="259" w:lineRule="auto"/>
        <w:ind w:left="452" w:right="0" w:firstLine="0"/>
        <w:rPr>
          <w:rFonts w:ascii="Arial" w:eastAsia="Arial" w:hAnsi="Arial" w:cs="Arial"/>
          <w:sz w:val="24"/>
        </w:rPr>
      </w:pPr>
    </w:p>
    <w:p w14:paraId="554B7FF6" w14:textId="77777777" w:rsidR="00360CD3" w:rsidRDefault="00360CD3">
      <w:pPr>
        <w:spacing w:after="27" w:line="259" w:lineRule="auto"/>
        <w:ind w:left="452" w:right="0" w:firstLine="0"/>
        <w:rPr>
          <w:rFonts w:ascii="Arial" w:eastAsia="Arial" w:hAnsi="Arial" w:cs="Arial"/>
          <w:sz w:val="24"/>
        </w:rPr>
      </w:pPr>
    </w:p>
    <w:p w14:paraId="534C7571" w14:textId="77777777" w:rsidR="00360CD3" w:rsidRDefault="00360CD3">
      <w:pPr>
        <w:spacing w:after="27" w:line="259" w:lineRule="auto"/>
        <w:ind w:left="452" w:right="0" w:firstLine="0"/>
        <w:rPr>
          <w:rFonts w:ascii="Arial" w:eastAsia="Arial" w:hAnsi="Arial" w:cs="Arial"/>
          <w:sz w:val="24"/>
        </w:rPr>
      </w:pPr>
    </w:p>
    <w:p w14:paraId="0780A5D4" w14:textId="77777777" w:rsidR="00360CD3" w:rsidRDefault="00360CD3">
      <w:pPr>
        <w:spacing w:after="27" w:line="259" w:lineRule="auto"/>
        <w:ind w:left="452" w:right="0" w:firstLine="0"/>
        <w:rPr>
          <w:rFonts w:ascii="Arial" w:eastAsia="Arial" w:hAnsi="Arial" w:cs="Arial"/>
          <w:sz w:val="24"/>
        </w:rPr>
      </w:pPr>
    </w:p>
    <w:p w14:paraId="0CE9D873" w14:textId="77777777" w:rsidR="00360CD3" w:rsidRDefault="00360CD3">
      <w:pPr>
        <w:spacing w:after="27" w:line="259" w:lineRule="auto"/>
        <w:ind w:left="452" w:right="0" w:firstLine="0"/>
        <w:rPr>
          <w:rFonts w:ascii="Arial" w:eastAsia="Arial" w:hAnsi="Arial" w:cs="Arial"/>
          <w:sz w:val="24"/>
        </w:rPr>
      </w:pPr>
    </w:p>
    <w:p w14:paraId="2DE508FE" w14:textId="77777777" w:rsidR="005F24EC" w:rsidRDefault="005F24EC">
      <w:pPr>
        <w:spacing w:after="27" w:line="259" w:lineRule="auto"/>
        <w:ind w:left="452" w:right="0" w:firstLine="0"/>
        <w:rPr>
          <w:rFonts w:ascii="Arial" w:eastAsia="Arial" w:hAnsi="Arial" w:cs="Arial"/>
          <w:sz w:val="24"/>
        </w:rPr>
      </w:pPr>
    </w:p>
    <w:p w14:paraId="45375921" w14:textId="68B2CFEC" w:rsidR="00B56D50" w:rsidRDefault="001C3C42" w:rsidP="00221EB1">
      <w:pPr>
        <w:pStyle w:val="Heading4"/>
        <w:spacing w:after="0" w:line="249" w:lineRule="auto"/>
        <w:ind w:left="1080" w:hanging="360"/>
      </w:pPr>
      <w:r>
        <w:rPr>
          <w:sz w:val="24"/>
        </w:rPr>
        <w:lastRenderedPageBreak/>
        <w:t>G. Volatile and Semi</w:t>
      </w:r>
      <w:r w:rsidR="00294836">
        <w:rPr>
          <w:sz w:val="24"/>
        </w:rPr>
        <w:t>-</w:t>
      </w:r>
      <w:r>
        <w:rPr>
          <w:sz w:val="24"/>
        </w:rPr>
        <w:t>volatile Organic Analysis Including Petroleum Hydrocarbons by Gas</w:t>
      </w:r>
      <w:r w:rsidR="00221EB1">
        <w:rPr>
          <w:sz w:val="24"/>
        </w:rPr>
        <w:t xml:space="preserve"> </w:t>
      </w:r>
      <w:r>
        <w:rPr>
          <w:sz w:val="24"/>
        </w:rPr>
        <w:t xml:space="preserve">Chromatography with Method-Specified Detectors (other than MS or ECD) (FID, PID, HECD, etc.) </w:t>
      </w:r>
    </w:p>
    <w:p w14:paraId="2C46B82B" w14:textId="77777777" w:rsidR="00B56D50" w:rsidRDefault="001C3C42" w:rsidP="007257BB">
      <w:pPr>
        <w:spacing w:after="0" w:line="259" w:lineRule="auto"/>
        <w:ind w:left="0" w:right="0" w:firstLine="0"/>
      </w:pPr>
      <w:r>
        <w:rPr>
          <w:rFonts w:ascii="Arial" w:eastAsia="Arial" w:hAnsi="Arial" w:cs="Arial"/>
        </w:rPr>
        <w:t xml:space="preserve"> </w:t>
      </w:r>
    </w:p>
    <w:p w14:paraId="3014069D" w14:textId="4A6B0536" w:rsidR="00B56D50" w:rsidRPr="00050509" w:rsidRDefault="001C3C42" w:rsidP="00093377">
      <w:pPr>
        <w:numPr>
          <w:ilvl w:val="0"/>
          <w:numId w:val="100"/>
        </w:numPr>
        <w:spacing w:after="16"/>
        <w:ind w:left="1440" w:right="186" w:hanging="360"/>
        <w:rPr>
          <w:b/>
          <w:bCs/>
        </w:rPr>
      </w:pPr>
      <w:r w:rsidRPr="00050509">
        <w:rPr>
          <w:b/>
          <w:bCs/>
        </w:rPr>
        <w:t xml:space="preserve">General Requirements and Considerations </w:t>
      </w:r>
    </w:p>
    <w:p w14:paraId="152C61FD" w14:textId="77777777" w:rsidR="005409C1" w:rsidRDefault="001C3C42" w:rsidP="005409C1">
      <w:pPr>
        <w:spacing w:after="0"/>
        <w:ind w:left="1080" w:right="0" w:firstLine="360"/>
      </w:pPr>
      <w:r>
        <w:t>The Contractor shall adhere to the following requirements:</w:t>
      </w:r>
    </w:p>
    <w:p w14:paraId="0B4E8955" w14:textId="6335773E" w:rsidR="00B56D50" w:rsidRDefault="001C3C42" w:rsidP="00050509">
      <w:pPr>
        <w:spacing w:after="0"/>
        <w:ind w:left="1080" w:right="0" w:firstLine="360"/>
      </w:pPr>
      <w:r>
        <w:t xml:space="preserve"> </w:t>
      </w:r>
    </w:p>
    <w:p w14:paraId="5EF7429E" w14:textId="77777777" w:rsidR="00B56D50" w:rsidRDefault="001C3C42" w:rsidP="00093377">
      <w:pPr>
        <w:numPr>
          <w:ilvl w:val="0"/>
          <w:numId w:val="43"/>
        </w:numPr>
        <w:ind w:left="1800" w:right="255" w:hanging="360"/>
      </w:pPr>
      <w:r>
        <w:rPr>
          <w:u w:val="single" w:color="000000"/>
        </w:rPr>
        <w:t>Holding times and preservatives</w:t>
      </w:r>
      <w:r>
        <w:t>: Holding times and preservative techniques specified in TABLE 1, Sample Containers, Preservatives, and Holding Time Requirements, must be followed based on sample characteristics.  Holding time requirements for both samples and sample extracts (when applicable) must be adhered to.</w:t>
      </w:r>
      <w:r>
        <w:rPr>
          <w:b/>
        </w:rPr>
        <w:t xml:space="preserve"> </w:t>
      </w:r>
    </w:p>
    <w:p w14:paraId="4EC37ED7" w14:textId="77777777" w:rsidR="00B56D50" w:rsidRDefault="001C3C42">
      <w:pPr>
        <w:spacing w:after="0" w:line="259" w:lineRule="auto"/>
        <w:ind w:left="452" w:right="0" w:firstLine="0"/>
      </w:pPr>
      <w:r>
        <w:rPr>
          <w:b/>
        </w:rPr>
        <w:t xml:space="preserve"> </w:t>
      </w:r>
    </w:p>
    <w:p w14:paraId="3CE5D6F9" w14:textId="77777777" w:rsidR="00B56D50" w:rsidRDefault="001C3C42" w:rsidP="00093377">
      <w:pPr>
        <w:numPr>
          <w:ilvl w:val="0"/>
          <w:numId w:val="43"/>
        </w:numPr>
        <w:ind w:left="1800" w:right="255" w:hanging="360"/>
      </w:pPr>
      <w:r>
        <w:rPr>
          <w:u w:val="single" w:color="000000"/>
        </w:rPr>
        <w:t>SVOC extraction and cleanup</w:t>
      </w:r>
      <w:r>
        <w:t xml:space="preserve">: Samples to be analyzed for SVOCs must be extracted prior to analysis.  Based on sample matrix characteristics, follow criteria in appropriate extraction techniques.  To achieve maximum sensitivity, the extract must be concentrated to 1 </w:t>
      </w:r>
      <w:proofErr w:type="spellStart"/>
      <w:r>
        <w:t>mL.</w:t>
      </w:r>
      <w:proofErr w:type="spellEnd"/>
      <w:r>
        <w:t xml:space="preserve">  If interferences prevent proper detection of the analytes of interest, extracts may undergo silica gel column cleanup prior to analysis.  Additional cleanup steps may be required for some samples.</w:t>
      </w:r>
      <w:r>
        <w:rPr>
          <w:b/>
        </w:rPr>
        <w:t xml:space="preserve"> </w:t>
      </w:r>
    </w:p>
    <w:p w14:paraId="5874D244" w14:textId="77777777" w:rsidR="00B56D50" w:rsidRDefault="001C3C42">
      <w:pPr>
        <w:spacing w:after="0" w:line="259" w:lineRule="auto"/>
        <w:ind w:left="452" w:right="0" w:firstLine="0"/>
      </w:pPr>
      <w:r>
        <w:rPr>
          <w:b/>
        </w:rPr>
        <w:t xml:space="preserve"> </w:t>
      </w:r>
    </w:p>
    <w:p w14:paraId="14B3634E" w14:textId="51A25E87" w:rsidR="00B56D50" w:rsidRDefault="001C3C42" w:rsidP="00093377">
      <w:pPr>
        <w:numPr>
          <w:ilvl w:val="0"/>
          <w:numId w:val="43"/>
        </w:numPr>
        <w:ind w:left="1800" w:right="255" w:hanging="360"/>
      </w:pPr>
      <w:r>
        <w:rPr>
          <w:u w:val="single" w:color="000000"/>
        </w:rPr>
        <w:t>Total Petroleum Hydrocarbons by GC/FID</w:t>
      </w:r>
      <w:r>
        <w:t xml:space="preserve"> are to be measured by </w:t>
      </w:r>
      <w:r w:rsidR="00CA77DD">
        <w:t xml:space="preserve">SW-846 </w:t>
      </w:r>
      <w:r>
        <w:t>Method 8015 using fused silica capillary columns and following the instructions for analysis and quantitation of petroleum hydrocarbons (GRO, DRO, and ERO).  An external calibration procedure is to be used.  TRPH for motor oils can be similarly determined, using the instructions for GRO and DRO, but employing a higher boiling range standard and making other appropriate adjustments.</w:t>
      </w:r>
      <w:r>
        <w:rPr>
          <w:b/>
        </w:rPr>
        <w:t xml:space="preserve"> </w:t>
      </w:r>
    </w:p>
    <w:p w14:paraId="22F10979" w14:textId="46AF65F7" w:rsidR="00B56D50" w:rsidRDefault="001C3C42">
      <w:pPr>
        <w:spacing w:after="0" w:line="259" w:lineRule="auto"/>
        <w:ind w:left="452" w:right="0" w:firstLine="0"/>
      </w:pPr>
      <w:r>
        <w:rPr>
          <w:rFonts w:ascii="Arial" w:eastAsia="Arial" w:hAnsi="Arial" w:cs="Arial"/>
        </w:rPr>
        <w:t xml:space="preserve">  </w:t>
      </w:r>
    </w:p>
    <w:p w14:paraId="14053243" w14:textId="69870807" w:rsidR="00B56D50" w:rsidRPr="005409C1" w:rsidRDefault="001C3C42" w:rsidP="00093377">
      <w:pPr>
        <w:numPr>
          <w:ilvl w:val="0"/>
          <w:numId w:val="100"/>
        </w:numPr>
        <w:spacing w:after="16"/>
        <w:ind w:left="1440" w:right="186" w:hanging="360"/>
        <w:rPr>
          <w:b/>
          <w:bCs/>
        </w:rPr>
      </w:pPr>
      <w:r w:rsidRPr="005409C1">
        <w:rPr>
          <w:b/>
          <w:bCs/>
        </w:rPr>
        <w:t xml:space="preserve">Initial Calibration </w:t>
      </w:r>
    </w:p>
    <w:p w14:paraId="2665FCDF" w14:textId="57F47178" w:rsidR="00B56D50" w:rsidRDefault="001C3C42" w:rsidP="005409C1">
      <w:pPr>
        <w:ind w:left="1450" w:right="402"/>
      </w:pPr>
      <w:r>
        <w:t xml:space="preserve">The Contractor shall perform and document the initial calibration for each instrument used to analyze samples.  GC calibration may be accomplished through either an internal or an external standard calibration procedure.  Initial calibration must be performed using a minimum of 5 concentrations.  The concentration range of the calibration standards must bracket the concentrations of target compounds expected to be found in the field samples and must be wide enough to meet the project DQOs.  At least one standard must be at a concentration near, but above, the MDL.  If data </w:t>
      </w:r>
      <w:proofErr w:type="gramStart"/>
      <w:r>
        <w:t>will be</w:t>
      </w:r>
      <w:proofErr w:type="gramEnd"/>
      <w:r>
        <w:t xml:space="preserve"> compared to </w:t>
      </w:r>
      <w:r w:rsidR="009577DA">
        <w:t>risk</w:t>
      </w:r>
      <w:proofErr w:type="gramStart"/>
      <w:r w:rsidR="009577DA">
        <w:t>- based</w:t>
      </w:r>
      <w:proofErr w:type="gramEnd"/>
      <w:r>
        <w:t xml:space="preserve"> human health or ecological protective levels, this low standard concentration for each analyte must be as low as or lower than the risk-based level to which sample concentrations will be compared.  The remaining standards must correspond to the range of concentrations found in typical samples or must define the working range of the system. </w:t>
      </w:r>
    </w:p>
    <w:p w14:paraId="31A2CA42" w14:textId="77777777" w:rsidR="00B56D50" w:rsidRDefault="001C3C42">
      <w:pPr>
        <w:spacing w:after="0" w:line="259" w:lineRule="auto"/>
        <w:ind w:left="452" w:right="0" w:firstLine="0"/>
      </w:pPr>
      <w:r>
        <w:t xml:space="preserve"> </w:t>
      </w:r>
    </w:p>
    <w:p w14:paraId="4D36183F" w14:textId="1116CED5" w:rsidR="00B56D50" w:rsidRDefault="001C3C42" w:rsidP="00093377">
      <w:pPr>
        <w:numPr>
          <w:ilvl w:val="0"/>
          <w:numId w:val="101"/>
        </w:numPr>
        <w:ind w:left="1800" w:right="255" w:hanging="360"/>
      </w:pPr>
      <w:r>
        <w:rPr>
          <w:b/>
        </w:rPr>
        <w:t>External standard calibration procedure</w:t>
      </w:r>
      <w:r w:rsidR="0032327B">
        <w:rPr>
          <w:b/>
        </w:rPr>
        <w:t>.</w:t>
      </w:r>
      <w:r>
        <w:rPr>
          <w:b/>
        </w:rPr>
        <w:t xml:space="preserve"> </w:t>
      </w:r>
    </w:p>
    <w:p w14:paraId="2F4D13A9" w14:textId="77777777" w:rsidR="00B56D50" w:rsidRDefault="001C3C42">
      <w:pPr>
        <w:spacing w:after="0" w:line="259" w:lineRule="auto"/>
        <w:ind w:left="1443" w:right="0" w:firstLine="0"/>
      </w:pPr>
      <w:r>
        <w:t xml:space="preserve"> </w:t>
      </w:r>
    </w:p>
    <w:p w14:paraId="3AF80E04" w14:textId="2EA79B29" w:rsidR="00B56D50" w:rsidRDefault="001C3C42" w:rsidP="00093377">
      <w:pPr>
        <w:numPr>
          <w:ilvl w:val="0"/>
          <w:numId w:val="102"/>
        </w:numPr>
        <w:spacing w:after="0"/>
        <w:ind w:left="2160" w:right="255" w:hanging="360"/>
      </w:pPr>
      <w:r>
        <w:t xml:space="preserve">External Standard Calibration for Analysis of Single-Component Analytes </w:t>
      </w:r>
    </w:p>
    <w:p w14:paraId="593E7E34" w14:textId="77777777" w:rsidR="00B56D50" w:rsidRDefault="001C3C42" w:rsidP="00F250D4">
      <w:pPr>
        <w:ind w:left="2170" w:right="0"/>
      </w:pPr>
      <w:r>
        <w:t xml:space="preserve">Prepare calibration standards at a minimum of five concentration levels for each analyte by dilution of stock standards with an appropriate solvent.  Inject each calibration standard into the instrument using the same technique that will be used to introduce the actual samples (e.g. 5100 µL injections).  Tabulate peak area or height responses against </w:t>
      </w:r>
      <w:r>
        <w:lastRenderedPageBreak/>
        <w:t xml:space="preserve">the mass of analyte injected.  The results can be used to prepare a calibration curve for each compound. </w:t>
      </w:r>
    </w:p>
    <w:p w14:paraId="4D7C670F" w14:textId="77777777" w:rsidR="00B56D50" w:rsidRDefault="001C3C42">
      <w:pPr>
        <w:spacing w:after="0" w:line="259" w:lineRule="auto"/>
        <w:ind w:left="1443" w:right="0" w:firstLine="0"/>
      </w:pPr>
      <w:r>
        <w:t xml:space="preserve"> </w:t>
      </w:r>
    </w:p>
    <w:p w14:paraId="388A7FF1" w14:textId="77777777" w:rsidR="00B56D50" w:rsidRDefault="001C3C42" w:rsidP="0032327B">
      <w:pPr>
        <w:ind w:left="2170" w:right="255"/>
      </w:pPr>
      <w:r>
        <w:t xml:space="preserve">Alternatively, the ratio of detector response to mass of analyte injected, defined as the </w:t>
      </w:r>
    </w:p>
    <w:p w14:paraId="3992AFF0" w14:textId="607ED728" w:rsidR="00B56D50" w:rsidRPr="003A6E6D" w:rsidRDefault="00F17E81" w:rsidP="0032327B">
      <w:pPr>
        <w:ind w:left="2160" w:firstLine="0"/>
      </w:pPr>
      <w:r>
        <w:t>calibration factor (CF)</w:t>
      </w:r>
      <w:r w:rsidR="001C3C42">
        <w:t xml:space="preserve"> can be calculated for each analyte at each standard concentration.  If the CF is a constant over the working range (i.e., the relative standard deviation (RSD) is 20%), linearity through the origin can be assumed.  The average calibration factor can be used in place of a calibration curve to determine sample concentrations.  </w:t>
      </w:r>
    </w:p>
    <w:p w14:paraId="4B7456B0" w14:textId="77777777" w:rsidR="00B56D50" w:rsidRDefault="001C3C42">
      <w:pPr>
        <w:spacing w:after="0" w:line="259" w:lineRule="auto"/>
        <w:ind w:left="1443" w:right="0" w:firstLine="0"/>
      </w:pPr>
      <w:r>
        <w:t xml:space="preserve"> </w:t>
      </w:r>
    </w:p>
    <w:p w14:paraId="492E893C" w14:textId="365C80D7" w:rsidR="00B56D50" w:rsidRPr="009F0106" w:rsidRDefault="001C3C42" w:rsidP="00093377">
      <w:pPr>
        <w:numPr>
          <w:ilvl w:val="0"/>
          <w:numId w:val="102"/>
        </w:numPr>
        <w:spacing w:after="0"/>
        <w:ind w:left="2160" w:right="255" w:hanging="360"/>
        <w:rPr>
          <w:b/>
          <w:bCs/>
        </w:rPr>
      </w:pPr>
      <w:r w:rsidRPr="009F0106">
        <w:rPr>
          <w:b/>
          <w:bCs/>
        </w:rPr>
        <w:t xml:space="preserve">External Standard Calibration for Total Petroleum Hydrocarbons by GC/FID </w:t>
      </w:r>
    </w:p>
    <w:p w14:paraId="1953A0D6" w14:textId="49714C03" w:rsidR="00B56D50" w:rsidRDefault="001C3C42" w:rsidP="009F0106">
      <w:pPr>
        <w:ind w:left="2170" w:right="255"/>
      </w:pPr>
      <w:r>
        <w:t xml:space="preserve">The standard used for TPH calibration must correspond with the distillation range of the type of petroleum being analyzed, with a separate standard for each fuel type.  For purposes of this contract, range by carbon number is defined as: </w:t>
      </w:r>
    </w:p>
    <w:p w14:paraId="384DE3A5" w14:textId="77777777" w:rsidR="00B56D50" w:rsidRDefault="001C3C42">
      <w:pPr>
        <w:spacing w:after="0" w:line="259" w:lineRule="auto"/>
        <w:ind w:left="1892" w:right="0" w:firstLine="0"/>
      </w:pPr>
      <w:r>
        <w:t xml:space="preserve"> </w:t>
      </w:r>
    </w:p>
    <w:p w14:paraId="1F2309BC" w14:textId="6CE7E9AC" w:rsidR="00B56D50" w:rsidRDefault="001C3C42" w:rsidP="00AF0F72">
      <w:pPr>
        <w:numPr>
          <w:ilvl w:val="0"/>
          <w:numId w:val="44"/>
        </w:numPr>
        <w:ind w:left="2520" w:right="389" w:hanging="360"/>
      </w:pPr>
      <w:r>
        <w:rPr>
          <w:u w:val="single" w:color="000000"/>
        </w:rPr>
        <w:t>Gasoline</w:t>
      </w:r>
      <w:r w:rsidR="00322D52">
        <w:rPr>
          <w:u w:val="single" w:color="000000"/>
        </w:rPr>
        <w:t xml:space="preserve"> (GRO)</w:t>
      </w:r>
      <w:r>
        <w:t>:  C</w:t>
      </w:r>
      <w:r w:rsidR="00C97583">
        <w:t>5</w:t>
      </w:r>
      <w:r>
        <w:t xml:space="preserve"> – C12,</w:t>
      </w:r>
      <w:r>
        <w:rPr>
          <w:b/>
        </w:rPr>
        <w:t xml:space="preserve"> </w:t>
      </w:r>
    </w:p>
    <w:p w14:paraId="1E392E24" w14:textId="17FC4E78" w:rsidR="00B56D50" w:rsidRDefault="001C3C42" w:rsidP="00AF0F72">
      <w:pPr>
        <w:numPr>
          <w:ilvl w:val="0"/>
          <w:numId w:val="44"/>
        </w:numPr>
        <w:spacing w:after="10" w:line="248" w:lineRule="auto"/>
        <w:ind w:left="2520" w:right="389" w:hanging="360"/>
      </w:pPr>
      <w:r>
        <w:rPr>
          <w:u w:val="single" w:color="000000"/>
        </w:rPr>
        <w:t>Jet Fuel and Kerosene</w:t>
      </w:r>
      <w:r w:rsidR="004C73F3">
        <w:rPr>
          <w:u w:val="single" w:color="000000"/>
        </w:rPr>
        <w:t xml:space="preserve"> (subset </w:t>
      </w:r>
      <w:r w:rsidR="006D7B8E">
        <w:rPr>
          <w:u w:val="single" w:color="000000"/>
        </w:rPr>
        <w:t>DRO)</w:t>
      </w:r>
      <w:r>
        <w:t>:  C</w:t>
      </w:r>
      <w:r w:rsidR="00DA4EDD">
        <w:t>8</w:t>
      </w:r>
      <w:r>
        <w:t xml:space="preserve"> – C16,</w:t>
      </w:r>
      <w:r>
        <w:rPr>
          <w:b/>
        </w:rPr>
        <w:t xml:space="preserve"> </w:t>
      </w:r>
    </w:p>
    <w:p w14:paraId="12ABE170" w14:textId="4F939893" w:rsidR="00B56D50" w:rsidRDefault="001C3C42" w:rsidP="00AF0F72">
      <w:pPr>
        <w:numPr>
          <w:ilvl w:val="0"/>
          <w:numId w:val="44"/>
        </w:numPr>
        <w:ind w:left="2520" w:right="389" w:hanging="360"/>
      </w:pPr>
      <w:r>
        <w:rPr>
          <w:u w:val="single" w:color="000000"/>
        </w:rPr>
        <w:t>Diesel Fuel</w:t>
      </w:r>
      <w:r w:rsidR="006D7B8E">
        <w:rPr>
          <w:u w:val="single" w:color="000000"/>
        </w:rPr>
        <w:t xml:space="preserve"> (DRO)</w:t>
      </w:r>
      <w:r>
        <w:t>:  C</w:t>
      </w:r>
      <w:r w:rsidR="006F7716">
        <w:t>8</w:t>
      </w:r>
      <w:r>
        <w:t xml:space="preserve"> – C2</w:t>
      </w:r>
      <w:r w:rsidR="006F7716">
        <w:t>8</w:t>
      </w:r>
      <w:r>
        <w:t>,</w:t>
      </w:r>
      <w:r>
        <w:rPr>
          <w:b/>
        </w:rPr>
        <w:t xml:space="preserve"> </w:t>
      </w:r>
    </w:p>
    <w:p w14:paraId="158EF951" w14:textId="57C4D417" w:rsidR="00C341E8" w:rsidRDefault="00E9523C" w:rsidP="00AF0F72">
      <w:pPr>
        <w:numPr>
          <w:ilvl w:val="0"/>
          <w:numId w:val="44"/>
        </w:numPr>
        <w:ind w:left="2520" w:right="389" w:hanging="360"/>
      </w:pPr>
      <w:r>
        <w:t xml:space="preserve">Extended Range </w:t>
      </w:r>
      <w:r w:rsidR="00841365">
        <w:t>(ERO)</w:t>
      </w:r>
      <w:r w:rsidR="00242655">
        <w:t>:  C</w:t>
      </w:r>
      <w:r w:rsidR="003B1785">
        <w:t>8</w:t>
      </w:r>
      <w:r w:rsidR="005B5B97">
        <w:t xml:space="preserve"> </w:t>
      </w:r>
      <w:r w:rsidR="00D47766">
        <w:t>–</w:t>
      </w:r>
      <w:r w:rsidR="005B5B97">
        <w:t xml:space="preserve"> C</w:t>
      </w:r>
      <w:r w:rsidR="00D47766">
        <w:t>34</w:t>
      </w:r>
      <w:r w:rsidR="00C341E8">
        <w:t>,</w:t>
      </w:r>
    </w:p>
    <w:p w14:paraId="66F44EAA" w14:textId="4824D2A8" w:rsidR="00B56D50" w:rsidRDefault="00811697" w:rsidP="00A8464A">
      <w:pPr>
        <w:numPr>
          <w:ilvl w:val="0"/>
          <w:numId w:val="44"/>
        </w:numPr>
        <w:ind w:left="2520" w:right="389" w:hanging="360"/>
      </w:pPr>
      <w:r>
        <w:t>TRPH</w:t>
      </w:r>
      <w:r w:rsidR="006D349B">
        <w:t xml:space="preserve"> (Total Recoverable Petroleum Hydrocarbons)</w:t>
      </w:r>
      <w:proofErr w:type="gramStart"/>
      <w:r w:rsidR="00216857">
        <w:t>:  TBD</w:t>
      </w:r>
      <w:proofErr w:type="gramEnd"/>
      <w:r w:rsidR="001C3C42">
        <w:t>.</w:t>
      </w:r>
      <w:r w:rsidR="001C3C42">
        <w:rPr>
          <w:b/>
        </w:rPr>
        <w:t xml:space="preserve"> </w:t>
      </w:r>
    </w:p>
    <w:p w14:paraId="457ACCD0" w14:textId="77777777" w:rsidR="00B56D50" w:rsidRDefault="001C3C42">
      <w:pPr>
        <w:spacing w:after="0" w:line="259" w:lineRule="auto"/>
        <w:ind w:left="1892" w:right="0" w:firstLine="0"/>
      </w:pPr>
      <w:r>
        <w:rPr>
          <w:rFonts w:ascii="Arial" w:eastAsia="Arial" w:hAnsi="Arial" w:cs="Arial"/>
        </w:rPr>
        <w:t xml:space="preserve"> </w:t>
      </w:r>
    </w:p>
    <w:p w14:paraId="7BBC848F" w14:textId="65682F69" w:rsidR="00B56D50" w:rsidRPr="003A6E6D" w:rsidRDefault="001C3C42" w:rsidP="0032327B">
      <w:pPr>
        <w:spacing w:after="0" w:line="259" w:lineRule="auto"/>
        <w:ind w:left="2160" w:right="0" w:firstLine="0"/>
      </w:pPr>
      <w:r>
        <w:t>As for single-component analytes, the standard must be run at a minimum of five concentrations, and a CF calculated for each concentration.  If the CF is a constant over the working range (i.e., the RSD is ±20%), linearity through the origin can be assumed.  Then the average calibration factor can be used in place of a calibration curve to determine sample concentrations.</w:t>
      </w:r>
    </w:p>
    <w:p w14:paraId="0A366839" w14:textId="77777777" w:rsidR="00B56D50" w:rsidRDefault="001C3C42">
      <w:pPr>
        <w:spacing w:after="0" w:line="259" w:lineRule="auto"/>
        <w:ind w:left="452" w:right="0" w:firstLine="0"/>
      </w:pPr>
      <w:r>
        <w:t xml:space="preserve"> </w:t>
      </w:r>
    </w:p>
    <w:p w14:paraId="6449195D" w14:textId="3FFC6F18" w:rsidR="00B56D50" w:rsidRPr="0032327B" w:rsidRDefault="001C3C42" w:rsidP="00093377">
      <w:pPr>
        <w:numPr>
          <w:ilvl w:val="0"/>
          <w:numId w:val="101"/>
        </w:numPr>
        <w:ind w:left="1800" w:right="255" w:hanging="360"/>
        <w:rPr>
          <w:b/>
          <w:bCs/>
        </w:rPr>
      </w:pPr>
      <w:r w:rsidRPr="0032327B">
        <w:rPr>
          <w:b/>
          <w:bCs/>
        </w:rPr>
        <w:t>Internal standard calibration procedure for single-analyte components</w:t>
      </w:r>
      <w:r w:rsidR="0032327B">
        <w:rPr>
          <w:b/>
          <w:bCs/>
        </w:rPr>
        <w:t>.</w:t>
      </w:r>
      <w:r w:rsidRPr="0032327B">
        <w:rPr>
          <w:b/>
          <w:bCs/>
        </w:rPr>
        <w:t xml:space="preserve"> </w:t>
      </w:r>
    </w:p>
    <w:p w14:paraId="422492B3" w14:textId="482703D5" w:rsidR="00B56D50" w:rsidRPr="003A6E6D" w:rsidRDefault="001C3C42" w:rsidP="0032327B">
      <w:pPr>
        <w:ind w:left="1800" w:firstLine="0"/>
      </w:pPr>
      <w:r>
        <w:t xml:space="preserve">Prepare calibration standards at a minimum of five concentration levels for each analyte by adding volumes of one or more stock standard solutions to a volumetric flask.  To each calibration standard add a known amount of one or more internal </w:t>
      </w:r>
      <w:r w:rsidR="00F17E81">
        <w:t>standards and</w:t>
      </w:r>
      <w:r>
        <w:t xml:space="preserve"> dilute to volume with an appropriate solvent.  Inject each calibration standard into the instrument using the same technique that will be used to introduce the actual samples (e.g. 5-100 </w:t>
      </w:r>
      <w:r w:rsidR="007D37E9">
        <w:t>µ</w:t>
      </w:r>
      <w:r>
        <w:t>L injections).  Tabulate peak area or height responses against the concentration for each compound and internal standard.  Calculate the response factor for each compound at each concentration.  If the RF value is constant over the working range (the RSD is ≤</w:t>
      </w:r>
      <w:r w:rsidR="00FA0B6D">
        <w:t xml:space="preserve">. </w:t>
      </w:r>
      <w:r>
        <w:t>20%), linearity through the origin can be assumed and the average RF can be used to calculate sample concentrations.</w:t>
      </w:r>
      <w:r w:rsidR="003A6E6D">
        <w:t xml:space="preserve">  </w:t>
      </w:r>
    </w:p>
    <w:p w14:paraId="101CB599" w14:textId="77777777" w:rsidR="00B56D50" w:rsidRDefault="001C3C42">
      <w:pPr>
        <w:spacing w:after="0" w:line="259" w:lineRule="auto"/>
        <w:ind w:left="452" w:right="0" w:firstLine="0"/>
      </w:pPr>
      <w:r>
        <w:t xml:space="preserve"> </w:t>
      </w:r>
    </w:p>
    <w:p w14:paraId="386F5685" w14:textId="69162C8F" w:rsidR="00B56D50" w:rsidRPr="0032327B" w:rsidRDefault="001C3C42" w:rsidP="00093377">
      <w:pPr>
        <w:numPr>
          <w:ilvl w:val="0"/>
          <w:numId w:val="101"/>
        </w:numPr>
        <w:ind w:left="1800" w:right="255" w:hanging="360"/>
        <w:rPr>
          <w:b/>
          <w:bCs/>
        </w:rPr>
      </w:pPr>
      <w:r w:rsidRPr="0032327B">
        <w:rPr>
          <w:b/>
          <w:bCs/>
        </w:rPr>
        <w:t xml:space="preserve">Initial Calibration Control Criteria </w:t>
      </w:r>
    </w:p>
    <w:p w14:paraId="1646DDC7" w14:textId="3601613B" w:rsidR="00B56D50" w:rsidRDefault="001C3C42" w:rsidP="0032327B">
      <w:pPr>
        <w:ind w:left="1800" w:firstLine="0"/>
      </w:pPr>
      <w:r>
        <w:t>Calculate the RSD for each analyte across all concentrations using the mean and standard deviation of the CFs or RFs</w:t>
      </w:r>
      <w:r w:rsidR="003A6E6D">
        <w:t xml:space="preserve">.  </w:t>
      </w:r>
      <w:r>
        <w:t xml:space="preserve">The RSD criteria in TABLE </w:t>
      </w:r>
      <w:r w:rsidR="00FA0B6D">
        <w:t>30</w:t>
      </w:r>
      <w:r>
        <w:t xml:space="preserve"> must be met for linearity through the origin to be assumed using the CF or RF approach.  If linearity through the origin cannot be assumed, the analysis must be </w:t>
      </w:r>
      <w:r w:rsidR="00F17E81">
        <w:t>stopped,</w:t>
      </w:r>
      <w:r>
        <w:t xml:space="preserve"> and the problem found and corrected before analysis of samples can begin.  A calibration curve may need to be used instead of the mean CF for the external calibration procedure or the mean RF for the internal standard procedure.  (See SW-846 Method 8000.)</w:t>
      </w:r>
      <w:r w:rsidR="00D054B1">
        <w:t xml:space="preserve">  </w:t>
      </w:r>
      <w:r w:rsidR="00D054B1" w:rsidRPr="00D054B1">
        <w:t xml:space="preserve">If a calibration curve is used </w:t>
      </w:r>
      <w:r w:rsidR="00D054B1" w:rsidRPr="00D054B1">
        <w:lastRenderedPageBreak/>
        <w:t>rather than CF or RF, % Drift must be calculated instead of % Difference.  Acceptance criteria for % Drift are 8</w:t>
      </w:r>
      <w:r w:rsidR="00D054B1">
        <w:t>0</w:t>
      </w:r>
      <w:r w:rsidR="00D054B1" w:rsidRPr="00D054B1">
        <w:t>-1</w:t>
      </w:r>
      <w:r w:rsidR="00D054B1">
        <w:t>20</w:t>
      </w:r>
      <w:r w:rsidR="00D054B1" w:rsidRPr="00D054B1">
        <w:t xml:space="preserve">%. </w:t>
      </w:r>
      <w:r w:rsidR="005832FA" w:rsidRPr="00A33F6D">
        <w:rPr>
          <w:b/>
          <w:bCs/>
          <w:vertAlign w:val="superscript"/>
        </w:rPr>
        <w:t>49</w:t>
      </w:r>
      <w:r>
        <w:t xml:space="preserve"> </w:t>
      </w:r>
    </w:p>
    <w:p w14:paraId="37B6D9EF" w14:textId="77777777" w:rsidR="00B56D50" w:rsidRDefault="001C3C42">
      <w:pPr>
        <w:spacing w:after="0" w:line="259" w:lineRule="auto"/>
        <w:ind w:left="1172" w:right="0" w:firstLine="0"/>
      </w:pPr>
      <w:r>
        <w:t xml:space="preserve"> </w:t>
      </w:r>
    </w:p>
    <w:p w14:paraId="57FAF842" w14:textId="42B0CE7F" w:rsidR="00B56D50" w:rsidRPr="00B811AC" w:rsidRDefault="001C3C42" w:rsidP="0032327B">
      <w:pPr>
        <w:ind w:left="1810" w:right="255"/>
        <w:rPr>
          <w:rFonts w:eastAsia="Arial"/>
        </w:rPr>
      </w:pPr>
      <w:r>
        <w:t>A new calibration curve (or calibration factor or response factor) must be prepared whenever a new column or detector is installed.  The initial calibration data (and curve if used), calibration or response factors, and RSDs must be reported with the analysis results</w:t>
      </w:r>
      <w:r w:rsidRPr="00B811AC">
        <w:t>.</w:t>
      </w:r>
    </w:p>
    <w:p w14:paraId="6F55BE5A" w14:textId="12906C4F" w:rsidR="00B811AC" w:rsidRDefault="00B811AC">
      <w:pPr>
        <w:spacing w:after="0" w:line="259" w:lineRule="auto"/>
        <w:ind w:left="452" w:right="0" w:firstLine="0"/>
      </w:pPr>
    </w:p>
    <w:p w14:paraId="029F42DA" w14:textId="6DFBDBB0" w:rsidR="00B56D50" w:rsidRDefault="001C3C42">
      <w:pPr>
        <w:pStyle w:val="Heading5"/>
        <w:ind w:left="1024" w:right="20"/>
      </w:pPr>
      <w:r>
        <w:t xml:space="preserve">TABLE </w:t>
      </w:r>
      <w:r w:rsidR="00293D74">
        <w:t>30</w:t>
      </w:r>
      <w:r>
        <w:t xml:space="preserve"> </w:t>
      </w:r>
    </w:p>
    <w:p w14:paraId="32D44C02" w14:textId="77777777" w:rsidR="00B56D50" w:rsidRDefault="001C3C42">
      <w:pPr>
        <w:pStyle w:val="Heading6"/>
        <w:ind w:left="2178" w:right="186"/>
      </w:pPr>
      <w:r>
        <w:t xml:space="preserve">Initial Calibration RSD Criteria for Assumption of Linearity in GC Analysis </w:t>
      </w:r>
    </w:p>
    <w:p w14:paraId="1574C604" w14:textId="7330B41A" w:rsidR="00B56D50" w:rsidRPr="00D66CB9" w:rsidRDefault="00B56D50" w:rsidP="00D66CB9">
      <w:pPr>
        <w:spacing w:after="0" w:line="259" w:lineRule="auto"/>
        <w:ind w:left="1017" w:right="0" w:firstLine="0"/>
      </w:pPr>
    </w:p>
    <w:tbl>
      <w:tblPr>
        <w:tblStyle w:val="TableGrid1"/>
        <w:tblW w:w="8926" w:type="dxa"/>
        <w:tblInd w:w="1065" w:type="dxa"/>
        <w:tblCellMar>
          <w:top w:w="22" w:type="dxa"/>
          <w:left w:w="226" w:type="dxa"/>
          <w:right w:w="115" w:type="dxa"/>
        </w:tblCellMar>
        <w:tblLook w:val="04A0" w:firstRow="1" w:lastRow="0" w:firstColumn="1" w:lastColumn="0" w:noHBand="0" w:noVBand="1"/>
      </w:tblPr>
      <w:tblGrid>
        <w:gridCol w:w="2448"/>
        <w:gridCol w:w="3420"/>
        <w:gridCol w:w="3058"/>
      </w:tblGrid>
      <w:tr w:rsidR="00B56D50" w14:paraId="76FA5F4C" w14:textId="77777777" w:rsidTr="005F024B">
        <w:trPr>
          <w:trHeight w:val="317"/>
        </w:trPr>
        <w:tc>
          <w:tcPr>
            <w:tcW w:w="2448" w:type="dxa"/>
            <w:vMerge w:val="restart"/>
            <w:tcBorders>
              <w:top w:val="single" w:sz="12" w:space="0" w:color="000000"/>
              <w:left w:val="single" w:sz="12" w:space="0" w:color="000000"/>
              <w:bottom w:val="single" w:sz="12" w:space="0" w:color="000000"/>
              <w:right w:val="single" w:sz="12" w:space="0" w:color="000000"/>
            </w:tcBorders>
            <w:vAlign w:val="center"/>
          </w:tcPr>
          <w:p w14:paraId="3BDD5767" w14:textId="77777777" w:rsidR="00B56D50" w:rsidRDefault="001C3C42">
            <w:pPr>
              <w:spacing w:after="0" w:line="259" w:lineRule="auto"/>
              <w:ind w:left="0" w:right="116" w:firstLine="0"/>
              <w:jc w:val="center"/>
            </w:pPr>
            <w:r>
              <w:rPr>
                <w:b/>
                <w:sz w:val="20"/>
              </w:rPr>
              <w:t xml:space="preserve">Compound </w:t>
            </w:r>
          </w:p>
        </w:tc>
        <w:tc>
          <w:tcPr>
            <w:tcW w:w="3420" w:type="dxa"/>
            <w:tcBorders>
              <w:top w:val="single" w:sz="12" w:space="0" w:color="000000"/>
              <w:left w:val="single" w:sz="12" w:space="0" w:color="000000"/>
              <w:bottom w:val="single" w:sz="12" w:space="0" w:color="000000"/>
              <w:right w:val="single" w:sz="12" w:space="0" w:color="000000"/>
            </w:tcBorders>
          </w:tcPr>
          <w:p w14:paraId="356EDCFD" w14:textId="77777777" w:rsidR="00B56D50" w:rsidRDefault="001C3C42">
            <w:pPr>
              <w:spacing w:after="0" w:line="259" w:lineRule="auto"/>
              <w:ind w:left="0" w:right="112" w:firstLine="0"/>
              <w:jc w:val="center"/>
            </w:pPr>
            <w:r>
              <w:rPr>
                <w:b/>
                <w:sz w:val="20"/>
              </w:rPr>
              <w:t xml:space="preserve">External Calibration  </w:t>
            </w:r>
          </w:p>
        </w:tc>
        <w:tc>
          <w:tcPr>
            <w:tcW w:w="3058" w:type="dxa"/>
            <w:tcBorders>
              <w:top w:val="single" w:sz="12" w:space="0" w:color="000000"/>
              <w:left w:val="single" w:sz="12" w:space="0" w:color="000000"/>
              <w:bottom w:val="single" w:sz="12" w:space="0" w:color="000000"/>
              <w:right w:val="single" w:sz="12" w:space="0" w:color="000000"/>
            </w:tcBorders>
          </w:tcPr>
          <w:p w14:paraId="7920B631" w14:textId="77777777" w:rsidR="00B56D50" w:rsidRDefault="001C3C42">
            <w:pPr>
              <w:spacing w:after="0" w:line="259" w:lineRule="auto"/>
              <w:ind w:left="0" w:right="112" w:firstLine="0"/>
              <w:jc w:val="center"/>
            </w:pPr>
            <w:r>
              <w:rPr>
                <w:b/>
                <w:sz w:val="20"/>
              </w:rPr>
              <w:t xml:space="preserve">Internal Calibration  </w:t>
            </w:r>
          </w:p>
        </w:tc>
      </w:tr>
      <w:tr w:rsidR="00B56D50" w14:paraId="76D36D78" w14:textId="77777777" w:rsidTr="005F024B">
        <w:trPr>
          <w:trHeight w:val="804"/>
        </w:trPr>
        <w:tc>
          <w:tcPr>
            <w:tcW w:w="2448" w:type="dxa"/>
            <w:vMerge/>
            <w:tcBorders>
              <w:top w:val="nil"/>
              <w:left w:val="single" w:sz="12" w:space="0" w:color="000000"/>
              <w:bottom w:val="single" w:sz="12" w:space="0" w:color="000000"/>
              <w:right w:val="single" w:sz="12" w:space="0" w:color="000000"/>
            </w:tcBorders>
          </w:tcPr>
          <w:p w14:paraId="7E26DD38" w14:textId="77777777" w:rsidR="00B56D50" w:rsidRDefault="00B56D50">
            <w:pPr>
              <w:spacing w:after="160" w:line="259" w:lineRule="auto"/>
              <w:ind w:left="0" w:right="0" w:firstLine="0"/>
            </w:pPr>
          </w:p>
        </w:tc>
        <w:tc>
          <w:tcPr>
            <w:tcW w:w="3420" w:type="dxa"/>
            <w:tcBorders>
              <w:top w:val="single" w:sz="12" w:space="0" w:color="000000"/>
              <w:left w:val="single" w:sz="12" w:space="0" w:color="000000"/>
              <w:bottom w:val="single" w:sz="12" w:space="0" w:color="000000"/>
              <w:right w:val="single" w:sz="12" w:space="0" w:color="000000"/>
            </w:tcBorders>
            <w:vAlign w:val="center"/>
          </w:tcPr>
          <w:p w14:paraId="34019BDD" w14:textId="77777777" w:rsidR="00B56D50" w:rsidRDefault="001C3C42">
            <w:pPr>
              <w:spacing w:after="0" w:line="259" w:lineRule="auto"/>
              <w:ind w:left="0" w:right="0" w:firstLine="0"/>
              <w:jc w:val="center"/>
            </w:pPr>
            <w:r>
              <w:rPr>
                <w:b/>
                <w:sz w:val="20"/>
              </w:rPr>
              <w:t>RSD</w:t>
            </w:r>
            <w:r>
              <w:rPr>
                <w:sz w:val="20"/>
              </w:rPr>
              <w:t xml:space="preserve"> for </w:t>
            </w:r>
            <w:r>
              <w:rPr>
                <w:b/>
                <w:sz w:val="20"/>
              </w:rPr>
              <w:t>Calibration Factors</w:t>
            </w:r>
            <w:r>
              <w:rPr>
                <w:sz w:val="20"/>
              </w:rPr>
              <w:t xml:space="preserve"> across all concentrations </w:t>
            </w:r>
          </w:p>
        </w:tc>
        <w:tc>
          <w:tcPr>
            <w:tcW w:w="3058" w:type="dxa"/>
            <w:tcBorders>
              <w:top w:val="single" w:sz="12" w:space="0" w:color="000000"/>
              <w:left w:val="single" w:sz="12" w:space="0" w:color="000000"/>
              <w:bottom w:val="single" w:sz="12" w:space="0" w:color="000000"/>
              <w:right w:val="single" w:sz="12" w:space="0" w:color="000000"/>
            </w:tcBorders>
            <w:vAlign w:val="center"/>
          </w:tcPr>
          <w:p w14:paraId="3CC54421" w14:textId="77777777" w:rsidR="00B56D50" w:rsidRDefault="001C3C42">
            <w:pPr>
              <w:spacing w:after="0" w:line="259" w:lineRule="auto"/>
              <w:ind w:left="0" w:right="0" w:firstLine="0"/>
              <w:jc w:val="center"/>
            </w:pPr>
            <w:r>
              <w:rPr>
                <w:b/>
                <w:sz w:val="20"/>
              </w:rPr>
              <w:t>RSD</w:t>
            </w:r>
            <w:r>
              <w:rPr>
                <w:sz w:val="20"/>
              </w:rPr>
              <w:t xml:space="preserve"> for </w:t>
            </w:r>
            <w:r>
              <w:rPr>
                <w:b/>
                <w:sz w:val="20"/>
              </w:rPr>
              <w:t>Response Factors</w:t>
            </w:r>
            <w:r>
              <w:rPr>
                <w:sz w:val="20"/>
              </w:rPr>
              <w:t xml:space="preserve"> across all concentrations </w:t>
            </w:r>
          </w:p>
        </w:tc>
      </w:tr>
      <w:tr w:rsidR="00B56D50" w14:paraId="16464344" w14:textId="77777777" w:rsidTr="005F024B">
        <w:trPr>
          <w:trHeight w:val="773"/>
        </w:trPr>
        <w:tc>
          <w:tcPr>
            <w:tcW w:w="2448" w:type="dxa"/>
            <w:tcBorders>
              <w:top w:val="single" w:sz="12" w:space="0" w:color="000000"/>
              <w:left w:val="single" w:sz="12" w:space="0" w:color="000000"/>
              <w:bottom w:val="single" w:sz="12" w:space="0" w:color="000000"/>
              <w:right w:val="single" w:sz="12" w:space="0" w:color="000000"/>
            </w:tcBorders>
            <w:vAlign w:val="center"/>
          </w:tcPr>
          <w:p w14:paraId="281B7960" w14:textId="77777777" w:rsidR="00B56D50" w:rsidRDefault="001C3C42">
            <w:pPr>
              <w:spacing w:after="0" w:line="259" w:lineRule="auto"/>
              <w:ind w:left="0" w:right="114" w:firstLine="0"/>
              <w:jc w:val="center"/>
            </w:pPr>
            <w:r>
              <w:rPr>
                <w:sz w:val="20"/>
              </w:rPr>
              <w:t>E</w:t>
            </w:r>
            <w:r>
              <w:rPr>
                <w:sz w:val="16"/>
              </w:rPr>
              <w:t xml:space="preserve">ACH </w:t>
            </w:r>
            <w:r>
              <w:rPr>
                <w:sz w:val="20"/>
              </w:rPr>
              <w:t>T</w:t>
            </w:r>
            <w:r>
              <w:rPr>
                <w:sz w:val="16"/>
              </w:rPr>
              <w:t xml:space="preserve">ARGET </w:t>
            </w:r>
            <w:r>
              <w:rPr>
                <w:sz w:val="20"/>
              </w:rPr>
              <w:t>A</w:t>
            </w:r>
            <w:r>
              <w:rPr>
                <w:sz w:val="16"/>
              </w:rPr>
              <w:t>NALYTE</w:t>
            </w:r>
            <w:r>
              <w:rPr>
                <w:sz w:val="20"/>
              </w:rPr>
              <w:t xml:space="preserve"> </w:t>
            </w:r>
          </w:p>
        </w:tc>
        <w:tc>
          <w:tcPr>
            <w:tcW w:w="3420" w:type="dxa"/>
            <w:tcBorders>
              <w:top w:val="single" w:sz="12" w:space="0" w:color="000000"/>
              <w:left w:val="single" w:sz="12" w:space="0" w:color="000000"/>
              <w:bottom w:val="single" w:sz="12" w:space="0" w:color="000000"/>
              <w:right w:val="single" w:sz="12" w:space="0" w:color="000000"/>
            </w:tcBorders>
            <w:vAlign w:val="center"/>
          </w:tcPr>
          <w:p w14:paraId="410C1731" w14:textId="77777777" w:rsidR="00B56D50" w:rsidRDefault="001C3C42">
            <w:pPr>
              <w:spacing w:after="0" w:line="259" w:lineRule="auto"/>
              <w:ind w:left="0" w:right="112" w:firstLine="0"/>
              <w:jc w:val="center"/>
            </w:pPr>
            <w:r>
              <w:rPr>
                <w:sz w:val="20"/>
              </w:rPr>
              <w:t xml:space="preserve">≤ 20 % </w:t>
            </w:r>
          </w:p>
        </w:tc>
        <w:tc>
          <w:tcPr>
            <w:tcW w:w="3058" w:type="dxa"/>
            <w:tcBorders>
              <w:top w:val="single" w:sz="12" w:space="0" w:color="000000"/>
              <w:left w:val="single" w:sz="12" w:space="0" w:color="000000"/>
              <w:bottom w:val="single" w:sz="12" w:space="0" w:color="000000"/>
              <w:right w:val="single" w:sz="12" w:space="0" w:color="000000"/>
            </w:tcBorders>
            <w:vAlign w:val="center"/>
          </w:tcPr>
          <w:p w14:paraId="07E278F0" w14:textId="41123AE9" w:rsidR="00B56D50" w:rsidRDefault="00E13961">
            <w:pPr>
              <w:spacing w:after="0" w:line="259" w:lineRule="auto"/>
              <w:ind w:left="963" w:right="0" w:firstLine="0"/>
            </w:pPr>
            <w:r>
              <w:rPr>
                <w:sz w:val="20"/>
              </w:rPr>
              <w:t>≤ 20 %</w:t>
            </w:r>
          </w:p>
        </w:tc>
      </w:tr>
    </w:tbl>
    <w:p w14:paraId="208F4466" w14:textId="30557538" w:rsidR="00B56D50" w:rsidRDefault="00B56D50">
      <w:pPr>
        <w:spacing w:after="0" w:line="259" w:lineRule="auto"/>
        <w:ind w:left="1532" w:right="0" w:firstLine="0"/>
      </w:pPr>
    </w:p>
    <w:p w14:paraId="333FB57A" w14:textId="77777777" w:rsidR="00B56D50" w:rsidRDefault="001C3C42" w:rsidP="007A1DF2">
      <w:pPr>
        <w:spacing w:after="0" w:line="259" w:lineRule="auto"/>
        <w:ind w:right="0"/>
      </w:pPr>
      <w:r>
        <w:rPr>
          <w:rFonts w:ascii="Arial" w:eastAsia="Arial" w:hAnsi="Arial" w:cs="Arial"/>
        </w:rPr>
        <w:t xml:space="preserve"> </w:t>
      </w:r>
    </w:p>
    <w:p w14:paraId="2E21DA8B" w14:textId="50ABCEF4" w:rsidR="00B56D50" w:rsidRPr="00CD5519" w:rsidRDefault="001C3C42" w:rsidP="00093377">
      <w:pPr>
        <w:numPr>
          <w:ilvl w:val="0"/>
          <w:numId w:val="100"/>
        </w:numPr>
        <w:spacing w:after="16"/>
        <w:ind w:left="1440" w:right="186" w:hanging="360"/>
        <w:rPr>
          <w:b/>
          <w:bCs/>
        </w:rPr>
      </w:pPr>
      <w:r w:rsidRPr="00CD5519">
        <w:rPr>
          <w:b/>
          <w:bCs/>
        </w:rPr>
        <w:t xml:space="preserve">Establishment of Retention Time Windows </w:t>
      </w:r>
    </w:p>
    <w:p w14:paraId="63C9DC70" w14:textId="7F9A5FAA" w:rsidR="00B56D50" w:rsidRDefault="001C3C42" w:rsidP="00CD5519">
      <w:pPr>
        <w:ind w:left="1450" w:right="0"/>
      </w:pPr>
      <w:r>
        <w:t xml:space="preserve">The Contractor shall </w:t>
      </w:r>
      <w:r w:rsidR="0033677C">
        <w:t>identify</w:t>
      </w:r>
      <w:r>
        <w:t xml:space="preserve"> single-component target analytes based on retention time windows. GRO, DRO and ERO are distinguished based on the ranges of retention times for characteristic components in each type of fuel. </w:t>
      </w:r>
    </w:p>
    <w:p w14:paraId="521A9BA3" w14:textId="77777777" w:rsidR="00B56D50" w:rsidRDefault="001C3C42">
      <w:pPr>
        <w:spacing w:after="0" w:line="259" w:lineRule="auto"/>
        <w:ind w:left="452" w:right="0" w:firstLine="0"/>
      </w:pPr>
      <w:r>
        <w:t xml:space="preserve"> </w:t>
      </w:r>
    </w:p>
    <w:p w14:paraId="61D1AC15" w14:textId="77777777" w:rsidR="00B56D50" w:rsidRDefault="001C3C42" w:rsidP="00093377">
      <w:pPr>
        <w:numPr>
          <w:ilvl w:val="0"/>
          <w:numId w:val="45"/>
        </w:numPr>
        <w:ind w:left="1800" w:right="255" w:hanging="360"/>
      </w:pPr>
      <w:r>
        <w:t>Before establishing windows, make sure the GC system is within optimum operating conditions.  Make three injections of all standards (or standard mixtures) over the course of a 72-hour period.  Serial injections over a period of less than 72 hours may result in retention time windows that are too tight (narrow).</w:t>
      </w:r>
      <w:r>
        <w:rPr>
          <w:b/>
        </w:rPr>
        <w:t xml:space="preserve"> </w:t>
      </w:r>
    </w:p>
    <w:p w14:paraId="43C382BC" w14:textId="77777777" w:rsidR="00B56D50" w:rsidRDefault="001C3C42">
      <w:pPr>
        <w:spacing w:after="0" w:line="259" w:lineRule="auto"/>
        <w:ind w:left="903" w:right="0" w:firstLine="0"/>
      </w:pPr>
      <w:r>
        <w:rPr>
          <w:b/>
        </w:rPr>
        <w:t xml:space="preserve"> </w:t>
      </w:r>
    </w:p>
    <w:p w14:paraId="3E7B4FB9" w14:textId="77777777" w:rsidR="00B56D50" w:rsidRDefault="001C3C42" w:rsidP="00093377">
      <w:pPr>
        <w:numPr>
          <w:ilvl w:val="0"/>
          <w:numId w:val="45"/>
        </w:numPr>
        <w:ind w:left="1800" w:right="255" w:hanging="360"/>
      </w:pPr>
      <w:r>
        <w:t>Record the retention time for each analyte and surrogate to three decimal places (e.g., 0.007).  (Recording retention times to three decimal places rather than only two must minimize the instances in which the standard deviation is calculated as zero.)</w:t>
      </w:r>
      <w:r>
        <w:rPr>
          <w:b/>
        </w:rPr>
        <w:t xml:space="preserve"> </w:t>
      </w:r>
    </w:p>
    <w:p w14:paraId="1BAE357D" w14:textId="77777777" w:rsidR="00B56D50" w:rsidRDefault="001C3C42">
      <w:pPr>
        <w:spacing w:after="0" w:line="259" w:lineRule="auto"/>
        <w:ind w:left="452" w:right="0" w:firstLine="0"/>
      </w:pPr>
      <w:r>
        <w:rPr>
          <w:b/>
        </w:rPr>
        <w:t xml:space="preserve"> </w:t>
      </w:r>
    </w:p>
    <w:p w14:paraId="0546C89E" w14:textId="77777777" w:rsidR="00B56D50" w:rsidRDefault="001C3C42" w:rsidP="00093377">
      <w:pPr>
        <w:numPr>
          <w:ilvl w:val="0"/>
          <w:numId w:val="45"/>
        </w:numPr>
        <w:ind w:left="1800" w:right="255" w:hanging="360"/>
      </w:pPr>
      <w:r>
        <w:t>Calculate the mean and standard deviation of the three absolute retention times for each analyte and surrogate.</w:t>
      </w:r>
      <w:r>
        <w:rPr>
          <w:b/>
        </w:rPr>
        <w:t xml:space="preserve"> </w:t>
      </w:r>
    </w:p>
    <w:p w14:paraId="078AFE77" w14:textId="77777777" w:rsidR="00B56D50" w:rsidRDefault="001C3C42">
      <w:pPr>
        <w:spacing w:after="0" w:line="259" w:lineRule="auto"/>
        <w:ind w:left="452" w:right="0" w:firstLine="0"/>
      </w:pPr>
      <w:r>
        <w:rPr>
          <w:b/>
        </w:rPr>
        <w:t xml:space="preserve"> </w:t>
      </w:r>
    </w:p>
    <w:p w14:paraId="7A50BD05" w14:textId="77777777" w:rsidR="00B56D50" w:rsidRDefault="001C3C42" w:rsidP="00093377">
      <w:pPr>
        <w:numPr>
          <w:ilvl w:val="0"/>
          <w:numId w:val="45"/>
        </w:numPr>
        <w:ind w:left="1800" w:right="255" w:hanging="360"/>
      </w:pPr>
      <w:r>
        <w:t>If the standard deviation of the retention times for a target compound is 0.000 (i.e., there is no difference between the absolute retention times), then the Contractor may either collect data from additional injections of standards or use a default standard deviation of 0.01 minutes.</w:t>
      </w:r>
      <w:r>
        <w:rPr>
          <w:b/>
        </w:rPr>
        <w:t xml:space="preserve"> </w:t>
      </w:r>
    </w:p>
    <w:p w14:paraId="067065F3" w14:textId="77777777" w:rsidR="00B56D50" w:rsidRDefault="001C3C42">
      <w:pPr>
        <w:spacing w:after="0" w:line="259" w:lineRule="auto"/>
        <w:ind w:left="452" w:right="0" w:firstLine="0"/>
      </w:pPr>
      <w:r>
        <w:rPr>
          <w:b/>
        </w:rPr>
        <w:t xml:space="preserve"> </w:t>
      </w:r>
    </w:p>
    <w:p w14:paraId="2103DBF1" w14:textId="4C82BF86" w:rsidR="00B56D50" w:rsidRDefault="001C3C42" w:rsidP="00093377">
      <w:pPr>
        <w:numPr>
          <w:ilvl w:val="0"/>
          <w:numId w:val="45"/>
        </w:numPr>
        <w:ind w:left="1800" w:right="255" w:hanging="360"/>
      </w:pPr>
      <w:r>
        <w:t xml:space="preserve">The width of the retention time window for each analyte and surrogate is defined as </w:t>
      </w:r>
      <w:r w:rsidR="00237311">
        <w:t xml:space="preserve">± </w:t>
      </w:r>
      <w:r>
        <w:t xml:space="preserve">3 times the standard deviation of the mean absolute retention time established during the 72-hour period.  If the default standard deviation in paragraph </w:t>
      </w:r>
      <w:r>
        <w:rPr>
          <w:b/>
        </w:rPr>
        <w:t>(d.)</w:t>
      </w:r>
      <w:r>
        <w:t>, above, is employed, the width of the window will be 0.03 minutes.</w:t>
      </w:r>
      <w:r>
        <w:rPr>
          <w:b/>
        </w:rPr>
        <w:t xml:space="preserve"> </w:t>
      </w:r>
    </w:p>
    <w:p w14:paraId="2C197D06" w14:textId="77777777" w:rsidR="00B56D50" w:rsidRDefault="001C3C42">
      <w:pPr>
        <w:spacing w:after="0" w:line="259" w:lineRule="auto"/>
        <w:ind w:left="452" w:right="0" w:firstLine="0"/>
      </w:pPr>
      <w:r>
        <w:rPr>
          <w:b/>
        </w:rPr>
        <w:lastRenderedPageBreak/>
        <w:t xml:space="preserve"> </w:t>
      </w:r>
    </w:p>
    <w:p w14:paraId="68DE2C2A" w14:textId="77777777" w:rsidR="00B56D50" w:rsidRDefault="001C3C42" w:rsidP="00093377">
      <w:pPr>
        <w:numPr>
          <w:ilvl w:val="0"/>
          <w:numId w:val="45"/>
        </w:numPr>
        <w:ind w:left="1800" w:right="255" w:hanging="360"/>
      </w:pPr>
      <w:r>
        <w:t>Establish the center of the retention time window for each analyte and surrogate by using the absolute retention time for each analyte and surrogate from the calibration verification standard at the beginning of the analytical shift.  For samples run during the same shift as an initial calibration, use the retention time of the mid-point standard of the initial calibration.</w:t>
      </w:r>
      <w:r>
        <w:rPr>
          <w:b/>
        </w:rPr>
        <w:t xml:space="preserve"> </w:t>
      </w:r>
    </w:p>
    <w:p w14:paraId="2E51310F" w14:textId="77777777" w:rsidR="00B56D50" w:rsidRDefault="001C3C42">
      <w:pPr>
        <w:spacing w:after="0" w:line="259" w:lineRule="auto"/>
        <w:ind w:left="452" w:right="0" w:firstLine="0"/>
      </w:pPr>
      <w:r>
        <w:rPr>
          <w:b/>
        </w:rPr>
        <w:t xml:space="preserve"> </w:t>
      </w:r>
    </w:p>
    <w:p w14:paraId="0ADB9B1A" w14:textId="77777777" w:rsidR="00395266" w:rsidRDefault="001C3C42" w:rsidP="00093377">
      <w:pPr>
        <w:numPr>
          <w:ilvl w:val="0"/>
          <w:numId w:val="45"/>
        </w:numPr>
        <w:ind w:left="1800" w:right="255" w:hanging="360"/>
      </w:pPr>
      <w:r>
        <w:t>The Contractor shall calculate absolute retention time windows for each analyte and surrogate on each GC column and instrument.  New retention time windows must be established whenever a new GC column is installed.  The retention time windows must be reported with the analysis results in support of the identifications made.</w:t>
      </w:r>
    </w:p>
    <w:p w14:paraId="7BD3D234" w14:textId="4F9E66D3" w:rsidR="00B56D50" w:rsidRPr="00C604A1" w:rsidRDefault="001C3C42" w:rsidP="006258C5">
      <w:pPr>
        <w:ind w:left="0" w:right="255" w:firstLine="0"/>
      </w:pPr>
      <w:r>
        <w:rPr>
          <w:b/>
        </w:rPr>
        <w:t xml:space="preserve"> </w:t>
      </w:r>
    </w:p>
    <w:p w14:paraId="08341938" w14:textId="6F8B7269" w:rsidR="00B56D50" w:rsidRPr="00577CB1" w:rsidRDefault="001C3C42" w:rsidP="00093377">
      <w:pPr>
        <w:numPr>
          <w:ilvl w:val="0"/>
          <w:numId w:val="100"/>
        </w:numPr>
        <w:spacing w:after="16"/>
        <w:ind w:left="1440" w:right="186" w:hanging="360"/>
        <w:rPr>
          <w:b/>
          <w:bCs/>
        </w:rPr>
      </w:pPr>
      <w:r w:rsidRPr="00577CB1">
        <w:rPr>
          <w:b/>
          <w:bCs/>
        </w:rPr>
        <w:t xml:space="preserve">Calibration Verification </w:t>
      </w:r>
    </w:p>
    <w:p w14:paraId="51B8246D" w14:textId="77777777" w:rsidR="00B56D50" w:rsidRDefault="001C3C42" w:rsidP="00577CB1">
      <w:pPr>
        <w:ind w:left="1450" w:right="255"/>
      </w:pPr>
      <w:r>
        <w:t xml:space="preserve">The Contractor shall verify the initial calibration and retention times at the beginning of each 12-hour work shift, at a minimum.   Additional analyses of the verification standard(s) throughout a 12-hour shift are strongly recommended, especially for samples that contain visible concentrations of oily material.   It is recommended that an interval of once every 10 samples be used (to minimize the number of samples requiring re-injection when QC limits are exceeded). </w:t>
      </w:r>
    </w:p>
    <w:p w14:paraId="205A5473" w14:textId="77777777" w:rsidR="00B56D50" w:rsidRDefault="001C3C42">
      <w:pPr>
        <w:spacing w:after="0" w:line="259" w:lineRule="auto"/>
        <w:ind w:left="1263" w:right="0" w:firstLine="0"/>
      </w:pPr>
      <w:r>
        <w:t xml:space="preserve"> </w:t>
      </w:r>
    </w:p>
    <w:p w14:paraId="44667401" w14:textId="77777777" w:rsidR="00B56D50" w:rsidRDefault="001C3C42" w:rsidP="00093377">
      <w:pPr>
        <w:numPr>
          <w:ilvl w:val="0"/>
          <w:numId w:val="46"/>
        </w:numPr>
        <w:ind w:left="1800" w:right="255" w:hanging="360"/>
      </w:pPr>
      <w:r>
        <w:t xml:space="preserve">When </w:t>
      </w:r>
      <w:r>
        <w:rPr>
          <w:b/>
        </w:rPr>
        <w:t>individual target analytes</w:t>
      </w:r>
      <w:r>
        <w:t xml:space="preserve"> are being analyzed, verification is accomplished by the analysis of </w:t>
      </w:r>
      <w:r>
        <w:rPr>
          <w:u w:val="single" w:color="000000"/>
        </w:rPr>
        <w:t>one or more calibration standards</w:t>
      </w:r>
      <w:r>
        <w:t xml:space="preserve"> (normally mid-concentration) that contain </w:t>
      </w:r>
      <w:proofErr w:type="gramStart"/>
      <w:r>
        <w:t>all of</w:t>
      </w:r>
      <w:proofErr w:type="gramEnd"/>
      <w:r>
        <w:t xml:space="preserve"> the target analytes and surrogates.  If external standard calibration procedures are used, the midpoint calibration verification standard must also be injected at intervals during the 12-hour analytical shift. </w:t>
      </w:r>
      <w:r>
        <w:rPr>
          <w:b/>
        </w:rPr>
        <w:t xml:space="preserve"> </w:t>
      </w:r>
    </w:p>
    <w:p w14:paraId="297D14FE" w14:textId="77777777" w:rsidR="00B56D50" w:rsidRDefault="001C3C42">
      <w:pPr>
        <w:spacing w:after="0" w:line="259" w:lineRule="auto"/>
        <w:ind w:left="903" w:right="0" w:firstLine="0"/>
      </w:pPr>
      <w:r>
        <w:rPr>
          <w:b/>
        </w:rPr>
        <w:t xml:space="preserve"> </w:t>
      </w:r>
    </w:p>
    <w:p w14:paraId="3E9B2AD1" w14:textId="357F51E0" w:rsidR="00B56D50" w:rsidRPr="0033677C" w:rsidRDefault="001C3C42" w:rsidP="00093377">
      <w:pPr>
        <w:numPr>
          <w:ilvl w:val="0"/>
          <w:numId w:val="46"/>
        </w:numPr>
        <w:ind w:left="1800" w:right="255" w:hanging="360"/>
      </w:pPr>
      <w:r>
        <w:t xml:space="preserve">When </w:t>
      </w:r>
      <w:r>
        <w:rPr>
          <w:b/>
        </w:rPr>
        <w:t>petroleum hydrocarbons</w:t>
      </w:r>
      <w:r>
        <w:t xml:space="preserve"> are being analyzed, verification is accomplished by the measurement of the </w:t>
      </w:r>
      <w:r>
        <w:rPr>
          <w:u w:val="single" w:color="000000"/>
        </w:rPr>
        <w:t>fuel standard</w:t>
      </w:r>
      <w:r>
        <w:t xml:space="preserve"> </w:t>
      </w:r>
      <w:r>
        <w:rPr>
          <w:b/>
        </w:rPr>
        <w:t>and</w:t>
      </w:r>
      <w:r>
        <w:t xml:space="preserve"> the </w:t>
      </w:r>
      <w:r>
        <w:rPr>
          <w:u w:val="single" w:color="000000"/>
        </w:rPr>
        <w:t>hydrocarbon retention time standard</w:t>
      </w:r>
      <w:r>
        <w:t>.</w:t>
      </w:r>
      <w:r>
        <w:rPr>
          <w:b/>
        </w:rPr>
        <w:t xml:space="preserve"> </w:t>
      </w:r>
    </w:p>
    <w:p w14:paraId="61C665E5" w14:textId="77777777" w:rsidR="00B56D50" w:rsidRDefault="001C3C42">
      <w:pPr>
        <w:spacing w:after="0" w:line="259" w:lineRule="auto"/>
        <w:ind w:left="452" w:right="0" w:firstLine="0"/>
      </w:pPr>
      <w:r>
        <w:rPr>
          <w:b/>
        </w:rPr>
        <w:t xml:space="preserve"> </w:t>
      </w:r>
    </w:p>
    <w:p w14:paraId="133FF775" w14:textId="2DA1BCBB" w:rsidR="00B56D50" w:rsidRPr="00577CB1" w:rsidRDefault="001C3C42" w:rsidP="00093377">
      <w:pPr>
        <w:numPr>
          <w:ilvl w:val="0"/>
          <w:numId w:val="46"/>
        </w:numPr>
        <w:ind w:left="1800" w:right="255" w:hanging="360"/>
        <w:rPr>
          <w:b/>
          <w:bCs/>
        </w:rPr>
      </w:pPr>
      <w:r w:rsidRPr="00577CB1">
        <w:rPr>
          <w:b/>
          <w:bCs/>
        </w:rPr>
        <w:t>Calibration verification control criteria</w:t>
      </w:r>
      <w:r w:rsidR="00577CB1">
        <w:rPr>
          <w:b/>
          <w:bCs/>
        </w:rPr>
        <w:t>:</w:t>
      </w:r>
      <w:r w:rsidRPr="00577CB1">
        <w:rPr>
          <w:b/>
          <w:bCs/>
        </w:rPr>
        <w:t xml:space="preserve"> </w:t>
      </w:r>
    </w:p>
    <w:p w14:paraId="1805013F" w14:textId="7E378B0A" w:rsidR="00B56D50" w:rsidRDefault="001C3C42">
      <w:pPr>
        <w:spacing w:after="0" w:line="259" w:lineRule="auto"/>
        <w:ind w:left="452" w:right="1481" w:firstLine="0"/>
      </w:pPr>
      <w:r>
        <w:t xml:space="preserve"> </w:t>
      </w:r>
      <w:r w:rsidR="006D365B">
        <w:t xml:space="preserve">  </w:t>
      </w:r>
    </w:p>
    <w:p w14:paraId="799F7AA0" w14:textId="06023F7D" w:rsidR="00B56D50" w:rsidRPr="006D365B" w:rsidRDefault="00DF1D98" w:rsidP="00093377">
      <w:pPr>
        <w:numPr>
          <w:ilvl w:val="0"/>
          <w:numId w:val="103"/>
        </w:numPr>
        <w:spacing w:after="0"/>
        <w:ind w:left="2160" w:right="255" w:hanging="360"/>
      </w:pPr>
      <w:r>
        <w:rPr>
          <w:u w:val="single"/>
        </w:rPr>
        <w:t xml:space="preserve">Response </w:t>
      </w:r>
      <w:r w:rsidRPr="006C3CB6">
        <w:rPr>
          <w:u w:val="single"/>
        </w:rPr>
        <w:t>criteria</w:t>
      </w:r>
      <w:r w:rsidR="00B472A9">
        <w:t xml:space="preserve"> </w:t>
      </w:r>
      <w:r w:rsidR="001879BA" w:rsidRPr="00B472A9">
        <w:t>If</w:t>
      </w:r>
      <w:r w:rsidR="001879BA">
        <w:t xml:space="preserve"> an external standard c</w:t>
      </w:r>
      <w:r w:rsidR="001C3C42">
        <w:t>alibration technique is used, the calibration factor for each single-</w:t>
      </w:r>
      <w:r w:rsidR="001879BA">
        <w:t xml:space="preserve">component analyte, GRO, jet fuel, </w:t>
      </w:r>
      <w:r w:rsidR="006D365B">
        <w:t xml:space="preserve">and kerosene should not exceed </w:t>
      </w:r>
      <w:r w:rsidR="001C3C42">
        <w:t>15 %</w:t>
      </w:r>
      <w:r w:rsidR="006D365B">
        <w:t xml:space="preserve"> </w:t>
      </w:r>
      <w:r w:rsidR="001C3C42">
        <w:t xml:space="preserve">Difference from the mean calibration factor calculated for the initial calibration.  DRO and motor oil should not exceed ≤ 20 %Difference.  If an internal standard calibration technique is used for single-component analytes, the response factor for each analyte should not exceed a ≤ 15 percent difference from the mean response factor calculated for the initial calibration.  </w:t>
      </w:r>
    </w:p>
    <w:p w14:paraId="76303B17" w14:textId="77777777" w:rsidR="00B56D50" w:rsidRDefault="001C3C42">
      <w:pPr>
        <w:spacing w:after="0" w:line="259" w:lineRule="auto"/>
        <w:ind w:left="452" w:right="0" w:firstLine="0"/>
      </w:pPr>
      <w:r>
        <w:t xml:space="preserve"> </w:t>
      </w:r>
    </w:p>
    <w:p w14:paraId="3357E202" w14:textId="1F40FE4F" w:rsidR="00B56D50" w:rsidRDefault="001C3C42" w:rsidP="00093377">
      <w:pPr>
        <w:numPr>
          <w:ilvl w:val="0"/>
          <w:numId w:val="103"/>
        </w:numPr>
        <w:spacing w:after="0"/>
        <w:ind w:left="2160" w:right="255" w:hanging="360"/>
      </w:pPr>
      <w:r>
        <w:rPr>
          <w:u w:val="single" w:color="000000"/>
        </w:rPr>
        <w:t>The retention time</w:t>
      </w:r>
      <w:r>
        <w:t xml:space="preserve"> for each analyte in the calibration verification standard must fall within the retention time window established with the midlevel concentration standard during the initial calibration. </w:t>
      </w:r>
    </w:p>
    <w:p w14:paraId="4D863BEB" w14:textId="77777777" w:rsidR="00B56D50" w:rsidRDefault="001C3C42">
      <w:pPr>
        <w:spacing w:after="0" w:line="259" w:lineRule="auto"/>
        <w:ind w:left="452" w:right="0" w:firstLine="0"/>
      </w:pPr>
      <w:r>
        <w:t xml:space="preserve"> </w:t>
      </w:r>
    </w:p>
    <w:p w14:paraId="31B5945E" w14:textId="34D0EF4C" w:rsidR="00B56D50" w:rsidRDefault="001C3C42" w:rsidP="00E10938">
      <w:pPr>
        <w:ind w:left="2170" w:right="363"/>
      </w:pPr>
      <w:r>
        <w:t xml:space="preserve">If the criteria in TABLE </w:t>
      </w:r>
      <w:r w:rsidR="00E10938">
        <w:t>31</w:t>
      </w:r>
      <w:r>
        <w:t xml:space="preserve"> are not met for any analyte during calibration verification, then corrective action must be taken prior to continuing with analysis of samples.  If attempts to correct the response %Difference problem are unsuccessful, a new initial calibration must be performed.  If attempts to correct the retention time window problem are unsuccessful, new RT windows must be determined.  All </w:t>
      </w:r>
      <w:r>
        <w:lastRenderedPageBreak/>
        <w:t xml:space="preserve">samples analyzed after the last calibration verification standard that met the control criteria must be reanalyzed.  The </w:t>
      </w:r>
      <w:r w:rsidR="009F0B42">
        <w:t>C</w:t>
      </w:r>
      <w:r>
        <w:t>ontractor must report the results from the calibration verifications</w:t>
      </w:r>
      <w:r>
        <w:rPr>
          <w:rFonts w:ascii="Arial" w:eastAsia="Arial" w:hAnsi="Arial" w:cs="Arial"/>
        </w:rPr>
        <w:t xml:space="preserve">. </w:t>
      </w:r>
    </w:p>
    <w:p w14:paraId="1E09A681" w14:textId="2ADE31C2" w:rsidR="00B56D50" w:rsidRDefault="00B56D50" w:rsidP="00EC7567">
      <w:pPr>
        <w:spacing w:after="0" w:line="259" w:lineRule="auto"/>
        <w:ind w:right="0"/>
        <w:rPr>
          <w:rFonts w:ascii="Arial" w:eastAsia="Arial" w:hAnsi="Arial" w:cs="Arial"/>
        </w:rPr>
      </w:pPr>
    </w:p>
    <w:p w14:paraId="06B799CA" w14:textId="345F1010" w:rsidR="005B131B" w:rsidRDefault="001C3C42" w:rsidP="005B131B">
      <w:pPr>
        <w:spacing w:after="0" w:line="248" w:lineRule="auto"/>
        <w:ind w:left="1024" w:right="923"/>
        <w:jc w:val="center"/>
        <w:rPr>
          <w:sz w:val="24"/>
        </w:rPr>
      </w:pPr>
      <w:r>
        <w:rPr>
          <w:b/>
        </w:rPr>
        <w:t xml:space="preserve">TABLE </w:t>
      </w:r>
      <w:r w:rsidR="005B131B">
        <w:rPr>
          <w:b/>
        </w:rPr>
        <w:t>31</w:t>
      </w:r>
    </w:p>
    <w:p w14:paraId="6EE169CA" w14:textId="7C87F464" w:rsidR="00B56D50" w:rsidRPr="005B131B" w:rsidRDefault="001C3C42" w:rsidP="005B131B">
      <w:pPr>
        <w:spacing w:after="0" w:line="248" w:lineRule="auto"/>
        <w:ind w:left="1024" w:right="923"/>
        <w:jc w:val="center"/>
        <w:rPr>
          <w:b/>
          <w:bCs/>
        </w:rPr>
      </w:pPr>
      <w:r w:rsidRPr="005B131B">
        <w:rPr>
          <w:b/>
          <w:bCs/>
          <w:sz w:val="24"/>
        </w:rPr>
        <w:t xml:space="preserve">Calibration Verification Control Criteria for GC Analysis </w:t>
      </w:r>
    </w:p>
    <w:p w14:paraId="58A45C6C" w14:textId="77777777" w:rsidR="00B56D50" w:rsidRDefault="001C3C42">
      <w:pPr>
        <w:spacing w:after="0" w:line="259" w:lineRule="auto"/>
        <w:ind w:left="452" w:right="0" w:firstLine="0"/>
      </w:pPr>
      <w:r>
        <w:rPr>
          <w:rFonts w:ascii="Arial" w:eastAsia="Arial" w:hAnsi="Arial" w:cs="Arial"/>
          <w:sz w:val="8"/>
        </w:rPr>
        <w:t xml:space="preserve"> </w:t>
      </w:r>
    </w:p>
    <w:tbl>
      <w:tblPr>
        <w:tblStyle w:val="TableGrid1"/>
        <w:tblW w:w="9270" w:type="dxa"/>
        <w:tblInd w:w="525" w:type="dxa"/>
        <w:tblCellMar>
          <w:top w:w="42" w:type="dxa"/>
          <w:left w:w="127" w:type="dxa"/>
          <w:right w:w="115" w:type="dxa"/>
        </w:tblCellMar>
        <w:tblLook w:val="04A0" w:firstRow="1" w:lastRow="0" w:firstColumn="1" w:lastColumn="0" w:noHBand="0" w:noVBand="1"/>
      </w:tblPr>
      <w:tblGrid>
        <w:gridCol w:w="2993"/>
        <w:gridCol w:w="2804"/>
        <w:gridCol w:w="3473"/>
      </w:tblGrid>
      <w:tr w:rsidR="00B56D50" w14:paraId="750B4CD2" w14:textId="77777777" w:rsidTr="008D6857">
        <w:trPr>
          <w:trHeight w:val="758"/>
        </w:trPr>
        <w:tc>
          <w:tcPr>
            <w:tcW w:w="2993" w:type="dxa"/>
            <w:tcBorders>
              <w:top w:val="single" w:sz="12" w:space="0" w:color="000000"/>
              <w:left w:val="single" w:sz="12" w:space="0" w:color="000000"/>
              <w:bottom w:val="single" w:sz="12" w:space="0" w:color="000000"/>
              <w:right w:val="single" w:sz="12" w:space="0" w:color="000000"/>
            </w:tcBorders>
            <w:vAlign w:val="center"/>
          </w:tcPr>
          <w:p w14:paraId="347A86C2" w14:textId="7019489A" w:rsidR="00B56D50" w:rsidRDefault="001C3C42" w:rsidP="005B131B">
            <w:pPr>
              <w:spacing w:after="0" w:line="259" w:lineRule="auto"/>
              <w:ind w:left="0" w:right="18" w:firstLine="0"/>
              <w:jc w:val="center"/>
            </w:pPr>
            <w:r>
              <w:rPr>
                <w:b/>
                <w:sz w:val="20"/>
              </w:rPr>
              <w:t>Compound</w:t>
            </w:r>
          </w:p>
        </w:tc>
        <w:tc>
          <w:tcPr>
            <w:tcW w:w="2804" w:type="dxa"/>
            <w:tcBorders>
              <w:top w:val="single" w:sz="12" w:space="0" w:color="000000"/>
              <w:left w:val="single" w:sz="12" w:space="0" w:color="000000"/>
              <w:bottom w:val="single" w:sz="12" w:space="0" w:color="000000"/>
              <w:right w:val="single" w:sz="12" w:space="0" w:color="000000"/>
            </w:tcBorders>
            <w:vAlign w:val="center"/>
          </w:tcPr>
          <w:p w14:paraId="5B908D0D" w14:textId="3818F046" w:rsidR="00B56D50" w:rsidRDefault="001C3C42" w:rsidP="004D3E0D">
            <w:pPr>
              <w:spacing w:after="0" w:line="259" w:lineRule="auto"/>
              <w:ind w:left="0" w:right="23" w:firstLine="0"/>
              <w:jc w:val="center"/>
            </w:pPr>
            <w:r>
              <w:rPr>
                <w:b/>
                <w:sz w:val="20"/>
              </w:rPr>
              <w:t>Calibration Factor % D     or Response Factor % D</w:t>
            </w:r>
          </w:p>
        </w:tc>
        <w:tc>
          <w:tcPr>
            <w:tcW w:w="3473" w:type="dxa"/>
            <w:tcBorders>
              <w:top w:val="single" w:sz="12" w:space="0" w:color="000000"/>
              <w:left w:val="single" w:sz="12" w:space="0" w:color="000000"/>
              <w:bottom w:val="single" w:sz="12" w:space="0" w:color="000000"/>
              <w:right w:val="single" w:sz="12" w:space="0" w:color="000000"/>
            </w:tcBorders>
            <w:vAlign w:val="center"/>
          </w:tcPr>
          <w:p w14:paraId="53801DFD" w14:textId="2FC68300" w:rsidR="00B56D50" w:rsidRDefault="001C3C42" w:rsidP="005B131B">
            <w:pPr>
              <w:spacing w:after="0" w:line="259" w:lineRule="auto"/>
              <w:ind w:left="0" w:right="16" w:firstLine="0"/>
              <w:jc w:val="center"/>
            </w:pPr>
            <w:r>
              <w:rPr>
                <w:b/>
                <w:sz w:val="20"/>
              </w:rPr>
              <w:t>Retention Time</w:t>
            </w:r>
          </w:p>
        </w:tc>
      </w:tr>
      <w:tr w:rsidR="00B56D50" w14:paraId="29BF1E85" w14:textId="77777777" w:rsidTr="008D6857">
        <w:trPr>
          <w:trHeight w:val="576"/>
        </w:trPr>
        <w:tc>
          <w:tcPr>
            <w:tcW w:w="2993" w:type="dxa"/>
            <w:tcBorders>
              <w:top w:val="single" w:sz="12" w:space="0" w:color="000000"/>
              <w:left w:val="single" w:sz="12" w:space="0" w:color="000000"/>
              <w:bottom w:val="single" w:sz="4" w:space="0" w:color="000000"/>
              <w:right w:val="single" w:sz="12" w:space="0" w:color="000000"/>
            </w:tcBorders>
            <w:vAlign w:val="center"/>
          </w:tcPr>
          <w:p w14:paraId="4D8F134B" w14:textId="1A0DDFC0" w:rsidR="00B56D50" w:rsidRPr="00601AD6" w:rsidRDefault="001C3C42" w:rsidP="00CB3721">
            <w:pPr>
              <w:spacing w:after="0" w:line="259" w:lineRule="auto"/>
              <w:ind w:left="0" w:right="15" w:firstLine="0"/>
              <w:jc w:val="center"/>
              <w:rPr>
                <w:sz w:val="20"/>
                <w:szCs w:val="20"/>
              </w:rPr>
            </w:pPr>
            <w:r w:rsidRPr="006720B2">
              <w:rPr>
                <w:sz w:val="20"/>
                <w:szCs w:val="20"/>
              </w:rPr>
              <w:t>S</w:t>
            </w:r>
            <w:r w:rsidRPr="00601AD6">
              <w:rPr>
                <w:sz w:val="20"/>
                <w:szCs w:val="20"/>
              </w:rPr>
              <w:t xml:space="preserve">INGLE </w:t>
            </w:r>
            <w:r w:rsidRPr="006720B2">
              <w:rPr>
                <w:sz w:val="20"/>
                <w:szCs w:val="20"/>
              </w:rPr>
              <w:t>C</w:t>
            </w:r>
            <w:r w:rsidRPr="00601AD6">
              <w:rPr>
                <w:sz w:val="20"/>
                <w:szCs w:val="20"/>
              </w:rPr>
              <w:t xml:space="preserve">OMPONENT </w:t>
            </w:r>
            <w:r w:rsidRPr="006720B2">
              <w:rPr>
                <w:sz w:val="20"/>
                <w:szCs w:val="20"/>
              </w:rPr>
              <w:t>A</w:t>
            </w:r>
            <w:r w:rsidRPr="00601AD6">
              <w:rPr>
                <w:sz w:val="20"/>
                <w:szCs w:val="20"/>
              </w:rPr>
              <w:t>NALYTES</w:t>
            </w:r>
          </w:p>
        </w:tc>
        <w:tc>
          <w:tcPr>
            <w:tcW w:w="2804" w:type="dxa"/>
            <w:tcBorders>
              <w:top w:val="single" w:sz="12" w:space="0" w:color="000000"/>
              <w:left w:val="single" w:sz="12" w:space="0" w:color="000000"/>
              <w:bottom w:val="single" w:sz="4" w:space="0" w:color="000000"/>
              <w:right w:val="single" w:sz="12" w:space="0" w:color="000000"/>
            </w:tcBorders>
            <w:vAlign w:val="center"/>
          </w:tcPr>
          <w:p w14:paraId="275678B6" w14:textId="1733EEE6" w:rsidR="00B56D50" w:rsidRPr="00601AD6" w:rsidRDefault="001C3C42" w:rsidP="00081F1B">
            <w:pPr>
              <w:spacing w:after="154" w:line="259" w:lineRule="auto"/>
              <w:ind w:left="0" w:right="17" w:firstLine="0"/>
              <w:jc w:val="center"/>
              <w:rPr>
                <w:sz w:val="20"/>
                <w:szCs w:val="20"/>
              </w:rPr>
            </w:pPr>
            <w:r w:rsidRPr="006720B2">
              <w:rPr>
                <w:sz w:val="20"/>
                <w:szCs w:val="20"/>
              </w:rPr>
              <w:t>≤ 15</w:t>
            </w:r>
            <w:r w:rsidR="00642261">
              <w:rPr>
                <w:sz w:val="20"/>
                <w:szCs w:val="20"/>
              </w:rPr>
              <w:t xml:space="preserve"> </w:t>
            </w:r>
            <w:r w:rsidRPr="00601AD6">
              <w:rPr>
                <w:sz w:val="20"/>
                <w:szCs w:val="20"/>
              </w:rPr>
              <w:t xml:space="preserve">one or more </w:t>
            </w:r>
            <w:r w:rsidR="00EA0552" w:rsidRPr="00601AD6">
              <w:rPr>
                <w:sz w:val="20"/>
                <w:szCs w:val="20"/>
              </w:rPr>
              <w:t>calibration</w:t>
            </w:r>
            <w:r w:rsidR="00EA0552" w:rsidRPr="006720B2">
              <w:rPr>
                <w:sz w:val="20"/>
                <w:szCs w:val="20"/>
              </w:rPr>
              <w:t xml:space="preserve"> standards</w:t>
            </w:r>
          </w:p>
        </w:tc>
        <w:tc>
          <w:tcPr>
            <w:tcW w:w="3473" w:type="dxa"/>
            <w:tcBorders>
              <w:top w:val="single" w:sz="12" w:space="0" w:color="000000"/>
              <w:left w:val="single" w:sz="12" w:space="0" w:color="000000"/>
              <w:bottom w:val="single" w:sz="4" w:space="0" w:color="000000"/>
              <w:right w:val="single" w:sz="12" w:space="0" w:color="000000"/>
            </w:tcBorders>
            <w:vAlign w:val="center"/>
          </w:tcPr>
          <w:p w14:paraId="3B6195DD" w14:textId="502D5AD1" w:rsidR="00B56D50" w:rsidRPr="00601AD6" w:rsidRDefault="001C3C42" w:rsidP="00CB3721">
            <w:pPr>
              <w:spacing w:after="0" w:line="259" w:lineRule="auto"/>
              <w:ind w:left="0" w:right="0" w:firstLine="0"/>
              <w:jc w:val="center"/>
              <w:rPr>
                <w:sz w:val="20"/>
                <w:szCs w:val="20"/>
              </w:rPr>
            </w:pPr>
            <w:r w:rsidRPr="006720B2">
              <w:rPr>
                <w:sz w:val="20"/>
                <w:szCs w:val="20"/>
              </w:rPr>
              <w:t xml:space="preserve">In </w:t>
            </w:r>
            <w:r w:rsidR="00F17E81" w:rsidRPr="00601AD6">
              <w:rPr>
                <w:sz w:val="20"/>
                <w:szCs w:val="20"/>
              </w:rPr>
              <w:t>Window (</w:t>
            </w:r>
            <w:r w:rsidRPr="00601AD6">
              <w:rPr>
                <w:sz w:val="20"/>
                <w:szCs w:val="20"/>
              </w:rPr>
              <w:t>established with initial calibration midlevel standard RT)</w:t>
            </w:r>
          </w:p>
        </w:tc>
      </w:tr>
      <w:tr w:rsidR="00B56D50" w14:paraId="6A3C88E4" w14:textId="77777777" w:rsidTr="008D6857">
        <w:trPr>
          <w:trHeight w:val="1045"/>
        </w:trPr>
        <w:tc>
          <w:tcPr>
            <w:tcW w:w="2993" w:type="dxa"/>
            <w:tcBorders>
              <w:top w:val="single" w:sz="4" w:space="0" w:color="000000"/>
              <w:left w:val="single" w:sz="12" w:space="0" w:color="000000"/>
              <w:bottom w:val="single" w:sz="4" w:space="0" w:color="000000"/>
              <w:right w:val="single" w:sz="12" w:space="0" w:color="000000"/>
            </w:tcBorders>
            <w:vAlign w:val="center"/>
          </w:tcPr>
          <w:p w14:paraId="2402A8FD" w14:textId="7701DC30" w:rsidR="00B56D50" w:rsidRPr="00601AD6" w:rsidRDefault="001C3C42" w:rsidP="00CB3721">
            <w:pPr>
              <w:spacing w:after="0" w:line="259" w:lineRule="auto"/>
              <w:ind w:left="0" w:right="15" w:firstLine="0"/>
              <w:jc w:val="center"/>
              <w:rPr>
                <w:sz w:val="20"/>
                <w:szCs w:val="20"/>
              </w:rPr>
            </w:pPr>
            <w:r w:rsidRPr="006720B2">
              <w:rPr>
                <w:sz w:val="20"/>
                <w:szCs w:val="20"/>
              </w:rPr>
              <w:t>GRO,</w:t>
            </w:r>
            <w:r w:rsidRPr="00601AD6">
              <w:rPr>
                <w:sz w:val="20"/>
                <w:szCs w:val="20"/>
              </w:rPr>
              <w:t xml:space="preserve"> </w:t>
            </w:r>
            <w:r w:rsidRPr="006720B2">
              <w:rPr>
                <w:sz w:val="20"/>
                <w:szCs w:val="20"/>
              </w:rPr>
              <w:t>J</w:t>
            </w:r>
            <w:r w:rsidRPr="00601AD6">
              <w:rPr>
                <w:sz w:val="20"/>
                <w:szCs w:val="20"/>
              </w:rPr>
              <w:t xml:space="preserve">ET </w:t>
            </w:r>
            <w:r w:rsidRPr="006720B2">
              <w:rPr>
                <w:sz w:val="20"/>
                <w:szCs w:val="20"/>
              </w:rPr>
              <w:t>F</w:t>
            </w:r>
            <w:r w:rsidRPr="00601AD6">
              <w:rPr>
                <w:sz w:val="20"/>
                <w:szCs w:val="20"/>
              </w:rPr>
              <w:t>UEL</w:t>
            </w:r>
            <w:r w:rsidRPr="006720B2">
              <w:rPr>
                <w:sz w:val="20"/>
                <w:szCs w:val="20"/>
              </w:rPr>
              <w:t>,</w:t>
            </w:r>
            <w:r w:rsidRPr="00601AD6">
              <w:rPr>
                <w:sz w:val="20"/>
                <w:szCs w:val="20"/>
              </w:rPr>
              <w:t xml:space="preserve"> </w:t>
            </w:r>
            <w:r w:rsidRPr="006720B2">
              <w:rPr>
                <w:sz w:val="20"/>
                <w:szCs w:val="20"/>
              </w:rPr>
              <w:t>K</w:t>
            </w:r>
            <w:r w:rsidRPr="00601AD6">
              <w:rPr>
                <w:sz w:val="20"/>
                <w:szCs w:val="20"/>
              </w:rPr>
              <w:t>EROSENE</w:t>
            </w:r>
          </w:p>
        </w:tc>
        <w:tc>
          <w:tcPr>
            <w:tcW w:w="2804" w:type="dxa"/>
            <w:tcBorders>
              <w:top w:val="single" w:sz="4" w:space="0" w:color="000000"/>
              <w:left w:val="single" w:sz="12" w:space="0" w:color="000000"/>
              <w:bottom w:val="single" w:sz="4" w:space="0" w:color="000000"/>
              <w:right w:val="single" w:sz="12" w:space="0" w:color="000000"/>
            </w:tcBorders>
            <w:vAlign w:val="center"/>
          </w:tcPr>
          <w:p w14:paraId="156047D4" w14:textId="0E242F47" w:rsidR="00B56D50" w:rsidRPr="00601AD6" w:rsidRDefault="001C3C42" w:rsidP="00081F1B">
            <w:pPr>
              <w:spacing w:after="154" w:line="259" w:lineRule="auto"/>
              <w:ind w:left="0" w:right="12" w:firstLine="0"/>
              <w:jc w:val="center"/>
              <w:rPr>
                <w:sz w:val="20"/>
                <w:szCs w:val="20"/>
              </w:rPr>
            </w:pPr>
            <w:r w:rsidRPr="006720B2">
              <w:rPr>
                <w:sz w:val="20"/>
                <w:szCs w:val="20"/>
              </w:rPr>
              <w:t>≤ 15</w:t>
            </w:r>
            <w:r w:rsidR="00642261">
              <w:rPr>
                <w:sz w:val="20"/>
                <w:szCs w:val="20"/>
              </w:rPr>
              <w:t xml:space="preserve"> </w:t>
            </w:r>
            <w:r w:rsidRPr="006720B2">
              <w:rPr>
                <w:sz w:val="20"/>
                <w:szCs w:val="20"/>
              </w:rPr>
              <w:t>fuel standard and hydrocarbon retention time standard</w:t>
            </w:r>
          </w:p>
        </w:tc>
        <w:tc>
          <w:tcPr>
            <w:tcW w:w="3473" w:type="dxa"/>
            <w:tcBorders>
              <w:top w:val="single" w:sz="4" w:space="0" w:color="000000"/>
              <w:left w:val="single" w:sz="12" w:space="0" w:color="000000"/>
              <w:bottom w:val="single" w:sz="4" w:space="0" w:color="000000"/>
              <w:right w:val="single" w:sz="12" w:space="0" w:color="000000"/>
            </w:tcBorders>
            <w:vAlign w:val="center"/>
          </w:tcPr>
          <w:p w14:paraId="29B04464" w14:textId="51C3FC0A" w:rsidR="00B56D50" w:rsidRPr="00601AD6" w:rsidRDefault="001C3C42" w:rsidP="00CB3721">
            <w:pPr>
              <w:spacing w:after="0" w:line="259" w:lineRule="auto"/>
              <w:ind w:left="0" w:right="0" w:firstLine="0"/>
              <w:jc w:val="center"/>
              <w:rPr>
                <w:sz w:val="20"/>
                <w:szCs w:val="20"/>
              </w:rPr>
            </w:pPr>
            <w:r w:rsidRPr="006720B2">
              <w:rPr>
                <w:sz w:val="20"/>
                <w:szCs w:val="20"/>
              </w:rPr>
              <w:t xml:space="preserve">In </w:t>
            </w:r>
            <w:r w:rsidR="00F17E81" w:rsidRPr="00601AD6">
              <w:rPr>
                <w:sz w:val="20"/>
                <w:szCs w:val="20"/>
              </w:rPr>
              <w:t>Range (</w:t>
            </w:r>
            <w:r w:rsidRPr="00601AD6">
              <w:rPr>
                <w:sz w:val="20"/>
                <w:szCs w:val="20"/>
              </w:rPr>
              <w:t>established with initial calibration standard RT)</w:t>
            </w:r>
          </w:p>
        </w:tc>
      </w:tr>
      <w:tr w:rsidR="00B56D50" w14:paraId="324F0168" w14:textId="77777777" w:rsidTr="008D6857">
        <w:trPr>
          <w:trHeight w:val="1054"/>
        </w:trPr>
        <w:tc>
          <w:tcPr>
            <w:tcW w:w="2993" w:type="dxa"/>
            <w:tcBorders>
              <w:top w:val="single" w:sz="4" w:space="0" w:color="000000"/>
              <w:left w:val="single" w:sz="12" w:space="0" w:color="000000"/>
              <w:bottom w:val="single" w:sz="12" w:space="0" w:color="000000"/>
              <w:right w:val="single" w:sz="12" w:space="0" w:color="000000"/>
            </w:tcBorders>
            <w:vAlign w:val="center"/>
          </w:tcPr>
          <w:p w14:paraId="2F5C877E" w14:textId="66A8F6DA" w:rsidR="00B56D50" w:rsidRPr="00601AD6" w:rsidRDefault="001C3C42" w:rsidP="00CB3721">
            <w:pPr>
              <w:spacing w:after="0" w:line="259" w:lineRule="auto"/>
              <w:ind w:left="0" w:right="17" w:firstLine="0"/>
              <w:jc w:val="center"/>
              <w:rPr>
                <w:sz w:val="20"/>
                <w:szCs w:val="20"/>
              </w:rPr>
            </w:pPr>
            <w:r w:rsidRPr="006720B2">
              <w:rPr>
                <w:sz w:val="20"/>
                <w:szCs w:val="20"/>
              </w:rPr>
              <w:t>D</w:t>
            </w:r>
            <w:r w:rsidRPr="00601AD6">
              <w:rPr>
                <w:sz w:val="20"/>
                <w:szCs w:val="20"/>
              </w:rPr>
              <w:t xml:space="preserve">IESEL </w:t>
            </w:r>
            <w:r w:rsidRPr="006720B2">
              <w:rPr>
                <w:sz w:val="20"/>
                <w:szCs w:val="20"/>
              </w:rPr>
              <w:t>F</w:t>
            </w:r>
            <w:r w:rsidRPr="00601AD6">
              <w:rPr>
                <w:sz w:val="20"/>
                <w:szCs w:val="20"/>
              </w:rPr>
              <w:t xml:space="preserve">UEL AND </w:t>
            </w:r>
            <w:r w:rsidRPr="006720B2">
              <w:rPr>
                <w:sz w:val="20"/>
                <w:szCs w:val="20"/>
              </w:rPr>
              <w:t>M</w:t>
            </w:r>
            <w:r w:rsidRPr="00601AD6">
              <w:rPr>
                <w:sz w:val="20"/>
                <w:szCs w:val="20"/>
              </w:rPr>
              <w:t xml:space="preserve">OTOR </w:t>
            </w:r>
            <w:r w:rsidRPr="006720B2">
              <w:rPr>
                <w:sz w:val="20"/>
                <w:szCs w:val="20"/>
              </w:rPr>
              <w:t>O</w:t>
            </w:r>
            <w:r w:rsidRPr="00601AD6">
              <w:rPr>
                <w:sz w:val="20"/>
                <w:szCs w:val="20"/>
              </w:rPr>
              <w:t>IL</w:t>
            </w:r>
          </w:p>
        </w:tc>
        <w:tc>
          <w:tcPr>
            <w:tcW w:w="2804" w:type="dxa"/>
            <w:tcBorders>
              <w:top w:val="single" w:sz="4" w:space="0" w:color="000000"/>
              <w:left w:val="single" w:sz="12" w:space="0" w:color="000000"/>
              <w:bottom w:val="single" w:sz="12" w:space="0" w:color="000000"/>
              <w:right w:val="single" w:sz="12" w:space="0" w:color="000000"/>
            </w:tcBorders>
            <w:vAlign w:val="center"/>
          </w:tcPr>
          <w:p w14:paraId="62AD32FE" w14:textId="7E0DDCA9" w:rsidR="00B56D50" w:rsidRPr="00601AD6" w:rsidRDefault="001C3C42" w:rsidP="00081F1B">
            <w:pPr>
              <w:spacing w:after="154" w:line="259" w:lineRule="auto"/>
              <w:ind w:left="0" w:right="17" w:firstLine="0"/>
              <w:jc w:val="center"/>
              <w:rPr>
                <w:sz w:val="20"/>
                <w:szCs w:val="20"/>
              </w:rPr>
            </w:pPr>
            <w:r w:rsidRPr="006720B2">
              <w:rPr>
                <w:sz w:val="20"/>
                <w:szCs w:val="20"/>
              </w:rPr>
              <w:t>≤ 20</w:t>
            </w:r>
            <w:r w:rsidR="00642261">
              <w:rPr>
                <w:sz w:val="20"/>
                <w:szCs w:val="20"/>
              </w:rPr>
              <w:t xml:space="preserve"> </w:t>
            </w:r>
            <w:r w:rsidRPr="006720B2">
              <w:rPr>
                <w:sz w:val="20"/>
                <w:szCs w:val="20"/>
              </w:rPr>
              <w:t>fuel standard and hydrocarbon retention time standard</w:t>
            </w:r>
          </w:p>
        </w:tc>
        <w:tc>
          <w:tcPr>
            <w:tcW w:w="3473" w:type="dxa"/>
            <w:tcBorders>
              <w:top w:val="single" w:sz="4" w:space="0" w:color="000000"/>
              <w:left w:val="single" w:sz="12" w:space="0" w:color="000000"/>
              <w:bottom w:val="single" w:sz="12" w:space="0" w:color="000000"/>
              <w:right w:val="single" w:sz="12" w:space="0" w:color="000000"/>
            </w:tcBorders>
            <w:vAlign w:val="center"/>
          </w:tcPr>
          <w:p w14:paraId="298A1B88" w14:textId="16A3EE15" w:rsidR="00B56D50" w:rsidRPr="00601AD6" w:rsidRDefault="001C3C42" w:rsidP="00CB3721">
            <w:pPr>
              <w:spacing w:after="0" w:line="259" w:lineRule="auto"/>
              <w:ind w:left="0" w:right="0" w:firstLine="0"/>
              <w:jc w:val="center"/>
              <w:rPr>
                <w:sz w:val="20"/>
                <w:szCs w:val="20"/>
              </w:rPr>
            </w:pPr>
            <w:r w:rsidRPr="006720B2">
              <w:rPr>
                <w:sz w:val="20"/>
                <w:szCs w:val="20"/>
              </w:rPr>
              <w:t xml:space="preserve">In </w:t>
            </w:r>
            <w:r w:rsidR="000820F3" w:rsidRPr="00601AD6">
              <w:rPr>
                <w:sz w:val="20"/>
                <w:szCs w:val="20"/>
              </w:rPr>
              <w:t>Range (</w:t>
            </w:r>
            <w:r w:rsidRPr="00601AD6">
              <w:rPr>
                <w:sz w:val="20"/>
                <w:szCs w:val="20"/>
              </w:rPr>
              <w:t>established with initial calibration standard RT)</w:t>
            </w:r>
          </w:p>
        </w:tc>
      </w:tr>
    </w:tbl>
    <w:p w14:paraId="1BF5B3D2" w14:textId="77777777" w:rsidR="00B56D50" w:rsidRDefault="001C3C42">
      <w:pPr>
        <w:spacing w:after="1321" w:line="259" w:lineRule="auto"/>
        <w:ind w:left="1947" w:right="0" w:firstLine="0"/>
      </w:pPr>
      <w:r>
        <w:rPr>
          <w:sz w:val="20"/>
        </w:rPr>
        <w:t xml:space="preserve"> </w:t>
      </w:r>
      <w:r>
        <w:rPr>
          <w:sz w:val="20"/>
        </w:rPr>
        <w:tab/>
        <w:t xml:space="preserve"> </w:t>
      </w:r>
      <w:r>
        <w:rPr>
          <w:sz w:val="20"/>
        </w:rPr>
        <w:tab/>
        <w:t xml:space="preserve"> </w:t>
      </w:r>
    </w:p>
    <w:tbl>
      <w:tblPr>
        <w:tblStyle w:val="TableGrid1"/>
        <w:tblpPr w:vertAnchor="text" w:tblpX="527" w:tblpY="-1113"/>
        <w:tblOverlap w:val="never"/>
        <w:tblW w:w="9287" w:type="dxa"/>
        <w:tblInd w:w="0" w:type="dxa"/>
        <w:tblCellMar>
          <w:top w:w="21" w:type="dxa"/>
          <w:left w:w="115" w:type="dxa"/>
          <w:right w:w="221" w:type="dxa"/>
        </w:tblCellMar>
        <w:tblLook w:val="04A0" w:firstRow="1" w:lastRow="0" w:firstColumn="1" w:lastColumn="0" w:noHBand="0" w:noVBand="1"/>
      </w:tblPr>
      <w:tblGrid>
        <w:gridCol w:w="2918"/>
        <w:gridCol w:w="6369"/>
      </w:tblGrid>
      <w:tr w:rsidR="002D4B09" w14:paraId="7279AEE7" w14:textId="77777777" w:rsidTr="008D6857">
        <w:trPr>
          <w:trHeight w:val="540"/>
        </w:trPr>
        <w:tc>
          <w:tcPr>
            <w:tcW w:w="9287" w:type="dxa"/>
            <w:gridSpan w:val="2"/>
            <w:tcBorders>
              <w:top w:val="single" w:sz="12" w:space="0" w:color="000000"/>
              <w:left w:val="single" w:sz="12" w:space="0" w:color="000000"/>
              <w:bottom w:val="single" w:sz="12" w:space="0" w:color="000000"/>
              <w:right w:val="single" w:sz="12" w:space="0" w:color="000000"/>
            </w:tcBorders>
            <w:vAlign w:val="center"/>
          </w:tcPr>
          <w:p w14:paraId="4017E15B" w14:textId="34E2376E" w:rsidR="005B131B" w:rsidRDefault="005B131B" w:rsidP="002D4B09">
            <w:pPr>
              <w:spacing w:after="0" w:line="259" w:lineRule="auto"/>
              <w:ind w:left="0" w:right="0" w:firstLine="0"/>
              <w:rPr>
                <w:b/>
                <w:sz w:val="20"/>
              </w:rPr>
            </w:pPr>
            <w:r>
              <w:rPr>
                <w:b/>
                <w:sz w:val="20"/>
              </w:rPr>
              <w:t>TABLE 31 – Continued</w:t>
            </w:r>
          </w:p>
          <w:p w14:paraId="3C004C3E" w14:textId="68D2997D" w:rsidR="00B56D50" w:rsidRDefault="001C3C42" w:rsidP="002D4B09">
            <w:pPr>
              <w:spacing w:after="0" w:line="259" w:lineRule="auto"/>
              <w:ind w:left="0" w:right="0" w:firstLine="0"/>
            </w:pPr>
            <w:r>
              <w:rPr>
                <w:b/>
                <w:sz w:val="20"/>
              </w:rPr>
              <w:t>Additional Calibration Criteria Applicable to All Compounds (Target and QC)</w:t>
            </w:r>
          </w:p>
        </w:tc>
      </w:tr>
      <w:tr w:rsidR="00D74D96" w14:paraId="6A222A89" w14:textId="77777777" w:rsidTr="00D74D96">
        <w:trPr>
          <w:trHeight w:val="432"/>
        </w:trPr>
        <w:tc>
          <w:tcPr>
            <w:tcW w:w="2918" w:type="dxa"/>
            <w:tcBorders>
              <w:top w:val="single" w:sz="12" w:space="0" w:color="000000"/>
              <w:left w:val="single" w:sz="12" w:space="0" w:color="000000"/>
              <w:bottom w:val="single" w:sz="12" w:space="0" w:color="000000"/>
              <w:right w:val="single" w:sz="12" w:space="0" w:color="000000"/>
            </w:tcBorders>
            <w:vAlign w:val="center"/>
          </w:tcPr>
          <w:p w14:paraId="4137BF97" w14:textId="14FE04CF" w:rsidR="00B56D50" w:rsidRPr="00184B06" w:rsidRDefault="001C3C42" w:rsidP="00D74D96">
            <w:pPr>
              <w:spacing w:after="0" w:line="259" w:lineRule="auto"/>
              <w:ind w:left="0" w:right="0" w:firstLine="0"/>
              <w:jc w:val="center"/>
              <w:rPr>
                <w:sz w:val="20"/>
                <w:szCs w:val="20"/>
              </w:rPr>
            </w:pPr>
            <w:r w:rsidRPr="00184B06">
              <w:rPr>
                <w:sz w:val="20"/>
                <w:szCs w:val="20"/>
              </w:rPr>
              <w:t>GC</w:t>
            </w:r>
          </w:p>
          <w:p w14:paraId="12BDDE72" w14:textId="2BA8EC07" w:rsidR="00B56D50" w:rsidRDefault="001C3C42" w:rsidP="00D74D96">
            <w:pPr>
              <w:spacing w:after="0" w:line="259" w:lineRule="auto"/>
              <w:ind w:left="0" w:right="0" w:firstLine="0"/>
              <w:jc w:val="center"/>
            </w:pPr>
            <w:r w:rsidRPr="00184B06">
              <w:rPr>
                <w:sz w:val="20"/>
                <w:szCs w:val="20"/>
              </w:rPr>
              <w:t>Perfor</w:t>
            </w:r>
            <w:r w:rsidR="0000788F" w:rsidRPr="00184B06">
              <w:rPr>
                <w:sz w:val="20"/>
                <w:szCs w:val="20"/>
              </w:rPr>
              <w:t>mance</w:t>
            </w:r>
          </w:p>
        </w:tc>
        <w:tc>
          <w:tcPr>
            <w:tcW w:w="6369" w:type="dxa"/>
            <w:tcBorders>
              <w:top w:val="single" w:sz="12" w:space="0" w:color="000000"/>
              <w:left w:val="single" w:sz="12" w:space="0" w:color="000000"/>
              <w:bottom w:val="single" w:sz="12" w:space="0" w:color="000000"/>
              <w:right w:val="single" w:sz="12" w:space="0" w:color="000000"/>
            </w:tcBorders>
            <w:vAlign w:val="center"/>
          </w:tcPr>
          <w:p w14:paraId="190B860C" w14:textId="539D7BB8" w:rsidR="00B56D50" w:rsidRDefault="001C3C42" w:rsidP="00D74D96">
            <w:pPr>
              <w:spacing w:after="0" w:line="259" w:lineRule="auto"/>
              <w:ind w:left="0" w:right="0" w:firstLine="0"/>
              <w:jc w:val="center"/>
            </w:pPr>
            <w:r>
              <w:rPr>
                <w:sz w:val="20"/>
              </w:rPr>
              <w:t>Symmetrical peaks, minimum tailing, good resolution</w:t>
            </w:r>
          </w:p>
        </w:tc>
      </w:tr>
    </w:tbl>
    <w:p w14:paraId="3BC6C21B" w14:textId="1425AF6F" w:rsidR="00B56D50" w:rsidRDefault="001C3C42">
      <w:pPr>
        <w:pStyle w:val="Heading4"/>
        <w:spacing w:after="10" w:line="249" w:lineRule="auto"/>
        <w:ind w:left="2569"/>
      </w:pPr>
      <w:r>
        <w:rPr>
          <w:sz w:val="24"/>
        </w:rPr>
        <w:t xml:space="preserve"> </w:t>
      </w:r>
    </w:p>
    <w:p w14:paraId="5AEB87DB" w14:textId="41E0AB8A" w:rsidR="00B56D50" w:rsidRDefault="00B56D50">
      <w:pPr>
        <w:spacing w:after="0" w:line="259" w:lineRule="auto"/>
        <w:ind w:left="452" w:right="0" w:firstLine="0"/>
      </w:pPr>
    </w:p>
    <w:p w14:paraId="18C7D02D" w14:textId="777D84BB" w:rsidR="00B56D50" w:rsidRPr="00E01109" w:rsidRDefault="001C3C42" w:rsidP="00093377">
      <w:pPr>
        <w:numPr>
          <w:ilvl w:val="0"/>
          <w:numId w:val="100"/>
        </w:numPr>
        <w:spacing w:after="16"/>
        <w:ind w:left="1440" w:right="186" w:hanging="360"/>
        <w:rPr>
          <w:b/>
          <w:bCs/>
        </w:rPr>
      </w:pPr>
      <w:r w:rsidRPr="00E01109">
        <w:rPr>
          <w:b/>
          <w:bCs/>
        </w:rPr>
        <w:t xml:space="preserve">Blanks </w:t>
      </w:r>
    </w:p>
    <w:p w14:paraId="448A0C3D" w14:textId="77777777" w:rsidR="00B56D50" w:rsidRDefault="001C3C42" w:rsidP="00E01109">
      <w:pPr>
        <w:ind w:left="1450" w:right="425"/>
      </w:pPr>
      <w:r>
        <w:t xml:space="preserve">The Contractor shall demonstrate through the analysis of a method blank that interferences from the analytical system, glassware, and reagents are under control before processing any samples. Prior to being subjected to the method procedure, interferents must not be observed at the method detection limit of the compounds of interest. </w:t>
      </w:r>
    </w:p>
    <w:p w14:paraId="7F045B58" w14:textId="77777777" w:rsidR="00B56D50" w:rsidRDefault="001C3C42">
      <w:pPr>
        <w:spacing w:after="0" w:line="259" w:lineRule="auto"/>
        <w:ind w:left="1443" w:right="0" w:firstLine="0"/>
      </w:pPr>
      <w:r>
        <w:t xml:space="preserve"> </w:t>
      </w:r>
    </w:p>
    <w:p w14:paraId="65314158" w14:textId="054020AC" w:rsidR="00B56D50" w:rsidRPr="00E01109" w:rsidRDefault="001C3C42" w:rsidP="00093377">
      <w:pPr>
        <w:numPr>
          <w:ilvl w:val="0"/>
          <w:numId w:val="104"/>
        </w:numPr>
        <w:ind w:left="1800" w:right="255" w:hanging="360"/>
        <w:rPr>
          <w:b/>
          <w:bCs/>
        </w:rPr>
      </w:pPr>
      <w:r w:rsidRPr="00E01109">
        <w:rPr>
          <w:b/>
          <w:bCs/>
        </w:rPr>
        <w:t xml:space="preserve">Frequency </w:t>
      </w:r>
    </w:p>
    <w:p w14:paraId="2DA4A8E8" w14:textId="77777777" w:rsidR="00B56D50" w:rsidRDefault="001C3C42" w:rsidP="00E01109">
      <w:pPr>
        <w:ind w:left="1810" w:right="255"/>
      </w:pPr>
      <w:r>
        <w:t>Method blanks must be prepared at a frequency of at least 5%.  That is, at least one method blank must be extracted and analyzed with each group of up to 20 samples analyzed on the same instrument during the same analytical shift.  When the sample extracts are subjected to cleanup procedures, the associated method blank must also be subjected to the same cleanup procedures.  Method blanks may be run immediately after the calibration verification analyses to confirm that laboratory contamination does not cause false positive results.</w:t>
      </w:r>
      <w:r>
        <w:rPr>
          <w:b/>
        </w:rPr>
        <w:t xml:space="preserve"> </w:t>
      </w:r>
    </w:p>
    <w:p w14:paraId="20F0A141" w14:textId="77777777" w:rsidR="00B56D50" w:rsidRDefault="001C3C42">
      <w:pPr>
        <w:spacing w:after="0" w:line="259" w:lineRule="auto"/>
        <w:ind w:left="452" w:right="0" w:firstLine="0"/>
      </w:pPr>
      <w:r>
        <w:t xml:space="preserve"> </w:t>
      </w:r>
    </w:p>
    <w:p w14:paraId="4A66ED57" w14:textId="23F71153" w:rsidR="00B56D50" w:rsidRPr="00402BAF" w:rsidRDefault="00402BAF" w:rsidP="00093377">
      <w:pPr>
        <w:numPr>
          <w:ilvl w:val="0"/>
          <w:numId w:val="104"/>
        </w:numPr>
        <w:ind w:left="1800" w:right="255" w:hanging="360"/>
        <w:rPr>
          <w:b/>
          <w:bCs/>
        </w:rPr>
      </w:pPr>
      <w:r w:rsidRPr="00402BAF">
        <w:rPr>
          <w:b/>
          <w:bCs/>
        </w:rPr>
        <w:t>C</w:t>
      </w:r>
      <w:r w:rsidR="001C3C42" w:rsidRPr="00402BAF">
        <w:rPr>
          <w:b/>
          <w:bCs/>
        </w:rPr>
        <w:t xml:space="preserve">ontrol Criteria </w:t>
      </w:r>
    </w:p>
    <w:p w14:paraId="69ABFB51" w14:textId="77777777" w:rsidR="00B56D50" w:rsidRDefault="001C3C42" w:rsidP="00402BAF">
      <w:pPr>
        <w:ind w:left="1810" w:right="255"/>
      </w:pPr>
      <w:r>
        <w:t xml:space="preserve">Concentrations of </w:t>
      </w:r>
      <w:r>
        <w:rPr>
          <w:u w:val="single" w:color="000000"/>
        </w:rPr>
        <w:t>target analytes</w:t>
      </w:r>
      <w:r>
        <w:t xml:space="preserve"> observed in the method blank must be no higher than the highest of:</w:t>
      </w:r>
      <w:r>
        <w:rPr>
          <w:b/>
        </w:rPr>
        <w:t xml:space="preserve"> </w:t>
      </w:r>
    </w:p>
    <w:p w14:paraId="05D55508" w14:textId="77777777" w:rsidR="00B56D50" w:rsidRDefault="001C3C42">
      <w:pPr>
        <w:spacing w:after="9" w:line="259" w:lineRule="auto"/>
        <w:ind w:left="452" w:right="0" w:firstLine="0"/>
      </w:pPr>
      <w:r>
        <w:lastRenderedPageBreak/>
        <w:t xml:space="preserve"> </w:t>
      </w:r>
    </w:p>
    <w:p w14:paraId="2E009F1C" w14:textId="5AE76FA1" w:rsidR="00854BA4" w:rsidRDefault="001C3C42" w:rsidP="00422BD2">
      <w:pPr>
        <w:numPr>
          <w:ilvl w:val="0"/>
          <w:numId w:val="47"/>
        </w:numPr>
        <w:ind w:left="2160" w:right="255" w:hanging="360"/>
      </w:pPr>
      <w:r>
        <w:t>The Contractor’s quantitation limit for the analyte,</w:t>
      </w:r>
    </w:p>
    <w:p w14:paraId="34207F2B" w14:textId="0F0F2DBF" w:rsidR="00E60948" w:rsidRDefault="001C3C42" w:rsidP="00863146">
      <w:pPr>
        <w:numPr>
          <w:ilvl w:val="0"/>
          <w:numId w:val="47"/>
        </w:numPr>
        <w:ind w:left="2160" w:right="255" w:hanging="360"/>
      </w:pPr>
      <w:r>
        <w:t>5% of the regulatory limit for that analyte (applicable only if the sample results will be compared to that regulatory limit), or</w:t>
      </w:r>
    </w:p>
    <w:p w14:paraId="16072D20" w14:textId="73EDDFB9" w:rsidR="007F0DB7" w:rsidRDefault="007F0DB7" w:rsidP="00863146">
      <w:pPr>
        <w:numPr>
          <w:ilvl w:val="0"/>
          <w:numId w:val="47"/>
        </w:numPr>
        <w:ind w:left="2160" w:right="255" w:hanging="360"/>
      </w:pPr>
      <w:r>
        <w:t>5% of the measured concentration in the sample.</w:t>
      </w:r>
    </w:p>
    <w:p w14:paraId="2C22A73C" w14:textId="00FAC4BD" w:rsidR="00B56D50" w:rsidRDefault="00B56D50" w:rsidP="00E8486E">
      <w:pPr>
        <w:ind w:right="255"/>
      </w:pPr>
    </w:p>
    <w:p w14:paraId="487676F2" w14:textId="08FF9FD3" w:rsidR="00B56D50" w:rsidRDefault="001C3C42" w:rsidP="00093377">
      <w:pPr>
        <w:numPr>
          <w:ilvl w:val="0"/>
          <w:numId w:val="104"/>
        </w:numPr>
        <w:ind w:left="1800" w:right="255" w:hanging="360"/>
      </w:pPr>
      <w:r>
        <w:rPr>
          <w:b/>
        </w:rPr>
        <w:t>Failure of control criteria</w:t>
      </w:r>
      <w:r>
        <w:t>.</w:t>
      </w:r>
      <w:r>
        <w:rPr>
          <w:b/>
        </w:rPr>
        <w:t xml:space="preserve"> </w:t>
      </w:r>
    </w:p>
    <w:p w14:paraId="03BE0D11" w14:textId="77777777" w:rsidR="00B56D50" w:rsidRDefault="001C3C42" w:rsidP="00363B3E">
      <w:pPr>
        <w:ind w:left="1810" w:right="321"/>
      </w:pPr>
      <w:r>
        <w:t>If any laboratory method blank indicates contamination (concentration of any target analyte detected in the blank exceeds the above control criteria), then it may be appropriate to analyze a solvent blank to demonstrate that the contamination is not a result of carryover from standards or samples.</w:t>
      </w:r>
      <w:r>
        <w:rPr>
          <w:b/>
        </w:rPr>
        <w:t xml:space="preserve"> </w:t>
      </w:r>
    </w:p>
    <w:p w14:paraId="2D07EEEA" w14:textId="77777777" w:rsidR="00B56D50" w:rsidRDefault="001C3C42">
      <w:pPr>
        <w:spacing w:after="0" w:line="259" w:lineRule="auto"/>
        <w:ind w:left="452" w:right="0" w:firstLine="0"/>
      </w:pPr>
      <w:r>
        <w:t xml:space="preserve"> </w:t>
      </w:r>
    </w:p>
    <w:p w14:paraId="24654127" w14:textId="77777777" w:rsidR="00B56D50" w:rsidRDefault="001C3C42" w:rsidP="00363B3E">
      <w:pPr>
        <w:ind w:left="1810" w:right="0"/>
      </w:pPr>
      <w:r>
        <w:t xml:space="preserve">If method blank contamination cannot be attributable to carryover, the Contractor shall take corrective action.  The source of the contamination must be located, reduced, and documented.  All samples processed with the contaminated method blank must be re-extracted and reanalyzed. </w:t>
      </w:r>
    </w:p>
    <w:p w14:paraId="5B814D35" w14:textId="77777777" w:rsidR="00B56D50" w:rsidRDefault="001C3C42">
      <w:pPr>
        <w:spacing w:after="0" w:line="259" w:lineRule="auto"/>
        <w:ind w:left="1443" w:right="0" w:firstLine="0"/>
      </w:pPr>
      <w:r>
        <w:t xml:space="preserve"> </w:t>
      </w:r>
    </w:p>
    <w:p w14:paraId="0A7BD481" w14:textId="7C9A784F" w:rsidR="00B56D50" w:rsidRPr="00363B3E" w:rsidRDefault="001C3C42" w:rsidP="00093377">
      <w:pPr>
        <w:numPr>
          <w:ilvl w:val="0"/>
          <w:numId w:val="104"/>
        </w:numPr>
        <w:ind w:left="1800" w:right="255" w:hanging="360"/>
        <w:rPr>
          <w:b/>
          <w:bCs/>
        </w:rPr>
      </w:pPr>
      <w:r w:rsidRPr="00363B3E">
        <w:rPr>
          <w:b/>
          <w:bCs/>
        </w:rPr>
        <w:t xml:space="preserve">Results and reporting </w:t>
      </w:r>
    </w:p>
    <w:p w14:paraId="4B942211" w14:textId="77777777" w:rsidR="00B56D50" w:rsidRDefault="001C3C42" w:rsidP="00363B3E">
      <w:pPr>
        <w:ind w:left="1810" w:right="255"/>
      </w:pPr>
      <w:r>
        <w:t xml:space="preserve">The Contractor shall report results of all method blank analyses.  However, the Contractor shall </w:t>
      </w:r>
      <w:r>
        <w:rPr>
          <w:u w:val="single" w:color="000000"/>
        </w:rPr>
        <w:t>not</w:t>
      </w:r>
      <w:r>
        <w:t xml:space="preserve"> subtract the results of the method blank from those of any associated samples.</w:t>
      </w:r>
      <w:r>
        <w:rPr>
          <w:b/>
        </w:rPr>
        <w:t xml:space="preserve"> </w:t>
      </w:r>
    </w:p>
    <w:p w14:paraId="0CEBD1C7" w14:textId="77777777" w:rsidR="00B56D50" w:rsidRDefault="001C3C42">
      <w:pPr>
        <w:spacing w:after="0" w:line="259" w:lineRule="auto"/>
        <w:ind w:left="452" w:right="0" w:firstLine="0"/>
      </w:pPr>
      <w:r>
        <w:t xml:space="preserve"> </w:t>
      </w:r>
    </w:p>
    <w:p w14:paraId="4DDB6C79" w14:textId="77777777" w:rsidR="00B56D50" w:rsidRDefault="001C3C42" w:rsidP="00363B3E">
      <w:pPr>
        <w:ind w:left="1810" w:right="0"/>
      </w:pPr>
      <w:r>
        <w:t xml:space="preserve">Method blanks and/or solvent blanks may also be used to check for contamination by carryover from a high-concentration sample or standard into subsequent samples. Whenever an unusually concentrated sample is encountered, it must be followed by injection of a solvent blank to check for cross contamination.  If there is evidence that carryover has occurred, then the samples must be reanalyzed. </w:t>
      </w:r>
    </w:p>
    <w:p w14:paraId="75DD4C19" w14:textId="77777777" w:rsidR="00B56D50" w:rsidRDefault="001C3C42">
      <w:pPr>
        <w:spacing w:after="0" w:line="259" w:lineRule="auto"/>
        <w:ind w:left="452" w:right="0" w:firstLine="0"/>
      </w:pPr>
      <w:r>
        <w:t xml:space="preserve"> </w:t>
      </w:r>
    </w:p>
    <w:p w14:paraId="45BD5BBC" w14:textId="13ECC5E9" w:rsidR="00B56D50" w:rsidRPr="00B72EA7" w:rsidRDefault="001C3C42" w:rsidP="00093377">
      <w:pPr>
        <w:numPr>
          <w:ilvl w:val="0"/>
          <w:numId w:val="100"/>
        </w:numPr>
        <w:spacing w:after="16"/>
        <w:ind w:left="1440" w:right="186" w:hanging="360"/>
        <w:rPr>
          <w:b/>
          <w:bCs/>
        </w:rPr>
      </w:pPr>
      <w:r w:rsidRPr="00B72EA7">
        <w:rPr>
          <w:b/>
          <w:bCs/>
        </w:rPr>
        <w:t>Matrix Spike and Matrix Spike Duplicate (or Matrix Spike and Un</w:t>
      </w:r>
      <w:r w:rsidR="00F17E81" w:rsidRPr="00B72EA7">
        <w:rPr>
          <w:b/>
          <w:bCs/>
        </w:rPr>
        <w:t>-</w:t>
      </w:r>
      <w:r w:rsidRPr="00B72EA7">
        <w:rPr>
          <w:b/>
          <w:bCs/>
        </w:rPr>
        <w:t xml:space="preserve">spiked Duplicates) </w:t>
      </w:r>
    </w:p>
    <w:p w14:paraId="0C75107E" w14:textId="2B29B095" w:rsidR="00B56D50" w:rsidRDefault="001C3C42" w:rsidP="00B72EA7">
      <w:pPr>
        <w:spacing w:after="16"/>
        <w:ind w:left="1450" w:right="354"/>
      </w:pPr>
      <w:r>
        <w:t>The Contractor shall analyze at least one matrix spike and one duplicate un</w:t>
      </w:r>
      <w:r w:rsidR="00F17E81">
        <w:t>-</w:t>
      </w:r>
      <w:r>
        <w:t xml:space="preserve">spiked sample or one matrix spike/matrix spike duplicate pair (MS/MSD) to document the effect of the matrix.  </w:t>
      </w:r>
      <w:r>
        <w:rPr>
          <w:b/>
        </w:rPr>
        <w:t xml:space="preserve">The State requires that this be </w:t>
      </w:r>
      <w:proofErr w:type="gramStart"/>
      <w:r>
        <w:rPr>
          <w:b/>
        </w:rPr>
        <w:t>a MS</w:t>
      </w:r>
      <w:proofErr w:type="gramEnd"/>
      <w:r>
        <w:rPr>
          <w:b/>
        </w:rPr>
        <w:t xml:space="preserve">/MSD </w:t>
      </w:r>
      <w:r>
        <w:rPr>
          <w:b/>
          <w:u w:val="single" w:color="000000"/>
        </w:rPr>
        <w:t>unless</w:t>
      </w:r>
      <w:r>
        <w:rPr>
          <w:b/>
        </w:rPr>
        <w:t xml:space="preserve"> the analyte concentration in the un</w:t>
      </w:r>
      <w:r w:rsidR="00F17E81">
        <w:rPr>
          <w:b/>
        </w:rPr>
        <w:t>-</w:t>
      </w:r>
      <w:r>
        <w:rPr>
          <w:b/>
        </w:rPr>
        <w:t>spiked sample exceeds 4x the spike concentration or 0.1% (1000 ppm), whichever is less</w:t>
      </w:r>
      <w:r>
        <w:t>.</w:t>
      </w:r>
      <w:r>
        <w:rPr>
          <w:b/>
        </w:rPr>
        <w:t xml:space="preserve">  If the sample concentration exceeds this level, un</w:t>
      </w:r>
      <w:r w:rsidR="00F17E81">
        <w:rPr>
          <w:b/>
        </w:rPr>
        <w:t>-</w:t>
      </w:r>
      <w:r>
        <w:rPr>
          <w:b/>
        </w:rPr>
        <w:t xml:space="preserve">spiked duplicates should be run.   </w:t>
      </w:r>
    </w:p>
    <w:p w14:paraId="505790B7" w14:textId="4EEE1EAE" w:rsidR="00B56D50" w:rsidRDefault="00B56D50">
      <w:pPr>
        <w:spacing w:after="0" w:line="259" w:lineRule="auto"/>
        <w:ind w:left="452" w:right="0" w:firstLine="0"/>
      </w:pPr>
    </w:p>
    <w:p w14:paraId="4A579366" w14:textId="1018007E" w:rsidR="00B56D50" w:rsidRPr="00DD330B" w:rsidRDefault="001C3C42" w:rsidP="00093377">
      <w:pPr>
        <w:numPr>
          <w:ilvl w:val="0"/>
          <w:numId w:val="105"/>
        </w:numPr>
        <w:ind w:left="1800" w:right="255" w:hanging="360"/>
        <w:rPr>
          <w:b/>
          <w:bCs/>
        </w:rPr>
      </w:pPr>
      <w:r w:rsidRPr="00DD330B">
        <w:rPr>
          <w:b/>
          <w:bCs/>
        </w:rPr>
        <w:t xml:space="preserve">Matrix Spike </w:t>
      </w:r>
    </w:p>
    <w:p w14:paraId="1CBE7E82" w14:textId="6648ADB8" w:rsidR="00B56D50" w:rsidRDefault="001C3C42" w:rsidP="00DD330B">
      <w:pPr>
        <w:ind w:left="1810" w:right="343"/>
      </w:pPr>
      <w:r>
        <w:t xml:space="preserve">The matrix spike (and MSD, if applicable) is a measure of the bias attributed to </w:t>
      </w:r>
      <w:r>
        <w:rPr>
          <w:u w:val="single" w:color="000000"/>
        </w:rPr>
        <w:t>sample</w:t>
      </w:r>
      <w:r>
        <w:t xml:space="preserve"> matrix effects, not just laboratory process effects on phase or concentration characteristics.  The sample matrix includes the target and non-target analytes present in the sample or group of samples: naturally occurring compounds as well as contaminants.  Therefore, the spiked sample </w:t>
      </w:r>
      <w:r>
        <w:rPr>
          <w:u w:val="single" w:color="000000"/>
        </w:rPr>
        <w:t>must</w:t>
      </w:r>
      <w:r>
        <w:t xml:space="preserve"> be from the same project as the group of field samples.  </w:t>
      </w:r>
      <w:r>
        <w:rPr>
          <w:b/>
        </w:rPr>
        <w:t>Samples identified as field blanks shall not be spiked.</w:t>
      </w:r>
      <w:r>
        <w:t xml:space="preserve"> </w:t>
      </w:r>
    </w:p>
    <w:p w14:paraId="5307FB85" w14:textId="77777777" w:rsidR="00B56D50" w:rsidRDefault="001C3C42">
      <w:pPr>
        <w:spacing w:after="0" w:line="259" w:lineRule="auto"/>
        <w:ind w:left="452" w:right="0" w:firstLine="0"/>
      </w:pPr>
      <w:r>
        <w:t xml:space="preserve"> </w:t>
      </w:r>
    </w:p>
    <w:p w14:paraId="7449034A" w14:textId="0688D4DF" w:rsidR="00B56D50" w:rsidRDefault="001C3C42" w:rsidP="00DD330B">
      <w:pPr>
        <w:ind w:left="1810" w:right="255"/>
      </w:pPr>
      <w:r>
        <w:t>At least one MS must be performed on each group of samples of a similar matrix type from the same project (e.g., water, sludges, and soil) for each group of 20 (or fewer) samples received per project.  However, it is not necessary to spike samples when the concentration of the analyte in the un</w:t>
      </w:r>
      <w:r w:rsidR="00FB29FC">
        <w:t>-</w:t>
      </w:r>
      <w:r>
        <w:t xml:space="preserve">spiked sample exceeds 4x the spike concentration or 0.1% (1000 ppm), whichever is less. </w:t>
      </w:r>
    </w:p>
    <w:p w14:paraId="78FE2590" w14:textId="667E3802" w:rsidR="00B56D50" w:rsidRDefault="001C3C42">
      <w:pPr>
        <w:spacing w:after="0" w:line="259" w:lineRule="auto"/>
        <w:ind w:left="1172" w:right="0" w:firstLine="0"/>
      </w:pPr>
      <w:r>
        <w:rPr>
          <w:rFonts w:ascii="Arial" w:eastAsia="Arial" w:hAnsi="Arial" w:cs="Arial"/>
          <w:b/>
        </w:rPr>
        <w:lastRenderedPageBreak/>
        <w:t xml:space="preserve">  </w:t>
      </w:r>
    </w:p>
    <w:p w14:paraId="48F4103B" w14:textId="73A49150" w:rsidR="00B56D50" w:rsidRDefault="001C3C42" w:rsidP="00DD330B">
      <w:pPr>
        <w:ind w:left="2969" w:right="255" w:hanging="1169"/>
      </w:pPr>
      <w:r>
        <w:rPr>
          <w:b/>
        </w:rPr>
        <w:t xml:space="preserve">Please </w:t>
      </w:r>
      <w:r w:rsidR="00F0369E">
        <w:rPr>
          <w:b/>
        </w:rPr>
        <w:t>note</w:t>
      </w:r>
      <w:r w:rsidR="00101E59">
        <w:rPr>
          <w:b/>
        </w:rPr>
        <w:t>:</w:t>
      </w:r>
      <w:r>
        <w:rPr>
          <w:b/>
        </w:rPr>
        <w:t xml:space="preserve"> </w:t>
      </w:r>
      <w:r>
        <w:t xml:space="preserve">MS/MSDs are </w:t>
      </w:r>
      <w:r>
        <w:rPr>
          <w:u w:val="single" w:color="000000"/>
        </w:rPr>
        <w:t>site-specific, project-specific</w:t>
      </w:r>
      <w:r>
        <w:t xml:space="preserve"> information resources and not laboratory performance information resources.  Therefore, it </w:t>
      </w:r>
      <w:r>
        <w:rPr>
          <w:u w:val="single" w:color="000000"/>
        </w:rPr>
        <w:t>is</w:t>
      </w:r>
      <w:r>
        <w:t xml:space="preserve"> necessary to analyze one </w:t>
      </w:r>
      <w:r w:rsidR="00FB29FC">
        <w:t>site-specific</w:t>
      </w:r>
      <w:r>
        <w:t xml:space="preserve"> MS/MSD per sample matrix, per analysis type, </w:t>
      </w:r>
      <w:r>
        <w:rPr>
          <w:u w:val="single" w:color="000000"/>
        </w:rPr>
        <w:t>per sample delivery group</w:t>
      </w:r>
      <w:r>
        <w:t xml:space="preserve">.  However, if a sample delivery group requires multiple analytical batches for one or more analysis type, it is </w:t>
      </w:r>
      <w:r>
        <w:rPr>
          <w:u w:val="single" w:color="000000"/>
        </w:rPr>
        <w:t>not</w:t>
      </w:r>
      <w:r>
        <w:t xml:space="preserve"> necessary to analyze a MS/MSD pair for every analytical </w:t>
      </w:r>
      <w:r w:rsidR="00DF66BC">
        <w:t>batch.</w:t>
      </w:r>
      <w:r>
        <w:t xml:space="preserve"> </w:t>
      </w:r>
    </w:p>
    <w:p w14:paraId="561F7848" w14:textId="77777777" w:rsidR="00B56D50" w:rsidRDefault="001C3C42">
      <w:pPr>
        <w:spacing w:after="0" w:line="259" w:lineRule="auto"/>
        <w:ind w:left="452" w:right="0" w:firstLine="0"/>
      </w:pPr>
      <w:r>
        <w:t xml:space="preserve"> </w:t>
      </w:r>
    </w:p>
    <w:p w14:paraId="10563BA0" w14:textId="3DD38745" w:rsidR="00B56D50" w:rsidRDefault="001C3C42" w:rsidP="00093377">
      <w:pPr>
        <w:numPr>
          <w:ilvl w:val="0"/>
          <w:numId w:val="106"/>
        </w:numPr>
        <w:ind w:left="2160" w:right="255" w:hanging="360"/>
      </w:pPr>
      <w:r>
        <w:rPr>
          <w:u w:val="single" w:color="000000"/>
        </w:rPr>
        <w:t>Compounds to be spiked</w:t>
      </w:r>
      <w:r>
        <w:t xml:space="preserve">: Matrix spiking solutions must be prepared from compounds that are representative of the compounds being investigated.  It is recommended that the MS/MSD be prepared using all target analytes </w:t>
      </w:r>
      <w:proofErr w:type="gramStart"/>
      <w:r>
        <w:t>in order to</w:t>
      </w:r>
      <w:proofErr w:type="gramEnd"/>
      <w:r>
        <w:t xml:space="preserve"> accurately interpret matrix effects on sample results.  The matrix spiking solutions must not be prepared from the same standards as the calibration standards.  However, the same spiking standard prepared for the matrix spike may be used for the LCS. </w:t>
      </w:r>
    </w:p>
    <w:p w14:paraId="573A17F4" w14:textId="77777777" w:rsidR="00B56D50" w:rsidRDefault="001C3C42">
      <w:pPr>
        <w:spacing w:after="0" w:line="259" w:lineRule="auto"/>
        <w:ind w:left="1443" w:right="0" w:firstLine="0"/>
      </w:pPr>
      <w:r>
        <w:t xml:space="preserve"> </w:t>
      </w:r>
    </w:p>
    <w:p w14:paraId="6AB5D9A2" w14:textId="77777777" w:rsidR="00B56D50" w:rsidRDefault="001C3C42" w:rsidP="00093377">
      <w:pPr>
        <w:numPr>
          <w:ilvl w:val="0"/>
          <w:numId w:val="106"/>
        </w:numPr>
        <w:ind w:left="2160" w:right="255" w:hanging="360"/>
      </w:pPr>
      <w:r>
        <w:rPr>
          <w:u w:val="single" w:color="000000"/>
        </w:rPr>
        <w:t>Spike concentrations</w:t>
      </w:r>
      <w:r>
        <w:t xml:space="preserve">.  The </w:t>
      </w:r>
      <w:proofErr w:type="gramStart"/>
      <w:r>
        <w:t>concentrations</w:t>
      </w:r>
      <w:proofErr w:type="gramEnd"/>
      <w:r>
        <w:t xml:space="preserve"> of the spiked compounds in the samples must be at or below the health-</w:t>
      </w:r>
      <w:proofErr w:type="gramStart"/>
      <w:r>
        <w:t>protective action</w:t>
      </w:r>
      <w:proofErr w:type="gramEnd"/>
      <w:r>
        <w:t xml:space="preserve"> level, or 1 to 5 times higher than the background concentration, whichever concentration would be greater. </w:t>
      </w:r>
    </w:p>
    <w:p w14:paraId="5D6B0E91" w14:textId="77777777" w:rsidR="00B56D50" w:rsidRDefault="001C3C42">
      <w:pPr>
        <w:spacing w:after="0" w:line="259" w:lineRule="auto"/>
        <w:ind w:left="452" w:right="0" w:firstLine="0"/>
      </w:pPr>
      <w:r>
        <w:t xml:space="preserve"> </w:t>
      </w:r>
    </w:p>
    <w:p w14:paraId="75411164" w14:textId="4546C135" w:rsidR="00B56D50" w:rsidRDefault="001C3C42" w:rsidP="00093377">
      <w:pPr>
        <w:numPr>
          <w:ilvl w:val="0"/>
          <w:numId w:val="106"/>
        </w:numPr>
        <w:ind w:left="2160" w:right="255" w:hanging="360"/>
      </w:pPr>
      <w:r>
        <w:rPr>
          <w:u w:val="single" w:color="000000"/>
        </w:rPr>
        <w:t>Calculations and Control limits</w:t>
      </w:r>
      <w:r>
        <w:t>.  The Contractor shall develop its own in-house acceptance criteria for spike recoveries.  Recommended minimum % Recovery control limits for the spiked compounds in the MS (and MSD, if applicable) are listed in TABLE 38.</w:t>
      </w:r>
    </w:p>
    <w:p w14:paraId="5C45135A" w14:textId="77777777" w:rsidR="00B56D50" w:rsidRDefault="001C3C42">
      <w:pPr>
        <w:spacing w:after="0" w:line="259" w:lineRule="auto"/>
        <w:ind w:left="452" w:right="0" w:firstLine="0"/>
      </w:pPr>
      <w:r>
        <w:t xml:space="preserve"> </w:t>
      </w:r>
    </w:p>
    <w:p w14:paraId="61043E6F" w14:textId="64D0DFC8" w:rsidR="00B56D50" w:rsidRPr="004D6AFA" w:rsidRDefault="007057ED" w:rsidP="00093377">
      <w:pPr>
        <w:numPr>
          <w:ilvl w:val="0"/>
          <w:numId w:val="105"/>
        </w:numPr>
        <w:ind w:left="1800" w:right="255" w:hanging="360"/>
        <w:rPr>
          <w:b/>
        </w:rPr>
      </w:pPr>
      <w:r w:rsidRPr="00033D41">
        <w:rPr>
          <w:rFonts w:eastAsia="Calibri"/>
          <w:b/>
        </w:rPr>
        <w:t>M</w:t>
      </w:r>
      <w:r w:rsidR="001C3C42" w:rsidRPr="00033D41">
        <w:rPr>
          <w:b/>
        </w:rPr>
        <w:t>S</w:t>
      </w:r>
      <w:r w:rsidR="001C3C42" w:rsidRPr="004D6AFA">
        <w:rPr>
          <w:b/>
        </w:rPr>
        <w:t>/MSD or Un</w:t>
      </w:r>
      <w:r w:rsidR="00FB29FC" w:rsidRPr="004D6AFA">
        <w:rPr>
          <w:b/>
        </w:rPr>
        <w:t>-</w:t>
      </w:r>
      <w:r w:rsidR="001C3C42" w:rsidRPr="004D6AFA">
        <w:rPr>
          <w:b/>
        </w:rPr>
        <w:t xml:space="preserve">spiked Matrix Duplicate Pair </w:t>
      </w:r>
    </w:p>
    <w:p w14:paraId="75FA50C8" w14:textId="3DF80D2E" w:rsidR="006D365B" w:rsidRDefault="001C3C42" w:rsidP="004D6AFA">
      <w:pPr>
        <w:ind w:left="1810" w:right="255"/>
      </w:pPr>
      <w:r>
        <w:t>At least one MSD or one un</w:t>
      </w:r>
      <w:r w:rsidR="00FB29FC">
        <w:t>-</w:t>
      </w:r>
      <w:r>
        <w:t xml:space="preserve">spiked duplicate must be performed on each group of samples of a similar matrix type from the same project (e.g., water, sludges, soil) for each group of 20 (or fewer) samples received per project.  MS/MSD and matrix duplicate RPDs must be reported.  The Contractor shall develop its own in-house acceptance criteria for duplicate RPD.  Recommended RPD control limits are listed in TABLE </w:t>
      </w:r>
      <w:r w:rsidR="00033D41">
        <w:t>32</w:t>
      </w:r>
      <w:r>
        <w:t>.</w:t>
      </w:r>
    </w:p>
    <w:p w14:paraId="6997A689" w14:textId="040725DA" w:rsidR="009C705B" w:rsidRDefault="009C705B" w:rsidP="006D365B">
      <w:pPr>
        <w:ind w:left="0" w:firstLine="0"/>
      </w:pPr>
    </w:p>
    <w:p w14:paraId="400923AC" w14:textId="701E6F9B" w:rsidR="004D6AFA" w:rsidRDefault="001C3C42" w:rsidP="00B26988">
      <w:pPr>
        <w:pStyle w:val="Heading5"/>
        <w:spacing w:after="0"/>
        <w:ind w:left="1024" w:right="923"/>
      </w:pPr>
      <w:r>
        <w:t xml:space="preserve">TABLE </w:t>
      </w:r>
      <w:r w:rsidR="00033D41">
        <w:t>32</w:t>
      </w:r>
      <w:r>
        <w:t xml:space="preserve"> </w:t>
      </w:r>
    </w:p>
    <w:p w14:paraId="63D4E8A0" w14:textId="17EB7C38" w:rsidR="00B56D50" w:rsidRDefault="001C3C42" w:rsidP="00B26988">
      <w:pPr>
        <w:pStyle w:val="Heading5"/>
        <w:spacing w:after="0"/>
        <w:ind w:left="1024" w:right="923"/>
      </w:pPr>
      <w:r>
        <w:t>Recommended MS/MSD and Matrix Duplicate Control Criteria for GC Analysis</w:t>
      </w:r>
      <w:r>
        <w:rPr>
          <w:sz w:val="24"/>
        </w:rPr>
        <w:t xml:space="preserve"> </w:t>
      </w:r>
    </w:p>
    <w:p w14:paraId="79ED3164" w14:textId="77777777" w:rsidR="00B56D50" w:rsidRDefault="001C3C42">
      <w:pPr>
        <w:spacing w:after="0" w:line="259" w:lineRule="auto"/>
        <w:ind w:left="452" w:right="0" w:firstLine="0"/>
      </w:pPr>
      <w:r>
        <w:rPr>
          <w:rFonts w:ascii="Arial" w:eastAsia="Arial" w:hAnsi="Arial" w:cs="Arial"/>
          <w:sz w:val="12"/>
          <w:vertAlign w:val="superscript"/>
        </w:rPr>
        <w:t xml:space="preserve"> </w:t>
      </w:r>
      <w:r>
        <w:rPr>
          <w:rFonts w:ascii="Arial" w:eastAsia="Arial" w:hAnsi="Arial" w:cs="Arial"/>
          <w:sz w:val="12"/>
          <w:vertAlign w:val="superscript"/>
        </w:rPr>
        <w:tab/>
      </w:r>
      <w:r>
        <w:rPr>
          <w:b/>
        </w:rPr>
        <w:t xml:space="preserve"> </w:t>
      </w:r>
      <w:r>
        <w:rPr>
          <w:b/>
        </w:rPr>
        <w:tab/>
        <w:t xml:space="preserve"> </w:t>
      </w:r>
    </w:p>
    <w:tbl>
      <w:tblPr>
        <w:tblStyle w:val="TableGrid1"/>
        <w:tblW w:w="9182" w:type="dxa"/>
        <w:tblInd w:w="624" w:type="dxa"/>
        <w:tblCellMar>
          <w:left w:w="67" w:type="dxa"/>
          <w:right w:w="14" w:type="dxa"/>
        </w:tblCellMar>
        <w:tblLook w:val="04A0" w:firstRow="1" w:lastRow="0" w:firstColumn="1" w:lastColumn="0" w:noHBand="0" w:noVBand="1"/>
      </w:tblPr>
      <w:tblGrid>
        <w:gridCol w:w="2432"/>
        <w:gridCol w:w="1709"/>
        <w:gridCol w:w="1712"/>
        <w:gridCol w:w="1709"/>
        <w:gridCol w:w="1620"/>
      </w:tblGrid>
      <w:tr w:rsidR="00B56D50" w14:paraId="18ECEBC2" w14:textId="77777777" w:rsidTr="00033D41">
        <w:trPr>
          <w:trHeight w:val="401"/>
        </w:trPr>
        <w:tc>
          <w:tcPr>
            <w:tcW w:w="2432" w:type="dxa"/>
            <w:tcBorders>
              <w:top w:val="single" w:sz="12" w:space="0" w:color="000000"/>
              <w:left w:val="single" w:sz="12" w:space="0" w:color="000000"/>
              <w:bottom w:val="single" w:sz="12" w:space="0" w:color="000000"/>
              <w:right w:val="single" w:sz="12" w:space="0" w:color="000000"/>
            </w:tcBorders>
            <w:vAlign w:val="center"/>
          </w:tcPr>
          <w:p w14:paraId="1B8CBF6B" w14:textId="358D7962" w:rsidR="00B56D50" w:rsidRDefault="001C3C42" w:rsidP="00033D41">
            <w:pPr>
              <w:spacing w:after="0" w:line="259" w:lineRule="auto"/>
              <w:ind w:left="0" w:right="57" w:firstLine="0"/>
              <w:jc w:val="center"/>
            </w:pPr>
            <w:r>
              <w:rPr>
                <w:b/>
              </w:rPr>
              <w:t>Matrix:</w:t>
            </w:r>
          </w:p>
        </w:tc>
        <w:tc>
          <w:tcPr>
            <w:tcW w:w="3421" w:type="dxa"/>
            <w:gridSpan w:val="2"/>
            <w:tcBorders>
              <w:top w:val="single" w:sz="12" w:space="0" w:color="000000"/>
              <w:left w:val="single" w:sz="12" w:space="0" w:color="000000"/>
              <w:bottom w:val="single" w:sz="14" w:space="0" w:color="000000"/>
              <w:right w:val="single" w:sz="12" w:space="0" w:color="000000"/>
            </w:tcBorders>
            <w:vAlign w:val="center"/>
          </w:tcPr>
          <w:p w14:paraId="0198298B" w14:textId="0F7669B0" w:rsidR="00B56D50" w:rsidRDefault="001C3C42" w:rsidP="00033D41">
            <w:pPr>
              <w:spacing w:after="0" w:line="259" w:lineRule="auto"/>
              <w:ind w:left="0" w:right="56" w:firstLine="0"/>
              <w:jc w:val="center"/>
            </w:pPr>
            <w:r>
              <w:rPr>
                <w:b/>
              </w:rPr>
              <w:t>Water</w:t>
            </w:r>
          </w:p>
          <w:p w14:paraId="457E596A" w14:textId="4CC14A8C" w:rsidR="00B56D50" w:rsidRDefault="00B56D50" w:rsidP="00033D41">
            <w:pPr>
              <w:spacing w:after="0" w:line="259" w:lineRule="auto"/>
              <w:ind w:left="0" w:right="0" w:firstLine="0"/>
              <w:jc w:val="center"/>
            </w:pPr>
          </w:p>
        </w:tc>
        <w:tc>
          <w:tcPr>
            <w:tcW w:w="3329" w:type="dxa"/>
            <w:gridSpan w:val="2"/>
            <w:tcBorders>
              <w:top w:val="single" w:sz="12" w:space="0" w:color="000000"/>
              <w:left w:val="single" w:sz="12" w:space="0" w:color="000000"/>
              <w:bottom w:val="single" w:sz="14" w:space="0" w:color="000000"/>
              <w:right w:val="single" w:sz="12" w:space="0" w:color="000000"/>
            </w:tcBorders>
            <w:vAlign w:val="center"/>
          </w:tcPr>
          <w:p w14:paraId="1B391FE3" w14:textId="2E55ACE2" w:rsidR="00B56D50" w:rsidRDefault="001C3C42" w:rsidP="00033D41">
            <w:pPr>
              <w:spacing w:after="0" w:line="259" w:lineRule="auto"/>
              <w:ind w:left="0" w:right="52" w:firstLine="0"/>
              <w:jc w:val="center"/>
            </w:pPr>
            <w:r>
              <w:rPr>
                <w:b/>
              </w:rPr>
              <w:t>Other Matrices</w:t>
            </w:r>
          </w:p>
          <w:p w14:paraId="79890760" w14:textId="27D633A5" w:rsidR="00B56D50" w:rsidRDefault="00B56D50" w:rsidP="00033D41">
            <w:pPr>
              <w:spacing w:after="0" w:line="259" w:lineRule="auto"/>
              <w:ind w:left="0" w:right="0" w:firstLine="0"/>
              <w:jc w:val="center"/>
            </w:pPr>
          </w:p>
        </w:tc>
      </w:tr>
      <w:tr w:rsidR="00B56D50" w14:paraId="2D3E40A2" w14:textId="77777777" w:rsidTr="00033D41">
        <w:trPr>
          <w:trHeight w:val="655"/>
        </w:trPr>
        <w:tc>
          <w:tcPr>
            <w:tcW w:w="2432" w:type="dxa"/>
            <w:tcBorders>
              <w:top w:val="single" w:sz="12" w:space="0" w:color="000000"/>
              <w:left w:val="single" w:sz="12" w:space="0" w:color="000000"/>
              <w:bottom w:val="single" w:sz="12" w:space="0" w:color="000000"/>
              <w:right w:val="single" w:sz="12" w:space="0" w:color="000000"/>
            </w:tcBorders>
            <w:vAlign w:val="center"/>
          </w:tcPr>
          <w:p w14:paraId="541D2AF2" w14:textId="5F87F6BD" w:rsidR="00B56D50" w:rsidRDefault="00B56D50" w:rsidP="00033D41">
            <w:pPr>
              <w:spacing w:after="0" w:line="259" w:lineRule="auto"/>
              <w:ind w:left="0" w:right="0" w:firstLine="0"/>
              <w:jc w:val="center"/>
            </w:pPr>
          </w:p>
          <w:p w14:paraId="7E056BF7" w14:textId="7E119A88" w:rsidR="00B56D50" w:rsidRDefault="001C3C42" w:rsidP="00033D41">
            <w:pPr>
              <w:spacing w:after="0" w:line="259" w:lineRule="auto"/>
              <w:ind w:left="0" w:right="53" w:firstLine="0"/>
              <w:jc w:val="center"/>
            </w:pPr>
            <w:r>
              <w:rPr>
                <w:b/>
              </w:rPr>
              <w:t>Compound</w:t>
            </w:r>
          </w:p>
        </w:tc>
        <w:tc>
          <w:tcPr>
            <w:tcW w:w="1709" w:type="dxa"/>
            <w:tcBorders>
              <w:top w:val="single" w:sz="14" w:space="0" w:color="000000"/>
              <w:left w:val="single" w:sz="12" w:space="0" w:color="000000"/>
              <w:bottom w:val="single" w:sz="12" w:space="0" w:color="000000"/>
              <w:right w:val="single" w:sz="12" w:space="0" w:color="000000"/>
            </w:tcBorders>
            <w:vAlign w:val="center"/>
          </w:tcPr>
          <w:p w14:paraId="310BCBB5" w14:textId="04624680" w:rsidR="00B56D50" w:rsidRDefault="001C3C42" w:rsidP="00033D41">
            <w:pPr>
              <w:spacing w:after="0" w:line="259" w:lineRule="auto"/>
              <w:ind w:left="0" w:right="0" w:firstLine="0"/>
              <w:jc w:val="center"/>
            </w:pPr>
            <w:r>
              <w:rPr>
                <w:b/>
              </w:rPr>
              <w:t xml:space="preserve">MS/MSD </w:t>
            </w:r>
            <w:r w:rsidR="00FB29FC">
              <w:rPr>
                <w:b/>
              </w:rPr>
              <w:t>Spike %</w:t>
            </w:r>
            <w:r>
              <w:rPr>
                <w:b/>
              </w:rPr>
              <w:t xml:space="preserve"> Recovery</w:t>
            </w:r>
          </w:p>
        </w:tc>
        <w:tc>
          <w:tcPr>
            <w:tcW w:w="1712" w:type="dxa"/>
            <w:tcBorders>
              <w:top w:val="single" w:sz="14" w:space="0" w:color="000000"/>
              <w:left w:val="single" w:sz="12" w:space="0" w:color="000000"/>
              <w:bottom w:val="single" w:sz="12" w:space="0" w:color="000000"/>
              <w:right w:val="single" w:sz="12" w:space="0" w:color="000000"/>
            </w:tcBorders>
            <w:vAlign w:val="center"/>
          </w:tcPr>
          <w:p w14:paraId="2C92A4AA" w14:textId="49374FFA" w:rsidR="00B56D50" w:rsidRDefault="001C3C42" w:rsidP="00033D41">
            <w:pPr>
              <w:spacing w:after="0" w:line="259" w:lineRule="auto"/>
              <w:ind w:left="86" w:right="0" w:firstLine="101"/>
              <w:jc w:val="center"/>
            </w:pPr>
            <w:r>
              <w:rPr>
                <w:b/>
              </w:rPr>
              <w:t>MS/</w:t>
            </w:r>
            <w:r w:rsidR="00FB29FC">
              <w:rPr>
                <w:b/>
              </w:rPr>
              <w:t>MSD or</w:t>
            </w:r>
            <w:r>
              <w:rPr>
                <w:b/>
              </w:rPr>
              <w:t xml:space="preserve"> Duplicate RPD</w:t>
            </w:r>
          </w:p>
        </w:tc>
        <w:tc>
          <w:tcPr>
            <w:tcW w:w="1709" w:type="dxa"/>
            <w:tcBorders>
              <w:top w:val="single" w:sz="14" w:space="0" w:color="000000"/>
              <w:left w:val="single" w:sz="12" w:space="0" w:color="000000"/>
              <w:bottom w:val="single" w:sz="12" w:space="0" w:color="000000"/>
              <w:right w:val="single" w:sz="12" w:space="0" w:color="000000"/>
            </w:tcBorders>
            <w:vAlign w:val="center"/>
          </w:tcPr>
          <w:p w14:paraId="10C3D34B" w14:textId="6A03FB7D" w:rsidR="00B56D50" w:rsidRDefault="001C3C42" w:rsidP="00033D41">
            <w:pPr>
              <w:spacing w:after="0" w:line="259" w:lineRule="auto"/>
              <w:ind w:left="0" w:right="0" w:firstLine="0"/>
              <w:jc w:val="center"/>
            </w:pPr>
            <w:r>
              <w:rPr>
                <w:b/>
              </w:rPr>
              <w:t xml:space="preserve">MS/MSD </w:t>
            </w:r>
            <w:r w:rsidR="00FB29FC">
              <w:rPr>
                <w:b/>
              </w:rPr>
              <w:t>Spike %</w:t>
            </w:r>
            <w:r>
              <w:rPr>
                <w:b/>
              </w:rPr>
              <w:t xml:space="preserve"> Recovery</w:t>
            </w:r>
          </w:p>
        </w:tc>
        <w:tc>
          <w:tcPr>
            <w:tcW w:w="1620" w:type="dxa"/>
            <w:tcBorders>
              <w:top w:val="single" w:sz="14" w:space="0" w:color="000000"/>
              <w:left w:val="single" w:sz="12" w:space="0" w:color="000000"/>
              <w:bottom w:val="single" w:sz="12" w:space="0" w:color="000000"/>
              <w:right w:val="single" w:sz="12" w:space="0" w:color="000000"/>
            </w:tcBorders>
            <w:vAlign w:val="center"/>
          </w:tcPr>
          <w:p w14:paraId="438DAD4D" w14:textId="35D3EA2A" w:rsidR="00B56D50" w:rsidRDefault="001C3C42" w:rsidP="00033D41">
            <w:pPr>
              <w:spacing w:after="0" w:line="259" w:lineRule="auto"/>
              <w:ind w:left="0" w:right="0" w:firstLine="0"/>
              <w:jc w:val="center"/>
            </w:pPr>
            <w:r>
              <w:rPr>
                <w:b/>
              </w:rPr>
              <w:t>MS/MSD or Duplicate RPD</w:t>
            </w:r>
          </w:p>
        </w:tc>
      </w:tr>
      <w:tr w:rsidR="00B56D50" w14:paraId="23A0C465" w14:textId="77777777" w:rsidTr="00311FBF">
        <w:trPr>
          <w:trHeight w:val="717"/>
        </w:trPr>
        <w:tc>
          <w:tcPr>
            <w:tcW w:w="2432" w:type="dxa"/>
            <w:tcBorders>
              <w:top w:val="single" w:sz="12" w:space="0" w:color="000000"/>
              <w:left w:val="single" w:sz="12" w:space="0" w:color="000000"/>
              <w:bottom w:val="single" w:sz="12" w:space="0" w:color="000000"/>
              <w:right w:val="single" w:sz="12" w:space="0" w:color="000000"/>
            </w:tcBorders>
            <w:vAlign w:val="center"/>
          </w:tcPr>
          <w:p w14:paraId="35CEF49C" w14:textId="13EA2FCD" w:rsidR="00B56D50" w:rsidRDefault="001C3C42" w:rsidP="00033D41">
            <w:pPr>
              <w:spacing w:after="0" w:line="259" w:lineRule="auto"/>
              <w:ind w:left="55" w:right="0" w:firstLine="0"/>
              <w:jc w:val="center"/>
            </w:pPr>
            <w:r>
              <w:t>A</w:t>
            </w:r>
            <w:r>
              <w:rPr>
                <w:sz w:val="18"/>
              </w:rPr>
              <w:t xml:space="preserve">LL </w:t>
            </w:r>
            <w:r>
              <w:t>T</w:t>
            </w:r>
            <w:r>
              <w:rPr>
                <w:sz w:val="18"/>
              </w:rPr>
              <w:t xml:space="preserve">ARGET </w:t>
            </w:r>
            <w:r>
              <w:t>A</w:t>
            </w:r>
            <w:r>
              <w:rPr>
                <w:sz w:val="18"/>
              </w:rPr>
              <w:t>NALYTES</w:t>
            </w:r>
          </w:p>
        </w:tc>
        <w:tc>
          <w:tcPr>
            <w:tcW w:w="1709" w:type="dxa"/>
            <w:tcBorders>
              <w:top w:val="single" w:sz="12" w:space="0" w:color="000000"/>
              <w:left w:val="single" w:sz="12" w:space="0" w:color="000000"/>
              <w:bottom w:val="single" w:sz="12" w:space="0" w:color="000000"/>
              <w:right w:val="single" w:sz="12" w:space="0" w:color="000000"/>
            </w:tcBorders>
            <w:vAlign w:val="center"/>
          </w:tcPr>
          <w:p w14:paraId="6EA68C54" w14:textId="0816F7AA" w:rsidR="00B56D50" w:rsidRDefault="001C3C42" w:rsidP="00033D41">
            <w:pPr>
              <w:spacing w:after="0" w:line="259" w:lineRule="auto"/>
              <w:ind w:left="0" w:right="55" w:firstLine="0"/>
              <w:jc w:val="center"/>
            </w:pPr>
            <w:r>
              <w:t>70-130</w:t>
            </w:r>
          </w:p>
        </w:tc>
        <w:tc>
          <w:tcPr>
            <w:tcW w:w="1712" w:type="dxa"/>
            <w:tcBorders>
              <w:top w:val="single" w:sz="12" w:space="0" w:color="000000"/>
              <w:left w:val="single" w:sz="12" w:space="0" w:color="000000"/>
              <w:bottom w:val="single" w:sz="12" w:space="0" w:color="000000"/>
              <w:right w:val="single" w:sz="12" w:space="0" w:color="000000"/>
            </w:tcBorders>
            <w:vAlign w:val="center"/>
          </w:tcPr>
          <w:p w14:paraId="05824084" w14:textId="393900A7" w:rsidR="00B56D50" w:rsidRDefault="001C3C42" w:rsidP="00033D41">
            <w:pPr>
              <w:spacing w:after="0" w:line="259" w:lineRule="auto"/>
              <w:ind w:left="0" w:right="56" w:firstLine="0"/>
              <w:jc w:val="center"/>
            </w:pPr>
            <w:r>
              <w:t>20</w:t>
            </w:r>
          </w:p>
        </w:tc>
        <w:tc>
          <w:tcPr>
            <w:tcW w:w="1709" w:type="dxa"/>
            <w:tcBorders>
              <w:top w:val="single" w:sz="12" w:space="0" w:color="000000"/>
              <w:left w:val="single" w:sz="12" w:space="0" w:color="000000"/>
              <w:bottom w:val="single" w:sz="12" w:space="0" w:color="000000"/>
              <w:right w:val="single" w:sz="12" w:space="0" w:color="000000"/>
            </w:tcBorders>
            <w:vAlign w:val="center"/>
          </w:tcPr>
          <w:p w14:paraId="0296B4D2" w14:textId="17B04640" w:rsidR="00B56D50" w:rsidRDefault="001C3C42" w:rsidP="00033D41">
            <w:pPr>
              <w:spacing w:after="0" w:line="259" w:lineRule="auto"/>
              <w:ind w:left="0" w:right="56" w:firstLine="0"/>
              <w:jc w:val="center"/>
            </w:pPr>
            <w:r>
              <w:t>60-140</w:t>
            </w:r>
          </w:p>
        </w:tc>
        <w:tc>
          <w:tcPr>
            <w:tcW w:w="1620" w:type="dxa"/>
            <w:tcBorders>
              <w:top w:val="single" w:sz="12" w:space="0" w:color="000000"/>
              <w:left w:val="single" w:sz="12" w:space="0" w:color="000000"/>
              <w:bottom w:val="single" w:sz="12" w:space="0" w:color="000000"/>
              <w:right w:val="single" w:sz="12" w:space="0" w:color="000000"/>
            </w:tcBorders>
            <w:vAlign w:val="center"/>
          </w:tcPr>
          <w:p w14:paraId="20421EB5" w14:textId="3891C666" w:rsidR="00B56D50" w:rsidRDefault="001C3C42" w:rsidP="00033D41">
            <w:pPr>
              <w:spacing w:after="0" w:line="259" w:lineRule="auto"/>
              <w:ind w:left="0" w:right="55" w:firstLine="0"/>
              <w:jc w:val="center"/>
            </w:pPr>
            <w:r>
              <w:t>40</w:t>
            </w:r>
          </w:p>
        </w:tc>
      </w:tr>
    </w:tbl>
    <w:p w14:paraId="699B2AD5" w14:textId="77777777" w:rsidR="00B56D50" w:rsidRDefault="001C3C42">
      <w:pPr>
        <w:spacing w:after="0" w:line="259" w:lineRule="auto"/>
        <w:ind w:left="452" w:right="0" w:firstLine="0"/>
      </w:pPr>
      <w:r>
        <w:t xml:space="preserve"> </w:t>
      </w:r>
    </w:p>
    <w:p w14:paraId="00C72CE9" w14:textId="35CBB927" w:rsidR="00B56D50" w:rsidRPr="00C20976" w:rsidRDefault="001C3C42" w:rsidP="00093377">
      <w:pPr>
        <w:numPr>
          <w:ilvl w:val="0"/>
          <w:numId w:val="100"/>
        </w:numPr>
        <w:spacing w:after="16"/>
        <w:ind w:left="1440" w:right="186" w:hanging="360"/>
        <w:rPr>
          <w:b/>
          <w:bCs/>
        </w:rPr>
      </w:pPr>
      <w:r w:rsidRPr="00C20976">
        <w:rPr>
          <w:b/>
          <w:bCs/>
        </w:rPr>
        <w:t xml:space="preserve">Surrogate Standards </w:t>
      </w:r>
    </w:p>
    <w:p w14:paraId="74129FF6" w14:textId="5BC74B1A" w:rsidR="00B56D50" w:rsidRDefault="001C3C42" w:rsidP="00C20976">
      <w:pPr>
        <w:ind w:left="1450" w:right="255"/>
      </w:pPr>
      <w:r>
        <w:t xml:space="preserve">The </w:t>
      </w:r>
      <w:r w:rsidR="00101E59">
        <w:t>Contractor</w:t>
      </w:r>
      <w:r>
        <w:t xml:space="preserve"> shall monitor the performance of the method using at least one surrogate compound.  The surrogate standards must be added to all samples, method blanks, matrix spikes, and calibration standards. </w:t>
      </w:r>
    </w:p>
    <w:p w14:paraId="098F9EDA" w14:textId="77777777" w:rsidR="00B56D50" w:rsidRDefault="001C3C42">
      <w:pPr>
        <w:spacing w:after="0" w:line="259" w:lineRule="auto"/>
        <w:ind w:left="452" w:right="0" w:firstLine="0"/>
      </w:pPr>
      <w:r>
        <w:t xml:space="preserve"> </w:t>
      </w:r>
    </w:p>
    <w:p w14:paraId="39237217" w14:textId="77777777" w:rsidR="006D365B" w:rsidRDefault="001C3C42" w:rsidP="00C20976">
      <w:pPr>
        <w:ind w:left="1450" w:right="255"/>
      </w:pPr>
      <w:r>
        <w:lastRenderedPageBreak/>
        <w:t>Surrogate recoveries must not exceed the control limits listed in the analytical method or developed by the Contractor.  Proceed with corrective action when the % Recovery for any surrogate does not meet control limits.</w:t>
      </w:r>
    </w:p>
    <w:p w14:paraId="707D36E3" w14:textId="77777777" w:rsidR="006D365B" w:rsidRDefault="006D365B" w:rsidP="006D365B">
      <w:pPr>
        <w:ind w:left="733" w:right="255"/>
      </w:pPr>
    </w:p>
    <w:p w14:paraId="48E549B8" w14:textId="49931CAD" w:rsidR="00B56D50" w:rsidRDefault="001C3C42" w:rsidP="00C20976">
      <w:pPr>
        <w:ind w:left="1450" w:right="255"/>
      </w:pPr>
      <w:r>
        <w:tab/>
        <w:t xml:space="preserve">Surrogate recoveries must be reported.  Include the in-house historical surrogate recoveries in the report. </w:t>
      </w:r>
    </w:p>
    <w:p w14:paraId="060DDC5D" w14:textId="39C80229" w:rsidR="00687594" w:rsidRDefault="001C3C42">
      <w:pPr>
        <w:spacing w:after="0" w:line="259" w:lineRule="auto"/>
        <w:ind w:left="452" w:right="0" w:firstLine="0"/>
      </w:pPr>
      <w:r>
        <w:t xml:space="preserve"> </w:t>
      </w:r>
    </w:p>
    <w:p w14:paraId="72C0F8A2" w14:textId="4951F2CF" w:rsidR="00B56D50" w:rsidRPr="00C20976" w:rsidRDefault="001C3C42" w:rsidP="00093377">
      <w:pPr>
        <w:numPr>
          <w:ilvl w:val="0"/>
          <w:numId w:val="100"/>
        </w:numPr>
        <w:spacing w:after="16"/>
        <w:ind w:left="1440" w:right="186" w:hanging="360"/>
        <w:rPr>
          <w:b/>
          <w:bCs/>
        </w:rPr>
      </w:pPr>
      <w:r w:rsidRPr="00C20976">
        <w:rPr>
          <w:b/>
          <w:bCs/>
        </w:rPr>
        <w:t xml:space="preserve">Control Criteria for Internal Standards </w:t>
      </w:r>
    </w:p>
    <w:p w14:paraId="700F449A" w14:textId="77777777" w:rsidR="00B56D50" w:rsidRDefault="001C3C42" w:rsidP="00C20976">
      <w:pPr>
        <w:ind w:left="1450" w:right="395"/>
      </w:pPr>
      <w:r>
        <w:t xml:space="preserve">The Contractor shall evaluate internal standard data for acceptance whenever quantitation is accomplished using an internal standard.  The measured area of the internal standard must be no more than 50% different from the average area calculated during calibration.  All samples for which the internal standard peak area falls outside the control limits must be reanalyzed.   </w:t>
      </w:r>
    </w:p>
    <w:p w14:paraId="14C7BB90" w14:textId="77777777" w:rsidR="00B56D50" w:rsidRDefault="001C3C42">
      <w:pPr>
        <w:spacing w:after="0" w:line="259" w:lineRule="auto"/>
        <w:ind w:left="452" w:right="0" w:firstLine="0"/>
      </w:pPr>
      <w:r>
        <w:t xml:space="preserve"> </w:t>
      </w:r>
    </w:p>
    <w:p w14:paraId="4D734147" w14:textId="1BB79AB4" w:rsidR="00B56D50" w:rsidRDefault="001C3C42" w:rsidP="00093377">
      <w:pPr>
        <w:numPr>
          <w:ilvl w:val="0"/>
          <w:numId w:val="100"/>
        </w:numPr>
        <w:spacing w:after="16"/>
        <w:ind w:left="1440" w:right="186" w:hanging="360"/>
      </w:pPr>
      <w:r w:rsidRPr="00C20976">
        <w:rPr>
          <w:b/>
          <w:bCs/>
        </w:rPr>
        <w:t>Confirmation</w:t>
      </w:r>
      <w:r>
        <w:t xml:space="preserve"> of Target Analyte Identification  </w:t>
      </w:r>
    </w:p>
    <w:p w14:paraId="599C22F3" w14:textId="12BA50DA" w:rsidR="00B56D50" w:rsidRDefault="001C3C42" w:rsidP="00C20976">
      <w:pPr>
        <w:ind w:left="1450" w:right="255"/>
      </w:pPr>
      <w:r>
        <w:t xml:space="preserve">The Contractor shall confirm each </w:t>
      </w:r>
      <w:r>
        <w:rPr>
          <w:u w:val="single" w:color="000000"/>
        </w:rPr>
        <w:t>positive</w:t>
      </w:r>
      <w:r>
        <w:t xml:space="preserve"> tentative analysis of a single-component analyte in one of the following ways listed below. Tentative identification of a single-component analyte occurs when a peak from a sample extract falls within the established retention time window for a specific target analyte.  Identification of petroleum hydrocarbons is based on retention time </w:t>
      </w:r>
      <w:proofErr w:type="gramStart"/>
      <w:r>
        <w:t>patterns</w:t>
      </w:r>
      <w:proofErr w:type="gramEnd"/>
      <w:r>
        <w:t xml:space="preserve"> and this confirmation </w:t>
      </w:r>
      <w:r w:rsidR="000321AA">
        <w:t>needs</w:t>
      </w:r>
      <w:r>
        <w:t xml:space="preserve"> </w:t>
      </w:r>
      <w:r w:rsidR="000321AA">
        <w:t>to be</w:t>
      </w:r>
      <w:r>
        <w:t xml:space="preserve"> run only if analytical interferences are evident.  The confirmation results must be reported:  </w:t>
      </w:r>
    </w:p>
    <w:p w14:paraId="55F59C2B" w14:textId="77777777" w:rsidR="00B56D50" w:rsidRDefault="001C3C42">
      <w:pPr>
        <w:spacing w:after="0" w:line="259" w:lineRule="auto"/>
        <w:ind w:left="452" w:right="0" w:firstLine="0"/>
      </w:pPr>
      <w:r>
        <w:t xml:space="preserve"> </w:t>
      </w:r>
    </w:p>
    <w:p w14:paraId="4A74F9EF" w14:textId="77777777" w:rsidR="00B56D50" w:rsidRDefault="001C3C42" w:rsidP="00093377">
      <w:pPr>
        <w:numPr>
          <w:ilvl w:val="0"/>
          <w:numId w:val="48"/>
        </w:numPr>
        <w:spacing w:after="16"/>
        <w:ind w:left="1800" w:right="186" w:hanging="360"/>
      </w:pPr>
      <w:r>
        <w:rPr>
          <w:b/>
        </w:rPr>
        <w:t xml:space="preserve">Confirmation on a second GC column of dissimilar stationary phase:   </w:t>
      </w:r>
    </w:p>
    <w:p w14:paraId="04A51746" w14:textId="77777777" w:rsidR="00B56D50" w:rsidRDefault="001C3C42">
      <w:pPr>
        <w:spacing w:after="0" w:line="259" w:lineRule="auto"/>
        <w:ind w:left="452" w:right="0" w:firstLine="0"/>
      </w:pPr>
      <w:r>
        <w:t xml:space="preserve"> </w:t>
      </w:r>
    </w:p>
    <w:p w14:paraId="6C945EDC" w14:textId="2B8C95BF" w:rsidR="00FB29FC" w:rsidRDefault="001C3C42" w:rsidP="00A443E6">
      <w:pPr>
        <w:numPr>
          <w:ilvl w:val="1"/>
          <w:numId w:val="48"/>
        </w:numPr>
        <w:ind w:left="2160" w:right="255" w:hanging="360"/>
      </w:pPr>
      <w:r>
        <w:rPr>
          <w:u w:val="single" w:color="000000"/>
        </w:rPr>
        <w:t>Single-column analysis</w:t>
      </w:r>
      <w:r>
        <w:t xml:space="preserve">: When confirmation is made on a second column, the second analysis must meet all the QC criteria described, just as is required for the primary analysis.  </w:t>
      </w:r>
      <w:proofErr w:type="gramStart"/>
      <w:r>
        <w:t>In order to</w:t>
      </w:r>
      <w:proofErr w:type="gramEnd"/>
      <w:r>
        <w:t xml:space="preserve"> be used for confirmation, retention time windows must have been established for the second GC column.  In addition, the analyst must demonstrate the sensitivity of the second column analysis.   This demonstration must include the analysis of a standard of the target analyte at a concentration at least as low as the concentration estimated from the primary analysis. </w:t>
      </w:r>
    </w:p>
    <w:p w14:paraId="4C7A9CEA" w14:textId="54556F1C" w:rsidR="00B56D50" w:rsidRDefault="001C3C42" w:rsidP="00FB29FC">
      <w:pPr>
        <w:ind w:left="1623" w:right="255" w:firstLine="0"/>
      </w:pPr>
      <w:r>
        <w:rPr>
          <w:b/>
        </w:rPr>
        <w:t xml:space="preserve"> </w:t>
      </w:r>
    </w:p>
    <w:p w14:paraId="16E29799" w14:textId="77777777" w:rsidR="00B56D50" w:rsidRDefault="001C3C42" w:rsidP="00A443E6">
      <w:pPr>
        <w:numPr>
          <w:ilvl w:val="1"/>
          <w:numId w:val="48"/>
        </w:numPr>
        <w:ind w:left="2160" w:right="255" w:hanging="360"/>
      </w:pPr>
      <w:r>
        <w:rPr>
          <w:u w:val="single" w:color="000000"/>
        </w:rPr>
        <w:t>Dual-column analysis</w:t>
      </w:r>
      <w:r>
        <w:t xml:space="preserve">: When simultaneous analyses are performed from a single injection (using a dual column/dual detector system with columns of different polarities), identification and confirmation is incorporated in a single run.  In this case, it is not practical to designate one column as the analytical (primary) column and the other as the confirmation column.  Since the calibration standards are analyzed </w:t>
      </w:r>
      <w:proofErr w:type="gramStart"/>
      <w:r>
        <w:t>on</w:t>
      </w:r>
      <w:proofErr w:type="gramEnd"/>
      <w:r>
        <w:t xml:space="preserve"> both columns, the results for both columns must meet the calibration acceptance criteria.  If the retention times of the peaks on both columns fall within the retention time windows on the respective columns, target analyte identification has been confirmed.</w:t>
      </w:r>
      <w:r>
        <w:rPr>
          <w:b/>
        </w:rPr>
        <w:t xml:space="preserve"> </w:t>
      </w:r>
    </w:p>
    <w:p w14:paraId="0DDE9337" w14:textId="77777777" w:rsidR="00B56D50" w:rsidRDefault="001C3C42">
      <w:pPr>
        <w:spacing w:after="0" w:line="259" w:lineRule="auto"/>
        <w:ind w:left="452" w:right="0" w:firstLine="0"/>
      </w:pPr>
      <w:r>
        <w:t xml:space="preserve"> </w:t>
      </w:r>
    </w:p>
    <w:p w14:paraId="2EC25529" w14:textId="77777777" w:rsidR="00B56D50" w:rsidRDefault="001C3C42" w:rsidP="00093377">
      <w:pPr>
        <w:numPr>
          <w:ilvl w:val="0"/>
          <w:numId w:val="48"/>
        </w:numPr>
        <w:spacing w:after="16"/>
        <w:ind w:left="1800" w:right="186" w:hanging="360"/>
      </w:pPr>
      <w:r>
        <w:rPr>
          <w:b/>
        </w:rPr>
        <w:t xml:space="preserve">Confirmation by GC/MS analysis.   </w:t>
      </w:r>
    </w:p>
    <w:p w14:paraId="7049D7DD" w14:textId="77777777" w:rsidR="00B56D50" w:rsidRDefault="001C3C42" w:rsidP="00377F62">
      <w:pPr>
        <w:ind w:left="1810" w:right="255"/>
      </w:pPr>
      <w:r>
        <w:t>GC/MS confirmation may be used in conjunction with either single- or dual-column analysis if the concentration is sufficient for detection by GC/MS.  Full-scan GC/MS will normally require a concentration of approximately 10 ng/µL in the final extract for each target analyte.  Ion trap or selective ion monitoring (SIM</w:t>
      </w:r>
      <w:proofErr w:type="gramStart"/>
      <w:r>
        <w:t>) will</w:t>
      </w:r>
      <w:proofErr w:type="gramEnd"/>
      <w:r>
        <w:t xml:space="preserve"> normally require a </w:t>
      </w:r>
      <w:r>
        <w:lastRenderedPageBreak/>
        <w:t>concentration of approximately 1 ng/µL.  The following requirements apply to confirmation by GC/MS:</w:t>
      </w:r>
      <w:r>
        <w:rPr>
          <w:b/>
        </w:rPr>
        <w:t xml:space="preserve"> </w:t>
      </w:r>
    </w:p>
    <w:p w14:paraId="5BEB2E8C" w14:textId="77777777" w:rsidR="00B56D50" w:rsidRDefault="001C3C42">
      <w:pPr>
        <w:spacing w:after="0" w:line="259" w:lineRule="auto"/>
        <w:ind w:left="452" w:right="0" w:firstLine="0"/>
      </w:pPr>
      <w:r>
        <w:t xml:space="preserve"> </w:t>
      </w:r>
    </w:p>
    <w:p w14:paraId="68659509" w14:textId="13080806" w:rsidR="00B56D50" w:rsidRDefault="001C3C42" w:rsidP="00A443E6">
      <w:pPr>
        <w:numPr>
          <w:ilvl w:val="1"/>
          <w:numId w:val="48"/>
        </w:numPr>
        <w:ind w:left="2160" w:right="255" w:hanging="360"/>
      </w:pPr>
      <w:r>
        <w:t>The GC/MS must be calibrated for the specific target analytes being confirmed</w:t>
      </w:r>
      <w:r w:rsidR="00FB29FC">
        <w:t>.</w:t>
      </w:r>
      <w:r>
        <w:t xml:space="preserve"> </w:t>
      </w:r>
    </w:p>
    <w:p w14:paraId="1C1374DB" w14:textId="77777777" w:rsidR="00B56D50" w:rsidRDefault="001C3C42">
      <w:pPr>
        <w:spacing w:after="0" w:line="259" w:lineRule="auto"/>
        <w:ind w:left="1083" w:right="0" w:firstLine="0"/>
      </w:pPr>
      <w:r>
        <w:rPr>
          <w:b/>
        </w:rPr>
        <w:t xml:space="preserve"> </w:t>
      </w:r>
    </w:p>
    <w:p w14:paraId="3176AF54" w14:textId="77777777" w:rsidR="00B56D50" w:rsidRDefault="001C3C42" w:rsidP="00A443E6">
      <w:pPr>
        <w:numPr>
          <w:ilvl w:val="1"/>
          <w:numId w:val="48"/>
        </w:numPr>
        <w:ind w:left="2160" w:right="255" w:hanging="360"/>
      </w:pPr>
      <w:r>
        <w:t xml:space="preserve">GC/MS may not be used for confirmation when concentrations are below 1 ng/µL in the extract. </w:t>
      </w:r>
    </w:p>
    <w:p w14:paraId="31310514" w14:textId="77777777" w:rsidR="00B56D50" w:rsidRDefault="001C3C42">
      <w:pPr>
        <w:spacing w:after="0" w:line="259" w:lineRule="auto"/>
        <w:ind w:left="452" w:right="0" w:firstLine="0"/>
      </w:pPr>
      <w:r>
        <w:rPr>
          <w:b/>
        </w:rPr>
        <w:t xml:space="preserve"> </w:t>
      </w:r>
    </w:p>
    <w:p w14:paraId="409CA8C2" w14:textId="77777777" w:rsidR="00B56D50" w:rsidRDefault="001C3C42" w:rsidP="00A443E6">
      <w:pPr>
        <w:numPr>
          <w:ilvl w:val="1"/>
          <w:numId w:val="48"/>
        </w:numPr>
        <w:ind w:left="2160" w:right="255" w:hanging="360"/>
      </w:pPr>
      <w:r>
        <w:t xml:space="preserve">GC/MS confirmation must be accomplished by analyzing the same extract that is used for GC analysis and the extract of the associated blank from the GC analysis. </w:t>
      </w:r>
    </w:p>
    <w:p w14:paraId="5502E1CF" w14:textId="77777777" w:rsidR="00B56D50" w:rsidRDefault="001C3C42">
      <w:pPr>
        <w:spacing w:after="0" w:line="259" w:lineRule="auto"/>
        <w:ind w:left="452" w:right="0" w:firstLine="0"/>
      </w:pPr>
      <w:r>
        <w:rPr>
          <w:b/>
        </w:rPr>
        <w:t xml:space="preserve"> </w:t>
      </w:r>
    </w:p>
    <w:p w14:paraId="6A9D990A" w14:textId="77777777" w:rsidR="00B56D50" w:rsidRDefault="001C3C42" w:rsidP="00A443E6">
      <w:pPr>
        <w:numPr>
          <w:ilvl w:val="1"/>
          <w:numId w:val="48"/>
        </w:numPr>
        <w:ind w:left="2160" w:right="255" w:hanging="360"/>
      </w:pPr>
      <w:r>
        <w:t xml:space="preserve">A QC reference sample containing the compound must also be analyzed by GC/MS.  The concentration of the QC reference sample must demonstrate that the target analytes identified by GC can be confirmed by GC/MS. </w:t>
      </w:r>
    </w:p>
    <w:p w14:paraId="3B05027A" w14:textId="77777777" w:rsidR="00B56D50" w:rsidRDefault="001C3C42">
      <w:pPr>
        <w:spacing w:after="0" w:line="259" w:lineRule="auto"/>
        <w:ind w:left="452" w:right="0" w:firstLine="0"/>
      </w:pPr>
      <w:r>
        <w:t xml:space="preserve"> </w:t>
      </w:r>
    </w:p>
    <w:p w14:paraId="4A3CE719" w14:textId="77777777" w:rsidR="00B56D50" w:rsidRDefault="001C3C42" w:rsidP="00377F62">
      <w:pPr>
        <w:ind w:left="1450" w:right="255"/>
      </w:pPr>
      <w:r>
        <w:t xml:space="preserve">When confirmation is made by a second analysis, that analysis must meet </w:t>
      </w:r>
      <w:proofErr w:type="gramStart"/>
      <w:r>
        <w:t>all of</w:t>
      </w:r>
      <w:proofErr w:type="gramEnd"/>
      <w:r>
        <w:t xml:space="preserve"> the QC criteria required for the first analysis.  The confirmation results must be reported. </w:t>
      </w:r>
    </w:p>
    <w:p w14:paraId="1D7A8FB0" w14:textId="77777777" w:rsidR="00B56D50" w:rsidRDefault="001C3C42">
      <w:pPr>
        <w:spacing w:after="0" w:line="259" w:lineRule="auto"/>
        <w:ind w:left="452" w:right="0" w:firstLine="0"/>
      </w:pPr>
      <w:r>
        <w:t xml:space="preserve"> </w:t>
      </w:r>
    </w:p>
    <w:p w14:paraId="01E7121B" w14:textId="45C95740" w:rsidR="00B56D50" w:rsidRPr="0052401F" w:rsidRDefault="001C3C42" w:rsidP="00093377">
      <w:pPr>
        <w:numPr>
          <w:ilvl w:val="0"/>
          <w:numId w:val="100"/>
        </w:numPr>
        <w:spacing w:after="16"/>
        <w:ind w:left="1440" w:right="186" w:hanging="360"/>
        <w:rPr>
          <w:b/>
          <w:bCs/>
        </w:rPr>
      </w:pPr>
      <w:r w:rsidRPr="0052401F">
        <w:rPr>
          <w:b/>
          <w:bCs/>
        </w:rPr>
        <w:t xml:space="preserve">Laboratory Control Sample </w:t>
      </w:r>
    </w:p>
    <w:p w14:paraId="44A82E4B" w14:textId="04F26921" w:rsidR="0052401F" w:rsidRDefault="001C3C42" w:rsidP="0052401F">
      <w:pPr>
        <w:ind w:left="1450" w:right="336"/>
      </w:pPr>
      <w:r>
        <w:t>The Contractor shall include a Laboratory Control Sample (LCS) with each analytical batch.  When the results of the matrix spike analysis indicate a potential problem due to the sample matrix itself, the LCS results are used to verify that the Contractor can perform the analysis in an organic free matrix.</w:t>
      </w:r>
    </w:p>
    <w:p w14:paraId="18AE4E02" w14:textId="63DA3174" w:rsidR="00B56D50" w:rsidRDefault="001C3C42" w:rsidP="0052401F">
      <w:pPr>
        <w:ind w:left="1450" w:right="336"/>
      </w:pPr>
      <w:r>
        <w:t xml:space="preserve"> </w:t>
      </w:r>
    </w:p>
    <w:p w14:paraId="71F35F0B" w14:textId="5AAC7B9A" w:rsidR="00B56D50" w:rsidRDefault="001C3C42">
      <w:pPr>
        <w:pStyle w:val="Heading5"/>
        <w:ind w:left="1024" w:right="923"/>
      </w:pPr>
      <w:r>
        <w:t xml:space="preserve">TABLE </w:t>
      </w:r>
      <w:r w:rsidR="00772849">
        <w:t>33</w:t>
      </w:r>
      <w:r>
        <w:t xml:space="preserve"> </w:t>
      </w:r>
    </w:p>
    <w:p w14:paraId="2092224F" w14:textId="77777777" w:rsidR="00B56D50" w:rsidRDefault="001C3C42">
      <w:pPr>
        <w:pStyle w:val="Heading6"/>
        <w:ind w:left="1875" w:right="186"/>
      </w:pPr>
      <w:r>
        <w:t xml:space="preserve">Recommended Laboratory Control Sample %R Criteria for GC Analysis </w:t>
      </w:r>
    </w:p>
    <w:p w14:paraId="213AE72D" w14:textId="77777777" w:rsidR="00B56D50" w:rsidRDefault="001C3C42">
      <w:pPr>
        <w:spacing w:after="0" w:line="259" w:lineRule="auto"/>
        <w:ind w:left="135" w:right="0" w:firstLine="0"/>
        <w:jc w:val="center"/>
      </w:pPr>
      <w:r>
        <w:rPr>
          <w:rFonts w:ascii="Arial" w:eastAsia="Arial" w:hAnsi="Arial" w:cs="Arial"/>
          <w:sz w:val="8"/>
        </w:rPr>
        <w:t xml:space="preserve">  </w:t>
      </w:r>
    </w:p>
    <w:tbl>
      <w:tblPr>
        <w:tblStyle w:val="TableGrid1"/>
        <w:tblW w:w="7290" w:type="dxa"/>
        <w:tblInd w:w="1443" w:type="dxa"/>
        <w:tblCellMar>
          <w:top w:w="22" w:type="dxa"/>
          <w:left w:w="115" w:type="dxa"/>
          <w:right w:w="115" w:type="dxa"/>
        </w:tblCellMar>
        <w:tblLook w:val="04A0" w:firstRow="1" w:lastRow="0" w:firstColumn="1" w:lastColumn="0" w:noHBand="0" w:noVBand="1"/>
      </w:tblPr>
      <w:tblGrid>
        <w:gridCol w:w="2881"/>
        <w:gridCol w:w="1980"/>
        <w:gridCol w:w="2429"/>
      </w:tblGrid>
      <w:tr w:rsidR="00B56D50" w14:paraId="507B3911" w14:textId="77777777">
        <w:trPr>
          <w:trHeight w:val="317"/>
        </w:trPr>
        <w:tc>
          <w:tcPr>
            <w:tcW w:w="2881" w:type="dxa"/>
            <w:tcBorders>
              <w:top w:val="single" w:sz="12" w:space="0" w:color="000000"/>
              <w:left w:val="single" w:sz="12" w:space="0" w:color="000000"/>
              <w:bottom w:val="single" w:sz="12" w:space="0" w:color="000000"/>
              <w:right w:val="single" w:sz="12" w:space="0" w:color="000000"/>
            </w:tcBorders>
          </w:tcPr>
          <w:p w14:paraId="6BC35ED8" w14:textId="77777777" w:rsidR="00B56D50" w:rsidRDefault="001C3C42">
            <w:pPr>
              <w:spacing w:after="0" w:line="259" w:lineRule="auto"/>
              <w:ind w:left="0" w:right="7" w:firstLine="0"/>
              <w:jc w:val="center"/>
            </w:pPr>
            <w:r>
              <w:rPr>
                <w:b/>
                <w:sz w:val="20"/>
              </w:rPr>
              <w:t xml:space="preserve">Matrix: </w:t>
            </w:r>
          </w:p>
        </w:tc>
        <w:tc>
          <w:tcPr>
            <w:tcW w:w="1980" w:type="dxa"/>
            <w:tcBorders>
              <w:top w:val="single" w:sz="12" w:space="0" w:color="000000"/>
              <w:left w:val="single" w:sz="12" w:space="0" w:color="000000"/>
              <w:bottom w:val="single" w:sz="12" w:space="0" w:color="000000"/>
              <w:right w:val="single" w:sz="12" w:space="0" w:color="000000"/>
            </w:tcBorders>
          </w:tcPr>
          <w:p w14:paraId="411A78D5" w14:textId="77777777" w:rsidR="00B56D50" w:rsidRDefault="001C3C42">
            <w:pPr>
              <w:spacing w:after="0" w:line="259" w:lineRule="auto"/>
              <w:ind w:left="0" w:right="6" w:firstLine="0"/>
              <w:jc w:val="center"/>
            </w:pPr>
            <w:r>
              <w:rPr>
                <w:b/>
                <w:sz w:val="20"/>
              </w:rPr>
              <w:t xml:space="preserve">Water </w:t>
            </w:r>
          </w:p>
        </w:tc>
        <w:tc>
          <w:tcPr>
            <w:tcW w:w="2429" w:type="dxa"/>
            <w:tcBorders>
              <w:top w:val="single" w:sz="12" w:space="0" w:color="000000"/>
              <w:left w:val="single" w:sz="12" w:space="0" w:color="000000"/>
              <w:bottom w:val="single" w:sz="12" w:space="0" w:color="000000"/>
              <w:right w:val="single" w:sz="12" w:space="0" w:color="000000"/>
            </w:tcBorders>
          </w:tcPr>
          <w:p w14:paraId="2F9A60AA" w14:textId="77777777" w:rsidR="00B56D50" w:rsidRDefault="001C3C42">
            <w:pPr>
              <w:spacing w:after="0" w:line="259" w:lineRule="auto"/>
              <w:ind w:left="0" w:right="6" w:firstLine="0"/>
              <w:jc w:val="center"/>
            </w:pPr>
            <w:r>
              <w:rPr>
                <w:b/>
                <w:sz w:val="20"/>
              </w:rPr>
              <w:t>Soil &amp; Other Matrices</w:t>
            </w:r>
            <w:r>
              <w:rPr>
                <w:sz w:val="20"/>
              </w:rPr>
              <w:t xml:space="preserve"> </w:t>
            </w:r>
          </w:p>
        </w:tc>
      </w:tr>
      <w:tr w:rsidR="00B56D50" w14:paraId="6229678B" w14:textId="77777777">
        <w:trPr>
          <w:trHeight w:val="550"/>
        </w:trPr>
        <w:tc>
          <w:tcPr>
            <w:tcW w:w="2881" w:type="dxa"/>
            <w:tcBorders>
              <w:top w:val="single" w:sz="12" w:space="0" w:color="000000"/>
              <w:left w:val="single" w:sz="12" w:space="0" w:color="000000"/>
              <w:bottom w:val="single" w:sz="12" w:space="0" w:color="000000"/>
              <w:right w:val="single" w:sz="12" w:space="0" w:color="000000"/>
            </w:tcBorders>
            <w:vAlign w:val="center"/>
          </w:tcPr>
          <w:p w14:paraId="22491CD1" w14:textId="77777777" w:rsidR="00B56D50" w:rsidRDefault="001C3C42">
            <w:pPr>
              <w:spacing w:after="0" w:line="259" w:lineRule="auto"/>
              <w:ind w:left="0" w:right="8" w:firstLine="0"/>
              <w:jc w:val="center"/>
            </w:pPr>
            <w:r>
              <w:rPr>
                <w:b/>
                <w:sz w:val="20"/>
              </w:rPr>
              <w:t xml:space="preserve">Compound </w:t>
            </w:r>
          </w:p>
        </w:tc>
        <w:tc>
          <w:tcPr>
            <w:tcW w:w="1980" w:type="dxa"/>
            <w:tcBorders>
              <w:top w:val="single" w:sz="12" w:space="0" w:color="000000"/>
              <w:left w:val="single" w:sz="12" w:space="0" w:color="000000"/>
              <w:bottom w:val="single" w:sz="12" w:space="0" w:color="000000"/>
              <w:right w:val="single" w:sz="12" w:space="0" w:color="000000"/>
            </w:tcBorders>
          </w:tcPr>
          <w:p w14:paraId="69E33705" w14:textId="77777777" w:rsidR="00B56D50" w:rsidRDefault="001C3C42">
            <w:pPr>
              <w:spacing w:after="0" w:line="259" w:lineRule="auto"/>
              <w:ind w:left="180" w:right="132" w:firstLine="0"/>
              <w:jc w:val="center"/>
            </w:pPr>
            <w:r>
              <w:rPr>
                <w:b/>
                <w:sz w:val="20"/>
              </w:rPr>
              <w:t xml:space="preserve">LCS %Recovery </w:t>
            </w:r>
          </w:p>
        </w:tc>
        <w:tc>
          <w:tcPr>
            <w:tcW w:w="2429" w:type="dxa"/>
            <w:tcBorders>
              <w:top w:val="single" w:sz="12" w:space="0" w:color="000000"/>
              <w:left w:val="single" w:sz="12" w:space="0" w:color="000000"/>
              <w:bottom w:val="single" w:sz="12" w:space="0" w:color="000000"/>
              <w:right w:val="single" w:sz="12" w:space="0" w:color="000000"/>
            </w:tcBorders>
          </w:tcPr>
          <w:p w14:paraId="4CC2A464" w14:textId="77777777" w:rsidR="00B56D50" w:rsidRDefault="001C3C42">
            <w:pPr>
              <w:spacing w:after="0" w:line="259" w:lineRule="auto"/>
              <w:ind w:left="403" w:right="359" w:firstLine="0"/>
              <w:jc w:val="center"/>
            </w:pPr>
            <w:r>
              <w:rPr>
                <w:b/>
                <w:sz w:val="20"/>
              </w:rPr>
              <w:t xml:space="preserve">LCS %Recovery </w:t>
            </w:r>
          </w:p>
        </w:tc>
      </w:tr>
      <w:tr w:rsidR="00B56D50" w14:paraId="68BDD6F6" w14:textId="77777777" w:rsidTr="00311FBF">
        <w:trPr>
          <w:trHeight w:val="587"/>
        </w:trPr>
        <w:tc>
          <w:tcPr>
            <w:tcW w:w="2881" w:type="dxa"/>
            <w:tcBorders>
              <w:top w:val="single" w:sz="12" w:space="0" w:color="000000"/>
              <w:left w:val="single" w:sz="12" w:space="0" w:color="000000"/>
              <w:bottom w:val="single" w:sz="12" w:space="0" w:color="000000"/>
              <w:right w:val="single" w:sz="12" w:space="0" w:color="000000"/>
            </w:tcBorders>
            <w:vAlign w:val="center"/>
          </w:tcPr>
          <w:p w14:paraId="697629D1" w14:textId="77777777" w:rsidR="00B56D50" w:rsidRDefault="001C3C42">
            <w:pPr>
              <w:spacing w:after="0" w:line="259" w:lineRule="auto"/>
              <w:ind w:left="0" w:right="7" w:firstLine="0"/>
              <w:jc w:val="center"/>
            </w:pPr>
            <w:r>
              <w:rPr>
                <w:sz w:val="20"/>
              </w:rPr>
              <w:t>A</w:t>
            </w:r>
            <w:r>
              <w:rPr>
                <w:sz w:val="16"/>
              </w:rPr>
              <w:t xml:space="preserve">LL </w:t>
            </w:r>
            <w:r>
              <w:rPr>
                <w:sz w:val="20"/>
              </w:rPr>
              <w:t>T</w:t>
            </w:r>
            <w:r>
              <w:rPr>
                <w:sz w:val="16"/>
              </w:rPr>
              <w:t xml:space="preserve">ARGET </w:t>
            </w:r>
            <w:r>
              <w:rPr>
                <w:sz w:val="20"/>
              </w:rPr>
              <w:t>A</w:t>
            </w:r>
            <w:r>
              <w:rPr>
                <w:sz w:val="16"/>
              </w:rPr>
              <w:t>NALYTES</w:t>
            </w:r>
            <w:r>
              <w:rPr>
                <w:sz w:val="20"/>
              </w:rPr>
              <w:t xml:space="preserve"> </w:t>
            </w:r>
          </w:p>
        </w:tc>
        <w:tc>
          <w:tcPr>
            <w:tcW w:w="1980" w:type="dxa"/>
            <w:tcBorders>
              <w:top w:val="single" w:sz="12" w:space="0" w:color="000000"/>
              <w:left w:val="single" w:sz="12" w:space="0" w:color="000000"/>
              <w:bottom w:val="single" w:sz="12" w:space="0" w:color="000000"/>
              <w:right w:val="single" w:sz="12" w:space="0" w:color="000000"/>
            </w:tcBorders>
            <w:vAlign w:val="center"/>
          </w:tcPr>
          <w:p w14:paraId="752F2D76" w14:textId="77777777" w:rsidR="00B56D50" w:rsidRDefault="001C3C42">
            <w:pPr>
              <w:spacing w:after="0" w:line="259" w:lineRule="auto"/>
              <w:ind w:left="0" w:right="2" w:firstLine="0"/>
              <w:jc w:val="center"/>
            </w:pPr>
            <w:r>
              <w:rPr>
                <w:sz w:val="20"/>
              </w:rPr>
              <w:t xml:space="preserve">70-130 </w:t>
            </w:r>
          </w:p>
        </w:tc>
        <w:tc>
          <w:tcPr>
            <w:tcW w:w="2429" w:type="dxa"/>
            <w:tcBorders>
              <w:top w:val="single" w:sz="12" w:space="0" w:color="000000"/>
              <w:left w:val="single" w:sz="12" w:space="0" w:color="000000"/>
              <w:bottom w:val="single" w:sz="12" w:space="0" w:color="000000"/>
              <w:right w:val="single" w:sz="12" w:space="0" w:color="000000"/>
            </w:tcBorders>
            <w:vAlign w:val="center"/>
          </w:tcPr>
          <w:p w14:paraId="2DEFEF58" w14:textId="77777777" w:rsidR="00B56D50" w:rsidRDefault="001C3C42">
            <w:pPr>
              <w:spacing w:after="0" w:line="259" w:lineRule="auto"/>
              <w:ind w:left="0" w:right="4" w:firstLine="0"/>
              <w:jc w:val="center"/>
            </w:pPr>
            <w:r>
              <w:rPr>
                <w:sz w:val="20"/>
              </w:rPr>
              <w:t xml:space="preserve">60-140 </w:t>
            </w:r>
          </w:p>
        </w:tc>
      </w:tr>
    </w:tbl>
    <w:p w14:paraId="55EC8CF5" w14:textId="77777777" w:rsidR="00B56D50" w:rsidRDefault="001C3C42">
      <w:pPr>
        <w:spacing w:after="0" w:line="259" w:lineRule="auto"/>
        <w:ind w:left="452" w:right="0" w:firstLine="0"/>
      </w:pPr>
      <w:r>
        <w:rPr>
          <w:rFonts w:ascii="Arial" w:eastAsia="Arial" w:hAnsi="Arial" w:cs="Arial"/>
          <w:b/>
        </w:rPr>
        <w:t xml:space="preserve"> </w:t>
      </w:r>
    </w:p>
    <w:p w14:paraId="6EE87AED" w14:textId="28C34496" w:rsidR="00B56D50" w:rsidRDefault="001C3C42" w:rsidP="006F2575">
      <w:pPr>
        <w:ind w:left="1450" w:right="255"/>
      </w:pPr>
      <w:r>
        <w:t xml:space="preserve">The range for LCS recoveries provided in TABLE </w:t>
      </w:r>
      <w:r w:rsidR="00772849">
        <w:t>33</w:t>
      </w:r>
      <w:r>
        <w:t xml:space="preserve"> may not be achievable for non-purgeable and </w:t>
      </w:r>
      <w:r w:rsidR="00406A79">
        <w:t>S</w:t>
      </w:r>
      <w:r>
        <w:t>emi</w:t>
      </w:r>
      <w:r w:rsidR="00406A79">
        <w:t>-</w:t>
      </w:r>
      <w:r>
        <w:t xml:space="preserve">volatile range target analytes, in which case the acceptance tables at the end of the method or the Contractor’s historical recoveries may provide more realistic ranges.  LCS percent recoveries must be reported.  Target analytes with LCS % recoveries outside the ranges provided in TABLE 39 are to be supported by historical data which </w:t>
      </w:r>
      <w:r w:rsidR="000321AA">
        <w:t>is</w:t>
      </w:r>
      <w:r>
        <w:t xml:space="preserve"> to be provided in the report. </w:t>
      </w:r>
    </w:p>
    <w:p w14:paraId="67C0D3D3" w14:textId="77777777" w:rsidR="00B56D50" w:rsidRDefault="001C3C42">
      <w:pPr>
        <w:spacing w:after="0" w:line="259" w:lineRule="auto"/>
        <w:ind w:left="903" w:right="0" w:firstLine="0"/>
      </w:pPr>
      <w:r>
        <w:rPr>
          <w:b/>
        </w:rPr>
        <w:t xml:space="preserve"> </w:t>
      </w:r>
    </w:p>
    <w:p w14:paraId="7459E0F5" w14:textId="2BA8B980" w:rsidR="00AA56BC" w:rsidRDefault="001C3C42" w:rsidP="00093377">
      <w:pPr>
        <w:numPr>
          <w:ilvl w:val="0"/>
          <w:numId w:val="100"/>
        </w:numPr>
        <w:spacing w:after="16"/>
        <w:ind w:left="1440" w:right="186" w:hanging="360"/>
        <w:rPr>
          <w:b/>
        </w:rPr>
      </w:pPr>
      <w:r w:rsidRPr="0052401F">
        <w:rPr>
          <w:b/>
          <w:bCs/>
        </w:rPr>
        <w:t>Corrective</w:t>
      </w:r>
      <w:r>
        <w:rPr>
          <w:b/>
        </w:rPr>
        <w:t xml:space="preserve"> Action for Organic Analysis by GC </w:t>
      </w:r>
    </w:p>
    <w:p w14:paraId="615EE483" w14:textId="22C1ED28" w:rsidR="004A070F" w:rsidRDefault="004A070F" w:rsidP="004A070F">
      <w:pPr>
        <w:ind w:left="1450" w:right="255"/>
      </w:pPr>
      <w:r>
        <w:t>The Contractor shall find and correct the problem whenever an analytical procedure is “out-of-control” (fails to meet control criteria); also, the analysis must be repeated (which may require re-extraction) for all affected samples.</w:t>
      </w:r>
      <w:r w:rsidRPr="002D1436">
        <w:t xml:space="preserve"> </w:t>
      </w:r>
      <w:r>
        <w:t xml:space="preserve"> Refer to the applicable </w:t>
      </w:r>
      <w:r w:rsidR="00E12105">
        <w:t>USEPA</w:t>
      </w:r>
      <w:r>
        <w:t xml:space="preserve"> Methods and the information noted above.</w:t>
      </w:r>
    </w:p>
    <w:p w14:paraId="10716D2E" w14:textId="77777777" w:rsidR="00AA56BC" w:rsidRDefault="00AA56BC" w:rsidP="004A070F">
      <w:pPr>
        <w:ind w:left="913" w:right="255"/>
      </w:pPr>
      <w:r>
        <w:t xml:space="preserve">  </w:t>
      </w:r>
    </w:p>
    <w:p w14:paraId="6A762D4A" w14:textId="77777777" w:rsidR="00AA56BC" w:rsidRDefault="00AA56BC" w:rsidP="006F2575">
      <w:pPr>
        <w:ind w:left="1450" w:right="255"/>
      </w:pPr>
      <w:r>
        <w:rPr>
          <w:u w:val="single" w:color="000000"/>
        </w:rPr>
        <w:lastRenderedPageBreak/>
        <w:t xml:space="preserve">Reanalysis </w:t>
      </w:r>
      <w:r w:rsidRPr="000423B1">
        <w:rPr>
          <w:u w:val="single" w:color="000000"/>
        </w:rPr>
        <w:t>of out-of-control samples may require that the reanalysis be performed past holding time requirements</w:t>
      </w:r>
      <w:r w:rsidRPr="00B400E5">
        <w:t>.  It is preferred that samples</w:t>
      </w:r>
      <w:r w:rsidRPr="000423B1">
        <w:t xml:space="preserve"> be analyzed or reanalyzed within holding times.  But, if that is not possible for reanalysis to be performed within holding time requirements, reanalysis may still need to be performed to meet analytical requirements.  If reanalysis is performed past the holding time, both analysis results must be reported.  The acceptance of results analyzed beyond holding time requirements must be predicated on project DQOs and threshold requirements, along with the analyst’s best judgement.  Resampling may be necessary in some cases</w:t>
      </w:r>
      <w:r>
        <w:t>.</w:t>
      </w:r>
    </w:p>
    <w:p w14:paraId="52B456D5" w14:textId="77777777" w:rsidR="00AA56BC" w:rsidRDefault="00AA56BC" w:rsidP="004A070F">
      <w:pPr>
        <w:spacing w:after="0" w:line="259" w:lineRule="auto"/>
        <w:ind w:left="903" w:right="0" w:firstLine="0"/>
      </w:pPr>
    </w:p>
    <w:p w14:paraId="6B74193F" w14:textId="77777777" w:rsidR="00AA56BC" w:rsidRDefault="00AA56BC" w:rsidP="006F2575">
      <w:pPr>
        <w:spacing w:after="67"/>
        <w:ind w:left="1450" w:right="255"/>
      </w:pPr>
      <w:r>
        <w:t>When the out-of-control conditions occur, re-extraction (if applicable) and re-analysis of all affected samples must be performed.  It must be noted that for MS/MSD, matrix duplicate, and method blank failure, the affected samples would include all field samples prepared or purged with the out-of-control QC sample(s).  Report the results from both analyses, distinguishing between the initial analysis and reanalysis on all data deliverables.</w:t>
      </w:r>
    </w:p>
    <w:p w14:paraId="5FF966FE" w14:textId="77777777" w:rsidR="00AA56BC" w:rsidRDefault="00AA56BC" w:rsidP="004A070F">
      <w:pPr>
        <w:spacing w:after="0" w:line="259" w:lineRule="auto"/>
        <w:ind w:left="452" w:right="0" w:firstLine="0"/>
      </w:pPr>
    </w:p>
    <w:p w14:paraId="7DF107B2" w14:textId="77777777" w:rsidR="004A070F" w:rsidRDefault="00365368" w:rsidP="004A070F">
      <w:pPr>
        <w:ind w:left="1450" w:right="255"/>
      </w:pPr>
      <w:r>
        <w:t xml:space="preserve">If QC results from the re-extraction and reanalysis </w:t>
      </w:r>
      <w:r w:rsidR="00FD7E4A">
        <w:t xml:space="preserve">are </w:t>
      </w:r>
      <w:r>
        <w:t xml:space="preserve">also outside the acceptance limits, but the analysis of a laboratory control sample demonstrates that the method is in control, then the problem is related to sample matrix and analytical requirements will be considered met.  (See SW-846, Method </w:t>
      </w:r>
      <w:r w:rsidR="004A070F">
        <w:t>8000.)</w:t>
      </w:r>
      <w:r>
        <w:t xml:space="preserve">  If re-extraction and reanalysis of the sample </w:t>
      </w:r>
      <w:proofErr w:type="gramStart"/>
      <w:r>
        <w:t>does</w:t>
      </w:r>
      <w:proofErr w:type="gramEnd"/>
      <w:r>
        <w:t xml:space="preserve"> not solve the problem, and the laboratory control sample results are also outside of acceptance limits, instrument maintenance may be required.  Major maintenance (such as changing a column) requires returning to the initial calibration step.</w:t>
      </w:r>
    </w:p>
    <w:p w14:paraId="22C1274F" w14:textId="77777777" w:rsidR="004A070F" w:rsidRDefault="004A070F" w:rsidP="004A070F">
      <w:pPr>
        <w:ind w:left="1450" w:right="255"/>
      </w:pPr>
    </w:p>
    <w:p w14:paraId="23B36015" w14:textId="670DCE0D" w:rsidR="00365368" w:rsidRDefault="004A070F" w:rsidP="004A070F">
      <w:pPr>
        <w:ind w:left="1450" w:right="255"/>
      </w:pPr>
      <w:r w:rsidRPr="00360CD3">
        <w:t>Whenever a quality control sample indicates a biased high result (e.g., high matrix spike recovery) and the sample results are all below detection limit for all target compounds, then reanalysis is not required.  However, the Contractor must make every effort to correct the problem for future analysis.  The RPD requirement must be met on the matrix spike duplicate even if matrix spike is biased high.</w:t>
      </w:r>
      <w:r w:rsidR="00365368">
        <w:t xml:space="preserve"> </w:t>
      </w:r>
    </w:p>
    <w:p w14:paraId="44E1343A" w14:textId="1EFA766C" w:rsidR="00B56D50" w:rsidRDefault="00B56D50">
      <w:pPr>
        <w:spacing w:after="0" w:line="259" w:lineRule="auto"/>
        <w:ind w:left="903" w:right="0" w:firstLine="0"/>
      </w:pPr>
    </w:p>
    <w:p w14:paraId="6CCAB337" w14:textId="2C506798" w:rsidR="00B56D50" w:rsidRDefault="001C3C42" w:rsidP="00093377">
      <w:pPr>
        <w:numPr>
          <w:ilvl w:val="0"/>
          <w:numId w:val="100"/>
        </w:numPr>
        <w:spacing w:after="16"/>
        <w:ind w:left="1440" w:right="186" w:hanging="360"/>
      </w:pPr>
      <w:r>
        <w:rPr>
          <w:b/>
        </w:rPr>
        <w:t xml:space="preserve">Additional Notes for Petroleum Hydrocarbon Analysis by GC </w:t>
      </w:r>
      <w:r>
        <w:t xml:space="preserve">The Contractor shall adhere to the following requirements: </w:t>
      </w:r>
    </w:p>
    <w:p w14:paraId="374A46FB" w14:textId="77777777" w:rsidR="00B56D50" w:rsidRDefault="001C3C42">
      <w:pPr>
        <w:spacing w:line="259" w:lineRule="auto"/>
        <w:ind w:left="1083" w:right="0" w:firstLine="0"/>
      </w:pPr>
      <w:r>
        <w:t xml:space="preserve"> </w:t>
      </w:r>
    </w:p>
    <w:p w14:paraId="3791EAB8" w14:textId="77777777" w:rsidR="00B56D50" w:rsidRDefault="001C3C42" w:rsidP="00093377">
      <w:pPr>
        <w:numPr>
          <w:ilvl w:val="0"/>
          <w:numId w:val="107"/>
        </w:numPr>
        <w:spacing w:after="16"/>
        <w:ind w:left="1800" w:right="186" w:hanging="360"/>
      </w:pPr>
      <w:r>
        <w:rPr>
          <w:b/>
        </w:rPr>
        <w:t xml:space="preserve">Unresolved peaks (the petroleum “hump”): </w:t>
      </w:r>
    </w:p>
    <w:p w14:paraId="73E65F05" w14:textId="77777777" w:rsidR="00B56D50" w:rsidRDefault="001C3C42" w:rsidP="001E68FB">
      <w:pPr>
        <w:ind w:left="1810" w:right="317"/>
      </w:pPr>
      <w:r>
        <w:t xml:space="preserve">Diesel fuel, gasoline, and other petroleum products contain </w:t>
      </w:r>
      <w:proofErr w:type="gramStart"/>
      <w:r>
        <w:t>a large number of</w:t>
      </w:r>
      <w:proofErr w:type="gramEnd"/>
      <w:r>
        <w:t xml:space="preserve"> compounds that will produce well-resolved peaks in a GC/FID chromatogram.  However, they also contain many other components that cannot be chromatographically resolved. This unresolved mixture results in the "hump" in the chromatogram that is characteristic of petroleum. While the resolved peaks are important for the identification of the specific fuel type, the area of the unresolved mixture contributes a significant amount of the total area response and should be included in the calculation of results.</w:t>
      </w:r>
      <w:r>
        <w:rPr>
          <w:b/>
        </w:rPr>
        <w:t xml:space="preserve"> </w:t>
      </w:r>
    </w:p>
    <w:p w14:paraId="67D83C46" w14:textId="77777777" w:rsidR="00B56D50" w:rsidRDefault="001C3C42">
      <w:pPr>
        <w:spacing w:after="0" w:line="259" w:lineRule="auto"/>
        <w:ind w:left="1083" w:right="0" w:firstLine="0"/>
      </w:pPr>
      <w:r>
        <w:rPr>
          <w:b/>
        </w:rPr>
        <w:t xml:space="preserve"> </w:t>
      </w:r>
    </w:p>
    <w:p w14:paraId="6D8D3433" w14:textId="77777777" w:rsidR="00B56D50" w:rsidRDefault="001C3C42" w:rsidP="00093377">
      <w:pPr>
        <w:numPr>
          <w:ilvl w:val="0"/>
          <w:numId w:val="107"/>
        </w:numPr>
        <w:spacing w:after="16"/>
        <w:ind w:left="1800" w:right="186" w:hanging="360"/>
      </w:pPr>
      <w:r>
        <w:rPr>
          <w:b/>
        </w:rPr>
        <w:t xml:space="preserve">When sample appears to be a particular type of hydrocarbon but sample response does not fall within appropriate retention time range: </w:t>
      </w:r>
    </w:p>
    <w:p w14:paraId="5D188282" w14:textId="77777777" w:rsidR="00B56D50" w:rsidRDefault="001C3C42" w:rsidP="001E68FB">
      <w:pPr>
        <w:ind w:left="1810" w:right="255"/>
      </w:pPr>
      <w:r>
        <w:t xml:space="preserve">When the retention time for the detected hydrocarbons in a sample does not fall within the appropriate retention time window, the following action should be taken: </w:t>
      </w:r>
    </w:p>
    <w:p w14:paraId="1053AA58" w14:textId="77777777" w:rsidR="00B56D50" w:rsidRDefault="001C3C42">
      <w:pPr>
        <w:spacing w:after="0" w:line="259" w:lineRule="auto"/>
        <w:ind w:left="1803" w:right="0" w:firstLine="0"/>
      </w:pPr>
      <w:r>
        <w:rPr>
          <w:b/>
        </w:rPr>
        <w:t xml:space="preserve"> </w:t>
      </w:r>
    </w:p>
    <w:p w14:paraId="74BAA1C5" w14:textId="77777777" w:rsidR="00B56D50" w:rsidRDefault="001C3C42" w:rsidP="00A443E6">
      <w:pPr>
        <w:numPr>
          <w:ilvl w:val="1"/>
          <w:numId w:val="49"/>
        </w:numPr>
        <w:ind w:left="2160" w:right="255" w:hanging="360"/>
      </w:pPr>
      <w:r>
        <w:t xml:space="preserve">Run a reagent blank, and </w:t>
      </w:r>
    </w:p>
    <w:p w14:paraId="36DCFE6C" w14:textId="77777777" w:rsidR="00B56D50" w:rsidRDefault="001C3C42">
      <w:pPr>
        <w:spacing w:after="0" w:line="259" w:lineRule="auto"/>
        <w:ind w:left="992" w:right="0" w:firstLine="0"/>
      </w:pPr>
      <w:r>
        <w:rPr>
          <w:b/>
        </w:rPr>
        <w:lastRenderedPageBreak/>
        <w:t xml:space="preserve"> </w:t>
      </w:r>
    </w:p>
    <w:p w14:paraId="571958D0" w14:textId="77777777" w:rsidR="00B56D50" w:rsidRDefault="001C3C42" w:rsidP="00863146">
      <w:pPr>
        <w:numPr>
          <w:ilvl w:val="1"/>
          <w:numId w:val="49"/>
        </w:numPr>
        <w:ind w:left="2160" w:right="255" w:hanging="360"/>
      </w:pPr>
      <w:r>
        <w:t xml:space="preserve">Dilute the sample to minimize matrix interferences and reanalyze.   </w:t>
      </w:r>
    </w:p>
    <w:p w14:paraId="02710CC4" w14:textId="77777777" w:rsidR="00B56D50" w:rsidRDefault="001C3C42">
      <w:pPr>
        <w:spacing w:after="0" w:line="259" w:lineRule="auto"/>
        <w:ind w:left="2163" w:right="0" w:firstLine="0"/>
      </w:pPr>
      <w:r>
        <w:rPr>
          <w:b/>
        </w:rPr>
        <w:t xml:space="preserve"> </w:t>
      </w:r>
    </w:p>
    <w:p w14:paraId="46036F94" w14:textId="77777777" w:rsidR="00B56D50" w:rsidRDefault="001C3C42" w:rsidP="00A443E6">
      <w:pPr>
        <w:numPr>
          <w:ilvl w:val="2"/>
          <w:numId w:val="49"/>
        </w:numPr>
        <w:ind w:left="2520" w:right="255" w:hanging="360"/>
      </w:pPr>
      <w:r>
        <w:t xml:space="preserve">If the sample response falls within the retention time window after dilution, report only the second run. </w:t>
      </w:r>
    </w:p>
    <w:p w14:paraId="0CDC5956" w14:textId="77777777" w:rsidR="00B56D50" w:rsidRDefault="001C3C42">
      <w:pPr>
        <w:spacing w:after="0" w:line="259" w:lineRule="auto"/>
        <w:ind w:left="1443" w:right="0" w:firstLine="0"/>
      </w:pPr>
      <w:r>
        <w:t xml:space="preserve"> </w:t>
      </w:r>
    </w:p>
    <w:p w14:paraId="7C5BF72E" w14:textId="77777777" w:rsidR="00B56D50" w:rsidRDefault="001C3C42" w:rsidP="00750C62">
      <w:pPr>
        <w:numPr>
          <w:ilvl w:val="2"/>
          <w:numId w:val="49"/>
        </w:numPr>
        <w:ind w:left="2520" w:right="255" w:hanging="360"/>
      </w:pPr>
      <w:r>
        <w:t xml:space="preserve">If the sample response still falls outside the retention time window, use professional judgment: </w:t>
      </w:r>
    </w:p>
    <w:p w14:paraId="6F268FBA" w14:textId="4617D019" w:rsidR="00B56D50" w:rsidRDefault="001C3C42">
      <w:pPr>
        <w:spacing w:after="0" w:line="259" w:lineRule="auto"/>
        <w:ind w:left="1443" w:right="0" w:firstLine="0"/>
      </w:pPr>
      <w:r>
        <w:t xml:space="preserve"> </w:t>
      </w:r>
    </w:p>
    <w:p w14:paraId="3564C1B1" w14:textId="77777777" w:rsidR="00B56D50" w:rsidRDefault="001C3C42" w:rsidP="00093377">
      <w:pPr>
        <w:numPr>
          <w:ilvl w:val="3"/>
          <w:numId w:val="49"/>
        </w:numPr>
        <w:ind w:left="2906" w:right="255" w:hanging="386"/>
      </w:pPr>
      <w:r>
        <w:t xml:space="preserve">Tentatively identify the detected material </w:t>
      </w:r>
    </w:p>
    <w:p w14:paraId="75676529" w14:textId="77777777" w:rsidR="00B56D50" w:rsidRDefault="001C3C42" w:rsidP="00093377">
      <w:pPr>
        <w:numPr>
          <w:ilvl w:val="3"/>
          <w:numId w:val="49"/>
        </w:numPr>
        <w:ind w:left="2906" w:right="255" w:hanging="386"/>
      </w:pPr>
      <w:r>
        <w:t xml:space="preserve">Report both runs </w:t>
      </w:r>
    </w:p>
    <w:p w14:paraId="24C18E25" w14:textId="77777777" w:rsidR="00B54125" w:rsidRDefault="001C3C42" w:rsidP="00093377">
      <w:pPr>
        <w:numPr>
          <w:ilvl w:val="3"/>
          <w:numId w:val="49"/>
        </w:numPr>
        <w:ind w:left="2906" w:right="255" w:hanging="386"/>
      </w:pPr>
      <w:r>
        <w:t>Flag the results as tentatively identified.</w:t>
      </w:r>
    </w:p>
    <w:p w14:paraId="1AA0C923" w14:textId="47EE3C38" w:rsidR="00B56D50" w:rsidRDefault="00B56D50" w:rsidP="00F7386C">
      <w:pPr>
        <w:ind w:right="255"/>
      </w:pPr>
    </w:p>
    <w:p w14:paraId="30444C29" w14:textId="2CB27987" w:rsidR="00B56D50" w:rsidRPr="00793ADC" w:rsidRDefault="001C3C42" w:rsidP="00093377">
      <w:pPr>
        <w:numPr>
          <w:ilvl w:val="0"/>
          <w:numId w:val="107"/>
        </w:numPr>
        <w:spacing w:after="16"/>
        <w:ind w:left="1800" w:right="186" w:hanging="360"/>
        <w:rPr>
          <w:b/>
          <w:bCs/>
        </w:rPr>
      </w:pPr>
      <w:r w:rsidRPr="00793ADC">
        <w:rPr>
          <w:b/>
          <w:bCs/>
        </w:rPr>
        <w:t xml:space="preserve">When sample “saturates” (causes a full deflection response) </w:t>
      </w:r>
    </w:p>
    <w:p w14:paraId="472A92CB" w14:textId="77777777" w:rsidR="00B56D50" w:rsidRDefault="001C3C42" w:rsidP="00793ADC">
      <w:pPr>
        <w:ind w:left="1810" w:right="255"/>
      </w:pPr>
      <w:r>
        <w:t xml:space="preserve">When a highly contaminated sample causes a saturated, full deflection peak, the following action should be taken: </w:t>
      </w:r>
    </w:p>
    <w:p w14:paraId="474E3DAD" w14:textId="77777777" w:rsidR="00B56D50" w:rsidRDefault="001C3C42">
      <w:pPr>
        <w:spacing w:after="0" w:line="259" w:lineRule="auto"/>
        <w:ind w:left="2252" w:right="0" w:firstLine="0"/>
      </w:pPr>
      <w:r>
        <w:rPr>
          <w:b/>
        </w:rPr>
        <w:t xml:space="preserve"> </w:t>
      </w:r>
    </w:p>
    <w:p w14:paraId="2E8844ED" w14:textId="77777777" w:rsidR="00B74D73" w:rsidRDefault="001C3C42" w:rsidP="00863146">
      <w:pPr>
        <w:numPr>
          <w:ilvl w:val="0"/>
          <w:numId w:val="50"/>
        </w:numPr>
        <w:ind w:left="2160" w:right="255" w:hanging="360"/>
      </w:pPr>
      <w:r>
        <w:t>Run a reagent blank to prevent carry-over</w:t>
      </w:r>
      <w:r>
        <w:rPr>
          <w:b/>
        </w:rPr>
        <w:t xml:space="preserve">.  </w:t>
      </w:r>
      <w:r>
        <w:t>See Section G.5.</w:t>
      </w:r>
    </w:p>
    <w:p w14:paraId="1FA0FE13" w14:textId="0908B805" w:rsidR="00B56D50" w:rsidRDefault="001C3C42" w:rsidP="00793ADC">
      <w:pPr>
        <w:ind w:right="255"/>
      </w:pPr>
      <w:r>
        <w:t xml:space="preserve"> </w:t>
      </w:r>
    </w:p>
    <w:p w14:paraId="7E3FEBC6" w14:textId="77777777" w:rsidR="00B56D50" w:rsidRDefault="001C3C42" w:rsidP="00750C62">
      <w:pPr>
        <w:numPr>
          <w:ilvl w:val="0"/>
          <w:numId w:val="50"/>
        </w:numPr>
        <w:spacing w:after="121"/>
        <w:ind w:left="2160" w:right="255" w:hanging="360"/>
      </w:pPr>
      <w:r>
        <w:t xml:space="preserve">Dilute the sample and reanalyze. </w:t>
      </w:r>
    </w:p>
    <w:p w14:paraId="75451911" w14:textId="1988FA3A" w:rsidR="00B56D50" w:rsidRDefault="00B56D50" w:rsidP="00793ADC">
      <w:pPr>
        <w:spacing w:after="0" w:line="259" w:lineRule="auto"/>
        <w:ind w:right="0"/>
      </w:pPr>
    </w:p>
    <w:p w14:paraId="64E14BA7" w14:textId="77777777" w:rsidR="00EA03C7" w:rsidRDefault="00EA03C7"/>
    <w:p w14:paraId="1AFFEF5E" w14:textId="4DC99743" w:rsidR="00EA03C7" w:rsidRDefault="00EA03C7"/>
    <w:p w14:paraId="49BCC639" w14:textId="71B89BDB" w:rsidR="00D66CB9" w:rsidRDefault="00D66CB9"/>
    <w:p w14:paraId="524022B5" w14:textId="0180673A" w:rsidR="00966961" w:rsidRDefault="00966961"/>
    <w:p w14:paraId="37CE2619" w14:textId="77777777" w:rsidR="00966961" w:rsidRPr="00C31E1B" w:rsidRDefault="00966961" w:rsidP="00966961">
      <w:pPr>
        <w:pStyle w:val="Heading5"/>
        <w:spacing w:after="16" w:line="247" w:lineRule="auto"/>
        <w:ind w:left="1090" w:right="186"/>
      </w:pPr>
      <w:r>
        <w:t>THE REMAINDER OF THIS PAGE HAS BEEN LEFT BLANK INTENTIONALLY</w:t>
      </w:r>
    </w:p>
    <w:p w14:paraId="3604DE02" w14:textId="73C5C692" w:rsidR="00966961" w:rsidRDefault="00966961"/>
    <w:p w14:paraId="055FBE29" w14:textId="450EECC2" w:rsidR="00966961" w:rsidRDefault="00966961"/>
    <w:p w14:paraId="689D9B5A" w14:textId="015DB37A" w:rsidR="00966961" w:rsidRDefault="00966961"/>
    <w:p w14:paraId="02BAF264" w14:textId="58F19A1B" w:rsidR="00966961" w:rsidRDefault="00966961"/>
    <w:p w14:paraId="31CE27E4" w14:textId="77777777" w:rsidR="000210F5" w:rsidRDefault="000210F5"/>
    <w:p w14:paraId="580B17E0" w14:textId="77777777" w:rsidR="000210F5" w:rsidRDefault="000210F5"/>
    <w:p w14:paraId="5AEE01D9" w14:textId="77777777" w:rsidR="000210F5" w:rsidRDefault="000210F5"/>
    <w:p w14:paraId="1B235E4E" w14:textId="77777777" w:rsidR="003F1AD6" w:rsidRDefault="003F1AD6"/>
    <w:p w14:paraId="796367B4" w14:textId="77777777" w:rsidR="003F1AD6" w:rsidRDefault="003F1AD6"/>
    <w:p w14:paraId="7A45E6E3" w14:textId="77777777" w:rsidR="003F1AD6" w:rsidRDefault="003F1AD6"/>
    <w:p w14:paraId="2063EBBD" w14:textId="77777777" w:rsidR="003F1AD6" w:rsidRDefault="003F1AD6"/>
    <w:p w14:paraId="086E3644" w14:textId="77777777" w:rsidR="003F1AD6" w:rsidRDefault="003F1AD6"/>
    <w:p w14:paraId="3DEF9C84" w14:textId="77777777" w:rsidR="003F1AD6" w:rsidRDefault="003F1AD6"/>
    <w:p w14:paraId="455EFE80" w14:textId="77777777" w:rsidR="003F1AD6" w:rsidRDefault="003F1AD6"/>
    <w:p w14:paraId="10936E46" w14:textId="77777777" w:rsidR="000210F5" w:rsidRDefault="000210F5"/>
    <w:p w14:paraId="511DEAAD" w14:textId="77777777" w:rsidR="000210F5" w:rsidRDefault="000210F5"/>
    <w:p w14:paraId="47B1D07D" w14:textId="0B98325D" w:rsidR="00966961" w:rsidRDefault="00966961"/>
    <w:p w14:paraId="68D0E34A" w14:textId="30AC6EFE" w:rsidR="00966961" w:rsidRDefault="00966961"/>
    <w:p w14:paraId="622AC955" w14:textId="1E7AB186" w:rsidR="00966961" w:rsidRDefault="00966961"/>
    <w:p w14:paraId="73F37EBC" w14:textId="77777777" w:rsidR="00EA3212" w:rsidRDefault="00EA3212"/>
    <w:p w14:paraId="0BF1B58D" w14:textId="77777777" w:rsidR="00EA3212" w:rsidRDefault="00EA3212"/>
    <w:p w14:paraId="0CDF2822" w14:textId="0A9FB5D7" w:rsidR="00B56D50" w:rsidRPr="006D06BF" w:rsidRDefault="001C3C42" w:rsidP="00312AE2">
      <w:pPr>
        <w:pStyle w:val="Heading6"/>
        <w:ind w:left="1080" w:right="186" w:hanging="360"/>
        <w:rPr>
          <w:sz w:val="24"/>
          <w:szCs w:val="24"/>
        </w:rPr>
      </w:pPr>
      <w:r w:rsidRPr="006D06BF">
        <w:rPr>
          <w:rFonts w:eastAsia="Arial"/>
          <w:sz w:val="24"/>
          <w:szCs w:val="24"/>
        </w:rPr>
        <w:lastRenderedPageBreak/>
        <w:t xml:space="preserve">H. </w:t>
      </w:r>
      <w:r w:rsidRPr="006D06BF">
        <w:rPr>
          <w:sz w:val="24"/>
          <w:szCs w:val="24"/>
        </w:rPr>
        <w:t>Semi</w:t>
      </w:r>
      <w:r w:rsidR="00F45F8A">
        <w:rPr>
          <w:sz w:val="24"/>
          <w:szCs w:val="24"/>
        </w:rPr>
        <w:t>-</w:t>
      </w:r>
      <w:r w:rsidRPr="006D06BF">
        <w:rPr>
          <w:sz w:val="24"/>
          <w:szCs w:val="24"/>
        </w:rPr>
        <w:t xml:space="preserve">volatile and </w:t>
      </w:r>
      <w:r w:rsidR="00E83D27">
        <w:rPr>
          <w:sz w:val="24"/>
          <w:szCs w:val="24"/>
        </w:rPr>
        <w:t>Non-volatile</w:t>
      </w:r>
      <w:r w:rsidRPr="006D06BF">
        <w:rPr>
          <w:sz w:val="24"/>
          <w:szCs w:val="24"/>
        </w:rPr>
        <w:t xml:space="preserve"> Organic Compound Analysis by High Performance Liquid Chromatography</w:t>
      </w:r>
      <w:r>
        <w:rPr>
          <w:sz w:val="24"/>
          <w:szCs w:val="24"/>
        </w:rPr>
        <w:t xml:space="preserve"> </w:t>
      </w:r>
      <w:r w:rsidR="008F1A69">
        <w:rPr>
          <w:sz w:val="24"/>
          <w:szCs w:val="24"/>
        </w:rPr>
        <w:t>(HPLC)</w:t>
      </w:r>
      <w:r w:rsidRPr="006D06BF">
        <w:rPr>
          <w:sz w:val="24"/>
          <w:szCs w:val="24"/>
        </w:rPr>
        <w:t xml:space="preserve"> </w:t>
      </w:r>
    </w:p>
    <w:p w14:paraId="68134969" w14:textId="77777777" w:rsidR="00B56D50" w:rsidRDefault="001C3C42">
      <w:pPr>
        <w:spacing w:after="0" w:line="259" w:lineRule="auto"/>
        <w:ind w:left="562" w:right="0" w:firstLine="0"/>
      </w:pPr>
      <w:r>
        <w:t xml:space="preserve"> </w:t>
      </w:r>
    </w:p>
    <w:p w14:paraId="46F42FAA" w14:textId="6537D534" w:rsidR="00B56D50" w:rsidRDefault="001C3C42" w:rsidP="00966961">
      <w:pPr>
        <w:spacing w:after="110"/>
        <w:ind w:left="1090" w:right="255"/>
      </w:pPr>
      <w:r>
        <w:t xml:space="preserve">HPLC can be used for analysis of many </w:t>
      </w:r>
      <w:r w:rsidR="00406A79">
        <w:t>S</w:t>
      </w:r>
      <w:r>
        <w:t>emi</w:t>
      </w:r>
      <w:r w:rsidR="00406A79">
        <w:t>-</w:t>
      </w:r>
      <w:r>
        <w:t xml:space="preserve">volatile, </w:t>
      </w:r>
      <w:r w:rsidR="00406A79">
        <w:t>N</w:t>
      </w:r>
      <w:r w:rsidR="00E83D27">
        <w:t>on-</w:t>
      </w:r>
      <w:r>
        <w:t xml:space="preserve">volatile, and some </w:t>
      </w:r>
      <w:r w:rsidR="00406A79">
        <w:t>V</w:t>
      </w:r>
      <w:r>
        <w:t xml:space="preserve">olatile organic compounds.  The State will mainly request HPLC for analysis of polynuclear aromatic hydrocarbons (PAHs) and other compounds for which human health and ecological risk-based protective levels are lower than can be achieved by standard full scan GC/MS.  This section will focus on analysis of PAHs for use in risk assessment.  Guidance in this section refers to HPLC using non-MS detection: specifically, fluorescence and/or UV detectors.  HPLC/MS techniques utilize different criteria than presented here.  Refer to the analytical method for guidance. </w:t>
      </w:r>
    </w:p>
    <w:p w14:paraId="20D56387" w14:textId="77777777" w:rsidR="00B56D50" w:rsidRDefault="001C3C42">
      <w:pPr>
        <w:spacing w:after="0" w:line="259" w:lineRule="auto"/>
        <w:ind w:left="562" w:right="0" w:firstLine="0"/>
      </w:pPr>
      <w:r>
        <w:t xml:space="preserve"> </w:t>
      </w:r>
    </w:p>
    <w:p w14:paraId="3557F28F" w14:textId="2E59B521" w:rsidR="00B56D50" w:rsidRPr="00A60324" w:rsidRDefault="001C3C42" w:rsidP="00093377">
      <w:pPr>
        <w:numPr>
          <w:ilvl w:val="0"/>
          <w:numId w:val="108"/>
        </w:numPr>
        <w:spacing w:after="16"/>
        <w:ind w:left="1440" w:right="186" w:hanging="360"/>
        <w:rPr>
          <w:b/>
          <w:bCs/>
        </w:rPr>
      </w:pPr>
      <w:r w:rsidRPr="00A60324">
        <w:rPr>
          <w:b/>
          <w:bCs/>
        </w:rPr>
        <w:t xml:space="preserve">General Requirements and Considerations </w:t>
      </w:r>
    </w:p>
    <w:p w14:paraId="0A011A7D" w14:textId="77777777" w:rsidR="00B56D50" w:rsidRDefault="001C3C42" w:rsidP="00A60324">
      <w:pPr>
        <w:ind w:left="1450" w:right="255"/>
      </w:pPr>
      <w:r>
        <w:t xml:space="preserve">The Contractor shall adhere to the following requirements: </w:t>
      </w:r>
    </w:p>
    <w:p w14:paraId="6761EC46" w14:textId="77777777" w:rsidR="00B56D50" w:rsidRDefault="001C3C42">
      <w:pPr>
        <w:spacing w:after="0" w:line="259" w:lineRule="auto"/>
        <w:ind w:left="1013" w:right="0" w:firstLine="0"/>
      </w:pPr>
      <w:r>
        <w:rPr>
          <w:b/>
        </w:rPr>
        <w:t xml:space="preserve"> </w:t>
      </w:r>
    </w:p>
    <w:p w14:paraId="32B2227B" w14:textId="77777777" w:rsidR="00B56D50" w:rsidRDefault="001C3C42" w:rsidP="00093377">
      <w:pPr>
        <w:numPr>
          <w:ilvl w:val="0"/>
          <w:numId w:val="51"/>
        </w:numPr>
        <w:ind w:left="1800" w:right="255" w:hanging="360"/>
      </w:pPr>
      <w:r>
        <w:rPr>
          <w:u w:val="single" w:color="000000"/>
        </w:rPr>
        <w:t>Extraction and cleanup</w:t>
      </w:r>
      <w:r>
        <w:t xml:space="preserve">: Samples must be extracted prior to analysis.  Based on sample matrix characteristics, follow criteria in appropriate extraction techniques.  To achieve maximum sensitivity, the extract must be concentrated to 1 </w:t>
      </w:r>
      <w:proofErr w:type="spellStart"/>
      <w:r>
        <w:t>mL.</w:t>
      </w:r>
      <w:proofErr w:type="spellEnd"/>
      <w:r>
        <w:t xml:space="preserve">  If interferences prevent proper detection of the analytes of interest, extracts may undergo silica gel column cleanup prior to analysis.  Additional cleanup steps may be required by some samples.</w:t>
      </w:r>
      <w:r>
        <w:rPr>
          <w:b/>
        </w:rPr>
        <w:t xml:space="preserve"> </w:t>
      </w:r>
    </w:p>
    <w:p w14:paraId="76E1957B" w14:textId="77777777" w:rsidR="00B56D50" w:rsidRDefault="001C3C42">
      <w:pPr>
        <w:spacing w:after="0" w:line="259" w:lineRule="auto"/>
        <w:ind w:left="922" w:right="0" w:firstLine="0"/>
      </w:pPr>
      <w:r>
        <w:rPr>
          <w:b/>
        </w:rPr>
        <w:t xml:space="preserve"> </w:t>
      </w:r>
    </w:p>
    <w:p w14:paraId="473096DB" w14:textId="77777777" w:rsidR="00B56D50" w:rsidRDefault="001C3C42" w:rsidP="00093377">
      <w:pPr>
        <w:numPr>
          <w:ilvl w:val="0"/>
          <w:numId w:val="51"/>
        </w:numPr>
        <w:ind w:left="1800" w:right="255" w:hanging="360"/>
      </w:pPr>
      <w:r>
        <w:rPr>
          <w:u w:val="single" w:color="000000"/>
        </w:rPr>
        <w:t>Interference considerations</w:t>
      </w:r>
      <w:r>
        <w:rPr>
          <w:b/>
        </w:rPr>
        <w:t>:</w:t>
      </w:r>
      <w:r>
        <w:t xml:space="preserve"> The sensitivity of the HPLC technique usually depends on the level of </w:t>
      </w:r>
      <w:proofErr w:type="gramStart"/>
      <w:r>
        <w:t>interferences</w:t>
      </w:r>
      <w:proofErr w:type="gramEnd"/>
      <w:r>
        <w:t xml:space="preserve"> rather than instrumental limitations.  When interferences are present, the level of sensitivity will be lower.  Non-target PAHs present in the sample matrix may pose significant interference problems.</w:t>
      </w:r>
      <w:r>
        <w:rPr>
          <w:b/>
        </w:rPr>
        <w:t xml:space="preserve"> </w:t>
      </w:r>
    </w:p>
    <w:p w14:paraId="2E181D1C" w14:textId="77777777" w:rsidR="00B56D50" w:rsidRDefault="001C3C42">
      <w:pPr>
        <w:spacing w:after="0" w:line="259" w:lineRule="auto"/>
        <w:ind w:left="562" w:right="0" w:firstLine="0"/>
      </w:pPr>
      <w:r>
        <w:rPr>
          <w:b/>
        </w:rPr>
        <w:t xml:space="preserve"> </w:t>
      </w:r>
    </w:p>
    <w:p w14:paraId="6E2194EF" w14:textId="77777777" w:rsidR="00B56D50" w:rsidRDefault="001C3C42" w:rsidP="00093377">
      <w:pPr>
        <w:numPr>
          <w:ilvl w:val="0"/>
          <w:numId w:val="51"/>
        </w:numPr>
        <w:ind w:left="1800" w:right="255" w:hanging="360"/>
      </w:pPr>
      <w:r>
        <w:rPr>
          <w:u w:val="single" w:color="000000"/>
        </w:rPr>
        <w:t>Holding times and preservatives</w:t>
      </w:r>
      <w:r>
        <w:t>: Preservative techniques specified in TABLE 1, Sample Containers, Preservatives, and Holding Time Requirements,</w:t>
      </w:r>
      <w:r>
        <w:rPr>
          <w:u w:val="single" w:color="000000"/>
        </w:rPr>
        <w:t xml:space="preserve"> </w:t>
      </w:r>
      <w:r>
        <w:t>must be followed based on sample characteristics.  Holding time requirements for both samples and sample extracts must be adhered to.</w:t>
      </w:r>
      <w:r>
        <w:rPr>
          <w:b/>
        </w:rPr>
        <w:t xml:space="preserve"> </w:t>
      </w:r>
    </w:p>
    <w:p w14:paraId="195B85E5" w14:textId="77777777" w:rsidR="00B56D50" w:rsidRDefault="001C3C42">
      <w:pPr>
        <w:spacing w:after="0" w:line="259" w:lineRule="auto"/>
        <w:ind w:left="562" w:right="0" w:firstLine="0"/>
      </w:pPr>
      <w:r>
        <w:rPr>
          <w:b/>
        </w:rPr>
        <w:t xml:space="preserve"> </w:t>
      </w:r>
    </w:p>
    <w:p w14:paraId="672C5969" w14:textId="77777777" w:rsidR="00B56D50" w:rsidRDefault="001C3C42" w:rsidP="00093377">
      <w:pPr>
        <w:numPr>
          <w:ilvl w:val="0"/>
          <w:numId w:val="51"/>
        </w:numPr>
        <w:ind w:left="1800" w:right="255" w:hanging="360"/>
      </w:pPr>
      <w:r>
        <w:rPr>
          <w:u w:val="single" w:color="000000"/>
        </w:rPr>
        <w:t>Detection</w:t>
      </w:r>
      <w:r>
        <w:t>: It is recommended that a combination of fluorescence and UV detectors be used.  UV detection is applicable to a wide range of analytes and is less sensitive to RT fluctuation than fluorescence.  However, UV does not provide sufficient sensitivity to quantitate some PAHs at sub-ppb concentrations, and hence to meet risk-based health protective levels, particularly for carcinogens.  Fluorescence provides improved sensitivity, but not all target compounds fluoresce (e.g., acenaphthylene).  An UV detector or an UV-Visible diode array detector (DAD) coupled to a fluorescence detector maximizes both sensitivity and selectivity.  For compounds that fluoresce and for which UV detection can provide sufficient sensitivity, obtaining spectra from both detectors provides the additional advantage of combining identification and confirmation of target analytes in a single analysis.</w:t>
      </w:r>
      <w:r>
        <w:rPr>
          <w:b/>
        </w:rPr>
        <w:t xml:space="preserve"> </w:t>
      </w:r>
    </w:p>
    <w:p w14:paraId="2B6F0C54" w14:textId="77777777" w:rsidR="00B56D50" w:rsidRDefault="001C3C42">
      <w:pPr>
        <w:spacing w:after="0" w:line="259" w:lineRule="auto"/>
        <w:ind w:left="562" w:right="0" w:firstLine="0"/>
      </w:pPr>
      <w:r>
        <w:rPr>
          <w:b/>
        </w:rPr>
        <w:t xml:space="preserve"> </w:t>
      </w:r>
    </w:p>
    <w:p w14:paraId="5E38BDAB" w14:textId="77777777" w:rsidR="00B56D50" w:rsidRDefault="001C3C42" w:rsidP="00093377">
      <w:pPr>
        <w:numPr>
          <w:ilvl w:val="0"/>
          <w:numId w:val="51"/>
        </w:numPr>
        <w:ind w:left="1800" w:right="255" w:hanging="360"/>
      </w:pPr>
      <w:r>
        <w:rPr>
          <w:u w:val="single" w:color="000000"/>
        </w:rPr>
        <w:t>Confirmation of compound identification</w:t>
      </w:r>
      <w:r>
        <w:t xml:space="preserve">: Compound identification by HPLC using non-MS detection must be supported by at least one additional qualitative technique unless the composition of the sample matrix has been well established by prior analyses. </w:t>
      </w:r>
      <w:r>
        <w:rPr>
          <w:b/>
        </w:rPr>
        <w:t xml:space="preserve"> </w:t>
      </w:r>
    </w:p>
    <w:p w14:paraId="41D12A14" w14:textId="1613C377" w:rsidR="00B56D50" w:rsidRPr="00E01CA5" w:rsidRDefault="00B56D50">
      <w:pPr>
        <w:spacing w:after="0" w:line="259" w:lineRule="auto"/>
        <w:ind w:left="562" w:right="0" w:firstLine="0"/>
        <w:rPr>
          <w:rFonts w:eastAsia="Arial"/>
        </w:rPr>
      </w:pPr>
    </w:p>
    <w:p w14:paraId="1F0B0C98" w14:textId="77777777" w:rsidR="00A64055" w:rsidRPr="00E01CA5" w:rsidRDefault="00A64055">
      <w:pPr>
        <w:spacing w:after="0" w:line="259" w:lineRule="auto"/>
        <w:ind w:left="562" w:right="0" w:firstLine="0"/>
        <w:rPr>
          <w:rFonts w:eastAsia="Arial"/>
        </w:rPr>
      </w:pPr>
    </w:p>
    <w:p w14:paraId="145DC54D" w14:textId="77777777" w:rsidR="00A64055" w:rsidRPr="00E01CA5" w:rsidRDefault="00A64055">
      <w:pPr>
        <w:spacing w:after="0" w:line="259" w:lineRule="auto"/>
        <w:ind w:left="562" w:right="0" w:firstLine="0"/>
        <w:rPr>
          <w:rFonts w:eastAsia="Arial"/>
        </w:rPr>
      </w:pPr>
    </w:p>
    <w:p w14:paraId="3983E9A3" w14:textId="6C6CA5C2" w:rsidR="00B56D50" w:rsidRPr="00A60324" w:rsidRDefault="001C3C42" w:rsidP="00093377">
      <w:pPr>
        <w:numPr>
          <w:ilvl w:val="0"/>
          <w:numId w:val="108"/>
        </w:numPr>
        <w:spacing w:after="16"/>
        <w:ind w:left="1440" w:right="186" w:hanging="360"/>
        <w:rPr>
          <w:b/>
          <w:bCs/>
        </w:rPr>
      </w:pPr>
      <w:r w:rsidRPr="00A60324">
        <w:rPr>
          <w:b/>
          <w:bCs/>
        </w:rPr>
        <w:t xml:space="preserve">Initial Calibration </w:t>
      </w:r>
    </w:p>
    <w:p w14:paraId="14A6DDAC" w14:textId="77777777" w:rsidR="00B56D50" w:rsidRDefault="001C3C42" w:rsidP="00A60324">
      <w:pPr>
        <w:ind w:left="1450" w:right="427"/>
      </w:pPr>
      <w:r>
        <w:t xml:space="preserve">The Contractor shall perform and document the initial calibration for each instrument used to analyze samples.  HPLC calibration may be accomplished through either an internal or external standard calibration procedure.  However, it may be difficult to find compounds for use as internal standards that can be chromatographically resolved from the target analytes. </w:t>
      </w:r>
    </w:p>
    <w:p w14:paraId="6092BF96" w14:textId="77777777" w:rsidR="00B56D50" w:rsidRDefault="001C3C42">
      <w:pPr>
        <w:spacing w:after="0" w:line="259" w:lineRule="auto"/>
        <w:ind w:left="562" w:right="0" w:firstLine="0"/>
      </w:pPr>
      <w:r>
        <w:t xml:space="preserve"> </w:t>
      </w:r>
    </w:p>
    <w:p w14:paraId="78CCCEDB" w14:textId="760E32D5" w:rsidR="00B56D50" w:rsidRDefault="001C3C42" w:rsidP="00A60324">
      <w:pPr>
        <w:ind w:left="1450" w:right="255"/>
      </w:pPr>
      <w:r>
        <w:t xml:space="preserve">Initial calibration must be performed using a minimum of 5 concentrations.  The concentration range of the calibration standards must bracket the concentrations of target compounds expected to be found in the field samples and must be wide enough to meet the project DQOs.  At least one standard must be at a concentration near, but above, the MDL.  If data </w:t>
      </w:r>
      <w:proofErr w:type="gramStart"/>
      <w:r>
        <w:t>will be</w:t>
      </w:r>
      <w:proofErr w:type="gramEnd"/>
      <w:r>
        <w:t xml:space="preserve"> compared to risk-based human health or ecological protective levels, this low standard concentration for each analyte must be as low as or lower than the risk-based level to which sample concentrations will be compared.  The remaining standards must correspond to the range of concentrations found in typical samples or must define the working range of the HPLC system.</w:t>
      </w:r>
    </w:p>
    <w:p w14:paraId="6428A0F1" w14:textId="77777777" w:rsidR="00B56D50" w:rsidRDefault="001C3C42">
      <w:pPr>
        <w:spacing w:after="0" w:line="259" w:lineRule="auto"/>
        <w:ind w:left="562" w:right="0" w:firstLine="0"/>
      </w:pPr>
      <w:r>
        <w:t xml:space="preserve"> </w:t>
      </w:r>
    </w:p>
    <w:p w14:paraId="05B32149" w14:textId="1746A123" w:rsidR="00B56D50" w:rsidRPr="00A60324" w:rsidRDefault="001C3C42" w:rsidP="00093377">
      <w:pPr>
        <w:numPr>
          <w:ilvl w:val="0"/>
          <w:numId w:val="109"/>
        </w:numPr>
        <w:ind w:left="1800" w:right="255" w:hanging="360"/>
        <w:rPr>
          <w:b/>
          <w:bCs/>
        </w:rPr>
      </w:pPr>
      <w:r w:rsidRPr="00A60324">
        <w:rPr>
          <w:b/>
          <w:bCs/>
        </w:rPr>
        <w:t xml:space="preserve">External standard calibration procedure </w:t>
      </w:r>
    </w:p>
    <w:p w14:paraId="441097EE" w14:textId="77777777" w:rsidR="00B56D50" w:rsidRDefault="001C3C42" w:rsidP="00A60324">
      <w:pPr>
        <w:ind w:left="1810" w:right="255"/>
      </w:pPr>
      <w:r>
        <w:t xml:space="preserve">Prepare calibration standards at a minimum of five concentration levels for each analyte by dilution of stock standards with an appropriate solvent.  Inject each calibration standard into the instrument using the same technique that will be used to introduce the actual samples (e.g. 5-100 µL injections).  Tabulate peak area or height responses against the mass of analyte injected.  The results can be used to prepare a calibration curve for each compound.    </w:t>
      </w:r>
    </w:p>
    <w:p w14:paraId="4BA157F5" w14:textId="77777777" w:rsidR="00B56D50" w:rsidRDefault="001C3C42" w:rsidP="00CD595B">
      <w:pPr>
        <w:spacing w:after="0" w:line="259" w:lineRule="auto"/>
        <w:ind w:left="1800" w:right="0" w:firstLine="0"/>
      </w:pPr>
      <w:r>
        <w:t xml:space="preserve"> </w:t>
      </w:r>
    </w:p>
    <w:p w14:paraId="7FEE1E74" w14:textId="37455D4C" w:rsidR="00B56D50" w:rsidRDefault="001C3C42" w:rsidP="00CD595B">
      <w:pPr>
        <w:ind w:left="1810" w:right="255"/>
      </w:pPr>
      <w:r>
        <w:t>Alternatively, the ratio of detector response to mass of analyte injected, defined as the calibration factor (CF), can be calculated for each analyte at each standard concentration.  If the CF is a constant over the working range (i.e., the relative standard deviation (RSD) is ±20%), linearity through the origin can be assumed.  Then the average calibration factor can be used in place of a calibration curve to determine sample concentrations.</w:t>
      </w:r>
    </w:p>
    <w:p w14:paraId="6D1357A0" w14:textId="77777777" w:rsidR="00B56D50" w:rsidRDefault="001C3C42">
      <w:pPr>
        <w:spacing w:after="0" w:line="259" w:lineRule="auto"/>
        <w:ind w:left="562" w:right="0" w:firstLine="0"/>
      </w:pPr>
      <w:r>
        <w:t xml:space="preserve"> </w:t>
      </w:r>
    </w:p>
    <w:p w14:paraId="1A158F56" w14:textId="1B7D98C6" w:rsidR="00B56D50" w:rsidRPr="00CD595B" w:rsidRDefault="001C3C42" w:rsidP="00093377">
      <w:pPr>
        <w:numPr>
          <w:ilvl w:val="0"/>
          <w:numId w:val="109"/>
        </w:numPr>
        <w:ind w:left="1800" w:right="255" w:hanging="360"/>
        <w:rPr>
          <w:b/>
        </w:rPr>
      </w:pPr>
      <w:r w:rsidRPr="00CD595B">
        <w:rPr>
          <w:b/>
        </w:rPr>
        <w:t xml:space="preserve">Internal standard calibration procedure </w:t>
      </w:r>
    </w:p>
    <w:p w14:paraId="4828939C" w14:textId="1DE83F3B" w:rsidR="00B56D50" w:rsidRDefault="001C3C42" w:rsidP="00CD595B">
      <w:pPr>
        <w:ind w:left="1810" w:right="255"/>
      </w:pPr>
      <w:r>
        <w:t xml:space="preserve">If an internal standard calibration procedure is used, a known constant amount of one or more internal standards is added to each calibration standard and each sample prior to analysis.  Compounds selected for use as internal standards must be similar in analytical behavior to the compounds of </w:t>
      </w:r>
      <w:r w:rsidR="00FB29FC">
        <w:t>interest but</w:t>
      </w:r>
      <w:r>
        <w:t xml:space="preserve"> must not be expected to be present in the samples.  The analyst must demonstrate that the measurement of the internal standards is not affected by method or matrix interferences and that the internal standard can be chromatographically resolved from the target compounds. </w:t>
      </w:r>
    </w:p>
    <w:p w14:paraId="57B39872" w14:textId="77777777" w:rsidR="00B56D50" w:rsidRDefault="001C3C42">
      <w:pPr>
        <w:spacing w:after="0" w:line="259" w:lineRule="auto"/>
        <w:ind w:left="562" w:right="0" w:firstLine="0"/>
      </w:pPr>
      <w:r>
        <w:t xml:space="preserve"> </w:t>
      </w:r>
    </w:p>
    <w:p w14:paraId="1FEC1FEA" w14:textId="1BD641B8" w:rsidR="00B56D50" w:rsidRDefault="001C3C42" w:rsidP="00CD595B">
      <w:pPr>
        <w:ind w:left="1810" w:right="255"/>
      </w:pPr>
      <w:r>
        <w:t xml:space="preserve">Possible choices for internal standards might include brominated, fluorinated, or stable isotopically labeled PAH analogs.  4, 4’-difluorobiphenyl is a possible internal standard candidate for early eluting compounds determined by UV </w:t>
      </w:r>
      <w:r w:rsidR="00FB29FC">
        <w:t>absorbance</w:t>
      </w:r>
      <w:r>
        <w:t xml:space="preserve">.  A different compound would need to be chosen for the higher molecular weight, fluorescent analytes. </w:t>
      </w:r>
    </w:p>
    <w:p w14:paraId="409106F6" w14:textId="77777777" w:rsidR="00B56D50" w:rsidRDefault="001C3C42">
      <w:pPr>
        <w:spacing w:after="0" w:line="259" w:lineRule="auto"/>
        <w:ind w:left="562" w:right="0" w:firstLine="0"/>
      </w:pPr>
      <w:r>
        <w:rPr>
          <w:rFonts w:ascii="Arial" w:eastAsia="Arial" w:hAnsi="Arial" w:cs="Arial"/>
        </w:rPr>
        <w:t xml:space="preserve"> </w:t>
      </w:r>
    </w:p>
    <w:p w14:paraId="16C4D2A0" w14:textId="3CEC44CB" w:rsidR="00B56D50" w:rsidRDefault="001C3C42" w:rsidP="00CD595B">
      <w:pPr>
        <w:ind w:left="1810" w:right="0"/>
      </w:pPr>
      <w:r>
        <w:t xml:space="preserve">Prepare calibration standards at a minimum of five concentration levels for each analyte by adding volumes of one or more stock standard solutions to a volumetric flask.  To each calibration standard add a known amount of one or more internal </w:t>
      </w:r>
      <w:r w:rsidR="00FB29FC">
        <w:t>standards and</w:t>
      </w:r>
      <w:r>
        <w:t xml:space="preserve"> dilute to </w:t>
      </w:r>
      <w:r>
        <w:lastRenderedPageBreak/>
        <w:t>volume with an appropriate solvent.  Inject each calibration standard into the instrument using the same technique that will be used to introduce the actual samples (e.g. 5-100 µL injections).  Tabulate peak area or height responses against the concentration for each compound and internal standard.  Calculate the response factor for each compound at each concentration.  If the RF value is constant over the working range (the RSD is 20%), linearity through the origin can be assumed and the average RF can be used to calculate sample concentrations.</w:t>
      </w:r>
    </w:p>
    <w:p w14:paraId="3DE93149" w14:textId="7BDE3C33" w:rsidR="00B56D50" w:rsidRDefault="00B56D50">
      <w:pPr>
        <w:spacing w:after="0" w:line="259" w:lineRule="auto"/>
        <w:ind w:left="562" w:right="2812" w:firstLine="0"/>
      </w:pPr>
    </w:p>
    <w:p w14:paraId="361487ED" w14:textId="6683EF34" w:rsidR="00B56D50" w:rsidRPr="00A60324" w:rsidRDefault="001C3C42" w:rsidP="00093377">
      <w:pPr>
        <w:numPr>
          <w:ilvl w:val="0"/>
          <w:numId w:val="109"/>
        </w:numPr>
        <w:ind w:left="1800" w:right="255" w:hanging="360"/>
        <w:rPr>
          <w:b/>
          <w:bCs/>
        </w:rPr>
      </w:pPr>
      <w:r w:rsidRPr="00A60324">
        <w:rPr>
          <w:b/>
          <w:bCs/>
        </w:rPr>
        <w:t xml:space="preserve">Initial Calibration Control Criteria </w:t>
      </w:r>
    </w:p>
    <w:p w14:paraId="7D7AE392" w14:textId="0BB63A7B" w:rsidR="00365368" w:rsidRDefault="001C3C42" w:rsidP="00A60324">
      <w:pPr>
        <w:ind w:left="1810" w:right="0"/>
      </w:pPr>
      <w:r>
        <w:t>Calculate the RSD for each analyte across all concentrations using the mean and standard deviation of the CFs or RFs</w:t>
      </w:r>
      <w:r w:rsidR="00365368">
        <w:t>.</w:t>
      </w:r>
    </w:p>
    <w:p w14:paraId="2E5735F1" w14:textId="727E70C0" w:rsidR="00B56D50" w:rsidRDefault="00B56D50" w:rsidP="00A60324">
      <w:pPr>
        <w:ind w:left="1810" w:right="0"/>
      </w:pPr>
    </w:p>
    <w:p w14:paraId="628A2E63" w14:textId="1BC983DD" w:rsidR="004874E1" w:rsidRDefault="001C3C42" w:rsidP="004874E1">
      <w:pPr>
        <w:ind w:left="1800" w:firstLine="0"/>
      </w:pPr>
      <w:r>
        <w:t xml:space="preserve">The RSD criteria in TABLE </w:t>
      </w:r>
      <w:r w:rsidR="00996F93">
        <w:t>3</w:t>
      </w:r>
      <w:r w:rsidR="0020566A">
        <w:t>4</w:t>
      </w:r>
      <w:r>
        <w:rPr>
          <w:i/>
        </w:rPr>
        <w:t xml:space="preserve"> </w:t>
      </w:r>
      <w:r>
        <w:t xml:space="preserve">must be met for linearity through the origin to be assumed using the CF or RF approach.  If linearity through the origin cannot be assumed, the analysis must be </w:t>
      </w:r>
      <w:r w:rsidR="00FB29FC">
        <w:t>stopped,</w:t>
      </w:r>
      <w:r>
        <w:t xml:space="preserve"> and the problem found and corrected before analysis of samples can begin.  A calibration curve may need to be used instead of the mean CF for the external calibration procedure or the mean RF for the internal standard procedure.  (See SW-846 Method 8000</w:t>
      </w:r>
      <w:r w:rsidRPr="004874E1">
        <w:t>.)</w:t>
      </w:r>
      <w:r w:rsidR="004874E1" w:rsidRPr="004874E1">
        <w:t xml:space="preserve">. </w:t>
      </w:r>
      <w:r w:rsidRPr="007210BC">
        <w:t xml:space="preserve"> </w:t>
      </w:r>
      <w:r w:rsidR="004874E1" w:rsidRPr="00D054B1">
        <w:t>If a calibration curve is used rather than CF or RF, % Drift must be calculated instead of % Difference.  Acceptance criteria for % Drift are 8</w:t>
      </w:r>
      <w:r w:rsidR="004874E1">
        <w:t>0</w:t>
      </w:r>
      <w:r w:rsidR="004874E1" w:rsidRPr="00D054B1">
        <w:t>-1</w:t>
      </w:r>
      <w:r w:rsidR="004874E1">
        <w:t>20</w:t>
      </w:r>
      <w:r w:rsidR="004874E1" w:rsidRPr="00D054B1">
        <w:t xml:space="preserve">%. </w:t>
      </w:r>
      <w:r w:rsidR="004874E1" w:rsidRPr="00A33F6D">
        <w:rPr>
          <w:b/>
          <w:bCs/>
          <w:vertAlign w:val="superscript"/>
        </w:rPr>
        <w:t>49</w:t>
      </w:r>
      <w:r w:rsidR="004874E1">
        <w:t xml:space="preserve"> </w:t>
      </w:r>
    </w:p>
    <w:p w14:paraId="62BD2D99" w14:textId="6A22698C" w:rsidR="00B56D50" w:rsidRDefault="00B56D50" w:rsidP="00A60324">
      <w:pPr>
        <w:ind w:left="1810" w:right="0"/>
      </w:pPr>
    </w:p>
    <w:p w14:paraId="0E081723" w14:textId="77777777" w:rsidR="00B56D50" w:rsidRDefault="001C3C42" w:rsidP="00A60324">
      <w:pPr>
        <w:ind w:left="1800" w:right="255"/>
      </w:pPr>
      <w:r>
        <w:t xml:space="preserve">A new calibration curve (or calibration factor or response factor) must be prepared whenever a new column or detector is installed.  The initial calibration data (and curve if used), calibration or response factors, and RSDs must be reported with the analysis results. </w:t>
      </w:r>
    </w:p>
    <w:p w14:paraId="0DA7390C" w14:textId="08A6BD7A" w:rsidR="00B56D50" w:rsidRDefault="001C3C42" w:rsidP="00EC7567">
      <w:pPr>
        <w:spacing w:after="0" w:line="259" w:lineRule="auto"/>
        <w:ind w:right="0"/>
      </w:pPr>
      <w:r>
        <w:rPr>
          <w:rFonts w:ascii="Arial" w:eastAsia="Arial" w:hAnsi="Arial" w:cs="Arial"/>
        </w:rPr>
        <w:t xml:space="preserve"> </w:t>
      </w:r>
      <w:r>
        <w:rPr>
          <w:b/>
        </w:rPr>
        <w:t xml:space="preserve"> </w:t>
      </w:r>
    </w:p>
    <w:p w14:paraId="634446F7" w14:textId="1CD476B3" w:rsidR="00B56D50" w:rsidRDefault="001C3C42">
      <w:pPr>
        <w:pStyle w:val="Heading5"/>
        <w:ind w:left="1024" w:right="267"/>
      </w:pPr>
      <w:r>
        <w:t xml:space="preserve">TABLE </w:t>
      </w:r>
      <w:r w:rsidR="00996F93">
        <w:t>3</w:t>
      </w:r>
      <w:r w:rsidR="0020566A">
        <w:t>4</w:t>
      </w:r>
      <w:r>
        <w:rPr>
          <w:b w:val="0"/>
          <w:sz w:val="16"/>
        </w:rPr>
        <w:t xml:space="preserve"> </w:t>
      </w:r>
    </w:p>
    <w:p w14:paraId="4D63681E" w14:textId="77777777" w:rsidR="00B56D50" w:rsidRDefault="001C3C42">
      <w:pPr>
        <w:pStyle w:val="Heading6"/>
        <w:ind w:left="1969" w:right="186"/>
      </w:pPr>
      <w:r>
        <w:t xml:space="preserve">Initial Calibration RSD Criteria for Assumption of Linearity in HPLC Analysis </w:t>
      </w:r>
    </w:p>
    <w:p w14:paraId="799E206F" w14:textId="77777777" w:rsidR="00B56D50" w:rsidRDefault="001C3C42">
      <w:pPr>
        <w:spacing w:after="0" w:line="259" w:lineRule="auto"/>
        <w:ind w:left="1128" w:right="0" w:firstLine="0"/>
        <w:jc w:val="center"/>
      </w:pPr>
      <w:r>
        <w:rPr>
          <w:sz w:val="8"/>
        </w:rPr>
        <w:t xml:space="preserve"> </w:t>
      </w:r>
    </w:p>
    <w:tbl>
      <w:tblPr>
        <w:tblStyle w:val="TableGrid1"/>
        <w:tblW w:w="8733" w:type="dxa"/>
        <w:tblInd w:w="151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18" w:type="dxa"/>
          <w:left w:w="115" w:type="dxa"/>
          <w:right w:w="115" w:type="dxa"/>
        </w:tblCellMar>
        <w:tblLook w:val="04A0" w:firstRow="1" w:lastRow="0" w:firstColumn="1" w:lastColumn="0" w:noHBand="0" w:noVBand="1"/>
      </w:tblPr>
      <w:tblGrid>
        <w:gridCol w:w="2251"/>
        <w:gridCol w:w="3421"/>
        <w:gridCol w:w="3061"/>
      </w:tblGrid>
      <w:tr w:rsidR="00B56D50" w14:paraId="79C28A73" w14:textId="77777777" w:rsidTr="00311FBF">
        <w:trPr>
          <w:trHeight w:val="271"/>
        </w:trPr>
        <w:tc>
          <w:tcPr>
            <w:tcW w:w="2251" w:type="dxa"/>
            <w:vMerge w:val="restart"/>
            <w:vAlign w:val="center"/>
          </w:tcPr>
          <w:p w14:paraId="424F44D9" w14:textId="77777777" w:rsidR="00B56D50" w:rsidRPr="00776362" w:rsidRDefault="001C3C42">
            <w:pPr>
              <w:spacing w:after="0" w:line="259" w:lineRule="auto"/>
              <w:ind w:left="0" w:right="5" w:firstLine="0"/>
              <w:jc w:val="center"/>
              <w:rPr>
                <w:sz w:val="20"/>
                <w:szCs w:val="20"/>
              </w:rPr>
            </w:pPr>
            <w:r w:rsidRPr="00776362">
              <w:rPr>
                <w:b/>
                <w:sz w:val="20"/>
                <w:szCs w:val="20"/>
              </w:rPr>
              <w:t xml:space="preserve">Compound </w:t>
            </w:r>
          </w:p>
        </w:tc>
        <w:tc>
          <w:tcPr>
            <w:tcW w:w="3421" w:type="dxa"/>
          </w:tcPr>
          <w:p w14:paraId="761122DA" w14:textId="77777777" w:rsidR="00B56D50" w:rsidRPr="00776362" w:rsidRDefault="001C3C42">
            <w:pPr>
              <w:spacing w:after="0" w:line="259" w:lineRule="auto"/>
              <w:ind w:left="0" w:right="1" w:firstLine="0"/>
              <w:jc w:val="center"/>
              <w:rPr>
                <w:sz w:val="20"/>
                <w:szCs w:val="20"/>
              </w:rPr>
            </w:pPr>
            <w:r w:rsidRPr="00776362">
              <w:rPr>
                <w:b/>
                <w:sz w:val="20"/>
                <w:szCs w:val="20"/>
              </w:rPr>
              <w:t xml:space="preserve">External Calibration  </w:t>
            </w:r>
          </w:p>
        </w:tc>
        <w:tc>
          <w:tcPr>
            <w:tcW w:w="3061" w:type="dxa"/>
          </w:tcPr>
          <w:p w14:paraId="0A73063A" w14:textId="77777777" w:rsidR="00B56D50" w:rsidRPr="00776362" w:rsidRDefault="001C3C42">
            <w:pPr>
              <w:spacing w:after="0" w:line="259" w:lineRule="auto"/>
              <w:ind w:left="0" w:right="1" w:firstLine="0"/>
              <w:jc w:val="center"/>
              <w:rPr>
                <w:sz w:val="20"/>
                <w:szCs w:val="20"/>
              </w:rPr>
            </w:pPr>
            <w:r w:rsidRPr="00776362">
              <w:rPr>
                <w:b/>
                <w:sz w:val="20"/>
                <w:szCs w:val="20"/>
              </w:rPr>
              <w:t xml:space="preserve">Internal Calibration  </w:t>
            </w:r>
          </w:p>
        </w:tc>
      </w:tr>
      <w:tr w:rsidR="00B56D50" w14:paraId="19563EED" w14:textId="77777777" w:rsidTr="00311FBF">
        <w:trPr>
          <w:trHeight w:val="487"/>
        </w:trPr>
        <w:tc>
          <w:tcPr>
            <w:tcW w:w="0" w:type="auto"/>
            <w:vMerge/>
          </w:tcPr>
          <w:p w14:paraId="37466480" w14:textId="77777777" w:rsidR="00B56D50" w:rsidRPr="00776362" w:rsidRDefault="00B56D50">
            <w:pPr>
              <w:spacing w:after="160" w:line="259" w:lineRule="auto"/>
              <w:ind w:left="0" w:right="0" w:firstLine="0"/>
              <w:rPr>
                <w:sz w:val="20"/>
                <w:szCs w:val="20"/>
              </w:rPr>
            </w:pPr>
          </w:p>
        </w:tc>
        <w:tc>
          <w:tcPr>
            <w:tcW w:w="3421" w:type="dxa"/>
          </w:tcPr>
          <w:p w14:paraId="228A4CC2" w14:textId="77777777" w:rsidR="00B56D50" w:rsidRPr="00776362" w:rsidRDefault="001C3C42">
            <w:pPr>
              <w:spacing w:after="0" w:line="259" w:lineRule="auto"/>
              <w:ind w:left="0" w:right="0" w:firstLine="0"/>
              <w:jc w:val="center"/>
              <w:rPr>
                <w:sz w:val="20"/>
                <w:szCs w:val="20"/>
              </w:rPr>
            </w:pPr>
            <w:r w:rsidRPr="00776362">
              <w:rPr>
                <w:b/>
                <w:sz w:val="20"/>
                <w:szCs w:val="20"/>
              </w:rPr>
              <w:t>RSD</w:t>
            </w:r>
            <w:r w:rsidRPr="00776362">
              <w:rPr>
                <w:sz w:val="20"/>
                <w:szCs w:val="20"/>
              </w:rPr>
              <w:t xml:space="preserve"> for </w:t>
            </w:r>
            <w:r w:rsidRPr="00776362">
              <w:rPr>
                <w:b/>
                <w:sz w:val="20"/>
                <w:szCs w:val="20"/>
              </w:rPr>
              <w:t>Calibration Factors</w:t>
            </w:r>
            <w:r w:rsidRPr="00776362">
              <w:rPr>
                <w:sz w:val="20"/>
                <w:szCs w:val="20"/>
              </w:rPr>
              <w:t xml:space="preserve"> across all concentrations </w:t>
            </w:r>
          </w:p>
        </w:tc>
        <w:tc>
          <w:tcPr>
            <w:tcW w:w="3061" w:type="dxa"/>
          </w:tcPr>
          <w:p w14:paraId="2EAF622E" w14:textId="77777777" w:rsidR="00B56D50" w:rsidRPr="00776362" w:rsidRDefault="001C3C42">
            <w:pPr>
              <w:spacing w:after="0" w:line="259" w:lineRule="auto"/>
              <w:ind w:left="0" w:right="0" w:firstLine="0"/>
              <w:jc w:val="center"/>
              <w:rPr>
                <w:sz w:val="20"/>
                <w:szCs w:val="20"/>
              </w:rPr>
            </w:pPr>
            <w:r w:rsidRPr="00776362">
              <w:rPr>
                <w:b/>
                <w:sz w:val="20"/>
                <w:szCs w:val="20"/>
              </w:rPr>
              <w:t>RSD</w:t>
            </w:r>
            <w:r w:rsidRPr="00776362">
              <w:rPr>
                <w:sz w:val="20"/>
                <w:szCs w:val="20"/>
              </w:rPr>
              <w:t xml:space="preserve"> for </w:t>
            </w:r>
            <w:r w:rsidRPr="00776362">
              <w:rPr>
                <w:b/>
                <w:sz w:val="20"/>
                <w:szCs w:val="20"/>
              </w:rPr>
              <w:t>Response Factors</w:t>
            </w:r>
            <w:r w:rsidRPr="00776362">
              <w:rPr>
                <w:sz w:val="20"/>
                <w:szCs w:val="20"/>
              </w:rPr>
              <w:t xml:space="preserve"> across all concentrations </w:t>
            </w:r>
          </w:p>
        </w:tc>
      </w:tr>
      <w:tr w:rsidR="00B56D50" w14:paraId="72558230" w14:textId="77777777" w:rsidTr="00DD4C55">
        <w:trPr>
          <w:trHeight w:val="699"/>
        </w:trPr>
        <w:tc>
          <w:tcPr>
            <w:tcW w:w="2251" w:type="dxa"/>
            <w:vAlign w:val="center"/>
          </w:tcPr>
          <w:p w14:paraId="7B014FE5" w14:textId="77777777" w:rsidR="00B56D50" w:rsidRPr="00776362" w:rsidRDefault="001C3C42">
            <w:pPr>
              <w:spacing w:after="0" w:line="259" w:lineRule="auto"/>
              <w:ind w:left="0" w:right="3" w:firstLine="0"/>
              <w:jc w:val="center"/>
              <w:rPr>
                <w:sz w:val="20"/>
                <w:szCs w:val="20"/>
              </w:rPr>
            </w:pPr>
            <w:r w:rsidRPr="00776362">
              <w:rPr>
                <w:sz w:val="20"/>
                <w:szCs w:val="20"/>
              </w:rPr>
              <w:t xml:space="preserve">EACH TARGET ANALYTE </w:t>
            </w:r>
          </w:p>
        </w:tc>
        <w:tc>
          <w:tcPr>
            <w:tcW w:w="3421" w:type="dxa"/>
            <w:vAlign w:val="center"/>
          </w:tcPr>
          <w:p w14:paraId="7C62EF30" w14:textId="77777777" w:rsidR="00B56D50" w:rsidRPr="00776362" w:rsidRDefault="001C3C42">
            <w:pPr>
              <w:spacing w:after="0" w:line="259" w:lineRule="auto"/>
              <w:ind w:left="0" w:right="1" w:firstLine="0"/>
              <w:jc w:val="center"/>
              <w:rPr>
                <w:sz w:val="20"/>
                <w:szCs w:val="20"/>
              </w:rPr>
            </w:pPr>
            <w:r w:rsidRPr="00776362">
              <w:rPr>
                <w:sz w:val="20"/>
                <w:szCs w:val="20"/>
              </w:rPr>
              <w:t xml:space="preserve">≤ 20 % </w:t>
            </w:r>
          </w:p>
        </w:tc>
        <w:tc>
          <w:tcPr>
            <w:tcW w:w="3061" w:type="dxa"/>
            <w:vAlign w:val="center"/>
          </w:tcPr>
          <w:p w14:paraId="7A7EECF6" w14:textId="77777777" w:rsidR="00B56D50" w:rsidRPr="00776362" w:rsidRDefault="001C3C42">
            <w:pPr>
              <w:spacing w:after="0" w:line="259" w:lineRule="auto"/>
              <w:ind w:left="0" w:right="1" w:firstLine="0"/>
              <w:jc w:val="center"/>
              <w:rPr>
                <w:sz w:val="20"/>
                <w:szCs w:val="20"/>
              </w:rPr>
            </w:pPr>
            <w:r w:rsidRPr="00776362">
              <w:rPr>
                <w:sz w:val="20"/>
                <w:szCs w:val="20"/>
              </w:rPr>
              <w:t xml:space="preserve">≤ 20 % </w:t>
            </w:r>
          </w:p>
        </w:tc>
      </w:tr>
    </w:tbl>
    <w:p w14:paraId="611B6212" w14:textId="77777777" w:rsidR="00376E09" w:rsidRDefault="00376E09">
      <w:pPr>
        <w:pStyle w:val="Heading7"/>
        <w:ind w:left="572" w:right="186"/>
      </w:pPr>
    </w:p>
    <w:p w14:paraId="55707022" w14:textId="64A48733" w:rsidR="00B56D50" w:rsidRPr="00776362" w:rsidRDefault="001C3C42" w:rsidP="00093377">
      <w:pPr>
        <w:numPr>
          <w:ilvl w:val="0"/>
          <w:numId w:val="108"/>
        </w:numPr>
        <w:spacing w:after="16"/>
        <w:ind w:left="1440" w:right="186" w:hanging="360"/>
        <w:rPr>
          <w:b/>
          <w:bCs/>
        </w:rPr>
      </w:pPr>
      <w:r w:rsidRPr="00866A6F">
        <w:rPr>
          <w:rFonts w:eastAsia="Arial"/>
          <w:b/>
        </w:rPr>
        <w:t>Establishment</w:t>
      </w:r>
      <w:r w:rsidRPr="00776362">
        <w:rPr>
          <w:b/>
          <w:bCs/>
        </w:rPr>
        <w:t xml:space="preserve"> of Retention Time Windows </w:t>
      </w:r>
    </w:p>
    <w:p w14:paraId="558ABC90" w14:textId="77777777" w:rsidR="00B56D50" w:rsidRDefault="001C3C42" w:rsidP="00776362">
      <w:pPr>
        <w:ind w:left="1450" w:right="255"/>
      </w:pPr>
      <w:r>
        <w:t xml:space="preserve">The Contractor shall adhere to the following requirements: </w:t>
      </w:r>
    </w:p>
    <w:p w14:paraId="4670D5F3" w14:textId="77777777" w:rsidR="00B56D50" w:rsidRDefault="001C3C42">
      <w:pPr>
        <w:spacing w:after="0" w:line="259" w:lineRule="auto"/>
        <w:ind w:left="562" w:right="0" w:firstLine="0"/>
      </w:pPr>
      <w:r>
        <w:t xml:space="preserve"> </w:t>
      </w:r>
    </w:p>
    <w:p w14:paraId="71CCABDB" w14:textId="77777777" w:rsidR="00B56D50" w:rsidRDefault="001C3C42" w:rsidP="00093377">
      <w:pPr>
        <w:numPr>
          <w:ilvl w:val="0"/>
          <w:numId w:val="110"/>
        </w:numPr>
        <w:ind w:left="1800" w:right="255" w:hanging="360"/>
      </w:pPr>
      <w:r>
        <w:t>Before establishing windows, make sure the HPLC system is within optimum operating conditions.  Make three injections of all standards (or standard mixtures) over the course of a 72-hour period.</w:t>
      </w:r>
      <w:r>
        <w:rPr>
          <w:b/>
        </w:rPr>
        <w:t xml:space="preserve"> </w:t>
      </w:r>
    </w:p>
    <w:p w14:paraId="53E9F5EE" w14:textId="77777777" w:rsidR="00B56D50" w:rsidRDefault="001C3C42">
      <w:pPr>
        <w:spacing w:after="0" w:line="259" w:lineRule="auto"/>
        <w:ind w:left="1102" w:right="0" w:firstLine="0"/>
      </w:pPr>
      <w:r>
        <w:rPr>
          <w:b/>
        </w:rPr>
        <w:t xml:space="preserve"> </w:t>
      </w:r>
    </w:p>
    <w:p w14:paraId="518C9196" w14:textId="77777777" w:rsidR="00B56D50" w:rsidRDefault="001C3C42" w:rsidP="00093377">
      <w:pPr>
        <w:numPr>
          <w:ilvl w:val="0"/>
          <w:numId w:val="110"/>
        </w:numPr>
        <w:ind w:left="1800" w:right="255" w:hanging="360"/>
      </w:pPr>
      <w:r>
        <w:t xml:space="preserve">Record the retention time for each analyte and surrogate to three decimal places (e.g., 0.007). </w:t>
      </w:r>
      <w:r>
        <w:rPr>
          <w:b/>
        </w:rPr>
        <w:t xml:space="preserve"> </w:t>
      </w:r>
    </w:p>
    <w:p w14:paraId="18BA1770" w14:textId="77777777" w:rsidR="00B56D50" w:rsidRDefault="001C3C42">
      <w:pPr>
        <w:spacing w:after="0" w:line="259" w:lineRule="auto"/>
        <w:ind w:left="562" w:right="0" w:firstLine="0"/>
      </w:pPr>
      <w:r>
        <w:rPr>
          <w:b/>
        </w:rPr>
        <w:t xml:space="preserve"> </w:t>
      </w:r>
    </w:p>
    <w:p w14:paraId="3621E567" w14:textId="77777777" w:rsidR="00B56D50" w:rsidRDefault="001C3C42" w:rsidP="00093377">
      <w:pPr>
        <w:numPr>
          <w:ilvl w:val="0"/>
          <w:numId w:val="110"/>
        </w:numPr>
        <w:ind w:left="1800" w:right="255" w:hanging="360"/>
      </w:pPr>
      <w:r>
        <w:t>Calculate the mean and standard deviation of the three absolute retention times for each analyte and surrogate.</w:t>
      </w:r>
      <w:r>
        <w:rPr>
          <w:b/>
        </w:rPr>
        <w:t xml:space="preserve"> </w:t>
      </w:r>
    </w:p>
    <w:p w14:paraId="4D6A5F5B" w14:textId="77777777" w:rsidR="00B56D50" w:rsidRDefault="001C3C42">
      <w:pPr>
        <w:spacing w:after="0" w:line="259" w:lineRule="auto"/>
        <w:ind w:left="562" w:right="0" w:firstLine="0"/>
      </w:pPr>
      <w:r>
        <w:rPr>
          <w:b/>
        </w:rPr>
        <w:lastRenderedPageBreak/>
        <w:t xml:space="preserve"> </w:t>
      </w:r>
    </w:p>
    <w:p w14:paraId="04D91615" w14:textId="77777777" w:rsidR="00B56D50" w:rsidRDefault="001C3C42" w:rsidP="00093377">
      <w:pPr>
        <w:numPr>
          <w:ilvl w:val="0"/>
          <w:numId w:val="110"/>
        </w:numPr>
        <w:ind w:left="1800" w:right="255" w:hanging="360"/>
      </w:pPr>
      <w:r>
        <w:t>If the standard deviation of the retention times for a target compound is 0.000 (i.e., there is no difference between the absolute retention times), then the Contractor may either collect data from additional injections of standards or use a default standard deviation of 0.01 minutes.</w:t>
      </w:r>
      <w:r>
        <w:rPr>
          <w:b/>
        </w:rPr>
        <w:t xml:space="preserve"> </w:t>
      </w:r>
    </w:p>
    <w:p w14:paraId="1730C5F3" w14:textId="77777777" w:rsidR="00B56D50" w:rsidRDefault="001C3C42">
      <w:pPr>
        <w:spacing w:after="0" w:line="259" w:lineRule="auto"/>
        <w:ind w:left="562" w:right="0" w:firstLine="0"/>
      </w:pPr>
      <w:r>
        <w:rPr>
          <w:b/>
        </w:rPr>
        <w:t xml:space="preserve"> </w:t>
      </w:r>
    </w:p>
    <w:p w14:paraId="4526B619" w14:textId="36D7D692" w:rsidR="00B56D50" w:rsidRDefault="001C3C42" w:rsidP="00093377">
      <w:pPr>
        <w:numPr>
          <w:ilvl w:val="0"/>
          <w:numId w:val="110"/>
        </w:numPr>
        <w:ind w:left="1800" w:right="255" w:hanging="360"/>
      </w:pPr>
      <w:r>
        <w:t xml:space="preserve">The width of the retention time window for each analyte and surrogate is defined as </w:t>
      </w:r>
      <w:r w:rsidR="0003389A">
        <w:rPr>
          <w:rFonts w:ascii="Symbol" w:eastAsia="Symbol" w:hAnsi="Symbol" w:cs="Symbol"/>
        </w:rPr>
        <w:sym w:font="Symbol" w:char="F0B1"/>
      </w:r>
      <w:r>
        <w:t xml:space="preserve"> 3 times the standard deviation of the mean absolute retention time established during the 72-hour period.  If the default standard deviation in paragraph </w:t>
      </w:r>
      <w:r>
        <w:rPr>
          <w:b/>
        </w:rPr>
        <w:t>(d.)</w:t>
      </w:r>
      <w:r>
        <w:t>, above, is employed, the width of the window will be 0.03 minutes.</w:t>
      </w:r>
      <w:r>
        <w:rPr>
          <w:b/>
        </w:rPr>
        <w:t xml:space="preserve"> </w:t>
      </w:r>
    </w:p>
    <w:p w14:paraId="7924A71C" w14:textId="77777777" w:rsidR="00B56D50" w:rsidRDefault="001C3C42">
      <w:pPr>
        <w:spacing w:after="0" w:line="259" w:lineRule="auto"/>
        <w:ind w:left="562" w:right="0" w:firstLine="0"/>
      </w:pPr>
      <w:r>
        <w:rPr>
          <w:b/>
        </w:rPr>
        <w:t xml:space="preserve"> </w:t>
      </w:r>
    </w:p>
    <w:p w14:paraId="0E2BC8B3" w14:textId="77777777" w:rsidR="00B56D50" w:rsidRDefault="001C3C42" w:rsidP="00093377">
      <w:pPr>
        <w:numPr>
          <w:ilvl w:val="0"/>
          <w:numId w:val="110"/>
        </w:numPr>
        <w:ind w:left="1800" w:right="255" w:hanging="360"/>
      </w:pPr>
      <w:r>
        <w:t>Establish the center of the retention time window for each analyte and surrogate by using the absolute retention time for each analyte and surrogate from the calibration verification standard at the beginning of the analytical shift.  For samples run during the same shift as an initial calibration, use the retention time of the mid-point standard of the initial calibration.</w:t>
      </w:r>
      <w:r>
        <w:rPr>
          <w:b/>
        </w:rPr>
        <w:t xml:space="preserve"> </w:t>
      </w:r>
    </w:p>
    <w:p w14:paraId="40BF2151" w14:textId="77777777" w:rsidR="00B56D50" w:rsidRDefault="001C3C42">
      <w:pPr>
        <w:spacing w:after="0" w:line="259" w:lineRule="auto"/>
        <w:ind w:left="562" w:right="0" w:firstLine="0"/>
      </w:pPr>
      <w:r>
        <w:rPr>
          <w:b/>
        </w:rPr>
        <w:t xml:space="preserve"> </w:t>
      </w:r>
    </w:p>
    <w:p w14:paraId="7F6DF34B" w14:textId="4706F81B" w:rsidR="00B56D50" w:rsidRDefault="001C3C42" w:rsidP="00093377">
      <w:pPr>
        <w:numPr>
          <w:ilvl w:val="0"/>
          <w:numId w:val="110"/>
        </w:numPr>
        <w:ind w:left="1800" w:right="255" w:hanging="360"/>
      </w:pPr>
      <w:r>
        <w:t>The Contractor shall calculate absolute retention time windows for each analyte and surrogate on each HPLC column and instrument.  New retention time windows must be established whenever a new HPLC column is installed.  The retention time windows must be reported with the analysis results in support of the identifications made.</w:t>
      </w:r>
      <w:r>
        <w:rPr>
          <w:b/>
        </w:rPr>
        <w:t xml:space="preserve"> </w:t>
      </w:r>
    </w:p>
    <w:p w14:paraId="381B8067" w14:textId="77777777" w:rsidR="00B56D50" w:rsidRDefault="001C3C42">
      <w:pPr>
        <w:spacing w:after="0" w:line="259" w:lineRule="auto"/>
        <w:ind w:left="562" w:right="0" w:firstLine="0"/>
      </w:pPr>
      <w:r>
        <w:t xml:space="preserve"> </w:t>
      </w:r>
    </w:p>
    <w:p w14:paraId="1219C883" w14:textId="18B0C398" w:rsidR="00B56D50" w:rsidRPr="00776362" w:rsidRDefault="001C3C42" w:rsidP="00093377">
      <w:pPr>
        <w:numPr>
          <w:ilvl w:val="0"/>
          <w:numId w:val="108"/>
        </w:numPr>
        <w:spacing w:after="16"/>
        <w:ind w:left="1440" w:right="186" w:hanging="360"/>
        <w:rPr>
          <w:b/>
          <w:bCs/>
        </w:rPr>
      </w:pPr>
      <w:r w:rsidRPr="00776362">
        <w:rPr>
          <w:b/>
          <w:bCs/>
        </w:rPr>
        <w:t xml:space="preserve">Calibration Verification </w:t>
      </w:r>
    </w:p>
    <w:p w14:paraId="022DFBF2" w14:textId="46124387" w:rsidR="00B56D50" w:rsidRDefault="001C3C42" w:rsidP="00776362">
      <w:pPr>
        <w:ind w:left="1450" w:right="0"/>
      </w:pPr>
      <w:r>
        <w:t>The Contractor shall verify the calibration relationship established during the initial calibration at periodic intervals</w:t>
      </w:r>
      <w:r>
        <w:rPr>
          <w:rFonts w:ascii="Arial" w:eastAsia="Arial" w:hAnsi="Arial" w:cs="Arial"/>
        </w:rPr>
        <w:t xml:space="preserve">: </w:t>
      </w:r>
    </w:p>
    <w:p w14:paraId="392728CA" w14:textId="77777777" w:rsidR="00B56D50" w:rsidRDefault="001C3C42">
      <w:pPr>
        <w:spacing w:after="0" w:line="259" w:lineRule="auto"/>
        <w:ind w:left="562" w:right="0" w:firstLine="0"/>
      </w:pPr>
      <w:r>
        <w:rPr>
          <w:rFonts w:ascii="Arial" w:eastAsia="Arial" w:hAnsi="Arial" w:cs="Arial"/>
        </w:rPr>
        <w:t xml:space="preserve"> </w:t>
      </w:r>
    </w:p>
    <w:p w14:paraId="2E5497DE" w14:textId="77777777" w:rsidR="00B56D50" w:rsidRDefault="001C3C42" w:rsidP="00093377">
      <w:pPr>
        <w:numPr>
          <w:ilvl w:val="0"/>
          <w:numId w:val="111"/>
        </w:numPr>
        <w:ind w:left="1800" w:right="255" w:hanging="360"/>
      </w:pPr>
      <w:r>
        <w:t>A calibration verification standard must be injected at the beginning of each 12-hour analytical shift, prior to conducting sample analyses.</w:t>
      </w:r>
      <w:r>
        <w:rPr>
          <w:b/>
        </w:rPr>
        <w:t xml:space="preserve"> </w:t>
      </w:r>
    </w:p>
    <w:p w14:paraId="7E52D8E4" w14:textId="77777777" w:rsidR="00B56D50" w:rsidRDefault="001C3C42">
      <w:pPr>
        <w:spacing w:after="0" w:line="259" w:lineRule="auto"/>
        <w:ind w:left="562" w:right="0" w:firstLine="0"/>
      </w:pPr>
      <w:r>
        <w:t xml:space="preserve"> </w:t>
      </w:r>
    </w:p>
    <w:p w14:paraId="4B579A57" w14:textId="77777777" w:rsidR="00B56D50" w:rsidRPr="00615188" w:rsidRDefault="001C3C42" w:rsidP="00093377">
      <w:pPr>
        <w:numPr>
          <w:ilvl w:val="0"/>
          <w:numId w:val="111"/>
        </w:numPr>
        <w:ind w:left="1800" w:right="255" w:hanging="360"/>
      </w:pPr>
      <w:r>
        <w:t>If external standard calibration procedures are used, the midpoint calibration verification standard must also be injected at intervals during the 12-hour analytical shift.  It is recommended that an interval of once every 10 samples be used (to minimize the number of samples requiring reinjection when QC limits are exceeded</w:t>
      </w:r>
      <w:r>
        <w:rPr>
          <w:b/>
        </w:rPr>
        <w:t xml:space="preserve"> </w:t>
      </w:r>
    </w:p>
    <w:p w14:paraId="450CBD76" w14:textId="77777777" w:rsidR="00615188" w:rsidRDefault="00615188" w:rsidP="00615188">
      <w:pPr>
        <w:pStyle w:val="ListParagraph"/>
      </w:pPr>
    </w:p>
    <w:p w14:paraId="7AC8CAA7" w14:textId="169570FB" w:rsidR="00B56D50" w:rsidRDefault="001C3C42" w:rsidP="00093377">
      <w:pPr>
        <w:numPr>
          <w:ilvl w:val="0"/>
          <w:numId w:val="111"/>
        </w:numPr>
        <w:ind w:left="1800" w:right="255" w:hanging="360"/>
      </w:pPr>
      <w:r>
        <w:t xml:space="preserve">Calibration verification control criteria </w:t>
      </w:r>
    </w:p>
    <w:p w14:paraId="04135AB6" w14:textId="77777777" w:rsidR="00B56D50" w:rsidRDefault="001C3C42">
      <w:pPr>
        <w:spacing w:after="0" w:line="259" w:lineRule="auto"/>
        <w:ind w:left="562" w:right="0" w:firstLine="0"/>
      </w:pPr>
      <w:r>
        <w:t xml:space="preserve"> </w:t>
      </w:r>
    </w:p>
    <w:p w14:paraId="38E8152E" w14:textId="0FA9CB78" w:rsidR="00615188" w:rsidRDefault="00615188" w:rsidP="00093377">
      <w:pPr>
        <w:numPr>
          <w:ilvl w:val="0"/>
          <w:numId w:val="52"/>
        </w:numPr>
        <w:ind w:left="2160" w:right="255" w:hanging="360"/>
      </w:pPr>
      <w:r>
        <w:rPr>
          <w:u w:val="single" w:color="000000"/>
        </w:rPr>
        <w:t>Response criteria</w:t>
      </w:r>
      <w:r>
        <w:t>: If an external standard calibration technique is used, the calibration factor for each analyte should not exceed a ±15 percent difference from the mean calibration factor calculated for the initial calibration.  If an internal standard calibration technique is used, the response factor for each analyte should not exceed a ±15 percent difference from the mean response factor calculated for the initial calibration.</w:t>
      </w:r>
      <w:r w:rsidR="00E7726C">
        <w:t xml:space="preserve">  </w:t>
      </w:r>
      <w:r w:rsidR="00E7726C" w:rsidRPr="00E7726C">
        <w:t xml:space="preserve">If a calibration curve is used rather than CF or RF, % Drift must be calculated instead of % Difference.  Acceptance criteria for % Drift are 80-120%. </w:t>
      </w:r>
      <w:r w:rsidR="00E7726C" w:rsidRPr="00B65FE0">
        <w:rPr>
          <w:b/>
          <w:bCs/>
          <w:vertAlign w:val="superscript"/>
        </w:rPr>
        <w:t>49</w:t>
      </w:r>
    </w:p>
    <w:p w14:paraId="011F102B" w14:textId="5B730BF5" w:rsidR="00B56D50" w:rsidRDefault="00615188" w:rsidP="00615188">
      <w:pPr>
        <w:ind w:right="255"/>
      </w:pPr>
      <w:r>
        <w:t xml:space="preserve">  </w:t>
      </w:r>
    </w:p>
    <w:p w14:paraId="1FBBEA89" w14:textId="77777777" w:rsidR="00B56D50" w:rsidRDefault="001C3C42" w:rsidP="00093377">
      <w:pPr>
        <w:numPr>
          <w:ilvl w:val="0"/>
          <w:numId w:val="52"/>
        </w:numPr>
        <w:ind w:left="2160" w:right="255" w:hanging="360"/>
      </w:pPr>
      <w:r>
        <w:rPr>
          <w:u w:val="single" w:color="000000"/>
        </w:rPr>
        <w:t>The retention time</w:t>
      </w:r>
      <w:r>
        <w:t xml:space="preserve"> for each analyte in the calibration verification standard must fall within the retention time window established with the midlevel concentration standard during the initial calibration. </w:t>
      </w:r>
    </w:p>
    <w:p w14:paraId="072143FE" w14:textId="0F3E5931" w:rsidR="00B56D50" w:rsidRDefault="00B56D50" w:rsidP="00E01CA5">
      <w:pPr>
        <w:spacing w:after="0" w:line="259" w:lineRule="auto"/>
        <w:ind w:right="0"/>
      </w:pPr>
    </w:p>
    <w:p w14:paraId="223A2B6C" w14:textId="1DDA7A76" w:rsidR="00B56D50" w:rsidRDefault="001C3C42" w:rsidP="00410789">
      <w:pPr>
        <w:ind w:left="2170" w:right="255"/>
      </w:pPr>
      <w:r>
        <w:lastRenderedPageBreak/>
        <w:t xml:space="preserve">If the criteria in TABLE </w:t>
      </w:r>
      <w:r w:rsidR="00820717">
        <w:t>3</w:t>
      </w:r>
      <w:r w:rsidR="00D10C60">
        <w:t>5</w:t>
      </w:r>
      <w:r>
        <w:rPr>
          <w:i/>
        </w:rPr>
        <w:t xml:space="preserve"> </w:t>
      </w:r>
      <w:r>
        <w:t xml:space="preserve">are not met for any analyte during calibration verification, then corrective action must be taken prior to continuing with analysis of samples.  If attempts to correct the response % Difference problem are unsuccessful, a new initial calibration must be performed.  If attempts to correct the retention time window problem are unsuccessful, new RT windows must be determined.  All samples analyzed after the last calibration verification standard that met the control criteria must be reanalyzed.  The Contractor shall report the results from the calibration verifications. </w:t>
      </w:r>
    </w:p>
    <w:p w14:paraId="5DFCDDDA" w14:textId="77777777" w:rsidR="00410789" w:rsidRPr="00E01CA5" w:rsidRDefault="00410789" w:rsidP="00410789">
      <w:pPr>
        <w:spacing w:after="0" w:line="259" w:lineRule="auto"/>
        <w:ind w:left="267" w:right="0" w:firstLine="0"/>
        <w:rPr>
          <w:rFonts w:eastAsia="Arial"/>
        </w:rPr>
      </w:pPr>
    </w:p>
    <w:p w14:paraId="28A6564C" w14:textId="6198B4A4" w:rsidR="00B56D50" w:rsidRDefault="001C3C42">
      <w:pPr>
        <w:pStyle w:val="Heading5"/>
        <w:ind w:left="1024" w:right="809"/>
      </w:pPr>
      <w:r>
        <w:t xml:space="preserve">TABLE </w:t>
      </w:r>
      <w:r w:rsidR="00820717">
        <w:t>3</w:t>
      </w:r>
      <w:r w:rsidR="00D10C60">
        <w:t>5</w:t>
      </w:r>
      <w:r>
        <w:t xml:space="preserve"> </w:t>
      </w:r>
    </w:p>
    <w:p w14:paraId="10497678" w14:textId="77777777" w:rsidR="00B56D50" w:rsidRPr="00410789" w:rsidRDefault="001C3C42">
      <w:pPr>
        <w:ind w:left="2593" w:right="255"/>
        <w:rPr>
          <w:b/>
          <w:bCs/>
        </w:rPr>
      </w:pPr>
      <w:r w:rsidRPr="00410789">
        <w:rPr>
          <w:b/>
          <w:bCs/>
        </w:rPr>
        <w:t xml:space="preserve">Calibration Verification Control Criteria for HPLC Analysis </w:t>
      </w:r>
    </w:p>
    <w:p w14:paraId="6D52950C" w14:textId="77777777" w:rsidR="00B56D50" w:rsidRDefault="001C3C42">
      <w:pPr>
        <w:spacing w:after="0" w:line="259" w:lineRule="auto"/>
        <w:ind w:left="562" w:right="0" w:firstLine="0"/>
      </w:pPr>
      <w:r>
        <w:rPr>
          <w:rFonts w:ascii="Arial" w:eastAsia="Arial" w:hAnsi="Arial" w:cs="Arial"/>
          <w:sz w:val="8"/>
        </w:rPr>
        <w:t xml:space="preserve"> </w:t>
      </w:r>
    </w:p>
    <w:tbl>
      <w:tblPr>
        <w:tblStyle w:val="TableGrid1"/>
        <w:tblW w:w="9362" w:type="dxa"/>
        <w:tblInd w:w="562" w:type="dxa"/>
        <w:tblCellMar>
          <w:top w:w="17" w:type="dxa"/>
          <w:left w:w="127" w:type="dxa"/>
          <w:right w:w="115" w:type="dxa"/>
        </w:tblCellMar>
        <w:tblLook w:val="04A0" w:firstRow="1" w:lastRow="0" w:firstColumn="1" w:lastColumn="0" w:noHBand="0" w:noVBand="1"/>
      </w:tblPr>
      <w:tblGrid>
        <w:gridCol w:w="2612"/>
        <w:gridCol w:w="2969"/>
        <w:gridCol w:w="3781"/>
      </w:tblGrid>
      <w:tr w:rsidR="00B56D50" w14:paraId="5A0EF007" w14:textId="77777777" w:rsidTr="007577A8">
        <w:trPr>
          <w:trHeight w:val="758"/>
        </w:trPr>
        <w:tc>
          <w:tcPr>
            <w:tcW w:w="2612" w:type="dxa"/>
            <w:tcBorders>
              <w:top w:val="single" w:sz="12" w:space="0" w:color="000000"/>
              <w:left w:val="single" w:sz="12" w:space="0" w:color="000000"/>
              <w:bottom w:val="single" w:sz="12" w:space="0" w:color="000000"/>
              <w:right w:val="single" w:sz="12" w:space="0" w:color="000000"/>
            </w:tcBorders>
            <w:vAlign w:val="center"/>
          </w:tcPr>
          <w:p w14:paraId="142CDF71" w14:textId="10B34233" w:rsidR="00B56D50" w:rsidRPr="00410789" w:rsidRDefault="001C3C42" w:rsidP="007577A8">
            <w:pPr>
              <w:spacing w:after="0" w:line="259" w:lineRule="auto"/>
              <w:ind w:left="0" w:right="17" w:firstLine="0"/>
              <w:jc w:val="center"/>
              <w:rPr>
                <w:sz w:val="20"/>
                <w:szCs w:val="20"/>
              </w:rPr>
            </w:pPr>
            <w:r w:rsidRPr="00410789">
              <w:rPr>
                <w:b/>
                <w:sz w:val="20"/>
                <w:szCs w:val="20"/>
              </w:rPr>
              <w:t>Compound</w:t>
            </w:r>
          </w:p>
        </w:tc>
        <w:tc>
          <w:tcPr>
            <w:tcW w:w="2969" w:type="dxa"/>
            <w:tcBorders>
              <w:top w:val="single" w:sz="12" w:space="0" w:color="000000"/>
              <w:left w:val="single" w:sz="12" w:space="0" w:color="000000"/>
              <w:bottom w:val="single" w:sz="12" w:space="0" w:color="000000"/>
              <w:right w:val="single" w:sz="12" w:space="0" w:color="000000"/>
            </w:tcBorders>
            <w:vAlign w:val="center"/>
          </w:tcPr>
          <w:p w14:paraId="1884A77A" w14:textId="27DA4EF8" w:rsidR="00B56D50" w:rsidRPr="00410789" w:rsidRDefault="001C3C42" w:rsidP="007577A8">
            <w:pPr>
              <w:spacing w:after="0" w:line="259" w:lineRule="auto"/>
              <w:ind w:left="0" w:right="444" w:firstLine="0"/>
              <w:jc w:val="center"/>
              <w:rPr>
                <w:sz w:val="20"/>
                <w:szCs w:val="20"/>
              </w:rPr>
            </w:pPr>
            <w:r w:rsidRPr="00410789">
              <w:rPr>
                <w:b/>
                <w:sz w:val="20"/>
                <w:szCs w:val="20"/>
              </w:rPr>
              <w:t>Calibration Factor % D     or Response Factor % D</w:t>
            </w:r>
          </w:p>
        </w:tc>
        <w:tc>
          <w:tcPr>
            <w:tcW w:w="3781" w:type="dxa"/>
            <w:tcBorders>
              <w:top w:val="single" w:sz="12" w:space="0" w:color="000000"/>
              <w:left w:val="single" w:sz="12" w:space="0" w:color="000000"/>
              <w:bottom w:val="single" w:sz="12" w:space="0" w:color="000000"/>
              <w:right w:val="single" w:sz="12" w:space="0" w:color="000000"/>
            </w:tcBorders>
            <w:vAlign w:val="center"/>
          </w:tcPr>
          <w:p w14:paraId="3419BA5A" w14:textId="7D144F97" w:rsidR="00B56D50" w:rsidRPr="00410789" w:rsidRDefault="001C3C42" w:rsidP="007577A8">
            <w:pPr>
              <w:spacing w:after="0" w:line="259" w:lineRule="auto"/>
              <w:ind w:left="0" w:right="17" w:firstLine="0"/>
              <w:jc w:val="center"/>
              <w:rPr>
                <w:sz w:val="20"/>
                <w:szCs w:val="20"/>
              </w:rPr>
            </w:pPr>
            <w:r w:rsidRPr="00410789">
              <w:rPr>
                <w:b/>
                <w:sz w:val="20"/>
                <w:szCs w:val="20"/>
              </w:rPr>
              <w:t>Retention Time</w:t>
            </w:r>
          </w:p>
        </w:tc>
      </w:tr>
      <w:tr w:rsidR="00B56D50" w14:paraId="6A836671" w14:textId="77777777" w:rsidTr="00D94644">
        <w:trPr>
          <w:trHeight w:val="646"/>
        </w:trPr>
        <w:tc>
          <w:tcPr>
            <w:tcW w:w="2612" w:type="dxa"/>
            <w:tcBorders>
              <w:top w:val="single" w:sz="12" w:space="0" w:color="000000"/>
              <w:left w:val="single" w:sz="12" w:space="0" w:color="000000"/>
              <w:bottom w:val="single" w:sz="12" w:space="0" w:color="000000"/>
              <w:right w:val="single" w:sz="12" w:space="0" w:color="000000"/>
            </w:tcBorders>
            <w:vAlign w:val="center"/>
          </w:tcPr>
          <w:p w14:paraId="0A1B1483" w14:textId="594178A0" w:rsidR="00B56D50" w:rsidRPr="00410789" w:rsidRDefault="001C3C42" w:rsidP="00410789">
            <w:pPr>
              <w:spacing w:after="0" w:line="259" w:lineRule="auto"/>
              <w:ind w:left="0" w:right="17" w:firstLine="0"/>
              <w:jc w:val="center"/>
              <w:rPr>
                <w:sz w:val="20"/>
                <w:szCs w:val="20"/>
              </w:rPr>
            </w:pPr>
            <w:r w:rsidRPr="00410789">
              <w:rPr>
                <w:sz w:val="20"/>
                <w:szCs w:val="20"/>
              </w:rPr>
              <w:t>ALL TARGET ANALYTES</w:t>
            </w:r>
          </w:p>
        </w:tc>
        <w:tc>
          <w:tcPr>
            <w:tcW w:w="2969" w:type="dxa"/>
            <w:tcBorders>
              <w:top w:val="single" w:sz="12" w:space="0" w:color="000000"/>
              <w:left w:val="single" w:sz="12" w:space="0" w:color="000000"/>
              <w:bottom w:val="single" w:sz="12" w:space="0" w:color="000000"/>
              <w:right w:val="single" w:sz="12" w:space="0" w:color="000000"/>
            </w:tcBorders>
            <w:vAlign w:val="center"/>
          </w:tcPr>
          <w:p w14:paraId="4BEEA282" w14:textId="3FBD878A" w:rsidR="00B56D50" w:rsidRPr="00410789" w:rsidRDefault="001C3C42" w:rsidP="00410789">
            <w:pPr>
              <w:spacing w:after="0" w:line="259" w:lineRule="auto"/>
              <w:ind w:left="0" w:right="14" w:firstLine="0"/>
              <w:jc w:val="center"/>
              <w:rPr>
                <w:sz w:val="20"/>
                <w:szCs w:val="20"/>
              </w:rPr>
            </w:pPr>
            <w:r w:rsidRPr="00410789">
              <w:rPr>
                <w:sz w:val="20"/>
                <w:szCs w:val="20"/>
              </w:rPr>
              <w:t>±15</w:t>
            </w:r>
          </w:p>
        </w:tc>
        <w:tc>
          <w:tcPr>
            <w:tcW w:w="3781" w:type="dxa"/>
            <w:tcBorders>
              <w:top w:val="single" w:sz="12" w:space="0" w:color="000000"/>
              <w:left w:val="single" w:sz="12" w:space="0" w:color="000000"/>
              <w:bottom w:val="single" w:sz="12" w:space="0" w:color="000000"/>
              <w:right w:val="single" w:sz="12" w:space="0" w:color="000000"/>
            </w:tcBorders>
            <w:vAlign w:val="center"/>
          </w:tcPr>
          <w:p w14:paraId="1CDD228E" w14:textId="224D8A77" w:rsidR="00B56D50" w:rsidRPr="00410789" w:rsidRDefault="001C3C42" w:rsidP="00410789">
            <w:pPr>
              <w:spacing w:after="0" w:line="259" w:lineRule="auto"/>
              <w:ind w:left="0" w:right="0" w:firstLine="0"/>
              <w:jc w:val="center"/>
              <w:rPr>
                <w:sz w:val="20"/>
                <w:szCs w:val="20"/>
              </w:rPr>
            </w:pPr>
            <w:r w:rsidRPr="00410789">
              <w:rPr>
                <w:sz w:val="20"/>
                <w:szCs w:val="20"/>
              </w:rPr>
              <w:t>In Window (established with initial calibration midlevel standard RT)</w:t>
            </w:r>
          </w:p>
        </w:tc>
      </w:tr>
    </w:tbl>
    <w:p w14:paraId="4DFDFA7B" w14:textId="417D1AD4" w:rsidR="00B56D50" w:rsidRDefault="001C3C42" w:rsidP="007577A8">
      <w:pPr>
        <w:spacing w:after="1064" w:line="259" w:lineRule="auto"/>
        <w:ind w:left="0" w:right="333" w:firstLine="0"/>
      </w:pPr>
      <w:r>
        <w:rPr>
          <w:rFonts w:ascii="Arial" w:eastAsia="Arial" w:hAnsi="Arial" w:cs="Arial"/>
          <w:sz w:val="14"/>
        </w:rPr>
        <w:t xml:space="preserve"> </w:t>
      </w:r>
      <w:r>
        <w:rPr>
          <w:rFonts w:ascii="Arial" w:eastAsia="Arial" w:hAnsi="Arial" w:cs="Arial"/>
          <w:sz w:val="18"/>
        </w:rPr>
        <w:t xml:space="preserve"> </w:t>
      </w:r>
    </w:p>
    <w:tbl>
      <w:tblPr>
        <w:tblStyle w:val="TableGrid1"/>
        <w:tblpPr w:vertAnchor="text" w:tblpX="562" w:tblpY="-838"/>
        <w:tblOverlap w:val="never"/>
        <w:tblW w:w="9362" w:type="dxa"/>
        <w:tblInd w:w="0" w:type="dxa"/>
        <w:tblCellMar>
          <w:top w:w="21" w:type="dxa"/>
          <w:left w:w="115" w:type="dxa"/>
          <w:right w:w="123" w:type="dxa"/>
        </w:tblCellMar>
        <w:tblLook w:val="04A0" w:firstRow="1" w:lastRow="0" w:firstColumn="1" w:lastColumn="0" w:noHBand="0" w:noVBand="1"/>
      </w:tblPr>
      <w:tblGrid>
        <w:gridCol w:w="2612"/>
        <w:gridCol w:w="6750"/>
      </w:tblGrid>
      <w:tr w:rsidR="00B56D50" w14:paraId="5E8B13F4" w14:textId="77777777">
        <w:trPr>
          <w:trHeight w:val="541"/>
        </w:trPr>
        <w:tc>
          <w:tcPr>
            <w:tcW w:w="9362" w:type="dxa"/>
            <w:gridSpan w:val="2"/>
            <w:tcBorders>
              <w:top w:val="single" w:sz="12" w:space="0" w:color="000000"/>
              <w:left w:val="single" w:sz="12" w:space="0" w:color="000000"/>
              <w:bottom w:val="single" w:sz="12" w:space="0" w:color="000000"/>
              <w:right w:val="single" w:sz="12" w:space="0" w:color="000000"/>
            </w:tcBorders>
            <w:vAlign w:val="center"/>
          </w:tcPr>
          <w:p w14:paraId="03F40072" w14:textId="77777777" w:rsidR="00D10C60" w:rsidRDefault="00D10C60">
            <w:pPr>
              <w:spacing w:after="0" w:line="259" w:lineRule="auto"/>
              <w:ind w:left="0" w:right="1" w:firstLine="0"/>
              <w:jc w:val="center"/>
              <w:rPr>
                <w:b/>
                <w:sz w:val="20"/>
                <w:szCs w:val="20"/>
              </w:rPr>
            </w:pPr>
            <w:r>
              <w:rPr>
                <w:b/>
                <w:sz w:val="20"/>
                <w:szCs w:val="20"/>
              </w:rPr>
              <w:t xml:space="preserve">Table 35 – Continued </w:t>
            </w:r>
          </w:p>
          <w:p w14:paraId="237F1D12" w14:textId="77777777" w:rsidR="00B56D50" w:rsidRPr="00316EF7" w:rsidRDefault="001C3C42">
            <w:pPr>
              <w:spacing w:after="0" w:line="259" w:lineRule="auto"/>
              <w:ind w:left="0" w:right="1" w:firstLine="0"/>
              <w:jc w:val="center"/>
              <w:rPr>
                <w:sz w:val="20"/>
                <w:szCs w:val="20"/>
              </w:rPr>
            </w:pPr>
            <w:r w:rsidRPr="00316EF7">
              <w:rPr>
                <w:b/>
                <w:sz w:val="20"/>
                <w:szCs w:val="20"/>
              </w:rPr>
              <w:t xml:space="preserve">Additional Calibration Criteria Applicable to All Compounds (Target and QC) </w:t>
            </w:r>
          </w:p>
        </w:tc>
      </w:tr>
      <w:tr w:rsidR="00B56D50" w14:paraId="43E17AA4" w14:textId="77777777" w:rsidTr="00316EF7">
        <w:trPr>
          <w:trHeight w:val="444"/>
        </w:trPr>
        <w:tc>
          <w:tcPr>
            <w:tcW w:w="2612" w:type="dxa"/>
            <w:tcBorders>
              <w:top w:val="single" w:sz="12" w:space="0" w:color="000000"/>
              <w:left w:val="single" w:sz="12" w:space="0" w:color="000000"/>
              <w:bottom w:val="single" w:sz="12" w:space="0" w:color="000000"/>
              <w:right w:val="single" w:sz="12" w:space="0" w:color="000000"/>
            </w:tcBorders>
            <w:vAlign w:val="center"/>
          </w:tcPr>
          <w:p w14:paraId="18895E5F" w14:textId="5CDDAF78" w:rsidR="00B56D50" w:rsidRPr="00316EF7" w:rsidRDefault="001C3C42" w:rsidP="00316EF7">
            <w:pPr>
              <w:spacing w:after="0" w:line="259" w:lineRule="auto"/>
              <w:ind w:left="0" w:right="60" w:firstLine="0"/>
              <w:jc w:val="center"/>
              <w:rPr>
                <w:sz w:val="20"/>
                <w:szCs w:val="20"/>
              </w:rPr>
            </w:pPr>
            <w:r w:rsidRPr="00316EF7">
              <w:rPr>
                <w:b/>
                <w:sz w:val="20"/>
                <w:szCs w:val="20"/>
              </w:rPr>
              <w:t>GC</w:t>
            </w:r>
            <w:r w:rsidR="00E17F7E" w:rsidRPr="00316EF7">
              <w:rPr>
                <w:b/>
                <w:sz w:val="20"/>
                <w:szCs w:val="20"/>
              </w:rPr>
              <w:t xml:space="preserve"> Performance</w:t>
            </w:r>
          </w:p>
        </w:tc>
        <w:tc>
          <w:tcPr>
            <w:tcW w:w="6750" w:type="dxa"/>
            <w:tcBorders>
              <w:top w:val="single" w:sz="12" w:space="0" w:color="000000"/>
              <w:left w:val="single" w:sz="12" w:space="0" w:color="000000"/>
              <w:bottom w:val="single" w:sz="12" w:space="0" w:color="000000"/>
              <w:right w:val="single" w:sz="12" w:space="0" w:color="000000"/>
            </w:tcBorders>
            <w:vAlign w:val="center"/>
          </w:tcPr>
          <w:p w14:paraId="68F6171C" w14:textId="3FA16CDB" w:rsidR="00B56D50" w:rsidRPr="00316EF7" w:rsidRDefault="001C3C42" w:rsidP="00316EF7">
            <w:pPr>
              <w:spacing w:after="0" w:line="259" w:lineRule="auto"/>
              <w:ind w:left="1" w:right="0" w:firstLine="0"/>
              <w:jc w:val="center"/>
              <w:rPr>
                <w:sz w:val="20"/>
                <w:szCs w:val="20"/>
              </w:rPr>
            </w:pPr>
            <w:r w:rsidRPr="00316EF7">
              <w:rPr>
                <w:sz w:val="20"/>
                <w:szCs w:val="20"/>
              </w:rPr>
              <w:t>Symmetrical peaks, minimum tailing, good resolution</w:t>
            </w:r>
          </w:p>
        </w:tc>
      </w:tr>
    </w:tbl>
    <w:p w14:paraId="2DA1ABC9" w14:textId="62ADD065" w:rsidR="00B56D50" w:rsidRDefault="00B56D50">
      <w:pPr>
        <w:spacing w:after="0" w:line="259" w:lineRule="auto"/>
        <w:ind w:left="562" w:right="0" w:firstLine="0"/>
      </w:pPr>
    </w:p>
    <w:p w14:paraId="69D54457" w14:textId="262DFA38" w:rsidR="00B56D50" w:rsidRDefault="001C3C42" w:rsidP="00093377">
      <w:pPr>
        <w:numPr>
          <w:ilvl w:val="0"/>
          <w:numId w:val="108"/>
        </w:numPr>
        <w:spacing w:after="16"/>
        <w:ind w:left="1440" w:right="186" w:hanging="360"/>
      </w:pPr>
      <w:r w:rsidRPr="00316EF7">
        <w:rPr>
          <w:b/>
          <w:bCs/>
        </w:rPr>
        <w:t>Blanks</w:t>
      </w:r>
      <w:r>
        <w:t xml:space="preserve"> </w:t>
      </w:r>
    </w:p>
    <w:p w14:paraId="35ABADB3" w14:textId="77777777" w:rsidR="00B56D50" w:rsidRDefault="001C3C42" w:rsidP="00316EF7">
      <w:pPr>
        <w:ind w:left="1450" w:right="255"/>
      </w:pPr>
      <w:r>
        <w:t>The Contractor shall demonstrate through the analysis of a method blank that interferences from the analytical system, glassware, and reagents are under control before processing any samples.   Prior to being subjected to the method procedure, interferents must not be observed at the quantitation limit of the compounds of interest.</w:t>
      </w:r>
      <w:r>
        <w:rPr>
          <w:b/>
        </w:rPr>
        <w:t xml:space="preserve"> </w:t>
      </w:r>
    </w:p>
    <w:p w14:paraId="16337BAE" w14:textId="77777777" w:rsidR="00B56D50" w:rsidRDefault="001C3C42">
      <w:pPr>
        <w:spacing w:after="0" w:line="259" w:lineRule="auto"/>
        <w:ind w:left="1553" w:right="0" w:firstLine="0"/>
      </w:pPr>
      <w:r>
        <w:t xml:space="preserve"> </w:t>
      </w:r>
    </w:p>
    <w:p w14:paraId="501C78E8" w14:textId="2D4D7C2F" w:rsidR="00B56D50" w:rsidRPr="00316EF7" w:rsidRDefault="001C3C42" w:rsidP="00093377">
      <w:pPr>
        <w:numPr>
          <w:ilvl w:val="0"/>
          <w:numId w:val="112"/>
        </w:numPr>
        <w:ind w:left="1800" w:right="255" w:hanging="360"/>
        <w:rPr>
          <w:b/>
          <w:bCs/>
        </w:rPr>
      </w:pPr>
      <w:r w:rsidRPr="00316EF7">
        <w:rPr>
          <w:b/>
          <w:bCs/>
        </w:rPr>
        <w:t xml:space="preserve">Frequency </w:t>
      </w:r>
    </w:p>
    <w:p w14:paraId="6F574D0C" w14:textId="77777777" w:rsidR="00B56D50" w:rsidRDefault="001C3C42" w:rsidP="00316EF7">
      <w:pPr>
        <w:ind w:left="1810" w:right="255"/>
      </w:pPr>
      <w:r>
        <w:t>Method blanks must be prepared at a frequency of at least 5%.  That is, at least one method blank must be extracted and analyzed with each group of up to 20 samples analyzed on the same instrument during the same analytical shift.  When the sample extracts are subjected to cleanup procedures, the associated method blank must also be subjected to the same cleanup procedures.  Method blanks may be run immediately after the calibration verification analyses to confirm that laboratory contamination does not cause false positive results.</w:t>
      </w:r>
      <w:r>
        <w:rPr>
          <w:b/>
        </w:rPr>
        <w:t xml:space="preserve"> </w:t>
      </w:r>
    </w:p>
    <w:p w14:paraId="0333AD5D" w14:textId="77777777" w:rsidR="00B56D50" w:rsidRDefault="001C3C42">
      <w:pPr>
        <w:spacing w:after="0" w:line="259" w:lineRule="auto"/>
        <w:ind w:left="562" w:right="0" w:firstLine="0"/>
      </w:pPr>
      <w:r>
        <w:t xml:space="preserve"> </w:t>
      </w:r>
    </w:p>
    <w:p w14:paraId="708E80C1" w14:textId="7497CF21" w:rsidR="00B56D50" w:rsidRPr="009A7880" w:rsidRDefault="001C3C42" w:rsidP="00093377">
      <w:pPr>
        <w:numPr>
          <w:ilvl w:val="0"/>
          <w:numId w:val="112"/>
        </w:numPr>
        <w:ind w:left="1800" w:right="255" w:hanging="360"/>
        <w:rPr>
          <w:b/>
          <w:bCs/>
        </w:rPr>
      </w:pPr>
      <w:r w:rsidRPr="00316EF7">
        <w:rPr>
          <w:b/>
          <w:bCs/>
        </w:rPr>
        <w:t>Control</w:t>
      </w:r>
      <w:r w:rsidRPr="009A7880">
        <w:rPr>
          <w:b/>
          <w:bCs/>
        </w:rPr>
        <w:t xml:space="preserve"> Criteria </w:t>
      </w:r>
    </w:p>
    <w:p w14:paraId="25EE6042" w14:textId="1CA84F3C" w:rsidR="00B56D50" w:rsidRDefault="001C3C42" w:rsidP="00316EF7">
      <w:pPr>
        <w:ind w:left="1810" w:right="349"/>
        <w:rPr>
          <w:b/>
        </w:rPr>
      </w:pPr>
      <w:r>
        <w:t xml:space="preserve">Concentrations of </w:t>
      </w:r>
      <w:r>
        <w:rPr>
          <w:u w:val="single" w:color="000000"/>
        </w:rPr>
        <w:t>target analytes</w:t>
      </w:r>
      <w:r>
        <w:t xml:space="preserve"> observed in the method blank must be no higher than the highest of:</w:t>
      </w:r>
      <w:r>
        <w:rPr>
          <w:b/>
        </w:rPr>
        <w:t xml:space="preserve"> </w:t>
      </w:r>
    </w:p>
    <w:p w14:paraId="7FF4719B" w14:textId="77777777" w:rsidR="00316EF7" w:rsidRDefault="00316EF7" w:rsidP="00316EF7">
      <w:pPr>
        <w:ind w:left="1810" w:right="349"/>
      </w:pPr>
    </w:p>
    <w:p w14:paraId="4651D93D" w14:textId="77777777" w:rsidR="00316EF7" w:rsidRDefault="001C3C42" w:rsidP="00615079">
      <w:pPr>
        <w:numPr>
          <w:ilvl w:val="0"/>
          <w:numId w:val="53"/>
        </w:numPr>
        <w:ind w:left="2160" w:right="255" w:hanging="360"/>
      </w:pPr>
      <w:r>
        <w:t xml:space="preserve">The Contractor’s MDL for the </w:t>
      </w:r>
      <w:r w:rsidR="00F92C48">
        <w:t>analyte.</w:t>
      </w:r>
    </w:p>
    <w:p w14:paraId="44EF7CFF" w14:textId="10D13E5B" w:rsidR="00B56D50" w:rsidRDefault="001C3C42" w:rsidP="00316EF7">
      <w:pPr>
        <w:ind w:right="255"/>
      </w:pPr>
      <w:r>
        <w:rPr>
          <w:b/>
        </w:rPr>
        <w:t xml:space="preserve"> </w:t>
      </w:r>
    </w:p>
    <w:p w14:paraId="663684BE" w14:textId="77777777" w:rsidR="00316EF7" w:rsidRDefault="001C3C42" w:rsidP="00615079">
      <w:pPr>
        <w:numPr>
          <w:ilvl w:val="0"/>
          <w:numId w:val="53"/>
        </w:numPr>
        <w:ind w:left="2160" w:right="255" w:hanging="360"/>
      </w:pPr>
      <w:r>
        <w:t>5% of the regulatory limit for that analyte (applicable only if the sample results will be compared to that regulatory limit); or</w:t>
      </w:r>
    </w:p>
    <w:p w14:paraId="548F5194" w14:textId="77777777" w:rsidR="00316EF7" w:rsidRDefault="00316EF7" w:rsidP="00316EF7">
      <w:pPr>
        <w:pStyle w:val="ListParagraph"/>
        <w:rPr>
          <w:b/>
        </w:rPr>
      </w:pPr>
    </w:p>
    <w:p w14:paraId="04F096DD" w14:textId="77777777" w:rsidR="00B56D50" w:rsidRDefault="001C3C42" w:rsidP="00615079">
      <w:pPr>
        <w:numPr>
          <w:ilvl w:val="0"/>
          <w:numId w:val="53"/>
        </w:numPr>
        <w:ind w:left="2160" w:right="255" w:hanging="360"/>
      </w:pPr>
      <w:r>
        <w:t>5% of the measured concentration in the sample</w:t>
      </w:r>
      <w:r w:rsidRPr="009A7880">
        <w:rPr>
          <w:bCs/>
        </w:rPr>
        <w:t>.</w:t>
      </w:r>
      <w:r w:rsidRPr="00316EF7">
        <w:rPr>
          <w:b/>
        </w:rPr>
        <w:t xml:space="preserve"> </w:t>
      </w:r>
    </w:p>
    <w:p w14:paraId="1CD85FDF" w14:textId="77777777" w:rsidR="00B56D50" w:rsidRDefault="001C3C42">
      <w:pPr>
        <w:spacing w:after="0" w:line="259" w:lineRule="auto"/>
        <w:ind w:left="562" w:right="0" w:firstLine="0"/>
      </w:pPr>
      <w:r>
        <w:t xml:space="preserve"> </w:t>
      </w:r>
    </w:p>
    <w:p w14:paraId="33E2C1B5" w14:textId="672874E7" w:rsidR="00B56D50" w:rsidRPr="00316EF7" w:rsidRDefault="001C3C42" w:rsidP="00093377">
      <w:pPr>
        <w:numPr>
          <w:ilvl w:val="0"/>
          <w:numId w:val="112"/>
        </w:numPr>
        <w:ind w:left="1800" w:right="255" w:hanging="360"/>
        <w:rPr>
          <w:b/>
          <w:bCs/>
        </w:rPr>
      </w:pPr>
      <w:r w:rsidRPr="00316EF7">
        <w:rPr>
          <w:b/>
          <w:bCs/>
        </w:rPr>
        <w:t xml:space="preserve">Failure of control criteria </w:t>
      </w:r>
    </w:p>
    <w:p w14:paraId="1D2E1279" w14:textId="77777777" w:rsidR="00B56D50" w:rsidRDefault="001C3C42" w:rsidP="00316EF7">
      <w:pPr>
        <w:ind w:left="1810" w:right="255"/>
      </w:pPr>
      <w:r>
        <w:t>If any laboratory method blank indicates contamination (concentration of any target analyte detected in the blank exceeds the control criteria listed above), then it may be appropriate to analyze a solvent blank to demonstrate that the contamination is not a result of carryover from standards or samples.</w:t>
      </w:r>
      <w:r>
        <w:rPr>
          <w:b/>
        </w:rPr>
        <w:t xml:space="preserve"> </w:t>
      </w:r>
    </w:p>
    <w:p w14:paraId="0B877E02" w14:textId="77777777" w:rsidR="00B56D50" w:rsidRDefault="001C3C42">
      <w:pPr>
        <w:spacing w:after="0" w:line="259" w:lineRule="auto"/>
        <w:ind w:left="562" w:right="0" w:firstLine="0"/>
      </w:pPr>
      <w:r>
        <w:t xml:space="preserve"> </w:t>
      </w:r>
    </w:p>
    <w:p w14:paraId="67F9C23B" w14:textId="77777777" w:rsidR="00B56D50" w:rsidRDefault="001C3C42" w:rsidP="00316EF7">
      <w:pPr>
        <w:ind w:left="1810" w:right="0"/>
      </w:pPr>
      <w:r>
        <w:t xml:space="preserve">The Contractor shall take corrective action if method blank contamination cannot be attributable to carryover. The source of the contamination must be located, reduced, and documented.  All samples processed with the contaminated method blank must be re-extracted and reanalyzed. </w:t>
      </w:r>
    </w:p>
    <w:p w14:paraId="739D316A" w14:textId="77777777" w:rsidR="00B56D50" w:rsidRDefault="001C3C42">
      <w:pPr>
        <w:spacing w:after="0" w:line="259" w:lineRule="auto"/>
        <w:ind w:left="1553" w:right="0" w:firstLine="0"/>
      </w:pPr>
      <w:r>
        <w:t xml:space="preserve"> </w:t>
      </w:r>
    </w:p>
    <w:p w14:paraId="707DA37F" w14:textId="6EAA1CA5" w:rsidR="00B56D50" w:rsidRDefault="001C3C42" w:rsidP="00093377">
      <w:pPr>
        <w:numPr>
          <w:ilvl w:val="0"/>
          <w:numId w:val="112"/>
        </w:numPr>
        <w:ind w:left="1800" w:right="255" w:hanging="360"/>
      </w:pPr>
      <w:r w:rsidRPr="009A7880">
        <w:rPr>
          <w:b/>
          <w:bCs/>
        </w:rPr>
        <w:t>Results</w:t>
      </w:r>
      <w:r>
        <w:t xml:space="preserve"> and reporting </w:t>
      </w:r>
    </w:p>
    <w:p w14:paraId="1EF61FDF" w14:textId="77777777" w:rsidR="00B56D50" w:rsidRDefault="001C3C42" w:rsidP="009A7880">
      <w:pPr>
        <w:ind w:left="1810" w:right="255"/>
      </w:pPr>
      <w:r>
        <w:t xml:space="preserve">The Contractor shall report results of all method blank analyses.  However, the Contractor shall </w:t>
      </w:r>
      <w:r>
        <w:rPr>
          <w:u w:val="single" w:color="000000"/>
        </w:rPr>
        <w:t>not</w:t>
      </w:r>
      <w:r>
        <w:t xml:space="preserve"> subtract the results of the method blank from those of any associated samples.</w:t>
      </w:r>
      <w:r>
        <w:rPr>
          <w:b/>
        </w:rPr>
        <w:t xml:space="preserve"> </w:t>
      </w:r>
    </w:p>
    <w:p w14:paraId="633174AB" w14:textId="77777777" w:rsidR="00B56D50" w:rsidRDefault="001C3C42">
      <w:pPr>
        <w:spacing w:after="0" w:line="259" w:lineRule="auto"/>
        <w:ind w:left="562" w:right="0" w:firstLine="0"/>
      </w:pPr>
      <w:r>
        <w:rPr>
          <w:rFonts w:ascii="Arial" w:eastAsia="Arial" w:hAnsi="Arial" w:cs="Arial"/>
        </w:rPr>
        <w:t xml:space="preserve"> </w:t>
      </w:r>
    </w:p>
    <w:p w14:paraId="7B55A8F9" w14:textId="77777777" w:rsidR="00B56D50" w:rsidRDefault="001C3C42" w:rsidP="009A7880">
      <w:pPr>
        <w:ind w:left="1810" w:right="0"/>
      </w:pPr>
      <w:r>
        <w:t xml:space="preserve">Method blanks and/or solvent blanks may also be used to check for contamination by carryover from a high-concentration sample or standard into subsequent samples. Whenever an unusually concentrated sample is encountered, it must be followed by injection of a solvent blank to check for cross contamination.  If there is evidence that carryover has occurred, then the samples must be reanalyzed. </w:t>
      </w:r>
    </w:p>
    <w:p w14:paraId="20404508" w14:textId="77777777" w:rsidR="00B56D50" w:rsidRDefault="001C3C42">
      <w:pPr>
        <w:spacing w:after="0" w:line="259" w:lineRule="auto"/>
        <w:ind w:left="562" w:right="0" w:firstLine="0"/>
      </w:pPr>
      <w:r>
        <w:t xml:space="preserve"> </w:t>
      </w:r>
    </w:p>
    <w:p w14:paraId="5CA4FF06" w14:textId="72EC5E88" w:rsidR="00B56D50" w:rsidRDefault="001C3C42" w:rsidP="00093377">
      <w:pPr>
        <w:numPr>
          <w:ilvl w:val="0"/>
          <w:numId w:val="108"/>
        </w:numPr>
        <w:spacing w:after="16"/>
        <w:ind w:left="1440" w:right="186" w:hanging="360"/>
      </w:pPr>
      <w:r>
        <w:rPr>
          <w:b/>
        </w:rPr>
        <w:t>Matrix Spike and Matrix Spike Duplicate (or Matrix Spike and Un</w:t>
      </w:r>
      <w:r w:rsidR="00BF2FD7">
        <w:rPr>
          <w:b/>
        </w:rPr>
        <w:t>-</w:t>
      </w:r>
      <w:r>
        <w:rPr>
          <w:b/>
        </w:rPr>
        <w:t xml:space="preserve">spiked Duplicates) </w:t>
      </w:r>
      <w:r>
        <w:t>The Contractor shall analyze at least one matrix spike and one duplicate un</w:t>
      </w:r>
      <w:r w:rsidR="00BF2FD7">
        <w:t>-</w:t>
      </w:r>
      <w:r>
        <w:t xml:space="preserve">spiked sample or one matrix spike/matrix spike duplicate pair (MS/MSD) to document the effect of the matrix. </w:t>
      </w:r>
      <w:r>
        <w:rPr>
          <w:b/>
        </w:rPr>
        <w:t xml:space="preserve">The State requires that this be </w:t>
      </w:r>
      <w:proofErr w:type="gramStart"/>
      <w:r>
        <w:rPr>
          <w:b/>
        </w:rPr>
        <w:t>a MS</w:t>
      </w:r>
      <w:proofErr w:type="gramEnd"/>
      <w:r>
        <w:rPr>
          <w:b/>
        </w:rPr>
        <w:t xml:space="preserve">/MSD </w:t>
      </w:r>
      <w:r>
        <w:rPr>
          <w:b/>
          <w:u w:val="single" w:color="000000"/>
        </w:rPr>
        <w:t>unless</w:t>
      </w:r>
      <w:r>
        <w:rPr>
          <w:b/>
        </w:rPr>
        <w:t xml:space="preserve"> the analyte concentration in the un</w:t>
      </w:r>
      <w:r w:rsidR="00BF2FD7">
        <w:rPr>
          <w:b/>
        </w:rPr>
        <w:t>-</w:t>
      </w:r>
      <w:r>
        <w:rPr>
          <w:b/>
        </w:rPr>
        <w:t>spiked sample exceeds 4x the spike concentration or 0.1% (1000 ppm), whichever is less</w:t>
      </w:r>
      <w:r>
        <w:t xml:space="preserve">.  </w:t>
      </w:r>
      <w:r>
        <w:rPr>
          <w:b/>
        </w:rPr>
        <w:t>If the sample concentration exceeds this level, un</w:t>
      </w:r>
      <w:r w:rsidR="00BF2FD7">
        <w:rPr>
          <w:b/>
        </w:rPr>
        <w:t>-</w:t>
      </w:r>
      <w:r>
        <w:rPr>
          <w:b/>
        </w:rPr>
        <w:t xml:space="preserve">spiked duplicates should be run.   </w:t>
      </w:r>
    </w:p>
    <w:p w14:paraId="691D6091" w14:textId="77777777" w:rsidR="00B56D50" w:rsidRDefault="001C3C42">
      <w:pPr>
        <w:spacing w:after="0" w:line="259" w:lineRule="auto"/>
        <w:ind w:left="562" w:right="0" w:firstLine="0"/>
      </w:pPr>
      <w:r>
        <w:t xml:space="preserve"> </w:t>
      </w:r>
    </w:p>
    <w:p w14:paraId="270E9C9A" w14:textId="35544494" w:rsidR="00B56D50" w:rsidRPr="005E1255" w:rsidRDefault="001C3C42" w:rsidP="00093377">
      <w:pPr>
        <w:numPr>
          <w:ilvl w:val="0"/>
          <w:numId w:val="113"/>
        </w:numPr>
        <w:ind w:left="1800" w:right="255" w:hanging="360"/>
        <w:rPr>
          <w:b/>
          <w:bCs/>
        </w:rPr>
      </w:pPr>
      <w:r w:rsidRPr="005E1255">
        <w:rPr>
          <w:b/>
          <w:bCs/>
        </w:rPr>
        <w:t xml:space="preserve">Matrix Spike </w:t>
      </w:r>
    </w:p>
    <w:p w14:paraId="769A986F" w14:textId="2C79EF31" w:rsidR="00B56D50" w:rsidRDefault="001C3C42" w:rsidP="005E1255">
      <w:pPr>
        <w:ind w:left="1810" w:right="255"/>
      </w:pPr>
      <w:r>
        <w:t xml:space="preserve">The matrix spike (and MSD, if applicable) is a measure of the bias attributed to </w:t>
      </w:r>
      <w:r>
        <w:rPr>
          <w:u w:val="single" w:color="000000"/>
        </w:rPr>
        <w:t>sample</w:t>
      </w:r>
      <w:r>
        <w:t xml:space="preserve"> matrix effects, not just laboratory process effects on phase or concentration characteristics.  The sample matrix includes the target and non-target analytes present in the sample or group of samples: naturally occurring compounds as well as contaminants.  Therefore, the spiked sample </w:t>
      </w:r>
      <w:r>
        <w:rPr>
          <w:u w:val="single" w:color="000000"/>
        </w:rPr>
        <w:t>must</w:t>
      </w:r>
      <w:r>
        <w:t xml:space="preserve"> be from the same project as the group of field samples.  </w:t>
      </w:r>
      <w:r>
        <w:rPr>
          <w:b/>
        </w:rPr>
        <w:t>Samples identified as field blanks shall not be spiked.</w:t>
      </w:r>
      <w:r>
        <w:t xml:space="preserve"> </w:t>
      </w:r>
    </w:p>
    <w:p w14:paraId="23D6C805" w14:textId="77777777" w:rsidR="00B56D50" w:rsidRDefault="001C3C42" w:rsidP="005E1255">
      <w:pPr>
        <w:spacing w:after="0" w:line="259" w:lineRule="auto"/>
        <w:ind w:left="1800" w:right="0" w:firstLine="0"/>
      </w:pPr>
      <w:r>
        <w:t xml:space="preserve"> </w:t>
      </w:r>
    </w:p>
    <w:p w14:paraId="01C43EAA" w14:textId="590539AB" w:rsidR="00B56D50" w:rsidRDefault="001C3C42" w:rsidP="005E1255">
      <w:pPr>
        <w:ind w:left="1800" w:right="255"/>
      </w:pPr>
      <w:r>
        <w:t>At least one MS must be performed on each group of samples of a similar matrix type from the same project (e.g., water, sludges, and soil) for each group of 20 (or fewer) samples received per project.  However, it is not necessary to spike samples when the concentration of the analyte in the un</w:t>
      </w:r>
      <w:r w:rsidR="00BF2FD7">
        <w:t>-</w:t>
      </w:r>
      <w:r>
        <w:t xml:space="preserve">spiked sample exceeds 0.1% (1000 pm). </w:t>
      </w:r>
    </w:p>
    <w:p w14:paraId="60A4A0E0" w14:textId="6DDFC23A" w:rsidR="00B56D50" w:rsidRDefault="00B56D50" w:rsidP="005E1255">
      <w:pPr>
        <w:spacing w:after="0" w:line="259" w:lineRule="auto"/>
        <w:ind w:left="1800" w:right="0" w:firstLine="0"/>
      </w:pPr>
    </w:p>
    <w:p w14:paraId="26BC9628" w14:textId="0237F069" w:rsidR="00B56D50" w:rsidRDefault="001C3C42" w:rsidP="005E1255">
      <w:pPr>
        <w:ind w:left="3060" w:right="255" w:hanging="1260"/>
      </w:pPr>
      <w:r>
        <w:rPr>
          <w:b/>
        </w:rPr>
        <w:t xml:space="preserve">Please </w:t>
      </w:r>
      <w:r w:rsidR="00BF2FD7">
        <w:rPr>
          <w:b/>
        </w:rPr>
        <w:t>note</w:t>
      </w:r>
      <w:proofErr w:type="gramStart"/>
      <w:r w:rsidR="00BF2FD7">
        <w:rPr>
          <w:b/>
        </w:rPr>
        <w:t>:</w:t>
      </w:r>
      <w:r>
        <w:rPr>
          <w:b/>
        </w:rPr>
        <w:t xml:space="preserve"> </w:t>
      </w:r>
      <w:r w:rsidR="00E24FD3">
        <w:rPr>
          <w:b/>
        </w:rPr>
        <w:t xml:space="preserve"> </w:t>
      </w:r>
      <w:r>
        <w:t>MS</w:t>
      </w:r>
      <w:proofErr w:type="gramEnd"/>
      <w:r>
        <w:t xml:space="preserve">/MSDs are </w:t>
      </w:r>
      <w:r>
        <w:rPr>
          <w:u w:val="single" w:color="000000"/>
        </w:rPr>
        <w:t>site-specific, project-specific</w:t>
      </w:r>
      <w:r>
        <w:t xml:space="preserve"> information resources and not</w:t>
      </w:r>
      <w:r w:rsidR="00E24FD3">
        <w:t xml:space="preserve"> </w:t>
      </w:r>
      <w:r>
        <w:t xml:space="preserve">laboratory performance information resources.  Therefore, it </w:t>
      </w:r>
      <w:r>
        <w:rPr>
          <w:u w:val="single" w:color="000000"/>
        </w:rPr>
        <w:t>is</w:t>
      </w:r>
      <w:r>
        <w:t xml:space="preserve"> necessary to analyze one site</w:t>
      </w:r>
      <w:r w:rsidR="00B30C36">
        <w:t xml:space="preserve"> </w:t>
      </w:r>
      <w:r>
        <w:t xml:space="preserve">specific MS/MSD per sample matrix, per analysis type, </w:t>
      </w:r>
      <w:r>
        <w:rPr>
          <w:u w:val="single" w:color="000000"/>
        </w:rPr>
        <w:t>per sample delivery group</w:t>
      </w:r>
      <w:r>
        <w:t xml:space="preserve">.  However, if a sample delivery group requires </w:t>
      </w:r>
      <w:r>
        <w:lastRenderedPageBreak/>
        <w:t xml:space="preserve">multiple analytical batches for one or more analysis type, it is </w:t>
      </w:r>
      <w:r>
        <w:rPr>
          <w:u w:val="single" w:color="000000"/>
        </w:rPr>
        <w:t>not</w:t>
      </w:r>
      <w:r>
        <w:t xml:space="preserve"> necessary to analyze a MS/MSD pair for every analytical batch </w:t>
      </w:r>
    </w:p>
    <w:p w14:paraId="2BD952C6" w14:textId="77777777" w:rsidR="00B56D50" w:rsidRDefault="001C3C42">
      <w:pPr>
        <w:spacing w:after="0" w:line="259" w:lineRule="auto"/>
        <w:ind w:left="1282" w:right="0" w:firstLine="0"/>
      </w:pPr>
      <w:r>
        <w:t xml:space="preserve"> </w:t>
      </w:r>
    </w:p>
    <w:p w14:paraId="4B495264" w14:textId="77777777" w:rsidR="00B56D50" w:rsidRDefault="001C3C42" w:rsidP="00093377">
      <w:pPr>
        <w:numPr>
          <w:ilvl w:val="0"/>
          <w:numId w:val="54"/>
        </w:numPr>
        <w:ind w:left="2160" w:right="255" w:hanging="360"/>
      </w:pPr>
      <w:r>
        <w:rPr>
          <w:u w:val="single" w:color="000000"/>
        </w:rPr>
        <w:t>Compounds to be spiked</w:t>
      </w:r>
      <w:r>
        <w:t xml:space="preserve">.  Matrix spiking solutions must be prepared from compounds which are representative of the compounds being investigated.  It is recommended that the MS/MSD be prepared using all target analytes </w:t>
      </w:r>
      <w:proofErr w:type="gramStart"/>
      <w:r>
        <w:t>in order to</w:t>
      </w:r>
      <w:proofErr w:type="gramEnd"/>
      <w:r>
        <w:t xml:space="preserve"> accurately interpret matrix effects on sample results.  The matrix spiking solutions must not be prepared from the same standards as the calibration standards.  However, the same spiking standard prepared for the matrix spike may be used for the LCS. </w:t>
      </w:r>
    </w:p>
    <w:p w14:paraId="56EAA5B6" w14:textId="77777777" w:rsidR="00B56D50" w:rsidRDefault="001C3C42">
      <w:pPr>
        <w:spacing w:after="0" w:line="259" w:lineRule="auto"/>
        <w:ind w:left="1282" w:right="0" w:firstLine="0"/>
      </w:pPr>
      <w:r>
        <w:t xml:space="preserve"> </w:t>
      </w:r>
    </w:p>
    <w:p w14:paraId="02E419BA" w14:textId="77777777" w:rsidR="00B56D50" w:rsidRDefault="001C3C42" w:rsidP="00093377">
      <w:pPr>
        <w:numPr>
          <w:ilvl w:val="0"/>
          <w:numId w:val="54"/>
        </w:numPr>
        <w:ind w:left="2160" w:right="255" w:hanging="360"/>
      </w:pPr>
      <w:r>
        <w:rPr>
          <w:u w:val="single" w:color="000000"/>
        </w:rPr>
        <w:t>Spike concentrations</w:t>
      </w:r>
      <w:r>
        <w:t xml:space="preserve">.  The </w:t>
      </w:r>
      <w:proofErr w:type="gramStart"/>
      <w:r>
        <w:t>concentrations</w:t>
      </w:r>
      <w:proofErr w:type="gramEnd"/>
      <w:r>
        <w:t xml:space="preserve"> of the spiked compounds in the samples must be at or below the health-</w:t>
      </w:r>
      <w:proofErr w:type="gramStart"/>
      <w:r>
        <w:t>protective action</w:t>
      </w:r>
      <w:proofErr w:type="gramEnd"/>
      <w:r>
        <w:t xml:space="preserve"> level, or 1 to 5 times higher than the background concentration, whichever concentration would be greater. </w:t>
      </w:r>
    </w:p>
    <w:p w14:paraId="03BBA98C" w14:textId="77777777" w:rsidR="00B56D50" w:rsidRDefault="001C3C42">
      <w:pPr>
        <w:spacing w:after="0" w:line="259" w:lineRule="auto"/>
        <w:ind w:left="562" w:right="0" w:firstLine="0"/>
      </w:pPr>
      <w:r>
        <w:t xml:space="preserve"> </w:t>
      </w:r>
    </w:p>
    <w:p w14:paraId="43791DC3" w14:textId="46678239" w:rsidR="00B56D50" w:rsidRDefault="001C3C42" w:rsidP="00615079">
      <w:pPr>
        <w:numPr>
          <w:ilvl w:val="0"/>
          <w:numId w:val="54"/>
        </w:numPr>
        <w:ind w:left="2160" w:right="255" w:hanging="360"/>
      </w:pPr>
      <w:r>
        <w:rPr>
          <w:u w:val="single" w:color="000000"/>
        </w:rPr>
        <w:t>Calculations and Control limits</w:t>
      </w:r>
      <w:r>
        <w:t>.  The Contractor shall develop its own in-house acceptance criteria for spike recoveries.  Recommended control limits for the MS (and MSD, if applicable) minimum spiked compounds’ % Recovery are listed in TABLE 47.</w:t>
      </w:r>
    </w:p>
    <w:p w14:paraId="51BB0535" w14:textId="77777777" w:rsidR="009D72EB" w:rsidRDefault="009D72EB" w:rsidP="009D72EB">
      <w:pPr>
        <w:ind w:right="255"/>
      </w:pPr>
    </w:p>
    <w:p w14:paraId="1877A63F" w14:textId="5A335928" w:rsidR="00B56D50" w:rsidRPr="00DF2965" w:rsidRDefault="001C3C42" w:rsidP="00093377">
      <w:pPr>
        <w:numPr>
          <w:ilvl w:val="0"/>
          <w:numId w:val="113"/>
        </w:numPr>
        <w:ind w:left="1800" w:right="255" w:hanging="360"/>
        <w:rPr>
          <w:b/>
          <w:bCs/>
        </w:rPr>
      </w:pPr>
      <w:r w:rsidRPr="00DF2965">
        <w:rPr>
          <w:b/>
          <w:bCs/>
        </w:rPr>
        <w:t>MS/MSD or Un</w:t>
      </w:r>
      <w:r w:rsidR="00BF2FD7" w:rsidRPr="00DF2965">
        <w:rPr>
          <w:b/>
          <w:bCs/>
        </w:rPr>
        <w:t>-</w:t>
      </w:r>
      <w:r w:rsidRPr="00DF2965">
        <w:rPr>
          <w:b/>
          <w:bCs/>
        </w:rPr>
        <w:t xml:space="preserve">spiked Matrix Duplicate Pair </w:t>
      </w:r>
    </w:p>
    <w:p w14:paraId="5BF46900" w14:textId="3A56E520" w:rsidR="00291D91" w:rsidRDefault="001C3C42" w:rsidP="00DF2965">
      <w:pPr>
        <w:ind w:left="1810" w:right="255"/>
      </w:pPr>
      <w:r>
        <w:t>The Contractor shall perform at least one MSD or one un</w:t>
      </w:r>
      <w:r w:rsidR="00BF2FD7">
        <w:t>-</w:t>
      </w:r>
      <w:r>
        <w:t xml:space="preserve">spiked duplicate on each group of samples of a similar matrix type from the same project (e.g., water, sludges, soil) for each group of 20 (or fewer) samples received per project.  MS/MSD and matrix duplicate RPDs must be reported.  The Contractor shall develop its own in-house acceptance criteria for duplicate RPD.  Recommended RPD control limits are listed in TABLE </w:t>
      </w:r>
      <w:r w:rsidR="000568BB">
        <w:t>36</w:t>
      </w:r>
      <w:r>
        <w:t>.</w:t>
      </w:r>
    </w:p>
    <w:p w14:paraId="4B3C4762" w14:textId="0B7FF314" w:rsidR="00615188" w:rsidRDefault="00615188" w:rsidP="00781ABE">
      <w:pPr>
        <w:ind w:right="255"/>
      </w:pPr>
    </w:p>
    <w:p w14:paraId="5DB12C70" w14:textId="32A0C588" w:rsidR="00B56D50" w:rsidRDefault="001C3C42">
      <w:pPr>
        <w:spacing w:after="0" w:line="259" w:lineRule="auto"/>
        <w:ind w:left="202" w:right="0" w:firstLine="0"/>
        <w:jc w:val="center"/>
      </w:pPr>
      <w:r>
        <w:rPr>
          <w:b/>
          <w:sz w:val="20"/>
        </w:rPr>
        <w:t xml:space="preserve">TABLE </w:t>
      </w:r>
      <w:r w:rsidR="000568BB">
        <w:rPr>
          <w:b/>
          <w:sz w:val="20"/>
        </w:rPr>
        <w:t>36</w:t>
      </w:r>
      <w:r>
        <w:rPr>
          <w:b/>
          <w:sz w:val="20"/>
        </w:rPr>
        <w:t xml:space="preserve"> </w:t>
      </w:r>
    </w:p>
    <w:p w14:paraId="7102AA23" w14:textId="3EFAD873" w:rsidR="00B56D50" w:rsidRPr="00DF2965" w:rsidRDefault="001C3C42">
      <w:pPr>
        <w:spacing w:after="0" w:line="259" w:lineRule="auto"/>
        <w:ind w:left="197" w:right="0" w:firstLine="0"/>
        <w:jc w:val="center"/>
        <w:rPr>
          <w:b/>
          <w:bCs/>
        </w:rPr>
      </w:pPr>
      <w:r w:rsidRPr="00DF2965">
        <w:rPr>
          <w:b/>
          <w:bCs/>
        </w:rPr>
        <w:t xml:space="preserve">Recommended MS/MSD and Matrix Duplicate Control Criteria for HPLC Analysis </w:t>
      </w:r>
    </w:p>
    <w:p w14:paraId="0E45FEAC" w14:textId="77777777" w:rsidR="00B56D50" w:rsidRDefault="001C3C42">
      <w:pPr>
        <w:spacing w:after="0" w:line="259" w:lineRule="auto"/>
        <w:ind w:left="562" w:right="0" w:firstLine="0"/>
      </w:pPr>
      <w:r>
        <w:rPr>
          <w:rFonts w:ascii="Arial" w:eastAsia="Arial" w:hAnsi="Arial" w:cs="Arial"/>
          <w:sz w:val="12"/>
          <w:vertAlign w:val="superscript"/>
        </w:rPr>
        <w:t xml:space="preserve"> </w:t>
      </w:r>
      <w:r>
        <w:rPr>
          <w:rFonts w:ascii="Arial" w:eastAsia="Arial" w:hAnsi="Arial" w:cs="Arial"/>
          <w:sz w:val="12"/>
          <w:vertAlign w:val="superscript"/>
        </w:rPr>
        <w:tab/>
      </w:r>
      <w:r>
        <w:rPr>
          <w:sz w:val="16"/>
        </w:rPr>
        <w:t xml:space="preserve"> </w:t>
      </w:r>
      <w:r>
        <w:rPr>
          <w:sz w:val="16"/>
        </w:rPr>
        <w:tab/>
      </w:r>
      <w:r>
        <w:rPr>
          <w:b/>
          <w:sz w:val="16"/>
        </w:rPr>
        <w:t xml:space="preserve"> </w:t>
      </w:r>
      <w:r>
        <w:rPr>
          <w:b/>
          <w:sz w:val="16"/>
        </w:rPr>
        <w:tab/>
        <w:t xml:space="preserve"> </w:t>
      </w:r>
    </w:p>
    <w:tbl>
      <w:tblPr>
        <w:tblStyle w:val="TableGrid1"/>
        <w:tblW w:w="9182" w:type="dxa"/>
        <w:tblInd w:w="1073" w:type="dxa"/>
        <w:tblCellMar>
          <w:left w:w="67" w:type="dxa"/>
          <w:right w:w="34" w:type="dxa"/>
        </w:tblCellMar>
        <w:tblLook w:val="04A0" w:firstRow="1" w:lastRow="0" w:firstColumn="1" w:lastColumn="0" w:noHBand="0" w:noVBand="1"/>
      </w:tblPr>
      <w:tblGrid>
        <w:gridCol w:w="2431"/>
        <w:gridCol w:w="1710"/>
        <w:gridCol w:w="1712"/>
        <w:gridCol w:w="1709"/>
        <w:gridCol w:w="1620"/>
      </w:tblGrid>
      <w:tr w:rsidR="00B56D50" w14:paraId="492CAEB0" w14:textId="77777777" w:rsidTr="002523BC">
        <w:trPr>
          <w:trHeight w:val="329"/>
        </w:trPr>
        <w:tc>
          <w:tcPr>
            <w:tcW w:w="2431" w:type="dxa"/>
            <w:tcBorders>
              <w:top w:val="single" w:sz="12" w:space="0" w:color="000000"/>
              <w:left w:val="single" w:sz="12" w:space="0" w:color="000000"/>
              <w:bottom w:val="single" w:sz="12" w:space="0" w:color="000000"/>
              <w:right w:val="single" w:sz="14" w:space="0" w:color="000000"/>
            </w:tcBorders>
            <w:vAlign w:val="center"/>
          </w:tcPr>
          <w:p w14:paraId="2E47CD00" w14:textId="0DC02769" w:rsidR="00B56D50" w:rsidRPr="000568BB" w:rsidRDefault="001C3C42" w:rsidP="000568BB">
            <w:pPr>
              <w:spacing w:after="0" w:line="259" w:lineRule="auto"/>
              <w:ind w:left="0" w:right="33" w:firstLine="0"/>
              <w:jc w:val="center"/>
            </w:pPr>
            <w:r w:rsidRPr="005E1E64">
              <w:rPr>
                <w:b/>
              </w:rPr>
              <w:t>Matrix:</w:t>
            </w:r>
          </w:p>
        </w:tc>
        <w:tc>
          <w:tcPr>
            <w:tcW w:w="3422" w:type="dxa"/>
            <w:gridSpan w:val="2"/>
            <w:tcBorders>
              <w:top w:val="single" w:sz="12" w:space="0" w:color="000000"/>
              <w:left w:val="single" w:sz="14" w:space="0" w:color="000000"/>
              <w:bottom w:val="single" w:sz="12" w:space="0" w:color="000000"/>
              <w:right w:val="single" w:sz="12" w:space="0" w:color="000000"/>
            </w:tcBorders>
            <w:vAlign w:val="center"/>
          </w:tcPr>
          <w:p w14:paraId="13903B8A" w14:textId="1FB4A9E8" w:rsidR="00B56D50" w:rsidRPr="000568BB" w:rsidRDefault="001C3C42" w:rsidP="000568BB">
            <w:pPr>
              <w:spacing w:after="0" w:line="259" w:lineRule="auto"/>
              <w:ind w:left="0" w:right="36" w:firstLine="0"/>
              <w:jc w:val="center"/>
            </w:pPr>
            <w:r w:rsidRPr="005E1E64">
              <w:rPr>
                <w:b/>
              </w:rPr>
              <w:t>Water</w:t>
            </w:r>
          </w:p>
        </w:tc>
        <w:tc>
          <w:tcPr>
            <w:tcW w:w="3329" w:type="dxa"/>
            <w:gridSpan w:val="2"/>
            <w:tcBorders>
              <w:top w:val="single" w:sz="12" w:space="0" w:color="000000"/>
              <w:left w:val="single" w:sz="12" w:space="0" w:color="000000"/>
              <w:bottom w:val="single" w:sz="12" w:space="0" w:color="000000"/>
              <w:right w:val="single" w:sz="12" w:space="0" w:color="000000"/>
            </w:tcBorders>
            <w:vAlign w:val="center"/>
          </w:tcPr>
          <w:p w14:paraId="1F48DC00" w14:textId="70E6FD0C" w:rsidR="00B56D50" w:rsidRPr="000568BB" w:rsidRDefault="001C3C42" w:rsidP="000568BB">
            <w:pPr>
              <w:spacing w:after="0" w:line="259" w:lineRule="auto"/>
              <w:ind w:left="0" w:right="33" w:firstLine="0"/>
              <w:jc w:val="center"/>
            </w:pPr>
            <w:r w:rsidRPr="005E1E64">
              <w:rPr>
                <w:b/>
              </w:rPr>
              <w:t>Other Matrices</w:t>
            </w:r>
          </w:p>
        </w:tc>
      </w:tr>
      <w:tr w:rsidR="00B56D50" w14:paraId="21B9EE5C" w14:textId="77777777" w:rsidTr="002523BC">
        <w:trPr>
          <w:trHeight w:val="511"/>
        </w:trPr>
        <w:tc>
          <w:tcPr>
            <w:tcW w:w="2431" w:type="dxa"/>
            <w:tcBorders>
              <w:top w:val="single" w:sz="12" w:space="0" w:color="000000"/>
              <w:left w:val="single" w:sz="12" w:space="0" w:color="000000"/>
              <w:bottom w:val="single" w:sz="12" w:space="0" w:color="000000"/>
              <w:right w:val="single" w:sz="14" w:space="0" w:color="000000"/>
            </w:tcBorders>
          </w:tcPr>
          <w:p w14:paraId="523662BD" w14:textId="77777777" w:rsidR="00B56D50" w:rsidRPr="000568BB" w:rsidRDefault="001C3C42">
            <w:pPr>
              <w:spacing w:after="0" w:line="259" w:lineRule="auto"/>
              <w:ind w:left="0" w:right="0" w:firstLine="0"/>
            </w:pPr>
            <w:r w:rsidRPr="005E1E64">
              <w:t xml:space="preserve"> </w:t>
            </w:r>
          </w:p>
          <w:p w14:paraId="0B76CD79" w14:textId="77777777" w:rsidR="00B56D50" w:rsidRPr="000568BB" w:rsidRDefault="001C3C42">
            <w:pPr>
              <w:spacing w:after="0" w:line="259" w:lineRule="auto"/>
              <w:ind w:left="0" w:right="40" w:firstLine="0"/>
              <w:jc w:val="center"/>
            </w:pPr>
            <w:r w:rsidRPr="005E1E64">
              <w:rPr>
                <w:b/>
              </w:rPr>
              <w:t xml:space="preserve">Compound </w:t>
            </w:r>
          </w:p>
        </w:tc>
        <w:tc>
          <w:tcPr>
            <w:tcW w:w="1710" w:type="dxa"/>
            <w:tcBorders>
              <w:top w:val="single" w:sz="12" w:space="0" w:color="000000"/>
              <w:left w:val="single" w:sz="14" w:space="0" w:color="000000"/>
              <w:bottom w:val="single" w:sz="12" w:space="0" w:color="000000"/>
              <w:right w:val="single" w:sz="12" w:space="0" w:color="000000"/>
            </w:tcBorders>
          </w:tcPr>
          <w:p w14:paraId="2FB75F35" w14:textId="626F0847" w:rsidR="00B56D50" w:rsidRPr="000568BB" w:rsidRDefault="001C3C42" w:rsidP="005E1E64">
            <w:pPr>
              <w:spacing w:after="0" w:line="259" w:lineRule="auto"/>
              <w:ind w:left="1" w:right="0" w:firstLine="0"/>
            </w:pPr>
            <w:r w:rsidRPr="005E1E64">
              <w:rPr>
                <w:b/>
              </w:rPr>
              <w:t xml:space="preserve"> MS/MSD Spike  </w:t>
            </w:r>
          </w:p>
          <w:p w14:paraId="28CC3EF6" w14:textId="77777777" w:rsidR="00B56D50" w:rsidRPr="000568BB" w:rsidRDefault="001C3C42">
            <w:pPr>
              <w:spacing w:after="0" w:line="259" w:lineRule="auto"/>
              <w:ind w:left="0" w:right="32" w:firstLine="0"/>
              <w:jc w:val="center"/>
            </w:pPr>
            <w:r w:rsidRPr="005E1E64">
              <w:rPr>
                <w:b/>
              </w:rPr>
              <w:t xml:space="preserve">% Recovery </w:t>
            </w:r>
          </w:p>
        </w:tc>
        <w:tc>
          <w:tcPr>
            <w:tcW w:w="1712" w:type="dxa"/>
            <w:tcBorders>
              <w:top w:val="single" w:sz="12" w:space="0" w:color="000000"/>
              <w:left w:val="single" w:sz="12" w:space="0" w:color="000000"/>
              <w:bottom w:val="single" w:sz="12" w:space="0" w:color="000000"/>
              <w:right w:val="single" w:sz="12" w:space="0" w:color="000000"/>
            </w:tcBorders>
            <w:vAlign w:val="center"/>
          </w:tcPr>
          <w:p w14:paraId="22BE391D" w14:textId="6AFCA90A" w:rsidR="00B56D50" w:rsidRPr="000568BB" w:rsidRDefault="001C3C42" w:rsidP="005E1E64">
            <w:pPr>
              <w:spacing w:after="0" w:line="259" w:lineRule="auto"/>
              <w:ind w:left="0" w:right="0" w:firstLine="0"/>
              <w:jc w:val="center"/>
            </w:pPr>
            <w:r w:rsidRPr="005E1E64">
              <w:rPr>
                <w:b/>
              </w:rPr>
              <w:t>MS/</w:t>
            </w:r>
            <w:r w:rsidR="00BF2FD7" w:rsidRPr="005E1E64">
              <w:rPr>
                <w:b/>
              </w:rPr>
              <w:t>MSD</w:t>
            </w:r>
            <w:r w:rsidR="000568BB">
              <w:rPr>
                <w:b/>
              </w:rPr>
              <w:t xml:space="preserve"> o</w:t>
            </w:r>
            <w:r w:rsidR="00BF2FD7" w:rsidRPr="005E1E64">
              <w:rPr>
                <w:b/>
              </w:rPr>
              <w:t>r</w:t>
            </w:r>
            <w:r w:rsidRPr="005E1E64">
              <w:rPr>
                <w:b/>
              </w:rPr>
              <w:t xml:space="preserve"> Duplicate</w:t>
            </w:r>
            <w:r w:rsidR="000568BB">
              <w:rPr>
                <w:b/>
              </w:rPr>
              <w:t xml:space="preserve"> R</w:t>
            </w:r>
            <w:r w:rsidRPr="005E1E64">
              <w:rPr>
                <w:b/>
              </w:rPr>
              <w:t>PD</w:t>
            </w:r>
          </w:p>
        </w:tc>
        <w:tc>
          <w:tcPr>
            <w:tcW w:w="1709" w:type="dxa"/>
            <w:tcBorders>
              <w:top w:val="single" w:sz="12" w:space="0" w:color="000000"/>
              <w:left w:val="single" w:sz="12" w:space="0" w:color="000000"/>
              <w:bottom w:val="single" w:sz="12" w:space="0" w:color="000000"/>
              <w:right w:val="single" w:sz="12" w:space="0" w:color="000000"/>
            </w:tcBorders>
          </w:tcPr>
          <w:p w14:paraId="377ED5DD" w14:textId="34BE70E1" w:rsidR="00B56D50" w:rsidRPr="000568BB" w:rsidRDefault="001C3C42" w:rsidP="005E1E64">
            <w:pPr>
              <w:spacing w:after="0" w:line="259" w:lineRule="auto"/>
              <w:ind w:left="0" w:right="0" w:firstLine="0"/>
            </w:pPr>
            <w:r w:rsidRPr="005E1E64">
              <w:rPr>
                <w:b/>
              </w:rPr>
              <w:t xml:space="preserve"> MS/MSD Spike  </w:t>
            </w:r>
          </w:p>
          <w:p w14:paraId="17DF5D53" w14:textId="77777777" w:rsidR="00B56D50" w:rsidRPr="000568BB" w:rsidRDefault="001C3C42">
            <w:pPr>
              <w:spacing w:after="0" w:line="259" w:lineRule="auto"/>
              <w:ind w:left="0" w:right="34" w:firstLine="0"/>
              <w:jc w:val="center"/>
            </w:pPr>
            <w:r w:rsidRPr="005E1E64">
              <w:rPr>
                <w:b/>
              </w:rPr>
              <w:t xml:space="preserve">% Recovery </w:t>
            </w:r>
          </w:p>
        </w:tc>
        <w:tc>
          <w:tcPr>
            <w:tcW w:w="1620" w:type="dxa"/>
            <w:tcBorders>
              <w:top w:val="single" w:sz="12" w:space="0" w:color="000000"/>
              <w:left w:val="single" w:sz="12" w:space="0" w:color="000000"/>
              <w:bottom w:val="single" w:sz="12" w:space="0" w:color="000000"/>
              <w:right w:val="single" w:sz="12" w:space="0" w:color="000000"/>
            </w:tcBorders>
          </w:tcPr>
          <w:p w14:paraId="374550E0" w14:textId="65B12D7C" w:rsidR="00B56D50" w:rsidRPr="000568BB" w:rsidRDefault="001C3C42" w:rsidP="005E1E64">
            <w:pPr>
              <w:spacing w:after="0" w:line="259" w:lineRule="auto"/>
              <w:ind w:left="0" w:right="0" w:firstLine="0"/>
            </w:pPr>
            <w:r w:rsidRPr="005E1E64">
              <w:rPr>
                <w:b/>
              </w:rPr>
              <w:t xml:space="preserve"> MS/MSD or </w:t>
            </w:r>
          </w:p>
          <w:p w14:paraId="793C84A7" w14:textId="77777777" w:rsidR="00B56D50" w:rsidRPr="000568BB" w:rsidRDefault="001C3C42">
            <w:pPr>
              <w:spacing w:after="0" w:line="259" w:lineRule="auto"/>
              <w:ind w:left="0" w:right="34" w:firstLine="0"/>
              <w:jc w:val="center"/>
            </w:pPr>
            <w:r w:rsidRPr="005E1E64">
              <w:rPr>
                <w:b/>
              </w:rPr>
              <w:t xml:space="preserve">Duplicate RPD </w:t>
            </w:r>
          </w:p>
        </w:tc>
      </w:tr>
      <w:tr w:rsidR="00B56D50" w14:paraId="728D9210" w14:textId="77777777" w:rsidTr="002523BC">
        <w:trPr>
          <w:trHeight w:val="785"/>
        </w:trPr>
        <w:tc>
          <w:tcPr>
            <w:tcW w:w="2431" w:type="dxa"/>
            <w:tcBorders>
              <w:top w:val="single" w:sz="12" w:space="0" w:color="000000"/>
              <w:left w:val="single" w:sz="12" w:space="0" w:color="000000"/>
              <w:bottom w:val="single" w:sz="12" w:space="0" w:color="000000"/>
              <w:right w:val="single" w:sz="14" w:space="0" w:color="000000"/>
            </w:tcBorders>
            <w:vAlign w:val="center"/>
          </w:tcPr>
          <w:p w14:paraId="36831539" w14:textId="0A5F065A" w:rsidR="00B56D50" w:rsidRPr="005E1E64" w:rsidRDefault="001C3C42" w:rsidP="000568BB">
            <w:pPr>
              <w:spacing w:after="0" w:line="259" w:lineRule="auto"/>
              <w:ind w:left="0" w:right="38" w:firstLine="0"/>
              <w:jc w:val="center"/>
            </w:pPr>
            <w:r w:rsidRPr="005E1E64">
              <w:t>ALL TARGET ANALYTES</w:t>
            </w:r>
          </w:p>
        </w:tc>
        <w:tc>
          <w:tcPr>
            <w:tcW w:w="1710" w:type="dxa"/>
            <w:tcBorders>
              <w:top w:val="single" w:sz="12" w:space="0" w:color="000000"/>
              <w:left w:val="single" w:sz="14" w:space="0" w:color="000000"/>
              <w:bottom w:val="single" w:sz="12" w:space="0" w:color="000000"/>
              <w:right w:val="single" w:sz="12" w:space="0" w:color="000000"/>
            </w:tcBorders>
            <w:vAlign w:val="center"/>
          </w:tcPr>
          <w:p w14:paraId="5D9318E0" w14:textId="1C6A538A" w:rsidR="00B56D50" w:rsidRPr="005E1E64" w:rsidRDefault="001C3C42" w:rsidP="000568BB">
            <w:pPr>
              <w:spacing w:after="0" w:line="259" w:lineRule="auto"/>
              <w:ind w:left="0" w:right="34" w:firstLine="0"/>
              <w:jc w:val="center"/>
            </w:pPr>
            <w:r w:rsidRPr="005E1E64">
              <w:t>70-130</w:t>
            </w:r>
          </w:p>
        </w:tc>
        <w:tc>
          <w:tcPr>
            <w:tcW w:w="1712" w:type="dxa"/>
            <w:tcBorders>
              <w:top w:val="single" w:sz="12" w:space="0" w:color="000000"/>
              <w:left w:val="single" w:sz="12" w:space="0" w:color="000000"/>
              <w:bottom w:val="single" w:sz="12" w:space="0" w:color="000000"/>
              <w:right w:val="single" w:sz="12" w:space="0" w:color="000000"/>
            </w:tcBorders>
            <w:vAlign w:val="center"/>
          </w:tcPr>
          <w:p w14:paraId="58BBFEA2" w14:textId="27A30C61" w:rsidR="00B56D50" w:rsidRPr="005E1E64" w:rsidRDefault="001C3C42" w:rsidP="000568BB">
            <w:pPr>
              <w:spacing w:after="0" w:line="259" w:lineRule="auto"/>
              <w:ind w:left="0" w:right="38" w:firstLine="0"/>
              <w:jc w:val="center"/>
            </w:pPr>
            <w:r w:rsidRPr="005E1E64">
              <w:t>20</w:t>
            </w:r>
          </w:p>
        </w:tc>
        <w:tc>
          <w:tcPr>
            <w:tcW w:w="1709" w:type="dxa"/>
            <w:tcBorders>
              <w:top w:val="single" w:sz="12" w:space="0" w:color="000000"/>
              <w:left w:val="single" w:sz="12" w:space="0" w:color="000000"/>
              <w:bottom w:val="single" w:sz="12" w:space="0" w:color="000000"/>
              <w:right w:val="single" w:sz="12" w:space="0" w:color="000000"/>
            </w:tcBorders>
            <w:vAlign w:val="center"/>
          </w:tcPr>
          <w:p w14:paraId="7467503E" w14:textId="740E9C8B" w:rsidR="00B56D50" w:rsidRPr="005E1E64" w:rsidRDefault="001C3C42" w:rsidP="000568BB">
            <w:pPr>
              <w:spacing w:after="0" w:line="259" w:lineRule="auto"/>
              <w:ind w:left="0" w:right="35" w:firstLine="0"/>
              <w:jc w:val="center"/>
            </w:pPr>
            <w:r w:rsidRPr="005E1E64">
              <w:t>60-140</w:t>
            </w:r>
          </w:p>
        </w:tc>
        <w:tc>
          <w:tcPr>
            <w:tcW w:w="1620" w:type="dxa"/>
            <w:tcBorders>
              <w:top w:val="single" w:sz="12" w:space="0" w:color="000000"/>
              <w:left w:val="single" w:sz="12" w:space="0" w:color="000000"/>
              <w:bottom w:val="single" w:sz="12" w:space="0" w:color="000000"/>
              <w:right w:val="single" w:sz="12" w:space="0" w:color="000000"/>
            </w:tcBorders>
            <w:vAlign w:val="center"/>
          </w:tcPr>
          <w:p w14:paraId="1C152733" w14:textId="46F03766" w:rsidR="00B56D50" w:rsidRPr="005E1E64" w:rsidRDefault="001C3C42" w:rsidP="000568BB">
            <w:pPr>
              <w:spacing w:after="0" w:line="259" w:lineRule="auto"/>
              <w:ind w:left="0" w:right="37" w:firstLine="0"/>
              <w:jc w:val="center"/>
            </w:pPr>
            <w:r w:rsidRPr="005E1E64">
              <w:t>40</w:t>
            </w:r>
          </w:p>
        </w:tc>
      </w:tr>
    </w:tbl>
    <w:p w14:paraId="3C29550B" w14:textId="77777777" w:rsidR="00B56D50" w:rsidRDefault="001C3C42">
      <w:pPr>
        <w:spacing w:after="0" w:line="259" w:lineRule="auto"/>
        <w:ind w:left="562" w:right="0" w:firstLine="0"/>
      </w:pPr>
      <w:r>
        <w:rPr>
          <w:rFonts w:ascii="Arial" w:eastAsia="Arial" w:hAnsi="Arial" w:cs="Arial"/>
        </w:rPr>
        <w:t xml:space="preserve"> </w:t>
      </w:r>
    </w:p>
    <w:p w14:paraId="18B049C3" w14:textId="0F22B49C" w:rsidR="00B56D50" w:rsidRPr="00DF2965" w:rsidRDefault="001C3C42" w:rsidP="00093377">
      <w:pPr>
        <w:numPr>
          <w:ilvl w:val="0"/>
          <w:numId w:val="108"/>
        </w:numPr>
        <w:spacing w:after="16"/>
        <w:ind w:left="1440" w:right="186" w:hanging="360"/>
        <w:rPr>
          <w:b/>
          <w:bCs/>
        </w:rPr>
      </w:pPr>
      <w:r w:rsidRPr="00DF2965">
        <w:rPr>
          <w:b/>
          <w:bCs/>
        </w:rPr>
        <w:t xml:space="preserve">Surrogate Standards </w:t>
      </w:r>
    </w:p>
    <w:p w14:paraId="3E0A6B3F" w14:textId="2BBD6F54" w:rsidR="00B56D50" w:rsidRDefault="001C3C42" w:rsidP="00DF2965">
      <w:pPr>
        <w:ind w:left="1450" w:right="255"/>
      </w:pPr>
      <w:r>
        <w:t xml:space="preserve">The performance of the method must be monitored using at least one surrogate compound.  The surrogate standards must be added to all samples, method blanks, matrix spikes, and calibration standards.  </w:t>
      </w:r>
      <w:proofErr w:type="spellStart"/>
      <w:r>
        <w:t>Decafluorobiphenyl</w:t>
      </w:r>
      <w:proofErr w:type="spellEnd"/>
      <w:r>
        <w:t xml:space="preserve"> is recommended for use as the surrogate compound for PAH analysis.  Additional PAH compounds may be used as surrogates if they are not expected to be present in the sample.  Deuterated analogs of target analytes must not be used as surrogates for HPLC analysis due to coelution problems. </w:t>
      </w:r>
    </w:p>
    <w:p w14:paraId="30C12C93" w14:textId="77777777" w:rsidR="00B56D50" w:rsidRDefault="001C3C42">
      <w:pPr>
        <w:spacing w:after="0" w:line="259" w:lineRule="auto"/>
        <w:ind w:left="562" w:right="0" w:firstLine="0"/>
      </w:pPr>
      <w:r>
        <w:t xml:space="preserve"> </w:t>
      </w:r>
    </w:p>
    <w:p w14:paraId="1EB4868A" w14:textId="5CC6C221" w:rsidR="00B56D50" w:rsidRPr="00781ABE" w:rsidRDefault="001C3C42" w:rsidP="00DF2965">
      <w:pPr>
        <w:ind w:left="1440" w:firstLine="0"/>
      </w:pPr>
      <w:r>
        <w:t xml:space="preserve">Surrogate recoveries must not exceed the control limits listed in TABLE </w:t>
      </w:r>
      <w:r w:rsidR="00C140BB">
        <w:t>37</w:t>
      </w:r>
      <w:r>
        <w:t>.  Proceed with corrective action when the % Recovery for any surrogate does not meet control limits</w:t>
      </w:r>
      <w:r w:rsidRPr="00781ABE">
        <w:t xml:space="preserve">.  </w:t>
      </w:r>
    </w:p>
    <w:p w14:paraId="0E9A117C" w14:textId="77777777" w:rsidR="00B56D50" w:rsidRPr="00781ABE" w:rsidRDefault="001C3C42" w:rsidP="00781ABE">
      <w:pPr>
        <w:ind w:left="0" w:firstLine="0"/>
      </w:pPr>
      <w:r w:rsidRPr="00781ABE">
        <w:t xml:space="preserve"> </w:t>
      </w:r>
    </w:p>
    <w:p w14:paraId="479D821C" w14:textId="50125004" w:rsidR="00B56D50" w:rsidRDefault="001C3C42">
      <w:pPr>
        <w:pStyle w:val="Heading5"/>
        <w:ind w:left="1024" w:right="809"/>
      </w:pPr>
      <w:r>
        <w:lastRenderedPageBreak/>
        <w:t xml:space="preserve">TABLE </w:t>
      </w:r>
      <w:r w:rsidR="00C140BB">
        <w:t>37</w:t>
      </w:r>
      <w:r>
        <w:t xml:space="preserve"> </w:t>
      </w:r>
    </w:p>
    <w:p w14:paraId="009551A1" w14:textId="77777777" w:rsidR="00B56D50" w:rsidRDefault="001C3C42">
      <w:pPr>
        <w:pStyle w:val="Heading6"/>
        <w:ind w:left="1849" w:right="186"/>
      </w:pPr>
      <w:r>
        <w:t xml:space="preserve">Required Control Limits for Surrogate % Recovery in HPLC Analysis of PAHs </w:t>
      </w:r>
    </w:p>
    <w:p w14:paraId="7B693EB6" w14:textId="77777777" w:rsidR="00B56D50" w:rsidRDefault="001C3C42">
      <w:pPr>
        <w:spacing w:after="0" w:line="259" w:lineRule="auto"/>
        <w:ind w:left="562" w:right="0" w:firstLine="0"/>
      </w:pPr>
      <w:r>
        <w:t xml:space="preserve"> </w:t>
      </w:r>
    </w:p>
    <w:tbl>
      <w:tblPr>
        <w:tblStyle w:val="TableGrid1"/>
        <w:tblW w:w="9090" w:type="dxa"/>
        <w:tblInd w:w="1013" w:type="dxa"/>
        <w:tblCellMar>
          <w:top w:w="24" w:type="dxa"/>
          <w:left w:w="115" w:type="dxa"/>
          <w:right w:w="115" w:type="dxa"/>
        </w:tblCellMar>
        <w:tblLook w:val="04A0" w:firstRow="1" w:lastRow="0" w:firstColumn="1" w:lastColumn="0" w:noHBand="0" w:noVBand="1"/>
      </w:tblPr>
      <w:tblGrid>
        <w:gridCol w:w="3425"/>
        <w:gridCol w:w="2422"/>
        <w:gridCol w:w="3243"/>
      </w:tblGrid>
      <w:tr w:rsidR="00B56D50" w14:paraId="0C482F72" w14:textId="77777777" w:rsidTr="007E2E1C">
        <w:trPr>
          <w:trHeight w:val="595"/>
        </w:trPr>
        <w:tc>
          <w:tcPr>
            <w:tcW w:w="3425" w:type="dxa"/>
            <w:tcBorders>
              <w:top w:val="single" w:sz="12" w:space="0" w:color="000000"/>
              <w:left w:val="single" w:sz="12" w:space="0" w:color="000000"/>
              <w:bottom w:val="single" w:sz="12" w:space="0" w:color="000000"/>
              <w:right w:val="single" w:sz="12" w:space="0" w:color="000000"/>
            </w:tcBorders>
            <w:vAlign w:val="center"/>
          </w:tcPr>
          <w:p w14:paraId="0F97D949" w14:textId="77777777" w:rsidR="00B56D50" w:rsidRDefault="001C3C42">
            <w:pPr>
              <w:spacing w:after="0" w:line="259" w:lineRule="auto"/>
              <w:ind w:left="3" w:right="0" w:firstLine="0"/>
              <w:jc w:val="center"/>
            </w:pPr>
            <w:r>
              <w:rPr>
                <w:b/>
              </w:rPr>
              <w:t xml:space="preserve">Compounds </w:t>
            </w:r>
          </w:p>
        </w:tc>
        <w:tc>
          <w:tcPr>
            <w:tcW w:w="2422" w:type="dxa"/>
            <w:tcBorders>
              <w:top w:val="single" w:sz="12" w:space="0" w:color="000000"/>
              <w:left w:val="single" w:sz="12" w:space="0" w:color="000000"/>
              <w:bottom w:val="single" w:sz="12" w:space="0" w:color="000000"/>
              <w:right w:val="single" w:sz="12" w:space="0" w:color="000000"/>
            </w:tcBorders>
          </w:tcPr>
          <w:p w14:paraId="4F778CA0" w14:textId="77777777" w:rsidR="00B56D50" w:rsidRDefault="001C3C42">
            <w:pPr>
              <w:spacing w:after="0" w:line="259" w:lineRule="auto"/>
              <w:ind w:left="0" w:right="0" w:firstLine="0"/>
              <w:jc w:val="center"/>
            </w:pPr>
            <w:r>
              <w:rPr>
                <w:b/>
              </w:rPr>
              <w:t xml:space="preserve">Aqueous Samples % Recovery </w:t>
            </w:r>
          </w:p>
        </w:tc>
        <w:tc>
          <w:tcPr>
            <w:tcW w:w="3243" w:type="dxa"/>
            <w:tcBorders>
              <w:top w:val="single" w:sz="12" w:space="0" w:color="000000"/>
              <w:left w:val="single" w:sz="12" w:space="0" w:color="000000"/>
              <w:bottom w:val="single" w:sz="12" w:space="0" w:color="000000"/>
              <w:right w:val="single" w:sz="12" w:space="0" w:color="000000"/>
            </w:tcBorders>
          </w:tcPr>
          <w:p w14:paraId="385ABE6D" w14:textId="77777777" w:rsidR="00B56D50" w:rsidRDefault="001C3C42">
            <w:pPr>
              <w:spacing w:after="0" w:line="259" w:lineRule="auto"/>
              <w:ind w:left="0" w:right="0" w:firstLine="0"/>
              <w:jc w:val="center"/>
            </w:pPr>
            <w:r>
              <w:rPr>
                <w:b/>
              </w:rPr>
              <w:t xml:space="preserve">Soil, Sludge, Sediment, Oil, &amp; Waste Samples % Recovery </w:t>
            </w:r>
          </w:p>
        </w:tc>
      </w:tr>
      <w:tr w:rsidR="00B56D50" w14:paraId="0884B19F" w14:textId="77777777" w:rsidTr="007E2E1C">
        <w:trPr>
          <w:trHeight w:val="413"/>
        </w:trPr>
        <w:tc>
          <w:tcPr>
            <w:tcW w:w="3425" w:type="dxa"/>
            <w:tcBorders>
              <w:top w:val="single" w:sz="12" w:space="0" w:color="000000"/>
              <w:left w:val="single" w:sz="12" w:space="0" w:color="000000"/>
              <w:bottom w:val="single" w:sz="4" w:space="0" w:color="000000"/>
              <w:right w:val="single" w:sz="12" w:space="0" w:color="000000"/>
            </w:tcBorders>
            <w:vAlign w:val="center"/>
          </w:tcPr>
          <w:p w14:paraId="4850E5B5" w14:textId="525C74A0" w:rsidR="00B56D50" w:rsidRDefault="00E63BB4" w:rsidP="00DF2965">
            <w:pPr>
              <w:spacing w:after="0" w:line="259" w:lineRule="auto"/>
              <w:ind w:left="0" w:right="0" w:firstLine="0"/>
              <w:jc w:val="center"/>
            </w:pPr>
            <w:proofErr w:type="spellStart"/>
            <w:r>
              <w:t>Decafluorobiphenyl</w:t>
            </w:r>
            <w:proofErr w:type="spellEnd"/>
          </w:p>
        </w:tc>
        <w:tc>
          <w:tcPr>
            <w:tcW w:w="2422" w:type="dxa"/>
            <w:tcBorders>
              <w:top w:val="single" w:sz="12" w:space="0" w:color="000000"/>
              <w:left w:val="single" w:sz="12" w:space="0" w:color="000000"/>
              <w:bottom w:val="single" w:sz="4" w:space="0" w:color="000000"/>
              <w:right w:val="single" w:sz="12" w:space="0" w:color="000000"/>
            </w:tcBorders>
            <w:vAlign w:val="center"/>
          </w:tcPr>
          <w:p w14:paraId="62891A8E" w14:textId="3FF2F68A" w:rsidR="00B56D50" w:rsidRDefault="001C3C42" w:rsidP="00DF2965">
            <w:pPr>
              <w:spacing w:after="0" w:line="259" w:lineRule="auto"/>
              <w:ind w:left="0" w:right="5" w:firstLine="0"/>
              <w:jc w:val="center"/>
            </w:pPr>
            <w:r>
              <w:t>30-150</w:t>
            </w:r>
          </w:p>
        </w:tc>
        <w:tc>
          <w:tcPr>
            <w:tcW w:w="3243" w:type="dxa"/>
            <w:tcBorders>
              <w:top w:val="single" w:sz="12" w:space="0" w:color="000000"/>
              <w:left w:val="single" w:sz="12" w:space="0" w:color="000000"/>
              <w:bottom w:val="single" w:sz="4" w:space="0" w:color="000000"/>
              <w:right w:val="single" w:sz="12" w:space="0" w:color="000000"/>
            </w:tcBorders>
            <w:vAlign w:val="center"/>
          </w:tcPr>
          <w:p w14:paraId="40CCB691" w14:textId="66E8F2DC" w:rsidR="00B56D50" w:rsidRDefault="001C3C42" w:rsidP="00DF2965">
            <w:pPr>
              <w:spacing w:after="0" w:line="259" w:lineRule="auto"/>
              <w:ind w:left="0" w:right="4" w:firstLine="0"/>
              <w:jc w:val="center"/>
            </w:pPr>
            <w:r>
              <w:t>30-150</w:t>
            </w:r>
          </w:p>
        </w:tc>
      </w:tr>
      <w:tr w:rsidR="00B56D50" w14:paraId="1B73100A" w14:textId="77777777" w:rsidTr="007E2E1C">
        <w:trPr>
          <w:trHeight w:val="540"/>
        </w:trPr>
        <w:tc>
          <w:tcPr>
            <w:tcW w:w="3425" w:type="dxa"/>
            <w:tcBorders>
              <w:top w:val="single" w:sz="4" w:space="0" w:color="000000"/>
              <w:left w:val="single" w:sz="12" w:space="0" w:color="000000"/>
              <w:bottom w:val="single" w:sz="12" w:space="0" w:color="000000"/>
              <w:right w:val="single" w:sz="12" w:space="0" w:color="000000"/>
            </w:tcBorders>
            <w:vAlign w:val="center"/>
          </w:tcPr>
          <w:p w14:paraId="659EC52D" w14:textId="61054A07" w:rsidR="00B56D50" w:rsidRDefault="00BC07C4" w:rsidP="00DF2965">
            <w:pPr>
              <w:spacing w:after="0" w:line="259" w:lineRule="auto"/>
              <w:ind w:left="0" w:right="1" w:firstLine="0"/>
              <w:jc w:val="center"/>
            </w:pPr>
            <w:r>
              <w:t>O</w:t>
            </w:r>
            <w:r w:rsidR="001C3C42">
              <w:t xml:space="preserve">ther </w:t>
            </w:r>
            <w:r>
              <w:t>C</w:t>
            </w:r>
            <w:r w:rsidR="001C3C42">
              <w:t>ompounds</w:t>
            </w:r>
          </w:p>
        </w:tc>
        <w:tc>
          <w:tcPr>
            <w:tcW w:w="2422" w:type="dxa"/>
            <w:tcBorders>
              <w:top w:val="single" w:sz="4" w:space="0" w:color="000000"/>
              <w:left w:val="single" w:sz="12" w:space="0" w:color="000000"/>
              <w:bottom w:val="single" w:sz="12" w:space="0" w:color="000000"/>
              <w:right w:val="single" w:sz="12" w:space="0" w:color="000000"/>
            </w:tcBorders>
            <w:vAlign w:val="center"/>
          </w:tcPr>
          <w:p w14:paraId="16FF33D4" w14:textId="1D901793" w:rsidR="00B56D50" w:rsidRDefault="001C3C42" w:rsidP="00DF2965">
            <w:pPr>
              <w:spacing w:after="0" w:line="259" w:lineRule="auto"/>
              <w:ind w:left="0" w:right="5" w:firstLine="0"/>
              <w:jc w:val="center"/>
            </w:pPr>
            <w:r>
              <w:t>30-150</w:t>
            </w:r>
          </w:p>
        </w:tc>
        <w:tc>
          <w:tcPr>
            <w:tcW w:w="3243" w:type="dxa"/>
            <w:tcBorders>
              <w:top w:val="single" w:sz="4" w:space="0" w:color="000000"/>
              <w:left w:val="single" w:sz="12" w:space="0" w:color="000000"/>
              <w:bottom w:val="single" w:sz="12" w:space="0" w:color="000000"/>
              <w:right w:val="single" w:sz="12" w:space="0" w:color="000000"/>
            </w:tcBorders>
            <w:vAlign w:val="center"/>
          </w:tcPr>
          <w:p w14:paraId="577415BE" w14:textId="3BE52457" w:rsidR="00B56D50" w:rsidRDefault="001C3C42" w:rsidP="00DF2965">
            <w:pPr>
              <w:spacing w:after="0" w:line="259" w:lineRule="auto"/>
              <w:ind w:left="1" w:right="0" w:firstLine="0"/>
              <w:jc w:val="center"/>
            </w:pPr>
            <w:r>
              <w:t>30-150</w:t>
            </w:r>
          </w:p>
        </w:tc>
      </w:tr>
    </w:tbl>
    <w:p w14:paraId="7B6EB548" w14:textId="42EFB372" w:rsidR="00B56D50" w:rsidRDefault="001C3C42">
      <w:pPr>
        <w:spacing w:after="0" w:line="259" w:lineRule="auto"/>
        <w:ind w:left="562" w:right="0" w:firstLine="0"/>
      </w:pPr>
      <w:r>
        <w:rPr>
          <w:b/>
        </w:rPr>
        <w:t xml:space="preserve">  </w:t>
      </w:r>
    </w:p>
    <w:p w14:paraId="612D7328" w14:textId="0A362E48" w:rsidR="00B56D50" w:rsidRPr="00DF2965" w:rsidRDefault="001C3C42" w:rsidP="00093377">
      <w:pPr>
        <w:numPr>
          <w:ilvl w:val="0"/>
          <w:numId w:val="108"/>
        </w:numPr>
        <w:spacing w:after="16"/>
        <w:ind w:left="1440" w:right="186" w:hanging="360"/>
        <w:rPr>
          <w:b/>
          <w:bCs/>
        </w:rPr>
      </w:pPr>
      <w:r w:rsidRPr="00DF2965">
        <w:rPr>
          <w:b/>
          <w:bCs/>
        </w:rPr>
        <w:t xml:space="preserve">Control Criteria for Internal Standards </w:t>
      </w:r>
    </w:p>
    <w:p w14:paraId="27A7A3DE" w14:textId="77777777" w:rsidR="00B56D50" w:rsidRDefault="001C3C42" w:rsidP="00DF2965">
      <w:pPr>
        <w:ind w:left="1450" w:right="255"/>
      </w:pPr>
      <w:r>
        <w:t xml:space="preserve">Whenever quantitation is accomplished using an internal standard, internal standard data must be evaluated for acceptance.  The measured area of the internal standard must be no more than 50% different from the average area calculated during calibration.  All samples for which the internal standard peak area falls outside the control limits must be reanalyzed.   </w:t>
      </w:r>
    </w:p>
    <w:p w14:paraId="6546496C" w14:textId="77777777" w:rsidR="00B56D50" w:rsidRDefault="001C3C42">
      <w:pPr>
        <w:spacing w:after="0" w:line="259" w:lineRule="auto"/>
        <w:ind w:left="562" w:right="0" w:firstLine="0"/>
      </w:pPr>
      <w:r>
        <w:t xml:space="preserve"> </w:t>
      </w:r>
    </w:p>
    <w:p w14:paraId="547BA2E7" w14:textId="0C729463" w:rsidR="00B56D50" w:rsidRPr="00DF2965" w:rsidRDefault="001C3C42" w:rsidP="00093377">
      <w:pPr>
        <w:numPr>
          <w:ilvl w:val="0"/>
          <w:numId w:val="108"/>
        </w:numPr>
        <w:spacing w:after="16"/>
        <w:ind w:left="1440" w:right="186" w:hanging="360"/>
        <w:rPr>
          <w:b/>
          <w:bCs/>
        </w:rPr>
      </w:pPr>
      <w:r w:rsidRPr="00DF2965">
        <w:rPr>
          <w:b/>
          <w:bCs/>
        </w:rPr>
        <w:t xml:space="preserve">Confirmation of Target Analyte Identification </w:t>
      </w:r>
    </w:p>
    <w:p w14:paraId="26255CA0" w14:textId="77777777" w:rsidR="00B56D50" w:rsidRDefault="001C3C42" w:rsidP="0074327A">
      <w:pPr>
        <w:ind w:left="1450" w:right="352"/>
      </w:pPr>
      <w:r>
        <w:t xml:space="preserve">Tentative identification of single-component analyte occurs when a peak from a sample extract falls within the established retention time window for a specific target analyte. Compound identification by HPLC using non-MS detection must be supported by at least one additional qualitative technique.   Some possible methods for confirmation of </w:t>
      </w:r>
      <w:r>
        <w:rPr>
          <w:u w:val="single" w:color="000000"/>
        </w:rPr>
        <w:t>positive</w:t>
      </w:r>
      <w:r>
        <w:t xml:space="preserve"> tentative analysis include: </w:t>
      </w:r>
    </w:p>
    <w:p w14:paraId="025F1E66" w14:textId="77777777" w:rsidR="00B56D50" w:rsidRDefault="001C3C42">
      <w:pPr>
        <w:spacing w:after="0" w:line="259" w:lineRule="auto"/>
        <w:ind w:left="1553" w:right="0" w:firstLine="0"/>
      </w:pPr>
      <w:r>
        <w:t xml:space="preserve"> </w:t>
      </w:r>
    </w:p>
    <w:p w14:paraId="161DF258" w14:textId="77777777" w:rsidR="00B56D50" w:rsidRDefault="001C3C42" w:rsidP="00093377">
      <w:pPr>
        <w:numPr>
          <w:ilvl w:val="0"/>
          <w:numId w:val="114"/>
        </w:numPr>
        <w:ind w:left="1800" w:right="255" w:hanging="360"/>
      </w:pPr>
      <w:r>
        <w:t xml:space="preserve">HPLC data from two different detectors (e.g., UV and fluorescence), </w:t>
      </w:r>
      <w:r>
        <w:rPr>
          <w:b/>
        </w:rPr>
        <w:t xml:space="preserve"> </w:t>
      </w:r>
    </w:p>
    <w:p w14:paraId="15E6D1CC" w14:textId="77777777" w:rsidR="00B56D50" w:rsidRDefault="001C3C42">
      <w:pPr>
        <w:spacing w:after="0" w:line="259" w:lineRule="auto"/>
        <w:ind w:left="1013" w:right="0" w:firstLine="0"/>
      </w:pPr>
      <w:r>
        <w:rPr>
          <w:b/>
        </w:rPr>
        <w:t xml:space="preserve"> </w:t>
      </w:r>
    </w:p>
    <w:p w14:paraId="530B2F96" w14:textId="77777777" w:rsidR="00B56D50" w:rsidRDefault="001C3C42" w:rsidP="00093377">
      <w:pPr>
        <w:numPr>
          <w:ilvl w:val="0"/>
          <w:numId w:val="114"/>
        </w:numPr>
        <w:ind w:left="1800" w:right="255" w:hanging="360"/>
      </w:pPr>
      <w:r>
        <w:t xml:space="preserve">HPLC/UV data at two different wavelengths, or </w:t>
      </w:r>
      <w:r>
        <w:rPr>
          <w:b/>
        </w:rPr>
        <w:t xml:space="preserve"> </w:t>
      </w:r>
    </w:p>
    <w:p w14:paraId="6F2D7B56" w14:textId="77777777" w:rsidR="00B56D50" w:rsidRDefault="001C3C42">
      <w:pPr>
        <w:spacing w:after="0" w:line="259" w:lineRule="auto"/>
        <w:ind w:left="562" w:right="0" w:firstLine="0"/>
      </w:pPr>
      <w:r>
        <w:rPr>
          <w:b/>
        </w:rPr>
        <w:t xml:space="preserve"> </w:t>
      </w:r>
    </w:p>
    <w:p w14:paraId="3EE17705" w14:textId="77777777" w:rsidR="00B56D50" w:rsidRDefault="001C3C42" w:rsidP="00093377">
      <w:pPr>
        <w:numPr>
          <w:ilvl w:val="0"/>
          <w:numId w:val="114"/>
        </w:numPr>
        <w:ind w:left="1800" w:right="255" w:hanging="360"/>
      </w:pPr>
      <w:r>
        <w:t>Analysis on a second column with a dissimilar stationary phase.</w:t>
      </w:r>
      <w:r>
        <w:rPr>
          <w:b/>
        </w:rPr>
        <w:t xml:space="preserve"> </w:t>
      </w:r>
    </w:p>
    <w:p w14:paraId="6A9FE07E" w14:textId="77777777" w:rsidR="00B56D50" w:rsidRDefault="001C3C42">
      <w:pPr>
        <w:spacing w:after="0" w:line="259" w:lineRule="auto"/>
        <w:ind w:left="562" w:right="0" w:firstLine="0"/>
      </w:pPr>
      <w:r>
        <w:t xml:space="preserve"> </w:t>
      </w:r>
    </w:p>
    <w:p w14:paraId="12742E46" w14:textId="77777777" w:rsidR="00B56D50" w:rsidRDefault="001C3C42" w:rsidP="006044AB">
      <w:pPr>
        <w:ind w:left="1450" w:right="255"/>
      </w:pPr>
      <w:r>
        <w:t xml:space="preserve">Use of UV-Visible diode array detection may provide confirmation data from a single analysis if the Contractor can demonstrate this ability for typical sample extracts (not just standards) by comparison to another recognized confirmation technique.  </w:t>
      </w:r>
    </w:p>
    <w:p w14:paraId="0E1FE782" w14:textId="77777777" w:rsidR="00B56D50" w:rsidRDefault="001C3C42">
      <w:pPr>
        <w:spacing w:after="0" w:line="259" w:lineRule="auto"/>
        <w:ind w:left="562" w:right="0" w:firstLine="0"/>
      </w:pPr>
      <w:r>
        <w:t xml:space="preserve"> </w:t>
      </w:r>
    </w:p>
    <w:p w14:paraId="790122EA" w14:textId="2DF4BF9B" w:rsidR="00B56D50" w:rsidRDefault="001C3C42" w:rsidP="006044AB">
      <w:pPr>
        <w:ind w:left="1450" w:right="255"/>
      </w:pPr>
      <w:r>
        <w:t xml:space="preserve">Standard GC/MS techniques (e.g., SW-846 Method 8270D, unmodified) are not recommended for confirmation of carcinogenic PAHs due to insufficient sensitivity to achieve detection limits below risk-based human health and ecological protective levels.   However, standard GC/MS is acceptable if concentrations of preliminarily identified target analytes are sufficiently high (e.g., &gt; 660 </w:t>
      </w:r>
      <w:r w:rsidR="00B240DA">
        <w:rPr>
          <w:rFonts w:ascii="Symbol" w:eastAsia="Symbol" w:hAnsi="Symbol" w:cs="Symbol"/>
        </w:rPr>
        <w:sym w:font="Symbol" w:char="F06D"/>
      </w:r>
      <w:r>
        <w:t xml:space="preserve">g/kg in solid matrices). </w:t>
      </w:r>
    </w:p>
    <w:p w14:paraId="3BA57028" w14:textId="77777777" w:rsidR="00B56D50" w:rsidRDefault="001C3C42">
      <w:pPr>
        <w:spacing w:after="0" w:line="259" w:lineRule="auto"/>
        <w:ind w:left="562" w:right="0" w:firstLine="0"/>
      </w:pPr>
      <w:r>
        <w:t xml:space="preserve"> </w:t>
      </w:r>
    </w:p>
    <w:p w14:paraId="54CC7FD4" w14:textId="77777777" w:rsidR="00B56D50" w:rsidRDefault="001C3C42" w:rsidP="006044AB">
      <w:pPr>
        <w:ind w:left="1450" w:right="255"/>
      </w:pPr>
      <w:r>
        <w:t xml:space="preserve">When confirmation is made by a second analysis, that analysis must meet </w:t>
      </w:r>
      <w:proofErr w:type="gramStart"/>
      <w:r>
        <w:t>all of</w:t>
      </w:r>
      <w:proofErr w:type="gramEnd"/>
      <w:r>
        <w:t xml:space="preserve"> the QC criteria required for the first analysis.  The confirmation results must be reported. </w:t>
      </w:r>
    </w:p>
    <w:p w14:paraId="4450C4ED" w14:textId="77777777" w:rsidR="00B56D50" w:rsidRDefault="001C3C42">
      <w:pPr>
        <w:spacing w:after="0" w:line="259" w:lineRule="auto"/>
        <w:ind w:left="562" w:right="0" w:firstLine="0"/>
      </w:pPr>
      <w:r>
        <w:t xml:space="preserve"> </w:t>
      </w:r>
    </w:p>
    <w:p w14:paraId="699F9AED" w14:textId="267E1B6E" w:rsidR="00B56D50" w:rsidRPr="006044AB" w:rsidRDefault="001C3C42" w:rsidP="00093377">
      <w:pPr>
        <w:numPr>
          <w:ilvl w:val="0"/>
          <w:numId w:val="108"/>
        </w:numPr>
        <w:spacing w:after="16"/>
        <w:ind w:left="1440" w:right="186" w:hanging="360"/>
        <w:rPr>
          <w:b/>
          <w:bCs/>
        </w:rPr>
      </w:pPr>
      <w:r w:rsidRPr="006044AB">
        <w:rPr>
          <w:b/>
          <w:bCs/>
        </w:rPr>
        <w:t xml:space="preserve">Laboratory Control Sample </w:t>
      </w:r>
    </w:p>
    <w:p w14:paraId="2B076658" w14:textId="69949619" w:rsidR="00B56D50" w:rsidRDefault="001C3C42" w:rsidP="006044AB">
      <w:pPr>
        <w:ind w:left="1450" w:right="255"/>
      </w:pPr>
      <w:r>
        <w:t xml:space="preserve">The Contractor shall include a Laboratory Control Sample (LCS) with each analytical batch (Table </w:t>
      </w:r>
      <w:r w:rsidR="00323A1F">
        <w:t>38</w:t>
      </w:r>
      <w:r>
        <w:t xml:space="preserve">).  When the results of the matrix spike analysis indicate a potential problem due to the sample matrix itself, the LCS results are used to verify that the Contractor can perform the analysis in an organic free matrix.  LCS percent recoveries must be reported. </w:t>
      </w:r>
    </w:p>
    <w:p w14:paraId="24E42D9F" w14:textId="0D0FE2BF" w:rsidR="00B56D50" w:rsidRDefault="001C3C42">
      <w:pPr>
        <w:spacing w:after="0" w:line="259" w:lineRule="auto"/>
        <w:ind w:left="562" w:right="0" w:firstLine="0"/>
      </w:pPr>
      <w:r>
        <w:lastRenderedPageBreak/>
        <w:t xml:space="preserve">  </w:t>
      </w:r>
    </w:p>
    <w:p w14:paraId="60B6F7EA" w14:textId="044F2576" w:rsidR="00B56D50" w:rsidRDefault="001C3C42">
      <w:pPr>
        <w:pStyle w:val="Heading5"/>
        <w:ind w:left="1024" w:right="809"/>
      </w:pPr>
      <w:r>
        <w:t xml:space="preserve">TABLE </w:t>
      </w:r>
      <w:r w:rsidR="00323A1F">
        <w:t>38</w:t>
      </w:r>
      <w:r>
        <w:t xml:space="preserve"> </w:t>
      </w:r>
    </w:p>
    <w:p w14:paraId="6651ACF7" w14:textId="77777777" w:rsidR="00B56D50" w:rsidRDefault="001C3C42" w:rsidP="005C59C9">
      <w:pPr>
        <w:pStyle w:val="Heading6"/>
        <w:ind w:left="1440" w:right="186"/>
      </w:pPr>
      <w:r>
        <w:t xml:space="preserve">      Required Laboratory Control Sample %R Criteria for Organic Analysis </w:t>
      </w:r>
    </w:p>
    <w:p w14:paraId="66655B37" w14:textId="77777777" w:rsidR="00B56D50" w:rsidRDefault="001C3C42">
      <w:pPr>
        <w:spacing w:after="0" w:line="259" w:lineRule="auto"/>
        <w:ind w:left="0" w:right="512" w:firstLine="0"/>
        <w:jc w:val="center"/>
      </w:pPr>
      <w:r>
        <w:t xml:space="preserve"> </w:t>
      </w:r>
    </w:p>
    <w:tbl>
      <w:tblPr>
        <w:tblStyle w:val="TableGrid1"/>
        <w:tblW w:w="7533" w:type="dxa"/>
        <w:tblInd w:w="1515" w:type="dxa"/>
        <w:tblCellMar>
          <w:top w:w="24" w:type="dxa"/>
          <w:left w:w="166" w:type="dxa"/>
          <w:right w:w="113" w:type="dxa"/>
        </w:tblCellMar>
        <w:tblLook w:val="04A0" w:firstRow="1" w:lastRow="0" w:firstColumn="1" w:lastColumn="0" w:noHBand="0" w:noVBand="1"/>
      </w:tblPr>
      <w:tblGrid>
        <w:gridCol w:w="3124"/>
        <w:gridCol w:w="1980"/>
        <w:gridCol w:w="2429"/>
      </w:tblGrid>
      <w:tr w:rsidR="00B56D50" w14:paraId="3D2EAF03" w14:textId="77777777" w:rsidTr="005C59C9">
        <w:trPr>
          <w:trHeight w:val="344"/>
        </w:trPr>
        <w:tc>
          <w:tcPr>
            <w:tcW w:w="3124" w:type="dxa"/>
            <w:tcBorders>
              <w:top w:val="single" w:sz="12" w:space="0" w:color="000000"/>
              <w:left w:val="single" w:sz="12" w:space="0" w:color="000000"/>
              <w:bottom w:val="single" w:sz="12" w:space="0" w:color="000000"/>
              <w:right w:val="single" w:sz="12" w:space="0" w:color="000000"/>
            </w:tcBorders>
            <w:vAlign w:val="center"/>
          </w:tcPr>
          <w:p w14:paraId="596944DD" w14:textId="37B32A63" w:rsidR="00B56D50" w:rsidRDefault="001C3C42" w:rsidP="00323A1F">
            <w:pPr>
              <w:spacing w:after="0" w:line="259" w:lineRule="auto"/>
              <w:ind w:left="0" w:right="57" w:firstLine="0"/>
              <w:jc w:val="center"/>
            </w:pPr>
            <w:r>
              <w:rPr>
                <w:b/>
              </w:rPr>
              <w:t>Matrix:</w:t>
            </w:r>
          </w:p>
        </w:tc>
        <w:tc>
          <w:tcPr>
            <w:tcW w:w="1980" w:type="dxa"/>
            <w:tcBorders>
              <w:top w:val="single" w:sz="12" w:space="0" w:color="000000"/>
              <w:left w:val="single" w:sz="12" w:space="0" w:color="000000"/>
              <w:bottom w:val="single" w:sz="12" w:space="0" w:color="000000"/>
              <w:right w:val="single" w:sz="12" w:space="0" w:color="000000"/>
            </w:tcBorders>
            <w:vAlign w:val="center"/>
          </w:tcPr>
          <w:p w14:paraId="3683C41A" w14:textId="6F6DEC08" w:rsidR="00B56D50" w:rsidRDefault="001C3C42" w:rsidP="00323A1F">
            <w:pPr>
              <w:spacing w:after="0" w:line="259" w:lineRule="auto"/>
              <w:ind w:left="0" w:right="56" w:firstLine="0"/>
              <w:jc w:val="center"/>
            </w:pPr>
            <w:r>
              <w:rPr>
                <w:b/>
              </w:rPr>
              <w:t>Water</w:t>
            </w:r>
          </w:p>
        </w:tc>
        <w:tc>
          <w:tcPr>
            <w:tcW w:w="2429" w:type="dxa"/>
            <w:tcBorders>
              <w:top w:val="single" w:sz="12" w:space="0" w:color="000000"/>
              <w:left w:val="single" w:sz="12" w:space="0" w:color="000000"/>
              <w:bottom w:val="single" w:sz="12" w:space="0" w:color="000000"/>
              <w:right w:val="single" w:sz="12" w:space="0" w:color="000000"/>
            </w:tcBorders>
            <w:vAlign w:val="center"/>
          </w:tcPr>
          <w:p w14:paraId="7806EFE9" w14:textId="6704E777" w:rsidR="00B56D50" w:rsidRDefault="001C3C42" w:rsidP="00650757">
            <w:pPr>
              <w:spacing w:after="0" w:line="259" w:lineRule="auto"/>
              <w:ind w:left="0" w:right="0" w:firstLine="0"/>
              <w:jc w:val="center"/>
            </w:pPr>
            <w:r>
              <w:rPr>
                <w:b/>
              </w:rPr>
              <w:t>Soil &amp; Other Matrices</w:t>
            </w:r>
          </w:p>
        </w:tc>
      </w:tr>
      <w:tr w:rsidR="00B56D50" w14:paraId="44655913" w14:textId="77777777" w:rsidTr="005C59C9">
        <w:trPr>
          <w:trHeight w:val="599"/>
        </w:trPr>
        <w:tc>
          <w:tcPr>
            <w:tcW w:w="3124" w:type="dxa"/>
            <w:tcBorders>
              <w:top w:val="single" w:sz="12" w:space="0" w:color="000000"/>
              <w:left w:val="single" w:sz="12" w:space="0" w:color="000000"/>
              <w:bottom w:val="single" w:sz="12" w:space="0" w:color="000000"/>
              <w:right w:val="single" w:sz="12" w:space="0" w:color="000000"/>
            </w:tcBorders>
            <w:vAlign w:val="center"/>
          </w:tcPr>
          <w:p w14:paraId="42FCD92F" w14:textId="286FA1B2" w:rsidR="00B56D50" w:rsidRDefault="001C3C42" w:rsidP="00323A1F">
            <w:pPr>
              <w:spacing w:after="0" w:line="259" w:lineRule="auto"/>
              <w:ind w:left="0" w:right="53" w:firstLine="0"/>
              <w:jc w:val="center"/>
            </w:pPr>
            <w:r>
              <w:rPr>
                <w:b/>
              </w:rPr>
              <w:t>Compound</w:t>
            </w:r>
          </w:p>
        </w:tc>
        <w:tc>
          <w:tcPr>
            <w:tcW w:w="1980" w:type="dxa"/>
            <w:tcBorders>
              <w:top w:val="single" w:sz="12" w:space="0" w:color="000000"/>
              <w:left w:val="single" w:sz="12" w:space="0" w:color="000000"/>
              <w:bottom w:val="single" w:sz="12" w:space="0" w:color="000000"/>
              <w:right w:val="single" w:sz="12" w:space="0" w:color="000000"/>
            </w:tcBorders>
            <w:vAlign w:val="center"/>
          </w:tcPr>
          <w:p w14:paraId="7924CAC5" w14:textId="5D9AFE55" w:rsidR="00B56D50" w:rsidRDefault="001C3C42" w:rsidP="00323A1F">
            <w:pPr>
              <w:spacing w:after="0" w:line="259" w:lineRule="auto"/>
              <w:ind w:left="59" w:right="59" w:firstLine="0"/>
              <w:jc w:val="center"/>
            </w:pPr>
            <w:r>
              <w:rPr>
                <w:b/>
              </w:rPr>
              <w:t>LCS %Recovery</w:t>
            </w:r>
          </w:p>
        </w:tc>
        <w:tc>
          <w:tcPr>
            <w:tcW w:w="2429" w:type="dxa"/>
            <w:tcBorders>
              <w:top w:val="single" w:sz="12" w:space="0" w:color="000000"/>
              <w:left w:val="single" w:sz="12" w:space="0" w:color="000000"/>
              <w:bottom w:val="single" w:sz="12" w:space="0" w:color="000000"/>
              <w:right w:val="single" w:sz="12" w:space="0" w:color="000000"/>
            </w:tcBorders>
            <w:vAlign w:val="center"/>
          </w:tcPr>
          <w:p w14:paraId="1383DA96" w14:textId="1E1BE676" w:rsidR="00B56D50" w:rsidRDefault="001C3C42" w:rsidP="00323A1F">
            <w:pPr>
              <w:spacing w:after="0" w:line="259" w:lineRule="auto"/>
              <w:ind w:left="282" w:right="285" w:firstLine="0"/>
              <w:jc w:val="center"/>
            </w:pPr>
            <w:r>
              <w:rPr>
                <w:b/>
              </w:rPr>
              <w:t>LCS %Recovery</w:t>
            </w:r>
          </w:p>
        </w:tc>
      </w:tr>
      <w:tr w:rsidR="00B56D50" w14:paraId="19E9EA18" w14:textId="77777777" w:rsidTr="005C59C9">
        <w:trPr>
          <w:trHeight w:val="576"/>
        </w:trPr>
        <w:tc>
          <w:tcPr>
            <w:tcW w:w="3124" w:type="dxa"/>
            <w:tcBorders>
              <w:top w:val="single" w:sz="12" w:space="0" w:color="000000"/>
              <w:left w:val="single" w:sz="12" w:space="0" w:color="000000"/>
              <w:bottom w:val="single" w:sz="12" w:space="0" w:color="000000"/>
              <w:right w:val="single" w:sz="12" w:space="0" w:color="000000"/>
            </w:tcBorders>
            <w:vAlign w:val="center"/>
          </w:tcPr>
          <w:p w14:paraId="7F170AA9" w14:textId="410502AD" w:rsidR="00B56D50" w:rsidRDefault="001C3C42" w:rsidP="00650757">
            <w:pPr>
              <w:spacing w:after="0" w:line="259" w:lineRule="auto"/>
              <w:ind w:left="0" w:right="59" w:firstLine="0"/>
              <w:jc w:val="center"/>
            </w:pPr>
            <w:r>
              <w:t>A</w:t>
            </w:r>
            <w:r>
              <w:rPr>
                <w:sz w:val="18"/>
              </w:rPr>
              <w:t xml:space="preserve">LL </w:t>
            </w:r>
            <w:r>
              <w:t>T</w:t>
            </w:r>
            <w:r>
              <w:rPr>
                <w:sz w:val="18"/>
              </w:rPr>
              <w:t xml:space="preserve">ARGET </w:t>
            </w:r>
            <w:r>
              <w:t>A</w:t>
            </w:r>
            <w:r>
              <w:rPr>
                <w:sz w:val="18"/>
              </w:rPr>
              <w:t>NALYTES</w:t>
            </w:r>
          </w:p>
        </w:tc>
        <w:tc>
          <w:tcPr>
            <w:tcW w:w="1980" w:type="dxa"/>
            <w:tcBorders>
              <w:top w:val="single" w:sz="12" w:space="0" w:color="000000"/>
              <w:left w:val="single" w:sz="12" w:space="0" w:color="000000"/>
              <w:bottom w:val="single" w:sz="12" w:space="0" w:color="000000"/>
              <w:right w:val="single" w:sz="12" w:space="0" w:color="000000"/>
            </w:tcBorders>
            <w:vAlign w:val="center"/>
          </w:tcPr>
          <w:p w14:paraId="3200F0A7" w14:textId="78446C61" w:rsidR="00B56D50" w:rsidRDefault="001C3C42" w:rsidP="00650757">
            <w:pPr>
              <w:spacing w:after="0" w:line="259" w:lineRule="auto"/>
              <w:ind w:left="0" w:right="58" w:firstLine="0"/>
              <w:jc w:val="center"/>
            </w:pPr>
            <w:r>
              <w:t>70-130</w:t>
            </w:r>
          </w:p>
        </w:tc>
        <w:tc>
          <w:tcPr>
            <w:tcW w:w="2429" w:type="dxa"/>
            <w:tcBorders>
              <w:top w:val="single" w:sz="12" w:space="0" w:color="000000"/>
              <w:left w:val="single" w:sz="12" w:space="0" w:color="000000"/>
              <w:bottom w:val="single" w:sz="12" w:space="0" w:color="000000"/>
              <w:right w:val="single" w:sz="12" w:space="0" w:color="000000"/>
            </w:tcBorders>
            <w:vAlign w:val="center"/>
          </w:tcPr>
          <w:p w14:paraId="691D08DD" w14:textId="73FEB4A7" w:rsidR="00B56D50" w:rsidRDefault="001C3C42" w:rsidP="00650757">
            <w:pPr>
              <w:spacing w:after="0" w:line="259" w:lineRule="auto"/>
              <w:ind w:left="0" w:right="61" w:firstLine="0"/>
              <w:jc w:val="center"/>
            </w:pPr>
            <w:r>
              <w:t>60-140</w:t>
            </w:r>
          </w:p>
        </w:tc>
      </w:tr>
    </w:tbl>
    <w:p w14:paraId="3DC64C19" w14:textId="77777777" w:rsidR="00B56D50" w:rsidRDefault="001C3C42">
      <w:pPr>
        <w:spacing w:after="0" w:line="259" w:lineRule="auto"/>
        <w:ind w:left="1013" w:right="0" w:firstLine="0"/>
      </w:pPr>
      <w:r>
        <w:rPr>
          <w:b/>
        </w:rPr>
        <w:t xml:space="preserve"> </w:t>
      </w:r>
    </w:p>
    <w:p w14:paraId="08038309" w14:textId="3B8319DA" w:rsidR="00824152" w:rsidRPr="00650757" w:rsidRDefault="001C3C42" w:rsidP="00093377">
      <w:pPr>
        <w:numPr>
          <w:ilvl w:val="0"/>
          <w:numId w:val="108"/>
        </w:numPr>
        <w:spacing w:after="16"/>
        <w:ind w:left="1440" w:right="186" w:hanging="360"/>
        <w:rPr>
          <w:b/>
          <w:bCs/>
        </w:rPr>
      </w:pPr>
      <w:r w:rsidRPr="00650757">
        <w:rPr>
          <w:b/>
          <w:bCs/>
        </w:rPr>
        <w:t>Corrective Action for Organic Analysis by HPLC</w:t>
      </w:r>
    </w:p>
    <w:p w14:paraId="32E2ED59" w14:textId="04B3E89C" w:rsidR="0050314F" w:rsidRDefault="0050314F" w:rsidP="00650757">
      <w:pPr>
        <w:ind w:left="1450" w:right="255"/>
      </w:pPr>
      <w:r>
        <w:t>The Contractor shall find and correct the problem whenever an analytical procedure is “out-of-control” (fails to meet control criteria); also, the analysis must be repeated (which may require re-extraction) for all affected samples.</w:t>
      </w:r>
      <w:r w:rsidRPr="002D1436">
        <w:t xml:space="preserve"> </w:t>
      </w:r>
      <w:r>
        <w:t xml:space="preserve"> Refer to the applicable </w:t>
      </w:r>
      <w:r w:rsidR="00E12105">
        <w:t>USEPA</w:t>
      </w:r>
      <w:r>
        <w:t xml:space="preserve"> Methods and the information noted above.</w:t>
      </w:r>
    </w:p>
    <w:p w14:paraId="46B84473" w14:textId="77777777" w:rsidR="0050314F" w:rsidRDefault="0050314F" w:rsidP="00650757">
      <w:pPr>
        <w:ind w:left="1450" w:right="255"/>
      </w:pPr>
      <w:r>
        <w:t xml:space="preserve">  </w:t>
      </w:r>
    </w:p>
    <w:p w14:paraId="2626D6CE" w14:textId="77777777" w:rsidR="0050314F" w:rsidRDefault="0050314F" w:rsidP="00650757">
      <w:pPr>
        <w:ind w:left="1450" w:right="255"/>
      </w:pPr>
      <w:r>
        <w:rPr>
          <w:u w:val="single" w:color="000000"/>
        </w:rPr>
        <w:t xml:space="preserve">Reanalysis </w:t>
      </w:r>
      <w:r w:rsidRPr="000423B1">
        <w:rPr>
          <w:u w:val="single" w:color="000000"/>
        </w:rPr>
        <w:t>of out-of-control samples may require that the reanalysis be performed past holding time requirements</w:t>
      </w:r>
      <w:r w:rsidRPr="00554D0C">
        <w:t>.  It is preferred that samples</w:t>
      </w:r>
      <w:r w:rsidRPr="000423B1">
        <w:t xml:space="preserve"> be analyzed or reanalyzed within holding times.  But, if that is not possible for reanalysis to be performed within holding time requirements, reanalysis may still need to be performed to meet analytical requirements.  If reanalysis is performed past the holding time, both analysis results must be reported.  The acceptance of results analyzed beyond holding time requirements must be predicated on project DQOs and threshold requirements, along with the analyst’s best judgement.  Resampling may be necessary in some cases</w:t>
      </w:r>
      <w:r>
        <w:t>.</w:t>
      </w:r>
    </w:p>
    <w:p w14:paraId="3B0B6D4F" w14:textId="77777777" w:rsidR="0050314F" w:rsidRDefault="0050314F" w:rsidP="00650757">
      <w:pPr>
        <w:spacing w:after="0" w:line="259" w:lineRule="auto"/>
        <w:ind w:left="1440" w:right="0" w:firstLine="0"/>
      </w:pPr>
    </w:p>
    <w:p w14:paraId="406D4CAF" w14:textId="77777777" w:rsidR="0050314F" w:rsidRDefault="0050314F" w:rsidP="00650757">
      <w:pPr>
        <w:spacing w:after="67"/>
        <w:ind w:left="1450" w:right="255"/>
      </w:pPr>
      <w:r>
        <w:t>When the out-of-control conditions occur, re-extraction (if applicable) and re-analysis of all affected samples must be performed.  It must be noted that for MS/MSD, matrix duplicate, and method blank failure, the affected samples would include all field samples prepared or purged with the out-of-control QC sample(s).  Report the results from both analyses, distinguishing between the initial analysis and reanalysis on all data deliverables.</w:t>
      </w:r>
    </w:p>
    <w:p w14:paraId="728C9959" w14:textId="77777777" w:rsidR="00781ABE" w:rsidRDefault="00781ABE" w:rsidP="00667991">
      <w:pPr>
        <w:spacing w:after="0" w:line="259" w:lineRule="auto"/>
        <w:ind w:left="1440" w:right="0" w:firstLine="0"/>
      </w:pPr>
    </w:p>
    <w:p w14:paraId="7B1C215D" w14:textId="77777777" w:rsidR="00667991" w:rsidRDefault="00077458" w:rsidP="00667991">
      <w:pPr>
        <w:spacing w:after="0" w:line="259" w:lineRule="auto"/>
        <w:ind w:left="1440" w:right="0" w:firstLine="0"/>
      </w:pPr>
      <w:r>
        <w:t xml:space="preserve">If QC results from the re-extraction and reanalysis are also outside the acceptance limits, but the analysis of a laboratory control sample demonstrates that the method is in control, then the problem is related to sample matrix and analytical requirements will be considered met.  (See SW-846, Method 8000.)  If re-extraction and reanalysis of the sample </w:t>
      </w:r>
      <w:proofErr w:type="gramStart"/>
      <w:r>
        <w:t>does</w:t>
      </w:r>
      <w:proofErr w:type="gramEnd"/>
      <w:r>
        <w:t xml:space="preserve"> not solve the problem, and the laboratory control sample results are also outside of acceptance limits, instrument maintenance may be required.  Major maintenance (such as changing a column) requires returning to the initial calibration step.</w:t>
      </w:r>
    </w:p>
    <w:p w14:paraId="0D8C220B" w14:textId="77777777" w:rsidR="00667991" w:rsidRDefault="00667991" w:rsidP="00667991">
      <w:pPr>
        <w:spacing w:after="0" w:line="259" w:lineRule="auto"/>
        <w:ind w:left="1440" w:right="0" w:firstLine="0"/>
      </w:pPr>
    </w:p>
    <w:p w14:paraId="6633ABB5" w14:textId="2DA1125A" w:rsidR="00B56D50" w:rsidRDefault="00077458" w:rsidP="00667991">
      <w:pPr>
        <w:spacing w:after="0" w:line="259" w:lineRule="auto"/>
        <w:ind w:left="1440" w:right="0" w:firstLine="0"/>
      </w:pPr>
      <w:r w:rsidRPr="00360CD3">
        <w:t>Whenever a quality control sample indicates a biased high result (e.g., high matrix spike recovery) and the sample results are all below detection limit for all target compounds, then reanalysis is not required.  However, the Contractor must make every effort to correct the problem for future analysis.  The RPD requirement must be met on the matrix spike duplicate even if matrix spike is biased high</w:t>
      </w:r>
    </w:p>
    <w:p w14:paraId="755DCC78" w14:textId="2A7A1566" w:rsidR="00E975F5" w:rsidRDefault="00E975F5">
      <w:pPr>
        <w:spacing w:after="0" w:line="259" w:lineRule="auto"/>
        <w:ind w:left="562" w:right="0" w:firstLine="0"/>
        <w:rPr>
          <w:rFonts w:ascii="Arial" w:eastAsia="Arial" w:hAnsi="Arial" w:cs="Arial"/>
        </w:rPr>
      </w:pPr>
    </w:p>
    <w:p w14:paraId="6C7147B3" w14:textId="72B8BB57" w:rsidR="00B56D50" w:rsidRDefault="00B26AC1" w:rsidP="002304B1">
      <w:pPr>
        <w:spacing w:after="0" w:line="259" w:lineRule="auto"/>
        <w:ind w:left="0" w:right="0" w:firstLine="0"/>
      </w:pPr>
      <w:r>
        <w:rPr>
          <w:rFonts w:ascii="Calibri" w:eastAsia="Calibri" w:hAnsi="Calibri" w:cs="Calibri"/>
          <w:noProof/>
        </w:rPr>
        <w:lastRenderedPageBreak/>
        <mc:AlternateContent>
          <mc:Choice Requires="wpg">
            <w:drawing>
              <wp:inline distT="0" distB="0" distL="0" distR="0" wp14:anchorId="33F7E27B" wp14:editId="20513499">
                <wp:extent cx="6400800" cy="45719"/>
                <wp:effectExtent l="0" t="0" r="0" b="12065"/>
                <wp:docPr id="19" name="Group 19"/>
                <wp:cNvGraphicFramePr/>
                <a:graphic xmlns:a="http://schemas.openxmlformats.org/drawingml/2006/main">
                  <a:graphicData uri="http://schemas.microsoft.com/office/word/2010/wordprocessingGroup">
                    <wpg:wgp>
                      <wpg:cNvGrpSpPr/>
                      <wpg:grpSpPr>
                        <a:xfrm rot="10800000">
                          <a:off x="0" y="0"/>
                          <a:ext cx="6400800" cy="45719"/>
                          <a:chOff x="0" y="0"/>
                          <a:chExt cx="6217920" cy="57150"/>
                        </a:xfrm>
                      </wpg:grpSpPr>
                      <wps:wsp>
                        <wps:cNvPr id="20" name="Shape 899793"/>
                        <wps:cNvSpPr/>
                        <wps:spPr>
                          <a:xfrm>
                            <a:off x="0" y="22860"/>
                            <a:ext cx="6217920" cy="34290"/>
                          </a:xfrm>
                          <a:custGeom>
                            <a:avLst/>
                            <a:gdLst/>
                            <a:ahLst/>
                            <a:cxnLst/>
                            <a:rect l="0" t="0" r="0" b="0"/>
                            <a:pathLst>
                              <a:path w="6217920" h="34290">
                                <a:moveTo>
                                  <a:pt x="0" y="0"/>
                                </a:moveTo>
                                <a:lnTo>
                                  <a:pt x="6217920" y="0"/>
                                </a:lnTo>
                                <a:lnTo>
                                  <a:pt x="6217920" y="34290"/>
                                </a:lnTo>
                                <a:lnTo>
                                  <a:pt x="0" y="3429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 name="Shape 899794"/>
                        <wps:cNvSpPr/>
                        <wps:spPr>
                          <a:xfrm>
                            <a:off x="0" y="0"/>
                            <a:ext cx="6217920" cy="11430"/>
                          </a:xfrm>
                          <a:custGeom>
                            <a:avLst/>
                            <a:gdLst/>
                            <a:ahLst/>
                            <a:cxnLst/>
                            <a:rect l="0" t="0" r="0" b="0"/>
                            <a:pathLst>
                              <a:path w="6217920" h="11430">
                                <a:moveTo>
                                  <a:pt x="0" y="0"/>
                                </a:moveTo>
                                <a:lnTo>
                                  <a:pt x="6217920" y="0"/>
                                </a:lnTo>
                                <a:lnTo>
                                  <a:pt x="6217920" y="11430"/>
                                </a:lnTo>
                                <a:lnTo>
                                  <a:pt x="0" y="114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505F9671" id="Group 19" o:spid="_x0000_s1026" style="width:7in;height:3.6pt;rotation:180;mso-position-horizontal-relative:char;mso-position-vertical-relative:line" coordsize="62179,5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">
                <v:shape id="Shape 899793" o:spid="_x0000_s1027" style="position:absolute;top:228;width:62179;height:343;visibility:visible;mso-wrap-style:square;v-text-anchor:top" coordsize="6217920,34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" path="m,l6217920,r,34290l,34290,,e" fillcolor="black" stroked="f" strokeweight="0">
                  <v:stroke miterlimit="83231f" joinstyle="miter"/>
                  <v:path arrowok="t" textboxrect="0,0,6217920,34290"/>
                </v:shape>
                <v:shape id="Shape 899794" o:spid="_x0000_s1028" style="position:absolute;width:62179;height:114;visibility:visible;mso-wrap-style:square;v-text-anchor:top" coordsize="6217920,114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" path="m,l6217920,r,11430l,11430,,e" fillcolor="black" stroked="f" strokeweight="0">
                  <v:stroke miterlimit="83231f" joinstyle="miter"/>
                  <v:path arrowok="t" textboxrect="0,0,6217920,11430"/>
                </v:shape>
                <w10:anchorlock/>
              </v:group>
            </w:pict>
          </mc:Fallback>
        </mc:AlternateContent>
      </w:r>
    </w:p>
    <w:p w14:paraId="50D89024" w14:textId="3E3BAB1C" w:rsidR="00B56D50" w:rsidRDefault="001C3C42" w:rsidP="004F6912">
      <w:pPr>
        <w:spacing w:after="0" w:line="259" w:lineRule="auto"/>
        <w:ind w:left="-90" w:right="0" w:firstLine="0"/>
      </w:pPr>
      <w:r>
        <w:rPr>
          <w:rFonts w:ascii="Arial" w:eastAsia="Arial" w:hAnsi="Arial" w:cs="Arial"/>
        </w:rPr>
        <w:t xml:space="preserve"> </w:t>
      </w:r>
    </w:p>
    <w:p w14:paraId="29F79232" w14:textId="24549A23" w:rsidR="00FF5DB3" w:rsidRPr="00463F0A" w:rsidRDefault="00FF5DB3" w:rsidP="002304B1">
      <w:pPr>
        <w:spacing w:after="0" w:line="259" w:lineRule="auto"/>
        <w:ind w:left="0" w:right="-128" w:firstLine="0"/>
        <w:jc w:val="center"/>
        <w:rPr>
          <w:sz w:val="24"/>
          <w:szCs w:val="24"/>
        </w:rPr>
      </w:pPr>
      <w:r w:rsidRPr="00463F0A">
        <w:rPr>
          <w:b/>
          <w:sz w:val="24"/>
          <w:szCs w:val="24"/>
        </w:rPr>
        <w:t>XI</w:t>
      </w:r>
      <w:r w:rsidR="00CD2CAC" w:rsidRPr="00463F0A">
        <w:rPr>
          <w:b/>
          <w:sz w:val="24"/>
          <w:szCs w:val="24"/>
        </w:rPr>
        <w:t>I</w:t>
      </w:r>
      <w:r w:rsidRPr="00463F0A">
        <w:rPr>
          <w:b/>
          <w:sz w:val="24"/>
          <w:szCs w:val="24"/>
        </w:rPr>
        <w:t>I.</w:t>
      </w:r>
      <w:r w:rsidRPr="006F30E7">
        <w:rPr>
          <w:b/>
          <w:sz w:val="24"/>
          <w:szCs w:val="24"/>
        </w:rPr>
        <w:t xml:space="preserve"> USEPA DRINKING WATER </w:t>
      </w:r>
      <w:r w:rsidR="00F944D0" w:rsidRPr="00F944D0">
        <w:rPr>
          <w:b/>
          <w:sz w:val="24"/>
          <w:szCs w:val="24"/>
        </w:rPr>
        <w:t>ANALYTICAL AND QA/QC REQUIREMENTS</w:t>
      </w:r>
    </w:p>
    <w:p w14:paraId="0233D89C" w14:textId="53FB3DF7" w:rsidR="009F30A4" w:rsidRDefault="006F6E9C" w:rsidP="009F30A4">
      <w:pPr>
        <w:pStyle w:val="Heading4"/>
        <w:spacing w:after="10" w:line="249" w:lineRule="auto"/>
        <w:ind w:left="-5"/>
      </w:pPr>
      <w:r>
        <w:rPr>
          <w:rFonts w:ascii="Calibri" w:eastAsia="Calibri" w:hAnsi="Calibri" w:cs="Calibri"/>
          <w:noProof/>
        </w:rPr>
        <mc:AlternateContent>
          <mc:Choice Requires="wpg">
            <w:drawing>
              <wp:inline distT="0" distB="0" distL="0" distR="0" wp14:anchorId="6884FE2D" wp14:editId="0803E27A">
                <wp:extent cx="6400800" cy="45719"/>
                <wp:effectExtent l="0" t="0" r="0" b="5715"/>
                <wp:docPr id="10" name="Group 10"/>
                <wp:cNvGraphicFramePr/>
                <a:graphic xmlns:a="http://schemas.openxmlformats.org/drawingml/2006/main">
                  <a:graphicData uri="http://schemas.microsoft.com/office/word/2010/wordprocessingGroup">
                    <wpg:wgp>
                      <wpg:cNvGrpSpPr/>
                      <wpg:grpSpPr>
                        <a:xfrm>
                          <a:off x="0" y="0"/>
                          <a:ext cx="6400800" cy="45719"/>
                          <a:chOff x="0" y="0"/>
                          <a:chExt cx="6217920" cy="57150"/>
                        </a:xfrm>
                      </wpg:grpSpPr>
                      <wps:wsp>
                        <wps:cNvPr id="11" name="Shape 899793"/>
                        <wps:cNvSpPr/>
                        <wps:spPr>
                          <a:xfrm>
                            <a:off x="0" y="22860"/>
                            <a:ext cx="6217920" cy="34290"/>
                          </a:xfrm>
                          <a:custGeom>
                            <a:avLst/>
                            <a:gdLst/>
                            <a:ahLst/>
                            <a:cxnLst/>
                            <a:rect l="0" t="0" r="0" b="0"/>
                            <a:pathLst>
                              <a:path w="6217920" h="34290">
                                <a:moveTo>
                                  <a:pt x="0" y="0"/>
                                </a:moveTo>
                                <a:lnTo>
                                  <a:pt x="6217920" y="0"/>
                                </a:lnTo>
                                <a:lnTo>
                                  <a:pt x="6217920" y="34290"/>
                                </a:lnTo>
                                <a:lnTo>
                                  <a:pt x="0" y="3429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 name="Shape 899794"/>
                        <wps:cNvSpPr/>
                        <wps:spPr>
                          <a:xfrm>
                            <a:off x="0" y="0"/>
                            <a:ext cx="6217920" cy="11430"/>
                          </a:xfrm>
                          <a:custGeom>
                            <a:avLst/>
                            <a:gdLst/>
                            <a:ahLst/>
                            <a:cxnLst/>
                            <a:rect l="0" t="0" r="0" b="0"/>
                            <a:pathLst>
                              <a:path w="6217920" h="11430">
                                <a:moveTo>
                                  <a:pt x="0" y="0"/>
                                </a:moveTo>
                                <a:lnTo>
                                  <a:pt x="6217920" y="0"/>
                                </a:lnTo>
                                <a:lnTo>
                                  <a:pt x="6217920" y="11430"/>
                                </a:lnTo>
                                <a:lnTo>
                                  <a:pt x="0" y="114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rto="http://schemas.microsoft.com/office/word/2006/arto">
            <w:pict>
              <v:group w14:anchorId="1577318D" id="Group 10" o:spid="_x0000_s1026" style="width:7in;height:3.6pt;mso-position-horizontal-relative:char;mso-position-vertical-relative:line" coordsize="62179,5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">
                <v:shape id="Shape 899793" o:spid="_x0000_s1027" style="position:absolute;top:228;width:62179;height:343;visibility:visible;mso-wrap-style:square;v-text-anchor:top" coordsize="6217920,34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" path="m,l6217920,r,34290l,34290,,e" fillcolor="black" stroked="f" strokeweight="0">
                  <v:stroke miterlimit="83231f" joinstyle="miter"/>
                  <v:path arrowok="t" textboxrect="0,0,6217920,34290"/>
                </v:shape>
                <v:shape id="Shape 899794" o:spid="_x0000_s1028" style="position:absolute;width:62179;height:114;visibility:visible;mso-wrap-style:square;v-text-anchor:top" coordsize="6217920,114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" path="m,l6217920,r,11430l,11430,,e" fillcolor="black" stroked="f" strokeweight="0">
                  <v:stroke miterlimit="83231f" joinstyle="miter"/>
                  <v:path arrowok="t" textboxrect="0,0,6217920,11430"/>
                </v:shape>
                <w10:anchorlock/>
              </v:group>
            </w:pict>
          </mc:Fallback>
        </mc:AlternateContent>
      </w:r>
    </w:p>
    <w:p w14:paraId="47AC2339" w14:textId="47633232" w:rsidR="007B5264" w:rsidRDefault="009F30A4" w:rsidP="000057E1">
      <w:pPr>
        <w:spacing w:after="19" w:line="238" w:lineRule="auto"/>
        <w:ind w:left="0" w:right="-128" w:firstLine="0"/>
      </w:pPr>
      <w:r>
        <w:rPr>
          <w:b/>
        </w:rPr>
        <w:t xml:space="preserve"> </w:t>
      </w:r>
      <w:r>
        <w:rPr>
          <w:rFonts w:ascii="Arial" w:eastAsia="Arial" w:hAnsi="Arial" w:cs="Arial"/>
        </w:rPr>
        <w:t xml:space="preserve"> </w:t>
      </w:r>
      <w:r>
        <w:rPr>
          <w:rFonts w:ascii="Arial" w:eastAsia="Arial" w:hAnsi="Arial" w:cs="Arial"/>
          <w:sz w:val="24"/>
        </w:rPr>
        <w:t xml:space="preserve"> </w:t>
      </w:r>
    </w:p>
    <w:p w14:paraId="31D02669" w14:textId="478642CF" w:rsidR="007B5264" w:rsidRDefault="007B5264" w:rsidP="00AA6B4C">
      <w:pPr>
        <w:pStyle w:val="Heading5"/>
        <w:spacing w:after="16" w:line="247" w:lineRule="auto"/>
        <w:ind w:left="1080" w:right="186" w:hanging="360"/>
        <w:jc w:val="left"/>
      </w:pPr>
      <w:r w:rsidRPr="00CB3D37">
        <w:t>A.</w:t>
      </w:r>
      <w:r>
        <w:rPr>
          <w:rFonts w:ascii="Arial" w:eastAsia="Arial" w:hAnsi="Arial" w:cs="Arial"/>
        </w:rPr>
        <w:t xml:space="preserve"> </w:t>
      </w:r>
      <w:r>
        <w:t xml:space="preserve">ORGANIC ANALYSIS  </w:t>
      </w:r>
    </w:p>
    <w:p w14:paraId="195E68C8" w14:textId="2231FFF2" w:rsidR="007B5264" w:rsidRDefault="007B5264" w:rsidP="007B5264">
      <w:pPr>
        <w:spacing w:after="0" w:line="259" w:lineRule="auto"/>
        <w:ind w:left="1080" w:right="0" w:firstLine="0"/>
      </w:pPr>
    </w:p>
    <w:p w14:paraId="74E5EF1C" w14:textId="77777777" w:rsidR="00D74748" w:rsidRDefault="00D74748" w:rsidP="002F4CF5">
      <w:pPr>
        <w:numPr>
          <w:ilvl w:val="0"/>
          <w:numId w:val="115"/>
        </w:numPr>
        <w:spacing w:after="16"/>
        <w:ind w:left="1440" w:right="186" w:hanging="360"/>
      </w:pPr>
      <w:r>
        <w:rPr>
          <w:b/>
        </w:rPr>
        <w:t xml:space="preserve">Holding Times and Preservatives </w:t>
      </w:r>
    </w:p>
    <w:p w14:paraId="3412F14B" w14:textId="77777777" w:rsidR="00D74748" w:rsidRDefault="00D74748" w:rsidP="00D74748">
      <w:pPr>
        <w:ind w:left="1450" w:right="255"/>
      </w:pPr>
      <w:r>
        <w:t>The Contractor shall adhere to the holding times and preservative techniques specified in TABLE 1, Sample Containers, Preservatives, and Holding Time Requirements in Section IV, based on sample characteristics.</w:t>
      </w:r>
    </w:p>
    <w:p w14:paraId="5AE560C5" w14:textId="7D187AD9" w:rsidR="00B56D50" w:rsidRDefault="00D74748" w:rsidP="00304390">
      <w:pPr>
        <w:spacing w:after="0" w:line="259" w:lineRule="auto"/>
        <w:ind w:right="0"/>
      </w:pPr>
      <w:r>
        <w:t xml:space="preserve"> </w:t>
      </w:r>
      <w:r w:rsidR="009F30A4">
        <w:rPr>
          <w:rFonts w:ascii="Arial" w:eastAsia="Arial" w:hAnsi="Arial" w:cs="Arial"/>
          <w:b/>
        </w:rPr>
        <w:t xml:space="preserve"> </w:t>
      </w:r>
    </w:p>
    <w:p w14:paraId="2CBE5A75" w14:textId="77777777" w:rsidR="00B56D50" w:rsidRDefault="001C3C42" w:rsidP="00632C19">
      <w:pPr>
        <w:ind w:left="1090" w:right="399"/>
      </w:pPr>
      <w:r>
        <w:t xml:space="preserve">The Contractor shall follow the same general guidance as is listed under the SW-846 Protocol, </w:t>
      </w:r>
      <w:r>
        <w:rPr>
          <w:b/>
          <w:u w:val="single" w:color="000000"/>
        </w:rPr>
        <w:t>except</w:t>
      </w:r>
      <w:r>
        <w:rPr>
          <w:b/>
        </w:rPr>
        <w:t xml:space="preserve">: </w:t>
      </w:r>
    </w:p>
    <w:p w14:paraId="1DA0FBC5" w14:textId="77777777" w:rsidR="00B56D50" w:rsidRDefault="001C3C42">
      <w:pPr>
        <w:spacing w:after="0" w:line="259" w:lineRule="auto"/>
        <w:ind w:left="833" w:right="0" w:firstLine="0"/>
      </w:pPr>
      <w:r>
        <w:rPr>
          <w:b/>
        </w:rPr>
        <w:t xml:space="preserve"> </w:t>
      </w:r>
    </w:p>
    <w:p w14:paraId="43E7700F" w14:textId="53FBA87E" w:rsidR="00B56D50" w:rsidRDefault="001C3C42" w:rsidP="002F4CF5">
      <w:pPr>
        <w:numPr>
          <w:ilvl w:val="0"/>
          <w:numId w:val="115"/>
        </w:numPr>
        <w:ind w:left="1440" w:right="259" w:hanging="360"/>
      </w:pPr>
      <w:r>
        <w:t>Make the following substitutions in terminology:</w:t>
      </w:r>
    </w:p>
    <w:p w14:paraId="6F40E384" w14:textId="77777777" w:rsidR="00D17921" w:rsidRDefault="00D17921" w:rsidP="00D17921">
      <w:pPr>
        <w:ind w:right="259"/>
        <w:rPr>
          <w:b/>
        </w:rPr>
      </w:pPr>
    </w:p>
    <w:p w14:paraId="2370D2AF" w14:textId="2D0EC219" w:rsidR="00D17921" w:rsidRPr="00FC59B9" w:rsidRDefault="00D17921" w:rsidP="000A4F12">
      <w:pPr>
        <w:ind w:right="259"/>
        <w:jc w:val="center"/>
        <w:rPr>
          <w:b/>
        </w:rPr>
      </w:pPr>
      <w:r w:rsidRPr="00FC59B9">
        <w:rPr>
          <w:b/>
        </w:rPr>
        <w:t>TABLE 39</w:t>
      </w:r>
    </w:p>
    <w:p w14:paraId="20C2D1D5" w14:textId="5EC049F0" w:rsidR="00B56D50" w:rsidRDefault="004A097A" w:rsidP="000A4F12">
      <w:pPr>
        <w:spacing w:after="0" w:line="259" w:lineRule="auto"/>
        <w:ind w:left="0" w:right="0" w:firstLine="0"/>
        <w:jc w:val="center"/>
      </w:pPr>
      <w:r w:rsidRPr="00FC59B9">
        <w:rPr>
          <w:b/>
        </w:rPr>
        <w:t xml:space="preserve">Terminology </w:t>
      </w:r>
      <w:r w:rsidRPr="00FC59B9">
        <w:rPr>
          <w:b/>
          <w:bCs/>
        </w:rPr>
        <w:t>Substit</w:t>
      </w:r>
      <w:r w:rsidR="007C233F" w:rsidRPr="00FC59B9">
        <w:rPr>
          <w:b/>
          <w:bCs/>
        </w:rPr>
        <w:t>ution</w:t>
      </w:r>
    </w:p>
    <w:p w14:paraId="03E63EA3" w14:textId="77777777" w:rsidR="00CE2845" w:rsidRDefault="00CE2845">
      <w:pPr>
        <w:spacing w:after="0" w:line="259" w:lineRule="auto"/>
        <w:ind w:left="833" w:right="0" w:firstLine="0"/>
      </w:pPr>
    </w:p>
    <w:tbl>
      <w:tblPr>
        <w:tblStyle w:val="TableGrid1"/>
        <w:tblW w:w="9172" w:type="dxa"/>
        <w:tblInd w:w="833" w:type="dxa"/>
        <w:tblCellMar>
          <w:top w:w="50" w:type="dxa"/>
          <w:left w:w="108" w:type="dxa"/>
          <w:right w:w="115" w:type="dxa"/>
        </w:tblCellMar>
        <w:tblLook w:val="04A0" w:firstRow="1" w:lastRow="0" w:firstColumn="1" w:lastColumn="0" w:noHBand="0" w:noVBand="1"/>
      </w:tblPr>
      <w:tblGrid>
        <w:gridCol w:w="4661"/>
        <w:gridCol w:w="4511"/>
      </w:tblGrid>
      <w:tr w:rsidR="00B56D50" w14:paraId="7F36B13B" w14:textId="77777777" w:rsidTr="00EA3212">
        <w:trPr>
          <w:trHeight w:val="313"/>
        </w:trPr>
        <w:tc>
          <w:tcPr>
            <w:tcW w:w="4661" w:type="dxa"/>
            <w:tcBorders>
              <w:top w:val="single" w:sz="17" w:space="0" w:color="000000"/>
              <w:left w:val="single" w:sz="17" w:space="0" w:color="000000"/>
              <w:bottom w:val="single" w:sz="17" w:space="0" w:color="000000"/>
              <w:right w:val="single" w:sz="12" w:space="0" w:color="000000"/>
            </w:tcBorders>
            <w:vAlign w:val="center"/>
          </w:tcPr>
          <w:p w14:paraId="6CF89ECF" w14:textId="77777777" w:rsidR="00B56D50" w:rsidRDefault="001C3C42">
            <w:pPr>
              <w:spacing w:after="0" w:line="259" w:lineRule="auto"/>
              <w:ind w:left="0" w:right="0" w:firstLine="0"/>
            </w:pPr>
            <w:r>
              <w:rPr>
                <w:b/>
              </w:rPr>
              <w:t xml:space="preserve">Where SW-846 says: </w:t>
            </w:r>
          </w:p>
        </w:tc>
        <w:tc>
          <w:tcPr>
            <w:tcW w:w="4511" w:type="dxa"/>
            <w:tcBorders>
              <w:top w:val="single" w:sz="17" w:space="0" w:color="000000"/>
              <w:left w:val="single" w:sz="12" w:space="0" w:color="000000"/>
              <w:bottom w:val="single" w:sz="17" w:space="0" w:color="000000"/>
              <w:right w:val="single" w:sz="17" w:space="0" w:color="000000"/>
            </w:tcBorders>
            <w:vAlign w:val="center"/>
          </w:tcPr>
          <w:p w14:paraId="18F16184" w14:textId="77777777" w:rsidR="00B56D50" w:rsidRDefault="001C3C42">
            <w:pPr>
              <w:spacing w:after="0" w:line="259" w:lineRule="auto"/>
              <w:ind w:left="0" w:right="0" w:firstLine="0"/>
            </w:pPr>
            <w:r>
              <w:rPr>
                <w:b/>
              </w:rPr>
              <w:t xml:space="preserve">Replace with USEPA Office of Water term: </w:t>
            </w:r>
          </w:p>
        </w:tc>
      </w:tr>
      <w:tr w:rsidR="00B56D50" w14:paraId="0066721A" w14:textId="77777777" w:rsidTr="00EA3212">
        <w:trPr>
          <w:trHeight w:val="259"/>
        </w:trPr>
        <w:tc>
          <w:tcPr>
            <w:tcW w:w="4661" w:type="dxa"/>
            <w:tcBorders>
              <w:top w:val="single" w:sz="17" w:space="0" w:color="000000"/>
              <w:left w:val="single" w:sz="17" w:space="0" w:color="000000"/>
              <w:bottom w:val="single" w:sz="4" w:space="0" w:color="000000"/>
              <w:right w:val="single" w:sz="12" w:space="0" w:color="000000"/>
            </w:tcBorders>
          </w:tcPr>
          <w:p w14:paraId="703A320C" w14:textId="77777777" w:rsidR="00B56D50" w:rsidRDefault="001C3C42">
            <w:pPr>
              <w:spacing w:after="0" w:line="259" w:lineRule="auto"/>
              <w:ind w:left="0" w:right="0" w:firstLine="0"/>
            </w:pPr>
            <w:r>
              <w:t xml:space="preserve">Method Blank </w:t>
            </w:r>
          </w:p>
        </w:tc>
        <w:tc>
          <w:tcPr>
            <w:tcW w:w="4511" w:type="dxa"/>
            <w:tcBorders>
              <w:top w:val="single" w:sz="17" w:space="0" w:color="000000"/>
              <w:left w:val="single" w:sz="12" w:space="0" w:color="000000"/>
              <w:bottom w:val="single" w:sz="4" w:space="0" w:color="000000"/>
              <w:right w:val="single" w:sz="17" w:space="0" w:color="000000"/>
            </w:tcBorders>
          </w:tcPr>
          <w:p w14:paraId="039EDBE4" w14:textId="77777777" w:rsidR="00B56D50" w:rsidRDefault="001C3C42">
            <w:pPr>
              <w:spacing w:after="0" w:line="259" w:lineRule="auto"/>
              <w:ind w:left="0" w:right="0" w:firstLine="0"/>
            </w:pPr>
            <w:r>
              <w:t xml:space="preserve">Laboratory Reagent Blank (LRB) </w:t>
            </w:r>
          </w:p>
        </w:tc>
      </w:tr>
      <w:tr w:rsidR="00B56D50" w14:paraId="6FF0698F" w14:textId="77777777" w:rsidTr="00EA3212">
        <w:trPr>
          <w:trHeight w:val="291"/>
        </w:trPr>
        <w:tc>
          <w:tcPr>
            <w:tcW w:w="4661" w:type="dxa"/>
            <w:tcBorders>
              <w:top w:val="single" w:sz="4" w:space="0" w:color="000000"/>
              <w:left w:val="single" w:sz="17" w:space="0" w:color="000000"/>
              <w:bottom w:val="single" w:sz="4" w:space="0" w:color="000000"/>
              <w:right w:val="single" w:sz="12" w:space="0" w:color="000000"/>
            </w:tcBorders>
          </w:tcPr>
          <w:p w14:paraId="753412BA" w14:textId="77777777" w:rsidR="00B56D50" w:rsidRDefault="001C3C42">
            <w:pPr>
              <w:spacing w:after="0" w:line="259" w:lineRule="auto"/>
              <w:ind w:left="0" w:right="0" w:firstLine="0"/>
            </w:pPr>
            <w:r>
              <w:t xml:space="preserve">Laboratory Control Sample (LCS) </w:t>
            </w:r>
          </w:p>
        </w:tc>
        <w:tc>
          <w:tcPr>
            <w:tcW w:w="4511" w:type="dxa"/>
            <w:tcBorders>
              <w:top w:val="single" w:sz="4" w:space="0" w:color="000000"/>
              <w:left w:val="single" w:sz="12" w:space="0" w:color="000000"/>
              <w:bottom w:val="single" w:sz="4" w:space="0" w:color="000000"/>
              <w:right w:val="single" w:sz="17" w:space="0" w:color="000000"/>
            </w:tcBorders>
          </w:tcPr>
          <w:p w14:paraId="69BF6E1E" w14:textId="77777777" w:rsidR="00B56D50" w:rsidRDefault="001C3C42">
            <w:pPr>
              <w:spacing w:after="0" w:line="259" w:lineRule="auto"/>
              <w:ind w:left="0" w:right="0" w:firstLine="0"/>
            </w:pPr>
            <w:r>
              <w:t xml:space="preserve">Laboratory Fortified Blank (LFB) </w:t>
            </w:r>
          </w:p>
        </w:tc>
      </w:tr>
      <w:tr w:rsidR="00B56D50" w14:paraId="21E195F6" w14:textId="77777777" w:rsidTr="00EA3212">
        <w:trPr>
          <w:trHeight w:val="300"/>
        </w:trPr>
        <w:tc>
          <w:tcPr>
            <w:tcW w:w="4661" w:type="dxa"/>
            <w:tcBorders>
              <w:top w:val="single" w:sz="4" w:space="0" w:color="000000"/>
              <w:left w:val="single" w:sz="17" w:space="0" w:color="000000"/>
              <w:bottom w:val="single" w:sz="4" w:space="0" w:color="000000"/>
              <w:right w:val="single" w:sz="12" w:space="0" w:color="000000"/>
            </w:tcBorders>
          </w:tcPr>
          <w:p w14:paraId="750E8C08" w14:textId="77777777" w:rsidR="00B56D50" w:rsidRDefault="001C3C42">
            <w:pPr>
              <w:spacing w:after="0" w:line="259" w:lineRule="auto"/>
              <w:ind w:left="0" w:right="0" w:firstLine="0"/>
            </w:pPr>
            <w:r>
              <w:t xml:space="preserve">Matrix Spike </w:t>
            </w:r>
          </w:p>
        </w:tc>
        <w:tc>
          <w:tcPr>
            <w:tcW w:w="4511" w:type="dxa"/>
            <w:tcBorders>
              <w:top w:val="single" w:sz="4" w:space="0" w:color="000000"/>
              <w:left w:val="single" w:sz="12" w:space="0" w:color="000000"/>
              <w:bottom w:val="single" w:sz="4" w:space="0" w:color="000000"/>
              <w:right w:val="single" w:sz="17" w:space="0" w:color="000000"/>
            </w:tcBorders>
          </w:tcPr>
          <w:p w14:paraId="4A1EFD20" w14:textId="77777777" w:rsidR="00B56D50" w:rsidRDefault="001C3C42">
            <w:pPr>
              <w:spacing w:after="0" w:line="259" w:lineRule="auto"/>
              <w:ind w:left="0" w:right="0" w:firstLine="0"/>
            </w:pPr>
            <w:r>
              <w:t xml:space="preserve">Laboratory Fortified Sample Matrix (LFM) </w:t>
            </w:r>
          </w:p>
        </w:tc>
      </w:tr>
      <w:tr w:rsidR="00B56D50" w14:paraId="00C65035" w14:textId="77777777" w:rsidTr="00EA3212">
        <w:trPr>
          <w:trHeight w:val="300"/>
        </w:trPr>
        <w:tc>
          <w:tcPr>
            <w:tcW w:w="4661" w:type="dxa"/>
            <w:tcBorders>
              <w:top w:val="single" w:sz="4" w:space="0" w:color="000000"/>
              <w:left w:val="single" w:sz="17" w:space="0" w:color="000000"/>
              <w:bottom w:val="single" w:sz="17" w:space="0" w:color="000000"/>
              <w:right w:val="single" w:sz="12" w:space="0" w:color="000000"/>
            </w:tcBorders>
          </w:tcPr>
          <w:p w14:paraId="6642AFF8" w14:textId="77777777" w:rsidR="00B56D50" w:rsidRDefault="001C3C42">
            <w:pPr>
              <w:spacing w:after="0" w:line="259" w:lineRule="auto"/>
              <w:ind w:left="0" w:right="0" w:firstLine="0"/>
            </w:pPr>
            <w:r>
              <w:t xml:space="preserve">Quantitation Limit, PQL, or Reporting Limit </w:t>
            </w:r>
          </w:p>
        </w:tc>
        <w:tc>
          <w:tcPr>
            <w:tcW w:w="4511" w:type="dxa"/>
            <w:tcBorders>
              <w:top w:val="single" w:sz="4" w:space="0" w:color="000000"/>
              <w:left w:val="single" w:sz="12" w:space="0" w:color="000000"/>
              <w:bottom w:val="single" w:sz="17" w:space="0" w:color="000000"/>
              <w:right w:val="single" w:sz="17" w:space="0" w:color="000000"/>
            </w:tcBorders>
          </w:tcPr>
          <w:p w14:paraId="2765A060" w14:textId="77777777" w:rsidR="00B56D50" w:rsidRDefault="001C3C42">
            <w:pPr>
              <w:spacing w:after="0" w:line="259" w:lineRule="auto"/>
              <w:ind w:left="0" w:right="0" w:firstLine="0"/>
            </w:pPr>
            <w:r>
              <w:t xml:space="preserve">Method Detection Limit (MDL) </w:t>
            </w:r>
          </w:p>
        </w:tc>
      </w:tr>
    </w:tbl>
    <w:p w14:paraId="33A05FD2" w14:textId="463EFEE7" w:rsidR="00B56D50" w:rsidRDefault="00B56D50" w:rsidP="005B7831">
      <w:pPr>
        <w:spacing w:after="0" w:line="259" w:lineRule="auto"/>
        <w:ind w:right="0"/>
      </w:pPr>
    </w:p>
    <w:p w14:paraId="2A88BCC7" w14:textId="418D2955" w:rsidR="00B56D50" w:rsidRDefault="001C3C42" w:rsidP="002F4CF5">
      <w:pPr>
        <w:numPr>
          <w:ilvl w:val="0"/>
          <w:numId w:val="115"/>
        </w:numPr>
        <w:ind w:left="1440" w:right="323" w:hanging="360"/>
      </w:pPr>
      <w:r>
        <w:t>Use any numerical control criteria provided in the Office of Water analytical methods instead of the recommended criteria supplied in the TABLES in these Technical Specifications</w:t>
      </w:r>
      <w:r w:rsidR="00A72622">
        <w:t xml:space="preserve"> or in </w:t>
      </w:r>
      <w:r w:rsidR="004B04FB">
        <w:t>comparable SW-846 Methods</w:t>
      </w:r>
      <w:r>
        <w:t>.  E.g.</w:t>
      </w:r>
      <w:proofErr w:type="gramStart"/>
      <w:r>
        <w:t>:  Substitute</w:t>
      </w:r>
      <w:proofErr w:type="gramEnd"/>
      <w:r>
        <w:t xml:space="preserve"> the tuning criteria in TABLE 3 of Method 524.2, Revision 4.1, for the tuning criteria in </w:t>
      </w:r>
      <w:r w:rsidR="004B04FB">
        <w:t>SW-</w:t>
      </w:r>
      <w:r w:rsidR="00F6655A">
        <w:t xml:space="preserve">846 Method 8260. </w:t>
      </w:r>
      <w:r w:rsidR="004A6490">
        <w:t xml:space="preserve"> </w:t>
      </w:r>
      <w:r w:rsidR="006A0BA2">
        <w:t>Substitute the tuning criteria in Table 1 of Method 525.2, Revision 1, for the tuning criteria in SW-846 Method 8270</w:t>
      </w:r>
      <w:r>
        <w:t>.</w:t>
      </w:r>
    </w:p>
    <w:p w14:paraId="5ABEEEB1" w14:textId="77777777" w:rsidR="00B56D50" w:rsidRDefault="001C3C42">
      <w:pPr>
        <w:spacing w:after="0" w:line="259" w:lineRule="auto"/>
        <w:ind w:left="922" w:right="0" w:firstLine="0"/>
      </w:pPr>
      <w:r>
        <w:rPr>
          <w:b/>
        </w:rPr>
        <w:t xml:space="preserve"> </w:t>
      </w:r>
    </w:p>
    <w:p w14:paraId="69D7D251" w14:textId="03EAB0A8" w:rsidR="00B56D50" w:rsidRDefault="001C3C42" w:rsidP="002F4CF5">
      <w:pPr>
        <w:numPr>
          <w:ilvl w:val="0"/>
          <w:numId w:val="115"/>
        </w:numPr>
        <w:spacing w:after="16"/>
        <w:ind w:left="1440" w:right="323" w:hanging="360"/>
      </w:pPr>
      <w:r>
        <w:rPr>
          <w:b/>
        </w:rPr>
        <w:t>Perform all QA/QC measures listed in the Analytical and QA/QC Requirements section of these Technical Specifications</w:t>
      </w:r>
      <w:r w:rsidR="00183FE3">
        <w:rPr>
          <w:b/>
          <w:u w:val="single" w:color="000000"/>
        </w:rPr>
        <w:t xml:space="preserve"> – </w:t>
      </w:r>
      <w:r>
        <w:rPr>
          <w:b/>
          <w:u w:val="single" w:color="000000"/>
        </w:rPr>
        <w:t>even</w:t>
      </w:r>
      <w:r w:rsidR="00183FE3">
        <w:rPr>
          <w:b/>
          <w:u w:val="single" w:color="000000"/>
        </w:rPr>
        <w:t xml:space="preserve"> </w:t>
      </w:r>
      <w:r>
        <w:rPr>
          <w:b/>
          <w:u w:val="single" w:color="000000"/>
        </w:rPr>
        <w:t>if the Office of Water Method does not explicitly</w:t>
      </w:r>
      <w:r>
        <w:rPr>
          <w:b/>
        </w:rPr>
        <w:t xml:space="preserve"> </w:t>
      </w:r>
      <w:r>
        <w:rPr>
          <w:b/>
          <w:u w:val="single" w:color="000000"/>
        </w:rPr>
        <w:t>require them</w:t>
      </w:r>
      <w:r>
        <w:rPr>
          <w:b/>
        </w:rPr>
        <w:t>.  Provide all items on the Deliverables List in these Technical Specifications for the appropriate analysis--</w:t>
      </w:r>
      <w:r>
        <w:rPr>
          <w:b/>
          <w:u w:val="single" w:color="000000"/>
        </w:rPr>
        <w:t>even if the Office of Water Method does not explicitly require</w:t>
      </w:r>
      <w:r>
        <w:rPr>
          <w:b/>
        </w:rPr>
        <w:t xml:space="preserve"> </w:t>
      </w:r>
      <w:r>
        <w:rPr>
          <w:b/>
          <w:u w:val="single" w:color="000000"/>
        </w:rPr>
        <w:t>them</w:t>
      </w:r>
      <w:r>
        <w:rPr>
          <w:b/>
        </w:rPr>
        <w:t xml:space="preserve">. </w:t>
      </w:r>
    </w:p>
    <w:p w14:paraId="17AC5B59" w14:textId="77777777" w:rsidR="00B56D50" w:rsidRDefault="001C3C42" w:rsidP="00B511CC">
      <w:pPr>
        <w:spacing w:after="0" w:line="259" w:lineRule="auto"/>
        <w:ind w:left="1080" w:right="0" w:firstLine="0"/>
      </w:pPr>
      <w:r>
        <w:rPr>
          <w:b/>
        </w:rPr>
        <w:t xml:space="preserve"> </w:t>
      </w:r>
    </w:p>
    <w:p w14:paraId="4A392AB7" w14:textId="32416741" w:rsidR="00B56D50" w:rsidRDefault="001C3C42" w:rsidP="00B511CC">
      <w:pPr>
        <w:ind w:left="1090" w:right="394"/>
      </w:pPr>
      <w:r>
        <w:rPr>
          <w:b/>
          <w:u w:val="single" w:color="000000"/>
        </w:rPr>
        <w:t>E.g</w:t>
      </w:r>
      <w:r>
        <w:t>.</w:t>
      </w:r>
      <w:proofErr w:type="gramStart"/>
      <w:r>
        <w:t>:  The</w:t>
      </w:r>
      <w:proofErr w:type="gramEnd"/>
      <w:r>
        <w:t xml:space="preserve"> Drinking Water Methods (500 series) frequently do not require a Laboratory Fortified Sample Matrix (matrix spike) unless the QC criteria for internal standards and surrogates are not met.  Run and report the matrix spike and a matrix spike duplicate in any case.  </w:t>
      </w:r>
      <w:r>
        <w:rPr>
          <w:b/>
        </w:rPr>
        <w:t xml:space="preserve">The State requires site-specific MS/MSD analysis for every batch unless sample concentrations exceed 4x the spike concentration or 1000 ppm. </w:t>
      </w:r>
    </w:p>
    <w:p w14:paraId="4527B645" w14:textId="50FE4AD3" w:rsidR="00B56D50" w:rsidRDefault="00B56D50" w:rsidP="00BF219C">
      <w:pPr>
        <w:spacing w:after="0" w:line="259" w:lineRule="auto"/>
        <w:ind w:left="272" w:right="0" w:firstLine="0"/>
      </w:pPr>
    </w:p>
    <w:p w14:paraId="16D48123" w14:textId="64F6C9E2" w:rsidR="00532D0D" w:rsidRDefault="00532D0D" w:rsidP="00532D0D">
      <w:pPr>
        <w:spacing w:after="0" w:line="259" w:lineRule="auto"/>
        <w:ind w:left="0" w:right="0" w:firstLine="0"/>
        <w:rPr>
          <w:rFonts w:ascii="Arial" w:eastAsia="Arial" w:hAnsi="Arial" w:cs="Arial"/>
          <w:b/>
          <w:sz w:val="24"/>
        </w:rPr>
      </w:pPr>
      <w:r>
        <w:rPr>
          <w:rFonts w:ascii="Calibri" w:eastAsia="Calibri" w:hAnsi="Calibri" w:cs="Calibri"/>
          <w:noProof/>
        </w:rPr>
        <w:lastRenderedPageBreak/>
        <mc:AlternateContent>
          <mc:Choice Requires="wpg">
            <w:drawing>
              <wp:inline distT="0" distB="0" distL="0" distR="0" wp14:anchorId="57A7CB8A" wp14:editId="683704D7">
                <wp:extent cx="6400800" cy="45720"/>
                <wp:effectExtent l="0" t="0" r="0" b="5080"/>
                <wp:docPr id="28" name="Group 28"/>
                <wp:cNvGraphicFramePr/>
                <a:graphic xmlns:a="http://schemas.openxmlformats.org/drawingml/2006/main">
                  <a:graphicData uri="http://schemas.microsoft.com/office/word/2010/wordprocessingGroup">
                    <wpg:wgp>
                      <wpg:cNvGrpSpPr/>
                      <wpg:grpSpPr>
                        <a:xfrm flipV="1">
                          <a:off x="0" y="0"/>
                          <a:ext cx="6400800" cy="45720"/>
                          <a:chOff x="0" y="0"/>
                          <a:chExt cx="6217920" cy="57150"/>
                        </a:xfrm>
                      </wpg:grpSpPr>
                      <wps:wsp>
                        <wps:cNvPr id="29" name="Shape 899809"/>
                        <wps:cNvSpPr/>
                        <wps:spPr>
                          <a:xfrm>
                            <a:off x="0" y="22860"/>
                            <a:ext cx="6217920" cy="34290"/>
                          </a:xfrm>
                          <a:custGeom>
                            <a:avLst/>
                            <a:gdLst/>
                            <a:ahLst/>
                            <a:cxnLst/>
                            <a:rect l="0" t="0" r="0" b="0"/>
                            <a:pathLst>
                              <a:path w="6217920" h="34290">
                                <a:moveTo>
                                  <a:pt x="0" y="0"/>
                                </a:moveTo>
                                <a:lnTo>
                                  <a:pt x="6217920" y="0"/>
                                </a:lnTo>
                                <a:lnTo>
                                  <a:pt x="6217920" y="34290"/>
                                </a:lnTo>
                                <a:lnTo>
                                  <a:pt x="0" y="3429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0" name="Shape 899810"/>
                        <wps:cNvSpPr/>
                        <wps:spPr>
                          <a:xfrm>
                            <a:off x="0" y="0"/>
                            <a:ext cx="6217920" cy="11430"/>
                          </a:xfrm>
                          <a:custGeom>
                            <a:avLst/>
                            <a:gdLst/>
                            <a:ahLst/>
                            <a:cxnLst/>
                            <a:rect l="0" t="0" r="0" b="0"/>
                            <a:pathLst>
                              <a:path w="6217920" h="11430">
                                <a:moveTo>
                                  <a:pt x="0" y="0"/>
                                </a:moveTo>
                                <a:lnTo>
                                  <a:pt x="6217920" y="0"/>
                                </a:lnTo>
                                <a:lnTo>
                                  <a:pt x="6217920" y="11430"/>
                                </a:lnTo>
                                <a:lnTo>
                                  <a:pt x="0" y="114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rto="http://schemas.microsoft.com/office/word/2006/arto">
            <w:pict>
              <v:group w14:anchorId="1BE53A74" id="Group 28" o:spid="_x0000_s1026" style="width:7in;height:3.6pt;flip:y;mso-position-horizontal-relative:char;mso-position-vertical-relative:line" coordsize="62179,5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">
                <v:shape id="Shape 899809" o:spid="_x0000_s1027" style="position:absolute;top:228;width:62179;height:343;visibility:visible;mso-wrap-style:square;v-text-anchor:top" coordsize="6217920,34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" path="m,l6217920,r,34290l,34290,,e" fillcolor="black" stroked="f" strokeweight="0">
                  <v:stroke miterlimit="83231f" joinstyle="miter"/>
                  <v:path arrowok="t" textboxrect="0,0,6217920,34290"/>
                </v:shape>
                <v:shape id="Shape 899810" o:spid="_x0000_s1028" style="position:absolute;width:62179;height:114;visibility:visible;mso-wrap-style:square;v-text-anchor:top" coordsize="6217920,114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" path="m,l6217920,r,11430l,11430,,e" fillcolor="black" stroked="f" strokeweight="0">
                  <v:stroke miterlimit="83231f" joinstyle="miter"/>
                  <v:path arrowok="t" textboxrect="0,0,6217920,11430"/>
                </v:shape>
                <w10:anchorlock/>
              </v:group>
            </w:pict>
          </mc:Fallback>
        </mc:AlternateContent>
      </w:r>
    </w:p>
    <w:p w14:paraId="6F6F07BF" w14:textId="77777777" w:rsidR="001137ED" w:rsidRPr="001137ED" w:rsidRDefault="001137ED" w:rsidP="00532D0D">
      <w:pPr>
        <w:spacing w:after="0" w:line="259" w:lineRule="auto"/>
        <w:ind w:left="0" w:right="0" w:firstLine="0"/>
        <w:rPr>
          <w:rFonts w:ascii="Arial" w:eastAsia="Arial" w:hAnsi="Arial" w:cs="Arial"/>
          <w:b/>
          <w:sz w:val="10"/>
          <w:szCs w:val="10"/>
        </w:rPr>
      </w:pPr>
    </w:p>
    <w:p w14:paraId="2B280AA1" w14:textId="25C1CDB7" w:rsidR="00532D0D" w:rsidRPr="009D34A3" w:rsidRDefault="00532D0D" w:rsidP="00532D0D">
      <w:pPr>
        <w:pStyle w:val="Heading5"/>
        <w:spacing w:after="0" w:line="259" w:lineRule="auto"/>
        <w:ind w:left="853" w:right="451"/>
      </w:pPr>
      <w:r w:rsidRPr="009D34A3">
        <w:rPr>
          <w:sz w:val="24"/>
        </w:rPr>
        <w:t xml:space="preserve">XIV. </w:t>
      </w:r>
      <w:r w:rsidRPr="001D5FC3">
        <w:t xml:space="preserve">USEPA AIR </w:t>
      </w:r>
      <w:r w:rsidR="00161BB3" w:rsidRPr="00161BB3">
        <w:t xml:space="preserve">ANALYTICAL AND QA/QC REQUIREMENTS </w:t>
      </w:r>
      <w:r w:rsidRPr="009D34A3">
        <w:t xml:space="preserve"> </w:t>
      </w:r>
    </w:p>
    <w:p w14:paraId="4B8C0DC4" w14:textId="5F713336" w:rsidR="00532D0D" w:rsidRDefault="00532D0D" w:rsidP="00532D0D">
      <w:pPr>
        <w:spacing w:after="0" w:line="259" w:lineRule="auto"/>
        <w:ind w:left="0" w:right="0" w:firstLine="0"/>
        <w:rPr>
          <w:rFonts w:ascii="Calibri" w:eastAsia="Calibri" w:hAnsi="Calibri" w:cs="Calibri"/>
          <w:noProof/>
        </w:rPr>
      </w:pPr>
      <w:r>
        <w:rPr>
          <w:rFonts w:ascii="Calibri" w:eastAsia="Calibri" w:hAnsi="Calibri" w:cs="Calibri"/>
          <w:noProof/>
        </w:rPr>
        <mc:AlternateContent>
          <mc:Choice Requires="wpg">
            <w:drawing>
              <wp:inline distT="0" distB="0" distL="0" distR="0" wp14:anchorId="18D3D276" wp14:editId="6938CB0D">
                <wp:extent cx="6400800" cy="45719"/>
                <wp:effectExtent l="0" t="0" r="0" b="5715"/>
                <wp:docPr id="31" name="Group 31"/>
                <wp:cNvGraphicFramePr/>
                <a:graphic xmlns:a="http://schemas.openxmlformats.org/drawingml/2006/main">
                  <a:graphicData uri="http://schemas.microsoft.com/office/word/2010/wordprocessingGroup">
                    <wpg:wgp>
                      <wpg:cNvGrpSpPr/>
                      <wpg:grpSpPr>
                        <a:xfrm>
                          <a:off x="0" y="0"/>
                          <a:ext cx="6400800" cy="45719"/>
                          <a:chOff x="0" y="0"/>
                          <a:chExt cx="6217920" cy="57150"/>
                        </a:xfrm>
                      </wpg:grpSpPr>
                      <wps:wsp>
                        <wps:cNvPr id="32" name="Shape 899809"/>
                        <wps:cNvSpPr/>
                        <wps:spPr>
                          <a:xfrm>
                            <a:off x="0" y="22860"/>
                            <a:ext cx="6217920" cy="34290"/>
                          </a:xfrm>
                          <a:custGeom>
                            <a:avLst/>
                            <a:gdLst/>
                            <a:ahLst/>
                            <a:cxnLst/>
                            <a:rect l="0" t="0" r="0" b="0"/>
                            <a:pathLst>
                              <a:path w="6217920" h="34290">
                                <a:moveTo>
                                  <a:pt x="0" y="0"/>
                                </a:moveTo>
                                <a:lnTo>
                                  <a:pt x="6217920" y="0"/>
                                </a:lnTo>
                                <a:lnTo>
                                  <a:pt x="6217920" y="34290"/>
                                </a:lnTo>
                                <a:lnTo>
                                  <a:pt x="0" y="3429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 name="Shape 899810"/>
                        <wps:cNvSpPr/>
                        <wps:spPr>
                          <a:xfrm>
                            <a:off x="0" y="0"/>
                            <a:ext cx="6217920" cy="11430"/>
                          </a:xfrm>
                          <a:custGeom>
                            <a:avLst/>
                            <a:gdLst/>
                            <a:ahLst/>
                            <a:cxnLst/>
                            <a:rect l="0" t="0" r="0" b="0"/>
                            <a:pathLst>
                              <a:path w="6217920" h="11430">
                                <a:moveTo>
                                  <a:pt x="0" y="0"/>
                                </a:moveTo>
                                <a:lnTo>
                                  <a:pt x="6217920" y="0"/>
                                </a:lnTo>
                                <a:lnTo>
                                  <a:pt x="6217920" y="11430"/>
                                </a:lnTo>
                                <a:lnTo>
                                  <a:pt x="0" y="114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rto="http://schemas.microsoft.com/office/word/2006/arto">
            <w:pict>
              <v:group w14:anchorId="2AE2CD6F" id="Group 31" o:spid="_x0000_s1026" style="width:7in;height:3.6pt;mso-position-horizontal-relative:char;mso-position-vertical-relative:line" coordsize="62179,5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">
                <v:shape id="Shape 899809" o:spid="_x0000_s1027" style="position:absolute;top:228;width:62179;height:343;visibility:visible;mso-wrap-style:square;v-text-anchor:top" coordsize="6217920,34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" path="m,l6217920,r,34290l,34290,,e" fillcolor="black" stroked="f" strokeweight="0">
                  <v:stroke miterlimit="83231f" joinstyle="miter"/>
                  <v:path arrowok="t" textboxrect="0,0,6217920,34290"/>
                </v:shape>
                <v:shape id="Shape 899810" o:spid="_x0000_s1028" style="position:absolute;width:62179;height:114;visibility:visible;mso-wrap-style:square;v-text-anchor:top" coordsize="6217920,114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" path="m,l6217920,r,11430l,11430,,e" fillcolor="black" stroked="f" strokeweight="0">
                  <v:stroke miterlimit="83231f" joinstyle="miter"/>
                  <v:path arrowok="t" textboxrect="0,0,6217920,11430"/>
                </v:shape>
                <w10:anchorlock/>
              </v:group>
            </w:pict>
          </mc:Fallback>
        </mc:AlternateContent>
      </w:r>
    </w:p>
    <w:p w14:paraId="6A444C2C" w14:textId="77777777" w:rsidR="00DD56C6" w:rsidRPr="00DD56C6" w:rsidRDefault="00DD56C6" w:rsidP="00DD56C6"/>
    <w:p w14:paraId="4CF7AE1C" w14:textId="5B3305F5" w:rsidR="00D11653" w:rsidRPr="001A6F83" w:rsidRDefault="00D11653" w:rsidP="00D11653">
      <w:pPr>
        <w:pStyle w:val="Heading4"/>
        <w:spacing w:after="10" w:line="249" w:lineRule="auto"/>
        <w:ind w:left="730"/>
      </w:pPr>
      <w:r>
        <w:t>A</w:t>
      </w:r>
      <w:r w:rsidRPr="000A1C21">
        <w:rPr>
          <w:rFonts w:eastAsia="Cambria"/>
          <w:bCs/>
          <w:color w:val="365F91"/>
        </w:rPr>
        <w:t xml:space="preserve">. </w:t>
      </w:r>
      <w:r w:rsidRPr="001A6F83">
        <w:t>VOLATILE ORGANIC ANALYSIS by Gas Chromatography/Mass Spectrometry</w:t>
      </w:r>
      <w:r w:rsidRPr="001A6F83">
        <w:rPr>
          <w:rFonts w:eastAsia="Cambria"/>
          <w:b w:val="0"/>
          <w:color w:val="365F91"/>
        </w:rPr>
        <w:t xml:space="preserve"> </w:t>
      </w:r>
    </w:p>
    <w:p w14:paraId="54DF3D11" w14:textId="77777777" w:rsidR="00D11653" w:rsidRPr="000A1C21" w:rsidRDefault="00D11653" w:rsidP="00D11653">
      <w:pPr>
        <w:spacing w:after="0" w:line="259" w:lineRule="auto"/>
        <w:ind w:left="261" w:right="0" w:firstLine="0"/>
      </w:pPr>
    </w:p>
    <w:p w14:paraId="1336874D" w14:textId="0C41874C" w:rsidR="00D11653" w:rsidRDefault="00D11653" w:rsidP="00D11653">
      <w:pPr>
        <w:spacing w:after="0" w:line="259" w:lineRule="auto"/>
        <w:ind w:left="720" w:right="0" w:firstLine="0"/>
      </w:pPr>
      <w:r>
        <w:t xml:space="preserve">The Contractor shall adhere to the holding times and preservative techniques specified in TABLE 1, Sample Containers, Preservatives, and Holding Time Requirements in Section </w:t>
      </w:r>
      <w:proofErr w:type="gramStart"/>
      <w:r>
        <w:t>IV,  based</w:t>
      </w:r>
      <w:proofErr w:type="gramEnd"/>
      <w:r>
        <w:t xml:space="preserve"> on sample characteristics. </w:t>
      </w:r>
    </w:p>
    <w:p w14:paraId="2DF14B72" w14:textId="77777777" w:rsidR="00D11653" w:rsidRDefault="00D11653" w:rsidP="00D11653">
      <w:pPr>
        <w:spacing w:after="0" w:line="259" w:lineRule="auto"/>
        <w:ind w:left="1116" w:right="0" w:firstLine="0"/>
      </w:pPr>
      <w:r>
        <w:t xml:space="preserve"> </w:t>
      </w:r>
    </w:p>
    <w:p w14:paraId="0CE61FE9" w14:textId="3831F386" w:rsidR="00640E0F" w:rsidRPr="00D326AF" w:rsidRDefault="006A4AB1" w:rsidP="00DD3211">
      <w:pPr>
        <w:spacing w:after="0" w:line="259" w:lineRule="auto"/>
        <w:ind w:left="720" w:right="0" w:firstLine="0"/>
        <w:rPr>
          <w:b/>
        </w:rPr>
      </w:pPr>
      <w:r w:rsidRPr="00D326AF">
        <w:rPr>
          <w:b/>
          <w:bCs/>
        </w:rPr>
        <w:t>Analytical Method TO-15</w:t>
      </w:r>
      <w:r w:rsidR="0043588E">
        <w:rPr>
          <w:b/>
          <w:bCs/>
        </w:rPr>
        <w:t>/TO-15 SIM</w:t>
      </w:r>
      <w:r w:rsidR="00542E48">
        <w:rPr>
          <w:b/>
          <w:bCs/>
        </w:rPr>
        <w:t xml:space="preserve"> – Vol</w:t>
      </w:r>
      <w:r w:rsidR="00542E48" w:rsidRPr="00746F97">
        <w:rPr>
          <w:b/>
          <w:bCs/>
        </w:rPr>
        <w:t>atile Organic Compounds (</w:t>
      </w:r>
      <w:r w:rsidR="00542E48">
        <w:rPr>
          <w:b/>
          <w:bCs/>
        </w:rPr>
        <w:t>Canister</w:t>
      </w:r>
      <w:r w:rsidR="00542E48" w:rsidRPr="00746F97">
        <w:rPr>
          <w:b/>
          <w:bCs/>
        </w:rPr>
        <w:t xml:space="preserve"> Sample Collection</w:t>
      </w:r>
      <w:r w:rsidR="00542E48">
        <w:rPr>
          <w:b/>
          <w:bCs/>
        </w:rPr>
        <w:t>)</w:t>
      </w:r>
    </w:p>
    <w:p w14:paraId="05E81D37" w14:textId="77777777" w:rsidR="00640E0F" w:rsidRDefault="00640E0F" w:rsidP="00074766">
      <w:pPr>
        <w:spacing w:after="0" w:line="259" w:lineRule="auto"/>
        <w:ind w:right="0"/>
      </w:pPr>
    </w:p>
    <w:p w14:paraId="34B58685" w14:textId="77777777" w:rsidR="00640E0F" w:rsidRPr="00713F3F" w:rsidRDefault="00640E0F" w:rsidP="00172756">
      <w:pPr>
        <w:numPr>
          <w:ilvl w:val="0"/>
          <w:numId w:val="119"/>
        </w:numPr>
        <w:spacing w:after="16"/>
        <w:ind w:left="1440" w:right="186" w:hanging="360"/>
        <w:rPr>
          <w:b/>
          <w:bCs/>
        </w:rPr>
      </w:pPr>
      <w:r w:rsidRPr="00713F3F">
        <w:rPr>
          <w:b/>
          <w:bCs/>
        </w:rPr>
        <w:t xml:space="preserve">Instrument Tuning </w:t>
      </w:r>
    </w:p>
    <w:p w14:paraId="32F6775B" w14:textId="691A6A01" w:rsidR="00640E0F" w:rsidRDefault="00640E0F" w:rsidP="00640E0F">
      <w:pPr>
        <w:ind w:left="1450" w:right="255"/>
      </w:pPr>
      <w:r>
        <w:t xml:space="preserve">The Contractor shall hardware-tune each GC/MS system for accurate mass assignment, sensitivity, and resolution using the compound specified in the analytical method.  The tuning criteria specified in the method must be </w:t>
      </w:r>
      <w:r w:rsidR="00C9250D">
        <w:t>met</w:t>
      </w:r>
      <w:r>
        <w:t xml:space="preserve"> prior to the initial calibration procedure.  Tuning must be repeated every </w:t>
      </w:r>
      <w:r w:rsidR="00CE387D">
        <w:t>24</w:t>
      </w:r>
      <w:r>
        <w:t xml:space="preserve"> hours while analysis continues. Analyses must not begin until the criteria specified in the method are met.  All subsequent standards, samples, and blanks associated with a </w:t>
      </w:r>
      <w:r w:rsidR="004C54C6">
        <w:t>tuning</w:t>
      </w:r>
      <w:r>
        <w:t xml:space="preserve"> analysis must use identical mass spectrometer instrument conditions. </w:t>
      </w:r>
    </w:p>
    <w:p w14:paraId="6DBEDAF2" w14:textId="77777777" w:rsidR="00843EAA" w:rsidRDefault="00843EAA" w:rsidP="00EC26BB">
      <w:pPr>
        <w:ind w:left="1450" w:right="255"/>
      </w:pPr>
    </w:p>
    <w:p w14:paraId="22D17888" w14:textId="77777777" w:rsidR="00EC26BB" w:rsidRPr="00713F3F" w:rsidRDefault="00EC26BB" w:rsidP="00093377">
      <w:pPr>
        <w:numPr>
          <w:ilvl w:val="0"/>
          <w:numId w:val="119"/>
        </w:numPr>
        <w:spacing w:after="16"/>
        <w:ind w:left="1440" w:right="186" w:hanging="360"/>
        <w:rPr>
          <w:b/>
          <w:bCs/>
        </w:rPr>
      </w:pPr>
      <w:r w:rsidRPr="00713F3F">
        <w:rPr>
          <w:b/>
          <w:bCs/>
        </w:rPr>
        <w:t>Initial Calibration</w:t>
      </w:r>
    </w:p>
    <w:p w14:paraId="5909CDA0" w14:textId="03078ACF" w:rsidR="00EC26BB" w:rsidRDefault="00EC26BB" w:rsidP="00EC26BB">
      <w:pPr>
        <w:ind w:left="1450" w:right="255"/>
      </w:pPr>
      <w:r>
        <w:t xml:space="preserve">The Contractor shall perform and document initial calibration for each instrument used to analyze samples.  Initial calibration of volatile organic target compounds must be performed using a minimum of 5 concentrations.  The concentration range of the calibration standards must bracket the concentrations of target compounds expected to be seen in the field samples and must be wide enough to meet the project DQOs.  </w:t>
      </w:r>
      <w:r>
        <w:rPr>
          <w:u w:val="single" w:color="000000"/>
        </w:rPr>
        <w:t>At least one standard must be at a concentration as low or lower</w:t>
      </w:r>
      <w:r>
        <w:t xml:space="preserve"> </w:t>
      </w:r>
      <w:r>
        <w:rPr>
          <w:u w:val="single" w:color="000000"/>
        </w:rPr>
        <w:t>than regulatory or</w:t>
      </w:r>
      <w:r>
        <w:t xml:space="preserve"> </w:t>
      </w:r>
      <w:r>
        <w:rPr>
          <w:u w:val="single" w:color="000000"/>
        </w:rPr>
        <w:t>health protective levels to which sample concentrations will be compared</w:t>
      </w:r>
      <w:r>
        <w:t xml:space="preserve">.  The remaining standards must correspond to the range of concentrations found in typical samples but must not exceed the working range of the GC/MS system.  </w:t>
      </w:r>
      <w:r>
        <w:rPr>
          <w:u w:val="single" w:color="000000"/>
        </w:rPr>
        <w:t>Project DQOs requiring very low</w:t>
      </w:r>
      <w:r>
        <w:t xml:space="preserve"> </w:t>
      </w:r>
      <w:r>
        <w:rPr>
          <w:u w:val="single" w:color="000000"/>
        </w:rPr>
        <w:t>detection limits</w:t>
      </w:r>
      <w:r>
        <w:t xml:space="preserve"> (e.g. risk assessment) may require specialized calibration and analytical procedures, such as preparation of lower concentration standards.</w:t>
      </w:r>
      <w:r w:rsidR="002B403C">
        <w:t xml:space="preserve">  </w:t>
      </w:r>
      <w:r w:rsidR="002B403C" w:rsidRPr="000423B1">
        <w:t xml:space="preserve">If project DQOs required </w:t>
      </w:r>
      <w:r w:rsidR="002B403C">
        <w:t xml:space="preserve">lower </w:t>
      </w:r>
      <w:r w:rsidR="002B403C" w:rsidRPr="000423B1">
        <w:t>detection limits</w:t>
      </w:r>
      <w:r w:rsidR="002B403C">
        <w:t>,</w:t>
      </w:r>
      <w:r w:rsidR="002B403C" w:rsidRPr="000423B1">
        <w:t xml:space="preserve"> it may be necessary to use selective ion monitoring (SIM)</w:t>
      </w:r>
      <w:r w:rsidR="00502AB9">
        <w:t xml:space="preserve"> per applicable method</w:t>
      </w:r>
      <w:r w:rsidR="002B403C">
        <w:t>.</w:t>
      </w:r>
    </w:p>
    <w:p w14:paraId="60733058" w14:textId="30AB37A4" w:rsidR="00EC26BB" w:rsidRDefault="00EC26BB" w:rsidP="00EC26BB">
      <w:pPr>
        <w:ind w:left="1450" w:right="255"/>
      </w:pPr>
    </w:p>
    <w:p w14:paraId="3E128DD0" w14:textId="7539A71C" w:rsidR="00EC26BB" w:rsidRPr="005F4630" w:rsidRDefault="00EC26BB" w:rsidP="00EC26BB">
      <w:pPr>
        <w:ind w:left="1450" w:right="255"/>
      </w:pPr>
      <w:r w:rsidRPr="005F4630">
        <w:t xml:space="preserve">The internal standard selected for quantitation (i.e., calculation of the </w:t>
      </w:r>
      <w:r w:rsidR="00603780">
        <w:t>relative</w:t>
      </w:r>
      <w:r w:rsidRPr="005F4630">
        <w:t xml:space="preserve"> response factor) of a particular target analyte must be the internal standard that has a retention time closest to the analyte being measured.  The target analytes must be quantitated using the base peak ion (most intense ion, also referred to as primary ion) from the appropriate internal standard.  If there are sample interferences with the primary ion, the next most intense ion must be used as the quantitation ion.  If this occurs, </w:t>
      </w:r>
      <w:r w:rsidRPr="00324020">
        <w:t xml:space="preserve">document the reasons in the </w:t>
      </w:r>
      <w:proofErr w:type="gramStart"/>
      <w:r w:rsidRPr="00324020">
        <w:t>report narrative</w:t>
      </w:r>
      <w:proofErr w:type="gramEnd"/>
      <w:r w:rsidRPr="005F4630">
        <w:t xml:space="preserve">. </w:t>
      </w:r>
    </w:p>
    <w:p w14:paraId="01C9DD12" w14:textId="77777777" w:rsidR="00640E0F" w:rsidRDefault="00640E0F" w:rsidP="00640E0F">
      <w:pPr>
        <w:spacing w:after="0" w:line="259" w:lineRule="auto"/>
        <w:ind w:left="1440" w:right="0" w:firstLine="0"/>
      </w:pPr>
    </w:p>
    <w:p w14:paraId="59C886B3" w14:textId="77777777" w:rsidR="00640E0F" w:rsidRPr="000A1C21" w:rsidRDefault="00640E0F" w:rsidP="00093377">
      <w:pPr>
        <w:pStyle w:val="ListParagraph"/>
        <w:numPr>
          <w:ilvl w:val="0"/>
          <w:numId w:val="121"/>
        </w:numPr>
        <w:ind w:left="1800" w:right="255"/>
        <w:rPr>
          <w:b/>
          <w:bCs/>
        </w:rPr>
      </w:pPr>
      <w:r w:rsidRPr="000A1C21">
        <w:rPr>
          <w:b/>
          <w:bCs/>
        </w:rPr>
        <w:t xml:space="preserve">Validation of Initial Calibration </w:t>
      </w:r>
    </w:p>
    <w:p w14:paraId="7CE466DA" w14:textId="77777777" w:rsidR="00640E0F" w:rsidRDefault="00640E0F" w:rsidP="00640E0F">
      <w:pPr>
        <w:ind w:left="1810" w:right="255"/>
      </w:pPr>
      <w:r>
        <w:t>A system performance check must be made and documented for the initial calibration to be considered valid.  The following criteria must be met:</w:t>
      </w:r>
    </w:p>
    <w:p w14:paraId="0A525220" w14:textId="3D419541" w:rsidR="00640E0F" w:rsidRPr="00081D14" w:rsidRDefault="00640E0F" w:rsidP="00EC26BB">
      <w:pPr>
        <w:spacing w:after="0" w:line="259" w:lineRule="auto"/>
        <w:ind w:left="2252" w:right="255" w:firstLine="0"/>
        <w:rPr>
          <w:iCs/>
        </w:rPr>
      </w:pPr>
    </w:p>
    <w:p w14:paraId="7F840F5F" w14:textId="774D0C65" w:rsidR="00EC26BB" w:rsidRPr="004D7742" w:rsidRDefault="00EC26BB" w:rsidP="00E723E7">
      <w:pPr>
        <w:numPr>
          <w:ilvl w:val="0"/>
          <w:numId w:val="120"/>
        </w:numPr>
        <w:spacing w:after="0" w:line="259" w:lineRule="auto"/>
        <w:ind w:left="2160" w:right="255" w:hanging="360"/>
      </w:pPr>
      <w:r>
        <w:lastRenderedPageBreak/>
        <w:t xml:space="preserve">The relative standard deviation (RSD) of the </w:t>
      </w:r>
      <w:r w:rsidR="00421347">
        <w:t>re</w:t>
      </w:r>
      <w:r w:rsidR="00615BC3">
        <w:t xml:space="preserve">lative </w:t>
      </w:r>
      <w:r>
        <w:t xml:space="preserve">response factors for each individual volatile </w:t>
      </w:r>
      <w:r w:rsidR="0021599A">
        <w:t>target analyte</w:t>
      </w:r>
      <w:r>
        <w:t xml:space="preserve"> must be less than or equal to 30%.  The purpose of the CCCs is to evaluate the calibration from the standpoint of the integrity of the system</w:t>
      </w:r>
      <w:r w:rsidR="00614BDC">
        <w:t xml:space="preserve"> unless</w:t>
      </w:r>
      <w:r>
        <w:t xml:space="preserve"> analytical method allows a higher RSD.</w:t>
      </w:r>
      <w:r w:rsidRPr="00FF1B45">
        <w:rPr>
          <w:b/>
          <w:bCs/>
        </w:rPr>
        <w:t xml:space="preserve"> </w:t>
      </w:r>
    </w:p>
    <w:p w14:paraId="084EBD21" w14:textId="77777777" w:rsidR="00EC26BB" w:rsidRPr="004D7742" w:rsidRDefault="00EC26BB" w:rsidP="00EC26BB">
      <w:pPr>
        <w:spacing w:after="0" w:line="259" w:lineRule="auto"/>
        <w:ind w:left="716" w:right="255"/>
      </w:pPr>
    </w:p>
    <w:p w14:paraId="4FBA5A27" w14:textId="726C0E46" w:rsidR="00EC26BB" w:rsidRDefault="00EC26BB" w:rsidP="005E062E">
      <w:pPr>
        <w:numPr>
          <w:ilvl w:val="0"/>
          <w:numId w:val="120"/>
        </w:numPr>
        <w:spacing w:after="0" w:line="259" w:lineRule="auto"/>
        <w:ind w:left="2160" w:right="255" w:hanging="360"/>
      </w:pPr>
      <w:r>
        <w:t xml:space="preserve">Retention times must be evaluated for all target analytes.  The relative retention times of each target analyte in each calibration standard must agree within </w:t>
      </w:r>
      <w:r w:rsidR="00950788">
        <w:rPr>
          <w:rFonts w:ascii="Symbol" w:eastAsia="Symbol" w:hAnsi="Symbol" w:cs="Symbol"/>
        </w:rPr>
        <w:t>±</w:t>
      </w:r>
      <w:r w:rsidR="00950788">
        <w:t xml:space="preserve"> </w:t>
      </w:r>
      <w:r>
        <w:t>0.06 relative retention time units.</w:t>
      </w:r>
    </w:p>
    <w:p w14:paraId="3B2168BA" w14:textId="77777777" w:rsidR="00640E0F" w:rsidRDefault="00640E0F" w:rsidP="00640E0F">
      <w:pPr>
        <w:pStyle w:val="ListParagraph"/>
      </w:pPr>
    </w:p>
    <w:p w14:paraId="0BBB8A41" w14:textId="77777777" w:rsidR="00640E0F" w:rsidRDefault="00640E0F" w:rsidP="005E062E">
      <w:pPr>
        <w:numPr>
          <w:ilvl w:val="0"/>
          <w:numId w:val="120"/>
        </w:numPr>
        <w:spacing w:after="0" w:line="259" w:lineRule="auto"/>
        <w:ind w:left="2160" w:right="255" w:hanging="360"/>
      </w:pPr>
      <w:r>
        <w:t>GC performance must be indicated on the total ion chromatogram.  Good column performance will produce symmetrical peaks with minimum tailing for most compounds.  If peaks are unusually broad, or if there is poor resolution between peaks, corrective action is required before analysis can begin.</w:t>
      </w:r>
    </w:p>
    <w:p w14:paraId="34B39B8F" w14:textId="77777777" w:rsidR="00640E0F" w:rsidRDefault="00640E0F" w:rsidP="00640E0F">
      <w:pPr>
        <w:pStyle w:val="ListParagraph"/>
      </w:pPr>
    </w:p>
    <w:p w14:paraId="69637C69" w14:textId="77777777" w:rsidR="00640E0F" w:rsidRPr="004D7742" w:rsidRDefault="00640E0F" w:rsidP="005E062E">
      <w:pPr>
        <w:numPr>
          <w:ilvl w:val="0"/>
          <w:numId w:val="120"/>
        </w:numPr>
        <w:spacing w:after="0" w:line="259" w:lineRule="auto"/>
        <w:ind w:left="2160" w:right="255" w:hanging="360"/>
      </w:pPr>
      <w:r>
        <w:t>Adequate MS sensitivity must be demonstrated by the calibration data generated.  The GC/MS identification software must be able to recognize a GC peak in the appropriate retention time window for each of the compounds in the calibration solution and make good tentative identifications.  If fewer than 99% of the compounds are recognized, system maintenance is required.</w:t>
      </w:r>
    </w:p>
    <w:p w14:paraId="67C1CB38" w14:textId="77777777" w:rsidR="00640E0F" w:rsidRDefault="00640E0F" w:rsidP="00232AAE">
      <w:pPr>
        <w:pStyle w:val="ListParagraph"/>
      </w:pPr>
    </w:p>
    <w:p w14:paraId="33734243" w14:textId="47D520C4" w:rsidR="009E1A2C" w:rsidRDefault="009E1A2C" w:rsidP="00093377">
      <w:pPr>
        <w:numPr>
          <w:ilvl w:val="0"/>
          <w:numId w:val="120"/>
        </w:numPr>
        <w:spacing w:after="0" w:line="259" w:lineRule="auto"/>
        <w:ind w:left="2251" w:right="255" w:hanging="451"/>
      </w:pPr>
      <w:r w:rsidRPr="00615766">
        <w:t>The retention time shift for each of the internal standards at each calibration level must be within 2</w:t>
      </w:r>
      <w:r w:rsidR="00B53E61">
        <w:t>0</w:t>
      </w:r>
      <w:r w:rsidRPr="00615766">
        <w:t xml:space="preserve"> s</w:t>
      </w:r>
      <w:r w:rsidR="00E605A8" w:rsidRPr="00615766">
        <w:t>econds</w:t>
      </w:r>
      <w:r w:rsidRPr="00615766">
        <w:t xml:space="preserve"> of the mean retention time over the initial calibration range for each internal standard.</w:t>
      </w:r>
    </w:p>
    <w:p w14:paraId="599F0E47" w14:textId="77777777" w:rsidR="0023324A" w:rsidRDefault="0023324A" w:rsidP="0025044C">
      <w:pPr>
        <w:pStyle w:val="ListParagraph"/>
      </w:pPr>
    </w:p>
    <w:p w14:paraId="2CF96E95" w14:textId="2F6F1FC4" w:rsidR="00496C8D" w:rsidRPr="0025044C" w:rsidRDefault="0023324A" w:rsidP="00093377">
      <w:pPr>
        <w:pStyle w:val="ListParagraph"/>
        <w:numPr>
          <w:ilvl w:val="0"/>
          <w:numId w:val="121"/>
        </w:numPr>
        <w:ind w:left="1800" w:right="255"/>
        <w:rPr>
          <w:rFonts w:eastAsia="Arial"/>
          <w:b/>
          <w:bCs/>
        </w:rPr>
      </w:pPr>
      <w:r w:rsidRPr="0025044C">
        <w:rPr>
          <w:rFonts w:eastAsia="Arial"/>
          <w:b/>
          <w:bCs/>
        </w:rPr>
        <w:t>Frequency of Initial Calibration</w:t>
      </w:r>
    </w:p>
    <w:p w14:paraId="0DBA5A52" w14:textId="5A026B42" w:rsidR="0023324A" w:rsidRDefault="0023324A" w:rsidP="002B0A43">
      <w:pPr>
        <w:spacing w:after="0" w:line="259" w:lineRule="auto"/>
        <w:ind w:left="1810" w:right="255"/>
        <w:rPr>
          <w:rFonts w:eastAsia="Arial"/>
        </w:rPr>
      </w:pPr>
      <w:r w:rsidRPr="00463EC4">
        <w:rPr>
          <w:rFonts w:eastAsiaTheme="minorEastAsia"/>
        </w:rPr>
        <w:t xml:space="preserve">Before sample </w:t>
      </w:r>
      <w:proofErr w:type="gramStart"/>
      <w:r w:rsidRPr="00463EC4">
        <w:rPr>
          <w:rFonts w:eastAsiaTheme="minorEastAsia"/>
        </w:rPr>
        <w:t>analysis;</w:t>
      </w:r>
      <w:proofErr w:type="gramEnd"/>
      <w:r w:rsidRPr="00463EC4">
        <w:rPr>
          <w:rFonts w:eastAsiaTheme="minorEastAsia"/>
        </w:rPr>
        <w:t xml:space="preserve"> following failed BFB tune check (as applicable), failed IS criteria, or failed CCV criteria; or when changes/maintenance to the instrument affect calibration response</w:t>
      </w:r>
      <w:r>
        <w:rPr>
          <w:rFonts w:eastAsiaTheme="minorEastAsia"/>
        </w:rPr>
        <w:t>.</w:t>
      </w:r>
    </w:p>
    <w:p w14:paraId="2B982893" w14:textId="77777777" w:rsidR="00640E0F" w:rsidRDefault="00640E0F" w:rsidP="00640E0F">
      <w:pPr>
        <w:rPr>
          <w:rFonts w:eastAsia="Arial"/>
        </w:rPr>
      </w:pPr>
    </w:p>
    <w:p w14:paraId="25214FCA" w14:textId="77777777" w:rsidR="00640E0F" w:rsidRPr="00F731DC" w:rsidRDefault="00640E0F" w:rsidP="00B96129">
      <w:pPr>
        <w:numPr>
          <w:ilvl w:val="0"/>
          <w:numId w:val="119"/>
        </w:numPr>
        <w:spacing w:after="16"/>
        <w:ind w:left="1440" w:right="186" w:hanging="360"/>
        <w:rPr>
          <w:b/>
          <w:bCs/>
        </w:rPr>
      </w:pPr>
      <w:r w:rsidRPr="00F731DC">
        <w:rPr>
          <w:b/>
          <w:bCs/>
        </w:rPr>
        <w:t xml:space="preserve">Calibration Verification </w:t>
      </w:r>
    </w:p>
    <w:p w14:paraId="09FEBC1F" w14:textId="5D70769A" w:rsidR="00640E0F" w:rsidRDefault="00640E0F" w:rsidP="00640E0F">
      <w:pPr>
        <w:ind w:left="1450" w:right="255"/>
      </w:pPr>
      <w:r>
        <w:t xml:space="preserve">The Contractor shall verify the calibration relationship established during the initial calibration at periodic intervals.  Calibration verification consists of the following three steps that must be performed at the beginning of each </w:t>
      </w:r>
      <w:r w:rsidR="006C5248">
        <w:t>24-hour</w:t>
      </w:r>
      <w:r w:rsidR="00EC26BB">
        <w:t xml:space="preserve"> analytical shift.  </w:t>
      </w:r>
      <w:r>
        <w:t xml:space="preserve">A minimum of one calibration verification </w:t>
      </w:r>
      <w:r w:rsidR="003F4667">
        <w:t>should</w:t>
      </w:r>
      <w:r w:rsidR="00EC26BB">
        <w:t xml:space="preserve"> be </w:t>
      </w:r>
      <w:r>
        <w:t xml:space="preserve">reported </w:t>
      </w:r>
      <w:r w:rsidR="00021BBF">
        <w:t>after</w:t>
      </w:r>
      <w:r w:rsidR="00EC26BB">
        <w:t xml:space="preserve"> </w:t>
      </w:r>
      <w:r w:rsidR="00021BBF">
        <w:t xml:space="preserve">every </w:t>
      </w:r>
      <w:r>
        <w:t>sample set</w:t>
      </w:r>
      <w:r w:rsidR="00021BBF">
        <w:t xml:space="preserve"> of 10 samples</w:t>
      </w:r>
      <w:r>
        <w:t xml:space="preserve">, even if the set is completed in fewer than </w:t>
      </w:r>
      <w:r w:rsidR="000F6E71">
        <w:t>24</w:t>
      </w:r>
      <w:r w:rsidR="00EC26BB">
        <w:t xml:space="preserve"> hours of analysis time.</w:t>
      </w:r>
      <w:r>
        <w:t xml:space="preserve">  The calibration verification steps include: </w:t>
      </w:r>
    </w:p>
    <w:p w14:paraId="0C83AC89" w14:textId="77777777" w:rsidR="00640E0F" w:rsidRPr="00745DB0" w:rsidRDefault="00640E0F" w:rsidP="00640E0F">
      <w:pPr>
        <w:ind w:left="0" w:firstLine="0"/>
      </w:pPr>
    </w:p>
    <w:p w14:paraId="327EAAE2" w14:textId="77777777" w:rsidR="00640E0F" w:rsidRDefault="00640E0F" w:rsidP="00B96129">
      <w:pPr>
        <w:numPr>
          <w:ilvl w:val="0"/>
          <w:numId w:val="123"/>
        </w:numPr>
        <w:ind w:right="255" w:hanging="360"/>
      </w:pPr>
      <w:r>
        <w:t>BFB is analyzed and results compared to the criteria in the method to verify mass calibration and tuning.  The criteria must be met prior to further analysis.</w:t>
      </w:r>
      <w:r>
        <w:rPr>
          <w:b/>
        </w:rPr>
        <w:t xml:space="preserve"> </w:t>
      </w:r>
    </w:p>
    <w:p w14:paraId="406E72E6" w14:textId="77777777" w:rsidR="00640E0F" w:rsidRDefault="00640E0F" w:rsidP="00640E0F">
      <w:pPr>
        <w:spacing w:after="0" w:line="259" w:lineRule="auto"/>
        <w:ind w:left="540" w:right="0" w:firstLine="0"/>
      </w:pPr>
      <w:r>
        <w:t xml:space="preserve"> </w:t>
      </w:r>
    </w:p>
    <w:p w14:paraId="683AB061" w14:textId="77777777" w:rsidR="009352B7" w:rsidRDefault="00640E0F" w:rsidP="005E062E">
      <w:pPr>
        <w:numPr>
          <w:ilvl w:val="0"/>
          <w:numId w:val="123"/>
        </w:numPr>
        <w:ind w:right="255" w:hanging="360"/>
      </w:pPr>
      <w:r>
        <w:t>A calibration verification standard at a concentration near the midpoint of the calibration range is analyzed and assessed for the following criteria.</w:t>
      </w:r>
    </w:p>
    <w:p w14:paraId="2E8D5660" w14:textId="77777777" w:rsidR="00EC26BB" w:rsidRDefault="00EC26BB" w:rsidP="00EC26BB">
      <w:pPr>
        <w:pStyle w:val="ListParagraph"/>
      </w:pPr>
    </w:p>
    <w:p w14:paraId="7F37723E" w14:textId="7C924417" w:rsidR="00EC26BB" w:rsidRDefault="00EC26BB" w:rsidP="00093377">
      <w:pPr>
        <w:pStyle w:val="ListParagraph"/>
        <w:numPr>
          <w:ilvl w:val="0"/>
          <w:numId w:val="124"/>
        </w:numPr>
        <w:ind w:left="2160" w:right="255"/>
      </w:pPr>
      <w:r>
        <w:t>The calibration standard must contain all target compounds, surrogates, and interna</w:t>
      </w:r>
      <w:r w:rsidR="00D637B8">
        <w:t xml:space="preserve">l </w:t>
      </w:r>
      <w:r>
        <w:t>standards.</w:t>
      </w:r>
    </w:p>
    <w:p w14:paraId="6E4A1221" w14:textId="77777777" w:rsidR="00EC26BB" w:rsidRDefault="00EC26BB" w:rsidP="005F4FE0">
      <w:pPr>
        <w:ind w:left="1800" w:firstLine="0"/>
      </w:pPr>
    </w:p>
    <w:p w14:paraId="2AA6784C" w14:textId="164076D3" w:rsidR="00EC26BB" w:rsidRDefault="00EC26BB" w:rsidP="00093377">
      <w:pPr>
        <w:numPr>
          <w:ilvl w:val="0"/>
          <w:numId w:val="124"/>
        </w:numPr>
        <w:ind w:left="2160" w:right="255"/>
      </w:pPr>
      <w:r w:rsidRPr="00303BB4">
        <w:rPr>
          <w:u w:val="single"/>
        </w:rPr>
        <w:lastRenderedPageBreak/>
        <w:t>Calibration validation</w:t>
      </w:r>
      <w:r>
        <w:rPr>
          <w:u w:val="single"/>
        </w:rPr>
        <w:t>.</w:t>
      </w:r>
      <w:r>
        <w:t xml:space="preserve">  The </w:t>
      </w:r>
      <w:r w:rsidR="0066523C">
        <w:t xml:space="preserve">relative </w:t>
      </w:r>
      <w:r>
        <w:t xml:space="preserve">response factors for the </w:t>
      </w:r>
      <w:r w:rsidR="0066523C">
        <w:t>target analyte</w:t>
      </w:r>
      <w:r>
        <w:t xml:space="preserve">s in the calibration verification standard are compared to the mean </w:t>
      </w:r>
      <w:r w:rsidR="0066523C">
        <w:t>relative</w:t>
      </w:r>
      <w:r w:rsidR="002C685F">
        <w:t xml:space="preserve"> </w:t>
      </w:r>
      <w:r>
        <w:t xml:space="preserve">response factors determined in the initial calibration through a </w:t>
      </w:r>
      <w:proofErr w:type="gramStart"/>
      <w:r>
        <w:t>percent</w:t>
      </w:r>
      <w:proofErr w:type="gramEnd"/>
      <w:r>
        <w:t xml:space="preserve"> difference (%D) calculation.</w:t>
      </w:r>
    </w:p>
    <w:p w14:paraId="4F61BC46" w14:textId="77777777" w:rsidR="00EC26BB" w:rsidRPr="002C4B7A" w:rsidRDefault="00EC26BB" w:rsidP="00EC26BB">
      <w:pPr>
        <w:ind w:left="2160" w:firstLine="0"/>
      </w:pPr>
    </w:p>
    <w:p w14:paraId="4F77FACB" w14:textId="503B9EE3" w:rsidR="00EC26BB" w:rsidRDefault="00EC26BB" w:rsidP="00917406">
      <w:pPr>
        <w:ind w:left="2170" w:right="255"/>
      </w:pPr>
      <w:r>
        <w:t xml:space="preserve">The %D </w:t>
      </w:r>
      <w:r w:rsidR="00133CF3">
        <w:t>for each target analyte</w:t>
      </w:r>
      <w:r>
        <w:t xml:space="preserve"> must </w:t>
      </w:r>
      <w:r w:rsidR="00BD0FB5">
        <w:t>be within</w:t>
      </w:r>
      <w:r w:rsidR="004C6114">
        <w:t xml:space="preserve"> </w:t>
      </w:r>
      <w:r w:rsidR="00917406">
        <w:rPr>
          <w:rFonts w:ascii="Symbol" w:eastAsia="Symbol" w:hAnsi="Symbol" w:cs="Symbol"/>
        </w:rPr>
        <w:t>±</w:t>
      </w:r>
      <w:r w:rsidR="00917406">
        <w:t xml:space="preserve"> 30 percent </w:t>
      </w:r>
      <w:r>
        <w:t>for the initial calibration to be considered valid.</w:t>
      </w:r>
      <w:r w:rsidR="00917406">
        <w:t xml:space="preserve">  </w:t>
      </w:r>
      <w:r>
        <w:t xml:space="preserve">If the criteria are not met </w:t>
      </w:r>
      <w:proofErr w:type="gramStart"/>
      <w:r>
        <w:t>for</w:t>
      </w:r>
      <w:proofErr w:type="gramEnd"/>
      <w:r>
        <w:t xml:space="preserve"> any one compound, then corrective action must be taken prior to the analysis of samples.  If attempts to correct the problem are unsuccessful, a new initial five-point calibration must be </w:t>
      </w:r>
      <w:proofErr w:type="gramStart"/>
      <w:r>
        <w:t>performed</w:t>
      </w:r>
      <w:proofErr w:type="gramEnd"/>
      <w:r>
        <w:t>.</w:t>
      </w:r>
    </w:p>
    <w:p w14:paraId="7C808343" w14:textId="62C64A60" w:rsidR="00787EA1" w:rsidRDefault="00787EA1" w:rsidP="00905102">
      <w:pPr>
        <w:spacing w:after="0" w:line="259" w:lineRule="auto"/>
        <w:ind w:left="1450" w:right="255"/>
      </w:pPr>
    </w:p>
    <w:p w14:paraId="571EB095" w14:textId="0CA7D13B" w:rsidR="00EC26BB" w:rsidRDefault="00905102" w:rsidP="00093377">
      <w:pPr>
        <w:numPr>
          <w:ilvl w:val="0"/>
          <w:numId w:val="124"/>
        </w:numPr>
        <w:spacing w:after="0"/>
        <w:ind w:left="2160" w:right="255"/>
      </w:pPr>
      <w:r w:rsidRPr="00CA02FA">
        <w:rPr>
          <w:u w:val="single" w:color="000000"/>
        </w:rPr>
        <w:t>Calibration Standard Internal Standard Check</w:t>
      </w:r>
      <w:r w:rsidR="0066676B">
        <w:rPr>
          <w:u w:val="single" w:color="000000"/>
        </w:rPr>
        <w:t xml:space="preserve">. </w:t>
      </w:r>
      <w:r>
        <w:t xml:space="preserve"> Internal standards criteria for the calibration verification standard must be evaluated during or immediately after data acquisition.  </w:t>
      </w:r>
      <w:r w:rsidRPr="00615766">
        <w:t>The retention time shift for each of the internal standards at each calibration level must be within 2 seconds of the mean retention time over the initial calibration range for each internal standard</w:t>
      </w:r>
      <w:r>
        <w:t>.</w:t>
      </w:r>
    </w:p>
    <w:p w14:paraId="4E1B6E48" w14:textId="77777777" w:rsidR="00905102" w:rsidRDefault="00905102" w:rsidP="00905102">
      <w:pPr>
        <w:spacing w:after="0"/>
        <w:ind w:right="255"/>
      </w:pPr>
    </w:p>
    <w:p w14:paraId="61E1C319" w14:textId="52A2CE55" w:rsidR="00EC26BB" w:rsidRDefault="00EC26BB" w:rsidP="00093377">
      <w:pPr>
        <w:numPr>
          <w:ilvl w:val="0"/>
          <w:numId w:val="123"/>
        </w:numPr>
        <w:spacing w:after="0" w:line="259" w:lineRule="auto"/>
        <w:ind w:left="1810" w:right="255" w:hanging="360"/>
      </w:pPr>
      <w:r>
        <w:t xml:space="preserve">A method blank must be analyzed after the calibration standard to assure that the total system (introduction device, transfer lines, and GC/MS system) is free of contaminants.  If the criteria in are not met </w:t>
      </w:r>
      <w:proofErr w:type="gramStart"/>
      <w:r>
        <w:t>for</w:t>
      </w:r>
      <w:proofErr w:type="gramEnd"/>
      <w:r>
        <w:t xml:space="preserve"> any one required compound, then corrective action must be taken prior to the analysis of samples.  If attempts to correct the problem are unsuccessful, a new initial five-point calibration must be </w:t>
      </w:r>
      <w:proofErr w:type="gramStart"/>
      <w:r>
        <w:t>performed</w:t>
      </w:r>
      <w:proofErr w:type="gramEnd"/>
      <w:r>
        <w:t>.</w:t>
      </w:r>
    </w:p>
    <w:p w14:paraId="57CE67B4" w14:textId="77777777" w:rsidR="00440485" w:rsidDel="00883FA8" w:rsidRDefault="00440485" w:rsidP="00EC26BB">
      <w:pPr>
        <w:spacing w:after="0" w:line="259" w:lineRule="auto"/>
        <w:ind w:right="0"/>
        <w:rPr>
          <w:rFonts w:eastAsia="Arial"/>
        </w:rPr>
      </w:pPr>
    </w:p>
    <w:p w14:paraId="6E397D4A" w14:textId="77777777" w:rsidR="00EC26BB" w:rsidRPr="00BD2487" w:rsidRDefault="00EC26BB" w:rsidP="00093377">
      <w:pPr>
        <w:numPr>
          <w:ilvl w:val="0"/>
          <w:numId w:val="119"/>
        </w:numPr>
        <w:spacing w:after="16"/>
        <w:ind w:left="1440" w:right="186" w:hanging="360"/>
        <w:rPr>
          <w:b/>
          <w:bCs/>
        </w:rPr>
      </w:pPr>
      <w:r w:rsidRPr="00BD2487">
        <w:rPr>
          <w:b/>
          <w:bCs/>
        </w:rPr>
        <w:t xml:space="preserve">Blanks </w:t>
      </w:r>
    </w:p>
    <w:p w14:paraId="2E885FCB" w14:textId="74906CBB" w:rsidR="00EC26BB" w:rsidRPr="00536583" w:rsidRDefault="00EC26BB" w:rsidP="00EC26BB">
      <w:pPr>
        <w:ind w:left="1450" w:right="255"/>
      </w:pPr>
      <w:r w:rsidRPr="00536583">
        <w:t xml:space="preserve"> </w:t>
      </w:r>
      <w:r w:rsidR="00424306" w:rsidRPr="00536583">
        <w:t xml:space="preserve">A laboratory MB is analyzed at least once in each analytical sequence. </w:t>
      </w:r>
      <w:r w:rsidR="008A0D2B">
        <w:t xml:space="preserve"> </w:t>
      </w:r>
      <w:r w:rsidR="0012294E" w:rsidRPr="00536583">
        <w:t xml:space="preserve">The MB </w:t>
      </w:r>
      <w:r w:rsidR="00F746BD">
        <w:t xml:space="preserve">shall </w:t>
      </w:r>
      <w:r w:rsidR="0001054A" w:rsidRPr="00536583">
        <w:t>consist</w:t>
      </w:r>
      <w:r w:rsidR="0012294E" w:rsidRPr="00536583">
        <w:t xml:space="preserve"> of a canister filled with humidified (40% to 50% RH) clean diluent gas and is analyzed via the same instrument method as the standards and field samples in the analytical sequence (i.e., if 250 mL of field sample are typically analyzed, the MB analysis volume will also be 250 mL).</w:t>
      </w:r>
    </w:p>
    <w:p w14:paraId="40CFB567" w14:textId="77777777" w:rsidR="00EC26BB" w:rsidRDefault="00EC26BB" w:rsidP="00EC26BB">
      <w:pPr>
        <w:spacing w:after="0" w:line="259" w:lineRule="auto"/>
        <w:ind w:left="547" w:right="0" w:firstLine="0"/>
      </w:pPr>
      <w:r>
        <w:t xml:space="preserve"> </w:t>
      </w:r>
    </w:p>
    <w:p w14:paraId="7B6F1545" w14:textId="77777777" w:rsidR="00EC26BB" w:rsidRPr="005A452D" w:rsidRDefault="00EC26BB" w:rsidP="00093377">
      <w:pPr>
        <w:numPr>
          <w:ilvl w:val="0"/>
          <w:numId w:val="122"/>
        </w:numPr>
        <w:ind w:right="255" w:hanging="360"/>
        <w:rPr>
          <w:b/>
          <w:bCs/>
        </w:rPr>
      </w:pPr>
      <w:r w:rsidRPr="005A452D">
        <w:rPr>
          <w:b/>
          <w:bCs/>
        </w:rPr>
        <w:t xml:space="preserve">Frequency </w:t>
      </w:r>
    </w:p>
    <w:p w14:paraId="6F8FE4A3" w14:textId="47CDAFCB" w:rsidR="00EC26BB" w:rsidRDefault="008844E0" w:rsidP="00EC26BB">
      <w:pPr>
        <w:ind w:left="1810" w:right="255"/>
      </w:pPr>
      <w:r w:rsidRPr="008844E0">
        <w:t>The MB is analyzed prior to and following the ICAL in an ICAL sequence or prior to the initial daily CCV standard.</w:t>
      </w:r>
      <w:r w:rsidR="008A0D2B">
        <w:t xml:space="preserve"> </w:t>
      </w:r>
      <w:r w:rsidRPr="008844E0">
        <w:t xml:space="preserve"> This should demonstrate acceptably low carryover in the analytical system prior to analysis of samples (ICAL standards, CCVs/S</w:t>
      </w:r>
      <w:r w:rsidR="004001EA">
        <w:t xml:space="preserve">econd </w:t>
      </w:r>
      <w:r w:rsidRPr="008844E0">
        <w:t>S</w:t>
      </w:r>
      <w:r w:rsidR="004001EA">
        <w:t xml:space="preserve">ource </w:t>
      </w:r>
      <w:r w:rsidRPr="008844E0">
        <w:t>C</w:t>
      </w:r>
      <w:r w:rsidR="004001EA">
        <w:t xml:space="preserve">alibration </w:t>
      </w:r>
      <w:r w:rsidRPr="008844E0">
        <w:t>V</w:t>
      </w:r>
      <w:r w:rsidR="004001EA">
        <w:t>erification</w:t>
      </w:r>
      <w:r w:rsidRPr="008844E0">
        <w:t>s</w:t>
      </w:r>
      <w:r w:rsidR="004001EA">
        <w:t xml:space="preserve"> (SSCVs)</w:t>
      </w:r>
      <w:r w:rsidRPr="008844E0">
        <w:t>, and field samples).</w:t>
      </w:r>
      <w:r w:rsidR="008A0D2B">
        <w:t xml:space="preserve"> </w:t>
      </w:r>
      <w:r w:rsidRPr="008844E0">
        <w:t xml:space="preserve"> Samples with expected high concentrations of target VOCs may be followed by one or more MB injections to flush the analytical system. In such instances where a blank is used to clean the instrument, additional MB aliquots should be run until the instrument is demonstrated to be acceptably clean.</w:t>
      </w:r>
    </w:p>
    <w:p w14:paraId="7E4322B1" w14:textId="77777777" w:rsidR="00657827" w:rsidRDefault="00657827" w:rsidP="00657827">
      <w:pPr>
        <w:spacing w:after="0" w:line="259" w:lineRule="auto"/>
        <w:ind w:left="540" w:right="0" w:firstLine="0"/>
      </w:pPr>
      <w:r>
        <w:t xml:space="preserve"> </w:t>
      </w:r>
    </w:p>
    <w:p w14:paraId="7096ECA4" w14:textId="77777777" w:rsidR="00657827" w:rsidRPr="005A452D" w:rsidRDefault="00657827" w:rsidP="00B96129">
      <w:pPr>
        <w:numPr>
          <w:ilvl w:val="0"/>
          <w:numId w:val="122"/>
        </w:numPr>
        <w:ind w:right="255" w:hanging="360"/>
        <w:rPr>
          <w:b/>
          <w:bCs/>
        </w:rPr>
      </w:pPr>
      <w:r w:rsidRPr="005A452D">
        <w:rPr>
          <w:b/>
          <w:bCs/>
        </w:rPr>
        <w:t xml:space="preserve">Control Criteria </w:t>
      </w:r>
    </w:p>
    <w:p w14:paraId="690131A8" w14:textId="1FBF3E8E" w:rsidR="00EC26BB" w:rsidRDefault="00EC26BB" w:rsidP="00EC26BB">
      <w:pPr>
        <w:ind w:left="1810" w:right="255"/>
      </w:pPr>
      <w:r>
        <w:t>Analysis of a method blank must meet the following criteria:</w:t>
      </w:r>
      <w:r>
        <w:rPr>
          <w:b/>
        </w:rPr>
        <w:t xml:space="preserve"> </w:t>
      </w:r>
    </w:p>
    <w:p w14:paraId="6DDAF164" w14:textId="77777777" w:rsidR="00EC26BB" w:rsidRDefault="00EC26BB" w:rsidP="00EC26BB">
      <w:pPr>
        <w:spacing w:after="0" w:line="259" w:lineRule="auto"/>
        <w:ind w:left="540" w:right="0" w:firstLine="0"/>
      </w:pPr>
      <w:r>
        <w:t xml:space="preserve"> </w:t>
      </w:r>
    </w:p>
    <w:p w14:paraId="036B70BC" w14:textId="02265B45" w:rsidR="00EC26BB" w:rsidRDefault="006A6242" w:rsidP="00B96129">
      <w:pPr>
        <w:numPr>
          <w:ilvl w:val="0"/>
          <w:numId w:val="125"/>
        </w:numPr>
        <w:ind w:left="2160" w:right="255" w:hanging="360"/>
      </w:pPr>
      <w:r w:rsidRPr="00463EC4">
        <w:rPr>
          <w:rFonts w:eastAsiaTheme="minorEastAsia"/>
        </w:rPr>
        <w:t xml:space="preserve">This should demonstrate acceptably low carryover in the analytical system prior to analysis of samples; each target VOC’s concentration should </w:t>
      </w:r>
      <w:r w:rsidR="00A853BB">
        <w:rPr>
          <w:rFonts w:eastAsiaTheme="minorEastAsia"/>
        </w:rPr>
        <w:t>be &lt;</w:t>
      </w:r>
      <w:r w:rsidR="00506029">
        <w:rPr>
          <w:rFonts w:eastAsiaTheme="minorEastAsia"/>
        </w:rPr>
        <w:t xml:space="preserve"> RLs</w:t>
      </w:r>
      <w:r>
        <w:rPr>
          <w:rFonts w:eastAsiaTheme="minorEastAsia"/>
        </w:rPr>
        <w:t>.</w:t>
      </w:r>
      <w:r w:rsidR="00EC26BB">
        <w:rPr>
          <w:b/>
        </w:rPr>
        <w:t xml:space="preserve"> </w:t>
      </w:r>
    </w:p>
    <w:p w14:paraId="4BD082E2" w14:textId="77777777" w:rsidR="00EC26BB" w:rsidRDefault="00EC26BB" w:rsidP="00EC26BB">
      <w:pPr>
        <w:spacing w:after="0" w:line="259" w:lineRule="auto"/>
        <w:ind w:left="540" w:right="0" w:firstLine="0"/>
      </w:pPr>
      <w:r>
        <w:t xml:space="preserve"> </w:t>
      </w:r>
    </w:p>
    <w:p w14:paraId="193A06D9" w14:textId="744729A9" w:rsidR="00EC26BB" w:rsidRDefault="00EC26BB" w:rsidP="00B96129">
      <w:pPr>
        <w:numPr>
          <w:ilvl w:val="0"/>
          <w:numId w:val="125"/>
        </w:numPr>
        <w:ind w:left="2160" w:right="255" w:hanging="360"/>
      </w:pPr>
      <w:r>
        <w:t xml:space="preserve">Concentrations of </w:t>
      </w:r>
      <w:r>
        <w:rPr>
          <w:u w:val="single" w:color="000000"/>
        </w:rPr>
        <w:t>target analytes</w:t>
      </w:r>
      <w:r>
        <w:t xml:space="preserve"> observed in the method blank must be no higher than the </w:t>
      </w:r>
      <w:r w:rsidR="0098056D">
        <w:t xml:space="preserve">RLs.  </w:t>
      </w:r>
    </w:p>
    <w:p w14:paraId="4FEED804" w14:textId="5304E065" w:rsidR="00EC26BB" w:rsidRDefault="00EC26BB" w:rsidP="00BD76AB">
      <w:pPr>
        <w:spacing w:after="18" w:line="259" w:lineRule="auto"/>
        <w:ind w:left="540" w:right="0" w:firstLine="0"/>
      </w:pPr>
      <w:r>
        <w:t xml:space="preserve">  </w:t>
      </w:r>
      <w:r>
        <w:rPr>
          <w:rFonts w:ascii="Arial" w:eastAsia="Arial" w:hAnsi="Arial" w:cs="Arial"/>
        </w:rPr>
        <w:t xml:space="preserve"> </w:t>
      </w:r>
    </w:p>
    <w:p w14:paraId="18E1E3E1" w14:textId="29F1B1FD" w:rsidR="00EC26BB" w:rsidRDefault="00EC26BB" w:rsidP="00B96129">
      <w:pPr>
        <w:numPr>
          <w:ilvl w:val="0"/>
          <w:numId w:val="125"/>
        </w:numPr>
        <w:ind w:left="2160" w:right="255" w:hanging="360"/>
      </w:pPr>
      <w:r>
        <w:lastRenderedPageBreak/>
        <w:t xml:space="preserve">If </w:t>
      </w:r>
      <w:proofErr w:type="spellStart"/>
      <w:r w:rsidR="00AD52A8">
        <w:t>concentratation</w:t>
      </w:r>
      <w:proofErr w:type="spellEnd"/>
      <w:r w:rsidR="00AD52A8">
        <w:t xml:space="preserve"> of target analytes in </w:t>
      </w:r>
      <w:r>
        <w:t xml:space="preserve">any laboratory method blank </w:t>
      </w:r>
      <w:r w:rsidR="0001054A">
        <w:t>exceeds</w:t>
      </w:r>
      <w:r>
        <w:t xml:space="preserve"> the</w:t>
      </w:r>
      <w:r w:rsidR="00D63266">
        <w:t xml:space="preserve"> RL</w:t>
      </w:r>
      <w:r>
        <w:t>,</w:t>
      </w:r>
      <w:r>
        <w:rPr>
          <w:b/>
        </w:rPr>
        <w:t xml:space="preserve"> </w:t>
      </w:r>
      <w:r>
        <w:t xml:space="preserve">the Contractor must take </w:t>
      </w:r>
      <w:r w:rsidR="00D63266">
        <w:t xml:space="preserve">appropriate </w:t>
      </w:r>
      <w:r>
        <w:t>corrective action</w:t>
      </w:r>
      <w:r w:rsidR="00964224">
        <w:t xml:space="preserve">.  </w:t>
      </w:r>
      <w:r>
        <w:t>The source of the contamination must be located, the contaminant concentration must be reduced, and all relevant information must be documented</w:t>
      </w:r>
      <w:r>
        <w:rPr>
          <w:b/>
        </w:rPr>
        <w:t xml:space="preserve">. </w:t>
      </w:r>
    </w:p>
    <w:p w14:paraId="2CEFDAB9" w14:textId="77777777" w:rsidR="00EC26BB" w:rsidRDefault="00EC26BB" w:rsidP="00EC26BB">
      <w:pPr>
        <w:spacing w:after="0" w:line="259" w:lineRule="auto"/>
        <w:ind w:left="540" w:right="0" w:firstLine="0"/>
      </w:pPr>
      <w:r>
        <w:t xml:space="preserve"> </w:t>
      </w:r>
    </w:p>
    <w:p w14:paraId="08A6B697" w14:textId="248453A1" w:rsidR="00EC26BB" w:rsidRDefault="00EC26BB" w:rsidP="005E062E">
      <w:pPr>
        <w:numPr>
          <w:ilvl w:val="0"/>
          <w:numId w:val="125"/>
        </w:numPr>
        <w:ind w:left="2160" w:right="255" w:hanging="360"/>
      </w:pPr>
      <w:r>
        <w:rPr>
          <w:u w:val="single" w:color="000000"/>
        </w:rPr>
        <w:t>Results and reporting</w:t>
      </w:r>
      <w:r>
        <w:t xml:space="preserve">.  The Contractor must report results of all method blank analyses.  </w:t>
      </w:r>
      <w:r w:rsidR="001D1252">
        <w:t>T</w:t>
      </w:r>
      <w:r>
        <w:t xml:space="preserve">he Contractor must </w:t>
      </w:r>
      <w:r>
        <w:rPr>
          <w:u w:val="single" w:color="000000"/>
        </w:rPr>
        <w:t>not</w:t>
      </w:r>
      <w:r>
        <w:t xml:space="preserve"> subtract the results of the method blank from those of any associated samples.</w:t>
      </w:r>
      <w:r w:rsidR="00E8470C">
        <w:t xml:space="preserve">  Corrective action should be </w:t>
      </w:r>
      <w:r w:rsidR="002541A1">
        <w:t>documented</w:t>
      </w:r>
      <w:r w:rsidR="00E8470C">
        <w:t xml:space="preserve"> in the case narrative and any results flagged accordingly.</w:t>
      </w:r>
      <w:r>
        <w:rPr>
          <w:b/>
        </w:rPr>
        <w:t xml:space="preserve"> </w:t>
      </w:r>
    </w:p>
    <w:p w14:paraId="4795FAF8" w14:textId="3AF0A6E4" w:rsidR="00D3005F" w:rsidRDefault="00D3005F" w:rsidP="00BA475A">
      <w:pPr>
        <w:spacing w:after="0" w:line="259" w:lineRule="auto"/>
        <w:ind w:left="0" w:right="0" w:firstLine="0"/>
      </w:pPr>
      <w:r>
        <w:t xml:space="preserve"> </w:t>
      </w:r>
    </w:p>
    <w:p w14:paraId="40D8D6B5" w14:textId="77777777" w:rsidR="00D3005F" w:rsidRPr="00715DCD" w:rsidRDefault="00D3005F" w:rsidP="005E062E">
      <w:pPr>
        <w:numPr>
          <w:ilvl w:val="0"/>
          <w:numId w:val="119"/>
        </w:numPr>
        <w:spacing w:after="16"/>
        <w:ind w:left="1440" w:right="186" w:hanging="360"/>
        <w:rPr>
          <w:b/>
          <w:bCs/>
        </w:rPr>
      </w:pPr>
      <w:r w:rsidRPr="00715DCD">
        <w:rPr>
          <w:b/>
          <w:bCs/>
        </w:rPr>
        <w:t xml:space="preserve">Internal Standards </w:t>
      </w:r>
    </w:p>
    <w:p w14:paraId="59B1B39F" w14:textId="43688542" w:rsidR="00EC26BB" w:rsidRDefault="00EC26BB" w:rsidP="00EC26BB">
      <w:pPr>
        <w:ind w:left="1450" w:right="255"/>
      </w:pPr>
      <w:r>
        <w:t xml:space="preserve">The Contractor shall spike all samples, standards, and blanks with the internal standards. </w:t>
      </w:r>
    </w:p>
    <w:p w14:paraId="1144BABF" w14:textId="77777777" w:rsidR="00D3005F" w:rsidRDefault="00D3005F" w:rsidP="00D3005F">
      <w:pPr>
        <w:spacing w:after="0" w:line="259" w:lineRule="auto"/>
        <w:ind w:left="540" w:right="0" w:firstLine="0"/>
      </w:pPr>
      <w:r>
        <w:t xml:space="preserve"> </w:t>
      </w:r>
    </w:p>
    <w:p w14:paraId="14BCFF04" w14:textId="77777777" w:rsidR="00D3005F" w:rsidRPr="009D4309" w:rsidRDefault="00D3005F" w:rsidP="00093377">
      <w:pPr>
        <w:numPr>
          <w:ilvl w:val="0"/>
          <w:numId w:val="126"/>
        </w:numPr>
        <w:spacing w:after="16"/>
        <w:ind w:right="186"/>
        <w:rPr>
          <w:b/>
          <w:bCs/>
        </w:rPr>
      </w:pPr>
      <w:r w:rsidRPr="009D4309">
        <w:rPr>
          <w:b/>
          <w:bCs/>
        </w:rPr>
        <w:t>Choosing internal standards</w:t>
      </w:r>
      <w:r>
        <w:rPr>
          <w:b/>
          <w:bCs/>
        </w:rPr>
        <w:t>:</w:t>
      </w:r>
      <w:r w:rsidRPr="009D4309">
        <w:rPr>
          <w:b/>
          <w:bCs/>
        </w:rPr>
        <w:t xml:space="preserve"> </w:t>
      </w:r>
    </w:p>
    <w:p w14:paraId="318FF6D3" w14:textId="3B74EDF0" w:rsidR="00EC26BB" w:rsidRDefault="00EC26BB" w:rsidP="00EC26BB">
      <w:pPr>
        <w:ind w:left="1810" w:right="255"/>
      </w:pPr>
      <w:r>
        <w:t>The recommended internal standards</w:t>
      </w:r>
      <w:r w:rsidR="009B7DFC">
        <w:t xml:space="preserve"> </w:t>
      </w:r>
      <w:r w:rsidR="009B7DFC" w:rsidRPr="009B7DFC">
        <w:t>are bromochloromethane, 1,4-difluorobenzene, and chlorobenzene-d5.</w:t>
      </w:r>
      <w:r w:rsidR="009B7DFC">
        <w:t xml:space="preserve"> </w:t>
      </w:r>
      <w:r w:rsidR="009B7DFC" w:rsidRPr="009B7DFC">
        <w:t xml:space="preserve"> Other suitable IS compounds include 1,2-dichloroethane-d4, hexane-d14, toluene-d8, and 1,2-dichlorobenzene-d4.</w:t>
      </w:r>
      <w:r>
        <w:t xml:space="preserve">  Other compounds may be used </w:t>
      </w:r>
      <w:proofErr w:type="gramStart"/>
      <w:r>
        <w:t>as long as</w:t>
      </w:r>
      <w:proofErr w:type="gramEnd"/>
      <w:r>
        <w:t xml:space="preserve"> they have retention times </w:t>
      </w:r>
      <w:proofErr w:type="gramStart"/>
      <w:r>
        <w:t>similar to</w:t>
      </w:r>
      <w:proofErr w:type="gramEnd"/>
      <w:r>
        <w:t xml:space="preserve"> the target compounds being detected by GC/MS</w:t>
      </w:r>
      <w:r w:rsidR="0011029B">
        <w:t>.</w:t>
      </w:r>
      <w:r>
        <w:t xml:space="preserve">   </w:t>
      </w:r>
    </w:p>
    <w:p w14:paraId="7AFCC33B" w14:textId="77777777" w:rsidR="00EC26BB" w:rsidRDefault="00EC26BB" w:rsidP="00EC26BB">
      <w:pPr>
        <w:ind w:left="1810" w:right="255"/>
      </w:pPr>
    </w:p>
    <w:p w14:paraId="4DDAB2AE" w14:textId="77777777" w:rsidR="00EC26BB" w:rsidRPr="009D4309" w:rsidRDefault="00EC26BB" w:rsidP="00093377">
      <w:pPr>
        <w:numPr>
          <w:ilvl w:val="0"/>
          <w:numId w:val="126"/>
        </w:numPr>
        <w:spacing w:after="16"/>
        <w:ind w:right="186"/>
        <w:rPr>
          <w:b/>
          <w:bCs/>
        </w:rPr>
      </w:pPr>
      <w:proofErr w:type="gramStart"/>
      <w:r w:rsidRPr="009D4309">
        <w:rPr>
          <w:b/>
          <w:bCs/>
        </w:rPr>
        <w:t>Control</w:t>
      </w:r>
      <w:proofErr w:type="gramEnd"/>
      <w:r w:rsidRPr="009D4309">
        <w:rPr>
          <w:b/>
          <w:bCs/>
        </w:rPr>
        <w:t xml:space="preserve"> criteria for internal standards</w:t>
      </w:r>
      <w:r>
        <w:rPr>
          <w:b/>
          <w:bCs/>
        </w:rPr>
        <w:t>:</w:t>
      </w:r>
      <w:r w:rsidRPr="009D4309">
        <w:rPr>
          <w:b/>
          <w:bCs/>
        </w:rPr>
        <w:t xml:space="preserve"> </w:t>
      </w:r>
    </w:p>
    <w:p w14:paraId="5A05ADFA" w14:textId="3767CB57" w:rsidR="00EC26BB" w:rsidRDefault="00EC26BB" w:rsidP="00EC26BB">
      <w:pPr>
        <w:ind w:left="1800" w:right="255"/>
      </w:pPr>
      <w:r w:rsidRPr="0089736F">
        <w:t xml:space="preserve">Area counts of the internal standard peaks in the samples (environmental and QC) must be within </w:t>
      </w:r>
      <w:r w:rsidR="003035B6" w:rsidRPr="0089736F">
        <w:rPr>
          <w:rFonts w:ascii="Symbol" w:eastAsia="Symbol" w:hAnsi="Symbol" w:cs="Symbol"/>
        </w:rPr>
        <w:t>±</w:t>
      </w:r>
      <w:r w:rsidR="00573FA8" w:rsidRPr="0089736F">
        <w:t xml:space="preserve"> 40 percent </w:t>
      </w:r>
      <w:r w:rsidRPr="0089736F">
        <w:t xml:space="preserve">of the area of the corresponding peak in the </w:t>
      </w:r>
      <w:r w:rsidR="007A74DF" w:rsidRPr="0089736F">
        <w:t>24</w:t>
      </w:r>
      <w:r w:rsidRPr="0089736F">
        <w:t xml:space="preserve">-hour calibration verification standard.  The retention times for each internal standard in the sample </w:t>
      </w:r>
      <w:r w:rsidR="00F209D5" w:rsidRPr="0089736F">
        <w:t>should be within ±</w:t>
      </w:r>
      <w:r w:rsidR="0089736F" w:rsidRPr="0089736F">
        <w:t xml:space="preserve"> </w:t>
      </w:r>
      <w:r w:rsidR="00F209D5" w:rsidRPr="0089736F">
        <w:t>2</w:t>
      </w:r>
      <w:r w:rsidR="00071DE3">
        <w:t>0</w:t>
      </w:r>
      <w:r w:rsidR="00F209D5" w:rsidRPr="0089736F">
        <w:t xml:space="preserve"> seconds of the average RT for each IS compound in the ICAL</w:t>
      </w:r>
      <w:r w:rsidRPr="0089736F">
        <w:t>.  If these criteria are not met, the analysis of all affected samples must be repeated</w:t>
      </w:r>
      <w:r>
        <w:t xml:space="preserve">. </w:t>
      </w:r>
    </w:p>
    <w:p w14:paraId="5E452687" w14:textId="77777777" w:rsidR="00E215A5" w:rsidRDefault="00E215A5" w:rsidP="00EC26BB">
      <w:pPr>
        <w:spacing w:after="0" w:line="259" w:lineRule="auto"/>
        <w:ind w:left="1440" w:right="0" w:firstLine="0"/>
      </w:pPr>
    </w:p>
    <w:p w14:paraId="6C503BCF" w14:textId="54E2BB27" w:rsidR="00EC26BB" w:rsidRPr="009D4309" w:rsidRDefault="00EC26BB" w:rsidP="00093377">
      <w:pPr>
        <w:numPr>
          <w:ilvl w:val="0"/>
          <w:numId w:val="119"/>
        </w:numPr>
        <w:spacing w:after="16"/>
        <w:ind w:left="1440" w:right="186" w:hanging="360"/>
        <w:rPr>
          <w:b/>
          <w:bCs/>
        </w:rPr>
      </w:pPr>
      <w:r w:rsidRPr="009D4309">
        <w:rPr>
          <w:b/>
          <w:bCs/>
        </w:rPr>
        <w:t>Laboratory Control Sample</w:t>
      </w:r>
      <w:r w:rsidR="009D6F5D">
        <w:rPr>
          <w:b/>
          <w:bCs/>
        </w:rPr>
        <w:t xml:space="preserve"> (LCS)</w:t>
      </w:r>
      <w:r w:rsidR="00755E96">
        <w:rPr>
          <w:b/>
          <w:bCs/>
        </w:rPr>
        <w:t>/</w:t>
      </w:r>
      <w:r w:rsidR="009D6F5D">
        <w:rPr>
          <w:b/>
          <w:bCs/>
        </w:rPr>
        <w:t>Second Source Calibration Verification (</w:t>
      </w:r>
      <w:r w:rsidR="008002BC">
        <w:rPr>
          <w:b/>
          <w:bCs/>
        </w:rPr>
        <w:t>SSCV</w:t>
      </w:r>
      <w:r w:rsidR="009D6F5D">
        <w:rPr>
          <w:b/>
          <w:bCs/>
        </w:rPr>
        <w:t>)</w:t>
      </w:r>
      <w:r w:rsidRPr="009D4309">
        <w:rPr>
          <w:b/>
          <w:bCs/>
        </w:rPr>
        <w:t xml:space="preserve"> </w:t>
      </w:r>
    </w:p>
    <w:p w14:paraId="5D1359A7" w14:textId="4AE22810" w:rsidR="00EC26BB" w:rsidRDefault="00EC26BB" w:rsidP="00EC26BB">
      <w:pPr>
        <w:ind w:left="1450" w:right="0"/>
      </w:pPr>
      <w:r>
        <w:t xml:space="preserve">The Contractor shall include </w:t>
      </w:r>
      <w:proofErr w:type="gramStart"/>
      <w:r>
        <w:t>a</w:t>
      </w:r>
      <w:proofErr w:type="gramEnd"/>
      <w:r>
        <w:t xml:space="preserve"> LCS</w:t>
      </w:r>
      <w:r w:rsidR="00B454BC">
        <w:t>/SSCV</w:t>
      </w:r>
      <w:r>
        <w:t xml:space="preserve"> with each analytical batch.  LCS percent recoveries must be reported.  </w:t>
      </w:r>
      <w:r w:rsidR="00B32CBC">
        <w:t xml:space="preserve">The </w:t>
      </w:r>
      <w:r>
        <w:t>required % Recovery value</w:t>
      </w:r>
      <w:r w:rsidR="00A9770F">
        <w:t xml:space="preserve"> for the </w:t>
      </w:r>
      <w:r>
        <w:t>LCS</w:t>
      </w:r>
      <w:r w:rsidR="00A9770F">
        <w:t>/SSCV</w:t>
      </w:r>
      <w:r>
        <w:t xml:space="preserve"> analyses</w:t>
      </w:r>
      <w:r w:rsidR="00A9770F">
        <w:t xml:space="preserve"> is </w:t>
      </w:r>
      <w:r w:rsidR="00755E96">
        <w:rPr>
          <w:rFonts w:ascii="Symbol" w:eastAsia="Symbol" w:hAnsi="Symbol" w:cs="Symbol"/>
        </w:rPr>
        <w:t>±</w:t>
      </w:r>
      <w:r w:rsidR="00755E96">
        <w:t xml:space="preserve"> 30 percent</w:t>
      </w:r>
      <w:r>
        <w:t>.</w:t>
      </w:r>
    </w:p>
    <w:p w14:paraId="4A633369" w14:textId="77777777" w:rsidR="00EC26BB" w:rsidRDefault="00EC26BB" w:rsidP="00EC26BB">
      <w:pPr>
        <w:spacing w:after="0" w:line="259" w:lineRule="auto"/>
        <w:ind w:left="540" w:right="0" w:firstLine="0"/>
      </w:pPr>
    </w:p>
    <w:p w14:paraId="07F7AA96" w14:textId="77777777" w:rsidR="004726DC" w:rsidRDefault="004726DC" w:rsidP="00EC26BB">
      <w:pPr>
        <w:spacing w:after="0" w:line="259" w:lineRule="auto"/>
        <w:ind w:left="540" w:right="0" w:firstLine="0"/>
      </w:pPr>
    </w:p>
    <w:p w14:paraId="20CE810F" w14:textId="77777777" w:rsidR="004726DC" w:rsidRDefault="004726DC" w:rsidP="00EC26BB">
      <w:pPr>
        <w:spacing w:after="0" w:line="259" w:lineRule="auto"/>
        <w:ind w:left="540" w:right="0" w:firstLine="0"/>
      </w:pPr>
    </w:p>
    <w:p w14:paraId="43171A02" w14:textId="458D9478" w:rsidR="004726DC" w:rsidRPr="00C31E1B" w:rsidRDefault="004726DC" w:rsidP="004726DC">
      <w:pPr>
        <w:pStyle w:val="Heading5"/>
        <w:spacing w:after="16" w:line="247" w:lineRule="auto"/>
        <w:ind w:left="1090" w:right="186"/>
      </w:pPr>
      <w:r>
        <w:t>THE REMAINDER OF THIS PAGE HAS BEEN LEFT BLANK INTENTIONALLY</w:t>
      </w:r>
    </w:p>
    <w:p w14:paraId="4BB1FE99" w14:textId="77777777" w:rsidR="004726DC" w:rsidRDefault="004726DC" w:rsidP="00EC26BB">
      <w:pPr>
        <w:spacing w:after="0" w:line="259" w:lineRule="auto"/>
        <w:ind w:left="540" w:right="0" w:firstLine="0"/>
      </w:pPr>
    </w:p>
    <w:p w14:paraId="4DF59493" w14:textId="77777777" w:rsidR="00B53E83" w:rsidRDefault="00B53E83" w:rsidP="00EC26BB">
      <w:pPr>
        <w:spacing w:after="0" w:line="259" w:lineRule="auto"/>
        <w:ind w:left="540" w:right="0" w:firstLine="0"/>
      </w:pPr>
    </w:p>
    <w:p w14:paraId="5DC33C0C" w14:textId="77777777" w:rsidR="00B53E83" w:rsidRDefault="00B53E83" w:rsidP="00EC26BB">
      <w:pPr>
        <w:spacing w:after="0" w:line="259" w:lineRule="auto"/>
        <w:ind w:left="540" w:right="0" w:firstLine="0"/>
      </w:pPr>
    </w:p>
    <w:p w14:paraId="245E40A5" w14:textId="77777777" w:rsidR="00B53E83" w:rsidRDefault="00B53E83" w:rsidP="00EC26BB">
      <w:pPr>
        <w:spacing w:after="0" w:line="259" w:lineRule="auto"/>
        <w:ind w:left="540" w:right="0" w:firstLine="0"/>
      </w:pPr>
    </w:p>
    <w:p w14:paraId="6D9BC012" w14:textId="77777777" w:rsidR="00B53E83" w:rsidRDefault="00B53E83" w:rsidP="00EC26BB">
      <w:pPr>
        <w:spacing w:after="0" w:line="259" w:lineRule="auto"/>
        <w:ind w:left="540" w:right="0" w:firstLine="0"/>
      </w:pPr>
    </w:p>
    <w:p w14:paraId="0BEBE778" w14:textId="77777777" w:rsidR="00B53E83" w:rsidRDefault="00B53E83" w:rsidP="00EC26BB">
      <w:pPr>
        <w:spacing w:after="0" w:line="259" w:lineRule="auto"/>
        <w:ind w:left="540" w:right="0" w:firstLine="0"/>
      </w:pPr>
    </w:p>
    <w:p w14:paraId="638D83B7" w14:textId="77777777" w:rsidR="00B53E83" w:rsidRDefault="00B53E83" w:rsidP="00EC26BB">
      <w:pPr>
        <w:spacing w:after="0" w:line="259" w:lineRule="auto"/>
        <w:ind w:left="540" w:right="0" w:firstLine="0"/>
      </w:pPr>
    </w:p>
    <w:p w14:paraId="578EFAD1" w14:textId="77777777" w:rsidR="00B53E83" w:rsidRDefault="00B53E83" w:rsidP="00EC26BB">
      <w:pPr>
        <w:spacing w:after="0" w:line="259" w:lineRule="auto"/>
        <w:ind w:left="540" w:right="0" w:firstLine="0"/>
      </w:pPr>
    </w:p>
    <w:p w14:paraId="5EB67F7E" w14:textId="77777777" w:rsidR="00B53E83" w:rsidRDefault="00B53E83" w:rsidP="00EC26BB">
      <w:pPr>
        <w:spacing w:after="0" w:line="259" w:lineRule="auto"/>
        <w:ind w:left="540" w:right="0" w:firstLine="0"/>
      </w:pPr>
    </w:p>
    <w:p w14:paraId="3E74110D" w14:textId="77777777" w:rsidR="00B53E83" w:rsidRDefault="00B53E83" w:rsidP="00EC26BB">
      <w:pPr>
        <w:spacing w:after="0" w:line="259" w:lineRule="auto"/>
        <w:ind w:left="540" w:right="0" w:firstLine="0"/>
      </w:pPr>
    </w:p>
    <w:p w14:paraId="077440AF" w14:textId="77777777" w:rsidR="00B53E83" w:rsidRDefault="00B53E83" w:rsidP="00EC26BB">
      <w:pPr>
        <w:spacing w:after="0" w:line="259" w:lineRule="auto"/>
        <w:ind w:left="540" w:right="0" w:firstLine="0"/>
      </w:pPr>
    </w:p>
    <w:p w14:paraId="1D45B6A7" w14:textId="77777777" w:rsidR="00B53E83" w:rsidRDefault="00B53E83" w:rsidP="00EC26BB">
      <w:pPr>
        <w:spacing w:after="0" w:line="259" w:lineRule="auto"/>
        <w:ind w:left="540" w:right="0" w:firstLine="0"/>
      </w:pPr>
    </w:p>
    <w:p w14:paraId="1BFCC985" w14:textId="77777777" w:rsidR="00B53E83" w:rsidRDefault="00B53E83" w:rsidP="00EC26BB">
      <w:pPr>
        <w:spacing w:after="0" w:line="259" w:lineRule="auto"/>
        <w:ind w:left="540" w:right="0" w:firstLine="0"/>
      </w:pPr>
    </w:p>
    <w:p w14:paraId="4A3E2F11" w14:textId="6EF2FBA8" w:rsidR="00DD3211" w:rsidRPr="001A6F83" w:rsidRDefault="00DD3211" w:rsidP="00DD3211">
      <w:pPr>
        <w:pStyle w:val="Heading4"/>
        <w:spacing w:after="10" w:line="249" w:lineRule="auto"/>
        <w:ind w:left="730"/>
      </w:pPr>
      <w:r w:rsidRPr="00A04C72">
        <w:rPr>
          <w:rFonts w:eastAsia="Cambria"/>
          <w:bCs/>
          <w:color w:val="000000" w:themeColor="text1"/>
        </w:rPr>
        <w:lastRenderedPageBreak/>
        <w:t xml:space="preserve">B. </w:t>
      </w:r>
      <w:r w:rsidRPr="001A6F83">
        <w:t>VOLATILE ORGANIC ANALYSIS by Gas Chromatography/Mass Spectrometry</w:t>
      </w:r>
      <w:r w:rsidRPr="001A6F83">
        <w:rPr>
          <w:rFonts w:eastAsia="Cambria"/>
          <w:b w:val="0"/>
          <w:color w:val="365F91"/>
        </w:rPr>
        <w:t xml:space="preserve"> </w:t>
      </w:r>
    </w:p>
    <w:p w14:paraId="4EA08334" w14:textId="77777777" w:rsidR="00DD3211" w:rsidRPr="000A1C21" w:rsidRDefault="00DD3211" w:rsidP="00DD3211">
      <w:pPr>
        <w:spacing w:after="0" w:line="259" w:lineRule="auto"/>
        <w:ind w:left="261" w:right="0" w:firstLine="0"/>
      </w:pPr>
    </w:p>
    <w:p w14:paraId="7ED64E88" w14:textId="77777777" w:rsidR="00DD3211" w:rsidRDefault="00DD3211" w:rsidP="00DD3211">
      <w:pPr>
        <w:spacing w:after="0" w:line="259" w:lineRule="auto"/>
        <w:ind w:left="720" w:right="0" w:firstLine="0"/>
      </w:pPr>
      <w:r>
        <w:t xml:space="preserve">The Contractor shall adhere to the holding times and preservative techniques specified in TABLE 1, Sample Containers, Preservatives, and Holding Time Requirements in Section </w:t>
      </w:r>
      <w:proofErr w:type="gramStart"/>
      <w:r>
        <w:t>IV,  based</w:t>
      </w:r>
      <w:proofErr w:type="gramEnd"/>
      <w:r>
        <w:t xml:space="preserve"> on sample characteristics. </w:t>
      </w:r>
    </w:p>
    <w:p w14:paraId="31BC787C" w14:textId="0830B008" w:rsidR="00C70F16" w:rsidRDefault="00C70F16" w:rsidP="00C70F16">
      <w:pPr>
        <w:spacing w:after="0" w:line="259" w:lineRule="auto"/>
        <w:ind w:left="1116" w:right="0" w:firstLine="0"/>
      </w:pPr>
    </w:p>
    <w:p w14:paraId="26670025" w14:textId="6D39C296" w:rsidR="00C70F16" w:rsidRPr="00D326AF" w:rsidRDefault="00C70F16" w:rsidP="00C70F16">
      <w:pPr>
        <w:spacing w:after="0" w:line="259" w:lineRule="auto"/>
        <w:ind w:left="720" w:right="0" w:firstLine="0"/>
        <w:rPr>
          <w:b/>
          <w:bCs/>
        </w:rPr>
      </w:pPr>
      <w:r w:rsidRPr="00D326AF">
        <w:rPr>
          <w:b/>
          <w:bCs/>
        </w:rPr>
        <w:t>Analytical Method TO-1</w:t>
      </w:r>
      <w:r w:rsidR="00A02758">
        <w:rPr>
          <w:b/>
          <w:bCs/>
        </w:rPr>
        <w:t>7</w:t>
      </w:r>
      <w:r w:rsidR="00437CC9">
        <w:rPr>
          <w:b/>
          <w:bCs/>
        </w:rPr>
        <w:t>/TO-17 SIM</w:t>
      </w:r>
      <w:r>
        <w:rPr>
          <w:b/>
          <w:bCs/>
        </w:rPr>
        <w:t xml:space="preserve"> – Vol</w:t>
      </w:r>
      <w:r w:rsidRPr="00746F97">
        <w:rPr>
          <w:b/>
          <w:bCs/>
        </w:rPr>
        <w:t>atile Organic Compounds (</w:t>
      </w:r>
      <w:r w:rsidR="0074312B">
        <w:rPr>
          <w:b/>
          <w:bCs/>
        </w:rPr>
        <w:t>Sorbent</w:t>
      </w:r>
      <w:r w:rsidR="0074312B" w:rsidRPr="00746F97">
        <w:rPr>
          <w:b/>
          <w:bCs/>
        </w:rPr>
        <w:t xml:space="preserve"> </w:t>
      </w:r>
      <w:r w:rsidRPr="00746F97">
        <w:rPr>
          <w:b/>
          <w:bCs/>
        </w:rPr>
        <w:t>Sample Collection</w:t>
      </w:r>
      <w:r>
        <w:rPr>
          <w:b/>
          <w:bCs/>
        </w:rPr>
        <w:t>)</w:t>
      </w:r>
    </w:p>
    <w:p w14:paraId="69FD0117" w14:textId="77777777" w:rsidR="00DD3211" w:rsidRPr="00295FBC" w:rsidRDefault="00DD3211" w:rsidP="00DD3211">
      <w:pPr>
        <w:spacing w:after="0" w:line="259" w:lineRule="auto"/>
        <w:ind w:right="0"/>
      </w:pPr>
    </w:p>
    <w:p w14:paraId="4F77343A" w14:textId="07B630AC" w:rsidR="00295FBC" w:rsidRPr="00295FBC" w:rsidRDefault="00082A08" w:rsidP="006022D1">
      <w:pPr>
        <w:spacing w:after="0" w:line="259" w:lineRule="auto"/>
        <w:ind w:left="730" w:right="0"/>
      </w:pPr>
      <w:r>
        <w:t>NOTE</w:t>
      </w:r>
      <w:proofErr w:type="gramStart"/>
      <w:r>
        <w:t xml:space="preserve">:  </w:t>
      </w:r>
      <w:r w:rsidR="00295FBC" w:rsidRPr="006022D1">
        <w:t>Follow</w:t>
      </w:r>
      <w:proofErr w:type="gramEnd"/>
      <w:r w:rsidR="00295FBC" w:rsidRPr="006022D1">
        <w:t xml:space="preserve"> the description given in Compendium Method TO-15 </w:t>
      </w:r>
      <w:r w:rsidR="00D07D49">
        <w:t>above in Section</w:t>
      </w:r>
      <w:r w:rsidR="003479B9">
        <w:t xml:space="preserve">s </w:t>
      </w:r>
      <w:r w:rsidR="00A64ED0">
        <w:t>X</w:t>
      </w:r>
      <w:r w:rsidR="00CE2B85">
        <w:t>1</w:t>
      </w:r>
      <w:r w:rsidR="00A64ED0">
        <w:t>V</w:t>
      </w:r>
      <w:r w:rsidR="007133AC">
        <w:t xml:space="preserve">.A.1 through </w:t>
      </w:r>
      <w:r w:rsidR="00AB1F67">
        <w:t>XIV</w:t>
      </w:r>
      <w:r w:rsidR="004B1E8E">
        <w:t>.A.</w:t>
      </w:r>
      <w:r w:rsidR="00CE2B85">
        <w:t>6</w:t>
      </w:r>
      <w:r w:rsidR="00D07D49">
        <w:t xml:space="preserve"> </w:t>
      </w:r>
      <w:r w:rsidR="00295FBC" w:rsidRPr="006022D1">
        <w:t xml:space="preserve">for </w:t>
      </w:r>
      <w:proofErr w:type="gramStart"/>
      <w:r w:rsidR="00295FBC" w:rsidRPr="006022D1">
        <w:t>set</w:t>
      </w:r>
      <w:proofErr w:type="gramEnd"/>
      <w:r w:rsidR="00295FBC" w:rsidRPr="006022D1">
        <w:t xml:space="preserve"> up of the GC/MS analytical system including column selection, MS tune requirements, calibration protocols, etc.</w:t>
      </w:r>
      <w:r w:rsidR="00AB1F67">
        <w:t>, with the exceptions noted below.</w:t>
      </w:r>
    </w:p>
    <w:p w14:paraId="1F81C89C" w14:textId="2F276CBB" w:rsidR="00DD3211" w:rsidRDefault="00DD3211" w:rsidP="00DD3211">
      <w:pPr>
        <w:ind w:left="1450" w:right="255"/>
      </w:pPr>
    </w:p>
    <w:p w14:paraId="6AEAA25F" w14:textId="1B16C43E" w:rsidR="00DD3211" w:rsidRDefault="00BD16FF" w:rsidP="00093377">
      <w:pPr>
        <w:numPr>
          <w:ilvl w:val="0"/>
          <w:numId w:val="127"/>
        </w:numPr>
        <w:spacing w:after="16"/>
        <w:ind w:left="1440" w:right="186" w:hanging="360"/>
      </w:pPr>
      <w:r w:rsidRPr="00BD16FF">
        <w:t>Laboratory blanks must be identically packed tubes, from the same batch, with similar history and conditioned at the same time as the tubes used for sample collection. At least two are required per monitoring exercise. They must be stored in the laboratory in clean controlled conditions (&lt;</w:t>
      </w:r>
      <w:r w:rsidR="00CA157A">
        <w:t xml:space="preserve"> </w:t>
      </w:r>
      <w:r w:rsidRPr="00BD16FF">
        <w:t>4</w:t>
      </w:r>
      <w:r w:rsidR="00CA157A">
        <w:t xml:space="preserve"> </w:t>
      </w:r>
      <w:r w:rsidR="00BF506F">
        <w:rPr>
          <w:rFonts w:ascii="Symbol" w:eastAsia="Symbol" w:hAnsi="Symbol" w:cs="Symbol"/>
        </w:rPr>
        <w:t>°</w:t>
      </w:r>
      <w:r w:rsidRPr="00BD16FF">
        <w:t>C) throughout the monitoring program and analyzed at the same time as the samples</w:t>
      </w:r>
      <w:r w:rsidR="003B4753">
        <w:t xml:space="preserve"> – one </w:t>
      </w:r>
      <w:r w:rsidRPr="00BD16FF">
        <w:t>at the beginning and one at the end of the sequence of runs</w:t>
      </w:r>
      <w:r>
        <w:t>.</w:t>
      </w:r>
    </w:p>
    <w:p w14:paraId="79EE36B1" w14:textId="77777777" w:rsidR="008F3FDC" w:rsidRPr="00E351E3" w:rsidRDefault="008F3FDC" w:rsidP="008F3FDC">
      <w:pPr>
        <w:autoSpaceDE w:val="0"/>
        <w:autoSpaceDN w:val="0"/>
        <w:adjustRightInd w:val="0"/>
        <w:spacing w:after="0" w:line="240" w:lineRule="auto"/>
        <w:ind w:left="0" w:right="0" w:firstLine="0"/>
        <w:rPr>
          <w:rFonts w:eastAsiaTheme="minorEastAsia"/>
        </w:rPr>
      </w:pPr>
    </w:p>
    <w:p w14:paraId="42B52600" w14:textId="1EEEC946" w:rsidR="008F3FDC" w:rsidRPr="00E351E3" w:rsidRDefault="008F3FDC" w:rsidP="00093377">
      <w:pPr>
        <w:numPr>
          <w:ilvl w:val="0"/>
          <w:numId w:val="127"/>
        </w:numPr>
        <w:autoSpaceDE w:val="0"/>
        <w:autoSpaceDN w:val="0"/>
        <w:adjustRightInd w:val="0"/>
        <w:spacing w:after="16" w:line="240" w:lineRule="auto"/>
        <w:ind w:left="1440" w:right="0" w:hanging="360"/>
        <w:rPr>
          <w:rFonts w:eastAsiaTheme="minorEastAsia"/>
        </w:rPr>
      </w:pPr>
      <w:r w:rsidRPr="00E351E3">
        <w:rPr>
          <w:rFonts w:eastAsiaTheme="minorEastAsia"/>
          <w:u w:val="single"/>
        </w:rPr>
        <w:t>Internal standard</w:t>
      </w:r>
      <w:r w:rsidR="000C57FC">
        <w:rPr>
          <w:rFonts w:eastAsiaTheme="minorEastAsia"/>
          <w:u w:val="single"/>
        </w:rPr>
        <w:t>s</w:t>
      </w:r>
      <w:r w:rsidR="00CD30A7" w:rsidRPr="00E351E3">
        <w:rPr>
          <w:rFonts w:eastAsiaTheme="minorEastAsia"/>
          <w:u w:val="single"/>
        </w:rPr>
        <w:t xml:space="preserve"> (gaseous phase)</w:t>
      </w:r>
      <w:r w:rsidR="00D51DF3" w:rsidRPr="00E351E3">
        <w:rPr>
          <w:rFonts w:eastAsiaTheme="minorEastAsia"/>
        </w:rPr>
        <w:t xml:space="preserve"> </w:t>
      </w:r>
      <w:r w:rsidR="00DC6660" w:rsidRPr="00E351E3">
        <w:rPr>
          <w:rFonts w:eastAsiaTheme="minorEastAsia"/>
        </w:rPr>
        <w:t>are introduced</w:t>
      </w:r>
      <w:r w:rsidRPr="00E351E3">
        <w:rPr>
          <w:rFonts w:eastAsiaTheme="minorEastAsia"/>
        </w:rPr>
        <w:t xml:space="preserve"> onto the sorbent tube or focusing trap before primary (tube) desorption, as an additional check of system integrity</w:t>
      </w:r>
      <w:r w:rsidR="00CD30A7" w:rsidRPr="00E351E3">
        <w:rPr>
          <w:rFonts w:eastAsiaTheme="minorEastAsia"/>
        </w:rPr>
        <w:t>.</w:t>
      </w:r>
    </w:p>
    <w:p w14:paraId="2B940F5A" w14:textId="77777777" w:rsidR="00082A08" w:rsidRPr="00E351E3" w:rsidRDefault="00082A08" w:rsidP="00874028">
      <w:pPr>
        <w:spacing w:after="0"/>
        <w:ind w:right="186"/>
      </w:pPr>
    </w:p>
    <w:p w14:paraId="68942842" w14:textId="04FE7FD8" w:rsidR="00082A08" w:rsidRPr="00BD16FF" w:rsidRDefault="00385B4D" w:rsidP="00093377">
      <w:pPr>
        <w:numPr>
          <w:ilvl w:val="0"/>
          <w:numId w:val="127"/>
        </w:numPr>
        <w:spacing w:after="16"/>
        <w:ind w:left="1440" w:right="186" w:hanging="360"/>
      </w:pPr>
      <w:r>
        <w:t xml:space="preserve">Refer to </w:t>
      </w:r>
      <w:r w:rsidR="0063703D">
        <w:t xml:space="preserve">Method </w:t>
      </w:r>
      <w:r>
        <w:t>TO-17 for a</w:t>
      </w:r>
      <w:r w:rsidR="000B20CD">
        <w:t xml:space="preserve">ll other </w:t>
      </w:r>
      <w:r w:rsidR="00A75546">
        <w:t>analytical method criteria</w:t>
      </w:r>
      <w:r>
        <w:t xml:space="preserve"> and specifications.</w:t>
      </w:r>
    </w:p>
    <w:p w14:paraId="0AF02F23" w14:textId="77777777" w:rsidR="00C7221E" w:rsidRPr="001B6B92" w:rsidRDefault="00C7221E" w:rsidP="00DD56C6">
      <w:pPr>
        <w:tabs>
          <w:tab w:val="left" w:pos="8840"/>
        </w:tabs>
      </w:pPr>
    </w:p>
    <w:p w14:paraId="0DD6D0C0" w14:textId="651B01E9" w:rsidR="00F9254D" w:rsidRDefault="001B6B92" w:rsidP="00874028">
      <w:pPr>
        <w:autoSpaceDE w:val="0"/>
        <w:autoSpaceDN w:val="0"/>
        <w:adjustRightInd w:val="0"/>
        <w:spacing w:after="16" w:line="240" w:lineRule="auto"/>
        <w:ind w:left="720" w:right="0" w:firstLine="0"/>
        <w:rPr>
          <w:rFonts w:eastAsiaTheme="minorEastAsia"/>
          <w:color w:val="auto"/>
        </w:rPr>
      </w:pPr>
      <w:r w:rsidRPr="00AE6842">
        <w:rPr>
          <w:rFonts w:eastAsiaTheme="minorEastAsia"/>
          <w:color w:val="auto"/>
        </w:rPr>
        <w:t>Since these methods were develo</w:t>
      </w:r>
      <w:r w:rsidRPr="00574FF0">
        <w:rPr>
          <w:rFonts w:eastAsiaTheme="minorEastAsia"/>
          <w:color w:val="auto"/>
        </w:rPr>
        <w:t xml:space="preserve">ped, new thermal desorption systems </w:t>
      </w:r>
      <w:r w:rsidR="000F7A57">
        <w:rPr>
          <w:rFonts w:eastAsiaTheme="minorEastAsia"/>
          <w:color w:val="auto"/>
        </w:rPr>
        <w:t xml:space="preserve">and </w:t>
      </w:r>
      <w:r w:rsidRPr="003B26D8">
        <w:rPr>
          <w:rFonts w:eastAsiaTheme="minorEastAsia"/>
          <w:color w:val="auto"/>
        </w:rPr>
        <w:t>new types of solid adsorbents have become available commercially.</w:t>
      </w:r>
      <w:r w:rsidR="000A22C5">
        <w:rPr>
          <w:rFonts w:eastAsiaTheme="minorEastAsia"/>
          <w:color w:val="auto"/>
        </w:rPr>
        <w:t xml:space="preserve"> </w:t>
      </w:r>
      <w:r w:rsidRPr="003B26D8">
        <w:rPr>
          <w:rFonts w:eastAsiaTheme="minorEastAsia"/>
          <w:color w:val="auto"/>
        </w:rPr>
        <w:t xml:space="preserve"> These </w:t>
      </w:r>
      <w:proofErr w:type="gramStart"/>
      <w:r w:rsidRPr="003B26D8">
        <w:rPr>
          <w:rFonts w:eastAsiaTheme="minorEastAsia"/>
          <w:color w:val="auto"/>
        </w:rPr>
        <w:t>sorbents</w:t>
      </w:r>
      <w:proofErr w:type="gramEnd"/>
      <w:r w:rsidRPr="003B26D8">
        <w:rPr>
          <w:rFonts w:eastAsiaTheme="minorEastAsia"/>
          <w:color w:val="auto"/>
        </w:rPr>
        <w:t xml:space="preserve"> are used singly or in</w:t>
      </w:r>
      <w:r w:rsidR="000A22C5">
        <w:rPr>
          <w:rFonts w:eastAsiaTheme="minorEastAsia"/>
          <w:color w:val="auto"/>
        </w:rPr>
        <w:t xml:space="preserve"> </w:t>
      </w:r>
      <w:proofErr w:type="spellStart"/>
      <w:r w:rsidRPr="009334A0">
        <w:rPr>
          <w:rFonts w:eastAsiaTheme="minorEastAsia"/>
          <w:color w:val="auto"/>
        </w:rPr>
        <w:t>multisorbent</w:t>
      </w:r>
      <w:proofErr w:type="spellEnd"/>
      <w:r w:rsidRPr="009334A0">
        <w:rPr>
          <w:rFonts w:eastAsiaTheme="minorEastAsia"/>
          <w:color w:val="auto"/>
        </w:rPr>
        <w:t xml:space="preserve"> packings.</w:t>
      </w:r>
      <w:r w:rsidR="000A22C5">
        <w:rPr>
          <w:rFonts w:eastAsiaTheme="minorEastAsia"/>
          <w:color w:val="auto"/>
        </w:rPr>
        <w:t xml:space="preserve"> </w:t>
      </w:r>
      <w:r w:rsidRPr="009334A0">
        <w:rPr>
          <w:rFonts w:eastAsiaTheme="minorEastAsia"/>
          <w:color w:val="auto"/>
        </w:rPr>
        <w:t xml:space="preserve"> Tubes with more than one sorbent, packed in order of increasing sorbent strength are used</w:t>
      </w:r>
      <w:r w:rsidR="00874028">
        <w:rPr>
          <w:rFonts w:eastAsiaTheme="minorEastAsia"/>
          <w:color w:val="auto"/>
        </w:rPr>
        <w:t xml:space="preserve"> </w:t>
      </w:r>
      <w:r w:rsidRPr="006437DA">
        <w:rPr>
          <w:rFonts w:eastAsiaTheme="minorEastAsia"/>
          <w:color w:val="auto"/>
        </w:rPr>
        <w:t>to f</w:t>
      </w:r>
      <w:r w:rsidRPr="00DE47D8">
        <w:rPr>
          <w:rFonts w:eastAsiaTheme="minorEastAsia"/>
          <w:color w:val="auto"/>
        </w:rPr>
        <w:t>acilitate quantitative retention and desorption of VOCs over a wide volatility range.</w:t>
      </w:r>
      <w:r w:rsidR="005F4B9C">
        <w:rPr>
          <w:rFonts w:eastAsiaTheme="minorEastAsia"/>
          <w:color w:val="auto"/>
        </w:rPr>
        <w:t xml:space="preserve"> </w:t>
      </w:r>
      <w:r w:rsidR="002D41D6">
        <w:rPr>
          <w:rFonts w:eastAsiaTheme="minorEastAsia"/>
          <w:color w:val="auto"/>
        </w:rPr>
        <w:t xml:space="preserve"> </w:t>
      </w:r>
      <w:r w:rsidR="00C4706A">
        <w:rPr>
          <w:rFonts w:eastAsiaTheme="minorEastAsia"/>
          <w:color w:val="auto"/>
        </w:rPr>
        <w:t>M</w:t>
      </w:r>
      <w:r w:rsidR="005F4B9C">
        <w:rPr>
          <w:rFonts w:eastAsiaTheme="minorEastAsia"/>
          <w:color w:val="auto"/>
        </w:rPr>
        <w:t>odifications to Method T</w:t>
      </w:r>
      <w:r w:rsidR="00C605ED">
        <w:rPr>
          <w:rFonts w:eastAsiaTheme="minorEastAsia"/>
          <w:color w:val="auto"/>
        </w:rPr>
        <w:t>O-17 by the Contractor to in</w:t>
      </w:r>
      <w:r w:rsidR="002B4B8C">
        <w:rPr>
          <w:rFonts w:eastAsiaTheme="minorEastAsia"/>
          <w:color w:val="auto"/>
        </w:rPr>
        <w:t>corporate these new syste</w:t>
      </w:r>
      <w:r w:rsidR="00162AF6">
        <w:rPr>
          <w:rFonts w:eastAsiaTheme="minorEastAsia"/>
          <w:color w:val="auto"/>
        </w:rPr>
        <w:t>ms</w:t>
      </w:r>
      <w:r w:rsidR="003976C7">
        <w:rPr>
          <w:rFonts w:eastAsiaTheme="minorEastAsia"/>
          <w:color w:val="auto"/>
        </w:rPr>
        <w:t>, adsorb</w:t>
      </w:r>
      <w:r w:rsidR="002D41D6">
        <w:rPr>
          <w:rFonts w:eastAsiaTheme="minorEastAsia"/>
          <w:color w:val="auto"/>
        </w:rPr>
        <w:t>e</w:t>
      </w:r>
      <w:r w:rsidR="003976C7">
        <w:rPr>
          <w:rFonts w:eastAsiaTheme="minorEastAsia"/>
          <w:color w:val="auto"/>
        </w:rPr>
        <w:t>nts</w:t>
      </w:r>
      <w:r w:rsidR="00A748F7">
        <w:rPr>
          <w:rFonts w:eastAsiaTheme="minorEastAsia"/>
          <w:color w:val="auto"/>
        </w:rPr>
        <w:t xml:space="preserve">, or </w:t>
      </w:r>
      <w:r w:rsidR="00E6495F">
        <w:rPr>
          <w:rFonts w:eastAsiaTheme="minorEastAsia"/>
          <w:color w:val="auto"/>
        </w:rPr>
        <w:t xml:space="preserve">related sampling devices must be identified </w:t>
      </w:r>
      <w:r w:rsidR="006142EB">
        <w:rPr>
          <w:rFonts w:eastAsiaTheme="minorEastAsia"/>
          <w:color w:val="auto"/>
        </w:rPr>
        <w:t>to IDEM at sample set</w:t>
      </w:r>
      <w:r w:rsidR="00C838F0">
        <w:rPr>
          <w:rFonts w:eastAsiaTheme="minorEastAsia"/>
          <w:color w:val="auto"/>
        </w:rPr>
        <w:t>up.</w:t>
      </w:r>
    </w:p>
    <w:p w14:paraId="2788DF57" w14:textId="77777777" w:rsidR="001B6B92" w:rsidRDefault="001B6B92" w:rsidP="00B7581C">
      <w:pPr>
        <w:spacing w:after="16" w:line="240" w:lineRule="auto"/>
        <w:ind w:left="720" w:firstLine="0"/>
        <w:rPr>
          <w:rFonts w:eastAsiaTheme="minorEastAsia"/>
          <w:color w:val="auto"/>
        </w:rPr>
      </w:pPr>
    </w:p>
    <w:p w14:paraId="3E1BB118" w14:textId="05BD0610" w:rsidR="00C959E5" w:rsidRPr="00C959E5" w:rsidRDefault="000419E6" w:rsidP="00B7581C">
      <w:pPr>
        <w:spacing w:after="16" w:line="240" w:lineRule="auto"/>
        <w:ind w:left="720" w:firstLine="0"/>
      </w:pPr>
      <w:r>
        <w:t>At sample setup, t</w:t>
      </w:r>
      <w:r w:rsidR="00574FF0">
        <w:t xml:space="preserve">he Contractor </w:t>
      </w:r>
      <w:r>
        <w:t xml:space="preserve">shall communicate with IDEM to select appropriate </w:t>
      </w:r>
      <w:proofErr w:type="gramStart"/>
      <w:r>
        <w:t>sorbent</w:t>
      </w:r>
      <w:proofErr w:type="gramEnd"/>
      <w:r>
        <w:t xml:space="preserve"> sampling device</w:t>
      </w:r>
      <w:r w:rsidR="00E351E3">
        <w:t>s</w:t>
      </w:r>
      <w:r>
        <w:t xml:space="preserve">, </w:t>
      </w:r>
      <w:r w:rsidR="00EA6559">
        <w:t xml:space="preserve">adsorbent media, sampling device deployment time, and sampling mode (active or passive) to match with the target </w:t>
      </w:r>
      <w:r w:rsidR="00811DE4">
        <w:t>VOC analytes and project DQOs</w:t>
      </w:r>
      <w:r w:rsidR="0099254B">
        <w:t xml:space="preserve">. </w:t>
      </w:r>
      <w:r w:rsidR="002F3994">
        <w:t xml:space="preserve"> </w:t>
      </w:r>
      <w:r w:rsidR="00DE47D8">
        <w:t xml:space="preserve">The Contractor shall also </w:t>
      </w:r>
      <w:r w:rsidR="001A7B45">
        <w:t xml:space="preserve">establish and provide copies of a Field Test Data Sheet (see Method TO-17) for recording </w:t>
      </w:r>
      <w:r w:rsidR="000B6B22">
        <w:t xml:space="preserve">specific </w:t>
      </w:r>
      <w:r w:rsidR="001A7B45">
        <w:t xml:space="preserve">field information </w:t>
      </w:r>
      <w:r w:rsidR="000B6B22">
        <w:t xml:space="preserve">(temperature, pressure, flow rate, sampling period, etc.) </w:t>
      </w:r>
      <w:r w:rsidR="001A7B45">
        <w:t>needed for cal</w:t>
      </w:r>
      <w:r w:rsidR="000B6B22">
        <w:t xml:space="preserve">culating </w:t>
      </w:r>
      <w:r w:rsidR="006C4D93">
        <w:t xml:space="preserve">analyte results </w:t>
      </w:r>
      <w:r w:rsidR="007843B4">
        <w:t xml:space="preserve">when using the </w:t>
      </w:r>
      <w:r w:rsidR="006D1FDF">
        <w:t xml:space="preserve">selected </w:t>
      </w:r>
      <w:r w:rsidR="007843B4">
        <w:t>sorbent samplers</w:t>
      </w:r>
      <w:r w:rsidR="0097781A">
        <w:t>.</w:t>
      </w:r>
    </w:p>
    <w:p w14:paraId="6052CCE1" w14:textId="4E9633AA" w:rsidR="00DD56C6" w:rsidRDefault="00DD56C6" w:rsidP="00B24D3A">
      <w:pPr>
        <w:spacing w:after="16" w:line="240" w:lineRule="auto"/>
        <w:ind w:left="0" w:firstLine="0"/>
        <w:rPr>
          <w:rFonts w:eastAsiaTheme="minorEastAsia"/>
          <w:color w:val="auto"/>
        </w:rPr>
      </w:pPr>
    </w:p>
    <w:p w14:paraId="3C43BAC3" w14:textId="653120A2" w:rsidR="00DD56C6" w:rsidRDefault="00DD56C6" w:rsidP="00B24D3A">
      <w:pPr>
        <w:spacing w:after="16" w:line="240" w:lineRule="auto"/>
        <w:ind w:left="0" w:firstLine="0"/>
        <w:rPr>
          <w:rFonts w:eastAsiaTheme="minorEastAsia"/>
          <w:color w:val="auto"/>
        </w:rPr>
      </w:pPr>
    </w:p>
    <w:p w14:paraId="73C96F72" w14:textId="77777777" w:rsidR="006F5F1F" w:rsidRDefault="006F5F1F" w:rsidP="00B24D3A">
      <w:pPr>
        <w:spacing w:after="16" w:line="240" w:lineRule="auto"/>
        <w:ind w:left="0" w:firstLine="0"/>
        <w:rPr>
          <w:rFonts w:eastAsiaTheme="minorEastAsia"/>
          <w:color w:val="auto"/>
        </w:rPr>
      </w:pPr>
    </w:p>
    <w:p w14:paraId="61B48531" w14:textId="77777777" w:rsidR="006F5F1F" w:rsidRDefault="006F5F1F" w:rsidP="00B24D3A">
      <w:pPr>
        <w:spacing w:after="16" w:line="240" w:lineRule="auto"/>
        <w:ind w:left="0" w:firstLine="0"/>
        <w:rPr>
          <w:rFonts w:eastAsiaTheme="minorEastAsia"/>
          <w:color w:val="auto"/>
        </w:rPr>
      </w:pPr>
    </w:p>
    <w:p w14:paraId="22A35635" w14:textId="77777777" w:rsidR="006F5F1F" w:rsidRDefault="006F5F1F" w:rsidP="00B24D3A">
      <w:pPr>
        <w:spacing w:after="16" w:line="240" w:lineRule="auto"/>
        <w:ind w:left="0" w:firstLine="0"/>
        <w:rPr>
          <w:rFonts w:eastAsiaTheme="minorEastAsia"/>
          <w:color w:val="auto"/>
        </w:rPr>
      </w:pPr>
    </w:p>
    <w:p w14:paraId="5D1A0515" w14:textId="77777777" w:rsidR="00F7260D" w:rsidRPr="00C31E1B" w:rsidRDefault="00F7260D" w:rsidP="00F7260D">
      <w:pPr>
        <w:pStyle w:val="Heading5"/>
        <w:spacing w:after="16" w:line="247" w:lineRule="auto"/>
        <w:ind w:left="1090" w:right="186"/>
      </w:pPr>
      <w:r>
        <w:t>THE REMAINDER OF THIS PAGE HAS BEEN LEFT BLANK INTENTIONALLY</w:t>
      </w:r>
    </w:p>
    <w:p w14:paraId="678D52A7" w14:textId="77777777" w:rsidR="006F5F1F" w:rsidRDefault="006F5F1F" w:rsidP="00B24D3A">
      <w:pPr>
        <w:spacing w:after="16" w:line="240" w:lineRule="auto"/>
        <w:ind w:left="0" w:firstLine="0"/>
        <w:rPr>
          <w:rFonts w:eastAsiaTheme="minorEastAsia"/>
          <w:color w:val="auto"/>
        </w:rPr>
      </w:pPr>
    </w:p>
    <w:p w14:paraId="71620A55" w14:textId="77777777" w:rsidR="006F5F1F" w:rsidRDefault="006F5F1F" w:rsidP="00B24D3A">
      <w:pPr>
        <w:spacing w:after="16" w:line="240" w:lineRule="auto"/>
        <w:ind w:left="0" w:firstLine="0"/>
        <w:rPr>
          <w:rFonts w:eastAsiaTheme="minorEastAsia"/>
          <w:color w:val="auto"/>
        </w:rPr>
      </w:pPr>
    </w:p>
    <w:p w14:paraId="3983F8C8" w14:textId="77777777" w:rsidR="006F5F1F" w:rsidRDefault="006F5F1F" w:rsidP="00B24D3A">
      <w:pPr>
        <w:spacing w:after="16" w:line="240" w:lineRule="auto"/>
        <w:ind w:left="0" w:firstLine="0"/>
        <w:rPr>
          <w:rFonts w:eastAsiaTheme="minorEastAsia"/>
          <w:color w:val="auto"/>
        </w:rPr>
      </w:pPr>
    </w:p>
    <w:p w14:paraId="33572DC4" w14:textId="77777777" w:rsidR="006F5F1F" w:rsidRDefault="006F5F1F" w:rsidP="00B24D3A">
      <w:pPr>
        <w:spacing w:after="16" w:line="240" w:lineRule="auto"/>
        <w:ind w:left="0" w:firstLine="0"/>
        <w:rPr>
          <w:rFonts w:eastAsiaTheme="minorEastAsia"/>
          <w:color w:val="auto"/>
        </w:rPr>
      </w:pPr>
    </w:p>
    <w:p w14:paraId="4FF674BE" w14:textId="75640E40" w:rsidR="00DD56C6" w:rsidRDefault="00DD56C6">
      <w:pPr>
        <w:spacing w:after="160" w:line="259" w:lineRule="auto"/>
        <w:ind w:left="0" w:right="0" w:firstLine="0"/>
        <w:rPr>
          <w:rFonts w:eastAsiaTheme="minorEastAsia"/>
          <w:color w:val="auto"/>
        </w:rPr>
      </w:pPr>
    </w:p>
    <w:p w14:paraId="6924EC36" w14:textId="5534EC41" w:rsidR="00F76892" w:rsidRDefault="00F76892" w:rsidP="002F43EA">
      <w:pPr>
        <w:tabs>
          <w:tab w:val="left" w:pos="8840"/>
        </w:tabs>
        <w:rPr>
          <w:rFonts w:ascii="Arial" w:eastAsia="Arial" w:hAnsi="Arial" w:cs="Arial"/>
          <w:b/>
          <w:sz w:val="24"/>
        </w:rPr>
      </w:pPr>
      <w:r>
        <w:rPr>
          <w:rFonts w:ascii="Calibri" w:eastAsia="Calibri" w:hAnsi="Calibri" w:cs="Calibri"/>
          <w:noProof/>
        </w:rPr>
        <w:lastRenderedPageBreak/>
        <mc:AlternateContent>
          <mc:Choice Requires="wpg">
            <w:drawing>
              <wp:inline distT="0" distB="0" distL="0" distR="0" wp14:anchorId="60B7FBBD" wp14:editId="1BA254B5">
                <wp:extent cx="6524955" cy="45719"/>
                <wp:effectExtent l="0" t="0" r="9525" b="12065"/>
                <wp:docPr id="267126436" name="Group 267126436"/>
                <wp:cNvGraphicFramePr/>
                <a:graphic xmlns:a="http://schemas.openxmlformats.org/drawingml/2006/main">
                  <a:graphicData uri="http://schemas.microsoft.com/office/word/2010/wordprocessingGroup">
                    <wpg:wgp>
                      <wpg:cNvGrpSpPr/>
                      <wpg:grpSpPr>
                        <a:xfrm flipV="1">
                          <a:off x="0" y="0"/>
                          <a:ext cx="6524955" cy="45719"/>
                          <a:chOff x="0" y="0"/>
                          <a:chExt cx="6217920" cy="57150"/>
                        </a:xfrm>
                      </wpg:grpSpPr>
                      <wps:wsp>
                        <wps:cNvPr id="1682977685" name="Shape 899809"/>
                        <wps:cNvSpPr/>
                        <wps:spPr>
                          <a:xfrm>
                            <a:off x="0" y="22860"/>
                            <a:ext cx="6217920" cy="34290"/>
                          </a:xfrm>
                          <a:custGeom>
                            <a:avLst/>
                            <a:gdLst/>
                            <a:ahLst/>
                            <a:cxnLst/>
                            <a:rect l="0" t="0" r="0" b="0"/>
                            <a:pathLst>
                              <a:path w="6217920" h="34290">
                                <a:moveTo>
                                  <a:pt x="0" y="0"/>
                                </a:moveTo>
                                <a:lnTo>
                                  <a:pt x="6217920" y="0"/>
                                </a:lnTo>
                                <a:lnTo>
                                  <a:pt x="6217920" y="34290"/>
                                </a:lnTo>
                                <a:lnTo>
                                  <a:pt x="0" y="3429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74136939" name="Shape 899810"/>
                        <wps:cNvSpPr/>
                        <wps:spPr>
                          <a:xfrm>
                            <a:off x="0" y="0"/>
                            <a:ext cx="6217920" cy="11430"/>
                          </a:xfrm>
                          <a:custGeom>
                            <a:avLst/>
                            <a:gdLst/>
                            <a:ahLst/>
                            <a:cxnLst/>
                            <a:rect l="0" t="0" r="0" b="0"/>
                            <a:pathLst>
                              <a:path w="6217920" h="11430">
                                <a:moveTo>
                                  <a:pt x="0" y="0"/>
                                </a:moveTo>
                                <a:lnTo>
                                  <a:pt x="6217920" y="0"/>
                                </a:lnTo>
                                <a:lnTo>
                                  <a:pt x="6217920" y="11430"/>
                                </a:lnTo>
                                <a:lnTo>
                                  <a:pt x="0" y="114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rto="http://schemas.microsoft.com/office/word/2006/arto">
            <w:pict>
              <v:group w14:anchorId="06A023D9" id="Group 267126436" o:spid="_x0000_s1026" style="width:513.8pt;height:3.6pt;flip:y;mso-position-horizontal-relative:char;mso-position-vertical-relative:line" coordsize="62179,5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">
                <v:shape id="Shape 899809" o:spid="_x0000_s1027" style="position:absolute;top:228;width:62179;height:343;visibility:visible;mso-wrap-style:square;v-text-anchor:top" coordsize="6217920,34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" path="m,l6217920,r,34290l,34290,,e" fillcolor="black" stroked="f" strokeweight="0">
                  <v:stroke miterlimit="83231f" joinstyle="miter"/>
                  <v:path arrowok="t" textboxrect="0,0,6217920,34290"/>
                </v:shape>
                <v:shape id="Shape 899810" o:spid="_x0000_s1028" style="position:absolute;width:62179;height:114;visibility:visible;mso-wrap-style:square;v-text-anchor:top" coordsize="6217920,114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" path="m,l6217920,r,11430l,11430,,e" fillcolor="black" stroked="f" strokeweight="0">
                  <v:stroke miterlimit="83231f" joinstyle="miter"/>
                  <v:path arrowok="t" textboxrect="0,0,6217920,11430"/>
                </v:shape>
                <w10:anchorlock/>
              </v:group>
            </w:pict>
          </mc:Fallback>
        </mc:AlternateContent>
      </w:r>
    </w:p>
    <w:p w14:paraId="4886C489" w14:textId="77777777" w:rsidR="00F76892" w:rsidRPr="003E1236" w:rsidRDefault="00F76892" w:rsidP="00F76892">
      <w:pPr>
        <w:spacing w:after="0" w:line="259" w:lineRule="auto"/>
        <w:ind w:left="0" w:right="0" w:firstLine="0"/>
        <w:rPr>
          <w:sz w:val="10"/>
          <w:szCs w:val="10"/>
        </w:rPr>
      </w:pPr>
    </w:p>
    <w:p w14:paraId="15A48510" w14:textId="464FAE91" w:rsidR="00F76892" w:rsidRDefault="00BB624A" w:rsidP="002F43EA">
      <w:pPr>
        <w:spacing w:after="0" w:line="259" w:lineRule="auto"/>
        <w:ind w:left="0" w:right="0" w:firstLine="0"/>
        <w:jc w:val="center"/>
        <w:rPr>
          <w:rFonts w:ascii="Calibri" w:eastAsia="Calibri" w:hAnsi="Calibri" w:cs="Calibri"/>
          <w:noProof/>
        </w:rPr>
      </w:pPr>
      <w:r w:rsidRPr="004F22BA">
        <w:rPr>
          <w:b/>
          <w:sz w:val="24"/>
          <w:szCs w:val="24"/>
        </w:rPr>
        <w:t xml:space="preserve">XV. </w:t>
      </w:r>
      <w:r w:rsidR="00D21F48">
        <w:rPr>
          <w:b/>
          <w:sz w:val="24"/>
          <w:szCs w:val="24"/>
        </w:rPr>
        <w:t xml:space="preserve">USEPA </w:t>
      </w:r>
      <w:r w:rsidRPr="004F22BA">
        <w:rPr>
          <w:b/>
          <w:sz w:val="24"/>
          <w:szCs w:val="24"/>
        </w:rPr>
        <w:t xml:space="preserve">PFAS </w:t>
      </w:r>
      <w:r w:rsidR="00445483" w:rsidRPr="00445483">
        <w:rPr>
          <w:b/>
          <w:sz w:val="24"/>
          <w:szCs w:val="24"/>
        </w:rPr>
        <w:t xml:space="preserve">ANALYTICAL AND QA/QC REQUIREMENTS </w:t>
      </w:r>
      <w:r w:rsidR="00F76892">
        <w:rPr>
          <w:rFonts w:ascii="Calibri" w:eastAsia="Calibri" w:hAnsi="Calibri" w:cs="Calibri"/>
          <w:noProof/>
        </w:rPr>
        <mc:AlternateContent>
          <mc:Choice Requires="wpg">
            <w:drawing>
              <wp:inline distT="0" distB="0" distL="0" distR="0" wp14:anchorId="1FF58873" wp14:editId="22CE9961">
                <wp:extent cx="6517843" cy="45719"/>
                <wp:effectExtent l="0" t="0" r="0" b="12065"/>
                <wp:docPr id="1568528327" name="Group 1568528327"/>
                <wp:cNvGraphicFramePr/>
                <a:graphic xmlns:a="http://schemas.openxmlformats.org/drawingml/2006/main">
                  <a:graphicData uri="http://schemas.microsoft.com/office/word/2010/wordprocessingGroup">
                    <wpg:wgp>
                      <wpg:cNvGrpSpPr/>
                      <wpg:grpSpPr>
                        <a:xfrm flipV="1">
                          <a:off x="0" y="0"/>
                          <a:ext cx="6517843" cy="45719"/>
                          <a:chOff x="0" y="0"/>
                          <a:chExt cx="6217920" cy="57150"/>
                        </a:xfrm>
                      </wpg:grpSpPr>
                      <wps:wsp>
                        <wps:cNvPr id="73345096" name="Shape 899809"/>
                        <wps:cNvSpPr/>
                        <wps:spPr>
                          <a:xfrm>
                            <a:off x="0" y="22860"/>
                            <a:ext cx="6217920" cy="34290"/>
                          </a:xfrm>
                          <a:custGeom>
                            <a:avLst/>
                            <a:gdLst/>
                            <a:ahLst/>
                            <a:cxnLst/>
                            <a:rect l="0" t="0" r="0" b="0"/>
                            <a:pathLst>
                              <a:path w="6217920" h="34290">
                                <a:moveTo>
                                  <a:pt x="0" y="0"/>
                                </a:moveTo>
                                <a:lnTo>
                                  <a:pt x="6217920" y="0"/>
                                </a:lnTo>
                                <a:lnTo>
                                  <a:pt x="6217920" y="34290"/>
                                </a:lnTo>
                                <a:lnTo>
                                  <a:pt x="0" y="3429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37210406" name="Shape 899810"/>
                        <wps:cNvSpPr/>
                        <wps:spPr>
                          <a:xfrm>
                            <a:off x="0" y="0"/>
                            <a:ext cx="6217920" cy="11430"/>
                          </a:xfrm>
                          <a:custGeom>
                            <a:avLst/>
                            <a:gdLst/>
                            <a:ahLst/>
                            <a:cxnLst/>
                            <a:rect l="0" t="0" r="0" b="0"/>
                            <a:pathLst>
                              <a:path w="6217920" h="11430">
                                <a:moveTo>
                                  <a:pt x="0" y="0"/>
                                </a:moveTo>
                                <a:lnTo>
                                  <a:pt x="6217920" y="0"/>
                                </a:lnTo>
                                <a:lnTo>
                                  <a:pt x="6217920" y="11430"/>
                                </a:lnTo>
                                <a:lnTo>
                                  <a:pt x="0" y="1143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rto="http://schemas.microsoft.com/office/word/2006/arto">
            <w:pict>
              <v:group w14:anchorId="5A237B18" id="Group 1568528327" o:spid="_x0000_s1026" style="width:513.2pt;height:3.6pt;flip:y;mso-position-horizontal-relative:char;mso-position-vertical-relative:line" coordsize="62179,5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">
                <v:shape id="Shape 899809" o:spid="_x0000_s1027" style="position:absolute;top:228;width:62179;height:343;visibility:visible;mso-wrap-style:square;v-text-anchor:top" coordsize="6217920,34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" path="m,l6217920,r,34290l,34290,,e" fillcolor="black" stroked="f" strokeweight="0">
                  <v:stroke miterlimit="83231f" joinstyle="miter"/>
                  <v:path arrowok="t" textboxrect="0,0,6217920,34290"/>
                </v:shape>
                <v:shape id="Shape 899810" o:spid="_x0000_s1028" style="position:absolute;width:62179;height:114;visibility:visible;mso-wrap-style:square;v-text-anchor:top" coordsize="6217920,114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" path="m,l6217920,r,11430l,11430,,e" fillcolor="black" stroked="f" strokeweight="0">
                  <v:stroke miterlimit="83231f" joinstyle="miter"/>
                  <v:path arrowok="t" textboxrect="0,0,6217920,11430"/>
                </v:shape>
                <w10:anchorlock/>
              </v:group>
            </w:pict>
          </mc:Fallback>
        </mc:AlternateContent>
      </w:r>
    </w:p>
    <w:p w14:paraId="63918569" w14:textId="77777777" w:rsidR="00F76892" w:rsidRPr="00DD56C6" w:rsidRDefault="00F76892" w:rsidP="00F76892"/>
    <w:p w14:paraId="0740251E" w14:textId="680CA0FA" w:rsidR="00F76892" w:rsidRPr="004132E4" w:rsidRDefault="00C97E2F" w:rsidP="00622D2D">
      <w:pPr>
        <w:tabs>
          <w:tab w:val="left" w:pos="8840"/>
        </w:tabs>
        <w:ind w:left="360"/>
        <w:rPr>
          <w:b/>
          <w:bCs/>
        </w:rPr>
      </w:pPr>
      <w:r>
        <w:rPr>
          <w:b/>
          <w:bCs/>
        </w:rPr>
        <w:t xml:space="preserve">The PFAS methods should be </w:t>
      </w:r>
      <w:r w:rsidR="000C57FC">
        <w:rPr>
          <w:b/>
          <w:bCs/>
        </w:rPr>
        <w:t>followed,</w:t>
      </w:r>
      <w:r>
        <w:rPr>
          <w:b/>
          <w:bCs/>
        </w:rPr>
        <w:t xml:space="preserve"> or a</w:t>
      </w:r>
      <w:r w:rsidR="003A57C6" w:rsidRPr="004132E4">
        <w:rPr>
          <w:b/>
          <w:bCs/>
        </w:rPr>
        <w:t xml:space="preserve">lternative or equivalent methods may be proposed for any of these protocols.  The Contractor shall obtain approval from the IDEM/OLQ QAO to substitute alternative or equivalent methodology.  </w:t>
      </w:r>
      <w:r w:rsidR="00C504A6" w:rsidRPr="004132E4">
        <w:rPr>
          <w:b/>
          <w:bCs/>
        </w:rPr>
        <w:t xml:space="preserve">Unless otherwise noted, </w:t>
      </w:r>
      <w:r w:rsidR="00143FB4" w:rsidRPr="004132E4">
        <w:rPr>
          <w:b/>
          <w:bCs/>
        </w:rPr>
        <w:t>the following requirements</w:t>
      </w:r>
      <w:r w:rsidR="002805B9" w:rsidRPr="004132E4">
        <w:rPr>
          <w:b/>
          <w:bCs/>
        </w:rPr>
        <w:t xml:space="preserve"> a</w:t>
      </w:r>
      <w:r w:rsidR="00F36C9C" w:rsidRPr="004132E4">
        <w:rPr>
          <w:b/>
          <w:bCs/>
        </w:rPr>
        <w:t>pply</w:t>
      </w:r>
      <w:r w:rsidR="00475038" w:rsidRPr="004132E4">
        <w:rPr>
          <w:b/>
          <w:bCs/>
        </w:rPr>
        <w:t xml:space="preserve"> to </w:t>
      </w:r>
      <w:r w:rsidR="00143FB4" w:rsidRPr="004132E4">
        <w:rPr>
          <w:b/>
          <w:bCs/>
        </w:rPr>
        <w:t xml:space="preserve">the PFAS methods </w:t>
      </w:r>
      <w:r w:rsidR="00475038" w:rsidRPr="004132E4">
        <w:rPr>
          <w:b/>
          <w:bCs/>
        </w:rPr>
        <w:t>listed below.</w:t>
      </w:r>
    </w:p>
    <w:p w14:paraId="74C4CE5B" w14:textId="77777777" w:rsidR="00C504A6" w:rsidRDefault="00C504A6" w:rsidP="00E03F9F">
      <w:pPr>
        <w:tabs>
          <w:tab w:val="left" w:pos="8840"/>
        </w:tabs>
        <w:ind w:left="360"/>
      </w:pPr>
    </w:p>
    <w:p w14:paraId="36FBA1B9" w14:textId="2E16A7AA" w:rsidR="00A44DBC" w:rsidRDefault="00A44DBC" w:rsidP="00622D2D">
      <w:pPr>
        <w:spacing w:after="0" w:line="259" w:lineRule="auto"/>
        <w:ind w:left="360" w:right="0" w:firstLine="0"/>
        <w:rPr>
          <w:b/>
          <w:bCs/>
        </w:rPr>
      </w:pPr>
      <w:r w:rsidRPr="00C75070">
        <w:rPr>
          <w:b/>
          <w:bCs/>
        </w:rPr>
        <w:t>D</w:t>
      </w:r>
      <w:r w:rsidR="008575F8">
        <w:rPr>
          <w:b/>
          <w:bCs/>
        </w:rPr>
        <w:t>et</w:t>
      </w:r>
      <w:r w:rsidR="00235FA5">
        <w:rPr>
          <w:b/>
          <w:bCs/>
        </w:rPr>
        <w:t>e</w:t>
      </w:r>
      <w:r w:rsidR="008575F8">
        <w:rPr>
          <w:b/>
          <w:bCs/>
        </w:rPr>
        <w:t>rmination of Selected</w:t>
      </w:r>
      <w:r w:rsidRPr="00C75070">
        <w:rPr>
          <w:b/>
          <w:bCs/>
        </w:rPr>
        <w:t xml:space="preserve"> P</w:t>
      </w:r>
      <w:r w:rsidR="00F93A25">
        <w:rPr>
          <w:b/>
          <w:bCs/>
        </w:rPr>
        <w:t>er</w:t>
      </w:r>
      <w:r w:rsidRPr="00C75070">
        <w:rPr>
          <w:b/>
          <w:bCs/>
        </w:rPr>
        <w:t xml:space="preserve">- </w:t>
      </w:r>
      <w:r w:rsidR="00F93A25">
        <w:rPr>
          <w:b/>
          <w:bCs/>
        </w:rPr>
        <w:t>and</w:t>
      </w:r>
      <w:r w:rsidRPr="00C75070">
        <w:rPr>
          <w:b/>
          <w:bCs/>
        </w:rPr>
        <w:t xml:space="preserve"> P</w:t>
      </w:r>
      <w:r w:rsidR="00F93A25">
        <w:rPr>
          <w:b/>
          <w:bCs/>
        </w:rPr>
        <w:t>olyfluor</w:t>
      </w:r>
      <w:r w:rsidR="00EC07D7">
        <w:rPr>
          <w:b/>
          <w:bCs/>
        </w:rPr>
        <w:t xml:space="preserve">inated </w:t>
      </w:r>
      <w:r w:rsidRPr="00C75070">
        <w:rPr>
          <w:b/>
          <w:bCs/>
        </w:rPr>
        <w:t>A</w:t>
      </w:r>
      <w:r w:rsidR="00EC07D7">
        <w:rPr>
          <w:b/>
          <w:bCs/>
        </w:rPr>
        <w:t>lkyl</w:t>
      </w:r>
      <w:r w:rsidRPr="00C75070">
        <w:rPr>
          <w:b/>
          <w:bCs/>
        </w:rPr>
        <w:t xml:space="preserve"> S</w:t>
      </w:r>
      <w:r w:rsidR="00EC07D7">
        <w:rPr>
          <w:b/>
          <w:bCs/>
        </w:rPr>
        <w:t>ubstances</w:t>
      </w:r>
      <w:r w:rsidR="00E877F0">
        <w:rPr>
          <w:b/>
          <w:bCs/>
        </w:rPr>
        <w:t xml:space="preserve"> in</w:t>
      </w:r>
      <w:r w:rsidRPr="00C75070">
        <w:rPr>
          <w:b/>
          <w:bCs/>
        </w:rPr>
        <w:t xml:space="preserve"> D</w:t>
      </w:r>
      <w:r w:rsidR="00E877F0">
        <w:rPr>
          <w:b/>
          <w:bCs/>
        </w:rPr>
        <w:t xml:space="preserve">rinking </w:t>
      </w:r>
      <w:r w:rsidRPr="00C75070">
        <w:rPr>
          <w:b/>
          <w:bCs/>
        </w:rPr>
        <w:t>W</w:t>
      </w:r>
      <w:r w:rsidR="00E877F0">
        <w:rPr>
          <w:b/>
          <w:bCs/>
        </w:rPr>
        <w:t>ater by</w:t>
      </w:r>
      <w:r w:rsidRPr="00C75070">
        <w:rPr>
          <w:b/>
          <w:bCs/>
        </w:rPr>
        <w:t xml:space="preserve"> S</w:t>
      </w:r>
      <w:r w:rsidR="00E877F0">
        <w:rPr>
          <w:b/>
          <w:bCs/>
        </w:rPr>
        <w:t>olid</w:t>
      </w:r>
      <w:r w:rsidRPr="00C75070">
        <w:rPr>
          <w:b/>
          <w:bCs/>
        </w:rPr>
        <w:t xml:space="preserve"> P</w:t>
      </w:r>
      <w:r w:rsidR="00E877F0">
        <w:rPr>
          <w:b/>
          <w:bCs/>
        </w:rPr>
        <w:t>hase</w:t>
      </w:r>
      <w:r w:rsidRPr="00C75070">
        <w:rPr>
          <w:b/>
          <w:bCs/>
        </w:rPr>
        <w:t xml:space="preserve"> E</w:t>
      </w:r>
      <w:r w:rsidR="00E877F0">
        <w:rPr>
          <w:b/>
          <w:bCs/>
        </w:rPr>
        <w:t>xtraction and</w:t>
      </w:r>
      <w:r w:rsidRPr="00C75070">
        <w:rPr>
          <w:b/>
          <w:bCs/>
        </w:rPr>
        <w:t xml:space="preserve"> L</w:t>
      </w:r>
      <w:r w:rsidR="00E877F0">
        <w:rPr>
          <w:b/>
          <w:bCs/>
        </w:rPr>
        <w:t>iquid</w:t>
      </w:r>
      <w:r w:rsidRPr="00C75070">
        <w:rPr>
          <w:b/>
          <w:bCs/>
        </w:rPr>
        <w:t xml:space="preserve"> C</w:t>
      </w:r>
      <w:r w:rsidR="00E877F0">
        <w:rPr>
          <w:b/>
          <w:bCs/>
        </w:rPr>
        <w:t>hromatography</w:t>
      </w:r>
      <w:r w:rsidRPr="00C75070">
        <w:rPr>
          <w:b/>
          <w:bCs/>
        </w:rPr>
        <w:t>/T</w:t>
      </w:r>
      <w:r w:rsidR="001A6295">
        <w:rPr>
          <w:b/>
          <w:bCs/>
        </w:rPr>
        <w:t>andem</w:t>
      </w:r>
      <w:r w:rsidRPr="00C75070">
        <w:rPr>
          <w:b/>
          <w:bCs/>
        </w:rPr>
        <w:t xml:space="preserve"> M</w:t>
      </w:r>
      <w:r w:rsidR="001A6295">
        <w:rPr>
          <w:b/>
          <w:bCs/>
        </w:rPr>
        <w:t>ass</w:t>
      </w:r>
      <w:r w:rsidRPr="00C75070">
        <w:rPr>
          <w:b/>
          <w:bCs/>
        </w:rPr>
        <w:t xml:space="preserve"> S</w:t>
      </w:r>
      <w:r w:rsidR="001A6295">
        <w:rPr>
          <w:b/>
          <w:bCs/>
        </w:rPr>
        <w:t>pect</w:t>
      </w:r>
      <w:r w:rsidR="009B6D94">
        <w:rPr>
          <w:b/>
          <w:bCs/>
        </w:rPr>
        <w:t>r</w:t>
      </w:r>
      <w:r w:rsidR="001A6295">
        <w:rPr>
          <w:b/>
          <w:bCs/>
        </w:rPr>
        <w:t>ometry</w:t>
      </w:r>
      <w:r w:rsidRPr="00C75070">
        <w:rPr>
          <w:b/>
          <w:bCs/>
        </w:rPr>
        <w:t xml:space="preserve"> (LC</w:t>
      </w:r>
      <w:r w:rsidR="009914C2">
        <w:rPr>
          <w:b/>
          <w:bCs/>
        </w:rPr>
        <w:t>-</w:t>
      </w:r>
      <w:r w:rsidRPr="00C75070">
        <w:rPr>
          <w:b/>
          <w:bCs/>
        </w:rPr>
        <w:t>MS/MS)</w:t>
      </w:r>
      <w:r>
        <w:rPr>
          <w:b/>
          <w:bCs/>
        </w:rPr>
        <w:t xml:space="preserve"> (Method 537.1)</w:t>
      </w:r>
    </w:p>
    <w:p w14:paraId="6E781032" w14:textId="77777777" w:rsidR="00A44DBC" w:rsidRDefault="00A44DBC" w:rsidP="00E03F9F">
      <w:pPr>
        <w:spacing w:after="0" w:line="259" w:lineRule="auto"/>
        <w:ind w:left="360" w:right="0" w:firstLine="0"/>
        <w:rPr>
          <w:b/>
          <w:bCs/>
        </w:rPr>
      </w:pPr>
    </w:p>
    <w:p w14:paraId="0F122DC7" w14:textId="4ECE8021" w:rsidR="00A44DBC" w:rsidRDefault="00A44DBC" w:rsidP="00622D2D">
      <w:pPr>
        <w:spacing w:after="0" w:line="259" w:lineRule="auto"/>
        <w:ind w:left="360" w:right="0" w:firstLine="0"/>
        <w:rPr>
          <w:b/>
          <w:bCs/>
        </w:rPr>
      </w:pPr>
      <w:r w:rsidRPr="00F8070E">
        <w:rPr>
          <w:b/>
          <w:bCs/>
        </w:rPr>
        <w:t>D</w:t>
      </w:r>
      <w:r w:rsidR="00F2553F">
        <w:rPr>
          <w:b/>
          <w:bCs/>
        </w:rPr>
        <w:t>etermin</w:t>
      </w:r>
      <w:r w:rsidR="007C44E9">
        <w:rPr>
          <w:b/>
          <w:bCs/>
        </w:rPr>
        <w:t>ation</w:t>
      </w:r>
      <w:r w:rsidRPr="00F8070E">
        <w:rPr>
          <w:b/>
          <w:bCs/>
        </w:rPr>
        <w:t xml:space="preserve"> </w:t>
      </w:r>
      <w:r w:rsidR="007C44E9">
        <w:rPr>
          <w:b/>
          <w:bCs/>
        </w:rPr>
        <w:t>of</w:t>
      </w:r>
      <w:r w:rsidRPr="00F8070E">
        <w:rPr>
          <w:b/>
          <w:bCs/>
        </w:rPr>
        <w:t xml:space="preserve"> P</w:t>
      </w:r>
      <w:r w:rsidR="007C44E9">
        <w:rPr>
          <w:b/>
          <w:bCs/>
        </w:rPr>
        <w:t>er</w:t>
      </w:r>
      <w:r w:rsidRPr="00F8070E">
        <w:rPr>
          <w:b/>
          <w:bCs/>
        </w:rPr>
        <w:t>-</w:t>
      </w:r>
      <w:r w:rsidR="00FF48DD">
        <w:rPr>
          <w:b/>
          <w:bCs/>
        </w:rPr>
        <w:t xml:space="preserve"> </w:t>
      </w:r>
      <w:r w:rsidR="007C44E9">
        <w:rPr>
          <w:b/>
          <w:bCs/>
        </w:rPr>
        <w:t>and</w:t>
      </w:r>
      <w:r w:rsidRPr="00F8070E">
        <w:rPr>
          <w:b/>
          <w:bCs/>
        </w:rPr>
        <w:t xml:space="preserve"> P</w:t>
      </w:r>
      <w:r w:rsidR="007C44E9">
        <w:rPr>
          <w:b/>
          <w:bCs/>
        </w:rPr>
        <w:t>oly</w:t>
      </w:r>
      <w:r w:rsidR="00587C54">
        <w:rPr>
          <w:b/>
          <w:bCs/>
        </w:rPr>
        <w:t>fluoroalkyl</w:t>
      </w:r>
      <w:r w:rsidRPr="00F8070E">
        <w:rPr>
          <w:b/>
          <w:bCs/>
        </w:rPr>
        <w:t xml:space="preserve"> S</w:t>
      </w:r>
      <w:r w:rsidR="00B45F71">
        <w:rPr>
          <w:b/>
          <w:bCs/>
        </w:rPr>
        <w:t>ubstances in</w:t>
      </w:r>
      <w:r w:rsidRPr="00F8070E">
        <w:rPr>
          <w:b/>
          <w:bCs/>
        </w:rPr>
        <w:t xml:space="preserve"> D</w:t>
      </w:r>
      <w:r w:rsidR="00B45F71">
        <w:rPr>
          <w:b/>
          <w:bCs/>
        </w:rPr>
        <w:t>rinking</w:t>
      </w:r>
      <w:r w:rsidRPr="00F8070E">
        <w:rPr>
          <w:b/>
          <w:bCs/>
        </w:rPr>
        <w:t xml:space="preserve"> W</w:t>
      </w:r>
      <w:r w:rsidR="00B45F71">
        <w:rPr>
          <w:b/>
          <w:bCs/>
        </w:rPr>
        <w:t>ater by</w:t>
      </w:r>
      <w:r w:rsidRPr="00F8070E">
        <w:rPr>
          <w:b/>
          <w:bCs/>
        </w:rPr>
        <w:t xml:space="preserve"> I</w:t>
      </w:r>
      <w:r w:rsidR="00B45F71">
        <w:rPr>
          <w:b/>
          <w:bCs/>
        </w:rPr>
        <w:t>sotope</w:t>
      </w:r>
      <w:r w:rsidRPr="00F8070E">
        <w:rPr>
          <w:b/>
          <w:bCs/>
        </w:rPr>
        <w:t xml:space="preserve"> D</w:t>
      </w:r>
      <w:r w:rsidR="00B45F71">
        <w:rPr>
          <w:b/>
          <w:bCs/>
        </w:rPr>
        <w:t>ilution</w:t>
      </w:r>
      <w:r w:rsidRPr="00F8070E">
        <w:rPr>
          <w:b/>
          <w:bCs/>
        </w:rPr>
        <w:t xml:space="preserve"> A</w:t>
      </w:r>
      <w:r w:rsidR="00B45F71">
        <w:rPr>
          <w:b/>
          <w:bCs/>
        </w:rPr>
        <w:t>nion</w:t>
      </w:r>
      <w:r w:rsidRPr="00F8070E">
        <w:rPr>
          <w:b/>
          <w:bCs/>
        </w:rPr>
        <w:t xml:space="preserve"> E</w:t>
      </w:r>
      <w:r w:rsidR="00B45F71">
        <w:rPr>
          <w:b/>
          <w:bCs/>
        </w:rPr>
        <w:t>xchange</w:t>
      </w:r>
      <w:r w:rsidRPr="00F8070E">
        <w:rPr>
          <w:b/>
          <w:bCs/>
        </w:rPr>
        <w:t xml:space="preserve"> S</w:t>
      </w:r>
      <w:r w:rsidR="00B45F71">
        <w:rPr>
          <w:b/>
          <w:bCs/>
        </w:rPr>
        <w:t>olid</w:t>
      </w:r>
      <w:r w:rsidRPr="00F8070E">
        <w:rPr>
          <w:b/>
          <w:bCs/>
        </w:rPr>
        <w:t xml:space="preserve"> P</w:t>
      </w:r>
      <w:r w:rsidR="00B45F71">
        <w:rPr>
          <w:b/>
          <w:bCs/>
        </w:rPr>
        <w:t>hase</w:t>
      </w:r>
      <w:r w:rsidRPr="00F8070E">
        <w:rPr>
          <w:b/>
          <w:bCs/>
        </w:rPr>
        <w:t xml:space="preserve"> E</w:t>
      </w:r>
      <w:r w:rsidR="00B45F71">
        <w:rPr>
          <w:b/>
          <w:bCs/>
        </w:rPr>
        <w:t>xtraction</w:t>
      </w:r>
      <w:r w:rsidRPr="00F8070E">
        <w:rPr>
          <w:b/>
          <w:bCs/>
        </w:rPr>
        <w:t xml:space="preserve"> </w:t>
      </w:r>
      <w:r w:rsidR="00B45F71">
        <w:rPr>
          <w:b/>
          <w:bCs/>
        </w:rPr>
        <w:t>and</w:t>
      </w:r>
      <w:r w:rsidRPr="00F8070E">
        <w:rPr>
          <w:b/>
          <w:bCs/>
        </w:rPr>
        <w:t xml:space="preserve"> L</w:t>
      </w:r>
      <w:r w:rsidR="00B45F71">
        <w:rPr>
          <w:b/>
          <w:bCs/>
        </w:rPr>
        <w:t>iquid</w:t>
      </w:r>
      <w:r w:rsidRPr="00F8070E">
        <w:rPr>
          <w:b/>
          <w:bCs/>
        </w:rPr>
        <w:t xml:space="preserve"> C</w:t>
      </w:r>
      <w:r w:rsidR="00B45F71">
        <w:rPr>
          <w:b/>
          <w:bCs/>
        </w:rPr>
        <w:t>hromatography</w:t>
      </w:r>
      <w:r w:rsidRPr="00F8070E">
        <w:rPr>
          <w:b/>
          <w:bCs/>
        </w:rPr>
        <w:t>/T</w:t>
      </w:r>
      <w:r w:rsidR="00B45F71">
        <w:rPr>
          <w:b/>
          <w:bCs/>
        </w:rPr>
        <w:t>andem</w:t>
      </w:r>
      <w:r w:rsidRPr="00F8070E">
        <w:rPr>
          <w:b/>
          <w:bCs/>
        </w:rPr>
        <w:t xml:space="preserve"> M</w:t>
      </w:r>
      <w:r w:rsidR="00B45F71">
        <w:rPr>
          <w:b/>
          <w:bCs/>
        </w:rPr>
        <w:t>ass</w:t>
      </w:r>
      <w:r w:rsidRPr="00F8070E">
        <w:rPr>
          <w:b/>
          <w:bCs/>
        </w:rPr>
        <w:t xml:space="preserve"> S</w:t>
      </w:r>
      <w:r w:rsidR="00B45F71">
        <w:rPr>
          <w:b/>
          <w:bCs/>
        </w:rPr>
        <w:t>pect</w:t>
      </w:r>
      <w:r w:rsidR="009B6D94">
        <w:rPr>
          <w:b/>
          <w:bCs/>
        </w:rPr>
        <w:t>r</w:t>
      </w:r>
      <w:r w:rsidR="00B45F71">
        <w:rPr>
          <w:b/>
          <w:bCs/>
        </w:rPr>
        <w:t>ometry</w:t>
      </w:r>
      <w:r>
        <w:rPr>
          <w:b/>
          <w:bCs/>
        </w:rPr>
        <w:t xml:space="preserve"> </w:t>
      </w:r>
      <w:r w:rsidR="00EE1AD7">
        <w:rPr>
          <w:b/>
          <w:bCs/>
        </w:rPr>
        <w:t>(LC</w:t>
      </w:r>
      <w:r w:rsidR="009914C2">
        <w:rPr>
          <w:b/>
          <w:bCs/>
        </w:rPr>
        <w:t>-</w:t>
      </w:r>
      <w:r w:rsidR="00EE1AD7">
        <w:rPr>
          <w:b/>
          <w:bCs/>
        </w:rPr>
        <w:t>MS</w:t>
      </w:r>
      <w:r w:rsidR="00F03AD7">
        <w:rPr>
          <w:b/>
          <w:bCs/>
        </w:rPr>
        <w:t>/</w:t>
      </w:r>
      <w:r w:rsidR="00EE1AD7">
        <w:rPr>
          <w:b/>
          <w:bCs/>
        </w:rPr>
        <w:t xml:space="preserve">MS) </w:t>
      </w:r>
      <w:r>
        <w:rPr>
          <w:b/>
          <w:bCs/>
        </w:rPr>
        <w:t>(Method 533)</w:t>
      </w:r>
    </w:p>
    <w:p w14:paraId="4772D614" w14:textId="77777777" w:rsidR="00A44DBC" w:rsidRDefault="00A44DBC" w:rsidP="00E03F9F">
      <w:pPr>
        <w:spacing w:after="0" w:line="259" w:lineRule="auto"/>
        <w:ind w:left="360" w:right="0" w:firstLine="0"/>
        <w:rPr>
          <w:b/>
          <w:bCs/>
        </w:rPr>
      </w:pPr>
    </w:p>
    <w:p w14:paraId="1B8B8C3E" w14:textId="4FEC2F0F" w:rsidR="00A44DBC" w:rsidRDefault="00A44DBC" w:rsidP="00622D2D">
      <w:pPr>
        <w:spacing w:after="0" w:line="259" w:lineRule="auto"/>
        <w:ind w:left="360" w:right="0" w:firstLine="0"/>
        <w:rPr>
          <w:b/>
          <w:bCs/>
        </w:rPr>
      </w:pPr>
      <w:r w:rsidRPr="004A7C24">
        <w:rPr>
          <w:b/>
          <w:bCs/>
        </w:rPr>
        <w:t>A</w:t>
      </w:r>
      <w:r w:rsidR="009B6D94">
        <w:rPr>
          <w:b/>
          <w:bCs/>
        </w:rPr>
        <w:t>nalysis</w:t>
      </w:r>
      <w:r w:rsidRPr="004A7C24">
        <w:rPr>
          <w:b/>
          <w:bCs/>
        </w:rPr>
        <w:t xml:space="preserve"> of Per- and Polyfluoroalkyl Substances (PFAS) in Aqueous, Solid, Biosolids, and Tissue Samples by LC</w:t>
      </w:r>
      <w:r w:rsidR="009914C2">
        <w:rPr>
          <w:b/>
          <w:bCs/>
        </w:rPr>
        <w:t>-</w:t>
      </w:r>
      <w:r w:rsidRPr="004A7C24">
        <w:rPr>
          <w:b/>
          <w:bCs/>
        </w:rPr>
        <w:t>MS/M</w:t>
      </w:r>
      <w:r>
        <w:rPr>
          <w:b/>
          <w:bCs/>
        </w:rPr>
        <w:t>S (Method 1633</w:t>
      </w:r>
      <w:r w:rsidR="00E93295">
        <w:rPr>
          <w:b/>
          <w:bCs/>
        </w:rPr>
        <w:t>A</w:t>
      </w:r>
      <w:r>
        <w:rPr>
          <w:b/>
          <w:bCs/>
        </w:rPr>
        <w:t>)</w:t>
      </w:r>
    </w:p>
    <w:p w14:paraId="538FEB3B" w14:textId="77777777" w:rsidR="00A44DBC" w:rsidRDefault="00A44DBC" w:rsidP="00E03F9F">
      <w:pPr>
        <w:spacing w:after="0" w:line="259" w:lineRule="auto"/>
        <w:ind w:left="360" w:right="0" w:firstLine="0"/>
        <w:rPr>
          <w:b/>
          <w:bCs/>
        </w:rPr>
      </w:pPr>
    </w:p>
    <w:p w14:paraId="534025ED" w14:textId="00DA3BF8" w:rsidR="00A44DBC" w:rsidRDefault="00A44DBC" w:rsidP="00622D2D">
      <w:pPr>
        <w:spacing w:after="0" w:line="259" w:lineRule="auto"/>
        <w:ind w:left="360" w:right="0" w:firstLine="0"/>
        <w:rPr>
          <w:b/>
          <w:bCs/>
        </w:rPr>
      </w:pPr>
      <w:r w:rsidRPr="00291726">
        <w:rPr>
          <w:b/>
          <w:bCs/>
        </w:rPr>
        <w:t>P</w:t>
      </w:r>
      <w:r w:rsidR="004E3251">
        <w:rPr>
          <w:b/>
          <w:bCs/>
        </w:rPr>
        <w:t>er</w:t>
      </w:r>
      <w:r w:rsidRPr="00291726">
        <w:rPr>
          <w:b/>
          <w:bCs/>
        </w:rPr>
        <w:t xml:space="preserve">- </w:t>
      </w:r>
      <w:r w:rsidR="004E3251">
        <w:rPr>
          <w:b/>
          <w:bCs/>
        </w:rPr>
        <w:t>and</w:t>
      </w:r>
      <w:r w:rsidRPr="00291726">
        <w:rPr>
          <w:b/>
          <w:bCs/>
        </w:rPr>
        <w:t xml:space="preserve"> P</w:t>
      </w:r>
      <w:r w:rsidR="004E3251">
        <w:rPr>
          <w:b/>
          <w:bCs/>
        </w:rPr>
        <w:t>olyfluoroalkyl</w:t>
      </w:r>
      <w:r w:rsidRPr="00291726">
        <w:rPr>
          <w:b/>
          <w:bCs/>
        </w:rPr>
        <w:t xml:space="preserve"> S</w:t>
      </w:r>
      <w:r w:rsidR="004E3251">
        <w:rPr>
          <w:b/>
          <w:bCs/>
        </w:rPr>
        <w:t>ubstances</w:t>
      </w:r>
      <w:r w:rsidRPr="00291726">
        <w:rPr>
          <w:b/>
          <w:bCs/>
        </w:rPr>
        <w:t xml:space="preserve"> (PFAS) </w:t>
      </w:r>
      <w:r w:rsidR="00E36043">
        <w:rPr>
          <w:b/>
          <w:bCs/>
        </w:rPr>
        <w:t>by</w:t>
      </w:r>
      <w:r w:rsidRPr="00291726">
        <w:rPr>
          <w:b/>
          <w:bCs/>
        </w:rPr>
        <w:t xml:space="preserve"> L</w:t>
      </w:r>
      <w:r w:rsidR="00E36043">
        <w:rPr>
          <w:b/>
          <w:bCs/>
        </w:rPr>
        <w:t>iqui</w:t>
      </w:r>
      <w:r w:rsidR="00667381">
        <w:rPr>
          <w:b/>
          <w:bCs/>
        </w:rPr>
        <w:t>d Chromatography</w:t>
      </w:r>
      <w:r w:rsidR="009854BD">
        <w:rPr>
          <w:b/>
          <w:bCs/>
        </w:rPr>
        <w:t>/Tandem Mass Spectrometry</w:t>
      </w:r>
      <w:r w:rsidRPr="00291726">
        <w:rPr>
          <w:b/>
          <w:bCs/>
        </w:rPr>
        <w:t xml:space="preserve"> (LC</w:t>
      </w:r>
      <w:r w:rsidR="00E4379E">
        <w:rPr>
          <w:b/>
          <w:bCs/>
        </w:rPr>
        <w:t>-</w:t>
      </w:r>
      <w:r w:rsidRPr="00291726">
        <w:rPr>
          <w:b/>
          <w:bCs/>
        </w:rPr>
        <w:t>MS/MS)</w:t>
      </w:r>
      <w:r>
        <w:rPr>
          <w:b/>
          <w:bCs/>
        </w:rPr>
        <w:t xml:space="preserve"> (Method 8327)</w:t>
      </w:r>
    </w:p>
    <w:p w14:paraId="086E427C" w14:textId="77777777" w:rsidR="00570361" w:rsidRDefault="00570361" w:rsidP="00E03F9F">
      <w:pPr>
        <w:tabs>
          <w:tab w:val="left" w:pos="8840"/>
        </w:tabs>
        <w:ind w:left="360"/>
      </w:pPr>
    </w:p>
    <w:p w14:paraId="391EAEE9" w14:textId="57050247" w:rsidR="00FC02F0" w:rsidRDefault="000418DD" w:rsidP="004D1D1B">
      <w:pPr>
        <w:spacing w:after="0" w:line="259" w:lineRule="auto"/>
        <w:ind w:left="360" w:right="0" w:firstLine="0"/>
      </w:pPr>
      <w:r>
        <w:t xml:space="preserve">The </w:t>
      </w:r>
      <w:r w:rsidR="0082718C">
        <w:t>PFAS analytical methods</w:t>
      </w:r>
      <w:r w:rsidR="00F150D2">
        <w:t xml:space="preserve"> </w:t>
      </w:r>
      <w:r w:rsidR="009E4EFF">
        <w:t>contai</w:t>
      </w:r>
      <w:r w:rsidR="00302FDD">
        <w:t>n</w:t>
      </w:r>
      <w:r w:rsidR="00F150D2">
        <w:t xml:space="preserve"> </w:t>
      </w:r>
      <w:r w:rsidR="00457623">
        <w:t xml:space="preserve">various </w:t>
      </w:r>
      <w:r w:rsidR="00FC555A">
        <w:t>QA components</w:t>
      </w:r>
      <w:r w:rsidR="009E4EFF">
        <w:t xml:space="preserve"> and criteria</w:t>
      </w:r>
      <w:r w:rsidR="00302FDD">
        <w:t>,</w:t>
      </w:r>
      <w:r w:rsidR="003B3C3A">
        <w:t xml:space="preserve"> as well as differing term</w:t>
      </w:r>
      <w:r w:rsidR="00306D02">
        <w:t>inologies</w:t>
      </w:r>
      <w:r w:rsidR="00E52794">
        <w:t xml:space="preserve">.  </w:t>
      </w:r>
      <w:r w:rsidR="00492F1D">
        <w:t xml:space="preserve">The </w:t>
      </w:r>
      <w:r w:rsidR="00F476FB">
        <w:t xml:space="preserve">Contractor </w:t>
      </w:r>
      <w:r w:rsidR="0054785B">
        <w:t xml:space="preserve">shall utilize the </w:t>
      </w:r>
      <w:r w:rsidR="0036744E">
        <w:t>appropriate</w:t>
      </w:r>
      <w:r w:rsidR="0054785B">
        <w:t xml:space="preserve"> method</w:t>
      </w:r>
      <w:r w:rsidR="00E9303D">
        <w:t xml:space="preserve"> criteria</w:t>
      </w:r>
      <w:r w:rsidR="0054785B">
        <w:t xml:space="preserve"> </w:t>
      </w:r>
      <w:r w:rsidR="00482D2C">
        <w:t>when</w:t>
      </w:r>
      <w:r w:rsidR="0054785B">
        <w:t xml:space="preserve"> sample</w:t>
      </w:r>
      <w:r w:rsidR="00482D2C">
        <w:t>s are</w:t>
      </w:r>
      <w:r w:rsidR="0054785B">
        <w:t xml:space="preserve"> request</w:t>
      </w:r>
      <w:r w:rsidR="00482D2C">
        <w:t>ed</w:t>
      </w:r>
      <w:r w:rsidR="0054785B">
        <w:t xml:space="preserve"> </w:t>
      </w:r>
      <w:r w:rsidR="00482D2C">
        <w:t>for PFAS</w:t>
      </w:r>
      <w:r w:rsidR="006D57EE">
        <w:t xml:space="preserve"> </w:t>
      </w:r>
      <w:r w:rsidR="0054785B">
        <w:t>analysis</w:t>
      </w:r>
      <w:r w:rsidR="006D57EE">
        <w:t xml:space="preserve">.  </w:t>
      </w:r>
      <w:r w:rsidR="00461051">
        <w:t xml:space="preserve">If the </w:t>
      </w:r>
      <w:r w:rsidR="00F476FB">
        <w:t xml:space="preserve">Contractor </w:t>
      </w:r>
      <w:r w:rsidR="005D7780">
        <w:t xml:space="preserve">uses alternate terminology and/or </w:t>
      </w:r>
      <w:r w:rsidR="009C0AA7">
        <w:t>has developed laboratory specific guidance</w:t>
      </w:r>
      <w:r w:rsidR="00FA5938">
        <w:t>, protocols,</w:t>
      </w:r>
      <w:r w:rsidR="009C0AA7">
        <w:t xml:space="preserve"> </w:t>
      </w:r>
      <w:r w:rsidR="00A536BC">
        <w:t xml:space="preserve">and/or standard operating procedures, </w:t>
      </w:r>
      <w:r w:rsidR="00472077">
        <w:t>the</w:t>
      </w:r>
      <w:r w:rsidR="00F21F22">
        <w:t>y</w:t>
      </w:r>
      <w:r w:rsidR="00E31F35">
        <w:t xml:space="preserve"> must be available upon request.</w:t>
      </w:r>
      <w:r w:rsidR="002417F2">
        <w:t xml:space="preserve">  The information found below is an example of </w:t>
      </w:r>
      <w:r w:rsidR="002820F4">
        <w:t>criteria exhibited in</w:t>
      </w:r>
      <w:r w:rsidR="002417F2">
        <w:t xml:space="preserve"> these methods.</w:t>
      </w:r>
    </w:p>
    <w:p w14:paraId="188F493C" w14:textId="77777777" w:rsidR="00C20646" w:rsidRDefault="00C20646" w:rsidP="0031290A">
      <w:pPr>
        <w:spacing w:after="0" w:line="259" w:lineRule="auto"/>
        <w:ind w:left="720" w:right="0" w:firstLine="0"/>
      </w:pPr>
    </w:p>
    <w:p w14:paraId="0F918683" w14:textId="77777777" w:rsidR="00850965" w:rsidRDefault="0031290A" w:rsidP="004D1D1B">
      <w:pPr>
        <w:spacing w:after="0" w:line="259" w:lineRule="auto"/>
        <w:ind w:left="360" w:right="0" w:firstLine="0"/>
      </w:pPr>
      <w:r>
        <w:t xml:space="preserve">The Contractor shall adhere to the holding times and preservative techniques specified in TABLE 1, Sample Containers, Preservatives, and Holding Time Requirements in Section </w:t>
      </w:r>
      <w:proofErr w:type="gramStart"/>
      <w:r>
        <w:t>IV,  based</w:t>
      </w:r>
      <w:proofErr w:type="gramEnd"/>
      <w:r>
        <w:t xml:space="preserve"> on sample characteristics.</w:t>
      </w:r>
    </w:p>
    <w:p w14:paraId="41377F9E" w14:textId="77777777" w:rsidR="00850965" w:rsidRDefault="00850965" w:rsidP="0031290A">
      <w:pPr>
        <w:spacing w:after="0" w:line="259" w:lineRule="auto"/>
        <w:ind w:left="720" w:right="0" w:firstLine="0"/>
      </w:pPr>
    </w:p>
    <w:p w14:paraId="52ABC77F" w14:textId="2FC8FF03" w:rsidR="00F73214" w:rsidRDefault="000876E6" w:rsidP="004D1D1B">
      <w:pPr>
        <w:spacing w:after="0" w:line="259" w:lineRule="auto"/>
        <w:ind w:left="360" w:right="0" w:firstLine="0"/>
      </w:pPr>
      <w:r>
        <w:rPr>
          <w:u w:val="single"/>
        </w:rPr>
        <w:t>Demonstration</w:t>
      </w:r>
      <w:r w:rsidR="00635BB7">
        <w:rPr>
          <w:u w:val="single"/>
        </w:rPr>
        <w:t xml:space="preserve"> of Capability</w:t>
      </w:r>
    </w:p>
    <w:p w14:paraId="7A7208C2" w14:textId="77777777" w:rsidR="00F73214" w:rsidRDefault="00F73214" w:rsidP="0031290A">
      <w:pPr>
        <w:spacing w:after="0" w:line="259" w:lineRule="auto"/>
        <w:ind w:left="720" w:right="0" w:firstLine="0"/>
      </w:pPr>
    </w:p>
    <w:p w14:paraId="287F6DD4" w14:textId="77777777" w:rsidR="000738B7" w:rsidRDefault="00AA02C8" w:rsidP="004373FB">
      <w:pPr>
        <w:spacing w:after="0" w:line="259" w:lineRule="auto"/>
        <w:ind w:left="360" w:right="0" w:firstLine="0"/>
      </w:pPr>
      <w:r w:rsidRPr="00AA02C8">
        <w:t>A</w:t>
      </w:r>
      <w:r w:rsidR="00084494">
        <w:t xml:space="preserve">s </w:t>
      </w:r>
      <w:r w:rsidR="0038129E">
        <w:t>discussed in Section XI, a</w:t>
      </w:r>
      <w:r w:rsidRPr="00AA02C8">
        <w:t xml:space="preserve">n environmental testing laboratory bidding on </w:t>
      </w:r>
      <w:r w:rsidR="00A72DF2">
        <w:t xml:space="preserve">the </w:t>
      </w:r>
      <w:r w:rsidR="00FA45AD">
        <w:t>USEPA PFAS Protocol</w:t>
      </w:r>
      <w:r w:rsidRPr="00AA02C8">
        <w:t xml:space="preserve"> must participate in a Demonstration of Capability (DOC) study and the DOC result demonstration must be made available to the State reviewers upon request.  </w:t>
      </w:r>
      <w:r w:rsidR="00CC130C">
        <w:t xml:space="preserve">DOC specifications </w:t>
      </w:r>
      <w:r w:rsidR="00A4545C">
        <w:t xml:space="preserve">and associated criteria </w:t>
      </w:r>
      <w:r w:rsidR="007E037E">
        <w:t>for the USEPA PFAS Protocol ar</w:t>
      </w:r>
      <w:r w:rsidR="00FE1961">
        <w:t>e found in the individual methods per the following:</w:t>
      </w:r>
    </w:p>
    <w:p w14:paraId="548B018C" w14:textId="357A1B8B" w:rsidR="00A43B6C" w:rsidRDefault="00FE1961" w:rsidP="004373FB">
      <w:pPr>
        <w:spacing w:after="0" w:line="259" w:lineRule="auto"/>
        <w:ind w:left="360" w:right="0" w:firstLine="0"/>
      </w:pPr>
      <w:r>
        <w:t xml:space="preserve"> </w:t>
      </w:r>
    </w:p>
    <w:p w14:paraId="2DD412D2" w14:textId="5CAC2EC4" w:rsidR="00A54AA7" w:rsidRDefault="00A54AA7" w:rsidP="004373FB">
      <w:pPr>
        <w:pStyle w:val="ListParagraph"/>
        <w:numPr>
          <w:ilvl w:val="0"/>
          <w:numId w:val="164"/>
        </w:numPr>
        <w:spacing w:after="0" w:line="259" w:lineRule="auto"/>
        <w:ind w:right="0"/>
      </w:pPr>
      <w:r>
        <w:t>Method 537</w:t>
      </w:r>
      <w:r w:rsidR="00DF60C8">
        <w:t xml:space="preserve">.1 </w:t>
      </w:r>
      <w:r w:rsidR="00AF2033">
        <w:t>–</w:t>
      </w:r>
      <w:r w:rsidR="00DF60C8">
        <w:t xml:space="preserve"> </w:t>
      </w:r>
      <w:r w:rsidR="00AF2033">
        <w:t>Initial Demonstration of Capability (IDC)</w:t>
      </w:r>
      <w:r w:rsidR="006326C1">
        <w:t xml:space="preserve"> with </w:t>
      </w:r>
      <w:r w:rsidR="009F6EA9">
        <w:t>specifications in Section 9.2 of the method</w:t>
      </w:r>
      <w:r w:rsidR="00AA07F4">
        <w:t>, summarized on Table 12 of the method.</w:t>
      </w:r>
    </w:p>
    <w:p w14:paraId="73A08EE2" w14:textId="713C8815" w:rsidR="00AA07F4" w:rsidRDefault="00AA07F4" w:rsidP="004373FB">
      <w:pPr>
        <w:pStyle w:val="ListParagraph"/>
        <w:numPr>
          <w:ilvl w:val="0"/>
          <w:numId w:val="163"/>
        </w:numPr>
        <w:spacing w:after="0" w:line="259" w:lineRule="auto"/>
        <w:ind w:right="0"/>
      </w:pPr>
      <w:r>
        <w:t xml:space="preserve">Method 1633A </w:t>
      </w:r>
      <w:r w:rsidR="005C7742">
        <w:t>–</w:t>
      </w:r>
      <w:r>
        <w:t xml:space="preserve"> </w:t>
      </w:r>
      <w:r w:rsidR="00767D27" w:rsidRPr="00767D27" w:rsidDel="005C7742">
        <w:t>I</w:t>
      </w:r>
      <w:r w:rsidR="00767D27" w:rsidRPr="00767D27">
        <w:t>nitial Demonstration of Capability (IDC) with specifications in Section 9.2 of the method</w:t>
      </w:r>
      <w:r w:rsidR="00617005">
        <w:t>.</w:t>
      </w:r>
    </w:p>
    <w:p w14:paraId="235CBCDE" w14:textId="4AA20C4F" w:rsidR="00617005" w:rsidRDefault="00617005" w:rsidP="004373FB">
      <w:pPr>
        <w:pStyle w:val="ListParagraph"/>
        <w:numPr>
          <w:ilvl w:val="0"/>
          <w:numId w:val="163"/>
        </w:numPr>
        <w:spacing w:after="0" w:line="259" w:lineRule="auto"/>
        <w:ind w:right="0"/>
      </w:pPr>
      <w:r>
        <w:t xml:space="preserve">Method 533 </w:t>
      </w:r>
      <w:r w:rsidR="00A01A94">
        <w:t>–</w:t>
      </w:r>
      <w:r w:rsidDel="00A01A94">
        <w:t xml:space="preserve"> </w:t>
      </w:r>
      <w:r w:rsidR="00E768C6" w:rsidRPr="00E768C6" w:rsidDel="00A01A94">
        <w:t>I</w:t>
      </w:r>
      <w:r w:rsidR="00E768C6" w:rsidRPr="00E768C6">
        <w:t>nitial Demonstration of Capability (IDC) with specifications in Section 9.</w:t>
      </w:r>
      <w:r w:rsidR="00E768C6">
        <w:t>1</w:t>
      </w:r>
      <w:r w:rsidR="00E768C6" w:rsidRPr="00E768C6">
        <w:t xml:space="preserve"> of the method</w:t>
      </w:r>
      <w:r w:rsidR="00CB124F">
        <w:t>, summarized on Table 16 of the method.</w:t>
      </w:r>
    </w:p>
    <w:p w14:paraId="169A4D0A" w14:textId="6C6F5E9A" w:rsidR="00CB124F" w:rsidRPr="00A54AA7" w:rsidRDefault="00CB124F" w:rsidP="004373FB">
      <w:pPr>
        <w:pStyle w:val="ListParagraph"/>
        <w:numPr>
          <w:ilvl w:val="0"/>
          <w:numId w:val="163"/>
        </w:numPr>
        <w:spacing w:after="0" w:line="259" w:lineRule="auto"/>
        <w:ind w:right="0"/>
      </w:pPr>
      <w:r>
        <w:lastRenderedPageBreak/>
        <w:t xml:space="preserve">Method 8327 - </w:t>
      </w:r>
      <w:r w:rsidR="0019051D" w:rsidRPr="0019051D">
        <w:t xml:space="preserve">Initial Demonstration of </w:t>
      </w:r>
      <w:r w:rsidR="0019051D">
        <w:t>Proficiency</w:t>
      </w:r>
      <w:r w:rsidR="0019051D" w:rsidRPr="0019051D">
        <w:t xml:space="preserve"> (ID</w:t>
      </w:r>
      <w:r w:rsidR="0019051D">
        <w:t>P</w:t>
      </w:r>
      <w:r w:rsidR="0019051D" w:rsidRPr="0019051D">
        <w:t>) with specifications in Section 9.</w:t>
      </w:r>
      <w:r w:rsidR="00B72793">
        <w:t>4</w:t>
      </w:r>
      <w:r w:rsidR="0019051D" w:rsidRPr="0019051D">
        <w:t xml:space="preserve"> of the method</w:t>
      </w:r>
      <w:r w:rsidR="00900080">
        <w:t>.</w:t>
      </w:r>
    </w:p>
    <w:p w14:paraId="7A2881EB" w14:textId="080FC2A8" w:rsidR="0031290A" w:rsidRDefault="0031290A" w:rsidP="00622D2D">
      <w:pPr>
        <w:spacing w:after="0" w:line="259" w:lineRule="auto"/>
        <w:ind w:left="720" w:right="0" w:firstLine="0"/>
      </w:pPr>
      <w:r>
        <w:t xml:space="preserve">  </w:t>
      </w:r>
    </w:p>
    <w:p w14:paraId="7F0D15FE" w14:textId="2599598B" w:rsidR="0031290A" w:rsidRPr="005F3F33" w:rsidRDefault="0057395A" w:rsidP="00622D2D">
      <w:pPr>
        <w:pStyle w:val="ListParagraph"/>
        <w:numPr>
          <w:ilvl w:val="0"/>
          <w:numId w:val="136"/>
        </w:numPr>
        <w:spacing w:after="16"/>
        <w:ind w:left="1080" w:right="186"/>
        <w:rPr>
          <w:b/>
          <w:bCs/>
        </w:rPr>
      </w:pPr>
      <w:r w:rsidRPr="005F3F33">
        <w:rPr>
          <w:b/>
          <w:bCs/>
        </w:rPr>
        <w:t>Mass Calibration</w:t>
      </w:r>
      <w:r w:rsidR="0031290A" w:rsidRPr="005F3F33">
        <w:rPr>
          <w:b/>
          <w:bCs/>
        </w:rPr>
        <w:t xml:space="preserve"> </w:t>
      </w:r>
      <w:r w:rsidR="007765AB">
        <w:rPr>
          <w:b/>
          <w:bCs/>
        </w:rPr>
        <w:t>and MS/MS Optimization</w:t>
      </w:r>
    </w:p>
    <w:p w14:paraId="54A4B8FD" w14:textId="77777777" w:rsidR="00544B77" w:rsidRDefault="00544B77" w:rsidP="008D5EE5">
      <w:pPr>
        <w:ind w:left="1080" w:right="255" w:hanging="360"/>
      </w:pPr>
    </w:p>
    <w:p w14:paraId="551AD9F2" w14:textId="47D5E8F7" w:rsidR="00544B77" w:rsidRDefault="004A2976" w:rsidP="00E03F9F">
      <w:pPr>
        <w:ind w:left="1080" w:right="255"/>
      </w:pPr>
      <w:r w:rsidRPr="004A2976">
        <w:t xml:space="preserve">The </w:t>
      </w:r>
      <w:r w:rsidR="002B6B2D">
        <w:t xml:space="preserve">Contractor shall </w:t>
      </w:r>
      <w:r w:rsidR="00234488">
        <w:t xml:space="preserve">perform and document </w:t>
      </w:r>
      <w:r w:rsidR="00942408">
        <w:t xml:space="preserve">the </w:t>
      </w:r>
      <w:r w:rsidR="00EC36CE">
        <w:t>mass calibration</w:t>
      </w:r>
      <w:r w:rsidR="00B61901">
        <w:t xml:space="preserve"> and steps taken to optimize the </w:t>
      </w:r>
      <w:r w:rsidR="00C00F68">
        <w:t>t</w:t>
      </w:r>
      <w:r w:rsidR="00CF64FE">
        <w:t xml:space="preserve">andem </w:t>
      </w:r>
      <w:r w:rsidRPr="004A2976">
        <w:t xml:space="preserve">mass spectrometer </w:t>
      </w:r>
      <w:r w:rsidR="00CF64FE">
        <w:t>(</w:t>
      </w:r>
      <w:r w:rsidR="00D97998">
        <w:t>MS/MS)</w:t>
      </w:r>
      <w:r w:rsidR="00256E61">
        <w:t xml:space="preserve"> instrumentation</w:t>
      </w:r>
      <w:r w:rsidR="00D564D8">
        <w:t xml:space="preserve"> utilized for PFAS analysis</w:t>
      </w:r>
      <w:r w:rsidR="00E249FD">
        <w:t xml:space="preserve">. </w:t>
      </w:r>
      <w:bookmarkStart w:id="21" w:name="_Hlk214629604"/>
      <w:r w:rsidR="004F0435">
        <w:t xml:space="preserve"> </w:t>
      </w:r>
      <w:r w:rsidR="00AB332F">
        <w:t xml:space="preserve">The </w:t>
      </w:r>
      <w:r w:rsidR="00804FA8">
        <w:t>procedures</w:t>
      </w:r>
      <w:r w:rsidR="002D7055">
        <w:t xml:space="preserve"> shall </w:t>
      </w:r>
      <w:r w:rsidR="00A560C1">
        <w:t xml:space="preserve">be established and followed according to the instrument manufacturer’s specifications. </w:t>
      </w:r>
      <w:r w:rsidR="004F0435">
        <w:t xml:space="preserve"> </w:t>
      </w:r>
      <w:r w:rsidR="00842F26">
        <w:t xml:space="preserve">Additional </w:t>
      </w:r>
      <w:r w:rsidR="007B3D94">
        <w:t>specifications and associated criteria are found in the in</w:t>
      </w:r>
      <w:r w:rsidR="00A06A03">
        <w:t>dividual PFAS methods per the following.</w:t>
      </w:r>
      <w:bookmarkEnd w:id="21"/>
    </w:p>
    <w:p w14:paraId="62706415" w14:textId="77777777" w:rsidR="00E03F9F" w:rsidRDefault="00E03F9F" w:rsidP="00622D2D">
      <w:pPr>
        <w:ind w:left="1080" w:right="255"/>
      </w:pPr>
    </w:p>
    <w:p w14:paraId="426DB986" w14:textId="78E708BF" w:rsidR="00F25395" w:rsidRDefault="00F25395" w:rsidP="00BB3892">
      <w:pPr>
        <w:pStyle w:val="ListParagraph"/>
        <w:numPr>
          <w:ilvl w:val="0"/>
          <w:numId w:val="165"/>
        </w:numPr>
        <w:ind w:left="1440" w:right="255"/>
      </w:pPr>
      <w:r>
        <w:t xml:space="preserve">Method </w:t>
      </w:r>
      <w:r w:rsidR="00057E6C">
        <w:t xml:space="preserve">537.1 </w:t>
      </w:r>
      <w:r w:rsidR="00591C76">
        <w:t>–</w:t>
      </w:r>
      <w:r w:rsidR="00057E6C">
        <w:t xml:space="preserve"> </w:t>
      </w:r>
      <w:r w:rsidR="00591C76">
        <w:t xml:space="preserve">Electrospray ionization tandem mass </w:t>
      </w:r>
      <w:r w:rsidR="00EE5290">
        <w:t xml:space="preserve">spectrometer (ESI-MS/MS) </w:t>
      </w:r>
      <w:r w:rsidR="00B5729A">
        <w:t>tuning criteria</w:t>
      </w:r>
      <w:r w:rsidR="00CD161E">
        <w:t xml:space="preserve"> described in Section 10.2 of the method</w:t>
      </w:r>
      <w:r w:rsidR="00634F17">
        <w:t xml:space="preserve">, with </w:t>
      </w:r>
      <w:r w:rsidR="00472BF4">
        <w:t>ESI-MS/MS</w:t>
      </w:r>
      <w:r w:rsidR="00AC68A7">
        <w:t xml:space="preserve"> method conditions summarized on Table 2 and Table 4 of the method.</w:t>
      </w:r>
    </w:p>
    <w:p w14:paraId="059C1F1B" w14:textId="75D66785" w:rsidR="00AC68A7" w:rsidRDefault="008F5A63" w:rsidP="004373FB">
      <w:pPr>
        <w:pStyle w:val="ListParagraph"/>
        <w:numPr>
          <w:ilvl w:val="0"/>
          <w:numId w:val="165"/>
        </w:numPr>
        <w:ind w:left="1440" w:right="255"/>
      </w:pPr>
      <w:r>
        <w:t xml:space="preserve">Method 1633A </w:t>
      </w:r>
      <w:r w:rsidR="00705DAA">
        <w:t>–</w:t>
      </w:r>
      <w:r>
        <w:t xml:space="preserve"> </w:t>
      </w:r>
      <w:r w:rsidR="00705DAA">
        <w:t xml:space="preserve">Mass </w:t>
      </w:r>
      <w:r w:rsidR="001D5123">
        <w:t xml:space="preserve">calibration and </w:t>
      </w:r>
      <w:r w:rsidR="003C6791">
        <w:t>MS/MS</w:t>
      </w:r>
      <w:r w:rsidR="005C2EFB">
        <w:t xml:space="preserve"> optimization</w:t>
      </w:r>
      <w:r w:rsidR="008F5154">
        <w:t xml:space="preserve"> criteria in Section 10.1 of the </w:t>
      </w:r>
      <w:r w:rsidR="00272B47">
        <w:t xml:space="preserve">method, with specification and frequency </w:t>
      </w:r>
      <w:r w:rsidR="00BE592F">
        <w:t>summarized on Table 11 of the method.</w:t>
      </w:r>
    </w:p>
    <w:p w14:paraId="74D71C06" w14:textId="77777777" w:rsidR="00050F95" w:rsidRDefault="00BE592F" w:rsidP="007405E3">
      <w:pPr>
        <w:pStyle w:val="ListParagraph"/>
        <w:numPr>
          <w:ilvl w:val="0"/>
          <w:numId w:val="165"/>
        </w:numPr>
        <w:ind w:left="1440" w:right="255"/>
      </w:pPr>
      <w:r>
        <w:t xml:space="preserve">Method 533 </w:t>
      </w:r>
      <w:r w:rsidR="00BF2ABA">
        <w:t>–</w:t>
      </w:r>
      <w:r>
        <w:t xml:space="preserve"> </w:t>
      </w:r>
      <w:r w:rsidR="00BF2ABA">
        <w:t xml:space="preserve">MS/MS </w:t>
      </w:r>
      <w:r w:rsidR="009D18B4">
        <w:t>optimization criteria in Section 10.1 of the method, with</w:t>
      </w:r>
      <w:r w:rsidR="00592B3E" w:rsidRPr="00592B3E">
        <w:t xml:space="preserve"> ESI-MS/MS method conditions summarized on Table 2 and Table </w:t>
      </w:r>
      <w:r w:rsidR="00592B3E">
        <w:t>6</w:t>
      </w:r>
      <w:r w:rsidR="00592B3E" w:rsidRPr="00592B3E">
        <w:t xml:space="preserve"> of the method</w:t>
      </w:r>
      <w:r w:rsidR="00592B3E">
        <w:t>.</w:t>
      </w:r>
    </w:p>
    <w:p w14:paraId="5788855B" w14:textId="79B3E382" w:rsidR="00BE592F" w:rsidRDefault="00050F95" w:rsidP="007405E3">
      <w:pPr>
        <w:pStyle w:val="ListParagraph"/>
        <w:numPr>
          <w:ilvl w:val="0"/>
          <w:numId w:val="165"/>
        </w:numPr>
        <w:ind w:left="1440" w:right="255"/>
      </w:pPr>
      <w:r>
        <w:t xml:space="preserve">Method 8327 </w:t>
      </w:r>
      <w:r w:rsidR="005D3B6D">
        <w:t>–</w:t>
      </w:r>
      <w:r>
        <w:t xml:space="preserve"> </w:t>
      </w:r>
      <w:r w:rsidR="005D3B6D">
        <w:t xml:space="preserve">MS/MS </w:t>
      </w:r>
      <w:r w:rsidR="00C1725C">
        <w:t xml:space="preserve">tuning criteria in </w:t>
      </w:r>
      <w:r w:rsidR="00E05061">
        <w:t xml:space="preserve">Section 11.3 of the method, </w:t>
      </w:r>
      <w:r w:rsidR="009D68A6">
        <w:t>with MS/MS</w:t>
      </w:r>
      <w:r w:rsidR="00787C75">
        <w:t xml:space="preserve"> method conditions summarized on Table 4 of the method.</w:t>
      </w:r>
      <w:r w:rsidR="009D18B4">
        <w:t xml:space="preserve"> </w:t>
      </w:r>
    </w:p>
    <w:p w14:paraId="518D8FAF" w14:textId="77777777" w:rsidR="00F329B0" w:rsidRDefault="00F329B0" w:rsidP="00622D2D">
      <w:pPr>
        <w:ind w:left="1450" w:right="255" w:hanging="370"/>
      </w:pPr>
    </w:p>
    <w:p w14:paraId="480CBF50" w14:textId="31280E44" w:rsidR="003A3D13" w:rsidRDefault="004A2976" w:rsidP="00622D2D">
      <w:pPr>
        <w:ind w:left="1080" w:right="255" w:firstLine="0"/>
        <w:rPr>
          <w:b/>
          <w:bCs/>
        </w:rPr>
      </w:pPr>
      <w:r w:rsidRPr="004A2976">
        <w:t xml:space="preserve">The </w:t>
      </w:r>
      <w:r w:rsidR="006C2191">
        <w:t>MS/MS</w:t>
      </w:r>
      <w:r w:rsidRPr="004A2976">
        <w:t xml:space="preserve"> must undergo mass calibration to ensure accurate assignments of m/z’s by the instrument. </w:t>
      </w:r>
      <w:r w:rsidR="004F0435">
        <w:t xml:space="preserve"> </w:t>
      </w:r>
      <w:r w:rsidRPr="004A2976">
        <w:t xml:space="preserve">This mass calibration must be performed at least annually or as recommended by the instrument manufacturer, whichever is more frequent, to maintain instrument sensitivity and stability. </w:t>
      </w:r>
      <w:r w:rsidR="004F0435">
        <w:t xml:space="preserve"> </w:t>
      </w:r>
      <w:r w:rsidRPr="004A2976">
        <w:t>Mass calibration must be repeated on an as-needed basis (e.g., QC failures, ion masses fall outside of the required mass window, major instrument maintenance, or if the instrument is moved).  Mass calibration must be performed using the calibration compounds and procedures prescribed by the manufacturer.</w:t>
      </w:r>
    </w:p>
    <w:p w14:paraId="14D3E73F" w14:textId="77777777" w:rsidR="00472383" w:rsidRDefault="00472383" w:rsidP="00622D2D">
      <w:pPr>
        <w:ind w:left="1440" w:right="255" w:hanging="370"/>
      </w:pPr>
    </w:p>
    <w:p w14:paraId="7D9BD7AF" w14:textId="2247CC0C" w:rsidR="0057395A" w:rsidRPr="00967FC9" w:rsidRDefault="00BA461B" w:rsidP="00622D2D">
      <w:pPr>
        <w:pStyle w:val="ListParagraph"/>
        <w:numPr>
          <w:ilvl w:val="0"/>
          <w:numId w:val="136"/>
        </w:numPr>
        <w:ind w:left="1080" w:right="255"/>
        <w:rPr>
          <w:b/>
          <w:bCs/>
        </w:rPr>
      </w:pPr>
      <w:r>
        <w:rPr>
          <w:b/>
          <w:bCs/>
        </w:rPr>
        <w:t>LC</w:t>
      </w:r>
      <w:r w:rsidR="006D213F" w:rsidRPr="00967FC9">
        <w:rPr>
          <w:b/>
          <w:bCs/>
        </w:rPr>
        <w:t xml:space="preserve"> Optimization</w:t>
      </w:r>
      <w:r w:rsidR="0057395A" w:rsidRPr="00967FC9">
        <w:rPr>
          <w:b/>
          <w:bCs/>
        </w:rPr>
        <w:t xml:space="preserve"> </w:t>
      </w:r>
    </w:p>
    <w:p w14:paraId="6481A313" w14:textId="77777777" w:rsidR="009D73E4" w:rsidRDefault="009D73E4" w:rsidP="0057395A">
      <w:pPr>
        <w:ind w:left="1450" w:right="255"/>
      </w:pPr>
    </w:p>
    <w:p w14:paraId="399586F2" w14:textId="43760243" w:rsidR="009D73E4" w:rsidRDefault="009D73E4" w:rsidP="00622D2D">
      <w:pPr>
        <w:ind w:left="1080" w:right="255"/>
      </w:pPr>
      <w:r>
        <w:t xml:space="preserve">The Contractor shall perform and document </w:t>
      </w:r>
      <w:r w:rsidR="006513CA">
        <w:t>steps taken to optimize the liquid chromatography (LC) instrumentation</w:t>
      </w:r>
      <w:r w:rsidR="004F0435">
        <w:t xml:space="preserve"> utilized for PFAS analysis. </w:t>
      </w:r>
      <w:r w:rsidR="00613EB9">
        <w:t xml:space="preserve"> </w:t>
      </w:r>
      <w:r w:rsidR="004F0435" w:rsidRPr="004F0435">
        <w:t>The procedures shall be established and followed according to the instrument manufacturer’s specifications. Additional specifications and associated criteria are found in the individual PFAS methods per the following</w:t>
      </w:r>
      <w:r w:rsidR="00132EEA">
        <w:t>:</w:t>
      </w:r>
    </w:p>
    <w:p w14:paraId="6B4A544E" w14:textId="77777777" w:rsidR="00132EEA" w:rsidRDefault="00132EEA" w:rsidP="00622D2D">
      <w:pPr>
        <w:ind w:left="1080" w:right="255"/>
      </w:pPr>
    </w:p>
    <w:p w14:paraId="2B1FD87F" w14:textId="47C6F931" w:rsidR="00B6371E" w:rsidRDefault="004E7B6F" w:rsidP="007405E3">
      <w:pPr>
        <w:pStyle w:val="ListParagraph"/>
        <w:numPr>
          <w:ilvl w:val="0"/>
          <w:numId w:val="166"/>
        </w:numPr>
        <w:ind w:left="1440" w:right="255"/>
      </w:pPr>
      <w:r>
        <w:t xml:space="preserve">Method 537.1 </w:t>
      </w:r>
      <w:r w:rsidR="00AB36F7">
        <w:t>–</w:t>
      </w:r>
      <w:r>
        <w:t xml:space="preserve"> </w:t>
      </w:r>
      <w:r w:rsidR="00AB36F7">
        <w:t xml:space="preserve">LC conditions </w:t>
      </w:r>
      <w:r w:rsidR="00EC6D52">
        <w:t xml:space="preserve">in Section 10.2.2 of the method, with </w:t>
      </w:r>
      <w:r w:rsidR="00264111">
        <w:t xml:space="preserve">LC conditions summarized </w:t>
      </w:r>
      <w:r w:rsidR="009508E9">
        <w:t>on Table 1 of the method.</w:t>
      </w:r>
    </w:p>
    <w:p w14:paraId="2AFB6009" w14:textId="5B42908D" w:rsidR="009508E9" w:rsidRDefault="009508E9" w:rsidP="007405E3">
      <w:pPr>
        <w:pStyle w:val="ListParagraph"/>
        <w:numPr>
          <w:ilvl w:val="0"/>
          <w:numId w:val="166"/>
        </w:numPr>
        <w:ind w:left="1440" w:right="255"/>
      </w:pPr>
      <w:r>
        <w:t xml:space="preserve">Method 1633A </w:t>
      </w:r>
      <w:r w:rsidR="00B85393">
        <w:t>–</w:t>
      </w:r>
      <w:r>
        <w:t xml:space="preserve"> </w:t>
      </w:r>
      <w:r w:rsidR="00B85393">
        <w:t>LC conditions in Section 10.2 of the method</w:t>
      </w:r>
      <w:r w:rsidR="00C72B34">
        <w:t>.</w:t>
      </w:r>
    </w:p>
    <w:p w14:paraId="59EB7A2D" w14:textId="2C350EB7" w:rsidR="00D82FF5" w:rsidRDefault="00C72B34" w:rsidP="007405E3">
      <w:pPr>
        <w:pStyle w:val="ListParagraph"/>
        <w:numPr>
          <w:ilvl w:val="0"/>
          <w:numId w:val="166"/>
        </w:numPr>
        <w:ind w:left="1440" w:right="255"/>
      </w:pPr>
      <w:r>
        <w:t xml:space="preserve">Method </w:t>
      </w:r>
      <w:r w:rsidR="00170E60">
        <w:t xml:space="preserve">533 – LC conditions in Section </w:t>
      </w:r>
      <w:r w:rsidR="002E4CAE">
        <w:t>10.2 of the method, with</w:t>
      </w:r>
      <w:r w:rsidR="00D82FF5" w:rsidRPr="00D82FF5">
        <w:t xml:space="preserve"> LC conditions summarized on Table 1 of the method.</w:t>
      </w:r>
    </w:p>
    <w:p w14:paraId="102EC7B4" w14:textId="4831444E" w:rsidR="00C72B34" w:rsidRDefault="00D82FF5" w:rsidP="00E2307F">
      <w:pPr>
        <w:pStyle w:val="ListParagraph"/>
        <w:numPr>
          <w:ilvl w:val="0"/>
          <w:numId w:val="166"/>
        </w:numPr>
        <w:ind w:left="1440" w:right="255"/>
      </w:pPr>
      <w:r>
        <w:t xml:space="preserve">Method 8327 </w:t>
      </w:r>
      <w:r w:rsidR="005A6B4F">
        <w:t>–</w:t>
      </w:r>
      <w:r>
        <w:t xml:space="preserve"> </w:t>
      </w:r>
      <w:r w:rsidR="009B6838">
        <w:t>L</w:t>
      </w:r>
      <w:r w:rsidR="005A6B4F">
        <w:t>C conditions in Section 11.3 of the method</w:t>
      </w:r>
      <w:r w:rsidR="00F35D24">
        <w:t xml:space="preserve">, </w:t>
      </w:r>
      <w:r w:rsidR="00FA3D64">
        <w:t xml:space="preserve">with </w:t>
      </w:r>
      <w:r w:rsidR="00F35D24">
        <w:t>LC conditions summarized on Table 3 of the method.</w:t>
      </w:r>
      <w:r w:rsidR="002E4CAE">
        <w:t xml:space="preserve"> </w:t>
      </w:r>
    </w:p>
    <w:p w14:paraId="2736D708" w14:textId="7D9C5C42" w:rsidR="0031290A" w:rsidRDefault="0031290A" w:rsidP="00A7575D">
      <w:pPr>
        <w:ind w:left="1450" w:right="255"/>
      </w:pPr>
    </w:p>
    <w:p w14:paraId="392A6C64" w14:textId="77777777" w:rsidR="00632D01" w:rsidRDefault="00632D01" w:rsidP="00A7575D">
      <w:pPr>
        <w:ind w:left="1450" w:right="255"/>
      </w:pPr>
    </w:p>
    <w:p w14:paraId="3DE87389" w14:textId="77777777" w:rsidR="00632D01" w:rsidRDefault="00632D01" w:rsidP="00A7575D">
      <w:pPr>
        <w:ind w:left="1450" w:right="255"/>
      </w:pPr>
    </w:p>
    <w:p w14:paraId="73A3DBE7" w14:textId="77777777" w:rsidR="00632D01" w:rsidRDefault="00632D01" w:rsidP="00A7575D">
      <w:pPr>
        <w:ind w:left="1450" w:right="255"/>
      </w:pPr>
    </w:p>
    <w:p w14:paraId="7DE421F9" w14:textId="77777777" w:rsidR="0031290A" w:rsidRPr="00713F3F" w:rsidRDefault="0031290A" w:rsidP="00622D2D">
      <w:pPr>
        <w:numPr>
          <w:ilvl w:val="0"/>
          <w:numId w:val="136"/>
        </w:numPr>
        <w:spacing w:after="16"/>
        <w:ind w:left="1080" w:right="186"/>
        <w:rPr>
          <w:b/>
          <w:bCs/>
        </w:rPr>
      </w:pPr>
      <w:r w:rsidRPr="00713F3F">
        <w:rPr>
          <w:b/>
          <w:bCs/>
        </w:rPr>
        <w:lastRenderedPageBreak/>
        <w:t>Initial Calibration</w:t>
      </w:r>
    </w:p>
    <w:p w14:paraId="55A37521" w14:textId="77777777" w:rsidR="008A3F72" w:rsidRDefault="008A3F72" w:rsidP="0031290A">
      <w:pPr>
        <w:ind w:left="1450" w:right="255"/>
      </w:pPr>
    </w:p>
    <w:p w14:paraId="0759C732" w14:textId="4E3AA204" w:rsidR="008A3F72" w:rsidRDefault="008A3F72" w:rsidP="000738B7">
      <w:pPr>
        <w:ind w:left="1080" w:right="255" w:firstLine="0"/>
        <w:rPr>
          <w:u w:val="single"/>
        </w:rPr>
      </w:pPr>
      <w:r>
        <w:rPr>
          <w:u w:val="single"/>
        </w:rPr>
        <w:t>Terms Specific to Method</w:t>
      </w:r>
    </w:p>
    <w:p w14:paraId="68A2ACE4" w14:textId="77777777" w:rsidR="00E03F9F" w:rsidRDefault="00E03F9F" w:rsidP="000738B7">
      <w:pPr>
        <w:ind w:left="1080" w:right="255" w:firstLine="0"/>
      </w:pPr>
    </w:p>
    <w:p w14:paraId="5593FED8" w14:textId="221204E0" w:rsidR="008A3F72" w:rsidRDefault="009E794E" w:rsidP="00E2307F">
      <w:pPr>
        <w:pStyle w:val="ListParagraph"/>
        <w:numPr>
          <w:ilvl w:val="0"/>
          <w:numId w:val="160"/>
        </w:numPr>
        <w:ind w:left="1440" w:right="255"/>
      </w:pPr>
      <w:r>
        <w:t>Method 537.1 – Initial Calibration</w:t>
      </w:r>
    </w:p>
    <w:p w14:paraId="52470A3B" w14:textId="767D8576" w:rsidR="00FD01A3" w:rsidRDefault="00CC1825" w:rsidP="00E2307F">
      <w:pPr>
        <w:pStyle w:val="ListParagraph"/>
        <w:numPr>
          <w:ilvl w:val="0"/>
          <w:numId w:val="160"/>
        </w:numPr>
        <w:ind w:left="1440" w:right="255"/>
      </w:pPr>
      <w:r>
        <w:t>Method 1633A – Initial Calibration (ICAL)</w:t>
      </w:r>
    </w:p>
    <w:p w14:paraId="3D7CD17B" w14:textId="433C459F" w:rsidR="00D845CA" w:rsidRDefault="004A5DBF" w:rsidP="00E2307F">
      <w:pPr>
        <w:pStyle w:val="ListParagraph"/>
        <w:numPr>
          <w:ilvl w:val="0"/>
          <w:numId w:val="160"/>
        </w:numPr>
        <w:ind w:left="1440" w:right="255"/>
      </w:pPr>
      <w:r>
        <w:t>Method 533</w:t>
      </w:r>
      <w:r w:rsidR="00722F4A">
        <w:t xml:space="preserve"> </w:t>
      </w:r>
      <w:r w:rsidR="005C7742">
        <w:t>–</w:t>
      </w:r>
      <w:r w:rsidR="00722F4A" w:rsidDel="005C7742">
        <w:t xml:space="preserve"> I</w:t>
      </w:r>
      <w:r w:rsidR="00722F4A">
        <w:t>nitial Calibration</w:t>
      </w:r>
    </w:p>
    <w:p w14:paraId="1A903D9E" w14:textId="2D2253D7" w:rsidR="003E20B9" w:rsidRPr="008A3F72" w:rsidRDefault="003E20B9" w:rsidP="00595C76">
      <w:pPr>
        <w:pStyle w:val="ListParagraph"/>
        <w:numPr>
          <w:ilvl w:val="0"/>
          <w:numId w:val="160"/>
        </w:numPr>
        <w:ind w:left="1440" w:right="255"/>
      </w:pPr>
      <w:r>
        <w:t xml:space="preserve">Method </w:t>
      </w:r>
      <w:r w:rsidR="003F39A3">
        <w:t>8327</w:t>
      </w:r>
      <w:r w:rsidR="00C44A63">
        <w:t xml:space="preserve"> – </w:t>
      </w:r>
      <w:r w:rsidR="003F39A3" w:rsidDel="005C7742">
        <w:t>I</w:t>
      </w:r>
      <w:r w:rsidR="003F39A3">
        <w:t xml:space="preserve">nitial Calibration (ICAL) and </w:t>
      </w:r>
      <w:r w:rsidR="007731DF">
        <w:t>Initial Calibration</w:t>
      </w:r>
      <w:r w:rsidR="003F39A3">
        <w:t xml:space="preserve"> Verification (ICV)</w:t>
      </w:r>
    </w:p>
    <w:p w14:paraId="7ED12660" w14:textId="77777777" w:rsidR="008A3F72" w:rsidRDefault="008A3F72" w:rsidP="00BA4F7C">
      <w:pPr>
        <w:ind w:left="720" w:right="255"/>
      </w:pPr>
    </w:p>
    <w:p w14:paraId="275D86F3" w14:textId="5E227290" w:rsidR="00F5565F" w:rsidRPr="003B3AA2" w:rsidRDefault="00F5565F" w:rsidP="00D53828">
      <w:pPr>
        <w:ind w:left="1440" w:right="255" w:hanging="720"/>
        <w:rPr>
          <w:u w:val="single"/>
        </w:rPr>
      </w:pPr>
      <w:r>
        <w:rPr>
          <w:u w:val="single"/>
        </w:rPr>
        <w:t>General Requirements for Initial Cal</w:t>
      </w:r>
      <w:r w:rsidR="00BE7070">
        <w:rPr>
          <w:u w:val="single"/>
        </w:rPr>
        <w:t>ibration (All Methods)</w:t>
      </w:r>
    </w:p>
    <w:p w14:paraId="320B68E7" w14:textId="77777777" w:rsidR="00F5565F" w:rsidRDefault="00F5565F" w:rsidP="0031290A">
      <w:pPr>
        <w:ind w:left="1450" w:right="255"/>
      </w:pPr>
    </w:p>
    <w:p w14:paraId="310EEEDE" w14:textId="04511877" w:rsidR="00D6552F" w:rsidRDefault="0031290A" w:rsidP="005048D9">
      <w:pPr>
        <w:ind w:left="720" w:right="255" w:firstLine="0"/>
      </w:pPr>
      <w:r>
        <w:t xml:space="preserve">The Contractor shall perform and document initial calibration for each instrument used to analyze samples.  Initial calibration of </w:t>
      </w:r>
      <w:r w:rsidR="00DE6C94">
        <w:t>PFAS</w:t>
      </w:r>
      <w:r>
        <w:t xml:space="preserve"> target compounds must be performed using a minimum of 5 concentrations.  The concentration range of the calibration standards must bracket the concentrations of target compounds expected to be seen in the field samples and must be wide enough to meet the project DQOs.  </w:t>
      </w:r>
    </w:p>
    <w:p w14:paraId="369337F1" w14:textId="77777777" w:rsidR="00D6552F" w:rsidRDefault="00D6552F" w:rsidP="007752FB">
      <w:pPr>
        <w:ind w:left="720" w:right="255"/>
      </w:pPr>
    </w:p>
    <w:p w14:paraId="33F84605" w14:textId="30F339B4" w:rsidR="0031290A" w:rsidRDefault="0031290A" w:rsidP="005048D9">
      <w:pPr>
        <w:ind w:left="720" w:right="255" w:firstLine="0"/>
      </w:pPr>
      <w:r w:rsidRPr="007752FB">
        <w:t>At least one standard must be at a concentration as low or lower</w:t>
      </w:r>
      <w:r w:rsidRPr="002B0BC9">
        <w:t xml:space="preserve"> </w:t>
      </w:r>
      <w:r w:rsidRPr="00666C2A">
        <w:t>than regulatory or</w:t>
      </w:r>
      <w:r w:rsidRPr="002B0BC9">
        <w:t xml:space="preserve"> </w:t>
      </w:r>
      <w:r w:rsidRPr="00666C2A">
        <w:t>health protective levels to which sample concentrations will be compared</w:t>
      </w:r>
      <w:r w:rsidRPr="002B0BC9">
        <w:t>.</w:t>
      </w:r>
      <w:r>
        <w:t xml:space="preserve">  The remaining standards must correspond to the range of concentrations found in typical samples but must not exceed the working range of the </w:t>
      </w:r>
      <w:r w:rsidR="00736BCA">
        <w:t>LC/MS/MS</w:t>
      </w:r>
      <w:r>
        <w:t xml:space="preserve"> system.  </w:t>
      </w:r>
      <w:r w:rsidRPr="00666C2A">
        <w:t>Project DQOs requiring very low</w:t>
      </w:r>
      <w:r w:rsidRPr="005F6A98">
        <w:t xml:space="preserve"> </w:t>
      </w:r>
      <w:r w:rsidRPr="00666C2A">
        <w:t>detection limits</w:t>
      </w:r>
      <w:r>
        <w:t xml:space="preserve"> (e.g. risk assessment) may require specialized calibration and analytical procedures, such as preparation of lower concentration standards.</w:t>
      </w:r>
    </w:p>
    <w:p w14:paraId="359B8D45" w14:textId="77777777" w:rsidR="0031290A" w:rsidRPr="005F4630" w:rsidRDefault="0031290A" w:rsidP="00666C2A">
      <w:pPr>
        <w:ind w:left="720" w:right="255"/>
      </w:pPr>
      <w:r w:rsidRPr="005F4630">
        <w:t xml:space="preserve"> </w:t>
      </w:r>
    </w:p>
    <w:p w14:paraId="2B875141" w14:textId="2E9E18FC" w:rsidR="0031290A" w:rsidRDefault="0031290A" w:rsidP="005048D9">
      <w:pPr>
        <w:ind w:left="720" w:right="136" w:firstLine="0"/>
      </w:pPr>
      <w:r>
        <w:t xml:space="preserve">Initial calibration of a </w:t>
      </w:r>
      <w:r w:rsidR="005B1C5E">
        <w:t>L</w:t>
      </w:r>
      <w:r>
        <w:t>C/MS</w:t>
      </w:r>
      <w:r w:rsidR="00D232E7">
        <w:t>/MS</w:t>
      </w:r>
      <w:r>
        <w:t xml:space="preserve"> system is performed upon installation of an instrument, prior to beginning analysis of a sample case for an environmental project, whenever </w:t>
      </w:r>
      <w:r w:rsidR="009B7FBA">
        <w:t>the laboratory takes an action that changes the chromatographic</w:t>
      </w:r>
      <w:r>
        <w:t xml:space="preserve"> </w:t>
      </w:r>
      <w:r w:rsidR="00333486">
        <w:t>conditions or affect the initial calibration criteria</w:t>
      </w:r>
      <w:r>
        <w:t xml:space="preserve"> (ion source cleaning or repair, column replacement, etc.), or if the continuing calibration (calibration verification) </w:t>
      </w:r>
      <w:r w:rsidR="001B2784">
        <w:t xml:space="preserve">or instrument sensitivity check (ISC) </w:t>
      </w:r>
      <w:r>
        <w:t xml:space="preserve">acceptance criteria have not been met. </w:t>
      </w:r>
    </w:p>
    <w:p w14:paraId="01450581" w14:textId="77777777" w:rsidR="0031290A" w:rsidRDefault="0031290A" w:rsidP="005048D9">
      <w:pPr>
        <w:spacing w:after="0" w:line="259" w:lineRule="auto"/>
        <w:ind w:left="720" w:right="0" w:firstLine="0"/>
      </w:pPr>
    </w:p>
    <w:p w14:paraId="14A8E64A" w14:textId="1ECB1051" w:rsidR="0083757B" w:rsidRPr="00B736CB" w:rsidRDefault="00C96909" w:rsidP="00666C2A">
      <w:pPr>
        <w:spacing w:after="0" w:line="259" w:lineRule="auto"/>
        <w:ind w:left="720" w:right="0" w:firstLine="0"/>
        <w:jc w:val="both"/>
        <w:rPr>
          <w:u w:val="single"/>
        </w:rPr>
      </w:pPr>
      <w:r w:rsidRPr="00666C2A">
        <w:rPr>
          <w:u w:val="single"/>
        </w:rPr>
        <w:t xml:space="preserve">Method-specific </w:t>
      </w:r>
      <w:r w:rsidR="008B1749" w:rsidRPr="00666C2A">
        <w:rPr>
          <w:u w:val="single"/>
        </w:rPr>
        <w:t>Requirements for Initial Calibration</w:t>
      </w:r>
    </w:p>
    <w:p w14:paraId="67E673B3" w14:textId="77777777" w:rsidR="008B1749" w:rsidRDefault="008B1749" w:rsidP="00666C2A">
      <w:pPr>
        <w:spacing w:after="0" w:line="259" w:lineRule="auto"/>
        <w:ind w:left="720" w:right="0" w:firstLine="0"/>
        <w:jc w:val="both"/>
        <w:rPr>
          <w:u w:val="single"/>
        </w:rPr>
      </w:pPr>
    </w:p>
    <w:p w14:paraId="2B058F7D" w14:textId="12812BA7" w:rsidR="008B1749" w:rsidRDefault="0067016C" w:rsidP="00666C2A">
      <w:pPr>
        <w:spacing w:after="0" w:line="259" w:lineRule="auto"/>
        <w:ind w:left="720" w:right="0" w:firstLine="0"/>
        <w:jc w:val="both"/>
      </w:pPr>
      <w:r w:rsidRPr="00666C2A">
        <w:t>The</w:t>
      </w:r>
      <w:r w:rsidR="00FC7D91" w:rsidRPr="00666C2A">
        <w:t xml:space="preserve"> Contractor shal</w:t>
      </w:r>
      <w:r w:rsidR="007137F0" w:rsidRPr="00666C2A">
        <w:t xml:space="preserve">l perform and document initial </w:t>
      </w:r>
      <w:r w:rsidR="00856631" w:rsidRPr="00666C2A">
        <w:t>calibration</w:t>
      </w:r>
      <w:r w:rsidR="00EE129C" w:rsidRPr="00666C2A">
        <w:t xml:space="preserve"> for each instrument used to analyze samples</w:t>
      </w:r>
      <w:r w:rsidR="00F215A5" w:rsidRPr="00666C2A">
        <w:t xml:space="preserve"> according to specifications </w:t>
      </w:r>
      <w:r w:rsidR="00590AB9" w:rsidRPr="00666C2A">
        <w:t>described in the assigned PFAS</w:t>
      </w:r>
      <w:r w:rsidR="008A6A2E" w:rsidRPr="00666C2A">
        <w:t xml:space="preserve"> method</w:t>
      </w:r>
      <w:r w:rsidR="00062AFB" w:rsidRPr="00666C2A">
        <w:t xml:space="preserve">.  </w:t>
      </w:r>
      <w:r w:rsidR="00AD38B5" w:rsidRPr="00666C2A">
        <w:t>Method references for in</w:t>
      </w:r>
      <w:r w:rsidR="00B62602" w:rsidRPr="00666C2A">
        <w:t>itial calibration procedures</w:t>
      </w:r>
      <w:r w:rsidR="000234E7" w:rsidRPr="00666C2A">
        <w:t xml:space="preserve"> are as follows</w:t>
      </w:r>
      <w:r w:rsidR="003820C0">
        <w:t>:</w:t>
      </w:r>
    </w:p>
    <w:p w14:paraId="52DA447D" w14:textId="77777777" w:rsidR="008D2137" w:rsidRPr="00666C2A" w:rsidRDefault="008D2137" w:rsidP="00666C2A">
      <w:pPr>
        <w:spacing w:after="0" w:line="259" w:lineRule="auto"/>
        <w:ind w:left="720" w:right="0" w:firstLine="0"/>
        <w:jc w:val="both"/>
      </w:pPr>
    </w:p>
    <w:p w14:paraId="24FCBC55" w14:textId="764A95C4" w:rsidR="000234E7" w:rsidRPr="00666C2A" w:rsidRDefault="000234E7" w:rsidP="00666C2A">
      <w:pPr>
        <w:pStyle w:val="ListParagraph"/>
        <w:numPr>
          <w:ilvl w:val="0"/>
          <w:numId w:val="167"/>
        </w:numPr>
        <w:spacing w:after="0" w:line="259" w:lineRule="auto"/>
        <w:ind w:left="1440" w:right="0"/>
        <w:jc w:val="both"/>
      </w:pPr>
      <w:r w:rsidRPr="00666C2A">
        <w:t xml:space="preserve">Method </w:t>
      </w:r>
      <w:r w:rsidR="003B66D4" w:rsidRPr="00666C2A">
        <w:t>537.1 – Section 10.</w:t>
      </w:r>
      <w:r w:rsidR="004E7DE0" w:rsidRPr="00666C2A">
        <w:t>2</w:t>
      </w:r>
    </w:p>
    <w:p w14:paraId="0DF37178" w14:textId="0C9C5093" w:rsidR="003B66D4" w:rsidRPr="00666C2A" w:rsidRDefault="003B66D4" w:rsidP="00666C2A">
      <w:pPr>
        <w:pStyle w:val="ListParagraph"/>
        <w:numPr>
          <w:ilvl w:val="0"/>
          <w:numId w:val="167"/>
        </w:numPr>
        <w:spacing w:after="0" w:line="259" w:lineRule="auto"/>
        <w:ind w:left="1440" w:right="0"/>
        <w:jc w:val="both"/>
      </w:pPr>
      <w:r w:rsidRPr="00666C2A">
        <w:t xml:space="preserve">Method 1633A </w:t>
      </w:r>
      <w:r w:rsidR="004E7DE0" w:rsidRPr="00666C2A">
        <w:t>–</w:t>
      </w:r>
      <w:r w:rsidRPr="00666C2A">
        <w:t xml:space="preserve"> </w:t>
      </w:r>
      <w:r w:rsidR="004E7DE0" w:rsidRPr="00666C2A">
        <w:t>Section 10.3</w:t>
      </w:r>
    </w:p>
    <w:p w14:paraId="1D6B2B61" w14:textId="1C4CFA13" w:rsidR="00E2004E" w:rsidRPr="00666C2A" w:rsidRDefault="00E2004E" w:rsidP="00666C2A">
      <w:pPr>
        <w:pStyle w:val="ListParagraph"/>
        <w:numPr>
          <w:ilvl w:val="0"/>
          <w:numId w:val="167"/>
        </w:numPr>
        <w:spacing w:after="0" w:line="259" w:lineRule="auto"/>
        <w:ind w:left="1440" w:right="0"/>
        <w:jc w:val="both"/>
      </w:pPr>
      <w:r w:rsidRPr="00666C2A">
        <w:t xml:space="preserve">Method 533 </w:t>
      </w:r>
      <w:r w:rsidR="00786A23" w:rsidRPr="00666C2A">
        <w:t>–</w:t>
      </w:r>
      <w:r w:rsidRPr="00666C2A">
        <w:t xml:space="preserve"> </w:t>
      </w:r>
      <w:r w:rsidR="00786A23" w:rsidRPr="00666C2A">
        <w:t>Section 10.3</w:t>
      </w:r>
    </w:p>
    <w:p w14:paraId="6DAAD89C" w14:textId="3C06E215" w:rsidR="00786A23" w:rsidRPr="00666C2A" w:rsidRDefault="00786A23" w:rsidP="00666C2A">
      <w:pPr>
        <w:pStyle w:val="ListParagraph"/>
        <w:numPr>
          <w:ilvl w:val="0"/>
          <w:numId w:val="167"/>
        </w:numPr>
        <w:spacing w:after="0" w:line="259" w:lineRule="auto"/>
        <w:ind w:left="1440" w:right="0"/>
        <w:jc w:val="both"/>
      </w:pPr>
      <w:r w:rsidRPr="00666C2A">
        <w:t xml:space="preserve">Method 8327 </w:t>
      </w:r>
      <w:r w:rsidR="009B61FD" w:rsidRPr="00666C2A">
        <w:t>–</w:t>
      </w:r>
      <w:r w:rsidRPr="00666C2A">
        <w:t xml:space="preserve"> </w:t>
      </w:r>
      <w:r w:rsidR="009B61FD" w:rsidRPr="00666C2A">
        <w:t>Section 11.3</w:t>
      </w:r>
    </w:p>
    <w:p w14:paraId="4B023060" w14:textId="77777777" w:rsidR="000C2C2E" w:rsidRPr="00666C2A" w:rsidRDefault="000C2C2E" w:rsidP="000C2C2E">
      <w:pPr>
        <w:spacing w:after="0" w:line="259" w:lineRule="auto"/>
        <w:ind w:right="0"/>
        <w:jc w:val="both"/>
      </w:pPr>
    </w:p>
    <w:p w14:paraId="5856D739" w14:textId="02D67E98" w:rsidR="008854D1" w:rsidRDefault="007E2BE4" w:rsidP="00666C2A">
      <w:pPr>
        <w:spacing w:after="0" w:line="259" w:lineRule="auto"/>
        <w:ind w:left="720" w:right="0" w:firstLine="0"/>
        <w:jc w:val="both"/>
      </w:pPr>
      <w:r w:rsidRPr="00666C2A">
        <w:t xml:space="preserve">The </w:t>
      </w:r>
      <w:r w:rsidR="0076697F" w:rsidRPr="00666C2A">
        <w:t xml:space="preserve">Contractor </w:t>
      </w:r>
      <w:r w:rsidR="00722877" w:rsidRPr="00666C2A">
        <w:t xml:space="preserve">must confirm that the </w:t>
      </w:r>
      <w:r w:rsidR="003F2534" w:rsidRPr="00666C2A">
        <w:t xml:space="preserve">method-specific </w:t>
      </w:r>
      <w:r w:rsidR="00800DBE" w:rsidRPr="00666C2A">
        <w:t xml:space="preserve">criteria summarized in Table </w:t>
      </w:r>
      <w:r w:rsidR="00322D99">
        <w:t>40</w:t>
      </w:r>
      <w:r w:rsidR="003F2534" w:rsidRPr="00666C2A">
        <w:t xml:space="preserve"> have been met </w:t>
      </w:r>
      <w:r w:rsidR="00204DC1" w:rsidRPr="00666C2A">
        <w:t xml:space="preserve">for the initial calibration to be valid.  Only after </w:t>
      </w:r>
      <w:r w:rsidR="008507F7" w:rsidRPr="00666C2A">
        <w:t>these criteria are met can sample analysis begin.</w:t>
      </w:r>
    </w:p>
    <w:p w14:paraId="47F0F511" w14:textId="77777777" w:rsidR="00B66353" w:rsidRDefault="00B66353" w:rsidP="00666C2A">
      <w:pPr>
        <w:spacing w:after="0" w:line="259" w:lineRule="auto"/>
        <w:ind w:left="720" w:right="0" w:firstLine="0"/>
        <w:jc w:val="both"/>
      </w:pPr>
    </w:p>
    <w:p w14:paraId="1ABFD195" w14:textId="77777777" w:rsidR="00B66353" w:rsidRDefault="00B66353" w:rsidP="00666C2A">
      <w:pPr>
        <w:spacing w:after="0" w:line="259" w:lineRule="auto"/>
        <w:ind w:left="720" w:right="0" w:firstLine="0"/>
        <w:jc w:val="both"/>
      </w:pPr>
    </w:p>
    <w:p w14:paraId="4B795611" w14:textId="77777777" w:rsidR="00B027C8" w:rsidRDefault="00B027C8" w:rsidP="00666C2A">
      <w:pPr>
        <w:spacing w:after="0" w:line="259" w:lineRule="auto"/>
        <w:ind w:left="720" w:right="0" w:firstLine="0"/>
        <w:jc w:val="both"/>
      </w:pPr>
    </w:p>
    <w:p w14:paraId="49BD01AC" w14:textId="77777777" w:rsidR="00B66353" w:rsidRPr="00666C2A" w:rsidRDefault="00B66353" w:rsidP="00666C2A">
      <w:pPr>
        <w:spacing w:after="0" w:line="259" w:lineRule="auto"/>
        <w:ind w:left="720" w:right="0" w:firstLine="0"/>
        <w:jc w:val="both"/>
        <w:rPr>
          <w:u w:val="single"/>
        </w:rPr>
      </w:pPr>
    </w:p>
    <w:p w14:paraId="3C0DE4F0" w14:textId="64601306" w:rsidR="003B61A0" w:rsidRDefault="007750C5" w:rsidP="007750C5">
      <w:pPr>
        <w:jc w:val="center"/>
        <w:rPr>
          <w:rFonts w:eastAsia="Arial"/>
          <w:b/>
          <w:bCs/>
        </w:rPr>
      </w:pPr>
      <w:r>
        <w:rPr>
          <w:rFonts w:eastAsia="Arial"/>
          <w:b/>
          <w:bCs/>
        </w:rPr>
        <w:lastRenderedPageBreak/>
        <w:t>T</w:t>
      </w:r>
      <w:r w:rsidR="00550173">
        <w:rPr>
          <w:rFonts w:eastAsia="Arial"/>
          <w:b/>
          <w:bCs/>
        </w:rPr>
        <w:t>ABLE</w:t>
      </w:r>
      <w:r>
        <w:rPr>
          <w:rFonts w:eastAsia="Arial"/>
          <w:b/>
          <w:bCs/>
        </w:rPr>
        <w:t xml:space="preserve"> </w:t>
      </w:r>
      <w:r w:rsidR="00880C24">
        <w:rPr>
          <w:rFonts w:eastAsia="Arial"/>
          <w:b/>
          <w:bCs/>
        </w:rPr>
        <w:t>40</w:t>
      </w:r>
      <w:r>
        <w:rPr>
          <w:rFonts w:eastAsia="Arial"/>
          <w:b/>
          <w:bCs/>
        </w:rPr>
        <w:t xml:space="preserve"> </w:t>
      </w:r>
    </w:p>
    <w:p w14:paraId="13A10D1A" w14:textId="1DC1DC08" w:rsidR="00BE7070" w:rsidRDefault="007750C5" w:rsidP="007750C5">
      <w:pPr>
        <w:jc w:val="center"/>
        <w:rPr>
          <w:rFonts w:eastAsia="Arial"/>
          <w:b/>
          <w:bCs/>
        </w:rPr>
      </w:pPr>
      <w:r>
        <w:rPr>
          <w:rFonts w:eastAsia="Arial"/>
          <w:b/>
          <w:bCs/>
        </w:rPr>
        <w:t xml:space="preserve">Summary of </w:t>
      </w:r>
      <w:r w:rsidR="004F4F0F">
        <w:rPr>
          <w:rFonts w:eastAsia="Arial"/>
          <w:b/>
          <w:bCs/>
        </w:rPr>
        <w:t xml:space="preserve">Required </w:t>
      </w:r>
      <w:r>
        <w:rPr>
          <w:rFonts w:eastAsia="Arial"/>
          <w:b/>
          <w:bCs/>
        </w:rPr>
        <w:t>Initial Calibration Criteria</w:t>
      </w:r>
      <w:r w:rsidR="004F4F0F">
        <w:rPr>
          <w:rFonts w:eastAsia="Arial"/>
          <w:b/>
          <w:bCs/>
        </w:rPr>
        <w:t xml:space="preserve"> for PFAS Analysis</w:t>
      </w:r>
    </w:p>
    <w:p w14:paraId="40939E1B" w14:textId="77777777" w:rsidR="004F4F0F" w:rsidRPr="00021651" w:rsidRDefault="004F4F0F" w:rsidP="00021651">
      <w:pPr>
        <w:jc w:val="center"/>
        <w:rPr>
          <w:rFonts w:eastAsia="Arial"/>
          <w:b/>
          <w:bCs/>
        </w:rPr>
      </w:pPr>
    </w:p>
    <w:tbl>
      <w:tblPr>
        <w:tblStyle w:val="TableGridLight"/>
        <w:tblW w:w="10785" w:type="dxa"/>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Look w:val="04A0" w:firstRow="1" w:lastRow="0" w:firstColumn="1" w:lastColumn="0" w:noHBand="0" w:noVBand="1"/>
      </w:tblPr>
      <w:tblGrid>
        <w:gridCol w:w="1523"/>
        <w:gridCol w:w="4041"/>
        <w:gridCol w:w="5221"/>
      </w:tblGrid>
      <w:tr w:rsidR="004F4F0F" w14:paraId="73264182" w14:textId="77777777" w:rsidTr="00BA4F7C">
        <w:tc>
          <w:tcPr>
            <w:tcW w:w="1523" w:type="dxa"/>
            <w:tcBorders>
              <w:top w:val="single" w:sz="12" w:space="0" w:color="auto"/>
              <w:bottom w:val="single" w:sz="12" w:space="0" w:color="auto"/>
            </w:tcBorders>
          </w:tcPr>
          <w:p w14:paraId="35D50DA4" w14:textId="7A0CB870" w:rsidR="004F4F0F" w:rsidRPr="002F3497" w:rsidRDefault="004F4F0F" w:rsidP="002F3497">
            <w:pPr>
              <w:ind w:left="0" w:firstLine="0"/>
              <w:jc w:val="center"/>
              <w:rPr>
                <w:rFonts w:eastAsia="Arial"/>
                <w:b/>
              </w:rPr>
            </w:pPr>
            <w:r w:rsidRPr="002F3497">
              <w:rPr>
                <w:rFonts w:eastAsia="Arial"/>
                <w:b/>
              </w:rPr>
              <w:t>Method</w:t>
            </w:r>
          </w:p>
        </w:tc>
        <w:tc>
          <w:tcPr>
            <w:tcW w:w="4041" w:type="dxa"/>
            <w:tcBorders>
              <w:top w:val="single" w:sz="12" w:space="0" w:color="auto"/>
              <w:bottom w:val="single" w:sz="12" w:space="0" w:color="auto"/>
            </w:tcBorders>
          </w:tcPr>
          <w:p w14:paraId="4979296A" w14:textId="3623E782" w:rsidR="004F4F0F" w:rsidRPr="002F3497" w:rsidRDefault="001E5D28" w:rsidP="002F3497">
            <w:pPr>
              <w:ind w:left="0" w:firstLine="0"/>
              <w:jc w:val="center"/>
              <w:rPr>
                <w:rFonts w:eastAsia="Arial"/>
                <w:b/>
              </w:rPr>
            </w:pPr>
            <w:r w:rsidRPr="002F3497">
              <w:rPr>
                <w:rFonts w:eastAsia="Arial"/>
                <w:b/>
              </w:rPr>
              <w:t>ICAL</w:t>
            </w:r>
            <w:r w:rsidR="004F4F0F" w:rsidRPr="002F3497">
              <w:rPr>
                <w:rFonts w:eastAsia="Arial"/>
                <w:b/>
              </w:rPr>
              <w:t xml:space="preserve"> Specification and Frequency</w:t>
            </w:r>
          </w:p>
        </w:tc>
        <w:tc>
          <w:tcPr>
            <w:tcW w:w="5221" w:type="dxa"/>
            <w:tcBorders>
              <w:top w:val="single" w:sz="12" w:space="0" w:color="auto"/>
              <w:bottom w:val="single" w:sz="12" w:space="0" w:color="auto"/>
            </w:tcBorders>
          </w:tcPr>
          <w:p w14:paraId="4836A35F" w14:textId="0AD0C83F" w:rsidR="004F4F0F" w:rsidRPr="002F3497" w:rsidRDefault="001E5D28" w:rsidP="002F3497">
            <w:pPr>
              <w:ind w:left="0" w:firstLine="0"/>
              <w:jc w:val="center"/>
              <w:rPr>
                <w:rFonts w:eastAsia="Arial"/>
                <w:b/>
              </w:rPr>
            </w:pPr>
            <w:r w:rsidRPr="002F3497">
              <w:rPr>
                <w:rFonts w:eastAsia="Arial"/>
                <w:b/>
              </w:rPr>
              <w:t>ICAL</w:t>
            </w:r>
            <w:r w:rsidR="004F4F0F" w:rsidRPr="002F3497">
              <w:rPr>
                <w:rFonts w:eastAsia="Arial"/>
                <w:b/>
              </w:rPr>
              <w:t xml:space="preserve"> Acceptance Criteria</w:t>
            </w:r>
          </w:p>
        </w:tc>
      </w:tr>
      <w:tr w:rsidR="004F4F0F" w14:paraId="3CB3BF06" w14:textId="77777777" w:rsidTr="00BA4F7C">
        <w:tc>
          <w:tcPr>
            <w:tcW w:w="1523" w:type="dxa"/>
            <w:tcBorders>
              <w:top w:val="single" w:sz="12" w:space="0" w:color="auto"/>
            </w:tcBorders>
          </w:tcPr>
          <w:p w14:paraId="1DAC1BCE" w14:textId="140288EB" w:rsidR="004F4F0F" w:rsidRDefault="001E5D28" w:rsidP="004F4F0F">
            <w:pPr>
              <w:ind w:left="0" w:firstLine="0"/>
              <w:rPr>
                <w:rFonts w:eastAsia="Arial"/>
              </w:rPr>
            </w:pPr>
            <w:r>
              <w:rPr>
                <w:rFonts w:eastAsia="Arial"/>
              </w:rPr>
              <w:t>537.1</w:t>
            </w:r>
          </w:p>
        </w:tc>
        <w:tc>
          <w:tcPr>
            <w:tcW w:w="4041" w:type="dxa"/>
            <w:tcBorders>
              <w:top w:val="single" w:sz="12" w:space="0" w:color="auto"/>
            </w:tcBorders>
          </w:tcPr>
          <w:p w14:paraId="6EB35FD0" w14:textId="45D6FA5F" w:rsidR="004F4F0F" w:rsidRDefault="00C7051E" w:rsidP="004F4F0F">
            <w:pPr>
              <w:ind w:left="0" w:firstLine="0"/>
              <w:rPr>
                <w:rFonts w:eastAsia="Arial"/>
              </w:rPr>
            </w:pPr>
            <w:r w:rsidRPr="00C7051E">
              <w:rPr>
                <w:rFonts w:eastAsia="Arial"/>
              </w:rPr>
              <w:t xml:space="preserve">Use </w:t>
            </w:r>
            <w:r>
              <w:rPr>
                <w:rFonts w:eastAsia="Arial"/>
              </w:rPr>
              <w:t>internal standard</w:t>
            </w:r>
            <w:r w:rsidRPr="00C7051E">
              <w:rPr>
                <w:rFonts w:eastAsia="Arial"/>
              </w:rPr>
              <w:t xml:space="preserve"> calibration technique to generate a first or second order calibration curve forced through zero. Use at least five standard concentrations.</w:t>
            </w:r>
          </w:p>
        </w:tc>
        <w:tc>
          <w:tcPr>
            <w:tcW w:w="5221" w:type="dxa"/>
            <w:tcBorders>
              <w:top w:val="single" w:sz="12" w:space="0" w:color="auto"/>
            </w:tcBorders>
          </w:tcPr>
          <w:p w14:paraId="726F8E51" w14:textId="2BDE1AAC" w:rsidR="004F4F0F" w:rsidRDefault="00755266" w:rsidP="004F4F0F">
            <w:pPr>
              <w:ind w:left="0" w:firstLine="0"/>
              <w:rPr>
                <w:rFonts w:eastAsia="Arial"/>
              </w:rPr>
            </w:pPr>
            <w:r w:rsidRPr="00755266">
              <w:rPr>
                <w:rFonts w:eastAsia="Arial"/>
              </w:rPr>
              <w:t xml:space="preserve">When each </w:t>
            </w:r>
            <w:r>
              <w:rPr>
                <w:rFonts w:eastAsia="Arial"/>
              </w:rPr>
              <w:t>calibration</w:t>
            </w:r>
            <w:r w:rsidRPr="00755266">
              <w:rPr>
                <w:rFonts w:eastAsia="Arial"/>
              </w:rPr>
              <w:t xml:space="preserve"> standard is calculated as an unknown using the calibration curve, the analyte and </w:t>
            </w:r>
            <w:r>
              <w:rPr>
                <w:rFonts w:eastAsia="Arial"/>
              </w:rPr>
              <w:t>surrogate</w:t>
            </w:r>
            <w:r w:rsidRPr="00755266">
              <w:rPr>
                <w:rFonts w:eastAsia="Arial"/>
              </w:rPr>
              <w:t xml:space="preserve"> results must be 70-130% of the true value for all except the lowest standard, which must be 50-150% of the true value. Recalibration is recommended if these criteria are not met.</w:t>
            </w:r>
          </w:p>
        </w:tc>
      </w:tr>
      <w:tr w:rsidR="004F4F0F" w14:paraId="7BE784E8" w14:textId="77777777" w:rsidTr="00BA4F7C">
        <w:tc>
          <w:tcPr>
            <w:tcW w:w="1523" w:type="dxa"/>
          </w:tcPr>
          <w:p w14:paraId="56B41DEC" w14:textId="7F5734DC" w:rsidR="004F4F0F" w:rsidRDefault="007B212B" w:rsidP="004F4F0F">
            <w:pPr>
              <w:ind w:left="0" w:firstLine="0"/>
              <w:rPr>
                <w:rFonts w:eastAsia="Arial"/>
              </w:rPr>
            </w:pPr>
            <w:r>
              <w:rPr>
                <w:rFonts w:eastAsia="Arial"/>
              </w:rPr>
              <w:t>1633A</w:t>
            </w:r>
          </w:p>
        </w:tc>
        <w:tc>
          <w:tcPr>
            <w:tcW w:w="4041" w:type="dxa"/>
          </w:tcPr>
          <w:p w14:paraId="56ECD148" w14:textId="3BBC085B" w:rsidR="004F4F0F" w:rsidRDefault="006F4549" w:rsidP="004F4F0F">
            <w:pPr>
              <w:ind w:left="0" w:firstLine="0"/>
              <w:rPr>
                <w:rFonts w:eastAsia="Arial"/>
              </w:rPr>
            </w:pPr>
            <w:r w:rsidRPr="006F4549">
              <w:rPr>
                <w:rFonts w:eastAsia="Arial"/>
              </w:rPr>
              <w:t xml:space="preserve">Minimum 6 calibration standards for linear </w:t>
            </w:r>
            <w:r w:rsidR="00D668EF" w:rsidRPr="006F4549">
              <w:rPr>
                <w:rFonts w:eastAsia="Arial"/>
              </w:rPr>
              <w:t>models</w:t>
            </w:r>
            <w:r w:rsidRPr="006F4549">
              <w:rPr>
                <w:rFonts w:eastAsia="Arial"/>
              </w:rPr>
              <w:t xml:space="preserve"> and 7 calibration standards for non-linear models.</w:t>
            </w:r>
          </w:p>
        </w:tc>
        <w:tc>
          <w:tcPr>
            <w:tcW w:w="5221" w:type="dxa"/>
          </w:tcPr>
          <w:p w14:paraId="361C60E6" w14:textId="77777777" w:rsidR="004F4F0F" w:rsidRDefault="00386B07" w:rsidP="004F4F0F">
            <w:pPr>
              <w:ind w:left="0" w:firstLine="0"/>
              <w:rPr>
                <w:rFonts w:eastAsia="Arial"/>
              </w:rPr>
            </w:pPr>
            <w:r w:rsidRPr="00386B07">
              <w:rPr>
                <w:rFonts w:eastAsia="Arial"/>
              </w:rPr>
              <w:t>Sufficient instrument sensitivity is established if a signal-to-noise ratio ≥ 3:1 for the quantification ions and the confirmation ions, or ≥ 10:1 if the analyte only has a quantification ion, can be achieved when analyzing the lowest concentration standard within the quantitation range that the laboratory includes in its assessment of calibration linearity.</w:t>
            </w:r>
          </w:p>
          <w:p w14:paraId="20E0E4AD" w14:textId="47D87C43" w:rsidR="006740A0" w:rsidRDefault="00BE015F" w:rsidP="004F4F0F">
            <w:pPr>
              <w:ind w:left="0" w:firstLine="0"/>
              <w:rPr>
                <w:rFonts w:eastAsia="Arial"/>
              </w:rPr>
            </w:pPr>
            <w:r>
              <w:rPr>
                <w:rFonts w:eastAsia="Arial"/>
              </w:rPr>
              <w:t xml:space="preserve">Option 1: </w:t>
            </w:r>
            <w:r w:rsidRPr="00BE015F">
              <w:rPr>
                <w:rFonts w:eastAsia="Arial"/>
              </w:rPr>
              <w:t xml:space="preserve">Calculate the relative standard deviation (RSD) of the </w:t>
            </w:r>
            <w:r w:rsidR="0000412E">
              <w:rPr>
                <w:rFonts w:eastAsia="Arial"/>
              </w:rPr>
              <w:t>relative response (</w:t>
            </w:r>
            <w:r w:rsidRPr="00BE015F">
              <w:rPr>
                <w:rFonts w:eastAsia="Arial"/>
              </w:rPr>
              <w:t>RR</w:t>
            </w:r>
            <w:r w:rsidR="00CF03FF">
              <w:rPr>
                <w:rFonts w:eastAsia="Arial"/>
              </w:rPr>
              <w:t>)</w:t>
            </w:r>
            <w:r w:rsidRPr="00BE015F">
              <w:rPr>
                <w:rFonts w:eastAsia="Arial"/>
              </w:rPr>
              <w:t xml:space="preserve"> or </w:t>
            </w:r>
            <w:r w:rsidR="00CF03FF">
              <w:rPr>
                <w:rFonts w:eastAsia="Arial"/>
              </w:rPr>
              <w:t>response factor (</w:t>
            </w:r>
            <w:r w:rsidRPr="00BE015F">
              <w:rPr>
                <w:rFonts w:eastAsia="Arial"/>
              </w:rPr>
              <w:t>RF</w:t>
            </w:r>
            <w:r w:rsidR="00CF03FF">
              <w:rPr>
                <w:rFonts w:eastAsia="Arial"/>
              </w:rPr>
              <w:t>)</w:t>
            </w:r>
            <w:r w:rsidRPr="00BE015F">
              <w:rPr>
                <w:rFonts w:eastAsia="Arial"/>
              </w:rPr>
              <w:t xml:space="preserve"> values for each target analyte and isotopically labeled </w:t>
            </w:r>
            <w:r w:rsidR="00D668EF" w:rsidRPr="00BE015F">
              <w:rPr>
                <w:rFonts w:eastAsia="Arial"/>
              </w:rPr>
              <w:t>compounds</w:t>
            </w:r>
            <w:r w:rsidRPr="00BE015F">
              <w:rPr>
                <w:rFonts w:eastAsia="Arial"/>
              </w:rPr>
              <w:t xml:space="preserve"> for all the initial calibration standards that were analyzed. The RSD must be ≤ 20% to establish instrument linearity</w:t>
            </w:r>
            <w:r w:rsidR="00B355DE">
              <w:rPr>
                <w:rFonts w:eastAsia="Arial"/>
              </w:rPr>
              <w:t>.</w:t>
            </w:r>
          </w:p>
          <w:p w14:paraId="56259C3C" w14:textId="3302B67B" w:rsidR="00B355DE" w:rsidRDefault="00B355DE" w:rsidP="004F4F0F">
            <w:pPr>
              <w:ind w:left="0" w:firstLine="0"/>
              <w:rPr>
                <w:rFonts w:eastAsia="Arial"/>
              </w:rPr>
            </w:pPr>
            <w:r>
              <w:rPr>
                <w:rFonts w:eastAsia="Arial"/>
              </w:rPr>
              <w:t xml:space="preserve">Option 2: </w:t>
            </w:r>
            <w:r w:rsidRPr="00B355DE">
              <w:rPr>
                <w:rFonts w:eastAsia="Arial"/>
              </w:rPr>
              <w:t>Calculate the relative standard error (RSE) for each target analyte and EIS compound for all the initial calibration standards that were analyzed. The RSE for all target analytes and EIS compounds must be ≤ 20% to establish instrument linearity.</w:t>
            </w:r>
          </w:p>
        </w:tc>
      </w:tr>
      <w:tr w:rsidR="004F4F0F" w14:paraId="5B24F2CE" w14:textId="77777777" w:rsidTr="00BA4F7C">
        <w:tc>
          <w:tcPr>
            <w:tcW w:w="1523" w:type="dxa"/>
          </w:tcPr>
          <w:p w14:paraId="7BE2B3AF" w14:textId="374074CD" w:rsidR="004F4F0F" w:rsidRDefault="00814B82" w:rsidP="004F4F0F">
            <w:pPr>
              <w:ind w:left="0" w:firstLine="0"/>
              <w:rPr>
                <w:rFonts w:eastAsia="Arial"/>
              </w:rPr>
            </w:pPr>
            <w:r>
              <w:rPr>
                <w:rFonts w:eastAsia="Arial"/>
              </w:rPr>
              <w:t>533</w:t>
            </w:r>
          </w:p>
        </w:tc>
        <w:tc>
          <w:tcPr>
            <w:tcW w:w="4041" w:type="dxa"/>
          </w:tcPr>
          <w:p w14:paraId="43144712" w14:textId="44B726CF" w:rsidR="004F4F0F" w:rsidRDefault="00977CAA" w:rsidP="004F4F0F">
            <w:pPr>
              <w:ind w:left="0" w:firstLine="0"/>
              <w:rPr>
                <w:rFonts w:eastAsia="Arial"/>
              </w:rPr>
            </w:pPr>
            <w:r w:rsidRPr="00977CAA">
              <w:rPr>
                <w:rFonts w:eastAsia="Arial"/>
              </w:rPr>
              <w:t>Use the isotope dilution calibration technique to generate a linear or quadratic calibration curve. Use at least 5 standard concentrations. Evaluate the calibration curve as described</w:t>
            </w:r>
            <w:r>
              <w:rPr>
                <w:rFonts w:eastAsia="Arial"/>
              </w:rPr>
              <w:t xml:space="preserve"> in Section 10.3.5 of </w:t>
            </w:r>
            <w:r w:rsidR="004A4982">
              <w:rPr>
                <w:rFonts w:eastAsia="Arial"/>
              </w:rPr>
              <w:t>Method 533</w:t>
            </w:r>
            <w:r w:rsidR="0073214E">
              <w:rPr>
                <w:rFonts w:eastAsia="Arial"/>
              </w:rPr>
              <w:t>.</w:t>
            </w:r>
          </w:p>
        </w:tc>
        <w:tc>
          <w:tcPr>
            <w:tcW w:w="5221" w:type="dxa"/>
          </w:tcPr>
          <w:p w14:paraId="7BF7592C" w14:textId="3A11B351" w:rsidR="004F4F0F" w:rsidRDefault="004A4982" w:rsidP="004F4F0F">
            <w:pPr>
              <w:ind w:left="0" w:firstLine="0"/>
              <w:rPr>
                <w:rFonts w:eastAsia="Arial"/>
              </w:rPr>
            </w:pPr>
            <w:r w:rsidRPr="004A4982">
              <w:rPr>
                <w:rFonts w:eastAsia="Arial"/>
              </w:rPr>
              <w:t>When each calibration standard is calculated as an unknown using the calibration curve, analytes fortified at or below the MRL should be within 50–150% of the true value. Analytes fortified at all other levels should be within 70–130% of the true value.</w:t>
            </w:r>
          </w:p>
        </w:tc>
      </w:tr>
      <w:tr w:rsidR="004F4F0F" w14:paraId="1A9FFBF8" w14:textId="77777777" w:rsidTr="00BA4F7C">
        <w:tc>
          <w:tcPr>
            <w:tcW w:w="1523" w:type="dxa"/>
          </w:tcPr>
          <w:p w14:paraId="3383B290" w14:textId="387C711D" w:rsidR="004F4F0F" w:rsidRDefault="004A4982" w:rsidP="004F4F0F">
            <w:pPr>
              <w:ind w:left="0" w:firstLine="0"/>
              <w:rPr>
                <w:rFonts w:eastAsia="Arial"/>
              </w:rPr>
            </w:pPr>
            <w:r>
              <w:rPr>
                <w:rFonts w:eastAsia="Arial"/>
              </w:rPr>
              <w:t>8327</w:t>
            </w:r>
          </w:p>
        </w:tc>
        <w:tc>
          <w:tcPr>
            <w:tcW w:w="4041" w:type="dxa"/>
          </w:tcPr>
          <w:p w14:paraId="7EFD7197" w14:textId="33BDFDBA" w:rsidR="004F4F0F" w:rsidRDefault="000D0E78" w:rsidP="004F4F0F">
            <w:pPr>
              <w:ind w:left="0" w:firstLine="0"/>
              <w:rPr>
                <w:rFonts w:eastAsia="Arial"/>
              </w:rPr>
            </w:pPr>
            <w:r>
              <w:rPr>
                <w:rFonts w:eastAsia="Arial"/>
              </w:rPr>
              <w:t>Complete ICAL p</w:t>
            </w:r>
            <w:r w:rsidRPr="000D0E78">
              <w:rPr>
                <w:rFonts w:eastAsia="Arial"/>
              </w:rPr>
              <w:t>rior to analysis of samples</w:t>
            </w:r>
            <w:r>
              <w:rPr>
                <w:rFonts w:eastAsia="Arial"/>
              </w:rPr>
              <w:t>.</w:t>
            </w:r>
            <w:r w:rsidR="00F24659">
              <w:rPr>
                <w:rFonts w:eastAsia="Arial"/>
              </w:rPr>
              <w:t xml:space="preserve"> </w:t>
            </w:r>
            <w:r w:rsidR="00F24659" w:rsidRPr="00F24659">
              <w:rPr>
                <w:rFonts w:eastAsia="Arial"/>
              </w:rPr>
              <w:t xml:space="preserve">Minimum </w:t>
            </w:r>
            <w:r w:rsidR="00452A21">
              <w:rPr>
                <w:rFonts w:eastAsia="Arial"/>
              </w:rPr>
              <w:t>5</w:t>
            </w:r>
            <w:r w:rsidR="00F24659" w:rsidRPr="00F24659">
              <w:rPr>
                <w:rFonts w:eastAsia="Arial"/>
              </w:rPr>
              <w:t xml:space="preserve"> calibration standards for linear </w:t>
            </w:r>
            <w:r w:rsidR="00D668EF" w:rsidRPr="00F24659">
              <w:rPr>
                <w:rFonts w:eastAsia="Arial"/>
              </w:rPr>
              <w:t>models</w:t>
            </w:r>
            <w:r w:rsidR="00F24659" w:rsidRPr="00F24659">
              <w:rPr>
                <w:rFonts w:eastAsia="Arial"/>
              </w:rPr>
              <w:t xml:space="preserve"> and </w:t>
            </w:r>
            <w:r w:rsidR="00452A21">
              <w:rPr>
                <w:rFonts w:eastAsia="Arial"/>
              </w:rPr>
              <w:t>6</w:t>
            </w:r>
            <w:r w:rsidR="00F24659" w:rsidRPr="00F24659">
              <w:rPr>
                <w:rFonts w:eastAsia="Arial"/>
              </w:rPr>
              <w:t xml:space="preserve"> calibration standards for </w:t>
            </w:r>
            <w:r w:rsidR="00620E2A">
              <w:rPr>
                <w:rFonts w:eastAsia="Arial"/>
              </w:rPr>
              <w:t>quadratic</w:t>
            </w:r>
            <w:r w:rsidR="00F24659" w:rsidRPr="00F24659">
              <w:rPr>
                <w:rFonts w:eastAsia="Arial"/>
              </w:rPr>
              <w:t xml:space="preserve"> </w:t>
            </w:r>
            <w:r w:rsidR="00D668EF" w:rsidRPr="00F24659">
              <w:rPr>
                <w:rFonts w:eastAsia="Arial"/>
              </w:rPr>
              <w:t>models</w:t>
            </w:r>
            <w:r w:rsidR="00F24659" w:rsidRPr="00F24659">
              <w:rPr>
                <w:rFonts w:eastAsia="Arial"/>
              </w:rPr>
              <w:t>.</w:t>
            </w:r>
          </w:p>
          <w:p w14:paraId="5E65FD1A" w14:textId="4DA01636" w:rsidR="007B1ACF" w:rsidRDefault="007B1ACF" w:rsidP="004F4F0F">
            <w:pPr>
              <w:ind w:left="0" w:firstLine="0"/>
              <w:rPr>
                <w:rFonts w:eastAsia="Arial"/>
              </w:rPr>
            </w:pPr>
            <w:r>
              <w:rPr>
                <w:rFonts w:eastAsia="Arial"/>
              </w:rPr>
              <w:t>Analyze ICV a</w:t>
            </w:r>
            <w:r w:rsidRPr="007B1ACF">
              <w:rPr>
                <w:rFonts w:eastAsia="Arial"/>
              </w:rPr>
              <w:t>fter initial calibration and prior to analysis of samples</w:t>
            </w:r>
            <w:r>
              <w:rPr>
                <w:rFonts w:eastAsia="Arial"/>
              </w:rPr>
              <w:t>.</w:t>
            </w:r>
          </w:p>
        </w:tc>
        <w:tc>
          <w:tcPr>
            <w:tcW w:w="5221" w:type="dxa"/>
          </w:tcPr>
          <w:p w14:paraId="68FC3F46" w14:textId="77777777" w:rsidR="009A3368" w:rsidRDefault="00232BC9" w:rsidP="00232BC9">
            <w:pPr>
              <w:ind w:left="0" w:firstLine="0"/>
              <w:rPr>
                <w:rFonts w:eastAsia="Arial"/>
              </w:rPr>
            </w:pPr>
            <w:r>
              <w:rPr>
                <w:rFonts w:eastAsia="Arial"/>
              </w:rPr>
              <w:t>ICAL</w:t>
            </w:r>
            <w:r w:rsidR="009A3368">
              <w:rPr>
                <w:rFonts w:eastAsia="Arial"/>
              </w:rPr>
              <w:t>:</w:t>
            </w:r>
          </w:p>
          <w:p w14:paraId="447963B6" w14:textId="363E5C70" w:rsidR="00232BC9" w:rsidRDefault="00232BC9" w:rsidP="009A3368">
            <w:pPr>
              <w:pStyle w:val="ListParagraph"/>
              <w:numPr>
                <w:ilvl w:val="0"/>
                <w:numId w:val="161"/>
              </w:numPr>
              <w:rPr>
                <w:rFonts w:eastAsia="Arial"/>
              </w:rPr>
            </w:pPr>
            <w:r w:rsidRPr="009A3368">
              <w:rPr>
                <w:rFonts w:eastAsia="Arial"/>
              </w:rPr>
              <w:t>Mean CF: RSD ≤20%</w:t>
            </w:r>
          </w:p>
          <w:p w14:paraId="7FF32257" w14:textId="77777777" w:rsidR="00232BC9" w:rsidRDefault="00232BC9" w:rsidP="009A3368">
            <w:pPr>
              <w:pStyle w:val="ListParagraph"/>
              <w:numPr>
                <w:ilvl w:val="0"/>
                <w:numId w:val="161"/>
              </w:numPr>
              <w:rPr>
                <w:rFonts w:eastAsia="Arial"/>
              </w:rPr>
            </w:pPr>
            <w:r w:rsidRPr="009A3368">
              <w:rPr>
                <w:rFonts w:eastAsia="Arial"/>
              </w:rPr>
              <w:t>Linear or quadratic regression: r ≥0.995 or r2 ≥0.99</w:t>
            </w:r>
          </w:p>
          <w:p w14:paraId="2D797305" w14:textId="77777777" w:rsidR="00232BC9" w:rsidRDefault="00232BC9" w:rsidP="009A3368">
            <w:pPr>
              <w:pStyle w:val="ListParagraph"/>
              <w:numPr>
                <w:ilvl w:val="0"/>
                <w:numId w:val="161"/>
              </w:numPr>
              <w:rPr>
                <w:rFonts w:eastAsia="Arial"/>
              </w:rPr>
            </w:pPr>
            <w:r w:rsidRPr="009A3368">
              <w:rPr>
                <w:rFonts w:eastAsia="Arial"/>
              </w:rPr>
              <w:t>%Error: ≤±50% at LLOQ and ≤±30% for higher concentrations</w:t>
            </w:r>
          </w:p>
          <w:p w14:paraId="273E53C5" w14:textId="77777777" w:rsidR="00232BC9" w:rsidRDefault="00232BC9" w:rsidP="009A3368">
            <w:pPr>
              <w:pStyle w:val="ListParagraph"/>
              <w:numPr>
                <w:ilvl w:val="0"/>
                <w:numId w:val="161"/>
              </w:numPr>
              <w:rPr>
                <w:rFonts w:eastAsia="Arial"/>
              </w:rPr>
            </w:pPr>
            <w:r w:rsidRPr="009A3368">
              <w:rPr>
                <w:rFonts w:eastAsia="Arial"/>
              </w:rPr>
              <w:t>RSE ≤20%</w:t>
            </w:r>
          </w:p>
          <w:p w14:paraId="71577CFC" w14:textId="77777777" w:rsidR="004F4F0F" w:rsidRDefault="00232BC9" w:rsidP="009A3368">
            <w:pPr>
              <w:pStyle w:val="ListParagraph"/>
              <w:numPr>
                <w:ilvl w:val="0"/>
                <w:numId w:val="161"/>
              </w:numPr>
              <w:rPr>
                <w:rFonts w:eastAsia="Arial"/>
              </w:rPr>
            </w:pPr>
            <w:r w:rsidRPr="009A3368">
              <w:rPr>
                <w:rFonts w:eastAsia="Arial"/>
              </w:rPr>
              <w:t>≥90% of target analytes and surrogates meet ICAL acceptance criteria</w:t>
            </w:r>
          </w:p>
          <w:p w14:paraId="74CE91C7" w14:textId="77777777" w:rsidR="001646FA" w:rsidRDefault="0027455D" w:rsidP="0027455D">
            <w:pPr>
              <w:ind w:left="0" w:firstLine="0"/>
              <w:rPr>
                <w:rFonts w:eastAsia="Arial"/>
              </w:rPr>
            </w:pPr>
            <w:r>
              <w:rPr>
                <w:rFonts w:eastAsia="Arial"/>
              </w:rPr>
              <w:t xml:space="preserve">ICV: </w:t>
            </w:r>
          </w:p>
          <w:p w14:paraId="09ABB088" w14:textId="30D19F07" w:rsidR="0027455D" w:rsidRPr="001646FA" w:rsidRDefault="0027455D" w:rsidP="00021651">
            <w:pPr>
              <w:pStyle w:val="ListParagraph"/>
              <w:numPr>
                <w:ilvl w:val="0"/>
                <w:numId w:val="162"/>
              </w:numPr>
              <w:rPr>
                <w:rFonts w:eastAsia="Arial"/>
              </w:rPr>
            </w:pPr>
            <w:r w:rsidRPr="001646FA">
              <w:rPr>
                <w:rFonts w:eastAsia="Arial"/>
              </w:rPr>
              <w:t>Target analytes are within ±30% of expected concentrations</w:t>
            </w:r>
          </w:p>
        </w:tc>
      </w:tr>
    </w:tbl>
    <w:p w14:paraId="31D40B8F" w14:textId="77777777" w:rsidR="00BE7070" w:rsidRDefault="00BE7070" w:rsidP="0031290A">
      <w:pPr>
        <w:rPr>
          <w:rFonts w:eastAsia="Arial"/>
        </w:rPr>
      </w:pPr>
    </w:p>
    <w:p w14:paraId="2490784D" w14:textId="761B6D4A" w:rsidR="0031290A" w:rsidRPr="00F731DC" w:rsidRDefault="0031290A" w:rsidP="008A6754">
      <w:pPr>
        <w:numPr>
          <w:ilvl w:val="0"/>
          <w:numId w:val="136"/>
        </w:numPr>
        <w:spacing w:after="16"/>
        <w:ind w:left="1080" w:right="186"/>
        <w:rPr>
          <w:b/>
          <w:bCs/>
        </w:rPr>
      </w:pPr>
      <w:r w:rsidRPr="00F731DC">
        <w:rPr>
          <w:b/>
          <w:bCs/>
        </w:rPr>
        <w:lastRenderedPageBreak/>
        <w:t xml:space="preserve">Calibration Verification </w:t>
      </w:r>
    </w:p>
    <w:p w14:paraId="4C1126F9" w14:textId="77777777" w:rsidR="00C5481C" w:rsidRDefault="00C5481C" w:rsidP="005048D9">
      <w:pPr>
        <w:ind w:left="0" w:right="255"/>
      </w:pPr>
    </w:p>
    <w:p w14:paraId="7F6000A7" w14:textId="30EC738C" w:rsidR="00C5481C" w:rsidRDefault="00C5481C" w:rsidP="008A6754">
      <w:pPr>
        <w:ind w:left="1440" w:right="0" w:hanging="360"/>
        <w:rPr>
          <w:u w:val="single"/>
        </w:rPr>
      </w:pPr>
      <w:r>
        <w:rPr>
          <w:u w:val="single"/>
        </w:rPr>
        <w:t>Term</w:t>
      </w:r>
      <w:r w:rsidR="007802A5">
        <w:rPr>
          <w:u w:val="single"/>
        </w:rPr>
        <w:t>s</w:t>
      </w:r>
      <w:r>
        <w:rPr>
          <w:u w:val="single"/>
        </w:rPr>
        <w:t xml:space="preserve"> Specific to Method</w:t>
      </w:r>
    </w:p>
    <w:p w14:paraId="0DA04EAE" w14:textId="77777777" w:rsidR="003820C0" w:rsidRDefault="003820C0" w:rsidP="008A6754">
      <w:pPr>
        <w:ind w:left="1440" w:right="0" w:hanging="360"/>
      </w:pPr>
    </w:p>
    <w:p w14:paraId="210603E0" w14:textId="13776E15" w:rsidR="00C5481C" w:rsidRDefault="00C5481C" w:rsidP="005048D9">
      <w:pPr>
        <w:pStyle w:val="ListParagraph"/>
        <w:numPr>
          <w:ilvl w:val="0"/>
          <w:numId w:val="157"/>
        </w:numPr>
        <w:ind w:left="1440" w:right="0"/>
      </w:pPr>
      <w:r>
        <w:t>Method 537.1</w:t>
      </w:r>
      <w:r w:rsidR="00904D35" w:rsidDel="00BC14ED">
        <w:t xml:space="preserve"> </w:t>
      </w:r>
      <w:r w:rsidR="00BC14ED">
        <w:t>– Co</w:t>
      </w:r>
      <w:r w:rsidR="00456698">
        <w:t>ntinuing Calibration Check</w:t>
      </w:r>
      <w:r>
        <w:t xml:space="preserve"> (</w:t>
      </w:r>
      <w:r w:rsidR="00C82D03">
        <w:t>CCC</w:t>
      </w:r>
      <w:r>
        <w:t>)</w:t>
      </w:r>
    </w:p>
    <w:p w14:paraId="7ECF6FEE" w14:textId="2409B4EE" w:rsidR="00C5481C" w:rsidRDefault="00C5481C" w:rsidP="00D53828">
      <w:pPr>
        <w:pStyle w:val="ListParagraph"/>
        <w:numPr>
          <w:ilvl w:val="0"/>
          <w:numId w:val="157"/>
        </w:numPr>
        <w:ind w:left="1440" w:right="0"/>
      </w:pPr>
      <w:r>
        <w:t>Method 1633A</w:t>
      </w:r>
      <w:r w:rsidR="001B6208" w:rsidDel="00495199">
        <w:t xml:space="preserve"> </w:t>
      </w:r>
      <w:r w:rsidR="00495199">
        <w:t xml:space="preserve">– </w:t>
      </w:r>
      <w:r w:rsidR="00B000C6">
        <w:t>Calibra</w:t>
      </w:r>
      <w:r w:rsidR="00591C5E">
        <w:t>tion Verification Standard</w:t>
      </w:r>
      <w:r>
        <w:t xml:space="preserve"> (</w:t>
      </w:r>
      <w:r w:rsidR="00591C5E">
        <w:t>CV</w:t>
      </w:r>
      <w:r>
        <w:t>)</w:t>
      </w:r>
    </w:p>
    <w:p w14:paraId="3AA4F68E" w14:textId="1B9050B8" w:rsidR="00DE784F" w:rsidRDefault="00C5481C" w:rsidP="00D53828">
      <w:pPr>
        <w:pStyle w:val="ListParagraph"/>
        <w:numPr>
          <w:ilvl w:val="0"/>
          <w:numId w:val="157"/>
        </w:numPr>
        <w:ind w:left="1440" w:right="0"/>
      </w:pPr>
      <w:r>
        <w:t>Method 533</w:t>
      </w:r>
      <w:r w:rsidR="00495199">
        <w:t xml:space="preserve"> – Co</w:t>
      </w:r>
      <w:r w:rsidR="001E70DC" w:rsidRPr="001E70DC">
        <w:t>ntinuing Calibration Check (CCC)</w:t>
      </w:r>
    </w:p>
    <w:p w14:paraId="72431423" w14:textId="08B077E6" w:rsidR="00C5481C" w:rsidRDefault="00C5481C" w:rsidP="00D53828">
      <w:pPr>
        <w:pStyle w:val="ListParagraph"/>
        <w:numPr>
          <w:ilvl w:val="0"/>
          <w:numId w:val="157"/>
        </w:numPr>
        <w:ind w:left="1440" w:right="0"/>
      </w:pPr>
      <w:r>
        <w:t>Method 8327</w:t>
      </w:r>
      <w:r w:rsidR="00495199">
        <w:t xml:space="preserve"> – </w:t>
      </w:r>
      <w:r w:rsidR="00DE014B" w:rsidRPr="00DE014B" w:rsidDel="00495199">
        <w:t>C</w:t>
      </w:r>
      <w:r w:rsidR="00DE014B" w:rsidRPr="00DE014B">
        <w:t xml:space="preserve">ontinuing Calibration </w:t>
      </w:r>
      <w:r w:rsidR="00DE014B">
        <w:t>Verification</w:t>
      </w:r>
      <w:r w:rsidR="00DE014B" w:rsidRPr="00DE014B">
        <w:t xml:space="preserve"> (CC</w:t>
      </w:r>
      <w:r w:rsidR="00DE014B">
        <w:t>V</w:t>
      </w:r>
      <w:r w:rsidR="00DE014B" w:rsidRPr="00DE014B">
        <w:t>)</w:t>
      </w:r>
    </w:p>
    <w:p w14:paraId="3485CDEF" w14:textId="77777777" w:rsidR="00C5481C" w:rsidRDefault="00C5481C" w:rsidP="0031290A">
      <w:pPr>
        <w:ind w:left="1450" w:right="255"/>
      </w:pPr>
    </w:p>
    <w:p w14:paraId="4C4E5FC0" w14:textId="133D958F" w:rsidR="00DA7033" w:rsidRDefault="00DA7033" w:rsidP="008A6754">
      <w:pPr>
        <w:ind w:left="720" w:right="255" w:firstLine="0"/>
      </w:pPr>
      <w:r w:rsidRPr="00DA7033">
        <w:rPr>
          <w:u w:val="single"/>
        </w:rPr>
        <w:t xml:space="preserve">General Requirements for </w:t>
      </w:r>
      <w:r w:rsidR="006A3ED6">
        <w:rPr>
          <w:u w:val="single"/>
        </w:rPr>
        <w:t>Calibration Verification</w:t>
      </w:r>
      <w:r w:rsidRPr="00DA7033">
        <w:rPr>
          <w:u w:val="single"/>
        </w:rPr>
        <w:t xml:space="preserve"> (All Methods)</w:t>
      </w:r>
    </w:p>
    <w:p w14:paraId="43F9FD0E" w14:textId="77777777" w:rsidR="00DA7033" w:rsidRDefault="00DA7033" w:rsidP="008A6754">
      <w:pPr>
        <w:ind w:left="720" w:right="255" w:firstLine="0"/>
      </w:pPr>
    </w:p>
    <w:p w14:paraId="5563EBED" w14:textId="2DBE11F6" w:rsidR="0031290A" w:rsidRDefault="0031290A" w:rsidP="008A6754">
      <w:pPr>
        <w:ind w:left="720" w:right="255" w:firstLine="0"/>
      </w:pPr>
      <w:r>
        <w:t xml:space="preserve">The Contractor shall verify the calibration relationship established during the initial calibration at periodic intervals.  Calibration verification must be performed at the beginning of each 12-hour analytical shift.  A minimum of one calibration verification must be reported </w:t>
      </w:r>
      <w:r w:rsidR="006837A4" w:rsidRPr="006837A4">
        <w:t xml:space="preserve">after every </w:t>
      </w:r>
      <w:r w:rsidR="00272A2F">
        <w:t>2</w:t>
      </w:r>
      <w:r w:rsidR="00730230">
        <w:t xml:space="preserve">0 field samples </w:t>
      </w:r>
      <w:r w:rsidR="006837A4" w:rsidRPr="006837A4">
        <w:t>as needed (or every 12 hours, whichever is shorter), and at the end of the analytical sequence</w:t>
      </w:r>
      <w:r>
        <w:t xml:space="preserve">.  </w:t>
      </w:r>
    </w:p>
    <w:p w14:paraId="755EC7A6" w14:textId="77777777" w:rsidR="0031290A" w:rsidRPr="00745DB0" w:rsidRDefault="0031290A" w:rsidP="008A6754">
      <w:pPr>
        <w:ind w:left="720" w:firstLine="0"/>
      </w:pPr>
    </w:p>
    <w:p w14:paraId="76161927" w14:textId="051C6AE0" w:rsidR="0031290A" w:rsidRDefault="0031290A" w:rsidP="008A6754">
      <w:pPr>
        <w:spacing w:after="0" w:line="259" w:lineRule="auto"/>
        <w:ind w:left="720" w:right="0" w:firstLine="0"/>
      </w:pPr>
      <w:r>
        <w:t xml:space="preserve">A </w:t>
      </w:r>
      <w:r w:rsidR="00CC36CF">
        <w:t xml:space="preserve">beginning </w:t>
      </w:r>
      <w:r>
        <w:t xml:space="preserve">calibration verification standard </w:t>
      </w:r>
      <w:r w:rsidR="00032595">
        <w:t xml:space="preserve">must be </w:t>
      </w:r>
      <w:r>
        <w:t xml:space="preserve">at a concentration </w:t>
      </w:r>
      <w:r w:rsidR="001C2F58">
        <w:t>a</w:t>
      </w:r>
      <w:r w:rsidR="0023449A">
        <w:t>t</w:t>
      </w:r>
      <w:r w:rsidR="001C2F58">
        <w:t xml:space="preserve"> or below the MRL </w:t>
      </w:r>
      <w:proofErr w:type="gramStart"/>
      <w:r w:rsidR="001C2F58">
        <w:t>in order to</w:t>
      </w:r>
      <w:proofErr w:type="gramEnd"/>
      <w:r w:rsidR="001C2F58">
        <w:t xml:space="preserve"> verify instrument sensitivity prior to any analyses</w:t>
      </w:r>
      <w:r w:rsidR="003D7A55">
        <w:t xml:space="preserve">.  Subsequent </w:t>
      </w:r>
      <w:r w:rsidR="007F71DF">
        <w:t xml:space="preserve">calibration verification standards </w:t>
      </w:r>
      <w:r w:rsidR="00DD6305">
        <w:t xml:space="preserve">should alternate between medium and high </w:t>
      </w:r>
      <w:r w:rsidR="00187148">
        <w:t>concentration standards</w:t>
      </w:r>
      <w:r w:rsidR="00EE189E">
        <w:t xml:space="preserve"> (</w:t>
      </w:r>
      <w:r w:rsidR="00F146C2">
        <w:t xml:space="preserve">Method 537.1 and </w:t>
      </w:r>
      <w:r w:rsidR="00C76F76">
        <w:t>Method 533)</w:t>
      </w:r>
      <w:r w:rsidR="00A336D8">
        <w:t xml:space="preserve"> or</w:t>
      </w:r>
      <w:r w:rsidR="00F72E97">
        <w:t xml:space="preserve"> be</w:t>
      </w:r>
      <w:r w:rsidR="004A248A">
        <w:t xml:space="preserve"> near the mid-point of the calibration range (Method 1633A and Method </w:t>
      </w:r>
      <w:r w:rsidR="0026686C">
        <w:t>8327)</w:t>
      </w:r>
      <w:r w:rsidR="00187148">
        <w:t xml:space="preserve">. </w:t>
      </w:r>
      <w:r w:rsidR="00797733">
        <w:t xml:space="preserve"> </w:t>
      </w:r>
      <w:r w:rsidR="007D0AC0">
        <w:t>Calibration verification stand</w:t>
      </w:r>
      <w:r w:rsidR="00995211">
        <w:t>ards will be</w:t>
      </w:r>
      <w:r>
        <w:t xml:space="preserve"> assessed for the following criteria</w:t>
      </w:r>
      <w:r w:rsidR="00572AAE">
        <w:t>:</w:t>
      </w:r>
    </w:p>
    <w:p w14:paraId="48CFD64B" w14:textId="77777777" w:rsidR="0031290A" w:rsidRDefault="0031290A" w:rsidP="008A6754">
      <w:pPr>
        <w:pStyle w:val="ListParagraph"/>
        <w:ind w:left="1080" w:firstLine="0"/>
      </w:pPr>
    </w:p>
    <w:p w14:paraId="685CCF17" w14:textId="556FA77C" w:rsidR="0031290A" w:rsidRDefault="0031290A" w:rsidP="008B2D1D">
      <w:pPr>
        <w:pStyle w:val="ListParagraph"/>
        <w:numPr>
          <w:ilvl w:val="0"/>
          <w:numId w:val="141"/>
        </w:numPr>
        <w:ind w:left="1440" w:right="255"/>
      </w:pPr>
      <w:r>
        <w:t xml:space="preserve">The calibration standard must contain all </w:t>
      </w:r>
      <w:r w:rsidR="00914442">
        <w:t xml:space="preserve">PFAS </w:t>
      </w:r>
      <w:r>
        <w:t>target compounds, surrogates, and internal standards</w:t>
      </w:r>
      <w:r w:rsidR="003073C8">
        <w:t xml:space="preserve"> as re</w:t>
      </w:r>
      <w:r w:rsidR="006C48F7">
        <w:t>quired by the specific method</w:t>
      </w:r>
      <w:r>
        <w:t>.</w:t>
      </w:r>
    </w:p>
    <w:p w14:paraId="4B818902" w14:textId="77777777" w:rsidR="0031290A" w:rsidRDefault="0031290A" w:rsidP="0031290A">
      <w:pPr>
        <w:spacing w:after="0" w:line="259" w:lineRule="auto"/>
        <w:ind w:left="2160" w:right="0" w:firstLine="0"/>
      </w:pPr>
    </w:p>
    <w:p w14:paraId="437201E5" w14:textId="10F2C461" w:rsidR="0031290A" w:rsidRDefault="008D27E0" w:rsidP="008B2D1D">
      <w:pPr>
        <w:numPr>
          <w:ilvl w:val="0"/>
          <w:numId w:val="141"/>
        </w:numPr>
        <w:ind w:left="1440" w:right="255"/>
      </w:pPr>
      <w:r>
        <w:rPr>
          <w:u w:val="single" w:color="000000"/>
        </w:rPr>
        <w:t>Surrogates</w:t>
      </w:r>
      <w:r w:rsidR="00FD707A">
        <w:rPr>
          <w:u w:val="single" w:color="000000"/>
        </w:rPr>
        <w:t xml:space="preserve"> (M</w:t>
      </w:r>
      <w:r w:rsidR="006A7516">
        <w:rPr>
          <w:u w:val="single" w:color="000000"/>
        </w:rPr>
        <w:t>ethod 537.1 and Method 8327)</w:t>
      </w:r>
      <w:r w:rsidR="0031290A">
        <w:t xml:space="preserve">.  </w:t>
      </w:r>
      <w:r w:rsidR="005B256B">
        <w:t>Surrogate recoveries</w:t>
      </w:r>
      <w:r w:rsidR="0031290A">
        <w:t xml:space="preserve"> in the calibration verification standard must </w:t>
      </w:r>
      <w:r w:rsidR="000428E0">
        <w:t>be within 70-130% of the true value</w:t>
      </w:r>
      <w:r w:rsidR="008807B8">
        <w:t xml:space="preserve">.  </w:t>
      </w:r>
      <w:r w:rsidR="008847AC">
        <w:t xml:space="preserve">No </w:t>
      </w:r>
      <w:r w:rsidR="00DE5A58">
        <w:t xml:space="preserve">qualification of the data is necessary based </w:t>
      </w:r>
      <w:r w:rsidR="00310E60">
        <w:t xml:space="preserve">on the surrogate recoveries alone.  </w:t>
      </w:r>
      <w:r w:rsidR="00547E3B">
        <w:t>Use professional</w:t>
      </w:r>
      <w:r w:rsidR="00BA5BB1">
        <w:t xml:space="preserve"> judgment to determine the need for </w:t>
      </w:r>
      <w:r w:rsidR="005B372C">
        <w:t>data qualification or corrective action</w:t>
      </w:r>
      <w:r w:rsidR="002D27B5">
        <w:t xml:space="preserve"> in response to surrogate recover</w:t>
      </w:r>
      <w:r w:rsidR="0089516D">
        <w:t xml:space="preserve">y data.  </w:t>
      </w:r>
    </w:p>
    <w:p w14:paraId="07BF84D0" w14:textId="77777777" w:rsidR="0031290A" w:rsidRDefault="0031290A" w:rsidP="0031290A">
      <w:pPr>
        <w:pStyle w:val="ListParagraph"/>
      </w:pPr>
    </w:p>
    <w:p w14:paraId="5956D223" w14:textId="43C4AFFC" w:rsidR="0031290A" w:rsidRDefault="0031290A" w:rsidP="008B2D1D">
      <w:pPr>
        <w:numPr>
          <w:ilvl w:val="0"/>
          <w:numId w:val="141"/>
        </w:numPr>
        <w:ind w:left="1440" w:right="255"/>
      </w:pPr>
      <w:r w:rsidRPr="00303BB4">
        <w:rPr>
          <w:u w:val="single"/>
        </w:rPr>
        <w:t>Calibration validation</w:t>
      </w:r>
      <w:r>
        <w:rPr>
          <w:u w:val="single"/>
        </w:rPr>
        <w:t>.</w:t>
      </w:r>
      <w:r>
        <w:t xml:space="preserve">  </w:t>
      </w:r>
      <w:r w:rsidR="0077034A">
        <w:t>Recoveries</w:t>
      </w:r>
      <w:r w:rsidR="005B4A03">
        <w:t xml:space="preserve"> for each target compound</w:t>
      </w:r>
      <w:r w:rsidR="004B0C1E">
        <w:t xml:space="preserve"> in the lowest </w:t>
      </w:r>
      <w:r w:rsidR="000B3274">
        <w:t xml:space="preserve">(beginning) </w:t>
      </w:r>
      <w:r w:rsidR="004B0C1E">
        <w:t xml:space="preserve">calibration verification standard must be </w:t>
      </w:r>
      <w:r w:rsidR="000B3274">
        <w:t>within 50-150% of the true value</w:t>
      </w:r>
      <w:r w:rsidR="008454C5">
        <w:t xml:space="preserve"> </w:t>
      </w:r>
      <w:r w:rsidR="008D2173">
        <w:t xml:space="preserve">and recoveries in subsequent </w:t>
      </w:r>
      <w:r w:rsidR="001336D4">
        <w:t>calibration standards must be within 70-130% of the true value</w:t>
      </w:r>
      <w:r w:rsidR="00C66B43">
        <w:t xml:space="preserve">.  </w:t>
      </w:r>
    </w:p>
    <w:p w14:paraId="72C879DB" w14:textId="77777777" w:rsidR="0031290A" w:rsidRPr="002C4B7A" w:rsidRDefault="0031290A" w:rsidP="0031290A">
      <w:pPr>
        <w:ind w:left="2160" w:firstLine="0"/>
      </w:pPr>
    </w:p>
    <w:p w14:paraId="05D8674F" w14:textId="0F07D0F0" w:rsidR="0031290A" w:rsidRDefault="0031290A" w:rsidP="008B2D1D">
      <w:pPr>
        <w:ind w:left="1440" w:right="255" w:firstLine="0"/>
      </w:pPr>
      <w:r>
        <w:t xml:space="preserve">If the </w:t>
      </w:r>
      <w:r w:rsidR="00F2555A">
        <w:t xml:space="preserve">recovery </w:t>
      </w:r>
      <w:r>
        <w:t xml:space="preserve">criteria are not met for any one </w:t>
      </w:r>
      <w:r w:rsidR="00A421E0">
        <w:t xml:space="preserve">target </w:t>
      </w:r>
      <w:r>
        <w:t xml:space="preserve">compound, then corrective action must be taken </w:t>
      </w:r>
      <w:r w:rsidR="00145E02">
        <w:t xml:space="preserve">according to </w:t>
      </w:r>
      <w:r w:rsidR="00060263">
        <w:t xml:space="preserve">method specifications </w:t>
      </w:r>
      <w:r>
        <w:t xml:space="preserve">prior to the analysis of </w:t>
      </w:r>
      <w:r w:rsidR="00145E02">
        <w:t xml:space="preserve">field </w:t>
      </w:r>
      <w:r>
        <w:t xml:space="preserve">samples.  If attempts to correct the problem are unsuccessful, a new initial five-point calibration must be </w:t>
      </w:r>
      <w:proofErr w:type="gramStart"/>
      <w:r>
        <w:t>performed</w:t>
      </w:r>
      <w:proofErr w:type="gramEnd"/>
      <w:r>
        <w:t>.</w:t>
      </w:r>
    </w:p>
    <w:p w14:paraId="59FFF446" w14:textId="77777777" w:rsidR="0031290A" w:rsidRDefault="0031290A" w:rsidP="0031290A">
      <w:pPr>
        <w:ind w:left="2160" w:firstLine="0"/>
      </w:pPr>
    </w:p>
    <w:p w14:paraId="4B4B1292" w14:textId="7060E40D" w:rsidR="0031290A" w:rsidRDefault="0031290A" w:rsidP="008B2D1D">
      <w:pPr>
        <w:numPr>
          <w:ilvl w:val="0"/>
          <w:numId w:val="141"/>
        </w:numPr>
        <w:spacing w:after="0"/>
        <w:ind w:left="1440" w:right="255"/>
      </w:pPr>
      <w:r w:rsidRPr="00CA02FA">
        <w:rPr>
          <w:u w:val="single" w:color="000000"/>
        </w:rPr>
        <w:t>Calibration Standard Internal Standard Check</w:t>
      </w:r>
      <w:r w:rsidRPr="00943C64">
        <w:rPr>
          <w:u w:val="single"/>
        </w:rPr>
        <w:t xml:space="preserve"> </w:t>
      </w:r>
      <w:r w:rsidR="00C60D60" w:rsidRPr="00943C64">
        <w:rPr>
          <w:u w:val="single"/>
        </w:rPr>
        <w:t>(Method 537.1</w:t>
      </w:r>
      <w:r w:rsidR="00A5307F" w:rsidRPr="00943C64">
        <w:rPr>
          <w:u w:val="single"/>
        </w:rPr>
        <w:t xml:space="preserve"> only)</w:t>
      </w:r>
      <w:r w:rsidR="00943C64">
        <w:t>.</w:t>
      </w:r>
      <w:r w:rsidR="00A5307F">
        <w:t xml:space="preserve"> </w:t>
      </w:r>
      <w:r>
        <w:t xml:space="preserve">Internal standards criteria for the calibration verification standard must be evaluated during or immediately after data acquisition.  </w:t>
      </w:r>
      <w:r w:rsidR="00D772B4">
        <w:t>Internal standard</w:t>
      </w:r>
      <w:r w:rsidR="00273C8E">
        <w:t xml:space="preserve"> responses must be within 70-140% of the most recent calibration verification standard</w:t>
      </w:r>
      <w:r w:rsidR="00552808">
        <w:t xml:space="preserve"> or within 50-150% </w:t>
      </w:r>
      <w:proofErr w:type="gramStart"/>
      <w:r w:rsidR="00552808">
        <w:t>f</w:t>
      </w:r>
      <w:r w:rsidR="00B657B2">
        <w:t>ro</w:t>
      </w:r>
      <w:r w:rsidR="00552808">
        <w:t>m</w:t>
      </w:r>
      <w:proofErr w:type="gramEnd"/>
      <w:r w:rsidR="00552808">
        <w:t xml:space="preserve"> the average areas of the initial calibration</w:t>
      </w:r>
      <w:r w:rsidR="009F2881">
        <w:t xml:space="preserve">.  </w:t>
      </w:r>
      <w:r w:rsidR="00D36C33">
        <w:t>If any of the internal standard areas has changed by more than these amounts</w:t>
      </w:r>
      <w:r w:rsidR="00B0738D">
        <w:t xml:space="preserve">, adjustments must be made to restore system sensitivity.  </w:t>
      </w:r>
    </w:p>
    <w:p w14:paraId="1A144F85" w14:textId="77777777" w:rsidR="0031290A" w:rsidRDefault="0031290A" w:rsidP="0031290A">
      <w:pPr>
        <w:spacing w:after="0"/>
        <w:ind w:left="2160" w:right="255" w:firstLine="0"/>
      </w:pPr>
    </w:p>
    <w:p w14:paraId="183B6B0C" w14:textId="710F12BB" w:rsidR="0031290A" w:rsidRDefault="0031290A" w:rsidP="00943C64">
      <w:pPr>
        <w:spacing w:after="0"/>
        <w:ind w:left="1440" w:right="255" w:firstLine="0"/>
      </w:pPr>
      <w:r>
        <w:lastRenderedPageBreak/>
        <w:t xml:space="preserve">When corrections are made, reanalysis of samples analyzed while the system was malfunctioning is required.  Corrections must be documented in the case narrative.  Internal standard data must be reported for both analyses (before and after corrective action). </w:t>
      </w:r>
    </w:p>
    <w:p w14:paraId="3A867B02" w14:textId="77777777" w:rsidR="0031290A" w:rsidRDefault="0031290A" w:rsidP="0031290A">
      <w:pPr>
        <w:spacing w:after="0" w:line="259" w:lineRule="auto"/>
        <w:ind w:left="2160" w:right="0" w:firstLine="0"/>
      </w:pPr>
    </w:p>
    <w:p w14:paraId="5429D8C9" w14:textId="57C03C6A" w:rsidR="0031290A" w:rsidRDefault="00472065" w:rsidP="00472065">
      <w:pPr>
        <w:ind w:right="255"/>
      </w:pPr>
      <w:r>
        <w:tab/>
      </w:r>
      <w:r>
        <w:tab/>
      </w:r>
      <w:r>
        <w:tab/>
      </w:r>
      <w:r w:rsidR="0023680D">
        <w:rPr>
          <w:u w:val="single"/>
        </w:rPr>
        <w:t>Meth</w:t>
      </w:r>
      <w:r w:rsidR="00857A8A">
        <w:rPr>
          <w:u w:val="single"/>
        </w:rPr>
        <w:t>od-specific Requirements for Calibration Verification</w:t>
      </w:r>
    </w:p>
    <w:p w14:paraId="17EACCA0" w14:textId="77777777" w:rsidR="00857A8A" w:rsidRDefault="00857A8A" w:rsidP="00472065">
      <w:pPr>
        <w:ind w:right="255"/>
      </w:pPr>
    </w:p>
    <w:p w14:paraId="21B75909" w14:textId="3B43A485" w:rsidR="00B736CB" w:rsidRPr="00857A8A" w:rsidRDefault="00A46671" w:rsidP="000350D7">
      <w:pPr>
        <w:ind w:left="1440" w:right="255" w:firstLine="0"/>
      </w:pPr>
      <w:r w:rsidRPr="00A46671">
        <w:t>The Contractor must confirm that the method-specific criteria summarized in T</w:t>
      </w:r>
      <w:r w:rsidR="00C955A9">
        <w:t>ABLE</w:t>
      </w:r>
      <w:r w:rsidRPr="00A46671">
        <w:t xml:space="preserve"> </w:t>
      </w:r>
      <w:r w:rsidR="00322D99">
        <w:t>41</w:t>
      </w:r>
      <w:r w:rsidRPr="00A46671">
        <w:t xml:space="preserve"> have been met for the calibration </w:t>
      </w:r>
      <w:r w:rsidR="003E2B8D">
        <w:t xml:space="preserve">verification </w:t>
      </w:r>
      <w:r w:rsidRPr="00A46671">
        <w:t xml:space="preserve">to be valid.  </w:t>
      </w:r>
      <w:r w:rsidR="00E424B9">
        <w:t>If the criteria</w:t>
      </w:r>
      <w:r w:rsidR="00566AA0">
        <w:t xml:space="preserve"> in TABLE </w:t>
      </w:r>
      <w:r w:rsidR="00322D99">
        <w:t>41</w:t>
      </w:r>
      <w:r w:rsidR="00566AA0">
        <w:t xml:space="preserve"> are not met, then corrective action</w:t>
      </w:r>
      <w:r w:rsidR="006E18E2">
        <w:t xml:space="preserve"> must be taken according to method-specific recommendations.  </w:t>
      </w:r>
    </w:p>
    <w:p w14:paraId="7DA558E9" w14:textId="048ED131" w:rsidR="0031290A" w:rsidRDefault="0031290A" w:rsidP="0031290A">
      <w:pPr>
        <w:ind w:left="1990" w:right="255"/>
      </w:pPr>
      <w:r>
        <w:rPr>
          <w:b/>
        </w:rPr>
        <w:t xml:space="preserve"> </w:t>
      </w:r>
    </w:p>
    <w:p w14:paraId="4B50EBB0" w14:textId="7F204DB5" w:rsidR="0031290A" w:rsidDel="00883FA8" w:rsidRDefault="001760AE" w:rsidP="00E86712">
      <w:pPr>
        <w:spacing w:after="0" w:line="259" w:lineRule="auto"/>
        <w:ind w:right="0"/>
        <w:jc w:val="center"/>
        <w:rPr>
          <w:rFonts w:eastAsia="Arial"/>
          <w:b/>
        </w:rPr>
      </w:pPr>
      <w:r>
        <w:rPr>
          <w:rFonts w:eastAsia="Arial"/>
          <w:b/>
          <w:bCs/>
        </w:rPr>
        <w:t>T</w:t>
      </w:r>
      <w:r w:rsidR="00550173">
        <w:rPr>
          <w:rFonts w:eastAsia="Arial"/>
          <w:b/>
          <w:bCs/>
        </w:rPr>
        <w:t>ABLE</w:t>
      </w:r>
      <w:r>
        <w:rPr>
          <w:rFonts w:eastAsia="Arial"/>
          <w:b/>
          <w:bCs/>
        </w:rPr>
        <w:t xml:space="preserve"> </w:t>
      </w:r>
      <w:r w:rsidR="00322D99">
        <w:rPr>
          <w:rFonts w:eastAsia="Arial"/>
          <w:b/>
          <w:bCs/>
        </w:rPr>
        <w:t>41</w:t>
      </w:r>
    </w:p>
    <w:p w14:paraId="2D291FB7" w14:textId="1EB68E91" w:rsidR="001813F7" w:rsidRDefault="00B50C80" w:rsidP="001760AE">
      <w:pPr>
        <w:spacing w:after="0" w:line="259" w:lineRule="auto"/>
        <w:ind w:right="0"/>
        <w:jc w:val="center"/>
        <w:rPr>
          <w:rFonts w:eastAsia="Arial"/>
        </w:rPr>
      </w:pPr>
      <w:r>
        <w:rPr>
          <w:rFonts w:eastAsia="Arial"/>
          <w:b/>
          <w:bCs/>
        </w:rPr>
        <w:t xml:space="preserve">Summary of </w:t>
      </w:r>
      <w:r w:rsidR="00022BF7">
        <w:rPr>
          <w:rFonts w:eastAsia="Arial"/>
          <w:b/>
          <w:bCs/>
        </w:rPr>
        <w:t xml:space="preserve">Required </w:t>
      </w:r>
      <w:r w:rsidR="000F38CA">
        <w:rPr>
          <w:rFonts w:eastAsia="Arial"/>
          <w:b/>
          <w:bCs/>
        </w:rPr>
        <w:t>C</w:t>
      </w:r>
      <w:r w:rsidR="001813F7">
        <w:rPr>
          <w:rFonts w:eastAsia="Arial"/>
          <w:b/>
          <w:bCs/>
        </w:rPr>
        <w:t>alibration Verification Sample Criteria for PFAS Analysis</w:t>
      </w:r>
    </w:p>
    <w:p w14:paraId="7A35ACCA" w14:textId="04431F80" w:rsidR="00263EB9" w:rsidRPr="001813F7" w:rsidRDefault="00295EEF" w:rsidP="00295EEF">
      <w:pPr>
        <w:spacing w:after="0" w:line="259" w:lineRule="auto"/>
        <w:ind w:right="0"/>
        <w:rPr>
          <w:rFonts w:eastAsia="Arial"/>
        </w:rPr>
      </w:pPr>
      <w:r>
        <w:rPr>
          <w:rFonts w:eastAsia="Arial"/>
        </w:rPr>
        <w:tab/>
      </w:r>
    </w:p>
    <w:tbl>
      <w:tblPr>
        <w:tblStyle w:val="TableGridLight"/>
        <w:tblW w:w="10965" w:type="dxa"/>
        <w:tblBorders>
          <w:top w:val="single" w:sz="12" w:space="0" w:color="auto"/>
          <w:left w:val="single" w:sz="12" w:space="0" w:color="auto"/>
          <w:bottom w:val="single" w:sz="12" w:space="0" w:color="auto"/>
          <w:right w:val="single" w:sz="12" w:space="0" w:color="auto"/>
          <w:insideH w:val="single" w:sz="2" w:space="0" w:color="auto"/>
          <w:insideV w:val="single" w:sz="12" w:space="0" w:color="auto"/>
        </w:tblBorders>
        <w:tblLook w:val="04A0" w:firstRow="1" w:lastRow="0" w:firstColumn="1" w:lastColumn="0" w:noHBand="0" w:noVBand="1"/>
      </w:tblPr>
      <w:tblGrid>
        <w:gridCol w:w="3321"/>
        <w:gridCol w:w="3324"/>
        <w:gridCol w:w="4320"/>
      </w:tblGrid>
      <w:tr w:rsidR="00263EB9" w14:paraId="7C3E66C5" w14:textId="77777777" w:rsidTr="000350D7">
        <w:trPr>
          <w:trHeight w:val="411"/>
        </w:trPr>
        <w:tc>
          <w:tcPr>
            <w:tcW w:w="3321" w:type="dxa"/>
            <w:tcBorders>
              <w:top w:val="single" w:sz="12" w:space="0" w:color="auto"/>
              <w:bottom w:val="single" w:sz="12" w:space="0" w:color="auto"/>
            </w:tcBorders>
            <w:vAlign w:val="center"/>
          </w:tcPr>
          <w:p w14:paraId="12C498D5" w14:textId="5996061D" w:rsidR="00263EB9" w:rsidRPr="003F767E" w:rsidRDefault="00784268" w:rsidP="00351FCD">
            <w:pPr>
              <w:spacing w:after="0" w:line="259" w:lineRule="auto"/>
              <w:ind w:left="0" w:right="0" w:firstLine="0"/>
              <w:rPr>
                <w:rFonts w:eastAsia="Arial"/>
                <w:b/>
                <w:bCs/>
              </w:rPr>
            </w:pPr>
            <w:r w:rsidRPr="003F767E">
              <w:rPr>
                <w:rFonts w:eastAsia="Arial"/>
                <w:b/>
                <w:bCs/>
              </w:rPr>
              <w:t>Method</w:t>
            </w:r>
          </w:p>
        </w:tc>
        <w:tc>
          <w:tcPr>
            <w:tcW w:w="3324" w:type="dxa"/>
            <w:tcBorders>
              <w:top w:val="single" w:sz="12" w:space="0" w:color="auto"/>
              <w:bottom w:val="single" w:sz="12" w:space="0" w:color="auto"/>
            </w:tcBorders>
            <w:vAlign w:val="center"/>
          </w:tcPr>
          <w:p w14:paraId="1B27EC23" w14:textId="5C390A9F" w:rsidR="00263EB9" w:rsidRPr="003F767E" w:rsidRDefault="00AF2782" w:rsidP="00351FCD">
            <w:pPr>
              <w:spacing w:after="0" w:line="259" w:lineRule="auto"/>
              <w:ind w:left="0" w:right="0" w:firstLine="0"/>
              <w:rPr>
                <w:rFonts w:eastAsia="Arial"/>
                <w:b/>
                <w:bCs/>
              </w:rPr>
            </w:pPr>
            <w:r w:rsidRPr="003F767E">
              <w:rPr>
                <w:rFonts w:eastAsia="Arial"/>
                <w:b/>
                <w:bCs/>
              </w:rPr>
              <w:t>CV Specification and Frequency</w:t>
            </w:r>
          </w:p>
        </w:tc>
        <w:tc>
          <w:tcPr>
            <w:tcW w:w="4320" w:type="dxa"/>
            <w:tcBorders>
              <w:top w:val="single" w:sz="12" w:space="0" w:color="auto"/>
              <w:bottom w:val="single" w:sz="12" w:space="0" w:color="auto"/>
            </w:tcBorders>
            <w:vAlign w:val="center"/>
          </w:tcPr>
          <w:p w14:paraId="659ABC80" w14:textId="00C4DB83" w:rsidR="00263EB9" w:rsidRPr="003F767E" w:rsidRDefault="00610233" w:rsidP="00351FCD">
            <w:pPr>
              <w:spacing w:after="0" w:line="259" w:lineRule="auto"/>
              <w:ind w:left="0" w:right="0" w:firstLine="0"/>
              <w:rPr>
                <w:rFonts w:eastAsia="Arial"/>
                <w:b/>
                <w:bCs/>
              </w:rPr>
            </w:pPr>
            <w:r w:rsidRPr="003F767E">
              <w:rPr>
                <w:rFonts w:eastAsia="Arial"/>
                <w:b/>
                <w:bCs/>
              </w:rPr>
              <w:t>CV Acceptance Criteria</w:t>
            </w:r>
          </w:p>
        </w:tc>
      </w:tr>
      <w:tr w:rsidR="00263EB9" w14:paraId="60152B09" w14:textId="77777777" w:rsidTr="000350D7">
        <w:tc>
          <w:tcPr>
            <w:tcW w:w="3321" w:type="dxa"/>
            <w:tcBorders>
              <w:top w:val="single" w:sz="12" w:space="0" w:color="auto"/>
            </w:tcBorders>
          </w:tcPr>
          <w:p w14:paraId="00F97F78" w14:textId="70822BC7" w:rsidR="00263EB9" w:rsidRDefault="00BB663F" w:rsidP="00295EEF">
            <w:pPr>
              <w:spacing w:after="0" w:line="259" w:lineRule="auto"/>
              <w:ind w:left="0" w:right="0" w:firstLine="0"/>
              <w:rPr>
                <w:rFonts w:eastAsia="Arial"/>
              </w:rPr>
            </w:pPr>
            <w:r>
              <w:rPr>
                <w:rFonts w:eastAsia="Arial"/>
              </w:rPr>
              <w:t>537.1</w:t>
            </w:r>
          </w:p>
        </w:tc>
        <w:tc>
          <w:tcPr>
            <w:tcW w:w="3324" w:type="dxa"/>
            <w:tcBorders>
              <w:top w:val="single" w:sz="12" w:space="0" w:color="auto"/>
            </w:tcBorders>
          </w:tcPr>
          <w:p w14:paraId="7E9BC148" w14:textId="171B8A34" w:rsidR="00263EB9" w:rsidRDefault="00C554E3" w:rsidP="00295EEF">
            <w:pPr>
              <w:spacing w:after="0" w:line="259" w:lineRule="auto"/>
              <w:ind w:left="0" w:right="0" w:firstLine="0"/>
              <w:rPr>
                <w:rFonts w:eastAsia="Arial"/>
              </w:rPr>
            </w:pPr>
            <w:r w:rsidRPr="00C554E3">
              <w:rPr>
                <w:rFonts w:eastAsia="Arial"/>
              </w:rPr>
              <w:t>Verify initial calibration by analyzing a low level (at the MRL or below) CCC prior to analyzing samples. CCCs are then injected after every 10 samples and after the last sample, rotating concentrations to cover the calibrated range of the instrument</w:t>
            </w:r>
            <w:r w:rsidR="006620F5">
              <w:rPr>
                <w:rFonts w:eastAsia="Arial"/>
              </w:rPr>
              <w:t>.</w:t>
            </w:r>
          </w:p>
        </w:tc>
        <w:tc>
          <w:tcPr>
            <w:tcW w:w="4320" w:type="dxa"/>
            <w:tcBorders>
              <w:top w:val="single" w:sz="12" w:space="0" w:color="auto"/>
            </w:tcBorders>
          </w:tcPr>
          <w:p w14:paraId="3852EB2F" w14:textId="345B5053" w:rsidR="00263EB9" w:rsidRDefault="00ED2C22" w:rsidP="00295EEF">
            <w:pPr>
              <w:spacing w:after="0" w:line="259" w:lineRule="auto"/>
              <w:ind w:left="0" w:right="0" w:firstLine="0"/>
              <w:rPr>
                <w:rFonts w:eastAsia="Arial"/>
              </w:rPr>
            </w:pPr>
            <w:r w:rsidRPr="00ED2C22">
              <w:rPr>
                <w:rFonts w:eastAsia="Arial"/>
              </w:rPr>
              <w:t xml:space="preserve">Recovery for each analyte and </w:t>
            </w:r>
            <w:r w:rsidR="00686C9E">
              <w:rPr>
                <w:rFonts w:eastAsia="Arial"/>
              </w:rPr>
              <w:t>surrogate</w:t>
            </w:r>
            <w:r w:rsidRPr="00ED2C22">
              <w:rPr>
                <w:rFonts w:eastAsia="Arial"/>
              </w:rPr>
              <w:t xml:space="preserve"> must be within 70-130% of the true value for all but the lowest level of calibration. Recovery for each analyte </w:t>
            </w:r>
            <w:proofErr w:type="gramStart"/>
            <w:r w:rsidRPr="00ED2C22">
              <w:rPr>
                <w:rFonts w:eastAsia="Arial"/>
              </w:rPr>
              <w:t>in</w:t>
            </w:r>
            <w:proofErr w:type="gramEnd"/>
            <w:r w:rsidRPr="00ED2C22">
              <w:rPr>
                <w:rFonts w:eastAsia="Arial"/>
              </w:rPr>
              <w:t xml:space="preserve"> the lowest </w:t>
            </w:r>
            <w:r w:rsidR="00A65C67">
              <w:rPr>
                <w:rFonts w:eastAsia="Arial"/>
              </w:rPr>
              <w:t>calibration</w:t>
            </w:r>
            <w:r w:rsidRPr="00ED2C22">
              <w:rPr>
                <w:rFonts w:eastAsia="Arial"/>
              </w:rPr>
              <w:t xml:space="preserve"> level CCC must be within 50-150% of the true value and the </w:t>
            </w:r>
            <w:r w:rsidR="000800CF">
              <w:rPr>
                <w:rFonts w:eastAsia="Arial"/>
              </w:rPr>
              <w:t>surrogate</w:t>
            </w:r>
            <w:r w:rsidRPr="00ED2C22">
              <w:rPr>
                <w:rFonts w:eastAsia="Arial"/>
              </w:rPr>
              <w:t xml:space="preserve"> must be within 70-130% of the true value.</w:t>
            </w:r>
          </w:p>
        </w:tc>
      </w:tr>
      <w:tr w:rsidR="00263EB9" w14:paraId="69AC983A" w14:textId="77777777" w:rsidTr="000350D7">
        <w:tc>
          <w:tcPr>
            <w:tcW w:w="3321" w:type="dxa"/>
          </w:tcPr>
          <w:p w14:paraId="2720E49E" w14:textId="03669983" w:rsidR="00263EB9" w:rsidRDefault="00BB663F" w:rsidP="00295EEF">
            <w:pPr>
              <w:spacing w:after="0" w:line="259" w:lineRule="auto"/>
              <w:ind w:left="0" w:right="0" w:firstLine="0"/>
              <w:rPr>
                <w:rFonts w:eastAsia="Arial"/>
              </w:rPr>
            </w:pPr>
            <w:r>
              <w:rPr>
                <w:rFonts w:eastAsia="Arial"/>
              </w:rPr>
              <w:t>1633A</w:t>
            </w:r>
          </w:p>
        </w:tc>
        <w:tc>
          <w:tcPr>
            <w:tcW w:w="3324" w:type="dxa"/>
          </w:tcPr>
          <w:p w14:paraId="33EF4DE7" w14:textId="133BFAE5" w:rsidR="00263EB9" w:rsidRDefault="005A2235" w:rsidP="00295EEF">
            <w:pPr>
              <w:spacing w:after="0" w:line="259" w:lineRule="auto"/>
              <w:ind w:left="0" w:right="0" w:firstLine="0"/>
              <w:rPr>
                <w:rFonts w:eastAsia="Arial"/>
              </w:rPr>
            </w:pPr>
            <w:r w:rsidRPr="005A2235">
              <w:rPr>
                <w:rFonts w:eastAsia="Arial"/>
              </w:rPr>
              <w:t>At the beginning of the analytical sequence (except for sample analyzed immediately after an initial calibration) and every 10 field sample injections</w:t>
            </w:r>
            <w:r w:rsidR="00603756">
              <w:rPr>
                <w:rFonts w:eastAsia="Arial"/>
              </w:rPr>
              <w:t>.</w:t>
            </w:r>
          </w:p>
        </w:tc>
        <w:tc>
          <w:tcPr>
            <w:tcW w:w="4320" w:type="dxa"/>
          </w:tcPr>
          <w:p w14:paraId="7DD06DB7" w14:textId="77777777" w:rsidR="00263EB9" w:rsidRDefault="000F410A" w:rsidP="00295EEF">
            <w:pPr>
              <w:spacing w:after="0" w:line="259" w:lineRule="auto"/>
              <w:ind w:left="0" w:right="0" w:firstLine="0"/>
              <w:rPr>
                <w:rFonts w:eastAsia="Arial"/>
              </w:rPr>
            </w:pPr>
            <w:r w:rsidRPr="000F410A">
              <w:rPr>
                <w:rFonts w:eastAsia="Arial"/>
              </w:rPr>
              <w:t>The recovery of target analyte for the CVs must be within 70 - 130% unless the analyte is not of concern for a given project</w:t>
            </w:r>
            <w:r>
              <w:rPr>
                <w:rFonts w:eastAsia="Arial"/>
              </w:rPr>
              <w:t>.</w:t>
            </w:r>
          </w:p>
          <w:p w14:paraId="7E8C5BD9" w14:textId="326EF397" w:rsidR="00263EB9" w:rsidRPr="003F767E" w:rsidRDefault="00F877D6" w:rsidP="00295EEF">
            <w:pPr>
              <w:spacing w:after="0" w:line="259" w:lineRule="auto"/>
              <w:ind w:left="0" w:right="0" w:firstLine="0"/>
              <w:rPr>
                <w:rFonts w:eastAsia="Arial"/>
                <w:b/>
              </w:rPr>
            </w:pPr>
            <w:r>
              <w:rPr>
                <w:rFonts w:eastAsia="Arial"/>
                <w:b/>
                <w:bCs/>
              </w:rPr>
              <w:t>See sections 14.3.4 (</w:t>
            </w:r>
            <w:r w:rsidR="00426D52">
              <w:rPr>
                <w:rFonts w:eastAsia="Arial"/>
                <w:b/>
                <w:bCs/>
              </w:rPr>
              <w:t>C</w:t>
            </w:r>
            <w:r w:rsidR="00D04664">
              <w:rPr>
                <w:rFonts w:eastAsia="Arial"/>
                <w:b/>
                <w:bCs/>
              </w:rPr>
              <w:t>orrective action</w:t>
            </w:r>
            <w:r>
              <w:rPr>
                <w:rFonts w:eastAsia="Arial"/>
                <w:b/>
                <w:bCs/>
              </w:rPr>
              <w:t>) and 14.3.5</w:t>
            </w:r>
            <w:r w:rsidR="00974681">
              <w:rPr>
                <w:rFonts w:eastAsia="Arial"/>
                <w:b/>
                <w:bCs/>
              </w:rPr>
              <w:t xml:space="preserve"> (</w:t>
            </w:r>
            <w:r w:rsidR="00426D52">
              <w:rPr>
                <w:rFonts w:eastAsia="Arial"/>
                <w:b/>
                <w:bCs/>
              </w:rPr>
              <w:t>Ion abundance ratios</w:t>
            </w:r>
            <w:r w:rsidR="00974681">
              <w:rPr>
                <w:rFonts w:eastAsia="Arial"/>
                <w:b/>
                <w:bCs/>
              </w:rPr>
              <w:t>) for additional criteria</w:t>
            </w:r>
            <w:r w:rsidR="00771B34">
              <w:rPr>
                <w:rFonts w:eastAsia="Arial"/>
                <w:b/>
                <w:bCs/>
              </w:rPr>
              <w:t>.</w:t>
            </w:r>
          </w:p>
        </w:tc>
      </w:tr>
      <w:tr w:rsidR="00263EB9" w14:paraId="29E435FD" w14:textId="77777777" w:rsidTr="000350D7">
        <w:tc>
          <w:tcPr>
            <w:tcW w:w="3321" w:type="dxa"/>
          </w:tcPr>
          <w:p w14:paraId="1D58E7C7" w14:textId="7B43F333" w:rsidR="00263EB9" w:rsidRDefault="00BB663F" w:rsidP="00295EEF">
            <w:pPr>
              <w:spacing w:after="0" w:line="259" w:lineRule="auto"/>
              <w:ind w:left="0" w:right="0" w:firstLine="0"/>
              <w:rPr>
                <w:rFonts w:eastAsia="Arial"/>
              </w:rPr>
            </w:pPr>
            <w:r>
              <w:rPr>
                <w:rFonts w:eastAsia="Arial"/>
              </w:rPr>
              <w:t>533</w:t>
            </w:r>
          </w:p>
        </w:tc>
        <w:tc>
          <w:tcPr>
            <w:tcW w:w="3324" w:type="dxa"/>
          </w:tcPr>
          <w:p w14:paraId="76C076AF" w14:textId="778FEBDA" w:rsidR="00263EB9" w:rsidRDefault="00A4773F" w:rsidP="00295EEF">
            <w:pPr>
              <w:spacing w:after="0" w:line="259" w:lineRule="auto"/>
              <w:ind w:left="0" w:right="0" w:firstLine="0"/>
              <w:rPr>
                <w:rFonts w:eastAsia="Arial"/>
              </w:rPr>
            </w:pPr>
            <w:r w:rsidRPr="00A4773F">
              <w:rPr>
                <w:rFonts w:eastAsia="Arial"/>
              </w:rPr>
              <w:t>Verify initial calibration by analyzing a low-level CCC (concentrations at or below the MRL for each analyte) at the beginning of each Analysis Batch. Subsequent CCCs are required after every tenth field sample and to complete the batch.</w:t>
            </w:r>
          </w:p>
        </w:tc>
        <w:tc>
          <w:tcPr>
            <w:tcW w:w="4320" w:type="dxa"/>
          </w:tcPr>
          <w:p w14:paraId="50961D05" w14:textId="7D65A16D" w:rsidR="00263EB9" w:rsidRDefault="00A4773F" w:rsidP="00295EEF">
            <w:pPr>
              <w:spacing w:after="0" w:line="259" w:lineRule="auto"/>
              <w:ind w:left="0" w:right="0" w:firstLine="0"/>
              <w:rPr>
                <w:rFonts w:eastAsia="Arial"/>
              </w:rPr>
            </w:pPr>
            <w:r w:rsidRPr="00A4773F">
              <w:rPr>
                <w:rFonts w:eastAsia="Arial"/>
              </w:rPr>
              <w:t>The lowest level CCC must be within 50–150% of the true value. All other levels must be within 70–130% of the true value.</w:t>
            </w:r>
          </w:p>
        </w:tc>
      </w:tr>
      <w:tr w:rsidR="00263EB9" w14:paraId="349F3F35" w14:textId="77777777" w:rsidTr="000350D7">
        <w:trPr>
          <w:trHeight w:val="1228"/>
        </w:trPr>
        <w:tc>
          <w:tcPr>
            <w:tcW w:w="3321" w:type="dxa"/>
          </w:tcPr>
          <w:p w14:paraId="32F7F757" w14:textId="5CD30ADE" w:rsidR="00263EB9" w:rsidRDefault="00BB663F" w:rsidP="00295EEF">
            <w:pPr>
              <w:spacing w:after="0" w:line="259" w:lineRule="auto"/>
              <w:ind w:left="0" w:right="0" w:firstLine="0"/>
              <w:rPr>
                <w:rFonts w:eastAsia="Arial"/>
              </w:rPr>
            </w:pPr>
            <w:r>
              <w:rPr>
                <w:rFonts w:eastAsia="Arial"/>
              </w:rPr>
              <w:t>8327</w:t>
            </w:r>
          </w:p>
        </w:tc>
        <w:tc>
          <w:tcPr>
            <w:tcW w:w="3324" w:type="dxa"/>
          </w:tcPr>
          <w:p w14:paraId="6DD88292" w14:textId="43C8D09F" w:rsidR="00263EB9" w:rsidRDefault="00FD787C" w:rsidP="00295EEF">
            <w:pPr>
              <w:spacing w:after="0" w:line="259" w:lineRule="auto"/>
              <w:ind w:left="0" w:right="0" w:firstLine="0"/>
              <w:rPr>
                <w:rFonts w:eastAsia="Arial"/>
              </w:rPr>
            </w:pPr>
            <w:r w:rsidRPr="00FD787C">
              <w:rPr>
                <w:rFonts w:eastAsia="Arial"/>
              </w:rPr>
              <w:t xml:space="preserve">Prior to analysis of field samples (unless ICAL analyzed in prior 12 </w:t>
            </w:r>
            <w:proofErr w:type="spellStart"/>
            <w:r w:rsidRPr="00FD787C">
              <w:rPr>
                <w:rFonts w:eastAsia="Arial"/>
              </w:rPr>
              <w:t>hr</w:t>
            </w:r>
            <w:proofErr w:type="spellEnd"/>
            <w:r w:rsidRPr="00FD787C">
              <w:rPr>
                <w:rFonts w:eastAsia="Arial"/>
              </w:rPr>
              <w:t>), after every 20 samples and at end of sequence</w:t>
            </w:r>
            <w:r>
              <w:rPr>
                <w:rFonts w:eastAsia="Arial"/>
              </w:rPr>
              <w:t>.</w:t>
            </w:r>
          </w:p>
        </w:tc>
        <w:tc>
          <w:tcPr>
            <w:tcW w:w="4320" w:type="dxa"/>
          </w:tcPr>
          <w:p w14:paraId="2615FD32" w14:textId="1EEA5D04" w:rsidR="00263EB9" w:rsidRDefault="00FD787C" w:rsidP="00295EEF">
            <w:pPr>
              <w:spacing w:after="0" w:line="259" w:lineRule="auto"/>
              <w:ind w:left="0" w:right="0" w:firstLine="0"/>
              <w:rPr>
                <w:rFonts w:eastAsia="Arial"/>
              </w:rPr>
            </w:pPr>
            <w:r w:rsidRPr="00FD787C">
              <w:rPr>
                <w:rFonts w:eastAsia="Arial"/>
              </w:rPr>
              <w:t>≥90% of target analytes and surrogates within ±30% of expected concentrations</w:t>
            </w:r>
          </w:p>
        </w:tc>
      </w:tr>
    </w:tbl>
    <w:p w14:paraId="0847B4FC" w14:textId="77777777" w:rsidR="001813F7" w:rsidRPr="001813F7" w:rsidRDefault="001813F7" w:rsidP="00295EEF">
      <w:pPr>
        <w:spacing w:after="0" w:line="259" w:lineRule="auto"/>
        <w:ind w:right="0"/>
        <w:rPr>
          <w:rFonts w:eastAsia="Arial"/>
        </w:rPr>
      </w:pPr>
    </w:p>
    <w:p w14:paraId="08899169" w14:textId="77777777" w:rsidR="00216BA4" w:rsidRDefault="00216BA4" w:rsidP="0031290A">
      <w:pPr>
        <w:spacing w:after="0" w:line="259" w:lineRule="auto"/>
        <w:ind w:right="0"/>
        <w:rPr>
          <w:rFonts w:eastAsia="Arial"/>
        </w:rPr>
      </w:pPr>
    </w:p>
    <w:p w14:paraId="681C7FE0" w14:textId="77777777" w:rsidR="00A5520F" w:rsidRDefault="00A5520F" w:rsidP="0031290A">
      <w:pPr>
        <w:spacing w:after="0" w:line="259" w:lineRule="auto"/>
        <w:ind w:right="0"/>
        <w:rPr>
          <w:rFonts w:eastAsia="Arial"/>
        </w:rPr>
      </w:pPr>
    </w:p>
    <w:p w14:paraId="3877EC83" w14:textId="77777777" w:rsidR="00A5520F" w:rsidRDefault="00A5520F" w:rsidP="0031290A">
      <w:pPr>
        <w:spacing w:after="0" w:line="259" w:lineRule="auto"/>
        <w:ind w:right="0"/>
        <w:rPr>
          <w:rFonts w:eastAsia="Arial"/>
        </w:rPr>
      </w:pPr>
    </w:p>
    <w:p w14:paraId="091D73E6" w14:textId="77777777" w:rsidR="00A5520F" w:rsidRDefault="00A5520F" w:rsidP="0031290A">
      <w:pPr>
        <w:spacing w:after="0" w:line="259" w:lineRule="auto"/>
        <w:ind w:right="0"/>
        <w:rPr>
          <w:rFonts w:eastAsia="Arial"/>
        </w:rPr>
      </w:pPr>
    </w:p>
    <w:p w14:paraId="7A6EA151" w14:textId="4A964268" w:rsidR="0031290A" w:rsidRPr="00BD2487" w:rsidRDefault="00B438D8" w:rsidP="008B2D1D">
      <w:pPr>
        <w:numPr>
          <w:ilvl w:val="0"/>
          <w:numId w:val="136"/>
        </w:numPr>
        <w:spacing w:after="16"/>
        <w:ind w:left="720" w:right="186"/>
        <w:rPr>
          <w:b/>
          <w:bCs/>
        </w:rPr>
      </w:pPr>
      <w:r>
        <w:rPr>
          <w:b/>
          <w:bCs/>
        </w:rPr>
        <w:lastRenderedPageBreak/>
        <w:t xml:space="preserve">Laboratory </w:t>
      </w:r>
      <w:r w:rsidR="0031290A" w:rsidRPr="00BD2487">
        <w:rPr>
          <w:b/>
          <w:bCs/>
        </w:rPr>
        <w:t xml:space="preserve">Blanks </w:t>
      </w:r>
    </w:p>
    <w:p w14:paraId="4A62443E" w14:textId="77777777" w:rsidR="00596D3C" w:rsidRDefault="00596D3C" w:rsidP="0014384B">
      <w:pPr>
        <w:ind w:left="1450" w:right="255"/>
      </w:pPr>
    </w:p>
    <w:p w14:paraId="10AD3457" w14:textId="6DDDB467" w:rsidR="00596D3C" w:rsidRDefault="002466CF" w:rsidP="008B2D1D">
      <w:pPr>
        <w:ind w:left="720" w:right="255"/>
        <w:rPr>
          <w:u w:val="single"/>
        </w:rPr>
      </w:pPr>
      <w:r>
        <w:rPr>
          <w:u w:val="single"/>
        </w:rPr>
        <w:t>Terms Spe</w:t>
      </w:r>
      <w:r w:rsidR="0028723D">
        <w:rPr>
          <w:u w:val="single"/>
        </w:rPr>
        <w:t>cific to Method</w:t>
      </w:r>
    </w:p>
    <w:p w14:paraId="3BA43E56" w14:textId="77777777" w:rsidR="00236CBB" w:rsidRDefault="00236CBB" w:rsidP="008B2D1D">
      <w:pPr>
        <w:ind w:left="720" w:right="255"/>
      </w:pPr>
    </w:p>
    <w:p w14:paraId="71C084D9" w14:textId="457EC861" w:rsidR="0028723D" w:rsidRDefault="0028723D" w:rsidP="0099743B">
      <w:pPr>
        <w:pStyle w:val="ListParagraph"/>
        <w:numPr>
          <w:ilvl w:val="0"/>
          <w:numId w:val="159"/>
        </w:numPr>
        <w:ind w:left="1440" w:right="255"/>
      </w:pPr>
      <w:r>
        <w:t xml:space="preserve">Method 537.1 </w:t>
      </w:r>
      <w:r w:rsidR="003A2475">
        <w:t>–</w:t>
      </w:r>
      <w:r>
        <w:t xml:space="preserve"> </w:t>
      </w:r>
      <w:r w:rsidR="003A2475">
        <w:t>Laboratory Reagent Blank (LRB)</w:t>
      </w:r>
    </w:p>
    <w:p w14:paraId="643EC724" w14:textId="16925A19" w:rsidR="00366836" w:rsidRDefault="00366836" w:rsidP="0099743B">
      <w:pPr>
        <w:pStyle w:val="ListParagraph"/>
        <w:numPr>
          <w:ilvl w:val="0"/>
          <w:numId w:val="159"/>
        </w:numPr>
        <w:ind w:left="1440" w:right="255"/>
      </w:pPr>
      <w:r>
        <w:t>Method 1633A</w:t>
      </w:r>
      <w:r w:rsidR="008337FB">
        <w:t xml:space="preserve"> – Method Blank and Instrument Blank</w:t>
      </w:r>
    </w:p>
    <w:p w14:paraId="31F45BCE" w14:textId="762611C9" w:rsidR="004E3ABE" w:rsidRDefault="0042797E" w:rsidP="0099743B">
      <w:pPr>
        <w:pStyle w:val="ListParagraph"/>
        <w:numPr>
          <w:ilvl w:val="0"/>
          <w:numId w:val="159"/>
        </w:numPr>
        <w:ind w:left="1440" w:right="255"/>
      </w:pPr>
      <w:r>
        <w:t xml:space="preserve">Method 533 - </w:t>
      </w:r>
      <w:r w:rsidR="005F3D34" w:rsidRPr="005F3D34">
        <w:t>Laboratory Reagent Blank (LRB)</w:t>
      </w:r>
    </w:p>
    <w:p w14:paraId="37AC4488" w14:textId="71DDFB3D" w:rsidR="005F3D34" w:rsidRPr="0028723D" w:rsidRDefault="0067676B" w:rsidP="0099743B">
      <w:pPr>
        <w:pStyle w:val="ListParagraph"/>
        <w:numPr>
          <w:ilvl w:val="0"/>
          <w:numId w:val="159"/>
        </w:numPr>
        <w:ind w:left="1440" w:right="255"/>
      </w:pPr>
      <w:r>
        <w:t xml:space="preserve">Method 8327 </w:t>
      </w:r>
      <w:r w:rsidR="00887B70">
        <w:t>–</w:t>
      </w:r>
      <w:r>
        <w:t xml:space="preserve"> </w:t>
      </w:r>
      <w:r w:rsidR="00887B70">
        <w:t>Method Blank (MB) and Reagent Blank (RB)</w:t>
      </w:r>
    </w:p>
    <w:p w14:paraId="1257DFC5" w14:textId="77777777" w:rsidR="00596D3C" w:rsidRDefault="00596D3C" w:rsidP="0014384B">
      <w:pPr>
        <w:ind w:left="1450" w:right="255"/>
      </w:pPr>
    </w:p>
    <w:p w14:paraId="4D9975DB" w14:textId="6A6235F9" w:rsidR="0012050F" w:rsidRPr="00021651" w:rsidRDefault="001A7159" w:rsidP="0099743B">
      <w:pPr>
        <w:ind w:left="720" w:right="255" w:firstLine="0"/>
        <w:rPr>
          <w:u w:val="single"/>
        </w:rPr>
      </w:pPr>
      <w:r>
        <w:rPr>
          <w:u w:val="single"/>
        </w:rPr>
        <w:t>General Requirements for Laborator</w:t>
      </w:r>
      <w:r w:rsidR="007F29A9">
        <w:rPr>
          <w:u w:val="single"/>
        </w:rPr>
        <w:t>y Blanks (All Methods)</w:t>
      </w:r>
    </w:p>
    <w:p w14:paraId="2A42A281" w14:textId="77777777" w:rsidR="0012050F" w:rsidRDefault="0012050F" w:rsidP="0099743B">
      <w:pPr>
        <w:ind w:left="720" w:right="255" w:firstLine="0"/>
      </w:pPr>
    </w:p>
    <w:p w14:paraId="67DE145F" w14:textId="748763D2" w:rsidR="0014384B" w:rsidRPr="0014384B" w:rsidRDefault="00A0649A" w:rsidP="0099743B">
      <w:pPr>
        <w:ind w:left="720" w:right="255" w:firstLine="0"/>
      </w:pPr>
      <w:r>
        <w:t xml:space="preserve">The Contractor </w:t>
      </w:r>
      <w:r w:rsidR="00B204DE">
        <w:t xml:space="preserve">shall include a Laboratory Blank </w:t>
      </w:r>
      <w:r w:rsidR="007640E5" w:rsidRPr="007640E5">
        <w:t>for analysis, at least one per 12-hour shift or one for each batch of up to 20 field samples.</w:t>
      </w:r>
      <w:r w:rsidR="00B13B9F">
        <w:t xml:space="preserve">  </w:t>
      </w:r>
      <w:r w:rsidR="0082448D">
        <w:t>The L</w:t>
      </w:r>
      <w:r w:rsidR="00DE4CF2">
        <w:t xml:space="preserve">aboratory </w:t>
      </w:r>
      <w:r w:rsidR="0082448D">
        <w:t>B</w:t>
      </w:r>
      <w:r w:rsidR="00DE4CF2">
        <w:t>lank</w:t>
      </w:r>
      <w:r w:rsidR="0082448D">
        <w:t xml:space="preserve"> must be extracted by the same procedure used to extract field samples and analyzed on each</w:t>
      </w:r>
      <w:r w:rsidR="00EE6F2D">
        <w:t xml:space="preserve"> LC/MS/MS instrument under the same conditions used to analyze the associated </w:t>
      </w:r>
      <w:r w:rsidR="005F50BC">
        <w:t xml:space="preserve">samples.  </w:t>
      </w:r>
      <w:r w:rsidR="00460140" w:rsidRPr="00460140">
        <w:t>If the L</w:t>
      </w:r>
      <w:r w:rsidR="00057EF5">
        <w:t>aboratory Blank</w:t>
      </w:r>
      <w:r w:rsidR="00460140" w:rsidRPr="00460140">
        <w:t xml:space="preserve"> produces a peak within the retention time window of any analyte that would prevent the determination of that analyte, determine the source of contamination and eliminate the interference before processing samples. </w:t>
      </w:r>
      <w:r w:rsidR="00DB1282">
        <w:t xml:space="preserve"> </w:t>
      </w:r>
      <w:r w:rsidR="00460140" w:rsidRPr="00460140">
        <w:t>Background contamination must be reduced to an acceptable level before</w:t>
      </w:r>
      <w:r w:rsidR="0014384B">
        <w:t xml:space="preserve"> </w:t>
      </w:r>
      <w:r w:rsidR="0014384B" w:rsidRPr="0014384B">
        <w:t xml:space="preserve">proceeding. </w:t>
      </w:r>
      <w:r w:rsidR="00DB1282">
        <w:t xml:space="preserve"> </w:t>
      </w:r>
    </w:p>
    <w:p w14:paraId="7F1E70FC" w14:textId="4E5488D3" w:rsidR="00A0649A" w:rsidRDefault="00A0649A" w:rsidP="0099743B">
      <w:pPr>
        <w:ind w:left="720" w:right="255" w:firstLine="0"/>
      </w:pPr>
    </w:p>
    <w:p w14:paraId="04FB65B2" w14:textId="3766B375" w:rsidR="00D07776" w:rsidRDefault="00B11C6B" w:rsidP="0099743B">
      <w:pPr>
        <w:ind w:left="720" w:right="255" w:firstLine="0"/>
        <w:rPr>
          <w:b/>
        </w:rPr>
      </w:pPr>
      <w:r w:rsidRPr="00B11C6B">
        <w:t xml:space="preserve">If any </w:t>
      </w:r>
      <w:r>
        <w:t>L</w:t>
      </w:r>
      <w:r w:rsidRPr="00B11C6B">
        <w:t xml:space="preserve">aboratory </w:t>
      </w:r>
      <w:r>
        <w:t>B</w:t>
      </w:r>
      <w:r w:rsidRPr="00B11C6B">
        <w:t>lank exceeds the</w:t>
      </w:r>
      <w:r w:rsidR="00455F0D">
        <w:t xml:space="preserve"> method-specific </w:t>
      </w:r>
      <w:r w:rsidR="000D6AB8">
        <w:t>acceptance</w:t>
      </w:r>
      <w:r w:rsidRPr="00B11C6B">
        <w:t xml:space="preserve"> criteria</w:t>
      </w:r>
      <w:r w:rsidR="000D6AB8">
        <w:t xml:space="preserve"> in TABLE </w:t>
      </w:r>
      <w:r w:rsidR="00012A34">
        <w:t>42</w:t>
      </w:r>
      <w:r w:rsidR="002B342D">
        <w:t xml:space="preserve"> below</w:t>
      </w:r>
      <w:r w:rsidRPr="00B11C6B">
        <w:t>,</w:t>
      </w:r>
      <w:r w:rsidRPr="00B11C6B">
        <w:rPr>
          <w:b/>
        </w:rPr>
        <w:t xml:space="preserve"> </w:t>
      </w:r>
      <w:r w:rsidRPr="00B11C6B">
        <w:t xml:space="preserve">the Contractor must take corrective action.  The source of the contamination must be located, the contaminant concentration must be reduced, and all relevant information must be documented.  All samples processed with the contaminated </w:t>
      </w:r>
      <w:r w:rsidR="002B342D">
        <w:t>L</w:t>
      </w:r>
      <w:r w:rsidRPr="00B11C6B">
        <w:t xml:space="preserve">aboratory </w:t>
      </w:r>
      <w:r w:rsidR="002B342D">
        <w:t>B</w:t>
      </w:r>
      <w:r w:rsidRPr="00B11C6B">
        <w:t>lank must be re-extracted/resurged and reanalyzed</w:t>
      </w:r>
      <w:r w:rsidRPr="00B11C6B">
        <w:rPr>
          <w:b/>
        </w:rPr>
        <w:t>.</w:t>
      </w:r>
    </w:p>
    <w:p w14:paraId="7C6D0545" w14:textId="77777777" w:rsidR="002B342D" w:rsidRDefault="002B342D" w:rsidP="0099743B">
      <w:pPr>
        <w:ind w:left="720" w:right="255" w:firstLine="0"/>
        <w:rPr>
          <w:b/>
        </w:rPr>
      </w:pPr>
    </w:p>
    <w:p w14:paraId="040E8E64" w14:textId="0AAB7167" w:rsidR="002B342D" w:rsidRDefault="000F3D9A" w:rsidP="0099743B">
      <w:pPr>
        <w:ind w:left="720" w:right="255" w:firstLine="0"/>
      </w:pPr>
      <w:r w:rsidRPr="000F3D9A">
        <w:t xml:space="preserve">The Contractor must report results of all </w:t>
      </w:r>
      <w:r>
        <w:t>L</w:t>
      </w:r>
      <w:r w:rsidRPr="000F3D9A">
        <w:t xml:space="preserve">aboratory </w:t>
      </w:r>
      <w:r>
        <w:t>B</w:t>
      </w:r>
      <w:r w:rsidRPr="000F3D9A">
        <w:t xml:space="preserve">lank analyses.  However, the Contractor must </w:t>
      </w:r>
      <w:r w:rsidRPr="000F3D9A">
        <w:rPr>
          <w:u w:val="single"/>
        </w:rPr>
        <w:t>not</w:t>
      </w:r>
      <w:r w:rsidRPr="000F3D9A">
        <w:t xml:space="preserve"> subtract the results of the </w:t>
      </w:r>
      <w:r w:rsidR="00786A5C">
        <w:t>L</w:t>
      </w:r>
      <w:r w:rsidRPr="000F3D9A">
        <w:t xml:space="preserve">aboratory </w:t>
      </w:r>
      <w:r w:rsidR="00786A5C">
        <w:t>B</w:t>
      </w:r>
      <w:r w:rsidRPr="000F3D9A">
        <w:t>lank from those of any associated samples.</w:t>
      </w:r>
    </w:p>
    <w:p w14:paraId="776D897C" w14:textId="77777777" w:rsidR="00786A5C" w:rsidRDefault="00786A5C" w:rsidP="0099743B">
      <w:pPr>
        <w:ind w:left="720" w:right="255" w:firstLine="0"/>
      </w:pPr>
    </w:p>
    <w:p w14:paraId="59F155F6" w14:textId="62BECCEA" w:rsidR="00D07776" w:rsidRDefault="00EA130E" w:rsidP="0099743B">
      <w:pPr>
        <w:ind w:left="720" w:right="255" w:firstLine="0"/>
      </w:pPr>
      <w:r>
        <w:rPr>
          <w:u w:val="single"/>
        </w:rPr>
        <w:t>Method-specific Requirements for Laboratory Blanks</w:t>
      </w:r>
    </w:p>
    <w:p w14:paraId="04355D94" w14:textId="77777777" w:rsidR="00EA130E" w:rsidRDefault="00EA130E" w:rsidP="0099743B">
      <w:pPr>
        <w:ind w:left="720" w:right="255" w:firstLine="0"/>
      </w:pPr>
    </w:p>
    <w:p w14:paraId="1479BAC0" w14:textId="77B93E1D" w:rsidR="00CB5186" w:rsidRPr="00EA130E" w:rsidRDefault="00CB5186" w:rsidP="0099743B">
      <w:pPr>
        <w:ind w:left="720" w:right="255" w:firstLine="0"/>
      </w:pPr>
      <w:r w:rsidRPr="00CB5186">
        <w:t>The Contractor shall use a PFAS-free sample matrix to meet the specific method requirements for the Laboratory Blank.</w:t>
      </w:r>
    </w:p>
    <w:p w14:paraId="1EA508F0" w14:textId="77777777" w:rsidR="00C77625" w:rsidRDefault="003D61D6" w:rsidP="0099743B">
      <w:pPr>
        <w:pStyle w:val="ListParagraph"/>
        <w:numPr>
          <w:ilvl w:val="2"/>
          <w:numId w:val="68"/>
        </w:numPr>
        <w:ind w:left="1440" w:right="255"/>
        <w:jc w:val="both"/>
      </w:pPr>
      <w:r>
        <w:t>Meth</w:t>
      </w:r>
      <w:r w:rsidR="009C056F">
        <w:t>od 537.1 and Method</w:t>
      </w:r>
      <w:r w:rsidR="00053DA9">
        <w:t xml:space="preserve"> 533 require PFAS-free reagent water </w:t>
      </w:r>
      <w:r w:rsidR="00765E52">
        <w:t>for preparation of the laboratory reagent blank (LRB).</w:t>
      </w:r>
    </w:p>
    <w:p w14:paraId="213D01B3" w14:textId="7A8F8544" w:rsidR="005265A8" w:rsidRDefault="0093562D" w:rsidP="0099743B">
      <w:pPr>
        <w:pStyle w:val="ListParagraph"/>
        <w:numPr>
          <w:ilvl w:val="2"/>
          <w:numId w:val="68"/>
        </w:numPr>
        <w:ind w:left="1440" w:right="255"/>
        <w:jc w:val="both"/>
      </w:pPr>
      <w:r w:rsidRPr="0093562D">
        <w:t xml:space="preserve">Method 1633A requires PFAS-free Type I purified water for the reagent water method blank (MB) and the instrument blank, and PFAS-free </w:t>
      </w:r>
      <w:proofErr w:type="spellStart"/>
      <w:r w:rsidRPr="0093562D">
        <w:t>Ottowa</w:t>
      </w:r>
      <w:proofErr w:type="spellEnd"/>
      <w:r w:rsidRPr="0093562D">
        <w:t xml:space="preserve"> or reagent-grade sand for the </w:t>
      </w:r>
      <w:proofErr w:type="gramStart"/>
      <w:r w:rsidRPr="0093562D">
        <w:t>solids</w:t>
      </w:r>
      <w:proofErr w:type="gramEnd"/>
      <w:r w:rsidRPr="0093562D">
        <w:t xml:space="preserve"> matrix MB.</w:t>
      </w:r>
    </w:p>
    <w:p w14:paraId="6F06F040" w14:textId="1606FFC6" w:rsidR="0093562D" w:rsidRDefault="0093562D" w:rsidP="0099743B">
      <w:pPr>
        <w:pStyle w:val="ListParagraph"/>
        <w:numPr>
          <w:ilvl w:val="2"/>
          <w:numId w:val="68"/>
        </w:numPr>
        <w:ind w:left="1440" w:right="255"/>
        <w:jc w:val="both"/>
      </w:pPr>
      <w:r w:rsidRPr="0093562D">
        <w:t>Method 8327 requires PFAS-free water for the reagent blank (RB) and a PFAS-free matrix for the method blank (MB).</w:t>
      </w:r>
    </w:p>
    <w:p w14:paraId="0346FF0F" w14:textId="77777777" w:rsidR="0049565B" w:rsidRDefault="0049565B" w:rsidP="009A33F0">
      <w:pPr>
        <w:pStyle w:val="ListParagraph"/>
      </w:pPr>
    </w:p>
    <w:p w14:paraId="5D49ADFF" w14:textId="7E379E71" w:rsidR="00796BCC" w:rsidRDefault="00796BCC" w:rsidP="009A33F0">
      <w:pPr>
        <w:pStyle w:val="ListParagraph"/>
        <w:ind w:firstLine="0"/>
      </w:pPr>
      <w:r>
        <w:t xml:space="preserve">The Contractor shall also meet </w:t>
      </w:r>
      <w:r w:rsidR="00E61D9B">
        <w:t>the specific method requirements regarding frequency</w:t>
      </w:r>
      <w:r w:rsidR="002475C8">
        <w:t>.</w:t>
      </w:r>
    </w:p>
    <w:p w14:paraId="2A3B65A4" w14:textId="2BF5B874" w:rsidR="002475C8" w:rsidRDefault="00E26C74" w:rsidP="008B2D1D">
      <w:pPr>
        <w:pStyle w:val="ListParagraph"/>
        <w:numPr>
          <w:ilvl w:val="0"/>
          <w:numId w:val="150"/>
        </w:numPr>
        <w:ind w:left="1440" w:right="255"/>
      </w:pPr>
      <w:r>
        <w:t>Method 1633</w:t>
      </w:r>
      <w:r w:rsidR="00033CA8">
        <w:t xml:space="preserve"> requires analysis of an instrument blank </w:t>
      </w:r>
      <w:r w:rsidR="007A7019">
        <w:t>a</w:t>
      </w:r>
      <w:r w:rsidR="007A7019" w:rsidRPr="007A7019">
        <w:t>t the beginning of the analytical sequence and after the analysis of high concentration samples and standards (e.g., highest calibration standard, CV), to ensure no instrument contamination has occurred</w:t>
      </w:r>
      <w:r w:rsidR="00AA5CFD">
        <w:t>.</w:t>
      </w:r>
    </w:p>
    <w:p w14:paraId="7150F41C" w14:textId="7D00624B" w:rsidR="00AA5CFD" w:rsidRDefault="00005116" w:rsidP="009A33F0">
      <w:pPr>
        <w:pStyle w:val="ListParagraph"/>
        <w:numPr>
          <w:ilvl w:val="0"/>
          <w:numId w:val="150"/>
        </w:numPr>
        <w:ind w:left="1440" w:right="255"/>
      </w:pPr>
      <w:r>
        <w:t xml:space="preserve">In </w:t>
      </w:r>
      <w:r w:rsidR="00941DC2">
        <w:t xml:space="preserve">addition to the method blank, Method 8327 requires </w:t>
      </w:r>
      <w:r w:rsidR="0067182C">
        <w:t>a reagent blank (RB) at a frequency of one per day of analysis.</w:t>
      </w:r>
    </w:p>
    <w:p w14:paraId="0B7690C2" w14:textId="77777777" w:rsidR="0031290A" w:rsidRDefault="0031290A" w:rsidP="0031290A">
      <w:pPr>
        <w:spacing w:after="0" w:line="259" w:lineRule="auto"/>
        <w:ind w:left="540" w:right="0" w:firstLine="0"/>
      </w:pPr>
      <w:r>
        <w:t xml:space="preserve"> </w:t>
      </w:r>
    </w:p>
    <w:p w14:paraId="1C2E83E8" w14:textId="3C675EEB" w:rsidR="00F37F65" w:rsidRDefault="001167A5" w:rsidP="009A33F0">
      <w:pPr>
        <w:spacing w:after="0" w:line="259" w:lineRule="auto"/>
        <w:ind w:left="720" w:right="0" w:firstLine="0"/>
      </w:pPr>
      <w:r w:rsidRPr="001167A5">
        <w:lastRenderedPageBreak/>
        <w:t xml:space="preserve">The Contractor must confirm that the method-specific criteria summarized in TABLE </w:t>
      </w:r>
      <w:r w:rsidR="00322D99">
        <w:t>42</w:t>
      </w:r>
      <w:r w:rsidRPr="001167A5">
        <w:t xml:space="preserve"> have been met for the </w:t>
      </w:r>
      <w:r w:rsidR="008709D6">
        <w:t>Laboratory Blank</w:t>
      </w:r>
      <w:r w:rsidRPr="001167A5">
        <w:t xml:space="preserve"> </w:t>
      </w:r>
      <w:r w:rsidR="003F4203">
        <w:t xml:space="preserve">results </w:t>
      </w:r>
      <w:r w:rsidRPr="001167A5">
        <w:t xml:space="preserve">to be valid.  If the criteria in TABLE </w:t>
      </w:r>
      <w:r w:rsidR="00322D99">
        <w:t>42</w:t>
      </w:r>
      <w:r w:rsidRPr="001167A5">
        <w:t xml:space="preserve"> are not met, then corrective action must be taken according to method-specific recommendations.</w:t>
      </w:r>
    </w:p>
    <w:p w14:paraId="0BBAC18E" w14:textId="68C46D80" w:rsidR="00AF7C4D" w:rsidRDefault="0031290A" w:rsidP="009A33F0">
      <w:pPr>
        <w:spacing w:after="0" w:line="259" w:lineRule="auto"/>
        <w:ind w:left="540" w:right="0" w:firstLine="0"/>
        <w:rPr>
          <w:b/>
          <w:bCs/>
        </w:rPr>
      </w:pPr>
      <w:r>
        <w:t xml:space="preserve"> </w:t>
      </w:r>
      <w:r>
        <w:rPr>
          <w:rFonts w:ascii="Arial" w:eastAsia="Arial" w:hAnsi="Arial" w:cs="Arial"/>
        </w:rPr>
        <w:t xml:space="preserve"> </w:t>
      </w:r>
    </w:p>
    <w:p w14:paraId="06CC9B95" w14:textId="63CE47F7" w:rsidR="0031290A" w:rsidRDefault="00560521" w:rsidP="00560521">
      <w:pPr>
        <w:spacing w:after="0" w:line="259" w:lineRule="auto"/>
        <w:ind w:left="540" w:right="0" w:firstLine="0"/>
        <w:jc w:val="center"/>
        <w:rPr>
          <w:b/>
          <w:bCs/>
        </w:rPr>
      </w:pPr>
      <w:r>
        <w:rPr>
          <w:b/>
          <w:bCs/>
        </w:rPr>
        <w:t>T</w:t>
      </w:r>
      <w:r w:rsidR="00550173">
        <w:rPr>
          <w:b/>
          <w:bCs/>
        </w:rPr>
        <w:t>ABLE</w:t>
      </w:r>
      <w:r>
        <w:rPr>
          <w:b/>
          <w:bCs/>
        </w:rPr>
        <w:t xml:space="preserve"> </w:t>
      </w:r>
      <w:r w:rsidR="00322D99">
        <w:rPr>
          <w:b/>
          <w:bCs/>
        </w:rPr>
        <w:t>42</w:t>
      </w:r>
    </w:p>
    <w:p w14:paraId="66F556BC" w14:textId="3FD06CE7" w:rsidR="005A7F93" w:rsidRDefault="005A7F93" w:rsidP="00560521">
      <w:pPr>
        <w:spacing w:after="0" w:line="259" w:lineRule="auto"/>
        <w:ind w:left="540" w:right="0" w:firstLine="0"/>
        <w:jc w:val="center"/>
        <w:rPr>
          <w:b/>
          <w:bCs/>
        </w:rPr>
      </w:pPr>
      <w:r>
        <w:rPr>
          <w:b/>
          <w:bCs/>
        </w:rPr>
        <w:t>Summary of Laboratory Blank Criteria for PFAS Analysis</w:t>
      </w:r>
    </w:p>
    <w:p w14:paraId="4F5B2BC5" w14:textId="77777777" w:rsidR="00D912D2" w:rsidRPr="00021651" w:rsidRDefault="00D912D2" w:rsidP="00021651">
      <w:pPr>
        <w:spacing w:after="0" w:line="259" w:lineRule="auto"/>
        <w:ind w:left="540" w:right="0" w:firstLine="0"/>
        <w:jc w:val="center"/>
        <w:rPr>
          <w:b/>
          <w:bCs/>
        </w:rPr>
      </w:pPr>
    </w:p>
    <w:tbl>
      <w:tblPr>
        <w:tblStyle w:val="TableGridLight"/>
        <w:tblW w:w="10885" w:type="dxa"/>
        <w:tblInd w:w="85" w:type="dxa"/>
        <w:tblBorders>
          <w:top w:val="single" w:sz="12" w:space="0" w:color="auto"/>
          <w:left w:val="single" w:sz="12" w:space="0" w:color="auto"/>
          <w:bottom w:val="single" w:sz="12" w:space="0" w:color="auto"/>
          <w:right w:val="single" w:sz="12" w:space="0" w:color="auto"/>
          <w:insideH w:val="single" w:sz="2" w:space="0" w:color="auto"/>
          <w:insideV w:val="single" w:sz="12" w:space="0" w:color="auto"/>
        </w:tblBorders>
        <w:tblLook w:val="04A0" w:firstRow="1" w:lastRow="0" w:firstColumn="1" w:lastColumn="0" w:noHBand="0" w:noVBand="1"/>
      </w:tblPr>
      <w:tblGrid>
        <w:gridCol w:w="1615"/>
        <w:gridCol w:w="3235"/>
        <w:gridCol w:w="6035"/>
      </w:tblGrid>
      <w:tr w:rsidR="00F65BA2" w14:paraId="2398B04D" w14:textId="77777777" w:rsidTr="003F57D9">
        <w:trPr>
          <w:tblHeader/>
        </w:trPr>
        <w:tc>
          <w:tcPr>
            <w:tcW w:w="1615" w:type="dxa"/>
            <w:tcBorders>
              <w:top w:val="single" w:sz="12" w:space="0" w:color="auto"/>
              <w:bottom w:val="single" w:sz="12" w:space="0" w:color="auto"/>
            </w:tcBorders>
          </w:tcPr>
          <w:p w14:paraId="4D7572E3" w14:textId="0E6E517A" w:rsidR="007B4E45" w:rsidRPr="003C5744" w:rsidRDefault="007B4E45" w:rsidP="003C5744">
            <w:pPr>
              <w:spacing w:after="0" w:line="259" w:lineRule="auto"/>
              <w:ind w:left="0" w:right="0" w:firstLine="0"/>
              <w:jc w:val="center"/>
              <w:rPr>
                <w:b/>
              </w:rPr>
            </w:pPr>
            <w:r w:rsidRPr="003C5744">
              <w:rPr>
                <w:rFonts w:eastAsia="Arial"/>
                <w:b/>
              </w:rPr>
              <w:t>Method</w:t>
            </w:r>
          </w:p>
        </w:tc>
        <w:tc>
          <w:tcPr>
            <w:tcW w:w="3235" w:type="dxa"/>
            <w:tcBorders>
              <w:top w:val="single" w:sz="12" w:space="0" w:color="auto"/>
              <w:bottom w:val="single" w:sz="12" w:space="0" w:color="auto"/>
            </w:tcBorders>
          </w:tcPr>
          <w:p w14:paraId="2DC53D37" w14:textId="18AAFBC3" w:rsidR="007B4E45" w:rsidRPr="003C5744" w:rsidRDefault="007B4E45" w:rsidP="003C5744">
            <w:pPr>
              <w:spacing w:after="0" w:line="259" w:lineRule="auto"/>
              <w:ind w:left="0" w:right="0" w:firstLine="0"/>
              <w:jc w:val="center"/>
              <w:rPr>
                <w:b/>
              </w:rPr>
            </w:pPr>
            <w:r w:rsidRPr="003C5744">
              <w:rPr>
                <w:rFonts w:eastAsia="Arial"/>
                <w:b/>
              </w:rPr>
              <w:t>Laboratory Blank Specification and Frequency</w:t>
            </w:r>
          </w:p>
        </w:tc>
        <w:tc>
          <w:tcPr>
            <w:tcW w:w="6035" w:type="dxa"/>
            <w:tcBorders>
              <w:top w:val="single" w:sz="12" w:space="0" w:color="auto"/>
              <w:bottom w:val="single" w:sz="12" w:space="0" w:color="auto"/>
            </w:tcBorders>
          </w:tcPr>
          <w:p w14:paraId="02CA3D27" w14:textId="52819870" w:rsidR="007B4E45" w:rsidRPr="003C5744" w:rsidRDefault="007B4E45" w:rsidP="003C5744">
            <w:pPr>
              <w:spacing w:after="0" w:line="259" w:lineRule="auto"/>
              <w:ind w:left="0" w:right="0" w:firstLine="0"/>
              <w:jc w:val="center"/>
              <w:rPr>
                <w:b/>
              </w:rPr>
            </w:pPr>
            <w:r w:rsidRPr="003C5744">
              <w:rPr>
                <w:rFonts w:eastAsia="Arial"/>
                <w:b/>
              </w:rPr>
              <w:t>Laboratory Blank Acceptance Criteria</w:t>
            </w:r>
          </w:p>
        </w:tc>
      </w:tr>
      <w:tr w:rsidR="00F65BA2" w14:paraId="4A49C15C" w14:textId="77777777" w:rsidTr="003F57D9">
        <w:tc>
          <w:tcPr>
            <w:tcW w:w="1615" w:type="dxa"/>
            <w:tcBorders>
              <w:top w:val="single" w:sz="12" w:space="0" w:color="auto"/>
            </w:tcBorders>
          </w:tcPr>
          <w:p w14:paraId="33B0371E" w14:textId="0C3EAB41" w:rsidR="007B4E45" w:rsidRDefault="00560521" w:rsidP="007B4E45">
            <w:pPr>
              <w:spacing w:after="0" w:line="259" w:lineRule="auto"/>
              <w:ind w:left="0" w:right="0" w:firstLine="0"/>
            </w:pPr>
            <w:r>
              <w:t>537.1</w:t>
            </w:r>
          </w:p>
        </w:tc>
        <w:tc>
          <w:tcPr>
            <w:tcW w:w="3235" w:type="dxa"/>
            <w:tcBorders>
              <w:top w:val="single" w:sz="12" w:space="0" w:color="auto"/>
            </w:tcBorders>
          </w:tcPr>
          <w:p w14:paraId="0A3F4CC6" w14:textId="1831C731" w:rsidR="007B4E45" w:rsidRDefault="001D0D39" w:rsidP="007B4E45">
            <w:pPr>
              <w:spacing w:after="0" w:line="259" w:lineRule="auto"/>
              <w:ind w:left="0" w:right="0" w:firstLine="0"/>
            </w:pPr>
            <w:r w:rsidRPr="001D0D39">
              <w:t>One LRB with each extraction batch of up to 20 samples</w:t>
            </w:r>
            <w:r>
              <w:t>.</w:t>
            </w:r>
          </w:p>
        </w:tc>
        <w:tc>
          <w:tcPr>
            <w:tcW w:w="6035" w:type="dxa"/>
            <w:tcBorders>
              <w:top w:val="single" w:sz="12" w:space="0" w:color="auto"/>
            </w:tcBorders>
          </w:tcPr>
          <w:p w14:paraId="3970F75C" w14:textId="7BBDF8C5" w:rsidR="007B4E45" w:rsidRDefault="00AE334D" w:rsidP="007B4E45">
            <w:pPr>
              <w:spacing w:after="0" w:line="259" w:lineRule="auto"/>
              <w:ind w:left="0" w:right="0" w:firstLine="0"/>
            </w:pPr>
            <w:r w:rsidRPr="00AE334D">
              <w:t>Demonstrate that all method analytes are below 1/3 the MRL and confirm that possible interferences do not prevent quantification of method analytes. If targets exceed 1/3 the MRL or if interferences are present, results for these subject analytes in the extraction batch are invalid</w:t>
            </w:r>
            <w:r>
              <w:t>.</w:t>
            </w:r>
          </w:p>
        </w:tc>
      </w:tr>
      <w:tr w:rsidR="00F65BA2" w14:paraId="1922AFAD" w14:textId="77777777" w:rsidTr="003F57D9">
        <w:tc>
          <w:tcPr>
            <w:tcW w:w="1615" w:type="dxa"/>
          </w:tcPr>
          <w:p w14:paraId="30E3636F" w14:textId="2E764C90" w:rsidR="007B4E45" w:rsidRDefault="00AE334D" w:rsidP="007B4E45">
            <w:pPr>
              <w:spacing w:after="0" w:line="259" w:lineRule="auto"/>
              <w:ind w:left="0" w:right="0" w:firstLine="0"/>
            </w:pPr>
            <w:r>
              <w:t>1633A</w:t>
            </w:r>
          </w:p>
        </w:tc>
        <w:tc>
          <w:tcPr>
            <w:tcW w:w="3235" w:type="dxa"/>
          </w:tcPr>
          <w:p w14:paraId="0601DB61" w14:textId="77777777" w:rsidR="007B4E45" w:rsidRDefault="00D912D2" w:rsidP="007B4E45">
            <w:pPr>
              <w:spacing w:after="0" w:line="259" w:lineRule="auto"/>
              <w:ind w:left="0" w:right="0" w:firstLine="0"/>
            </w:pPr>
            <w:r w:rsidRPr="00D912D2">
              <w:t xml:space="preserve">One </w:t>
            </w:r>
            <w:r>
              <w:t xml:space="preserve">Method Blank </w:t>
            </w:r>
            <w:r w:rsidRPr="00D912D2">
              <w:t>per preparation batch</w:t>
            </w:r>
            <w:r>
              <w:t>.</w:t>
            </w:r>
          </w:p>
          <w:p w14:paraId="1E6A79AF" w14:textId="5C13AC29" w:rsidR="00C23538" w:rsidRDefault="00C23538" w:rsidP="007B4E45">
            <w:pPr>
              <w:spacing w:after="0" w:line="259" w:lineRule="auto"/>
              <w:ind w:left="0" w:right="0" w:firstLine="0"/>
            </w:pPr>
            <w:r>
              <w:t>One Instrument Blank a</w:t>
            </w:r>
            <w:r w:rsidRPr="00C23538">
              <w:t>t the beginning of each analytical sequence, and after high standards and high concentration samples</w:t>
            </w:r>
            <w:r w:rsidR="00CD5930">
              <w:t>.</w:t>
            </w:r>
          </w:p>
        </w:tc>
        <w:tc>
          <w:tcPr>
            <w:tcW w:w="6035" w:type="dxa"/>
          </w:tcPr>
          <w:p w14:paraId="39607487" w14:textId="77777777" w:rsidR="007B4E45" w:rsidRDefault="00FE4C54" w:rsidP="007B4E45">
            <w:pPr>
              <w:spacing w:after="0" w:line="259" w:lineRule="auto"/>
              <w:ind w:left="0" w:right="0" w:firstLine="0"/>
            </w:pPr>
            <w:r w:rsidRPr="00FE4C54">
              <w:t>If any PFAS is found in the method blank at 1) at a concentration greater than the LOQ for the analyte, 2) at a concentration greater than one-third the regulatory compliance limit, or 3) at a concentration greater than one-tenth the concentration in a sample in the extraction batch, whichever is greatest, analysis of samples must be halted, and the problem corrected.  Other project-specific requirements may apply; therefore, the laboratory may adopt more stringent acceptance limits for the method blank at their discretion.  If the contamination is traceable to the extraction batch, the laboratory should check solvents, glassware, and other potential sources of PFAS contamination.  Samples affected by the blank must be re-extracted and analyzed along with a new method blank and other batch-specific QC, provided that enough sample volume is available, and the sample are still within holding time</w:t>
            </w:r>
            <w:r w:rsidR="00D20331">
              <w:t>.</w:t>
            </w:r>
          </w:p>
          <w:p w14:paraId="75CAF8AD" w14:textId="76741A65" w:rsidR="00D20331" w:rsidRDefault="00D20331" w:rsidP="007B4E45">
            <w:pPr>
              <w:spacing w:after="0" w:line="259" w:lineRule="auto"/>
              <w:ind w:left="0" w:right="0" w:firstLine="0"/>
            </w:pPr>
            <w:r w:rsidRPr="00D20331">
              <w:t>The instrument blank must not contain any target analyte that would yield a response equivalent to the mass of the analyte that would be present in a whole-volume sample at or above the analyte’s MDL. If an analyte is present at such levels, analyze one or more additional instrument blanks until the response of the analyte is no longer detectable, or perform additional troubleshooting steps to identify and minimize other potential sources of PFAS contamination.</w:t>
            </w:r>
          </w:p>
        </w:tc>
      </w:tr>
      <w:tr w:rsidR="00F65BA2" w14:paraId="2CE6EC7F" w14:textId="77777777" w:rsidTr="003F57D9">
        <w:tc>
          <w:tcPr>
            <w:tcW w:w="1615" w:type="dxa"/>
          </w:tcPr>
          <w:p w14:paraId="1AC78D10" w14:textId="2D9C7BE7" w:rsidR="007B4E45" w:rsidRDefault="00CE5F62" w:rsidP="007B4E45">
            <w:pPr>
              <w:spacing w:after="0" w:line="259" w:lineRule="auto"/>
              <w:ind w:left="0" w:right="0" w:firstLine="0"/>
            </w:pPr>
            <w:r>
              <w:t>533</w:t>
            </w:r>
          </w:p>
        </w:tc>
        <w:tc>
          <w:tcPr>
            <w:tcW w:w="3235" w:type="dxa"/>
          </w:tcPr>
          <w:p w14:paraId="747B6B16" w14:textId="30A616D3" w:rsidR="007B4E45" w:rsidRDefault="00EA746B" w:rsidP="007B4E45">
            <w:pPr>
              <w:spacing w:after="0" w:line="259" w:lineRule="auto"/>
              <w:ind w:left="0" w:right="0" w:firstLine="0"/>
            </w:pPr>
            <w:r w:rsidRPr="00EA746B">
              <w:t>Include one LRB with each Extraction Batch. Analyze one LRB with each Analysis Batch.</w:t>
            </w:r>
          </w:p>
        </w:tc>
        <w:tc>
          <w:tcPr>
            <w:tcW w:w="6035" w:type="dxa"/>
          </w:tcPr>
          <w:p w14:paraId="3DC827C0" w14:textId="64A9BBAE" w:rsidR="007B4E45" w:rsidRDefault="00EA746B" w:rsidP="007B4E45">
            <w:pPr>
              <w:spacing w:after="0" w:line="259" w:lineRule="auto"/>
              <w:ind w:left="0" w:right="0" w:firstLine="0"/>
            </w:pPr>
            <w:r w:rsidRPr="00EA746B">
              <w:t xml:space="preserve">Demonstrate that all method analytes are below one-third the Minimum Reporting Level (MRL), and that possible interference from reagents and glassware </w:t>
            </w:r>
            <w:proofErr w:type="gramStart"/>
            <w:r w:rsidRPr="00EA746B">
              <w:t>do</w:t>
            </w:r>
            <w:proofErr w:type="gramEnd"/>
            <w:r w:rsidRPr="00EA746B">
              <w:t xml:space="preserve"> not prevent identification and quantitation of method analytes.</w:t>
            </w:r>
          </w:p>
        </w:tc>
      </w:tr>
      <w:tr w:rsidR="00F65BA2" w14:paraId="21A17BF8" w14:textId="77777777" w:rsidTr="003F57D9">
        <w:tc>
          <w:tcPr>
            <w:tcW w:w="1615" w:type="dxa"/>
          </w:tcPr>
          <w:p w14:paraId="038C3A09" w14:textId="44BD135E" w:rsidR="007B4E45" w:rsidRDefault="00EA746B" w:rsidP="007B4E45">
            <w:pPr>
              <w:spacing w:after="0" w:line="259" w:lineRule="auto"/>
              <w:ind w:left="0" w:right="0" w:firstLine="0"/>
            </w:pPr>
            <w:r>
              <w:t>8327</w:t>
            </w:r>
          </w:p>
        </w:tc>
        <w:tc>
          <w:tcPr>
            <w:tcW w:w="3235" w:type="dxa"/>
          </w:tcPr>
          <w:p w14:paraId="4288954B" w14:textId="77777777" w:rsidR="007B4E45" w:rsidRDefault="00623306" w:rsidP="007B4E45">
            <w:pPr>
              <w:spacing w:after="0" w:line="259" w:lineRule="auto"/>
              <w:ind w:left="0" w:right="0" w:firstLine="0"/>
            </w:pPr>
            <w:r w:rsidRPr="00623306">
              <w:t xml:space="preserve">One </w:t>
            </w:r>
            <w:r>
              <w:t xml:space="preserve">Method Blank </w:t>
            </w:r>
            <w:r w:rsidRPr="00623306">
              <w:t>per preparation of 20 or fewer samples</w:t>
            </w:r>
            <w:r>
              <w:t>.</w:t>
            </w:r>
          </w:p>
          <w:p w14:paraId="359B2424" w14:textId="5CEFD3F3" w:rsidR="00623306" w:rsidRDefault="00D32B4F" w:rsidP="007B4E45">
            <w:pPr>
              <w:spacing w:after="0" w:line="259" w:lineRule="auto"/>
              <w:ind w:left="0" w:right="0" w:firstLine="0"/>
            </w:pPr>
            <w:r w:rsidRPr="00D32B4F">
              <w:t xml:space="preserve">One </w:t>
            </w:r>
            <w:r>
              <w:t xml:space="preserve">Reagent Blank </w:t>
            </w:r>
            <w:r w:rsidRPr="00D32B4F">
              <w:t>per day of analysis</w:t>
            </w:r>
            <w:r>
              <w:t>.</w:t>
            </w:r>
          </w:p>
        </w:tc>
        <w:tc>
          <w:tcPr>
            <w:tcW w:w="6035" w:type="dxa"/>
          </w:tcPr>
          <w:p w14:paraId="3BAD1DB2" w14:textId="77777777" w:rsidR="007B4E45" w:rsidRDefault="00C9129F" w:rsidP="007B4E45">
            <w:pPr>
              <w:spacing w:after="0" w:line="259" w:lineRule="auto"/>
              <w:ind w:left="0" w:right="0" w:firstLine="0"/>
            </w:pPr>
            <w:r>
              <w:t xml:space="preserve">Method Blank - </w:t>
            </w:r>
            <w:r w:rsidRPr="00C9129F">
              <w:t>Target analytes &lt;1/2 LLOQ or &lt;10% of sample concentration</w:t>
            </w:r>
            <w:r>
              <w:t>.</w:t>
            </w:r>
          </w:p>
          <w:p w14:paraId="1BC64DC0" w14:textId="5584A77D" w:rsidR="00C9129F" w:rsidRDefault="00C9129F" w:rsidP="007B4E45">
            <w:pPr>
              <w:spacing w:after="0" w:line="259" w:lineRule="auto"/>
              <w:ind w:left="0" w:right="0" w:firstLine="0"/>
            </w:pPr>
            <w:r>
              <w:t xml:space="preserve">Reagent Blank - </w:t>
            </w:r>
            <w:r w:rsidR="00777D42" w:rsidRPr="00777D42">
              <w:t>Target analyte concentrations &lt;1/2 LLOQ or &lt;10% of sample concentrations</w:t>
            </w:r>
            <w:r w:rsidR="00777D42">
              <w:t>.</w:t>
            </w:r>
          </w:p>
        </w:tc>
      </w:tr>
    </w:tbl>
    <w:p w14:paraId="72795C4C" w14:textId="1108963F" w:rsidR="0031290A" w:rsidRPr="00047325" w:rsidRDefault="0031290A" w:rsidP="00EF72F0">
      <w:pPr>
        <w:numPr>
          <w:ilvl w:val="0"/>
          <w:numId w:val="136"/>
        </w:numPr>
        <w:spacing w:after="16"/>
        <w:ind w:left="720" w:right="186"/>
      </w:pPr>
      <w:r>
        <w:rPr>
          <w:b/>
        </w:rPr>
        <w:lastRenderedPageBreak/>
        <w:t xml:space="preserve">Matrix Spike and Matrix Spike Duplicate </w:t>
      </w:r>
    </w:p>
    <w:p w14:paraId="12AA11FC" w14:textId="77777777" w:rsidR="00B86392" w:rsidRDefault="00B86392" w:rsidP="0031290A">
      <w:pPr>
        <w:spacing w:after="16"/>
        <w:ind w:left="1440" w:right="186" w:firstLine="0"/>
      </w:pPr>
    </w:p>
    <w:p w14:paraId="379FD591" w14:textId="4CC86668" w:rsidR="00B86392" w:rsidRDefault="009F7D1D" w:rsidP="000738B7">
      <w:pPr>
        <w:spacing w:after="16"/>
        <w:ind w:left="720" w:right="186" w:firstLine="0"/>
        <w:rPr>
          <w:u w:val="single"/>
        </w:rPr>
      </w:pPr>
      <w:r>
        <w:rPr>
          <w:u w:val="single"/>
        </w:rPr>
        <w:t>Term</w:t>
      </w:r>
      <w:r w:rsidR="00916DA9">
        <w:rPr>
          <w:u w:val="single"/>
        </w:rPr>
        <w:t>s Specific to Method</w:t>
      </w:r>
    </w:p>
    <w:p w14:paraId="2DB87FB6" w14:textId="77777777" w:rsidR="00D43CC9" w:rsidRPr="005E0336" w:rsidRDefault="00D43CC9" w:rsidP="000738B7">
      <w:pPr>
        <w:spacing w:after="16"/>
        <w:ind w:left="720" w:right="186" w:firstLine="0"/>
      </w:pPr>
    </w:p>
    <w:p w14:paraId="655C8A96" w14:textId="23773792" w:rsidR="00016FB2" w:rsidRPr="005E0336" w:rsidRDefault="00016FB2" w:rsidP="00EF72F0">
      <w:pPr>
        <w:pStyle w:val="ListParagraph"/>
        <w:numPr>
          <w:ilvl w:val="0"/>
          <w:numId w:val="174"/>
        </w:numPr>
        <w:spacing w:after="16"/>
        <w:ind w:left="1440" w:right="186"/>
      </w:pPr>
      <w:r w:rsidRPr="005E0336">
        <w:t xml:space="preserve">Method 537.1 </w:t>
      </w:r>
      <w:r w:rsidR="00010798" w:rsidRPr="005E0336">
        <w:t>–</w:t>
      </w:r>
      <w:r w:rsidR="004C781E" w:rsidRPr="005E0336">
        <w:t xml:space="preserve"> </w:t>
      </w:r>
      <w:r w:rsidR="00010798" w:rsidRPr="005E0336">
        <w:t>Laboratory Fortified Sample Matrix (LFSM) and L</w:t>
      </w:r>
      <w:r w:rsidR="003E1AB6" w:rsidRPr="005E0336">
        <w:t>FSM Duplicate (LFSMD)</w:t>
      </w:r>
    </w:p>
    <w:p w14:paraId="79AAFBD6" w14:textId="05747D29" w:rsidR="00994C2D" w:rsidRPr="005E0336" w:rsidRDefault="00994C2D" w:rsidP="00EF72F0">
      <w:pPr>
        <w:pStyle w:val="ListParagraph"/>
        <w:numPr>
          <w:ilvl w:val="0"/>
          <w:numId w:val="174"/>
        </w:numPr>
        <w:spacing w:after="16"/>
        <w:ind w:left="1440" w:right="186"/>
      </w:pPr>
      <w:r w:rsidRPr="005E0336">
        <w:t>Method 1633A</w:t>
      </w:r>
      <w:r w:rsidR="0058551D" w:rsidRPr="005E0336">
        <w:t xml:space="preserve"> (when applicable)</w:t>
      </w:r>
      <w:r w:rsidRPr="005E0336" w:rsidDel="002A5FD4">
        <w:t xml:space="preserve"> </w:t>
      </w:r>
      <w:r w:rsidR="000369C5" w:rsidRPr="005E0336">
        <w:t>–</w:t>
      </w:r>
      <w:r w:rsidRPr="005E0336" w:rsidDel="00B83310">
        <w:t xml:space="preserve"> </w:t>
      </w:r>
      <w:r w:rsidR="00E75E4F" w:rsidRPr="005E0336" w:rsidDel="00B83310">
        <w:t>M</w:t>
      </w:r>
      <w:r w:rsidR="00E75E4F" w:rsidRPr="005E0336" w:rsidDel="002A5FD4">
        <w:t>a</w:t>
      </w:r>
      <w:r w:rsidR="00E75E4F" w:rsidRPr="005E0336">
        <w:t>trix Spike (MS)</w:t>
      </w:r>
      <w:r w:rsidR="0058551D" w:rsidRPr="005E0336">
        <w:t xml:space="preserve"> </w:t>
      </w:r>
      <w:r w:rsidR="00E75E4F" w:rsidRPr="005E0336">
        <w:t>and Matrix Spike Duplicate</w:t>
      </w:r>
      <w:r w:rsidR="0058551D" w:rsidRPr="005E0336">
        <w:t xml:space="preserve"> (MSD)</w:t>
      </w:r>
    </w:p>
    <w:p w14:paraId="6CD001C4" w14:textId="3BD032FA" w:rsidR="00594B15" w:rsidRPr="005E0336" w:rsidRDefault="00CE1874" w:rsidP="00EF72F0">
      <w:pPr>
        <w:pStyle w:val="ListParagraph"/>
        <w:numPr>
          <w:ilvl w:val="0"/>
          <w:numId w:val="174"/>
        </w:numPr>
        <w:spacing w:after="16"/>
        <w:ind w:left="1440" w:right="186"/>
      </w:pPr>
      <w:r w:rsidRPr="005E0336">
        <w:t>Method 533 – Laboratory Fortified Sample Matrix (LFSM) and LFSM Duplicate (LFSMD)</w:t>
      </w:r>
    </w:p>
    <w:p w14:paraId="7F1BC968" w14:textId="14309920" w:rsidR="00CE1874" w:rsidRPr="005E0336" w:rsidRDefault="00137E38" w:rsidP="00EF72F0">
      <w:pPr>
        <w:pStyle w:val="ListParagraph"/>
        <w:numPr>
          <w:ilvl w:val="0"/>
          <w:numId w:val="174"/>
        </w:numPr>
        <w:spacing w:after="16"/>
        <w:ind w:left="1440" w:right="186"/>
      </w:pPr>
      <w:r w:rsidRPr="005E0336">
        <w:t>Method 8327</w:t>
      </w:r>
      <w:r w:rsidR="00A830CF" w:rsidRPr="005E0336">
        <w:t xml:space="preserve"> – Matrix </w:t>
      </w:r>
      <w:r w:rsidR="00055DCD" w:rsidRPr="005E0336">
        <w:t>Spike (MS) and Matrix Spike Duplicate (MSD)</w:t>
      </w:r>
    </w:p>
    <w:p w14:paraId="4BC75043" w14:textId="77777777" w:rsidR="00B86392" w:rsidRPr="005E0336" w:rsidRDefault="00B86392" w:rsidP="0031290A">
      <w:pPr>
        <w:spacing w:after="16"/>
        <w:ind w:left="1440" w:right="186" w:firstLine="0"/>
      </w:pPr>
    </w:p>
    <w:p w14:paraId="7F5F8DF8" w14:textId="53F8156E" w:rsidR="00A608EB" w:rsidRDefault="00A608EB" w:rsidP="0051740D">
      <w:pPr>
        <w:spacing w:after="16"/>
        <w:ind w:left="720" w:right="186" w:firstLine="0"/>
        <w:rPr>
          <w:u w:val="single"/>
        </w:rPr>
      </w:pPr>
      <w:r>
        <w:rPr>
          <w:u w:val="single"/>
        </w:rPr>
        <w:t xml:space="preserve">General Requirements for MS/MSD (All </w:t>
      </w:r>
      <w:r w:rsidR="001C4F50">
        <w:rPr>
          <w:u w:val="single"/>
        </w:rPr>
        <w:t>Methods)</w:t>
      </w:r>
    </w:p>
    <w:p w14:paraId="5BE42AEF" w14:textId="77777777" w:rsidR="001C4F50" w:rsidRPr="00021651" w:rsidRDefault="001C4F50" w:rsidP="0051740D">
      <w:pPr>
        <w:spacing w:after="16"/>
        <w:ind w:left="720" w:right="186" w:firstLine="0"/>
        <w:rPr>
          <w:u w:val="single"/>
        </w:rPr>
      </w:pPr>
    </w:p>
    <w:p w14:paraId="00372824" w14:textId="6DA4CC2D" w:rsidR="00516E08" w:rsidRDefault="00136D94" w:rsidP="0051740D">
      <w:pPr>
        <w:spacing w:after="16"/>
        <w:ind w:left="720" w:right="186" w:firstLine="0"/>
        <w:rPr>
          <w:bCs/>
        </w:rPr>
      </w:pPr>
      <w:r>
        <w:t xml:space="preserve">The Contractor shall analyze at least one </w:t>
      </w:r>
      <w:r w:rsidR="00AA1225">
        <w:t xml:space="preserve">matrix </w:t>
      </w:r>
      <w:r w:rsidR="00A8406C">
        <w:t>spike (MS</w:t>
      </w:r>
      <w:r w:rsidR="003D5EDD">
        <w:t>)</w:t>
      </w:r>
      <w:r w:rsidR="00975448">
        <w:t xml:space="preserve"> and</w:t>
      </w:r>
      <w:r w:rsidR="00EA128F">
        <w:t xml:space="preserve"> </w:t>
      </w:r>
      <w:r w:rsidR="00EA128F" w:rsidRPr="00EA128F">
        <w:t xml:space="preserve">one matrix spike duplicate </w:t>
      </w:r>
      <w:r w:rsidR="00FE0088">
        <w:t>(MSD</w:t>
      </w:r>
      <w:r w:rsidR="009564F9">
        <w:t xml:space="preserve">) </w:t>
      </w:r>
      <w:r w:rsidR="00EA128F" w:rsidRPr="00EA128F">
        <w:t>pair (MS/MSD) to document the effect of the matrix</w:t>
      </w:r>
      <w:r w:rsidR="004E5088">
        <w:t xml:space="preserve">. </w:t>
      </w:r>
      <w:r w:rsidR="00D76A08">
        <w:t>The State requires a</w:t>
      </w:r>
      <w:r w:rsidR="00D74B3C" w:rsidRPr="00D74B3C">
        <w:t>t least one MS</w:t>
      </w:r>
      <w:r w:rsidR="00D76A08">
        <w:t>/MSD</w:t>
      </w:r>
      <w:r w:rsidR="00D74B3C" w:rsidRPr="00D74B3C">
        <w:t xml:space="preserve"> </w:t>
      </w:r>
      <w:proofErr w:type="gramStart"/>
      <w:r w:rsidR="00D74B3C" w:rsidRPr="00D74B3C">
        <w:t>must be</w:t>
      </w:r>
      <w:proofErr w:type="gramEnd"/>
      <w:r w:rsidR="00D74B3C" w:rsidRPr="00D74B3C">
        <w:t xml:space="preserve"> performed on each group of samples of a similar matrix type from the same project (e.g., water, sludges, soil) for each group of 20 (or fewer) samples received per project.  </w:t>
      </w:r>
      <w:r w:rsidR="00C813EC">
        <w:t xml:space="preserve">The Contractor shall contact the </w:t>
      </w:r>
      <w:r w:rsidR="00AA5359">
        <w:t xml:space="preserve">State </w:t>
      </w:r>
      <w:r w:rsidR="0001030B">
        <w:t xml:space="preserve">in cases where </w:t>
      </w:r>
      <w:r w:rsidR="00AC45AE">
        <w:t xml:space="preserve">observed </w:t>
      </w:r>
      <w:r w:rsidR="00755E5A">
        <w:t xml:space="preserve">PFAS </w:t>
      </w:r>
      <w:r w:rsidR="00927EB6">
        <w:t>concentrations in the un-spiked sample are sufficiently high as to make analy</w:t>
      </w:r>
      <w:r w:rsidR="00FD4E74">
        <w:t>sis of the MS/MSD impractical</w:t>
      </w:r>
      <w:r w:rsidR="002D55DD">
        <w:t xml:space="preserve"> and</w:t>
      </w:r>
      <w:r w:rsidR="006D5C2A">
        <w:t xml:space="preserve"> suggest suitable alternatives (e.g., analysis of un-spiked duplicates).</w:t>
      </w:r>
      <w:r w:rsidR="00FD4E74">
        <w:t xml:space="preserve"> </w:t>
      </w:r>
    </w:p>
    <w:p w14:paraId="3DCB521A" w14:textId="77777777" w:rsidR="00CA4E48" w:rsidRDefault="00CA4E48" w:rsidP="0051740D">
      <w:pPr>
        <w:spacing w:after="16"/>
        <w:ind w:left="720" w:right="186" w:firstLine="0"/>
        <w:rPr>
          <w:bCs/>
        </w:rPr>
      </w:pPr>
    </w:p>
    <w:p w14:paraId="2BB103FB" w14:textId="7E412D42" w:rsidR="00CA4E48" w:rsidRPr="00B438DC" w:rsidRDefault="000D1F4B" w:rsidP="0051740D">
      <w:pPr>
        <w:spacing w:after="16"/>
        <w:ind w:left="720" w:right="186" w:firstLine="0"/>
      </w:pPr>
      <w:r>
        <w:rPr>
          <w:bCs/>
        </w:rPr>
        <w:t xml:space="preserve">As stated in Method 1633A: </w:t>
      </w:r>
      <w:r w:rsidR="001122D9" w:rsidRPr="00021651">
        <w:rPr>
          <w:bCs/>
          <w:i/>
          <w:iCs/>
        </w:rPr>
        <w:t>The use of MS/MSD samples is generally not required in isotope dilution methods because the labeled compounds added to every sample provide more performance data than spiking a single sample in each preparation batch.</w:t>
      </w:r>
      <w:r w:rsidR="00B438DC">
        <w:rPr>
          <w:bCs/>
        </w:rPr>
        <w:t xml:space="preserve">  The Sta</w:t>
      </w:r>
      <w:r w:rsidR="00E35AB8">
        <w:rPr>
          <w:bCs/>
        </w:rPr>
        <w:t>t</w:t>
      </w:r>
      <w:r w:rsidR="00B438DC">
        <w:rPr>
          <w:bCs/>
        </w:rPr>
        <w:t>e</w:t>
      </w:r>
      <w:r w:rsidR="00957465">
        <w:rPr>
          <w:bCs/>
        </w:rPr>
        <w:t xml:space="preserve"> shall notify the Contractor during scheduling if MS/MSD analysis will </w:t>
      </w:r>
      <w:r w:rsidR="00E56987">
        <w:rPr>
          <w:bCs/>
        </w:rPr>
        <w:t>NOT</w:t>
      </w:r>
      <w:r w:rsidR="00957465">
        <w:rPr>
          <w:bCs/>
        </w:rPr>
        <w:t xml:space="preserve"> be required for a </w:t>
      </w:r>
      <w:r w:rsidR="00E35AB8">
        <w:rPr>
          <w:bCs/>
        </w:rPr>
        <w:t>group of samples</w:t>
      </w:r>
      <w:r w:rsidR="007B3146">
        <w:rPr>
          <w:bCs/>
        </w:rPr>
        <w:t xml:space="preserve">.  </w:t>
      </w:r>
    </w:p>
    <w:p w14:paraId="2D966B6A" w14:textId="77777777" w:rsidR="0031290A" w:rsidRDefault="0031290A" w:rsidP="0051740D">
      <w:pPr>
        <w:spacing w:after="16"/>
        <w:ind w:left="720" w:right="186" w:firstLine="0"/>
      </w:pPr>
    </w:p>
    <w:p w14:paraId="072A620A" w14:textId="086BBF77" w:rsidR="00045A1F" w:rsidRDefault="00045A1F" w:rsidP="0051740D">
      <w:pPr>
        <w:spacing w:after="16"/>
        <w:ind w:left="720" w:right="186" w:firstLine="0"/>
      </w:pPr>
      <w:r w:rsidRPr="00045A1F">
        <w:rPr>
          <w:b/>
        </w:rPr>
        <w:t>Note</w:t>
      </w:r>
      <w:proofErr w:type="gramStart"/>
      <w:r w:rsidRPr="00045A1F">
        <w:rPr>
          <w:b/>
        </w:rPr>
        <w:t xml:space="preserve">:  </w:t>
      </w:r>
      <w:r w:rsidRPr="00045A1F">
        <w:t>MS</w:t>
      </w:r>
      <w:proofErr w:type="gramEnd"/>
      <w:r w:rsidRPr="00045A1F">
        <w:t xml:space="preserve">/MSDs are </w:t>
      </w:r>
      <w:r w:rsidRPr="00045A1F">
        <w:rPr>
          <w:u w:val="single"/>
        </w:rPr>
        <w:t>site-specific, project-specific</w:t>
      </w:r>
      <w:r w:rsidRPr="00045A1F">
        <w:t xml:space="preserve"> information resources and not laboratory performance information resources.  Therefore, it </w:t>
      </w:r>
      <w:r w:rsidRPr="00045A1F">
        <w:rPr>
          <w:u w:val="single"/>
        </w:rPr>
        <w:t>is</w:t>
      </w:r>
      <w:r w:rsidRPr="00045A1F">
        <w:t xml:space="preserve"> necessary to analyze one site-specific MS/MSD per sample matrix, per analysis type, </w:t>
      </w:r>
      <w:r w:rsidRPr="00045A1F">
        <w:rPr>
          <w:u w:val="single"/>
        </w:rPr>
        <w:t>per</w:t>
      </w:r>
      <w:r w:rsidRPr="00045A1F">
        <w:t xml:space="preserve"> </w:t>
      </w:r>
      <w:r w:rsidRPr="00045A1F">
        <w:rPr>
          <w:u w:val="single"/>
        </w:rPr>
        <w:t>sample delivery group</w:t>
      </w:r>
      <w:r w:rsidRPr="00045A1F">
        <w:t xml:space="preserve">.  However, if a sample delivery group requires multiple analytical batches for one or more analysis type, it is </w:t>
      </w:r>
      <w:r w:rsidRPr="00045A1F">
        <w:rPr>
          <w:u w:val="single"/>
        </w:rPr>
        <w:t>not</w:t>
      </w:r>
      <w:r w:rsidRPr="00045A1F">
        <w:t xml:space="preserve"> necessary to analyze a MS/MSD pair for every analytical batch.</w:t>
      </w:r>
    </w:p>
    <w:p w14:paraId="58BECEA0" w14:textId="77777777" w:rsidR="00045A1F" w:rsidRDefault="00045A1F" w:rsidP="0051740D">
      <w:pPr>
        <w:spacing w:after="16"/>
        <w:ind w:left="720" w:right="186" w:firstLine="0"/>
      </w:pPr>
    </w:p>
    <w:p w14:paraId="2D2D13D7" w14:textId="064C316C" w:rsidR="006A7D09" w:rsidRDefault="006A7D09" w:rsidP="0051740D">
      <w:pPr>
        <w:spacing w:after="16"/>
        <w:ind w:left="720" w:right="186" w:firstLine="0"/>
      </w:pPr>
      <w:r w:rsidRPr="006A7D09">
        <w:t>For many projects, the State will select the sample to be spiked based on site conditions.  If the State does not designate a specific sample for spiking, the Contractor must contact the State.</w:t>
      </w:r>
    </w:p>
    <w:p w14:paraId="2DA6BB6B" w14:textId="77777777" w:rsidR="006A7D09" w:rsidRDefault="006A7D09" w:rsidP="0051740D">
      <w:pPr>
        <w:spacing w:after="16"/>
        <w:ind w:left="720" w:right="186" w:firstLine="0"/>
      </w:pPr>
    </w:p>
    <w:p w14:paraId="7817AA56" w14:textId="6C0BEB9C" w:rsidR="009152BF" w:rsidRDefault="009152BF" w:rsidP="0051740D">
      <w:pPr>
        <w:spacing w:after="16"/>
        <w:ind w:left="720" w:right="186" w:firstLine="0"/>
      </w:pPr>
      <w:r w:rsidRPr="009152BF">
        <w:t xml:space="preserve">The State requires that the MS/MSD be spiked with </w:t>
      </w:r>
      <w:r w:rsidRPr="009152BF">
        <w:rPr>
          <w:b/>
          <w:u w:val="single"/>
        </w:rPr>
        <w:t>all</w:t>
      </w:r>
      <w:r w:rsidRPr="009152BF">
        <w:t xml:space="preserve"> requested target analytes </w:t>
      </w:r>
      <w:proofErr w:type="gramStart"/>
      <w:r w:rsidRPr="009152BF">
        <w:t>in order to</w:t>
      </w:r>
      <w:proofErr w:type="gramEnd"/>
      <w:r w:rsidRPr="009152BF">
        <w:t xml:space="preserve"> accurately interpret matrix effects on sample results.</w:t>
      </w:r>
      <w:r w:rsidR="00DE3102">
        <w:t xml:space="preserve">  </w:t>
      </w:r>
      <w:r w:rsidR="00817D8B">
        <w:t>For some projects</w:t>
      </w:r>
      <w:r w:rsidR="00DD12A7">
        <w:t xml:space="preserve">, </w:t>
      </w:r>
      <w:r w:rsidR="001414A6">
        <w:t xml:space="preserve">MS/MSD </w:t>
      </w:r>
      <w:r w:rsidR="00A11C9E">
        <w:t xml:space="preserve">spiking with </w:t>
      </w:r>
      <w:r w:rsidR="00776B25">
        <w:t xml:space="preserve">only select target analytes </w:t>
      </w:r>
      <w:r w:rsidR="001414A6">
        <w:t>is acceptable</w:t>
      </w:r>
      <w:r w:rsidR="00F664F1">
        <w:t>; the Contractor must conta</w:t>
      </w:r>
      <w:r w:rsidR="00F060DB">
        <w:t>ct the State to propose</w:t>
      </w:r>
      <w:r w:rsidR="002B48B7">
        <w:t xml:space="preserve"> a select target analyte list</w:t>
      </w:r>
      <w:r w:rsidR="000D6CC3">
        <w:t xml:space="preserve"> </w:t>
      </w:r>
      <w:r w:rsidR="00742E91">
        <w:t xml:space="preserve">for MS/MSD spiking </w:t>
      </w:r>
      <w:r w:rsidR="000D6CC3">
        <w:t xml:space="preserve">during </w:t>
      </w:r>
      <w:r w:rsidR="00E20018">
        <w:t>scheduling</w:t>
      </w:r>
      <w:r w:rsidR="000D6CC3">
        <w:t>.</w:t>
      </w:r>
    </w:p>
    <w:p w14:paraId="01F6F8A1" w14:textId="77777777" w:rsidR="00CF2481" w:rsidRDefault="00CF2481" w:rsidP="0051740D">
      <w:pPr>
        <w:spacing w:after="16"/>
        <w:ind w:left="720" w:right="186" w:firstLine="0"/>
      </w:pPr>
    </w:p>
    <w:p w14:paraId="6E100008" w14:textId="442B4807" w:rsidR="000E7E50" w:rsidRDefault="00ED3968" w:rsidP="0051740D">
      <w:pPr>
        <w:spacing w:after="16"/>
        <w:ind w:left="720" w:right="186" w:firstLine="0"/>
      </w:pPr>
      <w:r>
        <w:rPr>
          <w:u w:val="single"/>
        </w:rPr>
        <w:t>Method-specific Requirements for MS/MSD</w:t>
      </w:r>
    </w:p>
    <w:p w14:paraId="1860171C" w14:textId="77777777" w:rsidR="00C66850" w:rsidRDefault="00C66850" w:rsidP="0051740D">
      <w:pPr>
        <w:spacing w:after="16"/>
        <w:ind w:left="720" w:right="186" w:firstLine="0"/>
      </w:pPr>
    </w:p>
    <w:p w14:paraId="7CB01096" w14:textId="6C60CE0E" w:rsidR="00F42F6A" w:rsidRDefault="00652213" w:rsidP="0051740D">
      <w:pPr>
        <w:spacing w:after="16"/>
        <w:ind w:left="720" w:right="186" w:firstLine="0"/>
      </w:pPr>
      <w:r w:rsidRPr="00652213">
        <w:t xml:space="preserve">The Contractor must confirm that the method-specific criteria summarized in TABLE </w:t>
      </w:r>
      <w:r w:rsidR="00322D99">
        <w:t>43</w:t>
      </w:r>
      <w:r w:rsidRPr="00652213">
        <w:t xml:space="preserve"> have been met for the </w:t>
      </w:r>
      <w:r>
        <w:t>MS/MSD</w:t>
      </w:r>
      <w:r w:rsidRPr="00652213">
        <w:t xml:space="preserve"> results to be valid.</w:t>
      </w:r>
    </w:p>
    <w:p w14:paraId="612CD85A" w14:textId="77777777" w:rsidR="00F42F6A" w:rsidRDefault="00F42F6A" w:rsidP="0051740D">
      <w:pPr>
        <w:spacing w:after="16"/>
        <w:ind w:left="720" w:right="186" w:firstLine="0"/>
      </w:pPr>
    </w:p>
    <w:p w14:paraId="7537C535" w14:textId="77777777" w:rsidR="00AA21D8" w:rsidRDefault="00F42F6A" w:rsidP="0051740D">
      <w:pPr>
        <w:spacing w:after="16"/>
        <w:ind w:left="720" w:right="186" w:firstLine="0"/>
      </w:pPr>
      <w:r w:rsidRPr="00F42F6A">
        <w:t xml:space="preserve">The spike level for an analyte needs to be at least equal to or greater than the native amount in the sample for the measured recovery to be used to evaluate data quality.  The concentration of the stock spiking solution and the final concentration of the spike in the sample will be specified in the individual methods of analysis and generally must be followed.  However, the concentration may </w:t>
      </w:r>
      <w:r w:rsidRPr="00F42F6A">
        <w:lastRenderedPageBreak/>
        <w:t>require adjustment to meet project DQOs.  For example, if a method modification or a more sensitive mass spectrometer is employed to achieve lower detection levels, more dilute matrix spiking solutions may be required.</w:t>
      </w:r>
      <w:r w:rsidR="00652213" w:rsidRPr="00652213">
        <w:t xml:space="preserve"> </w:t>
      </w:r>
    </w:p>
    <w:p w14:paraId="4F306D2A" w14:textId="77777777" w:rsidR="008B2D1D" w:rsidRDefault="008B2D1D" w:rsidP="004B1B2F">
      <w:pPr>
        <w:spacing w:after="16"/>
        <w:ind w:left="720" w:right="186" w:firstLine="0"/>
      </w:pPr>
    </w:p>
    <w:p w14:paraId="658C6B13" w14:textId="146B5D4B" w:rsidR="00257805" w:rsidRDefault="006E23E0" w:rsidP="00A05B4A">
      <w:pPr>
        <w:spacing w:after="0" w:line="259" w:lineRule="auto"/>
        <w:ind w:left="0" w:right="0" w:firstLine="0"/>
        <w:jc w:val="center"/>
        <w:rPr>
          <w:rFonts w:eastAsia="Arial"/>
          <w:b/>
        </w:rPr>
      </w:pPr>
      <w:r>
        <w:rPr>
          <w:rFonts w:eastAsia="Arial"/>
          <w:b/>
          <w:bCs/>
        </w:rPr>
        <w:t>T</w:t>
      </w:r>
      <w:r w:rsidR="00F20BE0">
        <w:rPr>
          <w:rFonts w:eastAsia="Arial"/>
          <w:b/>
          <w:bCs/>
        </w:rPr>
        <w:t>ABLE</w:t>
      </w:r>
      <w:r>
        <w:rPr>
          <w:rFonts w:eastAsia="Arial"/>
          <w:b/>
          <w:bCs/>
        </w:rPr>
        <w:t xml:space="preserve"> </w:t>
      </w:r>
      <w:r w:rsidR="00322D99">
        <w:rPr>
          <w:rFonts w:eastAsia="Arial"/>
          <w:b/>
          <w:bCs/>
        </w:rPr>
        <w:t>43</w:t>
      </w:r>
    </w:p>
    <w:p w14:paraId="5BA4FB30" w14:textId="2116E180" w:rsidR="00505262" w:rsidRDefault="00505262" w:rsidP="00A05B4A">
      <w:pPr>
        <w:spacing w:after="0" w:line="259" w:lineRule="auto"/>
        <w:ind w:left="0" w:right="0" w:firstLine="0"/>
        <w:jc w:val="center"/>
        <w:rPr>
          <w:rFonts w:eastAsia="Arial"/>
        </w:rPr>
      </w:pPr>
      <w:r>
        <w:rPr>
          <w:rFonts w:eastAsia="Arial"/>
          <w:b/>
          <w:bCs/>
        </w:rPr>
        <w:t xml:space="preserve">Summary of </w:t>
      </w:r>
      <w:r w:rsidR="004E7BDB">
        <w:rPr>
          <w:rFonts w:eastAsia="Arial"/>
          <w:b/>
          <w:bCs/>
        </w:rPr>
        <w:t>MS/MSD Criteria for PFAS Analysis</w:t>
      </w:r>
    </w:p>
    <w:tbl>
      <w:tblPr>
        <w:tblStyle w:val="TableGridLight"/>
        <w:tblW w:w="0" w:type="auto"/>
        <w:tblBorders>
          <w:top w:val="single" w:sz="12" w:space="0" w:color="auto"/>
          <w:left w:val="single" w:sz="12" w:space="0" w:color="auto"/>
          <w:bottom w:val="single" w:sz="12" w:space="0" w:color="auto"/>
          <w:right w:val="single" w:sz="2" w:space="0" w:color="auto"/>
          <w:insideH w:val="single" w:sz="2" w:space="0" w:color="auto"/>
          <w:insideV w:val="single" w:sz="12" w:space="0" w:color="auto"/>
        </w:tblBorders>
        <w:tblLook w:val="04A0" w:firstRow="1" w:lastRow="0" w:firstColumn="1" w:lastColumn="0" w:noHBand="0" w:noVBand="1"/>
      </w:tblPr>
      <w:tblGrid>
        <w:gridCol w:w="3321"/>
        <w:gridCol w:w="3324"/>
        <w:gridCol w:w="3325"/>
      </w:tblGrid>
      <w:tr w:rsidR="00C602F9" w14:paraId="0EE2DEE2" w14:textId="77777777" w:rsidTr="00A05B4A">
        <w:tc>
          <w:tcPr>
            <w:tcW w:w="3333" w:type="dxa"/>
            <w:tcBorders>
              <w:top w:val="single" w:sz="12" w:space="0" w:color="auto"/>
              <w:bottom w:val="single" w:sz="12" w:space="0" w:color="auto"/>
            </w:tcBorders>
          </w:tcPr>
          <w:p w14:paraId="6BA930B2" w14:textId="137EF8BC" w:rsidR="00C602F9" w:rsidRPr="005379A6" w:rsidRDefault="007643C4" w:rsidP="005379A6">
            <w:pPr>
              <w:spacing w:after="0" w:line="259" w:lineRule="auto"/>
              <w:ind w:left="0" w:right="0" w:firstLine="0"/>
              <w:jc w:val="center"/>
              <w:rPr>
                <w:rFonts w:eastAsia="Arial"/>
                <w:b/>
              </w:rPr>
            </w:pPr>
            <w:r w:rsidRPr="005379A6">
              <w:rPr>
                <w:rFonts w:eastAsia="Arial"/>
                <w:b/>
              </w:rPr>
              <w:t>Method</w:t>
            </w:r>
          </w:p>
        </w:tc>
        <w:tc>
          <w:tcPr>
            <w:tcW w:w="3333" w:type="dxa"/>
            <w:tcBorders>
              <w:top w:val="single" w:sz="12" w:space="0" w:color="auto"/>
              <w:bottom w:val="single" w:sz="12" w:space="0" w:color="auto"/>
            </w:tcBorders>
          </w:tcPr>
          <w:p w14:paraId="54BE02F1" w14:textId="0D2801B2" w:rsidR="00C602F9" w:rsidRPr="005379A6" w:rsidRDefault="007643C4" w:rsidP="005379A6">
            <w:pPr>
              <w:spacing w:after="0" w:line="259" w:lineRule="auto"/>
              <w:ind w:left="0" w:right="0" w:firstLine="0"/>
              <w:jc w:val="center"/>
              <w:rPr>
                <w:rFonts w:eastAsia="Arial"/>
                <w:b/>
              </w:rPr>
            </w:pPr>
            <w:r w:rsidRPr="005379A6">
              <w:rPr>
                <w:rFonts w:eastAsia="Arial"/>
                <w:b/>
              </w:rPr>
              <w:t>MS/MSD Specification and Freque</w:t>
            </w:r>
            <w:r w:rsidR="00FD23AA" w:rsidRPr="005379A6">
              <w:rPr>
                <w:rFonts w:eastAsia="Arial"/>
                <w:b/>
              </w:rPr>
              <w:t>ncy</w:t>
            </w:r>
          </w:p>
        </w:tc>
        <w:tc>
          <w:tcPr>
            <w:tcW w:w="3334" w:type="dxa"/>
            <w:tcBorders>
              <w:top w:val="single" w:sz="12" w:space="0" w:color="auto"/>
              <w:bottom w:val="single" w:sz="12" w:space="0" w:color="auto"/>
              <w:right w:val="single" w:sz="12" w:space="0" w:color="auto"/>
            </w:tcBorders>
          </w:tcPr>
          <w:p w14:paraId="1883AF25" w14:textId="5E9F6476" w:rsidR="00C602F9" w:rsidRPr="005379A6" w:rsidRDefault="00FD23AA" w:rsidP="005379A6">
            <w:pPr>
              <w:spacing w:after="0" w:line="259" w:lineRule="auto"/>
              <w:ind w:left="0" w:right="0" w:firstLine="0"/>
              <w:jc w:val="center"/>
              <w:rPr>
                <w:rFonts w:eastAsia="Arial"/>
                <w:b/>
              </w:rPr>
            </w:pPr>
            <w:r w:rsidRPr="005379A6">
              <w:rPr>
                <w:rFonts w:eastAsia="Arial"/>
                <w:b/>
              </w:rPr>
              <w:t>MS/MSD Acceptance Criteria</w:t>
            </w:r>
          </w:p>
        </w:tc>
      </w:tr>
      <w:tr w:rsidR="00C602F9" w14:paraId="3F88C764" w14:textId="77777777" w:rsidTr="00A05B4A">
        <w:tc>
          <w:tcPr>
            <w:tcW w:w="3333" w:type="dxa"/>
            <w:tcBorders>
              <w:top w:val="single" w:sz="12" w:space="0" w:color="auto"/>
            </w:tcBorders>
          </w:tcPr>
          <w:p w14:paraId="308D3FAC" w14:textId="5D8F560E" w:rsidR="00C602F9" w:rsidRDefault="00C9272B" w:rsidP="00C602F9">
            <w:pPr>
              <w:spacing w:after="0" w:line="259" w:lineRule="auto"/>
              <w:ind w:left="0" w:right="0" w:firstLine="0"/>
              <w:rPr>
                <w:rFonts w:eastAsia="Arial"/>
              </w:rPr>
            </w:pPr>
            <w:r>
              <w:rPr>
                <w:rFonts w:eastAsia="Arial"/>
              </w:rPr>
              <w:t>537.1</w:t>
            </w:r>
          </w:p>
        </w:tc>
        <w:tc>
          <w:tcPr>
            <w:tcW w:w="3333" w:type="dxa"/>
            <w:tcBorders>
              <w:top w:val="single" w:sz="12" w:space="0" w:color="auto"/>
            </w:tcBorders>
          </w:tcPr>
          <w:p w14:paraId="35D06C79" w14:textId="4E1FAFF3" w:rsidR="00C602F9" w:rsidRDefault="00252CF0" w:rsidP="00C602F9">
            <w:pPr>
              <w:spacing w:after="0" w:line="259" w:lineRule="auto"/>
              <w:ind w:left="0" w:right="0" w:firstLine="0"/>
              <w:rPr>
                <w:rFonts w:eastAsia="Arial"/>
              </w:rPr>
            </w:pPr>
            <w:r w:rsidRPr="00252CF0">
              <w:rPr>
                <w:rFonts w:eastAsia="Arial"/>
              </w:rPr>
              <w:t>Analyze one LFSM</w:t>
            </w:r>
            <w:r w:rsidR="00FF4D80">
              <w:rPr>
                <w:rFonts w:eastAsia="Arial"/>
              </w:rPr>
              <w:t>/LFSMD pair</w:t>
            </w:r>
            <w:r w:rsidRPr="00252CF0">
              <w:rPr>
                <w:rFonts w:eastAsia="Arial"/>
              </w:rPr>
              <w:t xml:space="preserve"> per extraction batch (20 samples or less) fortified with method analytes at a concentration close to but greater than the native concentration, if known. </w:t>
            </w:r>
          </w:p>
        </w:tc>
        <w:tc>
          <w:tcPr>
            <w:tcW w:w="3334" w:type="dxa"/>
            <w:tcBorders>
              <w:top w:val="single" w:sz="12" w:space="0" w:color="auto"/>
              <w:right w:val="single" w:sz="12" w:space="0" w:color="auto"/>
            </w:tcBorders>
          </w:tcPr>
          <w:p w14:paraId="62844EB5" w14:textId="037522A1" w:rsidR="0049656E" w:rsidRPr="0049656E" w:rsidRDefault="0005611B" w:rsidP="0049656E">
            <w:pPr>
              <w:spacing w:after="0" w:line="259" w:lineRule="auto"/>
              <w:ind w:left="0" w:right="0" w:firstLine="0"/>
              <w:rPr>
                <w:rFonts w:eastAsia="Arial"/>
              </w:rPr>
            </w:pPr>
            <w:r w:rsidRPr="0005611B">
              <w:rPr>
                <w:rFonts w:eastAsia="Arial"/>
              </w:rPr>
              <w:t xml:space="preserve">Recoveries at mid and high levels must be within 70-130% and within 50-150% at the low-level fortified amount (near the MRL). </w:t>
            </w:r>
            <w:r>
              <w:rPr>
                <w:rFonts w:eastAsia="Arial"/>
              </w:rPr>
              <w:t xml:space="preserve"> </w:t>
            </w:r>
            <w:r w:rsidR="0049656E" w:rsidRPr="0049656E">
              <w:rPr>
                <w:rFonts w:eastAsia="Arial"/>
              </w:rPr>
              <w:t>Method analyte RPDs for the LF</w:t>
            </w:r>
            <w:r w:rsidR="003D688E">
              <w:rPr>
                <w:rFonts w:eastAsia="Arial"/>
              </w:rPr>
              <w:t>S</w:t>
            </w:r>
            <w:r w:rsidR="0049656E" w:rsidRPr="0049656E">
              <w:rPr>
                <w:rFonts w:eastAsia="Arial"/>
              </w:rPr>
              <w:t>MD must be</w:t>
            </w:r>
          </w:p>
          <w:p w14:paraId="17DE2045" w14:textId="43E84B31" w:rsidR="00C602F9" w:rsidRDefault="0049656E" w:rsidP="00C602F9">
            <w:pPr>
              <w:spacing w:after="0" w:line="259" w:lineRule="auto"/>
              <w:ind w:left="0" w:right="0" w:firstLine="0"/>
              <w:rPr>
                <w:rFonts w:eastAsia="Arial"/>
              </w:rPr>
            </w:pPr>
            <w:r w:rsidRPr="0049656E">
              <w:rPr>
                <w:rFonts w:eastAsia="Arial"/>
              </w:rPr>
              <w:t xml:space="preserve">≤30% at mid and high levels of fortification and ≤50% near the MRL. </w:t>
            </w:r>
          </w:p>
        </w:tc>
      </w:tr>
      <w:tr w:rsidR="00C602F9" w14:paraId="124F1BFC" w14:textId="77777777" w:rsidTr="00A05B4A">
        <w:tc>
          <w:tcPr>
            <w:tcW w:w="3333" w:type="dxa"/>
          </w:tcPr>
          <w:p w14:paraId="7D561660" w14:textId="43113F78" w:rsidR="00C602F9" w:rsidRDefault="00C9272B" w:rsidP="00C602F9">
            <w:pPr>
              <w:spacing w:after="0" w:line="259" w:lineRule="auto"/>
              <w:ind w:left="0" w:right="0" w:firstLine="0"/>
              <w:rPr>
                <w:rFonts w:eastAsia="Arial"/>
              </w:rPr>
            </w:pPr>
            <w:r>
              <w:rPr>
                <w:rFonts w:eastAsia="Arial"/>
              </w:rPr>
              <w:t>1633A</w:t>
            </w:r>
          </w:p>
        </w:tc>
        <w:tc>
          <w:tcPr>
            <w:tcW w:w="3333" w:type="dxa"/>
          </w:tcPr>
          <w:p w14:paraId="6AA552EA" w14:textId="7BC2F9E5" w:rsidR="00C602F9" w:rsidRDefault="00163626" w:rsidP="00C602F9">
            <w:pPr>
              <w:spacing w:after="0" w:line="259" w:lineRule="auto"/>
              <w:ind w:left="0" w:right="0" w:firstLine="0"/>
              <w:rPr>
                <w:rFonts w:eastAsia="Arial"/>
              </w:rPr>
            </w:pPr>
            <w:r w:rsidRPr="00163626">
              <w:rPr>
                <w:rFonts w:eastAsia="Arial"/>
              </w:rPr>
              <w:t>One per preparation batch (if required)</w:t>
            </w:r>
            <w:r>
              <w:rPr>
                <w:rFonts w:eastAsia="Arial"/>
              </w:rPr>
              <w:t>.</w:t>
            </w:r>
          </w:p>
        </w:tc>
        <w:tc>
          <w:tcPr>
            <w:tcW w:w="3334" w:type="dxa"/>
            <w:tcBorders>
              <w:right w:val="single" w:sz="12" w:space="0" w:color="auto"/>
            </w:tcBorders>
          </w:tcPr>
          <w:p w14:paraId="636AC687" w14:textId="3DB85D45" w:rsidR="00C602F9" w:rsidRDefault="008235D6" w:rsidP="00C602F9">
            <w:pPr>
              <w:spacing w:after="0" w:line="259" w:lineRule="auto"/>
              <w:ind w:left="0" w:right="0" w:firstLine="0"/>
              <w:rPr>
                <w:rFonts w:eastAsia="Arial"/>
              </w:rPr>
            </w:pPr>
            <w:r w:rsidRPr="008235D6">
              <w:rPr>
                <w:rFonts w:eastAsia="Arial"/>
              </w:rPr>
              <w:t xml:space="preserve">Meets laboratory derived </w:t>
            </w:r>
            <w:proofErr w:type="gramStart"/>
            <w:r w:rsidRPr="008235D6">
              <w:rPr>
                <w:rFonts w:eastAsia="Arial"/>
              </w:rPr>
              <w:t>or</w:t>
            </w:r>
            <w:proofErr w:type="gramEnd"/>
            <w:r w:rsidRPr="008235D6">
              <w:rPr>
                <w:rFonts w:eastAsia="Arial"/>
              </w:rPr>
              <w:t xml:space="preserve"> project specific recovery and RPD criteria</w:t>
            </w:r>
            <w:r w:rsidR="00B67A33">
              <w:rPr>
                <w:rFonts w:eastAsia="Arial"/>
              </w:rPr>
              <w:t>.</w:t>
            </w:r>
          </w:p>
        </w:tc>
      </w:tr>
      <w:tr w:rsidR="00C602F9" w14:paraId="06B86BD3" w14:textId="77777777" w:rsidTr="00A05B4A">
        <w:tc>
          <w:tcPr>
            <w:tcW w:w="3333" w:type="dxa"/>
          </w:tcPr>
          <w:p w14:paraId="7FF15E72" w14:textId="76721BAF" w:rsidR="00C602F9" w:rsidRDefault="00C9272B" w:rsidP="00C602F9">
            <w:pPr>
              <w:spacing w:after="0" w:line="259" w:lineRule="auto"/>
              <w:ind w:left="0" w:right="0" w:firstLine="0"/>
              <w:rPr>
                <w:rFonts w:eastAsia="Arial"/>
              </w:rPr>
            </w:pPr>
            <w:r>
              <w:rPr>
                <w:rFonts w:eastAsia="Arial"/>
              </w:rPr>
              <w:t>533</w:t>
            </w:r>
          </w:p>
        </w:tc>
        <w:tc>
          <w:tcPr>
            <w:tcW w:w="3333" w:type="dxa"/>
          </w:tcPr>
          <w:p w14:paraId="69C13BB0" w14:textId="525EA05C" w:rsidR="00C602F9" w:rsidRDefault="00D866B4" w:rsidP="00C602F9">
            <w:pPr>
              <w:spacing w:after="0" w:line="259" w:lineRule="auto"/>
              <w:ind w:left="0" w:right="0" w:firstLine="0"/>
              <w:rPr>
                <w:rFonts w:eastAsia="Arial"/>
              </w:rPr>
            </w:pPr>
            <w:r w:rsidRPr="00D866B4">
              <w:rPr>
                <w:rFonts w:eastAsia="Arial"/>
              </w:rPr>
              <w:t>Include one LFSM per Extraction Batch. Fortify with method analytes at a concentration close to but greater than the native concentrations (if known).</w:t>
            </w:r>
            <w:r w:rsidR="004B107A">
              <w:rPr>
                <w:rFonts w:eastAsia="Arial"/>
              </w:rPr>
              <w:t xml:space="preserve">  </w:t>
            </w:r>
            <w:r w:rsidR="004B107A" w:rsidRPr="004B107A">
              <w:rPr>
                <w:rFonts w:eastAsia="Arial"/>
              </w:rPr>
              <w:t>Include at least one LFSMD with each Extraction Batch.</w:t>
            </w:r>
          </w:p>
        </w:tc>
        <w:tc>
          <w:tcPr>
            <w:tcW w:w="3334" w:type="dxa"/>
            <w:tcBorders>
              <w:right w:val="single" w:sz="12" w:space="0" w:color="auto"/>
            </w:tcBorders>
          </w:tcPr>
          <w:p w14:paraId="351BCDF1" w14:textId="4F5BF07D" w:rsidR="00C602F9" w:rsidRDefault="0067315E" w:rsidP="00C602F9">
            <w:pPr>
              <w:spacing w:after="0" w:line="259" w:lineRule="auto"/>
              <w:ind w:left="0" w:right="0" w:firstLine="0"/>
              <w:rPr>
                <w:rFonts w:eastAsia="Arial"/>
              </w:rPr>
            </w:pPr>
            <w:r w:rsidRPr="0067315E">
              <w:rPr>
                <w:rFonts w:eastAsia="Arial"/>
              </w:rPr>
              <w:t>For analytes fortified at concentrations ≤2 x the MRL, the result must be within 50–150% of the true value; 70–130% of the true value if fortified at concentrations greater than 2 x the MRL.</w:t>
            </w:r>
            <w:r>
              <w:rPr>
                <w:rFonts w:eastAsia="Arial"/>
              </w:rPr>
              <w:t xml:space="preserve">  </w:t>
            </w:r>
            <w:r w:rsidRPr="0067315E">
              <w:rPr>
                <w:rFonts w:eastAsia="Arial"/>
              </w:rPr>
              <w:t>For LFSMD, relative percent differences must be ≤30% (≤50% if analyte concentration ≤2 x the MRL).</w:t>
            </w:r>
          </w:p>
        </w:tc>
      </w:tr>
      <w:tr w:rsidR="00C602F9" w14:paraId="5C4CFAD4" w14:textId="77777777" w:rsidTr="00A05B4A">
        <w:tc>
          <w:tcPr>
            <w:tcW w:w="3333" w:type="dxa"/>
            <w:tcBorders>
              <w:bottom w:val="single" w:sz="12" w:space="0" w:color="auto"/>
            </w:tcBorders>
          </w:tcPr>
          <w:p w14:paraId="6C0D25E3" w14:textId="5E086387" w:rsidR="00C602F9" w:rsidRDefault="00C9272B" w:rsidP="00C602F9">
            <w:pPr>
              <w:spacing w:after="0" w:line="259" w:lineRule="auto"/>
              <w:ind w:left="0" w:right="0" w:firstLine="0"/>
              <w:rPr>
                <w:rFonts w:eastAsia="Arial"/>
              </w:rPr>
            </w:pPr>
            <w:r>
              <w:rPr>
                <w:rFonts w:eastAsia="Arial"/>
              </w:rPr>
              <w:t>8327</w:t>
            </w:r>
          </w:p>
        </w:tc>
        <w:tc>
          <w:tcPr>
            <w:tcW w:w="3333" w:type="dxa"/>
            <w:tcBorders>
              <w:bottom w:val="single" w:sz="12" w:space="0" w:color="auto"/>
            </w:tcBorders>
          </w:tcPr>
          <w:p w14:paraId="4F73640F" w14:textId="14E3F07D" w:rsidR="00C602F9" w:rsidRDefault="007C489B" w:rsidP="00C602F9">
            <w:pPr>
              <w:spacing w:after="0" w:line="259" w:lineRule="auto"/>
              <w:ind w:left="0" w:right="0" w:firstLine="0"/>
              <w:rPr>
                <w:rFonts w:eastAsia="Arial"/>
              </w:rPr>
            </w:pPr>
            <w:r w:rsidRPr="007C489B">
              <w:rPr>
                <w:rFonts w:eastAsia="Arial"/>
              </w:rPr>
              <w:t>One set per preparation of 20 or fewer field samples (if sufficient replicate samples are provided)</w:t>
            </w:r>
          </w:p>
        </w:tc>
        <w:tc>
          <w:tcPr>
            <w:tcW w:w="3334" w:type="dxa"/>
            <w:tcBorders>
              <w:bottom w:val="single" w:sz="12" w:space="0" w:color="auto"/>
              <w:right w:val="single" w:sz="12" w:space="0" w:color="auto"/>
            </w:tcBorders>
          </w:tcPr>
          <w:p w14:paraId="18D27130" w14:textId="7DBBD64E" w:rsidR="00C602F9" w:rsidRDefault="00095FD9" w:rsidP="00C602F9">
            <w:pPr>
              <w:spacing w:after="0" w:line="259" w:lineRule="auto"/>
              <w:ind w:left="0" w:right="0" w:firstLine="0"/>
              <w:rPr>
                <w:rFonts w:eastAsia="Arial"/>
              </w:rPr>
            </w:pPr>
            <w:r w:rsidRPr="00095FD9">
              <w:rPr>
                <w:rFonts w:eastAsia="Arial"/>
              </w:rPr>
              <w:t xml:space="preserve">Meets laboratory derived </w:t>
            </w:r>
            <w:proofErr w:type="gramStart"/>
            <w:r w:rsidRPr="00095FD9">
              <w:rPr>
                <w:rFonts w:eastAsia="Arial"/>
              </w:rPr>
              <w:t>or</w:t>
            </w:r>
            <w:proofErr w:type="gramEnd"/>
            <w:r w:rsidRPr="00095FD9">
              <w:rPr>
                <w:rFonts w:eastAsia="Arial"/>
              </w:rPr>
              <w:t xml:space="preserve"> project specific recovery and RPD criteria</w:t>
            </w:r>
            <w:r w:rsidR="00B67A33">
              <w:rPr>
                <w:rFonts w:eastAsia="Arial"/>
              </w:rPr>
              <w:t>.</w:t>
            </w:r>
          </w:p>
        </w:tc>
      </w:tr>
    </w:tbl>
    <w:p w14:paraId="1A9FAFC8" w14:textId="77777777" w:rsidR="00FE59E9" w:rsidRDefault="00FE59E9" w:rsidP="0031290A">
      <w:pPr>
        <w:spacing w:after="0" w:line="259" w:lineRule="auto"/>
        <w:ind w:left="1532" w:right="0" w:firstLine="0"/>
      </w:pPr>
    </w:p>
    <w:p w14:paraId="3A1B2AC6" w14:textId="77777777" w:rsidR="0031290A" w:rsidRPr="00AC4249" w:rsidRDefault="0031290A" w:rsidP="00D322B0">
      <w:pPr>
        <w:numPr>
          <w:ilvl w:val="0"/>
          <w:numId w:val="136"/>
        </w:numPr>
        <w:spacing w:after="16"/>
        <w:ind w:left="720" w:right="186"/>
        <w:rPr>
          <w:b/>
          <w:bCs/>
        </w:rPr>
      </w:pPr>
      <w:r w:rsidRPr="00FC02C5">
        <w:rPr>
          <w:b/>
          <w:bCs/>
        </w:rPr>
        <w:t>Analysis of Surrogates</w:t>
      </w:r>
      <w:r w:rsidRPr="00AC4249">
        <w:rPr>
          <w:b/>
          <w:bCs/>
        </w:rPr>
        <w:t xml:space="preserve"> </w:t>
      </w:r>
    </w:p>
    <w:p w14:paraId="05B2FFDF" w14:textId="77777777" w:rsidR="00527C7F" w:rsidRDefault="00527C7F" w:rsidP="00D322B0">
      <w:pPr>
        <w:ind w:left="720" w:right="255"/>
      </w:pPr>
    </w:p>
    <w:p w14:paraId="12C6971D" w14:textId="77777777" w:rsidR="00E61B33" w:rsidRDefault="00C0448D" w:rsidP="00D322B0">
      <w:pPr>
        <w:ind w:left="720" w:right="255"/>
      </w:pPr>
      <w:r>
        <w:rPr>
          <w:u w:val="single"/>
        </w:rPr>
        <w:t>General Requirements for Surrogates (All Methods)</w:t>
      </w:r>
    </w:p>
    <w:p w14:paraId="272C4565" w14:textId="34E365D6" w:rsidR="009069BA" w:rsidRPr="00D322B0" w:rsidRDefault="00C0448D" w:rsidP="00D322B0">
      <w:pPr>
        <w:ind w:left="720" w:right="255"/>
        <w:rPr>
          <w:u w:val="single"/>
        </w:rPr>
      </w:pPr>
      <w:r>
        <w:rPr>
          <w:u w:val="single"/>
        </w:rPr>
        <w:t xml:space="preserve"> </w:t>
      </w:r>
    </w:p>
    <w:p w14:paraId="20D8AE18" w14:textId="7328F7B0" w:rsidR="00F35960" w:rsidRDefault="00FB36A1" w:rsidP="00D322B0">
      <w:pPr>
        <w:ind w:left="720" w:right="255"/>
      </w:pPr>
      <w:r w:rsidRPr="00FB36A1">
        <w:t>Method 1633A and Method 533 do not typically include analysis of surrogates.</w:t>
      </w:r>
    </w:p>
    <w:p w14:paraId="1E81D7C2" w14:textId="77777777" w:rsidR="00A71AB4" w:rsidRDefault="00A71AB4" w:rsidP="00D322B0">
      <w:pPr>
        <w:ind w:left="720" w:right="255"/>
      </w:pPr>
    </w:p>
    <w:p w14:paraId="092C3F7D" w14:textId="56A28353" w:rsidR="00196047" w:rsidRDefault="00196047" w:rsidP="00D322B0">
      <w:pPr>
        <w:ind w:left="720" w:right="255"/>
      </w:pPr>
      <w:r w:rsidRPr="00196047">
        <w:t>Surrogates must be spiked into samples as directed in the appropriate analytical methods.  The concentration of the surrogate spiking solution and final concentration of surrogate in the samples must be appropriate to the project DQOs.</w:t>
      </w:r>
    </w:p>
    <w:p w14:paraId="43D702E8" w14:textId="77777777" w:rsidR="00196047" w:rsidRDefault="00196047" w:rsidP="00D322B0">
      <w:pPr>
        <w:ind w:left="720" w:right="255"/>
      </w:pPr>
    </w:p>
    <w:p w14:paraId="79F3FF23" w14:textId="62F180FA" w:rsidR="00F50D29" w:rsidRDefault="00F50D29" w:rsidP="00D322B0">
      <w:pPr>
        <w:ind w:left="720" w:right="255"/>
      </w:pPr>
      <w:r w:rsidRPr="00F50D29">
        <w:t xml:space="preserve">The Contractor shall take the actions listed below if recovery of any surrogate compound is outside of the </w:t>
      </w:r>
      <w:r w:rsidR="009F0FAA">
        <w:t xml:space="preserve">method-specific </w:t>
      </w:r>
      <w:r w:rsidRPr="00F50D29">
        <w:t xml:space="preserve">surrogate recovery limits required in TABLE </w:t>
      </w:r>
      <w:r w:rsidR="00087739">
        <w:t>44</w:t>
      </w:r>
      <w:r w:rsidRPr="00F50D29">
        <w:t>.</w:t>
      </w:r>
    </w:p>
    <w:p w14:paraId="2DA12167" w14:textId="77777777" w:rsidR="009F0FAA" w:rsidRDefault="009F0FAA" w:rsidP="00E64BB6">
      <w:pPr>
        <w:ind w:left="720" w:right="255"/>
      </w:pPr>
    </w:p>
    <w:p w14:paraId="21FE02FF" w14:textId="07CBEB6D" w:rsidR="009F0FAA" w:rsidRDefault="003E6A7D" w:rsidP="00716979">
      <w:pPr>
        <w:pStyle w:val="ListParagraph"/>
        <w:numPr>
          <w:ilvl w:val="0"/>
          <w:numId w:val="172"/>
        </w:numPr>
        <w:ind w:left="1800" w:right="255"/>
      </w:pPr>
      <w:r w:rsidRPr="003E6A7D">
        <w:t xml:space="preserve">Check calculations to ensure that there are no errors; check internal </w:t>
      </w:r>
      <w:proofErr w:type="gramStart"/>
      <w:r w:rsidRPr="003E6A7D">
        <w:t>standard</w:t>
      </w:r>
      <w:proofErr w:type="gramEnd"/>
      <w:r w:rsidRPr="003E6A7D">
        <w:t xml:space="preserve"> and surrogate spiking solutions for degradation, contamination, etc.  Also, check instrument performance.</w:t>
      </w:r>
    </w:p>
    <w:p w14:paraId="24EB262A" w14:textId="1697D4CA" w:rsidR="003E6A7D" w:rsidRDefault="003E6A7D" w:rsidP="00220C94">
      <w:pPr>
        <w:pStyle w:val="ListParagraph"/>
        <w:numPr>
          <w:ilvl w:val="0"/>
          <w:numId w:val="172"/>
        </w:numPr>
        <w:ind w:left="1800" w:right="255"/>
      </w:pPr>
      <w:r w:rsidRPr="003E6A7D">
        <w:t>If the above steps fail to identify the problem, then reanalyze the sample or sample extract.</w:t>
      </w:r>
    </w:p>
    <w:p w14:paraId="3711351C" w14:textId="4E0CB227" w:rsidR="003E6A7D" w:rsidRDefault="00E361F8" w:rsidP="00220C94">
      <w:pPr>
        <w:pStyle w:val="ListParagraph"/>
        <w:numPr>
          <w:ilvl w:val="0"/>
          <w:numId w:val="172"/>
        </w:numPr>
        <w:ind w:left="1800" w:right="255"/>
      </w:pPr>
      <w:r w:rsidRPr="00E361F8">
        <w:t>If, after the above steps are followed, surrogate recoveries still do not meet control criteria, the analyst should check the calibration by injecting the last calibration standard that passed.  If the calibration standard fails the method criteria, then recalibration is in order.  If the calibration standard is acceptable, then re-extract and reanalyze the sample, provided the sample is still within the holding time.</w:t>
      </w:r>
    </w:p>
    <w:p w14:paraId="02B5ABC9" w14:textId="7721F3D6" w:rsidR="00E361F8" w:rsidRDefault="00E361F8" w:rsidP="00220C94">
      <w:pPr>
        <w:pStyle w:val="ListParagraph"/>
        <w:numPr>
          <w:ilvl w:val="0"/>
          <w:numId w:val="172"/>
        </w:numPr>
        <w:ind w:left="1800" w:right="255"/>
      </w:pPr>
      <w:r w:rsidRPr="00E361F8">
        <w:t xml:space="preserve">If re-extraction and/or reanalysis of the sample does not solve the problem (i.e., surrogate recoveries are outside the requirements for both analyses), then submit the surrogate spike recovery data and the sample data from </w:t>
      </w:r>
      <w:r w:rsidRPr="00E361F8">
        <w:rPr>
          <w:u w:val="single"/>
        </w:rPr>
        <w:t>both</w:t>
      </w:r>
      <w:r w:rsidRPr="00E361F8">
        <w:t xml:space="preserve"> analyses.  Distinguish between the initial analysis and the reanalysis on all data deliverables.</w:t>
      </w:r>
    </w:p>
    <w:p w14:paraId="5CA01243" w14:textId="77777777" w:rsidR="009F0FAA" w:rsidRDefault="009F0FAA" w:rsidP="00220C94">
      <w:pPr>
        <w:ind w:left="720" w:right="255"/>
      </w:pPr>
    </w:p>
    <w:p w14:paraId="0E386A6B" w14:textId="0A79C440" w:rsidR="00E931E2" w:rsidRDefault="00E931E2" w:rsidP="00220C94">
      <w:pPr>
        <w:ind w:left="720" w:right="255"/>
      </w:pPr>
      <w:r w:rsidRPr="00E931E2">
        <w:t xml:space="preserve">Some samples may require dilution </w:t>
      </w:r>
      <w:proofErr w:type="gramStart"/>
      <w:r w:rsidRPr="00E931E2">
        <w:t>in order to</w:t>
      </w:r>
      <w:proofErr w:type="gramEnd"/>
      <w:r w:rsidRPr="00E931E2">
        <w:t xml:space="preserve"> bring one or more target analytes within the calibration range or to overcome significant interferences with some analytes. This may result in the dilution of the surrogate responses to the point that the recoveries cannot be measured. If the surrogate recoveries are available from a </w:t>
      </w:r>
      <w:proofErr w:type="gramStart"/>
      <w:r w:rsidRPr="00E931E2">
        <w:t>less-diluted</w:t>
      </w:r>
      <w:proofErr w:type="gramEnd"/>
      <w:r w:rsidRPr="00E931E2">
        <w:t xml:space="preserve"> or undiluted aliquot of the sample or sample extract, those recoveries may be used to demonstrate that the surrogates were within the QC limits, and no further action is required. However, the results of both the diluted and undiluted (or less-diluted) analyses must be provided to the data user.</w:t>
      </w:r>
    </w:p>
    <w:p w14:paraId="36B8A37C" w14:textId="77777777" w:rsidR="00203F6F" w:rsidRDefault="00203F6F" w:rsidP="00220C94">
      <w:pPr>
        <w:ind w:left="720" w:right="255"/>
      </w:pPr>
    </w:p>
    <w:p w14:paraId="373C450E" w14:textId="41841992" w:rsidR="00203F6F" w:rsidRDefault="00411472" w:rsidP="00220C94">
      <w:pPr>
        <w:ind w:left="720" w:right="255"/>
      </w:pPr>
      <w:r w:rsidRPr="00411472">
        <w:t>Although the surrogates may be diluted out of certain sample extracts, their retention times in the calibration standards may be useful in tracking retention time shifts. Whenever the observed retention time of a surrogate is outside of the established retention time window, the analyst is advised to determine the cause and correct the problem before continuing analyses.</w:t>
      </w:r>
    </w:p>
    <w:p w14:paraId="17A014AE" w14:textId="77777777" w:rsidR="00411472" w:rsidRDefault="00411472" w:rsidP="00220C94">
      <w:pPr>
        <w:ind w:left="720" w:right="255"/>
      </w:pPr>
    </w:p>
    <w:p w14:paraId="60C34231" w14:textId="62824EAE" w:rsidR="00E61B33" w:rsidRDefault="00E61B33" w:rsidP="00220C94">
      <w:pPr>
        <w:ind w:left="720" w:right="255"/>
      </w:pPr>
      <w:r>
        <w:rPr>
          <w:u w:val="single"/>
        </w:rPr>
        <w:t>Method-speci</w:t>
      </w:r>
      <w:r w:rsidR="00717F5E">
        <w:rPr>
          <w:u w:val="single"/>
        </w:rPr>
        <w:t>fic Requirements for Surrogates</w:t>
      </w:r>
    </w:p>
    <w:p w14:paraId="1D54487E" w14:textId="77777777" w:rsidR="00717F5E" w:rsidRPr="00717F5E" w:rsidRDefault="00717F5E" w:rsidP="00220C94">
      <w:pPr>
        <w:ind w:left="720" w:right="255"/>
      </w:pPr>
    </w:p>
    <w:p w14:paraId="094BB5DC" w14:textId="77777777" w:rsidR="00095F02" w:rsidRDefault="0031290A" w:rsidP="00220C94">
      <w:pPr>
        <w:ind w:left="720" w:right="255"/>
      </w:pPr>
      <w:r>
        <w:t xml:space="preserve">The Contractor shall use the following recommended surrogates for </w:t>
      </w:r>
      <w:r w:rsidR="00E255B1">
        <w:t>LC</w:t>
      </w:r>
      <w:r>
        <w:t>/MS</w:t>
      </w:r>
      <w:r w:rsidR="00E80BEF">
        <w:t>/</w:t>
      </w:r>
      <w:r w:rsidR="00E255B1">
        <w:t>MS</w:t>
      </w:r>
      <w:r>
        <w:t xml:space="preserve"> analysis of </w:t>
      </w:r>
      <w:r w:rsidR="00E255B1">
        <w:t>PFAS</w:t>
      </w:r>
      <w:r w:rsidR="00D77EDA">
        <w:t xml:space="preserve"> by </w:t>
      </w:r>
      <w:r w:rsidR="00D77EDA" w:rsidRPr="005F4FE4">
        <w:rPr>
          <w:b/>
        </w:rPr>
        <w:t xml:space="preserve">Method </w:t>
      </w:r>
      <w:r w:rsidR="008B2FE7" w:rsidRPr="005F4FE4">
        <w:rPr>
          <w:b/>
        </w:rPr>
        <w:t>537.1</w:t>
      </w:r>
      <w:r>
        <w:t>:</w:t>
      </w:r>
    </w:p>
    <w:p w14:paraId="6D303C61" w14:textId="3ECE3ECB" w:rsidR="00F13D83" w:rsidRDefault="0031290A" w:rsidP="00220C94">
      <w:pPr>
        <w:ind w:left="720" w:right="255"/>
      </w:pPr>
      <w:r>
        <w:t xml:space="preserve"> </w:t>
      </w:r>
    </w:p>
    <w:p w14:paraId="03F16809" w14:textId="77777777" w:rsidR="001A187F" w:rsidRDefault="00EA06CA" w:rsidP="00716979">
      <w:pPr>
        <w:pStyle w:val="ListParagraph"/>
        <w:numPr>
          <w:ilvl w:val="0"/>
          <w:numId w:val="153"/>
        </w:numPr>
        <w:ind w:left="1440" w:right="255"/>
      </w:pPr>
      <w:r w:rsidRPr="00EA06CA">
        <w:t>Perfluoro-n-[1,2-</w:t>
      </w:r>
      <w:r w:rsidRPr="00E659D6">
        <w:rPr>
          <w:vertAlign w:val="superscript"/>
        </w:rPr>
        <w:t>13</w:t>
      </w:r>
      <w:r w:rsidRPr="00EA06CA">
        <w:t>C</w:t>
      </w:r>
      <w:proofErr w:type="gramStart"/>
      <w:r w:rsidRPr="00E659D6">
        <w:rPr>
          <w:vertAlign w:val="subscript"/>
        </w:rPr>
        <w:t>2</w:t>
      </w:r>
      <w:r w:rsidRPr="00EA06CA">
        <w:t>]hexanoic</w:t>
      </w:r>
      <w:proofErr w:type="gramEnd"/>
      <w:r w:rsidRPr="00EA06CA">
        <w:t xml:space="preserve"> acid</w:t>
      </w:r>
      <w:r w:rsidR="00D14532">
        <w:t xml:space="preserve"> (</w:t>
      </w:r>
      <w:r w:rsidR="008C4F2B" w:rsidRPr="00E659D6">
        <w:rPr>
          <w:vertAlign w:val="superscript"/>
        </w:rPr>
        <w:t>13</w:t>
      </w:r>
      <w:r w:rsidR="008C4F2B" w:rsidRPr="008C4F2B">
        <w:t>C</w:t>
      </w:r>
      <w:r w:rsidR="008C4F2B" w:rsidRPr="00E659D6">
        <w:rPr>
          <w:vertAlign w:val="subscript"/>
        </w:rPr>
        <w:t>2</w:t>
      </w:r>
      <w:r w:rsidR="008C4F2B" w:rsidRPr="008C4F2B">
        <w:t>-PFHxA</w:t>
      </w:r>
      <w:r w:rsidR="008C4F2B">
        <w:t>)</w:t>
      </w:r>
    </w:p>
    <w:p w14:paraId="0B96FDFC" w14:textId="77777777" w:rsidR="001532B5" w:rsidRDefault="00C66B97" w:rsidP="005F4FE4">
      <w:pPr>
        <w:pStyle w:val="ListParagraph"/>
        <w:numPr>
          <w:ilvl w:val="0"/>
          <w:numId w:val="153"/>
        </w:numPr>
        <w:ind w:left="1440" w:right="255"/>
      </w:pPr>
      <w:r w:rsidRPr="00C66B97">
        <w:t>Perfluoro-n-[1,2-</w:t>
      </w:r>
      <w:r w:rsidRPr="00E659D6">
        <w:rPr>
          <w:vertAlign w:val="superscript"/>
        </w:rPr>
        <w:t>13</w:t>
      </w:r>
      <w:r w:rsidRPr="00C66B97">
        <w:t>C</w:t>
      </w:r>
      <w:proofErr w:type="gramStart"/>
      <w:r w:rsidRPr="00E659D6">
        <w:rPr>
          <w:vertAlign w:val="subscript"/>
        </w:rPr>
        <w:t>2</w:t>
      </w:r>
      <w:r w:rsidRPr="00C66B97">
        <w:t>]decanoic</w:t>
      </w:r>
      <w:proofErr w:type="gramEnd"/>
      <w:r w:rsidRPr="00C66B97">
        <w:t xml:space="preserve"> acid</w:t>
      </w:r>
      <w:r w:rsidR="008C4F2B">
        <w:t xml:space="preserve"> </w:t>
      </w:r>
      <w:r>
        <w:t>(</w:t>
      </w:r>
      <w:r w:rsidR="001532B5" w:rsidRPr="00E659D6">
        <w:rPr>
          <w:vertAlign w:val="superscript"/>
        </w:rPr>
        <w:t>13</w:t>
      </w:r>
      <w:r w:rsidR="001532B5" w:rsidRPr="001532B5">
        <w:t>C</w:t>
      </w:r>
      <w:r w:rsidR="001532B5" w:rsidRPr="00E659D6">
        <w:rPr>
          <w:vertAlign w:val="subscript"/>
        </w:rPr>
        <w:t>2</w:t>
      </w:r>
      <w:r w:rsidR="001532B5" w:rsidRPr="001532B5">
        <w:t>-PFDA</w:t>
      </w:r>
      <w:r w:rsidR="001532B5">
        <w:t>)</w:t>
      </w:r>
    </w:p>
    <w:p w14:paraId="6787BAEE" w14:textId="77777777" w:rsidR="00FF1D26" w:rsidRDefault="005F4994" w:rsidP="005F4FE4">
      <w:pPr>
        <w:pStyle w:val="ListParagraph"/>
        <w:numPr>
          <w:ilvl w:val="0"/>
          <w:numId w:val="153"/>
        </w:numPr>
        <w:ind w:left="1440" w:right="255"/>
      </w:pPr>
      <w:r w:rsidRPr="005F4994">
        <w:t>N-deuterioethylperfluoro-1-octanesulfonamidoacetic acid</w:t>
      </w:r>
      <w:r w:rsidR="00BA48CB">
        <w:t xml:space="preserve"> (</w:t>
      </w:r>
      <w:r w:rsidR="00BA48CB" w:rsidRPr="00BA48CB">
        <w:t>d</w:t>
      </w:r>
      <w:r w:rsidR="00BA48CB" w:rsidRPr="00E659D6">
        <w:rPr>
          <w:vertAlign w:val="subscript"/>
        </w:rPr>
        <w:t>5</w:t>
      </w:r>
      <w:r w:rsidR="00BA48CB" w:rsidRPr="00BA48CB">
        <w:t>-NEtFOSAA</w:t>
      </w:r>
      <w:r w:rsidR="00BA48CB">
        <w:t>)</w:t>
      </w:r>
      <w:r w:rsidR="00FF1D26">
        <w:t xml:space="preserve"> </w:t>
      </w:r>
    </w:p>
    <w:p w14:paraId="2C3DB4D2" w14:textId="77777777" w:rsidR="00E80BEF" w:rsidRDefault="004C4736" w:rsidP="00716979">
      <w:pPr>
        <w:pStyle w:val="ListParagraph"/>
        <w:numPr>
          <w:ilvl w:val="0"/>
          <w:numId w:val="153"/>
        </w:numPr>
        <w:ind w:left="1440" w:right="255"/>
      </w:pPr>
      <w:r w:rsidRPr="004C4736">
        <w:t>Tetrafluoro-2-heptafluoropropoxy-</w:t>
      </w:r>
      <w:r w:rsidRPr="00E659D6">
        <w:rPr>
          <w:vertAlign w:val="superscript"/>
        </w:rPr>
        <w:t>13</w:t>
      </w:r>
      <w:r w:rsidRPr="004C4736">
        <w:t>C</w:t>
      </w:r>
      <w:r w:rsidRPr="00E659D6">
        <w:rPr>
          <w:vertAlign w:val="subscript"/>
        </w:rPr>
        <w:t>3</w:t>
      </w:r>
      <w:r w:rsidRPr="004C4736">
        <w:t>-propanoic acid</w:t>
      </w:r>
      <w:r w:rsidR="0019770D">
        <w:t xml:space="preserve"> </w:t>
      </w:r>
      <w:r>
        <w:t>(</w:t>
      </w:r>
      <w:r w:rsidR="00D65A1E" w:rsidRPr="00E659D6">
        <w:rPr>
          <w:vertAlign w:val="superscript"/>
        </w:rPr>
        <w:t>13</w:t>
      </w:r>
      <w:r w:rsidR="00D65A1E" w:rsidRPr="00D65A1E">
        <w:t>C</w:t>
      </w:r>
      <w:r w:rsidR="00D65A1E" w:rsidRPr="00E659D6">
        <w:rPr>
          <w:vertAlign w:val="subscript"/>
        </w:rPr>
        <w:t>3</w:t>
      </w:r>
      <w:r w:rsidR="00D65A1E" w:rsidRPr="00D65A1E">
        <w:t>-HFPO-DA</w:t>
      </w:r>
      <w:r w:rsidR="00D65A1E">
        <w:t>)</w:t>
      </w:r>
      <w:r>
        <w:t xml:space="preserve"> </w:t>
      </w:r>
    </w:p>
    <w:p w14:paraId="75F496E5" w14:textId="77777777" w:rsidR="008B2D1D" w:rsidRDefault="008B2D1D" w:rsidP="005F4FE4">
      <w:pPr>
        <w:pStyle w:val="ListParagraph"/>
        <w:ind w:left="1170" w:right="255" w:firstLine="0"/>
      </w:pPr>
    </w:p>
    <w:p w14:paraId="3F44CDB0" w14:textId="41016BCF" w:rsidR="0031290A" w:rsidRDefault="00DC3E26" w:rsidP="00370563">
      <w:pPr>
        <w:ind w:left="720" w:right="255" w:firstLine="0"/>
      </w:pPr>
      <w:r>
        <w:t>Although alternate</w:t>
      </w:r>
      <w:r w:rsidR="003D3F21">
        <w:t xml:space="preserve"> surrogates</w:t>
      </w:r>
      <w:r w:rsidR="008252CD">
        <w:t xml:space="preserve"> may be used </w:t>
      </w:r>
      <w:proofErr w:type="gramStart"/>
      <w:r w:rsidR="005C2808">
        <w:t>provided</w:t>
      </w:r>
      <w:proofErr w:type="gramEnd"/>
      <w:r w:rsidR="005C2808">
        <w:t xml:space="preserve"> they are</w:t>
      </w:r>
      <w:r w:rsidR="00746F28">
        <w:t xml:space="preserve"> </w:t>
      </w:r>
      <w:r w:rsidR="00746F28" w:rsidRPr="00746F28">
        <w:t xml:space="preserve">isotopically labeled compounds with similar functional groups as the method analytes, the </w:t>
      </w:r>
      <w:r w:rsidR="00D04906">
        <w:t>Contractor</w:t>
      </w:r>
      <w:r w:rsidR="00746F28" w:rsidRPr="00746F28">
        <w:t xml:space="preserve"> must have documented reasons for using alternate </w:t>
      </w:r>
      <w:r w:rsidR="00D04906">
        <w:t>surrogates</w:t>
      </w:r>
      <w:r w:rsidR="0031290A">
        <w:t>.</w:t>
      </w:r>
      <w:r w:rsidR="00A60DFD">
        <w:t xml:space="preserve">  </w:t>
      </w:r>
      <w:r w:rsidR="0031134F" w:rsidRPr="0031134F">
        <w:t xml:space="preserve">The </w:t>
      </w:r>
      <w:proofErr w:type="gramStart"/>
      <w:r w:rsidR="0031134F" w:rsidRPr="0031134F">
        <w:t>alternate</w:t>
      </w:r>
      <w:proofErr w:type="gramEnd"/>
      <w:r w:rsidR="0031134F" w:rsidRPr="0031134F">
        <w:t xml:space="preserve"> </w:t>
      </w:r>
      <w:r w:rsidR="0031134F">
        <w:t>surrogate</w:t>
      </w:r>
      <w:r w:rsidR="0031134F" w:rsidRPr="0031134F">
        <w:t>s chosen must still span the water solubility range of the method analytes</w:t>
      </w:r>
      <w:r w:rsidR="00E85027">
        <w:t>.</w:t>
      </w:r>
      <w:r w:rsidR="0031290A">
        <w:t xml:space="preserve">  Every blank, standard, and environmental sample (including matrix spike/matrix spike duplicate and matrix duplicate samples) must be spiked with surrogate compounds prior to purging or extraction.   </w:t>
      </w:r>
    </w:p>
    <w:p w14:paraId="7613A6C4" w14:textId="7700C116" w:rsidR="003E20AD" w:rsidRDefault="003E20AD" w:rsidP="00370563">
      <w:pPr>
        <w:spacing w:after="0"/>
        <w:ind w:left="720" w:right="259" w:hanging="14"/>
      </w:pPr>
    </w:p>
    <w:p w14:paraId="48E599D0" w14:textId="54E7D580" w:rsidR="00137A44" w:rsidRDefault="00D171A7" w:rsidP="00370563">
      <w:pPr>
        <w:spacing w:after="0"/>
        <w:ind w:left="720" w:right="259" w:hanging="14"/>
      </w:pPr>
      <w:r w:rsidRPr="00D171A7">
        <w:t xml:space="preserve">The Contractor shall choose surrogates </w:t>
      </w:r>
      <w:r w:rsidR="00A06A2E">
        <w:t>from the list of e</w:t>
      </w:r>
      <w:r w:rsidR="004448AA">
        <w:t>xamples of isotopically</w:t>
      </w:r>
      <w:r w:rsidR="00DB6F35">
        <w:t xml:space="preserve"> labeled PFAS surrogates </w:t>
      </w:r>
      <w:r w:rsidR="003749D0">
        <w:t>(and recommended target analy</w:t>
      </w:r>
      <w:r w:rsidR="004F132F">
        <w:t xml:space="preserve">te associations) </w:t>
      </w:r>
      <w:r w:rsidR="00DB6F35">
        <w:t xml:space="preserve">for LC/MS/MS analysis of PFAS </w:t>
      </w:r>
      <w:r w:rsidR="00527C30">
        <w:t xml:space="preserve">by </w:t>
      </w:r>
      <w:r w:rsidR="00527C30" w:rsidRPr="005F4FE4">
        <w:rPr>
          <w:b/>
        </w:rPr>
        <w:lastRenderedPageBreak/>
        <w:t>Method 8327</w:t>
      </w:r>
      <w:r w:rsidR="00C91644">
        <w:t xml:space="preserve">, as shown on Table 5 of the </w:t>
      </w:r>
      <w:r w:rsidR="006766C0">
        <w:t>method</w:t>
      </w:r>
      <w:r w:rsidR="00387DA2">
        <w:t>.</w:t>
      </w:r>
      <w:r w:rsidR="003A5B87">
        <w:t xml:space="preserve">  </w:t>
      </w:r>
      <w:r w:rsidR="003A5B87" w:rsidRPr="003A5B87">
        <w:t>The percent recovery of each surrogate should fall within the acceptance criteria, especially for QC samples prepared in clean matrices like reagent water (e.g., MB, LCS, LLOQ verification). If multiple surrogates fail to meet the acceptance criteria and/or the target analytes associated with the failing surrogate(s) are important to the project, reanalysis and/or repreparation of samples may be warranted. Otherwise, the associated target analytes may be reported with appropriate data qualifiers.</w:t>
      </w:r>
    </w:p>
    <w:p w14:paraId="7C29FB74" w14:textId="77777777" w:rsidR="00137A44" w:rsidRDefault="00137A44" w:rsidP="00370563">
      <w:pPr>
        <w:spacing w:after="0"/>
        <w:ind w:left="720" w:right="259" w:hanging="14"/>
      </w:pPr>
    </w:p>
    <w:p w14:paraId="2FA470FD" w14:textId="56D7C8F9" w:rsidR="00846087" w:rsidRDefault="009B5919" w:rsidP="00370563">
      <w:pPr>
        <w:spacing w:after="0"/>
        <w:ind w:left="720" w:right="259" w:hanging="14"/>
      </w:pPr>
      <w:r w:rsidRPr="009B5919">
        <w:t xml:space="preserve">The Contractor must confirm that the method-specific criteria summarized in TABLE </w:t>
      </w:r>
      <w:r w:rsidR="00322D99">
        <w:t>44</w:t>
      </w:r>
      <w:r w:rsidRPr="009B5919">
        <w:t xml:space="preserve"> have been met for the </w:t>
      </w:r>
      <w:r w:rsidR="00227642">
        <w:t>Surrogate</w:t>
      </w:r>
      <w:r w:rsidRPr="009B5919">
        <w:t xml:space="preserve"> results to be valid.</w:t>
      </w:r>
    </w:p>
    <w:p w14:paraId="12FC30AC" w14:textId="77777777" w:rsidR="004F41C0" w:rsidRPr="00846087" w:rsidRDefault="004F41C0" w:rsidP="00370563">
      <w:pPr>
        <w:spacing w:after="0"/>
        <w:ind w:left="720" w:right="259" w:hanging="14"/>
      </w:pPr>
    </w:p>
    <w:p w14:paraId="1E024323" w14:textId="7807F17C" w:rsidR="0031290A" w:rsidRDefault="0031290A" w:rsidP="0031290A">
      <w:pPr>
        <w:pStyle w:val="Heading5"/>
        <w:ind w:left="1024" w:right="233"/>
      </w:pPr>
      <w:r>
        <w:t xml:space="preserve">TABLE </w:t>
      </w:r>
      <w:r w:rsidR="00322D99">
        <w:t>44</w:t>
      </w:r>
      <w:r w:rsidR="00C32420">
        <w:t xml:space="preserve"> </w:t>
      </w:r>
    </w:p>
    <w:tbl>
      <w:tblPr>
        <w:tblStyle w:val="TableGrid1"/>
        <w:tblW w:w="10980" w:type="dxa"/>
        <w:tblInd w:w="-195" w:type="dxa"/>
        <w:tblCellMar>
          <w:top w:w="22" w:type="dxa"/>
          <w:left w:w="137" w:type="dxa"/>
          <w:bottom w:w="75" w:type="dxa"/>
          <w:right w:w="115" w:type="dxa"/>
        </w:tblCellMar>
        <w:tblLook w:val="04A0" w:firstRow="1" w:lastRow="0" w:firstColumn="1" w:lastColumn="0" w:noHBand="0" w:noVBand="1"/>
      </w:tblPr>
      <w:tblGrid>
        <w:gridCol w:w="2790"/>
        <w:gridCol w:w="3366"/>
        <w:gridCol w:w="4824"/>
      </w:tblGrid>
      <w:tr w:rsidR="004F41C0" w14:paraId="6FED2764" w14:textId="77777777" w:rsidTr="004F41C0">
        <w:trPr>
          <w:trHeight w:val="362"/>
        </w:trPr>
        <w:tc>
          <w:tcPr>
            <w:tcW w:w="10980" w:type="dxa"/>
            <w:gridSpan w:val="3"/>
            <w:tcBorders>
              <w:top w:val="single" w:sz="12" w:space="0" w:color="000000"/>
              <w:left w:val="single" w:sz="12" w:space="0" w:color="000000"/>
              <w:bottom w:val="single" w:sz="12" w:space="0" w:color="000000"/>
              <w:right w:val="single" w:sz="12" w:space="0" w:color="000000"/>
            </w:tcBorders>
            <w:vAlign w:val="center"/>
          </w:tcPr>
          <w:p w14:paraId="34C475EF" w14:textId="4A35103E" w:rsidR="0082106F" w:rsidRDefault="0082106F" w:rsidP="00577B83">
            <w:pPr>
              <w:pStyle w:val="Heading6"/>
              <w:spacing w:after="14" w:line="248" w:lineRule="auto"/>
              <w:ind w:left="-50" w:right="-23"/>
              <w:jc w:val="center"/>
            </w:pPr>
            <w:r>
              <w:t>Required Surrogate Spike Control Criteria for PFAS Analysis by</w:t>
            </w:r>
            <w:r w:rsidDel="0082106F">
              <w:t xml:space="preserve"> </w:t>
            </w:r>
            <w:r w:rsidR="004E3530" w:rsidRPr="004E3530">
              <w:t xml:space="preserve">Method 537.1 </w:t>
            </w:r>
          </w:p>
        </w:tc>
      </w:tr>
      <w:tr w:rsidR="00C613DE" w14:paraId="6EC162F2" w14:textId="77777777" w:rsidTr="00401237">
        <w:trPr>
          <w:trHeight w:val="245"/>
        </w:trPr>
        <w:tc>
          <w:tcPr>
            <w:tcW w:w="2790" w:type="dxa"/>
            <w:tcBorders>
              <w:top w:val="single" w:sz="12" w:space="0" w:color="000000"/>
              <w:left w:val="single" w:sz="12" w:space="0" w:color="000000"/>
              <w:bottom w:val="single" w:sz="12" w:space="0" w:color="000000"/>
              <w:right w:val="single" w:sz="12" w:space="0" w:color="000000"/>
            </w:tcBorders>
            <w:vAlign w:val="center"/>
          </w:tcPr>
          <w:p w14:paraId="5F5FEDFF" w14:textId="250CEBC4" w:rsidR="005C6CC6" w:rsidRPr="00D04A52" w:rsidRDefault="005C6CC6" w:rsidP="00F773FA">
            <w:pPr>
              <w:spacing w:after="0" w:line="259" w:lineRule="auto"/>
              <w:ind w:left="0" w:right="20" w:firstLine="0"/>
              <w:rPr>
                <w:b/>
                <w:iCs/>
              </w:rPr>
            </w:pPr>
            <w:r w:rsidRPr="00D04A52">
              <w:rPr>
                <w:b/>
                <w:iCs/>
              </w:rPr>
              <w:t>Matrix:</w:t>
            </w:r>
          </w:p>
        </w:tc>
        <w:tc>
          <w:tcPr>
            <w:tcW w:w="3366" w:type="dxa"/>
            <w:tcBorders>
              <w:top w:val="single" w:sz="12" w:space="0" w:color="000000"/>
              <w:left w:val="single" w:sz="12" w:space="0" w:color="000000"/>
              <w:bottom w:val="single" w:sz="12" w:space="0" w:color="000000"/>
              <w:right w:val="single" w:sz="12" w:space="0" w:color="000000"/>
            </w:tcBorders>
            <w:vAlign w:val="center"/>
          </w:tcPr>
          <w:p w14:paraId="7E3A3D41" w14:textId="6C7D9D80" w:rsidR="005C6CC6" w:rsidRPr="00D04A52" w:rsidRDefault="005C6CC6">
            <w:pPr>
              <w:spacing w:after="0" w:line="259" w:lineRule="auto"/>
              <w:ind w:left="0" w:right="21" w:firstLine="0"/>
              <w:jc w:val="center"/>
              <w:rPr>
                <w:b/>
              </w:rPr>
            </w:pPr>
            <w:r w:rsidRPr="00D04A52">
              <w:rPr>
                <w:b/>
              </w:rPr>
              <w:t>Water</w:t>
            </w:r>
          </w:p>
        </w:tc>
        <w:tc>
          <w:tcPr>
            <w:tcW w:w="4824" w:type="dxa"/>
            <w:tcBorders>
              <w:top w:val="single" w:sz="12" w:space="0" w:color="000000"/>
              <w:left w:val="single" w:sz="12" w:space="0" w:color="000000"/>
              <w:bottom w:val="single" w:sz="12" w:space="0" w:color="000000"/>
              <w:right w:val="single" w:sz="12" w:space="0" w:color="000000"/>
            </w:tcBorders>
            <w:vAlign w:val="center"/>
          </w:tcPr>
          <w:p w14:paraId="1B4CDCDA" w14:textId="576410C2" w:rsidR="005C6CC6" w:rsidRPr="00D04A52" w:rsidRDefault="005C6CC6">
            <w:pPr>
              <w:spacing w:after="0" w:line="259" w:lineRule="auto"/>
              <w:ind w:left="0" w:right="23" w:firstLine="0"/>
              <w:jc w:val="center"/>
              <w:rPr>
                <w:b/>
              </w:rPr>
            </w:pPr>
            <w:r w:rsidRPr="00D04A52">
              <w:rPr>
                <w:b/>
              </w:rPr>
              <w:t>Soil &amp; Other Matrices</w:t>
            </w:r>
          </w:p>
        </w:tc>
      </w:tr>
      <w:tr w:rsidR="00C613DE" w14:paraId="1C3FB038" w14:textId="77777777" w:rsidTr="0014389B">
        <w:trPr>
          <w:trHeight w:val="461"/>
        </w:trPr>
        <w:tc>
          <w:tcPr>
            <w:tcW w:w="2790" w:type="dxa"/>
            <w:tcBorders>
              <w:top w:val="single" w:sz="12" w:space="0" w:color="000000"/>
              <w:left w:val="single" w:sz="12" w:space="0" w:color="000000"/>
              <w:bottom w:val="single" w:sz="12" w:space="0" w:color="000000"/>
              <w:right w:val="single" w:sz="12" w:space="0" w:color="000000"/>
            </w:tcBorders>
            <w:vAlign w:val="center"/>
          </w:tcPr>
          <w:p w14:paraId="780D11CC" w14:textId="77777777" w:rsidR="0031290A" w:rsidRPr="00502A41" w:rsidRDefault="0031290A">
            <w:pPr>
              <w:spacing w:after="0" w:line="259" w:lineRule="auto"/>
              <w:ind w:left="0" w:right="22" w:firstLine="0"/>
              <w:jc w:val="center"/>
            </w:pPr>
            <w:r w:rsidRPr="00D04A52">
              <w:rPr>
                <w:b/>
              </w:rPr>
              <w:t>Compound</w:t>
            </w:r>
          </w:p>
        </w:tc>
        <w:tc>
          <w:tcPr>
            <w:tcW w:w="3366" w:type="dxa"/>
            <w:tcBorders>
              <w:top w:val="single" w:sz="12" w:space="0" w:color="000000"/>
              <w:left w:val="single" w:sz="12" w:space="0" w:color="000000"/>
              <w:bottom w:val="single" w:sz="12" w:space="0" w:color="000000"/>
              <w:right w:val="single" w:sz="12" w:space="0" w:color="000000"/>
            </w:tcBorders>
            <w:vAlign w:val="center"/>
          </w:tcPr>
          <w:p w14:paraId="2870C3A9" w14:textId="77777777" w:rsidR="0031290A" w:rsidRPr="00502A41" w:rsidRDefault="0031290A">
            <w:pPr>
              <w:spacing w:after="0" w:line="259" w:lineRule="auto"/>
              <w:ind w:left="0" w:right="0" w:firstLine="0"/>
              <w:jc w:val="center"/>
            </w:pPr>
            <w:r w:rsidRPr="00D04A52">
              <w:rPr>
                <w:b/>
              </w:rPr>
              <w:t>Surrogate Spike %Recovery</w:t>
            </w:r>
          </w:p>
        </w:tc>
        <w:tc>
          <w:tcPr>
            <w:tcW w:w="4824" w:type="dxa"/>
            <w:tcBorders>
              <w:top w:val="single" w:sz="12" w:space="0" w:color="000000"/>
              <w:left w:val="single" w:sz="12" w:space="0" w:color="000000"/>
              <w:bottom w:val="single" w:sz="12" w:space="0" w:color="000000"/>
              <w:right w:val="single" w:sz="12" w:space="0" w:color="000000"/>
            </w:tcBorders>
            <w:vAlign w:val="center"/>
          </w:tcPr>
          <w:p w14:paraId="090EEA50" w14:textId="77777777" w:rsidR="0031290A" w:rsidRPr="00502A41" w:rsidRDefault="0031290A">
            <w:pPr>
              <w:spacing w:after="0" w:line="259" w:lineRule="auto"/>
              <w:ind w:left="0" w:right="0" w:firstLine="0"/>
              <w:jc w:val="center"/>
            </w:pPr>
            <w:r w:rsidRPr="00D04A52">
              <w:rPr>
                <w:b/>
              </w:rPr>
              <w:t>Surrogate Spike %Recovery</w:t>
            </w:r>
          </w:p>
        </w:tc>
      </w:tr>
      <w:tr w:rsidR="00CC585D" w14:paraId="09F082ED" w14:textId="77777777" w:rsidTr="004F41C0">
        <w:trPr>
          <w:trHeight w:val="360"/>
        </w:trPr>
        <w:tc>
          <w:tcPr>
            <w:tcW w:w="2790" w:type="dxa"/>
            <w:tcBorders>
              <w:top w:val="single" w:sz="12" w:space="0" w:color="000000"/>
              <w:left w:val="single" w:sz="12" w:space="0" w:color="000000"/>
              <w:bottom w:val="single" w:sz="4" w:space="0" w:color="000000"/>
              <w:right w:val="single" w:sz="12" w:space="0" w:color="000000"/>
            </w:tcBorders>
            <w:vAlign w:val="center"/>
          </w:tcPr>
          <w:p w14:paraId="52580DD0" w14:textId="193AF670" w:rsidR="0031290A" w:rsidRDefault="00C94400">
            <w:pPr>
              <w:spacing w:after="0" w:line="259" w:lineRule="auto"/>
              <w:ind w:left="0" w:right="0" w:firstLine="0"/>
            </w:pPr>
            <w:r w:rsidRPr="00D55F08">
              <w:rPr>
                <w:vertAlign w:val="superscript"/>
              </w:rPr>
              <w:t>13</w:t>
            </w:r>
            <w:r w:rsidRPr="008C4F2B">
              <w:t>C</w:t>
            </w:r>
            <w:r w:rsidRPr="00D55F08">
              <w:rPr>
                <w:vertAlign w:val="subscript"/>
              </w:rPr>
              <w:t>2</w:t>
            </w:r>
            <w:r w:rsidRPr="008C4F2B">
              <w:t>-PFHxA</w:t>
            </w:r>
          </w:p>
        </w:tc>
        <w:tc>
          <w:tcPr>
            <w:tcW w:w="3366" w:type="dxa"/>
            <w:tcBorders>
              <w:top w:val="single" w:sz="12" w:space="0" w:color="000000"/>
              <w:left w:val="single" w:sz="12" w:space="0" w:color="000000"/>
              <w:bottom w:val="single" w:sz="4" w:space="0" w:color="000000"/>
              <w:right w:val="single" w:sz="12" w:space="0" w:color="000000"/>
            </w:tcBorders>
            <w:vAlign w:val="center"/>
          </w:tcPr>
          <w:p w14:paraId="1716CA9E" w14:textId="0728223B" w:rsidR="0031290A" w:rsidRDefault="00C94400">
            <w:pPr>
              <w:spacing w:after="0" w:line="259" w:lineRule="auto"/>
              <w:ind w:left="0" w:right="20" w:firstLine="0"/>
              <w:jc w:val="center"/>
            </w:pPr>
            <w:r>
              <w:rPr>
                <w:sz w:val="20"/>
              </w:rPr>
              <w:t>70-130</w:t>
            </w:r>
          </w:p>
        </w:tc>
        <w:tc>
          <w:tcPr>
            <w:tcW w:w="4824" w:type="dxa"/>
            <w:tcBorders>
              <w:top w:val="single" w:sz="12" w:space="0" w:color="000000"/>
              <w:left w:val="single" w:sz="12" w:space="0" w:color="000000"/>
              <w:bottom w:val="single" w:sz="4" w:space="0" w:color="000000"/>
              <w:right w:val="single" w:sz="12" w:space="0" w:color="000000"/>
            </w:tcBorders>
            <w:vAlign w:val="center"/>
          </w:tcPr>
          <w:p w14:paraId="6067D202" w14:textId="3FCC2913" w:rsidR="0031290A" w:rsidRDefault="0069574C">
            <w:pPr>
              <w:spacing w:after="0" w:line="259" w:lineRule="auto"/>
              <w:ind w:left="0" w:right="20" w:firstLine="0"/>
              <w:jc w:val="center"/>
            </w:pPr>
            <w:r>
              <w:rPr>
                <w:sz w:val="20"/>
              </w:rPr>
              <w:t>NA</w:t>
            </w:r>
          </w:p>
        </w:tc>
      </w:tr>
      <w:tr w:rsidR="00CC585D" w14:paraId="457E6939" w14:textId="77777777" w:rsidTr="004F41C0">
        <w:trPr>
          <w:trHeight w:val="360"/>
        </w:trPr>
        <w:tc>
          <w:tcPr>
            <w:tcW w:w="2790" w:type="dxa"/>
            <w:tcBorders>
              <w:top w:val="single" w:sz="4" w:space="0" w:color="000000"/>
              <w:left w:val="single" w:sz="12" w:space="0" w:color="000000"/>
              <w:bottom w:val="single" w:sz="4" w:space="0" w:color="000000"/>
              <w:right w:val="single" w:sz="12" w:space="0" w:color="000000"/>
            </w:tcBorders>
            <w:vAlign w:val="center"/>
          </w:tcPr>
          <w:p w14:paraId="6ADB7CA9" w14:textId="2A161357" w:rsidR="0031290A" w:rsidRDefault="006757AA">
            <w:pPr>
              <w:spacing w:after="0" w:line="259" w:lineRule="auto"/>
              <w:ind w:left="0" w:right="0" w:firstLine="0"/>
            </w:pPr>
            <w:r w:rsidRPr="00D55F08">
              <w:rPr>
                <w:vertAlign w:val="superscript"/>
              </w:rPr>
              <w:t>13</w:t>
            </w:r>
            <w:r w:rsidRPr="001532B5">
              <w:t>C</w:t>
            </w:r>
            <w:r w:rsidRPr="00D55F08">
              <w:rPr>
                <w:vertAlign w:val="subscript"/>
              </w:rPr>
              <w:t>2</w:t>
            </w:r>
            <w:r w:rsidRPr="001532B5">
              <w:t>-PFDA</w:t>
            </w:r>
          </w:p>
        </w:tc>
        <w:tc>
          <w:tcPr>
            <w:tcW w:w="3366" w:type="dxa"/>
            <w:tcBorders>
              <w:top w:val="single" w:sz="4" w:space="0" w:color="000000"/>
              <w:left w:val="single" w:sz="12" w:space="0" w:color="000000"/>
              <w:bottom w:val="single" w:sz="4" w:space="0" w:color="000000"/>
              <w:right w:val="single" w:sz="12" w:space="0" w:color="000000"/>
            </w:tcBorders>
            <w:vAlign w:val="center"/>
          </w:tcPr>
          <w:p w14:paraId="014A52F0" w14:textId="33120C2B" w:rsidR="0031290A" w:rsidRDefault="006757AA">
            <w:pPr>
              <w:spacing w:after="0" w:line="259" w:lineRule="auto"/>
              <w:ind w:left="0" w:right="20" w:firstLine="0"/>
              <w:jc w:val="center"/>
            </w:pPr>
            <w:r>
              <w:rPr>
                <w:sz w:val="20"/>
              </w:rPr>
              <w:t>70-130</w:t>
            </w:r>
          </w:p>
        </w:tc>
        <w:tc>
          <w:tcPr>
            <w:tcW w:w="4824" w:type="dxa"/>
            <w:tcBorders>
              <w:top w:val="single" w:sz="4" w:space="0" w:color="000000"/>
              <w:left w:val="single" w:sz="12" w:space="0" w:color="000000"/>
              <w:bottom w:val="single" w:sz="4" w:space="0" w:color="000000"/>
              <w:right w:val="single" w:sz="12" w:space="0" w:color="000000"/>
            </w:tcBorders>
            <w:vAlign w:val="center"/>
          </w:tcPr>
          <w:p w14:paraId="1B5C7843" w14:textId="518FB1C0" w:rsidR="0031290A" w:rsidRDefault="0069574C">
            <w:pPr>
              <w:spacing w:after="0" w:line="259" w:lineRule="auto"/>
              <w:ind w:left="0" w:right="20" w:firstLine="0"/>
              <w:jc w:val="center"/>
            </w:pPr>
            <w:r>
              <w:rPr>
                <w:sz w:val="20"/>
              </w:rPr>
              <w:t>NA</w:t>
            </w:r>
          </w:p>
        </w:tc>
      </w:tr>
      <w:tr w:rsidR="00CC585D" w14:paraId="11BEA5F8" w14:textId="77777777" w:rsidTr="004F41C0">
        <w:trPr>
          <w:trHeight w:val="360"/>
        </w:trPr>
        <w:tc>
          <w:tcPr>
            <w:tcW w:w="2790" w:type="dxa"/>
            <w:tcBorders>
              <w:top w:val="single" w:sz="4" w:space="0" w:color="000000"/>
              <w:left w:val="single" w:sz="12" w:space="0" w:color="000000"/>
              <w:bottom w:val="single" w:sz="4" w:space="0" w:color="000000"/>
              <w:right w:val="single" w:sz="12" w:space="0" w:color="000000"/>
            </w:tcBorders>
            <w:vAlign w:val="center"/>
          </w:tcPr>
          <w:p w14:paraId="1D978E9B" w14:textId="51FD3BAC" w:rsidR="0031290A" w:rsidRDefault="006757AA">
            <w:pPr>
              <w:spacing w:after="0" w:line="259" w:lineRule="auto"/>
              <w:ind w:left="0" w:right="0" w:firstLine="0"/>
            </w:pPr>
            <w:r w:rsidRPr="00BA48CB">
              <w:t>d</w:t>
            </w:r>
            <w:r w:rsidRPr="00D55F08">
              <w:rPr>
                <w:vertAlign w:val="subscript"/>
              </w:rPr>
              <w:t>5</w:t>
            </w:r>
            <w:r w:rsidRPr="00BA48CB">
              <w:t>-NEtFOSAA</w:t>
            </w:r>
          </w:p>
        </w:tc>
        <w:tc>
          <w:tcPr>
            <w:tcW w:w="3366" w:type="dxa"/>
            <w:tcBorders>
              <w:top w:val="single" w:sz="4" w:space="0" w:color="000000"/>
              <w:left w:val="single" w:sz="12" w:space="0" w:color="000000"/>
              <w:bottom w:val="single" w:sz="4" w:space="0" w:color="000000"/>
              <w:right w:val="single" w:sz="12" w:space="0" w:color="000000"/>
            </w:tcBorders>
            <w:vAlign w:val="center"/>
          </w:tcPr>
          <w:p w14:paraId="5A4698D7" w14:textId="094E002F" w:rsidR="0031290A" w:rsidRDefault="006757AA">
            <w:pPr>
              <w:spacing w:after="0" w:line="259" w:lineRule="auto"/>
              <w:ind w:left="0" w:right="20" w:firstLine="0"/>
              <w:jc w:val="center"/>
            </w:pPr>
            <w:r>
              <w:rPr>
                <w:sz w:val="20"/>
              </w:rPr>
              <w:t>70-130</w:t>
            </w:r>
          </w:p>
        </w:tc>
        <w:tc>
          <w:tcPr>
            <w:tcW w:w="4824" w:type="dxa"/>
            <w:tcBorders>
              <w:top w:val="single" w:sz="4" w:space="0" w:color="000000"/>
              <w:left w:val="single" w:sz="12" w:space="0" w:color="000000"/>
              <w:bottom w:val="single" w:sz="4" w:space="0" w:color="000000"/>
              <w:right w:val="single" w:sz="12" w:space="0" w:color="000000"/>
            </w:tcBorders>
            <w:vAlign w:val="center"/>
          </w:tcPr>
          <w:p w14:paraId="61624359" w14:textId="4D43A1B1" w:rsidR="0031290A" w:rsidRDefault="0069574C">
            <w:pPr>
              <w:spacing w:after="0" w:line="259" w:lineRule="auto"/>
              <w:ind w:left="0" w:right="20" w:firstLine="0"/>
              <w:jc w:val="center"/>
            </w:pPr>
            <w:r>
              <w:rPr>
                <w:sz w:val="20"/>
              </w:rPr>
              <w:t>NA</w:t>
            </w:r>
          </w:p>
        </w:tc>
      </w:tr>
      <w:tr w:rsidR="004F41C0" w14:paraId="04FD2248" w14:textId="77777777" w:rsidTr="004F41C0">
        <w:trPr>
          <w:trHeight w:val="184"/>
        </w:trPr>
        <w:tc>
          <w:tcPr>
            <w:tcW w:w="2790" w:type="dxa"/>
            <w:tcBorders>
              <w:top w:val="single" w:sz="4" w:space="0" w:color="000000"/>
              <w:left w:val="single" w:sz="12" w:space="0" w:color="000000"/>
              <w:bottom w:val="single" w:sz="12" w:space="0" w:color="000000"/>
              <w:right w:val="single" w:sz="12" w:space="0" w:color="000000"/>
            </w:tcBorders>
            <w:vAlign w:val="center"/>
          </w:tcPr>
          <w:p w14:paraId="59F1DF81" w14:textId="52BA211D" w:rsidR="0031290A" w:rsidRDefault="006757AA">
            <w:pPr>
              <w:spacing w:after="0" w:line="259" w:lineRule="auto"/>
              <w:ind w:left="0" w:right="0" w:firstLine="0"/>
            </w:pPr>
            <w:r w:rsidRPr="00D55F08">
              <w:rPr>
                <w:vertAlign w:val="superscript"/>
              </w:rPr>
              <w:t>13</w:t>
            </w:r>
            <w:r w:rsidRPr="00D65A1E">
              <w:t>C</w:t>
            </w:r>
            <w:r w:rsidRPr="00D55F08">
              <w:rPr>
                <w:vertAlign w:val="subscript"/>
              </w:rPr>
              <w:t>3</w:t>
            </w:r>
            <w:r w:rsidRPr="00D65A1E">
              <w:t>-HFPO-DA</w:t>
            </w:r>
          </w:p>
        </w:tc>
        <w:tc>
          <w:tcPr>
            <w:tcW w:w="3366" w:type="dxa"/>
            <w:tcBorders>
              <w:top w:val="single" w:sz="4" w:space="0" w:color="000000"/>
              <w:left w:val="single" w:sz="12" w:space="0" w:color="000000"/>
              <w:bottom w:val="single" w:sz="12" w:space="0" w:color="000000"/>
              <w:right w:val="single" w:sz="12" w:space="0" w:color="000000"/>
            </w:tcBorders>
            <w:vAlign w:val="center"/>
          </w:tcPr>
          <w:p w14:paraId="2F182B7C" w14:textId="0B61A41B" w:rsidR="0031290A" w:rsidRDefault="006739DC">
            <w:pPr>
              <w:spacing w:after="0" w:line="259" w:lineRule="auto"/>
              <w:ind w:left="0" w:right="20" w:firstLine="0"/>
              <w:jc w:val="center"/>
            </w:pPr>
            <w:r>
              <w:rPr>
                <w:sz w:val="20"/>
              </w:rPr>
              <w:t>70-130</w:t>
            </w:r>
          </w:p>
        </w:tc>
        <w:tc>
          <w:tcPr>
            <w:tcW w:w="4824" w:type="dxa"/>
            <w:tcBorders>
              <w:top w:val="single" w:sz="4" w:space="0" w:color="000000"/>
              <w:left w:val="single" w:sz="12" w:space="0" w:color="000000"/>
              <w:bottom w:val="single" w:sz="12" w:space="0" w:color="000000"/>
              <w:right w:val="single" w:sz="12" w:space="0" w:color="000000"/>
            </w:tcBorders>
            <w:vAlign w:val="center"/>
          </w:tcPr>
          <w:p w14:paraId="4D4902CC" w14:textId="0A53E606" w:rsidR="0031290A" w:rsidRDefault="0069574C">
            <w:pPr>
              <w:spacing w:after="0" w:line="259" w:lineRule="auto"/>
              <w:ind w:left="0" w:right="20" w:firstLine="0"/>
              <w:jc w:val="center"/>
            </w:pPr>
            <w:r>
              <w:rPr>
                <w:sz w:val="20"/>
              </w:rPr>
              <w:t>NA</w:t>
            </w:r>
          </w:p>
        </w:tc>
      </w:tr>
      <w:tr w:rsidR="00C31F15" w14:paraId="0278B575" w14:textId="77777777" w:rsidTr="00401237">
        <w:trPr>
          <w:trHeight w:val="380"/>
        </w:trPr>
        <w:tc>
          <w:tcPr>
            <w:tcW w:w="10980" w:type="dxa"/>
            <w:gridSpan w:val="3"/>
            <w:tcBorders>
              <w:top w:val="single" w:sz="12" w:space="0" w:color="000000"/>
              <w:left w:val="single" w:sz="12" w:space="0" w:color="000000"/>
              <w:bottom w:val="single" w:sz="12" w:space="0" w:color="000000"/>
              <w:right w:val="single" w:sz="12" w:space="0" w:color="000000"/>
            </w:tcBorders>
            <w:vAlign w:val="center"/>
          </w:tcPr>
          <w:p w14:paraId="17ADD2B2" w14:textId="7D9CFE3C" w:rsidR="00D150E8" w:rsidRDefault="00D150E8" w:rsidP="003214F3">
            <w:pPr>
              <w:jc w:val="center"/>
              <w:rPr>
                <w:sz w:val="20"/>
              </w:rPr>
            </w:pPr>
            <w:r w:rsidRPr="00577B83">
              <w:rPr>
                <w:b/>
              </w:rPr>
              <w:t>Required Surrogate Spike Control Criteria for PFAS Analysis by Method 8327</w:t>
            </w:r>
          </w:p>
        </w:tc>
      </w:tr>
      <w:tr w:rsidR="00401237" w14:paraId="33E3754F" w14:textId="77777777" w:rsidTr="004F41C0">
        <w:trPr>
          <w:trHeight w:val="382"/>
        </w:trPr>
        <w:tc>
          <w:tcPr>
            <w:tcW w:w="2790" w:type="dxa"/>
            <w:tcBorders>
              <w:top w:val="single" w:sz="4" w:space="0" w:color="000000"/>
              <w:left w:val="single" w:sz="12" w:space="0" w:color="000000"/>
              <w:bottom w:val="single" w:sz="12" w:space="0" w:color="000000"/>
              <w:right w:val="single" w:sz="12" w:space="0" w:color="000000"/>
            </w:tcBorders>
            <w:vAlign w:val="center"/>
          </w:tcPr>
          <w:p w14:paraId="4A574667" w14:textId="19B47459" w:rsidR="00492105" w:rsidRPr="00D04A52" w:rsidRDefault="00492105">
            <w:pPr>
              <w:spacing w:after="0" w:line="259" w:lineRule="auto"/>
              <w:ind w:left="0" w:right="0" w:firstLine="0"/>
              <w:rPr>
                <w:b/>
                <w:bCs/>
              </w:rPr>
            </w:pPr>
            <w:r w:rsidRPr="00D04A52">
              <w:rPr>
                <w:b/>
                <w:bCs/>
              </w:rPr>
              <w:t>Matrix:</w:t>
            </w:r>
          </w:p>
        </w:tc>
        <w:tc>
          <w:tcPr>
            <w:tcW w:w="3366" w:type="dxa"/>
            <w:tcBorders>
              <w:top w:val="single" w:sz="4" w:space="0" w:color="000000"/>
              <w:left w:val="single" w:sz="12" w:space="0" w:color="000000"/>
              <w:bottom w:val="single" w:sz="12" w:space="0" w:color="000000"/>
              <w:right w:val="single" w:sz="12" w:space="0" w:color="000000"/>
            </w:tcBorders>
            <w:vAlign w:val="center"/>
          </w:tcPr>
          <w:p w14:paraId="1134BE61" w14:textId="3EBC1EF0" w:rsidR="00492105" w:rsidRPr="00D04A52" w:rsidRDefault="00492105" w:rsidP="005B127B">
            <w:pPr>
              <w:spacing w:after="0" w:line="259" w:lineRule="auto"/>
              <w:ind w:left="0" w:right="20" w:firstLine="0"/>
              <w:jc w:val="center"/>
              <w:rPr>
                <w:b/>
                <w:bCs/>
              </w:rPr>
            </w:pPr>
            <w:r w:rsidRPr="00D04A52">
              <w:rPr>
                <w:b/>
                <w:bCs/>
              </w:rPr>
              <w:t>Water</w:t>
            </w:r>
          </w:p>
        </w:tc>
        <w:tc>
          <w:tcPr>
            <w:tcW w:w="4824" w:type="dxa"/>
            <w:tcBorders>
              <w:top w:val="single" w:sz="4" w:space="0" w:color="000000"/>
              <w:left w:val="single" w:sz="12" w:space="0" w:color="000000"/>
              <w:bottom w:val="single" w:sz="12" w:space="0" w:color="000000"/>
              <w:right w:val="single" w:sz="12" w:space="0" w:color="000000"/>
            </w:tcBorders>
            <w:vAlign w:val="center"/>
          </w:tcPr>
          <w:p w14:paraId="2F78445D" w14:textId="4C5D59B8" w:rsidR="00492105" w:rsidRPr="00D04A52" w:rsidRDefault="00492105" w:rsidP="005B127B">
            <w:pPr>
              <w:spacing w:after="0" w:line="259" w:lineRule="auto"/>
              <w:ind w:left="0" w:right="20" w:firstLine="0"/>
              <w:jc w:val="center"/>
              <w:rPr>
                <w:b/>
                <w:bCs/>
              </w:rPr>
            </w:pPr>
            <w:r w:rsidRPr="00D04A52">
              <w:rPr>
                <w:b/>
                <w:bCs/>
              </w:rPr>
              <w:t>Soil &amp; Other Matrices</w:t>
            </w:r>
          </w:p>
        </w:tc>
      </w:tr>
      <w:tr w:rsidR="00401237" w14:paraId="3CAE7E9C" w14:textId="77777777" w:rsidTr="004F41C0">
        <w:trPr>
          <w:trHeight w:val="445"/>
        </w:trPr>
        <w:tc>
          <w:tcPr>
            <w:tcW w:w="2790" w:type="dxa"/>
            <w:tcBorders>
              <w:top w:val="single" w:sz="4" w:space="0" w:color="000000"/>
              <w:left w:val="single" w:sz="12" w:space="0" w:color="000000"/>
              <w:bottom w:val="single" w:sz="12" w:space="0" w:color="000000"/>
              <w:right w:val="single" w:sz="12" w:space="0" w:color="000000"/>
            </w:tcBorders>
            <w:vAlign w:val="center"/>
          </w:tcPr>
          <w:p w14:paraId="1BDEC7AB" w14:textId="7F9CA5C6" w:rsidR="00463777" w:rsidRPr="00502A41" w:rsidRDefault="00492105">
            <w:pPr>
              <w:spacing w:after="0" w:line="259" w:lineRule="auto"/>
              <w:ind w:left="0" w:right="0" w:firstLine="0"/>
            </w:pPr>
            <w:r w:rsidRPr="00D04A52">
              <w:rPr>
                <w:b/>
              </w:rPr>
              <w:t>Compound</w:t>
            </w:r>
          </w:p>
        </w:tc>
        <w:tc>
          <w:tcPr>
            <w:tcW w:w="3366" w:type="dxa"/>
            <w:tcBorders>
              <w:top w:val="single" w:sz="4" w:space="0" w:color="000000"/>
              <w:left w:val="single" w:sz="12" w:space="0" w:color="000000"/>
              <w:bottom w:val="single" w:sz="12" w:space="0" w:color="000000"/>
              <w:right w:val="single" w:sz="12" w:space="0" w:color="000000"/>
            </w:tcBorders>
            <w:vAlign w:val="center"/>
          </w:tcPr>
          <w:p w14:paraId="4C9EB839" w14:textId="48D5F147" w:rsidR="00463777" w:rsidRPr="00D04A52" w:rsidRDefault="00492105" w:rsidP="005B127B">
            <w:pPr>
              <w:spacing w:after="0" w:line="259" w:lineRule="auto"/>
              <w:ind w:left="0" w:right="20" w:firstLine="0"/>
              <w:jc w:val="center"/>
            </w:pPr>
            <w:r w:rsidRPr="00D04A52">
              <w:rPr>
                <w:b/>
              </w:rPr>
              <w:t>Surrogate Spike %Recovery</w:t>
            </w:r>
          </w:p>
        </w:tc>
        <w:tc>
          <w:tcPr>
            <w:tcW w:w="4824" w:type="dxa"/>
            <w:tcBorders>
              <w:top w:val="single" w:sz="4" w:space="0" w:color="000000"/>
              <w:left w:val="single" w:sz="12" w:space="0" w:color="000000"/>
              <w:bottom w:val="single" w:sz="12" w:space="0" w:color="000000"/>
              <w:right w:val="single" w:sz="12" w:space="0" w:color="000000"/>
            </w:tcBorders>
            <w:vAlign w:val="center"/>
          </w:tcPr>
          <w:p w14:paraId="000E3907" w14:textId="1E92B105" w:rsidR="00463777" w:rsidRPr="00D04A52" w:rsidRDefault="00492105" w:rsidP="005B127B">
            <w:pPr>
              <w:spacing w:after="0" w:line="259" w:lineRule="auto"/>
              <w:ind w:left="0" w:right="20" w:firstLine="0"/>
              <w:jc w:val="center"/>
            </w:pPr>
            <w:r w:rsidRPr="00D04A52">
              <w:rPr>
                <w:b/>
              </w:rPr>
              <w:t>Surrogate Spike %Recovery</w:t>
            </w:r>
          </w:p>
        </w:tc>
      </w:tr>
      <w:tr w:rsidR="00401237" w14:paraId="60D5F660" w14:textId="77777777" w:rsidTr="004F41C0">
        <w:trPr>
          <w:trHeight w:val="445"/>
        </w:trPr>
        <w:tc>
          <w:tcPr>
            <w:tcW w:w="2790" w:type="dxa"/>
            <w:tcBorders>
              <w:top w:val="single" w:sz="4" w:space="0" w:color="000000"/>
              <w:left w:val="single" w:sz="12" w:space="0" w:color="000000"/>
              <w:bottom w:val="single" w:sz="12" w:space="0" w:color="000000"/>
              <w:right w:val="single" w:sz="12" w:space="0" w:color="000000"/>
            </w:tcBorders>
            <w:vAlign w:val="center"/>
          </w:tcPr>
          <w:p w14:paraId="37CA1981" w14:textId="7155BD5A" w:rsidR="00987A30" w:rsidRPr="00D55F08" w:rsidRDefault="005B127B">
            <w:pPr>
              <w:spacing w:after="0" w:line="259" w:lineRule="auto"/>
              <w:ind w:left="0" w:right="0" w:firstLine="0"/>
              <w:rPr>
                <w:vertAlign w:val="superscript"/>
              </w:rPr>
            </w:pPr>
            <w:r>
              <w:t>See Table 5 in Method</w:t>
            </w:r>
          </w:p>
        </w:tc>
        <w:tc>
          <w:tcPr>
            <w:tcW w:w="3366" w:type="dxa"/>
            <w:tcBorders>
              <w:top w:val="single" w:sz="4" w:space="0" w:color="000000"/>
              <w:left w:val="single" w:sz="12" w:space="0" w:color="000000"/>
              <w:bottom w:val="single" w:sz="12" w:space="0" w:color="000000"/>
              <w:right w:val="single" w:sz="12" w:space="0" w:color="000000"/>
            </w:tcBorders>
            <w:vAlign w:val="center"/>
          </w:tcPr>
          <w:p w14:paraId="4F3C3D6C" w14:textId="222DFDE6" w:rsidR="00D04A52" w:rsidRPr="005B127B" w:rsidRDefault="005B127B" w:rsidP="004F41C0">
            <w:pPr>
              <w:spacing w:after="0" w:line="259" w:lineRule="auto"/>
              <w:ind w:left="0" w:right="20" w:firstLine="0"/>
              <w:jc w:val="center"/>
              <w:rPr>
                <w:sz w:val="20"/>
              </w:rPr>
            </w:pPr>
            <w:r w:rsidRPr="005B127B">
              <w:rPr>
                <w:sz w:val="20"/>
              </w:rPr>
              <w:t>70-130</w:t>
            </w:r>
            <w:r w:rsidR="00D04A52">
              <w:rPr>
                <w:sz w:val="20"/>
              </w:rPr>
              <w:t xml:space="preserve"> </w:t>
            </w:r>
          </w:p>
          <w:p w14:paraId="5F412A3A" w14:textId="3B177FF5" w:rsidR="00987A30" w:rsidRDefault="005B127B" w:rsidP="004F41C0">
            <w:pPr>
              <w:spacing w:after="0" w:line="259" w:lineRule="auto"/>
              <w:ind w:left="0" w:right="20" w:firstLine="0"/>
              <w:jc w:val="center"/>
              <w:rPr>
                <w:sz w:val="20"/>
              </w:rPr>
            </w:pPr>
            <w:r w:rsidRPr="005B127B">
              <w:rPr>
                <w:sz w:val="20"/>
              </w:rPr>
              <w:t>Or within laboratory derived or project specific criteria</w:t>
            </w:r>
          </w:p>
        </w:tc>
        <w:tc>
          <w:tcPr>
            <w:tcW w:w="4824" w:type="dxa"/>
            <w:tcBorders>
              <w:top w:val="single" w:sz="4" w:space="0" w:color="000000"/>
              <w:left w:val="single" w:sz="12" w:space="0" w:color="000000"/>
              <w:bottom w:val="single" w:sz="12" w:space="0" w:color="000000"/>
              <w:right w:val="single" w:sz="12" w:space="0" w:color="000000"/>
            </w:tcBorders>
            <w:vAlign w:val="center"/>
          </w:tcPr>
          <w:p w14:paraId="6343C74B" w14:textId="77777777" w:rsidR="005B127B" w:rsidRPr="005B127B" w:rsidRDefault="005B127B" w:rsidP="005B127B">
            <w:pPr>
              <w:spacing w:after="0" w:line="259" w:lineRule="auto"/>
              <w:ind w:left="0" w:right="20" w:firstLine="0"/>
              <w:jc w:val="center"/>
              <w:rPr>
                <w:sz w:val="20"/>
              </w:rPr>
            </w:pPr>
            <w:r w:rsidRPr="005B127B">
              <w:rPr>
                <w:sz w:val="20"/>
              </w:rPr>
              <w:t>70-130</w:t>
            </w:r>
          </w:p>
          <w:p w14:paraId="61FDCE08" w14:textId="1A212E99" w:rsidR="00987A30" w:rsidRDefault="005B127B" w:rsidP="005B127B">
            <w:pPr>
              <w:spacing w:after="0" w:line="259" w:lineRule="auto"/>
              <w:ind w:left="0" w:right="20" w:firstLine="0"/>
              <w:jc w:val="center"/>
              <w:rPr>
                <w:sz w:val="20"/>
              </w:rPr>
            </w:pPr>
            <w:r w:rsidRPr="005B127B">
              <w:rPr>
                <w:sz w:val="20"/>
              </w:rPr>
              <w:t>Or within laboratory derived or project specific criteria</w:t>
            </w:r>
            <w:r w:rsidR="00C613DE">
              <w:rPr>
                <w:sz w:val="20"/>
              </w:rPr>
              <w:t xml:space="preserve"> </w:t>
            </w:r>
          </w:p>
        </w:tc>
      </w:tr>
    </w:tbl>
    <w:p w14:paraId="0EBB2A50" w14:textId="77777777" w:rsidR="002D6CF4" w:rsidRDefault="002D6CF4" w:rsidP="0031290A">
      <w:pPr>
        <w:spacing w:after="0" w:line="259" w:lineRule="auto"/>
        <w:ind w:left="1532" w:right="0" w:firstLine="0"/>
        <w:rPr>
          <w:rFonts w:ascii="Arial" w:eastAsia="Arial" w:hAnsi="Arial" w:cs="Arial"/>
        </w:rPr>
      </w:pPr>
    </w:p>
    <w:p w14:paraId="0E26AC73" w14:textId="77777777" w:rsidR="0031290A" w:rsidRPr="00715DCD" w:rsidRDefault="0031290A" w:rsidP="00C7017D">
      <w:pPr>
        <w:numPr>
          <w:ilvl w:val="0"/>
          <w:numId w:val="136"/>
        </w:numPr>
        <w:spacing w:after="16"/>
        <w:ind w:left="720" w:right="186"/>
        <w:rPr>
          <w:b/>
          <w:bCs/>
        </w:rPr>
      </w:pPr>
      <w:r w:rsidRPr="00715DCD">
        <w:rPr>
          <w:b/>
          <w:bCs/>
        </w:rPr>
        <w:t xml:space="preserve">Internal Standards </w:t>
      </w:r>
    </w:p>
    <w:p w14:paraId="1ED24148" w14:textId="77777777" w:rsidR="001571F5" w:rsidRDefault="001571F5" w:rsidP="0031290A">
      <w:pPr>
        <w:ind w:left="1450" w:right="255"/>
      </w:pPr>
    </w:p>
    <w:p w14:paraId="4E3A4E48" w14:textId="3F2C946A" w:rsidR="001571F5" w:rsidRDefault="00167112" w:rsidP="00136AFC">
      <w:pPr>
        <w:ind w:left="720" w:right="255" w:firstLine="0"/>
        <w:rPr>
          <w:u w:val="single"/>
        </w:rPr>
      </w:pPr>
      <w:r>
        <w:rPr>
          <w:u w:val="single"/>
        </w:rPr>
        <w:t>Terms Specific to Method</w:t>
      </w:r>
    </w:p>
    <w:p w14:paraId="4939D169" w14:textId="77777777" w:rsidR="00CA0838" w:rsidRDefault="00CA0838" w:rsidP="00220C94">
      <w:pPr>
        <w:ind w:left="720" w:right="255" w:firstLine="0"/>
      </w:pPr>
    </w:p>
    <w:p w14:paraId="441DFB6A" w14:textId="2150C4E6" w:rsidR="00167112" w:rsidRDefault="00167112" w:rsidP="00716979">
      <w:pPr>
        <w:pStyle w:val="ListParagraph"/>
        <w:numPr>
          <w:ilvl w:val="0"/>
          <w:numId w:val="168"/>
        </w:numPr>
        <w:ind w:left="1440" w:right="255"/>
      </w:pPr>
      <w:r>
        <w:t xml:space="preserve">Method </w:t>
      </w:r>
      <w:r w:rsidR="00AA11EC">
        <w:t>537.1 – Internal Standard (IS)</w:t>
      </w:r>
    </w:p>
    <w:p w14:paraId="26DDE63E" w14:textId="6C30779A" w:rsidR="00AA11EC" w:rsidRDefault="00AA11EC" w:rsidP="00220C94">
      <w:pPr>
        <w:pStyle w:val="ListParagraph"/>
        <w:numPr>
          <w:ilvl w:val="0"/>
          <w:numId w:val="168"/>
        </w:numPr>
        <w:ind w:left="1440" w:right="255"/>
      </w:pPr>
      <w:r>
        <w:t xml:space="preserve">Method 1633A </w:t>
      </w:r>
      <w:r w:rsidR="00BF02A6">
        <w:t>–</w:t>
      </w:r>
      <w:r>
        <w:t xml:space="preserve"> </w:t>
      </w:r>
      <w:r w:rsidR="00BF02A6">
        <w:t xml:space="preserve">Extracted Internal Standard (EIS) and </w:t>
      </w:r>
      <w:r w:rsidR="004515A4">
        <w:t>Non-extracted Internal Standard (NIS)</w:t>
      </w:r>
    </w:p>
    <w:p w14:paraId="794425CB" w14:textId="3270E843" w:rsidR="00D44BE4" w:rsidRDefault="00D44BE4" w:rsidP="00220C94">
      <w:pPr>
        <w:pStyle w:val="ListParagraph"/>
        <w:numPr>
          <w:ilvl w:val="0"/>
          <w:numId w:val="168"/>
        </w:numPr>
        <w:ind w:left="1440" w:right="255"/>
      </w:pPr>
      <w:r>
        <w:t xml:space="preserve">Method 533 </w:t>
      </w:r>
      <w:r w:rsidR="00756A53">
        <w:t>–</w:t>
      </w:r>
      <w:r>
        <w:t xml:space="preserve"> </w:t>
      </w:r>
      <w:r w:rsidR="00756A53">
        <w:t>Isotope Dilution Analogue</w:t>
      </w:r>
      <w:r w:rsidR="005D0754">
        <w:t xml:space="preserve"> and Isotope Performance Standard</w:t>
      </w:r>
    </w:p>
    <w:p w14:paraId="77DA3591" w14:textId="77777777" w:rsidR="00255388" w:rsidRDefault="00284DF1" w:rsidP="00220C94">
      <w:pPr>
        <w:pStyle w:val="ListParagraph"/>
        <w:numPr>
          <w:ilvl w:val="0"/>
          <w:numId w:val="168"/>
        </w:numPr>
        <w:ind w:left="1440" w:right="255"/>
      </w:pPr>
      <w:r>
        <w:t xml:space="preserve">Method 8327 </w:t>
      </w:r>
      <w:r w:rsidR="00255388">
        <w:t>–</w:t>
      </w:r>
      <w:r>
        <w:t xml:space="preserve"> </w:t>
      </w:r>
      <w:r w:rsidR="00960C0B">
        <w:t>NA</w:t>
      </w:r>
      <w:r w:rsidR="00255388">
        <w:t>,</w:t>
      </w:r>
      <w:r w:rsidR="00255388" w:rsidRPr="00255388">
        <w:t xml:space="preserve"> based on external standard calibration models rather than internal standards or isotope dilution</w:t>
      </w:r>
      <w:r w:rsidR="00255388">
        <w:t>.</w:t>
      </w:r>
    </w:p>
    <w:p w14:paraId="48A5456D" w14:textId="631D5888" w:rsidR="009C2CF0" w:rsidRDefault="00255388">
      <w:pPr>
        <w:ind w:right="255"/>
      </w:pPr>
      <w:r>
        <w:t xml:space="preserve"> </w:t>
      </w:r>
    </w:p>
    <w:p w14:paraId="4A041D1A" w14:textId="77777777" w:rsidR="00AE066F" w:rsidRDefault="00AE066F">
      <w:pPr>
        <w:ind w:right="255"/>
      </w:pPr>
    </w:p>
    <w:p w14:paraId="49A02327" w14:textId="77777777" w:rsidR="00AE066F" w:rsidRDefault="00AE066F">
      <w:pPr>
        <w:ind w:right="255"/>
      </w:pPr>
    </w:p>
    <w:p w14:paraId="4794E211" w14:textId="77777777" w:rsidR="00AE066F" w:rsidRDefault="00AE066F">
      <w:pPr>
        <w:ind w:right="255"/>
      </w:pPr>
    </w:p>
    <w:p w14:paraId="37DB368D" w14:textId="6E02A323" w:rsidR="00D61306" w:rsidRDefault="00237084" w:rsidP="00220C94">
      <w:pPr>
        <w:ind w:left="720" w:right="255" w:firstLine="0"/>
      </w:pPr>
      <w:r>
        <w:rPr>
          <w:u w:val="single"/>
        </w:rPr>
        <w:lastRenderedPageBreak/>
        <w:t>General Requirements for Internal Standards (All Methods)</w:t>
      </w:r>
    </w:p>
    <w:p w14:paraId="50371AE2" w14:textId="77777777" w:rsidR="003B6C6B" w:rsidRPr="003B6C6B" w:rsidRDefault="003B6C6B" w:rsidP="00220C94">
      <w:pPr>
        <w:ind w:left="720" w:right="255" w:firstLine="0"/>
      </w:pPr>
    </w:p>
    <w:p w14:paraId="7CB25FB6" w14:textId="6383B16B" w:rsidR="0031290A" w:rsidRDefault="0031290A" w:rsidP="00220C94">
      <w:pPr>
        <w:ind w:left="720" w:right="255" w:firstLine="0"/>
      </w:pPr>
      <w:r>
        <w:t>The Contractor shall spike all samples</w:t>
      </w:r>
      <w:r>
        <w:rPr>
          <w:b/>
        </w:rPr>
        <w:t xml:space="preserve"> </w:t>
      </w:r>
      <w:r>
        <w:t xml:space="preserve">(including matrix spike/matrix spike duplicate and matrix duplicate samples), standards, and blanks with the internal standards. </w:t>
      </w:r>
    </w:p>
    <w:p w14:paraId="1FB49247" w14:textId="77777777" w:rsidR="006D72B9" w:rsidRDefault="006D72B9" w:rsidP="00220C94">
      <w:pPr>
        <w:ind w:left="720" w:right="255" w:firstLine="0"/>
      </w:pPr>
    </w:p>
    <w:p w14:paraId="6B195191" w14:textId="4D369B62" w:rsidR="006D72B9" w:rsidRDefault="000D1A59" w:rsidP="00220C94">
      <w:pPr>
        <w:ind w:left="720" w:right="255" w:firstLine="0"/>
      </w:pPr>
      <w:r>
        <w:rPr>
          <w:b/>
          <w:bCs/>
        </w:rPr>
        <w:t xml:space="preserve">Note: </w:t>
      </w:r>
      <w:r>
        <w:t>Method 537.1</w:t>
      </w:r>
      <w:r w:rsidR="00090CAD">
        <w:t xml:space="preserve"> is the only method of the four PFAS </w:t>
      </w:r>
      <w:r w:rsidR="00CE6BBF">
        <w:t xml:space="preserve">methods </w:t>
      </w:r>
      <w:r w:rsidR="003642AF">
        <w:t xml:space="preserve">in this Protocol which specifies: </w:t>
      </w:r>
      <w:r w:rsidR="009E7C1A" w:rsidRPr="00220C94">
        <w:rPr>
          <w:i/>
          <w:iCs/>
        </w:rPr>
        <w:t>The concentration of each</w:t>
      </w:r>
      <w:r w:rsidR="009E7C1A" w:rsidRPr="009E7C1A">
        <w:t xml:space="preserve"> </w:t>
      </w:r>
      <w:r w:rsidR="009E7C1A">
        <w:t xml:space="preserve">[PFAS] </w:t>
      </w:r>
      <w:r w:rsidR="009E7C1A" w:rsidRPr="00220C94">
        <w:rPr>
          <w:i/>
          <w:iCs/>
        </w:rPr>
        <w:t>analyte is determined by using the internal standard technique.</w:t>
      </w:r>
      <w:r w:rsidR="009E7C1A">
        <w:t xml:space="preserve">  </w:t>
      </w:r>
      <w:r w:rsidR="00A22DF1">
        <w:t>Method</w:t>
      </w:r>
      <w:r w:rsidR="00877F8E">
        <w:t xml:space="preserve"> 1633A and Method 533 utilize </w:t>
      </w:r>
      <w:r w:rsidR="006F4F61">
        <w:t xml:space="preserve">the </w:t>
      </w:r>
      <w:r w:rsidR="00877F8E">
        <w:t>isotope dilution technique</w:t>
      </w:r>
      <w:r w:rsidR="006F4F61">
        <w:t xml:space="preserve"> to determine PFAS anal</w:t>
      </w:r>
      <w:r w:rsidR="006A2E9F">
        <w:t>yte concentrations, and Method 8327 utilizes</w:t>
      </w:r>
      <w:r w:rsidR="00BE78D1">
        <w:t xml:space="preserve"> </w:t>
      </w:r>
      <w:r w:rsidR="00BE78D1" w:rsidRPr="00BE78D1">
        <w:t>external standard calibration models</w:t>
      </w:r>
      <w:r w:rsidR="00BE78D1">
        <w:t>.</w:t>
      </w:r>
    </w:p>
    <w:p w14:paraId="77ED304D" w14:textId="77777777" w:rsidR="00760833" w:rsidRDefault="00760833" w:rsidP="00220C94">
      <w:pPr>
        <w:ind w:left="720" w:right="255" w:firstLine="0"/>
      </w:pPr>
    </w:p>
    <w:p w14:paraId="7BBA1D8F" w14:textId="7DE7A546" w:rsidR="00760833" w:rsidRDefault="00760833" w:rsidP="00220C94">
      <w:pPr>
        <w:ind w:left="720" w:right="255" w:firstLine="0"/>
      </w:pPr>
      <w:r>
        <w:rPr>
          <w:u w:val="single"/>
        </w:rPr>
        <w:t>Method-specific Requirements for Internal Standards</w:t>
      </w:r>
    </w:p>
    <w:p w14:paraId="0605F082" w14:textId="77777777" w:rsidR="00D3446E" w:rsidRDefault="00D3446E" w:rsidP="00220C94">
      <w:pPr>
        <w:ind w:left="720" w:right="255" w:firstLine="0"/>
      </w:pPr>
    </w:p>
    <w:p w14:paraId="74F095A7" w14:textId="77777777" w:rsidR="00D3446E" w:rsidRDefault="00D3446E" w:rsidP="00136AFC">
      <w:pPr>
        <w:ind w:left="720" w:right="255" w:firstLine="0"/>
      </w:pPr>
      <w:r>
        <w:t xml:space="preserve">The recommended internal standards for </w:t>
      </w:r>
      <w:r w:rsidRPr="00220C94">
        <w:rPr>
          <w:b/>
          <w:bCs/>
        </w:rPr>
        <w:t>Method 537.1</w:t>
      </w:r>
      <w:r>
        <w:t xml:space="preserve"> are:</w:t>
      </w:r>
    </w:p>
    <w:p w14:paraId="2277E838" w14:textId="77777777" w:rsidR="00CA0838" w:rsidRDefault="00CA0838" w:rsidP="00220C94">
      <w:pPr>
        <w:ind w:left="720" w:right="255" w:firstLine="0"/>
      </w:pPr>
    </w:p>
    <w:p w14:paraId="4CAA0EC5" w14:textId="77777777" w:rsidR="00D3446E" w:rsidRDefault="00D3446E" w:rsidP="0068657A">
      <w:pPr>
        <w:pStyle w:val="ListParagraph"/>
        <w:numPr>
          <w:ilvl w:val="0"/>
          <w:numId w:val="154"/>
        </w:numPr>
        <w:ind w:left="1440" w:right="255"/>
      </w:pPr>
      <w:r w:rsidRPr="00611F5B">
        <w:t>Perfluoro-[1,2-</w:t>
      </w:r>
      <w:r w:rsidRPr="004068F0">
        <w:rPr>
          <w:vertAlign w:val="superscript"/>
        </w:rPr>
        <w:t>13</w:t>
      </w:r>
      <w:r w:rsidRPr="00611F5B">
        <w:t>C</w:t>
      </w:r>
      <w:proofErr w:type="gramStart"/>
      <w:r w:rsidRPr="004068F0">
        <w:rPr>
          <w:vertAlign w:val="subscript"/>
        </w:rPr>
        <w:t>2</w:t>
      </w:r>
      <w:r w:rsidRPr="00611F5B">
        <w:t>]octanoic</w:t>
      </w:r>
      <w:proofErr w:type="gramEnd"/>
      <w:r w:rsidRPr="00611F5B">
        <w:t xml:space="preserve"> acid</w:t>
      </w:r>
      <w:r>
        <w:t xml:space="preserve"> (</w:t>
      </w:r>
      <w:r w:rsidRPr="004068F0">
        <w:rPr>
          <w:vertAlign w:val="superscript"/>
        </w:rPr>
        <w:t>13</w:t>
      </w:r>
      <w:r w:rsidRPr="000C4003">
        <w:t>C</w:t>
      </w:r>
      <w:r w:rsidRPr="002F727C">
        <w:rPr>
          <w:vertAlign w:val="subscript"/>
        </w:rPr>
        <w:t>2</w:t>
      </w:r>
      <w:r w:rsidRPr="000C4003">
        <w:t>-PFOA</w:t>
      </w:r>
      <w:r>
        <w:t>)</w:t>
      </w:r>
    </w:p>
    <w:p w14:paraId="33057302" w14:textId="77777777" w:rsidR="00D3446E" w:rsidRDefault="00D3446E" w:rsidP="0068657A">
      <w:pPr>
        <w:pStyle w:val="ListParagraph"/>
        <w:numPr>
          <w:ilvl w:val="0"/>
          <w:numId w:val="154"/>
        </w:numPr>
        <w:ind w:left="1440" w:right="255"/>
      </w:pPr>
      <w:r w:rsidRPr="003D5C53">
        <w:t>Sodium perfluoro-1-[1,2,3,4-</w:t>
      </w:r>
      <w:r w:rsidRPr="002F727C">
        <w:rPr>
          <w:vertAlign w:val="superscript"/>
        </w:rPr>
        <w:t>13</w:t>
      </w:r>
      <w:r w:rsidRPr="003D5C53">
        <w:t>C</w:t>
      </w:r>
      <w:proofErr w:type="gramStart"/>
      <w:r w:rsidRPr="002F727C">
        <w:rPr>
          <w:vertAlign w:val="subscript"/>
        </w:rPr>
        <w:t>4</w:t>
      </w:r>
      <w:r w:rsidRPr="003D5C53">
        <w:t>]</w:t>
      </w:r>
      <w:proofErr w:type="spellStart"/>
      <w:r w:rsidRPr="003D5C53">
        <w:t>octanesulfonate</w:t>
      </w:r>
      <w:proofErr w:type="spellEnd"/>
      <w:proofErr w:type="gramEnd"/>
      <w:r>
        <w:t xml:space="preserve"> (</w:t>
      </w:r>
      <w:r w:rsidRPr="002F727C">
        <w:rPr>
          <w:vertAlign w:val="superscript"/>
        </w:rPr>
        <w:t>13</w:t>
      </w:r>
      <w:r w:rsidRPr="00261D70">
        <w:t>C</w:t>
      </w:r>
      <w:r w:rsidRPr="002F727C">
        <w:rPr>
          <w:vertAlign w:val="subscript"/>
        </w:rPr>
        <w:t>4</w:t>
      </w:r>
      <w:r w:rsidRPr="00261D70">
        <w:t>-PFOS</w:t>
      </w:r>
      <w:r>
        <w:t>)</w:t>
      </w:r>
    </w:p>
    <w:p w14:paraId="7319EC97" w14:textId="77777777" w:rsidR="00D3446E" w:rsidRDefault="00D3446E" w:rsidP="0068657A">
      <w:pPr>
        <w:pStyle w:val="ListParagraph"/>
        <w:numPr>
          <w:ilvl w:val="0"/>
          <w:numId w:val="154"/>
        </w:numPr>
        <w:ind w:left="1440" w:right="255"/>
      </w:pPr>
      <w:r w:rsidRPr="00F14AC9">
        <w:t>N-deuteriomethylperfluoro-1-octanesulfonamidoacetic acid</w:t>
      </w:r>
      <w:r>
        <w:t xml:space="preserve"> (</w:t>
      </w:r>
      <w:r w:rsidRPr="00F14AC9">
        <w:t>d</w:t>
      </w:r>
      <w:r w:rsidRPr="002F727C">
        <w:rPr>
          <w:vertAlign w:val="subscript"/>
        </w:rPr>
        <w:t>3</w:t>
      </w:r>
      <w:r w:rsidRPr="00F14AC9">
        <w:t>-NMeFOSAA</w:t>
      </w:r>
      <w:r>
        <w:t>)</w:t>
      </w:r>
    </w:p>
    <w:p w14:paraId="79CB8CCF" w14:textId="77777777" w:rsidR="00E961D6" w:rsidRDefault="00E961D6" w:rsidP="00220C94">
      <w:pPr>
        <w:pStyle w:val="ListParagraph"/>
        <w:ind w:left="1440" w:right="255" w:firstLine="0"/>
      </w:pPr>
    </w:p>
    <w:p w14:paraId="092B00FB" w14:textId="44964707" w:rsidR="00D3446E" w:rsidRDefault="00D3446E" w:rsidP="00220C94">
      <w:pPr>
        <w:ind w:left="720" w:right="255" w:firstLine="0"/>
      </w:pPr>
      <w:r w:rsidRPr="007828C0">
        <w:t xml:space="preserve">These isotopically labeled </w:t>
      </w:r>
      <w:r>
        <w:t>internal standards</w:t>
      </w:r>
      <w:r w:rsidRPr="007828C0">
        <w:t xml:space="preserve"> were carefully chosen during method development because they encompass all the functional groups of </w:t>
      </w:r>
      <w:proofErr w:type="gramStart"/>
      <w:r w:rsidRPr="007828C0">
        <w:t>the method</w:t>
      </w:r>
      <w:proofErr w:type="gramEnd"/>
      <w:r w:rsidRPr="007828C0">
        <w:t xml:space="preserve"> analytes. </w:t>
      </w:r>
      <w:r>
        <w:t xml:space="preserve"> </w:t>
      </w:r>
      <w:r w:rsidRPr="007828C0">
        <w:t xml:space="preserve">Although alternate </w:t>
      </w:r>
      <w:r>
        <w:t>internal</w:t>
      </w:r>
      <w:r w:rsidRPr="007828C0">
        <w:t xml:space="preserve"> standards may be used </w:t>
      </w:r>
      <w:proofErr w:type="gramStart"/>
      <w:r w:rsidRPr="007828C0">
        <w:t>provided</w:t>
      </w:r>
      <w:proofErr w:type="gramEnd"/>
      <w:r w:rsidRPr="007828C0">
        <w:t xml:space="preserve"> they are isotopically labeled compounds with similar functional groups as the method analytes, the </w:t>
      </w:r>
      <w:r>
        <w:t>Contractor</w:t>
      </w:r>
      <w:r w:rsidRPr="007828C0">
        <w:t xml:space="preserve"> must have documented reasons for using alternate </w:t>
      </w:r>
      <w:r>
        <w:t>internal standards.</w:t>
      </w:r>
    </w:p>
    <w:p w14:paraId="1DB0492D" w14:textId="77777777" w:rsidR="00C36049" w:rsidRDefault="00C36049" w:rsidP="00220C94">
      <w:pPr>
        <w:ind w:left="720" w:right="255" w:firstLine="0"/>
      </w:pPr>
    </w:p>
    <w:p w14:paraId="73FAC11F" w14:textId="77777777" w:rsidR="006A6710" w:rsidRDefault="006A6710" w:rsidP="00220C94">
      <w:pPr>
        <w:ind w:left="720" w:right="255" w:firstLine="0"/>
      </w:pPr>
      <w:r>
        <w:t xml:space="preserve">The recommended non-extracted internal standards for </w:t>
      </w:r>
      <w:r w:rsidRPr="00220C94">
        <w:rPr>
          <w:b/>
          <w:bCs/>
        </w:rPr>
        <w:t>Method 1633A</w:t>
      </w:r>
      <w:r>
        <w:t xml:space="preserve"> are:</w:t>
      </w:r>
    </w:p>
    <w:p w14:paraId="7A7FEAD0" w14:textId="77777777" w:rsidR="00AE066F" w:rsidRDefault="00AE066F" w:rsidP="00220C94">
      <w:pPr>
        <w:ind w:left="720" w:right="255" w:firstLine="0"/>
      </w:pPr>
    </w:p>
    <w:p w14:paraId="75CFAE75" w14:textId="77777777" w:rsidR="006A6710" w:rsidRDefault="006A6710" w:rsidP="00EF0260">
      <w:pPr>
        <w:pStyle w:val="ListParagraph"/>
        <w:numPr>
          <w:ilvl w:val="0"/>
          <w:numId w:val="155"/>
        </w:numPr>
        <w:ind w:left="1440" w:right="255"/>
      </w:pPr>
      <w:r w:rsidRPr="002F727C">
        <w:rPr>
          <w:vertAlign w:val="superscript"/>
        </w:rPr>
        <w:t>13</w:t>
      </w:r>
      <w:r w:rsidRPr="00A31BCB">
        <w:t>C</w:t>
      </w:r>
      <w:r w:rsidRPr="002F727C">
        <w:rPr>
          <w:vertAlign w:val="subscript"/>
        </w:rPr>
        <w:t>3</w:t>
      </w:r>
      <w:r w:rsidRPr="00A31BCB">
        <w:t>-PFBA</w:t>
      </w:r>
    </w:p>
    <w:p w14:paraId="3B64A36F" w14:textId="77777777" w:rsidR="006A6710" w:rsidRDefault="006A6710" w:rsidP="00527C84">
      <w:pPr>
        <w:pStyle w:val="ListParagraph"/>
        <w:numPr>
          <w:ilvl w:val="0"/>
          <w:numId w:val="155"/>
        </w:numPr>
        <w:ind w:left="1440" w:right="255"/>
      </w:pPr>
      <w:r w:rsidRPr="002F727C">
        <w:rPr>
          <w:vertAlign w:val="superscript"/>
        </w:rPr>
        <w:t>13</w:t>
      </w:r>
      <w:r w:rsidRPr="00282E3D">
        <w:t>C</w:t>
      </w:r>
      <w:r w:rsidRPr="002F727C">
        <w:rPr>
          <w:vertAlign w:val="subscript"/>
        </w:rPr>
        <w:t>2</w:t>
      </w:r>
      <w:r w:rsidRPr="00282E3D">
        <w:t>-PFHxA</w:t>
      </w:r>
    </w:p>
    <w:p w14:paraId="1EDEA694" w14:textId="77777777" w:rsidR="006A6710" w:rsidRDefault="006A6710" w:rsidP="00527C84">
      <w:pPr>
        <w:pStyle w:val="ListParagraph"/>
        <w:numPr>
          <w:ilvl w:val="0"/>
          <w:numId w:val="155"/>
        </w:numPr>
        <w:ind w:left="1440" w:right="255"/>
      </w:pPr>
      <w:r w:rsidRPr="002F727C">
        <w:rPr>
          <w:vertAlign w:val="superscript"/>
        </w:rPr>
        <w:t>13</w:t>
      </w:r>
      <w:r w:rsidRPr="00282E3D">
        <w:t>C</w:t>
      </w:r>
      <w:r w:rsidRPr="002F727C">
        <w:rPr>
          <w:vertAlign w:val="subscript"/>
        </w:rPr>
        <w:t>4</w:t>
      </w:r>
      <w:r w:rsidRPr="00282E3D">
        <w:t>-PFOA</w:t>
      </w:r>
    </w:p>
    <w:p w14:paraId="5EA939A8" w14:textId="77777777" w:rsidR="006A6710" w:rsidRDefault="006A6710" w:rsidP="00527C84">
      <w:pPr>
        <w:pStyle w:val="ListParagraph"/>
        <w:numPr>
          <w:ilvl w:val="0"/>
          <w:numId w:val="155"/>
        </w:numPr>
        <w:ind w:left="1440" w:right="255"/>
      </w:pPr>
      <w:r w:rsidRPr="002F727C">
        <w:rPr>
          <w:vertAlign w:val="superscript"/>
        </w:rPr>
        <w:t>13</w:t>
      </w:r>
      <w:r w:rsidRPr="00A66FF6">
        <w:t>C</w:t>
      </w:r>
      <w:r w:rsidRPr="002F727C">
        <w:rPr>
          <w:vertAlign w:val="subscript"/>
        </w:rPr>
        <w:t>5</w:t>
      </w:r>
      <w:r w:rsidRPr="00A66FF6">
        <w:t>-PFNA</w:t>
      </w:r>
    </w:p>
    <w:p w14:paraId="1D15BD39" w14:textId="77777777" w:rsidR="006A6710" w:rsidRDefault="006A6710" w:rsidP="00527C84">
      <w:pPr>
        <w:pStyle w:val="ListParagraph"/>
        <w:numPr>
          <w:ilvl w:val="0"/>
          <w:numId w:val="155"/>
        </w:numPr>
        <w:ind w:left="1440" w:right="255"/>
      </w:pPr>
      <w:r w:rsidRPr="002F727C">
        <w:rPr>
          <w:vertAlign w:val="superscript"/>
        </w:rPr>
        <w:t>13</w:t>
      </w:r>
      <w:r w:rsidRPr="00A66FF6">
        <w:t>C</w:t>
      </w:r>
      <w:r w:rsidRPr="002F727C">
        <w:rPr>
          <w:vertAlign w:val="subscript"/>
        </w:rPr>
        <w:t>2</w:t>
      </w:r>
      <w:r w:rsidRPr="00A66FF6">
        <w:t>-PFDA</w:t>
      </w:r>
    </w:p>
    <w:p w14:paraId="1B89E5C5" w14:textId="66B17B84" w:rsidR="00C12CBC" w:rsidRDefault="006A6710" w:rsidP="00527C84">
      <w:pPr>
        <w:pStyle w:val="ListParagraph"/>
        <w:numPr>
          <w:ilvl w:val="0"/>
          <w:numId w:val="155"/>
        </w:numPr>
        <w:ind w:left="1440" w:right="255"/>
      </w:pPr>
      <w:r w:rsidRPr="002F727C">
        <w:rPr>
          <w:vertAlign w:val="superscript"/>
        </w:rPr>
        <w:t>18</w:t>
      </w:r>
      <w:r w:rsidRPr="00A66FF6">
        <w:t>O</w:t>
      </w:r>
      <w:r w:rsidRPr="002F727C">
        <w:rPr>
          <w:vertAlign w:val="subscript"/>
        </w:rPr>
        <w:t>2</w:t>
      </w:r>
      <w:r w:rsidRPr="00A66FF6">
        <w:t>-PFHxS</w:t>
      </w:r>
    </w:p>
    <w:p w14:paraId="793F6B6C" w14:textId="7EED23FE" w:rsidR="00C36049" w:rsidRPr="00D3446E" w:rsidRDefault="006A6710" w:rsidP="00527C84">
      <w:pPr>
        <w:pStyle w:val="ListParagraph"/>
        <w:numPr>
          <w:ilvl w:val="0"/>
          <w:numId w:val="155"/>
        </w:numPr>
        <w:ind w:left="1440" w:right="255"/>
      </w:pPr>
      <w:r w:rsidRPr="00C12CBC">
        <w:rPr>
          <w:vertAlign w:val="superscript"/>
        </w:rPr>
        <w:t>13</w:t>
      </w:r>
      <w:r w:rsidRPr="008833CD">
        <w:t>C</w:t>
      </w:r>
      <w:r w:rsidRPr="00C12CBC">
        <w:rPr>
          <w:vertAlign w:val="subscript"/>
        </w:rPr>
        <w:t>4</w:t>
      </w:r>
      <w:r w:rsidRPr="008833CD">
        <w:t>-PFOS</w:t>
      </w:r>
    </w:p>
    <w:p w14:paraId="620EC233" w14:textId="77777777" w:rsidR="0031290A" w:rsidRDefault="0031290A" w:rsidP="0068657A">
      <w:pPr>
        <w:spacing w:after="0" w:line="259" w:lineRule="auto"/>
        <w:ind w:left="720" w:right="0" w:firstLine="0"/>
      </w:pPr>
      <w:r>
        <w:t xml:space="preserve"> </w:t>
      </w:r>
    </w:p>
    <w:p w14:paraId="4B8C2167" w14:textId="77777777" w:rsidR="009D06AA" w:rsidRDefault="009D06AA" w:rsidP="00527C84">
      <w:pPr>
        <w:ind w:left="720" w:right="255" w:firstLine="0"/>
      </w:pPr>
      <w:r>
        <w:t xml:space="preserve">Quantitation for </w:t>
      </w:r>
      <w:r w:rsidRPr="00527C84">
        <w:rPr>
          <w:b/>
          <w:bCs/>
        </w:rPr>
        <w:t>Method 533</w:t>
      </w:r>
      <w:r>
        <w:t xml:space="preserve"> is based on isotope dilution calibration rather than internal standards.  Isotope dilution analogues and corresponding PFAS analytes are listed on Table 5 of Method 533.  The recommended isotope performance standards for Method 533 are:</w:t>
      </w:r>
    </w:p>
    <w:p w14:paraId="5C1621E9" w14:textId="77777777" w:rsidR="00AE066F" w:rsidRDefault="00AE066F" w:rsidP="00527C84">
      <w:pPr>
        <w:ind w:left="720" w:right="255" w:firstLine="0"/>
      </w:pPr>
    </w:p>
    <w:p w14:paraId="59EA5863" w14:textId="77777777" w:rsidR="009D06AA" w:rsidRDefault="009D06AA" w:rsidP="007F1A9F">
      <w:pPr>
        <w:pStyle w:val="ListParagraph"/>
        <w:numPr>
          <w:ilvl w:val="0"/>
          <w:numId w:val="156"/>
        </w:numPr>
        <w:ind w:right="255"/>
      </w:pPr>
      <w:r w:rsidRPr="002F727C">
        <w:rPr>
          <w:vertAlign w:val="superscript"/>
        </w:rPr>
        <w:t>13</w:t>
      </w:r>
      <w:r w:rsidRPr="00042331">
        <w:t>C</w:t>
      </w:r>
      <w:r w:rsidRPr="002F727C">
        <w:rPr>
          <w:vertAlign w:val="subscript"/>
        </w:rPr>
        <w:t>3</w:t>
      </w:r>
      <w:r w:rsidRPr="00042331">
        <w:t>-PFBA</w:t>
      </w:r>
    </w:p>
    <w:p w14:paraId="0E4DC45B" w14:textId="77777777" w:rsidR="009D06AA" w:rsidRDefault="009D06AA" w:rsidP="007F1A9F">
      <w:pPr>
        <w:pStyle w:val="ListParagraph"/>
        <w:numPr>
          <w:ilvl w:val="0"/>
          <w:numId w:val="156"/>
        </w:numPr>
        <w:ind w:right="255"/>
      </w:pPr>
      <w:r w:rsidRPr="002F727C">
        <w:rPr>
          <w:vertAlign w:val="superscript"/>
        </w:rPr>
        <w:t>13</w:t>
      </w:r>
      <w:r w:rsidRPr="00042331">
        <w:t>C</w:t>
      </w:r>
      <w:r w:rsidRPr="002F727C">
        <w:rPr>
          <w:vertAlign w:val="subscript"/>
        </w:rPr>
        <w:t>2</w:t>
      </w:r>
      <w:r w:rsidRPr="00042331">
        <w:t>-PFOA</w:t>
      </w:r>
    </w:p>
    <w:p w14:paraId="58728A3C" w14:textId="77777777" w:rsidR="009D06AA" w:rsidRDefault="009D06AA" w:rsidP="007F1A9F">
      <w:pPr>
        <w:pStyle w:val="ListParagraph"/>
        <w:numPr>
          <w:ilvl w:val="0"/>
          <w:numId w:val="156"/>
        </w:numPr>
        <w:ind w:right="255"/>
      </w:pPr>
      <w:r w:rsidRPr="002F727C">
        <w:rPr>
          <w:vertAlign w:val="superscript"/>
        </w:rPr>
        <w:t>13</w:t>
      </w:r>
      <w:r w:rsidRPr="00042331">
        <w:t>C</w:t>
      </w:r>
      <w:r w:rsidRPr="002F727C">
        <w:rPr>
          <w:vertAlign w:val="subscript"/>
        </w:rPr>
        <w:t>4</w:t>
      </w:r>
      <w:r w:rsidRPr="00042331">
        <w:t>-PFOS</w:t>
      </w:r>
    </w:p>
    <w:p w14:paraId="5D82CC0D" w14:textId="77777777" w:rsidR="00303A1A" w:rsidRDefault="00303A1A" w:rsidP="00527C84">
      <w:pPr>
        <w:ind w:left="720" w:right="255" w:firstLine="0"/>
      </w:pPr>
    </w:p>
    <w:p w14:paraId="2B16A517" w14:textId="2BF127AE" w:rsidR="00303A1A" w:rsidRDefault="0016079E" w:rsidP="00284192">
      <w:pPr>
        <w:ind w:left="720" w:right="255" w:firstLine="0"/>
      </w:pPr>
      <w:r>
        <w:t xml:space="preserve">Quantitation for </w:t>
      </w:r>
      <w:r w:rsidRPr="00284192">
        <w:rPr>
          <w:b/>
          <w:bCs/>
        </w:rPr>
        <w:t>Method 8327</w:t>
      </w:r>
      <w:r>
        <w:t xml:space="preserve"> is based on external standard calibration models rather than internal standards or isotope dilution.</w:t>
      </w:r>
    </w:p>
    <w:p w14:paraId="30A71145" w14:textId="77777777" w:rsidR="00DE43DD" w:rsidRDefault="00DE43DD" w:rsidP="0068657A">
      <w:pPr>
        <w:spacing w:after="0" w:line="259" w:lineRule="auto"/>
        <w:ind w:left="720" w:right="0" w:firstLine="0"/>
      </w:pPr>
    </w:p>
    <w:p w14:paraId="0DD31198" w14:textId="0C1B4FEF" w:rsidR="003378D6" w:rsidRDefault="003378D6" w:rsidP="00EF0260">
      <w:pPr>
        <w:spacing w:after="0" w:line="259" w:lineRule="auto"/>
        <w:ind w:left="720" w:right="0" w:firstLine="0"/>
      </w:pPr>
      <w:r w:rsidRPr="003378D6">
        <w:t xml:space="preserve">The internal standard selected for quantitation of a particular target compound must be the internal standard that has a retention time closest to the retention time of the analyte being measured. </w:t>
      </w:r>
      <w:r w:rsidR="00035E2C">
        <w:t xml:space="preserve"> </w:t>
      </w:r>
      <w:r w:rsidRPr="003378D6">
        <w:t xml:space="preserve">TABLE </w:t>
      </w:r>
      <w:r w:rsidR="00322D99">
        <w:t>45</w:t>
      </w:r>
      <w:r w:rsidRPr="003378D6">
        <w:rPr>
          <w:i/>
        </w:rPr>
        <w:t xml:space="preserve"> </w:t>
      </w:r>
      <w:r w:rsidRPr="003378D6">
        <w:lastRenderedPageBreak/>
        <w:t>lists the possible assignment of target compounds to the recommended internal standards for quantitation</w:t>
      </w:r>
      <w:r w:rsidR="0083780F">
        <w:t xml:space="preserve"> for </w:t>
      </w:r>
      <w:r w:rsidR="0083780F" w:rsidRPr="00284192">
        <w:rPr>
          <w:b/>
          <w:bCs/>
        </w:rPr>
        <w:t>Method 537.1</w:t>
      </w:r>
      <w:r w:rsidRPr="003378D6">
        <w:t>.</w:t>
      </w:r>
    </w:p>
    <w:p w14:paraId="41AB1946" w14:textId="5237F30F" w:rsidR="0031290A" w:rsidRDefault="0031290A" w:rsidP="0031290A">
      <w:pPr>
        <w:pStyle w:val="Heading5"/>
        <w:ind w:left="1152"/>
      </w:pPr>
      <w:r>
        <w:t xml:space="preserve">TABLE </w:t>
      </w:r>
      <w:r w:rsidR="00322D99">
        <w:t>45</w:t>
      </w:r>
      <w:r w:rsidR="00255111">
        <w:t xml:space="preserve"> </w:t>
      </w:r>
    </w:p>
    <w:p w14:paraId="5BF579AE" w14:textId="5C7C0ED2" w:rsidR="0031290A" w:rsidRDefault="0031290A" w:rsidP="0031290A">
      <w:pPr>
        <w:spacing w:after="2" w:line="259" w:lineRule="auto"/>
        <w:ind w:left="1450" w:right="735"/>
        <w:jc w:val="center"/>
        <w:rPr>
          <w:b/>
        </w:rPr>
      </w:pPr>
      <w:r>
        <w:rPr>
          <w:b/>
        </w:rPr>
        <w:t xml:space="preserve">Examples of </w:t>
      </w:r>
      <w:r w:rsidR="0063794D">
        <w:rPr>
          <w:b/>
        </w:rPr>
        <w:t xml:space="preserve">PFAS </w:t>
      </w:r>
      <w:r>
        <w:rPr>
          <w:b/>
        </w:rPr>
        <w:t xml:space="preserve">Internal Standards with Corresponding Analytes Assigned for Quantitation </w:t>
      </w:r>
    </w:p>
    <w:p w14:paraId="7349ED96" w14:textId="77777777" w:rsidR="0031290A" w:rsidRDefault="0031290A" w:rsidP="0031290A">
      <w:pPr>
        <w:spacing w:after="2" w:line="259" w:lineRule="auto"/>
        <w:ind w:left="1450" w:right="735"/>
        <w:jc w:val="center"/>
      </w:pPr>
    </w:p>
    <w:tbl>
      <w:tblPr>
        <w:tblStyle w:val="TableGrid1"/>
        <w:tblW w:w="7720" w:type="dxa"/>
        <w:tblInd w:w="1535" w:type="dxa"/>
        <w:tblCellMar>
          <w:left w:w="120" w:type="dxa"/>
          <w:right w:w="115" w:type="dxa"/>
        </w:tblCellMar>
        <w:tblLook w:val="04A0" w:firstRow="1" w:lastRow="0" w:firstColumn="1" w:lastColumn="0" w:noHBand="0" w:noVBand="1"/>
      </w:tblPr>
      <w:tblGrid>
        <w:gridCol w:w="2484"/>
        <w:gridCol w:w="2626"/>
        <w:gridCol w:w="2610"/>
      </w:tblGrid>
      <w:tr w:rsidR="0050371F" w14:paraId="767D8501" w14:textId="77777777" w:rsidTr="0050371F">
        <w:trPr>
          <w:trHeight w:val="437"/>
        </w:trPr>
        <w:tc>
          <w:tcPr>
            <w:tcW w:w="2484" w:type="dxa"/>
            <w:tcBorders>
              <w:top w:val="single" w:sz="12" w:space="0" w:color="000000"/>
              <w:left w:val="single" w:sz="12" w:space="0" w:color="000000"/>
              <w:bottom w:val="single" w:sz="12" w:space="0" w:color="000000"/>
              <w:right w:val="single" w:sz="12" w:space="0" w:color="000000"/>
            </w:tcBorders>
            <w:vAlign w:val="center"/>
          </w:tcPr>
          <w:p w14:paraId="762C8A7A" w14:textId="388C2F18" w:rsidR="0031290A" w:rsidRPr="00E55BF5" w:rsidRDefault="00254479">
            <w:pPr>
              <w:spacing w:after="0" w:line="259" w:lineRule="auto"/>
              <w:ind w:left="0" w:right="12" w:firstLine="0"/>
              <w:jc w:val="center"/>
              <w:rPr>
                <w:b/>
                <w:bCs/>
              </w:rPr>
            </w:pPr>
            <w:r w:rsidRPr="005D2B83">
              <w:rPr>
                <w:b/>
                <w:vertAlign w:val="superscript"/>
              </w:rPr>
              <w:t>13</w:t>
            </w:r>
            <w:r w:rsidRPr="005D2B83">
              <w:rPr>
                <w:b/>
              </w:rPr>
              <w:t>C-PFOA</w:t>
            </w:r>
          </w:p>
        </w:tc>
        <w:tc>
          <w:tcPr>
            <w:tcW w:w="2626" w:type="dxa"/>
            <w:tcBorders>
              <w:top w:val="single" w:sz="12" w:space="0" w:color="000000"/>
              <w:left w:val="single" w:sz="12" w:space="0" w:color="000000"/>
              <w:bottom w:val="single" w:sz="12" w:space="0" w:color="000000"/>
              <w:right w:val="single" w:sz="12" w:space="0" w:color="000000"/>
            </w:tcBorders>
            <w:vAlign w:val="center"/>
          </w:tcPr>
          <w:p w14:paraId="25C9553F" w14:textId="1DDCC4E7" w:rsidR="0031290A" w:rsidRDefault="00254479">
            <w:pPr>
              <w:spacing w:after="0" w:line="259" w:lineRule="auto"/>
              <w:ind w:left="0" w:right="6" w:firstLine="0"/>
              <w:jc w:val="center"/>
            </w:pPr>
            <w:r w:rsidRPr="005D2B83">
              <w:rPr>
                <w:b/>
                <w:vertAlign w:val="superscript"/>
              </w:rPr>
              <w:t>13</w:t>
            </w:r>
            <w:r w:rsidRPr="005D2B83">
              <w:rPr>
                <w:b/>
              </w:rPr>
              <w:t>C-PFOS</w:t>
            </w:r>
            <w:r w:rsidR="0031290A" w:rsidRPr="005D2B83">
              <w:rPr>
                <w:b/>
              </w:rPr>
              <w:t xml:space="preserve"> </w:t>
            </w:r>
          </w:p>
        </w:tc>
        <w:tc>
          <w:tcPr>
            <w:tcW w:w="2610" w:type="dxa"/>
            <w:tcBorders>
              <w:top w:val="single" w:sz="12" w:space="0" w:color="000000"/>
              <w:left w:val="single" w:sz="12" w:space="0" w:color="000000"/>
              <w:bottom w:val="single" w:sz="12" w:space="0" w:color="000000"/>
              <w:right w:val="single" w:sz="12" w:space="0" w:color="000000"/>
            </w:tcBorders>
            <w:vAlign w:val="center"/>
          </w:tcPr>
          <w:p w14:paraId="37D80D28" w14:textId="26B30367" w:rsidR="0031290A" w:rsidRDefault="00D33BD1">
            <w:pPr>
              <w:spacing w:after="0" w:line="259" w:lineRule="auto"/>
              <w:ind w:left="0" w:right="7" w:firstLine="0"/>
              <w:jc w:val="center"/>
            </w:pPr>
            <w:r w:rsidRPr="005D2B83">
              <w:rPr>
                <w:b/>
              </w:rPr>
              <w:t>d</w:t>
            </w:r>
            <w:r w:rsidRPr="005D2B83">
              <w:rPr>
                <w:b/>
                <w:vertAlign w:val="subscript"/>
              </w:rPr>
              <w:t>3</w:t>
            </w:r>
            <w:r w:rsidRPr="005D2B83">
              <w:rPr>
                <w:b/>
              </w:rPr>
              <w:t>-NMeFOSAA</w:t>
            </w:r>
          </w:p>
        </w:tc>
      </w:tr>
      <w:tr w:rsidR="0050371F" w14:paraId="1F6876AB" w14:textId="77777777" w:rsidTr="0050371F">
        <w:trPr>
          <w:trHeight w:val="3426"/>
        </w:trPr>
        <w:tc>
          <w:tcPr>
            <w:tcW w:w="2484" w:type="dxa"/>
            <w:tcBorders>
              <w:top w:val="single" w:sz="12" w:space="0" w:color="000000"/>
              <w:left w:val="single" w:sz="12" w:space="0" w:color="000000"/>
              <w:bottom w:val="single" w:sz="12" w:space="0" w:color="000000"/>
              <w:right w:val="single" w:sz="12" w:space="0" w:color="000000"/>
            </w:tcBorders>
          </w:tcPr>
          <w:p w14:paraId="48647086" w14:textId="3C965E16" w:rsidR="0031290A" w:rsidRPr="00F61903" w:rsidRDefault="00E03C1F">
            <w:pPr>
              <w:spacing w:after="0" w:line="259" w:lineRule="auto"/>
              <w:ind w:left="0" w:right="0" w:firstLine="0"/>
              <w:rPr>
                <w:sz w:val="20"/>
              </w:rPr>
            </w:pPr>
            <w:r>
              <w:t>PFOA</w:t>
            </w:r>
            <w:r w:rsidRPr="00F61903">
              <w:t xml:space="preserve"> </w:t>
            </w:r>
          </w:p>
          <w:p w14:paraId="503D9394" w14:textId="6FA43965" w:rsidR="0031290A" w:rsidRPr="00F61903" w:rsidRDefault="00E03C1F">
            <w:pPr>
              <w:pStyle w:val="Default"/>
              <w:rPr>
                <w:rFonts w:ascii="Times New Roman" w:hAnsi="Times New Roman" w:cs="Times New Roman"/>
                <w:sz w:val="22"/>
                <w:szCs w:val="22"/>
              </w:rPr>
            </w:pPr>
            <w:proofErr w:type="spellStart"/>
            <w:r>
              <w:rPr>
                <w:rFonts w:ascii="Times New Roman" w:hAnsi="Times New Roman" w:cs="Times New Roman"/>
                <w:sz w:val="22"/>
                <w:szCs w:val="22"/>
              </w:rPr>
              <w:t>PFHxA</w:t>
            </w:r>
            <w:proofErr w:type="spellEnd"/>
            <w:r w:rsidRPr="00F61903">
              <w:rPr>
                <w:rFonts w:ascii="Times New Roman" w:hAnsi="Times New Roman" w:cs="Times New Roman"/>
                <w:sz w:val="22"/>
                <w:szCs w:val="22"/>
              </w:rPr>
              <w:t xml:space="preserve"> </w:t>
            </w:r>
          </w:p>
          <w:p w14:paraId="655378DE" w14:textId="0A3ADBDE" w:rsidR="0031290A" w:rsidRPr="00F61903" w:rsidRDefault="00E03C1F">
            <w:pPr>
              <w:pStyle w:val="Default"/>
              <w:rPr>
                <w:rFonts w:ascii="Times New Roman" w:hAnsi="Times New Roman" w:cs="Times New Roman"/>
                <w:sz w:val="22"/>
                <w:szCs w:val="22"/>
              </w:rPr>
            </w:pPr>
            <w:proofErr w:type="spellStart"/>
            <w:r>
              <w:rPr>
                <w:rFonts w:ascii="Times New Roman" w:hAnsi="Times New Roman" w:cs="Times New Roman"/>
                <w:sz w:val="22"/>
                <w:szCs w:val="22"/>
              </w:rPr>
              <w:t>PFHpA</w:t>
            </w:r>
            <w:proofErr w:type="spellEnd"/>
            <w:r w:rsidRPr="00F61903">
              <w:rPr>
                <w:rFonts w:ascii="Times New Roman" w:hAnsi="Times New Roman" w:cs="Times New Roman"/>
                <w:sz w:val="22"/>
                <w:szCs w:val="22"/>
              </w:rPr>
              <w:t xml:space="preserve"> </w:t>
            </w:r>
          </w:p>
          <w:p w14:paraId="4E50D043" w14:textId="0F119703" w:rsidR="0031290A" w:rsidRPr="00F61903" w:rsidRDefault="00E03C1F">
            <w:pPr>
              <w:pStyle w:val="Default"/>
              <w:rPr>
                <w:rFonts w:ascii="Times New Roman" w:hAnsi="Times New Roman" w:cs="Times New Roman"/>
                <w:sz w:val="22"/>
                <w:szCs w:val="22"/>
              </w:rPr>
            </w:pPr>
            <w:r>
              <w:rPr>
                <w:rFonts w:ascii="Times New Roman" w:hAnsi="Times New Roman" w:cs="Times New Roman"/>
                <w:sz w:val="22"/>
                <w:szCs w:val="22"/>
              </w:rPr>
              <w:t>PFNA</w:t>
            </w:r>
            <w:r w:rsidRPr="00F61903">
              <w:rPr>
                <w:rFonts w:ascii="Times New Roman" w:hAnsi="Times New Roman" w:cs="Times New Roman"/>
                <w:sz w:val="22"/>
                <w:szCs w:val="22"/>
              </w:rPr>
              <w:t xml:space="preserve"> </w:t>
            </w:r>
          </w:p>
          <w:p w14:paraId="0D527E99" w14:textId="30DB0CE2" w:rsidR="0031290A" w:rsidRPr="00F61903" w:rsidRDefault="00E03C1F">
            <w:pPr>
              <w:pStyle w:val="Default"/>
              <w:rPr>
                <w:rFonts w:ascii="Times New Roman" w:hAnsi="Times New Roman" w:cs="Times New Roman"/>
                <w:sz w:val="22"/>
                <w:szCs w:val="22"/>
              </w:rPr>
            </w:pPr>
            <w:r>
              <w:rPr>
                <w:rFonts w:ascii="Times New Roman" w:hAnsi="Times New Roman" w:cs="Times New Roman"/>
                <w:sz w:val="22"/>
                <w:szCs w:val="22"/>
              </w:rPr>
              <w:t>PFDA</w:t>
            </w:r>
            <w:r w:rsidR="0031290A" w:rsidRPr="00F61903">
              <w:rPr>
                <w:rFonts w:ascii="Times New Roman" w:hAnsi="Times New Roman" w:cs="Times New Roman"/>
                <w:sz w:val="22"/>
                <w:szCs w:val="22"/>
              </w:rPr>
              <w:t xml:space="preserve"> </w:t>
            </w:r>
          </w:p>
          <w:p w14:paraId="30CF6868" w14:textId="5E89F5D1" w:rsidR="0031290A" w:rsidRPr="00F61903" w:rsidRDefault="00E03C1F">
            <w:pPr>
              <w:pStyle w:val="Default"/>
              <w:rPr>
                <w:rFonts w:ascii="Times New Roman" w:hAnsi="Times New Roman" w:cs="Times New Roman"/>
                <w:sz w:val="22"/>
                <w:szCs w:val="22"/>
              </w:rPr>
            </w:pPr>
            <w:proofErr w:type="spellStart"/>
            <w:r>
              <w:rPr>
                <w:rFonts w:ascii="Times New Roman" w:hAnsi="Times New Roman" w:cs="Times New Roman"/>
                <w:sz w:val="22"/>
                <w:szCs w:val="22"/>
              </w:rPr>
              <w:t>PFUnA</w:t>
            </w:r>
            <w:proofErr w:type="spellEnd"/>
            <w:r w:rsidR="0031290A" w:rsidRPr="00F61903">
              <w:rPr>
                <w:rFonts w:ascii="Times New Roman" w:hAnsi="Times New Roman" w:cs="Times New Roman"/>
                <w:sz w:val="22"/>
                <w:szCs w:val="22"/>
              </w:rPr>
              <w:t xml:space="preserve"> </w:t>
            </w:r>
          </w:p>
          <w:p w14:paraId="1FE539CC" w14:textId="6DA84A36" w:rsidR="0031290A" w:rsidRPr="00F61903" w:rsidRDefault="00E03C1F">
            <w:pPr>
              <w:pStyle w:val="Default"/>
              <w:rPr>
                <w:rFonts w:ascii="Times New Roman" w:hAnsi="Times New Roman" w:cs="Times New Roman"/>
                <w:sz w:val="22"/>
                <w:szCs w:val="22"/>
              </w:rPr>
            </w:pPr>
            <w:proofErr w:type="spellStart"/>
            <w:r>
              <w:rPr>
                <w:rFonts w:ascii="Times New Roman" w:hAnsi="Times New Roman" w:cs="Times New Roman"/>
                <w:sz w:val="22"/>
                <w:szCs w:val="22"/>
              </w:rPr>
              <w:t>PF</w:t>
            </w:r>
            <w:r w:rsidR="007C55F4">
              <w:rPr>
                <w:rFonts w:ascii="Times New Roman" w:hAnsi="Times New Roman" w:cs="Times New Roman"/>
                <w:sz w:val="22"/>
                <w:szCs w:val="22"/>
              </w:rPr>
              <w:t>DoA</w:t>
            </w:r>
            <w:proofErr w:type="spellEnd"/>
            <w:r w:rsidRPr="00F61903">
              <w:rPr>
                <w:rFonts w:ascii="Times New Roman" w:hAnsi="Times New Roman" w:cs="Times New Roman"/>
                <w:sz w:val="22"/>
                <w:szCs w:val="22"/>
              </w:rPr>
              <w:t xml:space="preserve"> </w:t>
            </w:r>
          </w:p>
          <w:p w14:paraId="37E6FCAF" w14:textId="6C33DA0C" w:rsidR="0031290A" w:rsidRPr="00F61903" w:rsidRDefault="007C55F4">
            <w:pPr>
              <w:pStyle w:val="Default"/>
              <w:rPr>
                <w:rFonts w:ascii="Times New Roman" w:hAnsi="Times New Roman" w:cs="Times New Roman"/>
                <w:sz w:val="22"/>
                <w:szCs w:val="22"/>
              </w:rPr>
            </w:pPr>
            <w:proofErr w:type="spellStart"/>
            <w:r>
              <w:rPr>
                <w:rFonts w:ascii="Times New Roman" w:hAnsi="Times New Roman" w:cs="Times New Roman"/>
                <w:sz w:val="22"/>
                <w:szCs w:val="22"/>
              </w:rPr>
              <w:t>PFTrDA</w:t>
            </w:r>
            <w:proofErr w:type="spellEnd"/>
            <w:r w:rsidRPr="00F61903">
              <w:rPr>
                <w:rFonts w:ascii="Times New Roman" w:hAnsi="Times New Roman" w:cs="Times New Roman"/>
                <w:sz w:val="22"/>
                <w:szCs w:val="22"/>
              </w:rPr>
              <w:t xml:space="preserve"> </w:t>
            </w:r>
          </w:p>
          <w:p w14:paraId="33789A8B" w14:textId="1C40F5DF" w:rsidR="0031290A" w:rsidRPr="00F61903" w:rsidRDefault="007C55F4">
            <w:pPr>
              <w:pStyle w:val="Default"/>
              <w:rPr>
                <w:rFonts w:ascii="Times New Roman" w:hAnsi="Times New Roman" w:cs="Times New Roman"/>
                <w:sz w:val="22"/>
                <w:szCs w:val="22"/>
              </w:rPr>
            </w:pPr>
            <w:r>
              <w:rPr>
                <w:rFonts w:ascii="Times New Roman" w:hAnsi="Times New Roman" w:cs="Times New Roman"/>
                <w:sz w:val="22"/>
                <w:szCs w:val="22"/>
              </w:rPr>
              <w:t>PFTA</w:t>
            </w:r>
            <w:r w:rsidRPr="00F61903">
              <w:rPr>
                <w:rFonts w:ascii="Times New Roman" w:hAnsi="Times New Roman" w:cs="Times New Roman"/>
                <w:sz w:val="22"/>
                <w:szCs w:val="22"/>
              </w:rPr>
              <w:t xml:space="preserve"> </w:t>
            </w:r>
          </w:p>
          <w:p w14:paraId="34CD9F96" w14:textId="03253B11" w:rsidR="0031290A" w:rsidRPr="00F61903" w:rsidRDefault="007C55F4">
            <w:pPr>
              <w:pStyle w:val="Default"/>
              <w:rPr>
                <w:rFonts w:ascii="Times New Roman" w:hAnsi="Times New Roman" w:cs="Times New Roman"/>
                <w:sz w:val="22"/>
                <w:szCs w:val="22"/>
              </w:rPr>
            </w:pPr>
            <w:r w:rsidRPr="004E0406">
              <w:rPr>
                <w:rFonts w:ascii="Times New Roman" w:hAnsi="Times New Roman" w:cs="Times New Roman"/>
                <w:sz w:val="22"/>
                <w:szCs w:val="22"/>
                <w:vertAlign w:val="superscript"/>
              </w:rPr>
              <w:t>13</w:t>
            </w:r>
            <w:r>
              <w:rPr>
                <w:rFonts w:ascii="Times New Roman" w:hAnsi="Times New Roman" w:cs="Times New Roman"/>
                <w:sz w:val="22"/>
                <w:szCs w:val="22"/>
              </w:rPr>
              <w:t>C-PF</w:t>
            </w:r>
            <w:r w:rsidR="00AD66AB">
              <w:rPr>
                <w:rFonts w:ascii="Times New Roman" w:hAnsi="Times New Roman" w:cs="Times New Roman"/>
                <w:sz w:val="22"/>
                <w:szCs w:val="22"/>
              </w:rPr>
              <w:t>HxA</w:t>
            </w:r>
            <w:r w:rsidRPr="00F61903">
              <w:rPr>
                <w:rFonts w:ascii="Times New Roman" w:hAnsi="Times New Roman" w:cs="Times New Roman"/>
                <w:sz w:val="22"/>
                <w:szCs w:val="22"/>
              </w:rPr>
              <w:t xml:space="preserve"> </w:t>
            </w:r>
          </w:p>
          <w:p w14:paraId="4F701635" w14:textId="42D36EA2" w:rsidR="0031290A" w:rsidRPr="00F61903" w:rsidRDefault="00AD66AB">
            <w:pPr>
              <w:pStyle w:val="Default"/>
              <w:rPr>
                <w:rFonts w:ascii="Times New Roman" w:hAnsi="Times New Roman" w:cs="Times New Roman"/>
                <w:sz w:val="22"/>
                <w:szCs w:val="22"/>
              </w:rPr>
            </w:pPr>
            <w:r w:rsidRPr="004E0406">
              <w:rPr>
                <w:rFonts w:ascii="Times New Roman" w:hAnsi="Times New Roman" w:cs="Times New Roman"/>
                <w:sz w:val="22"/>
                <w:szCs w:val="22"/>
                <w:vertAlign w:val="superscript"/>
              </w:rPr>
              <w:t>13</w:t>
            </w:r>
            <w:r>
              <w:rPr>
                <w:rFonts w:ascii="Times New Roman" w:hAnsi="Times New Roman" w:cs="Times New Roman"/>
                <w:sz w:val="22"/>
                <w:szCs w:val="22"/>
              </w:rPr>
              <w:t>C-PFDA</w:t>
            </w:r>
          </w:p>
          <w:p w14:paraId="5987EC30" w14:textId="71A983BD" w:rsidR="00172A92" w:rsidRPr="00F61903" w:rsidRDefault="00172A92">
            <w:pPr>
              <w:pStyle w:val="Default"/>
              <w:rPr>
                <w:rFonts w:ascii="Times New Roman" w:hAnsi="Times New Roman" w:cs="Times New Roman"/>
                <w:sz w:val="22"/>
                <w:szCs w:val="22"/>
              </w:rPr>
            </w:pPr>
            <w:r>
              <w:rPr>
                <w:rFonts w:ascii="Times New Roman" w:hAnsi="Times New Roman" w:cs="Times New Roman"/>
                <w:sz w:val="22"/>
                <w:szCs w:val="22"/>
              </w:rPr>
              <w:t>HFPO-DA</w:t>
            </w:r>
          </w:p>
          <w:p w14:paraId="7F55D596" w14:textId="3A0ABF0C" w:rsidR="0031290A" w:rsidRPr="00F61903" w:rsidRDefault="00253697" w:rsidP="00861B5B">
            <w:pPr>
              <w:pStyle w:val="Default"/>
            </w:pPr>
            <w:r>
              <w:rPr>
                <w:rFonts w:ascii="Times New Roman" w:hAnsi="Times New Roman" w:cs="Times New Roman"/>
                <w:sz w:val="22"/>
                <w:szCs w:val="22"/>
              </w:rPr>
              <w:t>ADONA</w:t>
            </w:r>
          </w:p>
        </w:tc>
        <w:tc>
          <w:tcPr>
            <w:tcW w:w="2626" w:type="dxa"/>
            <w:tcBorders>
              <w:top w:val="single" w:sz="12" w:space="0" w:color="000000"/>
              <w:left w:val="single" w:sz="12" w:space="0" w:color="000000"/>
              <w:bottom w:val="single" w:sz="12" w:space="0" w:color="000000"/>
              <w:right w:val="single" w:sz="12" w:space="0" w:color="000000"/>
            </w:tcBorders>
          </w:tcPr>
          <w:p w14:paraId="1AEFD04F" w14:textId="1D53A183" w:rsidR="0031290A" w:rsidRPr="00F61903" w:rsidRDefault="001905F9">
            <w:pPr>
              <w:pStyle w:val="Default"/>
              <w:rPr>
                <w:rFonts w:ascii="Times New Roman" w:hAnsi="Times New Roman" w:cs="Times New Roman"/>
                <w:sz w:val="22"/>
                <w:szCs w:val="22"/>
              </w:rPr>
            </w:pPr>
            <w:r>
              <w:rPr>
                <w:rFonts w:ascii="Times New Roman" w:hAnsi="Times New Roman" w:cs="Times New Roman"/>
                <w:sz w:val="22"/>
                <w:szCs w:val="22"/>
              </w:rPr>
              <w:t>PFOS</w:t>
            </w:r>
            <w:r w:rsidRPr="00F61903">
              <w:rPr>
                <w:rFonts w:ascii="Times New Roman" w:hAnsi="Times New Roman" w:cs="Times New Roman"/>
                <w:sz w:val="22"/>
                <w:szCs w:val="22"/>
              </w:rPr>
              <w:t xml:space="preserve"> </w:t>
            </w:r>
          </w:p>
          <w:p w14:paraId="7D172111" w14:textId="3A5A03E7" w:rsidR="0031290A" w:rsidRPr="00F61903" w:rsidRDefault="001905F9">
            <w:pPr>
              <w:pStyle w:val="Default"/>
              <w:rPr>
                <w:rFonts w:ascii="Times New Roman" w:hAnsi="Times New Roman" w:cs="Times New Roman"/>
                <w:sz w:val="22"/>
                <w:szCs w:val="22"/>
              </w:rPr>
            </w:pPr>
            <w:r>
              <w:rPr>
                <w:rFonts w:ascii="Times New Roman" w:hAnsi="Times New Roman" w:cs="Times New Roman"/>
                <w:sz w:val="22"/>
                <w:szCs w:val="22"/>
              </w:rPr>
              <w:t>PFBS</w:t>
            </w:r>
            <w:r w:rsidRPr="00F61903">
              <w:rPr>
                <w:rFonts w:ascii="Times New Roman" w:hAnsi="Times New Roman" w:cs="Times New Roman"/>
                <w:sz w:val="22"/>
                <w:szCs w:val="22"/>
              </w:rPr>
              <w:t xml:space="preserve"> </w:t>
            </w:r>
          </w:p>
          <w:p w14:paraId="7B5C761E" w14:textId="2A547E33" w:rsidR="0031290A" w:rsidRPr="00F61903" w:rsidRDefault="001905F9">
            <w:pPr>
              <w:pStyle w:val="Default"/>
              <w:rPr>
                <w:rFonts w:ascii="Times New Roman" w:hAnsi="Times New Roman" w:cs="Times New Roman"/>
                <w:sz w:val="22"/>
                <w:szCs w:val="22"/>
              </w:rPr>
            </w:pPr>
            <w:proofErr w:type="spellStart"/>
            <w:r>
              <w:rPr>
                <w:rFonts w:ascii="Times New Roman" w:hAnsi="Times New Roman" w:cs="Times New Roman"/>
                <w:sz w:val="22"/>
                <w:szCs w:val="22"/>
              </w:rPr>
              <w:t>PFH</w:t>
            </w:r>
            <w:r w:rsidR="007614F0">
              <w:rPr>
                <w:rFonts w:ascii="Times New Roman" w:hAnsi="Times New Roman" w:cs="Times New Roman"/>
                <w:sz w:val="22"/>
                <w:szCs w:val="22"/>
              </w:rPr>
              <w:t>xS</w:t>
            </w:r>
            <w:proofErr w:type="spellEnd"/>
            <w:r w:rsidR="0031290A" w:rsidRPr="00F61903">
              <w:rPr>
                <w:rFonts w:ascii="Times New Roman" w:hAnsi="Times New Roman" w:cs="Times New Roman"/>
                <w:sz w:val="22"/>
                <w:szCs w:val="22"/>
              </w:rPr>
              <w:t xml:space="preserve"> </w:t>
            </w:r>
          </w:p>
          <w:p w14:paraId="683E7292" w14:textId="274FE68A" w:rsidR="0031290A" w:rsidRDefault="00681AF8">
            <w:pPr>
              <w:spacing w:after="0" w:line="259" w:lineRule="auto"/>
              <w:ind w:left="0" w:right="0" w:firstLine="0"/>
            </w:pPr>
            <w:r>
              <w:t>9Cl</w:t>
            </w:r>
            <w:r w:rsidR="00BA6FE8">
              <w:t>-PF3ONS</w:t>
            </w:r>
          </w:p>
          <w:p w14:paraId="6064ED58" w14:textId="70511FB6" w:rsidR="0031290A" w:rsidRPr="00F61903" w:rsidRDefault="00BA6FE8">
            <w:pPr>
              <w:spacing w:after="0" w:line="259" w:lineRule="auto"/>
              <w:ind w:left="0" w:right="0" w:firstLine="0"/>
            </w:pPr>
            <w:r>
              <w:t>11Cl-PF3OUdS</w:t>
            </w:r>
          </w:p>
        </w:tc>
        <w:tc>
          <w:tcPr>
            <w:tcW w:w="2610" w:type="dxa"/>
            <w:tcBorders>
              <w:top w:val="single" w:sz="12" w:space="0" w:color="000000"/>
              <w:left w:val="single" w:sz="12" w:space="0" w:color="000000"/>
              <w:bottom w:val="single" w:sz="12" w:space="0" w:color="000000"/>
              <w:right w:val="single" w:sz="12" w:space="0" w:color="000000"/>
            </w:tcBorders>
          </w:tcPr>
          <w:p w14:paraId="1AF2383D" w14:textId="4D01F9B6" w:rsidR="0031290A" w:rsidRPr="00F61903" w:rsidRDefault="007614F0">
            <w:pPr>
              <w:pStyle w:val="Default"/>
              <w:rPr>
                <w:rFonts w:ascii="Times New Roman" w:hAnsi="Times New Roman" w:cs="Times New Roman"/>
                <w:sz w:val="22"/>
                <w:szCs w:val="22"/>
              </w:rPr>
            </w:pPr>
            <w:proofErr w:type="spellStart"/>
            <w:r>
              <w:rPr>
                <w:rFonts w:ascii="Times New Roman" w:hAnsi="Times New Roman" w:cs="Times New Roman"/>
                <w:sz w:val="22"/>
                <w:szCs w:val="22"/>
              </w:rPr>
              <w:t>NMeFOSAA</w:t>
            </w:r>
            <w:proofErr w:type="spellEnd"/>
            <w:r w:rsidR="0031290A" w:rsidRPr="00F61903">
              <w:rPr>
                <w:rFonts w:ascii="Times New Roman" w:hAnsi="Times New Roman" w:cs="Times New Roman"/>
                <w:sz w:val="22"/>
                <w:szCs w:val="22"/>
              </w:rPr>
              <w:t xml:space="preserve"> </w:t>
            </w:r>
          </w:p>
          <w:p w14:paraId="59644BE2" w14:textId="001CBCFD" w:rsidR="0031290A" w:rsidRPr="00F61903" w:rsidRDefault="007614F0">
            <w:pPr>
              <w:pStyle w:val="Default"/>
              <w:rPr>
                <w:rFonts w:ascii="Times New Roman" w:hAnsi="Times New Roman" w:cs="Times New Roman"/>
                <w:sz w:val="22"/>
                <w:szCs w:val="22"/>
              </w:rPr>
            </w:pPr>
            <w:proofErr w:type="spellStart"/>
            <w:r>
              <w:rPr>
                <w:rFonts w:ascii="Times New Roman" w:hAnsi="Times New Roman" w:cs="Times New Roman"/>
                <w:sz w:val="22"/>
                <w:szCs w:val="22"/>
              </w:rPr>
              <w:t>N</w:t>
            </w:r>
            <w:r w:rsidR="005C6394">
              <w:rPr>
                <w:rFonts w:ascii="Times New Roman" w:hAnsi="Times New Roman" w:cs="Times New Roman"/>
                <w:sz w:val="22"/>
                <w:szCs w:val="22"/>
              </w:rPr>
              <w:t>EtFOSAA</w:t>
            </w:r>
            <w:proofErr w:type="spellEnd"/>
            <w:r w:rsidRPr="00F61903">
              <w:rPr>
                <w:rFonts w:ascii="Times New Roman" w:hAnsi="Times New Roman" w:cs="Times New Roman"/>
                <w:sz w:val="22"/>
                <w:szCs w:val="22"/>
              </w:rPr>
              <w:t xml:space="preserve"> </w:t>
            </w:r>
          </w:p>
          <w:p w14:paraId="046485AA" w14:textId="3C623E12" w:rsidR="0031290A" w:rsidRPr="00F61903" w:rsidRDefault="005C6394" w:rsidP="00284192">
            <w:pPr>
              <w:pStyle w:val="Default"/>
            </w:pPr>
            <w:r>
              <w:rPr>
                <w:rFonts w:ascii="Times New Roman" w:hAnsi="Times New Roman" w:cs="Times New Roman"/>
                <w:sz w:val="22"/>
                <w:szCs w:val="22"/>
              </w:rPr>
              <w:t>d</w:t>
            </w:r>
            <w:r w:rsidRPr="0090154D">
              <w:rPr>
                <w:rFonts w:ascii="Times New Roman" w:hAnsi="Times New Roman" w:cs="Times New Roman"/>
                <w:sz w:val="22"/>
                <w:szCs w:val="22"/>
                <w:vertAlign w:val="subscript"/>
              </w:rPr>
              <w:t>5</w:t>
            </w:r>
            <w:r>
              <w:rPr>
                <w:rFonts w:ascii="Times New Roman" w:hAnsi="Times New Roman" w:cs="Times New Roman"/>
                <w:sz w:val="22"/>
                <w:szCs w:val="22"/>
              </w:rPr>
              <w:t>-NEtFOSAA</w:t>
            </w:r>
            <w:r w:rsidR="0031290A" w:rsidRPr="00F61903">
              <w:rPr>
                <w:rFonts w:ascii="Times New Roman" w:hAnsi="Times New Roman" w:cs="Times New Roman"/>
                <w:sz w:val="22"/>
                <w:szCs w:val="22"/>
              </w:rPr>
              <w:t xml:space="preserve"> </w:t>
            </w:r>
          </w:p>
        </w:tc>
      </w:tr>
    </w:tbl>
    <w:p w14:paraId="059D4289" w14:textId="77777777" w:rsidR="0031290A" w:rsidRDefault="0031290A" w:rsidP="0031290A">
      <w:pPr>
        <w:spacing w:after="0" w:line="259" w:lineRule="auto"/>
        <w:ind w:left="1440" w:right="0" w:firstLine="0"/>
      </w:pPr>
    </w:p>
    <w:p w14:paraId="3087B762" w14:textId="07415B2E" w:rsidR="007B2DD9" w:rsidRDefault="00421903" w:rsidP="00C575A7">
      <w:pPr>
        <w:spacing w:after="0" w:line="259" w:lineRule="auto"/>
        <w:ind w:left="720" w:right="0" w:firstLine="0"/>
      </w:pPr>
      <w:r w:rsidRPr="001167A5">
        <w:t xml:space="preserve">The Contractor must confirm that the method-specific criteria summarized in TABLE </w:t>
      </w:r>
      <w:r w:rsidR="008E4719">
        <w:t>46</w:t>
      </w:r>
      <w:r w:rsidRPr="001167A5">
        <w:t xml:space="preserve"> have been met for the </w:t>
      </w:r>
      <w:r w:rsidR="007E7265">
        <w:t>Internal Standard</w:t>
      </w:r>
      <w:r w:rsidRPr="001167A5">
        <w:t xml:space="preserve"> </w:t>
      </w:r>
      <w:r>
        <w:t xml:space="preserve">results </w:t>
      </w:r>
      <w:r w:rsidRPr="001167A5">
        <w:t xml:space="preserve">to be valid.  If the criteria in TABLE </w:t>
      </w:r>
      <w:r w:rsidR="008E4719">
        <w:t>46</w:t>
      </w:r>
      <w:r w:rsidRPr="001167A5">
        <w:t xml:space="preserve"> are not met, then corrective action must be taken according to method-specific recommendations</w:t>
      </w:r>
      <w:r w:rsidR="007D3D2E">
        <w:t>, and</w:t>
      </w:r>
      <w:r w:rsidR="007D3D2E" w:rsidRPr="007D3D2E">
        <w:t xml:space="preserve"> the analysis of all affected samples must be repeated</w:t>
      </w:r>
      <w:r w:rsidRPr="001167A5">
        <w:t>.</w:t>
      </w:r>
    </w:p>
    <w:p w14:paraId="174B03D6" w14:textId="77777777" w:rsidR="007B2DD9" w:rsidRDefault="007B2DD9" w:rsidP="0031290A">
      <w:pPr>
        <w:spacing w:after="0" w:line="259" w:lineRule="auto"/>
        <w:ind w:left="1440" w:right="0" w:firstLine="0"/>
      </w:pPr>
    </w:p>
    <w:p w14:paraId="31E38168" w14:textId="2EEB8487" w:rsidR="00955869" w:rsidRDefault="00955869" w:rsidP="00955869">
      <w:pPr>
        <w:spacing w:after="0" w:line="259" w:lineRule="auto"/>
        <w:ind w:left="0" w:right="0" w:firstLine="0"/>
        <w:jc w:val="center"/>
        <w:rPr>
          <w:rFonts w:eastAsia="Arial"/>
          <w:b/>
        </w:rPr>
      </w:pPr>
      <w:r>
        <w:rPr>
          <w:rFonts w:eastAsia="Arial"/>
          <w:b/>
          <w:bCs/>
        </w:rPr>
        <w:t>T</w:t>
      </w:r>
      <w:r w:rsidR="002D1EFE">
        <w:rPr>
          <w:rFonts w:eastAsia="Arial"/>
          <w:b/>
          <w:bCs/>
        </w:rPr>
        <w:t>ABLE</w:t>
      </w:r>
      <w:r>
        <w:rPr>
          <w:rFonts w:eastAsia="Arial"/>
          <w:b/>
          <w:bCs/>
        </w:rPr>
        <w:t xml:space="preserve"> </w:t>
      </w:r>
      <w:r w:rsidR="008E4719">
        <w:rPr>
          <w:rFonts w:eastAsia="Arial"/>
          <w:b/>
          <w:bCs/>
        </w:rPr>
        <w:t>46</w:t>
      </w:r>
    </w:p>
    <w:p w14:paraId="7FE83B15" w14:textId="2DD7441D" w:rsidR="00955869" w:rsidRDefault="00955869" w:rsidP="00955869">
      <w:pPr>
        <w:spacing w:after="0" w:line="259" w:lineRule="auto"/>
        <w:ind w:left="0" w:right="0" w:firstLine="0"/>
        <w:jc w:val="center"/>
        <w:rPr>
          <w:rFonts w:eastAsia="Arial"/>
          <w:b/>
          <w:bCs/>
        </w:rPr>
      </w:pPr>
      <w:r>
        <w:rPr>
          <w:rFonts w:eastAsia="Arial"/>
          <w:b/>
          <w:bCs/>
        </w:rPr>
        <w:t xml:space="preserve">Summary of </w:t>
      </w:r>
      <w:r w:rsidR="002D1EFE">
        <w:rPr>
          <w:rFonts w:eastAsia="Arial"/>
          <w:b/>
          <w:bCs/>
        </w:rPr>
        <w:t>Internal Standard</w:t>
      </w:r>
      <w:r>
        <w:rPr>
          <w:rFonts w:eastAsia="Arial"/>
          <w:b/>
          <w:bCs/>
        </w:rPr>
        <w:t xml:space="preserve"> Criteria for PFAS Analysis</w:t>
      </w:r>
    </w:p>
    <w:p w14:paraId="3C40CD44" w14:textId="77777777" w:rsidR="002A7604" w:rsidRDefault="002A7604" w:rsidP="00955869">
      <w:pPr>
        <w:spacing w:after="0" w:line="259" w:lineRule="auto"/>
        <w:ind w:left="0" w:right="0" w:firstLine="0"/>
        <w:jc w:val="center"/>
        <w:rPr>
          <w:rFonts w:eastAsia="Arial"/>
        </w:rPr>
      </w:pPr>
    </w:p>
    <w:tbl>
      <w:tblPr>
        <w:tblStyle w:val="TableGridLight"/>
        <w:tblW w:w="10515" w:type="dxa"/>
        <w:tblBorders>
          <w:top w:val="single" w:sz="12" w:space="0" w:color="auto"/>
          <w:left w:val="single" w:sz="12" w:space="0" w:color="auto"/>
          <w:bottom w:val="single" w:sz="12" w:space="0" w:color="auto"/>
          <w:right w:val="single" w:sz="2" w:space="0" w:color="auto"/>
          <w:insideH w:val="single" w:sz="2" w:space="0" w:color="auto"/>
          <w:insideV w:val="single" w:sz="12" w:space="0" w:color="auto"/>
        </w:tblBorders>
        <w:tblLook w:val="04A0" w:firstRow="1" w:lastRow="0" w:firstColumn="1" w:lastColumn="0" w:noHBand="0" w:noVBand="1"/>
      </w:tblPr>
      <w:tblGrid>
        <w:gridCol w:w="3321"/>
        <w:gridCol w:w="3324"/>
        <w:gridCol w:w="3870"/>
      </w:tblGrid>
      <w:tr w:rsidR="00955869" w14:paraId="4029F929" w14:textId="77777777" w:rsidTr="003B272D">
        <w:trPr>
          <w:tblHeader/>
        </w:trPr>
        <w:tc>
          <w:tcPr>
            <w:tcW w:w="3321" w:type="dxa"/>
            <w:tcBorders>
              <w:top w:val="single" w:sz="12" w:space="0" w:color="auto"/>
              <w:bottom w:val="single" w:sz="12" w:space="0" w:color="auto"/>
            </w:tcBorders>
          </w:tcPr>
          <w:p w14:paraId="0B2F9FB3" w14:textId="77777777" w:rsidR="00955869" w:rsidRPr="00CC585D" w:rsidRDefault="00955869" w:rsidP="00CC585D">
            <w:pPr>
              <w:spacing w:after="0" w:line="259" w:lineRule="auto"/>
              <w:ind w:left="0" w:right="0" w:firstLine="0"/>
              <w:jc w:val="center"/>
              <w:rPr>
                <w:rFonts w:eastAsia="Arial"/>
                <w:b/>
              </w:rPr>
            </w:pPr>
            <w:r w:rsidRPr="00CC585D">
              <w:rPr>
                <w:rFonts w:eastAsia="Arial"/>
                <w:b/>
              </w:rPr>
              <w:t>Method</w:t>
            </w:r>
          </w:p>
        </w:tc>
        <w:tc>
          <w:tcPr>
            <w:tcW w:w="3324" w:type="dxa"/>
            <w:tcBorders>
              <w:top w:val="single" w:sz="12" w:space="0" w:color="auto"/>
              <w:bottom w:val="single" w:sz="12" w:space="0" w:color="auto"/>
            </w:tcBorders>
          </w:tcPr>
          <w:p w14:paraId="3D0E4E4D" w14:textId="6A20AAAF" w:rsidR="00955869" w:rsidRPr="00CC585D" w:rsidRDefault="002D1EFE" w:rsidP="00CC585D">
            <w:pPr>
              <w:spacing w:after="0" w:line="259" w:lineRule="auto"/>
              <w:ind w:left="0" w:right="0" w:firstLine="0"/>
              <w:jc w:val="center"/>
              <w:rPr>
                <w:rFonts w:eastAsia="Arial"/>
                <w:b/>
              </w:rPr>
            </w:pPr>
            <w:r w:rsidRPr="00CC585D">
              <w:rPr>
                <w:rFonts w:eastAsia="Arial"/>
                <w:b/>
              </w:rPr>
              <w:t>Internal Standard</w:t>
            </w:r>
            <w:r w:rsidR="00955869" w:rsidRPr="00CC585D">
              <w:rPr>
                <w:rFonts w:eastAsia="Arial"/>
                <w:b/>
              </w:rPr>
              <w:t xml:space="preserve"> Specification and Frequency</w:t>
            </w:r>
          </w:p>
        </w:tc>
        <w:tc>
          <w:tcPr>
            <w:tcW w:w="3870" w:type="dxa"/>
            <w:tcBorders>
              <w:top w:val="single" w:sz="12" w:space="0" w:color="auto"/>
              <w:bottom w:val="single" w:sz="12" w:space="0" w:color="auto"/>
              <w:right w:val="single" w:sz="12" w:space="0" w:color="auto"/>
            </w:tcBorders>
          </w:tcPr>
          <w:p w14:paraId="68DEA342" w14:textId="30F4F053" w:rsidR="00955869" w:rsidRPr="00CC585D" w:rsidRDefault="00821588" w:rsidP="00CC585D">
            <w:pPr>
              <w:spacing w:after="0" w:line="259" w:lineRule="auto"/>
              <w:ind w:left="0" w:right="0" w:firstLine="0"/>
              <w:jc w:val="center"/>
              <w:rPr>
                <w:rFonts w:eastAsia="Arial"/>
                <w:b/>
              </w:rPr>
            </w:pPr>
            <w:r w:rsidRPr="00CC585D">
              <w:rPr>
                <w:rFonts w:eastAsia="Arial"/>
                <w:b/>
              </w:rPr>
              <w:t>Internal Standard</w:t>
            </w:r>
            <w:r w:rsidR="00955869" w:rsidRPr="00CC585D">
              <w:rPr>
                <w:rFonts w:eastAsia="Arial"/>
                <w:b/>
              </w:rPr>
              <w:t xml:space="preserve"> Acceptance Criteria</w:t>
            </w:r>
          </w:p>
        </w:tc>
      </w:tr>
      <w:tr w:rsidR="00955869" w14:paraId="72363F10" w14:textId="77777777" w:rsidTr="00861B5B">
        <w:tc>
          <w:tcPr>
            <w:tcW w:w="3321" w:type="dxa"/>
            <w:tcBorders>
              <w:top w:val="single" w:sz="12" w:space="0" w:color="auto"/>
            </w:tcBorders>
          </w:tcPr>
          <w:p w14:paraId="25488019" w14:textId="77777777" w:rsidR="00955869" w:rsidRDefault="00955869" w:rsidP="00932824">
            <w:pPr>
              <w:spacing w:after="0" w:line="259" w:lineRule="auto"/>
              <w:ind w:left="0" w:right="0" w:firstLine="0"/>
              <w:rPr>
                <w:rFonts w:eastAsia="Arial"/>
              </w:rPr>
            </w:pPr>
            <w:r>
              <w:rPr>
                <w:rFonts w:eastAsia="Arial"/>
              </w:rPr>
              <w:t>537.1</w:t>
            </w:r>
          </w:p>
        </w:tc>
        <w:tc>
          <w:tcPr>
            <w:tcW w:w="3324" w:type="dxa"/>
            <w:tcBorders>
              <w:top w:val="single" w:sz="12" w:space="0" w:color="auto"/>
            </w:tcBorders>
          </w:tcPr>
          <w:p w14:paraId="69670FA1" w14:textId="396BBCC8" w:rsidR="00955869" w:rsidRDefault="004E7DE4" w:rsidP="00932824">
            <w:pPr>
              <w:spacing w:after="0" w:line="259" w:lineRule="auto"/>
              <w:ind w:left="0" w:right="0" w:firstLine="0"/>
              <w:rPr>
                <w:rFonts w:eastAsia="Arial"/>
              </w:rPr>
            </w:pPr>
            <w:r w:rsidRPr="004E7DE4">
              <w:rPr>
                <w:rFonts w:eastAsia="Arial"/>
              </w:rPr>
              <w:t xml:space="preserve">Internal standards, </w:t>
            </w:r>
            <w:r w:rsidRPr="00AE066F">
              <w:rPr>
                <w:rFonts w:eastAsia="Arial"/>
                <w:vertAlign w:val="superscript"/>
              </w:rPr>
              <w:t>13</w:t>
            </w:r>
            <w:r w:rsidRPr="004E7DE4">
              <w:rPr>
                <w:rFonts w:eastAsia="Arial"/>
              </w:rPr>
              <w:t>C</w:t>
            </w:r>
            <w:r w:rsidRPr="00AE066F">
              <w:rPr>
                <w:rFonts w:eastAsia="Arial"/>
                <w:vertAlign w:val="subscript"/>
              </w:rPr>
              <w:t>2</w:t>
            </w:r>
            <w:r w:rsidRPr="004E7DE4">
              <w:rPr>
                <w:rFonts w:eastAsia="Arial"/>
              </w:rPr>
              <w:t xml:space="preserve">-PFOA (IS#1), </w:t>
            </w:r>
            <w:r w:rsidRPr="00AE066F">
              <w:rPr>
                <w:rFonts w:eastAsia="Arial"/>
                <w:vertAlign w:val="superscript"/>
              </w:rPr>
              <w:t>13</w:t>
            </w:r>
            <w:r w:rsidRPr="004E7DE4">
              <w:rPr>
                <w:rFonts w:eastAsia="Arial"/>
              </w:rPr>
              <w:t>C</w:t>
            </w:r>
            <w:r w:rsidRPr="00AE066F">
              <w:rPr>
                <w:rFonts w:eastAsia="Arial"/>
                <w:vertAlign w:val="subscript"/>
              </w:rPr>
              <w:t>4</w:t>
            </w:r>
            <w:r w:rsidRPr="004E7DE4">
              <w:rPr>
                <w:rFonts w:eastAsia="Arial"/>
              </w:rPr>
              <w:t>-PFOS (IS#2), and d</w:t>
            </w:r>
            <w:r w:rsidRPr="00AE066F">
              <w:rPr>
                <w:rFonts w:eastAsia="Arial"/>
                <w:vertAlign w:val="subscript"/>
              </w:rPr>
              <w:t>3</w:t>
            </w:r>
            <w:r w:rsidRPr="004E7DE4">
              <w:rPr>
                <w:rFonts w:eastAsia="Arial"/>
              </w:rPr>
              <w:t>-NMeFOSAA (IS#3), are added to all standards and sample extracts, including QC samples. Compare IS areas to the average IS area in the initial calibration and to the most recent CCC</w:t>
            </w:r>
            <w:r w:rsidR="0003190D">
              <w:rPr>
                <w:rFonts w:eastAsia="Arial"/>
              </w:rPr>
              <w:t>.</w:t>
            </w:r>
          </w:p>
        </w:tc>
        <w:tc>
          <w:tcPr>
            <w:tcW w:w="3870" w:type="dxa"/>
            <w:tcBorders>
              <w:top w:val="single" w:sz="12" w:space="0" w:color="auto"/>
              <w:right w:val="single" w:sz="12" w:space="0" w:color="auto"/>
            </w:tcBorders>
          </w:tcPr>
          <w:p w14:paraId="7F260FBA" w14:textId="57228F3A" w:rsidR="00955869" w:rsidRDefault="0003190D" w:rsidP="00932824">
            <w:pPr>
              <w:spacing w:after="0" w:line="259" w:lineRule="auto"/>
              <w:ind w:left="0" w:right="0" w:firstLine="0"/>
              <w:rPr>
                <w:rFonts w:eastAsia="Arial"/>
              </w:rPr>
            </w:pPr>
            <w:r w:rsidRPr="0003190D">
              <w:rPr>
                <w:rFonts w:eastAsia="Arial"/>
              </w:rPr>
              <w:t>Peak area counts for all ISs in all injections must be within ± 50% of the average peak area calculated during the initial calibration and 70-140% from the most recent CCC. If ISs do not meet this criterion, corresponding target results are invalid.</w:t>
            </w:r>
            <w:r w:rsidR="00955869" w:rsidRPr="0049656E">
              <w:rPr>
                <w:rFonts w:eastAsia="Arial"/>
              </w:rPr>
              <w:t xml:space="preserve"> </w:t>
            </w:r>
          </w:p>
        </w:tc>
      </w:tr>
      <w:tr w:rsidR="00955869" w14:paraId="24C4B458" w14:textId="77777777" w:rsidTr="00861B5B">
        <w:tc>
          <w:tcPr>
            <w:tcW w:w="3321" w:type="dxa"/>
          </w:tcPr>
          <w:p w14:paraId="261E499E" w14:textId="77777777" w:rsidR="00955869" w:rsidRDefault="00955869" w:rsidP="00932824">
            <w:pPr>
              <w:spacing w:after="0" w:line="259" w:lineRule="auto"/>
              <w:ind w:left="0" w:right="0" w:firstLine="0"/>
              <w:rPr>
                <w:rFonts w:eastAsia="Arial"/>
              </w:rPr>
            </w:pPr>
            <w:r>
              <w:rPr>
                <w:rFonts w:eastAsia="Arial"/>
              </w:rPr>
              <w:t>1633A</w:t>
            </w:r>
          </w:p>
        </w:tc>
        <w:tc>
          <w:tcPr>
            <w:tcW w:w="3324" w:type="dxa"/>
          </w:tcPr>
          <w:p w14:paraId="72FAEF2A" w14:textId="469B773E" w:rsidR="00955869" w:rsidRDefault="00197730" w:rsidP="00932824">
            <w:pPr>
              <w:spacing w:after="0" w:line="259" w:lineRule="auto"/>
              <w:ind w:left="0" w:right="0" w:firstLine="0"/>
              <w:rPr>
                <w:rFonts w:eastAsia="Arial"/>
              </w:rPr>
            </w:pPr>
            <w:r w:rsidRPr="00197730">
              <w:rPr>
                <w:rFonts w:eastAsia="Arial"/>
              </w:rPr>
              <w:t>Extracted Internal Standard (EIS) Analytes</w:t>
            </w:r>
            <w:r w:rsidR="006626F8">
              <w:rPr>
                <w:rFonts w:eastAsia="Arial"/>
              </w:rPr>
              <w:t xml:space="preserve"> </w:t>
            </w:r>
            <w:r w:rsidR="004A46F1">
              <w:rPr>
                <w:rFonts w:eastAsia="Arial"/>
              </w:rPr>
              <w:t xml:space="preserve">and </w:t>
            </w:r>
            <w:r w:rsidR="004A46F1" w:rsidRPr="004A46F1">
              <w:rPr>
                <w:rFonts w:eastAsia="Arial"/>
              </w:rPr>
              <w:t>Non-extracted Internal Standards (NIS)</w:t>
            </w:r>
            <w:r w:rsidR="004A46F1">
              <w:rPr>
                <w:rFonts w:eastAsia="Arial"/>
              </w:rPr>
              <w:t xml:space="preserve"> </w:t>
            </w:r>
            <w:r w:rsidR="006626F8">
              <w:rPr>
                <w:rFonts w:eastAsia="Arial"/>
              </w:rPr>
              <w:t>added to</w:t>
            </w:r>
            <w:r w:rsidR="006626F8">
              <w:t xml:space="preserve"> </w:t>
            </w:r>
            <w:r w:rsidR="004A46F1">
              <w:rPr>
                <w:rFonts w:eastAsia="Arial"/>
              </w:rPr>
              <w:t>a</w:t>
            </w:r>
            <w:r w:rsidR="006626F8" w:rsidRPr="006626F8">
              <w:rPr>
                <w:rFonts w:eastAsia="Arial"/>
              </w:rPr>
              <w:t xml:space="preserve">ll </w:t>
            </w:r>
            <w:r w:rsidR="006626F8">
              <w:rPr>
                <w:rFonts w:eastAsia="Arial"/>
              </w:rPr>
              <w:t>calibration</w:t>
            </w:r>
            <w:r w:rsidR="006626F8" w:rsidRPr="006626F8">
              <w:rPr>
                <w:rFonts w:eastAsia="Arial"/>
              </w:rPr>
              <w:t xml:space="preserve"> standards, batch QC and field samples</w:t>
            </w:r>
            <w:r w:rsidR="006626F8">
              <w:rPr>
                <w:rFonts w:eastAsia="Arial"/>
              </w:rPr>
              <w:t>.</w:t>
            </w:r>
          </w:p>
        </w:tc>
        <w:tc>
          <w:tcPr>
            <w:tcW w:w="3870" w:type="dxa"/>
            <w:tcBorders>
              <w:right w:val="single" w:sz="12" w:space="0" w:color="auto"/>
            </w:tcBorders>
          </w:tcPr>
          <w:p w14:paraId="1FB60403" w14:textId="153A45BA" w:rsidR="00955869" w:rsidRDefault="00DE32F8" w:rsidP="00932824">
            <w:pPr>
              <w:spacing w:after="0" w:line="259" w:lineRule="auto"/>
              <w:ind w:left="0" w:right="0" w:firstLine="0"/>
              <w:rPr>
                <w:rFonts w:eastAsia="Arial"/>
              </w:rPr>
            </w:pPr>
            <w:r>
              <w:rPr>
                <w:rFonts w:eastAsia="Arial"/>
              </w:rPr>
              <w:t xml:space="preserve">EIS and </w:t>
            </w:r>
            <w:r w:rsidR="00BB5CF0">
              <w:rPr>
                <w:rFonts w:eastAsia="Arial"/>
              </w:rPr>
              <w:t xml:space="preserve">NIS acceptance limits in Table </w:t>
            </w:r>
            <w:r w:rsidR="001C52E1">
              <w:rPr>
                <w:rFonts w:eastAsia="Arial"/>
              </w:rPr>
              <w:t>6 (aqueous matrices)</w:t>
            </w:r>
            <w:r w:rsidR="00CB3CF5">
              <w:rPr>
                <w:rFonts w:eastAsia="Arial"/>
              </w:rPr>
              <w:t xml:space="preserve"> and</w:t>
            </w:r>
            <w:r w:rsidR="001C52E1">
              <w:rPr>
                <w:rFonts w:eastAsia="Arial"/>
              </w:rPr>
              <w:t xml:space="preserve"> Table </w:t>
            </w:r>
            <w:r w:rsidR="00ED53C6">
              <w:rPr>
                <w:rFonts w:eastAsia="Arial"/>
              </w:rPr>
              <w:t>8 (soil and sediment matrices)</w:t>
            </w:r>
            <w:r w:rsidR="00CB3CF5">
              <w:rPr>
                <w:rFonts w:eastAsia="Arial"/>
              </w:rPr>
              <w:t xml:space="preserve"> in Method 1633A</w:t>
            </w:r>
            <w:r w:rsidR="00955869">
              <w:rPr>
                <w:rFonts w:eastAsia="Arial"/>
              </w:rPr>
              <w:t>.</w:t>
            </w:r>
          </w:p>
        </w:tc>
      </w:tr>
      <w:tr w:rsidR="00955869" w14:paraId="59C83D03" w14:textId="77777777" w:rsidTr="00861B5B">
        <w:tc>
          <w:tcPr>
            <w:tcW w:w="3321" w:type="dxa"/>
          </w:tcPr>
          <w:p w14:paraId="294751DC" w14:textId="77777777" w:rsidR="00955869" w:rsidRDefault="00955869" w:rsidP="00932824">
            <w:pPr>
              <w:spacing w:after="0" w:line="259" w:lineRule="auto"/>
              <w:ind w:left="0" w:right="0" w:firstLine="0"/>
              <w:rPr>
                <w:rFonts w:eastAsia="Arial"/>
              </w:rPr>
            </w:pPr>
            <w:r>
              <w:rPr>
                <w:rFonts w:eastAsia="Arial"/>
              </w:rPr>
              <w:lastRenderedPageBreak/>
              <w:t>533</w:t>
            </w:r>
          </w:p>
        </w:tc>
        <w:tc>
          <w:tcPr>
            <w:tcW w:w="3324" w:type="dxa"/>
          </w:tcPr>
          <w:p w14:paraId="774632FA" w14:textId="77777777" w:rsidR="005A0894" w:rsidRDefault="005A0894" w:rsidP="00932824">
            <w:pPr>
              <w:spacing w:after="0" w:line="259" w:lineRule="auto"/>
              <w:ind w:left="0" w:right="0" w:firstLine="0"/>
              <w:rPr>
                <w:rFonts w:eastAsia="Arial"/>
              </w:rPr>
            </w:pPr>
            <w:r w:rsidRPr="005A0894">
              <w:rPr>
                <w:rFonts w:eastAsia="Arial"/>
              </w:rPr>
              <w:t>Isotope dilution analogues are added to all samples prior to extraction.</w:t>
            </w:r>
          </w:p>
          <w:p w14:paraId="301C401C" w14:textId="4F1B142B" w:rsidR="005A0894" w:rsidRDefault="003A2AE0" w:rsidP="00932824">
            <w:pPr>
              <w:spacing w:after="0" w:line="259" w:lineRule="auto"/>
              <w:ind w:left="0" w:right="0" w:firstLine="0"/>
              <w:rPr>
                <w:rFonts w:eastAsia="Arial"/>
              </w:rPr>
            </w:pPr>
            <w:r w:rsidRPr="003A2AE0">
              <w:rPr>
                <w:rFonts w:eastAsia="Arial"/>
              </w:rPr>
              <w:t>Isotope performance standards are added to all standards and sample extracts.</w:t>
            </w:r>
          </w:p>
        </w:tc>
        <w:tc>
          <w:tcPr>
            <w:tcW w:w="3870" w:type="dxa"/>
            <w:tcBorders>
              <w:right w:val="single" w:sz="12" w:space="0" w:color="auto"/>
            </w:tcBorders>
          </w:tcPr>
          <w:p w14:paraId="76023A6E" w14:textId="77777777" w:rsidR="00955869" w:rsidRDefault="001725AF" w:rsidP="00932824">
            <w:pPr>
              <w:spacing w:after="0" w:line="259" w:lineRule="auto"/>
              <w:ind w:left="0" w:right="0" w:firstLine="0"/>
              <w:rPr>
                <w:rFonts w:eastAsia="Arial"/>
              </w:rPr>
            </w:pPr>
            <w:r w:rsidRPr="001725AF">
              <w:rPr>
                <w:rFonts w:eastAsia="Arial"/>
              </w:rPr>
              <w:t xml:space="preserve">50%–200% recovery for each </w:t>
            </w:r>
            <w:r>
              <w:rPr>
                <w:rFonts w:eastAsia="Arial"/>
              </w:rPr>
              <w:t xml:space="preserve">isotope dilution </w:t>
            </w:r>
            <w:r w:rsidRPr="001725AF">
              <w:rPr>
                <w:rFonts w:eastAsia="Arial"/>
              </w:rPr>
              <w:t>analogue</w:t>
            </w:r>
            <w:r>
              <w:rPr>
                <w:rFonts w:eastAsia="Arial"/>
              </w:rPr>
              <w:t>.</w:t>
            </w:r>
          </w:p>
          <w:p w14:paraId="46D44E2F" w14:textId="7D4BAD6E" w:rsidR="001725AF" w:rsidRDefault="004C7B14" w:rsidP="00932824">
            <w:pPr>
              <w:spacing w:after="0" w:line="259" w:lineRule="auto"/>
              <w:ind w:left="0" w:right="0" w:firstLine="0"/>
              <w:rPr>
                <w:rFonts w:eastAsia="Arial"/>
              </w:rPr>
            </w:pPr>
            <w:r w:rsidRPr="004C7B14">
              <w:rPr>
                <w:rFonts w:eastAsia="Arial"/>
              </w:rPr>
              <w:t>Peak area counts for each isotope performance standard must be within 50–150% of the average peak area in the initial calibration.</w:t>
            </w:r>
          </w:p>
        </w:tc>
      </w:tr>
      <w:tr w:rsidR="00955869" w14:paraId="785AFBF0" w14:textId="77777777" w:rsidTr="00861B5B">
        <w:trPr>
          <w:trHeight w:val="391"/>
        </w:trPr>
        <w:tc>
          <w:tcPr>
            <w:tcW w:w="3321" w:type="dxa"/>
            <w:tcBorders>
              <w:bottom w:val="single" w:sz="12" w:space="0" w:color="auto"/>
            </w:tcBorders>
          </w:tcPr>
          <w:p w14:paraId="71D9710E" w14:textId="77777777" w:rsidR="00955869" w:rsidRDefault="00955869" w:rsidP="00932824">
            <w:pPr>
              <w:spacing w:after="0" w:line="259" w:lineRule="auto"/>
              <w:ind w:left="0" w:right="0" w:firstLine="0"/>
              <w:rPr>
                <w:rFonts w:eastAsia="Arial"/>
              </w:rPr>
            </w:pPr>
            <w:r>
              <w:rPr>
                <w:rFonts w:eastAsia="Arial"/>
              </w:rPr>
              <w:t>8327</w:t>
            </w:r>
          </w:p>
        </w:tc>
        <w:tc>
          <w:tcPr>
            <w:tcW w:w="3324" w:type="dxa"/>
            <w:tcBorders>
              <w:bottom w:val="single" w:sz="12" w:space="0" w:color="auto"/>
            </w:tcBorders>
          </w:tcPr>
          <w:p w14:paraId="3DD3258A" w14:textId="051EE9C5" w:rsidR="00955869" w:rsidRDefault="00835554" w:rsidP="00932824">
            <w:pPr>
              <w:spacing w:after="0" w:line="259" w:lineRule="auto"/>
              <w:ind w:left="0" w:right="0" w:firstLine="0"/>
              <w:rPr>
                <w:rFonts w:eastAsia="Arial"/>
              </w:rPr>
            </w:pPr>
            <w:r>
              <w:rPr>
                <w:rFonts w:eastAsia="Arial"/>
              </w:rPr>
              <w:t>NA</w:t>
            </w:r>
          </w:p>
        </w:tc>
        <w:tc>
          <w:tcPr>
            <w:tcW w:w="3870" w:type="dxa"/>
            <w:tcBorders>
              <w:bottom w:val="single" w:sz="12" w:space="0" w:color="auto"/>
              <w:right w:val="single" w:sz="12" w:space="0" w:color="auto"/>
            </w:tcBorders>
          </w:tcPr>
          <w:p w14:paraId="6853F7EC" w14:textId="0449137E" w:rsidR="00955869" w:rsidRDefault="00835554" w:rsidP="00932824">
            <w:pPr>
              <w:spacing w:after="0" w:line="259" w:lineRule="auto"/>
              <w:ind w:left="0" w:right="0" w:firstLine="0"/>
              <w:rPr>
                <w:rFonts w:eastAsia="Arial"/>
              </w:rPr>
            </w:pPr>
            <w:r>
              <w:rPr>
                <w:rFonts w:eastAsia="Arial"/>
              </w:rPr>
              <w:t>NA</w:t>
            </w:r>
          </w:p>
        </w:tc>
      </w:tr>
    </w:tbl>
    <w:p w14:paraId="46615152" w14:textId="77777777" w:rsidR="00955869" w:rsidRDefault="00955869" w:rsidP="0031290A">
      <w:pPr>
        <w:spacing w:after="0" w:line="259" w:lineRule="auto"/>
        <w:ind w:left="1440" w:right="0" w:firstLine="0"/>
      </w:pPr>
    </w:p>
    <w:p w14:paraId="6BEABE5E" w14:textId="77777777" w:rsidR="00955869" w:rsidRDefault="00955869" w:rsidP="0031290A">
      <w:pPr>
        <w:spacing w:after="0" w:line="259" w:lineRule="auto"/>
        <w:ind w:left="1440" w:right="0" w:firstLine="0"/>
      </w:pPr>
    </w:p>
    <w:p w14:paraId="7D0E2F06" w14:textId="5908945E" w:rsidR="0031290A" w:rsidRPr="009D4309" w:rsidRDefault="0031290A" w:rsidP="0030323D">
      <w:pPr>
        <w:numPr>
          <w:ilvl w:val="0"/>
          <w:numId w:val="136"/>
        </w:numPr>
        <w:spacing w:after="16"/>
        <w:ind w:left="720" w:right="186"/>
        <w:rPr>
          <w:b/>
          <w:bCs/>
        </w:rPr>
      </w:pPr>
      <w:r w:rsidRPr="009D4309">
        <w:rPr>
          <w:b/>
          <w:bCs/>
        </w:rPr>
        <w:t>Laboratory Control Sample</w:t>
      </w:r>
      <w:r w:rsidR="00C57F7F">
        <w:rPr>
          <w:b/>
          <w:bCs/>
        </w:rPr>
        <w:t xml:space="preserve"> (LCS)</w:t>
      </w:r>
      <w:r w:rsidRPr="009D4309">
        <w:rPr>
          <w:b/>
          <w:bCs/>
        </w:rPr>
        <w:t xml:space="preserve"> </w:t>
      </w:r>
    </w:p>
    <w:p w14:paraId="70FA8E7D" w14:textId="77777777" w:rsidR="00E443FB" w:rsidRDefault="00E443FB" w:rsidP="0031290A">
      <w:pPr>
        <w:ind w:left="1450" w:right="0"/>
      </w:pPr>
    </w:p>
    <w:p w14:paraId="744EBCFB" w14:textId="212D2852" w:rsidR="00E443FB" w:rsidRDefault="00217A1F" w:rsidP="0030323D">
      <w:pPr>
        <w:ind w:left="720" w:right="0"/>
        <w:rPr>
          <w:u w:val="single"/>
        </w:rPr>
      </w:pPr>
      <w:r>
        <w:rPr>
          <w:u w:val="single"/>
        </w:rPr>
        <w:t>Term</w:t>
      </w:r>
      <w:r w:rsidR="00143E52">
        <w:rPr>
          <w:u w:val="single"/>
        </w:rPr>
        <w:t>s</w:t>
      </w:r>
      <w:r w:rsidR="000667F8">
        <w:rPr>
          <w:u w:val="single"/>
        </w:rPr>
        <w:t xml:space="preserve"> Specific to Method</w:t>
      </w:r>
    </w:p>
    <w:p w14:paraId="420CE887" w14:textId="77777777" w:rsidR="00985DEA" w:rsidRDefault="00985DEA" w:rsidP="0030323D">
      <w:pPr>
        <w:ind w:left="720" w:right="0"/>
      </w:pPr>
    </w:p>
    <w:p w14:paraId="5AD05B29" w14:textId="3E00297A" w:rsidR="001D296D" w:rsidRDefault="003D0BA7" w:rsidP="00C31F15">
      <w:pPr>
        <w:pStyle w:val="ListParagraph"/>
        <w:numPr>
          <w:ilvl w:val="0"/>
          <w:numId w:val="157"/>
        </w:numPr>
        <w:ind w:left="1440" w:right="0"/>
      </w:pPr>
      <w:r>
        <w:t>Method 537.1</w:t>
      </w:r>
      <w:r w:rsidR="00856A46">
        <w:t xml:space="preserve"> – La</w:t>
      </w:r>
      <w:r w:rsidR="00D87B91">
        <w:t>b</w:t>
      </w:r>
      <w:r w:rsidR="00941F8F">
        <w:t>oratory Fortified Blank (LFB)</w:t>
      </w:r>
    </w:p>
    <w:p w14:paraId="70F08CC0" w14:textId="1EAFB68C" w:rsidR="00941F8F" w:rsidRDefault="00941F8F" w:rsidP="00861B5B">
      <w:pPr>
        <w:pStyle w:val="ListParagraph"/>
        <w:numPr>
          <w:ilvl w:val="0"/>
          <w:numId w:val="157"/>
        </w:numPr>
        <w:ind w:left="1440" w:right="0"/>
      </w:pPr>
      <w:r>
        <w:t xml:space="preserve">Method </w:t>
      </w:r>
      <w:r w:rsidR="003653D6">
        <w:t>1633A</w:t>
      </w:r>
      <w:r w:rsidR="00856A46">
        <w:t xml:space="preserve"> – O</w:t>
      </w:r>
      <w:r w:rsidR="003653D6">
        <w:t>ngoing Precision Recovery</w:t>
      </w:r>
      <w:r w:rsidR="00A2337D">
        <w:t xml:space="preserve"> (OPR)</w:t>
      </w:r>
      <w:r w:rsidR="00212410">
        <w:t xml:space="preserve"> a</w:t>
      </w:r>
      <w:r w:rsidR="00926565">
        <w:t>nd low-level OPR (LLOPR)</w:t>
      </w:r>
    </w:p>
    <w:p w14:paraId="5CD7D41A" w14:textId="3EB78DB3" w:rsidR="00A2337D" w:rsidRDefault="00A2337D" w:rsidP="00861B5B">
      <w:pPr>
        <w:pStyle w:val="ListParagraph"/>
        <w:numPr>
          <w:ilvl w:val="0"/>
          <w:numId w:val="157"/>
        </w:numPr>
        <w:ind w:left="1440" w:right="0"/>
      </w:pPr>
      <w:r>
        <w:t xml:space="preserve">Method </w:t>
      </w:r>
      <w:r w:rsidR="00094F37">
        <w:t>533</w:t>
      </w:r>
      <w:r w:rsidR="00856A46">
        <w:t xml:space="preserve"> – L</w:t>
      </w:r>
      <w:r w:rsidR="002F284E" w:rsidRPr="002F284E">
        <w:t>aboratory Fortified Blank (LFB)</w:t>
      </w:r>
    </w:p>
    <w:p w14:paraId="509365EB" w14:textId="141B92C9" w:rsidR="002F284E" w:rsidRDefault="002F284E" w:rsidP="00861B5B">
      <w:pPr>
        <w:pStyle w:val="ListParagraph"/>
        <w:numPr>
          <w:ilvl w:val="0"/>
          <w:numId w:val="157"/>
        </w:numPr>
        <w:ind w:left="1440" w:right="0"/>
      </w:pPr>
      <w:r>
        <w:t xml:space="preserve">Method </w:t>
      </w:r>
      <w:r w:rsidR="00827549">
        <w:t>8327</w:t>
      </w:r>
      <w:r w:rsidR="00CE7878">
        <w:t xml:space="preserve"> – L</w:t>
      </w:r>
      <w:r w:rsidR="00827549">
        <w:t>aboratory Control Sample (LCS)</w:t>
      </w:r>
    </w:p>
    <w:p w14:paraId="17FF488E" w14:textId="77777777" w:rsidR="00827549" w:rsidRPr="000667F8" w:rsidRDefault="00827549" w:rsidP="00417747">
      <w:pPr>
        <w:ind w:left="1800" w:right="0" w:firstLine="0"/>
      </w:pPr>
    </w:p>
    <w:p w14:paraId="3EA20A7E" w14:textId="77777777" w:rsidR="00D846B4" w:rsidRDefault="00D846B4" w:rsidP="00861B5B">
      <w:pPr>
        <w:ind w:left="720" w:right="0"/>
      </w:pPr>
      <w:r>
        <w:rPr>
          <w:u w:val="single"/>
        </w:rPr>
        <w:t>General Requirements for LCS (All Methods)</w:t>
      </w:r>
      <w:r>
        <w:t xml:space="preserve">   </w:t>
      </w:r>
    </w:p>
    <w:p w14:paraId="697960FB" w14:textId="77777777" w:rsidR="00D846B4" w:rsidRDefault="00D846B4" w:rsidP="00861B5B">
      <w:pPr>
        <w:ind w:left="720" w:right="0"/>
      </w:pPr>
    </w:p>
    <w:p w14:paraId="0A80E075" w14:textId="2E22D523" w:rsidR="00B25F83" w:rsidRDefault="00BF1DC1" w:rsidP="00861B5B">
      <w:pPr>
        <w:ind w:left="720" w:right="0"/>
      </w:pPr>
      <w:r>
        <w:t xml:space="preserve">The Contractor </w:t>
      </w:r>
      <w:r w:rsidR="00327F73">
        <w:t xml:space="preserve">shall include </w:t>
      </w:r>
      <w:r w:rsidR="00D54557">
        <w:t xml:space="preserve">a Laboratory </w:t>
      </w:r>
      <w:r w:rsidR="00F3042D">
        <w:t>Control Sample (LCS)</w:t>
      </w:r>
      <w:r w:rsidR="00D0120D">
        <w:t xml:space="preserve"> for analysis</w:t>
      </w:r>
      <w:r w:rsidR="001F7764">
        <w:t>,</w:t>
      </w:r>
      <w:r w:rsidR="00D0120D">
        <w:t xml:space="preserve"> at</w:t>
      </w:r>
      <w:r w:rsidR="0071244E">
        <w:t xml:space="preserve"> least on</w:t>
      </w:r>
      <w:r w:rsidR="001F7764">
        <w:t>e</w:t>
      </w:r>
      <w:r w:rsidR="0071244E">
        <w:t xml:space="preserve"> per 12-hour shift</w:t>
      </w:r>
      <w:r w:rsidR="001F7764">
        <w:t xml:space="preserve"> or one for each batch of up to </w:t>
      </w:r>
      <w:r w:rsidR="003146FF">
        <w:t xml:space="preserve">20 field samples. </w:t>
      </w:r>
      <w:r w:rsidR="00162E63">
        <w:t xml:space="preserve"> </w:t>
      </w:r>
      <w:r w:rsidR="006824F3">
        <w:t xml:space="preserve">If the </w:t>
      </w:r>
      <w:r w:rsidR="008E7E79">
        <w:t>LCS</w:t>
      </w:r>
      <w:r w:rsidR="00B746DD">
        <w:t xml:space="preserve"> results do not meet the </w:t>
      </w:r>
      <w:r w:rsidR="007318B9">
        <w:t xml:space="preserve">method-specific </w:t>
      </w:r>
      <w:r w:rsidR="00B746DD">
        <w:t>criteria</w:t>
      </w:r>
      <w:r w:rsidR="002B5FB6">
        <w:t xml:space="preserve"> </w:t>
      </w:r>
      <w:r w:rsidR="00B746DD">
        <w:t xml:space="preserve">for target </w:t>
      </w:r>
      <w:r w:rsidR="00A40FF9">
        <w:t xml:space="preserve">PFAS </w:t>
      </w:r>
      <w:r w:rsidR="00595F3F">
        <w:t>analyte</w:t>
      </w:r>
      <w:r w:rsidR="00B746DD">
        <w:t xml:space="preserve">s, then all data for the </w:t>
      </w:r>
      <w:r w:rsidR="00595F3F">
        <w:t>problem analyte(s) must be considered invalid for all samples in the extraction batch.</w:t>
      </w:r>
      <w:r w:rsidR="00B25F83">
        <w:t xml:space="preserve">  </w:t>
      </w:r>
    </w:p>
    <w:p w14:paraId="62DFA3E5" w14:textId="77777777" w:rsidR="004F4886" w:rsidRDefault="004F4886" w:rsidP="00861B5B">
      <w:pPr>
        <w:ind w:left="720" w:right="0"/>
      </w:pPr>
    </w:p>
    <w:p w14:paraId="242EEE4B" w14:textId="13BC55DA" w:rsidR="0031290A" w:rsidRDefault="00182807" w:rsidP="00861B5B">
      <w:pPr>
        <w:ind w:left="720" w:right="0"/>
      </w:pPr>
      <w:r>
        <w:t>The Laboratory Control Sample (LCS) is analyzed to assess general method performance based on the ability of the laboratory to successfully recover target analytes from a control matrix</w:t>
      </w:r>
      <w:r w:rsidR="00992319">
        <w:t xml:space="preserve">.  </w:t>
      </w:r>
      <w:r w:rsidR="0031290A">
        <w:t xml:space="preserve">The Contractor shall include </w:t>
      </w:r>
      <w:r w:rsidR="009900F2">
        <w:t>an LCS</w:t>
      </w:r>
      <w:r w:rsidR="0031290A">
        <w:t xml:space="preserve"> with each analytical batch.  When the results of the matrix spike analysis indicate a potential problem due to the sample matrix itself, the LCS results are used to verify that the Contractor can perform the analysis in </w:t>
      </w:r>
      <w:r w:rsidR="00C45A55">
        <w:t>a PFA</w:t>
      </w:r>
      <w:r w:rsidR="00BB5C22">
        <w:t>S-free</w:t>
      </w:r>
      <w:r w:rsidR="0031290A">
        <w:t xml:space="preserve"> matrix.  LCS</w:t>
      </w:r>
      <w:r w:rsidR="00B739DC">
        <w:t xml:space="preserve"> </w:t>
      </w:r>
      <w:r w:rsidR="0031290A">
        <w:t xml:space="preserve">percent recoveries must be reported.  </w:t>
      </w:r>
    </w:p>
    <w:p w14:paraId="3778897D" w14:textId="77777777" w:rsidR="0031290A" w:rsidRDefault="0031290A" w:rsidP="00861B5B">
      <w:pPr>
        <w:spacing w:after="0" w:line="259" w:lineRule="auto"/>
        <w:ind w:left="720" w:right="0" w:firstLine="0"/>
      </w:pPr>
    </w:p>
    <w:p w14:paraId="263F5CE0" w14:textId="5F66CEF9" w:rsidR="0031290A" w:rsidRDefault="0031290A" w:rsidP="00861B5B">
      <w:pPr>
        <w:spacing w:after="0" w:line="259" w:lineRule="auto"/>
        <w:ind w:left="720" w:right="0" w:firstLine="0"/>
      </w:pPr>
      <w:r>
        <w:t xml:space="preserve">If </w:t>
      </w:r>
      <w:r w:rsidR="002862DB">
        <w:t xml:space="preserve">quality control (QC) </w:t>
      </w:r>
      <w:r>
        <w:t xml:space="preserve">results from </w:t>
      </w:r>
      <w:proofErr w:type="gramStart"/>
      <w:r>
        <w:t>the re</w:t>
      </w:r>
      <w:proofErr w:type="gramEnd"/>
      <w:r>
        <w:t>-extraction and reanalysis are also outside the acceptance limits, but the analysis of a</w:t>
      </w:r>
      <w:r w:rsidR="00D64F69">
        <w:t>n LCS</w:t>
      </w:r>
      <w:r>
        <w:t xml:space="preserve"> demonstrates that the method is in control, then the problem is related to sample matrix and analytical requirements will be considered met.  If re-extraction and reanalysis of the sample </w:t>
      </w:r>
      <w:proofErr w:type="gramStart"/>
      <w:r>
        <w:t>does</w:t>
      </w:r>
      <w:proofErr w:type="gramEnd"/>
      <w:r>
        <w:t xml:space="preserve"> not solve the problem and the </w:t>
      </w:r>
      <w:r w:rsidR="002B78B5">
        <w:t>LCS</w:t>
      </w:r>
      <w:r>
        <w:t xml:space="preserve"> results are also outside of acceptance limits, instrument maintenance may be required.  Major maintenance such as cleaning an ion source, cleaning quadrupole rods, etc. require returning to the initial calibration step. </w:t>
      </w:r>
    </w:p>
    <w:p w14:paraId="10C043E8" w14:textId="77777777" w:rsidR="00274C75" w:rsidRDefault="00274C75" w:rsidP="00861B5B">
      <w:pPr>
        <w:spacing w:after="0" w:line="259" w:lineRule="auto"/>
        <w:ind w:left="720" w:right="0" w:firstLine="0"/>
      </w:pPr>
    </w:p>
    <w:p w14:paraId="386AE52D" w14:textId="66CBB461" w:rsidR="00274C75" w:rsidRDefault="00F57D56" w:rsidP="00861B5B">
      <w:pPr>
        <w:spacing w:after="0" w:line="259" w:lineRule="auto"/>
        <w:ind w:left="720" w:right="0" w:firstLine="0"/>
      </w:pPr>
      <w:r>
        <w:rPr>
          <w:u w:val="single"/>
        </w:rPr>
        <w:t>Method-specific Requirements for LCS</w:t>
      </w:r>
    </w:p>
    <w:p w14:paraId="21BE7D8D" w14:textId="77777777" w:rsidR="006527F6" w:rsidRDefault="006527F6" w:rsidP="00861B5B">
      <w:pPr>
        <w:spacing w:after="0" w:line="259" w:lineRule="auto"/>
        <w:ind w:left="720" w:right="0" w:firstLine="0"/>
      </w:pPr>
    </w:p>
    <w:p w14:paraId="7819BB01" w14:textId="1AF267E6" w:rsidR="00F00F75" w:rsidRDefault="00420FC6" w:rsidP="00861B5B">
      <w:pPr>
        <w:spacing w:after="0" w:line="259" w:lineRule="auto"/>
        <w:ind w:left="720" w:right="0" w:firstLine="0"/>
      </w:pPr>
      <w:r>
        <w:t xml:space="preserve">For </w:t>
      </w:r>
      <w:r>
        <w:rPr>
          <w:b/>
          <w:bCs/>
        </w:rPr>
        <w:t>Method 537.1</w:t>
      </w:r>
      <w:r>
        <w:t>,</w:t>
      </w:r>
      <w:r>
        <w:rPr>
          <w:b/>
          <w:bCs/>
        </w:rPr>
        <w:t xml:space="preserve"> </w:t>
      </w:r>
      <w:r>
        <w:t>t</w:t>
      </w:r>
      <w:r w:rsidR="006527F6" w:rsidRPr="006527F6">
        <w:t xml:space="preserve">he concentration of the LCS must be rotated between low, medium, and high concentrations from batch to batch.  The low concentration LCS must be as near as practical to, but no more than two times, the MRL.  Similarly, the high concentration LCS should be near the high end of the calibration range established during the initial calibration. </w:t>
      </w:r>
    </w:p>
    <w:p w14:paraId="2E2FC6F4" w14:textId="77777777" w:rsidR="00F00F75" w:rsidRDefault="00F00F75" w:rsidP="00861B5B">
      <w:pPr>
        <w:spacing w:after="0" w:line="259" w:lineRule="auto"/>
        <w:ind w:left="720" w:right="0" w:firstLine="0"/>
      </w:pPr>
    </w:p>
    <w:p w14:paraId="629CECD9" w14:textId="3A9C8C28" w:rsidR="006527F6" w:rsidRPr="006527F6" w:rsidRDefault="00F00F75" w:rsidP="00861B5B">
      <w:pPr>
        <w:spacing w:after="0" w:line="259" w:lineRule="auto"/>
        <w:ind w:left="720" w:right="0" w:firstLine="0"/>
      </w:pPr>
      <w:r w:rsidRPr="00F00F75">
        <w:t xml:space="preserve">The Contractor must confirm that the method-specific criteria summarized in TABLE </w:t>
      </w:r>
      <w:r w:rsidR="008E4719">
        <w:t>47</w:t>
      </w:r>
      <w:r w:rsidRPr="00F00F75">
        <w:t xml:space="preserve"> have been met for the </w:t>
      </w:r>
      <w:r>
        <w:t>LCS</w:t>
      </w:r>
      <w:r w:rsidRPr="00F00F75">
        <w:t xml:space="preserve"> results to be valid.  If the criteria in TABLE </w:t>
      </w:r>
      <w:r w:rsidR="008E4719">
        <w:t>47</w:t>
      </w:r>
      <w:r w:rsidRPr="00F00F75">
        <w:t xml:space="preserve"> are not met, then corrective action must be taken according to method-specific recommendations, and the analysis of all affected samples must be repeated.</w:t>
      </w:r>
    </w:p>
    <w:p w14:paraId="6A1AF5F2" w14:textId="155DC4E5" w:rsidR="0031290A" w:rsidRPr="00AD29ED" w:rsidRDefault="0031290A" w:rsidP="0031290A">
      <w:pPr>
        <w:spacing w:after="20" w:line="259" w:lineRule="auto"/>
        <w:ind w:left="0" w:right="0" w:firstLine="0"/>
      </w:pPr>
      <w:r>
        <w:rPr>
          <w:rFonts w:ascii="Arial" w:eastAsia="Arial" w:hAnsi="Arial" w:cs="Arial"/>
        </w:rPr>
        <w:t xml:space="preserve"> </w:t>
      </w:r>
      <w:r>
        <w:rPr>
          <w:rFonts w:ascii="Arial" w:eastAsia="Arial" w:hAnsi="Arial" w:cs="Arial"/>
          <w:b/>
        </w:rPr>
        <w:t xml:space="preserve"> </w:t>
      </w:r>
    </w:p>
    <w:p w14:paraId="275A2EDD" w14:textId="4220AEE4" w:rsidR="0031290A" w:rsidRDefault="0031290A" w:rsidP="0031290A">
      <w:pPr>
        <w:pStyle w:val="Heading5"/>
        <w:ind w:left="1024" w:right="722"/>
      </w:pPr>
      <w:r>
        <w:t xml:space="preserve">TABLE </w:t>
      </w:r>
      <w:r w:rsidR="008E4719">
        <w:t>47</w:t>
      </w:r>
    </w:p>
    <w:p w14:paraId="49C4A7FB" w14:textId="5D6C1B95" w:rsidR="0031290A" w:rsidRDefault="007148E6" w:rsidP="0031290A">
      <w:pPr>
        <w:pStyle w:val="Heading6"/>
        <w:ind w:left="2000" w:right="186"/>
      </w:pPr>
      <w:r>
        <w:t>Summary</w:t>
      </w:r>
      <w:r w:rsidR="007B028D">
        <w:t xml:space="preserve"> of</w:t>
      </w:r>
      <w:r>
        <w:t xml:space="preserve"> </w:t>
      </w:r>
      <w:r w:rsidR="0031290A">
        <w:t xml:space="preserve">Laboratory Control Sample </w:t>
      </w:r>
      <w:r w:rsidR="00E41B1B">
        <w:t>(LCS)</w:t>
      </w:r>
      <w:r w:rsidR="0031290A">
        <w:t xml:space="preserve"> Criteria </w:t>
      </w:r>
      <w:r w:rsidR="0031290A" w:rsidDel="005D5032">
        <w:t xml:space="preserve">for </w:t>
      </w:r>
      <w:r w:rsidR="00DA0744">
        <w:t>PFAS Analysis</w:t>
      </w:r>
      <w:r w:rsidR="0031290A">
        <w:t xml:space="preserve"> </w:t>
      </w:r>
    </w:p>
    <w:p w14:paraId="186D1DE8" w14:textId="77777777" w:rsidR="0031290A" w:rsidRDefault="0031290A" w:rsidP="0031290A">
      <w:pPr>
        <w:spacing w:after="0" w:line="259" w:lineRule="auto"/>
        <w:ind w:left="314" w:right="0" w:firstLine="0"/>
        <w:jc w:val="center"/>
      </w:pPr>
      <w:r>
        <w:rPr>
          <w:rFonts w:ascii="Arial" w:eastAsia="Arial" w:hAnsi="Arial" w:cs="Arial"/>
          <w:sz w:val="8"/>
        </w:rPr>
        <w:t xml:space="preserve"> </w:t>
      </w:r>
    </w:p>
    <w:tbl>
      <w:tblPr>
        <w:tblStyle w:val="TableGrid1"/>
        <w:tblW w:w="10980" w:type="dxa"/>
        <w:tblInd w:w="-105" w:type="dxa"/>
        <w:tblCellMar>
          <w:top w:w="25" w:type="dxa"/>
          <w:left w:w="115" w:type="dxa"/>
          <w:bottom w:w="75" w:type="dxa"/>
          <w:right w:w="115" w:type="dxa"/>
        </w:tblCellMar>
        <w:tblLook w:val="04A0" w:firstRow="1" w:lastRow="0" w:firstColumn="1" w:lastColumn="0" w:noHBand="0" w:noVBand="1"/>
      </w:tblPr>
      <w:tblGrid>
        <w:gridCol w:w="1350"/>
        <w:gridCol w:w="5220"/>
        <w:gridCol w:w="4410"/>
      </w:tblGrid>
      <w:tr w:rsidR="00F0232C" w14:paraId="614F3A4D" w14:textId="77777777" w:rsidTr="00F0232C">
        <w:trPr>
          <w:trHeight w:val="288"/>
          <w:tblHeader/>
        </w:trPr>
        <w:tc>
          <w:tcPr>
            <w:tcW w:w="1350" w:type="dxa"/>
            <w:tcBorders>
              <w:top w:val="single" w:sz="12" w:space="0" w:color="000000"/>
              <w:left w:val="single" w:sz="12" w:space="0" w:color="000000"/>
              <w:bottom w:val="single" w:sz="14" w:space="0" w:color="000000"/>
              <w:right w:val="single" w:sz="12" w:space="0" w:color="000000"/>
            </w:tcBorders>
            <w:vAlign w:val="center"/>
          </w:tcPr>
          <w:p w14:paraId="2D20F8F7" w14:textId="41A4C1D9" w:rsidR="0031290A" w:rsidRPr="009A3827" w:rsidRDefault="00A30350">
            <w:pPr>
              <w:spacing w:after="0" w:line="259" w:lineRule="auto"/>
              <w:ind w:left="0" w:right="7" w:firstLine="0"/>
              <w:jc w:val="center"/>
              <w:rPr>
                <w:iCs/>
              </w:rPr>
            </w:pPr>
            <w:r w:rsidRPr="005379A6">
              <w:rPr>
                <w:b/>
              </w:rPr>
              <w:t>Method</w:t>
            </w:r>
          </w:p>
        </w:tc>
        <w:tc>
          <w:tcPr>
            <w:tcW w:w="5220" w:type="dxa"/>
            <w:tcBorders>
              <w:top w:val="single" w:sz="12" w:space="0" w:color="000000"/>
              <w:left w:val="single" w:sz="12" w:space="0" w:color="000000"/>
              <w:bottom w:val="single" w:sz="14" w:space="0" w:color="000000"/>
              <w:right w:val="single" w:sz="12" w:space="0" w:color="000000"/>
            </w:tcBorders>
            <w:vAlign w:val="center"/>
          </w:tcPr>
          <w:p w14:paraId="64FBF199" w14:textId="23015A46" w:rsidR="0031290A" w:rsidRDefault="00A30350">
            <w:pPr>
              <w:spacing w:after="0" w:line="259" w:lineRule="auto"/>
              <w:ind w:left="0" w:right="4" w:firstLine="0"/>
              <w:jc w:val="center"/>
            </w:pPr>
            <w:r w:rsidRPr="005379A6">
              <w:rPr>
                <w:b/>
              </w:rPr>
              <w:t xml:space="preserve">LCS Specification and Frequency </w:t>
            </w:r>
          </w:p>
        </w:tc>
        <w:tc>
          <w:tcPr>
            <w:tcW w:w="4410" w:type="dxa"/>
            <w:tcBorders>
              <w:top w:val="single" w:sz="12" w:space="0" w:color="000000"/>
              <w:left w:val="single" w:sz="12" w:space="0" w:color="000000"/>
              <w:bottom w:val="single" w:sz="14" w:space="0" w:color="000000"/>
              <w:right w:val="single" w:sz="12" w:space="0" w:color="000000"/>
            </w:tcBorders>
            <w:vAlign w:val="center"/>
          </w:tcPr>
          <w:p w14:paraId="30705A91" w14:textId="72E4C51A" w:rsidR="0031290A" w:rsidRDefault="009846E8">
            <w:pPr>
              <w:spacing w:after="0" w:line="259" w:lineRule="auto"/>
              <w:ind w:left="0" w:right="6" w:firstLine="0"/>
              <w:jc w:val="center"/>
            </w:pPr>
            <w:r w:rsidRPr="005379A6">
              <w:rPr>
                <w:b/>
              </w:rPr>
              <w:t>LCS Acceptance Criteria</w:t>
            </w:r>
            <w:r w:rsidR="0031290A" w:rsidRPr="005379A6">
              <w:t xml:space="preserve"> </w:t>
            </w:r>
          </w:p>
        </w:tc>
      </w:tr>
      <w:tr w:rsidR="0031290A" w14:paraId="01232C66" w14:textId="77777777" w:rsidTr="00F0232C">
        <w:trPr>
          <w:trHeight w:val="360"/>
        </w:trPr>
        <w:tc>
          <w:tcPr>
            <w:tcW w:w="1350" w:type="dxa"/>
            <w:tcBorders>
              <w:top w:val="single" w:sz="12" w:space="0" w:color="000000"/>
              <w:left w:val="single" w:sz="12" w:space="0" w:color="000000"/>
              <w:bottom w:val="single" w:sz="4" w:space="0" w:color="000000"/>
              <w:right w:val="single" w:sz="12" w:space="0" w:color="000000"/>
            </w:tcBorders>
            <w:vAlign w:val="center"/>
          </w:tcPr>
          <w:p w14:paraId="04249376" w14:textId="0DCE6610" w:rsidR="0031290A" w:rsidRPr="00AD29ED" w:rsidRDefault="00B17100">
            <w:pPr>
              <w:spacing w:after="0" w:line="259" w:lineRule="auto"/>
              <w:ind w:left="0" w:right="8" w:firstLine="0"/>
              <w:jc w:val="center"/>
              <w:rPr>
                <w:sz w:val="20"/>
                <w:szCs w:val="20"/>
              </w:rPr>
            </w:pPr>
            <w:r>
              <w:rPr>
                <w:sz w:val="20"/>
                <w:szCs w:val="20"/>
              </w:rPr>
              <w:t>537.1</w:t>
            </w:r>
            <w:r w:rsidR="0031290A" w:rsidRPr="0026563F">
              <w:rPr>
                <w:sz w:val="20"/>
                <w:szCs w:val="20"/>
              </w:rPr>
              <w:t xml:space="preserve"> </w:t>
            </w:r>
          </w:p>
        </w:tc>
        <w:tc>
          <w:tcPr>
            <w:tcW w:w="5220" w:type="dxa"/>
            <w:tcBorders>
              <w:top w:val="single" w:sz="12" w:space="0" w:color="000000"/>
              <w:left w:val="single" w:sz="12" w:space="0" w:color="000000"/>
              <w:bottom w:val="single" w:sz="4" w:space="0" w:color="000000"/>
              <w:right w:val="single" w:sz="12" w:space="0" w:color="000000"/>
            </w:tcBorders>
            <w:vAlign w:val="center"/>
          </w:tcPr>
          <w:p w14:paraId="0A39D1F7" w14:textId="422E26FD" w:rsidR="0031290A" w:rsidRPr="00AD29ED" w:rsidRDefault="009927A0">
            <w:pPr>
              <w:spacing w:after="0" w:line="259" w:lineRule="auto"/>
              <w:ind w:left="0" w:right="4" w:firstLine="0"/>
              <w:jc w:val="center"/>
              <w:rPr>
                <w:sz w:val="20"/>
                <w:szCs w:val="20"/>
              </w:rPr>
            </w:pPr>
            <w:r w:rsidRPr="009927A0">
              <w:rPr>
                <w:sz w:val="20"/>
                <w:szCs w:val="20"/>
              </w:rPr>
              <w:t>One LFB is required for each extraction batch of up to 20 Field Samples. Rotate the fortified concentrations between low, medium and high amounts.</w:t>
            </w:r>
          </w:p>
        </w:tc>
        <w:tc>
          <w:tcPr>
            <w:tcW w:w="4410" w:type="dxa"/>
            <w:tcBorders>
              <w:top w:val="single" w:sz="12" w:space="0" w:color="000000"/>
              <w:left w:val="single" w:sz="12" w:space="0" w:color="000000"/>
              <w:bottom w:val="single" w:sz="4" w:space="0" w:color="000000"/>
              <w:right w:val="single" w:sz="12" w:space="0" w:color="000000"/>
            </w:tcBorders>
            <w:vAlign w:val="center"/>
          </w:tcPr>
          <w:p w14:paraId="673897C4" w14:textId="7F9A9412" w:rsidR="0031290A" w:rsidRPr="00AD29ED" w:rsidRDefault="00420C68">
            <w:pPr>
              <w:spacing w:after="0" w:line="259" w:lineRule="auto"/>
              <w:ind w:left="0" w:right="3" w:firstLine="0"/>
              <w:jc w:val="center"/>
              <w:rPr>
                <w:sz w:val="20"/>
                <w:szCs w:val="20"/>
              </w:rPr>
            </w:pPr>
            <w:r w:rsidRPr="00420C68">
              <w:rPr>
                <w:sz w:val="20"/>
                <w:szCs w:val="20"/>
              </w:rPr>
              <w:t xml:space="preserve">Results of LFB analyses must be 70-130% of the true value for each method analyte for all fortified concentrations except the lowest </w:t>
            </w:r>
            <w:r w:rsidR="0052430E">
              <w:rPr>
                <w:sz w:val="20"/>
                <w:szCs w:val="20"/>
              </w:rPr>
              <w:t>calibration</w:t>
            </w:r>
            <w:r w:rsidRPr="00420C68">
              <w:rPr>
                <w:sz w:val="20"/>
                <w:szCs w:val="20"/>
              </w:rPr>
              <w:t xml:space="preserve"> point. Results of the LFBs corresponding to the lowest </w:t>
            </w:r>
            <w:r w:rsidR="0052430E">
              <w:rPr>
                <w:sz w:val="20"/>
                <w:szCs w:val="20"/>
              </w:rPr>
              <w:t>calibration</w:t>
            </w:r>
            <w:r w:rsidRPr="00420C68">
              <w:rPr>
                <w:sz w:val="20"/>
                <w:szCs w:val="20"/>
              </w:rPr>
              <w:t xml:space="preserve"> point for each method analyte must be 50-150% of the true value.</w:t>
            </w:r>
            <w:r w:rsidR="0031290A" w:rsidRPr="0026563F">
              <w:rPr>
                <w:sz w:val="20"/>
                <w:szCs w:val="20"/>
              </w:rPr>
              <w:t xml:space="preserve"> </w:t>
            </w:r>
          </w:p>
        </w:tc>
      </w:tr>
      <w:tr w:rsidR="0030757E" w14:paraId="3167DBA4" w14:textId="77777777" w:rsidTr="00F0232C">
        <w:trPr>
          <w:trHeight w:val="360"/>
        </w:trPr>
        <w:tc>
          <w:tcPr>
            <w:tcW w:w="1350" w:type="dxa"/>
            <w:tcBorders>
              <w:top w:val="single" w:sz="4" w:space="0" w:color="000000"/>
              <w:left w:val="single" w:sz="12" w:space="0" w:color="000000"/>
              <w:bottom w:val="single" w:sz="4" w:space="0" w:color="000000"/>
              <w:right w:val="single" w:sz="12" w:space="0" w:color="000000"/>
            </w:tcBorders>
            <w:vAlign w:val="center"/>
          </w:tcPr>
          <w:p w14:paraId="6B87BDCA" w14:textId="67468E19" w:rsidR="0030757E" w:rsidRPr="0026563F" w:rsidRDefault="005946DB">
            <w:pPr>
              <w:spacing w:after="0" w:line="259" w:lineRule="auto"/>
              <w:ind w:left="0" w:right="8" w:firstLine="0"/>
              <w:jc w:val="center"/>
              <w:rPr>
                <w:sz w:val="20"/>
                <w:szCs w:val="20"/>
              </w:rPr>
            </w:pPr>
            <w:r>
              <w:rPr>
                <w:sz w:val="20"/>
                <w:szCs w:val="20"/>
              </w:rPr>
              <w:t>1633A</w:t>
            </w:r>
          </w:p>
        </w:tc>
        <w:tc>
          <w:tcPr>
            <w:tcW w:w="5220" w:type="dxa"/>
            <w:tcBorders>
              <w:top w:val="single" w:sz="4" w:space="0" w:color="000000"/>
              <w:left w:val="single" w:sz="12" w:space="0" w:color="000000"/>
              <w:bottom w:val="single" w:sz="4" w:space="0" w:color="000000"/>
              <w:right w:val="single" w:sz="12" w:space="0" w:color="000000"/>
            </w:tcBorders>
            <w:vAlign w:val="center"/>
          </w:tcPr>
          <w:p w14:paraId="31AC5AD6" w14:textId="77777777" w:rsidR="00CF11FD" w:rsidRDefault="00B84D8B">
            <w:pPr>
              <w:spacing w:after="0" w:line="259" w:lineRule="auto"/>
              <w:ind w:left="0" w:right="4" w:firstLine="0"/>
              <w:jc w:val="center"/>
              <w:rPr>
                <w:sz w:val="20"/>
                <w:szCs w:val="20"/>
              </w:rPr>
            </w:pPr>
            <w:r>
              <w:rPr>
                <w:sz w:val="20"/>
                <w:szCs w:val="20"/>
              </w:rPr>
              <w:t xml:space="preserve">One OPR per </w:t>
            </w:r>
            <w:r w:rsidR="00A97038">
              <w:rPr>
                <w:sz w:val="20"/>
                <w:szCs w:val="20"/>
              </w:rPr>
              <w:t>preparation batch.</w:t>
            </w:r>
          </w:p>
          <w:p w14:paraId="67178594" w14:textId="7FC0773F" w:rsidR="0030757E" w:rsidRDefault="00BF2FA7">
            <w:pPr>
              <w:spacing w:after="0" w:line="259" w:lineRule="auto"/>
              <w:ind w:left="0" w:right="4" w:firstLine="0"/>
              <w:jc w:val="center"/>
              <w:rPr>
                <w:sz w:val="20"/>
                <w:szCs w:val="20"/>
              </w:rPr>
            </w:pPr>
            <w:r>
              <w:rPr>
                <w:sz w:val="20"/>
                <w:szCs w:val="20"/>
              </w:rPr>
              <w:t>The OPR is</w:t>
            </w:r>
            <w:r w:rsidRPr="00BF2FA7">
              <w:rPr>
                <w:sz w:val="20"/>
                <w:szCs w:val="20"/>
              </w:rPr>
              <w:t xml:space="preserve"> spiked at mid-level concentration relative to the calibration range.</w:t>
            </w:r>
          </w:p>
          <w:p w14:paraId="33FE83FD" w14:textId="77777777" w:rsidR="00A97038" w:rsidRDefault="00A97038">
            <w:pPr>
              <w:spacing w:after="0" w:line="259" w:lineRule="auto"/>
              <w:ind w:left="0" w:right="4" w:firstLine="0"/>
              <w:jc w:val="center"/>
              <w:rPr>
                <w:sz w:val="20"/>
                <w:szCs w:val="20"/>
              </w:rPr>
            </w:pPr>
            <w:r>
              <w:rPr>
                <w:sz w:val="20"/>
                <w:szCs w:val="20"/>
              </w:rPr>
              <w:t xml:space="preserve">One LLOPR </w:t>
            </w:r>
            <w:r w:rsidR="00D94EA2">
              <w:rPr>
                <w:sz w:val="20"/>
                <w:szCs w:val="20"/>
              </w:rPr>
              <w:t>per preparation batch.</w:t>
            </w:r>
          </w:p>
          <w:p w14:paraId="5188E598" w14:textId="0786D568" w:rsidR="00CF11FD" w:rsidRPr="0026563F" w:rsidRDefault="00CF11FD">
            <w:pPr>
              <w:spacing w:after="0" w:line="259" w:lineRule="auto"/>
              <w:ind w:left="0" w:right="4" w:firstLine="0"/>
              <w:jc w:val="center"/>
              <w:rPr>
                <w:sz w:val="20"/>
                <w:szCs w:val="20"/>
              </w:rPr>
            </w:pPr>
            <w:r>
              <w:rPr>
                <w:sz w:val="20"/>
                <w:szCs w:val="20"/>
              </w:rPr>
              <w:t>The LLO</w:t>
            </w:r>
            <w:r w:rsidR="009D205D">
              <w:rPr>
                <w:sz w:val="20"/>
                <w:szCs w:val="20"/>
              </w:rPr>
              <w:t>PR is</w:t>
            </w:r>
            <w:r w:rsidR="009D205D">
              <w:t xml:space="preserve"> </w:t>
            </w:r>
            <w:r w:rsidR="009D205D" w:rsidRPr="009D205D">
              <w:rPr>
                <w:sz w:val="20"/>
                <w:szCs w:val="20"/>
              </w:rPr>
              <w:t>spiked at low concentration (2x the LOQ)</w:t>
            </w:r>
            <w:r w:rsidR="000B30C4">
              <w:rPr>
                <w:sz w:val="20"/>
                <w:szCs w:val="20"/>
              </w:rPr>
              <w:t xml:space="preserve"> to verify the LOQ.</w:t>
            </w:r>
            <w:r w:rsidR="009D205D">
              <w:rPr>
                <w:sz w:val="20"/>
                <w:szCs w:val="20"/>
              </w:rPr>
              <w:t xml:space="preserve"> </w:t>
            </w:r>
          </w:p>
        </w:tc>
        <w:tc>
          <w:tcPr>
            <w:tcW w:w="4410" w:type="dxa"/>
            <w:tcBorders>
              <w:top w:val="single" w:sz="4" w:space="0" w:color="000000"/>
              <w:left w:val="single" w:sz="12" w:space="0" w:color="000000"/>
              <w:bottom w:val="single" w:sz="4" w:space="0" w:color="000000"/>
              <w:right w:val="single" w:sz="12" w:space="0" w:color="000000"/>
            </w:tcBorders>
            <w:vAlign w:val="center"/>
          </w:tcPr>
          <w:p w14:paraId="084D4EE7" w14:textId="77777777" w:rsidR="0030757E" w:rsidRDefault="00CE4F3B">
            <w:pPr>
              <w:spacing w:after="0" w:line="259" w:lineRule="auto"/>
              <w:ind w:left="0" w:right="3" w:firstLine="0"/>
              <w:jc w:val="center"/>
              <w:rPr>
                <w:sz w:val="20"/>
                <w:szCs w:val="20"/>
              </w:rPr>
            </w:pPr>
            <w:r>
              <w:rPr>
                <w:sz w:val="20"/>
                <w:szCs w:val="20"/>
              </w:rPr>
              <w:t xml:space="preserve">Aqueous samples: See </w:t>
            </w:r>
            <w:r w:rsidR="004B56BC">
              <w:rPr>
                <w:sz w:val="20"/>
                <w:szCs w:val="20"/>
              </w:rPr>
              <w:t xml:space="preserve">OPR/LLOPR % Recovery </w:t>
            </w:r>
            <w:r w:rsidR="00CD386B">
              <w:rPr>
                <w:sz w:val="20"/>
                <w:szCs w:val="20"/>
              </w:rPr>
              <w:t>listed on Table 5 of Method 1633A.</w:t>
            </w:r>
          </w:p>
          <w:p w14:paraId="0BDCD1C3" w14:textId="2016B119" w:rsidR="00CD386B" w:rsidRPr="0026563F" w:rsidRDefault="00C121F8">
            <w:pPr>
              <w:spacing w:after="0" w:line="259" w:lineRule="auto"/>
              <w:ind w:left="0" w:right="3" w:firstLine="0"/>
              <w:jc w:val="center"/>
              <w:rPr>
                <w:sz w:val="20"/>
                <w:szCs w:val="20"/>
              </w:rPr>
            </w:pPr>
            <w:r>
              <w:rPr>
                <w:sz w:val="20"/>
                <w:szCs w:val="20"/>
              </w:rPr>
              <w:t xml:space="preserve">Solid/Soil samples: See OPR/LLOPR % Recovery listed on </w:t>
            </w:r>
            <w:r w:rsidR="00105724">
              <w:rPr>
                <w:sz w:val="20"/>
                <w:szCs w:val="20"/>
              </w:rPr>
              <w:t>Table 7 of Method 1633A.</w:t>
            </w:r>
          </w:p>
        </w:tc>
      </w:tr>
      <w:tr w:rsidR="005667F6" w14:paraId="15B4F13B" w14:textId="77777777" w:rsidTr="00F0232C">
        <w:trPr>
          <w:trHeight w:val="360"/>
        </w:trPr>
        <w:tc>
          <w:tcPr>
            <w:tcW w:w="1350" w:type="dxa"/>
            <w:tcBorders>
              <w:top w:val="single" w:sz="4" w:space="0" w:color="000000"/>
              <w:left w:val="single" w:sz="12" w:space="0" w:color="000000"/>
              <w:bottom w:val="single" w:sz="4" w:space="0" w:color="000000"/>
              <w:right w:val="single" w:sz="12" w:space="0" w:color="000000"/>
            </w:tcBorders>
            <w:vAlign w:val="center"/>
          </w:tcPr>
          <w:p w14:paraId="7AE52654" w14:textId="30D5D6F6" w:rsidR="005667F6" w:rsidRDefault="00FE320E">
            <w:pPr>
              <w:spacing w:after="0" w:line="259" w:lineRule="auto"/>
              <w:ind w:left="0" w:right="8" w:firstLine="0"/>
              <w:jc w:val="center"/>
              <w:rPr>
                <w:sz w:val="20"/>
                <w:szCs w:val="20"/>
              </w:rPr>
            </w:pPr>
            <w:r>
              <w:rPr>
                <w:sz w:val="20"/>
                <w:szCs w:val="20"/>
              </w:rPr>
              <w:t>533</w:t>
            </w:r>
          </w:p>
        </w:tc>
        <w:tc>
          <w:tcPr>
            <w:tcW w:w="5220" w:type="dxa"/>
            <w:tcBorders>
              <w:top w:val="single" w:sz="4" w:space="0" w:color="000000"/>
              <w:left w:val="single" w:sz="12" w:space="0" w:color="000000"/>
              <w:bottom w:val="single" w:sz="4" w:space="0" w:color="000000"/>
              <w:right w:val="single" w:sz="12" w:space="0" w:color="000000"/>
            </w:tcBorders>
            <w:vAlign w:val="center"/>
          </w:tcPr>
          <w:p w14:paraId="43FC5B34" w14:textId="17DEF112" w:rsidR="005667F6" w:rsidRDefault="00897741">
            <w:pPr>
              <w:spacing w:after="0" w:line="259" w:lineRule="auto"/>
              <w:ind w:left="0" w:right="4" w:firstLine="0"/>
              <w:jc w:val="center"/>
              <w:rPr>
                <w:sz w:val="20"/>
                <w:szCs w:val="20"/>
              </w:rPr>
            </w:pPr>
            <w:r w:rsidRPr="00897741">
              <w:rPr>
                <w:sz w:val="20"/>
                <w:szCs w:val="20"/>
              </w:rPr>
              <w:t>Include one LFB with each Extraction Batch.</w:t>
            </w:r>
          </w:p>
        </w:tc>
        <w:tc>
          <w:tcPr>
            <w:tcW w:w="4410" w:type="dxa"/>
            <w:tcBorders>
              <w:top w:val="single" w:sz="4" w:space="0" w:color="000000"/>
              <w:left w:val="single" w:sz="12" w:space="0" w:color="000000"/>
              <w:bottom w:val="single" w:sz="4" w:space="0" w:color="000000"/>
              <w:right w:val="single" w:sz="12" w:space="0" w:color="000000"/>
            </w:tcBorders>
            <w:vAlign w:val="center"/>
          </w:tcPr>
          <w:p w14:paraId="4343A8F1" w14:textId="32331D82" w:rsidR="005667F6" w:rsidRDefault="00B4274E">
            <w:pPr>
              <w:spacing w:after="0" w:line="259" w:lineRule="auto"/>
              <w:ind w:left="0" w:right="3" w:firstLine="0"/>
              <w:jc w:val="center"/>
              <w:rPr>
                <w:sz w:val="20"/>
                <w:szCs w:val="20"/>
              </w:rPr>
            </w:pPr>
            <w:r w:rsidRPr="00B4274E">
              <w:rPr>
                <w:sz w:val="20"/>
                <w:szCs w:val="20"/>
              </w:rPr>
              <w:t>For analytes fortified at concentrations ≤2 x the MRL, the result must be within 50–150% of the true value; 70–130% of the true value if fortified at concentrations greater than 2 x the MRL.</w:t>
            </w:r>
          </w:p>
        </w:tc>
      </w:tr>
      <w:tr w:rsidR="009560F4" w14:paraId="7F7EF757" w14:textId="77777777" w:rsidTr="00F0232C">
        <w:trPr>
          <w:trHeight w:val="360"/>
        </w:trPr>
        <w:tc>
          <w:tcPr>
            <w:tcW w:w="1350" w:type="dxa"/>
            <w:tcBorders>
              <w:top w:val="single" w:sz="4" w:space="0" w:color="000000"/>
              <w:left w:val="single" w:sz="12" w:space="0" w:color="000000"/>
              <w:bottom w:val="single" w:sz="12" w:space="0" w:color="000000"/>
              <w:right w:val="single" w:sz="12" w:space="0" w:color="000000"/>
            </w:tcBorders>
            <w:vAlign w:val="center"/>
          </w:tcPr>
          <w:p w14:paraId="4C80A73A" w14:textId="3C608A4D" w:rsidR="009560F4" w:rsidRDefault="009560F4">
            <w:pPr>
              <w:spacing w:after="0" w:line="259" w:lineRule="auto"/>
              <w:ind w:left="0" w:right="8" w:firstLine="0"/>
              <w:jc w:val="center"/>
              <w:rPr>
                <w:sz w:val="20"/>
                <w:szCs w:val="20"/>
              </w:rPr>
            </w:pPr>
            <w:r>
              <w:rPr>
                <w:sz w:val="20"/>
                <w:szCs w:val="20"/>
              </w:rPr>
              <w:t>8327</w:t>
            </w:r>
          </w:p>
        </w:tc>
        <w:tc>
          <w:tcPr>
            <w:tcW w:w="5220" w:type="dxa"/>
            <w:tcBorders>
              <w:top w:val="single" w:sz="4" w:space="0" w:color="000000"/>
              <w:left w:val="single" w:sz="12" w:space="0" w:color="000000"/>
              <w:bottom w:val="single" w:sz="12" w:space="0" w:color="000000"/>
              <w:right w:val="single" w:sz="12" w:space="0" w:color="000000"/>
            </w:tcBorders>
            <w:vAlign w:val="center"/>
          </w:tcPr>
          <w:p w14:paraId="7E9C3648" w14:textId="34174435" w:rsidR="009560F4" w:rsidRPr="00897741" w:rsidRDefault="00B6373B">
            <w:pPr>
              <w:spacing w:after="0" w:line="259" w:lineRule="auto"/>
              <w:ind w:left="0" w:right="4" w:firstLine="0"/>
              <w:jc w:val="center"/>
              <w:rPr>
                <w:sz w:val="20"/>
                <w:szCs w:val="20"/>
              </w:rPr>
            </w:pPr>
            <w:r w:rsidRPr="00B6373B">
              <w:rPr>
                <w:sz w:val="20"/>
                <w:szCs w:val="20"/>
              </w:rPr>
              <w:t xml:space="preserve">One </w:t>
            </w:r>
            <w:r>
              <w:rPr>
                <w:sz w:val="20"/>
                <w:szCs w:val="20"/>
              </w:rPr>
              <w:t xml:space="preserve">LCS </w:t>
            </w:r>
            <w:r w:rsidRPr="00B6373B">
              <w:rPr>
                <w:sz w:val="20"/>
                <w:szCs w:val="20"/>
              </w:rPr>
              <w:t>per preparation batch of 20 or fewer samples</w:t>
            </w:r>
            <w:r w:rsidR="003833B6">
              <w:rPr>
                <w:sz w:val="20"/>
                <w:szCs w:val="20"/>
              </w:rPr>
              <w:t>.</w:t>
            </w:r>
          </w:p>
        </w:tc>
        <w:tc>
          <w:tcPr>
            <w:tcW w:w="4410" w:type="dxa"/>
            <w:tcBorders>
              <w:top w:val="single" w:sz="4" w:space="0" w:color="000000"/>
              <w:left w:val="single" w:sz="12" w:space="0" w:color="000000"/>
              <w:bottom w:val="single" w:sz="12" w:space="0" w:color="000000"/>
              <w:right w:val="single" w:sz="12" w:space="0" w:color="000000"/>
            </w:tcBorders>
            <w:vAlign w:val="center"/>
          </w:tcPr>
          <w:p w14:paraId="49DB5CAB" w14:textId="49E2764B" w:rsidR="009560F4" w:rsidRPr="00B4274E" w:rsidRDefault="0075587A">
            <w:pPr>
              <w:spacing w:after="0" w:line="259" w:lineRule="auto"/>
              <w:ind w:left="0" w:right="3" w:firstLine="0"/>
              <w:jc w:val="center"/>
              <w:rPr>
                <w:sz w:val="20"/>
                <w:szCs w:val="20"/>
              </w:rPr>
            </w:pPr>
            <w:r w:rsidRPr="0075587A">
              <w:rPr>
                <w:sz w:val="20"/>
                <w:szCs w:val="20"/>
              </w:rPr>
              <w:t>Within 70-130% recovery or within laboratory derived or project specific recovery criteria</w:t>
            </w:r>
            <w:r w:rsidR="003833B6">
              <w:rPr>
                <w:sz w:val="20"/>
                <w:szCs w:val="20"/>
              </w:rPr>
              <w:t>.</w:t>
            </w:r>
          </w:p>
        </w:tc>
      </w:tr>
    </w:tbl>
    <w:p w14:paraId="72AC04CD" w14:textId="77777777" w:rsidR="002C7D92" w:rsidRDefault="002C7D92" w:rsidP="00F0232C">
      <w:pPr>
        <w:spacing w:after="20" w:line="259" w:lineRule="auto"/>
        <w:ind w:left="0" w:right="0" w:firstLine="0"/>
      </w:pPr>
    </w:p>
    <w:p w14:paraId="0F31836C" w14:textId="77777777" w:rsidR="003705C4" w:rsidRDefault="003705C4" w:rsidP="00F0232C">
      <w:pPr>
        <w:spacing w:after="20" w:line="259" w:lineRule="auto"/>
        <w:ind w:left="0" w:right="0" w:firstLine="0"/>
      </w:pPr>
    </w:p>
    <w:p w14:paraId="6714BFE2" w14:textId="77777777" w:rsidR="003705C4" w:rsidRDefault="003705C4" w:rsidP="00F0232C">
      <w:pPr>
        <w:spacing w:after="20" w:line="259" w:lineRule="auto"/>
        <w:ind w:left="0" w:right="0" w:firstLine="0"/>
      </w:pPr>
    </w:p>
    <w:p w14:paraId="0D8B3166" w14:textId="77777777" w:rsidR="003705C4" w:rsidRDefault="003705C4" w:rsidP="00F0232C">
      <w:pPr>
        <w:spacing w:after="20" w:line="259" w:lineRule="auto"/>
        <w:ind w:left="0" w:right="0" w:firstLine="0"/>
      </w:pPr>
    </w:p>
    <w:p w14:paraId="7E0630ED" w14:textId="77777777" w:rsidR="003705C4" w:rsidRDefault="003705C4" w:rsidP="00F0232C">
      <w:pPr>
        <w:spacing w:after="20" w:line="259" w:lineRule="auto"/>
        <w:ind w:left="0" w:right="0" w:firstLine="0"/>
      </w:pPr>
    </w:p>
    <w:p w14:paraId="54EED36E" w14:textId="77777777" w:rsidR="003705C4" w:rsidRPr="003705C4" w:rsidRDefault="003705C4" w:rsidP="003705C4">
      <w:pPr>
        <w:keepNext/>
        <w:keepLines/>
        <w:spacing w:after="16"/>
        <w:ind w:left="1090" w:right="186"/>
        <w:jc w:val="center"/>
        <w:outlineLvl w:val="4"/>
        <w:rPr>
          <w:b/>
        </w:rPr>
      </w:pPr>
      <w:r w:rsidRPr="003705C4">
        <w:rPr>
          <w:b/>
        </w:rPr>
        <w:t>THE REMAINDER OF THIS PAGE HAS BEEN LEFT BLANK INTENTIONALLY</w:t>
      </w:r>
    </w:p>
    <w:p w14:paraId="69320B2F" w14:textId="77777777" w:rsidR="003705C4" w:rsidRPr="003705C4" w:rsidRDefault="003705C4" w:rsidP="003705C4">
      <w:pPr>
        <w:spacing w:after="16" w:line="240" w:lineRule="auto"/>
        <w:ind w:left="0" w:firstLine="0"/>
        <w:rPr>
          <w:rFonts w:eastAsiaTheme="minorEastAsia"/>
          <w:color w:val="auto"/>
        </w:rPr>
      </w:pPr>
    </w:p>
    <w:p w14:paraId="69C7DD35" w14:textId="77777777" w:rsidR="003705C4" w:rsidRPr="005A6E29" w:rsidRDefault="003705C4" w:rsidP="00F0232C">
      <w:pPr>
        <w:spacing w:after="20" w:line="259" w:lineRule="auto"/>
        <w:ind w:left="0" w:right="0" w:firstLine="0"/>
      </w:pPr>
    </w:p>
    <w:sectPr w:rsidR="003705C4" w:rsidRPr="005A6E29" w:rsidSect="009163B8">
      <w:headerReference w:type="even" r:id="rId73"/>
      <w:headerReference w:type="default" r:id="rId74"/>
      <w:footerReference w:type="even" r:id="rId75"/>
      <w:headerReference w:type="first" r:id="rId76"/>
      <w:footerReference w:type="first" r:id="rId77"/>
      <w:pgSz w:w="12240" w:h="15840"/>
      <w:pgMar w:top="1440" w:right="1440" w:bottom="1440" w:left="800" w:header="720" w:footer="144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FE2484" w14:textId="77777777" w:rsidR="00A70DCA" w:rsidRDefault="00A70DCA">
      <w:pPr>
        <w:spacing w:after="0" w:line="240" w:lineRule="auto"/>
      </w:pPr>
      <w:r>
        <w:separator/>
      </w:r>
    </w:p>
  </w:endnote>
  <w:endnote w:type="continuationSeparator" w:id="0">
    <w:p w14:paraId="1D6CEA98" w14:textId="77777777" w:rsidR="00A70DCA" w:rsidRDefault="00A70DCA">
      <w:pPr>
        <w:spacing w:after="0" w:line="240" w:lineRule="auto"/>
      </w:pPr>
      <w:r>
        <w:continuationSeparator/>
      </w:r>
    </w:p>
  </w:endnote>
  <w:endnote w:type="continuationNotice" w:id="1">
    <w:p w14:paraId="595D516E" w14:textId="77777777" w:rsidR="00A70DCA" w:rsidRDefault="00A70DC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613878862"/>
      <w:docPartObj>
        <w:docPartGallery w:val="Page Numbers (Bottom of Page)"/>
        <w:docPartUnique/>
      </w:docPartObj>
    </w:sdtPr>
    <w:sdtEndPr>
      <w:rPr>
        <w:rStyle w:val="PageNumber"/>
      </w:rPr>
    </w:sdtEndPr>
    <w:sdtContent>
      <w:p w14:paraId="4D082206" w14:textId="54E93966" w:rsidR="000A5619" w:rsidRDefault="000A5619" w:rsidP="0033698E">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D30563A" w14:textId="20BEA68D" w:rsidR="00981993" w:rsidRDefault="00981993">
    <w:pPr>
      <w:spacing w:after="0" w:line="259" w:lineRule="auto"/>
      <w:ind w:left="6" w:right="0" w:firstLine="0"/>
      <w:jc w:val="center"/>
    </w:pPr>
    <w:r>
      <w:rPr>
        <w:rFonts w:ascii="Arial" w:eastAsia="Arial" w:hAnsi="Arial" w:cs="Arial"/>
        <w:sz w:val="24"/>
      </w:rPr>
      <w:t xml:space="preserve"> </w:t>
    </w:r>
  </w:p>
  <w:p w14:paraId="6268A46B" w14:textId="77777777" w:rsidR="00981993" w:rsidRDefault="00981993">
    <w:pPr>
      <w:spacing w:after="0" w:line="259" w:lineRule="auto"/>
      <w:ind w:left="0" w:right="0" w:firstLine="0"/>
    </w:pPr>
    <w:r>
      <w:rPr>
        <w:rFonts w:ascii="Arial" w:eastAsia="Arial" w:hAnsi="Arial" w:cs="Arial"/>
        <w:sz w:val="24"/>
      </w:rPr>
      <w:t xml:space="preserve"> </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273058910"/>
      <w:docPartObj>
        <w:docPartGallery w:val="Page Numbers (Bottom of Page)"/>
        <w:docPartUnique/>
      </w:docPartObj>
    </w:sdtPr>
    <w:sdtEndPr>
      <w:rPr>
        <w:rStyle w:val="PageNumber"/>
      </w:rPr>
    </w:sdtEndPr>
    <w:sdtContent>
      <w:p w14:paraId="1CA02DCE" w14:textId="238754DA" w:rsidR="000A2AB5" w:rsidRDefault="000A2AB5" w:rsidP="0033698E">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DA14CC8" w14:textId="77777777" w:rsidR="00981993" w:rsidRDefault="00981993">
    <w:pPr>
      <w:spacing w:after="160" w:line="259" w:lineRule="auto"/>
      <w:ind w:left="0" w:right="0" w:firstLine="0"/>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EB613C" w14:textId="77777777" w:rsidR="00981993" w:rsidRDefault="00981993">
    <w:pPr>
      <w:spacing w:after="160" w:line="259" w:lineRule="auto"/>
      <w:ind w:left="0" w:right="0" w:firstLine="0"/>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F806DE" w14:textId="77777777" w:rsidR="00981993" w:rsidRDefault="00981993">
    <w:pPr>
      <w:spacing w:after="160" w:line="259" w:lineRule="auto"/>
      <w:ind w:left="0" w:right="0" w:firstLine="0"/>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A33A1F" w14:textId="77777777" w:rsidR="00981993" w:rsidRDefault="00981993">
    <w:pPr>
      <w:spacing w:after="160" w:line="259" w:lineRule="auto"/>
      <w:ind w:left="0" w:right="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995263533"/>
      <w:docPartObj>
        <w:docPartGallery w:val="Page Numbers (Bottom of Page)"/>
        <w:docPartUnique/>
      </w:docPartObj>
    </w:sdtPr>
    <w:sdtEndPr>
      <w:rPr>
        <w:rStyle w:val="PageNumber"/>
      </w:rPr>
    </w:sdtEndPr>
    <w:sdtContent>
      <w:p w14:paraId="24712E90" w14:textId="69FF2A65" w:rsidR="000A5619" w:rsidRDefault="000A5619" w:rsidP="0033698E">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49</w:t>
        </w:r>
        <w:r>
          <w:rPr>
            <w:rStyle w:val="PageNumber"/>
          </w:rPr>
          <w:fldChar w:fldCharType="end"/>
        </w:r>
      </w:p>
    </w:sdtContent>
  </w:sdt>
  <w:p w14:paraId="5D0D9D67" w14:textId="3D9B085F" w:rsidR="00981993" w:rsidRDefault="00981993">
    <w:pPr>
      <w:spacing w:after="0" w:line="259" w:lineRule="auto"/>
      <w:ind w:left="0" w:right="0"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3979D7" w14:textId="77777777" w:rsidR="00981993" w:rsidRDefault="00981993">
    <w:pPr>
      <w:spacing w:after="0" w:line="259" w:lineRule="auto"/>
      <w:ind w:left="6" w:right="0" w:firstLine="0"/>
      <w:jc w:val="center"/>
    </w:pPr>
    <w:r>
      <w:rPr>
        <w:rFonts w:ascii="Arial" w:eastAsia="Arial" w:hAnsi="Arial" w:cs="Arial"/>
        <w:sz w:val="24"/>
      </w:rPr>
      <w:fldChar w:fldCharType="begin"/>
    </w:r>
    <w:r>
      <w:rPr>
        <w:rFonts w:ascii="Arial" w:eastAsia="Arial" w:hAnsi="Arial" w:cs="Arial"/>
        <w:sz w:val="24"/>
      </w:rPr>
      <w:instrText xml:space="preserve"> PAGE   \* MERGEFORMAT </w:instrText>
    </w:r>
    <w:r>
      <w:rPr>
        <w:rFonts w:ascii="Arial" w:eastAsia="Arial" w:hAnsi="Arial" w:cs="Arial"/>
        <w:sz w:val="24"/>
      </w:rPr>
      <w:fldChar w:fldCharType="separate"/>
    </w:r>
    <w:r>
      <w:rPr>
        <w:rFonts w:ascii="Arial" w:eastAsia="Arial" w:hAnsi="Arial" w:cs="Arial"/>
        <w:sz w:val="24"/>
      </w:rPr>
      <w:t>59</w:t>
    </w:r>
    <w:r>
      <w:rPr>
        <w:rFonts w:ascii="Arial" w:eastAsia="Arial" w:hAnsi="Arial" w:cs="Arial"/>
        <w:sz w:val="24"/>
      </w:rPr>
      <w:fldChar w:fldCharType="end"/>
    </w:r>
    <w:r>
      <w:rPr>
        <w:rFonts w:ascii="Arial" w:eastAsia="Arial" w:hAnsi="Arial" w:cs="Arial"/>
        <w:sz w:val="24"/>
      </w:rPr>
      <w:t xml:space="preserve"> </w:t>
    </w:r>
  </w:p>
  <w:p w14:paraId="6103F94E" w14:textId="77777777" w:rsidR="00981993" w:rsidRDefault="00981993">
    <w:pPr>
      <w:spacing w:after="0" w:line="259" w:lineRule="auto"/>
      <w:ind w:left="0" w:right="0" w:firstLine="0"/>
    </w:pPr>
    <w:r>
      <w:rPr>
        <w:rFonts w:ascii="Arial" w:eastAsia="Arial" w:hAnsi="Arial" w:cs="Arial"/>
        <w:sz w:val="24"/>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953443211"/>
      <w:docPartObj>
        <w:docPartGallery w:val="Page Numbers (Bottom of Page)"/>
        <w:docPartUnique/>
      </w:docPartObj>
    </w:sdtPr>
    <w:sdtEndPr>
      <w:rPr>
        <w:rStyle w:val="PageNumber"/>
      </w:rPr>
    </w:sdtEndPr>
    <w:sdtContent>
      <w:p w14:paraId="3EF029FF" w14:textId="62D83B5C" w:rsidR="000A5619" w:rsidRDefault="000A5619" w:rsidP="0033698E">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F6873DC" w14:textId="026D8767" w:rsidR="00981993" w:rsidRDefault="00981993">
    <w:pPr>
      <w:spacing w:after="0" w:line="259" w:lineRule="auto"/>
      <w:ind w:left="361" w:right="0" w:firstLine="0"/>
      <w:jc w:val="center"/>
    </w:pPr>
    <w:r>
      <w:rPr>
        <w:rFonts w:ascii="Arial" w:eastAsia="Arial" w:hAnsi="Arial" w:cs="Arial"/>
        <w:sz w:val="24"/>
      </w:rPr>
      <w:t xml:space="preserve"> </w:t>
    </w:r>
  </w:p>
  <w:p w14:paraId="7531A4D2" w14:textId="77777777" w:rsidR="00981993" w:rsidRDefault="00981993">
    <w:pPr>
      <w:spacing w:after="0" w:line="259" w:lineRule="auto"/>
      <w:ind w:left="0" w:right="0" w:firstLine="0"/>
    </w:pPr>
    <w:r>
      <w:rPr>
        <w:rFonts w:ascii="Arial" w:eastAsia="Arial" w:hAnsi="Arial" w:cs="Arial"/>
        <w:sz w:val="24"/>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4893764"/>
      <w:docPartObj>
        <w:docPartGallery w:val="Page Numbers (Bottom of Page)"/>
        <w:docPartUnique/>
      </w:docPartObj>
    </w:sdtPr>
    <w:sdtEndPr>
      <w:rPr>
        <w:rStyle w:val="PageNumber"/>
      </w:rPr>
    </w:sdtEndPr>
    <w:sdtContent>
      <w:p w14:paraId="19CF3520" w14:textId="3389E167" w:rsidR="000A5619" w:rsidRDefault="000A5619" w:rsidP="0033698E">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50</w:t>
        </w:r>
        <w:r>
          <w:rPr>
            <w:rStyle w:val="PageNumber"/>
          </w:rPr>
          <w:fldChar w:fldCharType="end"/>
        </w:r>
      </w:p>
    </w:sdtContent>
  </w:sdt>
  <w:p w14:paraId="7F37DFEC" w14:textId="09C02306" w:rsidR="00981993" w:rsidRDefault="00981993">
    <w:pPr>
      <w:spacing w:after="0" w:line="259" w:lineRule="auto"/>
      <w:ind w:left="0" w:right="0" w:firstLine="0"/>
    </w:pPr>
  </w:p>
  <w:p w14:paraId="4BA19CD2" w14:textId="77777777" w:rsidR="0001606A" w:rsidRDefault="0001606A">
    <w:pPr>
      <w:spacing w:after="0" w:line="259" w:lineRule="auto"/>
      <w:ind w:left="0" w:right="0" w:firstLine="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2E4FD1" w14:textId="77777777" w:rsidR="00981993" w:rsidRDefault="00981993">
    <w:pPr>
      <w:spacing w:after="0" w:line="259" w:lineRule="auto"/>
      <w:ind w:left="361" w:right="0" w:firstLine="0"/>
      <w:jc w:val="center"/>
    </w:pPr>
    <w:r>
      <w:rPr>
        <w:rFonts w:ascii="Arial" w:eastAsia="Arial" w:hAnsi="Arial" w:cs="Arial"/>
        <w:sz w:val="24"/>
      </w:rPr>
      <w:fldChar w:fldCharType="begin"/>
    </w:r>
    <w:r>
      <w:rPr>
        <w:rFonts w:ascii="Arial" w:eastAsia="Arial" w:hAnsi="Arial" w:cs="Arial"/>
        <w:sz w:val="24"/>
      </w:rPr>
      <w:instrText xml:space="preserve"> PAGE   \* MERGEFORMAT </w:instrText>
    </w:r>
    <w:r>
      <w:rPr>
        <w:rFonts w:ascii="Arial" w:eastAsia="Arial" w:hAnsi="Arial" w:cs="Arial"/>
        <w:sz w:val="24"/>
      </w:rPr>
      <w:fldChar w:fldCharType="separate"/>
    </w:r>
    <w:r>
      <w:rPr>
        <w:rFonts w:ascii="Arial" w:eastAsia="Arial" w:hAnsi="Arial" w:cs="Arial"/>
        <w:sz w:val="24"/>
      </w:rPr>
      <w:t>68</w:t>
    </w:r>
    <w:r>
      <w:rPr>
        <w:rFonts w:ascii="Arial" w:eastAsia="Arial" w:hAnsi="Arial" w:cs="Arial"/>
        <w:sz w:val="24"/>
      </w:rPr>
      <w:fldChar w:fldCharType="end"/>
    </w:r>
    <w:r>
      <w:rPr>
        <w:rFonts w:ascii="Arial" w:eastAsia="Arial" w:hAnsi="Arial" w:cs="Arial"/>
        <w:sz w:val="24"/>
      </w:rPr>
      <w:t xml:space="preserve"> </w:t>
    </w:r>
  </w:p>
  <w:p w14:paraId="04B8F4DF" w14:textId="77777777" w:rsidR="00981993" w:rsidRDefault="00981993">
    <w:pPr>
      <w:spacing w:after="0" w:line="259" w:lineRule="auto"/>
      <w:ind w:left="0" w:right="0" w:firstLine="0"/>
    </w:pPr>
    <w:r>
      <w:rPr>
        <w:rFonts w:ascii="Arial" w:eastAsia="Arial" w:hAnsi="Arial" w:cs="Arial"/>
        <w:sz w:val="24"/>
      </w:rP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611313121"/>
      <w:docPartObj>
        <w:docPartGallery w:val="Page Numbers (Bottom of Page)"/>
        <w:docPartUnique/>
      </w:docPartObj>
    </w:sdtPr>
    <w:sdtEndPr>
      <w:rPr>
        <w:rStyle w:val="PageNumber"/>
      </w:rPr>
    </w:sdtEndPr>
    <w:sdtContent>
      <w:p w14:paraId="0187C29B" w14:textId="24270797" w:rsidR="000A2AB5" w:rsidRDefault="000A2AB5" w:rsidP="0033698E">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7C025F7" w14:textId="7102551A" w:rsidR="00981993" w:rsidRDefault="00981993">
    <w:pPr>
      <w:spacing w:after="0" w:line="259" w:lineRule="auto"/>
      <w:ind w:left="291" w:right="0" w:firstLine="0"/>
      <w:jc w:val="center"/>
    </w:pPr>
    <w:r>
      <w:rPr>
        <w:rFonts w:ascii="Arial" w:eastAsia="Arial" w:hAnsi="Arial" w:cs="Arial"/>
        <w:sz w:val="24"/>
      </w:rPr>
      <w:t xml:space="preserve"> </w:t>
    </w:r>
  </w:p>
  <w:p w14:paraId="517D6A5E" w14:textId="77777777" w:rsidR="00981993" w:rsidRDefault="00981993">
    <w:pPr>
      <w:spacing w:after="0" w:line="259" w:lineRule="auto"/>
      <w:ind w:left="0" w:right="541" w:firstLine="0"/>
      <w:jc w:val="right"/>
    </w:pPr>
    <w:r>
      <w:rPr>
        <w:rFonts w:ascii="Arial" w:eastAsia="Arial" w:hAnsi="Arial" w:cs="Arial"/>
        <w:sz w:val="24"/>
      </w:rPr>
      <w:t xml:space="preserve"> </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346766538"/>
      <w:docPartObj>
        <w:docPartGallery w:val="Page Numbers (Bottom of Page)"/>
        <w:docPartUnique/>
      </w:docPartObj>
    </w:sdtPr>
    <w:sdtEndPr>
      <w:rPr>
        <w:rStyle w:val="PageNumber"/>
      </w:rPr>
    </w:sdtEndPr>
    <w:sdtContent>
      <w:p w14:paraId="51E8C860" w14:textId="55153B7C" w:rsidR="000A2AB5" w:rsidRDefault="000A2AB5" w:rsidP="0033698E">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63</w:t>
        </w:r>
        <w:r>
          <w:rPr>
            <w:rStyle w:val="PageNumber"/>
          </w:rPr>
          <w:fldChar w:fldCharType="end"/>
        </w:r>
      </w:p>
    </w:sdtContent>
  </w:sdt>
  <w:p w14:paraId="34F00FAE" w14:textId="0A9B437A" w:rsidR="00981993" w:rsidRDefault="00981993" w:rsidP="00933057">
    <w:pPr>
      <w:spacing w:after="0" w:line="259" w:lineRule="auto"/>
      <w:ind w:left="0" w:right="541" w:firstLine="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240706834"/>
      <w:docPartObj>
        <w:docPartGallery w:val="Page Numbers (Bottom of Page)"/>
        <w:docPartUnique/>
      </w:docPartObj>
    </w:sdtPr>
    <w:sdtEndPr>
      <w:rPr>
        <w:rStyle w:val="PageNumber"/>
      </w:rPr>
    </w:sdtEndPr>
    <w:sdtContent>
      <w:p w14:paraId="1F16BDB3" w14:textId="69D98B42" w:rsidR="00FC5CEA" w:rsidRDefault="00FC5CEA" w:rsidP="0033698E">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62</w:t>
        </w:r>
        <w:r>
          <w:rPr>
            <w:rStyle w:val="PageNumber"/>
          </w:rPr>
          <w:fldChar w:fldCharType="end"/>
        </w:r>
      </w:p>
    </w:sdtContent>
  </w:sdt>
  <w:p w14:paraId="273127BA" w14:textId="31DD12C5" w:rsidR="00981993" w:rsidRDefault="00981993">
    <w:pPr>
      <w:spacing w:after="160" w:line="259" w:lineRule="auto"/>
      <w:ind w:left="0" w:righ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BAA3DB" w14:textId="77777777" w:rsidR="00A70DCA" w:rsidRDefault="00A70DCA">
      <w:pPr>
        <w:spacing w:after="0" w:line="265" w:lineRule="auto"/>
        <w:ind w:left="540" w:right="0" w:firstLine="540"/>
      </w:pPr>
      <w:r>
        <w:separator/>
      </w:r>
    </w:p>
  </w:footnote>
  <w:footnote w:type="continuationSeparator" w:id="0">
    <w:p w14:paraId="6C7D4EA5" w14:textId="77777777" w:rsidR="00A70DCA" w:rsidRDefault="00A70DCA">
      <w:pPr>
        <w:spacing w:after="0" w:line="265" w:lineRule="auto"/>
        <w:ind w:left="540" w:right="0" w:firstLine="540"/>
      </w:pPr>
      <w:r>
        <w:continuationSeparator/>
      </w:r>
    </w:p>
  </w:footnote>
  <w:footnote w:type="continuationNotice" w:id="1">
    <w:p w14:paraId="74022833" w14:textId="77777777" w:rsidR="00A70DCA" w:rsidRDefault="00A70DC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8D1211" w14:textId="77777777" w:rsidR="00981993" w:rsidRDefault="00981993">
    <w:pPr>
      <w:spacing w:after="160" w:line="259" w:lineRule="auto"/>
      <w:ind w:left="0" w:right="0" w:firstLine="0"/>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90068C" w14:textId="77777777" w:rsidR="00981993" w:rsidRDefault="00981993">
    <w:pPr>
      <w:spacing w:after="160" w:line="259" w:lineRule="auto"/>
      <w:ind w:left="0" w:right="0" w:firstLine="0"/>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86C010" w14:textId="77777777" w:rsidR="00981993" w:rsidRDefault="00981993">
    <w:pPr>
      <w:spacing w:after="160" w:line="259" w:lineRule="auto"/>
      <w:ind w:left="0" w:right="0" w:firstLine="0"/>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49FD56" w14:textId="77777777" w:rsidR="00981993" w:rsidRDefault="00981993">
    <w:pPr>
      <w:spacing w:after="160" w:line="259" w:lineRule="auto"/>
      <w:ind w:left="0" w:right="0" w:firstLine="0"/>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7BEF6C" w14:textId="77777777" w:rsidR="00981993" w:rsidRDefault="00981993">
    <w:pPr>
      <w:spacing w:after="160" w:line="259" w:lineRule="auto"/>
      <w:ind w:left="0" w:right="0" w:firstLine="0"/>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15522E" w14:textId="77777777" w:rsidR="00981993" w:rsidRDefault="00981993">
    <w:pPr>
      <w:spacing w:after="160" w:line="259" w:lineRule="auto"/>
      <w:ind w:left="0" w:right="0" w:firstLine="0"/>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4D0F5A" w14:textId="77777777" w:rsidR="00981993" w:rsidRDefault="00981993">
    <w:pPr>
      <w:spacing w:after="160" w:line="259" w:lineRule="auto"/>
      <w:ind w:left="0" w:right="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DFBD43" w14:textId="77777777" w:rsidR="00981993" w:rsidRDefault="00981993">
    <w:pPr>
      <w:spacing w:after="160" w:line="259" w:lineRule="auto"/>
      <w:ind w:left="0" w:right="0"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BDC946" w14:textId="77777777" w:rsidR="00981993" w:rsidRDefault="00981993">
    <w:pPr>
      <w:spacing w:after="160" w:line="259" w:lineRule="auto"/>
      <w:ind w:left="0" w:right="0" w:firstLine="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9D62C7" w14:textId="77777777" w:rsidR="00981993" w:rsidRDefault="00981993">
    <w:pPr>
      <w:spacing w:after="160" w:line="259" w:lineRule="auto"/>
      <w:ind w:left="0" w:right="0" w:firstLine="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531B0E" w14:textId="77777777" w:rsidR="00981993" w:rsidRDefault="00981993">
    <w:pPr>
      <w:spacing w:after="160" w:line="259" w:lineRule="auto"/>
      <w:ind w:left="0" w:right="0" w:firstLine="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9BF9C0" w14:textId="77777777" w:rsidR="00981993" w:rsidRDefault="00981993">
    <w:pPr>
      <w:spacing w:after="160" w:line="259" w:lineRule="auto"/>
      <w:ind w:left="0" w:right="0" w:firstLine="0"/>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762E8B" w14:textId="77777777" w:rsidR="00981993" w:rsidRDefault="00981993">
    <w:pPr>
      <w:spacing w:after="160" w:line="259" w:lineRule="auto"/>
      <w:ind w:left="0" w:right="0" w:firstLine="0"/>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0B56F1" w14:textId="77777777" w:rsidR="00981993" w:rsidRDefault="00981993">
    <w:pPr>
      <w:spacing w:after="160" w:line="259" w:lineRule="auto"/>
      <w:ind w:left="0" w:right="0" w:firstLine="0"/>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7FE075" w14:textId="77777777" w:rsidR="00981993" w:rsidRDefault="00981993">
    <w:pPr>
      <w:spacing w:after="160" w:line="259" w:lineRule="auto"/>
      <w:ind w:left="0" w:righ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E210178C"/>
    <w:multiLevelType w:val="hybridMultilevel"/>
    <w:tmpl w:val="FFFFFFFF"/>
    <w:lvl w:ilvl="0" w:tplc="FFFFFFFF">
      <w:start w:val="1"/>
      <w:numFmt w:val="ideographDigital"/>
      <w:lvlText w:val=""/>
      <w:lvlJc w:val="left"/>
    </w:lvl>
    <w:lvl w:ilvl="1" w:tplc="FFFFFFFF">
      <w:start w:val="1"/>
      <w:numFmt w:val="upperLetter"/>
      <w:lvlText w:val=""/>
      <w:lvlJc w:val="left"/>
    </w:lvl>
    <w:lvl w:ilvl="2" w:tplc="FFFFFFFF">
      <w:start w:val="1"/>
      <w:numFmt w:val="ideographDigit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F56975"/>
    <w:multiLevelType w:val="hybridMultilevel"/>
    <w:tmpl w:val="D3E23B88"/>
    <w:lvl w:ilvl="0" w:tplc="6D8648BA">
      <w:start w:val="1"/>
      <w:numFmt w:val="bullet"/>
      <w:lvlText w:val="•"/>
      <w:lvlJc w:val="left"/>
      <w:pPr>
        <w:ind w:left="108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15B3D74"/>
    <w:multiLevelType w:val="hybridMultilevel"/>
    <w:tmpl w:val="B5FABD70"/>
    <w:lvl w:ilvl="0" w:tplc="298673FC">
      <w:start w:val="1"/>
      <w:numFmt w:val="decimal"/>
      <w:lvlText w:val="(%1)"/>
      <w:lvlJc w:val="left"/>
      <w:pPr>
        <w:ind w:left="18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65E2440">
      <w:start w:val="1"/>
      <w:numFmt w:val="lowerLetter"/>
      <w:lvlText w:val="%2"/>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EBE7530">
      <w:start w:val="1"/>
      <w:numFmt w:val="lowerRoman"/>
      <w:lvlText w:val="%3"/>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838CA24">
      <w:start w:val="1"/>
      <w:numFmt w:val="decimal"/>
      <w:lvlText w:val="%4"/>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3F4B102">
      <w:start w:val="1"/>
      <w:numFmt w:val="lowerLetter"/>
      <w:lvlText w:val="%5"/>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09ED00E">
      <w:start w:val="1"/>
      <w:numFmt w:val="lowerRoman"/>
      <w:lvlText w:val="%6"/>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240ED6E">
      <w:start w:val="1"/>
      <w:numFmt w:val="decimal"/>
      <w:lvlText w:val="%7"/>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BB6E9C8">
      <w:start w:val="1"/>
      <w:numFmt w:val="lowerLetter"/>
      <w:lvlText w:val="%8"/>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E7A8AB4">
      <w:start w:val="1"/>
      <w:numFmt w:val="lowerRoman"/>
      <w:lvlText w:val="%9"/>
      <w:lvlJc w:val="left"/>
      <w:pPr>
        <w:ind w:left="68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2A531D5"/>
    <w:multiLevelType w:val="hybridMultilevel"/>
    <w:tmpl w:val="F6920678"/>
    <w:lvl w:ilvl="0" w:tplc="7ED2B3EC">
      <w:start w:val="1"/>
      <w:numFmt w:val="bullet"/>
      <w:lvlText w:val="•"/>
      <w:lvlJc w:val="left"/>
      <w:pPr>
        <w:ind w:left="1567" w:hanging="360"/>
      </w:pPr>
      <w:rPr>
        <w:rFonts w:ascii="Arial" w:eastAsia="Arial" w:hAnsi="Arial" w:cs="Arial" w:hint="default"/>
        <w:b w:val="0"/>
        <w:i w:val="0"/>
        <w:strike w:val="0"/>
        <w:dstrike w:val="0"/>
        <w:color w:val="000000"/>
        <w:sz w:val="22"/>
        <w:szCs w:val="22"/>
        <w:u w:val="none" w:color="000000"/>
        <w:bdr w:val="none" w:sz="0" w:space="0" w:color="auto"/>
        <w:shd w:val="clear" w:color="auto" w:fill="auto"/>
        <w:vertAlign w:val="baseline"/>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2A75E6D"/>
    <w:multiLevelType w:val="hybridMultilevel"/>
    <w:tmpl w:val="90F206A8"/>
    <w:lvl w:ilvl="0" w:tplc="FFFFFFFF">
      <w:start w:val="1"/>
      <w:numFmt w:val="decimal"/>
      <w:lvlText w:val="%1."/>
      <w:lvlJc w:val="left"/>
      <w:pPr>
        <w:ind w:left="14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61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8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2AF1753"/>
    <w:multiLevelType w:val="hybridMultilevel"/>
    <w:tmpl w:val="07746F6A"/>
    <w:lvl w:ilvl="0" w:tplc="BB82FF26">
      <w:start w:val="1"/>
      <w:numFmt w:val="bullet"/>
      <w:lvlText w:val="•"/>
      <w:lvlJc w:val="left"/>
      <w:pPr>
        <w:ind w:left="8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F4A018C">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2D032C8">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C0EE238">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D0EAC88">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45EED8A">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93E53F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E9A26AE">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33E0866">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3B72D09"/>
    <w:multiLevelType w:val="hybridMultilevel"/>
    <w:tmpl w:val="D1148D32"/>
    <w:lvl w:ilvl="0" w:tplc="4B30D5B8">
      <w:start w:val="1"/>
      <w:numFmt w:val="decimal"/>
      <w:lvlText w:val="(%1)"/>
      <w:lvlJc w:val="left"/>
      <w:pPr>
        <w:ind w:left="18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112381C">
      <w:start w:val="1"/>
      <w:numFmt w:val="lowerLetter"/>
      <w:lvlText w:val="%2"/>
      <w:lvlJc w:val="left"/>
      <w:pPr>
        <w:ind w:left="24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C184780">
      <w:start w:val="1"/>
      <w:numFmt w:val="lowerRoman"/>
      <w:lvlText w:val="%3"/>
      <w:lvlJc w:val="left"/>
      <w:pPr>
        <w:ind w:left="320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A6A18EE">
      <w:start w:val="1"/>
      <w:numFmt w:val="decimal"/>
      <w:lvlText w:val="%4"/>
      <w:lvlJc w:val="left"/>
      <w:pPr>
        <w:ind w:left="39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09465D0">
      <w:start w:val="1"/>
      <w:numFmt w:val="lowerLetter"/>
      <w:lvlText w:val="%5"/>
      <w:lvlJc w:val="left"/>
      <w:pPr>
        <w:ind w:left="464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5AC7332">
      <w:start w:val="1"/>
      <w:numFmt w:val="lowerRoman"/>
      <w:lvlText w:val="%6"/>
      <w:lvlJc w:val="left"/>
      <w:pPr>
        <w:ind w:left="53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C3A8936">
      <w:start w:val="1"/>
      <w:numFmt w:val="decimal"/>
      <w:lvlText w:val="%7"/>
      <w:lvlJc w:val="left"/>
      <w:pPr>
        <w:ind w:left="60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E367816">
      <w:start w:val="1"/>
      <w:numFmt w:val="lowerLetter"/>
      <w:lvlText w:val="%8"/>
      <w:lvlJc w:val="left"/>
      <w:pPr>
        <w:ind w:left="680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140C048">
      <w:start w:val="1"/>
      <w:numFmt w:val="lowerRoman"/>
      <w:lvlText w:val="%9"/>
      <w:lvlJc w:val="left"/>
      <w:pPr>
        <w:ind w:left="75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043A4996"/>
    <w:multiLevelType w:val="hybridMultilevel"/>
    <w:tmpl w:val="3C7A7086"/>
    <w:lvl w:ilvl="0" w:tplc="3F88C826">
      <w:start w:val="1"/>
      <w:numFmt w:val="lowerLetter"/>
      <w:lvlText w:val="%1."/>
      <w:lvlJc w:val="left"/>
      <w:pPr>
        <w:ind w:left="1207"/>
      </w:pPr>
      <w:rPr>
        <w:b/>
        <w:bCs/>
        <w:i w:val="0"/>
        <w:strike w:val="0"/>
        <w:dstrike w:val="0"/>
        <w:color w:val="000000"/>
        <w:sz w:val="22"/>
        <w:szCs w:val="22"/>
        <w:u w:val="none" w:color="000000"/>
        <w:bdr w:val="none" w:sz="0" w:space="0" w:color="auto"/>
        <w:shd w:val="clear" w:color="auto" w:fill="auto"/>
        <w:vertAlign w:val="baseline"/>
      </w:rPr>
    </w:lvl>
    <w:lvl w:ilvl="1" w:tplc="E4D67DFA">
      <w:start w:val="1"/>
      <w:numFmt w:val="bullet"/>
      <w:lvlText w:val="o"/>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64C2C1F2">
      <w:start w:val="1"/>
      <w:numFmt w:val="bullet"/>
      <w:lvlText w:val="▪"/>
      <w:lvlJc w:val="left"/>
      <w:pPr>
        <w:ind w:left="25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D885C0E">
      <w:start w:val="1"/>
      <w:numFmt w:val="bullet"/>
      <w:lvlText w:val="•"/>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B50AF90">
      <w:start w:val="1"/>
      <w:numFmt w:val="bullet"/>
      <w:lvlText w:val="o"/>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8FA98AA">
      <w:start w:val="1"/>
      <w:numFmt w:val="bullet"/>
      <w:lvlText w:val="▪"/>
      <w:lvlJc w:val="left"/>
      <w:pPr>
        <w:ind w:left="46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17C2690">
      <w:start w:val="1"/>
      <w:numFmt w:val="bullet"/>
      <w:lvlText w:val="•"/>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5D65790">
      <w:start w:val="1"/>
      <w:numFmt w:val="bullet"/>
      <w:lvlText w:val="o"/>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4D005E6">
      <w:start w:val="1"/>
      <w:numFmt w:val="bullet"/>
      <w:lvlText w:val="▪"/>
      <w:lvlJc w:val="left"/>
      <w:pPr>
        <w:ind w:left="68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04A603AB"/>
    <w:multiLevelType w:val="hybridMultilevel"/>
    <w:tmpl w:val="F0769C28"/>
    <w:lvl w:ilvl="0" w:tplc="FFFFFFFF">
      <w:start w:val="1"/>
      <w:numFmt w:val="decimal"/>
      <w:lvlText w:val="(%1)"/>
      <w:lvlJc w:val="left"/>
      <w:pPr>
        <w:ind w:left="22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23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30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37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45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52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59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66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73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05D31FA4"/>
    <w:multiLevelType w:val="hybridMultilevel"/>
    <w:tmpl w:val="380A3F86"/>
    <w:lvl w:ilvl="0" w:tplc="7D4AE0A4">
      <w:start w:val="1"/>
      <w:numFmt w:val="lowerLetter"/>
      <w:lvlText w:val="%1."/>
      <w:lvlJc w:val="left"/>
      <w:pPr>
        <w:ind w:left="117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8F3EA500">
      <w:start w:val="1"/>
      <w:numFmt w:val="lowerLetter"/>
      <w:lvlText w:val="%2"/>
      <w:lvlJc w:val="left"/>
      <w:pPr>
        <w:ind w:left="14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956A7A1E">
      <w:start w:val="1"/>
      <w:numFmt w:val="lowerRoman"/>
      <w:lvlText w:val="%3"/>
      <w:lvlJc w:val="left"/>
      <w:pPr>
        <w:ind w:left="21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3F38A802">
      <w:start w:val="1"/>
      <w:numFmt w:val="decimal"/>
      <w:lvlText w:val="%4"/>
      <w:lvlJc w:val="left"/>
      <w:pPr>
        <w:ind w:left="28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C5BEB82E">
      <w:start w:val="1"/>
      <w:numFmt w:val="lowerLetter"/>
      <w:lvlText w:val="%5"/>
      <w:lvlJc w:val="left"/>
      <w:pPr>
        <w:ind w:left="36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57086300">
      <w:start w:val="1"/>
      <w:numFmt w:val="lowerRoman"/>
      <w:lvlText w:val="%6"/>
      <w:lvlJc w:val="left"/>
      <w:pPr>
        <w:ind w:left="43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8F868C28">
      <w:start w:val="1"/>
      <w:numFmt w:val="decimal"/>
      <w:lvlText w:val="%7"/>
      <w:lvlJc w:val="left"/>
      <w:pPr>
        <w:ind w:left="50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7AF0BB9E">
      <w:start w:val="1"/>
      <w:numFmt w:val="lowerLetter"/>
      <w:lvlText w:val="%8"/>
      <w:lvlJc w:val="left"/>
      <w:pPr>
        <w:ind w:left="57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202C7FB4">
      <w:start w:val="1"/>
      <w:numFmt w:val="lowerRoman"/>
      <w:lvlText w:val="%9"/>
      <w:lvlJc w:val="left"/>
      <w:pPr>
        <w:ind w:left="64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06075D0D"/>
    <w:multiLevelType w:val="hybridMultilevel"/>
    <w:tmpl w:val="02F00EF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15:restartNumberingAfterBreak="0">
    <w:nsid w:val="06A10717"/>
    <w:multiLevelType w:val="hybridMultilevel"/>
    <w:tmpl w:val="AF4C66A4"/>
    <w:lvl w:ilvl="0" w:tplc="B0A63B60">
      <w:start w:val="1"/>
      <w:numFmt w:val="decimal"/>
      <w:lvlText w:val="%1."/>
      <w:lvlJc w:val="left"/>
      <w:pPr>
        <w:ind w:left="1567"/>
      </w:pPr>
      <w:rPr>
        <w:rFonts w:ascii="Times New Roman" w:eastAsia="Times New Roman" w:hAnsi="Times New Roman" w:cs="Times New Roman"/>
        <w:b w:val="0"/>
        <w:bCs w:val="0"/>
        <w:i w:val="0"/>
        <w:strike w:val="0"/>
        <w:dstrike w:val="0"/>
        <w:color w:val="000000"/>
        <w:sz w:val="22"/>
        <w:szCs w:val="22"/>
        <w:u w:val="none" w:color="000000"/>
        <w:bdr w:val="none" w:sz="0" w:space="0" w:color="auto"/>
        <w:shd w:val="clear" w:color="auto" w:fill="auto"/>
        <w:vertAlign w:val="baseline"/>
      </w:rPr>
    </w:lvl>
    <w:lvl w:ilvl="1" w:tplc="9486690A">
      <w:start w:val="1"/>
      <w:numFmt w:val="lowerLetter"/>
      <w:lvlText w:val="%2"/>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9A03FB2">
      <w:start w:val="1"/>
      <w:numFmt w:val="lowerRoman"/>
      <w:lvlText w:val="%3"/>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9EE6CCE">
      <w:start w:val="1"/>
      <w:numFmt w:val="decimal"/>
      <w:lvlText w:val="%4"/>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6B8AADA">
      <w:start w:val="1"/>
      <w:numFmt w:val="lowerLetter"/>
      <w:lvlText w:val="%5"/>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206F1C4">
      <w:start w:val="1"/>
      <w:numFmt w:val="lowerRoman"/>
      <w:lvlText w:val="%6"/>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2C485FC">
      <w:start w:val="1"/>
      <w:numFmt w:val="decimal"/>
      <w:lvlText w:val="%7"/>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F36798C">
      <w:start w:val="1"/>
      <w:numFmt w:val="lowerLetter"/>
      <w:lvlText w:val="%8"/>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F680028">
      <w:start w:val="1"/>
      <w:numFmt w:val="lowerRoman"/>
      <w:lvlText w:val="%9"/>
      <w:lvlJc w:val="left"/>
      <w:pPr>
        <w:ind w:left="72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06B56D0C"/>
    <w:multiLevelType w:val="hybridMultilevel"/>
    <w:tmpl w:val="5F8E2AF2"/>
    <w:lvl w:ilvl="0" w:tplc="04090001">
      <w:start w:val="1"/>
      <w:numFmt w:val="bullet"/>
      <w:lvlText w:val=""/>
      <w:lvlJc w:val="left"/>
      <w:pPr>
        <w:ind w:left="1786" w:hanging="360"/>
      </w:pPr>
      <w:rPr>
        <w:rFonts w:ascii="Symbol" w:hAnsi="Symbol" w:hint="default"/>
      </w:rPr>
    </w:lvl>
    <w:lvl w:ilvl="1" w:tplc="04090003" w:tentative="1">
      <w:start w:val="1"/>
      <w:numFmt w:val="bullet"/>
      <w:lvlText w:val="o"/>
      <w:lvlJc w:val="left"/>
      <w:pPr>
        <w:ind w:left="2506" w:hanging="360"/>
      </w:pPr>
      <w:rPr>
        <w:rFonts w:ascii="Courier New" w:hAnsi="Courier New" w:cs="Courier New" w:hint="default"/>
      </w:rPr>
    </w:lvl>
    <w:lvl w:ilvl="2" w:tplc="04090005" w:tentative="1">
      <w:start w:val="1"/>
      <w:numFmt w:val="bullet"/>
      <w:lvlText w:val=""/>
      <w:lvlJc w:val="left"/>
      <w:pPr>
        <w:ind w:left="3226" w:hanging="360"/>
      </w:pPr>
      <w:rPr>
        <w:rFonts w:ascii="Wingdings" w:hAnsi="Wingdings" w:hint="default"/>
      </w:rPr>
    </w:lvl>
    <w:lvl w:ilvl="3" w:tplc="04090001" w:tentative="1">
      <w:start w:val="1"/>
      <w:numFmt w:val="bullet"/>
      <w:lvlText w:val=""/>
      <w:lvlJc w:val="left"/>
      <w:pPr>
        <w:ind w:left="3946" w:hanging="360"/>
      </w:pPr>
      <w:rPr>
        <w:rFonts w:ascii="Symbol" w:hAnsi="Symbol" w:hint="default"/>
      </w:rPr>
    </w:lvl>
    <w:lvl w:ilvl="4" w:tplc="04090003" w:tentative="1">
      <w:start w:val="1"/>
      <w:numFmt w:val="bullet"/>
      <w:lvlText w:val="o"/>
      <w:lvlJc w:val="left"/>
      <w:pPr>
        <w:ind w:left="4666" w:hanging="360"/>
      </w:pPr>
      <w:rPr>
        <w:rFonts w:ascii="Courier New" w:hAnsi="Courier New" w:cs="Courier New" w:hint="default"/>
      </w:rPr>
    </w:lvl>
    <w:lvl w:ilvl="5" w:tplc="04090005" w:tentative="1">
      <w:start w:val="1"/>
      <w:numFmt w:val="bullet"/>
      <w:lvlText w:val=""/>
      <w:lvlJc w:val="left"/>
      <w:pPr>
        <w:ind w:left="5386" w:hanging="360"/>
      </w:pPr>
      <w:rPr>
        <w:rFonts w:ascii="Wingdings" w:hAnsi="Wingdings" w:hint="default"/>
      </w:rPr>
    </w:lvl>
    <w:lvl w:ilvl="6" w:tplc="04090001" w:tentative="1">
      <w:start w:val="1"/>
      <w:numFmt w:val="bullet"/>
      <w:lvlText w:val=""/>
      <w:lvlJc w:val="left"/>
      <w:pPr>
        <w:ind w:left="6106" w:hanging="360"/>
      </w:pPr>
      <w:rPr>
        <w:rFonts w:ascii="Symbol" w:hAnsi="Symbol" w:hint="default"/>
      </w:rPr>
    </w:lvl>
    <w:lvl w:ilvl="7" w:tplc="04090003" w:tentative="1">
      <w:start w:val="1"/>
      <w:numFmt w:val="bullet"/>
      <w:lvlText w:val="o"/>
      <w:lvlJc w:val="left"/>
      <w:pPr>
        <w:ind w:left="6826" w:hanging="360"/>
      </w:pPr>
      <w:rPr>
        <w:rFonts w:ascii="Courier New" w:hAnsi="Courier New" w:cs="Courier New" w:hint="default"/>
      </w:rPr>
    </w:lvl>
    <w:lvl w:ilvl="8" w:tplc="04090005" w:tentative="1">
      <w:start w:val="1"/>
      <w:numFmt w:val="bullet"/>
      <w:lvlText w:val=""/>
      <w:lvlJc w:val="left"/>
      <w:pPr>
        <w:ind w:left="7546" w:hanging="360"/>
      </w:pPr>
      <w:rPr>
        <w:rFonts w:ascii="Wingdings" w:hAnsi="Wingdings" w:hint="default"/>
      </w:rPr>
    </w:lvl>
  </w:abstractNum>
  <w:abstractNum w:abstractNumId="13" w15:restartNumberingAfterBreak="0">
    <w:nsid w:val="06CA11B7"/>
    <w:multiLevelType w:val="hybridMultilevel"/>
    <w:tmpl w:val="38240E7A"/>
    <w:lvl w:ilvl="0" w:tplc="ECC60E8E">
      <w:start w:val="1"/>
      <w:numFmt w:val="lowerLetter"/>
      <w:lvlText w:val="%1."/>
      <w:lvlJc w:val="left"/>
      <w:pPr>
        <w:ind w:left="117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A29CC858">
      <w:start w:val="1"/>
      <w:numFmt w:val="decimal"/>
      <w:lvlText w:val="(%2)"/>
      <w:lvlJc w:val="left"/>
      <w:pPr>
        <w:ind w:left="17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D76250E">
      <w:start w:val="1"/>
      <w:numFmt w:val="lowerLetter"/>
      <w:lvlText w:val="(%3)"/>
      <w:lvlJc w:val="left"/>
      <w:pPr>
        <w:ind w:left="3152" w:hanging="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D96061E">
      <w:start w:val="1"/>
      <w:numFmt w:val="decimal"/>
      <w:lvlText w:val="%4"/>
      <w:lvlJc w:val="left"/>
      <w:pPr>
        <w:ind w:left="2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EFE7364">
      <w:start w:val="1"/>
      <w:numFmt w:val="lowerLetter"/>
      <w:lvlText w:val="%5"/>
      <w:lvlJc w:val="left"/>
      <w:pPr>
        <w:ind w:left="3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A6EDC76">
      <w:start w:val="1"/>
      <w:numFmt w:val="lowerRoman"/>
      <w:lvlText w:val="%6"/>
      <w:lvlJc w:val="left"/>
      <w:pPr>
        <w:ind w:left="3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69E2F30">
      <w:start w:val="1"/>
      <w:numFmt w:val="decimal"/>
      <w:lvlText w:val="%7"/>
      <w:lvlJc w:val="left"/>
      <w:pPr>
        <w:ind w:left="45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0464408">
      <w:start w:val="1"/>
      <w:numFmt w:val="lowerLetter"/>
      <w:lvlText w:val="%8"/>
      <w:lvlJc w:val="left"/>
      <w:pPr>
        <w:ind w:left="52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534D240">
      <w:start w:val="1"/>
      <w:numFmt w:val="lowerRoman"/>
      <w:lvlText w:val="%9"/>
      <w:lvlJc w:val="left"/>
      <w:pPr>
        <w:ind w:left="59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08457F70"/>
    <w:multiLevelType w:val="hybridMultilevel"/>
    <w:tmpl w:val="75664C2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 w15:restartNumberingAfterBreak="0">
    <w:nsid w:val="093F5B8C"/>
    <w:multiLevelType w:val="hybridMultilevel"/>
    <w:tmpl w:val="8E82B1E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15:restartNumberingAfterBreak="0">
    <w:nsid w:val="0ADC57E1"/>
    <w:multiLevelType w:val="hybridMultilevel"/>
    <w:tmpl w:val="5A0049E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15:restartNumberingAfterBreak="0">
    <w:nsid w:val="0AF21E03"/>
    <w:multiLevelType w:val="hybridMultilevel"/>
    <w:tmpl w:val="2FA06A3E"/>
    <w:lvl w:ilvl="0" w:tplc="30E2BA06">
      <w:start w:val="1"/>
      <w:numFmt w:val="lowerLetter"/>
      <w:lvlText w:val="%1."/>
      <w:lvlJc w:val="left"/>
      <w:pPr>
        <w:ind w:left="128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F6BC3B3C">
      <w:start w:val="1"/>
      <w:numFmt w:val="lowerLetter"/>
      <w:lvlText w:val="%2"/>
      <w:lvlJc w:val="left"/>
      <w:pPr>
        <w:ind w:left="200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D076E918">
      <w:start w:val="1"/>
      <w:numFmt w:val="lowerRoman"/>
      <w:lvlText w:val="%3"/>
      <w:lvlJc w:val="left"/>
      <w:pPr>
        <w:ind w:left="272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D3643128">
      <w:start w:val="1"/>
      <w:numFmt w:val="decimal"/>
      <w:lvlText w:val="%4"/>
      <w:lvlJc w:val="left"/>
      <w:pPr>
        <w:ind w:left="344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2AFA3A34">
      <w:start w:val="1"/>
      <w:numFmt w:val="lowerLetter"/>
      <w:lvlText w:val="%5"/>
      <w:lvlJc w:val="left"/>
      <w:pPr>
        <w:ind w:left="416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659EF93E">
      <w:start w:val="1"/>
      <w:numFmt w:val="lowerRoman"/>
      <w:lvlText w:val="%6"/>
      <w:lvlJc w:val="left"/>
      <w:pPr>
        <w:ind w:left="488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49A24FB2">
      <w:start w:val="1"/>
      <w:numFmt w:val="decimal"/>
      <w:lvlText w:val="%7"/>
      <w:lvlJc w:val="left"/>
      <w:pPr>
        <w:ind w:left="560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D7E28ECA">
      <w:start w:val="1"/>
      <w:numFmt w:val="lowerLetter"/>
      <w:lvlText w:val="%8"/>
      <w:lvlJc w:val="left"/>
      <w:pPr>
        <w:ind w:left="632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83BAE578">
      <w:start w:val="1"/>
      <w:numFmt w:val="lowerRoman"/>
      <w:lvlText w:val="%9"/>
      <w:lvlJc w:val="left"/>
      <w:pPr>
        <w:ind w:left="704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0AFD45F5"/>
    <w:multiLevelType w:val="hybridMultilevel"/>
    <w:tmpl w:val="F66C403C"/>
    <w:lvl w:ilvl="0" w:tplc="50E4D0C8">
      <w:start w:val="1"/>
      <w:numFmt w:val="decimal"/>
      <w:lvlText w:val="(%1)"/>
      <w:lvlJc w:val="left"/>
      <w:pPr>
        <w:ind w:left="2160" w:hanging="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9" w15:restartNumberingAfterBreak="0">
    <w:nsid w:val="0B503452"/>
    <w:multiLevelType w:val="hybridMultilevel"/>
    <w:tmpl w:val="FB6ADD64"/>
    <w:lvl w:ilvl="0" w:tplc="D30028C4">
      <w:start w:val="1"/>
      <w:numFmt w:val="decimal"/>
      <w:lvlText w:val="%1."/>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2EEA1FCA">
      <w:start w:val="1"/>
      <w:numFmt w:val="lowerLetter"/>
      <w:lvlText w:val="%2"/>
      <w:lvlJc w:val="left"/>
      <w:pPr>
        <w:ind w:left="12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E9C4960C">
      <w:start w:val="1"/>
      <w:numFmt w:val="lowerRoman"/>
      <w:lvlText w:val="%3"/>
      <w:lvlJc w:val="left"/>
      <w:pPr>
        <w:ind w:left="19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EC9E2AE6">
      <w:start w:val="1"/>
      <w:numFmt w:val="decimal"/>
      <w:lvlText w:val="%4"/>
      <w:lvlJc w:val="left"/>
      <w:pPr>
        <w:ind w:left="27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0682F590">
      <w:start w:val="1"/>
      <w:numFmt w:val="lowerLetter"/>
      <w:lvlText w:val="%5"/>
      <w:lvlJc w:val="left"/>
      <w:pPr>
        <w:ind w:left="34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445833C0">
      <w:start w:val="1"/>
      <w:numFmt w:val="lowerRoman"/>
      <w:lvlText w:val="%6"/>
      <w:lvlJc w:val="left"/>
      <w:pPr>
        <w:ind w:left="41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DE68CE72">
      <w:start w:val="1"/>
      <w:numFmt w:val="decimal"/>
      <w:lvlText w:val="%7"/>
      <w:lvlJc w:val="left"/>
      <w:pPr>
        <w:ind w:left="48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7ED64158">
      <w:start w:val="1"/>
      <w:numFmt w:val="lowerLetter"/>
      <w:lvlText w:val="%8"/>
      <w:lvlJc w:val="left"/>
      <w:pPr>
        <w:ind w:left="55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38069D5C">
      <w:start w:val="1"/>
      <w:numFmt w:val="lowerRoman"/>
      <w:lvlText w:val="%9"/>
      <w:lvlJc w:val="left"/>
      <w:pPr>
        <w:ind w:left="63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0F4152A1"/>
    <w:multiLevelType w:val="hybridMultilevel"/>
    <w:tmpl w:val="F0769C28"/>
    <w:lvl w:ilvl="0" w:tplc="50E4D0C8">
      <w:start w:val="1"/>
      <w:numFmt w:val="decimal"/>
      <w:lvlText w:val="(%1)"/>
      <w:lvlJc w:val="left"/>
      <w:pPr>
        <w:ind w:left="22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430239C">
      <w:start w:val="1"/>
      <w:numFmt w:val="lowerLetter"/>
      <w:lvlText w:val="%2"/>
      <w:lvlJc w:val="left"/>
      <w:pPr>
        <w:ind w:left="23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66A56B0">
      <w:start w:val="1"/>
      <w:numFmt w:val="lowerRoman"/>
      <w:lvlText w:val="%3"/>
      <w:lvlJc w:val="left"/>
      <w:pPr>
        <w:ind w:left="30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3DC470A">
      <w:start w:val="1"/>
      <w:numFmt w:val="decimal"/>
      <w:lvlText w:val="%4"/>
      <w:lvlJc w:val="left"/>
      <w:pPr>
        <w:ind w:left="37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6F6A9FA">
      <w:start w:val="1"/>
      <w:numFmt w:val="lowerLetter"/>
      <w:lvlText w:val="%5"/>
      <w:lvlJc w:val="left"/>
      <w:pPr>
        <w:ind w:left="45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CD0DF3C">
      <w:start w:val="1"/>
      <w:numFmt w:val="lowerRoman"/>
      <w:lvlText w:val="%6"/>
      <w:lvlJc w:val="left"/>
      <w:pPr>
        <w:ind w:left="52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F9EF062">
      <w:start w:val="1"/>
      <w:numFmt w:val="decimal"/>
      <w:lvlText w:val="%7"/>
      <w:lvlJc w:val="left"/>
      <w:pPr>
        <w:ind w:left="59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27CDB78">
      <w:start w:val="1"/>
      <w:numFmt w:val="lowerLetter"/>
      <w:lvlText w:val="%8"/>
      <w:lvlJc w:val="left"/>
      <w:pPr>
        <w:ind w:left="66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9F83E90">
      <w:start w:val="1"/>
      <w:numFmt w:val="lowerRoman"/>
      <w:lvlText w:val="%9"/>
      <w:lvlJc w:val="left"/>
      <w:pPr>
        <w:ind w:left="73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0FED3C98"/>
    <w:multiLevelType w:val="hybridMultilevel"/>
    <w:tmpl w:val="A1327E84"/>
    <w:lvl w:ilvl="0" w:tplc="B0729C9C">
      <w:start w:val="1"/>
      <w:numFmt w:val="decimal"/>
      <w:lvlText w:val="%1."/>
      <w:lvlJc w:val="left"/>
      <w:pPr>
        <w:ind w:left="1440" w:hanging="360"/>
      </w:pPr>
      <w:rPr>
        <w:rFonts w:hint="default"/>
        <w:b/>
      </w:rPr>
    </w:lvl>
    <w:lvl w:ilvl="1" w:tplc="D81645CC">
      <w:start w:val="1"/>
      <w:numFmt w:val="lowerLetter"/>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108E4232"/>
    <w:multiLevelType w:val="hybridMultilevel"/>
    <w:tmpl w:val="516ADFDA"/>
    <w:lvl w:ilvl="0" w:tplc="682E334C">
      <w:start w:val="1"/>
      <w:numFmt w:val="lowerLetter"/>
      <w:lvlText w:val="%1."/>
      <w:lvlJc w:val="left"/>
      <w:pPr>
        <w:ind w:left="126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5C360BDA">
      <w:start w:val="1"/>
      <w:numFmt w:val="lowerLetter"/>
      <w:lvlText w:val="%2"/>
      <w:lvlJc w:val="left"/>
      <w:pPr>
        <w:ind w:left="153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F064DE16">
      <w:start w:val="1"/>
      <w:numFmt w:val="lowerRoman"/>
      <w:lvlText w:val="%3"/>
      <w:lvlJc w:val="left"/>
      <w:pPr>
        <w:ind w:left="225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A71C6F7A">
      <w:start w:val="1"/>
      <w:numFmt w:val="decimal"/>
      <w:lvlText w:val="%4"/>
      <w:lvlJc w:val="left"/>
      <w:pPr>
        <w:ind w:left="297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35B2566E">
      <w:start w:val="1"/>
      <w:numFmt w:val="lowerLetter"/>
      <w:lvlText w:val="%5"/>
      <w:lvlJc w:val="left"/>
      <w:pPr>
        <w:ind w:left="369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127222FA">
      <w:start w:val="1"/>
      <w:numFmt w:val="lowerRoman"/>
      <w:lvlText w:val="%6"/>
      <w:lvlJc w:val="left"/>
      <w:pPr>
        <w:ind w:left="441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38043BE0">
      <w:start w:val="1"/>
      <w:numFmt w:val="decimal"/>
      <w:lvlText w:val="%7"/>
      <w:lvlJc w:val="left"/>
      <w:pPr>
        <w:ind w:left="513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668209A0">
      <w:start w:val="1"/>
      <w:numFmt w:val="lowerLetter"/>
      <w:lvlText w:val="%8"/>
      <w:lvlJc w:val="left"/>
      <w:pPr>
        <w:ind w:left="585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BA0E48AE">
      <w:start w:val="1"/>
      <w:numFmt w:val="lowerRoman"/>
      <w:lvlText w:val="%9"/>
      <w:lvlJc w:val="left"/>
      <w:pPr>
        <w:ind w:left="657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11191E61"/>
    <w:multiLevelType w:val="hybridMultilevel"/>
    <w:tmpl w:val="652CA77C"/>
    <w:lvl w:ilvl="0" w:tplc="EFD697C8">
      <w:start w:val="1"/>
      <w:numFmt w:val="bullet"/>
      <w:lvlText w:val="•"/>
      <w:lvlJc w:val="left"/>
      <w:pPr>
        <w:ind w:left="10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F66A852">
      <w:start w:val="1"/>
      <w:numFmt w:val="bullet"/>
      <w:lvlText w:val="o"/>
      <w:lvlJc w:val="left"/>
      <w:pPr>
        <w:ind w:left="180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924F506">
      <w:start w:val="1"/>
      <w:numFmt w:val="bullet"/>
      <w:lvlText w:val="▪"/>
      <w:lvlJc w:val="left"/>
      <w:pPr>
        <w:ind w:left="252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BDA9554">
      <w:start w:val="1"/>
      <w:numFmt w:val="bullet"/>
      <w:lvlText w:val="•"/>
      <w:lvlJc w:val="left"/>
      <w:pPr>
        <w:ind w:left="324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9AA34E2">
      <w:start w:val="1"/>
      <w:numFmt w:val="bullet"/>
      <w:lvlText w:val="o"/>
      <w:lvlJc w:val="left"/>
      <w:pPr>
        <w:ind w:left="396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FD40A0E">
      <w:start w:val="1"/>
      <w:numFmt w:val="bullet"/>
      <w:lvlText w:val="▪"/>
      <w:lvlJc w:val="left"/>
      <w:pPr>
        <w:ind w:left="468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3864C02">
      <w:start w:val="1"/>
      <w:numFmt w:val="bullet"/>
      <w:lvlText w:val="•"/>
      <w:lvlJc w:val="left"/>
      <w:pPr>
        <w:ind w:left="540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A06EA34">
      <w:start w:val="1"/>
      <w:numFmt w:val="bullet"/>
      <w:lvlText w:val="o"/>
      <w:lvlJc w:val="left"/>
      <w:pPr>
        <w:ind w:left="612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BD06A9A">
      <w:start w:val="1"/>
      <w:numFmt w:val="bullet"/>
      <w:lvlText w:val="▪"/>
      <w:lvlJc w:val="left"/>
      <w:pPr>
        <w:ind w:left="684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113C5C09"/>
    <w:multiLevelType w:val="hybridMultilevel"/>
    <w:tmpl w:val="9BB040D8"/>
    <w:lvl w:ilvl="0" w:tplc="50E4D0C8">
      <w:start w:val="1"/>
      <w:numFmt w:val="decimal"/>
      <w:lvlText w:val="(%1)"/>
      <w:lvlJc w:val="left"/>
      <w:pPr>
        <w:ind w:left="3518" w:hanging="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1412083"/>
    <w:multiLevelType w:val="hybridMultilevel"/>
    <w:tmpl w:val="0366A3F0"/>
    <w:lvl w:ilvl="0" w:tplc="D0782364">
      <w:start w:val="1"/>
      <w:numFmt w:val="bullet"/>
      <w:lvlText w:val="•"/>
      <w:lvlJc w:val="left"/>
      <w:pPr>
        <w:ind w:left="10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7E6C76E">
      <w:start w:val="1"/>
      <w:numFmt w:val="bullet"/>
      <w:lvlText w:val="o"/>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EC4E8E6">
      <w:start w:val="1"/>
      <w:numFmt w:val="bullet"/>
      <w:lvlText w:val="▪"/>
      <w:lvlJc w:val="left"/>
      <w:pPr>
        <w:ind w:left="25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89849FA">
      <w:start w:val="1"/>
      <w:numFmt w:val="bullet"/>
      <w:lvlText w:val="•"/>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4C0DB74">
      <w:start w:val="1"/>
      <w:numFmt w:val="bullet"/>
      <w:lvlText w:val="o"/>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F5C87DE">
      <w:start w:val="1"/>
      <w:numFmt w:val="bullet"/>
      <w:lvlText w:val="▪"/>
      <w:lvlJc w:val="left"/>
      <w:pPr>
        <w:ind w:left="46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F460492">
      <w:start w:val="1"/>
      <w:numFmt w:val="bullet"/>
      <w:lvlText w:val="•"/>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EF044EC">
      <w:start w:val="1"/>
      <w:numFmt w:val="bullet"/>
      <w:lvlText w:val="o"/>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D768A2A">
      <w:start w:val="1"/>
      <w:numFmt w:val="bullet"/>
      <w:lvlText w:val="▪"/>
      <w:lvlJc w:val="left"/>
      <w:pPr>
        <w:ind w:left="68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11772D27"/>
    <w:multiLevelType w:val="hybridMultilevel"/>
    <w:tmpl w:val="FB6ADD64"/>
    <w:lvl w:ilvl="0" w:tplc="D30028C4">
      <w:start w:val="1"/>
      <w:numFmt w:val="decimal"/>
      <w:lvlText w:val="%1."/>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2EEA1FCA">
      <w:start w:val="1"/>
      <w:numFmt w:val="lowerLetter"/>
      <w:lvlText w:val="%2"/>
      <w:lvlJc w:val="left"/>
      <w:pPr>
        <w:ind w:left="12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E9C4960C">
      <w:start w:val="1"/>
      <w:numFmt w:val="lowerRoman"/>
      <w:lvlText w:val="%3"/>
      <w:lvlJc w:val="left"/>
      <w:pPr>
        <w:ind w:left="19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EC9E2AE6">
      <w:start w:val="1"/>
      <w:numFmt w:val="decimal"/>
      <w:lvlText w:val="%4"/>
      <w:lvlJc w:val="left"/>
      <w:pPr>
        <w:ind w:left="27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0682F590">
      <w:start w:val="1"/>
      <w:numFmt w:val="lowerLetter"/>
      <w:lvlText w:val="%5"/>
      <w:lvlJc w:val="left"/>
      <w:pPr>
        <w:ind w:left="34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445833C0">
      <w:start w:val="1"/>
      <w:numFmt w:val="lowerRoman"/>
      <w:lvlText w:val="%6"/>
      <w:lvlJc w:val="left"/>
      <w:pPr>
        <w:ind w:left="41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DE68CE72">
      <w:start w:val="1"/>
      <w:numFmt w:val="decimal"/>
      <w:lvlText w:val="%7"/>
      <w:lvlJc w:val="left"/>
      <w:pPr>
        <w:ind w:left="48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7ED64158">
      <w:start w:val="1"/>
      <w:numFmt w:val="lowerLetter"/>
      <w:lvlText w:val="%8"/>
      <w:lvlJc w:val="left"/>
      <w:pPr>
        <w:ind w:left="55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38069D5C">
      <w:start w:val="1"/>
      <w:numFmt w:val="lowerRoman"/>
      <w:lvlText w:val="%9"/>
      <w:lvlJc w:val="left"/>
      <w:pPr>
        <w:ind w:left="63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128E1613"/>
    <w:multiLevelType w:val="hybridMultilevel"/>
    <w:tmpl w:val="7A6C11D8"/>
    <w:lvl w:ilvl="0" w:tplc="9DAC6EF4">
      <w:start w:val="1"/>
      <w:numFmt w:val="lowerLetter"/>
      <w:lvlText w:val="%1."/>
      <w:lvlJc w:val="left"/>
      <w:pPr>
        <w:ind w:left="1800" w:hanging="360"/>
      </w:pPr>
      <w:rPr>
        <w:b/>
        <w:bCs w:val="0"/>
        <w:i w:val="0"/>
        <w:strike w:val="0"/>
        <w:dstrike w:val="0"/>
        <w:color w:val="000000"/>
        <w:sz w:val="22"/>
        <w:szCs w:val="22"/>
        <w:u w:val="none" w:color="000000"/>
        <w:bdr w:val="none" w:sz="0" w:space="0" w:color="auto"/>
        <w:shd w:val="clear" w:color="auto" w:fill="auto"/>
        <w:vertAlign w:val="baseline"/>
      </w:rPr>
    </w:lvl>
    <w:lvl w:ilvl="1" w:tplc="8D52F7E4">
      <w:start w:val="1"/>
      <w:numFmt w:val="decimal"/>
      <w:lvlText w:val="(%2)"/>
      <w:lvlJc w:val="left"/>
      <w:pPr>
        <w:ind w:left="23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C2E3DD6">
      <w:start w:val="1"/>
      <w:numFmt w:val="lowerRoman"/>
      <w:lvlText w:val="%3"/>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3AC7C16">
      <w:start w:val="1"/>
      <w:numFmt w:val="decimal"/>
      <w:lvlText w:val="%4"/>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6AA6E6A">
      <w:start w:val="1"/>
      <w:numFmt w:val="lowerLetter"/>
      <w:lvlText w:val="%5"/>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79645C6">
      <w:start w:val="1"/>
      <w:numFmt w:val="lowerRoman"/>
      <w:lvlText w:val="%6"/>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0945342">
      <w:start w:val="1"/>
      <w:numFmt w:val="decimal"/>
      <w:lvlText w:val="%7"/>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95E75EE">
      <w:start w:val="1"/>
      <w:numFmt w:val="lowerLetter"/>
      <w:lvlText w:val="%8"/>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EA208A2">
      <w:start w:val="1"/>
      <w:numFmt w:val="lowerRoman"/>
      <w:lvlText w:val="%9"/>
      <w:lvlJc w:val="left"/>
      <w:pPr>
        <w:ind w:left="68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13F6017A"/>
    <w:multiLevelType w:val="hybridMultilevel"/>
    <w:tmpl w:val="CD7E11FE"/>
    <w:lvl w:ilvl="0" w:tplc="B8D2D888">
      <w:start w:val="1"/>
      <w:numFmt w:val="bullet"/>
      <w:lvlText w:val="•"/>
      <w:lvlJc w:val="left"/>
      <w:pPr>
        <w:ind w:left="79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A58EF48">
      <w:start w:val="1"/>
      <w:numFmt w:val="bullet"/>
      <w:lvlText w:val="o"/>
      <w:lvlJc w:val="left"/>
      <w:pPr>
        <w:ind w:left="137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A58BEB0">
      <w:start w:val="1"/>
      <w:numFmt w:val="bullet"/>
      <w:lvlText w:val="▪"/>
      <w:lvlJc w:val="left"/>
      <w:pPr>
        <w:ind w:left="209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007AAC38">
      <w:start w:val="1"/>
      <w:numFmt w:val="bullet"/>
      <w:lvlText w:val="•"/>
      <w:lvlJc w:val="left"/>
      <w:pPr>
        <w:ind w:left="281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4B8A744">
      <w:start w:val="1"/>
      <w:numFmt w:val="bullet"/>
      <w:lvlText w:val="o"/>
      <w:lvlJc w:val="left"/>
      <w:pPr>
        <w:ind w:left="353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66763DE2">
      <w:start w:val="1"/>
      <w:numFmt w:val="bullet"/>
      <w:lvlText w:val="▪"/>
      <w:lvlJc w:val="left"/>
      <w:pPr>
        <w:ind w:left="425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96C0DBFE">
      <w:start w:val="1"/>
      <w:numFmt w:val="bullet"/>
      <w:lvlText w:val="•"/>
      <w:lvlJc w:val="left"/>
      <w:pPr>
        <w:ind w:left="497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C16001A">
      <w:start w:val="1"/>
      <w:numFmt w:val="bullet"/>
      <w:lvlText w:val="o"/>
      <w:lvlJc w:val="left"/>
      <w:pPr>
        <w:ind w:left="569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3B00D59C">
      <w:start w:val="1"/>
      <w:numFmt w:val="bullet"/>
      <w:lvlText w:val="▪"/>
      <w:lvlJc w:val="left"/>
      <w:pPr>
        <w:ind w:left="641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166C51E8"/>
    <w:multiLevelType w:val="hybridMultilevel"/>
    <w:tmpl w:val="D7B032F6"/>
    <w:lvl w:ilvl="0" w:tplc="7D98C5B0">
      <w:start w:val="1"/>
      <w:numFmt w:val="lowerLetter"/>
      <w:lvlText w:val="%1."/>
      <w:lvlJc w:val="left"/>
      <w:pPr>
        <w:ind w:left="120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739800FE">
      <w:start w:val="1"/>
      <w:numFmt w:val="lowerLetter"/>
      <w:lvlText w:val="%2"/>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6A6C1528">
      <w:start w:val="1"/>
      <w:numFmt w:val="lowerRoman"/>
      <w:lvlText w:val="%3"/>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160C434C">
      <w:start w:val="1"/>
      <w:numFmt w:val="decimal"/>
      <w:lvlText w:val="%4"/>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0AD4C910">
      <w:start w:val="1"/>
      <w:numFmt w:val="lowerLetter"/>
      <w:lvlText w:val="%5"/>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E8988F48">
      <w:start w:val="1"/>
      <w:numFmt w:val="lowerRoman"/>
      <w:lvlText w:val="%6"/>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66AEC23A">
      <w:start w:val="1"/>
      <w:numFmt w:val="decimal"/>
      <w:lvlText w:val="%7"/>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A29A724C">
      <w:start w:val="1"/>
      <w:numFmt w:val="lowerLetter"/>
      <w:lvlText w:val="%8"/>
      <w:lvlJc w:val="left"/>
      <w:pPr>
        <w:ind w:left="61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482046DC">
      <w:start w:val="1"/>
      <w:numFmt w:val="lowerRoman"/>
      <w:lvlText w:val="%9"/>
      <w:lvlJc w:val="left"/>
      <w:pPr>
        <w:ind w:left="68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17BB2321"/>
    <w:multiLevelType w:val="hybridMultilevel"/>
    <w:tmpl w:val="BC464B72"/>
    <w:lvl w:ilvl="0" w:tplc="6D8648BA">
      <w:start w:val="1"/>
      <w:numFmt w:val="bullet"/>
      <w:lvlText w:val="•"/>
      <w:lvlJc w:val="left"/>
      <w:pPr>
        <w:ind w:left="180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1" w15:restartNumberingAfterBreak="0">
    <w:nsid w:val="19230B60"/>
    <w:multiLevelType w:val="hybridMultilevel"/>
    <w:tmpl w:val="FB6ADD64"/>
    <w:lvl w:ilvl="0" w:tplc="D30028C4">
      <w:start w:val="1"/>
      <w:numFmt w:val="decimal"/>
      <w:lvlText w:val="%1."/>
      <w:lvlJc w:val="left"/>
      <w:pPr>
        <w:ind w:left="117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2EEA1FCA">
      <w:start w:val="1"/>
      <w:numFmt w:val="lowerLetter"/>
      <w:lvlText w:val="%2"/>
      <w:lvlJc w:val="left"/>
      <w:pPr>
        <w:ind w:left="12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E9C4960C">
      <w:start w:val="1"/>
      <w:numFmt w:val="lowerRoman"/>
      <w:lvlText w:val="%3"/>
      <w:lvlJc w:val="left"/>
      <w:pPr>
        <w:ind w:left="19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EC9E2AE6">
      <w:start w:val="1"/>
      <w:numFmt w:val="decimal"/>
      <w:lvlText w:val="%4"/>
      <w:lvlJc w:val="left"/>
      <w:pPr>
        <w:ind w:left="27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0682F590">
      <w:start w:val="1"/>
      <w:numFmt w:val="lowerLetter"/>
      <w:lvlText w:val="%5"/>
      <w:lvlJc w:val="left"/>
      <w:pPr>
        <w:ind w:left="34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445833C0">
      <w:start w:val="1"/>
      <w:numFmt w:val="lowerRoman"/>
      <w:lvlText w:val="%6"/>
      <w:lvlJc w:val="left"/>
      <w:pPr>
        <w:ind w:left="41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DE68CE72">
      <w:start w:val="1"/>
      <w:numFmt w:val="decimal"/>
      <w:lvlText w:val="%7"/>
      <w:lvlJc w:val="left"/>
      <w:pPr>
        <w:ind w:left="48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7ED64158">
      <w:start w:val="1"/>
      <w:numFmt w:val="lowerLetter"/>
      <w:lvlText w:val="%8"/>
      <w:lvlJc w:val="left"/>
      <w:pPr>
        <w:ind w:left="55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38069D5C">
      <w:start w:val="1"/>
      <w:numFmt w:val="lowerRoman"/>
      <w:lvlText w:val="%9"/>
      <w:lvlJc w:val="left"/>
      <w:pPr>
        <w:ind w:left="63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19963D8C"/>
    <w:multiLevelType w:val="hybridMultilevel"/>
    <w:tmpl w:val="30EC13A2"/>
    <w:lvl w:ilvl="0" w:tplc="9DAC6EF4">
      <w:start w:val="1"/>
      <w:numFmt w:val="lowerLetter"/>
      <w:lvlText w:val="%1."/>
      <w:lvlJc w:val="left"/>
      <w:pPr>
        <w:ind w:left="2520" w:hanging="360"/>
      </w:pPr>
      <w:rPr>
        <w:b/>
        <w:bCs w:val="0"/>
        <w:i w:val="0"/>
        <w:strike w:val="0"/>
        <w:dstrike w:val="0"/>
        <w:color w:val="000000"/>
        <w:sz w:val="22"/>
        <w:szCs w:val="22"/>
        <w:u w:val="none" w:color="000000"/>
        <w:bdr w:val="none" w:sz="0" w:space="0" w:color="auto"/>
        <w:shd w:val="clear" w:color="auto" w:fill="auto"/>
        <w:vertAlign w:val="baseline"/>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3" w15:restartNumberingAfterBreak="0">
    <w:nsid w:val="19FC1A64"/>
    <w:multiLevelType w:val="hybridMultilevel"/>
    <w:tmpl w:val="E362C426"/>
    <w:lvl w:ilvl="0" w:tplc="EBD29B9E">
      <w:start w:val="1"/>
      <w:numFmt w:val="decimal"/>
      <w:lvlText w:val="(%1)"/>
      <w:lvlJc w:val="left"/>
      <w:pPr>
        <w:ind w:left="19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9528876C">
      <w:start w:val="1"/>
      <w:numFmt w:val="lowerLetter"/>
      <w:lvlText w:val="%2"/>
      <w:lvlJc w:val="left"/>
      <w:pPr>
        <w:ind w:left="19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C68EBAB6">
      <w:start w:val="1"/>
      <w:numFmt w:val="lowerRoman"/>
      <w:lvlText w:val="%3"/>
      <w:lvlJc w:val="left"/>
      <w:pPr>
        <w:ind w:left="27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5AFE5D7E">
      <w:start w:val="1"/>
      <w:numFmt w:val="decimal"/>
      <w:lvlText w:val="%4"/>
      <w:lvlJc w:val="left"/>
      <w:pPr>
        <w:ind w:left="34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2C38E20C">
      <w:start w:val="1"/>
      <w:numFmt w:val="lowerLetter"/>
      <w:lvlText w:val="%5"/>
      <w:lvlJc w:val="left"/>
      <w:pPr>
        <w:ind w:left="41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75B4D8A8">
      <w:start w:val="1"/>
      <w:numFmt w:val="lowerRoman"/>
      <w:lvlText w:val="%6"/>
      <w:lvlJc w:val="left"/>
      <w:pPr>
        <w:ind w:left="48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3484F602">
      <w:start w:val="1"/>
      <w:numFmt w:val="decimal"/>
      <w:lvlText w:val="%7"/>
      <w:lvlJc w:val="left"/>
      <w:pPr>
        <w:ind w:left="55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617C56E6">
      <w:start w:val="1"/>
      <w:numFmt w:val="lowerLetter"/>
      <w:lvlText w:val="%8"/>
      <w:lvlJc w:val="left"/>
      <w:pPr>
        <w:ind w:left="63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4D8C46F4">
      <w:start w:val="1"/>
      <w:numFmt w:val="lowerRoman"/>
      <w:lvlText w:val="%9"/>
      <w:lvlJc w:val="left"/>
      <w:pPr>
        <w:ind w:left="70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1CBF02C2"/>
    <w:multiLevelType w:val="hybridMultilevel"/>
    <w:tmpl w:val="EB6E9902"/>
    <w:lvl w:ilvl="0" w:tplc="50E4D0C8">
      <w:start w:val="1"/>
      <w:numFmt w:val="decimal"/>
      <w:lvlText w:val="(%1)"/>
      <w:lvlJc w:val="left"/>
      <w:pPr>
        <w:ind w:left="720" w:hanging="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1CEC4319"/>
    <w:multiLevelType w:val="hybridMultilevel"/>
    <w:tmpl w:val="AA24B530"/>
    <w:lvl w:ilvl="0" w:tplc="99C6DED8">
      <w:start w:val="1"/>
      <w:numFmt w:val="lowerLetter"/>
      <w:lvlText w:val="%1."/>
      <w:lvlJc w:val="left"/>
      <w:pPr>
        <w:ind w:left="126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A9E8CF30">
      <w:start w:val="1"/>
      <w:numFmt w:val="lowerLetter"/>
      <w:lvlText w:val="%2"/>
      <w:lvlJc w:val="left"/>
      <w:pPr>
        <w:ind w:left="153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08EA4EA2">
      <w:start w:val="1"/>
      <w:numFmt w:val="lowerRoman"/>
      <w:lvlText w:val="%3"/>
      <w:lvlJc w:val="left"/>
      <w:pPr>
        <w:ind w:left="225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061CD53E">
      <w:start w:val="1"/>
      <w:numFmt w:val="decimal"/>
      <w:lvlText w:val="%4"/>
      <w:lvlJc w:val="left"/>
      <w:pPr>
        <w:ind w:left="297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682E0E0E">
      <w:start w:val="1"/>
      <w:numFmt w:val="lowerLetter"/>
      <w:lvlText w:val="%5"/>
      <w:lvlJc w:val="left"/>
      <w:pPr>
        <w:ind w:left="369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B4C8F77E">
      <w:start w:val="1"/>
      <w:numFmt w:val="lowerRoman"/>
      <w:lvlText w:val="%6"/>
      <w:lvlJc w:val="left"/>
      <w:pPr>
        <w:ind w:left="441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6520FCB2">
      <w:start w:val="1"/>
      <w:numFmt w:val="decimal"/>
      <w:lvlText w:val="%7"/>
      <w:lvlJc w:val="left"/>
      <w:pPr>
        <w:ind w:left="513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C09A6DA4">
      <w:start w:val="1"/>
      <w:numFmt w:val="lowerLetter"/>
      <w:lvlText w:val="%8"/>
      <w:lvlJc w:val="left"/>
      <w:pPr>
        <w:ind w:left="585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84EE1614">
      <w:start w:val="1"/>
      <w:numFmt w:val="lowerRoman"/>
      <w:lvlText w:val="%9"/>
      <w:lvlJc w:val="left"/>
      <w:pPr>
        <w:ind w:left="657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1D8410D3"/>
    <w:multiLevelType w:val="hybridMultilevel"/>
    <w:tmpl w:val="974E2B6E"/>
    <w:lvl w:ilvl="0" w:tplc="E9FAAD92">
      <w:start w:val="1"/>
      <w:numFmt w:val="lowerLetter"/>
      <w:lvlText w:val="%1."/>
      <w:lvlJc w:val="left"/>
      <w:pPr>
        <w:ind w:left="117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7746224C">
      <w:start w:val="1"/>
      <w:numFmt w:val="decimal"/>
      <w:lvlText w:val="(%2)"/>
      <w:lvlJc w:val="left"/>
      <w:pPr>
        <w:ind w:left="1623"/>
      </w:pPr>
      <w:rPr>
        <w:rFonts w:ascii="Times New Roman" w:eastAsia="Times New Roman" w:hAnsi="Times New Roman" w:cs="Times New Roman"/>
        <w:b w:val="0"/>
        <w:bCs w:val="0"/>
        <w:i w:val="0"/>
        <w:strike w:val="0"/>
        <w:dstrike w:val="0"/>
        <w:color w:val="000000"/>
        <w:sz w:val="22"/>
        <w:szCs w:val="22"/>
        <w:u w:val="none" w:color="000000"/>
        <w:bdr w:val="none" w:sz="0" w:space="0" w:color="auto"/>
        <w:shd w:val="clear" w:color="auto" w:fill="auto"/>
        <w:vertAlign w:val="baseline"/>
      </w:rPr>
    </w:lvl>
    <w:lvl w:ilvl="2" w:tplc="00168D98">
      <w:start w:val="1"/>
      <w:numFmt w:val="lowerRoman"/>
      <w:lvlText w:val="%3"/>
      <w:lvlJc w:val="left"/>
      <w:pPr>
        <w:ind w:left="207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9A4A915C">
      <w:start w:val="1"/>
      <w:numFmt w:val="decimal"/>
      <w:lvlText w:val="%4"/>
      <w:lvlJc w:val="left"/>
      <w:pPr>
        <w:ind w:left="279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1DD4ADE0">
      <w:start w:val="1"/>
      <w:numFmt w:val="lowerLetter"/>
      <w:lvlText w:val="%5"/>
      <w:lvlJc w:val="left"/>
      <w:pPr>
        <w:ind w:left="351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F20C5C4C">
      <w:start w:val="1"/>
      <w:numFmt w:val="lowerRoman"/>
      <w:lvlText w:val="%6"/>
      <w:lvlJc w:val="left"/>
      <w:pPr>
        <w:ind w:left="423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641028DE">
      <w:start w:val="1"/>
      <w:numFmt w:val="decimal"/>
      <w:lvlText w:val="%7"/>
      <w:lvlJc w:val="left"/>
      <w:pPr>
        <w:ind w:left="495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280CCEF6">
      <w:start w:val="1"/>
      <w:numFmt w:val="lowerLetter"/>
      <w:lvlText w:val="%8"/>
      <w:lvlJc w:val="left"/>
      <w:pPr>
        <w:ind w:left="567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30104EE0">
      <w:start w:val="1"/>
      <w:numFmt w:val="lowerRoman"/>
      <w:lvlText w:val="%9"/>
      <w:lvlJc w:val="left"/>
      <w:pPr>
        <w:ind w:left="639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1F1101FA"/>
    <w:multiLevelType w:val="hybridMultilevel"/>
    <w:tmpl w:val="54965264"/>
    <w:lvl w:ilvl="0" w:tplc="30E2BA06">
      <w:start w:val="1"/>
      <w:numFmt w:val="lowerLetter"/>
      <w:lvlText w:val="%1."/>
      <w:lvlJc w:val="left"/>
      <w:pPr>
        <w:ind w:left="128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F6BC3B3C">
      <w:start w:val="1"/>
      <w:numFmt w:val="lowerLetter"/>
      <w:lvlText w:val="%2"/>
      <w:lvlJc w:val="left"/>
      <w:pPr>
        <w:ind w:left="200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D076E918">
      <w:start w:val="1"/>
      <w:numFmt w:val="lowerRoman"/>
      <w:lvlText w:val="%3"/>
      <w:lvlJc w:val="left"/>
      <w:pPr>
        <w:ind w:left="272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D3643128">
      <w:start w:val="1"/>
      <w:numFmt w:val="decimal"/>
      <w:lvlText w:val="%4"/>
      <w:lvlJc w:val="left"/>
      <w:pPr>
        <w:ind w:left="344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2AFA3A34">
      <w:start w:val="1"/>
      <w:numFmt w:val="lowerLetter"/>
      <w:lvlText w:val="%5"/>
      <w:lvlJc w:val="left"/>
      <w:pPr>
        <w:ind w:left="416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659EF93E">
      <w:start w:val="1"/>
      <w:numFmt w:val="lowerRoman"/>
      <w:lvlText w:val="%6"/>
      <w:lvlJc w:val="left"/>
      <w:pPr>
        <w:ind w:left="488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49A24FB2">
      <w:start w:val="1"/>
      <w:numFmt w:val="decimal"/>
      <w:lvlText w:val="%7"/>
      <w:lvlJc w:val="left"/>
      <w:pPr>
        <w:ind w:left="560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D7E28ECA">
      <w:start w:val="1"/>
      <w:numFmt w:val="lowerLetter"/>
      <w:lvlText w:val="%8"/>
      <w:lvlJc w:val="left"/>
      <w:pPr>
        <w:ind w:left="632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83BAE578">
      <w:start w:val="1"/>
      <w:numFmt w:val="lowerRoman"/>
      <w:lvlText w:val="%9"/>
      <w:lvlJc w:val="left"/>
      <w:pPr>
        <w:ind w:left="704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20040056"/>
    <w:multiLevelType w:val="hybridMultilevel"/>
    <w:tmpl w:val="1BDE7AE6"/>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9" w15:restartNumberingAfterBreak="0">
    <w:nsid w:val="20884239"/>
    <w:multiLevelType w:val="hybridMultilevel"/>
    <w:tmpl w:val="990858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21D9142C"/>
    <w:multiLevelType w:val="hybridMultilevel"/>
    <w:tmpl w:val="FFFFFFFF"/>
    <w:lvl w:ilvl="0" w:tplc="FFFFFFFF">
      <w:start w:val="1"/>
      <w:numFmt w:val="ideographDigital"/>
      <w:lvlText w:val=""/>
      <w:lvlJc w:val="left"/>
    </w:lvl>
    <w:lvl w:ilvl="1" w:tplc="FFFFFFFF">
      <w:start w:val="1"/>
      <w:numFmt w:val="lowerLetter"/>
      <w:lvlText w:val=""/>
      <w:lvlJc w:val="left"/>
    </w:lvl>
    <w:lvl w:ilvl="2" w:tplc="FFFFFFFF">
      <w:start w:val="1"/>
      <w:numFmt w:val="ideographDigit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15:restartNumberingAfterBreak="0">
    <w:nsid w:val="221C3306"/>
    <w:multiLevelType w:val="hybridMultilevel"/>
    <w:tmpl w:val="1AD83B90"/>
    <w:lvl w:ilvl="0" w:tplc="584CD434">
      <w:start w:val="1"/>
      <w:numFmt w:val="decimal"/>
      <w:lvlText w:val="(%1)"/>
      <w:lvlJc w:val="left"/>
      <w:pPr>
        <w:ind w:left="2503"/>
      </w:pPr>
      <w:rPr>
        <w:rFonts w:ascii="Times New Roman" w:eastAsia="Times New Roman" w:hAnsi="Times New Roman" w:cs="Times New Roman"/>
        <w:b w:val="0"/>
        <w:bCs w:val="0"/>
        <w:i w:val="0"/>
        <w:strike w:val="0"/>
        <w:dstrike w:val="0"/>
        <w:color w:val="000000"/>
        <w:sz w:val="22"/>
        <w:szCs w:val="22"/>
        <w:u w:val="none" w:color="000000"/>
        <w:bdr w:val="none" w:sz="0" w:space="0" w:color="auto"/>
        <w:shd w:val="clear" w:color="auto" w:fill="auto"/>
        <w:vertAlign w:val="baseline"/>
      </w:rPr>
    </w:lvl>
    <w:lvl w:ilvl="1" w:tplc="1332E9BC">
      <w:start w:val="1"/>
      <w:numFmt w:val="lowerLetter"/>
      <w:lvlText w:val="%2"/>
      <w:lvlJc w:val="left"/>
      <w:pPr>
        <w:ind w:left="277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87761CDA">
      <w:start w:val="1"/>
      <w:numFmt w:val="lowerRoman"/>
      <w:lvlText w:val="%3"/>
      <w:lvlJc w:val="left"/>
      <w:pPr>
        <w:ind w:left="349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30D0F5C6">
      <w:start w:val="1"/>
      <w:numFmt w:val="decimal"/>
      <w:lvlText w:val="%4"/>
      <w:lvlJc w:val="left"/>
      <w:pPr>
        <w:ind w:left="421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5A0018E8">
      <w:start w:val="1"/>
      <w:numFmt w:val="lowerLetter"/>
      <w:lvlText w:val="%5"/>
      <w:lvlJc w:val="left"/>
      <w:pPr>
        <w:ind w:left="493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F9F8585A">
      <w:start w:val="1"/>
      <w:numFmt w:val="lowerRoman"/>
      <w:lvlText w:val="%6"/>
      <w:lvlJc w:val="left"/>
      <w:pPr>
        <w:ind w:left="565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F6EA2308">
      <w:start w:val="1"/>
      <w:numFmt w:val="decimal"/>
      <w:lvlText w:val="%7"/>
      <w:lvlJc w:val="left"/>
      <w:pPr>
        <w:ind w:left="637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52783602">
      <w:start w:val="1"/>
      <w:numFmt w:val="lowerLetter"/>
      <w:lvlText w:val="%8"/>
      <w:lvlJc w:val="left"/>
      <w:pPr>
        <w:ind w:left="709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75022B58">
      <w:start w:val="1"/>
      <w:numFmt w:val="lowerRoman"/>
      <w:lvlText w:val="%9"/>
      <w:lvlJc w:val="left"/>
      <w:pPr>
        <w:ind w:left="781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2" w15:restartNumberingAfterBreak="0">
    <w:nsid w:val="22D46916"/>
    <w:multiLevelType w:val="hybridMultilevel"/>
    <w:tmpl w:val="1A5E08B8"/>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43" w15:restartNumberingAfterBreak="0">
    <w:nsid w:val="22EE340D"/>
    <w:multiLevelType w:val="hybridMultilevel"/>
    <w:tmpl w:val="9036F874"/>
    <w:lvl w:ilvl="0" w:tplc="FFFFFFFF">
      <w:start w:val="2"/>
      <w:numFmt w:val="lowerLetter"/>
      <w:lvlText w:val="%1."/>
      <w:lvlJc w:val="left"/>
      <w:pPr>
        <w:ind w:left="19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FFFFFFFF">
      <w:start w:val="1"/>
      <w:numFmt w:val="decimal"/>
      <w:lvlText w:val="(%2)"/>
      <w:lvlJc w:val="left"/>
      <w:pPr>
        <w:ind w:left="23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8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230233DC"/>
    <w:multiLevelType w:val="hybridMultilevel"/>
    <w:tmpl w:val="FEC689FE"/>
    <w:lvl w:ilvl="0" w:tplc="D154074C">
      <w:start w:val="1"/>
      <w:numFmt w:val="decimal"/>
      <w:lvlText w:val="%1."/>
      <w:lvlJc w:val="left"/>
      <w:pPr>
        <w:ind w:left="1620" w:hanging="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45" w15:restartNumberingAfterBreak="0">
    <w:nsid w:val="23AC345B"/>
    <w:multiLevelType w:val="hybridMultilevel"/>
    <w:tmpl w:val="9C166BE0"/>
    <w:lvl w:ilvl="0" w:tplc="B8D2D888">
      <w:start w:val="1"/>
      <w:numFmt w:val="bullet"/>
      <w:lvlText w:val="•"/>
      <w:lvlJc w:val="left"/>
      <w:pPr>
        <w:ind w:left="216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6" w15:restartNumberingAfterBreak="0">
    <w:nsid w:val="247A0456"/>
    <w:multiLevelType w:val="hybridMultilevel"/>
    <w:tmpl w:val="7D747272"/>
    <w:lvl w:ilvl="0" w:tplc="D30028C4">
      <w:start w:val="1"/>
      <w:numFmt w:val="decimal"/>
      <w:lvlText w:val="%1."/>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2EEA1FCA">
      <w:start w:val="1"/>
      <w:numFmt w:val="lowerLetter"/>
      <w:lvlText w:val="%2"/>
      <w:lvlJc w:val="left"/>
      <w:pPr>
        <w:ind w:left="12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E9C4960C">
      <w:start w:val="1"/>
      <w:numFmt w:val="lowerRoman"/>
      <w:lvlText w:val="%3"/>
      <w:lvlJc w:val="left"/>
      <w:pPr>
        <w:ind w:left="19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EC9E2AE6">
      <w:start w:val="1"/>
      <w:numFmt w:val="decimal"/>
      <w:lvlText w:val="%4"/>
      <w:lvlJc w:val="left"/>
      <w:pPr>
        <w:ind w:left="27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0682F590">
      <w:start w:val="1"/>
      <w:numFmt w:val="lowerLetter"/>
      <w:lvlText w:val="%5"/>
      <w:lvlJc w:val="left"/>
      <w:pPr>
        <w:ind w:left="34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445833C0">
      <w:start w:val="1"/>
      <w:numFmt w:val="lowerRoman"/>
      <w:lvlText w:val="%6"/>
      <w:lvlJc w:val="left"/>
      <w:pPr>
        <w:ind w:left="41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DE68CE72">
      <w:start w:val="1"/>
      <w:numFmt w:val="decimal"/>
      <w:lvlText w:val="%7"/>
      <w:lvlJc w:val="left"/>
      <w:pPr>
        <w:ind w:left="48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7ED64158">
      <w:start w:val="1"/>
      <w:numFmt w:val="lowerLetter"/>
      <w:lvlText w:val="%8"/>
      <w:lvlJc w:val="left"/>
      <w:pPr>
        <w:ind w:left="55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38069D5C">
      <w:start w:val="1"/>
      <w:numFmt w:val="lowerRoman"/>
      <w:lvlText w:val="%9"/>
      <w:lvlJc w:val="left"/>
      <w:pPr>
        <w:ind w:left="63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7" w15:restartNumberingAfterBreak="0">
    <w:nsid w:val="25073872"/>
    <w:multiLevelType w:val="hybridMultilevel"/>
    <w:tmpl w:val="6A78F39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8" w15:restartNumberingAfterBreak="0">
    <w:nsid w:val="26596138"/>
    <w:multiLevelType w:val="hybridMultilevel"/>
    <w:tmpl w:val="C548D03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9" w15:restartNumberingAfterBreak="0">
    <w:nsid w:val="267F0114"/>
    <w:multiLevelType w:val="hybridMultilevel"/>
    <w:tmpl w:val="F08A8EAA"/>
    <w:lvl w:ilvl="0" w:tplc="A320B468">
      <w:start w:val="1"/>
      <w:numFmt w:val="lowerLetter"/>
      <w:lvlText w:val="%1."/>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74CEA898">
      <w:start w:val="1"/>
      <w:numFmt w:val="lowerLetter"/>
      <w:lvlText w:val="%2"/>
      <w:lvlJc w:val="left"/>
      <w:pPr>
        <w:ind w:left="19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5B44CC70">
      <w:start w:val="1"/>
      <w:numFmt w:val="lowerRoman"/>
      <w:lvlText w:val="%3"/>
      <w:lvlJc w:val="left"/>
      <w:pPr>
        <w:ind w:left="27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8D0EB69E">
      <w:start w:val="1"/>
      <w:numFmt w:val="decimal"/>
      <w:lvlText w:val="%4"/>
      <w:lvlJc w:val="left"/>
      <w:pPr>
        <w:ind w:left="34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6DBC1EE8">
      <w:start w:val="1"/>
      <w:numFmt w:val="lowerLetter"/>
      <w:lvlText w:val="%5"/>
      <w:lvlJc w:val="left"/>
      <w:pPr>
        <w:ind w:left="41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23806E66">
      <w:start w:val="1"/>
      <w:numFmt w:val="lowerRoman"/>
      <w:lvlText w:val="%6"/>
      <w:lvlJc w:val="left"/>
      <w:pPr>
        <w:ind w:left="48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998E64D2">
      <w:start w:val="1"/>
      <w:numFmt w:val="decimal"/>
      <w:lvlText w:val="%7"/>
      <w:lvlJc w:val="left"/>
      <w:pPr>
        <w:ind w:left="55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43D49564">
      <w:start w:val="1"/>
      <w:numFmt w:val="lowerLetter"/>
      <w:lvlText w:val="%8"/>
      <w:lvlJc w:val="left"/>
      <w:pPr>
        <w:ind w:left="63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BFCC9E9E">
      <w:start w:val="1"/>
      <w:numFmt w:val="lowerRoman"/>
      <w:lvlText w:val="%9"/>
      <w:lvlJc w:val="left"/>
      <w:pPr>
        <w:ind w:left="70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50" w15:restartNumberingAfterBreak="0">
    <w:nsid w:val="28921899"/>
    <w:multiLevelType w:val="hybridMultilevel"/>
    <w:tmpl w:val="C91EFEBC"/>
    <w:lvl w:ilvl="0" w:tplc="826CDD10">
      <w:start w:val="1"/>
      <w:numFmt w:val="decimal"/>
      <w:lvlText w:val="(%1)"/>
      <w:lvlJc w:val="left"/>
      <w:pPr>
        <w:ind w:left="2573" w:hanging="360"/>
      </w:pPr>
      <w:rPr>
        <w:rFonts w:hint="default"/>
      </w:rPr>
    </w:lvl>
    <w:lvl w:ilvl="1" w:tplc="04090019" w:tentative="1">
      <w:start w:val="1"/>
      <w:numFmt w:val="lowerLetter"/>
      <w:lvlText w:val="%2."/>
      <w:lvlJc w:val="left"/>
      <w:pPr>
        <w:ind w:left="3293" w:hanging="360"/>
      </w:pPr>
    </w:lvl>
    <w:lvl w:ilvl="2" w:tplc="0409001B" w:tentative="1">
      <w:start w:val="1"/>
      <w:numFmt w:val="lowerRoman"/>
      <w:lvlText w:val="%3."/>
      <w:lvlJc w:val="right"/>
      <w:pPr>
        <w:ind w:left="4013" w:hanging="180"/>
      </w:pPr>
    </w:lvl>
    <w:lvl w:ilvl="3" w:tplc="0409000F" w:tentative="1">
      <w:start w:val="1"/>
      <w:numFmt w:val="decimal"/>
      <w:lvlText w:val="%4."/>
      <w:lvlJc w:val="left"/>
      <w:pPr>
        <w:ind w:left="4733" w:hanging="360"/>
      </w:pPr>
    </w:lvl>
    <w:lvl w:ilvl="4" w:tplc="04090019" w:tentative="1">
      <w:start w:val="1"/>
      <w:numFmt w:val="lowerLetter"/>
      <w:lvlText w:val="%5."/>
      <w:lvlJc w:val="left"/>
      <w:pPr>
        <w:ind w:left="5453" w:hanging="360"/>
      </w:pPr>
    </w:lvl>
    <w:lvl w:ilvl="5" w:tplc="0409001B" w:tentative="1">
      <w:start w:val="1"/>
      <w:numFmt w:val="lowerRoman"/>
      <w:lvlText w:val="%6."/>
      <w:lvlJc w:val="right"/>
      <w:pPr>
        <w:ind w:left="6173" w:hanging="180"/>
      </w:pPr>
    </w:lvl>
    <w:lvl w:ilvl="6" w:tplc="0409000F" w:tentative="1">
      <w:start w:val="1"/>
      <w:numFmt w:val="decimal"/>
      <w:lvlText w:val="%7."/>
      <w:lvlJc w:val="left"/>
      <w:pPr>
        <w:ind w:left="6893" w:hanging="360"/>
      </w:pPr>
    </w:lvl>
    <w:lvl w:ilvl="7" w:tplc="04090019" w:tentative="1">
      <w:start w:val="1"/>
      <w:numFmt w:val="lowerLetter"/>
      <w:lvlText w:val="%8."/>
      <w:lvlJc w:val="left"/>
      <w:pPr>
        <w:ind w:left="7613" w:hanging="360"/>
      </w:pPr>
    </w:lvl>
    <w:lvl w:ilvl="8" w:tplc="0409001B" w:tentative="1">
      <w:start w:val="1"/>
      <w:numFmt w:val="lowerRoman"/>
      <w:lvlText w:val="%9."/>
      <w:lvlJc w:val="right"/>
      <w:pPr>
        <w:ind w:left="8333" w:hanging="180"/>
      </w:pPr>
    </w:lvl>
  </w:abstractNum>
  <w:abstractNum w:abstractNumId="51" w15:restartNumberingAfterBreak="0">
    <w:nsid w:val="289478FF"/>
    <w:multiLevelType w:val="hybridMultilevel"/>
    <w:tmpl w:val="566AA9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15:restartNumberingAfterBreak="0">
    <w:nsid w:val="2945789D"/>
    <w:multiLevelType w:val="hybridMultilevel"/>
    <w:tmpl w:val="D4123CDC"/>
    <w:lvl w:ilvl="0" w:tplc="04090019">
      <w:start w:val="1"/>
      <w:numFmt w:val="lowerLetter"/>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3" w15:restartNumberingAfterBreak="0">
    <w:nsid w:val="298E6DBC"/>
    <w:multiLevelType w:val="hybridMultilevel"/>
    <w:tmpl w:val="30EC13A2"/>
    <w:lvl w:ilvl="0" w:tplc="9DAC6EF4">
      <w:start w:val="1"/>
      <w:numFmt w:val="lowerLetter"/>
      <w:lvlText w:val="%1."/>
      <w:lvlJc w:val="left"/>
      <w:pPr>
        <w:ind w:left="2520" w:hanging="360"/>
      </w:pPr>
      <w:rPr>
        <w:b/>
        <w:bCs w:val="0"/>
        <w:i w:val="0"/>
        <w:strike w:val="0"/>
        <w:dstrike w:val="0"/>
        <w:color w:val="000000"/>
        <w:sz w:val="22"/>
        <w:szCs w:val="22"/>
        <w:u w:val="none" w:color="000000"/>
        <w:bdr w:val="none" w:sz="0" w:space="0" w:color="auto"/>
        <w:shd w:val="clear" w:color="auto" w:fill="auto"/>
        <w:vertAlign w:val="baseline"/>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4" w15:restartNumberingAfterBreak="0">
    <w:nsid w:val="29CF2C5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2A146B87"/>
    <w:multiLevelType w:val="hybridMultilevel"/>
    <w:tmpl w:val="E7DEC664"/>
    <w:lvl w:ilvl="0" w:tplc="91CA9BA0">
      <w:start w:val="2"/>
      <w:numFmt w:val="lowerLetter"/>
      <w:lvlText w:val="%1."/>
      <w:lvlJc w:val="left"/>
      <w:pPr>
        <w:ind w:left="14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E54C4EDE">
      <w:start w:val="1"/>
      <w:numFmt w:val="lowerLetter"/>
      <w:lvlText w:val="%2"/>
      <w:lvlJc w:val="left"/>
      <w:pPr>
        <w:ind w:left="16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0B24AC66">
      <w:start w:val="1"/>
      <w:numFmt w:val="lowerRoman"/>
      <w:lvlText w:val="%3"/>
      <w:lvlJc w:val="left"/>
      <w:pPr>
        <w:ind w:left="23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509C0A14">
      <w:start w:val="1"/>
      <w:numFmt w:val="decimal"/>
      <w:lvlText w:val="%4"/>
      <w:lvlJc w:val="left"/>
      <w:pPr>
        <w:ind w:left="30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E61A1EEA">
      <w:start w:val="1"/>
      <w:numFmt w:val="lowerLetter"/>
      <w:lvlText w:val="%5"/>
      <w:lvlJc w:val="left"/>
      <w:pPr>
        <w:ind w:left="37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3FF04502">
      <w:start w:val="1"/>
      <w:numFmt w:val="lowerRoman"/>
      <w:lvlText w:val="%6"/>
      <w:lvlJc w:val="left"/>
      <w:pPr>
        <w:ind w:left="45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CF86C12C">
      <w:start w:val="1"/>
      <w:numFmt w:val="decimal"/>
      <w:lvlText w:val="%7"/>
      <w:lvlJc w:val="left"/>
      <w:pPr>
        <w:ind w:left="52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5F6E7CCA">
      <w:start w:val="1"/>
      <w:numFmt w:val="lowerLetter"/>
      <w:lvlText w:val="%8"/>
      <w:lvlJc w:val="left"/>
      <w:pPr>
        <w:ind w:left="59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D26E7D9E">
      <w:start w:val="1"/>
      <w:numFmt w:val="lowerRoman"/>
      <w:lvlText w:val="%9"/>
      <w:lvlJc w:val="left"/>
      <w:pPr>
        <w:ind w:left="66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56" w15:restartNumberingAfterBreak="0">
    <w:nsid w:val="2A995D16"/>
    <w:multiLevelType w:val="hybridMultilevel"/>
    <w:tmpl w:val="CA943B66"/>
    <w:lvl w:ilvl="0" w:tplc="7ED2B3EC">
      <w:start w:val="1"/>
      <w:numFmt w:val="bullet"/>
      <w:lvlText w:val="•"/>
      <w:lvlJc w:val="left"/>
      <w:pPr>
        <w:ind w:left="72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2B4071FD"/>
    <w:multiLevelType w:val="hybridMultilevel"/>
    <w:tmpl w:val="145A1D96"/>
    <w:lvl w:ilvl="0" w:tplc="794CC754">
      <w:start w:val="1"/>
      <w:numFmt w:val="lowerLetter"/>
      <w:lvlText w:val="%1."/>
      <w:lvlJc w:val="left"/>
      <w:pPr>
        <w:ind w:left="19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50E4D0C8">
      <w:start w:val="1"/>
      <w:numFmt w:val="decimal"/>
      <w:lvlText w:val="(%2)"/>
      <w:lvlJc w:val="left"/>
      <w:pPr>
        <w:ind w:left="2612" w:hanging="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F227558">
      <w:start w:val="1"/>
      <w:numFmt w:val="lowerRoman"/>
      <w:lvlText w:val="%3"/>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5163790">
      <w:start w:val="1"/>
      <w:numFmt w:val="decimal"/>
      <w:lvlText w:val="%4"/>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53E1484">
      <w:start w:val="1"/>
      <w:numFmt w:val="lowerLetter"/>
      <w:lvlText w:val="%5"/>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0105AC8">
      <w:start w:val="1"/>
      <w:numFmt w:val="lowerRoman"/>
      <w:lvlText w:val="%6"/>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848EA76">
      <w:start w:val="1"/>
      <w:numFmt w:val="decimal"/>
      <w:lvlText w:val="%7"/>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D5C53B4">
      <w:start w:val="1"/>
      <w:numFmt w:val="lowerLetter"/>
      <w:lvlText w:val="%8"/>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CDE5B8E">
      <w:start w:val="1"/>
      <w:numFmt w:val="lowerRoman"/>
      <w:lvlText w:val="%9"/>
      <w:lvlJc w:val="left"/>
      <w:pPr>
        <w:ind w:left="68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8" w15:restartNumberingAfterBreak="0">
    <w:nsid w:val="2CC0059A"/>
    <w:multiLevelType w:val="hybridMultilevel"/>
    <w:tmpl w:val="19CAB0EA"/>
    <w:lvl w:ilvl="0" w:tplc="6D8648BA">
      <w:start w:val="1"/>
      <w:numFmt w:val="bullet"/>
      <w:lvlText w:val="•"/>
      <w:lvlJc w:val="left"/>
      <w:pPr>
        <w:ind w:left="780" w:hanging="360"/>
      </w:pPr>
      <w:rPr>
        <w:rFonts w:ascii="Arial" w:eastAsia="Arial" w:hAnsi="Arial" w:cs="Arial" w:hint="default"/>
        <w:b w:val="0"/>
        <w:i w:val="0"/>
        <w:strike w:val="0"/>
        <w:dstrike w:val="0"/>
        <w:color w:val="000000"/>
        <w:sz w:val="22"/>
        <w:szCs w:val="22"/>
        <w:u w:val="none" w:color="000000"/>
        <w:bdr w:val="none" w:sz="0" w:space="0" w:color="auto"/>
        <w:shd w:val="clear" w:color="auto" w:fill="auto"/>
        <w:vertAlign w:val="baseline"/>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9" w15:restartNumberingAfterBreak="0">
    <w:nsid w:val="2D2E7309"/>
    <w:multiLevelType w:val="hybridMultilevel"/>
    <w:tmpl w:val="A648C37E"/>
    <w:lvl w:ilvl="0" w:tplc="3FCE0B9E">
      <w:start w:val="1"/>
      <w:numFmt w:val="lowerLetter"/>
      <w:lvlText w:val="%1."/>
      <w:lvlJc w:val="left"/>
      <w:pPr>
        <w:ind w:left="126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2C1EE4BE">
      <w:start w:val="1"/>
      <w:numFmt w:val="lowerLetter"/>
      <w:lvlText w:val="%2"/>
      <w:lvlJc w:val="left"/>
      <w:pPr>
        <w:ind w:left="153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F7BA1B4E">
      <w:start w:val="1"/>
      <w:numFmt w:val="lowerRoman"/>
      <w:lvlText w:val="%3"/>
      <w:lvlJc w:val="left"/>
      <w:pPr>
        <w:ind w:left="225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CEA8B4D6">
      <w:start w:val="1"/>
      <w:numFmt w:val="decimal"/>
      <w:lvlText w:val="%4"/>
      <w:lvlJc w:val="left"/>
      <w:pPr>
        <w:ind w:left="297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EA88DFEA">
      <w:start w:val="1"/>
      <w:numFmt w:val="lowerLetter"/>
      <w:lvlText w:val="%5"/>
      <w:lvlJc w:val="left"/>
      <w:pPr>
        <w:ind w:left="369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8E945BE4">
      <w:start w:val="1"/>
      <w:numFmt w:val="lowerRoman"/>
      <w:lvlText w:val="%6"/>
      <w:lvlJc w:val="left"/>
      <w:pPr>
        <w:ind w:left="441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AC28E5EC">
      <w:start w:val="1"/>
      <w:numFmt w:val="decimal"/>
      <w:lvlText w:val="%7"/>
      <w:lvlJc w:val="left"/>
      <w:pPr>
        <w:ind w:left="513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521432E0">
      <w:start w:val="1"/>
      <w:numFmt w:val="lowerLetter"/>
      <w:lvlText w:val="%8"/>
      <w:lvlJc w:val="left"/>
      <w:pPr>
        <w:ind w:left="585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42C83F86">
      <w:start w:val="1"/>
      <w:numFmt w:val="lowerRoman"/>
      <w:lvlText w:val="%9"/>
      <w:lvlJc w:val="left"/>
      <w:pPr>
        <w:ind w:left="657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60" w15:restartNumberingAfterBreak="0">
    <w:nsid w:val="2D5556EA"/>
    <w:multiLevelType w:val="hybridMultilevel"/>
    <w:tmpl w:val="402093C6"/>
    <w:lvl w:ilvl="0" w:tplc="7ED2B3EC">
      <w:start w:val="1"/>
      <w:numFmt w:val="bullet"/>
      <w:lvlText w:val="•"/>
      <w:lvlJc w:val="left"/>
      <w:pPr>
        <w:ind w:left="72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2D8C21F2"/>
    <w:multiLevelType w:val="hybridMultilevel"/>
    <w:tmpl w:val="54965264"/>
    <w:lvl w:ilvl="0" w:tplc="30E2BA06">
      <w:start w:val="1"/>
      <w:numFmt w:val="lowerLetter"/>
      <w:lvlText w:val="%1."/>
      <w:lvlJc w:val="left"/>
      <w:pPr>
        <w:ind w:left="128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F6BC3B3C">
      <w:start w:val="1"/>
      <w:numFmt w:val="lowerLetter"/>
      <w:lvlText w:val="%2"/>
      <w:lvlJc w:val="left"/>
      <w:pPr>
        <w:ind w:left="200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D076E918">
      <w:start w:val="1"/>
      <w:numFmt w:val="lowerRoman"/>
      <w:lvlText w:val="%3"/>
      <w:lvlJc w:val="left"/>
      <w:pPr>
        <w:ind w:left="272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D3643128">
      <w:start w:val="1"/>
      <w:numFmt w:val="decimal"/>
      <w:lvlText w:val="%4"/>
      <w:lvlJc w:val="left"/>
      <w:pPr>
        <w:ind w:left="344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2AFA3A34">
      <w:start w:val="1"/>
      <w:numFmt w:val="lowerLetter"/>
      <w:lvlText w:val="%5"/>
      <w:lvlJc w:val="left"/>
      <w:pPr>
        <w:ind w:left="416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659EF93E">
      <w:start w:val="1"/>
      <w:numFmt w:val="lowerRoman"/>
      <w:lvlText w:val="%6"/>
      <w:lvlJc w:val="left"/>
      <w:pPr>
        <w:ind w:left="488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49A24FB2">
      <w:start w:val="1"/>
      <w:numFmt w:val="decimal"/>
      <w:lvlText w:val="%7"/>
      <w:lvlJc w:val="left"/>
      <w:pPr>
        <w:ind w:left="560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D7E28ECA">
      <w:start w:val="1"/>
      <w:numFmt w:val="lowerLetter"/>
      <w:lvlText w:val="%8"/>
      <w:lvlJc w:val="left"/>
      <w:pPr>
        <w:ind w:left="632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83BAE578">
      <w:start w:val="1"/>
      <w:numFmt w:val="lowerRoman"/>
      <w:lvlText w:val="%9"/>
      <w:lvlJc w:val="left"/>
      <w:pPr>
        <w:ind w:left="704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62" w15:restartNumberingAfterBreak="0">
    <w:nsid w:val="315E122B"/>
    <w:multiLevelType w:val="hybridMultilevel"/>
    <w:tmpl w:val="6D6C48FE"/>
    <w:lvl w:ilvl="0" w:tplc="9A16B89E">
      <w:start w:val="1"/>
      <w:numFmt w:val="lowerLetter"/>
      <w:lvlText w:val="%1."/>
      <w:lvlJc w:val="left"/>
      <w:pPr>
        <w:ind w:left="90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1200ED22">
      <w:start w:val="1"/>
      <w:numFmt w:val="decimal"/>
      <w:lvlText w:val="(%2)"/>
      <w:lvlJc w:val="left"/>
      <w:pPr>
        <w:ind w:left="14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E1CD9C8">
      <w:start w:val="1"/>
      <w:numFmt w:val="lowerLetter"/>
      <w:lvlText w:val="(%3)"/>
      <w:lvlJc w:val="left"/>
      <w:pPr>
        <w:ind w:left="18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CFE0C18">
      <w:start w:val="1"/>
      <w:numFmt w:val="lowerRoman"/>
      <w:lvlText w:val="(%4)"/>
      <w:lvlJc w:val="left"/>
      <w:pPr>
        <w:ind w:left="22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9B6E4F6">
      <w:start w:val="1"/>
      <w:numFmt w:val="lowerLetter"/>
      <w:lvlText w:val="%5"/>
      <w:lvlJc w:val="left"/>
      <w:pPr>
        <w:ind w:left="29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078F73E">
      <w:start w:val="1"/>
      <w:numFmt w:val="lowerRoman"/>
      <w:lvlText w:val="%6"/>
      <w:lvlJc w:val="left"/>
      <w:pPr>
        <w:ind w:left="36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A8C1922">
      <w:start w:val="1"/>
      <w:numFmt w:val="decimal"/>
      <w:lvlText w:val="%7"/>
      <w:lvlJc w:val="left"/>
      <w:pPr>
        <w:ind w:left="44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5902570">
      <w:start w:val="1"/>
      <w:numFmt w:val="lowerLetter"/>
      <w:lvlText w:val="%8"/>
      <w:lvlJc w:val="left"/>
      <w:pPr>
        <w:ind w:left="51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AFE59EA">
      <w:start w:val="1"/>
      <w:numFmt w:val="lowerRoman"/>
      <w:lvlText w:val="%9"/>
      <w:lvlJc w:val="left"/>
      <w:pPr>
        <w:ind w:left="58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3" w15:restartNumberingAfterBreak="0">
    <w:nsid w:val="319C6808"/>
    <w:multiLevelType w:val="hybridMultilevel"/>
    <w:tmpl w:val="9A926110"/>
    <w:lvl w:ilvl="0" w:tplc="B568ED58">
      <w:start w:val="1"/>
      <w:numFmt w:val="decimal"/>
      <w:lvlText w:val="(%1)"/>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4090019" w:tentative="1">
      <w:start w:val="1"/>
      <w:numFmt w:val="lowerLetter"/>
      <w:lvlText w:val="%2."/>
      <w:lvlJc w:val="left"/>
      <w:pPr>
        <w:ind w:left="897" w:hanging="360"/>
      </w:pPr>
    </w:lvl>
    <w:lvl w:ilvl="2" w:tplc="0409001B" w:tentative="1">
      <w:start w:val="1"/>
      <w:numFmt w:val="lowerRoman"/>
      <w:lvlText w:val="%3."/>
      <w:lvlJc w:val="right"/>
      <w:pPr>
        <w:ind w:left="1617" w:hanging="180"/>
      </w:pPr>
    </w:lvl>
    <w:lvl w:ilvl="3" w:tplc="0409000F" w:tentative="1">
      <w:start w:val="1"/>
      <w:numFmt w:val="decimal"/>
      <w:lvlText w:val="%4."/>
      <w:lvlJc w:val="left"/>
      <w:pPr>
        <w:ind w:left="2337" w:hanging="360"/>
      </w:pPr>
    </w:lvl>
    <w:lvl w:ilvl="4" w:tplc="04090019" w:tentative="1">
      <w:start w:val="1"/>
      <w:numFmt w:val="lowerLetter"/>
      <w:lvlText w:val="%5."/>
      <w:lvlJc w:val="left"/>
      <w:pPr>
        <w:ind w:left="3057" w:hanging="360"/>
      </w:pPr>
    </w:lvl>
    <w:lvl w:ilvl="5" w:tplc="0409001B" w:tentative="1">
      <w:start w:val="1"/>
      <w:numFmt w:val="lowerRoman"/>
      <w:lvlText w:val="%6."/>
      <w:lvlJc w:val="right"/>
      <w:pPr>
        <w:ind w:left="3777" w:hanging="180"/>
      </w:pPr>
    </w:lvl>
    <w:lvl w:ilvl="6" w:tplc="0409000F" w:tentative="1">
      <w:start w:val="1"/>
      <w:numFmt w:val="decimal"/>
      <w:lvlText w:val="%7."/>
      <w:lvlJc w:val="left"/>
      <w:pPr>
        <w:ind w:left="4497" w:hanging="360"/>
      </w:pPr>
    </w:lvl>
    <w:lvl w:ilvl="7" w:tplc="04090019" w:tentative="1">
      <w:start w:val="1"/>
      <w:numFmt w:val="lowerLetter"/>
      <w:lvlText w:val="%8."/>
      <w:lvlJc w:val="left"/>
      <w:pPr>
        <w:ind w:left="5217" w:hanging="360"/>
      </w:pPr>
    </w:lvl>
    <w:lvl w:ilvl="8" w:tplc="0409001B" w:tentative="1">
      <w:start w:val="1"/>
      <w:numFmt w:val="lowerRoman"/>
      <w:lvlText w:val="%9."/>
      <w:lvlJc w:val="right"/>
      <w:pPr>
        <w:ind w:left="5937" w:hanging="180"/>
      </w:pPr>
    </w:lvl>
  </w:abstractNum>
  <w:abstractNum w:abstractNumId="64" w15:restartNumberingAfterBreak="0">
    <w:nsid w:val="31D8557A"/>
    <w:multiLevelType w:val="hybridMultilevel"/>
    <w:tmpl w:val="FB6ADD64"/>
    <w:lvl w:ilvl="0" w:tplc="D30028C4">
      <w:start w:val="1"/>
      <w:numFmt w:val="decimal"/>
      <w:lvlText w:val="%1."/>
      <w:lvlJc w:val="left"/>
      <w:pPr>
        <w:ind w:left="9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2EEA1FCA">
      <w:start w:val="1"/>
      <w:numFmt w:val="lowerLetter"/>
      <w:lvlText w:val="%2"/>
      <w:lvlJc w:val="left"/>
      <w:pPr>
        <w:ind w:left="12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E9C4960C">
      <w:start w:val="1"/>
      <w:numFmt w:val="lowerRoman"/>
      <w:lvlText w:val="%3"/>
      <w:lvlJc w:val="left"/>
      <w:pPr>
        <w:ind w:left="19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EC9E2AE6">
      <w:start w:val="1"/>
      <w:numFmt w:val="decimal"/>
      <w:lvlText w:val="%4"/>
      <w:lvlJc w:val="left"/>
      <w:pPr>
        <w:ind w:left="27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0682F590">
      <w:start w:val="1"/>
      <w:numFmt w:val="lowerLetter"/>
      <w:lvlText w:val="%5"/>
      <w:lvlJc w:val="left"/>
      <w:pPr>
        <w:ind w:left="34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445833C0">
      <w:start w:val="1"/>
      <w:numFmt w:val="lowerRoman"/>
      <w:lvlText w:val="%6"/>
      <w:lvlJc w:val="left"/>
      <w:pPr>
        <w:ind w:left="41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DE68CE72">
      <w:start w:val="1"/>
      <w:numFmt w:val="decimal"/>
      <w:lvlText w:val="%7"/>
      <w:lvlJc w:val="left"/>
      <w:pPr>
        <w:ind w:left="48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7ED64158">
      <w:start w:val="1"/>
      <w:numFmt w:val="lowerLetter"/>
      <w:lvlText w:val="%8"/>
      <w:lvlJc w:val="left"/>
      <w:pPr>
        <w:ind w:left="55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38069D5C">
      <w:start w:val="1"/>
      <w:numFmt w:val="lowerRoman"/>
      <w:lvlText w:val="%9"/>
      <w:lvlJc w:val="left"/>
      <w:pPr>
        <w:ind w:left="63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65" w15:restartNumberingAfterBreak="0">
    <w:nsid w:val="33366132"/>
    <w:multiLevelType w:val="hybridMultilevel"/>
    <w:tmpl w:val="F30CA104"/>
    <w:lvl w:ilvl="0" w:tplc="B956CFB8">
      <w:start w:val="1"/>
      <w:numFmt w:val="decimal"/>
      <w:lvlText w:val="%1."/>
      <w:lvlJc w:val="left"/>
      <w:pPr>
        <w:ind w:left="847" w:hanging="360"/>
      </w:pPr>
      <w:rPr>
        <w:b/>
        <w:bCs/>
      </w:r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66" w15:restartNumberingAfterBreak="0">
    <w:nsid w:val="335E5D2C"/>
    <w:multiLevelType w:val="hybridMultilevel"/>
    <w:tmpl w:val="94363EAA"/>
    <w:lvl w:ilvl="0" w:tplc="6D8648BA">
      <w:start w:val="1"/>
      <w:numFmt w:val="bullet"/>
      <w:lvlText w:val="•"/>
      <w:lvlJc w:val="left"/>
      <w:pPr>
        <w:ind w:left="72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6D69F3A">
      <w:numFmt w:val="bullet"/>
      <w:lvlText w:val=""/>
      <w:lvlJc w:val="left"/>
      <w:pPr>
        <w:ind w:left="1440" w:hanging="360"/>
      </w:pPr>
      <w:rPr>
        <w:rFonts w:ascii="Segoe UI Symbol" w:eastAsia="Segoe UI Symbol" w:hAnsi="Segoe UI Symbol" w:cs="Segoe UI Symbol" w:hint="default"/>
      </w:rPr>
    </w:lvl>
    <w:lvl w:ilvl="2" w:tplc="6D8648BA">
      <w:start w:val="1"/>
      <w:numFmt w:val="bullet"/>
      <w:lvlText w:val="•"/>
      <w:lvlJc w:val="left"/>
      <w:pPr>
        <w:ind w:left="216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33A86607"/>
    <w:multiLevelType w:val="hybridMultilevel"/>
    <w:tmpl w:val="F0769C28"/>
    <w:lvl w:ilvl="0" w:tplc="50E4D0C8">
      <w:start w:val="1"/>
      <w:numFmt w:val="decimal"/>
      <w:lvlText w:val="(%1)"/>
      <w:lvlJc w:val="left"/>
      <w:pPr>
        <w:ind w:left="22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430239C">
      <w:start w:val="1"/>
      <w:numFmt w:val="lowerLetter"/>
      <w:lvlText w:val="%2"/>
      <w:lvlJc w:val="left"/>
      <w:pPr>
        <w:ind w:left="23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66A56B0">
      <w:start w:val="1"/>
      <w:numFmt w:val="lowerRoman"/>
      <w:lvlText w:val="%3"/>
      <w:lvlJc w:val="left"/>
      <w:pPr>
        <w:ind w:left="30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3DC470A">
      <w:start w:val="1"/>
      <w:numFmt w:val="decimal"/>
      <w:lvlText w:val="%4"/>
      <w:lvlJc w:val="left"/>
      <w:pPr>
        <w:ind w:left="37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6F6A9FA">
      <w:start w:val="1"/>
      <w:numFmt w:val="lowerLetter"/>
      <w:lvlText w:val="%5"/>
      <w:lvlJc w:val="left"/>
      <w:pPr>
        <w:ind w:left="45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CD0DF3C">
      <w:start w:val="1"/>
      <w:numFmt w:val="lowerRoman"/>
      <w:lvlText w:val="%6"/>
      <w:lvlJc w:val="left"/>
      <w:pPr>
        <w:ind w:left="52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F9EF062">
      <w:start w:val="1"/>
      <w:numFmt w:val="decimal"/>
      <w:lvlText w:val="%7"/>
      <w:lvlJc w:val="left"/>
      <w:pPr>
        <w:ind w:left="59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27CDB78">
      <w:start w:val="1"/>
      <w:numFmt w:val="lowerLetter"/>
      <w:lvlText w:val="%8"/>
      <w:lvlJc w:val="left"/>
      <w:pPr>
        <w:ind w:left="66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9F83E90">
      <w:start w:val="1"/>
      <w:numFmt w:val="lowerRoman"/>
      <w:lvlText w:val="%9"/>
      <w:lvlJc w:val="left"/>
      <w:pPr>
        <w:ind w:left="73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8" w15:restartNumberingAfterBreak="0">
    <w:nsid w:val="34850BB3"/>
    <w:multiLevelType w:val="hybridMultilevel"/>
    <w:tmpl w:val="AD145C52"/>
    <w:lvl w:ilvl="0" w:tplc="708890B6">
      <w:start w:val="1"/>
      <w:numFmt w:val="decimal"/>
      <w:lvlText w:val="%1."/>
      <w:lvlJc w:val="left"/>
      <w:pPr>
        <w:ind w:left="156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B3A40954">
      <w:start w:val="1"/>
      <w:numFmt w:val="lowerLetter"/>
      <w:lvlText w:val="%2"/>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BD83148">
      <w:start w:val="1"/>
      <w:numFmt w:val="lowerRoman"/>
      <w:lvlText w:val="%3"/>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CEC0390">
      <w:start w:val="1"/>
      <w:numFmt w:val="decimal"/>
      <w:lvlText w:val="%4"/>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3F6DA6E">
      <w:start w:val="1"/>
      <w:numFmt w:val="lowerLetter"/>
      <w:lvlText w:val="%5"/>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84EB9AC">
      <w:start w:val="1"/>
      <w:numFmt w:val="lowerRoman"/>
      <w:lvlText w:val="%6"/>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9446AB4">
      <w:start w:val="1"/>
      <w:numFmt w:val="decimal"/>
      <w:lvlText w:val="%7"/>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C648964">
      <w:start w:val="1"/>
      <w:numFmt w:val="lowerLetter"/>
      <w:lvlText w:val="%8"/>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8A24A54">
      <w:start w:val="1"/>
      <w:numFmt w:val="lowerRoman"/>
      <w:lvlText w:val="%9"/>
      <w:lvlJc w:val="left"/>
      <w:pPr>
        <w:ind w:left="72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9" w15:restartNumberingAfterBreak="0">
    <w:nsid w:val="354B3A1A"/>
    <w:multiLevelType w:val="hybridMultilevel"/>
    <w:tmpl w:val="6D9A2176"/>
    <w:lvl w:ilvl="0" w:tplc="D6CAC690">
      <w:start w:val="1"/>
      <w:numFmt w:val="decimal"/>
      <w:lvlText w:val="(%1)"/>
      <w:lvlJc w:val="left"/>
      <w:pPr>
        <w:ind w:left="23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5E271CA">
      <w:start w:val="1"/>
      <w:numFmt w:val="lowerLetter"/>
      <w:lvlText w:val="%2"/>
      <w:lvlJc w:val="left"/>
      <w:pPr>
        <w:ind w:left="24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D70E478">
      <w:start w:val="1"/>
      <w:numFmt w:val="lowerRoman"/>
      <w:lvlText w:val="%3"/>
      <w:lvlJc w:val="left"/>
      <w:pPr>
        <w:ind w:left="31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B529064">
      <w:start w:val="1"/>
      <w:numFmt w:val="decimal"/>
      <w:lvlText w:val="%4"/>
      <w:lvlJc w:val="left"/>
      <w:pPr>
        <w:ind w:left="38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F40CE48">
      <w:start w:val="1"/>
      <w:numFmt w:val="lowerLetter"/>
      <w:lvlText w:val="%5"/>
      <w:lvlJc w:val="left"/>
      <w:pPr>
        <w:ind w:left="45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16C843C">
      <w:start w:val="1"/>
      <w:numFmt w:val="lowerRoman"/>
      <w:lvlText w:val="%6"/>
      <w:lvlJc w:val="left"/>
      <w:pPr>
        <w:ind w:left="53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BA09408">
      <w:start w:val="1"/>
      <w:numFmt w:val="decimal"/>
      <w:lvlText w:val="%7"/>
      <w:lvlJc w:val="left"/>
      <w:pPr>
        <w:ind w:left="60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E0E451E">
      <w:start w:val="1"/>
      <w:numFmt w:val="lowerLetter"/>
      <w:lvlText w:val="%8"/>
      <w:lvlJc w:val="left"/>
      <w:pPr>
        <w:ind w:left="67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7203AA6">
      <w:start w:val="1"/>
      <w:numFmt w:val="lowerRoman"/>
      <w:lvlText w:val="%9"/>
      <w:lvlJc w:val="left"/>
      <w:pPr>
        <w:ind w:left="74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0" w15:restartNumberingAfterBreak="0">
    <w:nsid w:val="35FC3CD9"/>
    <w:multiLevelType w:val="hybridMultilevel"/>
    <w:tmpl w:val="372AA988"/>
    <w:lvl w:ilvl="0" w:tplc="04090019">
      <w:start w:val="1"/>
      <w:numFmt w:val="lowerLetter"/>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1" w15:restartNumberingAfterBreak="0">
    <w:nsid w:val="37FE3BE6"/>
    <w:multiLevelType w:val="hybridMultilevel"/>
    <w:tmpl w:val="52F29C0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2" w15:restartNumberingAfterBreak="0">
    <w:nsid w:val="38170D72"/>
    <w:multiLevelType w:val="hybridMultilevel"/>
    <w:tmpl w:val="FB86E314"/>
    <w:lvl w:ilvl="0" w:tplc="04090001">
      <w:start w:val="1"/>
      <w:numFmt w:val="bullet"/>
      <w:lvlText w:val=""/>
      <w:lvlJc w:val="left"/>
      <w:pPr>
        <w:ind w:left="2790" w:hanging="360"/>
      </w:pPr>
      <w:rPr>
        <w:rFonts w:ascii="Symbol" w:hAnsi="Symbol" w:hint="default"/>
      </w:rPr>
    </w:lvl>
    <w:lvl w:ilvl="1" w:tplc="04090003" w:tentative="1">
      <w:start w:val="1"/>
      <w:numFmt w:val="bullet"/>
      <w:lvlText w:val="o"/>
      <w:lvlJc w:val="left"/>
      <w:pPr>
        <w:ind w:left="3510" w:hanging="360"/>
      </w:pPr>
      <w:rPr>
        <w:rFonts w:ascii="Courier New" w:hAnsi="Courier New" w:cs="Courier New" w:hint="default"/>
      </w:rPr>
    </w:lvl>
    <w:lvl w:ilvl="2" w:tplc="04090005" w:tentative="1">
      <w:start w:val="1"/>
      <w:numFmt w:val="bullet"/>
      <w:lvlText w:val=""/>
      <w:lvlJc w:val="left"/>
      <w:pPr>
        <w:ind w:left="4230" w:hanging="360"/>
      </w:pPr>
      <w:rPr>
        <w:rFonts w:ascii="Wingdings" w:hAnsi="Wingdings" w:hint="default"/>
      </w:rPr>
    </w:lvl>
    <w:lvl w:ilvl="3" w:tplc="04090001" w:tentative="1">
      <w:start w:val="1"/>
      <w:numFmt w:val="bullet"/>
      <w:lvlText w:val=""/>
      <w:lvlJc w:val="left"/>
      <w:pPr>
        <w:ind w:left="4950" w:hanging="360"/>
      </w:pPr>
      <w:rPr>
        <w:rFonts w:ascii="Symbol" w:hAnsi="Symbol" w:hint="default"/>
      </w:rPr>
    </w:lvl>
    <w:lvl w:ilvl="4" w:tplc="04090003" w:tentative="1">
      <w:start w:val="1"/>
      <w:numFmt w:val="bullet"/>
      <w:lvlText w:val="o"/>
      <w:lvlJc w:val="left"/>
      <w:pPr>
        <w:ind w:left="5670" w:hanging="360"/>
      </w:pPr>
      <w:rPr>
        <w:rFonts w:ascii="Courier New" w:hAnsi="Courier New" w:cs="Courier New" w:hint="default"/>
      </w:rPr>
    </w:lvl>
    <w:lvl w:ilvl="5" w:tplc="04090005" w:tentative="1">
      <w:start w:val="1"/>
      <w:numFmt w:val="bullet"/>
      <w:lvlText w:val=""/>
      <w:lvlJc w:val="left"/>
      <w:pPr>
        <w:ind w:left="6390" w:hanging="360"/>
      </w:pPr>
      <w:rPr>
        <w:rFonts w:ascii="Wingdings" w:hAnsi="Wingdings" w:hint="default"/>
      </w:rPr>
    </w:lvl>
    <w:lvl w:ilvl="6" w:tplc="04090001" w:tentative="1">
      <w:start w:val="1"/>
      <w:numFmt w:val="bullet"/>
      <w:lvlText w:val=""/>
      <w:lvlJc w:val="left"/>
      <w:pPr>
        <w:ind w:left="7110" w:hanging="360"/>
      </w:pPr>
      <w:rPr>
        <w:rFonts w:ascii="Symbol" w:hAnsi="Symbol" w:hint="default"/>
      </w:rPr>
    </w:lvl>
    <w:lvl w:ilvl="7" w:tplc="04090003" w:tentative="1">
      <w:start w:val="1"/>
      <w:numFmt w:val="bullet"/>
      <w:lvlText w:val="o"/>
      <w:lvlJc w:val="left"/>
      <w:pPr>
        <w:ind w:left="7830" w:hanging="360"/>
      </w:pPr>
      <w:rPr>
        <w:rFonts w:ascii="Courier New" w:hAnsi="Courier New" w:cs="Courier New" w:hint="default"/>
      </w:rPr>
    </w:lvl>
    <w:lvl w:ilvl="8" w:tplc="04090005" w:tentative="1">
      <w:start w:val="1"/>
      <w:numFmt w:val="bullet"/>
      <w:lvlText w:val=""/>
      <w:lvlJc w:val="left"/>
      <w:pPr>
        <w:ind w:left="8550" w:hanging="360"/>
      </w:pPr>
      <w:rPr>
        <w:rFonts w:ascii="Wingdings" w:hAnsi="Wingdings" w:hint="default"/>
      </w:rPr>
    </w:lvl>
  </w:abstractNum>
  <w:abstractNum w:abstractNumId="73" w15:restartNumberingAfterBreak="0">
    <w:nsid w:val="38247F34"/>
    <w:multiLevelType w:val="hybridMultilevel"/>
    <w:tmpl w:val="8648DD4C"/>
    <w:lvl w:ilvl="0" w:tplc="4864890C">
      <w:start w:val="1"/>
      <w:numFmt w:val="bullet"/>
      <w:lvlText w:val="•"/>
      <w:lvlJc w:val="left"/>
      <w:pPr>
        <w:ind w:left="109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97E6592">
      <w:start w:val="1"/>
      <w:numFmt w:val="bullet"/>
      <w:lvlText w:val="o"/>
      <w:lvlJc w:val="left"/>
      <w:pPr>
        <w:ind w:left="145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F78DC58">
      <w:start w:val="1"/>
      <w:numFmt w:val="bullet"/>
      <w:lvlText w:val="▪"/>
      <w:lvlJc w:val="left"/>
      <w:pPr>
        <w:ind w:left="21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D5E634C">
      <w:start w:val="1"/>
      <w:numFmt w:val="bullet"/>
      <w:lvlText w:val="•"/>
      <w:lvlJc w:val="left"/>
      <w:pPr>
        <w:ind w:left="28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2B44AE2">
      <w:start w:val="1"/>
      <w:numFmt w:val="bullet"/>
      <w:lvlText w:val="o"/>
      <w:lvlJc w:val="left"/>
      <w:pPr>
        <w:ind w:left="361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9D29C98">
      <w:start w:val="1"/>
      <w:numFmt w:val="bullet"/>
      <w:lvlText w:val="▪"/>
      <w:lvlJc w:val="left"/>
      <w:pPr>
        <w:ind w:left="433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644AA9C">
      <w:start w:val="1"/>
      <w:numFmt w:val="bullet"/>
      <w:lvlText w:val="•"/>
      <w:lvlJc w:val="left"/>
      <w:pPr>
        <w:ind w:left="50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BB48798">
      <w:start w:val="1"/>
      <w:numFmt w:val="bullet"/>
      <w:lvlText w:val="o"/>
      <w:lvlJc w:val="left"/>
      <w:pPr>
        <w:ind w:left="57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9C0A49C">
      <w:start w:val="1"/>
      <w:numFmt w:val="bullet"/>
      <w:lvlText w:val="▪"/>
      <w:lvlJc w:val="left"/>
      <w:pPr>
        <w:ind w:left="649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4" w15:restartNumberingAfterBreak="0">
    <w:nsid w:val="389B5179"/>
    <w:multiLevelType w:val="hybridMultilevel"/>
    <w:tmpl w:val="D31207C0"/>
    <w:lvl w:ilvl="0" w:tplc="93A4906C">
      <w:start w:val="1"/>
      <w:numFmt w:val="decimal"/>
      <w:lvlText w:val="%1."/>
      <w:lvlJc w:val="left"/>
      <w:pPr>
        <w:ind w:left="14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5E288A28">
      <w:start w:val="1"/>
      <w:numFmt w:val="lowerLetter"/>
      <w:lvlText w:val="%2"/>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935EEE16">
      <w:start w:val="1"/>
      <w:numFmt w:val="lowerRoman"/>
      <w:lvlText w:val="%3"/>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8064DE9E">
      <w:start w:val="1"/>
      <w:numFmt w:val="decimal"/>
      <w:lvlText w:val="%4"/>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D884F13C">
      <w:start w:val="1"/>
      <w:numFmt w:val="lowerLetter"/>
      <w:lvlText w:val="%5"/>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4736318A">
      <w:start w:val="1"/>
      <w:numFmt w:val="lowerRoman"/>
      <w:lvlText w:val="%6"/>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EA403662">
      <w:start w:val="1"/>
      <w:numFmt w:val="decimal"/>
      <w:lvlText w:val="%7"/>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D890B7A0">
      <w:start w:val="1"/>
      <w:numFmt w:val="lowerLetter"/>
      <w:lvlText w:val="%8"/>
      <w:lvlJc w:val="left"/>
      <w:pPr>
        <w:ind w:left="61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F5402B8E">
      <w:start w:val="1"/>
      <w:numFmt w:val="lowerRoman"/>
      <w:lvlText w:val="%9"/>
      <w:lvlJc w:val="left"/>
      <w:pPr>
        <w:ind w:left="68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75" w15:restartNumberingAfterBreak="0">
    <w:nsid w:val="39385EE5"/>
    <w:multiLevelType w:val="hybridMultilevel"/>
    <w:tmpl w:val="54640A88"/>
    <w:lvl w:ilvl="0" w:tplc="B8D2D888">
      <w:start w:val="1"/>
      <w:numFmt w:val="bullet"/>
      <w:lvlText w:val="•"/>
      <w:lvlJc w:val="left"/>
      <w:pPr>
        <w:ind w:left="252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76" w15:restartNumberingAfterBreak="0">
    <w:nsid w:val="3A0A5865"/>
    <w:multiLevelType w:val="hybridMultilevel"/>
    <w:tmpl w:val="F938980A"/>
    <w:lvl w:ilvl="0" w:tplc="3D08B0D6">
      <w:start w:val="1"/>
      <w:numFmt w:val="lowerLetter"/>
      <w:lvlText w:val="%1."/>
      <w:lvlJc w:val="left"/>
      <w:pPr>
        <w:ind w:left="117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89B08A8A">
      <w:start w:val="1"/>
      <w:numFmt w:val="lowerLetter"/>
      <w:lvlText w:val="%2"/>
      <w:lvlJc w:val="left"/>
      <w:pPr>
        <w:ind w:left="14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411AE77E">
      <w:start w:val="1"/>
      <w:numFmt w:val="lowerRoman"/>
      <w:lvlText w:val="%3"/>
      <w:lvlJc w:val="left"/>
      <w:pPr>
        <w:ind w:left="21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83E8F75C">
      <w:start w:val="1"/>
      <w:numFmt w:val="decimal"/>
      <w:lvlText w:val="%4"/>
      <w:lvlJc w:val="left"/>
      <w:pPr>
        <w:ind w:left="28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0994B5B8">
      <w:start w:val="1"/>
      <w:numFmt w:val="lowerLetter"/>
      <w:lvlText w:val="%5"/>
      <w:lvlJc w:val="left"/>
      <w:pPr>
        <w:ind w:left="36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F1AAB142">
      <w:start w:val="1"/>
      <w:numFmt w:val="lowerRoman"/>
      <w:lvlText w:val="%6"/>
      <w:lvlJc w:val="left"/>
      <w:pPr>
        <w:ind w:left="43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A4E09E1E">
      <w:start w:val="1"/>
      <w:numFmt w:val="decimal"/>
      <w:lvlText w:val="%7"/>
      <w:lvlJc w:val="left"/>
      <w:pPr>
        <w:ind w:left="50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7A2EC1B4">
      <w:start w:val="1"/>
      <w:numFmt w:val="lowerLetter"/>
      <w:lvlText w:val="%8"/>
      <w:lvlJc w:val="left"/>
      <w:pPr>
        <w:ind w:left="57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B80EA5FE">
      <w:start w:val="1"/>
      <w:numFmt w:val="lowerRoman"/>
      <w:lvlText w:val="%9"/>
      <w:lvlJc w:val="left"/>
      <w:pPr>
        <w:ind w:left="64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77" w15:restartNumberingAfterBreak="0">
    <w:nsid w:val="3D0D53D6"/>
    <w:multiLevelType w:val="hybridMultilevel"/>
    <w:tmpl w:val="6E04EADC"/>
    <w:lvl w:ilvl="0" w:tplc="6D8648BA">
      <w:start w:val="1"/>
      <w:numFmt w:val="bullet"/>
      <w:lvlText w:val="•"/>
      <w:lvlJc w:val="left"/>
      <w:pPr>
        <w:ind w:left="1464"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CB64496">
      <w:start w:val="1"/>
      <w:numFmt w:val="bullet"/>
      <w:lvlText w:val="o"/>
      <w:lvlJc w:val="left"/>
      <w:pPr>
        <w:ind w:left="155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D3E6712">
      <w:start w:val="1"/>
      <w:numFmt w:val="bullet"/>
      <w:lvlText w:val="▪"/>
      <w:lvlJc w:val="left"/>
      <w:pPr>
        <w:ind w:left="227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8ECF176">
      <w:start w:val="1"/>
      <w:numFmt w:val="bullet"/>
      <w:lvlText w:val="•"/>
      <w:lvlJc w:val="left"/>
      <w:pPr>
        <w:ind w:left="299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FB04D0E">
      <w:start w:val="1"/>
      <w:numFmt w:val="bullet"/>
      <w:lvlText w:val="o"/>
      <w:lvlJc w:val="left"/>
      <w:pPr>
        <w:ind w:left="371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9AAC32E">
      <w:start w:val="1"/>
      <w:numFmt w:val="bullet"/>
      <w:lvlText w:val="▪"/>
      <w:lvlJc w:val="left"/>
      <w:pPr>
        <w:ind w:left="443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11833C6">
      <w:start w:val="1"/>
      <w:numFmt w:val="bullet"/>
      <w:lvlText w:val="•"/>
      <w:lvlJc w:val="left"/>
      <w:pPr>
        <w:ind w:left="515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9BE6C7C">
      <w:start w:val="1"/>
      <w:numFmt w:val="bullet"/>
      <w:lvlText w:val="o"/>
      <w:lvlJc w:val="left"/>
      <w:pPr>
        <w:ind w:left="587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5A12D370">
      <w:start w:val="1"/>
      <w:numFmt w:val="bullet"/>
      <w:lvlText w:val="▪"/>
      <w:lvlJc w:val="left"/>
      <w:pPr>
        <w:ind w:left="659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8" w15:restartNumberingAfterBreak="0">
    <w:nsid w:val="3D8D0BA8"/>
    <w:multiLevelType w:val="hybridMultilevel"/>
    <w:tmpl w:val="C1C09178"/>
    <w:lvl w:ilvl="0" w:tplc="B8D2D888">
      <w:start w:val="1"/>
      <w:numFmt w:val="bullet"/>
      <w:lvlText w:val="•"/>
      <w:lvlJc w:val="left"/>
      <w:pPr>
        <w:ind w:left="2160" w:hanging="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9" w15:restartNumberingAfterBreak="0">
    <w:nsid w:val="3E4A60B7"/>
    <w:multiLevelType w:val="hybridMultilevel"/>
    <w:tmpl w:val="47CA63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0" w15:restartNumberingAfterBreak="0">
    <w:nsid w:val="400F51B7"/>
    <w:multiLevelType w:val="hybridMultilevel"/>
    <w:tmpl w:val="4EC2E230"/>
    <w:lvl w:ilvl="0" w:tplc="C954437E">
      <w:start w:val="1"/>
      <w:numFmt w:val="lowerLetter"/>
      <w:lvlText w:val="%1."/>
      <w:lvlJc w:val="left"/>
      <w:pPr>
        <w:ind w:left="126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A8CE7924">
      <w:start w:val="1"/>
      <w:numFmt w:val="lowerLetter"/>
      <w:lvlText w:val="%2"/>
      <w:lvlJc w:val="left"/>
      <w:pPr>
        <w:ind w:left="153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D5DC09AA">
      <w:start w:val="1"/>
      <w:numFmt w:val="lowerRoman"/>
      <w:lvlText w:val="%3"/>
      <w:lvlJc w:val="left"/>
      <w:pPr>
        <w:ind w:left="225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FABEE554">
      <w:start w:val="1"/>
      <w:numFmt w:val="decimal"/>
      <w:lvlText w:val="%4"/>
      <w:lvlJc w:val="left"/>
      <w:pPr>
        <w:ind w:left="297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7ED2AB50">
      <w:start w:val="1"/>
      <w:numFmt w:val="lowerLetter"/>
      <w:lvlText w:val="%5"/>
      <w:lvlJc w:val="left"/>
      <w:pPr>
        <w:ind w:left="369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BB08CB96">
      <w:start w:val="1"/>
      <w:numFmt w:val="lowerRoman"/>
      <w:lvlText w:val="%6"/>
      <w:lvlJc w:val="left"/>
      <w:pPr>
        <w:ind w:left="441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EA8A4402">
      <w:start w:val="1"/>
      <w:numFmt w:val="decimal"/>
      <w:lvlText w:val="%7"/>
      <w:lvlJc w:val="left"/>
      <w:pPr>
        <w:ind w:left="513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7B1A3A34">
      <w:start w:val="1"/>
      <w:numFmt w:val="lowerLetter"/>
      <w:lvlText w:val="%8"/>
      <w:lvlJc w:val="left"/>
      <w:pPr>
        <w:ind w:left="585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432A36A6">
      <w:start w:val="1"/>
      <w:numFmt w:val="lowerRoman"/>
      <w:lvlText w:val="%9"/>
      <w:lvlJc w:val="left"/>
      <w:pPr>
        <w:ind w:left="657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81" w15:restartNumberingAfterBreak="0">
    <w:nsid w:val="40525249"/>
    <w:multiLevelType w:val="hybridMultilevel"/>
    <w:tmpl w:val="FB6ADD64"/>
    <w:lvl w:ilvl="0" w:tplc="D30028C4">
      <w:start w:val="1"/>
      <w:numFmt w:val="decimal"/>
      <w:lvlText w:val="%1."/>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2EEA1FCA">
      <w:start w:val="1"/>
      <w:numFmt w:val="lowerLetter"/>
      <w:lvlText w:val="%2"/>
      <w:lvlJc w:val="left"/>
      <w:pPr>
        <w:ind w:left="12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E9C4960C">
      <w:start w:val="1"/>
      <w:numFmt w:val="lowerRoman"/>
      <w:lvlText w:val="%3"/>
      <w:lvlJc w:val="left"/>
      <w:pPr>
        <w:ind w:left="19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EC9E2AE6">
      <w:start w:val="1"/>
      <w:numFmt w:val="decimal"/>
      <w:lvlText w:val="%4"/>
      <w:lvlJc w:val="left"/>
      <w:pPr>
        <w:ind w:left="27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0682F590">
      <w:start w:val="1"/>
      <w:numFmt w:val="lowerLetter"/>
      <w:lvlText w:val="%5"/>
      <w:lvlJc w:val="left"/>
      <w:pPr>
        <w:ind w:left="34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445833C0">
      <w:start w:val="1"/>
      <w:numFmt w:val="lowerRoman"/>
      <w:lvlText w:val="%6"/>
      <w:lvlJc w:val="left"/>
      <w:pPr>
        <w:ind w:left="41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DE68CE72">
      <w:start w:val="1"/>
      <w:numFmt w:val="decimal"/>
      <w:lvlText w:val="%7"/>
      <w:lvlJc w:val="left"/>
      <w:pPr>
        <w:ind w:left="48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7ED64158">
      <w:start w:val="1"/>
      <w:numFmt w:val="lowerLetter"/>
      <w:lvlText w:val="%8"/>
      <w:lvlJc w:val="left"/>
      <w:pPr>
        <w:ind w:left="55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38069D5C">
      <w:start w:val="1"/>
      <w:numFmt w:val="lowerRoman"/>
      <w:lvlText w:val="%9"/>
      <w:lvlJc w:val="left"/>
      <w:pPr>
        <w:ind w:left="63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82" w15:restartNumberingAfterBreak="0">
    <w:nsid w:val="40861AD0"/>
    <w:multiLevelType w:val="hybridMultilevel"/>
    <w:tmpl w:val="8B083706"/>
    <w:lvl w:ilvl="0" w:tplc="3D789714">
      <w:start w:val="1"/>
      <w:numFmt w:val="bullet"/>
      <w:lvlText w:val="•"/>
      <w:lvlJc w:val="left"/>
      <w:pPr>
        <w:ind w:left="74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A58767E">
      <w:start w:val="1"/>
      <w:numFmt w:val="bullet"/>
      <w:lvlText w:val="o"/>
      <w:lvlJc w:val="left"/>
      <w:pPr>
        <w:ind w:left="145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F2EF234">
      <w:start w:val="1"/>
      <w:numFmt w:val="bullet"/>
      <w:lvlText w:val="▪"/>
      <w:lvlJc w:val="left"/>
      <w:pPr>
        <w:ind w:left="21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65C1A3E">
      <w:start w:val="1"/>
      <w:numFmt w:val="bullet"/>
      <w:lvlText w:val="•"/>
      <w:lvlJc w:val="left"/>
      <w:pPr>
        <w:ind w:left="28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33A7F5A">
      <w:start w:val="1"/>
      <w:numFmt w:val="bullet"/>
      <w:lvlText w:val="o"/>
      <w:lvlJc w:val="left"/>
      <w:pPr>
        <w:ind w:left="361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9E22024">
      <w:start w:val="1"/>
      <w:numFmt w:val="bullet"/>
      <w:lvlText w:val="▪"/>
      <w:lvlJc w:val="left"/>
      <w:pPr>
        <w:ind w:left="433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2BE6602">
      <w:start w:val="1"/>
      <w:numFmt w:val="bullet"/>
      <w:lvlText w:val="•"/>
      <w:lvlJc w:val="left"/>
      <w:pPr>
        <w:ind w:left="50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F263EF0">
      <w:start w:val="1"/>
      <w:numFmt w:val="bullet"/>
      <w:lvlText w:val="o"/>
      <w:lvlJc w:val="left"/>
      <w:pPr>
        <w:ind w:left="57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5DAFA04">
      <w:start w:val="1"/>
      <w:numFmt w:val="bullet"/>
      <w:lvlText w:val="▪"/>
      <w:lvlJc w:val="left"/>
      <w:pPr>
        <w:ind w:left="649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3" w15:restartNumberingAfterBreak="0">
    <w:nsid w:val="40F81AD5"/>
    <w:multiLevelType w:val="hybridMultilevel"/>
    <w:tmpl w:val="2DFEE362"/>
    <w:lvl w:ilvl="0" w:tplc="DCC86CA4">
      <w:start w:val="1"/>
      <w:numFmt w:val="lowerLetter"/>
      <w:lvlText w:val="%1."/>
      <w:lvlJc w:val="left"/>
      <w:pPr>
        <w:ind w:left="147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5688F338">
      <w:start w:val="1"/>
      <w:numFmt w:val="lowerLetter"/>
      <w:lvlText w:val="%2"/>
      <w:lvlJc w:val="left"/>
      <w:pPr>
        <w:ind w:left="165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70D07596">
      <w:start w:val="1"/>
      <w:numFmt w:val="lowerRoman"/>
      <w:lvlText w:val="%3"/>
      <w:lvlJc w:val="left"/>
      <w:pPr>
        <w:ind w:left="237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619031E2">
      <w:start w:val="1"/>
      <w:numFmt w:val="decimal"/>
      <w:lvlText w:val="%4"/>
      <w:lvlJc w:val="left"/>
      <w:pPr>
        <w:ind w:left="309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3B0ED794">
      <w:start w:val="1"/>
      <w:numFmt w:val="lowerLetter"/>
      <w:lvlText w:val="%5"/>
      <w:lvlJc w:val="left"/>
      <w:pPr>
        <w:ind w:left="381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DE560A8E">
      <w:start w:val="1"/>
      <w:numFmt w:val="lowerRoman"/>
      <w:lvlText w:val="%6"/>
      <w:lvlJc w:val="left"/>
      <w:pPr>
        <w:ind w:left="453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637CE336">
      <w:start w:val="1"/>
      <w:numFmt w:val="decimal"/>
      <w:lvlText w:val="%7"/>
      <w:lvlJc w:val="left"/>
      <w:pPr>
        <w:ind w:left="525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45BA6D84">
      <w:start w:val="1"/>
      <w:numFmt w:val="lowerLetter"/>
      <w:lvlText w:val="%8"/>
      <w:lvlJc w:val="left"/>
      <w:pPr>
        <w:ind w:left="597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03226D96">
      <w:start w:val="1"/>
      <w:numFmt w:val="lowerRoman"/>
      <w:lvlText w:val="%9"/>
      <w:lvlJc w:val="left"/>
      <w:pPr>
        <w:ind w:left="669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84" w15:restartNumberingAfterBreak="0">
    <w:nsid w:val="41342600"/>
    <w:multiLevelType w:val="hybridMultilevel"/>
    <w:tmpl w:val="F8021D6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5" w15:restartNumberingAfterBreak="0">
    <w:nsid w:val="4230006C"/>
    <w:multiLevelType w:val="hybridMultilevel"/>
    <w:tmpl w:val="D70EC0EC"/>
    <w:lvl w:ilvl="0" w:tplc="B8D43D78">
      <w:start w:val="1"/>
      <w:numFmt w:val="decimal"/>
      <w:lvlText w:val="(%1)"/>
      <w:lvlJc w:val="left"/>
      <w:pPr>
        <w:ind w:left="16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346789E">
      <w:start w:val="1"/>
      <w:numFmt w:val="lowerLetter"/>
      <w:lvlText w:val="(%2)"/>
      <w:lvlJc w:val="left"/>
      <w:pPr>
        <w:ind w:left="20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5866E72">
      <w:start w:val="1"/>
      <w:numFmt w:val="lowerRoman"/>
      <w:lvlText w:val="%3"/>
      <w:lvlJc w:val="left"/>
      <w:pPr>
        <w:ind w:left="22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BBC19FE">
      <w:start w:val="1"/>
      <w:numFmt w:val="decimal"/>
      <w:lvlText w:val="%4"/>
      <w:lvlJc w:val="left"/>
      <w:pPr>
        <w:ind w:left="29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57ADE50">
      <w:start w:val="1"/>
      <w:numFmt w:val="lowerLetter"/>
      <w:lvlText w:val="%5"/>
      <w:lvlJc w:val="left"/>
      <w:pPr>
        <w:ind w:left="36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D1A6800">
      <w:start w:val="1"/>
      <w:numFmt w:val="lowerRoman"/>
      <w:lvlText w:val="%6"/>
      <w:lvlJc w:val="left"/>
      <w:pPr>
        <w:ind w:left="44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1E0B2D6">
      <w:start w:val="1"/>
      <w:numFmt w:val="decimal"/>
      <w:lvlText w:val="%7"/>
      <w:lvlJc w:val="left"/>
      <w:pPr>
        <w:ind w:left="51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BEE7318">
      <w:start w:val="1"/>
      <w:numFmt w:val="lowerLetter"/>
      <w:lvlText w:val="%8"/>
      <w:lvlJc w:val="left"/>
      <w:pPr>
        <w:ind w:left="58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8488FB0">
      <w:start w:val="1"/>
      <w:numFmt w:val="lowerRoman"/>
      <w:lvlText w:val="%9"/>
      <w:lvlJc w:val="left"/>
      <w:pPr>
        <w:ind w:left="65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6" w15:restartNumberingAfterBreak="0">
    <w:nsid w:val="42D64767"/>
    <w:multiLevelType w:val="hybridMultilevel"/>
    <w:tmpl w:val="FB6ADD64"/>
    <w:lvl w:ilvl="0" w:tplc="D30028C4">
      <w:start w:val="1"/>
      <w:numFmt w:val="decimal"/>
      <w:lvlText w:val="%1."/>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2EEA1FCA">
      <w:start w:val="1"/>
      <w:numFmt w:val="lowerLetter"/>
      <w:lvlText w:val="%2"/>
      <w:lvlJc w:val="left"/>
      <w:pPr>
        <w:ind w:left="12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E9C4960C">
      <w:start w:val="1"/>
      <w:numFmt w:val="lowerRoman"/>
      <w:lvlText w:val="%3"/>
      <w:lvlJc w:val="left"/>
      <w:pPr>
        <w:ind w:left="19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EC9E2AE6">
      <w:start w:val="1"/>
      <w:numFmt w:val="decimal"/>
      <w:lvlText w:val="%4"/>
      <w:lvlJc w:val="left"/>
      <w:pPr>
        <w:ind w:left="27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0682F590">
      <w:start w:val="1"/>
      <w:numFmt w:val="lowerLetter"/>
      <w:lvlText w:val="%5"/>
      <w:lvlJc w:val="left"/>
      <w:pPr>
        <w:ind w:left="34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445833C0">
      <w:start w:val="1"/>
      <w:numFmt w:val="lowerRoman"/>
      <w:lvlText w:val="%6"/>
      <w:lvlJc w:val="left"/>
      <w:pPr>
        <w:ind w:left="41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DE68CE72">
      <w:start w:val="1"/>
      <w:numFmt w:val="decimal"/>
      <w:lvlText w:val="%7"/>
      <w:lvlJc w:val="left"/>
      <w:pPr>
        <w:ind w:left="48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7ED64158">
      <w:start w:val="1"/>
      <w:numFmt w:val="lowerLetter"/>
      <w:lvlText w:val="%8"/>
      <w:lvlJc w:val="left"/>
      <w:pPr>
        <w:ind w:left="55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38069D5C">
      <w:start w:val="1"/>
      <w:numFmt w:val="lowerRoman"/>
      <w:lvlText w:val="%9"/>
      <w:lvlJc w:val="left"/>
      <w:pPr>
        <w:ind w:left="63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87" w15:restartNumberingAfterBreak="0">
    <w:nsid w:val="43846B15"/>
    <w:multiLevelType w:val="hybridMultilevel"/>
    <w:tmpl w:val="A39E8052"/>
    <w:lvl w:ilvl="0" w:tplc="6D8648BA">
      <w:start w:val="1"/>
      <w:numFmt w:val="bullet"/>
      <w:lvlText w:val="•"/>
      <w:lvlJc w:val="left"/>
      <w:pPr>
        <w:ind w:left="189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88" w15:restartNumberingAfterBreak="0">
    <w:nsid w:val="44E82E1E"/>
    <w:multiLevelType w:val="hybridMultilevel"/>
    <w:tmpl w:val="D026EB2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9" w15:restartNumberingAfterBreak="0">
    <w:nsid w:val="45325BAD"/>
    <w:multiLevelType w:val="hybridMultilevel"/>
    <w:tmpl w:val="8AF2C940"/>
    <w:lvl w:ilvl="0" w:tplc="0409000F">
      <w:start w:val="1"/>
      <w:numFmt w:val="decimal"/>
      <w:lvlText w:val="%1."/>
      <w:lvlJc w:val="left"/>
      <w:pPr>
        <w:ind w:left="1430" w:hanging="360"/>
      </w:pPr>
    </w:lvl>
    <w:lvl w:ilvl="1" w:tplc="04090019" w:tentative="1">
      <w:start w:val="1"/>
      <w:numFmt w:val="lowerLetter"/>
      <w:lvlText w:val="%2."/>
      <w:lvlJc w:val="left"/>
      <w:pPr>
        <w:ind w:left="2150" w:hanging="360"/>
      </w:pPr>
    </w:lvl>
    <w:lvl w:ilvl="2" w:tplc="0409001B" w:tentative="1">
      <w:start w:val="1"/>
      <w:numFmt w:val="lowerRoman"/>
      <w:lvlText w:val="%3."/>
      <w:lvlJc w:val="right"/>
      <w:pPr>
        <w:ind w:left="2870" w:hanging="180"/>
      </w:pPr>
    </w:lvl>
    <w:lvl w:ilvl="3" w:tplc="0409000F" w:tentative="1">
      <w:start w:val="1"/>
      <w:numFmt w:val="decimal"/>
      <w:lvlText w:val="%4."/>
      <w:lvlJc w:val="left"/>
      <w:pPr>
        <w:ind w:left="3590" w:hanging="360"/>
      </w:pPr>
    </w:lvl>
    <w:lvl w:ilvl="4" w:tplc="04090019" w:tentative="1">
      <w:start w:val="1"/>
      <w:numFmt w:val="lowerLetter"/>
      <w:lvlText w:val="%5."/>
      <w:lvlJc w:val="left"/>
      <w:pPr>
        <w:ind w:left="4310" w:hanging="360"/>
      </w:pPr>
    </w:lvl>
    <w:lvl w:ilvl="5" w:tplc="0409001B" w:tentative="1">
      <w:start w:val="1"/>
      <w:numFmt w:val="lowerRoman"/>
      <w:lvlText w:val="%6."/>
      <w:lvlJc w:val="right"/>
      <w:pPr>
        <w:ind w:left="5030" w:hanging="180"/>
      </w:pPr>
    </w:lvl>
    <w:lvl w:ilvl="6" w:tplc="0409000F" w:tentative="1">
      <w:start w:val="1"/>
      <w:numFmt w:val="decimal"/>
      <w:lvlText w:val="%7."/>
      <w:lvlJc w:val="left"/>
      <w:pPr>
        <w:ind w:left="5750" w:hanging="360"/>
      </w:pPr>
    </w:lvl>
    <w:lvl w:ilvl="7" w:tplc="04090019" w:tentative="1">
      <w:start w:val="1"/>
      <w:numFmt w:val="lowerLetter"/>
      <w:lvlText w:val="%8."/>
      <w:lvlJc w:val="left"/>
      <w:pPr>
        <w:ind w:left="6470" w:hanging="360"/>
      </w:pPr>
    </w:lvl>
    <w:lvl w:ilvl="8" w:tplc="0409001B" w:tentative="1">
      <w:start w:val="1"/>
      <w:numFmt w:val="lowerRoman"/>
      <w:lvlText w:val="%9."/>
      <w:lvlJc w:val="right"/>
      <w:pPr>
        <w:ind w:left="7190" w:hanging="180"/>
      </w:pPr>
    </w:lvl>
  </w:abstractNum>
  <w:abstractNum w:abstractNumId="90" w15:restartNumberingAfterBreak="0">
    <w:nsid w:val="453549EA"/>
    <w:multiLevelType w:val="hybridMultilevel"/>
    <w:tmpl w:val="DAF6C444"/>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91" w15:restartNumberingAfterBreak="0">
    <w:nsid w:val="45FA48E2"/>
    <w:multiLevelType w:val="hybridMultilevel"/>
    <w:tmpl w:val="30EC13A2"/>
    <w:lvl w:ilvl="0" w:tplc="FFFFFFFF">
      <w:start w:val="1"/>
      <w:numFmt w:val="lowerLetter"/>
      <w:lvlText w:val="%1."/>
      <w:lvlJc w:val="left"/>
      <w:pPr>
        <w:ind w:left="2520" w:hanging="360"/>
      </w:pPr>
      <w:rPr>
        <w:b/>
        <w:bCs w:val="0"/>
        <w:i w:val="0"/>
        <w:strike w:val="0"/>
        <w:dstrike w:val="0"/>
        <w:color w:val="000000"/>
        <w:sz w:val="22"/>
        <w:szCs w:val="22"/>
        <w:u w:val="none" w:color="000000"/>
        <w:bdr w:val="none" w:sz="0" w:space="0" w:color="auto"/>
        <w:shd w:val="clear" w:color="auto" w:fill="auto"/>
        <w:vertAlign w:val="baseline"/>
      </w:rPr>
    </w:lvl>
    <w:lvl w:ilvl="1" w:tplc="FFFFFFFF" w:tentative="1">
      <w:start w:val="1"/>
      <w:numFmt w:val="lowerLetter"/>
      <w:lvlText w:val="%2."/>
      <w:lvlJc w:val="left"/>
      <w:pPr>
        <w:ind w:left="3240" w:hanging="360"/>
      </w:pPr>
    </w:lvl>
    <w:lvl w:ilvl="2" w:tplc="FFFFFFFF" w:tentative="1">
      <w:start w:val="1"/>
      <w:numFmt w:val="lowerRoman"/>
      <w:lvlText w:val="%3."/>
      <w:lvlJc w:val="right"/>
      <w:pPr>
        <w:ind w:left="3960" w:hanging="180"/>
      </w:pPr>
    </w:lvl>
    <w:lvl w:ilvl="3" w:tplc="FFFFFFFF" w:tentative="1">
      <w:start w:val="1"/>
      <w:numFmt w:val="decimal"/>
      <w:lvlText w:val="%4."/>
      <w:lvlJc w:val="left"/>
      <w:pPr>
        <w:ind w:left="4680" w:hanging="360"/>
      </w:pPr>
    </w:lvl>
    <w:lvl w:ilvl="4" w:tplc="FFFFFFFF" w:tentative="1">
      <w:start w:val="1"/>
      <w:numFmt w:val="lowerLetter"/>
      <w:lvlText w:val="%5."/>
      <w:lvlJc w:val="left"/>
      <w:pPr>
        <w:ind w:left="5400" w:hanging="360"/>
      </w:pPr>
    </w:lvl>
    <w:lvl w:ilvl="5" w:tplc="FFFFFFFF" w:tentative="1">
      <w:start w:val="1"/>
      <w:numFmt w:val="lowerRoman"/>
      <w:lvlText w:val="%6."/>
      <w:lvlJc w:val="right"/>
      <w:pPr>
        <w:ind w:left="6120" w:hanging="180"/>
      </w:pPr>
    </w:lvl>
    <w:lvl w:ilvl="6" w:tplc="FFFFFFFF" w:tentative="1">
      <w:start w:val="1"/>
      <w:numFmt w:val="decimal"/>
      <w:lvlText w:val="%7."/>
      <w:lvlJc w:val="left"/>
      <w:pPr>
        <w:ind w:left="6840" w:hanging="360"/>
      </w:pPr>
    </w:lvl>
    <w:lvl w:ilvl="7" w:tplc="FFFFFFFF" w:tentative="1">
      <w:start w:val="1"/>
      <w:numFmt w:val="lowerLetter"/>
      <w:lvlText w:val="%8."/>
      <w:lvlJc w:val="left"/>
      <w:pPr>
        <w:ind w:left="7560" w:hanging="360"/>
      </w:pPr>
    </w:lvl>
    <w:lvl w:ilvl="8" w:tplc="FFFFFFFF" w:tentative="1">
      <w:start w:val="1"/>
      <w:numFmt w:val="lowerRoman"/>
      <w:lvlText w:val="%9."/>
      <w:lvlJc w:val="right"/>
      <w:pPr>
        <w:ind w:left="8280" w:hanging="180"/>
      </w:pPr>
    </w:lvl>
  </w:abstractNum>
  <w:abstractNum w:abstractNumId="92" w15:restartNumberingAfterBreak="0">
    <w:nsid w:val="473739F8"/>
    <w:multiLevelType w:val="hybridMultilevel"/>
    <w:tmpl w:val="380A3F86"/>
    <w:lvl w:ilvl="0" w:tplc="7D4AE0A4">
      <w:start w:val="1"/>
      <w:numFmt w:val="lowerLetter"/>
      <w:lvlText w:val="%1."/>
      <w:lvlJc w:val="left"/>
      <w:pPr>
        <w:ind w:left="117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8F3EA500">
      <w:start w:val="1"/>
      <w:numFmt w:val="lowerLetter"/>
      <w:lvlText w:val="%2"/>
      <w:lvlJc w:val="left"/>
      <w:pPr>
        <w:ind w:left="14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956A7A1E">
      <w:start w:val="1"/>
      <w:numFmt w:val="lowerRoman"/>
      <w:lvlText w:val="%3"/>
      <w:lvlJc w:val="left"/>
      <w:pPr>
        <w:ind w:left="21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3F38A802">
      <w:start w:val="1"/>
      <w:numFmt w:val="decimal"/>
      <w:lvlText w:val="%4"/>
      <w:lvlJc w:val="left"/>
      <w:pPr>
        <w:ind w:left="28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C5BEB82E">
      <w:start w:val="1"/>
      <w:numFmt w:val="lowerLetter"/>
      <w:lvlText w:val="%5"/>
      <w:lvlJc w:val="left"/>
      <w:pPr>
        <w:ind w:left="36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57086300">
      <w:start w:val="1"/>
      <w:numFmt w:val="lowerRoman"/>
      <w:lvlText w:val="%6"/>
      <w:lvlJc w:val="left"/>
      <w:pPr>
        <w:ind w:left="43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8F868C28">
      <w:start w:val="1"/>
      <w:numFmt w:val="decimal"/>
      <w:lvlText w:val="%7"/>
      <w:lvlJc w:val="left"/>
      <w:pPr>
        <w:ind w:left="50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7AF0BB9E">
      <w:start w:val="1"/>
      <w:numFmt w:val="lowerLetter"/>
      <w:lvlText w:val="%8"/>
      <w:lvlJc w:val="left"/>
      <w:pPr>
        <w:ind w:left="57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202C7FB4">
      <w:start w:val="1"/>
      <w:numFmt w:val="lowerRoman"/>
      <w:lvlText w:val="%9"/>
      <w:lvlJc w:val="left"/>
      <w:pPr>
        <w:ind w:left="64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93" w15:restartNumberingAfterBreak="0">
    <w:nsid w:val="475A1B71"/>
    <w:multiLevelType w:val="hybridMultilevel"/>
    <w:tmpl w:val="B096E34A"/>
    <w:lvl w:ilvl="0" w:tplc="3F0E63D8">
      <w:start w:val="1"/>
      <w:numFmt w:val="decimal"/>
      <w:lvlText w:val="%1."/>
      <w:lvlJc w:val="left"/>
      <w:pPr>
        <w:ind w:left="84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54780DE2">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93A4736">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9E6B4DC">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2249202">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B9EA2D8">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0CEC6F2">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F5EB298">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4FA1748">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4" w15:restartNumberingAfterBreak="0">
    <w:nsid w:val="47A71052"/>
    <w:multiLevelType w:val="hybridMultilevel"/>
    <w:tmpl w:val="A648C37E"/>
    <w:lvl w:ilvl="0" w:tplc="3FCE0B9E">
      <w:start w:val="1"/>
      <w:numFmt w:val="lowerLetter"/>
      <w:lvlText w:val="%1."/>
      <w:lvlJc w:val="left"/>
      <w:pPr>
        <w:ind w:left="126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2C1EE4BE">
      <w:start w:val="1"/>
      <w:numFmt w:val="lowerLetter"/>
      <w:lvlText w:val="%2"/>
      <w:lvlJc w:val="left"/>
      <w:pPr>
        <w:ind w:left="153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F7BA1B4E">
      <w:start w:val="1"/>
      <w:numFmt w:val="lowerRoman"/>
      <w:lvlText w:val="%3"/>
      <w:lvlJc w:val="left"/>
      <w:pPr>
        <w:ind w:left="225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CEA8B4D6">
      <w:start w:val="1"/>
      <w:numFmt w:val="decimal"/>
      <w:lvlText w:val="%4"/>
      <w:lvlJc w:val="left"/>
      <w:pPr>
        <w:ind w:left="297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EA88DFEA">
      <w:start w:val="1"/>
      <w:numFmt w:val="lowerLetter"/>
      <w:lvlText w:val="%5"/>
      <w:lvlJc w:val="left"/>
      <w:pPr>
        <w:ind w:left="369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8E945BE4">
      <w:start w:val="1"/>
      <w:numFmt w:val="lowerRoman"/>
      <w:lvlText w:val="%6"/>
      <w:lvlJc w:val="left"/>
      <w:pPr>
        <w:ind w:left="441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AC28E5EC">
      <w:start w:val="1"/>
      <w:numFmt w:val="decimal"/>
      <w:lvlText w:val="%7"/>
      <w:lvlJc w:val="left"/>
      <w:pPr>
        <w:ind w:left="513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521432E0">
      <w:start w:val="1"/>
      <w:numFmt w:val="lowerLetter"/>
      <w:lvlText w:val="%8"/>
      <w:lvlJc w:val="left"/>
      <w:pPr>
        <w:ind w:left="585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42C83F86">
      <w:start w:val="1"/>
      <w:numFmt w:val="lowerRoman"/>
      <w:lvlText w:val="%9"/>
      <w:lvlJc w:val="left"/>
      <w:pPr>
        <w:ind w:left="657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95" w15:restartNumberingAfterBreak="0">
    <w:nsid w:val="47B2432C"/>
    <w:multiLevelType w:val="hybridMultilevel"/>
    <w:tmpl w:val="C91EFEBC"/>
    <w:lvl w:ilvl="0" w:tplc="826CDD10">
      <w:start w:val="1"/>
      <w:numFmt w:val="decimal"/>
      <w:lvlText w:val="(%1)"/>
      <w:lvlJc w:val="left"/>
      <w:pPr>
        <w:ind w:left="2573" w:hanging="360"/>
      </w:pPr>
      <w:rPr>
        <w:rFonts w:hint="default"/>
      </w:rPr>
    </w:lvl>
    <w:lvl w:ilvl="1" w:tplc="04090019" w:tentative="1">
      <w:start w:val="1"/>
      <w:numFmt w:val="lowerLetter"/>
      <w:lvlText w:val="%2."/>
      <w:lvlJc w:val="left"/>
      <w:pPr>
        <w:ind w:left="3293" w:hanging="360"/>
      </w:pPr>
    </w:lvl>
    <w:lvl w:ilvl="2" w:tplc="0409001B" w:tentative="1">
      <w:start w:val="1"/>
      <w:numFmt w:val="lowerRoman"/>
      <w:lvlText w:val="%3."/>
      <w:lvlJc w:val="right"/>
      <w:pPr>
        <w:ind w:left="4013" w:hanging="180"/>
      </w:pPr>
    </w:lvl>
    <w:lvl w:ilvl="3" w:tplc="0409000F" w:tentative="1">
      <w:start w:val="1"/>
      <w:numFmt w:val="decimal"/>
      <w:lvlText w:val="%4."/>
      <w:lvlJc w:val="left"/>
      <w:pPr>
        <w:ind w:left="4733" w:hanging="360"/>
      </w:pPr>
    </w:lvl>
    <w:lvl w:ilvl="4" w:tplc="04090019" w:tentative="1">
      <w:start w:val="1"/>
      <w:numFmt w:val="lowerLetter"/>
      <w:lvlText w:val="%5."/>
      <w:lvlJc w:val="left"/>
      <w:pPr>
        <w:ind w:left="5453" w:hanging="360"/>
      </w:pPr>
    </w:lvl>
    <w:lvl w:ilvl="5" w:tplc="0409001B" w:tentative="1">
      <w:start w:val="1"/>
      <w:numFmt w:val="lowerRoman"/>
      <w:lvlText w:val="%6."/>
      <w:lvlJc w:val="right"/>
      <w:pPr>
        <w:ind w:left="6173" w:hanging="180"/>
      </w:pPr>
    </w:lvl>
    <w:lvl w:ilvl="6" w:tplc="0409000F" w:tentative="1">
      <w:start w:val="1"/>
      <w:numFmt w:val="decimal"/>
      <w:lvlText w:val="%7."/>
      <w:lvlJc w:val="left"/>
      <w:pPr>
        <w:ind w:left="6893" w:hanging="360"/>
      </w:pPr>
    </w:lvl>
    <w:lvl w:ilvl="7" w:tplc="04090019" w:tentative="1">
      <w:start w:val="1"/>
      <w:numFmt w:val="lowerLetter"/>
      <w:lvlText w:val="%8."/>
      <w:lvlJc w:val="left"/>
      <w:pPr>
        <w:ind w:left="7613" w:hanging="360"/>
      </w:pPr>
    </w:lvl>
    <w:lvl w:ilvl="8" w:tplc="0409001B" w:tentative="1">
      <w:start w:val="1"/>
      <w:numFmt w:val="lowerRoman"/>
      <w:lvlText w:val="%9."/>
      <w:lvlJc w:val="right"/>
      <w:pPr>
        <w:ind w:left="8333" w:hanging="180"/>
      </w:pPr>
    </w:lvl>
  </w:abstractNum>
  <w:abstractNum w:abstractNumId="96" w15:restartNumberingAfterBreak="0">
    <w:nsid w:val="49143D4C"/>
    <w:multiLevelType w:val="hybridMultilevel"/>
    <w:tmpl w:val="82903038"/>
    <w:lvl w:ilvl="0" w:tplc="5CD84BA2">
      <w:start w:val="1"/>
      <w:numFmt w:val="bullet"/>
      <w:lvlText w:val="•"/>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D48550E">
      <w:start w:val="1"/>
      <w:numFmt w:val="bullet"/>
      <w:lvlText w:val="o"/>
      <w:lvlJc w:val="left"/>
      <w:pPr>
        <w:ind w:left="14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990C4A4">
      <w:start w:val="1"/>
      <w:numFmt w:val="bullet"/>
      <w:lvlText w:val="▪"/>
      <w:lvlJc w:val="left"/>
      <w:pPr>
        <w:ind w:left="21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2FA5B6E">
      <w:start w:val="1"/>
      <w:numFmt w:val="bullet"/>
      <w:lvlText w:val="•"/>
      <w:lvlJc w:val="left"/>
      <w:pPr>
        <w:ind w:left="28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F44FF64">
      <w:start w:val="1"/>
      <w:numFmt w:val="bullet"/>
      <w:lvlText w:val="o"/>
      <w:lvlJc w:val="left"/>
      <w:pPr>
        <w:ind w:left="36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2EE01B6">
      <w:start w:val="1"/>
      <w:numFmt w:val="bullet"/>
      <w:lvlText w:val="▪"/>
      <w:lvlJc w:val="left"/>
      <w:pPr>
        <w:ind w:left="43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A489AAC">
      <w:start w:val="1"/>
      <w:numFmt w:val="bullet"/>
      <w:lvlText w:val="•"/>
      <w:lvlJc w:val="left"/>
      <w:pPr>
        <w:ind w:left="50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A423078">
      <w:start w:val="1"/>
      <w:numFmt w:val="bullet"/>
      <w:lvlText w:val="o"/>
      <w:lvlJc w:val="left"/>
      <w:pPr>
        <w:ind w:left="57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992489E">
      <w:start w:val="1"/>
      <w:numFmt w:val="bullet"/>
      <w:lvlText w:val="▪"/>
      <w:lvlJc w:val="left"/>
      <w:pPr>
        <w:ind w:left="64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97" w15:restartNumberingAfterBreak="0">
    <w:nsid w:val="4A8938DF"/>
    <w:multiLevelType w:val="hybridMultilevel"/>
    <w:tmpl w:val="54965264"/>
    <w:lvl w:ilvl="0" w:tplc="30E2BA06">
      <w:start w:val="1"/>
      <w:numFmt w:val="lowerLetter"/>
      <w:lvlText w:val="%1."/>
      <w:lvlJc w:val="left"/>
      <w:pPr>
        <w:ind w:left="128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F6BC3B3C">
      <w:start w:val="1"/>
      <w:numFmt w:val="lowerLetter"/>
      <w:lvlText w:val="%2"/>
      <w:lvlJc w:val="left"/>
      <w:pPr>
        <w:ind w:left="200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D076E918">
      <w:start w:val="1"/>
      <w:numFmt w:val="lowerRoman"/>
      <w:lvlText w:val="%3"/>
      <w:lvlJc w:val="left"/>
      <w:pPr>
        <w:ind w:left="272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D3643128">
      <w:start w:val="1"/>
      <w:numFmt w:val="decimal"/>
      <w:lvlText w:val="%4"/>
      <w:lvlJc w:val="left"/>
      <w:pPr>
        <w:ind w:left="344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2AFA3A34">
      <w:start w:val="1"/>
      <w:numFmt w:val="lowerLetter"/>
      <w:lvlText w:val="%5"/>
      <w:lvlJc w:val="left"/>
      <w:pPr>
        <w:ind w:left="416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659EF93E">
      <w:start w:val="1"/>
      <w:numFmt w:val="lowerRoman"/>
      <w:lvlText w:val="%6"/>
      <w:lvlJc w:val="left"/>
      <w:pPr>
        <w:ind w:left="488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49A24FB2">
      <w:start w:val="1"/>
      <w:numFmt w:val="decimal"/>
      <w:lvlText w:val="%7"/>
      <w:lvlJc w:val="left"/>
      <w:pPr>
        <w:ind w:left="560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D7E28ECA">
      <w:start w:val="1"/>
      <w:numFmt w:val="lowerLetter"/>
      <w:lvlText w:val="%8"/>
      <w:lvlJc w:val="left"/>
      <w:pPr>
        <w:ind w:left="632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83BAE578">
      <w:start w:val="1"/>
      <w:numFmt w:val="lowerRoman"/>
      <w:lvlText w:val="%9"/>
      <w:lvlJc w:val="left"/>
      <w:pPr>
        <w:ind w:left="704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98" w15:restartNumberingAfterBreak="0">
    <w:nsid w:val="4AC10E6D"/>
    <w:multiLevelType w:val="hybridMultilevel"/>
    <w:tmpl w:val="23364AC8"/>
    <w:lvl w:ilvl="0" w:tplc="FFFFFFFF">
      <w:start w:val="1"/>
      <w:numFmt w:val="decimal"/>
      <w:lvlText w:val="(%1)"/>
      <w:lvlJc w:val="left"/>
      <w:pPr>
        <w:ind w:left="2432"/>
      </w:pPr>
      <w:rPr>
        <w:rFonts w:ascii="Times New Roman" w:eastAsia="Times New Roman" w:hAnsi="Times New Roman" w:cs="Times New Roman"/>
        <w:b w:val="0"/>
        <w:bCs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27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29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36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44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51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58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65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72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9" w15:restartNumberingAfterBreak="0">
    <w:nsid w:val="4ACB001D"/>
    <w:multiLevelType w:val="hybridMultilevel"/>
    <w:tmpl w:val="0C9051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4C4716B8"/>
    <w:multiLevelType w:val="hybridMultilevel"/>
    <w:tmpl w:val="4372C442"/>
    <w:lvl w:ilvl="0" w:tplc="9DAC6EF4">
      <w:start w:val="1"/>
      <w:numFmt w:val="lowerLetter"/>
      <w:lvlText w:val="%1."/>
      <w:lvlJc w:val="left"/>
      <w:pPr>
        <w:ind w:left="1800" w:hanging="360"/>
      </w:pPr>
      <w:rPr>
        <w:b/>
        <w:bCs w:val="0"/>
        <w:i w:val="0"/>
        <w:strike w:val="0"/>
        <w:dstrike w:val="0"/>
        <w:color w:val="000000"/>
        <w:sz w:val="22"/>
        <w:szCs w:val="22"/>
        <w:u w:val="none" w:color="000000"/>
        <w:bdr w:val="none" w:sz="0" w:space="0" w:color="auto"/>
        <w:shd w:val="clear" w:color="auto" w:fill="auto"/>
        <w:vertAlign w:val="baseline"/>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1" w15:restartNumberingAfterBreak="0">
    <w:nsid w:val="4D016DC0"/>
    <w:multiLevelType w:val="hybridMultilevel"/>
    <w:tmpl w:val="228EE320"/>
    <w:lvl w:ilvl="0" w:tplc="D154074C">
      <w:start w:val="1"/>
      <w:numFmt w:val="decimal"/>
      <w:lvlText w:val="%1."/>
      <w:lvlJc w:val="left"/>
      <w:pPr>
        <w:ind w:left="-7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38DA79DE">
      <w:start w:val="1"/>
      <w:numFmt w:val="lowerLetter"/>
      <w:lvlText w:val="%2."/>
      <w:lvlJc w:val="left"/>
      <w:pPr>
        <w:ind w:left="-67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A6D27134">
      <w:start w:val="1"/>
      <w:numFmt w:val="lowerRoman"/>
      <w:lvlText w:val="%3"/>
      <w:lvlJc w:val="left"/>
      <w:pPr>
        <w:ind w:left="-65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39A608B0">
      <w:start w:val="1"/>
      <w:numFmt w:val="decimal"/>
      <w:lvlText w:val="%4"/>
      <w:lvlJc w:val="left"/>
      <w:pPr>
        <w:ind w:left="-58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9104EDFC">
      <w:start w:val="1"/>
      <w:numFmt w:val="lowerLetter"/>
      <w:lvlText w:val="%5"/>
      <w:lvlJc w:val="left"/>
      <w:pPr>
        <w:ind w:left="-51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720C921C">
      <w:start w:val="1"/>
      <w:numFmt w:val="lowerRoman"/>
      <w:lvlText w:val="%6"/>
      <w:lvlJc w:val="left"/>
      <w:pPr>
        <w:ind w:left="-43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BFEAE714">
      <w:start w:val="1"/>
      <w:numFmt w:val="decimal"/>
      <w:lvlText w:val="%7"/>
      <w:lvlJc w:val="left"/>
      <w:pPr>
        <w:ind w:left="-36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8DAC6E16">
      <w:start w:val="1"/>
      <w:numFmt w:val="lowerLetter"/>
      <w:lvlText w:val="%8"/>
      <w:lvlJc w:val="left"/>
      <w:pPr>
        <w:ind w:left="-29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B6B824C6">
      <w:start w:val="1"/>
      <w:numFmt w:val="lowerRoman"/>
      <w:lvlText w:val="%9"/>
      <w:lvlJc w:val="left"/>
      <w:pPr>
        <w:ind w:left="-22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02" w15:restartNumberingAfterBreak="0">
    <w:nsid w:val="4D614B5D"/>
    <w:multiLevelType w:val="hybridMultilevel"/>
    <w:tmpl w:val="7A6C11D8"/>
    <w:lvl w:ilvl="0" w:tplc="9DAC6EF4">
      <w:start w:val="1"/>
      <w:numFmt w:val="lowerLetter"/>
      <w:lvlText w:val="%1."/>
      <w:lvlJc w:val="left"/>
      <w:pPr>
        <w:ind w:left="1800" w:hanging="360"/>
      </w:pPr>
      <w:rPr>
        <w:b/>
        <w:bCs w:val="0"/>
        <w:i w:val="0"/>
        <w:strike w:val="0"/>
        <w:dstrike w:val="0"/>
        <w:color w:val="000000"/>
        <w:sz w:val="22"/>
        <w:szCs w:val="22"/>
        <w:u w:val="none" w:color="000000"/>
        <w:bdr w:val="none" w:sz="0" w:space="0" w:color="auto"/>
        <w:shd w:val="clear" w:color="auto" w:fill="auto"/>
        <w:vertAlign w:val="baseline"/>
      </w:rPr>
    </w:lvl>
    <w:lvl w:ilvl="1" w:tplc="8D52F7E4">
      <w:start w:val="1"/>
      <w:numFmt w:val="decimal"/>
      <w:lvlText w:val="(%2)"/>
      <w:lvlJc w:val="left"/>
      <w:pPr>
        <w:ind w:left="23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C2E3DD6">
      <w:start w:val="1"/>
      <w:numFmt w:val="lowerRoman"/>
      <w:lvlText w:val="%3"/>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3AC7C16">
      <w:start w:val="1"/>
      <w:numFmt w:val="decimal"/>
      <w:lvlText w:val="%4"/>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6AA6E6A">
      <w:start w:val="1"/>
      <w:numFmt w:val="lowerLetter"/>
      <w:lvlText w:val="%5"/>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79645C6">
      <w:start w:val="1"/>
      <w:numFmt w:val="lowerRoman"/>
      <w:lvlText w:val="%6"/>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0945342">
      <w:start w:val="1"/>
      <w:numFmt w:val="decimal"/>
      <w:lvlText w:val="%7"/>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95E75EE">
      <w:start w:val="1"/>
      <w:numFmt w:val="lowerLetter"/>
      <w:lvlText w:val="%8"/>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EA208A2">
      <w:start w:val="1"/>
      <w:numFmt w:val="lowerRoman"/>
      <w:lvlText w:val="%9"/>
      <w:lvlJc w:val="left"/>
      <w:pPr>
        <w:ind w:left="68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3" w15:restartNumberingAfterBreak="0">
    <w:nsid w:val="4E153A62"/>
    <w:multiLevelType w:val="hybridMultilevel"/>
    <w:tmpl w:val="11DEE3B6"/>
    <w:lvl w:ilvl="0" w:tplc="A36A8C0C">
      <w:start w:val="1"/>
      <w:numFmt w:val="upperLetter"/>
      <w:lvlText w:val="%1."/>
      <w:lvlJc w:val="left"/>
      <w:pPr>
        <w:ind w:left="1070" w:hanging="360"/>
      </w:pPr>
      <w:rPr>
        <w:rFonts w:hint="default"/>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104" w15:restartNumberingAfterBreak="0">
    <w:nsid w:val="4F77561E"/>
    <w:multiLevelType w:val="hybridMultilevel"/>
    <w:tmpl w:val="EECE0546"/>
    <w:lvl w:ilvl="0" w:tplc="995CE3D6">
      <w:start w:val="1"/>
      <w:numFmt w:val="decimal"/>
      <w:lvlText w:val="%1."/>
      <w:lvlJc w:val="left"/>
      <w:pPr>
        <w:ind w:left="16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1152F34C">
      <w:start w:val="1"/>
      <w:numFmt w:val="lowerLetter"/>
      <w:lvlText w:val="%2."/>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6C7C446C">
      <w:start w:val="1"/>
      <w:numFmt w:val="lowerRoman"/>
      <w:lvlText w:val="%3"/>
      <w:lvlJc w:val="left"/>
      <w:pPr>
        <w:ind w:left="19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6C046D1A">
      <w:start w:val="1"/>
      <w:numFmt w:val="decimal"/>
      <w:lvlText w:val="%4"/>
      <w:lvlJc w:val="left"/>
      <w:pPr>
        <w:ind w:left="27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1AF6C16A">
      <w:start w:val="1"/>
      <w:numFmt w:val="lowerLetter"/>
      <w:lvlText w:val="%5"/>
      <w:lvlJc w:val="left"/>
      <w:pPr>
        <w:ind w:left="34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8770669C">
      <w:start w:val="1"/>
      <w:numFmt w:val="lowerRoman"/>
      <w:lvlText w:val="%6"/>
      <w:lvlJc w:val="left"/>
      <w:pPr>
        <w:ind w:left="41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F738EBA2">
      <w:start w:val="1"/>
      <w:numFmt w:val="decimal"/>
      <w:lvlText w:val="%7"/>
      <w:lvlJc w:val="left"/>
      <w:pPr>
        <w:ind w:left="48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36885F0E">
      <w:start w:val="1"/>
      <w:numFmt w:val="lowerLetter"/>
      <w:lvlText w:val="%8"/>
      <w:lvlJc w:val="left"/>
      <w:pPr>
        <w:ind w:left="55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F7AE71BA">
      <w:start w:val="1"/>
      <w:numFmt w:val="lowerRoman"/>
      <w:lvlText w:val="%9"/>
      <w:lvlJc w:val="left"/>
      <w:pPr>
        <w:ind w:left="63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05" w15:restartNumberingAfterBreak="0">
    <w:nsid w:val="50175123"/>
    <w:multiLevelType w:val="hybridMultilevel"/>
    <w:tmpl w:val="4EEC1C36"/>
    <w:lvl w:ilvl="0" w:tplc="FFFFFFFF">
      <w:start w:val="1"/>
      <w:numFmt w:val="lowerLetter"/>
      <w:lvlText w:val="%1."/>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9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27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34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41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48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55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63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70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06" w15:restartNumberingAfterBreak="0">
    <w:nsid w:val="507902FC"/>
    <w:multiLevelType w:val="hybridMultilevel"/>
    <w:tmpl w:val="54965264"/>
    <w:lvl w:ilvl="0" w:tplc="30E2BA06">
      <w:start w:val="1"/>
      <w:numFmt w:val="lowerLetter"/>
      <w:lvlText w:val="%1."/>
      <w:lvlJc w:val="left"/>
      <w:pPr>
        <w:ind w:left="128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F6BC3B3C">
      <w:start w:val="1"/>
      <w:numFmt w:val="lowerLetter"/>
      <w:lvlText w:val="%2"/>
      <w:lvlJc w:val="left"/>
      <w:pPr>
        <w:ind w:left="200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D076E918">
      <w:start w:val="1"/>
      <w:numFmt w:val="lowerRoman"/>
      <w:lvlText w:val="%3"/>
      <w:lvlJc w:val="left"/>
      <w:pPr>
        <w:ind w:left="272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D3643128">
      <w:start w:val="1"/>
      <w:numFmt w:val="decimal"/>
      <w:lvlText w:val="%4"/>
      <w:lvlJc w:val="left"/>
      <w:pPr>
        <w:ind w:left="344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2AFA3A34">
      <w:start w:val="1"/>
      <w:numFmt w:val="lowerLetter"/>
      <w:lvlText w:val="%5"/>
      <w:lvlJc w:val="left"/>
      <w:pPr>
        <w:ind w:left="416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659EF93E">
      <w:start w:val="1"/>
      <w:numFmt w:val="lowerRoman"/>
      <w:lvlText w:val="%6"/>
      <w:lvlJc w:val="left"/>
      <w:pPr>
        <w:ind w:left="488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49A24FB2">
      <w:start w:val="1"/>
      <w:numFmt w:val="decimal"/>
      <w:lvlText w:val="%7"/>
      <w:lvlJc w:val="left"/>
      <w:pPr>
        <w:ind w:left="560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D7E28ECA">
      <w:start w:val="1"/>
      <w:numFmt w:val="lowerLetter"/>
      <w:lvlText w:val="%8"/>
      <w:lvlJc w:val="left"/>
      <w:pPr>
        <w:ind w:left="632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83BAE578">
      <w:start w:val="1"/>
      <w:numFmt w:val="lowerRoman"/>
      <w:lvlText w:val="%9"/>
      <w:lvlJc w:val="left"/>
      <w:pPr>
        <w:ind w:left="704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07" w15:restartNumberingAfterBreak="0">
    <w:nsid w:val="50A1023E"/>
    <w:multiLevelType w:val="hybridMultilevel"/>
    <w:tmpl w:val="8178378C"/>
    <w:lvl w:ilvl="0" w:tplc="5994DB28">
      <w:start w:val="1"/>
      <w:numFmt w:val="decimal"/>
      <w:lvlText w:val="(%1)"/>
      <w:lvlJc w:val="left"/>
      <w:pPr>
        <w:ind w:left="16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0B8B494">
      <w:start w:val="1"/>
      <w:numFmt w:val="lowerLetter"/>
      <w:lvlText w:val="%2"/>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24821AA">
      <w:start w:val="1"/>
      <w:numFmt w:val="lowerRoman"/>
      <w:lvlText w:val="%3"/>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E8EFA28">
      <w:start w:val="1"/>
      <w:numFmt w:val="decimal"/>
      <w:lvlText w:val="%4"/>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55CD720">
      <w:start w:val="1"/>
      <w:numFmt w:val="lowerLetter"/>
      <w:lvlText w:val="%5"/>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3A220E2">
      <w:start w:val="1"/>
      <w:numFmt w:val="lowerRoman"/>
      <w:lvlText w:val="%6"/>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1A28AB2">
      <w:start w:val="1"/>
      <w:numFmt w:val="decimal"/>
      <w:lvlText w:val="%7"/>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53EF06E">
      <w:start w:val="1"/>
      <w:numFmt w:val="lowerLetter"/>
      <w:lvlText w:val="%8"/>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5BE222A">
      <w:start w:val="1"/>
      <w:numFmt w:val="lowerRoman"/>
      <w:lvlText w:val="%9"/>
      <w:lvlJc w:val="left"/>
      <w:pPr>
        <w:ind w:left="68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8" w15:restartNumberingAfterBreak="0">
    <w:nsid w:val="51630DC7"/>
    <w:multiLevelType w:val="hybridMultilevel"/>
    <w:tmpl w:val="A9AA8D54"/>
    <w:lvl w:ilvl="0" w:tplc="FFFFFFFF">
      <w:start w:val="1"/>
      <w:numFmt w:val="lowerLetter"/>
      <w:lvlText w:val="%1."/>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9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27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34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41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48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55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63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70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09" w15:restartNumberingAfterBreak="0">
    <w:nsid w:val="51700F39"/>
    <w:multiLevelType w:val="hybridMultilevel"/>
    <w:tmpl w:val="6F0ECEDC"/>
    <w:lvl w:ilvl="0" w:tplc="72B4E6BA">
      <w:start w:val="1"/>
      <w:numFmt w:val="bullet"/>
      <w:lvlText w:val=""/>
      <w:lvlJc w:val="left"/>
      <w:pPr>
        <w:ind w:left="216"/>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1" w:tplc="EC868612">
      <w:start w:val="1"/>
      <w:numFmt w:val="bullet"/>
      <w:lvlText w:val="o"/>
      <w:lvlJc w:val="left"/>
      <w:pPr>
        <w:ind w:left="1116"/>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2" w:tplc="D756824A">
      <w:start w:val="1"/>
      <w:numFmt w:val="bullet"/>
      <w:lvlText w:val="▪"/>
      <w:lvlJc w:val="left"/>
      <w:pPr>
        <w:ind w:left="1836"/>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3" w:tplc="CB6C9314">
      <w:start w:val="1"/>
      <w:numFmt w:val="bullet"/>
      <w:lvlText w:val="•"/>
      <w:lvlJc w:val="left"/>
      <w:pPr>
        <w:ind w:left="2556"/>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4" w:tplc="E19CAF90">
      <w:start w:val="1"/>
      <w:numFmt w:val="bullet"/>
      <w:lvlText w:val="o"/>
      <w:lvlJc w:val="left"/>
      <w:pPr>
        <w:ind w:left="3276"/>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5" w:tplc="C1405F30">
      <w:start w:val="1"/>
      <w:numFmt w:val="bullet"/>
      <w:lvlText w:val="▪"/>
      <w:lvlJc w:val="left"/>
      <w:pPr>
        <w:ind w:left="3996"/>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6" w:tplc="102A5B72">
      <w:start w:val="1"/>
      <w:numFmt w:val="bullet"/>
      <w:lvlText w:val="•"/>
      <w:lvlJc w:val="left"/>
      <w:pPr>
        <w:ind w:left="4716"/>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7" w:tplc="937807AE">
      <w:start w:val="1"/>
      <w:numFmt w:val="bullet"/>
      <w:lvlText w:val="o"/>
      <w:lvlJc w:val="left"/>
      <w:pPr>
        <w:ind w:left="5436"/>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8" w:tplc="DCC61F32">
      <w:start w:val="1"/>
      <w:numFmt w:val="bullet"/>
      <w:lvlText w:val="▪"/>
      <w:lvlJc w:val="left"/>
      <w:pPr>
        <w:ind w:left="6156"/>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abstractNum>
  <w:abstractNum w:abstractNumId="110" w15:restartNumberingAfterBreak="0">
    <w:nsid w:val="51C54183"/>
    <w:multiLevelType w:val="hybridMultilevel"/>
    <w:tmpl w:val="4D5E8BE4"/>
    <w:lvl w:ilvl="0" w:tplc="2B5E056C">
      <w:start w:val="1"/>
      <w:numFmt w:val="lowerLetter"/>
      <w:lvlText w:val="%1."/>
      <w:lvlJc w:val="left"/>
      <w:pPr>
        <w:ind w:left="118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74BA7334">
      <w:start w:val="1"/>
      <w:numFmt w:val="lowerLetter"/>
      <w:lvlText w:val="%2"/>
      <w:lvlJc w:val="left"/>
      <w:pPr>
        <w:ind w:left="164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296C7CB2">
      <w:start w:val="1"/>
      <w:numFmt w:val="lowerRoman"/>
      <w:lvlText w:val="%3"/>
      <w:lvlJc w:val="left"/>
      <w:pPr>
        <w:ind w:left="236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25CC7B1C">
      <w:start w:val="1"/>
      <w:numFmt w:val="decimal"/>
      <w:lvlText w:val="%4"/>
      <w:lvlJc w:val="left"/>
      <w:pPr>
        <w:ind w:left="308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6B3A0F56">
      <w:start w:val="1"/>
      <w:numFmt w:val="lowerLetter"/>
      <w:lvlText w:val="%5"/>
      <w:lvlJc w:val="left"/>
      <w:pPr>
        <w:ind w:left="380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DC9AB1A6">
      <w:start w:val="1"/>
      <w:numFmt w:val="lowerRoman"/>
      <w:lvlText w:val="%6"/>
      <w:lvlJc w:val="left"/>
      <w:pPr>
        <w:ind w:left="452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B48613C6">
      <w:start w:val="1"/>
      <w:numFmt w:val="decimal"/>
      <w:lvlText w:val="%7"/>
      <w:lvlJc w:val="left"/>
      <w:pPr>
        <w:ind w:left="524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E276833E">
      <w:start w:val="1"/>
      <w:numFmt w:val="lowerLetter"/>
      <w:lvlText w:val="%8"/>
      <w:lvlJc w:val="left"/>
      <w:pPr>
        <w:ind w:left="596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793EBFAA">
      <w:start w:val="1"/>
      <w:numFmt w:val="lowerRoman"/>
      <w:lvlText w:val="%9"/>
      <w:lvlJc w:val="left"/>
      <w:pPr>
        <w:ind w:left="668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11" w15:restartNumberingAfterBreak="0">
    <w:nsid w:val="529A1820"/>
    <w:multiLevelType w:val="hybridMultilevel"/>
    <w:tmpl w:val="4D5E8BE4"/>
    <w:lvl w:ilvl="0" w:tplc="2B5E056C">
      <w:start w:val="1"/>
      <w:numFmt w:val="lowerLetter"/>
      <w:lvlText w:val="%1."/>
      <w:lvlJc w:val="left"/>
      <w:pPr>
        <w:ind w:left="118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74BA7334">
      <w:start w:val="1"/>
      <w:numFmt w:val="lowerLetter"/>
      <w:lvlText w:val="%2"/>
      <w:lvlJc w:val="left"/>
      <w:pPr>
        <w:ind w:left="164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296C7CB2">
      <w:start w:val="1"/>
      <w:numFmt w:val="lowerRoman"/>
      <w:lvlText w:val="%3"/>
      <w:lvlJc w:val="left"/>
      <w:pPr>
        <w:ind w:left="236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25CC7B1C">
      <w:start w:val="1"/>
      <w:numFmt w:val="decimal"/>
      <w:lvlText w:val="%4"/>
      <w:lvlJc w:val="left"/>
      <w:pPr>
        <w:ind w:left="308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6B3A0F56">
      <w:start w:val="1"/>
      <w:numFmt w:val="lowerLetter"/>
      <w:lvlText w:val="%5"/>
      <w:lvlJc w:val="left"/>
      <w:pPr>
        <w:ind w:left="380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DC9AB1A6">
      <w:start w:val="1"/>
      <w:numFmt w:val="lowerRoman"/>
      <w:lvlText w:val="%6"/>
      <w:lvlJc w:val="left"/>
      <w:pPr>
        <w:ind w:left="452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B48613C6">
      <w:start w:val="1"/>
      <w:numFmt w:val="decimal"/>
      <w:lvlText w:val="%7"/>
      <w:lvlJc w:val="left"/>
      <w:pPr>
        <w:ind w:left="524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E276833E">
      <w:start w:val="1"/>
      <w:numFmt w:val="lowerLetter"/>
      <w:lvlText w:val="%8"/>
      <w:lvlJc w:val="left"/>
      <w:pPr>
        <w:ind w:left="596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793EBFAA">
      <w:start w:val="1"/>
      <w:numFmt w:val="lowerRoman"/>
      <w:lvlText w:val="%9"/>
      <w:lvlJc w:val="left"/>
      <w:pPr>
        <w:ind w:left="668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12" w15:restartNumberingAfterBreak="0">
    <w:nsid w:val="53052F3E"/>
    <w:multiLevelType w:val="hybridMultilevel"/>
    <w:tmpl w:val="57108EB0"/>
    <w:lvl w:ilvl="0" w:tplc="9DAC6EF4">
      <w:start w:val="1"/>
      <w:numFmt w:val="lowerLetter"/>
      <w:lvlText w:val="%1."/>
      <w:lvlJc w:val="left"/>
      <w:pPr>
        <w:ind w:left="2160" w:hanging="360"/>
      </w:pPr>
      <w:rPr>
        <w:b/>
        <w:bCs w:val="0"/>
        <w:i w:val="0"/>
        <w:strike w:val="0"/>
        <w:dstrike w:val="0"/>
        <w:color w:val="000000"/>
        <w:sz w:val="22"/>
        <w:szCs w:val="22"/>
        <w:u w:val="none" w:color="000000"/>
        <w:bdr w:val="none" w:sz="0" w:space="0" w:color="auto"/>
        <w:shd w:val="clear" w:color="auto" w:fill="auto"/>
        <w:vertAlign w:val="baseline"/>
      </w:rPr>
    </w:lvl>
    <w:lvl w:ilvl="1" w:tplc="04090019">
      <w:start w:val="1"/>
      <w:numFmt w:val="lowerLetter"/>
      <w:lvlText w:val="%2."/>
      <w:lvlJc w:val="left"/>
      <w:pPr>
        <w:ind w:left="1980" w:hanging="360"/>
      </w:pPr>
    </w:lvl>
    <w:lvl w:ilvl="2" w:tplc="5CC8DABA">
      <w:start w:val="1"/>
      <w:numFmt w:val="decimal"/>
      <w:lvlText w:val="(%3)"/>
      <w:lvlJc w:val="left"/>
      <w:pPr>
        <w:ind w:left="3960" w:hanging="540"/>
      </w:pPr>
      <w:rPr>
        <w:rFonts w:hint="default"/>
      </w:r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3" w15:restartNumberingAfterBreak="0">
    <w:nsid w:val="54E23A73"/>
    <w:multiLevelType w:val="hybridMultilevel"/>
    <w:tmpl w:val="54965264"/>
    <w:lvl w:ilvl="0" w:tplc="30E2BA06">
      <w:start w:val="1"/>
      <w:numFmt w:val="lowerLetter"/>
      <w:lvlText w:val="%1."/>
      <w:lvlJc w:val="left"/>
      <w:pPr>
        <w:ind w:left="128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F6BC3B3C">
      <w:start w:val="1"/>
      <w:numFmt w:val="lowerLetter"/>
      <w:lvlText w:val="%2"/>
      <w:lvlJc w:val="left"/>
      <w:pPr>
        <w:ind w:left="200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D076E918">
      <w:start w:val="1"/>
      <w:numFmt w:val="lowerRoman"/>
      <w:lvlText w:val="%3"/>
      <w:lvlJc w:val="left"/>
      <w:pPr>
        <w:ind w:left="272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D3643128">
      <w:start w:val="1"/>
      <w:numFmt w:val="decimal"/>
      <w:lvlText w:val="%4"/>
      <w:lvlJc w:val="left"/>
      <w:pPr>
        <w:ind w:left="344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2AFA3A34">
      <w:start w:val="1"/>
      <w:numFmt w:val="lowerLetter"/>
      <w:lvlText w:val="%5"/>
      <w:lvlJc w:val="left"/>
      <w:pPr>
        <w:ind w:left="416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659EF93E">
      <w:start w:val="1"/>
      <w:numFmt w:val="lowerRoman"/>
      <w:lvlText w:val="%6"/>
      <w:lvlJc w:val="left"/>
      <w:pPr>
        <w:ind w:left="488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49A24FB2">
      <w:start w:val="1"/>
      <w:numFmt w:val="decimal"/>
      <w:lvlText w:val="%7"/>
      <w:lvlJc w:val="left"/>
      <w:pPr>
        <w:ind w:left="560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D7E28ECA">
      <w:start w:val="1"/>
      <w:numFmt w:val="lowerLetter"/>
      <w:lvlText w:val="%8"/>
      <w:lvlJc w:val="left"/>
      <w:pPr>
        <w:ind w:left="632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83BAE578">
      <w:start w:val="1"/>
      <w:numFmt w:val="lowerRoman"/>
      <w:lvlText w:val="%9"/>
      <w:lvlJc w:val="left"/>
      <w:pPr>
        <w:ind w:left="704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14" w15:restartNumberingAfterBreak="0">
    <w:nsid w:val="557B1AFA"/>
    <w:multiLevelType w:val="hybridMultilevel"/>
    <w:tmpl w:val="21F4F23A"/>
    <w:lvl w:ilvl="0" w:tplc="4C22149E">
      <w:start w:val="1"/>
      <w:numFmt w:val="lowerLetter"/>
      <w:lvlText w:val="(%1)"/>
      <w:lvlJc w:val="left"/>
      <w:pPr>
        <w:ind w:left="207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5F107860">
      <w:start w:val="1"/>
      <w:numFmt w:val="lowerLetter"/>
      <w:lvlText w:val="%2"/>
      <w:lvlJc w:val="left"/>
      <w:pPr>
        <w:ind w:left="225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79985A6A">
      <w:start w:val="1"/>
      <w:numFmt w:val="lowerRoman"/>
      <w:lvlText w:val="%3"/>
      <w:lvlJc w:val="left"/>
      <w:pPr>
        <w:ind w:left="297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F27AB94E">
      <w:start w:val="1"/>
      <w:numFmt w:val="decimal"/>
      <w:lvlText w:val="%4"/>
      <w:lvlJc w:val="left"/>
      <w:pPr>
        <w:ind w:left="369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74C04FC2">
      <w:start w:val="1"/>
      <w:numFmt w:val="lowerLetter"/>
      <w:lvlText w:val="%5"/>
      <w:lvlJc w:val="left"/>
      <w:pPr>
        <w:ind w:left="441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31CA9284">
      <w:start w:val="1"/>
      <w:numFmt w:val="lowerRoman"/>
      <w:lvlText w:val="%6"/>
      <w:lvlJc w:val="left"/>
      <w:pPr>
        <w:ind w:left="513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42D09F82">
      <w:start w:val="1"/>
      <w:numFmt w:val="decimal"/>
      <w:lvlText w:val="%7"/>
      <w:lvlJc w:val="left"/>
      <w:pPr>
        <w:ind w:left="585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CAB2919A">
      <w:start w:val="1"/>
      <w:numFmt w:val="lowerLetter"/>
      <w:lvlText w:val="%8"/>
      <w:lvlJc w:val="left"/>
      <w:pPr>
        <w:ind w:left="657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443C01CA">
      <w:start w:val="1"/>
      <w:numFmt w:val="lowerRoman"/>
      <w:lvlText w:val="%9"/>
      <w:lvlJc w:val="left"/>
      <w:pPr>
        <w:ind w:left="729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15" w15:restartNumberingAfterBreak="0">
    <w:nsid w:val="557E778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6" w15:restartNumberingAfterBreak="0">
    <w:nsid w:val="55904719"/>
    <w:multiLevelType w:val="hybridMultilevel"/>
    <w:tmpl w:val="A9AA8D54"/>
    <w:lvl w:ilvl="0" w:tplc="5DC273F2">
      <w:start w:val="1"/>
      <w:numFmt w:val="lowerLetter"/>
      <w:lvlText w:val="%1."/>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81E6F5C2">
      <w:start w:val="1"/>
      <w:numFmt w:val="lowerLetter"/>
      <w:lvlText w:val="%2"/>
      <w:lvlJc w:val="left"/>
      <w:pPr>
        <w:ind w:left="19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CB062A62">
      <w:start w:val="1"/>
      <w:numFmt w:val="lowerRoman"/>
      <w:lvlText w:val="%3"/>
      <w:lvlJc w:val="left"/>
      <w:pPr>
        <w:ind w:left="27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49A819BA">
      <w:start w:val="1"/>
      <w:numFmt w:val="decimal"/>
      <w:lvlText w:val="%4"/>
      <w:lvlJc w:val="left"/>
      <w:pPr>
        <w:ind w:left="34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4CEEA0EA">
      <w:start w:val="1"/>
      <w:numFmt w:val="lowerLetter"/>
      <w:lvlText w:val="%5"/>
      <w:lvlJc w:val="left"/>
      <w:pPr>
        <w:ind w:left="41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C1AC8E24">
      <w:start w:val="1"/>
      <w:numFmt w:val="lowerRoman"/>
      <w:lvlText w:val="%6"/>
      <w:lvlJc w:val="left"/>
      <w:pPr>
        <w:ind w:left="48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748C8C70">
      <w:start w:val="1"/>
      <w:numFmt w:val="decimal"/>
      <w:lvlText w:val="%7"/>
      <w:lvlJc w:val="left"/>
      <w:pPr>
        <w:ind w:left="55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4C7E14B6">
      <w:start w:val="1"/>
      <w:numFmt w:val="lowerLetter"/>
      <w:lvlText w:val="%8"/>
      <w:lvlJc w:val="left"/>
      <w:pPr>
        <w:ind w:left="63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E0B64926">
      <w:start w:val="1"/>
      <w:numFmt w:val="lowerRoman"/>
      <w:lvlText w:val="%9"/>
      <w:lvlJc w:val="left"/>
      <w:pPr>
        <w:ind w:left="70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17" w15:restartNumberingAfterBreak="0">
    <w:nsid w:val="56542418"/>
    <w:multiLevelType w:val="hybridMultilevel"/>
    <w:tmpl w:val="1AD83B90"/>
    <w:lvl w:ilvl="0" w:tplc="584CD434">
      <w:start w:val="1"/>
      <w:numFmt w:val="decimal"/>
      <w:lvlText w:val="(%1)"/>
      <w:lvlJc w:val="left"/>
      <w:pPr>
        <w:ind w:left="1803"/>
      </w:pPr>
      <w:rPr>
        <w:rFonts w:ascii="Times New Roman" w:eastAsia="Times New Roman" w:hAnsi="Times New Roman" w:cs="Times New Roman"/>
        <w:b w:val="0"/>
        <w:bCs w:val="0"/>
        <w:i w:val="0"/>
        <w:strike w:val="0"/>
        <w:dstrike w:val="0"/>
        <w:color w:val="000000"/>
        <w:sz w:val="22"/>
        <w:szCs w:val="22"/>
        <w:u w:val="none" w:color="000000"/>
        <w:bdr w:val="none" w:sz="0" w:space="0" w:color="auto"/>
        <w:shd w:val="clear" w:color="auto" w:fill="auto"/>
        <w:vertAlign w:val="baseline"/>
      </w:rPr>
    </w:lvl>
    <w:lvl w:ilvl="1" w:tplc="1332E9BC">
      <w:start w:val="1"/>
      <w:numFmt w:val="lowerLetter"/>
      <w:lvlText w:val="%2"/>
      <w:lvlJc w:val="left"/>
      <w:pPr>
        <w:ind w:left="207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87761CDA">
      <w:start w:val="1"/>
      <w:numFmt w:val="lowerRoman"/>
      <w:lvlText w:val="%3"/>
      <w:lvlJc w:val="left"/>
      <w:pPr>
        <w:ind w:left="279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30D0F5C6">
      <w:start w:val="1"/>
      <w:numFmt w:val="decimal"/>
      <w:lvlText w:val="%4"/>
      <w:lvlJc w:val="left"/>
      <w:pPr>
        <w:ind w:left="351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5A0018E8">
      <w:start w:val="1"/>
      <w:numFmt w:val="lowerLetter"/>
      <w:lvlText w:val="%5"/>
      <w:lvlJc w:val="left"/>
      <w:pPr>
        <w:ind w:left="423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F9F8585A">
      <w:start w:val="1"/>
      <w:numFmt w:val="lowerRoman"/>
      <w:lvlText w:val="%6"/>
      <w:lvlJc w:val="left"/>
      <w:pPr>
        <w:ind w:left="495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F6EA2308">
      <w:start w:val="1"/>
      <w:numFmt w:val="decimal"/>
      <w:lvlText w:val="%7"/>
      <w:lvlJc w:val="left"/>
      <w:pPr>
        <w:ind w:left="567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52783602">
      <w:start w:val="1"/>
      <w:numFmt w:val="lowerLetter"/>
      <w:lvlText w:val="%8"/>
      <w:lvlJc w:val="left"/>
      <w:pPr>
        <w:ind w:left="639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75022B58">
      <w:start w:val="1"/>
      <w:numFmt w:val="lowerRoman"/>
      <w:lvlText w:val="%9"/>
      <w:lvlJc w:val="left"/>
      <w:pPr>
        <w:ind w:left="711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18" w15:restartNumberingAfterBreak="0">
    <w:nsid w:val="567D417A"/>
    <w:multiLevelType w:val="hybridMultilevel"/>
    <w:tmpl w:val="42286072"/>
    <w:lvl w:ilvl="0" w:tplc="F758A0DA">
      <w:start w:val="1"/>
      <w:numFmt w:val="decimal"/>
      <w:lvlText w:val="(%1)"/>
      <w:lvlJc w:val="left"/>
      <w:pPr>
        <w:ind w:left="1892" w:hanging="540"/>
      </w:pPr>
      <w:rPr>
        <w:rFonts w:hint="default"/>
      </w:rPr>
    </w:lvl>
    <w:lvl w:ilvl="1" w:tplc="04090019" w:tentative="1">
      <w:start w:val="1"/>
      <w:numFmt w:val="lowerLetter"/>
      <w:lvlText w:val="%2."/>
      <w:lvlJc w:val="left"/>
      <w:pPr>
        <w:ind w:left="2432" w:hanging="360"/>
      </w:pPr>
    </w:lvl>
    <w:lvl w:ilvl="2" w:tplc="0409001B" w:tentative="1">
      <w:start w:val="1"/>
      <w:numFmt w:val="lowerRoman"/>
      <w:lvlText w:val="%3."/>
      <w:lvlJc w:val="right"/>
      <w:pPr>
        <w:ind w:left="3152" w:hanging="180"/>
      </w:pPr>
    </w:lvl>
    <w:lvl w:ilvl="3" w:tplc="0409000F" w:tentative="1">
      <w:start w:val="1"/>
      <w:numFmt w:val="decimal"/>
      <w:lvlText w:val="%4."/>
      <w:lvlJc w:val="left"/>
      <w:pPr>
        <w:ind w:left="3872" w:hanging="360"/>
      </w:pPr>
    </w:lvl>
    <w:lvl w:ilvl="4" w:tplc="04090019" w:tentative="1">
      <w:start w:val="1"/>
      <w:numFmt w:val="lowerLetter"/>
      <w:lvlText w:val="%5."/>
      <w:lvlJc w:val="left"/>
      <w:pPr>
        <w:ind w:left="4592" w:hanging="360"/>
      </w:pPr>
    </w:lvl>
    <w:lvl w:ilvl="5" w:tplc="0409001B" w:tentative="1">
      <w:start w:val="1"/>
      <w:numFmt w:val="lowerRoman"/>
      <w:lvlText w:val="%6."/>
      <w:lvlJc w:val="right"/>
      <w:pPr>
        <w:ind w:left="5312" w:hanging="180"/>
      </w:pPr>
    </w:lvl>
    <w:lvl w:ilvl="6" w:tplc="0409000F" w:tentative="1">
      <w:start w:val="1"/>
      <w:numFmt w:val="decimal"/>
      <w:lvlText w:val="%7."/>
      <w:lvlJc w:val="left"/>
      <w:pPr>
        <w:ind w:left="6032" w:hanging="360"/>
      </w:pPr>
    </w:lvl>
    <w:lvl w:ilvl="7" w:tplc="04090019" w:tentative="1">
      <w:start w:val="1"/>
      <w:numFmt w:val="lowerLetter"/>
      <w:lvlText w:val="%8."/>
      <w:lvlJc w:val="left"/>
      <w:pPr>
        <w:ind w:left="6752" w:hanging="360"/>
      </w:pPr>
    </w:lvl>
    <w:lvl w:ilvl="8" w:tplc="0409001B" w:tentative="1">
      <w:start w:val="1"/>
      <w:numFmt w:val="lowerRoman"/>
      <w:lvlText w:val="%9."/>
      <w:lvlJc w:val="right"/>
      <w:pPr>
        <w:ind w:left="7472" w:hanging="180"/>
      </w:pPr>
    </w:lvl>
  </w:abstractNum>
  <w:abstractNum w:abstractNumId="119" w15:restartNumberingAfterBreak="0">
    <w:nsid w:val="57245AB9"/>
    <w:multiLevelType w:val="hybridMultilevel"/>
    <w:tmpl w:val="4F0C0E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0" w15:restartNumberingAfterBreak="0">
    <w:nsid w:val="59D20D1E"/>
    <w:multiLevelType w:val="hybridMultilevel"/>
    <w:tmpl w:val="4EEC1C36"/>
    <w:lvl w:ilvl="0" w:tplc="B06EF1C8">
      <w:start w:val="1"/>
      <w:numFmt w:val="lowerLetter"/>
      <w:lvlText w:val="%1."/>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81E6F5C2">
      <w:start w:val="1"/>
      <w:numFmt w:val="lowerLetter"/>
      <w:lvlText w:val="%2"/>
      <w:lvlJc w:val="left"/>
      <w:pPr>
        <w:ind w:left="19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CB062A62">
      <w:start w:val="1"/>
      <w:numFmt w:val="lowerRoman"/>
      <w:lvlText w:val="%3"/>
      <w:lvlJc w:val="left"/>
      <w:pPr>
        <w:ind w:left="27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49A819BA">
      <w:start w:val="1"/>
      <w:numFmt w:val="decimal"/>
      <w:lvlText w:val="%4"/>
      <w:lvlJc w:val="left"/>
      <w:pPr>
        <w:ind w:left="34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4CEEA0EA">
      <w:start w:val="1"/>
      <w:numFmt w:val="lowerLetter"/>
      <w:lvlText w:val="%5"/>
      <w:lvlJc w:val="left"/>
      <w:pPr>
        <w:ind w:left="41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C1AC8E24">
      <w:start w:val="1"/>
      <w:numFmt w:val="lowerRoman"/>
      <w:lvlText w:val="%6"/>
      <w:lvlJc w:val="left"/>
      <w:pPr>
        <w:ind w:left="48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748C8C70">
      <w:start w:val="1"/>
      <w:numFmt w:val="decimal"/>
      <w:lvlText w:val="%7"/>
      <w:lvlJc w:val="left"/>
      <w:pPr>
        <w:ind w:left="55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4C7E14B6">
      <w:start w:val="1"/>
      <w:numFmt w:val="lowerLetter"/>
      <w:lvlText w:val="%8"/>
      <w:lvlJc w:val="left"/>
      <w:pPr>
        <w:ind w:left="63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E0B64926">
      <w:start w:val="1"/>
      <w:numFmt w:val="lowerRoman"/>
      <w:lvlText w:val="%9"/>
      <w:lvlJc w:val="left"/>
      <w:pPr>
        <w:ind w:left="70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21" w15:restartNumberingAfterBreak="0">
    <w:nsid w:val="5A0C3783"/>
    <w:multiLevelType w:val="hybridMultilevel"/>
    <w:tmpl w:val="FB6ADD64"/>
    <w:lvl w:ilvl="0" w:tplc="FFFFFFFF">
      <w:start w:val="1"/>
      <w:numFmt w:val="decimal"/>
      <w:lvlText w:val="%1."/>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2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9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7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4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41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8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5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3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22" w15:restartNumberingAfterBreak="0">
    <w:nsid w:val="5A472457"/>
    <w:multiLevelType w:val="hybridMultilevel"/>
    <w:tmpl w:val="A6FC898E"/>
    <w:lvl w:ilvl="0" w:tplc="AF6A2BC2">
      <w:start w:val="2"/>
      <w:numFmt w:val="decimal"/>
      <w:lvlText w:val="%1."/>
      <w:lvlJc w:val="left"/>
      <w:pPr>
        <w:ind w:left="14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1B9C9ACC">
      <w:start w:val="1"/>
      <w:numFmt w:val="lowerLetter"/>
      <w:lvlText w:val="%2."/>
      <w:lvlJc w:val="left"/>
      <w:pPr>
        <w:ind w:left="19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ED50C970">
      <w:start w:val="1"/>
      <w:numFmt w:val="lowerRoman"/>
      <w:lvlText w:val="%3"/>
      <w:lvlJc w:val="left"/>
      <w:pPr>
        <w:ind w:left="19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5EA6618E">
      <w:start w:val="1"/>
      <w:numFmt w:val="decimal"/>
      <w:lvlText w:val="%4"/>
      <w:lvlJc w:val="left"/>
      <w:pPr>
        <w:ind w:left="27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16DEB69C">
      <w:start w:val="1"/>
      <w:numFmt w:val="lowerLetter"/>
      <w:lvlText w:val="%5"/>
      <w:lvlJc w:val="left"/>
      <w:pPr>
        <w:ind w:left="34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3762FCFE">
      <w:start w:val="1"/>
      <w:numFmt w:val="lowerRoman"/>
      <w:lvlText w:val="%6"/>
      <w:lvlJc w:val="left"/>
      <w:pPr>
        <w:ind w:left="41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21E83A1A">
      <w:start w:val="1"/>
      <w:numFmt w:val="decimal"/>
      <w:lvlText w:val="%7"/>
      <w:lvlJc w:val="left"/>
      <w:pPr>
        <w:ind w:left="48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525C2C14">
      <w:start w:val="1"/>
      <w:numFmt w:val="lowerLetter"/>
      <w:lvlText w:val="%8"/>
      <w:lvlJc w:val="left"/>
      <w:pPr>
        <w:ind w:left="55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61C2ECA0">
      <w:start w:val="1"/>
      <w:numFmt w:val="lowerRoman"/>
      <w:lvlText w:val="%9"/>
      <w:lvlJc w:val="left"/>
      <w:pPr>
        <w:ind w:left="63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23" w15:restartNumberingAfterBreak="0">
    <w:nsid w:val="5AC16712"/>
    <w:multiLevelType w:val="hybridMultilevel"/>
    <w:tmpl w:val="F938980A"/>
    <w:lvl w:ilvl="0" w:tplc="3D08B0D6">
      <w:start w:val="1"/>
      <w:numFmt w:val="lowerLetter"/>
      <w:lvlText w:val="%1."/>
      <w:lvlJc w:val="left"/>
      <w:pPr>
        <w:ind w:left="117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89B08A8A">
      <w:start w:val="1"/>
      <w:numFmt w:val="lowerLetter"/>
      <w:lvlText w:val="%2"/>
      <w:lvlJc w:val="left"/>
      <w:pPr>
        <w:ind w:left="14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411AE77E">
      <w:start w:val="1"/>
      <w:numFmt w:val="lowerRoman"/>
      <w:lvlText w:val="%3"/>
      <w:lvlJc w:val="left"/>
      <w:pPr>
        <w:ind w:left="21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83E8F75C">
      <w:start w:val="1"/>
      <w:numFmt w:val="decimal"/>
      <w:lvlText w:val="%4"/>
      <w:lvlJc w:val="left"/>
      <w:pPr>
        <w:ind w:left="28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0994B5B8">
      <w:start w:val="1"/>
      <w:numFmt w:val="lowerLetter"/>
      <w:lvlText w:val="%5"/>
      <w:lvlJc w:val="left"/>
      <w:pPr>
        <w:ind w:left="36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F1AAB142">
      <w:start w:val="1"/>
      <w:numFmt w:val="lowerRoman"/>
      <w:lvlText w:val="%6"/>
      <w:lvlJc w:val="left"/>
      <w:pPr>
        <w:ind w:left="43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A4E09E1E">
      <w:start w:val="1"/>
      <w:numFmt w:val="decimal"/>
      <w:lvlText w:val="%7"/>
      <w:lvlJc w:val="left"/>
      <w:pPr>
        <w:ind w:left="50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7A2EC1B4">
      <w:start w:val="1"/>
      <w:numFmt w:val="lowerLetter"/>
      <w:lvlText w:val="%8"/>
      <w:lvlJc w:val="left"/>
      <w:pPr>
        <w:ind w:left="57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B80EA5FE">
      <w:start w:val="1"/>
      <w:numFmt w:val="lowerRoman"/>
      <w:lvlText w:val="%9"/>
      <w:lvlJc w:val="left"/>
      <w:pPr>
        <w:ind w:left="64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24" w15:restartNumberingAfterBreak="0">
    <w:nsid w:val="5B7B353F"/>
    <w:multiLevelType w:val="hybridMultilevel"/>
    <w:tmpl w:val="9A926110"/>
    <w:lvl w:ilvl="0" w:tplc="B568ED58">
      <w:start w:val="1"/>
      <w:numFmt w:val="decimal"/>
      <w:lvlText w:val="(%1)"/>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4090019" w:tentative="1">
      <w:start w:val="1"/>
      <w:numFmt w:val="lowerLetter"/>
      <w:lvlText w:val="%2."/>
      <w:lvlJc w:val="left"/>
      <w:pPr>
        <w:ind w:left="897" w:hanging="360"/>
      </w:pPr>
    </w:lvl>
    <w:lvl w:ilvl="2" w:tplc="0409001B" w:tentative="1">
      <w:start w:val="1"/>
      <w:numFmt w:val="lowerRoman"/>
      <w:lvlText w:val="%3."/>
      <w:lvlJc w:val="right"/>
      <w:pPr>
        <w:ind w:left="1617" w:hanging="180"/>
      </w:pPr>
    </w:lvl>
    <w:lvl w:ilvl="3" w:tplc="0409000F" w:tentative="1">
      <w:start w:val="1"/>
      <w:numFmt w:val="decimal"/>
      <w:lvlText w:val="%4."/>
      <w:lvlJc w:val="left"/>
      <w:pPr>
        <w:ind w:left="2337" w:hanging="360"/>
      </w:pPr>
    </w:lvl>
    <w:lvl w:ilvl="4" w:tplc="04090019" w:tentative="1">
      <w:start w:val="1"/>
      <w:numFmt w:val="lowerLetter"/>
      <w:lvlText w:val="%5."/>
      <w:lvlJc w:val="left"/>
      <w:pPr>
        <w:ind w:left="3057" w:hanging="360"/>
      </w:pPr>
    </w:lvl>
    <w:lvl w:ilvl="5" w:tplc="0409001B" w:tentative="1">
      <w:start w:val="1"/>
      <w:numFmt w:val="lowerRoman"/>
      <w:lvlText w:val="%6."/>
      <w:lvlJc w:val="right"/>
      <w:pPr>
        <w:ind w:left="3777" w:hanging="180"/>
      </w:pPr>
    </w:lvl>
    <w:lvl w:ilvl="6" w:tplc="0409000F" w:tentative="1">
      <w:start w:val="1"/>
      <w:numFmt w:val="decimal"/>
      <w:lvlText w:val="%7."/>
      <w:lvlJc w:val="left"/>
      <w:pPr>
        <w:ind w:left="4497" w:hanging="360"/>
      </w:pPr>
    </w:lvl>
    <w:lvl w:ilvl="7" w:tplc="04090019" w:tentative="1">
      <w:start w:val="1"/>
      <w:numFmt w:val="lowerLetter"/>
      <w:lvlText w:val="%8."/>
      <w:lvlJc w:val="left"/>
      <w:pPr>
        <w:ind w:left="5217" w:hanging="360"/>
      </w:pPr>
    </w:lvl>
    <w:lvl w:ilvl="8" w:tplc="0409001B" w:tentative="1">
      <w:start w:val="1"/>
      <w:numFmt w:val="lowerRoman"/>
      <w:lvlText w:val="%9."/>
      <w:lvlJc w:val="right"/>
      <w:pPr>
        <w:ind w:left="5937" w:hanging="180"/>
      </w:pPr>
    </w:lvl>
  </w:abstractNum>
  <w:abstractNum w:abstractNumId="125" w15:restartNumberingAfterBreak="0">
    <w:nsid w:val="5C9934D0"/>
    <w:multiLevelType w:val="hybridMultilevel"/>
    <w:tmpl w:val="9036F874"/>
    <w:lvl w:ilvl="0" w:tplc="4476B170">
      <w:start w:val="2"/>
      <w:numFmt w:val="lowerLetter"/>
      <w:lvlText w:val="%1."/>
      <w:lvlJc w:val="left"/>
      <w:pPr>
        <w:ind w:left="19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8D52F7E4">
      <w:start w:val="1"/>
      <w:numFmt w:val="decimal"/>
      <w:lvlText w:val="(%2)"/>
      <w:lvlJc w:val="left"/>
      <w:pPr>
        <w:ind w:left="23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C2E3DD6">
      <w:start w:val="1"/>
      <w:numFmt w:val="lowerRoman"/>
      <w:lvlText w:val="%3"/>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3AC7C16">
      <w:start w:val="1"/>
      <w:numFmt w:val="decimal"/>
      <w:lvlText w:val="%4"/>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6AA6E6A">
      <w:start w:val="1"/>
      <w:numFmt w:val="lowerLetter"/>
      <w:lvlText w:val="%5"/>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79645C6">
      <w:start w:val="1"/>
      <w:numFmt w:val="lowerRoman"/>
      <w:lvlText w:val="%6"/>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0945342">
      <w:start w:val="1"/>
      <w:numFmt w:val="decimal"/>
      <w:lvlText w:val="%7"/>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95E75EE">
      <w:start w:val="1"/>
      <w:numFmt w:val="lowerLetter"/>
      <w:lvlText w:val="%8"/>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EA208A2">
      <w:start w:val="1"/>
      <w:numFmt w:val="lowerRoman"/>
      <w:lvlText w:val="%9"/>
      <w:lvlJc w:val="left"/>
      <w:pPr>
        <w:ind w:left="68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26" w15:restartNumberingAfterBreak="0">
    <w:nsid w:val="5CBB3C80"/>
    <w:multiLevelType w:val="hybridMultilevel"/>
    <w:tmpl w:val="4FF4C25A"/>
    <w:lvl w:ilvl="0" w:tplc="6D8648BA">
      <w:start w:val="1"/>
      <w:numFmt w:val="bullet"/>
      <w:lvlText w:val="•"/>
      <w:lvlJc w:val="left"/>
      <w:pPr>
        <w:ind w:left="1096"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090003" w:tentative="1">
      <w:start w:val="1"/>
      <w:numFmt w:val="bullet"/>
      <w:lvlText w:val="o"/>
      <w:lvlJc w:val="left"/>
      <w:pPr>
        <w:ind w:left="1816" w:hanging="360"/>
      </w:pPr>
      <w:rPr>
        <w:rFonts w:ascii="Courier New" w:hAnsi="Courier New" w:hint="default"/>
      </w:rPr>
    </w:lvl>
    <w:lvl w:ilvl="2" w:tplc="04090005" w:tentative="1">
      <w:start w:val="1"/>
      <w:numFmt w:val="bullet"/>
      <w:lvlText w:val=""/>
      <w:lvlJc w:val="left"/>
      <w:pPr>
        <w:ind w:left="2536" w:hanging="360"/>
      </w:pPr>
      <w:rPr>
        <w:rFonts w:ascii="Wingdings" w:hAnsi="Wingdings" w:hint="default"/>
      </w:rPr>
    </w:lvl>
    <w:lvl w:ilvl="3" w:tplc="04090001" w:tentative="1">
      <w:start w:val="1"/>
      <w:numFmt w:val="bullet"/>
      <w:lvlText w:val=""/>
      <w:lvlJc w:val="left"/>
      <w:pPr>
        <w:ind w:left="3256" w:hanging="360"/>
      </w:pPr>
      <w:rPr>
        <w:rFonts w:ascii="Symbol" w:hAnsi="Symbol" w:hint="default"/>
      </w:rPr>
    </w:lvl>
    <w:lvl w:ilvl="4" w:tplc="04090003" w:tentative="1">
      <w:start w:val="1"/>
      <w:numFmt w:val="bullet"/>
      <w:lvlText w:val="o"/>
      <w:lvlJc w:val="left"/>
      <w:pPr>
        <w:ind w:left="3976" w:hanging="360"/>
      </w:pPr>
      <w:rPr>
        <w:rFonts w:ascii="Courier New" w:hAnsi="Courier New" w:hint="default"/>
      </w:rPr>
    </w:lvl>
    <w:lvl w:ilvl="5" w:tplc="04090005" w:tentative="1">
      <w:start w:val="1"/>
      <w:numFmt w:val="bullet"/>
      <w:lvlText w:val=""/>
      <w:lvlJc w:val="left"/>
      <w:pPr>
        <w:ind w:left="4696" w:hanging="360"/>
      </w:pPr>
      <w:rPr>
        <w:rFonts w:ascii="Wingdings" w:hAnsi="Wingdings" w:hint="default"/>
      </w:rPr>
    </w:lvl>
    <w:lvl w:ilvl="6" w:tplc="04090001" w:tentative="1">
      <w:start w:val="1"/>
      <w:numFmt w:val="bullet"/>
      <w:lvlText w:val=""/>
      <w:lvlJc w:val="left"/>
      <w:pPr>
        <w:ind w:left="5416" w:hanging="360"/>
      </w:pPr>
      <w:rPr>
        <w:rFonts w:ascii="Symbol" w:hAnsi="Symbol" w:hint="default"/>
      </w:rPr>
    </w:lvl>
    <w:lvl w:ilvl="7" w:tplc="04090003" w:tentative="1">
      <w:start w:val="1"/>
      <w:numFmt w:val="bullet"/>
      <w:lvlText w:val="o"/>
      <w:lvlJc w:val="left"/>
      <w:pPr>
        <w:ind w:left="6136" w:hanging="360"/>
      </w:pPr>
      <w:rPr>
        <w:rFonts w:ascii="Courier New" w:hAnsi="Courier New" w:hint="default"/>
      </w:rPr>
    </w:lvl>
    <w:lvl w:ilvl="8" w:tplc="04090005" w:tentative="1">
      <w:start w:val="1"/>
      <w:numFmt w:val="bullet"/>
      <w:lvlText w:val=""/>
      <w:lvlJc w:val="left"/>
      <w:pPr>
        <w:ind w:left="6856" w:hanging="360"/>
      </w:pPr>
      <w:rPr>
        <w:rFonts w:ascii="Wingdings" w:hAnsi="Wingdings" w:hint="default"/>
      </w:rPr>
    </w:lvl>
  </w:abstractNum>
  <w:abstractNum w:abstractNumId="127" w15:restartNumberingAfterBreak="0">
    <w:nsid w:val="5DF12537"/>
    <w:multiLevelType w:val="hybridMultilevel"/>
    <w:tmpl w:val="CC6ABE10"/>
    <w:lvl w:ilvl="0" w:tplc="023CFA20">
      <w:start w:val="1"/>
      <w:numFmt w:val="decimal"/>
      <w:lvlText w:val="%1."/>
      <w:lvlJc w:val="left"/>
      <w:pPr>
        <w:ind w:left="847" w:hanging="360"/>
      </w:pPr>
      <w:rPr>
        <w:b/>
        <w:bCs/>
      </w:rPr>
    </w:lvl>
    <w:lvl w:ilvl="1" w:tplc="FFFFFFFF" w:tentative="1">
      <w:start w:val="1"/>
      <w:numFmt w:val="lowerLetter"/>
      <w:lvlText w:val="%2."/>
      <w:lvlJc w:val="left"/>
      <w:pPr>
        <w:ind w:left="1567" w:hanging="360"/>
      </w:pPr>
    </w:lvl>
    <w:lvl w:ilvl="2" w:tplc="FFFFFFFF" w:tentative="1">
      <w:start w:val="1"/>
      <w:numFmt w:val="lowerRoman"/>
      <w:lvlText w:val="%3."/>
      <w:lvlJc w:val="right"/>
      <w:pPr>
        <w:ind w:left="2287" w:hanging="180"/>
      </w:pPr>
    </w:lvl>
    <w:lvl w:ilvl="3" w:tplc="FFFFFFFF" w:tentative="1">
      <w:start w:val="1"/>
      <w:numFmt w:val="decimal"/>
      <w:lvlText w:val="%4."/>
      <w:lvlJc w:val="left"/>
      <w:pPr>
        <w:ind w:left="3007" w:hanging="360"/>
      </w:pPr>
    </w:lvl>
    <w:lvl w:ilvl="4" w:tplc="FFFFFFFF" w:tentative="1">
      <w:start w:val="1"/>
      <w:numFmt w:val="lowerLetter"/>
      <w:lvlText w:val="%5."/>
      <w:lvlJc w:val="left"/>
      <w:pPr>
        <w:ind w:left="3727" w:hanging="360"/>
      </w:pPr>
    </w:lvl>
    <w:lvl w:ilvl="5" w:tplc="FFFFFFFF" w:tentative="1">
      <w:start w:val="1"/>
      <w:numFmt w:val="lowerRoman"/>
      <w:lvlText w:val="%6."/>
      <w:lvlJc w:val="right"/>
      <w:pPr>
        <w:ind w:left="4447" w:hanging="180"/>
      </w:pPr>
    </w:lvl>
    <w:lvl w:ilvl="6" w:tplc="FFFFFFFF" w:tentative="1">
      <w:start w:val="1"/>
      <w:numFmt w:val="decimal"/>
      <w:lvlText w:val="%7."/>
      <w:lvlJc w:val="left"/>
      <w:pPr>
        <w:ind w:left="5167" w:hanging="360"/>
      </w:pPr>
    </w:lvl>
    <w:lvl w:ilvl="7" w:tplc="FFFFFFFF" w:tentative="1">
      <w:start w:val="1"/>
      <w:numFmt w:val="lowerLetter"/>
      <w:lvlText w:val="%8."/>
      <w:lvlJc w:val="left"/>
      <w:pPr>
        <w:ind w:left="5887" w:hanging="360"/>
      </w:pPr>
    </w:lvl>
    <w:lvl w:ilvl="8" w:tplc="FFFFFFFF" w:tentative="1">
      <w:start w:val="1"/>
      <w:numFmt w:val="lowerRoman"/>
      <w:lvlText w:val="%9."/>
      <w:lvlJc w:val="right"/>
      <w:pPr>
        <w:ind w:left="6607" w:hanging="180"/>
      </w:pPr>
    </w:lvl>
  </w:abstractNum>
  <w:abstractNum w:abstractNumId="128" w15:restartNumberingAfterBreak="0">
    <w:nsid w:val="5DFC58CB"/>
    <w:multiLevelType w:val="hybridMultilevel"/>
    <w:tmpl w:val="74DA5B38"/>
    <w:lvl w:ilvl="0" w:tplc="EB863068">
      <w:start w:val="1"/>
      <w:numFmt w:val="lowerLetter"/>
      <w:lvlText w:val="%1."/>
      <w:lvlJc w:val="left"/>
      <w:pPr>
        <w:ind w:left="7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57F6D532">
      <w:start w:val="1"/>
      <w:numFmt w:val="lowerLetter"/>
      <w:lvlText w:val="%2"/>
      <w:lvlJc w:val="left"/>
      <w:pPr>
        <w:ind w:left="131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897252EA">
      <w:start w:val="1"/>
      <w:numFmt w:val="lowerRoman"/>
      <w:lvlText w:val="%3"/>
      <w:lvlJc w:val="left"/>
      <w:pPr>
        <w:ind w:left="203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3E966EA4">
      <w:start w:val="1"/>
      <w:numFmt w:val="decimal"/>
      <w:lvlText w:val="%4"/>
      <w:lvlJc w:val="left"/>
      <w:pPr>
        <w:ind w:left="275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FF9A3A7C">
      <w:start w:val="1"/>
      <w:numFmt w:val="lowerLetter"/>
      <w:lvlText w:val="%5"/>
      <w:lvlJc w:val="left"/>
      <w:pPr>
        <w:ind w:left="347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2BF24ADA">
      <w:start w:val="1"/>
      <w:numFmt w:val="lowerRoman"/>
      <w:lvlText w:val="%6"/>
      <w:lvlJc w:val="left"/>
      <w:pPr>
        <w:ind w:left="419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17EAB23C">
      <w:start w:val="1"/>
      <w:numFmt w:val="decimal"/>
      <w:lvlText w:val="%7"/>
      <w:lvlJc w:val="left"/>
      <w:pPr>
        <w:ind w:left="491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170A23C4">
      <w:start w:val="1"/>
      <w:numFmt w:val="lowerLetter"/>
      <w:lvlText w:val="%8"/>
      <w:lvlJc w:val="left"/>
      <w:pPr>
        <w:ind w:left="563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86388E48">
      <w:start w:val="1"/>
      <w:numFmt w:val="lowerRoman"/>
      <w:lvlText w:val="%9"/>
      <w:lvlJc w:val="left"/>
      <w:pPr>
        <w:ind w:left="635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29" w15:restartNumberingAfterBreak="0">
    <w:nsid w:val="5E0D54DA"/>
    <w:multiLevelType w:val="hybridMultilevel"/>
    <w:tmpl w:val="1ACA199E"/>
    <w:lvl w:ilvl="0" w:tplc="2E5AAC36">
      <w:start w:val="1"/>
      <w:numFmt w:val="decimal"/>
      <w:lvlText w:val="%1."/>
      <w:lvlJc w:val="left"/>
      <w:pPr>
        <w:ind w:left="720" w:hanging="360"/>
      </w:pPr>
      <w:rPr>
        <w:b/>
        <w:bCs/>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30" w15:restartNumberingAfterBreak="0">
    <w:nsid w:val="5ED7165D"/>
    <w:multiLevelType w:val="hybridMultilevel"/>
    <w:tmpl w:val="4F665ED2"/>
    <w:lvl w:ilvl="0" w:tplc="35C05284">
      <w:start w:val="1"/>
      <w:numFmt w:val="bullet"/>
      <w:lvlText w:val="•"/>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9A030B0">
      <w:start w:val="1"/>
      <w:numFmt w:val="bullet"/>
      <w:lvlText w:val="o"/>
      <w:lvlJc w:val="left"/>
      <w:pPr>
        <w:ind w:left="16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C424EDC">
      <w:start w:val="1"/>
      <w:numFmt w:val="bullet"/>
      <w:lvlText w:val="▪"/>
      <w:lvlJc w:val="left"/>
      <w:pPr>
        <w:ind w:left="23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88A0BD8">
      <w:start w:val="1"/>
      <w:numFmt w:val="bullet"/>
      <w:lvlText w:val="•"/>
      <w:lvlJc w:val="left"/>
      <w:pPr>
        <w:ind w:left="30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4AA7B80">
      <w:start w:val="1"/>
      <w:numFmt w:val="bullet"/>
      <w:lvlText w:val="o"/>
      <w:lvlJc w:val="left"/>
      <w:pPr>
        <w:ind w:left="37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40082BE">
      <w:start w:val="1"/>
      <w:numFmt w:val="bullet"/>
      <w:lvlText w:val="▪"/>
      <w:lvlJc w:val="left"/>
      <w:pPr>
        <w:ind w:left="45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33DCE7F0">
      <w:start w:val="1"/>
      <w:numFmt w:val="bullet"/>
      <w:lvlText w:val="•"/>
      <w:lvlJc w:val="left"/>
      <w:pPr>
        <w:ind w:left="52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2BE1304">
      <w:start w:val="1"/>
      <w:numFmt w:val="bullet"/>
      <w:lvlText w:val="o"/>
      <w:lvlJc w:val="left"/>
      <w:pPr>
        <w:ind w:left="59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D7CDFEA">
      <w:start w:val="1"/>
      <w:numFmt w:val="bullet"/>
      <w:lvlText w:val="▪"/>
      <w:lvlJc w:val="left"/>
      <w:pPr>
        <w:ind w:left="66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31" w15:restartNumberingAfterBreak="0">
    <w:nsid w:val="5EDE26BF"/>
    <w:multiLevelType w:val="hybridMultilevel"/>
    <w:tmpl w:val="C91EFEBC"/>
    <w:lvl w:ilvl="0" w:tplc="FFFFFFFF">
      <w:start w:val="1"/>
      <w:numFmt w:val="decimal"/>
      <w:lvlText w:val="(%1)"/>
      <w:lvlJc w:val="left"/>
      <w:pPr>
        <w:ind w:left="1800" w:hanging="36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32" w15:restartNumberingAfterBreak="0">
    <w:nsid w:val="5EF65A2E"/>
    <w:multiLevelType w:val="hybridMultilevel"/>
    <w:tmpl w:val="23364AC8"/>
    <w:lvl w:ilvl="0" w:tplc="4E7A3432">
      <w:start w:val="1"/>
      <w:numFmt w:val="decimal"/>
      <w:lvlText w:val="(%1)"/>
      <w:lvlJc w:val="left"/>
      <w:pPr>
        <w:ind w:left="2432"/>
      </w:pPr>
      <w:rPr>
        <w:rFonts w:ascii="Times New Roman" w:eastAsia="Times New Roman" w:hAnsi="Times New Roman" w:cs="Times New Roman"/>
        <w:b w:val="0"/>
        <w:bCs w:val="0"/>
        <w:i w:val="0"/>
        <w:strike w:val="0"/>
        <w:dstrike w:val="0"/>
        <w:color w:val="000000"/>
        <w:sz w:val="22"/>
        <w:szCs w:val="22"/>
        <w:u w:val="none" w:color="000000"/>
        <w:bdr w:val="none" w:sz="0" w:space="0" w:color="auto"/>
        <w:shd w:val="clear" w:color="auto" w:fill="auto"/>
        <w:vertAlign w:val="baseline"/>
      </w:rPr>
    </w:lvl>
    <w:lvl w:ilvl="1" w:tplc="4D76250E">
      <w:start w:val="1"/>
      <w:numFmt w:val="lowerLetter"/>
      <w:lvlText w:val="(%2)"/>
      <w:lvlJc w:val="left"/>
      <w:pPr>
        <w:ind w:left="27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57ED32C">
      <w:start w:val="1"/>
      <w:numFmt w:val="lowerRoman"/>
      <w:lvlText w:val="%3"/>
      <w:lvlJc w:val="left"/>
      <w:pPr>
        <w:ind w:left="29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E94FD8E">
      <w:start w:val="1"/>
      <w:numFmt w:val="decimal"/>
      <w:lvlText w:val="%4"/>
      <w:lvlJc w:val="left"/>
      <w:pPr>
        <w:ind w:left="36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83A8C24">
      <w:start w:val="1"/>
      <w:numFmt w:val="lowerLetter"/>
      <w:lvlText w:val="%5"/>
      <w:lvlJc w:val="left"/>
      <w:pPr>
        <w:ind w:left="44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A6600B4">
      <w:start w:val="1"/>
      <w:numFmt w:val="lowerRoman"/>
      <w:lvlText w:val="%6"/>
      <w:lvlJc w:val="left"/>
      <w:pPr>
        <w:ind w:left="51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D868DBE">
      <w:start w:val="1"/>
      <w:numFmt w:val="decimal"/>
      <w:lvlText w:val="%7"/>
      <w:lvlJc w:val="left"/>
      <w:pPr>
        <w:ind w:left="58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FAC2032">
      <w:start w:val="1"/>
      <w:numFmt w:val="lowerLetter"/>
      <w:lvlText w:val="%8"/>
      <w:lvlJc w:val="left"/>
      <w:pPr>
        <w:ind w:left="65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366AA5C">
      <w:start w:val="1"/>
      <w:numFmt w:val="lowerRoman"/>
      <w:lvlText w:val="%9"/>
      <w:lvlJc w:val="left"/>
      <w:pPr>
        <w:ind w:left="72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3" w15:restartNumberingAfterBreak="0">
    <w:nsid w:val="5F7C6AA6"/>
    <w:multiLevelType w:val="hybridMultilevel"/>
    <w:tmpl w:val="747E8126"/>
    <w:lvl w:ilvl="0" w:tplc="6D8648BA">
      <w:start w:val="1"/>
      <w:numFmt w:val="bullet"/>
      <w:lvlText w:val="•"/>
      <w:lvlJc w:val="left"/>
      <w:pPr>
        <w:ind w:left="189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134" w15:restartNumberingAfterBreak="0">
    <w:nsid w:val="614D139F"/>
    <w:multiLevelType w:val="hybridMultilevel"/>
    <w:tmpl w:val="D1D0CE7C"/>
    <w:lvl w:ilvl="0" w:tplc="F3687C98">
      <w:start w:val="1"/>
      <w:numFmt w:val="lowerLetter"/>
      <w:lvlText w:val="%1."/>
      <w:lvlJc w:val="left"/>
      <w:pPr>
        <w:ind w:left="126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548276D4">
      <w:start w:val="1"/>
      <w:numFmt w:val="lowerLetter"/>
      <w:lvlText w:val="%2"/>
      <w:lvlJc w:val="left"/>
      <w:pPr>
        <w:ind w:left="153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0BC86F38">
      <w:start w:val="1"/>
      <w:numFmt w:val="lowerRoman"/>
      <w:lvlText w:val="%3"/>
      <w:lvlJc w:val="left"/>
      <w:pPr>
        <w:ind w:left="225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51FCBBE8">
      <w:start w:val="1"/>
      <w:numFmt w:val="decimal"/>
      <w:lvlText w:val="%4"/>
      <w:lvlJc w:val="left"/>
      <w:pPr>
        <w:ind w:left="297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2B723488">
      <w:start w:val="1"/>
      <w:numFmt w:val="lowerLetter"/>
      <w:lvlText w:val="%5"/>
      <w:lvlJc w:val="left"/>
      <w:pPr>
        <w:ind w:left="369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AFC8F9EE">
      <w:start w:val="1"/>
      <w:numFmt w:val="lowerRoman"/>
      <w:lvlText w:val="%6"/>
      <w:lvlJc w:val="left"/>
      <w:pPr>
        <w:ind w:left="441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B2BC44D4">
      <w:start w:val="1"/>
      <w:numFmt w:val="decimal"/>
      <w:lvlText w:val="%7"/>
      <w:lvlJc w:val="left"/>
      <w:pPr>
        <w:ind w:left="513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CBC6E28A">
      <w:start w:val="1"/>
      <w:numFmt w:val="lowerLetter"/>
      <w:lvlText w:val="%8"/>
      <w:lvlJc w:val="left"/>
      <w:pPr>
        <w:ind w:left="585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762AA7CA">
      <w:start w:val="1"/>
      <w:numFmt w:val="lowerRoman"/>
      <w:lvlText w:val="%9"/>
      <w:lvlJc w:val="left"/>
      <w:pPr>
        <w:ind w:left="657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35" w15:restartNumberingAfterBreak="0">
    <w:nsid w:val="62A10219"/>
    <w:multiLevelType w:val="hybridMultilevel"/>
    <w:tmpl w:val="5734F28C"/>
    <w:lvl w:ilvl="0" w:tplc="8EDC3A6C">
      <w:start w:val="1"/>
      <w:numFmt w:val="lowerLetter"/>
      <w:lvlText w:val="%1."/>
      <w:lvlJc w:val="left"/>
      <w:pPr>
        <w:ind w:left="117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B568ED58">
      <w:start w:val="1"/>
      <w:numFmt w:val="decimal"/>
      <w:lvlText w:val="(%2)"/>
      <w:lvlJc w:val="left"/>
      <w:pPr>
        <w:ind w:left="16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4D406A8">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2DECF5A">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D04EBEE">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CDCA084">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6460DCA">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B30565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730F488">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6" w15:restartNumberingAfterBreak="0">
    <w:nsid w:val="63200111"/>
    <w:multiLevelType w:val="hybridMultilevel"/>
    <w:tmpl w:val="EAFA3E7E"/>
    <w:lvl w:ilvl="0" w:tplc="B8D2D888">
      <w:start w:val="1"/>
      <w:numFmt w:val="bullet"/>
      <w:lvlText w:val="•"/>
      <w:lvlJc w:val="left"/>
      <w:pPr>
        <w:ind w:left="216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7" w15:restartNumberingAfterBreak="0">
    <w:nsid w:val="643F1EE2"/>
    <w:multiLevelType w:val="hybridMultilevel"/>
    <w:tmpl w:val="86EA68EA"/>
    <w:lvl w:ilvl="0" w:tplc="43EAE0CA">
      <w:start w:val="1"/>
      <w:numFmt w:val="bullet"/>
      <w:lvlText w:val="•"/>
      <w:lvlJc w:val="left"/>
      <w:pPr>
        <w:ind w:left="1155" w:hanging="360"/>
      </w:pPr>
      <w:rPr>
        <w:rFonts w:ascii="Arial" w:eastAsia="Arial" w:hAnsi="Arial" w:hint="default"/>
        <w:b w:val="0"/>
        <w:i w:val="0"/>
        <w:strike w:val="0"/>
        <w:dstrike w:val="0"/>
        <w:color w:val="000000"/>
        <w:sz w:val="22"/>
        <w:szCs w:val="22"/>
        <w:u w:val="none" w:color="000000"/>
        <w:bdr w:val="none" w:sz="0" w:space="0" w:color="auto"/>
        <w:shd w:val="clear" w:color="auto" w:fill="auto"/>
        <w:vertAlign w:val="baseline"/>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8" w15:restartNumberingAfterBreak="0">
    <w:nsid w:val="6501203E"/>
    <w:multiLevelType w:val="hybridMultilevel"/>
    <w:tmpl w:val="38240E7A"/>
    <w:lvl w:ilvl="0" w:tplc="ECC60E8E">
      <w:start w:val="1"/>
      <w:numFmt w:val="lowerLetter"/>
      <w:lvlText w:val="%1."/>
      <w:lvlJc w:val="left"/>
      <w:pPr>
        <w:ind w:left="117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A29CC858">
      <w:start w:val="1"/>
      <w:numFmt w:val="decimal"/>
      <w:lvlText w:val="(%2)"/>
      <w:lvlJc w:val="left"/>
      <w:pPr>
        <w:ind w:left="17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D76250E">
      <w:start w:val="1"/>
      <w:numFmt w:val="lowerLetter"/>
      <w:lvlText w:val="(%3)"/>
      <w:lvlJc w:val="left"/>
      <w:pPr>
        <w:ind w:left="3152" w:hanging="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D96061E">
      <w:start w:val="1"/>
      <w:numFmt w:val="decimal"/>
      <w:lvlText w:val="%4"/>
      <w:lvlJc w:val="left"/>
      <w:pPr>
        <w:ind w:left="2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EFE7364">
      <w:start w:val="1"/>
      <w:numFmt w:val="lowerLetter"/>
      <w:lvlText w:val="%5"/>
      <w:lvlJc w:val="left"/>
      <w:pPr>
        <w:ind w:left="3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A6EDC76">
      <w:start w:val="1"/>
      <w:numFmt w:val="lowerRoman"/>
      <w:lvlText w:val="%6"/>
      <w:lvlJc w:val="left"/>
      <w:pPr>
        <w:ind w:left="3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69E2F30">
      <w:start w:val="1"/>
      <w:numFmt w:val="decimal"/>
      <w:lvlText w:val="%7"/>
      <w:lvlJc w:val="left"/>
      <w:pPr>
        <w:ind w:left="45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0464408">
      <w:start w:val="1"/>
      <w:numFmt w:val="lowerLetter"/>
      <w:lvlText w:val="%8"/>
      <w:lvlJc w:val="left"/>
      <w:pPr>
        <w:ind w:left="52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534D240">
      <w:start w:val="1"/>
      <w:numFmt w:val="lowerRoman"/>
      <w:lvlText w:val="%9"/>
      <w:lvlJc w:val="left"/>
      <w:pPr>
        <w:ind w:left="59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9" w15:restartNumberingAfterBreak="0">
    <w:nsid w:val="66662429"/>
    <w:multiLevelType w:val="hybridMultilevel"/>
    <w:tmpl w:val="C540C1F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0" w15:restartNumberingAfterBreak="0">
    <w:nsid w:val="671265CC"/>
    <w:multiLevelType w:val="hybridMultilevel"/>
    <w:tmpl w:val="6B60BA82"/>
    <w:lvl w:ilvl="0" w:tplc="986A89F6">
      <w:start w:val="1"/>
      <w:numFmt w:val="decimal"/>
      <w:lvlText w:val="(%1)"/>
      <w:lvlJc w:val="left"/>
      <w:pPr>
        <w:ind w:left="16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8F434AA">
      <w:start w:val="1"/>
      <w:numFmt w:val="lowerLetter"/>
      <w:lvlText w:val="%2"/>
      <w:lvlJc w:val="left"/>
      <w:pPr>
        <w:ind w:left="18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0286F42">
      <w:start w:val="1"/>
      <w:numFmt w:val="lowerRoman"/>
      <w:lvlText w:val="%3"/>
      <w:lvlJc w:val="left"/>
      <w:pPr>
        <w:ind w:left="26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39C1D74">
      <w:start w:val="1"/>
      <w:numFmt w:val="decimal"/>
      <w:lvlText w:val="%4"/>
      <w:lvlJc w:val="left"/>
      <w:pPr>
        <w:ind w:left="33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DDCB09C">
      <w:start w:val="1"/>
      <w:numFmt w:val="lowerLetter"/>
      <w:lvlText w:val="%5"/>
      <w:lvlJc w:val="left"/>
      <w:pPr>
        <w:ind w:left="40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58856B2">
      <w:start w:val="1"/>
      <w:numFmt w:val="lowerRoman"/>
      <w:lvlText w:val="%6"/>
      <w:lvlJc w:val="left"/>
      <w:pPr>
        <w:ind w:left="47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F86BB0C">
      <w:start w:val="1"/>
      <w:numFmt w:val="decimal"/>
      <w:lvlText w:val="%7"/>
      <w:lvlJc w:val="left"/>
      <w:pPr>
        <w:ind w:left="54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376540C">
      <w:start w:val="1"/>
      <w:numFmt w:val="lowerLetter"/>
      <w:lvlText w:val="%8"/>
      <w:lvlJc w:val="left"/>
      <w:pPr>
        <w:ind w:left="62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82267D0">
      <w:start w:val="1"/>
      <w:numFmt w:val="lowerRoman"/>
      <w:lvlText w:val="%9"/>
      <w:lvlJc w:val="left"/>
      <w:pPr>
        <w:ind w:left="69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1" w15:restartNumberingAfterBreak="0">
    <w:nsid w:val="675B5474"/>
    <w:multiLevelType w:val="hybridMultilevel"/>
    <w:tmpl w:val="766A4464"/>
    <w:lvl w:ilvl="0" w:tplc="5DC273F2">
      <w:start w:val="1"/>
      <w:numFmt w:val="lowerLetter"/>
      <w:lvlText w:val="%1."/>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81E6F5C2">
      <w:start w:val="1"/>
      <w:numFmt w:val="lowerLetter"/>
      <w:lvlText w:val="%2"/>
      <w:lvlJc w:val="left"/>
      <w:pPr>
        <w:ind w:left="19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CB062A62">
      <w:start w:val="1"/>
      <w:numFmt w:val="lowerRoman"/>
      <w:lvlText w:val="%3"/>
      <w:lvlJc w:val="left"/>
      <w:pPr>
        <w:ind w:left="27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49A819BA">
      <w:start w:val="1"/>
      <w:numFmt w:val="decimal"/>
      <w:lvlText w:val="%4"/>
      <w:lvlJc w:val="left"/>
      <w:pPr>
        <w:ind w:left="34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4CEEA0EA">
      <w:start w:val="1"/>
      <w:numFmt w:val="lowerLetter"/>
      <w:lvlText w:val="%5"/>
      <w:lvlJc w:val="left"/>
      <w:pPr>
        <w:ind w:left="41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C1AC8E24">
      <w:start w:val="1"/>
      <w:numFmt w:val="lowerRoman"/>
      <w:lvlText w:val="%6"/>
      <w:lvlJc w:val="left"/>
      <w:pPr>
        <w:ind w:left="48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748C8C70">
      <w:start w:val="1"/>
      <w:numFmt w:val="decimal"/>
      <w:lvlText w:val="%7"/>
      <w:lvlJc w:val="left"/>
      <w:pPr>
        <w:ind w:left="55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4C7E14B6">
      <w:start w:val="1"/>
      <w:numFmt w:val="lowerLetter"/>
      <w:lvlText w:val="%8"/>
      <w:lvlJc w:val="left"/>
      <w:pPr>
        <w:ind w:left="63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E0B64926">
      <w:start w:val="1"/>
      <w:numFmt w:val="lowerRoman"/>
      <w:lvlText w:val="%9"/>
      <w:lvlJc w:val="left"/>
      <w:pPr>
        <w:ind w:left="70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42" w15:restartNumberingAfterBreak="0">
    <w:nsid w:val="6911727D"/>
    <w:multiLevelType w:val="hybridMultilevel"/>
    <w:tmpl w:val="6D9A2176"/>
    <w:lvl w:ilvl="0" w:tplc="D6CAC690">
      <w:start w:val="1"/>
      <w:numFmt w:val="decimal"/>
      <w:lvlText w:val="(%1)"/>
      <w:lvlJc w:val="left"/>
      <w:pPr>
        <w:ind w:left="23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5E271CA">
      <w:start w:val="1"/>
      <w:numFmt w:val="lowerLetter"/>
      <w:lvlText w:val="%2"/>
      <w:lvlJc w:val="left"/>
      <w:pPr>
        <w:ind w:left="24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D70E478">
      <w:start w:val="1"/>
      <w:numFmt w:val="lowerRoman"/>
      <w:lvlText w:val="%3"/>
      <w:lvlJc w:val="left"/>
      <w:pPr>
        <w:ind w:left="31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B529064">
      <w:start w:val="1"/>
      <w:numFmt w:val="decimal"/>
      <w:lvlText w:val="%4"/>
      <w:lvlJc w:val="left"/>
      <w:pPr>
        <w:ind w:left="38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F40CE48">
      <w:start w:val="1"/>
      <w:numFmt w:val="lowerLetter"/>
      <w:lvlText w:val="%5"/>
      <w:lvlJc w:val="left"/>
      <w:pPr>
        <w:ind w:left="45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16C843C">
      <w:start w:val="1"/>
      <w:numFmt w:val="lowerRoman"/>
      <w:lvlText w:val="%6"/>
      <w:lvlJc w:val="left"/>
      <w:pPr>
        <w:ind w:left="53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BA09408">
      <w:start w:val="1"/>
      <w:numFmt w:val="decimal"/>
      <w:lvlText w:val="%7"/>
      <w:lvlJc w:val="left"/>
      <w:pPr>
        <w:ind w:left="60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E0E451E">
      <w:start w:val="1"/>
      <w:numFmt w:val="lowerLetter"/>
      <w:lvlText w:val="%8"/>
      <w:lvlJc w:val="left"/>
      <w:pPr>
        <w:ind w:left="67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7203AA6">
      <w:start w:val="1"/>
      <w:numFmt w:val="lowerRoman"/>
      <w:lvlText w:val="%9"/>
      <w:lvlJc w:val="left"/>
      <w:pPr>
        <w:ind w:left="74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3" w15:restartNumberingAfterBreak="0">
    <w:nsid w:val="69355740"/>
    <w:multiLevelType w:val="hybridMultilevel"/>
    <w:tmpl w:val="A648C37E"/>
    <w:lvl w:ilvl="0" w:tplc="3FCE0B9E">
      <w:start w:val="1"/>
      <w:numFmt w:val="lowerLetter"/>
      <w:lvlText w:val="%1."/>
      <w:lvlJc w:val="left"/>
      <w:pPr>
        <w:ind w:left="1263"/>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2C1EE4BE">
      <w:start w:val="1"/>
      <w:numFmt w:val="lowerLetter"/>
      <w:lvlText w:val="%2"/>
      <w:lvlJc w:val="left"/>
      <w:pPr>
        <w:ind w:left="153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F7BA1B4E">
      <w:start w:val="1"/>
      <w:numFmt w:val="lowerRoman"/>
      <w:lvlText w:val="%3"/>
      <w:lvlJc w:val="left"/>
      <w:pPr>
        <w:ind w:left="225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CEA8B4D6">
      <w:start w:val="1"/>
      <w:numFmt w:val="decimal"/>
      <w:lvlText w:val="%4"/>
      <w:lvlJc w:val="left"/>
      <w:pPr>
        <w:ind w:left="297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EA88DFEA">
      <w:start w:val="1"/>
      <w:numFmt w:val="lowerLetter"/>
      <w:lvlText w:val="%5"/>
      <w:lvlJc w:val="left"/>
      <w:pPr>
        <w:ind w:left="369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8E945BE4">
      <w:start w:val="1"/>
      <w:numFmt w:val="lowerRoman"/>
      <w:lvlText w:val="%6"/>
      <w:lvlJc w:val="left"/>
      <w:pPr>
        <w:ind w:left="441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AC28E5EC">
      <w:start w:val="1"/>
      <w:numFmt w:val="decimal"/>
      <w:lvlText w:val="%7"/>
      <w:lvlJc w:val="left"/>
      <w:pPr>
        <w:ind w:left="513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521432E0">
      <w:start w:val="1"/>
      <w:numFmt w:val="lowerLetter"/>
      <w:lvlText w:val="%8"/>
      <w:lvlJc w:val="left"/>
      <w:pPr>
        <w:ind w:left="585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42C83F86">
      <w:start w:val="1"/>
      <w:numFmt w:val="lowerRoman"/>
      <w:lvlText w:val="%9"/>
      <w:lvlJc w:val="left"/>
      <w:pPr>
        <w:ind w:left="657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44" w15:restartNumberingAfterBreak="0">
    <w:nsid w:val="6979254C"/>
    <w:multiLevelType w:val="hybridMultilevel"/>
    <w:tmpl w:val="463E1CA6"/>
    <w:lvl w:ilvl="0" w:tplc="083AFB3E">
      <w:start w:val="1"/>
      <w:numFmt w:val="decimal"/>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5" w15:restartNumberingAfterBreak="0">
    <w:nsid w:val="6A871001"/>
    <w:multiLevelType w:val="hybridMultilevel"/>
    <w:tmpl w:val="23364AC8"/>
    <w:lvl w:ilvl="0" w:tplc="4E7A3432">
      <w:start w:val="1"/>
      <w:numFmt w:val="decimal"/>
      <w:lvlText w:val="(%1)"/>
      <w:lvlJc w:val="left"/>
      <w:pPr>
        <w:ind w:left="2432"/>
      </w:pPr>
      <w:rPr>
        <w:rFonts w:ascii="Times New Roman" w:eastAsia="Times New Roman" w:hAnsi="Times New Roman" w:cs="Times New Roman"/>
        <w:b w:val="0"/>
        <w:bCs w:val="0"/>
        <w:i w:val="0"/>
        <w:strike w:val="0"/>
        <w:dstrike w:val="0"/>
        <w:color w:val="000000"/>
        <w:sz w:val="22"/>
        <w:szCs w:val="22"/>
        <w:u w:val="none" w:color="000000"/>
        <w:bdr w:val="none" w:sz="0" w:space="0" w:color="auto"/>
        <w:shd w:val="clear" w:color="auto" w:fill="auto"/>
        <w:vertAlign w:val="baseline"/>
      </w:rPr>
    </w:lvl>
    <w:lvl w:ilvl="1" w:tplc="4D76250E">
      <w:start w:val="1"/>
      <w:numFmt w:val="lowerLetter"/>
      <w:lvlText w:val="(%2)"/>
      <w:lvlJc w:val="left"/>
      <w:pPr>
        <w:ind w:left="27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57ED32C">
      <w:start w:val="1"/>
      <w:numFmt w:val="lowerRoman"/>
      <w:lvlText w:val="%3"/>
      <w:lvlJc w:val="left"/>
      <w:pPr>
        <w:ind w:left="29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E94FD8E">
      <w:start w:val="1"/>
      <w:numFmt w:val="decimal"/>
      <w:lvlText w:val="%4"/>
      <w:lvlJc w:val="left"/>
      <w:pPr>
        <w:ind w:left="36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83A8C24">
      <w:start w:val="1"/>
      <w:numFmt w:val="lowerLetter"/>
      <w:lvlText w:val="%5"/>
      <w:lvlJc w:val="left"/>
      <w:pPr>
        <w:ind w:left="44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A6600B4">
      <w:start w:val="1"/>
      <w:numFmt w:val="lowerRoman"/>
      <w:lvlText w:val="%6"/>
      <w:lvlJc w:val="left"/>
      <w:pPr>
        <w:ind w:left="51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D868DBE">
      <w:start w:val="1"/>
      <w:numFmt w:val="decimal"/>
      <w:lvlText w:val="%7"/>
      <w:lvlJc w:val="left"/>
      <w:pPr>
        <w:ind w:left="58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FAC2032">
      <w:start w:val="1"/>
      <w:numFmt w:val="lowerLetter"/>
      <w:lvlText w:val="%8"/>
      <w:lvlJc w:val="left"/>
      <w:pPr>
        <w:ind w:left="65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366AA5C">
      <w:start w:val="1"/>
      <w:numFmt w:val="lowerRoman"/>
      <w:lvlText w:val="%9"/>
      <w:lvlJc w:val="left"/>
      <w:pPr>
        <w:ind w:left="72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6" w15:restartNumberingAfterBreak="0">
    <w:nsid w:val="6A8E25A8"/>
    <w:multiLevelType w:val="hybridMultilevel"/>
    <w:tmpl w:val="A9AA8D54"/>
    <w:lvl w:ilvl="0" w:tplc="5DC273F2">
      <w:start w:val="1"/>
      <w:numFmt w:val="lowerLetter"/>
      <w:lvlText w:val="%1."/>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81E6F5C2">
      <w:start w:val="1"/>
      <w:numFmt w:val="lowerLetter"/>
      <w:lvlText w:val="%2"/>
      <w:lvlJc w:val="left"/>
      <w:pPr>
        <w:ind w:left="19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CB062A62">
      <w:start w:val="1"/>
      <w:numFmt w:val="lowerRoman"/>
      <w:lvlText w:val="%3"/>
      <w:lvlJc w:val="left"/>
      <w:pPr>
        <w:ind w:left="27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49A819BA">
      <w:start w:val="1"/>
      <w:numFmt w:val="decimal"/>
      <w:lvlText w:val="%4"/>
      <w:lvlJc w:val="left"/>
      <w:pPr>
        <w:ind w:left="34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4CEEA0EA">
      <w:start w:val="1"/>
      <w:numFmt w:val="lowerLetter"/>
      <w:lvlText w:val="%5"/>
      <w:lvlJc w:val="left"/>
      <w:pPr>
        <w:ind w:left="41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C1AC8E24">
      <w:start w:val="1"/>
      <w:numFmt w:val="lowerRoman"/>
      <w:lvlText w:val="%6"/>
      <w:lvlJc w:val="left"/>
      <w:pPr>
        <w:ind w:left="48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748C8C70">
      <w:start w:val="1"/>
      <w:numFmt w:val="decimal"/>
      <w:lvlText w:val="%7"/>
      <w:lvlJc w:val="left"/>
      <w:pPr>
        <w:ind w:left="55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4C7E14B6">
      <w:start w:val="1"/>
      <w:numFmt w:val="lowerLetter"/>
      <w:lvlText w:val="%8"/>
      <w:lvlJc w:val="left"/>
      <w:pPr>
        <w:ind w:left="63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E0B64926">
      <w:start w:val="1"/>
      <w:numFmt w:val="lowerRoman"/>
      <w:lvlText w:val="%9"/>
      <w:lvlJc w:val="left"/>
      <w:pPr>
        <w:ind w:left="70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47" w15:restartNumberingAfterBreak="0">
    <w:nsid w:val="6BA72DDF"/>
    <w:multiLevelType w:val="hybridMultilevel"/>
    <w:tmpl w:val="4EEC1C36"/>
    <w:lvl w:ilvl="0" w:tplc="B06EF1C8">
      <w:start w:val="1"/>
      <w:numFmt w:val="lowerLetter"/>
      <w:lvlText w:val="%1."/>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81E6F5C2">
      <w:start w:val="1"/>
      <w:numFmt w:val="lowerLetter"/>
      <w:lvlText w:val="%2"/>
      <w:lvlJc w:val="left"/>
      <w:pPr>
        <w:ind w:left="19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CB062A62">
      <w:start w:val="1"/>
      <w:numFmt w:val="lowerRoman"/>
      <w:lvlText w:val="%3"/>
      <w:lvlJc w:val="left"/>
      <w:pPr>
        <w:ind w:left="27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49A819BA">
      <w:start w:val="1"/>
      <w:numFmt w:val="decimal"/>
      <w:lvlText w:val="%4"/>
      <w:lvlJc w:val="left"/>
      <w:pPr>
        <w:ind w:left="34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4CEEA0EA">
      <w:start w:val="1"/>
      <w:numFmt w:val="lowerLetter"/>
      <w:lvlText w:val="%5"/>
      <w:lvlJc w:val="left"/>
      <w:pPr>
        <w:ind w:left="41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C1AC8E24">
      <w:start w:val="1"/>
      <w:numFmt w:val="lowerRoman"/>
      <w:lvlText w:val="%6"/>
      <w:lvlJc w:val="left"/>
      <w:pPr>
        <w:ind w:left="48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748C8C70">
      <w:start w:val="1"/>
      <w:numFmt w:val="decimal"/>
      <w:lvlText w:val="%7"/>
      <w:lvlJc w:val="left"/>
      <w:pPr>
        <w:ind w:left="55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4C7E14B6">
      <w:start w:val="1"/>
      <w:numFmt w:val="lowerLetter"/>
      <w:lvlText w:val="%8"/>
      <w:lvlJc w:val="left"/>
      <w:pPr>
        <w:ind w:left="63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E0B64926">
      <w:start w:val="1"/>
      <w:numFmt w:val="lowerRoman"/>
      <w:lvlText w:val="%9"/>
      <w:lvlJc w:val="left"/>
      <w:pPr>
        <w:ind w:left="70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48" w15:restartNumberingAfterBreak="0">
    <w:nsid w:val="6E0210A3"/>
    <w:multiLevelType w:val="hybridMultilevel"/>
    <w:tmpl w:val="368A946E"/>
    <w:lvl w:ilvl="0" w:tplc="362CB62A">
      <w:start w:val="1"/>
      <w:numFmt w:val="decimal"/>
      <w:lvlText w:val="(%1)"/>
      <w:lvlJc w:val="left"/>
      <w:pPr>
        <w:ind w:left="24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83C2466">
      <w:start w:val="1"/>
      <w:numFmt w:val="lowerLetter"/>
      <w:lvlText w:val="(%2)"/>
      <w:lvlJc w:val="left"/>
      <w:pPr>
        <w:ind w:left="27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8ACCE82">
      <w:start w:val="1"/>
      <w:numFmt w:val="lowerRoman"/>
      <w:lvlText w:val="%3"/>
      <w:lvlJc w:val="left"/>
      <w:pPr>
        <w:ind w:left="29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87E0998">
      <w:start w:val="1"/>
      <w:numFmt w:val="decimal"/>
      <w:lvlText w:val="%4"/>
      <w:lvlJc w:val="left"/>
      <w:pPr>
        <w:ind w:left="36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014C69A">
      <w:start w:val="1"/>
      <w:numFmt w:val="lowerLetter"/>
      <w:lvlText w:val="%5"/>
      <w:lvlJc w:val="left"/>
      <w:pPr>
        <w:ind w:left="44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0064420">
      <w:start w:val="1"/>
      <w:numFmt w:val="lowerRoman"/>
      <w:lvlText w:val="%6"/>
      <w:lvlJc w:val="left"/>
      <w:pPr>
        <w:ind w:left="51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55A875C">
      <w:start w:val="1"/>
      <w:numFmt w:val="decimal"/>
      <w:lvlText w:val="%7"/>
      <w:lvlJc w:val="left"/>
      <w:pPr>
        <w:ind w:left="58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8CAA5F8">
      <w:start w:val="1"/>
      <w:numFmt w:val="lowerLetter"/>
      <w:lvlText w:val="%8"/>
      <w:lvlJc w:val="left"/>
      <w:pPr>
        <w:ind w:left="65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A8A0C68">
      <w:start w:val="1"/>
      <w:numFmt w:val="lowerRoman"/>
      <w:lvlText w:val="%9"/>
      <w:lvlJc w:val="left"/>
      <w:pPr>
        <w:ind w:left="72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9" w15:restartNumberingAfterBreak="0">
    <w:nsid w:val="6F282A08"/>
    <w:multiLevelType w:val="hybridMultilevel"/>
    <w:tmpl w:val="54DAAB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0" w15:restartNumberingAfterBreak="0">
    <w:nsid w:val="70AB2275"/>
    <w:multiLevelType w:val="hybridMultilevel"/>
    <w:tmpl w:val="54965264"/>
    <w:lvl w:ilvl="0" w:tplc="30E2BA06">
      <w:start w:val="1"/>
      <w:numFmt w:val="lowerLetter"/>
      <w:lvlText w:val="%1."/>
      <w:lvlJc w:val="left"/>
      <w:pPr>
        <w:ind w:left="128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F6BC3B3C">
      <w:start w:val="1"/>
      <w:numFmt w:val="lowerLetter"/>
      <w:lvlText w:val="%2"/>
      <w:lvlJc w:val="left"/>
      <w:pPr>
        <w:ind w:left="200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D076E918">
      <w:start w:val="1"/>
      <w:numFmt w:val="lowerRoman"/>
      <w:lvlText w:val="%3"/>
      <w:lvlJc w:val="left"/>
      <w:pPr>
        <w:ind w:left="272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D3643128">
      <w:start w:val="1"/>
      <w:numFmt w:val="decimal"/>
      <w:lvlText w:val="%4"/>
      <w:lvlJc w:val="left"/>
      <w:pPr>
        <w:ind w:left="344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2AFA3A34">
      <w:start w:val="1"/>
      <w:numFmt w:val="lowerLetter"/>
      <w:lvlText w:val="%5"/>
      <w:lvlJc w:val="left"/>
      <w:pPr>
        <w:ind w:left="416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659EF93E">
      <w:start w:val="1"/>
      <w:numFmt w:val="lowerRoman"/>
      <w:lvlText w:val="%6"/>
      <w:lvlJc w:val="left"/>
      <w:pPr>
        <w:ind w:left="488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49A24FB2">
      <w:start w:val="1"/>
      <w:numFmt w:val="decimal"/>
      <w:lvlText w:val="%7"/>
      <w:lvlJc w:val="left"/>
      <w:pPr>
        <w:ind w:left="560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D7E28ECA">
      <w:start w:val="1"/>
      <w:numFmt w:val="lowerLetter"/>
      <w:lvlText w:val="%8"/>
      <w:lvlJc w:val="left"/>
      <w:pPr>
        <w:ind w:left="632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83BAE578">
      <w:start w:val="1"/>
      <w:numFmt w:val="lowerRoman"/>
      <w:lvlText w:val="%9"/>
      <w:lvlJc w:val="left"/>
      <w:pPr>
        <w:ind w:left="704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51" w15:restartNumberingAfterBreak="0">
    <w:nsid w:val="70D31B9C"/>
    <w:multiLevelType w:val="hybridMultilevel"/>
    <w:tmpl w:val="7A6C11D8"/>
    <w:lvl w:ilvl="0" w:tplc="9DAC6EF4">
      <w:start w:val="1"/>
      <w:numFmt w:val="lowerLetter"/>
      <w:lvlText w:val="%1."/>
      <w:lvlJc w:val="left"/>
      <w:pPr>
        <w:ind w:left="1800" w:hanging="360"/>
      </w:pPr>
      <w:rPr>
        <w:b/>
        <w:bCs w:val="0"/>
        <w:i w:val="0"/>
        <w:strike w:val="0"/>
        <w:dstrike w:val="0"/>
        <w:color w:val="000000"/>
        <w:sz w:val="22"/>
        <w:szCs w:val="22"/>
        <w:u w:val="none" w:color="000000"/>
        <w:bdr w:val="none" w:sz="0" w:space="0" w:color="auto"/>
        <w:shd w:val="clear" w:color="auto" w:fill="auto"/>
        <w:vertAlign w:val="baseline"/>
      </w:rPr>
    </w:lvl>
    <w:lvl w:ilvl="1" w:tplc="8D52F7E4">
      <w:start w:val="1"/>
      <w:numFmt w:val="decimal"/>
      <w:lvlText w:val="(%2)"/>
      <w:lvlJc w:val="left"/>
      <w:pPr>
        <w:ind w:left="23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C2E3DD6">
      <w:start w:val="1"/>
      <w:numFmt w:val="lowerRoman"/>
      <w:lvlText w:val="%3"/>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3AC7C16">
      <w:start w:val="1"/>
      <w:numFmt w:val="decimal"/>
      <w:lvlText w:val="%4"/>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6AA6E6A">
      <w:start w:val="1"/>
      <w:numFmt w:val="lowerLetter"/>
      <w:lvlText w:val="%5"/>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79645C6">
      <w:start w:val="1"/>
      <w:numFmt w:val="lowerRoman"/>
      <w:lvlText w:val="%6"/>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0945342">
      <w:start w:val="1"/>
      <w:numFmt w:val="decimal"/>
      <w:lvlText w:val="%7"/>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95E75EE">
      <w:start w:val="1"/>
      <w:numFmt w:val="lowerLetter"/>
      <w:lvlText w:val="%8"/>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EA208A2">
      <w:start w:val="1"/>
      <w:numFmt w:val="lowerRoman"/>
      <w:lvlText w:val="%9"/>
      <w:lvlJc w:val="left"/>
      <w:pPr>
        <w:ind w:left="68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2" w15:restartNumberingAfterBreak="0">
    <w:nsid w:val="71076CAA"/>
    <w:multiLevelType w:val="hybridMultilevel"/>
    <w:tmpl w:val="766A4464"/>
    <w:lvl w:ilvl="0" w:tplc="FFFFFFFF">
      <w:start w:val="1"/>
      <w:numFmt w:val="lowerLetter"/>
      <w:lvlText w:val="%1."/>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9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27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34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41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48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55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63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70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53" w15:restartNumberingAfterBreak="0">
    <w:nsid w:val="71AC19D6"/>
    <w:multiLevelType w:val="hybridMultilevel"/>
    <w:tmpl w:val="05F04142"/>
    <w:lvl w:ilvl="0" w:tplc="B8D2D888">
      <w:start w:val="1"/>
      <w:numFmt w:val="bullet"/>
      <w:lvlText w:val="•"/>
      <w:lvlJc w:val="left"/>
      <w:pPr>
        <w:ind w:left="216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FFFFFFFF" w:tentative="1">
      <w:start w:val="1"/>
      <w:numFmt w:val="bullet"/>
      <w:lvlText w:val="o"/>
      <w:lvlJc w:val="left"/>
      <w:pPr>
        <w:ind w:left="2880" w:hanging="360"/>
      </w:pPr>
      <w:rPr>
        <w:rFonts w:ascii="Courier New" w:hAnsi="Courier New" w:cs="Courier New" w:hint="default"/>
      </w:rPr>
    </w:lvl>
    <w:lvl w:ilvl="2" w:tplc="FFFFFFFF" w:tentative="1">
      <w:start w:val="1"/>
      <w:numFmt w:val="bullet"/>
      <w:lvlText w:val=""/>
      <w:lvlJc w:val="left"/>
      <w:pPr>
        <w:ind w:left="3600" w:hanging="360"/>
      </w:pPr>
      <w:rPr>
        <w:rFonts w:ascii="Wingdings" w:hAnsi="Wingdings" w:hint="default"/>
      </w:rPr>
    </w:lvl>
    <w:lvl w:ilvl="3" w:tplc="FFFFFFFF" w:tentative="1">
      <w:start w:val="1"/>
      <w:numFmt w:val="bullet"/>
      <w:lvlText w:val=""/>
      <w:lvlJc w:val="left"/>
      <w:pPr>
        <w:ind w:left="4320" w:hanging="360"/>
      </w:pPr>
      <w:rPr>
        <w:rFonts w:ascii="Symbol" w:hAnsi="Symbol" w:hint="default"/>
      </w:rPr>
    </w:lvl>
    <w:lvl w:ilvl="4" w:tplc="FFFFFFFF" w:tentative="1">
      <w:start w:val="1"/>
      <w:numFmt w:val="bullet"/>
      <w:lvlText w:val="o"/>
      <w:lvlJc w:val="left"/>
      <w:pPr>
        <w:ind w:left="5040" w:hanging="360"/>
      </w:pPr>
      <w:rPr>
        <w:rFonts w:ascii="Courier New" w:hAnsi="Courier New" w:cs="Courier New" w:hint="default"/>
      </w:rPr>
    </w:lvl>
    <w:lvl w:ilvl="5" w:tplc="FFFFFFFF" w:tentative="1">
      <w:start w:val="1"/>
      <w:numFmt w:val="bullet"/>
      <w:lvlText w:val=""/>
      <w:lvlJc w:val="left"/>
      <w:pPr>
        <w:ind w:left="5760" w:hanging="360"/>
      </w:pPr>
      <w:rPr>
        <w:rFonts w:ascii="Wingdings" w:hAnsi="Wingdings" w:hint="default"/>
      </w:rPr>
    </w:lvl>
    <w:lvl w:ilvl="6" w:tplc="FFFFFFFF" w:tentative="1">
      <w:start w:val="1"/>
      <w:numFmt w:val="bullet"/>
      <w:lvlText w:val=""/>
      <w:lvlJc w:val="left"/>
      <w:pPr>
        <w:ind w:left="6480" w:hanging="360"/>
      </w:pPr>
      <w:rPr>
        <w:rFonts w:ascii="Symbol" w:hAnsi="Symbol" w:hint="default"/>
      </w:rPr>
    </w:lvl>
    <w:lvl w:ilvl="7" w:tplc="FFFFFFFF" w:tentative="1">
      <w:start w:val="1"/>
      <w:numFmt w:val="bullet"/>
      <w:lvlText w:val="o"/>
      <w:lvlJc w:val="left"/>
      <w:pPr>
        <w:ind w:left="7200" w:hanging="360"/>
      </w:pPr>
      <w:rPr>
        <w:rFonts w:ascii="Courier New" w:hAnsi="Courier New" w:cs="Courier New" w:hint="default"/>
      </w:rPr>
    </w:lvl>
    <w:lvl w:ilvl="8" w:tplc="FFFFFFFF" w:tentative="1">
      <w:start w:val="1"/>
      <w:numFmt w:val="bullet"/>
      <w:lvlText w:val=""/>
      <w:lvlJc w:val="left"/>
      <w:pPr>
        <w:ind w:left="7920" w:hanging="360"/>
      </w:pPr>
      <w:rPr>
        <w:rFonts w:ascii="Wingdings" w:hAnsi="Wingdings" w:hint="default"/>
      </w:rPr>
    </w:lvl>
  </w:abstractNum>
  <w:abstractNum w:abstractNumId="154" w15:restartNumberingAfterBreak="0">
    <w:nsid w:val="71DB2D4F"/>
    <w:multiLevelType w:val="hybridMultilevel"/>
    <w:tmpl w:val="6B60BA82"/>
    <w:lvl w:ilvl="0" w:tplc="986A89F6">
      <w:start w:val="1"/>
      <w:numFmt w:val="decimal"/>
      <w:lvlText w:val="(%1)"/>
      <w:lvlJc w:val="left"/>
      <w:pPr>
        <w:ind w:left="16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8F434AA">
      <w:start w:val="1"/>
      <w:numFmt w:val="lowerLetter"/>
      <w:lvlText w:val="%2"/>
      <w:lvlJc w:val="left"/>
      <w:pPr>
        <w:ind w:left="18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0286F42">
      <w:start w:val="1"/>
      <w:numFmt w:val="lowerRoman"/>
      <w:lvlText w:val="%3"/>
      <w:lvlJc w:val="left"/>
      <w:pPr>
        <w:ind w:left="26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39C1D74">
      <w:start w:val="1"/>
      <w:numFmt w:val="decimal"/>
      <w:lvlText w:val="%4"/>
      <w:lvlJc w:val="left"/>
      <w:pPr>
        <w:ind w:left="33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DDCB09C">
      <w:start w:val="1"/>
      <w:numFmt w:val="lowerLetter"/>
      <w:lvlText w:val="%5"/>
      <w:lvlJc w:val="left"/>
      <w:pPr>
        <w:ind w:left="40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58856B2">
      <w:start w:val="1"/>
      <w:numFmt w:val="lowerRoman"/>
      <w:lvlText w:val="%6"/>
      <w:lvlJc w:val="left"/>
      <w:pPr>
        <w:ind w:left="47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F86BB0C">
      <w:start w:val="1"/>
      <w:numFmt w:val="decimal"/>
      <w:lvlText w:val="%7"/>
      <w:lvlJc w:val="left"/>
      <w:pPr>
        <w:ind w:left="54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376540C">
      <w:start w:val="1"/>
      <w:numFmt w:val="lowerLetter"/>
      <w:lvlText w:val="%8"/>
      <w:lvlJc w:val="left"/>
      <w:pPr>
        <w:ind w:left="62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82267D0">
      <w:start w:val="1"/>
      <w:numFmt w:val="lowerRoman"/>
      <w:lvlText w:val="%9"/>
      <w:lvlJc w:val="left"/>
      <w:pPr>
        <w:ind w:left="69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5" w15:restartNumberingAfterBreak="0">
    <w:nsid w:val="72230AB2"/>
    <w:multiLevelType w:val="hybridMultilevel"/>
    <w:tmpl w:val="F0D4910E"/>
    <w:lvl w:ilvl="0" w:tplc="04090001">
      <w:start w:val="1"/>
      <w:numFmt w:val="bullet"/>
      <w:lvlText w:val=""/>
      <w:lvlJc w:val="left"/>
      <w:pPr>
        <w:ind w:left="2180" w:hanging="360"/>
      </w:pPr>
      <w:rPr>
        <w:rFonts w:ascii="Symbol" w:hAnsi="Symbol" w:hint="default"/>
      </w:rPr>
    </w:lvl>
    <w:lvl w:ilvl="1" w:tplc="04090003" w:tentative="1">
      <w:start w:val="1"/>
      <w:numFmt w:val="bullet"/>
      <w:lvlText w:val="o"/>
      <w:lvlJc w:val="left"/>
      <w:pPr>
        <w:ind w:left="2900" w:hanging="360"/>
      </w:pPr>
      <w:rPr>
        <w:rFonts w:ascii="Courier New" w:hAnsi="Courier New" w:cs="Courier New" w:hint="default"/>
      </w:rPr>
    </w:lvl>
    <w:lvl w:ilvl="2" w:tplc="04090005" w:tentative="1">
      <w:start w:val="1"/>
      <w:numFmt w:val="bullet"/>
      <w:lvlText w:val=""/>
      <w:lvlJc w:val="left"/>
      <w:pPr>
        <w:ind w:left="3620" w:hanging="360"/>
      </w:pPr>
      <w:rPr>
        <w:rFonts w:ascii="Wingdings" w:hAnsi="Wingdings" w:hint="default"/>
      </w:rPr>
    </w:lvl>
    <w:lvl w:ilvl="3" w:tplc="04090001" w:tentative="1">
      <w:start w:val="1"/>
      <w:numFmt w:val="bullet"/>
      <w:lvlText w:val=""/>
      <w:lvlJc w:val="left"/>
      <w:pPr>
        <w:ind w:left="4340" w:hanging="360"/>
      </w:pPr>
      <w:rPr>
        <w:rFonts w:ascii="Symbol" w:hAnsi="Symbol" w:hint="default"/>
      </w:rPr>
    </w:lvl>
    <w:lvl w:ilvl="4" w:tplc="04090003" w:tentative="1">
      <w:start w:val="1"/>
      <w:numFmt w:val="bullet"/>
      <w:lvlText w:val="o"/>
      <w:lvlJc w:val="left"/>
      <w:pPr>
        <w:ind w:left="5060" w:hanging="360"/>
      </w:pPr>
      <w:rPr>
        <w:rFonts w:ascii="Courier New" w:hAnsi="Courier New" w:cs="Courier New" w:hint="default"/>
      </w:rPr>
    </w:lvl>
    <w:lvl w:ilvl="5" w:tplc="04090005" w:tentative="1">
      <w:start w:val="1"/>
      <w:numFmt w:val="bullet"/>
      <w:lvlText w:val=""/>
      <w:lvlJc w:val="left"/>
      <w:pPr>
        <w:ind w:left="5780" w:hanging="360"/>
      </w:pPr>
      <w:rPr>
        <w:rFonts w:ascii="Wingdings" w:hAnsi="Wingdings" w:hint="default"/>
      </w:rPr>
    </w:lvl>
    <w:lvl w:ilvl="6" w:tplc="04090001" w:tentative="1">
      <w:start w:val="1"/>
      <w:numFmt w:val="bullet"/>
      <w:lvlText w:val=""/>
      <w:lvlJc w:val="left"/>
      <w:pPr>
        <w:ind w:left="6500" w:hanging="360"/>
      </w:pPr>
      <w:rPr>
        <w:rFonts w:ascii="Symbol" w:hAnsi="Symbol" w:hint="default"/>
      </w:rPr>
    </w:lvl>
    <w:lvl w:ilvl="7" w:tplc="04090003" w:tentative="1">
      <w:start w:val="1"/>
      <w:numFmt w:val="bullet"/>
      <w:lvlText w:val="o"/>
      <w:lvlJc w:val="left"/>
      <w:pPr>
        <w:ind w:left="7220" w:hanging="360"/>
      </w:pPr>
      <w:rPr>
        <w:rFonts w:ascii="Courier New" w:hAnsi="Courier New" w:cs="Courier New" w:hint="default"/>
      </w:rPr>
    </w:lvl>
    <w:lvl w:ilvl="8" w:tplc="04090005" w:tentative="1">
      <w:start w:val="1"/>
      <w:numFmt w:val="bullet"/>
      <w:lvlText w:val=""/>
      <w:lvlJc w:val="left"/>
      <w:pPr>
        <w:ind w:left="7940" w:hanging="360"/>
      </w:pPr>
      <w:rPr>
        <w:rFonts w:ascii="Wingdings" w:hAnsi="Wingdings" w:hint="default"/>
      </w:rPr>
    </w:lvl>
  </w:abstractNum>
  <w:abstractNum w:abstractNumId="156" w15:restartNumberingAfterBreak="0">
    <w:nsid w:val="72E33F4D"/>
    <w:multiLevelType w:val="hybridMultilevel"/>
    <w:tmpl w:val="1750DC30"/>
    <w:lvl w:ilvl="0" w:tplc="50E4D0C8">
      <w:start w:val="1"/>
      <w:numFmt w:val="decimal"/>
      <w:lvlText w:val="(%1)"/>
      <w:lvlJc w:val="left"/>
      <w:pPr>
        <w:ind w:left="3518" w:hanging="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4090019" w:tentative="1">
      <w:start w:val="1"/>
      <w:numFmt w:val="lowerLetter"/>
      <w:lvlText w:val="%2."/>
      <w:lvlJc w:val="left"/>
      <w:pPr>
        <w:ind w:left="4238" w:hanging="360"/>
      </w:pPr>
    </w:lvl>
    <w:lvl w:ilvl="2" w:tplc="0409001B" w:tentative="1">
      <w:start w:val="1"/>
      <w:numFmt w:val="lowerRoman"/>
      <w:lvlText w:val="%3."/>
      <w:lvlJc w:val="right"/>
      <w:pPr>
        <w:ind w:left="4958" w:hanging="180"/>
      </w:pPr>
    </w:lvl>
    <w:lvl w:ilvl="3" w:tplc="0409000F" w:tentative="1">
      <w:start w:val="1"/>
      <w:numFmt w:val="decimal"/>
      <w:lvlText w:val="%4."/>
      <w:lvlJc w:val="left"/>
      <w:pPr>
        <w:ind w:left="5678" w:hanging="360"/>
      </w:pPr>
    </w:lvl>
    <w:lvl w:ilvl="4" w:tplc="04090019" w:tentative="1">
      <w:start w:val="1"/>
      <w:numFmt w:val="lowerLetter"/>
      <w:lvlText w:val="%5."/>
      <w:lvlJc w:val="left"/>
      <w:pPr>
        <w:ind w:left="6398" w:hanging="360"/>
      </w:pPr>
    </w:lvl>
    <w:lvl w:ilvl="5" w:tplc="0409001B" w:tentative="1">
      <w:start w:val="1"/>
      <w:numFmt w:val="lowerRoman"/>
      <w:lvlText w:val="%6."/>
      <w:lvlJc w:val="right"/>
      <w:pPr>
        <w:ind w:left="7118" w:hanging="180"/>
      </w:pPr>
    </w:lvl>
    <w:lvl w:ilvl="6" w:tplc="0409000F" w:tentative="1">
      <w:start w:val="1"/>
      <w:numFmt w:val="decimal"/>
      <w:lvlText w:val="%7."/>
      <w:lvlJc w:val="left"/>
      <w:pPr>
        <w:ind w:left="7838" w:hanging="360"/>
      </w:pPr>
    </w:lvl>
    <w:lvl w:ilvl="7" w:tplc="04090019" w:tentative="1">
      <w:start w:val="1"/>
      <w:numFmt w:val="lowerLetter"/>
      <w:lvlText w:val="%8."/>
      <w:lvlJc w:val="left"/>
      <w:pPr>
        <w:ind w:left="8558" w:hanging="360"/>
      </w:pPr>
    </w:lvl>
    <w:lvl w:ilvl="8" w:tplc="0409001B" w:tentative="1">
      <w:start w:val="1"/>
      <w:numFmt w:val="lowerRoman"/>
      <w:lvlText w:val="%9."/>
      <w:lvlJc w:val="right"/>
      <w:pPr>
        <w:ind w:left="9278" w:hanging="180"/>
      </w:pPr>
    </w:lvl>
  </w:abstractNum>
  <w:abstractNum w:abstractNumId="157" w15:restartNumberingAfterBreak="0">
    <w:nsid w:val="74106A60"/>
    <w:multiLevelType w:val="hybridMultilevel"/>
    <w:tmpl w:val="4EEC1C36"/>
    <w:lvl w:ilvl="0" w:tplc="FFFFFFFF">
      <w:start w:val="1"/>
      <w:numFmt w:val="lowerLetter"/>
      <w:lvlText w:val="%1."/>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9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27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34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41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48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55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63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70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58" w15:restartNumberingAfterBreak="0">
    <w:nsid w:val="749A7CCB"/>
    <w:multiLevelType w:val="hybridMultilevel"/>
    <w:tmpl w:val="7A6C11D8"/>
    <w:lvl w:ilvl="0" w:tplc="FFFFFFFF">
      <w:start w:val="1"/>
      <w:numFmt w:val="lowerLetter"/>
      <w:lvlText w:val="%1."/>
      <w:lvlJc w:val="left"/>
      <w:pPr>
        <w:ind w:left="1800" w:hanging="360"/>
      </w:pPr>
      <w:rPr>
        <w:b/>
        <w:bCs w:val="0"/>
        <w:i w:val="0"/>
        <w:strike w:val="0"/>
        <w:dstrike w:val="0"/>
        <w:color w:val="000000"/>
        <w:sz w:val="22"/>
        <w:szCs w:val="22"/>
        <w:u w:val="none" w:color="000000"/>
        <w:bdr w:val="none" w:sz="0" w:space="0" w:color="auto"/>
        <w:shd w:val="clear" w:color="auto" w:fill="auto"/>
        <w:vertAlign w:val="baseline"/>
      </w:rPr>
    </w:lvl>
    <w:lvl w:ilvl="1" w:tplc="FFFFFFFF">
      <w:start w:val="1"/>
      <w:numFmt w:val="decimal"/>
      <w:lvlText w:val="(%2)"/>
      <w:lvlJc w:val="left"/>
      <w:pPr>
        <w:ind w:left="23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8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9" w15:restartNumberingAfterBreak="0">
    <w:nsid w:val="751904BB"/>
    <w:multiLevelType w:val="hybridMultilevel"/>
    <w:tmpl w:val="7B747574"/>
    <w:lvl w:ilvl="0" w:tplc="50E4D0C8">
      <w:start w:val="1"/>
      <w:numFmt w:val="decimal"/>
      <w:lvlText w:val="(%1)"/>
      <w:lvlJc w:val="left"/>
      <w:pPr>
        <w:ind w:left="22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430239C">
      <w:start w:val="1"/>
      <w:numFmt w:val="lowerLetter"/>
      <w:lvlText w:val="%2"/>
      <w:lvlJc w:val="left"/>
      <w:pPr>
        <w:ind w:left="23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66A56B0">
      <w:start w:val="1"/>
      <w:numFmt w:val="lowerRoman"/>
      <w:lvlText w:val="%3"/>
      <w:lvlJc w:val="left"/>
      <w:pPr>
        <w:ind w:left="30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3DC470A">
      <w:start w:val="1"/>
      <w:numFmt w:val="decimal"/>
      <w:lvlText w:val="%4"/>
      <w:lvlJc w:val="left"/>
      <w:pPr>
        <w:ind w:left="37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6F6A9FA">
      <w:start w:val="1"/>
      <w:numFmt w:val="lowerLetter"/>
      <w:lvlText w:val="%5"/>
      <w:lvlJc w:val="left"/>
      <w:pPr>
        <w:ind w:left="45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CD0DF3C">
      <w:start w:val="1"/>
      <w:numFmt w:val="lowerRoman"/>
      <w:lvlText w:val="%6"/>
      <w:lvlJc w:val="left"/>
      <w:pPr>
        <w:ind w:left="52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F9EF062">
      <w:start w:val="1"/>
      <w:numFmt w:val="decimal"/>
      <w:lvlText w:val="%7"/>
      <w:lvlJc w:val="left"/>
      <w:pPr>
        <w:ind w:left="59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27CDB78">
      <w:start w:val="1"/>
      <w:numFmt w:val="lowerLetter"/>
      <w:lvlText w:val="%8"/>
      <w:lvlJc w:val="left"/>
      <w:pPr>
        <w:ind w:left="66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9F83E90">
      <w:start w:val="1"/>
      <w:numFmt w:val="lowerRoman"/>
      <w:lvlText w:val="%9"/>
      <w:lvlJc w:val="left"/>
      <w:pPr>
        <w:ind w:left="73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0" w15:restartNumberingAfterBreak="0">
    <w:nsid w:val="763E6D92"/>
    <w:multiLevelType w:val="hybridMultilevel"/>
    <w:tmpl w:val="FB6ADD64"/>
    <w:lvl w:ilvl="0" w:tplc="D30028C4">
      <w:start w:val="1"/>
      <w:numFmt w:val="decimal"/>
      <w:lvlText w:val="%1."/>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2EEA1FCA">
      <w:start w:val="1"/>
      <w:numFmt w:val="lowerLetter"/>
      <w:lvlText w:val="%2"/>
      <w:lvlJc w:val="left"/>
      <w:pPr>
        <w:ind w:left="12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E9C4960C">
      <w:start w:val="1"/>
      <w:numFmt w:val="lowerRoman"/>
      <w:lvlText w:val="%3"/>
      <w:lvlJc w:val="left"/>
      <w:pPr>
        <w:ind w:left="19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EC9E2AE6">
      <w:start w:val="1"/>
      <w:numFmt w:val="decimal"/>
      <w:lvlText w:val="%4"/>
      <w:lvlJc w:val="left"/>
      <w:pPr>
        <w:ind w:left="27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0682F590">
      <w:start w:val="1"/>
      <w:numFmt w:val="lowerLetter"/>
      <w:lvlText w:val="%5"/>
      <w:lvlJc w:val="left"/>
      <w:pPr>
        <w:ind w:left="34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445833C0">
      <w:start w:val="1"/>
      <w:numFmt w:val="lowerRoman"/>
      <w:lvlText w:val="%6"/>
      <w:lvlJc w:val="left"/>
      <w:pPr>
        <w:ind w:left="41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DE68CE72">
      <w:start w:val="1"/>
      <w:numFmt w:val="decimal"/>
      <w:lvlText w:val="%7"/>
      <w:lvlJc w:val="left"/>
      <w:pPr>
        <w:ind w:left="48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7ED64158">
      <w:start w:val="1"/>
      <w:numFmt w:val="lowerLetter"/>
      <w:lvlText w:val="%8"/>
      <w:lvlJc w:val="left"/>
      <w:pPr>
        <w:ind w:left="55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38069D5C">
      <w:start w:val="1"/>
      <w:numFmt w:val="lowerRoman"/>
      <w:lvlText w:val="%9"/>
      <w:lvlJc w:val="left"/>
      <w:pPr>
        <w:ind w:left="63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61" w15:restartNumberingAfterBreak="0">
    <w:nsid w:val="764B72EB"/>
    <w:multiLevelType w:val="hybridMultilevel"/>
    <w:tmpl w:val="DD64F87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2" w15:restartNumberingAfterBreak="0">
    <w:nsid w:val="772520B7"/>
    <w:multiLevelType w:val="hybridMultilevel"/>
    <w:tmpl w:val="6B60BA82"/>
    <w:lvl w:ilvl="0" w:tplc="986A89F6">
      <w:start w:val="1"/>
      <w:numFmt w:val="decimal"/>
      <w:lvlText w:val="(%1)"/>
      <w:lvlJc w:val="left"/>
      <w:pPr>
        <w:ind w:left="16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8F434AA">
      <w:start w:val="1"/>
      <w:numFmt w:val="lowerLetter"/>
      <w:lvlText w:val="%2"/>
      <w:lvlJc w:val="left"/>
      <w:pPr>
        <w:ind w:left="18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0286F42">
      <w:start w:val="1"/>
      <w:numFmt w:val="lowerRoman"/>
      <w:lvlText w:val="%3"/>
      <w:lvlJc w:val="left"/>
      <w:pPr>
        <w:ind w:left="26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39C1D74">
      <w:start w:val="1"/>
      <w:numFmt w:val="decimal"/>
      <w:lvlText w:val="%4"/>
      <w:lvlJc w:val="left"/>
      <w:pPr>
        <w:ind w:left="33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DDCB09C">
      <w:start w:val="1"/>
      <w:numFmt w:val="lowerLetter"/>
      <w:lvlText w:val="%5"/>
      <w:lvlJc w:val="left"/>
      <w:pPr>
        <w:ind w:left="40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58856B2">
      <w:start w:val="1"/>
      <w:numFmt w:val="lowerRoman"/>
      <w:lvlText w:val="%6"/>
      <w:lvlJc w:val="left"/>
      <w:pPr>
        <w:ind w:left="47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F86BB0C">
      <w:start w:val="1"/>
      <w:numFmt w:val="decimal"/>
      <w:lvlText w:val="%7"/>
      <w:lvlJc w:val="left"/>
      <w:pPr>
        <w:ind w:left="54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376540C">
      <w:start w:val="1"/>
      <w:numFmt w:val="lowerLetter"/>
      <w:lvlText w:val="%8"/>
      <w:lvlJc w:val="left"/>
      <w:pPr>
        <w:ind w:left="62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82267D0">
      <w:start w:val="1"/>
      <w:numFmt w:val="lowerRoman"/>
      <w:lvlText w:val="%9"/>
      <w:lvlJc w:val="left"/>
      <w:pPr>
        <w:ind w:left="69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3" w15:restartNumberingAfterBreak="0">
    <w:nsid w:val="78907D8B"/>
    <w:multiLevelType w:val="hybridMultilevel"/>
    <w:tmpl w:val="CE6461F6"/>
    <w:lvl w:ilvl="0" w:tplc="B568ED58">
      <w:start w:val="1"/>
      <w:numFmt w:val="decimal"/>
      <w:lvlText w:val="(%1)"/>
      <w:lvlJc w:val="left"/>
      <w:pPr>
        <w:ind w:left="16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5A211E4">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4" w15:restartNumberingAfterBreak="0">
    <w:nsid w:val="79C60482"/>
    <w:multiLevelType w:val="hybridMultilevel"/>
    <w:tmpl w:val="1CD0D09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5" w15:restartNumberingAfterBreak="0">
    <w:nsid w:val="79E35DDE"/>
    <w:multiLevelType w:val="hybridMultilevel"/>
    <w:tmpl w:val="C7DCC288"/>
    <w:lvl w:ilvl="0" w:tplc="59CA1B0A">
      <w:start w:val="1"/>
      <w:numFmt w:val="decimal"/>
      <w:lvlText w:val="(%1)"/>
      <w:lvlJc w:val="left"/>
      <w:pPr>
        <w:ind w:left="14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3840832">
      <w:start w:val="1"/>
      <w:numFmt w:val="lowerLetter"/>
      <w:lvlText w:val="%2"/>
      <w:lvlJc w:val="left"/>
      <w:pPr>
        <w:ind w:left="20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B4AA700">
      <w:start w:val="1"/>
      <w:numFmt w:val="lowerRoman"/>
      <w:lvlText w:val="%3"/>
      <w:lvlJc w:val="left"/>
      <w:pPr>
        <w:ind w:left="27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6841842">
      <w:start w:val="1"/>
      <w:numFmt w:val="decimal"/>
      <w:lvlText w:val="%4"/>
      <w:lvlJc w:val="left"/>
      <w:pPr>
        <w:ind w:left="35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FFACB98">
      <w:start w:val="1"/>
      <w:numFmt w:val="lowerLetter"/>
      <w:lvlText w:val="%5"/>
      <w:lvlJc w:val="left"/>
      <w:pPr>
        <w:ind w:left="42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7B22732">
      <w:start w:val="1"/>
      <w:numFmt w:val="lowerRoman"/>
      <w:lvlText w:val="%6"/>
      <w:lvlJc w:val="left"/>
      <w:pPr>
        <w:ind w:left="49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8EC88F0">
      <w:start w:val="1"/>
      <w:numFmt w:val="decimal"/>
      <w:lvlText w:val="%7"/>
      <w:lvlJc w:val="left"/>
      <w:pPr>
        <w:ind w:left="56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054DB48">
      <w:start w:val="1"/>
      <w:numFmt w:val="lowerLetter"/>
      <w:lvlText w:val="%8"/>
      <w:lvlJc w:val="left"/>
      <w:pPr>
        <w:ind w:left="63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5AA41A4">
      <w:start w:val="1"/>
      <w:numFmt w:val="lowerRoman"/>
      <w:lvlText w:val="%9"/>
      <w:lvlJc w:val="left"/>
      <w:pPr>
        <w:ind w:left="71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6" w15:restartNumberingAfterBreak="0">
    <w:nsid w:val="7B2E6163"/>
    <w:multiLevelType w:val="hybridMultilevel"/>
    <w:tmpl w:val="974E2B6E"/>
    <w:lvl w:ilvl="0" w:tplc="E9FAAD92">
      <w:start w:val="1"/>
      <w:numFmt w:val="lowerLetter"/>
      <w:lvlText w:val="%1."/>
      <w:lvlJc w:val="left"/>
      <w:pPr>
        <w:ind w:left="117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7746224C">
      <w:start w:val="1"/>
      <w:numFmt w:val="decimal"/>
      <w:lvlText w:val="(%2)"/>
      <w:lvlJc w:val="left"/>
      <w:pPr>
        <w:ind w:left="1623"/>
      </w:pPr>
      <w:rPr>
        <w:rFonts w:ascii="Times New Roman" w:eastAsia="Times New Roman" w:hAnsi="Times New Roman" w:cs="Times New Roman"/>
        <w:b w:val="0"/>
        <w:bCs w:val="0"/>
        <w:i w:val="0"/>
        <w:strike w:val="0"/>
        <w:dstrike w:val="0"/>
        <w:color w:val="000000"/>
        <w:sz w:val="22"/>
        <w:szCs w:val="22"/>
        <w:u w:val="none" w:color="000000"/>
        <w:bdr w:val="none" w:sz="0" w:space="0" w:color="auto"/>
        <w:shd w:val="clear" w:color="auto" w:fill="auto"/>
        <w:vertAlign w:val="baseline"/>
      </w:rPr>
    </w:lvl>
    <w:lvl w:ilvl="2" w:tplc="00168D98">
      <w:start w:val="1"/>
      <w:numFmt w:val="lowerRoman"/>
      <w:lvlText w:val="%3"/>
      <w:lvlJc w:val="left"/>
      <w:pPr>
        <w:ind w:left="207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9A4A915C">
      <w:start w:val="1"/>
      <w:numFmt w:val="decimal"/>
      <w:lvlText w:val="%4"/>
      <w:lvlJc w:val="left"/>
      <w:pPr>
        <w:ind w:left="279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1DD4ADE0">
      <w:start w:val="1"/>
      <w:numFmt w:val="lowerLetter"/>
      <w:lvlText w:val="%5"/>
      <w:lvlJc w:val="left"/>
      <w:pPr>
        <w:ind w:left="351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F20C5C4C">
      <w:start w:val="1"/>
      <w:numFmt w:val="lowerRoman"/>
      <w:lvlText w:val="%6"/>
      <w:lvlJc w:val="left"/>
      <w:pPr>
        <w:ind w:left="423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641028DE">
      <w:start w:val="1"/>
      <w:numFmt w:val="decimal"/>
      <w:lvlText w:val="%7"/>
      <w:lvlJc w:val="left"/>
      <w:pPr>
        <w:ind w:left="495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280CCEF6">
      <w:start w:val="1"/>
      <w:numFmt w:val="lowerLetter"/>
      <w:lvlText w:val="%8"/>
      <w:lvlJc w:val="left"/>
      <w:pPr>
        <w:ind w:left="567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30104EE0">
      <w:start w:val="1"/>
      <w:numFmt w:val="lowerRoman"/>
      <w:lvlText w:val="%9"/>
      <w:lvlJc w:val="left"/>
      <w:pPr>
        <w:ind w:left="639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67" w15:restartNumberingAfterBreak="0">
    <w:nsid w:val="7B3611BB"/>
    <w:multiLevelType w:val="hybridMultilevel"/>
    <w:tmpl w:val="B05AF022"/>
    <w:lvl w:ilvl="0" w:tplc="04CEB608">
      <w:start w:val="1"/>
      <w:numFmt w:val="decimal"/>
      <w:lvlText w:val="(%1)"/>
      <w:lvlJc w:val="left"/>
      <w:pPr>
        <w:ind w:left="24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2F6495E">
      <w:start w:val="1"/>
      <w:numFmt w:val="lowerLetter"/>
      <w:lvlText w:val="%2"/>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31C3A50">
      <w:start w:val="1"/>
      <w:numFmt w:val="lowerRoman"/>
      <w:lvlText w:val="%3"/>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D7CBD36">
      <w:start w:val="1"/>
      <w:numFmt w:val="decimal"/>
      <w:lvlText w:val="%4"/>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33EF7D2">
      <w:start w:val="1"/>
      <w:numFmt w:val="lowerLetter"/>
      <w:lvlText w:val="%5"/>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0BE47F0">
      <w:start w:val="1"/>
      <w:numFmt w:val="lowerRoman"/>
      <w:lvlText w:val="%6"/>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F782D7C">
      <w:start w:val="1"/>
      <w:numFmt w:val="decimal"/>
      <w:lvlText w:val="%7"/>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E849AC8">
      <w:start w:val="1"/>
      <w:numFmt w:val="lowerLetter"/>
      <w:lvlText w:val="%8"/>
      <w:lvlJc w:val="left"/>
      <w:pPr>
        <w:ind w:left="68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9A64B3E">
      <w:start w:val="1"/>
      <w:numFmt w:val="lowerRoman"/>
      <w:lvlText w:val="%9"/>
      <w:lvlJc w:val="left"/>
      <w:pPr>
        <w:ind w:left="75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8" w15:restartNumberingAfterBreak="0">
    <w:nsid w:val="7C3269FB"/>
    <w:multiLevelType w:val="hybridMultilevel"/>
    <w:tmpl w:val="FB6ADD64"/>
    <w:lvl w:ilvl="0" w:tplc="D30028C4">
      <w:start w:val="1"/>
      <w:numFmt w:val="decimal"/>
      <w:lvlText w:val="%1."/>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2EEA1FCA">
      <w:start w:val="1"/>
      <w:numFmt w:val="lowerLetter"/>
      <w:lvlText w:val="%2"/>
      <w:lvlJc w:val="left"/>
      <w:pPr>
        <w:ind w:left="12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E9C4960C">
      <w:start w:val="1"/>
      <w:numFmt w:val="lowerRoman"/>
      <w:lvlText w:val="%3"/>
      <w:lvlJc w:val="left"/>
      <w:pPr>
        <w:ind w:left="19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EC9E2AE6">
      <w:start w:val="1"/>
      <w:numFmt w:val="decimal"/>
      <w:lvlText w:val="%4"/>
      <w:lvlJc w:val="left"/>
      <w:pPr>
        <w:ind w:left="27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0682F590">
      <w:start w:val="1"/>
      <w:numFmt w:val="lowerLetter"/>
      <w:lvlText w:val="%5"/>
      <w:lvlJc w:val="left"/>
      <w:pPr>
        <w:ind w:left="34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445833C0">
      <w:start w:val="1"/>
      <w:numFmt w:val="lowerRoman"/>
      <w:lvlText w:val="%6"/>
      <w:lvlJc w:val="left"/>
      <w:pPr>
        <w:ind w:left="41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DE68CE72">
      <w:start w:val="1"/>
      <w:numFmt w:val="decimal"/>
      <w:lvlText w:val="%7"/>
      <w:lvlJc w:val="left"/>
      <w:pPr>
        <w:ind w:left="48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7ED64158">
      <w:start w:val="1"/>
      <w:numFmt w:val="lowerLetter"/>
      <w:lvlText w:val="%8"/>
      <w:lvlJc w:val="left"/>
      <w:pPr>
        <w:ind w:left="55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38069D5C">
      <w:start w:val="1"/>
      <w:numFmt w:val="lowerRoman"/>
      <w:lvlText w:val="%9"/>
      <w:lvlJc w:val="left"/>
      <w:pPr>
        <w:ind w:left="63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69" w15:restartNumberingAfterBreak="0">
    <w:nsid w:val="7C837094"/>
    <w:multiLevelType w:val="hybridMultilevel"/>
    <w:tmpl w:val="26DC4D32"/>
    <w:lvl w:ilvl="0" w:tplc="0448B2B4">
      <w:start w:val="1"/>
      <w:numFmt w:val="upperRoman"/>
      <w:pStyle w:val="TOC1"/>
      <w:lvlText w:val="%1."/>
      <w:lvlJc w:val="left"/>
      <w:pPr>
        <w:ind w:left="710" w:hanging="720"/>
      </w:pPr>
      <w:rPr>
        <w:rFonts w:ascii="Times New Roman" w:eastAsia="Times New Roman" w:hAnsi="Times New Roman" w:cs="Times New Roman" w:hint="default"/>
        <w:color w:val="000000"/>
      </w:rPr>
    </w:lvl>
    <w:lvl w:ilvl="1" w:tplc="04090019" w:tentative="1">
      <w:start w:val="1"/>
      <w:numFmt w:val="lowerLetter"/>
      <w:lvlText w:val="%2."/>
      <w:lvlJc w:val="left"/>
      <w:pPr>
        <w:ind w:left="1070" w:hanging="360"/>
      </w:pPr>
    </w:lvl>
    <w:lvl w:ilvl="2" w:tplc="0409001B" w:tentative="1">
      <w:start w:val="1"/>
      <w:numFmt w:val="lowerRoman"/>
      <w:lvlText w:val="%3."/>
      <w:lvlJc w:val="right"/>
      <w:pPr>
        <w:ind w:left="1790" w:hanging="180"/>
      </w:pPr>
    </w:lvl>
    <w:lvl w:ilvl="3" w:tplc="0409000F" w:tentative="1">
      <w:start w:val="1"/>
      <w:numFmt w:val="decimal"/>
      <w:lvlText w:val="%4."/>
      <w:lvlJc w:val="left"/>
      <w:pPr>
        <w:ind w:left="2510" w:hanging="360"/>
      </w:pPr>
    </w:lvl>
    <w:lvl w:ilvl="4" w:tplc="04090019" w:tentative="1">
      <w:start w:val="1"/>
      <w:numFmt w:val="lowerLetter"/>
      <w:lvlText w:val="%5."/>
      <w:lvlJc w:val="left"/>
      <w:pPr>
        <w:ind w:left="3230" w:hanging="360"/>
      </w:pPr>
    </w:lvl>
    <w:lvl w:ilvl="5" w:tplc="0409001B" w:tentative="1">
      <w:start w:val="1"/>
      <w:numFmt w:val="lowerRoman"/>
      <w:lvlText w:val="%6."/>
      <w:lvlJc w:val="right"/>
      <w:pPr>
        <w:ind w:left="3950" w:hanging="180"/>
      </w:pPr>
    </w:lvl>
    <w:lvl w:ilvl="6" w:tplc="0409000F" w:tentative="1">
      <w:start w:val="1"/>
      <w:numFmt w:val="decimal"/>
      <w:lvlText w:val="%7."/>
      <w:lvlJc w:val="left"/>
      <w:pPr>
        <w:ind w:left="4670" w:hanging="360"/>
      </w:pPr>
    </w:lvl>
    <w:lvl w:ilvl="7" w:tplc="04090019" w:tentative="1">
      <w:start w:val="1"/>
      <w:numFmt w:val="lowerLetter"/>
      <w:lvlText w:val="%8."/>
      <w:lvlJc w:val="left"/>
      <w:pPr>
        <w:ind w:left="5390" w:hanging="360"/>
      </w:pPr>
    </w:lvl>
    <w:lvl w:ilvl="8" w:tplc="0409001B" w:tentative="1">
      <w:start w:val="1"/>
      <w:numFmt w:val="lowerRoman"/>
      <w:lvlText w:val="%9."/>
      <w:lvlJc w:val="right"/>
      <w:pPr>
        <w:ind w:left="6110" w:hanging="180"/>
      </w:pPr>
    </w:lvl>
  </w:abstractNum>
  <w:abstractNum w:abstractNumId="170" w15:restartNumberingAfterBreak="0">
    <w:nsid w:val="7DDC2572"/>
    <w:multiLevelType w:val="hybridMultilevel"/>
    <w:tmpl w:val="721AB826"/>
    <w:lvl w:ilvl="0" w:tplc="2C704966">
      <w:start w:val="1"/>
      <w:numFmt w:val="decimal"/>
      <w:lvlText w:val="%1."/>
      <w:lvlJc w:val="left"/>
      <w:pPr>
        <w:ind w:left="135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2FB21F76">
      <w:start w:val="1"/>
      <w:numFmt w:val="lowerLetter"/>
      <w:lvlText w:val="%2"/>
      <w:lvlJc w:val="left"/>
      <w:pPr>
        <w:ind w:left="14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5DE69464">
      <w:start w:val="1"/>
      <w:numFmt w:val="lowerRoman"/>
      <w:lvlText w:val="%3"/>
      <w:lvlJc w:val="left"/>
      <w:pPr>
        <w:ind w:left="21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4E8496A6">
      <w:start w:val="1"/>
      <w:numFmt w:val="decimal"/>
      <w:lvlText w:val="%4"/>
      <w:lvlJc w:val="left"/>
      <w:pPr>
        <w:ind w:left="28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E276798C">
      <w:start w:val="1"/>
      <w:numFmt w:val="lowerLetter"/>
      <w:lvlText w:val="%5"/>
      <w:lvlJc w:val="left"/>
      <w:pPr>
        <w:ind w:left="36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5A9A1D94">
      <w:start w:val="1"/>
      <w:numFmt w:val="lowerRoman"/>
      <w:lvlText w:val="%6"/>
      <w:lvlJc w:val="left"/>
      <w:pPr>
        <w:ind w:left="43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416AD188">
      <w:start w:val="1"/>
      <w:numFmt w:val="decimal"/>
      <w:lvlText w:val="%7"/>
      <w:lvlJc w:val="left"/>
      <w:pPr>
        <w:ind w:left="50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D23E4024">
      <w:start w:val="1"/>
      <w:numFmt w:val="lowerLetter"/>
      <w:lvlText w:val="%8"/>
      <w:lvlJc w:val="left"/>
      <w:pPr>
        <w:ind w:left="57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19C4EFFC">
      <w:start w:val="1"/>
      <w:numFmt w:val="lowerRoman"/>
      <w:lvlText w:val="%9"/>
      <w:lvlJc w:val="left"/>
      <w:pPr>
        <w:ind w:left="64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71" w15:restartNumberingAfterBreak="0">
    <w:nsid w:val="7E317DCF"/>
    <w:multiLevelType w:val="hybridMultilevel"/>
    <w:tmpl w:val="5CFE19EA"/>
    <w:lvl w:ilvl="0" w:tplc="A82C08C8">
      <w:start w:val="1"/>
      <w:numFmt w:val="decimal"/>
      <w:lvlText w:val="(%1)"/>
      <w:lvlJc w:val="left"/>
      <w:pPr>
        <w:ind w:left="2432"/>
      </w:pPr>
      <w:rPr>
        <w:rFonts w:ascii="Times New Roman" w:eastAsia="Times New Roman" w:hAnsi="Times New Roman" w:cs="Times New Roman"/>
        <w:b w:val="0"/>
        <w:bCs w:val="0"/>
        <w:i w:val="0"/>
        <w:strike w:val="0"/>
        <w:dstrike w:val="0"/>
        <w:color w:val="000000"/>
        <w:sz w:val="22"/>
        <w:szCs w:val="22"/>
        <w:u w:val="none" w:color="000000"/>
        <w:bdr w:val="none" w:sz="0" w:space="0" w:color="auto"/>
        <w:shd w:val="clear" w:color="auto" w:fill="auto"/>
        <w:vertAlign w:val="baseline"/>
      </w:rPr>
    </w:lvl>
    <w:lvl w:ilvl="1" w:tplc="FEACADF8">
      <w:start w:val="1"/>
      <w:numFmt w:val="lowerLetter"/>
      <w:lvlText w:val="%2"/>
      <w:lvlJc w:val="left"/>
      <w:pPr>
        <w:ind w:left="261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8A8C9DF2">
      <w:start w:val="1"/>
      <w:numFmt w:val="lowerRoman"/>
      <w:lvlText w:val="%3"/>
      <w:lvlJc w:val="left"/>
      <w:pPr>
        <w:ind w:left="333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B3DCAADA">
      <w:start w:val="1"/>
      <w:numFmt w:val="decimal"/>
      <w:lvlText w:val="%4"/>
      <w:lvlJc w:val="left"/>
      <w:pPr>
        <w:ind w:left="405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063805E8">
      <w:start w:val="1"/>
      <w:numFmt w:val="lowerLetter"/>
      <w:lvlText w:val="%5"/>
      <w:lvlJc w:val="left"/>
      <w:pPr>
        <w:ind w:left="477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FF5AD56A">
      <w:start w:val="1"/>
      <w:numFmt w:val="lowerRoman"/>
      <w:lvlText w:val="%6"/>
      <w:lvlJc w:val="left"/>
      <w:pPr>
        <w:ind w:left="549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DA58EE46">
      <w:start w:val="1"/>
      <w:numFmt w:val="decimal"/>
      <w:lvlText w:val="%7"/>
      <w:lvlJc w:val="left"/>
      <w:pPr>
        <w:ind w:left="621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A8148AC0">
      <w:start w:val="1"/>
      <w:numFmt w:val="lowerLetter"/>
      <w:lvlText w:val="%8"/>
      <w:lvlJc w:val="left"/>
      <w:pPr>
        <w:ind w:left="693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79ECDA00">
      <w:start w:val="1"/>
      <w:numFmt w:val="lowerRoman"/>
      <w:lvlText w:val="%9"/>
      <w:lvlJc w:val="left"/>
      <w:pPr>
        <w:ind w:left="765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72" w15:restartNumberingAfterBreak="0">
    <w:nsid w:val="7EA26673"/>
    <w:multiLevelType w:val="hybridMultilevel"/>
    <w:tmpl w:val="5CFE19EA"/>
    <w:lvl w:ilvl="0" w:tplc="FFFFFFFF">
      <w:start w:val="1"/>
      <w:numFmt w:val="decimal"/>
      <w:lvlText w:val="(%1)"/>
      <w:lvlJc w:val="left"/>
      <w:pPr>
        <w:ind w:left="2432"/>
      </w:pPr>
      <w:rPr>
        <w:rFonts w:ascii="Times New Roman" w:eastAsia="Times New Roman" w:hAnsi="Times New Roman" w:cs="Times New Roman"/>
        <w:b w:val="0"/>
        <w:bCs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261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333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405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477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549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621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693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7651"/>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73" w15:restartNumberingAfterBreak="0">
    <w:nsid w:val="7F855E74"/>
    <w:multiLevelType w:val="hybridMultilevel"/>
    <w:tmpl w:val="F0769C28"/>
    <w:lvl w:ilvl="0" w:tplc="FFFFFFFF">
      <w:start w:val="1"/>
      <w:numFmt w:val="decimal"/>
      <w:lvlText w:val="(%1)"/>
      <w:lvlJc w:val="left"/>
      <w:pPr>
        <w:ind w:left="22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23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30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37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45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52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59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66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73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74" w15:restartNumberingAfterBreak="0">
    <w:nsid w:val="7FFC4766"/>
    <w:multiLevelType w:val="hybridMultilevel"/>
    <w:tmpl w:val="766A4464"/>
    <w:lvl w:ilvl="0" w:tplc="5DC273F2">
      <w:start w:val="1"/>
      <w:numFmt w:val="lowerLetter"/>
      <w:lvlText w:val="%1."/>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81E6F5C2">
      <w:start w:val="1"/>
      <w:numFmt w:val="lowerLetter"/>
      <w:lvlText w:val="%2"/>
      <w:lvlJc w:val="left"/>
      <w:pPr>
        <w:ind w:left="19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CB062A62">
      <w:start w:val="1"/>
      <w:numFmt w:val="lowerRoman"/>
      <w:lvlText w:val="%3"/>
      <w:lvlJc w:val="left"/>
      <w:pPr>
        <w:ind w:left="27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49A819BA">
      <w:start w:val="1"/>
      <w:numFmt w:val="decimal"/>
      <w:lvlText w:val="%4"/>
      <w:lvlJc w:val="left"/>
      <w:pPr>
        <w:ind w:left="34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4CEEA0EA">
      <w:start w:val="1"/>
      <w:numFmt w:val="lowerLetter"/>
      <w:lvlText w:val="%5"/>
      <w:lvlJc w:val="left"/>
      <w:pPr>
        <w:ind w:left="41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C1AC8E24">
      <w:start w:val="1"/>
      <w:numFmt w:val="lowerRoman"/>
      <w:lvlText w:val="%6"/>
      <w:lvlJc w:val="left"/>
      <w:pPr>
        <w:ind w:left="48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748C8C70">
      <w:start w:val="1"/>
      <w:numFmt w:val="decimal"/>
      <w:lvlText w:val="%7"/>
      <w:lvlJc w:val="left"/>
      <w:pPr>
        <w:ind w:left="55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4C7E14B6">
      <w:start w:val="1"/>
      <w:numFmt w:val="lowerLetter"/>
      <w:lvlText w:val="%8"/>
      <w:lvlJc w:val="left"/>
      <w:pPr>
        <w:ind w:left="63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E0B64926">
      <w:start w:val="1"/>
      <w:numFmt w:val="lowerRoman"/>
      <w:lvlText w:val="%9"/>
      <w:lvlJc w:val="left"/>
      <w:pPr>
        <w:ind w:left="70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num w:numId="1" w16cid:durableId="763260045">
    <w:abstractNumId w:val="101"/>
  </w:num>
  <w:num w:numId="2" w16cid:durableId="359017658">
    <w:abstractNumId w:val="74"/>
  </w:num>
  <w:num w:numId="3" w16cid:durableId="730923981">
    <w:abstractNumId w:val="29"/>
  </w:num>
  <w:num w:numId="4" w16cid:durableId="1373072292">
    <w:abstractNumId w:val="128"/>
  </w:num>
  <w:num w:numId="5" w16cid:durableId="1338117931">
    <w:abstractNumId w:val="93"/>
  </w:num>
  <w:num w:numId="6" w16cid:durableId="511139854">
    <w:abstractNumId w:val="68"/>
  </w:num>
  <w:num w:numId="7" w16cid:durableId="2056351677">
    <w:abstractNumId w:val="11"/>
  </w:num>
  <w:num w:numId="8" w16cid:durableId="1205142565">
    <w:abstractNumId w:val="77"/>
  </w:num>
  <w:num w:numId="9" w16cid:durableId="268318246">
    <w:abstractNumId w:val="5"/>
  </w:num>
  <w:num w:numId="10" w16cid:durableId="397677814">
    <w:abstractNumId w:val="73"/>
  </w:num>
  <w:num w:numId="11" w16cid:durableId="1145855573">
    <w:abstractNumId w:val="96"/>
  </w:num>
  <w:num w:numId="12" w16cid:durableId="1127550478">
    <w:abstractNumId w:val="23"/>
  </w:num>
  <w:num w:numId="13" w16cid:durableId="747263211">
    <w:abstractNumId w:val="28"/>
  </w:num>
  <w:num w:numId="14" w16cid:durableId="36007646">
    <w:abstractNumId w:val="82"/>
  </w:num>
  <w:num w:numId="15" w16cid:durableId="1253663304">
    <w:abstractNumId w:val="25"/>
  </w:num>
  <w:num w:numId="16" w16cid:durableId="228031109">
    <w:abstractNumId w:val="170"/>
  </w:num>
  <w:num w:numId="17" w16cid:durableId="1743334205">
    <w:abstractNumId w:val="33"/>
  </w:num>
  <w:num w:numId="18" w16cid:durableId="9572049">
    <w:abstractNumId w:val="122"/>
  </w:num>
  <w:num w:numId="19" w16cid:durableId="587737647">
    <w:abstractNumId w:val="55"/>
  </w:num>
  <w:num w:numId="20" w16cid:durableId="931091102">
    <w:abstractNumId w:val="130"/>
  </w:num>
  <w:num w:numId="21" w16cid:durableId="928611922">
    <w:abstractNumId w:val="104"/>
  </w:num>
  <w:num w:numId="22" w16cid:durableId="285738954">
    <w:abstractNumId w:val="81"/>
  </w:num>
  <w:num w:numId="23" w16cid:durableId="981886658">
    <w:abstractNumId w:val="49"/>
  </w:num>
  <w:num w:numId="24" w16cid:durableId="891502688">
    <w:abstractNumId w:val="83"/>
  </w:num>
  <w:num w:numId="25" w16cid:durableId="870917989">
    <w:abstractNumId w:val="67"/>
  </w:num>
  <w:num w:numId="26" w16cid:durableId="503932494">
    <w:abstractNumId w:val="116"/>
  </w:num>
  <w:num w:numId="27" w16cid:durableId="1786458944">
    <w:abstractNumId w:val="132"/>
  </w:num>
  <w:num w:numId="28" w16cid:durableId="932400494">
    <w:abstractNumId w:val="171"/>
  </w:num>
  <w:num w:numId="29" w16cid:durableId="1799101004">
    <w:abstractNumId w:val="125"/>
  </w:num>
  <w:num w:numId="30" w16cid:durableId="787431342">
    <w:abstractNumId w:val="69"/>
  </w:num>
  <w:num w:numId="31" w16cid:durableId="2053848057">
    <w:abstractNumId w:val="57"/>
  </w:num>
  <w:num w:numId="32" w16cid:durableId="816414687">
    <w:abstractNumId w:val="148"/>
  </w:num>
  <w:num w:numId="33" w16cid:durableId="1057971818">
    <w:abstractNumId w:val="167"/>
  </w:num>
  <w:num w:numId="34" w16cid:durableId="1185024435">
    <w:abstractNumId w:val="111"/>
  </w:num>
  <w:num w:numId="35" w16cid:durableId="715087307">
    <w:abstractNumId w:val="35"/>
  </w:num>
  <w:num w:numId="36" w16cid:durableId="69888689">
    <w:abstractNumId w:val="80"/>
  </w:num>
  <w:num w:numId="37" w16cid:durableId="539976345">
    <w:abstractNumId w:val="162"/>
  </w:num>
  <w:num w:numId="38" w16cid:durableId="191648465">
    <w:abstractNumId w:val="13"/>
  </w:num>
  <w:num w:numId="39" w16cid:durableId="1948998544">
    <w:abstractNumId w:val="85"/>
  </w:num>
  <w:num w:numId="40" w16cid:durableId="1977635648">
    <w:abstractNumId w:val="134"/>
  </w:num>
  <w:num w:numId="41" w16cid:durableId="606356655">
    <w:abstractNumId w:val="92"/>
  </w:num>
  <w:num w:numId="42" w16cid:durableId="598148186">
    <w:abstractNumId w:val="135"/>
  </w:num>
  <w:num w:numId="43" w16cid:durableId="34745085">
    <w:abstractNumId w:val="123"/>
  </w:num>
  <w:num w:numId="44" w16cid:durableId="1920288881">
    <w:abstractNumId w:val="114"/>
  </w:num>
  <w:num w:numId="45" w16cid:durableId="665209474">
    <w:abstractNumId w:val="22"/>
  </w:num>
  <w:num w:numId="46" w16cid:durableId="1085955094">
    <w:abstractNumId w:val="94"/>
  </w:num>
  <w:num w:numId="47" w16cid:durableId="459499070">
    <w:abstractNumId w:val="41"/>
  </w:num>
  <w:num w:numId="48" w16cid:durableId="1646276802">
    <w:abstractNumId w:val="36"/>
  </w:num>
  <w:num w:numId="49" w16cid:durableId="1375811516">
    <w:abstractNumId w:val="62"/>
  </w:num>
  <w:num w:numId="50" w16cid:durableId="1258519576">
    <w:abstractNumId w:val="165"/>
  </w:num>
  <w:num w:numId="51" w16cid:durableId="169030791">
    <w:abstractNumId w:val="106"/>
  </w:num>
  <w:num w:numId="52" w16cid:durableId="1889610545">
    <w:abstractNumId w:val="6"/>
  </w:num>
  <w:num w:numId="53" w16cid:durableId="1475100853">
    <w:abstractNumId w:val="2"/>
  </w:num>
  <w:num w:numId="54" w16cid:durableId="1491484155">
    <w:abstractNumId w:val="107"/>
  </w:num>
  <w:num w:numId="55" w16cid:durableId="1834222516">
    <w:abstractNumId w:val="109"/>
  </w:num>
  <w:num w:numId="56" w16cid:durableId="770400058">
    <w:abstractNumId w:val="7"/>
  </w:num>
  <w:num w:numId="57" w16cid:durableId="282615351">
    <w:abstractNumId w:val="129"/>
  </w:num>
  <w:num w:numId="58" w16cid:durableId="1787457196">
    <w:abstractNumId w:val="65"/>
  </w:num>
  <w:num w:numId="59" w16cid:durableId="1365444248">
    <w:abstractNumId w:val="58"/>
  </w:num>
  <w:num w:numId="60" w16cid:durableId="1819758329">
    <w:abstractNumId w:val="44"/>
  </w:num>
  <w:num w:numId="61" w16cid:durableId="1103262948">
    <w:abstractNumId w:val="3"/>
  </w:num>
  <w:num w:numId="62" w16cid:durableId="446508957">
    <w:abstractNumId w:val="56"/>
  </w:num>
  <w:num w:numId="63" w16cid:durableId="1907059437">
    <w:abstractNumId w:val="60"/>
  </w:num>
  <w:num w:numId="64" w16cid:durableId="96219724">
    <w:abstractNumId w:val="169"/>
  </w:num>
  <w:num w:numId="65" w16cid:durableId="2139371419">
    <w:abstractNumId w:val="103"/>
  </w:num>
  <w:num w:numId="66" w16cid:durableId="336813469">
    <w:abstractNumId w:val="87"/>
  </w:num>
  <w:num w:numId="67" w16cid:durableId="1247689868">
    <w:abstractNumId w:val="133"/>
  </w:num>
  <w:num w:numId="68" w16cid:durableId="1728988001">
    <w:abstractNumId w:val="66"/>
  </w:num>
  <w:num w:numId="69" w16cid:durableId="582643778">
    <w:abstractNumId w:val="137"/>
  </w:num>
  <w:num w:numId="70" w16cid:durableId="1548834598">
    <w:abstractNumId w:val="126"/>
  </w:num>
  <w:num w:numId="71" w16cid:durableId="1484085817">
    <w:abstractNumId w:val="30"/>
  </w:num>
  <w:num w:numId="72" w16cid:durableId="1966229899">
    <w:abstractNumId w:val="100"/>
  </w:num>
  <w:num w:numId="73" w16cid:durableId="1295984885">
    <w:abstractNumId w:val="21"/>
  </w:num>
  <w:num w:numId="74" w16cid:durableId="704334257">
    <w:abstractNumId w:val="144"/>
  </w:num>
  <w:num w:numId="75" w16cid:durableId="474838346">
    <w:abstractNumId w:val="136"/>
  </w:num>
  <w:num w:numId="76" w16cid:durableId="349457474">
    <w:abstractNumId w:val="118"/>
  </w:num>
  <w:num w:numId="77" w16cid:durableId="1997681631">
    <w:abstractNumId w:val="26"/>
  </w:num>
  <w:num w:numId="78" w16cid:durableId="20010362">
    <w:abstractNumId w:val="112"/>
  </w:num>
  <w:num w:numId="79" w16cid:durableId="1869097829">
    <w:abstractNumId w:val="174"/>
  </w:num>
  <w:num w:numId="80" w16cid:durableId="1454637743">
    <w:abstractNumId w:val="147"/>
  </w:num>
  <w:num w:numId="81" w16cid:durableId="1249116281">
    <w:abstractNumId w:val="120"/>
  </w:num>
  <w:num w:numId="82" w16cid:durableId="2061325381">
    <w:abstractNumId w:val="102"/>
  </w:num>
  <w:num w:numId="83" w16cid:durableId="248659591">
    <w:abstractNumId w:val="53"/>
  </w:num>
  <w:num w:numId="84" w16cid:durableId="319310750">
    <w:abstractNumId w:val="27"/>
  </w:num>
  <w:num w:numId="85" w16cid:durableId="1488396865">
    <w:abstractNumId w:val="19"/>
  </w:num>
  <w:num w:numId="86" w16cid:durableId="1839081264">
    <w:abstractNumId w:val="34"/>
  </w:num>
  <w:num w:numId="87" w16cid:durableId="1476067572">
    <w:abstractNumId w:val="70"/>
  </w:num>
  <w:num w:numId="88" w16cid:durableId="1445686599">
    <w:abstractNumId w:val="52"/>
  </w:num>
  <w:num w:numId="89" w16cid:durableId="778452475">
    <w:abstractNumId w:val="156"/>
  </w:num>
  <w:num w:numId="90" w16cid:durableId="382096280">
    <w:abstractNumId w:val="90"/>
  </w:num>
  <w:num w:numId="91" w16cid:durableId="555362822">
    <w:abstractNumId w:val="42"/>
  </w:num>
  <w:num w:numId="92" w16cid:durableId="213272067">
    <w:abstractNumId w:val="168"/>
  </w:num>
  <w:num w:numId="93" w16cid:durableId="1623733945">
    <w:abstractNumId w:val="110"/>
  </w:num>
  <w:num w:numId="94" w16cid:durableId="564411339">
    <w:abstractNumId w:val="24"/>
  </w:num>
  <w:num w:numId="95" w16cid:durableId="1225988715">
    <w:abstractNumId w:val="138"/>
  </w:num>
  <w:num w:numId="96" w16cid:durableId="1625650812">
    <w:abstractNumId w:val="140"/>
  </w:num>
  <w:num w:numId="97" w16cid:durableId="2125810776">
    <w:abstractNumId w:val="154"/>
  </w:num>
  <w:num w:numId="98" w16cid:durableId="1324046191">
    <w:abstractNumId w:val="9"/>
  </w:num>
  <w:num w:numId="99" w16cid:durableId="2025666252">
    <w:abstractNumId w:val="163"/>
  </w:num>
  <w:num w:numId="100" w16cid:durableId="83772901">
    <w:abstractNumId w:val="160"/>
  </w:num>
  <w:num w:numId="101" w16cid:durableId="1428648581">
    <w:abstractNumId w:val="76"/>
  </w:num>
  <w:num w:numId="102" w16cid:durableId="1234047778">
    <w:abstractNumId w:val="63"/>
  </w:num>
  <w:num w:numId="103" w16cid:durableId="393234605">
    <w:abstractNumId w:val="124"/>
  </w:num>
  <w:num w:numId="104" w16cid:durableId="629676967">
    <w:abstractNumId w:val="59"/>
  </w:num>
  <w:num w:numId="105" w16cid:durableId="900097012">
    <w:abstractNumId w:val="143"/>
  </w:num>
  <w:num w:numId="106" w16cid:durableId="1358387277">
    <w:abstractNumId w:val="117"/>
  </w:num>
  <w:num w:numId="107" w16cid:durableId="243225880">
    <w:abstractNumId w:val="166"/>
  </w:num>
  <w:num w:numId="108" w16cid:durableId="1789162503">
    <w:abstractNumId w:val="86"/>
  </w:num>
  <w:num w:numId="109" w16cid:durableId="867721311">
    <w:abstractNumId w:val="61"/>
  </w:num>
  <w:num w:numId="110" w16cid:durableId="947591057">
    <w:abstractNumId w:val="97"/>
  </w:num>
  <w:num w:numId="111" w16cid:durableId="577130123">
    <w:abstractNumId w:val="150"/>
  </w:num>
  <w:num w:numId="112" w16cid:durableId="2143376241">
    <w:abstractNumId w:val="113"/>
  </w:num>
  <w:num w:numId="113" w16cid:durableId="1710954312">
    <w:abstractNumId w:val="37"/>
  </w:num>
  <w:num w:numId="114" w16cid:durableId="1420447656">
    <w:abstractNumId w:val="17"/>
  </w:num>
  <w:num w:numId="115" w16cid:durableId="1634287641">
    <w:abstractNumId w:val="46"/>
  </w:num>
  <w:num w:numId="116" w16cid:durableId="1212116372">
    <w:abstractNumId w:val="20"/>
  </w:num>
  <w:num w:numId="117" w16cid:durableId="139618012">
    <w:abstractNumId w:val="50"/>
  </w:num>
  <w:num w:numId="118" w16cid:durableId="2102408056">
    <w:abstractNumId w:val="142"/>
  </w:num>
  <w:num w:numId="119" w16cid:durableId="1208034016">
    <w:abstractNumId w:val="64"/>
  </w:num>
  <w:num w:numId="120" w16cid:durableId="2064405995">
    <w:abstractNumId w:val="159"/>
  </w:num>
  <w:num w:numId="121" w16cid:durableId="1461799709">
    <w:abstractNumId w:val="32"/>
  </w:num>
  <w:num w:numId="122" w16cid:durableId="1390809804">
    <w:abstractNumId w:val="141"/>
  </w:num>
  <w:num w:numId="123" w16cid:durableId="1706561757">
    <w:abstractNumId w:val="146"/>
  </w:num>
  <w:num w:numId="124" w16cid:durableId="596906358">
    <w:abstractNumId w:val="95"/>
  </w:num>
  <w:num w:numId="125" w16cid:durableId="867136107">
    <w:abstractNumId w:val="145"/>
  </w:num>
  <w:num w:numId="126" w16cid:durableId="2131507867">
    <w:abstractNumId w:val="151"/>
  </w:num>
  <w:num w:numId="127" w16cid:durableId="514542766">
    <w:abstractNumId w:val="31"/>
  </w:num>
  <w:num w:numId="128" w16cid:durableId="1067264764">
    <w:abstractNumId w:val="99"/>
  </w:num>
  <w:num w:numId="129" w16cid:durableId="1060321183">
    <w:abstractNumId w:val="4"/>
  </w:num>
  <w:num w:numId="130" w16cid:durableId="1885630277">
    <w:abstractNumId w:val="12"/>
  </w:num>
  <w:num w:numId="131" w16cid:durableId="1708681572">
    <w:abstractNumId w:val="121"/>
  </w:num>
  <w:num w:numId="132" w16cid:durableId="1083799541">
    <w:abstractNumId w:val="115"/>
  </w:num>
  <w:num w:numId="133" w16cid:durableId="1982689341">
    <w:abstractNumId w:val="54"/>
  </w:num>
  <w:num w:numId="134" w16cid:durableId="734671523">
    <w:abstractNumId w:val="89"/>
  </w:num>
  <w:num w:numId="135" w16cid:durableId="1993369537">
    <w:abstractNumId w:val="38"/>
  </w:num>
  <w:num w:numId="136" w16cid:durableId="1469014415">
    <w:abstractNumId w:val="127"/>
  </w:num>
  <w:num w:numId="137" w16cid:durableId="1496454253">
    <w:abstractNumId w:val="8"/>
  </w:num>
  <w:num w:numId="138" w16cid:durableId="957563128">
    <w:abstractNumId w:val="91"/>
  </w:num>
  <w:num w:numId="139" w16cid:durableId="1494569759">
    <w:abstractNumId w:val="173"/>
  </w:num>
  <w:num w:numId="140" w16cid:durableId="1345589792">
    <w:abstractNumId w:val="108"/>
  </w:num>
  <w:num w:numId="141" w16cid:durableId="646740596">
    <w:abstractNumId w:val="131"/>
  </w:num>
  <w:num w:numId="142" w16cid:durableId="180709068">
    <w:abstractNumId w:val="152"/>
  </w:num>
  <w:num w:numId="143" w16cid:durableId="806626893">
    <w:abstractNumId w:val="98"/>
  </w:num>
  <w:num w:numId="144" w16cid:durableId="1982223874">
    <w:abstractNumId w:val="105"/>
  </w:num>
  <w:num w:numId="145" w16cid:durableId="355497012">
    <w:abstractNumId w:val="172"/>
  </w:num>
  <w:num w:numId="146" w16cid:durableId="794366836">
    <w:abstractNumId w:val="157"/>
  </w:num>
  <w:num w:numId="147" w16cid:durableId="91710840">
    <w:abstractNumId w:val="43"/>
  </w:num>
  <w:num w:numId="148" w16cid:durableId="1169441807">
    <w:abstractNumId w:val="158"/>
  </w:num>
  <w:num w:numId="149" w16cid:durableId="2064326374">
    <w:abstractNumId w:val="15"/>
  </w:num>
  <w:num w:numId="150" w16cid:durableId="1881700010">
    <w:abstractNumId w:val="75"/>
  </w:num>
  <w:num w:numId="151" w16cid:durableId="1581676764">
    <w:abstractNumId w:val="0"/>
  </w:num>
  <w:num w:numId="152" w16cid:durableId="541601309">
    <w:abstractNumId w:val="40"/>
  </w:num>
  <w:num w:numId="153" w16cid:durableId="1884947166">
    <w:abstractNumId w:val="45"/>
  </w:num>
  <w:num w:numId="154" w16cid:durableId="835804455">
    <w:abstractNumId w:val="155"/>
  </w:num>
  <w:num w:numId="155" w16cid:durableId="613363495">
    <w:abstractNumId w:val="72"/>
  </w:num>
  <w:num w:numId="156" w16cid:durableId="1265382427">
    <w:abstractNumId w:val="79"/>
  </w:num>
  <w:num w:numId="157" w16cid:durableId="635522856">
    <w:abstractNumId w:val="139"/>
  </w:num>
  <w:num w:numId="158" w16cid:durableId="60979848">
    <w:abstractNumId w:val="161"/>
  </w:num>
  <w:num w:numId="159" w16cid:durableId="782385866">
    <w:abstractNumId w:val="14"/>
  </w:num>
  <w:num w:numId="160" w16cid:durableId="184104037">
    <w:abstractNumId w:val="84"/>
  </w:num>
  <w:num w:numId="161" w16cid:durableId="415710622">
    <w:abstractNumId w:val="51"/>
  </w:num>
  <w:num w:numId="162" w16cid:durableId="1603953025">
    <w:abstractNumId w:val="119"/>
  </w:num>
  <w:num w:numId="163" w16cid:durableId="1202129435">
    <w:abstractNumId w:val="149"/>
  </w:num>
  <w:num w:numId="164" w16cid:durableId="1637836130">
    <w:abstractNumId w:val="39"/>
  </w:num>
  <w:num w:numId="165" w16cid:durableId="1321621102">
    <w:abstractNumId w:val="10"/>
  </w:num>
  <w:num w:numId="166" w16cid:durableId="1336572870">
    <w:abstractNumId w:val="47"/>
  </w:num>
  <w:num w:numId="167" w16cid:durableId="828407297">
    <w:abstractNumId w:val="71"/>
  </w:num>
  <w:num w:numId="168" w16cid:durableId="1489253085">
    <w:abstractNumId w:val="164"/>
  </w:num>
  <w:num w:numId="169" w16cid:durableId="2118602365">
    <w:abstractNumId w:val="88"/>
  </w:num>
  <w:num w:numId="170" w16cid:durableId="1237126999">
    <w:abstractNumId w:val="48"/>
  </w:num>
  <w:num w:numId="171" w16cid:durableId="1597402019">
    <w:abstractNumId w:val="16"/>
  </w:num>
  <w:num w:numId="172" w16cid:durableId="995959583">
    <w:abstractNumId w:val="18"/>
  </w:num>
  <w:num w:numId="173" w16cid:durableId="957637136">
    <w:abstractNumId w:val="78"/>
  </w:num>
  <w:num w:numId="174" w16cid:durableId="1826387455">
    <w:abstractNumId w:val="153"/>
  </w:num>
  <w:num w:numId="175" w16cid:durableId="9796322">
    <w:abstractNumId w:val="1"/>
  </w:num>
  <w:numIdMacAtCleanup w:val="1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D50"/>
    <w:rsid w:val="000001A6"/>
    <w:rsid w:val="00000289"/>
    <w:rsid w:val="0000031B"/>
    <w:rsid w:val="000003C1"/>
    <w:rsid w:val="00000505"/>
    <w:rsid w:val="00000564"/>
    <w:rsid w:val="00000819"/>
    <w:rsid w:val="00000822"/>
    <w:rsid w:val="000008E6"/>
    <w:rsid w:val="00000975"/>
    <w:rsid w:val="000009AB"/>
    <w:rsid w:val="000009CA"/>
    <w:rsid w:val="000009FF"/>
    <w:rsid w:val="00000A79"/>
    <w:rsid w:val="00000ACA"/>
    <w:rsid w:val="00000BCC"/>
    <w:rsid w:val="00000C87"/>
    <w:rsid w:val="00000E4B"/>
    <w:rsid w:val="000010C0"/>
    <w:rsid w:val="000016FD"/>
    <w:rsid w:val="0000173B"/>
    <w:rsid w:val="000019A7"/>
    <w:rsid w:val="000019CA"/>
    <w:rsid w:val="00001A47"/>
    <w:rsid w:val="00001A61"/>
    <w:rsid w:val="00001CE7"/>
    <w:rsid w:val="00001F98"/>
    <w:rsid w:val="00002499"/>
    <w:rsid w:val="000025B9"/>
    <w:rsid w:val="00002E15"/>
    <w:rsid w:val="00002F5C"/>
    <w:rsid w:val="00003023"/>
    <w:rsid w:val="0000304A"/>
    <w:rsid w:val="00003584"/>
    <w:rsid w:val="000035FD"/>
    <w:rsid w:val="0000384A"/>
    <w:rsid w:val="0000399D"/>
    <w:rsid w:val="00003B20"/>
    <w:rsid w:val="00003C0F"/>
    <w:rsid w:val="00003E72"/>
    <w:rsid w:val="0000412E"/>
    <w:rsid w:val="0000452E"/>
    <w:rsid w:val="00004967"/>
    <w:rsid w:val="000049F9"/>
    <w:rsid w:val="00004DC7"/>
    <w:rsid w:val="00004E92"/>
    <w:rsid w:val="00005116"/>
    <w:rsid w:val="00005294"/>
    <w:rsid w:val="000053B1"/>
    <w:rsid w:val="000053D8"/>
    <w:rsid w:val="00005725"/>
    <w:rsid w:val="000057E1"/>
    <w:rsid w:val="00005A34"/>
    <w:rsid w:val="00005A90"/>
    <w:rsid w:val="00005C12"/>
    <w:rsid w:val="00005D72"/>
    <w:rsid w:val="0000637D"/>
    <w:rsid w:val="00006501"/>
    <w:rsid w:val="00006884"/>
    <w:rsid w:val="000068A0"/>
    <w:rsid w:val="000068F4"/>
    <w:rsid w:val="00006C75"/>
    <w:rsid w:val="00006CA9"/>
    <w:rsid w:val="00006E02"/>
    <w:rsid w:val="0000710F"/>
    <w:rsid w:val="00007127"/>
    <w:rsid w:val="00007499"/>
    <w:rsid w:val="000075AC"/>
    <w:rsid w:val="00007682"/>
    <w:rsid w:val="000077FE"/>
    <w:rsid w:val="0000788F"/>
    <w:rsid w:val="0000798B"/>
    <w:rsid w:val="00007B8B"/>
    <w:rsid w:val="00007BA0"/>
    <w:rsid w:val="00007CDF"/>
    <w:rsid w:val="000101E7"/>
    <w:rsid w:val="00010258"/>
    <w:rsid w:val="000102B2"/>
    <w:rsid w:val="0001030B"/>
    <w:rsid w:val="000103F9"/>
    <w:rsid w:val="0001043D"/>
    <w:rsid w:val="0001050A"/>
    <w:rsid w:val="0001054A"/>
    <w:rsid w:val="00010751"/>
    <w:rsid w:val="00010798"/>
    <w:rsid w:val="000107FA"/>
    <w:rsid w:val="00010A4D"/>
    <w:rsid w:val="00010B93"/>
    <w:rsid w:val="00010FFA"/>
    <w:rsid w:val="000112B8"/>
    <w:rsid w:val="00011647"/>
    <w:rsid w:val="00011654"/>
    <w:rsid w:val="000116A5"/>
    <w:rsid w:val="000116E4"/>
    <w:rsid w:val="000118AF"/>
    <w:rsid w:val="000118C0"/>
    <w:rsid w:val="00011A0F"/>
    <w:rsid w:val="00011BB6"/>
    <w:rsid w:val="00011CF9"/>
    <w:rsid w:val="00011D23"/>
    <w:rsid w:val="00011E61"/>
    <w:rsid w:val="00011E87"/>
    <w:rsid w:val="0001286B"/>
    <w:rsid w:val="00012A34"/>
    <w:rsid w:val="00012B84"/>
    <w:rsid w:val="00012CCF"/>
    <w:rsid w:val="00012D7B"/>
    <w:rsid w:val="00012DED"/>
    <w:rsid w:val="00012F23"/>
    <w:rsid w:val="00013066"/>
    <w:rsid w:val="000131CC"/>
    <w:rsid w:val="000132CB"/>
    <w:rsid w:val="00013517"/>
    <w:rsid w:val="000139B2"/>
    <w:rsid w:val="00013C05"/>
    <w:rsid w:val="00013EAD"/>
    <w:rsid w:val="00013EE3"/>
    <w:rsid w:val="00013F6D"/>
    <w:rsid w:val="000142F9"/>
    <w:rsid w:val="00014407"/>
    <w:rsid w:val="0001496C"/>
    <w:rsid w:val="00014B35"/>
    <w:rsid w:val="00014B37"/>
    <w:rsid w:val="00014BDE"/>
    <w:rsid w:val="00014C8F"/>
    <w:rsid w:val="00014D39"/>
    <w:rsid w:val="00014DD7"/>
    <w:rsid w:val="00015121"/>
    <w:rsid w:val="0001529C"/>
    <w:rsid w:val="00015610"/>
    <w:rsid w:val="00015786"/>
    <w:rsid w:val="000159C8"/>
    <w:rsid w:val="00015A15"/>
    <w:rsid w:val="00015F44"/>
    <w:rsid w:val="0001606A"/>
    <w:rsid w:val="000160CF"/>
    <w:rsid w:val="000160ED"/>
    <w:rsid w:val="00016480"/>
    <w:rsid w:val="000164B4"/>
    <w:rsid w:val="00016FB2"/>
    <w:rsid w:val="000170F6"/>
    <w:rsid w:val="000173DD"/>
    <w:rsid w:val="000173FC"/>
    <w:rsid w:val="00017468"/>
    <w:rsid w:val="0001773B"/>
    <w:rsid w:val="00017867"/>
    <w:rsid w:val="0001786C"/>
    <w:rsid w:val="000178EE"/>
    <w:rsid w:val="00017AB4"/>
    <w:rsid w:val="00017C29"/>
    <w:rsid w:val="00017C96"/>
    <w:rsid w:val="00017D90"/>
    <w:rsid w:val="000200A2"/>
    <w:rsid w:val="0002019C"/>
    <w:rsid w:val="00020309"/>
    <w:rsid w:val="00020860"/>
    <w:rsid w:val="00020905"/>
    <w:rsid w:val="00020986"/>
    <w:rsid w:val="00020AD7"/>
    <w:rsid w:val="000210F5"/>
    <w:rsid w:val="00021148"/>
    <w:rsid w:val="000211C5"/>
    <w:rsid w:val="00021394"/>
    <w:rsid w:val="000213E8"/>
    <w:rsid w:val="000214C6"/>
    <w:rsid w:val="000215A4"/>
    <w:rsid w:val="00021651"/>
    <w:rsid w:val="000217A1"/>
    <w:rsid w:val="000218DC"/>
    <w:rsid w:val="00021BBF"/>
    <w:rsid w:val="00021BFD"/>
    <w:rsid w:val="00021C2F"/>
    <w:rsid w:val="00021D9C"/>
    <w:rsid w:val="00021F84"/>
    <w:rsid w:val="00021F93"/>
    <w:rsid w:val="0002215D"/>
    <w:rsid w:val="00022322"/>
    <w:rsid w:val="00022882"/>
    <w:rsid w:val="00022AEA"/>
    <w:rsid w:val="00022B5D"/>
    <w:rsid w:val="00022BF7"/>
    <w:rsid w:val="00022E33"/>
    <w:rsid w:val="00022FBF"/>
    <w:rsid w:val="000233E7"/>
    <w:rsid w:val="000234E7"/>
    <w:rsid w:val="00023520"/>
    <w:rsid w:val="0002371D"/>
    <w:rsid w:val="000239B1"/>
    <w:rsid w:val="00023BFA"/>
    <w:rsid w:val="00023CF6"/>
    <w:rsid w:val="00023E0D"/>
    <w:rsid w:val="00024172"/>
    <w:rsid w:val="000242E2"/>
    <w:rsid w:val="00024318"/>
    <w:rsid w:val="00024469"/>
    <w:rsid w:val="000246C1"/>
    <w:rsid w:val="000247BE"/>
    <w:rsid w:val="00024D90"/>
    <w:rsid w:val="00024E35"/>
    <w:rsid w:val="0002516D"/>
    <w:rsid w:val="00025224"/>
    <w:rsid w:val="000254F5"/>
    <w:rsid w:val="000255EF"/>
    <w:rsid w:val="00025624"/>
    <w:rsid w:val="00025637"/>
    <w:rsid w:val="00025A90"/>
    <w:rsid w:val="00025AE7"/>
    <w:rsid w:val="00025CBB"/>
    <w:rsid w:val="00025D9C"/>
    <w:rsid w:val="00025DAE"/>
    <w:rsid w:val="00025F3F"/>
    <w:rsid w:val="00025FCF"/>
    <w:rsid w:val="00026229"/>
    <w:rsid w:val="0002623A"/>
    <w:rsid w:val="000266AF"/>
    <w:rsid w:val="00026839"/>
    <w:rsid w:val="00026ADA"/>
    <w:rsid w:val="00026DBC"/>
    <w:rsid w:val="00026E04"/>
    <w:rsid w:val="00026E38"/>
    <w:rsid w:val="000271C3"/>
    <w:rsid w:val="000273DA"/>
    <w:rsid w:val="0002753C"/>
    <w:rsid w:val="00027894"/>
    <w:rsid w:val="000278AE"/>
    <w:rsid w:val="00027A01"/>
    <w:rsid w:val="00027B71"/>
    <w:rsid w:val="00027CA8"/>
    <w:rsid w:val="00027CF6"/>
    <w:rsid w:val="00027D50"/>
    <w:rsid w:val="00027FCD"/>
    <w:rsid w:val="000300B4"/>
    <w:rsid w:val="000300D2"/>
    <w:rsid w:val="00030149"/>
    <w:rsid w:val="000304FE"/>
    <w:rsid w:val="00030D94"/>
    <w:rsid w:val="0003190D"/>
    <w:rsid w:val="00031B86"/>
    <w:rsid w:val="00031EEA"/>
    <w:rsid w:val="00031F43"/>
    <w:rsid w:val="0003207C"/>
    <w:rsid w:val="00032124"/>
    <w:rsid w:val="0003213C"/>
    <w:rsid w:val="000321AA"/>
    <w:rsid w:val="00032254"/>
    <w:rsid w:val="0003225C"/>
    <w:rsid w:val="00032595"/>
    <w:rsid w:val="0003259D"/>
    <w:rsid w:val="000325D5"/>
    <w:rsid w:val="000325FD"/>
    <w:rsid w:val="000328D8"/>
    <w:rsid w:val="00032C66"/>
    <w:rsid w:val="000330C1"/>
    <w:rsid w:val="00033181"/>
    <w:rsid w:val="00033356"/>
    <w:rsid w:val="00033487"/>
    <w:rsid w:val="000334CB"/>
    <w:rsid w:val="0003356D"/>
    <w:rsid w:val="000337F8"/>
    <w:rsid w:val="0003389A"/>
    <w:rsid w:val="00033A02"/>
    <w:rsid w:val="00033C0A"/>
    <w:rsid w:val="00033CA8"/>
    <w:rsid w:val="00033D41"/>
    <w:rsid w:val="00033E37"/>
    <w:rsid w:val="00033EB1"/>
    <w:rsid w:val="00034122"/>
    <w:rsid w:val="000341C7"/>
    <w:rsid w:val="000343C0"/>
    <w:rsid w:val="00034856"/>
    <w:rsid w:val="00034C3A"/>
    <w:rsid w:val="00034D22"/>
    <w:rsid w:val="00034D44"/>
    <w:rsid w:val="00034D48"/>
    <w:rsid w:val="00034E33"/>
    <w:rsid w:val="00035051"/>
    <w:rsid w:val="000350D7"/>
    <w:rsid w:val="000350E6"/>
    <w:rsid w:val="00035657"/>
    <w:rsid w:val="00035E2C"/>
    <w:rsid w:val="000360C4"/>
    <w:rsid w:val="00036114"/>
    <w:rsid w:val="000362AA"/>
    <w:rsid w:val="0003647B"/>
    <w:rsid w:val="000364A6"/>
    <w:rsid w:val="00036523"/>
    <w:rsid w:val="0003664E"/>
    <w:rsid w:val="00036668"/>
    <w:rsid w:val="0003667A"/>
    <w:rsid w:val="000368C8"/>
    <w:rsid w:val="000369C5"/>
    <w:rsid w:val="00036BE6"/>
    <w:rsid w:val="00036C65"/>
    <w:rsid w:val="00036ED4"/>
    <w:rsid w:val="0003702C"/>
    <w:rsid w:val="000370B9"/>
    <w:rsid w:val="0003712A"/>
    <w:rsid w:val="00037168"/>
    <w:rsid w:val="00037226"/>
    <w:rsid w:val="0003734F"/>
    <w:rsid w:val="000376D7"/>
    <w:rsid w:val="000377A3"/>
    <w:rsid w:val="00037823"/>
    <w:rsid w:val="00037AEF"/>
    <w:rsid w:val="00037C95"/>
    <w:rsid w:val="00037EC9"/>
    <w:rsid w:val="00040058"/>
    <w:rsid w:val="00040098"/>
    <w:rsid w:val="0004038F"/>
    <w:rsid w:val="00040552"/>
    <w:rsid w:val="000405AF"/>
    <w:rsid w:val="00040E56"/>
    <w:rsid w:val="00040F97"/>
    <w:rsid w:val="00041085"/>
    <w:rsid w:val="00041145"/>
    <w:rsid w:val="000412CA"/>
    <w:rsid w:val="00041424"/>
    <w:rsid w:val="000416A1"/>
    <w:rsid w:val="0004174E"/>
    <w:rsid w:val="0004184D"/>
    <w:rsid w:val="000418DD"/>
    <w:rsid w:val="00041988"/>
    <w:rsid w:val="00041992"/>
    <w:rsid w:val="000419E6"/>
    <w:rsid w:val="00041CDA"/>
    <w:rsid w:val="00041D2C"/>
    <w:rsid w:val="00041DA7"/>
    <w:rsid w:val="00041F1A"/>
    <w:rsid w:val="00042041"/>
    <w:rsid w:val="000420E0"/>
    <w:rsid w:val="00042170"/>
    <w:rsid w:val="00042187"/>
    <w:rsid w:val="00042331"/>
    <w:rsid w:val="00042430"/>
    <w:rsid w:val="000424AE"/>
    <w:rsid w:val="0004267A"/>
    <w:rsid w:val="00042835"/>
    <w:rsid w:val="000428A7"/>
    <w:rsid w:val="000428E0"/>
    <w:rsid w:val="0004297F"/>
    <w:rsid w:val="00042B34"/>
    <w:rsid w:val="00042D07"/>
    <w:rsid w:val="00042D8C"/>
    <w:rsid w:val="00042DA8"/>
    <w:rsid w:val="00042F07"/>
    <w:rsid w:val="00042F4B"/>
    <w:rsid w:val="00042FC1"/>
    <w:rsid w:val="00043049"/>
    <w:rsid w:val="000430AA"/>
    <w:rsid w:val="000434CE"/>
    <w:rsid w:val="000434D5"/>
    <w:rsid w:val="000435F1"/>
    <w:rsid w:val="000437EC"/>
    <w:rsid w:val="000438C4"/>
    <w:rsid w:val="00043B2D"/>
    <w:rsid w:val="00043BDC"/>
    <w:rsid w:val="000441B4"/>
    <w:rsid w:val="000441C2"/>
    <w:rsid w:val="0004421E"/>
    <w:rsid w:val="000448E2"/>
    <w:rsid w:val="000449A0"/>
    <w:rsid w:val="00044A4F"/>
    <w:rsid w:val="00044E21"/>
    <w:rsid w:val="00045128"/>
    <w:rsid w:val="00045236"/>
    <w:rsid w:val="000454DF"/>
    <w:rsid w:val="00045552"/>
    <w:rsid w:val="00045708"/>
    <w:rsid w:val="000458B8"/>
    <w:rsid w:val="00045A1F"/>
    <w:rsid w:val="00045A53"/>
    <w:rsid w:val="00045A9C"/>
    <w:rsid w:val="00045B3D"/>
    <w:rsid w:val="00045B74"/>
    <w:rsid w:val="00045E4B"/>
    <w:rsid w:val="00045E8C"/>
    <w:rsid w:val="000460B9"/>
    <w:rsid w:val="000460FF"/>
    <w:rsid w:val="0004635C"/>
    <w:rsid w:val="00046798"/>
    <w:rsid w:val="00046859"/>
    <w:rsid w:val="00046E52"/>
    <w:rsid w:val="00046F80"/>
    <w:rsid w:val="0004705D"/>
    <w:rsid w:val="00047309"/>
    <w:rsid w:val="00047325"/>
    <w:rsid w:val="00047384"/>
    <w:rsid w:val="0004757D"/>
    <w:rsid w:val="000475B5"/>
    <w:rsid w:val="0004767E"/>
    <w:rsid w:val="00047867"/>
    <w:rsid w:val="00047D41"/>
    <w:rsid w:val="00047D8A"/>
    <w:rsid w:val="00047EAA"/>
    <w:rsid w:val="00047F37"/>
    <w:rsid w:val="00047F44"/>
    <w:rsid w:val="000502B2"/>
    <w:rsid w:val="000504C1"/>
    <w:rsid w:val="00050509"/>
    <w:rsid w:val="000506DB"/>
    <w:rsid w:val="00050B3E"/>
    <w:rsid w:val="00050F16"/>
    <w:rsid w:val="00050F27"/>
    <w:rsid w:val="00050F95"/>
    <w:rsid w:val="0005104A"/>
    <w:rsid w:val="0005132D"/>
    <w:rsid w:val="0005143E"/>
    <w:rsid w:val="0005192D"/>
    <w:rsid w:val="00051ABD"/>
    <w:rsid w:val="00051B1B"/>
    <w:rsid w:val="00051C2D"/>
    <w:rsid w:val="00051E5F"/>
    <w:rsid w:val="000522D9"/>
    <w:rsid w:val="0005236A"/>
    <w:rsid w:val="000528C2"/>
    <w:rsid w:val="00052A7D"/>
    <w:rsid w:val="00052BD5"/>
    <w:rsid w:val="00052D36"/>
    <w:rsid w:val="00052DDD"/>
    <w:rsid w:val="00052E22"/>
    <w:rsid w:val="000530F7"/>
    <w:rsid w:val="00053183"/>
    <w:rsid w:val="00053338"/>
    <w:rsid w:val="00053880"/>
    <w:rsid w:val="00053C73"/>
    <w:rsid w:val="00053D5E"/>
    <w:rsid w:val="00053DA9"/>
    <w:rsid w:val="00053F80"/>
    <w:rsid w:val="00054365"/>
    <w:rsid w:val="00054445"/>
    <w:rsid w:val="0005453F"/>
    <w:rsid w:val="000547F6"/>
    <w:rsid w:val="00054810"/>
    <w:rsid w:val="00054C35"/>
    <w:rsid w:val="00054DF7"/>
    <w:rsid w:val="00054E53"/>
    <w:rsid w:val="00054EBA"/>
    <w:rsid w:val="000551BC"/>
    <w:rsid w:val="0005520F"/>
    <w:rsid w:val="000552A0"/>
    <w:rsid w:val="00055702"/>
    <w:rsid w:val="000557AB"/>
    <w:rsid w:val="0005580E"/>
    <w:rsid w:val="0005588E"/>
    <w:rsid w:val="000558E0"/>
    <w:rsid w:val="00055B63"/>
    <w:rsid w:val="00055D08"/>
    <w:rsid w:val="00055DCD"/>
    <w:rsid w:val="00055E3F"/>
    <w:rsid w:val="00055E80"/>
    <w:rsid w:val="0005611B"/>
    <w:rsid w:val="0005614C"/>
    <w:rsid w:val="000561FA"/>
    <w:rsid w:val="000562A0"/>
    <w:rsid w:val="00056332"/>
    <w:rsid w:val="0005644A"/>
    <w:rsid w:val="00056481"/>
    <w:rsid w:val="0005655A"/>
    <w:rsid w:val="0005675D"/>
    <w:rsid w:val="000568BB"/>
    <w:rsid w:val="00056970"/>
    <w:rsid w:val="00056A1C"/>
    <w:rsid w:val="00056A47"/>
    <w:rsid w:val="00056D4A"/>
    <w:rsid w:val="00056DC2"/>
    <w:rsid w:val="00057092"/>
    <w:rsid w:val="00057146"/>
    <w:rsid w:val="000571EC"/>
    <w:rsid w:val="0005746F"/>
    <w:rsid w:val="00057A0B"/>
    <w:rsid w:val="00057B10"/>
    <w:rsid w:val="00057B3A"/>
    <w:rsid w:val="00057DB8"/>
    <w:rsid w:val="00057E6C"/>
    <w:rsid w:val="00057EF5"/>
    <w:rsid w:val="00057FF1"/>
    <w:rsid w:val="00060263"/>
    <w:rsid w:val="0006032C"/>
    <w:rsid w:val="000604A7"/>
    <w:rsid w:val="00060853"/>
    <w:rsid w:val="00060854"/>
    <w:rsid w:val="00060916"/>
    <w:rsid w:val="00060A9D"/>
    <w:rsid w:val="00060BED"/>
    <w:rsid w:val="00060C4A"/>
    <w:rsid w:val="00060C9D"/>
    <w:rsid w:val="00060FF7"/>
    <w:rsid w:val="00061105"/>
    <w:rsid w:val="0006119A"/>
    <w:rsid w:val="00061225"/>
    <w:rsid w:val="000612D5"/>
    <w:rsid w:val="00061585"/>
    <w:rsid w:val="00061908"/>
    <w:rsid w:val="00061ACC"/>
    <w:rsid w:val="00061BA6"/>
    <w:rsid w:val="00061CF0"/>
    <w:rsid w:val="0006223B"/>
    <w:rsid w:val="000623C1"/>
    <w:rsid w:val="000623D6"/>
    <w:rsid w:val="00062427"/>
    <w:rsid w:val="00062675"/>
    <w:rsid w:val="0006280D"/>
    <w:rsid w:val="000629AD"/>
    <w:rsid w:val="000629FC"/>
    <w:rsid w:val="00062AA2"/>
    <w:rsid w:val="00062AFB"/>
    <w:rsid w:val="00062D3F"/>
    <w:rsid w:val="00062D48"/>
    <w:rsid w:val="00062E5C"/>
    <w:rsid w:val="00062ECB"/>
    <w:rsid w:val="00062FD0"/>
    <w:rsid w:val="00062FDF"/>
    <w:rsid w:val="000634F5"/>
    <w:rsid w:val="00063518"/>
    <w:rsid w:val="00063550"/>
    <w:rsid w:val="000637D7"/>
    <w:rsid w:val="00063B1F"/>
    <w:rsid w:val="00063B4F"/>
    <w:rsid w:val="00063B73"/>
    <w:rsid w:val="00063BF4"/>
    <w:rsid w:val="00063C8A"/>
    <w:rsid w:val="00063D85"/>
    <w:rsid w:val="00063DEB"/>
    <w:rsid w:val="00063F56"/>
    <w:rsid w:val="0006416E"/>
    <w:rsid w:val="00064413"/>
    <w:rsid w:val="000647D5"/>
    <w:rsid w:val="00064991"/>
    <w:rsid w:val="00064A23"/>
    <w:rsid w:val="00064D29"/>
    <w:rsid w:val="00064E0A"/>
    <w:rsid w:val="00064E15"/>
    <w:rsid w:val="000650E2"/>
    <w:rsid w:val="000653CB"/>
    <w:rsid w:val="000655DA"/>
    <w:rsid w:val="00065606"/>
    <w:rsid w:val="00065ABA"/>
    <w:rsid w:val="00065CDE"/>
    <w:rsid w:val="00065E6D"/>
    <w:rsid w:val="00065FDD"/>
    <w:rsid w:val="000660C7"/>
    <w:rsid w:val="00066190"/>
    <w:rsid w:val="000662FC"/>
    <w:rsid w:val="00066420"/>
    <w:rsid w:val="00066642"/>
    <w:rsid w:val="000667F8"/>
    <w:rsid w:val="00066AA2"/>
    <w:rsid w:val="00066ADA"/>
    <w:rsid w:val="00066B4B"/>
    <w:rsid w:val="00066DFB"/>
    <w:rsid w:val="00066F10"/>
    <w:rsid w:val="0006716D"/>
    <w:rsid w:val="000672A4"/>
    <w:rsid w:val="00067453"/>
    <w:rsid w:val="00067791"/>
    <w:rsid w:val="0007009B"/>
    <w:rsid w:val="0007013F"/>
    <w:rsid w:val="0007048D"/>
    <w:rsid w:val="00070912"/>
    <w:rsid w:val="000709C7"/>
    <w:rsid w:val="00070AD6"/>
    <w:rsid w:val="00070B91"/>
    <w:rsid w:val="00070CFA"/>
    <w:rsid w:val="00070EE8"/>
    <w:rsid w:val="00071025"/>
    <w:rsid w:val="0007135B"/>
    <w:rsid w:val="000714B6"/>
    <w:rsid w:val="000716CE"/>
    <w:rsid w:val="000716D2"/>
    <w:rsid w:val="00071A5C"/>
    <w:rsid w:val="00071B01"/>
    <w:rsid w:val="00071B7C"/>
    <w:rsid w:val="00071C84"/>
    <w:rsid w:val="00071DCB"/>
    <w:rsid w:val="00071DE3"/>
    <w:rsid w:val="00071E64"/>
    <w:rsid w:val="000724E1"/>
    <w:rsid w:val="000726DB"/>
    <w:rsid w:val="00072893"/>
    <w:rsid w:val="000728FD"/>
    <w:rsid w:val="0007292D"/>
    <w:rsid w:val="0007296D"/>
    <w:rsid w:val="00072DBA"/>
    <w:rsid w:val="00072EF8"/>
    <w:rsid w:val="00072F1E"/>
    <w:rsid w:val="0007302A"/>
    <w:rsid w:val="000734D7"/>
    <w:rsid w:val="000735F3"/>
    <w:rsid w:val="00073606"/>
    <w:rsid w:val="00073741"/>
    <w:rsid w:val="000738B7"/>
    <w:rsid w:val="00073A1E"/>
    <w:rsid w:val="00073D7E"/>
    <w:rsid w:val="00073EA3"/>
    <w:rsid w:val="000742A9"/>
    <w:rsid w:val="000742D5"/>
    <w:rsid w:val="000743B2"/>
    <w:rsid w:val="000743F3"/>
    <w:rsid w:val="000744B3"/>
    <w:rsid w:val="00074766"/>
    <w:rsid w:val="000747A4"/>
    <w:rsid w:val="00074CA1"/>
    <w:rsid w:val="00074E7A"/>
    <w:rsid w:val="000754EE"/>
    <w:rsid w:val="000756D1"/>
    <w:rsid w:val="000757C2"/>
    <w:rsid w:val="00075AA0"/>
    <w:rsid w:val="00075C65"/>
    <w:rsid w:val="00075E1F"/>
    <w:rsid w:val="00075EAF"/>
    <w:rsid w:val="00075F57"/>
    <w:rsid w:val="000761B3"/>
    <w:rsid w:val="0007620F"/>
    <w:rsid w:val="00076277"/>
    <w:rsid w:val="00076361"/>
    <w:rsid w:val="00076B0F"/>
    <w:rsid w:val="00076C12"/>
    <w:rsid w:val="00076CA7"/>
    <w:rsid w:val="00076D60"/>
    <w:rsid w:val="0007719B"/>
    <w:rsid w:val="00077412"/>
    <w:rsid w:val="00077458"/>
    <w:rsid w:val="000774A1"/>
    <w:rsid w:val="000775E4"/>
    <w:rsid w:val="000776E4"/>
    <w:rsid w:val="0007774A"/>
    <w:rsid w:val="00077AA9"/>
    <w:rsid w:val="00077B35"/>
    <w:rsid w:val="00077D89"/>
    <w:rsid w:val="00077F02"/>
    <w:rsid w:val="00077F45"/>
    <w:rsid w:val="000800CF"/>
    <w:rsid w:val="000801D3"/>
    <w:rsid w:val="000803C2"/>
    <w:rsid w:val="00080426"/>
    <w:rsid w:val="00080587"/>
    <w:rsid w:val="000809F3"/>
    <w:rsid w:val="00080B88"/>
    <w:rsid w:val="00080BA5"/>
    <w:rsid w:val="00080BF6"/>
    <w:rsid w:val="00080D00"/>
    <w:rsid w:val="00081041"/>
    <w:rsid w:val="0008116F"/>
    <w:rsid w:val="00081266"/>
    <w:rsid w:val="0008133D"/>
    <w:rsid w:val="00081434"/>
    <w:rsid w:val="000814B8"/>
    <w:rsid w:val="00081633"/>
    <w:rsid w:val="000816F3"/>
    <w:rsid w:val="00081AAE"/>
    <w:rsid w:val="00081C3B"/>
    <w:rsid w:val="00081D14"/>
    <w:rsid w:val="00081D3E"/>
    <w:rsid w:val="00081DC1"/>
    <w:rsid w:val="00081F1B"/>
    <w:rsid w:val="000820F3"/>
    <w:rsid w:val="0008221C"/>
    <w:rsid w:val="0008234D"/>
    <w:rsid w:val="0008271E"/>
    <w:rsid w:val="000827F1"/>
    <w:rsid w:val="00082A08"/>
    <w:rsid w:val="00082B7E"/>
    <w:rsid w:val="00082BA3"/>
    <w:rsid w:val="00082D45"/>
    <w:rsid w:val="00082D7F"/>
    <w:rsid w:val="00082EE0"/>
    <w:rsid w:val="00082F56"/>
    <w:rsid w:val="000830B7"/>
    <w:rsid w:val="0008317C"/>
    <w:rsid w:val="00083262"/>
    <w:rsid w:val="000832F3"/>
    <w:rsid w:val="00083506"/>
    <w:rsid w:val="000835A4"/>
    <w:rsid w:val="000835BB"/>
    <w:rsid w:val="0008363A"/>
    <w:rsid w:val="0008366A"/>
    <w:rsid w:val="000836DD"/>
    <w:rsid w:val="000837F6"/>
    <w:rsid w:val="0008387B"/>
    <w:rsid w:val="00083B73"/>
    <w:rsid w:val="00083DFB"/>
    <w:rsid w:val="00083F6A"/>
    <w:rsid w:val="00083F86"/>
    <w:rsid w:val="00084058"/>
    <w:rsid w:val="000840DE"/>
    <w:rsid w:val="00084494"/>
    <w:rsid w:val="00084517"/>
    <w:rsid w:val="000847FD"/>
    <w:rsid w:val="0008485A"/>
    <w:rsid w:val="00084DD6"/>
    <w:rsid w:val="00084E80"/>
    <w:rsid w:val="00084F6E"/>
    <w:rsid w:val="000850E5"/>
    <w:rsid w:val="00085195"/>
    <w:rsid w:val="000853FF"/>
    <w:rsid w:val="00085971"/>
    <w:rsid w:val="000859BA"/>
    <w:rsid w:val="00085A4F"/>
    <w:rsid w:val="00085A58"/>
    <w:rsid w:val="00085B08"/>
    <w:rsid w:val="00085D22"/>
    <w:rsid w:val="00085EBF"/>
    <w:rsid w:val="00086078"/>
    <w:rsid w:val="0008612E"/>
    <w:rsid w:val="000864C6"/>
    <w:rsid w:val="0008650F"/>
    <w:rsid w:val="000866C0"/>
    <w:rsid w:val="00086C49"/>
    <w:rsid w:val="00086EFA"/>
    <w:rsid w:val="00087575"/>
    <w:rsid w:val="0008759B"/>
    <w:rsid w:val="0008769C"/>
    <w:rsid w:val="000876E6"/>
    <w:rsid w:val="00087739"/>
    <w:rsid w:val="0008778D"/>
    <w:rsid w:val="00087A68"/>
    <w:rsid w:val="00087B46"/>
    <w:rsid w:val="00087E4A"/>
    <w:rsid w:val="00090046"/>
    <w:rsid w:val="000901A8"/>
    <w:rsid w:val="00090278"/>
    <w:rsid w:val="00090319"/>
    <w:rsid w:val="000903B7"/>
    <w:rsid w:val="000903F1"/>
    <w:rsid w:val="000905A0"/>
    <w:rsid w:val="0009068C"/>
    <w:rsid w:val="00090896"/>
    <w:rsid w:val="00090928"/>
    <w:rsid w:val="00090A95"/>
    <w:rsid w:val="00090B55"/>
    <w:rsid w:val="00090C61"/>
    <w:rsid w:val="00090CAD"/>
    <w:rsid w:val="000911F2"/>
    <w:rsid w:val="00091264"/>
    <w:rsid w:val="00091302"/>
    <w:rsid w:val="0009132C"/>
    <w:rsid w:val="0009143D"/>
    <w:rsid w:val="0009181E"/>
    <w:rsid w:val="000919C8"/>
    <w:rsid w:val="00091B53"/>
    <w:rsid w:val="00091BDB"/>
    <w:rsid w:val="00091E92"/>
    <w:rsid w:val="00091EFC"/>
    <w:rsid w:val="000924B5"/>
    <w:rsid w:val="000924F8"/>
    <w:rsid w:val="00092967"/>
    <w:rsid w:val="00092A0D"/>
    <w:rsid w:val="00092A7A"/>
    <w:rsid w:val="00092CC2"/>
    <w:rsid w:val="00092CEF"/>
    <w:rsid w:val="00092CF3"/>
    <w:rsid w:val="00092FCD"/>
    <w:rsid w:val="000930E6"/>
    <w:rsid w:val="000932FB"/>
    <w:rsid w:val="00093311"/>
    <w:rsid w:val="00093358"/>
    <w:rsid w:val="00093377"/>
    <w:rsid w:val="000934A7"/>
    <w:rsid w:val="000934D9"/>
    <w:rsid w:val="000935E9"/>
    <w:rsid w:val="00093675"/>
    <w:rsid w:val="000936AE"/>
    <w:rsid w:val="00093A3F"/>
    <w:rsid w:val="00093A5F"/>
    <w:rsid w:val="00093A60"/>
    <w:rsid w:val="00093D82"/>
    <w:rsid w:val="00093F2E"/>
    <w:rsid w:val="00093F88"/>
    <w:rsid w:val="000940E5"/>
    <w:rsid w:val="0009461A"/>
    <w:rsid w:val="00094840"/>
    <w:rsid w:val="00094C79"/>
    <w:rsid w:val="00094DE9"/>
    <w:rsid w:val="00094EBF"/>
    <w:rsid w:val="00094F37"/>
    <w:rsid w:val="00094FA4"/>
    <w:rsid w:val="0009515B"/>
    <w:rsid w:val="0009527B"/>
    <w:rsid w:val="00095283"/>
    <w:rsid w:val="000953B7"/>
    <w:rsid w:val="00095610"/>
    <w:rsid w:val="0009583A"/>
    <w:rsid w:val="00095B62"/>
    <w:rsid w:val="00095C1B"/>
    <w:rsid w:val="00095C98"/>
    <w:rsid w:val="00095EC3"/>
    <w:rsid w:val="00095F02"/>
    <w:rsid w:val="00095FD9"/>
    <w:rsid w:val="00096492"/>
    <w:rsid w:val="000964DE"/>
    <w:rsid w:val="00096639"/>
    <w:rsid w:val="000968D9"/>
    <w:rsid w:val="00096FBD"/>
    <w:rsid w:val="000972A0"/>
    <w:rsid w:val="00097734"/>
    <w:rsid w:val="0009775C"/>
    <w:rsid w:val="00097766"/>
    <w:rsid w:val="00097989"/>
    <w:rsid w:val="000979A3"/>
    <w:rsid w:val="00097B9F"/>
    <w:rsid w:val="00097BD2"/>
    <w:rsid w:val="00097C28"/>
    <w:rsid w:val="00097C34"/>
    <w:rsid w:val="00097D12"/>
    <w:rsid w:val="000A00B8"/>
    <w:rsid w:val="000A01B0"/>
    <w:rsid w:val="000A02DA"/>
    <w:rsid w:val="000A0792"/>
    <w:rsid w:val="000A0984"/>
    <w:rsid w:val="000A0ACA"/>
    <w:rsid w:val="000A0B58"/>
    <w:rsid w:val="000A0BCD"/>
    <w:rsid w:val="000A0D50"/>
    <w:rsid w:val="000A0F9A"/>
    <w:rsid w:val="000A1095"/>
    <w:rsid w:val="000A117B"/>
    <w:rsid w:val="000A1239"/>
    <w:rsid w:val="000A12A3"/>
    <w:rsid w:val="000A1344"/>
    <w:rsid w:val="000A1415"/>
    <w:rsid w:val="000A141F"/>
    <w:rsid w:val="000A1422"/>
    <w:rsid w:val="000A1738"/>
    <w:rsid w:val="000A1989"/>
    <w:rsid w:val="000A1AD8"/>
    <w:rsid w:val="000A1AE3"/>
    <w:rsid w:val="000A1C21"/>
    <w:rsid w:val="000A1FBD"/>
    <w:rsid w:val="000A1FF3"/>
    <w:rsid w:val="000A22C5"/>
    <w:rsid w:val="000A2355"/>
    <w:rsid w:val="000A2446"/>
    <w:rsid w:val="000A2727"/>
    <w:rsid w:val="000A28C7"/>
    <w:rsid w:val="000A2AB0"/>
    <w:rsid w:val="000A2AB5"/>
    <w:rsid w:val="000A2AD1"/>
    <w:rsid w:val="000A2AEA"/>
    <w:rsid w:val="000A2D90"/>
    <w:rsid w:val="000A2DB6"/>
    <w:rsid w:val="000A2F3B"/>
    <w:rsid w:val="000A2FD3"/>
    <w:rsid w:val="000A2FF3"/>
    <w:rsid w:val="000A3190"/>
    <w:rsid w:val="000A3206"/>
    <w:rsid w:val="000A35D7"/>
    <w:rsid w:val="000A36A0"/>
    <w:rsid w:val="000A375C"/>
    <w:rsid w:val="000A3BA6"/>
    <w:rsid w:val="000A3D13"/>
    <w:rsid w:val="000A3E4E"/>
    <w:rsid w:val="000A3E9D"/>
    <w:rsid w:val="000A3F48"/>
    <w:rsid w:val="000A41CC"/>
    <w:rsid w:val="000A43F4"/>
    <w:rsid w:val="000A44F5"/>
    <w:rsid w:val="000A4517"/>
    <w:rsid w:val="000A462D"/>
    <w:rsid w:val="000A46AE"/>
    <w:rsid w:val="000A48CC"/>
    <w:rsid w:val="000A4E62"/>
    <w:rsid w:val="000A4F12"/>
    <w:rsid w:val="000A501E"/>
    <w:rsid w:val="000A52C7"/>
    <w:rsid w:val="000A54D6"/>
    <w:rsid w:val="000A5619"/>
    <w:rsid w:val="000A5658"/>
    <w:rsid w:val="000A5660"/>
    <w:rsid w:val="000A58CE"/>
    <w:rsid w:val="000A592B"/>
    <w:rsid w:val="000A5B31"/>
    <w:rsid w:val="000A5BC3"/>
    <w:rsid w:val="000A5C90"/>
    <w:rsid w:val="000A60AA"/>
    <w:rsid w:val="000A620E"/>
    <w:rsid w:val="000A6391"/>
    <w:rsid w:val="000A6475"/>
    <w:rsid w:val="000A64A7"/>
    <w:rsid w:val="000A64C8"/>
    <w:rsid w:val="000A6588"/>
    <w:rsid w:val="000A66E7"/>
    <w:rsid w:val="000A66FF"/>
    <w:rsid w:val="000A69BD"/>
    <w:rsid w:val="000A6A30"/>
    <w:rsid w:val="000A6A6A"/>
    <w:rsid w:val="000A701C"/>
    <w:rsid w:val="000A70F3"/>
    <w:rsid w:val="000A71F8"/>
    <w:rsid w:val="000A71FA"/>
    <w:rsid w:val="000A7365"/>
    <w:rsid w:val="000A74CF"/>
    <w:rsid w:val="000A75F9"/>
    <w:rsid w:val="000A76A4"/>
    <w:rsid w:val="000A79A6"/>
    <w:rsid w:val="000A7A55"/>
    <w:rsid w:val="000A7C14"/>
    <w:rsid w:val="000A7FD2"/>
    <w:rsid w:val="000A7FDB"/>
    <w:rsid w:val="000B0199"/>
    <w:rsid w:val="000B020F"/>
    <w:rsid w:val="000B02BD"/>
    <w:rsid w:val="000B048E"/>
    <w:rsid w:val="000B04AA"/>
    <w:rsid w:val="000B0994"/>
    <w:rsid w:val="000B0A7E"/>
    <w:rsid w:val="000B0E0A"/>
    <w:rsid w:val="000B0E18"/>
    <w:rsid w:val="000B0E63"/>
    <w:rsid w:val="000B104E"/>
    <w:rsid w:val="000B10C8"/>
    <w:rsid w:val="000B1257"/>
    <w:rsid w:val="000B16AE"/>
    <w:rsid w:val="000B193E"/>
    <w:rsid w:val="000B1C43"/>
    <w:rsid w:val="000B1E15"/>
    <w:rsid w:val="000B1E3C"/>
    <w:rsid w:val="000B20CD"/>
    <w:rsid w:val="000B28BD"/>
    <w:rsid w:val="000B2A16"/>
    <w:rsid w:val="000B2AD5"/>
    <w:rsid w:val="000B2C46"/>
    <w:rsid w:val="000B2D96"/>
    <w:rsid w:val="000B2DB8"/>
    <w:rsid w:val="000B2DEE"/>
    <w:rsid w:val="000B3009"/>
    <w:rsid w:val="000B3093"/>
    <w:rsid w:val="000B30A6"/>
    <w:rsid w:val="000B30C4"/>
    <w:rsid w:val="000B30DD"/>
    <w:rsid w:val="000B3274"/>
    <w:rsid w:val="000B3474"/>
    <w:rsid w:val="000B3476"/>
    <w:rsid w:val="000B3648"/>
    <w:rsid w:val="000B37D2"/>
    <w:rsid w:val="000B3EA0"/>
    <w:rsid w:val="000B3F89"/>
    <w:rsid w:val="000B42D2"/>
    <w:rsid w:val="000B43A7"/>
    <w:rsid w:val="000B4452"/>
    <w:rsid w:val="000B45A6"/>
    <w:rsid w:val="000B4C40"/>
    <w:rsid w:val="000B4DA8"/>
    <w:rsid w:val="000B4FEB"/>
    <w:rsid w:val="000B5161"/>
    <w:rsid w:val="000B51BB"/>
    <w:rsid w:val="000B56AF"/>
    <w:rsid w:val="000B56FB"/>
    <w:rsid w:val="000B5730"/>
    <w:rsid w:val="000B5758"/>
    <w:rsid w:val="000B5768"/>
    <w:rsid w:val="000B57E3"/>
    <w:rsid w:val="000B5AC1"/>
    <w:rsid w:val="000B5B87"/>
    <w:rsid w:val="000B5C35"/>
    <w:rsid w:val="000B5D9D"/>
    <w:rsid w:val="000B5EEE"/>
    <w:rsid w:val="000B5FD8"/>
    <w:rsid w:val="000B6078"/>
    <w:rsid w:val="000B6206"/>
    <w:rsid w:val="000B6214"/>
    <w:rsid w:val="000B63CE"/>
    <w:rsid w:val="000B69AF"/>
    <w:rsid w:val="000B6A79"/>
    <w:rsid w:val="000B6AE2"/>
    <w:rsid w:val="000B6B22"/>
    <w:rsid w:val="000B6BF8"/>
    <w:rsid w:val="000B6C60"/>
    <w:rsid w:val="000B7190"/>
    <w:rsid w:val="000B71CF"/>
    <w:rsid w:val="000B7200"/>
    <w:rsid w:val="000B748F"/>
    <w:rsid w:val="000B75B1"/>
    <w:rsid w:val="000B77F2"/>
    <w:rsid w:val="000B78F1"/>
    <w:rsid w:val="000B7BAC"/>
    <w:rsid w:val="000B7C3B"/>
    <w:rsid w:val="000B7EF6"/>
    <w:rsid w:val="000C0302"/>
    <w:rsid w:val="000C0354"/>
    <w:rsid w:val="000C0596"/>
    <w:rsid w:val="000C0872"/>
    <w:rsid w:val="000C0BA0"/>
    <w:rsid w:val="000C0F7D"/>
    <w:rsid w:val="000C10AA"/>
    <w:rsid w:val="000C10F7"/>
    <w:rsid w:val="000C1612"/>
    <w:rsid w:val="000C1624"/>
    <w:rsid w:val="000C18E6"/>
    <w:rsid w:val="000C19A5"/>
    <w:rsid w:val="000C1B08"/>
    <w:rsid w:val="000C1E7C"/>
    <w:rsid w:val="000C1F4D"/>
    <w:rsid w:val="000C2028"/>
    <w:rsid w:val="000C23C5"/>
    <w:rsid w:val="000C23F9"/>
    <w:rsid w:val="000C245F"/>
    <w:rsid w:val="000C25D4"/>
    <w:rsid w:val="000C283C"/>
    <w:rsid w:val="000C295A"/>
    <w:rsid w:val="000C29A1"/>
    <w:rsid w:val="000C2B74"/>
    <w:rsid w:val="000C2C2E"/>
    <w:rsid w:val="000C2C90"/>
    <w:rsid w:val="000C3045"/>
    <w:rsid w:val="000C30C3"/>
    <w:rsid w:val="000C31C7"/>
    <w:rsid w:val="000C31CA"/>
    <w:rsid w:val="000C324C"/>
    <w:rsid w:val="000C3380"/>
    <w:rsid w:val="000C36D0"/>
    <w:rsid w:val="000C3C7A"/>
    <w:rsid w:val="000C3D5E"/>
    <w:rsid w:val="000C3DFD"/>
    <w:rsid w:val="000C4003"/>
    <w:rsid w:val="000C4221"/>
    <w:rsid w:val="000C42F6"/>
    <w:rsid w:val="000C4341"/>
    <w:rsid w:val="000C4435"/>
    <w:rsid w:val="000C4861"/>
    <w:rsid w:val="000C48BE"/>
    <w:rsid w:val="000C4A07"/>
    <w:rsid w:val="000C4B7A"/>
    <w:rsid w:val="000C4B92"/>
    <w:rsid w:val="000C5131"/>
    <w:rsid w:val="000C538C"/>
    <w:rsid w:val="000C53D4"/>
    <w:rsid w:val="000C55CB"/>
    <w:rsid w:val="000C56E2"/>
    <w:rsid w:val="000C574B"/>
    <w:rsid w:val="000C57FC"/>
    <w:rsid w:val="000C588F"/>
    <w:rsid w:val="000C5AFF"/>
    <w:rsid w:val="000C5B97"/>
    <w:rsid w:val="000C5D70"/>
    <w:rsid w:val="000C5E48"/>
    <w:rsid w:val="000C6B53"/>
    <w:rsid w:val="000C6D73"/>
    <w:rsid w:val="000C6DFA"/>
    <w:rsid w:val="000C6FB2"/>
    <w:rsid w:val="000C6FC8"/>
    <w:rsid w:val="000C70D4"/>
    <w:rsid w:val="000C714E"/>
    <w:rsid w:val="000C7B5B"/>
    <w:rsid w:val="000C7C10"/>
    <w:rsid w:val="000C7C99"/>
    <w:rsid w:val="000C7CCB"/>
    <w:rsid w:val="000C7D05"/>
    <w:rsid w:val="000C7D29"/>
    <w:rsid w:val="000D0435"/>
    <w:rsid w:val="000D0AEE"/>
    <w:rsid w:val="000D0C70"/>
    <w:rsid w:val="000D0E78"/>
    <w:rsid w:val="000D0EC0"/>
    <w:rsid w:val="000D1247"/>
    <w:rsid w:val="000D14CD"/>
    <w:rsid w:val="000D185C"/>
    <w:rsid w:val="000D192F"/>
    <w:rsid w:val="000D19B5"/>
    <w:rsid w:val="000D1A25"/>
    <w:rsid w:val="000D1A59"/>
    <w:rsid w:val="000D1BB9"/>
    <w:rsid w:val="000D1C0E"/>
    <w:rsid w:val="000D1E8D"/>
    <w:rsid w:val="000D1F4B"/>
    <w:rsid w:val="000D22C6"/>
    <w:rsid w:val="000D25A1"/>
    <w:rsid w:val="000D263A"/>
    <w:rsid w:val="000D28D2"/>
    <w:rsid w:val="000D2BF2"/>
    <w:rsid w:val="000D2CD3"/>
    <w:rsid w:val="000D2DC5"/>
    <w:rsid w:val="000D2F41"/>
    <w:rsid w:val="000D310C"/>
    <w:rsid w:val="000D3259"/>
    <w:rsid w:val="000D3507"/>
    <w:rsid w:val="000D3576"/>
    <w:rsid w:val="000D3772"/>
    <w:rsid w:val="000D3810"/>
    <w:rsid w:val="000D3859"/>
    <w:rsid w:val="000D38C0"/>
    <w:rsid w:val="000D3C36"/>
    <w:rsid w:val="000D3E8A"/>
    <w:rsid w:val="000D4316"/>
    <w:rsid w:val="000D4864"/>
    <w:rsid w:val="000D486C"/>
    <w:rsid w:val="000D4BF1"/>
    <w:rsid w:val="000D4C45"/>
    <w:rsid w:val="000D4FF5"/>
    <w:rsid w:val="000D5252"/>
    <w:rsid w:val="000D52E4"/>
    <w:rsid w:val="000D55AF"/>
    <w:rsid w:val="000D55F0"/>
    <w:rsid w:val="000D56C1"/>
    <w:rsid w:val="000D57F7"/>
    <w:rsid w:val="000D5BE0"/>
    <w:rsid w:val="000D5FC7"/>
    <w:rsid w:val="000D6318"/>
    <w:rsid w:val="000D67D5"/>
    <w:rsid w:val="000D6A09"/>
    <w:rsid w:val="000D6AB8"/>
    <w:rsid w:val="000D6B25"/>
    <w:rsid w:val="000D6B43"/>
    <w:rsid w:val="000D6C7E"/>
    <w:rsid w:val="000D6CC3"/>
    <w:rsid w:val="000D6F55"/>
    <w:rsid w:val="000D6F5B"/>
    <w:rsid w:val="000D7177"/>
    <w:rsid w:val="000D7292"/>
    <w:rsid w:val="000D7293"/>
    <w:rsid w:val="000D759D"/>
    <w:rsid w:val="000D77E0"/>
    <w:rsid w:val="000D7BD6"/>
    <w:rsid w:val="000D7DFB"/>
    <w:rsid w:val="000D7FD8"/>
    <w:rsid w:val="000E0178"/>
    <w:rsid w:val="000E0369"/>
    <w:rsid w:val="000E0531"/>
    <w:rsid w:val="000E0960"/>
    <w:rsid w:val="000E0D91"/>
    <w:rsid w:val="000E0FDC"/>
    <w:rsid w:val="000E1119"/>
    <w:rsid w:val="000E150C"/>
    <w:rsid w:val="000E18D8"/>
    <w:rsid w:val="000E1908"/>
    <w:rsid w:val="000E1E9C"/>
    <w:rsid w:val="000E1FE6"/>
    <w:rsid w:val="000E21BB"/>
    <w:rsid w:val="000E2327"/>
    <w:rsid w:val="000E2373"/>
    <w:rsid w:val="000E2442"/>
    <w:rsid w:val="000E26AC"/>
    <w:rsid w:val="000E276A"/>
    <w:rsid w:val="000E29DA"/>
    <w:rsid w:val="000E2B6F"/>
    <w:rsid w:val="000E2E22"/>
    <w:rsid w:val="000E2E73"/>
    <w:rsid w:val="000E2F29"/>
    <w:rsid w:val="000E31D5"/>
    <w:rsid w:val="000E32CC"/>
    <w:rsid w:val="000E3778"/>
    <w:rsid w:val="000E389F"/>
    <w:rsid w:val="000E39D4"/>
    <w:rsid w:val="000E3BC2"/>
    <w:rsid w:val="000E3C32"/>
    <w:rsid w:val="000E3CFA"/>
    <w:rsid w:val="000E3EEC"/>
    <w:rsid w:val="000E3F40"/>
    <w:rsid w:val="000E4344"/>
    <w:rsid w:val="000E455B"/>
    <w:rsid w:val="000E49FF"/>
    <w:rsid w:val="000E4B11"/>
    <w:rsid w:val="000E4CE2"/>
    <w:rsid w:val="000E515C"/>
    <w:rsid w:val="000E5205"/>
    <w:rsid w:val="000E522C"/>
    <w:rsid w:val="000E532E"/>
    <w:rsid w:val="000E56E0"/>
    <w:rsid w:val="000E579C"/>
    <w:rsid w:val="000E5A16"/>
    <w:rsid w:val="000E5B97"/>
    <w:rsid w:val="000E5BDF"/>
    <w:rsid w:val="000E5BEF"/>
    <w:rsid w:val="000E5D01"/>
    <w:rsid w:val="000E5F1B"/>
    <w:rsid w:val="000E5FC2"/>
    <w:rsid w:val="000E6048"/>
    <w:rsid w:val="000E60E6"/>
    <w:rsid w:val="000E64D4"/>
    <w:rsid w:val="000E67B4"/>
    <w:rsid w:val="000E6AEE"/>
    <w:rsid w:val="000E6C31"/>
    <w:rsid w:val="000E6D6D"/>
    <w:rsid w:val="000E7004"/>
    <w:rsid w:val="000E7138"/>
    <w:rsid w:val="000E74E0"/>
    <w:rsid w:val="000E78D6"/>
    <w:rsid w:val="000E7B54"/>
    <w:rsid w:val="000E7BC1"/>
    <w:rsid w:val="000E7BC8"/>
    <w:rsid w:val="000E7E50"/>
    <w:rsid w:val="000F00A3"/>
    <w:rsid w:val="000F00A5"/>
    <w:rsid w:val="000F0257"/>
    <w:rsid w:val="000F02E9"/>
    <w:rsid w:val="000F044E"/>
    <w:rsid w:val="000F0525"/>
    <w:rsid w:val="000F07EF"/>
    <w:rsid w:val="000F09D4"/>
    <w:rsid w:val="000F0E8D"/>
    <w:rsid w:val="000F0F6E"/>
    <w:rsid w:val="000F1173"/>
    <w:rsid w:val="000F13A6"/>
    <w:rsid w:val="000F13B8"/>
    <w:rsid w:val="000F1459"/>
    <w:rsid w:val="000F1754"/>
    <w:rsid w:val="000F1A07"/>
    <w:rsid w:val="000F1A69"/>
    <w:rsid w:val="000F1C39"/>
    <w:rsid w:val="000F1FD0"/>
    <w:rsid w:val="000F20D6"/>
    <w:rsid w:val="000F21E7"/>
    <w:rsid w:val="000F246C"/>
    <w:rsid w:val="000F282D"/>
    <w:rsid w:val="000F2870"/>
    <w:rsid w:val="000F2CDF"/>
    <w:rsid w:val="000F2DF2"/>
    <w:rsid w:val="000F2EB2"/>
    <w:rsid w:val="000F2EEA"/>
    <w:rsid w:val="000F34A8"/>
    <w:rsid w:val="000F357F"/>
    <w:rsid w:val="000F38CA"/>
    <w:rsid w:val="000F3956"/>
    <w:rsid w:val="000F3965"/>
    <w:rsid w:val="000F3A3F"/>
    <w:rsid w:val="000F3A9B"/>
    <w:rsid w:val="000F3AF4"/>
    <w:rsid w:val="000F3D49"/>
    <w:rsid w:val="000F3D9A"/>
    <w:rsid w:val="000F3DB4"/>
    <w:rsid w:val="000F40EC"/>
    <w:rsid w:val="000F410A"/>
    <w:rsid w:val="000F41D7"/>
    <w:rsid w:val="000F4336"/>
    <w:rsid w:val="000F457C"/>
    <w:rsid w:val="000F459F"/>
    <w:rsid w:val="000F467A"/>
    <w:rsid w:val="000F4995"/>
    <w:rsid w:val="000F4ABC"/>
    <w:rsid w:val="000F4F89"/>
    <w:rsid w:val="000F4FFE"/>
    <w:rsid w:val="000F50C4"/>
    <w:rsid w:val="000F51EC"/>
    <w:rsid w:val="000F521A"/>
    <w:rsid w:val="000F52FB"/>
    <w:rsid w:val="000F54FE"/>
    <w:rsid w:val="000F5CCA"/>
    <w:rsid w:val="000F5D01"/>
    <w:rsid w:val="000F5D89"/>
    <w:rsid w:val="000F5F66"/>
    <w:rsid w:val="000F603F"/>
    <w:rsid w:val="000F6472"/>
    <w:rsid w:val="000F6525"/>
    <w:rsid w:val="000F657B"/>
    <w:rsid w:val="000F65F5"/>
    <w:rsid w:val="000F66F9"/>
    <w:rsid w:val="000F69DE"/>
    <w:rsid w:val="000F6E71"/>
    <w:rsid w:val="000F6EA0"/>
    <w:rsid w:val="000F6F8E"/>
    <w:rsid w:val="000F70C0"/>
    <w:rsid w:val="000F70E8"/>
    <w:rsid w:val="000F7176"/>
    <w:rsid w:val="000F71FB"/>
    <w:rsid w:val="000F7260"/>
    <w:rsid w:val="000F7281"/>
    <w:rsid w:val="000F734B"/>
    <w:rsid w:val="000F73A8"/>
    <w:rsid w:val="000F7485"/>
    <w:rsid w:val="000F76C2"/>
    <w:rsid w:val="000F76F6"/>
    <w:rsid w:val="000F7A04"/>
    <w:rsid w:val="000F7A0A"/>
    <w:rsid w:val="000F7A57"/>
    <w:rsid w:val="000F7B71"/>
    <w:rsid w:val="000F7BB0"/>
    <w:rsid w:val="000F7CAD"/>
    <w:rsid w:val="000F7DCF"/>
    <w:rsid w:val="000F7F48"/>
    <w:rsid w:val="0010010D"/>
    <w:rsid w:val="00100207"/>
    <w:rsid w:val="00100235"/>
    <w:rsid w:val="001002B8"/>
    <w:rsid w:val="001004FB"/>
    <w:rsid w:val="00100659"/>
    <w:rsid w:val="00100764"/>
    <w:rsid w:val="0010076E"/>
    <w:rsid w:val="00100A4E"/>
    <w:rsid w:val="00100B46"/>
    <w:rsid w:val="00100BD8"/>
    <w:rsid w:val="00100CA0"/>
    <w:rsid w:val="00100E99"/>
    <w:rsid w:val="001011E6"/>
    <w:rsid w:val="001013D0"/>
    <w:rsid w:val="00101458"/>
    <w:rsid w:val="001016A1"/>
    <w:rsid w:val="00101927"/>
    <w:rsid w:val="0010194A"/>
    <w:rsid w:val="00101B08"/>
    <w:rsid w:val="00101C5F"/>
    <w:rsid w:val="00101D6F"/>
    <w:rsid w:val="00101DD4"/>
    <w:rsid w:val="00101E59"/>
    <w:rsid w:val="00101F82"/>
    <w:rsid w:val="001022DF"/>
    <w:rsid w:val="001023C2"/>
    <w:rsid w:val="00102659"/>
    <w:rsid w:val="00102889"/>
    <w:rsid w:val="001028F7"/>
    <w:rsid w:val="00102918"/>
    <w:rsid w:val="00102998"/>
    <w:rsid w:val="001029CB"/>
    <w:rsid w:val="00102A4B"/>
    <w:rsid w:val="00102CE3"/>
    <w:rsid w:val="00102F29"/>
    <w:rsid w:val="0010340D"/>
    <w:rsid w:val="00103416"/>
    <w:rsid w:val="00103611"/>
    <w:rsid w:val="001036D8"/>
    <w:rsid w:val="001038B1"/>
    <w:rsid w:val="00103A77"/>
    <w:rsid w:val="00103B57"/>
    <w:rsid w:val="00103D04"/>
    <w:rsid w:val="00103D6F"/>
    <w:rsid w:val="00103DB1"/>
    <w:rsid w:val="00103E2E"/>
    <w:rsid w:val="0010422A"/>
    <w:rsid w:val="0010479A"/>
    <w:rsid w:val="00104BE9"/>
    <w:rsid w:val="00104CCC"/>
    <w:rsid w:val="00104CFD"/>
    <w:rsid w:val="00104D8C"/>
    <w:rsid w:val="00104E69"/>
    <w:rsid w:val="00104F34"/>
    <w:rsid w:val="0010518B"/>
    <w:rsid w:val="001053AF"/>
    <w:rsid w:val="00105525"/>
    <w:rsid w:val="00105644"/>
    <w:rsid w:val="00105724"/>
    <w:rsid w:val="00105A26"/>
    <w:rsid w:val="00105B75"/>
    <w:rsid w:val="00105BA2"/>
    <w:rsid w:val="00105CA8"/>
    <w:rsid w:val="00105F78"/>
    <w:rsid w:val="0010613D"/>
    <w:rsid w:val="00106307"/>
    <w:rsid w:val="001064A0"/>
    <w:rsid w:val="001064C6"/>
    <w:rsid w:val="00106578"/>
    <w:rsid w:val="00106641"/>
    <w:rsid w:val="00106D61"/>
    <w:rsid w:val="00107A26"/>
    <w:rsid w:val="00107A4E"/>
    <w:rsid w:val="00107B55"/>
    <w:rsid w:val="00110130"/>
    <w:rsid w:val="0011029B"/>
    <w:rsid w:val="0011075B"/>
    <w:rsid w:val="0011099D"/>
    <w:rsid w:val="00110DC6"/>
    <w:rsid w:val="00110F96"/>
    <w:rsid w:val="0011107E"/>
    <w:rsid w:val="001110B9"/>
    <w:rsid w:val="00111279"/>
    <w:rsid w:val="00111367"/>
    <w:rsid w:val="00111539"/>
    <w:rsid w:val="001116CD"/>
    <w:rsid w:val="001117A0"/>
    <w:rsid w:val="001117C7"/>
    <w:rsid w:val="00111CA3"/>
    <w:rsid w:val="00111D6B"/>
    <w:rsid w:val="00111E53"/>
    <w:rsid w:val="00111F50"/>
    <w:rsid w:val="0011212C"/>
    <w:rsid w:val="001122D9"/>
    <w:rsid w:val="00112895"/>
    <w:rsid w:val="001128A6"/>
    <w:rsid w:val="0011295D"/>
    <w:rsid w:val="001129A2"/>
    <w:rsid w:val="00112A2C"/>
    <w:rsid w:val="00112FC3"/>
    <w:rsid w:val="001130BE"/>
    <w:rsid w:val="001131DC"/>
    <w:rsid w:val="001133B7"/>
    <w:rsid w:val="001133F0"/>
    <w:rsid w:val="00113430"/>
    <w:rsid w:val="00113457"/>
    <w:rsid w:val="0011346D"/>
    <w:rsid w:val="0011353F"/>
    <w:rsid w:val="001135DF"/>
    <w:rsid w:val="001137ED"/>
    <w:rsid w:val="00113B5C"/>
    <w:rsid w:val="00113C78"/>
    <w:rsid w:val="00113CF3"/>
    <w:rsid w:val="00113FD0"/>
    <w:rsid w:val="001140E3"/>
    <w:rsid w:val="0011413F"/>
    <w:rsid w:val="001141C7"/>
    <w:rsid w:val="001141CB"/>
    <w:rsid w:val="00114217"/>
    <w:rsid w:val="0011457F"/>
    <w:rsid w:val="00114688"/>
    <w:rsid w:val="0011484A"/>
    <w:rsid w:val="001148C4"/>
    <w:rsid w:val="001148DC"/>
    <w:rsid w:val="00114909"/>
    <w:rsid w:val="00114936"/>
    <w:rsid w:val="00114AD8"/>
    <w:rsid w:val="00114D1E"/>
    <w:rsid w:val="0011529A"/>
    <w:rsid w:val="00115686"/>
    <w:rsid w:val="00115849"/>
    <w:rsid w:val="00115958"/>
    <w:rsid w:val="001159C0"/>
    <w:rsid w:val="00115C3C"/>
    <w:rsid w:val="00115D6D"/>
    <w:rsid w:val="00115DE6"/>
    <w:rsid w:val="00115E8D"/>
    <w:rsid w:val="001163D3"/>
    <w:rsid w:val="001166D9"/>
    <w:rsid w:val="00116748"/>
    <w:rsid w:val="001167A5"/>
    <w:rsid w:val="001169CA"/>
    <w:rsid w:val="00116A9A"/>
    <w:rsid w:val="00116C53"/>
    <w:rsid w:val="00116D53"/>
    <w:rsid w:val="00116E28"/>
    <w:rsid w:val="00117238"/>
    <w:rsid w:val="00117239"/>
    <w:rsid w:val="00117387"/>
    <w:rsid w:val="001173DE"/>
    <w:rsid w:val="0011741C"/>
    <w:rsid w:val="0011771D"/>
    <w:rsid w:val="001179FF"/>
    <w:rsid w:val="00117A09"/>
    <w:rsid w:val="00117DC7"/>
    <w:rsid w:val="00117ECF"/>
    <w:rsid w:val="00117FA1"/>
    <w:rsid w:val="0012017C"/>
    <w:rsid w:val="0012050F"/>
    <w:rsid w:val="001206B0"/>
    <w:rsid w:val="001206E3"/>
    <w:rsid w:val="001207E4"/>
    <w:rsid w:val="001208CA"/>
    <w:rsid w:val="001208DA"/>
    <w:rsid w:val="001208F9"/>
    <w:rsid w:val="00120B8F"/>
    <w:rsid w:val="00120B9C"/>
    <w:rsid w:val="00120F66"/>
    <w:rsid w:val="001215E3"/>
    <w:rsid w:val="001217F1"/>
    <w:rsid w:val="001218D3"/>
    <w:rsid w:val="001220D9"/>
    <w:rsid w:val="001223CD"/>
    <w:rsid w:val="001226B4"/>
    <w:rsid w:val="0012272B"/>
    <w:rsid w:val="0012294E"/>
    <w:rsid w:val="001229E8"/>
    <w:rsid w:val="00122B5E"/>
    <w:rsid w:val="00122CA9"/>
    <w:rsid w:val="00122D52"/>
    <w:rsid w:val="0012378E"/>
    <w:rsid w:val="001238F2"/>
    <w:rsid w:val="00123BC6"/>
    <w:rsid w:val="00123BFF"/>
    <w:rsid w:val="00123C3B"/>
    <w:rsid w:val="00123D14"/>
    <w:rsid w:val="00123F56"/>
    <w:rsid w:val="00124081"/>
    <w:rsid w:val="00124573"/>
    <w:rsid w:val="001246E1"/>
    <w:rsid w:val="00124827"/>
    <w:rsid w:val="00124860"/>
    <w:rsid w:val="001248C0"/>
    <w:rsid w:val="00124CAF"/>
    <w:rsid w:val="00124CCC"/>
    <w:rsid w:val="001251D3"/>
    <w:rsid w:val="001252C5"/>
    <w:rsid w:val="0012535F"/>
    <w:rsid w:val="001253E3"/>
    <w:rsid w:val="0012587A"/>
    <w:rsid w:val="00125880"/>
    <w:rsid w:val="00125EF7"/>
    <w:rsid w:val="0012609B"/>
    <w:rsid w:val="001260FB"/>
    <w:rsid w:val="00126182"/>
    <w:rsid w:val="001262DD"/>
    <w:rsid w:val="001262EF"/>
    <w:rsid w:val="001263FE"/>
    <w:rsid w:val="00126461"/>
    <w:rsid w:val="00126984"/>
    <w:rsid w:val="00126999"/>
    <w:rsid w:val="00127048"/>
    <w:rsid w:val="001271D8"/>
    <w:rsid w:val="0012729B"/>
    <w:rsid w:val="00127489"/>
    <w:rsid w:val="001278D7"/>
    <w:rsid w:val="00127D22"/>
    <w:rsid w:val="001308B5"/>
    <w:rsid w:val="00130A91"/>
    <w:rsid w:val="00130AD3"/>
    <w:rsid w:val="00130C04"/>
    <w:rsid w:val="00130C8F"/>
    <w:rsid w:val="00130E56"/>
    <w:rsid w:val="001312C3"/>
    <w:rsid w:val="001312CE"/>
    <w:rsid w:val="001312FE"/>
    <w:rsid w:val="00131521"/>
    <w:rsid w:val="0013163D"/>
    <w:rsid w:val="0013172B"/>
    <w:rsid w:val="00131753"/>
    <w:rsid w:val="0013186A"/>
    <w:rsid w:val="0013198B"/>
    <w:rsid w:val="00131B30"/>
    <w:rsid w:val="00131E5F"/>
    <w:rsid w:val="00131E6B"/>
    <w:rsid w:val="00131F22"/>
    <w:rsid w:val="0013217C"/>
    <w:rsid w:val="00132182"/>
    <w:rsid w:val="001322BB"/>
    <w:rsid w:val="0013241A"/>
    <w:rsid w:val="0013251A"/>
    <w:rsid w:val="00132589"/>
    <w:rsid w:val="001325A7"/>
    <w:rsid w:val="001325A9"/>
    <w:rsid w:val="00132612"/>
    <w:rsid w:val="00132740"/>
    <w:rsid w:val="00132916"/>
    <w:rsid w:val="00132EEA"/>
    <w:rsid w:val="00132EEB"/>
    <w:rsid w:val="00133033"/>
    <w:rsid w:val="001334CE"/>
    <w:rsid w:val="0013359F"/>
    <w:rsid w:val="001335A2"/>
    <w:rsid w:val="00133682"/>
    <w:rsid w:val="001336D4"/>
    <w:rsid w:val="00133985"/>
    <w:rsid w:val="001339C9"/>
    <w:rsid w:val="00133CF3"/>
    <w:rsid w:val="00133E1B"/>
    <w:rsid w:val="00133E3A"/>
    <w:rsid w:val="00133F6F"/>
    <w:rsid w:val="0013409D"/>
    <w:rsid w:val="001344B9"/>
    <w:rsid w:val="00134547"/>
    <w:rsid w:val="001345B9"/>
    <w:rsid w:val="001345C0"/>
    <w:rsid w:val="00134664"/>
    <w:rsid w:val="00134832"/>
    <w:rsid w:val="00134990"/>
    <w:rsid w:val="00135059"/>
    <w:rsid w:val="00135272"/>
    <w:rsid w:val="001352E2"/>
    <w:rsid w:val="001357CA"/>
    <w:rsid w:val="00135809"/>
    <w:rsid w:val="00135939"/>
    <w:rsid w:val="00135BE6"/>
    <w:rsid w:val="00135CE2"/>
    <w:rsid w:val="00135E60"/>
    <w:rsid w:val="001360B8"/>
    <w:rsid w:val="001364FA"/>
    <w:rsid w:val="001367F7"/>
    <w:rsid w:val="00136AFC"/>
    <w:rsid w:val="00136B9A"/>
    <w:rsid w:val="00136D94"/>
    <w:rsid w:val="00136DE3"/>
    <w:rsid w:val="00136F27"/>
    <w:rsid w:val="00136F40"/>
    <w:rsid w:val="00136F6E"/>
    <w:rsid w:val="00137136"/>
    <w:rsid w:val="00137215"/>
    <w:rsid w:val="00137392"/>
    <w:rsid w:val="001376AE"/>
    <w:rsid w:val="00137792"/>
    <w:rsid w:val="001377DA"/>
    <w:rsid w:val="00137A44"/>
    <w:rsid w:val="00137D97"/>
    <w:rsid w:val="00137DF4"/>
    <w:rsid w:val="00137E38"/>
    <w:rsid w:val="00137F75"/>
    <w:rsid w:val="00140014"/>
    <w:rsid w:val="001401A0"/>
    <w:rsid w:val="001401C3"/>
    <w:rsid w:val="00140536"/>
    <w:rsid w:val="001407AE"/>
    <w:rsid w:val="001408E6"/>
    <w:rsid w:val="00140949"/>
    <w:rsid w:val="001409E5"/>
    <w:rsid w:val="00140A98"/>
    <w:rsid w:val="00140EB1"/>
    <w:rsid w:val="0014119C"/>
    <w:rsid w:val="00141262"/>
    <w:rsid w:val="001414A6"/>
    <w:rsid w:val="00141540"/>
    <w:rsid w:val="00141548"/>
    <w:rsid w:val="001416DB"/>
    <w:rsid w:val="00141734"/>
    <w:rsid w:val="001418C6"/>
    <w:rsid w:val="001419BC"/>
    <w:rsid w:val="00141A16"/>
    <w:rsid w:val="00141DB3"/>
    <w:rsid w:val="00141E67"/>
    <w:rsid w:val="00141F58"/>
    <w:rsid w:val="00142022"/>
    <w:rsid w:val="00142087"/>
    <w:rsid w:val="0014210B"/>
    <w:rsid w:val="00142303"/>
    <w:rsid w:val="0014253A"/>
    <w:rsid w:val="0014266A"/>
    <w:rsid w:val="0014269F"/>
    <w:rsid w:val="001426B6"/>
    <w:rsid w:val="0014291C"/>
    <w:rsid w:val="001429E0"/>
    <w:rsid w:val="00142A12"/>
    <w:rsid w:val="00142ABC"/>
    <w:rsid w:val="00142B03"/>
    <w:rsid w:val="00142EEF"/>
    <w:rsid w:val="00142F98"/>
    <w:rsid w:val="001432EC"/>
    <w:rsid w:val="00143300"/>
    <w:rsid w:val="0014333F"/>
    <w:rsid w:val="00143382"/>
    <w:rsid w:val="001433E1"/>
    <w:rsid w:val="00143648"/>
    <w:rsid w:val="00143737"/>
    <w:rsid w:val="0014384B"/>
    <w:rsid w:val="0014389B"/>
    <w:rsid w:val="00143C10"/>
    <w:rsid w:val="00143C56"/>
    <w:rsid w:val="00143D11"/>
    <w:rsid w:val="00143DCB"/>
    <w:rsid w:val="00143E10"/>
    <w:rsid w:val="00143E52"/>
    <w:rsid w:val="00143FB4"/>
    <w:rsid w:val="0014406F"/>
    <w:rsid w:val="00144101"/>
    <w:rsid w:val="001441EB"/>
    <w:rsid w:val="001441FC"/>
    <w:rsid w:val="00144641"/>
    <w:rsid w:val="0014464F"/>
    <w:rsid w:val="001446BD"/>
    <w:rsid w:val="0014476E"/>
    <w:rsid w:val="00144792"/>
    <w:rsid w:val="001447DE"/>
    <w:rsid w:val="00144BD2"/>
    <w:rsid w:val="00144CCB"/>
    <w:rsid w:val="00144ECD"/>
    <w:rsid w:val="00144F97"/>
    <w:rsid w:val="00145660"/>
    <w:rsid w:val="001456A6"/>
    <w:rsid w:val="0014573E"/>
    <w:rsid w:val="0014581A"/>
    <w:rsid w:val="0014581E"/>
    <w:rsid w:val="001459DD"/>
    <w:rsid w:val="00145AB6"/>
    <w:rsid w:val="00145B00"/>
    <w:rsid w:val="00145B2E"/>
    <w:rsid w:val="00145E02"/>
    <w:rsid w:val="001461AD"/>
    <w:rsid w:val="00146273"/>
    <w:rsid w:val="001462C1"/>
    <w:rsid w:val="00146438"/>
    <w:rsid w:val="00146575"/>
    <w:rsid w:val="00146717"/>
    <w:rsid w:val="00146944"/>
    <w:rsid w:val="001469F7"/>
    <w:rsid w:val="00146B78"/>
    <w:rsid w:val="00146D70"/>
    <w:rsid w:val="001470B6"/>
    <w:rsid w:val="001470CA"/>
    <w:rsid w:val="0014713E"/>
    <w:rsid w:val="00147696"/>
    <w:rsid w:val="00147754"/>
    <w:rsid w:val="00147A40"/>
    <w:rsid w:val="00147C68"/>
    <w:rsid w:val="00147D56"/>
    <w:rsid w:val="00150074"/>
    <w:rsid w:val="001500E2"/>
    <w:rsid w:val="00150241"/>
    <w:rsid w:val="00150950"/>
    <w:rsid w:val="00150CD7"/>
    <w:rsid w:val="00150D81"/>
    <w:rsid w:val="00151107"/>
    <w:rsid w:val="00151498"/>
    <w:rsid w:val="001516E5"/>
    <w:rsid w:val="0015192B"/>
    <w:rsid w:val="001519F7"/>
    <w:rsid w:val="00151AD4"/>
    <w:rsid w:val="00151E55"/>
    <w:rsid w:val="001521C0"/>
    <w:rsid w:val="001528B5"/>
    <w:rsid w:val="001528C0"/>
    <w:rsid w:val="00152AD6"/>
    <w:rsid w:val="00152CCF"/>
    <w:rsid w:val="00152E1E"/>
    <w:rsid w:val="00152FAF"/>
    <w:rsid w:val="0015315F"/>
    <w:rsid w:val="001532B5"/>
    <w:rsid w:val="001536DD"/>
    <w:rsid w:val="001537B6"/>
    <w:rsid w:val="00153AB1"/>
    <w:rsid w:val="00153BB9"/>
    <w:rsid w:val="00153EC0"/>
    <w:rsid w:val="00153F4D"/>
    <w:rsid w:val="001540B1"/>
    <w:rsid w:val="001540F4"/>
    <w:rsid w:val="001543D1"/>
    <w:rsid w:val="00154526"/>
    <w:rsid w:val="00154675"/>
    <w:rsid w:val="001547C3"/>
    <w:rsid w:val="001548CB"/>
    <w:rsid w:val="00154941"/>
    <w:rsid w:val="00154A7A"/>
    <w:rsid w:val="00154C6B"/>
    <w:rsid w:val="00154CC9"/>
    <w:rsid w:val="00154D5F"/>
    <w:rsid w:val="00154F47"/>
    <w:rsid w:val="0015545E"/>
    <w:rsid w:val="00155483"/>
    <w:rsid w:val="00155566"/>
    <w:rsid w:val="0015587D"/>
    <w:rsid w:val="00155A61"/>
    <w:rsid w:val="00155B47"/>
    <w:rsid w:val="00155BD8"/>
    <w:rsid w:val="00155D27"/>
    <w:rsid w:val="00155D55"/>
    <w:rsid w:val="00155F6E"/>
    <w:rsid w:val="00156115"/>
    <w:rsid w:val="00156132"/>
    <w:rsid w:val="001562D5"/>
    <w:rsid w:val="0015634D"/>
    <w:rsid w:val="00156539"/>
    <w:rsid w:val="00156594"/>
    <w:rsid w:val="00156913"/>
    <w:rsid w:val="00156964"/>
    <w:rsid w:val="00156B15"/>
    <w:rsid w:val="00156C85"/>
    <w:rsid w:val="00157131"/>
    <w:rsid w:val="001571C3"/>
    <w:rsid w:val="001571F5"/>
    <w:rsid w:val="00157205"/>
    <w:rsid w:val="00157672"/>
    <w:rsid w:val="001576C5"/>
    <w:rsid w:val="001576D1"/>
    <w:rsid w:val="0015794C"/>
    <w:rsid w:val="00157A04"/>
    <w:rsid w:val="00157BE5"/>
    <w:rsid w:val="00157D14"/>
    <w:rsid w:val="00157D57"/>
    <w:rsid w:val="0016016C"/>
    <w:rsid w:val="00160195"/>
    <w:rsid w:val="001602DA"/>
    <w:rsid w:val="00160322"/>
    <w:rsid w:val="001604D2"/>
    <w:rsid w:val="0016073D"/>
    <w:rsid w:val="0016079E"/>
    <w:rsid w:val="00160B42"/>
    <w:rsid w:val="00160CC8"/>
    <w:rsid w:val="00160E7E"/>
    <w:rsid w:val="00160EA5"/>
    <w:rsid w:val="00161282"/>
    <w:rsid w:val="001618E0"/>
    <w:rsid w:val="00161BB3"/>
    <w:rsid w:val="00161DC9"/>
    <w:rsid w:val="0016251C"/>
    <w:rsid w:val="0016287D"/>
    <w:rsid w:val="00162A21"/>
    <w:rsid w:val="00162AF6"/>
    <w:rsid w:val="00162E63"/>
    <w:rsid w:val="00162E7A"/>
    <w:rsid w:val="00162EBE"/>
    <w:rsid w:val="00163055"/>
    <w:rsid w:val="001631AC"/>
    <w:rsid w:val="0016324E"/>
    <w:rsid w:val="001635A0"/>
    <w:rsid w:val="00163626"/>
    <w:rsid w:val="00163785"/>
    <w:rsid w:val="00163916"/>
    <w:rsid w:val="00163B8E"/>
    <w:rsid w:val="00163E1D"/>
    <w:rsid w:val="00164142"/>
    <w:rsid w:val="001642BC"/>
    <w:rsid w:val="00164518"/>
    <w:rsid w:val="001646A8"/>
    <w:rsid w:val="001646FA"/>
    <w:rsid w:val="0016471A"/>
    <w:rsid w:val="00164DB3"/>
    <w:rsid w:val="00165128"/>
    <w:rsid w:val="00165153"/>
    <w:rsid w:val="001653BA"/>
    <w:rsid w:val="001653D3"/>
    <w:rsid w:val="00165791"/>
    <w:rsid w:val="00165ADA"/>
    <w:rsid w:val="00165C29"/>
    <w:rsid w:val="00165E79"/>
    <w:rsid w:val="00165E7B"/>
    <w:rsid w:val="0016628D"/>
    <w:rsid w:val="001664E3"/>
    <w:rsid w:val="001669D1"/>
    <w:rsid w:val="001669D4"/>
    <w:rsid w:val="00166B49"/>
    <w:rsid w:val="00166E7E"/>
    <w:rsid w:val="00167112"/>
    <w:rsid w:val="0016727E"/>
    <w:rsid w:val="00167390"/>
    <w:rsid w:val="001676FA"/>
    <w:rsid w:val="00167758"/>
    <w:rsid w:val="001678E8"/>
    <w:rsid w:val="00167FB0"/>
    <w:rsid w:val="0017000F"/>
    <w:rsid w:val="001700AB"/>
    <w:rsid w:val="001702C1"/>
    <w:rsid w:val="001702D5"/>
    <w:rsid w:val="0017049B"/>
    <w:rsid w:val="001704D1"/>
    <w:rsid w:val="001705E5"/>
    <w:rsid w:val="00170913"/>
    <w:rsid w:val="00170927"/>
    <w:rsid w:val="00170B7A"/>
    <w:rsid w:val="00170BAD"/>
    <w:rsid w:val="00170D4A"/>
    <w:rsid w:val="00170D90"/>
    <w:rsid w:val="00170E2B"/>
    <w:rsid w:val="00170E60"/>
    <w:rsid w:val="00170F2A"/>
    <w:rsid w:val="00171309"/>
    <w:rsid w:val="00171379"/>
    <w:rsid w:val="00171419"/>
    <w:rsid w:val="00171537"/>
    <w:rsid w:val="00171547"/>
    <w:rsid w:val="001715FD"/>
    <w:rsid w:val="00171682"/>
    <w:rsid w:val="001717C4"/>
    <w:rsid w:val="00171A13"/>
    <w:rsid w:val="00171BF3"/>
    <w:rsid w:val="00171CCE"/>
    <w:rsid w:val="00171D57"/>
    <w:rsid w:val="00171EE3"/>
    <w:rsid w:val="00171F26"/>
    <w:rsid w:val="00171F56"/>
    <w:rsid w:val="00172093"/>
    <w:rsid w:val="001720F2"/>
    <w:rsid w:val="0017229C"/>
    <w:rsid w:val="001723E9"/>
    <w:rsid w:val="00172520"/>
    <w:rsid w:val="001725AF"/>
    <w:rsid w:val="001725FF"/>
    <w:rsid w:val="0017265E"/>
    <w:rsid w:val="00172756"/>
    <w:rsid w:val="00172800"/>
    <w:rsid w:val="00172A04"/>
    <w:rsid w:val="00172A92"/>
    <w:rsid w:val="00172CBC"/>
    <w:rsid w:val="00172D09"/>
    <w:rsid w:val="00172DC8"/>
    <w:rsid w:val="00172E57"/>
    <w:rsid w:val="00172EA1"/>
    <w:rsid w:val="00172F8F"/>
    <w:rsid w:val="00173129"/>
    <w:rsid w:val="00173172"/>
    <w:rsid w:val="00173417"/>
    <w:rsid w:val="001735FD"/>
    <w:rsid w:val="00173776"/>
    <w:rsid w:val="00173C7A"/>
    <w:rsid w:val="00173D10"/>
    <w:rsid w:val="00173F56"/>
    <w:rsid w:val="0017440C"/>
    <w:rsid w:val="001744FF"/>
    <w:rsid w:val="00174619"/>
    <w:rsid w:val="00174649"/>
    <w:rsid w:val="0017482A"/>
    <w:rsid w:val="001749AA"/>
    <w:rsid w:val="001749C9"/>
    <w:rsid w:val="00174A86"/>
    <w:rsid w:val="00174CA3"/>
    <w:rsid w:val="00174CC8"/>
    <w:rsid w:val="00175095"/>
    <w:rsid w:val="001751E8"/>
    <w:rsid w:val="001756D2"/>
    <w:rsid w:val="00175CF4"/>
    <w:rsid w:val="00175F0B"/>
    <w:rsid w:val="0017607E"/>
    <w:rsid w:val="001760AE"/>
    <w:rsid w:val="00176143"/>
    <w:rsid w:val="00176178"/>
    <w:rsid w:val="00176227"/>
    <w:rsid w:val="001764C7"/>
    <w:rsid w:val="0017686A"/>
    <w:rsid w:val="00176D4A"/>
    <w:rsid w:val="00176F81"/>
    <w:rsid w:val="00177189"/>
    <w:rsid w:val="00177294"/>
    <w:rsid w:val="0017732E"/>
    <w:rsid w:val="001777BD"/>
    <w:rsid w:val="00177A0C"/>
    <w:rsid w:val="00177A37"/>
    <w:rsid w:val="00177AB0"/>
    <w:rsid w:val="00177E94"/>
    <w:rsid w:val="001801E4"/>
    <w:rsid w:val="00180250"/>
    <w:rsid w:val="00180287"/>
    <w:rsid w:val="001804C1"/>
    <w:rsid w:val="001805FD"/>
    <w:rsid w:val="001806B3"/>
    <w:rsid w:val="001807D8"/>
    <w:rsid w:val="00180837"/>
    <w:rsid w:val="00180B78"/>
    <w:rsid w:val="00180C0D"/>
    <w:rsid w:val="00180C6F"/>
    <w:rsid w:val="00180CCB"/>
    <w:rsid w:val="00180F85"/>
    <w:rsid w:val="0018118A"/>
    <w:rsid w:val="001811D9"/>
    <w:rsid w:val="00181232"/>
    <w:rsid w:val="001813C6"/>
    <w:rsid w:val="001813F7"/>
    <w:rsid w:val="00181701"/>
    <w:rsid w:val="001819CB"/>
    <w:rsid w:val="00181A4A"/>
    <w:rsid w:val="00181F82"/>
    <w:rsid w:val="00182077"/>
    <w:rsid w:val="001820DA"/>
    <w:rsid w:val="00182220"/>
    <w:rsid w:val="00182513"/>
    <w:rsid w:val="00182574"/>
    <w:rsid w:val="00182581"/>
    <w:rsid w:val="00182807"/>
    <w:rsid w:val="00182892"/>
    <w:rsid w:val="0018295D"/>
    <w:rsid w:val="00182A3D"/>
    <w:rsid w:val="00182AA0"/>
    <w:rsid w:val="00182AE4"/>
    <w:rsid w:val="00182B03"/>
    <w:rsid w:val="00182B15"/>
    <w:rsid w:val="0018328E"/>
    <w:rsid w:val="00183505"/>
    <w:rsid w:val="0018354C"/>
    <w:rsid w:val="00183685"/>
    <w:rsid w:val="00183746"/>
    <w:rsid w:val="00183860"/>
    <w:rsid w:val="00183B97"/>
    <w:rsid w:val="00183DC9"/>
    <w:rsid w:val="00183FE3"/>
    <w:rsid w:val="00184474"/>
    <w:rsid w:val="00184678"/>
    <w:rsid w:val="00184799"/>
    <w:rsid w:val="001847F7"/>
    <w:rsid w:val="00184879"/>
    <w:rsid w:val="00184A9E"/>
    <w:rsid w:val="00184B06"/>
    <w:rsid w:val="00184BF3"/>
    <w:rsid w:val="00184F24"/>
    <w:rsid w:val="00185014"/>
    <w:rsid w:val="00185325"/>
    <w:rsid w:val="00185697"/>
    <w:rsid w:val="00185948"/>
    <w:rsid w:val="001859A6"/>
    <w:rsid w:val="001859CF"/>
    <w:rsid w:val="001859E0"/>
    <w:rsid w:val="00185AC0"/>
    <w:rsid w:val="00185C57"/>
    <w:rsid w:val="00185C83"/>
    <w:rsid w:val="00185EF7"/>
    <w:rsid w:val="0018612F"/>
    <w:rsid w:val="001866E3"/>
    <w:rsid w:val="0018674B"/>
    <w:rsid w:val="0018674C"/>
    <w:rsid w:val="001869FF"/>
    <w:rsid w:val="00186A04"/>
    <w:rsid w:val="00186B0E"/>
    <w:rsid w:val="00186CAB"/>
    <w:rsid w:val="00186F49"/>
    <w:rsid w:val="00186F8E"/>
    <w:rsid w:val="00187148"/>
    <w:rsid w:val="0018726B"/>
    <w:rsid w:val="00187376"/>
    <w:rsid w:val="001875E1"/>
    <w:rsid w:val="0018767E"/>
    <w:rsid w:val="001876D0"/>
    <w:rsid w:val="00187796"/>
    <w:rsid w:val="00187891"/>
    <w:rsid w:val="001878FC"/>
    <w:rsid w:val="001879BA"/>
    <w:rsid w:val="00187A31"/>
    <w:rsid w:val="00187BF6"/>
    <w:rsid w:val="00187C51"/>
    <w:rsid w:val="00187CF5"/>
    <w:rsid w:val="00187D02"/>
    <w:rsid w:val="00187E11"/>
    <w:rsid w:val="0019002D"/>
    <w:rsid w:val="0019005D"/>
    <w:rsid w:val="001900DC"/>
    <w:rsid w:val="001901D1"/>
    <w:rsid w:val="0019051D"/>
    <w:rsid w:val="00190542"/>
    <w:rsid w:val="001905F9"/>
    <w:rsid w:val="00190698"/>
    <w:rsid w:val="00190975"/>
    <w:rsid w:val="00190A6F"/>
    <w:rsid w:val="00190ABD"/>
    <w:rsid w:val="00190BF5"/>
    <w:rsid w:val="00190C18"/>
    <w:rsid w:val="00190E09"/>
    <w:rsid w:val="00190F43"/>
    <w:rsid w:val="00190FC9"/>
    <w:rsid w:val="0019117D"/>
    <w:rsid w:val="00191452"/>
    <w:rsid w:val="0019176A"/>
    <w:rsid w:val="001917D3"/>
    <w:rsid w:val="001918DC"/>
    <w:rsid w:val="00191A35"/>
    <w:rsid w:val="00191CE2"/>
    <w:rsid w:val="00191E0D"/>
    <w:rsid w:val="00191FDB"/>
    <w:rsid w:val="0019225B"/>
    <w:rsid w:val="00192644"/>
    <w:rsid w:val="00192680"/>
    <w:rsid w:val="001926C7"/>
    <w:rsid w:val="00192983"/>
    <w:rsid w:val="00192CEE"/>
    <w:rsid w:val="00192DB1"/>
    <w:rsid w:val="00192DFC"/>
    <w:rsid w:val="00192E7B"/>
    <w:rsid w:val="00192F55"/>
    <w:rsid w:val="0019317A"/>
    <w:rsid w:val="001931B8"/>
    <w:rsid w:val="0019331D"/>
    <w:rsid w:val="0019334C"/>
    <w:rsid w:val="00193D85"/>
    <w:rsid w:val="00193E4C"/>
    <w:rsid w:val="00194121"/>
    <w:rsid w:val="0019417C"/>
    <w:rsid w:val="001943D5"/>
    <w:rsid w:val="00194635"/>
    <w:rsid w:val="001946C4"/>
    <w:rsid w:val="001946DA"/>
    <w:rsid w:val="001948E1"/>
    <w:rsid w:val="00194C64"/>
    <w:rsid w:val="00194D26"/>
    <w:rsid w:val="00194DCE"/>
    <w:rsid w:val="00194ECA"/>
    <w:rsid w:val="00194ECF"/>
    <w:rsid w:val="0019500B"/>
    <w:rsid w:val="0019500F"/>
    <w:rsid w:val="0019529A"/>
    <w:rsid w:val="00195353"/>
    <w:rsid w:val="00195551"/>
    <w:rsid w:val="001956EA"/>
    <w:rsid w:val="001957B0"/>
    <w:rsid w:val="00195B51"/>
    <w:rsid w:val="00195BAE"/>
    <w:rsid w:val="00195CF1"/>
    <w:rsid w:val="00195DF1"/>
    <w:rsid w:val="00195F7B"/>
    <w:rsid w:val="00196047"/>
    <w:rsid w:val="001960F2"/>
    <w:rsid w:val="0019624C"/>
    <w:rsid w:val="001962E9"/>
    <w:rsid w:val="0019637E"/>
    <w:rsid w:val="001964AA"/>
    <w:rsid w:val="0019654F"/>
    <w:rsid w:val="001965C3"/>
    <w:rsid w:val="0019664A"/>
    <w:rsid w:val="00196855"/>
    <w:rsid w:val="001968C4"/>
    <w:rsid w:val="00196D20"/>
    <w:rsid w:val="001970BE"/>
    <w:rsid w:val="0019770D"/>
    <w:rsid w:val="00197730"/>
    <w:rsid w:val="00197E6A"/>
    <w:rsid w:val="00197E7D"/>
    <w:rsid w:val="00197FE7"/>
    <w:rsid w:val="001A022D"/>
    <w:rsid w:val="001A065C"/>
    <w:rsid w:val="001A0936"/>
    <w:rsid w:val="001A09B7"/>
    <w:rsid w:val="001A0B77"/>
    <w:rsid w:val="001A0F06"/>
    <w:rsid w:val="001A0F1E"/>
    <w:rsid w:val="001A130F"/>
    <w:rsid w:val="001A176B"/>
    <w:rsid w:val="001A17C7"/>
    <w:rsid w:val="001A187F"/>
    <w:rsid w:val="001A1DEB"/>
    <w:rsid w:val="001A227A"/>
    <w:rsid w:val="001A2346"/>
    <w:rsid w:val="001A2417"/>
    <w:rsid w:val="001A28E8"/>
    <w:rsid w:val="001A2C8E"/>
    <w:rsid w:val="001A2D30"/>
    <w:rsid w:val="001A2D9F"/>
    <w:rsid w:val="001A2F2C"/>
    <w:rsid w:val="001A3093"/>
    <w:rsid w:val="001A31EA"/>
    <w:rsid w:val="001A32DE"/>
    <w:rsid w:val="001A36FB"/>
    <w:rsid w:val="001A3739"/>
    <w:rsid w:val="001A3B26"/>
    <w:rsid w:val="001A3E80"/>
    <w:rsid w:val="001A3F81"/>
    <w:rsid w:val="001A4176"/>
    <w:rsid w:val="001A433E"/>
    <w:rsid w:val="001A43B0"/>
    <w:rsid w:val="001A486D"/>
    <w:rsid w:val="001A4A00"/>
    <w:rsid w:val="001A4A83"/>
    <w:rsid w:val="001A4B13"/>
    <w:rsid w:val="001A4D0D"/>
    <w:rsid w:val="001A4DD6"/>
    <w:rsid w:val="001A4E87"/>
    <w:rsid w:val="001A4F4B"/>
    <w:rsid w:val="001A502B"/>
    <w:rsid w:val="001A520E"/>
    <w:rsid w:val="001A549C"/>
    <w:rsid w:val="001A5652"/>
    <w:rsid w:val="001A56DE"/>
    <w:rsid w:val="001A5C0B"/>
    <w:rsid w:val="001A5DA9"/>
    <w:rsid w:val="001A5EDE"/>
    <w:rsid w:val="001A6010"/>
    <w:rsid w:val="001A6295"/>
    <w:rsid w:val="001A63BF"/>
    <w:rsid w:val="001A6471"/>
    <w:rsid w:val="001A6661"/>
    <w:rsid w:val="001A6937"/>
    <w:rsid w:val="001A6AD9"/>
    <w:rsid w:val="001A6E4C"/>
    <w:rsid w:val="001A6F83"/>
    <w:rsid w:val="001A7071"/>
    <w:rsid w:val="001A7159"/>
    <w:rsid w:val="001A71C9"/>
    <w:rsid w:val="001A72F4"/>
    <w:rsid w:val="001A7304"/>
    <w:rsid w:val="001A7489"/>
    <w:rsid w:val="001A781C"/>
    <w:rsid w:val="001A7835"/>
    <w:rsid w:val="001A78E3"/>
    <w:rsid w:val="001A798F"/>
    <w:rsid w:val="001A7A06"/>
    <w:rsid w:val="001A7B02"/>
    <w:rsid w:val="001A7B45"/>
    <w:rsid w:val="001A7C69"/>
    <w:rsid w:val="001A7CCB"/>
    <w:rsid w:val="001A7E34"/>
    <w:rsid w:val="001B0084"/>
    <w:rsid w:val="001B015E"/>
    <w:rsid w:val="001B019D"/>
    <w:rsid w:val="001B05DD"/>
    <w:rsid w:val="001B06ED"/>
    <w:rsid w:val="001B0983"/>
    <w:rsid w:val="001B0AEC"/>
    <w:rsid w:val="001B0B54"/>
    <w:rsid w:val="001B0BA3"/>
    <w:rsid w:val="001B0D8E"/>
    <w:rsid w:val="001B0EB1"/>
    <w:rsid w:val="001B11ED"/>
    <w:rsid w:val="001B1211"/>
    <w:rsid w:val="001B1316"/>
    <w:rsid w:val="001B1356"/>
    <w:rsid w:val="001B16D9"/>
    <w:rsid w:val="001B17EB"/>
    <w:rsid w:val="001B1812"/>
    <w:rsid w:val="001B183E"/>
    <w:rsid w:val="001B1885"/>
    <w:rsid w:val="001B1CBD"/>
    <w:rsid w:val="001B2371"/>
    <w:rsid w:val="001B23BD"/>
    <w:rsid w:val="001B23E5"/>
    <w:rsid w:val="001B2697"/>
    <w:rsid w:val="001B2784"/>
    <w:rsid w:val="001B27FF"/>
    <w:rsid w:val="001B28A3"/>
    <w:rsid w:val="001B2B72"/>
    <w:rsid w:val="001B2C98"/>
    <w:rsid w:val="001B2D23"/>
    <w:rsid w:val="001B2D8D"/>
    <w:rsid w:val="001B3015"/>
    <w:rsid w:val="001B31ED"/>
    <w:rsid w:val="001B34D6"/>
    <w:rsid w:val="001B3602"/>
    <w:rsid w:val="001B3697"/>
    <w:rsid w:val="001B3728"/>
    <w:rsid w:val="001B3BF1"/>
    <w:rsid w:val="001B3D7C"/>
    <w:rsid w:val="001B4061"/>
    <w:rsid w:val="001B425A"/>
    <w:rsid w:val="001B42DD"/>
    <w:rsid w:val="001B4651"/>
    <w:rsid w:val="001B4A8A"/>
    <w:rsid w:val="001B4B40"/>
    <w:rsid w:val="001B4DD7"/>
    <w:rsid w:val="001B5492"/>
    <w:rsid w:val="001B5850"/>
    <w:rsid w:val="001B5996"/>
    <w:rsid w:val="001B5BCA"/>
    <w:rsid w:val="001B5CED"/>
    <w:rsid w:val="001B5F12"/>
    <w:rsid w:val="001B5FD2"/>
    <w:rsid w:val="001B61D0"/>
    <w:rsid w:val="001B6208"/>
    <w:rsid w:val="001B620E"/>
    <w:rsid w:val="001B6317"/>
    <w:rsid w:val="001B633B"/>
    <w:rsid w:val="001B646A"/>
    <w:rsid w:val="001B656C"/>
    <w:rsid w:val="001B6856"/>
    <w:rsid w:val="001B6A4E"/>
    <w:rsid w:val="001B6A69"/>
    <w:rsid w:val="001B6B92"/>
    <w:rsid w:val="001B6BC9"/>
    <w:rsid w:val="001B6E5D"/>
    <w:rsid w:val="001B6E79"/>
    <w:rsid w:val="001B6EB7"/>
    <w:rsid w:val="001B7062"/>
    <w:rsid w:val="001B7230"/>
    <w:rsid w:val="001B72A9"/>
    <w:rsid w:val="001B7414"/>
    <w:rsid w:val="001B764C"/>
    <w:rsid w:val="001B7962"/>
    <w:rsid w:val="001B7C6A"/>
    <w:rsid w:val="001B7D1C"/>
    <w:rsid w:val="001B7F6F"/>
    <w:rsid w:val="001C0454"/>
    <w:rsid w:val="001C09B0"/>
    <w:rsid w:val="001C09D1"/>
    <w:rsid w:val="001C0A03"/>
    <w:rsid w:val="001C0A38"/>
    <w:rsid w:val="001C0A76"/>
    <w:rsid w:val="001C0AA2"/>
    <w:rsid w:val="001C0B32"/>
    <w:rsid w:val="001C0B54"/>
    <w:rsid w:val="001C1099"/>
    <w:rsid w:val="001C1153"/>
    <w:rsid w:val="001C1188"/>
    <w:rsid w:val="001C13B0"/>
    <w:rsid w:val="001C15FC"/>
    <w:rsid w:val="001C168B"/>
    <w:rsid w:val="001C17E6"/>
    <w:rsid w:val="001C1900"/>
    <w:rsid w:val="001C1922"/>
    <w:rsid w:val="001C1931"/>
    <w:rsid w:val="001C1ADB"/>
    <w:rsid w:val="001C1ED2"/>
    <w:rsid w:val="001C2189"/>
    <w:rsid w:val="001C257F"/>
    <w:rsid w:val="001C2681"/>
    <w:rsid w:val="001C27CB"/>
    <w:rsid w:val="001C28CE"/>
    <w:rsid w:val="001C28D6"/>
    <w:rsid w:val="001C2967"/>
    <w:rsid w:val="001C2B63"/>
    <w:rsid w:val="001C2B69"/>
    <w:rsid w:val="001C2D96"/>
    <w:rsid w:val="001C2DAC"/>
    <w:rsid w:val="001C2F02"/>
    <w:rsid w:val="001C2F58"/>
    <w:rsid w:val="001C2FFB"/>
    <w:rsid w:val="001C301D"/>
    <w:rsid w:val="001C309A"/>
    <w:rsid w:val="001C3124"/>
    <w:rsid w:val="001C3469"/>
    <w:rsid w:val="001C34E9"/>
    <w:rsid w:val="001C36D9"/>
    <w:rsid w:val="001C37AD"/>
    <w:rsid w:val="001C37F1"/>
    <w:rsid w:val="001C3C42"/>
    <w:rsid w:val="001C3C60"/>
    <w:rsid w:val="001C3CFA"/>
    <w:rsid w:val="001C3E6F"/>
    <w:rsid w:val="001C3FC2"/>
    <w:rsid w:val="001C3FF7"/>
    <w:rsid w:val="001C4007"/>
    <w:rsid w:val="001C4032"/>
    <w:rsid w:val="001C404C"/>
    <w:rsid w:val="001C41E2"/>
    <w:rsid w:val="001C41E5"/>
    <w:rsid w:val="001C42A7"/>
    <w:rsid w:val="001C45D3"/>
    <w:rsid w:val="001C4785"/>
    <w:rsid w:val="001C4930"/>
    <w:rsid w:val="001C49C5"/>
    <w:rsid w:val="001C4D26"/>
    <w:rsid w:val="001C4D35"/>
    <w:rsid w:val="001C4EE1"/>
    <w:rsid w:val="001C4F03"/>
    <w:rsid w:val="001C4F38"/>
    <w:rsid w:val="001C4F50"/>
    <w:rsid w:val="001C4FFA"/>
    <w:rsid w:val="001C50EE"/>
    <w:rsid w:val="001C5130"/>
    <w:rsid w:val="001C5188"/>
    <w:rsid w:val="001C52E1"/>
    <w:rsid w:val="001C543D"/>
    <w:rsid w:val="001C55D2"/>
    <w:rsid w:val="001C5933"/>
    <w:rsid w:val="001C5CC4"/>
    <w:rsid w:val="001C5EA0"/>
    <w:rsid w:val="001C5F96"/>
    <w:rsid w:val="001C6028"/>
    <w:rsid w:val="001C61AC"/>
    <w:rsid w:val="001C6753"/>
    <w:rsid w:val="001C687F"/>
    <w:rsid w:val="001C6A1D"/>
    <w:rsid w:val="001C6D30"/>
    <w:rsid w:val="001C6DD3"/>
    <w:rsid w:val="001C6DFC"/>
    <w:rsid w:val="001C6EA4"/>
    <w:rsid w:val="001C6F68"/>
    <w:rsid w:val="001C6FC1"/>
    <w:rsid w:val="001C7447"/>
    <w:rsid w:val="001C749D"/>
    <w:rsid w:val="001C7607"/>
    <w:rsid w:val="001C7850"/>
    <w:rsid w:val="001C7AE4"/>
    <w:rsid w:val="001C7B26"/>
    <w:rsid w:val="001C7E17"/>
    <w:rsid w:val="001C7E55"/>
    <w:rsid w:val="001C7E73"/>
    <w:rsid w:val="001C7E8E"/>
    <w:rsid w:val="001D0150"/>
    <w:rsid w:val="001D0241"/>
    <w:rsid w:val="001D02B9"/>
    <w:rsid w:val="001D034D"/>
    <w:rsid w:val="001D03EC"/>
    <w:rsid w:val="001D0680"/>
    <w:rsid w:val="001D094E"/>
    <w:rsid w:val="001D0B83"/>
    <w:rsid w:val="001D0D39"/>
    <w:rsid w:val="001D105A"/>
    <w:rsid w:val="001D124E"/>
    <w:rsid w:val="001D1252"/>
    <w:rsid w:val="001D1345"/>
    <w:rsid w:val="001D13AE"/>
    <w:rsid w:val="001D14A4"/>
    <w:rsid w:val="001D16A6"/>
    <w:rsid w:val="001D1983"/>
    <w:rsid w:val="001D1F11"/>
    <w:rsid w:val="001D217D"/>
    <w:rsid w:val="001D2410"/>
    <w:rsid w:val="001D287D"/>
    <w:rsid w:val="001D296D"/>
    <w:rsid w:val="001D2B0C"/>
    <w:rsid w:val="001D2ED7"/>
    <w:rsid w:val="001D3246"/>
    <w:rsid w:val="001D338A"/>
    <w:rsid w:val="001D33C1"/>
    <w:rsid w:val="001D38EC"/>
    <w:rsid w:val="001D3B4B"/>
    <w:rsid w:val="001D3BE3"/>
    <w:rsid w:val="001D406F"/>
    <w:rsid w:val="001D4313"/>
    <w:rsid w:val="001D4483"/>
    <w:rsid w:val="001D44DF"/>
    <w:rsid w:val="001D4610"/>
    <w:rsid w:val="001D4A2E"/>
    <w:rsid w:val="001D4A47"/>
    <w:rsid w:val="001D4E31"/>
    <w:rsid w:val="001D5016"/>
    <w:rsid w:val="001D50EF"/>
    <w:rsid w:val="001D5123"/>
    <w:rsid w:val="001D5474"/>
    <w:rsid w:val="001D54AD"/>
    <w:rsid w:val="001D54B0"/>
    <w:rsid w:val="001D555D"/>
    <w:rsid w:val="001D5569"/>
    <w:rsid w:val="001D5665"/>
    <w:rsid w:val="001D57C4"/>
    <w:rsid w:val="001D5BA7"/>
    <w:rsid w:val="001D5D44"/>
    <w:rsid w:val="001D5E85"/>
    <w:rsid w:val="001D5FC3"/>
    <w:rsid w:val="001D5FCD"/>
    <w:rsid w:val="001D61F8"/>
    <w:rsid w:val="001D62C4"/>
    <w:rsid w:val="001D6359"/>
    <w:rsid w:val="001D6365"/>
    <w:rsid w:val="001D637C"/>
    <w:rsid w:val="001D6678"/>
    <w:rsid w:val="001D6A4C"/>
    <w:rsid w:val="001D6CB3"/>
    <w:rsid w:val="001D704A"/>
    <w:rsid w:val="001D71BB"/>
    <w:rsid w:val="001D7326"/>
    <w:rsid w:val="001D781E"/>
    <w:rsid w:val="001D78FD"/>
    <w:rsid w:val="001D7A49"/>
    <w:rsid w:val="001D7AF0"/>
    <w:rsid w:val="001D7C2F"/>
    <w:rsid w:val="001D7E36"/>
    <w:rsid w:val="001D7E98"/>
    <w:rsid w:val="001D7EBD"/>
    <w:rsid w:val="001D7F46"/>
    <w:rsid w:val="001D7FAB"/>
    <w:rsid w:val="001E0181"/>
    <w:rsid w:val="001E025C"/>
    <w:rsid w:val="001E0600"/>
    <w:rsid w:val="001E066F"/>
    <w:rsid w:val="001E0764"/>
    <w:rsid w:val="001E0DA8"/>
    <w:rsid w:val="001E0E1F"/>
    <w:rsid w:val="001E0F3A"/>
    <w:rsid w:val="001E119E"/>
    <w:rsid w:val="001E11C0"/>
    <w:rsid w:val="001E1329"/>
    <w:rsid w:val="001E1553"/>
    <w:rsid w:val="001E15C1"/>
    <w:rsid w:val="001E1A48"/>
    <w:rsid w:val="001E1AA1"/>
    <w:rsid w:val="001E1C74"/>
    <w:rsid w:val="001E1CBC"/>
    <w:rsid w:val="001E1D25"/>
    <w:rsid w:val="001E1E9F"/>
    <w:rsid w:val="001E1F3C"/>
    <w:rsid w:val="001E2151"/>
    <w:rsid w:val="001E2228"/>
    <w:rsid w:val="001E2286"/>
    <w:rsid w:val="001E2397"/>
    <w:rsid w:val="001E255E"/>
    <w:rsid w:val="001E2676"/>
    <w:rsid w:val="001E2C8E"/>
    <w:rsid w:val="001E2CB7"/>
    <w:rsid w:val="001E2EDE"/>
    <w:rsid w:val="001E30AA"/>
    <w:rsid w:val="001E3132"/>
    <w:rsid w:val="001E3187"/>
    <w:rsid w:val="001E36F8"/>
    <w:rsid w:val="001E38DE"/>
    <w:rsid w:val="001E3B75"/>
    <w:rsid w:val="001E3FF3"/>
    <w:rsid w:val="001E4190"/>
    <w:rsid w:val="001E42F8"/>
    <w:rsid w:val="001E43BF"/>
    <w:rsid w:val="001E4541"/>
    <w:rsid w:val="001E4837"/>
    <w:rsid w:val="001E4BD6"/>
    <w:rsid w:val="001E4BE4"/>
    <w:rsid w:val="001E4CBC"/>
    <w:rsid w:val="001E4CF9"/>
    <w:rsid w:val="001E4D63"/>
    <w:rsid w:val="001E4E53"/>
    <w:rsid w:val="001E5000"/>
    <w:rsid w:val="001E514D"/>
    <w:rsid w:val="001E51BB"/>
    <w:rsid w:val="001E51C3"/>
    <w:rsid w:val="001E5335"/>
    <w:rsid w:val="001E57A4"/>
    <w:rsid w:val="001E5839"/>
    <w:rsid w:val="001E5D28"/>
    <w:rsid w:val="001E5DA7"/>
    <w:rsid w:val="001E5F3E"/>
    <w:rsid w:val="001E5F8F"/>
    <w:rsid w:val="001E6157"/>
    <w:rsid w:val="001E634B"/>
    <w:rsid w:val="001E64E9"/>
    <w:rsid w:val="001E674E"/>
    <w:rsid w:val="001E67C4"/>
    <w:rsid w:val="001E68FB"/>
    <w:rsid w:val="001E6959"/>
    <w:rsid w:val="001E6A4E"/>
    <w:rsid w:val="001E6D07"/>
    <w:rsid w:val="001E6D09"/>
    <w:rsid w:val="001E6FAD"/>
    <w:rsid w:val="001E7031"/>
    <w:rsid w:val="001E70DC"/>
    <w:rsid w:val="001E7129"/>
    <w:rsid w:val="001E7214"/>
    <w:rsid w:val="001E7559"/>
    <w:rsid w:val="001E756B"/>
    <w:rsid w:val="001E7751"/>
    <w:rsid w:val="001E7795"/>
    <w:rsid w:val="001E7855"/>
    <w:rsid w:val="001E7A86"/>
    <w:rsid w:val="001E7AA3"/>
    <w:rsid w:val="001E7FB1"/>
    <w:rsid w:val="001F019A"/>
    <w:rsid w:val="001F01DC"/>
    <w:rsid w:val="001F02DF"/>
    <w:rsid w:val="001F03EC"/>
    <w:rsid w:val="001F048B"/>
    <w:rsid w:val="001F08ED"/>
    <w:rsid w:val="001F0B38"/>
    <w:rsid w:val="001F0B5D"/>
    <w:rsid w:val="001F0B7F"/>
    <w:rsid w:val="001F0C48"/>
    <w:rsid w:val="001F0D57"/>
    <w:rsid w:val="001F1181"/>
    <w:rsid w:val="001F121B"/>
    <w:rsid w:val="001F1241"/>
    <w:rsid w:val="001F1550"/>
    <w:rsid w:val="001F18F3"/>
    <w:rsid w:val="001F197E"/>
    <w:rsid w:val="001F1A80"/>
    <w:rsid w:val="001F1C19"/>
    <w:rsid w:val="001F1D44"/>
    <w:rsid w:val="001F1D8D"/>
    <w:rsid w:val="001F1DD2"/>
    <w:rsid w:val="001F20BA"/>
    <w:rsid w:val="001F22D5"/>
    <w:rsid w:val="001F2535"/>
    <w:rsid w:val="001F2674"/>
    <w:rsid w:val="001F295F"/>
    <w:rsid w:val="001F29B6"/>
    <w:rsid w:val="001F2A74"/>
    <w:rsid w:val="001F2A83"/>
    <w:rsid w:val="001F2AA3"/>
    <w:rsid w:val="001F2AB2"/>
    <w:rsid w:val="001F2BAD"/>
    <w:rsid w:val="001F3008"/>
    <w:rsid w:val="001F3157"/>
    <w:rsid w:val="001F3206"/>
    <w:rsid w:val="001F3300"/>
    <w:rsid w:val="001F3399"/>
    <w:rsid w:val="001F37A5"/>
    <w:rsid w:val="001F38C2"/>
    <w:rsid w:val="001F38FA"/>
    <w:rsid w:val="001F3B1A"/>
    <w:rsid w:val="001F4007"/>
    <w:rsid w:val="001F40B6"/>
    <w:rsid w:val="001F4106"/>
    <w:rsid w:val="001F4143"/>
    <w:rsid w:val="001F42FC"/>
    <w:rsid w:val="001F4331"/>
    <w:rsid w:val="001F4437"/>
    <w:rsid w:val="001F4634"/>
    <w:rsid w:val="001F4916"/>
    <w:rsid w:val="001F4D8B"/>
    <w:rsid w:val="001F4EAC"/>
    <w:rsid w:val="001F502D"/>
    <w:rsid w:val="001F512D"/>
    <w:rsid w:val="001F526A"/>
    <w:rsid w:val="001F52B1"/>
    <w:rsid w:val="001F5485"/>
    <w:rsid w:val="001F59E5"/>
    <w:rsid w:val="001F5BCC"/>
    <w:rsid w:val="001F5C47"/>
    <w:rsid w:val="001F5C54"/>
    <w:rsid w:val="001F5E40"/>
    <w:rsid w:val="001F6355"/>
    <w:rsid w:val="001F6440"/>
    <w:rsid w:val="001F6D2D"/>
    <w:rsid w:val="001F7186"/>
    <w:rsid w:val="001F71D5"/>
    <w:rsid w:val="001F72D6"/>
    <w:rsid w:val="001F72EC"/>
    <w:rsid w:val="001F7310"/>
    <w:rsid w:val="001F7764"/>
    <w:rsid w:val="001F77BF"/>
    <w:rsid w:val="001F78D9"/>
    <w:rsid w:val="001F7900"/>
    <w:rsid w:val="001F7A97"/>
    <w:rsid w:val="001F7EB8"/>
    <w:rsid w:val="001F7FDA"/>
    <w:rsid w:val="0020023A"/>
    <w:rsid w:val="00200248"/>
    <w:rsid w:val="0020044A"/>
    <w:rsid w:val="00200501"/>
    <w:rsid w:val="00200535"/>
    <w:rsid w:val="0020059C"/>
    <w:rsid w:val="002007EE"/>
    <w:rsid w:val="0020099C"/>
    <w:rsid w:val="002009F2"/>
    <w:rsid w:val="00200B86"/>
    <w:rsid w:val="00200BC1"/>
    <w:rsid w:val="00200CA1"/>
    <w:rsid w:val="00200E6D"/>
    <w:rsid w:val="00200F43"/>
    <w:rsid w:val="00201259"/>
    <w:rsid w:val="0020126C"/>
    <w:rsid w:val="0020145E"/>
    <w:rsid w:val="002017D7"/>
    <w:rsid w:val="0020192D"/>
    <w:rsid w:val="00201976"/>
    <w:rsid w:val="00201C24"/>
    <w:rsid w:val="00201C37"/>
    <w:rsid w:val="00201CF7"/>
    <w:rsid w:val="00201F69"/>
    <w:rsid w:val="00201FE0"/>
    <w:rsid w:val="0020219B"/>
    <w:rsid w:val="00202219"/>
    <w:rsid w:val="00202889"/>
    <w:rsid w:val="00202946"/>
    <w:rsid w:val="00202B36"/>
    <w:rsid w:val="00202F1B"/>
    <w:rsid w:val="00203BC5"/>
    <w:rsid w:val="00203C34"/>
    <w:rsid w:val="00203CDE"/>
    <w:rsid w:val="00203D90"/>
    <w:rsid w:val="00203E6B"/>
    <w:rsid w:val="00203F6F"/>
    <w:rsid w:val="0020410A"/>
    <w:rsid w:val="00204155"/>
    <w:rsid w:val="00204B33"/>
    <w:rsid w:val="00204DC1"/>
    <w:rsid w:val="00204E8E"/>
    <w:rsid w:val="00205186"/>
    <w:rsid w:val="0020566A"/>
    <w:rsid w:val="0020579F"/>
    <w:rsid w:val="002058C7"/>
    <w:rsid w:val="00205BC9"/>
    <w:rsid w:val="00205D01"/>
    <w:rsid w:val="00205ED7"/>
    <w:rsid w:val="0020629F"/>
    <w:rsid w:val="002063C0"/>
    <w:rsid w:val="002063E2"/>
    <w:rsid w:val="002064CD"/>
    <w:rsid w:val="00206698"/>
    <w:rsid w:val="00206851"/>
    <w:rsid w:val="00206B8E"/>
    <w:rsid w:val="00206EB8"/>
    <w:rsid w:val="00207034"/>
    <w:rsid w:val="00207049"/>
    <w:rsid w:val="0020711B"/>
    <w:rsid w:val="0020726E"/>
    <w:rsid w:val="002072B8"/>
    <w:rsid w:val="002072D2"/>
    <w:rsid w:val="002075CE"/>
    <w:rsid w:val="00207703"/>
    <w:rsid w:val="00207891"/>
    <w:rsid w:val="00207BCD"/>
    <w:rsid w:val="00207CE0"/>
    <w:rsid w:val="00207DDE"/>
    <w:rsid w:val="00207F13"/>
    <w:rsid w:val="00207FE9"/>
    <w:rsid w:val="00210074"/>
    <w:rsid w:val="00210186"/>
    <w:rsid w:val="002101A6"/>
    <w:rsid w:val="002101BB"/>
    <w:rsid w:val="00210569"/>
    <w:rsid w:val="00210763"/>
    <w:rsid w:val="00210A7C"/>
    <w:rsid w:val="00210BA0"/>
    <w:rsid w:val="00210FE1"/>
    <w:rsid w:val="002110FA"/>
    <w:rsid w:val="00211736"/>
    <w:rsid w:val="002118EE"/>
    <w:rsid w:val="00211996"/>
    <w:rsid w:val="00211B75"/>
    <w:rsid w:val="00211F09"/>
    <w:rsid w:val="0021224B"/>
    <w:rsid w:val="00212410"/>
    <w:rsid w:val="002126BC"/>
    <w:rsid w:val="00212750"/>
    <w:rsid w:val="002127BD"/>
    <w:rsid w:val="0021297C"/>
    <w:rsid w:val="00212B2B"/>
    <w:rsid w:val="00212B83"/>
    <w:rsid w:val="00213043"/>
    <w:rsid w:val="00213552"/>
    <w:rsid w:val="00213851"/>
    <w:rsid w:val="00213986"/>
    <w:rsid w:val="00213AA5"/>
    <w:rsid w:val="00213AE6"/>
    <w:rsid w:val="00213D4D"/>
    <w:rsid w:val="00214011"/>
    <w:rsid w:val="0021405D"/>
    <w:rsid w:val="002142D9"/>
    <w:rsid w:val="00214474"/>
    <w:rsid w:val="0021462B"/>
    <w:rsid w:val="00214866"/>
    <w:rsid w:val="002148F4"/>
    <w:rsid w:val="0021495B"/>
    <w:rsid w:val="00214E47"/>
    <w:rsid w:val="0021515F"/>
    <w:rsid w:val="00215371"/>
    <w:rsid w:val="002156CF"/>
    <w:rsid w:val="0021599A"/>
    <w:rsid w:val="00215AEE"/>
    <w:rsid w:val="00215E2E"/>
    <w:rsid w:val="00215EBD"/>
    <w:rsid w:val="002161AA"/>
    <w:rsid w:val="00216426"/>
    <w:rsid w:val="0021656B"/>
    <w:rsid w:val="002165B0"/>
    <w:rsid w:val="00216857"/>
    <w:rsid w:val="00216BA4"/>
    <w:rsid w:val="00216C55"/>
    <w:rsid w:val="00216CB6"/>
    <w:rsid w:val="00216CE9"/>
    <w:rsid w:val="00216D2C"/>
    <w:rsid w:val="00216DAB"/>
    <w:rsid w:val="002176DF"/>
    <w:rsid w:val="00217741"/>
    <w:rsid w:val="00217820"/>
    <w:rsid w:val="0021792F"/>
    <w:rsid w:val="002179AA"/>
    <w:rsid w:val="00217A1F"/>
    <w:rsid w:val="00217B10"/>
    <w:rsid w:val="00217BD3"/>
    <w:rsid w:val="00217C24"/>
    <w:rsid w:val="00217C62"/>
    <w:rsid w:val="0022024E"/>
    <w:rsid w:val="002203AD"/>
    <w:rsid w:val="00220BA4"/>
    <w:rsid w:val="00220C94"/>
    <w:rsid w:val="00220DAC"/>
    <w:rsid w:val="002210D7"/>
    <w:rsid w:val="002210F7"/>
    <w:rsid w:val="00221275"/>
    <w:rsid w:val="0022144F"/>
    <w:rsid w:val="00221611"/>
    <w:rsid w:val="0022197A"/>
    <w:rsid w:val="00221B40"/>
    <w:rsid w:val="00221BE0"/>
    <w:rsid w:val="00221EB1"/>
    <w:rsid w:val="00221FCD"/>
    <w:rsid w:val="00222068"/>
    <w:rsid w:val="002220F0"/>
    <w:rsid w:val="00222173"/>
    <w:rsid w:val="0022228A"/>
    <w:rsid w:val="002222F0"/>
    <w:rsid w:val="0022254F"/>
    <w:rsid w:val="0022255B"/>
    <w:rsid w:val="0022275E"/>
    <w:rsid w:val="00222C09"/>
    <w:rsid w:val="00222C4F"/>
    <w:rsid w:val="00223155"/>
    <w:rsid w:val="00223485"/>
    <w:rsid w:val="00223499"/>
    <w:rsid w:val="002235FF"/>
    <w:rsid w:val="0022363D"/>
    <w:rsid w:val="00223776"/>
    <w:rsid w:val="00223804"/>
    <w:rsid w:val="00223A5B"/>
    <w:rsid w:val="00223D94"/>
    <w:rsid w:val="00223E15"/>
    <w:rsid w:val="00223F26"/>
    <w:rsid w:val="00224227"/>
    <w:rsid w:val="0022427B"/>
    <w:rsid w:val="0022429B"/>
    <w:rsid w:val="0022431E"/>
    <w:rsid w:val="0022434F"/>
    <w:rsid w:val="002249DB"/>
    <w:rsid w:val="00224A4C"/>
    <w:rsid w:val="00224A6B"/>
    <w:rsid w:val="00224ABB"/>
    <w:rsid w:val="00224D48"/>
    <w:rsid w:val="00224DF5"/>
    <w:rsid w:val="00224E18"/>
    <w:rsid w:val="002250DB"/>
    <w:rsid w:val="0022536E"/>
    <w:rsid w:val="002254E2"/>
    <w:rsid w:val="00225564"/>
    <w:rsid w:val="0022579B"/>
    <w:rsid w:val="00225A58"/>
    <w:rsid w:val="00225B5A"/>
    <w:rsid w:val="00225C77"/>
    <w:rsid w:val="00225CBC"/>
    <w:rsid w:val="00225DDB"/>
    <w:rsid w:val="00225E36"/>
    <w:rsid w:val="00225E5A"/>
    <w:rsid w:val="00225E78"/>
    <w:rsid w:val="00225FD2"/>
    <w:rsid w:val="002260C0"/>
    <w:rsid w:val="00226125"/>
    <w:rsid w:val="002261B5"/>
    <w:rsid w:val="00226258"/>
    <w:rsid w:val="0022629F"/>
    <w:rsid w:val="00226522"/>
    <w:rsid w:val="00226751"/>
    <w:rsid w:val="00226CA8"/>
    <w:rsid w:val="00226DFB"/>
    <w:rsid w:val="00226ED2"/>
    <w:rsid w:val="00226EE2"/>
    <w:rsid w:val="00227008"/>
    <w:rsid w:val="002273B3"/>
    <w:rsid w:val="00227642"/>
    <w:rsid w:val="00227653"/>
    <w:rsid w:val="002276BA"/>
    <w:rsid w:val="002276F0"/>
    <w:rsid w:val="0022776D"/>
    <w:rsid w:val="002277FC"/>
    <w:rsid w:val="00227800"/>
    <w:rsid w:val="002279D7"/>
    <w:rsid w:val="00227AB8"/>
    <w:rsid w:val="00227AC6"/>
    <w:rsid w:val="00227B7B"/>
    <w:rsid w:val="00227B85"/>
    <w:rsid w:val="00227D09"/>
    <w:rsid w:val="00227D65"/>
    <w:rsid w:val="00227E89"/>
    <w:rsid w:val="002300C6"/>
    <w:rsid w:val="0023015C"/>
    <w:rsid w:val="00230164"/>
    <w:rsid w:val="002304B1"/>
    <w:rsid w:val="002305D6"/>
    <w:rsid w:val="00230640"/>
    <w:rsid w:val="002306A1"/>
    <w:rsid w:val="002306A2"/>
    <w:rsid w:val="00230710"/>
    <w:rsid w:val="00230806"/>
    <w:rsid w:val="00230A20"/>
    <w:rsid w:val="00230D0B"/>
    <w:rsid w:val="00230D10"/>
    <w:rsid w:val="00230EF6"/>
    <w:rsid w:val="0023107A"/>
    <w:rsid w:val="002310B3"/>
    <w:rsid w:val="00231163"/>
    <w:rsid w:val="002313A6"/>
    <w:rsid w:val="002317ED"/>
    <w:rsid w:val="0023191C"/>
    <w:rsid w:val="002319A9"/>
    <w:rsid w:val="00231BE8"/>
    <w:rsid w:val="00231EAE"/>
    <w:rsid w:val="00231F89"/>
    <w:rsid w:val="00231FFD"/>
    <w:rsid w:val="00232181"/>
    <w:rsid w:val="002321FC"/>
    <w:rsid w:val="0023251C"/>
    <w:rsid w:val="002327DC"/>
    <w:rsid w:val="00232846"/>
    <w:rsid w:val="00232883"/>
    <w:rsid w:val="002328D9"/>
    <w:rsid w:val="00232AAE"/>
    <w:rsid w:val="00232B22"/>
    <w:rsid w:val="00232BC9"/>
    <w:rsid w:val="00232E4F"/>
    <w:rsid w:val="00232FE1"/>
    <w:rsid w:val="00233099"/>
    <w:rsid w:val="0023324A"/>
    <w:rsid w:val="002332BF"/>
    <w:rsid w:val="002332E0"/>
    <w:rsid w:val="00233426"/>
    <w:rsid w:val="00233778"/>
    <w:rsid w:val="002337E1"/>
    <w:rsid w:val="002338B4"/>
    <w:rsid w:val="00233B48"/>
    <w:rsid w:val="00233B94"/>
    <w:rsid w:val="00233B95"/>
    <w:rsid w:val="00233C14"/>
    <w:rsid w:val="00233FE9"/>
    <w:rsid w:val="002340EE"/>
    <w:rsid w:val="002340F6"/>
    <w:rsid w:val="0023411D"/>
    <w:rsid w:val="00234488"/>
    <w:rsid w:val="0023449A"/>
    <w:rsid w:val="0023468A"/>
    <w:rsid w:val="00234D5C"/>
    <w:rsid w:val="00234EE7"/>
    <w:rsid w:val="002350CA"/>
    <w:rsid w:val="00235324"/>
    <w:rsid w:val="002356C1"/>
    <w:rsid w:val="002356C5"/>
    <w:rsid w:val="002356E1"/>
    <w:rsid w:val="00235895"/>
    <w:rsid w:val="00235922"/>
    <w:rsid w:val="00235AC9"/>
    <w:rsid w:val="00235E94"/>
    <w:rsid w:val="00235F58"/>
    <w:rsid w:val="00235FA5"/>
    <w:rsid w:val="00236165"/>
    <w:rsid w:val="002362BD"/>
    <w:rsid w:val="0023641D"/>
    <w:rsid w:val="0023647E"/>
    <w:rsid w:val="0023661C"/>
    <w:rsid w:val="0023664E"/>
    <w:rsid w:val="002366A2"/>
    <w:rsid w:val="0023671F"/>
    <w:rsid w:val="0023680D"/>
    <w:rsid w:val="0023690C"/>
    <w:rsid w:val="00236A38"/>
    <w:rsid w:val="00236B88"/>
    <w:rsid w:val="00236BE1"/>
    <w:rsid w:val="00236CBB"/>
    <w:rsid w:val="00236EF1"/>
    <w:rsid w:val="00236F0C"/>
    <w:rsid w:val="00236FE8"/>
    <w:rsid w:val="00237084"/>
    <w:rsid w:val="002370C2"/>
    <w:rsid w:val="00237163"/>
    <w:rsid w:val="00237311"/>
    <w:rsid w:val="0023738F"/>
    <w:rsid w:val="002374F8"/>
    <w:rsid w:val="002375EE"/>
    <w:rsid w:val="002377EC"/>
    <w:rsid w:val="002379D7"/>
    <w:rsid w:val="002379F7"/>
    <w:rsid w:val="00237C07"/>
    <w:rsid w:val="002402A8"/>
    <w:rsid w:val="00240465"/>
    <w:rsid w:val="00240654"/>
    <w:rsid w:val="00240B61"/>
    <w:rsid w:val="00240CEB"/>
    <w:rsid w:val="00240D54"/>
    <w:rsid w:val="00240DED"/>
    <w:rsid w:val="00240F2F"/>
    <w:rsid w:val="002411F5"/>
    <w:rsid w:val="0024170C"/>
    <w:rsid w:val="002417F2"/>
    <w:rsid w:val="0024195B"/>
    <w:rsid w:val="00241E6B"/>
    <w:rsid w:val="002420A1"/>
    <w:rsid w:val="00242168"/>
    <w:rsid w:val="00242208"/>
    <w:rsid w:val="00242405"/>
    <w:rsid w:val="00242524"/>
    <w:rsid w:val="002425A6"/>
    <w:rsid w:val="00242637"/>
    <w:rsid w:val="00242655"/>
    <w:rsid w:val="002429E5"/>
    <w:rsid w:val="00242A80"/>
    <w:rsid w:val="00242E2A"/>
    <w:rsid w:val="0024302E"/>
    <w:rsid w:val="002432FB"/>
    <w:rsid w:val="002433B5"/>
    <w:rsid w:val="00243538"/>
    <w:rsid w:val="00243848"/>
    <w:rsid w:val="002438AE"/>
    <w:rsid w:val="002438CF"/>
    <w:rsid w:val="00243969"/>
    <w:rsid w:val="00243A04"/>
    <w:rsid w:val="00243C63"/>
    <w:rsid w:val="00243C96"/>
    <w:rsid w:val="00243CEC"/>
    <w:rsid w:val="00244052"/>
    <w:rsid w:val="0024414E"/>
    <w:rsid w:val="00244234"/>
    <w:rsid w:val="002442A4"/>
    <w:rsid w:val="00244308"/>
    <w:rsid w:val="00244317"/>
    <w:rsid w:val="00244339"/>
    <w:rsid w:val="002449E3"/>
    <w:rsid w:val="00244B97"/>
    <w:rsid w:val="00244BBC"/>
    <w:rsid w:val="00244C73"/>
    <w:rsid w:val="00244D0F"/>
    <w:rsid w:val="00245063"/>
    <w:rsid w:val="002451BE"/>
    <w:rsid w:val="00245262"/>
    <w:rsid w:val="002452E7"/>
    <w:rsid w:val="00245399"/>
    <w:rsid w:val="00245443"/>
    <w:rsid w:val="0024549B"/>
    <w:rsid w:val="002455D3"/>
    <w:rsid w:val="00245666"/>
    <w:rsid w:val="0024575C"/>
    <w:rsid w:val="00245776"/>
    <w:rsid w:val="002459C0"/>
    <w:rsid w:val="00245E89"/>
    <w:rsid w:val="00245ED8"/>
    <w:rsid w:val="00245F40"/>
    <w:rsid w:val="002461ED"/>
    <w:rsid w:val="00246214"/>
    <w:rsid w:val="002466CF"/>
    <w:rsid w:val="0024675C"/>
    <w:rsid w:val="002467A4"/>
    <w:rsid w:val="0024698E"/>
    <w:rsid w:val="00246B41"/>
    <w:rsid w:val="00246F94"/>
    <w:rsid w:val="00247193"/>
    <w:rsid w:val="00247277"/>
    <w:rsid w:val="00247323"/>
    <w:rsid w:val="002475C8"/>
    <w:rsid w:val="00247659"/>
    <w:rsid w:val="00247BB6"/>
    <w:rsid w:val="00247CC6"/>
    <w:rsid w:val="0025044C"/>
    <w:rsid w:val="00250747"/>
    <w:rsid w:val="002508F7"/>
    <w:rsid w:val="00250C0A"/>
    <w:rsid w:val="00250D32"/>
    <w:rsid w:val="0025137F"/>
    <w:rsid w:val="002515B0"/>
    <w:rsid w:val="00251695"/>
    <w:rsid w:val="00251720"/>
    <w:rsid w:val="002518DE"/>
    <w:rsid w:val="00251E0B"/>
    <w:rsid w:val="00251E1B"/>
    <w:rsid w:val="00252223"/>
    <w:rsid w:val="002523BC"/>
    <w:rsid w:val="002524EC"/>
    <w:rsid w:val="0025259A"/>
    <w:rsid w:val="00252BB8"/>
    <w:rsid w:val="00252CF0"/>
    <w:rsid w:val="00252EC4"/>
    <w:rsid w:val="00253145"/>
    <w:rsid w:val="0025316A"/>
    <w:rsid w:val="002531DB"/>
    <w:rsid w:val="0025329B"/>
    <w:rsid w:val="00253501"/>
    <w:rsid w:val="00253672"/>
    <w:rsid w:val="00253697"/>
    <w:rsid w:val="002538AD"/>
    <w:rsid w:val="00253AB1"/>
    <w:rsid w:val="00253C6C"/>
    <w:rsid w:val="0025405E"/>
    <w:rsid w:val="002541A1"/>
    <w:rsid w:val="0025422C"/>
    <w:rsid w:val="00254242"/>
    <w:rsid w:val="00254412"/>
    <w:rsid w:val="00254479"/>
    <w:rsid w:val="0025461B"/>
    <w:rsid w:val="0025469E"/>
    <w:rsid w:val="00254915"/>
    <w:rsid w:val="00254A7F"/>
    <w:rsid w:val="00255036"/>
    <w:rsid w:val="002550F6"/>
    <w:rsid w:val="00255111"/>
    <w:rsid w:val="00255261"/>
    <w:rsid w:val="00255264"/>
    <w:rsid w:val="00255359"/>
    <w:rsid w:val="00255388"/>
    <w:rsid w:val="00255404"/>
    <w:rsid w:val="002557A6"/>
    <w:rsid w:val="00255B44"/>
    <w:rsid w:val="00255C1D"/>
    <w:rsid w:val="00255CBC"/>
    <w:rsid w:val="00255D48"/>
    <w:rsid w:val="00255D86"/>
    <w:rsid w:val="00255DBA"/>
    <w:rsid w:val="00255E37"/>
    <w:rsid w:val="00255FD0"/>
    <w:rsid w:val="002560CF"/>
    <w:rsid w:val="00256104"/>
    <w:rsid w:val="0025620D"/>
    <w:rsid w:val="00256309"/>
    <w:rsid w:val="002563D0"/>
    <w:rsid w:val="0025696C"/>
    <w:rsid w:val="00256CDB"/>
    <w:rsid w:val="00256D90"/>
    <w:rsid w:val="00256DDB"/>
    <w:rsid w:val="00256E61"/>
    <w:rsid w:val="00256FDA"/>
    <w:rsid w:val="0025726F"/>
    <w:rsid w:val="00257290"/>
    <w:rsid w:val="0025741F"/>
    <w:rsid w:val="00257716"/>
    <w:rsid w:val="00257805"/>
    <w:rsid w:val="00257B6A"/>
    <w:rsid w:val="00257C6A"/>
    <w:rsid w:val="00257CFC"/>
    <w:rsid w:val="00257DC8"/>
    <w:rsid w:val="00260025"/>
    <w:rsid w:val="00260053"/>
    <w:rsid w:val="002600B3"/>
    <w:rsid w:val="00260647"/>
    <w:rsid w:val="002607F6"/>
    <w:rsid w:val="0026092F"/>
    <w:rsid w:val="002609F2"/>
    <w:rsid w:val="00260ABF"/>
    <w:rsid w:val="00260D06"/>
    <w:rsid w:val="00260DCB"/>
    <w:rsid w:val="00260E08"/>
    <w:rsid w:val="00260F6E"/>
    <w:rsid w:val="00261116"/>
    <w:rsid w:val="0026120B"/>
    <w:rsid w:val="00261523"/>
    <w:rsid w:val="00261528"/>
    <w:rsid w:val="0026164F"/>
    <w:rsid w:val="0026165E"/>
    <w:rsid w:val="00261741"/>
    <w:rsid w:val="00261A69"/>
    <w:rsid w:val="00261B4A"/>
    <w:rsid w:val="00261D70"/>
    <w:rsid w:val="00261F12"/>
    <w:rsid w:val="00261FD4"/>
    <w:rsid w:val="00262093"/>
    <w:rsid w:val="00262161"/>
    <w:rsid w:val="00262A2E"/>
    <w:rsid w:val="00262AC4"/>
    <w:rsid w:val="00262E73"/>
    <w:rsid w:val="002630BE"/>
    <w:rsid w:val="00263859"/>
    <w:rsid w:val="002638A8"/>
    <w:rsid w:val="002638B6"/>
    <w:rsid w:val="00263904"/>
    <w:rsid w:val="00263928"/>
    <w:rsid w:val="002639E2"/>
    <w:rsid w:val="00263B32"/>
    <w:rsid w:val="00263BFA"/>
    <w:rsid w:val="00263D36"/>
    <w:rsid w:val="00263E2C"/>
    <w:rsid w:val="00263EB9"/>
    <w:rsid w:val="00263ED9"/>
    <w:rsid w:val="00263EF4"/>
    <w:rsid w:val="00264111"/>
    <w:rsid w:val="002642C9"/>
    <w:rsid w:val="0026469E"/>
    <w:rsid w:val="00264A6E"/>
    <w:rsid w:val="00264AC0"/>
    <w:rsid w:val="00264E4E"/>
    <w:rsid w:val="0026519E"/>
    <w:rsid w:val="002652CF"/>
    <w:rsid w:val="00265465"/>
    <w:rsid w:val="0026546A"/>
    <w:rsid w:val="002655EB"/>
    <w:rsid w:val="0026563F"/>
    <w:rsid w:val="00265656"/>
    <w:rsid w:val="00265972"/>
    <w:rsid w:val="00265AD5"/>
    <w:rsid w:val="00265C7F"/>
    <w:rsid w:val="00265C82"/>
    <w:rsid w:val="00265CC5"/>
    <w:rsid w:val="00265EFC"/>
    <w:rsid w:val="00266263"/>
    <w:rsid w:val="002662B8"/>
    <w:rsid w:val="00266320"/>
    <w:rsid w:val="0026654D"/>
    <w:rsid w:val="002666A9"/>
    <w:rsid w:val="002667C9"/>
    <w:rsid w:val="0026686C"/>
    <w:rsid w:val="002668EA"/>
    <w:rsid w:val="00266B3E"/>
    <w:rsid w:val="00266BC1"/>
    <w:rsid w:val="00266D04"/>
    <w:rsid w:val="00267305"/>
    <w:rsid w:val="0026734D"/>
    <w:rsid w:val="002673F4"/>
    <w:rsid w:val="002673FE"/>
    <w:rsid w:val="002674F4"/>
    <w:rsid w:val="002677B9"/>
    <w:rsid w:val="00267D9E"/>
    <w:rsid w:val="002700D5"/>
    <w:rsid w:val="00270294"/>
    <w:rsid w:val="002703D0"/>
    <w:rsid w:val="00270459"/>
    <w:rsid w:val="00270742"/>
    <w:rsid w:val="00270AD6"/>
    <w:rsid w:val="00270AF9"/>
    <w:rsid w:val="0027133D"/>
    <w:rsid w:val="00271419"/>
    <w:rsid w:val="0027172A"/>
    <w:rsid w:val="002717B8"/>
    <w:rsid w:val="002717D2"/>
    <w:rsid w:val="002718B3"/>
    <w:rsid w:val="00271AD3"/>
    <w:rsid w:val="00271B51"/>
    <w:rsid w:val="00271CC8"/>
    <w:rsid w:val="00271FB7"/>
    <w:rsid w:val="00271FC3"/>
    <w:rsid w:val="00272148"/>
    <w:rsid w:val="0027231F"/>
    <w:rsid w:val="0027255E"/>
    <w:rsid w:val="00272750"/>
    <w:rsid w:val="00272A2F"/>
    <w:rsid w:val="00272A39"/>
    <w:rsid w:val="00272B47"/>
    <w:rsid w:val="00272E60"/>
    <w:rsid w:val="00272F7C"/>
    <w:rsid w:val="0027318D"/>
    <w:rsid w:val="002731C9"/>
    <w:rsid w:val="002731FE"/>
    <w:rsid w:val="00273445"/>
    <w:rsid w:val="00273449"/>
    <w:rsid w:val="00273469"/>
    <w:rsid w:val="002734AD"/>
    <w:rsid w:val="0027351B"/>
    <w:rsid w:val="00273539"/>
    <w:rsid w:val="0027388F"/>
    <w:rsid w:val="002739AF"/>
    <w:rsid w:val="00273C8E"/>
    <w:rsid w:val="00273F34"/>
    <w:rsid w:val="0027455D"/>
    <w:rsid w:val="0027462B"/>
    <w:rsid w:val="00274829"/>
    <w:rsid w:val="00274971"/>
    <w:rsid w:val="00274A8B"/>
    <w:rsid w:val="00274B37"/>
    <w:rsid w:val="00274C75"/>
    <w:rsid w:val="00275095"/>
    <w:rsid w:val="00275100"/>
    <w:rsid w:val="00275128"/>
    <w:rsid w:val="002751DC"/>
    <w:rsid w:val="002751E5"/>
    <w:rsid w:val="002752C1"/>
    <w:rsid w:val="0027534E"/>
    <w:rsid w:val="00275391"/>
    <w:rsid w:val="0027563A"/>
    <w:rsid w:val="002756F9"/>
    <w:rsid w:val="002758B7"/>
    <w:rsid w:val="002758BC"/>
    <w:rsid w:val="00275991"/>
    <w:rsid w:val="00275C60"/>
    <w:rsid w:val="00275CD2"/>
    <w:rsid w:val="00275D6D"/>
    <w:rsid w:val="00275DFC"/>
    <w:rsid w:val="00276024"/>
    <w:rsid w:val="002763F6"/>
    <w:rsid w:val="00276555"/>
    <w:rsid w:val="002765F7"/>
    <w:rsid w:val="002766F3"/>
    <w:rsid w:val="0027679B"/>
    <w:rsid w:val="0027688E"/>
    <w:rsid w:val="00276AC4"/>
    <w:rsid w:val="00276BB9"/>
    <w:rsid w:val="00276EF0"/>
    <w:rsid w:val="0027706C"/>
    <w:rsid w:val="002770FD"/>
    <w:rsid w:val="0027711F"/>
    <w:rsid w:val="002771B8"/>
    <w:rsid w:val="00277235"/>
    <w:rsid w:val="002773E8"/>
    <w:rsid w:val="0027783E"/>
    <w:rsid w:val="0027795E"/>
    <w:rsid w:val="00277AD7"/>
    <w:rsid w:val="00277BF7"/>
    <w:rsid w:val="00277C26"/>
    <w:rsid w:val="00277E17"/>
    <w:rsid w:val="00277EB2"/>
    <w:rsid w:val="00280249"/>
    <w:rsid w:val="0028033D"/>
    <w:rsid w:val="0028046A"/>
    <w:rsid w:val="002805B9"/>
    <w:rsid w:val="0028063F"/>
    <w:rsid w:val="0028081D"/>
    <w:rsid w:val="002809E7"/>
    <w:rsid w:val="00280E9A"/>
    <w:rsid w:val="00280F86"/>
    <w:rsid w:val="00280FEE"/>
    <w:rsid w:val="0028110A"/>
    <w:rsid w:val="002811EF"/>
    <w:rsid w:val="00281314"/>
    <w:rsid w:val="002814A3"/>
    <w:rsid w:val="00281513"/>
    <w:rsid w:val="002815FF"/>
    <w:rsid w:val="00281614"/>
    <w:rsid w:val="002816EA"/>
    <w:rsid w:val="00281716"/>
    <w:rsid w:val="00281781"/>
    <w:rsid w:val="00281E9B"/>
    <w:rsid w:val="002820F4"/>
    <w:rsid w:val="00282150"/>
    <w:rsid w:val="002823DD"/>
    <w:rsid w:val="002824B4"/>
    <w:rsid w:val="00282612"/>
    <w:rsid w:val="00282828"/>
    <w:rsid w:val="0028292A"/>
    <w:rsid w:val="00282D1C"/>
    <w:rsid w:val="00282E11"/>
    <w:rsid w:val="00282E3D"/>
    <w:rsid w:val="00282E63"/>
    <w:rsid w:val="002830AC"/>
    <w:rsid w:val="002830F2"/>
    <w:rsid w:val="00283157"/>
    <w:rsid w:val="00283418"/>
    <w:rsid w:val="00283549"/>
    <w:rsid w:val="002836D9"/>
    <w:rsid w:val="002836E3"/>
    <w:rsid w:val="00283700"/>
    <w:rsid w:val="00283743"/>
    <w:rsid w:val="00283794"/>
    <w:rsid w:val="00283B32"/>
    <w:rsid w:val="00283E51"/>
    <w:rsid w:val="0028413C"/>
    <w:rsid w:val="00284192"/>
    <w:rsid w:val="0028449F"/>
    <w:rsid w:val="002845D9"/>
    <w:rsid w:val="00284650"/>
    <w:rsid w:val="002846C1"/>
    <w:rsid w:val="00284737"/>
    <w:rsid w:val="002847E2"/>
    <w:rsid w:val="0028482A"/>
    <w:rsid w:val="00284D90"/>
    <w:rsid w:val="00284DF1"/>
    <w:rsid w:val="00284E31"/>
    <w:rsid w:val="0028519B"/>
    <w:rsid w:val="002851A3"/>
    <w:rsid w:val="00285423"/>
    <w:rsid w:val="00285461"/>
    <w:rsid w:val="002855AB"/>
    <w:rsid w:val="00285AC0"/>
    <w:rsid w:val="00285C29"/>
    <w:rsid w:val="00285E5E"/>
    <w:rsid w:val="00285EDA"/>
    <w:rsid w:val="00285F84"/>
    <w:rsid w:val="002862DB"/>
    <w:rsid w:val="002863BF"/>
    <w:rsid w:val="002865E6"/>
    <w:rsid w:val="0028661B"/>
    <w:rsid w:val="00286694"/>
    <w:rsid w:val="0028686F"/>
    <w:rsid w:val="00286D22"/>
    <w:rsid w:val="00286E07"/>
    <w:rsid w:val="00287096"/>
    <w:rsid w:val="0028716F"/>
    <w:rsid w:val="0028723D"/>
    <w:rsid w:val="0028745B"/>
    <w:rsid w:val="0028783B"/>
    <w:rsid w:val="00287B9A"/>
    <w:rsid w:val="002902A3"/>
    <w:rsid w:val="002903FA"/>
    <w:rsid w:val="002904D6"/>
    <w:rsid w:val="0029062B"/>
    <w:rsid w:val="0029081C"/>
    <w:rsid w:val="00290823"/>
    <w:rsid w:val="00290913"/>
    <w:rsid w:val="00290C0F"/>
    <w:rsid w:val="00290D71"/>
    <w:rsid w:val="00290F28"/>
    <w:rsid w:val="00290F96"/>
    <w:rsid w:val="00290FAA"/>
    <w:rsid w:val="00291285"/>
    <w:rsid w:val="002912CA"/>
    <w:rsid w:val="00291668"/>
    <w:rsid w:val="00291726"/>
    <w:rsid w:val="00291742"/>
    <w:rsid w:val="002917E8"/>
    <w:rsid w:val="0029182C"/>
    <w:rsid w:val="00291B09"/>
    <w:rsid w:val="00291BF9"/>
    <w:rsid w:val="00291D82"/>
    <w:rsid w:val="00291D91"/>
    <w:rsid w:val="00291F07"/>
    <w:rsid w:val="00291F6A"/>
    <w:rsid w:val="002921E0"/>
    <w:rsid w:val="00292205"/>
    <w:rsid w:val="0029258E"/>
    <w:rsid w:val="002926A4"/>
    <w:rsid w:val="002926F9"/>
    <w:rsid w:val="00292D86"/>
    <w:rsid w:val="00292E6A"/>
    <w:rsid w:val="00292FF6"/>
    <w:rsid w:val="002930CE"/>
    <w:rsid w:val="00293116"/>
    <w:rsid w:val="0029329B"/>
    <w:rsid w:val="002933A4"/>
    <w:rsid w:val="002936EB"/>
    <w:rsid w:val="00293B73"/>
    <w:rsid w:val="00293CA7"/>
    <w:rsid w:val="00293D72"/>
    <w:rsid w:val="00293D74"/>
    <w:rsid w:val="00293FCC"/>
    <w:rsid w:val="00293FE7"/>
    <w:rsid w:val="00294002"/>
    <w:rsid w:val="002943B9"/>
    <w:rsid w:val="00294780"/>
    <w:rsid w:val="00294836"/>
    <w:rsid w:val="002949A2"/>
    <w:rsid w:val="00294B98"/>
    <w:rsid w:val="00294C10"/>
    <w:rsid w:val="00294C74"/>
    <w:rsid w:val="00294CB9"/>
    <w:rsid w:val="00294E3E"/>
    <w:rsid w:val="00294E94"/>
    <w:rsid w:val="00294E99"/>
    <w:rsid w:val="00294F45"/>
    <w:rsid w:val="00295313"/>
    <w:rsid w:val="0029546F"/>
    <w:rsid w:val="002956FC"/>
    <w:rsid w:val="00295A3D"/>
    <w:rsid w:val="00295A5C"/>
    <w:rsid w:val="00295DC3"/>
    <w:rsid w:val="00295ECF"/>
    <w:rsid w:val="00295EEF"/>
    <w:rsid w:val="00295F02"/>
    <w:rsid w:val="00295F51"/>
    <w:rsid w:val="00295F6F"/>
    <w:rsid w:val="00295FBC"/>
    <w:rsid w:val="0029623C"/>
    <w:rsid w:val="002962CB"/>
    <w:rsid w:val="002962CF"/>
    <w:rsid w:val="00296526"/>
    <w:rsid w:val="00296584"/>
    <w:rsid w:val="00296642"/>
    <w:rsid w:val="002967E7"/>
    <w:rsid w:val="00296C57"/>
    <w:rsid w:val="00296D1F"/>
    <w:rsid w:val="00297142"/>
    <w:rsid w:val="0029722A"/>
    <w:rsid w:val="0029724D"/>
    <w:rsid w:val="0029739C"/>
    <w:rsid w:val="00297695"/>
    <w:rsid w:val="002977F9"/>
    <w:rsid w:val="00297C36"/>
    <w:rsid w:val="002A03A4"/>
    <w:rsid w:val="002A03CA"/>
    <w:rsid w:val="002A050F"/>
    <w:rsid w:val="002A0AA9"/>
    <w:rsid w:val="002A0B64"/>
    <w:rsid w:val="002A1162"/>
    <w:rsid w:val="002A141A"/>
    <w:rsid w:val="002A17EC"/>
    <w:rsid w:val="002A195F"/>
    <w:rsid w:val="002A1A4A"/>
    <w:rsid w:val="002A1C80"/>
    <w:rsid w:val="002A1F91"/>
    <w:rsid w:val="002A2016"/>
    <w:rsid w:val="002A26E6"/>
    <w:rsid w:val="002A2AAF"/>
    <w:rsid w:val="002A2BCD"/>
    <w:rsid w:val="002A2D3F"/>
    <w:rsid w:val="002A2EA5"/>
    <w:rsid w:val="002A31AA"/>
    <w:rsid w:val="002A3235"/>
    <w:rsid w:val="002A380C"/>
    <w:rsid w:val="002A3A59"/>
    <w:rsid w:val="002A3B22"/>
    <w:rsid w:val="002A3D1A"/>
    <w:rsid w:val="002A3D45"/>
    <w:rsid w:val="002A3F80"/>
    <w:rsid w:val="002A437F"/>
    <w:rsid w:val="002A43BC"/>
    <w:rsid w:val="002A4628"/>
    <w:rsid w:val="002A463E"/>
    <w:rsid w:val="002A49DC"/>
    <w:rsid w:val="002A53A2"/>
    <w:rsid w:val="002A53C6"/>
    <w:rsid w:val="002A53F6"/>
    <w:rsid w:val="002A5431"/>
    <w:rsid w:val="002A595D"/>
    <w:rsid w:val="002A5BBE"/>
    <w:rsid w:val="002A5E6A"/>
    <w:rsid w:val="002A5F0F"/>
    <w:rsid w:val="002A5FD4"/>
    <w:rsid w:val="002A6201"/>
    <w:rsid w:val="002A6206"/>
    <w:rsid w:val="002A637C"/>
    <w:rsid w:val="002A6383"/>
    <w:rsid w:val="002A63A6"/>
    <w:rsid w:val="002A63F0"/>
    <w:rsid w:val="002A651A"/>
    <w:rsid w:val="002A6533"/>
    <w:rsid w:val="002A6569"/>
    <w:rsid w:val="002A66F5"/>
    <w:rsid w:val="002A676F"/>
    <w:rsid w:val="002A6B1D"/>
    <w:rsid w:val="002A6BFB"/>
    <w:rsid w:val="002A6C3E"/>
    <w:rsid w:val="002A6CAD"/>
    <w:rsid w:val="002A6F97"/>
    <w:rsid w:val="002A7074"/>
    <w:rsid w:val="002A70FC"/>
    <w:rsid w:val="002A7160"/>
    <w:rsid w:val="002A71E3"/>
    <w:rsid w:val="002A7444"/>
    <w:rsid w:val="002A74BE"/>
    <w:rsid w:val="002A757F"/>
    <w:rsid w:val="002A7604"/>
    <w:rsid w:val="002A77A8"/>
    <w:rsid w:val="002A7899"/>
    <w:rsid w:val="002A7C72"/>
    <w:rsid w:val="002B00BE"/>
    <w:rsid w:val="002B028F"/>
    <w:rsid w:val="002B03D6"/>
    <w:rsid w:val="002B0448"/>
    <w:rsid w:val="002B07B8"/>
    <w:rsid w:val="002B0A43"/>
    <w:rsid w:val="002B0BC9"/>
    <w:rsid w:val="002B1054"/>
    <w:rsid w:val="002B11F0"/>
    <w:rsid w:val="002B1396"/>
    <w:rsid w:val="002B1678"/>
    <w:rsid w:val="002B174E"/>
    <w:rsid w:val="002B17DA"/>
    <w:rsid w:val="002B1A2F"/>
    <w:rsid w:val="002B1A71"/>
    <w:rsid w:val="002B1B96"/>
    <w:rsid w:val="002B1DC7"/>
    <w:rsid w:val="002B1EDF"/>
    <w:rsid w:val="002B1EE5"/>
    <w:rsid w:val="002B210B"/>
    <w:rsid w:val="002B22D9"/>
    <w:rsid w:val="002B2415"/>
    <w:rsid w:val="002B25B8"/>
    <w:rsid w:val="002B25D5"/>
    <w:rsid w:val="002B2657"/>
    <w:rsid w:val="002B26F8"/>
    <w:rsid w:val="002B2715"/>
    <w:rsid w:val="002B280F"/>
    <w:rsid w:val="002B288D"/>
    <w:rsid w:val="002B2927"/>
    <w:rsid w:val="002B2953"/>
    <w:rsid w:val="002B2A46"/>
    <w:rsid w:val="002B2A98"/>
    <w:rsid w:val="002B2D78"/>
    <w:rsid w:val="002B31FF"/>
    <w:rsid w:val="002B3236"/>
    <w:rsid w:val="002B32F4"/>
    <w:rsid w:val="002B32FA"/>
    <w:rsid w:val="002B342D"/>
    <w:rsid w:val="002B35A0"/>
    <w:rsid w:val="002B3F44"/>
    <w:rsid w:val="002B403C"/>
    <w:rsid w:val="002B411C"/>
    <w:rsid w:val="002B416C"/>
    <w:rsid w:val="002B419A"/>
    <w:rsid w:val="002B41B1"/>
    <w:rsid w:val="002B4263"/>
    <w:rsid w:val="002B43B3"/>
    <w:rsid w:val="002B43BB"/>
    <w:rsid w:val="002B44A0"/>
    <w:rsid w:val="002B4812"/>
    <w:rsid w:val="002B48AB"/>
    <w:rsid w:val="002B48B7"/>
    <w:rsid w:val="002B4953"/>
    <w:rsid w:val="002B4B8C"/>
    <w:rsid w:val="002B4C67"/>
    <w:rsid w:val="002B4FD3"/>
    <w:rsid w:val="002B51CF"/>
    <w:rsid w:val="002B5601"/>
    <w:rsid w:val="002B5B0A"/>
    <w:rsid w:val="002B5C48"/>
    <w:rsid w:val="002B5F2C"/>
    <w:rsid w:val="002B5FB6"/>
    <w:rsid w:val="002B65D1"/>
    <w:rsid w:val="002B66AD"/>
    <w:rsid w:val="002B672B"/>
    <w:rsid w:val="002B67F1"/>
    <w:rsid w:val="002B6806"/>
    <w:rsid w:val="002B6B2D"/>
    <w:rsid w:val="002B6B5D"/>
    <w:rsid w:val="002B6B7C"/>
    <w:rsid w:val="002B6BC1"/>
    <w:rsid w:val="002B6C8F"/>
    <w:rsid w:val="002B6E70"/>
    <w:rsid w:val="002B6F0A"/>
    <w:rsid w:val="002B6FA0"/>
    <w:rsid w:val="002B6FB1"/>
    <w:rsid w:val="002B6FDA"/>
    <w:rsid w:val="002B7098"/>
    <w:rsid w:val="002B7672"/>
    <w:rsid w:val="002B77EF"/>
    <w:rsid w:val="002B78B5"/>
    <w:rsid w:val="002B7A83"/>
    <w:rsid w:val="002B7ABC"/>
    <w:rsid w:val="002B7B1C"/>
    <w:rsid w:val="002B7CC7"/>
    <w:rsid w:val="002B7F62"/>
    <w:rsid w:val="002C01B1"/>
    <w:rsid w:val="002C03FD"/>
    <w:rsid w:val="002C043B"/>
    <w:rsid w:val="002C0C48"/>
    <w:rsid w:val="002C0D85"/>
    <w:rsid w:val="002C0E85"/>
    <w:rsid w:val="002C116E"/>
    <w:rsid w:val="002C162F"/>
    <w:rsid w:val="002C166A"/>
    <w:rsid w:val="002C1691"/>
    <w:rsid w:val="002C19F5"/>
    <w:rsid w:val="002C1A60"/>
    <w:rsid w:val="002C1B8B"/>
    <w:rsid w:val="002C1BD8"/>
    <w:rsid w:val="002C1BDE"/>
    <w:rsid w:val="002C1C25"/>
    <w:rsid w:val="002C1EFA"/>
    <w:rsid w:val="002C1F21"/>
    <w:rsid w:val="002C2071"/>
    <w:rsid w:val="002C20E4"/>
    <w:rsid w:val="002C21D2"/>
    <w:rsid w:val="002C2445"/>
    <w:rsid w:val="002C268B"/>
    <w:rsid w:val="002C276F"/>
    <w:rsid w:val="002C2784"/>
    <w:rsid w:val="002C290F"/>
    <w:rsid w:val="002C2930"/>
    <w:rsid w:val="002C2B56"/>
    <w:rsid w:val="002C2E01"/>
    <w:rsid w:val="002C2EF5"/>
    <w:rsid w:val="002C2F41"/>
    <w:rsid w:val="002C2F93"/>
    <w:rsid w:val="002C3034"/>
    <w:rsid w:val="002C33AB"/>
    <w:rsid w:val="002C34B1"/>
    <w:rsid w:val="002C389F"/>
    <w:rsid w:val="002C39E7"/>
    <w:rsid w:val="002C3AC0"/>
    <w:rsid w:val="002C3C41"/>
    <w:rsid w:val="002C3C4A"/>
    <w:rsid w:val="002C3E23"/>
    <w:rsid w:val="002C421A"/>
    <w:rsid w:val="002C43F3"/>
    <w:rsid w:val="002C4515"/>
    <w:rsid w:val="002C45A8"/>
    <w:rsid w:val="002C4B7A"/>
    <w:rsid w:val="002C4E12"/>
    <w:rsid w:val="002C4E73"/>
    <w:rsid w:val="002C4F3B"/>
    <w:rsid w:val="002C501A"/>
    <w:rsid w:val="002C50EA"/>
    <w:rsid w:val="002C5294"/>
    <w:rsid w:val="002C52CF"/>
    <w:rsid w:val="002C52FB"/>
    <w:rsid w:val="002C5379"/>
    <w:rsid w:val="002C5557"/>
    <w:rsid w:val="002C5559"/>
    <w:rsid w:val="002C55AA"/>
    <w:rsid w:val="002C57FE"/>
    <w:rsid w:val="002C58CF"/>
    <w:rsid w:val="002C5914"/>
    <w:rsid w:val="002C5BD1"/>
    <w:rsid w:val="002C5CC8"/>
    <w:rsid w:val="002C6061"/>
    <w:rsid w:val="002C61E9"/>
    <w:rsid w:val="002C61F4"/>
    <w:rsid w:val="002C6389"/>
    <w:rsid w:val="002C64AE"/>
    <w:rsid w:val="002C65B4"/>
    <w:rsid w:val="002C65D9"/>
    <w:rsid w:val="002C66CF"/>
    <w:rsid w:val="002C685F"/>
    <w:rsid w:val="002C69C1"/>
    <w:rsid w:val="002C6B05"/>
    <w:rsid w:val="002C6BA1"/>
    <w:rsid w:val="002C7058"/>
    <w:rsid w:val="002C70F3"/>
    <w:rsid w:val="002C7178"/>
    <w:rsid w:val="002C722A"/>
    <w:rsid w:val="002C74EB"/>
    <w:rsid w:val="002C753A"/>
    <w:rsid w:val="002C75A5"/>
    <w:rsid w:val="002C785E"/>
    <w:rsid w:val="002C7AF2"/>
    <w:rsid w:val="002C7B30"/>
    <w:rsid w:val="002C7CF5"/>
    <w:rsid w:val="002C7D92"/>
    <w:rsid w:val="002C7E62"/>
    <w:rsid w:val="002D0031"/>
    <w:rsid w:val="002D00F1"/>
    <w:rsid w:val="002D027F"/>
    <w:rsid w:val="002D036D"/>
    <w:rsid w:val="002D03EB"/>
    <w:rsid w:val="002D0661"/>
    <w:rsid w:val="002D076A"/>
    <w:rsid w:val="002D08DF"/>
    <w:rsid w:val="002D0920"/>
    <w:rsid w:val="002D093C"/>
    <w:rsid w:val="002D0ACB"/>
    <w:rsid w:val="002D0AD8"/>
    <w:rsid w:val="002D0B01"/>
    <w:rsid w:val="002D0CEA"/>
    <w:rsid w:val="002D12AF"/>
    <w:rsid w:val="002D1370"/>
    <w:rsid w:val="002D1436"/>
    <w:rsid w:val="002D15D8"/>
    <w:rsid w:val="002D1664"/>
    <w:rsid w:val="002D16A1"/>
    <w:rsid w:val="002D17FE"/>
    <w:rsid w:val="002D185D"/>
    <w:rsid w:val="002D1B89"/>
    <w:rsid w:val="002D1BBC"/>
    <w:rsid w:val="002D1BCB"/>
    <w:rsid w:val="002D1E21"/>
    <w:rsid w:val="002D1EFE"/>
    <w:rsid w:val="002D1F60"/>
    <w:rsid w:val="002D205E"/>
    <w:rsid w:val="002D20A4"/>
    <w:rsid w:val="002D2756"/>
    <w:rsid w:val="002D27B5"/>
    <w:rsid w:val="002D2BF3"/>
    <w:rsid w:val="002D2CB4"/>
    <w:rsid w:val="002D3018"/>
    <w:rsid w:val="002D315D"/>
    <w:rsid w:val="002D35B4"/>
    <w:rsid w:val="002D3666"/>
    <w:rsid w:val="002D37D3"/>
    <w:rsid w:val="002D3831"/>
    <w:rsid w:val="002D3970"/>
    <w:rsid w:val="002D3EB6"/>
    <w:rsid w:val="002D4058"/>
    <w:rsid w:val="002D41D6"/>
    <w:rsid w:val="002D4219"/>
    <w:rsid w:val="002D426E"/>
    <w:rsid w:val="002D439C"/>
    <w:rsid w:val="002D43AB"/>
    <w:rsid w:val="002D44B3"/>
    <w:rsid w:val="002D45CF"/>
    <w:rsid w:val="002D470C"/>
    <w:rsid w:val="002D4723"/>
    <w:rsid w:val="002D4A9F"/>
    <w:rsid w:val="002D4B09"/>
    <w:rsid w:val="002D4B0F"/>
    <w:rsid w:val="002D4B75"/>
    <w:rsid w:val="002D4C56"/>
    <w:rsid w:val="002D5085"/>
    <w:rsid w:val="002D52FE"/>
    <w:rsid w:val="002D54B6"/>
    <w:rsid w:val="002D5535"/>
    <w:rsid w:val="002D55C8"/>
    <w:rsid w:val="002D55DD"/>
    <w:rsid w:val="002D57E6"/>
    <w:rsid w:val="002D5987"/>
    <w:rsid w:val="002D5D01"/>
    <w:rsid w:val="002D608C"/>
    <w:rsid w:val="002D62A6"/>
    <w:rsid w:val="002D6645"/>
    <w:rsid w:val="002D6708"/>
    <w:rsid w:val="002D686F"/>
    <w:rsid w:val="002D68DC"/>
    <w:rsid w:val="002D68E0"/>
    <w:rsid w:val="002D6C1B"/>
    <w:rsid w:val="002D6CF4"/>
    <w:rsid w:val="002D6F37"/>
    <w:rsid w:val="002D7055"/>
    <w:rsid w:val="002D7110"/>
    <w:rsid w:val="002D7137"/>
    <w:rsid w:val="002D73AA"/>
    <w:rsid w:val="002D740D"/>
    <w:rsid w:val="002D7844"/>
    <w:rsid w:val="002D7AE2"/>
    <w:rsid w:val="002D7D6B"/>
    <w:rsid w:val="002D7E16"/>
    <w:rsid w:val="002D7E94"/>
    <w:rsid w:val="002D7EA5"/>
    <w:rsid w:val="002E0211"/>
    <w:rsid w:val="002E0416"/>
    <w:rsid w:val="002E082B"/>
    <w:rsid w:val="002E086A"/>
    <w:rsid w:val="002E0A87"/>
    <w:rsid w:val="002E0BEA"/>
    <w:rsid w:val="002E0CF1"/>
    <w:rsid w:val="002E0FD1"/>
    <w:rsid w:val="002E1430"/>
    <w:rsid w:val="002E1999"/>
    <w:rsid w:val="002E1F7B"/>
    <w:rsid w:val="002E213C"/>
    <w:rsid w:val="002E2200"/>
    <w:rsid w:val="002E2506"/>
    <w:rsid w:val="002E256F"/>
    <w:rsid w:val="002E2755"/>
    <w:rsid w:val="002E289D"/>
    <w:rsid w:val="002E2A72"/>
    <w:rsid w:val="002E2DAD"/>
    <w:rsid w:val="002E2F1F"/>
    <w:rsid w:val="002E3067"/>
    <w:rsid w:val="002E337E"/>
    <w:rsid w:val="002E33CB"/>
    <w:rsid w:val="002E35C5"/>
    <w:rsid w:val="002E35DE"/>
    <w:rsid w:val="002E3A39"/>
    <w:rsid w:val="002E3ACD"/>
    <w:rsid w:val="002E3D58"/>
    <w:rsid w:val="002E3D67"/>
    <w:rsid w:val="002E404B"/>
    <w:rsid w:val="002E416E"/>
    <w:rsid w:val="002E425C"/>
    <w:rsid w:val="002E4638"/>
    <w:rsid w:val="002E470B"/>
    <w:rsid w:val="002E470E"/>
    <w:rsid w:val="002E48C7"/>
    <w:rsid w:val="002E48F7"/>
    <w:rsid w:val="002E4CAE"/>
    <w:rsid w:val="002E4D04"/>
    <w:rsid w:val="002E4DE8"/>
    <w:rsid w:val="002E4E10"/>
    <w:rsid w:val="002E4F74"/>
    <w:rsid w:val="002E500F"/>
    <w:rsid w:val="002E533D"/>
    <w:rsid w:val="002E53F9"/>
    <w:rsid w:val="002E54A0"/>
    <w:rsid w:val="002E5583"/>
    <w:rsid w:val="002E5586"/>
    <w:rsid w:val="002E574C"/>
    <w:rsid w:val="002E574F"/>
    <w:rsid w:val="002E5878"/>
    <w:rsid w:val="002E5882"/>
    <w:rsid w:val="002E596A"/>
    <w:rsid w:val="002E5DEE"/>
    <w:rsid w:val="002E5F4D"/>
    <w:rsid w:val="002E5F5A"/>
    <w:rsid w:val="002E6065"/>
    <w:rsid w:val="002E6841"/>
    <w:rsid w:val="002E6BAC"/>
    <w:rsid w:val="002E715B"/>
    <w:rsid w:val="002E7423"/>
    <w:rsid w:val="002E74B4"/>
    <w:rsid w:val="002E763B"/>
    <w:rsid w:val="002E79C8"/>
    <w:rsid w:val="002E7B40"/>
    <w:rsid w:val="002E7E94"/>
    <w:rsid w:val="002E7ED8"/>
    <w:rsid w:val="002F0541"/>
    <w:rsid w:val="002F05E3"/>
    <w:rsid w:val="002F06E8"/>
    <w:rsid w:val="002F09E4"/>
    <w:rsid w:val="002F0AC3"/>
    <w:rsid w:val="002F0DA0"/>
    <w:rsid w:val="002F0DFA"/>
    <w:rsid w:val="002F0E23"/>
    <w:rsid w:val="002F0F59"/>
    <w:rsid w:val="002F0F9A"/>
    <w:rsid w:val="002F0FB8"/>
    <w:rsid w:val="002F0FCF"/>
    <w:rsid w:val="002F10A9"/>
    <w:rsid w:val="002F10D5"/>
    <w:rsid w:val="002F11DC"/>
    <w:rsid w:val="002F11FA"/>
    <w:rsid w:val="002F1391"/>
    <w:rsid w:val="002F1392"/>
    <w:rsid w:val="002F1504"/>
    <w:rsid w:val="002F1527"/>
    <w:rsid w:val="002F152D"/>
    <w:rsid w:val="002F162F"/>
    <w:rsid w:val="002F167A"/>
    <w:rsid w:val="002F17B4"/>
    <w:rsid w:val="002F18BA"/>
    <w:rsid w:val="002F1997"/>
    <w:rsid w:val="002F1B36"/>
    <w:rsid w:val="002F1BC7"/>
    <w:rsid w:val="002F1C07"/>
    <w:rsid w:val="002F1F2C"/>
    <w:rsid w:val="002F1FFC"/>
    <w:rsid w:val="002F20AB"/>
    <w:rsid w:val="002F21B4"/>
    <w:rsid w:val="002F21F6"/>
    <w:rsid w:val="002F23F1"/>
    <w:rsid w:val="002F24C0"/>
    <w:rsid w:val="002F2522"/>
    <w:rsid w:val="002F284E"/>
    <w:rsid w:val="002F2B38"/>
    <w:rsid w:val="002F2ECB"/>
    <w:rsid w:val="002F3108"/>
    <w:rsid w:val="002F3497"/>
    <w:rsid w:val="002F3994"/>
    <w:rsid w:val="002F3F95"/>
    <w:rsid w:val="002F41AB"/>
    <w:rsid w:val="002F4238"/>
    <w:rsid w:val="002F425B"/>
    <w:rsid w:val="002F43EA"/>
    <w:rsid w:val="002F4BCB"/>
    <w:rsid w:val="002F4C4D"/>
    <w:rsid w:val="002F4CF5"/>
    <w:rsid w:val="002F515A"/>
    <w:rsid w:val="002F53EF"/>
    <w:rsid w:val="002F583B"/>
    <w:rsid w:val="002F5953"/>
    <w:rsid w:val="002F59D7"/>
    <w:rsid w:val="002F5A4B"/>
    <w:rsid w:val="002F5AC1"/>
    <w:rsid w:val="002F5D26"/>
    <w:rsid w:val="002F5D2B"/>
    <w:rsid w:val="002F5E03"/>
    <w:rsid w:val="002F6058"/>
    <w:rsid w:val="002F615C"/>
    <w:rsid w:val="002F6189"/>
    <w:rsid w:val="002F62D5"/>
    <w:rsid w:val="002F6A04"/>
    <w:rsid w:val="002F727C"/>
    <w:rsid w:val="002F72FA"/>
    <w:rsid w:val="002F7483"/>
    <w:rsid w:val="002F74C9"/>
    <w:rsid w:val="002F76AE"/>
    <w:rsid w:val="002F792B"/>
    <w:rsid w:val="002F7CB1"/>
    <w:rsid w:val="002F7F00"/>
    <w:rsid w:val="003001E6"/>
    <w:rsid w:val="0030035B"/>
    <w:rsid w:val="003006C7"/>
    <w:rsid w:val="00300731"/>
    <w:rsid w:val="0030076F"/>
    <w:rsid w:val="003007C0"/>
    <w:rsid w:val="0030086C"/>
    <w:rsid w:val="0030092D"/>
    <w:rsid w:val="00300ACB"/>
    <w:rsid w:val="00300B56"/>
    <w:rsid w:val="00300C38"/>
    <w:rsid w:val="00300D1C"/>
    <w:rsid w:val="00300DB4"/>
    <w:rsid w:val="00300EE9"/>
    <w:rsid w:val="003010AB"/>
    <w:rsid w:val="00301364"/>
    <w:rsid w:val="00301611"/>
    <w:rsid w:val="00301624"/>
    <w:rsid w:val="00301741"/>
    <w:rsid w:val="00301832"/>
    <w:rsid w:val="00301B5C"/>
    <w:rsid w:val="00301BA2"/>
    <w:rsid w:val="00301C19"/>
    <w:rsid w:val="00301F0E"/>
    <w:rsid w:val="00301F78"/>
    <w:rsid w:val="00302202"/>
    <w:rsid w:val="003022D2"/>
    <w:rsid w:val="003026F0"/>
    <w:rsid w:val="003029A1"/>
    <w:rsid w:val="00302A61"/>
    <w:rsid w:val="00302C86"/>
    <w:rsid w:val="00302D10"/>
    <w:rsid w:val="00302ED4"/>
    <w:rsid w:val="00302FDD"/>
    <w:rsid w:val="003030D5"/>
    <w:rsid w:val="0030323D"/>
    <w:rsid w:val="00303289"/>
    <w:rsid w:val="003033AC"/>
    <w:rsid w:val="003034CD"/>
    <w:rsid w:val="003035B6"/>
    <w:rsid w:val="00303612"/>
    <w:rsid w:val="0030376A"/>
    <w:rsid w:val="003037AF"/>
    <w:rsid w:val="0030392B"/>
    <w:rsid w:val="0030398A"/>
    <w:rsid w:val="00303A1A"/>
    <w:rsid w:val="00303BB4"/>
    <w:rsid w:val="00303E08"/>
    <w:rsid w:val="00303F1D"/>
    <w:rsid w:val="00303F29"/>
    <w:rsid w:val="00303F41"/>
    <w:rsid w:val="00303F61"/>
    <w:rsid w:val="0030423C"/>
    <w:rsid w:val="00304390"/>
    <w:rsid w:val="003047F6"/>
    <w:rsid w:val="00304D85"/>
    <w:rsid w:val="00304FB3"/>
    <w:rsid w:val="0030502F"/>
    <w:rsid w:val="00305306"/>
    <w:rsid w:val="00305B5E"/>
    <w:rsid w:val="00305D87"/>
    <w:rsid w:val="00305FED"/>
    <w:rsid w:val="00306040"/>
    <w:rsid w:val="003061F3"/>
    <w:rsid w:val="0030626E"/>
    <w:rsid w:val="003065F5"/>
    <w:rsid w:val="003066A3"/>
    <w:rsid w:val="003068A6"/>
    <w:rsid w:val="003069B5"/>
    <w:rsid w:val="00306A94"/>
    <w:rsid w:val="00306AA4"/>
    <w:rsid w:val="00306BB5"/>
    <w:rsid w:val="00306C78"/>
    <w:rsid w:val="00306C84"/>
    <w:rsid w:val="00306D02"/>
    <w:rsid w:val="00306E27"/>
    <w:rsid w:val="00306F35"/>
    <w:rsid w:val="003071DA"/>
    <w:rsid w:val="0030729E"/>
    <w:rsid w:val="00307347"/>
    <w:rsid w:val="003073C8"/>
    <w:rsid w:val="003073DA"/>
    <w:rsid w:val="0030757E"/>
    <w:rsid w:val="00307807"/>
    <w:rsid w:val="00307920"/>
    <w:rsid w:val="00307A92"/>
    <w:rsid w:val="00307B16"/>
    <w:rsid w:val="00307B89"/>
    <w:rsid w:val="0031023C"/>
    <w:rsid w:val="003104F8"/>
    <w:rsid w:val="00310A7C"/>
    <w:rsid w:val="00310BD8"/>
    <w:rsid w:val="00310C0A"/>
    <w:rsid w:val="00310CFC"/>
    <w:rsid w:val="00310E60"/>
    <w:rsid w:val="00310E99"/>
    <w:rsid w:val="00311072"/>
    <w:rsid w:val="003110AD"/>
    <w:rsid w:val="0031118B"/>
    <w:rsid w:val="0031134F"/>
    <w:rsid w:val="00311421"/>
    <w:rsid w:val="0031171A"/>
    <w:rsid w:val="0031174A"/>
    <w:rsid w:val="0031194B"/>
    <w:rsid w:val="00311985"/>
    <w:rsid w:val="00311998"/>
    <w:rsid w:val="00311A6B"/>
    <w:rsid w:val="00311F03"/>
    <w:rsid w:val="00311FBF"/>
    <w:rsid w:val="00312446"/>
    <w:rsid w:val="0031252A"/>
    <w:rsid w:val="00312592"/>
    <w:rsid w:val="00312870"/>
    <w:rsid w:val="0031289C"/>
    <w:rsid w:val="0031290A"/>
    <w:rsid w:val="003129AD"/>
    <w:rsid w:val="00312AE2"/>
    <w:rsid w:val="00312CA2"/>
    <w:rsid w:val="00312D5C"/>
    <w:rsid w:val="00312F65"/>
    <w:rsid w:val="0031302F"/>
    <w:rsid w:val="003130B4"/>
    <w:rsid w:val="00313155"/>
    <w:rsid w:val="003131C0"/>
    <w:rsid w:val="00313569"/>
    <w:rsid w:val="0031358A"/>
    <w:rsid w:val="00313646"/>
    <w:rsid w:val="00313687"/>
    <w:rsid w:val="0031393A"/>
    <w:rsid w:val="00313BA8"/>
    <w:rsid w:val="00313C93"/>
    <w:rsid w:val="00313D08"/>
    <w:rsid w:val="00313E84"/>
    <w:rsid w:val="0031459B"/>
    <w:rsid w:val="003146EF"/>
    <w:rsid w:val="003146FF"/>
    <w:rsid w:val="00314883"/>
    <w:rsid w:val="0031488C"/>
    <w:rsid w:val="00314B06"/>
    <w:rsid w:val="00314B3B"/>
    <w:rsid w:val="00314B3F"/>
    <w:rsid w:val="00314C6F"/>
    <w:rsid w:val="00314D7A"/>
    <w:rsid w:val="003150AC"/>
    <w:rsid w:val="003152CD"/>
    <w:rsid w:val="003154B8"/>
    <w:rsid w:val="003154F0"/>
    <w:rsid w:val="003155DD"/>
    <w:rsid w:val="003158C3"/>
    <w:rsid w:val="00315985"/>
    <w:rsid w:val="00315B8C"/>
    <w:rsid w:val="00316463"/>
    <w:rsid w:val="00316654"/>
    <w:rsid w:val="003166B0"/>
    <w:rsid w:val="003166B4"/>
    <w:rsid w:val="003166F3"/>
    <w:rsid w:val="00316D75"/>
    <w:rsid w:val="00316EF7"/>
    <w:rsid w:val="00317027"/>
    <w:rsid w:val="00317166"/>
    <w:rsid w:val="003171AD"/>
    <w:rsid w:val="00317294"/>
    <w:rsid w:val="00317400"/>
    <w:rsid w:val="0031765B"/>
    <w:rsid w:val="00317DEA"/>
    <w:rsid w:val="003202B4"/>
    <w:rsid w:val="003204BC"/>
    <w:rsid w:val="003208BC"/>
    <w:rsid w:val="003209E2"/>
    <w:rsid w:val="00320CD4"/>
    <w:rsid w:val="00320E92"/>
    <w:rsid w:val="00320F95"/>
    <w:rsid w:val="00321084"/>
    <w:rsid w:val="003213F6"/>
    <w:rsid w:val="0032146A"/>
    <w:rsid w:val="003214F3"/>
    <w:rsid w:val="003218FB"/>
    <w:rsid w:val="003219AB"/>
    <w:rsid w:val="00321A6F"/>
    <w:rsid w:val="00321C35"/>
    <w:rsid w:val="00322050"/>
    <w:rsid w:val="0032210B"/>
    <w:rsid w:val="003222AE"/>
    <w:rsid w:val="00322672"/>
    <w:rsid w:val="00322759"/>
    <w:rsid w:val="00322842"/>
    <w:rsid w:val="00322985"/>
    <w:rsid w:val="00322C75"/>
    <w:rsid w:val="00322D52"/>
    <w:rsid w:val="00322D99"/>
    <w:rsid w:val="003230A0"/>
    <w:rsid w:val="0032327B"/>
    <w:rsid w:val="003232C4"/>
    <w:rsid w:val="003232EA"/>
    <w:rsid w:val="00323469"/>
    <w:rsid w:val="003234A3"/>
    <w:rsid w:val="0032356D"/>
    <w:rsid w:val="003236E7"/>
    <w:rsid w:val="003237C5"/>
    <w:rsid w:val="00323840"/>
    <w:rsid w:val="00323893"/>
    <w:rsid w:val="003238FC"/>
    <w:rsid w:val="0032397A"/>
    <w:rsid w:val="00323A1F"/>
    <w:rsid w:val="00323BF4"/>
    <w:rsid w:val="00323F0F"/>
    <w:rsid w:val="00323F18"/>
    <w:rsid w:val="00323F27"/>
    <w:rsid w:val="00324020"/>
    <w:rsid w:val="0032408A"/>
    <w:rsid w:val="003240CD"/>
    <w:rsid w:val="003241C0"/>
    <w:rsid w:val="003243C7"/>
    <w:rsid w:val="00324407"/>
    <w:rsid w:val="0032444E"/>
    <w:rsid w:val="00324514"/>
    <w:rsid w:val="00324699"/>
    <w:rsid w:val="00324797"/>
    <w:rsid w:val="00324798"/>
    <w:rsid w:val="003248D6"/>
    <w:rsid w:val="00324908"/>
    <w:rsid w:val="0032495E"/>
    <w:rsid w:val="00324A43"/>
    <w:rsid w:val="00324B16"/>
    <w:rsid w:val="00325118"/>
    <w:rsid w:val="003251FD"/>
    <w:rsid w:val="00325340"/>
    <w:rsid w:val="003253A7"/>
    <w:rsid w:val="003253DA"/>
    <w:rsid w:val="00325595"/>
    <w:rsid w:val="003255D0"/>
    <w:rsid w:val="00325960"/>
    <w:rsid w:val="00325A7E"/>
    <w:rsid w:val="00325B16"/>
    <w:rsid w:val="00325BF9"/>
    <w:rsid w:val="00325C42"/>
    <w:rsid w:val="00325CDA"/>
    <w:rsid w:val="00325DE3"/>
    <w:rsid w:val="00325EDD"/>
    <w:rsid w:val="003262C3"/>
    <w:rsid w:val="00326309"/>
    <w:rsid w:val="00326334"/>
    <w:rsid w:val="00326338"/>
    <w:rsid w:val="00326438"/>
    <w:rsid w:val="00326496"/>
    <w:rsid w:val="00326571"/>
    <w:rsid w:val="0032663E"/>
    <w:rsid w:val="0032671A"/>
    <w:rsid w:val="003268B2"/>
    <w:rsid w:val="00326F89"/>
    <w:rsid w:val="00327045"/>
    <w:rsid w:val="00327223"/>
    <w:rsid w:val="0032722B"/>
    <w:rsid w:val="00327309"/>
    <w:rsid w:val="00327328"/>
    <w:rsid w:val="003273CB"/>
    <w:rsid w:val="003275F8"/>
    <w:rsid w:val="0032762A"/>
    <w:rsid w:val="003277F6"/>
    <w:rsid w:val="00327A4B"/>
    <w:rsid w:val="00327AC6"/>
    <w:rsid w:val="00327B7C"/>
    <w:rsid w:val="00327C91"/>
    <w:rsid w:val="00327D33"/>
    <w:rsid w:val="00327F73"/>
    <w:rsid w:val="003300EF"/>
    <w:rsid w:val="0033013C"/>
    <w:rsid w:val="0033060D"/>
    <w:rsid w:val="00330618"/>
    <w:rsid w:val="00330709"/>
    <w:rsid w:val="00330A02"/>
    <w:rsid w:val="00330ABB"/>
    <w:rsid w:val="00330F25"/>
    <w:rsid w:val="00331097"/>
    <w:rsid w:val="00331158"/>
    <w:rsid w:val="0033115F"/>
    <w:rsid w:val="003313CD"/>
    <w:rsid w:val="003315C2"/>
    <w:rsid w:val="003316A6"/>
    <w:rsid w:val="003316D2"/>
    <w:rsid w:val="003318B1"/>
    <w:rsid w:val="00331B5E"/>
    <w:rsid w:val="00331B69"/>
    <w:rsid w:val="00331CB0"/>
    <w:rsid w:val="00331FF0"/>
    <w:rsid w:val="0033206A"/>
    <w:rsid w:val="003326A4"/>
    <w:rsid w:val="003326FE"/>
    <w:rsid w:val="0033277A"/>
    <w:rsid w:val="003329B6"/>
    <w:rsid w:val="00333023"/>
    <w:rsid w:val="0033304B"/>
    <w:rsid w:val="0033312D"/>
    <w:rsid w:val="0033341C"/>
    <w:rsid w:val="00333486"/>
    <w:rsid w:val="00333519"/>
    <w:rsid w:val="0033360C"/>
    <w:rsid w:val="003337E0"/>
    <w:rsid w:val="0033388C"/>
    <w:rsid w:val="00333905"/>
    <w:rsid w:val="00333C12"/>
    <w:rsid w:val="00333C84"/>
    <w:rsid w:val="003341C5"/>
    <w:rsid w:val="003341FA"/>
    <w:rsid w:val="0033422A"/>
    <w:rsid w:val="003345F0"/>
    <w:rsid w:val="00334690"/>
    <w:rsid w:val="0033471D"/>
    <w:rsid w:val="003349B9"/>
    <w:rsid w:val="00335326"/>
    <w:rsid w:val="0033538F"/>
    <w:rsid w:val="00335552"/>
    <w:rsid w:val="003358F8"/>
    <w:rsid w:val="003359CE"/>
    <w:rsid w:val="00335AA8"/>
    <w:rsid w:val="00335B39"/>
    <w:rsid w:val="00335C12"/>
    <w:rsid w:val="0033619C"/>
    <w:rsid w:val="00336328"/>
    <w:rsid w:val="00336389"/>
    <w:rsid w:val="0033677C"/>
    <w:rsid w:val="00336872"/>
    <w:rsid w:val="00336970"/>
    <w:rsid w:val="0033698E"/>
    <w:rsid w:val="00336BB6"/>
    <w:rsid w:val="00336F9E"/>
    <w:rsid w:val="00337064"/>
    <w:rsid w:val="0033707D"/>
    <w:rsid w:val="0033714A"/>
    <w:rsid w:val="00337170"/>
    <w:rsid w:val="003372C8"/>
    <w:rsid w:val="0033751D"/>
    <w:rsid w:val="003378D6"/>
    <w:rsid w:val="00337AB0"/>
    <w:rsid w:val="00337DC7"/>
    <w:rsid w:val="003400CB"/>
    <w:rsid w:val="00340285"/>
    <w:rsid w:val="003402BF"/>
    <w:rsid w:val="003403F0"/>
    <w:rsid w:val="003403F6"/>
    <w:rsid w:val="003404A9"/>
    <w:rsid w:val="003408C3"/>
    <w:rsid w:val="003408F4"/>
    <w:rsid w:val="00340AA4"/>
    <w:rsid w:val="00340F29"/>
    <w:rsid w:val="00341116"/>
    <w:rsid w:val="003414AA"/>
    <w:rsid w:val="00341ACE"/>
    <w:rsid w:val="00341D47"/>
    <w:rsid w:val="00341D8E"/>
    <w:rsid w:val="00341DDD"/>
    <w:rsid w:val="00341E75"/>
    <w:rsid w:val="0034206C"/>
    <w:rsid w:val="003425C0"/>
    <w:rsid w:val="003425D0"/>
    <w:rsid w:val="00342762"/>
    <w:rsid w:val="0034281D"/>
    <w:rsid w:val="003428AD"/>
    <w:rsid w:val="00342B6D"/>
    <w:rsid w:val="00342BF3"/>
    <w:rsid w:val="00342C4C"/>
    <w:rsid w:val="00342F2A"/>
    <w:rsid w:val="00342F9C"/>
    <w:rsid w:val="0034300E"/>
    <w:rsid w:val="003430B6"/>
    <w:rsid w:val="003432BE"/>
    <w:rsid w:val="003438F6"/>
    <w:rsid w:val="00343B71"/>
    <w:rsid w:val="00343C7E"/>
    <w:rsid w:val="00343CC9"/>
    <w:rsid w:val="00343D50"/>
    <w:rsid w:val="00343DED"/>
    <w:rsid w:val="00344397"/>
    <w:rsid w:val="003444FB"/>
    <w:rsid w:val="0034483D"/>
    <w:rsid w:val="00344A61"/>
    <w:rsid w:val="00344A85"/>
    <w:rsid w:val="00344C9F"/>
    <w:rsid w:val="00344E2F"/>
    <w:rsid w:val="00344F74"/>
    <w:rsid w:val="00345040"/>
    <w:rsid w:val="0034540B"/>
    <w:rsid w:val="00345659"/>
    <w:rsid w:val="003456C9"/>
    <w:rsid w:val="003456DA"/>
    <w:rsid w:val="0034589B"/>
    <w:rsid w:val="00345958"/>
    <w:rsid w:val="00345A61"/>
    <w:rsid w:val="00345E09"/>
    <w:rsid w:val="00345E6B"/>
    <w:rsid w:val="003460C3"/>
    <w:rsid w:val="0034622C"/>
    <w:rsid w:val="00346C7D"/>
    <w:rsid w:val="00346D58"/>
    <w:rsid w:val="00347119"/>
    <w:rsid w:val="003471DC"/>
    <w:rsid w:val="00347295"/>
    <w:rsid w:val="003472AA"/>
    <w:rsid w:val="00347576"/>
    <w:rsid w:val="0034764B"/>
    <w:rsid w:val="0034781C"/>
    <w:rsid w:val="00347950"/>
    <w:rsid w:val="003479B9"/>
    <w:rsid w:val="00347BED"/>
    <w:rsid w:val="00347E58"/>
    <w:rsid w:val="00350026"/>
    <w:rsid w:val="00350109"/>
    <w:rsid w:val="0035017E"/>
    <w:rsid w:val="0035029C"/>
    <w:rsid w:val="00350378"/>
    <w:rsid w:val="003503DD"/>
    <w:rsid w:val="0035051A"/>
    <w:rsid w:val="003506ED"/>
    <w:rsid w:val="003508A5"/>
    <w:rsid w:val="00350A1F"/>
    <w:rsid w:val="00350A31"/>
    <w:rsid w:val="00350A7E"/>
    <w:rsid w:val="00350AC3"/>
    <w:rsid w:val="00350BE5"/>
    <w:rsid w:val="00350DF1"/>
    <w:rsid w:val="00351431"/>
    <w:rsid w:val="00351A58"/>
    <w:rsid w:val="00351C7F"/>
    <w:rsid w:val="00351D92"/>
    <w:rsid w:val="00351FCD"/>
    <w:rsid w:val="003520A7"/>
    <w:rsid w:val="00352110"/>
    <w:rsid w:val="00352141"/>
    <w:rsid w:val="003521F6"/>
    <w:rsid w:val="0035224A"/>
    <w:rsid w:val="003526A9"/>
    <w:rsid w:val="003527AC"/>
    <w:rsid w:val="003527C8"/>
    <w:rsid w:val="00352861"/>
    <w:rsid w:val="00352C54"/>
    <w:rsid w:val="00352D43"/>
    <w:rsid w:val="00352EC7"/>
    <w:rsid w:val="00353084"/>
    <w:rsid w:val="003532ED"/>
    <w:rsid w:val="003532F3"/>
    <w:rsid w:val="00353AF8"/>
    <w:rsid w:val="00353B58"/>
    <w:rsid w:val="00354329"/>
    <w:rsid w:val="00354465"/>
    <w:rsid w:val="00354677"/>
    <w:rsid w:val="00354A51"/>
    <w:rsid w:val="00354D98"/>
    <w:rsid w:val="0035500E"/>
    <w:rsid w:val="00355138"/>
    <w:rsid w:val="003552AE"/>
    <w:rsid w:val="0035577B"/>
    <w:rsid w:val="003557DD"/>
    <w:rsid w:val="003558B2"/>
    <w:rsid w:val="003559EC"/>
    <w:rsid w:val="00355C58"/>
    <w:rsid w:val="00355CAF"/>
    <w:rsid w:val="00355DD7"/>
    <w:rsid w:val="00355EA5"/>
    <w:rsid w:val="003560CD"/>
    <w:rsid w:val="00356305"/>
    <w:rsid w:val="003568DE"/>
    <w:rsid w:val="00356904"/>
    <w:rsid w:val="00356D63"/>
    <w:rsid w:val="00356D8C"/>
    <w:rsid w:val="00356D92"/>
    <w:rsid w:val="00356E17"/>
    <w:rsid w:val="003571D6"/>
    <w:rsid w:val="00357304"/>
    <w:rsid w:val="00357313"/>
    <w:rsid w:val="003574E4"/>
    <w:rsid w:val="00357DB1"/>
    <w:rsid w:val="00360021"/>
    <w:rsid w:val="0036019E"/>
    <w:rsid w:val="003605D9"/>
    <w:rsid w:val="003608A9"/>
    <w:rsid w:val="00360BD9"/>
    <w:rsid w:val="00360CD3"/>
    <w:rsid w:val="00360DA8"/>
    <w:rsid w:val="003610A3"/>
    <w:rsid w:val="003610E3"/>
    <w:rsid w:val="003611FD"/>
    <w:rsid w:val="003612E3"/>
    <w:rsid w:val="0036140E"/>
    <w:rsid w:val="003614AE"/>
    <w:rsid w:val="003615C1"/>
    <w:rsid w:val="003617C0"/>
    <w:rsid w:val="00361AAF"/>
    <w:rsid w:val="00361D2C"/>
    <w:rsid w:val="00361DD8"/>
    <w:rsid w:val="003621C0"/>
    <w:rsid w:val="00362288"/>
    <w:rsid w:val="00362309"/>
    <w:rsid w:val="003626D1"/>
    <w:rsid w:val="00362C92"/>
    <w:rsid w:val="00362FA5"/>
    <w:rsid w:val="00363139"/>
    <w:rsid w:val="0036313D"/>
    <w:rsid w:val="00363218"/>
    <w:rsid w:val="00363343"/>
    <w:rsid w:val="0036337B"/>
    <w:rsid w:val="00363498"/>
    <w:rsid w:val="00363787"/>
    <w:rsid w:val="00363A45"/>
    <w:rsid w:val="00363AA6"/>
    <w:rsid w:val="00363AF3"/>
    <w:rsid w:val="00363B3E"/>
    <w:rsid w:val="00363BDD"/>
    <w:rsid w:val="00363C17"/>
    <w:rsid w:val="00363DE2"/>
    <w:rsid w:val="00363E7A"/>
    <w:rsid w:val="00363FCB"/>
    <w:rsid w:val="00363FE4"/>
    <w:rsid w:val="00364237"/>
    <w:rsid w:val="0036429F"/>
    <w:rsid w:val="003642AF"/>
    <w:rsid w:val="00364364"/>
    <w:rsid w:val="0036449B"/>
    <w:rsid w:val="003644A5"/>
    <w:rsid w:val="003644D9"/>
    <w:rsid w:val="003645D1"/>
    <w:rsid w:val="00364860"/>
    <w:rsid w:val="00364ACC"/>
    <w:rsid w:val="00364CD7"/>
    <w:rsid w:val="00365071"/>
    <w:rsid w:val="003651C1"/>
    <w:rsid w:val="00365314"/>
    <w:rsid w:val="00365368"/>
    <w:rsid w:val="00365386"/>
    <w:rsid w:val="00365399"/>
    <w:rsid w:val="003653D6"/>
    <w:rsid w:val="00365C58"/>
    <w:rsid w:val="00365D49"/>
    <w:rsid w:val="00365FEE"/>
    <w:rsid w:val="003661CA"/>
    <w:rsid w:val="00366594"/>
    <w:rsid w:val="0036661A"/>
    <w:rsid w:val="00366836"/>
    <w:rsid w:val="00366888"/>
    <w:rsid w:val="00366A44"/>
    <w:rsid w:val="00366EB6"/>
    <w:rsid w:val="00367232"/>
    <w:rsid w:val="0036744E"/>
    <w:rsid w:val="00367482"/>
    <w:rsid w:val="0036756C"/>
    <w:rsid w:val="0036779E"/>
    <w:rsid w:val="00367957"/>
    <w:rsid w:val="003679A0"/>
    <w:rsid w:val="003679B1"/>
    <w:rsid w:val="00367F08"/>
    <w:rsid w:val="00367F3C"/>
    <w:rsid w:val="00367F43"/>
    <w:rsid w:val="0037020D"/>
    <w:rsid w:val="003702A9"/>
    <w:rsid w:val="00370380"/>
    <w:rsid w:val="0037047A"/>
    <w:rsid w:val="003704BF"/>
    <w:rsid w:val="00370503"/>
    <w:rsid w:val="00370563"/>
    <w:rsid w:val="003705C4"/>
    <w:rsid w:val="00370708"/>
    <w:rsid w:val="00370779"/>
    <w:rsid w:val="00370877"/>
    <w:rsid w:val="003708CD"/>
    <w:rsid w:val="00370B2C"/>
    <w:rsid w:val="00370B36"/>
    <w:rsid w:val="00370CDF"/>
    <w:rsid w:val="0037100B"/>
    <w:rsid w:val="00371062"/>
    <w:rsid w:val="003711CA"/>
    <w:rsid w:val="0037138F"/>
    <w:rsid w:val="0037168E"/>
    <w:rsid w:val="003717AB"/>
    <w:rsid w:val="003717C8"/>
    <w:rsid w:val="00371894"/>
    <w:rsid w:val="00371936"/>
    <w:rsid w:val="00371C68"/>
    <w:rsid w:val="00371F36"/>
    <w:rsid w:val="003722F4"/>
    <w:rsid w:val="00372308"/>
    <w:rsid w:val="00372526"/>
    <w:rsid w:val="0037272E"/>
    <w:rsid w:val="003728AD"/>
    <w:rsid w:val="00372A97"/>
    <w:rsid w:val="00372BEF"/>
    <w:rsid w:val="00372D27"/>
    <w:rsid w:val="00372D36"/>
    <w:rsid w:val="00372EAE"/>
    <w:rsid w:val="0037315F"/>
    <w:rsid w:val="00373314"/>
    <w:rsid w:val="00373532"/>
    <w:rsid w:val="00373A98"/>
    <w:rsid w:val="00373AF8"/>
    <w:rsid w:val="00373BB4"/>
    <w:rsid w:val="00373C26"/>
    <w:rsid w:val="00373CCE"/>
    <w:rsid w:val="00373E8A"/>
    <w:rsid w:val="00373F3A"/>
    <w:rsid w:val="00374011"/>
    <w:rsid w:val="003743BF"/>
    <w:rsid w:val="003743DC"/>
    <w:rsid w:val="003744E8"/>
    <w:rsid w:val="003747A0"/>
    <w:rsid w:val="0037497B"/>
    <w:rsid w:val="003749D0"/>
    <w:rsid w:val="00374BE2"/>
    <w:rsid w:val="00374CE4"/>
    <w:rsid w:val="0037522F"/>
    <w:rsid w:val="003755E6"/>
    <w:rsid w:val="003759E8"/>
    <w:rsid w:val="00375BDE"/>
    <w:rsid w:val="00375C41"/>
    <w:rsid w:val="00375DBB"/>
    <w:rsid w:val="00375F22"/>
    <w:rsid w:val="00375F5E"/>
    <w:rsid w:val="003762ED"/>
    <w:rsid w:val="00376310"/>
    <w:rsid w:val="0037652D"/>
    <w:rsid w:val="0037672F"/>
    <w:rsid w:val="003767D2"/>
    <w:rsid w:val="00376AC5"/>
    <w:rsid w:val="00376DC9"/>
    <w:rsid w:val="00376E09"/>
    <w:rsid w:val="003770BD"/>
    <w:rsid w:val="003772CB"/>
    <w:rsid w:val="003772EB"/>
    <w:rsid w:val="003773D4"/>
    <w:rsid w:val="0037746E"/>
    <w:rsid w:val="0037764C"/>
    <w:rsid w:val="00377839"/>
    <w:rsid w:val="00377AE7"/>
    <w:rsid w:val="00377B6A"/>
    <w:rsid w:val="00377C0B"/>
    <w:rsid w:val="00377C48"/>
    <w:rsid w:val="00377CFA"/>
    <w:rsid w:val="00377E2C"/>
    <w:rsid w:val="00377F62"/>
    <w:rsid w:val="0038014B"/>
    <w:rsid w:val="00380482"/>
    <w:rsid w:val="00380561"/>
    <w:rsid w:val="003805AB"/>
    <w:rsid w:val="0038060F"/>
    <w:rsid w:val="00380667"/>
    <w:rsid w:val="00380837"/>
    <w:rsid w:val="0038083D"/>
    <w:rsid w:val="003808B1"/>
    <w:rsid w:val="00380BA3"/>
    <w:rsid w:val="00380BDC"/>
    <w:rsid w:val="00380E35"/>
    <w:rsid w:val="00380F73"/>
    <w:rsid w:val="00380F7C"/>
    <w:rsid w:val="00381082"/>
    <w:rsid w:val="00381124"/>
    <w:rsid w:val="00381202"/>
    <w:rsid w:val="0038129E"/>
    <w:rsid w:val="003812DB"/>
    <w:rsid w:val="0038130F"/>
    <w:rsid w:val="0038139F"/>
    <w:rsid w:val="00381419"/>
    <w:rsid w:val="003816BA"/>
    <w:rsid w:val="00381907"/>
    <w:rsid w:val="00381A43"/>
    <w:rsid w:val="00381ACD"/>
    <w:rsid w:val="00381B49"/>
    <w:rsid w:val="00381DFC"/>
    <w:rsid w:val="003820C0"/>
    <w:rsid w:val="00382252"/>
    <w:rsid w:val="003822BA"/>
    <w:rsid w:val="003822BE"/>
    <w:rsid w:val="00382677"/>
    <w:rsid w:val="00382BCA"/>
    <w:rsid w:val="00382D24"/>
    <w:rsid w:val="00382E62"/>
    <w:rsid w:val="00382F02"/>
    <w:rsid w:val="0038300B"/>
    <w:rsid w:val="0038336C"/>
    <w:rsid w:val="003833B6"/>
    <w:rsid w:val="00383759"/>
    <w:rsid w:val="0038392E"/>
    <w:rsid w:val="00383B47"/>
    <w:rsid w:val="00383DCD"/>
    <w:rsid w:val="00383EA6"/>
    <w:rsid w:val="003844F8"/>
    <w:rsid w:val="00384777"/>
    <w:rsid w:val="00384BB7"/>
    <w:rsid w:val="00384BE5"/>
    <w:rsid w:val="00384C28"/>
    <w:rsid w:val="00384C51"/>
    <w:rsid w:val="00384D29"/>
    <w:rsid w:val="00384E1F"/>
    <w:rsid w:val="00384FAF"/>
    <w:rsid w:val="003850FA"/>
    <w:rsid w:val="003851DE"/>
    <w:rsid w:val="003851F0"/>
    <w:rsid w:val="00385333"/>
    <w:rsid w:val="00385348"/>
    <w:rsid w:val="003856B6"/>
    <w:rsid w:val="003857DB"/>
    <w:rsid w:val="00385B0F"/>
    <w:rsid w:val="00385B4D"/>
    <w:rsid w:val="00385BAC"/>
    <w:rsid w:val="00385CDB"/>
    <w:rsid w:val="00385D7E"/>
    <w:rsid w:val="00385DA9"/>
    <w:rsid w:val="00385F0C"/>
    <w:rsid w:val="00386054"/>
    <w:rsid w:val="0038618E"/>
    <w:rsid w:val="00386560"/>
    <w:rsid w:val="003865B4"/>
    <w:rsid w:val="00386A74"/>
    <w:rsid w:val="00386B07"/>
    <w:rsid w:val="00386BC1"/>
    <w:rsid w:val="00386EC1"/>
    <w:rsid w:val="00387036"/>
    <w:rsid w:val="00387053"/>
    <w:rsid w:val="0038707E"/>
    <w:rsid w:val="00387098"/>
    <w:rsid w:val="0038718F"/>
    <w:rsid w:val="003872AC"/>
    <w:rsid w:val="003872E6"/>
    <w:rsid w:val="0038777F"/>
    <w:rsid w:val="003877FD"/>
    <w:rsid w:val="003878B6"/>
    <w:rsid w:val="00387902"/>
    <w:rsid w:val="00387D3D"/>
    <w:rsid w:val="00387DA2"/>
    <w:rsid w:val="00387E3A"/>
    <w:rsid w:val="00387E9D"/>
    <w:rsid w:val="00390173"/>
    <w:rsid w:val="00390199"/>
    <w:rsid w:val="003902D5"/>
    <w:rsid w:val="0039040E"/>
    <w:rsid w:val="00390BC0"/>
    <w:rsid w:val="00390CB2"/>
    <w:rsid w:val="00390D5F"/>
    <w:rsid w:val="0039106F"/>
    <w:rsid w:val="0039113B"/>
    <w:rsid w:val="003911C6"/>
    <w:rsid w:val="003912BE"/>
    <w:rsid w:val="003913B5"/>
    <w:rsid w:val="003917BF"/>
    <w:rsid w:val="003918C5"/>
    <w:rsid w:val="003918FC"/>
    <w:rsid w:val="00391C73"/>
    <w:rsid w:val="00391D60"/>
    <w:rsid w:val="00391D81"/>
    <w:rsid w:val="00391E6D"/>
    <w:rsid w:val="00391EEC"/>
    <w:rsid w:val="00392164"/>
    <w:rsid w:val="00392374"/>
    <w:rsid w:val="00392453"/>
    <w:rsid w:val="003926E2"/>
    <w:rsid w:val="00392C61"/>
    <w:rsid w:val="00392DE5"/>
    <w:rsid w:val="00392FFB"/>
    <w:rsid w:val="003934BD"/>
    <w:rsid w:val="00393582"/>
    <w:rsid w:val="00393AB2"/>
    <w:rsid w:val="00393DE9"/>
    <w:rsid w:val="00393EA7"/>
    <w:rsid w:val="00393EE5"/>
    <w:rsid w:val="00393FA1"/>
    <w:rsid w:val="00394086"/>
    <w:rsid w:val="003940CD"/>
    <w:rsid w:val="00394199"/>
    <w:rsid w:val="00394269"/>
    <w:rsid w:val="003946D1"/>
    <w:rsid w:val="003947BA"/>
    <w:rsid w:val="003947C3"/>
    <w:rsid w:val="00394F83"/>
    <w:rsid w:val="00395266"/>
    <w:rsid w:val="00395447"/>
    <w:rsid w:val="00395470"/>
    <w:rsid w:val="003954D5"/>
    <w:rsid w:val="00395514"/>
    <w:rsid w:val="003955A6"/>
    <w:rsid w:val="00395711"/>
    <w:rsid w:val="00395775"/>
    <w:rsid w:val="00395C02"/>
    <w:rsid w:val="00395C24"/>
    <w:rsid w:val="00396032"/>
    <w:rsid w:val="00396081"/>
    <w:rsid w:val="00396333"/>
    <w:rsid w:val="0039642B"/>
    <w:rsid w:val="0039688A"/>
    <w:rsid w:val="00396B84"/>
    <w:rsid w:val="00396BDD"/>
    <w:rsid w:val="00396C20"/>
    <w:rsid w:val="00396D4D"/>
    <w:rsid w:val="00396DA8"/>
    <w:rsid w:val="00397067"/>
    <w:rsid w:val="0039712A"/>
    <w:rsid w:val="0039730C"/>
    <w:rsid w:val="00397341"/>
    <w:rsid w:val="0039753E"/>
    <w:rsid w:val="003976C7"/>
    <w:rsid w:val="00397AFD"/>
    <w:rsid w:val="00397BA7"/>
    <w:rsid w:val="00397BB2"/>
    <w:rsid w:val="00397BC6"/>
    <w:rsid w:val="003A0192"/>
    <w:rsid w:val="003A039D"/>
    <w:rsid w:val="003A050F"/>
    <w:rsid w:val="003A053A"/>
    <w:rsid w:val="003A0670"/>
    <w:rsid w:val="003A06C6"/>
    <w:rsid w:val="003A06F5"/>
    <w:rsid w:val="003A0748"/>
    <w:rsid w:val="003A0873"/>
    <w:rsid w:val="003A08C2"/>
    <w:rsid w:val="003A09AF"/>
    <w:rsid w:val="003A0A23"/>
    <w:rsid w:val="003A0E3C"/>
    <w:rsid w:val="003A0EC9"/>
    <w:rsid w:val="003A11CB"/>
    <w:rsid w:val="003A127C"/>
    <w:rsid w:val="003A1329"/>
    <w:rsid w:val="003A1393"/>
    <w:rsid w:val="003A1597"/>
    <w:rsid w:val="003A19C0"/>
    <w:rsid w:val="003A19C2"/>
    <w:rsid w:val="003A1A98"/>
    <w:rsid w:val="003A1C6E"/>
    <w:rsid w:val="003A1EB7"/>
    <w:rsid w:val="003A1FDE"/>
    <w:rsid w:val="003A1FE4"/>
    <w:rsid w:val="003A2086"/>
    <w:rsid w:val="003A23C5"/>
    <w:rsid w:val="003A2475"/>
    <w:rsid w:val="003A27BB"/>
    <w:rsid w:val="003A28B9"/>
    <w:rsid w:val="003A2A87"/>
    <w:rsid w:val="003A2AE0"/>
    <w:rsid w:val="003A2BEF"/>
    <w:rsid w:val="003A2D3D"/>
    <w:rsid w:val="003A2E72"/>
    <w:rsid w:val="003A2F15"/>
    <w:rsid w:val="003A3082"/>
    <w:rsid w:val="003A30A1"/>
    <w:rsid w:val="003A30DF"/>
    <w:rsid w:val="003A30E0"/>
    <w:rsid w:val="003A3281"/>
    <w:rsid w:val="003A328B"/>
    <w:rsid w:val="003A3355"/>
    <w:rsid w:val="003A3381"/>
    <w:rsid w:val="003A3493"/>
    <w:rsid w:val="003A363C"/>
    <w:rsid w:val="003A3759"/>
    <w:rsid w:val="003A387F"/>
    <w:rsid w:val="003A3A0D"/>
    <w:rsid w:val="003A3A40"/>
    <w:rsid w:val="003A3A88"/>
    <w:rsid w:val="003A3D13"/>
    <w:rsid w:val="003A3DD6"/>
    <w:rsid w:val="003A409E"/>
    <w:rsid w:val="003A42AF"/>
    <w:rsid w:val="003A43AD"/>
    <w:rsid w:val="003A4D7D"/>
    <w:rsid w:val="003A50BB"/>
    <w:rsid w:val="003A57C6"/>
    <w:rsid w:val="003A5B87"/>
    <w:rsid w:val="003A5CDF"/>
    <w:rsid w:val="003A5E13"/>
    <w:rsid w:val="003A6025"/>
    <w:rsid w:val="003A60F7"/>
    <w:rsid w:val="003A6126"/>
    <w:rsid w:val="003A61DF"/>
    <w:rsid w:val="003A633D"/>
    <w:rsid w:val="003A63E2"/>
    <w:rsid w:val="003A65EE"/>
    <w:rsid w:val="003A6601"/>
    <w:rsid w:val="003A66AD"/>
    <w:rsid w:val="003A69E1"/>
    <w:rsid w:val="003A6DC9"/>
    <w:rsid w:val="003A6E6D"/>
    <w:rsid w:val="003A7469"/>
    <w:rsid w:val="003A767E"/>
    <w:rsid w:val="003A77C0"/>
    <w:rsid w:val="003A7914"/>
    <w:rsid w:val="003A7927"/>
    <w:rsid w:val="003A7995"/>
    <w:rsid w:val="003A7B48"/>
    <w:rsid w:val="003A7B5C"/>
    <w:rsid w:val="003A7CFE"/>
    <w:rsid w:val="003A7E07"/>
    <w:rsid w:val="003A7E3B"/>
    <w:rsid w:val="003B0316"/>
    <w:rsid w:val="003B0392"/>
    <w:rsid w:val="003B0667"/>
    <w:rsid w:val="003B0755"/>
    <w:rsid w:val="003B0766"/>
    <w:rsid w:val="003B0840"/>
    <w:rsid w:val="003B09CD"/>
    <w:rsid w:val="003B09F7"/>
    <w:rsid w:val="003B0C6C"/>
    <w:rsid w:val="003B0E4C"/>
    <w:rsid w:val="003B0EA2"/>
    <w:rsid w:val="003B1076"/>
    <w:rsid w:val="003B14E3"/>
    <w:rsid w:val="003B1785"/>
    <w:rsid w:val="003B1828"/>
    <w:rsid w:val="003B1AA0"/>
    <w:rsid w:val="003B1AB2"/>
    <w:rsid w:val="003B1B3A"/>
    <w:rsid w:val="003B1E94"/>
    <w:rsid w:val="003B1F0C"/>
    <w:rsid w:val="003B20D8"/>
    <w:rsid w:val="003B2166"/>
    <w:rsid w:val="003B2357"/>
    <w:rsid w:val="003B23E3"/>
    <w:rsid w:val="003B2525"/>
    <w:rsid w:val="003B264D"/>
    <w:rsid w:val="003B26D8"/>
    <w:rsid w:val="003B272D"/>
    <w:rsid w:val="003B2781"/>
    <w:rsid w:val="003B284C"/>
    <w:rsid w:val="003B2860"/>
    <w:rsid w:val="003B28DB"/>
    <w:rsid w:val="003B294A"/>
    <w:rsid w:val="003B2A49"/>
    <w:rsid w:val="003B2B01"/>
    <w:rsid w:val="003B2F67"/>
    <w:rsid w:val="003B3159"/>
    <w:rsid w:val="003B3356"/>
    <w:rsid w:val="003B3430"/>
    <w:rsid w:val="003B3607"/>
    <w:rsid w:val="003B3649"/>
    <w:rsid w:val="003B376F"/>
    <w:rsid w:val="003B3797"/>
    <w:rsid w:val="003B3988"/>
    <w:rsid w:val="003B3A02"/>
    <w:rsid w:val="003B3A51"/>
    <w:rsid w:val="003B3A7E"/>
    <w:rsid w:val="003B3AA2"/>
    <w:rsid w:val="003B3AF3"/>
    <w:rsid w:val="003B3AFE"/>
    <w:rsid w:val="003B3B1F"/>
    <w:rsid w:val="003B3BC7"/>
    <w:rsid w:val="003B3BF5"/>
    <w:rsid w:val="003B3C3A"/>
    <w:rsid w:val="003B3CF0"/>
    <w:rsid w:val="003B3D3A"/>
    <w:rsid w:val="003B3DB5"/>
    <w:rsid w:val="003B3E91"/>
    <w:rsid w:val="003B42C9"/>
    <w:rsid w:val="003B4753"/>
    <w:rsid w:val="003B47CA"/>
    <w:rsid w:val="003B4A5F"/>
    <w:rsid w:val="003B4B0E"/>
    <w:rsid w:val="003B4B16"/>
    <w:rsid w:val="003B4C2B"/>
    <w:rsid w:val="003B4E58"/>
    <w:rsid w:val="003B4E99"/>
    <w:rsid w:val="003B50A7"/>
    <w:rsid w:val="003B5330"/>
    <w:rsid w:val="003B5773"/>
    <w:rsid w:val="003B5833"/>
    <w:rsid w:val="003B59C1"/>
    <w:rsid w:val="003B5A02"/>
    <w:rsid w:val="003B5E5B"/>
    <w:rsid w:val="003B5F95"/>
    <w:rsid w:val="003B616E"/>
    <w:rsid w:val="003B61A0"/>
    <w:rsid w:val="003B6262"/>
    <w:rsid w:val="003B641E"/>
    <w:rsid w:val="003B6616"/>
    <w:rsid w:val="003B66D4"/>
    <w:rsid w:val="003B6AA8"/>
    <w:rsid w:val="003B6C6B"/>
    <w:rsid w:val="003B6FD3"/>
    <w:rsid w:val="003B71F4"/>
    <w:rsid w:val="003B7476"/>
    <w:rsid w:val="003B750D"/>
    <w:rsid w:val="003B757A"/>
    <w:rsid w:val="003B75A6"/>
    <w:rsid w:val="003B7832"/>
    <w:rsid w:val="003B7886"/>
    <w:rsid w:val="003B793A"/>
    <w:rsid w:val="003B7AEE"/>
    <w:rsid w:val="003B7D62"/>
    <w:rsid w:val="003C01E6"/>
    <w:rsid w:val="003C03B0"/>
    <w:rsid w:val="003C058C"/>
    <w:rsid w:val="003C09EB"/>
    <w:rsid w:val="003C0A6C"/>
    <w:rsid w:val="003C0E05"/>
    <w:rsid w:val="003C0E08"/>
    <w:rsid w:val="003C0FF4"/>
    <w:rsid w:val="003C12C7"/>
    <w:rsid w:val="003C144D"/>
    <w:rsid w:val="003C1B5F"/>
    <w:rsid w:val="003C1BDA"/>
    <w:rsid w:val="003C1D12"/>
    <w:rsid w:val="003C1E04"/>
    <w:rsid w:val="003C1E31"/>
    <w:rsid w:val="003C1EFD"/>
    <w:rsid w:val="003C1F08"/>
    <w:rsid w:val="003C2077"/>
    <w:rsid w:val="003C2336"/>
    <w:rsid w:val="003C238B"/>
    <w:rsid w:val="003C23D3"/>
    <w:rsid w:val="003C23E1"/>
    <w:rsid w:val="003C2685"/>
    <w:rsid w:val="003C29DC"/>
    <w:rsid w:val="003C2B21"/>
    <w:rsid w:val="003C31D1"/>
    <w:rsid w:val="003C32F7"/>
    <w:rsid w:val="003C34E6"/>
    <w:rsid w:val="003C36FC"/>
    <w:rsid w:val="003C3815"/>
    <w:rsid w:val="003C3C7B"/>
    <w:rsid w:val="003C3EBE"/>
    <w:rsid w:val="003C3F40"/>
    <w:rsid w:val="003C4035"/>
    <w:rsid w:val="003C412E"/>
    <w:rsid w:val="003C48DC"/>
    <w:rsid w:val="003C49F0"/>
    <w:rsid w:val="003C4D86"/>
    <w:rsid w:val="003C5028"/>
    <w:rsid w:val="003C5500"/>
    <w:rsid w:val="003C5553"/>
    <w:rsid w:val="003C5744"/>
    <w:rsid w:val="003C5AE2"/>
    <w:rsid w:val="003C5C53"/>
    <w:rsid w:val="003C5EE6"/>
    <w:rsid w:val="003C60C7"/>
    <w:rsid w:val="003C611D"/>
    <w:rsid w:val="003C6609"/>
    <w:rsid w:val="003C6791"/>
    <w:rsid w:val="003C67C2"/>
    <w:rsid w:val="003C688C"/>
    <w:rsid w:val="003C6B10"/>
    <w:rsid w:val="003C6B18"/>
    <w:rsid w:val="003C6C8B"/>
    <w:rsid w:val="003C6D57"/>
    <w:rsid w:val="003C7218"/>
    <w:rsid w:val="003C743F"/>
    <w:rsid w:val="003C748D"/>
    <w:rsid w:val="003C7854"/>
    <w:rsid w:val="003C78F3"/>
    <w:rsid w:val="003C798E"/>
    <w:rsid w:val="003C79FD"/>
    <w:rsid w:val="003C7A34"/>
    <w:rsid w:val="003C7A75"/>
    <w:rsid w:val="003C7B16"/>
    <w:rsid w:val="003D03F5"/>
    <w:rsid w:val="003D0A41"/>
    <w:rsid w:val="003D0BA7"/>
    <w:rsid w:val="003D0DFB"/>
    <w:rsid w:val="003D0EEE"/>
    <w:rsid w:val="003D1165"/>
    <w:rsid w:val="003D12AC"/>
    <w:rsid w:val="003D1479"/>
    <w:rsid w:val="003D1632"/>
    <w:rsid w:val="003D1A74"/>
    <w:rsid w:val="003D1B6A"/>
    <w:rsid w:val="003D1F9D"/>
    <w:rsid w:val="003D1FB2"/>
    <w:rsid w:val="003D1FF7"/>
    <w:rsid w:val="003D2045"/>
    <w:rsid w:val="003D2174"/>
    <w:rsid w:val="003D243A"/>
    <w:rsid w:val="003D2809"/>
    <w:rsid w:val="003D2859"/>
    <w:rsid w:val="003D2EB0"/>
    <w:rsid w:val="003D3075"/>
    <w:rsid w:val="003D30C9"/>
    <w:rsid w:val="003D30CE"/>
    <w:rsid w:val="003D3288"/>
    <w:rsid w:val="003D378A"/>
    <w:rsid w:val="003D383E"/>
    <w:rsid w:val="003D3B06"/>
    <w:rsid w:val="003D3B2C"/>
    <w:rsid w:val="003D3DB6"/>
    <w:rsid w:val="003D3F21"/>
    <w:rsid w:val="003D3F4C"/>
    <w:rsid w:val="003D4069"/>
    <w:rsid w:val="003D41DA"/>
    <w:rsid w:val="003D42F0"/>
    <w:rsid w:val="003D4335"/>
    <w:rsid w:val="003D4391"/>
    <w:rsid w:val="003D43F6"/>
    <w:rsid w:val="003D445E"/>
    <w:rsid w:val="003D4659"/>
    <w:rsid w:val="003D4780"/>
    <w:rsid w:val="003D48D8"/>
    <w:rsid w:val="003D4AE7"/>
    <w:rsid w:val="003D4B7B"/>
    <w:rsid w:val="003D5004"/>
    <w:rsid w:val="003D5187"/>
    <w:rsid w:val="003D51CE"/>
    <w:rsid w:val="003D51DE"/>
    <w:rsid w:val="003D53BF"/>
    <w:rsid w:val="003D53EC"/>
    <w:rsid w:val="003D548A"/>
    <w:rsid w:val="003D55C5"/>
    <w:rsid w:val="003D5667"/>
    <w:rsid w:val="003D5B8A"/>
    <w:rsid w:val="003D5C53"/>
    <w:rsid w:val="003D5DBA"/>
    <w:rsid w:val="003D5EDD"/>
    <w:rsid w:val="003D5F83"/>
    <w:rsid w:val="003D601D"/>
    <w:rsid w:val="003D61D6"/>
    <w:rsid w:val="003D61E1"/>
    <w:rsid w:val="003D63A2"/>
    <w:rsid w:val="003D6657"/>
    <w:rsid w:val="003D66B2"/>
    <w:rsid w:val="003D688E"/>
    <w:rsid w:val="003D6B4D"/>
    <w:rsid w:val="003D6B90"/>
    <w:rsid w:val="003D6E61"/>
    <w:rsid w:val="003D75C9"/>
    <w:rsid w:val="003D78A5"/>
    <w:rsid w:val="003D7A55"/>
    <w:rsid w:val="003D7BA6"/>
    <w:rsid w:val="003D7D20"/>
    <w:rsid w:val="003E07C4"/>
    <w:rsid w:val="003E0A7C"/>
    <w:rsid w:val="003E0D59"/>
    <w:rsid w:val="003E0DE2"/>
    <w:rsid w:val="003E0E97"/>
    <w:rsid w:val="003E1236"/>
    <w:rsid w:val="003E133B"/>
    <w:rsid w:val="003E18B4"/>
    <w:rsid w:val="003E190C"/>
    <w:rsid w:val="003E1AB6"/>
    <w:rsid w:val="003E1DA9"/>
    <w:rsid w:val="003E1E01"/>
    <w:rsid w:val="003E1E24"/>
    <w:rsid w:val="003E1EDC"/>
    <w:rsid w:val="003E20AD"/>
    <w:rsid w:val="003E20B9"/>
    <w:rsid w:val="003E23AF"/>
    <w:rsid w:val="003E258B"/>
    <w:rsid w:val="003E264F"/>
    <w:rsid w:val="003E2856"/>
    <w:rsid w:val="003E2860"/>
    <w:rsid w:val="003E2993"/>
    <w:rsid w:val="003E2B8D"/>
    <w:rsid w:val="003E2C9E"/>
    <w:rsid w:val="003E2E9F"/>
    <w:rsid w:val="003E2FDA"/>
    <w:rsid w:val="003E35A5"/>
    <w:rsid w:val="003E3663"/>
    <w:rsid w:val="003E36EE"/>
    <w:rsid w:val="003E3AE1"/>
    <w:rsid w:val="003E3B48"/>
    <w:rsid w:val="003E3BA5"/>
    <w:rsid w:val="003E3C40"/>
    <w:rsid w:val="003E3F25"/>
    <w:rsid w:val="003E40A0"/>
    <w:rsid w:val="003E4127"/>
    <w:rsid w:val="003E41A1"/>
    <w:rsid w:val="003E42A0"/>
    <w:rsid w:val="003E4360"/>
    <w:rsid w:val="003E468C"/>
    <w:rsid w:val="003E4889"/>
    <w:rsid w:val="003E4A02"/>
    <w:rsid w:val="003E4A98"/>
    <w:rsid w:val="003E4D10"/>
    <w:rsid w:val="003E4D43"/>
    <w:rsid w:val="003E4EAE"/>
    <w:rsid w:val="003E505D"/>
    <w:rsid w:val="003E524C"/>
    <w:rsid w:val="003E52D7"/>
    <w:rsid w:val="003E587E"/>
    <w:rsid w:val="003E5A85"/>
    <w:rsid w:val="003E5C86"/>
    <w:rsid w:val="003E5E88"/>
    <w:rsid w:val="003E5F32"/>
    <w:rsid w:val="003E5F55"/>
    <w:rsid w:val="003E63D5"/>
    <w:rsid w:val="003E653C"/>
    <w:rsid w:val="003E658F"/>
    <w:rsid w:val="003E6720"/>
    <w:rsid w:val="003E6746"/>
    <w:rsid w:val="003E6A7D"/>
    <w:rsid w:val="003E6AC7"/>
    <w:rsid w:val="003E6B67"/>
    <w:rsid w:val="003E6CA4"/>
    <w:rsid w:val="003E6E5E"/>
    <w:rsid w:val="003E7140"/>
    <w:rsid w:val="003E7169"/>
    <w:rsid w:val="003E72DF"/>
    <w:rsid w:val="003E739E"/>
    <w:rsid w:val="003E7465"/>
    <w:rsid w:val="003E7597"/>
    <w:rsid w:val="003E7728"/>
    <w:rsid w:val="003E77B4"/>
    <w:rsid w:val="003E78A3"/>
    <w:rsid w:val="003E7D2E"/>
    <w:rsid w:val="003E7ED4"/>
    <w:rsid w:val="003F018C"/>
    <w:rsid w:val="003F03B7"/>
    <w:rsid w:val="003F059A"/>
    <w:rsid w:val="003F06C3"/>
    <w:rsid w:val="003F06C9"/>
    <w:rsid w:val="003F07A9"/>
    <w:rsid w:val="003F07BA"/>
    <w:rsid w:val="003F08B3"/>
    <w:rsid w:val="003F0954"/>
    <w:rsid w:val="003F0B5E"/>
    <w:rsid w:val="003F0B71"/>
    <w:rsid w:val="003F0F39"/>
    <w:rsid w:val="003F0FD2"/>
    <w:rsid w:val="003F1023"/>
    <w:rsid w:val="003F11BB"/>
    <w:rsid w:val="003F1A60"/>
    <w:rsid w:val="003F1A7F"/>
    <w:rsid w:val="003F1AD6"/>
    <w:rsid w:val="003F1AED"/>
    <w:rsid w:val="003F1F52"/>
    <w:rsid w:val="003F1FC8"/>
    <w:rsid w:val="003F20A9"/>
    <w:rsid w:val="003F230D"/>
    <w:rsid w:val="003F23E8"/>
    <w:rsid w:val="003F2534"/>
    <w:rsid w:val="003F256E"/>
    <w:rsid w:val="003F25DB"/>
    <w:rsid w:val="003F26AB"/>
    <w:rsid w:val="003F26F3"/>
    <w:rsid w:val="003F27AB"/>
    <w:rsid w:val="003F2915"/>
    <w:rsid w:val="003F29D3"/>
    <w:rsid w:val="003F2A5B"/>
    <w:rsid w:val="003F2AA0"/>
    <w:rsid w:val="003F2CE9"/>
    <w:rsid w:val="003F2D2A"/>
    <w:rsid w:val="003F2E16"/>
    <w:rsid w:val="003F2EB7"/>
    <w:rsid w:val="003F2FCA"/>
    <w:rsid w:val="003F3150"/>
    <w:rsid w:val="003F31AE"/>
    <w:rsid w:val="003F31F9"/>
    <w:rsid w:val="003F3300"/>
    <w:rsid w:val="003F33EF"/>
    <w:rsid w:val="003F3750"/>
    <w:rsid w:val="003F37D9"/>
    <w:rsid w:val="003F39A3"/>
    <w:rsid w:val="003F39F8"/>
    <w:rsid w:val="003F3BD5"/>
    <w:rsid w:val="003F3C82"/>
    <w:rsid w:val="003F3D99"/>
    <w:rsid w:val="003F3E78"/>
    <w:rsid w:val="003F4006"/>
    <w:rsid w:val="003F4203"/>
    <w:rsid w:val="003F4465"/>
    <w:rsid w:val="003F4582"/>
    <w:rsid w:val="003F4667"/>
    <w:rsid w:val="003F4BE2"/>
    <w:rsid w:val="003F4D19"/>
    <w:rsid w:val="003F4F55"/>
    <w:rsid w:val="003F50C0"/>
    <w:rsid w:val="003F50EE"/>
    <w:rsid w:val="003F5113"/>
    <w:rsid w:val="003F5186"/>
    <w:rsid w:val="003F545E"/>
    <w:rsid w:val="003F563C"/>
    <w:rsid w:val="003F57D9"/>
    <w:rsid w:val="003F5C4E"/>
    <w:rsid w:val="003F5E68"/>
    <w:rsid w:val="003F6138"/>
    <w:rsid w:val="003F638E"/>
    <w:rsid w:val="003F6503"/>
    <w:rsid w:val="003F65D0"/>
    <w:rsid w:val="003F660F"/>
    <w:rsid w:val="003F66EA"/>
    <w:rsid w:val="003F68C4"/>
    <w:rsid w:val="003F691F"/>
    <w:rsid w:val="003F6A42"/>
    <w:rsid w:val="003F6B40"/>
    <w:rsid w:val="003F6DB7"/>
    <w:rsid w:val="003F6FE2"/>
    <w:rsid w:val="003F7021"/>
    <w:rsid w:val="003F7073"/>
    <w:rsid w:val="003F7293"/>
    <w:rsid w:val="003F7662"/>
    <w:rsid w:val="003F767E"/>
    <w:rsid w:val="003F7826"/>
    <w:rsid w:val="003F78E8"/>
    <w:rsid w:val="003F79C9"/>
    <w:rsid w:val="003F7B33"/>
    <w:rsid w:val="003F7C71"/>
    <w:rsid w:val="003F7D3C"/>
    <w:rsid w:val="003F7D7A"/>
    <w:rsid w:val="004001EA"/>
    <w:rsid w:val="0040029A"/>
    <w:rsid w:val="00400C27"/>
    <w:rsid w:val="00400CFE"/>
    <w:rsid w:val="00400D65"/>
    <w:rsid w:val="00400DDA"/>
    <w:rsid w:val="00400DED"/>
    <w:rsid w:val="00400F1A"/>
    <w:rsid w:val="00400FCE"/>
    <w:rsid w:val="00401237"/>
    <w:rsid w:val="00401348"/>
    <w:rsid w:val="004014A9"/>
    <w:rsid w:val="004016DB"/>
    <w:rsid w:val="0040189A"/>
    <w:rsid w:val="00401921"/>
    <w:rsid w:val="00401974"/>
    <w:rsid w:val="00401A3A"/>
    <w:rsid w:val="00401C40"/>
    <w:rsid w:val="00401DA4"/>
    <w:rsid w:val="00401DBB"/>
    <w:rsid w:val="00401F59"/>
    <w:rsid w:val="00402480"/>
    <w:rsid w:val="0040262E"/>
    <w:rsid w:val="004026A2"/>
    <w:rsid w:val="0040297F"/>
    <w:rsid w:val="00402B82"/>
    <w:rsid w:val="00402BAF"/>
    <w:rsid w:val="00402E77"/>
    <w:rsid w:val="00402FBB"/>
    <w:rsid w:val="0040315B"/>
    <w:rsid w:val="00403196"/>
    <w:rsid w:val="004031D5"/>
    <w:rsid w:val="0040328F"/>
    <w:rsid w:val="0040344D"/>
    <w:rsid w:val="004039F6"/>
    <w:rsid w:val="00403C80"/>
    <w:rsid w:val="0040406D"/>
    <w:rsid w:val="00404256"/>
    <w:rsid w:val="00404438"/>
    <w:rsid w:val="0040454B"/>
    <w:rsid w:val="004045E5"/>
    <w:rsid w:val="0040484C"/>
    <w:rsid w:val="0040484E"/>
    <w:rsid w:val="00404883"/>
    <w:rsid w:val="00404BFC"/>
    <w:rsid w:val="00404C75"/>
    <w:rsid w:val="00404D08"/>
    <w:rsid w:val="00404D0A"/>
    <w:rsid w:val="00404FA0"/>
    <w:rsid w:val="00405461"/>
    <w:rsid w:val="0040570B"/>
    <w:rsid w:val="0040575A"/>
    <w:rsid w:val="0040580A"/>
    <w:rsid w:val="00405C98"/>
    <w:rsid w:val="00405F17"/>
    <w:rsid w:val="00405F36"/>
    <w:rsid w:val="00405F68"/>
    <w:rsid w:val="0040601C"/>
    <w:rsid w:val="00406133"/>
    <w:rsid w:val="0040628E"/>
    <w:rsid w:val="004065A9"/>
    <w:rsid w:val="004066C8"/>
    <w:rsid w:val="004067AE"/>
    <w:rsid w:val="0040680B"/>
    <w:rsid w:val="004068F0"/>
    <w:rsid w:val="004069C6"/>
    <w:rsid w:val="00406A24"/>
    <w:rsid w:val="00406A79"/>
    <w:rsid w:val="00406AC0"/>
    <w:rsid w:val="00406D35"/>
    <w:rsid w:val="00406DA7"/>
    <w:rsid w:val="00407110"/>
    <w:rsid w:val="004072B0"/>
    <w:rsid w:val="0040732D"/>
    <w:rsid w:val="0040749D"/>
    <w:rsid w:val="004076D6"/>
    <w:rsid w:val="00407728"/>
    <w:rsid w:val="00407762"/>
    <w:rsid w:val="00407A88"/>
    <w:rsid w:val="00407A9C"/>
    <w:rsid w:val="00407B05"/>
    <w:rsid w:val="00407B66"/>
    <w:rsid w:val="00407CBF"/>
    <w:rsid w:val="00407EC3"/>
    <w:rsid w:val="004100AE"/>
    <w:rsid w:val="004100EB"/>
    <w:rsid w:val="0041039C"/>
    <w:rsid w:val="00410407"/>
    <w:rsid w:val="0041047D"/>
    <w:rsid w:val="00410789"/>
    <w:rsid w:val="00410863"/>
    <w:rsid w:val="004108A4"/>
    <w:rsid w:val="00410DC4"/>
    <w:rsid w:val="00411105"/>
    <w:rsid w:val="0041130E"/>
    <w:rsid w:val="00411319"/>
    <w:rsid w:val="00411472"/>
    <w:rsid w:val="0041157B"/>
    <w:rsid w:val="004116AE"/>
    <w:rsid w:val="0041189A"/>
    <w:rsid w:val="0041198A"/>
    <w:rsid w:val="00411A36"/>
    <w:rsid w:val="00411A47"/>
    <w:rsid w:val="00411C57"/>
    <w:rsid w:val="00411D4B"/>
    <w:rsid w:val="00411D76"/>
    <w:rsid w:val="00411E92"/>
    <w:rsid w:val="00411F8A"/>
    <w:rsid w:val="0041206C"/>
    <w:rsid w:val="00412192"/>
    <w:rsid w:val="004122C3"/>
    <w:rsid w:val="004122E1"/>
    <w:rsid w:val="00412649"/>
    <w:rsid w:val="0041274D"/>
    <w:rsid w:val="00412C0D"/>
    <w:rsid w:val="00412D1A"/>
    <w:rsid w:val="00412F33"/>
    <w:rsid w:val="00412F98"/>
    <w:rsid w:val="00413181"/>
    <w:rsid w:val="00413200"/>
    <w:rsid w:val="004132E4"/>
    <w:rsid w:val="004137D2"/>
    <w:rsid w:val="00413D79"/>
    <w:rsid w:val="00413DD3"/>
    <w:rsid w:val="00413E3A"/>
    <w:rsid w:val="00413E5D"/>
    <w:rsid w:val="00413FFD"/>
    <w:rsid w:val="004140EB"/>
    <w:rsid w:val="0041440D"/>
    <w:rsid w:val="004144CB"/>
    <w:rsid w:val="00414877"/>
    <w:rsid w:val="00414895"/>
    <w:rsid w:val="0041491F"/>
    <w:rsid w:val="00415060"/>
    <w:rsid w:val="0041535D"/>
    <w:rsid w:val="004155D9"/>
    <w:rsid w:val="0041575C"/>
    <w:rsid w:val="00415A04"/>
    <w:rsid w:val="00415EC7"/>
    <w:rsid w:val="00415F6C"/>
    <w:rsid w:val="00416006"/>
    <w:rsid w:val="004160F4"/>
    <w:rsid w:val="004163A2"/>
    <w:rsid w:val="00416574"/>
    <w:rsid w:val="004165F3"/>
    <w:rsid w:val="00416799"/>
    <w:rsid w:val="004167B3"/>
    <w:rsid w:val="004169B5"/>
    <w:rsid w:val="00416A56"/>
    <w:rsid w:val="00416A8D"/>
    <w:rsid w:val="00416B06"/>
    <w:rsid w:val="00416E15"/>
    <w:rsid w:val="00417072"/>
    <w:rsid w:val="004174F4"/>
    <w:rsid w:val="00417582"/>
    <w:rsid w:val="00417747"/>
    <w:rsid w:val="00417E42"/>
    <w:rsid w:val="00420111"/>
    <w:rsid w:val="004201A5"/>
    <w:rsid w:val="00420301"/>
    <w:rsid w:val="00420752"/>
    <w:rsid w:val="0042081E"/>
    <w:rsid w:val="004209EC"/>
    <w:rsid w:val="00420BEF"/>
    <w:rsid w:val="00420C68"/>
    <w:rsid w:val="00420CF8"/>
    <w:rsid w:val="00420DE7"/>
    <w:rsid w:val="00420FA6"/>
    <w:rsid w:val="00420FC6"/>
    <w:rsid w:val="00421237"/>
    <w:rsid w:val="00421347"/>
    <w:rsid w:val="004214D0"/>
    <w:rsid w:val="004214DB"/>
    <w:rsid w:val="004214F7"/>
    <w:rsid w:val="004218A6"/>
    <w:rsid w:val="00421903"/>
    <w:rsid w:val="00421A01"/>
    <w:rsid w:val="00421E09"/>
    <w:rsid w:val="00421EB0"/>
    <w:rsid w:val="00421F6A"/>
    <w:rsid w:val="00421FAE"/>
    <w:rsid w:val="004222BB"/>
    <w:rsid w:val="004222D2"/>
    <w:rsid w:val="004223CD"/>
    <w:rsid w:val="0042251A"/>
    <w:rsid w:val="00422B4D"/>
    <w:rsid w:val="00422B96"/>
    <w:rsid w:val="00422BB5"/>
    <w:rsid w:val="00422BD2"/>
    <w:rsid w:val="00422F2D"/>
    <w:rsid w:val="00423009"/>
    <w:rsid w:val="004230A4"/>
    <w:rsid w:val="0042324A"/>
    <w:rsid w:val="00423259"/>
    <w:rsid w:val="00423286"/>
    <w:rsid w:val="00423477"/>
    <w:rsid w:val="00423940"/>
    <w:rsid w:val="00423B34"/>
    <w:rsid w:val="00423BEE"/>
    <w:rsid w:val="00423C4F"/>
    <w:rsid w:val="00423CBE"/>
    <w:rsid w:val="00423D2E"/>
    <w:rsid w:val="00423EFD"/>
    <w:rsid w:val="00423F25"/>
    <w:rsid w:val="00423F42"/>
    <w:rsid w:val="00424120"/>
    <w:rsid w:val="004241E4"/>
    <w:rsid w:val="00424240"/>
    <w:rsid w:val="00424306"/>
    <w:rsid w:val="004243BE"/>
    <w:rsid w:val="00424913"/>
    <w:rsid w:val="00424A92"/>
    <w:rsid w:val="004250FD"/>
    <w:rsid w:val="0042512C"/>
    <w:rsid w:val="004254C1"/>
    <w:rsid w:val="004254C8"/>
    <w:rsid w:val="004257CD"/>
    <w:rsid w:val="00425887"/>
    <w:rsid w:val="00425989"/>
    <w:rsid w:val="00425A2B"/>
    <w:rsid w:val="00425C6B"/>
    <w:rsid w:val="00425C91"/>
    <w:rsid w:val="00425CB6"/>
    <w:rsid w:val="00425ED9"/>
    <w:rsid w:val="00425F6C"/>
    <w:rsid w:val="00425F7C"/>
    <w:rsid w:val="0042624A"/>
    <w:rsid w:val="0042637D"/>
    <w:rsid w:val="004264A1"/>
    <w:rsid w:val="00426655"/>
    <w:rsid w:val="00426BFB"/>
    <w:rsid w:val="00426C52"/>
    <w:rsid w:val="00426C55"/>
    <w:rsid w:val="00426CAD"/>
    <w:rsid w:val="00426D52"/>
    <w:rsid w:val="00426E2E"/>
    <w:rsid w:val="00427169"/>
    <w:rsid w:val="004272BA"/>
    <w:rsid w:val="0042797E"/>
    <w:rsid w:val="004279C3"/>
    <w:rsid w:val="00427A6E"/>
    <w:rsid w:val="00427AE7"/>
    <w:rsid w:val="00427B05"/>
    <w:rsid w:val="00427DFA"/>
    <w:rsid w:val="00427EC2"/>
    <w:rsid w:val="004302A3"/>
    <w:rsid w:val="004304C1"/>
    <w:rsid w:val="00430784"/>
    <w:rsid w:val="0043080C"/>
    <w:rsid w:val="004308A2"/>
    <w:rsid w:val="00430919"/>
    <w:rsid w:val="00430C46"/>
    <w:rsid w:val="00430DF3"/>
    <w:rsid w:val="00430F38"/>
    <w:rsid w:val="00430FB4"/>
    <w:rsid w:val="004310B1"/>
    <w:rsid w:val="00431317"/>
    <w:rsid w:val="00431432"/>
    <w:rsid w:val="00431441"/>
    <w:rsid w:val="004314DD"/>
    <w:rsid w:val="00431724"/>
    <w:rsid w:val="00431829"/>
    <w:rsid w:val="00431D42"/>
    <w:rsid w:val="00431F0E"/>
    <w:rsid w:val="00431F2F"/>
    <w:rsid w:val="004321C6"/>
    <w:rsid w:val="0043249B"/>
    <w:rsid w:val="00432543"/>
    <w:rsid w:val="004325E7"/>
    <w:rsid w:val="00432788"/>
    <w:rsid w:val="004328ED"/>
    <w:rsid w:val="00432C60"/>
    <w:rsid w:val="00432DC5"/>
    <w:rsid w:val="00432EC6"/>
    <w:rsid w:val="0043308A"/>
    <w:rsid w:val="004330B9"/>
    <w:rsid w:val="004331D9"/>
    <w:rsid w:val="0043327D"/>
    <w:rsid w:val="0043330B"/>
    <w:rsid w:val="0043332A"/>
    <w:rsid w:val="004333D0"/>
    <w:rsid w:val="00433513"/>
    <w:rsid w:val="0043354C"/>
    <w:rsid w:val="004336F5"/>
    <w:rsid w:val="00433DC3"/>
    <w:rsid w:val="00433F11"/>
    <w:rsid w:val="00433F15"/>
    <w:rsid w:val="004344C2"/>
    <w:rsid w:val="00434541"/>
    <w:rsid w:val="004345EC"/>
    <w:rsid w:val="00434685"/>
    <w:rsid w:val="004349B8"/>
    <w:rsid w:val="004349F1"/>
    <w:rsid w:val="00434B82"/>
    <w:rsid w:val="00434C50"/>
    <w:rsid w:val="00434CE9"/>
    <w:rsid w:val="00434D20"/>
    <w:rsid w:val="00434D35"/>
    <w:rsid w:val="00434DAB"/>
    <w:rsid w:val="00434F43"/>
    <w:rsid w:val="00434FAF"/>
    <w:rsid w:val="0043500B"/>
    <w:rsid w:val="00435470"/>
    <w:rsid w:val="0043559E"/>
    <w:rsid w:val="0043566D"/>
    <w:rsid w:val="0043568D"/>
    <w:rsid w:val="004357CB"/>
    <w:rsid w:val="0043588E"/>
    <w:rsid w:val="004358A8"/>
    <w:rsid w:val="00435979"/>
    <w:rsid w:val="00435B23"/>
    <w:rsid w:val="00435B74"/>
    <w:rsid w:val="00435EEE"/>
    <w:rsid w:val="00435F3D"/>
    <w:rsid w:val="0043632E"/>
    <w:rsid w:val="0043654A"/>
    <w:rsid w:val="00436C6F"/>
    <w:rsid w:val="00436DE8"/>
    <w:rsid w:val="00436DF2"/>
    <w:rsid w:val="00436F94"/>
    <w:rsid w:val="00437004"/>
    <w:rsid w:val="004373FB"/>
    <w:rsid w:val="004375E4"/>
    <w:rsid w:val="00437751"/>
    <w:rsid w:val="00437ABD"/>
    <w:rsid w:val="00437CC9"/>
    <w:rsid w:val="00437E83"/>
    <w:rsid w:val="00437FEC"/>
    <w:rsid w:val="00440107"/>
    <w:rsid w:val="00440485"/>
    <w:rsid w:val="0044058E"/>
    <w:rsid w:val="004405A4"/>
    <w:rsid w:val="0044066D"/>
    <w:rsid w:val="00440730"/>
    <w:rsid w:val="00440801"/>
    <w:rsid w:val="00440855"/>
    <w:rsid w:val="0044092B"/>
    <w:rsid w:val="00440C05"/>
    <w:rsid w:val="00440C69"/>
    <w:rsid w:val="00440DF5"/>
    <w:rsid w:val="00440FF9"/>
    <w:rsid w:val="00441034"/>
    <w:rsid w:val="00441213"/>
    <w:rsid w:val="004413A2"/>
    <w:rsid w:val="004415D5"/>
    <w:rsid w:val="0044173D"/>
    <w:rsid w:val="004418DD"/>
    <w:rsid w:val="00441B23"/>
    <w:rsid w:val="004423A1"/>
    <w:rsid w:val="004423E7"/>
    <w:rsid w:val="004425C5"/>
    <w:rsid w:val="004426A6"/>
    <w:rsid w:val="004426C0"/>
    <w:rsid w:val="004426C4"/>
    <w:rsid w:val="00442A0D"/>
    <w:rsid w:val="00442DA3"/>
    <w:rsid w:val="00442E55"/>
    <w:rsid w:val="00442F6B"/>
    <w:rsid w:val="0044313C"/>
    <w:rsid w:val="004432B0"/>
    <w:rsid w:val="00443448"/>
    <w:rsid w:val="0044358D"/>
    <w:rsid w:val="004436A8"/>
    <w:rsid w:val="00443721"/>
    <w:rsid w:val="0044374B"/>
    <w:rsid w:val="004437F4"/>
    <w:rsid w:val="004439A2"/>
    <w:rsid w:val="00443C6C"/>
    <w:rsid w:val="00443CFA"/>
    <w:rsid w:val="00443D53"/>
    <w:rsid w:val="00443D94"/>
    <w:rsid w:val="00443EE8"/>
    <w:rsid w:val="00444004"/>
    <w:rsid w:val="00444241"/>
    <w:rsid w:val="004444DE"/>
    <w:rsid w:val="004445B7"/>
    <w:rsid w:val="004446F8"/>
    <w:rsid w:val="004448AA"/>
    <w:rsid w:val="004449A1"/>
    <w:rsid w:val="004449F2"/>
    <w:rsid w:val="00444BFE"/>
    <w:rsid w:val="00444C49"/>
    <w:rsid w:val="00444D3B"/>
    <w:rsid w:val="00444D4B"/>
    <w:rsid w:val="00444E3A"/>
    <w:rsid w:val="00444EA9"/>
    <w:rsid w:val="00444F7B"/>
    <w:rsid w:val="004450C4"/>
    <w:rsid w:val="00445146"/>
    <w:rsid w:val="00445291"/>
    <w:rsid w:val="00445417"/>
    <w:rsid w:val="00445483"/>
    <w:rsid w:val="004455F4"/>
    <w:rsid w:val="00445652"/>
    <w:rsid w:val="00445796"/>
    <w:rsid w:val="004458E5"/>
    <w:rsid w:val="00445907"/>
    <w:rsid w:val="00445A36"/>
    <w:rsid w:val="00445BDE"/>
    <w:rsid w:val="00445D90"/>
    <w:rsid w:val="00445DC2"/>
    <w:rsid w:val="00445EC9"/>
    <w:rsid w:val="004462E1"/>
    <w:rsid w:val="0044643F"/>
    <w:rsid w:val="0044648B"/>
    <w:rsid w:val="0044665A"/>
    <w:rsid w:val="004466F4"/>
    <w:rsid w:val="0044680F"/>
    <w:rsid w:val="00446EE6"/>
    <w:rsid w:val="00446F5B"/>
    <w:rsid w:val="00446FC9"/>
    <w:rsid w:val="004476FF"/>
    <w:rsid w:val="00447896"/>
    <w:rsid w:val="0044794B"/>
    <w:rsid w:val="00447B8F"/>
    <w:rsid w:val="00447DCF"/>
    <w:rsid w:val="00447E1E"/>
    <w:rsid w:val="00447E8C"/>
    <w:rsid w:val="004502E3"/>
    <w:rsid w:val="004506C5"/>
    <w:rsid w:val="004509D9"/>
    <w:rsid w:val="00450DBD"/>
    <w:rsid w:val="004510F7"/>
    <w:rsid w:val="00451496"/>
    <w:rsid w:val="00451510"/>
    <w:rsid w:val="004515A4"/>
    <w:rsid w:val="00451A6E"/>
    <w:rsid w:val="00451B1A"/>
    <w:rsid w:val="00451CFC"/>
    <w:rsid w:val="00451E97"/>
    <w:rsid w:val="00451F7F"/>
    <w:rsid w:val="00452415"/>
    <w:rsid w:val="0045253C"/>
    <w:rsid w:val="00452820"/>
    <w:rsid w:val="00452883"/>
    <w:rsid w:val="00452A21"/>
    <w:rsid w:val="00452B4D"/>
    <w:rsid w:val="00452D34"/>
    <w:rsid w:val="00452E56"/>
    <w:rsid w:val="00452EB2"/>
    <w:rsid w:val="00452F6C"/>
    <w:rsid w:val="0045323B"/>
    <w:rsid w:val="0045325B"/>
    <w:rsid w:val="0045329D"/>
    <w:rsid w:val="00453342"/>
    <w:rsid w:val="004533E5"/>
    <w:rsid w:val="00453629"/>
    <w:rsid w:val="0045369B"/>
    <w:rsid w:val="004536E2"/>
    <w:rsid w:val="0045371B"/>
    <w:rsid w:val="004539BF"/>
    <w:rsid w:val="00453C15"/>
    <w:rsid w:val="00453CFB"/>
    <w:rsid w:val="0045444E"/>
    <w:rsid w:val="0045454F"/>
    <w:rsid w:val="00454568"/>
    <w:rsid w:val="0045459B"/>
    <w:rsid w:val="00454B1B"/>
    <w:rsid w:val="00454B82"/>
    <w:rsid w:val="00454C5C"/>
    <w:rsid w:val="00454CD9"/>
    <w:rsid w:val="00454E0E"/>
    <w:rsid w:val="00454E84"/>
    <w:rsid w:val="00454EE0"/>
    <w:rsid w:val="0045511B"/>
    <w:rsid w:val="00455152"/>
    <w:rsid w:val="00455328"/>
    <w:rsid w:val="004553C8"/>
    <w:rsid w:val="004553D5"/>
    <w:rsid w:val="00455586"/>
    <w:rsid w:val="00455594"/>
    <w:rsid w:val="0045574E"/>
    <w:rsid w:val="0045581C"/>
    <w:rsid w:val="00455A63"/>
    <w:rsid w:val="00455B78"/>
    <w:rsid w:val="00455BFC"/>
    <w:rsid w:val="00455C81"/>
    <w:rsid w:val="00455C91"/>
    <w:rsid w:val="00455D0D"/>
    <w:rsid w:val="00455F0D"/>
    <w:rsid w:val="004562E3"/>
    <w:rsid w:val="00456438"/>
    <w:rsid w:val="00456698"/>
    <w:rsid w:val="00456779"/>
    <w:rsid w:val="0045690A"/>
    <w:rsid w:val="00456E38"/>
    <w:rsid w:val="00457093"/>
    <w:rsid w:val="004573A1"/>
    <w:rsid w:val="00457524"/>
    <w:rsid w:val="00457623"/>
    <w:rsid w:val="0045798A"/>
    <w:rsid w:val="00457CF9"/>
    <w:rsid w:val="00460140"/>
    <w:rsid w:val="004602BE"/>
    <w:rsid w:val="00460696"/>
    <w:rsid w:val="0046081D"/>
    <w:rsid w:val="00460B4D"/>
    <w:rsid w:val="00460C36"/>
    <w:rsid w:val="00460DB5"/>
    <w:rsid w:val="00460E4D"/>
    <w:rsid w:val="00460EC1"/>
    <w:rsid w:val="00461051"/>
    <w:rsid w:val="0046113E"/>
    <w:rsid w:val="00461480"/>
    <w:rsid w:val="00461708"/>
    <w:rsid w:val="00461C2D"/>
    <w:rsid w:val="00462260"/>
    <w:rsid w:val="0046234A"/>
    <w:rsid w:val="004625C0"/>
    <w:rsid w:val="0046262F"/>
    <w:rsid w:val="00462A82"/>
    <w:rsid w:val="00462AF0"/>
    <w:rsid w:val="00462B2C"/>
    <w:rsid w:val="00462C44"/>
    <w:rsid w:val="00462D91"/>
    <w:rsid w:val="00462E65"/>
    <w:rsid w:val="00462F60"/>
    <w:rsid w:val="0046319A"/>
    <w:rsid w:val="004632EE"/>
    <w:rsid w:val="004634DD"/>
    <w:rsid w:val="00463777"/>
    <w:rsid w:val="004639B2"/>
    <w:rsid w:val="00463F0A"/>
    <w:rsid w:val="00463F54"/>
    <w:rsid w:val="00463F96"/>
    <w:rsid w:val="00463FB7"/>
    <w:rsid w:val="004640B3"/>
    <w:rsid w:val="0046434A"/>
    <w:rsid w:val="00464418"/>
    <w:rsid w:val="004645CE"/>
    <w:rsid w:val="004649B2"/>
    <w:rsid w:val="004649FF"/>
    <w:rsid w:val="00464AA1"/>
    <w:rsid w:val="00464AA2"/>
    <w:rsid w:val="00464AF7"/>
    <w:rsid w:val="00464C91"/>
    <w:rsid w:val="00464D63"/>
    <w:rsid w:val="004650BB"/>
    <w:rsid w:val="004654B0"/>
    <w:rsid w:val="004654B1"/>
    <w:rsid w:val="00465874"/>
    <w:rsid w:val="00465CC2"/>
    <w:rsid w:val="0046622B"/>
    <w:rsid w:val="00466468"/>
    <w:rsid w:val="004666E2"/>
    <w:rsid w:val="00466882"/>
    <w:rsid w:val="00467335"/>
    <w:rsid w:val="00467372"/>
    <w:rsid w:val="00467465"/>
    <w:rsid w:val="00467496"/>
    <w:rsid w:val="0046792A"/>
    <w:rsid w:val="00467A48"/>
    <w:rsid w:val="00467C51"/>
    <w:rsid w:val="00467DF6"/>
    <w:rsid w:val="00467E9A"/>
    <w:rsid w:val="00467FF3"/>
    <w:rsid w:val="004700D1"/>
    <w:rsid w:val="004702D1"/>
    <w:rsid w:val="004703D4"/>
    <w:rsid w:val="00470A87"/>
    <w:rsid w:val="004714CC"/>
    <w:rsid w:val="00471508"/>
    <w:rsid w:val="004719CA"/>
    <w:rsid w:val="00471D96"/>
    <w:rsid w:val="00471E11"/>
    <w:rsid w:val="00471F06"/>
    <w:rsid w:val="00471FC6"/>
    <w:rsid w:val="00472065"/>
    <w:rsid w:val="00472077"/>
    <w:rsid w:val="0047216A"/>
    <w:rsid w:val="00472269"/>
    <w:rsid w:val="00472383"/>
    <w:rsid w:val="004724BA"/>
    <w:rsid w:val="004726DC"/>
    <w:rsid w:val="0047285F"/>
    <w:rsid w:val="00472BA2"/>
    <w:rsid w:val="00472BF4"/>
    <w:rsid w:val="00472D5D"/>
    <w:rsid w:val="00472E04"/>
    <w:rsid w:val="004730C1"/>
    <w:rsid w:val="004731CC"/>
    <w:rsid w:val="00473544"/>
    <w:rsid w:val="004735A9"/>
    <w:rsid w:val="0047368E"/>
    <w:rsid w:val="0047391F"/>
    <w:rsid w:val="0047393B"/>
    <w:rsid w:val="00473BC2"/>
    <w:rsid w:val="00473D1E"/>
    <w:rsid w:val="00473EAD"/>
    <w:rsid w:val="00473F45"/>
    <w:rsid w:val="00473FF5"/>
    <w:rsid w:val="0047453F"/>
    <w:rsid w:val="0047486F"/>
    <w:rsid w:val="00474AA3"/>
    <w:rsid w:val="00474BA1"/>
    <w:rsid w:val="00475038"/>
    <w:rsid w:val="004750AC"/>
    <w:rsid w:val="00475416"/>
    <w:rsid w:val="00475437"/>
    <w:rsid w:val="00475655"/>
    <w:rsid w:val="0047584A"/>
    <w:rsid w:val="00475AF3"/>
    <w:rsid w:val="00475B1C"/>
    <w:rsid w:val="00475DBD"/>
    <w:rsid w:val="00476767"/>
    <w:rsid w:val="00476890"/>
    <w:rsid w:val="00476A3E"/>
    <w:rsid w:val="00476EB4"/>
    <w:rsid w:val="004771D2"/>
    <w:rsid w:val="0047748B"/>
    <w:rsid w:val="00477564"/>
    <w:rsid w:val="004777A2"/>
    <w:rsid w:val="00477ABB"/>
    <w:rsid w:val="00477D31"/>
    <w:rsid w:val="00477E66"/>
    <w:rsid w:val="00480142"/>
    <w:rsid w:val="0048030F"/>
    <w:rsid w:val="004803B6"/>
    <w:rsid w:val="0048080F"/>
    <w:rsid w:val="00480BBC"/>
    <w:rsid w:val="00480D1E"/>
    <w:rsid w:val="00480F6B"/>
    <w:rsid w:val="0048107C"/>
    <w:rsid w:val="004810E9"/>
    <w:rsid w:val="0048116A"/>
    <w:rsid w:val="004811D0"/>
    <w:rsid w:val="004812D8"/>
    <w:rsid w:val="00481698"/>
    <w:rsid w:val="0048175F"/>
    <w:rsid w:val="00481D4C"/>
    <w:rsid w:val="00481E9D"/>
    <w:rsid w:val="00482102"/>
    <w:rsid w:val="00482150"/>
    <w:rsid w:val="004825E6"/>
    <w:rsid w:val="004826CA"/>
    <w:rsid w:val="00482998"/>
    <w:rsid w:val="00482C40"/>
    <w:rsid w:val="00482D2C"/>
    <w:rsid w:val="00482D75"/>
    <w:rsid w:val="00483186"/>
    <w:rsid w:val="0048336E"/>
    <w:rsid w:val="00483478"/>
    <w:rsid w:val="004834EE"/>
    <w:rsid w:val="00483997"/>
    <w:rsid w:val="00483C43"/>
    <w:rsid w:val="00483D28"/>
    <w:rsid w:val="00484038"/>
    <w:rsid w:val="00484431"/>
    <w:rsid w:val="0048448D"/>
    <w:rsid w:val="004845E3"/>
    <w:rsid w:val="004846E6"/>
    <w:rsid w:val="004848D8"/>
    <w:rsid w:val="00484ABE"/>
    <w:rsid w:val="00484B01"/>
    <w:rsid w:val="00484D66"/>
    <w:rsid w:val="00484FCF"/>
    <w:rsid w:val="0048527B"/>
    <w:rsid w:val="0048546D"/>
    <w:rsid w:val="004854E3"/>
    <w:rsid w:val="00485737"/>
    <w:rsid w:val="00485902"/>
    <w:rsid w:val="00485B54"/>
    <w:rsid w:val="00485BF0"/>
    <w:rsid w:val="00485C98"/>
    <w:rsid w:val="00485DC0"/>
    <w:rsid w:val="00485E6A"/>
    <w:rsid w:val="004862CD"/>
    <w:rsid w:val="00486373"/>
    <w:rsid w:val="00486553"/>
    <w:rsid w:val="004865CB"/>
    <w:rsid w:val="00486717"/>
    <w:rsid w:val="00486774"/>
    <w:rsid w:val="004867EB"/>
    <w:rsid w:val="004867EF"/>
    <w:rsid w:val="00486866"/>
    <w:rsid w:val="00486977"/>
    <w:rsid w:val="00486BBB"/>
    <w:rsid w:val="00486D6B"/>
    <w:rsid w:val="00486E8F"/>
    <w:rsid w:val="00486FB0"/>
    <w:rsid w:val="00486FD2"/>
    <w:rsid w:val="004871BF"/>
    <w:rsid w:val="004874E1"/>
    <w:rsid w:val="004876C5"/>
    <w:rsid w:val="004879BF"/>
    <w:rsid w:val="00487C96"/>
    <w:rsid w:val="00487FAE"/>
    <w:rsid w:val="0049060E"/>
    <w:rsid w:val="0049081A"/>
    <w:rsid w:val="00490931"/>
    <w:rsid w:val="00490F03"/>
    <w:rsid w:val="00490F27"/>
    <w:rsid w:val="00490F6F"/>
    <w:rsid w:val="0049130E"/>
    <w:rsid w:val="004913CC"/>
    <w:rsid w:val="00491461"/>
    <w:rsid w:val="004919BF"/>
    <w:rsid w:val="004919EA"/>
    <w:rsid w:val="00491B04"/>
    <w:rsid w:val="00491B9F"/>
    <w:rsid w:val="00491FA6"/>
    <w:rsid w:val="00492105"/>
    <w:rsid w:val="004927F0"/>
    <w:rsid w:val="0049286F"/>
    <w:rsid w:val="004928D6"/>
    <w:rsid w:val="00492991"/>
    <w:rsid w:val="00492A7F"/>
    <w:rsid w:val="00492CC0"/>
    <w:rsid w:val="00492D88"/>
    <w:rsid w:val="00492F1D"/>
    <w:rsid w:val="00492F30"/>
    <w:rsid w:val="00492FDC"/>
    <w:rsid w:val="00492FF1"/>
    <w:rsid w:val="00493097"/>
    <w:rsid w:val="00493142"/>
    <w:rsid w:val="004931DF"/>
    <w:rsid w:val="00493309"/>
    <w:rsid w:val="004934F8"/>
    <w:rsid w:val="004935D5"/>
    <w:rsid w:val="00493690"/>
    <w:rsid w:val="00493698"/>
    <w:rsid w:val="00493900"/>
    <w:rsid w:val="004939D3"/>
    <w:rsid w:val="00493B13"/>
    <w:rsid w:val="00493DED"/>
    <w:rsid w:val="00493F7A"/>
    <w:rsid w:val="00493FC2"/>
    <w:rsid w:val="00493FF6"/>
    <w:rsid w:val="00494556"/>
    <w:rsid w:val="004945DC"/>
    <w:rsid w:val="0049467C"/>
    <w:rsid w:val="00494D6E"/>
    <w:rsid w:val="00494E52"/>
    <w:rsid w:val="00494E6F"/>
    <w:rsid w:val="00494E9B"/>
    <w:rsid w:val="00494F58"/>
    <w:rsid w:val="0049504B"/>
    <w:rsid w:val="004950CA"/>
    <w:rsid w:val="00495199"/>
    <w:rsid w:val="0049565B"/>
    <w:rsid w:val="004956D9"/>
    <w:rsid w:val="00495781"/>
    <w:rsid w:val="004957FB"/>
    <w:rsid w:val="00495919"/>
    <w:rsid w:val="00496401"/>
    <w:rsid w:val="0049656E"/>
    <w:rsid w:val="00496822"/>
    <w:rsid w:val="00496B62"/>
    <w:rsid w:val="00496BCA"/>
    <w:rsid w:val="00496C17"/>
    <w:rsid w:val="00496C8D"/>
    <w:rsid w:val="00496E5A"/>
    <w:rsid w:val="00496F4D"/>
    <w:rsid w:val="004970EA"/>
    <w:rsid w:val="00497388"/>
    <w:rsid w:val="004973D0"/>
    <w:rsid w:val="00497663"/>
    <w:rsid w:val="0049766C"/>
    <w:rsid w:val="004977FF"/>
    <w:rsid w:val="004978CF"/>
    <w:rsid w:val="00497B8E"/>
    <w:rsid w:val="00497C61"/>
    <w:rsid w:val="00497CC1"/>
    <w:rsid w:val="00497DAB"/>
    <w:rsid w:val="00497E51"/>
    <w:rsid w:val="00497F72"/>
    <w:rsid w:val="004A0490"/>
    <w:rsid w:val="004A04C7"/>
    <w:rsid w:val="004A05BB"/>
    <w:rsid w:val="004A05C6"/>
    <w:rsid w:val="004A070F"/>
    <w:rsid w:val="004A0797"/>
    <w:rsid w:val="004A097A"/>
    <w:rsid w:val="004A09D4"/>
    <w:rsid w:val="004A0B8F"/>
    <w:rsid w:val="004A0BA2"/>
    <w:rsid w:val="004A0F45"/>
    <w:rsid w:val="004A0F92"/>
    <w:rsid w:val="004A0F96"/>
    <w:rsid w:val="004A0FEF"/>
    <w:rsid w:val="004A1181"/>
    <w:rsid w:val="004A1224"/>
    <w:rsid w:val="004A1293"/>
    <w:rsid w:val="004A16C0"/>
    <w:rsid w:val="004A1C9E"/>
    <w:rsid w:val="004A1CBE"/>
    <w:rsid w:val="004A1FB6"/>
    <w:rsid w:val="004A212F"/>
    <w:rsid w:val="004A248A"/>
    <w:rsid w:val="004A2857"/>
    <w:rsid w:val="004A28F6"/>
    <w:rsid w:val="004A2976"/>
    <w:rsid w:val="004A2B30"/>
    <w:rsid w:val="004A2FA5"/>
    <w:rsid w:val="004A2FBB"/>
    <w:rsid w:val="004A3489"/>
    <w:rsid w:val="004A3519"/>
    <w:rsid w:val="004A36B2"/>
    <w:rsid w:val="004A375D"/>
    <w:rsid w:val="004A3777"/>
    <w:rsid w:val="004A3BBB"/>
    <w:rsid w:val="004A4072"/>
    <w:rsid w:val="004A4342"/>
    <w:rsid w:val="004A4540"/>
    <w:rsid w:val="004A46F1"/>
    <w:rsid w:val="004A4982"/>
    <w:rsid w:val="004A4D14"/>
    <w:rsid w:val="004A4DD7"/>
    <w:rsid w:val="004A50DA"/>
    <w:rsid w:val="004A51A9"/>
    <w:rsid w:val="004A5733"/>
    <w:rsid w:val="004A5786"/>
    <w:rsid w:val="004A59A0"/>
    <w:rsid w:val="004A5CA7"/>
    <w:rsid w:val="004A5DBF"/>
    <w:rsid w:val="004A6113"/>
    <w:rsid w:val="004A6435"/>
    <w:rsid w:val="004A6490"/>
    <w:rsid w:val="004A650B"/>
    <w:rsid w:val="004A65DE"/>
    <w:rsid w:val="004A69AA"/>
    <w:rsid w:val="004A6A41"/>
    <w:rsid w:val="004A6B61"/>
    <w:rsid w:val="004A6B67"/>
    <w:rsid w:val="004A6B8D"/>
    <w:rsid w:val="004A6C29"/>
    <w:rsid w:val="004A6E86"/>
    <w:rsid w:val="004A6F07"/>
    <w:rsid w:val="004A702B"/>
    <w:rsid w:val="004A70D8"/>
    <w:rsid w:val="004A70DE"/>
    <w:rsid w:val="004A7414"/>
    <w:rsid w:val="004A7501"/>
    <w:rsid w:val="004A791E"/>
    <w:rsid w:val="004A7A52"/>
    <w:rsid w:val="004A7C24"/>
    <w:rsid w:val="004A7DB6"/>
    <w:rsid w:val="004A7F9A"/>
    <w:rsid w:val="004B0041"/>
    <w:rsid w:val="004B02C2"/>
    <w:rsid w:val="004B0434"/>
    <w:rsid w:val="004B043C"/>
    <w:rsid w:val="004B0483"/>
    <w:rsid w:val="004B04CA"/>
    <w:rsid w:val="004B04FB"/>
    <w:rsid w:val="004B052A"/>
    <w:rsid w:val="004B0977"/>
    <w:rsid w:val="004B0A44"/>
    <w:rsid w:val="004B0AB3"/>
    <w:rsid w:val="004B0BAE"/>
    <w:rsid w:val="004B0C1E"/>
    <w:rsid w:val="004B0CB8"/>
    <w:rsid w:val="004B0CD5"/>
    <w:rsid w:val="004B0FA1"/>
    <w:rsid w:val="004B107A"/>
    <w:rsid w:val="004B1226"/>
    <w:rsid w:val="004B14CE"/>
    <w:rsid w:val="004B1500"/>
    <w:rsid w:val="004B1ACD"/>
    <w:rsid w:val="004B1B2F"/>
    <w:rsid w:val="004B1B94"/>
    <w:rsid w:val="004B1E8E"/>
    <w:rsid w:val="004B22FB"/>
    <w:rsid w:val="004B2376"/>
    <w:rsid w:val="004B23F8"/>
    <w:rsid w:val="004B2504"/>
    <w:rsid w:val="004B26E0"/>
    <w:rsid w:val="004B2747"/>
    <w:rsid w:val="004B2810"/>
    <w:rsid w:val="004B2899"/>
    <w:rsid w:val="004B2BA4"/>
    <w:rsid w:val="004B2DE1"/>
    <w:rsid w:val="004B30BC"/>
    <w:rsid w:val="004B31C7"/>
    <w:rsid w:val="004B3228"/>
    <w:rsid w:val="004B3364"/>
    <w:rsid w:val="004B33AE"/>
    <w:rsid w:val="004B3452"/>
    <w:rsid w:val="004B35A4"/>
    <w:rsid w:val="004B3A9D"/>
    <w:rsid w:val="004B3BA3"/>
    <w:rsid w:val="004B3C8D"/>
    <w:rsid w:val="004B3E33"/>
    <w:rsid w:val="004B40B1"/>
    <w:rsid w:val="004B419F"/>
    <w:rsid w:val="004B41E7"/>
    <w:rsid w:val="004B425C"/>
    <w:rsid w:val="004B4436"/>
    <w:rsid w:val="004B493A"/>
    <w:rsid w:val="004B4BD4"/>
    <w:rsid w:val="004B4C02"/>
    <w:rsid w:val="004B4C52"/>
    <w:rsid w:val="004B5015"/>
    <w:rsid w:val="004B5134"/>
    <w:rsid w:val="004B526D"/>
    <w:rsid w:val="004B5409"/>
    <w:rsid w:val="004B5583"/>
    <w:rsid w:val="004B56BC"/>
    <w:rsid w:val="004B5890"/>
    <w:rsid w:val="004B59B1"/>
    <w:rsid w:val="004B5B66"/>
    <w:rsid w:val="004B5D2F"/>
    <w:rsid w:val="004B5DDC"/>
    <w:rsid w:val="004B5DF5"/>
    <w:rsid w:val="004B5F98"/>
    <w:rsid w:val="004B6350"/>
    <w:rsid w:val="004B647C"/>
    <w:rsid w:val="004B6511"/>
    <w:rsid w:val="004B66EC"/>
    <w:rsid w:val="004B6C11"/>
    <w:rsid w:val="004B6F01"/>
    <w:rsid w:val="004B6F7E"/>
    <w:rsid w:val="004B70CC"/>
    <w:rsid w:val="004B7622"/>
    <w:rsid w:val="004B7644"/>
    <w:rsid w:val="004B7A2F"/>
    <w:rsid w:val="004B7ABD"/>
    <w:rsid w:val="004B7AC8"/>
    <w:rsid w:val="004B7BC7"/>
    <w:rsid w:val="004B7CA0"/>
    <w:rsid w:val="004B7DFA"/>
    <w:rsid w:val="004B7EC0"/>
    <w:rsid w:val="004B7EEF"/>
    <w:rsid w:val="004C0057"/>
    <w:rsid w:val="004C01A9"/>
    <w:rsid w:val="004C0223"/>
    <w:rsid w:val="004C0569"/>
    <w:rsid w:val="004C05E1"/>
    <w:rsid w:val="004C06BD"/>
    <w:rsid w:val="004C0719"/>
    <w:rsid w:val="004C0887"/>
    <w:rsid w:val="004C0B73"/>
    <w:rsid w:val="004C0BEB"/>
    <w:rsid w:val="004C0EEF"/>
    <w:rsid w:val="004C1074"/>
    <w:rsid w:val="004C10F6"/>
    <w:rsid w:val="004C1497"/>
    <w:rsid w:val="004C164B"/>
    <w:rsid w:val="004C1826"/>
    <w:rsid w:val="004C1850"/>
    <w:rsid w:val="004C18FB"/>
    <w:rsid w:val="004C1AF2"/>
    <w:rsid w:val="004C1B1E"/>
    <w:rsid w:val="004C23DB"/>
    <w:rsid w:val="004C2458"/>
    <w:rsid w:val="004C2514"/>
    <w:rsid w:val="004C262E"/>
    <w:rsid w:val="004C26B0"/>
    <w:rsid w:val="004C2747"/>
    <w:rsid w:val="004C282B"/>
    <w:rsid w:val="004C2883"/>
    <w:rsid w:val="004C2C7C"/>
    <w:rsid w:val="004C2CA9"/>
    <w:rsid w:val="004C2EC7"/>
    <w:rsid w:val="004C2F37"/>
    <w:rsid w:val="004C336B"/>
    <w:rsid w:val="004C3385"/>
    <w:rsid w:val="004C351B"/>
    <w:rsid w:val="004C3736"/>
    <w:rsid w:val="004C3823"/>
    <w:rsid w:val="004C3C08"/>
    <w:rsid w:val="004C3F38"/>
    <w:rsid w:val="004C4164"/>
    <w:rsid w:val="004C42DD"/>
    <w:rsid w:val="004C4713"/>
    <w:rsid w:val="004C4736"/>
    <w:rsid w:val="004C4742"/>
    <w:rsid w:val="004C47DE"/>
    <w:rsid w:val="004C4840"/>
    <w:rsid w:val="004C48C9"/>
    <w:rsid w:val="004C4935"/>
    <w:rsid w:val="004C4970"/>
    <w:rsid w:val="004C49B8"/>
    <w:rsid w:val="004C4D6E"/>
    <w:rsid w:val="004C4FC9"/>
    <w:rsid w:val="004C51DE"/>
    <w:rsid w:val="004C5277"/>
    <w:rsid w:val="004C5364"/>
    <w:rsid w:val="004C5466"/>
    <w:rsid w:val="004C54C6"/>
    <w:rsid w:val="004C5539"/>
    <w:rsid w:val="004C5646"/>
    <w:rsid w:val="004C5704"/>
    <w:rsid w:val="004C5753"/>
    <w:rsid w:val="004C58E4"/>
    <w:rsid w:val="004C5905"/>
    <w:rsid w:val="004C59F4"/>
    <w:rsid w:val="004C5A89"/>
    <w:rsid w:val="004C5C16"/>
    <w:rsid w:val="004C5C43"/>
    <w:rsid w:val="004C5D84"/>
    <w:rsid w:val="004C6071"/>
    <w:rsid w:val="004C6114"/>
    <w:rsid w:val="004C6602"/>
    <w:rsid w:val="004C6BDE"/>
    <w:rsid w:val="004C6E67"/>
    <w:rsid w:val="004C6EE5"/>
    <w:rsid w:val="004C6F02"/>
    <w:rsid w:val="004C6F4F"/>
    <w:rsid w:val="004C71B5"/>
    <w:rsid w:val="004C72E7"/>
    <w:rsid w:val="004C73F3"/>
    <w:rsid w:val="004C7514"/>
    <w:rsid w:val="004C781E"/>
    <w:rsid w:val="004C7910"/>
    <w:rsid w:val="004C79D8"/>
    <w:rsid w:val="004C7A3B"/>
    <w:rsid w:val="004C7B14"/>
    <w:rsid w:val="004C7D01"/>
    <w:rsid w:val="004D0010"/>
    <w:rsid w:val="004D010F"/>
    <w:rsid w:val="004D017E"/>
    <w:rsid w:val="004D01FF"/>
    <w:rsid w:val="004D0386"/>
    <w:rsid w:val="004D0471"/>
    <w:rsid w:val="004D0659"/>
    <w:rsid w:val="004D075B"/>
    <w:rsid w:val="004D0839"/>
    <w:rsid w:val="004D0EDA"/>
    <w:rsid w:val="004D0EEF"/>
    <w:rsid w:val="004D114E"/>
    <w:rsid w:val="004D1BF0"/>
    <w:rsid w:val="004D1C07"/>
    <w:rsid w:val="004D1C0A"/>
    <w:rsid w:val="004D1D1B"/>
    <w:rsid w:val="004D1E36"/>
    <w:rsid w:val="004D1EC5"/>
    <w:rsid w:val="004D1F57"/>
    <w:rsid w:val="004D2029"/>
    <w:rsid w:val="004D2102"/>
    <w:rsid w:val="004D215D"/>
    <w:rsid w:val="004D217D"/>
    <w:rsid w:val="004D21DD"/>
    <w:rsid w:val="004D2482"/>
    <w:rsid w:val="004D26E4"/>
    <w:rsid w:val="004D287B"/>
    <w:rsid w:val="004D28D1"/>
    <w:rsid w:val="004D29AB"/>
    <w:rsid w:val="004D2A37"/>
    <w:rsid w:val="004D2CBA"/>
    <w:rsid w:val="004D2D8C"/>
    <w:rsid w:val="004D2F68"/>
    <w:rsid w:val="004D31CC"/>
    <w:rsid w:val="004D3421"/>
    <w:rsid w:val="004D36FA"/>
    <w:rsid w:val="004D37A9"/>
    <w:rsid w:val="004D37D8"/>
    <w:rsid w:val="004D3815"/>
    <w:rsid w:val="004D3B60"/>
    <w:rsid w:val="004D3BF4"/>
    <w:rsid w:val="004D3CEB"/>
    <w:rsid w:val="004D3E0D"/>
    <w:rsid w:val="004D3F96"/>
    <w:rsid w:val="004D3FAB"/>
    <w:rsid w:val="004D428F"/>
    <w:rsid w:val="004D42BA"/>
    <w:rsid w:val="004D48C0"/>
    <w:rsid w:val="004D491B"/>
    <w:rsid w:val="004D4AFB"/>
    <w:rsid w:val="004D4FEA"/>
    <w:rsid w:val="004D5036"/>
    <w:rsid w:val="004D51FC"/>
    <w:rsid w:val="004D5336"/>
    <w:rsid w:val="004D53C7"/>
    <w:rsid w:val="004D54CE"/>
    <w:rsid w:val="004D5786"/>
    <w:rsid w:val="004D5889"/>
    <w:rsid w:val="004D58CC"/>
    <w:rsid w:val="004D58EE"/>
    <w:rsid w:val="004D5920"/>
    <w:rsid w:val="004D5999"/>
    <w:rsid w:val="004D5D8E"/>
    <w:rsid w:val="004D5DD6"/>
    <w:rsid w:val="004D5E83"/>
    <w:rsid w:val="004D5F1D"/>
    <w:rsid w:val="004D61F6"/>
    <w:rsid w:val="004D62AA"/>
    <w:rsid w:val="004D63E8"/>
    <w:rsid w:val="004D6516"/>
    <w:rsid w:val="004D659F"/>
    <w:rsid w:val="004D67E5"/>
    <w:rsid w:val="004D69DB"/>
    <w:rsid w:val="004D6AFA"/>
    <w:rsid w:val="004D6B30"/>
    <w:rsid w:val="004D6B59"/>
    <w:rsid w:val="004D6E7A"/>
    <w:rsid w:val="004D6F05"/>
    <w:rsid w:val="004D700F"/>
    <w:rsid w:val="004D70DE"/>
    <w:rsid w:val="004D7202"/>
    <w:rsid w:val="004D756E"/>
    <w:rsid w:val="004D7742"/>
    <w:rsid w:val="004D77CB"/>
    <w:rsid w:val="004D7B4A"/>
    <w:rsid w:val="004E00E1"/>
    <w:rsid w:val="004E0143"/>
    <w:rsid w:val="004E02F6"/>
    <w:rsid w:val="004E0406"/>
    <w:rsid w:val="004E044C"/>
    <w:rsid w:val="004E079D"/>
    <w:rsid w:val="004E07D0"/>
    <w:rsid w:val="004E08C8"/>
    <w:rsid w:val="004E0952"/>
    <w:rsid w:val="004E097E"/>
    <w:rsid w:val="004E0BFD"/>
    <w:rsid w:val="004E0E2E"/>
    <w:rsid w:val="004E0EFE"/>
    <w:rsid w:val="004E0FEA"/>
    <w:rsid w:val="004E1040"/>
    <w:rsid w:val="004E105E"/>
    <w:rsid w:val="004E1115"/>
    <w:rsid w:val="004E1141"/>
    <w:rsid w:val="004E13AA"/>
    <w:rsid w:val="004E1460"/>
    <w:rsid w:val="004E14A2"/>
    <w:rsid w:val="004E159A"/>
    <w:rsid w:val="004E1600"/>
    <w:rsid w:val="004E1B2C"/>
    <w:rsid w:val="004E1BC4"/>
    <w:rsid w:val="004E1BF1"/>
    <w:rsid w:val="004E1C88"/>
    <w:rsid w:val="004E1CFB"/>
    <w:rsid w:val="004E1DC4"/>
    <w:rsid w:val="004E1F3C"/>
    <w:rsid w:val="004E2469"/>
    <w:rsid w:val="004E2976"/>
    <w:rsid w:val="004E2BD3"/>
    <w:rsid w:val="004E2D99"/>
    <w:rsid w:val="004E31DB"/>
    <w:rsid w:val="004E3251"/>
    <w:rsid w:val="004E3296"/>
    <w:rsid w:val="004E32C8"/>
    <w:rsid w:val="004E332E"/>
    <w:rsid w:val="004E3478"/>
    <w:rsid w:val="004E34CD"/>
    <w:rsid w:val="004E3530"/>
    <w:rsid w:val="004E3682"/>
    <w:rsid w:val="004E36E8"/>
    <w:rsid w:val="004E3715"/>
    <w:rsid w:val="004E3809"/>
    <w:rsid w:val="004E3ABE"/>
    <w:rsid w:val="004E3F7A"/>
    <w:rsid w:val="004E4003"/>
    <w:rsid w:val="004E4106"/>
    <w:rsid w:val="004E4135"/>
    <w:rsid w:val="004E4259"/>
    <w:rsid w:val="004E4337"/>
    <w:rsid w:val="004E47B4"/>
    <w:rsid w:val="004E4836"/>
    <w:rsid w:val="004E4BDD"/>
    <w:rsid w:val="004E4D8D"/>
    <w:rsid w:val="004E5088"/>
    <w:rsid w:val="004E518C"/>
    <w:rsid w:val="004E530E"/>
    <w:rsid w:val="004E5390"/>
    <w:rsid w:val="004E53B3"/>
    <w:rsid w:val="004E5524"/>
    <w:rsid w:val="004E5564"/>
    <w:rsid w:val="004E5E10"/>
    <w:rsid w:val="004E5E57"/>
    <w:rsid w:val="004E6077"/>
    <w:rsid w:val="004E62EB"/>
    <w:rsid w:val="004E648B"/>
    <w:rsid w:val="004E6936"/>
    <w:rsid w:val="004E6C07"/>
    <w:rsid w:val="004E6D5E"/>
    <w:rsid w:val="004E6DE2"/>
    <w:rsid w:val="004E70E7"/>
    <w:rsid w:val="004E7146"/>
    <w:rsid w:val="004E7207"/>
    <w:rsid w:val="004E7331"/>
    <w:rsid w:val="004E73C2"/>
    <w:rsid w:val="004E7505"/>
    <w:rsid w:val="004E75A5"/>
    <w:rsid w:val="004E75DE"/>
    <w:rsid w:val="004E7671"/>
    <w:rsid w:val="004E76AC"/>
    <w:rsid w:val="004E77AA"/>
    <w:rsid w:val="004E7930"/>
    <w:rsid w:val="004E7B6C"/>
    <w:rsid w:val="004E7B6F"/>
    <w:rsid w:val="004E7BDB"/>
    <w:rsid w:val="004E7CD1"/>
    <w:rsid w:val="004E7DE0"/>
    <w:rsid w:val="004E7DE4"/>
    <w:rsid w:val="004F00D6"/>
    <w:rsid w:val="004F0435"/>
    <w:rsid w:val="004F0489"/>
    <w:rsid w:val="004F0721"/>
    <w:rsid w:val="004F0D41"/>
    <w:rsid w:val="004F0F4B"/>
    <w:rsid w:val="004F102F"/>
    <w:rsid w:val="004F10F9"/>
    <w:rsid w:val="004F11F8"/>
    <w:rsid w:val="004F1282"/>
    <w:rsid w:val="004F132F"/>
    <w:rsid w:val="004F166C"/>
    <w:rsid w:val="004F1802"/>
    <w:rsid w:val="004F1878"/>
    <w:rsid w:val="004F18DB"/>
    <w:rsid w:val="004F1A09"/>
    <w:rsid w:val="004F1B9C"/>
    <w:rsid w:val="004F1D3F"/>
    <w:rsid w:val="004F1EC8"/>
    <w:rsid w:val="004F1F00"/>
    <w:rsid w:val="004F1F10"/>
    <w:rsid w:val="004F20C0"/>
    <w:rsid w:val="004F22BA"/>
    <w:rsid w:val="004F22D7"/>
    <w:rsid w:val="004F22DE"/>
    <w:rsid w:val="004F2580"/>
    <w:rsid w:val="004F276F"/>
    <w:rsid w:val="004F28C6"/>
    <w:rsid w:val="004F2CDD"/>
    <w:rsid w:val="004F2E07"/>
    <w:rsid w:val="004F2E0E"/>
    <w:rsid w:val="004F2F4F"/>
    <w:rsid w:val="004F2FA1"/>
    <w:rsid w:val="004F3293"/>
    <w:rsid w:val="004F33E3"/>
    <w:rsid w:val="004F3564"/>
    <w:rsid w:val="004F375D"/>
    <w:rsid w:val="004F3B88"/>
    <w:rsid w:val="004F3C39"/>
    <w:rsid w:val="004F3DE4"/>
    <w:rsid w:val="004F3E04"/>
    <w:rsid w:val="004F3E75"/>
    <w:rsid w:val="004F3F68"/>
    <w:rsid w:val="004F4050"/>
    <w:rsid w:val="004F41C0"/>
    <w:rsid w:val="004F43A4"/>
    <w:rsid w:val="004F470A"/>
    <w:rsid w:val="004F471D"/>
    <w:rsid w:val="004F4727"/>
    <w:rsid w:val="004F476E"/>
    <w:rsid w:val="004F47BD"/>
    <w:rsid w:val="004F4886"/>
    <w:rsid w:val="004F4903"/>
    <w:rsid w:val="004F49B0"/>
    <w:rsid w:val="004F4B07"/>
    <w:rsid w:val="004F4D00"/>
    <w:rsid w:val="004F4DBF"/>
    <w:rsid w:val="004F4E90"/>
    <w:rsid w:val="004F4F0F"/>
    <w:rsid w:val="004F5097"/>
    <w:rsid w:val="004F5180"/>
    <w:rsid w:val="004F59E0"/>
    <w:rsid w:val="004F59F4"/>
    <w:rsid w:val="004F5B73"/>
    <w:rsid w:val="004F5C70"/>
    <w:rsid w:val="004F5DA4"/>
    <w:rsid w:val="004F5EB2"/>
    <w:rsid w:val="004F5F99"/>
    <w:rsid w:val="004F5FF3"/>
    <w:rsid w:val="004F61F4"/>
    <w:rsid w:val="004F63CE"/>
    <w:rsid w:val="004F65BB"/>
    <w:rsid w:val="004F65E4"/>
    <w:rsid w:val="004F6687"/>
    <w:rsid w:val="004F66A9"/>
    <w:rsid w:val="004F6912"/>
    <w:rsid w:val="004F69CC"/>
    <w:rsid w:val="004F6A55"/>
    <w:rsid w:val="004F6B6C"/>
    <w:rsid w:val="004F6C5D"/>
    <w:rsid w:val="004F6DA7"/>
    <w:rsid w:val="004F6E16"/>
    <w:rsid w:val="004F6F74"/>
    <w:rsid w:val="004F7488"/>
    <w:rsid w:val="004F7714"/>
    <w:rsid w:val="004F788C"/>
    <w:rsid w:val="004F7B58"/>
    <w:rsid w:val="004F7C83"/>
    <w:rsid w:val="004F7E74"/>
    <w:rsid w:val="004F7ED7"/>
    <w:rsid w:val="005001FE"/>
    <w:rsid w:val="00500936"/>
    <w:rsid w:val="0050093B"/>
    <w:rsid w:val="005009B4"/>
    <w:rsid w:val="00500B4F"/>
    <w:rsid w:val="00500EF9"/>
    <w:rsid w:val="005010FF"/>
    <w:rsid w:val="00501265"/>
    <w:rsid w:val="0050151C"/>
    <w:rsid w:val="00501522"/>
    <w:rsid w:val="005015C6"/>
    <w:rsid w:val="00501613"/>
    <w:rsid w:val="00501620"/>
    <w:rsid w:val="005016CC"/>
    <w:rsid w:val="005017A3"/>
    <w:rsid w:val="005018CF"/>
    <w:rsid w:val="00501A82"/>
    <w:rsid w:val="00501A98"/>
    <w:rsid w:val="00501BD6"/>
    <w:rsid w:val="00501C9D"/>
    <w:rsid w:val="00501D36"/>
    <w:rsid w:val="00501EFF"/>
    <w:rsid w:val="0050204B"/>
    <w:rsid w:val="00502093"/>
    <w:rsid w:val="00502137"/>
    <w:rsid w:val="0050220E"/>
    <w:rsid w:val="00502271"/>
    <w:rsid w:val="005022E7"/>
    <w:rsid w:val="00502316"/>
    <w:rsid w:val="005024BA"/>
    <w:rsid w:val="00502647"/>
    <w:rsid w:val="00502773"/>
    <w:rsid w:val="00502846"/>
    <w:rsid w:val="005029DB"/>
    <w:rsid w:val="005029E2"/>
    <w:rsid w:val="00502A18"/>
    <w:rsid w:val="00502A41"/>
    <w:rsid w:val="00502AB9"/>
    <w:rsid w:val="00502AEB"/>
    <w:rsid w:val="00502B13"/>
    <w:rsid w:val="00502B93"/>
    <w:rsid w:val="00502C5B"/>
    <w:rsid w:val="00502D62"/>
    <w:rsid w:val="00502EB7"/>
    <w:rsid w:val="0050314F"/>
    <w:rsid w:val="00503225"/>
    <w:rsid w:val="005032C8"/>
    <w:rsid w:val="00503312"/>
    <w:rsid w:val="00503524"/>
    <w:rsid w:val="00503605"/>
    <w:rsid w:val="0050371F"/>
    <w:rsid w:val="0050373F"/>
    <w:rsid w:val="00503850"/>
    <w:rsid w:val="00503952"/>
    <w:rsid w:val="00503A45"/>
    <w:rsid w:val="00503B1A"/>
    <w:rsid w:val="00503C86"/>
    <w:rsid w:val="00503D4E"/>
    <w:rsid w:val="00503ED2"/>
    <w:rsid w:val="005041CF"/>
    <w:rsid w:val="00504334"/>
    <w:rsid w:val="00504432"/>
    <w:rsid w:val="00504680"/>
    <w:rsid w:val="0050473B"/>
    <w:rsid w:val="005048D9"/>
    <w:rsid w:val="0050496C"/>
    <w:rsid w:val="00504A63"/>
    <w:rsid w:val="00504D9B"/>
    <w:rsid w:val="00504DCB"/>
    <w:rsid w:val="00504DD0"/>
    <w:rsid w:val="00504FEE"/>
    <w:rsid w:val="0050508C"/>
    <w:rsid w:val="00505185"/>
    <w:rsid w:val="00505262"/>
    <w:rsid w:val="00505510"/>
    <w:rsid w:val="00505514"/>
    <w:rsid w:val="005056A8"/>
    <w:rsid w:val="00505C52"/>
    <w:rsid w:val="00505DF4"/>
    <w:rsid w:val="00506029"/>
    <w:rsid w:val="0050660E"/>
    <w:rsid w:val="005066D7"/>
    <w:rsid w:val="005068FA"/>
    <w:rsid w:val="00506A3E"/>
    <w:rsid w:val="00506B1C"/>
    <w:rsid w:val="00507068"/>
    <w:rsid w:val="0050748C"/>
    <w:rsid w:val="00507548"/>
    <w:rsid w:val="0050754E"/>
    <w:rsid w:val="005076B5"/>
    <w:rsid w:val="00507786"/>
    <w:rsid w:val="00507923"/>
    <w:rsid w:val="00507A18"/>
    <w:rsid w:val="00507AB3"/>
    <w:rsid w:val="00507AD0"/>
    <w:rsid w:val="00507B84"/>
    <w:rsid w:val="00507D9C"/>
    <w:rsid w:val="00507F1A"/>
    <w:rsid w:val="005100C6"/>
    <w:rsid w:val="00510182"/>
    <w:rsid w:val="005102CA"/>
    <w:rsid w:val="00510448"/>
    <w:rsid w:val="00510626"/>
    <w:rsid w:val="005106BD"/>
    <w:rsid w:val="0051078E"/>
    <w:rsid w:val="00510838"/>
    <w:rsid w:val="00510CA5"/>
    <w:rsid w:val="00510D51"/>
    <w:rsid w:val="00510DAF"/>
    <w:rsid w:val="00511279"/>
    <w:rsid w:val="005112EB"/>
    <w:rsid w:val="005116FE"/>
    <w:rsid w:val="00511B46"/>
    <w:rsid w:val="00511C52"/>
    <w:rsid w:val="00511D6A"/>
    <w:rsid w:val="00511D81"/>
    <w:rsid w:val="00511DB0"/>
    <w:rsid w:val="00511F84"/>
    <w:rsid w:val="0051202E"/>
    <w:rsid w:val="005122D7"/>
    <w:rsid w:val="005123B0"/>
    <w:rsid w:val="00512558"/>
    <w:rsid w:val="00512869"/>
    <w:rsid w:val="0051293E"/>
    <w:rsid w:val="00512CC0"/>
    <w:rsid w:val="00512E44"/>
    <w:rsid w:val="00513090"/>
    <w:rsid w:val="005130B8"/>
    <w:rsid w:val="00513107"/>
    <w:rsid w:val="0051369A"/>
    <w:rsid w:val="005139A5"/>
    <w:rsid w:val="00513B7F"/>
    <w:rsid w:val="00513EF0"/>
    <w:rsid w:val="00513F5E"/>
    <w:rsid w:val="005140DA"/>
    <w:rsid w:val="005141D3"/>
    <w:rsid w:val="0051436B"/>
    <w:rsid w:val="005143D8"/>
    <w:rsid w:val="0051464B"/>
    <w:rsid w:val="00514AA4"/>
    <w:rsid w:val="00514C7F"/>
    <w:rsid w:val="00514EC5"/>
    <w:rsid w:val="00515167"/>
    <w:rsid w:val="005151A0"/>
    <w:rsid w:val="00515420"/>
    <w:rsid w:val="00515617"/>
    <w:rsid w:val="00515717"/>
    <w:rsid w:val="00515B22"/>
    <w:rsid w:val="00515BA4"/>
    <w:rsid w:val="00515D11"/>
    <w:rsid w:val="00515E47"/>
    <w:rsid w:val="00515EE5"/>
    <w:rsid w:val="00515F36"/>
    <w:rsid w:val="00515F3A"/>
    <w:rsid w:val="00515F91"/>
    <w:rsid w:val="00516208"/>
    <w:rsid w:val="005163C4"/>
    <w:rsid w:val="0051658A"/>
    <w:rsid w:val="005165F4"/>
    <w:rsid w:val="00516768"/>
    <w:rsid w:val="0051677F"/>
    <w:rsid w:val="00516B24"/>
    <w:rsid w:val="00516D82"/>
    <w:rsid w:val="00516E08"/>
    <w:rsid w:val="00516E31"/>
    <w:rsid w:val="00516ED7"/>
    <w:rsid w:val="00517049"/>
    <w:rsid w:val="00517317"/>
    <w:rsid w:val="0051740D"/>
    <w:rsid w:val="00517559"/>
    <w:rsid w:val="0051765D"/>
    <w:rsid w:val="005179AD"/>
    <w:rsid w:val="00517C2B"/>
    <w:rsid w:val="00517EB5"/>
    <w:rsid w:val="00517F85"/>
    <w:rsid w:val="005201FD"/>
    <w:rsid w:val="00520825"/>
    <w:rsid w:val="00520945"/>
    <w:rsid w:val="00520B15"/>
    <w:rsid w:val="00520B49"/>
    <w:rsid w:val="00520D5A"/>
    <w:rsid w:val="00520E20"/>
    <w:rsid w:val="00521033"/>
    <w:rsid w:val="00521193"/>
    <w:rsid w:val="005216B7"/>
    <w:rsid w:val="00521761"/>
    <w:rsid w:val="0052186E"/>
    <w:rsid w:val="00521D50"/>
    <w:rsid w:val="00521DC9"/>
    <w:rsid w:val="005220BF"/>
    <w:rsid w:val="0052213C"/>
    <w:rsid w:val="00522B06"/>
    <w:rsid w:val="00522D77"/>
    <w:rsid w:val="00522DAE"/>
    <w:rsid w:val="00522E2F"/>
    <w:rsid w:val="005230CA"/>
    <w:rsid w:val="00523646"/>
    <w:rsid w:val="00523757"/>
    <w:rsid w:val="00523A29"/>
    <w:rsid w:val="0052401F"/>
    <w:rsid w:val="0052430E"/>
    <w:rsid w:val="005243A6"/>
    <w:rsid w:val="00524679"/>
    <w:rsid w:val="00524B9F"/>
    <w:rsid w:val="00524E01"/>
    <w:rsid w:val="00524F53"/>
    <w:rsid w:val="00524FB5"/>
    <w:rsid w:val="00525101"/>
    <w:rsid w:val="0052513C"/>
    <w:rsid w:val="005251BA"/>
    <w:rsid w:val="00525596"/>
    <w:rsid w:val="00525754"/>
    <w:rsid w:val="00525923"/>
    <w:rsid w:val="0052595A"/>
    <w:rsid w:val="00525A7C"/>
    <w:rsid w:val="00525B5B"/>
    <w:rsid w:val="00525E42"/>
    <w:rsid w:val="00525E7F"/>
    <w:rsid w:val="00525F23"/>
    <w:rsid w:val="00525FC5"/>
    <w:rsid w:val="00526083"/>
    <w:rsid w:val="005260C8"/>
    <w:rsid w:val="00526268"/>
    <w:rsid w:val="00526330"/>
    <w:rsid w:val="00526342"/>
    <w:rsid w:val="00526490"/>
    <w:rsid w:val="005264B7"/>
    <w:rsid w:val="005265A8"/>
    <w:rsid w:val="005265B6"/>
    <w:rsid w:val="005267E4"/>
    <w:rsid w:val="00526B15"/>
    <w:rsid w:val="00526D52"/>
    <w:rsid w:val="00526DAE"/>
    <w:rsid w:val="00526E72"/>
    <w:rsid w:val="00526E7E"/>
    <w:rsid w:val="00526F37"/>
    <w:rsid w:val="00527154"/>
    <w:rsid w:val="005271F0"/>
    <w:rsid w:val="00527218"/>
    <w:rsid w:val="00527303"/>
    <w:rsid w:val="005273A8"/>
    <w:rsid w:val="005273E0"/>
    <w:rsid w:val="0052775F"/>
    <w:rsid w:val="005277A6"/>
    <w:rsid w:val="00527B29"/>
    <w:rsid w:val="00527B6B"/>
    <w:rsid w:val="00527C30"/>
    <w:rsid w:val="00527C7F"/>
    <w:rsid w:val="00527C84"/>
    <w:rsid w:val="00527D80"/>
    <w:rsid w:val="0053067D"/>
    <w:rsid w:val="00530739"/>
    <w:rsid w:val="005308F5"/>
    <w:rsid w:val="00530A66"/>
    <w:rsid w:val="00530BD3"/>
    <w:rsid w:val="00530D66"/>
    <w:rsid w:val="00530DE8"/>
    <w:rsid w:val="00530E92"/>
    <w:rsid w:val="00530F0F"/>
    <w:rsid w:val="00530FEE"/>
    <w:rsid w:val="005311C1"/>
    <w:rsid w:val="005312D6"/>
    <w:rsid w:val="005314EE"/>
    <w:rsid w:val="00531944"/>
    <w:rsid w:val="00531A31"/>
    <w:rsid w:val="00531A91"/>
    <w:rsid w:val="00531AA0"/>
    <w:rsid w:val="00531BFA"/>
    <w:rsid w:val="00531CC3"/>
    <w:rsid w:val="005320C6"/>
    <w:rsid w:val="005320CB"/>
    <w:rsid w:val="0053260E"/>
    <w:rsid w:val="00532786"/>
    <w:rsid w:val="00532BC1"/>
    <w:rsid w:val="00532D0D"/>
    <w:rsid w:val="00532E62"/>
    <w:rsid w:val="00532F11"/>
    <w:rsid w:val="00532FF1"/>
    <w:rsid w:val="005332B1"/>
    <w:rsid w:val="0053349D"/>
    <w:rsid w:val="005335A6"/>
    <w:rsid w:val="005335EC"/>
    <w:rsid w:val="005336E4"/>
    <w:rsid w:val="00533766"/>
    <w:rsid w:val="00533963"/>
    <w:rsid w:val="00533A72"/>
    <w:rsid w:val="00533D34"/>
    <w:rsid w:val="00533F6A"/>
    <w:rsid w:val="00533F78"/>
    <w:rsid w:val="00534488"/>
    <w:rsid w:val="005344B8"/>
    <w:rsid w:val="005344F5"/>
    <w:rsid w:val="005347D5"/>
    <w:rsid w:val="0053487E"/>
    <w:rsid w:val="00534B9C"/>
    <w:rsid w:val="00534BCA"/>
    <w:rsid w:val="00534C4E"/>
    <w:rsid w:val="0053564B"/>
    <w:rsid w:val="0053570E"/>
    <w:rsid w:val="005359A2"/>
    <w:rsid w:val="00535BD6"/>
    <w:rsid w:val="00535DBC"/>
    <w:rsid w:val="005360A1"/>
    <w:rsid w:val="005360DF"/>
    <w:rsid w:val="0053624E"/>
    <w:rsid w:val="00536262"/>
    <w:rsid w:val="00536554"/>
    <w:rsid w:val="00536583"/>
    <w:rsid w:val="00536595"/>
    <w:rsid w:val="00536A73"/>
    <w:rsid w:val="00536B03"/>
    <w:rsid w:val="00536BAD"/>
    <w:rsid w:val="00536DAE"/>
    <w:rsid w:val="00536F26"/>
    <w:rsid w:val="00537114"/>
    <w:rsid w:val="005371DE"/>
    <w:rsid w:val="00537278"/>
    <w:rsid w:val="00537305"/>
    <w:rsid w:val="0053759D"/>
    <w:rsid w:val="00537721"/>
    <w:rsid w:val="00537727"/>
    <w:rsid w:val="00537749"/>
    <w:rsid w:val="005379A6"/>
    <w:rsid w:val="00537BE6"/>
    <w:rsid w:val="00540084"/>
    <w:rsid w:val="005400EA"/>
    <w:rsid w:val="005402FC"/>
    <w:rsid w:val="0054052A"/>
    <w:rsid w:val="00540848"/>
    <w:rsid w:val="005409C1"/>
    <w:rsid w:val="00540B7E"/>
    <w:rsid w:val="00540C0D"/>
    <w:rsid w:val="00540C27"/>
    <w:rsid w:val="00540DC6"/>
    <w:rsid w:val="00540E62"/>
    <w:rsid w:val="0054130D"/>
    <w:rsid w:val="00541440"/>
    <w:rsid w:val="005414BE"/>
    <w:rsid w:val="00541526"/>
    <w:rsid w:val="0054161F"/>
    <w:rsid w:val="00541896"/>
    <w:rsid w:val="0054195B"/>
    <w:rsid w:val="00541BCC"/>
    <w:rsid w:val="00541E5F"/>
    <w:rsid w:val="00541F13"/>
    <w:rsid w:val="00541F3E"/>
    <w:rsid w:val="00541FAA"/>
    <w:rsid w:val="005426F0"/>
    <w:rsid w:val="00542A61"/>
    <w:rsid w:val="00542B5B"/>
    <w:rsid w:val="00542B94"/>
    <w:rsid w:val="00542D6E"/>
    <w:rsid w:val="00542E48"/>
    <w:rsid w:val="00542E80"/>
    <w:rsid w:val="00543136"/>
    <w:rsid w:val="00543268"/>
    <w:rsid w:val="00543392"/>
    <w:rsid w:val="00543450"/>
    <w:rsid w:val="00543A43"/>
    <w:rsid w:val="00543A6F"/>
    <w:rsid w:val="00543B9F"/>
    <w:rsid w:val="00543BC3"/>
    <w:rsid w:val="00543FCD"/>
    <w:rsid w:val="0054407F"/>
    <w:rsid w:val="005440FC"/>
    <w:rsid w:val="00544111"/>
    <w:rsid w:val="0054420A"/>
    <w:rsid w:val="005443F0"/>
    <w:rsid w:val="0054483C"/>
    <w:rsid w:val="005449EE"/>
    <w:rsid w:val="00544B77"/>
    <w:rsid w:val="00544D28"/>
    <w:rsid w:val="00544DD0"/>
    <w:rsid w:val="00544ECA"/>
    <w:rsid w:val="00544F39"/>
    <w:rsid w:val="00544F83"/>
    <w:rsid w:val="00545189"/>
    <w:rsid w:val="005454EA"/>
    <w:rsid w:val="0054567A"/>
    <w:rsid w:val="00545722"/>
    <w:rsid w:val="00545A61"/>
    <w:rsid w:val="00545BB9"/>
    <w:rsid w:val="00545E8A"/>
    <w:rsid w:val="00545ED5"/>
    <w:rsid w:val="00545EF7"/>
    <w:rsid w:val="00545F1F"/>
    <w:rsid w:val="00545F32"/>
    <w:rsid w:val="00546200"/>
    <w:rsid w:val="00546299"/>
    <w:rsid w:val="005466A1"/>
    <w:rsid w:val="005466D4"/>
    <w:rsid w:val="005469E2"/>
    <w:rsid w:val="00546AA5"/>
    <w:rsid w:val="00546C03"/>
    <w:rsid w:val="00546F72"/>
    <w:rsid w:val="005472C0"/>
    <w:rsid w:val="0054750E"/>
    <w:rsid w:val="005475D8"/>
    <w:rsid w:val="00547706"/>
    <w:rsid w:val="005477C6"/>
    <w:rsid w:val="0054785B"/>
    <w:rsid w:val="00547928"/>
    <w:rsid w:val="00547C5A"/>
    <w:rsid w:val="00547C76"/>
    <w:rsid w:val="00547DAE"/>
    <w:rsid w:val="00547E3B"/>
    <w:rsid w:val="00550084"/>
    <w:rsid w:val="00550103"/>
    <w:rsid w:val="00550173"/>
    <w:rsid w:val="00550264"/>
    <w:rsid w:val="0055040A"/>
    <w:rsid w:val="0055055F"/>
    <w:rsid w:val="0055067B"/>
    <w:rsid w:val="0055071A"/>
    <w:rsid w:val="00550A3A"/>
    <w:rsid w:val="00550AB2"/>
    <w:rsid w:val="00550C52"/>
    <w:rsid w:val="00551282"/>
    <w:rsid w:val="005515C9"/>
    <w:rsid w:val="0055168C"/>
    <w:rsid w:val="00551775"/>
    <w:rsid w:val="005517B1"/>
    <w:rsid w:val="005517D8"/>
    <w:rsid w:val="0055186C"/>
    <w:rsid w:val="005519E2"/>
    <w:rsid w:val="005520F5"/>
    <w:rsid w:val="00552127"/>
    <w:rsid w:val="0055228C"/>
    <w:rsid w:val="005522CE"/>
    <w:rsid w:val="00552385"/>
    <w:rsid w:val="00552540"/>
    <w:rsid w:val="00552656"/>
    <w:rsid w:val="00552762"/>
    <w:rsid w:val="00552808"/>
    <w:rsid w:val="00552911"/>
    <w:rsid w:val="00552EB9"/>
    <w:rsid w:val="00552F0E"/>
    <w:rsid w:val="00553555"/>
    <w:rsid w:val="00553566"/>
    <w:rsid w:val="00553695"/>
    <w:rsid w:val="00553760"/>
    <w:rsid w:val="005537C4"/>
    <w:rsid w:val="005538F5"/>
    <w:rsid w:val="00553A2F"/>
    <w:rsid w:val="00553C10"/>
    <w:rsid w:val="00553CED"/>
    <w:rsid w:val="00553F6A"/>
    <w:rsid w:val="00554072"/>
    <w:rsid w:val="00554276"/>
    <w:rsid w:val="005545C0"/>
    <w:rsid w:val="005546D3"/>
    <w:rsid w:val="005547CE"/>
    <w:rsid w:val="00554972"/>
    <w:rsid w:val="005549EA"/>
    <w:rsid w:val="00554A0E"/>
    <w:rsid w:val="00554A76"/>
    <w:rsid w:val="00554ABD"/>
    <w:rsid w:val="00554BC5"/>
    <w:rsid w:val="00554D0C"/>
    <w:rsid w:val="00554DD3"/>
    <w:rsid w:val="005550A9"/>
    <w:rsid w:val="00555393"/>
    <w:rsid w:val="005554A7"/>
    <w:rsid w:val="0055559E"/>
    <w:rsid w:val="005555E3"/>
    <w:rsid w:val="00555664"/>
    <w:rsid w:val="00555684"/>
    <w:rsid w:val="00555BE1"/>
    <w:rsid w:val="00555F5A"/>
    <w:rsid w:val="0055611D"/>
    <w:rsid w:val="005562A0"/>
    <w:rsid w:val="005562E0"/>
    <w:rsid w:val="00556440"/>
    <w:rsid w:val="005565A7"/>
    <w:rsid w:val="0055662C"/>
    <w:rsid w:val="0055666D"/>
    <w:rsid w:val="00556687"/>
    <w:rsid w:val="00556865"/>
    <w:rsid w:val="005569CE"/>
    <w:rsid w:val="00556D05"/>
    <w:rsid w:val="00556FB5"/>
    <w:rsid w:val="00557160"/>
    <w:rsid w:val="005572DD"/>
    <w:rsid w:val="00557382"/>
    <w:rsid w:val="00557595"/>
    <w:rsid w:val="005577D1"/>
    <w:rsid w:val="00557923"/>
    <w:rsid w:val="00557A2B"/>
    <w:rsid w:val="00557B06"/>
    <w:rsid w:val="00557F9A"/>
    <w:rsid w:val="005603E1"/>
    <w:rsid w:val="00560521"/>
    <w:rsid w:val="005605C0"/>
    <w:rsid w:val="005608CF"/>
    <w:rsid w:val="00560B8F"/>
    <w:rsid w:val="00560BAC"/>
    <w:rsid w:val="00560CD4"/>
    <w:rsid w:val="00560DE3"/>
    <w:rsid w:val="00560E84"/>
    <w:rsid w:val="00560EEC"/>
    <w:rsid w:val="005610DD"/>
    <w:rsid w:val="0056111D"/>
    <w:rsid w:val="0056161F"/>
    <w:rsid w:val="0056169A"/>
    <w:rsid w:val="005617A2"/>
    <w:rsid w:val="0056192C"/>
    <w:rsid w:val="00561DB8"/>
    <w:rsid w:val="00561E27"/>
    <w:rsid w:val="00561E8E"/>
    <w:rsid w:val="005620D6"/>
    <w:rsid w:val="00562168"/>
    <w:rsid w:val="00562237"/>
    <w:rsid w:val="00562A66"/>
    <w:rsid w:val="00562B00"/>
    <w:rsid w:val="00562F17"/>
    <w:rsid w:val="00563116"/>
    <w:rsid w:val="0056323F"/>
    <w:rsid w:val="00563572"/>
    <w:rsid w:val="005635F2"/>
    <w:rsid w:val="005636D1"/>
    <w:rsid w:val="00563B47"/>
    <w:rsid w:val="00563C7E"/>
    <w:rsid w:val="00563CB7"/>
    <w:rsid w:val="00563D65"/>
    <w:rsid w:val="005643BF"/>
    <w:rsid w:val="00564441"/>
    <w:rsid w:val="005644D3"/>
    <w:rsid w:val="00564546"/>
    <w:rsid w:val="005645F8"/>
    <w:rsid w:val="0056466C"/>
    <w:rsid w:val="00564813"/>
    <w:rsid w:val="00564A8F"/>
    <w:rsid w:val="00564B23"/>
    <w:rsid w:val="00564C5D"/>
    <w:rsid w:val="00564C6A"/>
    <w:rsid w:val="00564C6D"/>
    <w:rsid w:val="00564DFA"/>
    <w:rsid w:val="00564E3B"/>
    <w:rsid w:val="00564F87"/>
    <w:rsid w:val="00565019"/>
    <w:rsid w:val="0056518F"/>
    <w:rsid w:val="0056533C"/>
    <w:rsid w:val="00565625"/>
    <w:rsid w:val="0056571A"/>
    <w:rsid w:val="005659A5"/>
    <w:rsid w:val="00565E1D"/>
    <w:rsid w:val="00565F31"/>
    <w:rsid w:val="005663C5"/>
    <w:rsid w:val="0056656E"/>
    <w:rsid w:val="00566663"/>
    <w:rsid w:val="005666B4"/>
    <w:rsid w:val="005667F2"/>
    <w:rsid w:val="005667F6"/>
    <w:rsid w:val="0056681B"/>
    <w:rsid w:val="0056694A"/>
    <w:rsid w:val="00566AA0"/>
    <w:rsid w:val="00566AE3"/>
    <w:rsid w:val="00566B30"/>
    <w:rsid w:val="00566C28"/>
    <w:rsid w:val="00566C62"/>
    <w:rsid w:val="00566C8A"/>
    <w:rsid w:val="00566CA9"/>
    <w:rsid w:val="00566D8D"/>
    <w:rsid w:val="00566EC8"/>
    <w:rsid w:val="00567094"/>
    <w:rsid w:val="0056720E"/>
    <w:rsid w:val="005674D0"/>
    <w:rsid w:val="00567791"/>
    <w:rsid w:val="005677AA"/>
    <w:rsid w:val="0056793B"/>
    <w:rsid w:val="00567A79"/>
    <w:rsid w:val="00567A93"/>
    <w:rsid w:val="00567B55"/>
    <w:rsid w:val="00567C09"/>
    <w:rsid w:val="00567CCD"/>
    <w:rsid w:val="00567D6D"/>
    <w:rsid w:val="00567E44"/>
    <w:rsid w:val="00567EE0"/>
    <w:rsid w:val="00567FC1"/>
    <w:rsid w:val="00570188"/>
    <w:rsid w:val="0057019C"/>
    <w:rsid w:val="00570333"/>
    <w:rsid w:val="00570361"/>
    <w:rsid w:val="00570425"/>
    <w:rsid w:val="0057072C"/>
    <w:rsid w:val="00570A2F"/>
    <w:rsid w:val="00570B09"/>
    <w:rsid w:val="00571033"/>
    <w:rsid w:val="0057108C"/>
    <w:rsid w:val="005711A7"/>
    <w:rsid w:val="00571412"/>
    <w:rsid w:val="0057153F"/>
    <w:rsid w:val="005717E1"/>
    <w:rsid w:val="00571988"/>
    <w:rsid w:val="00571C5E"/>
    <w:rsid w:val="00571D28"/>
    <w:rsid w:val="00571E9E"/>
    <w:rsid w:val="00571EC8"/>
    <w:rsid w:val="00571FAC"/>
    <w:rsid w:val="00571FAF"/>
    <w:rsid w:val="00572099"/>
    <w:rsid w:val="005722DB"/>
    <w:rsid w:val="0057237C"/>
    <w:rsid w:val="00572399"/>
    <w:rsid w:val="00572498"/>
    <w:rsid w:val="005726C5"/>
    <w:rsid w:val="00572743"/>
    <w:rsid w:val="00572794"/>
    <w:rsid w:val="005728B9"/>
    <w:rsid w:val="005729DF"/>
    <w:rsid w:val="00572AAE"/>
    <w:rsid w:val="00572AB7"/>
    <w:rsid w:val="00572BA8"/>
    <w:rsid w:val="00572BB5"/>
    <w:rsid w:val="00572F6A"/>
    <w:rsid w:val="00573046"/>
    <w:rsid w:val="00573118"/>
    <w:rsid w:val="00573417"/>
    <w:rsid w:val="005734F3"/>
    <w:rsid w:val="00573500"/>
    <w:rsid w:val="005735B2"/>
    <w:rsid w:val="005735D6"/>
    <w:rsid w:val="005736A2"/>
    <w:rsid w:val="005738AF"/>
    <w:rsid w:val="005738FD"/>
    <w:rsid w:val="0057395A"/>
    <w:rsid w:val="005739A0"/>
    <w:rsid w:val="005739FA"/>
    <w:rsid w:val="00573F5C"/>
    <w:rsid w:val="00573FA5"/>
    <w:rsid w:val="00573FA8"/>
    <w:rsid w:val="00574118"/>
    <w:rsid w:val="0057433E"/>
    <w:rsid w:val="00574746"/>
    <w:rsid w:val="00574857"/>
    <w:rsid w:val="00574874"/>
    <w:rsid w:val="00574B1D"/>
    <w:rsid w:val="00574BA6"/>
    <w:rsid w:val="00574DA2"/>
    <w:rsid w:val="00574FF0"/>
    <w:rsid w:val="005750D3"/>
    <w:rsid w:val="00575349"/>
    <w:rsid w:val="005753AE"/>
    <w:rsid w:val="00575AF5"/>
    <w:rsid w:val="00575E5D"/>
    <w:rsid w:val="0057601C"/>
    <w:rsid w:val="0057603F"/>
    <w:rsid w:val="0057662F"/>
    <w:rsid w:val="00576F46"/>
    <w:rsid w:val="005771C1"/>
    <w:rsid w:val="00577218"/>
    <w:rsid w:val="00577330"/>
    <w:rsid w:val="00577380"/>
    <w:rsid w:val="005775A7"/>
    <w:rsid w:val="005775EB"/>
    <w:rsid w:val="005776E1"/>
    <w:rsid w:val="00577874"/>
    <w:rsid w:val="00577B83"/>
    <w:rsid w:val="00577CB1"/>
    <w:rsid w:val="00577CC1"/>
    <w:rsid w:val="00577CF0"/>
    <w:rsid w:val="00577CFF"/>
    <w:rsid w:val="00577D0B"/>
    <w:rsid w:val="00577D2F"/>
    <w:rsid w:val="00577E69"/>
    <w:rsid w:val="00577FB1"/>
    <w:rsid w:val="00580455"/>
    <w:rsid w:val="005806BD"/>
    <w:rsid w:val="005807E7"/>
    <w:rsid w:val="00580836"/>
    <w:rsid w:val="0058084C"/>
    <w:rsid w:val="00580B1A"/>
    <w:rsid w:val="00580FCD"/>
    <w:rsid w:val="00580FEE"/>
    <w:rsid w:val="00581032"/>
    <w:rsid w:val="005815BD"/>
    <w:rsid w:val="00581703"/>
    <w:rsid w:val="00581769"/>
    <w:rsid w:val="005817C5"/>
    <w:rsid w:val="005817D4"/>
    <w:rsid w:val="005818AA"/>
    <w:rsid w:val="00581901"/>
    <w:rsid w:val="00581947"/>
    <w:rsid w:val="00581982"/>
    <w:rsid w:val="005819C6"/>
    <w:rsid w:val="00581BA2"/>
    <w:rsid w:val="0058234F"/>
    <w:rsid w:val="0058250A"/>
    <w:rsid w:val="00582A66"/>
    <w:rsid w:val="00582BE8"/>
    <w:rsid w:val="00582DC0"/>
    <w:rsid w:val="00582E62"/>
    <w:rsid w:val="005831DC"/>
    <w:rsid w:val="005832FA"/>
    <w:rsid w:val="005835D6"/>
    <w:rsid w:val="00583A38"/>
    <w:rsid w:val="00583DBC"/>
    <w:rsid w:val="00583F34"/>
    <w:rsid w:val="00583F95"/>
    <w:rsid w:val="00584210"/>
    <w:rsid w:val="005842B8"/>
    <w:rsid w:val="005842EA"/>
    <w:rsid w:val="005843F5"/>
    <w:rsid w:val="0058466E"/>
    <w:rsid w:val="00584912"/>
    <w:rsid w:val="005849FD"/>
    <w:rsid w:val="00584B11"/>
    <w:rsid w:val="00584BE5"/>
    <w:rsid w:val="00584F10"/>
    <w:rsid w:val="005854DB"/>
    <w:rsid w:val="0058551D"/>
    <w:rsid w:val="00585590"/>
    <w:rsid w:val="00585B2A"/>
    <w:rsid w:val="00585CFA"/>
    <w:rsid w:val="00585DD7"/>
    <w:rsid w:val="00585DDB"/>
    <w:rsid w:val="00585EAB"/>
    <w:rsid w:val="005860AE"/>
    <w:rsid w:val="005862B1"/>
    <w:rsid w:val="00586310"/>
    <w:rsid w:val="00586321"/>
    <w:rsid w:val="0058650E"/>
    <w:rsid w:val="00586555"/>
    <w:rsid w:val="00586665"/>
    <w:rsid w:val="00586688"/>
    <w:rsid w:val="0058668F"/>
    <w:rsid w:val="00586825"/>
    <w:rsid w:val="0058687A"/>
    <w:rsid w:val="00586AD5"/>
    <w:rsid w:val="00586B1D"/>
    <w:rsid w:val="00586CE2"/>
    <w:rsid w:val="00587379"/>
    <w:rsid w:val="005875AE"/>
    <w:rsid w:val="005875DD"/>
    <w:rsid w:val="0058792E"/>
    <w:rsid w:val="0058793E"/>
    <w:rsid w:val="00587BA5"/>
    <w:rsid w:val="00587BFF"/>
    <w:rsid w:val="00587C54"/>
    <w:rsid w:val="00587D17"/>
    <w:rsid w:val="00587D75"/>
    <w:rsid w:val="00587DE6"/>
    <w:rsid w:val="00590026"/>
    <w:rsid w:val="0059033E"/>
    <w:rsid w:val="0059065C"/>
    <w:rsid w:val="005906C6"/>
    <w:rsid w:val="005906EE"/>
    <w:rsid w:val="0059077A"/>
    <w:rsid w:val="00590AB9"/>
    <w:rsid w:val="00590B44"/>
    <w:rsid w:val="00590B45"/>
    <w:rsid w:val="00590B96"/>
    <w:rsid w:val="00590BAE"/>
    <w:rsid w:val="00590D1C"/>
    <w:rsid w:val="00590EA1"/>
    <w:rsid w:val="00590F37"/>
    <w:rsid w:val="00591126"/>
    <w:rsid w:val="00591476"/>
    <w:rsid w:val="0059176D"/>
    <w:rsid w:val="005918AF"/>
    <w:rsid w:val="00591A79"/>
    <w:rsid w:val="00591BA6"/>
    <w:rsid w:val="00591C5E"/>
    <w:rsid w:val="00591C76"/>
    <w:rsid w:val="00591F8A"/>
    <w:rsid w:val="005920C8"/>
    <w:rsid w:val="00592311"/>
    <w:rsid w:val="005923E9"/>
    <w:rsid w:val="005925D6"/>
    <w:rsid w:val="005927BF"/>
    <w:rsid w:val="0059285D"/>
    <w:rsid w:val="00592B3E"/>
    <w:rsid w:val="00592C1E"/>
    <w:rsid w:val="00592C54"/>
    <w:rsid w:val="00592D99"/>
    <w:rsid w:val="00592E26"/>
    <w:rsid w:val="0059307F"/>
    <w:rsid w:val="00593609"/>
    <w:rsid w:val="00593979"/>
    <w:rsid w:val="00593A24"/>
    <w:rsid w:val="00593B25"/>
    <w:rsid w:val="00593F1B"/>
    <w:rsid w:val="00594248"/>
    <w:rsid w:val="0059432E"/>
    <w:rsid w:val="00594481"/>
    <w:rsid w:val="00594612"/>
    <w:rsid w:val="005946DB"/>
    <w:rsid w:val="005947C3"/>
    <w:rsid w:val="00594AB2"/>
    <w:rsid w:val="00594B15"/>
    <w:rsid w:val="00594B49"/>
    <w:rsid w:val="00594BC7"/>
    <w:rsid w:val="00594C67"/>
    <w:rsid w:val="00594D70"/>
    <w:rsid w:val="00594E52"/>
    <w:rsid w:val="00594EDF"/>
    <w:rsid w:val="0059515C"/>
    <w:rsid w:val="00595202"/>
    <w:rsid w:val="00595233"/>
    <w:rsid w:val="005952FA"/>
    <w:rsid w:val="0059547A"/>
    <w:rsid w:val="005954F1"/>
    <w:rsid w:val="0059551F"/>
    <w:rsid w:val="0059559D"/>
    <w:rsid w:val="0059562E"/>
    <w:rsid w:val="005956AE"/>
    <w:rsid w:val="005956EC"/>
    <w:rsid w:val="0059583B"/>
    <w:rsid w:val="00595939"/>
    <w:rsid w:val="0059593D"/>
    <w:rsid w:val="00595C76"/>
    <w:rsid w:val="00595D6C"/>
    <w:rsid w:val="00595E6B"/>
    <w:rsid w:val="00595F3F"/>
    <w:rsid w:val="00596277"/>
    <w:rsid w:val="005965EC"/>
    <w:rsid w:val="005967E1"/>
    <w:rsid w:val="005968B8"/>
    <w:rsid w:val="005968CF"/>
    <w:rsid w:val="00596B88"/>
    <w:rsid w:val="00596D3C"/>
    <w:rsid w:val="005971F5"/>
    <w:rsid w:val="00597242"/>
    <w:rsid w:val="0059726B"/>
    <w:rsid w:val="005974F5"/>
    <w:rsid w:val="0059765C"/>
    <w:rsid w:val="00597689"/>
    <w:rsid w:val="005976FC"/>
    <w:rsid w:val="00597EDD"/>
    <w:rsid w:val="005A00EA"/>
    <w:rsid w:val="005A022B"/>
    <w:rsid w:val="005A04A5"/>
    <w:rsid w:val="005A0504"/>
    <w:rsid w:val="005A058F"/>
    <w:rsid w:val="005A082D"/>
    <w:rsid w:val="005A0894"/>
    <w:rsid w:val="005A0B3B"/>
    <w:rsid w:val="005A0D74"/>
    <w:rsid w:val="005A11E2"/>
    <w:rsid w:val="005A1539"/>
    <w:rsid w:val="005A15A4"/>
    <w:rsid w:val="005A191D"/>
    <w:rsid w:val="005A19BC"/>
    <w:rsid w:val="005A1AB9"/>
    <w:rsid w:val="005A2197"/>
    <w:rsid w:val="005A2235"/>
    <w:rsid w:val="005A258D"/>
    <w:rsid w:val="005A2696"/>
    <w:rsid w:val="005A27DD"/>
    <w:rsid w:val="005A2D0D"/>
    <w:rsid w:val="005A2F7D"/>
    <w:rsid w:val="005A316B"/>
    <w:rsid w:val="005A35EB"/>
    <w:rsid w:val="005A3668"/>
    <w:rsid w:val="005A3765"/>
    <w:rsid w:val="005A38A2"/>
    <w:rsid w:val="005A38C7"/>
    <w:rsid w:val="005A38D5"/>
    <w:rsid w:val="005A39CB"/>
    <w:rsid w:val="005A3A2C"/>
    <w:rsid w:val="005A3A61"/>
    <w:rsid w:val="005A3D2A"/>
    <w:rsid w:val="005A3D3C"/>
    <w:rsid w:val="005A3FAD"/>
    <w:rsid w:val="005A402C"/>
    <w:rsid w:val="005A4438"/>
    <w:rsid w:val="005A4474"/>
    <w:rsid w:val="005A452D"/>
    <w:rsid w:val="005A4655"/>
    <w:rsid w:val="005A4BC3"/>
    <w:rsid w:val="005A4BCF"/>
    <w:rsid w:val="005A5622"/>
    <w:rsid w:val="005A599E"/>
    <w:rsid w:val="005A5F6B"/>
    <w:rsid w:val="005A60E4"/>
    <w:rsid w:val="005A6275"/>
    <w:rsid w:val="005A64AB"/>
    <w:rsid w:val="005A6505"/>
    <w:rsid w:val="005A6546"/>
    <w:rsid w:val="005A657E"/>
    <w:rsid w:val="005A693C"/>
    <w:rsid w:val="005A6B4F"/>
    <w:rsid w:val="005A6E29"/>
    <w:rsid w:val="005A6E8E"/>
    <w:rsid w:val="005A6EFE"/>
    <w:rsid w:val="005A7271"/>
    <w:rsid w:val="005A73B8"/>
    <w:rsid w:val="005A746B"/>
    <w:rsid w:val="005A75B1"/>
    <w:rsid w:val="005A7731"/>
    <w:rsid w:val="005A7AA5"/>
    <w:rsid w:val="005A7B03"/>
    <w:rsid w:val="005A7EE2"/>
    <w:rsid w:val="005A7F37"/>
    <w:rsid w:val="005A7F5D"/>
    <w:rsid w:val="005A7F93"/>
    <w:rsid w:val="005B0067"/>
    <w:rsid w:val="005B00BD"/>
    <w:rsid w:val="005B01B4"/>
    <w:rsid w:val="005B03B0"/>
    <w:rsid w:val="005B03C0"/>
    <w:rsid w:val="005B045B"/>
    <w:rsid w:val="005B062F"/>
    <w:rsid w:val="005B06A6"/>
    <w:rsid w:val="005B078D"/>
    <w:rsid w:val="005B0ADD"/>
    <w:rsid w:val="005B0BC5"/>
    <w:rsid w:val="005B0DB1"/>
    <w:rsid w:val="005B0E4A"/>
    <w:rsid w:val="005B0E4C"/>
    <w:rsid w:val="005B127B"/>
    <w:rsid w:val="005B131B"/>
    <w:rsid w:val="005B1412"/>
    <w:rsid w:val="005B156E"/>
    <w:rsid w:val="005B15B3"/>
    <w:rsid w:val="005B182D"/>
    <w:rsid w:val="005B1917"/>
    <w:rsid w:val="005B19BB"/>
    <w:rsid w:val="005B1A41"/>
    <w:rsid w:val="005B1BC7"/>
    <w:rsid w:val="005B1C5E"/>
    <w:rsid w:val="005B1E44"/>
    <w:rsid w:val="005B2056"/>
    <w:rsid w:val="005B2527"/>
    <w:rsid w:val="005B256B"/>
    <w:rsid w:val="005B25CC"/>
    <w:rsid w:val="005B25EA"/>
    <w:rsid w:val="005B2887"/>
    <w:rsid w:val="005B2996"/>
    <w:rsid w:val="005B2F71"/>
    <w:rsid w:val="005B34A1"/>
    <w:rsid w:val="005B34C0"/>
    <w:rsid w:val="005B372C"/>
    <w:rsid w:val="005B393C"/>
    <w:rsid w:val="005B3AA3"/>
    <w:rsid w:val="005B3DC7"/>
    <w:rsid w:val="005B3E47"/>
    <w:rsid w:val="005B411E"/>
    <w:rsid w:val="005B4273"/>
    <w:rsid w:val="005B4619"/>
    <w:rsid w:val="005B465E"/>
    <w:rsid w:val="005B46B1"/>
    <w:rsid w:val="005B4792"/>
    <w:rsid w:val="005B480A"/>
    <w:rsid w:val="005B48BC"/>
    <w:rsid w:val="005B4A03"/>
    <w:rsid w:val="005B4AA5"/>
    <w:rsid w:val="005B4B4D"/>
    <w:rsid w:val="005B4C53"/>
    <w:rsid w:val="005B4D41"/>
    <w:rsid w:val="005B4D76"/>
    <w:rsid w:val="005B4DC8"/>
    <w:rsid w:val="005B4E0B"/>
    <w:rsid w:val="005B4EA6"/>
    <w:rsid w:val="005B4EC3"/>
    <w:rsid w:val="005B4FFC"/>
    <w:rsid w:val="005B508E"/>
    <w:rsid w:val="005B515D"/>
    <w:rsid w:val="005B5185"/>
    <w:rsid w:val="005B546C"/>
    <w:rsid w:val="005B55F5"/>
    <w:rsid w:val="005B56D4"/>
    <w:rsid w:val="005B5852"/>
    <w:rsid w:val="005B59A3"/>
    <w:rsid w:val="005B5ADB"/>
    <w:rsid w:val="005B5B97"/>
    <w:rsid w:val="005B5E1D"/>
    <w:rsid w:val="005B5E5E"/>
    <w:rsid w:val="005B6145"/>
    <w:rsid w:val="005B6302"/>
    <w:rsid w:val="005B6307"/>
    <w:rsid w:val="005B6347"/>
    <w:rsid w:val="005B63D1"/>
    <w:rsid w:val="005B64B5"/>
    <w:rsid w:val="005B6538"/>
    <w:rsid w:val="005B6558"/>
    <w:rsid w:val="005B6574"/>
    <w:rsid w:val="005B6604"/>
    <w:rsid w:val="005B6636"/>
    <w:rsid w:val="005B69B4"/>
    <w:rsid w:val="005B6B08"/>
    <w:rsid w:val="005B6B26"/>
    <w:rsid w:val="005B6B41"/>
    <w:rsid w:val="005B6BE6"/>
    <w:rsid w:val="005B6F73"/>
    <w:rsid w:val="005B7070"/>
    <w:rsid w:val="005B738E"/>
    <w:rsid w:val="005B741E"/>
    <w:rsid w:val="005B7566"/>
    <w:rsid w:val="005B76D8"/>
    <w:rsid w:val="005B775C"/>
    <w:rsid w:val="005B7831"/>
    <w:rsid w:val="005B788B"/>
    <w:rsid w:val="005B795C"/>
    <w:rsid w:val="005B7AA9"/>
    <w:rsid w:val="005B7CA1"/>
    <w:rsid w:val="005B7E08"/>
    <w:rsid w:val="005B7E13"/>
    <w:rsid w:val="005B7E86"/>
    <w:rsid w:val="005C0184"/>
    <w:rsid w:val="005C01C1"/>
    <w:rsid w:val="005C021A"/>
    <w:rsid w:val="005C0422"/>
    <w:rsid w:val="005C072A"/>
    <w:rsid w:val="005C0AB5"/>
    <w:rsid w:val="005C0B43"/>
    <w:rsid w:val="005C0C92"/>
    <w:rsid w:val="005C0DC4"/>
    <w:rsid w:val="005C0F16"/>
    <w:rsid w:val="005C105D"/>
    <w:rsid w:val="005C1237"/>
    <w:rsid w:val="005C1432"/>
    <w:rsid w:val="005C1884"/>
    <w:rsid w:val="005C19D1"/>
    <w:rsid w:val="005C1A38"/>
    <w:rsid w:val="005C1C8C"/>
    <w:rsid w:val="005C1E2A"/>
    <w:rsid w:val="005C1E4A"/>
    <w:rsid w:val="005C1ED0"/>
    <w:rsid w:val="005C1F03"/>
    <w:rsid w:val="005C21C5"/>
    <w:rsid w:val="005C23A5"/>
    <w:rsid w:val="005C2808"/>
    <w:rsid w:val="005C2A2B"/>
    <w:rsid w:val="005C2CDE"/>
    <w:rsid w:val="005C2E3B"/>
    <w:rsid w:val="005C2EFB"/>
    <w:rsid w:val="005C313E"/>
    <w:rsid w:val="005C337A"/>
    <w:rsid w:val="005C3646"/>
    <w:rsid w:val="005C37E3"/>
    <w:rsid w:val="005C39B2"/>
    <w:rsid w:val="005C3BFD"/>
    <w:rsid w:val="005C410E"/>
    <w:rsid w:val="005C4483"/>
    <w:rsid w:val="005C4536"/>
    <w:rsid w:val="005C4545"/>
    <w:rsid w:val="005C463A"/>
    <w:rsid w:val="005C46AE"/>
    <w:rsid w:val="005C4B9E"/>
    <w:rsid w:val="005C4E3A"/>
    <w:rsid w:val="005C4F38"/>
    <w:rsid w:val="005C4FAA"/>
    <w:rsid w:val="005C50D5"/>
    <w:rsid w:val="005C5380"/>
    <w:rsid w:val="005C547C"/>
    <w:rsid w:val="005C55A8"/>
    <w:rsid w:val="005C5672"/>
    <w:rsid w:val="005C59C9"/>
    <w:rsid w:val="005C5A76"/>
    <w:rsid w:val="005C5ABD"/>
    <w:rsid w:val="005C5B33"/>
    <w:rsid w:val="005C61BF"/>
    <w:rsid w:val="005C6222"/>
    <w:rsid w:val="005C6394"/>
    <w:rsid w:val="005C6517"/>
    <w:rsid w:val="005C6687"/>
    <w:rsid w:val="005C66DC"/>
    <w:rsid w:val="005C6B5D"/>
    <w:rsid w:val="005C6CC6"/>
    <w:rsid w:val="005C6D52"/>
    <w:rsid w:val="005C6F68"/>
    <w:rsid w:val="005C70C7"/>
    <w:rsid w:val="005C7293"/>
    <w:rsid w:val="005C730A"/>
    <w:rsid w:val="005C7515"/>
    <w:rsid w:val="005C76B6"/>
    <w:rsid w:val="005C7742"/>
    <w:rsid w:val="005C7B7D"/>
    <w:rsid w:val="005D01C2"/>
    <w:rsid w:val="005D0233"/>
    <w:rsid w:val="005D065B"/>
    <w:rsid w:val="005D0754"/>
    <w:rsid w:val="005D0933"/>
    <w:rsid w:val="005D098A"/>
    <w:rsid w:val="005D0C4A"/>
    <w:rsid w:val="005D135D"/>
    <w:rsid w:val="005D15BA"/>
    <w:rsid w:val="005D1756"/>
    <w:rsid w:val="005D17E9"/>
    <w:rsid w:val="005D1EA8"/>
    <w:rsid w:val="005D1FD2"/>
    <w:rsid w:val="005D20F8"/>
    <w:rsid w:val="005D2265"/>
    <w:rsid w:val="005D22F7"/>
    <w:rsid w:val="005D2436"/>
    <w:rsid w:val="005D2446"/>
    <w:rsid w:val="005D2459"/>
    <w:rsid w:val="005D286A"/>
    <w:rsid w:val="005D2A79"/>
    <w:rsid w:val="005D2B83"/>
    <w:rsid w:val="005D2EEE"/>
    <w:rsid w:val="005D33EF"/>
    <w:rsid w:val="005D34EA"/>
    <w:rsid w:val="005D36E9"/>
    <w:rsid w:val="005D3965"/>
    <w:rsid w:val="005D3AE6"/>
    <w:rsid w:val="005D3B6D"/>
    <w:rsid w:val="005D3BCA"/>
    <w:rsid w:val="005D3C42"/>
    <w:rsid w:val="005D3D25"/>
    <w:rsid w:val="005D3FE8"/>
    <w:rsid w:val="005D43EA"/>
    <w:rsid w:val="005D4A80"/>
    <w:rsid w:val="005D4BFA"/>
    <w:rsid w:val="005D4E83"/>
    <w:rsid w:val="005D5032"/>
    <w:rsid w:val="005D5336"/>
    <w:rsid w:val="005D5488"/>
    <w:rsid w:val="005D54D5"/>
    <w:rsid w:val="005D572E"/>
    <w:rsid w:val="005D58FA"/>
    <w:rsid w:val="005D5DE1"/>
    <w:rsid w:val="005D5FDA"/>
    <w:rsid w:val="005D64D3"/>
    <w:rsid w:val="005D64D6"/>
    <w:rsid w:val="005D66E8"/>
    <w:rsid w:val="005D6A76"/>
    <w:rsid w:val="005D7462"/>
    <w:rsid w:val="005D7469"/>
    <w:rsid w:val="005D75CA"/>
    <w:rsid w:val="005D7610"/>
    <w:rsid w:val="005D7780"/>
    <w:rsid w:val="005D78C6"/>
    <w:rsid w:val="005D793C"/>
    <w:rsid w:val="005D79BC"/>
    <w:rsid w:val="005D79BE"/>
    <w:rsid w:val="005D7CBD"/>
    <w:rsid w:val="005D7EDF"/>
    <w:rsid w:val="005D7F7F"/>
    <w:rsid w:val="005E0025"/>
    <w:rsid w:val="005E0300"/>
    <w:rsid w:val="005E0336"/>
    <w:rsid w:val="005E03BD"/>
    <w:rsid w:val="005E04AB"/>
    <w:rsid w:val="005E057D"/>
    <w:rsid w:val="005E062E"/>
    <w:rsid w:val="005E079A"/>
    <w:rsid w:val="005E0BE6"/>
    <w:rsid w:val="005E0E34"/>
    <w:rsid w:val="005E0EA6"/>
    <w:rsid w:val="005E0EAC"/>
    <w:rsid w:val="005E0F58"/>
    <w:rsid w:val="005E11AE"/>
    <w:rsid w:val="005E11C7"/>
    <w:rsid w:val="005E1255"/>
    <w:rsid w:val="005E12A4"/>
    <w:rsid w:val="005E142D"/>
    <w:rsid w:val="005E163A"/>
    <w:rsid w:val="005E1A45"/>
    <w:rsid w:val="005E1C1D"/>
    <w:rsid w:val="005E1E02"/>
    <w:rsid w:val="005E1E64"/>
    <w:rsid w:val="005E20E0"/>
    <w:rsid w:val="005E21BB"/>
    <w:rsid w:val="005E2420"/>
    <w:rsid w:val="005E2437"/>
    <w:rsid w:val="005E246E"/>
    <w:rsid w:val="005E2620"/>
    <w:rsid w:val="005E28CA"/>
    <w:rsid w:val="005E2BE8"/>
    <w:rsid w:val="005E2CD2"/>
    <w:rsid w:val="005E2DF2"/>
    <w:rsid w:val="005E3125"/>
    <w:rsid w:val="005E3347"/>
    <w:rsid w:val="005E33CE"/>
    <w:rsid w:val="005E351B"/>
    <w:rsid w:val="005E3636"/>
    <w:rsid w:val="005E3D0B"/>
    <w:rsid w:val="005E3E1A"/>
    <w:rsid w:val="005E3E65"/>
    <w:rsid w:val="005E4136"/>
    <w:rsid w:val="005E4248"/>
    <w:rsid w:val="005E4251"/>
    <w:rsid w:val="005E4511"/>
    <w:rsid w:val="005E4800"/>
    <w:rsid w:val="005E48ED"/>
    <w:rsid w:val="005E4951"/>
    <w:rsid w:val="005E4B27"/>
    <w:rsid w:val="005E4BE7"/>
    <w:rsid w:val="005E4D0B"/>
    <w:rsid w:val="005E4DE9"/>
    <w:rsid w:val="005E4DFB"/>
    <w:rsid w:val="005E50B3"/>
    <w:rsid w:val="005E5255"/>
    <w:rsid w:val="005E542C"/>
    <w:rsid w:val="005E565B"/>
    <w:rsid w:val="005E5766"/>
    <w:rsid w:val="005E594F"/>
    <w:rsid w:val="005E59D8"/>
    <w:rsid w:val="005E5C5A"/>
    <w:rsid w:val="005E5D96"/>
    <w:rsid w:val="005E5E95"/>
    <w:rsid w:val="005E5E98"/>
    <w:rsid w:val="005E6498"/>
    <w:rsid w:val="005E652A"/>
    <w:rsid w:val="005E6535"/>
    <w:rsid w:val="005E6570"/>
    <w:rsid w:val="005E6838"/>
    <w:rsid w:val="005E6850"/>
    <w:rsid w:val="005E6A85"/>
    <w:rsid w:val="005E6AA8"/>
    <w:rsid w:val="005E6CA4"/>
    <w:rsid w:val="005E6CFE"/>
    <w:rsid w:val="005E6D5D"/>
    <w:rsid w:val="005E6F92"/>
    <w:rsid w:val="005E72E4"/>
    <w:rsid w:val="005E735B"/>
    <w:rsid w:val="005E75FD"/>
    <w:rsid w:val="005E7621"/>
    <w:rsid w:val="005E762E"/>
    <w:rsid w:val="005E7878"/>
    <w:rsid w:val="005E7B67"/>
    <w:rsid w:val="005E7D64"/>
    <w:rsid w:val="005E7E12"/>
    <w:rsid w:val="005F0214"/>
    <w:rsid w:val="005F024B"/>
    <w:rsid w:val="005F0346"/>
    <w:rsid w:val="005F04A7"/>
    <w:rsid w:val="005F04C1"/>
    <w:rsid w:val="005F06EC"/>
    <w:rsid w:val="005F0844"/>
    <w:rsid w:val="005F0A30"/>
    <w:rsid w:val="005F0A9B"/>
    <w:rsid w:val="005F0B20"/>
    <w:rsid w:val="005F0CB9"/>
    <w:rsid w:val="005F0E0D"/>
    <w:rsid w:val="005F1083"/>
    <w:rsid w:val="005F110D"/>
    <w:rsid w:val="005F13DB"/>
    <w:rsid w:val="005F14CA"/>
    <w:rsid w:val="005F1575"/>
    <w:rsid w:val="005F17A6"/>
    <w:rsid w:val="005F1951"/>
    <w:rsid w:val="005F1D20"/>
    <w:rsid w:val="005F1E0F"/>
    <w:rsid w:val="005F1E30"/>
    <w:rsid w:val="005F1ED8"/>
    <w:rsid w:val="005F2238"/>
    <w:rsid w:val="005F24EC"/>
    <w:rsid w:val="005F264A"/>
    <w:rsid w:val="005F265E"/>
    <w:rsid w:val="005F26EA"/>
    <w:rsid w:val="005F2A7C"/>
    <w:rsid w:val="005F2AFB"/>
    <w:rsid w:val="005F2CCD"/>
    <w:rsid w:val="005F2EEB"/>
    <w:rsid w:val="005F30D4"/>
    <w:rsid w:val="005F3284"/>
    <w:rsid w:val="005F34B8"/>
    <w:rsid w:val="005F34FE"/>
    <w:rsid w:val="005F3505"/>
    <w:rsid w:val="005F35F1"/>
    <w:rsid w:val="005F3A69"/>
    <w:rsid w:val="005F3D34"/>
    <w:rsid w:val="005F3D91"/>
    <w:rsid w:val="005F3F2C"/>
    <w:rsid w:val="005F3F33"/>
    <w:rsid w:val="005F40D0"/>
    <w:rsid w:val="005F4630"/>
    <w:rsid w:val="005F4994"/>
    <w:rsid w:val="005F4B9C"/>
    <w:rsid w:val="005F4DF0"/>
    <w:rsid w:val="005F4FE0"/>
    <w:rsid w:val="005F4FE4"/>
    <w:rsid w:val="005F50BC"/>
    <w:rsid w:val="005F5423"/>
    <w:rsid w:val="005F5770"/>
    <w:rsid w:val="005F57A1"/>
    <w:rsid w:val="005F584E"/>
    <w:rsid w:val="005F58E6"/>
    <w:rsid w:val="005F59C5"/>
    <w:rsid w:val="005F59D5"/>
    <w:rsid w:val="005F5BE9"/>
    <w:rsid w:val="005F5BFC"/>
    <w:rsid w:val="005F5DD1"/>
    <w:rsid w:val="005F5EA2"/>
    <w:rsid w:val="005F61C1"/>
    <w:rsid w:val="005F640E"/>
    <w:rsid w:val="005F6514"/>
    <w:rsid w:val="005F652B"/>
    <w:rsid w:val="005F6718"/>
    <w:rsid w:val="005F6882"/>
    <w:rsid w:val="005F6898"/>
    <w:rsid w:val="005F6A34"/>
    <w:rsid w:val="005F6A88"/>
    <w:rsid w:val="005F6A98"/>
    <w:rsid w:val="005F6AFE"/>
    <w:rsid w:val="005F6B00"/>
    <w:rsid w:val="005F6BCD"/>
    <w:rsid w:val="005F6D2E"/>
    <w:rsid w:val="005F6FE0"/>
    <w:rsid w:val="005F7234"/>
    <w:rsid w:val="005F7272"/>
    <w:rsid w:val="005F7273"/>
    <w:rsid w:val="005F74C9"/>
    <w:rsid w:val="005F7701"/>
    <w:rsid w:val="005F771F"/>
    <w:rsid w:val="005F79C7"/>
    <w:rsid w:val="005F7A4D"/>
    <w:rsid w:val="005F7D40"/>
    <w:rsid w:val="005F7DF7"/>
    <w:rsid w:val="006004BD"/>
    <w:rsid w:val="0060050E"/>
    <w:rsid w:val="006008F5"/>
    <w:rsid w:val="00600DBF"/>
    <w:rsid w:val="00600F14"/>
    <w:rsid w:val="00601030"/>
    <w:rsid w:val="0060112C"/>
    <w:rsid w:val="00601162"/>
    <w:rsid w:val="006011B4"/>
    <w:rsid w:val="00601282"/>
    <w:rsid w:val="006012D4"/>
    <w:rsid w:val="006012D6"/>
    <w:rsid w:val="006012EB"/>
    <w:rsid w:val="006013D3"/>
    <w:rsid w:val="00601420"/>
    <w:rsid w:val="0060173B"/>
    <w:rsid w:val="006017CA"/>
    <w:rsid w:val="00601896"/>
    <w:rsid w:val="00601902"/>
    <w:rsid w:val="00601A04"/>
    <w:rsid w:val="00601AD6"/>
    <w:rsid w:val="00601B66"/>
    <w:rsid w:val="00601BF8"/>
    <w:rsid w:val="00601C82"/>
    <w:rsid w:val="00601DEA"/>
    <w:rsid w:val="00601EF4"/>
    <w:rsid w:val="00601FA6"/>
    <w:rsid w:val="006021D7"/>
    <w:rsid w:val="006022A2"/>
    <w:rsid w:val="006022D1"/>
    <w:rsid w:val="006023E7"/>
    <w:rsid w:val="0060253E"/>
    <w:rsid w:val="006027FB"/>
    <w:rsid w:val="00602900"/>
    <w:rsid w:val="0060293A"/>
    <w:rsid w:val="006029BD"/>
    <w:rsid w:val="00602BF0"/>
    <w:rsid w:val="00602DCC"/>
    <w:rsid w:val="00602E40"/>
    <w:rsid w:val="00603448"/>
    <w:rsid w:val="0060364C"/>
    <w:rsid w:val="00603756"/>
    <w:rsid w:val="00603780"/>
    <w:rsid w:val="0060381E"/>
    <w:rsid w:val="00603879"/>
    <w:rsid w:val="006038B6"/>
    <w:rsid w:val="00603AD9"/>
    <w:rsid w:val="00603BA8"/>
    <w:rsid w:val="00603E7D"/>
    <w:rsid w:val="00603F72"/>
    <w:rsid w:val="00603FC2"/>
    <w:rsid w:val="00603FFC"/>
    <w:rsid w:val="006044AB"/>
    <w:rsid w:val="0060452B"/>
    <w:rsid w:val="006045DF"/>
    <w:rsid w:val="006049C8"/>
    <w:rsid w:val="00604AAB"/>
    <w:rsid w:val="00604CD7"/>
    <w:rsid w:val="00604E07"/>
    <w:rsid w:val="00604EF8"/>
    <w:rsid w:val="00604F7F"/>
    <w:rsid w:val="006053E0"/>
    <w:rsid w:val="00605543"/>
    <w:rsid w:val="006055B0"/>
    <w:rsid w:val="006056A0"/>
    <w:rsid w:val="00605723"/>
    <w:rsid w:val="006057C8"/>
    <w:rsid w:val="00605839"/>
    <w:rsid w:val="00605880"/>
    <w:rsid w:val="00605889"/>
    <w:rsid w:val="00605D95"/>
    <w:rsid w:val="00605DB2"/>
    <w:rsid w:val="00605DE5"/>
    <w:rsid w:val="00605EAD"/>
    <w:rsid w:val="00605EF4"/>
    <w:rsid w:val="00605F5E"/>
    <w:rsid w:val="00606440"/>
    <w:rsid w:val="006064E3"/>
    <w:rsid w:val="006066B6"/>
    <w:rsid w:val="00606AB6"/>
    <w:rsid w:val="00606BBD"/>
    <w:rsid w:val="00606C13"/>
    <w:rsid w:val="0060706C"/>
    <w:rsid w:val="00607345"/>
    <w:rsid w:val="0060744B"/>
    <w:rsid w:val="006076A2"/>
    <w:rsid w:val="006077B3"/>
    <w:rsid w:val="00607A8F"/>
    <w:rsid w:val="00607D69"/>
    <w:rsid w:val="00610005"/>
    <w:rsid w:val="00610029"/>
    <w:rsid w:val="0061017B"/>
    <w:rsid w:val="006101E8"/>
    <w:rsid w:val="00610233"/>
    <w:rsid w:val="006102C4"/>
    <w:rsid w:val="00610CB1"/>
    <w:rsid w:val="00610DF5"/>
    <w:rsid w:val="00610E3C"/>
    <w:rsid w:val="00611090"/>
    <w:rsid w:val="006110F0"/>
    <w:rsid w:val="0061146E"/>
    <w:rsid w:val="006115FC"/>
    <w:rsid w:val="0061199A"/>
    <w:rsid w:val="006119D5"/>
    <w:rsid w:val="00611A33"/>
    <w:rsid w:val="00611AD0"/>
    <w:rsid w:val="00611E3F"/>
    <w:rsid w:val="00611EA2"/>
    <w:rsid w:val="00611F5B"/>
    <w:rsid w:val="00612007"/>
    <w:rsid w:val="006120BD"/>
    <w:rsid w:val="006121E0"/>
    <w:rsid w:val="00612702"/>
    <w:rsid w:val="00612887"/>
    <w:rsid w:val="0061297E"/>
    <w:rsid w:val="00612B4D"/>
    <w:rsid w:val="00612B69"/>
    <w:rsid w:val="00612FA3"/>
    <w:rsid w:val="00613080"/>
    <w:rsid w:val="00613139"/>
    <w:rsid w:val="00613330"/>
    <w:rsid w:val="00613377"/>
    <w:rsid w:val="00613602"/>
    <w:rsid w:val="0061376E"/>
    <w:rsid w:val="00613837"/>
    <w:rsid w:val="0061396E"/>
    <w:rsid w:val="00613BF9"/>
    <w:rsid w:val="00613CAD"/>
    <w:rsid w:val="00613D2E"/>
    <w:rsid w:val="00613EB9"/>
    <w:rsid w:val="00614225"/>
    <w:rsid w:val="00614241"/>
    <w:rsid w:val="006142EB"/>
    <w:rsid w:val="006143D6"/>
    <w:rsid w:val="00614617"/>
    <w:rsid w:val="00614718"/>
    <w:rsid w:val="006148B3"/>
    <w:rsid w:val="00614B63"/>
    <w:rsid w:val="00614BDC"/>
    <w:rsid w:val="00614BFB"/>
    <w:rsid w:val="00614D71"/>
    <w:rsid w:val="00614D88"/>
    <w:rsid w:val="00614DBD"/>
    <w:rsid w:val="00614EFF"/>
    <w:rsid w:val="00614F4B"/>
    <w:rsid w:val="00614F53"/>
    <w:rsid w:val="00614F88"/>
    <w:rsid w:val="00615079"/>
    <w:rsid w:val="00615148"/>
    <w:rsid w:val="00615188"/>
    <w:rsid w:val="006153D2"/>
    <w:rsid w:val="00615766"/>
    <w:rsid w:val="00615872"/>
    <w:rsid w:val="00615BC3"/>
    <w:rsid w:val="00615EEA"/>
    <w:rsid w:val="00615F12"/>
    <w:rsid w:val="00615F36"/>
    <w:rsid w:val="006160AA"/>
    <w:rsid w:val="006160DD"/>
    <w:rsid w:val="006162B1"/>
    <w:rsid w:val="00616340"/>
    <w:rsid w:val="00616457"/>
    <w:rsid w:val="00616B85"/>
    <w:rsid w:val="00616D0E"/>
    <w:rsid w:val="00616D64"/>
    <w:rsid w:val="00616E8B"/>
    <w:rsid w:val="00616EF6"/>
    <w:rsid w:val="00616FD0"/>
    <w:rsid w:val="00616FE0"/>
    <w:rsid w:val="00617005"/>
    <w:rsid w:val="0061744A"/>
    <w:rsid w:val="0061766D"/>
    <w:rsid w:val="00617949"/>
    <w:rsid w:val="00617B53"/>
    <w:rsid w:val="00617CF9"/>
    <w:rsid w:val="00617D8E"/>
    <w:rsid w:val="00620306"/>
    <w:rsid w:val="0062032F"/>
    <w:rsid w:val="006203DA"/>
    <w:rsid w:val="006204D2"/>
    <w:rsid w:val="00620686"/>
    <w:rsid w:val="0062068F"/>
    <w:rsid w:val="006206D2"/>
    <w:rsid w:val="00620A5F"/>
    <w:rsid w:val="00620B7D"/>
    <w:rsid w:val="00620C39"/>
    <w:rsid w:val="00620E2A"/>
    <w:rsid w:val="00621078"/>
    <w:rsid w:val="006210F7"/>
    <w:rsid w:val="00621238"/>
    <w:rsid w:val="00621455"/>
    <w:rsid w:val="0062190B"/>
    <w:rsid w:val="006221A4"/>
    <w:rsid w:val="00622249"/>
    <w:rsid w:val="0062225E"/>
    <w:rsid w:val="006222E2"/>
    <w:rsid w:val="006224A5"/>
    <w:rsid w:val="00622584"/>
    <w:rsid w:val="00622592"/>
    <w:rsid w:val="00622D2D"/>
    <w:rsid w:val="00622F92"/>
    <w:rsid w:val="00623028"/>
    <w:rsid w:val="0062304A"/>
    <w:rsid w:val="00623221"/>
    <w:rsid w:val="006232EC"/>
    <w:rsid w:val="00623306"/>
    <w:rsid w:val="00623471"/>
    <w:rsid w:val="006235A5"/>
    <w:rsid w:val="006237E6"/>
    <w:rsid w:val="006238A9"/>
    <w:rsid w:val="00623A25"/>
    <w:rsid w:val="00623B90"/>
    <w:rsid w:val="00623C96"/>
    <w:rsid w:val="00623DEA"/>
    <w:rsid w:val="00624173"/>
    <w:rsid w:val="0062453C"/>
    <w:rsid w:val="006246C1"/>
    <w:rsid w:val="00624740"/>
    <w:rsid w:val="00624751"/>
    <w:rsid w:val="00624776"/>
    <w:rsid w:val="00624853"/>
    <w:rsid w:val="00624B58"/>
    <w:rsid w:val="00624C9C"/>
    <w:rsid w:val="00624D40"/>
    <w:rsid w:val="00624DD9"/>
    <w:rsid w:val="00624F88"/>
    <w:rsid w:val="006251C5"/>
    <w:rsid w:val="006251E9"/>
    <w:rsid w:val="0062550C"/>
    <w:rsid w:val="0062559B"/>
    <w:rsid w:val="006255FB"/>
    <w:rsid w:val="006256DB"/>
    <w:rsid w:val="00625866"/>
    <w:rsid w:val="006258C5"/>
    <w:rsid w:val="00625A1B"/>
    <w:rsid w:val="00625B9E"/>
    <w:rsid w:val="00625C37"/>
    <w:rsid w:val="00625E13"/>
    <w:rsid w:val="0062604A"/>
    <w:rsid w:val="00626239"/>
    <w:rsid w:val="006265B3"/>
    <w:rsid w:val="006265ED"/>
    <w:rsid w:val="006268ED"/>
    <w:rsid w:val="006269F9"/>
    <w:rsid w:val="00626A8D"/>
    <w:rsid w:val="00626AAE"/>
    <w:rsid w:val="00626ADA"/>
    <w:rsid w:val="00626B97"/>
    <w:rsid w:val="00626BEB"/>
    <w:rsid w:val="00626D31"/>
    <w:rsid w:val="00626D34"/>
    <w:rsid w:val="00626D8F"/>
    <w:rsid w:val="006270C5"/>
    <w:rsid w:val="0062720A"/>
    <w:rsid w:val="006272DB"/>
    <w:rsid w:val="00627506"/>
    <w:rsid w:val="00627968"/>
    <w:rsid w:val="00627A3C"/>
    <w:rsid w:val="00627A5E"/>
    <w:rsid w:val="00627E8F"/>
    <w:rsid w:val="0063006C"/>
    <w:rsid w:val="00630194"/>
    <w:rsid w:val="00630227"/>
    <w:rsid w:val="006305E1"/>
    <w:rsid w:val="00630C2D"/>
    <w:rsid w:val="00630D9A"/>
    <w:rsid w:val="00630EB9"/>
    <w:rsid w:val="00630F32"/>
    <w:rsid w:val="00630F51"/>
    <w:rsid w:val="00631085"/>
    <w:rsid w:val="00631120"/>
    <w:rsid w:val="006313D0"/>
    <w:rsid w:val="006314EC"/>
    <w:rsid w:val="006315F2"/>
    <w:rsid w:val="00631662"/>
    <w:rsid w:val="00631697"/>
    <w:rsid w:val="006318D6"/>
    <w:rsid w:val="00631AF3"/>
    <w:rsid w:val="00631B8E"/>
    <w:rsid w:val="00631C7E"/>
    <w:rsid w:val="00631CE4"/>
    <w:rsid w:val="00631D0B"/>
    <w:rsid w:val="00631E4C"/>
    <w:rsid w:val="00632141"/>
    <w:rsid w:val="00632452"/>
    <w:rsid w:val="0063253F"/>
    <w:rsid w:val="006326C1"/>
    <w:rsid w:val="006328DE"/>
    <w:rsid w:val="00632A9F"/>
    <w:rsid w:val="00632BC6"/>
    <w:rsid w:val="00632C19"/>
    <w:rsid w:val="00632D01"/>
    <w:rsid w:val="00632DA7"/>
    <w:rsid w:val="00632ED5"/>
    <w:rsid w:val="00632F3A"/>
    <w:rsid w:val="00633098"/>
    <w:rsid w:val="00633422"/>
    <w:rsid w:val="006334E0"/>
    <w:rsid w:val="006339F6"/>
    <w:rsid w:val="00633A00"/>
    <w:rsid w:val="00633B07"/>
    <w:rsid w:val="00633B3B"/>
    <w:rsid w:val="00633CA7"/>
    <w:rsid w:val="00633CC3"/>
    <w:rsid w:val="00633D05"/>
    <w:rsid w:val="00633DAA"/>
    <w:rsid w:val="00633EE1"/>
    <w:rsid w:val="0063475E"/>
    <w:rsid w:val="006348A8"/>
    <w:rsid w:val="00634A00"/>
    <w:rsid w:val="00634A35"/>
    <w:rsid w:val="00634ABE"/>
    <w:rsid w:val="00634AEC"/>
    <w:rsid w:val="00634B51"/>
    <w:rsid w:val="00634F0E"/>
    <w:rsid w:val="00634F17"/>
    <w:rsid w:val="00634F44"/>
    <w:rsid w:val="00634FC2"/>
    <w:rsid w:val="006350FF"/>
    <w:rsid w:val="00635109"/>
    <w:rsid w:val="0063518D"/>
    <w:rsid w:val="00635284"/>
    <w:rsid w:val="006352A8"/>
    <w:rsid w:val="00635787"/>
    <w:rsid w:val="00635BB7"/>
    <w:rsid w:val="00635C39"/>
    <w:rsid w:val="00635E34"/>
    <w:rsid w:val="00635EB4"/>
    <w:rsid w:val="00636006"/>
    <w:rsid w:val="006364C0"/>
    <w:rsid w:val="0063650F"/>
    <w:rsid w:val="006366EC"/>
    <w:rsid w:val="0063692E"/>
    <w:rsid w:val="00636AED"/>
    <w:rsid w:val="00636B9A"/>
    <w:rsid w:val="00636D4D"/>
    <w:rsid w:val="00636F52"/>
    <w:rsid w:val="0063703D"/>
    <w:rsid w:val="006370CC"/>
    <w:rsid w:val="006370FE"/>
    <w:rsid w:val="006373A8"/>
    <w:rsid w:val="0063746D"/>
    <w:rsid w:val="00637596"/>
    <w:rsid w:val="0063773C"/>
    <w:rsid w:val="0063794D"/>
    <w:rsid w:val="0063797A"/>
    <w:rsid w:val="00637A08"/>
    <w:rsid w:val="00637BA9"/>
    <w:rsid w:val="00637C00"/>
    <w:rsid w:val="00637C82"/>
    <w:rsid w:val="00637CC9"/>
    <w:rsid w:val="00637D44"/>
    <w:rsid w:val="00637F4C"/>
    <w:rsid w:val="00637FB2"/>
    <w:rsid w:val="00637FC3"/>
    <w:rsid w:val="0064005B"/>
    <w:rsid w:val="006400D2"/>
    <w:rsid w:val="00640101"/>
    <w:rsid w:val="00640194"/>
    <w:rsid w:val="006403CE"/>
    <w:rsid w:val="00640448"/>
    <w:rsid w:val="006405B1"/>
    <w:rsid w:val="006405B7"/>
    <w:rsid w:val="006405C7"/>
    <w:rsid w:val="00640657"/>
    <w:rsid w:val="006406A7"/>
    <w:rsid w:val="00640878"/>
    <w:rsid w:val="006408B6"/>
    <w:rsid w:val="00640933"/>
    <w:rsid w:val="00640997"/>
    <w:rsid w:val="00640A81"/>
    <w:rsid w:val="00640D79"/>
    <w:rsid w:val="00640E08"/>
    <w:rsid w:val="00640E0F"/>
    <w:rsid w:val="00640F62"/>
    <w:rsid w:val="006410F6"/>
    <w:rsid w:val="006412E3"/>
    <w:rsid w:val="0064132C"/>
    <w:rsid w:val="0064168A"/>
    <w:rsid w:val="0064192F"/>
    <w:rsid w:val="00641BA4"/>
    <w:rsid w:val="00641BAE"/>
    <w:rsid w:val="00641C70"/>
    <w:rsid w:val="00641D7F"/>
    <w:rsid w:val="00641F08"/>
    <w:rsid w:val="00641F50"/>
    <w:rsid w:val="00642051"/>
    <w:rsid w:val="0064212B"/>
    <w:rsid w:val="00642195"/>
    <w:rsid w:val="00642261"/>
    <w:rsid w:val="006423D7"/>
    <w:rsid w:val="006423ED"/>
    <w:rsid w:val="006425C4"/>
    <w:rsid w:val="006428CA"/>
    <w:rsid w:val="006428E6"/>
    <w:rsid w:val="006429AF"/>
    <w:rsid w:val="00642BAF"/>
    <w:rsid w:val="00643087"/>
    <w:rsid w:val="00643090"/>
    <w:rsid w:val="006430A5"/>
    <w:rsid w:val="00643242"/>
    <w:rsid w:val="0064363D"/>
    <w:rsid w:val="006436AD"/>
    <w:rsid w:val="006437DA"/>
    <w:rsid w:val="006438DE"/>
    <w:rsid w:val="006439B5"/>
    <w:rsid w:val="00643AE0"/>
    <w:rsid w:val="00643D5A"/>
    <w:rsid w:val="00643E20"/>
    <w:rsid w:val="0064430A"/>
    <w:rsid w:val="0064436E"/>
    <w:rsid w:val="0064437B"/>
    <w:rsid w:val="006444AE"/>
    <w:rsid w:val="00644538"/>
    <w:rsid w:val="006447E6"/>
    <w:rsid w:val="006449B7"/>
    <w:rsid w:val="00644AE5"/>
    <w:rsid w:val="00644BCF"/>
    <w:rsid w:val="00644BE7"/>
    <w:rsid w:val="00644D08"/>
    <w:rsid w:val="00644E85"/>
    <w:rsid w:val="00644F97"/>
    <w:rsid w:val="0064505C"/>
    <w:rsid w:val="00645367"/>
    <w:rsid w:val="0064571B"/>
    <w:rsid w:val="0064582A"/>
    <w:rsid w:val="00645888"/>
    <w:rsid w:val="0064594A"/>
    <w:rsid w:val="006459A0"/>
    <w:rsid w:val="00645A27"/>
    <w:rsid w:val="00645BA9"/>
    <w:rsid w:val="00645D80"/>
    <w:rsid w:val="00645DA2"/>
    <w:rsid w:val="00645DDE"/>
    <w:rsid w:val="00645F63"/>
    <w:rsid w:val="006462C1"/>
    <w:rsid w:val="006462DA"/>
    <w:rsid w:val="006463C3"/>
    <w:rsid w:val="00646469"/>
    <w:rsid w:val="006464B0"/>
    <w:rsid w:val="00646753"/>
    <w:rsid w:val="00646BD8"/>
    <w:rsid w:val="00646E32"/>
    <w:rsid w:val="006471B2"/>
    <w:rsid w:val="006471EC"/>
    <w:rsid w:val="00647395"/>
    <w:rsid w:val="006474E5"/>
    <w:rsid w:val="00647721"/>
    <w:rsid w:val="00647762"/>
    <w:rsid w:val="00647856"/>
    <w:rsid w:val="00647ADB"/>
    <w:rsid w:val="00647CF1"/>
    <w:rsid w:val="00647D22"/>
    <w:rsid w:val="00650162"/>
    <w:rsid w:val="006501BB"/>
    <w:rsid w:val="006502D3"/>
    <w:rsid w:val="00650406"/>
    <w:rsid w:val="00650538"/>
    <w:rsid w:val="00650757"/>
    <w:rsid w:val="00650776"/>
    <w:rsid w:val="0065084E"/>
    <w:rsid w:val="00650978"/>
    <w:rsid w:val="00650EF1"/>
    <w:rsid w:val="006513CA"/>
    <w:rsid w:val="00651413"/>
    <w:rsid w:val="006516EF"/>
    <w:rsid w:val="006518B4"/>
    <w:rsid w:val="00651904"/>
    <w:rsid w:val="00651972"/>
    <w:rsid w:val="00651A9F"/>
    <w:rsid w:val="00651B7B"/>
    <w:rsid w:val="00651E5E"/>
    <w:rsid w:val="00652039"/>
    <w:rsid w:val="00652213"/>
    <w:rsid w:val="0065246A"/>
    <w:rsid w:val="00652477"/>
    <w:rsid w:val="006524E1"/>
    <w:rsid w:val="00652676"/>
    <w:rsid w:val="00652689"/>
    <w:rsid w:val="0065269E"/>
    <w:rsid w:val="006527F6"/>
    <w:rsid w:val="00652982"/>
    <w:rsid w:val="00652C33"/>
    <w:rsid w:val="00652E26"/>
    <w:rsid w:val="00653090"/>
    <w:rsid w:val="006530B0"/>
    <w:rsid w:val="00653115"/>
    <w:rsid w:val="0065315F"/>
    <w:rsid w:val="00653507"/>
    <w:rsid w:val="006535D6"/>
    <w:rsid w:val="006538B0"/>
    <w:rsid w:val="006538D7"/>
    <w:rsid w:val="00653D9B"/>
    <w:rsid w:val="00653E55"/>
    <w:rsid w:val="00653FA4"/>
    <w:rsid w:val="00653FDD"/>
    <w:rsid w:val="00654164"/>
    <w:rsid w:val="0065419C"/>
    <w:rsid w:val="00654220"/>
    <w:rsid w:val="00654A06"/>
    <w:rsid w:val="00654A49"/>
    <w:rsid w:val="00654A91"/>
    <w:rsid w:val="00654B0A"/>
    <w:rsid w:val="00654E07"/>
    <w:rsid w:val="00654F23"/>
    <w:rsid w:val="00654F3F"/>
    <w:rsid w:val="006554DC"/>
    <w:rsid w:val="006558FE"/>
    <w:rsid w:val="006559FF"/>
    <w:rsid w:val="00655BB9"/>
    <w:rsid w:val="00655EBA"/>
    <w:rsid w:val="00656092"/>
    <w:rsid w:val="00656208"/>
    <w:rsid w:val="006562DA"/>
    <w:rsid w:val="0065636E"/>
    <w:rsid w:val="0065643B"/>
    <w:rsid w:val="006564D0"/>
    <w:rsid w:val="00656A66"/>
    <w:rsid w:val="00656D7C"/>
    <w:rsid w:val="00656DFA"/>
    <w:rsid w:val="0065723B"/>
    <w:rsid w:val="00657329"/>
    <w:rsid w:val="00657534"/>
    <w:rsid w:val="0065770E"/>
    <w:rsid w:val="00657827"/>
    <w:rsid w:val="006579E5"/>
    <w:rsid w:val="00657A42"/>
    <w:rsid w:val="00657AB2"/>
    <w:rsid w:val="00657AF0"/>
    <w:rsid w:val="00657C0C"/>
    <w:rsid w:val="00657FB5"/>
    <w:rsid w:val="00657FEF"/>
    <w:rsid w:val="0066022A"/>
    <w:rsid w:val="006603E3"/>
    <w:rsid w:val="0066057C"/>
    <w:rsid w:val="006609A7"/>
    <w:rsid w:val="00660F60"/>
    <w:rsid w:val="00660F8D"/>
    <w:rsid w:val="0066109F"/>
    <w:rsid w:val="006610DA"/>
    <w:rsid w:val="00661106"/>
    <w:rsid w:val="006612CF"/>
    <w:rsid w:val="006614D8"/>
    <w:rsid w:val="006616C0"/>
    <w:rsid w:val="006617C8"/>
    <w:rsid w:val="00661935"/>
    <w:rsid w:val="00661963"/>
    <w:rsid w:val="00661C5F"/>
    <w:rsid w:val="00661C71"/>
    <w:rsid w:val="00661E80"/>
    <w:rsid w:val="00662094"/>
    <w:rsid w:val="006620F5"/>
    <w:rsid w:val="006621FD"/>
    <w:rsid w:val="0066241A"/>
    <w:rsid w:val="006626BD"/>
    <w:rsid w:val="006626F8"/>
    <w:rsid w:val="006629D8"/>
    <w:rsid w:val="00662A33"/>
    <w:rsid w:val="00662FC1"/>
    <w:rsid w:val="0066319D"/>
    <w:rsid w:val="006632D4"/>
    <w:rsid w:val="0066332F"/>
    <w:rsid w:val="00663506"/>
    <w:rsid w:val="00663565"/>
    <w:rsid w:val="00663687"/>
    <w:rsid w:val="00663C17"/>
    <w:rsid w:val="00663E54"/>
    <w:rsid w:val="00664145"/>
    <w:rsid w:val="0066478B"/>
    <w:rsid w:val="006647C6"/>
    <w:rsid w:val="00664942"/>
    <w:rsid w:val="00664C50"/>
    <w:rsid w:val="00664C72"/>
    <w:rsid w:val="00664D69"/>
    <w:rsid w:val="00664E19"/>
    <w:rsid w:val="00664E1A"/>
    <w:rsid w:val="0066523C"/>
    <w:rsid w:val="00665343"/>
    <w:rsid w:val="00665371"/>
    <w:rsid w:val="00665673"/>
    <w:rsid w:val="006657EE"/>
    <w:rsid w:val="00665814"/>
    <w:rsid w:val="00665A34"/>
    <w:rsid w:val="00665ADD"/>
    <w:rsid w:val="00665CF8"/>
    <w:rsid w:val="00665DF1"/>
    <w:rsid w:val="00665F37"/>
    <w:rsid w:val="00665FF9"/>
    <w:rsid w:val="00666658"/>
    <w:rsid w:val="0066676B"/>
    <w:rsid w:val="0066677B"/>
    <w:rsid w:val="006667BD"/>
    <w:rsid w:val="0066687A"/>
    <w:rsid w:val="006668D6"/>
    <w:rsid w:val="00666C07"/>
    <w:rsid w:val="00666C2A"/>
    <w:rsid w:val="00666D45"/>
    <w:rsid w:val="00666E60"/>
    <w:rsid w:val="006670AE"/>
    <w:rsid w:val="006670D3"/>
    <w:rsid w:val="006670DC"/>
    <w:rsid w:val="0066710B"/>
    <w:rsid w:val="00667357"/>
    <w:rsid w:val="00667381"/>
    <w:rsid w:val="006675C5"/>
    <w:rsid w:val="00667747"/>
    <w:rsid w:val="0066776A"/>
    <w:rsid w:val="006677E1"/>
    <w:rsid w:val="00667991"/>
    <w:rsid w:val="00667C21"/>
    <w:rsid w:val="00667E65"/>
    <w:rsid w:val="00667F32"/>
    <w:rsid w:val="0067016C"/>
    <w:rsid w:val="006702A4"/>
    <w:rsid w:val="006704AA"/>
    <w:rsid w:val="0067063E"/>
    <w:rsid w:val="00670996"/>
    <w:rsid w:val="00670A06"/>
    <w:rsid w:val="00670C0D"/>
    <w:rsid w:val="00670C52"/>
    <w:rsid w:val="00670C59"/>
    <w:rsid w:val="00670C9E"/>
    <w:rsid w:val="00671063"/>
    <w:rsid w:val="0067119E"/>
    <w:rsid w:val="0067131B"/>
    <w:rsid w:val="006713C8"/>
    <w:rsid w:val="00671602"/>
    <w:rsid w:val="0067182C"/>
    <w:rsid w:val="00671A5A"/>
    <w:rsid w:val="00671B49"/>
    <w:rsid w:val="00671BD2"/>
    <w:rsid w:val="00671C53"/>
    <w:rsid w:val="00671ED2"/>
    <w:rsid w:val="006720B2"/>
    <w:rsid w:val="00672120"/>
    <w:rsid w:val="00672264"/>
    <w:rsid w:val="00672274"/>
    <w:rsid w:val="006723C3"/>
    <w:rsid w:val="006727D8"/>
    <w:rsid w:val="006727F9"/>
    <w:rsid w:val="00672917"/>
    <w:rsid w:val="00672B27"/>
    <w:rsid w:val="00672E29"/>
    <w:rsid w:val="00672EEE"/>
    <w:rsid w:val="00672FDF"/>
    <w:rsid w:val="00672FF4"/>
    <w:rsid w:val="0067303A"/>
    <w:rsid w:val="0067312F"/>
    <w:rsid w:val="0067315E"/>
    <w:rsid w:val="00673474"/>
    <w:rsid w:val="00673477"/>
    <w:rsid w:val="00673628"/>
    <w:rsid w:val="00673979"/>
    <w:rsid w:val="006739DC"/>
    <w:rsid w:val="00673B3C"/>
    <w:rsid w:val="00673B48"/>
    <w:rsid w:val="00673EB6"/>
    <w:rsid w:val="006740A0"/>
    <w:rsid w:val="00674125"/>
    <w:rsid w:val="006743A5"/>
    <w:rsid w:val="006744B0"/>
    <w:rsid w:val="0067467D"/>
    <w:rsid w:val="00674B6F"/>
    <w:rsid w:val="00674BA6"/>
    <w:rsid w:val="00674DB4"/>
    <w:rsid w:val="00674E62"/>
    <w:rsid w:val="006750F5"/>
    <w:rsid w:val="00675230"/>
    <w:rsid w:val="00675312"/>
    <w:rsid w:val="006755AF"/>
    <w:rsid w:val="006757AA"/>
    <w:rsid w:val="00675921"/>
    <w:rsid w:val="00675C47"/>
    <w:rsid w:val="00675E67"/>
    <w:rsid w:val="00675FD7"/>
    <w:rsid w:val="00675FF0"/>
    <w:rsid w:val="00676045"/>
    <w:rsid w:val="00676099"/>
    <w:rsid w:val="006760FC"/>
    <w:rsid w:val="00676236"/>
    <w:rsid w:val="006763C8"/>
    <w:rsid w:val="00676444"/>
    <w:rsid w:val="00676464"/>
    <w:rsid w:val="0067652F"/>
    <w:rsid w:val="00676639"/>
    <w:rsid w:val="006766C0"/>
    <w:rsid w:val="0067676B"/>
    <w:rsid w:val="006767C5"/>
    <w:rsid w:val="006769E3"/>
    <w:rsid w:val="00676FFB"/>
    <w:rsid w:val="00677101"/>
    <w:rsid w:val="006772CF"/>
    <w:rsid w:val="00677421"/>
    <w:rsid w:val="0067747C"/>
    <w:rsid w:val="006774BE"/>
    <w:rsid w:val="0067756B"/>
    <w:rsid w:val="00677774"/>
    <w:rsid w:val="00677913"/>
    <w:rsid w:val="006779C0"/>
    <w:rsid w:val="00677A9A"/>
    <w:rsid w:val="00680133"/>
    <w:rsid w:val="0068017D"/>
    <w:rsid w:val="006801F6"/>
    <w:rsid w:val="00680261"/>
    <w:rsid w:val="00680282"/>
    <w:rsid w:val="006802EF"/>
    <w:rsid w:val="006807E1"/>
    <w:rsid w:val="0068087B"/>
    <w:rsid w:val="006808C7"/>
    <w:rsid w:val="00680BAA"/>
    <w:rsid w:val="00680E95"/>
    <w:rsid w:val="00681137"/>
    <w:rsid w:val="006813C5"/>
    <w:rsid w:val="0068148A"/>
    <w:rsid w:val="006814CE"/>
    <w:rsid w:val="0068165E"/>
    <w:rsid w:val="0068178E"/>
    <w:rsid w:val="00681803"/>
    <w:rsid w:val="00681852"/>
    <w:rsid w:val="00681896"/>
    <w:rsid w:val="00681914"/>
    <w:rsid w:val="0068196E"/>
    <w:rsid w:val="0068197D"/>
    <w:rsid w:val="00681AF8"/>
    <w:rsid w:val="00681D3C"/>
    <w:rsid w:val="00681E34"/>
    <w:rsid w:val="0068201B"/>
    <w:rsid w:val="00682110"/>
    <w:rsid w:val="00682273"/>
    <w:rsid w:val="00682407"/>
    <w:rsid w:val="006824F3"/>
    <w:rsid w:val="006826B9"/>
    <w:rsid w:val="006827BB"/>
    <w:rsid w:val="006828E1"/>
    <w:rsid w:val="00682A0A"/>
    <w:rsid w:val="00682EF1"/>
    <w:rsid w:val="00683241"/>
    <w:rsid w:val="006837A4"/>
    <w:rsid w:val="006837D2"/>
    <w:rsid w:val="00683F92"/>
    <w:rsid w:val="00684028"/>
    <w:rsid w:val="0068427F"/>
    <w:rsid w:val="006846FF"/>
    <w:rsid w:val="00684728"/>
    <w:rsid w:val="00684831"/>
    <w:rsid w:val="00684916"/>
    <w:rsid w:val="00684A2D"/>
    <w:rsid w:val="00684B30"/>
    <w:rsid w:val="00684CA8"/>
    <w:rsid w:val="006850CA"/>
    <w:rsid w:val="0068567E"/>
    <w:rsid w:val="00685716"/>
    <w:rsid w:val="00685C1E"/>
    <w:rsid w:val="00685E84"/>
    <w:rsid w:val="00685EFE"/>
    <w:rsid w:val="00686059"/>
    <w:rsid w:val="00686296"/>
    <w:rsid w:val="006862E2"/>
    <w:rsid w:val="0068657A"/>
    <w:rsid w:val="00686773"/>
    <w:rsid w:val="00686801"/>
    <w:rsid w:val="0068683A"/>
    <w:rsid w:val="0068696D"/>
    <w:rsid w:val="00686A1C"/>
    <w:rsid w:val="00686C9E"/>
    <w:rsid w:val="00687107"/>
    <w:rsid w:val="006874A5"/>
    <w:rsid w:val="00687594"/>
    <w:rsid w:val="006875E1"/>
    <w:rsid w:val="006876C6"/>
    <w:rsid w:val="00687AFC"/>
    <w:rsid w:val="00687BBF"/>
    <w:rsid w:val="00687CAB"/>
    <w:rsid w:val="00687DBB"/>
    <w:rsid w:val="00687DCD"/>
    <w:rsid w:val="006902DA"/>
    <w:rsid w:val="00690436"/>
    <w:rsid w:val="00690544"/>
    <w:rsid w:val="00690631"/>
    <w:rsid w:val="006908DE"/>
    <w:rsid w:val="00690B9D"/>
    <w:rsid w:val="00690BC6"/>
    <w:rsid w:val="00690FF1"/>
    <w:rsid w:val="00691304"/>
    <w:rsid w:val="00691486"/>
    <w:rsid w:val="006914A6"/>
    <w:rsid w:val="0069162E"/>
    <w:rsid w:val="00691719"/>
    <w:rsid w:val="00691916"/>
    <w:rsid w:val="00691B8C"/>
    <w:rsid w:val="00691C4C"/>
    <w:rsid w:val="00691D0D"/>
    <w:rsid w:val="00691EB0"/>
    <w:rsid w:val="00691F45"/>
    <w:rsid w:val="0069225D"/>
    <w:rsid w:val="006923CD"/>
    <w:rsid w:val="00692924"/>
    <w:rsid w:val="00692A4E"/>
    <w:rsid w:val="00692AD2"/>
    <w:rsid w:val="00692E30"/>
    <w:rsid w:val="00692E59"/>
    <w:rsid w:val="00692F09"/>
    <w:rsid w:val="006936CE"/>
    <w:rsid w:val="00693704"/>
    <w:rsid w:val="00693A3F"/>
    <w:rsid w:val="00693FD9"/>
    <w:rsid w:val="0069405C"/>
    <w:rsid w:val="00694179"/>
    <w:rsid w:val="006942C6"/>
    <w:rsid w:val="006942F4"/>
    <w:rsid w:val="006944C8"/>
    <w:rsid w:val="0069453F"/>
    <w:rsid w:val="00694702"/>
    <w:rsid w:val="006947BD"/>
    <w:rsid w:val="00694B3A"/>
    <w:rsid w:val="006953FC"/>
    <w:rsid w:val="00695737"/>
    <w:rsid w:val="0069574C"/>
    <w:rsid w:val="006958D4"/>
    <w:rsid w:val="00695B36"/>
    <w:rsid w:val="00695BDE"/>
    <w:rsid w:val="006960D7"/>
    <w:rsid w:val="00696183"/>
    <w:rsid w:val="006961E1"/>
    <w:rsid w:val="00696235"/>
    <w:rsid w:val="00696562"/>
    <w:rsid w:val="0069660D"/>
    <w:rsid w:val="00696692"/>
    <w:rsid w:val="00696C5A"/>
    <w:rsid w:val="00696DF4"/>
    <w:rsid w:val="00696EAC"/>
    <w:rsid w:val="00697021"/>
    <w:rsid w:val="00697531"/>
    <w:rsid w:val="006976AE"/>
    <w:rsid w:val="006977B7"/>
    <w:rsid w:val="00697812"/>
    <w:rsid w:val="00697A46"/>
    <w:rsid w:val="00697CC8"/>
    <w:rsid w:val="00697E37"/>
    <w:rsid w:val="00697F14"/>
    <w:rsid w:val="006A0076"/>
    <w:rsid w:val="006A03C2"/>
    <w:rsid w:val="006A058B"/>
    <w:rsid w:val="006A06B4"/>
    <w:rsid w:val="006A0709"/>
    <w:rsid w:val="006A094D"/>
    <w:rsid w:val="006A0AC9"/>
    <w:rsid w:val="006A0B3D"/>
    <w:rsid w:val="006A0BA2"/>
    <w:rsid w:val="006A0BEC"/>
    <w:rsid w:val="006A1038"/>
    <w:rsid w:val="006A12B6"/>
    <w:rsid w:val="006A1350"/>
    <w:rsid w:val="006A13B8"/>
    <w:rsid w:val="006A13C1"/>
    <w:rsid w:val="006A16F4"/>
    <w:rsid w:val="006A176F"/>
    <w:rsid w:val="006A18E8"/>
    <w:rsid w:val="006A195E"/>
    <w:rsid w:val="006A19B4"/>
    <w:rsid w:val="006A1D0B"/>
    <w:rsid w:val="006A1F78"/>
    <w:rsid w:val="006A1FEE"/>
    <w:rsid w:val="006A2140"/>
    <w:rsid w:val="006A238C"/>
    <w:rsid w:val="006A293C"/>
    <w:rsid w:val="006A2AAB"/>
    <w:rsid w:val="006A2BAD"/>
    <w:rsid w:val="006A2C15"/>
    <w:rsid w:val="006A2D23"/>
    <w:rsid w:val="006A2D39"/>
    <w:rsid w:val="006A2E9F"/>
    <w:rsid w:val="006A2EC7"/>
    <w:rsid w:val="006A3119"/>
    <w:rsid w:val="006A342B"/>
    <w:rsid w:val="006A3732"/>
    <w:rsid w:val="006A38A5"/>
    <w:rsid w:val="006A3B93"/>
    <w:rsid w:val="006A3BAA"/>
    <w:rsid w:val="006A3C00"/>
    <w:rsid w:val="006A3ED6"/>
    <w:rsid w:val="006A3F85"/>
    <w:rsid w:val="006A41DD"/>
    <w:rsid w:val="006A472D"/>
    <w:rsid w:val="006A4AAB"/>
    <w:rsid w:val="006A4AB1"/>
    <w:rsid w:val="006A4CB9"/>
    <w:rsid w:val="006A4D4E"/>
    <w:rsid w:val="006A55D2"/>
    <w:rsid w:val="006A564C"/>
    <w:rsid w:val="006A56F1"/>
    <w:rsid w:val="006A584D"/>
    <w:rsid w:val="006A58D5"/>
    <w:rsid w:val="006A5B0D"/>
    <w:rsid w:val="006A5BB8"/>
    <w:rsid w:val="006A5C26"/>
    <w:rsid w:val="006A5CA2"/>
    <w:rsid w:val="006A5CE8"/>
    <w:rsid w:val="006A6137"/>
    <w:rsid w:val="006A6242"/>
    <w:rsid w:val="006A63BC"/>
    <w:rsid w:val="006A6607"/>
    <w:rsid w:val="006A66A0"/>
    <w:rsid w:val="006A6710"/>
    <w:rsid w:val="006A6B24"/>
    <w:rsid w:val="006A6BBE"/>
    <w:rsid w:val="006A6CA2"/>
    <w:rsid w:val="006A6D2B"/>
    <w:rsid w:val="006A6DBA"/>
    <w:rsid w:val="006A6E1D"/>
    <w:rsid w:val="006A6EB7"/>
    <w:rsid w:val="006A6F3D"/>
    <w:rsid w:val="006A6F9B"/>
    <w:rsid w:val="006A70A1"/>
    <w:rsid w:val="006A71E1"/>
    <w:rsid w:val="006A7516"/>
    <w:rsid w:val="006A77DB"/>
    <w:rsid w:val="006A79D7"/>
    <w:rsid w:val="006A7C7A"/>
    <w:rsid w:val="006A7D09"/>
    <w:rsid w:val="006B0042"/>
    <w:rsid w:val="006B00CB"/>
    <w:rsid w:val="006B0147"/>
    <w:rsid w:val="006B0360"/>
    <w:rsid w:val="006B05B0"/>
    <w:rsid w:val="006B0629"/>
    <w:rsid w:val="006B06B2"/>
    <w:rsid w:val="006B0772"/>
    <w:rsid w:val="006B0850"/>
    <w:rsid w:val="006B08E9"/>
    <w:rsid w:val="006B08EC"/>
    <w:rsid w:val="006B0986"/>
    <w:rsid w:val="006B09FC"/>
    <w:rsid w:val="006B0B24"/>
    <w:rsid w:val="006B0B68"/>
    <w:rsid w:val="006B0BF5"/>
    <w:rsid w:val="006B1300"/>
    <w:rsid w:val="006B13E1"/>
    <w:rsid w:val="006B153B"/>
    <w:rsid w:val="006B1715"/>
    <w:rsid w:val="006B1743"/>
    <w:rsid w:val="006B19AB"/>
    <w:rsid w:val="006B1C5E"/>
    <w:rsid w:val="006B1DC3"/>
    <w:rsid w:val="006B2186"/>
    <w:rsid w:val="006B238D"/>
    <w:rsid w:val="006B23EE"/>
    <w:rsid w:val="006B2402"/>
    <w:rsid w:val="006B249D"/>
    <w:rsid w:val="006B293A"/>
    <w:rsid w:val="006B29D2"/>
    <w:rsid w:val="006B2B86"/>
    <w:rsid w:val="006B2B9F"/>
    <w:rsid w:val="006B2E6E"/>
    <w:rsid w:val="006B3134"/>
    <w:rsid w:val="006B321D"/>
    <w:rsid w:val="006B323E"/>
    <w:rsid w:val="006B32BE"/>
    <w:rsid w:val="006B344F"/>
    <w:rsid w:val="006B34ED"/>
    <w:rsid w:val="006B358C"/>
    <w:rsid w:val="006B35B9"/>
    <w:rsid w:val="006B3618"/>
    <w:rsid w:val="006B376B"/>
    <w:rsid w:val="006B3BF8"/>
    <w:rsid w:val="006B3D60"/>
    <w:rsid w:val="006B3E37"/>
    <w:rsid w:val="006B3F6F"/>
    <w:rsid w:val="006B402D"/>
    <w:rsid w:val="006B418F"/>
    <w:rsid w:val="006B421D"/>
    <w:rsid w:val="006B44A7"/>
    <w:rsid w:val="006B4548"/>
    <w:rsid w:val="006B4613"/>
    <w:rsid w:val="006B474C"/>
    <w:rsid w:val="006B4761"/>
    <w:rsid w:val="006B4FCD"/>
    <w:rsid w:val="006B5013"/>
    <w:rsid w:val="006B5638"/>
    <w:rsid w:val="006B5753"/>
    <w:rsid w:val="006B57E3"/>
    <w:rsid w:val="006B5838"/>
    <w:rsid w:val="006B58A9"/>
    <w:rsid w:val="006B5912"/>
    <w:rsid w:val="006B5D7F"/>
    <w:rsid w:val="006B62D1"/>
    <w:rsid w:val="006B645B"/>
    <w:rsid w:val="006B6549"/>
    <w:rsid w:val="006B65A5"/>
    <w:rsid w:val="006B67E6"/>
    <w:rsid w:val="006B68E0"/>
    <w:rsid w:val="006B693C"/>
    <w:rsid w:val="006B6970"/>
    <w:rsid w:val="006B6B13"/>
    <w:rsid w:val="006B6D1E"/>
    <w:rsid w:val="006B73F0"/>
    <w:rsid w:val="006B75BC"/>
    <w:rsid w:val="006B7618"/>
    <w:rsid w:val="006B7684"/>
    <w:rsid w:val="006B76B9"/>
    <w:rsid w:val="006B789D"/>
    <w:rsid w:val="006B78AC"/>
    <w:rsid w:val="006B79BC"/>
    <w:rsid w:val="006B7EA9"/>
    <w:rsid w:val="006B7FD3"/>
    <w:rsid w:val="006C0291"/>
    <w:rsid w:val="006C055B"/>
    <w:rsid w:val="006C06E6"/>
    <w:rsid w:val="006C080A"/>
    <w:rsid w:val="006C080E"/>
    <w:rsid w:val="006C089A"/>
    <w:rsid w:val="006C0B27"/>
    <w:rsid w:val="006C0B84"/>
    <w:rsid w:val="006C0D06"/>
    <w:rsid w:val="006C0E99"/>
    <w:rsid w:val="006C0EA5"/>
    <w:rsid w:val="006C0EFD"/>
    <w:rsid w:val="006C120E"/>
    <w:rsid w:val="006C1490"/>
    <w:rsid w:val="006C15B2"/>
    <w:rsid w:val="006C1629"/>
    <w:rsid w:val="006C1C8B"/>
    <w:rsid w:val="006C1D41"/>
    <w:rsid w:val="006C1D4F"/>
    <w:rsid w:val="006C1E7E"/>
    <w:rsid w:val="006C2191"/>
    <w:rsid w:val="006C237C"/>
    <w:rsid w:val="006C240C"/>
    <w:rsid w:val="006C2532"/>
    <w:rsid w:val="006C286B"/>
    <w:rsid w:val="006C2BCC"/>
    <w:rsid w:val="006C2F45"/>
    <w:rsid w:val="006C3096"/>
    <w:rsid w:val="006C328A"/>
    <w:rsid w:val="006C333D"/>
    <w:rsid w:val="006C3541"/>
    <w:rsid w:val="006C35B9"/>
    <w:rsid w:val="006C36F8"/>
    <w:rsid w:val="006C377F"/>
    <w:rsid w:val="006C37B3"/>
    <w:rsid w:val="006C3885"/>
    <w:rsid w:val="006C3B2E"/>
    <w:rsid w:val="006C3BFF"/>
    <w:rsid w:val="006C3CB6"/>
    <w:rsid w:val="006C3F7C"/>
    <w:rsid w:val="006C4066"/>
    <w:rsid w:val="006C423E"/>
    <w:rsid w:val="006C4351"/>
    <w:rsid w:val="006C43B4"/>
    <w:rsid w:val="006C44AE"/>
    <w:rsid w:val="006C4595"/>
    <w:rsid w:val="006C489F"/>
    <w:rsid w:val="006C48F7"/>
    <w:rsid w:val="006C4B01"/>
    <w:rsid w:val="006C4D93"/>
    <w:rsid w:val="006C4E0D"/>
    <w:rsid w:val="006C5248"/>
    <w:rsid w:val="006C52C3"/>
    <w:rsid w:val="006C5336"/>
    <w:rsid w:val="006C54A2"/>
    <w:rsid w:val="006C5588"/>
    <w:rsid w:val="006C5669"/>
    <w:rsid w:val="006C591F"/>
    <w:rsid w:val="006C5920"/>
    <w:rsid w:val="006C5A99"/>
    <w:rsid w:val="006C5B77"/>
    <w:rsid w:val="006C5C2E"/>
    <w:rsid w:val="006C5C9B"/>
    <w:rsid w:val="006C5CCA"/>
    <w:rsid w:val="006C5D4C"/>
    <w:rsid w:val="006C5E60"/>
    <w:rsid w:val="006C620D"/>
    <w:rsid w:val="006C6593"/>
    <w:rsid w:val="006C66B1"/>
    <w:rsid w:val="006C6B71"/>
    <w:rsid w:val="006C6DF3"/>
    <w:rsid w:val="006C6F53"/>
    <w:rsid w:val="006C7060"/>
    <w:rsid w:val="006C7172"/>
    <w:rsid w:val="006C723F"/>
    <w:rsid w:val="006C7330"/>
    <w:rsid w:val="006C737B"/>
    <w:rsid w:val="006C73AD"/>
    <w:rsid w:val="006C74E7"/>
    <w:rsid w:val="006C76C1"/>
    <w:rsid w:val="006C76D2"/>
    <w:rsid w:val="006C7ABF"/>
    <w:rsid w:val="006C7ADD"/>
    <w:rsid w:val="006C7E17"/>
    <w:rsid w:val="006C7F02"/>
    <w:rsid w:val="006D014B"/>
    <w:rsid w:val="006D0466"/>
    <w:rsid w:val="006D04B8"/>
    <w:rsid w:val="006D06BF"/>
    <w:rsid w:val="006D07C7"/>
    <w:rsid w:val="006D0D97"/>
    <w:rsid w:val="006D0E16"/>
    <w:rsid w:val="006D0E23"/>
    <w:rsid w:val="006D10C4"/>
    <w:rsid w:val="006D15FD"/>
    <w:rsid w:val="006D1E27"/>
    <w:rsid w:val="006D1FDF"/>
    <w:rsid w:val="006D20A8"/>
    <w:rsid w:val="006D213F"/>
    <w:rsid w:val="006D26AA"/>
    <w:rsid w:val="006D2888"/>
    <w:rsid w:val="006D2BFF"/>
    <w:rsid w:val="006D2D16"/>
    <w:rsid w:val="006D2D73"/>
    <w:rsid w:val="006D2E67"/>
    <w:rsid w:val="006D3021"/>
    <w:rsid w:val="006D3218"/>
    <w:rsid w:val="006D33CE"/>
    <w:rsid w:val="006D349B"/>
    <w:rsid w:val="006D3520"/>
    <w:rsid w:val="006D365B"/>
    <w:rsid w:val="006D3777"/>
    <w:rsid w:val="006D38F3"/>
    <w:rsid w:val="006D3BD9"/>
    <w:rsid w:val="006D3CA8"/>
    <w:rsid w:val="006D44B0"/>
    <w:rsid w:val="006D4551"/>
    <w:rsid w:val="006D455B"/>
    <w:rsid w:val="006D462F"/>
    <w:rsid w:val="006D47A9"/>
    <w:rsid w:val="006D4807"/>
    <w:rsid w:val="006D4D71"/>
    <w:rsid w:val="006D4F02"/>
    <w:rsid w:val="006D4F99"/>
    <w:rsid w:val="006D524D"/>
    <w:rsid w:val="006D5258"/>
    <w:rsid w:val="006D5296"/>
    <w:rsid w:val="006D5363"/>
    <w:rsid w:val="006D5747"/>
    <w:rsid w:val="006D57EE"/>
    <w:rsid w:val="006D58E1"/>
    <w:rsid w:val="006D5978"/>
    <w:rsid w:val="006D5B6B"/>
    <w:rsid w:val="006D5C2A"/>
    <w:rsid w:val="006D5C8F"/>
    <w:rsid w:val="006D5DD2"/>
    <w:rsid w:val="006D6197"/>
    <w:rsid w:val="006D62AE"/>
    <w:rsid w:val="006D666E"/>
    <w:rsid w:val="006D6765"/>
    <w:rsid w:val="006D6958"/>
    <w:rsid w:val="006D6992"/>
    <w:rsid w:val="006D6E82"/>
    <w:rsid w:val="006D6FB4"/>
    <w:rsid w:val="006D70CA"/>
    <w:rsid w:val="006D7194"/>
    <w:rsid w:val="006D727A"/>
    <w:rsid w:val="006D72B9"/>
    <w:rsid w:val="006D73BA"/>
    <w:rsid w:val="006D7607"/>
    <w:rsid w:val="006D77EE"/>
    <w:rsid w:val="006D7B8E"/>
    <w:rsid w:val="006D7C96"/>
    <w:rsid w:val="006D7D03"/>
    <w:rsid w:val="006D7E50"/>
    <w:rsid w:val="006D7EC7"/>
    <w:rsid w:val="006D7F34"/>
    <w:rsid w:val="006E03E6"/>
    <w:rsid w:val="006E0449"/>
    <w:rsid w:val="006E0495"/>
    <w:rsid w:val="006E04CA"/>
    <w:rsid w:val="006E051F"/>
    <w:rsid w:val="006E062B"/>
    <w:rsid w:val="006E068D"/>
    <w:rsid w:val="006E0767"/>
    <w:rsid w:val="006E09E8"/>
    <w:rsid w:val="006E0A15"/>
    <w:rsid w:val="006E0A36"/>
    <w:rsid w:val="006E0A4C"/>
    <w:rsid w:val="006E0BFD"/>
    <w:rsid w:val="006E0E63"/>
    <w:rsid w:val="006E0F70"/>
    <w:rsid w:val="006E1151"/>
    <w:rsid w:val="006E11EB"/>
    <w:rsid w:val="006E12E7"/>
    <w:rsid w:val="006E14CC"/>
    <w:rsid w:val="006E16E3"/>
    <w:rsid w:val="006E1722"/>
    <w:rsid w:val="006E1776"/>
    <w:rsid w:val="006E18E2"/>
    <w:rsid w:val="006E18F0"/>
    <w:rsid w:val="006E18F8"/>
    <w:rsid w:val="006E191B"/>
    <w:rsid w:val="006E19C6"/>
    <w:rsid w:val="006E1ADE"/>
    <w:rsid w:val="006E1BA8"/>
    <w:rsid w:val="006E1C8A"/>
    <w:rsid w:val="006E1DA8"/>
    <w:rsid w:val="006E1E85"/>
    <w:rsid w:val="006E1E9A"/>
    <w:rsid w:val="006E1EE8"/>
    <w:rsid w:val="006E1F0E"/>
    <w:rsid w:val="006E1FE3"/>
    <w:rsid w:val="006E20E8"/>
    <w:rsid w:val="006E217F"/>
    <w:rsid w:val="006E223E"/>
    <w:rsid w:val="006E23E0"/>
    <w:rsid w:val="006E2569"/>
    <w:rsid w:val="006E2692"/>
    <w:rsid w:val="006E2823"/>
    <w:rsid w:val="006E297D"/>
    <w:rsid w:val="006E29AA"/>
    <w:rsid w:val="006E29E3"/>
    <w:rsid w:val="006E2A02"/>
    <w:rsid w:val="006E2EBF"/>
    <w:rsid w:val="006E2FB3"/>
    <w:rsid w:val="006E30EB"/>
    <w:rsid w:val="006E3139"/>
    <w:rsid w:val="006E3176"/>
    <w:rsid w:val="006E32D4"/>
    <w:rsid w:val="006E32D8"/>
    <w:rsid w:val="006E3350"/>
    <w:rsid w:val="006E340E"/>
    <w:rsid w:val="006E3496"/>
    <w:rsid w:val="006E3AD1"/>
    <w:rsid w:val="006E3B1E"/>
    <w:rsid w:val="006E3BC1"/>
    <w:rsid w:val="006E408C"/>
    <w:rsid w:val="006E4296"/>
    <w:rsid w:val="006E42C9"/>
    <w:rsid w:val="006E430D"/>
    <w:rsid w:val="006E4455"/>
    <w:rsid w:val="006E469F"/>
    <w:rsid w:val="006E474C"/>
    <w:rsid w:val="006E4ACB"/>
    <w:rsid w:val="006E4B15"/>
    <w:rsid w:val="006E4B7C"/>
    <w:rsid w:val="006E4CED"/>
    <w:rsid w:val="006E4DB7"/>
    <w:rsid w:val="006E4E19"/>
    <w:rsid w:val="006E5065"/>
    <w:rsid w:val="006E5070"/>
    <w:rsid w:val="006E52B7"/>
    <w:rsid w:val="006E54DA"/>
    <w:rsid w:val="006E5839"/>
    <w:rsid w:val="006E599C"/>
    <w:rsid w:val="006E5E7B"/>
    <w:rsid w:val="006E5F4E"/>
    <w:rsid w:val="006E618D"/>
    <w:rsid w:val="006E656C"/>
    <w:rsid w:val="006E6627"/>
    <w:rsid w:val="006E6C2E"/>
    <w:rsid w:val="006E6C4E"/>
    <w:rsid w:val="006E6D91"/>
    <w:rsid w:val="006E6ECD"/>
    <w:rsid w:val="006E712B"/>
    <w:rsid w:val="006E7285"/>
    <w:rsid w:val="006E7400"/>
    <w:rsid w:val="006E753E"/>
    <w:rsid w:val="006E75AF"/>
    <w:rsid w:val="006E7A25"/>
    <w:rsid w:val="006E7A84"/>
    <w:rsid w:val="006E7ADE"/>
    <w:rsid w:val="006F017C"/>
    <w:rsid w:val="006F0315"/>
    <w:rsid w:val="006F04AE"/>
    <w:rsid w:val="006F07DD"/>
    <w:rsid w:val="006F094F"/>
    <w:rsid w:val="006F095D"/>
    <w:rsid w:val="006F0A3D"/>
    <w:rsid w:val="006F0BD0"/>
    <w:rsid w:val="006F0BDF"/>
    <w:rsid w:val="006F0F07"/>
    <w:rsid w:val="006F0FDE"/>
    <w:rsid w:val="006F112D"/>
    <w:rsid w:val="006F1231"/>
    <w:rsid w:val="006F13D6"/>
    <w:rsid w:val="006F13F6"/>
    <w:rsid w:val="006F1556"/>
    <w:rsid w:val="006F15F9"/>
    <w:rsid w:val="006F18E0"/>
    <w:rsid w:val="006F19B9"/>
    <w:rsid w:val="006F1AF5"/>
    <w:rsid w:val="006F1B90"/>
    <w:rsid w:val="006F1C3A"/>
    <w:rsid w:val="006F1D5A"/>
    <w:rsid w:val="006F1ECC"/>
    <w:rsid w:val="006F1F7F"/>
    <w:rsid w:val="006F2013"/>
    <w:rsid w:val="006F2015"/>
    <w:rsid w:val="006F207A"/>
    <w:rsid w:val="006F2094"/>
    <w:rsid w:val="006F2123"/>
    <w:rsid w:val="006F2403"/>
    <w:rsid w:val="006F2575"/>
    <w:rsid w:val="006F2644"/>
    <w:rsid w:val="006F269B"/>
    <w:rsid w:val="006F26EE"/>
    <w:rsid w:val="006F2706"/>
    <w:rsid w:val="006F287D"/>
    <w:rsid w:val="006F2B03"/>
    <w:rsid w:val="006F2B69"/>
    <w:rsid w:val="006F2CB6"/>
    <w:rsid w:val="006F2DB1"/>
    <w:rsid w:val="006F2F86"/>
    <w:rsid w:val="006F30E7"/>
    <w:rsid w:val="006F3110"/>
    <w:rsid w:val="006F3122"/>
    <w:rsid w:val="006F320E"/>
    <w:rsid w:val="006F32EA"/>
    <w:rsid w:val="006F363A"/>
    <w:rsid w:val="006F36C9"/>
    <w:rsid w:val="006F3943"/>
    <w:rsid w:val="006F3C0D"/>
    <w:rsid w:val="006F41C0"/>
    <w:rsid w:val="006F4287"/>
    <w:rsid w:val="006F42D5"/>
    <w:rsid w:val="006F43DC"/>
    <w:rsid w:val="006F4549"/>
    <w:rsid w:val="006F477B"/>
    <w:rsid w:val="006F4785"/>
    <w:rsid w:val="006F48F6"/>
    <w:rsid w:val="006F499C"/>
    <w:rsid w:val="006F4BC2"/>
    <w:rsid w:val="006F4C2B"/>
    <w:rsid w:val="006F4C6B"/>
    <w:rsid w:val="006F4D87"/>
    <w:rsid w:val="006F4DEB"/>
    <w:rsid w:val="006F4EE2"/>
    <w:rsid w:val="006F4F61"/>
    <w:rsid w:val="006F51BE"/>
    <w:rsid w:val="006F5397"/>
    <w:rsid w:val="006F56EB"/>
    <w:rsid w:val="006F5970"/>
    <w:rsid w:val="006F59DD"/>
    <w:rsid w:val="006F5AD1"/>
    <w:rsid w:val="006F5B01"/>
    <w:rsid w:val="006F5B3F"/>
    <w:rsid w:val="006F5B60"/>
    <w:rsid w:val="006F5CB1"/>
    <w:rsid w:val="006F5DD9"/>
    <w:rsid w:val="006F5E20"/>
    <w:rsid w:val="006F5F1F"/>
    <w:rsid w:val="006F5F64"/>
    <w:rsid w:val="006F62D4"/>
    <w:rsid w:val="006F6318"/>
    <w:rsid w:val="006F64B2"/>
    <w:rsid w:val="006F66C2"/>
    <w:rsid w:val="006F67F2"/>
    <w:rsid w:val="006F69D6"/>
    <w:rsid w:val="006F6A6C"/>
    <w:rsid w:val="006F6C3A"/>
    <w:rsid w:val="006F6D79"/>
    <w:rsid w:val="006F6E9C"/>
    <w:rsid w:val="006F6F0B"/>
    <w:rsid w:val="006F6F2D"/>
    <w:rsid w:val="006F7314"/>
    <w:rsid w:val="006F73A3"/>
    <w:rsid w:val="006F7498"/>
    <w:rsid w:val="006F75FC"/>
    <w:rsid w:val="006F7716"/>
    <w:rsid w:val="006F780B"/>
    <w:rsid w:val="006F7810"/>
    <w:rsid w:val="006F7888"/>
    <w:rsid w:val="006F793D"/>
    <w:rsid w:val="006F7A94"/>
    <w:rsid w:val="006F7B18"/>
    <w:rsid w:val="006F7BFF"/>
    <w:rsid w:val="006F7DF7"/>
    <w:rsid w:val="006F7ECC"/>
    <w:rsid w:val="006F7FAB"/>
    <w:rsid w:val="007000BC"/>
    <w:rsid w:val="007002B9"/>
    <w:rsid w:val="007004A3"/>
    <w:rsid w:val="00700536"/>
    <w:rsid w:val="0070078E"/>
    <w:rsid w:val="00700A6F"/>
    <w:rsid w:val="00700EA2"/>
    <w:rsid w:val="00700F3E"/>
    <w:rsid w:val="00701229"/>
    <w:rsid w:val="007013FA"/>
    <w:rsid w:val="00701403"/>
    <w:rsid w:val="00701560"/>
    <w:rsid w:val="007015C2"/>
    <w:rsid w:val="00701A5E"/>
    <w:rsid w:val="00701BC7"/>
    <w:rsid w:val="00701E49"/>
    <w:rsid w:val="0070266C"/>
    <w:rsid w:val="0070268E"/>
    <w:rsid w:val="00702699"/>
    <w:rsid w:val="00702702"/>
    <w:rsid w:val="00702727"/>
    <w:rsid w:val="00702AEC"/>
    <w:rsid w:val="00702C1E"/>
    <w:rsid w:val="00702C30"/>
    <w:rsid w:val="00702F00"/>
    <w:rsid w:val="00703002"/>
    <w:rsid w:val="0070302B"/>
    <w:rsid w:val="0070334F"/>
    <w:rsid w:val="0070343A"/>
    <w:rsid w:val="007037B0"/>
    <w:rsid w:val="0070388F"/>
    <w:rsid w:val="007039CA"/>
    <w:rsid w:val="00703E53"/>
    <w:rsid w:val="00704153"/>
    <w:rsid w:val="007041F1"/>
    <w:rsid w:val="00704325"/>
    <w:rsid w:val="007046BA"/>
    <w:rsid w:val="007049B8"/>
    <w:rsid w:val="00704AC4"/>
    <w:rsid w:val="007050FC"/>
    <w:rsid w:val="0070517F"/>
    <w:rsid w:val="00705334"/>
    <w:rsid w:val="00705397"/>
    <w:rsid w:val="00705538"/>
    <w:rsid w:val="007057ED"/>
    <w:rsid w:val="00705A1B"/>
    <w:rsid w:val="00705A71"/>
    <w:rsid w:val="00705C3C"/>
    <w:rsid w:val="00705CBA"/>
    <w:rsid w:val="00705CD5"/>
    <w:rsid w:val="00705D81"/>
    <w:rsid w:val="00705DAA"/>
    <w:rsid w:val="00705E82"/>
    <w:rsid w:val="00706026"/>
    <w:rsid w:val="00706148"/>
    <w:rsid w:val="00706239"/>
    <w:rsid w:val="00706257"/>
    <w:rsid w:val="00706412"/>
    <w:rsid w:val="0070659E"/>
    <w:rsid w:val="007066EB"/>
    <w:rsid w:val="00706703"/>
    <w:rsid w:val="0070674B"/>
    <w:rsid w:val="00706765"/>
    <w:rsid w:val="00706896"/>
    <w:rsid w:val="00706A25"/>
    <w:rsid w:val="00706D10"/>
    <w:rsid w:val="00706E36"/>
    <w:rsid w:val="00706E8C"/>
    <w:rsid w:val="00706EBB"/>
    <w:rsid w:val="00706F30"/>
    <w:rsid w:val="007071DA"/>
    <w:rsid w:val="0070727D"/>
    <w:rsid w:val="00707490"/>
    <w:rsid w:val="007074BF"/>
    <w:rsid w:val="00707774"/>
    <w:rsid w:val="007077BB"/>
    <w:rsid w:val="00707AA3"/>
    <w:rsid w:val="00707BA5"/>
    <w:rsid w:val="0071072F"/>
    <w:rsid w:val="007107B1"/>
    <w:rsid w:val="00710887"/>
    <w:rsid w:val="00710ADA"/>
    <w:rsid w:val="00710B11"/>
    <w:rsid w:val="00710CF1"/>
    <w:rsid w:val="00710D98"/>
    <w:rsid w:val="00710DD2"/>
    <w:rsid w:val="00710F69"/>
    <w:rsid w:val="00710FC9"/>
    <w:rsid w:val="00711222"/>
    <w:rsid w:val="007112D2"/>
    <w:rsid w:val="00711350"/>
    <w:rsid w:val="007115E9"/>
    <w:rsid w:val="0071160A"/>
    <w:rsid w:val="0071160C"/>
    <w:rsid w:val="00711842"/>
    <w:rsid w:val="00711BD9"/>
    <w:rsid w:val="00711D12"/>
    <w:rsid w:val="00711EE0"/>
    <w:rsid w:val="00712138"/>
    <w:rsid w:val="007122D9"/>
    <w:rsid w:val="0071244E"/>
    <w:rsid w:val="007126D9"/>
    <w:rsid w:val="007129D2"/>
    <w:rsid w:val="00712A77"/>
    <w:rsid w:val="00712CC5"/>
    <w:rsid w:val="00712E8D"/>
    <w:rsid w:val="0071303F"/>
    <w:rsid w:val="007130F8"/>
    <w:rsid w:val="00713211"/>
    <w:rsid w:val="007133AC"/>
    <w:rsid w:val="007136CB"/>
    <w:rsid w:val="007136E7"/>
    <w:rsid w:val="007137E4"/>
    <w:rsid w:val="007137F0"/>
    <w:rsid w:val="007138BF"/>
    <w:rsid w:val="007139EC"/>
    <w:rsid w:val="00713B10"/>
    <w:rsid w:val="00713E2B"/>
    <w:rsid w:val="00713F3F"/>
    <w:rsid w:val="00713F88"/>
    <w:rsid w:val="0071412A"/>
    <w:rsid w:val="007141D1"/>
    <w:rsid w:val="00714239"/>
    <w:rsid w:val="00714356"/>
    <w:rsid w:val="00714421"/>
    <w:rsid w:val="007144AF"/>
    <w:rsid w:val="0071463B"/>
    <w:rsid w:val="007148E6"/>
    <w:rsid w:val="0071493D"/>
    <w:rsid w:val="00714B7E"/>
    <w:rsid w:val="00714DC5"/>
    <w:rsid w:val="00714EFE"/>
    <w:rsid w:val="00714FE1"/>
    <w:rsid w:val="007150A0"/>
    <w:rsid w:val="0071511E"/>
    <w:rsid w:val="00715460"/>
    <w:rsid w:val="00715859"/>
    <w:rsid w:val="007158FF"/>
    <w:rsid w:val="00715B21"/>
    <w:rsid w:val="00715BDC"/>
    <w:rsid w:val="00715C15"/>
    <w:rsid w:val="00715C30"/>
    <w:rsid w:val="00715C33"/>
    <w:rsid w:val="00715DCD"/>
    <w:rsid w:val="00715E64"/>
    <w:rsid w:val="00715ECD"/>
    <w:rsid w:val="00715FAF"/>
    <w:rsid w:val="007160AC"/>
    <w:rsid w:val="007160E8"/>
    <w:rsid w:val="00716183"/>
    <w:rsid w:val="007162AE"/>
    <w:rsid w:val="0071633B"/>
    <w:rsid w:val="0071663C"/>
    <w:rsid w:val="007167B5"/>
    <w:rsid w:val="00716925"/>
    <w:rsid w:val="00716979"/>
    <w:rsid w:val="007169BF"/>
    <w:rsid w:val="00716A06"/>
    <w:rsid w:val="00716B04"/>
    <w:rsid w:val="00716B2C"/>
    <w:rsid w:val="00716C3F"/>
    <w:rsid w:val="00716CA0"/>
    <w:rsid w:val="00716CBB"/>
    <w:rsid w:val="00716D70"/>
    <w:rsid w:val="00716F01"/>
    <w:rsid w:val="00716F40"/>
    <w:rsid w:val="00716FAD"/>
    <w:rsid w:val="0071710F"/>
    <w:rsid w:val="0071713A"/>
    <w:rsid w:val="007172E7"/>
    <w:rsid w:val="007172F0"/>
    <w:rsid w:val="00717376"/>
    <w:rsid w:val="007174BE"/>
    <w:rsid w:val="00717597"/>
    <w:rsid w:val="0071759C"/>
    <w:rsid w:val="007176CD"/>
    <w:rsid w:val="007176F4"/>
    <w:rsid w:val="007177D7"/>
    <w:rsid w:val="00717822"/>
    <w:rsid w:val="00717867"/>
    <w:rsid w:val="00717C79"/>
    <w:rsid w:val="00717F5E"/>
    <w:rsid w:val="007202A5"/>
    <w:rsid w:val="007202E0"/>
    <w:rsid w:val="00720308"/>
    <w:rsid w:val="0072043E"/>
    <w:rsid w:val="0072052F"/>
    <w:rsid w:val="0072065A"/>
    <w:rsid w:val="00720751"/>
    <w:rsid w:val="007208BF"/>
    <w:rsid w:val="007208E9"/>
    <w:rsid w:val="00720971"/>
    <w:rsid w:val="00720A3B"/>
    <w:rsid w:val="00720B7D"/>
    <w:rsid w:val="00720F44"/>
    <w:rsid w:val="00721059"/>
    <w:rsid w:val="007210BC"/>
    <w:rsid w:val="007210E2"/>
    <w:rsid w:val="007216B8"/>
    <w:rsid w:val="00721ABF"/>
    <w:rsid w:val="00721ACA"/>
    <w:rsid w:val="00721E05"/>
    <w:rsid w:val="00721F10"/>
    <w:rsid w:val="00721F23"/>
    <w:rsid w:val="007221B4"/>
    <w:rsid w:val="0072228E"/>
    <w:rsid w:val="007222CF"/>
    <w:rsid w:val="007222DD"/>
    <w:rsid w:val="007223B7"/>
    <w:rsid w:val="00722512"/>
    <w:rsid w:val="00722877"/>
    <w:rsid w:val="00722972"/>
    <w:rsid w:val="00722A33"/>
    <w:rsid w:val="00722B16"/>
    <w:rsid w:val="00722F15"/>
    <w:rsid w:val="00722F24"/>
    <w:rsid w:val="00722F32"/>
    <w:rsid w:val="00722F4A"/>
    <w:rsid w:val="007235A1"/>
    <w:rsid w:val="007237C2"/>
    <w:rsid w:val="00723910"/>
    <w:rsid w:val="00723D43"/>
    <w:rsid w:val="00723EA7"/>
    <w:rsid w:val="00723FFF"/>
    <w:rsid w:val="007240B9"/>
    <w:rsid w:val="007243D0"/>
    <w:rsid w:val="0072453E"/>
    <w:rsid w:val="00724876"/>
    <w:rsid w:val="007248B3"/>
    <w:rsid w:val="00724AC2"/>
    <w:rsid w:val="00724B34"/>
    <w:rsid w:val="00724BE9"/>
    <w:rsid w:val="00724C59"/>
    <w:rsid w:val="00724D8A"/>
    <w:rsid w:val="00724DEA"/>
    <w:rsid w:val="0072505F"/>
    <w:rsid w:val="0072515D"/>
    <w:rsid w:val="00725235"/>
    <w:rsid w:val="00725244"/>
    <w:rsid w:val="00725264"/>
    <w:rsid w:val="00725446"/>
    <w:rsid w:val="00725461"/>
    <w:rsid w:val="0072568C"/>
    <w:rsid w:val="007257BB"/>
    <w:rsid w:val="00725ACF"/>
    <w:rsid w:val="00725B01"/>
    <w:rsid w:val="00725B37"/>
    <w:rsid w:val="00725B8C"/>
    <w:rsid w:val="00725BF3"/>
    <w:rsid w:val="00725D3F"/>
    <w:rsid w:val="007261B5"/>
    <w:rsid w:val="00726451"/>
    <w:rsid w:val="00726761"/>
    <w:rsid w:val="007267FD"/>
    <w:rsid w:val="00726A1F"/>
    <w:rsid w:val="00726A7C"/>
    <w:rsid w:val="00726BDE"/>
    <w:rsid w:val="00726D27"/>
    <w:rsid w:val="00726F58"/>
    <w:rsid w:val="00727086"/>
    <w:rsid w:val="007270C3"/>
    <w:rsid w:val="007275B2"/>
    <w:rsid w:val="0072760D"/>
    <w:rsid w:val="00727CB5"/>
    <w:rsid w:val="00727CCA"/>
    <w:rsid w:val="00727CF3"/>
    <w:rsid w:val="00727E93"/>
    <w:rsid w:val="00730085"/>
    <w:rsid w:val="00730230"/>
    <w:rsid w:val="007303C2"/>
    <w:rsid w:val="00730444"/>
    <w:rsid w:val="00730854"/>
    <w:rsid w:val="00730C3B"/>
    <w:rsid w:val="00730EA7"/>
    <w:rsid w:val="00730F7C"/>
    <w:rsid w:val="00731170"/>
    <w:rsid w:val="00731482"/>
    <w:rsid w:val="00731611"/>
    <w:rsid w:val="0073166C"/>
    <w:rsid w:val="00731776"/>
    <w:rsid w:val="00731833"/>
    <w:rsid w:val="007318B9"/>
    <w:rsid w:val="0073199C"/>
    <w:rsid w:val="00731A2C"/>
    <w:rsid w:val="00731A3C"/>
    <w:rsid w:val="00731AFA"/>
    <w:rsid w:val="0073214E"/>
    <w:rsid w:val="00732157"/>
    <w:rsid w:val="007331C7"/>
    <w:rsid w:val="00733230"/>
    <w:rsid w:val="007334EA"/>
    <w:rsid w:val="00733751"/>
    <w:rsid w:val="00733A43"/>
    <w:rsid w:val="00733AA8"/>
    <w:rsid w:val="00733C25"/>
    <w:rsid w:val="00733C8C"/>
    <w:rsid w:val="00733DC9"/>
    <w:rsid w:val="00733FA6"/>
    <w:rsid w:val="00733FA8"/>
    <w:rsid w:val="00734199"/>
    <w:rsid w:val="007341BE"/>
    <w:rsid w:val="00734419"/>
    <w:rsid w:val="00734465"/>
    <w:rsid w:val="0073488B"/>
    <w:rsid w:val="00734B05"/>
    <w:rsid w:val="00734B10"/>
    <w:rsid w:val="00734D57"/>
    <w:rsid w:val="00734E2E"/>
    <w:rsid w:val="00734FBF"/>
    <w:rsid w:val="0073508A"/>
    <w:rsid w:val="007350D9"/>
    <w:rsid w:val="007353A2"/>
    <w:rsid w:val="00735507"/>
    <w:rsid w:val="00735618"/>
    <w:rsid w:val="0073586D"/>
    <w:rsid w:val="00735CD4"/>
    <w:rsid w:val="00735E73"/>
    <w:rsid w:val="00735EA6"/>
    <w:rsid w:val="0073618A"/>
    <w:rsid w:val="007361FF"/>
    <w:rsid w:val="007362B8"/>
    <w:rsid w:val="0073638F"/>
    <w:rsid w:val="0073650B"/>
    <w:rsid w:val="00736667"/>
    <w:rsid w:val="007367E7"/>
    <w:rsid w:val="00736903"/>
    <w:rsid w:val="00736A5A"/>
    <w:rsid w:val="00736BBC"/>
    <w:rsid w:val="00736BCA"/>
    <w:rsid w:val="00736F2F"/>
    <w:rsid w:val="00737176"/>
    <w:rsid w:val="0073720A"/>
    <w:rsid w:val="00737219"/>
    <w:rsid w:val="00737408"/>
    <w:rsid w:val="0073745A"/>
    <w:rsid w:val="0073751D"/>
    <w:rsid w:val="0073758A"/>
    <w:rsid w:val="00737862"/>
    <w:rsid w:val="00737AEA"/>
    <w:rsid w:val="00737BA8"/>
    <w:rsid w:val="00737D0C"/>
    <w:rsid w:val="007402C3"/>
    <w:rsid w:val="007405E3"/>
    <w:rsid w:val="00740669"/>
    <w:rsid w:val="007406B2"/>
    <w:rsid w:val="00740715"/>
    <w:rsid w:val="007407E0"/>
    <w:rsid w:val="00740902"/>
    <w:rsid w:val="00740951"/>
    <w:rsid w:val="00740997"/>
    <w:rsid w:val="0074099A"/>
    <w:rsid w:val="007409AE"/>
    <w:rsid w:val="00740BF1"/>
    <w:rsid w:val="00740E9C"/>
    <w:rsid w:val="00741221"/>
    <w:rsid w:val="0074130F"/>
    <w:rsid w:val="0074153C"/>
    <w:rsid w:val="0074199E"/>
    <w:rsid w:val="00741C24"/>
    <w:rsid w:val="00741DD4"/>
    <w:rsid w:val="00741DF9"/>
    <w:rsid w:val="0074221B"/>
    <w:rsid w:val="00742390"/>
    <w:rsid w:val="00742508"/>
    <w:rsid w:val="0074251D"/>
    <w:rsid w:val="007425AC"/>
    <w:rsid w:val="007426A2"/>
    <w:rsid w:val="00742860"/>
    <w:rsid w:val="00742B45"/>
    <w:rsid w:val="00742DCB"/>
    <w:rsid w:val="00742E91"/>
    <w:rsid w:val="00742F2E"/>
    <w:rsid w:val="0074312B"/>
    <w:rsid w:val="0074327A"/>
    <w:rsid w:val="00743746"/>
    <w:rsid w:val="00743951"/>
    <w:rsid w:val="00743A29"/>
    <w:rsid w:val="00743B66"/>
    <w:rsid w:val="00743C2D"/>
    <w:rsid w:val="0074401A"/>
    <w:rsid w:val="00744073"/>
    <w:rsid w:val="0074455A"/>
    <w:rsid w:val="00744603"/>
    <w:rsid w:val="00744652"/>
    <w:rsid w:val="00744813"/>
    <w:rsid w:val="00744911"/>
    <w:rsid w:val="00744A4B"/>
    <w:rsid w:val="00744C61"/>
    <w:rsid w:val="00744D32"/>
    <w:rsid w:val="00744DD1"/>
    <w:rsid w:val="00744E6B"/>
    <w:rsid w:val="007451B1"/>
    <w:rsid w:val="007452BD"/>
    <w:rsid w:val="0074552D"/>
    <w:rsid w:val="0074566F"/>
    <w:rsid w:val="00745783"/>
    <w:rsid w:val="0074599A"/>
    <w:rsid w:val="00745A7A"/>
    <w:rsid w:val="00745DB0"/>
    <w:rsid w:val="00745F3A"/>
    <w:rsid w:val="007463FB"/>
    <w:rsid w:val="007464C6"/>
    <w:rsid w:val="00746696"/>
    <w:rsid w:val="00746723"/>
    <w:rsid w:val="007467A7"/>
    <w:rsid w:val="007468EE"/>
    <w:rsid w:val="00746938"/>
    <w:rsid w:val="00746BDD"/>
    <w:rsid w:val="00746F28"/>
    <w:rsid w:val="00746F97"/>
    <w:rsid w:val="007471BC"/>
    <w:rsid w:val="007473A5"/>
    <w:rsid w:val="007473E9"/>
    <w:rsid w:val="00747456"/>
    <w:rsid w:val="00747697"/>
    <w:rsid w:val="007478AA"/>
    <w:rsid w:val="00747B72"/>
    <w:rsid w:val="00747C80"/>
    <w:rsid w:val="00750028"/>
    <w:rsid w:val="00750579"/>
    <w:rsid w:val="00750646"/>
    <w:rsid w:val="0075082A"/>
    <w:rsid w:val="00750883"/>
    <w:rsid w:val="00750C62"/>
    <w:rsid w:val="00750D39"/>
    <w:rsid w:val="007511E6"/>
    <w:rsid w:val="007513CA"/>
    <w:rsid w:val="00751425"/>
    <w:rsid w:val="0075145F"/>
    <w:rsid w:val="007514E6"/>
    <w:rsid w:val="00751826"/>
    <w:rsid w:val="007519F1"/>
    <w:rsid w:val="00751A50"/>
    <w:rsid w:val="00751B20"/>
    <w:rsid w:val="00751D26"/>
    <w:rsid w:val="00751E8C"/>
    <w:rsid w:val="00752297"/>
    <w:rsid w:val="0075271C"/>
    <w:rsid w:val="00752741"/>
    <w:rsid w:val="007527F2"/>
    <w:rsid w:val="0075293D"/>
    <w:rsid w:val="00752A4D"/>
    <w:rsid w:val="00752B18"/>
    <w:rsid w:val="00752F36"/>
    <w:rsid w:val="00752FF2"/>
    <w:rsid w:val="00753142"/>
    <w:rsid w:val="0075316C"/>
    <w:rsid w:val="00753170"/>
    <w:rsid w:val="007533BD"/>
    <w:rsid w:val="00753492"/>
    <w:rsid w:val="007534C5"/>
    <w:rsid w:val="0075365C"/>
    <w:rsid w:val="0075390C"/>
    <w:rsid w:val="00753B44"/>
    <w:rsid w:val="00753B46"/>
    <w:rsid w:val="00753BD4"/>
    <w:rsid w:val="00753BF8"/>
    <w:rsid w:val="00753DD6"/>
    <w:rsid w:val="00753FAA"/>
    <w:rsid w:val="007540A2"/>
    <w:rsid w:val="007540C6"/>
    <w:rsid w:val="0075410A"/>
    <w:rsid w:val="00754211"/>
    <w:rsid w:val="007546D3"/>
    <w:rsid w:val="007548D2"/>
    <w:rsid w:val="00754C87"/>
    <w:rsid w:val="00754E97"/>
    <w:rsid w:val="00754F27"/>
    <w:rsid w:val="00754FC0"/>
    <w:rsid w:val="0075507E"/>
    <w:rsid w:val="00755266"/>
    <w:rsid w:val="0075568D"/>
    <w:rsid w:val="0075571E"/>
    <w:rsid w:val="00755748"/>
    <w:rsid w:val="0075587A"/>
    <w:rsid w:val="007558EC"/>
    <w:rsid w:val="0075595F"/>
    <w:rsid w:val="00755CE4"/>
    <w:rsid w:val="00755E5A"/>
    <w:rsid w:val="00755E96"/>
    <w:rsid w:val="007560E1"/>
    <w:rsid w:val="00756110"/>
    <w:rsid w:val="00756200"/>
    <w:rsid w:val="00756225"/>
    <w:rsid w:val="0075630D"/>
    <w:rsid w:val="007564A2"/>
    <w:rsid w:val="007565EC"/>
    <w:rsid w:val="00756645"/>
    <w:rsid w:val="0075684A"/>
    <w:rsid w:val="007568A0"/>
    <w:rsid w:val="00756A53"/>
    <w:rsid w:val="00756A9D"/>
    <w:rsid w:val="00756AC0"/>
    <w:rsid w:val="00756B69"/>
    <w:rsid w:val="00756FFB"/>
    <w:rsid w:val="007570AC"/>
    <w:rsid w:val="007573DA"/>
    <w:rsid w:val="007577A8"/>
    <w:rsid w:val="00757A74"/>
    <w:rsid w:val="00757AB0"/>
    <w:rsid w:val="00757C94"/>
    <w:rsid w:val="00757CDB"/>
    <w:rsid w:val="00757E8A"/>
    <w:rsid w:val="00757EE9"/>
    <w:rsid w:val="00757EEB"/>
    <w:rsid w:val="00760305"/>
    <w:rsid w:val="00760472"/>
    <w:rsid w:val="0076056C"/>
    <w:rsid w:val="007605DC"/>
    <w:rsid w:val="00760675"/>
    <w:rsid w:val="00760751"/>
    <w:rsid w:val="00760833"/>
    <w:rsid w:val="007609F8"/>
    <w:rsid w:val="00760B57"/>
    <w:rsid w:val="00760C13"/>
    <w:rsid w:val="00760D07"/>
    <w:rsid w:val="00760D28"/>
    <w:rsid w:val="00760DDF"/>
    <w:rsid w:val="00760FCC"/>
    <w:rsid w:val="007610D4"/>
    <w:rsid w:val="007614F0"/>
    <w:rsid w:val="007615BF"/>
    <w:rsid w:val="00761791"/>
    <w:rsid w:val="00761D7E"/>
    <w:rsid w:val="00761EBE"/>
    <w:rsid w:val="007624C6"/>
    <w:rsid w:val="007627DB"/>
    <w:rsid w:val="0076286F"/>
    <w:rsid w:val="0076297B"/>
    <w:rsid w:val="00762C02"/>
    <w:rsid w:val="00762D14"/>
    <w:rsid w:val="00762DBC"/>
    <w:rsid w:val="0076319E"/>
    <w:rsid w:val="007632F6"/>
    <w:rsid w:val="007635C8"/>
    <w:rsid w:val="00763788"/>
    <w:rsid w:val="00763964"/>
    <w:rsid w:val="00763D3D"/>
    <w:rsid w:val="00763DF0"/>
    <w:rsid w:val="00763E8A"/>
    <w:rsid w:val="00763FFB"/>
    <w:rsid w:val="00764065"/>
    <w:rsid w:val="007640E5"/>
    <w:rsid w:val="0076411A"/>
    <w:rsid w:val="007641C6"/>
    <w:rsid w:val="00764367"/>
    <w:rsid w:val="007643C4"/>
    <w:rsid w:val="00764533"/>
    <w:rsid w:val="0076458D"/>
    <w:rsid w:val="00764AC2"/>
    <w:rsid w:val="00764C05"/>
    <w:rsid w:val="00764C09"/>
    <w:rsid w:val="00764C5B"/>
    <w:rsid w:val="00764C7D"/>
    <w:rsid w:val="00764EBA"/>
    <w:rsid w:val="00764F0C"/>
    <w:rsid w:val="00765097"/>
    <w:rsid w:val="007651C6"/>
    <w:rsid w:val="007651EC"/>
    <w:rsid w:val="007653E9"/>
    <w:rsid w:val="0076546E"/>
    <w:rsid w:val="00765914"/>
    <w:rsid w:val="00765B12"/>
    <w:rsid w:val="00765BC5"/>
    <w:rsid w:val="00765CBE"/>
    <w:rsid w:val="00765D26"/>
    <w:rsid w:val="00765D8C"/>
    <w:rsid w:val="00765E15"/>
    <w:rsid w:val="00765E1F"/>
    <w:rsid w:val="00765E24"/>
    <w:rsid w:val="00765E34"/>
    <w:rsid w:val="00765E52"/>
    <w:rsid w:val="0076617C"/>
    <w:rsid w:val="0076632C"/>
    <w:rsid w:val="0076656E"/>
    <w:rsid w:val="00766704"/>
    <w:rsid w:val="0076673E"/>
    <w:rsid w:val="007668C8"/>
    <w:rsid w:val="0076697F"/>
    <w:rsid w:val="00766C30"/>
    <w:rsid w:val="00766CF4"/>
    <w:rsid w:val="00767055"/>
    <w:rsid w:val="007671A9"/>
    <w:rsid w:val="00767239"/>
    <w:rsid w:val="007675E5"/>
    <w:rsid w:val="0076777A"/>
    <w:rsid w:val="007678F9"/>
    <w:rsid w:val="00767D27"/>
    <w:rsid w:val="00767E15"/>
    <w:rsid w:val="00767F94"/>
    <w:rsid w:val="00770095"/>
    <w:rsid w:val="0077009D"/>
    <w:rsid w:val="00770169"/>
    <w:rsid w:val="007702A8"/>
    <w:rsid w:val="0077034A"/>
    <w:rsid w:val="0077084E"/>
    <w:rsid w:val="00770A1A"/>
    <w:rsid w:val="00770ABB"/>
    <w:rsid w:val="00770AD0"/>
    <w:rsid w:val="00770AED"/>
    <w:rsid w:val="00770B66"/>
    <w:rsid w:val="00770B6B"/>
    <w:rsid w:val="00770C72"/>
    <w:rsid w:val="00770D12"/>
    <w:rsid w:val="00770D31"/>
    <w:rsid w:val="00770D56"/>
    <w:rsid w:val="00770DC2"/>
    <w:rsid w:val="00770DEE"/>
    <w:rsid w:val="00770E35"/>
    <w:rsid w:val="00770EB8"/>
    <w:rsid w:val="00770ED3"/>
    <w:rsid w:val="0077109E"/>
    <w:rsid w:val="007710D3"/>
    <w:rsid w:val="007712A7"/>
    <w:rsid w:val="00771391"/>
    <w:rsid w:val="0077145F"/>
    <w:rsid w:val="00771499"/>
    <w:rsid w:val="00771907"/>
    <w:rsid w:val="00771951"/>
    <w:rsid w:val="00771B34"/>
    <w:rsid w:val="00771BB5"/>
    <w:rsid w:val="00771DA7"/>
    <w:rsid w:val="007721D4"/>
    <w:rsid w:val="00772217"/>
    <w:rsid w:val="007724BD"/>
    <w:rsid w:val="00772680"/>
    <w:rsid w:val="007726EF"/>
    <w:rsid w:val="00772849"/>
    <w:rsid w:val="0077289B"/>
    <w:rsid w:val="00772F95"/>
    <w:rsid w:val="0077306F"/>
    <w:rsid w:val="007731C3"/>
    <w:rsid w:val="007731DF"/>
    <w:rsid w:val="00773214"/>
    <w:rsid w:val="007732D8"/>
    <w:rsid w:val="0077335D"/>
    <w:rsid w:val="007737CE"/>
    <w:rsid w:val="00773A7A"/>
    <w:rsid w:val="00773AA6"/>
    <w:rsid w:val="00773D5E"/>
    <w:rsid w:val="00773D80"/>
    <w:rsid w:val="00773ED6"/>
    <w:rsid w:val="0077423E"/>
    <w:rsid w:val="007742B3"/>
    <w:rsid w:val="00774490"/>
    <w:rsid w:val="007745E8"/>
    <w:rsid w:val="00774628"/>
    <w:rsid w:val="00774771"/>
    <w:rsid w:val="00774CAD"/>
    <w:rsid w:val="00774E5D"/>
    <w:rsid w:val="00774F07"/>
    <w:rsid w:val="007750C5"/>
    <w:rsid w:val="007752FB"/>
    <w:rsid w:val="0077531C"/>
    <w:rsid w:val="007753BE"/>
    <w:rsid w:val="0077540B"/>
    <w:rsid w:val="00775429"/>
    <w:rsid w:val="0077545E"/>
    <w:rsid w:val="00775CC9"/>
    <w:rsid w:val="00775DE9"/>
    <w:rsid w:val="00775F73"/>
    <w:rsid w:val="00776165"/>
    <w:rsid w:val="0077623C"/>
    <w:rsid w:val="007762FE"/>
    <w:rsid w:val="00776362"/>
    <w:rsid w:val="0077644F"/>
    <w:rsid w:val="0077646B"/>
    <w:rsid w:val="007765AB"/>
    <w:rsid w:val="0077669C"/>
    <w:rsid w:val="007768F1"/>
    <w:rsid w:val="00776B25"/>
    <w:rsid w:val="00776D1F"/>
    <w:rsid w:val="007775CE"/>
    <w:rsid w:val="00777902"/>
    <w:rsid w:val="00777A31"/>
    <w:rsid w:val="00777ABE"/>
    <w:rsid w:val="00777D42"/>
    <w:rsid w:val="00777F5A"/>
    <w:rsid w:val="00780217"/>
    <w:rsid w:val="007802A5"/>
    <w:rsid w:val="00780341"/>
    <w:rsid w:val="00780787"/>
    <w:rsid w:val="00780A05"/>
    <w:rsid w:val="00780B30"/>
    <w:rsid w:val="00780DAA"/>
    <w:rsid w:val="00781173"/>
    <w:rsid w:val="00781215"/>
    <w:rsid w:val="0078159A"/>
    <w:rsid w:val="00781638"/>
    <w:rsid w:val="00781718"/>
    <w:rsid w:val="00781ABE"/>
    <w:rsid w:val="00781B76"/>
    <w:rsid w:val="00781D85"/>
    <w:rsid w:val="00781E35"/>
    <w:rsid w:val="00781EAB"/>
    <w:rsid w:val="0078211E"/>
    <w:rsid w:val="00782134"/>
    <w:rsid w:val="00782179"/>
    <w:rsid w:val="007821CD"/>
    <w:rsid w:val="007825EA"/>
    <w:rsid w:val="007828C0"/>
    <w:rsid w:val="007829B9"/>
    <w:rsid w:val="00782C60"/>
    <w:rsid w:val="00782D24"/>
    <w:rsid w:val="007834AD"/>
    <w:rsid w:val="00783570"/>
    <w:rsid w:val="00783589"/>
    <w:rsid w:val="0078372D"/>
    <w:rsid w:val="00783773"/>
    <w:rsid w:val="00783799"/>
    <w:rsid w:val="00783807"/>
    <w:rsid w:val="00783867"/>
    <w:rsid w:val="0078387A"/>
    <w:rsid w:val="00783B12"/>
    <w:rsid w:val="00783C9C"/>
    <w:rsid w:val="007840A8"/>
    <w:rsid w:val="0078419D"/>
    <w:rsid w:val="00784268"/>
    <w:rsid w:val="0078426C"/>
    <w:rsid w:val="007843B4"/>
    <w:rsid w:val="00784773"/>
    <w:rsid w:val="00784F4C"/>
    <w:rsid w:val="00785033"/>
    <w:rsid w:val="007852D4"/>
    <w:rsid w:val="007853AB"/>
    <w:rsid w:val="00785506"/>
    <w:rsid w:val="0078563A"/>
    <w:rsid w:val="007857DA"/>
    <w:rsid w:val="00785800"/>
    <w:rsid w:val="0078585A"/>
    <w:rsid w:val="0078586F"/>
    <w:rsid w:val="00785A19"/>
    <w:rsid w:val="00785D9F"/>
    <w:rsid w:val="00785E8B"/>
    <w:rsid w:val="00786461"/>
    <w:rsid w:val="007865B1"/>
    <w:rsid w:val="007866DC"/>
    <w:rsid w:val="00786792"/>
    <w:rsid w:val="00786808"/>
    <w:rsid w:val="00786993"/>
    <w:rsid w:val="0078699B"/>
    <w:rsid w:val="00786A23"/>
    <w:rsid w:val="00786A5C"/>
    <w:rsid w:val="00786A65"/>
    <w:rsid w:val="00786F47"/>
    <w:rsid w:val="00787064"/>
    <w:rsid w:val="00787084"/>
    <w:rsid w:val="00787394"/>
    <w:rsid w:val="007873D3"/>
    <w:rsid w:val="00787428"/>
    <w:rsid w:val="007874AF"/>
    <w:rsid w:val="007875D4"/>
    <w:rsid w:val="00787A34"/>
    <w:rsid w:val="00787C75"/>
    <w:rsid w:val="00787D80"/>
    <w:rsid w:val="00787DAB"/>
    <w:rsid w:val="00787EA1"/>
    <w:rsid w:val="007900CD"/>
    <w:rsid w:val="0079031E"/>
    <w:rsid w:val="00790503"/>
    <w:rsid w:val="007907E3"/>
    <w:rsid w:val="00790E0A"/>
    <w:rsid w:val="00790E74"/>
    <w:rsid w:val="0079111C"/>
    <w:rsid w:val="00791445"/>
    <w:rsid w:val="0079169A"/>
    <w:rsid w:val="0079172D"/>
    <w:rsid w:val="00791ABF"/>
    <w:rsid w:val="00791FA1"/>
    <w:rsid w:val="007920B1"/>
    <w:rsid w:val="0079229E"/>
    <w:rsid w:val="00792551"/>
    <w:rsid w:val="00792AAE"/>
    <w:rsid w:val="00792CC2"/>
    <w:rsid w:val="00792EA8"/>
    <w:rsid w:val="00792F01"/>
    <w:rsid w:val="00792F1F"/>
    <w:rsid w:val="00792F52"/>
    <w:rsid w:val="0079327F"/>
    <w:rsid w:val="007932BE"/>
    <w:rsid w:val="007935FA"/>
    <w:rsid w:val="00793629"/>
    <w:rsid w:val="007939A4"/>
    <w:rsid w:val="007939B9"/>
    <w:rsid w:val="007939C2"/>
    <w:rsid w:val="007939E9"/>
    <w:rsid w:val="00793ADC"/>
    <w:rsid w:val="00793B0C"/>
    <w:rsid w:val="00793B1A"/>
    <w:rsid w:val="00793CA4"/>
    <w:rsid w:val="00793D1B"/>
    <w:rsid w:val="00793F57"/>
    <w:rsid w:val="00794469"/>
    <w:rsid w:val="007946CF"/>
    <w:rsid w:val="007947BF"/>
    <w:rsid w:val="00794885"/>
    <w:rsid w:val="00794A8B"/>
    <w:rsid w:val="00794CBF"/>
    <w:rsid w:val="00794D24"/>
    <w:rsid w:val="00794D39"/>
    <w:rsid w:val="00794D67"/>
    <w:rsid w:val="00794E67"/>
    <w:rsid w:val="00794EE2"/>
    <w:rsid w:val="00794F19"/>
    <w:rsid w:val="00794FE9"/>
    <w:rsid w:val="0079527B"/>
    <w:rsid w:val="007955CC"/>
    <w:rsid w:val="007956A0"/>
    <w:rsid w:val="007957D0"/>
    <w:rsid w:val="00795910"/>
    <w:rsid w:val="00795ACD"/>
    <w:rsid w:val="00795B27"/>
    <w:rsid w:val="00795D84"/>
    <w:rsid w:val="00795DBD"/>
    <w:rsid w:val="007960EB"/>
    <w:rsid w:val="00796620"/>
    <w:rsid w:val="007967DD"/>
    <w:rsid w:val="00796A2D"/>
    <w:rsid w:val="00796BCC"/>
    <w:rsid w:val="00796C4B"/>
    <w:rsid w:val="00796CC5"/>
    <w:rsid w:val="00796F47"/>
    <w:rsid w:val="00797125"/>
    <w:rsid w:val="007974FD"/>
    <w:rsid w:val="007976AF"/>
    <w:rsid w:val="00797733"/>
    <w:rsid w:val="0079793B"/>
    <w:rsid w:val="00797BC4"/>
    <w:rsid w:val="00797C2D"/>
    <w:rsid w:val="00797D77"/>
    <w:rsid w:val="00797F20"/>
    <w:rsid w:val="00797F6D"/>
    <w:rsid w:val="00797FF8"/>
    <w:rsid w:val="007A0255"/>
    <w:rsid w:val="007A0306"/>
    <w:rsid w:val="007A03C6"/>
    <w:rsid w:val="007A046E"/>
    <w:rsid w:val="007A0543"/>
    <w:rsid w:val="007A06A3"/>
    <w:rsid w:val="007A08F6"/>
    <w:rsid w:val="007A0C8A"/>
    <w:rsid w:val="007A0FDF"/>
    <w:rsid w:val="007A0FE5"/>
    <w:rsid w:val="007A1040"/>
    <w:rsid w:val="007A1288"/>
    <w:rsid w:val="007A12CC"/>
    <w:rsid w:val="007A12D1"/>
    <w:rsid w:val="007A1361"/>
    <w:rsid w:val="007A13FA"/>
    <w:rsid w:val="007A1432"/>
    <w:rsid w:val="007A1471"/>
    <w:rsid w:val="007A153B"/>
    <w:rsid w:val="007A16BC"/>
    <w:rsid w:val="007A17F2"/>
    <w:rsid w:val="007A1960"/>
    <w:rsid w:val="007A1C2A"/>
    <w:rsid w:val="007A1DA0"/>
    <w:rsid w:val="007A1DF2"/>
    <w:rsid w:val="007A1FE3"/>
    <w:rsid w:val="007A22DA"/>
    <w:rsid w:val="007A26CD"/>
    <w:rsid w:val="007A29ED"/>
    <w:rsid w:val="007A2B1F"/>
    <w:rsid w:val="007A2D7E"/>
    <w:rsid w:val="007A2D94"/>
    <w:rsid w:val="007A30F8"/>
    <w:rsid w:val="007A3116"/>
    <w:rsid w:val="007A31BD"/>
    <w:rsid w:val="007A3782"/>
    <w:rsid w:val="007A42CA"/>
    <w:rsid w:val="007A435B"/>
    <w:rsid w:val="007A43F8"/>
    <w:rsid w:val="007A4527"/>
    <w:rsid w:val="007A4BC0"/>
    <w:rsid w:val="007A4F96"/>
    <w:rsid w:val="007A5677"/>
    <w:rsid w:val="007A56AD"/>
    <w:rsid w:val="007A5794"/>
    <w:rsid w:val="007A59BC"/>
    <w:rsid w:val="007A5D18"/>
    <w:rsid w:val="007A5D88"/>
    <w:rsid w:val="007A61DC"/>
    <w:rsid w:val="007A63F0"/>
    <w:rsid w:val="007A6B97"/>
    <w:rsid w:val="007A6C68"/>
    <w:rsid w:val="007A6DFA"/>
    <w:rsid w:val="007A7019"/>
    <w:rsid w:val="007A7308"/>
    <w:rsid w:val="007A7320"/>
    <w:rsid w:val="007A7480"/>
    <w:rsid w:val="007A74BF"/>
    <w:rsid w:val="007A74DF"/>
    <w:rsid w:val="007A7643"/>
    <w:rsid w:val="007A7673"/>
    <w:rsid w:val="007A76C0"/>
    <w:rsid w:val="007A780A"/>
    <w:rsid w:val="007A78D7"/>
    <w:rsid w:val="007A7937"/>
    <w:rsid w:val="007A794F"/>
    <w:rsid w:val="007A7AE2"/>
    <w:rsid w:val="007A7B63"/>
    <w:rsid w:val="007A7C4F"/>
    <w:rsid w:val="007A7F2A"/>
    <w:rsid w:val="007B0109"/>
    <w:rsid w:val="007B028D"/>
    <w:rsid w:val="007B02AF"/>
    <w:rsid w:val="007B02DE"/>
    <w:rsid w:val="007B04CF"/>
    <w:rsid w:val="007B0596"/>
    <w:rsid w:val="007B0A07"/>
    <w:rsid w:val="007B0BEB"/>
    <w:rsid w:val="007B0DF3"/>
    <w:rsid w:val="007B0E54"/>
    <w:rsid w:val="007B0F24"/>
    <w:rsid w:val="007B1100"/>
    <w:rsid w:val="007B1111"/>
    <w:rsid w:val="007B1149"/>
    <w:rsid w:val="007B118C"/>
    <w:rsid w:val="007B126B"/>
    <w:rsid w:val="007B1297"/>
    <w:rsid w:val="007B1383"/>
    <w:rsid w:val="007B15CF"/>
    <w:rsid w:val="007B15DE"/>
    <w:rsid w:val="007B187F"/>
    <w:rsid w:val="007B18D1"/>
    <w:rsid w:val="007B1ACF"/>
    <w:rsid w:val="007B1B95"/>
    <w:rsid w:val="007B212B"/>
    <w:rsid w:val="007B233D"/>
    <w:rsid w:val="007B2369"/>
    <w:rsid w:val="007B2519"/>
    <w:rsid w:val="007B2694"/>
    <w:rsid w:val="007B26BF"/>
    <w:rsid w:val="007B2D2A"/>
    <w:rsid w:val="007B2DD9"/>
    <w:rsid w:val="007B2E36"/>
    <w:rsid w:val="007B2E38"/>
    <w:rsid w:val="007B2E6C"/>
    <w:rsid w:val="007B3146"/>
    <w:rsid w:val="007B32CE"/>
    <w:rsid w:val="007B38B6"/>
    <w:rsid w:val="007B3B32"/>
    <w:rsid w:val="007B3D94"/>
    <w:rsid w:val="007B3E11"/>
    <w:rsid w:val="007B3FA0"/>
    <w:rsid w:val="007B3FC3"/>
    <w:rsid w:val="007B4174"/>
    <w:rsid w:val="007B41B6"/>
    <w:rsid w:val="007B435F"/>
    <w:rsid w:val="007B4453"/>
    <w:rsid w:val="007B45B3"/>
    <w:rsid w:val="007B45D5"/>
    <w:rsid w:val="007B4600"/>
    <w:rsid w:val="007B4B39"/>
    <w:rsid w:val="007B4E45"/>
    <w:rsid w:val="007B501F"/>
    <w:rsid w:val="007B5264"/>
    <w:rsid w:val="007B5409"/>
    <w:rsid w:val="007B5616"/>
    <w:rsid w:val="007B561E"/>
    <w:rsid w:val="007B5822"/>
    <w:rsid w:val="007B5854"/>
    <w:rsid w:val="007B5B72"/>
    <w:rsid w:val="007B5CE2"/>
    <w:rsid w:val="007B5F69"/>
    <w:rsid w:val="007B6097"/>
    <w:rsid w:val="007B61DE"/>
    <w:rsid w:val="007B6767"/>
    <w:rsid w:val="007B6ACE"/>
    <w:rsid w:val="007B6C6B"/>
    <w:rsid w:val="007B6CD9"/>
    <w:rsid w:val="007B6DCD"/>
    <w:rsid w:val="007B6E80"/>
    <w:rsid w:val="007B7271"/>
    <w:rsid w:val="007B746A"/>
    <w:rsid w:val="007B7506"/>
    <w:rsid w:val="007B76DB"/>
    <w:rsid w:val="007B781A"/>
    <w:rsid w:val="007B784E"/>
    <w:rsid w:val="007B78CD"/>
    <w:rsid w:val="007B7A48"/>
    <w:rsid w:val="007B7E79"/>
    <w:rsid w:val="007C009D"/>
    <w:rsid w:val="007C01D6"/>
    <w:rsid w:val="007C03E0"/>
    <w:rsid w:val="007C0647"/>
    <w:rsid w:val="007C0670"/>
    <w:rsid w:val="007C08C0"/>
    <w:rsid w:val="007C09B8"/>
    <w:rsid w:val="007C09E6"/>
    <w:rsid w:val="007C0A57"/>
    <w:rsid w:val="007C0B52"/>
    <w:rsid w:val="007C0F90"/>
    <w:rsid w:val="007C11D0"/>
    <w:rsid w:val="007C1392"/>
    <w:rsid w:val="007C15A8"/>
    <w:rsid w:val="007C1CD3"/>
    <w:rsid w:val="007C1E2D"/>
    <w:rsid w:val="007C1F60"/>
    <w:rsid w:val="007C1FCD"/>
    <w:rsid w:val="007C2009"/>
    <w:rsid w:val="007C20D0"/>
    <w:rsid w:val="007C2286"/>
    <w:rsid w:val="007C233F"/>
    <w:rsid w:val="007C2453"/>
    <w:rsid w:val="007C2520"/>
    <w:rsid w:val="007C2561"/>
    <w:rsid w:val="007C2768"/>
    <w:rsid w:val="007C298E"/>
    <w:rsid w:val="007C2A39"/>
    <w:rsid w:val="007C2BA6"/>
    <w:rsid w:val="007C2E7B"/>
    <w:rsid w:val="007C2E8A"/>
    <w:rsid w:val="007C2EBE"/>
    <w:rsid w:val="007C2F0A"/>
    <w:rsid w:val="007C3005"/>
    <w:rsid w:val="007C35E0"/>
    <w:rsid w:val="007C3655"/>
    <w:rsid w:val="007C3669"/>
    <w:rsid w:val="007C3BA3"/>
    <w:rsid w:val="007C3C6D"/>
    <w:rsid w:val="007C3CEA"/>
    <w:rsid w:val="007C3E70"/>
    <w:rsid w:val="007C3FA2"/>
    <w:rsid w:val="007C3FF1"/>
    <w:rsid w:val="007C4045"/>
    <w:rsid w:val="007C40F1"/>
    <w:rsid w:val="007C4127"/>
    <w:rsid w:val="007C413F"/>
    <w:rsid w:val="007C427C"/>
    <w:rsid w:val="007C44E9"/>
    <w:rsid w:val="007C465E"/>
    <w:rsid w:val="007C475F"/>
    <w:rsid w:val="007C4793"/>
    <w:rsid w:val="007C489B"/>
    <w:rsid w:val="007C499A"/>
    <w:rsid w:val="007C4F2D"/>
    <w:rsid w:val="007C5012"/>
    <w:rsid w:val="007C51A1"/>
    <w:rsid w:val="007C53EE"/>
    <w:rsid w:val="007C55F4"/>
    <w:rsid w:val="007C569D"/>
    <w:rsid w:val="007C57B5"/>
    <w:rsid w:val="007C5819"/>
    <w:rsid w:val="007C5A07"/>
    <w:rsid w:val="007C5DCB"/>
    <w:rsid w:val="007C5FC9"/>
    <w:rsid w:val="007C6204"/>
    <w:rsid w:val="007C63BC"/>
    <w:rsid w:val="007C66CC"/>
    <w:rsid w:val="007C677A"/>
    <w:rsid w:val="007C6790"/>
    <w:rsid w:val="007C6897"/>
    <w:rsid w:val="007C6E7E"/>
    <w:rsid w:val="007C70CC"/>
    <w:rsid w:val="007C717B"/>
    <w:rsid w:val="007C7254"/>
    <w:rsid w:val="007C72B1"/>
    <w:rsid w:val="007C72CB"/>
    <w:rsid w:val="007C756D"/>
    <w:rsid w:val="007C778F"/>
    <w:rsid w:val="007C77EB"/>
    <w:rsid w:val="007C77F4"/>
    <w:rsid w:val="007C78F6"/>
    <w:rsid w:val="007C7D2B"/>
    <w:rsid w:val="007C7DBF"/>
    <w:rsid w:val="007D0065"/>
    <w:rsid w:val="007D009F"/>
    <w:rsid w:val="007D03C8"/>
    <w:rsid w:val="007D07BC"/>
    <w:rsid w:val="007D07DA"/>
    <w:rsid w:val="007D0AC0"/>
    <w:rsid w:val="007D0D21"/>
    <w:rsid w:val="007D103C"/>
    <w:rsid w:val="007D1099"/>
    <w:rsid w:val="007D12A3"/>
    <w:rsid w:val="007D154D"/>
    <w:rsid w:val="007D15BE"/>
    <w:rsid w:val="007D1AAA"/>
    <w:rsid w:val="007D1AB1"/>
    <w:rsid w:val="007D1E06"/>
    <w:rsid w:val="007D1E95"/>
    <w:rsid w:val="007D229F"/>
    <w:rsid w:val="007D23DE"/>
    <w:rsid w:val="007D256D"/>
    <w:rsid w:val="007D2629"/>
    <w:rsid w:val="007D2837"/>
    <w:rsid w:val="007D2B27"/>
    <w:rsid w:val="007D2CA6"/>
    <w:rsid w:val="007D2CC2"/>
    <w:rsid w:val="007D2D2F"/>
    <w:rsid w:val="007D2F51"/>
    <w:rsid w:val="007D337F"/>
    <w:rsid w:val="007D34E6"/>
    <w:rsid w:val="007D3651"/>
    <w:rsid w:val="007D37E9"/>
    <w:rsid w:val="007D37F8"/>
    <w:rsid w:val="007D387B"/>
    <w:rsid w:val="007D3C55"/>
    <w:rsid w:val="007D3D14"/>
    <w:rsid w:val="007D3D2E"/>
    <w:rsid w:val="007D3D98"/>
    <w:rsid w:val="007D3F9D"/>
    <w:rsid w:val="007D4148"/>
    <w:rsid w:val="007D4275"/>
    <w:rsid w:val="007D4297"/>
    <w:rsid w:val="007D42A9"/>
    <w:rsid w:val="007D42C1"/>
    <w:rsid w:val="007D4508"/>
    <w:rsid w:val="007D4547"/>
    <w:rsid w:val="007D489E"/>
    <w:rsid w:val="007D4CFA"/>
    <w:rsid w:val="007D4CFD"/>
    <w:rsid w:val="007D4D4D"/>
    <w:rsid w:val="007D51B8"/>
    <w:rsid w:val="007D5480"/>
    <w:rsid w:val="007D54C6"/>
    <w:rsid w:val="007D5620"/>
    <w:rsid w:val="007D57F1"/>
    <w:rsid w:val="007D5A12"/>
    <w:rsid w:val="007D5AEA"/>
    <w:rsid w:val="007D5BCF"/>
    <w:rsid w:val="007D5DAE"/>
    <w:rsid w:val="007D5F69"/>
    <w:rsid w:val="007D60A8"/>
    <w:rsid w:val="007D6248"/>
    <w:rsid w:val="007D6260"/>
    <w:rsid w:val="007D6348"/>
    <w:rsid w:val="007D6587"/>
    <w:rsid w:val="007D6764"/>
    <w:rsid w:val="007D6831"/>
    <w:rsid w:val="007D6904"/>
    <w:rsid w:val="007D6AF9"/>
    <w:rsid w:val="007D6E00"/>
    <w:rsid w:val="007D6F68"/>
    <w:rsid w:val="007D702F"/>
    <w:rsid w:val="007D70F6"/>
    <w:rsid w:val="007D7195"/>
    <w:rsid w:val="007D7385"/>
    <w:rsid w:val="007D753C"/>
    <w:rsid w:val="007D7606"/>
    <w:rsid w:val="007D76AA"/>
    <w:rsid w:val="007D7935"/>
    <w:rsid w:val="007D7EE5"/>
    <w:rsid w:val="007E0212"/>
    <w:rsid w:val="007E029C"/>
    <w:rsid w:val="007E037E"/>
    <w:rsid w:val="007E051B"/>
    <w:rsid w:val="007E060D"/>
    <w:rsid w:val="007E0C4D"/>
    <w:rsid w:val="007E0C84"/>
    <w:rsid w:val="007E0F4A"/>
    <w:rsid w:val="007E0F77"/>
    <w:rsid w:val="007E1102"/>
    <w:rsid w:val="007E1450"/>
    <w:rsid w:val="007E14D7"/>
    <w:rsid w:val="007E14E4"/>
    <w:rsid w:val="007E1670"/>
    <w:rsid w:val="007E182E"/>
    <w:rsid w:val="007E197D"/>
    <w:rsid w:val="007E1BFD"/>
    <w:rsid w:val="007E1DC3"/>
    <w:rsid w:val="007E1FC7"/>
    <w:rsid w:val="007E20F9"/>
    <w:rsid w:val="007E22BD"/>
    <w:rsid w:val="007E273C"/>
    <w:rsid w:val="007E2941"/>
    <w:rsid w:val="007E29E8"/>
    <w:rsid w:val="007E2BE4"/>
    <w:rsid w:val="007E2C38"/>
    <w:rsid w:val="007E2E1C"/>
    <w:rsid w:val="007E2F1A"/>
    <w:rsid w:val="007E2F60"/>
    <w:rsid w:val="007E30EA"/>
    <w:rsid w:val="007E32B5"/>
    <w:rsid w:val="007E340C"/>
    <w:rsid w:val="007E3645"/>
    <w:rsid w:val="007E3748"/>
    <w:rsid w:val="007E3843"/>
    <w:rsid w:val="007E3903"/>
    <w:rsid w:val="007E39F4"/>
    <w:rsid w:val="007E3CFE"/>
    <w:rsid w:val="007E3D00"/>
    <w:rsid w:val="007E3D0F"/>
    <w:rsid w:val="007E3E3C"/>
    <w:rsid w:val="007E3EC5"/>
    <w:rsid w:val="007E4115"/>
    <w:rsid w:val="007E413B"/>
    <w:rsid w:val="007E41F2"/>
    <w:rsid w:val="007E4330"/>
    <w:rsid w:val="007E440B"/>
    <w:rsid w:val="007E44F2"/>
    <w:rsid w:val="007E4569"/>
    <w:rsid w:val="007E4579"/>
    <w:rsid w:val="007E45F4"/>
    <w:rsid w:val="007E4801"/>
    <w:rsid w:val="007E4C45"/>
    <w:rsid w:val="007E4E52"/>
    <w:rsid w:val="007E564F"/>
    <w:rsid w:val="007E56F8"/>
    <w:rsid w:val="007E5BF4"/>
    <w:rsid w:val="007E5C54"/>
    <w:rsid w:val="007E6380"/>
    <w:rsid w:val="007E63C5"/>
    <w:rsid w:val="007E65BF"/>
    <w:rsid w:val="007E6664"/>
    <w:rsid w:val="007E675E"/>
    <w:rsid w:val="007E68CE"/>
    <w:rsid w:val="007E6C0E"/>
    <w:rsid w:val="007E6E9F"/>
    <w:rsid w:val="007E6F29"/>
    <w:rsid w:val="007E702B"/>
    <w:rsid w:val="007E7151"/>
    <w:rsid w:val="007E71FB"/>
    <w:rsid w:val="007E7265"/>
    <w:rsid w:val="007E729E"/>
    <w:rsid w:val="007E73E6"/>
    <w:rsid w:val="007E7498"/>
    <w:rsid w:val="007E7819"/>
    <w:rsid w:val="007E7832"/>
    <w:rsid w:val="007E793D"/>
    <w:rsid w:val="007E7B72"/>
    <w:rsid w:val="007E7CC2"/>
    <w:rsid w:val="007E7D5D"/>
    <w:rsid w:val="007E7D85"/>
    <w:rsid w:val="007E7E5E"/>
    <w:rsid w:val="007F007D"/>
    <w:rsid w:val="007F00E5"/>
    <w:rsid w:val="007F0440"/>
    <w:rsid w:val="007F0AF1"/>
    <w:rsid w:val="007F0CDC"/>
    <w:rsid w:val="007F0CEE"/>
    <w:rsid w:val="007F0D76"/>
    <w:rsid w:val="007F0DB7"/>
    <w:rsid w:val="007F0DCB"/>
    <w:rsid w:val="007F0FBF"/>
    <w:rsid w:val="007F101A"/>
    <w:rsid w:val="007F1177"/>
    <w:rsid w:val="007F156D"/>
    <w:rsid w:val="007F1572"/>
    <w:rsid w:val="007F15E2"/>
    <w:rsid w:val="007F17B2"/>
    <w:rsid w:val="007F17C5"/>
    <w:rsid w:val="007F1A7D"/>
    <w:rsid w:val="007F1A9F"/>
    <w:rsid w:val="007F1B80"/>
    <w:rsid w:val="007F1BEB"/>
    <w:rsid w:val="007F1C94"/>
    <w:rsid w:val="007F1D73"/>
    <w:rsid w:val="007F1F56"/>
    <w:rsid w:val="007F1FAD"/>
    <w:rsid w:val="007F20AF"/>
    <w:rsid w:val="007F2209"/>
    <w:rsid w:val="007F236B"/>
    <w:rsid w:val="007F2399"/>
    <w:rsid w:val="007F2477"/>
    <w:rsid w:val="007F25DE"/>
    <w:rsid w:val="007F2709"/>
    <w:rsid w:val="007F28B1"/>
    <w:rsid w:val="007F29A9"/>
    <w:rsid w:val="007F29D3"/>
    <w:rsid w:val="007F2A8A"/>
    <w:rsid w:val="007F2B95"/>
    <w:rsid w:val="007F2BB2"/>
    <w:rsid w:val="007F2C5C"/>
    <w:rsid w:val="007F2D82"/>
    <w:rsid w:val="007F2F66"/>
    <w:rsid w:val="007F30BB"/>
    <w:rsid w:val="007F3187"/>
    <w:rsid w:val="007F33B4"/>
    <w:rsid w:val="007F348C"/>
    <w:rsid w:val="007F358C"/>
    <w:rsid w:val="007F367B"/>
    <w:rsid w:val="007F3708"/>
    <w:rsid w:val="007F3960"/>
    <w:rsid w:val="007F3B8A"/>
    <w:rsid w:val="007F3DBE"/>
    <w:rsid w:val="007F3F5E"/>
    <w:rsid w:val="007F4089"/>
    <w:rsid w:val="007F4195"/>
    <w:rsid w:val="007F43C6"/>
    <w:rsid w:val="007F4E6F"/>
    <w:rsid w:val="007F4F3A"/>
    <w:rsid w:val="007F4FAC"/>
    <w:rsid w:val="007F4FD8"/>
    <w:rsid w:val="007F4FE5"/>
    <w:rsid w:val="007F4FFE"/>
    <w:rsid w:val="007F521D"/>
    <w:rsid w:val="007F5370"/>
    <w:rsid w:val="007F5653"/>
    <w:rsid w:val="007F5696"/>
    <w:rsid w:val="007F56E4"/>
    <w:rsid w:val="007F5852"/>
    <w:rsid w:val="007F5879"/>
    <w:rsid w:val="007F595B"/>
    <w:rsid w:val="007F5A97"/>
    <w:rsid w:val="007F5E79"/>
    <w:rsid w:val="007F60F6"/>
    <w:rsid w:val="007F6293"/>
    <w:rsid w:val="007F63C9"/>
    <w:rsid w:val="007F6464"/>
    <w:rsid w:val="007F65AB"/>
    <w:rsid w:val="007F6764"/>
    <w:rsid w:val="007F689F"/>
    <w:rsid w:val="007F69C3"/>
    <w:rsid w:val="007F6BB2"/>
    <w:rsid w:val="007F6C11"/>
    <w:rsid w:val="007F6C7C"/>
    <w:rsid w:val="007F6D9A"/>
    <w:rsid w:val="007F6FE3"/>
    <w:rsid w:val="007F71DF"/>
    <w:rsid w:val="007F72DB"/>
    <w:rsid w:val="007F75AC"/>
    <w:rsid w:val="007F7704"/>
    <w:rsid w:val="007F7CC2"/>
    <w:rsid w:val="007F7DE5"/>
    <w:rsid w:val="007F7E47"/>
    <w:rsid w:val="007F7E4F"/>
    <w:rsid w:val="008001F4"/>
    <w:rsid w:val="00800221"/>
    <w:rsid w:val="0080023A"/>
    <w:rsid w:val="008002BC"/>
    <w:rsid w:val="00800419"/>
    <w:rsid w:val="008004D3"/>
    <w:rsid w:val="00800559"/>
    <w:rsid w:val="0080081F"/>
    <w:rsid w:val="00800D39"/>
    <w:rsid w:val="00800DBE"/>
    <w:rsid w:val="0080102C"/>
    <w:rsid w:val="00801049"/>
    <w:rsid w:val="00801055"/>
    <w:rsid w:val="00801066"/>
    <w:rsid w:val="008011EA"/>
    <w:rsid w:val="008012B6"/>
    <w:rsid w:val="00801424"/>
    <w:rsid w:val="00801511"/>
    <w:rsid w:val="00801913"/>
    <w:rsid w:val="008019D7"/>
    <w:rsid w:val="00801C25"/>
    <w:rsid w:val="00801DB4"/>
    <w:rsid w:val="00802023"/>
    <w:rsid w:val="008021E7"/>
    <w:rsid w:val="00802624"/>
    <w:rsid w:val="00803069"/>
    <w:rsid w:val="008030AA"/>
    <w:rsid w:val="0080335E"/>
    <w:rsid w:val="00803561"/>
    <w:rsid w:val="00803A60"/>
    <w:rsid w:val="00803BD2"/>
    <w:rsid w:val="00803C67"/>
    <w:rsid w:val="0080407B"/>
    <w:rsid w:val="00804195"/>
    <w:rsid w:val="008044FA"/>
    <w:rsid w:val="0080452A"/>
    <w:rsid w:val="0080455F"/>
    <w:rsid w:val="008045BF"/>
    <w:rsid w:val="0080485A"/>
    <w:rsid w:val="008049E6"/>
    <w:rsid w:val="00804CAE"/>
    <w:rsid w:val="00804E79"/>
    <w:rsid w:val="00804E7B"/>
    <w:rsid w:val="00804EFC"/>
    <w:rsid w:val="00804FA8"/>
    <w:rsid w:val="00805153"/>
    <w:rsid w:val="0080554A"/>
    <w:rsid w:val="008057DD"/>
    <w:rsid w:val="0080588C"/>
    <w:rsid w:val="00805C0F"/>
    <w:rsid w:val="00805C5F"/>
    <w:rsid w:val="00805F7F"/>
    <w:rsid w:val="00805FAC"/>
    <w:rsid w:val="0080600F"/>
    <w:rsid w:val="00806159"/>
    <w:rsid w:val="00806203"/>
    <w:rsid w:val="00806341"/>
    <w:rsid w:val="00806463"/>
    <w:rsid w:val="008064E1"/>
    <w:rsid w:val="00806561"/>
    <w:rsid w:val="008065D5"/>
    <w:rsid w:val="008066D5"/>
    <w:rsid w:val="0080670E"/>
    <w:rsid w:val="00806915"/>
    <w:rsid w:val="0080692A"/>
    <w:rsid w:val="00806B0B"/>
    <w:rsid w:val="00806C02"/>
    <w:rsid w:val="00806C7D"/>
    <w:rsid w:val="00806D50"/>
    <w:rsid w:val="008071E2"/>
    <w:rsid w:val="00807385"/>
    <w:rsid w:val="00807947"/>
    <w:rsid w:val="00807B6E"/>
    <w:rsid w:val="00807BF6"/>
    <w:rsid w:val="00807EB5"/>
    <w:rsid w:val="00807ED0"/>
    <w:rsid w:val="00807EF0"/>
    <w:rsid w:val="0081010E"/>
    <w:rsid w:val="008101A7"/>
    <w:rsid w:val="008101C9"/>
    <w:rsid w:val="008103AC"/>
    <w:rsid w:val="00810592"/>
    <w:rsid w:val="008108F3"/>
    <w:rsid w:val="00810906"/>
    <w:rsid w:val="008109F9"/>
    <w:rsid w:val="00810A46"/>
    <w:rsid w:val="00810B97"/>
    <w:rsid w:val="00810C5D"/>
    <w:rsid w:val="00810F22"/>
    <w:rsid w:val="0081114E"/>
    <w:rsid w:val="0081128C"/>
    <w:rsid w:val="0081138B"/>
    <w:rsid w:val="00811414"/>
    <w:rsid w:val="00811697"/>
    <w:rsid w:val="00811813"/>
    <w:rsid w:val="00811860"/>
    <w:rsid w:val="008118D7"/>
    <w:rsid w:val="00811A9F"/>
    <w:rsid w:val="00811BD1"/>
    <w:rsid w:val="00811BFB"/>
    <w:rsid w:val="00811CD0"/>
    <w:rsid w:val="00811DE4"/>
    <w:rsid w:val="00811DF3"/>
    <w:rsid w:val="00811E8D"/>
    <w:rsid w:val="00811F4F"/>
    <w:rsid w:val="00812018"/>
    <w:rsid w:val="00812243"/>
    <w:rsid w:val="008123F1"/>
    <w:rsid w:val="00812629"/>
    <w:rsid w:val="008129F7"/>
    <w:rsid w:val="00812B32"/>
    <w:rsid w:val="00812B5A"/>
    <w:rsid w:val="00812C02"/>
    <w:rsid w:val="00812D0B"/>
    <w:rsid w:val="00812EB0"/>
    <w:rsid w:val="00813055"/>
    <w:rsid w:val="00813133"/>
    <w:rsid w:val="00813181"/>
    <w:rsid w:val="0081342F"/>
    <w:rsid w:val="00813729"/>
    <w:rsid w:val="0081382A"/>
    <w:rsid w:val="00813CAA"/>
    <w:rsid w:val="00813DE8"/>
    <w:rsid w:val="00813FB2"/>
    <w:rsid w:val="0081402A"/>
    <w:rsid w:val="0081402B"/>
    <w:rsid w:val="00814443"/>
    <w:rsid w:val="008147EE"/>
    <w:rsid w:val="00814872"/>
    <w:rsid w:val="00814971"/>
    <w:rsid w:val="00814B82"/>
    <w:rsid w:val="00814B9D"/>
    <w:rsid w:val="00814C8C"/>
    <w:rsid w:val="00814DC7"/>
    <w:rsid w:val="00814F32"/>
    <w:rsid w:val="00815102"/>
    <w:rsid w:val="008151AA"/>
    <w:rsid w:val="008151F8"/>
    <w:rsid w:val="00815203"/>
    <w:rsid w:val="00815387"/>
    <w:rsid w:val="0081561A"/>
    <w:rsid w:val="0081571B"/>
    <w:rsid w:val="008157F4"/>
    <w:rsid w:val="00815A8A"/>
    <w:rsid w:val="00815B8C"/>
    <w:rsid w:val="00815D49"/>
    <w:rsid w:val="00815EAC"/>
    <w:rsid w:val="00816000"/>
    <w:rsid w:val="00816108"/>
    <w:rsid w:val="008162DD"/>
    <w:rsid w:val="00816311"/>
    <w:rsid w:val="00816626"/>
    <w:rsid w:val="008168C6"/>
    <w:rsid w:val="00816A48"/>
    <w:rsid w:val="00816AC1"/>
    <w:rsid w:val="00816B78"/>
    <w:rsid w:val="00816BFA"/>
    <w:rsid w:val="00816C30"/>
    <w:rsid w:val="00816D1E"/>
    <w:rsid w:val="00816DA3"/>
    <w:rsid w:val="00816EEA"/>
    <w:rsid w:val="00816F4A"/>
    <w:rsid w:val="0081712F"/>
    <w:rsid w:val="00817203"/>
    <w:rsid w:val="00817464"/>
    <w:rsid w:val="0081751C"/>
    <w:rsid w:val="00817D8B"/>
    <w:rsid w:val="00820058"/>
    <w:rsid w:val="008202D4"/>
    <w:rsid w:val="0082044A"/>
    <w:rsid w:val="00820601"/>
    <w:rsid w:val="00820640"/>
    <w:rsid w:val="00820717"/>
    <w:rsid w:val="00820773"/>
    <w:rsid w:val="00820BD7"/>
    <w:rsid w:val="00820CBB"/>
    <w:rsid w:val="00820D98"/>
    <w:rsid w:val="00820DCD"/>
    <w:rsid w:val="0082106F"/>
    <w:rsid w:val="008210AB"/>
    <w:rsid w:val="00821266"/>
    <w:rsid w:val="00821523"/>
    <w:rsid w:val="0082152C"/>
    <w:rsid w:val="00821588"/>
    <w:rsid w:val="008217EC"/>
    <w:rsid w:val="00821A54"/>
    <w:rsid w:val="00821B66"/>
    <w:rsid w:val="00821F47"/>
    <w:rsid w:val="00822011"/>
    <w:rsid w:val="0082216C"/>
    <w:rsid w:val="0082233F"/>
    <w:rsid w:val="00822649"/>
    <w:rsid w:val="008228D8"/>
    <w:rsid w:val="0082348D"/>
    <w:rsid w:val="008235D6"/>
    <w:rsid w:val="00823634"/>
    <w:rsid w:val="008239A0"/>
    <w:rsid w:val="00823A99"/>
    <w:rsid w:val="00823AB9"/>
    <w:rsid w:val="00823B3C"/>
    <w:rsid w:val="00823BA9"/>
    <w:rsid w:val="00823BE8"/>
    <w:rsid w:val="00823C1B"/>
    <w:rsid w:val="00823E53"/>
    <w:rsid w:val="00823EB8"/>
    <w:rsid w:val="00824152"/>
    <w:rsid w:val="00824203"/>
    <w:rsid w:val="0082448D"/>
    <w:rsid w:val="008246B1"/>
    <w:rsid w:val="0082486E"/>
    <w:rsid w:val="00824B5F"/>
    <w:rsid w:val="00824BBD"/>
    <w:rsid w:val="00824C50"/>
    <w:rsid w:val="00824CE4"/>
    <w:rsid w:val="00824D6A"/>
    <w:rsid w:val="00824E0F"/>
    <w:rsid w:val="00824FA7"/>
    <w:rsid w:val="008252CD"/>
    <w:rsid w:val="008255EA"/>
    <w:rsid w:val="00825A81"/>
    <w:rsid w:val="00825AA8"/>
    <w:rsid w:val="00825B2D"/>
    <w:rsid w:val="00825CD8"/>
    <w:rsid w:val="00825D4B"/>
    <w:rsid w:val="00825D6C"/>
    <w:rsid w:val="00825E31"/>
    <w:rsid w:val="00826103"/>
    <w:rsid w:val="00826282"/>
    <w:rsid w:val="008265D4"/>
    <w:rsid w:val="00826638"/>
    <w:rsid w:val="00826649"/>
    <w:rsid w:val="008266AB"/>
    <w:rsid w:val="008266EB"/>
    <w:rsid w:val="00826915"/>
    <w:rsid w:val="008269AC"/>
    <w:rsid w:val="00826EB5"/>
    <w:rsid w:val="00826EF8"/>
    <w:rsid w:val="00827085"/>
    <w:rsid w:val="0082718C"/>
    <w:rsid w:val="008271CE"/>
    <w:rsid w:val="0082721D"/>
    <w:rsid w:val="00827330"/>
    <w:rsid w:val="00827549"/>
    <w:rsid w:val="0082780C"/>
    <w:rsid w:val="00827ACD"/>
    <w:rsid w:val="00827D5B"/>
    <w:rsid w:val="008300E1"/>
    <w:rsid w:val="008303BD"/>
    <w:rsid w:val="008303E1"/>
    <w:rsid w:val="008305CA"/>
    <w:rsid w:val="008309AB"/>
    <w:rsid w:val="00830A8A"/>
    <w:rsid w:val="00830AC1"/>
    <w:rsid w:val="00830BD1"/>
    <w:rsid w:val="00830C88"/>
    <w:rsid w:val="00830D5E"/>
    <w:rsid w:val="00830D9D"/>
    <w:rsid w:val="00830E84"/>
    <w:rsid w:val="00830F5D"/>
    <w:rsid w:val="00831108"/>
    <w:rsid w:val="00831493"/>
    <w:rsid w:val="00831888"/>
    <w:rsid w:val="008318CD"/>
    <w:rsid w:val="00831C90"/>
    <w:rsid w:val="00831CC6"/>
    <w:rsid w:val="008321B1"/>
    <w:rsid w:val="008323C7"/>
    <w:rsid w:val="00832446"/>
    <w:rsid w:val="00832502"/>
    <w:rsid w:val="00832628"/>
    <w:rsid w:val="00832793"/>
    <w:rsid w:val="008327DF"/>
    <w:rsid w:val="00832841"/>
    <w:rsid w:val="008328D7"/>
    <w:rsid w:val="00832D38"/>
    <w:rsid w:val="00832E3B"/>
    <w:rsid w:val="00832E6B"/>
    <w:rsid w:val="00832EAB"/>
    <w:rsid w:val="00832EEE"/>
    <w:rsid w:val="008331C1"/>
    <w:rsid w:val="008333A4"/>
    <w:rsid w:val="008333B2"/>
    <w:rsid w:val="0083352D"/>
    <w:rsid w:val="0083369A"/>
    <w:rsid w:val="008337FB"/>
    <w:rsid w:val="008343E1"/>
    <w:rsid w:val="008344A1"/>
    <w:rsid w:val="00834626"/>
    <w:rsid w:val="00834669"/>
    <w:rsid w:val="008346AF"/>
    <w:rsid w:val="00834946"/>
    <w:rsid w:val="008349D2"/>
    <w:rsid w:val="00834B8E"/>
    <w:rsid w:val="00834D8D"/>
    <w:rsid w:val="00834EDD"/>
    <w:rsid w:val="0083502D"/>
    <w:rsid w:val="00835154"/>
    <w:rsid w:val="0083521A"/>
    <w:rsid w:val="008353A3"/>
    <w:rsid w:val="00835554"/>
    <w:rsid w:val="00835A4C"/>
    <w:rsid w:val="00835BBA"/>
    <w:rsid w:val="00835D15"/>
    <w:rsid w:val="00835D87"/>
    <w:rsid w:val="00835F9E"/>
    <w:rsid w:val="00836077"/>
    <w:rsid w:val="0083640B"/>
    <w:rsid w:val="008364A1"/>
    <w:rsid w:val="0083655F"/>
    <w:rsid w:val="00836707"/>
    <w:rsid w:val="00836891"/>
    <w:rsid w:val="00836946"/>
    <w:rsid w:val="00836A7F"/>
    <w:rsid w:val="00836B93"/>
    <w:rsid w:val="00836C81"/>
    <w:rsid w:val="00836D17"/>
    <w:rsid w:val="00836D5D"/>
    <w:rsid w:val="0083702E"/>
    <w:rsid w:val="00837162"/>
    <w:rsid w:val="0083757B"/>
    <w:rsid w:val="00837634"/>
    <w:rsid w:val="0083780F"/>
    <w:rsid w:val="00837B68"/>
    <w:rsid w:val="00837C16"/>
    <w:rsid w:val="00837C57"/>
    <w:rsid w:val="008401E6"/>
    <w:rsid w:val="00840436"/>
    <w:rsid w:val="008404F1"/>
    <w:rsid w:val="00840552"/>
    <w:rsid w:val="008405F8"/>
    <w:rsid w:val="0084087F"/>
    <w:rsid w:val="008408B9"/>
    <w:rsid w:val="0084091C"/>
    <w:rsid w:val="00840973"/>
    <w:rsid w:val="00840BA8"/>
    <w:rsid w:val="00840C62"/>
    <w:rsid w:val="00841070"/>
    <w:rsid w:val="00841242"/>
    <w:rsid w:val="00841365"/>
    <w:rsid w:val="008415B0"/>
    <w:rsid w:val="008416F8"/>
    <w:rsid w:val="00841A04"/>
    <w:rsid w:val="00841E3C"/>
    <w:rsid w:val="00841F5B"/>
    <w:rsid w:val="00841FA0"/>
    <w:rsid w:val="00841FE2"/>
    <w:rsid w:val="00842016"/>
    <w:rsid w:val="0084218E"/>
    <w:rsid w:val="008422D7"/>
    <w:rsid w:val="00842394"/>
    <w:rsid w:val="008423CD"/>
    <w:rsid w:val="00842401"/>
    <w:rsid w:val="00842711"/>
    <w:rsid w:val="00842747"/>
    <w:rsid w:val="00842751"/>
    <w:rsid w:val="00842C25"/>
    <w:rsid w:val="00842CEC"/>
    <w:rsid w:val="00842D56"/>
    <w:rsid w:val="00842F26"/>
    <w:rsid w:val="0084319B"/>
    <w:rsid w:val="008434B9"/>
    <w:rsid w:val="008434E6"/>
    <w:rsid w:val="00843755"/>
    <w:rsid w:val="00843865"/>
    <w:rsid w:val="00843D70"/>
    <w:rsid w:val="00843DF4"/>
    <w:rsid w:val="00843E56"/>
    <w:rsid w:val="00843EAA"/>
    <w:rsid w:val="00844049"/>
    <w:rsid w:val="008440C3"/>
    <w:rsid w:val="00844135"/>
    <w:rsid w:val="00844312"/>
    <w:rsid w:val="008445B4"/>
    <w:rsid w:val="0084461F"/>
    <w:rsid w:val="00844E2E"/>
    <w:rsid w:val="00845174"/>
    <w:rsid w:val="008453D0"/>
    <w:rsid w:val="00845447"/>
    <w:rsid w:val="008454C5"/>
    <w:rsid w:val="0084561C"/>
    <w:rsid w:val="0084593C"/>
    <w:rsid w:val="00845B46"/>
    <w:rsid w:val="0084600E"/>
    <w:rsid w:val="00846087"/>
    <w:rsid w:val="0084642D"/>
    <w:rsid w:val="00846518"/>
    <w:rsid w:val="0084664B"/>
    <w:rsid w:val="00846675"/>
    <w:rsid w:val="008466CC"/>
    <w:rsid w:val="00846810"/>
    <w:rsid w:val="00846905"/>
    <w:rsid w:val="0084693A"/>
    <w:rsid w:val="00846F36"/>
    <w:rsid w:val="0084704C"/>
    <w:rsid w:val="008470A5"/>
    <w:rsid w:val="008474BD"/>
    <w:rsid w:val="00847583"/>
    <w:rsid w:val="008475CC"/>
    <w:rsid w:val="0084769C"/>
    <w:rsid w:val="0084773E"/>
    <w:rsid w:val="008477C3"/>
    <w:rsid w:val="008477E8"/>
    <w:rsid w:val="00847D6F"/>
    <w:rsid w:val="00847EB0"/>
    <w:rsid w:val="008504EA"/>
    <w:rsid w:val="00850509"/>
    <w:rsid w:val="008507F7"/>
    <w:rsid w:val="00850965"/>
    <w:rsid w:val="008509F5"/>
    <w:rsid w:val="00850B46"/>
    <w:rsid w:val="00850E45"/>
    <w:rsid w:val="00851015"/>
    <w:rsid w:val="00851047"/>
    <w:rsid w:val="00851357"/>
    <w:rsid w:val="00851728"/>
    <w:rsid w:val="00851B05"/>
    <w:rsid w:val="00851C40"/>
    <w:rsid w:val="00851E7C"/>
    <w:rsid w:val="00851F51"/>
    <w:rsid w:val="008520A4"/>
    <w:rsid w:val="0085212C"/>
    <w:rsid w:val="0085213B"/>
    <w:rsid w:val="008523C5"/>
    <w:rsid w:val="008525CC"/>
    <w:rsid w:val="0085275E"/>
    <w:rsid w:val="008528B6"/>
    <w:rsid w:val="00852A4B"/>
    <w:rsid w:val="00852A55"/>
    <w:rsid w:val="00852BA8"/>
    <w:rsid w:val="00852CB7"/>
    <w:rsid w:val="00852D06"/>
    <w:rsid w:val="00852D0A"/>
    <w:rsid w:val="00852FD3"/>
    <w:rsid w:val="00853008"/>
    <w:rsid w:val="0085300E"/>
    <w:rsid w:val="0085311F"/>
    <w:rsid w:val="0085335D"/>
    <w:rsid w:val="00853389"/>
    <w:rsid w:val="008533FB"/>
    <w:rsid w:val="00853C08"/>
    <w:rsid w:val="008543B7"/>
    <w:rsid w:val="008547E0"/>
    <w:rsid w:val="00854BA4"/>
    <w:rsid w:val="00854BD6"/>
    <w:rsid w:val="008550EE"/>
    <w:rsid w:val="00855143"/>
    <w:rsid w:val="0085514B"/>
    <w:rsid w:val="008553B4"/>
    <w:rsid w:val="008556AA"/>
    <w:rsid w:val="00855C08"/>
    <w:rsid w:val="00855D46"/>
    <w:rsid w:val="00855D83"/>
    <w:rsid w:val="00855E5D"/>
    <w:rsid w:val="0085603A"/>
    <w:rsid w:val="00856162"/>
    <w:rsid w:val="00856166"/>
    <w:rsid w:val="008561B1"/>
    <w:rsid w:val="008562A4"/>
    <w:rsid w:val="00856360"/>
    <w:rsid w:val="00856454"/>
    <w:rsid w:val="0085659D"/>
    <w:rsid w:val="00856631"/>
    <w:rsid w:val="00856634"/>
    <w:rsid w:val="008566A4"/>
    <w:rsid w:val="008566D0"/>
    <w:rsid w:val="00856729"/>
    <w:rsid w:val="0085687B"/>
    <w:rsid w:val="00856889"/>
    <w:rsid w:val="0085691F"/>
    <w:rsid w:val="008569B4"/>
    <w:rsid w:val="00856A46"/>
    <w:rsid w:val="00856B25"/>
    <w:rsid w:val="00856BED"/>
    <w:rsid w:val="00856D18"/>
    <w:rsid w:val="00856D82"/>
    <w:rsid w:val="00856F63"/>
    <w:rsid w:val="008572EB"/>
    <w:rsid w:val="008575F8"/>
    <w:rsid w:val="008576F7"/>
    <w:rsid w:val="008576FF"/>
    <w:rsid w:val="00857819"/>
    <w:rsid w:val="00857A8A"/>
    <w:rsid w:val="00857C30"/>
    <w:rsid w:val="00857EEC"/>
    <w:rsid w:val="00857F1F"/>
    <w:rsid w:val="00857F61"/>
    <w:rsid w:val="00860158"/>
    <w:rsid w:val="00860242"/>
    <w:rsid w:val="00860380"/>
    <w:rsid w:val="00860482"/>
    <w:rsid w:val="008604F7"/>
    <w:rsid w:val="00860AE9"/>
    <w:rsid w:val="00860D6F"/>
    <w:rsid w:val="008611D6"/>
    <w:rsid w:val="00861205"/>
    <w:rsid w:val="00861236"/>
    <w:rsid w:val="00861244"/>
    <w:rsid w:val="0086124E"/>
    <w:rsid w:val="00861418"/>
    <w:rsid w:val="008614B5"/>
    <w:rsid w:val="00861796"/>
    <w:rsid w:val="00861AF8"/>
    <w:rsid w:val="00861B5B"/>
    <w:rsid w:val="00861EB9"/>
    <w:rsid w:val="00861F2A"/>
    <w:rsid w:val="008622F1"/>
    <w:rsid w:val="0086257E"/>
    <w:rsid w:val="00862800"/>
    <w:rsid w:val="00862885"/>
    <w:rsid w:val="00862D79"/>
    <w:rsid w:val="00862D8A"/>
    <w:rsid w:val="00862FF1"/>
    <w:rsid w:val="00863146"/>
    <w:rsid w:val="0086380B"/>
    <w:rsid w:val="0086389E"/>
    <w:rsid w:val="00863972"/>
    <w:rsid w:val="008639C7"/>
    <w:rsid w:val="00863BFA"/>
    <w:rsid w:val="00863C7F"/>
    <w:rsid w:val="00863E1B"/>
    <w:rsid w:val="00864018"/>
    <w:rsid w:val="0086425D"/>
    <w:rsid w:val="0086436B"/>
    <w:rsid w:val="008644ED"/>
    <w:rsid w:val="0086460C"/>
    <w:rsid w:val="008646BA"/>
    <w:rsid w:val="00864F18"/>
    <w:rsid w:val="00864F63"/>
    <w:rsid w:val="00864FA7"/>
    <w:rsid w:val="00864FBB"/>
    <w:rsid w:val="0086506A"/>
    <w:rsid w:val="008651DE"/>
    <w:rsid w:val="00865467"/>
    <w:rsid w:val="00865766"/>
    <w:rsid w:val="0086586A"/>
    <w:rsid w:val="00865B3A"/>
    <w:rsid w:val="00865C20"/>
    <w:rsid w:val="00865D20"/>
    <w:rsid w:val="00865EFD"/>
    <w:rsid w:val="00865F1C"/>
    <w:rsid w:val="00866020"/>
    <w:rsid w:val="00866526"/>
    <w:rsid w:val="00866724"/>
    <w:rsid w:val="00866A6F"/>
    <w:rsid w:val="00866D8D"/>
    <w:rsid w:val="008670B5"/>
    <w:rsid w:val="008674AE"/>
    <w:rsid w:val="008675A5"/>
    <w:rsid w:val="0086783E"/>
    <w:rsid w:val="00870007"/>
    <w:rsid w:val="00870324"/>
    <w:rsid w:val="0087044D"/>
    <w:rsid w:val="00870888"/>
    <w:rsid w:val="008708F2"/>
    <w:rsid w:val="008709D6"/>
    <w:rsid w:val="008709F1"/>
    <w:rsid w:val="00870BA9"/>
    <w:rsid w:val="00870C02"/>
    <w:rsid w:val="00870C32"/>
    <w:rsid w:val="00870CF4"/>
    <w:rsid w:val="00870DD8"/>
    <w:rsid w:val="00870DF7"/>
    <w:rsid w:val="00870F51"/>
    <w:rsid w:val="00871139"/>
    <w:rsid w:val="00871672"/>
    <w:rsid w:val="008716A7"/>
    <w:rsid w:val="008716A8"/>
    <w:rsid w:val="0087182D"/>
    <w:rsid w:val="00871979"/>
    <w:rsid w:val="00871C4E"/>
    <w:rsid w:val="0087231A"/>
    <w:rsid w:val="00872522"/>
    <w:rsid w:val="00872710"/>
    <w:rsid w:val="008727C5"/>
    <w:rsid w:val="008727C9"/>
    <w:rsid w:val="00872822"/>
    <w:rsid w:val="00872AA2"/>
    <w:rsid w:val="00872CD8"/>
    <w:rsid w:val="00873300"/>
    <w:rsid w:val="008733E9"/>
    <w:rsid w:val="0087346A"/>
    <w:rsid w:val="008735DB"/>
    <w:rsid w:val="0087371E"/>
    <w:rsid w:val="0087373F"/>
    <w:rsid w:val="0087384F"/>
    <w:rsid w:val="0087395F"/>
    <w:rsid w:val="00873A12"/>
    <w:rsid w:val="00873B06"/>
    <w:rsid w:val="00873CC9"/>
    <w:rsid w:val="00873D92"/>
    <w:rsid w:val="00874028"/>
    <w:rsid w:val="0087425A"/>
    <w:rsid w:val="00874559"/>
    <w:rsid w:val="008745BB"/>
    <w:rsid w:val="008748B5"/>
    <w:rsid w:val="00874AC3"/>
    <w:rsid w:val="00874B7C"/>
    <w:rsid w:val="00874DC7"/>
    <w:rsid w:val="00874FB7"/>
    <w:rsid w:val="0087514A"/>
    <w:rsid w:val="00875A9C"/>
    <w:rsid w:val="00875BE4"/>
    <w:rsid w:val="00875C52"/>
    <w:rsid w:val="00875C5A"/>
    <w:rsid w:val="00875E5A"/>
    <w:rsid w:val="00875F72"/>
    <w:rsid w:val="00875F94"/>
    <w:rsid w:val="00876102"/>
    <w:rsid w:val="00876174"/>
    <w:rsid w:val="008765DF"/>
    <w:rsid w:val="0087674F"/>
    <w:rsid w:val="00876A09"/>
    <w:rsid w:val="00876C78"/>
    <w:rsid w:val="00876D35"/>
    <w:rsid w:val="00876E63"/>
    <w:rsid w:val="00877503"/>
    <w:rsid w:val="008775EB"/>
    <w:rsid w:val="008776EA"/>
    <w:rsid w:val="008777B3"/>
    <w:rsid w:val="00877817"/>
    <w:rsid w:val="00877845"/>
    <w:rsid w:val="008779D6"/>
    <w:rsid w:val="00877B5D"/>
    <w:rsid w:val="00877C13"/>
    <w:rsid w:val="00877CD9"/>
    <w:rsid w:val="00877F1C"/>
    <w:rsid w:val="00877F8E"/>
    <w:rsid w:val="00877FB7"/>
    <w:rsid w:val="00880091"/>
    <w:rsid w:val="008801D4"/>
    <w:rsid w:val="0088041C"/>
    <w:rsid w:val="0088065D"/>
    <w:rsid w:val="008807B8"/>
    <w:rsid w:val="00880812"/>
    <w:rsid w:val="00880C24"/>
    <w:rsid w:val="0088109E"/>
    <w:rsid w:val="008810F2"/>
    <w:rsid w:val="00881337"/>
    <w:rsid w:val="0088134B"/>
    <w:rsid w:val="008813AE"/>
    <w:rsid w:val="0088162C"/>
    <w:rsid w:val="008816EA"/>
    <w:rsid w:val="00881777"/>
    <w:rsid w:val="00881861"/>
    <w:rsid w:val="008818AD"/>
    <w:rsid w:val="00881A16"/>
    <w:rsid w:val="00881B52"/>
    <w:rsid w:val="00881B99"/>
    <w:rsid w:val="00881BB8"/>
    <w:rsid w:val="00881CAB"/>
    <w:rsid w:val="00881E06"/>
    <w:rsid w:val="0088213C"/>
    <w:rsid w:val="0088224C"/>
    <w:rsid w:val="00882394"/>
    <w:rsid w:val="008823F3"/>
    <w:rsid w:val="0088244B"/>
    <w:rsid w:val="00882541"/>
    <w:rsid w:val="00882A16"/>
    <w:rsid w:val="00882A5D"/>
    <w:rsid w:val="00882AD2"/>
    <w:rsid w:val="00882B4A"/>
    <w:rsid w:val="00882B72"/>
    <w:rsid w:val="00882C37"/>
    <w:rsid w:val="00882E66"/>
    <w:rsid w:val="008830BE"/>
    <w:rsid w:val="008830D0"/>
    <w:rsid w:val="00883126"/>
    <w:rsid w:val="008831B4"/>
    <w:rsid w:val="0088331D"/>
    <w:rsid w:val="008833CD"/>
    <w:rsid w:val="00883418"/>
    <w:rsid w:val="00883461"/>
    <w:rsid w:val="00883532"/>
    <w:rsid w:val="0088374E"/>
    <w:rsid w:val="00883769"/>
    <w:rsid w:val="008839C5"/>
    <w:rsid w:val="00883A8A"/>
    <w:rsid w:val="00883C46"/>
    <w:rsid w:val="00883CAF"/>
    <w:rsid w:val="00883DEC"/>
    <w:rsid w:val="00883E91"/>
    <w:rsid w:val="00883F57"/>
    <w:rsid w:val="00883F80"/>
    <w:rsid w:val="00883FA8"/>
    <w:rsid w:val="00883FC1"/>
    <w:rsid w:val="008841F1"/>
    <w:rsid w:val="0088436B"/>
    <w:rsid w:val="008844C6"/>
    <w:rsid w:val="008844E0"/>
    <w:rsid w:val="008847AC"/>
    <w:rsid w:val="00884F20"/>
    <w:rsid w:val="008850F3"/>
    <w:rsid w:val="008851B4"/>
    <w:rsid w:val="008854D1"/>
    <w:rsid w:val="008856B3"/>
    <w:rsid w:val="008857D7"/>
    <w:rsid w:val="008857F2"/>
    <w:rsid w:val="00885A23"/>
    <w:rsid w:val="00885AF9"/>
    <w:rsid w:val="00885B6B"/>
    <w:rsid w:val="008860C5"/>
    <w:rsid w:val="008861A2"/>
    <w:rsid w:val="0088655A"/>
    <w:rsid w:val="008868BE"/>
    <w:rsid w:val="0088697A"/>
    <w:rsid w:val="00886AF2"/>
    <w:rsid w:val="00886B20"/>
    <w:rsid w:val="00886DAA"/>
    <w:rsid w:val="00886E7D"/>
    <w:rsid w:val="00886ED7"/>
    <w:rsid w:val="008871EB"/>
    <w:rsid w:val="0088733A"/>
    <w:rsid w:val="00887657"/>
    <w:rsid w:val="00887AC6"/>
    <w:rsid w:val="00887AEC"/>
    <w:rsid w:val="00887B70"/>
    <w:rsid w:val="00887C8D"/>
    <w:rsid w:val="00887CF8"/>
    <w:rsid w:val="00887F8B"/>
    <w:rsid w:val="00890019"/>
    <w:rsid w:val="00890148"/>
    <w:rsid w:val="00890448"/>
    <w:rsid w:val="00890564"/>
    <w:rsid w:val="00890577"/>
    <w:rsid w:val="00890692"/>
    <w:rsid w:val="00890823"/>
    <w:rsid w:val="00890B3A"/>
    <w:rsid w:val="00890B80"/>
    <w:rsid w:val="00890FA4"/>
    <w:rsid w:val="0089110B"/>
    <w:rsid w:val="0089124B"/>
    <w:rsid w:val="008913E9"/>
    <w:rsid w:val="00891682"/>
    <w:rsid w:val="008916FC"/>
    <w:rsid w:val="0089201F"/>
    <w:rsid w:val="00892240"/>
    <w:rsid w:val="00892257"/>
    <w:rsid w:val="008922C9"/>
    <w:rsid w:val="008927B0"/>
    <w:rsid w:val="008929E7"/>
    <w:rsid w:val="00892BBF"/>
    <w:rsid w:val="00892D90"/>
    <w:rsid w:val="00892DE0"/>
    <w:rsid w:val="00892E93"/>
    <w:rsid w:val="00892F89"/>
    <w:rsid w:val="00893081"/>
    <w:rsid w:val="00893551"/>
    <w:rsid w:val="00893866"/>
    <w:rsid w:val="00893882"/>
    <w:rsid w:val="00893946"/>
    <w:rsid w:val="00893AFC"/>
    <w:rsid w:val="00893B4E"/>
    <w:rsid w:val="00893C3B"/>
    <w:rsid w:val="00893D05"/>
    <w:rsid w:val="00893D37"/>
    <w:rsid w:val="00893FCA"/>
    <w:rsid w:val="00894173"/>
    <w:rsid w:val="008945BC"/>
    <w:rsid w:val="008946DE"/>
    <w:rsid w:val="008947AA"/>
    <w:rsid w:val="008948A1"/>
    <w:rsid w:val="008948C2"/>
    <w:rsid w:val="0089492B"/>
    <w:rsid w:val="00894BBB"/>
    <w:rsid w:val="00894C38"/>
    <w:rsid w:val="00894C43"/>
    <w:rsid w:val="00894C99"/>
    <w:rsid w:val="00894D19"/>
    <w:rsid w:val="00894E3B"/>
    <w:rsid w:val="0089516D"/>
    <w:rsid w:val="008951FB"/>
    <w:rsid w:val="00895244"/>
    <w:rsid w:val="00895341"/>
    <w:rsid w:val="008953C1"/>
    <w:rsid w:val="008953E3"/>
    <w:rsid w:val="0089541E"/>
    <w:rsid w:val="008954DC"/>
    <w:rsid w:val="00895713"/>
    <w:rsid w:val="00895FBE"/>
    <w:rsid w:val="008961DB"/>
    <w:rsid w:val="00896230"/>
    <w:rsid w:val="008964BA"/>
    <w:rsid w:val="0089650E"/>
    <w:rsid w:val="00896534"/>
    <w:rsid w:val="00896596"/>
    <w:rsid w:val="00896626"/>
    <w:rsid w:val="008968DA"/>
    <w:rsid w:val="00896A32"/>
    <w:rsid w:val="00896A3A"/>
    <w:rsid w:val="00896A3F"/>
    <w:rsid w:val="00896B21"/>
    <w:rsid w:val="00896C4D"/>
    <w:rsid w:val="00896C76"/>
    <w:rsid w:val="00896CCE"/>
    <w:rsid w:val="00896D1E"/>
    <w:rsid w:val="00896DB7"/>
    <w:rsid w:val="00897010"/>
    <w:rsid w:val="008970E4"/>
    <w:rsid w:val="008971C2"/>
    <w:rsid w:val="00897237"/>
    <w:rsid w:val="00897366"/>
    <w:rsid w:val="0089736F"/>
    <w:rsid w:val="0089743D"/>
    <w:rsid w:val="00897470"/>
    <w:rsid w:val="00897741"/>
    <w:rsid w:val="008977FA"/>
    <w:rsid w:val="00897A22"/>
    <w:rsid w:val="00897AE7"/>
    <w:rsid w:val="00897C33"/>
    <w:rsid w:val="00897D31"/>
    <w:rsid w:val="008A0250"/>
    <w:rsid w:val="008A0281"/>
    <w:rsid w:val="008A0549"/>
    <w:rsid w:val="008A0633"/>
    <w:rsid w:val="008A06CC"/>
    <w:rsid w:val="008A0825"/>
    <w:rsid w:val="008A0C1E"/>
    <w:rsid w:val="008A0C2D"/>
    <w:rsid w:val="008A0C9A"/>
    <w:rsid w:val="008A0D2B"/>
    <w:rsid w:val="008A155E"/>
    <w:rsid w:val="008A1B7F"/>
    <w:rsid w:val="008A1CC0"/>
    <w:rsid w:val="008A1DAC"/>
    <w:rsid w:val="008A1E47"/>
    <w:rsid w:val="008A2115"/>
    <w:rsid w:val="008A22E7"/>
    <w:rsid w:val="008A23D5"/>
    <w:rsid w:val="008A24DA"/>
    <w:rsid w:val="008A2557"/>
    <w:rsid w:val="008A25BF"/>
    <w:rsid w:val="008A27AA"/>
    <w:rsid w:val="008A2C65"/>
    <w:rsid w:val="008A2D17"/>
    <w:rsid w:val="008A2EF1"/>
    <w:rsid w:val="008A34BE"/>
    <w:rsid w:val="008A3908"/>
    <w:rsid w:val="008A3CF2"/>
    <w:rsid w:val="008A3E80"/>
    <w:rsid w:val="008A3F72"/>
    <w:rsid w:val="008A3FB7"/>
    <w:rsid w:val="008A4229"/>
    <w:rsid w:val="008A42C9"/>
    <w:rsid w:val="008A43B8"/>
    <w:rsid w:val="008A4882"/>
    <w:rsid w:val="008A491E"/>
    <w:rsid w:val="008A4954"/>
    <w:rsid w:val="008A4A85"/>
    <w:rsid w:val="008A4B37"/>
    <w:rsid w:val="008A4B7D"/>
    <w:rsid w:val="008A4CEC"/>
    <w:rsid w:val="008A4D80"/>
    <w:rsid w:val="008A4F64"/>
    <w:rsid w:val="008A5056"/>
    <w:rsid w:val="008A5111"/>
    <w:rsid w:val="008A5292"/>
    <w:rsid w:val="008A52E5"/>
    <w:rsid w:val="008A5317"/>
    <w:rsid w:val="008A53FC"/>
    <w:rsid w:val="008A57F2"/>
    <w:rsid w:val="008A593E"/>
    <w:rsid w:val="008A59CE"/>
    <w:rsid w:val="008A5A2C"/>
    <w:rsid w:val="008A5A3F"/>
    <w:rsid w:val="008A5B2A"/>
    <w:rsid w:val="008A5B7F"/>
    <w:rsid w:val="008A5BAB"/>
    <w:rsid w:val="008A5BD7"/>
    <w:rsid w:val="008A5C36"/>
    <w:rsid w:val="008A6152"/>
    <w:rsid w:val="008A61D0"/>
    <w:rsid w:val="008A624A"/>
    <w:rsid w:val="008A6754"/>
    <w:rsid w:val="008A68F2"/>
    <w:rsid w:val="008A698F"/>
    <w:rsid w:val="008A6A2E"/>
    <w:rsid w:val="008A6AC7"/>
    <w:rsid w:val="008A6AF6"/>
    <w:rsid w:val="008A6D28"/>
    <w:rsid w:val="008A7352"/>
    <w:rsid w:val="008A743C"/>
    <w:rsid w:val="008A7A8F"/>
    <w:rsid w:val="008B0063"/>
    <w:rsid w:val="008B0094"/>
    <w:rsid w:val="008B011D"/>
    <w:rsid w:val="008B0131"/>
    <w:rsid w:val="008B013D"/>
    <w:rsid w:val="008B025C"/>
    <w:rsid w:val="008B060A"/>
    <w:rsid w:val="008B07C3"/>
    <w:rsid w:val="008B0973"/>
    <w:rsid w:val="008B097A"/>
    <w:rsid w:val="008B0988"/>
    <w:rsid w:val="008B0CB5"/>
    <w:rsid w:val="008B0CD4"/>
    <w:rsid w:val="008B0EFC"/>
    <w:rsid w:val="008B0F9E"/>
    <w:rsid w:val="008B0FD9"/>
    <w:rsid w:val="008B1427"/>
    <w:rsid w:val="008B14A1"/>
    <w:rsid w:val="008B166B"/>
    <w:rsid w:val="008B1749"/>
    <w:rsid w:val="008B18FD"/>
    <w:rsid w:val="008B1917"/>
    <w:rsid w:val="008B1A76"/>
    <w:rsid w:val="008B1AFA"/>
    <w:rsid w:val="008B1C27"/>
    <w:rsid w:val="008B1C98"/>
    <w:rsid w:val="008B1E53"/>
    <w:rsid w:val="008B2006"/>
    <w:rsid w:val="008B2009"/>
    <w:rsid w:val="008B217A"/>
    <w:rsid w:val="008B2202"/>
    <w:rsid w:val="008B238D"/>
    <w:rsid w:val="008B2A4D"/>
    <w:rsid w:val="008B2A53"/>
    <w:rsid w:val="008B2D1D"/>
    <w:rsid w:val="008B2E44"/>
    <w:rsid w:val="008B2FE7"/>
    <w:rsid w:val="008B300D"/>
    <w:rsid w:val="008B3170"/>
    <w:rsid w:val="008B317D"/>
    <w:rsid w:val="008B31CC"/>
    <w:rsid w:val="008B31F1"/>
    <w:rsid w:val="008B3223"/>
    <w:rsid w:val="008B37B2"/>
    <w:rsid w:val="008B3874"/>
    <w:rsid w:val="008B3A5C"/>
    <w:rsid w:val="008B3A97"/>
    <w:rsid w:val="008B3BF4"/>
    <w:rsid w:val="008B3D1B"/>
    <w:rsid w:val="008B3D70"/>
    <w:rsid w:val="008B3F9A"/>
    <w:rsid w:val="008B4354"/>
    <w:rsid w:val="008B43E5"/>
    <w:rsid w:val="008B4505"/>
    <w:rsid w:val="008B4678"/>
    <w:rsid w:val="008B4728"/>
    <w:rsid w:val="008B4BE8"/>
    <w:rsid w:val="008B4D75"/>
    <w:rsid w:val="008B4DC8"/>
    <w:rsid w:val="008B4E09"/>
    <w:rsid w:val="008B501B"/>
    <w:rsid w:val="008B5318"/>
    <w:rsid w:val="008B53B8"/>
    <w:rsid w:val="008B5409"/>
    <w:rsid w:val="008B54E9"/>
    <w:rsid w:val="008B5D0E"/>
    <w:rsid w:val="008B5D64"/>
    <w:rsid w:val="008B6091"/>
    <w:rsid w:val="008B6595"/>
    <w:rsid w:val="008B6702"/>
    <w:rsid w:val="008B6B3A"/>
    <w:rsid w:val="008B6D58"/>
    <w:rsid w:val="008B7257"/>
    <w:rsid w:val="008B790E"/>
    <w:rsid w:val="008B7A75"/>
    <w:rsid w:val="008B7EDE"/>
    <w:rsid w:val="008C0016"/>
    <w:rsid w:val="008C00C9"/>
    <w:rsid w:val="008C0226"/>
    <w:rsid w:val="008C0333"/>
    <w:rsid w:val="008C049C"/>
    <w:rsid w:val="008C05CD"/>
    <w:rsid w:val="008C06E0"/>
    <w:rsid w:val="008C07CE"/>
    <w:rsid w:val="008C0939"/>
    <w:rsid w:val="008C09BF"/>
    <w:rsid w:val="008C0B3E"/>
    <w:rsid w:val="008C0E95"/>
    <w:rsid w:val="008C1025"/>
    <w:rsid w:val="008C126B"/>
    <w:rsid w:val="008C12D4"/>
    <w:rsid w:val="008C15DF"/>
    <w:rsid w:val="008C1877"/>
    <w:rsid w:val="008C1BA5"/>
    <w:rsid w:val="008C1C88"/>
    <w:rsid w:val="008C1F33"/>
    <w:rsid w:val="008C2067"/>
    <w:rsid w:val="008C20AF"/>
    <w:rsid w:val="008C20C7"/>
    <w:rsid w:val="008C2257"/>
    <w:rsid w:val="008C234A"/>
    <w:rsid w:val="008C2353"/>
    <w:rsid w:val="008C2417"/>
    <w:rsid w:val="008C25F6"/>
    <w:rsid w:val="008C29A7"/>
    <w:rsid w:val="008C2A72"/>
    <w:rsid w:val="008C2B63"/>
    <w:rsid w:val="008C2CE1"/>
    <w:rsid w:val="008C3056"/>
    <w:rsid w:val="008C3067"/>
    <w:rsid w:val="008C310D"/>
    <w:rsid w:val="008C32E8"/>
    <w:rsid w:val="008C3441"/>
    <w:rsid w:val="008C35F5"/>
    <w:rsid w:val="008C37BD"/>
    <w:rsid w:val="008C38F1"/>
    <w:rsid w:val="008C3922"/>
    <w:rsid w:val="008C3943"/>
    <w:rsid w:val="008C3982"/>
    <w:rsid w:val="008C39A2"/>
    <w:rsid w:val="008C3A51"/>
    <w:rsid w:val="008C3BDF"/>
    <w:rsid w:val="008C3C10"/>
    <w:rsid w:val="008C3DD4"/>
    <w:rsid w:val="008C3E26"/>
    <w:rsid w:val="008C3E2E"/>
    <w:rsid w:val="008C400B"/>
    <w:rsid w:val="008C4459"/>
    <w:rsid w:val="008C45CF"/>
    <w:rsid w:val="008C495E"/>
    <w:rsid w:val="008C49F7"/>
    <w:rsid w:val="008C4CED"/>
    <w:rsid w:val="008C4E4B"/>
    <w:rsid w:val="008C4F2B"/>
    <w:rsid w:val="008C4F48"/>
    <w:rsid w:val="008C5081"/>
    <w:rsid w:val="008C52EE"/>
    <w:rsid w:val="008C55D8"/>
    <w:rsid w:val="008C581F"/>
    <w:rsid w:val="008C58C7"/>
    <w:rsid w:val="008C59FB"/>
    <w:rsid w:val="008C5BA9"/>
    <w:rsid w:val="008C5C26"/>
    <w:rsid w:val="008C5D98"/>
    <w:rsid w:val="008C5F8A"/>
    <w:rsid w:val="008C6039"/>
    <w:rsid w:val="008C65E8"/>
    <w:rsid w:val="008C6796"/>
    <w:rsid w:val="008C6934"/>
    <w:rsid w:val="008C6AA3"/>
    <w:rsid w:val="008C6BCF"/>
    <w:rsid w:val="008C6C4A"/>
    <w:rsid w:val="008C6E8F"/>
    <w:rsid w:val="008C6EBF"/>
    <w:rsid w:val="008C7274"/>
    <w:rsid w:val="008C733E"/>
    <w:rsid w:val="008C74E7"/>
    <w:rsid w:val="008C7503"/>
    <w:rsid w:val="008C76DC"/>
    <w:rsid w:val="008C77CD"/>
    <w:rsid w:val="008C78F9"/>
    <w:rsid w:val="008C7DAF"/>
    <w:rsid w:val="008C7E62"/>
    <w:rsid w:val="008C7FC6"/>
    <w:rsid w:val="008D0042"/>
    <w:rsid w:val="008D022B"/>
    <w:rsid w:val="008D0373"/>
    <w:rsid w:val="008D046F"/>
    <w:rsid w:val="008D04BD"/>
    <w:rsid w:val="008D05A9"/>
    <w:rsid w:val="008D0782"/>
    <w:rsid w:val="008D0865"/>
    <w:rsid w:val="008D0E81"/>
    <w:rsid w:val="008D107B"/>
    <w:rsid w:val="008D12F7"/>
    <w:rsid w:val="008D15F0"/>
    <w:rsid w:val="008D1B62"/>
    <w:rsid w:val="008D1D11"/>
    <w:rsid w:val="008D2137"/>
    <w:rsid w:val="008D2173"/>
    <w:rsid w:val="008D2329"/>
    <w:rsid w:val="008D23A4"/>
    <w:rsid w:val="008D2536"/>
    <w:rsid w:val="008D26C4"/>
    <w:rsid w:val="008D27BC"/>
    <w:rsid w:val="008D27E0"/>
    <w:rsid w:val="008D298E"/>
    <w:rsid w:val="008D2B64"/>
    <w:rsid w:val="008D2BE8"/>
    <w:rsid w:val="008D2C8C"/>
    <w:rsid w:val="008D2D75"/>
    <w:rsid w:val="008D331D"/>
    <w:rsid w:val="008D33FB"/>
    <w:rsid w:val="008D343B"/>
    <w:rsid w:val="008D3A37"/>
    <w:rsid w:val="008D3E48"/>
    <w:rsid w:val="008D410F"/>
    <w:rsid w:val="008D42C4"/>
    <w:rsid w:val="008D4355"/>
    <w:rsid w:val="008D444A"/>
    <w:rsid w:val="008D4564"/>
    <w:rsid w:val="008D463B"/>
    <w:rsid w:val="008D46C1"/>
    <w:rsid w:val="008D4844"/>
    <w:rsid w:val="008D4874"/>
    <w:rsid w:val="008D4907"/>
    <w:rsid w:val="008D4BD4"/>
    <w:rsid w:val="008D4C76"/>
    <w:rsid w:val="008D5221"/>
    <w:rsid w:val="008D5342"/>
    <w:rsid w:val="008D558B"/>
    <w:rsid w:val="008D56D7"/>
    <w:rsid w:val="008D57F0"/>
    <w:rsid w:val="008D582F"/>
    <w:rsid w:val="008D595E"/>
    <w:rsid w:val="008D5969"/>
    <w:rsid w:val="008D5A6E"/>
    <w:rsid w:val="008D5D75"/>
    <w:rsid w:val="008D5EE5"/>
    <w:rsid w:val="008D5F06"/>
    <w:rsid w:val="008D6183"/>
    <w:rsid w:val="008D61A2"/>
    <w:rsid w:val="008D6327"/>
    <w:rsid w:val="008D6728"/>
    <w:rsid w:val="008D6857"/>
    <w:rsid w:val="008D70F4"/>
    <w:rsid w:val="008D72C0"/>
    <w:rsid w:val="008D7300"/>
    <w:rsid w:val="008D7465"/>
    <w:rsid w:val="008D748D"/>
    <w:rsid w:val="008D74ED"/>
    <w:rsid w:val="008D7772"/>
    <w:rsid w:val="008D7795"/>
    <w:rsid w:val="008D79F7"/>
    <w:rsid w:val="008D79FA"/>
    <w:rsid w:val="008D7A27"/>
    <w:rsid w:val="008D7A2D"/>
    <w:rsid w:val="008D7A7C"/>
    <w:rsid w:val="008D7EB5"/>
    <w:rsid w:val="008D7F57"/>
    <w:rsid w:val="008E00E9"/>
    <w:rsid w:val="008E02E0"/>
    <w:rsid w:val="008E043F"/>
    <w:rsid w:val="008E0580"/>
    <w:rsid w:val="008E0B63"/>
    <w:rsid w:val="008E0D92"/>
    <w:rsid w:val="008E0E71"/>
    <w:rsid w:val="008E0E9E"/>
    <w:rsid w:val="008E0EDB"/>
    <w:rsid w:val="008E104B"/>
    <w:rsid w:val="008E1177"/>
    <w:rsid w:val="008E1622"/>
    <w:rsid w:val="008E163C"/>
    <w:rsid w:val="008E16DB"/>
    <w:rsid w:val="008E1B4C"/>
    <w:rsid w:val="008E21F6"/>
    <w:rsid w:val="008E221E"/>
    <w:rsid w:val="008E2344"/>
    <w:rsid w:val="008E27F1"/>
    <w:rsid w:val="008E283D"/>
    <w:rsid w:val="008E2912"/>
    <w:rsid w:val="008E29EB"/>
    <w:rsid w:val="008E2BD1"/>
    <w:rsid w:val="008E2F18"/>
    <w:rsid w:val="008E2F6A"/>
    <w:rsid w:val="008E3042"/>
    <w:rsid w:val="008E3090"/>
    <w:rsid w:val="008E310A"/>
    <w:rsid w:val="008E3258"/>
    <w:rsid w:val="008E326D"/>
    <w:rsid w:val="008E3355"/>
    <w:rsid w:val="008E3677"/>
    <w:rsid w:val="008E36CA"/>
    <w:rsid w:val="008E373A"/>
    <w:rsid w:val="008E38FF"/>
    <w:rsid w:val="008E3AAA"/>
    <w:rsid w:val="008E3C3D"/>
    <w:rsid w:val="008E3C4C"/>
    <w:rsid w:val="008E3D07"/>
    <w:rsid w:val="008E3D68"/>
    <w:rsid w:val="008E3FAD"/>
    <w:rsid w:val="008E4071"/>
    <w:rsid w:val="008E436A"/>
    <w:rsid w:val="008E4549"/>
    <w:rsid w:val="008E4657"/>
    <w:rsid w:val="008E4719"/>
    <w:rsid w:val="008E474A"/>
    <w:rsid w:val="008E475A"/>
    <w:rsid w:val="008E47AE"/>
    <w:rsid w:val="008E4938"/>
    <w:rsid w:val="008E497B"/>
    <w:rsid w:val="008E4B69"/>
    <w:rsid w:val="008E4BE7"/>
    <w:rsid w:val="008E4F6F"/>
    <w:rsid w:val="008E4F82"/>
    <w:rsid w:val="008E4FB4"/>
    <w:rsid w:val="008E568F"/>
    <w:rsid w:val="008E5780"/>
    <w:rsid w:val="008E5B49"/>
    <w:rsid w:val="008E5B9F"/>
    <w:rsid w:val="008E5BE4"/>
    <w:rsid w:val="008E5C54"/>
    <w:rsid w:val="008E5D7D"/>
    <w:rsid w:val="008E5E79"/>
    <w:rsid w:val="008E60D3"/>
    <w:rsid w:val="008E613A"/>
    <w:rsid w:val="008E623F"/>
    <w:rsid w:val="008E625E"/>
    <w:rsid w:val="008E64CD"/>
    <w:rsid w:val="008E68DB"/>
    <w:rsid w:val="008E6B05"/>
    <w:rsid w:val="008E6C6C"/>
    <w:rsid w:val="008E6DD8"/>
    <w:rsid w:val="008E6F91"/>
    <w:rsid w:val="008E70D8"/>
    <w:rsid w:val="008E728E"/>
    <w:rsid w:val="008E74CF"/>
    <w:rsid w:val="008E74F4"/>
    <w:rsid w:val="008E7749"/>
    <w:rsid w:val="008E77E6"/>
    <w:rsid w:val="008E79AE"/>
    <w:rsid w:val="008E7A61"/>
    <w:rsid w:val="008E7B40"/>
    <w:rsid w:val="008E7BF5"/>
    <w:rsid w:val="008E7CD4"/>
    <w:rsid w:val="008E7D56"/>
    <w:rsid w:val="008E7D59"/>
    <w:rsid w:val="008E7E79"/>
    <w:rsid w:val="008F0073"/>
    <w:rsid w:val="008F0094"/>
    <w:rsid w:val="008F010F"/>
    <w:rsid w:val="008F012A"/>
    <w:rsid w:val="008F01EB"/>
    <w:rsid w:val="008F0370"/>
    <w:rsid w:val="008F03F3"/>
    <w:rsid w:val="008F040C"/>
    <w:rsid w:val="008F0439"/>
    <w:rsid w:val="008F0514"/>
    <w:rsid w:val="008F0A4F"/>
    <w:rsid w:val="008F0A91"/>
    <w:rsid w:val="008F0BFA"/>
    <w:rsid w:val="008F0C4E"/>
    <w:rsid w:val="008F0D3D"/>
    <w:rsid w:val="008F0DB4"/>
    <w:rsid w:val="008F0DCA"/>
    <w:rsid w:val="008F0F4C"/>
    <w:rsid w:val="008F0F78"/>
    <w:rsid w:val="008F0FEC"/>
    <w:rsid w:val="008F1128"/>
    <w:rsid w:val="008F12CE"/>
    <w:rsid w:val="008F1300"/>
    <w:rsid w:val="008F1479"/>
    <w:rsid w:val="008F1698"/>
    <w:rsid w:val="008F1761"/>
    <w:rsid w:val="008F1A69"/>
    <w:rsid w:val="008F200F"/>
    <w:rsid w:val="008F2160"/>
    <w:rsid w:val="008F2172"/>
    <w:rsid w:val="008F21B2"/>
    <w:rsid w:val="008F23F0"/>
    <w:rsid w:val="008F2435"/>
    <w:rsid w:val="008F2626"/>
    <w:rsid w:val="008F2653"/>
    <w:rsid w:val="008F270E"/>
    <w:rsid w:val="008F27CD"/>
    <w:rsid w:val="008F2852"/>
    <w:rsid w:val="008F2A4F"/>
    <w:rsid w:val="008F2B30"/>
    <w:rsid w:val="008F2C02"/>
    <w:rsid w:val="008F2C32"/>
    <w:rsid w:val="008F2C33"/>
    <w:rsid w:val="008F2E66"/>
    <w:rsid w:val="008F2EDA"/>
    <w:rsid w:val="008F2FE2"/>
    <w:rsid w:val="008F3345"/>
    <w:rsid w:val="008F3505"/>
    <w:rsid w:val="008F3608"/>
    <w:rsid w:val="008F3C33"/>
    <w:rsid w:val="008F3C3E"/>
    <w:rsid w:val="008F3E2C"/>
    <w:rsid w:val="008F3F91"/>
    <w:rsid w:val="008F3FDC"/>
    <w:rsid w:val="008F458B"/>
    <w:rsid w:val="008F45C8"/>
    <w:rsid w:val="008F4730"/>
    <w:rsid w:val="008F48CB"/>
    <w:rsid w:val="008F4B40"/>
    <w:rsid w:val="008F4E75"/>
    <w:rsid w:val="008F508E"/>
    <w:rsid w:val="008F5154"/>
    <w:rsid w:val="008F517C"/>
    <w:rsid w:val="008F5509"/>
    <w:rsid w:val="008F5834"/>
    <w:rsid w:val="008F59E9"/>
    <w:rsid w:val="008F5A63"/>
    <w:rsid w:val="008F5B7C"/>
    <w:rsid w:val="008F5CA6"/>
    <w:rsid w:val="008F5E34"/>
    <w:rsid w:val="008F60CE"/>
    <w:rsid w:val="008F6316"/>
    <w:rsid w:val="008F6687"/>
    <w:rsid w:val="008F6781"/>
    <w:rsid w:val="008F6D85"/>
    <w:rsid w:val="008F6DC0"/>
    <w:rsid w:val="008F6F1B"/>
    <w:rsid w:val="008F7113"/>
    <w:rsid w:val="008F7641"/>
    <w:rsid w:val="008F7901"/>
    <w:rsid w:val="008F7946"/>
    <w:rsid w:val="008F7A41"/>
    <w:rsid w:val="008F7ACA"/>
    <w:rsid w:val="008F7ADF"/>
    <w:rsid w:val="008F7C4A"/>
    <w:rsid w:val="008F7E5E"/>
    <w:rsid w:val="00900080"/>
    <w:rsid w:val="009001F5"/>
    <w:rsid w:val="00900236"/>
    <w:rsid w:val="009003A5"/>
    <w:rsid w:val="00900C92"/>
    <w:rsid w:val="00900D42"/>
    <w:rsid w:val="00900DB6"/>
    <w:rsid w:val="00900FA6"/>
    <w:rsid w:val="00901024"/>
    <w:rsid w:val="009012A8"/>
    <w:rsid w:val="00901335"/>
    <w:rsid w:val="0090147E"/>
    <w:rsid w:val="0090154D"/>
    <w:rsid w:val="009015D2"/>
    <w:rsid w:val="00901673"/>
    <w:rsid w:val="00901882"/>
    <w:rsid w:val="00901B55"/>
    <w:rsid w:val="00901BF6"/>
    <w:rsid w:val="00901C3E"/>
    <w:rsid w:val="00901D33"/>
    <w:rsid w:val="00901D67"/>
    <w:rsid w:val="00901ED4"/>
    <w:rsid w:val="00901F6E"/>
    <w:rsid w:val="009021EC"/>
    <w:rsid w:val="00902487"/>
    <w:rsid w:val="009024DC"/>
    <w:rsid w:val="00902525"/>
    <w:rsid w:val="009027CF"/>
    <w:rsid w:val="009027FB"/>
    <w:rsid w:val="00902893"/>
    <w:rsid w:val="009028FF"/>
    <w:rsid w:val="009029B3"/>
    <w:rsid w:val="00902A11"/>
    <w:rsid w:val="00902D0C"/>
    <w:rsid w:val="00902D7E"/>
    <w:rsid w:val="00902D95"/>
    <w:rsid w:val="00902E8C"/>
    <w:rsid w:val="00902E93"/>
    <w:rsid w:val="00902E94"/>
    <w:rsid w:val="00902EC7"/>
    <w:rsid w:val="00902F8C"/>
    <w:rsid w:val="009030A7"/>
    <w:rsid w:val="00903233"/>
    <w:rsid w:val="0090348F"/>
    <w:rsid w:val="00903856"/>
    <w:rsid w:val="00903C4A"/>
    <w:rsid w:val="00903DD0"/>
    <w:rsid w:val="00903E5A"/>
    <w:rsid w:val="0090421D"/>
    <w:rsid w:val="009043F4"/>
    <w:rsid w:val="00904482"/>
    <w:rsid w:val="00904980"/>
    <w:rsid w:val="00904ABE"/>
    <w:rsid w:val="00904BC4"/>
    <w:rsid w:val="00904CBA"/>
    <w:rsid w:val="00904D35"/>
    <w:rsid w:val="00904DE3"/>
    <w:rsid w:val="00905102"/>
    <w:rsid w:val="00905159"/>
    <w:rsid w:val="00905222"/>
    <w:rsid w:val="00905670"/>
    <w:rsid w:val="009057A3"/>
    <w:rsid w:val="00905CCA"/>
    <w:rsid w:val="00905D07"/>
    <w:rsid w:val="00905D10"/>
    <w:rsid w:val="00905D6C"/>
    <w:rsid w:val="00905F0A"/>
    <w:rsid w:val="00906673"/>
    <w:rsid w:val="009066A3"/>
    <w:rsid w:val="00906794"/>
    <w:rsid w:val="009067D8"/>
    <w:rsid w:val="0090680B"/>
    <w:rsid w:val="009069BA"/>
    <w:rsid w:val="00906A1C"/>
    <w:rsid w:val="00906D8F"/>
    <w:rsid w:val="00907639"/>
    <w:rsid w:val="009077D0"/>
    <w:rsid w:val="009077E6"/>
    <w:rsid w:val="009077FD"/>
    <w:rsid w:val="009078B3"/>
    <w:rsid w:val="00907B0B"/>
    <w:rsid w:val="00907B13"/>
    <w:rsid w:val="00907BF5"/>
    <w:rsid w:val="00907EBC"/>
    <w:rsid w:val="00907EE2"/>
    <w:rsid w:val="00907FE1"/>
    <w:rsid w:val="009101D6"/>
    <w:rsid w:val="009101DE"/>
    <w:rsid w:val="00910289"/>
    <w:rsid w:val="009102EE"/>
    <w:rsid w:val="00910356"/>
    <w:rsid w:val="009103A1"/>
    <w:rsid w:val="00910592"/>
    <w:rsid w:val="009106B0"/>
    <w:rsid w:val="0091077C"/>
    <w:rsid w:val="0091089F"/>
    <w:rsid w:val="00910C8B"/>
    <w:rsid w:val="009111AF"/>
    <w:rsid w:val="009112FE"/>
    <w:rsid w:val="0091152F"/>
    <w:rsid w:val="00911AE6"/>
    <w:rsid w:val="00911BC0"/>
    <w:rsid w:val="00911EF1"/>
    <w:rsid w:val="00911F59"/>
    <w:rsid w:val="00911FA7"/>
    <w:rsid w:val="00912055"/>
    <w:rsid w:val="0091221C"/>
    <w:rsid w:val="00912302"/>
    <w:rsid w:val="0091244B"/>
    <w:rsid w:val="0091250B"/>
    <w:rsid w:val="009125A7"/>
    <w:rsid w:val="0091297F"/>
    <w:rsid w:val="00912BB6"/>
    <w:rsid w:val="00912C69"/>
    <w:rsid w:val="00912E12"/>
    <w:rsid w:val="00912E97"/>
    <w:rsid w:val="00913201"/>
    <w:rsid w:val="00913284"/>
    <w:rsid w:val="0091335A"/>
    <w:rsid w:val="0091361D"/>
    <w:rsid w:val="00913659"/>
    <w:rsid w:val="0091371D"/>
    <w:rsid w:val="00913848"/>
    <w:rsid w:val="00913979"/>
    <w:rsid w:val="00913B39"/>
    <w:rsid w:val="00913BF1"/>
    <w:rsid w:val="00913C54"/>
    <w:rsid w:val="00913C91"/>
    <w:rsid w:val="00913CA7"/>
    <w:rsid w:val="00913F78"/>
    <w:rsid w:val="009141E0"/>
    <w:rsid w:val="009141F3"/>
    <w:rsid w:val="0091422A"/>
    <w:rsid w:val="00914239"/>
    <w:rsid w:val="009142A5"/>
    <w:rsid w:val="009142B4"/>
    <w:rsid w:val="0091439A"/>
    <w:rsid w:val="009143E4"/>
    <w:rsid w:val="00914442"/>
    <w:rsid w:val="009144EC"/>
    <w:rsid w:val="00914631"/>
    <w:rsid w:val="0091479E"/>
    <w:rsid w:val="009147D7"/>
    <w:rsid w:val="00914806"/>
    <w:rsid w:val="009148F5"/>
    <w:rsid w:val="00914F48"/>
    <w:rsid w:val="009152BF"/>
    <w:rsid w:val="009152DD"/>
    <w:rsid w:val="00915432"/>
    <w:rsid w:val="0091553F"/>
    <w:rsid w:val="0091594F"/>
    <w:rsid w:val="00915D6E"/>
    <w:rsid w:val="0091604E"/>
    <w:rsid w:val="009163B8"/>
    <w:rsid w:val="00916409"/>
    <w:rsid w:val="00916412"/>
    <w:rsid w:val="00916475"/>
    <w:rsid w:val="00916535"/>
    <w:rsid w:val="009168FE"/>
    <w:rsid w:val="00916C87"/>
    <w:rsid w:val="00916D0E"/>
    <w:rsid w:val="00916D1C"/>
    <w:rsid w:val="00916D45"/>
    <w:rsid w:val="00916DA9"/>
    <w:rsid w:val="00916E5E"/>
    <w:rsid w:val="0091731D"/>
    <w:rsid w:val="0091737E"/>
    <w:rsid w:val="00917406"/>
    <w:rsid w:val="0091746C"/>
    <w:rsid w:val="009174C1"/>
    <w:rsid w:val="00917668"/>
    <w:rsid w:val="009178CB"/>
    <w:rsid w:val="00917B74"/>
    <w:rsid w:val="00917CB5"/>
    <w:rsid w:val="00917E97"/>
    <w:rsid w:val="0092010F"/>
    <w:rsid w:val="009204B3"/>
    <w:rsid w:val="009206CA"/>
    <w:rsid w:val="009206D7"/>
    <w:rsid w:val="00920A0A"/>
    <w:rsid w:val="00920D72"/>
    <w:rsid w:val="00920F19"/>
    <w:rsid w:val="009210CC"/>
    <w:rsid w:val="00921112"/>
    <w:rsid w:val="00921303"/>
    <w:rsid w:val="009214CB"/>
    <w:rsid w:val="00921502"/>
    <w:rsid w:val="00921921"/>
    <w:rsid w:val="009219AB"/>
    <w:rsid w:val="00921A27"/>
    <w:rsid w:val="00921EDE"/>
    <w:rsid w:val="009221CD"/>
    <w:rsid w:val="00922574"/>
    <w:rsid w:val="009225A5"/>
    <w:rsid w:val="009225DC"/>
    <w:rsid w:val="00922B20"/>
    <w:rsid w:val="00922D21"/>
    <w:rsid w:val="00922F0B"/>
    <w:rsid w:val="0092311A"/>
    <w:rsid w:val="00923334"/>
    <w:rsid w:val="00923772"/>
    <w:rsid w:val="00923B76"/>
    <w:rsid w:val="00923E46"/>
    <w:rsid w:val="00924027"/>
    <w:rsid w:val="00924128"/>
    <w:rsid w:val="0092466E"/>
    <w:rsid w:val="009246B2"/>
    <w:rsid w:val="009249C8"/>
    <w:rsid w:val="00924D8F"/>
    <w:rsid w:val="00924EB5"/>
    <w:rsid w:val="00924F02"/>
    <w:rsid w:val="00924F65"/>
    <w:rsid w:val="00924FAB"/>
    <w:rsid w:val="0092560B"/>
    <w:rsid w:val="00925664"/>
    <w:rsid w:val="0092580A"/>
    <w:rsid w:val="0092582F"/>
    <w:rsid w:val="00925840"/>
    <w:rsid w:val="00925A39"/>
    <w:rsid w:val="00925EC0"/>
    <w:rsid w:val="00925FC7"/>
    <w:rsid w:val="00926565"/>
    <w:rsid w:val="009266A8"/>
    <w:rsid w:val="009267FA"/>
    <w:rsid w:val="00926945"/>
    <w:rsid w:val="00926A0C"/>
    <w:rsid w:val="00926CFC"/>
    <w:rsid w:val="00926D8B"/>
    <w:rsid w:val="00926FDA"/>
    <w:rsid w:val="00927213"/>
    <w:rsid w:val="009273FA"/>
    <w:rsid w:val="00927802"/>
    <w:rsid w:val="009279BB"/>
    <w:rsid w:val="00927A9C"/>
    <w:rsid w:val="00927D80"/>
    <w:rsid w:val="00927DE8"/>
    <w:rsid w:val="00927E46"/>
    <w:rsid w:val="00927EB6"/>
    <w:rsid w:val="00927F03"/>
    <w:rsid w:val="00927F10"/>
    <w:rsid w:val="00930159"/>
    <w:rsid w:val="009302D2"/>
    <w:rsid w:val="0093043E"/>
    <w:rsid w:val="0093068B"/>
    <w:rsid w:val="00930756"/>
    <w:rsid w:val="009307D0"/>
    <w:rsid w:val="009309B6"/>
    <w:rsid w:val="00930B3E"/>
    <w:rsid w:val="00930C73"/>
    <w:rsid w:val="00930C75"/>
    <w:rsid w:val="00930F13"/>
    <w:rsid w:val="009310C2"/>
    <w:rsid w:val="009315A5"/>
    <w:rsid w:val="009316C6"/>
    <w:rsid w:val="0093186C"/>
    <w:rsid w:val="00931ABB"/>
    <w:rsid w:val="00931AFE"/>
    <w:rsid w:val="00931CD2"/>
    <w:rsid w:val="00931F9A"/>
    <w:rsid w:val="0093211A"/>
    <w:rsid w:val="009321AD"/>
    <w:rsid w:val="0093228D"/>
    <w:rsid w:val="00932531"/>
    <w:rsid w:val="00932568"/>
    <w:rsid w:val="009325F2"/>
    <w:rsid w:val="009326A6"/>
    <w:rsid w:val="00932752"/>
    <w:rsid w:val="00932824"/>
    <w:rsid w:val="00932A3B"/>
    <w:rsid w:val="00932A96"/>
    <w:rsid w:val="00932B5C"/>
    <w:rsid w:val="00933057"/>
    <w:rsid w:val="00933103"/>
    <w:rsid w:val="00933178"/>
    <w:rsid w:val="009331E6"/>
    <w:rsid w:val="00933414"/>
    <w:rsid w:val="009334A0"/>
    <w:rsid w:val="0093360B"/>
    <w:rsid w:val="0093366D"/>
    <w:rsid w:val="009336CC"/>
    <w:rsid w:val="00933723"/>
    <w:rsid w:val="00933825"/>
    <w:rsid w:val="0093384C"/>
    <w:rsid w:val="00933A63"/>
    <w:rsid w:val="00933DBA"/>
    <w:rsid w:val="00933E87"/>
    <w:rsid w:val="00933F12"/>
    <w:rsid w:val="00933F49"/>
    <w:rsid w:val="0093430D"/>
    <w:rsid w:val="00934391"/>
    <w:rsid w:val="00934530"/>
    <w:rsid w:val="00934720"/>
    <w:rsid w:val="00934D2C"/>
    <w:rsid w:val="00934DC9"/>
    <w:rsid w:val="00934F6F"/>
    <w:rsid w:val="00935209"/>
    <w:rsid w:val="009352B7"/>
    <w:rsid w:val="00935422"/>
    <w:rsid w:val="0093548B"/>
    <w:rsid w:val="00935601"/>
    <w:rsid w:val="0093562D"/>
    <w:rsid w:val="00935848"/>
    <w:rsid w:val="00935AF4"/>
    <w:rsid w:val="00935D48"/>
    <w:rsid w:val="00935EA6"/>
    <w:rsid w:val="0093602A"/>
    <w:rsid w:val="00936103"/>
    <w:rsid w:val="0093618E"/>
    <w:rsid w:val="009364FB"/>
    <w:rsid w:val="00936539"/>
    <w:rsid w:val="00936919"/>
    <w:rsid w:val="009369BB"/>
    <w:rsid w:val="00936A92"/>
    <w:rsid w:val="00936AE6"/>
    <w:rsid w:val="00936AFF"/>
    <w:rsid w:val="00936E01"/>
    <w:rsid w:val="00937388"/>
    <w:rsid w:val="009374DE"/>
    <w:rsid w:val="00937700"/>
    <w:rsid w:val="009378A6"/>
    <w:rsid w:val="00937BF9"/>
    <w:rsid w:val="00937C76"/>
    <w:rsid w:val="00937D7F"/>
    <w:rsid w:val="00937E47"/>
    <w:rsid w:val="00937F73"/>
    <w:rsid w:val="009400BF"/>
    <w:rsid w:val="0094010C"/>
    <w:rsid w:val="0094020E"/>
    <w:rsid w:val="00940296"/>
    <w:rsid w:val="00940316"/>
    <w:rsid w:val="00940616"/>
    <w:rsid w:val="0094082C"/>
    <w:rsid w:val="0094090C"/>
    <w:rsid w:val="00940AA8"/>
    <w:rsid w:val="00940BA8"/>
    <w:rsid w:val="00940C72"/>
    <w:rsid w:val="00940EE3"/>
    <w:rsid w:val="009411D5"/>
    <w:rsid w:val="00941281"/>
    <w:rsid w:val="0094133D"/>
    <w:rsid w:val="009414F7"/>
    <w:rsid w:val="00941778"/>
    <w:rsid w:val="00941B23"/>
    <w:rsid w:val="00941CB5"/>
    <w:rsid w:val="00941DC2"/>
    <w:rsid w:val="00941DD9"/>
    <w:rsid w:val="00941E1A"/>
    <w:rsid w:val="00941EE8"/>
    <w:rsid w:val="00941F8F"/>
    <w:rsid w:val="00942014"/>
    <w:rsid w:val="0094203A"/>
    <w:rsid w:val="0094214F"/>
    <w:rsid w:val="00942175"/>
    <w:rsid w:val="00942312"/>
    <w:rsid w:val="009423B8"/>
    <w:rsid w:val="00942408"/>
    <w:rsid w:val="00942494"/>
    <w:rsid w:val="009424A1"/>
    <w:rsid w:val="0094254D"/>
    <w:rsid w:val="00942781"/>
    <w:rsid w:val="00942C97"/>
    <w:rsid w:val="00942D22"/>
    <w:rsid w:val="00942F45"/>
    <w:rsid w:val="00942FB7"/>
    <w:rsid w:val="00943144"/>
    <w:rsid w:val="0094329D"/>
    <w:rsid w:val="00943364"/>
    <w:rsid w:val="00943597"/>
    <w:rsid w:val="0094374A"/>
    <w:rsid w:val="00943949"/>
    <w:rsid w:val="00943C64"/>
    <w:rsid w:val="00943F7A"/>
    <w:rsid w:val="00944117"/>
    <w:rsid w:val="00944214"/>
    <w:rsid w:val="0094426B"/>
    <w:rsid w:val="009442E5"/>
    <w:rsid w:val="00944464"/>
    <w:rsid w:val="0094466B"/>
    <w:rsid w:val="00944A56"/>
    <w:rsid w:val="00944B3A"/>
    <w:rsid w:val="00944C7E"/>
    <w:rsid w:val="00944D72"/>
    <w:rsid w:val="00944DCD"/>
    <w:rsid w:val="00944FD7"/>
    <w:rsid w:val="0094524E"/>
    <w:rsid w:val="009452F8"/>
    <w:rsid w:val="0094554F"/>
    <w:rsid w:val="0094575A"/>
    <w:rsid w:val="009459A2"/>
    <w:rsid w:val="00945AA6"/>
    <w:rsid w:val="009464D2"/>
    <w:rsid w:val="00946795"/>
    <w:rsid w:val="00946926"/>
    <w:rsid w:val="00946938"/>
    <w:rsid w:val="00946B59"/>
    <w:rsid w:val="00946B6F"/>
    <w:rsid w:val="00946C2E"/>
    <w:rsid w:val="00946F3D"/>
    <w:rsid w:val="00947002"/>
    <w:rsid w:val="00947129"/>
    <w:rsid w:val="009475D2"/>
    <w:rsid w:val="009478C5"/>
    <w:rsid w:val="00947B35"/>
    <w:rsid w:val="00947B6C"/>
    <w:rsid w:val="00947BC2"/>
    <w:rsid w:val="00947C00"/>
    <w:rsid w:val="009502E9"/>
    <w:rsid w:val="00950788"/>
    <w:rsid w:val="00950830"/>
    <w:rsid w:val="009508E9"/>
    <w:rsid w:val="00950959"/>
    <w:rsid w:val="00950AA4"/>
    <w:rsid w:val="00950BAD"/>
    <w:rsid w:val="00950E09"/>
    <w:rsid w:val="00950E59"/>
    <w:rsid w:val="00950E65"/>
    <w:rsid w:val="00950F63"/>
    <w:rsid w:val="009511E9"/>
    <w:rsid w:val="00951225"/>
    <w:rsid w:val="00951689"/>
    <w:rsid w:val="009516E4"/>
    <w:rsid w:val="009518CC"/>
    <w:rsid w:val="00951A4D"/>
    <w:rsid w:val="00951BC8"/>
    <w:rsid w:val="00951D74"/>
    <w:rsid w:val="00951EB2"/>
    <w:rsid w:val="00952525"/>
    <w:rsid w:val="009527BF"/>
    <w:rsid w:val="00952995"/>
    <w:rsid w:val="00952B3F"/>
    <w:rsid w:val="00952E14"/>
    <w:rsid w:val="00952F16"/>
    <w:rsid w:val="00952F9B"/>
    <w:rsid w:val="0095300F"/>
    <w:rsid w:val="0095313A"/>
    <w:rsid w:val="00953185"/>
    <w:rsid w:val="009532F2"/>
    <w:rsid w:val="00953317"/>
    <w:rsid w:val="009535C7"/>
    <w:rsid w:val="00953714"/>
    <w:rsid w:val="0095373A"/>
    <w:rsid w:val="009537E9"/>
    <w:rsid w:val="00953B23"/>
    <w:rsid w:val="00953C93"/>
    <w:rsid w:val="00953CFF"/>
    <w:rsid w:val="00953D59"/>
    <w:rsid w:val="00953EE4"/>
    <w:rsid w:val="00953FE8"/>
    <w:rsid w:val="00954066"/>
    <w:rsid w:val="00954541"/>
    <w:rsid w:val="0095467E"/>
    <w:rsid w:val="00954A09"/>
    <w:rsid w:val="00954A36"/>
    <w:rsid w:val="00954B09"/>
    <w:rsid w:val="00954B5F"/>
    <w:rsid w:val="00954BD2"/>
    <w:rsid w:val="00954DEC"/>
    <w:rsid w:val="00954F97"/>
    <w:rsid w:val="009550B7"/>
    <w:rsid w:val="009552F9"/>
    <w:rsid w:val="00955869"/>
    <w:rsid w:val="00955897"/>
    <w:rsid w:val="00955F3F"/>
    <w:rsid w:val="009560F4"/>
    <w:rsid w:val="00956387"/>
    <w:rsid w:val="009564F9"/>
    <w:rsid w:val="009566FB"/>
    <w:rsid w:val="00956759"/>
    <w:rsid w:val="009567FB"/>
    <w:rsid w:val="00956817"/>
    <w:rsid w:val="00956D27"/>
    <w:rsid w:val="00957009"/>
    <w:rsid w:val="00957123"/>
    <w:rsid w:val="009571E7"/>
    <w:rsid w:val="00957285"/>
    <w:rsid w:val="00957323"/>
    <w:rsid w:val="00957384"/>
    <w:rsid w:val="00957459"/>
    <w:rsid w:val="00957465"/>
    <w:rsid w:val="009577DA"/>
    <w:rsid w:val="00957906"/>
    <w:rsid w:val="00957B3A"/>
    <w:rsid w:val="00957ED9"/>
    <w:rsid w:val="00960067"/>
    <w:rsid w:val="00960100"/>
    <w:rsid w:val="009601A1"/>
    <w:rsid w:val="00960438"/>
    <w:rsid w:val="0096048C"/>
    <w:rsid w:val="00960616"/>
    <w:rsid w:val="00960805"/>
    <w:rsid w:val="00960B13"/>
    <w:rsid w:val="00960C0B"/>
    <w:rsid w:val="00960C51"/>
    <w:rsid w:val="00960F2D"/>
    <w:rsid w:val="00961134"/>
    <w:rsid w:val="0096132E"/>
    <w:rsid w:val="00961606"/>
    <w:rsid w:val="00961682"/>
    <w:rsid w:val="009617BF"/>
    <w:rsid w:val="00961A08"/>
    <w:rsid w:val="00961BCD"/>
    <w:rsid w:val="00961D0A"/>
    <w:rsid w:val="00961E6D"/>
    <w:rsid w:val="00962023"/>
    <w:rsid w:val="009620AE"/>
    <w:rsid w:val="0096210C"/>
    <w:rsid w:val="00962338"/>
    <w:rsid w:val="00962483"/>
    <w:rsid w:val="009624BF"/>
    <w:rsid w:val="00962631"/>
    <w:rsid w:val="00962AE1"/>
    <w:rsid w:val="00962C35"/>
    <w:rsid w:val="00962F0A"/>
    <w:rsid w:val="009635C1"/>
    <w:rsid w:val="00963625"/>
    <w:rsid w:val="00963659"/>
    <w:rsid w:val="009637D8"/>
    <w:rsid w:val="00963C55"/>
    <w:rsid w:val="00963CD0"/>
    <w:rsid w:val="00963CDD"/>
    <w:rsid w:val="00964164"/>
    <w:rsid w:val="009641BA"/>
    <w:rsid w:val="00964224"/>
    <w:rsid w:val="00964411"/>
    <w:rsid w:val="0096449A"/>
    <w:rsid w:val="009645BF"/>
    <w:rsid w:val="00964600"/>
    <w:rsid w:val="0096463D"/>
    <w:rsid w:val="0096474E"/>
    <w:rsid w:val="009647C7"/>
    <w:rsid w:val="009648E3"/>
    <w:rsid w:val="0096496B"/>
    <w:rsid w:val="009649AF"/>
    <w:rsid w:val="009649F1"/>
    <w:rsid w:val="00964AA2"/>
    <w:rsid w:val="00964B5E"/>
    <w:rsid w:val="00964E98"/>
    <w:rsid w:val="00964FBB"/>
    <w:rsid w:val="00965343"/>
    <w:rsid w:val="009653A8"/>
    <w:rsid w:val="009656BE"/>
    <w:rsid w:val="00965A00"/>
    <w:rsid w:val="00965B17"/>
    <w:rsid w:val="00965D35"/>
    <w:rsid w:val="00965D9B"/>
    <w:rsid w:val="00965E1A"/>
    <w:rsid w:val="00965FDE"/>
    <w:rsid w:val="009660FE"/>
    <w:rsid w:val="0096615E"/>
    <w:rsid w:val="00966161"/>
    <w:rsid w:val="0096666F"/>
    <w:rsid w:val="00966961"/>
    <w:rsid w:val="00966CDA"/>
    <w:rsid w:val="00966D29"/>
    <w:rsid w:val="00966DC7"/>
    <w:rsid w:val="0096712E"/>
    <w:rsid w:val="0096715C"/>
    <w:rsid w:val="009674BB"/>
    <w:rsid w:val="009675DF"/>
    <w:rsid w:val="0096769D"/>
    <w:rsid w:val="0096797F"/>
    <w:rsid w:val="00967EFE"/>
    <w:rsid w:val="00967FC9"/>
    <w:rsid w:val="009702D9"/>
    <w:rsid w:val="0097044A"/>
    <w:rsid w:val="009705C0"/>
    <w:rsid w:val="009706E0"/>
    <w:rsid w:val="00970A9D"/>
    <w:rsid w:val="00970B11"/>
    <w:rsid w:val="00970B3B"/>
    <w:rsid w:val="00970EF8"/>
    <w:rsid w:val="00971196"/>
    <w:rsid w:val="009713C5"/>
    <w:rsid w:val="0097141C"/>
    <w:rsid w:val="00971AAB"/>
    <w:rsid w:val="00971B5F"/>
    <w:rsid w:val="00971C31"/>
    <w:rsid w:val="00971D5F"/>
    <w:rsid w:val="00971E41"/>
    <w:rsid w:val="00972069"/>
    <w:rsid w:val="0097216C"/>
    <w:rsid w:val="0097222D"/>
    <w:rsid w:val="0097259B"/>
    <w:rsid w:val="009728BA"/>
    <w:rsid w:val="009728DF"/>
    <w:rsid w:val="00972987"/>
    <w:rsid w:val="00972B2E"/>
    <w:rsid w:val="00972BFA"/>
    <w:rsid w:val="00972EC0"/>
    <w:rsid w:val="00972EC6"/>
    <w:rsid w:val="00972F30"/>
    <w:rsid w:val="00972F88"/>
    <w:rsid w:val="00972FC8"/>
    <w:rsid w:val="00973037"/>
    <w:rsid w:val="00973096"/>
    <w:rsid w:val="00973329"/>
    <w:rsid w:val="00973349"/>
    <w:rsid w:val="0097338B"/>
    <w:rsid w:val="00973711"/>
    <w:rsid w:val="00973750"/>
    <w:rsid w:val="00973BB0"/>
    <w:rsid w:val="00973CB9"/>
    <w:rsid w:val="00973D8F"/>
    <w:rsid w:val="0097402B"/>
    <w:rsid w:val="00974124"/>
    <w:rsid w:val="0097449F"/>
    <w:rsid w:val="009744EC"/>
    <w:rsid w:val="00974681"/>
    <w:rsid w:val="00974B30"/>
    <w:rsid w:val="00974BD0"/>
    <w:rsid w:val="00974BDB"/>
    <w:rsid w:val="00974C25"/>
    <w:rsid w:val="00974F38"/>
    <w:rsid w:val="0097503D"/>
    <w:rsid w:val="0097524D"/>
    <w:rsid w:val="00975448"/>
    <w:rsid w:val="0097554E"/>
    <w:rsid w:val="00975583"/>
    <w:rsid w:val="009755C6"/>
    <w:rsid w:val="00975697"/>
    <w:rsid w:val="00975756"/>
    <w:rsid w:val="00975A22"/>
    <w:rsid w:val="00975E81"/>
    <w:rsid w:val="0097602E"/>
    <w:rsid w:val="00976084"/>
    <w:rsid w:val="009760F1"/>
    <w:rsid w:val="009769E2"/>
    <w:rsid w:val="00976AA0"/>
    <w:rsid w:val="00976C24"/>
    <w:rsid w:val="0097729F"/>
    <w:rsid w:val="009773B5"/>
    <w:rsid w:val="009774EF"/>
    <w:rsid w:val="0097768F"/>
    <w:rsid w:val="0097773C"/>
    <w:rsid w:val="0097781A"/>
    <w:rsid w:val="00977843"/>
    <w:rsid w:val="00977B5F"/>
    <w:rsid w:val="00977CAA"/>
    <w:rsid w:val="00977D08"/>
    <w:rsid w:val="00977DFF"/>
    <w:rsid w:val="00977F2A"/>
    <w:rsid w:val="00977F9C"/>
    <w:rsid w:val="00980072"/>
    <w:rsid w:val="009801C4"/>
    <w:rsid w:val="00980226"/>
    <w:rsid w:val="009802CA"/>
    <w:rsid w:val="00980339"/>
    <w:rsid w:val="0098056D"/>
    <w:rsid w:val="00980689"/>
    <w:rsid w:val="0098077D"/>
    <w:rsid w:val="009809FE"/>
    <w:rsid w:val="00980DB7"/>
    <w:rsid w:val="00980E64"/>
    <w:rsid w:val="00980FA8"/>
    <w:rsid w:val="00981112"/>
    <w:rsid w:val="00981291"/>
    <w:rsid w:val="009812AB"/>
    <w:rsid w:val="00981394"/>
    <w:rsid w:val="009813F4"/>
    <w:rsid w:val="00981486"/>
    <w:rsid w:val="009815FE"/>
    <w:rsid w:val="009816A0"/>
    <w:rsid w:val="009816BB"/>
    <w:rsid w:val="00981748"/>
    <w:rsid w:val="00981993"/>
    <w:rsid w:val="00981B9E"/>
    <w:rsid w:val="00981BA8"/>
    <w:rsid w:val="00981C44"/>
    <w:rsid w:val="00981CA9"/>
    <w:rsid w:val="00981D5B"/>
    <w:rsid w:val="00981D89"/>
    <w:rsid w:val="00981E85"/>
    <w:rsid w:val="009821C6"/>
    <w:rsid w:val="0098225E"/>
    <w:rsid w:val="009822E8"/>
    <w:rsid w:val="00982535"/>
    <w:rsid w:val="0098263A"/>
    <w:rsid w:val="00982683"/>
    <w:rsid w:val="00982A98"/>
    <w:rsid w:val="00982D17"/>
    <w:rsid w:val="00982EAB"/>
    <w:rsid w:val="00982EDB"/>
    <w:rsid w:val="009831D5"/>
    <w:rsid w:val="009833D5"/>
    <w:rsid w:val="009833F4"/>
    <w:rsid w:val="009834F9"/>
    <w:rsid w:val="00983501"/>
    <w:rsid w:val="00983539"/>
    <w:rsid w:val="00983566"/>
    <w:rsid w:val="009836D3"/>
    <w:rsid w:val="00983866"/>
    <w:rsid w:val="009838DB"/>
    <w:rsid w:val="009839FA"/>
    <w:rsid w:val="00983B64"/>
    <w:rsid w:val="00983C0A"/>
    <w:rsid w:val="00983C14"/>
    <w:rsid w:val="00983D03"/>
    <w:rsid w:val="00983D9C"/>
    <w:rsid w:val="00983F48"/>
    <w:rsid w:val="00983F5A"/>
    <w:rsid w:val="0098408B"/>
    <w:rsid w:val="009840D8"/>
    <w:rsid w:val="00984178"/>
    <w:rsid w:val="00984206"/>
    <w:rsid w:val="00984679"/>
    <w:rsid w:val="009846BB"/>
    <w:rsid w:val="009846E8"/>
    <w:rsid w:val="009847CA"/>
    <w:rsid w:val="00984965"/>
    <w:rsid w:val="00984981"/>
    <w:rsid w:val="00984A0D"/>
    <w:rsid w:val="00984B4D"/>
    <w:rsid w:val="009850AF"/>
    <w:rsid w:val="00985247"/>
    <w:rsid w:val="009854BD"/>
    <w:rsid w:val="00985571"/>
    <w:rsid w:val="00985648"/>
    <w:rsid w:val="009857E3"/>
    <w:rsid w:val="0098588F"/>
    <w:rsid w:val="00985C85"/>
    <w:rsid w:val="00985D98"/>
    <w:rsid w:val="00985DBD"/>
    <w:rsid w:val="00985DEA"/>
    <w:rsid w:val="00985E14"/>
    <w:rsid w:val="00985E1F"/>
    <w:rsid w:val="00986089"/>
    <w:rsid w:val="00986124"/>
    <w:rsid w:val="009861C1"/>
    <w:rsid w:val="00986276"/>
    <w:rsid w:val="00986336"/>
    <w:rsid w:val="0098634B"/>
    <w:rsid w:val="0098639D"/>
    <w:rsid w:val="0098644B"/>
    <w:rsid w:val="00986538"/>
    <w:rsid w:val="009867DE"/>
    <w:rsid w:val="00986976"/>
    <w:rsid w:val="00986A57"/>
    <w:rsid w:val="00986A74"/>
    <w:rsid w:val="00986CF6"/>
    <w:rsid w:val="00986D5C"/>
    <w:rsid w:val="0098701A"/>
    <w:rsid w:val="0098719A"/>
    <w:rsid w:val="00987252"/>
    <w:rsid w:val="009872C4"/>
    <w:rsid w:val="009873A6"/>
    <w:rsid w:val="009874B8"/>
    <w:rsid w:val="0098785D"/>
    <w:rsid w:val="00987A30"/>
    <w:rsid w:val="00987D41"/>
    <w:rsid w:val="00987F02"/>
    <w:rsid w:val="009900F2"/>
    <w:rsid w:val="00990303"/>
    <w:rsid w:val="00990769"/>
    <w:rsid w:val="009908C7"/>
    <w:rsid w:val="00990C01"/>
    <w:rsid w:val="00990D8F"/>
    <w:rsid w:val="00990E11"/>
    <w:rsid w:val="00990E52"/>
    <w:rsid w:val="00990E66"/>
    <w:rsid w:val="00991122"/>
    <w:rsid w:val="009912DE"/>
    <w:rsid w:val="009914C2"/>
    <w:rsid w:val="009915B5"/>
    <w:rsid w:val="0099176D"/>
    <w:rsid w:val="009918E2"/>
    <w:rsid w:val="00991BDE"/>
    <w:rsid w:val="00991C26"/>
    <w:rsid w:val="00991C72"/>
    <w:rsid w:val="00991E3F"/>
    <w:rsid w:val="00991F63"/>
    <w:rsid w:val="00991FA4"/>
    <w:rsid w:val="00992085"/>
    <w:rsid w:val="0099214E"/>
    <w:rsid w:val="00992225"/>
    <w:rsid w:val="00992319"/>
    <w:rsid w:val="00992522"/>
    <w:rsid w:val="0099254B"/>
    <w:rsid w:val="009927A0"/>
    <w:rsid w:val="009928DE"/>
    <w:rsid w:val="00992C76"/>
    <w:rsid w:val="00992DBE"/>
    <w:rsid w:val="00992F9D"/>
    <w:rsid w:val="00992FCC"/>
    <w:rsid w:val="00992FEA"/>
    <w:rsid w:val="0099326B"/>
    <w:rsid w:val="009935DF"/>
    <w:rsid w:val="009936C2"/>
    <w:rsid w:val="009937B3"/>
    <w:rsid w:val="00993832"/>
    <w:rsid w:val="00993A5C"/>
    <w:rsid w:val="00993C4D"/>
    <w:rsid w:val="00993DB6"/>
    <w:rsid w:val="00993E44"/>
    <w:rsid w:val="00993F3E"/>
    <w:rsid w:val="0099405F"/>
    <w:rsid w:val="0099415E"/>
    <w:rsid w:val="009941BC"/>
    <w:rsid w:val="0099441C"/>
    <w:rsid w:val="00994550"/>
    <w:rsid w:val="0099459E"/>
    <w:rsid w:val="00994727"/>
    <w:rsid w:val="009948E7"/>
    <w:rsid w:val="0099498C"/>
    <w:rsid w:val="00994A62"/>
    <w:rsid w:val="00994C2D"/>
    <w:rsid w:val="00994DCA"/>
    <w:rsid w:val="0099505E"/>
    <w:rsid w:val="00995172"/>
    <w:rsid w:val="00995211"/>
    <w:rsid w:val="0099559C"/>
    <w:rsid w:val="009956B3"/>
    <w:rsid w:val="0099594E"/>
    <w:rsid w:val="00995A76"/>
    <w:rsid w:val="00995D59"/>
    <w:rsid w:val="00995D5E"/>
    <w:rsid w:val="00995EB9"/>
    <w:rsid w:val="0099663A"/>
    <w:rsid w:val="009966AA"/>
    <w:rsid w:val="0099675A"/>
    <w:rsid w:val="009967A1"/>
    <w:rsid w:val="009968B3"/>
    <w:rsid w:val="009968F3"/>
    <w:rsid w:val="00996B5F"/>
    <w:rsid w:val="00996C30"/>
    <w:rsid w:val="00996C44"/>
    <w:rsid w:val="00996C6F"/>
    <w:rsid w:val="00996CB4"/>
    <w:rsid w:val="00996DF5"/>
    <w:rsid w:val="00996E45"/>
    <w:rsid w:val="00996F19"/>
    <w:rsid w:val="00996F93"/>
    <w:rsid w:val="00997224"/>
    <w:rsid w:val="0099743B"/>
    <w:rsid w:val="00997532"/>
    <w:rsid w:val="0099758D"/>
    <w:rsid w:val="009976C9"/>
    <w:rsid w:val="009976FC"/>
    <w:rsid w:val="00997B0E"/>
    <w:rsid w:val="00997D81"/>
    <w:rsid w:val="00997FF8"/>
    <w:rsid w:val="009A05E6"/>
    <w:rsid w:val="009A08F8"/>
    <w:rsid w:val="009A111D"/>
    <w:rsid w:val="009A117A"/>
    <w:rsid w:val="009A1293"/>
    <w:rsid w:val="009A1907"/>
    <w:rsid w:val="009A19F7"/>
    <w:rsid w:val="009A1A07"/>
    <w:rsid w:val="009A1AD4"/>
    <w:rsid w:val="009A1AF3"/>
    <w:rsid w:val="009A1B0F"/>
    <w:rsid w:val="009A1C3E"/>
    <w:rsid w:val="009A2006"/>
    <w:rsid w:val="009A2117"/>
    <w:rsid w:val="009A2253"/>
    <w:rsid w:val="009A24CB"/>
    <w:rsid w:val="009A24F0"/>
    <w:rsid w:val="009A28E5"/>
    <w:rsid w:val="009A2A8C"/>
    <w:rsid w:val="009A2D52"/>
    <w:rsid w:val="009A2FF2"/>
    <w:rsid w:val="009A3368"/>
    <w:rsid w:val="009A33F0"/>
    <w:rsid w:val="009A3492"/>
    <w:rsid w:val="009A35F6"/>
    <w:rsid w:val="009A3704"/>
    <w:rsid w:val="009A3827"/>
    <w:rsid w:val="009A3A94"/>
    <w:rsid w:val="009A40ED"/>
    <w:rsid w:val="009A4119"/>
    <w:rsid w:val="009A42CC"/>
    <w:rsid w:val="009A4562"/>
    <w:rsid w:val="009A48FD"/>
    <w:rsid w:val="009A4AB0"/>
    <w:rsid w:val="009A4C4C"/>
    <w:rsid w:val="009A4F79"/>
    <w:rsid w:val="009A5042"/>
    <w:rsid w:val="009A5064"/>
    <w:rsid w:val="009A5225"/>
    <w:rsid w:val="009A52D3"/>
    <w:rsid w:val="009A538D"/>
    <w:rsid w:val="009A5729"/>
    <w:rsid w:val="009A5961"/>
    <w:rsid w:val="009A5A5B"/>
    <w:rsid w:val="009A5AAC"/>
    <w:rsid w:val="009A5E5C"/>
    <w:rsid w:val="009A5F66"/>
    <w:rsid w:val="009A6306"/>
    <w:rsid w:val="009A6701"/>
    <w:rsid w:val="009A6A6A"/>
    <w:rsid w:val="009A722D"/>
    <w:rsid w:val="009A7761"/>
    <w:rsid w:val="009A7790"/>
    <w:rsid w:val="009A77A1"/>
    <w:rsid w:val="009A7849"/>
    <w:rsid w:val="009A7880"/>
    <w:rsid w:val="009A7A1D"/>
    <w:rsid w:val="009A7AFC"/>
    <w:rsid w:val="009A7D21"/>
    <w:rsid w:val="009A7D3C"/>
    <w:rsid w:val="009B014F"/>
    <w:rsid w:val="009B0268"/>
    <w:rsid w:val="009B02BD"/>
    <w:rsid w:val="009B02E3"/>
    <w:rsid w:val="009B0482"/>
    <w:rsid w:val="009B0560"/>
    <w:rsid w:val="009B0584"/>
    <w:rsid w:val="009B05D9"/>
    <w:rsid w:val="009B0755"/>
    <w:rsid w:val="009B089B"/>
    <w:rsid w:val="009B0C67"/>
    <w:rsid w:val="009B103C"/>
    <w:rsid w:val="009B1192"/>
    <w:rsid w:val="009B131B"/>
    <w:rsid w:val="009B1371"/>
    <w:rsid w:val="009B15BB"/>
    <w:rsid w:val="009B16CF"/>
    <w:rsid w:val="009B19B9"/>
    <w:rsid w:val="009B1A43"/>
    <w:rsid w:val="009B1C30"/>
    <w:rsid w:val="009B210F"/>
    <w:rsid w:val="009B2128"/>
    <w:rsid w:val="009B21B5"/>
    <w:rsid w:val="009B236E"/>
    <w:rsid w:val="009B2505"/>
    <w:rsid w:val="009B26DE"/>
    <w:rsid w:val="009B2830"/>
    <w:rsid w:val="009B2BBA"/>
    <w:rsid w:val="009B2D69"/>
    <w:rsid w:val="009B2E59"/>
    <w:rsid w:val="009B2E5E"/>
    <w:rsid w:val="009B302D"/>
    <w:rsid w:val="009B34C3"/>
    <w:rsid w:val="009B356F"/>
    <w:rsid w:val="009B38AD"/>
    <w:rsid w:val="009B38FE"/>
    <w:rsid w:val="009B394E"/>
    <w:rsid w:val="009B3B0C"/>
    <w:rsid w:val="009B3D56"/>
    <w:rsid w:val="009B411E"/>
    <w:rsid w:val="009B422E"/>
    <w:rsid w:val="009B4377"/>
    <w:rsid w:val="009B4613"/>
    <w:rsid w:val="009B46BD"/>
    <w:rsid w:val="009B47A5"/>
    <w:rsid w:val="009B4A0A"/>
    <w:rsid w:val="009B4B04"/>
    <w:rsid w:val="009B4F4F"/>
    <w:rsid w:val="009B52D2"/>
    <w:rsid w:val="009B52DA"/>
    <w:rsid w:val="009B557E"/>
    <w:rsid w:val="009B55D1"/>
    <w:rsid w:val="009B565F"/>
    <w:rsid w:val="009B5679"/>
    <w:rsid w:val="009B5692"/>
    <w:rsid w:val="009B56D1"/>
    <w:rsid w:val="009B56DC"/>
    <w:rsid w:val="009B5919"/>
    <w:rsid w:val="009B5AE5"/>
    <w:rsid w:val="009B5AED"/>
    <w:rsid w:val="009B5CC4"/>
    <w:rsid w:val="009B5D77"/>
    <w:rsid w:val="009B5F43"/>
    <w:rsid w:val="009B601A"/>
    <w:rsid w:val="009B60CE"/>
    <w:rsid w:val="009B6105"/>
    <w:rsid w:val="009B6185"/>
    <w:rsid w:val="009B61FD"/>
    <w:rsid w:val="009B6472"/>
    <w:rsid w:val="009B6838"/>
    <w:rsid w:val="009B6D94"/>
    <w:rsid w:val="009B6E32"/>
    <w:rsid w:val="009B6EA3"/>
    <w:rsid w:val="009B6EC8"/>
    <w:rsid w:val="009B6FD1"/>
    <w:rsid w:val="009B734D"/>
    <w:rsid w:val="009B740D"/>
    <w:rsid w:val="009B77A2"/>
    <w:rsid w:val="009B78FC"/>
    <w:rsid w:val="009B7A03"/>
    <w:rsid w:val="009B7A22"/>
    <w:rsid w:val="009B7AB2"/>
    <w:rsid w:val="009B7B83"/>
    <w:rsid w:val="009B7B91"/>
    <w:rsid w:val="009B7C01"/>
    <w:rsid w:val="009B7DFC"/>
    <w:rsid w:val="009B7E25"/>
    <w:rsid w:val="009B7FBA"/>
    <w:rsid w:val="009C0017"/>
    <w:rsid w:val="009C025A"/>
    <w:rsid w:val="009C03F2"/>
    <w:rsid w:val="009C056F"/>
    <w:rsid w:val="009C088C"/>
    <w:rsid w:val="009C0AA7"/>
    <w:rsid w:val="009C0AE9"/>
    <w:rsid w:val="009C0BA2"/>
    <w:rsid w:val="009C0CB4"/>
    <w:rsid w:val="009C0D3B"/>
    <w:rsid w:val="009C0D8D"/>
    <w:rsid w:val="009C0FAD"/>
    <w:rsid w:val="009C0FCD"/>
    <w:rsid w:val="009C1123"/>
    <w:rsid w:val="009C13AF"/>
    <w:rsid w:val="009C177B"/>
    <w:rsid w:val="009C1783"/>
    <w:rsid w:val="009C1A4B"/>
    <w:rsid w:val="009C1BA8"/>
    <w:rsid w:val="009C1CBD"/>
    <w:rsid w:val="009C1EEF"/>
    <w:rsid w:val="009C22E0"/>
    <w:rsid w:val="009C2863"/>
    <w:rsid w:val="009C2C75"/>
    <w:rsid w:val="009C2CF0"/>
    <w:rsid w:val="009C2D43"/>
    <w:rsid w:val="009C2EB8"/>
    <w:rsid w:val="009C2EBC"/>
    <w:rsid w:val="009C2FDD"/>
    <w:rsid w:val="009C3135"/>
    <w:rsid w:val="009C3145"/>
    <w:rsid w:val="009C3155"/>
    <w:rsid w:val="009C3198"/>
    <w:rsid w:val="009C3364"/>
    <w:rsid w:val="009C37BB"/>
    <w:rsid w:val="009C39DB"/>
    <w:rsid w:val="009C39F7"/>
    <w:rsid w:val="009C3AB3"/>
    <w:rsid w:val="009C3AE7"/>
    <w:rsid w:val="009C425C"/>
    <w:rsid w:val="009C4424"/>
    <w:rsid w:val="009C4475"/>
    <w:rsid w:val="009C49E3"/>
    <w:rsid w:val="009C4BA3"/>
    <w:rsid w:val="009C5168"/>
    <w:rsid w:val="009C5217"/>
    <w:rsid w:val="009C5277"/>
    <w:rsid w:val="009C5335"/>
    <w:rsid w:val="009C5533"/>
    <w:rsid w:val="009C5539"/>
    <w:rsid w:val="009C557F"/>
    <w:rsid w:val="009C56BF"/>
    <w:rsid w:val="009C5773"/>
    <w:rsid w:val="009C5779"/>
    <w:rsid w:val="009C5950"/>
    <w:rsid w:val="009C5953"/>
    <w:rsid w:val="009C59BF"/>
    <w:rsid w:val="009C59CE"/>
    <w:rsid w:val="009C5C91"/>
    <w:rsid w:val="009C5CF2"/>
    <w:rsid w:val="009C5D71"/>
    <w:rsid w:val="009C5F5E"/>
    <w:rsid w:val="009C6197"/>
    <w:rsid w:val="009C63D2"/>
    <w:rsid w:val="009C63ED"/>
    <w:rsid w:val="009C648F"/>
    <w:rsid w:val="009C64C3"/>
    <w:rsid w:val="009C6D9E"/>
    <w:rsid w:val="009C6F12"/>
    <w:rsid w:val="009C6FB8"/>
    <w:rsid w:val="009C705B"/>
    <w:rsid w:val="009C7186"/>
    <w:rsid w:val="009C71DA"/>
    <w:rsid w:val="009C7477"/>
    <w:rsid w:val="009C750A"/>
    <w:rsid w:val="009C76FB"/>
    <w:rsid w:val="009C775C"/>
    <w:rsid w:val="009C78DB"/>
    <w:rsid w:val="009C78EA"/>
    <w:rsid w:val="009C7BB3"/>
    <w:rsid w:val="009C7D44"/>
    <w:rsid w:val="009C7DC6"/>
    <w:rsid w:val="009C7F82"/>
    <w:rsid w:val="009D031E"/>
    <w:rsid w:val="009D0519"/>
    <w:rsid w:val="009D06AA"/>
    <w:rsid w:val="009D06FB"/>
    <w:rsid w:val="009D07CA"/>
    <w:rsid w:val="009D08F1"/>
    <w:rsid w:val="009D0D5F"/>
    <w:rsid w:val="009D18B4"/>
    <w:rsid w:val="009D1931"/>
    <w:rsid w:val="009D1A71"/>
    <w:rsid w:val="009D1B1C"/>
    <w:rsid w:val="009D1C82"/>
    <w:rsid w:val="009D1C83"/>
    <w:rsid w:val="009D1D34"/>
    <w:rsid w:val="009D1DC8"/>
    <w:rsid w:val="009D1E61"/>
    <w:rsid w:val="009D1FB8"/>
    <w:rsid w:val="009D1FCA"/>
    <w:rsid w:val="009D2023"/>
    <w:rsid w:val="009D2047"/>
    <w:rsid w:val="009D205D"/>
    <w:rsid w:val="009D22CA"/>
    <w:rsid w:val="009D2524"/>
    <w:rsid w:val="009D268E"/>
    <w:rsid w:val="009D2BB2"/>
    <w:rsid w:val="009D2CB9"/>
    <w:rsid w:val="009D2D07"/>
    <w:rsid w:val="009D2F48"/>
    <w:rsid w:val="009D3108"/>
    <w:rsid w:val="009D3284"/>
    <w:rsid w:val="009D3365"/>
    <w:rsid w:val="009D34A3"/>
    <w:rsid w:val="009D3569"/>
    <w:rsid w:val="009D365B"/>
    <w:rsid w:val="009D36C6"/>
    <w:rsid w:val="009D39F9"/>
    <w:rsid w:val="009D3EF1"/>
    <w:rsid w:val="009D3F65"/>
    <w:rsid w:val="009D401A"/>
    <w:rsid w:val="009D401B"/>
    <w:rsid w:val="009D4309"/>
    <w:rsid w:val="009D44D7"/>
    <w:rsid w:val="009D44E9"/>
    <w:rsid w:val="009D4902"/>
    <w:rsid w:val="009D497C"/>
    <w:rsid w:val="009D49A8"/>
    <w:rsid w:val="009D4C82"/>
    <w:rsid w:val="009D4E75"/>
    <w:rsid w:val="009D4F85"/>
    <w:rsid w:val="009D525E"/>
    <w:rsid w:val="009D528D"/>
    <w:rsid w:val="009D55D6"/>
    <w:rsid w:val="009D57CD"/>
    <w:rsid w:val="009D5885"/>
    <w:rsid w:val="009D593F"/>
    <w:rsid w:val="009D5A00"/>
    <w:rsid w:val="009D5AA2"/>
    <w:rsid w:val="009D5C2E"/>
    <w:rsid w:val="009D616B"/>
    <w:rsid w:val="009D622E"/>
    <w:rsid w:val="009D62A0"/>
    <w:rsid w:val="009D6440"/>
    <w:rsid w:val="009D654C"/>
    <w:rsid w:val="009D65B0"/>
    <w:rsid w:val="009D662B"/>
    <w:rsid w:val="009D668B"/>
    <w:rsid w:val="009D6762"/>
    <w:rsid w:val="009D682E"/>
    <w:rsid w:val="009D6890"/>
    <w:rsid w:val="009D68A6"/>
    <w:rsid w:val="009D68CF"/>
    <w:rsid w:val="009D6F50"/>
    <w:rsid w:val="009D6F5D"/>
    <w:rsid w:val="009D702E"/>
    <w:rsid w:val="009D71CD"/>
    <w:rsid w:val="009D7200"/>
    <w:rsid w:val="009D72EB"/>
    <w:rsid w:val="009D73E4"/>
    <w:rsid w:val="009D75A9"/>
    <w:rsid w:val="009D75AE"/>
    <w:rsid w:val="009D7690"/>
    <w:rsid w:val="009D77EE"/>
    <w:rsid w:val="009D77F5"/>
    <w:rsid w:val="009D79D1"/>
    <w:rsid w:val="009D7BEA"/>
    <w:rsid w:val="009D7C3F"/>
    <w:rsid w:val="009D7D65"/>
    <w:rsid w:val="009D7F59"/>
    <w:rsid w:val="009E0090"/>
    <w:rsid w:val="009E0494"/>
    <w:rsid w:val="009E06C3"/>
    <w:rsid w:val="009E0717"/>
    <w:rsid w:val="009E0754"/>
    <w:rsid w:val="009E09FB"/>
    <w:rsid w:val="009E0BAC"/>
    <w:rsid w:val="009E0F67"/>
    <w:rsid w:val="009E1061"/>
    <w:rsid w:val="009E1675"/>
    <w:rsid w:val="009E1A2C"/>
    <w:rsid w:val="009E1C20"/>
    <w:rsid w:val="009E1C86"/>
    <w:rsid w:val="009E1D77"/>
    <w:rsid w:val="009E2054"/>
    <w:rsid w:val="009E2513"/>
    <w:rsid w:val="009E25FD"/>
    <w:rsid w:val="009E2768"/>
    <w:rsid w:val="009E2918"/>
    <w:rsid w:val="009E2A66"/>
    <w:rsid w:val="009E2ABF"/>
    <w:rsid w:val="009E2BA4"/>
    <w:rsid w:val="009E2BEA"/>
    <w:rsid w:val="009E2C06"/>
    <w:rsid w:val="009E2DDC"/>
    <w:rsid w:val="009E2E6E"/>
    <w:rsid w:val="009E2EF6"/>
    <w:rsid w:val="009E36E9"/>
    <w:rsid w:val="009E3732"/>
    <w:rsid w:val="009E38EE"/>
    <w:rsid w:val="009E392F"/>
    <w:rsid w:val="009E3A49"/>
    <w:rsid w:val="009E3E96"/>
    <w:rsid w:val="009E4162"/>
    <w:rsid w:val="009E422C"/>
    <w:rsid w:val="009E43B6"/>
    <w:rsid w:val="009E4527"/>
    <w:rsid w:val="009E45F4"/>
    <w:rsid w:val="009E460E"/>
    <w:rsid w:val="009E467C"/>
    <w:rsid w:val="009E4721"/>
    <w:rsid w:val="009E4885"/>
    <w:rsid w:val="009E4C5A"/>
    <w:rsid w:val="009E4D23"/>
    <w:rsid w:val="009E4DA3"/>
    <w:rsid w:val="009E4EFF"/>
    <w:rsid w:val="009E5019"/>
    <w:rsid w:val="009E5486"/>
    <w:rsid w:val="009E57DC"/>
    <w:rsid w:val="009E585B"/>
    <w:rsid w:val="009E5BED"/>
    <w:rsid w:val="009E5D09"/>
    <w:rsid w:val="009E5D77"/>
    <w:rsid w:val="009E5E6E"/>
    <w:rsid w:val="009E5E95"/>
    <w:rsid w:val="009E622E"/>
    <w:rsid w:val="009E627D"/>
    <w:rsid w:val="009E630A"/>
    <w:rsid w:val="009E631D"/>
    <w:rsid w:val="009E644E"/>
    <w:rsid w:val="009E661B"/>
    <w:rsid w:val="009E6658"/>
    <w:rsid w:val="009E6930"/>
    <w:rsid w:val="009E6ACC"/>
    <w:rsid w:val="009E6ADB"/>
    <w:rsid w:val="009E6B60"/>
    <w:rsid w:val="009E6BC6"/>
    <w:rsid w:val="009E6C84"/>
    <w:rsid w:val="009E6CEE"/>
    <w:rsid w:val="009E6E1D"/>
    <w:rsid w:val="009E6E77"/>
    <w:rsid w:val="009E7226"/>
    <w:rsid w:val="009E72A0"/>
    <w:rsid w:val="009E74EE"/>
    <w:rsid w:val="009E751A"/>
    <w:rsid w:val="009E794E"/>
    <w:rsid w:val="009E79D2"/>
    <w:rsid w:val="009E7A6D"/>
    <w:rsid w:val="009E7A81"/>
    <w:rsid w:val="009E7BEC"/>
    <w:rsid w:val="009E7C1A"/>
    <w:rsid w:val="009E7E0F"/>
    <w:rsid w:val="009F0009"/>
    <w:rsid w:val="009F0106"/>
    <w:rsid w:val="009F0121"/>
    <w:rsid w:val="009F035D"/>
    <w:rsid w:val="009F0415"/>
    <w:rsid w:val="009F05E8"/>
    <w:rsid w:val="009F07D9"/>
    <w:rsid w:val="009F0AF6"/>
    <w:rsid w:val="009F0B42"/>
    <w:rsid w:val="009F0FAA"/>
    <w:rsid w:val="009F1015"/>
    <w:rsid w:val="009F1064"/>
    <w:rsid w:val="009F118D"/>
    <w:rsid w:val="009F11B1"/>
    <w:rsid w:val="009F1385"/>
    <w:rsid w:val="009F2024"/>
    <w:rsid w:val="009F22D1"/>
    <w:rsid w:val="009F24C3"/>
    <w:rsid w:val="009F262F"/>
    <w:rsid w:val="009F264B"/>
    <w:rsid w:val="009F2765"/>
    <w:rsid w:val="009F2881"/>
    <w:rsid w:val="009F2AC0"/>
    <w:rsid w:val="009F2EA3"/>
    <w:rsid w:val="009F309F"/>
    <w:rsid w:val="009F30A4"/>
    <w:rsid w:val="009F30E1"/>
    <w:rsid w:val="009F3212"/>
    <w:rsid w:val="009F3409"/>
    <w:rsid w:val="009F3569"/>
    <w:rsid w:val="009F36F7"/>
    <w:rsid w:val="009F3752"/>
    <w:rsid w:val="009F3AF1"/>
    <w:rsid w:val="009F3C42"/>
    <w:rsid w:val="009F3F54"/>
    <w:rsid w:val="009F3F6C"/>
    <w:rsid w:val="009F406F"/>
    <w:rsid w:val="009F40FD"/>
    <w:rsid w:val="009F410B"/>
    <w:rsid w:val="009F4444"/>
    <w:rsid w:val="009F444D"/>
    <w:rsid w:val="009F4548"/>
    <w:rsid w:val="009F47C3"/>
    <w:rsid w:val="009F50FB"/>
    <w:rsid w:val="009F5280"/>
    <w:rsid w:val="009F5473"/>
    <w:rsid w:val="009F5C0B"/>
    <w:rsid w:val="009F5CFF"/>
    <w:rsid w:val="009F5D9A"/>
    <w:rsid w:val="009F5E63"/>
    <w:rsid w:val="009F5F65"/>
    <w:rsid w:val="009F5FC0"/>
    <w:rsid w:val="009F5FD1"/>
    <w:rsid w:val="009F63CD"/>
    <w:rsid w:val="009F63E3"/>
    <w:rsid w:val="009F6473"/>
    <w:rsid w:val="009F65C0"/>
    <w:rsid w:val="009F6853"/>
    <w:rsid w:val="009F69BE"/>
    <w:rsid w:val="009F6E1E"/>
    <w:rsid w:val="009F6EA9"/>
    <w:rsid w:val="009F6F0D"/>
    <w:rsid w:val="009F70F2"/>
    <w:rsid w:val="009F7186"/>
    <w:rsid w:val="009F762A"/>
    <w:rsid w:val="009F7CA7"/>
    <w:rsid w:val="009F7CFC"/>
    <w:rsid w:val="009F7D1D"/>
    <w:rsid w:val="009F7D8B"/>
    <w:rsid w:val="009F7F35"/>
    <w:rsid w:val="00A00146"/>
    <w:rsid w:val="00A003FC"/>
    <w:rsid w:val="00A0042E"/>
    <w:rsid w:val="00A005CE"/>
    <w:rsid w:val="00A00609"/>
    <w:rsid w:val="00A0062B"/>
    <w:rsid w:val="00A00B44"/>
    <w:rsid w:val="00A01051"/>
    <w:rsid w:val="00A01741"/>
    <w:rsid w:val="00A01924"/>
    <w:rsid w:val="00A019F4"/>
    <w:rsid w:val="00A01A5E"/>
    <w:rsid w:val="00A01A94"/>
    <w:rsid w:val="00A01B23"/>
    <w:rsid w:val="00A01DDC"/>
    <w:rsid w:val="00A021F2"/>
    <w:rsid w:val="00A023BC"/>
    <w:rsid w:val="00A024F4"/>
    <w:rsid w:val="00A02531"/>
    <w:rsid w:val="00A0253A"/>
    <w:rsid w:val="00A02758"/>
    <w:rsid w:val="00A02AE3"/>
    <w:rsid w:val="00A02CE9"/>
    <w:rsid w:val="00A02DA1"/>
    <w:rsid w:val="00A02DF6"/>
    <w:rsid w:val="00A02E1F"/>
    <w:rsid w:val="00A02EAA"/>
    <w:rsid w:val="00A02EEF"/>
    <w:rsid w:val="00A02F31"/>
    <w:rsid w:val="00A03087"/>
    <w:rsid w:val="00A030F9"/>
    <w:rsid w:val="00A03113"/>
    <w:rsid w:val="00A03203"/>
    <w:rsid w:val="00A03490"/>
    <w:rsid w:val="00A03649"/>
    <w:rsid w:val="00A038FA"/>
    <w:rsid w:val="00A03A95"/>
    <w:rsid w:val="00A03C4A"/>
    <w:rsid w:val="00A04087"/>
    <w:rsid w:val="00A04247"/>
    <w:rsid w:val="00A044B9"/>
    <w:rsid w:val="00A049BC"/>
    <w:rsid w:val="00A04B7D"/>
    <w:rsid w:val="00A04C5D"/>
    <w:rsid w:val="00A04C6A"/>
    <w:rsid w:val="00A04C72"/>
    <w:rsid w:val="00A051AC"/>
    <w:rsid w:val="00A05494"/>
    <w:rsid w:val="00A055BB"/>
    <w:rsid w:val="00A059AC"/>
    <w:rsid w:val="00A05AC1"/>
    <w:rsid w:val="00A05B4A"/>
    <w:rsid w:val="00A05C66"/>
    <w:rsid w:val="00A05D4F"/>
    <w:rsid w:val="00A05ED6"/>
    <w:rsid w:val="00A06063"/>
    <w:rsid w:val="00A061F9"/>
    <w:rsid w:val="00A06223"/>
    <w:rsid w:val="00A06290"/>
    <w:rsid w:val="00A0629D"/>
    <w:rsid w:val="00A0649A"/>
    <w:rsid w:val="00A06569"/>
    <w:rsid w:val="00A06A03"/>
    <w:rsid w:val="00A06A2E"/>
    <w:rsid w:val="00A06A7A"/>
    <w:rsid w:val="00A06B99"/>
    <w:rsid w:val="00A06F6E"/>
    <w:rsid w:val="00A06F8C"/>
    <w:rsid w:val="00A071DC"/>
    <w:rsid w:val="00A07614"/>
    <w:rsid w:val="00A0768E"/>
    <w:rsid w:val="00A077EF"/>
    <w:rsid w:val="00A079E0"/>
    <w:rsid w:val="00A07CA9"/>
    <w:rsid w:val="00A07D49"/>
    <w:rsid w:val="00A07EF6"/>
    <w:rsid w:val="00A07FC1"/>
    <w:rsid w:val="00A102D8"/>
    <w:rsid w:val="00A10388"/>
    <w:rsid w:val="00A103B8"/>
    <w:rsid w:val="00A10517"/>
    <w:rsid w:val="00A105F0"/>
    <w:rsid w:val="00A10763"/>
    <w:rsid w:val="00A1079F"/>
    <w:rsid w:val="00A10A0C"/>
    <w:rsid w:val="00A10BBB"/>
    <w:rsid w:val="00A11059"/>
    <w:rsid w:val="00A110DE"/>
    <w:rsid w:val="00A11150"/>
    <w:rsid w:val="00A1190E"/>
    <w:rsid w:val="00A11C9E"/>
    <w:rsid w:val="00A11DB6"/>
    <w:rsid w:val="00A11E0C"/>
    <w:rsid w:val="00A11EBA"/>
    <w:rsid w:val="00A11FE2"/>
    <w:rsid w:val="00A1242D"/>
    <w:rsid w:val="00A12847"/>
    <w:rsid w:val="00A1292D"/>
    <w:rsid w:val="00A12CE8"/>
    <w:rsid w:val="00A12F18"/>
    <w:rsid w:val="00A12F3B"/>
    <w:rsid w:val="00A12FB8"/>
    <w:rsid w:val="00A1302F"/>
    <w:rsid w:val="00A13341"/>
    <w:rsid w:val="00A13503"/>
    <w:rsid w:val="00A1378F"/>
    <w:rsid w:val="00A139A2"/>
    <w:rsid w:val="00A13C56"/>
    <w:rsid w:val="00A13C99"/>
    <w:rsid w:val="00A13CDE"/>
    <w:rsid w:val="00A13FF8"/>
    <w:rsid w:val="00A14242"/>
    <w:rsid w:val="00A1430F"/>
    <w:rsid w:val="00A14323"/>
    <w:rsid w:val="00A1457A"/>
    <w:rsid w:val="00A145EA"/>
    <w:rsid w:val="00A148ED"/>
    <w:rsid w:val="00A148FA"/>
    <w:rsid w:val="00A14BB9"/>
    <w:rsid w:val="00A14C6A"/>
    <w:rsid w:val="00A14FE4"/>
    <w:rsid w:val="00A151B7"/>
    <w:rsid w:val="00A153D7"/>
    <w:rsid w:val="00A15492"/>
    <w:rsid w:val="00A15512"/>
    <w:rsid w:val="00A15637"/>
    <w:rsid w:val="00A15725"/>
    <w:rsid w:val="00A16569"/>
    <w:rsid w:val="00A1658D"/>
    <w:rsid w:val="00A165D5"/>
    <w:rsid w:val="00A16696"/>
    <w:rsid w:val="00A16BD7"/>
    <w:rsid w:val="00A16C1A"/>
    <w:rsid w:val="00A16D7D"/>
    <w:rsid w:val="00A16ED0"/>
    <w:rsid w:val="00A1706A"/>
    <w:rsid w:val="00A17166"/>
    <w:rsid w:val="00A1721D"/>
    <w:rsid w:val="00A1724B"/>
    <w:rsid w:val="00A174D5"/>
    <w:rsid w:val="00A17756"/>
    <w:rsid w:val="00A17799"/>
    <w:rsid w:val="00A177F7"/>
    <w:rsid w:val="00A17A73"/>
    <w:rsid w:val="00A17C62"/>
    <w:rsid w:val="00A17CFE"/>
    <w:rsid w:val="00A17E7F"/>
    <w:rsid w:val="00A2037B"/>
    <w:rsid w:val="00A204DE"/>
    <w:rsid w:val="00A20A83"/>
    <w:rsid w:val="00A20AAA"/>
    <w:rsid w:val="00A20DFF"/>
    <w:rsid w:val="00A20E9A"/>
    <w:rsid w:val="00A20FF2"/>
    <w:rsid w:val="00A2112D"/>
    <w:rsid w:val="00A212F0"/>
    <w:rsid w:val="00A213A1"/>
    <w:rsid w:val="00A21770"/>
    <w:rsid w:val="00A217C2"/>
    <w:rsid w:val="00A21898"/>
    <w:rsid w:val="00A21979"/>
    <w:rsid w:val="00A21B76"/>
    <w:rsid w:val="00A21C2F"/>
    <w:rsid w:val="00A21C74"/>
    <w:rsid w:val="00A21F75"/>
    <w:rsid w:val="00A220F1"/>
    <w:rsid w:val="00A22220"/>
    <w:rsid w:val="00A22446"/>
    <w:rsid w:val="00A22492"/>
    <w:rsid w:val="00A22796"/>
    <w:rsid w:val="00A2282D"/>
    <w:rsid w:val="00A22B58"/>
    <w:rsid w:val="00A22BC2"/>
    <w:rsid w:val="00A22C7E"/>
    <w:rsid w:val="00A22DF1"/>
    <w:rsid w:val="00A2311C"/>
    <w:rsid w:val="00A231C4"/>
    <w:rsid w:val="00A2337D"/>
    <w:rsid w:val="00A2341F"/>
    <w:rsid w:val="00A2344A"/>
    <w:rsid w:val="00A235E7"/>
    <w:rsid w:val="00A2377A"/>
    <w:rsid w:val="00A238B5"/>
    <w:rsid w:val="00A23E42"/>
    <w:rsid w:val="00A23E7F"/>
    <w:rsid w:val="00A23F7F"/>
    <w:rsid w:val="00A23FAA"/>
    <w:rsid w:val="00A24206"/>
    <w:rsid w:val="00A24426"/>
    <w:rsid w:val="00A246A9"/>
    <w:rsid w:val="00A24A46"/>
    <w:rsid w:val="00A24A67"/>
    <w:rsid w:val="00A24CFC"/>
    <w:rsid w:val="00A24DE5"/>
    <w:rsid w:val="00A24DEB"/>
    <w:rsid w:val="00A251CC"/>
    <w:rsid w:val="00A252B2"/>
    <w:rsid w:val="00A25D27"/>
    <w:rsid w:val="00A25E41"/>
    <w:rsid w:val="00A25F03"/>
    <w:rsid w:val="00A26228"/>
    <w:rsid w:val="00A2630F"/>
    <w:rsid w:val="00A263F7"/>
    <w:rsid w:val="00A26417"/>
    <w:rsid w:val="00A2674D"/>
    <w:rsid w:val="00A2675A"/>
    <w:rsid w:val="00A26A53"/>
    <w:rsid w:val="00A26B02"/>
    <w:rsid w:val="00A26F6F"/>
    <w:rsid w:val="00A27A8F"/>
    <w:rsid w:val="00A27B13"/>
    <w:rsid w:val="00A27B37"/>
    <w:rsid w:val="00A27C8B"/>
    <w:rsid w:val="00A27D2F"/>
    <w:rsid w:val="00A27DB9"/>
    <w:rsid w:val="00A27F92"/>
    <w:rsid w:val="00A27FEC"/>
    <w:rsid w:val="00A30225"/>
    <w:rsid w:val="00A302B9"/>
    <w:rsid w:val="00A30350"/>
    <w:rsid w:val="00A30724"/>
    <w:rsid w:val="00A3089F"/>
    <w:rsid w:val="00A3097B"/>
    <w:rsid w:val="00A30AB8"/>
    <w:rsid w:val="00A30B5F"/>
    <w:rsid w:val="00A30BB7"/>
    <w:rsid w:val="00A310EA"/>
    <w:rsid w:val="00A31199"/>
    <w:rsid w:val="00A312A3"/>
    <w:rsid w:val="00A31374"/>
    <w:rsid w:val="00A314D5"/>
    <w:rsid w:val="00A314E9"/>
    <w:rsid w:val="00A31577"/>
    <w:rsid w:val="00A31585"/>
    <w:rsid w:val="00A316D7"/>
    <w:rsid w:val="00A31827"/>
    <w:rsid w:val="00A31B6E"/>
    <w:rsid w:val="00A31BCB"/>
    <w:rsid w:val="00A31D1C"/>
    <w:rsid w:val="00A31F53"/>
    <w:rsid w:val="00A32099"/>
    <w:rsid w:val="00A32387"/>
    <w:rsid w:val="00A32397"/>
    <w:rsid w:val="00A3242F"/>
    <w:rsid w:val="00A324C7"/>
    <w:rsid w:val="00A325A5"/>
    <w:rsid w:val="00A325C1"/>
    <w:rsid w:val="00A32816"/>
    <w:rsid w:val="00A32A34"/>
    <w:rsid w:val="00A32A47"/>
    <w:rsid w:val="00A32A74"/>
    <w:rsid w:val="00A32C10"/>
    <w:rsid w:val="00A32C34"/>
    <w:rsid w:val="00A32D2A"/>
    <w:rsid w:val="00A330B3"/>
    <w:rsid w:val="00A33100"/>
    <w:rsid w:val="00A331DC"/>
    <w:rsid w:val="00A332AB"/>
    <w:rsid w:val="00A33381"/>
    <w:rsid w:val="00A336D8"/>
    <w:rsid w:val="00A338DF"/>
    <w:rsid w:val="00A3392E"/>
    <w:rsid w:val="00A33F6D"/>
    <w:rsid w:val="00A343F7"/>
    <w:rsid w:val="00A34598"/>
    <w:rsid w:val="00A3460F"/>
    <w:rsid w:val="00A34622"/>
    <w:rsid w:val="00A34872"/>
    <w:rsid w:val="00A34A1D"/>
    <w:rsid w:val="00A34A78"/>
    <w:rsid w:val="00A34B40"/>
    <w:rsid w:val="00A34BE2"/>
    <w:rsid w:val="00A34E29"/>
    <w:rsid w:val="00A34F3B"/>
    <w:rsid w:val="00A35120"/>
    <w:rsid w:val="00A3515F"/>
    <w:rsid w:val="00A351FE"/>
    <w:rsid w:val="00A356EE"/>
    <w:rsid w:val="00A35A22"/>
    <w:rsid w:val="00A35A9D"/>
    <w:rsid w:val="00A35C7C"/>
    <w:rsid w:val="00A35C90"/>
    <w:rsid w:val="00A3609D"/>
    <w:rsid w:val="00A36106"/>
    <w:rsid w:val="00A3611E"/>
    <w:rsid w:val="00A361C4"/>
    <w:rsid w:val="00A36262"/>
    <w:rsid w:val="00A36392"/>
    <w:rsid w:val="00A36B15"/>
    <w:rsid w:val="00A36C5A"/>
    <w:rsid w:val="00A37302"/>
    <w:rsid w:val="00A375AA"/>
    <w:rsid w:val="00A3767F"/>
    <w:rsid w:val="00A377C1"/>
    <w:rsid w:val="00A379B6"/>
    <w:rsid w:val="00A37A59"/>
    <w:rsid w:val="00A37AE4"/>
    <w:rsid w:val="00A37D73"/>
    <w:rsid w:val="00A37FEB"/>
    <w:rsid w:val="00A4036E"/>
    <w:rsid w:val="00A4059A"/>
    <w:rsid w:val="00A406AB"/>
    <w:rsid w:val="00A408CC"/>
    <w:rsid w:val="00A4094C"/>
    <w:rsid w:val="00A40B0F"/>
    <w:rsid w:val="00A40D56"/>
    <w:rsid w:val="00A40D8D"/>
    <w:rsid w:val="00A40D96"/>
    <w:rsid w:val="00A40F0E"/>
    <w:rsid w:val="00A40FF9"/>
    <w:rsid w:val="00A41462"/>
    <w:rsid w:val="00A41473"/>
    <w:rsid w:val="00A41880"/>
    <w:rsid w:val="00A4192C"/>
    <w:rsid w:val="00A4195F"/>
    <w:rsid w:val="00A41C4C"/>
    <w:rsid w:val="00A41D8A"/>
    <w:rsid w:val="00A41E7D"/>
    <w:rsid w:val="00A41F77"/>
    <w:rsid w:val="00A42187"/>
    <w:rsid w:val="00A421E0"/>
    <w:rsid w:val="00A422EF"/>
    <w:rsid w:val="00A42307"/>
    <w:rsid w:val="00A4242B"/>
    <w:rsid w:val="00A4252A"/>
    <w:rsid w:val="00A4253C"/>
    <w:rsid w:val="00A42677"/>
    <w:rsid w:val="00A4275C"/>
    <w:rsid w:val="00A42D25"/>
    <w:rsid w:val="00A42DEB"/>
    <w:rsid w:val="00A42DF6"/>
    <w:rsid w:val="00A42F7B"/>
    <w:rsid w:val="00A43257"/>
    <w:rsid w:val="00A43279"/>
    <w:rsid w:val="00A43433"/>
    <w:rsid w:val="00A437B7"/>
    <w:rsid w:val="00A439B8"/>
    <w:rsid w:val="00A43B6C"/>
    <w:rsid w:val="00A4401F"/>
    <w:rsid w:val="00A442D5"/>
    <w:rsid w:val="00A44311"/>
    <w:rsid w:val="00A4432E"/>
    <w:rsid w:val="00A44345"/>
    <w:rsid w:val="00A443BA"/>
    <w:rsid w:val="00A443E6"/>
    <w:rsid w:val="00A44457"/>
    <w:rsid w:val="00A444D1"/>
    <w:rsid w:val="00A44617"/>
    <w:rsid w:val="00A44950"/>
    <w:rsid w:val="00A44B1E"/>
    <w:rsid w:val="00A44C27"/>
    <w:rsid w:val="00A44DBC"/>
    <w:rsid w:val="00A44E1E"/>
    <w:rsid w:val="00A44F37"/>
    <w:rsid w:val="00A45037"/>
    <w:rsid w:val="00A4545C"/>
    <w:rsid w:val="00A454E9"/>
    <w:rsid w:val="00A4560B"/>
    <w:rsid w:val="00A4577B"/>
    <w:rsid w:val="00A457D8"/>
    <w:rsid w:val="00A458E1"/>
    <w:rsid w:val="00A45BDB"/>
    <w:rsid w:val="00A45C83"/>
    <w:rsid w:val="00A45E56"/>
    <w:rsid w:val="00A45F2C"/>
    <w:rsid w:val="00A4613E"/>
    <w:rsid w:val="00A461A5"/>
    <w:rsid w:val="00A462DE"/>
    <w:rsid w:val="00A46342"/>
    <w:rsid w:val="00A46671"/>
    <w:rsid w:val="00A4677C"/>
    <w:rsid w:val="00A4682F"/>
    <w:rsid w:val="00A46AAA"/>
    <w:rsid w:val="00A46B21"/>
    <w:rsid w:val="00A46EC5"/>
    <w:rsid w:val="00A47138"/>
    <w:rsid w:val="00A47296"/>
    <w:rsid w:val="00A472B2"/>
    <w:rsid w:val="00A472BB"/>
    <w:rsid w:val="00A473C0"/>
    <w:rsid w:val="00A475CC"/>
    <w:rsid w:val="00A4768A"/>
    <w:rsid w:val="00A4773F"/>
    <w:rsid w:val="00A47B23"/>
    <w:rsid w:val="00A47C16"/>
    <w:rsid w:val="00A47DE3"/>
    <w:rsid w:val="00A47F85"/>
    <w:rsid w:val="00A50164"/>
    <w:rsid w:val="00A503B7"/>
    <w:rsid w:val="00A503CE"/>
    <w:rsid w:val="00A503DC"/>
    <w:rsid w:val="00A503F3"/>
    <w:rsid w:val="00A50448"/>
    <w:rsid w:val="00A50603"/>
    <w:rsid w:val="00A50644"/>
    <w:rsid w:val="00A50692"/>
    <w:rsid w:val="00A5069A"/>
    <w:rsid w:val="00A50886"/>
    <w:rsid w:val="00A50894"/>
    <w:rsid w:val="00A50A1F"/>
    <w:rsid w:val="00A50A5F"/>
    <w:rsid w:val="00A50A6F"/>
    <w:rsid w:val="00A511CB"/>
    <w:rsid w:val="00A519A6"/>
    <w:rsid w:val="00A51B45"/>
    <w:rsid w:val="00A51B7F"/>
    <w:rsid w:val="00A51D52"/>
    <w:rsid w:val="00A51E2E"/>
    <w:rsid w:val="00A51F32"/>
    <w:rsid w:val="00A51FF2"/>
    <w:rsid w:val="00A52004"/>
    <w:rsid w:val="00A5235F"/>
    <w:rsid w:val="00A524C3"/>
    <w:rsid w:val="00A528CA"/>
    <w:rsid w:val="00A528E4"/>
    <w:rsid w:val="00A52942"/>
    <w:rsid w:val="00A529B5"/>
    <w:rsid w:val="00A52D37"/>
    <w:rsid w:val="00A52F06"/>
    <w:rsid w:val="00A5307F"/>
    <w:rsid w:val="00A531A5"/>
    <w:rsid w:val="00A53411"/>
    <w:rsid w:val="00A53618"/>
    <w:rsid w:val="00A536BC"/>
    <w:rsid w:val="00A5385B"/>
    <w:rsid w:val="00A53A74"/>
    <w:rsid w:val="00A53E4D"/>
    <w:rsid w:val="00A53E50"/>
    <w:rsid w:val="00A53F39"/>
    <w:rsid w:val="00A53F87"/>
    <w:rsid w:val="00A53F9E"/>
    <w:rsid w:val="00A53FD9"/>
    <w:rsid w:val="00A54154"/>
    <w:rsid w:val="00A5447B"/>
    <w:rsid w:val="00A54561"/>
    <w:rsid w:val="00A5468F"/>
    <w:rsid w:val="00A54AA7"/>
    <w:rsid w:val="00A54B26"/>
    <w:rsid w:val="00A54DA4"/>
    <w:rsid w:val="00A55122"/>
    <w:rsid w:val="00A5520F"/>
    <w:rsid w:val="00A55460"/>
    <w:rsid w:val="00A555FA"/>
    <w:rsid w:val="00A5565D"/>
    <w:rsid w:val="00A5567C"/>
    <w:rsid w:val="00A5579E"/>
    <w:rsid w:val="00A5582F"/>
    <w:rsid w:val="00A558DC"/>
    <w:rsid w:val="00A55A27"/>
    <w:rsid w:val="00A55A85"/>
    <w:rsid w:val="00A55CD1"/>
    <w:rsid w:val="00A55DA8"/>
    <w:rsid w:val="00A55DE6"/>
    <w:rsid w:val="00A55E2C"/>
    <w:rsid w:val="00A55ECE"/>
    <w:rsid w:val="00A560C1"/>
    <w:rsid w:val="00A56320"/>
    <w:rsid w:val="00A56766"/>
    <w:rsid w:val="00A567E9"/>
    <w:rsid w:val="00A56990"/>
    <w:rsid w:val="00A572E3"/>
    <w:rsid w:val="00A574A4"/>
    <w:rsid w:val="00A575A9"/>
    <w:rsid w:val="00A577E2"/>
    <w:rsid w:val="00A5783D"/>
    <w:rsid w:val="00A57918"/>
    <w:rsid w:val="00A57931"/>
    <w:rsid w:val="00A57B05"/>
    <w:rsid w:val="00A57B78"/>
    <w:rsid w:val="00A57B96"/>
    <w:rsid w:val="00A57E62"/>
    <w:rsid w:val="00A57F6E"/>
    <w:rsid w:val="00A57FF6"/>
    <w:rsid w:val="00A6001B"/>
    <w:rsid w:val="00A601B6"/>
    <w:rsid w:val="00A60324"/>
    <w:rsid w:val="00A6038A"/>
    <w:rsid w:val="00A60409"/>
    <w:rsid w:val="00A6044C"/>
    <w:rsid w:val="00A607BA"/>
    <w:rsid w:val="00A6089C"/>
    <w:rsid w:val="00A608EB"/>
    <w:rsid w:val="00A609C1"/>
    <w:rsid w:val="00A60DFD"/>
    <w:rsid w:val="00A611AC"/>
    <w:rsid w:val="00A61572"/>
    <w:rsid w:val="00A61638"/>
    <w:rsid w:val="00A61E40"/>
    <w:rsid w:val="00A61E6F"/>
    <w:rsid w:val="00A61FA8"/>
    <w:rsid w:val="00A61FBB"/>
    <w:rsid w:val="00A62234"/>
    <w:rsid w:val="00A6234D"/>
    <w:rsid w:val="00A6235A"/>
    <w:rsid w:val="00A6238B"/>
    <w:rsid w:val="00A623A4"/>
    <w:rsid w:val="00A6242A"/>
    <w:rsid w:val="00A6265F"/>
    <w:rsid w:val="00A627FC"/>
    <w:rsid w:val="00A6285A"/>
    <w:rsid w:val="00A62AC0"/>
    <w:rsid w:val="00A62AE8"/>
    <w:rsid w:val="00A62B5B"/>
    <w:rsid w:val="00A62BD1"/>
    <w:rsid w:val="00A62C14"/>
    <w:rsid w:val="00A62C2D"/>
    <w:rsid w:val="00A62D39"/>
    <w:rsid w:val="00A62F04"/>
    <w:rsid w:val="00A630A1"/>
    <w:rsid w:val="00A6326B"/>
    <w:rsid w:val="00A632A2"/>
    <w:rsid w:val="00A636F1"/>
    <w:rsid w:val="00A637C4"/>
    <w:rsid w:val="00A63A97"/>
    <w:rsid w:val="00A63BD0"/>
    <w:rsid w:val="00A63BF5"/>
    <w:rsid w:val="00A63CD5"/>
    <w:rsid w:val="00A63D72"/>
    <w:rsid w:val="00A63DE5"/>
    <w:rsid w:val="00A64055"/>
    <w:rsid w:val="00A6405E"/>
    <w:rsid w:val="00A6420C"/>
    <w:rsid w:val="00A64273"/>
    <w:rsid w:val="00A642B4"/>
    <w:rsid w:val="00A6450C"/>
    <w:rsid w:val="00A646D2"/>
    <w:rsid w:val="00A646D7"/>
    <w:rsid w:val="00A647F9"/>
    <w:rsid w:val="00A64A03"/>
    <w:rsid w:val="00A64B83"/>
    <w:rsid w:val="00A64CE8"/>
    <w:rsid w:val="00A64ED0"/>
    <w:rsid w:val="00A64FD0"/>
    <w:rsid w:val="00A65182"/>
    <w:rsid w:val="00A652B8"/>
    <w:rsid w:val="00A653EB"/>
    <w:rsid w:val="00A654A5"/>
    <w:rsid w:val="00A6555D"/>
    <w:rsid w:val="00A655B4"/>
    <w:rsid w:val="00A65778"/>
    <w:rsid w:val="00A65C2C"/>
    <w:rsid w:val="00A65C67"/>
    <w:rsid w:val="00A65D0D"/>
    <w:rsid w:val="00A65D6C"/>
    <w:rsid w:val="00A65DAA"/>
    <w:rsid w:val="00A65E34"/>
    <w:rsid w:val="00A65E8D"/>
    <w:rsid w:val="00A6611E"/>
    <w:rsid w:val="00A66287"/>
    <w:rsid w:val="00A6638E"/>
    <w:rsid w:val="00A663DA"/>
    <w:rsid w:val="00A6653E"/>
    <w:rsid w:val="00A665B1"/>
    <w:rsid w:val="00A66634"/>
    <w:rsid w:val="00A6689E"/>
    <w:rsid w:val="00A668E7"/>
    <w:rsid w:val="00A6691C"/>
    <w:rsid w:val="00A66FF6"/>
    <w:rsid w:val="00A6705E"/>
    <w:rsid w:val="00A67178"/>
    <w:rsid w:val="00A67198"/>
    <w:rsid w:val="00A67C24"/>
    <w:rsid w:val="00A67C89"/>
    <w:rsid w:val="00A67D89"/>
    <w:rsid w:val="00A67DFE"/>
    <w:rsid w:val="00A67E2F"/>
    <w:rsid w:val="00A67EA8"/>
    <w:rsid w:val="00A70255"/>
    <w:rsid w:val="00A70340"/>
    <w:rsid w:val="00A705C4"/>
    <w:rsid w:val="00A70606"/>
    <w:rsid w:val="00A70652"/>
    <w:rsid w:val="00A70916"/>
    <w:rsid w:val="00A7091F"/>
    <w:rsid w:val="00A70C11"/>
    <w:rsid w:val="00A70D63"/>
    <w:rsid w:val="00A70DCA"/>
    <w:rsid w:val="00A7131F"/>
    <w:rsid w:val="00A713CF"/>
    <w:rsid w:val="00A71494"/>
    <w:rsid w:val="00A71588"/>
    <w:rsid w:val="00A717EE"/>
    <w:rsid w:val="00A71AB4"/>
    <w:rsid w:val="00A71C05"/>
    <w:rsid w:val="00A71EBB"/>
    <w:rsid w:val="00A720A6"/>
    <w:rsid w:val="00A725AF"/>
    <w:rsid w:val="00A725E7"/>
    <w:rsid w:val="00A725E9"/>
    <w:rsid w:val="00A72622"/>
    <w:rsid w:val="00A72843"/>
    <w:rsid w:val="00A728C3"/>
    <w:rsid w:val="00A72B4F"/>
    <w:rsid w:val="00A72B62"/>
    <w:rsid w:val="00A72DE4"/>
    <w:rsid w:val="00A72DF2"/>
    <w:rsid w:val="00A72EB8"/>
    <w:rsid w:val="00A72EE2"/>
    <w:rsid w:val="00A7307C"/>
    <w:rsid w:val="00A73110"/>
    <w:rsid w:val="00A731C4"/>
    <w:rsid w:val="00A73378"/>
    <w:rsid w:val="00A73536"/>
    <w:rsid w:val="00A736BD"/>
    <w:rsid w:val="00A738E6"/>
    <w:rsid w:val="00A73DF4"/>
    <w:rsid w:val="00A73EF1"/>
    <w:rsid w:val="00A74235"/>
    <w:rsid w:val="00A74417"/>
    <w:rsid w:val="00A7461F"/>
    <w:rsid w:val="00A748F7"/>
    <w:rsid w:val="00A7492A"/>
    <w:rsid w:val="00A74BAD"/>
    <w:rsid w:val="00A74BF6"/>
    <w:rsid w:val="00A74DD5"/>
    <w:rsid w:val="00A74E62"/>
    <w:rsid w:val="00A750F5"/>
    <w:rsid w:val="00A75297"/>
    <w:rsid w:val="00A75546"/>
    <w:rsid w:val="00A75554"/>
    <w:rsid w:val="00A7575D"/>
    <w:rsid w:val="00A7595E"/>
    <w:rsid w:val="00A75C69"/>
    <w:rsid w:val="00A75C6D"/>
    <w:rsid w:val="00A75E46"/>
    <w:rsid w:val="00A7613D"/>
    <w:rsid w:val="00A762EA"/>
    <w:rsid w:val="00A76A9C"/>
    <w:rsid w:val="00A76B56"/>
    <w:rsid w:val="00A76F56"/>
    <w:rsid w:val="00A76F8A"/>
    <w:rsid w:val="00A76F9F"/>
    <w:rsid w:val="00A772AA"/>
    <w:rsid w:val="00A7734E"/>
    <w:rsid w:val="00A77603"/>
    <w:rsid w:val="00A7767F"/>
    <w:rsid w:val="00A776D4"/>
    <w:rsid w:val="00A77B04"/>
    <w:rsid w:val="00A77C1A"/>
    <w:rsid w:val="00A77C8A"/>
    <w:rsid w:val="00A77D4D"/>
    <w:rsid w:val="00A77DF0"/>
    <w:rsid w:val="00A77DFC"/>
    <w:rsid w:val="00A77E70"/>
    <w:rsid w:val="00A8011C"/>
    <w:rsid w:val="00A80203"/>
    <w:rsid w:val="00A80285"/>
    <w:rsid w:val="00A803A1"/>
    <w:rsid w:val="00A803C2"/>
    <w:rsid w:val="00A80892"/>
    <w:rsid w:val="00A80EC7"/>
    <w:rsid w:val="00A80EED"/>
    <w:rsid w:val="00A811FF"/>
    <w:rsid w:val="00A81317"/>
    <w:rsid w:val="00A81731"/>
    <w:rsid w:val="00A81A6B"/>
    <w:rsid w:val="00A81FC6"/>
    <w:rsid w:val="00A8215E"/>
    <w:rsid w:val="00A8233D"/>
    <w:rsid w:val="00A823FD"/>
    <w:rsid w:val="00A8249C"/>
    <w:rsid w:val="00A82938"/>
    <w:rsid w:val="00A82959"/>
    <w:rsid w:val="00A82A25"/>
    <w:rsid w:val="00A82BF1"/>
    <w:rsid w:val="00A82C85"/>
    <w:rsid w:val="00A82E50"/>
    <w:rsid w:val="00A8308C"/>
    <w:rsid w:val="00A830CF"/>
    <w:rsid w:val="00A831A9"/>
    <w:rsid w:val="00A83301"/>
    <w:rsid w:val="00A833C2"/>
    <w:rsid w:val="00A833EA"/>
    <w:rsid w:val="00A834EB"/>
    <w:rsid w:val="00A83995"/>
    <w:rsid w:val="00A83EB3"/>
    <w:rsid w:val="00A8406C"/>
    <w:rsid w:val="00A84134"/>
    <w:rsid w:val="00A844DC"/>
    <w:rsid w:val="00A8464A"/>
    <w:rsid w:val="00A84650"/>
    <w:rsid w:val="00A84699"/>
    <w:rsid w:val="00A84909"/>
    <w:rsid w:val="00A84D15"/>
    <w:rsid w:val="00A84E70"/>
    <w:rsid w:val="00A85003"/>
    <w:rsid w:val="00A852F6"/>
    <w:rsid w:val="00A853BB"/>
    <w:rsid w:val="00A8542D"/>
    <w:rsid w:val="00A85624"/>
    <w:rsid w:val="00A856CF"/>
    <w:rsid w:val="00A85752"/>
    <w:rsid w:val="00A85B6C"/>
    <w:rsid w:val="00A85C3E"/>
    <w:rsid w:val="00A85DB7"/>
    <w:rsid w:val="00A85EE9"/>
    <w:rsid w:val="00A85EFB"/>
    <w:rsid w:val="00A85F4F"/>
    <w:rsid w:val="00A86234"/>
    <w:rsid w:val="00A86311"/>
    <w:rsid w:val="00A865D0"/>
    <w:rsid w:val="00A866C2"/>
    <w:rsid w:val="00A86832"/>
    <w:rsid w:val="00A86C25"/>
    <w:rsid w:val="00A86CCC"/>
    <w:rsid w:val="00A86D77"/>
    <w:rsid w:val="00A86DF6"/>
    <w:rsid w:val="00A86FD3"/>
    <w:rsid w:val="00A8754F"/>
    <w:rsid w:val="00A875FE"/>
    <w:rsid w:val="00A87664"/>
    <w:rsid w:val="00A877D2"/>
    <w:rsid w:val="00A87F85"/>
    <w:rsid w:val="00A9028C"/>
    <w:rsid w:val="00A90629"/>
    <w:rsid w:val="00A9065C"/>
    <w:rsid w:val="00A9066D"/>
    <w:rsid w:val="00A906F0"/>
    <w:rsid w:val="00A90743"/>
    <w:rsid w:val="00A90A79"/>
    <w:rsid w:val="00A90BA5"/>
    <w:rsid w:val="00A90F81"/>
    <w:rsid w:val="00A90FDB"/>
    <w:rsid w:val="00A913F9"/>
    <w:rsid w:val="00A91517"/>
    <w:rsid w:val="00A9168D"/>
    <w:rsid w:val="00A9172A"/>
    <w:rsid w:val="00A918BB"/>
    <w:rsid w:val="00A91908"/>
    <w:rsid w:val="00A91DCC"/>
    <w:rsid w:val="00A92105"/>
    <w:rsid w:val="00A9225F"/>
    <w:rsid w:val="00A92344"/>
    <w:rsid w:val="00A9239F"/>
    <w:rsid w:val="00A924EC"/>
    <w:rsid w:val="00A92814"/>
    <w:rsid w:val="00A92903"/>
    <w:rsid w:val="00A92FC1"/>
    <w:rsid w:val="00A9303A"/>
    <w:rsid w:val="00A9308E"/>
    <w:rsid w:val="00A93290"/>
    <w:rsid w:val="00A9342A"/>
    <w:rsid w:val="00A935A3"/>
    <w:rsid w:val="00A937EE"/>
    <w:rsid w:val="00A93BBE"/>
    <w:rsid w:val="00A93D1A"/>
    <w:rsid w:val="00A93F53"/>
    <w:rsid w:val="00A9426B"/>
    <w:rsid w:val="00A94388"/>
    <w:rsid w:val="00A943FA"/>
    <w:rsid w:val="00A94497"/>
    <w:rsid w:val="00A948F9"/>
    <w:rsid w:val="00A9490D"/>
    <w:rsid w:val="00A949C3"/>
    <w:rsid w:val="00A94A5D"/>
    <w:rsid w:val="00A951DA"/>
    <w:rsid w:val="00A954D2"/>
    <w:rsid w:val="00A95651"/>
    <w:rsid w:val="00A95804"/>
    <w:rsid w:val="00A95B82"/>
    <w:rsid w:val="00A95C5F"/>
    <w:rsid w:val="00A95F01"/>
    <w:rsid w:val="00A9606A"/>
    <w:rsid w:val="00A96221"/>
    <w:rsid w:val="00A964E3"/>
    <w:rsid w:val="00A96663"/>
    <w:rsid w:val="00A9676B"/>
    <w:rsid w:val="00A96882"/>
    <w:rsid w:val="00A96A5D"/>
    <w:rsid w:val="00A96ADF"/>
    <w:rsid w:val="00A96BFB"/>
    <w:rsid w:val="00A96DE2"/>
    <w:rsid w:val="00A97038"/>
    <w:rsid w:val="00A9708B"/>
    <w:rsid w:val="00A9759C"/>
    <w:rsid w:val="00A975AB"/>
    <w:rsid w:val="00A975D1"/>
    <w:rsid w:val="00A9760C"/>
    <w:rsid w:val="00A9770F"/>
    <w:rsid w:val="00A9774D"/>
    <w:rsid w:val="00A97904"/>
    <w:rsid w:val="00A97A0F"/>
    <w:rsid w:val="00A97A37"/>
    <w:rsid w:val="00A97AFD"/>
    <w:rsid w:val="00A97D08"/>
    <w:rsid w:val="00A97E25"/>
    <w:rsid w:val="00AA02C8"/>
    <w:rsid w:val="00AA03BE"/>
    <w:rsid w:val="00AA03EC"/>
    <w:rsid w:val="00AA06B2"/>
    <w:rsid w:val="00AA07F4"/>
    <w:rsid w:val="00AA0892"/>
    <w:rsid w:val="00AA0948"/>
    <w:rsid w:val="00AA0BB2"/>
    <w:rsid w:val="00AA0E57"/>
    <w:rsid w:val="00AA0FA0"/>
    <w:rsid w:val="00AA0FB0"/>
    <w:rsid w:val="00AA0FB9"/>
    <w:rsid w:val="00AA10E8"/>
    <w:rsid w:val="00AA11EC"/>
    <w:rsid w:val="00AA1225"/>
    <w:rsid w:val="00AA12C8"/>
    <w:rsid w:val="00AA1440"/>
    <w:rsid w:val="00AA163C"/>
    <w:rsid w:val="00AA16DA"/>
    <w:rsid w:val="00AA171F"/>
    <w:rsid w:val="00AA191D"/>
    <w:rsid w:val="00AA1937"/>
    <w:rsid w:val="00AA1971"/>
    <w:rsid w:val="00AA1C40"/>
    <w:rsid w:val="00AA1F24"/>
    <w:rsid w:val="00AA1F67"/>
    <w:rsid w:val="00AA1F95"/>
    <w:rsid w:val="00AA21D8"/>
    <w:rsid w:val="00AA23AE"/>
    <w:rsid w:val="00AA244D"/>
    <w:rsid w:val="00AA261C"/>
    <w:rsid w:val="00AA27C8"/>
    <w:rsid w:val="00AA282F"/>
    <w:rsid w:val="00AA2A23"/>
    <w:rsid w:val="00AA2B79"/>
    <w:rsid w:val="00AA2C67"/>
    <w:rsid w:val="00AA2D32"/>
    <w:rsid w:val="00AA2F30"/>
    <w:rsid w:val="00AA3213"/>
    <w:rsid w:val="00AA35B3"/>
    <w:rsid w:val="00AA35FE"/>
    <w:rsid w:val="00AA38E8"/>
    <w:rsid w:val="00AA3BA8"/>
    <w:rsid w:val="00AA3C2B"/>
    <w:rsid w:val="00AA3E3C"/>
    <w:rsid w:val="00AA4047"/>
    <w:rsid w:val="00AA43A8"/>
    <w:rsid w:val="00AA4507"/>
    <w:rsid w:val="00AA482E"/>
    <w:rsid w:val="00AA497C"/>
    <w:rsid w:val="00AA4A61"/>
    <w:rsid w:val="00AA4CEA"/>
    <w:rsid w:val="00AA4E6D"/>
    <w:rsid w:val="00AA5019"/>
    <w:rsid w:val="00AA52E6"/>
    <w:rsid w:val="00AA5359"/>
    <w:rsid w:val="00AA5595"/>
    <w:rsid w:val="00AA56BC"/>
    <w:rsid w:val="00AA59B1"/>
    <w:rsid w:val="00AA5C06"/>
    <w:rsid w:val="00AA5CFD"/>
    <w:rsid w:val="00AA6041"/>
    <w:rsid w:val="00AA61C7"/>
    <w:rsid w:val="00AA63C0"/>
    <w:rsid w:val="00AA649A"/>
    <w:rsid w:val="00AA6B43"/>
    <w:rsid w:val="00AA6B4C"/>
    <w:rsid w:val="00AA6E19"/>
    <w:rsid w:val="00AA6E20"/>
    <w:rsid w:val="00AA6E68"/>
    <w:rsid w:val="00AA71D8"/>
    <w:rsid w:val="00AA73F2"/>
    <w:rsid w:val="00AA7491"/>
    <w:rsid w:val="00AA74F2"/>
    <w:rsid w:val="00AA7511"/>
    <w:rsid w:val="00AA78A4"/>
    <w:rsid w:val="00AA7901"/>
    <w:rsid w:val="00AA7EB7"/>
    <w:rsid w:val="00AA7FEB"/>
    <w:rsid w:val="00AB004F"/>
    <w:rsid w:val="00AB024A"/>
    <w:rsid w:val="00AB024D"/>
    <w:rsid w:val="00AB0552"/>
    <w:rsid w:val="00AB066D"/>
    <w:rsid w:val="00AB06B5"/>
    <w:rsid w:val="00AB0771"/>
    <w:rsid w:val="00AB07D6"/>
    <w:rsid w:val="00AB09FA"/>
    <w:rsid w:val="00AB0B0F"/>
    <w:rsid w:val="00AB0BA6"/>
    <w:rsid w:val="00AB0C4B"/>
    <w:rsid w:val="00AB10BF"/>
    <w:rsid w:val="00AB161E"/>
    <w:rsid w:val="00AB1661"/>
    <w:rsid w:val="00AB18E8"/>
    <w:rsid w:val="00AB19B8"/>
    <w:rsid w:val="00AB1A8A"/>
    <w:rsid w:val="00AB1C91"/>
    <w:rsid w:val="00AB1DA3"/>
    <w:rsid w:val="00AB1E6F"/>
    <w:rsid w:val="00AB1F67"/>
    <w:rsid w:val="00AB2447"/>
    <w:rsid w:val="00AB27C2"/>
    <w:rsid w:val="00AB2B53"/>
    <w:rsid w:val="00AB2CC5"/>
    <w:rsid w:val="00AB2D9B"/>
    <w:rsid w:val="00AB2DAF"/>
    <w:rsid w:val="00AB2DCA"/>
    <w:rsid w:val="00AB2FA8"/>
    <w:rsid w:val="00AB2FC8"/>
    <w:rsid w:val="00AB313C"/>
    <w:rsid w:val="00AB332F"/>
    <w:rsid w:val="00AB33AD"/>
    <w:rsid w:val="00AB36F7"/>
    <w:rsid w:val="00AB3E51"/>
    <w:rsid w:val="00AB3E82"/>
    <w:rsid w:val="00AB4388"/>
    <w:rsid w:val="00AB45BF"/>
    <w:rsid w:val="00AB46F4"/>
    <w:rsid w:val="00AB499A"/>
    <w:rsid w:val="00AB49A9"/>
    <w:rsid w:val="00AB4B7F"/>
    <w:rsid w:val="00AB4CA3"/>
    <w:rsid w:val="00AB4DAE"/>
    <w:rsid w:val="00AB50E3"/>
    <w:rsid w:val="00AB522C"/>
    <w:rsid w:val="00AB5497"/>
    <w:rsid w:val="00AB573F"/>
    <w:rsid w:val="00AB5851"/>
    <w:rsid w:val="00AB5A18"/>
    <w:rsid w:val="00AB5AC4"/>
    <w:rsid w:val="00AB5D03"/>
    <w:rsid w:val="00AB5F0E"/>
    <w:rsid w:val="00AB6146"/>
    <w:rsid w:val="00AB63C6"/>
    <w:rsid w:val="00AB658A"/>
    <w:rsid w:val="00AB65EB"/>
    <w:rsid w:val="00AB6604"/>
    <w:rsid w:val="00AB6829"/>
    <w:rsid w:val="00AB69C0"/>
    <w:rsid w:val="00AB6A15"/>
    <w:rsid w:val="00AB7608"/>
    <w:rsid w:val="00AB76A9"/>
    <w:rsid w:val="00AB7775"/>
    <w:rsid w:val="00AB788B"/>
    <w:rsid w:val="00AB7A01"/>
    <w:rsid w:val="00AB7BA2"/>
    <w:rsid w:val="00AB7C3A"/>
    <w:rsid w:val="00AB7D9E"/>
    <w:rsid w:val="00AB7F3C"/>
    <w:rsid w:val="00AB7FC2"/>
    <w:rsid w:val="00AC0047"/>
    <w:rsid w:val="00AC04AD"/>
    <w:rsid w:val="00AC064C"/>
    <w:rsid w:val="00AC0766"/>
    <w:rsid w:val="00AC0972"/>
    <w:rsid w:val="00AC0AFD"/>
    <w:rsid w:val="00AC0B8E"/>
    <w:rsid w:val="00AC0D91"/>
    <w:rsid w:val="00AC0FAD"/>
    <w:rsid w:val="00AC12D8"/>
    <w:rsid w:val="00AC1539"/>
    <w:rsid w:val="00AC1796"/>
    <w:rsid w:val="00AC190D"/>
    <w:rsid w:val="00AC1F97"/>
    <w:rsid w:val="00AC2070"/>
    <w:rsid w:val="00AC20F2"/>
    <w:rsid w:val="00AC2176"/>
    <w:rsid w:val="00AC2190"/>
    <w:rsid w:val="00AC23A3"/>
    <w:rsid w:val="00AC2528"/>
    <w:rsid w:val="00AC267A"/>
    <w:rsid w:val="00AC281A"/>
    <w:rsid w:val="00AC28B2"/>
    <w:rsid w:val="00AC2A38"/>
    <w:rsid w:val="00AC2E28"/>
    <w:rsid w:val="00AC3125"/>
    <w:rsid w:val="00AC3334"/>
    <w:rsid w:val="00AC3468"/>
    <w:rsid w:val="00AC34E1"/>
    <w:rsid w:val="00AC372C"/>
    <w:rsid w:val="00AC397A"/>
    <w:rsid w:val="00AC39BA"/>
    <w:rsid w:val="00AC3A95"/>
    <w:rsid w:val="00AC3F08"/>
    <w:rsid w:val="00AC3FA0"/>
    <w:rsid w:val="00AC4249"/>
    <w:rsid w:val="00AC441B"/>
    <w:rsid w:val="00AC45AE"/>
    <w:rsid w:val="00AC46FA"/>
    <w:rsid w:val="00AC48A3"/>
    <w:rsid w:val="00AC4A72"/>
    <w:rsid w:val="00AC4AC1"/>
    <w:rsid w:val="00AC4BEA"/>
    <w:rsid w:val="00AC5046"/>
    <w:rsid w:val="00AC50AD"/>
    <w:rsid w:val="00AC5451"/>
    <w:rsid w:val="00AC55BF"/>
    <w:rsid w:val="00AC5A65"/>
    <w:rsid w:val="00AC5C46"/>
    <w:rsid w:val="00AC5C78"/>
    <w:rsid w:val="00AC66AC"/>
    <w:rsid w:val="00AC67D4"/>
    <w:rsid w:val="00AC68A7"/>
    <w:rsid w:val="00AC6E5B"/>
    <w:rsid w:val="00AC6EA8"/>
    <w:rsid w:val="00AC716F"/>
    <w:rsid w:val="00AC7227"/>
    <w:rsid w:val="00AC73FA"/>
    <w:rsid w:val="00AC7486"/>
    <w:rsid w:val="00AC7558"/>
    <w:rsid w:val="00AC7793"/>
    <w:rsid w:val="00AC7815"/>
    <w:rsid w:val="00AC78BB"/>
    <w:rsid w:val="00AC7B73"/>
    <w:rsid w:val="00AC7C3C"/>
    <w:rsid w:val="00AC7C41"/>
    <w:rsid w:val="00AC7DA1"/>
    <w:rsid w:val="00AD01F6"/>
    <w:rsid w:val="00AD054B"/>
    <w:rsid w:val="00AD07C1"/>
    <w:rsid w:val="00AD0890"/>
    <w:rsid w:val="00AD091A"/>
    <w:rsid w:val="00AD094F"/>
    <w:rsid w:val="00AD0999"/>
    <w:rsid w:val="00AD0B29"/>
    <w:rsid w:val="00AD0E34"/>
    <w:rsid w:val="00AD0ECA"/>
    <w:rsid w:val="00AD0F57"/>
    <w:rsid w:val="00AD123D"/>
    <w:rsid w:val="00AD137D"/>
    <w:rsid w:val="00AD13F2"/>
    <w:rsid w:val="00AD14BE"/>
    <w:rsid w:val="00AD14EF"/>
    <w:rsid w:val="00AD195C"/>
    <w:rsid w:val="00AD1AFA"/>
    <w:rsid w:val="00AD1BCA"/>
    <w:rsid w:val="00AD1FAC"/>
    <w:rsid w:val="00AD2100"/>
    <w:rsid w:val="00AD29ED"/>
    <w:rsid w:val="00AD2B15"/>
    <w:rsid w:val="00AD2B36"/>
    <w:rsid w:val="00AD2EFF"/>
    <w:rsid w:val="00AD3085"/>
    <w:rsid w:val="00AD349F"/>
    <w:rsid w:val="00AD34A3"/>
    <w:rsid w:val="00AD3562"/>
    <w:rsid w:val="00AD37FC"/>
    <w:rsid w:val="00AD38B5"/>
    <w:rsid w:val="00AD38D7"/>
    <w:rsid w:val="00AD3A78"/>
    <w:rsid w:val="00AD3BBF"/>
    <w:rsid w:val="00AD3CCE"/>
    <w:rsid w:val="00AD3DB9"/>
    <w:rsid w:val="00AD3E47"/>
    <w:rsid w:val="00AD40BC"/>
    <w:rsid w:val="00AD44B1"/>
    <w:rsid w:val="00AD4679"/>
    <w:rsid w:val="00AD473E"/>
    <w:rsid w:val="00AD4C91"/>
    <w:rsid w:val="00AD4D25"/>
    <w:rsid w:val="00AD50AA"/>
    <w:rsid w:val="00AD5187"/>
    <w:rsid w:val="00AD527B"/>
    <w:rsid w:val="00AD52A8"/>
    <w:rsid w:val="00AD531A"/>
    <w:rsid w:val="00AD5632"/>
    <w:rsid w:val="00AD568B"/>
    <w:rsid w:val="00AD57F3"/>
    <w:rsid w:val="00AD5813"/>
    <w:rsid w:val="00AD5841"/>
    <w:rsid w:val="00AD5870"/>
    <w:rsid w:val="00AD5947"/>
    <w:rsid w:val="00AD5A6E"/>
    <w:rsid w:val="00AD5D78"/>
    <w:rsid w:val="00AD6263"/>
    <w:rsid w:val="00AD62D8"/>
    <w:rsid w:val="00AD62F6"/>
    <w:rsid w:val="00AD663B"/>
    <w:rsid w:val="00AD6674"/>
    <w:rsid w:val="00AD66AB"/>
    <w:rsid w:val="00AD67C8"/>
    <w:rsid w:val="00AD6AAA"/>
    <w:rsid w:val="00AD6B3B"/>
    <w:rsid w:val="00AD6D79"/>
    <w:rsid w:val="00AD6DC2"/>
    <w:rsid w:val="00AD6DDF"/>
    <w:rsid w:val="00AD6E17"/>
    <w:rsid w:val="00AD6E87"/>
    <w:rsid w:val="00AD704A"/>
    <w:rsid w:val="00AD7060"/>
    <w:rsid w:val="00AD7456"/>
    <w:rsid w:val="00AD7560"/>
    <w:rsid w:val="00AD76D0"/>
    <w:rsid w:val="00AD79DE"/>
    <w:rsid w:val="00AD79EB"/>
    <w:rsid w:val="00AD7A35"/>
    <w:rsid w:val="00AD7BE8"/>
    <w:rsid w:val="00AE0103"/>
    <w:rsid w:val="00AE066F"/>
    <w:rsid w:val="00AE0734"/>
    <w:rsid w:val="00AE0851"/>
    <w:rsid w:val="00AE0C52"/>
    <w:rsid w:val="00AE0D4F"/>
    <w:rsid w:val="00AE0EB1"/>
    <w:rsid w:val="00AE1258"/>
    <w:rsid w:val="00AE133C"/>
    <w:rsid w:val="00AE1575"/>
    <w:rsid w:val="00AE16B8"/>
    <w:rsid w:val="00AE16E2"/>
    <w:rsid w:val="00AE1853"/>
    <w:rsid w:val="00AE1948"/>
    <w:rsid w:val="00AE19DD"/>
    <w:rsid w:val="00AE1B8B"/>
    <w:rsid w:val="00AE1BD8"/>
    <w:rsid w:val="00AE1CB0"/>
    <w:rsid w:val="00AE1F05"/>
    <w:rsid w:val="00AE2631"/>
    <w:rsid w:val="00AE26B0"/>
    <w:rsid w:val="00AE2B75"/>
    <w:rsid w:val="00AE2CBF"/>
    <w:rsid w:val="00AE2D48"/>
    <w:rsid w:val="00AE2F93"/>
    <w:rsid w:val="00AE311C"/>
    <w:rsid w:val="00AE334D"/>
    <w:rsid w:val="00AE3572"/>
    <w:rsid w:val="00AE3673"/>
    <w:rsid w:val="00AE375E"/>
    <w:rsid w:val="00AE386A"/>
    <w:rsid w:val="00AE391C"/>
    <w:rsid w:val="00AE3AF3"/>
    <w:rsid w:val="00AE3E61"/>
    <w:rsid w:val="00AE3E63"/>
    <w:rsid w:val="00AE3EF9"/>
    <w:rsid w:val="00AE41E8"/>
    <w:rsid w:val="00AE425E"/>
    <w:rsid w:val="00AE441E"/>
    <w:rsid w:val="00AE44F2"/>
    <w:rsid w:val="00AE469A"/>
    <w:rsid w:val="00AE4723"/>
    <w:rsid w:val="00AE4762"/>
    <w:rsid w:val="00AE49F7"/>
    <w:rsid w:val="00AE4A06"/>
    <w:rsid w:val="00AE4BE4"/>
    <w:rsid w:val="00AE4BE5"/>
    <w:rsid w:val="00AE4C80"/>
    <w:rsid w:val="00AE4D25"/>
    <w:rsid w:val="00AE4D46"/>
    <w:rsid w:val="00AE4F2C"/>
    <w:rsid w:val="00AE536D"/>
    <w:rsid w:val="00AE5654"/>
    <w:rsid w:val="00AE56B2"/>
    <w:rsid w:val="00AE58C6"/>
    <w:rsid w:val="00AE5967"/>
    <w:rsid w:val="00AE5C43"/>
    <w:rsid w:val="00AE5FA2"/>
    <w:rsid w:val="00AE6119"/>
    <w:rsid w:val="00AE613E"/>
    <w:rsid w:val="00AE619F"/>
    <w:rsid w:val="00AE63DE"/>
    <w:rsid w:val="00AE658B"/>
    <w:rsid w:val="00AE6842"/>
    <w:rsid w:val="00AE69F2"/>
    <w:rsid w:val="00AE6A3D"/>
    <w:rsid w:val="00AE6F87"/>
    <w:rsid w:val="00AE6FAA"/>
    <w:rsid w:val="00AE7190"/>
    <w:rsid w:val="00AE719A"/>
    <w:rsid w:val="00AE73CE"/>
    <w:rsid w:val="00AE7611"/>
    <w:rsid w:val="00AE7A1A"/>
    <w:rsid w:val="00AE7A35"/>
    <w:rsid w:val="00AE7E56"/>
    <w:rsid w:val="00AE7F6F"/>
    <w:rsid w:val="00AF00B0"/>
    <w:rsid w:val="00AF00C2"/>
    <w:rsid w:val="00AF0168"/>
    <w:rsid w:val="00AF03DB"/>
    <w:rsid w:val="00AF04FC"/>
    <w:rsid w:val="00AF074C"/>
    <w:rsid w:val="00AF094A"/>
    <w:rsid w:val="00AF0CBD"/>
    <w:rsid w:val="00AF0D18"/>
    <w:rsid w:val="00AF0D80"/>
    <w:rsid w:val="00AF0E96"/>
    <w:rsid w:val="00AF0F27"/>
    <w:rsid w:val="00AF0F72"/>
    <w:rsid w:val="00AF13ED"/>
    <w:rsid w:val="00AF14B3"/>
    <w:rsid w:val="00AF1739"/>
    <w:rsid w:val="00AF17D8"/>
    <w:rsid w:val="00AF18D5"/>
    <w:rsid w:val="00AF1AC2"/>
    <w:rsid w:val="00AF1AEC"/>
    <w:rsid w:val="00AF1CB4"/>
    <w:rsid w:val="00AF2033"/>
    <w:rsid w:val="00AF21F7"/>
    <w:rsid w:val="00AF2478"/>
    <w:rsid w:val="00AF263D"/>
    <w:rsid w:val="00AF2782"/>
    <w:rsid w:val="00AF27B5"/>
    <w:rsid w:val="00AF2A59"/>
    <w:rsid w:val="00AF2A8B"/>
    <w:rsid w:val="00AF2A9E"/>
    <w:rsid w:val="00AF2E08"/>
    <w:rsid w:val="00AF2F5D"/>
    <w:rsid w:val="00AF3074"/>
    <w:rsid w:val="00AF3092"/>
    <w:rsid w:val="00AF3097"/>
    <w:rsid w:val="00AF3164"/>
    <w:rsid w:val="00AF3274"/>
    <w:rsid w:val="00AF32FF"/>
    <w:rsid w:val="00AF3367"/>
    <w:rsid w:val="00AF3503"/>
    <w:rsid w:val="00AF356A"/>
    <w:rsid w:val="00AF37F6"/>
    <w:rsid w:val="00AF37F7"/>
    <w:rsid w:val="00AF39A3"/>
    <w:rsid w:val="00AF3A44"/>
    <w:rsid w:val="00AF3BBC"/>
    <w:rsid w:val="00AF3D5D"/>
    <w:rsid w:val="00AF41CA"/>
    <w:rsid w:val="00AF41EE"/>
    <w:rsid w:val="00AF439F"/>
    <w:rsid w:val="00AF44D5"/>
    <w:rsid w:val="00AF46BC"/>
    <w:rsid w:val="00AF46C8"/>
    <w:rsid w:val="00AF4D19"/>
    <w:rsid w:val="00AF50AC"/>
    <w:rsid w:val="00AF50ED"/>
    <w:rsid w:val="00AF512D"/>
    <w:rsid w:val="00AF5389"/>
    <w:rsid w:val="00AF54DF"/>
    <w:rsid w:val="00AF56BF"/>
    <w:rsid w:val="00AF56C6"/>
    <w:rsid w:val="00AF5CAB"/>
    <w:rsid w:val="00AF6066"/>
    <w:rsid w:val="00AF6275"/>
    <w:rsid w:val="00AF6546"/>
    <w:rsid w:val="00AF68FC"/>
    <w:rsid w:val="00AF6901"/>
    <w:rsid w:val="00AF6954"/>
    <w:rsid w:val="00AF69DD"/>
    <w:rsid w:val="00AF6A68"/>
    <w:rsid w:val="00AF6AC7"/>
    <w:rsid w:val="00AF6B67"/>
    <w:rsid w:val="00AF6BBE"/>
    <w:rsid w:val="00AF6C84"/>
    <w:rsid w:val="00AF6D5A"/>
    <w:rsid w:val="00AF6E34"/>
    <w:rsid w:val="00AF6F9C"/>
    <w:rsid w:val="00AF7192"/>
    <w:rsid w:val="00AF719F"/>
    <w:rsid w:val="00AF7366"/>
    <w:rsid w:val="00AF73BB"/>
    <w:rsid w:val="00AF73DF"/>
    <w:rsid w:val="00AF7484"/>
    <w:rsid w:val="00AF7705"/>
    <w:rsid w:val="00AF7742"/>
    <w:rsid w:val="00AF7904"/>
    <w:rsid w:val="00AF792E"/>
    <w:rsid w:val="00AF7B6B"/>
    <w:rsid w:val="00AF7C4D"/>
    <w:rsid w:val="00AF7E25"/>
    <w:rsid w:val="00AF7E8E"/>
    <w:rsid w:val="00AF7EC2"/>
    <w:rsid w:val="00B000C6"/>
    <w:rsid w:val="00B001B6"/>
    <w:rsid w:val="00B008E8"/>
    <w:rsid w:val="00B00AEA"/>
    <w:rsid w:val="00B00DAC"/>
    <w:rsid w:val="00B011F8"/>
    <w:rsid w:val="00B0124F"/>
    <w:rsid w:val="00B01280"/>
    <w:rsid w:val="00B01291"/>
    <w:rsid w:val="00B012D4"/>
    <w:rsid w:val="00B0153A"/>
    <w:rsid w:val="00B015C4"/>
    <w:rsid w:val="00B015C5"/>
    <w:rsid w:val="00B0169D"/>
    <w:rsid w:val="00B01AD2"/>
    <w:rsid w:val="00B01CB7"/>
    <w:rsid w:val="00B01E11"/>
    <w:rsid w:val="00B02278"/>
    <w:rsid w:val="00B0248E"/>
    <w:rsid w:val="00B02558"/>
    <w:rsid w:val="00B027C8"/>
    <w:rsid w:val="00B027DE"/>
    <w:rsid w:val="00B02AF2"/>
    <w:rsid w:val="00B02BFD"/>
    <w:rsid w:val="00B02CF3"/>
    <w:rsid w:val="00B031B1"/>
    <w:rsid w:val="00B0324C"/>
    <w:rsid w:val="00B0339B"/>
    <w:rsid w:val="00B03522"/>
    <w:rsid w:val="00B038D0"/>
    <w:rsid w:val="00B03956"/>
    <w:rsid w:val="00B0396F"/>
    <w:rsid w:val="00B03B00"/>
    <w:rsid w:val="00B03D31"/>
    <w:rsid w:val="00B03E10"/>
    <w:rsid w:val="00B03F51"/>
    <w:rsid w:val="00B03FAF"/>
    <w:rsid w:val="00B04062"/>
    <w:rsid w:val="00B0429D"/>
    <w:rsid w:val="00B043BE"/>
    <w:rsid w:val="00B0461D"/>
    <w:rsid w:val="00B04E02"/>
    <w:rsid w:val="00B04F03"/>
    <w:rsid w:val="00B050BF"/>
    <w:rsid w:val="00B05201"/>
    <w:rsid w:val="00B05360"/>
    <w:rsid w:val="00B05371"/>
    <w:rsid w:val="00B05772"/>
    <w:rsid w:val="00B05B13"/>
    <w:rsid w:val="00B05D29"/>
    <w:rsid w:val="00B05F67"/>
    <w:rsid w:val="00B06107"/>
    <w:rsid w:val="00B06229"/>
    <w:rsid w:val="00B062D2"/>
    <w:rsid w:val="00B062E0"/>
    <w:rsid w:val="00B065C0"/>
    <w:rsid w:val="00B06623"/>
    <w:rsid w:val="00B068A3"/>
    <w:rsid w:val="00B06A9B"/>
    <w:rsid w:val="00B06BF5"/>
    <w:rsid w:val="00B06C9A"/>
    <w:rsid w:val="00B07347"/>
    <w:rsid w:val="00B0738D"/>
    <w:rsid w:val="00B073CB"/>
    <w:rsid w:val="00B07543"/>
    <w:rsid w:val="00B0759E"/>
    <w:rsid w:val="00B07DAB"/>
    <w:rsid w:val="00B07E82"/>
    <w:rsid w:val="00B101C1"/>
    <w:rsid w:val="00B10392"/>
    <w:rsid w:val="00B10612"/>
    <w:rsid w:val="00B107C8"/>
    <w:rsid w:val="00B107E6"/>
    <w:rsid w:val="00B1081B"/>
    <w:rsid w:val="00B10989"/>
    <w:rsid w:val="00B10D01"/>
    <w:rsid w:val="00B10D7E"/>
    <w:rsid w:val="00B10F0A"/>
    <w:rsid w:val="00B10F9A"/>
    <w:rsid w:val="00B111E4"/>
    <w:rsid w:val="00B1121A"/>
    <w:rsid w:val="00B11250"/>
    <w:rsid w:val="00B11327"/>
    <w:rsid w:val="00B11394"/>
    <w:rsid w:val="00B1139E"/>
    <w:rsid w:val="00B11402"/>
    <w:rsid w:val="00B11591"/>
    <w:rsid w:val="00B11785"/>
    <w:rsid w:val="00B11C56"/>
    <w:rsid w:val="00B11C6B"/>
    <w:rsid w:val="00B12096"/>
    <w:rsid w:val="00B12273"/>
    <w:rsid w:val="00B122AC"/>
    <w:rsid w:val="00B126C9"/>
    <w:rsid w:val="00B1275F"/>
    <w:rsid w:val="00B12844"/>
    <w:rsid w:val="00B12B07"/>
    <w:rsid w:val="00B12B42"/>
    <w:rsid w:val="00B13004"/>
    <w:rsid w:val="00B13097"/>
    <w:rsid w:val="00B13101"/>
    <w:rsid w:val="00B1354F"/>
    <w:rsid w:val="00B1361C"/>
    <w:rsid w:val="00B138CF"/>
    <w:rsid w:val="00B138F8"/>
    <w:rsid w:val="00B13B9F"/>
    <w:rsid w:val="00B13E78"/>
    <w:rsid w:val="00B13E81"/>
    <w:rsid w:val="00B1428A"/>
    <w:rsid w:val="00B142E8"/>
    <w:rsid w:val="00B143B6"/>
    <w:rsid w:val="00B143EE"/>
    <w:rsid w:val="00B1442B"/>
    <w:rsid w:val="00B14558"/>
    <w:rsid w:val="00B146D4"/>
    <w:rsid w:val="00B148AB"/>
    <w:rsid w:val="00B14A17"/>
    <w:rsid w:val="00B14C11"/>
    <w:rsid w:val="00B14D75"/>
    <w:rsid w:val="00B14D94"/>
    <w:rsid w:val="00B15378"/>
    <w:rsid w:val="00B153A3"/>
    <w:rsid w:val="00B155C6"/>
    <w:rsid w:val="00B15786"/>
    <w:rsid w:val="00B15A47"/>
    <w:rsid w:val="00B15D65"/>
    <w:rsid w:val="00B15DDA"/>
    <w:rsid w:val="00B15E5E"/>
    <w:rsid w:val="00B1604E"/>
    <w:rsid w:val="00B162BF"/>
    <w:rsid w:val="00B164B9"/>
    <w:rsid w:val="00B1661A"/>
    <w:rsid w:val="00B16E86"/>
    <w:rsid w:val="00B16ED3"/>
    <w:rsid w:val="00B1705B"/>
    <w:rsid w:val="00B17100"/>
    <w:rsid w:val="00B17340"/>
    <w:rsid w:val="00B173B7"/>
    <w:rsid w:val="00B1755A"/>
    <w:rsid w:val="00B175CC"/>
    <w:rsid w:val="00B17831"/>
    <w:rsid w:val="00B17F11"/>
    <w:rsid w:val="00B20386"/>
    <w:rsid w:val="00B20397"/>
    <w:rsid w:val="00B203F8"/>
    <w:rsid w:val="00B204DE"/>
    <w:rsid w:val="00B20BAD"/>
    <w:rsid w:val="00B20D69"/>
    <w:rsid w:val="00B210BD"/>
    <w:rsid w:val="00B2147B"/>
    <w:rsid w:val="00B21AD2"/>
    <w:rsid w:val="00B22000"/>
    <w:rsid w:val="00B2282B"/>
    <w:rsid w:val="00B22912"/>
    <w:rsid w:val="00B22965"/>
    <w:rsid w:val="00B2297C"/>
    <w:rsid w:val="00B229B9"/>
    <w:rsid w:val="00B22A0A"/>
    <w:rsid w:val="00B22C32"/>
    <w:rsid w:val="00B22EE0"/>
    <w:rsid w:val="00B230F9"/>
    <w:rsid w:val="00B2310C"/>
    <w:rsid w:val="00B234DD"/>
    <w:rsid w:val="00B23830"/>
    <w:rsid w:val="00B23844"/>
    <w:rsid w:val="00B23895"/>
    <w:rsid w:val="00B23936"/>
    <w:rsid w:val="00B239EA"/>
    <w:rsid w:val="00B23DB8"/>
    <w:rsid w:val="00B23F0A"/>
    <w:rsid w:val="00B23F21"/>
    <w:rsid w:val="00B240DA"/>
    <w:rsid w:val="00B240E1"/>
    <w:rsid w:val="00B24285"/>
    <w:rsid w:val="00B244C4"/>
    <w:rsid w:val="00B249B5"/>
    <w:rsid w:val="00B24B9D"/>
    <w:rsid w:val="00B24BB6"/>
    <w:rsid w:val="00B24BC1"/>
    <w:rsid w:val="00B24C8B"/>
    <w:rsid w:val="00B24D3A"/>
    <w:rsid w:val="00B24F19"/>
    <w:rsid w:val="00B24FDD"/>
    <w:rsid w:val="00B2506B"/>
    <w:rsid w:val="00B255DB"/>
    <w:rsid w:val="00B256BF"/>
    <w:rsid w:val="00B257D4"/>
    <w:rsid w:val="00B25832"/>
    <w:rsid w:val="00B25EDF"/>
    <w:rsid w:val="00B25F39"/>
    <w:rsid w:val="00B25F83"/>
    <w:rsid w:val="00B2611B"/>
    <w:rsid w:val="00B2611D"/>
    <w:rsid w:val="00B26197"/>
    <w:rsid w:val="00B2626E"/>
    <w:rsid w:val="00B262CA"/>
    <w:rsid w:val="00B264BE"/>
    <w:rsid w:val="00B2651C"/>
    <w:rsid w:val="00B26589"/>
    <w:rsid w:val="00B26988"/>
    <w:rsid w:val="00B26AC1"/>
    <w:rsid w:val="00B26F94"/>
    <w:rsid w:val="00B26FD1"/>
    <w:rsid w:val="00B272C8"/>
    <w:rsid w:val="00B272DE"/>
    <w:rsid w:val="00B27560"/>
    <w:rsid w:val="00B276D2"/>
    <w:rsid w:val="00B27707"/>
    <w:rsid w:val="00B27A00"/>
    <w:rsid w:val="00B27AAF"/>
    <w:rsid w:val="00B27AE5"/>
    <w:rsid w:val="00B27B34"/>
    <w:rsid w:val="00B27EA2"/>
    <w:rsid w:val="00B30132"/>
    <w:rsid w:val="00B302CC"/>
    <w:rsid w:val="00B30593"/>
    <w:rsid w:val="00B30709"/>
    <w:rsid w:val="00B30762"/>
    <w:rsid w:val="00B30A15"/>
    <w:rsid w:val="00B30AB4"/>
    <w:rsid w:val="00B30C31"/>
    <w:rsid w:val="00B30C36"/>
    <w:rsid w:val="00B30E03"/>
    <w:rsid w:val="00B30E8B"/>
    <w:rsid w:val="00B30FC7"/>
    <w:rsid w:val="00B310E0"/>
    <w:rsid w:val="00B3154E"/>
    <w:rsid w:val="00B31701"/>
    <w:rsid w:val="00B3197B"/>
    <w:rsid w:val="00B31AD3"/>
    <w:rsid w:val="00B31B76"/>
    <w:rsid w:val="00B31C6F"/>
    <w:rsid w:val="00B31EF6"/>
    <w:rsid w:val="00B31FCE"/>
    <w:rsid w:val="00B31FED"/>
    <w:rsid w:val="00B32100"/>
    <w:rsid w:val="00B3213E"/>
    <w:rsid w:val="00B32193"/>
    <w:rsid w:val="00B322F6"/>
    <w:rsid w:val="00B3233F"/>
    <w:rsid w:val="00B3238A"/>
    <w:rsid w:val="00B3241D"/>
    <w:rsid w:val="00B32465"/>
    <w:rsid w:val="00B324B1"/>
    <w:rsid w:val="00B324BD"/>
    <w:rsid w:val="00B325C5"/>
    <w:rsid w:val="00B325D6"/>
    <w:rsid w:val="00B326E1"/>
    <w:rsid w:val="00B32802"/>
    <w:rsid w:val="00B32888"/>
    <w:rsid w:val="00B328AC"/>
    <w:rsid w:val="00B32A95"/>
    <w:rsid w:val="00B32B80"/>
    <w:rsid w:val="00B32CBC"/>
    <w:rsid w:val="00B3305A"/>
    <w:rsid w:val="00B33133"/>
    <w:rsid w:val="00B332F4"/>
    <w:rsid w:val="00B334E4"/>
    <w:rsid w:val="00B33797"/>
    <w:rsid w:val="00B33940"/>
    <w:rsid w:val="00B33A5E"/>
    <w:rsid w:val="00B33B43"/>
    <w:rsid w:val="00B33EBF"/>
    <w:rsid w:val="00B33F81"/>
    <w:rsid w:val="00B340C3"/>
    <w:rsid w:val="00B34144"/>
    <w:rsid w:val="00B3441B"/>
    <w:rsid w:val="00B346CE"/>
    <w:rsid w:val="00B3475A"/>
    <w:rsid w:val="00B34915"/>
    <w:rsid w:val="00B349A8"/>
    <w:rsid w:val="00B34A68"/>
    <w:rsid w:val="00B34AEE"/>
    <w:rsid w:val="00B34D5F"/>
    <w:rsid w:val="00B34F65"/>
    <w:rsid w:val="00B354C6"/>
    <w:rsid w:val="00B355DE"/>
    <w:rsid w:val="00B35784"/>
    <w:rsid w:val="00B359E8"/>
    <w:rsid w:val="00B35B3A"/>
    <w:rsid w:val="00B35C0A"/>
    <w:rsid w:val="00B35C71"/>
    <w:rsid w:val="00B35E17"/>
    <w:rsid w:val="00B361DF"/>
    <w:rsid w:val="00B361EF"/>
    <w:rsid w:val="00B36234"/>
    <w:rsid w:val="00B363AA"/>
    <w:rsid w:val="00B363F2"/>
    <w:rsid w:val="00B367AC"/>
    <w:rsid w:val="00B36B6E"/>
    <w:rsid w:val="00B36CA6"/>
    <w:rsid w:val="00B36ECA"/>
    <w:rsid w:val="00B36F2E"/>
    <w:rsid w:val="00B36F78"/>
    <w:rsid w:val="00B37082"/>
    <w:rsid w:val="00B37250"/>
    <w:rsid w:val="00B3758A"/>
    <w:rsid w:val="00B377F6"/>
    <w:rsid w:val="00B378EB"/>
    <w:rsid w:val="00B37BFC"/>
    <w:rsid w:val="00B37C0F"/>
    <w:rsid w:val="00B37C5E"/>
    <w:rsid w:val="00B37D22"/>
    <w:rsid w:val="00B37D33"/>
    <w:rsid w:val="00B37DFF"/>
    <w:rsid w:val="00B37E20"/>
    <w:rsid w:val="00B37EC3"/>
    <w:rsid w:val="00B37EEB"/>
    <w:rsid w:val="00B37F55"/>
    <w:rsid w:val="00B400E1"/>
    <w:rsid w:val="00B400E5"/>
    <w:rsid w:val="00B404C9"/>
    <w:rsid w:val="00B4064C"/>
    <w:rsid w:val="00B4069B"/>
    <w:rsid w:val="00B40818"/>
    <w:rsid w:val="00B408B4"/>
    <w:rsid w:val="00B411EC"/>
    <w:rsid w:val="00B412CF"/>
    <w:rsid w:val="00B4175B"/>
    <w:rsid w:val="00B4192A"/>
    <w:rsid w:val="00B419A9"/>
    <w:rsid w:val="00B41A33"/>
    <w:rsid w:val="00B41C96"/>
    <w:rsid w:val="00B41CBE"/>
    <w:rsid w:val="00B41D00"/>
    <w:rsid w:val="00B41DC2"/>
    <w:rsid w:val="00B41DFA"/>
    <w:rsid w:val="00B42128"/>
    <w:rsid w:val="00B4233F"/>
    <w:rsid w:val="00B42471"/>
    <w:rsid w:val="00B42633"/>
    <w:rsid w:val="00B4274E"/>
    <w:rsid w:val="00B429D3"/>
    <w:rsid w:val="00B42BF2"/>
    <w:rsid w:val="00B42D7A"/>
    <w:rsid w:val="00B42DAF"/>
    <w:rsid w:val="00B42F56"/>
    <w:rsid w:val="00B42FF4"/>
    <w:rsid w:val="00B4310C"/>
    <w:rsid w:val="00B43528"/>
    <w:rsid w:val="00B4357E"/>
    <w:rsid w:val="00B438D8"/>
    <w:rsid w:val="00B438DC"/>
    <w:rsid w:val="00B43983"/>
    <w:rsid w:val="00B43AFC"/>
    <w:rsid w:val="00B43D4F"/>
    <w:rsid w:val="00B43F70"/>
    <w:rsid w:val="00B4440C"/>
    <w:rsid w:val="00B444F5"/>
    <w:rsid w:val="00B44617"/>
    <w:rsid w:val="00B447DC"/>
    <w:rsid w:val="00B4494E"/>
    <w:rsid w:val="00B44996"/>
    <w:rsid w:val="00B449E9"/>
    <w:rsid w:val="00B44B60"/>
    <w:rsid w:val="00B44D81"/>
    <w:rsid w:val="00B44E61"/>
    <w:rsid w:val="00B44E9F"/>
    <w:rsid w:val="00B44F21"/>
    <w:rsid w:val="00B4516C"/>
    <w:rsid w:val="00B45388"/>
    <w:rsid w:val="00B453D0"/>
    <w:rsid w:val="00B454BC"/>
    <w:rsid w:val="00B45AA4"/>
    <w:rsid w:val="00B45ACC"/>
    <w:rsid w:val="00B45E0E"/>
    <w:rsid w:val="00B45E27"/>
    <w:rsid w:val="00B45F04"/>
    <w:rsid w:val="00B45F71"/>
    <w:rsid w:val="00B45FFB"/>
    <w:rsid w:val="00B46161"/>
    <w:rsid w:val="00B462E5"/>
    <w:rsid w:val="00B46316"/>
    <w:rsid w:val="00B46477"/>
    <w:rsid w:val="00B464D2"/>
    <w:rsid w:val="00B46666"/>
    <w:rsid w:val="00B4681A"/>
    <w:rsid w:val="00B46915"/>
    <w:rsid w:val="00B469CD"/>
    <w:rsid w:val="00B46DDA"/>
    <w:rsid w:val="00B46E3B"/>
    <w:rsid w:val="00B46EC8"/>
    <w:rsid w:val="00B471D0"/>
    <w:rsid w:val="00B472A9"/>
    <w:rsid w:val="00B473BE"/>
    <w:rsid w:val="00B473F7"/>
    <w:rsid w:val="00B47420"/>
    <w:rsid w:val="00B47934"/>
    <w:rsid w:val="00B47AB8"/>
    <w:rsid w:val="00B47E66"/>
    <w:rsid w:val="00B5001D"/>
    <w:rsid w:val="00B5018B"/>
    <w:rsid w:val="00B501DC"/>
    <w:rsid w:val="00B504A5"/>
    <w:rsid w:val="00B5055E"/>
    <w:rsid w:val="00B506BE"/>
    <w:rsid w:val="00B50751"/>
    <w:rsid w:val="00B50793"/>
    <w:rsid w:val="00B50829"/>
    <w:rsid w:val="00B50B18"/>
    <w:rsid w:val="00B50C80"/>
    <w:rsid w:val="00B50DB6"/>
    <w:rsid w:val="00B50E57"/>
    <w:rsid w:val="00B50F91"/>
    <w:rsid w:val="00B51075"/>
    <w:rsid w:val="00B510E6"/>
    <w:rsid w:val="00B511CC"/>
    <w:rsid w:val="00B5132F"/>
    <w:rsid w:val="00B513AE"/>
    <w:rsid w:val="00B51571"/>
    <w:rsid w:val="00B515E8"/>
    <w:rsid w:val="00B51824"/>
    <w:rsid w:val="00B51878"/>
    <w:rsid w:val="00B51959"/>
    <w:rsid w:val="00B51A30"/>
    <w:rsid w:val="00B51BC4"/>
    <w:rsid w:val="00B51DF2"/>
    <w:rsid w:val="00B51E68"/>
    <w:rsid w:val="00B51FD5"/>
    <w:rsid w:val="00B52220"/>
    <w:rsid w:val="00B5238C"/>
    <w:rsid w:val="00B5255C"/>
    <w:rsid w:val="00B527D2"/>
    <w:rsid w:val="00B528BB"/>
    <w:rsid w:val="00B52969"/>
    <w:rsid w:val="00B52A23"/>
    <w:rsid w:val="00B52B20"/>
    <w:rsid w:val="00B52B28"/>
    <w:rsid w:val="00B52E83"/>
    <w:rsid w:val="00B52FA9"/>
    <w:rsid w:val="00B530D9"/>
    <w:rsid w:val="00B53382"/>
    <w:rsid w:val="00B534C4"/>
    <w:rsid w:val="00B5357A"/>
    <w:rsid w:val="00B5362E"/>
    <w:rsid w:val="00B5364F"/>
    <w:rsid w:val="00B53735"/>
    <w:rsid w:val="00B5396F"/>
    <w:rsid w:val="00B53BD8"/>
    <w:rsid w:val="00B53C6E"/>
    <w:rsid w:val="00B53D26"/>
    <w:rsid w:val="00B53E61"/>
    <w:rsid w:val="00B53E82"/>
    <w:rsid w:val="00B53E83"/>
    <w:rsid w:val="00B54071"/>
    <w:rsid w:val="00B54125"/>
    <w:rsid w:val="00B543F3"/>
    <w:rsid w:val="00B545E6"/>
    <w:rsid w:val="00B547F8"/>
    <w:rsid w:val="00B54817"/>
    <w:rsid w:val="00B54B5E"/>
    <w:rsid w:val="00B54D37"/>
    <w:rsid w:val="00B54DCE"/>
    <w:rsid w:val="00B54FB6"/>
    <w:rsid w:val="00B552E4"/>
    <w:rsid w:val="00B55363"/>
    <w:rsid w:val="00B5541C"/>
    <w:rsid w:val="00B555B4"/>
    <w:rsid w:val="00B55639"/>
    <w:rsid w:val="00B55919"/>
    <w:rsid w:val="00B55A9C"/>
    <w:rsid w:val="00B55FE1"/>
    <w:rsid w:val="00B5606E"/>
    <w:rsid w:val="00B56074"/>
    <w:rsid w:val="00B56188"/>
    <w:rsid w:val="00B561EC"/>
    <w:rsid w:val="00B5659D"/>
    <w:rsid w:val="00B56729"/>
    <w:rsid w:val="00B56930"/>
    <w:rsid w:val="00B5697C"/>
    <w:rsid w:val="00B569B7"/>
    <w:rsid w:val="00B56C91"/>
    <w:rsid w:val="00B56CBF"/>
    <w:rsid w:val="00B56D50"/>
    <w:rsid w:val="00B56DC9"/>
    <w:rsid w:val="00B56E5A"/>
    <w:rsid w:val="00B56F58"/>
    <w:rsid w:val="00B570CE"/>
    <w:rsid w:val="00B5729A"/>
    <w:rsid w:val="00B574CD"/>
    <w:rsid w:val="00B57508"/>
    <w:rsid w:val="00B57601"/>
    <w:rsid w:val="00B57614"/>
    <w:rsid w:val="00B57616"/>
    <w:rsid w:val="00B576CB"/>
    <w:rsid w:val="00B57868"/>
    <w:rsid w:val="00B5796F"/>
    <w:rsid w:val="00B57ACB"/>
    <w:rsid w:val="00B57EF3"/>
    <w:rsid w:val="00B6066A"/>
    <w:rsid w:val="00B60704"/>
    <w:rsid w:val="00B60794"/>
    <w:rsid w:val="00B60828"/>
    <w:rsid w:val="00B60C3A"/>
    <w:rsid w:val="00B60C9D"/>
    <w:rsid w:val="00B60CFB"/>
    <w:rsid w:val="00B60E36"/>
    <w:rsid w:val="00B6119E"/>
    <w:rsid w:val="00B611DC"/>
    <w:rsid w:val="00B61658"/>
    <w:rsid w:val="00B616D7"/>
    <w:rsid w:val="00B61901"/>
    <w:rsid w:val="00B61CF4"/>
    <w:rsid w:val="00B62260"/>
    <w:rsid w:val="00B62602"/>
    <w:rsid w:val="00B6285A"/>
    <w:rsid w:val="00B62F1C"/>
    <w:rsid w:val="00B62FB5"/>
    <w:rsid w:val="00B63011"/>
    <w:rsid w:val="00B63059"/>
    <w:rsid w:val="00B6307D"/>
    <w:rsid w:val="00B63165"/>
    <w:rsid w:val="00B632C7"/>
    <w:rsid w:val="00B636E8"/>
    <w:rsid w:val="00B6371E"/>
    <w:rsid w:val="00B6373B"/>
    <w:rsid w:val="00B63775"/>
    <w:rsid w:val="00B638BF"/>
    <w:rsid w:val="00B638EB"/>
    <w:rsid w:val="00B639A2"/>
    <w:rsid w:val="00B63B90"/>
    <w:rsid w:val="00B63C34"/>
    <w:rsid w:val="00B63E40"/>
    <w:rsid w:val="00B63EEB"/>
    <w:rsid w:val="00B64026"/>
    <w:rsid w:val="00B6405A"/>
    <w:rsid w:val="00B643C8"/>
    <w:rsid w:val="00B6474B"/>
    <w:rsid w:val="00B647F8"/>
    <w:rsid w:val="00B64821"/>
    <w:rsid w:val="00B64AB6"/>
    <w:rsid w:val="00B64B07"/>
    <w:rsid w:val="00B650C8"/>
    <w:rsid w:val="00B65285"/>
    <w:rsid w:val="00B6531D"/>
    <w:rsid w:val="00B6531E"/>
    <w:rsid w:val="00B654A3"/>
    <w:rsid w:val="00B657B2"/>
    <w:rsid w:val="00B65906"/>
    <w:rsid w:val="00B65974"/>
    <w:rsid w:val="00B65C1F"/>
    <w:rsid w:val="00B65CC7"/>
    <w:rsid w:val="00B65D17"/>
    <w:rsid w:val="00B65E06"/>
    <w:rsid w:val="00B65F0E"/>
    <w:rsid w:val="00B65FE0"/>
    <w:rsid w:val="00B662DA"/>
    <w:rsid w:val="00B662F2"/>
    <w:rsid w:val="00B66353"/>
    <w:rsid w:val="00B66BDF"/>
    <w:rsid w:val="00B66BF0"/>
    <w:rsid w:val="00B66CD3"/>
    <w:rsid w:val="00B66D6E"/>
    <w:rsid w:val="00B66D7C"/>
    <w:rsid w:val="00B66E2E"/>
    <w:rsid w:val="00B670CA"/>
    <w:rsid w:val="00B6715B"/>
    <w:rsid w:val="00B67177"/>
    <w:rsid w:val="00B6729B"/>
    <w:rsid w:val="00B676A3"/>
    <w:rsid w:val="00B67734"/>
    <w:rsid w:val="00B678FB"/>
    <w:rsid w:val="00B6790C"/>
    <w:rsid w:val="00B67A33"/>
    <w:rsid w:val="00B67CC6"/>
    <w:rsid w:val="00B67CCA"/>
    <w:rsid w:val="00B67D58"/>
    <w:rsid w:val="00B67E9C"/>
    <w:rsid w:val="00B70228"/>
    <w:rsid w:val="00B70436"/>
    <w:rsid w:val="00B704D0"/>
    <w:rsid w:val="00B70880"/>
    <w:rsid w:val="00B708B1"/>
    <w:rsid w:val="00B70C77"/>
    <w:rsid w:val="00B70DB4"/>
    <w:rsid w:val="00B70E0F"/>
    <w:rsid w:val="00B70E61"/>
    <w:rsid w:val="00B70F1E"/>
    <w:rsid w:val="00B710FF"/>
    <w:rsid w:val="00B71241"/>
    <w:rsid w:val="00B71301"/>
    <w:rsid w:val="00B714C0"/>
    <w:rsid w:val="00B714F3"/>
    <w:rsid w:val="00B716BD"/>
    <w:rsid w:val="00B719C2"/>
    <w:rsid w:val="00B71AF2"/>
    <w:rsid w:val="00B71B10"/>
    <w:rsid w:val="00B71BAF"/>
    <w:rsid w:val="00B71CFF"/>
    <w:rsid w:val="00B71D5E"/>
    <w:rsid w:val="00B71F08"/>
    <w:rsid w:val="00B725B0"/>
    <w:rsid w:val="00B72793"/>
    <w:rsid w:val="00B7283C"/>
    <w:rsid w:val="00B72AA5"/>
    <w:rsid w:val="00B72DB8"/>
    <w:rsid w:val="00B72EA7"/>
    <w:rsid w:val="00B72EF1"/>
    <w:rsid w:val="00B7317F"/>
    <w:rsid w:val="00B731B5"/>
    <w:rsid w:val="00B7343E"/>
    <w:rsid w:val="00B736CB"/>
    <w:rsid w:val="00B737F7"/>
    <w:rsid w:val="00B73953"/>
    <w:rsid w:val="00B739DC"/>
    <w:rsid w:val="00B73A1B"/>
    <w:rsid w:val="00B73A88"/>
    <w:rsid w:val="00B73DF9"/>
    <w:rsid w:val="00B73EE2"/>
    <w:rsid w:val="00B73FCA"/>
    <w:rsid w:val="00B74347"/>
    <w:rsid w:val="00B746DD"/>
    <w:rsid w:val="00B74715"/>
    <w:rsid w:val="00B74974"/>
    <w:rsid w:val="00B74D73"/>
    <w:rsid w:val="00B74E8E"/>
    <w:rsid w:val="00B75196"/>
    <w:rsid w:val="00B751A6"/>
    <w:rsid w:val="00B756C7"/>
    <w:rsid w:val="00B7581C"/>
    <w:rsid w:val="00B7592B"/>
    <w:rsid w:val="00B7599E"/>
    <w:rsid w:val="00B75B48"/>
    <w:rsid w:val="00B75E3A"/>
    <w:rsid w:val="00B75E7F"/>
    <w:rsid w:val="00B76295"/>
    <w:rsid w:val="00B7644A"/>
    <w:rsid w:val="00B7652C"/>
    <w:rsid w:val="00B7676B"/>
    <w:rsid w:val="00B767E3"/>
    <w:rsid w:val="00B768C5"/>
    <w:rsid w:val="00B76932"/>
    <w:rsid w:val="00B76954"/>
    <w:rsid w:val="00B76A34"/>
    <w:rsid w:val="00B76E25"/>
    <w:rsid w:val="00B76E5B"/>
    <w:rsid w:val="00B770F7"/>
    <w:rsid w:val="00B77300"/>
    <w:rsid w:val="00B773FE"/>
    <w:rsid w:val="00B7779F"/>
    <w:rsid w:val="00B77AA1"/>
    <w:rsid w:val="00B80039"/>
    <w:rsid w:val="00B8016B"/>
    <w:rsid w:val="00B80476"/>
    <w:rsid w:val="00B80C78"/>
    <w:rsid w:val="00B810AC"/>
    <w:rsid w:val="00B810C6"/>
    <w:rsid w:val="00B810D8"/>
    <w:rsid w:val="00B811AC"/>
    <w:rsid w:val="00B813F9"/>
    <w:rsid w:val="00B819B7"/>
    <w:rsid w:val="00B81FF8"/>
    <w:rsid w:val="00B82195"/>
    <w:rsid w:val="00B825B3"/>
    <w:rsid w:val="00B82F1F"/>
    <w:rsid w:val="00B83075"/>
    <w:rsid w:val="00B8309C"/>
    <w:rsid w:val="00B83232"/>
    <w:rsid w:val="00B832DD"/>
    <w:rsid w:val="00B83310"/>
    <w:rsid w:val="00B83318"/>
    <w:rsid w:val="00B8339C"/>
    <w:rsid w:val="00B83842"/>
    <w:rsid w:val="00B838DD"/>
    <w:rsid w:val="00B83978"/>
    <w:rsid w:val="00B83BBD"/>
    <w:rsid w:val="00B83BBF"/>
    <w:rsid w:val="00B83E79"/>
    <w:rsid w:val="00B83FEA"/>
    <w:rsid w:val="00B8406C"/>
    <w:rsid w:val="00B84328"/>
    <w:rsid w:val="00B8444B"/>
    <w:rsid w:val="00B8444E"/>
    <w:rsid w:val="00B8453F"/>
    <w:rsid w:val="00B8462C"/>
    <w:rsid w:val="00B846F2"/>
    <w:rsid w:val="00B8471D"/>
    <w:rsid w:val="00B849D5"/>
    <w:rsid w:val="00B84D69"/>
    <w:rsid w:val="00B84D8B"/>
    <w:rsid w:val="00B84E3E"/>
    <w:rsid w:val="00B850B8"/>
    <w:rsid w:val="00B85393"/>
    <w:rsid w:val="00B85477"/>
    <w:rsid w:val="00B855B1"/>
    <w:rsid w:val="00B8571E"/>
    <w:rsid w:val="00B8574D"/>
    <w:rsid w:val="00B85A4F"/>
    <w:rsid w:val="00B85A72"/>
    <w:rsid w:val="00B85CE8"/>
    <w:rsid w:val="00B85DD5"/>
    <w:rsid w:val="00B85E90"/>
    <w:rsid w:val="00B86080"/>
    <w:rsid w:val="00B8612B"/>
    <w:rsid w:val="00B86274"/>
    <w:rsid w:val="00B8636F"/>
    <w:rsid w:val="00B86392"/>
    <w:rsid w:val="00B86661"/>
    <w:rsid w:val="00B866BE"/>
    <w:rsid w:val="00B86729"/>
    <w:rsid w:val="00B86974"/>
    <w:rsid w:val="00B86B54"/>
    <w:rsid w:val="00B86C42"/>
    <w:rsid w:val="00B86CE9"/>
    <w:rsid w:val="00B86D14"/>
    <w:rsid w:val="00B8708D"/>
    <w:rsid w:val="00B872A1"/>
    <w:rsid w:val="00B872E7"/>
    <w:rsid w:val="00B8734F"/>
    <w:rsid w:val="00B873C5"/>
    <w:rsid w:val="00B8744C"/>
    <w:rsid w:val="00B879EC"/>
    <w:rsid w:val="00B87BBC"/>
    <w:rsid w:val="00B87EE9"/>
    <w:rsid w:val="00B90333"/>
    <w:rsid w:val="00B9033D"/>
    <w:rsid w:val="00B903D0"/>
    <w:rsid w:val="00B9051B"/>
    <w:rsid w:val="00B90763"/>
    <w:rsid w:val="00B908D6"/>
    <w:rsid w:val="00B90986"/>
    <w:rsid w:val="00B909C3"/>
    <w:rsid w:val="00B90A08"/>
    <w:rsid w:val="00B90BBE"/>
    <w:rsid w:val="00B90C06"/>
    <w:rsid w:val="00B90C34"/>
    <w:rsid w:val="00B90F56"/>
    <w:rsid w:val="00B91181"/>
    <w:rsid w:val="00B91282"/>
    <w:rsid w:val="00B9141F"/>
    <w:rsid w:val="00B914CF"/>
    <w:rsid w:val="00B917A0"/>
    <w:rsid w:val="00B919D9"/>
    <w:rsid w:val="00B91A70"/>
    <w:rsid w:val="00B91B00"/>
    <w:rsid w:val="00B91E73"/>
    <w:rsid w:val="00B91F8A"/>
    <w:rsid w:val="00B92030"/>
    <w:rsid w:val="00B921EC"/>
    <w:rsid w:val="00B9250C"/>
    <w:rsid w:val="00B925B4"/>
    <w:rsid w:val="00B92666"/>
    <w:rsid w:val="00B92728"/>
    <w:rsid w:val="00B92730"/>
    <w:rsid w:val="00B92A39"/>
    <w:rsid w:val="00B92B1D"/>
    <w:rsid w:val="00B92CB0"/>
    <w:rsid w:val="00B92CF9"/>
    <w:rsid w:val="00B92D72"/>
    <w:rsid w:val="00B92DF5"/>
    <w:rsid w:val="00B92FB0"/>
    <w:rsid w:val="00B93142"/>
    <w:rsid w:val="00B932A8"/>
    <w:rsid w:val="00B9332A"/>
    <w:rsid w:val="00B934BE"/>
    <w:rsid w:val="00B934CC"/>
    <w:rsid w:val="00B93537"/>
    <w:rsid w:val="00B9359A"/>
    <w:rsid w:val="00B938EF"/>
    <w:rsid w:val="00B93BA9"/>
    <w:rsid w:val="00B93C43"/>
    <w:rsid w:val="00B93EE1"/>
    <w:rsid w:val="00B94200"/>
    <w:rsid w:val="00B94257"/>
    <w:rsid w:val="00B944D1"/>
    <w:rsid w:val="00B9467C"/>
    <w:rsid w:val="00B9475C"/>
    <w:rsid w:val="00B949E5"/>
    <w:rsid w:val="00B94B12"/>
    <w:rsid w:val="00B94CBE"/>
    <w:rsid w:val="00B94CF6"/>
    <w:rsid w:val="00B94D2F"/>
    <w:rsid w:val="00B94D8D"/>
    <w:rsid w:val="00B94EC8"/>
    <w:rsid w:val="00B94ECE"/>
    <w:rsid w:val="00B94F28"/>
    <w:rsid w:val="00B95284"/>
    <w:rsid w:val="00B9537C"/>
    <w:rsid w:val="00B954CF"/>
    <w:rsid w:val="00B955C7"/>
    <w:rsid w:val="00B9581E"/>
    <w:rsid w:val="00B9585E"/>
    <w:rsid w:val="00B95892"/>
    <w:rsid w:val="00B958FB"/>
    <w:rsid w:val="00B95BBC"/>
    <w:rsid w:val="00B95BED"/>
    <w:rsid w:val="00B95D19"/>
    <w:rsid w:val="00B95D71"/>
    <w:rsid w:val="00B95F35"/>
    <w:rsid w:val="00B96129"/>
    <w:rsid w:val="00B961A7"/>
    <w:rsid w:val="00B964E1"/>
    <w:rsid w:val="00B966FB"/>
    <w:rsid w:val="00B968B5"/>
    <w:rsid w:val="00B96A5F"/>
    <w:rsid w:val="00B96D89"/>
    <w:rsid w:val="00B96DB6"/>
    <w:rsid w:val="00B972B9"/>
    <w:rsid w:val="00B97596"/>
    <w:rsid w:val="00B97817"/>
    <w:rsid w:val="00B97B2D"/>
    <w:rsid w:val="00B97C6E"/>
    <w:rsid w:val="00B97CA8"/>
    <w:rsid w:val="00B97EC0"/>
    <w:rsid w:val="00BA004C"/>
    <w:rsid w:val="00BA00A9"/>
    <w:rsid w:val="00BA010D"/>
    <w:rsid w:val="00BA01BA"/>
    <w:rsid w:val="00BA0256"/>
    <w:rsid w:val="00BA0307"/>
    <w:rsid w:val="00BA04F8"/>
    <w:rsid w:val="00BA06D2"/>
    <w:rsid w:val="00BA07A2"/>
    <w:rsid w:val="00BA0ADA"/>
    <w:rsid w:val="00BA0D44"/>
    <w:rsid w:val="00BA0E58"/>
    <w:rsid w:val="00BA0E87"/>
    <w:rsid w:val="00BA0FEC"/>
    <w:rsid w:val="00BA1020"/>
    <w:rsid w:val="00BA12CF"/>
    <w:rsid w:val="00BA12D0"/>
    <w:rsid w:val="00BA1A32"/>
    <w:rsid w:val="00BA1B64"/>
    <w:rsid w:val="00BA1D4E"/>
    <w:rsid w:val="00BA2075"/>
    <w:rsid w:val="00BA20BC"/>
    <w:rsid w:val="00BA22C5"/>
    <w:rsid w:val="00BA2420"/>
    <w:rsid w:val="00BA247C"/>
    <w:rsid w:val="00BA2970"/>
    <w:rsid w:val="00BA29BE"/>
    <w:rsid w:val="00BA2C17"/>
    <w:rsid w:val="00BA2CAF"/>
    <w:rsid w:val="00BA2D4E"/>
    <w:rsid w:val="00BA2E3B"/>
    <w:rsid w:val="00BA2FDB"/>
    <w:rsid w:val="00BA31E9"/>
    <w:rsid w:val="00BA332B"/>
    <w:rsid w:val="00BA35C7"/>
    <w:rsid w:val="00BA3653"/>
    <w:rsid w:val="00BA3666"/>
    <w:rsid w:val="00BA36C1"/>
    <w:rsid w:val="00BA3747"/>
    <w:rsid w:val="00BA38FC"/>
    <w:rsid w:val="00BA425A"/>
    <w:rsid w:val="00BA42C6"/>
    <w:rsid w:val="00BA4391"/>
    <w:rsid w:val="00BA4406"/>
    <w:rsid w:val="00BA4521"/>
    <w:rsid w:val="00BA45A3"/>
    <w:rsid w:val="00BA461B"/>
    <w:rsid w:val="00BA4683"/>
    <w:rsid w:val="00BA475A"/>
    <w:rsid w:val="00BA47D6"/>
    <w:rsid w:val="00BA48CB"/>
    <w:rsid w:val="00BA4AA4"/>
    <w:rsid w:val="00BA4DED"/>
    <w:rsid w:val="00BA4EA4"/>
    <w:rsid w:val="00BA4EFF"/>
    <w:rsid w:val="00BA4F7C"/>
    <w:rsid w:val="00BA502E"/>
    <w:rsid w:val="00BA5197"/>
    <w:rsid w:val="00BA53A2"/>
    <w:rsid w:val="00BA5543"/>
    <w:rsid w:val="00BA557B"/>
    <w:rsid w:val="00BA5799"/>
    <w:rsid w:val="00BA58B0"/>
    <w:rsid w:val="00BA5B04"/>
    <w:rsid w:val="00BA5B62"/>
    <w:rsid w:val="00BA5BB1"/>
    <w:rsid w:val="00BA5BFA"/>
    <w:rsid w:val="00BA6254"/>
    <w:rsid w:val="00BA65B6"/>
    <w:rsid w:val="00BA69CA"/>
    <w:rsid w:val="00BA6A6D"/>
    <w:rsid w:val="00BA6AB5"/>
    <w:rsid w:val="00BA6AD2"/>
    <w:rsid w:val="00BA6CF5"/>
    <w:rsid w:val="00BA6D8E"/>
    <w:rsid w:val="00BA6FE8"/>
    <w:rsid w:val="00BA70A3"/>
    <w:rsid w:val="00BA7568"/>
    <w:rsid w:val="00BA7EA0"/>
    <w:rsid w:val="00BA7EB3"/>
    <w:rsid w:val="00BB0137"/>
    <w:rsid w:val="00BB025F"/>
    <w:rsid w:val="00BB02C0"/>
    <w:rsid w:val="00BB044B"/>
    <w:rsid w:val="00BB0B99"/>
    <w:rsid w:val="00BB0D99"/>
    <w:rsid w:val="00BB0DB9"/>
    <w:rsid w:val="00BB11F3"/>
    <w:rsid w:val="00BB13A4"/>
    <w:rsid w:val="00BB14F9"/>
    <w:rsid w:val="00BB156A"/>
    <w:rsid w:val="00BB167E"/>
    <w:rsid w:val="00BB187E"/>
    <w:rsid w:val="00BB197B"/>
    <w:rsid w:val="00BB1BA6"/>
    <w:rsid w:val="00BB1DF5"/>
    <w:rsid w:val="00BB1E54"/>
    <w:rsid w:val="00BB2365"/>
    <w:rsid w:val="00BB239C"/>
    <w:rsid w:val="00BB25C7"/>
    <w:rsid w:val="00BB2614"/>
    <w:rsid w:val="00BB2718"/>
    <w:rsid w:val="00BB2940"/>
    <w:rsid w:val="00BB2E2F"/>
    <w:rsid w:val="00BB2E6E"/>
    <w:rsid w:val="00BB2FE5"/>
    <w:rsid w:val="00BB30E7"/>
    <w:rsid w:val="00BB3284"/>
    <w:rsid w:val="00BB35AC"/>
    <w:rsid w:val="00BB368D"/>
    <w:rsid w:val="00BB36F2"/>
    <w:rsid w:val="00BB376A"/>
    <w:rsid w:val="00BB3892"/>
    <w:rsid w:val="00BB3A81"/>
    <w:rsid w:val="00BB3C27"/>
    <w:rsid w:val="00BB3E1D"/>
    <w:rsid w:val="00BB4382"/>
    <w:rsid w:val="00BB4445"/>
    <w:rsid w:val="00BB44A7"/>
    <w:rsid w:val="00BB44E6"/>
    <w:rsid w:val="00BB4509"/>
    <w:rsid w:val="00BB45DD"/>
    <w:rsid w:val="00BB462F"/>
    <w:rsid w:val="00BB4A6C"/>
    <w:rsid w:val="00BB5369"/>
    <w:rsid w:val="00BB53ED"/>
    <w:rsid w:val="00BB54AC"/>
    <w:rsid w:val="00BB5502"/>
    <w:rsid w:val="00BB5570"/>
    <w:rsid w:val="00BB5694"/>
    <w:rsid w:val="00BB5754"/>
    <w:rsid w:val="00BB579E"/>
    <w:rsid w:val="00BB5936"/>
    <w:rsid w:val="00BB5A0E"/>
    <w:rsid w:val="00BB5A30"/>
    <w:rsid w:val="00BB5C22"/>
    <w:rsid w:val="00BB5CF0"/>
    <w:rsid w:val="00BB5DB8"/>
    <w:rsid w:val="00BB5FBD"/>
    <w:rsid w:val="00BB624A"/>
    <w:rsid w:val="00BB6617"/>
    <w:rsid w:val="00BB663F"/>
    <w:rsid w:val="00BB66CE"/>
    <w:rsid w:val="00BB6948"/>
    <w:rsid w:val="00BB697F"/>
    <w:rsid w:val="00BB6AC5"/>
    <w:rsid w:val="00BB6B84"/>
    <w:rsid w:val="00BB6B8D"/>
    <w:rsid w:val="00BB6C11"/>
    <w:rsid w:val="00BB6C7C"/>
    <w:rsid w:val="00BB6E42"/>
    <w:rsid w:val="00BB6EA6"/>
    <w:rsid w:val="00BB6F04"/>
    <w:rsid w:val="00BB70F8"/>
    <w:rsid w:val="00BB72D4"/>
    <w:rsid w:val="00BB76EF"/>
    <w:rsid w:val="00BB77DA"/>
    <w:rsid w:val="00BB7983"/>
    <w:rsid w:val="00BB7990"/>
    <w:rsid w:val="00BB79C4"/>
    <w:rsid w:val="00BB79CD"/>
    <w:rsid w:val="00BB7C27"/>
    <w:rsid w:val="00BB7C42"/>
    <w:rsid w:val="00BC008A"/>
    <w:rsid w:val="00BC0108"/>
    <w:rsid w:val="00BC0239"/>
    <w:rsid w:val="00BC0556"/>
    <w:rsid w:val="00BC07C4"/>
    <w:rsid w:val="00BC07D2"/>
    <w:rsid w:val="00BC0AE4"/>
    <w:rsid w:val="00BC0CB2"/>
    <w:rsid w:val="00BC0F47"/>
    <w:rsid w:val="00BC1098"/>
    <w:rsid w:val="00BC10A4"/>
    <w:rsid w:val="00BC10FE"/>
    <w:rsid w:val="00BC120D"/>
    <w:rsid w:val="00BC137E"/>
    <w:rsid w:val="00BC149F"/>
    <w:rsid w:val="00BC14ED"/>
    <w:rsid w:val="00BC15E1"/>
    <w:rsid w:val="00BC182A"/>
    <w:rsid w:val="00BC1928"/>
    <w:rsid w:val="00BC1AC5"/>
    <w:rsid w:val="00BC1C72"/>
    <w:rsid w:val="00BC1D22"/>
    <w:rsid w:val="00BC1D89"/>
    <w:rsid w:val="00BC20AE"/>
    <w:rsid w:val="00BC23BF"/>
    <w:rsid w:val="00BC25B0"/>
    <w:rsid w:val="00BC2C88"/>
    <w:rsid w:val="00BC2CCC"/>
    <w:rsid w:val="00BC2E98"/>
    <w:rsid w:val="00BC2EDE"/>
    <w:rsid w:val="00BC2F70"/>
    <w:rsid w:val="00BC3061"/>
    <w:rsid w:val="00BC30D1"/>
    <w:rsid w:val="00BC34BE"/>
    <w:rsid w:val="00BC3596"/>
    <w:rsid w:val="00BC35FB"/>
    <w:rsid w:val="00BC37FA"/>
    <w:rsid w:val="00BC3E88"/>
    <w:rsid w:val="00BC3FD1"/>
    <w:rsid w:val="00BC3FD5"/>
    <w:rsid w:val="00BC4202"/>
    <w:rsid w:val="00BC4393"/>
    <w:rsid w:val="00BC4950"/>
    <w:rsid w:val="00BC4A4F"/>
    <w:rsid w:val="00BC4A5A"/>
    <w:rsid w:val="00BC4A64"/>
    <w:rsid w:val="00BC4BC6"/>
    <w:rsid w:val="00BC4BED"/>
    <w:rsid w:val="00BC4FBE"/>
    <w:rsid w:val="00BC4FE5"/>
    <w:rsid w:val="00BC50E1"/>
    <w:rsid w:val="00BC5331"/>
    <w:rsid w:val="00BC53E3"/>
    <w:rsid w:val="00BC56A9"/>
    <w:rsid w:val="00BC58FF"/>
    <w:rsid w:val="00BC59B5"/>
    <w:rsid w:val="00BC5B23"/>
    <w:rsid w:val="00BC5C61"/>
    <w:rsid w:val="00BC5D69"/>
    <w:rsid w:val="00BC5E35"/>
    <w:rsid w:val="00BC5E5D"/>
    <w:rsid w:val="00BC6474"/>
    <w:rsid w:val="00BC6546"/>
    <w:rsid w:val="00BC675D"/>
    <w:rsid w:val="00BC68FC"/>
    <w:rsid w:val="00BC6E09"/>
    <w:rsid w:val="00BC726B"/>
    <w:rsid w:val="00BC7505"/>
    <w:rsid w:val="00BC77C1"/>
    <w:rsid w:val="00BC7A3E"/>
    <w:rsid w:val="00BC7B7E"/>
    <w:rsid w:val="00BC7C07"/>
    <w:rsid w:val="00BC7C92"/>
    <w:rsid w:val="00BC7D71"/>
    <w:rsid w:val="00BC7FC8"/>
    <w:rsid w:val="00BD005F"/>
    <w:rsid w:val="00BD03D5"/>
    <w:rsid w:val="00BD0467"/>
    <w:rsid w:val="00BD04DE"/>
    <w:rsid w:val="00BD0899"/>
    <w:rsid w:val="00BD0962"/>
    <w:rsid w:val="00BD0A92"/>
    <w:rsid w:val="00BD0BD9"/>
    <w:rsid w:val="00BD0C85"/>
    <w:rsid w:val="00BD0D15"/>
    <w:rsid w:val="00BD0D8C"/>
    <w:rsid w:val="00BD0F51"/>
    <w:rsid w:val="00BD0F89"/>
    <w:rsid w:val="00BD0FB5"/>
    <w:rsid w:val="00BD1181"/>
    <w:rsid w:val="00BD12FB"/>
    <w:rsid w:val="00BD139B"/>
    <w:rsid w:val="00BD1410"/>
    <w:rsid w:val="00BD141C"/>
    <w:rsid w:val="00BD1429"/>
    <w:rsid w:val="00BD148A"/>
    <w:rsid w:val="00BD14C0"/>
    <w:rsid w:val="00BD15A7"/>
    <w:rsid w:val="00BD162C"/>
    <w:rsid w:val="00BD16FF"/>
    <w:rsid w:val="00BD194B"/>
    <w:rsid w:val="00BD1D5C"/>
    <w:rsid w:val="00BD1E53"/>
    <w:rsid w:val="00BD1FA1"/>
    <w:rsid w:val="00BD1FBE"/>
    <w:rsid w:val="00BD20D5"/>
    <w:rsid w:val="00BD20DC"/>
    <w:rsid w:val="00BD2456"/>
    <w:rsid w:val="00BD2487"/>
    <w:rsid w:val="00BD2596"/>
    <w:rsid w:val="00BD2693"/>
    <w:rsid w:val="00BD29D6"/>
    <w:rsid w:val="00BD2D92"/>
    <w:rsid w:val="00BD2DB6"/>
    <w:rsid w:val="00BD2DF9"/>
    <w:rsid w:val="00BD2F68"/>
    <w:rsid w:val="00BD301F"/>
    <w:rsid w:val="00BD3085"/>
    <w:rsid w:val="00BD314B"/>
    <w:rsid w:val="00BD356C"/>
    <w:rsid w:val="00BD360A"/>
    <w:rsid w:val="00BD37A2"/>
    <w:rsid w:val="00BD3B00"/>
    <w:rsid w:val="00BD3B46"/>
    <w:rsid w:val="00BD3C75"/>
    <w:rsid w:val="00BD3DC3"/>
    <w:rsid w:val="00BD3FAA"/>
    <w:rsid w:val="00BD4058"/>
    <w:rsid w:val="00BD408A"/>
    <w:rsid w:val="00BD415F"/>
    <w:rsid w:val="00BD41B8"/>
    <w:rsid w:val="00BD41FB"/>
    <w:rsid w:val="00BD420E"/>
    <w:rsid w:val="00BD4353"/>
    <w:rsid w:val="00BD4372"/>
    <w:rsid w:val="00BD45E1"/>
    <w:rsid w:val="00BD4694"/>
    <w:rsid w:val="00BD46AE"/>
    <w:rsid w:val="00BD46F8"/>
    <w:rsid w:val="00BD4B70"/>
    <w:rsid w:val="00BD53FB"/>
    <w:rsid w:val="00BD568C"/>
    <w:rsid w:val="00BD57E3"/>
    <w:rsid w:val="00BD57ED"/>
    <w:rsid w:val="00BD587F"/>
    <w:rsid w:val="00BD5DBA"/>
    <w:rsid w:val="00BD6074"/>
    <w:rsid w:val="00BD61F4"/>
    <w:rsid w:val="00BD661E"/>
    <w:rsid w:val="00BD66DD"/>
    <w:rsid w:val="00BD67FF"/>
    <w:rsid w:val="00BD6806"/>
    <w:rsid w:val="00BD69DE"/>
    <w:rsid w:val="00BD6A2A"/>
    <w:rsid w:val="00BD6D5B"/>
    <w:rsid w:val="00BD6DC1"/>
    <w:rsid w:val="00BD6E4F"/>
    <w:rsid w:val="00BD7025"/>
    <w:rsid w:val="00BD7091"/>
    <w:rsid w:val="00BD7219"/>
    <w:rsid w:val="00BD7477"/>
    <w:rsid w:val="00BD7578"/>
    <w:rsid w:val="00BD76A4"/>
    <w:rsid w:val="00BD76AB"/>
    <w:rsid w:val="00BD78BC"/>
    <w:rsid w:val="00BD7C38"/>
    <w:rsid w:val="00BE015F"/>
    <w:rsid w:val="00BE02B2"/>
    <w:rsid w:val="00BE0715"/>
    <w:rsid w:val="00BE0A59"/>
    <w:rsid w:val="00BE0DD3"/>
    <w:rsid w:val="00BE1231"/>
    <w:rsid w:val="00BE123E"/>
    <w:rsid w:val="00BE1290"/>
    <w:rsid w:val="00BE15F4"/>
    <w:rsid w:val="00BE178F"/>
    <w:rsid w:val="00BE17A5"/>
    <w:rsid w:val="00BE17D2"/>
    <w:rsid w:val="00BE186B"/>
    <w:rsid w:val="00BE1881"/>
    <w:rsid w:val="00BE1A7F"/>
    <w:rsid w:val="00BE1BD9"/>
    <w:rsid w:val="00BE1DA6"/>
    <w:rsid w:val="00BE21C3"/>
    <w:rsid w:val="00BE2249"/>
    <w:rsid w:val="00BE24C7"/>
    <w:rsid w:val="00BE2758"/>
    <w:rsid w:val="00BE27E3"/>
    <w:rsid w:val="00BE2918"/>
    <w:rsid w:val="00BE29AB"/>
    <w:rsid w:val="00BE2CDE"/>
    <w:rsid w:val="00BE2E5D"/>
    <w:rsid w:val="00BE2F18"/>
    <w:rsid w:val="00BE30A0"/>
    <w:rsid w:val="00BE37A5"/>
    <w:rsid w:val="00BE3885"/>
    <w:rsid w:val="00BE395C"/>
    <w:rsid w:val="00BE3ABA"/>
    <w:rsid w:val="00BE3B65"/>
    <w:rsid w:val="00BE3C5E"/>
    <w:rsid w:val="00BE4264"/>
    <w:rsid w:val="00BE45B5"/>
    <w:rsid w:val="00BE45B8"/>
    <w:rsid w:val="00BE4A34"/>
    <w:rsid w:val="00BE4BF1"/>
    <w:rsid w:val="00BE4C6F"/>
    <w:rsid w:val="00BE4D1B"/>
    <w:rsid w:val="00BE4F26"/>
    <w:rsid w:val="00BE5112"/>
    <w:rsid w:val="00BE553F"/>
    <w:rsid w:val="00BE592F"/>
    <w:rsid w:val="00BE5BC5"/>
    <w:rsid w:val="00BE5D50"/>
    <w:rsid w:val="00BE5F1F"/>
    <w:rsid w:val="00BE6455"/>
    <w:rsid w:val="00BE64D6"/>
    <w:rsid w:val="00BE6556"/>
    <w:rsid w:val="00BE6746"/>
    <w:rsid w:val="00BE693E"/>
    <w:rsid w:val="00BE6C58"/>
    <w:rsid w:val="00BE6EC1"/>
    <w:rsid w:val="00BE7070"/>
    <w:rsid w:val="00BE74CC"/>
    <w:rsid w:val="00BE780D"/>
    <w:rsid w:val="00BE7842"/>
    <w:rsid w:val="00BE78BE"/>
    <w:rsid w:val="00BE78D1"/>
    <w:rsid w:val="00BE7D21"/>
    <w:rsid w:val="00BE7E80"/>
    <w:rsid w:val="00BE7EB8"/>
    <w:rsid w:val="00BE7F35"/>
    <w:rsid w:val="00BF0010"/>
    <w:rsid w:val="00BF00D5"/>
    <w:rsid w:val="00BF00EB"/>
    <w:rsid w:val="00BF0218"/>
    <w:rsid w:val="00BF02A6"/>
    <w:rsid w:val="00BF0302"/>
    <w:rsid w:val="00BF0364"/>
    <w:rsid w:val="00BF0484"/>
    <w:rsid w:val="00BF04FE"/>
    <w:rsid w:val="00BF0918"/>
    <w:rsid w:val="00BF0C0B"/>
    <w:rsid w:val="00BF0D27"/>
    <w:rsid w:val="00BF0D57"/>
    <w:rsid w:val="00BF0D6A"/>
    <w:rsid w:val="00BF10B2"/>
    <w:rsid w:val="00BF13A6"/>
    <w:rsid w:val="00BF1536"/>
    <w:rsid w:val="00BF18AA"/>
    <w:rsid w:val="00BF18DC"/>
    <w:rsid w:val="00BF1B25"/>
    <w:rsid w:val="00BF1B98"/>
    <w:rsid w:val="00BF1C77"/>
    <w:rsid w:val="00BF1DBF"/>
    <w:rsid w:val="00BF1DC1"/>
    <w:rsid w:val="00BF2018"/>
    <w:rsid w:val="00BF210C"/>
    <w:rsid w:val="00BF219C"/>
    <w:rsid w:val="00BF245E"/>
    <w:rsid w:val="00BF2ABA"/>
    <w:rsid w:val="00BF2F83"/>
    <w:rsid w:val="00BF2FA7"/>
    <w:rsid w:val="00BF2FD7"/>
    <w:rsid w:val="00BF30E9"/>
    <w:rsid w:val="00BF3588"/>
    <w:rsid w:val="00BF3614"/>
    <w:rsid w:val="00BF3625"/>
    <w:rsid w:val="00BF382B"/>
    <w:rsid w:val="00BF3B6D"/>
    <w:rsid w:val="00BF3E2B"/>
    <w:rsid w:val="00BF41C8"/>
    <w:rsid w:val="00BF4262"/>
    <w:rsid w:val="00BF42A6"/>
    <w:rsid w:val="00BF4506"/>
    <w:rsid w:val="00BF4658"/>
    <w:rsid w:val="00BF48D1"/>
    <w:rsid w:val="00BF4C88"/>
    <w:rsid w:val="00BF4D62"/>
    <w:rsid w:val="00BF4D67"/>
    <w:rsid w:val="00BF4E67"/>
    <w:rsid w:val="00BF4F2F"/>
    <w:rsid w:val="00BF4F92"/>
    <w:rsid w:val="00BF506F"/>
    <w:rsid w:val="00BF5338"/>
    <w:rsid w:val="00BF53A6"/>
    <w:rsid w:val="00BF5576"/>
    <w:rsid w:val="00BF5814"/>
    <w:rsid w:val="00BF5945"/>
    <w:rsid w:val="00BF5A0F"/>
    <w:rsid w:val="00BF5B46"/>
    <w:rsid w:val="00BF5D03"/>
    <w:rsid w:val="00BF5DEB"/>
    <w:rsid w:val="00BF6033"/>
    <w:rsid w:val="00BF6417"/>
    <w:rsid w:val="00BF64E7"/>
    <w:rsid w:val="00BF64EE"/>
    <w:rsid w:val="00BF6599"/>
    <w:rsid w:val="00BF6666"/>
    <w:rsid w:val="00BF67D6"/>
    <w:rsid w:val="00BF6B18"/>
    <w:rsid w:val="00BF6BA5"/>
    <w:rsid w:val="00BF6D14"/>
    <w:rsid w:val="00BF6E5D"/>
    <w:rsid w:val="00BF6EE8"/>
    <w:rsid w:val="00BF73AF"/>
    <w:rsid w:val="00BF7419"/>
    <w:rsid w:val="00BF78EF"/>
    <w:rsid w:val="00BF7995"/>
    <w:rsid w:val="00BF7BA3"/>
    <w:rsid w:val="00BF7D3F"/>
    <w:rsid w:val="00BF7D49"/>
    <w:rsid w:val="00BF7D50"/>
    <w:rsid w:val="00BF7DCE"/>
    <w:rsid w:val="00BF7E0C"/>
    <w:rsid w:val="00C00108"/>
    <w:rsid w:val="00C0015D"/>
    <w:rsid w:val="00C00416"/>
    <w:rsid w:val="00C00504"/>
    <w:rsid w:val="00C00550"/>
    <w:rsid w:val="00C0062F"/>
    <w:rsid w:val="00C006B0"/>
    <w:rsid w:val="00C00750"/>
    <w:rsid w:val="00C00786"/>
    <w:rsid w:val="00C00BBC"/>
    <w:rsid w:val="00C00D10"/>
    <w:rsid w:val="00C00F68"/>
    <w:rsid w:val="00C0114A"/>
    <w:rsid w:val="00C01214"/>
    <w:rsid w:val="00C01341"/>
    <w:rsid w:val="00C01675"/>
    <w:rsid w:val="00C01689"/>
    <w:rsid w:val="00C016CB"/>
    <w:rsid w:val="00C01A86"/>
    <w:rsid w:val="00C01B8E"/>
    <w:rsid w:val="00C01EFC"/>
    <w:rsid w:val="00C022A3"/>
    <w:rsid w:val="00C026A0"/>
    <w:rsid w:val="00C02A3D"/>
    <w:rsid w:val="00C02AD7"/>
    <w:rsid w:val="00C02CE3"/>
    <w:rsid w:val="00C02DF0"/>
    <w:rsid w:val="00C02FC0"/>
    <w:rsid w:val="00C03070"/>
    <w:rsid w:val="00C03198"/>
    <w:rsid w:val="00C03252"/>
    <w:rsid w:val="00C0353D"/>
    <w:rsid w:val="00C037BA"/>
    <w:rsid w:val="00C03952"/>
    <w:rsid w:val="00C03ABE"/>
    <w:rsid w:val="00C03BD8"/>
    <w:rsid w:val="00C0402F"/>
    <w:rsid w:val="00C0406B"/>
    <w:rsid w:val="00C0413D"/>
    <w:rsid w:val="00C0437F"/>
    <w:rsid w:val="00C0438D"/>
    <w:rsid w:val="00C043BB"/>
    <w:rsid w:val="00C0448D"/>
    <w:rsid w:val="00C044A8"/>
    <w:rsid w:val="00C04627"/>
    <w:rsid w:val="00C0466F"/>
    <w:rsid w:val="00C04676"/>
    <w:rsid w:val="00C046BA"/>
    <w:rsid w:val="00C049F2"/>
    <w:rsid w:val="00C04C7E"/>
    <w:rsid w:val="00C04D7F"/>
    <w:rsid w:val="00C04F93"/>
    <w:rsid w:val="00C052DD"/>
    <w:rsid w:val="00C05425"/>
    <w:rsid w:val="00C05493"/>
    <w:rsid w:val="00C05518"/>
    <w:rsid w:val="00C05526"/>
    <w:rsid w:val="00C055F2"/>
    <w:rsid w:val="00C059A1"/>
    <w:rsid w:val="00C05AFA"/>
    <w:rsid w:val="00C05D00"/>
    <w:rsid w:val="00C05D10"/>
    <w:rsid w:val="00C0603C"/>
    <w:rsid w:val="00C06295"/>
    <w:rsid w:val="00C063CA"/>
    <w:rsid w:val="00C06A70"/>
    <w:rsid w:val="00C06D93"/>
    <w:rsid w:val="00C06E63"/>
    <w:rsid w:val="00C06F08"/>
    <w:rsid w:val="00C06F33"/>
    <w:rsid w:val="00C07007"/>
    <w:rsid w:val="00C07189"/>
    <w:rsid w:val="00C07319"/>
    <w:rsid w:val="00C0764D"/>
    <w:rsid w:val="00C07694"/>
    <w:rsid w:val="00C0781F"/>
    <w:rsid w:val="00C07FBD"/>
    <w:rsid w:val="00C1010D"/>
    <w:rsid w:val="00C10258"/>
    <w:rsid w:val="00C10839"/>
    <w:rsid w:val="00C10B4B"/>
    <w:rsid w:val="00C10BE6"/>
    <w:rsid w:val="00C10CA5"/>
    <w:rsid w:val="00C10F7C"/>
    <w:rsid w:val="00C11223"/>
    <w:rsid w:val="00C117B9"/>
    <w:rsid w:val="00C11842"/>
    <w:rsid w:val="00C11996"/>
    <w:rsid w:val="00C11DF6"/>
    <w:rsid w:val="00C11E78"/>
    <w:rsid w:val="00C121CB"/>
    <w:rsid w:val="00C121F8"/>
    <w:rsid w:val="00C124A2"/>
    <w:rsid w:val="00C12606"/>
    <w:rsid w:val="00C1273B"/>
    <w:rsid w:val="00C12BD8"/>
    <w:rsid w:val="00C12CBC"/>
    <w:rsid w:val="00C12D46"/>
    <w:rsid w:val="00C12EFC"/>
    <w:rsid w:val="00C12F3D"/>
    <w:rsid w:val="00C1344E"/>
    <w:rsid w:val="00C13734"/>
    <w:rsid w:val="00C13933"/>
    <w:rsid w:val="00C13AD6"/>
    <w:rsid w:val="00C13B29"/>
    <w:rsid w:val="00C13BA3"/>
    <w:rsid w:val="00C13BFB"/>
    <w:rsid w:val="00C140BB"/>
    <w:rsid w:val="00C140EF"/>
    <w:rsid w:val="00C1464C"/>
    <w:rsid w:val="00C14844"/>
    <w:rsid w:val="00C1493B"/>
    <w:rsid w:val="00C14A48"/>
    <w:rsid w:val="00C14BA0"/>
    <w:rsid w:val="00C14D6B"/>
    <w:rsid w:val="00C14D6D"/>
    <w:rsid w:val="00C14E55"/>
    <w:rsid w:val="00C14EF1"/>
    <w:rsid w:val="00C14F50"/>
    <w:rsid w:val="00C1513D"/>
    <w:rsid w:val="00C15577"/>
    <w:rsid w:val="00C1559A"/>
    <w:rsid w:val="00C15916"/>
    <w:rsid w:val="00C15949"/>
    <w:rsid w:val="00C159E2"/>
    <w:rsid w:val="00C15BE0"/>
    <w:rsid w:val="00C15C6E"/>
    <w:rsid w:val="00C15DEB"/>
    <w:rsid w:val="00C15EE7"/>
    <w:rsid w:val="00C15EEA"/>
    <w:rsid w:val="00C161B3"/>
    <w:rsid w:val="00C163C2"/>
    <w:rsid w:val="00C1645D"/>
    <w:rsid w:val="00C165CB"/>
    <w:rsid w:val="00C16708"/>
    <w:rsid w:val="00C169F1"/>
    <w:rsid w:val="00C16D74"/>
    <w:rsid w:val="00C16E99"/>
    <w:rsid w:val="00C171EC"/>
    <w:rsid w:val="00C1725C"/>
    <w:rsid w:val="00C173DB"/>
    <w:rsid w:val="00C17430"/>
    <w:rsid w:val="00C17784"/>
    <w:rsid w:val="00C179F7"/>
    <w:rsid w:val="00C17A0F"/>
    <w:rsid w:val="00C17C10"/>
    <w:rsid w:val="00C17C67"/>
    <w:rsid w:val="00C17C76"/>
    <w:rsid w:val="00C17D4A"/>
    <w:rsid w:val="00C17E1B"/>
    <w:rsid w:val="00C17F96"/>
    <w:rsid w:val="00C17FA2"/>
    <w:rsid w:val="00C2014A"/>
    <w:rsid w:val="00C20169"/>
    <w:rsid w:val="00C201C9"/>
    <w:rsid w:val="00C20244"/>
    <w:rsid w:val="00C2028E"/>
    <w:rsid w:val="00C202C7"/>
    <w:rsid w:val="00C202FD"/>
    <w:rsid w:val="00C203FE"/>
    <w:rsid w:val="00C204F2"/>
    <w:rsid w:val="00C20518"/>
    <w:rsid w:val="00C20622"/>
    <w:rsid w:val="00C20646"/>
    <w:rsid w:val="00C206F3"/>
    <w:rsid w:val="00C20789"/>
    <w:rsid w:val="00C207ED"/>
    <w:rsid w:val="00C208EE"/>
    <w:rsid w:val="00C20976"/>
    <w:rsid w:val="00C209C5"/>
    <w:rsid w:val="00C210D6"/>
    <w:rsid w:val="00C21224"/>
    <w:rsid w:val="00C217A5"/>
    <w:rsid w:val="00C217F3"/>
    <w:rsid w:val="00C21A82"/>
    <w:rsid w:val="00C21CE4"/>
    <w:rsid w:val="00C21DAC"/>
    <w:rsid w:val="00C21E77"/>
    <w:rsid w:val="00C2214E"/>
    <w:rsid w:val="00C221C9"/>
    <w:rsid w:val="00C22212"/>
    <w:rsid w:val="00C222E9"/>
    <w:rsid w:val="00C22869"/>
    <w:rsid w:val="00C2295D"/>
    <w:rsid w:val="00C22A0E"/>
    <w:rsid w:val="00C22C08"/>
    <w:rsid w:val="00C22D07"/>
    <w:rsid w:val="00C230A8"/>
    <w:rsid w:val="00C2320B"/>
    <w:rsid w:val="00C232CC"/>
    <w:rsid w:val="00C23538"/>
    <w:rsid w:val="00C23658"/>
    <w:rsid w:val="00C236A5"/>
    <w:rsid w:val="00C236EA"/>
    <w:rsid w:val="00C23A3C"/>
    <w:rsid w:val="00C23B22"/>
    <w:rsid w:val="00C23B62"/>
    <w:rsid w:val="00C23C35"/>
    <w:rsid w:val="00C23C4F"/>
    <w:rsid w:val="00C23CBD"/>
    <w:rsid w:val="00C23D0C"/>
    <w:rsid w:val="00C23EB2"/>
    <w:rsid w:val="00C23EC0"/>
    <w:rsid w:val="00C23F70"/>
    <w:rsid w:val="00C24047"/>
    <w:rsid w:val="00C24A40"/>
    <w:rsid w:val="00C24B61"/>
    <w:rsid w:val="00C24E86"/>
    <w:rsid w:val="00C25570"/>
    <w:rsid w:val="00C25871"/>
    <w:rsid w:val="00C25A30"/>
    <w:rsid w:val="00C25A44"/>
    <w:rsid w:val="00C25B3D"/>
    <w:rsid w:val="00C25CAC"/>
    <w:rsid w:val="00C25D0B"/>
    <w:rsid w:val="00C25DBD"/>
    <w:rsid w:val="00C25FD9"/>
    <w:rsid w:val="00C25FE2"/>
    <w:rsid w:val="00C2610E"/>
    <w:rsid w:val="00C26193"/>
    <w:rsid w:val="00C26258"/>
    <w:rsid w:val="00C263A5"/>
    <w:rsid w:val="00C26692"/>
    <w:rsid w:val="00C268E8"/>
    <w:rsid w:val="00C268FD"/>
    <w:rsid w:val="00C26942"/>
    <w:rsid w:val="00C26A55"/>
    <w:rsid w:val="00C26AD8"/>
    <w:rsid w:val="00C26CC6"/>
    <w:rsid w:val="00C26E51"/>
    <w:rsid w:val="00C277A6"/>
    <w:rsid w:val="00C27906"/>
    <w:rsid w:val="00C27998"/>
    <w:rsid w:val="00C279CC"/>
    <w:rsid w:val="00C27BF5"/>
    <w:rsid w:val="00C27F6F"/>
    <w:rsid w:val="00C30224"/>
    <w:rsid w:val="00C3044D"/>
    <w:rsid w:val="00C30865"/>
    <w:rsid w:val="00C308B5"/>
    <w:rsid w:val="00C30FA9"/>
    <w:rsid w:val="00C3106E"/>
    <w:rsid w:val="00C310D1"/>
    <w:rsid w:val="00C3113D"/>
    <w:rsid w:val="00C311D5"/>
    <w:rsid w:val="00C314ED"/>
    <w:rsid w:val="00C3162E"/>
    <w:rsid w:val="00C316CA"/>
    <w:rsid w:val="00C3175E"/>
    <w:rsid w:val="00C31E1B"/>
    <w:rsid w:val="00C31EC1"/>
    <w:rsid w:val="00C31F15"/>
    <w:rsid w:val="00C32155"/>
    <w:rsid w:val="00C32368"/>
    <w:rsid w:val="00C32420"/>
    <w:rsid w:val="00C324DC"/>
    <w:rsid w:val="00C325D5"/>
    <w:rsid w:val="00C325DB"/>
    <w:rsid w:val="00C325FE"/>
    <w:rsid w:val="00C327C2"/>
    <w:rsid w:val="00C327D3"/>
    <w:rsid w:val="00C32857"/>
    <w:rsid w:val="00C329F9"/>
    <w:rsid w:val="00C32A9D"/>
    <w:rsid w:val="00C32BA3"/>
    <w:rsid w:val="00C32CD4"/>
    <w:rsid w:val="00C32E1C"/>
    <w:rsid w:val="00C32ECD"/>
    <w:rsid w:val="00C32FB9"/>
    <w:rsid w:val="00C331EE"/>
    <w:rsid w:val="00C332D0"/>
    <w:rsid w:val="00C332DB"/>
    <w:rsid w:val="00C33379"/>
    <w:rsid w:val="00C3356B"/>
    <w:rsid w:val="00C335AE"/>
    <w:rsid w:val="00C335E1"/>
    <w:rsid w:val="00C33759"/>
    <w:rsid w:val="00C33BE1"/>
    <w:rsid w:val="00C33C41"/>
    <w:rsid w:val="00C33D55"/>
    <w:rsid w:val="00C33DC0"/>
    <w:rsid w:val="00C33DD5"/>
    <w:rsid w:val="00C33E91"/>
    <w:rsid w:val="00C33FDC"/>
    <w:rsid w:val="00C341E8"/>
    <w:rsid w:val="00C34373"/>
    <w:rsid w:val="00C344ED"/>
    <w:rsid w:val="00C34548"/>
    <w:rsid w:val="00C34AEB"/>
    <w:rsid w:val="00C34B75"/>
    <w:rsid w:val="00C34BD9"/>
    <w:rsid w:val="00C34EBB"/>
    <w:rsid w:val="00C34EDC"/>
    <w:rsid w:val="00C350F2"/>
    <w:rsid w:val="00C352D8"/>
    <w:rsid w:val="00C353D8"/>
    <w:rsid w:val="00C355EC"/>
    <w:rsid w:val="00C358B4"/>
    <w:rsid w:val="00C35AB1"/>
    <w:rsid w:val="00C35B61"/>
    <w:rsid w:val="00C35D9D"/>
    <w:rsid w:val="00C35EE7"/>
    <w:rsid w:val="00C35FB7"/>
    <w:rsid w:val="00C35FB9"/>
    <w:rsid w:val="00C36049"/>
    <w:rsid w:val="00C36425"/>
    <w:rsid w:val="00C364AF"/>
    <w:rsid w:val="00C364F2"/>
    <w:rsid w:val="00C366F2"/>
    <w:rsid w:val="00C367FD"/>
    <w:rsid w:val="00C36807"/>
    <w:rsid w:val="00C36C34"/>
    <w:rsid w:val="00C3784E"/>
    <w:rsid w:val="00C378D5"/>
    <w:rsid w:val="00C37C82"/>
    <w:rsid w:val="00C37E72"/>
    <w:rsid w:val="00C37FD2"/>
    <w:rsid w:val="00C40135"/>
    <w:rsid w:val="00C402A3"/>
    <w:rsid w:val="00C402C7"/>
    <w:rsid w:val="00C40598"/>
    <w:rsid w:val="00C40760"/>
    <w:rsid w:val="00C40A8C"/>
    <w:rsid w:val="00C40B0D"/>
    <w:rsid w:val="00C40C16"/>
    <w:rsid w:val="00C41077"/>
    <w:rsid w:val="00C41549"/>
    <w:rsid w:val="00C41723"/>
    <w:rsid w:val="00C41763"/>
    <w:rsid w:val="00C417BA"/>
    <w:rsid w:val="00C41903"/>
    <w:rsid w:val="00C41E7A"/>
    <w:rsid w:val="00C41F26"/>
    <w:rsid w:val="00C420B6"/>
    <w:rsid w:val="00C420E0"/>
    <w:rsid w:val="00C42813"/>
    <w:rsid w:val="00C428D2"/>
    <w:rsid w:val="00C42BE4"/>
    <w:rsid w:val="00C42ED0"/>
    <w:rsid w:val="00C430EF"/>
    <w:rsid w:val="00C43276"/>
    <w:rsid w:val="00C432E8"/>
    <w:rsid w:val="00C43733"/>
    <w:rsid w:val="00C43872"/>
    <w:rsid w:val="00C43972"/>
    <w:rsid w:val="00C43C6A"/>
    <w:rsid w:val="00C43DD4"/>
    <w:rsid w:val="00C43E71"/>
    <w:rsid w:val="00C43E8F"/>
    <w:rsid w:val="00C43EEF"/>
    <w:rsid w:val="00C43FF5"/>
    <w:rsid w:val="00C44254"/>
    <w:rsid w:val="00C44371"/>
    <w:rsid w:val="00C443D4"/>
    <w:rsid w:val="00C4447B"/>
    <w:rsid w:val="00C445BD"/>
    <w:rsid w:val="00C4472D"/>
    <w:rsid w:val="00C4496F"/>
    <w:rsid w:val="00C44A63"/>
    <w:rsid w:val="00C44ABB"/>
    <w:rsid w:val="00C44DD1"/>
    <w:rsid w:val="00C44DEF"/>
    <w:rsid w:val="00C44E8E"/>
    <w:rsid w:val="00C44F6E"/>
    <w:rsid w:val="00C457C0"/>
    <w:rsid w:val="00C45984"/>
    <w:rsid w:val="00C459B3"/>
    <w:rsid w:val="00C45A55"/>
    <w:rsid w:val="00C45A93"/>
    <w:rsid w:val="00C45BC7"/>
    <w:rsid w:val="00C45CAA"/>
    <w:rsid w:val="00C45D84"/>
    <w:rsid w:val="00C45D8A"/>
    <w:rsid w:val="00C4604D"/>
    <w:rsid w:val="00C4604F"/>
    <w:rsid w:val="00C46241"/>
    <w:rsid w:val="00C46317"/>
    <w:rsid w:val="00C464F6"/>
    <w:rsid w:val="00C46706"/>
    <w:rsid w:val="00C46C1F"/>
    <w:rsid w:val="00C47066"/>
    <w:rsid w:val="00C4706A"/>
    <w:rsid w:val="00C470EB"/>
    <w:rsid w:val="00C47148"/>
    <w:rsid w:val="00C471E9"/>
    <w:rsid w:val="00C472DF"/>
    <w:rsid w:val="00C477D0"/>
    <w:rsid w:val="00C4786A"/>
    <w:rsid w:val="00C47A02"/>
    <w:rsid w:val="00C47A0C"/>
    <w:rsid w:val="00C47A2A"/>
    <w:rsid w:val="00C47BC7"/>
    <w:rsid w:val="00C47C0F"/>
    <w:rsid w:val="00C47C75"/>
    <w:rsid w:val="00C47CE9"/>
    <w:rsid w:val="00C47D14"/>
    <w:rsid w:val="00C47D1D"/>
    <w:rsid w:val="00C47D80"/>
    <w:rsid w:val="00C50063"/>
    <w:rsid w:val="00C50070"/>
    <w:rsid w:val="00C5014B"/>
    <w:rsid w:val="00C50497"/>
    <w:rsid w:val="00C504A6"/>
    <w:rsid w:val="00C50546"/>
    <w:rsid w:val="00C506F9"/>
    <w:rsid w:val="00C509D2"/>
    <w:rsid w:val="00C50B8A"/>
    <w:rsid w:val="00C50E85"/>
    <w:rsid w:val="00C50F8F"/>
    <w:rsid w:val="00C5115F"/>
    <w:rsid w:val="00C51561"/>
    <w:rsid w:val="00C518F3"/>
    <w:rsid w:val="00C51C2F"/>
    <w:rsid w:val="00C51D4F"/>
    <w:rsid w:val="00C51FFD"/>
    <w:rsid w:val="00C52406"/>
    <w:rsid w:val="00C526BA"/>
    <w:rsid w:val="00C5273F"/>
    <w:rsid w:val="00C52888"/>
    <w:rsid w:val="00C52C3F"/>
    <w:rsid w:val="00C52D44"/>
    <w:rsid w:val="00C52FD2"/>
    <w:rsid w:val="00C52FE2"/>
    <w:rsid w:val="00C5314E"/>
    <w:rsid w:val="00C531C4"/>
    <w:rsid w:val="00C53256"/>
    <w:rsid w:val="00C5343E"/>
    <w:rsid w:val="00C535C1"/>
    <w:rsid w:val="00C537CB"/>
    <w:rsid w:val="00C53B0D"/>
    <w:rsid w:val="00C5410A"/>
    <w:rsid w:val="00C541CB"/>
    <w:rsid w:val="00C541CD"/>
    <w:rsid w:val="00C54682"/>
    <w:rsid w:val="00C5481C"/>
    <w:rsid w:val="00C5485B"/>
    <w:rsid w:val="00C54B32"/>
    <w:rsid w:val="00C54DF7"/>
    <w:rsid w:val="00C5523E"/>
    <w:rsid w:val="00C552CC"/>
    <w:rsid w:val="00C554C0"/>
    <w:rsid w:val="00C554E3"/>
    <w:rsid w:val="00C558AB"/>
    <w:rsid w:val="00C559A8"/>
    <w:rsid w:val="00C55F2B"/>
    <w:rsid w:val="00C5604A"/>
    <w:rsid w:val="00C561D2"/>
    <w:rsid w:val="00C565CF"/>
    <w:rsid w:val="00C565FD"/>
    <w:rsid w:val="00C56644"/>
    <w:rsid w:val="00C56680"/>
    <w:rsid w:val="00C566A6"/>
    <w:rsid w:val="00C566B4"/>
    <w:rsid w:val="00C566C8"/>
    <w:rsid w:val="00C566E1"/>
    <w:rsid w:val="00C5691A"/>
    <w:rsid w:val="00C56950"/>
    <w:rsid w:val="00C569C4"/>
    <w:rsid w:val="00C56EFE"/>
    <w:rsid w:val="00C5700C"/>
    <w:rsid w:val="00C5704F"/>
    <w:rsid w:val="00C5708C"/>
    <w:rsid w:val="00C5739B"/>
    <w:rsid w:val="00C575A7"/>
    <w:rsid w:val="00C5760E"/>
    <w:rsid w:val="00C577CA"/>
    <w:rsid w:val="00C578F4"/>
    <w:rsid w:val="00C57E04"/>
    <w:rsid w:val="00C57F7F"/>
    <w:rsid w:val="00C60005"/>
    <w:rsid w:val="00C6028E"/>
    <w:rsid w:val="00C602B2"/>
    <w:rsid w:val="00C602F9"/>
    <w:rsid w:val="00C6040A"/>
    <w:rsid w:val="00C604A1"/>
    <w:rsid w:val="00C605ED"/>
    <w:rsid w:val="00C60797"/>
    <w:rsid w:val="00C60A4E"/>
    <w:rsid w:val="00C60B16"/>
    <w:rsid w:val="00C60BDD"/>
    <w:rsid w:val="00C60D60"/>
    <w:rsid w:val="00C60F79"/>
    <w:rsid w:val="00C6108C"/>
    <w:rsid w:val="00C61196"/>
    <w:rsid w:val="00C6120E"/>
    <w:rsid w:val="00C613C1"/>
    <w:rsid w:val="00C613DE"/>
    <w:rsid w:val="00C6176E"/>
    <w:rsid w:val="00C61920"/>
    <w:rsid w:val="00C61A51"/>
    <w:rsid w:val="00C61CB6"/>
    <w:rsid w:val="00C61CF2"/>
    <w:rsid w:val="00C61F4D"/>
    <w:rsid w:val="00C61F95"/>
    <w:rsid w:val="00C6203C"/>
    <w:rsid w:val="00C62191"/>
    <w:rsid w:val="00C623D0"/>
    <w:rsid w:val="00C62455"/>
    <w:rsid w:val="00C6252D"/>
    <w:rsid w:val="00C626B0"/>
    <w:rsid w:val="00C62C0C"/>
    <w:rsid w:val="00C62F60"/>
    <w:rsid w:val="00C633EA"/>
    <w:rsid w:val="00C63473"/>
    <w:rsid w:val="00C6354C"/>
    <w:rsid w:val="00C635E7"/>
    <w:rsid w:val="00C63638"/>
    <w:rsid w:val="00C637C5"/>
    <w:rsid w:val="00C637E2"/>
    <w:rsid w:val="00C63842"/>
    <w:rsid w:val="00C63B1C"/>
    <w:rsid w:val="00C63CBA"/>
    <w:rsid w:val="00C64017"/>
    <w:rsid w:val="00C641E2"/>
    <w:rsid w:val="00C64563"/>
    <w:rsid w:val="00C645A7"/>
    <w:rsid w:val="00C64622"/>
    <w:rsid w:val="00C64716"/>
    <w:rsid w:val="00C64766"/>
    <w:rsid w:val="00C64CE2"/>
    <w:rsid w:val="00C64E39"/>
    <w:rsid w:val="00C651BC"/>
    <w:rsid w:val="00C6521B"/>
    <w:rsid w:val="00C653A3"/>
    <w:rsid w:val="00C6549D"/>
    <w:rsid w:val="00C654C7"/>
    <w:rsid w:val="00C657BD"/>
    <w:rsid w:val="00C6585B"/>
    <w:rsid w:val="00C65C19"/>
    <w:rsid w:val="00C65EC6"/>
    <w:rsid w:val="00C65F4D"/>
    <w:rsid w:val="00C661CC"/>
    <w:rsid w:val="00C661F6"/>
    <w:rsid w:val="00C665BF"/>
    <w:rsid w:val="00C66664"/>
    <w:rsid w:val="00C66850"/>
    <w:rsid w:val="00C66B43"/>
    <w:rsid w:val="00C66B97"/>
    <w:rsid w:val="00C66B9F"/>
    <w:rsid w:val="00C66DA0"/>
    <w:rsid w:val="00C66DC8"/>
    <w:rsid w:val="00C66FC6"/>
    <w:rsid w:val="00C67069"/>
    <w:rsid w:val="00C67088"/>
    <w:rsid w:val="00C6714B"/>
    <w:rsid w:val="00C6745F"/>
    <w:rsid w:val="00C674D9"/>
    <w:rsid w:val="00C6753B"/>
    <w:rsid w:val="00C67784"/>
    <w:rsid w:val="00C67A7F"/>
    <w:rsid w:val="00C67D00"/>
    <w:rsid w:val="00C67F0E"/>
    <w:rsid w:val="00C67FFA"/>
    <w:rsid w:val="00C7006C"/>
    <w:rsid w:val="00C70113"/>
    <w:rsid w:val="00C7017D"/>
    <w:rsid w:val="00C70202"/>
    <w:rsid w:val="00C702B6"/>
    <w:rsid w:val="00C703F1"/>
    <w:rsid w:val="00C7051E"/>
    <w:rsid w:val="00C705B7"/>
    <w:rsid w:val="00C70759"/>
    <w:rsid w:val="00C707B8"/>
    <w:rsid w:val="00C70AD7"/>
    <w:rsid w:val="00C70ADD"/>
    <w:rsid w:val="00C70CF9"/>
    <w:rsid w:val="00C70D65"/>
    <w:rsid w:val="00C70D83"/>
    <w:rsid w:val="00C70F10"/>
    <w:rsid w:val="00C70F16"/>
    <w:rsid w:val="00C70F2F"/>
    <w:rsid w:val="00C71027"/>
    <w:rsid w:val="00C719FE"/>
    <w:rsid w:val="00C71D45"/>
    <w:rsid w:val="00C71DA2"/>
    <w:rsid w:val="00C71E34"/>
    <w:rsid w:val="00C7221E"/>
    <w:rsid w:val="00C72342"/>
    <w:rsid w:val="00C7236A"/>
    <w:rsid w:val="00C7242B"/>
    <w:rsid w:val="00C7270B"/>
    <w:rsid w:val="00C72A4E"/>
    <w:rsid w:val="00C72A95"/>
    <w:rsid w:val="00C72B34"/>
    <w:rsid w:val="00C72D40"/>
    <w:rsid w:val="00C72D5F"/>
    <w:rsid w:val="00C7388B"/>
    <w:rsid w:val="00C73A6E"/>
    <w:rsid w:val="00C73C9F"/>
    <w:rsid w:val="00C73EE1"/>
    <w:rsid w:val="00C73EEB"/>
    <w:rsid w:val="00C73F07"/>
    <w:rsid w:val="00C7409B"/>
    <w:rsid w:val="00C740ED"/>
    <w:rsid w:val="00C743D9"/>
    <w:rsid w:val="00C744B7"/>
    <w:rsid w:val="00C74573"/>
    <w:rsid w:val="00C7459B"/>
    <w:rsid w:val="00C7461E"/>
    <w:rsid w:val="00C74716"/>
    <w:rsid w:val="00C748D2"/>
    <w:rsid w:val="00C748ED"/>
    <w:rsid w:val="00C74995"/>
    <w:rsid w:val="00C749E4"/>
    <w:rsid w:val="00C74A9E"/>
    <w:rsid w:val="00C74ABE"/>
    <w:rsid w:val="00C74AFA"/>
    <w:rsid w:val="00C74B9D"/>
    <w:rsid w:val="00C74DA9"/>
    <w:rsid w:val="00C74F96"/>
    <w:rsid w:val="00C75070"/>
    <w:rsid w:val="00C751F5"/>
    <w:rsid w:val="00C7546A"/>
    <w:rsid w:val="00C756A4"/>
    <w:rsid w:val="00C7594A"/>
    <w:rsid w:val="00C7598C"/>
    <w:rsid w:val="00C75BA4"/>
    <w:rsid w:val="00C75C24"/>
    <w:rsid w:val="00C75E34"/>
    <w:rsid w:val="00C7613C"/>
    <w:rsid w:val="00C764B8"/>
    <w:rsid w:val="00C76745"/>
    <w:rsid w:val="00C76AAE"/>
    <w:rsid w:val="00C76D52"/>
    <w:rsid w:val="00C76F76"/>
    <w:rsid w:val="00C770AE"/>
    <w:rsid w:val="00C77625"/>
    <w:rsid w:val="00C7766E"/>
    <w:rsid w:val="00C77697"/>
    <w:rsid w:val="00C7790A"/>
    <w:rsid w:val="00C77A32"/>
    <w:rsid w:val="00C77C33"/>
    <w:rsid w:val="00C801F9"/>
    <w:rsid w:val="00C80402"/>
    <w:rsid w:val="00C80B6A"/>
    <w:rsid w:val="00C80E25"/>
    <w:rsid w:val="00C81080"/>
    <w:rsid w:val="00C8122F"/>
    <w:rsid w:val="00C81296"/>
    <w:rsid w:val="00C812FB"/>
    <w:rsid w:val="00C8137E"/>
    <w:rsid w:val="00C813CC"/>
    <w:rsid w:val="00C813EC"/>
    <w:rsid w:val="00C8153C"/>
    <w:rsid w:val="00C816AB"/>
    <w:rsid w:val="00C81BC4"/>
    <w:rsid w:val="00C820B3"/>
    <w:rsid w:val="00C8210F"/>
    <w:rsid w:val="00C82306"/>
    <w:rsid w:val="00C82843"/>
    <w:rsid w:val="00C829CE"/>
    <w:rsid w:val="00C82A9D"/>
    <w:rsid w:val="00C82C36"/>
    <w:rsid w:val="00C82CFD"/>
    <w:rsid w:val="00C82D03"/>
    <w:rsid w:val="00C82D2A"/>
    <w:rsid w:val="00C82DE7"/>
    <w:rsid w:val="00C8322D"/>
    <w:rsid w:val="00C8326D"/>
    <w:rsid w:val="00C8353D"/>
    <w:rsid w:val="00C837EF"/>
    <w:rsid w:val="00C838F0"/>
    <w:rsid w:val="00C83924"/>
    <w:rsid w:val="00C83BD1"/>
    <w:rsid w:val="00C83C8C"/>
    <w:rsid w:val="00C83CFC"/>
    <w:rsid w:val="00C83FD6"/>
    <w:rsid w:val="00C8401C"/>
    <w:rsid w:val="00C84062"/>
    <w:rsid w:val="00C840EA"/>
    <w:rsid w:val="00C84122"/>
    <w:rsid w:val="00C84354"/>
    <w:rsid w:val="00C84386"/>
    <w:rsid w:val="00C84513"/>
    <w:rsid w:val="00C84A34"/>
    <w:rsid w:val="00C84A5D"/>
    <w:rsid w:val="00C84B02"/>
    <w:rsid w:val="00C84D73"/>
    <w:rsid w:val="00C84D93"/>
    <w:rsid w:val="00C84DCD"/>
    <w:rsid w:val="00C84F33"/>
    <w:rsid w:val="00C851EF"/>
    <w:rsid w:val="00C853F3"/>
    <w:rsid w:val="00C8546B"/>
    <w:rsid w:val="00C85603"/>
    <w:rsid w:val="00C85815"/>
    <w:rsid w:val="00C85997"/>
    <w:rsid w:val="00C85A72"/>
    <w:rsid w:val="00C85B99"/>
    <w:rsid w:val="00C85C5F"/>
    <w:rsid w:val="00C85DC0"/>
    <w:rsid w:val="00C85E0E"/>
    <w:rsid w:val="00C8600B"/>
    <w:rsid w:val="00C869CC"/>
    <w:rsid w:val="00C86F5F"/>
    <w:rsid w:val="00C8716A"/>
    <w:rsid w:val="00C87841"/>
    <w:rsid w:val="00C8786D"/>
    <w:rsid w:val="00C87B8C"/>
    <w:rsid w:val="00C87C83"/>
    <w:rsid w:val="00C87E73"/>
    <w:rsid w:val="00C902A1"/>
    <w:rsid w:val="00C90746"/>
    <w:rsid w:val="00C90774"/>
    <w:rsid w:val="00C9079D"/>
    <w:rsid w:val="00C907F9"/>
    <w:rsid w:val="00C90963"/>
    <w:rsid w:val="00C9097E"/>
    <w:rsid w:val="00C90AA0"/>
    <w:rsid w:val="00C90B38"/>
    <w:rsid w:val="00C90E78"/>
    <w:rsid w:val="00C91071"/>
    <w:rsid w:val="00C9129F"/>
    <w:rsid w:val="00C9132E"/>
    <w:rsid w:val="00C91355"/>
    <w:rsid w:val="00C913D4"/>
    <w:rsid w:val="00C9146E"/>
    <w:rsid w:val="00C91644"/>
    <w:rsid w:val="00C917D7"/>
    <w:rsid w:val="00C91807"/>
    <w:rsid w:val="00C91815"/>
    <w:rsid w:val="00C91A43"/>
    <w:rsid w:val="00C91A6A"/>
    <w:rsid w:val="00C91C6F"/>
    <w:rsid w:val="00C91C98"/>
    <w:rsid w:val="00C91D7C"/>
    <w:rsid w:val="00C92282"/>
    <w:rsid w:val="00C9250D"/>
    <w:rsid w:val="00C926EB"/>
    <w:rsid w:val="00C9272B"/>
    <w:rsid w:val="00C9298C"/>
    <w:rsid w:val="00C92A7A"/>
    <w:rsid w:val="00C92A7D"/>
    <w:rsid w:val="00C92B0F"/>
    <w:rsid w:val="00C93262"/>
    <w:rsid w:val="00C93861"/>
    <w:rsid w:val="00C93969"/>
    <w:rsid w:val="00C93ADD"/>
    <w:rsid w:val="00C93C11"/>
    <w:rsid w:val="00C93E26"/>
    <w:rsid w:val="00C94068"/>
    <w:rsid w:val="00C94091"/>
    <w:rsid w:val="00C94160"/>
    <w:rsid w:val="00C94190"/>
    <w:rsid w:val="00C94341"/>
    <w:rsid w:val="00C94400"/>
    <w:rsid w:val="00C9450A"/>
    <w:rsid w:val="00C947A8"/>
    <w:rsid w:val="00C94926"/>
    <w:rsid w:val="00C949BC"/>
    <w:rsid w:val="00C94B1B"/>
    <w:rsid w:val="00C950CE"/>
    <w:rsid w:val="00C95172"/>
    <w:rsid w:val="00C951A7"/>
    <w:rsid w:val="00C952D3"/>
    <w:rsid w:val="00C953A9"/>
    <w:rsid w:val="00C95497"/>
    <w:rsid w:val="00C954DA"/>
    <w:rsid w:val="00C95584"/>
    <w:rsid w:val="00C955A9"/>
    <w:rsid w:val="00C955F0"/>
    <w:rsid w:val="00C95769"/>
    <w:rsid w:val="00C95851"/>
    <w:rsid w:val="00C95887"/>
    <w:rsid w:val="00C959E5"/>
    <w:rsid w:val="00C95A01"/>
    <w:rsid w:val="00C95C3E"/>
    <w:rsid w:val="00C95DDF"/>
    <w:rsid w:val="00C95EDC"/>
    <w:rsid w:val="00C95F93"/>
    <w:rsid w:val="00C963F7"/>
    <w:rsid w:val="00C965BC"/>
    <w:rsid w:val="00C96730"/>
    <w:rsid w:val="00C96732"/>
    <w:rsid w:val="00C9687E"/>
    <w:rsid w:val="00C96909"/>
    <w:rsid w:val="00C969D3"/>
    <w:rsid w:val="00C96AE2"/>
    <w:rsid w:val="00C96D0C"/>
    <w:rsid w:val="00C9703D"/>
    <w:rsid w:val="00C97583"/>
    <w:rsid w:val="00C975B6"/>
    <w:rsid w:val="00C97708"/>
    <w:rsid w:val="00C97753"/>
    <w:rsid w:val="00C97844"/>
    <w:rsid w:val="00C978F4"/>
    <w:rsid w:val="00C97AF2"/>
    <w:rsid w:val="00C97D24"/>
    <w:rsid w:val="00C97E2F"/>
    <w:rsid w:val="00CA0189"/>
    <w:rsid w:val="00CA018F"/>
    <w:rsid w:val="00CA02FA"/>
    <w:rsid w:val="00CA0838"/>
    <w:rsid w:val="00CA09C6"/>
    <w:rsid w:val="00CA0B8E"/>
    <w:rsid w:val="00CA0C0E"/>
    <w:rsid w:val="00CA0E57"/>
    <w:rsid w:val="00CA104B"/>
    <w:rsid w:val="00CA134D"/>
    <w:rsid w:val="00CA157A"/>
    <w:rsid w:val="00CA1776"/>
    <w:rsid w:val="00CA1884"/>
    <w:rsid w:val="00CA18D6"/>
    <w:rsid w:val="00CA1965"/>
    <w:rsid w:val="00CA1CB3"/>
    <w:rsid w:val="00CA1F0E"/>
    <w:rsid w:val="00CA2072"/>
    <w:rsid w:val="00CA215B"/>
    <w:rsid w:val="00CA2437"/>
    <w:rsid w:val="00CA2588"/>
    <w:rsid w:val="00CA273D"/>
    <w:rsid w:val="00CA2749"/>
    <w:rsid w:val="00CA278F"/>
    <w:rsid w:val="00CA2823"/>
    <w:rsid w:val="00CA2D38"/>
    <w:rsid w:val="00CA2E4A"/>
    <w:rsid w:val="00CA2F4F"/>
    <w:rsid w:val="00CA30AF"/>
    <w:rsid w:val="00CA3271"/>
    <w:rsid w:val="00CA32DB"/>
    <w:rsid w:val="00CA33BD"/>
    <w:rsid w:val="00CA3427"/>
    <w:rsid w:val="00CA3517"/>
    <w:rsid w:val="00CA377B"/>
    <w:rsid w:val="00CA3804"/>
    <w:rsid w:val="00CA38BB"/>
    <w:rsid w:val="00CA397C"/>
    <w:rsid w:val="00CA3B10"/>
    <w:rsid w:val="00CA3CC8"/>
    <w:rsid w:val="00CA3DE6"/>
    <w:rsid w:val="00CA3EC8"/>
    <w:rsid w:val="00CA3F3E"/>
    <w:rsid w:val="00CA4018"/>
    <w:rsid w:val="00CA43A8"/>
    <w:rsid w:val="00CA43F7"/>
    <w:rsid w:val="00CA4490"/>
    <w:rsid w:val="00CA45F1"/>
    <w:rsid w:val="00CA4644"/>
    <w:rsid w:val="00CA4771"/>
    <w:rsid w:val="00CA49B5"/>
    <w:rsid w:val="00CA4A1A"/>
    <w:rsid w:val="00CA4BD6"/>
    <w:rsid w:val="00CA4D7E"/>
    <w:rsid w:val="00CA4DAA"/>
    <w:rsid w:val="00CA4E48"/>
    <w:rsid w:val="00CA5101"/>
    <w:rsid w:val="00CA545A"/>
    <w:rsid w:val="00CA55B9"/>
    <w:rsid w:val="00CA5657"/>
    <w:rsid w:val="00CA57C9"/>
    <w:rsid w:val="00CA57FE"/>
    <w:rsid w:val="00CA59AD"/>
    <w:rsid w:val="00CA5CE2"/>
    <w:rsid w:val="00CA5D9D"/>
    <w:rsid w:val="00CA5FBA"/>
    <w:rsid w:val="00CA61FA"/>
    <w:rsid w:val="00CA63C9"/>
    <w:rsid w:val="00CA654E"/>
    <w:rsid w:val="00CA6630"/>
    <w:rsid w:val="00CA6880"/>
    <w:rsid w:val="00CA6949"/>
    <w:rsid w:val="00CA6A4D"/>
    <w:rsid w:val="00CA6ADE"/>
    <w:rsid w:val="00CA6C98"/>
    <w:rsid w:val="00CA6DC4"/>
    <w:rsid w:val="00CA705E"/>
    <w:rsid w:val="00CA70B9"/>
    <w:rsid w:val="00CA7274"/>
    <w:rsid w:val="00CA7411"/>
    <w:rsid w:val="00CA74D6"/>
    <w:rsid w:val="00CA77DD"/>
    <w:rsid w:val="00CA7B32"/>
    <w:rsid w:val="00CA7E1F"/>
    <w:rsid w:val="00CA7E52"/>
    <w:rsid w:val="00CA7EA2"/>
    <w:rsid w:val="00CA7F54"/>
    <w:rsid w:val="00CA7FF0"/>
    <w:rsid w:val="00CB0335"/>
    <w:rsid w:val="00CB040C"/>
    <w:rsid w:val="00CB0560"/>
    <w:rsid w:val="00CB057A"/>
    <w:rsid w:val="00CB0647"/>
    <w:rsid w:val="00CB077B"/>
    <w:rsid w:val="00CB07F9"/>
    <w:rsid w:val="00CB084D"/>
    <w:rsid w:val="00CB0930"/>
    <w:rsid w:val="00CB097F"/>
    <w:rsid w:val="00CB0CD7"/>
    <w:rsid w:val="00CB0D5E"/>
    <w:rsid w:val="00CB0DEE"/>
    <w:rsid w:val="00CB0FA7"/>
    <w:rsid w:val="00CB115F"/>
    <w:rsid w:val="00CB11F4"/>
    <w:rsid w:val="00CB124F"/>
    <w:rsid w:val="00CB12A5"/>
    <w:rsid w:val="00CB13CD"/>
    <w:rsid w:val="00CB1520"/>
    <w:rsid w:val="00CB1788"/>
    <w:rsid w:val="00CB18FB"/>
    <w:rsid w:val="00CB1B8E"/>
    <w:rsid w:val="00CB1C74"/>
    <w:rsid w:val="00CB1E7C"/>
    <w:rsid w:val="00CB2087"/>
    <w:rsid w:val="00CB208B"/>
    <w:rsid w:val="00CB20BA"/>
    <w:rsid w:val="00CB2114"/>
    <w:rsid w:val="00CB2179"/>
    <w:rsid w:val="00CB21B7"/>
    <w:rsid w:val="00CB2231"/>
    <w:rsid w:val="00CB234F"/>
    <w:rsid w:val="00CB2389"/>
    <w:rsid w:val="00CB239C"/>
    <w:rsid w:val="00CB2740"/>
    <w:rsid w:val="00CB28C7"/>
    <w:rsid w:val="00CB2B49"/>
    <w:rsid w:val="00CB2E84"/>
    <w:rsid w:val="00CB3073"/>
    <w:rsid w:val="00CB31A6"/>
    <w:rsid w:val="00CB3713"/>
    <w:rsid w:val="00CB3721"/>
    <w:rsid w:val="00CB3779"/>
    <w:rsid w:val="00CB3A60"/>
    <w:rsid w:val="00CB3CF5"/>
    <w:rsid w:val="00CB3D37"/>
    <w:rsid w:val="00CB3DB8"/>
    <w:rsid w:val="00CB44AB"/>
    <w:rsid w:val="00CB487A"/>
    <w:rsid w:val="00CB48D6"/>
    <w:rsid w:val="00CB495B"/>
    <w:rsid w:val="00CB4999"/>
    <w:rsid w:val="00CB4D4B"/>
    <w:rsid w:val="00CB500D"/>
    <w:rsid w:val="00CB5186"/>
    <w:rsid w:val="00CB55D2"/>
    <w:rsid w:val="00CB56B1"/>
    <w:rsid w:val="00CB56F0"/>
    <w:rsid w:val="00CB5793"/>
    <w:rsid w:val="00CB57B6"/>
    <w:rsid w:val="00CB57FF"/>
    <w:rsid w:val="00CB58DF"/>
    <w:rsid w:val="00CB5C7D"/>
    <w:rsid w:val="00CB5D7B"/>
    <w:rsid w:val="00CB61DD"/>
    <w:rsid w:val="00CB630F"/>
    <w:rsid w:val="00CB63B2"/>
    <w:rsid w:val="00CB64A0"/>
    <w:rsid w:val="00CB64C7"/>
    <w:rsid w:val="00CB64D9"/>
    <w:rsid w:val="00CB6511"/>
    <w:rsid w:val="00CB692A"/>
    <w:rsid w:val="00CB6AC9"/>
    <w:rsid w:val="00CB6B47"/>
    <w:rsid w:val="00CB6F92"/>
    <w:rsid w:val="00CB6F9C"/>
    <w:rsid w:val="00CB7030"/>
    <w:rsid w:val="00CB71DF"/>
    <w:rsid w:val="00CB776A"/>
    <w:rsid w:val="00CB789C"/>
    <w:rsid w:val="00CB7CEA"/>
    <w:rsid w:val="00CC00D8"/>
    <w:rsid w:val="00CC014F"/>
    <w:rsid w:val="00CC01E4"/>
    <w:rsid w:val="00CC03CD"/>
    <w:rsid w:val="00CC05FB"/>
    <w:rsid w:val="00CC07AC"/>
    <w:rsid w:val="00CC08FF"/>
    <w:rsid w:val="00CC0A57"/>
    <w:rsid w:val="00CC0ADF"/>
    <w:rsid w:val="00CC0BAC"/>
    <w:rsid w:val="00CC0C20"/>
    <w:rsid w:val="00CC0D99"/>
    <w:rsid w:val="00CC0E1C"/>
    <w:rsid w:val="00CC0F77"/>
    <w:rsid w:val="00CC110A"/>
    <w:rsid w:val="00CC1128"/>
    <w:rsid w:val="00CC130C"/>
    <w:rsid w:val="00CC1432"/>
    <w:rsid w:val="00CC1557"/>
    <w:rsid w:val="00CC1825"/>
    <w:rsid w:val="00CC1B93"/>
    <w:rsid w:val="00CC1B9C"/>
    <w:rsid w:val="00CC1E97"/>
    <w:rsid w:val="00CC2175"/>
    <w:rsid w:val="00CC2250"/>
    <w:rsid w:val="00CC24AE"/>
    <w:rsid w:val="00CC24B0"/>
    <w:rsid w:val="00CC24F4"/>
    <w:rsid w:val="00CC2693"/>
    <w:rsid w:val="00CC2C8B"/>
    <w:rsid w:val="00CC2CD6"/>
    <w:rsid w:val="00CC34A0"/>
    <w:rsid w:val="00CC36CF"/>
    <w:rsid w:val="00CC3C1A"/>
    <w:rsid w:val="00CC3DE5"/>
    <w:rsid w:val="00CC4182"/>
    <w:rsid w:val="00CC41A8"/>
    <w:rsid w:val="00CC41FF"/>
    <w:rsid w:val="00CC462B"/>
    <w:rsid w:val="00CC4744"/>
    <w:rsid w:val="00CC497F"/>
    <w:rsid w:val="00CC4AA0"/>
    <w:rsid w:val="00CC4AFB"/>
    <w:rsid w:val="00CC4F45"/>
    <w:rsid w:val="00CC5557"/>
    <w:rsid w:val="00CC5703"/>
    <w:rsid w:val="00CC5770"/>
    <w:rsid w:val="00CC585D"/>
    <w:rsid w:val="00CC5919"/>
    <w:rsid w:val="00CC5A82"/>
    <w:rsid w:val="00CC5B79"/>
    <w:rsid w:val="00CC5B8F"/>
    <w:rsid w:val="00CC5C81"/>
    <w:rsid w:val="00CC5F71"/>
    <w:rsid w:val="00CC603E"/>
    <w:rsid w:val="00CC62A3"/>
    <w:rsid w:val="00CC63AC"/>
    <w:rsid w:val="00CC653E"/>
    <w:rsid w:val="00CC6863"/>
    <w:rsid w:val="00CC6892"/>
    <w:rsid w:val="00CC68AB"/>
    <w:rsid w:val="00CC693E"/>
    <w:rsid w:val="00CC6ADB"/>
    <w:rsid w:val="00CC6AFD"/>
    <w:rsid w:val="00CC6DA8"/>
    <w:rsid w:val="00CC6DAB"/>
    <w:rsid w:val="00CC6DD9"/>
    <w:rsid w:val="00CC6E9D"/>
    <w:rsid w:val="00CC6FCB"/>
    <w:rsid w:val="00CC71A4"/>
    <w:rsid w:val="00CC74AC"/>
    <w:rsid w:val="00CC7596"/>
    <w:rsid w:val="00CC77B5"/>
    <w:rsid w:val="00CC786A"/>
    <w:rsid w:val="00CC797D"/>
    <w:rsid w:val="00CC79FB"/>
    <w:rsid w:val="00CC7AC2"/>
    <w:rsid w:val="00CC7C28"/>
    <w:rsid w:val="00CD0184"/>
    <w:rsid w:val="00CD0228"/>
    <w:rsid w:val="00CD0256"/>
    <w:rsid w:val="00CD05A6"/>
    <w:rsid w:val="00CD0961"/>
    <w:rsid w:val="00CD0A0C"/>
    <w:rsid w:val="00CD0C91"/>
    <w:rsid w:val="00CD0E94"/>
    <w:rsid w:val="00CD1039"/>
    <w:rsid w:val="00CD161E"/>
    <w:rsid w:val="00CD16ED"/>
    <w:rsid w:val="00CD1E7B"/>
    <w:rsid w:val="00CD20CE"/>
    <w:rsid w:val="00CD232D"/>
    <w:rsid w:val="00CD23F4"/>
    <w:rsid w:val="00CD2413"/>
    <w:rsid w:val="00CD265F"/>
    <w:rsid w:val="00CD2677"/>
    <w:rsid w:val="00CD2A28"/>
    <w:rsid w:val="00CD2A3F"/>
    <w:rsid w:val="00CD2B92"/>
    <w:rsid w:val="00CD2CAC"/>
    <w:rsid w:val="00CD2D01"/>
    <w:rsid w:val="00CD2E00"/>
    <w:rsid w:val="00CD2FF2"/>
    <w:rsid w:val="00CD30A7"/>
    <w:rsid w:val="00CD32EE"/>
    <w:rsid w:val="00CD335D"/>
    <w:rsid w:val="00CD3377"/>
    <w:rsid w:val="00CD33BD"/>
    <w:rsid w:val="00CD3410"/>
    <w:rsid w:val="00CD370C"/>
    <w:rsid w:val="00CD373D"/>
    <w:rsid w:val="00CD386B"/>
    <w:rsid w:val="00CD39F5"/>
    <w:rsid w:val="00CD3B36"/>
    <w:rsid w:val="00CD3B59"/>
    <w:rsid w:val="00CD3E79"/>
    <w:rsid w:val="00CD46A6"/>
    <w:rsid w:val="00CD4826"/>
    <w:rsid w:val="00CD482B"/>
    <w:rsid w:val="00CD4873"/>
    <w:rsid w:val="00CD4900"/>
    <w:rsid w:val="00CD4D08"/>
    <w:rsid w:val="00CD4D93"/>
    <w:rsid w:val="00CD4DBC"/>
    <w:rsid w:val="00CD50B4"/>
    <w:rsid w:val="00CD528B"/>
    <w:rsid w:val="00CD5519"/>
    <w:rsid w:val="00CD5619"/>
    <w:rsid w:val="00CD5623"/>
    <w:rsid w:val="00CD573E"/>
    <w:rsid w:val="00CD5843"/>
    <w:rsid w:val="00CD5930"/>
    <w:rsid w:val="00CD595B"/>
    <w:rsid w:val="00CD5A70"/>
    <w:rsid w:val="00CD5D97"/>
    <w:rsid w:val="00CD6238"/>
    <w:rsid w:val="00CD62FC"/>
    <w:rsid w:val="00CD6463"/>
    <w:rsid w:val="00CD6475"/>
    <w:rsid w:val="00CD64B8"/>
    <w:rsid w:val="00CD659F"/>
    <w:rsid w:val="00CD693D"/>
    <w:rsid w:val="00CD694C"/>
    <w:rsid w:val="00CD69AD"/>
    <w:rsid w:val="00CD6B64"/>
    <w:rsid w:val="00CD6C6E"/>
    <w:rsid w:val="00CD6D81"/>
    <w:rsid w:val="00CD6E56"/>
    <w:rsid w:val="00CD6E85"/>
    <w:rsid w:val="00CD6F7B"/>
    <w:rsid w:val="00CD7147"/>
    <w:rsid w:val="00CD72C7"/>
    <w:rsid w:val="00CD7577"/>
    <w:rsid w:val="00CD79CD"/>
    <w:rsid w:val="00CD7C88"/>
    <w:rsid w:val="00CD7DF2"/>
    <w:rsid w:val="00CD7E5B"/>
    <w:rsid w:val="00CD7F1F"/>
    <w:rsid w:val="00CE0085"/>
    <w:rsid w:val="00CE01E4"/>
    <w:rsid w:val="00CE03B9"/>
    <w:rsid w:val="00CE05DA"/>
    <w:rsid w:val="00CE0682"/>
    <w:rsid w:val="00CE06CD"/>
    <w:rsid w:val="00CE103C"/>
    <w:rsid w:val="00CE10E7"/>
    <w:rsid w:val="00CE1503"/>
    <w:rsid w:val="00CE151B"/>
    <w:rsid w:val="00CE1726"/>
    <w:rsid w:val="00CE1874"/>
    <w:rsid w:val="00CE1A8B"/>
    <w:rsid w:val="00CE1B6A"/>
    <w:rsid w:val="00CE1B7F"/>
    <w:rsid w:val="00CE1B9A"/>
    <w:rsid w:val="00CE20AE"/>
    <w:rsid w:val="00CE2116"/>
    <w:rsid w:val="00CE233E"/>
    <w:rsid w:val="00CE235B"/>
    <w:rsid w:val="00CE2628"/>
    <w:rsid w:val="00CE2845"/>
    <w:rsid w:val="00CE2B85"/>
    <w:rsid w:val="00CE2BE4"/>
    <w:rsid w:val="00CE2CB3"/>
    <w:rsid w:val="00CE2E5E"/>
    <w:rsid w:val="00CE2E62"/>
    <w:rsid w:val="00CE2EDD"/>
    <w:rsid w:val="00CE2F8A"/>
    <w:rsid w:val="00CE2FBC"/>
    <w:rsid w:val="00CE31C3"/>
    <w:rsid w:val="00CE320A"/>
    <w:rsid w:val="00CE3286"/>
    <w:rsid w:val="00CE33EE"/>
    <w:rsid w:val="00CE387D"/>
    <w:rsid w:val="00CE38B7"/>
    <w:rsid w:val="00CE3BC4"/>
    <w:rsid w:val="00CE3E7A"/>
    <w:rsid w:val="00CE3FA4"/>
    <w:rsid w:val="00CE40CB"/>
    <w:rsid w:val="00CE4610"/>
    <w:rsid w:val="00CE47CC"/>
    <w:rsid w:val="00CE48B0"/>
    <w:rsid w:val="00CE49DA"/>
    <w:rsid w:val="00CE4A0E"/>
    <w:rsid w:val="00CE4C55"/>
    <w:rsid w:val="00CE4C72"/>
    <w:rsid w:val="00CE4DF6"/>
    <w:rsid w:val="00CE4E68"/>
    <w:rsid w:val="00CE4F3B"/>
    <w:rsid w:val="00CE50B6"/>
    <w:rsid w:val="00CE50D4"/>
    <w:rsid w:val="00CE5114"/>
    <w:rsid w:val="00CE5116"/>
    <w:rsid w:val="00CE53AD"/>
    <w:rsid w:val="00CE53E0"/>
    <w:rsid w:val="00CE550E"/>
    <w:rsid w:val="00CE5618"/>
    <w:rsid w:val="00CE5755"/>
    <w:rsid w:val="00CE59FB"/>
    <w:rsid w:val="00CE5B5B"/>
    <w:rsid w:val="00CE5C4B"/>
    <w:rsid w:val="00CE5CD0"/>
    <w:rsid w:val="00CE5DD3"/>
    <w:rsid w:val="00CE5EFA"/>
    <w:rsid w:val="00CE5F62"/>
    <w:rsid w:val="00CE6168"/>
    <w:rsid w:val="00CE6376"/>
    <w:rsid w:val="00CE63F0"/>
    <w:rsid w:val="00CE63F4"/>
    <w:rsid w:val="00CE66A1"/>
    <w:rsid w:val="00CE66CA"/>
    <w:rsid w:val="00CE680C"/>
    <w:rsid w:val="00CE6BBF"/>
    <w:rsid w:val="00CE6BD0"/>
    <w:rsid w:val="00CE6CC0"/>
    <w:rsid w:val="00CE6EA6"/>
    <w:rsid w:val="00CE703F"/>
    <w:rsid w:val="00CE721E"/>
    <w:rsid w:val="00CE7336"/>
    <w:rsid w:val="00CE7393"/>
    <w:rsid w:val="00CE740B"/>
    <w:rsid w:val="00CE7638"/>
    <w:rsid w:val="00CE7640"/>
    <w:rsid w:val="00CE76A8"/>
    <w:rsid w:val="00CE7878"/>
    <w:rsid w:val="00CE7A0E"/>
    <w:rsid w:val="00CE7F0A"/>
    <w:rsid w:val="00CE7F62"/>
    <w:rsid w:val="00CF0129"/>
    <w:rsid w:val="00CF0223"/>
    <w:rsid w:val="00CF02D2"/>
    <w:rsid w:val="00CF03DC"/>
    <w:rsid w:val="00CF03FF"/>
    <w:rsid w:val="00CF067D"/>
    <w:rsid w:val="00CF0CAC"/>
    <w:rsid w:val="00CF0D3F"/>
    <w:rsid w:val="00CF0FC6"/>
    <w:rsid w:val="00CF1091"/>
    <w:rsid w:val="00CF11FD"/>
    <w:rsid w:val="00CF11FF"/>
    <w:rsid w:val="00CF1431"/>
    <w:rsid w:val="00CF1537"/>
    <w:rsid w:val="00CF15EA"/>
    <w:rsid w:val="00CF1968"/>
    <w:rsid w:val="00CF1981"/>
    <w:rsid w:val="00CF1DE8"/>
    <w:rsid w:val="00CF1F4D"/>
    <w:rsid w:val="00CF2033"/>
    <w:rsid w:val="00CF2157"/>
    <w:rsid w:val="00CF222B"/>
    <w:rsid w:val="00CF2481"/>
    <w:rsid w:val="00CF2612"/>
    <w:rsid w:val="00CF2649"/>
    <w:rsid w:val="00CF2D44"/>
    <w:rsid w:val="00CF2F5B"/>
    <w:rsid w:val="00CF31BA"/>
    <w:rsid w:val="00CF3247"/>
    <w:rsid w:val="00CF3371"/>
    <w:rsid w:val="00CF337B"/>
    <w:rsid w:val="00CF3411"/>
    <w:rsid w:val="00CF376E"/>
    <w:rsid w:val="00CF3805"/>
    <w:rsid w:val="00CF388B"/>
    <w:rsid w:val="00CF3978"/>
    <w:rsid w:val="00CF3B29"/>
    <w:rsid w:val="00CF3C17"/>
    <w:rsid w:val="00CF3C7F"/>
    <w:rsid w:val="00CF3D31"/>
    <w:rsid w:val="00CF3F29"/>
    <w:rsid w:val="00CF3FC2"/>
    <w:rsid w:val="00CF4153"/>
    <w:rsid w:val="00CF429C"/>
    <w:rsid w:val="00CF4374"/>
    <w:rsid w:val="00CF43FF"/>
    <w:rsid w:val="00CF4498"/>
    <w:rsid w:val="00CF460C"/>
    <w:rsid w:val="00CF4954"/>
    <w:rsid w:val="00CF49BA"/>
    <w:rsid w:val="00CF49CB"/>
    <w:rsid w:val="00CF4A66"/>
    <w:rsid w:val="00CF4B63"/>
    <w:rsid w:val="00CF4BC5"/>
    <w:rsid w:val="00CF4DB1"/>
    <w:rsid w:val="00CF5085"/>
    <w:rsid w:val="00CF50C7"/>
    <w:rsid w:val="00CF534F"/>
    <w:rsid w:val="00CF5357"/>
    <w:rsid w:val="00CF53C6"/>
    <w:rsid w:val="00CF56C1"/>
    <w:rsid w:val="00CF57E9"/>
    <w:rsid w:val="00CF59E3"/>
    <w:rsid w:val="00CF59F5"/>
    <w:rsid w:val="00CF5A08"/>
    <w:rsid w:val="00CF5C7B"/>
    <w:rsid w:val="00CF5CE8"/>
    <w:rsid w:val="00CF5D06"/>
    <w:rsid w:val="00CF5F12"/>
    <w:rsid w:val="00CF610C"/>
    <w:rsid w:val="00CF61C3"/>
    <w:rsid w:val="00CF641A"/>
    <w:rsid w:val="00CF64FE"/>
    <w:rsid w:val="00CF6655"/>
    <w:rsid w:val="00CF6A3D"/>
    <w:rsid w:val="00CF6EBC"/>
    <w:rsid w:val="00CF6F03"/>
    <w:rsid w:val="00CF6FD5"/>
    <w:rsid w:val="00CF72A3"/>
    <w:rsid w:val="00CF758F"/>
    <w:rsid w:val="00CF7720"/>
    <w:rsid w:val="00CF7793"/>
    <w:rsid w:val="00CF7881"/>
    <w:rsid w:val="00CF7A64"/>
    <w:rsid w:val="00CF7B6B"/>
    <w:rsid w:val="00CF7D21"/>
    <w:rsid w:val="00D003B7"/>
    <w:rsid w:val="00D00632"/>
    <w:rsid w:val="00D00643"/>
    <w:rsid w:val="00D007CC"/>
    <w:rsid w:val="00D00920"/>
    <w:rsid w:val="00D009D1"/>
    <w:rsid w:val="00D01156"/>
    <w:rsid w:val="00D0120D"/>
    <w:rsid w:val="00D012A4"/>
    <w:rsid w:val="00D012BD"/>
    <w:rsid w:val="00D0141F"/>
    <w:rsid w:val="00D015EB"/>
    <w:rsid w:val="00D01C75"/>
    <w:rsid w:val="00D01CF0"/>
    <w:rsid w:val="00D01D70"/>
    <w:rsid w:val="00D02062"/>
    <w:rsid w:val="00D0222C"/>
    <w:rsid w:val="00D024C9"/>
    <w:rsid w:val="00D024D1"/>
    <w:rsid w:val="00D026EE"/>
    <w:rsid w:val="00D027C2"/>
    <w:rsid w:val="00D027EC"/>
    <w:rsid w:val="00D02939"/>
    <w:rsid w:val="00D02A09"/>
    <w:rsid w:val="00D02A5F"/>
    <w:rsid w:val="00D02AC3"/>
    <w:rsid w:val="00D02CF2"/>
    <w:rsid w:val="00D02D73"/>
    <w:rsid w:val="00D02DEF"/>
    <w:rsid w:val="00D02F95"/>
    <w:rsid w:val="00D02F96"/>
    <w:rsid w:val="00D0315E"/>
    <w:rsid w:val="00D035FD"/>
    <w:rsid w:val="00D037E7"/>
    <w:rsid w:val="00D038F1"/>
    <w:rsid w:val="00D03A6A"/>
    <w:rsid w:val="00D03DF7"/>
    <w:rsid w:val="00D04182"/>
    <w:rsid w:val="00D0426D"/>
    <w:rsid w:val="00D043D0"/>
    <w:rsid w:val="00D04532"/>
    <w:rsid w:val="00D04664"/>
    <w:rsid w:val="00D04709"/>
    <w:rsid w:val="00D04750"/>
    <w:rsid w:val="00D04906"/>
    <w:rsid w:val="00D04A52"/>
    <w:rsid w:val="00D04A98"/>
    <w:rsid w:val="00D04B7D"/>
    <w:rsid w:val="00D04C4B"/>
    <w:rsid w:val="00D04CFC"/>
    <w:rsid w:val="00D052A1"/>
    <w:rsid w:val="00D052BD"/>
    <w:rsid w:val="00D054B1"/>
    <w:rsid w:val="00D0568A"/>
    <w:rsid w:val="00D0585A"/>
    <w:rsid w:val="00D058E6"/>
    <w:rsid w:val="00D0590F"/>
    <w:rsid w:val="00D059F9"/>
    <w:rsid w:val="00D05AED"/>
    <w:rsid w:val="00D05B89"/>
    <w:rsid w:val="00D05C7E"/>
    <w:rsid w:val="00D05D3C"/>
    <w:rsid w:val="00D05E7E"/>
    <w:rsid w:val="00D05F5E"/>
    <w:rsid w:val="00D06553"/>
    <w:rsid w:val="00D06603"/>
    <w:rsid w:val="00D067C9"/>
    <w:rsid w:val="00D068CA"/>
    <w:rsid w:val="00D06AB5"/>
    <w:rsid w:val="00D06B8E"/>
    <w:rsid w:val="00D06C1C"/>
    <w:rsid w:val="00D06D88"/>
    <w:rsid w:val="00D07048"/>
    <w:rsid w:val="00D072E1"/>
    <w:rsid w:val="00D07578"/>
    <w:rsid w:val="00D0764F"/>
    <w:rsid w:val="00D07776"/>
    <w:rsid w:val="00D07809"/>
    <w:rsid w:val="00D07A7F"/>
    <w:rsid w:val="00D07D49"/>
    <w:rsid w:val="00D07D80"/>
    <w:rsid w:val="00D1020B"/>
    <w:rsid w:val="00D10444"/>
    <w:rsid w:val="00D105A9"/>
    <w:rsid w:val="00D107DD"/>
    <w:rsid w:val="00D10B53"/>
    <w:rsid w:val="00D10C60"/>
    <w:rsid w:val="00D10CD8"/>
    <w:rsid w:val="00D10D10"/>
    <w:rsid w:val="00D10E21"/>
    <w:rsid w:val="00D110C7"/>
    <w:rsid w:val="00D11345"/>
    <w:rsid w:val="00D11435"/>
    <w:rsid w:val="00D11653"/>
    <w:rsid w:val="00D118F1"/>
    <w:rsid w:val="00D119D5"/>
    <w:rsid w:val="00D11DFF"/>
    <w:rsid w:val="00D121DE"/>
    <w:rsid w:val="00D122E2"/>
    <w:rsid w:val="00D1260D"/>
    <w:rsid w:val="00D127CC"/>
    <w:rsid w:val="00D12973"/>
    <w:rsid w:val="00D12A22"/>
    <w:rsid w:val="00D12A2A"/>
    <w:rsid w:val="00D12FD2"/>
    <w:rsid w:val="00D13344"/>
    <w:rsid w:val="00D13423"/>
    <w:rsid w:val="00D13426"/>
    <w:rsid w:val="00D1387B"/>
    <w:rsid w:val="00D13A28"/>
    <w:rsid w:val="00D13DEB"/>
    <w:rsid w:val="00D141A9"/>
    <w:rsid w:val="00D142F9"/>
    <w:rsid w:val="00D1449C"/>
    <w:rsid w:val="00D14532"/>
    <w:rsid w:val="00D145BA"/>
    <w:rsid w:val="00D146AF"/>
    <w:rsid w:val="00D147A5"/>
    <w:rsid w:val="00D14C32"/>
    <w:rsid w:val="00D14C6A"/>
    <w:rsid w:val="00D14CAD"/>
    <w:rsid w:val="00D14DF7"/>
    <w:rsid w:val="00D14E71"/>
    <w:rsid w:val="00D14ED6"/>
    <w:rsid w:val="00D150BC"/>
    <w:rsid w:val="00D150E8"/>
    <w:rsid w:val="00D151A3"/>
    <w:rsid w:val="00D151CA"/>
    <w:rsid w:val="00D1524A"/>
    <w:rsid w:val="00D153F8"/>
    <w:rsid w:val="00D1546E"/>
    <w:rsid w:val="00D154F6"/>
    <w:rsid w:val="00D155ED"/>
    <w:rsid w:val="00D1581F"/>
    <w:rsid w:val="00D1587E"/>
    <w:rsid w:val="00D1599A"/>
    <w:rsid w:val="00D15DD4"/>
    <w:rsid w:val="00D16269"/>
    <w:rsid w:val="00D163E2"/>
    <w:rsid w:val="00D16657"/>
    <w:rsid w:val="00D168FF"/>
    <w:rsid w:val="00D16B46"/>
    <w:rsid w:val="00D16B96"/>
    <w:rsid w:val="00D16CD6"/>
    <w:rsid w:val="00D16D6D"/>
    <w:rsid w:val="00D16F2D"/>
    <w:rsid w:val="00D17059"/>
    <w:rsid w:val="00D171A7"/>
    <w:rsid w:val="00D17552"/>
    <w:rsid w:val="00D1757B"/>
    <w:rsid w:val="00D1771B"/>
    <w:rsid w:val="00D17776"/>
    <w:rsid w:val="00D17921"/>
    <w:rsid w:val="00D17DBF"/>
    <w:rsid w:val="00D17E43"/>
    <w:rsid w:val="00D17E92"/>
    <w:rsid w:val="00D2003B"/>
    <w:rsid w:val="00D2025B"/>
    <w:rsid w:val="00D20331"/>
    <w:rsid w:val="00D20529"/>
    <w:rsid w:val="00D20849"/>
    <w:rsid w:val="00D208E6"/>
    <w:rsid w:val="00D20952"/>
    <w:rsid w:val="00D20C4D"/>
    <w:rsid w:val="00D20CC4"/>
    <w:rsid w:val="00D20EA7"/>
    <w:rsid w:val="00D213FA"/>
    <w:rsid w:val="00D2151A"/>
    <w:rsid w:val="00D21A9C"/>
    <w:rsid w:val="00D21AB9"/>
    <w:rsid w:val="00D21BE4"/>
    <w:rsid w:val="00D21CB4"/>
    <w:rsid w:val="00D21E7F"/>
    <w:rsid w:val="00D21F2C"/>
    <w:rsid w:val="00D21F37"/>
    <w:rsid w:val="00D21F48"/>
    <w:rsid w:val="00D221F2"/>
    <w:rsid w:val="00D2226A"/>
    <w:rsid w:val="00D222E7"/>
    <w:rsid w:val="00D22537"/>
    <w:rsid w:val="00D225B7"/>
    <w:rsid w:val="00D22850"/>
    <w:rsid w:val="00D22A7F"/>
    <w:rsid w:val="00D22AB2"/>
    <w:rsid w:val="00D22D9A"/>
    <w:rsid w:val="00D22E31"/>
    <w:rsid w:val="00D22EBE"/>
    <w:rsid w:val="00D22EF0"/>
    <w:rsid w:val="00D22F42"/>
    <w:rsid w:val="00D230F1"/>
    <w:rsid w:val="00D2313C"/>
    <w:rsid w:val="00D231FD"/>
    <w:rsid w:val="00D232E7"/>
    <w:rsid w:val="00D23401"/>
    <w:rsid w:val="00D23461"/>
    <w:rsid w:val="00D234C7"/>
    <w:rsid w:val="00D23508"/>
    <w:rsid w:val="00D2361B"/>
    <w:rsid w:val="00D2363D"/>
    <w:rsid w:val="00D236CC"/>
    <w:rsid w:val="00D23B40"/>
    <w:rsid w:val="00D23ECB"/>
    <w:rsid w:val="00D23F3B"/>
    <w:rsid w:val="00D23F4B"/>
    <w:rsid w:val="00D242BA"/>
    <w:rsid w:val="00D24795"/>
    <w:rsid w:val="00D24879"/>
    <w:rsid w:val="00D2507B"/>
    <w:rsid w:val="00D25158"/>
    <w:rsid w:val="00D252E3"/>
    <w:rsid w:val="00D253CB"/>
    <w:rsid w:val="00D25CAB"/>
    <w:rsid w:val="00D25D6C"/>
    <w:rsid w:val="00D25F33"/>
    <w:rsid w:val="00D25F89"/>
    <w:rsid w:val="00D25FB6"/>
    <w:rsid w:val="00D260B0"/>
    <w:rsid w:val="00D262B5"/>
    <w:rsid w:val="00D2643A"/>
    <w:rsid w:val="00D26642"/>
    <w:rsid w:val="00D266D4"/>
    <w:rsid w:val="00D266E8"/>
    <w:rsid w:val="00D269C4"/>
    <w:rsid w:val="00D26BB3"/>
    <w:rsid w:val="00D2725C"/>
    <w:rsid w:val="00D272E3"/>
    <w:rsid w:val="00D2733C"/>
    <w:rsid w:val="00D27382"/>
    <w:rsid w:val="00D276E8"/>
    <w:rsid w:val="00D27A0A"/>
    <w:rsid w:val="00D27CA4"/>
    <w:rsid w:val="00D27D39"/>
    <w:rsid w:val="00D27EF2"/>
    <w:rsid w:val="00D27F9F"/>
    <w:rsid w:val="00D3005F"/>
    <w:rsid w:val="00D301A0"/>
    <w:rsid w:val="00D30522"/>
    <w:rsid w:val="00D307FF"/>
    <w:rsid w:val="00D30EEA"/>
    <w:rsid w:val="00D30F66"/>
    <w:rsid w:val="00D311A9"/>
    <w:rsid w:val="00D311D8"/>
    <w:rsid w:val="00D3128F"/>
    <w:rsid w:val="00D3147A"/>
    <w:rsid w:val="00D31616"/>
    <w:rsid w:val="00D31862"/>
    <w:rsid w:val="00D318D1"/>
    <w:rsid w:val="00D31998"/>
    <w:rsid w:val="00D31BD0"/>
    <w:rsid w:val="00D31C18"/>
    <w:rsid w:val="00D31C79"/>
    <w:rsid w:val="00D31D00"/>
    <w:rsid w:val="00D32054"/>
    <w:rsid w:val="00D3224E"/>
    <w:rsid w:val="00D322B0"/>
    <w:rsid w:val="00D322DF"/>
    <w:rsid w:val="00D3234E"/>
    <w:rsid w:val="00D3250E"/>
    <w:rsid w:val="00D32597"/>
    <w:rsid w:val="00D325A0"/>
    <w:rsid w:val="00D32626"/>
    <w:rsid w:val="00D32695"/>
    <w:rsid w:val="00D326AF"/>
    <w:rsid w:val="00D326C5"/>
    <w:rsid w:val="00D329E0"/>
    <w:rsid w:val="00D32B4F"/>
    <w:rsid w:val="00D32D1A"/>
    <w:rsid w:val="00D32D6E"/>
    <w:rsid w:val="00D33069"/>
    <w:rsid w:val="00D33184"/>
    <w:rsid w:val="00D3327C"/>
    <w:rsid w:val="00D333C2"/>
    <w:rsid w:val="00D3349F"/>
    <w:rsid w:val="00D335CD"/>
    <w:rsid w:val="00D336C1"/>
    <w:rsid w:val="00D3379F"/>
    <w:rsid w:val="00D33A28"/>
    <w:rsid w:val="00D33AEE"/>
    <w:rsid w:val="00D33BC3"/>
    <w:rsid w:val="00D33BD1"/>
    <w:rsid w:val="00D33C7E"/>
    <w:rsid w:val="00D3417F"/>
    <w:rsid w:val="00D3423A"/>
    <w:rsid w:val="00D3446E"/>
    <w:rsid w:val="00D34663"/>
    <w:rsid w:val="00D34792"/>
    <w:rsid w:val="00D34802"/>
    <w:rsid w:val="00D34B11"/>
    <w:rsid w:val="00D34BF9"/>
    <w:rsid w:val="00D34C50"/>
    <w:rsid w:val="00D3509E"/>
    <w:rsid w:val="00D35242"/>
    <w:rsid w:val="00D35280"/>
    <w:rsid w:val="00D352A9"/>
    <w:rsid w:val="00D3536D"/>
    <w:rsid w:val="00D353D9"/>
    <w:rsid w:val="00D356DA"/>
    <w:rsid w:val="00D35798"/>
    <w:rsid w:val="00D35835"/>
    <w:rsid w:val="00D359B2"/>
    <w:rsid w:val="00D35BE2"/>
    <w:rsid w:val="00D35C3F"/>
    <w:rsid w:val="00D35E39"/>
    <w:rsid w:val="00D35F67"/>
    <w:rsid w:val="00D36085"/>
    <w:rsid w:val="00D36422"/>
    <w:rsid w:val="00D36491"/>
    <w:rsid w:val="00D36575"/>
    <w:rsid w:val="00D366D6"/>
    <w:rsid w:val="00D3677B"/>
    <w:rsid w:val="00D367C8"/>
    <w:rsid w:val="00D36C33"/>
    <w:rsid w:val="00D36D60"/>
    <w:rsid w:val="00D36E1A"/>
    <w:rsid w:val="00D3703D"/>
    <w:rsid w:val="00D370AE"/>
    <w:rsid w:val="00D370E7"/>
    <w:rsid w:val="00D37122"/>
    <w:rsid w:val="00D37185"/>
    <w:rsid w:val="00D37257"/>
    <w:rsid w:val="00D37334"/>
    <w:rsid w:val="00D37391"/>
    <w:rsid w:val="00D373D1"/>
    <w:rsid w:val="00D373DE"/>
    <w:rsid w:val="00D37722"/>
    <w:rsid w:val="00D379B3"/>
    <w:rsid w:val="00D37C27"/>
    <w:rsid w:val="00D37E02"/>
    <w:rsid w:val="00D37E19"/>
    <w:rsid w:val="00D37E32"/>
    <w:rsid w:val="00D37E89"/>
    <w:rsid w:val="00D37ECB"/>
    <w:rsid w:val="00D402E6"/>
    <w:rsid w:val="00D40376"/>
    <w:rsid w:val="00D404E2"/>
    <w:rsid w:val="00D40791"/>
    <w:rsid w:val="00D407FF"/>
    <w:rsid w:val="00D41069"/>
    <w:rsid w:val="00D41099"/>
    <w:rsid w:val="00D411EB"/>
    <w:rsid w:val="00D41401"/>
    <w:rsid w:val="00D414DE"/>
    <w:rsid w:val="00D4199C"/>
    <w:rsid w:val="00D41AA9"/>
    <w:rsid w:val="00D41B43"/>
    <w:rsid w:val="00D41C4B"/>
    <w:rsid w:val="00D41D3D"/>
    <w:rsid w:val="00D41D77"/>
    <w:rsid w:val="00D41ED9"/>
    <w:rsid w:val="00D41F41"/>
    <w:rsid w:val="00D41F52"/>
    <w:rsid w:val="00D41FCB"/>
    <w:rsid w:val="00D420AB"/>
    <w:rsid w:val="00D422AF"/>
    <w:rsid w:val="00D4232D"/>
    <w:rsid w:val="00D423C4"/>
    <w:rsid w:val="00D42459"/>
    <w:rsid w:val="00D42579"/>
    <w:rsid w:val="00D425EC"/>
    <w:rsid w:val="00D427F9"/>
    <w:rsid w:val="00D429B5"/>
    <w:rsid w:val="00D42ABB"/>
    <w:rsid w:val="00D42BE8"/>
    <w:rsid w:val="00D42C4D"/>
    <w:rsid w:val="00D42DEF"/>
    <w:rsid w:val="00D42DFD"/>
    <w:rsid w:val="00D42E68"/>
    <w:rsid w:val="00D42E8E"/>
    <w:rsid w:val="00D42F2A"/>
    <w:rsid w:val="00D42F7D"/>
    <w:rsid w:val="00D43156"/>
    <w:rsid w:val="00D43195"/>
    <w:rsid w:val="00D432F1"/>
    <w:rsid w:val="00D43449"/>
    <w:rsid w:val="00D4344A"/>
    <w:rsid w:val="00D43CC9"/>
    <w:rsid w:val="00D43D7E"/>
    <w:rsid w:val="00D43E88"/>
    <w:rsid w:val="00D4413B"/>
    <w:rsid w:val="00D4429B"/>
    <w:rsid w:val="00D4443E"/>
    <w:rsid w:val="00D445D1"/>
    <w:rsid w:val="00D448CA"/>
    <w:rsid w:val="00D449A0"/>
    <w:rsid w:val="00D44A2A"/>
    <w:rsid w:val="00D44BA5"/>
    <w:rsid w:val="00D44BE4"/>
    <w:rsid w:val="00D44D07"/>
    <w:rsid w:val="00D44E16"/>
    <w:rsid w:val="00D44E7C"/>
    <w:rsid w:val="00D44EC2"/>
    <w:rsid w:val="00D44F2A"/>
    <w:rsid w:val="00D45210"/>
    <w:rsid w:val="00D4551A"/>
    <w:rsid w:val="00D457E0"/>
    <w:rsid w:val="00D45A21"/>
    <w:rsid w:val="00D45AA7"/>
    <w:rsid w:val="00D45E02"/>
    <w:rsid w:val="00D45F5A"/>
    <w:rsid w:val="00D461E4"/>
    <w:rsid w:val="00D46362"/>
    <w:rsid w:val="00D466C1"/>
    <w:rsid w:val="00D46707"/>
    <w:rsid w:val="00D468B4"/>
    <w:rsid w:val="00D46AB0"/>
    <w:rsid w:val="00D46B93"/>
    <w:rsid w:val="00D46C5C"/>
    <w:rsid w:val="00D46C97"/>
    <w:rsid w:val="00D46DCC"/>
    <w:rsid w:val="00D46DF2"/>
    <w:rsid w:val="00D46E0C"/>
    <w:rsid w:val="00D46E6B"/>
    <w:rsid w:val="00D46EE4"/>
    <w:rsid w:val="00D46F0A"/>
    <w:rsid w:val="00D472B9"/>
    <w:rsid w:val="00D472DA"/>
    <w:rsid w:val="00D47405"/>
    <w:rsid w:val="00D47458"/>
    <w:rsid w:val="00D474A7"/>
    <w:rsid w:val="00D47766"/>
    <w:rsid w:val="00D47793"/>
    <w:rsid w:val="00D4781D"/>
    <w:rsid w:val="00D47889"/>
    <w:rsid w:val="00D478C5"/>
    <w:rsid w:val="00D47964"/>
    <w:rsid w:val="00D47BE7"/>
    <w:rsid w:val="00D47DC6"/>
    <w:rsid w:val="00D47F39"/>
    <w:rsid w:val="00D50165"/>
    <w:rsid w:val="00D50249"/>
    <w:rsid w:val="00D50593"/>
    <w:rsid w:val="00D5080A"/>
    <w:rsid w:val="00D50988"/>
    <w:rsid w:val="00D50C00"/>
    <w:rsid w:val="00D511B6"/>
    <w:rsid w:val="00D512CB"/>
    <w:rsid w:val="00D51443"/>
    <w:rsid w:val="00D517B8"/>
    <w:rsid w:val="00D51818"/>
    <w:rsid w:val="00D519CB"/>
    <w:rsid w:val="00D51A47"/>
    <w:rsid w:val="00D51CAC"/>
    <w:rsid w:val="00D51DF3"/>
    <w:rsid w:val="00D51E2E"/>
    <w:rsid w:val="00D52075"/>
    <w:rsid w:val="00D520F0"/>
    <w:rsid w:val="00D5220F"/>
    <w:rsid w:val="00D52727"/>
    <w:rsid w:val="00D527D0"/>
    <w:rsid w:val="00D528E6"/>
    <w:rsid w:val="00D52A4E"/>
    <w:rsid w:val="00D52B7F"/>
    <w:rsid w:val="00D52C27"/>
    <w:rsid w:val="00D52F0C"/>
    <w:rsid w:val="00D52F50"/>
    <w:rsid w:val="00D53309"/>
    <w:rsid w:val="00D53558"/>
    <w:rsid w:val="00D5373E"/>
    <w:rsid w:val="00D53746"/>
    <w:rsid w:val="00D537A9"/>
    <w:rsid w:val="00D53828"/>
    <w:rsid w:val="00D538FA"/>
    <w:rsid w:val="00D53B23"/>
    <w:rsid w:val="00D53B45"/>
    <w:rsid w:val="00D53C79"/>
    <w:rsid w:val="00D53CC5"/>
    <w:rsid w:val="00D53CF9"/>
    <w:rsid w:val="00D54271"/>
    <w:rsid w:val="00D542A6"/>
    <w:rsid w:val="00D544EA"/>
    <w:rsid w:val="00D544F5"/>
    <w:rsid w:val="00D54557"/>
    <w:rsid w:val="00D546F8"/>
    <w:rsid w:val="00D54720"/>
    <w:rsid w:val="00D54DEC"/>
    <w:rsid w:val="00D54E49"/>
    <w:rsid w:val="00D550FA"/>
    <w:rsid w:val="00D55495"/>
    <w:rsid w:val="00D55746"/>
    <w:rsid w:val="00D55987"/>
    <w:rsid w:val="00D55B37"/>
    <w:rsid w:val="00D55C75"/>
    <w:rsid w:val="00D55E35"/>
    <w:rsid w:val="00D55E3A"/>
    <w:rsid w:val="00D55EF1"/>
    <w:rsid w:val="00D563E6"/>
    <w:rsid w:val="00D56464"/>
    <w:rsid w:val="00D564B5"/>
    <w:rsid w:val="00D564D8"/>
    <w:rsid w:val="00D56A21"/>
    <w:rsid w:val="00D56D13"/>
    <w:rsid w:val="00D56DEA"/>
    <w:rsid w:val="00D56FDB"/>
    <w:rsid w:val="00D570A3"/>
    <w:rsid w:val="00D57430"/>
    <w:rsid w:val="00D57696"/>
    <w:rsid w:val="00D576D5"/>
    <w:rsid w:val="00D5782C"/>
    <w:rsid w:val="00D57864"/>
    <w:rsid w:val="00D57E5C"/>
    <w:rsid w:val="00D57F6D"/>
    <w:rsid w:val="00D60077"/>
    <w:rsid w:val="00D6020E"/>
    <w:rsid w:val="00D6051E"/>
    <w:rsid w:val="00D60561"/>
    <w:rsid w:val="00D6062C"/>
    <w:rsid w:val="00D606A3"/>
    <w:rsid w:val="00D60955"/>
    <w:rsid w:val="00D609B1"/>
    <w:rsid w:val="00D60A00"/>
    <w:rsid w:val="00D60AF8"/>
    <w:rsid w:val="00D60B13"/>
    <w:rsid w:val="00D60BD5"/>
    <w:rsid w:val="00D60CB3"/>
    <w:rsid w:val="00D60E04"/>
    <w:rsid w:val="00D60E73"/>
    <w:rsid w:val="00D60EF6"/>
    <w:rsid w:val="00D611C4"/>
    <w:rsid w:val="00D61306"/>
    <w:rsid w:val="00D614B9"/>
    <w:rsid w:val="00D614E0"/>
    <w:rsid w:val="00D6157B"/>
    <w:rsid w:val="00D61879"/>
    <w:rsid w:val="00D61D39"/>
    <w:rsid w:val="00D61F4E"/>
    <w:rsid w:val="00D62025"/>
    <w:rsid w:val="00D622F6"/>
    <w:rsid w:val="00D62425"/>
    <w:rsid w:val="00D625CE"/>
    <w:rsid w:val="00D62734"/>
    <w:rsid w:val="00D629D6"/>
    <w:rsid w:val="00D62A36"/>
    <w:rsid w:val="00D62AC2"/>
    <w:rsid w:val="00D62C86"/>
    <w:rsid w:val="00D62E92"/>
    <w:rsid w:val="00D62EA3"/>
    <w:rsid w:val="00D63266"/>
    <w:rsid w:val="00D633C6"/>
    <w:rsid w:val="00D637B8"/>
    <w:rsid w:val="00D63DF0"/>
    <w:rsid w:val="00D63ECC"/>
    <w:rsid w:val="00D6405F"/>
    <w:rsid w:val="00D6410A"/>
    <w:rsid w:val="00D6419A"/>
    <w:rsid w:val="00D64284"/>
    <w:rsid w:val="00D642D5"/>
    <w:rsid w:val="00D642F7"/>
    <w:rsid w:val="00D64357"/>
    <w:rsid w:val="00D64443"/>
    <w:rsid w:val="00D64457"/>
    <w:rsid w:val="00D64578"/>
    <w:rsid w:val="00D647F7"/>
    <w:rsid w:val="00D64E1B"/>
    <w:rsid w:val="00D64E89"/>
    <w:rsid w:val="00D64F69"/>
    <w:rsid w:val="00D650E6"/>
    <w:rsid w:val="00D6517C"/>
    <w:rsid w:val="00D6521D"/>
    <w:rsid w:val="00D65334"/>
    <w:rsid w:val="00D6552F"/>
    <w:rsid w:val="00D65583"/>
    <w:rsid w:val="00D6563D"/>
    <w:rsid w:val="00D658C3"/>
    <w:rsid w:val="00D659B7"/>
    <w:rsid w:val="00D65A1E"/>
    <w:rsid w:val="00D65D16"/>
    <w:rsid w:val="00D65E10"/>
    <w:rsid w:val="00D65E54"/>
    <w:rsid w:val="00D65ECC"/>
    <w:rsid w:val="00D65F5A"/>
    <w:rsid w:val="00D65F6C"/>
    <w:rsid w:val="00D6600F"/>
    <w:rsid w:val="00D66206"/>
    <w:rsid w:val="00D6621E"/>
    <w:rsid w:val="00D668AB"/>
    <w:rsid w:val="00D668EF"/>
    <w:rsid w:val="00D668FC"/>
    <w:rsid w:val="00D66BDB"/>
    <w:rsid w:val="00D66C59"/>
    <w:rsid w:val="00D66CB9"/>
    <w:rsid w:val="00D66FC2"/>
    <w:rsid w:val="00D67001"/>
    <w:rsid w:val="00D67314"/>
    <w:rsid w:val="00D67835"/>
    <w:rsid w:val="00D67A04"/>
    <w:rsid w:val="00D67CA7"/>
    <w:rsid w:val="00D67E52"/>
    <w:rsid w:val="00D67F09"/>
    <w:rsid w:val="00D67FC4"/>
    <w:rsid w:val="00D700C2"/>
    <w:rsid w:val="00D701FF"/>
    <w:rsid w:val="00D70226"/>
    <w:rsid w:val="00D70423"/>
    <w:rsid w:val="00D70C61"/>
    <w:rsid w:val="00D70FA5"/>
    <w:rsid w:val="00D71007"/>
    <w:rsid w:val="00D71037"/>
    <w:rsid w:val="00D710A5"/>
    <w:rsid w:val="00D713B4"/>
    <w:rsid w:val="00D713CE"/>
    <w:rsid w:val="00D714DD"/>
    <w:rsid w:val="00D71566"/>
    <w:rsid w:val="00D716B7"/>
    <w:rsid w:val="00D71BC8"/>
    <w:rsid w:val="00D71D98"/>
    <w:rsid w:val="00D71F62"/>
    <w:rsid w:val="00D71F96"/>
    <w:rsid w:val="00D72014"/>
    <w:rsid w:val="00D72299"/>
    <w:rsid w:val="00D722F3"/>
    <w:rsid w:val="00D723DE"/>
    <w:rsid w:val="00D72507"/>
    <w:rsid w:val="00D725A2"/>
    <w:rsid w:val="00D72A0A"/>
    <w:rsid w:val="00D72B43"/>
    <w:rsid w:val="00D72EA2"/>
    <w:rsid w:val="00D733D8"/>
    <w:rsid w:val="00D738E8"/>
    <w:rsid w:val="00D73986"/>
    <w:rsid w:val="00D73B0F"/>
    <w:rsid w:val="00D73D4A"/>
    <w:rsid w:val="00D73E1A"/>
    <w:rsid w:val="00D742A5"/>
    <w:rsid w:val="00D746C2"/>
    <w:rsid w:val="00D74746"/>
    <w:rsid w:val="00D74748"/>
    <w:rsid w:val="00D74B3C"/>
    <w:rsid w:val="00D74B60"/>
    <w:rsid w:val="00D74D0F"/>
    <w:rsid w:val="00D74D96"/>
    <w:rsid w:val="00D74EAA"/>
    <w:rsid w:val="00D74F08"/>
    <w:rsid w:val="00D74F83"/>
    <w:rsid w:val="00D74F87"/>
    <w:rsid w:val="00D75097"/>
    <w:rsid w:val="00D750B5"/>
    <w:rsid w:val="00D752FF"/>
    <w:rsid w:val="00D753A8"/>
    <w:rsid w:val="00D754C6"/>
    <w:rsid w:val="00D7559B"/>
    <w:rsid w:val="00D755F4"/>
    <w:rsid w:val="00D7581B"/>
    <w:rsid w:val="00D75A69"/>
    <w:rsid w:val="00D75A6E"/>
    <w:rsid w:val="00D75A9C"/>
    <w:rsid w:val="00D75AB5"/>
    <w:rsid w:val="00D7660A"/>
    <w:rsid w:val="00D76707"/>
    <w:rsid w:val="00D767E6"/>
    <w:rsid w:val="00D76806"/>
    <w:rsid w:val="00D768A9"/>
    <w:rsid w:val="00D768D8"/>
    <w:rsid w:val="00D76A08"/>
    <w:rsid w:val="00D76EEC"/>
    <w:rsid w:val="00D77006"/>
    <w:rsid w:val="00D77081"/>
    <w:rsid w:val="00D77094"/>
    <w:rsid w:val="00D772B4"/>
    <w:rsid w:val="00D77527"/>
    <w:rsid w:val="00D7772D"/>
    <w:rsid w:val="00D77A6B"/>
    <w:rsid w:val="00D77C46"/>
    <w:rsid w:val="00D77D50"/>
    <w:rsid w:val="00D77DAA"/>
    <w:rsid w:val="00D77EDA"/>
    <w:rsid w:val="00D77FAF"/>
    <w:rsid w:val="00D80050"/>
    <w:rsid w:val="00D80111"/>
    <w:rsid w:val="00D8025E"/>
    <w:rsid w:val="00D80301"/>
    <w:rsid w:val="00D80323"/>
    <w:rsid w:val="00D80354"/>
    <w:rsid w:val="00D8036F"/>
    <w:rsid w:val="00D80497"/>
    <w:rsid w:val="00D804FE"/>
    <w:rsid w:val="00D80827"/>
    <w:rsid w:val="00D80A5C"/>
    <w:rsid w:val="00D80B85"/>
    <w:rsid w:val="00D80C23"/>
    <w:rsid w:val="00D80C60"/>
    <w:rsid w:val="00D80E7B"/>
    <w:rsid w:val="00D811BB"/>
    <w:rsid w:val="00D811CF"/>
    <w:rsid w:val="00D812F0"/>
    <w:rsid w:val="00D81381"/>
    <w:rsid w:val="00D81556"/>
    <w:rsid w:val="00D81CDE"/>
    <w:rsid w:val="00D81CE2"/>
    <w:rsid w:val="00D8211C"/>
    <w:rsid w:val="00D82584"/>
    <w:rsid w:val="00D826DD"/>
    <w:rsid w:val="00D8287D"/>
    <w:rsid w:val="00D82A17"/>
    <w:rsid w:val="00D82CA8"/>
    <w:rsid w:val="00D82E8B"/>
    <w:rsid w:val="00D82F01"/>
    <w:rsid w:val="00D82FF5"/>
    <w:rsid w:val="00D83057"/>
    <w:rsid w:val="00D83133"/>
    <w:rsid w:val="00D83423"/>
    <w:rsid w:val="00D8344E"/>
    <w:rsid w:val="00D834FE"/>
    <w:rsid w:val="00D8352E"/>
    <w:rsid w:val="00D837A0"/>
    <w:rsid w:val="00D8395B"/>
    <w:rsid w:val="00D83A9C"/>
    <w:rsid w:val="00D83B17"/>
    <w:rsid w:val="00D83B9D"/>
    <w:rsid w:val="00D83C69"/>
    <w:rsid w:val="00D83CB2"/>
    <w:rsid w:val="00D83F63"/>
    <w:rsid w:val="00D84285"/>
    <w:rsid w:val="00D842B5"/>
    <w:rsid w:val="00D845CA"/>
    <w:rsid w:val="00D846B4"/>
    <w:rsid w:val="00D84705"/>
    <w:rsid w:val="00D84722"/>
    <w:rsid w:val="00D84739"/>
    <w:rsid w:val="00D84CD5"/>
    <w:rsid w:val="00D84E61"/>
    <w:rsid w:val="00D8509D"/>
    <w:rsid w:val="00D853FE"/>
    <w:rsid w:val="00D8561B"/>
    <w:rsid w:val="00D85716"/>
    <w:rsid w:val="00D857A9"/>
    <w:rsid w:val="00D85828"/>
    <w:rsid w:val="00D85A50"/>
    <w:rsid w:val="00D85B2B"/>
    <w:rsid w:val="00D85C8A"/>
    <w:rsid w:val="00D85D8E"/>
    <w:rsid w:val="00D85E64"/>
    <w:rsid w:val="00D85EF8"/>
    <w:rsid w:val="00D86143"/>
    <w:rsid w:val="00D861A2"/>
    <w:rsid w:val="00D863D0"/>
    <w:rsid w:val="00D864B2"/>
    <w:rsid w:val="00D86559"/>
    <w:rsid w:val="00D866B4"/>
    <w:rsid w:val="00D86749"/>
    <w:rsid w:val="00D8680D"/>
    <w:rsid w:val="00D8687C"/>
    <w:rsid w:val="00D869A8"/>
    <w:rsid w:val="00D87322"/>
    <w:rsid w:val="00D87563"/>
    <w:rsid w:val="00D8763F"/>
    <w:rsid w:val="00D87674"/>
    <w:rsid w:val="00D8779E"/>
    <w:rsid w:val="00D87864"/>
    <w:rsid w:val="00D87AEE"/>
    <w:rsid w:val="00D87B91"/>
    <w:rsid w:val="00D87C47"/>
    <w:rsid w:val="00D90095"/>
    <w:rsid w:val="00D901D7"/>
    <w:rsid w:val="00D90244"/>
    <w:rsid w:val="00D90458"/>
    <w:rsid w:val="00D906C2"/>
    <w:rsid w:val="00D90885"/>
    <w:rsid w:val="00D908B9"/>
    <w:rsid w:val="00D908EE"/>
    <w:rsid w:val="00D90963"/>
    <w:rsid w:val="00D90B6B"/>
    <w:rsid w:val="00D90D57"/>
    <w:rsid w:val="00D90E8C"/>
    <w:rsid w:val="00D90FA5"/>
    <w:rsid w:val="00D90FDA"/>
    <w:rsid w:val="00D9100D"/>
    <w:rsid w:val="00D9101E"/>
    <w:rsid w:val="00D911AB"/>
    <w:rsid w:val="00D912D2"/>
    <w:rsid w:val="00D913A0"/>
    <w:rsid w:val="00D91612"/>
    <w:rsid w:val="00D9164C"/>
    <w:rsid w:val="00D916E4"/>
    <w:rsid w:val="00D91D04"/>
    <w:rsid w:val="00D91DB2"/>
    <w:rsid w:val="00D91FAB"/>
    <w:rsid w:val="00D920DE"/>
    <w:rsid w:val="00D9226F"/>
    <w:rsid w:val="00D9242C"/>
    <w:rsid w:val="00D92493"/>
    <w:rsid w:val="00D9258E"/>
    <w:rsid w:val="00D92635"/>
    <w:rsid w:val="00D928CD"/>
    <w:rsid w:val="00D92980"/>
    <w:rsid w:val="00D929B8"/>
    <w:rsid w:val="00D92A69"/>
    <w:rsid w:val="00D92F28"/>
    <w:rsid w:val="00D93175"/>
    <w:rsid w:val="00D9356E"/>
    <w:rsid w:val="00D9363D"/>
    <w:rsid w:val="00D93798"/>
    <w:rsid w:val="00D938E1"/>
    <w:rsid w:val="00D93D88"/>
    <w:rsid w:val="00D94528"/>
    <w:rsid w:val="00D94531"/>
    <w:rsid w:val="00D94644"/>
    <w:rsid w:val="00D94BE7"/>
    <w:rsid w:val="00D94EA2"/>
    <w:rsid w:val="00D95305"/>
    <w:rsid w:val="00D95317"/>
    <w:rsid w:val="00D9544D"/>
    <w:rsid w:val="00D9549B"/>
    <w:rsid w:val="00D95682"/>
    <w:rsid w:val="00D957D9"/>
    <w:rsid w:val="00D95B37"/>
    <w:rsid w:val="00D95DCC"/>
    <w:rsid w:val="00D96233"/>
    <w:rsid w:val="00D9633F"/>
    <w:rsid w:val="00D96462"/>
    <w:rsid w:val="00D96896"/>
    <w:rsid w:val="00D9697D"/>
    <w:rsid w:val="00D96A5C"/>
    <w:rsid w:val="00D96DD2"/>
    <w:rsid w:val="00D96FCC"/>
    <w:rsid w:val="00D9731C"/>
    <w:rsid w:val="00D975A1"/>
    <w:rsid w:val="00D9760D"/>
    <w:rsid w:val="00D9770D"/>
    <w:rsid w:val="00D97998"/>
    <w:rsid w:val="00D97A43"/>
    <w:rsid w:val="00D97A46"/>
    <w:rsid w:val="00D97C0A"/>
    <w:rsid w:val="00D97E77"/>
    <w:rsid w:val="00D97EE9"/>
    <w:rsid w:val="00DA002D"/>
    <w:rsid w:val="00DA068E"/>
    <w:rsid w:val="00DA0744"/>
    <w:rsid w:val="00DA07CB"/>
    <w:rsid w:val="00DA0A68"/>
    <w:rsid w:val="00DA0BDE"/>
    <w:rsid w:val="00DA0D50"/>
    <w:rsid w:val="00DA0EAC"/>
    <w:rsid w:val="00DA1078"/>
    <w:rsid w:val="00DA1098"/>
    <w:rsid w:val="00DA1135"/>
    <w:rsid w:val="00DA115A"/>
    <w:rsid w:val="00DA1170"/>
    <w:rsid w:val="00DA11F0"/>
    <w:rsid w:val="00DA1208"/>
    <w:rsid w:val="00DA1373"/>
    <w:rsid w:val="00DA1499"/>
    <w:rsid w:val="00DA173A"/>
    <w:rsid w:val="00DA1904"/>
    <w:rsid w:val="00DA1B64"/>
    <w:rsid w:val="00DA1C1D"/>
    <w:rsid w:val="00DA1EE5"/>
    <w:rsid w:val="00DA1F0F"/>
    <w:rsid w:val="00DA1F1B"/>
    <w:rsid w:val="00DA1FC1"/>
    <w:rsid w:val="00DA2231"/>
    <w:rsid w:val="00DA2367"/>
    <w:rsid w:val="00DA24F9"/>
    <w:rsid w:val="00DA2C70"/>
    <w:rsid w:val="00DA2DCC"/>
    <w:rsid w:val="00DA332F"/>
    <w:rsid w:val="00DA347B"/>
    <w:rsid w:val="00DA34E2"/>
    <w:rsid w:val="00DA3540"/>
    <w:rsid w:val="00DA3856"/>
    <w:rsid w:val="00DA3924"/>
    <w:rsid w:val="00DA3AC8"/>
    <w:rsid w:val="00DA3E4E"/>
    <w:rsid w:val="00DA3F49"/>
    <w:rsid w:val="00DA4060"/>
    <w:rsid w:val="00DA438C"/>
    <w:rsid w:val="00DA4419"/>
    <w:rsid w:val="00DA4427"/>
    <w:rsid w:val="00DA485B"/>
    <w:rsid w:val="00DA4911"/>
    <w:rsid w:val="00DA4EDD"/>
    <w:rsid w:val="00DA5019"/>
    <w:rsid w:val="00DA5B5A"/>
    <w:rsid w:val="00DA5BBA"/>
    <w:rsid w:val="00DA5BC3"/>
    <w:rsid w:val="00DA5D7C"/>
    <w:rsid w:val="00DA5FF5"/>
    <w:rsid w:val="00DA6123"/>
    <w:rsid w:val="00DA6171"/>
    <w:rsid w:val="00DA6184"/>
    <w:rsid w:val="00DA654B"/>
    <w:rsid w:val="00DA6AAE"/>
    <w:rsid w:val="00DA6BEF"/>
    <w:rsid w:val="00DA6D32"/>
    <w:rsid w:val="00DA6D9B"/>
    <w:rsid w:val="00DA6E81"/>
    <w:rsid w:val="00DA6FA3"/>
    <w:rsid w:val="00DA6FCE"/>
    <w:rsid w:val="00DA6FE5"/>
    <w:rsid w:val="00DA7033"/>
    <w:rsid w:val="00DA706D"/>
    <w:rsid w:val="00DA7383"/>
    <w:rsid w:val="00DA7384"/>
    <w:rsid w:val="00DA7721"/>
    <w:rsid w:val="00DA772B"/>
    <w:rsid w:val="00DA7A3C"/>
    <w:rsid w:val="00DA7C82"/>
    <w:rsid w:val="00DA7DEB"/>
    <w:rsid w:val="00DA7FF4"/>
    <w:rsid w:val="00DB016C"/>
    <w:rsid w:val="00DB01D3"/>
    <w:rsid w:val="00DB0423"/>
    <w:rsid w:val="00DB04E2"/>
    <w:rsid w:val="00DB0788"/>
    <w:rsid w:val="00DB0972"/>
    <w:rsid w:val="00DB0AAA"/>
    <w:rsid w:val="00DB0C9C"/>
    <w:rsid w:val="00DB0F3A"/>
    <w:rsid w:val="00DB0FEB"/>
    <w:rsid w:val="00DB1015"/>
    <w:rsid w:val="00DB1282"/>
    <w:rsid w:val="00DB1E90"/>
    <w:rsid w:val="00DB2018"/>
    <w:rsid w:val="00DB2404"/>
    <w:rsid w:val="00DB25D4"/>
    <w:rsid w:val="00DB2698"/>
    <w:rsid w:val="00DB28DF"/>
    <w:rsid w:val="00DB313E"/>
    <w:rsid w:val="00DB3250"/>
    <w:rsid w:val="00DB32D9"/>
    <w:rsid w:val="00DB33E0"/>
    <w:rsid w:val="00DB3473"/>
    <w:rsid w:val="00DB34F0"/>
    <w:rsid w:val="00DB3569"/>
    <w:rsid w:val="00DB3630"/>
    <w:rsid w:val="00DB37BD"/>
    <w:rsid w:val="00DB37E3"/>
    <w:rsid w:val="00DB383F"/>
    <w:rsid w:val="00DB3AA2"/>
    <w:rsid w:val="00DB3B13"/>
    <w:rsid w:val="00DB3C03"/>
    <w:rsid w:val="00DB3E66"/>
    <w:rsid w:val="00DB41F7"/>
    <w:rsid w:val="00DB4205"/>
    <w:rsid w:val="00DB4287"/>
    <w:rsid w:val="00DB42D1"/>
    <w:rsid w:val="00DB43F2"/>
    <w:rsid w:val="00DB4571"/>
    <w:rsid w:val="00DB45AB"/>
    <w:rsid w:val="00DB4767"/>
    <w:rsid w:val="00DB4A49"/>
    <w:rsid w:val="00DB4BF8"/>
    <w:rsid w:val="00DB4C59"/>
    <w:rsid w:val="00DB5634"/>
    <w:rsid w:val="00DB56AB"/>
    <w:rsid w:val="00DB5799"/>
    <w:rsid w:val="00DB57C0"/>
    <w:rsid w:val="00DB58E9"/>
    <w:rsid w:val="00DB59EE"/>
    <w:rsid w:val="00DB5CB9"/>
    <w:rsid w:val="00DB5CE1"/>
    <w:rsid w:val="00DB5EEC"/>
    <w:rsid w:val="00DB5FC0"/>
    <w:rsid w:val="00DB6303"/>
    <w:rsid w:val="00DB657A"/>
    <w:rsid w:val="00DB661F"/>
    <w:rsid w:val="00DB6B5C"/>
    <w:rsid w:val="00DB6D7F"/>
    <w:rsid w:val="00DB6F35"/>
    <w:rsid w:val="00DB70DB"/>
    <w:rsid w:val="00DB779C"/>
    <w:rsid w:val="00DB7831"/>
    <w:rsid w:val="00DB78DB"/>
    <w:rsid w:val="00DB797B"/>
    <w:rsid w:val="00DB7A2A"/>
    <w:rsid w:val="00DB7CB2"/>
    <w:rsid w:val="00DB7EC9"/>
    <w:rsid w:val="00DC021B"/>
    <w:rsid w:val="00DC04AA"/>
    <w:rsid w:val="00DC0883"/>
    <w:rsid w:val="00DC08AA"/>
    <w:rsid w:val="00DC0C67"/>
    <w:rsid w:val="00DC0DF8"/>
    <w:rsid w:val="00DC1083"/>
    <w:rsid w:val="00DC1146"/>
    <w:rsid w:val="00DC1278"/>
    <w:rsid w:val="00DC12C4"/>
    <w:rsid w:val="00DC1444"/>
    <w:rsid w:val="00DC1499"/>
    <w:rsid w:val="00DC1689"/>
    <w:rsid w:val="00DC1922"/>
    <w:rsid w:val="00DC1AD3"/>
    <w:rsid w:val="00DC1B97"/>
    <w:rsid w:val="00DC1D8E"/>
    <w:rsid w:val="00DC2064"/>
    <w:rsid w:val="00DC213D"/>
    <w:rsid w:val="00DC29CD"/>
    <w:rsid w:val="00DC29DE"/>
    <w:rsid w:val="00DC2B7B"/>
    <w:rsid w:val="00DC2C64"/>
    <w:rsid w:val="00DC2D8B"/>
    <w:rsid w:val="00DC2EFD"/>
    <w:rsid w:val="00DC32EA"/>
    <w:rsid w:val="00DC3321"/>
    <w:rsid w:val="00DC33A1"/>
    <w:rsid w:val="00DC3637"/>
    <w:rsid w:val="00DC38D9"/>
    <w:rsid w:val="00DC3B81"/>
    <w:rsid w:val="00DC3E15"/>
    <w:rsid w:val="00DC3E26"/>
    <w:rsid w:val="00DC3E61"/>
    <w:rsid w:val="00DC3EA3"/>
    <w:rsid w:val="00DC3F98"/>
    <w:rsid w:val="00DC3F9F"/>
    <w:rsid w:val="00DC4096"/>
    <w:rsid w:val="00DC4334"/>
    <w:rsid w:val="00DC446D"/>
    <w:rsid w:val="00DC46A8"/>
    <w:rsid w:val="00DC48D5"/>
    <w:rsid w:val="00DC4B55"/>
    <w:rsid w:val="00DC4CA7"/>
    <w:rsid w:val="00DC4DF1"/>
    <w:rsid w:val="00DC4E87"/>
    <w:rsid w:val="00DC4EDC"/>
    <w:rsid w:val="00DC547F"/>
    <w:rsid w:val="00DC5B6B"/>
    <w:rsid w:val="00DC5B70"/>
    <w:rsid w:val="00DC5C33"/>
    <w:rsid w:val="00DC5D01"/>
    <w:rsid w:val="00DC5E56"/>
    <w:rsid w:val="00DC60E1"/>
    <w:rsid w:val="00DC6388"/>
    <w:rsid w:val="00DC6424"/>
    <w:rsid w:val="00DC657D"/>
    <w:rsid w:val="00DC6660"/>
    <w:rsid w:val="00DC66A8"/>
    <w:rsid w:val="00DC6740"/>
    <w:rsid w:val="00DC684C"/>
    <w:rsid w:val="00DC689D"/>
    <w:rsid w:val="00DC6AA3"/>
    <w:rsid w:val="00DC6C3E"/>
    <w:rsid w:val="00DC6D03"/>
    <w:rsid w:val="00DC6E05"/>
    <w:rsid w:val="00DC6E50"/>
    <w:rsid w:val="00DC6EDB"/>
    <w:rsid w:val="00DC6F83"/>
    <w:rsid w:val="00DC70CC"/>
    <w:rsid w:val="00DC7272"/>
    <w:rsid w:val="00DC732F"/>
    <w:rsid w:val="00DC76B1"/>
    <w:rsid w:val="00DC76FC"/>
    <w:rsid w:val="00DC7920"/>
    <w:rsid w:val="00DC79DE"/>
    <w:rsid w:val="00DC7C42"/>
    <w:rsid w:val="00DC7D93"/>
    <w:rsid w:val="00DC7E66"/>
    <w:rsid w:val="00DC7E9F"/>
    <w:rsid w:val="00DC7FCE"/>
    <w:rsid w:val="00DD0134"/>
    <w:rsid w:val="00DD027E"/>
    <w:rsid w:val="00DD0466"/>
    <w:rsid w:val="00DD0530"/>
    <w:rsid w:val="00DD06DF"/>
    <w:rsid w:val="00DD0C56"/>
    <w:rsid w:val="00DD0D76"/>
    <w:rsid w:val="00DD1093"/>
    <w:rsid w:val="00DD10D0"/>
    <w:rsid w:val="00DD118B"/>
    <w:rsid w:val="00DD128E"/>
    <w:rsid w:val="00DD12A7"/>
    <w:rsid w:val="00DD1977"/>
    <w:rsid w:val="00DD1A60"/>
    <w:rsid w:val="00DD1BD3"/>
    <w:rsid w:val="00DD1CD0"/>
    <w:rsid w:val="00DD20FB"/>
    <w:rsid w:val="00DD2391"/>
    <w:rsid w:val="00DD260D"/>
    <w:rsid w:val="00DD263E"/>
    <w:rsid w:val="00DD279A"/>
    <w:rsid w:val="00DD288E"/>
    <w:rsid w:val="00DD2988"/>
    <w:rsid w:val="00DD29D6"/>
    <w:rsid w:val="00DD2C2D"/>
    <w:rsid w:val="00DD2D57"/>
    <w:rsid w:val="00DD3053"/>
    <w:rsid w:val="00DD3178"/>
    <w:rsid w:val="00DD3211"/>
    <w:rsid w:val="00DD330B"/>
    <w:rsid w:val="00DD33CB"/>
    <w:rsid w:val="00DD34A1"/>
    <w:rsid w:val="00DD38D5"/>
    <w:rsid w:val="00DD3A2A"/>
    <w:rsid w:val="00DD3BCD"/>
    <w:rsid w:val="00DD3E61"/>
    <w:rsid w:val="00DD4023"/>
    <w:rsid w:val="00DD4227"/>
    <w:rsid w:val="00DD4230"/>
    <w:rsid w:val="00DD4238"/>
    <w:rsid w:val="00DD45AA"/>
    <w:rsid w:val="00DD46E3"/>
    <w:rsid w:val="00DD486B"/>
    <w:rsid w:val="00DD491A"/>
    <w:rsid w:val="00DD4958"/>
    <w:rsid w:val="00DD49ED"/>
    <w:rsid w:val="00DD4A46"/>
    <w:rsid w:val="00DD4C55"/>
    <w:rsid w:val="00DD4C83"/>
    <w:rsid w:val="00DD512C"/>
    <w:rsid w:val="00DD5335"/>
    <w:rsid w:val="00DD537C"/>
    <w:rsid w:val="00DD5434"/>
    <w:rsid w:val="00DD56C6"/>
    <w:rsid w:val="00DD59CC"/>
    <w:rsid w:val="00DD59F7"/>
    <w:rsid w:val="00DD5DD1"/>
    <w:rsid w:val="00DD601B"/>
    <w:rsid w:val="00DD617C"/>
    <w:rsid w:val="00DD62E8"/>
    <w:rsid w:val="00DD6305"/>
    <w:rsid w:val="00DD631A"/>
    <w:rsid w:val="00DD6391"/>
    <w:rsid w:val="00DD669C"/>
    <w:rsid w:val="00DD6757"/>
    <w:rsid w:val="00DD688E"/>
    <w:rsid w:val="00DD6B53"/>
    <w:rsid w:val="00DD6B73"/>
    <w:rsid w:val="00DD6D0B"/>
    <w:rsid w:val="00DD6D33"/>
    <w:rsid w:val="00DD7028"/>
    <w:rsid w:val="00DD76A2"/>
    <w:rsid w:val="00DD76BC"/>
    <w:rsid w:val="00DD76D5"/>
    <w:rsid w:val="00DD7B83"/>
    <w:rsid w:val="00DD7F6D"/>
    <w:rsid w:val="00DD7F6E"/>
    <w:rsid w:val="00DD7F86"/>
    <w:rsid w:val="00DE0120"/>
    <w:rsid w:val="00DE014B"/>
    <w:rsid w:val="00DE0214"/>
    <w:rsid w:val="00DE0798"/>
    <w:rsid w:val="00DE08B9"/>
    <w:rsid w:val="00DE0979"/>
    <w:rsid w:val="00DE0A9A"/>
    <w:rsid w:val="00DE0B34"/>
    <w:rsid w:val="00DE0D2E"/>
    <w:rsid w:val="00DE14A0"/>
    <w:rsid w:val="00DE1770"/>
    <w:rsid w:val="00DE184A"/>
    <w:rsid w:val="00DE18DB"/>
    <w:rsid w:val="00DE1961"/>
    <w:rsid w:val="00DE1AA1"/>
    <w:rsid w:val="00DE1C43"/>
    <w:rsid w:val="00DE1FBD"/>
    <w:rsid w:val="00DE204C"/>
    <w:rsid w:val="00DE2074"/>
    <w:rsid w:val="00DE217A"/>
    <w:rsid w:val="00DE21C1"/>
    <w:rsid w:val="00DE238C"/>
    <w:rsid w:val="00DE268A"/>
    <w:rsid w:val="00DE26D0"/>
    <w:rsid w:val="00DE287D"/>
    <w:rsid w:val="00DE2B01"/>
    <w:rsid w:val="00DE2B37"/>
    <w:rsid w:val="00DE2BF4"/>
    <w:rsid w:val="00DE2D99"/>
    <w:rsid w:val="00DE2EFB"/>
    <w:rsid w:val="00DE2F18"/>
    <w:rsid w:val="00DE2FAC"/>
    <w:rsid w:val="00DE3102"/>
    <w:rsid w:val="00DE32F8"/>
    <w:rsid w:val="00DE338A"/>
    <w:rsid w:val="00DE33C7"/>
    <w:rsid w:val="00DE3494"/>
    <w:rsid w:val="00DE3566"/>
    <w:rsid w:val="00DE3654"/>
    <w:rsid w:val="00DE3933"/>
    <w:rsid w:val="00DE3967"/>
    <w:rsid w:val="00DE39F9"/>
    <w:rsid w:val="00DE3C1C"/>
    <w:rsid w:val="00DE3CEE"/>
    <w:rsid w:val="00DE3D71"/>
    <w:rsid w:val="00DE3D84"/>
    <w:rsid w:val="00DE3EBC"/>
    <w:rsid w:val="00DE421A"/>
    <w:rsid w:val="00DE43DD"/>
    <w:rsid w:val="00DE4436"/>
    <w:rsid w:val="00DE44AF"/>
    <w:rsid w:val="00DE462F"/>
    <w:rsid w:val="00DE47D8"/>
    <w:rsid w:val="00DE4CF2"/>
    <w:rsid w:val="00DE5074"/>
    <w:rsid w:val="00DE5748"/>
    <w:rsid w:val="00DE57DC"/>
    <w:rsid w:val="00DE595E"/>
    <w:rsid w:val="00DE59B7"/>
    <w:rsid w:val="00DE5A4D"/>
    <w:rsid w:val="00DE5A58"/>
    <w:rsid w:val="00DE5BAB"/>
    <w:rsid w:val="00DE6086"/>
    <w:rsid w:val="00DE6141"/>
    <w:rsid w:val="00DE64E7"/>
    <w:rsid w:val="00DE666B"/>
    <w:rsid w:val="00DE6822"/>
    <w:rsid w:val="00DE6C94"/>
    <w:rsid w:val="00DE6C99"/>
    <w:rsid w:val="00DE6FE0"/>
    <w:rsid w:val="00DE705E"/>
    <w:rsid w:val="00DE7136"/>
    <w:rsid w:val="00DE72CC"/>
    <w:rsid w:val="00DE784F"/>
    <w:rsid w:val="00DE787D"/>
    <w:rsid w:val="00DE796B"/>
    <w:rsid w:val="00DE7995"/>
    <w:rsid w:val="00DE7B04"/>
    <w:rsid w:val="00DE7E7E"/>
    <w:rsid w:val="00DF01D5"/>
    <w:rsid w:val="00DF039F"/>
    <w:rsid w:val="00DF05C5"/>
    <w:rsid w:val="00DF061E"/>
    <w:rsid w:val="00DF0642"/>
    <w:rsid w:val="00DF0860"/>
    <w:rsid w:val="00DF0930"/>
    <w:rsid w:val="00DF0BC2"/>
    <w:rsid w:val="00DF0D04"/>
    <w:rsid w:val="00DF0DDA"/>
    <w:rsid w:val="00DF0EF0"/>
    <w:rsid w:val="00DF0EFB"/>
    <w:rsid w:val="00DF10D3"/>
    <w:rsid w:val="00DF15E0"/>
    <w:rsid w:val="00DF1B40"/>
    <w:rsid w:val="00DF1C6A"/>
    <w:rsid w:val="00DF1D98"/>
    <w:rsid w:val="00DF1F78"/>
    <w:rsid w:val="00DF2090"/>
    <w:rsid w:val="00DF21D2"/>
    <w:rsid w:val="00DF21F0"/>
    <w:rsid w:val="00DF24B2"/>
    <w:rsid w:val="00DF2733"/>
    <w:rsid w:val="00DF2737"/>
    <w:rsid w:val="00DF283A"/>
    <w:rsid w:val="00DF2965"/>
    <w:rsid w:val="00DF2F27"/>
    <w:rsid w:val="00DF2FBE"/>
    <w:rsid w:val="00DF32DC"/>
    <w:rsid w:val="00DF3479"/>
    <w:rsid w:val="00DF3833"/>
    <w:rsid w:val="00DF386B"/>
    <w:rsid w:val="00DF38F2"/>
    <w:rsid w:val="00DF3910"/>
    <w:rsid w:val="00DF3BC1"/>
    <w:rsid w:val="00DF3C2C"/>
    <w:rsid w:val="00DF3C6C"/>
    <w:rsid w:val="00DF3C99"/>
    <w:rsid w:val="00DF3D83"/>
    <w:rsid w:val="00DF3E99"/>
    <w:rsid w:val="00DF454D"/>
    <w:rsid w:val="00DF4629"/>
    <w:rsid w:val="00DF4798"/>
    <w:rsid w:val="00DF4899"/>
    <w:rsid w:val="00DF4ABC"/>
    <w:rsid w:val="00DF4AE2"/>
    <w:rsid w:val="00DF4DA5"/>
    <w:rsid w:val="00DF4F0C"/>
    <w:rsid w:val="00DF504B"/>
    <w:rsid w:val="00DF50B3"/>
    <w:rsid w:val="00DF5235"/>
    <w:rsid w:val="00DF52A6"/>
    <w:rsid w:val="00DF52ED"/>
    <w:rsid w:val="00DF5342"/>
    <w:rsid w:val="00DF56F8"/>
    <w:rsid w:val="00DF594D"/>
    <w:rsid w:val="00DF59D5"/>
    <w:rsid w:val="00DF5B88"/>
    <w:rsid w:val="00DF60C8"/>
    <w:rsid w:val="00DF60F7"/>
    <w:rsid w:val="00DF63AB"/>
    <w:rsid w:val="00DF64CB"/>
    <w:rsid w:val="00DF662A"/>
    <w:rsid w:val="00DF66BC"/>
    <w:rsid w:val="00DF6873"/>
    <w:rsid w:val="00DF68DC"/>
    <w:rsid w:val="00DF69D0"/>
    <w:rsid w:val="00DF6BC8"/>
    <w:rsid w:val="00DF6CFC"/>
    <w:rsid w:val="00DF6DE6"/>
    <w:rsid w:val="00DF6FBA"/>
    <w:rsid w:val="00DF707B"/>
    <w:rsid w:val="00DF70F2"/>
    <w:rsid w:val="00DF7141"/>
    <w:rsid w:val="00DF726D"/>
    <w:rsid w:val="00DF730A"/>
    <w:rsid w:val="00DF747D"/>
    <w:rsid w:val="00E00075"/>
    <w:rsid w:val="00E002A3"/>
    <w:rsid w:val="00E004F9"/>
    <w:rsid w:val="00E0051A"/>
    <w:rsid w:val="00E00603"/>
    <w:rsid w:val="00E00794"/>
    <w:rsid w:val="00E00851"/>
    <w:rsid w:val="00E00A74"/>
    <w:rsid w:val="00E00B6D"/>
    <w:rsid w:val="00E00CE9"/>
    <w:rsid w:val="00E00E0E"/>
    <w:rsid w:val="00E00E21"/>
    <w:rsid w:val="00E01094"/>
    <w:rsid w:val="00E01109"/>
    <w:rsid w:val="00E01280"/>
    <w:rsid w:val="00E01303"/>
    <w:rsid w:val="00E0148A"/>
    <w:rsid w:val="00E0178A"/>
    <w:rsid w:val="00E017CD"/>
    <w:rsid w:val="00E01832"/>
    <w:rsid w:val="00E01AB8"/>
    <w:rsid w:val="00E01CA5"/>
    <w:rsid w:val="00E01D95"/>
    <w:rsid w:val="00E023AE"/>
    <w:rsid w:val="00E024A3"/>
    <w:rsid w:val="00E02545"/>
    <w:rsid w:val="00E02769"/>
    <w:rsid w:val="00E02AFD"/>
    <w:rsid w:val="00E02CAF"/>
    <w:rsid w:val="00E02F2D"/>
    <w:rsid w:val="00E031F0"/>
    <w:rsid w:val="00E0335E"/>
    <w:rsid w:val="00E037EA"/>
    <w:rsid w:val="00E0390F"/>
    <w:rsid w:val="00E03A98"/>
    <w:rsid w:val="00E03AE5"/>
    <w:rsid w:val="00E03B48"/>
    <w:rsid w:val="00E03C1F"/>
    <w:rsid w:val="00E03C59"/>
    <w:rsid w:val="00E03D08"/>
    <w:rsid w:val="00E03F9F"/>
    <w:rsid w:val="00E0400D"/>
    <w:rsid w:val="00E0412E"/>
    <w:rsid w:val="00E04471"/>
    <w:rsid w:val="00E046A7"/>
    <w:rsid w:val="00E04960"/>
    <w:rsid w:val="00E04988"/>
    <w:rsid w:val="00E049EB"/>
    <w:rsid w:val="00E04C2F"/>
    <w:rsid w:val="00E04DA7"/>
    <w:rsid w:val="00E04EFA"/>
    <w:rsid w:val="00E05061"/>
    <w:rsid w:val="00E05068"/>
    <w:rsid w:val="00E05137"/>
    <w:rsid w:val="00E05233"/>
    <w:rsid w:val="00E05260"/>
    <w:rsid w:val="00E05301"/>
    <w:rsid w:val="00E05352"/>
    <w:rsid w:val="00E0559A"/>
    <w:rsid w:val="00E057A7"/>
    <w:rsid w:val="00E057BC"/>
    <w:rsid w:val="00E05CC9"/>
    <w:rsid w:val="00E05F00"/>
    <w:rsid w:val="00E0602C"/>
    <w:rsid w:val="00E062E4"/>
    <w:rsid w:val="00E063C4"/>
    <w:rsid w:val="00E0654A"/>
    <w:rsid w:val="00E06560"/>
    <w:rsid w:val="00E067FB"/>
    <w:rsid w:val="00E06875"/>
    <w:rsid w:val="00E068C9"/>
    <w:rsid w:val="00E06919"/>
    <w:rsid w:val="00E0692F"/>
    <w:rsid w:val="00E06B59"/>
    <w:rsid w:val="00E06CE2"/>
    <w:rsid w:val="00E06CE6"/>
    <w:rsid w:val="00E06DB6"/>
    <w:rsid w:val="00E074C9"/>
    <w:rsid w:val="00E074DC"/>
    <w:rsid w:val="00E07564"/>
    <w:rsid w:val="00E0789B"/>
    <w:rsid w:val="00E07CC6"/>
    <w:rsid w:val="00E07DCA"/>
    <w:rsid w:val="00E07F1C"/>
    <w:rsid w:val="00E1003E"/>
    <w:rsid w:val="00E1036E"/>
    <w:rsid w:val="00E103C8"/>
    <w:rsid w:val="00E10438"/>
    <w:rsid w:val="00E10536"/>
    <w:rsid w:val="00E10601"/>
    <w:rsid w:val="00E10769"/>
    <w:rsid w:val="00E10802"/>
    <w:rsid w:val="00E10938"/>
    <w:rsid w:val="00E109C0"/>
    <w:rsid w:val="00E10C65"/>
    <w:rsid w:val="00E10DB6"/>
    <w:rsid w:val="00E10DDF"/>
    <w:rsid w:val="00E10DFA"/>
    <w:rsid w:val="00E10E11"/>
    <w:rsid w:val="00E10FFF"/>
    <w:rsid w:val="00E1145A"/>
    <w:rsid w:val="00E11B84"/>
    <w:rsid w:val="00E11B87"/>
    <w:rsid w:val="00E11C07"/>
    <w:rsid w:val="00E11C90"/>
    <w:rsid w:val="00E11CBB"/>
    <w:rsid w:val="00E11EDE"/>
    <w:rsid w:val="00E12105"/>
    <w:rsid w:val="00E1218A"/>
    <w:rsid w:val="00E122C1"/>
    <w:rsid w:val="00E125D1"/>
    <w:rsid w:val="00E1284A"/>
    <w:rsid w:val="00E12DBA"/>
    <w:rsid w:val="00E1312F"/>
    <w:rsid w:val="00E131AE"/>
    <w:rsid w:val="00E133DF"/>
    <w:rsid w:val="00E13532"/>
    <w:rsid w:val="00E1374B"/>
    <w:rsid w:val="00E13760"/>
    <w:rsid w:val="00E137DC"/>
    <w:rsid w:val="00E137E7"/>
    <w:rsid w:val="00E13961"/>
    <w:rsid w:val="00E13B27"/>
    <w:rsid w:val="00E13DE5"/>
    <w:rsid w:val="00E13F2F"/>
    <w:rsid w:val="00E13F34"/>
    <w:rsid w:val="00E13FAF"/>
    <w:rsid w:val="00E13FC3"/>
    <w:rsid w:val="00E141B7"/>
    <w:rsid w:val="00E14842"/>
    <w:rsid w:val="00E14B2D"/>
    <w:rsid w:val="00E14C70"/>
    <w:rsid w:val="00E14CF0"/>
    <w:rsid w:val="00E14DCC"/>
    <w:rsid w:val="00E14DFC"/>
    <w:rsid w:val="00E15201"/>
    <w:rsid w:val="00E1526A"/>
    <w:rsid w:val="00E15532"/>
    <w:rsid w:val="00E15538"/>
    <w:rsid w:val="00E15AD1"/>
    <w:rsid w:val="00E15DCA"/>
    <w:rsid w:val="00E15DCE"/>
    <w:rsid w:val="00E15E00"/>
    <w:rsid w:val="00E15E13"/>
    <w:rsid w:val="00E15FD0"/>
    <w:rsid w:val="00E16088"/>
    <w:rsid w:val="00E160A0"/>
    <w:rsid w:val="00E160E0"/>
    <w:rsid w:val="00E1624D"/>
    <w:rsid w:val="00E16A5E"/>
    <w:rsid w:val="00E16AC2"/>
    <w:rsid w:val="00E16E58"/>
    <w:rsid w:val="00E16ED6"/>
    <w:rsid w:val="00E173C6"/>
    <w:rsid w:val="00E173FF"/>
    <w:rsid w:val="00E17561"/>
    <w:rsid w:val="00E176B1"/>
    <w:rsid w:val="00E17753"/>
    <w:rsid w:val="00E1794F"/>
    <w:rsid w:val="00E17A96"/>
    <w:rsid w:val="00E17BBA"/>
    <w:rsid w:val="00E17D92"/>
    <w:rsid w:val="00E17E6C"/>
    <w:rsid w:val="00E17F7E"/>
    <w:rsid w:val="00E17FA6"/>
    <w:rsid w:val="00E20018"/>
    <w:rsid w:val="00E2004E"/>
    <w:rsid w:val="00E20063"/>
    <w:rsid w:val="00E201FA"/>
    <w:rsid w:val="00E202B7"/>
    <w:rsid w:val="00E205D7"/>
    <w:rsid w:val="00E2070F"/>
    <w:rsid w:val="00E20737"/>
    <w:rsid w:val="00E20D0A"/>
    <w:rsid w:val="00E211C3"/>
    <w:rsid w:val="00E215A5"/>
    <w:rsid w:val="00E21C5A"/>
    <w:rsid w:val="00E21E76"/>
    <w:rsid w:val="00E2217A"/>
    <w:rsid w:val="00E221F5"/>
    <w:rsid w:val="00E2233E"/>
    <w:rsid w:val="00E2241C"/>
    <w:rsid w:val="00E22490"/>
    <w:rsid w:val="00E22504"/>
    <w:rsid w:val="00E2257A"/>
    <w:rsid w:val="00E22772"/>
    <w:rsid w:val="00E22790"/>
    <w:rsid w:val="00E2286A"/>
    <w:rsid w:val="00E22973"/>
    <w:rsid w:val="00E22C5D"/>
    <w:rsid w:val="00E22C9F"/>
    <w:rsid w:val="00E22EC1"/>
    <w:rsid w:val="00E2307F"/>
    <w:rsid w:val="00E230F0"/>
    <w:rsid w:val="00E23572"/>
    <w:rsid w:val="00E2377A"/>
    <w:rsid w:val="00E239C9"/>
    <w:rsid w:val="00E240AE"/>
    <w:rsid w:val="00E2412E"/>
    <w:rsid w:val="00E24290"/>
    <w:rsid w:val="00E24503"/>
    <w:rsid w:val="00E24713"/>
    <w:rsid w:val="00E247D6"/>
    <w:rsid w:val="00E24854"/>
    <w:rsid w:val="00E249FD"/>
    <w:rsid w:val="00E24A91"/>
    <w:rsid w:val="00E24D6A"/>
    <w:rsid w:val="00E24F9A"/>
    <w:rsid w:val="00E24FD3"/>
    <w:rsid w:val="00E250F4"/>
    <w:rsid w:val="00E251BC"/>
    <w:rsid w:val="00E25220"/>
    <w:rsid w:val="00E252C9"/>
    <w:rsid w:val="00E25321"/>
    <w:rsid w:val="00E255B1"/>
    <w:rsid w:val="00E258CA"/>
    <w:rsid w:val="00E25B5C"/>
    <w:rsid w:val="00E25CA3"/>
    <w:rsid w:val="00E25D93"/>
    <w:rsid w:val="00E25E19"/>
    <w:rsid w:val="00E25ED2"/>
    <w:rsid w:val="00E25FD4"/>
    <w:rsid w:val="00E2605D"/>
    <w:rsid w:val="00E2664C"/>
    <w:rsid w:val="00E2674E"/>
    <w:rsid w:val="00E269C0"/>
    <w:rsid w:val="00E26B73"/>
    <w:rsid w:val="00E26BCC"/>
    <w:rsid w:val="00E26C74"/>
    <w:rsid w:val="00E2708F"/>
    <w:rsid w:val="00E2716E"/>
    <w:rsid w:val="00E272D9"/>
    <w:rsid w:val="00E27476"/>
    <w:rsid w:val="00E2765A"/>
    <w:rsid w:val="00E27754"/>
    <w:rsid w:val="00E277BB"/>
    <w:rsid w:val="00E278DE"/>
    <w:rsid w:val="00E27982"/>
    <w:rsid w:val="00E279C3"/>
    <w:rsid w:val="00E279E0"/>
    <w:rsid w:val="00E27BBE"/>
    <w:rsid w:val="00E27C70"/>
    <w:rsid w:val="00E27D58"/>
    <w:rsid w:val="00E27E6B"/>
    <w:rsid w:val="00E27EB1"/>
    <w:rsid w:val="00E27F52"/>
    <w:rsid w:val="00E30362"/>
    <w:rsid w:val="00E30409"/>
    <w:rsid w:val="00E304D2"/>
    <w:rsid w:val="00E30534"/>
    <w:rsid w:val="00E30586"/>
    <w:rsid w:val="00E305F4"/>
    <w:rsid w:val="00E30707"/>
    <w:rsid w:val="00E30726"/>
    <w:rsid w:val="00E30804"/>
    <w:rsid w:val="00E308E8"/>
    <w:rsid w:val="00E30932"/>
    <w:rsid w:val="00E30B62"/>
    <w:rsid w:val="00E30D65"/>
    <w:rsid w:val="00E30F24"/>
    <w:rsid w:val="00E30F74"/>
    <w:rsid w:val="00E30FF2"/>
    <w:rsid w:val="00E31082"/>
    <w:rsid w:val="00E3112F"/>
    <w:rsid w:val="00E31597"/>
    <w:rsid w:val="00E315C4"/>
    <w:rsid w:val="00E315C8"/>
    <w:rsid w:val="00E316F2"/>
    <w:rsid w:val="00E31727"/>
    <w:rsid w:val="00E31D2C"/>
    <w:rsid w:val="00E31DDE"/>
    <w:rsid w:val="00E31F35"/>
    <w:rsid w:val="00E31FAC"/>
    <w:rsid w:val="00E321B0"/>
    <w:rsid w:val="00E3282B"/>
    <w:rsid w:val="00E3287A"/>
    <w:rsid w:val="00E328D8"/>
    <w:rsid w:val="00E32900"/>
    <w:rsid w:val="00E32C9E"/>
    <w:rsid w:val="00E32D6D"/>
    <w:rsid w:val="00E3301F"/>
    <w:rsid w:val="00E3336B"/>
    <w:rsid w:val="00E33435"/>
    <w:rsid w:val="00E33574"/>
    <w:rsid w:val="00E335B1"/>
    <w:rsid w:val="00E3399F"/>
    <w:rsid w:val="00E339B2"/>
    <w:rsid w:val="00E33BE7"/>
    <w:rsid w:val="00E33E18"/>
    <w:rsid w:val="00E33F48"/>
    <w:rsid w:val="00E3412C"/>
    <w:rsid w:val="00E342CB"/>
    <w:rsid w:val="00E343A3"/>
    <w:rsid w:val="00E344C2"/>
    <w:rsid w:val="00E34564"/>
    <w:rsid w:val="00E34703"/>
    <w:rsid w:val="00E34BA4"/>
    <w:rsid w:val="00E34E6A"/>
    <w:rsid w:val="00E34EBC"/>
    <w:rsid w:val="00E34FF5"/>
    <w:rsid w:val="00E3502E"/>
    <w:rsid w:val="00E351AF"/>
    <w:rsid w:val="00E351E3"/>
    <w:rsid w:val="00E352C7"/>
    <w:rsid w:val="00E35335"/>
    <w:rsid w:val="00E353C9"/>
    <w:rsid w:val="00E356A5"/>
    <w:rsid w:val="00E35736"/>
    <w:rsid w:val="00E35767"/>
    <w:rsid w:val="00E3588E"/>
    <w:rsid w:val="00E3594F"/>
    <w:rsid w:val="00E35960"/>
    <w:rsid w:val="00E35A34"/>
    <w:rsid w:val="00E35AB8"/>
    <w:rsid w:val="00E35C0F"/>
    <w:rsid w:val="00E35C6C"/>
    <w:rsid w:val="00E35F68"/>
    <w:rsid w:val="00E36043"/>
    <w:rsid w:val="00E36187"/>
    <w:rsid w:val="00E361F8"/>
    <w:rsid w:val="00E36274"/>
    <w:rsid w:val="00E36468"/>
    <w:rsid w:val="00E3648F"/>
    <w:rsid w:val="00E3657C"/>
    <w:rsid w:val="00E3684A"/>
    <w:rsid w:val="00E36B73"/>
    <w:rsid w:val="00E36D99"/>
    <w:rsid w:val="00E36F96"/>
    <w:rsid w:val="00E37206"/>
    <w:rsid w:val="00E372DD"/>
    <w:rsid w:val="00E3737E"/>
    <w:rsid w:val="00E373B2"/>
    <w:rsid w:val="00E37533"/>
    <w:rsid w:val="00E378A9"/>
    <w:rsid w:val="00E37A53"/>
    <w:rsid w:val="00E37CCF"/>
    <w:rsid w:val="00E40234"/>
    <w:rsid w:val="00E40340"/>
    <w:rsid w:val="00E406B0"/>
    <w:rsid w:val="00E40851"/>
    <w:rsid w:val="00E408B8"/>
    <w:rsid w:val="00E408C0"/>
    <w:rsid w:val="00E4090E"/>
    <w:rsid w:val="00E40983"/>
    <w:rsid w:val="00E409CB"/>
    <w:rsid w:val="00E40B71"/>
    <w:rsid w:val="00E40E83"/>
    <w:rsid w:val="00E40EA0"/>
    <w:rsid w:val="00E413BC"/>
    <w:rsid w:val="00E41432"/>
    <w:rsid w:val="00E4151F"/>
    <w:rsid w:val="00E4156D"/>
    <w:rsid w:val="00E417BA"/>
    <w:rsid w:val="00E417FC"/>
    <w:rsid w:val="00E41985"/>
    <w:rsid w:val="00E41ADA"/>
    <w:rsid w:val="00E41B1B"/>
    <w:rsid w:val="00E41B78"/>
    <w:rsid w:val="00E41DAB"/>
    <w:rsid w:val="00E41F28"/>
    <w:rsid w:val="00E41F5D"/>
    <w:rsid w:val="00E4213E"/>
    <w:rsid w:val="00E424B9"/>
    <w:rsid w:val="00E42601"/>
    <w:rsid w:val="00E427EE"/>
    <w:rsid w:val="00E42882"/>
    <w:rsid w:val="00E428A0"/>
    <w:rsid w:val="00E42940"/>
    <w:rsid w:val="00E42A12"/>
    <w:rsid w:val="00E42AAF"/>
    <w:rsid w:val="00E42DE6"/>
    <w:rsid w:val="00E42EA4"/>
    <w:rsid w:val="00E430D3"/>
    <w:rsid w:val="00E43204"/>
    <w:rsid w:val="00E43287"/>
    <w:rsid w:val="00E4379E"/>
    <w:rsid w:val="00E43879"/>
    <w:rsid w:val="00E4387E"/>
    <w:rsid w:val="00E438D9"/>
    <w:rsid w:val="00E43A92"/>
    <w:rsid w:val="00E43AD6"/>
    <w:rsid w:val="00E43F42"/>
    <w:rsid w:val="00E44024"/>
    <w:rsid w:val="00E443FB"/>
    <w:rsid w:val="00E44583"/>
    <w:rsid w:val="00E446E8"/>
    <w:rsid w:val="00E4477F"/>
    <w:rsid w:val="00E448E9"/>
    <w:rsid w:val="00E44A03"/>
    <w:rsid w:val="00E44B4D"/>
    <w:rsid w:val="00E44CA5"/>
    <w:rsid w:val="00E44DFB"/>
    <w:rsid w:val="00E44F85"/>
    <w:rsid w:val="00E45025"/>
    <w:rsid w:val="00E45C5A"/>
    <w:rsid w:val="00E45D22"/>
    <w:rsid w:val="00E4618A"/>
    <w:rsid w:val="00E461A9"/>
    <w:rsid w:val="00E462C0"/>
    <w:rsid w:val="00E462E5"/>
    <w:rsid w:val="00E4632A"/>
    <w:rsid w:val="00E46408"/>
    <w:rsid w:val="00E4670E"/>
    <w:rsid w:val="00E467EB"/>
    <w:rsid w:val="00E468A3"/>
    <w:rsid w:val="00E46A67"/>
    <w:rsid w:val="00E46DA7"/>
    <w:rsid w:val="00E46EDF"/>
    <w:rsid w:val="00E47283"/>
    <w:rsid w:val="00E47422"/>
    <w:rsid w:val="00E474BA"/>
    <w:rsid w:val="00E47877"/>
    <w:rsid w:val="00E478E7"/>
    <w:rsid w:val="00E479FF"/>
    <w:rsid w:val="00E47AC9"/>
    <w:rsid w:val="00E47EC3"/>
    <w:rsid w:val="00E50096"/>
    <w:rsid w:val="00E5018D"/>
    <w:rsid w:val="00E50204"/>
    <w:rsid w:val="00E50B63"/>
    <w:rsid w:val="00E50B84"/>
    <w:rsid w:val="00E50E9B"/>
    <w:rsid w:val="00E50F99"/>
    <w:rsid w:val="00E50FA6"/>
    <w:rsid w:val="00E50FAF"/>
    <w:rsid w:val="00E512F4"/>
    <w:rsid w:val="00E51487"/>
    <w:rsid w:val="00E51810"/>
    <w:rsid w:val="00E51D7D"/>
    <w:rsid w:val="00E51E12"/>
    <w:rsid w:val="00E51E5A"/>
    <w:rsid w:val="00E51FAE"/>
    <w:rsid w:val="00E52336"/>
    <w:rsid w:val="00E52396"/>
    <w:rsid w:val="00E523F0"/>
    <w:rsid w:val="00E524F8"/>
    <w:rsid w:val="00E52747"/>
    <w:rsid w:val="00E52794"/>
    <w:rsid w:val="00E52997"/>
    <w:rsid w:val="00E52B8F"/>
    <w:rsid w:val="00E52BE5"/>
    <w:rsid w:val="00E52F80"/>
    <w:rsid w:val="00E5324C"/>
    <w:rsid w:val="00E53431"/>
    <w:rsid w:val="00E53553"/>
    <w:rsid w:val="00E5362E"/>
    <w:rsid w:val="00E53843"/>
    <w:rsid w:val="00E5398B"/>
    <w:rsid w:val="00E539D4"/>
    <w:rsid w:val="00E53C55"/>
    <w:rsid w:val="00E53EBD"/>
    <w:rsid w:val="00E53F59"/>
    <w:rsid w:val="00E53FD8"/>
    <w:rsid w:val="00E54004"/>
    <w:rsid w:val="00E54133"/>
    <w:rsid w:val="00E54304"/>
    <w:rsid w:val="00E54974"/>
    <w:rsid w:val="00E54BC7"/>
    <w:rsid w:val="00E54C9E"/>
    <w:rsid w:val="00E54DDE"/>
    <w:rsid w:val="00E550EE"/>
    <w:rsid w:val="00E55306"/>
    <w:rsid w:val="00E55517"/>
    <w:rsid w:val="00E5575A"/>
    <w:rsid w:val="00E55AAA"/>
    <w:rsid w:val="00E55B3B"/>
    <w:rsid w:val="00E55BF5"/>
    <w:rsid w:val="00E55C2B"/>
    <w:rsid w:val="00E55D0A"/>
    <w:rsid w:val="00E56005"/>
    <w:rsid w:val="00E56013"/>
    <w:rsid w:val="00E56200"/>
    <w:rsid w:val="00E5643A"/>
    <w:rsid w:val="00E5681B"/>
    <w:rsid w:val="00E56987"/>
    <w:rsid w:val="00E56F21"/>
    <w:rsid w:val="00E57216"/>
    <w:rsid w:val="00E572E3"/>
    <w:rsid w:val="00E57344"/>
    <w:rsid w:val="00E57377"/>
    <w:rsid w:val="00E5739A"/>
    <w:rsid w:val="00E573DA"/>
    <w:rsid w:val="00E5741D"/>
    <w:rsid w:val="00E57AA2"/>
    <w:rsid w:val="00E57B6D"/>
    <w:rsid w:val="00E57F4D"/>
    <w:rsid w:val="00E6002C"/>
    <w:rsid w:val="00E60158"/>
    <w:rsid w:val="00E601AD"/>
    <w:rsid w:val="00E605A8"/>
    <w:rsid w:val="00E6069D"/>
    <w:rsid w:val="00E60948"/>
    <w:rsid w:val="00E60D8D"/>
    <w:rsid w:val="00E6142E"/>
    <w:rsid w:val="00E6150A"/>
    <w:rsid w:val="00E61546"/>
    <w:rsid w:val="00E6158C"/>
    <w:rsid w:val="00E61708"/>
    <w:rsid w:val="00E61710"/>
    <w:rsid w:val="00E617A2"/>
    <w:rsid w:val="00E61876"/>
    <w:rsid w:val="00E618BF"/>
    <w:rsid w:val="00E618EE"/>
    <w:rsid w:val="00E61904"/>
    <w:rsid w:val="00E61A48"/>
    <w:rsid w:val="00E61B33"/>
    <w:rsid w:val="00E61CDA"/>
    <w:rsid w:val="00E61D7B"/>
    <w:rsid w:val="00E61D9B"/>
    <w:rsid w:val="00E61F2E"/>
    <w:rsid w:val="00E621CD"/>
    <w:rsid w:val="00E62240"/>
    <w:rsid w:val="00E6229A"/>
    <w:rsid w:val="00E62323"/>
    <w:rsid w:val="00E624CD"/>
    <w:rsid w:val="00E62526"/>
    <w:rsid w:val="00E628E7"/>
    <w:rsid w:val="00E62A78"/>
    <w:rsid w:val="00E62B13"/>
    <w:rsid w:val="00E62E44"/>
    <w:rsid w:val="00E62F76"/>
    <w:rsid w:val="00E630FD"/>
    <w:rsid w:val="00E6323B"/>
    <w:rsid w:val="00E63363"/>
    <w:rsid w:val="00E63481"/>
    <w:rsid w:val="00E63519"/>
    <w:rsid w:val="00E63582"/>
    <w:rsid w:val="00E6368B"/>
    <w:rsid w:val="00E637BB"/>
    <w:rsid w:val="00E637DE"/>
    <w:rsid w:val="00E63B58"/>
    <w:rsid w:val="00E63BB4"/>
    <w:rsid w:val="00E63BD8"/>
    <w:rsid w:val="00E63CA4"/>
    <w:rsid w:val="00E63D4A"/>
    <w:rsid w:val="00E641F2"/>
    <w:rsid w:val="00E6430F"/>
    <w:rsid w:val="00E64370"/>
    <w:rsid w:val="00E6442B"/>
    <w:rsid w:val="00E64541"/>
    <w:rsid w:val="00E6468E"/>
    <w:rsid w:val="00E646F5"/>
    <w:rsid w:val="00E64707"/>
    <w:rsid w:val="00E6477B"/>
    <w:rsid w:val="00E6495F"/>
    <w:rsid w:val="00E64BB6"/>
    <w:rsid w:val="00E64C8C"/>
    <w:rsid w:val="00E64ED5"/>
    <w:rsid w:val="00E64FC9"/>
    <w:rsid w:val="00E6518C"/>
    <w:rsid w:val="00E6519E"/>
    <w:rsid w:val="00E653F6"/>
    <w:rsid w:val="00E6560A"/>
    <w:rsid w:val="00E6575F"/>
    <w:rsid w:val="00E657CA"/>
    <w:rsid w:val="00E659D6"/>
    <w:rsid w:val="00E65FFD"/>
    <w:rsid w:val="00E661EB"/>
    <w:rsid w:val="00E6622D"/>
    <w:rsid w:val="00E664B2"/>
    <w:rsid w:val="00E664D0"/>
    <w:rsid w:val="00E6661A"/>
    <w:rsid w:val="00E66650"/>
    <w:rsid w:val="00E66759"/>
    <w:rsid w:val="00E66794"/>
    <w:rsid w:val="00E6685C"/>
    <w:rsid w:val="00E669C5"/>
    <w:rsid w:val="00E66AC9"/>
    <w:rsid w:val="00E66BF7"/>
    <w:rsid w:val="00E66D2E"/>
    <w:rsid w:val="00E66E4F"/>
    <w:rsid w:val="00E67140"/>
    <w:rsid w:val="00E671D4"/>
    <w:rsid w:val="00E674AC"/>
    <w:rsid w:val="00E67500"/>
    <w:rsid w:val="00E675D5"/>
    <w:rsid w:val="00E67891"/>
    <w:rsid w:val="00E678D0"/>
    <w:rsid w:val="00E67973"/>
    <w:rsid w:val="00E67A08"/>
    <w:rsid w:val="00E67B65"/>
    <w:rsid w:val="00E67E34"/>
    <w:rsid w:val="00E67EC5"/>
    <w:rsid w:val="00E67F38"/>
    <w:rsid w:val="00E7020F"/>
    <w:rsid w:val="00E70273"/>
    <w:rsid w:val="00E702C6"/>
    <w:rsid w:val="00E703C4"/>
    <w:rsid w:val="00E70417"/>
    <w:rsid w:val="00E704F2"/>
    <w:rsid w:val="00E705D9"/>
    <w:rsid w:val="00E7066F"/>
    <w:rsid w:val="00E709D4"/>
    <w:rsid w:val="00E70D59"/>
    <w:rsid w:val="00E70D5B"/>
    <w:rsid w:val="00E70E32"/>
    <w:rsid w:val="00E70F0B"/>
    <w:rsid w:val="00E70F16"/>
    <w:rsid w:val="00E70F3F"/>
    <w:rsid w:val="00E7113B"/>
    <w:rsid w:val="00E7119F"/>
    <w:rsid w:val="00E71285"/>
    <w:rsid w:val="00E71399"/>
    <w:rsid w:val="00E7143A"/>
    <w:rsid w:val="00E715B0"/>
    <w:rsid w:val="00E7188D"/>
    <w:rsid w:val="00E719AD"/>
    <w:rsid w:val="00E71A08"/>
    <w:rsid w:val="00E71B6E"/>
    <w:rsid w:val="00E71B98"/>
    <w:rsid w:val="00E71DFD"/>
    <w:rsid w:val="00E71E8C"/>
    <w:rsid w:val="00E71F06"/>
    <w:rsid w:val="00E71F23"/>
    <w:rsid w:val="00E721E3"/>
    <w:rsid w:val="00E723E7"/>
    <w:rsid w:val="00E72512"/>
    <w:rsid w:val="00E72653"/>
    <w:rsid w:val="00E7286F"/>
    <w:rsid w:val="00E72893"/>
    <w:rsid w:val="00E72A3F"/>
    <w:rsid w:val="00E72B39"/>
    <w:rsid w:val="00E73190"/>
    <w:rsid w:val="00E731D4"/>
    <w:rsid w:val="00E73245"/>
    <w:rsid w:val="00E732C2"/>
    <w:rsid w:val="00E73537"/>
    <w:rsid w:val="00E73583"/>
    <w:rsid w:val="00E737CC"/>
    <w:rsid w:val="00E73BBF"/>
    <w:rsid w:val="00E73C33"/>
    <w:rsid w:val="00E73CD0"/>
    <w:rsid w:val="00E73DB3"/>
    <w:rsid w:val="00E73E8A"/>
    <w:rsid w:val="00E73EC0"/>
    <w:rsid w:val="00E73FF3"/>
    <w:rsid w:val="00E742CE"/>
    <w:rsid w:val="00E7430C"/>
    <w:rsid w:val="00E74459"/>
    <w:rsid w:val="00E744E0"/>
    <w:rsid w:val="00E7465A"/>
    <w:rsid w:val="00E74859"/>
    <w:rsid w:val="00E749C2"/>
    <w:rsid w:val="00E74AFE"/>
    <w:rsid w:val="00E74F7D"/>
    <w:rsid w:val="00E750A0"/>
    <w:rsid w:val="00E7525C"/>
    <w:rsid w:val="00E752C7"/>
    <w:rsid w:val="00E7544D"/>
    <w:rsid w:val="00E75470"/>
    <w:rsid w:val="00E758FB"/>
    <w:rsid w:val="00E75A98"/>
    <w:rsid w:val="00E75AC3"/>
    <w:rsid w:val="00E75C9A"/>
    <w:rsid w:val="00E75CAB"/>
    <w:rsid w:val="00E75CFC"/>
    <w:rsid w:val="00E75E4F"/>
    <w:rsid w:val="00E75F73"/>
    <w:rsid w:val="00E76092"/>
    <w:rsid w:val="00E76225"/>
    <w:rsid w:val="00E76333"/>
    <w:rsid w:val="00E765AE"/>
    <w:rsid w:val="00E76668"/>
    <w:rsid w:val="00E767A8"/>
    <w:rsid w:val="00E768C6"/>
    <w:rsid w:val="00E768CE"/>
    <w:rsid w:val="00E76F86"/>
    <w:rsid w:val="00E7726C"/>
    <w:rsid w:val="00E77286"/>
    <w:rsid w:val="00E77289"/>
    <w:rsid w:val="00E77349"/>
    <w:rsid w:val="00E774B0"/>
    <w:rsid w:val="00E774ED"/>
    <w:rsid w:val="00E7752A"/>
    <w:rsid w:val="00E77B9A"/>
    <w:rsid w:val="00E8079F"/>
    <w:rsid w:val="00E80948"/>
    <w:rsid w:val="00E809DC"/>
    <w:rsid w:val="00E80A35"/>
    <w:rsid w:val="00E80B9D"/>
    <w:rsid w:val="00E80BEF"/>
    <w:rsid w:val="00E815AF"/>
    <w:rsid w:val="00E816A1"/>
    <w:rsid w:val="00E81AA4"/>
    <w:rsid w:val="00E81BEF"/>
    <w:rsid w:val="00E81C20"/>
    <w:rsid w:val="00E81C92"/>
    <w:rsid w:val="00E81D84"/>
    <w:rsid w:val="00E81DAD"/>
    <w:rsid w:val="00E81DBD"/>
    <w:rsid w:val="00E81E9F"/>
    <w:rsid w:val="00E81ECB"/>
    <w:rsid w:val="00E82219"/>
    <w:rsid w:val="00E823F9"/>
    <w:rsid w:val="00E823FC"/>
    <w:rsid w:val="00E827AD"/>
    <w:rsid w:val="00E82858"/>
    <w:rsid w:val="00E8285C"/>
    <w:rsid w:val="00E82A81"/>
    <w:rsid w:val="00E82B31"/>
    <w:rsid w:val="00E82BFC"/>
    <w:rsid w:val="00E82C3C"/>
    <w:rsid w:val="00E82C83"/>
    <w:rsid w:val="00E82D15"/>
    <w:rsid w:val="00E82ED8"/>
    <w:rsid w:val="00E82EE5"/>
    <w:rsid w:val="00E82FBE"/>
    <w:rsid w:val="00E83286"/>
    <w:rsid w:val="00E832F9"/>
    <w:rsid w:val="00E833E6"/>
    <w:rsid w:val="00E836D8"/>
    <w:rsid w:val="00E8371D"/>
    <w:rsid w:val="00E8392B"/>
    <w:rsid w:val="00E8398B"/>
    <w:rsid w:val="00E83B41"/>
    <w:rsid w:val="00E83D27"/>
    <w:rsid w:val="00E83EBF"/>
    <w:rsid w:val="00E83F11"/>
    <w:rsid w:val="00E83FF1"/>
    <w:rsid w:val="00E8455B"/>
    <w:rsid w:val="00E8456E"/>
    <w:rsid w:val="00E8470C"/>
    <w:rsid w:val="00E8486E"/>
    <w:rsid w:val="00E849F8"/>
    <w:rsid w:val="00E84B7D"/>
    <w:rsid w:val="00E84B84"/>
    <w:rsid w:val="00E84D61"/>
    <w:rsid w:val="00E85027"/>
    <w:rsid w:val="00E85258"/>
    <w:rsid w:val="00E8538D"/>
    <w:rsid w:val="00E85450"/>
    <w:rsid w:val="00E85A07"/>
    <w:rsid w:val="00E85A86"/>
    <w:rsid w:val="00E85B1B"/>
    <w:rsid w:val="00E85E34"/>
    <w:rsid w:val="00E85E75"/>
    <w:rsid w:val="00E85ED4"/>
    <w:rsid w:val="00E85F48"/>
    <w:rsid w:val="00E86070"/>
    <w:rsid w:val="00E86712"/>
    <w:rsid w:val="00E8679E"/>
    <w:rsid w:val="00E868BB"/>
    <w:rsid w:val="00E869E8"/>
    <w:rsid w:val="00E86DC3"/>
    <w:rsid w:val="00E86E7D"/>
    <w:rsid w:val="00E86F62"/>
    <w:rsid w:val="00E86FB6"/>
    <w:rsid w:val="00E872B7"/>
    <w:rsid w:val="00E874A3"/>
    <w:rsid w:val="00E87568"/>
    <w:rsid w:val="00E87608"/>
    <w:rsid w:val="00E8766D"/>
    <w:rsid w:val="00E877F0"/>
    <w:rsid w:val="00E87857"/>
    <w:rsid w:val="00E87864"/>
    <w:rsid w:val="00E87B4B"/>
    <w:rsid w:val="00E87B80"/>
    <w:rsid w:val="00E87EAE"/>
    <w:rsid w:val="00E902B3"/>
    <w:rsid w:val="00E90356"/>
    <w:rsid w:val="00E90589"/>
    <w:rsid w:val="00E905E3"/>
    <w:rsid w:val="00E905FC"/>
    <w:rsid w:val="00E9064E"/>
    <w:rsid w:val="00E90898"/>
    <w:rsid w:val="00E90AAF"/>
    <w:rsid w:val="00E90E72"/>
    <w:rsid w:val="00E9101A"/>
    <w:rsid w:val="00E910F9"/>
    <w:rsid w:val="00E913BF"/>
    <w:rsid w:val="00E914C2"/>
    <w:rsid w:val="00E916B2"/>
    <w:rsid w:val="00E91A59"/>
    <w:rsid w:val="00E91A9C"/>
    <w:rsid w:val="00E91CEF"/>
    <w:rsid w:val="00E91E9F"/>
    <w:rsid w:val="00E91F4C"/>
    <w:rsid w:val="00E91F7C"/>
    <w:rsid w:val="00E91FB8"/>
    <w:rsid w:val="00E921FC"/>
    <w:rsid w:val="00E922CD"/>
    <w:rsid w:val="00E925DC"/>
    <w:rsid w:val="00E92A39"/>
    <w:rsid w:val="00E92AC6"/>
    <w:rsid w:val="00E92B59"/>
    <w:rsid w:val="00E92E55"/>
    <w:rsid w:val="00E9303D"/>
    <w:rsid w:val="00E93148"/>
    <w:rsid w:val="00E931E2"/>
    <w:rsid w:val="00E93295"/>
    <w:rsid w:val="00E932C0"/>
    <w:rsid w:val="00E932F3"/>
    <w:rsid w:val="00E9332B"/>
    <w:rsid w:val="00E933E0"/>
    <w:rsid w:val="00E93FCC"/>
    <w:rsid w:val="00E9408C"/>
    <w:rsid w:val="00E940D5"/>
    <w:rsid w:val="00E9414B"/>
    <w:rsid w:val="00E9444D"/>
    <w:rsid w:val="00E946FA"/>
    <w:rsid w:val="00E94974"/>
    <w:rsid w:val="00E94BDC"/>
    <w:rsid w:val="00E94C3B"/>
    <w:rsid w:val="00E94E07"/>
    <w:rsid w:val="00E94E22"/>
    <w:rsid w:val="00E94EB8"/>
    <w:rsid w:val="00E95004"/>
    <w:rsid w:val="00E95200"/>
    <w:rsid w:val="00E95216"/>
    <w:rsid w:val="00E9523C"/>
    <w:rsid w:val="00E953CE"/>
    <w:rsid w:val="00E955BF"/>
    <w:rsid w:val="00E956E3"/>
    <w:rsid w:val="00E9587E"/>
    <w:rsid w:val="00E95CA9"/>
    <w:rsid w:val="00E95D5C"/>
    <w:rsid w:val="00E95DDB"/>
    <w:rsid w:val="00E961D6"/>
    <w:rsid w:val="00E967CF"/>
    <w:rsid w:val="00E96A2F"/>
    <w:rsid w:val="00E96C1A"/>
    <w:rsid w:val="00E96D0B"/>
    <w:rsid w:val="00E96E7B"/>
    <w:rsid w:val="00E96EE7"/>
    <w:rsid w:val="00E970DC"/>
    <w:rsid w:val="00E97352"/>
    <w:rsid w:val="00E97394"/>
    <w:rsid w:val="00E973CC"/>
    <w:rsid w:val="00E9741B"/>
    <w:rsid w:val="00E97428"/>
    <w:rsid w:val="00E9745B"/>
    <w:rsid w:val="00E975F5"/>
    <w:rsid w:val="00E976F7"/>
    <w:rsid w:val="00E979EB"/>
    <w:rsid w:val="00E97A39"/>
    <w:rsid w:val="00E97A8F"/>
    <w:rsid w:val="00E97BB4"/>
    <w:rsid w:val="00E97CA0"/>
    <w:rsid w:val="00E97DFB"/>
    <w:rsid w:val="00E97F10"/>
    <w:rsid w:val="00E97FA9"/>
    <w:rsid w:val="00EA02D9"/>
    <w:rsid w:val="00EA03C7"/>
    <w:rsid w:val="00EA047E"/>
    <w:rsid w:val="00EA0552"/>
    <w:rsid w:val="00EA05F4"/>
    <w:rsid w:val="00EA06CA"/>
    <w:rsid w:val="00EA0755"/>
    <w:rsid w:val="00EA0CD7"/>
    <w:rsid w:val="00EA0EE3"/>
    <w:rsid w:val="00EA128F"/>
    <w:rsid w:val="00EA12F1"/>
    <w:rsid w:val="00EA130E"/>
    <w:rsid w:val="00EA149C"/>
    <w:rsid w:val="00EA16CC"/>
    <w:rsid w:val="00EA1797"/>
    <w:rsid w:val="00EA17FB"/>
    <w:rsid w:val="00EA1854"/>
    <w:rsid w:val="00EA186B"/>
    <w:rsid w:val="00EA1E98"/>
    <w:rsid w:val="00EA1EBF"/>
    <w:rsid w:val="00EA2005"/>
    <w:rsid w:val="00EA23E0"/>
    <w:rsid w:val="00EA2711"/>
    <w:rsid w:val="00EA286B"/>
    <w:rsid w:val="00EA29EB"/>
    <w:rsid w:val="00EA2B8F"/>
    <w:rsid w:val="00EA3052"/>
    <w:rsid w:val="00EA31D7"/>
    <w:rsid w:val="00EA3212"/>
    <w:rsid w:val="00EA321E"/>
    <w:rsid w:val="00EA32F9"/>
    <w:rsid w:val="00EA33CF"/>
    <w:rsid w:val="00EA3433"/>
    <w:rsid w:val="00EA363B"/>
    <w:rsid w:val="00EA3A6F"/>
    <w:rsid w:val="00EA3B65"/>
    <w:rsid w:val="00EA3F45"/>
    <w:rsid w:val="00EA40E3"/>
    <w:rsid w:val="00EA4574"/>
    <w:rsid w:val="00EA47E0"/>
    <w:rsid w:val="00EA47EC"/>
    <w:rsid w:val="00EA4818"/>
    <w:rsid w:val="00EA4895"/>
    <w:rsid w:val="00EA48E7"/>
    <w:rsid w:val="00EA4A22"/>
    <w:rsid w:val="00EA4BE3"/>
    <w:rsid w:val="00EA4C41"/>
    <w:rsid w:val="00EA4D57"/>
    <w:rsid w:val="00EA4DDB"/>
    <w:rsid w:val="00EA4E40"/>
    <w:rsid w:val="00EA4ECC"/>
    <w:rsid w:val="00EA5047"/>
    <w:rsid w:val="00EA505F"/>
    <w:rsid w:val="00EA5204"/>
    <w:rsid w:val="00EA5216"/>
    <w:rsid w:val="00EA5357"/>
    <w:rsid w:val="00EA5928"/>
    <w:rsid w:val="00EA5B63"/>
    <w:rsid w:val="00EA5C66"/>
    <w:rsid w:val="00EA6206"/>
    <w:rsid w:val="00EA643D"/>
    <w:rsid w:val="00EA64A9"/>
    <w:rsid w:val="00EA6513"/>
    <w:rsid w:val="00EA6559"/>
    <w:rsid w:val="00EA6651"/>
    <w:rsid w:val="00EA6695"/>
    <w:rsid w:val="00EA6718"/>
    <w:rsid w:val="00EA6BC1"/>
    <w:rsid w:val="00EA6C27"/>
    <w:rsid w:val="00EA6C76"/>
    <w:rsid w:val="00EA6C7B"/>
    <w:rsid w:val="00EA7163"/>
    <w:rsid w:val="00EA71B1"/>
    <w:rsid w:val="00EA746B"/>
    <w:rsid w:val="00EA74FA"/>
    <w:rsid w:val="00EA7688"/>
    <w:rsid w:val="00EA76A0"/>
    <w:rsid w:val="00EA7743"/>
    <w:rsid w:val="00EA7804"/>
    <w:rsid w:val="00EA785C"/>
    <w:rsid w:val="00EA7B9F"/>
    <w:rsid w:val="00EA7DAA"/>
    <w:rsid w:val="00EA7E27"/>
    <w:rsid w:val="00EA7E82"/>
    <w:rsid w:val="00EA7E8D"/>
    <w:rsid w:val="00EB03CC"/>
    <w:rsid w:val="00EB050F"/>
    <w:rsid w:val="00EB0523"/>
    <w:rsid w:val="00EB0551"/>
    <w:rsid w:val="00EB055F"/>
    <w:rsid w:val="00EB0665"/>
    <w:rsid w:val="00EB0729"/>
    <w:rsid w:val="00EB09D3"/>
    <w:rsid w:val="00EB0EE8"/>
    <w:rsid w:val="00EB100F"/>
    <w:rsid w:val="00EB14C9"/>
    <w:rsid w:val="00EB15B7"/>
    <w:rsid w:val="00EB1658"/>
    <w:rsid w:val="00EB182A"/>
    <w:rsid w:val="00EB1838"/>
    <w:rsid w:val="00EB18F4"/>
    <w:rsid w:val="00EB1ACB"/>
    <w:rsid w:val="00EB1D44"/>
    <w:rsid w:val="00EB2022"/>
    <w:rsid w:val="00EB2123"/>
    <w:rsid w:val="00EB2146"/>
    <w:rsid w:val="00EB2231"/>
    <w:rsid w:val="00EB231A"/>
    <w:rsid w:val="00EB23E3"/>
    <w:rsid w:val="00EB24C3"/>
    <w:rsid w:val="00EB25A6"/>
    <w:rsid w:val="00EB2639"/>
    <w:rsid w:val="00EB27F4"/>
    <w:rsid w:val="00EB2876"/>
    <w:rsid w:val="00EB299F"/>
    <w:rsid w:val="00EB2A6B"/>
    <w:rsid w:val="00EB2C78"/>
    <w:rsid w:val="00EB2DD3"/>
    <w:rsid w:val="00EB2E0B"/>
    <w:rsid w:val="00EB2EF5"/>
    <w:rsid w:val="00EB2F4C"/>
    <w:rsid w:val="00EB305A"/>
    <w:rsid w:val="00EB3079"/>
    <w:rsid w:val="00EB340F"/>
    <w:rsid w:val="00EB34DE"/>
    <w:rsid w:val="00EB366E"/>
    <w:rsid w:val="00EB38F8"/>
    <w:rsid w:val="00EB3909"/>
    <w:rsid w:val="00EB3E70"/>
    <w:rsid w:val="00EB3EB4"/>
    <w:rsid w:val="00EB3FF1"/>
    <w:rsid w:val="00EB40CC"/>
    <w:rsid w:val="00EB411E"/>
    <w:rsid w:val="00EB46A8"/>
    <w:rsid w:val="00EB4D13"/>
    <w:rsid w:val="00EB4DCB"/>
    <w:rsid w:val="00EB4DDF"/>
    <w:rsid w:val="00EB53A7"/>
    <w:rsid w:val="00EB54C4"/>
    <w:rsid w:val="00EB54CE"/>
    <w:rsid w:val="00EB5675"/>
    <w:rsid w:val="00EB57DB"/>
    <w:rsid w:val="00EB5A78"/>
    <w:rsid w:val="00EB5BE4"/>
    <w:rsid w:val="00EB5F87"/>
    <w:rsid w:val="00EB6081"/>
    <w:rsid w:val="00EB6405"/>
    <w:rsid w:val="00EB64E0"/>
    <w:rsid w:val="00EB6687"/>
    <w:rsid w:val="00EB6713"/>
    <w:rsid w:val="00EB6723"/>
    <w:rsid w:val="00EB67CB"/>
    <w:rsid w:val="00EB685F"/>
    <w:rsid w:val="00EB69C3"/>
    <w:rsid w:val="00EB6CA6"/>
    <w:rsid w:val="00EB72BE"/>
    <w:rsid w:val="00EB72C1"/>
    <w:rsid w:val="00EB7317"/>
    <w:rsid w:val="00EB73BF"/>
    <w:rsid w:val="00EB7493"/>
    <w:rsid w:val="00EB75B5"/>
    <w:rsid w:val="00EB7667"/>
    <w:rsid w:val="00EB790A"/>
    <w:rsid w:val="00EB797A"/>
    <w:rsid w:val="00EB7CA3"/>
    <w:rsid w:val="00EB7CAC"/>
    <w:rsid w:val="00EB7DC9"/>
    <w:rsid w:val="00EC0369"/>
    <w:rsid w:val="00EC03D7"/>
    <w:rsid w:val="00EC0426"/>
    <w:rsid w:val="00EC0436"/>
    <w:rsid w:val="00EC064B"/>
    <w:rsid w:val="00EC07A0"/>
    <w:rsid w:val="00EC07B8"/>
    <w:rsid w:val="00EC07D7"/>
    <w:rsid w:val="00EC0A66"/>
    <w:rsid w:val="00EC0C30"/>
    <w:rsid w:val="00EC0E03"/>
    <w:rsid w:val="00EC0E50"/>
    <w:rsid w:val="00EC10EB"/>
    <w:rsid w:val="00EC11E1"/>
    <w:rsid w:val="00EC1289"/>
    <w:rsid w:val="00EC1695"/>
    <w:rsid w:val="00EC17D0"/>
    <w:rsid w:val="00EC1924"/>
    <w:rsid w:val="00EC19E5"/>
    <w:rsid w:val="00EC1A1B"/>
    <w:rsid w:val="00EC1E17"/>
    <w:rsid w:val="00EC209E"/>
    <w:rsid w:val="00EC22D2"/>
    <w:rsid w:val="00EC26BB"/>
    <w:rsid w:val="00EC2773"/>
    <w:rsid w:val="00EC2868"/>
    <w:rsid w:val="00EC2ABE"/>
    <w:rsid w:val="00EC2B50"/>
    <w:rsid w:val="00EC2BA1"/>
    <w:rsid w:val="00EC2D89"/>
    <w:rsid w:val="00EC3059"/>
    <w:rsid w:val="00EC33C7"/>
    <w:rsid w:val="00EC36CE"/>
    <w:rsid w:val="00EC376D"/>
    <w:rsid w:val="00EC37D3"/>
    <w:rsid w:val="00EC37DD"/>
    <w:rsid w:val="00EC3BA2"/>
    <w:rsid w:val="00EC411D"/>
    <w:rsid w:val="00EC428D"/>
    <w:rsid w:val="00EC42D5"/>
    <w:rsid w:val="00EC4670"/>
    <w:rsid w:val="00EC4689"/>
    <w:rsid w:val="00EC4940"/>
    <w:rsid w:val="00EC4956"/>
    <w:rsid w:val="00EC4AE6"/>
    <w:rsid w:val="00EC4B5E"/>
    <w:rsid w:val="00EC4B92"/>
    <w:rsid w:val="00EC4C5A"/>
    <w:rsid w:val="00EC5074"/>
    <w:rsid w:val="00EC50ED"/>
    <w:rsid w:val="00EC541C"/>
    <w:rsid w:val="00EC59F4"/>
    <w:rsid w:val="00EC5A32"/>
    <w:rsid w:val="00EC5A6B"/>
    <w:rsid w:val="00EC5DF7"/>
    <w:rsid w:val="00EC607D"/>
    <w:rsid w:val="00EC625C"/>
    <w:rsid w:val="00EC633E"/>
    <w:rsid w:val="00EC644D"/>
    <w:rsid w:val="00EC6482"/>
    <w:rsid w:val="00EC64CE"/>
    <w:rsid w:val="00EC6543"/>
    <w:rsid w:val="00EC675C"/>
    <w:rsid w:val="00EC68EC"/>
    <w:rsid w:val="00EC6913"/>
    <w:rsid w:val="00EC6972"/>
    <w:rsid w:val="00EC6A17"/>
    <w:rsid w:val="00EC6AB0"/>
    <w:rsid w:val="00EC6C36"/>
    <w:rsid w:val="00EC6D52"/>
    <w:rsid w:val="00EC7567"/>
    <w:rsid w:val="00EC7569"/>
    <w:rsid w:val="00EC7922"/>
    <w:rsid w:val="00EC7A74"/>
    <w:rsid w:val="00EC7B87"/>
    <w:rsid w:val="00EC7C7A"/>
    <w:rsid w:val="00EC7FB1"/>
    <w:rsid w:val="00EC7FE6"/>
    <w:rsid w:val="00ED0472"/>
    <w:rsid w:val="00ED0521"/>
    <w:rsid w:val="00ED0635"/>
    <w:rsid w:val="00ED0764"/>
    <w:rsid w:val="00ED0862"/>
    <w:rsid w:val="00ED08C6"/>
    <w:rsid w:val="00ED08F1"/>
    <w:rsid w:val="00ED0968"/>
    <w:rsid w:val="00ED0B28"/>
    <w:rsid w:val="00ED0B37"/>
    <w:rsid w:val="00ED0BF9"/>
    <w:rsid w:val="00ED0CB6"/>
    <w:rsid w:val="00ED0D43"/>
    <w:rsid w:val="00ED139A"/>
    <w:rsid w:val="00ED148E"/>
    <w:rsid w:val="00ED1741"/>
    <w:rsid w:val="00ED1860"/>
    <w:rsid w:val="00ED1889"/>
    <w:rsid w:val="00ED1E08"/>
    <w:rsid w:val="00ED1F03"/>
    <w:rsid w:val="00ED222B"/>
    <w:rsid w:val="00ED23BE"/>
    <w:rsid w:val="00ED2645"/>
    <w:rsid w:val="00ED28C6"/>
    <w:rsid w:val="00ED2C10"/>
    <w:rsid w:val="00ED2C22"/>
    <w:rsid w:val="00ED2DA7"/>
    <w:rsid w:val="00ED3151"/>
    <w:rsid w:val="00ED32D0"/>
    <w:rsid w:val="00ED37F1"/>
    <w:rsid w:val="00ED3968"/>
    <w:rsid w:val="00ED3B79"/>
    <w:rsid w:val="00ED40AD"/>
    <w:rsid w:val="00ED42B5"/>
    <w:rsid w:val="00ED431A"/>
    <w:rsid w:val="00ED47BE"/>
    <w:rsid w:val="00ED4A7E"/>
    <w:rsid w:val="00ED4A97"/>
    <w:rsid w:val="00ED4C3C"/>
    <w:rsid w:val="00ED4CF4"/>
    <w:rsid w:val="00ED51C3"/>
    <w:rsid w:val="00ED52DD"/>
    <w:rsid w:val="00ED53C6"/>
    <w:rsid w:val="00ED57CF"/>
    <w:rsid w:val="00ED583E"/>
    <w:rsid w:val="00ED59ED"/>
    <w:rsid w:val="00ED5ADE"/>
    <w:rsid w:val="00ED5B93"/>
    <w:rsid w:val="00ED5BF0"/>
    <w:rsid w:val="00ED5D01"/>
    <w:rsid w:val="00ED5E24"/>
    <w:rsid w:val="00ED5F58"/>
    <w:rsid w:val="00ED601C"/>
    <w:rsid w:val="00ED63BF"/>
    <w:rsid w:val="00ED650F"/>
    <w:rsid w:val="00ED6540"/>
    <w:rsid w:val="00ED6ADD"/>
    <w:rsid w:val="00ED6B7A"/>
    <w:rsid w:val="00ED6C19"/>
    <w:rsid w:val="00ED6E59"/>
    <w:rsid w:val="00ED6EBE"/>
    <w:rsid w:val="00ED7066"/>
    <w:rsid w:val="00ED7184"/>
    <w:rsid w:val="00ED724D"/>
    <w:rsid w:val="00ED72A4"/>
    <w:rsid w:val="00ED751B"/>
    <w:rsid w:val="00ED7BE4"/>
    <w:rsid w:val="00ED7FB6"/>
    <w:rsid w:val="00EE01A3"/>
    <w:rsid w:val="00EE034E"/>
    <w:rsid w:val="00EE042D"/>
    <w:rsid w:val="00EE0580"/>
    <w:rsid w:val="00EE0679"/>
    <w:rsid w:val="00EE0BBF"/>
    <w:rsid w:val="00EE0BF6"/>
    <w:rsid w:val="00EE129C"/>
    <w:rsid w:val="00EE1402"/>
    <w:rsid w:val="00EE148C"/>
    <w:rsid w:val="00EE186D"/>
    <w:rsid w:val="00EE189E"/>
    <w:rsid w:val="00EE1A5C"/>
    <w:rsid w:val="00EE1AD7"/>
    <w:rsid w:val="00EE1ADA"/>
    <w:rsid w:val="00EE1AFD"/>
    <w:rsid w:val="00EE1BF2"/>
    <w:rsid w:val="00EE1EE9"/>
    <w:rsid w:val="00EE1F5F"/>
    <w:rsid w:val="00EE2022"/>
    <w:rsid w:val="00EE2075"/>
    <w:rsid w:val="00EE24C6"/>
    <w:rsid w:val="00EE24F1"/>
    <w:rsid w:val="00EE2518"/>
    <w:rsid w:val="00EE262F"/>
    <w:rsid w:val="00EE263B"/>
    <w:rsid w:val="00EE268B"/>
    <w:rsid w:val="00EE27EC"/>
    <w:rsid w:val="00EE2A3A"/>
    <w:rsid w:val="00EE2A79"/>
    <w:rsid w:val="00EE2DDD"/>
    <w:rsid w:val="00EE2FBB"/>
    <w:rsid w:val="00EE30AB"/>
    <w:rsid w:val="00EE3155"/>
    <w:rsid w:val="00EE31A4"/>
    <w:rsid w:val="00EE31D3"/>
    <w:rsid w:val="00EE32EF"/>
    <w:rsid w:val="00EE3394"/>
    <w:rsid w:val="00EE34F5"/>
    <w:rsid w:val="00EE366C"/>
    <w:rsid w:val="00EE39B5"/>
    <w:rsid w:val="00EE3E1E"/>
    <w:rsid w:val="00EE3E34"/>
    <w:rsid w:val="00EE3E39"/>
    <w:rsid w:val="00EE3EA5"/>
    <w:rsid w:val="00EE41F0"/>
    <w:rsid w:val="00EE4BD2"/>
    <w:rsid w:val="00EE4FB0"/>
    <w:rsid w:val="00EE5045"/>
    <w:rsid w:val="00EE516A"/>
    <w:rsid w:val="00EE5244"/>
    <w:rsid w:val="00EE5290"/>
    <w:rsid w:val="00EE587F"/>
    <w:rsid w:val="00EE591E"/>
    <w:rsid w:val="00EE598E"/>
    <w:rsid w:val="00EE5A2C"/>
    <w:rsid w:val="00EE5A59"/>
    <w:rsid w:val="00EE5B44"/>
    <w:rsid w:val="00EE5C84"/>
    <w:rsid w:val="00EE5C8E"/>
    <w:rsid w:val="00EE5CED"/>
    <w:rsid w:val="00EE6066"/>
    <w:rsid w:val="00EE6125"/>
    <w:rsid w:val="00EE675E"/>
    <w:rsid w:val="00EE6988"/>
    <w:rsid w:val="00EE69EC"/>
    <w:rsid w:val="00EE6F2D"/>
    <w:rsid w:val="00EE6F84"/>
    <w:rsid w:val="00EE73E0"/>
    <w:rsid w:val="00EE7494"/>
    <w:rsid w:val="00EE796B"/>
    <w:rsid w:val="00EE799C"/>
    <w:rsid w:val="00EE79B3"/>
    <w:rsid w:val="00EE7B39"/>
    <w:rsid w:val="00EF0113"/>
    <w:rsid w:val="00EF013F"/>
    <w:rsid w:val="00EF0260"/>
    <w:rsid w:val="00EF02B6"/>
    <w:rsid w:val="00EF02DD"/>
    <w:rsid w:val="00EF0450"/>
    <w:rsid w:val="00EF04E1"/>
    <w:rsid w:val="00EF04FC"/>
    <w:rsid w:val="00EF0894"/>
    <w:rsid w:val="00EF0897"/>
    <w:rsid w:val="00EF08AF"/>
    <w:rsid w:val="00EF0ADE"/>
    <w:rsid w:val="00EF0D45"/>
    <w:rsid w:val="00EF1191"/>
    <w:rsid w:val="00EF1245"/>
    <w:rsid w:val="00EF12EB"/>
    <w:rsid w:val="00EF16B3"/>
    <w:rsid w:val="00EF1BB3"/>
    <w:rsid w:val="00EF1FAC"/>
    <w:rsid w:val="00EF22EA"/>
    <w:rsid w:val="00EF2554"/>
    <w:rsid w:val="00EF2682"/>
    <w:rsid w:val="00EF2821"/>
    <w:rsid w:val="00EF29D5"/>
    <w:rsid w:val="00EF2D6F"/>
    <w:rsid w:val="00EF2E15"/>
    <w:rsid w:val="00EF2EC7"/>
    <w:rsid w:val="00EF2F02"/>
    <w:rsid w:val="00EF2FF6"/>
    <w:rsid w:val="00EF311D"/>
    <w:rsid w:val="00EF320F"/>
    <w:rsid w:val="00EF32DA"/>
    <w:rsid w:val="00EF3762"/>
    <w:rsid w:val="00EF387A"/>
    <w:rsid w:val="00EF3B76"/>
    <w:rsid w:val="00EF3CB6"/>
    <w:rsid w:val="00EF3DB0"/>
    <w:rsid w:val="00EF411D"/>
    <w:rsid w:val="00EF41F4"/>
    <w:rsid w:val="00EF42FB"/>
    <w:rsid w:val="00EF45C7"/>
    <w:rsid w:val="00EF45E8"/>
    <w:rsid w:val="00EF4865"/>
    <w:rsid w:val="00EF4931"/>
    <w:rsid w:val="00EF495D"/>
    <w:rsid w:val="00EF49F2"/>
    <w:rsid w:val="00EF4A0C"/>
    <w:rsid w:val="00EF4B63"/>
    <w:rsid w:val="00EF4C4B"/>
    <w:rsid w:val="00EF4FB1"/>
    <w:rsid w:val="00EF50A0"/>
    <w:rsid w:val="00EF50C3"/>
    <w:rsid w:val="00EF5593"/>
    <w:rsid w:val="00EF55A8"/>
    <w:rsid w:val="00EF5671"/>
    <w:rsid w:val="00EF585C"/>
    <w:rsid w:val="00EF58A2"/>
    <w:rsid w:val="00EF5AD8"/>
    <w:rsid w:val="00EF5BE6"/>
    <w:rsid w:val="00EF5CA1"/>
    <w:rsid w:val="00EF5CC8"/>
    <w:rsid w:val="00EF5FA4"/>
    <w:rsid w:val="00EF6139"/>
    <w:rsid w:val="00EF6391"/>
    <w:rsid w:val="00EF6828"/>
    <w:rsid w:val="00EF6844"/>
    <w:rsid w:val="00EF69B0"/>
    <w:rsid w:val="00EF6DAB"/>
    <w:rsid w:val="00EF7036"/>
    <w:rsid w:val="00EF7145"/>
    <w:rsid w:val="00EF728F"/>
    <w:rsid w:val="00EF72F0"/>
    <w:rsid w:val="00EF7515"/>
    <w:rsid w:val="00EF76BB"/>
    <w:rsid w:val="00EF76C6"/>
    <w:rsid w:val="00EF76F5"/>
    <w:rsid w:val="00EF7711"/>
    <w:rsid w:val="00EF7738"/>
    <w:rsid w:val="00EF7742"/>
    <w:rsid w:val="00EF77A6"/>
    <w:rsid w:val="00EF77AF"/>
    <w:rsid w:val="00EF7934"/>
    <w:rsid w:val="00EF7AEA"/>
    <w:rsid w:val="00EF7C75"/>
    <w:rsid w:val="00EF7CA5"/>
    <w:rsid w:val="00EF7F72"/>
    <w:rsid w:val="00F0001C"/>
    <w:rsid w:val="00F0016F"/>
    <w:rsid w:val="00F002AE"/>
    <w:rsid w:val="00F002D7"/>
    <w:rsid w:val="00F0044F"/>
    <w:rsid w:val="00F009DE"/>
    <w:rsid w:val="00F00D2A"/>
    <w:rsid w:val="00F00E20"/>
    <w:rsid w:val="00F00E96"/>
    <w:rsid w:val="00F00F75"/>
    <w:rsid w:val="00F014E4"/>
    <w:rsid w:val="00F016BE"/>
    <w:rsid w:val="00F01827"/>
    <w:rsid w:val="00F018FF"/>
    <w:rsid w:val="00F01AEF"/>
    <w:rsid w:val="00F01AF9"/>
    <w:rsid w:val="00F01BDD"/>
    <w:rsid w:val="00F01CF6"/>
    <w:rsid w:val="00F01E13"/>
    <w:rsid w:val="00F0200B"/>
    <w:rsid w:val="00F02172"/>
    <w:rsid w:val="00F021B0"/>
    <w:rsid w:val="00F0232C"/>
    <w:rsid w:val="00F02451"/>
    <w:rsid w:val="00F027E7"/>
    <w:rsid w:val="00F02873"/>
    <w:rsid w:val="00F02A44"/>
    <w:rsid w:val="00F02A7F"/>
    <w:rsid w:val="00F02D9F"/>
    <w:rsid w:val="00F02FD2"/>
    <w:rsid w:val="00F03071"/>
    <w:rsid w:val="00F033B5"/>
    <w:rsid w:val="00F0369E"/>
    <w:rsid w:val="00F0390D"/>
    <w:rsid w:val="00F03AD7"/>
    <w:rsid w:val="00F03F96"/>
    <w:rsid w:val="00F03FF1"/>
    <w:rsid w:val="00F041A4"/>
    <w:rsid w:val="00F0426C"/>
    <w:rsid w:val="00F042C7"/>
    <w:rsid w:val="00F04376"/>
    <w:rsid w:val="00F044DE"/>
    <w:rsid w:val="00F04501"/>
    <w:rsid w:val="00F046EE"/>
    <w:rsid w:val="00F0497D"/>
    <w:rsid w:val="00F04B7C"/>
    <w:rsid w:val="00F051F8"/>
    <w:rsid w:val="00F05237"/>
    <w:rsid w:val="00F05357"/>
    <w:rsid w:val="00F05404"/>
    <w:rsid w:val="00F054BD"/>
    <w:rsid w:val="00F05687"/>
    <w:rsid w:val="00F056D1"/>
    <w:rsid w:val="00F05733"/>
    <w:rsid w:val="00F058CA"/>
    <w:rsid w:val="00F05A46"/>
    <w:rsid w:val="00F05A4F"/>
    <w:rsid w:val="00F05BBC"/>
    <w:rsid w:val="00F05D90"/>
    <w:rsid w:val="00F05F0E"/>
    <w:rsid w:val="00F05FF8"/>
    <w:rsid w:val="00F060DB"/>
    <w:rsid w:val="00F0611E"/>
    <w:rsid w:val="00F063B4"/>
    <w:rsid w:val="00F06413"/>
    <w:rsid w:val="00F06434"/>
    <w:rsid w:val="00F064A7"/>
    <w:rsid w:val="00F064CC"/>
    <w:rsid w:val="00F06696"/>
    <w:rsid w:val="00F066C8"/>
    <w:rsid w:val="00F06708"/>
    <w:rsid w:val="00F06710"/>
    <w:rsid w:val="00F067A9"/>
    <w:rsid w:val="00F06B25"/>
    <w:rsid w:val="00F06B5E"/>
    <w:rsid w:val="00F06B72"/>
    <w:rsid w:val="00F06E4F"/>
    <w:rsid w:val="00F06E7F"/>
    <w:rsid w:val="00F06F8B"/>
    <w:rsid w:val="00F06FA7"/>
    <w:rsid w:val="00F071C9"/>
    <w:rsid w:val="00F0776F"/>
    <w:rsid w:val="00F079BE"/>
    <w:rsid w:val="00F07B99"/>
    <w:rsid w:val="00F10000"/>
    <w:rsid w:val="00F105E6"/>
    <w:rsid w:val="00F106D9"/>
    <w:rsid w:val="00F10AE0"/>
    <w:rsid w:val="00F10BED"/>
    <w:rsid w:val="00F10E14"/>
    <w:rsid w:val="00F10F51"/>
    <w:rsid w:val="00F11290"/>
    <w:rsid w:val="00F1184B"/>
    <w:rsid w:val="00F11AB7"/>
    <w:rsid w:val="00F11BF9"/>
    <w:rsid w:val="00F11D98"/>
    <w:rsid w:val="00F12019"/>
    <w:rsid w:val="00F12308"/>
    <w:rsid w:val="00F12437"/>
    <w:rsid w:val="00F12688"/>
    <w:rsid w:val="00F12857"/>
    <w:rsid w:val="00F12883"/>
    <w:rsid w:val="00F1289F"/>
    <w:rsid w:val="00F12CBD"/>
    <w:rsid w:val="00F12CDF"/>
    <w:rsid w:val="00F12CFE"/>
    <w:rsid w:val="00F12F80"/>
    <w:rsid w:val="00F13154"/>
    <w:rsid w:val="00F131D4"/>
    <w:rsid w:val="00F13332"/>
    <w:rsid w:val="00F134B0"/>
    <w:rsid w:val="00F1350F"/>
    <w:rsid w:val="00F13518"/>
    <w:rsid w:val="00F136FC"/>
    <w:rsid w:val="00F139F7"/>
    <w:rsid w:val="00F13AAB"/>
    <w:rsid w:val="00F13D83"/>
    <w:rsid w:val="00F14174"/>
    <w:rsid w:val="00F14426"/>
    <w:rsid w:val="00F146C2"/>
    <w:rsid w:val="00F1487F"/>
    <w:rsid w:val="00F14AAC"/>
    <w:rsid w:val="00F14AC9"/>
    <w:rsid w:val="00F14B8E"/>
    <w:rsid w:val="00F14C56"/>
    <w:rsid w:val="00F14E4F"/>
    <w:rsid w:val="00F14F4E"/>
    <w:rsid w:val="00F14FB3"/>
    <w:rsid w:val="00F15049"/>
    <w:rsid w:val="00F150C3"/>
    <w:rsid w:val="00F150D2"/>
    <w:rsid w:val="00F15267"/>
    <w:rsid w:val="00F15472"/>
    <w:rsid w:val="00F154AA"/>
    <w:rsid w:val="00F155E0"/>
    <w:rsid w:val="00F157B4"/>
    <w:rsid w:val="00F1583F"/>
    <w:rsid w:val="00F15893"/>
    <w:rsid w:val="00F15C2C"/>
    <w:rsid w:val="00F16034"/>
    <w:rsid w:val="00F160CA"/>
    <w:rsid w:val="00F165DF"/>
    <w:rsid w:val="00F166EF"/>
    <w:rsid w:val="00F1676A"/>
    <w:rsid w:val="00F1676C"/>
    <w:rsid w:val="00F167EA"/>
    <w:rsid w:val="00F16C52"/>
    <w:rsid w:val="00F16EE3"/>
    <w:rsid w:val="00F16FD5"/>
    <w:rsid w:val="00F17076"/>
    <w:rsid w:val="00F171A6"/>
    <w:rsid w:val="00F17224"/>
    <w:rsid w:val="00F172FA"/>
    <w:rsid w:val="00F173BC"/>
    <w:rsid w:val="00F177CD"/>
    <w:rsid w:val="00F17AE7"/>
    <w:rsid w:val="00F17C05"/>
    <w:rsid w:val="00F17CC8"/>
    <w:rsid w:val="00F17E81"/>
    <w:rsid w:val="00F200D1"/>
    <w:rsid w:val="00F201DC"/>
    <w:rsid w:val="00F20601"/>
    <w:rsid w:val="00F206FF"/>
    <w:rsid w:val="00F20788"/>
    <w:rsid w:val="00F208E7"/>
    <w:rsid w:val="00F209D5"/>
    <w:rsid w:val="00F20AF2"/>
    <w:rsid w:val="00F20BE0"/>
    <w:rsid w:val="00F20D90"/>
    <w:rsid w:val="00F20E4B"/>
    <w:rsid w:val="00F20F31"/>
    <w:rsid w:val="00F21214"/>
    <w:rsid w:val="00F212D1"/>
    <w:rsid w:val="00F21440"/>
    <w:rsid w:val="00F215A5"/>
    <w:rsid w:val="00F21617"/>
    <w:rsid w:val="00F21670"/>
    <w:rsid w:val="00F21695"/>
    <w:rsid w:val="00F217A6"/>
    <w:rsid w:val="00F21AD7"/>
    <w:rsid w:val="00F21F22"/>
    <w:rsid w:val="00F2202A"/>
    <w:rsid w:val="00F220A2"/>
    <w:rsid w:val="00F2216F"/>
    <w:rsid w:val="00F222AD"/>
    <w:rsid w:val="00F22337"/>
    <w:rsid w:val="00F224E6"/>
    <w:rsid w:val="00F226EB"/>
    <w:rsid w:val="00F2283D"/>
    <w:rsid w:val="00F2288E"/>
    <w:rsid w:val="00F228F6"/>
    <w:rsid w:val="00F2294F"/>
    <w:rsid w:val="00F22AF8"/>
    <w:rsid w:val="00F22E4E"/>
    <w:rsid w:val="00F231C4"/>
    <w:rsid w:val="00F2330F"/>
    <w:rsid w:val="00F234E3"/>
    <w:rsid w:val="00F2353D"/>
    <w:rsid w:val="00F23588"/>
    <w:rsid w:val="00F23A14"/>
    <w:rsid w:val="00F23C38"/>
    <w:rsid w:val="00F23E74"/>
    <w:rsid w:val="00F23FBF"/>
    <w:rsid w:val="00F2416C"/>
    <w:rsid w:val="00F24177"/>
    <w:rsid w:val="00F2431E"/>
    <w:rsid w:val="00F245ED"/>
    <w:rsid w:val="00F24659"/>
    <w:rsid w:val="00F24B2B"/>
    <w:rsid w:val="00F24B6C"/>
    <w:rsid w:val="00F24C33"/>
    <w:rsid w:val="00F24D0D"/>
    <w:rsid w:val="00F250D4"/>
    <w:rsid w:val="00F25395"/>
    <w:rsid w:val="00F2553F"/>
    <w:rsid w:val="00F2555A"/>
    <w:rsid w:val="00F2586A"/>
    <w:rsid w:val="00F258E5"/>
    <w:rsid w:val="00F25EBA"/>
    <w:rsid w:val="00F26175"/>
    <w:rsid w:val="00F2624F"/>
    <w:rsid w:val="00F26296"/>
    <w:rsid w:val="00F26390"/>
    <w:rsid w:val="00F26432"/>
    <w:rsid w:val="00F264AD"/>
    <w:rsid w:val="00F26561"/>
    <w:rsid w:val="00F26594"/>
    <w:rsid w:val="00F26601"/>
    <w:rsid w:val="00F2684F"/>
    <w:rsid w:val="00F26D31"/>
    <w:rsid w:val="00F270ED"/>
    <w:rsid w:val="00F27131"/>
    <w:rsid w:val="00F273F2"/>
    <w:rsid w:val="00F2751A"/>
    <w:rsid w:val="00F276BC"/>
    <w:rsid w:val="00F27724"/>
    <w:rsid w:val="00F2781F"/>
    <w:rsid w:val="00F278C7"/>
    <w:rsid w:val="00F278E1"/>
    <w:rsid w:val="00F279EC"/>
    <w:rsid w:val="00F27CC7"/>
    <w:rsid w:val="00F30010"/>
    <w:rsid w:val="00F30123"/>
    <w:rsid w:val="00F3014C"/>
    <w:rsid w:val="00F30234"/>
    <w:rsid w:val="00F3029D"/>
    <w:rsid w:val="00F302FC"/>
    <w:rsid w:val="00F3042D"/>
    <w:rsid w:val="00F3049D"/>
    <w:rsid w:val="00F30609"/>
    <w:rsid w:val="00F30A38"/>
    <w:rsid w:val="00F30A45"/>
    <w:rsid w:val="00F30A59"/>
    <w:rsid w:val="00F30CBC"/>
    <w:rsid w:val="00F30F3D"/>
    <w:rsid w:val="00F30F60"/>
    <w:rsid w:val="00F30F88"/>
    <w:rsid w:val="00F30FA4"/>
    <w:rsid w:val="00F311A4"/>
    <w:rsid w:val="00F3131E"/>
    <w:rsid w:val="00F313AE"/>
    <w:rsid w:val="00F3161C"/>
    <w:rsid w:val="00F31771"/>
    <w:rsid w:val="00F317E6"/>
    <w:rsid w:val="00F31ABD"/>
    <w:rsid w:val="00F31B9E"/>
    <w:rsid w:val="00F31BCE"/>
    <w:rsid w:val="00F31C46"/>
    <w:rsid w:val="00F31F8B"/>
    <w:rsid w:val="00F32052"/>
    <w:rsid w:val="00F32144"/>
    <w:rsid w:val="00F32156"/>
    <w:rsid w:val="00F32395"/>
    <w:rsid w:val="00F32677"/>
    <w:rsid w:val="00F327F0"/>
    <w:rsid w:val="00F329B0"/>
    <w:rsid w:val="00F32E88"/>
    <w:rsid w:val="00F32E93"/>
    <w:rsid w:val="00F33508"/>
    <w:rsid w:val="00F3387F"/>
    <w:rsid w:val="00F338F9"/>
    <w:rsid w:val="00F339F6"/>
    <w:rsid w:val="00F33D0B"/>
    <w:rsid w:val="00F33E9C"/>
    <w:rsid w:val="00F33FBF"/>
    <w:rsid w:val="00F340BE"/>
    <w:rsid w:val="00F343A4"/>
    <w:rsid w:val="00F3442A"/>
    <w:rsid w:val="00F34595"/>
    <w:rsid w:val="00F3463B"/>
    <w:rsid w:val="00F34A9F"/>
    <w:rsid w:val="00F34B00"/>
    <w:rsid w:val="00F34D21"/>
    <w:rsid w:val="00F34E02"/>
    <w:rsid w:val="00F3523F"/>
    <w:rsid w:val="00F352E7"/>
    <w:rsid w:val="00F357CC"/>
    <w:rsid w:val="00F358FA"/>
    <w:rsid w:val="00F35960"/>
    <w:rsid w:val="00F35A28"/>
    <w:rsid w:val="00F35AC0"/>
    <w:rsid w:val="00F35BB5"/>
    <w:rsid w:val="00F35D24"/>
    <w:rsid w:val="00F35F64"/>
    <w:rsid w:val="00F35FF2"/>
    <w:rsid w:val="00F35FFD"/>
    <w:rsid w:val="00F36203"/>
    <w:rsid w:val="00F36445"/>
    <w:rsid w:val="00F367D7"/>
    <w:rsid w:val="00F36992"/>
    <w:rsid w:val="00F36B15"/>
    <w:rsid w:val="00F36C9C"/>
    <w:rsid w:val="00F3721D"/>
    <w:rsid w:val="00F37360"/>
    <w:rsid w:val="00F37633"/>
    <w:rsid w:val="00F37909"/>
    <w:rsid w:val="00F3799C"/>
    <w:rsid w:val="00F37EE1"/>
    <w:rsid w:val="00F37F65"/>
    <w:rsid w:val="00F4007C"/>
    <w:rsid w:val="00F40160"/>
    <w:rsid w:val="00F401F6"/>
    <w:rsid w:val="00F404BA"/>
    <w:rsid w:val="00F4051A"/>
    <w:rsid w:val="00F406A2"/>
    <w:rsid w:val="00F40A16"/>
    <w:rsid w:val="00F40AA5"/>
    <w:rsid w:val="00F410AB"/>
    <w:rsid w:val="00F410E2"/>
    <w:rsid w:val="00F41370"/>
    <w:rsid w:val="00F417A7"/>
    <w:rsid w:val="00F418F6"/>
    <w:rsid w:val="00F41BB9"/>
    <w:rsid w:val="00F41C39"/>
    <w:rsid w:val="00F41E60"/>
    <w:rsid w:val="00F42236"/>
    <w:rsid w:val="00F422AC"/>
    <w:rsid w:val="00F424F5"/>
    <w:rsid w:val="00F42646"/>
    <w:rsid w:val="00F42678"/>
    <w:rsid w:val="00F4272B"/>
    <w:rsid w:val="00F428B3"/>
    <w:rsid w:val="00F42B96"/>
    <w:rsid w:val="00F42C93"/>
    <w:rsid w:val="00F42DFD"/>
    <w:rsid w:val="00F42EE0"/>
    <w:rsid w:val="00F42F6A"/>
    <w:rsid w:val="00F42FE6"/>
    <w:rsid w:val="00F43092"/>
    <w:rsid w:val="00F43164"/>
    <w:rsid w:val="00F4326B"/>
    <w:rsid w:val="00F433D7"/>
    <w:rsid w:val="00F43B92"/>
    <w:rsid w:val="00F43D1C"/>
    <w:rsid w:val="00F43D28"/>
    <w:rsid w:val="00F43DD1"/>
    <w:rsid w:val="00F43E04"/>
    <w:rsid w:val="00F43F12"/>
    <w:rsid w:val="00F44221"/>
    <w:rsid w:val="00F44229"/>
    <w:rsid w:val="00F4473B"/>
    <w:rsid w:val="00F44819"/>
    <w:rsid w:val="00F44A73"/>
    <w:rsid w:val="00F44BBA"/>
    <w:rsid w:val="00F44C09"/>
    <w:rsid w:val="00F44C62"/>
    <w:rsid w:val="00F44CE3"/>
    <w:rsid w:val="00F4506F"/>
    <w:rsid w:val="00F450D2"/>
    <w:rsid w:val="00F4519C"/>
    <w:rsid w:val="00F4539E"/>
    <w:rsid w:val="00F45636"/>
    <w:rsid w:val="00F458A4"/>
    <w:rsid w:val="00F459AB"/>
    <w:rsid w:val="00F45B9B"/>
    <w:rsid w:val="00F45D2E"/>
    <w:rsid w:val="00F45EF1"/>
    <w:rsid w:val="00F45F8A"/>
    <w:rsid w:val="00F45FE9"/>
    <w:rsid w:val="00F460CD"/>
    <w:rsid w:val="00F46103"/>
    <w:rsid w:val="00F46147"/>
    <w:rsid w:val="00F46191"/>
    <w:rsid w:val="00F46309"/>
    <w:rsid w:val="00F46671"/>
    <w:rsid w:val="00F469AB"/>
    <w:rsid w:val="00F46B13"/>
    <w:rsid w:val="00F46CAC"/>
    <w:rsid w:val="00F46DC9"/>
    <w:rsid w:val="00F46E1B"/>
    <w:rsid w:val="00F46F6D"/>
    <w:rsid w:val="00F46F85"/>
    <w:rsid w:val="00F47019"/>
    <w:rsid w:val="00F4715A"/>
    <w:rsid w:val="00F47535"/>
    <w:rsid w:val="00F47670"/>
    <w:rsid w:val="00F47691"/>
    <w:rsid w:val="00F476FB"/>
    <w:rsid w:val="00F4784F"/>
    <w:rsid w:val="00F47B7D"/>
    <w:rsid w:val="00F47BDF"/>
    <w:rsid w:val="00F47C1E"/>
    <w:rsid w:val="00F47FF3"/>
    <w:rsid w:val="00F50328"/>
    <w:rsid w:val="00F505E4"/>
    <w:rsid w:val="00F50BF0"/>
    <w:rsid w:val="00F50CF0"/>
    <w:rsid w:val="00F50D29"/>
    <w:rsid w:val="00F50E1E"/>
    <w:rsid w:val="00F510BD"/>
    <w:rsid w:val="00F51423"/>
    <w:rsid w:val="00F515B4"/>
    <w:rsid w:val="00F5162A"/>
    <w:rsid w:val="00F51A26"/>
    <w:rsid w:val="00F51B78"/>
    <w:rsid w:val="00F51C5E"/>
    <w:rsid w:val="00F51D35"/>
    <w:rsid w:val="00F51EEF"/>
    <w:rsid w:val="00F51F61"/>
    <w:rsid w:val="00F51FA1"/>
    <w:rsid w:val="00F52294"/>
    <w:rsid w:val="00F5244F"/>
    <w:rsid w:val="00F52BA9"/>
    <w:rsid w:val="00F52F84"/>
    <w:rsid w:val="00F52FCE"/>
    <w:rsid w:val="00F530B0"/>
    <w:rsid w:val="00F530F0"/>
    <w:rsid w:val="00F5311C"/>
    <w:rsid w:val="00F53387"/>
    <w:rsid w:val="00F536A8"/>
    <w:rsid w:val="00F537D8"/>
    <w:rsid w:val="00F537E7"/>
    <w:rsid w:val="00F53B19"/>
    <w:rsid w:val="00F53CC1"/>
    <w:rsid w:val="00F53F99"/>
    <w:rsid w:val="00F5417E"/>
    <w:rsid w:val="00F54255"/>
    <w:rsid w:val="00F54649"/>
    <w:rsid w:val="00F5486D"/>
    <w:rsid w:val="00F54FD2"/>
    <w:rsid w:val="00F5520F"/>
    <w:rsid w:val="00F55369"/>
    <w:rsid w:val="00F553F1"/>
    <w:rsid w:val="00F5565F"/>
    <w:rsid w:val="00F5592A"/>
    <w:rsid w:val="00F55BE7"/>
    <w:rsid w:val="00F55D02"/>
    <w:rsid w:val="00F55E05"/>
    <w:rsid w:val="00F5601D"/>
    <w:rsid w:val="00F56033"/>
    <w:rsid w:val="00F56309"/>
    <w:rsid w:val="00F56345"/>
    <w:rsid w:val="00F56428"/>
    <w:rsid w:val="00F566AA"/>
    <w:rsid w:val="00F569B1"/>
    <w:rsid w:val="00F56B10"/>
    <w:rsid w:val="00F56C24"/>
    <w:rsid w:val="00F5718A"/>
    <w:rsid w:val="00F57241"/>
    <w:rsid w:val="00F5735F"/>
    <w:rsid w:val="00F577AD"/>
    <w:rsid w:val="00F57A72"/>
    <w:rsid w:val="00F57D56"/>
    <w:rsid w:val="00F57EB4"/>
    <w:rsid w:val="00F57FFE"/>
    <w:rsid w:val="00F60081"/>
    <w:rsid w:val="00F600E4"/>
    <w:rsid w:val="00F6010C"/>
    <w:rsid w:val="00F6011A"/>
    <w:rsid w:val="00F60133"/>
    <w:rsid w:val="00F60245"/>
    <w:rsid w:val="00F60332"/>
    <w:rsid w:val="00F603CF"/>
    <w:rsid w:val="00F607C3"/>
    <w:rsid w:val="00F607F8"/>
    <w:rsid w:val="00F60927"/>
    <w:rsid w:val="00F60946"/>
    <w:rsid w:val="00F60A21"/>
    <w:rsid w:val="00F60A62"/>
    <w:rsid w:val="00F60C1A"/>
    <w:rsid w:val="00F60D55"/>
    <w:rsid w:val="00F60DF4"/>
    <w:rsid w:val="00F60F21"/>
    <w:rsid w:val="00F60F73"/>
    <w:rsid w:val="00F6100A"/>
    <w:rsid w:val="00F61205"/>
    <w:rsid w:val="00F612C3"/>
    <w:rsid w:val="00F61516"/>
    <w:rsid w:val="00F61702"/>
    <w:rsid w:val="00F61903"/>
    <w:rsid w:val="00F619B1"/>
    <w:rsid w:val="00F61A10"/>
    <w:rsid w:val="00F61AE4"/>
    <w:rsid w:val="00F61E10"/>
    <w:rsid w:val="00F61E1F"/>
    <w:rsid w:val="00F61FD1"/>
    <w:rsid w:val="00F6215C"/>
    <w:rsid w:val="00F62172"/>
    <w:rsid w:val="00F6280E"/>
    <w:rsid w:val="00F62A90"/>
    <w:rsid w:val="00F62B1F"/>
    <w:rsid w:val="00F62C66"/>
    <w:rsid w:val="00F630AC"/>
    <w:rsid w:val="00F63308"/>
    <w:rsid w:val="00F634CA"/>
    <w:rsid w:val="00F63503"/>
    <w:rsid w:val="00F6375B"/>
    <w:rsid w:val="00F6376A"/>
    <w:rsid w:val="00F639AB"/>
    <w:rsid w:val="00F63BEE"/>
    <w:rsid w:val="00F63C63"/>
    <w:rsid w:val="00F63CFB"/>
    <w:rsid w:val="00F63FCD"/>
    <w:rsid w:val="00F63FD8"/>
    <w:rsid w:val="00F64480"/>
    <w:rsid w:val="00F64786"/>
    <w:rsid w:val="00F64850"/>
    <w:rsid w:val="00F64869"/>
    <w:rsid w:val="00F64AF2"/>
    <w:rsid w:val="00F64EE6"/>
    <w:rsid w:val="00F6505E"/>
    <w:rsid w:val="00F650D2"/>
    <w:rsid w:val="00F650E6"/>
    <w:rsid w:val="00F6512E"/>
    <w:rsid w:val="00F652A4"/>
    <w:rsid w:val="00F6531F"/>
    <w:rsid w:val="00F6535D"/>
    <w:rsid w:val="00F654BC"/>
    <w:rsid w:val="00F654E8"/>
    <w:rsid w:val="00F65821"/>
    <w:rsid w:val="00F659B7"/>
    <w:rsid w:val="00F659D9"/>
    <w:rsid w:val="00F65A0D"/>
    <w:rsid w:val="00F65AB8"/>
    <w:rsid w:val="00F65BA2"/>
    <w:rsid w:val="00F65C72"/>
    <w:rsid w:val="00F65CCD"/>
    <w:rsid w:val="00F65D8F"/>
    <w:rsid w:val="00F65FBD"/>
    <w:rsid w:val="00F66036"/>
    <w:rsid w:val="00F660C9"/>
    <w:rsid w:val="00F66408"/>
    <w:rsid w:val="00F664F1"/>
    <w:rsid w:val="00F6655A"/>
    <w:rsid w:val="00F665FC"/>
    <w:rsid w:val="00F66707"/>
    <w:rsid w:val="00F6689D"/>
    <w:rsid w:val="00F66AD1"/>
    <w:rsid w:val="00F66B6E"/>
    <w:rsid w:val="00F66CA8"/>
    <w:rsid w:val="00F66E53"/>
    <w:rsid w:val="00F66EE8"/>
    <w:rsid w:val="00F6722A"/>
    <w:rsid w:val="00F672D5"/>
    <w:rsid w:val="00F67395"/>
    <w:rsid w:val="00F673A3"/>
    <w:rsid w:val="00F6768B"/>
    <w:rsid w:val="00F67AA1"/>
    <w:rsid w:val="00F67BD4"/>
    <w:rsid w:val="00F701C2"/>
    <w:rsid w:val="00F7025A"/>
    <w:rsid w:val="00F70266"/>
    <w:rsid w:val="00F702B9"/>
    <w:rsid w:val="00F70434"/>
    <w:rsid w:val="00F704EC"/>
    <w:rsid w:val="00F706AC"/>
    <w:rsid w:val="00F706ED"/>
    <w:rsid w:val="00F707A9"/>
    <w:rsid w:val="00F707AE"/>
    <w:rsid w:val="00F70AD8"/>
    <w:rsid w:val="00F70BC9"/>
    <w:rsid w:val="00F70CDA"/>
    <w:rsid w:val="00F70D20"/>
    <w:rsid w:val="00F70DA1"/>
    <w:rsid w:val="00F70F03"/>
    <w:rsid w:val="00F71048"/>
    <w:rsid w:val="00F711D8"/>
    <w:rsid w:val="00F71264"/>
    <w:rsid w:val="00F712C2"/>
    <w:rsid w:val="00F7139F"/>
    <w:rsid w:val="00F71F3D"/>
    <w:rsid w:val="00F71F49"/>
    <w:rsid w:val="00F72210"/>
    <w:rsid w:val="00F72312"/>
    <w:rsid w:val="00F723EB"/>
    <w:rsid w:val="00F724A2"/>
    <w:rsid w:val="00F72584"/>
    <w:rsid w:val="00F72589"/>
    <w:rsid w:val="00F725F8"/>
    <w:rsid w:val="00F7260D"/>
    <w:rsid w:val="00F7266A"/>
    <w:rsid w:val="00F726B4"/>
    <w:rsid w:val="00F72DD4"/>
    <w:rsid w:val="00F72E43"/>
    <w:rsid w:val="00F72E97"/>
    <w:rsid w:val="00F73095"/>
    <w:rsid w:val="00F73115"/>
    <w:rsid w:val="00F731DC"/>
    <w:rsid w:val="00F73214"/>
    <w:rsid w:val="00F7373E"/>
    <w:rsid w:val="00F7386C"/>
    <w:rsid w:val="00F73B5D"/>
    <w:rsid w:val="00F73C78"/>
    <w:rsid w:val="00F73DC6"/>
    <w:rsid w:val="00F74198"/>
    <w:rsid w:val="00F742B5"/>
    <w:rsid w:val="00F74368"/>
    <w:rsid w:val="00F7443D"/>
    <w:rsid w:val="00F74495"/>
    <w:rsid w:val="00F744A6"/>
    <w:rsid w:val="00F744E7"/>
    <w:rsid w:val="00F7462F"/>
    <w:rsid w:val="00F74671"/>
    <w:rsid w:val="00F746BD"/>
    <w:rsid w:val="00F74716"/>
    <w:rsid w:val="00F74844"/>
    <w:rsid w:val="00F74992"/>
    <w:rsid w:val="00F749AF"/>
    <w:rsid w:val="00F74A43"/>
    <w:rsid w:val="00F74B8B"/>
    <w:rsid w:val="00F74E7E"/>
    <w:rsid w:val="00F74FA0"/>
    <w:rsid w:val="00F74FEB"/>
    <w:rsid w:val="00F7507C"/>
    <w:rsid w:val="00F75161"/>
    <w:rsid w:val="00F751BC"/>
    <w:rsid w:val="00F7529A"/>
    <w:rsid w:val="00F753CB"/>
    <w:rsid w:val="00F754E1"/>
    <w:rsid w:val="00F757CE"/>
    <w:rsid w:val="00F759EE"/>
    <w:rsid w:val="00F75E14"/>
    <w:rsid w:val="00F75ED9"/>
    <w:rsid w:val="00F76236"/>
    <w:rsid w:val="00F763FC"/>
    <w:rsid w:val="00F7641A"/>
    <w:rsid w:val="00F764DA"/>
    <w:rsid w:val="00F7676B"/>
    <w:rsid w:val="00F767BB"/>
    <w:rsid w:val="00F76819"/>
    <w:rsid w:val="00F76892"/>
    <w:rsid w:val="00F76A53"/>
    <w:rsid w:val="00F76C45"/>
    <w:rsid w:val="00F76EB0"/>
    <w:rsid w:val="00F76EE1"/>
    <w:rsid w:val="00F773FA"/>
    <w:rsid w:val="00F77864"/>
    <w:rsid w:val="00F77991"/>
    <w:rsid w:val="00F77EAB"/>
    <w:rsid w:val="00F77F80"/>
    <w:rsid w:val="00F80197"/>
    <w:rsid w:val="00F8019E"/>
    <w:rsid w:val="00F801DE"/>
    <w:rsid w:val="00F8070E"/>
    <w:rsid w:val="00F80780"/>
    <w:rsid w:val="00F80889"/>
    <w:rsid w:val="00F815EC"/>
    <w:rsid w:val="00F816BD"/>
    <w:rsid w:val="00F817A4"/>
    <w:rsid w:val="00F81812"/>
    <w:rsid w:val="00F818C6"/>
    <w:rsid w:val="00F81B36"/>
    <w:rsid w:val="00F81D60"/>
    <w:rsid w:val="00F820C7"/>
    <w:rsid w:val="00F8225C"/>
    <w:rsid w:val="00F82489"/>
    <w:rsid w:val="00F8269A"/>
    <w:rsid w:val="00F82A45"/>
    <w:rsid w:val="00F82B0E"/>
    <w:rsid w:val="00F82BBA"/>
    <w:rsid w:val="00F82BD1"/>
    <w:rsid w:val="00F82C8C"/>
    <w:rsid w:val="00F8307B"/>
    <w:rsid w:val="00F830DE"/>
    <w:rsid w:val="00F8310B"/>
    <w:rsid w:val="00F832E1"/>
    <w:rsid w:val="00F83387"/>
    <w:rsid w:val="00F83702"/>
    <w:rsid w:val="00F83715"/>
    <w:rsid w:val="00F837EF"/>
    <w:rsid w:val="00F83817"/>
    <w:rsid w:val="00F83A94"/>
    <w:rsid w:val="00F83DE5"/>
    <w:rsid w:val="00F83E2F"/>
    <w:rsid w:val="00F840B6"/>
    <w:rsid w:val="00F840B8"/>
    <w:rsid w:val="00F84109"/>
    <w:rsid w:val="00F84224"/>
    <w:rsid w:val="00F84450"/>
    <w:rsid w:val="00F844BC"/>
    <w:rsid w:val="00F8455C"/>
    <w:rsid w:val="00F84604"/>
    <w:rsid w:val="00F846B1"/>
    <w:rsid w:val="00F84716"/>
    <w:rsid w:val="00F84821"/>
    <w:rsid w:val="00F84B4A"/>
    <w:rsid w:val="00F84C69"/>
    <w:rsid w:val="00F84CA0"/>
    <w:rsid w:val="00F84F1D"/>
    <w:rsid w:val="00F84FD4"/>
    <w:rsid w:val="00F85006"/>
    <w:rsid w:val="00F85335"/>
    <w:rsid w:val="00F853F2"/>
    <w:rsid w:val="00F85465"/>
    <w:rsid w:val="00F8552E"/>
    <w:rsid w:val="00F855D5"/>
    <w:rsid w:val="00F856AD"/>
    <w:rsid w:val="00F8589E"/>
    <w:rsid w:val="00F8591C"/>
    <w:rsid w:val="00F85A08"/>
    <w:rsid w:val="00F85BCE"/>
    <w:rsid w:val="00F85F0D"/>
    <w:rsid w:val="00F85FDC"/>
    <w:rsid w:val="00F86232"/>
    <w:rsid w:val="00F8658C"/>
    <w:rsid w:val="00F865DE"/>
    <w:rsid w:val="00F86B43"/>
    <w:rsid w:val="00F86B98"/>
    <w:rsid w:val="00F86BBD"/>
    <w:rsid w:val="00F870E9"/>
    <w:rsid w:val="00F871F4"/>
    <w:rsid w:val="00F873CE"/>
    <w:rsid w:val="00F877D6"/>
    <w:rsid w:val="00F87A0B"/>
    <w:rsid w:val="00F87C1E"/>
    <w:rsid w:val="00F87CD0"/>
    <w:rsid w:val="00F87CF9"/>
    <w:rsid w:val="00F87DF1"/>
    <w:rsid w:val="00F87DFD"/>
    <w:rsid w:val="00F90112"/>
    <w:rsid w:val="00F90124"/>
    <w:rsid w:val="00F9028B"/>
    <w:rsid w:val="00F90547"/>
    <w:rsid w:val="00F9055A"/>
    <w:rsid w:val="00F908AC"/>
    <w:rsid w:val="00F90D73"/>
    <w:rsid w:val="00F90DD5"/>
    <w:rsid w:val="00F90F05"/>
    <w:rsid w:val="00F90F68"/>
    <w:rsid w:val="00F90FB6"/>
    <w:rsid w:val="00F91224"/>
    <w:rsid w:val="00F912A9"/>
    <w:rsid w:val="00F912F1"/>
    <w:rsid w:val="00F91335"/>
    <w:rsid w:val="00F9149B"/>
    <w:rsid w:val="00F9170E"/>
    <w:rsid w:val="00F9193A"/>
    <w:rsid w:val="00F919A4"/>
    <w:rsid w:val="00F91F2E"/>
    <w:rsid w:val="00F920D2"/>
    <w:rsid w:val="00F9216C"/>
    <w:rsid w:val="00F9221B"/>
    <w:rsid w:val="00F9224A"/>
    <w:rsid w:val="00F922F4"/>
    <w:rsid w:val="00F9240D"/>
    <w:rsid w:val="00F92463"/>
    <w:rsid w:val="00F9254D"/>
    <w:rsid w:val="00F92564"/>
    <w:rsid w:val="00F92627"/>
    <w:rsid w:val="00F928A1"/>
    <w:rsid w:val="00F92A2F"/>
    <w:rsid w:val="00F92B02"/>
    <w:rsid w:val="00F92C19"/>
    <w:rsid w:val="00F92C48"/>
    <w:rsid w:val="00F92D2B"/>
    <w:rsid w:val="00F92DE2"/>
    <w:rsid w:val="00F9309F"/>
    <w:rsid w:val="00F931A3"/>
    <w:rsid w:val="00F937BB"/>
    <w:rsid w:val="00F93A25"/>
    <w:rsid w:val="00F93F32"/>
    <w:rsid w:val="00F94049"/>
    <w:rsid w:val="00F94241"/>
    <w:rsid w:val="00F942E8"/>
    <w:rsid w:val="00F944D0"/>
    <w:rsid w:val="00F94829"/>
    <w:rsid w:val="00F9482F"/>
    <w:rsid w:val="00F9484D"/>
    <w:rsid w:val="00F94882"/>
    <w:rsid w:val="00F94A35"/>
    <w:rsid w:val="00F94BE9"/>
    <w:rsid w:val="00F94DEA"/>
    <w:rsid w:val="00F94E28"/>
    <w:rsid w:val="00F954F1"/>
    <w:rsid w:val="00F95611"/>
    <w:rsid w:val="00F95666"/>
    <w:rsid w:val="00F95B3A"/>
    <w:rsid w:val="00F95CE8"/>
    <w:rsid w:val="00F95E49"/>
    <w:rsid w:val="00F95EEA"/>
    <w:rsid w:val="00F95F45"/>
    <w:rsid w:val="00F96510"/>
    <w:rsid w:val="00F96860"/>
    <w:rsid w:val="00F96C76"/>
    <w:rsid w:val="00F96EDE"/>
    <w:rsid w:val="00F96F85"/>
    <w:rsid w:val="00F970B6"/>
    <w:rsid w:val="00F971C4"/>
    <w:rsid w:val="00F972B1"/>
    <w:rsid w:val="00F973AB"/>
    <w:rsid w:val="00F97513"/>
    <w:rsid w:val="00F975D4"/>
    <w:rsid w:val="00F977E9"/>
    <w:rsid w:val="00F97A70"/>
    <w:rsid w:val="00F97ADD"/>
    <w:rsid w:val="00F97B1C"/>
    <w:rsid w:val="00F97B31"/>
    <w:rsid w:val="00F97EC0"/>
    <w:rsid w:val="00F97F41"/>
    <w:rsid w:val="00FA00A3"/>
    <w:rsid w:val="00FA02D0"/>
    <w:rsid w:val="00FA060C"/>
    <w:rsid w:val="00FA0B6D"/>
    <w:rsid w:val="00FA0C4F"/>
    <w:rsid w:val="00FA0E7F"/>
    <w:rsid w:val="00FA0EA1"/>
    <w:rsid w:val="00FA110E"/>
    <w:rsid w:val="00FA1187"/>
    <w:rsid w:val="00FA1302"/>
    <w:rsid w:val="00FA1414"/>
    <w:rsid w:val="00FA19A9"/>
    <w:rsid w:val="00FA1A7C"/>
    <w:rsid w:val="00FA1D33"/>
    <w:rsid w:val="00FA1D54"/>
    <w:rsid w:val="00FA21A9"/>
    <w:rsid w:val="00FA232E"/>
    <w:rsid w:val="00FA23B9"/>
    <w:rsid w:val="00FA2CAE"/>
    <w:rsid w:val="00FA2D12"/>
    <w:rsid w:val="00FA311D"/>
    <w:rsid w:val="00FA3268"/>
    <w:rsid w:val="00FA3284"/>
    <w:rsid w:val="00FA348F"/>
    <w:rsid w:val="00FA3862"/>
    <w:rsid w:val="00FA3937"/>
    <w:rsid w:val="00FA3A84"/>
    <w:rsid w:val="00FA3B73"/>
    <w:rsid w:val="00FA3C75"/>
    <w:rsid w:val="00FA3D64"/>
    <w:rsid w:val="00FA3E7D"/>
    <w:rsid w:val="00FA41A2"/>
    <w:rsid w:val="00FA45AD"/>
    <w:rsid w:val="00FA4AE1"/>
    <w:rsid w:val="00FA4B0A"/>
    <w:rsid w:val="00FA4BA7"/>
    <w:rsid w:val="00FA4C94"/>
    <w:rsid w:val="00FA4D37"/>
    <w:rsid w:val="00FA515A"/>
    <w:rsid w:val="00FA51CC"/>
    <w:rsid w:val="00FA532C"/>
    <w:rsid w:val="00FA5638"/>
    <w:rsid w:val="00FA5660"/>
    <w:rsid w:val="00FA589A"/>
    <w:rsid w:val="00FA5938"/>
    <w:rsid w:val="00FA5B56"/>
    <w:rsid w:val="00FA5CBB"/>
    <w:rsid w:val="00FA5D39"/>
    <w:rsid w:val="00FA606B"/>
    <w:rsid w:val="00FA609F"/>
    <w:rsid w:val="00FA617A"/>
    <w:rsid w:val="00FA6293"/>
    <w:rsid w:val="00FA6402"/>
    <w:rsid w:val="00FA67BB"/>
    <w:rsid w:val="00FA6B19"/>
    <w:rsid w:val="00FA6B51"/>
    <w:rsid w:val="00FA6C49"/>
    <w:rsid w:val="00FA6E38"/>
    <w:rsid w:val="00FA71A0"/>
    <w:rsid w:val="00FA7220"/>
    <w:rsid w:val="00FA73C3"/>
    <w:rsid w:val="00FA740B"/>
    <w:rsid w:val="00FA74C2"/>
    <w:rsid w:val="00FA7601"/>
    <w:rsid w:val="00FA7686"/>
    <w:rsid w:val="00FA77D4"/>
    <w:rsid w:val="00FA7A5F"/>
    <w:rsid w:val="00FA7AA6"/>
    <w:rsid w:val="00FA7E44"/>
    <w:rsid w:val="00FA7E91"/>
    <w:rsid w:val="00FB024C"/>
    <w:rsid w:val="00FB0363"/>
    <w:rsid w:val="00FB048E"/>
    <w:rsid w:val="00FB04FE"/>
    <w:rsid w:val="00FB0624"/>
    <w:rsid w:val="00FB073B"/>
    <w:rsid w:val="00FB082A"/>
    <w:rsid w:val="00FB0C43"/>
    <w:rsid w:val="00FB0CF5"/>
    <w:rsid w:val="00FB0D4A"/>
    <w:rsid w:val="00FB0D6C"/>
    <w:rsid w:val="00FB0D96"/>
    <w:rsid w:val="00FB0DF8"/>
    <w:rsid w:val="00FB0F51"/>
    <w:rsid w:val="00FB12E5"/>
    <w:rsid w:val="00FB1394"/>
    <w:rsid w:val="00FB14EE"/>
    <w:rsid w:val="00FB152F"/>
    <w:rsid w:val="00FB1765"/>
    <w:rsid w:val="00FB18CB"/>
    <w:rsid w:val="00FB19AC"/>
    <w:rsid w:val="00FB1FA9"/>
    <w:rsid w:val="00FB204C"/>
    <w:rsid w:val="00FB2094"/>
    <w:rsid w:val="00FB2102"/>
    <w:rsid w:val="00FB21D8"/>
    <w:rsid w:val="00FB232F"/>
    <w:rsid w:val="00FB258D"/>
    <w:rsid w:val="00FB2726"/>
    <w:rsid w:val="00FB2799"/>
    <w:rsid w:val="00FB27EF"/>
    <w:rsid w:val="00FB2891"/>
    <w:rsid w:val="00FB295B"/>
    <w:rsid w:val="00FB29FC"/>
    <w:rsid w:val="00FB29FF"/>
    <w:rsid w:val="00FB2D02"/>
    <w:rsid w:val="00FB2DFB"/>
    <w:rsid w:val="00FB2E1B"/>
    <w:rsid w:val="00FB2F5D"/>
    <w:rsid w:val="00FB30A2"/>
    <w:rsid w:val="00FB36A1"/>
    <w:rsid w:val="00FB39AB"/>
    <w:rsid w:val="00FB3EB1"/>
    <w:rsid w:val="00FB3F59"/>
    <w:rsid w:val="00FB3FEA"/>
    <w:rsid w:val="00FB402D"/>
    <w:rsid w:val="00FB4077"/>
    <w:rsid w:val="00FB43A2"/>
    <w:rsid w:val="00FB45DA"/>
    <w:rsid w:val="00FB493B"/>
    <w:rsid w:val="00FB4978"/>
    <w:rsid w:val="00FB4B92"/>
    <w:rsid w:val="00FB4E77"/>
    <w:rsid w:val="00FB4E9E"/>
    <w:rsid w:val="00FB5097"/>
    <w:rsid w:val="00FB50DB"/>
    <w:rsid w:val="00FB512E"/>
    <w:rsid w:val="00FB5382"/>
    <w:rsid w:val="00FB54D3"/>
    <w:rsid w:val="00FB5849"/>
    <w:rsid w:val="00FB5894"/>
    <w:rsid w:val="00FB596F"/>
    <w:rsid w:val="00FB5A7B"/>
    <w:rsid w:val="00FB5B85"/>
    <w:rsid w:val="00FB5BBC"/>
    <w:rsid w:val="00FB5C1A"/>
    <w:rsid w:val="00FB5FA9"/>
    <w:rsid w:val="00FB60CC"/>
    <w:rsid w:val="00FB6167"/>
    <w:rsid w:val="00FB61FC"/>
    <w:rsid w:val="00FB6436"/>
    <w:rsid w:val="00FB6631"/>
    <w:rsid w:val="00FB6E36"/>
    <w:rsid w:val="00FB6E4D"/>
    <w:rsid w:val="00FB70FB"/>
    <w:rsid w:val="00FB74B9"/>
    <w:rsid w:val="00FB754B"/>
    <w:rsid w:val="00FB757B"/>
    <w:rsid w:val="00FB7899"/>
    <w:rsid w:val="00FB79EE"/>
    <w:rsid w:val="00FB7A2D"/>
    <w:rsid w:val="00FB7CE1"/>
    <w:rsid w:val="00FC02C5"/>
    <w:rsid w:val="00FC02F0"/>
    <w:rsid w:val="00FC03C6"/>
    <w:rsid w:val="00FC0409"/>
    <w:rsid w:val="00FC07B1"/>
    <w:rsid w:val="00FC07C3"/>
    <w:rsid w:val="00FC0869"/>
    <w:rsid w:val="00FC0AF2"/>
    <w:rsid w:val="00FC0BDE"/>
    <w:rsid w:val="00FC0D61"/>
    <w:rsid w:val="00FC0DD9"/>
    <w:rsid w:val="00FC0E0B"/>
    <w:rsid w:val="00FC0FED"/>
    <w:rsid w:val="00FC101F"/>
    <w:rsid w:val="00FC104B"/>
    <w:rsid w:val="00FC10EA"/>
    <w:rsid w:val="00FC112A"/>
    <w:rsid w:val="00FC1395"/>
    <w:rsid w:val="00FC1705"/>
    <w:rsid w:val="00FC189A"/>
    <w:rsid w:val="00FC1A60"/>
    <w:rsid w:val="00FC1EFE"/>
    <w:rsid w:val="00FC1F47"/>
    <w:rsid w:val="00FC2017"/>
    <w:rsid w:val="00FC22B3"/>
    <w:rsid w:val="00FC2370"/>
    <w:rsid w:val="00FC2410"/>
    <w:rsid w:val="00FC2469"/>
    <w:rsid w:val="00FC2584"/>
    <w:rsid w:val="00FC2671"/>
    <w:rsid w:val="00FC2795"/>
    <w:rsid w:val="00FC2883"/>
    <w:rsid w:val="00FC2A2D"/>
    <w:rsid w:val="00FC2E26"/>
    <w:rsid w:val="00FC2F24"/>
    <w:rsid w:val="00FC30BF"/>
    <w:rsid w:val="00FC332C"/>
    <w:rsid w:val="00FC337B"/>
    <w:rsid w:val="00FC3469"/>
    <w:rsid w:val="00FC34BF"/>
    <w:rsid w:val="00FC3533"/>
    <w:rsid w:val="00FC3588"/>
    <w:rsid w:val="00FC3742"/>
    <w:rsid w:val="00FC375B"/>
    <w:rsid w:val="00FC38D9"/>
    <w:rsid w:val="00FC394E"/>
    <w:rsid w:val="00FC3B81"/>
    <w:rsid w:val="00FC3CC4"/>
    <w:rsid w:val="00FC3DE2"/>
    <w:rsid w:val="00FC3EC4"/>
    <w:rsid w:val="00FC3F1B"/>
    <w:rsid w:val="00FC4221"/>
    <w:rsid w:val="00FC42A9"/>
    <w:rsid w:val="00FC4310"/>
    <w:rsid w:val="00FC44BF"/>
    <w:rsid w:val="00FC45B5"/>
    <w:rsid w:val="00FC4662"/>
    <w:rsid w:val="00FC46B0"/>
    <w:rsid w:val="00FC4752"/>
    <w:rsid w:val="00FC48C0"/>
    <w:rsid w:val="00FC493B"/>
    <w:rsid w:val="00FC4980"/>
    <w:rsid w:val="00FC49E5"/>
    <w:rsid w:val="00FC4A5C"/>
    <w:rsid w:val="00FC4A6A"/>
    <w:rsid w:val="00FC503C"/>
    <w:rsid w:val="00FC5086"/>
    <w:rsid w:val="00FC5148"/>
    <w:rsid w:val="00FC51DE"/>
    <w:rsid w:val="00FC555A"/>
    <w:rsid w:val="00FC5624"/>
    <w:rsid w:val="00FC5673"/>
    <w:rsid w:val="00FC5692"/>
    <w:rsid w:val="00FC5832"/>
    <w:rsid w:val="00FC5868"/>
    <w:rsid w:val="00FC592E"/>
    <w:rsid w:val="00FC59B9"/>
    <w:rsid w:val="00FC5C7E"/>
    <w:rsid w:val="00FC5CEA"/>
    <w:rsid w:val="00FC5D63"/>
    <w:rsid w:val="00FC5DB8"/>
    <w:rsid w:val="00FC5E56"/>
    <w:rsid w:val="00FC5F47"/>
    <w:rsid w:val="00FC5F8A"/>
    <w:rsid w:val="00FC6080"/>
    <w:rsid w:val="00FC60D9"/>
    <w:rsid w:val="00FC63D6"/>
    <w:rsid w:val="00FC6578"/>
    <w:rsid w:val="00FC66DF"/>
    <w:rsid w:val="00FC6809"/>
    <w:rsid w:val="00FC6933"/>
    <w:rsid w:val="00FC6940"/>
    <w:rsid w:val="00FC6B3C"/>
    <w:rsid w:val="00FC6B66"/>
    <w:rsid w:val="00FC6CD5"/>
    <w:rsid w:val="00FC6D47"/>
    <w:rsid w:val="00FC704F"/>
    <w:rsid w:val="00FC7081"/>
    <w:rsid w:val="00FC71B9"/>
    <w:rsid w:val="00FC7340"/>
    <w:rsid w:val="00FC742D"/>
    <w:rsid w:val="00FC7554"/>
    <w:rsid w:val="00FC755B"/>
    <w:rsid w:val="00FC7601"/>
    <w:rsid w:val="00FC7700"/>
    <w:rsid w:val="00FC7772"/>
    <w:rsid w:val="00FC77D5"/>
    <w:rsid w:val="00FC7A38"/>
    <w:rsid w:val="00FC7B17"/>
    <w:rsid w:val="00FC7D91"/>
    <w:rsid w:val="00FC7DE1"/>
    <w:rsid w:val="00FD01A3"/>
    <w:rsid w:val="00FD05CA"/>
    <w:rsid w:val="00FD07F4"/>
    <w:rsid w:val="00FD08F3"/>
    <w:rsid w:val="00FD099C"/>
    <w:rsid w:val="00FD09D7"/>
    <w:rsid w:val="00FD0BB4"/>
    <w:rsid w:val="00FD0C44"/>
    <w:rsid w:val="00FD0CE7"/>
    <w:rsid w:val="00FD0E79"/>
    <w:rsid w:val="00FD1232"/>
    <w:rsid w:val="00FD1638"/>
    <w:rsid w:val="00FD1872"/>
    <w:rsid w:val="00FD1922"/>
    <w:rsid w:val="00FD1C9C"/>
    <w:rsid w:val="00FD2352"/>
    <w:rsid w:val="00FD2397"/>
    <w:rsid w:val="00FD23AA"/>
    <w:rsid w:val="00FD2448"/>
    <w:rsid w:val="00FD248F"/>
    <w:rsid w:val="00FD24B2"/>
    <w:rsid w:val="00FD291E"/>
    <w:rsid w:val="00FD2B3F"/>
    <w:rsid w:val="00FD2CD1"/>
    <w:rsid w:val="00FD2DEE"/>
    <w:rsid w:val="00FD2E02"/>
    <w:rsid w:val="00FD2EB5"/>
    <w:rsid w:val="00FD30B8"/>
    <w:rsid w:val="00FD31DC"/>
    <w:rsid w:val="00FD31DF"/>
    <w:rsid w:val="00FD36EA"/>
    <w:rsid w:val="00FD3720"/>
    <w:rsid w:val="00FD3A56"/>
    <w:rsid w:val="00FD4011"/>
    <w:rsid w:val="00FD4512"/>
    <w:rsid w:val="00FD464F"/>
    <w:rsid w:val="00FD47F9"/>
    <w:rsid w:val="00FD484D"/>
    <w:rsid w:val="00FD4D4C"/>
    <w:rsid w:val="00FD4E74"/>
    <w:rsid w:val="00FD52F6"/>
    <w:rsid w:val="00FD5411"/>
    <w:rsid w:val="00FD5516"/>
    <w:rsid w:val="00FD56AD"/>
    <w:rsid w:val="00FD583F"/>
    <w:rsid w:val="00FD5856"/>
    <w:rsid w:val="00FD59CC"/>
    <w:rsid w:val="00FD5B57"/>
    <w:rsid w:val="00FD5B9F"/>
    <w:rsid w:val="00FD5C00"/>
    <w:rsid w:val="00FD5E01"/>
    <w:rsid w:val="00FD5E55"/>
    <w:rsid w:val="00FD616D"/>
    <w:rsid w:val="00FD62C2"/>
    <w:rsid w:val="00FD62E1"/>
    <w:rsid w:val="00FD62FD"/>
    <w:rsid w:val="00FD6357"/>
    <w:rsid w:val="00FD6681"/>
    <w:rsid w:val="00FD66BD"/>
    <w:rsid w:val="00FD679F"/>
    <w:rsid w:val="00FD6E46"/>
    <w:rsid w:val="00FD6E69"/>
    <w:rsid w:val="00FD6F52"/>
    <w:rsid w:val="00FD707A"/>
    <w:rsid w:val="00FD715A"/>
    <w:rsid w:val="00FD7199"/>
    <w:rsid w:val="00FD7238"/>
    <w:rsid w:val="00FD73D3"/>
    <w:rsid w:val="00FD7779"/>
    <w:rsid w:val="00FD787C"/>
    <w:rsid w:val="00FD78E2"/>
    <w:rsid w:val="00FD7ACA"/>
    <w:rsid w:val="00FD7AD3"/>
    <w:rsid w:val="00FD7B27"/>
    <w:rsid w:val="00FD7DBB"/>
    <w:rsid w:val="00FD7E4A"/>
    <w:rsid w:val="00FD7F61"/>
    <w:rsid w:val="00FE0088"/>
    <w:rsid w:val="00FE05EA"/>
    <w:rsid w:val="00FE0AFB"/>
    <w:rsid w:val="00FE0CAD"/>
    <w:rsid w:val="00FE0F09"/>
    <w:rsid w:val="00FE11C2"/>
    <w:rsid w:val="00FE13B5"/>
    <w:rsid w:val="00FE13FF"/>
    <w:rsid w:val="00FE14C3"/>
    <w:rsid w:val="00FE1517"/>
    <w:rsid w:val="00FE158D"/>
    <w:rsid w:val="00FE1857"/>
    <w:rsid w:val="00FE1961"/>
    <w:rsid w:val="00FE1AD5"/>
    <w:rsid w:val="00FE1B83"/>
    <w:rsid w:val="00FE1BE6"/>
    <w:rsid w:val="00FE1DA4"/>
    <w:rsid w:val="00FE1DF3"/>
    <w:rsid w:val="00FE1E28"/>
    <w:rsid w:val="00FE1E78"/>
    <w:rsid w:val="00FE202C"/>
    <w:rsid w:val="00FE22C3"/>
    <w:rsid w:val="00FE243A"/>
    <w:rsid w:val="00FE2B29"/>
    <w:rsid w:val="00FE3014"/>
    <w:rsid w:val="00FE30A7"/>
    <w:rsid w:val="00FE31A5"/>
    <w:rsid w:val="00FE320E"/>
    <w:rsid w:val="00FE33F7"/>
    <w:rsid w:val="00FE33FB"/>
    <w:rsid w:val="00FE3416"/>
    <w:rsid w:val="00FE34AD"/>
    <w:rsid w:val="00FE3686"/>
    <w:rsid w:val="00FE36D8"/>
    <w:rsid w:val="00FE3886"/>
    <w:rsid w:val="00FE3AAC"/>
    <w:rsid w:val="00FE3E13"/>
    <w:rsid w:val="00FE3FAA"/>
    <w:rsid w:val="00FE430B"/>
    <w:rsid w:val="00FE473D"/>
    <w:rsid w:val="00FE49A2"/>
    <w:rsid w:val="00FE49F0"/>
    <w:rsid w:val="00FE4A02"/>
    <w:rsid w:val="00FE4A15"/>
    <w:rsid w:val="00FE4B9F"/>
    <w:rsid w:val="00FE4C54"/>
    <w:rsid w:val="00FE4DA8"/>
    <w:rsid w:val="00FE4E5A"/>
    <w:rsid w:val="00FE4EE9"/>
    <w:rsid w:val="00FE5072"/>
    <w:rsid w:val="00FE547F"/>
    <w:rsid w:val="00FE59E9"/>
    <w:rsid w:val="00FE5A7A"/>
    <w:rsid w:val="00FE5BB4"/>
    <w:rsid w:val="00FE5DB9"/>
    <w:rsid w:val="00FE5E65"/>
    <w:rsid w:val="00FE6013"/>
    <w:rsid w:val="00FE6913"/>
    <w:rsid w:val="00FE6BD1"/>
    <w:rsid w:val="00FE6C7E"/>
    <w:rsid w:val="00FE6FDF"/>
    <w:rsid w:val="00FE74F6"/>
    <w:rsid w:val="00FE757B"/>
    <w:rsid w:val="00FE79C5"/>
    <w:rsid w:val="00FE7A21"/>
    <w:rsid w:val="00FE7E0F"/>
    <w:rsid w:val="00FE7E4D"/>
    <w:rsid w:val="00FE7EA3"/>
    <w:rsid w:val="00FE7F6E"/>
    <w:rsid w:val="00FF0049"/>
    <w:rsid w:val="00FF03C8"/>
    <w:rsid w:val="00FF0443"/>
    <w:rsid w:val="00FF0480"/>
    <w:rsid w:val="00FF0612"/>
    <w:rsid w:val="00FF06EE"/>
    <w:rsid w:val="00FF0B71"/>
    <w:rsid w:val="00FF16A6"/>
    <w:rsid w:val="00FF18D5"/>
    <w:rsid w:val="00FF191B"/>
    <w:rsid w:val="00FF19D9"/>
    <w:rsid w:val="00FF19FD"/>
    <w:rsid w:val="00FF1A5B"/>
    <w:rsid w:val="00FF1B45"/>
    <w:rsid w:val="00FF1C32"/>
    <w:rsid w:val="00FF1CCD"/>
    <w:rsid w:val="00FF1D26"/>
    <w:rsid w:val="00FF21BF"/>
    <w:rsid w:val="00FF2314"/>
    <w:rsid w:val="00FF25CA"/>
    <w:rsid w:val="00FF25D0"/>
    <w:rsid w:val="00FF277A"/>
    <w:rsid w:val="00FF27AF"/>
    <w:rsid w:val="00FF2C14"/>
    <w:rsid w:val="00FF2C1E"/>
    <w:rsid w:val="00FF2C94"/>
    <w:rsid w:val="00FF2D4C"/>
    <w:rsid w:val="00FF2D7E"/>
    <w:rsid w:val="00FF302F"/>
    <w:rsid w:val="00FF31C9"/>
    <w:rsid w:val="00FF330C"/>
    <w:rsid w:val="00FF3333"/>
    <w:rsid w:val="00FF347E"/>
    <w:rsid w:val="00FF3679"/>
    <w:rsid w:val="00FF3952"/>
    <w:rsid w:val="00FF39B5"/>
    <w:rsid w:val="00FF3A4E"/>
    <w:rsid w:val="00FF3C2F"/>
    <w:rsid w:val="00FF3CB1"/>
    <w:rsid w:val="00FF3CE6"/>
    <w:rsid w:val="00FF3F4C"/>
    <w:rsid w:val="00FF435C"/>
    <w:rsid w:val="00FF48DD"/>
    <w:rsid w:val="00FF499C"/>
    <w:rsid w:val="00FF4A2F"/>
    <w:rsid w:val="00FF4B1B"/>
    <w:rsid w:val="00FF4CB9"/>
    <w:rsid w:val="00FF4D80"/>
    <w:rsid w:val="00FF4EC4"/>
    <w:rsid w:val="00FF4EE8"/>
    <w:rsid w:val="00FF4FD8"/>
    <w:rsid w:val="00FF5001"/>
    <w:rsid w:val="00FF5060"/>
    <w:rsid w:val="00FF508C"/>
    <w:rsid w:val="00FF50B5"/>
    <w:rsid w:val="00FF5418"/>
    <w:rsid w:val="00FF54FC"/>
    <w:rsid w:val="00FF5944"/>
    <w:rsid w:val="00FF5BB8"/>
    <w:rsid w:val="00FF5CF0"/>
    <w:rsid w:val="00FF5DAD"/>
    <w:rsid w:val="00FF5DB3"/>
    <w:rsid w:val="00FF5E97"/>
    <w:rsid w:val="00FF5F38"/>
    <w:rsid w:val="00FF60EC"/>
    <w:rsid w:val="00FF62EB"/>
    <w:rsid w:val="00FF652B"/>
    <w:rsid w:val="00FF6558"/>
    <w:rsid w:val="00FF6745"/>
    <w:rsid w:val="00FF679F"/>
    <w:rsid w:val="00FF687E"/>
    <w:rsid w:val="00FF6B4A"/>
    <w:rsid w:val="00FF6ECD"/>
    <w:rsid w:val="00FF6FAF"/>
    <w:rsid w:val="00FF709B"/>
    <w:rsid w:val="00FF7382"/>
    <w:rsid w:val="00FF73CE"/>
    <w:rsid w:val="00FF74FD"/>
    <w:rsid w:val="00FF7521"/>
    <w:rsid w:val="00FF7612"/>
    <w:rsid w:val="00FF762E"/>
    <w:rsid w:val="00FF7C09"/>
    <w:rsid w:val="00FF7E1A"/>
    <w:rsid w:val="00FF7EB2"/>
    <w:rsid w:val="035FA3DD"/>
    <w:rsid w:val="0B7F6E93"/>
    <w:rsid w:val="0C8095C2"/>
    <w:rsid w:val="0E56CD52"/>
    <w:rsid w:val="0F852C75"/>
    <w:rsid w:val="104E0169"/>
    <w:rsid w:val="121C1FCA"/>
    <w:rsid w:val="169ABFED"/>
    <w:rsid w:val="18AC1DE6"/>
    <w:rsid w:val="2BCBE03B"/>
    <w:rsid w:val="2CA1F9B4"/>
    <w:rsid w:val="348821E0"/>
    <w:rsid w:val="35942763"/>
    <w:rsid w:val="36A5D715"/>
    <w:rsid w:val="3978E369"/>
    <w:rsid w:val="3F05CDE2"/>
    <w:rsid w:val="4713289D"/>
    <w:rsid w:val="492FC18D"/>
    <w:rsid w:val="4DB9A67B"/>
    <w:rsid w:val="52E44B44"/>
    <w:rsid w:val="53AEB8AE"/>
    <w:rsid w:val="5A7AA16B"/>
    <w:rsid w:val="6321094E"/>
    <w:rsid w:val="708BB468"/>
    <w:rsid w:val="77E4D31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4AC76E"/>
  <w15:docId w15:val="{D646E596-BF9D-4EF8-8BC4-D42AC54FD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05C4"/>
    <w:pPr>
      <w:spacing w:after="5" w:line="247" w:lineRule="auto"/>
      <w:ind w:left="10" w:right="230" w:hanging="10"/>
    </w:pPr>
    <w:rPr>
      <w:rFonts w:ascii="Times New Roman" w:eastAsia="Times New Roman" w:hAnsi="Times New Roman" w:cs="Times New Roman"/>
      <w:color w:val="000000"/>
    </w:rPr>
  </w:style>
  <w:style w:type="paragraph" w:styleId="Heading1">
    <w:name w:val="heading 1"/>
    <w:next w:val="Normal"/>
    <w:link w:val="Heading1Char"/>
    <w:uiPriority w:val="9"/>
    <w:unhideWhenUsed/>
    <w:qFormat/>
    <w:pPr>
      <w:keepNext/>
      <w:keepLines/>
      <w:spacing w:after="0"/>
      <w:ind w:left="10" w:right="4071" w:hanging="10"/>
      <w:jc w:val="center"/>
      <w:outlineLvl w:val="0"/>
    </w:pPr>
    <w:rPr>
      <w:rFonts w:ascii="Times New Roman" w:eastAsia="Times New Roman" w:hAnsi="Times New Roman" w:cs="Times New Roman"/>
      <w:b/>
      <w:color w:val="000000"/>
      <w:sz w:val="40"/>
    </w:rPr>
  </w:style>
  <w:style w:type="paragraph" w:styleId="Heading2">
    <w:name w:val="heading 2"/>
    <w:next w:val="Normal"/>
    <w:link w:val="Heading2Char"/>
    <w:uiPriority w:val="9"/>
    <w:unhideWhenUsed/>
    <w:qFormat/>
    <w:pPr>
      <w:keepNext/>
      <w:keepLines/>
      <w:spacing w:after="10" w:line="249" w:lineRule="auto"/>
      <w:ind w:left="10" w:right="265" w:hanging="10"/>
      <w:outlineLvl w:val="1"/>
    </w:pPr>
    <w:rPr>
      <w:rFonts w:ascii="Times New Roman" w:eastAsia="Times New Roman" w:hAnsi="Times New Roman" w:cs="Times New Roman"/>
      <w:b/>
      <w:color w:val="000000"/>
      <w:sz w:val="24"/>
    </w:rPr>
  </w:style>
  <w:style w:type="paragraph" w:styleId="Heading3">
    <w:name w:val="heading 3"/>
    <w:next w:val="Normal"/>
    <w:link w:val="Heading3Char"/>
    <w:uiPriority w:val="9"/>
    <w:unhideWhenUsed/>
    <w:qFormat/>
    <w:pPr>
      <w:keepNext/>
      <w:keepLines/>
      <w:spacing w:after="14" w:line="248" w:lineRule="auto"/>
      <w:ind w:left="10" w:hanging="10"/>
      <w:jc w:val="center"/>
      <w:outlineLvl w:val="2"/>
    </w:pPr>
    <w:rPr>
      <w:rFonts w:ascii="Times New Roman" w:eastAsia="Times New Roman" w:hAnsi="Times New Roman" w:cs="Times New Roman"/>
      <w:b/>
      <w:color w:val="000000"/>
    </w:rPr>
  </w:style>
  <w:style w:type="paragraph" w:styleId="Heading4">
    <w:name w:val="heading 4"/>
    <w:next w:val="Normal"/>
    <w:link w:val="Heading4Char"/>
    <w:uiPriority w:val="9"/>
    <w:unhideWhenUsed/>
    <w:qFormat/>
    <w:pPr>
      <w:keepNext/>
      <w:keepLines/>
      <w:spacing w:after="16" w:line="247" w:lineRule="auto"/>
      <w:ind w:left="10" w:hanging="10"/>
      <w:outlineLvl w:val="3"/>
    </w:pPr>
    <w:rPr>
      <w:rFonts w:ascii="Times New Roman" w:eastAsia="Times New Roman" w:hAnsi="Times New Roman" w:cs="Times New Roman"/>
      <w:b/>
      <w:color w:val="000000"/>
    </w:rPr>
  </w:style>
  <w:style w:type="paragraph" w:styleId="Heading5">
    <w:name w:val="heading 5"/>
    <w:next w:val="Normal"/>
    <w:link w:val="Heading5Char"/>
    <w:uiPriority w:val="9"/>
    <w:unhideWhenUsed/>
    <w:qFormat/>
    <w:pPr>
      <w:keepNext/>
      <w:keepLines/>
      <w:spacing w:after="14" w:line="248" w:lineRule="auto"/>
      <w:ind w:left="10" w:hanging="10"/>
      <w:jc w:val="center"/>
      <w:outlineLvl w:val="4"/>
    </w:pPr>
    <w:rPr>
      <w:rFonts w:ascii="Times New Roman" w:eastAsia="Times New Roman" w:hAnsi="Times New Roman" w:cs="Times New Roman"/>
      <w:b/>
      <w:color w:val="000000"/>
    </w:rPr>
  </w:style>
  <w:style w:type="paragraph" w:styleId="Heading6">
    <w:name w:val="heading 6"/>
    <w:next w:val="Normal"/>
    <w:link w:val="Heading6Char"/>
    <w:uiPriority w:val="9"/>
    <w:unhideWhenUsed/>
    <w:qFormat/>
    <w:pPr>
      <w:keepNext/>
      <w:keepLines/>
      <w:spacing w:after="16" w:line="247" w:lineRule="auto"/>
      <w:ind w:left="10" w:hanging="10"/>
      <w:outlineLvl w:val="5"/>
    </w:pPr>
    <w:rPr>
      <w:rFonts w:ascii="Times New Roman" w:eastAsia="Times New Roman" w:hAnsi="Times New Roman" w:cs="Times New Roman"/>
      <w:b/>
      <w:color w:val="000000"/>
    </w:rPr>
  </w:style>
  <w:style w:type="paragraph" w:styleId="Heading7">
    <w:name w:val="heading 7"/>
    <w:next w:val="Normal"/>
    <w:link w:val="Heading7Char"/>
    <w:uiPriority w:val="9"/>
    <w:unhideWhenUsed/>
    <w:qFormat/>
    <w:pPr>
      <w:keepNext/>
      <w:keepLines/>
      <w:spacing w:after="16" w:line="247" w:lineRule="auto"/>
      <w:ind w:left="10" w:hanging="10"/>
      <w:outlineLvl w:val="6"/>
    </w:pPr>
    <w:rPr>
      <w:rFonts w:ascii="Times New Roman" w:eastAsia="Times New Roman" w:hAnsi="Times New Roman" w:cs="Times New Roman"/>
      <w:b/>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40"/>
    </w:rPr>
  </w:style>
  <w:style w:type="paragraph" w:customStyle="1" w:styleId="footnotedescription">
    <w:name w:val="footnote description"/>
    <w:next w:val="Normal"/>
    <w:link w:val="footnotedescriptionChar"/>
    <w:hidden/>
    <w:pPr>
      <w:spacing w:after="0"/>
      <w:ind w:left="540"/>
    </w:pPr>
    <w:rPr>
      <w:rFonts w:ascii="Times New Roman" w:eastAsia="Times New Roman" w:hAnsi="Times New Roman" w:cs="Times New Roman"/>
      <w:color w:val="000000"/>
      <w:sz w:val="16"/>
    </w:rPr>
  </w:style>
  <w:style w:type="character" w:customStyle="1" w:styleId="footnotedescriptionChar">
    <w:name w:val="footnote description Char"/>
    <w:link w:val="footnotedescription"/>
    <w:rPr>
      <w:rFonts w:ascii="Times New Roman" w:eastAsia="Times New Roman" w:hAnsi="Times New Roman" w:cs="Times New Roman"/>
      <w:color w:val="000000"/>
      <w:sz w:val="16"/>
    </w:rPr>
  </w:style>
  <w:style w:type="character" w:customStyle="1" w:styleId="Heading2Char">
    <w:name w:val="Heading 2 Char"/>
    <w:link w:val="Heading2"/>
    <w:rPr>
      <w:rFonts w:ascii="Times New Roman" w:eastAsia="Times New Roman" w:hAnsi="Times New Roman" w:cs="Times New Roman"/>
      <w:b/>
      <w:color w:val="000000"/>
      <w:sz w:val="24"/>
    </w:rPr>
  </w:style>
  <w:style w:type="character" w:customStyle="1" w:styleId="Heading4Char">
    <w:name w:val="Heading 4 Char"/>
    <w:link w:val="Heading4"/>
    <w:rPr>
      <w:rFonts w:ascii="Times New Roman" w:eastAsia="Times New Roman" w:hAnsi="Times New Roman" w:cs="Times New Roman"/>
      <w:b/>
      <w:color w:val="000000"/>
      <w:sz w:val="22"/>
    </w:rPr>
  </w:style>
  <w:style w:type="character" w:customStyle="1" w:styleId="Heading6Char">
    <w:name w:val="Heading 6 Char"/>
    <w:link w:val="Heading6"/>
    <w:rPr>
      <w:rFonts w:ascii="Times New Roman" w:eastAsia="Times New Roman" w:hAnsi="Times New Roman" w:cs="Times New Roman"/>
      <w:b/>
      <w:color w:val="000000"/>
      <w:sz w:val="22"/>
    </w:rPr>
  </w:style>
  <w:style w:type="character" w:customStyle="1" w:styleId="Heading7Char">
    <w:name w:val="Heading 7 Char"/>
    <w:link w:val="Heading7"/>
    <w:rPr>
      <w:rFonts w:ascii="Times New Roman" w:eastAsia="Times New Roman" w:hAnsi="Times New Roman" w:cs="Times New Roman"/>
      <w:b/>
      <w:color w:val="000000"/>
      <w:sz w:val="22"/>
    </w:rPr>
  </w:style>
  <w:style w:type="character" w:customStyle="1" w:styleId="Heading3Char">
    <w:name w:val="Heading 3 Char"/>
    <w:link w:val="Heading3"/>
    <w:rPr>
      <w:rFonts w:ascii="Times New Roman" w:eastAsia="Times New Roman" w:hAnsi="Times New Roman" w:cs="Times New Roman"/>
      <w:b/>
      <w:color w:val="000000"/>
      <w:sz w:val="22"/>
    </w:rPr>
  </w:style>
  <w:style w:type="character" w:customStyle="1" w:styleId="Heading5Char">
    <w:name w:val="Heading 5 Char"/>
    <w:link w:val="Heading5"/>
    <w:uiPriority w:val="9"/>
    <w:rPr>
      <w:rFonts w:ascii="Times New Roman" w:eastAsia="Times New Roman" w:hAnsi="Times New Roman" w:cs="Times New Roman"/>
      <w:b/>
      <w:color w:val="000000"/>
      <w:sz w:val="22"/>
    </w:rPr>
  </w:style>
  <w:style w:type="character" w:customStyle="1" w:styleId="footnotemark">
    <w:name w:val="footnote mark"/>
    <w:hidden/>
    <w:rPr>
      <w:rFonts w:ascii="Times New Roman" w:eastAsia="Times New Roman" w:hAnsi="Times New Roman" w:cs="Times New Roman"/>
      <w:b/>
      <w:color w:val="000000"/>
      <w:sz w:val="16"/>
      <w:vertAlign w:val="superscript"/>
    </w:rPr>
  </w:style>
  <w:style w:type="table" w:customStyle="1" w:styleId="TableGrid1">
    <w:name w:val="Table Grid1"/>
    <w:pPr>
      <w:spacing w:after="0" w:line="240" w:lineRule="auto"/>
    </w:pPr>
    <w:tblPr>
      <w:tblCellMar>
        <w:top w:w="0" w:type="dxa"/>
        <w:left w:w="0" w:type="dxa"/>
        <w:bottom w:w="0" w:type="dxa"/>
        <w:right w:w="0" w:type="dxa"/>
      </w:tblCellMar>
    </w:tblPr>
  </w:style>
  <w:style w:type="character" w:styleId="CommentReference">
    <w:name w:val="annotation reference"/>
    <w:basedOn w:val="DefaultParagraphFont"/>
    <w:uiPriority w:val="99"/>
    <w:semiHidden/>
    <w:unhideWhenUsed/>
    <w:rsid w:val="00156132"/>
    <w:rPr>
      <w:sz w:val="16"/>
      <w:szCs w:val="16"/>
    </w:rPr>
  </w:style>
  <w:style w:type="paragraph" w:styleId="CommentText">
    <w:name w:val="annotation text"/>
    <w:basedOn w:val="Normal"/>
    <w:link w:val="CommentTextChar"/>
    <w:uiPriority w:val="99"/>
    <w:unhideWhenUsed/>
    <w:rsid w:val="00156132"/>
    <w:pPr>
      <w:spacing w:line="240" w:lineRule="auto"/>
    </w:pPr>
    <w:rPr>
      <w:sz w:val="20"/>
      <w:szCs w:val="20"/>
    </w:rPr>
  </w:style>
  <w:style w:type="character" w:customStyle="1" w:styleId="CommentTextChar">
    <w:name w:val="Comment Text Char"/>
    <w:basedOn w:val="DefaultParagraphFont"/>
    <w:link w:val="CommentText"/>
    <w:uiPriority w:val="99"/>
    <w:rsid w:val="00156132"/>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156132"/>
    <w:rPr>
      <w:b/>
      <w:bCs/>
    </w:rPr>
  </w:style>
  <w:style w:type="character" w:customStyle="1" w:styleId="CommentSubjectChar">
    <w:name w:val="Comment Subject Char"/>
    <w:basedOn w:val="CommentTextChar"/>
    <w:link w:val="CommentSubject"/>
    <w:uiPriority w:val="99"/>
    <w:semiHidden/>
    <w:rsid w:val="00156132"/>
    <w:rPr>
      <w:rFonts w:ascii="Times New Roman" w:eastAsia="Times New Roman" w:hAnsi="Times New Roman" w:cs="Times New Roman"/>
      <w:b/>
      <w:bCs/>
      <w:color w:val="000000"/>
      <w:sz w:val="20"/>
      <w:szCs w:val="20"/>
    </w:rPr>
  </w:style>
  <w:style w:type="paragraph" w:styleId="BalloonText">
    <w:name w:val="Balloon Text"/>
    <w:basedOn w:val="Normal"/>
    <w:link w:val="BalloonTextChar"/>
    <w:uiPriority w:val="99"/>
    <w:semiHidden/>
    <w:unhideWhenUsed/>
    <w:rsid w:val="0015613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6132"/>
    <w:rPr>
      <w:rFonts w:ascii="Segoe UI" w:eastAsia="Times New Roman" w:hAnsi="Segoe UI" w:cs="Segoe UI"/>
      <w:color w:val="000000"/>
      <w:sz w:val="18"/>
      <w:szCs w:val="18"/>
    </w:rPr>
  </w:style>
  <w:style w:type="paragraph" w:styleId="ListParagraph">
    <w:name w:val="List Paragraph"/>
    <w:basedOn w:val="Normal"/>
    <w:uiPriority w:val="34"/>
    <w:qFormat/>
    <w:rsid w:val="0033677C"/>
    <w:pPr>
      <w:ind w:left="720"/>
      <w:contextualSpacing/>
    </w:pPr>
  </w:style>
  <w:style w:type="paragraph" w:styleId="Header">
    <w:name w:val="header"/>
    <w:basedOn w:val="Normal"/>
    <w:link w:val="HeaderChar"/>
    <w:uiPriority w:val="99"/>
    <w:unhideWhenUsed/>
    <w:rsid w:val="00FE1D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1DA4"/>
    <w:rPr>
      <w:rFonts w:ascii="Times New Roman" w:eastAsia="Times New Roman" w:hAnsi="Times New Roman" w:cs="Times New Roman"/>
      <w:color w:val="000000"/>
    </w:rPr>
  </w:style>
  <w:style w:type="paragraph" w:styleId="Footer">
    <w:name w:val="footer"/>
    <w:basedOn w:val="Normal"/>
    <w:link w:val="FooterChar"/>
    <w:uiPriority w:val="99"/>
    <w:unhideWhenUsed/>
    <w:rsid w:val="00FE1D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1DA4"/>
    <w:rPr>
      <w:rFonts w:ascii="Times New Roman" w:eastAsia="Times New Roman" w:hAnsi="Times New Roman" w:cs="Times New Roman"/>
      <w:color w:val="000000"/>
    </w:rPr>
  </w:style>
  <w:style w:type="paragraph" w:styleId="Revision">
    <w:name w:val="Revision"/>
    <w:hidden/>
    <w:uiPriority w:val="99"/>
    <w:semiHidden/>
    <w:rsid w:val="003007C0"/>
    <w:pPr>
      <w:spacing w:after="0" w:line="240" w:lineRule="auto"/>
    </w:pPr>
    <w:rPr>
      <w:rFonts w:ascii="Times New Roman" w:eastAsia="Times New Roman" w:hAnsi="Times New Roman" w:cs="Times New Roman"/>
      <w:color w:val="000000"/>
    </w:rPr>
  </w:style>
  <w:style w:type="character" w:styleId="Hyperlink">
    <w:name w:val="Hyperlink"/>
    <w:basedOn w:val="DefaultParagraphFont"/>
    <w:uiPriority w:val="99"/>
    <w:unhideWhenUsed/>
    <w:rsid w:val="00D53309"/>
    <w:rPr>
      <w:color w:val="5F5F5F" w:themeColor="hyperlink"/>
      <w:u w:val="single"/>
    </w:rPr>
  </w:style>
  <w:style w:type="character" w:styleId="UnresolvedMention">
    <w:name w:val="Unresolved Mention"/>
    <w:basedOn w:val="DefaultParagraphFont"/>
    <w:uiPriority w:val="99"/>
    <w:unhideWhenUsed/>
    <w:rsid w:val="00D53309"/>
    <w:rPr>
      <w:color w:val="605E5C"/>
      <w:shd w:val="clear" w:color="auto" w:fill="E1DFDD"/>
    </w:rPr>
  </w:style>
  <w:style w:type="character" w:styleId="FollowedHyperlink">
    <w:name w:val="FollowedHyperlink"/>
    <w:basedOn w:val="DefaultParagraphFont"/>
    <w:uiPriority w:val="99"/>
    <w:semiHidden/>
    <w:unhideWhenUsed/>
    <w:rsid w:val="008716A7"/>
    <w:rPr>
      <w:color w:val="919191" w:themeColor="followedHyperlink"/>
      <w:u w:val="single"/>
    </w:rPr>
  </w:style>
  <w:style w:type="character" w:styleId="Mention">
    <w:name w:val="Mention"/>
    <w:basedOn w:val="DefaultParagraphFont"/>
    <w:uiPriority w:val="99"/>
    <w:unhideWhenUsed/>
    <w:rsid w:val="000B63CE"/>
    <w:rPr>
      <w:color w:val="2B579A"/>
      <w:shd w:val="clear" w:color="auto" w:fill="E1DFDD"/>
    </w:rPr>
  </w:style>
  <w:style w:type="paragraph" w:styleId="FootnoteText">
    <w:name w:val="footnote text"/>
    <w:basedOn w:val="Normal"/>
    <w:link w:val="FootnoteTextChar"/>
    <w:uiPriority w:val="99"/>
    <w:semiHidden/>
    <w:unhideWhenUsed/>
    <w:rsid w:val="007D12A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D12A3"/>
    <w:rPr>
      <w:rFonts w:ascii="Times New Roman" w:eastAsia="Times New Roman" w:hAnsi="Times New Roman" w:cs="Times New Roman"/>
      <w:color w:val="000000"/>
      <w:sz w:val="20"/>
      <w:szCs w:val="20"/>
    </w:rPr>
  </w:style>
  <w:style w:type="paragraph" w:styleId="EndnoteText">
    <w:name w:val="endnote text"/>
    <w:basedOn w:val="Normal"/>
    <w:link w:val="EndnoteTextChar"/>
    <w:uiPriority w:val="99"/>
    <w:semiHidden/>
    <w:unhideWhenUsed/>
    <w:rsid w:val="007D12A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D12A3"/>
    <w:rPr>
      <w:rFonts w:ascii="Times New Roman" w:eastAsia="Times New Roman" w:hAnsi="Times New Roman" w:cs="Times New Roman"/>
      <w:color w:val="000000"/>
      <w:sz w:val="20"/>
      <w:szCs w:val="20"/>
    </w:rPr>
  </w:style>
  <w:style w:type="character" w:styleId="FootnoteReference">
    <w:name w:val="footnote reference"/>
    <w:basedOn w:val="DefaultParagraphFont"/>
    <w:uiPriority w:val="99"/>
    <w:semiHidden/>
    <w:unhideWhenUsed/>
    <w:rsid w:val="007D12A3"/>
    <w:rPr>
      <w:vertAlign w:val="superscript"/>
    </w:rPr>
  </w:style>
  <w:style w:type="character" w:styleId="EndnoteReference">
    <w:name w:val="endnote reference"/>
    <w:basedOn w:val="DefaultParagraphFont"/>
    <w:uiPriority w:val="99"/>
    <w:semiHidden/>
    <w:unhideWhenUsed/>
    <w:rsid w:val="007D12A3"/>
    <w:rPr>
      <w:vertAlign w:val="superscript"/>
    </w:rPr>
  </w:style>
  <w:style w:type="character" w:styleId="PageNumber">
    <w:name w:val="page number"/>
    <w:basedOn w:val="DefaultParagraphFont"/>
    <w:uiPriority w:val="99"/>
    <w:semiHidden/>
    <w:unhideWhenUsed/>
    <w:rsid w:val="00DD3A2A"/>
  </w:style>
  <w:style w:type="paragraph" w:styleId="NoSpacing">
    <w:name w:val="No Spacing"/>
    <w:uiPriority w:val="1"/>
    <w:qFormat/>
    <w:rsid w:val="00EC03D7"/>
    <w:pPr>
      <w:spacing w:after="0" w:line="240" w:lineRule="auto"/>
      <w:ind w:left="10" w:right="230" w:hanging="10"/>
    </w:pPr>
    <w:rPr>
      <w:rFonts w:ascii="Times New Roman" w:eastAsia="Times New Roman" w:hAnsi="Times New Roman" w:cs="Times New Roman"/>
      <w:color w:val="000000"/>
    </w:rPr>
  </w:style>
  <w:style w:type="table" w:customStyle="1" w:styleId="TableGrid2">
    <w:name w:val="Table Grid2"/>
    <w:rsid w:val="00907B13"/>
    <w:pPr>
      <w:spacing w:after="0" w:line="240" w:lineRule="auto"/>
    </w:pPr>
    <w:tblPr>
      <w:tblCellMar>
        <w:top w:w="0" w:type="dxa"/>
        <w:left w:w="0" w:type="dxa"/>
        <w:bottom w:w="0" w:type="dxa"/>
        <w:right w:w="0" w:type="dxa"/>
      </w:tblCellMar>
    </w:tblPr>
  </w:style>
  <w:style w:type="paragraph" w:styleId="TOCHeading">
    <w:name w:val="TOC Heading"/>
    <w:basedOn w:val="Heading1"/>
    <w:next w:val="Normal"/>
    <w:uiPriority w:val="39"/>
    <w:unhideWhenUsed/>
    <w:qFormat/>
    <w:rsid w:val="006E068D"/>
    <w:pPr>
      <w:spacing w:before="240"/>
      <w:ind w:left="0" w:right="0" w:firstLine="0"/>
      <w:jc w:val="left"/>
      <w:outlineLvl w:val="9"/>
    </w:pPr>
    <w:rPr>
      <w:rFonts w:asciiTheme="majorHAnsi" w:eastAsiaTheme="majorEastAsia" w:hAnsiTheme="majorHAnsi" w:cstheme="majorBidi"/>
      <w:b w:val="0"/>
      <w:color w:val="A5A5A5" w:themeColor="accent1" w:themeShade="BF"/>
      <w:sz w:val="32"/>
      <w:szCs w:val="32"/>
    </w:rPr>
  </w:style>
  <w:style w:type="paragraph" w:styleId="TOC1">
    <w:name w:val="toc 1"/>
    <w:basedOn w:val="Normal"/>
    <w:next w:val="Normal"/>
    <w:autoRedefine/>
    <w:uiPriority w:val="39"/>
    <w:unhideWhenUsed/>
    <w:rsid w:val="00D67FC4"/>
    <w:pPr>
      <w:numPr>
        <w:numId w:val="64"/>
      </w:numPr>
      <w:tabs>
        <w:tab w:val="right" w:leader="dot" w:pos="10192"/>
      </w:tabs>
      <w:spacing w:line="240" w:lineRule="auto"/>
    </w:pPr>
  </w:style>
  <w:style w:type="paragraph" w:styleId="TOC2">
    <w:name w:val="toc 2"/>
    <w:basedOn w:val="Normal"/>
    <w:next w:val="Normal"/>
    <w:autoRedefine/>
    <w:uiPriority w:val="39"/>
    <w:unhideWhenUsed/>
    <w:rsid w:val="006E068D"/>
    <w:pPr>
      <w:spacing w:after="100"/>
      <w:ind w:left="220"/>
    </w:pPr>
  </w:style>
  <w:style w:type="paragraph" w:styleId="TOC3">
    <w:name w:val="toc 3"/>
    <w:basedOn w:val="Normal"/>
    <w:next w:val="Normal"/>
    <w:autoRedefine/>
    <w:uiPriority w:val="39"/>
    <w:unhideWhenUsed/>
    <w:rsid w:val="006E068D"/>
    <w:pPr>
      <w:tabs>
        <w:tab w:val="right" w:leader="dot" w:pos="10192"/>
      </w:tabs>
      <w:spacing w:after="100"/>
      <w:ind w:left="440"/>
    </w:pPr>
    <w:rPr>
      <w:strike/>
      <w:noProof/>
    </w:rPr>
  </w:style>
  <w:style w:type="character" w:styleId="PlaceholderText">
    <w:name w:val="Placeholder Text"/>
    <w:basedOn w:val="DefaultParagraphFont"/>
    <w:uiPriority w:val="99"/>
    <w:semiHidden/>
    <w:rsid w:val="00A84134"/>
    <w:rPr>
      <w:color w:val="808080"/>
    </w:rPr>
  </w:style>
  <w:style w:type="table" w:styleId="TableGrid">
    <w:name w:val="Table Grid"/>
    <w:basedOn w:val="TableNormal"/>
    <w:uiPriority w:val="39"/>
    <w:rsid w:val="00F9254D"/>
    <w:pPr>
      <w:spacing w:after="0" w:line="240" w:lineRule="auto"/>
    </w:pPr>
    <w:rPr>
      <w:rFonts w:eastAsiaTheme="minorHAnsi"/>
    </w:rPr>
    <w:tblPr/>
  </w:style>
  <w:style w:type="paragraph" w:customStyle="1" w:styleId="Default">
    <w:name w:val="Default"/>
    <w:rsid w:val="00E64707"/>
    <w:pPr>
      <w:autoSpaceDE w:val="0"/>
      <w:autoSpaceDN w:val="0"/>
      <w:adjustRightInd w:val="0"/>
      <w:spacing w:after="0" w:line="240" w:lineRule="auto"/>
    </w:pPr>
    <w:rPr>
      <w:rFonts w:ascii="Courier New" w:hAnsi="Courier New" w:cs="Courier New"/>
      <w:color w:val="000000"/>
      <w:sz w:val="24"/>
      <w:szCs w:val="24"/>
    </w:rPr>
  </w:style>
  <w:style w:type="paragraph" w:customStyle="1" w:styleId="CM27">
    <w:name w:val="CM27"/>
    <w:basedOn w:val="Default"/>
    <w:next w:val="Default"/>
    <w:uiPriority w:val="99"/>
    <w:rsid w:val="00093377"/>
    <w:pPr>
      <w:spacing w:line="246" w:lineRule="atLeast"/>
    </w:pPr>
    <w:rPr>
      <w:rFonts w:ascii="Arial" w:hAnsi="Arial" w:cs="Arial"/>
      <w:color w:val="auto"/>
    </w:rPr>
  </w:style>
  <w:style w:type="paragraph" w:styleId="BodyText2">
    <w:name w:val="Body Text 2"/>
    <w:basedOn w:val="Normal"/>
    <w:link w:val="BodyText2Char"/>
    <w:rsid w:val="0096210C"/>
    <w:pPr>
      <w:spacing w:after="120" w:line="259" w:lineRule="auto"/>
      <w:ind w:left="1080" w:right="0" w:firstLine="0"/>
    </w:pPr>
    <w:rPr>
      <w:rFonts w:ascii="Arial" w:hAnsi="Arial"/>
      <w:color w:val="auto"/>
      <w:sz w:val="20"/>
      <w:szCs w:val="20"/>
    </w:rPr>
  </w:style>
  <w:style w:type="character" w:customStyle="1" w:styleId="BodyText2Char">
    <w:name w:val="Body Text 2 Char"/>
    <w:basedOn w:val="DefaultParagraphFont"/>
    <w:link w:val="BodyText2"/>
    <w:rsid w:val="0096210C"/>
    <w:rPr>
      <w:rFonts w:ascii="Arial" w:eastAsia="Times New Roman" w:hAnsi="Arial" w:cs="Times New Roman"/>
      <w:sz w:val="20"/>
      <w:szCs w:val="20"/>
    </w:rPr>
  </w:style>
  <w:style w:type="table" w:styleId="TableGridLight">
    <w:name w:val="Grid Table Light"/>
    <w:basedOn w:val="TableNormal"/>
    <w:uiPriority w:val="40"/>
    <w:rsid w:val="00343D5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343D5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343D5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LineNumber">
    <w:name w:val="line number"/>
    <w:basedOn w:val="DefaultParagraphFont"/>
    <w:uiPriority w:val="99"/>
    <w:semiHidden/>
    <w:unhideWhenUsed/>
    <w:rsid w:val="005A77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6604553">
      <w:bodyDiv w:val="1"/>
      <w:marLeft w:val="0"/>
      <w:marRight w:val="0"/>
      <w:marTop w:val="0"/>
      <w:marBottom w:val="0"/>
      <w:divBdr>
        <w:top w:val="none" w:sz="0" w:space="0" w:color="auto"/>
        <w:left w:val="none" w:sz="0" w:space="0" w:color="auto"/>
        <w:bottom w:val="none" w:sz="0" w:space="0" w:color="auto"/>
        <w:right w:val="none" w:sz="0" w:space="0" w:color="auto"/>
      </w:divBdr>
    </w:div>
    <w:div w:id="261114351">
      <w:bodyDiv w:val="1"/>
      <w:marLeft w:val="0"/>
      <w:marRight w:val="0"/>
      <w:marTop w:val="0"/>
      <w:marBottom w:val="0"/>
      <w:divBdr>
        <w:top w:val="none" w:sz="0" w:space="0" w:color="auto"/>
        <w:left w:val="none" w:sz="0" w:space="0" w:color="auto"/>
        <w:bottom w:val="none" w:sz="0" w:space="0" w:color="auto"/>
        <w:right w:val="none" w:sz="0" w:space="0" w:color="auto"/>
      </w:divBdr>
    </w:div>
    <w:div w:id="984891466">
      <w:bodyDiv w:val="1"/>
      <w:marLeft w:val="0"/>
      <w:marRight w:val="0"/>
      <w:marTop w:val="0"/>
      <w:marBottom w:val="0"/>
      <w:divBdr>
        <w:top w:val="none" w:sz="0" w:space="0" w:color="auto"/>
        <w:left w:val="none" w:sz="0" w:space="0" w:color="auto"/>
        <w:bottom w:val="none" w:sz="0" w:space="0" w:color="auto"/>
        <w:right w:val="none" w:sz="0" w:space="0" w:color="auto"/>
      </w:divBdr>
    </w:div>
    <w:div w:id="1708607611">
      <w:bodyDiv w:val="1"/>
      <w:marLeft w:val="0"/>
      <w:marRight w:val="0"/>
      <w:marTop w:val="0"/>
      <w:marBottom w:val="0"/>
      <w:divBdr>
        <w:top w:val="none" w:sz="0" w:space="0" w:color="auto"/>
        <w:left w:val="none" w:sz="0" w:space="0" w:color="auto"/>
        <w:bottom w:val="none" w:sz="0" w:space="0" w:color="auto"/>
        <w:right w:val="none" w:sz="0" w:space="0" w:color="auto"/>
      </w:divBdr>
    </w:div>
    <w:div w:id="1766730888">
      <w:bodyDiv w:val="1"/>
      <w:marLeft w:val="0"/>
      <w:marRight w:val="0"/>
      <w:marTop w:val="0"/>
      <w:marBottom w:val="0"/>
      <w:divBdr>
        <w:top w:val="none" w:sz="0" w:space="0" w:color="auto"/>
        <w:left w:val="none" w:sz="0" w:space="0" w:color="auto"/>
        <w:bottom w:val="none" w:sz="0" w:space="0" w:color="auto"/>
        <w:right w:val="none" w:sz="0" w:space="0" w:color="auto"/>
      </w:divBdr>
    </w:div>
    <w:div w:id="2130660479">
      <w:bodyDiv w:val="1"/>
      <w:marLeft w:val="0"/>
      <w:marRight w:val="0"/>
      <w:marTop w:val="0"/>
      <w:marBottom w:val="0"/>
      <w:divBdr>
        <w:top w:val="none" w:sz="0" w:space="0" w:color="auto"/>
        <w:left w:val="none" w:sz="0" w:space="0" w:color="auto"/>
        <w:bottom w:val="none" w:sz="0" w:space="0" w:color="auto"/>
        <w:right w:val="none" w:sz="0" w:space="0" w:color="auto"/>
      </w:divBdr>
      <w:divsChild>
        <w:div w:id="730082310">
          <w:marLeft w:val="0"/>
          <w:marRight w:val="0"/>
          <w:marTop w:val="0"/>
          <w:marBottom w:val="0"/>
          <w:divBdr>
            <w:top w:val="none" w:sz="0" w:space="0" w:color="auto"/>
            <w:left w:val="none" w:sz="0" w:space="0" w:color="auto"/>
            <w:bottom w:val="none" w:sz="0" w:space="0" w:color="auto"/>
            <w:right w:val="none" w:sz="0" w:space="0" w:color="auto"/>
          </w:divBdr>
        </w:div>
      </w:divsChild>
    </w:div>
    <w:div w:id="2136171416">
      <w:bodyDiv w:val="1"/>
      <w:marLeft w:val="0"/>
      <w:marRight w:val="0"/>
      <w:marTop w:val="0"/>
      <w:marBottom w:val="0"/>
      <w:divBdr>
        <w:top w:val="none" w:sz="0" w:space="0" w:color="auto"/>
        <w:left w:val="none" w:sz="0" w:space="0" w:color="auto"/>
        <w:bottom w:val="none" w:sz="0" w:space="0" w:color="auto"/>
        <w:right w:val="none" w:sz="0" w:space="0" w:color="auto"/>
      </w:divBdr>
      <w:divsChild>
        <w:div w:id="1632663951">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epa.gov/dwanalyticalmethods/approved-drinking-water-analytical-methods" TargetMode="External"/><Relationship Id="rId21" Type="http://schemas.openxmlformats.org/officeDocument/2006/relationships/hyperlink" Target="https://www.epa.gov/hw-sw846/sw-846-compendium" TargetMode="External"/><Relationship Id="rId42" Type="http://schemas.openxmlformats.org/officeDocument/2006/relationships/header" Target="header5.xml"/><Relationship Id="rId47" Type="http://schemas.openxmlformats.org/officeDocument/2006/relationships/hyperlink" Target="mailto:OLQChemistry@idem.IN.gov" TargetMode="External"/><Relationship Id="rId63" Type="http://schemas.openxmlformats.org/officeDocument/2006/relationships/header" Target="header8.xml"/><Relationship Id="rId68" Type="http://schemas.openxmlformats.org/officeDocument/2006/relationships/header" Target="header10.xml"/><Relationship Id="rId16" Type="http://schemas.openxmlformats.org/officeDocument/2006/relationships/hyperlink" Target="https://www.epa.gov/hw-sw846/sw-846-compendium" TargetMode="External"/><Relationship Id="rId11" Type="http://schemas.openxmlformats.org/officeDocument/2006/relationships/hyperlink" Target="https://www.govinfo.gov/content/pkg/CZIC-kfn2247-n49-1996/html/CZIC-kfn2247-n49-1996.htm" TargetMode="External"/><Relationship Id="rId24" Type="http://schemas.openxmlformats.org/officeDocument/2006/relationships/hyperlink" Target="https://www.epa.gov/dwanalyticalmethods/approved-drinking-water-analytical-methods" TargetMode="External"/><Relationship Id="rId32" Type="http://schemas.openxmlformats.org/officeDocument/2006/relationships/hyperlink" Target="https://www.epa.gov/dwanalyticalmethods/approved-drinking-water-analytical-methods" TargetMode="External"/><Relationship Id="rId37" Type="http://schemas.openxmlformats.org/officeDocument/2006/relationships/footer" Target="footer1.xml"/><Relationship Id="rId40" Type="http://schemas.openxmlformats.org/officeDocument/2006/relationships/footer" Target="footer3.xml"/><Relationship Id="rId45" Type="http://schemas.openxmlformats.org/officeDocument/2006/relationships/header" Target="header6.xml"/><Relationship Id="rId53" Type="http://schemas.openxmlformats.org/officeDocument/2006/relationships/hyperlink" Target="https://www.epa.gov/clp/epa-contract-laboratory-program-statement-work-inorganic-superfund-methods-multi-media-multi-1" TargetMode="External"/><Relationship Id="rId58" Type="http://schemas.openxmlformats.org/officeDocument/2006/relationships/hyperlink" Target="https://www.epa.gov/clp/epa-contract-laboratory-program-statement-work-inorganic-superfund-methods-multi-media-multi-1" TargetMode="External"/><Relationship Id="rId66" Type="http://schemas.openxmlformats.org/officeDocument/2006/relationships/header" Target="header9.xml"/><Relationship Id="rId74" Type="http://schemas.openxmlformats.org/officeDocument/2006/relationships/header" Target="header14.xml"/><Relationship Id="rId79" Type="http://schemas.openxmlformats.org/officeDocument/2006/relationships/theme" Target="theme/theme1.xml"/><Relationship Id="rId5" Type="http://schemas.openxmlformats.org/officeDocument/2006/relationships/numbering" Target="numbering.xml"/><Relationship Id="rId61" Type="http://schemas.openxmlformats.org/officeDocument/2006/relationships/hyperlink" Target="https://www.epa.gov/clp/superfund-clp-analytical-statements-work-sows" TargetMode="External"/><Relationship Id="rId19" Type="http://schemas.openxmlformats.org/officeDocument/2006/relationships/hyperlink" Target="https://www.epa.gov/hw-sw846/sw-846-compendium" TargetMode="External"/><Relationship Id="rId14" Type="http://schemas.openxmlformats.org/officeDocument/2006/relationships/hyperlink" Target="https://www.standardmethods.org/" TargetMode="External"/><Relationship Id="rId22" Type="http://schemas.openxmlformats.org/officeDocument/2006/relationships/hyperlink" Target="https://www.epa.gov/cwa-methods" TargetMode="External"/><Relationship Id="rId27" Type="http://schemas.openxmlformats.org/officeDocument/2006/relationships/hyperlink" Target="https://www.epa.gov/dwanalyticalmethods/approved-drinking-water-analytical-methods" TargetMode="External"/><Relationship Id="rId30" Type="http://schemas.openxmlformats.org/officeDocument/2006/relationships/hyperlink" Target="https://www.epa.gov/dwanalyticalmethods/approved-drinking-water-analytical-methods" TargetMode="External"/><Relationship Id="rId35" Type="http://schemas.openxmlformats.org/officeDocument/2006/relationships/header" Target="header1.xml"/><Relationship Id="rId43" Type="http://schemas.openxmlformats.org/officeDocument/2006/relationships/footer" Target="footer4.xml"/><Relationship Id="rId48" Type="http://schemas.openxmlformats.org/officeDocument/2006/relationships/hyperlink" Target="https://www.epa.gov/clp/epa-contract-laboratory-program-statement-work-organic-superfund-methods-multi-media-multi-1" TargetMode="External"/><Relationship Id="rId56" Type="http://schemas.openxmlformats.org/officeDocument/2006/relationships/hyperlink" Target="https://www.epa.gov/clp/epa-contract-laboratory-program-statement-work-inorganic-superfund-methods-multi-media-multi-1" TargetMode="External"/><Relationship Id="rId64" Type="http://schemas.openxmlformats.org/officeDocument/2006/relationships/footer" Target="footer7.xml"/><Relationship Id="rId69" Type="http://schemas.openxmlformats.org/officeDocument/2006/relationships/header" Target="header11.xml"/><Relationship Id="rId77" Type="http://schemas.openxmlformats.org/officeDocument/2006/relationships/footer" Target="footer13.xml"/><Relationship Id="rId8" Type="http://schemas.openxmlformats.org/officeDocument/2006/relationships/webSettings" Target="webSettings.xml"/><Relationship Id="rId51" Type="http://schemas.openxmlformats.org/officeDocument/2006/relationships/hyperlink" Target="https://www.epa.gov/clp/epa-contract-laboratory-program-statement-work-organic-superfund-methods-multi-media-multi-1" TargetMode="External"/><Relationship Id="rId72" Type="http://schemas.openxmlformats.org/officeDocument/2006/relationships/footer" Target="footer11.xml"/><Relationship Id="rId3" Type="http://schemas.openxmlformats.org/officeDocument/2006/relationships/customXml" Target="../customXml/item3.xml"/><Relationship Id="rId12" Type="http://schemas.openxmlformats.org/officeDocument/2006/relationships/hyperlink" Target="https://www.epa.gov/cwa-methods" TargetMode="External"/><Relationship Id="rId17" Type="http://schemas.openxmlformats.org/officeDocument/2006/relationships/hyperlink" Target="https://www.epa.gov/hw-sw846/sw-846-compendium" TargetMode="External"/><Relationship Id="rId25" Type="http://schemas.openxmlformats.org/officeDocument/2006/relationships/hyperlink" Target="https://www.epa.gov/dwanalyticalmethods/approved-drinking-water-analytical-methods" TargetMode="External"/><Relationship Id="rId33" Type="http://schemas.openxmlformats.org/officeDocument/2006/relationships/hyperlink" Target="https://www.epa.gov/dwanalyticalmethods/approved-drinking-water-analytical-methods" TargetMode="External"/><Relationship Id="rId38" Type="http://schemas.openxmlformats.org/officeDocument/2006/relationships/footer" Target="footer2.xml"/><Relationship Id="rId46" Type="http://schemas.openxmlformats.org/officeDocument/2006/relationships/footer" Target="footer6.xml"/><Relationship Id="rId59" Type="http://schemas.openxmlformats.org/officeDocument/2006/relationships/hyperlink" Target="https://nelac-institute.org/content/CSDP/standards.php" TargetMode="External"/><Relationship Id="rId67" Type="http://schemas.openxmlformats.org/officeDocument/2006/relationships/footer" Target="footer9.xml"/><Relationship Id="rId20" Type="http://schemas.openxmlformats.org/officeDocument/2006/relationships/hyperlink" Target="https://www.epa.gov/hw-sw846/sw-846-compendium" TargetMode="External"/><Relationship Id="rId41" Type="http://schemas.openxmlformats.org/officeDocument/2006/relationships/header" Target="header4.xml"/><Relationship Id="rId54" Type="http://schemas.openxmlformats.org/officeDocument/2006/relationships/hyperlink" Target="https://www.epa.gov/clp/epa-contract-laboratory-program-statement-work-inorganic-superfund-methods-multi-media-multi-1" TargetMode="External"/><Relationship Id="rId62" Type="http://schemas.openxmlformats.org/officeDocument/2006/relationships/header" Target="header7.xml"/><Relationship Id="rId70" Type="http://schemas.openxmlformats.org/officeDocument/2006/relationships/footer" Target="footer10.xml"/><Relationship Id="rId75"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epa.gov/hw-sw846/sw-846-compendium" TargetMode="External"/><Relationship Id="rId23" Type="http://schemas.openxmlformats.org/officeDocument/2006/relationships/hyperlink" Target="https://www.epa.gov/dwanalyticalmethods" TargetMode="External"/><Relationship Id="rId28" Type="http://schemas.openxmlformats.org/officeDocument/2006/relationships/hyperlink" Target="https://www.epa.gov/dwanalyticalmethods/approved-drinking-water-analytical-methods" TargetMode="External"/><Relationship Id="rId36" Type="http://schemas.openxmlformats.org/officeDocument/2006/relationships/header" Target="header2.xml"/><Relationship Id="rId49" Type="http://schemas.openxmlformats.org/officeDocument/2006/relationships/hyperlink" Target="https://www.epa.gov/clp/epa-contract-laboratory-program-statement-work-organic-superfund-methods-multi-media-multi-1" TargetMode="External"/><Relationship Id="rId57" Type="http://schemas.openxmlformats.org/officeDocument/2006/relationships/hyperlink" Target="https://www.epa.gov/clp/epa-contract-laboratory-program-statement-work-inorganic-superfund-methods-multi-media-multi-1" TargetMode="External"/><Relationship Id="rId10" Type="http://schemas.openxmlformats.org/officeDocument/2006/relationships/endnotes" Target="endnotes.xml"/><Relationship Id="rId31" Type="http://schemas.openxmlformats.org/officeDocument/2006/relationships/hyperlink" Target="https://www.epa.gov/dwanalyticalmethods/approved-drinking-water-analytical-methods" TargetMode="External"/><Relationship Id="rId44" Type="http://schemas.openxmlformats.org/officeDocument/2006/relationships/footer" Target="footer5.xml"/><Relationship Id="rId52" Type="http://schemas.openxmlformats.org/officeDocument/2006/relationships/hyperlink" Target="https://www.epa.gov/clp/epa-contract-laboratory-program-statement-work-organic-superfund-methods-multi-media-multi-1" TargetMode="External"/><Relationship Id="rId60" Type="http://schemas.openxmlformats.org/officeDocument/2006/relationships/hyperlink" Target="https://www.epa.gov/quality/agency-wide-quality-program-documents" TargetMode="External"/><Relationship Id="rId65" Type="http://schemas.openxmlformats.org/officeDocument/2006/relationships/footer" Target="footer8.xml"/><Relationship Id="rId73" Type="http://schemas.openxmlformats.org/officeDocument/2006/relationships/header" Target="header13.xml"/><Relationship Id="rId78"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www.epa.gov/dwanalyticalmethods" TargetMode="External"/><Relationship Id="rId18" Type="http://schemas.openxmlformats.org/officeDocument/2006/relationships/hyperlink" Target="https://www.epa.gov/hw-sw846/sw-846-compendium" TargetMode="External"/><Relationship Id="rId39" Type="http://schemas.openxmlformats.org/officeDocument/2006/relationships/header" Target="header3.xml"/><Relationship Id="rId34" Type="http://schemas.openxmlformats.org/officeDocument/2006/relationships/hyperlink" Target="https://www.epa.gov/amtic/compendium-methods-determination-toxic-organic-compounds-ambient-air" TargetMode="External"/><Relationship Id="rId50" Type="http://schemas.openxmlformats.org/officeDocument/2006/relationships/hyperlink" Target="https://www.epa.gov/clp/epa-contract-laboratory-program-statement-work-organic-superfund-methods-multi-media-multi-1" TargetMode="External"/><Relationship Id="rId55" Type="http://schemas.openxmlformats.org/officeDocument/2006/relationships/hyperlink" Target="https://www.epa.gov/clp/epa-contract-laboratory-program-statement-work-inorganic-superfund-methods-multi-media-multi-1" TargetMode="External"/><Relationship Id="rId76" Type="http://schemas.openxmlformats.org/officeDocument/2006/relationships/header" Target="header15.xml"/><Relationship Id="rId7" Type="http://schemas.openxmlformats.org/officeDocument/2006/relationships/settings" Target="settings.xml"/><Relationship Id="rId71" Type="http://schemas.openxmlformats.org/officeDocument/2006/relationships/header" Target="header12.xml"/><Relationship Id="rId2" Type="http://schemas.openxmlformats.org/officeDocument/2006/relationships/customXml" Target="../customXml/item2.xml"/><Relationship Id="rId29" Type="http://schemas.openxmlformats.org/officeDocument/2006/relationships/hyperlink" Target="https://www.epa.gov/dwanalyticalmethods/approved-drinking-water-analytical-methods" TargetMode="External"/></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17B60A31D2FF64DB0B356596AD66A8C" ma:contentTypeVersion="3" ma:contentTypeDescription="Create a new document." ma:contentTypeScope="" ma:versionID="6355f3e973ac3fe686c303b39bcb2a7c">
  <xsd:schema xmlns:xsd="http://www.w3.org/2001/XMLSchema" xmlns:xs="http://www.w3.org/2001/XMLSchema" xmlns:p="http://schemas.microsoft.com/office/2006/metadata/properties" xmlns:ns2="75a9f5c7-3c1d-48bf-9a2d-924594ad40b8" targetNamespace="http://schemas.microsoft.com/office/2006/metadata/properties" ma:root="true" ma:fieldsID="ba77012e93fe13dd1b2018f46f4f79ae" ns2:_="">
    <xsd:import namespace="75a9f5c7-3c1d-48bf-9a2d-924594ad40b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a9f5c7-3c1d-48bf-9a2d-924594ad40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96A894-CB65-4FB2-885F-569B999AF932}">
  <ds:schemaRefs>
    <ds:schemaRef ds:uri="http://purl.org/dc/terms/"/>
    <ds:schemaRef ds:uri="75a9f5c7-3c1d-48bf-9a2d-924594ad40b8"/>
    <ds:schemaRef ds:uri="http://schemas.microsoft.com/office/2006/documentManagement/types"/>
    <ds:schemaRef ds:uri="http://www.w3.org/XML/1998/namespace"/>
    <ds:schemaRef ds:uri="http://schemas.microsoft.com/office/2006/metadata/properties"/>
    <ds:schemaRef ds:uri="http://schemas.openxmlformats.org/package/2006/metadata/core-properties"/>
    <ds:schemaRef ds:uri="http://schemas.microsoft.com/office/infopath/2007/PartnerControls"/>
    <ds:schemaRef ds:uri="http://purl.org/dc/dcmitype/"/>
    <ds:schemaRef ds:uri="http://purl.org/dc/elements/1.1/"/>
  </ds:schemaRefs>
</ds:datastoreItem>
</file>

<file path=customXml/itemProps2.xml><?xml version="1.0" encoding="utf-8"?>
<ds:datastoreItem xmlns:ds="http://schemas.openxmlformats.org/officeDocument/2006/customXml" ds:itemID="{10A9A2D8-DE34-45DE-AA7E-D2E48C3CC2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a9f5c7-3c1d-48bf-9a2d-924594ad40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713FA97-1441-4B75-AF51-FB201D243B5F}">
  <ds:schemaRefs>
    <ds:schemaRef ds:uri="http://schemas.openxmlformats.org/officeDocument/2006/bibliography"/>
  </ds:schemaRefs>
</ds:datastoreItem>
</file>

<file path=customXml/itemProps4.xml><?xml version="1.0" encoding="utf-8"?>
<ds:datastoreItem xmlns:ds="http://schemas.openxmlformats.org/officeDocument/2006/customXml" ds:itemID="{AF44F887-7E62-4E27-ACDB-60B4098F85B2}">
  <ds:schemaRefs>
    <ds:schemaRef ds:uri="http://schemas.microsoft.com/sharepoint/v3/contenttype/forms"/>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Normal.dotm</Template>
  <TotalTime>16120</TotalTime>
  <Pages>178</Pages>
  <Words>59452</Words>
  <Characters>338883</Characters>
  <Application>Microsoft Office Word</Application>
  <DocSecurity>0</DocSecurity>
  <Lines>2824</Lines>
  <Paragraphs>795</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397540</CharactersWithSpaces>
  <SharedDoc>false</SharedDoc>
  <HLinks>
    <vt:vector size="234" baseType="variant">
      <vt:variant>
        <vt:i4>5439582</vt:i4>
      </vt:variant>
      <vt:variant>
        <vt:i4>114</vt:i4>
      </vt:variant>
      <vt:variant>
        <vt:i4>0</vt:i4>
      </vt:variant>
      <vt:variant>
        <vt:i4>5</vt:i4>
      </vt:variant>
      <vt:variant>
        <vt:lpwstr>https://www.epa.gov/clp/superfund-clp-analytical-statements-work-sows</vt:lpwstr>
      </vt:variant>
      <vt:variant>
        <vt:lpwstr/>
      </vt:variant>
      <vt:variant>
        <vt:i4>4718615</vt:i4>
      </vt:variant>
      <vt:variant>
        <vt:i4>111</vt:i4>
      </vt:variant>
      <vt:variant>
        <vt:i4>0</vt:i4>
      </vt:variant>
      <vt:variant>
        <vt:i4>5</vt:i4>
      </vt:variant>
      <vt:variant>
        <vt:lpwstr>https://www.epa.gov/quality/agency-wide-quality-program-documents</vt:lpwstr>
      </vt:variant>
      <vt:variant>
        <vt:lpwstr/>
      </vt:variant>
      <vt:variant>
        <vt:i4>8323111</vt:i4>
      </vt:variant>
      <vt:variant>
        <vt:i4>108</vt:i4>
      </vt:variant>
      <vt:variant>
        <vt:i4>0</vt:i4>
      </vt:variant>
      <vt:variant>
        <vt:i4>5</vt:i4>
      </vt:variant>
      <vt:variant>
        <vt:lpwstr>https://nelac-institute.org/content/CSDP/standards.php</vt:lpwstr>
      </vt:variant>
      <vt:variant>
        <vt:lpwstr/>
      </vt:variant>
      <vt:variant>
        <vt:i4>3276845</vt:i4>
      </vt:variant>
      <vt:variant>
        <vt:i4>105</vt:i4>
      </vt:variant>
      <vt:variant>
        <vt:i4>0</vt:i4>
      </vt:variant>
      <vt:variant>
        <vt:i4>5</vt:i4>
      </vt:variant>
      <vt:variant>
        <vt:lpwstr>https://www.epa.gov/clp/epa-contract-laboratory-program-statement-work-inorganic-superfund-methods-multi-media-multi-1</vt:lpwstr>
      </vt:variant>
      <vt:variant>
        <vt:lpwstr/>
      </vt:variant>
      <vt:variant>
        <vt:i4>3276845</vt:i4>
      </vt:variant>
      <vt:variant>
        <vt:i4>102</vt:i4>
      </vt:variant>
      <vt:variant>
        <vt:i4>0</vt:i4>
      </vt:variant>
      <vt:variant>
        <vt:i4>5</vt:i4>
      </vt:variant>
      <vt:variant>
        <vt:lpwstr>https://www.epa.gov/clp/epa-contract-laboratory-program-statement-work-inorganic-superfund-methods-multi-media-multi-1</vt:lpwstr>
      </vt:variant>
      <vt:variant>
        <vt:lpwstr/>
      </vt:variant>
      <vt:variant>
        <vt:i4>3276845</vt:i4>
      </vt:variant>
      <vt:variant>
        <vt:i4>99</vt:i4>
      </vt:variant>
      <vt:variant>
        <vt:i4>0</vt:i4>
      </vt:variant>
      <vt:variant>
        <vt:i4>5</vt:i4>
      </vt:variant>
      <vt:variant>
        <vt:lpwstr>https://www.epa.gov/clp/epa-contract-laboratory-program-statement-work-inorganic-superfund-methods-multi-media-multi-1</vt:lpwstr>
      </vt:variant>
      <vt:variant>
        <vt:lpwstr/>
      </vt:variant>
      <vt:variant>
        <vt:i4>3276845</vt:i4>
      </vt:variant>
      <vt:variant>
        <vt:i4>96</vt:i4>
      </vt:variant>
      <vt:variant>
        <vt:i4>0</vt:i4>
      </vt:variant>
      <vt:variant>
        <vt:i4>5</vt:i4>
      </vt:variant>
      <vt:variant>
        <vt:lpwstr>https://www.epa.gov/clp/epa-contract-laboratory-program-statement-work-inorganic-superfund-methods-multi-media-multi-1</vt:lpwstr>
      </vt:variant>
      <vt:variant>
        <vt:lpwstr/>
      </vt:variant>
      <vt:variant>
        <vt:i4>3276845</vt:i4>
      </vt:variant>
      <vt:variant>
        <vt:i4>93</vt:i4>
      </vt:variant>
      <vt:variant>
        <vt:i4>0</vt:i4>
      </vt:variant>
      <vt:variant>
        <vt:i4>5</vt:i4>
      </vt:variant>
      <vt:variant>
        <vt:lpwstr>https://www.epa.gov/clp/epa-contract-laboratory-program-statement-work-inorganic-superfund-methods-multi-media-multi-1</vt:lpwstr>
      </vt:variant>
      <vt:variant>
        <vt:lpwstr/>
      </vt:variant>
      <vt:variant>
        <vt:i4>3276845</vt:i4>
      </vt:variant>
      <vt:variant>
        <vt:i4>90</vt:i4>
      </vt:variant>
      <vt:variant>
        <vt:i4>0</vt:i4>
      </vt:variant>
      <vt:variant>
        <vt:i4>5</vt:i4>
      </vt:variant>
      <vt:variant>
        <vt:lpwstr>https://www.epa.gov/clp/epa-contract-laboratory-program-statement-work-inorganic-superfund-methods-multi-media-multi-1</vt:lpwstr>
      </vt:variant>
      <vt:variant>
        <vt:lpwstr/>
      </vt:variant>
      <vt:variant>
        <vt:i4>5963843</vt:i4>
      </vt:variant>
      <vt:variant>
        <vt:i4>87</vt:i4>
      </vt:variant>
      <vt:variant>
        <vt:i4>0</vt:i4>
      </vt:variant>
      <vt:variant>
        <vt:i4>5</vt:i4>
      </vt:variant>
      <vt:variant>
        <vt:lpwstr>https://www.epa.gov/clp/epa-contract-laboratory-program-statement-work-organic-superfund-methods-multi-media-multi-1</vt:lpwstr>
      </vt:variant>
      <vt:variant>
        <vt:lpwstr/>
      </vt:variant>
      <vt:variant>
        <vt:i4>5963843</vt:i4>
      </vt:variant>
      <vt:variant>
        <vt:i4>84</vt:i4>
      </vt:variant>
      <vt:variant>
        <vt:i4>0</vt:i4>
      </vt:variant>
      <vt:variant>
        <vt:i4>5</vt:i4>
      </vt:variant>
      <vt:variant>
        <vt:lpwstr>https://www.epa.gov/clp/epa-contract-laboratory-program-statement-work-organic-superfund-methods-multi-media-multi-1</vt:lpwstr>
      </vt:variant>
      <vt:variant>
        <vt:lpwstr/>
      </vt:variant>
      <vt:variant>
        <vt:i4>5963843</vt:i4>
      </vt:variant>
      <vt:variant>
        <vt:i4>81</vt:i4>
      </vt:variant>
      <vt:variant>
        <vt:i4>0</vt:i4>
      </vt:variant>
      <vt:variant>
        <vt:i4>5</vt:i4>
      </vt:variant>
      <vt:variant>
        <vt:lpwstr>https://www.epa.gov/clp/epa-contract-laboratory-program-statement-work-organic-superfund-methods-multi-media-multi-1</vt:lpwstr>
      </vt:variant>
      <vt:variant>
        <vt:lpwstr/>
      </vt:variant>
      <vt:variant>
        <vt:i4>5963843</vt:i4>
      </vt:variant>
      <vt:variant>
        <vt:i4>78</vt:i4>
      </vt:variant>
      <vt:variant>
        <vt:i4>0</vt:i4>
      </vt:variant>
      <vt:variant>
        <vt:i4>5</vt:i4>
      </vt:variant>
      <vt:variant>
        <vt:lpwstr>https://www.epa.gov/clp/epa-contract-laboratory-program-statement-work-organic-superfund-methods-multi-media-multi-1</vt:lpwstr>
      </vt:variant>
      <vt:variant>
        <vt:lpwstr/>
      </vt:variant>
      <vt:variant>
        <vt:i4>5963843</vt:i4>
      </vt:variant>
      <vt:variant>
        <vt:i4>75</vt:i4>
      </vt:variant>
      <vt:variant>
        <vt:i4>0</vt:i4>
      </vt:variant>
      <vt:variant>
        <vt:i4>5</vt:i4>
      </vt:variant>
      <vt:variant>
        <vt:lpwstr>https://www.epa.gov/clp/epa-contract-laboratory-program-statement-work-organic-superfund-methods-multi-media-multi-1</vt:lpwstr>
      </vt:variant>
      <vt:variant>
        <vt:lpwstr/>
      </vt:variant>
      <vt:variant>
        <vt:i4>1638511</vt:i4>
      </vt:variant>
      <vt:variant>
        <vt:i4>72</vt:i4>
      </vt:variant>
      <vt:variant>
        <vt:i4>0</vt:i4>
      </vt:variant>
      <vt:variant>
        <vt:i4>5</vt:i4>
      </vt:variant>
      <vt:variant>
        <vt:lpwstr>mailto:OLQChemistry@idem.IN.gov</vt:lpwstr>
      </vt:variant>
      <vt:variant>
        <vt:lpwstr/>
      </vt:variant>
      <vt:variant>
        <vt:i4>7798900</vt:i4>
      </vt:variant>
      <vt:variant>
        <vt:i4>69</vt:i4>
      </vt:variant>
      <vt:variant>
        <vt:i4>0</vt:i4>
      </vt:variant>
      <vt:variant>
        <vt:i4>5</vt:i4>
      </vt:variant>
      <vt:variant>
        <vt:lpwstr>https://www.epa.gov/amtic/compendium-methods-determination-toxic-organic-compounds-ambient-air</vt:lpwstr>
      </vt:variant>
      <vt:variant>
        <vt:lpwstr/>
      </vt:variant>
      <vt:variant>
        <vt:i4>8257573</vt:i4>
      </vt:variant>
      <vt:variant>
        <vt:i4>66</vt:i4>
      </vt:variant>
      <vt:variant>
        <vt:i4>0</vt:i4>
      </vt:variant>
      <vt:variant>
        <vt:i4>5</vt:i4>
      </vt:variant>
      <vt:variant>
        <vt:lpwstr>https://www.epa.gov/dwanalyticalmethods/approved-drinking-water-analytical-methods</vt:lpwstr>
      </vt:variant>
      <vt:variant>
        <vt:lpwstr/>
      </vt:variant>
      <vt:variant>
        <vt:i4>8257573</vt:i4>
      </vt:variant>
      <vt:variant>
        <vt:i4>63</vt:i4>
      </vt:variant>
      <vt:variant>
        <vt:i4>0</vt:i4>
      </vt:variant>
      <vt:variant>
        <vt:i4>5</vt:i4>
      </vt:variant>
      <vt:variant>
        <vt:lpwstr>https://www.epa.gov/dwanalyticalmethods/approved-drinking-water-analytical-methods</vt:lpwstr>
      </vt:variant>
      <vt:variant>
        <vt:lpwstr/>
      </vt:variant>
      <vt:variant>
        <vt:i4>8257573</vt:i4>
      </vt:variant>
      <vt:variant>
        <vt:i4>60</vt:i4>
      </vt:variant>
      <vt:variant>
        <vt:i4>0</vt:i4>
      </vt:variant>
      <vt:variant>
        <vt:i4>5</vt:i4>
      </vt:variant>
      <vt:variant>
        <vt:lpwstr>https://www.epa.gov/dwanalyticalmethods/approved-drinking-water-analytical-methods</vt:lpwstr>
      </vt:variant>
      <vt:variant>
        <vt:lpwstr/>
      </vt:variant>
      <vt:variant>
        <vt:i4>8257573</vt:i4>
      </vt:variant>
      <vt:variant>
        <vt:i4>57</vt:i4>
      </vt:variant>
      <vt:variant>
        <vt:i4>0</vt:i4>
      </vt:variant>
      <vt:variant>
        <vt:i4>5</vt:i4>
      </vt:variant>
      <vt:variant>
        <vt:lpwstr>https://www.epa.gov/dwanalyticalmethods/approved-drinking-water-analytical-methods</vt:lpwstr>
      </vt:variant>
      <vt:variant>
        <vt:lpwstr/>
      </vt:variant>
      <vt:variant>
        <vt:i4>8257573</vt:i4>
      </vt:variant>
      <vt:variant>
        <vt:i4>54</vt:i4>
      </vt:variant>
      <vt:variant>
        <vt:i4>0</vt:i4>
      </vt:variant>
      <vt:variant>
        <vt:i4>5</vt:i4>
      </vt:variant>
      <vt:variant>
        <vt:lpwstr>https://www.epa.gov/dwanalyticalmethods/approved-drinking-water-analytical-methods</vt:lpwstr>
      </vt:variant>
      <vt:variant>
        <vt:lpwstr/>
      </vt:variant>
      <vt:variant>
        <vt:i4>8257573</vt:i4>
      </vt:variant>
      <vt:variant>
        <vt:i4>51</vt:i4>
      </vt:variant>
      <vt:variant>
        <vt:i4>0</vt:i4>
      </vt:variant>
      <vt:variant>
        <vt:i4>5</vt:i4>
      </vt:variant>
      <vt:variant>
        <vt:lpwstr>https://www.epa.gov/dwanalyticalmethods/approved-drinking-water-analytical-methods</vt:lpwstr>
      </vt:variant>
      <vt:variant>
        <vt:lpwstr/>
      </vt:variant>
      <vt:variant>
        <vt:i4>8257573</vt:i4>
      </vt:variant>
      <vt:variant>
        <vt:i4>48</vt:i4>
      </vt:variant>
      <vt:variant>
        <vt:i4>0</vt:i4>
      </vt:variant>
      <vt:variant>
        <vt:i4>5</vt:i4>
      </vt:variant>
      <vt:variant>
        <vt:lpwstr>https://www.epa.gov/dwanalyticalmethods/approved-drinking-water-analytical-methods</vt:lpwstr>
      </vt:variant>
      <vt:variant>
        <vt:lpwstr/>
      </vt:variant>
      <vt:variant>
        <vt:i4>8257573</vt:i4>
      </vt:variant>
      <vt:variant>
        <vt:i4>45</vt:i4>
      </vt:variant>
      <vt:variant>
        <vt:i4>0</vt:i4>
      </vt:variant>
      <vt:variant>
        <vt:i4>5</vt:i4>
      </vt:variant>
      <vt:variant>
        <vt:lpwstr>https://www.epa.gov/dwanalyticalmethods/approved-drinking-water-analytical-methods</vt:lpwstr>
      </vt:variant>
      <vt:variant>
        <vt:lpwstr/>
      </vt:variant>
      <vt:variant>
        <vt:i4>8257573</vt:i4>
      </vt:variant>
      <vt:variant>
        <vt:i4>42</vt:i4>
      </vt:variant>
      <vt:variant>
        <vt:i4>0</vt:i4>
      </vt:variant>
      <vt:variant>
        <vt:i4>5</vt:i4>
      </vt:variant>
      <vt:variant>
        <vt:lpwstr>https://www.epa.gov/dwanalyticalmethods/approved-drinking-water-analytical-methods</vt:lpwstr>
      </vt:variant>
      <vt:variant>
        <vt:lpwstr/>
      </vt:variant>
      <vt:variant>
        <vt:i4>8257573</vt:i4>
      </vt:variant>
      <vt:variant>
        <vt:i4>39</vt:i4>
      </vt:variant>
      <vt:variant>
        <vt:i4>0</vt:i4>
      </vt:variant>
      <vt:variant>
        <vt:i4>5</vt:i4>
      </vt:variant>
      <vt:variant>
        <vt:lpwstr>https://www.epa.gov/dwanalyticalmethods/approved-drinking-water-analytical-methods</vt:lpwstr>
      </vt:variant>
      <vt:variant>
        <vt:lpwstr/>
      </vt:variant>
      <vt:variant>
        <vt:i4>3211318</vt:i4>
      </vt:variant>
      <vt:variant>
        <vt:i4>36</vt:i4>
      </vt:variant>
      <vt:variant>
        <vt:i4>0</vt:i4>
      </vt:variant>
      <vt:variant>
        <vt:i4>5</vt:i4>
      </vt:variant>
      <vt:variant>
        <vt:lpwstr>https://www.epa.gov/dwanalyticalmethods</vt:lpwstr>
      </vt:variant>
      <vt:variant>
        <vt:lpwstr/>
      </vt:variant>
      <vt:variant>
        <vt:i4>6619169</vt:i4>
      </vt:variant>
      <vt:variant>
        <vt:i4>33</vt:i4>
      </vt:variant>
      <vt:variant>
        <vt:i4>0</vt:i4>
      </vt:variant>
      <vt:variant>
        <vt:i4>5</vt:i4>
      </vt:variant>
      <vt:variant>
        <vt:lpwstr>https://www.epa.gov/cwa-methods</vt:lpwstr>
      </vt:variant>
      <vt:variant>
        <vt:lpwstr/>
      </vt:variant>
      <vt:variant>
        <vt:i4>7209087</vt:i4>
      </vt:variant>
      <vt:variant>
        <vt:i4>30</vt:i4>
      </vt:variant>
      <vt:variant>
        <vt:i4>0</vt:i4>
      </vt:variant>
      <vt:variant>
        <vt:i4>5</vt:i4>
      </vt:variant>
      <vt:variant>
        <vt:lpwstr>https://www.epa.gov/hw-sw846/sw-846-compendium</vt:lpwstr>
      </vt:variant>
      <vt:variant>
        <vt:lpwstr/>
      </vt:variant>
      <vt:variant>
        <vt:i4>7209087</vt:i4>
      </vt:variant>
      <vt:variant>
        <vt:i4>27</vt:i4>
      </vt:variant>
      <vt:variant>
        <vt:i4>0</vt:i4>
      </vt:variant>
      <vt:variant>
        <vt:i4>5</vt:i4>
      </vt:variant>
      <vt:variant>
        <vt:lpwstr>https://www.epa.gov/hw-sw846/sw-846-compendium</vt:lpwstr>
      </vt:variant>
      <vt:variant>
        <vt:lpwstr/>
      </vt:variant>
      <vt:variant>
        <vt:i4>7209087</vt:i4>
      </vt:variant>
      <vt:variant>
        <vt:i4>24</vt:i4>
      </vt:variant>
      <vt:variant>
        <vt:i4>0</vt:i4>
      </vt:variant>
      <vt:variant>
        <vt:i4>5</vt:i4>
      </vt:variant>
      <vt:variant>
        <vt:lpwstr>https://www.epa.gov/hw-sw846/sw-846-compendium</vt:lpwstr>
      </vt:variant>
      <vt:variant>
        <vt:lpwstr/>
      </vt:variant>
      <vt:variant>
        <vt:i4>7209087</vt:i4>
      </vt:variant>
      <vt:variant>
        <vt:i4>21</vt:i4>
      </vt:variant>
      <vt:variant>
        <vt:i4>0</vt:i4>
      </vt:variant>
      <vt:variant>
        <vt:i4>5</vt:i4>
      </vt:variant>
      <vt:variant>
        <vt:lpwstr>https://www.epa.gov/hw-sw846/sw-846-compendium</vt:lpwstr>
      </vt:variant>
      <vt:variant>
        <vt:lpwstr/>
      </vt:variant>
      <vt:variant>
        <vt:i4>7209087</vt:i4>
      </vt:variant>
      <vt:variant>
        <vt:i4>18</vt:i4>
      </vt:variant>
      <vt:variant>
        <vt:i4>0</vt:i4>
      </vt:variant>
      <vt:variant>
        <vt:i4>5</vt:i4>
      </vt:variant>
      <vt:variant>
        <vt:lpwstr>https://www.epa.gov/hw-sw846/sw-846-compendium</vt:lpwstr>
      </vt:variant>
      <vt:variant>
        <vt:lpwstr/>
      </vt:variant>
      <vt:variant>
        <vt:i4>7209087</vt:i4>
      </vt:variant>
      <vt:variant>
        <vt:i4>15</vt:i4>
      </vt:variant>
      <vt:variant>
        <vt:i4>0</vt:i4>
      </vt:variant>
      <vt:variant>
        <vt:i4>5</vt:i4>
      </vt:variant>
      <vt:variant>
        <vt:lpwstr>https://www.epa.gov/hw-sw846/sw-846-compendium</vt:lpwstr>
      </vt:variant>
      <vt:variant>
        <vt:lpwstr/>
      </vt:variant>
      <vt:variant>
        <vt:i4>7209087</vt:i4>
      </vt:variant>
      <vt:variant>
        <vt:i4>12</vt:i4>
      </vt:variant>
      <vt:variant>
        <vt:i4>0</vt:i4>
      </vt:variant>
      <vt:variant>
        <vt:i4>5</vt:i4>
      </vt:variant>
      <vt:variant>
        <vt:lpwstr>https://www.epa.gov/hw-sw846/sw-846-compendium</vt:lpwstr>
      </vt:variant>
      <vt:variant>
        <vt:lpwstr/>
      </vt:variant>
      <vt:variant>
        <vt:i4>5046345</vt:i4>
      </vt:variant>
      <vt:variant>
        <vt:i4>9</vt:i4>
      </vt:variant>
      <vt:variant>
        <vt:i4>0</vt:i4>
      </vt:variant>
      <vt:variant>
        <vt:i4>5</vt:i4>
      </vt:variant>
      <vt:variant>
        <vt:lpwstr>https://www.standardmethods.org/</vt:lpwstr>
      </vt:variant>
      <vt:variant>
        <vt:lpwstr/>
      </vt:variant>
      <vt:variant>
        <vt:i4>3211318</vt:i4>
      </vt:variant>
      <vt:variant>
        <vt:i4>6</vt:i4>
      </vt:variant>
      <vt:variant>
        <vt:i4>0</vt:i4>
      </vt:variant>
      <vt:variant>
        <vt:i4>5</vt:i4>
      </vt:variant>
      <vt:variant>
        <vt:lpwstr>https://www.epa.gov/dwanalyticalmethods</vt:lpwstr>
      </vt:variant>
      <vt:variant>
        <vt:lpwstr/>
      </vt:variant>
      <vt:variant>
        <vt:i4>6619169</vt:i4>
      </vt:variant>
      <vt:variant>
        <vt:i4>3</vt:i4>
      </vt:variant>
      <vt:variant>
        <vt:i4>0</vt:i4>
      </vt:variant>
      <vt:variant>
        <vt:i4>5</vt:i4>
      </vt:variant>
      <vt:variant>
        <vt:lpwstr>https://www.epa.gov/cwa-methods</vt:lpwstr>
      </vt:variant>
      <vt:variant>
        <vt:lpwstr/>
      </vt:variant>
      <vt:variant>
        <vt:i4>5242880</vt:i4>
      </vt:variant>
      <vt:variant>
        <vt:i4>0</vt:i4>
      </vt:variant>
      <vt:variant>
        <vt:i4>0</vt:i4>
      </vt:variant>
      <vt:variant>
        <vt:i4>5</vt:i4>
      </vt:variant>
      <vt:variant>
        <vt:lpwstr>https://www.govinfo.gov/content/pkg/CZIC-kfn2247-n49-1996/html/CZIC-kfn2247-n49-1996.htm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Metcalfe, Jacqueline (Fran)</dc:creator>
  <cp:keywords/>
  <cp:lastModifiedBy>Garcia, Christina</cp:lastModifiedBy>
  <cp:revision>4044</cp:revision>
  <cp:lastPrinted>2025-12-09T17:22:00Z</cp:lastPrinted>
  <dcterms:created xsi:type="dcterms:W3CDTF">2025-07-01T14:26:00Z</dcterms:created>
  <dcterms:modified xsi:type="dcterms:W3CDTF">2025-12-19T14:32:00Z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0x010100017B60A31D2FF64DB0B356596AD66A8C</vt:lpwstr>
  </property>
  <property fmtid="{D5CDD505-2E9C-101B-9397-08002B2CF9AE}" pid="3" name="Order">
    <vt:r8>27800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ies>
</file>